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Default Extension="png" ContentType="image/png"/>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312" w:lineRule="auto" w:before="76"/>
        <w:ind w:left="2271" w:right="2260" w:firstLine="955"/>
        <w:jc w:val="left"/>
        <w:rPr>
          <w:b/>
          <w:sz w:val="72"/>
        </w:rPr>
      </w:pPr>
      <w:r>
        <w:rPr>
          <w:b/>
          <w:sz w:val="72"/>
        </w:rPr>
        <w:t>Codex Humanus The Book of Humanity</w:t>
      </w:r>
    </w:p>
    <w:p>
      <w:pPr>
        <w:spacing w:line="534" w:lineRule="exact" w:before="0"/>
        <w:ind w:left="114" w:right="113" w:firstLine="0"/>
        <w:jc w:val="center"/>
        <w:rPr>
          <w:b/>
          <w:sz w:val="48"/>
        </w:rPr>
      </w:pPr>
      <w:r>
        <w:rPr>
          <w:b/>
          <w:sz w:val="48"/>
        </w:rPr>
        <w:t>Volume I and</w:t>
      </w:r>
      <w:r>
        <w:rPr>
          <w:b/>
          <w:spacing w:val="-9"/>
          <w:sz w:val="48"/>
        </w:rPr>
        <w:t> </w:t>
      </w:r>
      <w:r>
        <w:rPr>
          <w:b/>
          <w:sz w:val="48"/>
        </w:rPr>
        <w:t>II</w:t>
      </w:r>
    </w:p>
    <w:p>
      <w:pPr>
        <w:pStyle w:val="BodyText"/>
        <w:spacing w:before="9"/>
        <w:rPr>
          <w:b/>
          <w:sz w:val="62"/>
        </w:rPr>
      </w:pPr>
    </w:p>
    <w:p>
      <w:pPr>
        <w:spacing w:before="1"/>
        <w:ind w:left="112" w:right="113" w:firstLine="0"/>
        <w:jc w:val="center"/>
        <w:rPr>
          <w:b/>
          <w:sz w:val="32"/>
        </w:rPr>
      </w:pPr>
      <w:r>
        <w:rPr/>
        <w:drawing>
          <wp:anchor distT="0" distB="0" distL="0" distR="0" allowOverlap="1" layoutInCell="1" locked="0" behindDoc="1" simplePos="0" relativeHeight="268434431">
            <wp:simplePos x="0" y="0"/>
            <wp:positionH relativeFrom="page">
              <wp:posOffset>1143000</wp:posOffset>
            </wp:positionH>
            <wp:positionV relativeFrom="paragraph">
              <wp:posOffset>262497</wp:posOffset>
            </wp:positionV>
            <wp:extent cx="6777574" cy="4251483"/>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6777574" cy="4251483"/>
                    </a:xfrm>
                    <a:prstGeom prst="rect">
                      <a:avLst/>
                    </a:prstGeom>
                  </pic:spPr>
                </pic:pic>
              </a:graphicData>
            </a:graphic>
          </wp:anchor>
        </w:drawing>
      </w:r>
      <w:r>
        <w:rPr>
          <w:b/>
          <w:sz w:val="32"/>
        </w:rPr>
        <w:t>3rd Edition August</w:t>
      </w:r>
      <w:r>
        <w:rPr>
          <w:b/>
          <w:spacing w:val="-9"/>
          <w:sz w:val="32"/>
        </w:rPr>
        <w:t> </w:t>
      </w:r>
      <w:r>
        <w:rPr>
          <w:b/>
          <w:sz w:val="32"/>
        </w:rPr>
        <w:t>2018</w:t>
      </w:r>
    </w:p>
    <w:p>
      <w:pPr>
        <w:spacing w:before="308"/>
        <w:ind w:left="3621" w:right="0" w:firstLine="0"/>
        <w:jc w:val="left"/>
        <w:rPr>
          <w:b/>
          <w:sz w:val="28"/>
        </w:rPr>
      </w:pPr>
      <w:r>
        <w:rPr>
          <w:b/>
          <w:sz w:val="28"/>
        </w:rPr>
        <w:t>Copyright © 2018 Vitaminum ProLife</w:t>
      </w:r>
    </w:p>
    <w:p>
      <w:pPr>
        <w:pStyle w:val="BodyText"/>
        <w:spacing w:before="3"/>
        <w:rPr>
          <w:b/>
          <w:sz w:val="29"/>
        </w:rPr>
      </w:pPr>
    </w:p>
    <w:p>
      <w:pPr>
        <w:spacing w:line="276" w:lineRule="auto" w:before="1"/>
        <w:ind w:left="123" w:right="127" w:hanging="5"/>
        <w:jc w:val="center"/>
        <w:rPr>
          <w:b/>
          <w:sz w:val="20"/>
        </w:rPr>
      </w:pPr>
      <w:r>
        <w:rPr>
          <w:b/>
          <w:sz w:val="20"/>
        </w:rPr>
        <w:t>All rights reserved: This ebook may not be copied in whole or in part without permission from the author. Disclaimer: The contents examined</w:t>
      </w:r>
      <w:r>
        <w:rPr>
          <w:b/>
          <w:spacing w:val="-3"/>
          <w:sz w:val="20"/>
        </w:rPr>
        <w:t> </w:t>
      </w:r>
      <w:r>
        <w:rPr>
          <w:b/>
          <w:sz w:val="20"/>
        </w:rPr>
        <w:t>in</w:t>
      </w:r>
      <w:r>
        <w:rPr>
          <w:b/>
          <w:spacing w:val="-2"/>
          <w:sz w:val="20"/>
        </w:rPr>
        <w:t> </w:t>
      </w:r>
      <w:r>
        <w:rPr>
          <w:b/>
          <w:sz w:val="20"/>
        </w:rPr>
        <w:t>this</w:t>
      </w:r>
      <w:r>
        <w:rPr>
          <w:b/>
          <w:spacing w:val="-2"/>
          <w:sz w:val="20"/>
        </w:rPr>
        <w:t> </w:t>
      </w:r>
      <w:r>
        <w:rPr>
          <w:b/>
          <w:sz w:val="20"/>
        </w:rPr>
        <w:t>ebook</w:t>
      </w:r>
      <w:r>
        <w:rPr>
          <w:b/>
          <w:spacing w:val="-3"/>
          <w:sz w:val="20"/>
        </w:rPr>
        <w:t> </w:t>
      </w:r>
      <w:r>
        <w:rPr>
          <w:b/>
          <w:sz w:val="20"/>
        </w:rPr>
        <w:t>are</w:t>
      </w:r>
      <w:r>
        <w:rPr>
          <w:b/>
          <w:spacing w:val="-3"/>
          <w:sz w:val="20"/>
        </w:rPr>
        <w:t> </w:t>
      </w:r>
      <w:r>
        <w:rPr>
          <w:b/>
          <w:sz w:val="20"/>
        </w:rPr>
        <w:t>for</w:t>
      </w:r>
      <w:r>
        <w:rPr>
          <w:b/>
          <w:spacing w:val="-1"/>
          <w:sz w:val="20"/>
        </w:rPr>
        <w:t> </w:t>
      </w:r>
      <w:r>
        <w:rPr>
          <w:b/>
          <w:sz w:val="20"/>
        </w:rPr>
        <w:t>neutral</w:t>
      </w:r>
      <w:r>
        <w:rPr>
          <w:b/>
          <w:spacing w:val="-2"/>
          <w:sz w:val="20"/>
        </w:rPr>
        <w:t> </w:t>
      </w:r>
      <w:r>
        <w:rPr>
          <w:b/>
          <w:sz w:val="20"/>
        </w:rPr>
        <w:t>information</w:t>
      </w:r>
      <w:r>
        <w:rPr>
          <w:b/>
          <w:spacing w:val="-2"/>
          <w:sz w:val="20"/>
        </w:rPr>
        <w:t> </w:t>
      </w:r>
      <w:r>
        <w:rPr>
          <w:b/>
          <w:sz w:val="20"/>
        </w:rPr>
        <w:t>and</w:t>
      </w:r>
      <w:r>
        <w:rPr>
          <w:b/>
          <w:spacing w:val="-3"/>
          <w:sz w:val="20"/>
        </w:rPr>
        <w:t> </w:t>
      </w:r>
      <w:r>
        <w:rPr>
          <w:b/>
          <w:sz w:val="20"/>
        </w:rPr>
        <w:t>general</w:t>
      </w:r>
      <w:r>
        <w:rPr>
          <w:b/>
          <w:spacing w:val="-1"/>
          <w:sz w:val="20"/>
        </w:rPr>
        <w:t> </w:t>
      </w:r>
      <w:r>
        <w:rPr>
          <w:b/>
          <w:sz w:val="20"/>
        </w:rPr>
        <w:t>education</w:t>
      </w:r>
      <w:r>
        <w:rPr>
          <w:b/>
          <w:spacing w:val="-4"/>
          <w:sz w:val="20"/>
        </w:rPr>
        <w:t> </w:t>
      </w:r>
      <w:r>
        <w:rPr>
          <w:b/>
          <w:sz w:val="20"/>
        </w:rPr>
        <w:t>only.</w:t>
      </w:r>
      <w:r>
        <w:rPr>
          <w:b/>
          <w:spacing w:val="-1"/>
          <w:sz w:val="20"/>
        </w:rPr>
        <w:t> </w:t>
      </w:r>
      <w:r>
        <w:rPr>
          <w:b/>
          <w:sz w:val="20"/>
        </w:rPr>
        <w:t>They</w:t>
      </w:r>
      <w:r>
        <w:rPr>
          <w:b/>
          <w:spacing w:val="-2"/>
          <w:sz w:val="20"/>
        </w:rPr>
        <w:t> </w:t>
      </w:r>
      <w:r>
        <w:rPr>
          <w:b/>
          <w:sz w:val="20"/>
        </w:rPr>
        <w:t>do</w:t>
      </w:r>
      <w:r>
        <w:rPr>
          <w:b/>
          <w:spacing w:val="-3"/>
          <w:sz w:val="20"/>
        </w:rPr>
        <w:t> </w:t>
      </w:r>
      <w:r>
        <w:rPr>
          <w:b/>
          <w:sz w:val="20"/>
        </w:rPr>
        <w:t>not</w:t>
      </w:r>
      <w:r>
        <w:rPr>
          <w:b/>
          <w:spacing w:val="-3"/>
          <w:sz w:val="20"/>
        </w:rPr>
        <w:t> </w:t>
      </w:r>
      <w:r>
        <w:rPr>
          <w:b/>
          <w:sz w:val="20"/>
        </w:rPr>
        <w:t>constitute</w:t>
      </w:r>
      <w:r>
        <w:rPr>
          <w:b/>
          <w:spacing w:val="-3"/>
          <w:sz w:val="20"/>
        </w:rPr>
        <w:t> </w:t>
      </w:r>
      <w:r>
        <w:rPr>
          <w:b/>
          <w:sz w:val="20"/>
        </w:rPr>
        <w:t>a</w:t>
      </w:r>
      <w:r>
        <w:rPr>
          <w:b/>
          <w:spacing w:val="-2"/>
          <w:sz w:val="20"/>
        </w:rPr>
        <w:t> </w:t>
      </w:r>
      <w:r>
        <w:rPr>
          <w:b/>
          <w:sz w:val="20"/>
        </w:rPr>
        <w:t>recommendation</w:t>
      </w:r>
      <w:r>
        <w:rPr>
          <w:b/>
          <w:spacing w:val="-4"/>
          <w:sz w:val="20"/>
        </w:rPr>
        <w:t> </w:t>
      </w:r>
      <w:r>
        <w:rPr>
          <w:b/>
          <w:sz w:val="20"/>
        </w:rPr>
        <w:t>or</w:t>
      </w:r>
      <w:r>
        <w:rPr>
          <w:b/>
          <w:spacing w:val="-1"/>
          <w:sz w:val="20"/>
        </w:rPr>
        <w:t> </w:t>
      </w:r>
      <w:r>
        <w:rPr>
          <w:b/>
          <w:sz w:val="20"/>
        </w:rPr>
        <w:t>promotion of the diagnostic methods, therapies or active substances mentioned or described. Despite careful research, the text neither claims to be complete, nor can the accuracy, balance or currentness of the information contained be guaranteed. The text should not be inter- preted</w:t>
      </w:r>
      <w:r>
        <w:rPr>
          <w:b/>
          <w:spacing w:val="-3"/>
          <w:sz w:val="20"/>
        </w:rPr>
        <w:t> </w:t>
      </w:r>
      <w:r>
        <w:rPr>
          <w:b/>
          <w:sz w:val="20"/>
        </w:rPr>
        <w:t>as</w:t>
      </w:r>
      <w:r>
        <w:rPr>
          <w:b/>
          <w:spacing w:val="-2"/>
          <w:sz w:val="20"/>
        </w:rPr>
        <w:t> </w:t>
      </w:r>
      <w:r>
        <w:rPr>
          <w:b/>
          <w:sz w:val="20"/>
        </w:rPr>
        <w:t>a</w:t>
      </w:r>
      <w:r>
        <w:rPr>
          <w:b/>
          <w:spacing w:val="-2"/>
          <w:sz w:val="20"/>
        </w:rPr>
        <w:t> </w:t>
      </w:r>
      <w:r>
        <w:rPr>
          <w:b/>
          <w:sz w:val="20"/>
        </w:rPr>
        <w:t>substitute</w:t>
      </w:r>
      <w:r>
        <w:rPr>
          <w:b/>
          <w:spacing w:val="-3"/>
          <w:sz w:val="20"/>
        </w:rPr>
        <w:t> </w:t>
      </w:r>
      <w:r>
        <w:rPr>
          <w:b/>
          <w:sz w:val="20"/>
        </w:rPr>
        <w:t>for</w:t>
      </w:r>
      <w:r>
        <w:rPr>
          <w:b/>
          <w:spacing w:val="-1"/>
          <w:sz w:val="20"/>
        </w:rPr>
        <w:t> </w:t>
      </w:r>
      <w:r>
        <w:rPr>
          <w:b/>
          <w:sz w:val="20"/>
        </w:rPr>
        <w:t>professional</w:t>
      </w:r>
      <w:r>
        <w:rPr>
          <w:b/>
          <w:spacing w:val="-2"/>
          <w:sz w:val="20"/>
        </w:rPr>
        <w:t> </w:t>
      </w:r>
      <w:r>
        <w:rPr>
          <w:b/>
          <w:sz w:val="20"/>
        </w:rPr>
        <w:t>advice</w:t>
      </w:r>
      <w:r>
        <w:rPr>
          <w:b/>
          <w:spacing w:val="-2"/>
          <w:sz w:val="20"/>
        </w:rPr>
        <w:t> </w:t>
      </w:r>
      <w:r>
        <w:rPr>
          <w:b/>
          <w:sz w:val="20"/>
        </w:rPr>
        <w:t>from</w:t>
      </w:r>
      <w:r>
        <w:rPr>
          <w:b/>
          <w:spacing w:val="-4"/>
          <w:sz w:val="20"/>
        </w:rPr>
        <w:t> </w:t>
      </w:r>
      <w:r>
        <w:rPr>
          <w:b/>
          <w:sz w:val="20"/>
        </w:rPr>
        <w:t>a</w:t>
      </w:r>
      <w:r>
        <w:rPr>
          <w:b/>
          <w:spacing w:val="-2"/>
          <w:sz w:val="20"/>
        </w:rPr>
        <w:t> </w:t>
      </w:r>
      <w:r>
        <w:rPr>
          <w:b/>
          <w:sz w:val="20"/>
        </w:rPr>
        <w:t>doctor</w:t>
      </w:r>
      <w:r>
        <w:rPr>
          <w:b/>
          <w:spacing w:val="-2"/>
          <w:sz w:val="20"/>
        </w:rPr>
        <w:t> </w:t>
      </w:r>
      <w:r>
        <w:rPr>
          <w:b/>
          <w:sz w:val="20"/>
        </w:rPr>
        <w:t>or</w:t>
      </w:r>
      <w:r>
        <w:rPr>
          <w:b/>
          <w:spacing w:val="-2"/>
          <w:sz w:val="20"/>
        </w:rPr>
        <w:t> </w:t>
      </w:r>
      <w:r>
        <w:rPr>
          <w:b/>
          <w:sz w:val="20"/>
        </w:rPr>
        <w:t>pharmacist</w:t>
      </w:r>
      <w:r>
        <w:rPr>
          <w:b/>
          <w:spacing w:val="-3"/>
          <w:sz w:val="20"/>
        </w:rPr>
        <w:t> </w:t>
      </w:r>
      <w:r>
        <w:rPr>
          <w:b/>
          <w:sz w:val="20"/>
        </w:rPr>
        <w:t>and</w:t>
      </w:r>
      <w:r>
        <w:rPr>
          <w:b/>
          <w:spacing w:val="-2"/>
          <w:sz w:val="20"/>
        </w:rPr>
        <w:t> </w:t>
      </w:r>
      <w:r>
        <w:rPr>
          <w:b/>
          <w:sz w:val="20"/>
        </w:rPr>
        <w:t>may</w:t>
      </w:r>
      <w:r>
        <w:rPr>
          <w:b/>
          <w:spacing w:val="-3"/>
          <w:sz w:val="20"/>
        </w:rPr>
        <w:t> </w:t>
      </w:r>
      <w:r>
        <w:rPr>
          <w:b/>
          <w:sz w:val="20"/>
        </w:rPr>
        <w:t>not</w:t>
      </w:r>
      <w:r>
        <w:rPr>
          <w:b/>
          <w:spacing w:val="-3"/>
          <w:sz w:val="20"/>
        </w:rPr>
        <w:t> </w:t>
      </w:r>
      <w:r>
        <w:rPr>
          <w:b/>
          <w:sz w:val="20"/>
        </w:rPr>
        <w:t>be</w:t>
      </w:r>
      <w:r>
        <w:rPr>
          <w:b/>
          <w:spacing w:val="-3"/>
          <w:sz w:val="20"/>
        </w:rPr>
        <w:t> </w:t>
      </w:r>
      <w:r>
        <w:rPr>
          <w:b/>
          <w:sz w:val="20"/>
        </w:rPr>
        <w:t>used</w:t>
      </w:r>
      <w:r>
        <w:rPr>
          <w:b/>
          <w:spacing w:val="-2"/>
          <w:sz w:val="20"/>
        </w:rPr>
        <w:t> </w:t>
      </w:r>
      <w:r>
        <w:rPr>
          <w:b/>
          <w:sz w:val="20"/>
        </w:rPr>
        <w:t>as</w:t>
      </w:r>
      <w:r>
        <w:rPr>
          <w:b/>
          <w:spacing w:val="-2"/>
          <w:sz w:val="20"/>
        </w:rPr>
        <w:t> </w:t>
      </w:r>
      <w:r>
        <w:rPr>
          <w:b/>
          <w:sz w:val="20"/>
        </w:rPr>
        <w:t>a</w:t>
      </w:r>
      <w:r>
        <w:rPr>
          <w:b/>
          <w:spacing w:val="-2"/>
          <w:sz w:val="20"/>
        </w:rPr>
        <w:t> </w:t>
      </w:r>
      <w:r>
        <w:rPr>
          <w:b/>
          <w:sz w:val="20"/>
        </w:rPr>
        <w:t>basis</w:t>
      </w:r>
      <w:r>
        <w:rPr>
          <w:b/>
          <w:spacing w:val="-2"/>
          <w:sz w:val="20"/>
        </w:rPr>
        <w:t> </w:t>
      </w:r>
      <w:r>
        <w:rPr>
          <w:b/>
          <w:sz w:val="20"/>
        </w:rPr>
        <w:t>for</w:t>
      </w:r>
      <w:r>
        <w:rPr>
          <w:b/>
          <w:spacing w:val="-2"/>
          <w:sz w:val="20"/>
        </w:rPr>
        <w:t> </w:t>
      </w:r>
      <w:r>
        <w:rPr>
          <w:b/>
          <w:sz w:val="20"/>
        </w:rPr>
        <w:t>independent</w:t>
      </w:r>
      <w:r>
        <w:rPr>
          <w:b/>
          <w:spacing w:val="-2"/>
          <w:sz w:val="20"/>
        </w:rPr>
        <w:t> </w:t>
      </w:r>
      <w:r>
        <w:rPr>
          <w:b/>
          <w:sz w:val="20"/>
        </w:rPr>
        <w:t>diagnosis</w:t>
      </w:r>
    </w:p>
    <w:p>
      <w:pPr>
        <w:spacing w:line="276" w:lineRule="auto" w:before="0"/>
        <w:ind w:left="118" w:right="113" w:firstLine="0"/>
        <w:jc w:val="center"/>
        <w:rPr>
          <w:b/>
          <w:sz w:val="20"/>
        </w:rPr>
      </w:pPr>
      <w:r>
        <w:rPr>
          <w:b/>
          <w:sz w:val="20"/>
        </w:rPr>
        <w:t>and initiation, modification or termination of treatment for any disease. If you have health issues or complaints, always consult a doctor or therapist whom you trust! The company Vitaminum Prolife e.Kfm. and its authors assume no liability for damages or inconvenience resulting from the application of the information presented here. Imprint: Writer and publisher: Thomas Chrobok, Vitaminum ProLife e.Kfm., Hohler Weg 26, 32760 Detmold</w:t>
      </w:r>
    </w:p>
    <w:p>
      <w:pPr>
        <w:spacing w:after="0" w:line="276" w:lineRule="auto"/>
        <w:jc w:val="center"/>
        <w:rPr>
          <w:sz w:val="20"/>
        </w:rPr>
        <w:sectPr>
          <w:type w:val="continuous"/>
          <w:pgSz w:w="14270" w:h="16850"/>
          <w:pgMar w:top="1340" w:bottom="280" w:left="1300" w:right="130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19"/>
        </w:rPr>
      </w:pPr>
    </w:p>
    <w:p>
      <w:pPr>
        <w:pStyle w:val="Heading2"/>
        <w:spacing w:before="100"/>
        <w:ind w:left="4552"/>
      </w:pPr>
      <w:r>
        <w:rPr/>
        <w:t>DEDICATION</w:t>
      </w:r>
    </w:p>
    <w:p>
      <w:pPr>
        <w:spacing w:line="276" w:lineRule="auto" w:before="188"/>
        <w:ind w:left="116" w:right="121" w:firstLine="0"/>
        <w:jc w:val="both"/>
        <w:rPr>
          <w:sz w:val="32"/>
        </w:rPr>
      </w:pPr>
      <w:r>
        <w:rPr>
          <w:sz w:val="32"/>
        </w:rPr>
        <w:t>This ebook is dedicated to my mother Aniela Chrobok, a wonderful, warm person, whose passing served as the primary inspiration for writing the ‘Codex Humanus’ and all the books in the ‘MEDICAL SCANDALS’ series (Shop: www.vitaminum.net). May the reader gain maximum health benefits from the knowledge herein, so that her untimely death may not</w:t>
      </w:r>
      <w:r>
        <w:rPr>
          <w:spacing w:val="-49"/>
          <w:sz w:val="32"/>
        </w:rPr>
        <w:t> </w:t>
      </w:r>
      <w:r>
        <w:rPr>
          <w:sz w:val="32"/>
        </w:rPr>
        <w:t>be in</w:t>
      </w:r>
      <w:r>
        <w:rPr>
          <w:spacing w:val="-2"/>
          <w:sz w:val="32"/>
        </w:rPr>
        <w:t> </w:t>
      </w:r>
      <w:r>
        <w:rPr>
          <w:sz w:val="32"/>
        </w:rPr>
        <w:t>vain!</w:t>
      </w:r>
    </w:p>
    <w:p>
      <w:pPr>
        <w:spacing w:after="0" w:line="276" w:lineRule="auto"/>
        <w:jc w:val="both"/>
        <w:rPr>
          <w:sz w:val="32"/>
        </w:rPr>
        <w:sectPr>
          <w:pgSz w:w="14260" w:h="16840"/>
          <w:pgMar w:top="1580" w:bottom="280" w:left="1300" w:right="1297"/>
        </w:sectPr>
      </w:pPr>
    </w:p>
    <w:p>
      <w:pPr>
        <w:pStyle w:val="BodyText"/>
        <w:spacing w:before="5"/>
        <w:rPr>
          <w:sz w:val="27"/>
        </w:rPr>
      </w:pPr>
    </w:p>
    <w:p>
      <w:pPr>
        <w:pStyle w:val="Heading1"/>
        <w:tabs>
          <w:tab w:pos="8510" w:val="left" w:leader="none"/>
        </w:tabs>
        <w:spacing w:before="100"/>
        <w:ind w:left="116"/>
      </w:pPr>
      <w:r>
        <w:rPr/>
        <w:t>List</w:t>
      </w:r>
      <w:r>
        <w:rPr>
          <w:spacing w:val="-34"/>
        </w:rPr>
        <w:t> </w:t>
      </w:r>
      <w:r>
        <w:rPr/>
        <w:t>of</w:t>
      </w:r>
      <w:r>
        <w:rPr>
          <w:spacing w:val="-34"/>
        </w:rPr>
        <w:t> </w:t>
      </w:r>
      <w:r>
        <w:rPr/>
        <w:t>contents</w:t>
        <w:tab/>
        <w:t>Page</w:t>
      </w:r>
    </w:p>
    <w:p>
      <w:pPr>
        <w:pStyle w:val="Heading2"/>
        <w:numPr>
          <w:ilvl w:val="0"/>
          <w:numId w:val="1"/>
        </w:numPr>
        <w:tabs>
          <w:tab w:pos="364" w:val="left" w:leader="none"/>
          <w:tab w:pos="9289" w:val="right" w:leader="dot"/>
        </w:tabs>
        <w:spacing w:line="240" w:lineRule="auto" w:before="179" w:after="0"/>
        <w:ind w:left="363" w:right="0" w:hanging="247"/>
        <w:jc w:val="left"/>
        <w:rPr>
          <w:b w:val="0"/>
        </w:rPr>
      </w:pPr>
      <w:r>
        <w:rPr>
          <w:color w:val="0000FF"/>
          <w:u w:val="single" w:color="0000FF"/>
        </w:rPr>
        <w:t>Introduction</w:t>
      </w:r>
      <w:r>
        <w:rPr>
          <w:color w:val="0000FF"/>
        </w:rPr>
        <w:tab/>
      </w:r>
      <w:r>
        <w:rPr>
          <w:b w:val="0"/>
          <w:color w:val="0000FF"/>
          <w:u w:val="single" w:color="0000FF"/>
        </w:rPr>
        <w:t>4</w:t>
      </w:r>
    </w:p>
    <w:p>
      <w:pPr>
        <w:pStyle w:val="ListParagraph"/>
        <w:numPr>
          <w:ilvl w:val="0"/>
          <w:numId w:val="1"/>
        </w:numPr>
        <w:tabs>
          <w:tab w:pos="390" w:val="left" w:leader="none"/>
        </w:tabs>
        <w:spacing w:line="240" w:lineRule="auto" w:before="346" w:after="0"/>
        <w:ind w:left="389" w:right="0" w:hanging="273"/>
        <w:jc w:val="left"/>
        <w:rPr>
          <w:b/>
          <w:sz w:val="38"/>
        </w:rPr>
      </w:pPr>
      <w:r>
        <w:rPr>
          <w:b/>
          <w:color w:val="0000FF"/>
          <w:sz w:val="38"/>
          <w:u w:val="single" w:color="0000FF"/>
        </w:rPr>
        <w:t>Substance-effect</w:t>
      </w:r>
      <w:r>
        <w:rPr>
          <w:b/>
          <w:color w:val="0000FF"/>
          <w:spacing w:val="-1"/>
          <w:sz w:val="38"/>
          <w:u w:val="single" w:color="0000FF"/>
        </w:rPr>
        <w:t> </w:t>
      </w:r>
      <w:r>
        <w:rPr>
          <w:b/>
          <w:color w:val="0000FF"/>
          <w:sz w:val="38"/>
          <w:u w:val="single" w:color="0000FF"/>
        </w:rPr>
        <w:t>tables</w:t>
      </w:r>
    </w:p>
    <w:p>
      <w:pPr>
        <w:pStyle w:val="ListParagraph"/>
        <w:numPr>
          <w:ilvl w:val="1"/>
          <w:numId w:val="1"/>
        </w:numPr>
        <w:tabs>
          <w:tab w:pos="844" w:val="left" w:leader="none"/>
        </w:tabs>
        <w:spacing w:line="240" w:lineRule="auto" w:before="182" w:after="0"/>
        <w:ind w:left="973" w:right="0" w:hanging="665"/>
        <w:jc w:val="left"/>
        <w:rPr>
          <w:sz w:val="38"/>
        </w:rPr>
      </w:pPr>
      <w:r>
        <w:rPr>
          <w:sz w:val="38"/>
        </w:rPr>
        <w:t>Substance-effect table: allergies..…………………..35,</w:t>
      </w:r>
      <w:r>
        <w:rPr>
          <w:spacing w:val="-17"/>
          <w:sz w:val="38"/>
        </w:rPr>
        <w:t> </w:t>
      </w:r>
      <w:r>
        <w:rPr>
          <w:sz w:val="38"/>
        </w:rPr>
        <w:t>36</w:t>
      </w:r>
    </w:p>
    <w:p>
      <w:pPr>
        <w:pStyle w:val="ListParagraph"/>
        <w:numPr>
          <w:ilvl w:val="1"/>
          <w:numId w:val="1"/>
        </w:numPr>
        <w:tabs>
          <w:tab w:pos="844" w:val="left" w:leader="none"/>
        </w:tabs>
        <w:spacing w:line="240" w:lineRule="auto" w:before="184" w:after="0"/>
        <w:ind w:left="973" w:right="0" w:hanging="665"/>
        <w:jc w:val="left"/>
        <w:rPr>
          <w:sz w:val="38"/>
        </w:rPr>
      </w:pPr>
      <w:r>
        <w:rPr>
          <w:sz w:val="38"/>
        </w:rPr>
        <w:t>Substance-effect table: arthritis..…………………..37,</w:t>
      </w:r>
      <w:r>
        <w:rPr>
          <w:spacing w:val="-21"/>
          <w:sz w:val="38"/>
        </w:rPr>
        <w:t> </w:t>
      </w:r>
      <w:r>
        <w:rPr>
          <w:sz w:val="38"/>
        </w:rPr>
        <w:t>38</w:t>
      </w:r>
    </w:p>
    <w:p>
      <w:pPr>
        <w:pStyle w:val="ListParagraph"/>
        <w:numPr>
          <w:ilvl w:val="1"/>
          <w:numId w:val="1"/>
        </w:numPr>
        <w:tabs>
          <w:tab w:pos="844" w:val="left" w:leader="none"/>
        </w:tabs>
        <w:spacing w:line="240" w:lineRule="auto" w:before="185" w:after="0"/>
        <w:ind w:left="973" w:right="0" w:hanging="665"/>
        <w:jc w:val="left"/>
        <w:rPr>
          <w:sz w:val="38"/>
        </w:rPr>
      </w:pPr>
      <w:r>
        <w:rPr>
          <w:sz w:val="38"/>
        </w:rPr>
        <w:t>Substance-effect table: arthrosis…………………...39,</w:t>
      </w:r>
      <w:r>
        <w:rPr>
          <w:spacing w:val="-17"/>
          <w:sz w:val="38"/>
        </w:rPr>
        <w:t> </w:t>
      </w:r>
      <w:r>
        <w:rPr>
          <w:sz w:val="38"/>
        </w:rPr>
        <w:t>40</w:t>
      </w:r>
    </w:p>
    <w:p>
      <w:pPr>
        <w:pStyle w:val="ListParagraph"/>
        <w:numPr>
          <w:ilvl w:val="1"/>
          <w:numId w:val="1"/>
        </w:numPr>
        <w:tabs>
          <w:tab w:pos="844" w:val="left" w:leader="none"/>
        </w:tabs>
        <w:spacing w:line="240" w:lineRule="auto" w:before="185" w:after="0"/>
        <w:ind w:left="973" w:right="0" w:hanging="665"/>
        <w:jc w:val="left"/>
        <w:rPr>
          <w:sz w:val="38"/>
        </w:rPr>
      </w:pPr>
      <w:r>
        <w:rPr>
          <w:sz w:val="38"/>
        </w:rPr>
        <w:t>Substance-effect table: diabetes..…………………..41,</w:t>
      </w:r>
      <w:r>
        <w:rPr>
          <w:spacing w:val="-15"/>
          <w:sz w:val="38"/>
        </w:rPr>
        <w:t> </w:t>
      </w:r>
      <w:r>
        <w:rPr>
          <w:sz w:val="38"/>
        </w:rPr>
        <w:t>43</w:t>
      </w:r>
    </w:p>
    <w:p>
      <w:pPr>
        <w:pStyle w:val="ListParagraph"/>
        <w:numPr>
          <w:ilvl w:val="1"/>
          <w:numId w:val="1"/>
        </w:numPr>
        <w:tabs>
          <w:tab w:pos="844" w:val="left" w:leader="none"/>
        </w:tabs>
        <w:spacing w:line="240" w:lineRule="auto" w:before="184" w:after="0"/>
        <w:ind w:left="973" w:right="0" w:hanging="665"/>
        <w:jc w:val="left"/>
        <w:rPr>
          <w:sz w:val="38"/>
        </w:rPr>
      </w:pPr>
      <w:r>
        <w:rPr>
          <w:sz w:val="38"/>
        </w:rPr>
        <w:t>Substance-effect table: heart diseases...…………….44, 45</w:t>
      </w:r>
    </w:p>
    <w:p>
      <w:pPr>
        <w:pStyle w:val="ListParagraph"/>
        <w:numPr>
          <w:ilvl w:val="1"/>
          <w:numId w:val="1"/>
        </w:numPr>
        <w:tabs>
          <w:tab w:pos="844" w:val="left" w:leader="none"/>
        </w:tabs>
        <w:spacing w:line="240" w:lineRule="auto" w:before="185" w:after="0"/>
        <w:ind w:left="843" w:right="0" w:hanging="535"/>
        <w:jc w:val="left"/>
        <w:rPr>
          <w:sz w:val="38"/>
        </w:rPr>
      </w:pPr>
      <w:r>
        <w:rPr>
          <w:sz w:val="38"/>
        </w:rPr>
        <w:t>Substance-effect table: stroke……………...……. ...46,</w:t>
      </w:r>
      <w:r>
        <w:rPr>
          <w:spacing w:val="2"/>
          <w:sz w:val="38"/>
        </w:rPr>
        <w:t> </w:t>
      </w:r>
      <w:r>
        <w:rPr>
          <w:sz w:val="38"/>
        </w:rPr>
        <w:t>49</w:t>
      </w:r>
    </w:p>
    <w:p>
      <w:pPr>
        <w:pStyle w:val="ListParagraph"/>
        <w:numPr>
          <w:ilvl w:val="1"/>
          <w:numId w:val="1"/>
        </w:numPr>
        <w:tabs>
          <w:tab w:pos="844" w:val="left" w:leader="none"/>
        </w:tabs>
        <w:spacing w:line="240" w:lineRule="auto" w:before="184" w:after="0"/>
        <w:ind w:left="973" w:right="0" w:hanging="665"/>
        <w:jc w:val="left"/>
        <w:rPr>
          <w:sz w:val="38"/>
        </w:rPr>
      </w:pPr>
      <w:r>
        <w:rPr>
          <w:sz w:val="38"/>
        </w:rPr>
        <w:t>Substance-effect table: cancer…………..….….…...50,</w:t>
      </w:r>
      <w:r>
        <w:rPr>
          <w:spacing w:val="2"/>
          <w:sz w:val="38"/>
        </w:rPr>
        <w:t> </w:t>
      </w:r>
      <w:r>
        <w:rPr>
          <w:sz w:val="38"/>
        </w:rPr>
        <w:t>58</w:t>
      </w:r>
    </w:p>
    <w:p>
      <w:pPr>
        <w:pStyle w:val="ListParagraph"/>
        <w:numPr>
          <w:ilvl w:val="1"/>
          <w:numId w:val="1"/>
        </w:numPr>
        <w:tabs>
          <w:tab w:pos="844" w:val="left" w:leader="none"/>
        </w:tabs>
        <w:spacing w:line="240" w:lineRule="auto" w:before="183" w:after="0"/>
        <w:ind w:left="843" w:right="0" w:hanging="535"/>
        <w:jc w:val="left"/>
        <w:rPr>
          <w:sz w:val="38"/>
        </w:rPr>
      </w:pPr>
      <w:r>
        <w:rPr>
          <w:sz w:val="38"/>
        </w:rPr>
        <w:t>Table: Detoxification, removal of heavy metals…...59,</w:t>
      </w:r>
      <w:r>
        <w:rPr>
          <w:spacing w:val="-4"/>
          <w:sz w:val="38"/>
        </w:rPr>
        <w:t> </w:t>
      </w:r>
      <w:r>
        <w:rPr>
          <w:sz w:val="38"/>
        </w:rPr>
        <w:t>64</w:t>
      </w:r>
    </w:p>
    <w:p>
      <w:pPr>
        <w:pStyle w:val="ListParagraph"/>
        <w:numPr>
          <w:ilvl w:val="1"/>
          <w:numId w:val="1"/>
        </w:numPr>
        <w:tabs>
          <w:tab w:pos="842" w:val="left" w:leader="none"/>
        </w:tabs>
        <w:spacing w:line="240" w:lineRule="auto" w:before="184" w:after="0"/>
        <w:ind w:left="841" w:right="0" w:hanging="533"/>
        <w:jc w:val="left"/>
        <w:rPr>
          <w:sz w:val="38"/>
        </w:rPr>
      </w:pPr>
      <w:r>
        <w:rPr>
          <w:sz w:val="38"/>
        </w:rPr>
        <w:t>Substance-effect table: anti ageing (primary)………65,</w:t>
      </w:r>
      <w:r>
        <w:rPr>
          <w:spacing w:val="2"/>
          <w:sz w:val="38"/>
        </w:rPr>
        <w:t> </w:t>
      </w:r>
      <w:r>
        <w:rPr>
          <w:sz w:val="38"/>
        </w:rPr>
        <w:t>68</w:t>
      </w:r>
    </w:p>
    <w:p>
      <w:pPr>
        <w:pStyle w:val="ListParagraph"/>
        <w:numPr>
          <w:ilvl w:val="1"/>
          <w:numId w:val="1"/>
        </w:numPr>
        <w:tabs>
          <w:tab w:pos="1019" w:val="left" w:leader="none"/>
        </w:tabs>
        <w:spacing w:line="240" w:lineRule="auto" w:before="185" w:after="0"/>
        <w:ind w:left="1018" w:right="0" w:hanging="710"/>
        <w:jc w:val="left"/>
        <w:rPr>
          <w:sz w:val="38"/>
        </w:rPr>
      </w:pPr>
      <w:r>
        <w:rPr>
          <w:sz w:val="38"/>
        </w:rPr>
        <w:t>Substance-effect table: anti ageing (secondary)..….69,</w:t>
      </w:r>
      <w:r>
        <w:rPr>
          <w:spacing w:val="-1"/>
          <w:sz w:val="38"/>
        </w:rPr>
        <w:t> </w:t>
      </w:r>
      <w:r>
        <w:rPr>
          <w:sz w:val="38"/>
        </w:rPr>
        <w:t>72</w:t>
      </w:r>
    </w:p>
    <w:p>
      <w:pPr>
        <w:pStyle w:val="ListParagraph"/>
        <w:numPr>
          <w:ilvl w:val="1"/>
          <w:numId w:val="1"/>
        </w:numPr>
        <w:tabs>
          <w:tab w:pos="1022" w:val="left" w:leader="none"/>
        </w:tabs>
        <w:spacing w:line="343" w:lineRule="auto" w:before="184" w:after="0"/>
        <w:ind w:left="973" w:right="2315" w:hanging="665"/>
        <w:jc w:val="left"/>
        <w:rPr>
          <w:sz w:val="38"/>
        </w:rPr>
      </w:pPr>
      <w:r>
        <w:rPr>
          <w:sz w:val="38"/>
        </w:rPr>
        <w:t>Substance-effect table: depression, anxienty, Burnout…………………………………………..73,</w:t>
      </w:r>
      <w:r>
        <w:rPr>
          <w:spacing w:val="-10"/>
          <w:sz w:val="38"/>
        </w:rPr>
        <w:t> </w:t>
      </w:r>
      <w:r>
        <w:rPr>
          <w:sz w:val="38"/>
        </w:rPr>
        <w:t>75</w:t>
      </w:r>
    </w:p>
    <w:p>
      <w:pPr>
        <w:pStyle w:val="ListParagraph"/>
        <w:numPr>
          <w:ilvl w:val="1"/>
          <w:numId w:val="1"/>
        </w:numPr>
        <w:tabs>
          <w:tab w:pos="1019" w:val="left" w:leader="none"/>
        </w:tabs>
        <w:spacing w:line="343" w:lineRule="auto" w:before="2" w:after="0"/>
        <w:ind w:left="973" w:right="2315" w:hanging="665"/>
        <w:jc w:val="left"/>
        <w:rPr>
          <w:sz w:val="38"/>
        </w:rPr>
      </w:pPr>
      <w:r>
        <w:rPr>
          <w:sz w:val="38"/>
        </w:rPr>
        <w:t>Micronutrients that counteract depression, anxienty, Burnout…………………………………………..76,</w:t>
      </w:r>
      <w:r>
        <w:rPr>
          <w:spacing w:val="-11"/>
          <w:sz w:val="38"/>
        </w:rPr>
        <w:t> </w:t>
      </w:r>
      <w:r>
        <w:rPr>
          <w:sz w:val="38"/>
        </w:rPr>
        <w:t>77</w:t>
      </w:r>
    </w:p>
    <w:p>
      <w:pPr>
        <w:pStyle w:val="ListParagraph"/>
        <w:numPr>
          <w:ilvl w:val="1"/>
          <w:numId w:val="1"/>
        </w:numPr>
        <w:tabs>
          <w:tab w:pos="1022" w:val="left" w:leader="none"/>
        </w:tabs>
        <w:spacing w:line="427" w:lineRule="exact" w:before="0" w:after="0"/>
        <w:ind w:left="1021" w:right="0" w:hanging="713"/>
        <w:jc w:val="left"/>
        <w:rPr>
          <w:sz w:val="38"/>
        </w:rPr>
      </w:pPr>
      <w:r>
        <w:rPr>
          <w:sz w:val="38"/>
        </w:rPr>
        <w:t>Substance-effect table: fungal infections…………78,</w:t>
      </w:r>
      <w:r>
        <w:rPr>
          <w:spacing w:val="1"/>
          <w:sz w:val="38"/>
        </w:rPr>
        <w:t> </w:t>
      </w:r>
      <w:r>
        <w:rPr>
          <w:sz w:val="38"/>
        </w:rPr>
        <w:t>80</w:t>
      </w:r>
    </w:p>
    <w:p>
      <w:pPr>
        <w:spacing w:after="0" w:line="427" w:lineRule="exact"/>
        <w:jc w:val="left"/>
        <w:rPr>
          <w:sz w:val="38"/>
        </w:rPr>
        <w:sectPr>
          <w:footerReference w:type="default" r:id="rId6"/>
          <w:pgSz w:w="14260" w:h="16840"/>
          <w:pgMar w:footer="402" w:header="0" w:top="1580" w:bottom="600" w:left="1300" w:right="1297"/>
          <w:pgNumType w:start="1"/>
        </w:sectPr>
      </w:pPr>
    </w:p>
    <w:p>
      <w:pPr>
        <w:pStyle w:val="ListParagraph"/>
        <w:numPr>
          <w:ilvl w:val="1"/>
          <w:numId w:val="1"/>
        </w:numPr>
        <w:tabs>
          <w:tab w:pos="1022" w:val="left" w:leader="none"/>
        </w:tabs>
        <w:spacing w:line="240" w:lineRule="auto" w:before="74" w:after="0"/>
        <w:ind w:left="1021" w:right="0" w:hanging="713"/>
        <w:jc w:val="left"/>
        <w:rPr>
          <w:sz w:val="38"/>
        </w:rPr>
      </w:pPr>
      <w:r>
        <w:rPr>
          <w:sz w:val="38"/>
        </w:rPr>
        <w:t>Substance-effect table: Alzheimer and Dementia….81,</w:t>
      </w:r>
      <w:r>
        <w:rPr>
          <w:spacing w:val="-22"/>
          <w:sz w:val="38"/>
        </w:rPr>
        <w:t> </w:t>
      </w:r>
      <w:r>
        <w:rPr>
          <w:sz w:val="38"/>
        </w:rPr>
        <w:t>83</w:t>
      </w:r>
    </w:p>
    <w:p>
      <w:pPr>
        <w:pStyle w:val="ListParagraph"/>
        <w:numPr>
          <w:ilvl w:val="1"/>
          <w:numId w:val="1"/>
        </w:numPr>
        <w:tabs>
          <w:tab w:pos="1022" w:val="left" w:leader="none"/>
        </w:tabs>
        <w:spacing w:line="240" w:lineRule="auto" w:before="185" w:after="0"/>
        <w:ind w:left="1021" w:right="0" w:hanging="713"/>
        <w:jc w:val="left"/>
        <w:rPr>
          <w:sz w:val="38"/>
        </w:rPr>
      </w:pPr>
      <w:r>
        <w:rPr>
          <w:sz w:val="38"/>
        </w:rPr>
        <w:t>Substance-effect table: impotence….………...……84,</w:t>
      </w:r>
      <w:r>
        <w:rPr>
          <w:spacing w:val="-16"/>
          <w:sz w:val="38"/>
        </w:rPr>
        <w:t> </w:t>
      </w:r>
      <w:r>
        <w:rPr>
          <w:sz w:val="38"/>
        </w:rPr>
        <w:t>85</w:t>
      </w:r>
    </w:p>
    <w:p>
      <w:pPr>
        <w:pStyle w:val="BodyText"/>
        <w:rPr>
          <w:sz w:val="42"/>
        </w:rPr>
      </w:pPr>
    </w:p>
    <w:p>
      <w:pPr>
        <w:pStyle w:val="BodyText"/>
        <w:rPr>
          <w:sz w:val="42"/>
        </w:rPr>
      </w:pPr>
    </w:p>
    <w:p>
      <w:pPr>
        <w:pStyle w:val="BodyText"/>
        <w:spacing w:before="2"/>
        <w:rPr>
          <w:sz w:val="41"/>
        </w:rPr>
      </w:pPr>
    </w:p>
    <w:p>
      <w:pPr>
        <w:pStyle w:val="Heading2"/>
        <w:numPr>
          <w:ilvl w:val="0"/>
          <w:numId w:val="2"/>
        </w:numPr>
        <w:tabs>
          <w:tab w:pos="489" w:val="left" w:leader="none"/>
        </w:tabs>
        <w:spacing w:line="240" w:lineRule="auto" w:before="0" w:after="0"/>
        <w:ind w:left="488" w:right="0" w:hanging="372"/>
        <w:jc w:val="left"/>
      </w:pPr>
      <w:r>
        <w:rPr/>
        <w:t>Natural substances and their</w:t>
      </w:r>
      <w:r>
        <w:rPr>
          <w:spacing w:val="-3"/>
        </w:rPr>
        <w:t> </w:t>
      </w:r>
      <w:r>
        <w:rPr/>
        <w:t>effects</w:t>
      </w:r>
    </w:p>
    <w:p>
      <w:pPr>
        <w:pStyle w:val="ListParagraph"/>
        <w:numPr>
          <w:ilvl w:val="1"/>
          <w:numId w:val="2"/>
        </w:numPr>
        <w:tabs>
          <w:tab w:pos="938" w:val="left" w:leader="none"/>
          <w:tab w:pos="9227" w:val="right" w:leader="dot"/>
        </w:tabs>
        <w:spacing w:line="240" w:lineRule="auto" w:before="184" w:after="0"/>
        <w:ind w:left="937" w:right="0" w:hanging="533"/>
        <w:jc w:val="left"/>
        <w:rPr>
          <w:sz w:val="38"/>
        </w:rPr>
      </w:pPr>
      <w:r>
        <w:rPr>
          <w:color w:val="0000FF"/>
          <w:sz w:val="38"/>
          <w:u w:val="single" w:color="0000FF"/>
        </w:rPr>
        <w:t>Alpha-lipoic</w:t>
      </w:r>
      <w:r>
        <w:rPr>
          <w:color w:val="0000FF"/>
          <w:spacing w:val="-2"/>
          <w:sz w:val="38"/>
          <w:u w:val="single" w:color="0000FF"/>
        </w:rPr>
        <w:t> </w:t>
      </w:r>
      <w:r>
        <w:rPr>
          <w:color w:val="0000FF"/>
          <w:sz w:val="38"/>
          <w:u w:val="single" w:color="0000FF"/>
        </w:rPr>
        <w:t>acid…</w:t>
      </w:r>
      <w:r>
        <w:rPr>
          <w:color w:val="0000FF"/>
          <w:sz w:val="38"/>
        </w:rPr>
        <w:tab/>
      </w:r>
      <w:r>
        <w:rPr>
          <w:color w:val="0000FF"/>
          <w:sz w:val="38"/>
          <w:u w:val="single" w:color="0000FF"/>
        </w:rPr>
        <w:t>86</w:t>
      </w:r>
    </w:p>
    <w:p>
      <w:pPr>
        <w:pStyle w:val="ListParagraph"/>
        <w:numPr>
          <w:ilvl w:val="1"/>
          <w:numId w:val="2"/>
        </w:numPr>
        <w:tabs>
          <w:tab w:pos="938" w:val="left" w:leader="none"/>
          <w:tab w:pos="9269" w:val="right" w:leader="dot"/>
        </w:tabs>
        <w:spacing w:line="240" w:lineRule="auto" w:before="183" w:after="0"/>
        <w:ind w:left="937" w:right="0" w:hanging="533"/>
        <w:jc w:val="left"/>
        <w:rPr>
          <w:sz w:val="38"/>
        </w:rPr>
      </w:pPr>
      <w:r>
        <w:rPr>
          <w:color w:val="0000FF"/>
          <w:sz w:val="38"/>
          <w:u w:val="single" w:color="0000FF"/>
        </w:rPr>
        <w:t>Pineapple/bromelain…</w:t>
      </w:r>
      <w:r>
        <w:rPr>
          <w:color w:val="0000FF"/>
          <w:sz w:val="38"/>
        </w:rPr>
        <w:tab/>
      </w:r>
      <w:r>
        <w:rPr>
          <w:color w:val="0000FF"/>
          <w:sz w:val="38"/>
          <w:u w:val="single" w:color="0000FF"/>
        </w:rPr>
        <w:t>140</w:t>
      </w:r>
    </w:p>
    <w:p>
      <w:pPr>
        <w:pStyle w:val="ListParagraph"/>
        <w:numPr>
          <w:ilvl w:val="1"/>
          <w:numId w:val="2"/>
        </w:numPr>
        <w:tabs>
          <w:tab w:pos="938" w:val="left" w:leader="none"/>
          <w:tab w:pos="9139" w:val="right" w:leader="dot"/>
        </w:tabs>
        <w:spacing w:line="240" w:lineRule="auto" w:before="185" w:after="0"/>
        <w:ind w:left="937" w:right="0" w:hanging="533"/>
        <w:jc w:val="left"/>
        <w:rPr>
          <w:sz w:val="38"/>
        </w:rPr>
      </w:pPr>
      <w:r>
        <w:rPr>
          <w:color w:val="0000FF"/>
          <w:sz w:val="38"/>
          <w:u w:val="single" w:color="0000FF"/>
        </w:rPr>
        <w:t>Aronia</w:t>
      </w:r>
      <w:r>
        <w:rPr>
          <w:color w:val="0000FF"/>
          <w:spacing w:val="-1"/>
          <w:sz w:val="38"/>
          <w:u w:val="single" w:color="0000FF"/>
        </w:rPr>
        <w:t> </w:t>
      </w:r>
      <w:r>
        <w:rPr>
          <w:color w:val="0000FF"/>
          <w:sz w:val="38"/>
          <w:u w:val="single" w:color="0000FF"/>
        </w:rPr>
        <w:t>berries</w:t>
      </w:r>
      <w:r>
        <w:rPr>
          <w:color w:val="0000FF"/>
          <w:sz w:val="38"/>
        </w:rPr>
        <w:tab/>
      </w:r>
      <w:r>
        <w:rPr>
          <w:color w:val="0000FF"/>
          <w:sz w:val="38"/>
          <w:u w:val="single" w:color="0000FF"/>
        </w:rPr>
        <w:t>173</w:t>
      </w:r>
    </w:p>
    <w:p>
      <w:pPr>
        <w:pStyle w:val="ListParagraph"/>
        <w:numPr>
          <w:ilvl w:val="1"/>
          <w:numId w:val="2"/>
        </w:numPr>
        <w:tabs>
          <w:tab w:pos="938" w:val="left" w:leader="none"/>
          <w:tab w:pos="9192" w:val="right" w:leader="dot"/>
        </w:tabs>
        <w:spacing w:line="240" w:lineRule="auto" w:before="184" w:after="0"/>
        <w:ind w:left="937" w:right="0" w:hanging="533"/>
        <w:jc w:val="left"/>
        <w:rPr>
          <w:sz w:val="38"/>
        </w:rPr>
      </w:pPr>
      <w:r>
        <w:rPr>
          <w:color w:val="0000FF"/>
          <w:sz w:val="38"/>
          <w:u w:val="single" w:color="0000FF"/>
        </w:rPr>
        <w:t>Astragalus m…</w:t>
      </w:r>
      <w:r>
        <w:rPr>
          <w:color w:val="0000FF"/>
          <w:sz w:val="38"/>
        </w:rPr>
        <w:tab/>
      </w:r>
      <w:r>
        <w:rPr>
          <w:color w:val="0000FF"/>
          <w:sz w:val="38"/>
          <w:u w:val="single" w:color="0000FF"/>
        </w:rPr>
        <w:t>197</w:t>
      </w:r>
    </w:p>
    <w:p>
      <w:pPr>
        <w:pStyle w:val="ListParagraph"/>
        <w:numPr>
          <w:ilvl w:val="1"/>
          <w:numId w:val="2"/>
        </w:numPr>
        <w:tabs>
          <w:tab w:pos="938" w:val="left" w:leader="none"/>
          <w:tab w:pos="9199" w:val="right" w:leader="dot"/>
        </w:tabs>
        <w:spacing w:line="240" w:lineRule="auto" w:before="185" w:after="0"/>
        <w:ind w:left="937" w:right="0" w:hanging="533"/>
        <w:jc w:val="left"/>
        <w:rPr>
          <w:sz w:val="38"/>
        </w:rPr>
      </w:pPr>
      <w:r>
        <w:rPr>
          <w:color w:val="0000FF"/>
          <w:sz w:val="38"/>
          <w:u w:val="single" w:color="0000FF"/>
        </w:rPr>
        <w:t>Beta-carotene…</w:t>
      </w:r>
      <w:r>
        <w:rPr>
          <w:color w:val="0000FF"/>
          <w:sz w:val="38"/>
        </w:rPr>
        <w:tab/>
      </w:r>
      <w:r>
        <w:rPr>
          <w:color w:val="0000FF"/>
          <w:sz w:val="38"/>
          <w:u w:val="single" w:color="0000FF"/>
        </w:rPr>
        <w:t>237</w:t>
      </w:r>
    </w:p>
    <w:p>
      <w:pPr>
        <w:pStyle w:val="ListParagraph"/>
        <w:numPr>
          <w:ilvl w:val="1"/>
          <w:numId w:val="2"/>
        </w:numPr>
        <w:tabs>
          <w:tab w:pos="938" w:val="left" w:leader="none"/>
          <w:tab w:pos="9156" w:val="right" w:leader="dot"/>
        </w:tabs>
        <w:spacing w:line="240" w:lineRule="auto" w:before="184" w:after="0"/>
        <w:ind w:left="937" w:right="0" w:hanging="533"/>
        <w:jc w:val="left"/>
        <w:rPr>
          <w:sz w:val="38"/>
        </w:rPr>
      </w:pPr>
      <w:r>
        <w:rPr>
          <w:color w:val="0000FF"/>
          <w:sz w:val="38"/>
          <w:u w:val="single" w:color="0000FF"/>
        </w:rPr>
        <w:t>Colostrum…</w:t>
      </w:r>
      <w:r>
        <w:rPr>
          <w:color w:val="0000FF"/>
          <w:sz w:val="38"/>
        </w:rPr>
        <w:tab/>
      </w:r>
      <w:r>
        <w:rPr>
          <w:color w:val="0000FF"/>
          <w:sz w:val="38"/>
          <w:u w:val="single" w:color="0000FF"/>
        </w:rPr>
        <w:t>264</w:t>
      </w:r>
    </w:p>
    <w:p>
      <w:pPr>
        <w:pStyle w:val="ListParagraph"/>
        <w:numPr>
          <w:ilvl w:val="1"/>
          <w:numId w:val="2"/>
        </w:numPr>
        <w:tabs>
          <w:tab w:pos="938" w:val="left" w:leader="none"/>
          <w:tab w:pos="9182" w:val="right" w:leader="dot"/>
        </w:tabs>
        <w:spacing w:line="240" w:lineRule="auto" w:before="185" w:after="0"/>
        <w:ind w:left="937" w:right="0" w:hanging="533"/>
        <w:jc w:val="left"/>
        <w:rPr>
          <w:sz w:val="38"/>
        </w:rPr>
      </w:pPr>
      <w:r>
        <w:rPr>
          <w:color w:val="0000FF"/>
          <w:sz w:val="38"/>
          <w:u w:val="single" w:color="0000FF"/>
        </w:rPr>
        <w:t>Turmeric/curcumin</w:t>
      </w:r>
      <w:r>
        <w:rPr>
          <w:color w:val="0000FF"/>
          <w:sz w:val="38"/>
        </w:rPr>
        <w:tab/>
      </w:r>
      <w:r>
        <w:rPr>
          <w:color w:val="0000FF"/>
          <w:sz w:val="38"/>
          <w:u w:val="single" w:color="0000FF"/>
        </w:rPr>
        <w:t>328</w:t>
      </w:r>
    </w:p>
    <w:p>
      <w:pPr>
        <w:pStyle w:val="ListParagraph"/>
        <w:numPr>
          <w:ilvl w:val="1"/>
          <w:numId w:val="2"/>
        </w:numPr>
        <w:tabs>
          <w:tab w:pos="938" w:val="left" w:leader="none"/>
          <w:tab w:pos="9182" w:val="right" w:leader="dot"/>
        </w:tabs>
        <w:spacing w:line="240" w:lineRule="auto" w:before="184" w:after="0"/>
        <w:ind w:left="937" w:right="0" w:hanging="533"/>
        <w:jc w:val="left"/>
        <w:rPr>
          <w:sz w:val="38"/>
        </w:rPr>
      </w:pPr>
      <w:r>
        <w:rPr>
          <w:color w:val="0000FF"/>
          <w:sz w:val="38"/>
          <w:u w:val="single" w:color="0000FF"/>
        </w:rPr>
        <w:t>DHEA</w:t>
      </w:r>
      <w:r>
        <w:rPr>
          <w:color w:val="0000FF"/>
          <w:sz w:val="38"/>
        </w:rPr>
        <w:tab/>
      </w:r>
      <w:r>
        <w:rPr>
          <w:color w:val="0000FF"/>
          <w:sz w:val="38"/>
          <w:u w:val="single" w:color="0000FF"/>
        </w:rPr>
        <w:t>365</w:t>
      </w:r>
    </w:p>
    <w:p>
      <w:pPr>
        <w:pStyle w:val="BodyText"/>
        <w:tabs>
          <w:tab w:pos="9211" w:val="right" w:leader="dot"/>
        </w:tabs>
        <w:spacing w:before="183"/>
        <w:ind w:left="404"/>
      </w:pPr>
      <w:r>
        <w:rPr/>
        <w:t>3.9</w:t>
      </w:r>
      <w:r>
        <w:rPr>
          <w:spacing w:val="-2"/>
        </w:rPr>
        <w:t> </w:t>
      </w:r>
      <w:r>
        <w:rPr>
          <w:color w:val="0000FF"/>
          <w:u w:val="single" w:color="0000FF"/>
        </w:rPr>
        <w:t>DMAE…</w:t>
      </w:r>
      <w:r>
        <w:rPr>
          <w:color w:val="0000FF"/>
        </w:rPr>
        <w:tab/>
      </w:r>
      <w:r>
        <w:rPr>
          <w:color w:val="0000FF"/>
          <w:u w:val="single" w:color="0000FF"/>
        </w:rPr>
        <w:t>387</w:t>
      </w:r>
    </w:p>
    <w:p>
      <w:pPr>
        <w:pStyle w:val="ListParagraph"/>
        <w:numPr>
          <w:ilvl w:val="1"/>
          <w:numId w:val="3"/>
        </w:numPr>
        <w:tabs>
          <w:tab w:pos="1118" w:val="left" w:leader="none"/>
          <w:tab w:pos="9211" w:val="right" w:leader="dot"/>
        </w:tabs>
        <w:spacing w:line="240" w:lineRule="auto" w:before="184" w:after="0"/>
        <w:ind w:left="1117" w:right="0" w:hanging="713"/>
        <w:jc w:val="left"/>
        <w:rPr>
          <w:sz w:val="38"/>
        </w:rPr>
      </w:pPr>
      <w:r>
        <w:rPr>
          <w:color w:val="0000FF"/>
          <w:sz w:val="38"/>
          <w:u w:val="single" w:color="0000FF"/>
        </w:rPr>
        <w:t>Ginkgo</w:t>
      </w:r>
      <w:r>
        <w:rPr>
          <w:color w:val="0000FF"/>
          <w:spacing w:val="-1"/>
          <w:sz w:val="38"/>
          <w:u w:val="single" w:color="0000FF"/>
        </w:rPr>
        <w:t> </w:t>
      </w:r>
      <w:r>
        <w:rPr>
          <w:color w:val="0000FF"/>
          <w:sz w:val="38"/>
          <w:u w:val="single" w:color="0000FF"/>
        </w:rPr>
        <w:t>biloba</w:t>
      </w:r>
      <w:r>
        <w:rPr>
          <w:color w:val="0000FF"/>
          <w:sz w:val="38"/>
        </w:rPr>
        <w:tab/>
      </w:r>
      <w:r>
        <w:rPr>
          <w:color w:val="0000FF"/>
          <w:sz w:val="38"/>
          <w:u w:val="single" w:color="0000FF"/>
        </w:rPr>
        <w:t>398</w:t>
      </w:r>
    </w:p>
    <w:p>
      <w:pPr>
        <w:pStyle w:val="ListParagraph"/>
        <w:numPr>
          <w:ilvl w:val="1"/>
          <w:numId w:val="3"/>
        </w:numPr>
        <w:tabs>
          <w:tab w:pos="1118" w:val="left" w:leader="none"/>
          <w:tab w:pos="9180" w:val="right" w:leader="dot"/>
        </w:tabs>
        <w:spacing w:line="240" w:lineRule="auto" w:before="185" w:after="0"/>
        <w:ind w:left="1117" w:right="0" w:hanging="713"/>
        <w:jc w:val="left"/>
        <w:rPr>
          <w:sz w:val="38"/>
        </w:rPr>
      </w:pPr>
      <w:r>
        <w:rPr>
          <w:color w:val="0000FF"/>
          <w:sz w:val="38"/>
          <w:u w:val="single" w:color="0000FF"/>
        </w:rPr>
        <w:t>Glucosamine/chondroitin…</w:t>
      </w:r>
      <w:r>
        <w:rPr>
          <w:color w:val="0000FF"/>
          <w:sz w:val="38"/>
        </w:rPr>
        <w:tab/>
      </w:r>
      <w:r>
        <w:rPr>
          <w:color w:val="0000FF"/>
          <w:sz w:val="38"/>
          <w:u w:val="single" w:color="0000FF"/>
        </w:rPr>
        <w:t>441</w:t>
      </w:r>
    </w:p>
    <w:p>
      <w:pPr>
        <w:pStyle w:val="ListParagraph"/>
        <w:numPr>
          <w:ilvl w:val="1"/>
          <w:numId w:val="3"/>
        </w:numPr>
        <w:tabs>
          <w:tab w:pos="1118" w:val="left" w:leader="none"/>
          <w:tab w:pos="9173" w:val="right" w:leader="dot"/>
        </w:tabs>
        <w:spacing w:line="240" w:lineRule="auto" w:before="184" w:after="0"/>
        <w:ind w:left="1117" w:right="0" w:hanging="713"/>
        <w:jc w:val="left"/>
        <w:rPr>
          <w:sz w:val="38"/>
        </w:rPr>
      </w:pPr>
      <w:r>
        <w:rPr>
          <w:color w:val="0000FF"/>
          <w:sz w:val="38"/>
          <w:u w:val="single" w:color="0000FF"/>
        </w:rPr>
        <w:t>Gotu</w:t>
      </w:r>
      <w:r>
        <w:rPr>
          <w:color w:val="0000FF"/>
          <w:spacing w:val="-2"/>
          <w:sz w:val="38"/>
          <w:u w:val="single" w:color="0000FF"/>
        </w:rPr>
        <w:t> </w:t>
      </w:r>
      <w:r>
        <w:rPr>
          <w:color w:val="0000FF"/>
          <w:sz w:val="38"/>
          <w:u w:val="single" w:color="0000FF"/>
        </w:rPr>
        <w:t>kola…</w:t>
      </w:r>
      <w:r>
        <w:rPr>
          <w:color w:val="0000FF"/>
          <w:sz w:val="38"/>
        </w:rPr>
        <w:tab/>
      </w:r>
      <w:r>
        <w:rPr>
          <w:color w:val="0000FF"/>
          <w:sz w:val="38"/>
          <w:u w:val="single" w:color="0000FF"/>
        </w:rPr>
        <w:t>473</w:t>
      </w:r>
    </w:p>
    <w:p>
      <w:pPr>
        <w:pStyle w:val="ListParagraph"/>
        <w:numPr>
          <w:ilvl w:val="1"/>
          <w:numId w:val="3"/>
        </w:numPr>
        <w:tabs>
          <w:tab w:pos="1118" w:val="left" w:leader="none"/>
          <w:tab w:pos="9146" w:val="right" w:leader="dot"/>
        </w:tabs>
        <w:spacing w:line="240" w:lineRule="auto" w:before="185" w:after="0"/>
        <w:ind w:left="1117" w:right="0" w:hanging="713"/>
        <w:jc w:val="left"/>
        <w:rPr>
          <w:sz w:val="38"/>
        </w:rPr>
      </w:pPr>
      <w:r>
        <w:rPr>
          <w:color w:val="0000FF"/>
          <w:sz w:val="38"/>
          <w:u w:val="single" w:color="0000FF"/>
        </w:rPr>
        <w:t>Pomegranate…</w:t>
      </w:r>
      <w:r>
        <w:rPr>
          <w:color w:val="0000FF"/>
          <w:sz w:val="38"/>
        </w:rPr>
        <w:tab/>
      </w:r>
      <w:r>
        <w:rPr>
          <w:color w:val="0000FF"/>
          <w:sz w:val="38"/>
          <w:u w:val="single" w:color="0000FF"/>
        </w:rPr>
        <w:t>490</w:t>
      </w:r>
    </w:p>
    <w:p>
      <w:pPr>
        <w:pStyle w:val="ListParagraph"/>
        <w:numPr>
          <w:ilvl w:val="1"/>
          <w:numId w:val="3"/>
        </w:numPr>
        <w:tabs>
          <w:tab w:pos="1118" w:val="left" w:leader="none"/>
          <w:tab w:pos="9168" w:val="right" w:leader="dot"/>
        </w:tabs>
        <w:spacing w:line="240" w:lineRule="auto" w:before="184" w:after="0"/>
        <w:ind w:left="1117" w:right="0" w:hanging="713"/>
        <w:jc w:val="left"/>
        <w:rPr>
          <w:sz w:val="38"/>
        </w:rPr>
      </w:pPr>
      <w:r>
        <w:rPr>
          <w:color w:val="0000FF"/>
          <w:sz w:val="38"/>
          <w:u w:val="single" w:color="0000FF"/>
        </w:rPr>
        <w:t>Grapefruit</w:t>
      </w:r>
      <w:r>
        <w:rPr>
          <w:color w:val="0000FF"/>
          <w:spacing w:val="-1"/>
          <w:sz w:val="38"/>
          <w:u w:val="single" w:color="0000FF"/>
        </w:rPr>
        <w:t> </w:t>
      </w:r>
      <w:r>
        <w:rPr>
          <w:color w:val="0000FF"/>
          <w:sz w:val="38"/>
          <w:u w:val="single" w:color="0000FF"/>
        </w:rPr>
        <w:t>seed</w:t>
      </w:r>
      <w:r>
        <w:rPr>
          <w:color w:val="0000FF"/>
          <w:spacing w:val="1"/>
          <w:sz w:val="38"/>
          <w:u w:val="single" w:color="0000FF"/>
        </w:rPr>
        <w:t> </w:t>
      </w:r>
      <w:r>
        <w:rPr>
          <w:color w:val="0000FF"/>
          <w:sz w:val="38"/>
          <w:u w:val="single" w:color="0000FF"/>
        </w:rPr>
        <w:t>extract…</w:t>
      </w:r>
      <w:r>
        <w:rPr>
          <w:color w:val="0000FF"/>
          <w:sz w:val="38"/>
        </w:rPr>
        <w:tab/>
      </w:r>
      <w:r>
        <w:rPr>
          <w:color w:val="0000FF"/>
          <w:sz w:val="38"/>
          <w:u w:val="single" w:color="0000FF"/>
        </w:rPr>
        <w:t>534</w:t>
      </w:r>
    </w:p>
    <w:p>
      <w:pPr>
        <w:spacing w:after="0" w:line="240" w:lineRule="auto"/>
        <w:jc w:val="left"/>
        <w:rPr>
          <w:sz w:val="38"/>
        </w:rPr>
        <w:sectPr>
          <w:pgSz w:w="14260" w:h="16840"/>
          <w:pgMar w:header="0" w:footer="402" w:top="1320" w:bottom="2280" w:left="1300" w:right="1297"/>
        </w:sectPr>
      </w:pPr>
    </w:p>
    <w:p>
      <w:pPr>
        <w:pStyle w:val="ListParagraph"/>
        <w:numPr>
          <w:ilvl w:val="1"/>
          <w:numId w:val="3"/>
        </w:numPr>
        <w:tabs>
          <w:tab w:pos="1118" w:val="left" w:leader="none"/>
          <w:tab w:pos="9297" w:val="right" w:leader="dot"/>
        </w:tabs>
        <w:spacing w:line="240" w:lineRule="auto" w:before="74" w:after="0"/>
        <w:ind w:left="1117" w:right="0" w:hanging="713"/>
        <w:jc w:val="left"/>
        <w:rPr>
          <w:sz w:val="38"/>
        </w:rPr>
      </w:pPr>
      <w:r>
        <w:rPr>
          <w:color w:val="0000FF"/>
          <w:sz w:val="38"/>
          <w:u w:val="single" w:color="0000FF"/>
        </w:rPr>
        <w:t>Green tea</w:t>
      </w:r>
      <w:r>
        <w:rPr>
          <w:color w:val="0000FF"/>
          <w:sz w:val="38"/>
        </w:rPr>
        <w:tab/>
      </w:r>
      <w:r>
        <w:rPr>
          <w:color w:val="0000FF"/>
          <w:sz w:val="38"/>
          <w:u w:val="single" w:color="0000FF"/>
        </w:rPr>
        <w:t>587</w:t>
      </w:r>
    </w:p>
    <w:p>
      <w:pPr>
        <w:pStyle w:val="ListParagraph"/>
        <w:numPr>
          <w:ilvl w:val="1"/>
          <w:numId w:val="3"/>
        </w:numPr>
        <w:tabs>
          <w:tab w:pos="1118" w:val="left" w:leader="none"/>
          <w:tab w:pos="9281" w:val="right" w:leader="dot"/>
        </w:tabs>
        <w:spacing w:line="240" w:lineRule="auto" w:before="185" w:after="0"/>
        <w:ind w:left="1117" w:right="0" w:hanging="713"/>
        <w:jc w:val="left"/>
        <w:rPr>
          <w:sz w:val="38"/>
        </w:rPr>
      </w:pPr>
      <w:r>
        <w:rPr>
          <w:color w:val="0000FF"/>
          <w:sz w:val="38"/>
          <w:u w:val="single" w:color="0000FF"/>
        </w:rPr>
        <w:t>Colloidal gold.</w:t>
      </w:r>
      <w:r>
        <w:rPr>
          <w:color w:val="0000FF"/>
          <w:sz w:val="38"/>
        </w:rPr>
        <w:tab/>
      </w:r>
      <w:r>
        <w:rPr>
          <w:color w:val="0000FF"/>
          <w:sz w:val="38"/>
          <w:u w:val="single" w:color="0000FF"/>
        </w:rPr>
        <w:t>642</w:t>
      </w:r>
    </w:p>
    <w:p>
      <w:pPr>
        <w:pStyle w:val="ListParagraph"/>
        <w:numPr>
          <w:ilvl w:val="1"/>
          <w:numId w:val="3"/>
        </w:numPr>
        <w:tabs>
          <w:tab w:pos="1118" w:val="left" w:leader="none"/>
          <w:tab w:pos="9281" w:val="right" w:leader="dot"/>
        </w:tabs>
        <w:spacing w:line="240" w:lineRule="auto" w:before="184" w:after="0"/>
        <w:ind w:left="1117" w:right="0" w:hanging="713"/>
        <w:jc w:val="left"/>
        <w:rPr>
          <w:sz w:val="38"/>
        </w:rPr>
      </w:pPr>
      <w:r>
        <w:rPr>
          <w:color w:val="0000FF"/>
          <w:sz w:val="38"/>
          <w:u w:val="single" w:color="0000FF"/>
        </w:rPr>
        <w:t>Colloidal</w:t>
      </w:r>
      <w:r>
        <w:rPr>
          <w:color w:val="0000FF"/>
          <w:spacing w:val="-2"/>
          <w:sz w:val="38"/>
          <w:u w:val="single" w:color="0000FF"/>
        </w:rPr>
        <w:t> </w:t>
      </w:r>
      <w:r>
        <w:rPr>
          <w:color w:val="0000FF"/>
          <w:sz w:val="38"/>
          <w:u w:val="single" w:color="0000FF"/>
        </w:rPr>
        <w:t>silver</w:t>
      </w:r>
      <w:r>
        <w:rPr>
          <w:color w:val="0000FF"/>
          <w:sz w:val="38"/>
        </w:rPr>
        <w:tab/>
      </w:r>
      <w:r>
        <w:rPr>
          <w:color w:val="0000FF"/>
          <w:sz w:val="38"/>
          <w:u w:val="single" w:color="0000FF"/>
        </w:rPr>
        <w:t>685</w:t>
      </w:r>
    </w:p>
    <w:p>
      <w:pPr>
        <w:pStyle w:val="ListParagraph"/>
        <w:numPr>
          <w:ilvl w:val="1"/>
          <w:numId w:val="3"/>
        </w:numPr>
        <w:tabs>
          <w:tab w:pos="1118" w:val="left" w:leader="none"/>
          <w:tab w:pos="9252" w:val="right" w:leader="dot"/>
        </w:tabs>
        <w:spacing w:line="240" w:lineRule="auto" w:before="185" w:after="0"/>
        <w:ind w:left="1117" w:right="0" w:hanging="713"/>
        <w:jc w:val="left"/>
        <w:rPr>
          <w:sz w:val="38"/>
        </w:rPr>
      </w:pPr>
      <w:r>
        <w:rPr>
          <w:color w:val="0000FF"/>
          <w:sz w:val="38"/>
          <w:u w:val="single" w:color="0000FF"/>
        </w:rPr>
        <w:t>Kombucha…</w:t>
      </w:r>
      <w:r>
        <w:rPr>
          <w:color w:val="0000FF"/>
          <w:sz w:val="38"/>
        </w:rPr>
        <w:tab/>
      </w:r>
      <w:r>
        <w:rPr>
          <w:color w:val="0000FF"/>
          <w:sz w:val="38"/>
          <w:u w:val="single" w:color="0000FF"/>
        </w:rPr>
        <w:t>731</w:t>
      </w:r>
    </w:p>
    <w:p>
      <w:pPr>
        <w:pStyle w:val="ListParagraph"/>
        <w:numPr>
          <w:ilvl w:val="1"/>
          <w:numId w:val="3"/>
        </w:numPr>
        <w:tabs>
          <w:tab w:pos="1118" w:val="left" w:leader="none"/>
          <w:tab w:pos="9278" w:val="right" w:leader="dot"/>
        </w:tabs>
        <w:spacing w:line="240" w:lineRule="auto" w:before="184" w:after="0"/>
        <w:ind w:left="1117" w:right="0" w:hanging="713"/>
        <w:jc w:val="left"/>
        <w:rPr>
          <w:sz w:val="38"/>
        </w:rPr>
      </w:pPr>
      <w:r>
        <w:rPr>
          <w:color w:val="0000FF"/>
          <w:sz w:val="38"/>
          <w:u w:val="single" w:color="0000FF"/>
        </w:rPr>
        <w:t>Laetrile/vitamin</w:t>
      </w:r>
      <w:r>
        <w:rPr>
          <w:color w:val="0000FF"/>
          <w:spacing w:val="-2"/>
          <w:sz w:val="38"/>
          <w:u w:val="single" w:color="0000FF"/>
        </w:rPr>
        <w:t> </w:t>
      </w:r>
      <w:r>
        <w:rPr>
          <w:color w:val="0000FF"/>
          <w:sz w:val="38"/>
          <w:u w:val="single" w:color="0000FF"/>
        </w:rPr>
        <w:t>B17</w:t>
      </w:r>
      <w:r>
        <w:rPr>
          <w:color w:val="0000FF"/>
          <w:sz w:val="38"/>
        </w:rPr>
        <w:tab/>
      </w:r>
      <w:r>
        <w:rPr>
          <w:color w:val="0000FF"/>
          <w:sz w:val="38"/>
          <w:u w:val="single" w:color="0000FF"/>
        </w:rPr>
        <w:t>783</w:t>
      </w:r>
    </w:p>
    <w:p>
      <w:pPr>
        <w:pStyle w:val="ListParagraph"/>
        <w:numPr>
          <w:ilvl w:val="1"/>
          <w:numId w:val="3"/>
        </w:numPr>
        <w:tabs>
          <w:tab w:pos="1118" w:val="left" w:leader="none"/>
          <w:tab w:pos="9252" w:val="right" w:leader="dot"/>
        </w:tabs>
        <w:spacing w:line="240" w:lineRule="auto" w:before="185" w:after="0"/>
        <w:ind w:left="1117" w:right="0" w:hanging="713"/>
        <w:jc w:val="left"/>
        <w:rPr>
          <w:sz w:val="38"/>
        </w:rPr>
      </w:pPr>
      <w:r>
        <w:rPr>
          <w:color w:val="0000FF"/>
          <w:sz w:val="38"/>
          <w:u w:val="single" w:color="0000FF"/>
        </w:rPr>
        <w:t>Lapacho</w:t>
      </w:r>
      <w:r>
        <w:rPr>
          <w:color w:val="0000FF"/>
          <w:spacing w:val="-2"/>
          <w:sz w:val="38"/>
          <w:u w:val="single" w:color="0000FF"/>
        </w:rPr>
        <w:t> </w:t>
      </w:r>
      <w:r>
        <w:rPr>
          <w:color w:val="0000FF"/>
          <w:sz w:val="38"/>
          <w:u w:val="single" w:color="0000FF"/>
        </w:rPr>
        <w:t>tea.</w:t>
      </w:r>
      <w:r>
        <w:rPr>
          <w:color w:val="0000FF"/>
          <w:sz w:val="38"/>
        </w:rPr>
        <w:tab/>
      </w:r>
      <w:r>
        <w:rPr>
          <w:color w:val="0000FF"/>
          <w:sz w:val="38"/>
          <w:u w:val="single" w:color="0000FF"/>
        </w:rPr>
        <w:t>815</w:t>
      </w:r>
    </w:p>
    <w:p>
      <w:pPr>
        <w:pStyle w:val="ListParagraph"/>
        <w:numPr>
          <w:ilvl w:val="1"/>
          <w:numId w:val="3"/>
        </w:numPr>
        <w:tabs>
          <w:tab w:pos="1118" w:val="left" w:leader="none"/>
          <w:tab w:pos="9254" w:val="right" w:leader="dot"/>
        </w:tabs>
        <w:spacing w:line="240" w:lineRule="auto" w:before="182" w:after="0"/>
        <w:ind w:left="1117" w:right="0" w:hanging="713"/>
        <w:jc w:val="left"/>
        <w:rPr>
          <w:sz w:val="38"/>
        </w:rPr>
      </w:pPr>
      <w:r>
        <w:rPr>
          <w:color w:val="0000FF"/>
          <w:sz w:val="38"/>
          <w:u w:val="single" w:color="0000FF"/>
        </w:rPr>
        <w:t>Acetyl</w:t>
      </w:r>
      <w:r>
        <w:rPr>
          <w:color w:val="0000FF"/>
          <w:spacing w:val="1"/>
          <w:sz w:val="38"/>
          <w:u w:val="single" w:color="0000FF"/>
        </w:rPr>
        <w:t> </w:t>
      </w:r>
      <w:r>
        <w:rPr>
          <w:color w:val="0000FF"/>
          <w:sz w:val="38"/>
          <w:u w:val="single" w:color="0000FF"/>
        </w:rPr>
        <w:t>L-carnitine</w:t>
      </w:r>
      <w:r>
        <w:rPr>
          <w:color w:val="0000FF"/>
          <w:sz w:val="38"/>
        </w:rPr>
        <w:tab/>
      </w:r>
      <w:r>
        <w:rPr>
          <w:color w:val="0000FF"/>
          <w:sz w:val="38"/>
          <w:u w:val="single" w:color="0000FF"/>
        </w:rPr>
        <w:t>866</w:t>
      </w:r>
    </w:p>
    <w:p>
      <w:pPr>
        <w:pStyle w:val="ListParagraph"/>
        <w:numPr>
          <w:ilvl w:val="1"/>
          <w:numId w:val="3"/>
        </w:numPr>
        <w:tabs>
          <w:tab w:pos="1118" w:val="left" w:leader="none"/>
          <w:tab w:pos="9293" w:val="right" w:leader="dot"/>
        </w:tabs>
        <w:spacing w:line="240" w:lineRule="auto" w:before="185" w:after="0"/>
        <w:ind w:left="1117" w:right="0" w:hanging="713"/>
        <w:jc w:val="left"/>
        <w:rPr>
          <w:sz w:val="38"/>
        </w:rPr>
      </w:pPr>
      <w:r>
        <w:rPr>
          <w:color w:val="0000FF"/>
          <w:sz w:val="38"/>
          <w:u w:val="single" w:color="0000FF"/>
        </w:rPr>
        <w:t>L-carnosine.</w:t>
      </w:r>
      <w:r>
        <w:rPr>
          <w:color w:val="0000FF"/>
          <w:sz w:val="38"/>
        </w:rPr>
        <w:tab/>
      </w:r>
      <w:r>
        <w:rPr>
          <w:color w:val="0000FF"/>
          <w:sz w:val="38"/>
          <w:u w:val="single" w:color="0000FF"/>
        </w:rPr>
        <w:t>924</w:t>
      </w:r>
    </w:p>
    <w:p>
      <w:pPr>
        <w:pStyle w:val="ListParagraph"/>
        <w:numPr>
          <w:ilvl w:val="1"/>
          <w:numId w:val="3"/>
        </w:numPr>
        <w:tabs>
          <w:tab w:pos="1118" w:val="left" w:leader="none"/>
          <w:tab w:pos="9305" w:val="right" w:leader="dot"/>
        </w:tabs>
        <w:spacing w:line="240" w:lineRule="auto" w:before="187" w:after="0"/>
        <w:ind w:left="1117" w:right="0" w:hanging="713"/>
        <w:jc w:val="left"/>
        <w:rPr>
          <w:sz w:val="38"/>
        </w:rPr>
      </w:pPr>
      <w:r>
        <w:rPr>
          <w:color w:val="0000FF"/>
          <w:sz w:val="38"/>
          <w:u w:val="single" w:color="0000FF"/>
        </w:rPr>
        <w:t>Melatonin.</w:t>
      </w:r>
      <w:r>
        <w:rPr>
          <w:color w:val="0000FF"/>
          <w:sz w:val="38"/>
        </w:rPr>
        <w:tab/>
      </w:r>
      <w:r>
        <w:rPr>
          <w:color w:val="0000FF"/>
          <w:sz w:val="38"/>
          <w:u w:val="single" w:color="0000FF"/>
        </w:rPr>
        <w:t>954</w:t>
      </w:r>
    </w:p>
    <w:p>
      <w:pPr>
        <w:pStyle w:val="BodyText"/>
        <w:tabs>
          <w:tab w:pos="9352" w:val="right" w:leader="dot"/>
        </w:tabs>
        <w:spacing w:before="264"/>
        <w:ind w:left="404"/>
      </w:pPr>
      <w:r>
        <w:rPr/>
        <w:t>3.24 </w:t>
      </w:r>
      <w:r>
        <w:rPr>
          <w:color w:val="0000FF"/>
          <w:u w:val="single" w:color="0000FF"/>
        </w:rPr>
        <w:t>MMS…</w:t>
      </w:r>
      <w:r>
        <w:rPr>
          <w:color w:val="0000FF"/>
        </w:rPr>
        <w:tab/>
      </w:r>
      <w:r>
        <w:rPr>
          <w:color w:val="0000FF"/>
          <w:u w:val="single" w:color="0000FF"/>
        </w:rPr>
        <w:t>1006</w:t>
      </w:r>
    </w:p>
    <w:p>
      <w:pPr>
        <w:pStyle w:val="ListParagraph"/>
        <w:numPr>
          <w:ilvl w:val="1"/>
          <w:numId w:val="4"/>
        </w:numPr>
        <w:tabs>
          <w:tab w:pos="1118" w:val="left" w:leader="none"/>
          <w:tab w:pos="9343" w:val="right" w:leader="dot"/>
        </w:tabs>
        <w:spacing w:line="240" w:lineRule="auto" w:before="266" w:after="0"/>
        <w:ind w:left="1117" w:right="0" w:hanging="713"/>
        <w:jc w:val="left"/>
        <w:rPr>
          <w:sz w:val="38"/>
        </w:rPr>
      </w:pPr>
      <w:r>
        <w:rPr>
          <w:color w:val="0000FF"/>
          <w:sz w:val="38"/>
          <w:u w:val="single" w:color="0000FF"/>
        </w:rPr>
        <w:t>Omega 3</w:t>
      </w:r>
      <w:r>
        <w:rPr>
          <w:color w:val="0000FF"/>
          <w:spacing w:val="-3"/>
          <w:sz w:val="38"/>
          <w:u w:val="single" w:color="0000FF"/>
        </w:rPr>
        <w:t> </w:t>
      </w:r>
      <w:r>
        <w:rPr>
          <w:color w:val="0000FF"/>
          <w:sz w:val="38"/>
          <w:u w:val="single" w:color="0000FF"/>
        </w:rPr>
        <w:t>fatty acids…</w:t>
      </w:r>
      <w:r>
        <w:rPr>
          <w:color w:val="0000FF"/>
          <w:sz w:val="38"/>
        </w:rPr>
        <w:tab/>
      </w:r>
      <w:r>
        <w:rPr>
          <w:color w:val="0000FF"/>
          <w:sz w:val="38"/>
          <w:u w:val="single" w:color="0000FF"/>
        </w:rPr>
        <w:t>1036</w:t>
      </w:r>
    </w:p>
    <w:p>
      <w:pPr>
        <w:pStyle w:val="ListParagraph"/>
        <w:numPr>
          <w:ilvl w:val="1"/>
          <w:numId w:val="4"/>
        </w:numPr>
        <w:tabs>
          <w:tab w:pos="1118" w:val="left" w:leader="none"/>
          <w:tab w:pos="9302" w:val="right" w:leader="dot"/>
        </w:tabs>
        <w:spacing w:line="240" w:lineRule="auto" w:before="263" w:after="0"/>
        <w:ind w:left="1117" w:right="0" w:hanging="713"/>
        <w:jc w:val="left"/>
        <w:rPr>
          <w:sz w:val="38"/>
        </w:rPr>
      </w:pPr>
      <w:r>
        <w:rPr>
          <w:color w:val="0000FF"/>
          <w:sz w:val="38"/>
          <w:u w:val="single" w:color="0000FF"/>
        </w:rPr>
        <w:t>OPC</w:t>
      </w:r>
      <w:r>
        <w:rPr>
          <w:color w:val="0000FF"/>
          <w:spacing w:val="-3"/>
          <w:sz w:val="38"/>
          <w:u w:val="single" w:color="0000FF"/>
        </w:rPr>
        <w:t> </w:t>
      </w:r>
      <w:r>
        <w:rPr>
          <w:color w:val="0000FF"/>
          <w:sz w:val="38"/>
          <w:u w:val="single" w:color="0000FF"/>
        </w:rPr>
        <w:t>(Vitamin</w:t>
      </w:r>
      <w:r>
        <w:rPr>
          <w:color w:val="0000FF"/>
          <w:spacing w:val="1"/>
          <w:sz w:val="38"/>
          <w:u w:val="single" w:color="0000FF"/>
        </w:rPr>
        <w:t> </w:t>
      </w:r>
      <w:r>
        <w:rPr>
          <w:color w:val="0000FF"/>
          <w:sz w:val="38"/>
          <w:u w:val="single" w:color="0000FF"/>
        </w:rPr>
        <w:t>P)…</w:t>
      </w:r>
      <w:r>
        <w:rPr>
          <w:color w:val="0000FF"/>
          <w:sz w:val="38"/>
        </w:rPr>
        <w:tab/>
      </w:r>
      <w:r>
        <w:rPr>
          <w:color w:val="0000FF"/>
          <w:sz w:val="38"/>
          <w:u w:val="single" w:color="0000FF"/>
        </w:rPr>
        <w:t>1094</w:t>
      </w:r>
    </w:p>
    <w:p>
      <w:pPr>
        <w:pStyle w:val="ListParagraph"/>
        <w:numPr>
          <w:ilvl w:val="1"/>
          <w:numId w:val="4"/>
        </w:numPr>
        <w:tabs>
          <w:tab w:pos="1118" w:val="left" w:leader="none"/>
          <w:tab w:pos="9369" w:val="right" w:leader="dot"/>
        </w:tabs>
        <w:spacing w:line="240" w:lineRule="auto" w:before="264" w:after="0"/>
        <w:ind w:left="1117" w:right="0" w:hanging="713"/>
        <w:jc w:val="left"/>
        <w:rPr>
          <w:sz w:val="38"/>
        </w:rPr>
      </w:pPr>
      <w:r>
        <w:rPr>
          <w:color w:val="0000FF"/>
          <w:sz w:val="38"/>
          <w:u w:val="single" w:color="0000FF"/>
        </w:rPr>
        <w:t>Organic</w:t>
      </w:r>
      <w:r>
        <w:rPr>
          <w:color w:val="0000FF"/>
          <w:spacing w:val="-2"/>
          <w:sz w:val="38"/>
          <w:u w:val="single" w:color="0000FF"/>
        </w:rPr>
        <w:t> </w:t>
      </w:r>
      <w:r>
        <w:rPr>
          <w:color w:val="0000FF"/>
          <w:sz w:val="38"/>
          <w:u w:val="single" w:color="0000FF"/>
        </w:rPr>
        <w:t>germanium…</w:t>
      </w:r>
      <w:r>
        <w:rPr>
          <w:color w:val="0000FF"/>
          <w:sz w:val="38"/>
        </w:rPr>
        <w:tab/>
      </w:r>
      <w:r>
        <w:rPr>
          <w:color w:val="0000FF"/>
          <w:sz w:val="38"/>
          <w:u w:val="single" w:color="0000FF"/>
        </w:rPr>
        <w:t>1152</w:t>
      </w:r>
    </w:p>
    <w:p>
      <w:pPr>
        <w:pStyle w:val="ListParagraph"/>
        <w:numPr>
          <w:ilvl w:val="1"/>
          <w:numId w:val="4"/>
        </w:numPr>
        <w:tabs>
          <w:tab w:pos="1118" w:val="left" w:leader="none"/>
          <w:tab w:pos="9400" w:val="right" w:leader="dot"/>
        </w:tabs>
        <w:spacing w:line="240" w:lineRule="auto" w:before="264" w:after="0"/>
        <w:ind w:left="1117" w:right="0" w:hanging="713"/>
        <w:jc w:val="left"/>
        <w:rPr>
          <w:sz w:val="38"/>
        </w:rPr>
      </w:pPr>
      <w:r>
        <w:rPr>
          <w:color w:val="0000FF"/>
          <w:sz w:val="38"/>
          <w:u w:val="single" w:color="0000FF"/>
        </w:rPr>
        <w:t>Papaya/Papain…</w:t>
      </w:r>
      <w:r>
        <w:rPr>
          <w:color w:val="0000FF"/>
          <w:sz w:val="38"/>
        </w:rPr>
        <w:tab/>
      </w:r>
      <w:r>
        <w:rPr>
          <w:color w:val="0000FF"/>
          <w:sz w:val="38"/>
          <w:u w:val="single" w:color="0000FF"/>
        </w:rPr>
        <w:t>1188</w:t>
      </w:r>
    </w:p>
    <w:p>
      <w:pPr>
        <w:pStyle w:val="ListParagraph"/>
        <w:numPr>
          <w:ilvl w:val="1"/>
          <w:numId w:val="4"/>
        </w:numPr>
        <w:tabs>
          <w:tab w:pos="1118" w:val="left" w:leader="none"/>
          <w:tab w:pos="9389" w:val="right" w:leader="dot"/>
        </w:tabs>
        <w:spacing w:line="240" w:lineRule="auto" w:before="264" w:after="0"/>
        <w:ind w:left="1117" w:right="0" w:hanging="713"/>
        <w:jc w:val="left"/>
        <w:rPr>
          <w:sz w:val="38"/>
        </w:rPr>
      </w:pPr>
      <w:r>
        <w:rPr>
          <w:color w:val="0000FF"/>
          <w:sz w:val="38"/>
          <w:u w:val="single" w:color="0000FF"/>
        </w:rPr>
        <w:t>Propolis</w:t>
      </w:r>
      <w:r>
        <w:rPr>
          <w:color w:val="0000FF"/>
          <w:sz w:val="38"/>
        </w:rPr>
        <w:tab/>
      </w:r>
      <w:r>
        <w:rPr>
          <w:color w:val="0000FF"/>
          <w:sz w:val="38"/>
          <w:u w:val="single" w:color="0000FF"/>
        </w:rPr>
        <w:t>1232</w:t>
      </w:r>
    </w:p>
    <w:p>
      <w:pPr>
        <w:pStyle w:val="ListParagraph"/>
        <w:numPr>
          <w:ilvl w:val="1"/>
          <w:numId w:val="4"/>
        </w:numPr>
        <w:tabs>
          <w:tab w:pos="1118" w:val="left" w:leader="none"/>
          <w:tab w:pos="9362" w:val="right" w:leader="dot"/>
        </w:tabs>
        <w:spacing w:line="240" w:lineRule="auto" w:before="264" w:after="0"/>
        <w:ind w:left="1117" w:right="0" w:hanging="713"/>
        <w:jc w:val="left"/>
        <w:rPr>
          <w:sz w:val="38"/>
        </w:rPr>
      </w:pPr>
      <w:r>
        <w:rPr>
          <w:color w:val="0000FF"/>
          <w:sz w:val="38"/>
          <w:u w:val="single" w:color="0000FF"/>
        </w:rPr>
        <w:t>Royal</w:t>
      </w:r>
      <w:r>
        <w:rPr>
          <w:color w:val="0000FF"/>
          <w:spacing w:val="-2"/>
          <w:sz w:val="38"/>
          <w:u w:val="single" w:color="0000FF"/>
        </w:rPr>
        <w:t> </w:t>
      </w:r>
      <w:r>
        <w:rPr>
          <w:color w:val="0000FF"/>
          <w:sz w:val="38"/>
          <w:u w:val="single" w:color="0000FF"/>
        </w:rPr>
        <w:t>jelly</w:t>
      </w:r>
      <w:r>
        <w:rPr>
          <w:color w:val="0000FF"/>
          <w:sz w:val="38"/>
        </w:rPr>
        <w:tab/>
      </w:r>
      <w:r>
        <w:rPr>
          <w:color w:val="0000FF"/>
          <w:sz w:val="38"/>
          <w:u w:val="single" w:color="0000FF"/>
        </w:rPr>
        <w:t>1268</w:t>
      </w:r>
    </w:p>
    <w:p>
      <w:pPr>
        <w:pStyle w:val="BodyText"/>
        <w:tabs>
          <w:tab w:pos="9400" w:val="right" w:leader="dot"/>
        </w:tabs>
        <w:spacing w:before="266"/>
        <w:ind w:left="404"/>
      </w:pPr>
      <w:r>
        <w:rPr/>
        <w:t>3.31 </w:t>
      </w:r>
      <w:r>
        <w:rPr>
          <w:color w:val="0000FF"/>
          <w:u w:val="single" w:color="0000FF"/>
        </w:rPr>
        <w:t>Q10/Coenzyme</w:t>
      </w:r>
      <w:r>
        <w:rPr>
          <w:color w:val="0000FF"/>
          <w:spacing w:val="3"/>
          <w:u w:val="single" w:color="0000FF"/>
        </w:rPr>
        <w:t> </w:t>
      </w:r>
      <w:r>
        <w:rPr>
          <w:color w:val="0000FF"/>
          <w:u w:val="single" w:color="0000FF"/>
        </w:rPr>
        <w:t>Q10…</w:t>
      </w:r>
      <w:r>
        <w:rPr>
          <w:color w:val="0000FF"/>
        </w:rPr>
        <w:tab/>
      </w:r>
      <w:r>
        <w:rPr>
          <w:color w:val="0000FF"/>
          <w:u w:val="single" w:color="0000FF"/>
        </w:rPr>
        <w:t>1284</w:t>
      </w:r>
    </w:p>
    <w:p>
      <w:pPr>
        <w:pStyle w:val="ListParagraph"/>
        <w:numPr>
          <w:ilvl w:val="1"/>
          <w:numId w:val="5"/>
        </w:numPr>
        <w:tabs>
          <w:tab w:pos="1118" w:val="left" w:leader="none"/>
          <w:tab w:pos="9399" w:val="right" w:leader="dot"/>
        </w:tabs>
        <w:spacing w:line="240" w:lineRule="auto" w:before="264" w:after="0"/>
        <w:ind w:left="1117" w:right="0" w:hanging="713"/>
        <w:jc w:val="left"/>
        <w:rPr>
          <w:sz w:val="38"/>
        </w:rPr>
      </w:pPr>
      <w:r>
        <w:rPr>
          <w:color w:val="0000FF"/>
          <w:sz w:val="38"/>
          <w:u w:val="single" w:color="0000FF"/>
        </w:rPr>
        <w:t>Resveratrol…</w:t>
      </w:r>
      <w:r>
        <w:rPr>
          <w:color w:val="0000FF"/>
          <w:sz w:val="38"/>
        </w:rPr>
        <w:tab/>
      </w:r>
      <w:r>
        <w:rPr>
          <w:color w:val="0000FF"/>
          <w:sz w:val="38"/>
          <w:u w:val="single" w:color="0000FF"/>
        </w:rPr>
        <w:t>1340</w:t>
      </w:r>
    </w:p>
    <w:p>
      <w:pPr>
        <w:spacing w:after="0" w:line="240" w:lineRule="auto"/>
        <w:jc w:val="left"/>
        <w:rPr>
          <w:sz w:val="38"/>
        </w:rPr>
        <w:sectPr>
          <w:pgSz w:w="14260" w:h="16840"/>
          <w:pgMar w:header="0" w:footer="402" w:top="1320" w:bottom="2280" w:left="1300" w:right="1297"/>
        </w:sectPr>
      </w:pPr>
    </w:p>
    <w:p>
      <w:pPr>
        <w:pStyle w:val="ListParagraph"/>
        <w:numPr>
          <w:ilvl w:val="1"/>
          <w:numId w:val="5"/>
        </w:numPr>
        <w:tabs>
          <w:tab w:pos="1118" w:val="left" w:leader="none"/>
          <w:tab w:pos="9516" w:val="right" w:leader="dot"/>
        </w:tabs>
        <w:spacing w:line="240" w:lineRule="auto" w:before="77" w:after="0"/>
        <w:ind w:left="1117" w:right="0" w:hanging="713"/>
        <w:jc w:val="left"/>
        <w:rPr>
          <w:sz w:val="38"/>
        </w:rPr>
      </w:pPr>
      <w:r>
        <w:rPr>
          <w:color w:val="0000FF"/>
          <w:sz w:val="38"/>
          <w:u w:val="single" w:color="0000FF"/>
        </w:rPr>
        <w:t>Rooibos/redbush</w:t>
      </w:r>
      <w:r>
        <w:rPr>
          <w:color w:val="0000FF"/>
          <w:sz w:val="38"/>
        </w:rPr>
        <w:tab/>
      </w:r>
      <w:r>
        <w:rPr>
          <w:color w:val="0000FF"/>
          <w:sz w:val="38"/>
          <w:u w:val="single" w:color="0000FF"/>
        </w:rPr>
        <w:t>1370</w:t>
      </w:r>
    </w:p>
    <w:p>
      <w:pPr>
        <w:pStyle w:val="ListParagraph"/>
        <w:numPr>
          <w:ilvl w:val="1"/>
          <w:numId w:val="5"/>
        </w:numPr>
        <w:tabs>
          <w:tab w:pos="1118" w:val="left" w:leader="none"/>
          <w:tab w:pos="9501" w:val="right" w:leader="dot"/>
        </w:tabs>
        <w:spacing w:line="240" w:lineRule="auto" w:before="266" w:after="0"/>
        <w:ind w:left="1117" w:right="0" w:hanging="713"/>
        <w:jc w:val="left"/>
        <w:rPr>
          <w:sz w:val="38"/>
        </w:rPr>
      </w:pPr>
      <w:r>
        <w:rPr>
          <w:color w:val="0000FF"/>
          <w:sz w:val="38"/>
          <w:u w:val="single" w:color="0000FF"/>
        </w:rPr>
        <w:t>Selenium…</w:t>
      </w:r>
      <w:r>
        <w:rPr>
          <w:color w:val="0000FF"/>
          <w:sz w:val="38"/>
        </w:rPr>
        <w:tab/>
      </w:r>
      <w:r>
        <w:rPr>
          <w:color w:val="0000FF"/>
          <w:sz w:val="38"/>
          <w:u w:val="single" w:color="0000FF"/>
        </w:rPr>
        <w:t>1405</w:t>
      </w:r>
    </w:p>
    <w:p>
      <w:pPr>
        <w:pStyle w:val="ListParagraph"/>
        <w:numPr>
          <w:ilvl w:val="1"/>
          <w:numId w:val="5"/>
        </w:numPr>
        <w:tabs>
          <w:tab w:pos="830" w:val="left" w:leader="none"/>
          <w:tab w:pos="9504" w:val="right" w:leader="dot"/>
        </w:tabs>
        <w:spacing w:line="240" w:lineRule="auto" w:before="263" w:after="0"/>
        <w:ind w:left="829" w:right="0" w:hanging="713"/>
        <w:jc w:val="left"/>
        <w:rPr>
          <w:sz w:val="38"/>
        </w:rPr>
      </w:pPr>
      <w:r>
        <w:rPr>
          <w:color w:val="0000FF"/>
          <w:sz w:val="38"/>
          <w:u w:val="single" w:color="0000FF"/>
        </w:rPr>
        <w:t>Silicon/silica…</w:t>
      </w:r>
      <w:r>
        <w:rPr>
          <w:color w:val="0000FF"/>
          <w:sz w:val="38"/>
        </w:rPr>
        <w:tab/>
      </w:r>
      <w:r>
        <w:rPr>
          <w:color w:val="0000FF"/>
          <w:sz w:val="38"/>
          <w:u w:val="single" w:color="0000FF"/>
        </w:rPr>
        <w:t>1460</w:t>
      </w:r>
    </w:p>
    <w:p>
      <w:pPr>
        <w:pStyle w:val="ListParagraph"/>
        <w:numPr>
          <w:ilvl w:val="1"/>
          <w:numId w:val="5"/>
        </w:numPr>
        <w:tabs>
          <w:tab w:pos="830" w:val="left" w:leader="none"/>
          <w:tab w:pos="9509" w:val="right" w:leader="dot"/>
        </w:tabs>
        <w:spacing w:line="240" w:lineRule="auto" w:before="264" w:after="0"/>
        <w:ind w:left="829" w:right="0" w:hanging="713"/>
        <w:jc w:val="left"/>
        <w:rPr>
          <w:sz w:val="38"/>
        </w:rPr>
      </w:pPr>
      <w:r>
        <w:rPr>
          <w:color w:val="0000FF"/>
          <w:sz w:val="38"/>
          <w:u w:val="single" w:color="0000FF"/>
        </w:rPr>
        <w:t>Spirulina platensis</w:t>
      </w:r>
      <w:r>
        <w:rPr>
          <w:color w:val="0000FF"/>
          <w:sz w:val="38"/>
        </w:rPr>
        <w:tab/>
      </w:r>
      <w:r>
        <w:rPr>
          <w:color w:val="0000FF"/>
          <w:sz w:val="38"/>
          <w:u w:val="single" w:color="0000FF"/>
        </w:rPr>
        <w:t>1515</w:t>
      </w:r>
    </w:p>
    <w:p>
      <w:pPr>
        <w:pStyle w:val="ListParagraph"/>
        <w:numPr>
          <w:ilvl w:val="1"/>
          <w:numId w:val="5"/>
        </w:numPr>
        <w:tabs>
          <w:tab w:pos="830" w:val="left" w:leader="none"/>
          <w:tab w:pos="9456" w:val="right" w:leader="dot"/>
        </w:tabs>
        <w:spacing w:line="240" w:lineRule="auto" w:before="264" w:after="0"/>
        <w:ind w:left="829" w:right="0" w:hanging="713"/>
        <w:jc w:val="left"/>
        <w:rPr>
          <w:sz w:val="38"/>
        </w:rPr>
      </w:pPr>
      <w:r>
        <w:rPr>
          <w:color w:val="0000FF"/>
          <w:sz w:val="38"/>
          <w:u w:val="single" w:color="0000FF"/>
        </w:rPr>
        <w:t>Stevia…</w:t>
      </w:r>
      <w:r>
        <w:rPr>
          <w:color w:val="0000FF"/>
          <w:sz w:val="38"/>
        </w:rPr>
        <w:tab/>
      </w:r>
      <w:r>
        <w:rPr>
          <w:color w:val="0000FF"/>
          <w:sz w:val="38"/>
          <w:u w:val="single" w:color="0000FF"/>
        </w:rPr>
        <w:t>1571</w:t>
      </w:r>
    </w:p>
    <w:p>
      <w:pPr>
        <w:pStyle w:val="BodyText"/>
        <w:spacing w:before="264"/>
        <w:ind w:left="116"/>
        <w:jc w:val="both"/>
      </w:pPr>
      <w:r>
        <w:rPr/>
        <w:t>3.38 </w:t>
      </w:r>
      <w:r>
        <w:rPr>
          <w:color w:val="0000FF"/>
          <w:u w:val="single" w:color="0000FF"/>
        </w:rPr>
        <w:t>Strophanthin………………………..………….……1615</w:t>
      </w:r>
    </w:p>
    <w:p>
      <w:pPr>
        <w:pStyle w:val="BodyText"/>
        <w:spacing w:line="388" w:lineRule="auto" w:before="264"/>
        <w:ind w:left="116" w:right="2185"/>
        <w:jc w:val="both"/>
      </w:pPr>
      <w:r>
        <w:rPr/>
        <w:t>3.39</w:t>
      </w:r>
      <w:r>
        <w:rPr>
          <w:color w:val="0000FF"/>
        </w:rPr>
        <w:t> </w:t>
      </w:r>
      <w:r>
        <w:rPr>
          <w:color w:val="0000FF"/>
          <w:u w:val="single" w:color="0000FF"/>
        </w:rPr>
        <w:t>Edible mushrooms/medicinal mushrooms……...…...1659</w:t>
      </w:r>
      <w:r>
        <w:rPr/>
        <w:t> 3.40</w:t>
      </w:r>
      <w:r>
        <w:rPr>
          <w:color w:val="0000FF"/>
        </w:rPr>
        <w:t> </w:t>
      </w:r>
      <w:r>
        <w:rPr>
          <w:color w:val="0000FF"/>
          <w:u w:val="single" w:color="0000FF"/>
        </w:rPr>
        <w:t>Vitamin</w:t>
      </w:r>
      <w:r>
        <w:rPr>
          <w:color w:val="0000FF"/>
          <w:spacing w:val="-12"/>
          <w:u w:val="single" w:color="0000FF"/>
        </w:rPr>
        <w:t> </w:t>
      </w:r>
      <w:r>
        <w:rPr>
          <w:color w:val="0000FF"/>
          <w:u w:val="single" w:color="0000FF"/>
        </w:rPr>
        <w:t>C……………………………..….………….1720</w:t>
      </w:r>
    </w:p>
    <w:p>
      <w:pPr>
        <w:pStyle w:val="BodyText"/>
        <w:spacing w:line="410" w:lineRule="auto"/>
        <w:ind w:left="116" w:right="2151"/>
        <w:jc w:val="both"/>
      </w:pPr>
      <w:r>
        <w:rPr/>
        <w:t>3.41</w:t>
      </w:r>
      <w:r>
        <w:rPr>
          <w:color w:val="0000FF"/>
        </w:rPr>
        <w:t> </w:t>
      </w:r>
      <w:r>
        <w:rPr>
          <w:color w:val="0000FF"/>
          <w:u w:val="single" w:color="0000FF"/>
        </w:rPr>
        <w:t>Guidance for deacidification/detoxication….……..…1777</w:t>
      </w:r>
      <w:r>
        <w:rPr/>
        <w:t> </w:t>
      </w:r>
      <w:r>
        <w:rPr>
          <w:b/>
        </w:rPr>
        <w:t>4.</w:t>
      </w:r>
      <w:r>
        <w:rPr>
          <w:b/>
          <w:color w:val="0000FF"/>
        </w:rPr>
        <w:t> </w:t>
      </w:r>
      <w:r>
        <w:rPr>
          <w:color w:val="0000FF"/>
          <w:u w:val="single" w:color="0000FF"/>
        </w:rPr>
        <w:t>Sources...……………………….……………………... 1886</w:t>
      </w:r>
      <w:r>
        <w:rPr/>
        <w:t> 5.</w:t>
      </w:r>
      <w:r>
        <w:rPr>
          <w:color w:val="0000FF"/>
        </w:rPr>
        <w:t> </w:t>
      </w:r>
      <w:r>
        <w:rPr>
          <w:color w:val="0000FF"/>
          <w:u w:val="single" w:color="0000FF"/>
        </w:rPr>
        <w:t>Index by</w:t>
      </w:r>
      <w:r>
        <w:rPr>
          <w:color w:val="0000FF"/>
          <w:spacing w:val="-25"/>
          <w:u w:val="single" w:color="0000FF"/>
        </w:rPr>
        <w:t> </w:t>
      </w:r>
      <w:r>
        <w:rPr>
          <w:color w:val="0000FF"/>
          <w:u w:val="single" w:color="0000FF"/>
        </w:rPr>
        <w:t>disease.......................................................................1887</w:t>
      </w:r>
    </w:p>
    <w:p>
      <w:pPr>
        <w:pStyle w:val="BodyText"/>
        <w:spacing w:line="388" w:lineRule="exact"/>
        <w:ind w:left="116"/>
        <w:jc w:val="both"/>
      </w:pPr>
      <w:r>
        <w:rPr/>
        <w:t>6.</w:t>
      </w:r>
      <w:r>
        <w:rPr>
          <w:color w:val="0000FF"/>
        </w:rPr>
        <w:t> </w:t>
      </w:r>
      <w:r>
        <w:rPr>
          <w:color w:val="0000FF"/>
          <w:u w:val="single" w:color="0000FF"/>
        </w:rPr>
        <w:t>Affiliate partner</w:t>
      </w:r>
      <w:r>
        <w:rPr>
          <w:color w:val="0000FF"/>
          <w:spacing w:val="-20"/>
          <w:u w:val="single" w:color="0000FF"/>
        </w:rPr>
        <w:t> </w:t>
      </w:r>
      <w:r>
        <w:rPr>
          <w:color w:val="0000FF"/>
          <w:u w:val="single" w:color="0000FF"/>
        </w:rPr>
        <w:t>program…………………………….....1900</w:t>
      </w:r>
    </w:p>
    <w:p>
      <w:pPr>
        <w:pStyle w:val="BodyText"/>
        <w:rPr>
          <w:sz w:val="20"/>
        </w:rPr>
      </w:pPr>
    </w:p>
    <w:p>
      <w:pPr>
        <w:pStyle w:val="BodyText"/>
        <w:rPr>
          <w:sz w:val="20"/>
        </w:rPr>
      </w:pPr>
    </w:p>
    <w:p>
      <w:pPr>
        <w:pStyle w:val="BodyText"/>
        <w:rPr>
          <w:sz w:val="20"/>
        </w:rPr>
      </w:pPr>
    </w:p>
    <w:p>
      <w:pPr>
        <w:pStyle w:val="BodyText"/>
        <w:rPr>
          <w:sz w:val="20"/>
        </w:rPr>
      </w:pPr>
    </w:p>
    <w:p>
      <w:pPr>
        <w:spacing w:before="255"/>
        <w:ind w:left="116" w:right="0" w:firstLine="0"/>
        <w:jc w:val="left"/>
        <w:rPr>
          <w:rFonts w:ascii="Cambria"/>
          <w:b/>
          <w:sz w:val="28"/>
        </w:rPr>
      </w:pPr>
      <w:r>
        <w:rPr>
          <w:rFonts w:ascii="Cambria"/>
          <w:b/>
          <w:color w:val="365F91"/>
          <w:sz w:val="28"/>
        </w:rPr>
        <w:t>1 INTRODUCTION</w:t>
      </w:r>
    </w:p>
    <w:p>
      <w:pPr>
        <w:pStyle w:val="BodyText"/>
        <w:spacing w:before="2"/>
        <w:rPr>
          <w:rFonts w:ascii="Cambria"/>
          <w:b/>
          <w:sz w:val="46"/>
        </w:rPr>
      </w:pPr>
    </w:p>
    <w:p>
      <w:pPr>
        <w:pStyle w:val="Heading2"/>
        <w:ind w:left="116"/>
      </w:pPr>
      <w:r>
        <w:rPr/>
        <w:t>‘The Book of Humanity’</w:t>
      </w:r>
    </w:p>
    <w:p>
      <w:pPr>
        <w:pStyle w:val="BodyText"/>
        <w:spacing w:line="276" w:lineRule="auto" w:before="62"/>
        <w:ind w:left="116"/>
      </w:pPr>
      <w:r>
        <w:rPr/>
        <w:t>What is a Codex Humanus and who, may I ask, needs such a thing? Codex Humanus,</w:t>
      </w:r>
      <w:r>
        <w:rPr>
          <w:spacing w:val="-17"/>
        </w:rPr>
        <w:t> </w:t>
      </w:r>
      <w:r>
        <w:rPr/>
        <w:t>translated</w:t>
      </w:r>
      <w:r>
        <w:rPr>
          <w:spacing w:val="-18"/>
        </w:rPr>
        <w:t> </w:t>
      </w:r>
      <w:r>
        <w:rPr/>
        <w:t>as</w:t>
      </w:r>
      <w:r>
        <w:rPr>
          <w:spacing w:val="-16"/>
        </w:rPr>
        <w:t> </w:t>
      </w:r>
      <w:r>
        <w:rPr/>
        <w:t>‘The</w:t>
      </w:r>
      <w:r>
        <w:rPr>
          <w:spacing w:val="-18"/>
        </w:rPr>
        <w:t> </w:t>
      </w:r>
      <w:r>
        <w:rPr/>
        <w:t>Book</w:t>
      </w:r>
      <w:r>
        <w:rPr>
          <w:spacing w:val="-19"/>
        </w:rPr>
        <w:t> </w:t>
      </w:r>
      <w:r>
        <w:rPr/>
        <w:t>of</w:t>
      </w:r>
      <w:r>
        <w:rPr>
          <w:spacing w:val="-15"/>
        </w:rPr>
        <w:t> </w:t>
      </w:r>
      <w:r>
        <w:rPr/>
        <w:t>Humanity’,</w:t>
      </w:r>
      <w:r>
        <w:rPr>
          <w:spacing w:val="-19"/>
        </w:rPr>
        <w:t> </w:t>
      </w:r>
      <w:r>
        <w:rPr/>
        <w:t>or</w:t>
      </w:r>
      <w:r>
        <w:rPr>
          <w:spacing w:val="-17"/>
        </w:rPr>
        <w:t> </w:t>
      </w:r>
      <w:r>
        <w:rPr/>
        <w:t>‘The</w:t>
      </w:r>
      <w:r>
        <w:rPr>
          <w:spacing w:val="-16"/>
        </w:rPr>
        <w:t> </w:t>
      </w:r>
      <w:r>
        <w:rPr/>
        <w:t>Book</w:t>
      </w:r>
      <w:r>
        <w:rPr>
          <w:spacing w:val="-20"/>
        </w:rPr>
        <w:t> </w:t>
      </w:r>
      <w:r>
        <w:rPr/>
        <w:t>for</w:t>
      </w:r>
      <w:r>
        <w:rPr>
          <w:spacing w:val="-17"/>
        </w:rPr>
        <w:t> </w:t>
      </w:r>
      <w:r>
        <w:rPr/>
        <w:t>the</w:t>
      </w:r>
      <w:r>
        <w:rPr>
          <w:spacing w:val="-18"/>
        </w:rPr>
        <w:t> </w:t>
      </w:r>
      <w:r>
        <w:rPr/>
        <w:t>Person’</w:t>
      </w:r>
    </w:p>
    <w:p>
      <w:pPr>
        <w:spacing w:after="0" w:line="276" w:lineRule="auto"/>
        <w:sectPr>
          <w:pgSz w:w="14260" w:h="16840"/>
          <w:pgMar w:header="0" w:footer="402" w:top="1320" w:bottom="2280" w:left="1300" w:right="1297"/>
        </w:sectPr>
      </w:pPr>
    </w:p>
    <w:p>
      <w:pPr>
        <w:pStyle w:val="BodyText"/>
        <w:spacing w:line="276" w:lineRule="auto" w:before="74"/>
        <w:ind w:left="116" w:right="116"/>
        <w:jc w:val="both"/>
      </w:pPr>
      <w:r>
        <w:rPr/>
        <w:t>or ‘The Human Book’, sees itself as a long overdue counterpart to conven- tional books that you see in the shops and - even though there are already thousands of them - ultimately only repeat the information that official agen- cies share or even dictate under the ‘care’ of Big Pharma.</w:t>
      </w:r>
    </w:p>
    <w:p>
      <w:pPr>
        <w:pStyle w:val="Heading2"/>
        <w:spacing w:before="242"/>
        <w:ind w:left="116"/>
      </w:pPr>
      <w:r>
        <w:rPr/>
        <w:t>The Codex Humanus is different!</w:t>
      </w:r>
    </w:p>
    <w:p>
      <w:pPr>
        <w:pStyle w:val="BodyText"/>
        <w:spacing w:line="276" w:lineRule="auto" w:before="304"/>
        <w:ind w:left="116" w:right="116"/>
        <w:jc w:val="both"/>
      </w:pPr>
      <w:r>
        <w:rPr/>
        <w:t>It</w:t>
      </w:r>
      <w:r>
        <w:rPr>
          <w:spacing w:val="-17"/>
        </w:rPr>
        <w:t> </w:t>
      </w:r>
      <w:r>
        <w:rPr/>
        <w:t>is</w:t>
      </w:r>
      <w:r>
        <w:rPr>
          <w:spacing w:val="-16"/>
        </w:rPr>
        <w:t> </w:t>
      </w:r>
      <w:r>
        <w:rPr/>
        <w:t>free</w:t>
      </w:r>
      <w:r>
        <w:rPr>
          <w:spacing w:val="-15"/>
        </w:rPr>
        <w:t> </w:t>
      </w:r>
      <w:r>
        <w:rPr/>
        <w:t>of</w:t>
      </w:r>
      <w:r>
        <w:rPr>
          <w:spacing w:val="-16"/>
        </w:rPr>
        <w:t> </w:t>
      </w:r>
      <w:r>
        <w:rPr/>
        <w:t>all</w:t>
      </w:r>
      <w:r>
        <w:rPr>
          <w:spacing w:val="-17"/>
        </w:rPr>
        <w:t> </w:t>
      </w:r>
      <w:r>
        <w:rPr/>
        <w:t>lobby</w:t>
      </w:r>
      <w:r>
        <w:rPr>
          <w:spacing w:val="-15"/>
        </w:rPr>
        <w:t> </w:t>
      </w:r>
      <w:r>
        <w:rPr/>
        <w:t>associations</w:t>
      </w:r>
      <w:r>
        <w:rPr>
          <w:spacing w:val="-17"/>
        </w:rPr>
        <w:t> </w:t>
      </w:r>
      <w:r>
        <w:rPr/>
        <w:t>and</w:t>
      </w:r>
      <w:r>
        <w:rPr>
          <w:spacing w:val="-16"/>
        </w:rPr>
        <w:t> </w:t>
      </w:r>
      <w:r>
        <w:rPr/>
        <w:t>reprisals</w:t>
      </w:r>
      <w:r>
        <w:rPr>
          <w:spacing w:val="-16"/>
        </w:rPr>
        <w:t> </w:t>
      </w:r>
      <w:r>
        <w:rPr/>
        <w:t>on</w:t>
      </w:r>
      <w:r>
        <w:rPr>
          <w:spacing w:val="-15"/>
        </w:rPr>
        <w:t> </w:t>
      </w:r>
      <w:r>
        <w:rPr/>
        <w:t>the</w:t>
      </w:r>
      <w:r>
        <w:rPr>
          <w:spacing w:val="-15"/>
        </w:rPr>
        <w:t> </w:t>
      </w:r>
      <w:r>
        <w:rPr/>
        <w:t>part</w:t>
      </w:r>
      <w:r>
        <w:rPr>
          <w:spacing w:val="-16"/>
        </w:rPr>
        <w:t> </w:t>
      </w:r>
      <w:r>
        <w:rPr/>
        <w:t>of</w:t>
      </w:r>
      <w:r>
        <w:rPr>
          <w:spacing w:val="-15"/>
        </w:rPr>
        <w:t> </w:t>
      </w:r>
      <w:r>
        <w:rPr/>
        <w:t>the</w:t>
      </w:r>
      <w:r>
        <w:rPr>
          <w:spacing w:val="-15"/>
        </w:rPr>
        <w:t> </w:t>
      </w:r>
      <w:r>
        <w:rPr/>
        <w:t>ruling</w:t>
      </w:r>
      <w:r>
        <w:rPr>
          <w:spacing w:val="-15"/>
        </w:rPr>
        <w:t> </w:t>
      </w:r>
      <w:r>
        <w:rPr/>
        <w:t>medical establishment and, with its approximately 2000 pages of information, serves the cause of humanity and not the coffers of the pharmaceutical industry, the often-corrupt medical profession or even the so-called self-help groups that are nothing more than the extended arm of Big Pharma!</w:t>
      </w:r>
    </w:p>
    <w:p>
      <w:pPr>
        <w:pStyle w:val="Heading2"/>
        <w:spacing w:line="276" w:lineRule="auto" w:before="240"/>
        <w:ind w:left="116" w:right="124"/>
        <w:jc w:val="both"/>
      </w:pPr>
      <w:r>
        <w:rPr/>
        <w:t>We promise you that you are reading the most valuable book you have ever held in your hand - and you will soon find out why!</w:t>
      </w:r>
    </w:p>
    <w:p>
      <w:pPr>
        <w:pStyle w:val="BodyText"/>
        <w:spacing w:line="276" w:lineRule="auto" w:before="241"/>
        <w:ind w:left="116" w:right="117"/>
        <w:jc w:val="both"/>
      </w:pPr>
      <w:r>
        <w:rPr/>
        <w:t>In</w:t>
      </w:r>
      <w:r>
        <w:rPr>
          <w:spacing w:val="-8"/>
        </w:rPr>
        <w:t> </w:t>
      </w:r>
      <w:r>
        <w:rPr/>
        <w:t>a</w:t>
      </w:r>
      <w:r>
        <w:rPr>
          <w:spacing w:val="-9"/>
        </w:rPr>
        <w:t> </w:t>
      </w:r>
      <w:r>
        <w:rPr/>
        <w:t>direct</w:t>
      </w:r>
      <w:r>
        <w:rPr>
          <w:spacing w:val="-7"/>
        </w:rPr>
        <w:t> </w:t>
      </w:r>
      <w:r>
        <w:rPr/>
        <w:t>-</w:t>
      </w:r>
      <w:r>
        <w:rPr>
          <w:spacing w:val="-10"/>
        </w:rPr>
        <w:t> </w:t>
      </w:r>
      <w:r>
        <w:rPr/>
        <w:t>and</w:t>
      </w:r>
      <w:r>
        <w:rPr>
          <w:spacing w:val="-8"/>
        </w:rPr>
        <w:t> </w:t>
      </w:r>
      <w:r>
        <w:rPr/>
        <w:t>most</w:t>
      </w:r>
      <w:r>
        <w:rPr>
          <w:spacing w:val="-8"/>
        </w:rPr>
        <w:t> </w:t>
      </w:r>
      <w:r>
        <w:rPr/>
        <w:t>importantly,</w:t>
      </w:r>
      <w:r>
        <w:rPr>
          <w:spacing w:val="-7"/>
        </w:rPr>
        <w:t> </w:t>
      </w:r>
      <w:r>
        <w:rPr/>
        <w:t>uncensored</w:t>
      </w:r>
      <w:r>
        <w:rPr>
          <w:spacing w:val="-5"/>
        </w:rPr>
        <w:t> </w:t>
      </w:r>
      <w:r>
        <w:rPr/>
        <w:t>–</w:t>
      </w:r>
      <w:r>
        <w:rPr>
          <w:spacing w:val="-13"/>
        </w:rPr>
        <w:t> </w:t>
      </w:r>
      <w:r>
        <w:rPr/>
        <w:t>manner,</w:t>
      </w:r>
      <w:r>
        <w:rPr>
          <w:spacing w:val="-7"/>
        </w:rPr>
        <w:t> </w:t>
      </w:r>
      <w:r>
        <w:rPr/>
        <w:t>you</w:t>
      </w:r>
      <w:r>
        <w:rPr>
          <w:spacing w:val="-9"/>
        </w:rPr>
        <w:t> </w:t>
      </w:r>
      <w:r>
        <w:rPr/>
        <w:t>will</w:t>
      </w:r>
      <w:r>
        <w:rPr>
          <w:spacing w:val="-10"/>
        </w:rPr>
        <w:t> </w:t>
      </w:r>
      <w:r>
        <w:rPr/>
        <w:t>find</w:t>
      </w:r>
      <w:r>
        <w:rPr>
          <w:spacing w:val="-8"/>
        </w:rPr>
        <w:t> </w:t>
      </w:r>
      <w:r>
        <w:rPr/>
        <w:t>out</w:t>
      </w:r>
      <w:r>
        <w:rPr>
          <w:spacing w:val="-8"/>
        </w:rPr>
        <w:t> </w:t>
      </w:r>
      <w:r>
        <w:rPr/>
        <w:t>the whole truth on topics concerning the most precious commodity for every hu- man being:</w:t>
      </w:r>
    </w:p>
    <w:p>
      <w:pPr>
        <w:pStyle w:val="BodyText"/>
        <w:spacing w:before="5"/>
        <w:rPr>
          <w:sz w:val="12"/>
        </w:rPr>
      </w:pPr>
    </w:p>
    <w:p>
      <w:pPr>
        <w:pStyle w:val="Heading2"/>
        <w:spacing w:before="99"/>
        <w:ind w:left="4837"/>
      </w:pPr>
      <w:r>
        <w:rPr/>
        <w:t>Your health!</w:t>
      </w:r>
    </w:p>
    <w:p>
      <w:pPr>
        <w:pStyle w:val="BodyText"/>
        <w:spacing w:line="276" w:lineRule="auto" w:before="305"/>
        <w:ind w:left="116" w:right="115"/>
        <w:jc w:val="both"/>
      </w:pPr>
      <w:r>
        <w:rPr/>
        <w:t>Since the publication of the first edition of the </w:t>
      </w:r>
      <w:r>
        <w:rPr>
          <w:i/>
        </w:rPr>
        <w:t>‘Codex Humanus’ </w:t>
      </w:r>
      <w:r>
        <w:rPr/>
        <w:t>in the year 2013, a lot has changed in the field of research into natural remedies and</w:t>
      </w:r>
      <w:r>
        <w:rPr>
          <w:spacing w:val="-63"/>
        </w:rPr>
        <w:t> </w:t>
      </w:r>
      <w:r>
        <w:rPr/>
        <w:t>ther- apies. Here, it is particularly worth mentioning new understanding, based on the</w:t>
      </w:r>
      <w:r>
        <w:rPr>
          <w:spacing w:val="-23"/>
        </w:rPr>
        <w:t> </w:t>
      </w:r>
      <w:r>
        <w:rPr/>
        <w:t>results</w:t>
      </w:r>
      <w:r>
        <w:rPr>
          <w:spacing w:val="-26"/>
        </w:rPr>
        <w:t> </w:t>
      </w:r>
      <w:r>
        <w:rPr/>
        <w:t>of</w:t>
      </w:r>
      <w:r>
        <w:rPr>
          <w:spacing w:val="-22"/>
        </w:rPr>
        <w:t> </w:t>
      </w:r>
      <w:r>
        <w:rPr/>
        <w:t>the</w:t>
      </w:r>
      <w:r>
        <w:rPr>
          <w:spacing w:val="-25"/>
        </w:rPr>
        <w:t> </w:t>
      </w:r>
      <w:r>
        <w:rPr/>
        <w:t>latest</w:t>
      </w:r>
      <w:r>
        <w:rPr>
          <w:spacing w:val="-24"/>
        </w:rPr>
        <w:t> </w:t>
      </w:r>
      <w:r>
        <w:rPr/>
        <w:t>research,</w:t>
      </w:r>
      <w:r>
        <w:rPr>
          <w:spacing w:val="-28"/>
        </w:rPr>
        <w:t> </w:t>
      </w:r>
      <w:r>
        <w:rPr/>
        <w:t>of</w:t>
      </w:r>
      <w:r>
        <w:rPr>
          <w:spacing w:val="-22"/>
        </w:rPr>
        <w:t> </w:t>
      </w:r>
      <w:r>
        <w:rPr/>
        <w:t>the</w:t>
      </w:r>
      <w:r>
        <w:rPr>
          <w:spacing w:val="-25"/>
        </w:rPr>
        <w:t> </w:t>
      </w:r>
      <w:r>
        <w:rPr/>
        <w:t>role</w:t>
      </w:r>
      <w:r>
        <w:rPr>
          <w:spacing w:val="-26"/>
        </w:rPr>
        <w:t> </w:t>
      </w:r>
      <w:r>
        <w:rPr/>
        <w:t>of</w:t>
      </w:r>
      <w:r>
        <w:rPr>
          <w:spacing w:val="-22"/>
        </w:rPr>
        <w:t> </w:t>
      </w:r>
      <w:r>
        <w:rPr/>
        <w:t>colloidal</w:t>
      </w:r>
      <w:r>
        <w:rPr>
          <w:spacing w:val="-25"/>
        </w:rPr>
        <w:t> </w:t>
      </w:r>
      <w:r>
        <w:rPr/>
        <w:t>metal</w:t>
      </w:r>
      <w:r>
        <w:rPr>
          <w:spacing w:val="-24"/>
        </w:rPr>
        <w:t> </w:t>
      </w:r>
      <w:r>
        <w:rPr/>
        <w:t>ions</w:t>
      </w:r>
      <w:r>
        <w:rPr>
          <w:spacing w:val="-24"/>
        </w:rPr>
        <w:t> </w:t>
      </w:r>
      <w:r>
        <w:rPr/>
        <w:t>(e.g.</w:t>
      </w:r>
      <w:r>
        <w:rPr>
          <w:spacing w:val="-22"/>
        </w:rPr>
        <w:t> </w:t>
      </w:r>
      <w:r>
        <w:rPr/>
        <w:t>colloidal gold,</w:t>
      </w:r>
      <w:r>
        <w:rPr>
          <w:spacing w:val="34"/>
        </w:rPr>
        <w:t> </w:t>
      </w:r>
      <w:r>
        <w:rPr/>
        <w:t>colloidal</w:t>
      </w:r>
      <w:r>
        <w:rPr>
          <w:spacing w:val="34"/>
        </w:rPr>
        <w:t> </w:t>
      </w:r>
      <w:r>
        <w:rPr/>
        <w:t>silver),</w:t>
      </w:r>
      <w:r>
        <w:rPr>
          <w:spacing w:val="35"/>
        </w:rPr>
        <w:t> </w:t>
      </w:r>
      <w:r>
        <w:rPr/>
        <w:t>which</w:t>
      </w:r>
      <w:r>
        <w:rPr>
          <w:spacing w:val="37"/>
        </w:rPr>
        <w:t> </w:t>
      </w:r>
      <w:r>
        <w:rPr/>
        <w:t>is</w:t>
      </w:r>
      <w:r>
        <w:rPr>
          <w:spacing w:val="34"/>
        </w:rPr>
        <w:t> </w:t>
      </w:r>
      <w:r>
        <w:rPr/>
        <w:t>also</w:t>
      </w:r>
      <w:r>
        <w:rPr>
          <w:spacing w:val="36"/>
        </w:rPr>
        <w:t> </w:t>
      </w:r>
      <w:r>
        <w:rPr/>
        <w:t>a</w:t>
      </w:r>
      <w:r>
        <w:rPr>
          <w:spacing w:val="34"/>
        </w:rPr>
        <w:t> </w:t>
      </w:r>
      <w:r>
        <w:rPr/>
        <w:t>current</w:t>
      </w:r>
      <w:r>
        <w:rPr>
          <w:spacing w:val="36"/>
        </w:rPr>
        <w:t> </w:t>
      </w:r>
      <w:r>
        <w:rPr/>
        <w:t>topic</w:t>
      </w:r>
      <w:r>
        <w:rPr>
          <w:spacing w:val="34"/>
        </w:rPr>
        <w:t> </w:t>
      </w:r>
      <w:r>
        <w:rPr/>
        <w:t>of</w:t>
      </w:r>
      <w:r>
        <w:rPr>
          <w:spacing w:val="36"/>
        </w:rPr>
        <w:t> </w:t>
      </w:r>
      <w:r>
        <w:rPr/>
        <w:t>discussion</w:t>
      </w:r>
      <w:r>
        <w:rPr>
          <w:spacing w:val="36"/>
        </w:rPr>
        <w:t> </w:t>
      </w:r>
      <w:r>
        <w:rPr/>
        <w:t>in</w:t>
      </w:r>
      <w:r>
        <w:rPr>
          <w:spacing w:val="35"/>
        </w:rPr>
        <w:t> </w:t>
      </w:r>
      <w:r>
        <w:rPr/>
        <w:t>modern</w:t>
      </w:r>
    </w:p>
    <w:p>
      <w:pPr>
        <w:spacing w:after="0" w:line="276" w:lineRule="auto"/>
        <w:jc w:val="both"/>
        <w:sectPr>
          <w:pgSz w:w="14260" w:h="16840"/>
          <w:pgMar w:header="0" w:footer="402" w:top="1320" w:bottom="2280" w:left="1300" w:right="1297"/>
        </w:sectPr>
      </w:pPr>
    </w:p>
    <w:p>
      <w:pPr>
        <w:pStyle w:val="BodyText"/>
        <w:spacing w:before="74"/>
        <w:ind w:left="116"/>
      </w:pPr>
      <w:r>
        <w:rPr/>
        <w:t>medicine in the form of nanotechnology.</w:t>
      </w:r>
    </w:p>
    <w:p>
      <w:pPr>
        <w:pStyle w:val="BodyText"/>
        <w:spacing w:line="276" w:lineRule="auto" w:before="305"/>
        <w:ind w:left="116" w:right="111"/>
        <w:jc w:val="both"/>
      </w:pPr>
      <w:r>
        <w:rPr/>
        <w:t>Natural substances, especially colloidal gold and colloidal silver, with their in- valuable,</w:t>
      </w:r>
      <w:r>
        <w:rPr>
          <w:spacing w:val="-15"/>
        </w:rPr>
        <w:t> </w:t>
      </w:r>
      <w:r>
        <w:rPr/>
        <w:t>positive</w:t>
      </w:r>
      <w:r>
        <w:rPr>
          <w:spacing w:val="-15"/>
        </w:rPr>
        <w:t> </w:t>
      </w:r>
      <w:r>
        <w:rPr/>
        <w:t>influence</w:t>
      </w:r>
      <w:r>
        <w:rPr>
          <w:spacing w:val="-16"/>
        </w:rPr>
        <w:t> </w:t>
      </w:r>
      <w:r>
        <w:rPr/>
        <w:t>on</w:t>
      </w:r>
      <w:r>
        <w:rPr>
          <w:spacing w:val="-15"/>
        </w:rPr>
        <w:t> </w:t>
      </w:r>
      <w:r>
        <w:rPr/>
        <w:t>body,</w:t>
      </w:r>
      <w:r>
        <w:rPr>
          <w:spacing w:val="-16"/>
        </w:rPr>
        <w:t> </w:t>
      </w:r>
      <w:r>
        <w:rPr/>
        <w:t>mind</w:t>
      </w:r>
      <w:r>
        <w:rPr>
          <w:spacing w:val="-15"/>
        </w:rPr>
        <w:t> </w:t>
      </w:r>
      <w:r>
        <w:rPr/>
        <w:t>and</w:t>
      </w:r>
      <w:r>
        <w:rPr>
          <w:spacing w:val="-16"/>
        </w:rPr>
        <w:t> </w:t>
      </w:r>
      <w:r>
        <w:rPr/>
        <w:t>soul,</w:t>
      </w:r>
      <w:r>
        <w:rPr>
          <w:spacing w:val="-15"/>
        </w:rPr>
        <w:t> </w:t>
      </w:r>
      <w:r>
        <w:rPr/>
        <w:t>are</w:t>
      </w:r>
      <w:r>
        <w:rPr>
          <w:spacing w:val="-16"/>
        </w:rPr>
        <w:t> </w:t>
      </w:r>
      <w:r>
        <w:rPr/>
        <w:t>heralding</w:t>
      </w:r>
      <w:r>
        <w:rPr>
          <w:spacing w:val="-15"/>
        </w:rPr>
        <w:t> </w:t>
      </w:r>
      <w:r>
        <w:rPr/>
        <w:t>a</w:t>
      </w:r>
      <w:r>
        <w:rPr>
          <w:spacing w:val="-18"/>
        </w:rPr>
        <w:t> </w:t>
      </w:r>
      <w:r>
        <w:rPr/>
        <w:t>completely new</w:t>
      </w:r>
      <w:r>
        <w:rPr>
          <w:spacing w:val="-15"/>
        </w:rPr>
        <w:t> </w:t>
      </w:r>
      <w:r>
        <w:rPr/>
        <w:t>era</w:t>
      </w:r>
      <w:r>
        <w:rPr>
          <w:spacing w:val="-15"/>
        </w:rPr>
        <w:t> </w:t>
      </w:r>
      <w:r>
        <w:rPr/>
        <w:t>in</w:t>
      </w:r>
      <w:r>
        <w:rPr>
          <w:spacing w:val="-14"/>
        </w:rPr>
        <w:t> </w:t>
      </w:r>
      <w:r>
        <w:rPr/>
        <w:t>the</w:t>
      </w:r>
      <w:r>
        <w:rPr>
          <w:spacing w:val="-13"/>
        </w:rPr>
        <w:t> </w:t>
      </w:r>
      <w:r>
        <w:rPr/>
        <w:t>prevention</w:t>
      </w:r>
      <w:r>
        <w:rPr>
          <w:spacing w:val="-13"/>
        </w:rPr>
        <w:t> </w:t>
      </w:r>
      <w:r>
        <w:rPr/>
        <w:t>and</w:t>
      </w:r>
      <w:r>
        <w:rPr>
          <w:spacing w:val="-14"/>
        </w:rPr>
        <w:t> </w:t>
      </w:r>
      <w:r>
        <w:rPr/>
        <w:t>treatment</w:t>
      </w:r>
      <w:r>
        <w:rPr>
          <w:spacing w:val="-14"/>
        </w:rPr>
        <w:t> </w:t>
      </w:r>
      <w:r>
        <w:rPr/>
        <w:t>of</w:t>
      </w:r>
      <w:r>
        <w:rPr>
          <w:spacing w:val="-14"/>
        </w:rPr>
        <w:t> </w:t>
      </w:r>
      <w:r>
        <w:rPr/>
        <w:t>diseases,</w:t>
      </w:r>
      <w:r>
        <w:rPr>
          <w:spacing w:val="-13"/>
        </w:rPr>
        <w:t> </w:t>
      </w:r>
      <w:r>
        <w:rPr/>
        <w:t>as</w:t>
      </w:r>
      <w:r>
        <w:rPr>
          <w:spacing w:val="-14"/>
        </w:rPr>
        <w:t> </w:t>
      </w:r>
      <w:r>
        <w:rPr/>
        <w:t>well</w:t>
      </w:r>
      <w:r>
        <w:rPr>
          <w:spacing w:val="-16"/>
        </w:rPr>
        <w:t> </w:t>
      </w:r>
      <w:r>
        <w:rPr/>
        <w:t>as</w:t>
      </w:r>
      <w:r>
        <w:rPr>
          <w:spacing w:val="-14"/>
        </w:rPr>
        <w:t> </w:t>
      </w:r>
      <w:r>
        <w:rPr/>
        <w:t>age</w:t>
      </w:r>
      <w:r>
        <w:rPr>
          <w:spacing w:val="-17"/>
        </w:rPr>
        <w:t> </w:t>
      </w:r>
      <w:r>
        <w:rPr/>
        <w:t>prophylaxis. But while colloidal silver may already be sold within the EU for therapeutic purposes,</w:t>
      </w:r>
      <w:r>
        <w:rPr>
          <w:spacing w:val="-24"/>
        </w:rPr>
        <w:t> </w:t>
      </w:r>
      <w:r>
        <w:rPr/>
        <w:t>its</w:t>
      </w:r>
      <w:r>
        <w:rPr>
          <w:spacing w:val="-26"/>
        </w:rPr>
        <w:t> </w:t>
      </w:r>
      <w:r>
        <w:rPr/>
        <w:t>big</w:t>
      </w:r>
      <w:r>
        <w:rPr>
          <w:spacing w:val="-25"/>
        </w:rPr>
        <w:t> </w:t>
      </w:r>
      <w:r>
        <w:rPr/>
        <w:t>brother,</w:t>
      </w:r>
      <w:r>
        <w:rPr>
          <w:spacing w:val="-26"/>
        </w:rPr>
        <w:t> </w:t>
      </w:r>
      <w:r>
        <w:rPr/>
        <w:t>colloidal</w:t>
      </w:r>
      <w:r>
        <w:rPr>
          <w:spacing w:val="-25"/>
        </w:rPr>
        <w:t> </w:t>
      </w:r>
      <w:r>
        <w:rPr/>
        <w:t>gold,</w:t>
      </w:r>
      <w:r>
        <w:rPr>
          <w:spacing w:val="-22"/>
        </w:rPr>
        <w:t> </w:t>
      </w:r>
      <w:r>
        <w:rPr/>
        <w:t>which</w:t>
      </w:r>
      <w:r>
        <w:rPr>
          <w:spacing w:val="-25"/>
        </w:rPr>
        <w:t> </w:t>
      </w:r>
      <w:r>
        <w:rPr/>
        <w:t>Paracelsus</w:t>
      </w:r>
      <w:r>
        <w:rPr>
          <w:spacing w:val="-23"/>
        </w:rPr>
        <w:t> </w:t>
      </w:r>
      <w:r>
        <w:rPr/>
        <w:t>claimed</w:t>
      </w:r>
      <w:r>
        <w:rPr>
          <w:spacing w:val="-24"/>
        </w:rPr>
        <w:t> </w:t>
      </w:r>
      <w:r>
        <w:rPr/>
        <w:t>was</w:t>
      </w:r>
      <w:r>
        <w:rPr>
          <w:spacing w:val="-23"/>
        </w:rPr>
        <w:t> </w:t>
      </w:r>
      <w:r>
        <w:rPr/>
        <w:t>the</w:t>
      </w:r>
      <w:r>
        <w:rPr>
          <w:spacing w:val="-23"/>
        </w:rPr>
        <w:t> </w:t>
      </w:r>
      <w:r>
        <w:rPr/>
        <w:t>most important elixir for humanity, has not been given official recognition and ap- proval. In the most countries, colloidal gold is classified as ‘experimental wa- ter’</w:t>
      </w:r>
      <w:r>
        <w:rPr>
          <w:spacing w:val="-13"/>
        </w:rPr>
        <w:t> </w:t>
      </w:r>
      <w:r>
        <w:rPr/>
        <w:t>and</w:t>
      </w:r>
      <w:r>
        <w:rPr>
          <w:spacing w:val="-14"/>
        </w:rPr>
        <w:t> </w:t>
      </w:r>
      <w:r>
        <w:rPr/>
        <w:t>may</w:t>
      </w:r>
      <w:r>
        <w:rPr>
          <w:spacing w:val="-14"/>
        </w:rPr>
        <w:t> </w:t>
      </w:r>
      <w:r>
        <w:rPr/>
        <w:t>only</w:t>
      </w:r>
      <w:r>
        <w:rPr>
          <w:spacing w:val="-13"/>
        </w:rPr>
        <w:t> </w:t>
      </w:r>
      <w:r>
        <w:rPr/>
        <w:t>be</w:t>
      </w:r>
      <w:r>
        <w:rPr>
          <w:spacing w:val="-14"/>
        </w:rPr>
        <w:t> </w:t>
      </w:r>
      <w:r>
        <w:rPr/>
        <w:t>sold</w:t>
      </w:r>
      <w:r>
        <w:rPr>
          <w:spacing w:val="-15"/>
        </w:rPr>
        <w:t> </w:t>
      </w:r>
      <w:r>
        <w:rPr/>
        <w:t>as</w:t>
      </w:r>
      <w:r>
        <w:rPr>
          <w:spacing w:val="-13"/>
        </w:rPr>
        <w:t> </w:t>
      </w:r>
      <w:r>
        <w:rPr/>
        <w:t>this,</w:t>
      </w:r>
      <w:r>
        <w:rPr>
          <w:spacing w:val="-16"/>
        </w:rPr>
        <w:t> </w:t>
      </w:r>
      <w:r>
        <w:rPr/>
        <w:t>or</w:t>
      </w:r>
      <w:r>
        <w:rPr>
          <w:spacing w:val="-13"/>
        </w:rPr>
        <w:t> </w:t>
      </w:r>
      <w:r>
        <w:rPr/>
        <w:t>for</w:t>
      </w:r>
      <w:r>
        <w:rPr>
          <w:spacing w:val="-12"/>
        </w:rPr>
        <w:t> </w:t>
      </w:r>
      <w:r>
        <w:rPr/>
        <w:t>technical</w:t>
      </w:r>
      <w:r>
        <w:rPr>
          <w:spacing w:val="-15"/>
        </w:rPr>
        <w:t> </w:t>
      </w:r>
      <w:r>
        <w:rPr/>
        <w:t>purposes.</w:t>
      </w:r>
      <w:r>
        <w:rPr>
          <w:spacing w:val="-13"/>
        </w:rPr>
        <w:t> </w:t>
      </w:r>
      <w:r>
        <w:rPr/>
        <w:t>Meanwhile</w:t>
      </w:r>
      <w:r>
        <w:rPr>
          <w:spacing w:val="-9"/>
        </w:rPr>
        <w:t> </w:t>
      </w:r>
      <w:r>
        <w:rPr/>
        <w:t>in</w:t>
      </w:r>
      <w:r>
        <w:rPr>
          <w:spacing w:val="-14"/>
        </w:rPr>
        <w:t> </w:t>
      </w:r>
      <w:r>
        <w:rPr/>
        <w:t>a</w:t>
      </w:r>
      <w:r>
        <w:rPr>
          <w:spacing w:val="-15"/>
        </w:rPr>
        <w:t> </w:t>
      </w:r>
      <w:r>
        <w:rPr/>
        <w:t>few countries people can buy it as a food supplement in any chemist - which also poses the cynical question: do any people have a different organism to other people...? Our health, our life expectancy, should in no way be restricted by regulations or laws - much more, it should always make use of proven, albeit often suppressed,</w:t>
      </w:r>
      <w:r>
        <w:rPr>
          <w:spacing w:val="1"/>
        </w:rPr>
        <w:t> </w:t>
      </w:r>
      <w:r>
        <w:rPr/>
        <w:t>knowledge!</w:t>
      </w:r>
    </w:p>
    <w:p>
      <w:pPr>
        <w:pStyle w:val="BodyText"/>
        <w:spacing w:line="276" w:lineRule="auto" w:before="240"/>
        <w:ind w:left="116" w:right="114"/>
        <w:jc w:val="both"/>
      </w:pPr>
      <w:r>
        <w:rPr/>
        <w:t>In short, it was time in 2016 for a second and 2018 third edition of the best- seller</w:t>
      </w:r>
      <w:r>
        <w:rPr>
          <w:spacing w:val="-12"/>
        </w:rPr>
        <w:t> </w:t>
      </w:r>
      <w:r>
        <w:rPr/>
        <w:t>‘</w:t>
      </w:r>
      <w:r>
        <w:rPr>
          <w:i/>
        </w:rPr>
        <w:t>Codex</w:t>
      </w:r>
      <w:r>
        <w:rPr>
          <w:i/>
          <w:spacing w:val="-12"/>
        </w:rPr>
        <w:t> </w:t>
      </w:r>
      <w:r>
        <w:rPr>
          <w:i/>
        </w:rPr>
        <w:t>Humanus’</w:t>
      </w:r>
      <w:r>
        <w:rPr/>
        <w:t>.</w:t>
      </w:r>
      <w:r>
        <w:rPr>
          <w:spacing w:val="-11"/>
        </w:rPr>
        <w:t> </w:t>
      </w:r>
      <w:r>
        <w:rPr/>
        <w:t>In</w:t>
      </w:r>
      <w:r>
        <w:rPr>
          <w:spacing w:val="-14"/>
        </w:rPr>
        <w:t> </w:t>
      </w:r>
      <w:r>
        <w:rPr/>
        <w:t>addition</w:t>
      </w:r>
      <w:r>
        <w:rPr>
          <w:spacing w:val="-11"/>
        </w:rPr>
        <w:t> </w:t>
      </w:r>
      <w:r>
        <w:rPr/>
        <w:t>to</w:t>
      </w:r>
      <w:r>
        <w:rPr>
          <w:spacing w:val="-11"/>
        </w:rPr>
        <w:t> </w:t>
      </w:r>
      <w:r>
        <w:rPr/>
        <w:t>more</w:t>
      </w:r>
      <w:r>
        <w:rPr>
          <w:spacing w:val="-14"/>
        </w:rPr>
        <w:t> </w:t>
      </w:r>
      <w:r>
        <w:rPr/>
        <w:t>brilliant</w:t>
      </w:r>
      <w:r>
        <w:rPr>
          <w:spacing w:val="-12"/>
        </w:rPr>
        <w:t> </w:t>
      </w:r>
      <w:r>
        <w:rPr/>
        <w:t>natural</w:t>
      </w:r>
      <w:r>
        <w:rPr>
          <w:spacing w:val="-13"/>
        </w:rPr>
        <w:t> </w:t>
      </w:r>
      <w:r>
        <w:rPr/>
        <w:t>healing</w:t>
      </w:r>
      <w:r>
        <w:rPr>
          <w:spacing w:val="-11"/>
        </w:rPr>
        <w:t> </w:t>
      </w:r>
      <w:r>
        <w:rPr/>
        <w:t>substances, more</w:t>
      </w:r>
      <w:r>
        <w:rPr>
          <w:spacing w:val="-17"/>
        </w:rPr>
        <w:t> </w:t>
      </w:r>
      <w:r>
        <w:rPr/>
        <w:t>substance-effect</w:t>
      </w:r>
      <w:r>
        <w:rPr>
          <w:spacing w:val="-16"/>
        </w:rPr>
        <w:t> </w:t>
      </w:r>
      <w:r>
        <w:rPr/>
        <w:t>tables,</w:t>
      </w:r>
      <w:r>
        <w:rPr>
          <w:spacing w:val="-15"/>
        </w:rPr>
        <w:t> </w:t>
      </w:r>
      <w:r>
        <w:rPr/>
        <w:t>and</w:t>
      </w:r>
      <w:r>
        <w:rPr>
          <w:spacing w:val="-17"/>
        </w:rPr>
        <w:t> </w:t>
      </w:r>
      <w:r>
        <w:rPr/>
        <w:t>adjustments</w:t>
      </w:r>
      <w:r>
        <w:rPr>
          <w:spacing w:val="-16"/>
        </w:rPr>
        <w:t> </w:t>
      </w:r>
      <w:r>
        <w:rPr/>
        <w:t>to</w:t>
      </w:r>
      <w:r>
        <w:rPr>
          <w:spacing w:val="-16"/>
        </w:rPr>
        <w:t> </w:t>
      </w:r>
      <w:r>
        <w:rPr/>
        <w:t>various</w:t>
      </w:r>
      <w:r>
        <w:rPr>
          <w:spacing w:val="-16"/>
        </w:rPr>
        <w:t> </w:t>
      </w:r>
      <w:r>
        <w:rPr/>
        <w:t>sections</w:t>
      </w:r>
      <w:r>
        <w:rPr>
          <w:spacing w:val="-18"/>
        </w:rPr>
        <w:t> </w:t>
      </w:r>
      <w:r>
        <w:rPr/>
        <w:t>to</w:t>
      </w:r>
      <w:r>
        <w:rPr>
          <w:spacing w:val="-16"/>
        </w:rPr>
        <w:t> </w:t>
      </w:r>
      <w:r>
        <w:rPr/>
        <w:t>reflect</w:t>
      </w:r>
      <w:r>
        <w:rPr>
          <w:spacing w:val="-17"/>
        </w:rPr>
        <w:t> </w:t>
      </w:r>
      <w:r>
        <w:rPr/>
        <w:t>the very</w:t>
      </w:r>
      <w:r>
        <w:rPr>
          <w:spacing w:val="-21"/>
        </w:rPr>
        <w:t> </w:t>
      </w:r>
      <w:r>
        <w:rPr/>
        <w:t>latest</w:t>
      </w:r>
      <w:r>
        <w:rPr>
          <w:spacing w:val="-21"/>
        </w:rPr>
        <w:t> </w:t>
      </w:r>
      <w:r>
        <w:rPr/>
        <w:t>research,</w:t>
      </w:r>
      <w:r>
        <w:rPr>
          <w:spacing w:val="-20"/>
        </w:rPr>
        <w:t> </w:t>
      </w:r>
      <w:r>
        <w:rPr/>
        <w:t>we</w:t>
      </w:r>
      <w:r>
        <w:rPr>
          <w:spacing w:val="-21"/>
        </w:rPr>
        <w:t> </w:t>
      </w:r>
      <w:r>
        <w:rPr/>
        <w:t>can</w:t>
      </w:r>
      <w:r>
        <w:rPr>
          <w:spacing w:val="-19"/>
        </w:rPr>
        <w:t> </w:t>
      </w:r>
      <w:r>
        <w:rPr/>
        <w:t>no</w:t>
      </w:r>
      <w:r>
        <w:rPr>
          <w:spacing w:val="-21"/>
        </w:rPr>
        <w:t> </w:t>
      </w:r>
      <w:r>
        <w:rPr/>
        <w:t>longer</w:t>
      </w:r>
      <w:r>
        <w:rPr>
          <w:spacing w:val="-20"/>
        </w:rPr>
        <w:t> </w:t>
      </w:r>
      <w:r>
        <w:rPr/>
        <w:t>ignore</w:t>
      </w:r>
      <w:r>
        <w:rPr>
          <w:spacing w:val="-22"/>
        </w:rPr>
        <w:t> </w:t>
      </w:r>
      <w:r>
        <w:rPr/>
        <w:t>the</w:t>
      </w:r>
      <w:r>
        <w:rPr>
          <w:spacing w:val="-19"/>
        </w:rPr>
        <w:t> </w:t>
      </w:r>
      <w:r>
        <w:rPr/>
        <w:t>effect</w:t>
      </w:r>
      <w:r>
        <w:rPr>
          <w:spacing w:val="-20"/>
        </w:rPr>
        <w:t> </w:t>
      </w:r>
      <w:r>
        <w:rPr/>
        <w:t>of</w:t>
      </w:r>
      <w:r>
        <w:rPr>
          <w:spacing w:val="-21"/>
        </w:rPr>
        <w:t> </w:t>
      </w:r>
      <w:r>
        <w:rPr/>
        <w:t>colloids</w:t>
      </w:r>
      <w:r>
        <w:rPr>
          <w:spacing w:val="-20"/>
        </w:rPr>
        <w:t> </w:t>
      </w:r>
      <w:r>
        <w:rPr/>
        <w:t>(e.g.</w:t>
      </w:r>
      <w:r>
        <w:rPr>
          <w:spacing w:val="-20"/>
        </w:rPr>
        <w:t> </w:t>
      </w:r>
      <w:r>
        <w:rPr/>
        <w:t>colloidal gold). Many researchers claim that their effect is vastly superior to that of vit- amins</w:t>
      </w:r>
      <w:r>
        <w:rPr>
          <w:spacing w:val="-9"/>
        </w:rPr>
        <w:t> </w:t>
      </w:r>
      <w:r>
        <w:rPr/>
        <w:t>and</w:t>
      </w:r>
      <w:r>
        <w:rPr>
          <w:spacing w:val="-8"/>
        </w:rPr>
        <w:t> </w:t>
      </w:r>
      <w:r>
        <w:rPr/>
        <w:t>if</w:t>
      </w:r>
      <w:r>
        <w:rPr>
          <w:spacing w:val="-9"/>
        </w:rPr>
        <w:t> </w:t>
      </w:r>
      <w:r>
        <w:rPr/>
        <w:t>used</w:t>
      </w:r>
      <w:r>
        <w:rPr>
          <w:spacing w:val="-9"/>
        </w:rPr>
        <w:t> </w:t>
      </w:r>
      <w:r>
        <w:rPr/>
        <w:t>correctly,</w:t>
      </w:r>
      <w:r>
        <w:rPr>
          <w:spacing w:val="-11"/>
        </w:rPr>
        <w:t> </w:t>
      </w:r>
      <w:r>
        <w:rPr/>
        <w:t>could</w:t>
      </w:r>
      <w:r>
        <w:rPr>
          <w:spacing w:val="-9"/>
        </w:rPr>
        <w:t> </w:t>
      </w:r>
      <w:r>
        <w:rPr/>
        <w:t>help</w:t>
      </w:r>
      <w:r>
        <w:rPr>
          <w:spacing w:val="-8"/>
        </w:rPr>
        <w:t> </w:t>
      </w:r>
      <w:r>
        <w:rPr/>
        <w:t>us</w:t>
      </w:r>
      <w:r>
        <w:rPr>
          <w:spacing w:val="-10"/>
        </w:rPr>
        <w:t> </w:t>
      </w:r>
      <w:r>
        <w:rPr/>
        <w:t>live</w:t>
      </w:r>
      <w:r>
        <w:rPr>
          <w:spacing w:val="-10"/>
        </w:rPr>
        <w:t> </w:t>
      </w:r>
      <w:r>
        <w:rPr/>
        <w:t>for</w:t>
      </w:r>
      <w:r>
        <w:rPr>
          <w:spacing w:val="-9"/>
        </w:rPr>
        <w:t> </w:t>
      </w:r>
      <w:r>
        <w:rPr/>
        <w:t>several</w:t>
      </w:r>
      <w:r>
        <w:rPr>
          <w:spacing w:val="-11"/>
        </w:rPr>
        <w:t> </w:t>
      </w:r>
      <w:r>
        <w:rPr/>
        <w:t>decades</w:t>
      </w:r>
      <w:r>
        <w:rPr>
          <w:spacing w:val="-10"/>
        </w:rPr>
        <w:t> </w:t>
      </w:r>
      <w:r>
        <w:rPr/>
        <w:t>longer</w:t>
      </w:r>
      <w:r>
        <w:rPr>
          <w:spacing w:val="-8"/>
        </w:rPr>
        <w:t> </w:t>
      </w:r>
      <w:r>
        <w:rPr/>
        <w:t>in</w:t>
      </w:r>
      <w:r>
        <w:rPr>
          <w:spacing w:val="-8"/>
        </w:rPr>
        <w:t> </w:t>
      </w:r>
      <w:r>
        <w:rPr/>
        <w:t>the best of</w:t>
      </w:r>
      <w:r>
        <w:rPr>
          <w:spacing w:val="1"/>
        </w:rPr>
        <w:t> </w:t>
      </w:r>
      <w:r>
        <w:rPr/>
        <w:t>health!</w:t>
      </w:r>
    </w:p>
    <w:p>
      <w:pPr>
        <w:pStyle w:val="BodyText"/>
        <w:spacing w:before="241"/>
        <w:ind w:left="116"/>
        <w:jc w:val="both"/>
      </w:pPr>
      <w:r>
        <w:rPr/>
        <w:t>Our quality of life does not depend on our finances or other material things in</w:t>
      </w:r>
    </w:p>
    <w:p>
      <w:pPr>
        <w:spacing w:after="0"/>
        <w:jc w:val="both"/>
        <w:sectPr>
          <w:pgSz w:w="14260" w:h="16840"/>
          <w:pgMar w:header="0" w:footer="402" w:top="1320" w:bottom="2280" w:left="1300" w:right="1297"/>
        </w:sectPr>
      </w:pPr>
    </w:p>
    <w:p>
      <w:pPr>
        <w:pStyle w:val="BodyText"/>
        <w:spacing w:line="276" w:lineRule="auto" w:before="74"/>
        <w:ind w:left="116" w:right="115"/>
        <w:jc w:val="both"/>
      </w:pPr>
      <w:r>
        <w:rPr/>
        <w:t>any way. It is about time that humans realised that they consist of about 37,2 trillion body cells and that it is the health of these cells that determines their quality of life. After all, what is the benefit of being able to afford five luxury holidays a year while plagued by regular migraines... What good is it to have the</w:t>
      </w:r>
      <w:r>
        <w:rPr>
          <w:spacing w:val="-11"/>
        </w:rPr>
        <w:t> </w:t>
      </w:r>
      <w:r>
        <w:rPr/>
        <w:t>latest</w:t>
      </w:r>
      <w:r>
        <w:rPr>
          <w:spacing w:val="-12"/>
        </w:rPr>
        <w:t> </w:t>
      </w:r>
      <w:r>
        <w:rPr/>
        <w:t>Porsche</w:t>
      </w:r>
      <w:r>
        <w:rPr>
          <w:spacing w:val="-12"/>
        </w:rPr>
        <w:t> </w:t>
      </w:r>
      <w:r>
        <w:rPr/>
        <w:t>if</w:t>
      </w:r>
      <w:r>
        <w:rPr>
          <w:spacing w:val="-13"/>
        </w:rPr>
        <w:t> </w:t>
      </w:r>
      <w:r>
        <w:rPr/>
        <w:t>we</w:t>
      </w:r>
      <w:r>
        <w:rPr>
          <w:spacing w:val="-15"/>
        </w:rPr>
        <w:t> </w:t>
      </w:r>
      <w:r>
        <w:rPr/>
        <w:t>have</w:t>
      </w:r>
      <w:r>
        <w:rPr>
          <w:spacing w:val="-11"/>
        </w:rPr>
        <w:t> </w:t>
      </w:r>
      <w:r>
        <w:rPr/>
        <w:t>crippling</w:t>
      </w:r>
      <w:r>
        <w:rPr>
          <w:spacing w:val="-11"/>
        </w:rPr>
        <w:t> </w:t>
      </w:r>
      <w:r>
        <w:rPr/>
        <w:t>back</w:t>
      </w:r>
      <w:r>
        <w:rPr>
          <w:spacing w:val="-11"/>
        </w:rPr>
        <w:t> </w:t>
      </w:r>
      <w:r>
        <w:rPr/>
        <w:t>pain</w:t>
      </w:r>
      <w:r>
        <w:rPr>
          <w:spacing w:val="-16"/>
        </w:rPr>
        <w:t> </w:t>
      </w:r>
      <w:r>
        <w:rPr/>
        <w:t>when</w:t>
      </w:r>
      <w:r>
        <w:rPr>
          <w:spacing w:val="-11"/>
        </w:rPr>
        <w:t> </w:t>
      </w:r>
      <w:r>
        <w:rPr/>
        <w:t>getting</w:t>
      </w:r>
      <w:r>
        <w:rPr>
          <w:spacing w:val="-11"/>
        </w:rPr>
        <w:t> </w:t>
      </w:r>
      <w:r>
        <w:rPr/>
        <w:t>out,</w:t>
      </w:r>
      <w:r>
        <w:rPr>
          <w:spacing w:val="-11"/>
        </w:rPr>
        <w:t> </w:t>
      </w:r>
      <w:r>
        <w:rPr/>
        <w:t>or</w:t>
      </w:r>
      <w:r>
        <w:rPr>
          <w:spacing w:val="-13"/>
        </w:rPr>
        <w:t> </w:t>
      </w:r>
      <w:r>
        <w:rPr/>
        <w:t>a</w:t>
      </w:r>
      <w:r>
        <w:rPr>
          <w:spacing w:val="-13"/>
        </w:rPr>
        <w:t> </w:t>
      </w:r>
      <w:r>
        <w:rPr/>
        <w:t>villa</w:t>
      </w:r>
      <w:r>
        <w:rPr>
          <w:spacing w:val="-13"/>
        </w:rPr>
        <w:t> </w:t>
      </w:r>
      <w:r>
        <w:rPr/>
        <w:t>on the outskirts of the city where we cannot climb the stairs without having to clutch</w:t>
      </w:r>
      <w:r>
        <w:rPr>
          <w:spacing w:val="-8"/>
        </w:rPr>
        <w:t> </w:t>
      </w:r>
      <w:r>
        <w:rPr/>
        <w:t>our</w:t>
      </w:r>
      <w:r>
        <w:rPr>
          <w:spacing w:val="-9"/>
        </w:rPr>
        <w:t> </w:t>
      </w:r>
      <w:r>
        <w:rPr/>
        <w:t>chests,</w:t>
      </w:r>
      <w:r>
        <w:rPr>
          <w:spacing w:val="-7"/>
        </w:rPr>
        <w:t> </w:t>
      </w:r>
      <w:r>
        <w:rPr/>
        <w:t>short</w:t>
      </w:r>
      <w:r>
        <w:rPr>
          <w:spacing w:val="-10"/>
        </w:rPr>
        <w:t> </w:t>
      </w:r>
      <w:r>
        <w:rPr/>
        <w:t>of</w:t>
      </w:r>
      <w:r>
        <w:rPr>
          <w:spacing w:val="-10"/>
        </w:rPr>
        <w:t> </w:t>
      </w:r>
      <w:r>
        <w:rPr/>
        <w:t>breath...</w:t>
      </w:r>
      <w:r>
        <w:rPr>
          <w:spacing w:val="-10"/>
        </w:rPr>
        <w:t> </w:t>
      </w:r>
      <w:r>
        <w:rPr/>
        <w:t>Only</w:t>
      </w:r>
      <w:r>
        <w:rPr>
          <w:spacing w:val="-9"/>
        </w:rPr>
        <w:t> </w:t>
      </w:r>
      <w:r>
        <w:rPr/>
        <w:t>when</w:t>
      </w:r>
      <w:r>
        <w:rPr>
          <w:spacing w:val="-8"/>
        </w:rPr>
        <w:t> </w:t>
      </w:r>
      <w:r>
        <w:rPr/>
        <w:t>our</w:t>
      </w:r>
      <w:r>
        <w:rPr>
          <w:spacing w:val="-9"/>
        </w:rPr>
        <w:t> </w:t>
      </w:r>
      <w:r>
        <w:rPr/>
        <w:t>cells</w:t>
      </w:r>
      <w:r>
        <w:rPr>
          <w:spacing w:val="-9"/>
        </w:rPr>
        <w:t> </w:t>
      </w:r>
      <w:r>
        <w:rPr/>
        <w:t>are</w:t>
      </w:r>
      <w:r>
        <w:rPr>
          <w:spacing w:val="-8"/>
        </w:rPr>
        <w:t> </w:t>
      </w:r>
      <w:r>
        <w:rPr/>
        <w:t>in</w:t>
      </w:r>
      <w:r>
        <w:rPr>
          <w:spacing w:val="-9"/>
        </w:rPr>
        <w:t> </w:t>
      </w:r>
      <w:r>
        <w:rPr/>
        <w:t>good</w:t>
      </w:r>
      <w:r>
        <w:rPr>
          <w:spacing w:val="-9"/>
        </w:rPr>
        <w:t> </w:t>
      </w:r>
      <w:r>
        <w:rPr/>
        <w:t>health</w:t>
      </w:r>
      <w:r>
        <w:rPr>
          <w:spacing w:val="-9"/>
        </w:rPr>
        <w:t> </w:t>
      </w:r>
      <w:r>
        <w:rPr/>
        <w:t>can we be in good health. Unfortunately, this is something that even supposedly very intelligent people do not seem to have understood, and so even the most intelligent geniuses still suffer from - and die unnecessarily from - preventable diseases</w:t>
      </w:r>
      <w:r>
        <w:rPr>
          <w:spacing w:val="-18"/>
        </w:rPr>
        <w:t> </w:t>
      </w:r>
      <w:r>
        <w:rPr/>
        <w:t>and</w:t>
      </w:r>
      <w:r>
        <w:rPr>
          <w:spacing w:val="-17"/>
        </w:rPr>
        <w:t> </w:t>
      </w:r>
      <w:r>
        <w:rPr/>
        <w:t>premature</w:t>
      </w:r>
      <w:r>
        <w:rPr>
          <w:spacing w:val="-17"/>
        </w:rPr>
        <w:t> </w:t>
      </w:r>
      <w:r>
        <w:rPr/>
        <w:t>ageing</w:t>
      </w:r>
      <w:r>
        <w:rPr>
          <w:spacing w:val="-13"/>
        </w:rPr>
        <w:t> </w:t>
      </w:r>
      <w:r>
        <w:rPr/>
        <w:t>because</w:t>
      </w:r>
      <w:r>
        <w:rPr>
          <w:spacing w:val="-18"/>
        </w:rPr>
        <w:t> </w:t>
      </w:r>
      <w:r>
        <w:rPr/>
        <w:t>they</w:t>
      </w:r>
      <w:r>
        <w:rPr>
          <w:spacing w:val="-17"/>
        </w:rPr>
        <w:t> </w:t>
      </w:r>
      <w:r>
        <w:rPr/>
        <w:t>have</w:t>
      </w:r>
      <w:r>
        <w:rPr>
          <w:spacing w:val="-17"/>
        </w:rPr>
        <w:t> </w:t>
      </w:r>
      <w:r>
        <w:rPr/>
        <w:t>misjudged</w:t>
      </w:r>
      <w:r>
        <w:rPr>
          <w:spacing w:val="-18"/>
        </w:rPr>
        <w:t> </w:t>
      </w:r>
      <w:r>
        <w:rPr/>
        <w:t>their</w:t>
      </w:r>
      <w:r>
        <w:rPr>
          <w:spacing w:val="-19"/>
        </w:rPr>
        <w:t> </w:t>
      </w:r>
      <w:r>
        <w:rPr/>
        <w:t>priorities</w:t>
      </w:r>
      <w:r>
        <w:rPr>
          <w:spacing w:val="-16"/>
        </w:rPr>
        <w:t> </w:t>
      </w:r>
      <w:r>
        <w:rPr/>
        <w:t>and because they have trusted the wrong sources of</w:t>
      </w:r>
      <w:r>
        <w:rPr>
          <w:spacing w:val="-2"/>
        </w:rPr>
        <w:t> </w:t>
      </w:r>
      <w:r>
        <w:rPr/>
        <w:t>information...</w:t>
      </w:r>
    </w:p>
    <w:p>
      <w:pPr>
        <w:pStyle w:val="BodyText"/>
        <w:spacing w:line="276" w:lineRule="auto" w:before="243"/>
        <w:ind w:left="116" w:right="115"/>
        <w:jc w:val="both"/>
      </w:pPr>
      <w:r>
        <w:rPr/>
        <w:t>In the following, you can read about conditions such as cancer, heart attacks, stroke, diabetes, arthrosis, arthritis, allergies, dementia, depression, asthma, hepatitis, migraine, or impotence, as well as all diseases ending in ‘-itis’, and how you can rid yourself of them forever by purchasing this book!</w:t>
      </w:r>
    </w:p>
    <w:p>
      <w:pPr>
        <w:pStyle w:val="BodyText"/>
        <w:spacing w:line="427" w:lineRule="exact"/>
        <w:ind w:left="116"/>
      </w:pPr>
      <w:r>
        <w:rPr/>
        <w:t>All these diseases are scourges of modern humanity which are</w:t>
      </w:r>
    </w:p>
    <w:p>
      <w:pPr>
        <w:pStyle w:val="Heading2"/>
        <w:spacing w:before="64"/>
        <w:ind w:left="1822"/>
      </w:pPr>
      <w:r>
        <w:rPr/>
        <w:t>completely unnecessary and completely avoidable</w:t>
      </w:r>
    </w:p>
    <w:p>
      <w:pPr>
        <w:pStyle w:val="BodyText"/>
        <w:spacing w:line="276" w:lineRule="auto" w:before="305"/>
        <w:ind w:left="116" w:right="113"/>
        <w:jc w:val="both"/>
      </w:pPr>
      <w:r>
        <w:rPr/>
        <w:t>because an herb has grown which can be used to combat every – yes, every - disease!</w:t>
      </w:r>
    </w:p>
    <w:p>
      <w:pPr>
        <w:pStyle w:val="BodyText"/>
        <w:spacing w:line="276" w:lineRule="auto" w:before="238"/>
        <w:ind w:left="116" w:right="116"/>
        <w:jc w:val="both"/>
      </w:pPr>
      <w:r>
        <w:rPr/>
        <w:t>We</w:t>
      </w:r>
      <w:r>
        <w:rPr>
          <w:spacing w:val="-15"/>
        </w:rPr>
        <w:t> </w:t>
      </w:r>
      <w:r>
        <w:rPr/>
        <w:t>reveal</w:t>
      </w:r>
      <w:r>
        <w:rPr>
          <w:spacing w:val="-15"/>
        </w:rPr>
        <w:t> </w:t>
      </w:r>
      <w:r>
        <w:rPr/>
        <w:t>to</w:t>
      </w:r>
      <w:r>
        <w:rPr>
          <w:spacing w:val="-14"/>
        </w:rPr>
        <w:t> </w:t>
      </w:r>
      <w:r>
        <w:rPr/>
        <w:t>you</w:t>
      </w:r>
      <w:r>
        <w:rPr>
          <w:spacing w:val="-16"/>
        </w:rPr>
        <w:t> </w:t>
      </w:r>
      <w:r>
        <w:rPr/>
        <w:t>the</w:t>
      </w:r>
      <w:r>
        <w:rPr>
          <w:spacing w:val="-13"/>
        </w:rPr>
        <w:t> </w:t>
      </w:r>
      <w:r>
        <w:rPr/>
        <w:t>amazing</w:t>
      </w:r>
      <w:r>
        <w:rPr>
          <w:spacing w:val="-16"/>
        </w:rPr>
        <w:t> </w:t>
      </w:r>
      <w:r>
        <w:rPr/>
        <w:t>power</w:t>
      </w:r>
      <w:r>
        <w:rPr>
          <w:spacing w:val="-13"/>
        </w:rPr>
        <w:t> </w:t>
      </w:r>
      <w:r>
        <w:rPr/>
        <w:t>of</w:t>
      </w:r>
      <w:r>
        <w:rPr>
          <w:spacing w:val="-15"/>
        </w:rPr>
        <w:t> </w:t>
      </w:r>
      <w:r>
        <w:rPr/>
        <w:t>Mother</w:t>
      </w:r>
      <w:r>
        <w:rPr>
          <w:spacing w:val="-16"/>
        </w:rPr>
        <w:t> </w:t>
      </w:r>
      <w:r>
        <w:rPr/>
        <w:t>Nature</w:t>
      </w:r>
      <w:r>
        <w:rPr>
          <w:spacing w:val="-14"/>
        </w:rPr>
        <w:t> </w:t>
      </w:r>
      <w:r>
        <w:rPr/>
        <w:t>which</w:t>
      </w:r>
      <w:r>
        <w:rPr>
          <w:spacing w:val="-14"/>
        </w:rPr>
        <w:t> </w:t>
      </w:r>
      <w:r>
        <w:rPr/>
        <w:t>your</w:t>
      </w:r>
      <w:r>
        <w:rPr>
          <w:spacing w:val="-14"/>
        </w:rPr>
        <w:t> </w:t>
      </w:r>
      <w:r>
        <w:rPr/>
        <w:t>doctors</w:t>
      </w:r>
      <w:r>
        <w:rPr>
          <w:spacing w:val="-16"/>
        </w:rPr>
        <w:t> </w:t>
      </w:r>
      <w:r>
        <w:rPr/>
        <w:t>are not</w:t>
      </w:r>
      <w:r>
        <w:rPr>
          <w:spacing w:val="33"/>
        </w:rPr>
        <w:t> </w:t>
      </w:r>
      <w:r>
        <w:rPr/>
        <w:t>aware</w:t>
      </w:r>
      <w:r>
        <w:rPr>
          <w:spacing w:val="34"/>
        </w:rPr>
        <w:t> </w:t>
      </w:r>
      <w:r>
        <w:rPr/>
        <w:t>of</w:t>
      </w:r>
      <w:r>
        <w:rPr>
          <w:spacing w:val="34"/>
        </w:rPr>
        <w:t> </w:t>
      </w:r>
      <w:r>
        <w:rPr/>
        <w:t>due</w:t>
      </w:r>
      <w:r>
        <w:rPr>
          <w:spacing w:val="34"/>
        </w:rPr>
        <w:t> </w:t>
      </w:r>
      <w:r>
        <w:rPr/>
        <w:t>to</w:t>
      </w:r>
      <w:r>
        <w:rPr>
          <w:spacing w:val="34"/>
        </w:rPr>
        <w:t> </w:t>
      </w:r>
      <w:r>
        <w:rPr/>
        <w:t>the</w:t>
      </w:r>
      <w:r>
        <w:rPr>
          <w:spacing w:val="36"/>
        </w:rPr>
        <w:t> </w:t>
      </w:r>
      <w:r>
        <w:rPr/>
        <w:t>suppression</w:t>
      </w:r>
      <w:r>
        <w:rPr>
          <w:spacing w:val="34"/>
        </w:rPr>
        <w:t> </w:t>
      </w:r>
      <w:r>
        <w:rPr/>
        <w:t>of</w:t>
      </w:r>
      <w:r>
        <w:rPr>
          <w:spacing w:val="34"/>
        </w:rPr>
        <w:t> </w:t>
      </w:r>
      <w:r>
        <w:rPr/>
        <w:t>teaching</w:t>
      </w:r>
      <w:r>
        <w:rPr>
          <w:spacing w:val="33"/>
        </w:rPr>
        <w:t> </w:t>
      </w:r>
      <w:r>
        <w:rPr/>
        <w:t>content</w:t>
      </w:r>
      <w:r>
        <w:rPr>
          <w:spacing w:val="33"/>
        </w:rPr>
        <w:t> </w:t>
      </w:r>
      <w:r>
        <w:rPr/>
        <w:t>in</w:t>
      </w:r>
      <w:r>
        <w:rPr>
          <w:spacing w:val="34"/>
        </w:rPr>
        <w:t> </w:t>
      </w:r>
      <w:r>
        <w:rPr/>
        <w:t>universities</w:t>
      </w:r>
      <w:r>
        <w:rPr>
          <w:spacing w:val="36"/>
        </w:rPr>
        <w:t> </w:t>
      </w:r>
      <w:r>
        <w:rPr/>
        <w:t>and</w:t>
      </w:r>
    </w:p>
    <w:p>
      <w:pPr>
        <w:spacing w:after="0" w:line="276" w:lineRule="auto"/>
        <w:jc w:val="both"/>
        <w:sectPr>
          <w:pgSz w:w="14260" w:h="16840"/>
          <w:pgMar w:header="0" w:footer="402" w:top="1320" w:bottom="2280" w:left="1300" w:right="1297"/>
        </w:sectPr>
      </w:pPr>
    </w:p>
    <w:p>
      <w:pPr>
        <w:pStyle w:val="BodyText"/>
        <w:spacing w:before="74"/>
        <w:ind w:left="116"/>
      </w:pPr>
      <w:r>
        <w:rPr/>
        <w:t>falsified studies - confirmed by clear analysis and expert statements!</w:t>
      </w:r>
    </w:p>
    <w:p>
      <w:pPr>
        <w:pStyle w:val="Heading1"/>
        <w:spacing w:before="287"/>
        <w:ind w:left="2482"/>
      </w:pPr>
      <w:r>
        <w:rPr/>
        <w:t>3 + 3 = 243 - the ingenious synergy effect!</w:t>
      </w:r>
    </w:p>
    <w:p>
      <w:pPr>
        <w:pStyle w:val="BodyText"/>
        <w:spacing w:line="276" w:lineRule="auto" w:before="300"/>
        <w:ind w:left="116" w:right="113"/>
        <w:jc w:val="both"/>
      </w:pPr>
      <w:r>
        <w:rPr/>
        <w:t>The</w:t>
      </w:r>
      <w:r>
        <w:rPr>
          <w:spacing w:val="-16"/>
        </w:rPr>
        <w:t> </w:t>
      </w:r>
      <w:r>
        <w:rPr/>
        <w:t>individual</w:t>
      </w:r>
      <w:r>
        <w:rPr>
          <w:spacing w:val="-17"/>
        </w:rPr>
        <w:t> </w:t>
      </w:r>
      <w:r>
        <w:rPr/>
        <w:t>effects</w:t>
      </w:r>
      <w:r>
        <w:rPr>
          <w:spacing w:val="-15"/>
        </w:rPr>
        <w:t> </w:t>
      </w:r>
      <w:r>
        <w:rPr/>
        <w:t>of</w:t>
      </w:r>
      <w:r>
        <w:rPr>
          <w:spacing w:val="-18"/>
        </w:rPr>
        <w:t> </w:t>
      </w:r>
      <w:r>
        <w:rPr/>
        <w:t>just</w:t>
      </w:r>
      <w:r>
        <w:rPr>
          <w:spacing w:val="-16"/>
        </w:rPr>
        <w:t> </w:t>
      </w:r>
      <w:r>
        <w:rPr/>
        <w:t>the</w:t>
      </w:r>
      <w:r>
        <w:rPr>
          <w:spacing w:val="-18"/>
        </w:rPr>
        <w:t> </w:t>
      </w:r>
      <w:r>
        <w:rPr/>
        <w:t>few</w:t>
      </w:r>
      <w:r>
        <w:rPr>
          <w:spacing w:val="-17"/>
        </w:rPr>
        <w:t> </w:t>
      </w:r>
      <w:r>
        <w:rPr/>
        <w:t>examples</w:t>
      </w:r>
      <w:r>
        <w:rPr>
          <w:spacing w:val="-15"/>
        </w:rPr>
        <w:t> </w:t>
      </w:r>
      <w:r>
        <w:rPr/>
        <w:t>of</w:t>
      </w:r>
      <w:r>
        <w:rPr>
          <w:spacing w:val="-19"/>
        </w:rPr>
        <w:t> </w:t>
      </w:r>
      <w:r>
        <w:rPr/>
        <w:t>substances</w:t>
      </w:r>
      <w:r>
        <w:rPr>
          <w:spacing w:val="-15"/>
        </w:rPr>
        <w:t> </w:t>
      </w:r>
      <w:r>
        <w:rPr/>
        <w:t>mentioned</w:t>
      </w:r>
      <w:r>
        <w:rPr>
          <w:spacing w:val="-16"/>
        </w:rPr>
        <w:t> </w:t>
      </w:r>
      <w:r>
        <w:rPr/>
        <w:t>in</w:t>
      </w:r>
      <w:r>
        <w:rPr>
          <w:spacing w:val="-16"/>
        </w:rPr>
        <w:t> </w:t>
      </w:r>
      <w:r>
        <w:rPr/>
        <w:t>this book are already incredible! What do you think the effect of a </w:t>
      </w:r>
      <w:r>
        <w:rPr>
          <w:i/>
        </w:rPr>
        <w:t>combination </w:t>
      </w:r>
      <w:r>
        <w:rPr/>
        <w:t>of these substances will</w:t>
      </w:r>
      <w:r>
        <w:rPr>
          <w:spacing w:val="-1"/>
        </w:rPr>
        <w:t> </w:t>
      </w:r>
      <w:r>
        <w:rPr/>
        <w:t>be?!</w:t>
      </w:r>
    </w:p>
    <w:p>
      <w:pPr>
        <w:pStyle w:val="BodyText"/>
        <w:spacing w:line="276" w:lineRule="auto" w:before="241"/>
        <w:ind w:left="116" w:right="118"/>
        <w:jc w:val="both"/>
      </w:pPr>
      <w:r>
        <w:rPr/>
        <w:t>The </w:t>
      </w:r>
      <w:r>
        <w:rPr>
          <w:b/>
          <w:u w:val="single"/>
        </w:rPr>
        <w:t>combination</w:t>
      </w:r>
      <w:r>
        <w:rPr>
          <w:b/>
        </w:rPr>
        <w:t> </w:t>
      </w:r>
      <w:r>
        <w:rPr/>
        <w:t>of several of these extremely potent natural substances from this book does not just add up their powers - it </w:t>
      </w:r>
      <w:r>
        <w:rPr>
          <w:b/>
          <w:u w:val="single"/>
        </w:rPr>
        <w:t>multiplies</w:t>
      </w:r>
      <w:r>
        <w:rPr>
          <w:b/>
        </w:rPr>
        <w:t> </w:t>
      </w:r>
      <w:r>
        <w:rPr/>
        <w:t>them.</w:t>
      </w:r>
    </w:p>
    <w:p>
      <w:pPr>
        <w:pStyle w:val="BodyText"/>
        <w:spacing w:line="276" w:lineRule="auto" w:before="239"/>
        <w:ind w:left="116" w:right="112"/>
        <w:jc w:val="both"/>
      </w:pPr>
      <w:r>
        <w:rPr/>
        <w:t>For example, as you will read, in the presence of another natural substance called</w:t>
      </w:r>
      <w:r>
        <w:rPr>
          <w:spacing w:val="-18"/>
        </w:rPr>
        <w:t> </w:t>
      </w:r>
      <w:r>
        <w:rPr/>
        <w:t>resveratrol,</w:t>
      </w:r>
      <w:r>
        <w:rPr>
          <w:spacing w:val="-17"/>
        </w:rPr>
        <w:t> </w:t>
      </w:r>
      <w:r>
        <w:rPr/>
        <w:t>the</w:t>
      </w:r>
      <w:r>
        <w:rPr>
          <w:spacing w:val="-16"/>
        </w:rPr>
        <w:t> </w:t>
      </w:r>
      <w:r>
        <w:rPr/>
        <w:t>natural</w:t>
      </w:r>
      <w:r>
        <w:rPr>
          <w:spacing w:val="-18"/>
        </w:rPr>
        <w:t> </w:t>
      </w:r>
      <w:r>
        <w:rPr/>
        <w:t>substance</w:t>
      </w:r>
      <w:r>
        <w:rPr>
          <w:spacing w:val="-15"/>
        </w:rPr>
        <w:t> </w:t>
      </w:r>
      <w:r>
        <w:rPr/>
        <w:t>‘Bioperine’</w:t>
      </w:r>
      <w:r>
        <w:rPr>
          <w:spacing w:val="-17"/>
        </w:rPr>
        <w:t> </w:t>
      </w:r>
      <w:r>
        <w:rPr/>
        <w:t>improves</w:t>
      </w:r>
      <w:r>
        <w:rPr>
          <w:spacing w:val="-16"/>
        </w:rPr>
        <w:t> </w:t>
      </w:r>
      <w:r>
        <w:rPr/>
        <w:t>the</w:t>
      </w:r>
      <w:r>
        <w:rPr>
          <w:spacing w:val="-22"/>
        </w:rPr>
        <w:t> </w:t>
      </w:r>
      <w:r>
        <w:rPr/>
        <w:t>desired</w:t>
      </w:r>
      <w:r>
        <w:rPr>
          <w:spacing w:val="-16"/>
        </w:rPr>
        <w:t> </w:t>
      </w:r>
      <w:r>
        <w:rPr/>
        <w:t>effect by</w:t>
      </w:r>
      <w:r>
        <w:rPr>
          <w:spacing w:val="-11"/>
        </w:rPr>
        <w:t> </w:t>
      </w:r>
      <w:r>
        <w:rPr/>
        <w:t>1544</w:t>
      </w:r>
      <w:r>
        <w:rPr>
          <w:spacing w:val="-11"/>
        </w:rPr>
        <w:t> </w:t>
      </w:r>
      <w:r>
        <w:rPr/>
        <w:t>%,</w:t>
      </w:r>
      <w:r>
        <w:rPr>
          <w:spacing w:val="-11"/>
        </w:rPr>
        <w:t> </w:t>
      </w:r>
      <w:r>
        <w:rPr/>
        <w:t>while</w:t>
      </w:r>
      <w:r>
        <w:rPr>
          <w:spacing w:val="-11"/>
        </w:rPr>
        <w:t> </w:t>
      </w:r>
      <w:r>
        <w:rPr/>
        <w:t>curcumin</w:t>
      </w:r>
      <w:r>
        <w:rPr>
          <w:spacing w:val="-11"/>
        </w:rPr>
        <w:t> </w:t>
      </w:r>
      <w:r>
        <w:rPr/>
        <w:t>has</w:t>
      </w:r>
      <w:r>
        <w:rPr>
          <w:spacing w:val="-10"/>
        </w:rPr>
        <w:t> </w:t>
      </w:r>
      <w:r>
        <w:rPr/>
        <w:t>even</w:t>
      </w:r>
      <w:r>
        <w:rPr>
          <w:spacing w:val="-10"/>
        </w:rPr>
        <w:t> </w:t>
      </w:r>
      <w:r>
        <w:rPr/>
        <w:t>increased</w:t>
      </w:r>
      <w:r>
        <w:rPr>
          <w:spacing w:val="-11"/>
        </w:rPr>
        <w:t> </w:t>
      </w:r>
      <w:r>
        <w:rPr/>
        <w:t>these</w:t>
      </w:r>
      <w:r>
        <w:rPr>
          <w:spacing w:val="-10"/>
        </w:rPr>
        <w:t> </w:t>
      </w:r>
      <w:r>
        <w:rPr/>
        <w:t>values</w:t>
      </w:r>
      <w:r>
        <w:rPr>
          <w:spacing w:val="-15"/>
        </w:rPr>
        <w:t> </w:t>
      </w:r>
      <w:r>
        <w:rPr/>
        <w:t>by</w:t>
      </w:r>
      <w:r>
        <w:rPr>
          <w:spacing w:val="-10"/>
        </w:rPr>
        <w:t> </w:t>
      </w:r>
      <w:r>
        <w:rPr/>
        <w:t>2000</w:t>
      </w:r>
      <w:r>
        <w:rPr>
          <w:spacing w:val="-12"/>
        </w:rPr>
        <w:t> </w:t>
      </w:r>
      <w:r>
        <w:rPr/>
        <w:t>%</w:t>
      </w:r>
      <w:r>
        <w:rPr>
          <w:spacing w:val="-11"/>
        </w:rPr>
        <w:t> </w:t>
      </w:r>
      <w:r>
        <w:rPr/>
        <w:t>in</w:t>
      </w:r>
      <w:r>
        <w:rPr>
          <w:spacing w:val="-11"/>
        </w:rPr>
        <w:t> </w:t>
      </w:r>
      <w:r>
        <w:rPr/>
        <w:t>stud- ies! In a few minutes you will learn why you need no longer fear almost any disease</w:t>
      </w:r>
      <w:r>
        <w:rPr>
          <w:spacing w:val="-18"/>
        </w:rPr>
        <w:t> </w:t>
      </w:r>
      <w:r>
        <w:rPr/>
        <w:t>once</w:t>
      </w:r>
      <w:r>
        <w:rPr>
          <w:spacing w:val="-20"/>
        </w:rPr>
        <w:t> </w:t>
      </w:r>
      <w:r>
        <w:rPr/>
        <w:t>you</w:t>
      </w:r>
      <w:r>
        <w:rPr>
          <w:spacing w:val="-19"/>
        </w:rPr>
        <w:t> </w:t>
      </w:r>
      <w:r>
        <w:rPr/>
        <w:t>have</w:t>
      </w:r>
      <w:r>
        <w:rPr>
          <w:spacing w:val="-19"/>
        </w:rPr>
        <w:t> </w:t>
      </w:r>
      <w:r>
        <w:rPr/>
        <w:t>the</w:t>
      </w:r>
      <w:r>
        <w:rPr>
          <w:spacing w:val="-20"/>
        </w:rPr>
        <w:t> </w:t>
      </w:r>
      <w:r>
        <w:rPr/>
        <w:t>insider</w:t>
      </w:r>
      <w:r>
        <w:rPr>
          <w:spacing w:val="-22"/>
        </w:rPr>
        <w:t> </w:t>
      </w:r>
      <w:r>
        <w:rPr/>
        <w:t>knowledge</w:t>
      </w:r>
      <w:r>
        <w:rPr>
          <w:spacing w:val="-17"/>
        </w:rPr>
        <w:t> </w:t>
      </w:r>
      <w:r>
        <w:rPr/>
        <w:t>from</w:t>
      </w:r>
      <w:r>
        <w:rPr>
          <w:spacing w:val="-19"/>
        </w:rPr>
        <w:t> </w:t>
      </w:r>
      <w:r>
        <w:rPr/>
        <w:t>the</w:t>
      </w:r>
      <w:r>
        <w:rPr>
          <w:spacing w:val="-20"/>
        </w:rPr>
        <w:t> </w:t>
      </w:r>
      <w:r>
        <w:rPr/>
        <w:t>reference</w:t>
      </w:r>
      <w:r>
        <w:rPr>
          <w:spacing w:val="-20"/>
        </w:rPr>
        <w:t> </w:t>
      </w:r>
      <w:r>
        <w:rPr/>
        <w:t>work</w:t>
      </w:r>
      <w:r>
        <w:rPr>
          <w:spacing w:val="-17"/>
        </w:rPr>
        <w:t> </w:t>
      </w:r>
      <w:r>
        <w:rPr/>
        <w:t>you</w:t>
      </w:r>
      <w:r>
        <w:rPr>
          <w:spacing w:val="-22"/>
        </w:rPr>
        <w:t> </w:t>
      </w:r>
      <w:r>
        <w:rPr/>
        <w:t>hold in your hand, because the Codex Humanus treats hundreds of</w:t>
      </w:r>
      <w:r>
        <w:rPr>
          <w:spacing w:val="-10"/>
        </w:rPr>
        <w:t> </w:t>
      </w:r>
      <w:r>
        <w:rPr/>
        <w:t>diseases!</w:t>
      </w:r>
    </w:p>
    <w:p>
      <w:pPr>
        <w:pStyle w:val="BodyText"/>
        <w:spacing w:line="276" w:lineRule="auto" w:before="240"/>
        <w:ind w:left="116" w:right="116"/>
        <w:jc w:val="both"/>
      </w:pPr>
      <w:r>
        <w:rPr/>
        <w:t>From mild coughing to HIV, there is no ailment for which a proven cure is not</w:t>
      </w:r>
      <w:r>
        <w:rPr>
          <w:spacing w:val="-12"/>
        </w:rPr>
        <w:t> </w:t>
      </w:r>
      <w:r>
        <w:rPr/>
        <w:t>given</w:t>
      </w:r>
      <w:r>
        <w:rPr>
          <w:spacing w:val="-13"/>
        </w:rPr>
        <w:t> </w:t>
      </w:r>
      <w:r>
        <w:rPr/>
        <w:t>in</w:t>
      </w:r>
      <w:r>
        <w:rPr>
          <w:spacing w:val="-12"/>
        </w:rPr>
        <w:t> </w:t>
      </w:r>
      <w:r>
        <w:rPr/>
        <w:t>this</w:t>
      </w:r>
      <w:r>
        <w:rPr>
          <w:spacing w:val="-15"/>
        </w:rPr>
        <w:t> </w:t>
      </w:r>
      <w:r>
        <w:rPr/>
        <w:t>book!</w:t>
      </w:r>
      <w:r>
        <w:rPr>
          <w:spacing w:val="-11"/>
        </w:rPr>
        <w:t> </w:t>
      </w:r>
      <w:r>
        <w:rPr/>
        <w:t>The</w:t>
      </w:r>
      <w:r>
        <w:rPr>
          <w:spacing w:val="-13"/>
        </w:rPr>
        <w:t> </w:t>
      </w:r>
      <w:r>
        <w:rPr/>
        <w:t>following</w:t>
      </w:r>
      <w:r>
        <w:rPr>
          <w:spacing w:val="-10"/>
        </w:rPr>
        <w:t> </w:t>
      </w:r>
      <w:r>
        <w:rPr/>
        <w:t>are</w:t>
      </w:r>
      <w:r>
        <w:rPr>
          <w:spacing w:val="-11"/>
        </w:rPr>
        <w:t> </w:t>
      </w:r>
      <w:r>
        <w:rPr/>
        <w:t>among</w:t>
      </w:r>
      <w:r>
        <w:rPr>
          <w:spacing w:val="-16"/>
        </w:rPr>
        <w:t> </w:t>
      </w:r>
      <w:r>
        <w:rPr/>
        <w:t>the</w:t>
      </w:r>
      <w:r>
        <w:rPr>
          <w:spacing w:val="-10"/>
        </w:rPr>
        <w:t> </w:t>
      </w:r>
      <w:r>
        <w:rPr/>
        <w:t>most</w:t>
      </w:r>
      <w:r>
        <w:rPr>
          <w:spacing w:val="-14"/>
        </w:rPr>
        <w:t> </w:t>
      </w:r>
      <w:r>
        <w:rPr/>
        <w:t>unpleasant</w:t>
      </w:r>
      <w:r>
        <w:rPr>
          <w:spacing w:val="-12"/>
        </w:rPr>
        <w:t> </w:t>
      </w:r>
      <w:r>
        <w:rPr/>
        <w:t>and</w:t>
      </w:r>
      <w:r>
        <w:rPr>
          <w:spacing w:val="-10"/>
        </w:rPr>
        <w:t> </w:t>
      </w:r>
      <w:r>
        <w:rPr/>
        <w:t>dan- gerous of these many diseases, which is why we make particular mention of them:</w:t>
      </w:r>
    </w:p>
    <w:p>
      <w:pPr>
        <w:pStyle w:val="Heading2"/>
        <w:spacing w:before="242"/>
        <w:ind w:left="116"/>
      </w:pPr>
      <w:r>
        <w:rPr/>
        <w:t>Heart disease and heart attack - the Number 1 cause of death</w:t>
      </w:r>
    </w:p>
    <w:p>
      <w:pPr>
        <w:pStyle w:val="BodyText"/>
        <w:spacing w:line="276" w:lineRule="auto" w:before="304"/>
        <w:ind w:left="116" w:right="115"/>
        <w:jc w:val="both"/>
      </w:pPr>
      <w:r>
        <w:rPr/>
        <w:t>One in two people dies of cardiovascular disease, despite so-called research. With the right combination of nutrients, heart attacks are 100 % preventable!</w:t>
      </w:r>
    </w:p>
    <w:p>
      <w:pPr>
        <w:spacing w:after="0" w:line="276" w:lineRule="auto"/>
        <w:jc w:val="both"/>
        <w:sectPr>
          <w:pgSz w:w="14260" w:h="16840"/>
          <w:pgMar w:header="0" w:footer="402" w:top="1320" w:bottom="2280" w:left="1300" w:right="1297"/>
        </w:sectPr>
      </w:pPr>
    </w:p>
    <w:p>
      <w:pPr>
        <w:pStyle w:val="BodyText"/>
        <w:spacing w:line="276" w:lineRule="auto" w:before="74"/>
        <w:ind w:left="116" w:right="116"/>
        <w:jc w:val="both"/>
      </w:pPr>
      <w:r>
        <w:rPr/>
        <w:t>Instead,</w:t>
      </w:r>
      <w:r>
        <w:rPr>
          <w:spacing w:val="-22"/>
        </w:rPr>
        <w:t> </w:t>
      </w:r>
      <w:r>
        <w:rPr/>
        <w:t>the</w:t>
      </w:r>
      <w:r>
        <w:rPr>
          <w:spacing w:val="-24"/>
        </w:rPr>
        <w:t> </w:t>
      </w:r>
      <w:r>
        <w:rPr/>
        <w:t>patient</w:t>
      </w:r>
      <w:r>
        <w:rPr>
          <w:spacing w:val="-23"/>
        </w:rPr>
        <w:t> </w:t>
      </w:r>
      <w:r>
        <w:rPr/>
        <w:t>is</w:t>
      </w:r>
      <w:r>
        <w:rPr>
          <w:spacing w:val="-23"/>
        </w:rPr>
        <w:t> </w:t>
      </w:r>
      <w:r>
        <w:rPr/>
        <w:t>treated</w:t>
      </w:r>
      <w:r>
        <w:rPr>
          <w:spacing w:val="-23"/>
        </w:rPr>
        <w:t> </w:t>
      </w:r>
      <w:r>
        <w:rPr/>
        <w:t>with</w:t>
      </w:r>
      <w:r>
        <w:rPr>
          <w:spacing w:val="-19"/>
        </w:rPr>
        <w:t> </w:t>
      </w:r>
      <w:r>
        <w:rPr/>
        <w:t>useless,</w:t>
      </w:r>
      <w:r>
        <w:rPr>
          <w:spacing w:val="-24"/>
        </w:rPr>
        <w:t> </w:t>
      </w:r>
      <w:r>
        <w:rPr/>
        <w:t>altogether</w:t>
      </w:r>
      <w:r>
        <w:rPr>
          <w:spacing w:val="-22"/>
        </w:rPr>
        <w:t> </w:t>
      </w:r>
      <w:r>
        <w:rPr/>
        <w:t>more</w:t>
      </w:r>
      <w:r>
        <w:rPr>
          <w:spacing w:val="-24"/>
        </w:rPr>
        <w:t> </w:t>
      </w:r>
      <w:r>
        <w:rPr/>
        <w:t>harmful</w:t>
      </w:r>
      <w:r>
        <w:rPr>
          <w:spacing w:val="-24"/>
        </w:rPr>
        <w:t> </w:t>
      </w:r>
      <w:r>
        <w:rPr/>
        <w:t>blood</w:t>
      </w:r>
      <w:r>
        <w:rPr>
          <w:spacing w:val="-22"/>
        </w:rPr>
        <w:t> </w:t>
      </w:r>
      <w:r>
        <w:rPr/>
        <w:t>pres- sure reducers (beta-blockers) and cholesterol inhibitors (statins), until the pa- tient finally succumbs to a heart attack or other health</w:t>
      </w:r>
      <w:r>
        <w:rPr>
          <w:spacing w:val="-3"/>
        </w:rPr>
        <w:t> </w:t>
      </w:r>
      <w:r>
        <w:rPr/>
        <w:t>problems!</w:t>
      </w:r>
    </w:p>
    <w:p>
      <w:pPr>
        <w:pStyle w:val="BodyText"/>
        <w:spacing w:line="276" w:lineRule="auto" w:before="1"/>
        <w:ind w:left="116" w:right="114"/>
        <w:jc w:val="both"/>
      </w:pPr>
      <w:r>
        <w:rPr/>
        <w:t>With the information of the Codex Humanus, you can protect yourself and your loved ones - because prevention is simple and healing is possible, even for the most serious conditions! This book is therefore, without a doubt, a must for every household!</w:t>
      </w:r>
    </w:p>
    <w:p>
      <w:pPr>
        <w:pStyle w:val="BodyText"/>
        <w:spacing w:before="8"/>
        <w:rPr>
          <w:sz w:val="43"/>
        </w:rPr>
      </w:pPr>
    </w:p>
    <w:p>
      <w:pPr>
        <w:pStyle w:val="Heading2"/>
        <w:ind w:left="116"/>
      </w:pPr>
      <w:r>
        <w:rPr/>
        <w:t>In your Codex Humanus, you also learn</w:t>
      </w:r>
    </w:p>
    <w:p>
      <w:pPr>
        <w:pStyle w:val="ListParagraph"/>
        <w:numPr>
          <w:ilvl w:val="0"/>
          <w:numId w:val="6"/>
        </w:numPr>
        <w:tabs>
          <w:tab w:pos="837" w:val="left" w:leader="none"/>
        </w:tabs>
        <w:spacing w:line="273" w:lineRule="auto" w:before="306" w:after="0"/>
        <w:ind w:left="836" w:right="120" w:hanging="360"/>
        <w:jc w:val="both"/>
        <w:rPr>
          <w:sz w:val="38"/>
        </w:rPr>
      </w:pPr>
      <w:r>
        <w:rPr>
          <w:sz w:val="38"/>
        </w:rPr>
        <w:t>that Prof. Dohrmann, in a Berlin clinic, achieved the ‘</w:t>
      </w:r>
      <w:r>
        <w:rPr>
          <w:i/>
          <w:sz w:val="38"/>
        </w:rPr>
        <w:t>world's best survival </w:t>
      </w:r>
      <w:r>
        <w:rPr>
          <w:i/>
          <w:sz w:val="38"/>
        </w:rPr>
        <w:t>rates’ </w:t>
      </w:r>
      <w:r>
        <w:rPr>
          <w:sz w:val="38"/>
        </w:rPr>
        <w:t>for acute heart attacks with strophanthin; over 1000 heart attacks were</w:t>
      </w:r>
      <w:r>
        <w:rPr>
          <w:spacing w:val="-20"/>
          <w:sz w:val="38"/>
        </w:rPr>
        <w:t> </w:t>
      </w:r>
      <w:r>
        <w:rPr>
          <w:sz w:val="38"/>
        </w:rPr>
        <w:t>analysed</w:t>
      </w:r>
      <w:r>
        <w:rPr>
          <w:spacing w:val="-21"/>
          <w:sz w:val="38"/>
        </w:rPr>
        <w:t> </w:t>
      </w:r>
      <w:r>
        <w:rPr>
          <w:sz w:val="38"/>
        </w:rPr>
        <w:t>for</w:t>
      </w:r>
      <w:r>
        <w:rPr>
          <w:spacing w:val="-20"/>
          <w:sz w:val="38"/>
        </w:rPr>
        <w:t> </w:t>
      </w:r>
      <w:r>
        <w:rPr>
          <w:sz w:val="38"/>
        </w:rPr>
        <w:t>this!</w:t>
      </w:r>
      <w:r>
        <w:rPr>
          <w:spacing w:val="-21"/>
          <w:sz w:val="38"/>
        </w:rPr>
        <w:t> </w:t>
      </w:r>
      <w:r>
        <w:rPr>
          <w:sz w:val="38"/>
        </w:rPr>
        <w:t>Prof.</w:t>
      </w:r>
      <w:r>
        <w:rPr>
          <w:spacing w:val="-22"/>
          <w:sz w:val="38"/>
        </w:rPr>
        <w:t> </w:t>
      </w:r>
      <w:r>
        <w:rPr>
          <w:sz w:val="38"/>
        </w:rPr>
        <w:t>Agostini</w:t>
      </w:r>
      <w:r>
        <w:rPr>
          <w:spacing w:val="-22"/>
          <w:sz w:val="38"/>
        </w:rPr>
        <w:t> </w:t>
      </w:r>
      <w:r>
        <w:rPr>
          <w:sz w:val="38"/>
        </w:rPr>
        <w:t>in</w:t>
      </w:r>
      <w:r>
        <w:rPr>
          <w:spacing w:val="-21"/>
          <w:sz w:val="38"/>
        </w:rPr>
        <w:t> </w:t>
      </w:r>
      <w:r>
        <w:rPr>
          <w:sz w:val="38"/>
        </w:rPr>
        <w:t>Milan</w:t>
      </w:r>
      <w:r>
        <w:rPr>
          <w:spacing w:val="-23"/>
          <w:sz w:val="38"/>
        </w:rPr>
        <w:t> </w:t>
      </w:r>
      <w:r>
        <w:rPr>
          <w:sz w:val="38"/>
        </w:rPr>
        <w:t>has</w:t>
      </w:r>
      <w:r>
        <w:rPr>
          <w:spacing w:val="-23"/>
          <w:sz w:val="38"/>
        </w:rPr>
        <w:t> </w:t>
      </w:r>
      <w:r>
        <w:rPr>
          <w:sz w:val="38"/>
        </w:rPr>
        <w:t>achieved</w:t>
      </w:r>
      <w:r>
        <w:rPr>
          <w:spacing w:val="-20"/>
          <w:sz w:val="38"/>
        </w:rPr>
        <w:t> </w:t>
      </w:r>
      <w:r>
        <w:rPr>
          <w:sz w:val="38"/>
        </w:rPr>
        <w:t>similar</w:t>
      </w:r>
      <w:r>
        <w:rPr>
          <w:spacing w:val="-21"/>
          <w:sz w:val="38"/>
        </w:rPr>
        <w:t> </w:t>
      </w:r>
      <w:r>
        <w:rPr>
          <w:sz w:val="38"/>
        </w:rPr>
        <w:t>results.</w:t>
      </w:r>
    </w:p>
    <w:p>
      <w:pPr>
        <w:pStyle w:val="ListParagraph"/>
        <w:numPr>
          <w:ilvl w:val="0"/>
          <w:numId w:val="6"/>
        </w:numPr>
        <w:tabs>
          <w:tab w:pos="837" w:val="left" w:leader="none"/>
        </w:tabs>
        <w:spacing w:line="273" w:lineRule="auto" w:before="252" w:after="0"/>
        <w:ind w:left="836" w:right="114" w:hanging="360"/>
        <w:jc w:val="both"/>
        <w:rPr>
          <w:sz w:val="38"/>
        </w:rPr>
      </w:pPr>
      <w:r>
        <w:rPr>
          <w:sz w:val="38"/>
        </w:rPr>
        <w:t>that</w:t>
      </w:r>
      <w:r>
        <w:rPr>
          <w:spacing w:val="-16"/>
          <w:sz w:val="38"/>
        </w:rPr>
        <w:t> </w:t>
      </w:r>
      <w:r>
        <w:rPr>
          <w:sz w:val="38"/>
        </w:rPr>
        <w:t>in</w:t>
      </w:r>
      <w:r>
        <w:rPr>
          <w:spacing w:val="-14"/>
          <w:sz w:val="38"/>
        </w:rPr>
        <w:t> </w:t>
      </w:r>
      <w:r>
        <w:rPr>
          <w:sz w:val="38"/>
        </w:rPr>
        <w:t>a</w:t>
      </w:r>
      <w:r>
        <w:rPr>
          <w:spacing w:val="-16"/>
          <w:sz w:val="38"/>
        </w:rPr>
        <w:t> </w:t>
      </w:r>
      <w:r>
        <w:rPr>
          <w:sz w:val="38"/>
        </w:rPr>
        <w:t>1984</w:t>
      </w:r>
      <w:r>
        <w:rPr>
          <w:spacing w:val="-15"/>
          <w:sz w:val="38"/>
        </w:rPr>
        <w:t> </w:t>
      </w:r>
      <w:r>
        <w:rPr>
          <w:sz w:val="38"/>
        </w:rPr>
        <w:t>survey</w:t>
      </w:r>
      <w:r>
        <w:rPr>
          <w:spacing w:val="-14"/>
          <w:sz w:val="38"/>
        </w:rPr>
        <w:t> </w:t>
      </w:r>
      <w:r>
        <w:rPr>
          <w:sz w:val="38"/>
        </w:rPr>
        <w:t>of</w:t>
      </w:r>
      <w:r>
        <w:rPr>
          <w:spacing w:val="-14"/>
          <w:sz w:val="38"/>
        </w:rPr>
        <w:t> </w:t>
      </w:r>
      <w:r>
        <w:rPr>
          <w:sz w:val="38"/>
        </w:rPr>
        <w:t>3650</w:t>
      </w:r>
      <w:r>
        <w:rPr>
          <w:spacing w:val="-17"/>
          <w:sz w:val="38"/>
        </w:rPr>
        <w:t> </w:t>
      </w:r>
      <w:r>
        <w:rPr>
          <w:sz w:val="38"/>
        </w:rPr>
        <w:t>doctors,</w:t>
      </w:r>
      <w:r>
        <w:rPr>
          <w:spacing w:val="-13"/>
          <w:sz w:val="38"/>
        </w:rPr>
        <w:t> </w:t>
      </w:r>
      <w:r>
        <w:rPr>
          <w:sz w:val="38"/>
        </w:rPr>
        <w:t>98</w:t>
      </w:r>
      <w:r>
        <w:rPr>
          <w:spacing w:val="-15"/>
          <w:sz w:val="38"/>
        </w:rPr>
        <w:t> </w:t>
      </w:r>
      <w:r>
        <w:rPr>
          <w:sz w:val="38"/>
        </w:rPr>
        <w:t>%</w:t>
      </w:r>
      <w:r>
        <w:rPr>
          <w:spacing w:val="-15"/>
          <w:sz w:val="38"/>
        </w:rPr>
        <w:t> </w:t>
      </w:r>
      <w:r>
        <w:rPr>
          <w:sz w:val="38"/>
        </w:rPr>
        <w:t>stated</w:t>
      </w:r>
      <w:r>
        <w:rPr>
          <w:spacing w:val="-15"/>
          <w:sz w:val="38"/>
        </w:rPr>
        <w:t> </w:t>
      </w:r>
      <w:r>
        <w:rPr>
          <w:sz w:val="38"/>
        </w:rPr>
        <w:t>that</w:t>
      </w:r>
      <w:r>
        <w:rPr>
          <w:spacing w:val="-15"/>
          <w:sz w:val="38"/>
        </w:rPr>
        <w:t> </w:t>
      </w:r>
      <w:r>
        <w:rPr>
          <w:sz w:val="38"/>
        </w:rPr>
        <w:t>strophanthin</w:t>
      </w:r>
      <w:r>
        <w:rPr>
          <w:spacing w:val="-14"/>
          <w:sz w:val="38"/>
        </w:rPr>
        <w:t> </w:t>
      </w:r>
      <w:r>
        <w:rPr>
          <w:sz w:val="38"/>
        </w:rPr>
        <w:t>(oua- bain) was </w:t>
      </w:r>
      <w:r>
        <w:rPr>
          <w:sz w:val="38"/>
          <w:u w:val="single"/>
        </w:rPr>
        <w:t>extremely</w:t>
      </w:r>
      <w:r>
        <w:rPr>
          <w:spacing w:val="2"/>
          <w:sz w:val="38"/>
        </w:rPr>
        <w:t> </w:t>
      </w:r>
      <w:r>
        <w:rPr>
          <w:sz w:val="38"/>
        </w:rPr>
        <w:t>effective!</w:t>
      </w:r>
    </w:p>
    <w:p>
      <w:pPr>
        <w:pStyle w:val="ListParagraph"/>
        <w:numPr>
          <w:ilvl w:val="0"/>
          <w:numId w:val="6"/>
        </w:numPr>
        <w:tabs>
          <w:tab w:pos="837" w:val="left" w:leader="none"/>
        </w:tabs>
        <w:spacing w:line="273" w:lineRule="auto" w:before="248" w:after="0"/>
        <w:ind w:left="836" w:right="115" w:hanging="360"/>
        <w:jc w:val="both"/>
        <w:rPr>
          <w:sz w:val="38"/>
        </w:rPr>
      </w:pPr>
      <w:r>
        <w:rPr>
          <w:sz w:val="38"/>
        </w:rPr>
        <w:t>that alpha-lipoic acid can reduce cholesterol in the blood by 40 % and in the aorta by 45 %; oxygen uptake in the heart increases by 72 %, by as much as 148 % in the aorta and by 128 % in the</w:t>
      </w:r>
      <w:r>
        <w:rPr>
          <w:spacing w:val="-1"/>
          <w:sz w:val="38"/>
        </w:rPr>
        <w:t> </w:t>
      </w:r>
      <w:r>
        <w:rPr>
          <w:sz w:val="38"/>
        </w:rPr>
        <w:t>liver!</w:t>
      </w:r>
    </w:p>
    <w:p>
      <w:pPr>
        <w:pStyle w:val="ListParagraph"/>
        <w:numPr>
          <w:ilvl w:val="0"/>
          <w:numId w:val="6"/>
        </w:numPr>
        <w:tabs>
          <w:tab w:pos="837" w:val="left" w:leader="none"/>
        </w:tabs>
        <w:spacing w:line="273" w:lineRule="auto" w:before="251" w:after="0"/>
        <w:ind w:left="836" w:right="119" w:hanging="360"/>
        <w:jc w:val="both"/>
        <w:rPr>
          <w:sz w:val="38"/>
        </w:rPr>
      </w:pPr>
      <w:r>
        <w:rPr>
          <w:sz w:val="38"/>
        </w:rPr>
        <w:t>that in 20 patients treated with Astragalus membranaceus, the blood out- put from the heart was increased from 5.09 to 5.95 litres in a record time of only two weeks. This was checked with an</w:t>
      </w:r>
      <w:r>
        <w:rPr>
          <w:spacing w:val="-6"/>
          <w:sz w:val="38"/>
        </w:rPr>
        <w:t> </w:t>
      </w:r>
      <w:r>
        <w:rPr>
          <w:sz w:val="38"/>
        </w:rPr>
        <w:t>echocardiogram!</w:t>
      </w:r>
    </w:p>
    <w:p>
      <w:pPr>
        <w:pStyle w:val="ListParagraph"/>
        <w:numPr>
          <w:ilvl w:val="0"/>
          <w:numId w:val="6"/>
        </w:numPr>
        <w:tabs>
          <w:tab w:pos="836" w:val="left" w:leader="none"/>
          <w:tab w:pos="837" w:val="left" w:leader="none"/>
        </w:tabs>
        <w:spacing w:line="240" w:lineRule="auto" w:before="253" w:after="0"/>
        <w:ind w:left="836" w:right="0" w:hanging="360"/>
        <w:jc w:val="left"/>
        <w:rPr>
          <w:sz w:val="38"/>
        </w:rPr>
      </w:pPr>
      <w:r>
        <w:rPr>
          <w:sz w:val="38"/>
        </w:rPr>
        <w:t>that</w:t>
      </w:r>
      <w:r>
        <w:rPr>
          <w:spacing w:val="33"/>
          <w:sz w:val="38"/>
        </w:rPr>
        <w:t> </w:t>
      </w:r>
      <w:r>
        <w:rPr>
          <w:sz w:val="38"/>
        </w:rPr>
        <w:t>in</w:t>
      </w:r>
      <w:r>
        <w:rPr>
          <w:spacing w:val="34"/>
          <w:sz w:val="38"/>
        </w:rPr>
        <w:t> </w:t>
      </w:r>
      <w:r>
        <w:rPr>
          <w:sz w:val="38"/>
        </w:rPr>
        <w:t>92</w:t>
      </w:r>
      <w:r>
        <w:rPr>
          <w:spacing w:val="33"/>
          <w:sz w:val="38"/>
        </w:rPr>
        <w:t> </w:t>
      </w:r>
      <w:r>
        <w:rPr>
          <w:sz w:val="38"/>
        </w:rPr>
        <w:t>patients</w:t>
      </w:r>
      <w:r>
        <w:rPr>
          <w:spacing w:val="34"/>
          <w:sz w:val="38"/>
        </w:rPr>
        <w:t> </w:t>
      </w:r>
      <w:r>
        <w:rPr>
          <w:sz w:val="38"/>
        </w:rPr>
        <w:t>treated</w:t>
      </w:r>
      <w:r>
        <w:rPr>
          <w:spacing w:val="35"/>
          <w:sz w:val="38"/>
        </w:rPr>
        <w:t> </w:t>
      </w:r>
      <w:r>
        <w:rPr>
          <w:sz w:val="38"/>
        </w:rPr>
        <w:t>with</w:t>
      </w:r>
      <w:r>
        <w:rPr>
          <w:spacing w:val="34"/>
          <w:sz w:val="38"/>
        </w:rPr>
        <w:t> </w:t>
      </w:r>
      <w:r>
        <w:rPr>
          <w:sz w:val="38"/>
        </w:rPr>
        <w:t>Astragalus</w:t>
      </w:r>
      <w:r>
        <w:rPr>
          <w:spacing w:val="35"/>
          <w:sz w:val="38"/>
        </w:rPr>
        <w:t> </w:t>
      </w:r>
      <w:r>
        <w:rPr>
          <w:sz w:val="38"/>
        </w:rPr>
        <w:t>membranaceus,</w:t>
      </w:r>
      <w:r>
        <w:rPr>
          <w:spacing w:val="34"/>
          <w:sz w:val="38"/>
        </w:rPr>
        <w:t> </w:t>
      </w:r>
      <w:r>
        <w:rPr>
          <w:sz w:val="38"/>
        </w:rPr>
        <w:t>ECG</w:t>
      </w:r>
      <w:r>
        <w:rPr>
          <w:spacing w:val="33"/>
          <w:sz w:val="38"/>
        </w:rPr>
        <w:t> </w:t>
      </w:r>
      <w:r>
        <w:rPr>
          <w:sz w:val="38"/>
        </w:rPr>
        <w:t>values</w:t>
      </w:r>
    </w:p>
    <w:p>
      <w:pPr>
        <w:spacing w:after="0" w:line="240" w:lineRule="auto"/>
        <w:jc w:val="left"/>
        <w:rPr>
          <w:sz w:val="38"/>
        </w:rPr>
        <w:sectPr>
          <w:pgSz w:w="14260" w:h="16840"/>
          <w:pgMar w:header="0" w:footer="402" w:top="1320" w:bottom="2280" w:left="1300" w:right="1297"/>
        </w:sectPr>
      </w:pPr>
    </w:p>
    <w:p>
      <w:pPr>
        <w:pStyle w:val="BodyText"/>
        <w:spacing w:before="74"/>
        <w:ind w:left="836"/>
      </w:pPr>
      <w:r>
        <w:rPr/>
        <w:t>were improved by 82.6 %!</w:t>
      </w:r>
    </w:p>
    <w:p>
      <w:pPr>
        <w:pStyle w:val="ListParagraph"/>
        <w:numPr>
          <w:ilvl w:val="0"/>
          <w:numId w:val="6"/>
        </w:numPr>
        <w:tabs>
          <w:tab w:pos="836" w:val="left" w:leader="none"/>
          <w:tab w:pos="837" w:val="left" w:leader="none"/>
        </w:tabs>
        <w:spacing w:line="240" w:lineRule="auto" w:before="306" w:after="0"/>
        <w:ind w:left="836" w:right="0" w:hanging="360"/>
        <w:jc w:val="left"/>
        <w:rPr>
          <w:sz w:val="38"/>
        </w:rPr>
      </w:pPr>
      <w:r>
        <w:rPr>
          <w:sz w:val="38"/>
        </w:rPr>
        <w:t>that</w:t>
      </w:r>
      <w:r>
        <w:rPr>
          <w:spacing w:val="-7"/>
          <w:sz w:val="38"/>
        </w:rPr>
        <w:t> </w:t>
      </w:r>
      <w:r>
        <w:rPr>
          <w:sz w:val="38"/>
        </w:rPr>
        <w:t>beta-carotene</w:t>
      </w:r>
      <w:r>
        <w:rPr>
          <w:spacing w:val="-6"/>
          <w:sz w:val="38"/>
        </w:rPr>
        <w:t> </w:t>
      </w:r>
      <w:r>
        <w:rPr>
          <w:sz w:val="38"/>
        </w:rPr>
        <w:t>has</w:t>
      </w:r>
      <w:r>
        <w:rPr>
          <w:spacing w:val="-6"/>
          <w:sz w:val="38"/>
        </w:rPr>
        <w:t> </w:t>
      </w:r>
      <w:r>
        <w:rPr>
          <w:sz w:val="38"/>
        </w:rPr>
        <w:t>reduced</w:t>
      </w:r>
      <w:r>
        <w:rPr>
          <w:spacing w:val="-7"/>
          <w:sz w:val="38"/>
        </w:rPr>
        <w:t> </w:t>
      </w:r>
      <w:r>
        <w:rPr>
          <w:sz w:val="38"/>
        </w:rPr>
        <w:t>the</w:t>
      </w:r>
      <w:r>
        <w:rPr>
          <w:spacing w:val="-6"/>
          <w:sz w:val="38"/>
        </w:rPr>
        <w:t> </w:t>
      </w:r>
      <w:r>
        <w:rPr>
          <w:sz w:val="38"/>
        </w:rPr>
        <w:t>risk</w:t>
      </w:r>
      <w:r>
        <w:rPr>
          <w:spacing w:val="-7"/>
          <w:sz w:val="38"/>
        </w:rPr>
        <w:t> </w:t>
      </w:r>
      <w:r>
        <w:rPr>
          <w:sz w:val="38"/>
        </w:rPr>
        <w:t>of</w:t>
      </w:r>
      <w:r>
        <w:rPr>
          <w:spacing w:val="-9"/>
          <w:sz w:val="38"/>
        </w:rPr>
        <w:t> </w:t>
      </w:r>
      <w:r>
        <w:rPr>
          <w:sz w:val="38"/>
        </w:rPr>
        <w:t>heart</w:t>
      </w:r>
      <w:r>
        <w:rPr>
          <w:spacing w:val="-9"/>
          <w:sz w:val="38"/>
        </w:rPr>
        <w:t> </w:t>
      </w:r>
      <w:r>
        <w:rPr>
          <w:sz w:val="38"/>
        </w:rPr>
        <w:t>attack</w:t>
      </w:r>
      <w:r>
        <w:rPr>
          <w:spacing w:val="-7"/>
          <w:sz w:val="38"/>
        </w:rPr>
        <w:t> </w:t>
      </w:r>
      <w:r>
        <w:rPr>
          <w:sz w:val="38"/>
        </w:rPr>
        <w:t>by</w:t>
      </w:r>
      <w:r>
        <w:rPr>
          <w:spacing w:val="-6"/>
          <w:sz w:val="38"/>
        </w:rPr>
        <w:t> </w:t>
      </w:r>
      <w:r>
        <w:rPr>
          <w:sz w:val="38"/>
        </w:rPr>
        <w:t>50 %</w:t>
      </w:r>
      <w:r>
        <w:rPr>
          <w:spacing w:val="-6"/>
          <w:sz w:val="38"/>
        </w:rPr>
        <w:t> </w:t>
      </w:r>
      <w:r>
        <w:rPr>
          <w:sz w:val="38"/>
        </w:rPr>
        <w:t>in</w:t>
      </w:r>
      <w:r>
        <w:rPr>
          <w:spacing w:val="-7"/>
          <w:sz w:val="38"/>
        </w:rPr>
        <w:t> </w:t>
      </w:r>
      <w:r>
        <w:rPr>
          <w:sz w:val="38"/>
        </w:rPr>
        <w:t>studies!</w:t>
      </w:r>
    </w:p>
    <w:p>
      <w:pPr>
        <w:pStyle w:val="ListParagraph"/>
        <w:numPr>
          <w:ilvl w:val="0"/>
          <w:numId w:val="6"/>
        </w:numPr>
        <w:tabs>
          <w:tab w:pos="837" w:val="left" w:leader="none"/>
        </w:tabs>
        <w:spacing w:line="276" w:lineRule="auto" w:before="304" w:after="0"/>
        <w:ind w:left="836" w:right="112" w:hanging="360"/>
        <w:jc w:val="both"/>
        <w:rPr>
          <w:sz w:val="38"/>
        </w:rPr>
      </w:pPr>
      <w:r>
        <w:rPr>
          <w:sz w:val="38"/>
        </w:rPr>
        <w:t>that the effect of DHEA on longevity has been examined in a 12-year study</w:t>
      </w:r>
      <w:r>
        <w:rPr>
          <w:spacing w:val="-13"/>
          <w:sz w:val="38"/>
        </w:rPr>
        <w:t> </w:t>
      </w:r>
      <w:r>
        <w:rPr>
          <w:sz w:val="38"/>
        </w:rPr>
        <w:t>on</w:t>
      </w:r>
      <w:r>
        <w:rPr>
          <w:spacing w:val="-12"/>
          <w:sz w:val="38"/>
        </w:rPr>
        <w:t> </w:t>
      </w:r>
      <w:r>
        <w:rPr>
          <w:sz w:val="38"/>
        </w:rPr>
        <w:t>240</w:t>
      </w:r>
      <w:r>
        <w:rPr>
          <w:spacing w:val="-14"/>
          <w:sz w:val="38"/>
        </w:rPr>
        <w:t> </w:t>
      </w:r>
      <w:r>
        <w:rPr>
          <w:sz w:val="38"/>
        </w:rPr>
        <w:t>men</w:t>
      </w:r>
      <w:r>
        <w:rPr>
          <w:spacing w:val="-12"/>
          <w:sz w:val="38"/>
        </w:rPr>
        <w:t> </w:t>
      </w:r>
      <w:r>
        <w:rPr>
          <w:sz w:val="38"/>
        </w:rPr>
        <w:t>aged</w:t>
      </w:r>
      <w:r>
        <w:rPr>
          <w:spacing w:val="-12"/>
          <w:sz w:val="38"/>
        </w:rPr>
        <w:t> </w:t>
      </w:r>
      <w:r>
        <w:rPr>
          <w:sz w:val="38"/>
        </w:rPr>
        <w:t>50</w:t>
      </w:r>
      <w:r>
        <w:rPr>
          <w:spacing w:val="-14"/>
          <w:sz w:val="38"/>
        </w:rPr>
        <w:t> </w:t>
      </w:r>
      <w:r>
        <w:rPr>
          <w:sz w:val="38"/>
        </w:rPr>
        <w:t>to</w:t>
      </w:r>
      <w:r>
        <w:rPr>
          <w:spacing w:val="-13"/>
          <w:sz w:val="38"/>
        </w:rPr>
        <w:t> </w:t>
      </w:r>
      <w:r>
        <w:rPr>
          <w:sz w:val="38"/>
        </w:rPr>
        <w:t>79.</w:t>
      </w:r>
      <w:r>
        <w:rPr>
          <w:spacing w:val="-13"/>
          <w:sz w:val="38"/>
        </w:rPr>
        <w:t> </w:t>
      </w:r>
      <w:r>
        <w:rPr>
          <w:sz w:val="38"/>
        </w:rPr>
        <w:t>An</w:t>
      </w:r>
      <w:r>
        <w:rPr>
          <w:spacing w:val="-13"/>
          <w:sz w:val="38"/>
        </w:rPr>
        <w:t> </w:t>
      </w:r>
      <w:r>
        <w:rPr>
          <w:sz w:val="38"/>
        </w:rPr>
        <w:t>increase</w:t>
      </w:r>
      <w:r>
        <w:rPr>
          <w:spacing w:val="-11"/>
          <w:sz w:val="38"/>
        </w:rPr>
        <w:t> </w:t>
      </w:r>
      <w:r>
        <w:rPr>
          <w:sz w:val="38"/>
        </w:rPr>
        <w:t>in</w:t>
      </w:r>
      <w:r>
        <w:rPr>
          <w:spacing w:val="-13"/>
          <w:sz w:val="38"/>
        </w:rPr>
        <w:t> </w:t>
      </w:r>
      <w:r>
        <w:rPr>
          <w:sz w:val="38"/>
        </w:rPr>
        <w:t>the</w:t>
      </w:r>
      <w:r>
        <w:rPr>
          <w:spacing w:val="-12"/>
          <w:sz w:val="38"/>
        </w:rPr>
        <w:t> </w:t>
      </w:r>
      <w:r>
        <w:rPr>
          <w:sz w:val="38"/>
        </w:rPr>
        <w:t>DHEA</w:t>
      </w:r>
      <w:r>
        <w:rPr>
          <w:spacing w:val="-13"/>
          <w:sz w:val="38"/>
        </w:rPr>
        <w:t> </w:t>
      </w:r>
      <w:r>
        <w:rPr>
          <w:sz w:val="38"/>
        </w:rPr>
        <w:t>concentration of 1 mg/litre can greatly reduce the risk of heart attack and reduce the rate of heart-attack fatalities by 48</w:t>
      </w:r>
      <w:r>
        <w:rPr>
          <w:spacing w:val="4"/>
          <w:sz w:val="38"/>
        </w:rPr>
        <w:t> </w:t>
      </w:r>
      <w:r>
        <w:rPr>
          <w:sz w:val="38"/>
        </w:rPr>
        <w:t>%!</w:t>
      </w:r>
    </w:p>
    <w:p>
      <w:pPr>
        <w:pStyle w:val="ListParagraph"/>
        <w:numPr>
          <w:ilvl w:val="0"/>
          <w:numId w:val="6"/>
        </w:numPr>
        <w:tabs>
          <w:tab w:pos="837" w:val="left" w:leader="none"/>
        </w:tabs>
        <w:spacing w:line="273" w:lineRule="auto" w:before="240" w:after="0"/>
        <w:ind w:left="836" w:right="120" w:hanging="360"/>
        <w:jc w:val="both"/>
        <w:rPr>
          <w:sz w:val="38"/>
        </w:rPr>
      </w:pPr>
      <w:r>
        <w:rPr>
          <w:sz w:val="38"/>
        </w:rPr>
        <w:t>that</w:t>
      </w:r>
      <w:r>
        <w:rPr>
          <w:spacing w:val="-13"/>
          <w:sz w:val="38"/>
        </w:rPr>
        <w:t> </w:t>
      </w:r>
      <w:r>
        <w:rPr>
          <w:sz w:val="38"/>
        </w:rPr>
        <w:t>according</w:t>
      </w:r>
      <w:r>
        <w:rPr>
          <w:spacing w:val="-12"/>
          <w:sz w:val="38"/>
        </w:rPr>
        <w:t> </w:t>
      </w:r>
      <w:r>
        <w:rPr>
          <w:sz w:val="38"/>
        </w:rPr>
        <w:t>to</w:t>
      </w:r>
      <w:r>
        <w:rPr>
          <w:spacing w:val="-12"/>
          <w:sz w:val="38"/>
        </w:rPr>
        <w:t> </w:t>
      </w:r>
      <w:r>
        <w:rPr>
          <w:sz w:val="38"/>
        </w:rPr>
        <w:t>a</w:t>
      </w:r>
      <w:r>
        <w:rPr>
          <w:spacing w:val="-14"/>
          <w:sz w:val="38"/>
        </w:rPr>
        <w:t> </w:t>
      </w:r>
      <w:r>
        <w:rPr>
          <w:sz w:val="38"/>
        </w:rPr>
        <w:t>long-term</w:t>
      </w:r>
      <w:r>
        <w:rPr>
          <w:spacing w:val="-14"/>
          <w:sz w:val="38"/>
        </w:rPr>
        <w:t> </w:t>
      </w:r>
      <w:r>
        <w:rPr>
          <w:sz w:val="38"/>
        </w:rPr>
        <w:t>study,</w:t>
      </w:r>
      <w:r>
        <w:rPr>
          <w:spacing w:val="-12"/>
          <w:sz w:val="38"/>
        </w:rPr>
        <w:t> </w:t>
      </w:r>
      <w:r>
        <w:rPr>
          <w:sz w:val="38"/>
        </w:rPr>
        <w:t>pomegranate</w:t>
      </w:r>
      <w:r>
        <w:rPr>
          <w:spacing w:val="-14"/>
          <w:sz w:val="38"/>
        </w:rPr>
        <w:t> </w:t>
      </w:r>
      <w:r>
        <w:rPr>
          <w:sz w:val="38"/>
        </w:rPr>
        <w:t>juice</w:t>
      </w:r>
      <w:r>
        <w:rPr>
          <w:spacing w:val="-13"/>
          <w:sz w:val="38"/>
        </w:rPr>
        <w:t> </w:t>
      </w:r>
      <w:r>
        <w:rPr>
          <w:sz w:val="38"/>
        </w:rPr>
        <w:t>can</w:t>
      </w:r>
      <w:r>
        <w:rPr>
          <w:spacing w:val="-12"/>
          <w:sz w:val="38"/>
        </w:rPr>
        <w:t> </w:t>
      </w:r>
      <w:r>
        <w:rPr>
          <w:sz w:val="38"/>
        </w:rPr>
        <w:t>halt</w:t>
      </w:r>
      <w:r>
        <w:rPr>
          <w:spacing w:val="-13"/>
          <w:sz w:val="38"/>
        </w:rPr>
        <w:t> </w:t>
      </w:r>
      <w:r>
        <w:rPr>
          <w:sz w:val="38"/>
        </w:rPr>
        <w:t>the</w:t>
      </w:r>
      <w:r>
        <w:rPr>
          <w:spacing w:val="-12"/>
          <w:sz w:val="38"/>
        </w:rPr>
        <w:t> </w:t>
      </w:r>
      <w:r>
        <w:rPr>
          <w:sz w:val="38"/>
        </w:rPr>
        <w:t>devel- opment of atherosclerosis (blood calcification leading to heart attack and stroke) and can even reverse it by up to 30 %!</w:t>
      </w:r>
    </w:p>
    <w:p>
      <w:pPr>
        <w:pStyle w:val="ListParagraph"/>
        <w:numPr>
          <w:ilvl w:val="0"/>
          <w:numId w:val="6"/>
        </w:numPr>
        <w:tabs>
          <w:tab w:pos="837" w:val="left" w:leader="none"/>
        </w:tabs>
        <w:spacing w:line="273" w:lineRule="auto" w:before="251" w:after="0"/>
        <w:ind w:left="836" w:right="117" w:hanging="360"/>
        <w:jc w:val="both"/>
        <w:rPr>
          <w:sz w:val="38"/>
        </w:rPr>
      </w:pPr>
      <w:r>
        <w:rPr>
          <w:sz w:val="38"/>
        </w:rPr>
        <w:t>that</w:t>
      </w:r>
      <w:r>
        <w:rPr>
          <w:spacing w:val="-10"/>
          <w:sz w:val="38"/>
        </w:rPr>
        <w:t> </w:t>
      </w:r>
      <w:r>
        <w:rPr>
          <w:sz w:val="38"/>
        </w:rPr>
        <w:t>in</w:t>
      </w:r>
      <w:r>
        <w:rPr>
          <w:spacing w:val="-9"/>
          <w:sz w:val="38"/>
        </w:rPr>
        <w:t> </w:t>
      </w:r>
      <w:r>
        <w:rPr>
          <w:sz w:val="38"/>
        </w:rPr>
        <w:t>a</w:t>
      </w:r>
      <w:r>
        <w:rPr>
          <w:spacing w:val="-10"/>
          <w:sz w:val="38"/>
        </w:rPr>
        <w:t> </w:t>
      </w:r>
      <w:r>
        <w:rPr>
          <w:sz w:val="38"/>
        </w:rPr>
        <w:t>Bulgarian</w:t>
      </w:r>
      <w:r>
        <w:rPr>
          <w:spacing w:val="-10"/>
          <w:sz w:val="38"/>
        </w:rPr>
        <w:t> </w:t>
      </w:r>
      <w:r>
        <w:rPr>
          <w:sz w:val="38"/>
        </w:rPr>
        <w:t>study</w:t>
      </w:r>
      <w:r>
        <w:rPr>
          <w:spacing w:val="-10"/>
          <w:sz w:val="38"/>
        </w:rPr>
        <w:t> </w:t>
      </w:r>
      <w:r>
        <w:rPr>
          <w:sz w:val="38"/>
        </w:rPr>
        <w:t>on</w:t>
      </w:r>
      <w:r>
        <w:rPr>
          <w:spacing w:val="-8"/>
          <w:sz w:val="38"/>
        </w:rPr>
        <w:t> </w:t>
      </w:r>
      <w:r>
        <w:rPr>
          <w:sz w:val="38"/>
        </w:rPr>
        <w:t>34</w:t>
      </w:r>
      <w:r>
        <w:rPr>
          <w:spacing w:val="-11"/>
          <w:sz w:val="38"/>
        </w:rPr>
        <w:t> </w:t>
      </w:r>
      <w:r>
        <w:rPr>
          <w:sz w:val="38"/>
        </w:rPr>
        <w:t>patients</w:t>
      </w:r>
      <w:r>
        <w:rPr>
          <w:spacing w:val="-9"/>
          <w:sz w:val="38"/>
        </w:rPr>
        <w:t> </w:t>
      </w:r>
      <w:r>
        <w:rPr>
          <w:sz w:val="38"/>
        </w:rPr>
        <w:t>with</w:t>
      </w:r>
      <w:r>
        <w:rPr>
          <w:spacing w:val="-9"/>
          <w:sz w:val="38"/>
        </w:rPr>
        <w:t> </w:t>
      </w:r>
      <w:r>
        <w:rPr>
          <w:sz w:val="38"/>
        </w:rPr>
        <w:t>chronic</w:t>
      </w:r>
      <w:r>
        <w:rPr>
          <w:spacing w:val="-10"/>
          <w:sz w:val="38"/>
        </w:rPr>
        <w:t> </w:t>
      </w:r>
      <w:r>
        <w:rPr>
          <w:sz w:val="38"/>
        </w:rPr>
        <w:t>high</w:t>
      </w:r>
      <w:r>
        <w:rPr>
          <w:spacing w:val="-8"/>
          <w:sz w:val="38"/>
        </w:rPr>
        <w:t> </w:t>
      </w:r>
      <w:r>
        <w:rPr>
          <w:sz w:val="38"/>
        </w:rPr>
        <w:t>blood</w:t>
      </w:r>
      <w:r>
        <w:rPr>
          <w:spacing w:val="-9"/>
          <w:sz w:val="38"/>
        </w:rPr>
        <w:t> </w:t>
      </w:r>
      <w:r>
        <w:rPr>
          <w:sz w:val="38"/>
        </w:rPr>
        <w:t>pressure, it was possible to lower systolic high blood pressure by 10-15 mmHg on average and diastolic high blood pressure by 5-10</w:t>
      </w:r>
      <w:r>
        <w:rPr>
          <w:spacing w:val="-5"/>
          <w:sz w:val="38"/>
        </w:rPr>
        <w:t> </w:t>
      </w:r>
      <w:r>
        <w:rPr>
          <w:sz w:val="38"/>
        </w:rPr>
        <w:t>mmHg!</w:t>
      </w:r>
    </w:p>
    <w:p>
      <w:pPr>
        <w:pStyle w:val="ListParagraph"/>
        <w:numPr>
          <w:ilvl w:val="0"/>
          <w:numId w:val="6"/>
        </w:numPr>
        <w:tabs>
          <w:tab w:pos="837" w:val="left" w:leader="none"/>
        </w:tabs>
        <w:spacing w:line="273" w:lineRule="auto" w:before="252" w:after="0"/>
        <w:ind w:left="836" w:right="121" w:hanging="360"/>
        <w:jc w:val="both"/>
        <w:rPr>
          <w:sz w:val="38"/>
        </w:rPr>
      </w:pPr>
      <w:r>
        <w:rPr>
          <w:sz w:val="38"/>
        </w:rPr>
        <w:t>that in the long term, lapacho tea can remove deposits on the arteries (which cause heart attacks!), make blood vessels elastic again and can partly reverse atherosclerosis!</w:t>
      </w:r>
    </w:p>
    <w:p>
      <w:pPr>
        <w:pStyle w:val="ListParagraph"/>
        <w:numPr>
          <w:ilvl w:val="0"/>
          <w:numId w:val="6"/>
        </w:numPr>
        <w:tabs>
          <w:tab w:pos="837" w:val="left" w:leader="none"/>
        </w:tabs>
        <w:spacing w:line="273" w:lineRule="auto" w:before="252" w:after="0"/>
        <w:ind w:left="836" w:right="113" w:hanging="360"/>
        <w:jc w:val="both"/>
        <w:rPr>
          <w:sz w:val="38"/>
        </w:rPr>
      </w:pPr>
      <w:r>
        <w:rPr>
          <w:sz w:val="38"/>
        </w:rPr>
        <w:t>that a daily dose of 3 x 15 drops of MMS (Miracle Mineral Supplement) was sufficient to clear arteries that were 80 % blocked (severe</w:t>
      </w:r>
      <w:r>
        <w:rPr>
          <w:spacing w:val="-45"/>
          <w:sz w:val="38"/>
        </w:rPr>
        <w:t> </w:t>
      </w:r>
      <w:r>
        <w:rPr>
          <w:sz w:val="38"/>
        </w:rPr>
        <w:t>atheroscle- rosis!) by 50 % in just 30 days!</w:t>
      </w:r>
    </w:p>
    <w:p>
      <w:pPr>
        <w:pStyle w:val="ListParagraph"/>
        <w:numPr>
          <w:ilvl w:val="0"/>
          <w:numId w:val="6"/>
        </w:numPr>
        <w:tabs>
          <w:tab w:pos="837" w:val="left" w:leader="none"/>
        </w:tabs>
        <w:spacing w:line="273" w:lineRule="auto" w:before="252" w:after="0"/>
        <w:ind w:left="836" w:right="115" w:hanging="360"/>
        <w:jc w:val="both"/>
        <w:rPr>
          <w:sz w:val="38"/>
        </w:rPr>
      </w:pPr>
      <w:r>
        <w:rPr>
          <w:sz w:val="38"/>
        </w:rPr>
        <w:t>that in a long-term study on more than 11,000 patients, omega-3 fatty acids</w:t>
      </w:r>
      <w:r>
        <w:rPr>
          <w:spacing w:val="16"/>
          <w:sz w:val="38"/>
        </w:rPr>
        <w:t> </w:t>
      </w:r>
      <w:r>
        <w:rPr>
          <w:sz w:val="38"/>
        </w:rPr>
        <w:t>reduced</w:t>
      </w:r>
      <w:r>
        <w:rPr>
          <w:spacing w:val="16"/>
          <w:sz w:val="38"/>
        </w:rPr>
        <w:t> </w:t>
      </w:r>
      <w:r>
        <w:rPr>
          <w:sz w:val="38"/>
        </w:rPr>
        <w:t>the</w:t>
      </w:r>
      <w:r>
        <w:rPr>
          <w:spacing w:val="18"/>
          <w:sz w:val="38"/>
        </w:rPr>
        <w:t> </w:t>
      </w:r>
      <w:r>
        <w:rPr>
          <w:sz w:val="38"/>
        </w:rPr>
        <w:t>heart</w:t>
      </w:r>
      <w:r>
        <w:rPr>
          <w:spacing w:val="16"/>
          <w:sz w:val="38"/>
        </w:rPr>
        <w:t> </w:t>
      </w:r>
      <w:r>
        <w:rPr>
          <w:sz w:val="38"/>
        </w:rPr>
        <w:t>attack</w:t>
      </w:r>
      <w:r>
        <w:rPr>
          <w:spacing w:val="16"/>
          <w:sz w:val="38"/>
        </w:rPr>
        <w:t> </w:t>
      </w:r>
      <w:r>
        <w:rPr>
          <w:sz w:val="38"/>
        </w:rPr>
        <w:t>and</w:t>
      </w:r>
      <w:r>
        <w:rPr>
          <w:spacing w:val="23"/>
          <w:sz w:val="38"/>
        </w:rPr>
        <w:t> </w:t>
      </w:r>
      <w:r>
        <w:rPr>
          <w:sz w:val="38"/>
        </w:rPr>
        <w:t>stroke</w:t>
      </w:r>
      <w:r>
        <w:rPr>
          <w:spacing w:val="17"/>
          <w:sz w:val="38"/>
        </w:rPr>
        <w:t> </w:t>
      </w:r>
      <w:r>
        <w:rPr>
          <w:sz w:val="38"/>
        </w:rPr>
        <w:t>rate</w:t>
      </w:r>
      <w:r>
        <w:rPr>
          <w:spacing w:val="16"/>
          <w:sz w:val="38"/>
        </w:rPr>
        <w:t> </w:t>
      </w:r>
      <w:r>
        <w:rPr>
          <w:sz w:val="38"/>
        </w:rPr>
        <w:t>by</w:t>
      </w:r>
      <w:r>
        <w:rPr>
          <w:spacing w:val="17"/>
          <w:sz w:val="38"/>
        </w:rPr>
        <w:t> </w:t>
      </w:r>
      <w:r>
        <w:rPr>
          <w:sz w:val="38"/>
        </w:rPr>
        <w:t>30</w:t>
      </w:r>
      <w:r>
        <w:rPr>
          <w:spacing w:val="17"/>
          <w:sz w:val="38"/>
        </w:rPr>
        <w:t> </w:t>
      </w:r>
      <w:r>
        <w:rPr>
          <w:sz w:val="38"/>
        </w:rPr>
        <w:t>%</w:t>
      </w:r>
      <w:r>
        <w:rPr>
          <w:spacing w:val="17"/>
          <w:sz w:val="38"/>
        </w:rPr>
        <w:t> </w:t>
      </w:r>
      <w:r>
        <w:rPr>
          <w:sz w:val="38"/>
        </w:rPr>
        <w:t>compared</w:t>
      </w:r>
      <w:r>
        <w:rPr>
          <w:spacing w:val="15"/>
          <w:sz w:val="38"/>
        </w:rPr>
        <w:t> </w:t>
      </w:r>
      <w:r>
        <w:rPr>
          <w:sz w:val="38"/>
        </w:rPr>
        <w:t>to</w:t>
      </w:r>
      <w:r>
        <w:rPr>
          <w:spacing w:val="18"/>
          <w:sz w:val="38"/>
        </w:rPr>
        <w:t> </w:t>
      </w:r>
      <w:r>
        <w:rPr>
          <w:sz w:val="38"/>
        </w:rPr>
        <w:t>the</w:t>
      </w:r>
    </w:p>
    <w:p>
      <w:pPr>
        <w:spacing w:after="0" w:line="273" w:lineRule="auto"/>
        <w:jc w:val="both"/>
        <w:rPr>
          <w:sz w:val="38"/>
        </w:rPr>
        <w:sectPr>
          <w:pgSz w:w="14260" w:h="16840"/>
          <w:pgMar w:header="0" w:footer="402" w:top="1320" w:bottom="2280" w:left="1300" w:right="1297"/>
        </w:sectPr>
      </w:pPr>
    </w:p>
    <w:p>
      <w:pPr>
        <w:pStyle w:val="BodyText"/>
        <w:spacing w:line="276" w:lineRule="auto" w:before="74"/>
        <w:ind w:left="836"/>
      </w:pPr>
      <w:r>
        <w:rPr/>
        <w:t>control</w:t>
      </w:r>
      <w:r>
        <w:rPr>
          <w:spacing w:val="-13"/>
        </w:rPr>
        <w:t> </w:t>
      </w:r>
      <w:r>
        <w:rPr/>
        <w:t>group;</w:t>
      </w:r>
      <w:r>
        <w:rPr>
          <w:spacing w:val="-12"/>
        </w:rPr>
        <w:t> </w:t>
      </w:r>
      <w:r>
        <w:rPr/>
        <w:t>sudden</w:t>
      </w:r>
      <w:r>
        <w:rPr>
          <w:spacing w:val="-13"/>
        </w:rPr>
        <w:t> </w:t>
      </w:r>
      <w:r>
        <w:rPr/>
        <w:t>cardiac</w:t>
      </w:r>
      <w:r>
        <w:rPr>
          <w:spacing w:val="-15"/>
        </w:rPr>
        <w:t> </w:t>
      </w:r>
      <w:r>
        <w:rPr/>
        <w:t>death</w:t>
      </w:r>
      <w:r>
        <w:rPr>
          <w:spacing w:val="-13"/>
        </w:rPr>
        <w:t> </w:t>
      </w:r>
      <w:r>
        <w:rPr/>
        <w:t>dropped</w:t>
      </w:r>
      <w:r>
        <w:rPr>
          <w:spacing w:val="-14"/>
        </w:rPr>
        <w:t> </w:t>
      </w:r>
      <w:r>
        <w:rPr/>
        <w:t>45</w:t>
      </w:r>
      <w:r>
        <w:rPr>
          <w:spacing w:val="-15"/>
        </w:rPr>
        <w:t> </w:t>
      </w:r>
      <w:r>
        <w:rPr/>
        <w:t>%</w:t>
      </w:r>
      <w:r>
        <w:rPr>
          <w:spacing w:val="-15"/>
        </w:rPr>
        <w:t> </w:t>
      </w:r>
      <w:r>
        <w:rPr/>
        <w:t>and</w:t>
      </w:r>
      <w:r>
        <w:rPr>
          <w:spacing w:val="-13"/>
        </w:rPr>
        <w:t> </w:t>
      </w:r>
      <w:r>
        <w:rPr/>
        <w:t>cholesterol</w:t>
      </w:r>
      <w:r>
        <w:rPr>
          <w:spacing w:val="-15"/>
        </w:rPr>
        <w:t> </w:t>
      </w:r>
      <w:r>
        <w:rPr/>
        <w:t>fell</w:t>
      </w:r>
      <w:r>
        <w:rPr>
          <w:spacing w:val="-14"/>
        </w:rPr>
        <w:t> </w:t>
      </w:r>
      <w:r>
        <w:rPr/>
        <w:t>by up to 30 %!</w:t>
      </w:r>
    </w:p>
    <w:p>
      <w:pPr>
        <w:pStyle w:val="BodyText"/>
        <w:tabs>
          <w:tab w:pos="824" w:val="left" w:leader="none"/>
        </w:tabs>
        <w:spacing w:line="273" w:lineRule="auto" w:before="122"/>
        <w:ind w:left="824" w:right="115" w:hanging="425"/>
      </w:pPr>
      <w:r>
        <w:rPr>
          <w:rFonts w:ascii="Times New Roman"/>
        </w:rPr>
        <w:t>-</w:t>
        <w:tab/>
      </w:r>
      <w:r>
        <w:rPr/>
        <w:t>that</w:t>
      </w:r>
      <w:r>
        <w:rPr>
          <w:spacing w:val="-15"/>
        </w:rPr>
        <w:t> </w:t>
      </w:r>
      <w:r>
        <w:rPr/>
        <w:t>a</w:t>
      </w:r>
      <w:r>
        <w:rPr>
          <w:spacing w:val="-16"/>
        </w:rPr>
        <w:t> </w:t>
      </w:r>
      <w:r>
        <w:rPr/>
        <w:t>study</w:t>
      </w:r>
      <w:r>
        <w:rPr>
          <w:spacing w:val="-15"/>
        </w:rPr>
        <w:t> </w:t>
      </w:r>
      <w:r>
        <w:rPr/>
        <w:t>on</w:t>
      </w:r>
      <w:r>
        <w:rPr>
          <w:spacing w:val="-13"/>
        </w:rPr>
        <w:t> </w:t>
      </w:r>
      <w:r>
        <w:rPr/>
        <w:t>2664</w:t>
      </w:r>
      <w:r>
        <w:rPr>
          <w:spacing w:val="-17"/>
        </w:rPr>
        <w:t> </w:t>
      </w:r>
      <w:r>
        <w:rPr/>
        <w:t>cardiac</w:t>
      </w:r>
      <w:r>
        <w:rPr>
          <w:spacing w:val="-15"/>
        </w:rPr>
        <w:t> </w:t>
      </w:r>
      <w:r>
        <w:rPr/>
        <w:t>patients</w:t>
      </w:r>
      <w:r>
        <w:rPr>
          <w:spacing w:val="-14"/>
        </w:rPr>
        <w:t> </w:t>
      </w:r>
      <w:r>
        <w:rPr/>
        <w:t>showed</w:t>
      </w:r>
      <w:r>
        <w:rPr>
          <w:spacing w:val="-14"/>
        </w:rPr>
        <w:t> </w:t>
      </w:r>
      <w:r>
        <w:rPr/>
        <w:t>the</w:t>
      </w:r>
      <w:r>
        <w:rPr>
          <w:spacing w:val="-14"/>
        </w:rPr>
        <w:t> </w:t>
      </w:r>
      <w:r>
        <w:rPr/>
        <w:t>following</w:t>
      </w:r>
      <w:r>
        <w:rPr>
          <w:spacing w:val="-14"/>
        </w:rPr>
        <w:t> </w:t>
      </w:r>
      <w:r>
        <w:rPr/>
        <w:t>improvements with coenzyme Q10 after just 90</w:t>
      </w:r>
      <w:r>
        <w:rPr>
          <w:spacing w:val="-1"/>
        </w:rPr>
        <w:t> </w:t>
      </w:r>
      <w:r>
        <w:rPr/>
        <w:t>days:</w:t>
      </w:r>
    </w:p>
    <w:p>
      <w:pPr>
        <w:pStyle w:val="BodyText"/>
        <w:spacing w:before="2"/>
        <w:rPr>
          <w:sz w:val="22"/>
        </w:rPr>
      </w:pPr>
    </w:p>
    <w:tbl>
      <w:tblPr>
        <w:tblW w:w="0" w:type="auto"/>
        <w:jc w:val="left"/>
        <w:tblInd w:w="3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58"/>
        <w:gridCol w:w="2415"/>
      </w:tblGrid>
      <w:tr>
        <w:trPr>
          <w:trHeight w:val="1182" w:hRule="atLeast"/>
        </w:trPr>
        <w:tc>
          <w:tcPr>
            <w:tcW w:w="2758" w:type="dxa"/>
            <w:shd w:val="clear" w:color="auto" w:fill="94B3D6"/>
          </w:tcPr>
          <w:p>
            <w:pPr>
              <w:pStyle w:val="TableParagraph"/>
              <w:spacing w:line="426" w:lineRule="exact"/>
              <w:ind w:left="69"/>
              <w:rPr>
                <w:b/>
                <w:sz w:val="38"/>
              </w:rPr>
            </w:pPr>
            <w:r>
              <w:rPr>
                <w:b/>
                <w:sz w:val="38"/>
              </w:rPr>
              <w:t>SYMPTOMS</w:t>
            </w:r>
          </w:p>
        </w:tc>
        <w:tc>
          <w:tcPr>
            <w:tcW w:w="2415" w:type="dxa"/>
            <w:shd w:val="clear" w:color="auto" w:fill="94B3D6"/>
          </w:tcPr>
          <w:p>
            <w:pPr>
              <w:pStyle w:val="TableParagraph"/>
              <w:spacing w:line="278" w:lineRule="auto"/>
              <w:ind w:left="69" w:right="305"/>
              <w:rPr>
                <w:b/>
                <w:sz w:val="38"/>
              </w:rPr>
            </w:pPr>
            <w:r>
              <w:rPr>
                <w:b/>
                <w:sz w:val="38"/>
              </w:rPr>
              <w:t>REDUC- TION IN %</w:t>
            </w:r>
          </w:p>
        </w:tc>
      </w:tr>
      <w:tr>
        <w:trPr>
          <w:trHeight w:val="984" w:hRule="atLeast"/>
        </w:trPr>
        <w:tc>
          <w:tcPr>
            <w:tcW w:w="2758" w:type="dxa"/>
          </w:tcPr>
          <w:p>
            <w:pPr>
              <w:pStyle w:val="TableParagraph"/>
              <w:tabs>
                <w:tab w:pos="1500" w:val="left" w:leader="none"/>
              </w:tabs>
              <w:spacing w:line="426" w:lineRule="exact"/>
              <w:ind w:left="69"/>
              <w:rPr>
                <w:sz w:val="38"/>
              </w:rPr>
            </w:pPr>
            <w:r>
              <w:rPr>
                <w:sz w:val="38"/>
              </w:rPr>
              <w:t>Cardiac</w:t>
              <w:tab/>
              <w:t>arrhyth-</w:t>
            </w:r>
          </w:p>
          <w:p>
            <w:pPr>
              <w:pStyle w:val="TableParagraph"/>
              <w:spacing w:before="62"/>
              <w:ind w:left="69"/>
              <w:rPr>
                <w:sz w:val="38"/>
              </w:rPr>
            </w:pPr>
            <w:r>
              <w:rPr>
                <w:sz w:val="38"/>
              </w:rPr>
              <w:t>mia</w:t>
            </w:r>
          </w:p>
        </w:tc>
        <w:tc>
          <w:tcPr>
            <w:tcW w:w="2415" w:type="dxa"/>
          </w:tcPr>
          <w:p>
            <w:pPr>
              <w:pStyle w:val="TableParagraph"/>
              <w:spacing w:before="1"/>
              <w:ind w:left="69"/>
              <w:rPr>
                <w:sz w:val="38"/>
              </w:rPr>
            </w:pPr>
            <w:r>
              <w:rPr>
                <w:sz w:val="38"/>
              </w:rPr>
              <w:t>63.4 %</w:t>
            </w:r>
          </w:p>
        </w:tc>
      </w:tr>
      <w:tr>
        <w:trPr>
          <w:trHeight w:val="693" w:hRule="atLeast"/>
        </w:trPr>
        <w:tc>
          <w:tcPr>
            <w:tcW w:w="2758" w:type="dxa"/>
          </w:tcPr>
          <w:p>
            <w:pPr>
              <w:pStyle w:val="TableParagraph"/>
              <w:spacing w:line="426" w:lineRule="exact"/>
              <w:ind w:left="69"/>
              <w:rPr>
                <w:sz w:val="38"/>
              </w:rPr>
            </w:pPr>
            <w:r>
              <w:rPr>
                <w:sz w:val="38"/>
              </w:rPr>
              <w:t>Heart palpitations</w:t>
            </w:r>
          </w:p>
        </w:tc>
        <w:tc>
          <w:tcPr>
            <w:tcW w:w="2415" w:type="dxa"/>
          </w:tcPr>
          <w:p>
            <w:pPr>
              <w:pStyle w:val="TableParagraph"/>
              <w:spacing w:line="426" w:lineRule="exact"/>
              <w:ind w:left="69"/>
              <w:rPr>
                <w:sz w:val="38"/>
              </w:rPr>
            </w:pPr>
            <w:r>
              <w:rPr>
                <w:sz w:val="38"/>
              </w:rPr>
              <w:t>75.4 %</w:t>
            </w:r>
          </w:p>
        </w:tc>
      </w:tr>
      <w:tr>
        <w:trPr>
          <w:trHeight w:val="690" w:hRule="atLeast"/>
        </w:trPr>
        <w:tc>
          <w:tcPr>
            <w:tcW w:w="2758" w:type="dxa"/>
          </w:tcPr>
          <w:p>
            <w:pPr>
              <w:pStyle w:val="TableParagraph"/>
              <w:spacing w:line="426" w:lineRule="exact"/>
              <w:ind w:left="69"/>
              <w:rPr>
                <w:sz w:val="38"/>
              </w:rPr>
            </w:pPr>
            <w:r>
              <w:rPr>
                <w:sz w:val="38"/>
              </w:rPr>
              <w:t>Dizziness</w:t>
            </w:r>
          </w:p>
        </w:tc>
        <w:tc>
          <w:tcPr>
            <w:tcW w:w="2415" w:type="dxa"/>
          </w:tcPr>
          <w:p>
            <w:pPr>
              <w:pStyle w:val="TableParagraph"/>
              <w:spacing w:line="426" w:lineRule="exact"/>
              <w:ind w:left="69"/>
              <w:rPr>
                <w:sz w:val="38"/>
              </w:rPr>
            </w:pPr>
            <w:r>
              <w:rPr>
                <w:sz w:val="38"/>
              </w:rPr>
              <w:t>73.1 %</w:t>
            </w:r>
          </w:p>
        </w:tc>
      </w:tr>
      <w:tr>
        <w:trPr>
          <w:trHeight w:val="1182" w:hRule="atLeast"/>
        </w:trPr>
        <w:tc>
          <w:tcPr>
            <w:tcW w:w="2758" w:type="dxa"/>
          </w:tcPr>
          <w:p>
            <w:pPr>
              <w:pStyle w:val="TableParagraph"/>
              <w:tabs>
                <w:tab w:pos="2370" w:val="left" w:leader="none"/>
              </w:tabs>
              <w:spacing w:line="278" w:lineRule="auto"/>
              <w:ind w:left="69" w:right="60"/>
              <w:rPr>
                <w:sz w:val="38"/>
              </w:rPr>
            </w:pPr>
            <w:r>
              <w:rPr>
                <w:sz w:val="38"/>
              </w:rPr>
              <w:t>Shortness</w:t>
              <w:tab/>
              <w:t>of</w:t>
            </w:r>
            <w:r>
              <w:rPr>
                <w:spacing w:val="-1"/>
                <w:w w:val="99"/>
                <w:sz w:val="38"/>
              </w:rPr>
              <w:t> </w:t>
            </w:r>
            <w:r>
              <w:rPr>
                <w:sz w:val="38"/>
              </w:rPr>
              <w:t>breath</w:t>
            </w:r>
          </w:p>
        </w:tc>
        <w:tc>
          <w:tcPr>
            <w:tcW w:w="2415" w:type="dxa"/>
          </w:tcPr>
          <w:p>
            <w:pPr>
              <w:pStyle w:val="TableParagraph"/>
              <w:spacing w:line="426" w:lineRule="exact"/>
              <w:ind w:left="69"/>
              <w:rPr>
                <w:sz w:val="38"/>
              </w:rPr>
            </w:pPr>
            <w:r>
              <w:rPr>
                <w:sz w:val="38"/>
              </w:rPr>
              <w:t>52.7 %</w:t>
            </w:r>
          </w:p>
        </w:tc>
      </w:tr>
      <w:tr>
        <w:trPr>
          <w:trHeight w:val="691" w:hRule="atLeast"/>
        </w:trPr>
        <w:tc>
          <w:tcPr>
            <w:tcW w:w="2758" w:type="dxa"/>
          </w:tcPr>
          <w:p>
            <w:pPr>
              <w:pStyle w:val="TableParagraph"/>
              <w:spacing w:line="426" w:lineRule="exact"/>
              <w:ind w:left="69"/>
              <w:rPr>
                <w:sz w:val="38"/>
              </w:rPr>
            </w:pPr>
            <w:r>
              <w:rPr>
                <w:sz w:val="38"/>
              </w:rPr>
              <w:t>Cyanosis</w:t>
            </w:r>
          </w:p>
        </w:tc>
        <w:tc>
          <w:tcPr>
            <w:tcW w:w="2415" w:type="dxa"/>
          </w:tcPr>
          <w:p>
            <w:pPr>
              <w:pStyle w:val="TableParagraph"/>
              <w:spacing w:line="426" w:lineRule="exact"/>
              <w:ind w:left="69"/>
              <w:rPr>
                <w:sz w:val="38"/>
              </w:rPr>
            </w:pPr>
            <w:r>
              <w:rPr>
                <w:sz w:val="38"/>
              </w:rPr>
              <w:t>78.0 %</w:t>
            </w:r>
          </w:p>
        </w:tc>
      </w:tr>
      <w:tr>
        <w:trPr>
          <w:trHeight w:val="693" w:hRule="atLeast"/>
        </w:trPr>
        <w:tc>
          <w:tcPr>
            <w:tcW w:w="2758" w:type="dxa"/>
          </w:tcPr>
          <w:p>
            <w:pPr>
              <w:pStyle w:val="TableParagraph"/>
              <w:spacing w:before="1"/>
              <w:ind w:left="69"/>
              <w:rPr>
                <w:sz w:val="38"/>
              </w:rPr>
            </w:pPr>
            <w:r>
              <w:rPr>
                <w:sz w:val="38"/>
              </w:rPr>
              <w:t>Oedema</w:t>
            </w:r>
          </w:p>
        </w:tc>
        <w:tc>
          <w:tcPr>
            <w:tcW w:w="2415" w:type="dxa"/>
          </w:tcPr>
          <w:p>
            <w:pPr>
              <w:pStyle w:val="TableParagraph"/>
              <w:spacing w:before="1"/>
              <w:ind w:left="69"/>
              <w:rPr>
                <w:sz w:val="38"/>
              </w:rPr>
            </w:pPr>
            <w:r>
              <w:rPr>
                <w:sz w:val="38"/>
              </w:rPr>
              <w:t>77.8 to 78.6 %</w:t>
            </w:r>
          </w:p>
        </w:tc>
      </w:tr>
      <w:tr>
        <w:trPr>
          <w:trHeight w:val="690" w:hRule="atLeast"/>
        </w:trPr>
        <w:tc>
          <w:tcPr>
            <w:tcW w:w="2758" w:type="dxa"/>
          </w:tcPr>
          <w:p>
            <w:pPr>
              <w:pStyle w:val="TableParagraph"/>
              <w:spacing w:line="426" w:lineRule="exact"/>
              <w:ind w:left="69"/>
              <w:rPr>
                <w:sz w:val="38"/>
              </w:rPr>
            </w:pPr>
            <w:r>
              <w:rPr>
                <w:sz w:val="38"/>
              </w:rPr>
              <w:t>Insomnia</w:t>
            </w:r>
          </w:p>
        </w:tc>
        <w:tc>
          <w:tcPr>
            <w:tcW w:w="2415" w:type="dxa"/>
          </w:tcPr>
          <w:p>
            <w:pPr>
              <w:pStyle w:val="TableParagraph"/>
              <w:spacing w:line="426" w:lineRule="exact"/>
              <w:ind w:left="69"/>
              <w:rPr>
                <w:sz w:val="38"/>
              </w:rPr>
            </w:pPr>
            <w:r>
              <w:rPr>
                <w:sz w:val="38"/>
              </w:rPr>
              <w:t>62.8 %</w:t>
            </w:r>
          </w:p>
        </w:tc>
      </w:tr>
      <w:tr>
        <w:trPr>
          <w:trHeight w:val="1182" w:hRule="atLeast"/>
        </w:trPr>
        <w:tc>
          <w:tcPr>
            <w:tcW w:w="2758" w:type="dxa"/>
          </w:tcPr>
          <w:p>
            <w:pPr>
              <w:pStyle w:val="TableParagraph"/>
              <w:tabs>
                <w:tab w:pos="1585" w:val="left" w:leader="none"/>
                <w:tab w:pos="2171" w:val="left" w:leader="none"/>
              </w:tabs>
              <w:spacing w:line="278" w:lineRule="auto"/>
              <w:ind w:left="69" w:right="59"/>
              <w:rPr>
                <w:sz w:val="38"/>
              </w:rPr>
            </w:pPr>
            <w:r>
              <w:rPr>
                <w:sz w:val="38"/>
              </w:rPr>
              <w:t>Urgency</w:t>
              <w:tab/>
              <w:t>to</w:t>
              <w:tab/>
            </w:r>
            <w:r>
              <w:rPr>
                <w:spacing w:val="-1"/>
                <w:sz w:val="38"/>
              </w:rPr>
              <w:t>uri- </w:t>
            </w:r>
            <w:r>
              <w:rPr>
                <w:sz w:val="38"/>
              </w:rPr>
              <w:t>nate at</w:t>
            </w:r>
            <w:r>
              <w:rPr>
                <w:spacing w:val="-2"/>
                <w:sz w:val="38"/>
              </w:rPr>
              <w:t> </w:t>
            </w:r>
            <w:r>
              <w:rPr>
                <w:sz w:val="38"/>
              </w:rPr>
              <w:t>night</w:t>
            </w:r>
          </w:p>
        </w:tc>
        <w:tc>
          <w:tcPr>
            <w:tcW w:w="2415" w:type="dxa"/>
          </w:tcPr>
          <w:p>
            <w:pPr>
              <w:pStyle w:val="TableParagraph"/>
              <w:spacing w:line="426" w:lineRule="exact"/>
              <w:ind w:left="69"/>
              <w:rPr>
                <w:sz w:val="38"/>
              </w:rPr>
            </w:pPr>
            <w:r>
              <w:rPr>
                <w:sz w:val="38"/>
              </w:rPr>
              <w:t>53.6 %</w:t>
            </w:r>
          </w:p>
        </w:tc>
      </w:tr>
      <w:tr>
        <w:trPr>
          <w:trHeight w:val="1185" w:hRule="atLeast"/>
        </w:trPr>
        <w:tc>
          <w:tcPr>
            <w:tcW w:w="2758" w:type="dxa"/>
          </w:tcPr>
          <w:p>
            <w:pPr>
              <w:pStyle w:val="TableParagraph"/>
              <w:tabs>
                <w:tab w:pos="2370" w:val="left" w:leader="none"/>
              </w:tabs>
              <w:spacing w:line="278" w:lineRule="auto"/>
              <w:ind w:left="69" w:right="60"/>
              <w:rPr>
                <w:sz w:val="38"/>
              </w:rPr>
            </w:pPr>
            <w:r>
              <w:rPr>
                <w:sz w:val="38"/>
              </w:rPr>
              <w:t>Enlargement</w:t>
              <w:tab/>
              <w:t>of</w:t>
            </w:r>
            <w:r>
              <w:rPr>
                <w:spacing w:val="-1"/>
                <w:w w:val="99"/>
                <w:sz w:val="38"/>
              </w:rPr>
              <w:t> </w:t>
            </w:r>
            <w:r>
              <w:rPr>
                <w:sz w:val="38"/>
              </w:rPr>
              <w:t>the</w:t>
            </w:r>
            <w:r>
              <w:rPr>
                <w:spacing w:val="1"/>
                <w:sz w:val="38"/>
              </w:rPr>
              <w:t> </w:t>
            </w:r>
            <w:r>
              <w:rPr>
                <w:sz w:val="38"/>
              </w:rPr>
              <w:t>liver</w:t>
            </w:r>
          </w:p>
        </w:tc>
        <w:tc>
          <w:tcPr>
            <w:tcW w:w="2415" w:type="dxa"/>
          </w:tcPr>
          <w:p>
            <w:pPr>
              <w:pStyle w:val="TableParagraph"/>
              <w:spacing w:line="426" w:lineRule="exact"/>
              <w:ind w:left="69"/>
              <w:rPr>
                <w:sz w:val="38"/>
              </w:rPr>
            </w:pPr>
            <w:r>
              <w:rPr>
                <w:sz w:val="38"/>
              </w:rPr>
              <w:t>49.8 %</w:t>
            </w:r>
          </w:p>
        </w:tc>
      </w:tr>
    </w:tbl>
    <w:p>
      <w:pPr>
        <w:spacing w:after="0" w:line="426" w:lineRule="exact"/>
        <w:rPr>
          <w:sz w:val="38"/>
        </w:rPr>
        <w:sectPr>
          <w:pgSz w:w="14260" w:h="16840"/>
          <w:pgMar w:header="0" w:footer="402" w:top="1320" w:bottom="2280" w:left="1300" w:right="1297"/>
        </w:sectPr>
      </w:pPr>
    </w:p>
    <w:p>
      <w:pPr>
        <w:pStyle w:val="BodyText"/>
        <w:ind w:left="3239"/>
        <w:rPr>
          <w:sz w:val="20"/>
        </w:rPr>
      </w:pPr>
      <w:r>
        <w:rPr>
          <w:sz w:val="20"/>
        </w:rPr>
        <w:pict>
          <v:shape style="width:137.9pt;height:35.2pt;mso-position-horizontal-relative:char;mso-position-vertical-relative:line" type="#_x0000_t202" filled="false" stroked="true" strokeweight=".47998pt" strokecolor="#000000">
            <w10:anchorlock/>
            <v:textbox inset="0,0,0,0">
              <w:txbxContent>
                <w:p>
                  <w:pPr>
                    <w:pStyle w:val="BodyText"/>
                    <w:spacing w:before="1"/>
                    <w:ind w:left="64"/>
                  </w:pPr>
                  <w:r>
                    <w:rPr/>
                    <w:t>Sweating</w:t>
                  </w:r>
                </w:p>
              </w:txbxContent>
            </v:textbox>
            <v:stroke dashstyle="solid"/>
          </v:shape>
        </w:pict>
      </w:r>
      <w:r>
        <w:rPr>
          <w:sz w:val="20"/>
        </w:rPr>
      </w:r>
    </w:p>
    <w:p>
      <w:pPr>
        <w:pStyle w:val="BodyText"/>
        <w:rPr>
          <w:sz w:val="20"/>
        </w:rPr>
      </w:pPr>
    </w:p>
    <w:p>
      <w:pPr>
        <w:pStyle w:val="BodyText"/>
        <w:rPr>
          <w:sz w:val="20"/>
        </w:rPr>
      </w:pPr>
    </w:p>
    <w:p>
      <w:pPr>
        <w:pStyle w:val="Heading2"/>
        <w:spacing w:before="244"/>
        <w:ind w:left="116"/>
        <w:jc w:val="both"/>
      </w:pPr>
      <w:r>
        <w:rPr/>
        <w:pict>
          <v:shape style="position:absolute;margin-left:365.109985pt;margin-top:-59.645515pt;width:120.75pt;height:35.2pt;mso-position-horizontal-relative:page;mso-position-vertical-relative:paragraph;z-index:1096" type="#_x0000_t202" filled="false" stroked="true" strokeweight=".48001pt" strokecolor="#000000">
            <v:textbox inset="0,0,0,0">
              <w:txbxContent>
                <w:p>
                  <w:pPr>
                    <w:pStyle w:val="BodyText"/>
                    <w:spacing w:before="1"/>
                    <w:ind w:left="64"/>
                  </w:pPr>
                  <w:r>
                    <w:rPr/>
                    <w:t>79.8 %</w:t>
                  </w:r>
                </w:p>
              </w:txbxContent>
            </v:textbox>
            <v:stroke dashstyle="solid"/>
            <w10:wrap type="none"/>
          </v:shape>
        </w:pict>
      </w:r>
      <w:r>
        <w:rPr/>
        <w:t>Cancer, Number 2 cause of death!</w:t>
      </w:r>
    </w:p>
    <w:p>
      <w:pPr>
        <w:pStyle w:val="BodyText"/>
        <w:spacing w:before="184"/>
        <w:ind w:left="116"/>
        <w:jc w:val="both"/>
        <w:rPr>
          <w:sz w:val="25"/>
        </w:rPr>
      </w:pPr>
      <w:r>
        <w:rPr/>
        <w:t>One in two people</w:t>
      </w:r>
      <w:r>
        <w:rPr>
          <w:position w:val="9"/>
          <w:sz w:val="25"/>
        </w:rPr>
        <w:t>1 </w:t>
      </w:r>
      <w:r>
        <w:rPr/>
        <w:t>suffers from cancer and one in four people dies of cancer</w:t>
      </w:r>
      <w:r>
        <w:rPr>
          <w:position w:val="9"/>
          <w:sz w:val="25"/>
        </w:rPr>
        <w:t>2</w:t>
      </w:r>
    </w:p>
    <w:p>
      <w:pPr>
        <w:pStyle w:val="BodyText"/>
        <w:spacing w:line="276" w:lineRule="auto" w:before="62"/>
        <w:ind w:left="116" w:right="115"/>
        <w:jc w:val="both"/>
      </w:pPr>
      <w:r>
        <w:rPr/>
        <w:t>- and where are the ‘researching pharmaceutical companies’? Cancer is still THE scourge of humanity because our understanding of it is built entirely on lies!</w:t>
      </w:r>
    </w:p>
    <w:p>
      <w:pPr>
        <w:pStyle w:val="BodyText"/>
        <w:spacing w:before="10"/>
        <w:rPr>
          <w:sz w:val="43"/>
        </w:rPr>
      </w:pPr>
    </w:p>
    <w:p>
      <w:pPr>
        <w:pStyle w:val="BodyText"/>
        <w:spacing w:line="276" w:lineRule="auto"/>
        <w:ind w:left="116" w:right="115"/>
        <w:jc w:val="both"/>
        <w:rPr>
          <w:sz w:val="25"/>
        </w:rPr>
      </w:pPr>
      <w:r>
        <w:rPr/>
        <w:t>Chemotherapy has been proven to deliver a very questionable rate of success of just 2.3 % of those treated, underpinned by long-term studies from the US and Australia on a total of 200,000 treated patients!</w:t>
      </w:r>
      <w:r>
        <w:rPr>
          <w:position w:val="9"/>
          <w:sz w:val="25"/>
        </w:rPr>
        <w:t>3</w:t>
      </w:r>
    </w:p>
    <w:p>
      <w:pPr>
        <w:pStyle w:val="BodyText"/>
        <w:spacing w:before="7"/>
        <w:rPr>
          <w:sz w:val="43"/>
        </w:rPr>
      </w:pPr>
    </w:p>
    <w:p>
      <w:pPr>
        <w:pStyle w:val="BodyText"/>
        <w:spacing w:line="276" w:lineRule="auto"/>
        <w:ind w:left="116" w:right="116"/>
        <w:jc w:val="both"/>
      </w:pPr>
      <w:r>
        <w:rPr/>
        <w:t>Surgery, radiation and chemotherapy... a more-than-questionable triangle of a clearly-misguided cancer therapy concept, symptom-oriented rather than cause-oriented, created by supposedly-advanced medical science, which has clearly been in a dead end for decades!</w:t>
      </w:r>
    </w:p>
    <w:p>
      <w:pPr>
        <w:pStyle w:val="BodyText"/>
        <w:spacing w:line="276" w:lineRule="auto" w:before="2"/>
        <w:ind w:left="116" w:right="113"/>
        <w:jc w:val="both"/>
      </w:pPr>
      <w:r>
        <w:rPr/>
        <w:t>Curing cancer is possible, as long as one chooses the right cancer treatment - cancer</w:t>
      </w:r>
      <w:r>
        <w:rPr>
          <w:spacing w:val="-17"/>
        </w:rPr>
        <w:t> </w:t>
      </w:r>
      <w:r>
        <w:rPr/>
        <w:t>prevention</w:t>
      </w:r>
      <w:r>
        <w:rPr>
          <w:spacing w:val="-16"/>
        </w:rPr>
        <w:t> </w:t>
      </w:r>
      <w:r>
        <w:rPr/>
        <w:t>couldn’t</w:t>
      </w:r>
      <w:r>
        <w:rPr>
          <w:spacing w:val="-19"/>
        </w:rPr>
        <w:t> </w:t>
      </w:r>
      <w:r>
        <w:rPr/>
        <w:t>be</w:t>
      </w:r>
      <w:r>
        <w:rPr>
          <w:spacing w:val="-16"/>
        </w:rPr>
        <w:t> </w:t>
      </w:r>
      <w:r>
        <w:rPr/>
        <w:t>easier</w:t>
      </w:r>
      <w:r>
        <w:rPr>
          <w:spacing w:val="-17"/>
        </w:rPr>
        <w:t> </w:t>
      </w:r>
      <w:r>
        <w:rPr/>
        <w:t>with</w:t>
      </w:r>
      <w:r>
        <w:rPr>
          <w:spacing w:val="-16"/>
        </w:rPr>
        <w:t> </w:t>
      </w:r>
      <w:r>
        <w:rPr/>
        <w:t>the</w:t>
      </w:r>
      <w:r>
        <w:rPr>
          <w:spacing w:val="-19"/>
        </w:rPr>
        <w:t> </w:t>
      </w:r>
      <w:r>
        <w:rPr/>
        <w:t>right</w:t>
      </w:r>
      <w:r>
        <w:rPr>
          <w:spacing w:val="-19"/>
        </w:rPr>
        <w:t> </w:t>
      </w:r>
      <w:r>
        <w:rPr/>
        <w:t>combination</w:t>
      </w:r>
      <w:r>
        <w:rPr>
          <w:spacing w:val="-18"/>
        </w:rPr>
        <w:t> </w:t>
      </w:r>
      <w:r>
        <w:rPr/>
        <w:t>of</w:t>
      </w:r>
      <w:r>
        <w:rPr>
          <w:spacing w:val="-20"/>
        </w:rPr>
        <w:t> </w:t>
      </w:r>
      <w:r>
        <w:rPr/>
        <w:t>natural</w:t>
      </w:r>
      <w:r>
        <w:rPr>
          <w:spacing w:val="-18"/>
        </w:rPr>
        <w:t> </w:t>
      </w:r>
      <w:r>
        <w:rPr/>
        <w:t>sub- stances!</w:t>
      </w:r>
    </w:p>
    <w:p>
      <w:pPr>
        <w:pStyle w:val="BodyText"/>
        <w:spacing w:line="276" w:lineRule="auto"/>
        <w:ind w:left="116" w:right="120"/>
        <w:jc w:val="both"/>
      </w:pPr>
      <w:r>
        <w:rPr/>
        <w:t>Confront your oncologist with the most significant studies on the effects and inefficiencies</w:t>
      </w:r>
      <w:r>
        <w:rPr>
          <w:spacing w:val="-25"/>
        </w:rPr>
        <w:t> </w:t>
      </w:r>
      <w:r>
        <w:rPr/>
        <w:t>of</w:t>
      </w:r>
      <w:r>
        <w:rPr>
          <w:spacing w:val="-25"/>
        </w:rPr>
        <w:t> </w:t>
      </w:r>
      <w:r>
        <w:rPr/>
        <w:t>chemotherapy</w:t>
      </w:r>
      <w:r>
        <w:rPr>
          <w:spacing w:val="-25"/>
        </w:rPr>
        <w:t> </w:t>
      </w:r>
      <w:r>
        <w:rPr/>
        <w:t>on</w:t>
      </w:r>
      <w:r>
        <w:rPr>
          <w:spacing w:val="-24"/>
        </w:rPr>
        <w:t> </w:t>
      </w:r>
      <w:r>
        <w:rPr/>
        <w:t>individual</w:t>
      </w:r>
      <w:r>
        <w:rPr>
          <w:spacing w:val="-25"/>
        </w:rPr>
        <w:t> </w:t>
      </w:r>
      <w:r>
        <w:rPr/>
        <w:t>cancer</w:t>
      </w:r>
      <w:r>
        <w:rPr>
          <w:spacing w:val="-24"/>
        </w:rPr>
        <w:t> </w:t>
      </w:r>
      <w:r>
        <w:rPr/>
        <w:t>cases</w:t>
      </w:r>
      <w:r>
        <w:rPr>
          <w:spacing w:val="-24"/>
        </w:rPr>
        <w:t> </w:t>
      </w:r>
      <w:r>
        <w:rPr/>
        <w:t>in</w:t>
      </w:r>
      <w:r>
        <w:rPr>
          <w:spacing w:val="-25"/>
        </w:rPr>
        <w:t> </w:t>
      </w:r>
      <w:r>
        <w:rPr/>
        <w:t>more</w:t>
      </w:r>
      <w:r>
        <w:rPr>
          <w:spacing w:val="-27"/>
        </w:rPr>
        <w:t> </w:t>
      </w:r>
      <w:r>
        <w:rPr/>
        <w:t>than</w:t>
      </w:r>
      <w:r>
        <w:rPr>
          <w:spacing w:val="-24"/>
        </w:rPr>
        <w:t> </w:t>
      </w:r>
      <w:r>
        <w:rPr/>
        <w:t>200,000 patients</w:t>
      </w:r>
      <w:r>
        <w:rPr>
          <w:spacing w:val="36"/>
        </w:rPr>
        <w:t> </w:t>
      </w:r>
      <w:r>
        <w:rPr/>
        <w:t>in</w:t>
      </w:r>
      <w:r>
        <w:rPr>
          <w:spacing w:val="36"/>
        </w:rPr>
        <w:t> </w:t>
      </w:r>
      <w:r>
        <w:rPr/>
        <w:t>the</w:t>
      </w:r>
      <w:r>
        <w:rPr>
          <w:spacing w:val="37"/>
        </w:rPr>
        <w:t> </w:t>
      </w:r>
      <w:r>
        <w:rPr/>
        <w:t>US</w:t>
      </w:r>
      <w:r>
        <w:rPr>
          <w:spacing w:val="35"/>
        </w:rPr>
        <w:t> </w:t>
      </w:r>
      <w:r>
        <w:rPr/>
        <w:t>and</w:t>
      </w:r>
      <w:r>
        <w:rPr>
          <w:spacing w:val="36"/>
        </w:rPr>
        <w:t> </w:t>
      </w:r>
      <w:r>
        <w:rPr/>
        <w:t>Australia</w:t>
      </w:r>
      <w:r>
        <w:rPr>
          <w:spacing w:val="40"/>
        </w:rPr>
        <w:t> </w:t>
      </w:r>
      <w:r>
        <w:rPr/>
        <w:t>-</w:t>
      </w:r>
      <w:r>
        <w:rPr>
          <w:spacing w:val="34"/>
        </w:rPr>
        <w:t> </w:t>
      </w:r>
      <w:r>
        <w:rPr/>
        <w:t>support</w:t>
      </w:r>
      <w:r>
        <w:rPr>
          <w:spacing w:val="36"/>
        </w:rPr>
        <w:t> </w:t>
      </w:r>
      <w:r>
        <w:rPr/>
        <w:t>your</w:t>
      </w:r>
      <w:r>
        <w:rPr>
          <w:spacing w:val="36"/>
        </w:rPr>
        <w:t> </w:t>
      </w:r>
      <w:r>
        <w:rPr/>
        <w:t>cancer</w:t>
      </w:r>
      <w:r>
        <w:rPr>
          <w:spacing w:val="35"/>
        </w:rPr>
        <w:t> </w:t>
      </w:r>
      <w:r>
        <w:rPr/>
        <w:t>therapy</w:t>
      </w:r>
      <w:r>
        <w:rPr>
          <w:spacing w:val="34"/>
        </w:rPr>
        <w:t> </w:t>
      </w:r>
      <w:r>
        <w:rPr/>
        <w:t>with</w:t>
      </w:r>
      <w:r>
        <w:rPr>
          <w:spacing w:val="37"/>
        </w:rPr>
        <w:t> </w:t>
      </w:r>
      <w:r>
        <w:rPr/>
        <w:t>natural</w:t>
      </w:r>
    </w:p>
    <w:p>
      <w:pPr>
        <w:pStyle w:val="BodyText"/>
        <w:spacing w:before="3"/>
        <w:rPr>
          <w:sz w:val="27"/>
        </w:rPr>
      </w:pPr>
      <w:r>
        <w:rPr/>
        <w:pict>
          <v:line style="position:absolute;mso-position-horizontal-relative:page;mso-position-vertical-relative:paragraph;z-index:-976;mso-wrap-distance-left:0;mso-wrap-distance-right:0" from="70.823997pt,17.734995pt" to="214.843997pt,17.734995pt" stroked="true" strokeweight=".71997pt" strokecolor="#000000">
            <v:stroke dashstyle="solid"/>
            <w10:wrap type="topAndBottom"/>
          </v:line>
        </w:pict>
      </w:r>
    </w:p>
    <w:p>
      <w:pPr>
        <w:pStyle w:val="BodyText"/>
        <w:spacing w:before="7"/>
        <w:rPr>
          <w:sz w:val="18"/>
        </w:rPr>
      </w:pPr>
    </w:p>
    <w:p>
      <w:pPr>
        <w:spacing w:before="99"/>
        <w:ind w:left="116" w:right="0" w:firstLine="0"/>
        <w:jc w:val="left"/>
        <w:rPr>
          <w:sz w:val="20"/>
        </w:rPr>
      </w:pPr>
      <w:r>
        <w:rPr>
          <w:position w:val="5"/>
          <w:sz w:val="13"/>
        </w:rPr>
        <w:t>1 </w:t>
      </w:r>
      <w:r>
        <w:rPr>
          <w:sz w:val="20"/>
        </w:rPr>
        <w:t>https://</w:t>
      </w:r>
      <w:hyperlink r:id="rId7">
        <w:r>
          <w:rPr>
            <w:sz w:val="20"/>
          </w:rPr>
          <w:t>www.medicalnewstoday.com/articles/288916.php</w:t>
        </w:r>
      </w:hyperlink>
    </w:p>
    <w:p>
      <w:pPr>
        <w:spacing w:before="94"/>
        <w:ind w:left="116" w:right="0" w:firstLine="0"/>
        <w:jc w:val="left"/>
        <w:rPr>
          <w:sz w:val="20"/>
        </w:rPr>
      </w:pPr>
      <w:r>
        <w:rPr>
          <w:position w:val="5"/>
          <w:sz w:val="13"/>
        </w:rPr>
        <w:t>2 </w:t>
      </w:r>
      <w:r>
        <w:rPr>
          <w:sz w:val="20"/>
        </w:rPr>
        <w:t>https://gis.cdc.gov/Cancer/USCS/DataViz.html</w:t>
      </w:r>
    </w:p>
    <w:p>
      <w:pPr>
        <w:spacing w:before="92"/>
        <w:ind w:left="116" w:right="0" w:firstLine="0"/>
        <w:jc w:val="left"/>
        <w:rPr>
          <w:sz w:val="20"/>
        </w:rPr>
      </w:pPr>
      <w:r>
        <w:rPr>
          <w:b/>
          <w:i/>
          <w:position w:val="4"/>
          <w:sz w:val="10"/>
        </w:rPr>
        <w:t>3 </w:t>
      </w:r>
      <w:r>
        <w:rPr>
          <w:sz w:val="20"/>
        </w:rPr>
        <w:t>see </w:t>
      </w:r>
      <w:hyperlink r:id="rId8">
        <w:r>
          <w:rPr>
            <w:sz w:val="20"/>
          </w:rPr>
          <w:t>www.brisante-krebsheilung.com</w:t>
        </w:r>
      </w:hyperlink>
    </w:p>
    <w:p>
      <w:pPr>
        <w:spacing w:after="0"/>
        <w:jc w:val="left"/>
        <w:rPr>
          <w:sz w:val="20"/>
        </w:rPr>
        <w:sectPr>
          <w:pgSz w:w="14260" w:h="16840"/>
          <w:pgMar w:header="0" w:footer="402" w:top="1400" w:bottom="2280" w:left="1300" w:right="1297"/>
        </w:sectPr>
      </w:pPr>
    </w:p>
    <w:p>
      <w:pPr>
        <w:pStyle w:val="BodyText"/>
        <w:spacing w:line="276" w:lineRule="auto" w:before="74"/>
        <w:ind w:left="116"/>
      </w:pPr>
      <w:r>
        <w:rPr/>
        <w:t>cytotoxic, cytostatic and immunomodulatory drugs from this book that are completely free of side effects, but are all the more effective for it!</w:t>
      </w:r>
    </w:p>
    <w:p>
      <w:pPr>
        <w:pStyle w:val="BodyText"/>
        <w:spacing w:before="1"/>
        <w:ind w:left="116"/>
      </w:pPr>
      <w:r>
        <w:rPr/>
        <w:t>All of this is supported by meaningful, representative studies.</w:t>
      </w:r>
    </w:p>
    <w:p>
      <w:pPr>
        <w:pStyle w:val="BodyText"/>
        <w:spacing w:before="5"/>
        <w:rPr>
          <w:sz w:val="49"/>
        </w:rPr>
      </w:pPr>
    </w:p>
    <w:p>
      <w:pPr>
        <w:pStyle w:val="Heading2"/>
        <w:ind w:left="116"/>
      </w:pPr>
      <w:r>
        <w:rPr/>
        <w:t>In your Codex Humanus, you will learn in detail,</w:t>
      </w:r>
    </w:p>
    <w:p>
      <w:pPr>
        <w:pStyle w:val="ListParagraph"/>
        <w:numPr>
          <w:ilvl w:val="0"/>
          <w:numId w:val="7"/>
        </w:numPr>
        <w:tabs>
          <w:tab w:pos="619" w:val="left" w:leader="none"/>
        </w:tabs>
        <w:spacing w:line="273" w:lineRule="auto" w:before="66" w:after="0"/>
        <w:ind w:left="618" w:right="116" w:hanging="360"/>
        <w:jc w:val="both"/>
        <w:rPr>
          <w:sz w:val="38"/>
        </w:rPr>
      </w:pPr>
      <w:r>
        <w:rPr>
          <w:sz w:val="38"/>
        </w:rPr>
        <w:t>that bitter apricot kernels (vitamin B17) have prevented 98 % of cancers for over 60 years in millions of</w:t>
      </w:r>
      <w:r>
        <w:rPr>
          <w:spacing w:val="1"/>
          <w:sz w:val="38"/>
        </w:rPr>
        <w:t> </w:t>
      </w:r>
      <w:r>
        <w:rPr>
          <w:sz w:val="38"/>
        </w:rPr>
        <w:t>people!</w:t>
      </w:r>
    </w:p>
    <w:p>
      <w:pPr>
        <w:pStyle w:val="ListParagraph"/>
        <w:numPr>
          <w:ilvl w:val="0"/>
          <w:numId w:val="7"/>
        </w:numPr>
        <w:tabs>
          <w:tab w:pos="619" w:val="left" w:leader="none"/>
        </w:tabs>
        <w:spacing w:line="273" w:lineRule="auto" w:before="248" w:after="0"/>
        <w:ind w:left="618" w:right="118" w:hanging="360"/>
        <w:jc w:val="both"/>
        <w:rPr>
          <w:sz w:val="38"/>
        </w:rPr>
      </w:pPr>
      <w:r>
        <w:rPr>
          <w:sz w:val="38"/>
        </w:rPr>
        <w:t>that resveratrol is a power substance that could prevent up to 100 % of breast cancer according to</w:t>
      </w:r>
      <w:r>
        <w:rPr>
          <w:spacing w:val="2"/>
          <w:sz w:val="38"/>
        </w:rPr>
        <w:t> </w:t>
      </w:r>
      <w:r>
        <w:rPr>
          <w:sz w:val="38"/>
        </w:rPr>
        <w:t>studies!</w:t>
      </w:r>
    </w:p>
    <w:p>
      <w:pPr>
        <w:pStyle w:val="ListParagraph"/>
        <w:numPr>
          <w:ilvl w:val="0"/>
          <w:numId w:val="7"/>
        </w:numPr>
        <w:tabs>
          <w:tab w:pos="619" w:val="left" w:leader="none"/>
        </w:tabs>
        <w:spacing w:line="273" w:lineRule="auto" w:before="247" w:after="0"/>
        <w:ind w:left="618" w:right="120" w:hanging="360"/>
        <w:jc w:val="both"/>
        <w:rPr>
          <w:sz w:val="38"/>
        </w:rPr>
      </w:pPr>
      <w:r>
        <w:rPr>
          <w:sz w:val="38"/>
        </w:rPr>
        <w:t>that bromelain inhibits the growth of lung cancer, lymphoma and leukae- mia by at least 80 %!</w:t>
      </w:r>
    </w:p>
    <w:p>
      <w:pPr>
        <w:pStyle w:val="ListParagraph"/>
        <w:numPr>
          <w:ilvl w:val="0"/>
          <w:numId w:val="7"/>
        </w:numPr>
        <w:tabs>
          <w:tab w:pos="619" w:val="left" w:leader="none"/>
        </w:tabs>
        <w:spacing w:line="273" w:lineRule="auto" w:before="247" w:after="0"/>
        <w:ind w:left="618" w:right="117" w:hanging="360"/>
        <w:jc w:val="both"/>
        <w:rPr>
          <w:sz w:val="38"/>
        </w:rPr>
      </w:pPr>
      <w:r>
        <w:rPr>
          <w:sz w:val="38"/>
        </w:rPr>
        <w:t>that</w:t>
      </w:r>
      <w:r>
        <w:rPr>
          <w:spacing w:val="-15"/>
          <w:sz w:val="38"/>
        </w:rPr>
        <w:t> </w:t>
      </w:r>
      <w:r>
        <w:rPr>
          <w:sz w:val="38"/>
        </w:rPr>
        <w:t>according</w:t>
      </w:r>
      <w:r>
        <w:rPr>
          <w:spacing w:val="-15"/>
          <w:sz w:val="38"/>
        </w:rPr>
        <w:t> </w:t>
      </w:r>
      <w:r>
        <w:rPr>
          <w:sz w:val="38"/>
        </w:rPr>
        <w:t>to</w:t>
      </w:r>
      <w:r>
        <w:rPr>
          <w:spacing w:val="-15"/>
          <w:sz w:val="38"/>
        </w:rPr>
        <w:t> </w:t>
      </w:r>
      <w:r>
        <w:rPr>
          <w:sz w:val="38"/>
        </w:rPr>
        <w:t>the</w:t>
      </w:r>
      <w:r>
        <w:rPr>
          <w:spacing w:val="-17"/>
          <w:sz w:val="38"/>
        </w:rPr>
        <w:t> </w:t>
      </w:r>
      <w:r>
        <w:rPr>
          <w:sz w:val="38"/>
        </w:rPr>
        <w:t>French</w:t>
      </w:r>
      <w:r>
        <w:rPr>
          <w:spacing w:val="-17"/>
          <w:sz w:val="38"/>
        </w:rPr>
        <w:t> </w:t>
      </w:r>
      <w:r>
        <w:rPr>
          <w:sz w:val="38"/>
        </w:rPr>
        <w:t>internist</w:t>
      </w:r>
      <w:r>
        <w:rPr>
          <w:spacing w:val="-15"/>
          <w:sz w:val="38"/>
        </w:rPr>
        <w:t> </w:t>
      </w:r>
      <w:r>
        <w:rPr>
          <w:sz w:val="38"/>
        </w:rPr>
        <w:t>Gérard,</w:t>
      </w:r>
      <w:r>
        <w:rPr>
          <w:spacing w:val="-16"/>
          <w:sz w:val="38"/>
        </w:rPr>
        <w:t> </w:t>
      </w:r>
      <w:r>
        <w:rPr>
          <w:sz w:val="38"/>
        </w:rPr>
        <w:t>600</w:t>
      </w:r>
      <w:r>
        <w:rPr>
          <w:spacing w:val="-16"/>
          <w:sz w:val="38"/>
        </w:rPr>
        <w:t> </w:t>
      </w:r>
      <w:r>
        <w:rPr>
          <w:sz w:val="38"/>
        </w:rPr>
        <w:t>mg</w:t>
      </w:r>
      <w:r>
        <w:rPr>
          <w:spacing w:val="-15"/>
          <w:sz w:val="38"/>
        </w:rPr>
        <w:t> </w:t>
      </w:r>
      <w:r>
        <w:rPr>
          <w:sz w:val="38"/>
        </w:rPr>
        <w:t>of</w:t>
      </w:r>
      <w:r>
        <w:rPr>
          <w:spacing w:val="-17"/>
          <w:sz w:val="38"/>
        </w:rPr>
        <w:t> </w:t>
      </w:r>
      <w:r>
        <w:rPr>
          <w:sz w:val="38"/>
        </w:rPr>
        <w:t>bromelain</w:t>
      </w:r>
      <w:r>
        <w:rPr>
          <w:spacing w:val="-15"/>
          <w:sz w:val="38"/>
        </w:rPr>
        <w:t> </w:t>
      </w:r>
      <w:r>
        <w:rPr>
          <w:sz w:val="38"/>
        </w:rPr>
        <w:t>per</w:t>
      </w:r>
      <w:r>
        <w:rPr>
          <w:spacing w:val="-17"/>
          <w:sz w:val="38"/>
        </w:rPr>
        <w:t> </w:t>
      </w:r>
      <w:r>
        <w:rPr>
          <w:sz w:val="38"/>
        </w:rPr>
        <w:t>day could lead to a ‘</w:t>
      </w:r>
      <w:r>
        <w:rPr>
          <w:i/>
          <w:sz w:val="38"/>
        </w:rPr>
        <w:t>significant drop’ </w:t>
      </w:r>
      <w:r>
        <w:rPr>
          <w:sz w:val="38"/>
        </w:rPr>
        <w:t>in malignant tumours within a few weeks, especially in breast, colon and stomach</w:t>
      </w:r>
      <w:r>
        <w:rPr>
          <w:spacing w:val="-1"/>
          <w:sz w:val="38"/>
        </w:rPr>
        <w:t> </w:t>
      </w:r>
      <w:r>
        <w:rPr>
          <w:sz w:val="38"/>
        </w:rPr>
        <w:t>cancer!</w:t>
      </w:r>
    </w:p>
    <w:p>
      <w:pPr>
        <w:pStyle w:val="ListParagraph"/>
        <w:numPr>
          <w:ilvl w:val="0"/>
          <w:numId w:val="7"/>
        </w:numPr>
        <w:tabs>
          <w:tab w:pos="619" w:val="left" w:leader="none"/>
        </w:tabs>
        <w:spacing w:line="273" w:lineRule="auto" w:before="252" w:after="0"/>
        <w:ind w:left="618" w:right="118" w:hanging="360"/>
        <w:jc w:val="both"/>
        <w:rPr>
          <w:sz w:val="38"/>
        </w:rPr>
      </w:pPr>
      <w:r>
        <w:rPr>
          <w:sz w:val="38"/>
        </w:rPr>
        <w:t>that</w:t>
      </w:r>
      <w:r>
        <w:rPr>
          <w:spacing w:val="-16"/>
          <w:sz w:val="38"/>
        </w:rPr>
        <w:t> </w:t>
      </w:r>
      <w:r>
        <w:rPr>
          <w:sz w:val="38"/>
        </w:rPr>
        <w:t>according</w:t>
      </w:r>
      <w:r>
        <w:rPr>
          <w:spacing w:val="-15"/>
          <w:sz w:val="38"/>
        </w:rPr>
        <w:t> </w:t>
      </w:r>
      <w:r>
        <w:rPr>
          <w:sz w:val="38"/>
        </w:rPr>
        <w:t>to</w:t>
      </w:r>
      <w:r>
        <w:rPr>
          <w:spacing w:val="-14"/>
          <w:sz w:val="38"/>
        </w:rPr>
        <w:t> </w:t>
      </w:r>
      <w:r>
        <w:rPr>
          <w:sz w:val="38"/>
        </w:rPr>
        <w:t>experts,</w:t>
      </w:r>
      <w:r>
        <w:rPr>
          <w:spacing w:val="-15"/>
          <w:sz w:val="38"/>
        </w:rPr>
        <w:t> </w:t>
      </w:r>
      <w:r>
        <w:rPr>
          <w:sz w:val="38"/>
        </w:rPr>
        <w:t>there</w:t>
      </w:r>
      <w:r>
        <w:rPr>
          <w:spacing w:val="-15"/>
          <w:sz w:val="38"/>
        </w:rPr>
        <w:t> </w:t>
      </w:r>
      <w:r>
        <w:rPr>
          <w:sz w:val="38"/>
        </w:rPr>
        <w:t>is</w:t>
      </w:r>
      <w:r>
        <w:rPr>
          <w:spacing w:val="-15"/>
          <w:sz w:val="38"/>
        </w:rPr>
        <w:t> </w:t>
      </w:r>
      <w:r>
        <w:rPr>
          <w:sz w:val="38"/>
        </w:rPr>
        <w:t>not</w:t>
      </w:r>
      <w:r>
        <w:rPr>
          <w:spacing w:val="-16"/>
          <w:sz w:val="38"/>
        </w:rPr>
        <w:t> </w:t>
      </w:r>
      <w:r>
        <w:rPr>
          <w:sz w:val="38"/>
        </w:rPr>
        <w:t>a</w:t>
      </w:r>
      <w:r>
        <w:rPr>
          <w:spacing w:val="-17"/>
          <w:sz w:val="38"/>
        </w:rPr>
        <w:t> </w:t>
      </w:r>
      <w:r>
        <w:rPr>
          <w:sz w:val="38"/>
        </w:rPr>
        <w:t>single</w:t>
      </w:r>
      <w:r>
        <w:rPr>
          <w:spacing w:val="-14"/>
          <w:sz w:val="38"/>
        </w:rPr>
        <w:t> </w:t>
      </w:r>
      <w:r>
        <w:rPr>
          <w:sz w:val="38"/>
        </w:rPr>
        <w:t>type</w:t>
      </w:r>
      <w:r>
        <w:rPr>
          <w:spacing w:val="-15"/>
          <w:sz w:val="38"/>
        </w:rPr>
        <w:t> </w:t>
      </w:r>
      <w:r>
        <w:rPr>
          <w:sz w:val="38"/>
        </w:rPr>
        <w:t>of</w:t>
      </w:r>
      <w:r>
        <w:rPr>
          <w:spacing w:val="-15"/>
          <w:sz w:val="38"/>
        </w:rPr>
        <w:t> </w:t>
      </w:r>
      <w:r>
        <w:rPr>
          <w:sz w:val="38"/>
        </w:rPr>
        <w:t>cancer</w:t>
      </w:r>
      <w:r>
        <w:rPr>
          <w:spacing w:val="-14"/>
          <w:sz w:val="38"/>
        </w:rPr>
        <w:t> </w:t>
      </w:r>
      <w:r>
        <w:rPr>
          <w:sz w:val="38"/>
        </w:rPr>
        <w:t>that</w:t>
      </w:r>
      <w:r>
        <w:rPr>
          <w:spacing w:val="-16"/>
          <w:sz w:val="38"/>
        </w:rPr>
        <w:t> </w:t>
      </w:r>
      <w:r>
        <w:rPr>
          <w:sz w:val="38"/>
        </w:rPr>
        <w:t>would</w:t>
      </w:r>
      <w:r>
        <w:rPr>
          <w:spacing w:val="-15"/>
          <w:sz w:val="38"/>
        </w:rPr>
        <w:t> </w:t>
      </w:r>
      <w:r>
        <w:rPr>
          <w:sz w:val="38"/>
        </w:rPr>
        <w:t>not react positively to treatment with</w:t>
      </w:r>
      <w:r>
        <w:rPr>
          <w:spacing w:val="-1"/>
          <w:sz w:val="38"/>
        </w:rPr>
        <w:t> </w:t>
      </w:r>
      <w:r>
        <w:rPr>
          <w:sz w:val="38"/>
        </w:rPr>
        <w:t>curcumin!</w:t>
      </w:r>
    </w:p>
    <w:p>
      <w:pPr>
        <w:pStyle w:val="ListParagraph"/>
        <w:numPr>
          <w:ilvl w:val="0"/>
          <w:numId w:val="7"/>
        </w:numPr>
        <w:tabs>
          <w:tab w:pos="619" w:val="left" w:leader="none"/>
        </w:tabs>
        <w:spacing w:line="273" w:lineRule="auto" w:before="247" w:after="0"/>
        <w:ind w:left="618" w:right="117" w:hanging="360"/>
        <w:jc w:val="both"/>
        <w:rPr>
          <w:sz w:val="38"/>
        </w:rPr>
      </w:pPr>
      <w:r>
        <w:rPr>
          <w:sz w:val="38"/>
        </w:rPr>
        <w:t>that in 2005, at a medical convention in the US, curcumin was recognised as the only natural remedy that can be used for the preventive and thera- peutic treatment of cancer - regardless of the type of</w:t>
      </w:r>
      <w:r>
        <w:rPr>
          <w:spacing w:val="-1"/>
          <w:sz w:val="38"/>
        </w:rPr>
        <w:t> </w:t>
      </w:r>
      <w:r>
        <w:rPr>
          <w:sz w:val="38"/>
        </w:rPr>
        <w:t>cancer!</w:t>
      </w:r>
    </w:p>
    <w:p>
      <w:pPr>
        <w:pStyle w:val="ListParagraph"/>
        <w:numPr>
          <w:ilvl w:val="0"/>
          <w:numId w:val="7"/>
        </w:numPr>
        <w:tabs>
          <w:tab w:pos="619" w:val="left" w:leader="none"/>
        </w:tabs>
        <w:spacing w:line="273" w:lineRule="auto" w:before="252" w:after="0"/>
        <w:ind w:left="618" w:right="117" w:hanging="360"/>
        <w:jc w:val="both"/>
        <w:rPr>
          <w:sz w:val="38"/>
        </w:rPr>
      </w:pPr>
      <w:r>
        <w:rPr>
          <w:sz w:val="38"/>
        </w:rPr>
        <w:t>that, statistically, cross-national comparison shows that the incidence of breast,</w:t>
      </w:r>
      <w:r>
        <w:rPr>
          <w:spacing w:val="11"/>
          <w:sz w:val="38"/>
        </w:rPr>
        <w:t> </w:t>
      </w:r>
      <w:r>
        <w:rPr>
          <w:sz w:val="38"/>
        </w:rPr>
        <w:t>prostate,</w:t>
      </w:r>
      <w:r>
        <w:rPr>
          <w:spacing w:val="6"/>
          <w:sz w:val="38"/>
        </w:rPr>
        <w:t> </w:t>
      </w:r>
      <w:r>
        <w:rPr>
          <w:sz w:val="38"/>
        </w:rPr>
        <w:t>colon,</w:t>
      </w:r>
      <w:r>
        <w:rPr>
          <w:spacing w:val="11"/>
          <w:sz w:val="38"/>
        </w:rPr>
        <w:t> </w:t>
      </w:r>
      <w:r>
        <w:rPr>
          <w:sz w:val="38"/>
        </w:rPr>
        <w:t>and</w:t>
      </w:r>
      <w:r>
        <w:rPr>
          <w:spacing w:val="8"/>
          <w:sz w:val="38"/>
        </w:rPr>
        <w:t> </w:t>
      </w:r>
      <w:r>
        <w:rPr>
          <w:sz w:val="38"/>
        </w:rPr>
        <w:t>lung</w:t>
      </w:r>
      <w:r>
        <w:rPr>
          <w:spacing w:val="9"/>
          <w:sz w:val="38"/>
        </w:rPr>
        <w:t> </w:t>
      </w:r>
      <w:r>
        <w:rPr>
          <w:sz w:val="38"/>
        </w:rPr>
        <w:t>cancer</w:t>
      </w:r>
      <w:r>
        <w:rPr>
          <w:spacing w:val="10"/>
          <w:sz w:val="38"/>
        </w:rPr>
        <w:t> </w:t>
      </w:r>
      <w:r>
        <w:rPr>
          <w:sz w:val="38"/>
        </w:rPr>
        <w:t>in</w:t>
      </w:r>
      <w:r>
        <w:rPr>
          <w:spacing w:val="8"/>
          <w:sz w:val="38"/>
        </w:rPr>
        <w:t> </w:t>
      </w:r>
      <w:r>
        <w:rPr>
          <w:sz w:val="38"/>
        </w:rPr>
        <w:t>India</w:t>
      </w:r>
      <w:r>
        <w:rPr>
          <w:spacing w:val="9"/>
          <w:sz w:val="38"/>
        </w:rPr>
        <w:t> </w:t>
      </w:r>
      <w:r>
        <w:rPr>
          <w:sz w:val="38"/>
        </w:rPr>
        <w:t>is</w:t>
      </w:r>
      <w:r>
        <w:rPr>
          <w:spacing w:val="11"/>
          <w:sz w:val="38"/>
        </w:rPr>
        <w:t> </w:t>
      </w:r>
      <w:r>
        <w:rPr>
          <w:sz w:val="38"/>
        </w:rPr>
        <w:t>ten</w:t>
      </w:r>
      <w:r>
        <w:rPr>
          <w:spacing w:val="9"/>
          <w:sz w:val="38"/>
        </w:rPr>
        <w:t> </w:t>
      </w:r>
      <w:r>
        <w:rPr>
          <w:sz w:val="38"/>
        </w:rPr>
        <w:t>times</w:t>
      </w:r>
      <w:r>
        <w:rPr>
          <w:spacing w:val="10"/>
          <w:sz w:val="38"/>
        </w:rPr>
        <w:t> </w:t>
      </w:r>
      <w:r>
        <w:rPr>
          <w:sz w:val="38"/>
        </w:rPr>
        <w:t>lower</w:t>
      </w:r>
      <w:r>
        <w:rPr>
          <w:spacing w:val="11"/>
          <w:sz w:val="38"/>
        </w:rPr>
        <w:t> </w:t>
      </w:r>
      <w:r>
        <w:rPr>
          <w:sz w:val="38"/>
        </w:rPr>
        <w:t>than</w:t>
      </w:r>
      <w:r>
        <w:rPr>
          <w:spacing w:val="9"/>
          <w:sz w:val="38"/>
        </w:rPr>
        <w:t> </w:t>
      </w:r>
      <w:r>
        <w:rPr>
          <w:sz w:val="38"/>
        </w:rPr>
        <w:t>in</w:t>
      </w:r>
    </w:p>
    <w:p>
      <w:pPr>
        <w:spacing w:after="0" w:line="273" w:lineRule="auto"/>
        <w:jc w:val="both"/>
        <w:rPr>
          <w:sz w:val="38"/>
        </w:rPr>
        <w:sectPr>
          <w:pgSz w:w="14260" w:h="16840"/>
          <w:pgMar w:header="0" w:footer="402" w:top="1320" w:bottom="2280" w:left="1300" w:right="1297"/>
        </w:sectPr>
      </w:pPr>
    </w:p>
    <w:p>
      <w:pPr>
        <w:pStyle w:val="BodyText"/>
        <w:spacing w:line="276" w:lineRule="auto" w:before="74"/>
        <w:ind w:left="618"/>
      </w:pPr>
      <w:r>
        <w:rPr/>
        <w:t>the US, which is attributed to the daily proportion of curcumin within the traditional Indian diet.</w:t>
      </w:r>
    </w:p>
    <w:p>
      <w:pPr>
        <w:pStyle w:val="ListParagraph"/>
        <w:numPr>
          <w:ilvl w:val="0"/>
          <w:numId w:val="7"/>
        </w:numPr>
        <w:tabs>
          <w:tab w:pos="619" w:val="left" w:leader="none"/>
        </w:tabs>
        <w:spacing w:line="273" w:lineRule="auto" w:before="242" w:after="0"/>
        <w:ind w:left="618" w:right="115" w:hanging="360"/>
        <w:jc w:val="both"/>
        <w:rPr>
          <w:sz w:val="38"/>
        </w:rPr>
      </w:pPr>
      <w:r>
        <w:rPr>
          <w:sz w:val="38"/>
        </w:rPr>
        <w:t>that</w:t>
      </w:r>
      <w:r>
        <w:rPr>
          <w:spacing w:val="-11"/>
          <w:sz w:val="38"/>
        </w:rPr>
        <w:t> </w:t>
      </w:r>
      <w:r>
        <w:rPr>
          <w:sz w:val="38"/>
        </w:rPr>
        <w:t>Dr.</w:t>
      </w:r>
      <w:r>
        <w:rPr>
          <w:spacing w:val="-8"/>
          <w:sz w:val="38"/>
        </w:rPr>
        <w:t> </w:t>
      </w:r>
      <w:r>
        <w:rPr>
          <w:sz w:val="38"/>
        </w:rPr>
        <w:t>Schwartz</w:t>
      </w:r>
      <w:r>
        <w:rPr>
          <w:spacing w:val="-8"/>
          <w:sz w:val="38"/>
        </w:rPr>
        <w:t> </w:t>
      </w:r>
      <w:r>
        <w:rPr>
          <w:sz w:val="38"/>
        </w:rPr>
        <w:t>observed</w:t>
      </w:r>
      <w:r>
        <w:rPr>
          <w:spacing w:val="-8"/>
          <w:sz w:val="38"/>
        </w:rPr>
        <w:t> </w:t>
      </w:r>
      <w:r>
        <w:rPr>
          <w:sz w:val="38"/>
        </w:rPr>
        <w:t>a</w:t>
      </w:r>
      <w:r>
        <w:rPr>
          <w:spacing w:val="-10"/>
          <w:sz w:val="38"/>
        </w:rPr>
        <w:t> </w:t>
      </w:r>
      <w:r>
        <w:rPr>
          <w:sz w:val="38"/>
        </w:rPr>
        <w:t>reduction</w:t>
      </w:r>
      <w:r>
        <w:rPr>
          <w:spacing w:val="-7"/>
          <w:sz w:val="38"/>
        </w:rPr>
        <w:t> </w:t>
      </w:r>
      <w:r>
        <w:rPr>
          <w:sz w:val="38"/>
        </w:rPr>
        <w:t>in</w:t>
      </w:r>
      <w:r>
        <w:rPr>
          <w:spacing w:val="-9"/>
          <w:sz w:val="38"/>
        </w:rPr>
        <w:t> </w:t>
      </w:r>
      <w:r>
        <w:rPr>
          <w:sz w:val="38"/>
        </w:rPr>
        <w:t>cancer</w:t>
      </w:r>
      <w:r>
        <w:rPr>
          <w:spacing w:val="-10"/>
          <w:sz w:val="38"/>
        </w:rPr>
        <w:t> </w:t>
      </w:r>
      <w:r>
        <w:rPr>
          <w:sz w:val="38"/>
        </w:rPr>
        <w:t>rates</w:t>
      </w:r>
      <w:r>
        <w:rPr>
          <w:spacing w:val="-9"/>
          <w:sz w:val="38"/>
        </w:rPr>
        <w:t> </w:t>
      </w:r>
      <w:r>
        <w:rPr>
          <w:sz w:val="38"/>
        </w:rPr>
        <w:t>of</w:t>
      </w:r>
      <w:r>
        <w:rPr>
          <w:spacing w:val="-8"/>
          <w:sz w:val="38"/>
        </w:rPr>
        <w:t> </w:t>
      </w:r>
      <w:r>
        <w:rPr>
          <w:sz w:val="38"/>
        </w:rPr>
        <w:t>up</w:t>
      </w:r>
      <w:r>
        <w:rPr>
          <w:spacing w:val="-10"/>
          <w:sz w:val="38"/>
        </w:rPr>
        <w:t> </w:t>
      </w:r>
      <w:r>
        <w:rPr>
          <w:sz w:val="38"/>
        </w:rPr>
        <w:t>to</w:t>
      </w:r>
      <w:r>
        <w:rPr>
          <w:spacing w:val="-8"/>
          <w:sz w:val="38"/>
        </w:rPr>
        <w:t> </w:t>
      </w:r>
      <w:r>
        <w:rPr>
          <w:sz w:val="38"/>
        </w:rPr>
        <w:t>80</w:t>
      </w:r>
      <w:r>
        <w:rPr>
          <w:spacing w:val="-2"/>
          <w:sz w:val="38"/>
        </w:rPr>
        <w:t> </w:t>
      </w:r>
      <w:r>
        <w:rPr>
          <w:sz w:val="38"/>
        </w:rPr>
        <w:t>%</w:t>
      </w:r>
      <w:r>
        <w:rPr>
          <w:spacing w:val="-9"/>
          <w:sz w:val="38"/>
        </w:rPr>
        <w:t> </w:t>
      </w:r>
      <w:r>
        <w:rPr>
          <w:sz w:val="38"/>
        </w:rPr>
        <w:t>in</w:t>
      </w:r>
      <w:r>
        <w:rPr>
          <w:spacing w:val="-9"/>
          <w:sz w:val="38"/>
        </w:rPr>
        <w:t> </w:t>
      </w:r>
      <w:r>
        <w:rPr>
          <w:sz w:val="38"/>
        </w:rPr>
        <w:t>his studies with DHEA!</w:t>
      </w:r>
    </w:p>
    <w:p>
      <w:pPr>
        <w:pStyle w:val="ListParagraph"/>
        <w:numPr>
          <w:ilvl w:val="0"/>
          <w:numId w:val="7"/>
        </w:numPr>
        <w:tabs>
          <w:tab w:pos="619" w:val="left" w:leader="none"/>
        </w:tabs>
        <w:spacing w:line="276" w:lineRule="auto" w:before="248" w:after="0"/>
        <w:ind w:left="618" w:right="115" w:hanging="360"/>
        <w:jc w:val="both"/>
        <w:rPr>
          <w:i/>
          <w:sz w:val="38"/>
        </w:rPr>
      </w:pPr>
      <w:r>
        <w:rPr>
          <w:sz w:val="38"/>
        </w:rPr>
        <w:t>that Prof. John Pezzuto and his team investigated 2,500 natural</w:t>
      </w:r>
      <w:r>
        <w:rPr>
          <w:spacing w:val="-51"/>
          <w:sz w:val="38"/>
        </w:rPr>
        <w:t> </w:t>
      </w:r>
      <w:r>
        <w:rPr>
          <w:sz w:val="38"/>
        </w:rPr>
        <w:t>substances for their anti-cancer effects in their unique research program, the largest</w:t>
      </w:r>
      <w:r>
        <w:rPr>
          <w:spacing w:val="-61"/>
          <w:sz w:val="38"/>
        </w:rPr>
        <w:t> </w:t>
      </w:r>
      <w:r>
        <w:rPr>
          <w:sz w:val="38"/>
        </w:rPr>
        <w:t>in the</w:t>
      </w:r>
      <w:r>
        <w:rPr>
          <w:spacing w:val="-16"/>
          <w:sz w:val="38"/>
        </w:rPr>
        <w:t> </w:t>
      </w:r>
      <w:r>
        <w:rPr>
          <w:sz w:val="38"/>
        </w:rPr>
        <w:t>world,</w:t>
      </w:r>
      <w:r>
        <w:rPr>
          <w:spacing w:val="-17"/>
          <w:sz w:val="38"/>
        </w:rPr>
        <w:t> </w:t>
      </w:r>
      <w:r>
        <w:rPr>
          <w:sz w:val="38"/>
        </w:rPr>
        <w:t>and</w:t>
      </w:r>
      <w:r>
        <w:rPr>
          <w:spacing w:val="-16"/>
          <w:sz w:val="38"/>
        </w:rPr>
        <w:t> </w:t>
      </w:r>
      <w:r>
        <w:rPr>
          <w:sz w:val="38"/>
        </w:rPr>
        <w:t>came</w:t>
      </w:r>
      <w:r>
        <w:rPr>
          <w:spacing w:val="-18"/>
          <w:sz w:val="38"/>
        </w:rPr>
        <w:t> </w:t>
      </w:r>
      <w:r>
        <w:rPr>
          <w:sz w:val="38"/>
        </w:rPr>
        <w:t>to</w:t>
      </w:r>
      <w:r>
        <w:rPr>
          <w:spacing w:val="-16"/>
          <w:sz w:val="38"/>
        </w:rPr>
        <w:t> </w:t>
      </w:r>
      <w:r>
        <w:rPr>
          <w:sz w:val="38"/>
        </w:rPr>
        <w:t>the</w:t>
      </w:r>
      <w:r>
        <w:rPr>
          <w:spacing w:val="-16"/>
          <w:sz w:val="38"/>
        </w:rPr>
        <w:t> </w:t>
      </w:r>
      <w:r>
        <w:rPr>
          <w:sz w:val="38"/>
        </w:rPr>
        <w:t>following</w:t>
      </w:r>
      <w:r>
        <w:rPr>
          <w:spacing w:val="-16"/>
          <w:sz w:val="38"/>
        </w:rPr>
        <w:t> </w:t>
      </w:r>
      <w:r>
        <w:rPr>
          <w:sz w:val="38"/>
        </w:rPr>
        <w:t>conclusion:</w:t>
      </w:r>
      <w:r>
        <w:rPr>
          <w:spacing w:val="-16"/>
          <w:sz w:val="38"/>
        </w:rPr>
        <w:t> </w:t>
      </w:r>
      <w:r>
        <w:rPr>
          <w:i/>
          <w:sz w:val="38"/>
        </w:rPr>
        <w:t>‘Of</w:t>
      </w:r>
      <w:r>
        <w:rPr>
          <w:i/>
          <w:spacing w:val="-19"/>
          <w:sz w:val="38"/>
        </w:rPr>
        <w:t> </w:t>
      </w:r>
      <w:r>
        <w:rPr>
          <w:i/>
          <w:sz w:val="38"/>
        </w:rPr>
        <w:t>all</w:t>
      </w:r>
      <w:r>
        <w:rPr>
          <w:i/>
          <w:spacing w:val="-19"/>
          <w:sz w:val="38"/>
        </w:rPr>
        <w:t> </w:t>
      </w:r>
      <w:r>
        <w:rPr>
          <w:i/>
          <w:sz w:val="38"/>
        </w:rPr>
        <w:t>the</w:t>
      </w:r>
      <w:r>
        <w:rPr>
          <w:i/>
          <w:spacing w:val="-17"/>
          <w:sz w:val="38"/>
        </w:rPr>
        <w:t> </w:t>
      </w:r>
      <w:r>
        <w:rPr>
          <w:i/>
          <w:sz w:val="38"/>
        </w:rPr>
        <w:t>phytochemicals</w:t>
      </w:r>
      <w:r>
        <w:rPr>
          <w:i/>
          <w:spacing w:val="-17"/>
          <w:sz w:val="38"/>
        </w:rPr>
        <w:t> </w:t>
      </w:r>
      <w:r>
        <w:rPr>
          <w:i/>
          <w:sz w:val="38"/>
        </w:rPr>
        <w:t>that </w:t>
      </w:r>
      <w:r>
        <w:rPr>
          <w:i/>
          <w:sz w:val="38"/>
        </w:rPr>
        <w:t>we have tested for their chemopreventive efficacy, </w:t>
      </w:r>
      <w:r>
        <w:rPr>
          <w:i/>
          <w:sz w:val="38"/>
          <w:u w:val="single"/>
        </w:rPr>
        <w:t>resveratrol</w:t>
      </w:r>
      <w:r>
        <w:rPr>
          <w:i/>
          <w:sz w:val="38"/>
        </w:rPr>
        <w:t> has been the most promising substance’.</w:t>
      </w:r>
    </w:p>
    <w:p>
      <w:pPr>
        <w:pStyle w:val="ListParagraph"/>
        <w:numPr>
          <w:ilvl w:val="0"/>
          <w:numId w:val="7"/>
        </w:numPr>
        <w:tabs>
          <w:tab w:pos="619" w:val="left" w:leader="none"/>
        </w:tabs>
        <w:spacing w:line="273" w:lineRule="auto" w:before="240" w:after="0"/>
        <w:ind w:left="618" w:right="116" w:hanging="360"/>
        <w:jc w:val="both"/>
        <w:rPr>
          <w:sz w:val="38"/>
        </w:rPr>
      </w:pPr>
      <w:r>
        <w:rPr>
          <w:sz w:val="38"/>
        </w:rPr>
        <w:t>that</w:t>
      </w:r>
      <w:r>
        <w:rPr>
          <w:spacing w:val="-12"/>
          <w:sz w:val="38"/>
        </w:rPr>
        <w:t> </w:t>
      </w:r>
      <w:r>
        <w:rPr>
          <w:sz w:val="38"/>
        </w:rPr>
        <w:t>the</w:t>
      </w:r>
      <w:r>
        <w:rPr>
          <w:spacing w:val="-10"/>
          <w:sz w:val="38"/>
        </w:rPr>
        <w:t> </w:t>
      </w:r>
      <w:r>
        <w:rPr>
          <w:sz w:val="38"/>
        </w:rPr>
        <w:t>effect</w:t>
      </w:r>
      <w:r>
        <w:rPr>
          <w:spacing w:val="-10"/>
          <w:sz w:val="38"/>
        </w:rPr>
        <w:t> </w:t>
      </w:r>
      <w:r>
        <w:rPr>
          <w:sz w:val="38"/>
        </w:rPr>
        <w:t>of</w:t>
      </w:r>
      <w:r>
        <w:rPr>
          <w:spacing w:val="-10"/>
          <w:sz w:val="38"/>
        </w:rPr>
        <w:t> </w:t>
      </w:r>
      <w:r>
        <w:rPr>
          <w:sz w:val="38"/>
        </w:rPr>
        <w:t>natural</w:t>
      </w:r>
      <w:r>
        <w:rPr>
          <w:spacing w:val="-12"/>
          <w:sz w:val="38"/>
        </w:rPr>
        <w:t> </w:t>
      </w:r>
      <w:r>
        <w:rPr>
          <w:sz w:val="38"/>
        </w:rPr>
        <w:t>killer</w:t>
      </w:r>
      <w:r>
        <w:rPr>
          <w:spacing w:val="-10"/>
          <w:sz w:val="38"/>
        </w:rPr>
        <w:t> </w:t>
      </w:r>
      <w:r>
        <w:rPr>
          <w:sz w:val="38"/>
        </w:rPr>
        <w:t>cells</w:t>
      </w:r>
      <w:r>
        <w:rPr>
          <w:spacing w:val="-11"/>
          <w:sz w:val="38"/>
        </w:rPr>
        <w:t> </w:t>
      </w:r>
      <w:r>
        <w:rPr>
          <w:sz w:val="38"/>
        </w:rPr>
        <w:t>against</w:t>
      </w:r>
      <w:r>
        <w:rPr>
          <w:spacing w:val="-11"/>
          <w:sz w:val="38"/>
        </w:rPr>
        <w:t> </w:t>
      </w:r>
      <w:r>
        <w:rPr>
          <w:sz w:val="38"/>
        </w:rPr>
        <w:t>cancer</w:t>
      </w:r>
      <w:r>
        <w:rPr>
          <w:spacing w:val="-11"/>
          <w:sz w:val="38"/>
        </w:rPr>
        <w:t> </w:t>
      </w:r>
      <w:r>
        <w:rPr>
          <w:sz w:val="38"/>
        </w:rPr>
        <w:t>was</w:t>
      </w:r>
      <w:r>
        <w:rPr>
          <w:spacing w:val="-10"/>
          <w:sz w:val="38"/>
        </w:rPr>
        <w:t> </w:t>
      </w:r>
      <w:r>
        <w:rPr>
          <w:sz w:val="38"/>
        </w:rPr>
        <w:t>tripled</w:t>
      </w:r>
      <w:r>
        <w:rPr>
          <w:spacing w:val="-11"/>
          <w:sz w:val="38"/>
        </w:rPr>
        <w:t> </w:t>
      </w:r>
      <w:r>
        <w:rPr>
          <w:sz w:val="38"/>
        </w:rPr>
        <w:t>from</w:t>
      </w:r>
      <w:r>
        <w:rPr>
          <w:spacing w:val="-9"/>
          <w:sz w:val="38"/>
        </w:rPr>
        <w:t> </w:t>
      </w:r>
      <w:r>
        <w:rPr>
          <w:sz w:val="38"/>
        </w:rPr>
        <w:t>10</w:t>
      </w:r>
      <w:r>
        <w:rPr>
          <w:spacing w:val="-11"/>
          <w:sz w:val="38"/>
        </w:rPr>
        <w:t> </w:t>
      </w:r>
      <w:r>
        <w:rPr>
          <w:sz w:val="38"/>
        </w:rPr>
        <w:t>%</w:t>
      </w:r>
      <w:r>
        <w:rPr>
          <w:spacing w:val="-11"/>
          <w:sz w:val="38"/>
        </w:rPr>
        <w:t> </w:t>
      </w:r>
      <w:r>
        <w:rPr>
          <w:sz w:val="38"/>
        </w:rPr>
        <w:t>to 33 % with organic</w:t>
      </w:r>
      <w:r>
        <w:rPr>
          <w:spacing w:val="-2"/>
          <w:sz w:val="38"/>
        </w:rPr>
        <w:t> </w:t>
      </w:r>
      <w:r>
        <w:rPr>
          <w:sz w:val="38"/>
        </w:rPr>
        <w:t>germanium!</w:t>
      </w:r>
    </w:p>
    <w:p>
      <w:pPr>
        <w:pStyle w:val="ListParagraph"/>
        <w:numPr>
          <w:ilvl w:val="0"/>
          <w:numId w:val="7"/>
        </w:numPr>
        <w:tabs>
          <w:tab w:pos="619" w:val="left" w:leader="none"/>
        </w:tabs>
        <w:spacing w:line="273" w:lineRule="auto" w:before="247" w:after="0"/>
        <w:ind w:left="618" w:right="111" w:hanging="360"/>
        <w:jc w:val="both"/>
        <w:rPr>
          <w:sz w:val="38"/>
        </w:rPr>
      </w:pPr>
      <w:r>
        <w:rPr>
          <w:sz w:val="38"/>
        </w:rPr>
        <w:t>that a staggering 600 cancer studies on papain support the excellent</w:t>
      </w:r>
      <w:r>
        <w:rPr>
          <w:spacing w:val="-66"/>
          <w:sz w:val="38"/>
        </w:rPr>
        <w:t> </w:t>
      </w:r>
      <w:r>
        <w:rPr>
          <w:sz w:val="38"/>
        </w:rPr>
        <w:t>effects of papaya and</w:t>
      </w:r>
      <w:r>
        <w:rPr>
          <w:spacing w:val="-1"/>
          <w:sz w:val="38"/>
        </w:rPr>
        <w:t> </w:t>
      </w:r>
      <w:r>
        <w:rPr>
          <w:sz w:val="38"/>
        </w:rPr>
        <w:t>papain!</w:t>
      </w:r>
    </w:p>
    <w:p>
      <w:pPr>
        <w:pStyle w:val="BodyText"/>
        <w:rPr>
          <w:sz w:val="42"/>
        </w:rPr>
      </w:pPr>
    </w:p>
    <w:p>
      <w:pPr>
        <w:pStyle w:val="BodyText"/>
        <w:spacing w:before="10"/>
        <w:rPr>
          <w:sz w:val="44"/>
        </w:rPr>
      </w:pPr>
    </w:p>
    <w:p>
      <w:pPr>
        <w:pStyle w:val="Heading2"/>
        <w:ind w:left="116"/>
      </w:pPr>
      <w:r>
        <w:rPr/>
        <w:t>Diabetes/diabetes mellitus - the Number 3 cause of death</w:t>
      </w:r>
    </w:p>
    <w:p>
      <w:pPr>
        <w:pStyle w:val="BodyText"/>
        <w:spacing w:line="276" w:lineRule="auto" w:before="305"/>
        <w:ind w:left="116" w:right="116"/>
        <w:jc w:val="both"/>
      </w:pPr>
      <w:r>
        <w:rPr/>
        <w:t>About</w:t>
      </w:r>
      <w:r>
        <w:rPr>
          <w:spacing w:val="-16"/>
        </w:rPr>
        <w:t> </w:t>
      </w:r>
      <w:r>
        <w:rPr/>
        <w:t>every</w:t>
      </w:r>
      <w:r>
        <w:rPr>
          <w:spacing w:val="-14"/>
        </w:rPr>
        <w:t> </w:t>
      </w:r>
      <w:r>
        <w:rPr/>
        <w:t>10</w:t>
      </w:r>
      <w:r>
        <w:rPr>
          <w:spacing w:val="-17"/>
        </w:rPr>
        <w:t> </w:t>
      </w:r>
      <w:r>
        <w:rPr/>
        <w:t>seconds,</w:t>
      </w:r>
      <w:r>
        <w:rPr>
          <w:spacing w:val="-14"/>
        </w:rPr>
        <w:t> </w:t>
      </w:r>
      <w:r>
        <w:rPr/>
        <w:t>somewhere</w:t>
      </w:r>
      <w:r>
        <w:rPr>
          <w:spacing w:val="-14"/>
        </w:rPr>
        <w:t> </w:t>
      </w:r>
      <w:r>
        <w:rPr/>
        <w:t>in</w:t>
      </w:r>
      <w:r>
        <w:rPr>
          <w:spacing w:val="-14"/>
        </w:rPr>
        <w:t> </w:t>
      </w:r>
      <w:r>
        <w:rPr/>
        <w:t>this</w:t>
      </w:r>
      <w:r>
        <w:rPr>
          <w:spacing w:val="-13"/>
        </w:rPr>
        <w:t> </w:t>
      </w:r>
      <w:r>
        <w:rPr/>
        <w:t>world,</w:t>
      </w:r>
      <w:r>
        <w:rPr>
          <w:spacing w:val="-13"/>
        </w:rPr>
        <w:t> </w:t>
      </w:r>
      <w:r>
        <w:rPr/>
        <w:t>a</w:t>
      </w:r>
      <w:r>
        <w:rPr>
          <w:spacing w:val="-15"/>
        </w:rPr>
        <w:t> </w:t>
      </w:r>
      <w:r>
        <w:rPr/>
        <w:t>person</w:t>
      </w:r>
      <w:r>
        <w:rPr>
          <w:spacing w:val="-16"/>
        </w:rPr>
        <w:t> </w:t>
      </w:r>
      <w:r>
        <w:rPr/>
        <w:t>dies</w:t>
      </w:r>
      <w:r>
        <w:rPr>
          <w:spacing w:val="-16"/>
        </w:rPr>
        <w:t> </w:t>
      </w:r>
      <w:r>
        <w:rPr/>
        <w:t>from</w:t>
      </w:r>
      <w:r>
        <w:rPr>
          <w:spacing w:val="-13"/>
        </w:rPr>
        <w:t> </w:t>
      </w:r>
      <w:r>
        <w:rPr/>
        <w:t>the</w:t>
      </w:r>
      <w:r>
        <w:rPr>
          <w:spacing w:val="-9"/>
        </w:rPr>
        <w:t> </w:t>
      </w:r>
      <w:r>
        <w:rPr/>
        <w:t>con- sequences of diabetes! One in ten adults is now suffering from diabetes, and the trend is rising! A disease that has become one of the scourges of modern humanity, for which conventional medicine again has no</w:t>
      </w:r>
      <w:r>
        <w:rPr>
          <w:spacing w:val="-1"/>
        </w:rPr>
        <w:t> </w:t>
      </w:r>
      <w:r>
        <w:rPr/>
        <w:t>cure!</w:t>
      </w:r>
    </w:p>
    <w:p>
      <w:pPr>
        <w:pStyle w:val="Heading1"/>
        <w:spacing w:before="222"/>
        <w:ind w:left="116"/>
        <w:jc w:val="both"/>
      </w:pPr>
      <w:r>
        <w:rPr/>
        <w:t>Type 1 diabetes</w:t>
      </w:r>
    </w:p>
    <w:p>
      <w:pPr>
        <w:spacing w:after="0"/>
        <w:jc w:val="both"/>
        <w:sectPr>
          <w:pgSz w:w="14260" w:h="16840"/>
          <w:pgMar w:header="0" w:footer="402" w:top="1320" w:bottom="2280" w:left="1300" w:right="1297"/>
        </w:sectPr>
      </w:pPr>
    </w:p>
    <w:p>
      <w:pPr>
        <w:pStyle w:val="BodyText"/>
        <w:spacing w:line="276" w:lineRule="auto" w:before="74"/>
        <w:ind w:left="116" w:right="113"/>
        <w:jc w:val="both"/>
      </w:pPr>
      <w:r>
        <w:rPr/>
        <w:t>Type 1 diabetes affects 10 % of all diabetics and is caused by the lack of the hormone insulin, which is why this type of diabetes is also referred to as ‘ in- sulin-dependent diabetes mellitus’. Type 1 diabetes starts at a young age,</w:t>
      </w:r>
      <w:r>
        <w:rPr>
          <w:spacing w:val="-62"/>
        </w:rPr>
        <w:t> </w:t>
      </w:r>
      <w:r>
        <w:rPr/>
        <w:t>often as early as childhood and adolescence.</w:t>
      </w:r>
    </w:p>
    <w:p>
      <w:pPr>
        <w:pStyle w:val="Heading1"/>
        <w:ind w:left="116"/>
        <w:jc w:val="both"/>
      </w:pPr>
      <w:r>
        <w:rPr/>
        <w:t>Type 2 diabetes</w:t>
      </w:r>
    </w:p>
    <w:p>
      <w:pPr>
        <w:pStyle w:val="BodyText"/>
        <w:spacing w:line="276" w:lineRule="auto" w:before="300"/>
        <w:ind w:left="116" w:right="115"/>
        <w:jc w:val="both"/>
      </w:pPr>
      <w:r>
        <w:rPr/>
        <w:t>Type</w:t>
      </w:r>
      <w:r>
        <w:rPr>
          <w:spacing w:val="-13"/>
        </w:rPr>
        <w:t> </w:t>
      </w:r>
      <w:r>
        <w:rPr/>
        <w:t>2</w:t>
      </w:r>
      <w:r>
        <w:rPr>
          <w:spacing w:val="-14"/>
        </w:rPr>
        <w:t> </w:t>
      </w:r>
      <w:r>
        <w:rPr/>
        <w:t>diabetes,</w:t>
      </w:r>
      <w:r>
        <w:rPr>
          <w:spacing w:val="-17"/>
        </w:rPr>
        <w:t> </w:t>
      </w:r>
      <w:r>
        <w:rPr/>
        <w:t>which</w:t>
      </w:r>
      <w:r>
        <w:rPr>
          <w:spacing w:val="-12"/>
        </w:rPr>
        <w:t> </w:t>
      </w:r>
      <w:r>
        <w:rPr/>
        <w:t>also</w:t>
      </w:r>
      <w:r>
        <w:rPr>
          <w:spacing w:val="-14"/>
        </w:rPr>
        <w:t> </w:t>
      </w:r>
      <w:r>
        <w:rPr/>
        <w:t>used</w:t>
      </w:r>
      <w:r>
        <w:rPr>
          <w:spacing w:val="-16"/>
        </w:rPr>
        <w:t> </w:t>
      </w:r>
      <w:r>
        <w:rPr/>
        <w:t>to</w:t>
      </w:r>
      <w:r>
        <w:rPr>
          <w:spacing w:val="-14"/>
        </w:rPr>
        <w:t> </w:t>
      </w:r>
      <w:r>
        <w:rPr/>
        <w:t>be</w:t>
      </w:r>
      <w:r>
        <w:rPr>
          <w:spacing w:val="-15"/>
        </w:rPr>
        <w:t> </w:t>
      </w:r>
      <w:r>
        <w:rPr/>
        <w:t>called</w:t>
      </w:r>
      <w:r>
        <w:rPr>
          <w:spacing w:val="-17"/>
        </w:rPr>
        <w:t> </w:t>
      </w:r>
      <w:r>
        <w:rPr/>
        <w:t>‘non-insulin-dependent</w:t>
      </w:r>
      <w:r>
        <w:rPr>
          <w:spacing w:val="-13"/>
        </w:rPr>
        <w:t> </w:t>
      </w:r>
      <w:r>
        <w:rPr/>
        <w:t>diabetes’, or ‘adult-onset diabetes’, is a disease that mostly affects older people and does not necessarily require insulin treatment. This type of diabetes affects around 90 % of all</w:t>
      </w:r>
      <w:r>
        <w:rPr>
          <w:spacing w:val="-4"/>
        </w:rPr>
        <w:t> </w:t>
      </w:r>
      <w:r>
        <w:rPr/>
        <w:t>diabetics.</w:t>
      </w:r>
    </w:p>
    <w:p>
      <w:pPr>
        <w:pStyle w:val="BodyText"/>
        <w:spacing w:line="276" w:lineRule="auto" w:before="239"/>
        <w:ind w:left="116" w:right="110"/>
        <w:jc w:val="both"/>
      </w:pPr>
      <w:r>
        <w:rPr/>
        <w:t>Environmental factors, obesity and rising sugar consumption are the causes, and</w:t>
      </w:r>
      <w:r>
        <w:rPr>
          <w:spacing w:val="-10"/>
        </w:rPr>
        <w:t> </w:t>
      </w:r>
      <w:r>
        <w:rPr/>
        <w:t>more</w:t>
      </w:r>
      <w:r>
        <w:rPr>
          <w:spacing w:val="-11"/>
        </w:rPr>
        <w:t> </w:t>
      </w:r>
      <w:r>
        <w:rPr/>
        <w:t>and</w:t>
      </w:r>
      <w:r>
        <w:rPr>
          <w:spacing w:val="-9"/>
        </w:rPr>
        <w:t> </w:t>
      </w:r>
      <w:r>
        <w:rPr/>
        <w:t>more</w:t>
      </w:r>
      <w:r>
        <w:rPr>
          <w:spacing w:val="-9"/>
        </w:rPr>
        <w:t> </w:t>
      </w:r>
      <w:r>
        <w:rPr/>
        <w:t>young</w:t>
      </w:r>
      <w:r>
        <w:rPr>
          <w:spacing w:val="-9"/>
        </w:rPr>
        <w:t> </w:t>
      </w:r>
      <w:r>
        <w:rPr/>
        <w:t>people</w:t>
      </w:r>
      <w:r>
        <w:rPr>
          <w:spacing w:val="-9"/>
        </w:rPr>
        <w:t> </w:t>
      </w:r>
      <w:r>
        <w:rPr/>
        <w:t>are</w:t>
      </w:r>
      <w:r>
        <w:rPr>
          <w:spacing w:val="-11"/>
        </w:rPr>
        <w:t> </w:t>
      </w:r>
      <w:r>
        <w:rPr/>
        <w:t>dying</w:t>
      </w:r>
      <w:r>
        <w:rPr>
          <w:spacing w:val="-11"/>
        </w:rPr>
        <w:t> </w:t>
      </w:r>
      <w:r>
        <w:rPr/>
        <w:t>of</w:t>
      </w:r>
      <w:r>
        <w:rPr>
          <w:spacing w:val="-10"/>
        </w:rPr>
        <w:t> </w:t>
      </w:r>
      <w:r>
        <w:rPr/>
        <w:t>Type</w:t>
      </w:r>
      <w:r>
        <w:rPr>
          <w:spacing w:val="-9"/>
        </w:rPr>
        <w:t> </w:t>
      </w:r>
      <w:r>
        <w:rPr/>
        <w:t>2</w:t>
      </w:r>
      <w:r>
        <w:rPr>
          <w:spacing w:val="-12"/>
        </w:rPr>
        <w:t> </w:t>
      </w:r>
      <w:r>
        <w:rPr/>
        <w:t>diabetes.</w:t>
      </w:r>
      <w:r>
        <w:rPr>
          <w:spacing w:val="-11"/>
        </w:rPr>
        <w:t> </w:t>
      </w:r>
      <w:r>
        <w:rPr/>
        <w:t>The</w:t>
      </w:r>
      <w:r>
        <w:rPr>
          <w:spacing w:val="-9"/>
        </w:rPr>
        <w:t> </w:t>
      </w:r>
      <w:r>
        <w:rPr/>
        <w:t>long-term effects of diabetes include circulatory disorders, which can lead to limb</w:t>
      </w:r>
      <w:r>
        <w:rPr>
          <w:spacing w:val="-49"/>
        </w:rPr>
        <w:t> </w:t>
      </w:r>
      <w:r>
        <w:rPr/>
        <w:t>ampu- tations, but also fatal heart attacks and</w:t>
      </w:r>
      <w:r>
        <w:rPr>
          <w:spacing w:val="-2"/>
        </w:rPr>
        <w:t> </w:t>
      </w:r>
      <w:r>
        <w:rPr/>
        <w:t>strokes!</w:t>
      </w:r>
    </w:p>
    <w:p>
      <w:pPr>
        <w:pStyle w:val="Heading2"/>
        <w:spacing w:before="240"/>
        <w:ind w:left="116"/>
        <w:jc w:val="both"/>
      </w:pPr>
      <w:r>
        <w:rPr/>
        <w:t>How can diabetes be avoided through diet?</w:t>
      </w:r>
    </w:p>
    <w:p>
      <w:pPr>
        <w:pStyle w:val="BodyText"/>
        <w:spacing w:line="276" w:lineRule="auto" w:before="304"/>
        <w:ind w:left="116" w:right="115"/>
        <w:jc w:val="both"/>
      </w:pPr>
      <w:r>
        <w:rPr/>
        <w:t>How can people shield themselves against the serious consequences of diabe- tes, such as eye and kidney problems, nerves (diabetic neuropathy), diabetic foot or diabetic foot syndrome, diabetic macroangiopathy, excess weight, based on metabolic syndrome, heart attacks and strokes?</w:t>
      </w:r>
    </w:p>
    <w:p>
      <w:pPr>
        <w:pStyle w:val="Heading2"/>
        <w:spacing w:line="276" w:lineRule="auto" w:before="242"/>
        <w:ind w:left="116" w:right="124"/>
        <w:jc w:val="both"/>
      </w:pPr>
      <w:r>
        <w:rPr/>
        <w:t>In your Codex Humanus, you will find detailed information which re- veals</w:t>
      </w:r>
    </w:p>
    <w:p>
      <w:pPr>
        <w:spacing w:after="0" w:line="276" w:lineRule="auto"/>
        <w:jc w:val="both"/>
        <w:sectPr>
          <w:pgSz w:w="14260" w:h="16840"/>
          <w:pgMar w:header="0" w:footer="402" w:top="1320" w:bottom="2280" w:left="1300" w:right="1297"/>
        </w:sectPr>
      </w:pPr>
    </w:p>
    <w:p>
      <w:pPr>
        <w:pStyle w:val="ListParagraph"/>
        <w:numPr>
          <w:ilvl w:val="1"/>
          <w:numId w:val="7"/>
        </w:numPr>
        <w:tabs>
          <w:tab w:pos="1028" w:val="left" w:leader="none"/>
          <w:tab w:pos="1029" w:val="left" w:leader="none"/>
        </w:tabs>
        <w:spacing w:line="240" w:lineRule="auto" w:before="56" w:after="0"/>
        <w:ind w:left="836" w:right="0" w:hanging="360"/>
        <w:jc w:val="left"/>
        <w:rPr>
          <w:sz w:val="38"/>
        </w:rPr>
      </w:pPr>
      <w:r>
        <w:rPr>
          <w:sz w:val="38"/>
        </w:rPr>
        <w:t>that blood glucose levels decrease from 14.23 ± 1.32 mmol/l to 11.4</w:t>
      </w:r>
      <w:r>
        <w:rPr>
          <w:spacing w:val="66"/>
          <w:sz w:val="38"/>
        </w:rPr>
        <w:t> </w:t>
      </w:r>
      <w:r>
        <w:rPr>
          <w:sz w:val="38"/>
        </w:rPr>
        <w:t>±</w:t>
      </w:r>
    </w:p>
    <w:p>
      <w:pPr>
        <w:pStyle w:val="BodyText"/>
        <w:spacing w:before="64"/>
        <w:ind w:left="836"/>
      </w:pPr>
      <w:r>
        <w:rPr/>
        <w:t>0.89 mmol/l, 60 minutes after consuming 200 ml of aronia berry juice!</w:t>
      </w:r>
    </w:p>
    <w:p>
      <w:pPr>
        <w:pStyle w:val="ListParagraph"/>
        <w:numPr>
          <w:ilvl w:val="1"/>
          <w:numId w:val="7"/>
        </w:numPr>
        <w:tabs>
          <w:tab w:pos="1029" w:val="left" w:leader="none"/>
        </w:tabs>
        <w:spacing w:line="276" w:lineRule="auto" w:before="304" w:after="0"/>
        <w:ind w:left="836" w:right="112" w:hanging="360"/>
        <w:jc w:val="both"/>
        <w:rPr>
          <w:sz w:val="38"/>
        </w:rPr>
      </w:pPr>
      <w:r>
        <w:rPr>
          <w:sz w:val="38"/>
        </w:rPr>
        <w:t>that</w:t>
      </w:r>
      <w:r>
        <w:rPr>
          <w:spacing w:val="-15"/>
          <w:sz w:val="38"/>
        </w:rPr>
        <w:t> </w:t>
      </w:r>
      <w:r>
        <w:rPr>
          <w:sz w:val="38"/>
        </w:rPr>
        <w:t>another</w:t>
      </w:r>
      <w:r>
        <w:rPr>
          <w:spacing w:val="-15"/>
          <w:sz w:val="38"/>
        </w:rPr>
        <w:t> </w:t>
      </w:r>
      <w:r>
        <w:rPr>
          <w:sz w:val="38"/>
        </w:rPr>
        <w:t>study</w:t>
      </w:r>
      <w:r>
        <w:rPr>
          <w:spacing w:val="-15"/>
          <w:sz w:val="38"/>
        </w:rPr>
        <w:t> </w:t>
      </w:r>
      <w:r>
        <w:rPr>
          <w:sz w:val="38"/>
        </w:rPr>
        <w:t>examined</w:t>
      </w:r>
      <w:r>
        <w:rPr>
          <w:spacing w:val="-14"/>
          <w:sz w:val="38"/>
        </w:rPr>
        <w:t> </w:t>
      </w:r>
      <w:r>
        <w:rPr>
          <w:sz w:val="38"/>
        </w:rPr>
        <w:t>the</w:t>
      </w:r>
      <w:r>
        <w:rPr>
          <w:spacing w:val="-13"/>
          <w:sz w:val="38"/>
        </w:rPr>
        <w:t> </w:t>
      </w:r>
      <w:r>
        <w:rPr>
          <w:sz w:val="38"/>
        </w:rPr>
        <w:t>effect</w:t>
      </w:r>
      <w:r>
        <w:rPr>
          <w:spacing w:val="-14"/>
          <w:sz w:val="38"/>
        </w:rPr>
        <w:t> </w:t>
      </w:r>
      <w:r>
        <w:rPr>
          <w:sz w:val="38"/>
        </w:rPr>
        <w:t>of</w:t>
      </w:r>
      <w:r>
        <w:rPr>
          <w:spacing w:val="-14"/>
          <w:sz w:val="38"/>
        </w:rPr>
        <w:t> </w:t>
      </w:r>
      <w:r>
        <w:rPr>
          <w:sz w:val="38"/>
        </w:rPr>
        <w:t>regular</w:t>
      </w:r>
      <w:r>
        <w:rPr>
          <w:spacing w:val="-14"/>
          <w:sz w:val="38"/>
        </w:rPr>
        <w:t> </w:t>
      </w:r>
      <w:r>
        <w:rPr>
          <w:sz w:val="38"/>
        </w:rPr>
        <w:t>consumption</w:t>
      </w:r>
      <w:r>
        <w:rPr>
          <w:spacing w:val="-14"/>
          <w:sz w:val="38"/>
        </w:rPr>
        <w:t> </w:t>
      </w:r>
      <w:r>
        <w:rPr>
          <w:sz w:val="38"/>
        </w:rPr>
        <w:t>of</w:t>
      </w:r>
      <w:r>
        <w:rPr>
          <w:spacing w:val="-15"/>
          <w:sz w:val="38"/>
        </w:rPr>
        <w:t> </w:t>
      </w:r>
      <w:r>
        <w:rPr>
          <w:sz w:val="38"/>
        </w:rPr>
        <w:t>aronia berry juice on blood sugar levels over a three-month period. Here, the blood</w:t>
      </w:r>
      <w:r>
        <w:rPr>
          <w:spacing w:val="-21"/>
          <w:sz w:val="38"/>
        </w:rPr>
        <w:t> </w:t>
      </w:r>
      <w:r>
        <w:rPr>
          <w:sz w:val="38"/>
        </w:rPr>
        <w:t>sugar</w:t>
      </w:r>
      <w:r>
        <w:rPr>
          <w:spacing w:val="-20"/>
          <w:sz w:val="38"/>
        </w:rPr>
        <w:t> </w:t>
      </w:r>
      <w:r>
        <w:rPr>
          <w:sz w:val="38"/>
        </w:rPr>
        <w:t>level</w:t>
      </w:r>
      <w:r>
        <w:rPr>
          <w:spacing w:val="-21"/>
          <w:sz w:val="38"/>
        </w:rPr>
        <w:t> </w:t>
      </w:r>
      <w:r>
        <w:rPr>
          <w:sz w:val="38"/>
        </w:rPr>
        <w:t>was</w:t>
      </w:r>
      <w:r>
        <w:rPr>
          <w:spacing w:val="-20"/>
          <w:sz w:val="38"/>
        </w:rPr>
        <w:t> </w:t>
      </w:r>
      <w:r>
        <w:rPr>
          <w:sz w:val="38"/>
        </w:rPr>
        <w:t>initially</w:t>
      </w:r>
      <w:r>
        <w:rPr>
          <w:spacing w:val="-22"/>
          <w:sz w:val="38"/>
        </w:rPr>
        <w:t> </w:t>
      </w:r>
      <w:r>
        <w:rPr>
          <w:sz w:val="38"/>
        </w:rPr>
        <w:t>13.28</w:t>
      </w:r>
      <w:r>
        <w:rPr>
          <w:spacing w:val="-21"/>
          <w:sz w:val="38"/>
        </w:rPr>
        <w:t> </w:t>
      </w:r>
      <w:r>
        <w:rPr>
          <w:sz w:val="38"/>
        </w:rPr>
        <w:t>±</w:t>
      </w:r>
      <w:r>
        <w:rPr>
          <w:spacing w:val="-21"/>
          <w:sz w:val="38"/>
        </w:rPr>
        <w:t> </w:t>
      </w:r>
      <w:r>
        <w:rPr>
          <w:sz w:val="38"/>
        </w:rPr>
        <w:t>4.55</w:t>
      </w:r>
      <w:r>
        <w:rPr>
          <w:spacing w:val="-20"/>
          <w:sz w:val="38"/>
        </w:rPr>
        <w:t> </w:t>
      </w:r>
      <w:r>
        <w:rPr>
          <w:sz w:val="38"/>
        </w:rPr>
        <w:t>mmol/l</w:t>
      </w:r>
      <w:r>
        <w:rPr>
          <w:spacing w:val="-23"/>
          <w:sz w:val="38"/>
        </w:rPr>
        <w:t> </w:t>
      </w:r>
      <w:r>
        <w:rPr>
          <w:sz w:val="38"/>
        </w:rPr>
        <w:t>and</w:t>
      </w:r>
      <w:r>
        <w:rPr>
          <w:spacing w:val="-20"/>
          <w:sz w:val="38"/>
        </w:rPr>
        <w:t> </w:t>
      </w:r>
      <w:r>
        <w:rPr>
          <w:sz w:val="38"/>
        </w:rPr>
        <w:t>after</w:t>
      </w:r>
      <w:r>
        <w:rPr>
          <w:spacing w:val="-20"/>
          <w:sz w:val="38"/>
        </w:rPr>
        <w:t> </w:t>
      </w:r>
      <w:r>
        <w:rPr>
          <w:sz w:val="38"/>
        </w:rPr>
        <w:t>three</w:t>
      </w:r>
      <w:r>
        <w:rPr>
          <w:spacing w:val="-22"/>
          <w:sz w:val="38"/>
        </w:rPr>
        <w:t> </w:t>
      </w:r>
      <w:r>
        <w:rPr>
          <w:sz w:val="38"/>
        </w:rPr>
        <w:t>months it dropped to 9.10 ± 3.05 mmol/l. In addition to the hypoglycaemic ef- fect, total cholesterol, lipid levels and HbA1c also</w:t>
      </w:r>
      <w:r>
        <w:rPr>
          <w:spacing w:val="-7"/>
          <w:sz w:val="38"/>
        </w:rPr>
        <w:t> </w:t>
      </w:r>
      <w:r>
        <w:rPr>
          <w:sz w:val="38"/>
        </w:rPr>
        <w:t>improved.</w:t>
      </w:r>
    </w:p>
    <w:p>
      <w:pPr>
        <w:pStyle w:val="ListParagraph"/>
        <w:numPr>
          <w:ilvl w:val="1"/>
          <w:numId w:val="7"/>
        </w:numPr>
        <w:tabs>
          <w:tab w:pos="1029" w:val="left" w:leader="none"/>
        </w:tabs>
        <w:spacing w:line="273" w:lineRule="auto" w:before="0" w:after="0"/>
        <w:ind w:left="836" w:right="121" w:hanging="360"/>
        <w:jc w:val="both"/>
        <w:rPr>
          <w:sz w:val="38"/>
        </w:rPr>
      </w:pPr>
      <w:r>
        <w:rPr>
          <w:sz w:val="38"/>
        </w:rPr>
        <w:t>that Astragalus membranaceus counteracts the formation of advanced glycation end products (AGEs) that cause neuropathic complications in diabetes!</w:t>
      </w:r>
    </w:p>
    <w:p>
      <w:pPr>
        <w:pStyle w:val="BodyText"/>
        <w:rPr>
          <w:sz w:val="42"/>
        </w:rPr>
      </w:pPr>
    </w:p>
    <w:p>
      <w:pPr>
        <w:pStyle w:val="BodyText"/>
        <w:spacing w:before="3"/>
        <w:rPr>
          <w:sz w:val="45"/>
        </w:rPr>
      </w:pPr>
    </w:p>
    <w:p>
      <w:pPr>
        <w:pStyle w:val="BodyText"/>
        <w:spacing w:line="276" w:lineRule="auto" w:before="1"/>
        <w:ind w:left="116"/>
      </w:pPr>
      <w:r>
        <w:rPr/>
        <w:t>The following table documents the therapeutic benefit of alpha-lipoic acid in diabetes mellitus:</w:t>
      </w:r>
    </w:p>
    <w:p>
      <w:pPr>
        <w:pStyle w:val="BodyText"/>
        <w:spacing w:before="5"/>
        <w:rPr>
          <w:sz w:val="21"/>
        </w:rPr>
      </w:pPr>
    </w:p>
    <w:tbl>
      <w:tblPr>
        <w:tblW w:w="0" w:type="auto"/>
        <w:jc w:val="left"/>
        <w:tblInd w:w="2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952"/>
      </w:tblGrid>
      <w:tr>
        <w:trPr>
          <w:trHeight w:val="1677" w:hRule="atLeast"/>
        </w:trPr>
        <w:tc>
          <w:tcPr>
            <w:tcW w:w="6952" w:type="dxa"/>
            <w:shd w:val="clear" w:color="auto" w:fill="8DB3E1"/>
          </w:tcPr>
          <w:p>
            <w:pPr>
              <w:pStyle w:val="TableParagraph"/>
              <w:spacing w:line="276" w:lineRule="auto"/>
              <w:ind w:left="331" w:right="320"/>
              <w:jc w:val="center"/>
              <w:rPr>
                <w:b/>
                <w:sz w:val="38"/>
              </w:rPr>
            </w:pPr>
            <w:r>
              <w:rPr>
                <w:b/>
                <w:sz w:val="38"/>
              </w:rPr>
              <w:t>THERAPEUTIC BENEFITS OF AL- PHA-LIPOIC ACID FOR PATIENTS WITH DIABETES MELLITUS</w:t>
            </w:r>
          </w:p>
        </w:tc>
      </w:tr>
      <w:tr>
        <w:trPr>
          <w:trHeight w:val="1182" w:hRule="atLeast"/>
        </w:trPr>
        <w:tc>
          <w:tcPr>
            <w:tcW w:w="6952" w:type="dxa"/>
          </w:tcPr>
          <w:p>
            <w:pPr>
              <w:pStyle w:val="TableParagraph"/>
              <w:spacing w:line="278" w:lineRule="auto"/>
              <w:ind w:left="71"/>
              <w:rPr>
                <w:sz w:val="38"/>
              </w:rPr>
            </w:pPr>
            <w:r>
              <w:rPr>
                <w:sz w:val="38"/>
              </w:rPr>
              <w:t>Optimisation of glucose uptake into the mus- cle cell, where it is then consumed</w:t>
            </w:r>
          </w:p>
        </w:tc>
      </w:tr>
      <w:tr>
        <w:trPr>
          <w:trHeight w:val="1183" w:hRule="atLeast"/>
        </w:trPr>
        <w:tc>
          <w:tcPr>
            <w:tcW w:w="6952" w:type="dxa"/>
          </w:tcPr>
          <w:p>
            <w:pPr>
              <w:pStyle w:val="TableParagraph"/>
              <w:spacing w:line="278" w:lineRule="auto"/>
              <w:ind w:left="71"/>
              <w:rPr>
                <w:sz w:val="38"/>
              </w:rPr>
            </w:pPr>
            <w:r>
              <w:rPr>
                <w:sz w:val="38"/>
              </w:rPr>
              <w:t>Optimisation of glucose utilisation and Im- provement of insulin sensitivity</w:t>
            </w:r>
          </w:p>
        </w:tc>
      </w:tr>
    </w:tbl>
    <w:p>
      <w:pPr>
        <w:spacing w:after="0" w:line="278" w:lineRule="auto"/>
        <w:rPr>
          <w:sz w:val="38"/>
        </w:rPr>
        <w:sectPr>
          <w:pgSz w:w="14260" w:h="16840"/>
          <w:pgMar w:header="0" w:footer="402" w:top="1340" w:bottom="2280" w:left="1300" w:right="1297"/>
        </w:sectPr>
      </w:pPr>
    </w:p>
    <w:tbl>
      <w:tblPr>
        <w:tblW w:w="0" w:type="auto"/>
        <w:jc w:val="left"/>
        <w:tblInd w:w="2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952"/>
      </w:tblGrid>
      <w:tr>
        <w:trPr>
          <w:trHeight w:val="1185" w:hRule="atLeast"/>
        </w:trPr>
        <w:tc>
          <w:tcPr>
            <w:tcW w:w="6952" w:type="dxa"/>
          </w:tcPr>
          <w:p>
            <w:pPr>
              <w:pStyle w:val="TableParagraph"/>
              <w:spacing w:line="276" w:lineRule="auto"/>
              <w:ind w:left="71"/>
              <w:rPr>
                <w:sz w:val="38"/>
              </w:rPr>
            </w:pPr>
            <w:r>
              <w:rPr>
                <w:sz w:val="38"/>
              </w:rPr>
              <w:t>Neutralisation of the free radicals that cause complications in patients with diabetes</w:t>
            </w:r>
          </w:p>
        </w:tc>
      </w:tr>
      <w:tr>
        <w:trPr>
          <w:trHeight w:val="1182" w:hRule="atLeast"/>
        </w:trPr>
        <w:tc>
          <w:tcPr>
            <w:tcW w:w="6952" w:type="dxa"/>
          </w:tcPr>
          <w:p>
            <w:pPr>
              <w:pStyle w:val="TableParagraph"/>
              <w:spacing w:line="278" w:lineRule="auto"/>
              <w:ind w:left="71"/>
              <w:rPr>
                <w:sz w:val="38"/>
              </w:rPr>
            </w:pPr>
            <w:r>
              <w:rPr>
                <w:sz w:val="38"/>
              </w:rPr>
              <w:t>Increase in glutathione level, which is low in patients with diabetes</w:t>
            </w:r>
          </w:p>
        </w:tc>
      </w:tr>
      <w:tr>
        <w:trPr>
          <w:trHeight w:val="690" w:hRule="atLeast"/>
        </w:trPr>
        <w:tc>
          <w:tcPr>
            <w:tcW w:w="6952" w:type="dxa"/>
          </w:tcPr>
          <w:p>
            <w:pPr>
              <w:pStyle w:val="TableParagraph"/>
              <w:spacing w:line="424" w:lineRule="exact"/>
              <w:ind w:left="71"/>
              <w:rPr>
                <w:sz w:val="38"/>
              </w:rPr>
            </w:pPr>
            <w:r>
              <w:rPr>
                <w:sz w:val="38"/>
              </w:rPr>
              <w:t>Improved blood circulation</w:t>
            </w:r>
          </w:p>
        </w:tc>
      </w:tr>
      <w:tr>
        <w:trPr>
          <w:trHeight w:val="1183" w:hRule="atLeast"/>
        </w:trPr>
        <w:tc>
          <w:tcPr>
            <w:tcW w:w="6952" w:type="dxa"/>
          </w:tcPr>
          <w:p>
            <w:pPr>
              <w:pStyle w:val="TableParagraph"/>
              <w:spacing w:line="278" w:lineRule="auto"/>
              <w:ind w:left="71" w:right="43"/>
              <w:rPr>
                <w:sz w:val="38"/>
              </w:rPr>
            </w:pPr>
            <w:r>
              <w:rPr>
                <w:sz w:val="38"/>
              </w:rPr>
              <w:t>Protection against typical cardiovascular prob- lems in patients with diabetes</w:t>
            </w:r>
          </w:p>
        </w:tc>
      </w:tr>
      <w:tr>
        <w:trPr>
          <w:trHeight w:val="1185" w:hRule="atLeast"/>
        </w:trPr>
        <w:tc>
          <w:tcPr>
            <w:tcW w:w="6952" w:type="dxa"/>
          </w:tcPr>
          <w:p>
            <w:pPr>
              <w:pStyle w:val="TableParagraph"/>
              <w:spacing w:line="278" w:lineRule="auto"/>
              <w:ind w:left="71"/>
              <w:rPr>
                <w:sz w:val="38"/>
              </w:rPr>
            </w:pPr>
            <w:r>
              <w:rPr>
                <w:sz w:val="38"/>
              </w:rPr>
              <w:t>Protection against neurological deficits such</w:t>
            </w:r>
            <w:r>
              <w:rPr>
                <w:spacing w:val="-52"/>
                <w:sz w:val="38"/>
              </w:rPr>
              <w:t> </w:t>
            </w:r>
            <w:r>
              <w:rPr>
                <w:sz w:val="38"/>
              </w:rPr>
              <w:t>as diabetic polyneuropathy</w:t>
            </w:r>
          </w:p>
        </w:tc>
      </w:tr>
      <w:tr>
        <w:trPr>
          <w:trHeight w:val="690" w:hRule="atLeast"/>
        </w:trPr>
        <w:tc>
          <w:tcPr>
            <w:tcW w:w="6952" w:type="dxa"/>
          </w:tcPr>
          <w:p>
            <w:pPr>
              <w:pStyle w:val="TableParagraph"/>
              <w:spacing w:line="424" w:lineRule="exact"/>
              <w:ind w:left="71"/>
              <w:rPr>
                <w:sz w:val="38"/>
              </w:rPr>
            </w:pPr>
            <w:r>
              <w:rPr>
                <w:sz w:val="38"/>
              </w:rPr>
              <w:t>Improved nerve conductivity</w:t>
            </w:r>
          </w:p>
        </w:tc>
      </w:tr>
      <w:tr>
        <w:trPr>
          <w:trHeight w:val="1182" w:hRule="atLeast"/>
        </w:trPr>
        <w:tc>
          <w:tcPr>
            <w:tcW w:w="6952" w:type="dxa"/>
          </w:tcPr>
          <w:p>
            <w:pPr>
              <w:pStyle w:val="TableParagraph"/>
              <w:spacing w:line="278" w:lineRule="auto"/>
              <w:ind w:left="71"/>
              <w:rPr>
                <w:sz w:val="38"/>
              </w:rPr>
            </w:pPr>
            <w:r>
              <w:rPr>
                <w:sz w:val="38"/>
              </w:rPr>
              <w:t>Protection against degradation of Vitamin C, which is consumed by increased blood sugar</w:t>
            </w:r>
          </w:p>
        </w:tc>
      </w:tr>
      <w:tr>
        <w:trPr>
          <w:trHeight w:val="691" w:hRule="atLeast"/>
        </w:trPr>
        <w:tc>
          <w:tcPr>
            <w:tcW w:w="6952" w:type="dxa"/>
          </w:tcPr>
          <w:p>
            <w:pPr>
              <w:pStyle w:val="TableParagraph"/>
              <w:spacing w:line="424" w:lineRule="exact"/>
              <w:ind w:left="71"/>
              <w:rPr>
                <w:sz w:val="38"/>
              </w:rPr>
            </w:pPr>
            <w:r>
              <w:rPr>
                <w:sz w:val="38"/>
              </w:rPr>
              <w:t>Protection of the blood vessels</w:t>
            </w:r>
          </w:p>
        </w:tc>
      </w:tr>
      <w:tr>
        <w:trPr>
          <w:trHeight w:val="693" w:hRule="atLeast"/>
        </w:trPr>
        <w:tc>
          <w:tcPr>
            <w:tcW w:w="6952" w:type="dxa"/>
          </w:tcPr>
          <w:p>
            <w:pPr>
              <w:pStyle w:val="TableParagraph"/>
              <w:spacing w:line="426" w:lineRule="exact"/>
              <w:ind w:left="71"/>
              <w:rPr>
                <w:sz w:val="38"/>
              </w:rPr>
            </w:pPr>
            <w:r>
              <w:rPr>
                <w:sz w:val="38"/>
              </w:rPr>
              <w:t>Improved blood circulation in nerves</w:t>
            </w:r>
          </w:p>
        </w:tc>
      </w:tr>
      <w:tr>
        <w:trPr>
          <w:trHeight w:val="690" w:hRule="atLeast"/>
        </w:trPr>
        <w:tc>
          <w:tcPr>
            <w:tcW w:w="6952" w:type="dxa"/>
          </w:tcPr>
          <w:p>
            <w:pPr>
              <w:pStyle w:val="TableParagraph"/>
              <w:spacing w:line="424" w:lineRule="exact"/>
              <w:ind w:left="71"/>
              <w:rPr>
                <w:sz w:val="38"/>
              </w:rPr>
            </w:pPr>
            <w:r>
              <w:rPr>
                <w:sz w:val="38"/>
              </w:rPr>
              <w:t>Protection against diabetic cataracts</w:t>
            </w:r>
          </w:p>
        </w:tc>
      </w:tr>
      <w:tr>
        <w:trPr>
          <w:trHeight w:val="690" w:hRule="atLeast"/>
        </w:trPr>
        <w:tc>
          <w:tcPr>
            <w:tcW w:w="6952" w:type="dxa"/>
          </w:tcPr>
          <w:p>
            <w:pPr>
              <w:pStyle w:val="TableParagraph"/>
              <w:spacing w:line="424" w:lineRule="exact"/>
              <w:ind w:left="71"/>
              <w:rPr>
                <w:sz w:val="38"/>
              </w:rPr>
            </w:pPr>
            <w:r>
              <w:rPr>
                <w:sz w:val="38"/>
              </w:rPr>
              <w:t>Counteraction of circulatory disorders</w:t>
            </w:r>
          </w:p>
        </w:tc>
      </w:tr>
      <w:tr>
        <w:trPr>
          <w:trHeight w:val="693" w:hRule="atLeast"/>
        </w:trPr>
        <w:tc>
          <w:tcPr>
            <w:tcW w:w="6952" w:type="dxa"/>
          </w:tcPr>
          <w:p>
            <w:pPr>
              <w:pStyle w:val="TableParagraph"/>
              <w:spacing w:line="426" w:lineRule="exact"/>
              <w:ind w:left="71"/>
              <w:rPr>
                <w:sz w:val="38"/>
              </w:rPr>
            </w:pPr>
            <w:r>
              <w:rPr>
                <w:sz w:val="38"/>
              </w:rPr>
              <w:t>Promoting</w:t>
            </w:r>
            <w:r>
              <w:rPr>
                <w:spacing w:val="-19"/>
                <w:sz w:val="38"/>
              </w:rPr>
              <w:t> </w:t>
            </w:r>
            <w:r>
              <w:rPr>
                <w:sz w:val="38"/>
              </w:rPr>
              <w:t>the</w:t>
            </w:r>
            <w:r>
              <w:rPr>
                <w:spacing w:val="-18"/>
                <w:sz w:val="38"/>
              </w:rPr>
              <w:t> </w:t>
            </w:r>
            <w:r>
              <w:rPr>
                <w:sz w:val="38"/>
              </w:rPr>
              <w:t>growth</w:t>
            </w:r>
            <w:r>
              <w:rPr>
                <w:spacing w:val="-19"/>
                <w:sz w:val="38"/>
              </w:rPr>
              <w:t> </w:t>
            </w:r>
            <w:r>
              <w:rPr>
                <w:sz w:val="38"/>
              </w:rPr>
              <w:t>of</w:t>
            </w:r>
            <w:r>
              <w:rPr>
                <w:spacing w:val="-19"/>
                <w:sz w:val="38"/>
              </w:rPr>
              <w:t> </w:t>
            </w:r>
            <w:r>
              <w:rPr>
                <w:sz w:val="38"/>
              </w:rPr>
              <w:t>peripheral</w:t>
            </w:r>
            <w:r>
              <w:rPr>
                <w:spacing w:val="-21"/>
                <w:sz w:val="38"/>
              </w:rPr>
              <w:t> </w:t>
            </w:r>
            <w:r>
              <w:rPr>
                <w:sz w:val="38"/>
              </w:rPr>
              <w:t>nerve</w:t>
            </w:r>
            <w:r>
              <w:rPr>
                <w:spacing w:val="-19"/>
                <w:sz w:val="38"/>
              </w:rPr>
              <w:t> </w:t>
            </w:r>
            <w:r>
              <w:rPr>
                <w:sz w:val="38"/>
              </w:rPr>
              <w:t>cells</w:t>
            </w:r>
          </w:p>
        </w:tc>
      </w:tr>
    </w:tbl>
    <w:p>
      <w:pPr>
        <w:spacing w:after="0" w:line="426" w:lineRule="exact"/>
        <w:rPr>
          <w:sz w:val="38"/>
        </w:rPr>
        <w:sectPr>
          <w:pgSz w:w="14260" w:h="16840"/>
          <w:pgMar w:header="0" w:footer="402" w:top="1400" w:bottom="600" w:left="1300" w:right="1297"/>
        </w:sectPr>
      </w:pPr>
    </w:p>
    <w:tbl>
      <w:tblPr>
        <w:tblW w:w="0" w:type="auto"/>
        <w:jc w:val="left"/>
        <w:tblInd w:w="2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952"/>
      </w:tblGrid>
      <w:tr>
        <w:trPr>
          <w:trHeight w:val="1185" w:hRule="atLeast"/>
        </w:trPr>
        <w:tc>
          <w:tcPr>
            <w:tcW w:w="6952" w:type="dxa"/>
          </w:tcPr>
          <w:p>
            <w:pPr>
              <w:pStyle w:val="TableParagraph"/>
              <w:spacing w:line="276" w:lineRule="auto"/>
              <w:ind w:left="71"/>
              <w:rPr>
                <w:sz w:val="38"/>
              </w:rPr>
            </w:pPr>
            <w:r>
              <w:rPr>
                <w:sz w:val="38"/>
              </w:rPr>
              <w:t>Interception of metal ions which cause oxida- tive stress</w:t>
            </w:r>
          </w:p>
        </w:tc>
      </w:tr>
    </w:tbl>
    <w:p>
      <w:pPr>
        <w:spacing w:line="276" w:lineRule="auto" w:before="0"/>
        <w:ind w:left="116" w:right="115" w:firstLine="0"/>
        <w:jc w:val="both"/>
        <w:rPr>
          <w:i/>
          <w:sz w:val="38"/>
        </w:rPr>
      </w:pPr>
      <w:r>
        <w:rPr>
          <w:sz w:val="38"/>
        </w:rPr>
        <w:t>Sao Paulo Hospital doctors reported on the effects of </w:t>
      </w:r>
      <w:r>
        <w:rPr>
          <w:i/>
          <w:sz w:val="38"/>
        </w:rPr>
        <w:t>lapacho tea </w:t>
      </w:r>
      <w:r>
        <w:rPr>
          <w:sz w:val="38"/>
        </w:rPr>
        <w:t>on diabetes: </w:t>
      </w:r>
      <w:r>
        <w:rPr>
          <w:i/>
          <w:sz w:val="38"/>
        </w:rPr>
        <w:t>‘We have observed, so far without determining an explanation, that the use (of lapacho) </w:t>
      </w:r>
      <w:r>
        <w:rPr>
          <w:i/>
          <w:sz w:val="38"/>
        </w:rPr>
        <w:t>alleviates juvenile diabetes (Type 1 diabetes) to an impressive degree. Some sugar levels have fallen back to the normal level of a healthy person’.</w:t>
      </w:r>
    </w:p>
    <w:p>
      <w:pPr>
        <w:pStyle w:val="BodyText"/>
        <w:spacing w:line="276" w:lineRule="auto" w:before="233"/>
        <w:ind w:left="116" w:right="115"/>
        <w:jc w:val="both"/>
      </w:pPr>
      <w:r>
        <w:rPr/>
        <w:t>Effect of L-carnosine on diabetes: since L-carnosine controls our blood sugar content via the H3 receptors of the autonomic nervous system, it is already recommended as therapeutic treatment for diabetics, but also as preventive measure to protect against diabetes. Furthermore, L-carnosine prevents the described glycation and can thus prevent diabetic nephropathy, diabetic neu- ropathy and damage to the eye.</w:t>
      </w:r>
    </w:p>
    <w:p>
      <w:pPr>
        <w:pStyle w:val="BodyText"/>
        <w:spacing w:line="276" w:lineRule="auto" w:before="240"/>
        <w:ind w:left="116" w:right="117"/>
        <w:jc w:val="both"/>
      </w:pPr>
      <w:r>
        <w:rPr/>
        <w:t>In</w:t>
      </w:r>
      <w:r>
        <w:rPr>
          <w:spacing w:val="-24"/>
        </w:rPr>
        <w:t> </w:t>
      </w:r>
      <w:r>
        <w:rPr/>
        <w:t>addition,</w:t>
      </w:r>
      <w:r>
        <w:rPr>
          <w:spacing w:val="-23"/>
        </w:rPr>
        <w:t> </w:t>
      </w:r>
      <w:r>
        <w:rPr/>
        <w:t>the</w:t>
      </w:r>
      <w:r>
        <w:rPr>
          <w:spacing w:val="-26"/>
        </w:rPr>
        <w:t> </w:t>
      </w:r>
      <w:r>
        <w:rPr/>
        <w:t>use</w:t>
      </w:r>
      <w:r>
        <w:rPr>
          <w:spacing w:val="-24"/>
        </w:rPr>
        <w:t> </w:t>
      </w:r>
      <w:r>
        <w:rPr/>
        <w:t>of</w:t>
      </w:r>
      <w:r>
        <w:rPr>
          <w:spacing w:val="-23"/>
        </w:rPr>
        <w:t> </w:t>
      </w:r>
      <w:r>
        <w:rPr/>
        <w:t>L-carnosine</w:t>
      </w:r>
      <w:r>
        <w:rPr>
          <w:spacing w:val="-24"/>
        </w:rPr>
        <w:t> </w:t>
      </w:r>
      <w:r>
        <w:rPr/>
        <w:t>in</w:t>
      </w:r>
      <w:r>
        <w:rPr>
          <w:spacing w:val="-26"/>
        </w:rPr>
        <w:t> </w:t>
      </w:r>
      <w:r>
        <w:rPr/>
        <w:t>pregnancy</w:t>
      </w:r>
      <w:r>
        <w:rPr>
          <w:spacing w:val="-25"/>
        </w:rPr>
        <w:t> </w:t>
      </w:r>
      <w:r>
        <w:rPr/>
        <w:t>increases</w:t>
      </w:r>
      <w:r>
        <w:rPr>
          <w:spacing w:val="-23"/>
        </w:rPr>
        <w:t> </w:t>
      </w:r>
      <w:r>
        <w:rPr/>
        <w:t>the</w:t>
      </w:r>
      <w:r>
        <w:rPr>
          <w:spacing w:val="-25"/>
        </w:rPr>
        <w:t> </w:t>
      </w:r>
      <w:r>
        <w:rPr/>
        <w:t>glucose</w:t>
      </w:r>
      <w:r>
        <w:rPr>
          <w:spacing w:val="-24"/>
        </w:rPr>
        <w:t> </w:t>
      </w:r>
      <w:r>
        <w:rPr/>
        <w:t>tolerance of the child and thus reduces the risk of</w:t>
      </w:r>
      <w:r>
        <w:rPr>
          <w:spacing w:val="-4"/>
        </w:rPr>
        <w:t> </w:t>
      </w:r>
      <w:r>
        <w:rPr/>
        <w:t>diabetes.</w:t>
      </w:r>
    </w:p>
    <w:p>
      <w:pPr>
        <w:pStyle w:val="Heading2"/>
        <w:spacing w:before="362"/>
        <w:ind w:left="116"/>
      </w:pPr>
      <w:r>
        <w:rPr/>
        <w:t>Stroke, the Number 4 cause of death</w:t>
      </w:r>
    </w:p>
    <w:p>
      <w:pPr>
        <w:spacing w:before="304"/>
        <w:ind w:left="116" w:right="0" w:firstLine="0"/>
        <w:jc w:val="left"/>
        <w:rPr>
          <w:b/>
          <w:sz w:val="38"/>
        </w:rPr>
      </w:pPr>
      <w:r>
        <w:rPr>
          <w:b/>
          <w:sz w:val="38"/>
        </w:rPr>
        <w:t>In this book, you will discover, in detail,</w:t>
      </w:r>
    </w:p>
    <w:p>
      <w:pPr>
        <w:pStyle w:val="ListParagraph"/>
        <w:numPr>
          <w:ilvl w:val="1"/>
          <w:numId w:val="7"/>
        </w:numPr>
        <w:tabs>
          <w:tab w:pos="837" w:val="left" w:leader="none"/>
        </w:tabs>
        <w:spacing w:line="273" w:lineRule="auto" w:before="306" w:after="0"/>
        <w:ind w:left="836" w:right="113" w:hanging="360"/>
        <w:jc w:val="both"/>
        <w:rPr>
          <w:sz w:val="38"/>
        </w:rPr>
      </w:pPr>
      <w:r>
        <w:rPr>
          <w:sz w:val="38"/>
        </w:rPr>
        <w:t>that</w:t>
      </w:r>
      <w:r>
        <w:rPr>
          <w:spacing w:val="-26"/>
          <w:sz w:val="38"/>
        </w:rPr>
        <w:t> </w:t>
      </w:r>
      <w:r>
        <w:rPr>
          <w:sz w:val="38"/>
        </w:rPr>
        <w:t>in</w:t>
      </w:r>
      <w:r>
        <w:rPr>
          <w:spacing w:val="-26"/>
          <w:sz w:val="38"/>
        </w:rPr>
        <w:t> </w:t>
      </w:r>
      <w:r>
        <w:rPr>
          <w:sz w:val="38"/>
        </w:rPr>
        <w:t>his</w:t>
      </w:r>
      <w:r>
        <w:rPr>
          <w:spacing w:val="-25"/>
          <w:sz w:val="38"/>
        </w:rPr>
        <w:t> </w:t>
      </w:r>
      <w:r>
        <w:rPr>
          <w:sz w:val="38"/>
        </w:rPr>
        <w:t>experiments</w:t>
      </w:r>
      <w:r>
        <w:rPr>
          <w:spacing w:val="-26"/>
          <w:sz w:val="38"/>
        </w:rPr>
        <w:t> </w:t>
      </w:r>
      <w:r>
        <w:rPr>
          <w:sz w:val="38"/>
        </w:rPr>
        <w:t>with</w:t>
      </w:r>
      <w:r>
        <w:rPr>
          <w:spacing w:val="-24"/>
          <w:sz w:val="38"/>
        </w:rPr>
        <w:t> </w:t>
      </w:r>
      <w:r>
        <w:rPr>
          <w:sz w:val="38"/>
        </w:rPr>
        <w:t>alpha-lipoic</w:t>
      </w:r>
      <w:r>
        <w:rPr>
          <w:spacing w:val="-27"/>
          <w:sz w:val="38"/>
        </w:rPr>
        <w:t> </w:t>
      </w:r>
      <w:r>
        <w:rPr>
          <w:sz w:val="38"/>
        </w:rPr>
        <w:t>acid,</w:t>
      </w:r>
      <w:r>
        <w:rPr>
          <w:spacing w:val="-24"/>
          <w:sz w:val="38"/>
        </w:rPr>
        <w:t> </w:t>
      </w:r>
      <w:r>
        <w:rPr>
          <w:sz w:val="38"/>
        </w:rPr>
        <w:t>Dr.</w:t>
      </w:r>
      <w:r>
        <w:rPr>
          <w:spacing w:val="-25"/>
          <w:sz w:val="38"/>
        </w:rPr>
        <w:t> </w:t>
      </w:r>
      <w:r>
        <w:rPr>
          <w:sz w:val="38"/>
        </w:rPr>
        <w:t>Packer</w:t>
      </w:r>
      <w:r>
        <w:rPr>
          <w:spacing w:val="-25"/>
          <w:sz w:val="38"/>
        </w:rPr>
        <w:t> </w:t>
      </w:r>
      <w:r>
        <w:rPr>
          <w:sz w:val="38"/>
        </w:rPr>
        <w:t>was</w:t>
      </w:r>
      <w:r>
        <w:rPr>
          <w:spacing w:val="-24"/>
          <w:sz w:val="38"/>
        </w:rPr>
        <w:t> </w:t>
      </w:r>
      <w:r>
        <w:rPr>
          <w:sz w:val="38"/>
        </w:rPr>
        <w:t>able</w:t>
      </w:r>
      <w:r>
        <w:rPr>
          <w:spacing w:val="-24"/>
          <w:sz w:val="38"/>
        </w:rPr>
        <w:t> </w:t>
      </w:r>
      <w:r>
        <w:rPr>
          <w:sz w:val="38"/>
        </w:rPr>
        <w:t>to</w:t>
      </w:r>
      <w:r>
        <w:rPr>
          <w:spacing w:val="-25"/>
          <w:sz w:val="38"/>
        </w:rPr>
        <w:t> </w:t>
      </w:r>
      <w:r>
        <w:rPr>
          <w:sz w:val="38"/>
        </w:rPr>
        <w:t>lower mortality caused by reperfusion during strokes from 80 % to 25 %! The 75 % surviving animals suffered no consequential</w:t>
      </w:r>
      <w:r>
        <w:rPr>
          <w:spacing w:val="-4"/>
          <w:sz w:val="38"/>
        </w:rPr>
        <w:t> </w:t>
      </w:r>
      <w:r>
        <w:rPr>
          <w:sz w:val="38"/>
        </w:rPr>
        <w:t>harm.</w:t>
      </w:r>
    </w:p>
    <w:p>
      <w:pPr>
        <w:pStyle w:val="ListParagraph"/>
        <w:numPr>
          <w:ilvl w:val="1"/>
          <w:numId w:val="7"/>
        </w:numPr>
        <w:tabs>
          <w:tab w:pos="836" w:val="left" w:leader="none"/>
          <w:tab w:pos="837" w:val="left" w:leader="none"/>
        </w:tabs>
        <w:spacing w:line="240" w:lineRule="auto" w:before="250" w:after="0"/>
        <w:ind w:left="836" w:right="0" w:hanging="360"/>
        <w:jc w:val="left"/>
        <w:rPr>
          <w:sz w:val="38"/>
        </w:rPr>
      </w:pPr>
      <w:r>
        <w:rPr>
          <w:sz w:val="38"/>
        </w:rPr>
        <w:t>that</w:t>
      </w:r>
      <w:r>
        <w:rPr>
          <w:spacing w:val="27"/>
          <w:sz w:val="38"/>
        </w:rPr>
        <w:t> </w:t>
      </w:r>
      <w:r>
        <w:rPr>
          <w:sz w:val="38"/>
        </w:rPr>
        <w:t>in</w:t>
      </w:r>
      <w:r>
        <w:rPr>
          <w:spacing w:val="28"/>
          <w:sz w:val="38"/>
        </w:rPr>
        <w:t> </w:t>
      </w:r>
      <w:r>
        <w:rPr>
          <w:sz w:val="38"/>
        </w:rPr>
        <w:t>another</w:t>
      </w:r>
      <w:r>
        <w:rPr>
          <w:spacing w:val="26"/>
          <w:sz w:val="38"/>
        </w:rPr>
        <w:t> </w:t>
      </w:r>
      <w:r>
        <w:rPr>
          <w:sz w:val="38"/>
        </w:rPr>
        <w:t>study</w:t>
      </w:r>
      <w:r>
        <w:rPr>
          <w:spacing w:val="27"/>
          <w:sz w:val="38"/>
        </w:rPr>
        <w:t> </w:t>
      </w:r>
      <w:r>
        <w:rPr>
          <w:sz w:val="38"/>
        </w:rPr>
        <w:t>at</w:t>
      </w:r>
      <w:r>
        <w:rPr>
          <w:spacing w:val="26"/>
          <w:sz w:val="38"/>
        </w:rPr>
        <w:t> </w:t>
      </w:r>
      <w:r>
        <w:rPr>
          <w:sz w:val="38"/>
        </w:rPr>
        <w:t>Johns</w:t>
      </w:r>
      <w:r>
        <w:rPr>
          <w:spacing w:val="26"/>
          <w:sz w:val="38"/>
        </w:rPr>
        <w:t> </w:t>
      </w:r>
      <w:r>
        <w:rPr>
          <w:sz w:val="38"/>
        </w:rPr>
        <w:t>Hopkins</w:t>
      </w:r>
      <w:r>
        <w:rPr>
          <w:spacing w:val="28"/>
          <w:sz w:val="38"/>
        </w:rPr>
        <w:t> </w:t>
      </w:r>
      <w:r>
        <w:rPr>
          <w:sz w:val="38"/>
        </w:rPr>
        <w:t>University</w:t>
      </w:r>
      <w:r>
        <w:rPr>
          <w:spacing w:val="27"/>
          <w:sz w:val="38"/>
        </w:rPr>
        <w:t> </w:t>
      </w:r>
      <w:r>
        <w:rPr>
          <w:sz w:val="38"/>
        </w:rPr>
        <w:t>in</w:t>
      </w:r>
      <w:r>
        <w:rPr>
          <w:spacing w:val="28"/>
          <w:sz w:val="38"/>
        </w:rPr>
        <w:t> </w:t>
      </w:r>
      <w:r>
        <w:rPr>
          <w:sz w:val="38"/>
        </w:rPr>
        <w:t>Baltimore,</w:t>
      </w:r>
      <w:r>
        <w:rPr>
          <w:spacing w:val="28"/>
          <w:sz w:val="38"/>
        </w:rPr>
        <w:t> </w:t>
      </w:r>
      <w:r>
        <w:rPr>
          <w:sz w:val="38"/>
        </w:rPr>
        <w:t>gingko</w:t>
      </w:r>
    </w:p>
    <w:p>
      <w:pPr>
        <w:spacing w:after="0" w:line="240" w:lineRule="auto"/>
        <w:jc w:val="left"/>
        <w:rPr>
          <w:sz w:val="38"/>
        </w:rPr>
        <w:sectPr>
          <w:pgSz w:w="14260" w:h="16840"/>
          <w:pgMar w:header="0" w:footer="402" w:top="1400" w:bottom="600" w:left="1300" w:right="1297"/>
        </w:sectPr>
      </w:pPr>
    </w:p>
    <w:p>
      <w:pPr>
        <w:pStyle w:val="BodyText"/>
        <w:spacing w:line="276" w:lineRule="auto" w:before="74"/>
        <w:ind w:left="836" w:right="115"/>
        <w:jc w:val="both"/>
      </w:pPr>
      <w:r>
        <w:rPr/>
        <w:t>reduced the consequential damage caused by artificially induced strokes by 48 % and reduced brain function disturbances by 51 % compared to the control group!</w:t>
      </w:r>
    </w:p>
    <w:p>
      <w:pPr>
        <w:pStyle w:val="ListParagraph"/>
        <w:numPr>
          <w:ilvl w:val="1"/>
          <w:numId w:val="7"/>
        </w:numPr>
        <w:tabs>
          <w:tab w:pos="837" w:val="left" w:leader="none"/>
        </w:tabs>
        <w:spacing w:line="273" w:lineRule="auto" w:before="243" w:after="0"/>
        <w:ind w:left="836" w:right="118" w:hanging="360"/>
        <w:jc w:val="both"/>
        <w:rPr>
          <w:i/>
          <w:sz w:val="38"/>
        </w:rPr>
      </w:pPr>
      <w:r>
        <w:rPr>
          <w:i/>
          <w:sz w:val="38"/>
        </w:rPr>
        <w:t>that</w:t>
      </w:r>
      <w:r>
        <w:rPr>
          <w:i/>
          <w:spacing w:val="-21"/>
          <w:sz w:val="38"/>
        </w:rPr>
        <w:t> </w:t>
      </w:r>
      <w:r>
        <w:rPr>
          <w:i/>
          <w:sz w:val="38"/>
        </w:rPr>
        <w:t>Dr.</w:t>
      </w:r>
      <w:r>
        <w:rPr>
          <w:i/>
          <w:spacing w:val="-20"/>
          <w:sz w:val="38"/>
        </w:rPr>
        <w:t> </w:t>
      </w:r>
      <w:r>
        <w:rPr>
          <w:i/>
          <w:sz w:val="38"/>
        </w:rPr>
        <w:t>Maxim</w:t>
      </w:r>
      <w:r>
        <w:rPr>
          <w:i/>
          <w:spacing w:val="-21"/>
          <w:sz w:val="38"/>
        </w:rPr>
        <w:t> </w:t>
      </w:r>
      <w:r>
        <w:rPr>
          <w:i/>
          <w:sz w:val="38"/>
        </w:rPr>
        <w:t>Bing</w:t>
      </w:r>
      <w:r>
        <w:rPr>
          <w:i/>
          <w:spacing w:val="-20"/>
          <w:sz w:val="38"/>
        </w:rPr>
        <w:t> </w:t>
      </w:r>
      <w:r>
        <w:rPr>
          <w:i/>
          <w:sz w:val="38"/>
        </w:rPr>
        <w:t>has</w:t>
      </w:r>
      <w:r>
        <w:rPr>
          <w:i/>
          <w:spacing w:val="-21"/>
          <w:sz w:val="38"/>
        </w:rPr>
        <w:t> </w:t>
      </w:r>
      <w:r>
        <w:rPr>
          <w:i/>
          <w:sz w:val="38"/>
        </w:rPr>
        <w:t>written</w:t>
      </w:r>
      <w:r>
        <w:rPr>
          <w:i/>
          <w:spacing w:val="-19"/>
          <w:sz w:val="38"/>
        </w:rPr>
        <w:t> </w:t>
      </w:r>
      <w:r>
        <w:rPr>
          <w:i/>
          <w:sz w:val="38"/>
        </w:rPr>
        <w:t>the</w:t>
      </w:r>
      <w:r>
        <w:rPr>
          <w:i/>
          <w:spacing w:val="-22"/>
          <w:sz w:val="38"/>
        </w:rPr>
        <w:t> </w:t>
      </w:r>
      <w:r>
        <w:rPr>
          <w:i/>
          <w:sz w:val="38"/>
        </w:rPr>
        <w:t>following</w:t>
      </w:r>
      <w:r>
        <w:rPr>
          <w:i/>
          <w:spacing w:val="-21"/>
          <w:sz w:val="38"/>
        </w:rPr>
        <w:t> </w:t>
      </w:r>
      <w:r>
        <w:rPr>
          <w:i/>
          <w:sz w:val="38"/>
        </w:rPr>
        <w:t>on</w:t>
      </w:r>
      <w:r>
        <w:rPr>
          <w:i/>
          <w:spacing w:val="-20"/>
          <w:sz w:val="38"/>
        </w:rPr>
        <w:t> </w:t>
      </w:r>
      <w:r>
        <w:rPr>
          <w:i/>
          <w:sz w:val="38"/>
        </w:rPr>
        <w:t>kombucha:</w:t>
      </w:r>
      <w:r>
        <w:rPr>
          <w:i/>
          <w:spacing w:val="-19"/>
          <w:sz w:val="38"/>
        </w:rPr>
        <w:t> </w:t>
      </w:r>
      <w:r>
        <w:rPr>
          <w:i/>
          <w:sz w:val="38"/>
        </w:rPr>
        <w:t>‘[...]</w:t>
      </w:r>
      <w:r>
        <w:rPr>
          <w:i/>
          <w:spacing w:val="-20"/>
          <w:sz w:val="38"/>
        </w:rPr>
        <w:t> </w:t>
      </w:r>
      <w:r>
        <w:rPr>
          <w:i/>
          <w:sz w:val="38"/>
        </w:rPr>
        <w:t>very</w:t>
      </w:r>
      <w:r>
        <w:rPr>
          <w:i/>
          <w:spacing w:val="-20"/>
          <w:sz w:val="38"/>
        </w:rPr>
        <w:t> </w:t>
      </w:r>
      <w:r>
        <w:rPr>
          <w:i/>
          <w:sz w:val="38"/>
        </w:rPr>
        <w:t>effective</w:t>
      </w:r>
      <w:r>
        <w:rPr>
          <w:i/>
          <w:spacing w:val="-21"/>
          <w:sz w:val="38"/>
        </w:rPr>
        <w:t> </w:t>
      </w:r>
      <w:r>
        <w:rPr>
          <w:i/>
          <w:sz w:val="38"/>
        </w:rPr>
        <w:t>means </w:t>
      </w:r>
      <w:r>
        <w:rPr>
          <w:i/>
          <w:sz w:val="38"/>
        </w:rPr>
        <w:t>of combating arteriosclerosis [...] If the kidney and the capillaries of the brain are calcified, particularly favourable results can be</w:t>
      </w:r>
      <w:r>
        <w:rPr>
          <w:i/>
          <w:spacing w:val="-2"/>
          <w:sz w:val="38"/>
        </w:rPr>
        <w:t> </w:t>
      </w:r>
      <w:r>
        <w:rPr>
          <w:i/>
          <w:sz w:val="38"/>
        </w:rPr>
        <w:t>achieved’.</w:t>
      </w:r>
    </w:p>
    <w:p>
      <w:pPr>
        <w:pStyle w:val="ListParagraph"/>
        <w:numPr>
          <w:ilvl w:val="1"/>
          <w:numId w:val="7"/>
        </w:numPr>
        <w:tabs>
          <w:tab w:pos="837" w:val="left" w:leader="none"/>
        </w:tabs>
        <w:spacing w:line="273" w:lineRule="auto" w:before="252" w:after="0"/>
        <w:ind w:left="836" w:right="114" w:hanging="360"/>
        <w:jc w:val="both"/>
        <w:rPr>
          <w:sz w:val="25"/>
        </w:rPr>
      </w:pPr>
      <w:r>
        <w:rPr>
          <w:sz w:val="38"/>
        </w:rPr>
        <w:t>that acetyl-L-carnitine may protect against tissue damage due to circula- tory deficiency, as may occur after heart attacks. Furthermore, this reper- fusion damage may lead to</w:t>
      </w:r>
      <w:r>
        <w:rPr>
          <w:spacing w:val="1"/>
          <w:sz w:val="38"/>
        </w:rPr>
        <w:t> </w:t>
      </w:r>
      <w:r>
        <w:rPr>
          <w:sz w:val="38"/>
        </w:rPr>
        <w:t>strokes!</w:t>
      </w:r>
      <w:r>
        <w:rPr>
          <w:position w:val="9"/>
          <w:sz w:val="25"/>
        </w:rPr>
        <w:t>4</w:t>
      </w:r>
    </w:p>
    <w:p>
      <w:pPr>
        <w:pStyle w:val="ListParagraph"/>
        <w:numPr>
          <w:ilvl w:val="1"/>
          <w:numId w:val="7"/>
        </w:numPr>
        <w:tabs>
          <w:tab w:pos="837" w:val="left" w:leader="none"/>
        </w:tabs>
        <w:spacing w:line="273" w:lineRule="auto" w:before="252" w:after="0"/>
        <w:ind w:left="836" w:right="116" w:hanging="360"/>
        <w:jc w:val="both"/>
        <w:rPr>
          <w:sz w:val="25"/>
        </w:rPr>
      </w:pPr>
      <w:r>
        <w:rPr>
          <w:sz w:val="38"/>
        </w:rPr>
        <w:t>that</w:t>
      </w:r>
      <w:r>
        <w:rPr>
          <w:spacing w:val="-11"/>
          <w:sz w:val="38"/>
        </w:rPr>
        <w:t> </w:t>
      </w:r>
      <w:r>
        <w:rPr>
          <w:sz w:val="38"/>
        </w:rPr>
        <w:t>acetyl-L-carnitine</w:t>
      </w:r>
      <w:r>
        <w:rPr>
          <w:spacing w:val="-10"/>
          <w:sz w:val="38"/>
        </w:rPr>
        <w:t> </w:t>
      </w:r>
      <w:r>
        <w:rPr>
          <w:sz w:val="38"/>
        </w:rPr>
        <w:t>improves</w:t>
      </w:r>
      <w:r>
        <w:rPr>
          <w:spacing w:val="-6"/>
          <w:sz w:val="38"/>
        </w:rPr>
        <w:t> </w:t>
      </w:r>
      <w:r>
        <w:rPr>
          <w:sz w:val="38"/>
        </w:rPr>
        <w:t>cognitive</w:t>
      </w:r>
      <w:r>
        <w:rPr>
          <w:spacing w:val="-11"/>
          <w:sz w:val="38"/>
        </w:rPr>
        <w:t> </w:t>
      </w:r>
      <w:r>
        <w:rPr>
          <w:sz w:val="38"/>
        </w:rPr>
        <w:t>functions</w:t>
      </w:r>
      <w:r>
        <w:rPr>
          <w:spacing w:val="-10"/>
          <w:sz w:val="38"/>
        </w:rPr>
        <w:t> </w:t>
      </w:r>
      <w:r>
        <w:rPr>
          <w:sz w:val="38"/>
        </w:rPr>
        <w:t>after</w:t>
      </w:r>
      <w:r>
        <w:rPr>
          <w:spacing w:val="-11"/>
          <w:sz w:val="38"/>
        </w:rPr>
        <w:t> </w:t>
      </w:r>
      <w:r>
        <w:rPr>
          <w:sz w:val="38"/>
        </w:rPr>
        <w:t>a</w:t>
      </w:r>
      <w:r>
        <w:rPr>
          <w:spacing w:val="-11"/>
          <w:sz w:val="38"/>
        </w:rPr>
        <w:t> </w:t>
      </w:r>
      <w:r>
        <w:rPr>
          <w:sz w:val="38"/>
        </w:rPr>
        <w:t>stroke,</w:t>
      </w:r>
      <w:r>
        <w:rPr>
          <w:spacing w:val="-10"/>
          <w:sz w:val="38"/>
        </w:rPr>
        <w:t> </w:t>
      </w:r>
      <w:r>
        <w:rPr>
          <w:sz w:val="38"/>
        </w:rPr>
        <w:t>as</w:t>
      </w:r>
      <w:r>
        <w:rPr>
          <w:spacing w:val="-11"/>
          <w:sz w:val="38"/>
        </w:rPr>
        <w:t> </w:t>
      </w:r>
      <w:r>
        <w:rPr>
          <w:sz w:val="38"/>
        </w:rPr>
        <w:t>well as memory. This significantly shortens the rehabilitation phase after a stroke!</w:t>
      </w:r>
      <w:r>
        <w:rPr>
          <w:position w:val="9"/>
          <w:sz w:val="25"/>
        </w:rPr>
        <w:t>5</w:t>
      </w:r>
    </w:p>
    <w:p>
      <w:pPr>
        <w:pStyle w:val="ListParagraph"/>
        <w:numPr>
          <w:ilvl w:val="1"/>
          <w:numId w:val="7"/>
        </w:numPr>
        <w:tabs>
          <w:tab w:pos="837" w:val="left" w:leader="none"/>
        </w:tabs>
        <w:spacing w:line="273" w:lineRule="auto" w:before="252" w:after="0"/>
        <w:ind w:left="836" w:right="116" w:hanging="360"/>
        <w:jc w:val="both"/>
        <w:rPr>
          <w:sz w:val="38"/>
        </w:rPr>
      </w:pPr>
      <w:r>
        <w:rPr>
          <w:sz w:val="38"/>
        </w:rPr>
        <w:t>that several studies indicate that L-carnosine reduced the mortality rate from 67 % (without L-carnosine) to 30 %, with another study showing a reduction from 55 % to 17</w:t>
      </w:r>
      <w:r>
        <w:rPr>
          <w:spacing w:val="2"/>
          <w:sz w:val="38"/>
        </w:rPr>
        <w:t> </w:t>
      </w:r>
      <w:r>
        <w:rPr>
          <w:sz w:val="38"/>
        </w:rPr>
        <w:t>%!</w:t>
      </w:r>
    </w:p>
    <w:p>
      <w:pPr>
        <w:pStyle w:val="BodyText"/>
        <w:rPr>
          <w:sz w:val="42"/>
        </w:rPr>
      </w:pPr>
    </w:p>
    <w:p>
      <w:pPr>
        <w:pStyle w:val="BodyText"/>
        <w:spacing w:before="1"/>
        <w:rPr>
          <w:sz w:val="45"/>
        </w:rPr>
      </w:pPr>
    </w:p>
    <w:p>
      <w:pPr>
        <w:pStyle w:val="Heading2"/>
        <w:ind w:left="116"/>
      </w:pPr>
      <w:r>
        <w:rPr/>
        <w:t>Arthrosis /arthritis</w:t>
      </w:r>
    </w:p>
    <w:p>
      <w:pPr>
        <w:pStyle w:val="BodyText"/>
        <w:spacing w:before="305"/>
        <w:ind w:left="116"/>
      </w:pPr>
      <w:r>
        <w:rPr/>
        <w:t>Every year, 2.5 million hip replacements and 4.7 million knee replacements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8"/>
        </w:rPr>
      </w:pPr>
      <w:r>
        <w:rPr/>
        <w:pict>
          <v:line style="position:absolute;mso-position-horizontal-relative:page;mso-position-vertical-relative:paragraph;z-index:-928;mso-wrap-distance-left:0;mso-wrap-distance-right:0" from="70.823997pt,18.578695pt" to="214.843997pt,18.578695pt" stroked="true" strokeweight=".72003pt" strokecolor="#000000">
            <v:stroke dashstyle="solid"/>
            <w10:wrap type="topAndBottom"/>
          </v:line>
        </w:pict>
      </w:r>
    </w:p>
    <w:p>
      <w:pPr>
        <w:pStyle w:val="BodyText"/>
        <w:spacing w:before="7"/>
        <w:rPr>
          <w:sz w:val="18"/>
        </w:rPr>
      </w:pPr>
    </w:p>
    <w:p>
      <w:pPr>
        <w:spacing w:before="99"/>
        <w:ind w:left="116" w:right="0" w:firstLine="0"/>
        <w:jc w:val="left"/>
        <w:rPr>
          <w:sz w:val="20"/>
        </w:rPr>
      </w:pPr>
      <w:r>
        <w:rPr>
          <w:b/>
          <w:position w:val="4"/>
          <w:sz w:val="10"/>
        </w:rPr>
        <w:t>4 </w:t>
      </w:r>
      <w:r>
        <w:rPr>
          <w:sz w:val="20"/>
        </w:rPr>
        <w:t>Rosenthal 1992</w:t>
      </w:r>
    </w:p>
    <w:p>
      <w:pPr>
        <w:spacing w:before="92"/>
        <w:ind w:left="116" w:right="0" w:firstLine="0"/>
        <w:jc w:val="left"/>
        <w:rPr>
          <w:sz w:val="20"/>
        </w:rPr>
      </w:pPr>
      <w:r>
        <w:rPr>
          <w:b/>
          <w:position w:val="5"/>
          <w:sz w:val="13"/>
        </w:rPr>
        <w:t>5 </w:t>
      </w:r>
      <w:r>
        <w:rPr>
          <w:sz w:val="20"/>
        </w:rPr>
        <w:t>Arrigo 1990</w:t>
      </w:r>
    </w:p>
    <w:p>
      <w:pPr>
        <w:spacing w:after="0"/>
        <w:jc w:val="left"/>
        <w:rPr>
          <w:sz w:val="20"/>
        </w:rPr>
        <w:sectPr>
          <w:pgSz w:w="14260" w:h="16840"/>
          <w:pgMar w:header="0" w:footer="402" w:top="1320" w:bottom="2280" w:left="1300" w:right="1297"/>
        </w:sectPr>
      </w:pPr>
    </w:p>
    <w:p>
      <w:pPr>
        <w:pStyle w:val="BodyText"/>
        <w:spacing w:line="276" w:lineRule="auto" w:before="74"/>
        <w:ind w:left="116"/>
      </w:pPr>
      <w:r>
        <w:rPr/>
        <w:t>alone</w:t>
      </w:r>
      <w:r>
        <w:rPr>
          <w:spacing w:val="-13"/>
        </w:rPr>
        <w:t> </w:t>
      </w:r>
      <w:r>
        <w:rPr/>
        <w:t>in</w:t>
      </w:r>
      <w:r>
        <w:rPr>
          <w:spacing w:val="-13"/>
        </w:rPr>
        <w:t> </w:t>
      </w:r>
      <w:r>
        <w:rPr/>
        <w:t>USA</w:t>
      </w:r>
      <w:r>
        <w:rPr>
          <w:position w:val="9"/>
          <w:sz w:val="25"/>
        </w:rPr>
        <w:t>6</w:t>
      </w:r>
      <w:r>
        <w:rPr>
          <w:spacing w:val="29"/>
          <w:position w:val="9"/>
          <w:sz w:val="25"/>
        </w:rPr>
        <w:t> </w:t>
      </w:r>
      <w:r>
        <w:rPr/>
        <w:t>are</w:t>
      </w:r>
      <w:r>
        <w:rPr>
          <w:spacing w:val="-12"/>
        </w:rPr>
        <w:t> </w:t>
      </w:r>
      <w:r>
        <w:rPr/>
        <w:t>performed</w:t>
      </w:r>
      <w:r>
        <w:rPr>
          <w:spacing w:val="-12"/>
        </w:rPr>
        <w:t> </w:t>
      </w:r>
      <w:r>
        <w:rPr/>
        <w:t>due</w:t>
      </w:r>
      <w:r>
        <w:rPr>
          <w:spacing w:val="-16"/>
        </w:rPr>
        <w:t> </w:t>
      </w:r>
      <w:r>
        <w:rPr/>
        <w:t>to</w:t>
      </w:r>
      <w:r>
        <w:rPr>
          <w:spacing w:val="-15"/>
        </w:rPr>
        <w:t> </w:t>
      </w:r>
      <w:r>
        <w:rPr/>
        <w:t>arthrosis</w:t>
      </w:r>
      <w:r>
        <w:rPr>
          <w:spacing w:val="-10"/>
        </w:rPr>
        <w:t> </w:t>
      </w:r>
      <w:r>
        <w:rPr/>
        <w:t>or</w:t>
      </w:r>
      <w:r>
        <w:rPr>
          <w:spacing w:val="-14"/>
        </w:rPr>
        <w:t> </w:t>
      </w:r>
      <w:r>
        <w:rPr/>
        <w:t>arthritis</w:t>
      </w:r>
      <w:r>
        <w:rPr>
          <w:spacing w:val="-10"/>
        </w:rPr>
        <w:t> </w:t>
      </w:r>
      <w:r>
        <w:rPr/>
        <w:t>-</w:t>
      </w:r>
      <w:r>
        <w:rPr>
          <w:spacing w:val="-14"/>
        </w:rPr>
        <w:t> </w:t>
      </w:r>
      <w:r>
        <w:rPr/>
        <w:t>arthrosis</w:t>
      </w:r>
      <w:r>
        <w:rPr>
          <w:spacing w:val="-13"/>
        </w:rPr>
        <w:t> </w:t>
      </w:r>
      <w:r>
        <w:rPr/>
        <w:t>is</w:t>
      </w:r>
      <w:r>
        <w:rPr>
          <w:spacing w:val="-16"/>
        </w:rPr>
        <w:t> </w:t>
      </w:r>
      <w:r>
        <w:rPr/>
        <w:t>prevent- able and curable, as is</w:t>
      </w:r>
      <w:r>
        <w:rPr>
          <w:spacing w:val="-2"/>
        </w:rPr>
        <w:t> </w:t>
      </w:r>
      <w:r>
        <w:rPr/>
        <w:t>arthritis!</w:t>
      </w:r>
    </w:p>
    <w:p>
      <w:pPr>
        <w:pStyle w:val="BodyText"/>
        <w:spacing w:line="276" w:lineRule="auto" w:before="1"/>
        <w:ind w:left="116" w:right="160"/>
      </w:pPr>
      <w:r>
        <w:rPr/>
        <w:t>However, Big Pharma and doctors are engaged in a billion-dollar business of prescribing harmful, synthetic, so-called chondroprotective drugs and anti-in- flammatory drugs, in order that the patient can finally earn an endoprosthesis after years of suffering - a reason why you have never heard of successful natural remedies and even your doctor does not usually know of them!</w:t>
      </w:r>
    </w:p>
    <w:p>
      <w:pPr>
        <w:pStyle w:val="BodyText"/>
        <w:spacing w:line="276" w:lineRule="auto"/>
        <w:ind w:left="116" w:right="112"/>
        <w:jc w:val="both"/>
      </w:pPr>
      <w:r>
        <w:rPr/>
        <w:t>All</w:t>
      </w:r>
      <w:r>
        <w:rPr>
          <w:spacing w:val="-9"/>
        </w:rPr>
        <w:t> </w:t>
      </w:r>
      <w:r>
        <w:rPr/>
        <w:t>harmful</w:t>
      </w:r>
      <w:r>
        <w:rPr>
          <w:spacing w:val="-8"/>
        </w:rPr>
        <w:t> </w:t>
      </w:r>
      <w:r>
        <w:rPr/>
        <w:t>and</w:t>
      </w:r>
      <w:r>
        <w:rPr>
          <w:spacing w:val="-8"/>
        </w:rPr>
        <w:t> </w:t>
      </w:r>
      <w:r>
        <w:rPr/>
        <w:t>practically</w:t>
      </w:r>
      <w:r>
        <w:rPr>
          <w:spacing w:val="-7"/>
        </w:rPr>
        <w:t> </w:t>
      </w:r>
      <w:r>
        <w:rPr/>
        <w:t>useless</w:t>
      </w:r>
      <w:r>
        <w:rPr>
          <w:spacing w:val="-7"/>
        </w:rPr>
        <w:t> </w:t>
      </w:r>
      <w:r>
        <w:rPr/>
        <w:t>synthetic</w:t>
      </w:r>
      <w:r>
        <w:rPr>
          <w:spacing w:val="-9"/>
        </w:rPr>
        <w:t> </w:t>
      </w:r>
      <w:r>
        <w:rPr/>
        <w:t>cartilage</w:t>
      </w:r>
      <w:r>
        <w:rPr>
          <w:spacing w:val="-8"/>
        </w:rPr>
        <w:t> </w:t>
      </w:r>
      <w:r>
        <w:rPr/>
        <w:t>constructs</w:t>
      </w:r>
      <w:r>
        <w:rPr>
          <w:spacing w:val="-7"/>
        </w:rPr>
        <w:t> </w:t>
      </w:r>
      <w:r>
        <w:rPr/>
        <w:t>find</w:t>
      </w:r>
      <w:r>
        <w:rPr>
          <w:spacing w:val="-8"/>
        </w:rPr>
        <w:t> </w:t>
      </w:r>
      <w:r>
        <w:rPr/>
        <w:t>their</w:t>
      </w:r>
      <w:r>
        <w:rPr>
          <w:spacing w:val="-6"/>
        </w:rPr>
        <w:t> </w:t>
      </w:r>
      <w:r>
        <w:rPr/>
        <w:t>effi- cient and side effect-free counterpart within nature, supported by meaningful, representative</w:t>
      </w:r>
      <w:r>
        <w:rPr>
          <w:spacing w:val="-2"/>
        </w:rPr>
        <w:t> </w:t>
      </w:r>
      <w:r>
        <w:rPr/>
        <w:t>studies!</w:t>
      </w:r>
    </w:p>
    <w:p>
      <w:pPr>
        <w:pStyle w:val="BodyText"/>
        <w:spacing w:before="9"/>
        <w:rPr>
          <w:sz w:val="43"/>
        </w:rPr>
      </w:pPr>
    </w:p>
    <w:p>
      <w:pPr>
        <w:pStyle w:val="Heading2"/>
        <w:ind w:left="116"/>
      </w:pPr>
      <w:r>
        <w:rPr/>
        <w:t>In your Codex Humanus you will also learn</w:t>
      </w:r>
    </w:p>
    <w:p>
      <w:pPr>
        <w:pStyle w:val="ListParagraph"/>
        <w:numPr>
          <w:ilvl w:val="0"/>
          <w:numId w:val="8"/>
        </w:numPr>
        <w:tabs>
          <w:tab w:pos="553" w:val="left" w:leader="none"/>
          <w:tab w:pos="554" w:val="left" w:leader="none"/>
        </w:tabs>
        <w:spacing w:line="273" w:lineRule="auto" w:before="306" w:after="0"/>
        <w:ind w:left="553" w:right="126" w:hanging="360"/>
        <w:jc w:val="left"/>
        <w:rPr>
          <w:sz w:val="25"/>
        </w:rPr>
      </w:pPr>
      <w:r>
        <w:rPr>
          <w:sz w:val="38"/>
        </w:rPr>
        <w:t>that researchers at Creighton University in Omaha, Nebraska, evaluated</w:t>
      </w:r>
      <w:r>
        <w:rPr>
          <w:spacing w:val="-33"/>
          <w:sz w:val="38"/>
        </w:rPr>
        <w:t> </w:t>
      </w:r>
      <w:r>
        <w:rPr>
          <w:sz w:val="38"/>
        </w:rPr>
        <w:t>20 randomised, controlled trials involving over 2,500</w:t>
      </w:r>
      <w:r>
        <w:rPr>
          <w:spacing w:val="-3"/>
          <w:sz w:val="38"/>
        </w:rPr>
        <w:t> </w:t>
      </w:r>
      <w:r>
        <w:rPr>
          <w:sz w:val="38"/>
        </w:rPr>
        <w:t>patients.</w:t>
      </w:r>
      <w:r>
        <w:rPr>
          <w:position w:val="9"/>
          <w:sz w:val="25"/>
        </w:rPr>
        <w:t>7</w:t>
      </w:r>
    </w:p>
    <w:p>
      <w:pPr>
        <w:pStyle w:val="ListParagraph"/>
        <w:numPr>
          <w:ilvl w:val="0"/>
          <w:numId w:val="8"/>
        </w:numPr>
        <w:tabs>
          <w:tab w:pos="553" w:val="left" w:leader="none"/>
          <w:tab w:pos="554" w:val="left" w:leader="none"/>
        </w:tabs>
        <w:spacing w:line="273" w:lineRule="auto" w:before="248" w:after="0"/>
        <w:ind w:left="553" w:right="118" w:hanging="360"/>
        <w:jc w:val="left"/>
        <w:rPr>
          <w:sz w:val="25"/>
        </w:rPr>
      </w:pPr>
      <w:r>
        <w:rPr>
          <w:i/>
          <w:sz w:val="38"/>
        </w:rPr>
        <w:t>‘Glucosamine sulphate is a physiological substance that has been shown to slow the pro- </w:t>
      </w:r>
      <w:r>
        <w:rPr>
          <w:i/>
          <w:sz w:val="38"/>
        </w:rPr>
        <w:t>gression of arthritis. The benefit-risk profile is</w:t>
      </w:r>
      <w:r>
        <w:rPr>
          <w:i/>
          <w:spacing w:val="-3"/>
          <w:sz w:val="38"/>
        </w:rPr>
        <w:t> </w:t>
      </w:r>
      <w:r>
        <w:rPr>
          <w:i/>
          <w:sz w:val="38"/>
        </w:rPr>
        <w:t>low’.</w:t>
      </w:r>
      <w:r>
        <w:rPr>
          <w:position w:val="9"/>
          <w:sz w:val="25"/>
        </w:rPr>
        <w:t>8</w:t>
      </w:r>
    </w:p>
    <w:p>
      <w:pPr>
        <w:pStyle w:val="ListParagraph"/>
        <w:numPr>
          <w:ilvl w:val="0"/>
          <w:numId w:val="8"/>
        </w:numPr>
        <w:tabs>
          <w:tab w:pos="553" w:val="left" w:leader="none"/>
          <w:tab w:pos="554" w:val="left" w:leader="none"/>
        </w:tabs>
        <w:spacing w:line="273" w:lineRule="auto" w:before="247" w:after="0"/>
        <w:ind w:left="553" w:right="126" w:hanging="360"/>
        <w:jc w:val="left"/>
        <w:rPr>
          <w:i/>
          <w:sz w:val="25"/>
        </w:rPr>
      </w:pPr>
      <w:r>
        <w:rPr>
          <w:i/>
          <w:sz w:val="38"/>
        </w:rPr>
        <w:t>‘It appears that these components (glucosamine and chondroitin sulphate) play a role in </w:t>
      </w:r>
      <w:r>
        <w:rPr>
          <w:i/>
          <w:sz w:val="38"/>
        </w:rPr>
        <w:t>the efficient treatment of joint</w:t>
      </w:r>
      <w:r>
        <w:rPr>
          <w:i/>
          <w:spacing w:val="-4"/>
          <w:sz w:val="38"/>
        </w:rPr>
        <w:t> </w:t>
      </w:r>
      <w:r>
        <w:rPr>
          <w:i/>
          <w:sz w:val="38"/>
        </w:rPr>
        <w:t>diseases’.</w:t>
      </w:r>
      <w:r>
        <w:rPr>
          <w:i/>
          <w:position w:val="9"/>
          <w:sz w:val="25"/>
        </w:rPr>
        <w:t>9</w:t>
      </w:r>
    </w:p>
    <w:p>
      <w:pPr>
        <w:pStyle w:val="ListParagraph"/>
        <w:numPr>
          <w:ilvl w:val="0"/>
          <w:numId w:val="8"/>
        </w:numPr>
        <w:tabs>
          <w:tab w:pos="553" w:val="left" w:leader="none"/>
          <w:tab w:pos="554" w:val="left" w:leader="none"/>
        </w:tabs>
        <w:spacing w:line="273" w:lineRule="auto" w:before="247" w:after="0"/>
        <w:ind w:left="553" w:right="115" w:hanging="360"/>
        <w:jc w:val="left"/>
        <w:rPr>
          <w:sz w:val="38"/>
        </w:rPr>
      </w:pPr>
      <w:r>
        <w:rPr>
          <w:sz w:val="38"/>
        </w:rPr>
        <w:t>Silicon has an anti-inflammatory effect on the joint, enhances the ability of hyaline</w:t>
      </w:r>
      <w:r>
        <w:rPr>
          <w:spacing w:val="30"/>
          <w:sz w:val="38"/>
        </w:rPr>
        <w:t> </w:t>
      </w:r>
      <w:r>
        <w:rPr>
          <w:sz w:val="38"/>
        </w:rPr>
        <w:t>cartilage</w:t>
      </w:r>
      <w:r>
        <w:rPr>
          <w:spacing w:val="33"/>
          <w:sz w:val="38"/>
        </w:rPr>
        <w:t> </w:t>
      </w:r>
      <w:r>
        <w:rPr>
          <w:sz w:val="38"/>
        </w:rPr>
        <w:t>to</w:t>
      </w:r>
      <w:r>
        <w:rPr>
          <w:spacing w:val="28"/>
          <w:sz w:val="38"/>
        </w:rPr>
        <w:t> </w:t>
      </w:r>
      <w:r>
        <w:rPr>
          <w:sz w:val="38"/>
        </w:rPr>
        <w:t>bind</w:t>
      </w:r>
      <w:r>
        <w:rPr>
          <w:spacing w:val="31"/>
          <w:sz w:val="38"/>
        </w:rPr>
        <w:t> </w:t>
      </w:r>
      <w:r>
        <w:rPr>
          <w:sz w:val="38"/>
        </w:rPr>
        <w:t>water</w:t>
      </w:r>
      <w:r>
        <w:rPr>
          <w:spacing w:val="31"/>
          <w:sz w:val="38"/>
        </w:rPr>
        <w:t> </w:t>
      </w:r>
      <w:r>
        <w:rPr>
          <w:sz w:val="38"/>
        </w:rPr>
        <w:t>and</w:t>
      </w:r>
      <w:r>
        <w:rPr>
          <w:spacing w:val="31"/>
          <w:sz w:val="38"/>
        </w:rPr>
        <w:t> </w:t>
      </w:r>
      <w:r>
        <w:rPr>
          <w:sz w:val="38"/>
        </w:rPr>
        <w:t>increases</w:t>
      </w:r>
      <w:r>
        <w:rPr>
          <w:spacing w:val="29"/>
          <w:sz w:val="38"/>
        </w:rPr>
        <w:t> </w:t>
      </w:r>
      <w:r>
        <w:rPr>
          <w:sz w:val="38"/>
        </w:rPr>
        <w:t>its</w:t>
      </w:r>
      <w:r>
        <w:rPr>
          <w:spacing w:val="26"/>
          <w:sz w:val="38"/>
        </w:rPr>
        <w:t> </w:t>
      </w:r>
      <w:r>
        <w:rPr>
          <w:sz w:val="38"/>
        </w:rPr>
        <w:t>elasticity.</w:t>
      </w:r>
      <w:r>
        <w:rPr>
          <w:spacing w:val="30"/>
          <w:sz w:val="38"/>
        </w:rPr>
        <w:t> </w:t>
      </w:r>
      <w:r>
        <w:rPr>
          <w:sz w:val="38"/>
        </w:rPr>
        <w:t>The</w:t>
      </w:r>
      <w:r>
        <w:rPr>
          <w:spacing w:val="32"/>
          <w:sz w:val="38"/>
        </w:rPr>
        <w:t> </w:t>
      </w:r>
      <w:r>
        <w:rPr>
          <w:sz w:val="38"/>
        </w:rPr>
        <w:t>connective</w:t>
      </w:r>
    </w:p>
    <w:p>
      <w:pPr>
        <w:pStyle w:val="BodyText"/>
        <w:rPr>
          <w:sz w:val="20"/>
        </w:rPr>
      </w:pPr>
    </w:p>
    <w:p>
      <w:pPr>
        <w:pStyle w:val="BodyText"/>
        <w:spacing w:before="4"/>
        <w:rPr>
          <w:sz w:val="23"/>
        </w:rPr>
      </w:pPr>
      <w:r>
        <w:rPr/>
        <w:pict>
          <v:line style="position:absolute;mso-position-horizontal-relative:page;mso-position-vertical-relative:paragraph;z-index:-904;mso-wrap-distance-left:0;mso-wrap-distance-right:0" from="70.823997pt,15.504976pt" to="214.843997pt,15.504976pt" stroked="true" strokeweight=".71997pt" strokecolor="#000000">
            <v:stroke dashstyle="solid"/>
            <w10:wrap type="topAndBottom"/>
          </v:line>
        </w:pict>
      </w:r>
    </w:p>
    <w:p>
      <w:pPr>
        <w:pStyle w:val="BodyText"/>
        <w:spacing w:before="7"/>
        <w:rPr>
          <w:sz w:val="18"/>
        </w:rPr>
      </w:pPr>
    </w:p>
    <w:p>
      <w:pPr>
        <w:spacing w:before="100"/>
        <w:ind w:left="116" w:right="0" w:firstLine="0"/>
        <w:jc w:val="left"/>
        <w:rPr>
          <w:sz w:val="20"/>
        </w:rPr>
      </w:pPr>
      <w:r>
        <w:rPr>
          <w:position w:val="5"/>
          <w:sz w:val="13"/>
        </w:rPr>
        <w:t>6 </w:t>
      </w:r>
      <w:r>
        <w:rPr>
          <w:sz w:val="20"/>
        </w:rPr>
        <w:t>https://</w:t>
      </w:r>
      <w:hyperlink r:id="rId9">
        <w:r>
          <w:rPr>
            <w:sz w:val="20"/>
          </w:rPr>
          <w:t>www.ncbi.nlm.nih.gov/pmc/articles/PMC4551172/</w:t>
        </w:r>
      </w:hyperlink>
    </w:p>
    <w:p>
      <w:pPr>
        <w:spacing w:before="94"/>
        <w:ind w:left="116" w:right="0" w:firstLine="0"/>
        <w:jc w:val="left"/>
        <w:rPr>
          <w:sz w:val="20"/>
        </w:rPr>
      </w:pPr>
      <w:r>
        <w:rPr>
          <w:position w:val="5"/>
          <w:sz w:val="13"/>
        </w:rPr>
        <w:t>7 </w:t>
      </w:r>
      <w:r>
        <w:rPr>
          <w:sz w:val="20"/>
        </w:rPr>
        <w:t>Report in the New York Times on January 21, 2008</w:t>
      </w:r>
    </w:p>
    <w:p>
      <w:pPr>
        <w:spacing w:before="94"/>
        <w:ind w:left="116" w:right="0" w:firstLine="0"/>
        <w:jc w:val="left"/>
        <w:rPr>
          <w:sz w:val="20"/>
        </w:rPr>
      </w:pPr>
      <w:r>
        <w:rPr>
          <w:position w:val="5"/>
          <w:sz w:val="13"/>
        </w:rPr>
        <w:t>8 </w:t>
      </w:r>
      <w:r>
        <w:rPr>
          <w:sz w:val="20"/>
        </w:rPr>
        <w:t>Prof. Dr. med. R. Jakob, Chief Physician, Freiburg Orthopaedic Clinic</w:t>
      </w:r>
    </w:p>
    <w:p>
      <w:pPr>
        <w:spacing w:before="92"/>
        <w:ind w:left="116" w:right="0" w:firstLine="0"/>
        <w:jc w:val="left"/>
        <w:rPr>
          <w:sz w:val="20"/>
        </w:rPr>
      </w:pPr>
      <w:r>
        <w:rPr>
          <w:position w:val="5"/>
          <w:sz w:val="13"/>
        </w:rPr>
        <w:t>9 </w:t>
      </w:r>
      <w:r>
        <w:rPr>
          <w:sz w:val="20"/>
        </w:rPr>
        <w:t>Journal of the American Medical Association as Evaluation of 15 Clinical Trials on Glucosamine and Chondroitin Sulphate in March 2000</w:t>
      </w:r>
    </w:p>
    <w:p>
      <w:pPr>
        <w:spacing w:after="0"/>
        <w:jc w:val="left"/>
        <w:rPr>
          <w:sz w:val="20"/>
        </w:rPr>
        <w:sectPr>
          <w:pgSz w:w="14260" w:h="16840"/>
          <w:pgMar w:header="0" w:footer="402" w:top="1320" w:bottom="2280" w:left="1300" w:right="1297"/>
        </w:sectPr>
      </w:pPr>
    </w:p>
    <w:p>
      <w:pPr>
        <w:pStyle w:val="BodyText"/>
        <w:spacing w:line="276" w:lineRule="auto" w:before="74"/>
        <w:ind w:left="553" w:right="113"/>
        <w:jc w:val="both"/>
      </w:pPr>
      <w:r>
        <w:rPr/>
        <w:t>tissue is strengthened, the cartilage can even partially regenerate, because the</w:t>
      </w:r>
      <w:r>
        <w:rPr>
          <w:spacing w:val="-21"/>
        </w:rPr>
        <w:t> </w:t>
      </w:r>
      <w:r>
        <w:rPr/>
        <w:t>chondrocytes</w:t>
      </w:r>
      <w:r>
        <w:rPr>
          <w:spacing w:val="-21"/>
        </w:rPr>
        <w:t> </w:t>
      </w:r>
      <w:r>
        <w:rPr/>
        <w:t>(cells</w:t>
      </w:r>
      <w:r>
        <w:rPr>
          <w:spacing w:val="-22"/>
        </w:rPr>
        <w:t> </w:t>
      </w:r>
      <w:r>
        <w:rPr/>
        <w:t>in</w:t>
      </w:r>
      <w:r>
        <w:rPr>
          <w:spacing w:val="-22"/>
        </w:rPr>
        <w:t> </w:t>
      </w:r>
      <w:r>
        <w:rPr/>
        <w:t>the</w:t>
      </w:r>
      <w:r>
        <w:rPr>
          <w:spacing w:val="-20"/>
        </w:rPr>
        <w:t> </w:t>
      </w:r>
      <w:r>
        <w:rPr/>
        <w:t>joint</w:t>
      </w:r>
      <w:r>
        <w:rPr>
          <w:spacing w:val="-21"/>
        </w:rPr>
        <w:t> </w:t>
      </w:r>
      <w:r>
        <w:rPr/>
        <w:t>capsule),</w:t>
      </w:r>
      <w:r>
        <w:rPr>
          <w:spacing w:val="-21"/>
        </w:rPr>
        <w:t> </w:t>
      </w:r>
      <w:r>
        <w:rPr/>
        <w:t>which</w:t>
      </w:r>
      <w:r>
        <w:rPr>
          <w:spacing w:val="-20"/>
        </w:rPr>
        <w:t> </w:t>
      </w:r>
      <w:r>
        <w:rPr/>
        <w:t>constantly</w:t>
      </w:r>
      <w:r>
        <w:rPr>
          <w:spacing w:val="-22"/>
        </w:rPr>
        <w:t> </w:t>
      </w:r>
      <w:r>
        <w:rPr/>
        <w:t>regenerate</w:t>
      </w:r>
      <w:r>
        <w:rPr>
          <w:spacing w:val="-23"/>
        </w:rPr>
        <w:t> </w:t>
      </w:r>
      <w:r>
        <w:rPr/>
        <w:t>the degraded</w:t>
      </w:r>
      <w:r>
        <w:rPr>
          <w:spacing w:val="-15"/>
        </w:rPr>
        <w:t> </w:t>
      </w:r>
      <w:r>
        <w:rPr/>
        <w:t>cartilage</w:t>
      </w:r>
      <w:r>
        <w:rPr>
          <w:spacing w:val="-13"/>
        </w:rPr>
        <w:t> </w:t>
      </w:r>
      <w:r>
        <w:rPr/>
        <w:t>in</w:t>
      </w:r>
      <w:r>
        <w:rPr>
          <w:spacing w:val="-14"/>
        </w:rPr>
        <w:t> </w:t>
      </w:r>
      <w:r>
        <w:rPr/>
        <w:t>the</w:t>
      </w:r>
      <w:r>
        <w:rPr>
          <w:spacing w:val="-15"/>
        </w:rPr>
        <w:t> </w:t>
      </w:r>
      <w:r>
        <w:rPr/>
        <w:t>joint</w:t>
      </w:r>
      <w:r>
        <w:rPr>
          <w:spacing w:val="-14"/>
        </w:rPr>
        <w:t> </w:t>
      </w:r>
      <w:r>
        <w:rPr/>
        <w:t>throughout</w:t>
      </w:r>
      <w:r>
        <w:rPr>
          <w:spacing w:val="-16"/>
        </w:rPr>
        <w:t> </w:t>
      </w:r>
      <w:r>
        <w:rPr/>
        <w:t>your</w:t>
      </w:r>
      <w:r>
        <w:rPr>
          <w:spacing w:val="-14"/>
        </w:rPr>
        <w:t> </w:t>
      </w:r>
      <w:r>
        <w:rPr/>
        <w:t>life,</w:t>
      </w:r>
      <w:r>
        <w:rPr>
          <w:spacing w:val="-14"/>
        </w:rPr>
        <w:t> </w:t>
      </w:r>
      <w:r>
        <w:rPr/>
        <w:t>increase</w:t>
      </w:r>
      <w:r>
        <w:rPr>
          <w:spacing w:val="-15"/>
        </w:rPr>
        <w:t> </w:t>
      </w:r>
      <w:r>
        <w:rPr/>
        <w:t>their</w:t>
      </w:r>
      <w:r>
        <w:rPr>
          <w:spacing w:val="-15"/>
        </w:rPr>
        <w:t> </w:t>
      </w:r>
      <w:r>
        <w:rPr/>
        <w:t>activity</w:t>
      </w:r>
      <w:r>
        <w:rPr>
          <w:spacing w:val="-14"/>
        </w:rPr>
        <w:t> </w:t>
      </w:r>
      <w:r>
        <w:rPr/>
        <w:t>by 243</w:t>
      </w:r>
      <w:r>
        <w:rPr>
          <w:spacing w:val="-14"/>
        </w:rPr>
        <w:t> </w:t>
      </w:r>
      <w:r>
        <w:rPr/>
        <w:t>%</w:t>
      </w:r>
      <w:r>
        <w:rPr>
          <w:spacing w:val="-14"/>
        </w:rPr>
        <w:t> </w:t>
      </w:r>
      <w:r>
        <w:rPr/>
        <w:t>in</w:t>
      </w:r>
      <w:r>
        <w:rPr>
          <w:spacing w:val="-13"/>
        </w:rPr>
        <w:t> </w:t>
      </w:r>
      <w:r>
        <w:rPr/>
        <w:t>the</w:t>
      </w:r>
      <w:r>
        <w:rPr>
          <w:spacing w:val="-12"/>
        </w:rPr>
        <w:t> </w:t>
      </w:r>
      <w:r>
        <w:rPr/>
        <w:t>presence</w:t>
      </w:r>
      <w:r>
        <w:rPr>
          <w:spacing w:val="-13"/>
        </w:rPr>
        <w:t> </w:t>
      </w:r>
      <w:r>
        <w:rPr/>
        <w:t>of</w:t>
      </w:r>
      <w:r>
        <w:rPr>
          <w:spacing w:val="-13"/>
        </w:rPr>
        <w:t> </w:t>
      </w:r>
      <w:r>
        <w:rPr/>
        <w:t>silicon!</w:t>
      </w:r>
      <w:r>
        <w:rPr>
          <w:spacing w:val="-15"/>
        </w:rPr>
        <w:t> </w:t>
      </w:r>
      <w:r>
        <w:rPr/>
        <w:t>This</w:t>
      </w:r>
      <w:r>
        <w:rPr>
          <w:spacing w:val="-12"/>
        </w:rPr>
        <w:t> </w:t>
      </w:r>
      <w:r>
        <w:rPr/>
        <w:t>very</w:t>
      </w:r>
      <w:r>
        <w:rPr>
          <w:spacing w:val="-13"/>
        </w:rPr>
        <w:t> </w:t>
      </w:r>
      <w:r>
        <w:rPr/>
        <w:t>quickly</w:t>
      </w:r>
      <w:r>
        <w:rPr>
          <w:spacing w:val="-13"/>
        </w:rPr>
        <w:t> </w:t>
      </w:r>
      <w:r>
        <w:rPr/>
        <w:t>results</w:t>
      </w:r>
      <w:r>
        <w:rPr>
          <w:spacing w:val="-13"/>
        </w:rPr>
        <w:t> </w:t>
      </w:r>
      <w:r>
        <w:rPr/>
        <w:t>in</w:t>
      </w:r>
      <w:r>
        <w:rPr>
          <w:spacing w:val="-13"/>
        </w:rPr>
        <w:t> </w:t>
      </w:r>
      <w:r>
        <w:rPr/>
        <w:t>significant</w:t>
      </w:r>
      <w:r>
        <w:rPr>
          <w:spacing w:val="-14"/>
        </w:rPr>
        <w:t> </w:t>
      </w:r>
      <w:r>
        <w:rPr/>
        <w:t>pain relief and increased mobility.</w:t>
      </w:r>
    </w:p>
    <w:p>
      <w:pPr>
        <w:pStyle w:val="ListParagraph"/>
        <w:numPr>
          <w:ilvl w:val="0"/>
          <w:numId w:val="8"/>
        </w:numPr>
        <w:tabs>
          <w:tab w:pos="554" w:val="left" w:leader="none"/>
        </w:tabs>
        <w:spacing w:line="273" w:lineRule="auto" w:before="244" w:after="0"/>
        <w:ind w:left="553" w:right="116" w:hanging="360"/>
        <w:jc w:val="both"/>
        <w:rPr>
          <w:sz w:val="38"/>
        </w:rPr>
      </w:pPr>
      <w:r>
        <w:rPr>
          <w:sz w:val="38"/>
        </w:rPr>
        <w:t>The</w:t>
      </w:r>
      <w:r>
        <w:rPr>
          <w:spacing w:val="-14"/>
          <w:sz w:val="38"/>
        </w:rPr>
        <w:t> </w:t>
      </w:r>
      <w:r>
        <w:rPr>
          <w:sz w:val="38"/>
        </w:rPr>
        <w:t>inhibition</w:t>
      </w:r>
      <w:r>
        <w:rPr>
          <w:spacing w:val="-16"/>
          <w:sz w:val="38"/>
        </w:rPr>
        <w:t> </w:t>
      </w:r>
      <w:r>
        <w:rPr>
          <w:sz w:val="38"/>
        </w:rPr>
        <w:t>of</w:t>
      </w:r>
      <w:r>
        <w:rPr>
          <w:spacing w:val="-15"/>
          <w:sz w:val="38"/>
        </w:rPr>
        <w:t> </w:t>
      </w:r>
      <w:r>
        <w:rPr>
          <w:sz w:val="38"/>
        </w:rPr>
        <w:t>NF-kappB</w:t>
      </w:r>
      <w:r>
        <w:rPr>
          <w:spacing w:val="-16"/>
          <w:sz w:val="38"/>
        </w:rPr>
        <w:t> </w:t>
      </w:r>
      <w:r>
        <w:rPr>
          <w:sz w:val="38"/>
        </w:rPr>
        <w:t>and</w:t>
      </w:r>
      <w:r>
        <w:rPr>
          <w:spacing w:val="-14"/>
          <w:sz w:val="38"/>
        </w:rPr>
        <w:t> </w:t>
      </w:r>
      <w:r>
        <w:rPr>
          <w:sz w:val="38"/>
        </w:rPr>
        <w:t>expression</w:t>
      </w:r>
      <w:r>
        <w:rPr>
          <w:spacing w:val="-15"/>
          <w:sz w:val="38"/>
        </w:rPr>
        <w:t> </w:t>
      </w:r>
      <w:r>
        <w:rPr>
          <w:sz w:val="38"/>
        </w:rPr>
        <w:t>of</w:t>
      </w:r>
      <w:r>
        <w:rPr>
          <w:spacing w:val="-17"/>
          <w:sz w:val="38"/>
        </w:rPr>
        <w:t> </w:t>
      </w:r>
      <w:r>
        <w:rPr>
          <w:sz w:val="38"/>
        </w:rPr>
        <w:t>adhesion</w:t>
      </w:r>
      <w:r>
        <w:rPr>
          <w:spacing w:val="-14"/>
          <w:sz w:val="38"/>
        </w:rPr>
        <w:t> </w:t>
      </w:r>
      <w:r>
        <w:rPr>
          <w:sz w:val="38"/>
        </w:rPr>
        <w:t>molecules</w:t>
      </w:r>
      <w:r>
        <w:rPr>
          <w:spacing w:val="-13"/>
          <w:sz w:val="38"/>
        </w:rPr>
        <w:t> </w:t>
      </w:r>
      <w:r>
        <w:rPr>
          <w:sz w:val="38"/>
        </w:rPr>
        <w:t>mediate the</w:t>
      </w:r>
      <w:r>
        <w:rPr>
          <w:spacing w:val="-8"/>
          <w:sz w:val="38"/>
        </w:rPr>
        <w:t> </w:t>
      </w:r>
      <w:r>
        <w:rPr>
          <w:sz w:val="38"/>
        </w:rPr>
        <w:t>anti-inflammatory</w:t>
      </w:r>
      <w:r>
        <w:rPr>
          <w:spacing w:val="-9"/>
          <w:sz w:val="38"/>
        </w:rPr>
        <w:t> </w:t>
      </w:r>
      <w:r>
        <w:rPr>
          <w:sz w:val="38"/>
        </w:rPr>
        <w:t>activity</w:t>
      </w:r>
      <w:r>
        <w:rPr>
          <w:spacing w:val="-9"/>
          <w:sz w:val="38"/>
        </w:rPr>
        <w:t> </w:t>
      </w:r>
      <w:r>
        <w:rPr>
          <w:sz w:val="38"/>
        </w:rPr>
        <w:t>of</w:t>
      </w:r>
      <w:r>
        <w:rPr>
          <w:spacing w:val="-6"/>
          <w:sz w:val="38"/>
        </w:rPr>
        <w:t> </w:t>
      </w:r>
      <w:r>
        <w:rPr>
          <w:sz w:val="38"/>
        </w:rPr>
        <w:t>astragaloside</w:t>
      </w:r>
      <w:r>
        <w:rPr>
          <w:spacing w:val="-9"/>
          <w:sz w:val="38"/>
        </w:rPr>
        <w:t> </w:t>
      </w:r>
      <w:r>
        <w:rPr>
          <w:sz w:val="38"/>
        </w:rPr>
        <w:t>IV,</w:t>
      </w:r>
      <w:r>
        <w:rPr>
          <w:spacing w:val="-7"/>
          <w:sz w:val="38"/>
        </w:rPr>
        <w:t> </w:t>
      </w:r>
      <w:r>
        <w:rPr>
          <w:sz w:val="38"/>
        </w:rPr>
        <w:t>an</w:t>
      </w:r>
      <w:r>
        <w:rPr>
          <w:spacing w:val="-9"/>
          <w:sz w:val="38"/>
        </w:rPr>
        <w:t> </w:t>
      </w:r>
      <w:r>
        <w:rPr>
          <w:sz w:val="38"/>
        </w:rPr>
        <w:t>ingredient</w:t>
      </w:r>
      <w:r>
        <w:rPr>
          <w:spacing w:val="-8"/>
          <w:sz w:val="38"/>
        </w:rPr>
        <w:t> </w:t>
      </w:r>
      <w:r>
        <w:rPr>
          <w:sz w:val="38"/>
        </w:rPr>
        <w:t>of</w:t>
      </w:r>
      <w:r>
        <w:rPr>
          <w:spacing w:val="-11"/>
          <w:sz w:val="38"/>
        </w:rPr>
        <w:t> </w:t>
      </w:r>
      <w:r>
        <w:rPr>
          <w:sz w:val="38"/>
        </w:rPr>
        <w:t>Astraga- lus membranaceus, which is crucial for the healing of</w:t>
      </w:r>
      <w:r>
        <w:rPr>
          <w:spacing w:val="-3"/>
          <w:sz w:val="38"/>
        </w:rPr>
        <w:t> </w:t>
      </w:r>
      <w:r>
        <w:rPr>
          <w:sz w:val="38"/>
        </w:rPr>
        <w:t>arthritis!</w:t>
      </w:r>
    </w:p>
    <w:p>
      <w:pPr>
        <w:pStyle w:val="ListParagraph"/>
        <w:numPr>
          <w:ilvl w:val="0"/>
          <w:numId w:val="8"/>
        </w:numPr>
        <w:tabs>
          <w:tab w:pos="554" w:val="left" w:leader="none"/>
        </w:tabs>
        <w:spacing w:line="273" w:lineRule="auto" w:before="252" w:after="0"/>
        <w:ind w:left="553" w:right="118" w:hanging="360"/>
        <w:jc w:val="both"/>
        <w:rPr>
          <w:sz w:val="38"/>
        </w:rPr>
      </w:pPr>
      <w:r>
        <w:rPr>
          <w:sz w:val="38"/>
        </w:rPr>
        <w:t>Lapacho tea, with its proven anti-inflammatory and detoxifying properties, is particularly effective for arthritis and can both relieve the pain and strongly support recovery from the disease.</w:t>
      </w:r>
    </w:p>
    <w:p>
      <w:pPr>
        <w:pStyle w:val="ListParagraph"/>
        <w:numPr>
          <w:ilvl w:val="0"/>
          <w:numId w:val="8"/>
        </w:numPr>
        <w:tabs>
          <w:tab w:pos="554" w:val="left" w:leader="none"/>
        </w:tabs>
        <w:spacing w:line="276" w:lineRule="auto" w:before="249" w:after="0"/>
        <w:ind w:left="553" w:right="113" w:hanging="360"/>
        <w:jc w:val="both"/>
        <w:rPr>
          <w:i/>
          <w:sz w:val="38"/>
        </w:rPr>
      </w:pPr>
      <w:r>
        <w:rPr>
          <w:sz w:val="38"/>
        </w:rPr>
        <w:t>Prof. Winfried Laakmann, Director of the University of San Salvador,</w:t>
      </w:r>
      <w:r>
        <w:rPr>
          <w:spacing w:val="-59"/>
          <w:sz w:val="38"/>
        </w:rPr>
        <w:t> </w:t>
      </w:r>
      <w:r>
        <w:rPr>
          <w:sz w:val="38"/>
        </w:rPr>
        <w:t>says: </w:t>
      </w:r>
      <w:r>
        <w:rPr>
          <w:i/>
          <w:sz w:val="38"/>
        </w:rPr>
        <w:t>‘When</w:t>
      </w:r>
      <w:r>
        <w:rPr>
          <w:i/>
          <w:spacing w:val="-11"/>
          <w:sz w:val="38"/>
        </w:rPr>
        <w:t> </w:t>
      </w:r>
      <w:r>
        <w:rPr>
          <w:i/>
          <w:sz w:val="38"/>
        </w:rPr>
        <w:t>it</w:t>
      </w:r>
      <w:r>
        <w:rPr>
          <w:i/>
          <w:spacing w:val="-10"/>
          <w:sz w:val="38"/>
        </w:rPr>
        <w:t> </w:t>
      </w:r>
      <w:r>
        <w:rPr>
          <w:i/>
          <w:sz w:val="38"/>
        </w:rPr>
        <w:t>comes</w:t>
      </w:r>
      <w:r>
        <w:rPr>
          <w:i/>
          <w:spacing w:val="-11"/>
          <w:sz w:val="38"/>
        </w:rPr>
        <w:t> </w:t>
      </w:r>
      <w:r>
        <w:rPr>
          <w:i/>
          <w:sz w:val="38"/>
        </w:rPr>
        <w:t>to</w:t>
      </w:r>
      <w:r>
        <w:rPr>
          <w:i/>
          <w:spacing w:val="-11"/>
          <w:sz w:val="38"/>
        </w:rPr>
        <w:t> </w:t>
      </w:r>
      <w:r>
        <w:rPr>
          <w:i/>
          <w:sz w:val="38"/>
        </w:rPr>
        <w:t>rheumatism,</w:t>
      </w:r>
      <w:r>
        <w:rPr>
          <w:i/>
          <w:spacing w:val="-10"/>
          <w:sz w:val="38"/>
        </w:rPr>
        <w:t> </w:t>
      </w:r>
      <w:r>
        <w:rPr>
          <w:i/>
          <w:sz w:val="38"/>
        </w:rPr>
        <w:t>I</w:t>
      </w:r>
      <w:r>
        <w:rPr>
          <w:i/>
          <w:spacing w:val="-11"/>
          <w:sz w:val="38"/>
        </w:rPr>
        <w:t> </w:t>
      </w:r>
      <w:r>
        <w:rPr>
          <w:i/>
          <w:sz w:val="38"/>
        </w:rPr>
        <w:t>have</w:t>
      </w:r>
      <w:r>
        <w:rPr>
          <w:i/>
          <w:spacing w:val="-10"/>
          <w:sz w:val="38"/>
        </w:rPr>
        <w:t> </w:t>
      </w:r>
      <w:r>
        <w:rPr>
          <w:i/>
          <w:sz w:val="38"/>
        </w:rPr>
        <w:t>had</w:t>
      </w:r>
      <w:r>
        <w:rPr>
          <w:i/>
          <w:spacing w:val="-11"/>
          <w:sz w:val="38"/>
        </w:rPr>
        <w:t> </w:t>
      </w:r>
      <w:r>
        <w:rPr>
          <w:i/>
          <w:sz w:val="38"/>
        </w:rPr>
        <w:t>worldwide</w:t>
      </w:r>
      <w:r>
        <w:rPr>
          <w:i/>
          <w:spacing w:val="-10"/>
          <w:sz w:val="38"/>
        </w:rPr>
        <w:t> </w:t>
      </w:r>
      <w:r>
        <w:rPr>
          <w:i/>
          <w:sz w:val="38"/>
        </w:rPr>
        <w:t>success</w:t>
      </w:r>
      <w:r>
        <w:rPr>
          <w:i/>
          <w:spacing w:val="-12"/>
          <w:sz w:val="38"/>
        </w:rPr>
        <w:t> </w:t>
      </w:r>
      <w:r>
        <w:rPr>
          <w:i/>
          <w:sz w:val="38"/>
        </w:rPr>
        <w:t>with</w:t>
      </w:r>
      <w:r>
        <w:rPr>
          <w:i/>
          <w:spacing w:val="-6"/>
          <w:sz w:val="38"/>
        </w:rPr>
        <w:t> </w:t>
      </w:r>
      <w:r>
        <w:rPr>
          <w:i/>
          <w:sz w:val="38"/>
          <w:u w:val="single"/>
        </w:rPr>
        <w:t>kombucha</w:t>
      </w:r>
      <w:r>
        <w:rPr>
          <w:i/>
          <w:sz w:val="38"/>
        </w:rPr>
        <w:t>.</w:t>
      </w:r>
      <w:r>
        <w:rPr>
          <w:i/>
          <w:spacing w:val="-8"/>
          <w:sz w:val="38"/>
        </w:rPr>
        <w:t> </w:t>
      </w:r>
      <w:r>
        <w:rPr>
          <w:i/>
          <w:sz w:val="38"/>
        </w:rPr>
        <w:t>I</w:t>
      </w:r>
      <w:r>
        <w:rPr>
          <w:i/>
          <w:spacing w:val="-11"/>
          <w:sz w:val="38"/>
        </w:rPr>
        <w:t> </w:t>
      </w:r>
      <w:r>
        <w:rPr>
          <w:i/>
          <w:sz w:val="38"/>
        </w:rPr>
        <w:t>have</w:t>
      </w:r>
      <w:r>
        <w:rPr>
          <w:i/>
          <w:spacing w:val="-12"/>
          <w:sz w:val="38"/>
        </w:rPr>
        <w:t> </w:t>
      </w:r>
      <w:r>
        <w:rPr>
          <w:i/>
          <w:sz w:val="38"/>
        </w:rPr>
        <w:t>had </w:t>
      </w:r>
      <w:r>
        <w:rPr>
          <w:i/>
          <w:sz w:val="38"/>
        </w:rPr>
        <w:t>patients who could not get out of bed in the morning due to rheumatic pains. Their</w:t>
      </w:r>
      <w:r>
        <w:rPr>
          <w:i/>
          <w:spacing w:val="-61"/>
          <w:sz w:val="38"/>
        </w:rPr>
        <w:t> </w:t>
      </w:r>
      <w:r>
        <w:rPr>
          <w:i/>
          <w:sz w:val="38"/>
        </w:rPr>
        <w:t>joints were</w:t>
      </w:r>
      <w:r>
        <w:rPr>
          <w:i/>
          <w:spacing w:val="-5"/>
          <w:sz w:val="38"/>
        </w:rPr>
        <w:t> </w:t>
      </w:r>
      <w:r>
        <w:rPr>
          <w:i/>
          <w:sz w:val="38"/>
        </w:rPr>
        <w:t>stiff.</w:t>
      </w:r>
      <w:r>
        <w:rPr>
          <w:i/>
          <w:spacing w:val="-5"/>
          <w:sz w:val="38"/>
        </w:rPr>
        <w:t> </w:t>
      </w:r>
      <w:r>
        <w:rPr>
          <w:i/>
          <w:sz w:val="38"/>
        </w:rPr>
        <w:t>I</w:t>
      </w:r>
      <w:r>
        <w:rPr>
          <w:i/>
          <w:spacing w:val="-8"/>
          <w:sz w:val="38"/>
        </w:rPr>
        <w:t> </w:t>
      </w:r>
      <w:r>
        <w:rPr>
          <w:i/>
          <w:sz w:val="38"/>
        </w:rPr>
        <w:t>prescribed</w:t>
      </w:r>
      <w:r>
        <w:rPr>
          <w:i/>
          <w:spacing w:val="-6"/>
          <w:sz w:val="38"/>
        </w:rPr>
        <w:t> </w:t>
      </w:r>
      <w:r>
        <w:rPr>
          <w:i/>
          <w:sz w:val="38"/>
        </w:rPr>
        <w:t>them</w:t>
      </w:r>
      <w:r>
        <w:rPr>
          <w:i/>
          <w:spacing w:val="-4"/>
          <w:sz w:val="38"/>
        </w:rPr>
        <w:t> </w:t>
      </w:r>
      <w:r>
        <w:rPr>
          <w:i/>
          <w:sz w:val="38"/>
        </w:rPr>
        <w:t>kombucha.</w:t>
      </w:r>
      <w:r>
        <w:rPr>
          <w:i/>
          <w:spacing w:val="-6"/>
          <w:sz w:val="38"/>
        </w:rPr>
        <w:t> </w:t>
      </w:r>
      <w:r>
        <w:rPr>
          <w:i/>
          <w:sz w:val="38"/>
        </w:rPr>
        <w:t>The</w:t>
      </w:r>
      <w:r>
        <w:rPr>
          <w:i/>
          <w:spacing w:val="-7"/>
          <w:sz w:val="38"/>
        </w:rPr>
        <w:t> </w:t>
      </w:r>
      <w:r>
        <w:rPr>
          <w:i/>
          <w:sz w:val="38"/>
        </w:rPr>
        <w:t>result:</w:t>
      </w:r>
      <w:r>
        <w:rPr>
          <w:i/>
          <w:spacing w:val="-5"/>
          <w:sz w:val="38"/>
        </w:rPr>
        <w:t> </w:t>
      </w:r>
      <w:r>
        <w:rPr>
          <w:i/>
          <w:sz w:val="38"/>
        </w:rPr>
        <w:t>after</w:t>
      </w:r>
      <w:r>
        <w:rPr>
          <w:i/>
          <w:spacing w:val="-4"/>
          <w:sz w:val="38"/>
        </w:rPr>
        <w:t> </w:t>
      </w:r>
      <w:r>
        <w:rPr>
          <w:i/>
          <w:sz w:val="38"/>
        </w:rPr>
        <w:t>a</w:t>
      </w:r>
      <w:r>
        <w:rPr>
          <w:i/>
          <w:spacing w:val="-11"/>
          <w:sz w:val="38"/>
        </w:rPr>
        <w:t> </w:t>
      </w:r>
      <w:r>
        <w:rPr>
          <w:i/>
          <w:sz w:val="38"/>
        </w:rPr>
        <w:t>month,</w:t>
      </w:r>
      <w:r>
        <w:rPr>
          <w:i/>
          <w:spacing w:val="-6"/>
          <w:sz w:val="38"/>
        </w:rPr>
        <w:t> </w:t>
      </w:r>
      <w:r>
        <w:rPr>
          <w:i/>
          <w:sz w:val="38"/>
        </w:rPr>
        <w:t>they</w:t>
      </w:r>
      <w:r>
        <w:rPr>
          <w:i/>
          <w:spacing w:val="-7"/>
          <w:sz w:val="38"/>
        </w:rPr>
        <w:t> </w:t>
      </w:r>
      <w:r>
        <w:rPr>
          <w:i/>
          <w:sz w:val="38"/>
        </w:rPr>
        <w:t>were</w:t>
      </w:r>
      <w:r>
        <w:rPr>
          <w:i/>
          <w:spacing w:val="2"/>
          <w:sz w:val="38"/>
        </w:rPr>
        <w:t> </w:t>
      </w:r>
      <w:r>
        <w:rPr>
          <w:i/>
          <w:sz w:val="38"/>
        </w:rPr>
        <w:t>able</w:t>
      </w:r>
      <w:r>
        <w:rPr>
          <w:i/>
          <w:spacing w:val="-6"/>
          <w:sz w:val="38"/>
        </w:rPr>
        <w:t> </w:t>
      </w:r>
      <w:r>
        <w:rPr>
          <w:i/>
          <w:sz w:val="38"/>
        </w:rPr>
        <w:t>to</w:t>
      </w:r>
      <w:r>
        <w:rPr>
          <w:i/>
          <w:spacing w:val="-7"/>
          <w:sz w:val="38"/>
        </w:rPr>
        <w:t> </w:t>
      </w:r>
      <w:r>
        <w:rPr>
          <w:i/>
          <w:sz w:val="38"/>
        </w:rPr>
        <w:t>move their joints again without any</w:t>
      </w:r>
      <w:r>
        <w:rPr>
          <w:i/>
          <w:spacing w:val="2"/>
          <w:sz w:val="38"/>
        </w:rPr>
        <w:t> </w:t>
      </w:r>
      <w:r>
        <w:rPr>
          <w:i/>
          <w:sz w:val="38"/>
        </w:rPr>
        <w:t>pain!’</w:t>
      </w:r>
    </w:p>
    <w:p>
      <w:pPr>
        <w:pStyle w:val="ListParagraph"/>
        <w:numPr>
          <w:ilvl w:val="0"/>
          <w:numId w:val="8"/>
        </w:numPr>
        <w:tabs>
          <w:tab w:pos="554" w:val="left" w:leader="none"/>
        </w:tabs>
        <w:spacing w:line="273" w:lineRule="auto" w:before="240" w:after="0"/>
        <w:ind w:left="553" w:right="117" w:hanging="360"/>
        <w:jc w:val="both"/>
        <w:rPr>
          <w:sz w:val="38"/>
        </w:rPr>
      </w:pPr>
      <w:r>
        <w:rPr>
          <w:sz w:val="38"/>
        </w:rPr>
        <w:t>Natural</w:t>
      </w:r>
      <w:r>
        <w:rPr>
          <w:spacing w:val="-10"/>
          <w:sz w:val="38"/>
        </w:rPr>
        <w:t> </w:t>
      </w:r>
      <w:r>
        <w:rPr>
          <w:sz w:val="38"/>
        </w:rPr>
        <w:t>Vitamin</w:t>
      </w:r>
      <w:r>
        <w:rPr>
          <w:spacing w:val="-6"/>
          <w:sz w:val="38"/>
        </w:rPr>
        <w:t> </w:t>
      </w:r>
      <w:r>
        <w:rPr>
          <w:sz w:val="38"/>
        </w:rPr>
        <w:t>C</w:t>
      </w:r>
      <w:r>
        <w:rPr>
          <w:spacing w:val="-9"/>
          <w:sz w:val="38"/>
        </w:rPr>
        <w:t> </w:t>
      </w:r>
      <w:r>
        <w:rPr>
          <w:sz w:val="38"/>
        </w:rPr>
        <w:t>can</w:t>
      </w:r>
      <w:r>
        <w:rPr>
          <w:spacing w:val="-7"/>
          <w:sz w:val="38"/>
        </w:rPr>
        <w:t> </w:t>
      </w:r>
      <w:r>
        <w:rPr>
          <w:sz w:val="38"/>
        </w:rPr>
        <w:t>reduce</w:t>
      </w:r>
      <w:r>
        <w:rPr>
          <w:spacing w:val="-9"/>
          <w:sz w:val="38"/>
        </w:rPr>
        <w:t> </w:t>
      </w:r>
      <w:r>
        <w:rPr>
          <w:sz w:val="38"/>
        </w:rPr>
        <w:t>arthritic</w:t>
      </w:r>
      <w:r>
        <w:rPr>
          <w:spacing w:val="-9"/>
          <w:sz w:val="38"/>
        </w:rPr>
        <w:t> </w:t>
      </w:r>
      <w:r>
        <w:rPr>
          <w:sz w:val="38"/>
        </w:rPr>
        <w:t>inflammations</w:t>
      </w:r>
      <w:r>
        <w:rPr>
          <w:spacing w:val="-7"/>
          <w:sz w:val="38"/>
        </w:rPr>
        <w:t> </w:t>
      </w:r>
      <w:r>
        <w:rPr>
          <w:sz w:val="38"/>
        </w:rPr>
        <w:t>and</w:t>
      </w:r>
      <w:r>
        <w:rPr>
          <w:spacing w:val="-8"/>
          <w:sz w:val="38"/>
        </w:rPr>
        <w:t> </w:t>
      </w:r>
      <w:r>
        <w:rPr>
          <w:sz w:val="38"/>
        </w:rPr>
        <w:t>pain</w:t>
      </w:r>
      <w:r>
        <w:rPr>
          <w:spacing w:val="-9"/>
          <w:sz w:val="38"/>
        </w:rPr>
        <w:t> </w:t>
      </w:r>
      <w:r>
        <w:rPr>
          <w:sz w:val="38"/>
        </w:rPr>
        <w:t>through</w:t>
      </w:r>
      <w:r>
        <w:rPr>
          <w:spacing w:val="-7"/>
          <w:sz w:val="38"/>
        </w:rPr>
        <w:t> </w:t>
      </w:r>
      <w:r>
        <w:rPr>
          <w:sz w:val="38"/>
        </w:rPr>
        <w:t>the synthesis of PGE 1 (prostaglandin) because it affects the regulation of the immune system!</w:t>
      </w:r>
    </w:p>
    <w:p>
      <w:pPr>
        <w:pStyle w:val="ListParagraph"/>
        <w:numPr>
          <w:ilvl w:val="0"/>
          <w:numId w:val="8"/>
        </w:numPr>
        <w:tabs>
          <w:tab w:pos="554" w:val="left" w:leader="none"/>
        </w:tabs>
        <w:spacing w:line="273" w:lineRule="auto" w:before="252" w:after="0"/>
        <w:ind w:left="553" w:right="114" w:hanging="360"/>
        <w:jc w:val="both"/>
        <w:rPr>
          <w:sz w:val="38"/>
        </w:rPr>
      </w:pPr>
      <w:r>
        <w:rPr>
          <w:sz w:val="38"/>
        </w:rPr>
        <w:t>With</w:t>
      </w:r>
      <w:r>
        <w:rPr>
          <w:spacing w:val="-19"/>
          <w:sz w:val="38"/>
        </w:rPr>
        <w:t> </w:t>
      </w:r>
      <w:r>
        <w:rPr>
          <w:sz w:val="38"/>
        </w:rPr>
        <w:t>the</w:t>
      </w:r>
      <w:r>
        <w:rPr>
          <w:spacing w:val="-18"/>
          <w:sz w:val="38"/>
        </w:rPr>
        <w:t> </w:t>
      </w:r>
      <w:r>
        <w:rPr>
          <w:sz w:val="38"/>
        </w:rPr>
        <w:t>help</w:t>
      </w:r>
      <w:r>
        <w:rPr>
          <w:spacing w:val="-19"/>
          <w:sz w:val="38"/>
        </w:rPr>
        <w:t> </w:t>
      </w:r>
      <w:r>
        <w:rPr>
          <w:sz w:val="38"/>
        </w:rPr>
        <w:t>of</w:t>
      </w:r>
      <w:r>
        <w:rPr>
          <w:spacing w:val="-21"/>
          <w:sz w:val="38"/>
        </w:rPr>
        <w:t> </w:t>
      </w:r>
      <w:r>
        <w:rPr>
          <w:sz w:val="38"/>
        </w:rPr>
        <w:t>selenium</w:t>
      </w:r>
      <w:r>
        <w:rPr>
          <w:spacing w:val="-19"/>
          <w:sz w:val="38"/>
        </w:rPr>
        <w:t> </w:t>
      </w:r>
      <w:r>
        <w:rPr>
          <w:sz w:val="38"/>
        </w:rPr>
        <w:t>(best</w:t>
      </w:r>
      <w:r>
        <w:rPr>
          <w:spacing w:val="-18"/>
          <w:sz w:val="38"/>
        </w:rPr>
        <w:t> </w:t>
      </w:r>
      <w:r>
        <w:rPr>
          <w:sz w:val="38"/>
        </w:rPr>
        <w:t>in</w:t>
      </w:r>
      <w:r>
        <w:rPr>
          <w:spacing w:val="-19"/>
          <w:sz w:val="38"/>
        </w:rPr>
        <w:t> </w:t>
      </w:r>
      <w:r>
        <w:rPr>
          <w:sz w:val="38"/>
        </w:rPr>
        <w:t>combination</w:t>
      </w:r>
      <w:r>
        <w:rPr>
          <w:spacing w:val="-18"/>
          <w:sz w:val="38"/>
        </w:rPr>
        <w:t> </w:t>
      </w:r>
      <w:r>
        <w:rPr>
          <w:sz w:val="38"/>
        </w:rPr>
        <w:t>with</w:t>
      </w:r>
      <w:r>
        <w:rPr>
          <w:spacing w:val="-18"/>
          <w:sz w:val="38"/>
        </w:rPr>
        <w:t> </w:t>
      </w:r>
      <w:r>
        <w:rPr>
          <w:sz w:val="38"/>
        </w:rPr>
        <w:t>vitamin</w:t>
      </w:r>
      <w:r>
        <w:rPr>
          <w:spacing w:val="-18"/>
          <w:sz w:val="38"/>
        </w:rPr>
        <w:t> </w:t>
      </w:r>
      <w:r>
        <w:rPr>
          <w:sz w:val="38"/>
        </w:rPr>
        <w:t>E)</w:t>
      </w:r>
      <w:r>
        <w:rPr>
          <w:spacing w:val="-19"/>
          <w:sz w:val="38"/>
        </w:rPr>
        <w:t> </w:t>
      </w:r>
      <w:r>
        <w:rPr>
          <w:sz w:val="38"/>
        </w:rPr>
        <w:t>arthritis</w:t>
      </w:r>
      <w:r>
        <w:rPr>
          <w:spacing w:val="-17"/>
          <w:sz w:val="38"/>
        </w:rPr>
        <w:t> </w:t>
      </w:r>
      <w:r>
        <w:rPr>
          <w:sz w:val="38"/>
        </w:rPr>
        <w:t>can be relieved, often even</w:t>
      </w:r>
      <w:r>
        <w:rPr>
          <w:spacing w:val="2"/>
          <w:sz w:val="38"/>
        </w:rPr>
        <w:t> </w:t>
      </w:r>
      <w:r>
        <w:rPr>
          <w:sz w:val="38"/>
        </w:rPr>
        <w:t>cured!</w:t>
      </w:r>
    </w:p>
    <w:p>
      <w:pPr>
        <w:spacing w:after="0" w:line="273" w:lineRule="auto"/>
        <w:jc w:val="both"/>
        <w:rPr>
          <w:sz w:val="38"/>
        </w:rPr>
        <w:sectPr>
          <w:pgSz w:w="14260" w:h="16840"/>
          <w:pgMar w:header="0" w:footer="402" w:top="1320" w:bottom="2280" w:left="1300" w:right="1297"/>
        </w:sectPr>
      </w:pPr>
    </w:p>
    <w:p>
      <w:pPr>
        <w:pStyle w:val="ListParagraph"/>
        <w:numPr>
          <w:ilvl w:val="0"/>
          <w:numId w:val="8"/>
        </w:numPr>
        <w:tabs>
          <w:tab w:pos="554" w:val="left" w:leader="none"/>
        </w:tabs>
        <w:spacing w:line="273" w:lineRule="auto" w:before="56" w:after="0"/>
        <w:ind w:left="553" w:right="119" w:hanging="360"/>
        <w:jc w:val="both"/>
        <w:rPr>
          <w:sz w:val="38"/>
        </w:rPr>
      </w:pPr>
      <w:r>
        <w:rPr>
          <w:sz w:val="38"/>
        </w:rPr>
        <w:t>In a test with selenium, 70 % of the animals tested recovered from</w:t>
      </w:r>
      <w:r>
        <w:rPr>
          <w:spacing w:val="-54"/>
          <w:sz w:val="38"/>
        </w:rPr>
        <w:t> </w:t>
      </w:r>
      <w:r>
        <w:rPr>
          <w:sz w:val="38"/>
        </w:rPr>
        <w:t>arthritis and 1/3 were completely</w:t>
      </w:r>
      <w:r>
        <w:rPr>
          <w:spacing w:val="-1"/>
          <w:sz w:val="38"/>
        </w:rPr>
        <w:t> </w:t>
      </w:r>
      <w:r>
        <w:rPr>
          <w:sz w:val="38"/>
        </w:rPr>
        <w:t>cured!</w:t>
      </w:r>
    </w:p>
    <w:p>
      <w:pPr>
        <w:pStyle w:val="ListParagraph"/>
        <w:numPr>
          <w:ilvl w:val="0"/>
          <w:numId w:val="8"/>
        </w:numPr>
        <w:tabs>
          <w:tab w:pos="554" w:val="left" w:leader="none"/>
        </w:tabs>
        <w:spacing w:line="276" w:lineRule="auto" w:before="247" w:after="0"/>
        <w:ind w:left="553" w:right="115" w:hanging="360"/>
        <w:jc w:val="both"/>
        <w:rPr>
          <w:sz w:val="38"/>
        </w:rPr>
      </w:pPr>
      <w:r>
        <w:rPr>
          <w:sz w:val="38"/>
        </w:rPr>
        <w:t>As the media has reported, the chairman of the British Arthritis Society, Charles Ware, completely cured himself of the most severe arthritis using selenium</w:t>
      </w:r>
      <w:r>
        <w:rPr>
          <w:spacing w:val="-1"/>
          <w:sz w:val="38"/>
        </w:rPr>
        <w:t> </w:t>
      </w:r>
      <w:r>
        <w:rPr>
          <w:sz w:val="38"/>
        </w:rPr>
        <w:t>alone!</w:t>
      </w:r>
    </w:p>
    <w:p>
      <w:pPr>
        <w:pStyle w:val="ListParagraph"/>
        <w:numPr>
          <w:ilvl w:val="0"/>
          <w:numId w:val="8"/>
        </w:numPr>
        <w:tabs>
          <w:tab w:pos="554" w:val="left" w:leader="none"/>
        </w:tabs>
        <w:spacing w:line="273" w:lineRule="auto" w:before="239" w:after="0"/>
        <w:ind w:left="553" w:right="114" w:hanging="360"/>
        <w:jc w:val="both"/>
        <w:rPr>
          <w:sz w:val="38"/>
        </w:rPr>
      </w:pPr>
      <w:r>
        <w:rPr>
          <w:sz w:val="38"/>
        </w:rPr>
        <w:t>In studies of arthritic patients taking pomegranate juice, an inhibition of metalloproteases, NFkappaB, TNF-alpha and COX-2 - and thus the inhi- bition of arthritis-specific joint inflammation could be</w:t>
      </w:r>
      <w:r>
        <w:rPr>
          <w:spacing w:val="-5"/>
          <w:sz w:val="38"/>
        </w:rPr>
        <w:t> </w:t>
      </w:r>
      <w:r>
        <w:rPr>
          <w:sz w:val="38"/>
        </w:rPr>
        <w:t>detected.</w:t>
      </w:r>
    </w:p>
    <w:p>
      <w:pPr>
        <w:pStyle w:val="ListParagraph"/>
        <w:numPr>
          <w:ilvl w:val="0"/>
          <w:numId w:val="8"/>
        </w:numPr>
        <w:tabs>
          <w:tab w:pos="649" w:val="left" w:leader="none"/>
          <w:tab w:pos="650" w:val="left" w:leader="none"/>
        </w:tabs>
        <w:spacing w:line="240" w:lineRule="auto" w:before="252" w:after="0"/>
        <w:ind w:left="649" w:right="0" w:hanging="456"/>
        <w:jc w:val="left"/>
        <w:rPr>
          <w:sz w:val="38"/>
        </w:rPr>
      </w:pPr>
      <w:r>
        <w:rPr>
          <w:sz w:val="38"/>
        </w:rPr>
        <w:t>And much else</w:t>
      </w:r>
      <w:r>
        <w:rPr>
          <w:spacing w:val="1"/>
          <w:sz w:val="38"/>
        </w:rPr>
        <w:t> </w:t>
      </w:r>
      <w:r>
        <w:rPr>
          <w:sz w:val="38"/>
        </w:rPr>
        <w:t>besides.</w:t>
      </w:r>
    </w:p>
    <w:p>
      <w:pPr>
        <w:pStyle w:val="BodyText"/>
        <w:rPr>
          <w:sz w:val="44"/>
        </w:rPr>
      </w:pPr>
    </w:p>
    <w:p>
      <w:pPr>
        <w:pStyle w:val="BodyText"/>
        <w:spacing w:before="10"/>
        <w:rPr>
          <w:sz w:val="47"/>
        </w:rPr>
      </w:pPr>
    </w:p>
    <w:p>
      <w:pPr>
        <w:pStyle w:val="Heading2"/>
        <w:ind w:left="116"/>
      </w:pPr>
      <w:r>
        <w:rPr/>
        <w:t>Anti-ageing - governments keep knowledge under wraps!</w:t>
      </w:r>
    </w:p>
    <w:p>
      <w:pPr>
        <w:pStyle w:val="BodyText"/>
        <w:spacing w:line="276" w:lineRule="auto" w:before="305"/>
        <w:ind w:left="116" w:right="115"/>
        <w:jc w:val="both"/>
      </w:pPr>
      <w:r>
        <w:rPr/>
        <w:t>As you can imagine, it is far from being in the interest of the individual gov- ernments of the industrialised countries to let successful studies from </w:t>
      </w:r>
      <w:r>
        <w:rPr>
          <w:i/>
        </w:rPr>
        <w:t>gerontol- </w:t>
      </w:r>
      <w:r>
        <w:rPr>
          <w:i/>
        </w:rPr>
        <w:t>ogy</w:t>
      </w:r>
      <w:r>
        <w:rPr/>
        <w:t>, the study of ageing, leak out to the masses in an uncontrolled manner... What would it mean if every German citizen had this knowledge and could extend their life even by just one or two years?</w:t>
      </w:r>
    </w:p>
    <w:p>
      <w:pPr>
        <w:pStyle w:val="BodyText"/>
        <w:spacing w:line="276" w:lineRule="auto" w:before="240"/>
        <w:ind w:left="116"/>
      </w:pPr>
      <w:r>
        <w:rPr/>
        <w:t>That’s right! The social system of the generational contract would collapse in less than three years, the pension funds would be empty!</w:t>
      </w:r>
    </w:p>
    <w:p>
      <w:pPr>
        <w:pStyle w:val="Heading2"/>
        <w:spacing w:line="276" w:lineRule="auto" w:before="240"/>
        <w:ind w:left="116"/>
      </w:pPr>
      <w:r>
        <w:rPr/>
        <w:t>A perfect anti-ageing cure, successful biological rejuvenation, always occurs in a twofold manner:</w:t>
      </w:r>
    </w:p>
    <w:p>
      <w:pPr>
        <w:spacing w:after="0" w:line="276" w:lineRule="auto"/>
        <w:sectPr>
          <w:pgSz w:w="14260" w:h="16840"/>
          <w:pgMar w:header="0" w:footer="402" w:top="1340" w:bottom="2280" w:left="1300" w:right="1297"/>
        </w:sectPr>
      </w:pPr>
    </w:p>
    <w:p>
      <w:pPr>
        <w:pStyle w:val="ListParagraph"/>
        <w:numPr>
          <w:ilvl w:val="1"/>
          <w:numId w:val="8"/>
        </w:numPr>
        <w:tabs>
          <w:tab w:pos="830" w:val="left" w:leader="none"/>
        </w:tabs>
        <w:spacing w:line="273" w:lineRule="auto" w:before="56" w:after="0"/>
        <w:ind w:left="829" w:right="116" w:hanging="355"/>
        <w:jc w:val="both"/>
        <w:rPr>
          <w:sz w:val="38"/>
        </w:rPr>
      </w:pPr>
      <w:r>
        <w:rPr>
          <w:sz w:val="38"/>
        </w:rPr>
        <w:t>The</w:t>
      </w:r>
      <w:r>
        <w:rPr>
          <w:spacing w:val="-11"/>
          <w:sz w:val="38"/>
        </w:rPr>
        <w:t> </w:t>
      </w:r>
      <w:r>
        <w:rPr>
          <w:sz w:val="38"/>
        </w:rPr>
        <w:t>supply</w:t>
      </w:r>
      <w:r>
        <w:rPr>
          <w:spacing w:val="-11"/>
          <w:sz w:val="38"/>
        </w:rPr>
        <w:t> </w:t>
      </w:r>
      <w:r>
        <w:rPr>
          <w:sz w:val="38"/>
        </w:rPr>
        <w:t>of</w:t>
      </w:r>
      <w:r>
        <w:rPr>
          <w:spacing w:val="-13"/>
          <w:sz w:val="38"/>
        </w:rPr>
        <w:t> </w:t>
      </w:r>
      <w:r>
        <w:rPr>
          <w:sz w:val="38"/>
        </w:rPr>
        <w:t>the</w:t>
      </w:r>
      <w:r>
        <w:rPr>
          <w:spacing w:val="-10"/>
          <w:sz w:val="38"/>
        </w:rPr>
        <w:t> </w:t>
      </w:r>
      <w:r>
        <w:rPr>
          <w:sz w:val="38"/>
        </w:rPr>
        <w:t>natural</w:t>
      </w:r>
      <w:r>
        <w:rPr>
          <w:spacing w:val="-11"/>
          <w:sz w:val="38"/>
        </w:rPr>
        <w:t> </w:t>
      </w:r>
      <w:r>
        <w:rPr>
          <w:sz w:val="38"/>
        </w:rPr>
        <w:t>enzyme</w:t>
      </w:r>
      <w:r>
        <w:rPr>
          <w:spacing w:val="-9"/>
          <w:sz w:val="38"/>
        </w:rPr>
        <w:t> </w:t>
      </w:r>
      <w:r>
        <w:rPr>
          <w:sz w:val="38"/>
        </w:rPr>
        <w:t>‘telomerase’,</w:t>
      </w:r>
      <w:r>
        <w:rPr>
          <w:spacing w:val="-9"/>
          <w:sz w:val="38"/>
        </w:rPr>
        <w:t> </w:t>
      </w:r>
      <w:r>
        <w:rPr>
          <w:sz w:val="38"/>
        </w:rPr>
        <w:t>which</w:t>
      </w:r>
      <w:r>
        <w:rPr>
          <w:spacing w:val="-10"/>
          <w:sz w:val="38"/>
        </w:rPr>
        <w:t> </w:t>
      </w:r>
      <w:r>
        <w:rPr>
          <w:sz w:val="38"/>
        </w:rPr>
        <w:t>stops</w:t>
      </w:r>
      <w:r>
        <w:rPr>
          <w:spacing w:val="-10"/>
          <w:sz w:val="38"/>
        </w:rPr>
        <w:t> </w:t>
      </w:r>
      <w:r>
        <w:rPr>
          <w:sz w:val="38"/>
        </w:rPr>
        <w:t>the</w:t>
      </w:r>
      <w:r>
        <w:rPr>
          <w:spacing w:val="-12"/>
          <w:sz w:val="38"/>
        </w:rPr>
        <w:t> </w:t>
      </w:r>
      <w:r>
        <w:rPr>
          <w:sz w:val="38"/>
        </w:rPr>
        <w:t>telomeres on</w:t>
      </w:r>
      <w:r>
        <w:rPr>
          <w:spacing w:val="-16"/>
          <w:sz w:val="38"/>
        </w:rPr>
        <w:t> </w:t>
      </w:r>
      <w:r>
        <w:rPr>
          <w:sz w:val="38"/>
        </w:rPr>
        <w:t>the</w:t>
      </w:r>
      <w:r>
        <w:rPr>
          <w:spacing w:val="-18"/>
          <w:sz w:val="38"/>
        </w:rPr>
        <w:t> </w:t>
      </w:r>
      <w:r>
        <w:rPr>
          <w:sz w:val="38"/>
        </w:rPr>
        <w:t>chromosomes</w:t>
      </w:r>
      <w:r>
        <w:rPr>
          <w:spacing w:val="-15"/>
          <w:sz w:val="38"/>
        </w:rPr>
        <w:t> </w:t>
      </w:r>
      <w:r>
        <w:rPr>
          <w:sz w:val="38"/>
        </w:rPr>
        <w:t>from</w:t>
      </w:r>
      <w:r>
        <w:rPr>
          <w:spacing w:val="-19"/>
          <w:sz w:val="38"/>
        </w:rPr>
        <w:t> </w:t>
      </w:r>
      <w:r>
        <w:rPr>
          <w:sz w:val="38"/>
        </w:rPr>
        <w:t>shortening,</w:t>
      </w:r>
      <w:r>
        <w:rPr>
          <w:spacing w:val="-15"/>
          <w:sz w:val="38"/>
        </w:rPr>
        <w:t> </w:t>
      </w:r>
      <w:r>
        <w:rPr>
          <w:sz w:val="38"/>
        </w:rPr>
        <w:t>so</w:t>
      </w:r>
      <w:r>
        <w:rPr>
          <w:spacing w:val="-16"/>
          <w:sz w:val="38"/>
        </w:rPr>
        <w:t> </w:t>
      </w:r>
      <w:r>
        <w:rPr>
          <w:sz w:val="38"/>
        </w:rPr>
        <w:t>that</w:t>
      </w:r>
      <w:r>
        <w:rPr>
          <w:spacing w:val="-17"/>
          <w:sz w:val="38"/>
        </w:rPr>
        <w:t> </w:t>
      </w:r>
      <w:r>
        <w:rPr>
          <w:sz w:val="38"/>
        </w:rPr>
        <w:t>they</w:t>
      </w:r>
      <w:r>
        <w:rPr>
          <w:spacing w:val="-16"/>
          <w:sz w:val="38"/>
        </w:rPr>
        <w:t> </w:t>
      </w:r>
      <w:r>
        <w:rPr>
          <w:sz w:val="38"/>
        </w:rPr>
        <w:t>can</w:t>
      </w:r>
      <w:r>
        <w:rPr>
          <w:spacing w:val="-15"/>
          <w:sz w:val="38"/>
        </w:rPr>
        <w:t> </w:t>
      </w:r>
      <w:r>
        <w:rPr>
          <w:sz w:val="38"/>
        </w:rPr>
        <w:t>continue</w:t>
      </w:r>
      <w:r>
        <w:rPr>
          <w:spacing w:val="-19"/>
          <w:sz w:val="38"/>
        </w:rPr>
        <w:t> </w:t>
      </w:r>
      <w:r>
        <w:rPr>
          <w:sz w:val="38"/>
        </w:rPr>
        <w:t>to</w:t>
      </w:r>
      <w:r>
        <w:rPr>
          <w:spacing w:val="-16"/>
          <w:sz w:val="38"/>
        </w:rPr>
        <w:t> </w:t>
      </w:r>
      <w:r>
        <w:rPr>
          <w:sz w:val="38"/>
        </w:rPr>
        <w:t>divide unhindered, inhibits cell</w:t>
      </w:r>
      <w:r>
        <w:rPr>
          <w:spacing w:val="1"/>
          <w:sz w:val="38"/>
        </w:rPr>
        <w:t> </w:t>
      </w:r>
      <w:r>
        <w:rPr>
          <w:sz w:val="38"/>
        </w:rPr>
        <w:t>ageing;</w:t>
      </w:r>
    </w:p>
    <w:p>
      <w:pPr>
        <w:pStyle w:val="BodyText"/>
        <w:spacing w:before="8"/>
        <w:rPr>
          <w:sz w:val="44"/>
        </w:rPr>
      </w:pPr>
    </w:p>
    <w:p>
      <w:pPr>
        <w:pStyle w:val="ListParagraph"/>
        <w:numPr>
          <w:ilvl w:val="1"/>
          <w:numId w:val="8"/>
        </w:numPr>
        <w:tabs>
          <w:tab w:pos="830" w:val="left" w:leader="none"/>
        </w:tabs>
        <w:spacing w:line="276" w:lineRule="auto" w:before="0" w:after="0"/>
        <w:ind w:left="829" w:right="120" w:hanging="355"/>
        <w:jc w:val="both"/>
        <w:rPr>
          <w:sz w:val="38"/>
        </w:rPr>
      </w:pPr>
      <w:r>
        <w:rPr>
          <w:sz w:val="38"/>
        </w:rPr>
        <w:t>at the same time, the damage that has already occurred in the past due to the destructive mechanisms of cell oxidation, carbonylation, glycation, and cross-linking of collagens, which have already occurred because</w:t>
      </w:r>
      <w:r>
        <w:rPr>
          <w:spacing w:val="-45"/>
          <w:sz w:val="38"/>
        </w:rPr>
        <w:t> </w:t>
      </w:r>
      <w:r>
        <w:rPr>
          <w:sz w:val="38"/>
        </w:rPr>
        <w:t>telo- meres have not been protected, is</w:t>
      </w:r>
      <w:r>
        <w:rPr>
          <w:spacing w:val="-4"/>
          <w:sz w:val="38"/>
        </w:rPr>
        <w:t> </w:t>
      </w:r>
      <w:r>
        <w:rPr>
          <w:sz w:val="38"/>
        </w:rPr>
        <w:t>remedied.</w:t>
      </w:r>
    </w:p>
    <w:p>
      <w:pPr>
        <w:pStyle w:val="BodyText"/>
        <w:spacing w:line="276" w:lineRule="auto" w:before="239"/>
        <w:ind w:left="116"/>
      </w:pPr>
      <w:r>
        <w:rPr/>
        <w:t>Through this two-pronged approach, each being is allowed to rejuvenate bio- logically and further ageing is prevented or greatly reduced!</w:t>
      </w:r>
    </w:p>
    <w:p>
      <w:pPr>
        <w:pStyle w:val="Heading2"/>
        <w:spacing w:before="241"/>
        <w:ind w:left="116"/>
      </w:pPr>
      <w:r>
        <w:rPr/>
        <w:t>In your Codex Humanus, you will find details of how this works!</w:t>
      </w:r>
    </w:p>
    <w:p>
      <w:pPr>
        <w:pStyle w:val="BodyText"/>
        <w:spacing w:line="276" w:lineRule="auto" w:before="302"/>
        <w:ind w:left="116"/>
      </w:pPr>
      <w:r>
        <w:rPr/>
        <w:t>We have the suppressed studies on the natural resources that will make this dual rejuvenation possible for you and greatly delay your ageing!</w:t>
      </w:r>
    </w:p>
    <w:p>
      <w:pPr>
        <w:pStyle w:val="BodyText"/>
        <w:rPr>
          <w:sz w:val="42"/>
        </w:rPr>
      </w:pPr>
    </w:p>
    <w:p>
      <w:pPr>
        <w:pStyle w:val="BodyText"/>
        <w:spacing w:before="5"/>
        <w:rPr>
          <w:sz w:val="44"/>
        </w:rPr>
      </w:pPr>
    </w:p>
    <w:p>
      <w:pPr>
        <w:pStyle w:val="Heading2"/>
        <w:ind w:left="116"/>
      </w:pPr>
      <w:r>
        <w:rPr/>
        <w:t>You will be able to read the following in the Codex Humanus:</w:t>
      </w:r>
    </w:p>
    <w:p>
      <w:pPr>
        <w:pStyle w:val="ListParagraph"/>
        <w:numPr>
          <w:ilvl w:val="1"/>
          <w:numId w:val="8"/>
        </w:numPr>
        <w:tabs>
          <w:tab w:pos="830" w:val="left" w:leader="none"/>
        </w:tabs>
        <w:spacing w:line="276" w:lineRule="auto" w:before="306" w:after="0"/>
        <w:ind w:left="829" w:right="116" w:hanging="355"/>
        <w:jc w:val="both"/>
        <w:rPr>
          <w:sz w:val="38"/>
        </w:rPr>
      </w:pPr>
      <w:r>
        <w:rPr>
          <w:sz w:val="38"/>
        </w:rPr>
        <w:t>Studies at the National Cancer Research Centre in Spain, led by Maria Blasco, have shown that TA-65, a molecule derived from the Astragalus plant, activates the telomerase enzyme, re-extending critically-short telo- meres, heals cells in different organ systems, and prolongs the human lifespan!</w:t>
      </w:r>
    </w:p>
    <w:p>
      <w:pPr>
        <w:spacing w:after="0" w:line="276" w:lineRule="auto"/>
        <w:jc w:val="both"/>
        <w:rPr>
          <w:sz w:val="38"/>
        </w:rPr>
        <w:sectPr>
          <w:pgSz w:w="14260" w:h="16840"/>
          <w:pgMar w:header="0" w:footer="402" w:top="1340" w:bottom="2280" w:left="1300" w:right="1297"/>
        </w:sectPr>
      </w:pPr>
    </w:p>
    <w:p>
      <w:pPr>
        <w:pStyle w:val="ListParagraph"/>
        <w:numPr>
          <w:ilvl w:val="1"/>
          <w:numId w:val="8"/>
        </w:numPr>
        <w:tabs>
          <w:tab w:pos="830" w:val="left" w:leader="none"/>
        </w:tabs>
        <w:spacing w:line="273" w:lineRule="auto" w:before="56" w:after="0"/>
        <w:ind w:left="829" w:right="118" w:hanging="355"/>
        <w:jc w:val="both"/>
        <w:rPr>
          <w:sz w:val="38"/>
        </w:rPr>
      </w:pPr>
      <w:r>
        <w:rPr>
          <w:sz w:val="38"/>
        </w:rPr>
        <w:t>The increase in telomerase activity in normal human cells thanks to Astragalus membranaceus could lead to an increase in</w:t>
      </w:r>
      <w:r>
        <w:rPr>
          <w:spacing w:val="5"/>
          <w:sz w:val="38"/>
        </w:rPr>
        <w:t> </w:t>
      </w:r>
      <w:r>
        <w:rPr>
          <w:sz w:val="38"/>
        </w:rPr>
        <w:t>lifespan.</w:t>
      </w:r>
    </w:p>
    <w:p>
      <w:pPr>
        <w:pStyle w:val="ListParagraph"/>
        <w:numPr>
          <w:ilvl w:val="1"/>
          <w:numId w:val="8"/>
        </w:numPr>
        <w:tabs>
          <w:tab w:pos="830" w:val="left" w:leader="none"/>
        </w:tabs>
        <w:spacing w:line="276" w:lineRule="auto" w:before="247" w:after="0"/>
        <w:ind w:left="829" w:right="113" w:hanging="355"/>
        <w:jc w:val="both"/>
        <w:rPr>
          <w:sz w:val="38"/>
        </w:rPr>
      </w:pPr>
      <w:r>
        <w:rPr>
          <w:sz w:val="38"/>
        </w:rPr>
        <w:t>Colostrum is the only known natural substance that has the enzyme te- lomerase,</w:t>
      </w:r>
      <w:r>
        <w:rPr>
          <w:spacing w:val="-21"/>
          <w:sz w:val="38"/>
        </w:rPr>
        <w:t> </w:t>
      </w:r>
      <w:r>
        <w:rPr>
          <w:sz w:val="38"/>
        </w:rPr>
        <w:t>which</w:t>
      </w:r>
      <w:r>
        <w:rPr>
          <w:spacing w:val="-23"/>
          <w:sz w:val="38"/>
        </w:rPr>
        <w:t> </w:t>
      </w:r>
      <w:r>
        <w:rPr>
          <w:sz w:val="38"/>
        </w:rPr>
        <w:t>has</w:t>
      </w:r>
      <w:r>
        <w:rPr>
          <w:spacing w:val="-20"/>
          <w:sz w:val="38"/>
        </w:rPr>
        <w:t> </w:t>
      </w:r>
      <w:r>
        <w:rPr>
          <w:sz w:val="38"/>
        </w:rPr>
        <w:t>recently</w:t>
      </w:r>
      <w:r>
        <w:rPr>
          <w:spacing w:val="-24"/>
          <w:sz w:val="38"/>
        </w:rPr>
        <w:t> </w:t>
      </w:r>
      <w:r>
        <w:rPr>
          <w:sz w:val="38"/>
        </w:rPr>
        <w:t>proven</w:t>
      </w:r>
      <w:r>
        <w:rPr>
          <w:spacing w:val="-21"/>
          <w:sz w:val="38"/>
        </w:rPr>
        <w:t> </w:t>
      </w:r>
      <w:r>
        <w:rPr>
          <w:sz w:val="38"/>
        </w:rPr>
        <w:t>that</w:t>
      </w:r>
      <w:r>
        <w:rPr>
          <w:spacing w:val="-21"/>
          <w:sz w:val="38"/>
        </w:rPr>
        <w:t> </w:t>
      </w:r>
      <w:r>
        <w:rPr>
          <w:sz w:val="38"/>
        </w:rPr>
        <w:t>it</w:t>
      </w:r>
      <w:r>
        <w:rPr>
          <w:spacing w:val="-22"/>
          <w:sz w:val="38"/>
        </w:rPr>
        <w:t> </w:t>
      </w:r>
      <w:r>
        <w:rPr>
          <w:sz w:val="38"/>
        </w:rPr>
        <w:t>can</w:t>
      </w:r>
      <w:r>
        <w:rPr>
          <w:spacing w:val="-22"/>
          <w:sz w:val="38"/>
        </w:rPr>
        <w:t> </w:t>
      </w:r>
      <w:r>
        <w:rPr>
          <w:sz w:val="38"/>
        </w:rPr>
        <w:t>prolong</w:t>
      </w:r>
      <w:r>
        <w:rPr>
          <w:spacing w:val="-21"/>
          <w:sz w:val="38"/>
        </w:rPr>
        <w:t> </w:t>
      </w:r>
      <w:r>
        <w:rPr>
          <w:sz w:val="38"/>
        </w:rPr>
        <w:t>life</w:t>
      </w:r>
      <w:r>
        <w:rPr>
          <w:spacing w:val="-22"/>
          <w:sz w:val="38"/>
        </w:rPr>
        <w:t> </w:t>
      </w:r>
      <w:r>
        <w:rPr>
          <w:sz w:val="38"/>
        </w:rPr>
        <w:t>(this</w:t>
      </w:r>
      <w:r>
        <w:rPr>
          <w:spacing w:val="-21"/>
          <w:sz w:val="38"/>
        </w:rPr>
        <w:t> </w:t>
      </w:r>
      <w:r>
        <w:rPr>
          <w:sz w:val="38"/>
        </w:rPr>
        <w:t>discovery was rewarded with the Nobel</w:t>
      </w:r>
      <w:r>
        <w:rPr>
          <w:spacing w:val="2"/>
          <w:sz w:val="38"/>
        </w:rPr>
        <w:t> </w:t>
      </w:r>
      <w:r>
        <w:rPr>
          <w:sz w:val="38"/>
        </w:rPr>
        <w:t>Prize!).</w:t>
      </w:r>
    </w:p>
    <w:p>
      <w:pPr>
        <w:pStyle w:val="ListParagraph"/>
        <w:numPr>
          <w:ilvl w:val="1"/>
          <w:numId w:val="8"/>
        </w:numPr>
        <w:tabs>
          <w:tab w:pos="837" w:val="left" w:leader="none"/>
        </w:tabs>
        <w:spacing w:line="273" w:lineRule="auto" w:before="239" w:after="0"/>
        <w:ind w:left="836" w:right="113" w:hanging="360"/>
        <w:jc w:val="both"/>
        <w:rPr>
          <w:sz w:val="25"/>
        </w:rPr>
      </w:pPr>
      <w:r>
        <w:rPr>
          <w:sz w:val="38"/>
        </w:rPr>
        <w:t>‘DHEA prolongs life and increases the quality of life over the extra years’.</w:t>
      </w:r>
      <w:r>
        <w:rPr>
          <w:position w:val="9"/>
          <w:sz w:val="25"/>
        </w:rPr>
        <w:t>10</w:t>
      </w:r>
    </w:p>
    <w:p>
      <w:pPr>
        <w:pStyle w:val="ListParagraph"/>
        <w:numPr>
          <w:ilvl w:val="1"/>
          <w:numId w:val="8"/>
        </w:numPr>
        <w:tabs>
          <w:tab w:pos="830" w:val="left" w:leader="none"/>
        </w:tabs>
        <w:spacing w:line="273" w:lineRule="auto" w:before="247" w:after="0"/>
        <w:ind w:left="829" w:right="113" w:hanging="355"/>
        <w:jc w:val="both"/>
        <w:rPr>
          <w:sz w:val="38"/>
        </w:rPr>
      </w:pPr>
      <w:r>
        <w:rPr>
          <w:sz w:val="38"/>
        </w:rPr>
        <w:t>What is commonly referred to as ‘age spots‘ is nothing but ‘glycation’, a tissue-destroying process that results from the reaction of blood sugar to body</w:t>
      </w:r>
      <w:r>
        <w:rPr>
          <w:spacing w:val="-1"/>
          <w:sz w:val="38"/>
        </w:rPr>
        <w:t> </w:t>
      </w:r>
      <w:r>
        <w:rPr>
          <w:sz w:val="38"/>
        </w:rPr>
        <w:t>proteins.</w:t>
      </w:r>
    </w:p>
    <w:p>
      <w:pPr>
        <w:pStyle w:val="ListParagraph"/>
        <w:numPr>
          <w:ilvl w:val="1"/>
          <w:numId w:val="8"/>
        </w:numPr>
        <w:tabs>
          <w:tab w:pos="830" w:val="left" w:leader="none"/>
        </w:tabs>
        <w:spacing w:line="273" w:lineRule="auto" w:before="252" w:after="0"/>
        <w:ind w:left="829" w:right="120" w:hanging="355"/>
        <w:jc w:val="both"/>
        <w:rPr>
          <w:sz w:val="38"/>
        </w:rPr>
      </w:pPr>
      <w:r>
        <w:rPr>
          <w:sz w:val="38"/>
        </w:rPr>
        <w:t>While age spots on the skin damage appearance, age spots also occur in the</w:t>
      </w:r>
      <w:r>
        <w:rPr>
          <w:spacing w:val="-7"/>
          <w:sz w:val="38"/>
        </w:rPr>
        <w:t> </w:t>
      </w:r>
      <w:r>
        <w:rPr>
          <w:sz w:val="38"/>
        </w:rPr>
        <w:t>heart</w:t>
      </w:r>
      <w:r>
        <w:rPr>
          <w:spacing w:val="-7"/>
          <w:sz w:val="38"/>
        </w:rPr>
        <w:t> </w:t>
      </w:r>
      <w:r>
        <w:rPr>
          <w:sz w:val="38"/>
        </w:rPr>
        <w:t>and</w:t>
      </w:r>
      <w:r>
        <w:rPr>
          <w:spacing w:val="-7"/>
          <w:sz w:val="38"/>
        </w:rPr>
        <w:t> </w:t>
      </w:r>
      <w:r>
        <w:rPr>
          <w:sz w:val="38"/>
        </w:rPr>
        <w:t>brain.</w:t>
      </w:r>
      <w:r>
        <w:rPr>
          <w:spacing w:val="-6"/>
          <w:sz w:val="38"/>
        </w:rPr>
        <w:t> </w:t>
      </w:r>
      <w:r>
        <w:rPr>
          <w:sz w:val="38"/>
        </w:rPr>
        <w:t>DMAE</w:t>
      </w:r>
      <w:r>
        <w:rPr>
          <w:spacing w:val="-8"/>
          <w:sz w:val="38"/>
        </w:rPr>
        <w:t> </w:t>
      </w:r>
      <w:r>
        <w:rPr>
          <w:sz w:val="38"/>
        </w:rPr>
        <w:t>can</w:t>
      </w:r>
      <w:r>
        <w:rPr>
          <w:spacing w:val="-8"/>
          <w:sz w:val="38"/>
        </w:rPr>
        <w:t> </w:t>
      </w:r>
      <w:r>
        <w:rPr>
          <w:sz w:val="38"/>
        </w:rPr>
        <w:t>suppress</w:t>
      </w:r>
      <w:r>
        <w:rPr>
          <w:spacing w:val="-6"/>
          <w:sz w:val="38"/>
        </w:rPr>
        <w:t> </w:t>
      </w:r>
      <w:r>
        <w:rPr>
          <w:sz w:val="38"/>
        </w:rPr>
        <w:t>these</w:t>
      </w:r>
      <w:r>
        <w:rPr>
          <w:spacing w:val="-8"/>
          <w:sz w:val="38"/>
        </w:rPr>
        <w:t> </w:t>
      </w:r>
      <w:r>
        <w:rPr>
          <w:sz w:val="38"/>
        </w:rPr>
        <w:t>mechanisms,</w:t>
      </w:r>
      <w:r>
        <w:rPr>
          <w:spacing w:val="-6"/>
          <w:sz w:val="38"/>
        </w:rPr>
        <w:t> </w:t>
      </w:r>
      <w:r>
        <w:rPr>
          <w:sz w:val="38"/>
        </w:rPr>
        <w:t>in</w:t>
      </w:r>
      <w:r>
        <w:rPr>
          <w:spacing w:val="-9"/>
          <w:sz w:val="38"/>
        </w:rPr>
        <w:t> </w:t>
      </w:r>
      <w:r>
        <w:rPr>
          <w:sz w:val="38"/>
        </w:rPr>
        <w:t>our</w:t>
      </w:r>
      <w:r>
        <w:rPr>
          <w:spacing w:val="-7"/>
          <w:sz w:val="38"/>
        </w:rPr>
        <w:t> </w:t>
      </w:r>
      <w:r>
        <w:rPr>
          <w:sz w:val="38"/>
        </w:rPr>
        <w:t>inter- nal organs, in the brain (preventing senile dementia!) and on the</w:t>
      </w:r>
      <w:r>
        <w:rPr>
          <w:spacing w:val="-20"/>
          <w:sz w:val="38"/>
        </w:rPr>
        <w:t> </w:t>
      </w:r>
      <w:r>
        <w:rPr>
          <w:sz w:val="38"/>
        </w:rPr>
        <w:t>skin!</w:t>
      </w:r>
    </w:p>
    <w:p>
      <w:pPr>
        <w:pStyle w:val="ListParagraph"/>
        <w:numPr>
          <w:ilvl w:val="1"/>
          <w:numId w:val="8"/>
        </w:numPr>
        <w:tabs>
          <w:tab w:pos="836" w:val="left" w:leader="none"/>
          <w:tab w:pos="837" w:val="left" w:leader="none"/>
        </w:tabs>
        <w:spacing w:line="240" w:lineRule="auto" w:before="252" w:after="0"/>
        <w:ind w:left="836" w:right="0" w:hanging="360"/>
        <w:jc w:val="left"/>
        <w:rPr>
          <w:sz w:val="38"/>
        </w:rPr>
      </w:pPr>
      <w:r>
        <w:rPr>
          <w:sz w:val="38"/>
        </w:rPr>
        <w:t>L-carnosine protects against all signs of ageing.</w:t>
      </w:r>
    </w:p>
    <w:p>
      <w:pPr>
        <w:pStyle w:val="BodyText"/>
        <w:spacing w:before="3"/>
        <w:rPr>
          <w:sz w:val="49"/>
        </w:rPr>
      </w:pPr>
    </w:p>
    <w:p>
      <w:pPr>
        <w:pStyle w:val="BodyText"/>
        <w:spacing w:line="276" w:lineRule="auto"/>
        <w:ind w:left="116" w:right="119"/>
        <w:jc w:val="both"/>
      </w:pPr>
      <w:r>
        <w:rPr>
          <w:b/>
        </w:rPr>
        <w:t>Antioxidation: </w:t>
      </w:r>
      <w:r>
        <w:rPr/>
        <w:t>As a highly efficient antioxidant, L-carnosine repels even the most stubborn, destructive radicals, which other antioxidants cannot, such as hydroxyl, peroxyl, superoxide, and singlet oxygen.</w:t>
      </w:r>
    </w:p>
    <w:p>
      <w:pPr>
        <w:pStyle w:val="BodyText"/>
        <w:spacing w:before="9"/>
        <w:rPr>
          <w:sz w:val="14"/>
        </w:rPr>
      </w:pPr>
      <w:r>
        <w:rPr/>
        <w:pict>
          <v:line style="position:absolute;mso-position-horizontal-relative:page;mso-position-vertical-relative:paragraph;z-index:-880;mso-wrap-distance-left:0;mso-wrap-distance-right:0" from="70.823997pt,10.691435pt" to="214.843997pt,10.691435pt" stroked="true" strokeweight=".72003pt" strokecolor="#000000">
            <v:stroke dashstyle="solid"/>
            <w10:wrap type="topAndBottom"/>
          </v:line>
        </w:pict>
      </w:r>
    </w:p>
    <w:p>
      <w:pPr>
        <w:pStyle w:val="BodyText"/>
        <w:spacing w:before="7"/>
        <w:rPr>
          <w:sz w:val="18"/>
        </w:rPr>
      </w:pPr>
    </w:p>
    <w:p>
      <w:pPr>
        <w:spacing w:before="99"/>
        <w:ind w:left="116" w:right="0" w:firstLine="0"/>
        <w:jc w:val="left"/>
        <w:rPr>
          <w:sz w:val="20"/>
        </w:rPr>
      </w:pPr>
      <w:r>
        <w:rPr>
          <w:position w:val="5"/>
          <w:sz w:val="13"/>
        </w:rPr>
        <w:t>10 </w:t>
      </w:r>
      <w:r>
        <w:rPr>
          <w:sz w:val="20"/>
        </w:rPr>
        <w:t>Dr. Arthur Schwartz (Temple University, Philadelphia USA)</w:t>
      </w:r>
    </w:p>
    <w:p>
      <w:pPr>
        <w:spacing w:after="0"/>
        <w:jc w:val="left"/>
        <w:rPr>
          <w:sz w:val="20"/>
        </w:rPr>
        <w:sectPr>
          <w:pgSz w:w="14260" w:h="16840"/>
          <w:pgMar w:header="0" w:footer="402" w:top="1340" w:bottom="2280" w:left="1300" w:right="1297"/>
        </w:sectPr>
      </w:pPr>
    </w:p>
    <w:p>
      <w:pPr>
        <w:pStyle w:val="BodyText"/>
        <w:spacing w:before="4"/>
        <w:rPr>
          <w:sz w:val="18"/>
        </w:rPr>
      </w:pPr>
    </w:p>
    <w:p>
      <w:pPr>
        <w:pStyle w:val="BodyText"/>
        <w:spacing w:line="276" w:lineRule="auto" w:before="100"/>
        <w:ind w:left="116" w:right="114"/>
        <w:jc w:val="both"/>
      </w:pPr>
      <w:r>
        <w:rPr>
          <w:b/>
        </w:rPr>
        <w:t>Anti-carbonylation:</w:t>
      </w:r>
      <w:r>
        <w:rPr>
          <w:b/>
          <w:spacing w:val="-25"/>
        </w:rPr>
        <w:t> </w:t>
      </w:r>
      <w:r>
        <w:rPr/>
        <w:t>‘Carbonylation’</w:t>
      </w:r>
      <w:r>
        <w:rPr>
          <w:spacing w:val="-24"/>
        </w:rPr>
        <w:t> </w:t>
      </w:r>
      <w:r>
        <w:rPr/>
        <w:t>is</w:t>
      </w:r>
      <w:r>
        <w:rPr>
          <w:spacing w:val="-25"/>
        </w:rPr>
        <w:t> </w:t>
      </w:r>
      <w:r>
        <w:rPr/>
        <w:t>an</w:t>
      </w:r>
      <w:r>
        <w:rPr>
          <w:spacing w:val="-24"/>
        </w:rPr>
        <w:t> </w:t>
      </w:r>
      <w:r>
        <w:rPr/>
        <w:t>age-dependent</w:t>
      </w:r>
      <w:r>
        <w:rPr>
          <w:spacing w:val="-25"/>
        </w:rPr>
        <w:t> </w:t>
      </w:r>
      <w:r>
        <w:rPr/>
        <w:t>process</w:t>
      </w:r>
      <w:r>
        <w:rPr>
          <w:spacing w:val="-25"/>
        </w:rPr>
        <w:t> </w:t>
      </w:r>
      <w:r>
        <w:rPr/>
        <w:t>in</w:t>
      </w:r>
      <w:r>
        <w:rPr>
          <w:spacing w:val="-24"/>
        </w:rPr>
        <w:t> </w:t>
      </w:r>
      <w:r>
        <w:rPr/>
        <w:t>which</w:t>
      </w:r>
      <w:r>
        <w:rPr>
          <w:spacing w:val="-23"/>
        </w:rPr>
        <w:t> </w:t>
      </w:r>
      <w:r>
        <w:rPr/>
        <w:t>the skin matrix is changed due to constant protein damage. L-carnosine is</w:t>
      </w:r>
      <w:r>
        <w:rPr>
          <w:spacing w:val="-37"/>
        </w:rPr>
        <w:t> </w:t>
      </w:r>
      <w:r>
        <w:rPr/>
        <w:t>consid- ered the most efficient anti-carbonylation agent discovered to</w:t>
      </w:r>
      <w:r>
        <w:rPr>
          <w:spacing w:val="-7"/>
        </w:rPr>
        <w:t> </w:t>
      </w:r>
      <w:r>
        <w:rPr/>
        <w:t>date!</w:t>
      </w:r>
    </w:p>
    <w:p>
      <w:pPr>
        <w:pStyle w:val="BodyText"/>
        <w:rPr>
          <w:sz w:val="42"/>
        </w:rPr>
      </w:pPr>
    </w:p>
    <w:p>
      <w:pPr>
        <w:pStyle w:val="BodyText"/>
        <w:spacing w:before="3"/>
        <w:rPr>
          <w:sz w:val="45"/>
        </w:rPr>
      </w:pPr>
    </w:p>
    <w:p>
      <w:pPr>
        <w:pStyle w:val="BodyText"/>
        <w:spacing w:line="276" w:lineRule="auto" w:before="1"/>
        <w:ind w:left="116" w:right="113"/>
        <w:jc w:val="both"/>
      </w:pPr>
      <w:r>
        <w:rPr>
          <w:b/>
        </w:rPr>
        <w:t>Protection against cross-linking: </w:t>
      </w:r>
      <w:r>
        <w:rPr/>
        <w:t>Connective tissue weakness, loss of elas- ticity</w:t>
      </w:r>
      <w:r>
        <w:rPr>
          <w:spacing w:val="-7"/>
        </w:rPr>
        <w:t> </w:t>
      </w:r>
      <w:r>
        <w:rPr/>
        <w:t>and</w:t>
      </w:r>
      <w:r>
        <w:rPr>
          <w:spacing w:val="-7"/>
        </w:rPr>
        <w:t> </w:t>
      </w:r>
      <w:r>
        <w:rPr/>
        <w:t>wrinkles</w:t>
      </w:r>
      <w:r>
        <w:rPr>
          <w:spacing w:val="-5"/>
        </w:rPr>
        <w:t> </w:t>
      </w:r>
      <w:r>
        <w:rPr/>
        <w:t>are</w:t>
      </w:r>
      <w:r>
        <w:rPr>
          <w:spacing w:val="-7"/>
        </w:rPr>
        <w:t> </w:t>
      </w:r>
      <w:r>
        <w:rPr/>
        <w:t>caused</w:t>
      </w:r>
      <w:r>
        <w:rPr>
          <w:spacing w:val="-6"/>
        </w:rPr>
        <w:t> </w:t>
      </w:r>
      <w:r>
        <w:rPr/>
        <w:t>by</w:t>
      </w:r>
      <w:r>
        <w:rPr>
          <w:spacing w:val="-9"/>
        </w:rPr>
        <w:t> </w:t>
      </w:r>
      <w:r>
        <w:rPr/>
        <w:t>the</w:t>
      </w:r>
      <w:r>
        <w:rPr>
          <w:spacing w:val="-6"/>
        </w:rPr>
        <w:t> </w:t>
      </w:r>
      <w:r>
        <w:rPr/>
        <w:t>cross-linking</w:t>
      </w:r>
      <w:r>
        <w:rPr>
          <w:spacing w:val="-5"/>
        </w:rPr>
        <w:t> </w:t>
      </w:r>
      <w:r>
        <w:rPr/>
        <w:t>properties</w:t>
      </w:r>
      <w:r>
        <w:rPr>
          <w:spacing w:val="-9"/>
        </w:rPr>
        <w:t> </w:t>
      </w:r>
      <w:r>
        <w:rPr/>
        <w:t>of</w:t>
      </w:r>
      <w:r>
        <w:rPr>
          <w:spacing w:val="-6"/>
        </w:rPr>
        <w:t> </w:t>
      </w:r>
      <w:r>
        <w:rPr/>
        <w:t>ageing</w:t>
      </w:r>
      <w:r>
        <w:rPr>
          <w:spacing w:val="-6"/>
        </w:rPr>
        <w:t> </w:t>
      </w:r>
      <w:r>
        <w:rPr/>
        <w:t>skin.</w:t>
      </w:r>
      <w:r>
        <w:rPr>
          <w:spacing w:val="-4"/>
        </w:rPr>
        <w:t> </w:t>
      </w:r>
      <w:r>
        <w:rPr/>
        <w:t>L- carnosine has the ability to protect the skin from cross-linking and therefore from</w:t>
      </w:r>
      <w:r>
        <w:rPr>
          <w:spacing w:val="-1"/>
        </w:rPr>
        <w:t> </w:t>
      </w:r>
      <w:r>
        <w:rPr/>
        <w:t>ageing.</w:t>
      </w:r>
    </w:p>
    <w:p>
      <w:pPr>
        <w:pStyle w:val="BodyText"/>
        <w:spacing w:before="10"/>
        <w:rPr>
          <w:sz w:val="43"/>
        </w:rPr>
      </w:pPr>
    </w:p>
    <w:p>
      <w:pPr>
        <w:pStyle w:val="BodyText"/>
        <w:spacing w:line="276" w:lineRule="auto"/>
        <w:ind w:left="116" w:right="114"/>
        <w:jc w:val="both"/>
      </w:pPr>
      <w:r>
        <w:rPr>
          <w:b/>
        </w:rPr>
        <w:t>Anti-glycation: </w:t>
      </w:r>
      <w:r>
        <w:rPr/>
        <w:t>Another major aspect of physical ageing is glycation. This</w:t>
      </w:r>
      <w:r>
        <w:rPr>
          <w:spacing w:val="-44"/>
        </w:rPr>
        <w:t> </w:t>
      </w:r>
      <w:r>
        <w:rPr/>
        <w:t>re- fers</w:t>
      </w:r>
      <w:r>
        <w:rPr>
          <w:spacing w:val="-6"/>
        </w:rPr>
        <w:t> </w:t>
      </w:r>
      <w:r>
        <w:rPr/>
        <w:t>to</w:t>
      </w:r>
      <w:r>
        <w:rPr>
          <w:spacing w:val="-6"/>
        </w:rPr>
        <w:t> </w:t>
      </w:r>
      <w:r>
        <w:rPr/>
        <w:t>the</w:t>
      </w:r>
      <w:r>
        <w:rPr>
          <w:spacing w:val="-8"/>
        </w:rPr>
        <w:t> </w:t>
      </w:r>
      <w:r>
        <w:rPr/>
        <w:t>saccharification</w:t>
      </w:r>
      <w:r>
        <w:rPr>
          <w:spacing w:val="-6"/>
        </w:rPr>
        <w:t> </w:t>
      </w:r>
      <w:r>
        <w:rPr/>
        <w:t>and</w:t>
      </w:r>
      <w:r>
        <w:rPr>
          <w:spacing w:val="-8"/>
        </w:rPr>
        <w:t> </w:t>
      </w:r>
      <w:r>
        <w:rPr/>
        <w:t>thus</w:t>
      </w:r>
      <w:r>
        <w:rPr>
          <w:spacing w:val="-7"/>
        </w:rPr>
        <w:t> </w:t>
      </w:r>
      <w:r>
        <w:rPr/>
        <w:t>the</w:t>
      </w:r>
      <w:r>
        <w:rPr>
          <w:spacing w:val="-6"/>
        </w:rPr>
        <w:t> </w:t>
      </w:r>
      <w:r>
        <w:rPr/>
        <w:t>hardening</w:t>
      </w:r>
      <w:r>
        <w:rPr>
          <w:spacing w:val="-6"/>
        </w:rPr>
        <w:t> </w:t>
      </w:r>
      <w:r>
        <w:rPr/>
        <w:t>of</w:t>
      </w:r>
      <w:r>
        <w:rPr>
          <w:spacing w:val="-7"/>
        </w:rPr>
        <w:t> </w:t>
      </w:r>
      <w:r>
        <w:rPr/>
        <w:t>the</w:t>
      </w:r>
      <w:r>
        <w:rPr>
          <w:spacing w:val="-9"/>
        </w:rPr>
        <w:t> </w:t>
      </w:r>
      <w:r>
        <w:rPr/>
        <w:t>body's</w:t>
      </w:r>
      <w:r>
        <w:rPr>
          <w:spacing w:val="-9"/>
        </w:rPr>
        <w:t> </w:t>
      </w:r>
      <w:r>
        <w:rPr/>
        <w:t>own</w:t>
      </w:r>
      <w:r>
        <w:rPr>
          <w:spacing w:val="-7"/>
        </w:rPr>
        <w:t> </w:t>
      </w:r>
      <w:r>
        <w:rPr/>
        <w:t>proteins, which leads to the loss of protein function, atherosclerosis, loss of flexibility of proteins, inflammation, diabetes and other age-related problems. Each one of us knows the visible consequences of glycation, which occurs in the form of brown spots on the skin of older</w:t>
      </w:r>
      <w:r>
        <w:rPr>
          <w:spacing w:val="2"/>
        </w:rPr>
        <w:t> </w:t>
      </w:r>
      <w:r>
        <w:rPr/>
        <w:t>people.</w:t>
      </w:r>
    </w:p>
    <w:p>
      <w:pPr>
        <w:pStyle w:val="BodyText"/>
        <w:spacing w:before="8"/>
        <w:rPr>
          <w:sz w:val="43"/>
        </w:rPr>
      </w:pPr>
    </w:p>
    <w:p>
      <w:pPr>
        <w:pStyle w:val="BodyText"/>
        <w:spacing w:line="276" w:lineRule="auto" w:before="1"/>
        <w:ind w:left="116" w:right="117"/>
        <w:jc w:val="both"/>
      </w:pPr>
      <w:r>
        <w:rPr/>
        <w:t>As already mentioned, l-carnosine provides reliable protection against the</w:t>
      </w:r>
      <w:r>
        <w:rPr>
          <w:spacing w:val="-46"/>
        </w:rPr>
        <w:t> </w:t>
      </w:r>
      <w:r>
        <w:rPr/>
        <w:t>for- mation of the so-called ‘advanced glycation end products’ (AGE) and acts against glycation like no other known substance! What's more, it protects against the oxidative stress that a glycosylated protein produces, 50 times stronger than that of a non-glycosylated</w:t>
      </w:r>
      <w:r>
        <w:rPr>
          <w:spacing w:val="-1"/>
        </w:rPr>
        <w:t> </w:t>
      </w:r>
      <w:r>
        <w:rPr/>
        <w:t>protein.</w:t>
      </w:r>
    </w:p>
    <w:p>
      <w:pPr>
        <w:spacing w:after="0" w:line="276" w:lineRule="auto"/>
        <w:jc w:val="both"/>
        <w:sectPr>
          <w:pgSz w:w="14260" w:h="16840"/>
          <w:pgMar w:header="0" w:footer="402" w:top="1580" w:bottom="2280" w:left="1300" w:right="1297"/>
        </w:sectPr>
      </w:pPr>
    </w:p>
    <w:p>
      <w:pPr>
        <w:pStyle w:val="BodyText"/>
        <w:spacing w:line="276" w:lineRule="auto" w:before="74"/>
        <w:ind w:left="116" w:right="115"/>
        <w:jc w:val="both"/>
      </w:pPr>
      <w:r>
        <w:rPr/>
        <w:t>Since the glycation first expresses itself via wrinkles on the skin, the anti-gly- cation</w:t>
      </w:r>
      <w:r>
        <w:rPr>
          <w:spacing w:val="-11"/>
        </w:rPr>
        <w:t> </w:t>
      </w:r>
      <w:r>
        <w:rPr/>
        <w:t>on</w:t>
      </w:r>
      <w:r>
        <w:rPr>
          <w:spacing w:val="-10"/>
        </w:rPr>
        <w:t> </w:t>
      </w:r>
      <w:r>
        <w:rPr/>
        <w:t>the</w:t>
      </w:r>
      <w:r>
        <w:rPr>
          <w:spacing w:val="-11"/>
        </w:rPr>
        <w:t> </w:t>
      </w:r>
      <w:r>
        <w:rPr/>
        <w:t>part</w:t>
      </w:r>
      <w:r>
        <w:rPr>
          <w:spacing w:val="-11"/>
        </w:rPr>
        <w:t> </w:t>
      </w:r>
      <w:r>
        <w:rPr/>
        <w:t>of</w:t>
      </w:r>
      <w:r>
        <w:rPr>
          <w:spacing w:val="-10"/>
        </w:rPr>
        <w:t> </w:t>
      </w:r>
      <w:r>
        <w:rPr/>
        <w:t>L-carnosine</w:t>
      </w:r>
      <w:r>
        <w:rPr>
          <w:spacing w:val="-11"/>
        </w:rPr>
        <w:t> </w:t>
      </w:r>
      <w:r>
        <w:rPr/>
        <w:t>quickly</w:t>
      </w:r>
      <w:r>
        <w:rPr>
          <w:spacing w:val="-11"/>
        </w:rPr>
        <w:t> </w:t>
      </w:r>
      <w:r>
        <w:rPr/>
        <w:t>helps</w:t>
      </w:r>
      <w:r>
        <w:rPr>
          <w:spacing w:val="-10"/>
        </w:rPr>
        <w:t> </w:t>
      </w:r>
      <w:r>
        <w:rPr/>
        <w:t>the</w:t>
      </w:r>
      <w:r>
        <w:rPr>
          <w:spacing w:val="-11"/>
        </w:rPr>
        <w:t> </w:t>
      </w:r>
      <w:r>
        <w:rPr/>
        <w:t>skin</w:t>
      </w:r>
      <w:r>
        <w:rPr>
          <w:spacing w:val="-10"/>
        </w:rPr>
        <w:t> </w:t>
      </w:r>
      <w:r>
        <w:rPr/>
        <w:t>become</w:t>
      </w:r>
      <w:r>
        <w:rPr>
          <w:spacing w:val="-13"/>
        </w:rPr>
        <w:t> </w:t>
      </w:r>
      <w:r>
        <w:rPr/>
        <w:t>smooth</w:t>
      </w:r>
      <w:r>
        <w:rPr>
          <w:spacing w:val="-11"/>
        </w:rPr>
        <w:t> </w:t>
      </w:r>
      <w:r>
        <w:rPr/>
        <w:t>again!</w:t>
      </w:r>
    </w:p>
    <w:p>
      <w:pPr>
        <w:pStyle w:val="BodyText"/>
        <w:spacing w:line="276" w:lineRule="auto" w:before="241"/>
        <w:ind w:left="116" w:right="115"/>
        <w:jc w:val="both"/>
      </w:pPr>
      <w:r>
        <w:rPr/>
        <w:t>Prof. Dr. Pauling argued that natural vitamin C (e.g. camu camu), in</w:t>
      </w:r>
      <w:r>
        <w:rPr>
          <w:spacing w:val="-46"/>
        </w:rPr>
        <w:t> </w:t>
      </w:r>
      <w:r>
        <w:rPr/>
        <w:t>appropri- ate doses, can extend life by up to 20</w:t>
      </w:r>
      <w:r>
        <w:rPr>
          <w:spacing w:val="-3"/>
        </w:rPr>
        <w:t> </w:t>
      </w:r>
      <w:r>
        <w:rPr/>
        <w:t>years!</w:t>
      </w:r>
    </w:p>
    <w:p>
      <w:pPr>
        <w:pStyle w:val="BodyText"/>
        <w:spacing w:line="276" w:lineRule="auto" w:before="241"/>
        <w:ind w:left="116" w:right="118"/>
        <w:jc w:val="both"/>
      </w:pPr>
      <w:r>
        <w:rPr/>
        <w:t>Scientists at the prestigious Harvard University recently created a small sensa- tion when, following a resveratrol study, they told people that resveratrol was estimated to extend their life by 20 years!</w:t>
      </w:r>
    </w:p>
    <w:p>
      <w:pPr>
        <w:pStyle w:val="Heading2"/>
        <w:spacing w:line="276" w:lineRule="auto" w:before="239"/>
        <w:ind w:left="116" w:right="126"/>
        <w:jc w:val="both"/>
      </w:pPr>
      <w:r>
        <w:rPr/>
        <w:t>Allergies (hay fever, lactose intolerance, house dust allergy, animal hair allergy &amp; co!)</w:t>
      </w:r>
    </w:p>
    <w:p>
      <w:pPr>
        <w:pStyle w:val="BodyText"/>
        <w:spacing w:line="276" w:lineRule="auto" w:before="241"/>
        <w:ind w:left="116" w:right="118"/>
        <w:jc w:val="both"/>
      </w:pPr>
      <w:r>
        <w:rPr/>
        <w:t>Allergies</w:t>
      </w:r>
      <w:r>
        <w:rPr>
          <w:spacing w:val="-15"/>
        </w:rPr>
        <w:t> </w:t>
      </w:r>
      <w:r>
        <w:rPr/>
        <w:t>are</w:t>
      </w:r>
      <w:r>
        <w:rPr>
          <w:spacing w:val="-16"/>
        </w:rPr>
        <w:t> </w:t>
      </w:r>
      <w:r>
        <w:rPr/>
        <w:t>a</w:t>
      </w:r>
      <w:r>
        <w:rPr>
          <w:spacing w:val="-19"/>
        </w:rPr>
        <w:t> </w:t>
      </w:r>
      <w:r>
        <w:rPr/>
        <w:t>typical</w:t>
      </w:r>
      <w:r>
        <w:rPr>
          <w:spacing w:val="-17"/>
        </w:rPr>
        <w:t> </w:t>
      </w:r>
      <w:r>
        <w:rPr/>
        <w:t>problem</w:t>
      </w:r>
      <w:r>
        <w:rPr>
          <w:spacing w:val="-17"/>
        </w:rPr>
        <w:t> </w:t>
      </w:r>
      <w:r>
        <w:rPr/>
        <w:t>of</w:t>
      </w:r>
      <w:r>
        <w:rPr>
          <w:spacing w:val="-17"/>
        </w:rPr>
        <w:t> </w:t>
      </w:r>
      <w:r>
        <w:rPr/>
        <w:t>modern</w:t>
      </w:r>
      <w:r>
        <w:rPr>
          <w:spacing w:val="-16"/>
        </w:rPr>
        <w:t> </w:t>
      </w:r>
      <w:r>
        <w:rPr/>
        <w:t>times!</w:t>
      </w:r>
      <w:r>
        <w:rPr>
          <w:spacing w:val="-18"/>
        </w:rPr>
        <w:t> </w:t>
      </w:r>
      <w:r>
        <w:rPr/>
        <w:t>Every</w:t>
      </w:r>
      <w:r>
        <w:rPr>
          <w:spacing w:val="-17"/>
        </w:rPr>
        <w:t> </w:t>
      </w:r>
      <w:r>
        <w:rPr/>
        <w:t>year,</w:t>
      </w:r>
      <w:r>
        <w:rPr>
          <w:spacing w:val="-15"/>
        </w:rPr>
        <w:t> </w:t>
      </w:r>
      <w:r>
        <w:rPr/>
        <w:t>we</w:t>
      </w:r>
      <w:r>
        <w:rPr>
          <w:spacing w:val="-17"/>
        </w:rPr>
        <w:t> </w:t>
      </w:r>
      <w:r>
        <w:rPr/>
        <w:t>are</w:t>
      </w:r>
      <w:r>
        <w:rPr>
          <w:spacing w:val="-17"/>
        </w:rPr>
        <w:t> </w:t>
      </w:r>
      <w:r>
        <w:rPr/>
        <w:t>confronted with around 1000 new foreign substances which our immune system tries to protect us from. If, one day, it all becomes too much, our immune system targets healthy cells and allergies</w:t>
      </w:r>
      <w:r>
        <w:rPr>
          <w:spacing w:val="2"/>
        </w:rPr>
        <w:t> </w:t>
      </w:r>
      <w:r>
        <w:rPr/>
        <w:t>develop!</w:t>
      </w:r>
    </w:p>
    <w:p>
      <w:pPr>
        <w:pStyle w:val="Heading2"/>
        <w:spacing w:before="239"/>
        <w:ind w:left="116"/>
      </w:pPr>
      <w:r>
        <w:rPr/>
        <w:t>In your Codex Humanus you will read</w:t>
      </w:r>
    </w:p>
    <w:p>
      <w:pPr>
        <w:pStyle w:val="ListParagraph"/>
        <w:numPr>
          <w:ilvl w:val="1"/>
          <w:numId w:val="8"/>
        </w:numPr>
        <w:tabs>
          <w:tab w:pos="830" w:val="left" w:leader="none"/>
        </w:tabs>
        <w:spacing w:line="273" w:lineRule="auto" w:before="306" w:after="0"/>
        <w:ind w:left="829" w:right="118" w:hanging="355"/>
        <w:jc w:val="both"/>
        <w:rPr>
          <w:sz w:val="38"/>
        </w:rPr>
      </w:pPr>
      <w:r>
        <w:rPr>
          <w:sz w:val="38"/>
        </w:rPr>
        <w:t>that colostrum has corresponding autoantibodies, such as polymorpho- nuclear leukocytes, which regulate the immune reactions in the body that lead to</w:t>
      </w:r>
      <w:r>
        <w:rPr>
          <w:spacing w:val="-1"/>
          <w:sz w:val="38"/>
        </w:rPr>
        <w:t> </w:t>
      </w:r>
      <w:r>
        <w:rPr>
          <w:sz w:val="38"/>
        </w:rPr>
        <w:t>allergies.</w:t>
      </w:r>
    </w:p>
    <w:p>
      <w:pPr>
        <w:pStyle w:val="BodyText"/>
        <w:spacing w:before="9"/>
        <w:rPr>
          <w:sz w:val="44"/>
        </w:rPr>
      </w:pPr>
    </w:p>
    <w:p>
      <w:pPr>
        <w:pStyle w:val="ListParagraph"/>
        <w:numPr>
          <w:ilvl w:val="1"/>
          <w:numId w:val="8"/>
        </w:numPr>
        <w:tabs>
          <w:tab w:pos="830" w:val="left" w:leader="none"/>
        </w:tabs>
        <w:spacing w:line="273" w:lineRule="auto" w:before="0" w:after="0"/>
        <w:ind w:left="829" w:right="119" w:hanging="355"/>
        <w:jc w:val="both"/>
        <w:rPr>
          <w:sz w:val="38"/>
        </w:rPr>
      </w:pPr>
      <w:r>
        <w:rPr>
          <w:sz w:val="38"/>
        </w:rPr>
        <w:t>that</w:t>
      </w:r>
      <w:r>
        <w:rPr>
          <w:spacing w:val="-17"/>
          <w:sz w:val="38"/>
        </w:rPr>
        <w:t> </w:t>
      </w:r>
      <w:r>
        <w:rPr>
          <w:sz w:val="38"/>
        </w:rPr>
        <w:t>the</w:t>
      </w:r>
      <w:r>
        <w:rPr>
          <w:spacing w:val="-15"/>
          <w:sz w:val="38"/>
        </w:rPr>
        <w:t> </w:t>
      </w:r>
      <w:r>
        <w:rPr>
          <w:sz w:val="38"/>
        </w:rPr>
        <w:t>IgE</w:t>
      </w:r>
      <w:r>
        <w:rPr>
          <w:spacing w:val="-16"/>
          <w:sz w:val="38"/>
        </w:rPr>
        <w:t> </w:t>
      </w:r>
      <w:r>
        <w:rPr>
          <w:sz w:val="38"/>
        </w:rPr>
        <w:t>in</w:t>
      </w:r>
      <w:r>
        <w:rPr>
          <w:spacing w:val="-15"/>
          <w:sz w:val="38"/>
        </w:rPr>
        <w:t> </w:t>
      </w:r>
      <w:r>
        <w:rPr>
          <w:sz w:val="38"/>
        </w:rPr>
        <w:t>the</w:t>
      </w:r>
      <w:r>
        <w:rPr>
          <w:spacing w:val="-15"/>
          <w:sz w:val="38"/>
        </w:rPr>
        <w:t> </w:t>
      </w:r>
      <w:r>
        <w:rPr>
          <w:sz w:val="38"/>
        </w:rPr>
        <w:t>colostrum</w:t>
      </w:r>
      <w:r>
        <w:rPr>
          <w:spacing w:val="-20"/>
          <w:sz w:val="38"/>
        </w:rPr>
        <w:t> </w:t>
      </w:r>
      <w:r>
        <w:rPr>
          <w:sz w:val="38"/>
        </w:rPr>
        <w:t>regulates</w:t>
      </w:r>
      <w:r>
        <w:rPr>
          <w:spacing w:val="-15"/>
          <w:sz w:val="38"/>
        </w:rPr>
        <w:t> </w:t>
      </w:r>
      <w:r>
        <w:rPr>
          <w:sz w:val="38"/>
        </w:rPr>
        <w:t>allergic</w:t>
      </w:r>
      <w:r>
        <w:rPr>
          <w:spacing w:val="-17"/>
          <w:sz w:val="38"/>
        </w:rPr>
        <w:t> </w:t>
      </w:r>
      <w:r>
        <w:rPr>
          <w:sz w:val="38"/>
        </w:rPr>
        <w:t>reactions</w:t>
      </w:r>
      <w:r>
        <w:rPr>
          <w:spacing w:val="-16"/>
          <w:sz w:val="38"/>
        </w:rPr>
        <w:t> </w:t>
      </w:r>
      <w:r>
        <w:rPr>
          <w:sz w:val="38"/>
        </w:rPr>
        <w:t>and</w:t>
      </w:r>
      <w:r>
        <w:rPr>
          <w:spacing w:val="-16"/>
          <w:sz w:val="38"/>
        </w:rPr>
        <w:t> </w:t>
      </w:r>
      <w:r>
        <w:rPr>
          <w:sz w:val="38"/>
        </w:rPr>
        <w:t>can</w:t>
      </w:r>
      <w:r>
        <w:rPr>
          <w:spacing w:val="-14"/>
          <w:sz w:val="38"/>
        </w:rPr>
        <w:t> </w:t>
      </w:r>
      <w:r>
        <w:rPr>
          <w:sz w:val="38"/>
        </w:rPr>
        <w:t>help</w:t>
      </w:r>
      <w:r>
        <w:rPr>
          <w:spacing w:val="-16"/>
          <w:sz w:val="38"/>
        </w:rPr>
        <w:t> </w:t>
      </w:r>
      <w:r>
        <w:rPr>
          <w:sz w:val="38"/>
        </w:rPr>
        <w:t>pre- vent them.</w:t>
      </w:r>
    </w:p>
    <w:p>
      <w:pPr>
        <w:pStyle w:val="ListParagraph"/>
        <w:numPr>
          <w:ilvl w:val="1"/>
          <w:numId w:val="8"/>
        </w:numPr>
        <w:tabs>
          <w:tab w:pos="829" w:val="left" w:leader="none"/>
          <w:tab w:pos="830" w:val="left" w:leader="none"/>
        </w:tabs>
        <w:spacing w:line="240" w:lineRule="auto" w:before="8" w:after="0"/>
        <w:ind w:left="829" w:right="0" w:hanging="355"/>
        <w:jc w:val="left"/>
        <w:rPr>
          <w:sz w:val="38"/>
        </w:rPr>
      </w:pPr>
      <w:r>
        <w:rPr>
          <w:sz w:val="38"/>
        </w:rPr>
        <w:t>that,</w:t>
      </w:r>
      <w:r>
        <w:rPr>
          <w:spacing w:val="-5"/>
          <w:sz w:val="38"/>
        </w:rPr>
        <w:t> </w:t>
      </w:r>
      <w:r>
        <w:rPr>
          <w:sz w:val="38"/>
        </w:rPr>
        <w:t>in</w:t>
      </w:r>
      <w:r>
        <w:rPr>
          <w:spacing w:val="-8"/>
          <w:sz w:val="38"/>
        </w:rPr>
        <w:t> </w:t>
      </w:r>
      <w:r>
        <w:rPr>
          <w:sz w:val="38"/>
        </w:rPr>
        <w:t>numerous</w:t>
      </w:r>
      <w:r>
        <w:rPr>
          <w:spacing w:val="-5"/>
          <w:sz w:val="38"/>
        </w:rPr>
        <w:t> </w:t>
      </w:r>
      <w:r>
        <w:rPr>
          <w:sz w:val="38"/>
        </w:rPr>
        <w:t>studies,</w:t>
      </w:r>
      <w:r>
        <w:rPr>
          <w:spacing w:val="-6"/>
          <w:sz w:val="38"/>
        </w:rPr>
        <w:t> </w:t>
      </w:r>
      <w:r>
        <w:rPr>
          <w:sz w:val="38"/>
        </w:rPr>
        <w:t>astragalus</w:t>
      </w:r>
      <w:r>
        <w:rPr>
          <w:spacing w:val="-5"/>
          <w:sz w:val="38"/>
        </w:rPr>
        <w:t> </w:t>
      </w:r>
      <w:r>
        <w:rPr>
          <w:sz w:val="38"/>
        </w:rPr>
        <w:t>has</w:t>
      </w:r>
      <w:r>
        <w:rPr>
          <w:spacing w:val="-8"/>
          <w:sz w:val="38"/>
        </w:rPr>
        <w:t> </w:t>
      </w:r>
      <w:r>
        <w:rPr>
          <w:sz w:val="38"/>
        </w:rPr>
        <w:t>been</w:t>
      </w:r>
      <w:r>
        <w:rPr>
          <w:spacing w:val="-7"/>
          <w:sz w:val="38"/>
        </w:rPr>
        <w:t> </w:t>
      </w:r>
      <w:r>
        <w:rPr>
          <w:sz w:val="38"/>
        </w:rPr>
        <w:t>shown</w:t>
      </w:r>
      <w:r>
        <w:rPr>
          <w:spacing w:val="-4"/>
          <w:sz w:val="38"/>
        </w:rPr>
        <w:t> </w:t>
      </w:r>
      <w:r>
        <w:rPr>
          <w:sz w:val="38"/>
        </w:rPr>
        <w:t>to</w:t>
      </w:r>
      <w:r>
        <w:rPr>
          <w:spacing w:val="-8"/>
          <w:sz w:val="38"/>
        </w:rPr>
        <w:t> </w:t>
      </w:r>
      <w:r>
        <w:rPr>
          <w:sz w:val="38"/>
        </w:rPr>
        <w:t>have</w:t>
      </w:r>
      <w:r>
        <w:rPr>
          <w:spacing w:val="-6"/>
          <w:sz w:val="38"/>
        </w:rPr>
        <w:t> </w:t>
      </w:r>
      <w:r>
        <w:rPr>
          <w:sz w:val="38"/>
        </w:rPr>
        <w:t>a</w:t>
      </w:r>
      <w:r>
        <w:rPr>
          <w:spacing w:val="-9"/>
          <w:sz w:val="38"/>
        </w:rPr>
        <w:t> </w:t>
      </w:r>
      <w:r>
        <w:rPr>
          <w:sz w:val="38"/>
        </w:rPr>
        <w:t>regulatory</w:t>
      </w:r>
    </w:p>
    <w:p>
      <w:pPr>
        <w:spacing w:after="0" w:line="240" w:lineRule="auto"/>
        <w:jc w:val="left"/>
        <w:rPr>
          <w:sz w:val="38"/>
        </w:rPr>
        <w:sectPr>
          <w:pgSz w:w="14260" w:h="16840"/>
          <w:pgMar w:header="0" w:footer="402" w:top="1320" w:bottom="2280" w:left="1300" w:right="1297"/>
        </w:sectPr>
      </w:pPr>
    </w:p>
    <w:p>
      <w:pPr>
        <w:pStyle w:val="BodyText"/>
        <w:spacing w:line="276" w:lineRule="auto" w:before="74"/>
        <w:ind w:left="829" w:right="115"/>
      </w:pPr>
      <w:r>
        <w:rPr/>
        <w:t>effect on the immune system, which is of utmost importance in relation to allergic diseases.</w:t>
      </w:r>
    </w:p>
    <w:p>
      <w:pPr>
        <w:pStyle w:val="BodyText"/>
        <w:spacing w:before="11"/>
        <w:rPr>
          <w:sz w:val="43"/>
        </w:rPr>
      </w:pPr>
    </w:p>
    <w:p>
      <w:pPr>
        <w:pStyle w:val="ListParagraph"/>
        <w:numPr>
          <w:ilvl w:val="1"/>
          <w:numId w:val="8"/>
        </w:numPr>
        <w:tabs>
          <w:tab w:pos="830" w:val="left" w:leader="none"/>
        </w:tabs>
        <w:spacing w:line="276" w:lineRule="auto" w:before="0" w:after="0"/>
        <w:ind w:left="829" w:right="112" w:hanging="355"/>
        <w:jc w:val="both"/>
        <w:rPr>
          <w:sz w:val="38"/>
        </w:rPr>
      </w:pPr>
      <w:r>
        <w:rPr>
          <w:sz w:val="38"/>
        </w:rPr>
        <w:t>that astragalus promotes the synthesis of IgG antibodies, thus contrib- uting</w:t>
      </w:r>
      <w:r>
        <w:rPr>
          <w:spacing w:val="-9"/>
          <w:sz w:val="38"/>
        </w:rPr>
        <w:t> </w:t>
      </w:r>
      <w:r>
        <w:rPr>
          <w:sz w:val="38"/>
        </w:rPr>
        <w:t>to</w:t>
      </w:r>
      <w:r>
        <w:rPr>
          <w:spacing w:val="-9"/>
          <w:sz w:val="38"/>
        </w:rPr>
        <w:t> </w:t>
      </w:r>
      <w:r>
        <w:rPr>
          <w:sz w:val="38"/>
        </w:rPr>
        <w:t>the</w:t>
      </w:r>
      <w:r>
        <w:rPr>
          <w:spacing w:val="-7"/>
          <w:sz w:val="38"/>
        </w:rPr>
        <w:t> </w:t>
      </w:r>
      <w:r>
        <w:rPr>
          <w:sz w:val="38"/>
        </w:rPr>
        <w:t>elimination</w:t>
      </w:r>
      <w:r>
        <w:rPr>
          <w:spacing w:val="-9"/>
          <w:sz w:val="38"/>
        </w:rPr>
        <w:t> </w:t>
      </w:r>
      <w:r>
        <w:rPr>
          <w:sz w:val="38"/>
        </w:rPr>
        <w:t>of</w:t>
      </w:r>
      <w:r>
        <w:rPr>
          <w:spacing w:val="-8"/>
          <w:sz w:val="38"/>
        </w:rPr>
        <w:t> </w:t>
      </w:r>
      <w:r>
        <w:rPr>
          <w:sz w:val="38"/>
        </w:rPr>
        <w:t>allergens.</w:t>
      </w:r>
      <w:r>
        <w:rPr>
          <w:spacing w:val="-8"/>
          <w:sz w:val="38"/>
        </w:rPr>
        <w:t> </w:t>
      </w:r>
      <w:r>
        <w:rPr>
          <w:sz w:val="38"/>
        </w:rPr>
        <w:t>The</w:t>
      </w:r>
      <w:r>
        <w:rPr>
          <w:spacing w:val="-9"/>
          <w:sz w:val="38"/>
        </w:rPr>
        <w:t> </w:t>
      </w:r>
      <w:r>
        <w:rPr>
          <w:sz w:val="38"/>
        </w:rPr>
        <w:t>expression</w:t>
      </w:r>
      <w:r>
        <w:rPr>
          <w:spacing w:val="-7"/>
          <w:sz w:val="38"/>
        </w:rPr>
        <w:t> </w:t>
      </w:r>
      <w:r>
        <w:rPr>
          <w:sz w:val="38"/>
        </w:rPr>
        <w:t>of</w:t>
      </w:r>
      <w:r>
        <w:rPr>
          <w:spacing w:val="-9"/>
          <w:sz w:val="38"/>
        </w:rPr>
        <w:t> </w:t>
      </w:r>
      <w:r>
        <w:rPr>
          <w:sz w:val="38"/>
        </w:rPr>
        <w:t>T-bet</w:t>
      </w:r>
      <w:r>
        <w:rPr>
          <w:spacing w:val="-9"/>
          <w:sz w:val="38"/>
        </w:rPr>
        <w:t> </w:t>
      </w:r>
      <w:r>
        <w:rPr>
          <w:sz w:val="38"/>
        </w:rPr>
        <w:t>mRNA</w:t>
      </w:r>
      <w:r>
        <w:rPr>
          <w:spacing w:val="-10"/>
          <w:sz w:val="38"/>
        </w:rPr>
        <w:t> </w:t>
      </w:r>
      <w:r>
        <w:rPr>
          <w:sz w:val="38"/>
        </w:rPr>
        <w:t>and T-helper1 cytokines, such as IFN-γ, is promoted, the activity of genes</w:t>
      </w:r>
      <w:r>
        <w:rPr>
          <w:spacing w:val="-45"/>
          <w:sz w:val="38"/>
        </w:rPr>
        <w:t> </w:t>
      </w:r>
      <w:r>
        <w:rPr>
          <w:sz w:val="38"/>
        </w:rPr>
        <w:t>in- volved in inflammation during the allergy process is regulated and the</w:t>
      </w:r>
      <w:r>
        <w:rPr>
          <w:spacing w:val="-32"/>
          <w:sz w:val="38"/>
        </w:rPr>
        <w:t> </w:t>
      </w:r>
      <w:r>
        <w:rPr>
          <w:spacing w:val="2"/>
          <w:sz w:val="38"/>
        </w:rPr>
        <w:t>re- </w:t>
      </w:r>
      <w:r>
        <w:rPr>
          <w:sz w:val="38"/>
        </w:rPr>
        <w:t>lease</w:t>
      </w:r>
      <w:r>
        <w:rPr>
          <w:spacing w:val="-15"/>
          <w:sz w:val="38"/>
        </w:rPr>
        <w:t> </w:t>
      </w:r>
      <w:r>
        <w:rPr>
          <w:sz w:val="38"/>
        </w:rPr>
        <w:t>of</w:t>
      </w:r>
      <w:r>
        <w:rPr>
          <w:spacing w:val="-14"/>
          <w:sz w:val="38"/>
        </w:rPr>
        <w:t> </w:t>
      </w:r>
      <w:r>
        <w:rPr>
          <w:sz w:val="38"/>
        </w:rPr>
        <w:t>histamine</w:t>
      </w:r>
      <w:r>
        <w:rPr>
          <w:spacing w:val="-14"/>
          <w:sz w:val="38"/>
        </w:rPr>
        <w:t> </w:t>
      </w:r>
      <w:r>
        <w:rPr>
          <w:sz w:val="38"/>
        </w:rPr>
        <w:t>is</w:t>
      </w:r>
      <w:r>
        <w:rPr>
          <w:spacing w:val="-15"/>
          <w:sz w:val="38"/>
        </w:rPr>
        <w:t> </w:t>
      </w:r>
      <w:r>
        <w:rPr>
          <w:sz w:val="38"/>
        </w:rPr>
        <w:t>inhibited,</w:t>
      </w:r>
      <w:r>
        <w:rPr>
          <w:spacing w:val="-14"/>
          <w:sz w:val="38"/>
        </w:rPr>
        <w:t> </w:t>
      </w:r>
      <w:r>
        <w:rPr>
          <w:sz w:val="38"/>
        </w:rPr>
        <w:t>resulting</w:t>
      </w:r>
      <w:r>
        <w:rPr>
          <w:spacing w:val="-13"/>
          <w:sz w:val="38"/>
        </w:rPr>
        <w:t> </w:t>
      </w:r>
      <w:r>
        <w:rPr>
          <w:sz w:val="38"/>
        </w:rPr>
        <w:t>in</w:t>
      </w:r>
      <w:r>
        <w:rPr>
          <w:spacing w:val="-15"/>
          <w:sz w:val="38"/>
        </w:rPr>
        <w:t> </w:t>
      </w:r>
      <w:r>
        <w:rPr>
          <w:sz w:val="38"/>
        </w:rPr>
        <w:t>the</w:t>
      </w:r>
      <w:r>
        <w:rPr>
          <w:spacing w:val="-13"/>
          <w:sz w:val="38"/>
        </w:rPr>
        <w:t> </w:t>
      </w:r>
      <w:r>
        <w:rPr>
          <w:sz w:val="38"/>
        </w:rPr>
        <w:t>prevention</w:t>
      </w:r>
      <w:r>
        <w:rPr>
          <w:spacing w:val="-14"/>
          <w:sz w:val="38"/>
        </w:rPr>
        <w:t> </w:t>
      </w:r>
      <w:r>
        <w:rPr>
          <w:sz w:val="38"/>
        </w:rPr>
        <w:t>of</w:t>
      </w:r>
      <w:r>
        <w:rPr>
          <w:spacing w:val="-14"/>
          <w:sz w:val="38"/>
        </w:rPr>
        <w:t> </w:t>
      </w:r>
      <w:r>
        <w:rPr>
          <w:sz w:val="38"/>
        </w:rPr>
        <w:t>allergy</w:t>
      </w:r>
      <w:r>
        <w:rPr>
          <w:spacing w:val="-14"/>
          <w:sz w:val="38"/>
        </w:rPr>
        <w:t> </w:t>
      </w:r>
      <w:r>
        <w:rPr>
          <w:sz w:val="38"/>
        </w:rPr>
        <w:t>symp- toms.</w:t>
      </w:r>
      <w:r>
        <w:rPr>
          <w:spacing w:val="-15"/>
          <w:sz w:val="38"/>
        </w:rPr>
        <w:t> </w:t>
      </w:r>
      <w:r>
        <w:rPr>
          <w:sz w:val="38"/>
        </w:rPr>
        <w:t>Astragalus</w:t>
      </w:r>
      <w:r>
        <w:rPr>
          <w:spacing w:val="-15"/>
          <w:sz w:val="38"/>
        </w:rPr>
        <w:t> </w:t>
      </w:r>
      <w:r>
        <w:rPr>
          <w:sz w:val="38"/>
        </w:rPr>
        <w:t>has</w:t>
      </w:r>
      <w:r>
        <w:rPr>
          <w:spacing w:val="-17"/>
          <w:sz w:val="38"/>
        </w:rPr>
        <w:t> </w:t>
      </w:r>
      <w:r>
        <w:rPr>
          <w:sz w:val="38"/>
        </w:rPr>
        <w:t>proven</w:t>
      </w:r>
      <w:r>
        <w:rPr>
          <w:spacing w:val="-16"/>
          <w:sz w:val="38"/>
        </w:rPr>
        <w:t> </w:t>
      </w:r>
      <w:r>
        <w:rPr>
          <w:sz w:val="38"/>
        </w:rPr>
        <w:t>its</w:t>
      </w:r>
      <w:r>
        <w:rPr>
          <w:spacing w:val="-19"/>
          <w:sz w:val="38"/>
        </w:rPr>
        <w:t> </w:t>
      </w:r>
      <w:r>
        <w:rPr>
          <w:sz w:val="38"/>
        </w:rPr>
        <w:t>worth</w:t>
      </w:r>
      <w:r>
        <w:rPr>
          <w:spacing w:val="-14"/>
          <w:sz w:val="38"/>
        </w:rPr>
        <w:t> </w:t>
      </w:r>
      <w:r>
        <w:rPr>
          <w:sz w:val="38"/>
        </w:rPr>
        <w:t>here</w:t>
      </w:r>
      <w:r>
        <w:rPr>
          <w:spacing w:val="-17"/>
          <w:sz w:val="38"/>
        </w:rPr>
        <w:t> </w:t>
      </w:r>
      <w:r>
        <w:rPr>
          <w:sz w:val="38"/>
        </w:rPr>
        <w:t>with</w:t>
      </w:r>
      <w:r>
        <w:rPr>
          <w:spacing w:val="-17"/>
          <w:sz w:val="38"/>
        </w:rPr>
        <w:t> </w:t>
      </w:r>
      <w:r>
        <w:rPr>
          <w:sz w:val="38"/>
        </w:rPr>
        <w:t>pollen</w:t>
      </w:r>
      <w:r>
        <w:rPr>
          <w:spacing w:val="-15"/>
          <w:sz w:val="38"/>
        </w:rPr>
        <w:t> </w:t>
      </w:r>
      <w:r>
        <w:rPr>
          <w:sz w:val="38"/>
        </w:rPr>
        <w:t>allergy,</w:t>
      </w:r>
      <w:r>
        <w:rPr>
          <w:spacing w:val="-16"/>
          <w:sz w:val="38"/>
        </w:rPr>
        <w:t> </w:t>
      </w:r>
      <w:r>
        <w:rPr>
          <w:sz w:val="38"/>
        </w:rPr>
        <w:t>house</w:t>
      </w:r>
      <w:r>
        <w:rPr>
          <w:spacing w:val="-15"/>
          <w:sz w:val="38"/>
        </w:rPr>
        <w:t> </w:t>
      </w:r>
      <w:r>
        <w:rPr>
          <w:sz w:val="38"/>
        </w:rPr>
        <w:t>dust mites and animal hair</w:t>
      </w:r>
      <w:r>
        <w:rPr>
          <w:spacing w:val="-1"/>
          <w:sz w:val="38"/>
        </w:rPr>
        <w:t> </w:t>
      </w:r>
      <w:r>
        <w:rPr>
          <w:sz w:val="38"/>
        </w:rPr>
        <w:t>allergies.</w:t>
      </w:r>
    </w:p>
    <w:p>
      <w:pPr>
        <w:pStyle w:val="BodyText"/>
        <w:spacing w:before="6"/>
        <w:rPr>
          <w:sz w:val="43"/>
        </w:rPr>
      </w:pPr>
    </w:p>
    <w:p>
      <w:pPr>
        <w:pStyle w:val="ListParagraph"/>
        <w:numPr>
          <w:ilvl w:val="1"/>
          <w:numId w:val="8"/>
        </w:numPr>
        <w:tabs>
          <w:tab w:pos="830" w:val="left" w:leader="none"/>
        </w:tabs>
        <w:spacing w:line="273" w:lineRule="auto" w:before="1" w:after="0"/>
        <w:ind w:left="829" w:right="122" w:hanging="355"/>
        <w:jc w:val="both"/>
        <w:rPr>
          <w:sz w:val="38"/>
        </w:rPr>
      </w:pPr>
      <w:r>
        <w:rPr>
          <w:sz w:val="38"/>
        </w:rPr>
        <w:t>that with allergies, the blood coagulation factor PAF (‘platelet activating factor’) plays an important role; by counteracting the PAF, ginkgo biloba actively counteracts allergic symptoms.</w:t>
      </w:r>
    </w:p>
    <w:p>
      <w:pPr>
        <w:pStyle w:val="BodyText"/>
        <w:spacing w:before="8"/>
        <w:rPr>
          <w:sz w:val="44"/>
        </w:rPr>
      </w:pPr>
    </w:p>
    <w:p>
      <w:pPr>
        <w:pStyle w:val="ListParagraph"/>
        <w:numPr>
          <w:ilvl w:val="1"/>
          <w:numId w:val="8"/>
        </w:numPr>
        <w:tabs>
          <w:tab w:pos="837" w:val="left" w:leader="none"/>
        </w:tabs>
        <w:spacing w:line="273" w:lineRule="auto" w:before="1" w:after="0"/>
        <w:ind w:left="836" w:right="123" w:hanging="360"/>
        <w:jc w:val="both"/>
        <w:rPr>
          <w:sz w:val="38"/>
        </w:rPr>
      </w:pPr>
      <w:r>
        <w:rPr>
          <w:sz w:val="38"/>
        </w:rPr>
        <w:t>that camu (natural vitamin C) regulates histamine and histidine produc- tion, reduces allergies and improves or even prevents allergic</w:t>
      </w:r>
      <w:r>
        <w:rPr>
          <w:spacing w:val="-22"/>
          <w:sz w:val="38"/>
        </w:rPr>
        <w:t> </w:t>
      </w:r>
      <w:r>
        <w:rPr>
          <w:sz w:val="38"/>
        </w:rPr>
        <w:t>symptoms!</w:t>
      </w:r>
    </w:p>
    <w:p>
      <w:pPr>
        <w:pStyle w:val="BodyText"/>
        <w:rPr>
          <w:sz w:val="42"/>
        </w:rPr>
      </w:pPr>
    </w:p>
    <w:p>
      <w:pPr>
        <w:pStyle w:val="Heading2"/>
        <w:spacing w:before="265"/>
        <w:ind w:left="116"/>
      </w:pPr>
      <w:r>
        <w:rPr/>
        <w:t>Depression, anxiety, burnout</w:t>
      </w:r>
    </w:p>
    <w:p>
      <w:pPr>
        <w:pStyle w:val="BodyText"/>
        <w:spacing w:line="276" w:lineRule="auto" w:before="304"/>
        <w:ind w:left="116"/>
      </w:pPr>
      <w:r>
        <w:rPr/>
        <w:t>Experienced nutritionists and practitioners of alternative medicine have long known that even minor deficiencies in certain micronutrients, such as vitamin</w:t>
      </w:r>
    </w:p>
    <w:p>
      <w:pPr>
        <w:spacing w:after="0" w:line="276" w:lineRule="auto"/>
        <w:sectPr>
          <w:pgSz w:w="14260" w:h="16840"/>
          <w:pgMar w:header="0" w:footer="402" w:top="1320" w:bottom="2280" w:left="1300" w:right="1297"/>
        </w:sectPr>
      </w:pPr>
    </w:p>
    <w:p>
      <w:pPr>
        <w:pStyle w:val="BodyText"/>
        <w:spacing w:line="276" w:lineRule="auto" w:before="74"/>
        <w:ind w:left="116" w:right="116"/>
        <w:jc w:val="both"/>
        <w:rPr>
          <w:sz w:val="25"/>
        </w:rPr>
      </w:pPr>
      <w:r>
        <w:rPr/>
        <w:t>B and folic acid, can trigger depression, as can deficiencies in vitamin C, vita- min D, biotin and magnesium, to name but a few. For example, 15-38 % of adults diagnosed with depression suffer from acute folic acid deficiency.</w:t>
      </w:r>
      <w:r>
        <w:rPr>
          <w:position w:val="9"/>
          <w:sz w:val="25"/>
        </w:rPr>
        <w:t>11</w:t>
      </w:r>
    </w:p>
    <w:p>
      <w:pPr>
        <w:pStyle w:val="BodyText"/>
        <w:rPr>
          <w:sz w:val="42"/>
        </w:rPr>
      </w:pPr>
    </w:p>
    <w:p>
      <w:pPr>
        <w:pStyle w:val="BodyText"/>
        <w:spacing w:before="6"/>
        <w:rPr>
          <w:sz w:val="44"/>
        </w:rPr>
      </w:pPr>
    </w:p>
    <w:p>
      <w:pPr>
        <w:pStyle w:val="Heading2"/>
        <w:spacing w:line="276" w:lineRule="auto"/>
        <w:ind w:left="116" w:right="121"/>
        <w:jc w:val="both"/>
      </w:pPr>
      <w:r>
        <w:rPr/>
        <w:t>How can this ‘phenomenon’, known to only a tiny number doctors, much less their patients suffering from depression, be explained?</w:t>
      </w:r>
    </w:p>
    <w:p>
      <w:pPr>
        <w:pStyle w:val="BodyText"/>
        <w:spacing w:line="276" w:lineRule="auto" w:before="238"/>
        <w:ind w:left="116" w:right="115"/>
        <w:jc w:val="both"/>
      </w:pPr>
      <w:r>
        <w:rPr/>
        <w:t>In</w:t>
      </w:r>
      <w:r>
        <w:rPr>
          <w:spacing w:val="-7"/>
        </w:rPr>
        <w:t> </w:t>
      </w:r>
      <w:r>
        <w:rPr/>
        <w:t>order</w:t>
      </w:r>
      <w:r>
        <w:rPr>
          <w:spacing w:val="-6"/>
        </w:rPr>
        <w:t> </w:t>
      </w:r>
      <w:r>
        <w:rPr/>
        <w:t>to</w:t>
      </w:r>
      <w:r>
        <w:rPr>
          <w:spacing w:val="-6"/>
        </w:rPr>
        <w:t> </w:t>
      </w:r>
      <w:r>
        <w:rPr/>
        <w:t>experience</w:t>
      </w:r>
      <w:r>
        <w:rPr>
          <w:spacing w:val="-6"/>
        </w:rPr>
        <w:t> </w:t>
      </w:r>
      <w:r>
        <w:rPr/>
        <w:t>optimal</w:t>
      </w:r>
      <w:r>
        <w:rPr>
          <w:spacing w:val="-8"/>
        </w:rPr>
        <w:t> </w:t>
      </w:r>
      <w:r>
        <w:rPr/>
        <w:t>brain</w:t>
      </w:r>
      <w:r>
        <w:rPr>
          <w:spacing w:val="-7"/>
        </w:rPr>
        <w:t> </w:t>
      </w:r>
      <w:r>
        <w:rPr/>
        <w:t>function</w:t>
      </w:r>
      <w:r>
        <w:rPr>
          <w:spacing w:val="-6"/>
        </w:rPr>
        <w:t> </w:t>
      </w:r>
      <w:r>
        <w:rPr/>
        <w:t>and</w:t>
      </w:r>
      <w:r>
        <w:rPr>
          <w:spacing w:val="-7"/>
        </w:rPr>
        <w:t> </w:t>
      </w:r>
      <w:r>
        <w:rPr/>
        <w:t>the</w:t>
      </w:r>
      <w:r>
        <w:rPr>
          <w:spacing w:val="-6"/>
        </w:rPr>
        <w:t> </w:t>
      </w:r>
      <w:r>
        <w:rPr/>
        <w:t>resulting</w:t>
      </w:r>
      <w:r>
        <w:rPr>
          <w:spacing w:val="-6"/>
        </w:rPr>
        <w:t> </w:t>
      </w:r>
      <w:r>
        <w:rPr/>
        <w:t>well-being</w:t>
      </w:r>
      <w:r>
        <w:rPr>
          <w:spacing w:val="-6"/>
        </w:rPr>
        <w:t> </w:t>
      </w:r>
      <w:r>
        <w:rPr/>
        <w:t>and mental</w:t>
      </w:r>
      <w:r>
        <w:rPr>
          <w:spacing w:val="-21"/>
        </w:rPr>
        <w:t> </w:t>
      </w:r>
      <w:r>
        <w:rPr/>
        <w:t>balance,</w:t>
      </w:r>
      <w:r>
        <w:rPr>
          <w:spacing w:val="-19"/>
        </w:rPr>
        <w:t> </w:t>
      </w:r>
      <w:r>
        <w:rPr/>
        <w:t>our</w:t>
      </w:r>
      <w:r>
        <w:rPr>
          <w:spacing w:val="-20"/>
        </w:rPr>
        <w:t> </w:t>
      </w:r>
      <w:r>
        <w:rPr/>
        <w:t>brains</w:t>
      </w:r>
      <w:r>
        <w:rPr>
          <w:spacing w:val="-17"/>
        </w:rPr>
        <w:t> </w:t>
      </w:r>
      <w:r>
        <w:rPr/>
        <w:t>need</w:t>
      </w:r>
      <w:r>
        <w:rPr>
          <w:spacing w:val="-22"/>
        </w:rPr>
        <w:t> </w:t>
      </w:r>
      <w:r>
        <w:rPr/>
        <w:t>certain</w:t>
      </w:r>
      <w:r>
        <w:rPr>
          <w:spacing w:val="-20"/>
        </w:rPr>
        <w:t> </w:t>
      </w:r>
      <w:r>
        <w:rPr/>
        <w:t>nutrients,</w:t>
      </w:r>
      <w:r>
        <w:rPr>
          <w:spacing w:val="-19"/>
        </w:rPr>
        <w:t> </w:t>
      </w:r>
      <w:r>
        <w:rPr/>
        <w:t>which</w:t>
      </w:r>
      <w:r>
        <w:rPr>
          <w:spacing w:val="-19"/>
        </w:rPr>
        <w:t> </w:t>
      </w:r>
      <w:r>
        <w:rPr/>
        <w:t>are</w:t>
      </w:r>
      <w:r>
        <w:rPr>
          <w:spacing w:val="-20"/>
        </w:rPr>
        <w:t> </w:t>
      </w:r>
      <w:r>
        <w:rPr/>
        <w:t>responsible</w:t>
      </w:r>
      <w:r>
        <w:rPr>
          <w:spacing w:val="-20"/>
        </w:rPr>
        <w:t> </w:t>
      </w:r>
      <w:r>
        <w:rPr/>
        <w:t>for</w:t>
      </w:r>
      <w:r>
        <w:rPr>
          <w:spacing w:val="-19"/>
        </w:rPr>
        <w:t> </w:t>
      </w:r>
      <w:r>
        <w:rPr/>
        <w:t>the creation of so-called messenger substances. If these nutrients are not</w:t>
      </w:r>
      <w:r>
        <w:rPr>
          <w:spacing w:val="-52"/>
        </w:rPr>
        <w:t> </w:t>
      </w:r>
      <w:r>
        <w:rPr/>
        <w:t>available in sufficient quantities, the balance of the natural messengers in the brain, through which our nerve cells communicate with each other, is disturbed - a condition that could lead to depression in the foreseeable</w:t>
      </w:r>
      <w:r>
        <w:rPr>
          <w:spacing w:val="-6"/>
        </w:rPr>
        <w:t> </w:t>
      </w:r>
      <w:r>
        <w:rPr/>
        <w:t>future!</w:t>
      </w:r>
    </w:p>
    <w:p>
      <w:pPr>
        <w:pStyle w:val="BodyText"/>
        <w:spacing w:line="276" w:lineRule="auto" w:before="243"/>
        <w:ind w:left="116" w:right="114"/>
        <w:jc w:val="both"/>
      </w:pPr>
      <w:r>
        <w:rPr/>
        <w:t>Hoping that a patient suffering from depression or burnout will be perma- nently better off by filling them with synthetic and moreover dangerous anti- depressants is like trying to get from A to B without any petrol. Of course, there are only two beneficiaries of this very questionable practice, namely </w:t>
      </w:r>
      <w:r>
        <w:rPr>
          <w:b/>
        </w:rPr>
        <w:t>the pharmaceutical industry and the medical profession</w:t>
      </w:r>
      <w:r>
        <w:rPr/>
        <w:t>, because they make their living from treating you, not curing you!</w:t>
      </w:r>
    </w:p>
    <w:p>
      <w:pPr>
        <w:pStyle w:val="BodyText"/>
        <w:spacing w:line="276" w:lineRule="auto" w:before="240"/>
        <w:ind w:left="116" w:right="113"/>
        <w:jc w:val="both"/>
      </w:pPr>
      <w:r>
        <w:rPr/>
        <w:t>For example, St. John's wort has shown in numerous studies that it is at least on</w:t>
      </w:r>
      <w:r>
        <w:rPr>
          <w:spacing w:val="-18"/>
        </w:rPr>
        <w:t> </w:t>
      </w:r>
      <w:r>
        <w:rPr/>
        <w:t>a</w:t>
      </w:r>
      <w:r>
        <w:rPr>
          <w:spacing w:val="-20"/>
        </w:rPr>
        <w:t> </w:t>
      </w:r>
      <w:r>
        <w:rPr/>
        <w:t>par</w:t>
      </w:r>
      <w:r>
        <w:rPr>
          <w:spacing w:val="-17"/>
        </w:rPr>
        <w:t> </w:t>
      </w:r>
      <w:r>
        <w:rPr/>
        <w:t>with</w:t>
      </w:r>
      <w:r>
        <w:rPr>
          <w:spacing w:val="-18"/>
        </w:rPr>
        <w:t> </w:t>
      </w:r>
      <w:r>
        <w:rPr/>
        <w:t>the</w:t>
      </w:r>
      <w:r>
        <w:rPr>
          <w:spacing w:val="-20"/>
        </w:rPr>
        <w:t> </w:t>
      </w:r>
      <w:r>
        <w:rPr/>
        <w:t>common</w:t>
      </w:r>
      <w:r>
        <w:rPr>
          <w:spacing w:val="-18"/>
        </w:rPr>
        <w:t> </w:t>
      </w:r>
      <w:r>
        <w:rPr/>
        <w:t>drug</w:t>
      </w:r>
      <w:r>
        <w:rPr>
          <w:spacing w:val="-17"/>
        </w:rPr>
        <w:t> </w:t>
      </w:r>
      <w:r>
        <w:rPr/>
        <w:t>‘Fluctin’</w:t>
      </w:r>
      <w:r>
        <w:rPr>
          <w:spacing w:val="-18"/>
        </w:rPr>
        <w:t> </w:t>
      </w:r>
      <w:r>
        <w:rPr/>
        <w:t>(international</w:t>
      </w:r>
      <w:r>
        <w:rPr>
          <w:spacing w:val="-19"/>
        </w:rPr>
        <w:t> </w:t>
      </w:r>
      <w:r>
        <w:rPr/>
        <w:t>name</w:t>
      </w:r>
      <w:r>
        <w:rPr>
          <w:spacing w:val="-17"/>
        </w:rPr>
        <w:t> </w:t>
      </w:r>
      <w:r>
        <w:rPr/>
        <w:t>‘Prozac’)</w:t>
      </w:r>
      <w:r>
        <w:rPr>
          <w:spacing w:val="-18"/>
        </w:rPr>
        <w:t> </w:t>
      </w:r>
      <w:r>
        <w:rPr/>
        <w:t>in</w:t>
      </w:r>
      <w:r>
        <w:rPr>
          <w:spacing w:val="-19"/>
        </w:rPr>
        <w:t> </w:t>
      </w:r>
      <w:r>
        <w:rPr/>
        <w:t>terms of</w:t>
      </w:r>
      <w:r>
        <w:rPr>
          <w:spacing w:val="-16"/>
        </w:rPr>
        <w:t> </w:t>
      </w:r>
      <w:r>
        <w:rPr/>
        <w:t>its</w:t>
      </w:r>
      <w:r>
        <w:rPr>
          <w:spacing w:val="-17"/>
        </w:rPr>
        <w:t> </w:t>
      </w:r>
      <w:r>
        <w:rPr/>
        <w:t>effect!</w:t>
      </w:r>
      <w:r>
        <w:rPr>
          <w:position w:val="9"/>
          <w:sz w:val="25"/>
        </w:rPr>
        <w:t>12</w:t>
      </w:r>
      <w:r>
        <w:rPr>
          <w:spacing w:val="30"/>
          <w:position w:val="9"/>
          <w:sz w:val="25"/>
        </w:rPr>
        <w:t> </w:t>
      </w:r>
      <w:r>
        <w:rPr/>
        <w:t>While</w:t>
      </w:r>
      <w:r>
        <w:rPr>
          <w:spacing w:val="-17"/>
        </w:rPr>
        <w:t> </w:t>
      </w:r>
      <w:r>
        <w:rPr/>
        <w:t>Prozac</w:t>
      </w:r>
      <w:r>
        <w:rPr>
          <w:spacing w:val="-17"/>
        </w:rPr>
        <w:t> </w:t>
      </w:r>
      <w:r>
        <w:rPr/>
        <w:t>has</w:t>
      </w:r>
      <w:r>
        <w:rPr>
          <w:spacing w:val="-18"/>
        </w:rPr>
        <w:t> </w:t>
      </w:r>
      <w:r>
        <w:rPr/>
        <w:t>probably</w:t>
      </w:r>
      <w:r>
        <w:rPr>
          <w:spacing w:val="-17"/>
        </w:rPr>
        <w:t> </w:t>
      </w:r>
      <w:r>
        <w:rPr/>
        <w:t>led</w:t>
      </w:r>
      <w:r>
        <w:rPr>
          <w:spacing w:val="-16"/>
        </w:rPr>
        <w:t> </w:t>
      </w:r>
      <w:r>
        <w:rPr/>
        <w:t>to</w:t>
      </w:r>
      <w:r>
        <w:rPr>
          <w:spacing w:val="-16"/>
        </w:rPr>
        <w:t> </w:t>
      </w:r>
      <w:r>
        <w:rPr/>
        <w:t>numerous</w:t>
      </w:r>
      <w:r>
        <w:rPr>
          <w:spacing w:val="-16"/>
        </w:rPr>
        <w:t> </w:t>
      </w:r>
      <w:r>
        <w:rPr/>
        <w:t>suicides,</w:t>
      </w:r>
      <w:r>
        <w:rPr>
          <w:position w:val="9"/>
          <w:sz w:val="25"/>
        </w:rPr>
        <w:t>13</w:t>
      </w:r>
      <w:r>
        <w:rPr>
          <w:spacing w:val="30"/>
          <w:position w:val="9"/>
          <w:sz w:val="25"/>
        </w:rPr>
        <w:t> </w:t>
      </w:r>
      <w:r>
        <w:rPr/>
        <w:t>St.</w:t>
      </w:r>
      <w:r>
        <w:rPr>
          <w:spacing w:val="-16"/>
        </w:rPr>
        <w:t> </w:t>
      </w:r>
      <w:r>
        <w:rPr/>
        <w:t>John's</w:t>
      </w:r>
    </w:p>
    <w:p>
      <w:pPr>
        <w:pStyle w:val="BodyText"/>
        <w:spacing w:before="10"/>
        <w:rPr>
          <w:sz w:val="15"/>
        </w:rPr>
      </w:pPr>
      <w:r>
        <w:rPr/>
        <w:pict>
          <v:line style="position:absolute;mso-position-horizontal-relative:page;mso-position-vertical-relative:paragraph;z-index:-856;mso-wrap-distance-left:0;mso-wrap-distance-right:0" from="70.823997pt,11.330015pt" to="214.843997pt,11.330015pt" stroked="true" strokeweight=".71997pt" strokecolor="#000000">
            <v:stroke dashstyle="solid"/>
            <w10:wrap type="topAndBottom"/>
          </v:line>
        </w:pict>
      </w:r>
    </w:p>
    <w:p>
      <w:pPr>
        <w:pStyle w:val="BodyText"/>
        <w:spacing w:before="7"/>
        <w:rPr>
          <w:sz w:val="18"/>
        </w:rPr>
      </w:pPr>
    </w:p>
    <w:p>
      <w:pPr>
        <w:spacing w:before="99"/>
        <w:ind w:left="116" w:right="0" w:firstLine="0"/>
        <w:jc w:val="left"/>
        <w:rPr>
          <w:sz w:val="20"/>
        </w:rPr>
      </w:pPr>
      <w:r>
        <w:rPr>
          <w:b/>
          <w:position w:val="4"/>
          <w:sz w:val="10"/>
        </w:rPr>
        <w:t>11 </w:t>
      </w:r>
      <w:hyperlink r:id="rId10">
        <w:r>
          <w:rPr>
            <w:sz w:val="20"/>
          </w:rPr>
          <w:t>http://www.naturheilkunde-news.de/2008/05/07/folsaeure-helfer-gegen-depressionen-gedaechtnisverlust-und-schlaganfall/</w:t>
        </w:r>
      </w:hyperlink>
    </w:p>
    <w:p>
      <w:pPr>
        <w:spacing w:before="94"/>
        <w:ind w:left="116" w:right="0" w:firstLine="0"/>
        <w:jc w:val="left"/>
        <w:rPr>
          <w:sz w:val="20"/>
        </w:rPr>
      </w:pPr>
      <w:r>
        <w:rPr>
          <w:position w:val="5"/>
          <w:sz w:val="13"/>
        </w:rPr>
        <w:t>12 </w:t>
      </w:r>
      <w:hyperlink r:id="rId11">
        <w:r>
          <w:rPr>
            <w:sz w:val="20"/>
          </w:rPr>
          <w:t>http://www.stern.de/gesundheit/johanniskraut-gegen-traurigkeit-gewachsen-1524813.html</w:t>
        </w:r>
      </w:hyperlink>
    </w:p>
    <w:p>
      <w:pPr>
        <w:spacing w:before="92"/>
        <w:ind w:left="116" w:right="0" w:firstLine="0"/>
        <w:jc w:val="left"/>
        <w:rPr>
          <w:sz w:val="20"/>
        </w:rPr>
      </w:pPr>
      <w:r>
        <w:rPr>
          <w:b/>
          <w:position w:val="5"/>
          <w:sz w:val="13"/>
        </w:rPr>
        <w:t>13 </w:t>
      </w:r>
      <w:hyperlink r:id="rId12">
        <w:r>
          <w:rPr>
            <w:sz w:val="20"/>
          </w:rPr>
          <w:t>http://www.welt.de/wissenschaft/article1405811/Die-dunklen-Seiten-der-Gluecksdrogen.html</w:t>
        </w:r>
      </w:hyperlink>
    </w:p>
    <w:p>
      <w:pPr>
        <w:spacing w:after="0"/>
        <w:jc w:val="left"/>
        <w:rPr>
          <w:sz w:val="20"/>
        </w:rPr>
        <w:sectPr>
          <w:pgSz w:w="14260" w:h="16840"/>
          <w:pgMar w:header="0" w:footer="402" w:top="1320" w:bottom="2280" w:left="1300" w:right="1297"/>
        </w:sectPr>
      </w:pPr>
    </w:p>
    <w:p>
      <w:pPr>
        <w:pStyle w:val="BodyText"/>
        <w:spacing w:line="276" w:lineRule="auto" w:before="74"/>
        <w:ind w:left="116" w:right="124"/>
        <w:jc w:val="both"/>
      </w:pPr>
      <w:r>
        <w:rPr/>
        <w:t>wort is usually free of any side effects! But doctors and the pharmaceutical industry do not earn any money by using nature.</w:t>
      </w:r>
    </w:p>
    <w:p>
      <w:pPr>
        <w:pStyle w:val="BodyText"/>
        <w:spacing w:line="276" w:lineRule="auto" w:before="241"/>
        <w:ind w:left="116" w:right="116"/>
        <w:jc w:val="both"/>
      </w:pPr>
      <w:r>
        <w:rPr/>
        <w:t>If we are honest, it's not just the pressure to perform within the fast-paced, ruthless society we live in that torments our psyche and leads to depression</w:t>
      </w:r>
      <w:r>
        <w:rPr>
          <w:spacing w:val="-56"/>
        </w:rPr>
        <w:t> </w:t>
      </w:r>
      <w:r>
        <w:rPr/>
        <w:t>or burnout. In parallel with this negative development, the proportion of nutri- ents in our fruits and vegetables has drastically decreased. The nutrients in- volved in the production of the messenger substances described in the brain, to enable, for example, the production of the so-called happiness hormones ‘serotonin’ or ‘dopamine’, are lacking!</w:t>
      </w:r>
    </w:p>
    <w:p>
      <w:pPr>
        <w:pStyle w:val="BodyText"/>
        <w:spacing w:line="276" w:lineRule="auto" w:before="241"/>
        <w:ind w:left="116" w:right="114"/>
        <w:jc w:val="both"/>
      </w:pPr>
      <w:r>
        <w:rPr/>
        <w:t>For example, the two reputable German newspapers </w:t>
      </w:r>
      <w:r>
        <w:rPr>
          <w:i/>
        </w:rPr>
        <w:t>Welt am Sonntag </w:t>
      </w:r>
      <w:r>
        <w:rPr/>
        <w:t>and the </w:t>
      </w:r>
      <w:r>
        <w:rPr>
          <w:i/>
        </w:rPr>
        <w:t>Westfälische Nachrichten </w:t>
      </w:r>
      <w:r>
        <w:rPr/>
        <w:t>published, for the first time, the results of the</w:t>
      </w:r>
      <w:r>
        <w:rPr>
          <w:spacing w:val="-60"/>
        </w:rPr>
        <w:t> </w:t>
      </w:r>
      <w:r>
        <w:rPr/>
        <w:t>compara- tive studies on the development of nutrient content between 1985 and 1996, conducted by the renowned </w:t>
      </w:r>
      <w:r>
        <w:rPr>
          <w:i/>
        </w:rPr>
        <w:t>Karlsruhe/Sanatorium Oberthal Food Laboratory </w:t>
      </w:r>
      <w:r>
        <w:rPr/>
        <w:t>and the pharmaceutical company Geigy. The results of these two studies were ex- tremely sobering and frightening at the same time. For example, 80 % of the vitamin C in apples has been lost. During the same period, broccoli lost 68 % of</w:t>
      </w:r>
      <w:r>
        <w:rPr>
          <w:spacing w:val="-9"/>
        </w:rPr>
        <w:t> </w:t>
      </w:r>
      <w:r>
        <w:rPr/>
        <w:t>calcium,</w:t>
      </w:r>
      <w:r>
        <w:rPr>
          <w:spacing w:val="-9"/>
        </w:rPr>
        <w:t> </w:t>
      </w:r>
      <w:r>
        <w:rPr/>
        <w:t>the</w:t>
      </w:r>
      <w:r>
        <w:rPr>
          <w:spacing w:val="-8"/>
        </w:rPr>
        <w:t> </w:t>
      </w:r>
      <w:r>
        <w:rPr/>
        <w:t>same</w:t>
      </w:r>
      <w:r>
        <w:rPr>
          <w:spacing w:val="-9"/>
        </w:rPr>
        <w:t> </w:t>
      </w:r>
      <w:r>
        <w:rPr/>
        <w:t>amount</w:t>
      </w:r>
      <w:r>
        <w:rPr>
          <w:spacing w:val="-9"/>
        </w:rPr>
        <w:t> </w:t>
      </w:r>
      <w:r>
        <w:rPr/>
        <w:t>of</w:t>
      </w:r>
      <w:r>
        <w:rPr>
          <w:spacing w:val="-7"/>
        </w:rPr>
        <w:t> </w:t>
      </w:r>
      <w:r>
        <w:rPr/>
        <w:t>magnesium</w:t>
      </w:r>
      <w:r>
        <w:rPr>
          <w:spacing w:val="-9"/>
        </w:rPr>
        <w:t> </w:t>
      </w:r>
      <w:r>
        <w:rPr/>
        <w:t>that</w:t>
      </w:r>
      <w:r>
        <w:rPr>
          <w:spacing w:val="-7"/>
        </w:rPr>
        <w:t> </w:t>
      </w:r>
      <w:r>
        <w:rPr/>
        <w:t>spinach</w:t>
      </w:r>
      <w:r>
        <w:rPr>
          <w:spacing w:val="-9"/>
        </w:rPr>
        <w:t> </w:t>
      </w:r>
      <w:r>
        <w:rPr/>
        <w:t>has</w:t>
      </w:r>
      <w:r>
        <w:rPr>
          <w:spacing w:val="-8"/>
        </w:rPr>
        <w:t> </w:t>
      </w:r>
      <w:r>
        <w:rPr/>
        <w:t>lost.</w:t>
      </w:r>
      <w:r>
        <w:rPr>
          <w:spacing w:val="-11"/>
        </w:rPr>
        <w:t> </w:t>
      </w:r>
      <w:r>
        <w:rPr/>
        <w:t>The</w:t>
      </w:r>
      <w:r>
        <w:rPr>
          <w:spacing w:val="-9"/>
        </w:rPr>
        <w:t> </w:t>
      </w:r>
      <w:r>
        <w:rPr/>
        <w:t>amount of vitamin B6 in bananas has dropped by a whopping 92 %, calcium in pota- toes has fallen by 79 % and folic acid in beans by 61</w:t>
      </w:r>
      <w:r>
        <w:rPr>
          <w:spacing w:val="3"/>
        </w:rPr>
        <w:t> </w:t>
      </w:r>
      <w:r>
        <w:rPr/>
        <w:t>%!</w:t>
      </w:r>
    </w:p>
    <w:p>
      <w:pPr>
        <w:pStyle w:val="BodyText"/>
        <w:spacing w:line="276" w:lineRule="auto" w:before="239"/>
        <w:ind w:left="116" w:right="113"/>
        <w:jc w:val="both"/>
      </w:pPr>
      <w:r>
        <w:rPr/>
        <w:t>Reasons</w:t>
      </w:r>
      <w:r>
        <w:rPr>
          <w:spacing w:val="-6"/>
        </w:rPr>
        <w:t> </w:t>
      </w:r>
      <w:r>
        <w:rPr/>
        <w:t>for</w:t>
      </w:r>
      <w:r>
        <w:rPr>
          <w:spacing w:val="-5"/>
        </w:rPr>
        <w:t> </w:t>
      </w:r>
      <w:r>
        <w:rPr/>
        <w:t>this</w:t>
      </w:r>
      <w:r>
        <w:rPr>
          <w:spacing w:val="-8"/>
        </w:rPr>
        <w:t> </w:t>
      </w:r>
      <w:r>
        <w:rPr/>
        <w:t>dire</w:t>
      </w:r>
      <w:r>
        <w:rPr>
          <w:spacing w:val="-5"/>
        </w:rPr>
        <w:t> </w:t>
      </w:r>
      <w:r>
        <w:rPr/>
        <w:t>state</w:t>
      </w:r>
      <w:r>
        <w:rPr>
          <w:spacing w:val="-7"/>
        </w:rPr>
        <w:t> </w:t>
      </w:r>
      <w:r>
        <w:rPr/>
        <w:t>of</w:t>
      </w:r>
      <w:r>
        <w:rPr>
          <w:spacing w:val="-7"/>
        </w:rPr>
        <w:t> </w:t>
      </w:r>
      <w:r>
        <w:rPr/>
        <w:t>affairs</w:t>
      </w:r>
      <w:r>
        <w:rPr>
          <w:spacing w:val="-6"/>
        </w:rPr>
        <w:t> </w:t>
      </w:r>
      <w:r>
        <w:rPr/>
        <w:t>include</w:t>
      </w:r>
      <w:r>
        <w:rPr>
          <w:spacing w:val="-6"/>
        </w:rPr>
        <w:t> </w:t>
      </w:r>
      <w:r>
        <w:rPr/>
        <w:t>the</w:t>
      </w:r>
      <w:r>
        <w:rPr>
          <w:spacing w:val="-7"/>
        </w:rPr>
        <w:t> </w:t>
      </w:r>
      <w:r>
        <w:rPr/>
        <w:t>use</w:t>
      </w:r>
      <w:r>
        <w:rPr>
          <w:spacing w:val="-7"/>
        </w:rPr>
        <w:t> </w:t>
      </w:r>
      <w:r>
        <w:rPr/>
        <w:t>of</w:t>
      </w:r>
      <w:r>
        <w:rPr>
          <w:spacing w:val="-7"/>
        </w:rPr>
        <w:t> </w:t>
      </w:r>
      <w:r>
        <w:rPr/>
        <w:t>growth</w:t>
      </w:r>
      <w:r>
        <w:rPr>
          <w:spacing w:val="-6"/>
        </w:rPr>
        <w:t> </w:t>
      </w:r>
      <w:r>
        <w:rPr/>
        <w:t>promoters,</w:t>
      </w:r>
      <w:r>
        <w:rPr>
          <w:spacing w:val="-6"/>
        </w:rPr>
        <w:t> </w:t>
      </w:r>
      <w:r>
        <w:rPr/>
        <w:t>pes- ticides,</w:t>
      </w:r>
      <w:r>
        <w:rPr>
          <w:spacing w:val="-11"/>
        </w:rPr>
        <w:t> </w:t>
      </w:r>
      <w:r>
        <w:rPr/>
        <w:t>fungicides,</w:t>
      </w:r>
      <w:r>
        <w:rPr>
          <w:spacing w:val="-10"/>
        </w:rPr>
        <w:t> </w:t>
      </w:r>
      <w:r>
        <w:rPr/>
        <w:t>long</w:t>
      </w:r>
      <w:r>
        <w:rPr>
          <w:spacing w:val="-14"/>
        </w:rPr>
        <w:t> </w:t>
      </w:r>
      <w:r>
        <w:rPr/>
        <w:t>transport</w:t>
      </w:r>
      <w:r>
        <w:rPr>
          <w:spacing w:val="-14"/>
        </w:rPr>
        <w:t> </w:t>
      </w:r>
      <w:r>
        <w:rPr/>
        <w:t>routes</w:t>
      </w:r>
      <w:r>
        <w:rPr>
          <w:spacing w:val="-11"/>
        </w:rPr>
        <w:t> </w:t>
      </w:r>
      <w:r>
        <w:rPr/>
        <w:t>and,</w:t>
      </w:r>
      <w:r>
        <w:rPr>
          <w:spacing w:val="-12"/>
        </w:rPr>
        <w:t> </w:t>
      </w:r>
      <w:r>
        <w:rPr/>
        <w:t>of</w:t>
      </w:r>
      <w:r>
        <w:rPr>
          <w:spacing w:val="-11"/>
        </w:rPr>
        <w:t> </w:t>
      </w:r>
      <w:r>
        <w:rPr/>
        <w:t>course,</w:t>
      </w:r>
      <w:r>
        <w:rPr>
          <w:spacing w:val="-11"/>
        </w:rPr>
        <w:t> </w:t>
      </w:r>
      <w:r>
        <w:rPr/>
        <w:t>the</w:t>
      </w:r>
      <w:r>
        <w:rPr>
          <w:spacing w:val="-13"/>
        </w:rPr>
        <w:t> </w:t>
      </w:r>
      <w:r>
        <w:rPr/>
        <w:t>increasingly</w:t>
      </w:r>
      <w:r>
        <w:rPr>
          <w:spacing w:val="-11"/>
        </w:rPr>
        <w:t> </w:t>
      </w:r>
      <w:r>
        <w:rPr/>
        <w:t>signif- icant</w:t>
      </w:r>
      <w:r>
        <w:rPr>
          <w:spacing w:val="37"/>
        </w:rPr>
        <w:t> </w:t>
      </w:r>
      <w:r>
        <w:rPr/>
        <w:t>environmental</w:t>
      </w:r>
      <w:r>
        <w:rPr>
          <w:spacing w:val="37"/>
        </w:rPr>
        <w:t> </w:t>
      </w:r>
      <w:r>
        <w:rPr/>
        <w:t>pollution.</w:t>
      </w:r>
      <w:r>
        <w:rPr>
          <w:spacing w:val="39"/>
        </w:rPr>
        <w:t> </w:t>
      </w:r>
      <w:r>
        <w:rPr/>
        <w:t>Another</w:t>
      </w:r>
      <w:r>
        <w:rPr>
          <w:spacing w:val="39"/>
        </w:rPr>
        <w:t> </w:t>
      </w:r>
      <w:r>
        <w:rPr/>
        <w:t>reason</w:t>
      </w:r>
      <w:r>
        <w:rPr>
          <w:spacing w:val="36"/>
        </w:rPr>
        <w:t> </w:t>
      </w:r>
      <w:r>
        <w:rPr/>
        <w:t>for</w:t>
      </w:r>
      <w:r>
        <w:rPr>
          <w:spacing w:val="37"/>
        </w:rPr>
        <w:t> </w:t>
      </w:r>
      <w:r>
        <w:rPr/>
        <w:t>a</w:t>
      </w:r>
      <w:r>
        <w:rPr>
          <w:spacing w:val="37"/>
        </w:rPr>
        <w:t> </w:t>
      </w:r>
      <w:r>
        <w:rPr/>
        <w:t>lack</w:t>
      </w:r>
      <w:r>
        <w:rPr>
          <w:spacing w:val="36"/>
        </w:rPr>
        <w:t> </w:t>
      </w:r>
      <w:r>
        <w:rPr/>
        <w:t>of</w:t>
      </w:r>
      <w:r>
        <w:rPr>
          <w:spacing w:val="36"/>
        </w:rPr>
        <w:t> </w:t>
      </w:r>
      <w:r>
        <w:rPr/>
        <w:t>nutrients</w:t>
      </w:r>
      <w:r>
        <w:rPr>
          <w:spacing w:val="39"/>
        </w:rPr>
        <w:t> </w:t>
      </w:r>
      <w:r>
        <w:rPr/>
        <w:t>is</w:t>
      </w:r>
      <w:r>
        <w:rPr>
          <w:spacing w:val="38"/>
        </w:rPr>
        <w:t> </w:t>
      </w:r>
      <w:r>
        <w:rPr/>
        <w:t>the</w:t>
      </w:r>
    </w:p>
    <w:p>
      <w:pPr>
        <w:spacing w:after="0" w:line="276" w:lineRule="auto"/>
        <w:jc w:val="both"/>
        <w:sectPr>
          <w:pgSz w:w="14260" w:h="16840"/>
          <w:pgMar w:header="0" w:footer="402" w:top="1320" w:bottom="2280" w:left="1300" w:right="1297"/>
        </w:sectPr>
      </w:pPr>
    </w:p>
    <w:p>
      <w:pPr>
        <w:pStyle w:val="BodyText"/>
        <w:spacing w:line="276" w:lineRule="auto" w:before="74"/>
        <w:ind w:left="116" w:right="115"/>
        <w:jc w:val="both"/>
      </w:pPr>
      <w:r>
        <w:rPr/>
        <w:t>impaired intestinal flora. Most of the nutrients are absorbed in </w:t>
      </w:r>
      <w:r>
        <w:rPr>
          <w:spacing w:val="3"/>
        </w:rPr>
        <w:t>the </w:t>
      </w:r>
      <w:r>
        <w:rPr/>
        <w:t>intestine; but this is completely full of waste products in the vast majority of people in industrialised countries, and is impaired by frequent sugar consumption, anti- biotics and toxins such as amalgam. Such an overworked and impaired intes- tine</w:t>
      </w:r>
      <w:r>
        <w:rPr>
          <w:spacing w:val="-23"/>
        </w:rPr>
        <w:t> </w:t>
      </w:r>
      <w:r>
        <w:rPr/>
        <w:t>can</w:t>
      </w:r>
      <w:r>
        <w:rPr>
          <w:spacing w:val="-23"/>
        </w:rPr>
        <w:t> </w:t>
      </w:r>
      <w:r>
        <w:rPr/>
        <w:t>no</w:t>
      </w:r>
      <w:r>
        <w:rPr>
          <w:spacing w:val="-23"/>
        </w:rPr>
        <w:t> </w:t>
      </w:r>
      <w:r>
        <w:rPr/>
        <w:t>longer</w:t>
      </w:r>
      <w:r>
        <w:rPr>
          <w:spacing w:val="-23"/>
        </w:rPr>
        <w:t> </w:t>
      </w:r>
      <w:r>
        <w:rPr/>
        <w:t>guarantee</w:t>
      </w:r>
      <w:r>
        <w:rPr>
          <w:spacing w:val="-23"/>
        </w:rPr>
        <w:t> </w:t>
      </w:r>
      <w:r>
        <w:rPr/>
        <w:t>the</w:t>
      </w:r>
      <w:r>
        <w:rPr>
          <w:spacing w:val="-23"/>
        </w:rPr>
        <w:t> </w:t>
      </w:r>
      <w:r>
        <w:rPr/>
        <w:t>function</w:t>
      </w:r>
      <w:r>
        <w:rPr>
          <w:spacing w:val="-23"/>
        </w:rPr>
        <w:t> </w:t>
      </w:r>
      <w:r>
        <w:rPr/>
        <w:t>of</w:t>
      </w:r>
      <w:r>
        <w:rPr>
          <w:spacing w:val="-23"/>
        </w:rPr>
        <w:t> </w:t>
      </w:r>
      <w:r>
        <w:rPr/>
        <w:t>metabolising</w:t>
      </w:r>
      <w:r>
        <w:rPr>
          <w:spacing w:val="-23"/>
        </w:rPr>
        <w:t> </w:t>
      </w:r>
      <w:r>
        <w:rPr/>
        <w:t>food</w:t>
      </w:r>
      <w:r>
        <w:rPr>
          <w:spacing w:val="-24"/>
        </w:rPr>
        <w:t> </w:t>
      </w:r>
      <w:r>
        <w:rPr/>
        <w:t>(decomposition and</w:t>
      </w:r>
      <w:r>
        <w:rPr>
          <w:spacing w:val="-7"/>
        </w:rPr>
        <w:t> </w:t>
      </w:r>
      <w:r>
        <w:rPr/>
        <w:t>uptake</w:t>
      </w:r>
      <w:r>
        <w:rPr>
          <w:spacing w:val="-6"/>
        </w:rPr>
        <w:t> </w:t>
      </w:r>
      <w:r>
        <w:rPr/>
        <w:t>of</w:t>
      </w:r>
      <w:r>
        <w:rPr>
          <w:spacing w:val="-6"/>
        </w:rPr>
        <w:t> </w:t>
      </w:r>
      <w:r>
        <w:rPr/>
        <w:t>nutrients),</w:t>
      </w:r>
      <w:r>
        <w:rPr>
          <w:spacing w:val="-6"/>
        </w:rPr>
        <w:t> </w:t>
      </w:r>
      <w:r>
        <w:rPr/>
        <w:t>and</w:t>
      </w:r>
      <w:r>
        <w:rPr>
          <w:spacing w:val="-6"/>
        </w:rPr>
        <w:t> </w:t>
      </w:r>
      <w:r>
        <w:rPr/>
        <w:t>only</w:t>
      </w:r>
      <w:r>
        <w:rPr>
          <w:spacing w:val="-5"/>
        </w:rPr>
        <w:t> </w:t>
      </w:r>
      <w:r>
        <w:rPr/>
        <w:t>a</w:t>
      </w:r>
      <w:r>
        <w:rPr>
          <w:spacing w:val="-9"/>
        </w:rPr>
        <w:t> </w:t>
      </w:r>
      <w:r>
        <w:rPr/>
        <w:t>fraction</w:t>
      </w:r>
      <w:r>
        <w:rPr>
          <w:spacing w:val="-5"/>
        </w:rPr>
        <w:t> </w:t>
      </w:r>
      <w:r>
        <w:rPr/>
        <w:t>of</w:t>
      </w:r>
      <w:r>
        <w:rPr>
          <w:spacing w:val="-6"/>
        </w:rPr>
        <w:t> </w:t>
      </w:r>
      <w:r>
        <w:rPr/>
        <w:t>the</w:t>
      </w:r>
      <w:r>
        <w:rPr>
          <w:spacing w:val="-7"/>
        </w:rPr>
        <w:t> </w:t>
      </w:r>
      <w:r>
        <w:rPr/>
        <w:t>already</w:t>
      </w:r>
      <w:r>
        <w:rPr>
          <w:spacing w:val="-6"/>
        </w:rPr>
        <w:t> </w:t>
      </w:r>
      <w:r>
        <w:rPr/>
        <w:t>negligible</w:t>
      </w:r>
      <w:r>
        <w:rPr>
          <w:spacing w:val="-7"/>
        </w:rPr>
        <w:t> </w:t>
      </w:r>
      <w:r>
        <w:rPr/>
        <w:t>nutrients in our food will be</w:t>
      </w:r>
      <w:r>
        <w:rPr>
          <w:spacing w:val="1"/>
        </w:rPr>
        <w:t> </w:t>
      </w:r>
      <w:r>
        <w:rPr/>
        <w:t>absorbed!</w:t>
      </w:r>
    </w:p>
    <w:p>
      <w:pPr>
        <w:pStyle w:val="BodyText"/>
        <w:spacing w:line="276" w:lineRule="auto" w:before="240"/>
        <w:ind w:left="116" w:right="115"/>
        <w:jc w:val="both"/>
      </w:pPr>
      <w:r>
        <w:rPr>
          <w:i/>
        </w:rPr>
        <w:t>We</w:t>
      </w:r>
      <w:r>
        <w:rPr>
          <w:i/>
          <w:spacing w:val="-17"/>
        </w:rPr>
        <w:t> </w:t>
      </w:r>
      <w:r>
        <w:rPr>
          <w:i/>
        </w:rPr>
        <w:t>hold</w:t>
      </w:r>
      <w:r>
        <w:rPr>
          <w:i/>
          <w:spacing w:val="-17"/>
        </w:rPr>
        <w:t> </w:t>
      </w:r>
      <w:r>
        <w:rPr>
          <w:i/>
        </w:rPr>
        <w:t>the</w:t>
      </w:r>
      <w:r>
        <w:rPr>
          <w:i/>
          <w:spacing w:val="-17"/>
        </w:rPr>
        <w:t> </w:t>
      </w:r>
      <w:r>
        <w:rPr>
          <w:i/>
        </w:rPr>
        <w:t>view</w:t>
      </w:r>
      <w:r>
        <w:rPr>
          <w:i/>
          <w:spacing w:val="-16"/>
        </w:rPr>
        <w:t> </w:t>
      </w:r>
      <w:r>
        <w:rPr>
          <w:i/>
        </w:rPr>
        <w:t>that</w:t>
      </w:r>
      <w:r>
        <w:rPr>
          <w:i/>
          <w:spacing w:val="-14"/>
        </w:rPr>
        <w:t> </w:t>
      </w:r>
      <w:r>
        <w:rPr/>
        <w:t>while</w:t>
      </w:r>
      <w:r>
        <w:rPr>
          <w:spacing w:val="-17"/>
        </w:rPr>
        <w:t> </w:t>
      </w:r>
      <w:r>
        <w:rPr/>
        <w:t>stress</w:t>
      </w:r>
      <w:r>
        <w:rPr>
          <w:spacing w:val="-14"/>
        </w:rPr>
        <w:t> </w:t>
      </w:r>
      <w:r>
        <w:rPr/>
        <w:t>factors</w:t>
      </w:r>
      <w:r>
        <w:rPr>
          <w:spacing w:val="-16"/>
        </w:rPr>
        <w:t> </w:t>
      </w:r>
      <w:r>
        <w:rPr/>
        <w:t>have</w:t>
      </w:r>
      <w:r>
        <w:rPr>
          <w:spacing w:val="-15"/>
        </w:rPr>
        <w:t> </w:t>
      </w:r>
      <w:r>
        <w:rPr/>
        <w:t>disproportionately</w:t>
      </w:r>
      <w:r>
        <w:rPr>
          <w:spacing w:val="-17"/>
        </w:rPr>
        <w:t> </w:t>
      </w:r>
      <w:r>
        <w:rPr/>
        <w:t>exploded</w:t>
      </w:r>
      <w:r>
        <w:rPr>
          <w:spacing w:val="-16"/>
        </w:rPr>
        <w:t> </w:t>
      </w:r>
      <w:r>
        <w:rPr/>
        <w:t>in</w:t>
      </w:r>
      <w:r>
        <w:rPr>
          <w:spacing w:val="-12"/>
        </w:rPr>
        <w:t> </w:t>
      </w:r>
      <w:r>
        <w:rPr/>
        <w:t>the last</w:t>
      </w:r>
      <w:r>
        <w:rPr>
          <w:spacing w:val="-8"/>
        </w:rPr>
        <w:t> </w:t>
      </w:r>
      <w:r>
        <w:rPr/>
        <w:t>30</w:t>
      </w:r>
      <w:r>
        <w:rPr>
          <w:spacing w:val="-9"/>
        </w:rPr>
        <w:t> </w:t>
      </w:r>
      <w:r>
        <w:rPr/>
        <w:t>years,</w:t>
      </w:r>
      <w:r>
        <w:rPr>
          <w:spacing w:val="-9"/>
        </w:rPr>
        <w:t> </w:t>
      </w:r>
      <w:r>
        <w:rPr/>
        <w:t>the</w:t>
      </w:r>
      <w:r>
        <w:rPr>
          <w:spacing w:val="-9"/>
        </w:rPr>
        <w:t> </w:t>
      </w:r>
      <w:r>
        <w:rPr/>
        <w:t>nutritional</w:t>
      </w:r>
      <w:r>
        <w:rPr>
          <w:spacing w:val="-8"/>
        </w:rPr>
        <w:t> </w:t>
      </w:r>
      <w:r>
        <w:rPr/>
        <w:t>content</w:t>
      </w:r>
      <w:r>
        <w:rPr>
          <w:spacing w:val="-8"/>
        </w:rPr>
        <w:t> </w:t>
      </w:r>
      <w:r>
        <w:rPr/>
        <w:t>in</w:t>
      </w:r>
      <w:r>
        <w:rPr>
          <w:spacing w:val="-9"/>
        </w:rPr>
        <w:t> </w:t>
      </w:r>
      <w:r>
        <w:rPr/>
        <w:t>our</w:t>
      </w:r>
      <w:r>
        <w:rPr>
          <w:spacing w:val="-8"/>
        </w:rPr>
        <w:t> </w:t>
      </w:r>
      <w:r>
        <w:rPr/>
        <w:t>fruits</w:t>
      </w:r>
      <w:r>
        <w:rPr>
          <w:spacing w:val="-10"/>
        </w:rPr>
        <w:t> </w:t>
      </w:r>
      <w:r>
        <w:rPr/>
        <w:t>and</w:t>
      </w:r>
      <w:r>
        <w:rPr>
          <w:spacing w:val="-8"/>
        </w:rPr>
        <w:t> </w:t>
      </w:r>
      <w:r>
        <w:rPr/>
        <w:t>vegetables</w:t>
      </w:r>
      <w:r>
        <w:rPr>
          <w:spacing w:val="-7"/>
        </w:rPr>
        <w:t> </w:t>
      </w:r>
      <w:r>
        <w:rPr/>
        <w:t>has</w:t>
      </w:r>
      <w:r>
        <w:rPr>
          <w:spacing w:val="-8"/>
        </w:rPr>
        <w:t> </w:t>
      </w:r>
      <w:r>
        <w:rPr/>
        <w:t>fallen</w:t>
      </w:r>
      <w:r>
        <w:rPr>
          <w:spacing w:val="-7"/>
        </w:rPr>
        <w:t> </w:t>
      </w:r>
      <w:r>
        <w:rPr/>
        <w:t>dra- matically,</w:t>
      </w:r>
      <w:r>
        <w:rPr>
          <w:spacing w:val="-19"/>
        </w:rPr>
        <w:t> </w:t>
      </w:r>
      <w:r>
        <w:rPr/>
        <w:t>and</w:t>
      </w:r>
      <w:r>
        <w:rPr>
          <w:spacing w:val="-20"/>
        </w:rPr>
        <w:t> </w:t>
      </w:r>
      <w:r>
        <w:rPr/>
        <w:t>this</w:t>
      </w:r>
      <w:r>
        <w:rPr>
          <w:spacing w:val="-18"/>
        </w:rPr>
        <w:t> </w:t>
      </w:r>
      <w:r>
        <w:rPr/>
        <w:t>affects</w:t>
      </w:r>
      <w:r>
        <w:rPr>
          <w:spacing w:val="-20"/>
        </w:rPr>
        <w:t> </w:t>
      </w:r>
      <w:r>
        <w:rPr/>
        <w:t>exactly</w:t>
      </w:r>
      <w:r>
        <w:rPr>
          <w:spacing w:val="-20"/>
        </w:rPr>
        <w:t> </w:t>
      </w:r>
      <w:r>
        <w:rPr/>
        <w:t>those</w:t>
      </w:r>
      <w:r>
        <w:rPr>
          <w:spacing w:val="-19"/>
        </w:rPr>
        <w:t> </w:t>
      </w:r>
      <w:r>
        <w:rPr/>
        <w:t>nutrients</w:t>
      </w:r>
      <w:r>
        <w:rPr>
          <w:spacing w:val="-18"/>
        </w:rPr>
        <w:t> </w:t>
      </w:r>
      <w:r>
        <w:rPr/>
        <w:t>needed</w:t>
      </w:r>
      <w:r>
        <w:rPr>
          <w:spacing w:val="-19"/>
        </w:rPr>
        <w:t> </w:t>
      </w:r>
      <w:r>
        <w:rPr/>
        <w:t>to</w:t>
      </w:r>
      <w:r>
        <w:rPr>
          <w:spacing w:val="-19"/>
        </w:rPr>
        <w:t> </w:t>
      </w:r>
      <w:r>
        <w:rPr/>
        <w:t>balance</w:t>
      </w:r>
      <w:r>
        <w:rPr>
          <w:spacing w:val="-17"/>
        </w:rPr>
        <w:t> </w:t>
      </w:r>
      <w:r>
        <w:rPr/>
        <w:t>our</w:t>
      </w:r>
      <w:r>
        <w:rPr>
          <w:spacing w:val="-20"/>
        </w:rPr>
        <w:t> </w:t>
      </w:r>
      <w:r>
        <w:rPr/>
        <w:t>psyche. Furthermore, most ‘modern’ people have an impaired intestinal flora, which makes optimal nutrient absorption</w:t>
      </w:r>
      <w:r>
        <w:rPr>
          <w:spacing w:val="-1"/>
        </w:rPr>
        <w:t> </w:t>
      </w:r>
      <w:r>
        <w:rPr/>
        <w:t>impossible.</w:t>
      </w:r>
    </w:p>
    <w:p>
      <w:pPr>
        <w:pStyle w:val="Heading2"/>
        <w:spacing w:before="243"/>
        <w:ind w:left="116"/>
      </w:pPr>
      <w:r>
        <w:rPr/>
        <w:t>Here's what you should know:</w:t>
      </w:r>
    </w:p>
    <w:p>
      <w:pPr>
        <w:pStyle w:val="ListParagraph"/>
        <w:numPr>
          <w:ilvl w:val="1"/>
          <w:numId w:val="8"/>
        </w:numPr>
        <w:tabs>
          <w:tab w:pos="830" w:val="left" w:leader="none"/>
        </w:tabs>
        <w:spacing w:line="273" w:lineRule="auto" w:before="304" w:after="0"/>
        <w:ind w:left="829" w:right="118" w:hanging="355"/>
        <w:jc w:val="both"/>
        <w:rPr>
          <w:sz w:val="38"/>
        </w:rPr>
      </w:pPr>
      <w:r>
        <w:rPr>
          <w:sz w:val="38"/>
        </w:rPr>
        <w:t>The</w:t>
      </w:r>
      <w:r>
        <w:rPr>
          <w:spacing w:val="-8"/>
          <w:sz w:val="38"/>
        </w:rPr>
        <w:t> </w:t>
      </w:r>
      <w:r>
        <w:rPr>
          <w:sz w:val="38"/>
        </w:rPr>
        <w:t>use</w:t>
      </w:r>
      <w:r>
        <w:rPr>
          <w:spacing w:val="-8"/>
          <w:sz w:val="38"/>
        </w:rPr>
        <w:t> </w:t>
      </w:r>
      <w:r>
        <w:rPr>
          <w:sz w:val="38"/>
        </w:rPr>
        <w:t>of</w:t>
      </w:r>
      <w:r>
        <w:rPr>
          <w:spacing w:val="-10"/>
          <w:sz w:val="38"/>
        </w:rPr>
        <w:t> </w:t>
      </w:r>
      <w:r>
        <w:rPr>
          <w:sz w:val="38"/>
        </w:rPr>
        <w:t>natural</w:t>
      </w:r>
      <w:r>
        <w:rPr>
          <w:spacing w:val="-8"/>
          <w:sz w:val="38"/>
        </w:rPr>
        <w:t> </w:t>
      </w:r>
      <w:r>
        <w:rPr>
          <w:sz w:val="38"/>
        </w:rPr>
        <w:t>vitamin</w:t>
      </w:r>
      <w:r>
        <w:rPr>
          <w:spacing w:val="-9"/>
          <w:sz w:val="38"/>
        </w:rPr>
        <w:t> </w:t>
      </w:r>
      <w:r>
        <w:rPr>
          <w:sz w:val="38"/>
        </w:rPr>
        <w:t>C,</w:t>
      </w:r>
      <w:r>
        <w:rPr>
          <w:spacing w:val="-8"/>
          <w:sz w:val="38"/>
        </w:rPr>
        <w:t> </w:t>
      </w:r>
      <w:r>
        <w:rPr>
          <w:sz w:val="38"/>
        </w:rPr>
        <w:t>which</w:t>
      </w:r>
      <w:r>
        <w:rPr>
          <w:spacing w:val="-7"/>
          <w:sz w:val="38"/>
        </w:rPr>
        <w:t> </w:t>
      </w:r>
      <w:r>
        <w:rPr>
          <w:sz w:val="38"/>
        </w:rPr>
        <w:t>crosses</w:t>
      </w:r>
      <w:r>
        <w:rPr>
          <w:spacing w:val="-7"/>
          <w:sz w:val="38"/>
        </w:rPr>
        <w:t> </w:t>
      </w:r>
      <w:r>
        <w:rPr>
          <w:sz w:val="38"/>
        </w:rPr>
        <w:t>the</w:t>
      </w:r>
      <w:r>
        <w:rPr>
          <w:spacing w:val="-9"/>
          <w:sz w:val="38"/>
        </w:rPr>
        <w:t> </w:t>
      </w:r>
      <w:r>
        <w:rPr>
          <w:sz w:val="38"/>
        </w:rPr>
        <w:t>blood-brain</w:t>
      </w:r>
      <w:r>
        <w:rPr>
          <w:spacing w:val="-8"/>
          <w:sz w:val="38"/>
        </w:rPr>
        <w:t> </w:t>
      </w:r>
      <w:r>
        <w:rPr>
          <w:sz w:val="38"/>
        </w:rPr>
        <w:t>barrier,</w:t>
      </w:r>
      <w:r>
        <w:rPr>
          <w:spacing w:val="-7"/>
          <w:sz w:val="38"/>
        </w:rPr>
        <w:t> </w:t>
      </w:r>
      <w:r>
        <w:rPr>
          <w:sz w:val="38"/>
        </w:rPr>
        <w:t>opti- mises the calcium metabolism and thus acts against</w:t>
      </w:r>
      <w:r>
        <w:rPr>
          <w:spacing w:val="-2"/>
          <w:sz w:val="38"/>
        </w:rPr>
        <w:t> </w:t>
      </w:r>
      <w:r>
        <w:rPr>
          <w:sz w:val="38"/>
        </w:rPr>
        <w:t>depression.</w:t>
      </w:r>
    </w:p>
    <w:p>
      <w:pPr>
        <w:pStyle w:val="BodyText"/>
        <w:spacing w:before="4"/>
        <w:rPr>
          <w:sz w:val="44"/>
        </w:rPr>
      </w:pPr>
    </w:p>
    <w:p>
      <w:pPr>
        <w:pStyle w:val="ListParagraph"/>
        <w:numPr>
          <w:ilvl w:val="1"/>
          <w:numId w:val="8"/>
        </w:numPr>
        <w:tabs>
          <w:tab w:pos="830" w:val="left" w:leader="none"/>
        </w:tabs>
        <w:spacing w:line="273" w:lineRule="auto" w:before="0" w:after="0"/>
        <w:ind w:left="829" w:right="115" w:hanging="355"/>
        <w:jc w:val="both"/>
        <w:rPr>
          <w:sz w:val="38"/>
        </w:rPr>
      </w:pPr>
      <w:r>
        <w:rPr>
          <w:sz w:val="38"/>
        </w:rPr>
        <w:t>Tyrosine and phenylalanine supply the so-called benzene ring, which is responsible for the synthesis of the neurotransmitters ‘adrenaline’, ‘nore- pinephrine’ and</w:t>
      </w:r>
      <w:r>
        <w:rPr>
          <w:spacing w:val="-2"/>
          <w:sz w:val="38"/>
        </w:rPr>
        <w:t> </w:t>
      </w:r>
      <w:r>
        <w:rPr>
          <w:sz w:val="38"/>
        </w:rPr>
        <w:t>‘dopamine’.</w:t>
      </w:r>
    </w:p>
    <w:p>
      <w:pPr>
        <w:pStyle w:val="BodyText"/>
        <w:spacing w:before="9"/>
        <w:rPr>
          <w:sz w:val="44"/>
        </w:rPr>
      </w:pPr>
    </w:p>
    <w:p>
      <w:pPr>
        <w:pStyle w:val="ListParagraph"/>
        <w:numPr>
          <w:ilvl w:val="1"/>
          <w:numId w:val="8"/>
        </w:numPr>
        <w:tabs>
          <w:tab w:pos="830" w:val="left" w:leader="none"/>
        </w:tabs>
        <w:spacing w:line="273" w:lineRule="auto" w:before="0" w:after="0"/>
        <w:ind w:left="829" w:right="120" w:hanging="355"/>
        <w:jc w:val="both"/>
        <w:rPr>
          <w:sz w:val="38"/>
        </w:rPr>
      </w:pPr>
      <w:r>
        <w:rPr>
          <w:sz w:val="38"/>
        </w:rPr>
        <w:t>SAM (S-adenosyl-methionine) increases the serotonin level as well as the serum</w:t>
      </w:r>
      <w:r>
        <w:rPr>
          <w:spacing w:val="29"/>
          <w:sz w:val="38"/>
        </w:rPr>
        <w:t> </w:t>
      </w:r>
      <w:r>
        <w:rPr>
          <w:sz w:val="38"/>
        </w:rPr>
        <w:t>levels</w:t>
      </w:r>
      <w:r>
        <w:rPr>
          <w:spacing w:val="31"/>
          <w:sz w:val="38"/>
        </w:rPr>
        <w:t> </w:t>
      </w:r>
      <w:r>
        <w:rPr>
          <w:sz w:val="38"/>
        </w:rPr>
        <w:t>of</w:t>
      </w:r>
      <w:r>
        <w:rPr>
          <w:spacing w:val="27"/>
          <w:sz w:val="38"/>
        </w:rPr>
        <w:t> </w:t>
      </w:r>
      <w:r>
        <w:rPr>
          <w:sz w:val="38"/>
        </w:rPr>
        <w:t>phosphatidylserine</w:t>
      </w:r>
      <w:r>
        <w:rPr>
          <w:spacing w:val="31"/>
          <w:sz w:val="38"/>
        </w:rPr>
        <w:t> </w:t>
      </w:r>
      <w:r>
        <w:rPr>
          <w:sz w:val="38"/>
        </w:rPr>
        <w:t>and</w:t>
      </w:r>
      <w:r>
        <w:rPr>
          <w:spacing w:val="29"/>
          <w:sz w:val="38"/>
        </w:rPr>
        <w:t> </w:t>
      </w:r>
      <w:r>
        <w:rPr>
          <w:sz w:val="38"/>
        </w:rPr>
        <w:t>dopamine</w:t>
      </w:r>
      <w:r>
        <w:rPr>
          <w:spacing w:val="31"/>
          <w:sz w:val="38"/>
        </w:rPr>
        <w:t> </w:t>
      </w:r>
      <w:r>
        <w:rPr>
          <w:sz w:val="38"/>
        </w:rPr>
        <w:t>and</w:t>
      </w:r>
      <w:r>
        <w:rPr>
          <w:spacing w:val="30"/>
          <w:sz w:val="38"/>
        </w:rPr>
        <w:t> </w:t>
      </w:r>
      <w:r>
        <w:rPr>
          <w:sz w:val="38"/>
        </w:rPr>
        <w:t>can</w:t>
      </w:r>
      <w:r>
        <w:rPr>
          <w:spacing w:val="29"/>
          <w:sz w:val="38"/>
        </w:rPr>
        <w:t> </w:t>
      </w:r>
      <w:r>
        <w:rPr>
          <w:sz w:val="38"/>
        </w:rPr>
        <w:t>thus</w:t>
      </w:r>
      <w:r>
        <w:rPr>
          <w:spacing w:val="25"/>
          <w:sz w:val="38"/>
        </w:rPr>
        <w:t> </w:t>
      </w:r>
      <w:r>
        <w:rPr>
          <w:sz w:val="38"/>
        </w:rPr>
        <w:t>be</w:t>
      </w:r>
      <w:r>
        <w:rPr>
          <w:spacing w:val="31"/>
          <w:sz w:val="38"/>
        </w:rPr>
        <w:t> </w:t>
      </w:r>
      <w:r>
        <w:rPr>
          <w:sz w:val="38"/>
        </w:rPr>
        <w:t>very</w:t>
      </w:r>
    </w:p>
    <w:p>
      <w:pPr>
        <w:spacing w:after="0" w:line="273" w:lineRule="auto"/>
        <w:jc w:val="both"/>
        <w:rPr>
          <w:sz w:val="38"/>
        </w:rPr>
        <w:sectPr>
          <w:pgSz w:w="14260" w:h="16840"/>
          <w:pgMar w:header="0" w:footer="402" w:top="1320" w:bottom="2280" w:left="1300" w:right="1297"/>
        </w:sectPr>
      </w:pPr>
    </w:p>
    <w:p>
      <w:pPr>
        <w:pStyle w:val="BodyText"/>
        <w:spacing w:before="74"/>
        <w:ind w:left="829"/>
      </w:pPr>
      <w:r>
        <w:rPr/>
        <w:t>helpful against depression and burnout.</w:t>
      </w:r>
    </w:p>
    <w:p>
      <w:pPr>
        <w:pStyle w:val="ListParagraph"/>
        <w:numPr>
          <w:ilvl w:val="1"/>
          <w:numId w:val="8"/>
        </w:numPr>
        <w:tabs>
          <w:tab w:pos="837" w:val="left" w:leader="none"/>
        </w:tabs>
        <w:spacing w:line="273" w:lineRule="auto" w:before="306" w:after="0"/>
        <w:ind w:left="836" w:right="115" w:hanging="360"/>
        <w:jc w:val="both"/>
        <w:rPr>
          <w:sz w:val="38"/>
        </w:rPr>
      </w:pPr>
      <w:r>
        <w:rPr>
          <w:sz w:val="38"/>
        </w:rPr>
        <w:t>St. John's wort lowers the stress hormone ‘cortisol’, while increasing the number</w:t>
      </w:r>
      <w:r>
        <w:rPr>
          <w:spacing w:val="-14"/>
          <w:sz w:val="38"/>
        </w:rPr>
        <w:t> </w:t>
      </w:r>
      <w:r>
        <w:rPr>
          <w:sz w:val="38"/>
        </w:rPr>
        <w:t>of</w:t>
      </w:r>
      <w:r>
        <w:rPr>
          <w:spacing w:val="-14"/>
          <w:sz w:val="38"/>
        </w:rPr>
        <w:t> </w:t>
      </w:r>
      <w:r>
        <w:rPr>
          <w:sz w:val="38"/>
        </w:rPr>
        <w:t>neurotransmitters</w:t>
      </w:r>
      <w:r>
        <w:rPr>
          <w:spacing w:val="-13"/>
          <w:sz w:val="38"/>
        </w:rPr>
        <w:t> </w:t>
      </w:r>
      <w:r>
        <w:rPr>
          <w:sz w:val="38"/>
        </w:rPr>
        <w:t>and</w:t>
      </w:r>
      <w:r>
        <w:rPr>
          <w:spacing w:val="-10"/>
          <w:sz w:val="38"/>
        </w:rPr>
        <w:t> </w:t>
      </w:r>
      <w:r>
        <w:rPr>
          <w:sz w:val="38"/>
        </w:rPr>
        <w:t>-</w:t>
      </w:r>
      <w:r>
        <w:rPr>
          <w:spacing w:val="-15"/>
          <w:sz w:val="38"/>
        </w:rPr>
        <w:t> </w:t>
      </w:r>
      <w:r>
        <w:rPr>
          <w:sz w:val="38"/>
        </w:rPr>
        <w:t>according</w:t>
      </w:r>
      <w:r>
        <w:rPr>
          <w:spacing w:val="-14"/>
          <w:sz w:val="38"/>
        </w:rPr>
        <w:t> </w:t>
      </w:r>
      <w:r>
        <w:rPr>
          <w:sz w:val="38"/>
        </w:rPr>
        <w:t>to</w:t>
      </w:r>
      <w:r>
        <w:rPr>
          <w:spacing w:val="-16"/>
          <w:sz w:val="38"/>
        </w:rPr>
        <w:t> </w:t>
      </w:r>
      <w:r>
        <w:rPr>
          <w:sz w:val="38"/>
        </w:rPr>
        <w:t>studies</w:t>
      </w:r>
      <w:r>
        <w:rPr>
          <w:spacing w:val="-13"/>
          <w:sz w:val="38"/>
        </w:rPr>
        <w:t> </w:t>
      </w:r>
      <w:r>
        <w:rPr>
          <w:sz w:val="38"/>
        </w:rPr>
        <w:t>-</w:t>
      </w:r>
      <w:r>
        <w:rPr>
          <w:spacing w:val="-16"/>
          <w:sz w:val="38"/>
        </w:rPr>
        <w:t> </w:t>
      </w:r>
      <w:r>
        <w:rPr>
          <w:sz w:val="38"/>
        </w:rPr>
        <w:t>is</w:t>
      </w:r>
      <w:r>
        <w:rPr>
          <w:spacing w:val="-14"/>
          <w:sz w:val="38"/>
        </w:rPr>
        <w:t> </w:t>
      </w:r>
      <w:r>
        <w:rPr>
          <w:sz w:val="38"/>
        </w:rPr>
        <w:t>more</w:t>
      </w:r>
      <w:r>
        <w:rPr>
          <w:spacing w:val="-16"/>
          <w:sz w:val="38"/>
        </w:rPr>
        <w:t> </w:t>
      </w:r>
      <w:r>
        <w:rPr>
          <w:sz w:val="38"/>
        </w:rPr>
        <w:t>success- ful than standard treatments (see</w:t>
      </w:r>
      <w:r>
        <w:rPr>
          <w:spacing w:val="1"/>
          <w:sz w:val="38"/>
        </w:rPr>
        <w:t> </w:t>
      </w:r>
      <w:r>
        <w:rPr>
          <w:sz w:val="38"/>
        </w:rPr>
        <w:t>below).</w:t>
      </w:r>
    </w:p>
    <w:p>
      <w:pPr>
        <w:pStyle w:val="BodyText"/>
        <w:spacing w:before="9"/>
        <w:rPr>
          <w:sz w:val="44"/>
        </w:rPr>
      </w:pPr>
    </w:p>
    <w:p>
      <w:pPr>
        <w:pStyle w:val="ListParagraph"/>
        <w:numPr>
          <w:ilvl w:val="1"/>
          <w:numId w:val="8"/>
        </w:numPr>
        <w:tabs>
          <w:tab w:pos="837" w:val="left" w:leader="none"/>
        </w:tabs>
        <w:spacing w:line="273" w:lineRule="auto" w:before="0" w:after="0"/>
        <w:ind w:left="836" w:right="122" w:hanging="360"/>
        <w:jc w:val="both"/>
        <w:rPr>
          <w:sz w:val="38"/>
        </w:rPr>
      </w:pPr>
      <w:r>
        <w:rPr>
          <w:sz w:val="38"/>
        </w:rPr>
        <w:t>Tryptophan, a precursor to the neurotransmitter serotonin, increases its activity and thus also counteracts</w:t>
      </w:r>
      <w:r>
        <w:rPr>
          <w:spacing w:val="3"/>
          <w:sz w:val="38"/>
        </w:rPr>
        <w:t> </w:t>
      </w:r>
      <w:r>
        <w:rPr>
          <w:sz w:val="38"/>
        </w:rPr>
        <w:t>depression.</w:t>
      </w:r>
    </w:p>
    <w:p>
      <w:pPr>
        <w:pStyle w:val="BodyText"/>
        <w:spacing w:before="3"/>
        <w:rPr>
          <w:sz w:val="44"/>
        </w:rPr>
      </w:pPr>
    </w:p>
    <w:p>
      <w:pPr>
        <w:pStyle w:val="BodyText"/>
        <w:spacing w:line="276" w:lineRule="auto"/>
        <w:ind w:left="116" w:right="118"/>
        <w:jc w:val="both"/>
      </w:pPr>
      <w:r>
        <w:rPr/>
        <w:t>These</w:t>
      </w:r>
      <w:r>
        <w:rPr>
          <w:spacing w:val="-18"/>
        </w:rPr>
        <w:t> </w:t>
      </w:r>
      <w:r>
        <w:rPr/>
        <w:t>are</w:t>
      </w:r>
      <w:r>
        <w:rPr>
          <w:spacing w:val="-19"/>
        </w:rPr>
        <w:t> </w:t>
      </w:r>
      <w:r>
        <w:rPr/>
        <w:t>just</w:t>
      </w:r>
      <w:r>
        <w:rPr>
          <w:spacing w:val="-19"/>
        </w:rPr>
        <w:t> </w:t>
      </w:r>
      <w:r>
        <w:rPr/>
        <w:t>some</w:t>
      </w:r>
      <w:r>
        <w:rPr>
          <w:spacing w:val="-18"/>
        </w:rPr>
        <w:t> </w:t>
      </w:r>
      <w:r>
        <w:rPr/>
        <w:t>examples</w:t>
      </w:r>
      <w:r>
        <w:rPr>
          <w:spacing w:val="-18"/>
        </w:rPr>
        <w:t> </w:t>
      </w:r>
      <w:r>
        <w:rPr/>
        <w:t>of</w:t>
      </w:r>
      <w:r>
        <w:rPr>
          <w:spacing w:val="-16"/>
        </w:rPr>
        <w:t> </w:t>
      </w:r>
      <w:r>
        <w:rPr/>
        <w:t>the</w:t>
      </w:r>
      <w:r>
        <w:rPr>
          <w:spacing w:val="-18"/>
        </w:rPr>
        <w:t> </w:t>
      </w:r>
      <w:r>
        <w:rPr/>
        <w:t>effects</w:t>
      </w:r>
      <w:r>
        <w:rPr>
          <w:spacing w:val="-18"/>
        </w:rPr>
        <w:t> </w:t>
      </w:r>
      <w:r>
        <w:rPr/>
        <w:t>of</w:t>
      </w:r>
      <w:r>
        <w:rPr>
          <w:spacing w:val="-19"/>
        </w:rPr>
        <w:t> </w:t>
      </w:r>
      <w:r>
        <w:rPr/>
        <w:t>the</w:t>
      </w:r>
      <w:r>
        <w:rPr>
          <w:spacing w:val="-18"/>
        </w:rPr>
        <w:t> </w:t>
      </w:r>
      <w:r>
        <w:rPr/>
        <w:t>recommended</w:t>
      </w:r>
      <w:r>
        <w:rPr>
          <w:spacing w:val="-19"/>
        </w:rPr>
        <w:t> </w:t>
      </w:r>
      <w:r>
        <w:rPr/>
        <w:t>nutrients</w:t>
      </w:r>
      <w:r>
        <w:rPr>
          <w:spacing w:val="-18"/>
        </w:rPr>
        <w:t> </w:t>
      </w:r>
      <w:r>
        <w:rPr/>
        <w:t>and vital substances for</w:t>
      </w:r>
      <w:r>
        <w:rPr>
          <w:spacing w:val="2"/>
        </w:rPr>
        <w:t> </w:t>
      </w:r>
      <w:r>
        <w:rPr/>
        <w:t>depression.</w:t>
      </w:r>
    </w:p>
    <w:p>
      <w:pPr>
        <w:pStyle w:val="BodyText"/>
        <w:spacing w:line="276" w:lineRule="auto" w:before="1"/>
        <w:ind w:left="116" w:right="115"/>
        <w:jc w:val="both"/>
      </w:pPr>
      <w:r>
        <w:rPr/>
        <w:t>In the following sections you will find drug-effect tables of the recommended natural substances for depression, anxiety and burnout.</w:t>
      </w:r>
    </w:p>
    <w:p>
      <w:pPr>
        <w:pStyle w:val="BodyText"/>
        <w:rPr>
          <w:sz w:val="42"/>
        </w:rPr>
      </w:pPr>
    </w:p>
    <w:p>
      <w:pPr>
        <w:pStyle w:val="Heading2"/>
        <w:spacing w:before="258"/>
        <w:ind w:left="116"/>
      </w:pPr>
      <w:r>
        <w:rPr/>
        <w:t>Alzheimer’s/dementia</w:t>
      </w:r>
    </w:p>
    <w:p>
      <w:pPr>
        <w:pStyle w:val="BodyText"/>
        <w:spacing w:line="276" w:lineRule="auto" w:before="305"/>
        <w:ind w:left="116" w:right="113"/>
        <w:jc w:val="both"/>
      </w:pPr>
      <w:r>
        <w:rPr/>
        <w:t>Alzheimer's and dementia are among the diseases growing at a terrifyingly</w:t>
      </w:r>
      <w:r>
        <w:rPr>
          <w:spacing w:val="-65"/>
        </w:rPr>
        <w:t> </w:t>
      </w:r>
      <w:r>
        <w:rPr/>
        <w:t>fast rate,</w:t>
      </w:r>
      <w:r>
        <w:rPr>
          <w:spacing w:val="-14"/>
        </w:rPr>
        <w:t> </w:t>
      </w:r>
      <w:r>
        <w:rPr/>
        <w:t>which</w:t>
      </w:r>
      <w:r>
        <w:rPr>
          <w:spacing w:val="-15"/>
        </w:rPr>
        <w:t> </w:t>
      </w:r>
      <w:r>
        <w:rPr/>
        <w:t>are</w:t>
      </w:r>
      <w:r>
        <w:rPr>
          <w:spacing w:val="-15"/>
        </w:rPr>
        <w:t> </w:t>
      </w:r>
      <w:r>
        <w:rPr/>
        <w:t>also</w:t>
      </w:r>
      <w:r>
        <w:rPr>
          <w:spacing w:val="-14"/>
        </w:rPr>
        <w:t> </w:t>
      </w:r>
      <w:r>
        <w:rPr/>
        <w:t>afflicting</w:t>
      </w:r>
      <w:r>
        <w:rPr>
          <w:spacing w:val="-14"/>
        </w:rPr>
        <w:t> </w:t>
      </w:r>
      <w:r>
        <w:rPr/>
        <w:t>more</w:t>
      </w:r>
      <w:r>
        <w:rPr>
          <w:spacing w:val="-14"/>
        </w:rPr>
        <w:t> </w:t>
      </w:r>
      <w:r>
        <w:rPr/>
        <w:t>and</w:t>
      </w:r>
      <w:r>
        <w:rPr>
          <w:spacing w:val="-15"/>
        </w:rPr>
        <w:t> </w:t>
      </w:r>
      <w:r>
        <w:rPr/>
        <w:t>more</w:t>
      </w:r>
      <w:r>
        <w:rPr>
          <w:spacing w:val="-15"/>
        </w:rPr>
        <w:t> </w:t>
      </w:r>
      <w:r>
        <w:rPr/>
        <w:t>young</w:t>
      </w:r>
      <w:r>
        <w:rPr>
          <w:spacing w:val="-14"/>
        </w:rPr>
        <w:t> </w:t>
      </w:r>
      <w:r>
        <w:rPr/>
        <w:t>people.</w:t>
      </w:r>
      <w:r>
        <w:rPr>
          <w:spacing w:val="-14"/>
        </w:rPr>
        <w:t> </w:t>
      </w:r>
      <w:r>
        <w:rPr/>
        <w:t>The</w:t>
      </w:r>
      <w:r>
        <w:rPr>
          <w:spacing w:val="-15"/>
        </w:rPr>
        <w:t> </w:t>
      </w:r>
      <w:r>
        <w:rPr/>
        <w:t>forensic</w:t>
      </w:r>
      <w:r>
        <w:rPr>
          <w:spacing w:val="-14"/>
        </w:rPr>
        <w:t> </w:t>
      </w:r>
      <w:r>
        <w:rPr/>
        <w:t>treat- ment of Alzheimer's and dementia should pursue the goal of relieving and re- activating brain cells as </w:t>
      </w:r>
      <w:r>
        <w:rPr>
          <w:spacing w:val="-3"/>
        </w:rPr>
        <w:t>much </w:t>
      </w:r>
      <w:r>
        <w:rPr/>
        <w:t>as possible.</w:t>
      </w:r>
    </w:p>
    <w:p>
      <w:pPr>
        <w:pStyle w:val="BodyText"/>
        <w:spacing w:line="276" w:lineRule="auto" w:before="239"/>
        <w:ind w:left="116" w:right="111"/>
        <w:jc w:val="both"/>
      </w:pPr>
      <w:r>
        <w:rPr/>
        <w:t>Although advances in dementia are spoken of as ‘progress’, while the degen- </w:t>
      </w:r>
      <w:r>
        <w:rPr>
          <w:spacing w:val="-3"/>
        </w:rPr>
        <w:t>erative</w:t>
      </w:r>
      <w:r>
        <w:rPr>
          <w:spacing w:val="-26"/>
        </w:rPr>
        <w:t> </w:t>
      </w:r>
      <w:r>
        <w:rPr/>
        <w:t>process</w:t>
      </w:r>
      <w:r>
        <w:rPr>
          <w:spacing w:val="-24"/>
        </w:rPr>
        <w:t> </w:t>
      </w:r>
      <w:r>
        <w:rPr/>
        <w:t>of</w:t>
      </w:r>
      <w:r>
        <w:rPr>
          <w:spacing w:val="24"/>
        </w:rPr>
        <w:t> </w:t>
      </w:r>
      <w:r>
        <w:rPr/>
        <w:t>the</w:t>
      </w:r>
      <w:r>
        <w:rPr>
          <w:spacing w:val="-24"/>
        </w:rPr>
        <w:t> </w:t>
      </w:r>
      <w:r>
        <w:rPr/>
        <w:t>disease</w:t>
      </w:r>
      <w:r>
        <w:rPr>
          <w:spacing w:val="-25"/>
        </w:rPr>
        <w:t> </w:t>
      </w:r>
      <w:r>
        <w:rPr/>
        <w:t>cannot</w:t>
      </w:r>
      <w:r>
        <w:rPr>
          <w:spacing w:val="-25"/>
        </w:rPr>
        <w:t> </w:t>
      </w:r>
      <w:r>
        <w:rPr/>
        <w:t>be</w:t>
      </w:r>
      <w:r>
        <w:rPr>
          <w:spacing w:val="-25"/>
        </w:rPr>
        <w:t> </w:t>
      </w:r>
      <w:r>
        <w:rPr/>
        <w:t>stopped,</w:t>
      </w:r>
      <w:r>
        <w:rPr>
          <w:spacing w:val="-27"/>
        </w:rPr>
        <w:t> </w:t>
      </w:r>
      <w:r>
        <w:rPr/>
        <w:t>or</w:t>
      </w:r>
      <w:r>
        <w:rPr>
          <w:spacing w:val="-24"/>
        </w:rPr>
        <w:t> </w:t>
      </w:r>
      <w:r>
        <w:rPr/>
        <w:t>at</w:t>
      </w:r>
      <w:r>
        <w:rPr>
          <w:spacing w:val="-26"/>
        </w:rPr>
        <w:t> </w:t>
      </w:r>
      <w:r>
        <w:rPr/>
        <w:t>least</w:t>
      </w:r>
      <w:r>
        <w:rPr>
          <w:spacing w:val="-25"/>
        </w:rPr>
        <w:t> </w:t>
      </w:r>
      <w:r>
        <w:rPr/>
        <w:t>delayed,</w:t>
      </w:r>
      <w:r>
        <w:rPr>
          <w:spacing w:val="-25"/>
        </w:rPr>
        <w:t> </w:t>
      </w:r>
      <w:r>
        <w:rPr/>
        <w:t>one</w:t>
      </w:r>
      <w:r>
        <w:rPr>
          <w:spacing w:val="-25"/>
        </w:rPr>
        <w:t> </w:t>
      </w:r>
      <w:r>
        <w:rPr/>
        <w:t>should not lose sight of the ambitious goal of improving the condition as </w:t>
      </w:r>
      <w:r>
        <w:rPr>
          <w:spacing w:val="-3"/>
        </w:rPr>
        <w:t>much </w:t>
      </w:r>
      <w:r>
        <w:rPr/>
        <w:t>as possible.</w:t>
      </w:r>
    </w:p>
    <w:p>
      <w:pPr>
        <w:spacing w:after="0" w:line="276" w:lineRule="auto"/>
        <w:jc w:val="both"/>
        <w:sectPr>
          <w:pgSz w:w="14260" w:h="16840"/>
          <w:pgMar w:header="0" w:footer="402" w:top="1320" w:bottom="2280" w:left="1300" w:right="1297"/>
        </w:sectPr>
      </w:pPr>
    </w:p>
    <w:p>
      <w:pPr>
        <w:pStyle w:val="BodyText"/>
        <w:spacing w:line="276" w:lineRule="auto" w:before="74"/>
        <w:ind w:left="116" w:right="116"/>
        <w:jc w:val="both"/>
      </w:pPr>
      <w:r>
        <w:rPr/>
        <w:t>Contrary to what conventional medicine </w:t>
      </w:r>
      <w:r>
        <w:rPr>
          <w:spacing w:val="-3"/>
        </w:rPr>
        <w:t>would </w:t>
      </w:r>
      <w:r>
        <w:rPr>
          <w:spacing w:val="-4"/>
        </w:rPr>
        <w:t>have </w:t>
      </w:r>
      <w:r>
        <w:rPr/>
        <w:t>us believe, Alzheimer's and</w:t>
      </w:r>
      <w:r>
        <w:rPr>
          <w:spacing w:val="-13"/>
        </w:rPr>
        <w:t> </w:t>
      </w:r>
      <w:r>
        <w:rPr/>
        <w:t>dementia</w:t>
      </w:r>
      <w:r>
        <w:rPr>
          <w:spacing w:val="-14"/>
        </w:rPr>
        <w:t> </w:t>
      </w:r>
      <w:r>
        <w:rPr/>
        <w:t>can</w:t>
      </w:r>
      <w:r>
        <w:rPr>
          <w:spacing w:val="-12"/>
        </w:rPr>
        <w:t> </w:t>
      </w:r>
      <w:r>
        <w:rPr/>
        <w:t>be</w:t>
      </w:r>
      <w:r>
        <w:rPr>
          <w:spacing w:val="-14"/>
        </w:rPr>
        <w:t> </w:t>
      </w:r>
      <w:r>
        <w:rPr/>
        <w:t>positively</w:t>
      </w:r>
      <w:r>
        <w:rPr>
          <w:spacing w:val="-13"/>
        </w:rPr>
        <w:t> </w:t>
      </w:r>
      <w:r>
        <w:rPr/>
        <w:t>influenced</w:t>
      </w:r>
      <w:r>
        <w:rPr>
          <w:spacing w:val="-13"/>
        </w:rPr>
        <w:t> </w:t>
      </w:r>
      <w:r>
        <w:rPr/>
        <w:t>according</w:t>
      </w:r>
      <w:r>
        <w:rPr>
          <w:spacing w:val="-13"/>
        </w:rPr>
        <w:t> </w:t>
      </w:r>
      <w:r>
        <w:rPr/>
        <w:t>to</w:t>
      </w:r>
      <w:r>
        <w:rPr>
          <w:spacing w:val="-12"/>
        </w:rPr>
        <w:t> </w:t>
      </w:r>
      <w:r>
        <w:rPr/>
        <w:t>various</w:t>
      </w:r>
      <w:r>
        <w:rPr>
          <w:spacing w:val="-14"/>
        </w:rPr>
        <w:t> </w:t>
      </w:r>
      <w:r>
        <w:rPr/>
        <w:t>studies,</w:t>
      </w:r>
      <w:r>
        <w:rPr>
          <w:spacing w:val="-12"/>
        </w:rPr>
        <w:t> </w:t>
      </w:r>
      <w:r>
        <w:rPr/>
        <w:t>studies which conventional physicians in medical faculties generally </w:t>
      </w:r>
      <w:r>
        <w:rPr>
          <w:spacing w:val="2"/>
        </w:rPr>
        <w:t>do </w:t>
      </w:r>
      <w:r>
        <w:rPr/>
        <w:t>not get to see, studies on natural healing substances that are not patentable and therefore bring no financial benefit to the pharmaceutical industry and do not profit doctors (unlike </w:t>
      </w:r>
      <w:r>
        <w:rPr>
          <w:spacing w:val="2"/>
        </w:rPr>
        <w:t>drugs </w:t>
      </w:r>
      <w:r>
        <w:rPr/>
        <w:t>from the </w:t>
      </w:r>
      <w:r>
        <w:rPr>
          <w:spacing w:val="-4"/>
        </w:rPr>
        <w:t>devil’s </w:t>
      </w:r>
      <w:r>
        <w:rPr/>
        <w:t>workshop of Big</w:t>
      </w:r>
      <w:r>
        <w:rPr>
          <w:spacing w:val="-49"/>
        </w:rPr>
        <w:t> </w:t>
      </w:r>
      <w:r>
        <w:rPr/>
        <w:t>Pharma).</w:t>
      </w:r>
    </w:p>
    <w:p>
      <w:pPr>
        <w:pStyle w:val="BodyText"/>
        <w:spacing w:line="276" w:lineRule="auto" w:before="240"/>
        <w:ind w:left="116" w:right="116"/>
        <w:jc w:val="both"/>
      </w:pPr>
      <w:r>
        <w:rPr/>
        <w:t>These studies deal precisely with natural substances (such as omega-3 and omega-6</w:t>
      </w:r>
      <w:r>
        <w:rPr>
          <w:spacing w:val="-11"/>
        </w:rPr>
        <w:t> </w:t>
      </w:r>
      <w:r>
        <w:rPr/>
        <w:t>fatty</w:t>
      </w:r>
      <w:r>
        <w:rPr>
          <w:spacing w:val="-9"/>
        </w:rPr>
        <w:t> </w:t>
      </w:r>
      <w:r>
        <w:rPr/>
        <w:t>acids)</w:t>
      </w:r>
      <w:r>
        <w:rPr>
          <w:spacing w:val="-11"/>
        </w:rPr>
        <w:t> </w:t>
      </w:r>
      <w:r>
        <w:rPr/>
        <w:t>which</w:t>
      </w:r>
      <w:r>
        <w:rPr>
          <w:spacing w:val="-10"/>
        </w:rPr>
        <w:t> </w:t>
      </w:r>
      <w:r>
        <w:rPr/>
        <w:t>counteract</w:t>
      </w:r>
      <w:r>
        <w:rPr>
          <w:spacing w:val="-9"/>
        </w:rPr>
        <w:t> </w:t>
      </w:r>
      <w:r>
        <w:rPr/>
        <w:t>Alzheimer's</w:t>
      </w:r>
      <w:r>
        <w:rPr>
          <w:spacing w:val="-9"/>
        </w:rPr>
        <w:t> </w:t>
      </w:r>
      <w:r>
        <w:rPr/>
        <w:t>and</w:t>
      </w:r>
      <w:r>
        <w:rPr>
          <w:spacing w:val="-10"/>
        </w:rPr>
        <w:t> </w:t>
      </w:r>
      <w:r>
        <w:rPr/>
        <w:t>dementia</w:t>
      </w:r>
      <w:r>
        <w:rPr>
          <w:spacing w:val="-10"/>
        </w:rPr>
        <w:t> </w:t>
      </w:r>
      <w:r>
        <w:rPr/>
        <w:t>and</w:t>
      </w:r>
      <w:r>
        <w:rPr>
          <w:spacing w:val="-10"/>
        </w:rPr>
        <w:t> </w:t>
      </w:r>
      <w:r>
        <w:rPr/>
        <w:t>can</w:t>
      </w:r>
      <w:r>
        <w:rPr>
          <w:spacing w:val="-8"/>
        </w:rPr>
        <w:t> </w:t>
      </w:r>
      <w:r>
        <w:rPr/>
        <w:t>even repair damaged brain cells and impaired nerve transmission circuits (such as alpha-lipoic acid).</w:t>
      </w:r>
    </w:p>
    <w:p>
      <w:pPr>
        <w:pStyle w:val="BodyText"/>
        <w:spacing w:line="276" w:lineRule="auto" w:before="242"/>
        <w:ind w:left="116" w:right="115"/>
        <w:jc w:val="both"/>
      </w:pPr>
      <w:r>
        <w:rPr/>
        <w:t>The interplay of factors that rid the body and the brain of mercury, amalgam, palladium, aluminium and other toxins, protect the neurons (brain cells) from the attacks of free radicals, deposits, so-called ‘plaques’, in the brain which promote cerebral circulation, stimulate messenger substances (neurotransmit- ters), repair damaged neuron circuits and - last but not least - regenerate brain cells by promoting sleep during the night, is promising.</w:t>
      </w:r>
    </w:p>
    <w:p>
      <w:pPr>
        <w:pStyle w:val="BodyText"/>
        <w:rPr>
          <w:sz w:val="42"/>
        </w:rPr>
      </w:pPr>
    </w:p>
    <w:p>
      <w:pPr>
        <w:pStyle w:val="BodyText"/>
        <w:spacing w:before="10"/>
        <w:rPr>
          <w:sz w:val="42"/>
        </w:rPr>
      </w:pPr>
    </w:p>
    <w:p>
      <w:pPr>
        <w:spacing w:before="0"/>
        <w:ind w:left="116" w:right="0" w:firstLine="0"/>
        <w:jc w:val="left"/>
        <w:rPr>
          <w:b/>
          <w:sz w:val="38"/>
        </w:rPr>
      </w:pPr>
      <w:r>
        <w:rPr>
          <w:b/>
          <w:sz w:val="38"/>
        </w:rPr>
        <w:t>In the </w:t>
      </w:r>
      <w:r>
        <w:rPr>
          <w:b/>
          <w:i/>
          <w:sz w:val="40"/>
        </w:rPr>
        <w:t>Codex Humanus</w:t>
      </w:r>
      <w:r>
        <w:rPr>
          <w:b/>
          <w:sz w:val="38"/>
        </w:rPr>
        <w:t>, you will learn</w:t>
      </w:r>
    </w:p>
    <w:p>
      <w:pPr>
        <w:pStyle w:val="ListParagraph"/>
        <w:numPr>
          <w:ilvl w:val="1"/>
          <w:numId w:val="8"/>
        </w:numPr>
        <w:tabs>
          <w:tab w:pos="829" w:val="left" w:leader="none"/>
          <w:tab w:pos="830" w:val="left" w:leader="none"/>
        </w:tabs>
        <w:spacing w:line="240" w:lineRule="auto" w:before="301" w:after="0"/>
        <w:ind w:left="829" w:right="0" w:hanging="355"/>
        <w:jc w:val="left"/>
        <w:rPr>
          <w:sz w:val="38"/>
        </w:rPr>
      </w:pPr>
      <w:r>
        <w:rPr>
          <w:sz w:val="38"/>
        </w:rPr>
        <w:t>which</w:t>
      </w:r>
      <w:r>
        <w:rPr>
          <w:spacing w:val="-18"/>
          <w:sz w:val="38"/>
        </w:rPr>
        <w:t> </w:t>
      </w:r>
      <w:r>
        <w:rPr>
          <w:sz w:val="38"/>
        </w:rPr>
        <w:t>natural</w:t>
      </w:r>
      <w:r>
        <w:rPr>
          <w:spacing w:val="-19"/>
          <w:sz w:val="38"/>
        </w:rPr>
        <w:t> </w:t>
      </w:r>
      <w:r>
        <w:rPr>
          <w:sz w:val="38"/>
        </w:rPr>
        <w:t>substances</w:t>
      </w:r>
      <w:r>
        <w:rPr>
          <w:spacing w:val="-17"/>
          <w:sz w:val="38"/>
        </w:rPr>
        <w:t> </w:t>
      </w:r>
      <w:r>
        <w:rPr>
          <w:sz w:val="38"/>
        </w:rPr>
        <w:t>free</w:t>
      </w:r>
      <w:r>
        <w:rPr>
          <w:spacing w:val="-17"/>
          <w:sz w:val="38"/>
        </w:rPr>
        <w:t> </w:t>
      </w:r>
      <w:r>
        <w:rPr>
          <w:sz w:val="38"/>
        </w:rPr>
        <w:t>the</w:t>
      </w:r>
      <w:r>
        <w:rPr>
          <w:spacing w:val="-19"/>
          <w:sz w:val="38"/>
        </w:rPr>
        <w:t> </w:t>
      </w:r>
      <w:r>
        <w:rPr>
          <w:sz w:val="38"/>
        </w:rPr>
        <w:t>organism</w:t>
      </w:r>
      <w:r>
        <w:rPr>
          <w:spacing w:val="-19"/>
          <w:sz w:val="38"/>
        </w:rPr>
        <w:t> </w:t>
      </w:r>
      <w:r>
        <w:rPr>
          <w:sz w:val="38"/>
        </w:rPr>
        <w:t>and</w:t>
      </w:r>
      <w:r>
        <w:rPr>
          <w:spacing w:val="-17"/>
          <w:sz w:val="38"/>
        </w:rPr>
        <w:t> </w:t>
      </w:r>
      <w:r>
        <w:rPr>
          <w:sz w:val="38"/>
        </w:rPr>
        <w:t>the</w:t>
      </w:r>
      <w:r>
        <w:rPr>
          <w:spacing w:val="-18"/>
          <w:sz w:val="38"/>
        </w:rPr>
        <w:t> </w:t>
      </w:r>
      <w:r>
        <w:rPr>
          <w:sz w:val="38"/>
        </w:rPr>
        <w:t>brain</w:t>
      </w:r>
      <w:r>
        <w:rPr>
          <w:spacing w:val="-20"/>
          <w:sz w:val="38"/>
        </w:rPr>
        <w:t> </w:t>
      </w:r>
      <w:r>
        <w:rPr>
          <w:sz w:val="38"/>
        </w:rPr>
        <w:t>of</w:t>
      </w:r>
      <w:r>
        <w:rPr>
          <w:spacing w:val="28"/>
          <w:sz w:val="38"/>
        </w:rPr>
        <w:t> </w:t>
      </w:r>
      <w:r>
        <w:rPr>
          <w:sz w:val="38"/>
        </w:rPr>
        <w:t>heavy</w:t>
      </w:r>
      <w:r>
        <w:rPr>
          <w:spacing w:val="-22"/>
          <w:sz w:val="38"/>
        </w:rPr>
        <w:t> </w:t>
      </w:r>
      <w:r>
        <w:rPr>
          <w:sz w:val="38"/>
        </w:rPr>
        <w:t>metals,</w:t>
      </w:r>
    </w:p>
    <w:p>
      <w:pPr>
        <w:pStyle w:val="ListParagraph"/>
        <w:numPr>
          <w:ilvl w:val="1"/>
          <w:numId w:val="8"/>
        </w:numPr>
        <w:tabs>
          <w:tab w:pos="829" w:val="left" w:leader="none"/>
          <w:tab w:pos="830" w:val="left" w:leader="none"/>
        </w:tabs>
        <w:spacing w:line="273" w:lineRule="auto" w:before="184" w:after="0"/>
        <w:ind w:left="829" w:right="122" w:hanging="355"/>
        <w:jc w:val="left"/>
        <w:rPr>
          <w:sz w:val="38"/>
        </w:rPr>
      </w:pPr>
      <w:r>
        <w:rPr>
          <w:sz w:val="38"/>
        </w:rPr>
        <w:t>which antioxidants protect our neurons (nerve cells) from attack by free </w:t>
      </w:r>
      <w:r>
        <w:rPr>
          <w:spacing w:val="-3"/>
          <w:sz w:val="38"/>
        </w:rPr>
        <w:t>radicals,</w:t>
      </w:r>
    </w:p>
    <w:p>
      <w:pPr>
        <w:spacing w:after="0" w:line="273" w:lineRule="auto"/>
        <w:jc w:val="left"/>
        <w:rPr>
          <w:sz w:val="38"/>
        </w:rPr>
        <w:sectPr>
          <w:pgSz w:w="14260" w:h="16840"/>
          <w:pgMar w:header="0" w:footer="402" w:top="1320" w:bottom="2280" w:left="1300" w:right="1297"/>
        </w:sectPr>
      </w:pPr>
    </w:p>
    <w:p>
      <w:pPr>
        <w:pStyle w:val="BodyText"/>
        <w:spacing w:before="11"/>
        <w:rPr>
          <w:sz w:val="19"/>
        </w:rPr>
      </w:pPr>
    </w:p>
    <w:p>
      <w:pPr>
        <w:pStyle w:val="ListParagraph"/>
        <w:numPr>
          <w:ilvl w:val="1"/>
          <w:numId w:val="8"/>
        </w:numPr>
        <w:tabs>
          <w:tab w:pos="829" w:val="left" w:leader="none"/>
          <w:tab w:pos="830" w:val="left" w:leader="none"/>
        </w:tabs>
        <w:spacing w:line="240" w:lineRule="auto" w:before="83" w:after="0"/>
        <w:ind w:left="829" w:right="0" w:hanging="355"/>
        <w:jc w:val="left"/>
        <w:rPr>
          <w:sz w:val="38"/>
        </w:rPr>
      </w:pPr>
      <w:r>
        <w:rPr>
          <w:sz w:val="38"/>
        </w:rPr>
        <w:t>which natural substances </w:t>
      </w:r>
      <w:r>
        <w:rPr>
          <w:spacing w:val="-3"/>
          <w:sz w:val="38"/>
        </w:rPr>
        <w:t>remove </w:t>
      </w:r>
      <w:r>
        <w:rPr>
          <w:sz w:val="38"/>
        </w:rPr>
        <w:t>brain </w:t>
      </w:r>
      <w:r>
        <w:rPr>
          <w:spacing w:val="-3"/>
          <w:sz w:val="38"/>
        </w:rPr>
        <w:t>plaques,</w:t>
      </w:r>
    </w:p>
    <w:p>
      <w:pPr>
        <w:pStyle w:val="BodyText"/>
        <w:spacing w:before="4"/>
        <w:rPr>
          <w:sz w:val="49"/>
        </w:rPr>
      </w:pPr>
    </w:p>
    <w:p>
      <w:pPr>
        <w:pStyle w:val="ListParagraph"/>
        <w:numPr>
          <w:ilvl w:val="1"/>
          <w:numId w:val="8"/>
        </w:numPr>
        <w:tabs>
          <w:tab w:pos="829" w:val="left" w:leader="none"/>
          <w:tab w:pos="830" w:val="left" w:leader="none"/>
        </w:tabs>
        <w:spacing w:line="240" w:lineRule="auto" w:before="0" w:after="0"/>
        <w:ind w:left="829" w:right="0" w:hanging="355"/>
        <w:jc w:val="left"/>
        <w:rPr>
          <w:sz w:val="38"/>
        </w:rPr>
      </w:pPr>
      <w:r>
        <w:rPr>
          <w:sz w:val="38"/>
        </w:rPr>
        <w:t>which substances increase cerebral blood</w:t>
      </w:r>
      <w:r>
        <w:rPr>
          <w:spacing w:val="1"/>
          <w:sz w:val="38"/>
        </w:rPr>
        <w:t> </w:t>
      </w:r>
      <w:r>
        <w:rPr>
          <w:spacing w:val="-9"/>
          <w:sz w:val="38"/>
        </w:rPr>
        <w:t>flow,</w:t>
      </w:r>
    </w:p>
    <w:p>
      <w:pPr>
        <w:pStyle w:val="BodyText"/>
        <w:spacing w:before="5"/>
        <w:rPr>
          <w:sz w:val="49"/>
        </w:rPr>
      </w:pPr>
    </w:p>
    <w:p>
      <w:pPr>
        <w:pStyle w:val="ListParagraph"/>
        <w:numPr>
          <w:ilvl w:val="1"/>
          <w:numId w:val="8"/>
        </w:numPr>
        <w:tabs>
          <w:tab w:pos="829" w:val="left" w:leader="none"/>
          <w:tab w:pos="830" w:val="left" w:leader="none"/>
        </w:tabs>
        <w:spacing w:line="273" w:lineRule="auto" w:before="0" w:after="0"/>
        <w:ind w:left="829" w:right="121" w:hanging="355"/>
        <w:jc w:val="left"/>
        <w:rPr>
          <w:sz w:val="38"/>
        </w:rPr>
      </w:pPr>
      <w:r>
        <w:rPr>
          <w:sz w:val="38"/>
        </w:rPr>
        <w:t>which natural substances stimulate neurotransmitters (messenger sub- stances) and</w:t>
      </w:r>
    </w:p>
    <w:p>
      <w:pPr>
        <w:pStyle w:val="BodyText"/>
        <w:spacing w:before="4"/>
        <w:rPr>
          <w:sz w:val="44"/>
        </w:rPr>
      </w:pPr>
    </w:p>
    <w:p>
      <w:pPr>
        <w:pStyle w:val="ListParagraph"/>
        <w:numPr>
          <w:ilvl w:val="1"/>
          <w:numId w:val="8"/>
        </w:numPr>
        <w:tabs>
          <w:tab w:pos="836" w:val="left" w:leader="none"/>
          <w:tab w:pos="837" w:val="left" w:leader="none"/>
        </w:tabs>
        <w:spacing w:line="240" w:lineRule="auto" w:before="0" w:after="0"/>
        <w:ind w:left="836" w:right="0" w:hanging="360"/>
        <w:jc w:val="left"/>
        <w:rPr>
          <w:sz w:val="38"/>
        </w:rPr>
      </w:pPr>
      <w:r>
        <w:rPr>
          <w:sz w:val="38"/>
        </w:rPr>
        <w:t>which natural substances regenerate the brain during</w:t>
      </w:r>
      <w:r>
        <w:rPr>
          <w:spacing w:val="-7"/>
          <w:sz w:val="38"/>
        </w:rPr>
        <w:t> </w:t>
      </w:r>
      <w:r>
        <w:rPr>
          <w:sz w:val="38"/>
        </w:rPr>
        <w:t>sleep.</w:t>
      </w:r>
    </w:p>
    <w:p>
      <w:pPr>
        <w:pStyle w:val="BodyText"/>
        <w:rPr>
          <w:sz w:val="44"/>
        </w:rPr>
      </w:pPr>
    </w:p>
    <w:p>
      <w:pPr>
        <w:pStyle w:val="Heading2"/>
        <w:spacing w:before="300"/>
        <w:ind w:left="116"/>
      </w:pPr>
      <w:r>
        <w:rPr/>
        <w:t>SUMMARY</w:t>
      </w:r>
    </w:p>
    <w:p>
      <w:pPr>
        <w:spacing w:line="266" w:lineRule="auto" w:before="287"/>
        <w:ind w:left="116" w:right="114" w:firstLine="0"/>
        <w:jc w:val="both"/>
        <w:rPr>
          <w:sz w:val="38"/>
        </w:rPr>
      </w:pPr>
      <w:r>
        <w:rPr>
          <w:b/>
          <w:i/>
          <w:sz w:val="40"/>
        </w:rPr>
        <w:t>Cancer </w:t>
      </w:r>
      <w:r>
        <w:rPr>
          <w:sz w:val="38"/>
        </w:rPr>
        <w:t>is no longer an automatic death sentence, </w:t>
      </w:r>
      <w:r>
        <w:rPr>
          <w:b/>
          <w:i/>
          <w:sz w:val="40"/>
        </w:rPr>
        <w:t>heart disease</w:t>
      </w:r>
      <w:r>
        <w:rPr>
          <w:sz w:val="38"/>
        </w:rPr>
        <w:t>, </w:t>
      </w:r>
      <w:r>
        <w:rPr>
          <w:b/>
          <w:i/>
          <w:sz w:val="40"/>
        </w:rPr>
        <w:t>heart at- tacks</w:t>
      </w:r>
      <w:r>
        <w:rPr>
          <w:b/>
          <w:i/>
          <w:spacing w:val="-13"/>
          <w:sz w:val="40"/>
        </w:rPr>
        <w:t> </w:t>
      </w:r>
      <w:r>
        <w:rPr>
          <w:sz w:val="38"/>
        </w:rPr>
        <w:t>and</w:t>
      </w:r>
      <w:r>
        <w:rPr>
          <w:spacing w:val="-6"/>
          <w:sz w:val="38"/>
        </w:rPr>
        <w:t> </w:t>
      </w:r>
      <w:r>
        <w:rPr>
          <w:b/>
          <w:i/>
          <w:sz w:val="40"/>
        </w:rPr>
        <w:t>strokes</w:t>
      </w:r>
      <w:r>
        <w:rPr>
          <w:b/>
          <w:i/>
          <w:spacing w:val="-12"/>
          <w:sz w:val="40"/>
        </w:rPr>
        <w:t> </w:t>
      </w:r>
      <w:r>
        <w:rPr>
          <w:sz w:val="38"/>
        </w:rPr>
        <w:t>can</w:t>
      </w:r>
      <w:r>
        <w:rPr>
          <w:spacing w:val="-6"/>
          <w:sz w:val="38"/>
        </w:rPr>
        <w:t> </w:t>
      </w:r>
      <w:r>
        <w:rPr>
          <w:sz w:val="38"/>
        </w:rPr>
        <w:t>be</w:t>
      </w:r>
      <w:r>
        <w:rPr>
          <w:spacing w:val="-9"/>
          <w:sz w:val="38"/>
        </w:rPr>
        <w:t> </w:t>
      </w:r>
      <w:r>
        <w:rPr>
          <w:sz w:val="38"/>
        </w:rPr>
        <w:t>prevented</w:t>
      </w:r>
      <w:r>
        <w:rPr>
          <w:spacing w:val="-6"/>
          <w:sz w:val="38"/>
        </w:rPr>
        <w:t> </w:t>
      </w:r>
      <w:r>
        <w:rPr>
          <w:sz w:val="38"/>
        </w:rPr>
        <w:t>and</w:t>
      </w:r>
      <w:r>
        <w:rPr>
          <w:spacing w:val="-7"/>
          <w:sz w:val="38"/>
        </w:rPr>
        <w:t> </w:t>
      </w:r>
      <w:r>
        <w:rPr>
          <w:sz w:val="38"/>
        </w:rPr>
        <w:t>treated</w:t>
      </w:r>
      <w:r>
        <w:rPr>
          <w:spacing w:val="-6"/>
          <w:sz w:val="38"/>
        </w:rPr>
        <w:t> </w:t>
      </w:r>
      <w:r>
        <w:rPr>
          <w:sz w:val="38"/>
        </w:rPr>
        <w:t>successfully,</w:t>
      </w:r>
      <w:r>
        <w:rPr>
          <w:spacing w:val="-7"/>
          <w:sz w:val="38"/>
        </w:rPr>
        <w:t> </w:t>
      </w:r>
      <w:r>
        <w:rPr>
          <w:sz w:val="38"/>
        </w:rPr>
        <w:t>diseases</w:t>
      </w:r>
      <w:r>
        <w:rPr>
          <w:spacing w:val="-6"/>
          <w:sz w:val="38"/>
        </w:rPr>
        <w:t> </w:t>
      </w:r>
      <w:r>
        <w:rPr>
          <w:sz w:val="38"/>
        </w:rPr>
        <w:t>such</w:t>
      </w:r>
      <w:r>
        <w:rPr>
          <w:spacing w:val="-7"/>
          <w:sz w:val="38"/>
        </w:rPr>
        <w:t> </w:t>
      </w:r>
      <w:r>
        <w:rPr>
          <w:sz w:val="38"/>
        </w:rPr>
        <w:t>as </w:t>
      </w:r>
      <w:r>
        <w:rPr>
          <w:b/>
          <w:i/>
          <w:sz w:val="40"/>
        </w:rPr>
        <w:t>arthrosis </w:t>
      </w:r>
      <w:r>
        <w:rPr>
          <w:sz w:val="38"/>
        </w:rPr>
        <w:t>and </w:t>
      </w:r>
      <w:r>
        <w:rPr>
          <w:b/>
          <w:i/>
          <w:sz w:val="40"/>
        </w:rPr>
        <w:t>arthritis </w:t>
      </w:r>
      <w:r>
        <w:rPr>
          <w:sz w:val="38"/>
        </w:rPr>
        <w:t>are curable in most cases, </w:t>
      </w:r>
      <w:r>
        <w:rPr>
          <w:b/>
          <w:i/>
          <w:sz w:val="40"/>
        </w:rPr>
        <w:t>diabetes </w:t>
      </w:r>
      <w:r>
        <w:rPr>
          <w:sz w:val="38"/>
        </w:rPr>
        <w:t>and all</w:t>
      </w:r>
      <w:r>
        <w:rPr>
          <w:spacing w:val="-25"/>
          <w:sz w:val="38"/>
        </w:rPr>
        <w:t> </w:t>
      </w:r>
      <w:r>
        <w:rPr>
          <w:b/>
          <w:i/>
          <w:sz w:val="40"/>
        </w:rPr>
        <w:t>allergies </w:t>
      </w:r>
      <w:r>
        <w:rPr>
          <w:sz w:val="38"/>
        </w:rPr>
        <w:t>can</w:t>
      </w:r>
      <w:r>
        <w:rPr>
          <w:spacing w:val="-55"/>
          <w:sz w:val="38"/>
        </w:rPr>
        <w:t> </w:t>
      </w:r>
      <w:r>
        <w:rPr>
          <w:sz w:val="38"/>
        </w:rPr>
        <w:t>be</w:t>
      </w:r>
      <w:r>
        <w:rPr>
          <w:spacing w:val="-54"/>
          <w:sz w:val="38"/>
        </w:rPr>
        <w:t> </w:t>
      </w:r>
      <w:r>
        <w:rPr>
          <w:sz w:val="38"/>
        </w:rPr>
        <w:t>successfully</w:t>
      </w:r>
      <w:r>
        <w:rPr>
          <w:spacing w:val="-56"/>
          <w:sz w:val="38"/>
        </w:rPr>
        <w:t> </w:t>
      </w:r>
      <w:r>
        <w:rPr>
          <w:sz w:val="38"/>
        </w:rPr>
        <w:t>countered,</w:t>
      </w:r>
      <w:r>
        <w:rPr>
          <w:spacing w:val="-53"/>
          <w:sz w:val="38"/>
        </w:rPr>
        <w:t> </w:t>
      </w:r>
      <w:r>
        <w:rPr>
          <w:b/>
          <w:i/>
          <w:sz w:val="40"/>
        </w:rPr>
        <w:t>depression</w:t>
      </w:r>
      <w:r>
        <w:rPr>
          <w:sz w:val="38"/>
        </w:rPr>
        <w:t>,</w:t>
      </w:r>
      <w:r>
        <w:rPr>
          <w:spacing w:val="-55"/>
          <w:sz w:val="38"/>
        </w:rPr>
        <w:t> </w:t>
      </w:r>
      <w:r>
        <w:rPr>
          <w:b/>
          <w:i/>
          <w:sz w:val="40"/>
        </w:rPr>
        <w:t>asthma</w:t>
      </w:r>
      <w:r>
        <w:rPr>
          <w:sz w:val="38"/>
        </w:rPr>
        <w:t>,</w:t>
      </w:r>
      <w:r>
        <w:rPr>
          <w:spacing w:val="-54"/>
          <w:sz w:val="38"/>
        </w:rPr>
        <w:t> </w:t>
      </w:r>
      <w:r>
        <w:rPr>
          <w:b/>
          <w:i/>
          <w:sz w:val="40"/>
        </w:rPr>
        <w:t>hepatitis</w:t>
      </w:r>
      <w:r>
        <w:rPr>
          <w:sz w:val="38"/>
        </w:rPr>
        <w:t>,</w:t>
      </w:r>
      <w:r>
        <w:rPr>
          <w:spacing w:val="-54"/>
          <w:sz w:val="38"/>
        </w:rPr>
        <w:t> </w:t>
      </w:r>
      <w:r>
        <w:rPr>
          <w:b/>
          <w:i/>
          <w:sz w:val="40"/>
        </w:rPr>
        <w:t>migraine</w:t>
      </w:r>
      <w:r>
        <w:rPr>
          <w:sz w:val="38"/>
        </w:rPr>
        <w:t>,</w:t>
      </w:r>
      <w:r>
        <w:rPr>
          <w:spacing w:val="-54"/>
          <w:sz w:val="38"/>
        </w:rPr>
        <w:t> </w:t>
      </w:r>
      <w:r>
        <w:rPr>
          <w:b/>
          <w:i/>
          <w:sz w:val="40"/>
        </w:rPr>
        <w:t>im- potence </w:t>
      </w:r>
      <w:r>
        <w:rPr>
          <w:sz w:val="38"/>
        </w:rPr>
        <w:t>and all illnesses that end in ‘-itis’ are not only preventable, but often curable with the appropriate natural substances at the cellular level - this ap- proach is also called </w:t>
      </w:r>
      <w:r>
        <w:rPr>
          <w:sz w:val="38"/>
          <w:u w:val="single"/>
        </w:rPr>
        <w:t>orthomolecular medicine</w:t>
      </w:r>
      <w:r>
        <w:rPr>
          <w:sz w:val="38"/>
        </w:rPr>
        <w:t>!</w:t>
      </w:r>
    </w:p>
    <w:p>
      <w:pPr>
        <w:pStyle w:val="BodyText"/>
        <w:spacing w:line="276" w:lineRule="auto" w:before="252"/>
        <w:ind w:left="116" w:right="115"/>
        <w:jc w:val="both"/>
      </w:pPr>
      <w:r>
        <w:rPr/>
        <w:t>The</w:t>
      </w:r>
      <w:r>
        <w:rPr>
          <w:spacing w:val="-18"/>
        </w:rPr>
        <w:t> </w:t>
      </w:r>
      <w:r>
        <w:rPr/>
        <w:t>Codex</w:t>
      </w:r>
      <w:r>
        <w:rPr>
          <w:spacing w:val="-20"/>
        </w:rPr>
        <w:t> </w:t>
      </w:r>
      <w:r>
        <w:rPr/>
        <w:t>Humanus,</w:t>
      </w:r>
      <w:r>
        <w:rPr>
          <w:spacing w:val="-18"/>
        </w:rPr>
        <w:t> </w:t>
      </w:r>
      <w:r>
        <w:rPr/>
        <w:t>a</w:t>
      </w:r>
      <w:r>
        <w:rPr>
          <w:spacing w:val="-19"/>
        </w:rPr>
        <w:t> </w:t>
      </w:r>
      <w:r>
        <w:rPr/>
        <w:t>unique</w:t>
      </w:r>
      <w:r>
        <w:rPr>
          <w:spacing w:val="-19"/>
        </w:rPr>
        <w:t> </w:t>
      </w:r>
      <w:r>
        <w:rPr/>
        <w:t>insider</w:t>
      </w:r>
      <w:r>
        <w:rPr>
          <w:spacing w:val="-18"/>
        </w:rPr>
        <w:t> </w:t>
      </w:r>
      <w:r>
        <w:rPr/>
        <w:t>report,</w:t>
      </w:r>
      <w:r>
        <w:rPr>
          <w:spacing w:val="-20"/>
        </w:rPr>
        <w:t> </w:t>
      </w:r>
      <w:r>
        <w:rPr/>
        <w:t>an</w:t>
      </w:r>
      <w:r>
        <w:rPr>
          <w:spacing w:val="-18"/>
        </w:rPr>
        <w:t> </w:t>
      </w:r>
      <w:r>
        <w:rPr/>
        <w:t>indispensable</w:t>
      </w:r>
      <w:r>
        <w:rPr>
          <w:spacing w:val="-20"/>
        </w:rPr>
        <w:t> </w:t>
      </w:r>
      <w:r>
        <w:rPr/>
        <w:t>reference</w:t>
      </w:r>
      <w:r>
        <w:rPr>
          <w:spacing w:val="-18"/>
        </w:rPr>
        <w:t> </w:t>
      </w:r>
      <w:r>
        <w:rPr/>
        <w:t>book and</w:t>
      </w:r>
      <w:r>
        <w:rPr>
          <w:spacing w:val="-8"/>
        </w:rPr>
        <w:t> </w:t>
      </w:r>
      <w:r>
        <w:rPr/>
        <w:t>a</w:t>
      </w:r>
      <w:r>
        <w:rPr>
          <w:spacing w:val="-9"/>
        </w:rPr>
        <w:t> </w:t>
      </w:r>
      <w:r>
        <w:rPr/>
        <w:t>must-have</w:t>
      </w:r>
      <w:r>
        <w:rPr>
          <w:spacing w:val="-6"/>
        </w:rPr>
        <w:t> </w:t>
      </w:r>
      <w:r>
        <w:rPr/>
        <w:t>for</w:t>
      </w:r>
      <w:r>
        <w:rPr>
          <w:spacing w:val="-9"/>
        </w:rPr>
        <w:t> </w:t>
      </w:r>
      <w:r>
        <w:rPr/>
        <w:t>every</w:t>
      </w:r>
      <w:r>
        <w:rPr>
          <w:spacing w:val="-9"/>
        </w:rPr>
        <w:t> </w:t>
      </w:r>
      <w:r>
        <w:rPr/>
        <w:t>modern</w:t>
      </w:r>
      <w:r>
        <w:rPr>
          <w:spacing w:val="-8"/>
        </w:rPr>
        <w:t> </w:t>
      </w:r>
      <w:r>
        <w:rPr/>
        <w:t>person,</w:t>
      </w:r>
      <w:r>
        <w:rPr>
          <w:spacing w:val="-8"/>
        </w:rPr>
        <w:t> </w:t>
      </w:r>
      <w:r>
        <w:rPr/>
        <w:t>prevents</w:t>
      </w:r>
      <w:r>
        <w:rPr>
          <w:spacing w:val="-7"/>
        </w:rPr>
        <w:t> </w:t>
      </w:r>
      <w:r>
        <w:rPr/>
        <w:t>and</w:t>
      </w:r>
      <w:r>
        <w:rPr>
          <w:spacing w:val="-9"/>
        </w:rPr>
        <w:t> </w:t>
      </w:r>
      <w:r>
        <w:rPr/>
        <w:t>heals</w:t>
      </w:r>
      <w:r>
        <w:rPr>
          <w:spacing w:val="-10"/>
        </w:rPr>
        <w:t> </w:t>
      </w:r>
      <w:r>
        <w:rPr/>
        <w:t>diseases</w:t>
      </w:r>
      <w:r>
        <w:rPr>
          <w:spacing w:val="-3"/>
        </w:rPr>
        <w:t> </w:t>
      </w:r>
      <w:r>
        <w:rPr/>
        <w:t>-</w:t>
      </w:r>
      <w:r>
        <w:rPr>
          <w:spacing w:val="-11"/>
        </w:rPr>
        <w:t> </w:t>
      </w:r>
      <w:r>
        <w:rPr/>
        <w:t>and</w:t>
      </w:r>
      <w:r>
        <w:rPr>
          <w:spacing w:val="-8"/>
        </w:rPr>
        <w:t> </w:t>
      </w:r>
      <w:r>
        <w:rPr/>
        <w:t>is underpinned by meaningful, representative studies and expert</w:t>
      </w:r>
      <w:r>
        <w:rPr>
          <w:spacing w:val="-16"/>
        </w:rPr>
        <w:t> </w:t>
      </w:r>
      <w:r>
        <w:rPr/>
        <w:t>statements!</w:t>
      </w:r>
    </w:p>
    <w:p>
      <w:pPr>
        <w:spacing w:after="0" w:line="276" w:lineRule="auto"/>
        <w:jc w:val="both"/>
        <w:sectPr>
          <w:pgSz w:w="14260" w:h="16840"/>
          <w:pgMar w:header="0" w:footer="402" w:top="1580" w:bottom="2280" w:left="1300" w:right="1297"/>
        </w:sectPr>
      </w:pPr>
    </w:p>
    <w:p>
      <w:pPr>
        <w:pStyle w:val="BodyText"/>
        <w:rPr>
          <w:sz w:val="20"/>
        </w:rPr>
      </w:pPr>
    </w:p>
    <w:p>
      <w:pPr>
        <w:pStyle w:val="BodyText"/>
        <w:rPr>
          <w:sz w:val="20"/>
        </w:rPr>
      </w:pPr>
    </w:p>
    <w:p>
      <w:pPr>
        <w:pStyle w:val="BodyText"/>
        <w:rPr>
          <w:sz w:val="21"/>
        </w:rPr>
      </w:pPr>
    </w:p>
    <w:p>
      <w:pPr>
        <w:spacing w:before="101"/>
        <w:ind w:left="116" w:right="0" w:firstLine="0"/>
        <w:jc w:val="left"/>
        <w:rPr>
          <w:rFonts w:ascii="Cambria"/>
          <w:b/>
          <w:sz w:val="28"/>
        </w:rPr>
      </w:pPr>
      <w:r>
        <w:rPr>
          <w:rFonts w:ascii="Cambria"/>
          <w:b/>
          <w:color w:val="365F91"/>
          <w:sz w:val="28"/>
        </w:rPr>
        <w:t>Substance-effect tables</w:t>
      </w:r>
    </w:p>
    <w:p>
      <w:pPr>
        <w:pStyle w:val="BodyText"/>
        <w:spacing w:line="268" w:lineRule="auto" w:before="50"/>
        <w:ind w:left="116" w:right="116"/>
        <w:jc w:val="both"/>
      </w:pPr>
      <w:r>
        <w:rPr/>
        <w:t>Your Codex Humanus covers hundreds of different diseases. Below are the </w:t>
      </w:r>
      <w:r>
        <w:rPr>
          <w:b/>
          <w:i/>
          <w:sz w:val="40"/>
        </w:rPr>
        <w:t>substance-effect tables </w:t>
      </w:r>
      <w:r>
        <w:rPr/>
        <w:t>for the most common diseases and ailments that make life difficult or even endanger life. If you cannot find what you are</w:t>
      </w:r>
      <w:r>
        <w:rPr>
          <w:spacing w:val="-65"/>
        </w:rPr>
        <w:t> </w:t>
      </w:r>
      <w:r>
        <w:rPr/>
        <w:t>look- ing for, you will find a </w:t>
      </w:r>
      <w:r>
        <w:rPr>
          <w:b/>
          <w:i/>
          <w:sz w:val="40"/>
        </w:rPr>
        <w:t>disease index </w:t>
      </w:r>
      <w:r>
        <w:rPr/>
        <w:t>at the back and you can use also the search function of the PDF for disease name, other words or</w:t>
      </w:r>
      <w:r>
        <w:rPr>
          <w:spacing w:val="-19"/>
        </w:rPr>
        <w:t> </w:t>
      </w:r>
      <w:r>
        <w:rPr/>
        <w:t>phrases: </w:t>
      </w:r>
      <w:r>
        <w:rPr>
          <w:spacing w:val="-3"/>
          <w:position w:val="1"/>
        </w:rPr>
        <w:drawing>
          <wp:inline distT="0" distB="0" distL="0" distR="0">
            <wp:extent cx="434340" cy="373379"/>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3" cstate="print"/>
                    <a:stretch>
                      <a:fillRect/>
                    </a:stretch>
                  </pic:blipFill>
                  <pic:spPr>
                    <a:xfrm>
                      <a:off x="0" y="0"/>
                      <a:ext cx="434340" cy="373379"/>
                    </a:xfrm>
                    <a:prstGeom prst="rect">
                      <a:avLst/>
                    </a:prstGeom>
                  </pic:spPr>
                </pic:pic>
              </a:graphicData>
            </a:graphic>
          </wp:inline>
        </w:drawing>
      </w:r>
      <w:r>
        <w:rPr>
          <w:spacing w:val="-3"/>
          <w:position w:val="1"/>
        </w:rPr>
      </w:r>
    </w:p>
    <w:p>
      <w:pPr>
        <w:spacing w:after="0" w:line="268" w:lineRule="auto"/>
        <w:jc w:val="both"/>
        <w:sectPr>
          <w:pgSz w:w="14260" w:h="16840"/>
          <w:pgMar w:header="0" w:footer="402" w:top="1580" w:bottom="2280" w:left="1300" w:right="1297"/>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44"/>
        <w:gridCol w:w="1085"/>
        <w:gridCol w:w="1558"/>
        <w:gridCol w:w="2126"/>
        <w:gridCol w:w="2858"/>
        <w:gridCol w:w="2333"/>
        <w:gridCol w:w="2803"/>
        <w:gridCol w:w="2607"/>
      </w:tblGrid>
      <w:tr>
        <w:trPr>
          <w:trHeight w:val="1087" w:hRule="atLeast"/>
        </w:trPr>
        <w:tc>
          <w:tcPr>
            <w:tcW w:w="17514" w:type="dxa"/>
            <w:gridSpan w:val="8"/>
            <w:shd w:val="clear" w:color="auto" w:fill="FAD3B4"/>
          </w:tcPr>
          <w:p>
            <w:pPr>
              <w:pStyle w:val="TableParagraph"/>
              <w:spacing w:before="311"/>
              <w:ind w:left="986"/>
              <w:rPr>
                <w:b/>
                <w:sz w:val="36"/>
              </w:rPr>
            </w:pPr>
            <w:r>
              <w:rPr>
                <w:b/>
                <w:sz w:val="36"/>
              </w:rPr>
              <w:t>SUBSTANCE-EFFECT TABLE OF NATURAL REMEDIES THAT COUNTERACT ALLERGIES</w:t>
            </w:r>
          </w:p>
        </w:tc>
      </w:tr>
      <w:tr>
        <w:trPr>
          <w:trHeight w:val="2822" w:hRule="atLeast"/>
        </w:trPr>
        <w:tc>
          <w:tcPr>
            <w:tcW w:w="2144" w:type="dxa"/>
            <w:shd w:val="clear" w:color="auto" w:fill="FFFF00"/>
          </w:tcPr>
          <w:p>
            <w:pPr>
              <w:pStyle w:val="TableParagraph"/>
              <w:rPr>
                <w:sz w:val="32"/>
              </w:rPr>
            </w:pPr>
          </w:p>
          <w:p>
            <w:pPr>
              <w:pStyle w:val="TableParagraph"/>
              <w:spacing w:line="278" w:lineRule="auto" w:before="201"/>
              <w:ind w:left="107" w:right="494"/>
              <w:rPr>
                <w:rFonts w:ascii="Courier New"/>
                <w:b/>
                <w:sz w:val="28"/>
              </w:rPr>
            </w:pPr>
            <w:r>
              <w:rPr>
                <w:rFonts w:ascii="Courier New"/>
                <w:b/>
                <w:sz w:val="28"/>
              </w:rPr>
              <w:t>Natural substance</w:t>
            </w:r>
          </w:p>
        </w:tc>
        <w:tc>
          <w:tcPr>
            <w:tcW w:w="1085" w:type="dxa"/>
            <w:shd w:val="clear" w:color="auto" w:fill="FFFF00"/>
          </w:tcPr>
          <w:p>
            <w:pPr>
              <w:pStyle w:val="TableParagraph"/>
              <w:rPr>
                <w:sz w:val="32"/>
              </w:rPr>
            </w:pPr>
          </w:p>
          <w:p>
            <w:pPr>
              <w:pStyle w:val="TableParagraph"/>
              <w:spacing w:before="203"/>
              <w:ind w:left="105"/>
              <w:rPr>
                <w:rFonts w:ascii="Courier New"/>
                <w:b/>
                <w:sz w:val="28"/>
              </w:rPr>
            </w:pPr>
            <w:r>
              <w:rPr>
                <w:rFonts w:ascii="Courier New"/>
                <w:b/>
                <w:sz w:val="28"/>
              </w:rPr>
              <w:t>Page</w:t>
            </w:r>
          </w:p>
        </w:tc>
        <w:tc>
          <w:tcPr>
            <w:tcW w:w="1558" w:type="dxa"/>
            <w:shd w:val="clear" w:color="auto" w:fill="FFFF00"/>
          </w:tcPr>
          <w:p>
            <w:pPr>
              <w:pStyle w:val="TableParagraph"/>
              <w:rPr>
                <w:sz w:val="32"/>
              </w:rPr>
            </w:pPr>
          </w:p>
          <w:p>
            <w:pPr>
              <w:pStyle w:val="TableParagraph"/>
              <w:spacing w:line="427" w:lineRule="auto" w:before="203"/>
              <w:ind w:left="104" w:right="600"/>
              <w:rPr>
                <w:rFonts w:ascii="Courier New"/>
                <w:b/>
                <w:sz w:val="28"/>
              </w:rPr>
            </w:pPr>
            <w:r>
              <w:rPr>
                <w:rFonts w:ascii="Courier New"/>
                <w:b/>
                <w:sz w:val="28"/>
              </w:rPr>
              <w:t>Anti- oxi- dants</w:t>
            </w:r>
          </w:p>
        </w:tc>
        <w:tc>
          <w:tcPr>
            <w:tcW w:w="2126" w:type="dxa"/>
            <w:shd w:val="clear" w:color="auto" w:fill="FFFF00"/>
          </w:tcPr>
          <w:p>
            <w:pPr>
              <w:pStyle w:val="TableParagraph"/>
              <w:rPr>
                <w:sz w:val="32"/>
              </w:rPr>
            </w:pPr>
          </w:p>
          <w:p>
            <w:pPr>
              <w:pStyle w:val="TableParagraph"/>
              <w:spacing w:line="276" w:lineRule="auto" w:before="201"/>
              <w:ind w:left="107" w:right="158"/>
              <w:rPr>
                <w:rFonts w:ascii="Courier New"/>
                <w:b/>
                <w:sz w:val="28"/>
              </w:rPr>
            </w:pPr>
            <w:r>
              <w:rPr>
                <w:rFonts w:ascii="Courier New"/>
                <w:b/>
                <w:sz w:val="28"/>
              </w:rPr>
              <w:t>Detoxifica- tion and deacidifi- cation</w:t>
            </w:r>
          </w:p>
        </w:tc>
        <w:tc>
          <w:tcPr>
            <w:tcW w:w="2858" w:type="dxa"/>
            <w:shd w:val="clear" w:color="auto" w:fill="FFFF00"/>
          </w:tcPr>
          <w:p>
            <w:pPr>
              <w:pStyle w:val="TableParagraph"/>
              <w:rPr>
                <w:sz w:val="32"/>
              </w:rPr>
            </w:pPr>
          </w:p>
          <w:p>
            <w:pPr>
              <w:pStyle w:val="TableParagraph"/>
              <w:spacing w:line="276" w:lineRule="auto" w:before="201"/>
              <w:ind w:left="107" w:right="386"/>
              <w:jc w:val="both"/>
              <w:rPr>
                <w:rFonts w:ascii="Courier New"/>
                <w:b/>
                <w:sz w:val="28"/>
              </w:rPr>
            </w:pPr>
            <w:r>
              <w:rPr>
                <w:rFonts w:ascii="Courier New"/>
                <w:b/>
                <w:sz w:val="28"/>
              </w:rPr>
              <w:t>Combatting in- flammation me- diators</w:t>
            </w:r>
          </w:p>
        </w:tc>
        <w:tc>
          <w:tcPr>
            <w:tcW w:w="2333" w:type="dxa"/>
            <w:shd w:val="clear" w:color="auto" w:fill="FFFF00"/>
          </w:tcPr>
          <w:p>
            <w:pPr>
              <w:pStyle w:val="TableParagraph"/>
              <w:rPr>
                <w:sz w:val="32"/>
              </w:rPr>
            </w:pPr>
          </w:p>
          <w:p>
            <w:pPr>
              <w:pStyle w:val="TableParagraph"/>
              <w:spacing w:line="276" w:lineRule="auto" w:before="201"/>
              <w:ind w:left="106" w:right="348"/>
              <w:rPr>
                <w:rFonts w:ascii="Courier New"/>
                <w:b/>
                <w:sz w:val="28"/>
              </w:rPr>
            </w:pPr>
            <w:r>
              <w:rPr>
                <w:rFonts w:ascii="Courier New"/>
                <w:b/>
                <w:sz w:val="28"/>
              </w:rPr>
              <w:t>Intestinal flora regu- lators</w:t>
            </w:r>
          </w:p>
        </w:tc>
        <w:tc>
          <w:tcPr>
            <w:tcW w:w="2803" w:type="dxa"/>
            <w:shd w:val="clear" w:color="auto" w:fill="FFFF00"/>
          </w:tcPr>
          <w:p>
            <w:pPr>
              <w:pStyle w:val="TableParagraph"/>
              <w:rPr>
                <w:sz w:val="32"/>
              </w:rPr>
            </w:pPr>
          </w:p>
          <w:p>
            <w:pPr>
              <w:pStyle w:val="TableParagraph"/>
              <w:spacing w:line="276" w:lineRule="auto" w:before="201"/>
              <w:ind w:left="108" w:right="312"/>
              <w:rPr>
                <w:rFonts w:ascii="Courier New"/>
                <w:b/>
                <w:sz w:val="28"/>
              </w:rPr>
            </w:pPr>
            <w:r>
              <w:rPr>
                <w:rFonts w:ascii="Courier New"/>
                <w:b/>
                <w:sz w:val="28"/>
              </w:rPr>
              <w:t>Histamine- and histidine blockers</w:t>
            </w:r>
          </w:p>
        </w:tc>
        <w:tc>
          <w:tcPr>
            <w:tcW w:w="2607" w:type="dxa"/>
            <w:shd w:val="clear" w:color="auto" w:fill="FFFF00"/>
          </w:tcPr>
          <w:p>
            <w:pPr>
              <w:pStyle w:val="TableParagraph"/>
              <w:rPr>
                <w:sz w:val="32"/>
              </w:rPr>
            </w:pPr>
          </w:p>
          <w:p>
            <w:pPr>
              <w:pStyle w:val="TableParagraph"/>
              <w:spacing w:line="278" w:lineRule="auto" w:before="201"/>
              <w:ind w:left="109" w:right="115"/>
              <w:rPr>
                <w:rFonts w:ascii="Courier New"/>
                <w:b/>
                <w:sz w:val="28"/>
              </w:rPr>
            </w:pPr>
            <w:r>
              <w:rPr>
                <w:rFonts w:ascii="Courier New"/>
                <w:b/>
                <w:sz w:val="28"/>
              </w:rPr>
              <w:t>Immune system- modulators</w:t>
            </w:r>
          </w:p>
        </w:tc>
      </w:tr>
      <w:tr>
        <w:trPr>
          <w:trHeight w:val="566" w:hRule="atLeast"/>
        </w:trPr>
        <w:tc>
          <w:tcPr>
            <w:tcW w:w="2144" w:type="dxa"/>
            <w:shd w:val="clear" w:color="auto" w:fill="00AFEF"/>
          </w:tcPr>
          <w:p>
            <w:pPr>
              <w:pStyle w:val="TableParagraph"/>
              <w:spacing w:line="317" w:lineRule="exact"/>
              <w:ind w:left="107"/>
              <w:rPr>
                <w:rFonts w:ascii="Courier New"/>
                <w:b/>
                <w:sz w:val="28"/>
              </w:rPr>
            </w:pPr>
            <w:r>
              <w:rPr>
                <w:rFonts w:ascii="Courier New"/>
                <w:b/>
                <w:sz w:val="28"/>
              </w:rPr>
              <w:t>Colostrum</w:t>
            </w:r>
          </w:p>
        </w:tc>
        <w:tc>
          <w:tcPr>
            <w:tcW w:w="1085" w:type="dxa"/>
          </w:tcPr>
          <w:p>
            <w:pPr>
              <w:pStyle w:val="TableParagraph"/>
              <w:spacing w:before="6"/>
              <w:ind w:left="105"/>
              <w:rPr>
                <w:rFonts w:ascii="Courier New"/>
                <w:sz w:val="28"/>
              </w:rPr>
            </w:pPr>
            <w:r>
              <w:rPr>
                <w:rFonts w:ascii="Courier New"/>
                <w:sz w:val="28"/>
              </w:rPr>
              <w:t>264</w:t>
            </w:r>
          </w:p>
        </w:tc>
        <w:tc>
          <w:tcPr>
            <w:tcW w:w="1558" w:type="dxa"/>
          </w:tcPr>
          <w:p>
            <w:pPr>
              <w:pStyle w:val="TableParagraph"/>
              <w:spacing w:before="6"/>
              <w:ind w:left="104"/>
              <w:rPr>
                <w:rFonts w:ascii="Courier New"/>
                <w:sz w:val="28"/>
              </w:rPr>
            </w:pPr>
            <w:r>
              <w:rPr>
                <w:rFonts w:ascii="Courier New"/>
                <w:w w:val="100"/>
                <w:sz w:val="28"/>
              </w:rPr>
              <w:t>X</w:t>
            </w:r>
          </w:p>
        </w:tc>
        <w:tc>
          <w:tcPr>
            <w:tcW w:w="2126" w:type="dxa"/>
          </w:tcPr>
          <w:p>
            <w:pPr>
              <w:pStyle w:val="TableParagraph"/>
              <w:spacing w:before="6"/>
              <w:ind w:left="107"/>
              <w:rPr>
                <w:rFonts w:ascii="Courier New"/>
                <w:sz w:val="28"/>
              </w:rPr>
            </w:pPr>
            <w:r>
              <w:rPr>
                <w:rFonts w:ascii="Courier New"/>
                <w:w w:val="100"/>
                <w:sz w:val="28"/>
              </w:rPr>
              <w:t>X</w:t>
            </w:r>
          </w:p>
        </w:tc>
        <w:tc>
          <w:tcPr>
            <w:tcW w:w="2858" w:type="dxa"/>
          </w:tcPr>
          <w:p>
            <w:pPr>
              <w:pStyle w:val="TableParagraph"/>
              <w:spacing w:before="6"/>
              <w:ind w:left="107"/>
              <w:rPr>
                <w:rFonts w:ascii="Courier New"/>
                <w:sz w:val="28"/>
              </w:rPr>
            </w:pPr>
            <w:r>
              <w:rPr>
                <w:rFonts w:ascii="Courier New"/>
                <w:w w:val="100"/>
                <w:sz w:val="28"/>
              </w:rPr>
              <w:t>X</w:t>
            </w:r>
          </w:p>
        </w:tc>
        <w:tc>
          <w:tcPr>
            <w:tcW w:w="2333" w:type="dxa"/>
          </w:tcPr>
          <w:p>
            <w:pPr>
              <w:pStyle w:val="TableParagraph"/>
              <w:spacing w:before="6"/>
              <w:ind w:left="106"/>
              <w:rPr>
                <w:rFonts w:ascii="Courier New"/>
                <w:sz w:val="28"/>
              </w:rPr>
            </w:pPr>
            <w:r>
              <w:rPr>
                <w:rFonts w:ascii="Courier New"/>
                <w:w w:val="100"/>
                <w:sz w:val="28"/>
              </w:rPr>
              <w:t>X</w:t>
            </w:r>
          </w:p>
        </w:tc>
        <w:tc>
          <w:tcPr>
            <w:tcW w:w="2803" w:type="dxa"/>
          </w:tcPr>
          <w:p>
            <w:pPr>
              <w:pStyle w:val="TableParagraph"/>
              <w:spacing w:before="6"/>
              <w:ind w:left="108"/>
              <w:rPr>
                <w:rFonts w:ascii="Courier New"/>
                <w:sz w:val="28"/>
              </w:rPr>
            </w:pPr>
            <w:r>
              <w:rPr>
                <w:rFonts w:ascii="Courier New"/>
                <w:w w:val="100"/>
                <w:sz w:val="28"/>
              </w:rPr>
              <w:t>X</w:t>
            </w:r>
          </w:p>
        </w:tc>
        <w:tc>
          <w:tcPr>
            <w:tcW w:w="2607" w:type="dxa"/>
          </w:tcPr>
          <w:p>
            <w:pPr>
              <w:pStyle w:val="TableParagraph"/>
              <w:spacing w:before="6"/>
              <w:ind w:left="109"/>
              <w:rPr>
                <w:rFonts w:ascii="Courier New"/>
                <w:sz w:val="28"/>
              </w:rPr>
            </w:pPr>
            <w:r>
              <w:rPr>
                <w:rFonts w:ascii="Courier New"/>
                <w:w w:val="100"/>
                <w:sz w:val="28"/>
              </w:rPr>
              <w:t>X</w:t>
            </w:r>
          </w:p>
        </w:tc>
      </w:tr>
      <w:tr>
        <w:trPr>
          <w:trHeight w:val="563" w:hRule="atLeast"/>
        </w:trPr>
        <w:tc>
          <w:tcPr>
            <w:tcW w:w="2144" w:type="dxa"/>
            <w:shd w:val="clear" w:color="auto" w:fill="00AFEF"/>
          </w:tcPr>
          <w:p>
            <w:pPr>
              <w:pStyle w:val="TableParagraph"/>
              <w:spacing w:line="317" w:lineRule="exact"/>
              <w:ind w:left="107"/>
              <w:rPr>
                <w:rFonts w:ascii="Courier New"/>
                <w:b/>
                <w:sz w:val="28"/>
              </w:rPr>
            </w:pPr>
            <w:r>
              <w:rPr>
                <w:rFonts w:ascii="Courier New"/>
                <w:b/>
                <w:sz w:val="28"/>
              </w:rPr>
              <w:t>Astragalus</w:t>
            </w:r>
          </w:p>
        </w:tc>
        <w:tc>
          <w:tcPr>
            <w:tcW w:w="1085" w:type="dxa"/>
          </w:tcPr>
          <w:p>
            <w:pPr>
              <w:pStyle w:val="TableParagraph"/>
              <w:spacing w:before="6"/>
              <w:ind w:left="105"/>
              <w:rPr>
                <w:rFonts w:ascii="Courier New"/>
                <w:sz w:val="28"/>
              </w:rPr>
            </w:pPr>
            <w:r>
              <w:rPr>
                <w:rFonts w:ascii="Courier New"/>
                <w:sz w:val="28"/>
              </w:rPr>
              <w:t>197</w:t>
            </w:r>
          </w:p>
        </w:tc>
        <w:tc>
          <w:tcPr>
            <w:tcW w:w="1558" w:type="dxa"/>
          </w:tcPr>
          <w:p>
            <w:pPr>
              <w:pStyle w:val="TableParagraph"/>
              <w:spacing w:before="6"/>
              <w:ind w:left="104"/>
              <w:rPr>
                <w:rFonts w:ascii="Courier New"/>
                <w:sz w:val="28"/>
              </w:rPr>
            </w:pPr>
            <w:r>
              <w:rPr>
                <w:rFonts w:ascii="Courier New"/>
                <w:w w:val="100"/>
                <w:sz w:val="28"/>
              </w:rPr>
              <w:t>X</w:t>
            </w:r>
          </w:p>
        </w:tc>
        <w:tc>
          <w:tcPr>
            <w:tcW w:w="2126" w:type="dxa"/>
          </w:tcPr>
          <w:p>
            <w:pPr>
              <w:pStyle w:val="TableParagraph"/>
              <w:spacing w:before="6"/>
              <w:ind w:left="107"/>
              <w:rPr>
                <w:rFonts w:ascii="Courier New"/>
                <w:sz w:val="28"/>
              </w:rPr>
            </w:pPr>
            <w:r>
              <w:rPr>
                <w:rFonts w:ascii="Courier New"/>
                <w:w w:val="100"/>
                <w:sz w:val="28"/>
              </w:rPr>
              <w:t>X</w:t>
            </w:r>
          </w:p>
        </w:tc>
        <w:tc>
          <w:tcPr>
            <w:tcW w:w="2858" w:type="dxa"/>
          </w:tcPr>
          <w:p>
            <w:pPr>
              <w:pStyle w:val="TableParagraph"/>
              <w:spacing w:before="6"/>
              <w:ind w:left="107"/>
              <w:rPr>
                <w:rFonts w:ascii="Courier New"/>
                <w:sz w:val="28"/>
              </w:rPr>
            </w:pPr>
            <w:r>
              <w:rPr>
                <w:rFonts w:ascii="Courier New"/>
                <w:w w:val="100"/>
                <w:sz w:val="28"/>
              </w:rPr>
              <w:t>X</w:t>
            </w:r>
          </w:p>
        </w:tc>
        <w:tc>
          <w:tcPr>
            <w:tcW w:w="2333" w:type="dxa"/>
          </w:tcPr>
          <w:p>
            <w:pPr>
              <w:pStyle w:val="TableParagraph"/>
              <w:rPr>
                <w:rFonts w:ascii="Times New Roman"/>
                <w:sz w:val="28"/>
              </w:rPr>
            </w:pPr>
          </w:p>
        </w:tc>
        <w:tc>
          <w:tcPr>
            <w:tcW w:w="2803" w:type="dxa"/>
          </w:tcPr>
          <w:p>
            <w:pPr>
              <w:pStyle w:val="TableParagraph"/>
              <w:spacing w:before="6"/>
              <w:ind w:left="108"/>
              <w:rPr>
                <w:rFonts w:ascii="Courier New"/>
                <w:sz w:val="28"/>
              </w:rPr>
            </w:pPr>
            <w:r>
              <w:rPr>
                <w:rFonts w:ascii="Courier New"/>
                <w:w w:val="100"/>
                <w:sz w:val="28"/>
              </w:rPr>
              <w:t>X</w:t>
            </w:r>
          </w:p>
        </w:tc>
        <w:tc>
          <w:tcPr>
            <w:tcW w:w="2607" w:type="dxa"/>
          </w:tcPr>
          <w:p>
            <w:pPr>
              <w:pStyle w:val="TableParagraph"/>
              <w:spacing w:before="6"/>
              <w:ind w:left="109"/>
              <w:rPr>
                <w:rFonts w:ascii="Courier New"/>
                <w:sz w:val="28"/>
              </w:rPr>
            </w:pPr>
            <w:r>
              <w:rPr>
                <w:rFonts w:ascii="Courier New"/>
                <w:w w:val="100"/>
                <w:sz w:val="28"/>
              </w:rPr>
              <w:t>X</w:t>
            </w:r>
          </w:p>
        </w:tc>
      </w:tr>
      <w:tr>
        <w:trPr>
          <w:trHeight w:val="566" w:hRule="atLeast"/>
        </w:trPr>
        <w:tc>
          <w:tcPr>
            <w:tcW w:w="2144" w:type="dxa"/>
            <w:shd w:val="clear" w:color="auto" w:fill="00AFEF"/>
          </w:tcPr>
          <w:p>
            <w:pPr>
              <w:pStyle w:val="TableParagraph"/>
              <w:spacing w:line="317" w:lineRule="exact"/>
              <w:ind w:left="107"/>
              <w:rPr>
                <w:rFonts w:ascii="Courier New"/>
                <w:b/>
                <w:sz w:val="28"/>
              </w:rPr>
            </w:pPr>
            <w:r>
              <w:rPr>
                <w:rFonts w:ascii="Courier New"/>
                <w:b/>
                <w:sz w:val="28"/>
              </w:rPr>
              <w:t>Rooibos-Tea</w:t>
            </w:r>
          </w:p>
        </w:tc>
        <w:tc>
          <w:tcPr>
            <w:tcW w:w="1085" w:type="dxa"/>
          </w:tcPr>
          <w:p>
            <w:pPr>
              <w:pStyle w:val="TableParagraph"/>
              <w:spacing w:before="6"/>
              <w:ind w:left="105"/>
              <w:rPr>
                <w:rFonts w:ascii="Courier New"/>
                <w:sz w:val="28"/>
              </w:rPr>
            </w:pPr>
            <w:r>
              <w:rPr>
                <w:rFonts w:ascii="Courier New"/>
                <w:sz w:val="28"/>
              </w:rPr>
              <w:t>1370</w:t>
            </w:r>
          </w:p>
        </w:tc>
        <w:tc>
          <w:tcPr>
            <w:tcW w:w="1558" w:type="dxa"/>
          </w:tcPr>
          <w:p>
            <w:pPr>
              <w:pStyle w:val="TableParagraph"/>
              <w:spacing w:before="6"/>
              <w:ind w:left="104"/>
              <w:rPr>
                <w:rFonts w:ascii="Courier New"/>
                <w:sz w:val="28"/>
              </w:rPr>
            </w:pPr>
            <w:r>
              <w:rPr>
                <w:rFonts w:ascii="Courier New"/>
                <w:w w:val="100"/>
                <w:sz w:val="28"/>
              </w:rPr>
              <w:t>X</w:t>
            </w:r>
          </w:p>
        </w:tc>
        <w:tc>
          <w:tcPr>
            <w:tcW w:w="2126" w:type="dxa"/>
          </w:tcPr>
          <w:p>
            <w:pPr>
              <w:pStyle w:val="TableParagraph"/>
              <w:spacing w:before="6"/>
              <w:ind w:left="107"/>
              <w:rPr>
                <w:rFonts w:ascii="Courier New"/>
                <w:sz w:val="28"/>
              </w:rPr>
            </w:pPr>
            <w:r>
              <w:rPr>
                <w:rFonts w:ascii="Courier New"/>
                <w:w w:val="100"/>
                <w:sz w:val="28"/>
              </w:rPr>
              <w:t>X</w:t>
            </w:r>
          </w:p>
        </w:tc>
        <w:tc>
          <w:tcPr>
            <w:tcW w:w="2858" w:type="dxa"/>
          </w:tcPr>
          <w:p>
            <w:pPr>
              <w:pStyle w:val="TableParagraph"/>
              <w:spacing w:before="6"/>
              <w:ind w:left="107"/>
              <w:rPr>
                <w:rFonts w:ascii="Courier New"/>
                <w:sz w:val="28"/>
              </w:rPr>
            </w:pPr>
            <w:r>
              <w:rPr>
                <w:rFonts w:ascii="Courier New"/>
                <w:w w:val="100"/>
                <w:sz w:val="28"/>
              </w:rPr>
              <w:t>X</w:t>
            </w:r>
          </w:p>
        </w:tc>
        <w:tc>
          <w:tcPr>
            <w:tcW w:w="2333" w:type="dxa"/>
          </w:tcPr>
          <w:p>
            <w:pPr>
              <w:pStyle w:val="TableParagraph"/>
              <w:spacing w:before="6"/>
              <w:ind w:left="106"/>
              <w:rPr>
                <w:rFonts w:ascii="Courier New"/>
                <w:sz w:val="28"/>
              </w:rPr>
            </w:pPr>
            <w:r>
              <w:rPr>
                <w:rFonts w:ascii="Courier New"/>
                <w:w w:val="100"/>
                <w:sz w:val="28"/>
              </w:rPr>
              <w:t>X</w:t>
            </w:r>
          </w:p>
        </w:tc>
        <w:tc>
          <w:tcPr>
            <w:tcW w:w="2803" w:type="dxa"/>
          </w:tcPr>
          <w:p>
            <w:pPr>
              <w:pStyle w:val="TableParagraph"/>
              <w:spacing w:before="6"/>
              <w:ind w:left="108"/>
              <w:rPr>
                <w:rFonts w:ascii="Courier New"/>
                <w:sz w:val="28"/>
              </w:rPr>
            </w:pPr>
            <w:r>
              <w:rPr>
                <w:rFonts w:ascii="Courier New"/>
                <w:w w:val="100"/>
                <w:sz w:val="28"/>
              </w:rPr>
              <w:t>X</w:t>
            </w:r>
          </w:p>
        </w:tc>
        <w:tc>
          <w:tcPr>
            <w:tcW w:w="2607" w:type="dxa"/>
          </w:tcPr>
          <w:p>
            <w:pPr>
              <w:pStyle w:val="TableParagraph"/>
              <w:spacing w:before="6"/>
              <w:ind w:left="109"/>
              <w:rPr>
                <w:rFonts w:ascii="Courier New"/>
                <w:sz w:val="28"/>
              </w:rPr>
            </w:pPr>
            <w:r>
              <w:rPr>
                <w:rFonts w:ascii="Courier New"/>
                <w:w w:val="100"/>
                <w:sz w:val="28"/>
              </w:rPr>
              <w:t>X</w:t>
            </w:r>
          </w:p>
        </w:tc>
      </w:tr>
      <w:tr>
        <w:trPr>
          <w:trHeight w:val="563" w:hRule="atLeast"/>
        </w:trPr>
        <w:tc>
          <w:tcPr>
            <w:tcW w:w="2144" w:type="dxa"/>
            <w:shd w:val="clear" w:color="auto" w:fill="00AFEF"/>
          </w:tcPr>
          <w:p>
            <w:pPr>
              <w:pStyle w:val="TableParagraph"/>
              <w:ind w:left="107"/>
              <w:rPr>
                <w:rFonts w:ascii="Courier New"/>
                <w:b/>
                <w:sz w:val="28"/>
              </w:rPr>
            </w:pPr>
            <w:r>
              <w:rPr>
                <w:rFonts w:ascii="Courier New"/>
                <w:b/>
                <w:sz w:val="28"/>
              </w:rPr>
              <w:t>Propolis</w:t>
            </w:r>
          </w:p>
        </w:tc>
        <w:tc>
          <w:tcPr>
            <w:tcW w:w="1085" w:type="dxa"/>
          </w:tcPr>
          <w:p>
            <w:pPr>
              <w:pStyle w:val="TableParagraph"/>
              <w:spacing w:before="7"/>
              <w:ind w:left="105"/>
              <w:rPr>
                <w:rFonts w:ascii="Courier New"/>
                <w:sz w:val="28"/>
              </w:rPr>
            </w:pPr>
            <w:r>
              <w:rPr>
                <w:rFonts w:ascii="Courier New"/>
                <w:sz w:val="28"/>
              </w:rPr>
              <w:t>1232</w:t>
            </w:r>
          </w:p>
        </w:tc>
        <w:tc>
          <w:tcPr>
            <w:tcW w:w="1558" w:type="dxa"/>
          </w:tcPr>
          <w:p>
            <w:pPr>
              <w:pStyle w:val="TableParagraph"/>
              <w:spacing w:before="7"/>
              <w:ind w:left="104"/>
              <w:rPr>
                <w:rFonts w:ascii="Courier New"/>
                <w:sz w:val="28"/>
              </w:rPr>
            </w:pPr>
            <w:r>
              <w:rPr>
                <w:rFonts w:ascii="Courier New"/>
                <w:w w:val="100"/>
                <w:sz w:val="28"/>
              </w:rPr>
              <w:t>X</w:t>
            </w:r>
          </w:p>
        </w:tc>
        <w:tc>
          <w:tcPr>
            <w:tcW w:w="2126" w:type="dxa"/>
          </w:tcPr>
          <w:p>
            <w:pPr>
              <w:pStyle w:val="TableParagraph"/>
              <w:spacing w:before="7"/>
              <w:ind w:left="107"/>
              <w:rPr>
                <w:rFonts w:ascii="Courier New"/>
                <w:sz w:val="28"/>
              </w:rPr>
            </w:pPr>
            <w:r>
              <w:rPr>
                <w:rFonts w:ascii="Courier New"/>
                <w:w w:val="100"/>
                <w:sz w:val="28"/>
              </w:rPr>
              <w:t>X</w:t>
            </w:r>
          </w:p>
        </w:tc>
        <w:tc>
          <w:tcPr>
            <w:tcW w:w="2858" w:type="dxa"/>
          </w:tcPr>
          <w:p>
            <w:pPr>
              <w:pStyle w:val="TableParagraph"/>
              <w:spacing w:before="7"/>
              <w:ind w:left="107"/>
              <w:rPr>
                <w:rFonts w:ascii="Courier New"/>
                <w:sz w:val="28"/>
              </w:rPr>
            </w:pPr>
            <w:r>
              <w:rPr>
                <w:rFonts w:ascii="Courier New"/>
                <w:w w:val="100"/>
                <w:sz w:val="28"/>
              </w:rPr>
              <w:t>X</w:t>
            </w:r>
          </w:p>
        </w:tc>
        <w:tc>
          <w:tcPr>
            <w:tcW w:w="2333" w:type="dxa"/>
          </w:tcPr>
          <w:p>
            <w:pPr>
              <w:pStyle w:val="TableParagraph"/>
              <w:rPr>
                <w:rFonts w:ascii="Times New Roman"/>
                <w:sz w:val="28"/>
              </w:rPr>
            </w:pPr>
          </w:p>
        </w:tc>
        <w:tc>
          <w:tcPr>
            <w:tcW w:w="2803" w:type="dxa"/>
          </w:tcPr>
          <w:p>
            <w:pPr>
              <w:pStyle w:val="TableParagraph"/>
              <w:spacing w:before="7"/>
              <w:ind w:left="108"/>
              <w:rPr>
                <w:rFonts w:ascii="Courier New"/>
                <w:sz w:val="28"/>
              </w:rPr>
            </w:pPr>
            <w:r>
              <w:rPr>
                <w:rFonts w:ascii="Courier New"/>
                <w:w w:val="100"/>
                <w:sz w:val="28"/>
              </w:rPr>
              <w:t>X</w:t>
            </w:r>
          </w:p>
        </w:tc>
        <w:tc>
          <w:tcPr>
            <w:tcW w:w="2607" w:type="dxa"/>
          </w:tcPr>
          <w:p>
            <w:pPr>
              <w:pStyle w:val="TableParagraph"/>
              <w:spacing w:before="7"/>
              <w:ind w:left="109"/>
              <w:rPr>
                <w:rFonts w:ascii="Courier New"/>
                <w:sz w:val="28"/>
              </w:rPr>
            </w:pPr>
            <w:r>
              <w:rPr>
                <w:rFonts w:ascii="Courier New"/>
                <w:w w:val="100"/>
                <w:sz w:val="28"/>
              </w:rPr>
              <w:t>X</w:t>
            </w:r>
          </w:p>
        </w:tc>
      </w:tr>
      <w:tr>
        <w:trPr>
          <w:trHeight w:val="566" w:hRule="atLeast"/>
        </w:trPr>
        <w:tc>
          <w:tcPr>
            <w:tcW w:w="2144" w:type="dxa"/>
            <w:shd w:val="clear" w:color="auto" w:fill="00AFEF"/>
          </w:tcPr>
          <w:p>
            <w:pPr>
              <w:pStyle w:val="TableParagraph"/>
              <w:spacing w:line="317" w:lineRule="exact"/>
              <w:ind w:left="107"/>
              <w:rPr>
                <w:rFonts w:ascii="Courier New"/>
                <w:b/>
                <w:sz w:val="28"/>
              </w:rPr>
            </w:pPr>
            <w:r>
              <w:rPr>
                <w:rFonts w:ascii="Courier New"/>
                <w:b/>
                <w:sz w:val="28"/>
              </w:rPr>
              <w:t>Royal jelly</w:t>
            </w:r>
          </w:p>
        </w:tc>
        <w:tc>
          <w:tcPr>
            <w:tcW w:w="1085" w:type="dxa"/>
          </w:tcPr>
          <w:p>
            <w:pPr>
              <w:pStyle w:val="TableParagraph"/>
              <w:spacing w:before="6"/>
              <w:ind w:left="105"/>
              <w:rPr>
                <w:rFonts w:ascii="Courier New"/>
                <w:sz w:val="28"/>
              </w:rPr>
            </w:pPr>
            <w:r>
              <w:rPr>
                <w:rFonts w:ascii="Courier New"/>
                <w:sz w:val="28"/>
              </w:rPr>
              <w:t>1268</w:t>
            </w:r>
          </w:p>
        </w:tc>
        <w:tc>
          <w:tcPr>
            <w:tcW w:w="1558" w:type="dxa"/>
          </w:tcPr>
          <w:p>
            <w:pPr>
              <w:pStyle w:val="TableParagraph"/>
              <w:spacing w:before="6"/>
              <w:ind w:left="104"/>
              <w:rPr>
                <w:rFonts w:ascii="Courier New"/>
                <w:sz w:val="28"/>
              </w:rPr>
            </w:pPr>
            <w:r>
              <w:rPr>
                <w:rFonts w:ascii="Courier New"/>
                <w:w w:val="100"/>
                <w:sz w:val="28"/>
              </w:rPr>
              <w:t>X</w:t>
            </w:r>
          </w:p>
        </w:tc>
        <w:tc>
          <w:tcPr>
            <w:tcW w:w="2126" w:type="dxa"/>
          </w:tcPr>
          <w:p>
            <w:pPr>
              <w:pStyle w:val="TableParagraph"/>
              <w:spacing w:before="6"/>
              <w:ind w:left="107"/>
              <w:rPr>
                <w:rFonts w:ascii="Courier New"/>
                <w:sz w:val="28"/>
              </w:rPr>
            </w:pPr>
            <w:r>
              <w:rPr>
                <w:rFonts w:ascii="Courier New"/>
                <w:w w:val="100"/>
                <w:sz w:val="28"/>
              </w:rPr>
              <w:t>X</w:t>
            </w:r>
          </w:p>
        </w:tc>
        <w:tc>
          <w:tcPr>
            <w:tcW w:w="2858" w:type="dxa"/>
          </w:tcPr>
          <w:p>
            <w:pPr>
              <w:pStyle w:val="TableParagraph"/>
              <w:spacing w:before="6"/>
              <w:ind w:left="107"/>
              <w:rPr>
                <w:rFonts w:ascii="Courier New"/>
                <w:sz w:val="28"/>
              </w:rPr>
            </w:pPr>
            <w:r>
              <w:rPr>
                <w:rFonts w:ascii="Courier New"/>
                <w:w w:val="100"/>
                <w:sz w:val="28"/>
              </w:rPr>
              <w:t>X</w:t>
            </w:r>
          </w:p>
        </w:tc>
        <w:tc>
          <w:tcPr>
            <w:tcW w:w="2333" w:type="dxa"/>
          </w:tcPr>
          <w:p>
            <w:pPr>
              <w:pStyle w:val="TableParagraph"/>
              <w:rPr>
                <w:rFonts w:ascii="Times New Roman"/>
                <w:sz w:val="28"/>
              </w:rPr>
            </w:pPr>
          </w:p>
        </w:tc>
        <w:tc>
          <w:tcPr>
            <w:tcW w:w="2803" w:type="dxa"/>
          </w:tcPr>
          <w:p>
            <w:pPr>
              <w:pStyle w:val="TableParagraph"/>
              <w:rPr>
                <w:rFonts w:ascii="Times New Roman"/>
                <w:sz w:val="28"/>
              </w:rPr>
            </w:pPr>
          </w:p>
        </w:tc>
        <w:tc>
          <w:tcPr>
            <w:tcW w:w="2607" w:type="dxa"/>
          </w:tcPr>
          <w:p>
            <w:pPr>
              <w:pStyle w:val="TableParagraph"/>
              <w:spacing w:before="6"/>
              <w:ind w:left="109"/>
              <w:rPr>
                <w:rFonts w:ascii="Courier New"/>
                <w:sz w:val="28"/>
              </w:rPr>
            </w:pPr>
            <w:r>
              <w:rPr>
                <w:rFonts w:ascii="Courier New"/>
                <w:w w:val="100"/>
                <w:sz w:val="28"/>
              </w:rPr>
              <w:t>X</w:t>
            </w:r>
          </w:p>
        </w:tc>
      </w:tr>
      <w:tr>
        <w:trPr>
          <w:trHeight w:val="563" w:hRule="atLeast"/>
        </w:trPr>
        <w:tc>
          <w:tcPr>
            <w:tcW w:w="2144" w:type="dxa"/>
            <w:shd w:val="clear" w:color="auto" w:fill="00AFEF"/>
          </w:tcPr>
          <w:p>
            <w:pPr>
              <w:pStyle w:val="TableParagraph"/>
              <w:spacing w:line="317" w:lineRule="exact"/>
              <w:ind w:left="107"/>
              <w:rPr>
                <w:rFonts w:ascii="Courier New"/>
                <w:b/>
                <w:sz w:val="28"/>
              </w:rPr>
            </w:pPr>
            <w:r>
              <w:rPr>
                <w:rFonts w:ascii="Courier New"/>
                <w:b/>
                <w:sz w:val="28"/>
              </w:rPr>
              <w:t>Vitamin C</w:t>
            </w:r>
          </w:p>
        </w:tc>
        <w:tc>
          <w:tcPr>
            <w:tcW w:w="1085" w:type="dxa"/>
          </w:tcPr>
          <w:p>
            <w:pPr>
              <w:pStyle w:val="TableParagraph"/>
              <w:spacing w:before="6"/>
              <w:ind w:left="105"/>
              <w:rPr>
                <w:rFonts w:ascii="Courier New"/>
                <w:sz w:val="28"/>
              </w:rPr>
            </w:pPr>
            <w:r>
              <w:rPr>
                <w:rFonts w:ascii="Courier New"/>
                <w:sz w:val="28"/>
              </w:rPr>
              <w:t>1720</w:t>
            </w:r>
          </w:p>
        </w:tc>
        <w:tc>
          <w:tcPr>
            <w:tcW w:w="1558" w:type="dxa"/>
          </w:tcPr>
          <w:p>
            <w:pPr>
              <w:pStyle w:val="TableParagraph"/>
              <w:spacing w:before="6"/>
              <w:ind w:left="104"/>
              <w:rPr>
                <w:rFonts w:ascii="Courier New"/>
                <w:sz w:val="28"/>
              </w:rPr>
            </w:pPr>
            <w:r>
              <w:rPr>
                <w:rFonts w:ascii="Courier New"/>
                <w:w w:val="100"/>
                <w:sz w:val="28"/>
              </w:rPr>
              <w:t>X</w:t>
            </w:r>
          </w:p>
        </w:tc>
        <w:tc>
          <w:tcPr>
            <w:tcW w:w="2126" w:type="dxa"/>
          </w:tcPr>
          <w:p>
            <w:pPr>
              <w:pStyle w:val="TableParagraph"/>
              <w:spacing w:before="6"/>
              <w:ind w:left="107"/>
              <w:rPr>
                <w:rFonts w:ascii="Courier New"/>
                <w:sz w:val="28"/>
              </w:rPr>
            </w:pPr>
            <w:r>
              <w:rPr>
                <w:rFonts w:ascii="Courier New"/>
                <w:w w:val="100"/>
                <w:sz w:val="28"/>
              </w:rPr>
              <w:t>X</w:t>
            </w:r>
          </w:p>
        </w:tc>
        <w:tc>
          <w:tcPr>
            <w:tcW w:w="2858" w:type="dxa"/>
          </w:tcPr>
          <w:p>
            <w:pPr>
              <w:pStyle w:val="TableParagraph"/>
              <w:spacing w:before="6"/>
              <w:ind w:left="107"/>
              <w:rPr>
                <w:rFonts w:ascii="Courier New"/>
                <w:sz w:val="28"/>
              </w:rPr>
            </w:pPr>
            <w:r>
              <w:rPr>
                <w:rFonts w:ascii="Courier New"/>
                <w:w w:val="100"/>
                <w:sz w:val="28"/>
              </w:rPr>
              <w:t>X</w:t>
            </w:r>
          </w:p>
        </w:tc>
        <w:tc>
          <w:tcPr>
            <w:tcW w:w="2333" w:type="dxa"/>
          </w:tcPr>
          <w:p>
            <w:pPr>
              <w:pStyle w:val="TableParagraph"/>
              <w:rPr>
                <w:rFonts w:ascii="Times New Roman"/>
                <w:sz w:val="28"/>
              </w:rPr>
            </w:pPr>
          </w:p>
        </w:tc>
        <w:tc>
          <w:tcPr>
            <w:tcW w:w="2803" w:type="dxa"/>
          </w:tcPr>
          <w:p>
            <w:pPr>
              <w:pStyle w:val="TableParagraph"/>
              <w:spacing w:before="6"/>
              <w:ind w:left="108"/>
              <w:rPr>
                <w:rFonts w:ascii="Courier New"/>
                <w:sz w:val="28"/>
              </w:rPr>
            </w:pPr>
            <w:r>
              <w:rPr>
                <w:rFonts w:ascii="Courier New"/>
                <w:w w:val="100"/>
                <w:sz w:val="28"/>
              </w:rPr>
              <w:t>X</w:t>
            </w:r>
          </w:p>
        </w:tc>
        <w:tc>
          <w:tcPr>
            <w:tcW w:w="2607" w:type="dxa"/>
          </w:tcPr>
          <w:p>
            <w:pPr>
              <w:pStyle w:val="TableParagraph"/>
              <w:spacing w:before="6"/>
              <w:ind w:left="109"/>
              <w:rPr>
                <w:rFonts w:ascii="Courier New"/>
                <w:sz w:val="28"/>
              </w:rPr>
            </w:pPr>
            <w:r>
              <w:rPr>
                <w:rFonts w:ascii="Courier New"/>
                <w:w w:val="100"/>
                <w:sz w:val="28"/>
              </w:rPr>
              <w:t>X</w:t>
            </w:r>
          </w:p>
        </w:tc>
      </w:tr>
      <w:tr>
        <w:trPr>
          <w:trHeight w:val="565" w:hRule="atLeast"/>
        </w:trPr>
        <w:tc>
          <w:tcPr>
            <w:tcW w:w="2144" w:type="dxa"/>
            <w:shd w:val="clear" w:color="auto" w:fill="00AFEF"/>
          </w:tcPr>
          <w:p>
            <w:pPr>
              <w:pStyle w:val="TableParagraph"/>
              <w:spacing w:line="317" w:lineRule="exact"/>
              <w:ind w:left="107"/>
              <w:rPr>
                <w:rFonts w:ascii="Courier New"/>
                <w:b/>
                <w:sz w:val="28"/>
              </w:rPr>
            </w:pPr>
            <w:r>
              <w:rPr>
                <w:rFonts w:ascii="Courier New"/>
                <w:b/>
                <w:sz w:val="28"/>
              </w:rPr>
              <w:t>OPC</w:t>
            </w:r>
          </w:p>
        </w:tc>
        <w:tc>
          <w:tcPr>
            <w:tcW w:w="1085" w:type="dxa"/>
          </w:tcPr>
          <w:p>
            <w:pPr>
              <w:pStyle w:val="TableParagraph"/>
              <w:spacing w:before="6"/>
              <w:ind w:left="105"/>
              <w:rPr>
                <w:rFonts w:ascii="Courier New"/>
                <w:sz w:val="28"/>
              </w:rPr>
            </w:pPr>
            <w:r>
              <w:rPr>
                <w:rFonts w:ascii="Courier New"/>
                <w:sz w:val="28"/>
              </w:rPr>
              <w:t>1094</w:t>
            </w:r>
          </w:p>
        </w:tc>
        <w:tc>
          <w:tcPr>
            <w:tcW w:w="1558" w:type="dxa"/>
          </w:tcPr>
          <w:p>
            <w:pPr>
              <w:pStyle w:val="TableParagraph"/>
              <w:spacing w:before="6"/>
              <w:ind w:left="104"/>
              <w:rPr>
                <w:rFonts w:ascii="Courier New"/>
                <w:sz w:val="28"/>
              </w:rPr>
            </w:pPr>
            <w:r>
              <w:rPr>
                <w:rFonts w:ascii="Courier New"/>
                <w:w w:val="100"/>
                <w:sz w:val="28"/>
              </w:rPr>
              <w:t>X</w:t>
            </w:r>
          </w:p>
        </w:tc>
        <w:tc>
          <w:tcPr>
            <w:tcW w:w="2126" w:type="dxa"/>
          </w:tcPr>
          <w:p>
            <w:pPr>
              <w:pStyle w:val="TableParagraph"/>
              <w:spacing w:before="6"/>
              <w:ind w:left="107"/>
              <w:rPr>
                <w:rFonts w:ascii="Courier New"/>
                <w:sz w:val="28"/>
              </w:rPr>
            </w:pPr>
            <w:r>
              <w:rPr>
                <w:rFonts w:ascii="Courier New"/>
                <w:w w:val="100"/>
                <w:sz w:val="28"/>
              </w:rPr>
              <w:t>X</w:t>
            </w:r>
          </w:p>
        </w:tc>
        <w:tc>
          <w:tcPr>
            <w:tcW w:w="2858" w:type="dxa"/>
          </w:tcPr>
          <w:p>
            <w:pPr>
              <w:pStyle w:val="TableParagraph"/>
              <w:spacing w:before="6"/>
              <w:ind w:left="107"/>
              <w:rPr>
                <w:rFonts w:ascii="Courier New"/>
                <w:sz w:val="28"/>
              </w:rPr>
            </w:pPr>
            <w:r>
              <w:rPr>
                <w:rFonts w:ascii="Courier New"/>
                <w:w w:val="100"/>
                <w:sz w:val="28"/>
              </w:rPr>
              <w:t>X</w:t>
            </w:r>
          </w:p>
        </w:tc>
        <w:tc>
          <w:tcPr>
            <w:tcW w:w="2333" w:type="dxa"/>
          </w:tcPr>
          <w:p>
            <w:pPr>
              <w:pStyle w:val="TableParagraph"/>
              <w:rPr>
                <w:rFonts w:ascii="Times New Roman"/>
                <w:sz w:val="28"/>
              </w:rPr>
            </w:pPr>
          </w:p>
        </w:tc>
        <w:tc>
          <w:tcPr>
            <w:tcW w:w="2803" w:type="dxa"/>
          </w:tcPr>
          <w:p>
            <w:pPr>
              <w:pStyle w:val="TableParagraph"/>
              <w:spacing w:before="6"/>
              <w:ind w:left="108"/>
              <w:rPr>
                <w:rFonts w:ascii="Courier New"/>
                <w:sz w:val="28"/>
              </w:rPr>
            </w:pPr>
            <w:r>
              <w:rPr>
                <w:rFonts w:ascii="Courier New"/>
                <w:w w:val="100"/>
                <w:sz w:val="28"/>
              </w:rPr>
              <w:t>X</w:t>
            </w:r>
          </w:p>
        </w:tc>
        <w:tc>
          <w:tcPr>
            <w:tcW w:w="2607" w:type="dxa"/>
          </w:tcPr>
          <w:p>
            <w:pPr>
              <w:pStyle w:val="TableParagraph"/>
              <w:spacing w:before="6"/>
              <w:ind w:left="109"/>
              <w:rPr>
                <w:rFonts w:ascii="Courier New"/>
                <w:sz w:val="28"/>
              </w:rPr>
            </w:pPr>
            <w:r>
              <w:rPr>
                <w:rFonts w:ascii="Courier New"/>
                <w:w w:val="100"/>
                <w:sz w:val="28"/>
              </w:rPr>
              <w:t>X</w:t>
            </w:r>
          </w:p>
        </w:tc>
      </w:tr>
      <w:tr>
        <w:trPr>
          <w:trHeight w:val="564" w:hRule="atLeast"/>
        </w:trPr>
        <w:tc>
          <w:tcPr>
            <w:tcW w:w="2144" w:type="dxa"/>
            <w:shd w:val="clear" w:color="auto" w:fill="00AFEF"/>
          </w:tcPr>
          <w:p>
            <w:pPr>
              <w:pStyle w:val="TableParagraph"/>
              <w:spacing w:line="317" w:lineRule="exact"/>
              <w:ind w:left="107"/>
              <w:rPr>
                <w:rFonts w:ascii="Courier New"/>
                <w:b/>
                <w:sz w:val="28"/>
              </w:rPr>
            </w:pPr>
            <w:r>
              <w:rPr>
                <w:rFonts w:ascii="Courier New"/>
                <w:b/>
                <w:sz w:val="28"/>
              </w:rPr>
              <w:t>Curcumin</w:t>
            </w:r>
          </w:p>
        </w:tc>
        <w:tc>
          <w:tcPr>
            <w:tcW w:w="1085" w:type="dxa"/>
          </w:tcPr>
          <w:p>
            <w:pPr>
              <w:pStyle w:val="TableParagraph"/>
              <w:spacing w:before="6"/>
              <w:ind w:left="105"/>
              <w:rPr>
                <w:rFonts w:ascii="Courier New"/>
                <w:sz w:val="28"/>
              </w:rPr>
            </w:pPr>
            <w:r>
              <w:rPr>
                <w:rFonts w:ascii="Courier New"/>
                <w:sz w:val="28"/>
              </w:rPr>
              <w:t>328</w:t>
            </w:r>
          </w:p>
        </w:tc>
        <w:tc>
          <w:tcPr>
            <w:tcW w:w="1558" w:type="dxa"/>
          </w:tcPr>
          <w:p>
            <w:pPr>
              <w:pStyle w:val="TableParagraph"/>
              <w:spacing w:before="6"/>
              <w:ind w:left="104"/>
              <w:rPr>
                <w:rFonts w:ascii="Courier New"/>
                <w:sz w:val="28"/>
              </w:rPr>
            </w:pPr>
            <w:r>
              <w:rPr>
                <w:rFonts w:ascii="Courier New"/>
                <w:w w:val="100"/>
                <w:sz w:val="28"/>
              </w:rPr>
              <w:t>X</w:t>
            </w:r>
          </w:p>
        </w:tc>
        <w:tc>
          <w:tcPr>
            <w:tcW w:w="2126" w:type="dxa"/>
          </w:tcPr>
          <w:p>
            <w:pPr>
              <w:pStyle w:val="TableParagraph"/>
              <w:spacing w:before="6"/>
              <w:ind w:left="107"/>
              <w:rPr>
                <w:rFonts w:ascii="Courier New"/>
                <w:sz w:val="28"/>
              </w:rPr>
            </w:pPr>
            <w:r>
              <w:rPr>
                <w:rFonts w:ascii="Courier New"/>
                <w:w w:val="100"/>
                <w:sz w:val="28"/>
              </w:rPr>
              <w:t>X</w:t>
            </w:r>
          </w:p>
        </w:tc>
        <w:tc>
          <w:tcPr>
            <w:tcW w:w="2858" w:type="dxa"/>
          </w:tcPr>
          <w:p>
            <w:pPr>
              <w:pStyle w:val="TableParagraph"/>
              <w:spacing w:before="6"/>
              <w:ind w:left="107"/>
              <w:rPr>
                <w:rFonts w:ascii="Courier New"/>
                <w:sz w:val="28"/>
              </w:rPr>
            </w:pPr>
            <w:r>
              <w:rPr>
                <w:rFonts w:ascii="Courier New"/>
                <w:w w:val="100"/>
                <w:sz w:val="28"/>
              </w:rPr>
              <w:t>X</w:t>
            </w:r>
          </w:p>
        </w:tc>
        <w:tc>
          <w:tcPr>
            <w:tcW w:w="2333" w:type="dxa"/>
          </w:tcPr>
          <w:p>
            <w:pPr>
              <w:pStyle w:val="TableParagraph"/>
              <w:rPr>
                <w:rFonts w:ascii="Times New Roman"/>
                <w:sz w:val="28"/>
              </w:rPr>
            </w:pPr>
          </w:p>
        </w:tc>
        <w:tc>
          <w:tcPr>
            <w:tcW w:w="2803" w:type="dxa"/>
          </w:tcPr>
          <w:p>
            <w:pPr>
              <w:pStyle w:val="TableParagraph"/>
              <w:rPr>
                <w:rFonts w:ascii="Times New Roman"/>
                <w:sz w:val="28"/>
              </w:rPr>
            </w:pPr>
          </w:p>
        </w:tc>
        <w:tc>
          <w:tcPr>
            <w:tcW w:w="2607" w:type="dxa"/>
          </w:tcPr>
          <w:p>
            <w:pPr>
              <w:pStyle w:val="TableParagraph"/>
              <w:spacing w:before="6"/>
              <w:ind w:left="109"/>
              <w:rPr>
                <w:rFonts w:ascii="Courier New"/>
                <w:sz w:val="28"/>
              </w:rPr>
            </w:pPr>
            <w:r>
              <w:rPr>
                <w:rFonts w:ascii="Courier New"/>
                <w:w w:val="100"/>
                <w:sz w:val="28"/>
              </w:rPr>
              <w:t>X</w:t>
            </w:r>
          </w:p>
        </w:tc>
      </w:tr>
    </w:tbl>
    <w:p>
      <w:pPr>
        <w:spacing w:after="0"/>
        <w:rPr>
          <w:rFonts w:ascii="Courier New"/>
          <w:sz w:val="28"/>
        </w:rPr>
        <w:sectPr>
          <w:footerReference w:type="default" r:id="rId14"/>
          <w:pgSz w:w="18630" w:h="11910" w:orient="landscape"/>
          <w:pgMar w:footer="404" w:header="0" w:top="840" w:bottom="600" w:left="740" w:right="80"/>
          <w:pgNumType w:start="35"/>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44"/>
        <w:gridCol w:w="1085"/>
        <w:gridCol w:w="1558"/>
        <w:gridCol w:w="2126"/>
        <w:gridCol w:w="2858"/>
        <w:gridCol w:w="2333"/>
        <w:gridCol w:w="2803"/>
        <w:gridCol w:w="2647"/>
      </w:tblGrid>
      <w:tr>
        <w:trPr>
          <w:trHeight w:val="564" w:hRule="atLeast"/>
        </w:trPr>
        <w:tc>
          <w:tcPr>
            <w:tcW w:w="2144" w:type="dxa"/>
            <w:shd w:val="clear" w:color="auto" w:fill="00AFEF"/>
          </w:tcPr>
          <w:p>
            <w:pPr>
              <w:pStyle w:val="TableParagraph"/>
              <w:spacing w:line="317" w:lineRule="exact"/>
              <w:ind w:left="107"/>
              <w:rPr>
                <w:rFonts w:ascii="Courier New"/>
                <w:b/>
                <w:sz w:val="28"/>
              </w:rPr>
            </w:pPr>
            <w:r>
              <w:rPr>
                <w:rFonts w:ascii="Courier New"/>
                <w:b/>
                <w:sz w:val="28"/>
              </w:rPr>
              <w:t>Ginkgo B.</w:t>
            </w:r>
          </w:p>
        </w:tc>
        <w:tc>
          <w:tcPr>
            <w:tcW w:w="1085" w:type="dxa"/>
          </w:tcPr>
          <w:p>
            <w:pPr>
              <w:pStyle w:val="TableParagraph"/>
              <w:spacing w:before="6"/>
              <w:ind w:left="105"/>
              <w:rPr>
                <w:rFonts w:ascii="Courier New"/>
                <w:sz w:val="28"/>
              </w:rPr>
            </w:pPr>
            <w:r>
              <w:rPr>
                <w:rFonts w:ascii="Courier New"/>
                <w:sz w:val="28"/>
              </w:rPr>
              <w:t>398</w:t>
            </w:r>
          </w:p>
        </w:tc>
        <w:tc>
          <w:tcPr>
            <w:tcW w:w="1558" w:type="dxa"/>
          </w:tcPr>
          <w:p>
            <w:pPr>
              <w:pStyle w:val="TableParagraph"/>
              <w:spacing w:before="6"/>
              <w:ind w:left="104"/>
              <w:rPr>
                <w:rFonts w:ascii="Courier New"/>
                <w:sz w:val="28"/>
              </w:rPr>
            </w:pPr>
            <w:r>
              <w:rPr>
                <w:rFonts w:ascii="Courier New"/>
                <w:w w:val="100"/>
                <w:sz w:val="28"/>
              </w:rPr>
              <w:t>X</w:t>
            </w:r>
          </w:p>
        </w:tc>
        <w:tc>
          <w:tcPr>
            <w:tcW w:w="2126" w:type="dxa"/>
          </w:tcPr>
          <w:p>
            <w:pPr>
              <w:pStyle w:val="TableParagraph"/>
              <w:spacing w:before="6"/>
              <w:ind w:left="107"/>
              <w:rPr>
                <w:rFonts w:ascii="Courier New"/>
                <w:sz w:val="28"/>
              </w:rPr>
            </w:pPr>
            <w:r>
              <w:rPr>
                <w:rFonts w:ascii="Courier New"/>
                <w:w w:val="100"/>
                <w:sz w:val="28"/>
              </w:rPr>
              <w:t>X</w:t>
            </w:r>
          </w:p>
        </w:tc>
        <w:tc>
          <w:tcPr>
            <w:tcW w:w="2858" w:type="dxa"/>
          </w:tcPr>
          <w:p>
            <w:pPr>
              <w:pStyle w:val="TableParagraph"/>
              <w:spacing w:before="6"/>
              <w:ind w:left="107"/>
              <w:rPr>
                <w:rFonts w:ascii="Courier New"/>
                <w:sz w:val="28"/>
              </w:rPr>
            </w:pPr>
            <w:r>
              <w:rPr>
                <w:rFonts w:ascii="Courier New"/>
                <w:w w:val="100"/>
                <w:sz w:val="28"/>
              </w:rPr>
              <w:t>X</w:t>
            </w:r>
          </w:p>
        </w:tc>
        <w:tc>
          <w:tcPr>
            <w:tcW w:w="2333" w:type="dxa"/>
          </w:tcPr>
          <w:p>
            <w:pPr>
              <w:pStyle w:val="TableParagraph"/>
              <w:rPr>
                <w:rFonts w:ascii="Times New Roman"/>
                <w:sz w:val="28"/>
              </w:rPr>
            </w:pPr>
          </w:p>
        </w:tc>
        <w:tc>
          <w:tcPr>
            <w:tcW w:w="2803" w:type="dxa"/>
          </w:tcPr>
          <w:p>
            <w:pPr>
              <w:pStyle w:val="TableParagraph"/>
              <w:spacing w:before="6"/>
              <w:ind w:left="108"/>
              <w:rPr>
                <w:rFonts w:ascii="Courier New"/>
                <w:sz w:val="28"/>
              </w:rPr>
            </w:pPr>
            <w:r>
              <w:rPr>
                <w:rFonts w:ascii="Courier New"/>
                <w:w w:val="100"/>
                <w:sz w:val="28"/>
              </w:rPr>
              <w:t>X</w:t>
            </w:r>
          </w:p>
        </w:tc>
        <w:tc>
          <w:tcPr>
            <w:tcW w:w="2647" w:type="dxa"/>
          </w:tcPr>
          <w:p>
            <w:pPr>
              <w:pStyle w:val="TableParagraph"/>
              <w:spacing w:before="6"/>
              <w:ind w:left="109"/>
              <w:rPr>
                <w:rFonts w:ascii="Courier New"/>
                <w:sz w:val="28"/>
              </w:rPr>
            </w:pPr>
            <w:r>
              <w:rPr>
                <w:rFonts w:ascii="Courier New"/>
                <w:w w:val="100"/>
                <w:sz w:val="28"/>
              </w:rPr>
              <w:t>X</w:t>
            </w:r>
          </w:p>
        </w:tc>
      </w:tr>
      <w:tr>
        <w:trPr>
          <w:trHeight w:val="565" w:hRule="atLeast"/>
        </w:trPr>
        <w:tc>
          <w:tcPr>
            <w:tcW w:w="2144" w:type="dxa"/>
            <w:shd w:val="clear" w:color="auto" w:fill="00AFEF"/>
          </w:tcPr>
          <w:p>
            <w:pPr>
              <w:pStyle w:val="TableParagraph"/>
              <w:spacing w:line="317" w:lineRule="exact"/>
              <w:ind w:left="107"/>
              <w:rPr>
                <w:rFonts w:ascii="Courier New"/>
                <w:b/>
                <w:sz w:val="28"/>
              </w:rPr>
            </w:pPr>
            <w:r>
              <w:rPr>
                <w:rFonts w:ascii="Courier New"/>
                <w:b/>
                <w:sz w:val="28"/>
              </w:rPr>
              <w:t>Pomegranate</w:t>
            </w:r>
          </w:p>
        </w:tc>
        <w:tc>
          <w:tcPr>
            <w:tcW w:w="1085" w:type="dxa"/>
          </w:tcPr>
          <w:p>
            <w:pPr>
              <w:pStyle w:val="TableParagraph"/>
              <w:spacing w:before="6"/>
              <w:ind w:left="105"/>
              <w:rPr>
                <w:rFonts w:ascii="Courier New"/>
                <w:sz w:val="28"/>
              </w:rPr>
            </w:pPr>
            <w:r>
              <w:rPr>
                <w:rFonts w:ascii="Courier New"/>
                <w:sz w:val="28"/>
              </w:rPr>
              <w:t>490</w:t>
            </w:r>
          </w:p>
        </w:tc>
        <w:tc>
          <w:tcPr>
            <w:tcW w:w="1558" w:type="dxa"/>
          </w:tcPr>
          <w:p>
            <w:pPr>
              <w:pStyle w:val="TableParagraph"/>
              <w:spacing w:before="6"/>
              <w:ind w:left="104"/>
              <w:rPr>
                <w:rFonts w:ascii="Courier New"/>
                <w:sz w:val="28"/>
              </w:rPr>
            </w:pPr>
            <w:r>
              <w:rPr>
                <w:rFonts w:ascii="Courier New"/>
                <w:w w:val="100"/>
                <w:sz w:val="28"/>
              </w:rPr>
              <w:t>X</w:t>
            </w:r>
          </w:p>
        </w:tc>
        <w:tc>
          <w:tcPr>
            <w:tcW w:w="2126" w:type="dxa"/>
          </w:tcPr>
          <w:p>
            <w:pPr>
              <w:pStyle w:val="TableParagraph"/>
              <w:spacing w:before="6"/>
              <w:ind w:left="107"/>
              <w:rPr>
                <w:rFonts w:ascii="Courier New"/>
                <w:sz w:val="28"/>
              </w:rPr>
            </w:pPr>
            <w:r>
              <w:rPr>
                <w:rFonts w:ascii="Courier New"/>
                <w:w w:val="100"/>
                <w:sz w:val="28"/>
              </w:rPr>
              <w:t>X</w:t>
            </w:r>
          </w:p>
        </w:tc>
        <w:tc>
          <w:tcPr>
            <w:tcW w:w="2858" w:type="dxa"/>
          </w:tcPr>
          <w:p>
            <w:pPr>
              <w:pStyle w:val="TableParagraph"/>
              <w:spacing w:before="6"/>
              <w:ind w:left="107"/>
              <w:rPr>
                <w:rFonts w:ascii="Courier New"/>
                <w:sz w:val="28"/>
              </w:rPr>
            </w:pPr>
            <w:r>
              <w:rPr>
                <w:rFonts w:ascii="Courier New"/>
                <w:w w:val="100"/>
                <w:sz w:val="28"/>
              </w:rPr>
              <w:t>X</w:t>
            </w:r>
          </w:p>
        </w:tc>
        <w:tc>
          <w:tcPr>
            <w:tcW w:w="2333" w:type="dxa"/>
          </w:tcPr>
          <w:p>
            <w:pPr>
              <w:pStyle w:val="TableParagraph"/>
              <w:rPr>
                <w:rFonts w:ascii="Times New Roman"/>
                <w:sz w:val="28"/>
              </w:rPr>
            </w:pPr>
          </w:p>
        </w:tc>
        <w:tc>
          <w:tcPr>
            <w:tcW w:w="2803" w:type="dxa"/>
          </w:tcPr>
          <w:p>
            <w:pPr>
              <w:pStyle w:val="TableParagraph"/>
              <w:rPr>
                <w:rFonts w:ascii="Times New Roman"/>
                <w:sz w:val="28"/>
              </w:rPr>
            </w:pPr>
          </w:p>
        </w:tc>
        <w:tc>
          <w:tcPr>
            <w:tcW w:w="2647" w:type="dxa"/>
          </w:tcPr>
          <w:p>
            <w:pPr>
              <w:pStyle w:val="TableParagraph"/>
              <w:spacing w:before="6"/>
              <w:ind w:left="109"/>
              <w:rPr>
                <w:rFonts w:ascii="Courier New"/>
                <w:sz w:val="28"/>
              </w:rPr>
            </w:pPr>
            <w:r>
              <w:rPr>
                <w:rFonts w:ascii="Courier New"/>
                <w:w w:val="100"/>
                <w:sz w:val="28"/>
              </w:rPr>
              <w:t>X</w:t>
            </w:r>
          </w:p>
        </w:tc>
      </w:tr>
      <w:tr>
        <w:trPr>
          <w:trHeight w:val="928" w:hRule="atLeast"/>
        </w:trPr>
        <w:tc>
          <w:tcPr>
            <w:tcW w:w="2144" w:type="dxa"/>
            <w:shd w:val="clear" w:color="auto" w:fill="00AFEF"/>
          </w:tcPr>
          <w:p>
            <w:pPr>
              <w:pStyle w:val="TableParagraph"/>
              <w:spacing w:line="278" w:lineRule="auto"/>
              <w:ind w:left="107" w:right="494"/>
              <w:rPr>
                <w:rFonts w:ascii="Courier New"/>
                <w:b/>
                <w:sz w:val="28"/>
              </w:rPr>
            </w:pPr>
            <w:r>
              <w:rPr>
                <w:rFonts w:ascii="Courier New"/>
                <w:b/>
                <w:sz w:val="28"/>
              </w:rPr>
              <w:t>colloidal silver</w:t>
            </w:r>
          </w:p>
        </w:tc>
        <w:tc>
          <w:tcPr>
            <w:tcW w:w="1085" w:type="dxa"/>
          </w:tcPr>
          <w:p>
            <w:pPr>
              <w:pStyle w:val="TableParagraph"/>
              <w:spacing w:before="6"/>
              <w:ind w:left="105"/>
              <w:rPr>
                <w:rFonts w:ascii="Courier New"/>
                <w:sz w:val="28"/>
              </w:rPr>
            </w:pPr>
            <w:r>
              <w:rPr>
                <w:rFonts w:ascii="Courier New"/>
                <w:sz w:val="28"/>
              </w:rPr>
              <w:t>685</w:t>
            </w:r>
          </w:p>
        </w:tc>
        <w:tc>
          <w:tcPr>
            <w:tcW w:w="1558" w:type="dxa"/>
          </w:tcPr>
          <w:p>
            <w:pPr>
              <w:pStyle w:val="TableParagraph"/>
              <w:rPr>
                <w:rFonts w:ascii="Times New Roman"/>
                <w:sz w:val="28"/>
              </w:rPr>
            </w:pPr>
          </w:p>
        </w:tc>
        <w:tc>
          <w:tcPr>
            <w:tcW w:w="2126" w:type="dxa"/>
          </w:tcPr>
          <w:p>
            <w:pPr>
              <w:pStyle w:val="TableParagraph"/>
              <w:spacing w:before="6"/>
              <w:ind w:left="107"/>
              <w:rPr>
                <w:rFonts w:ascii="Courier New"/>
                <w:sz w:val="28"/>
              </w:rPr>
            </w:pPr>
            <w:r>
              <w:rPr>
                <w:rFonts w:ascii="Courier New"/>
                <w:w w:val="100"/>
                <w:sz w:val="28"/>
              </w:rPr>
              <w:t>X</w:t>
            </w:r>
          </w:p>
        </w:tc>
        <w:tc>
          <w:tcPr>
            <w:tcW w:w="2858" w:type="dxa"/>
          </w:tcPr>
          <w:p>
            <w:pPr>
              <w:pStyle w:val="TableParagraph"/>
              <w:rPr>
                <w:rFonts w:ascii="Times New Roman"/>
                <w:sz w:val="28"/>
              </w:rPr>
            </w:pPr>
          </w:p>
        </w:tc>
        <w:tc>
          <w:tcPr>
            <w:tcW w:w="2333" w:type="dxa"/>
          </w:tcPr>
          <w:p>
            <w:pPr>
              <w:pStyle w:val="TableParagraph"/>
              <w:rPr>
                <w:rFonts w:ascii="Times New Roman"/>
                <w:sz w:val="28"/>
              </w:rPr>
            </w:pPr>
          </w:p>
        </w:tc>
        <w:tc>
          <w:tcPr>
            <w:tcW w:w="2803" w:type="dxa"/>
          </w:tcPr>
          <w:p>
            <w:pPr>
              <w:pStyle w:val="TableParagraph"/>
              <w:rPr>
                <w:rFonts w:ascii="Times New Roman"/>
                <w:sz w:val="28"/>
              </w:rPr>
            </w:pPr>
          </w:p>
        </w:tc>
        <w:tc>
          <w:tcPr>
            <w:tcW w:w="2647" w:type="dxa"/>
          </w:tcPr>
          <w:p>
            <w:pPr>
              <w:pStyle w:val="TableParagraph"/>
              <w:spacing w:before="6"/>
              <w:ind w:left="109"/>
              <w:rPr>
                <w:rFonts w:ascii="Courier New"/>
                <w:sz w:val="28"/>
              </w:rPr>
            </w:pPr>
            <w:r>
              <w:rPr>
                <w:rFonts w:ascii="Courier New"/>
                <w:w w:val="100"/>
                <w:sz w:val="28"/>
              </w:rPr>
              <w:t>X</w:t>
            </w:r>
          </w:p>
        </w:tc>
      </w:tr>
      <w:tr>
        <w:trPr>
          <w:trHeight w:val="566" w:hRule="atLeast"/>
        </w:trPr>
        <w:tc>
          <w:tcPr>
            <w:tcW w:w="2144" w:type="dxa"/>
            <w:shd w:val="clear" w:color="auto" w:fill="00AFEF"/>
          </w:tcPr>
          <w:p>
            <w:pPr>
              <w:pStyle w:val="TableParagraph"/>
              <w:spacing w:line="317" w:lineRule="exact"/>
              <w:ind w:left="107"/>
              <w:rPr>
                <w:rFonts w:ascii="Courier New"/>
                <w:b/>
                <w:sz w:val="28"/>
              </w:rPr>
            </w:pPr>
            <w:r>
              <w:rPr>
                <w:rFonts w:ascii="Courier New"/>
                <w:b/>
                <w:sz w:val="28"/>
              </w:rPr>
              <w:t>Lapacho</w:t>
            </w:r>
          </w:p>
        </w:tc>
        <w:tc>
          <w:tcPr>
            <w:tcW w:w="1085" w:type="dxa"/>
          </w:tcPr>
          <w:p>
            <w:pPr>
              <w:pStyle w:val="TableParagraph"/>
              <w:spacing w:before="6"/>
              <w:ind w:left="105"/>
              <w:rPr>
                <w:rFonts w:ascii="Courier New"/>
                <w:sz w:val="28"/>
              </w:rPr>
            </w:pPr>
            <w:r>
              <w:rPr>
                <w:rFonts w:ascii="Courier New"/>
                <w:sz w:val="28"/>
              </w:rPr>
              <w:t>815</w:t>
            </w:r>
          </w:p>
        </w:tc>
        <w:tc>
          <w:tcPr>
            <w:tcW w:w="1558" w:type="dxa"/>
          </w:tcPr>
          <w:p>
            <w:pPr>
              <w:pStyle w:val="TableParagraph"/>
              <w:spacing w:before="6"/>
              <w:ind w:left="104"/>
              <w:rPr>
                <w:rFonts w:ascii="Courier New"/>
                <w:sz w:val="28"/>
              </w:rPr>
            </w:pPr>
            <w:r>
              <w:rPr>
                <w:rFonts w:ascii="Courier New"/>
                <w:w w:val="100"/>
                <w:sz w:val="28"/>
              </w:rPr>
              <w:t>X</w:t>
            </w:r>
          </w:p>
        </w:tc>
        <w:tc>
          <w:tcPr>
            <w:tcW w:w="2126" w:type="dxa"/>
          </w:tcPr>
          <w:p>
            <w:pPr>
              <w:pStyle w:val="TableParagraph"/>
              <w:spacing w:before="6"/>
              <w:ind w:left="107"/>
              <w:rPr>
                <w:rFonts w:ascii="Courier New"/>
                <w:sz w:val="28"/>
              </w:rPr>
            </w:pPr>
            <w:r>
              <w:rPr>
                <w:rFonts w:ascii="Courier New"/>
                <w:w w:val="100"/>
                <w:sz w:val="28"/>
              </w:rPr>
              <w:t>X</w:t>
            </w:r>
          </w:p>
        </w:tc>
        <w:tc>
          <w:tcPr>
            <w:tcW w:w="2858" w:type="dxa"/>
          </w:tcPr>
          <w:p>
            <w:pPr>
              <w:pStyle w:val="TableParagraph"/>
              <w:spacing w:before="6"/>
              <w:ind w:left="107"/>
              <w:rPr>
                <w:rFonts w:ascii="Courier New"/>
                <w:sz w:val="28"/>
              </w:rPr>
            </w:pPr>
            <w:r>
              <w:rPr>
                <w:rFonts w:ascii="Courier New"/>
                <w:w w:val="100"/>
                <w:sz w:val="28"/>
              </w:rPr>
              <w:t>X</w:t>
            </w:r>
          </w:p>
        </w:tc>
        <w:tc>
          <w:tcPr>
            <w:tcW w:w="2333" w:type="dxa"/>
          </w:tcPr>
          <w:p>
            <w:pPr>
              <w:pStyle w:val="TableParagraph"/>
              <w:rPr>
                <w:rFonts w:ascii="Times New Roman"/>
                <w:sz w:val="28"/>
              </w:rPr>
            </w:pPr>
          </w:p>
        </w:tc>
        <w:tc>
          <w:tcPr>
            <w:tcW w:w="2803" w:type="dxa"/>
          </w:tcPr>
          <w:p>
            <w:pPr>
              <w:pStyle w:val="TableParagraph"/>
              <w:rPr>
                <w:rFonts w:ascii="Times New Roman"/>
                <w:sz w:val="28"/>
              </w:rPr>
            </w:pPr>
          </w:p>
        </w:tc>
        <w:tc>
          <w:tcPr>
            <w:tcW w:w="2647" w:type="dxa"/>
          </w:tcPr>
          <w:p>
            <w:pPr>
              <w:pStyle w:val="TableParagraph"/>
              <w:spacing w:before="6"/>
              <w:ind w:left="109"/>
              <w:rPr>
                <w:rFonts w:ascii="Courier New"/>
                <w:sz w:val="28"/>
              </w:rPr>
            </w:pPr>
            <w:r>
              <w:rPr>
                <w:rFonts w:ascii="Courier New"/>
                <w:w w:val="100"/>
                <w:sz w:val="28"/>
              </w:rPr>
              <w:t>X</w:t>
            </w:r>
          </w:p>
        </w:tc>
      </w:tr>
      <w:tr>
        <w:trPr>
          <w:trHeight w:val="564" w:hRule="atLeast"/>
        </w:trPr>
        <w:tc>
          <w:tcPr>
            <w:tcW w:w="2144" w:type="dxa"/>
            <w:shd w:val="clear" w:color="auto" w:fill="00AFEF"/>
          </w:tcPr>
          <w:p>
            <w:pPr>
              <w:pStyle w:val="TableParagraph"/>
              <w:spacing w:line="317" w:lineRule="exact"/>
              <w:ind w:left="107"/>
              <w:rPr>
                <w:rFonts w:ascii="Courier New"/>
                <w:b/>
                <w:sz w:val="28"/>
              </w:rPr>
            </w:pPr>
            <w:r>
              <w:rPr>
                <w:rFonts w:ascii="Courier New"/>
                <w:b/>
                <w:sz w:val="28"/>
              </w:rPr>
              <w:t>Selen</w:t>
            </w:r>
          </w:p>
        </w:tc>
        <w:tc>
          <w:tcPr>
            <w:tcW w:w="1085" w:type="dxa"/>
          </w:tcPr>
          <w:p>
            <w:pPr>
              <w:pStyle w:val="TableParagraph"/>
              <w:spacing w:before="6"/>
              <w:ind w:left="105"/>
              <w:rPr>
                <w:rFonts w:ascii="Courier New"/>
                <w:sz w:val="28"/>
              </w:rPr>
            </w:pPr>
            <w:r>
              <w:rPr>
                <w:rFonts w:ascii="Courier New"/>
                <w:sz w:val="28"/>
              </w:rPr>
              <w:t>1405</w:t>
            </w:r>
          </w:p>
        </w:tc>
        <w:tc>
          <w:tcPr>
            <w:tcW w:w="1558" w:type="dxa"/>
          </w:tcPr>
          <w:p>
            <w:pPr>
              <w:pStyle w:val="TableParagraph"/>
              <w:spacing w:before="6"/>
              <w:ind w:left="104"/>
              <w:rPr>
                <w:rFonts w:ascii="Courier New"/>
                <w:sz w:val="28"/>
              </w:rPr>
            </w:pPr>
            <w:r>
              <w:rPr>
                <w:rFonts w:ascii="Courier New"/>
                <w:w w:val="100"/>
                <w:sz w:val="28"/>
              </w:rPr>
              <w:t>X</w:t>
            </w:r>
          </w:p>
        </w:tc>
        <w:tc>
          <w:tcPr>
            <w:tcW w:w="2126" w:type="dxa"/>
          </w:tcPr>
          <w:p>
            <w:pPr>
              <w:pStyle w:val="TableParagraph"/>
              <w:spacing w:before="6"/>
              <w:ind w:left="107"/>
              <w:rPr>
                <w:rFonts w:ascii="Courier New"/>
                <w:sz w:val="28"/>
              </w:rPr>
            </w:pPr>
            <w:r>
              <w:rPr>
                <w:rFonts w:ascii="Courier New"/>
                <w:w w:val="100"/>
                <w:sz w:val="28"/>
              </w:rPr>
              <w:t>X</w:t>
            </w:r>
          </w:p>
        </w:tc>
        <w:tc>
          <w:tcPr>
            <w:tcW w:w="2858" w:type="dxa"/>
          </w:tcPr>
          <w:p>
            <w:pPr>
              <w:pStyle w:val="TableParagraph"/>
              <w:spacing w:before="6"/>
              <w:ind w:left="107"/>
              <w:rPr>
                <w:rFonts w:ascii="Courier New"/>
                <w:sz w:val="28"/>
              </w:rPr>
            </w:pPr>
            <w:r>
              <w:rPr>
                <w:rFonts w:ascii="Courier New"/>
                <w:w w:val="100"/>
                <w:sz w:val="28"/>
              </w:rPr>
              <w:t>X</w:t>
            </w:r>
          </w:p>
        </w:tc>
        <w:tc>
          <w:tcPr>
            <w:tcW w:w="2333" w:type="dxa"/>
          </w:tcPr>
          <w:p>
            <w:pPr>
              <w:pStyle w:val="TableParagraph"/>
              <w:rPr>
                <w:rFonts w:ascii="Times New Roman"/>
                <w:sz w:val="28"/>
              </w:rPr>
            </w:pPr>
          </w:p>
        </w:tc>
        <w:tc>
          <w:tcPr>
            <w:tcW w:w="2803" w:type="dxa"/>
          </w:tcPr>
          <w:p>
            <w:pPr>
              <w:pStyle w:val="TableParagraph"/>
              <w:rPr>
                <w:rFonts w:ascii="Times New Roman"/>
                <w:sz w:val="28"/>
              </w:rPr>
            </w:pPr>
          </w:p>
        </w:tc>
        <w:tc>
          <w:tcPr>
            <w:tcW w:w="2647" w:type="dxa"/>
          </w:tcPr>
          <w:p>
            <w:pPr>
              <w:pStyle w:val="TableParagraph"/>
              <w:spacing w:before="6"/>
              <w:ind w:left="109"/>
              <w:rPr>
                <w:rFonts w:ascii="Courier New"/>
                <w:sz w:val="28"/>
              </w:rPr>
            </w:pPr>
            <w:r>
              <w:rPr>
                <w:rFonts w:ascii="Courier New"/>
                <w:w w:val="100"/>
                <w:sz w:val="28"/>
              </w:rPr>
              <w:t>X</w:t>
            </w:r>
          </w:p>
        </w:tc>
      </w:tr>
      <w:tr>
        <w:trPr>
          <w:trHeight w:val="563" w:hRule="atLeast"/>
        </w:trPr>
        <w:tc>
          <w:tcPr>
            <w:tcW w:w="2144" w:type="dxa"/>
            <w:shd w:val="clear" w:color="auto" w:fill="00AFEF"/>
          </w:tcPr>
          <w:p>
            <w:pPr>
              <w:pStyle w:val="TableParagraph"/>
              <w:spacing w:line="317" w:lineRule="exact"/>
              <w:ind w:left="107"/>
              <w:rPr>
                <w:rFonts w:ascii="Courier New"/>
                <w:b/>
                <w:sz w:val="28"/>
              </w:rPr>
            </w:pPr>
            <w:r>
              <w:rPr>
                <w:rFonts w:ascii="Courier New"/>
                <w:b/>
                <w:sz w:val="28"/>
              </w:rPr>
              <w:t>Silica</w:t>
            </w:r>
          </w:p>
        </w:tc>
        <w:tc>
          <w:tcPr>
            <w:tcW w:w="1085" w:type="dxa"/>
          </w:tcPr>
          <w:p>
            <w:pPr>
              <w:pStyle w:val="TableParagraph"/>
              <w:spacing w:before="6"/>
              <w:ind w:left="105"/>
              <w:rPr>
                <w:rFonts w:ascii="Courier New"/>
                <w:sz w:val="28"/>
              </w:rPr>
            </w:pPr>
            <w:r>
              <w:rPr>
                <w:rFonts w:ascii="Courier New"/>
                <w:sz w:val="28"/>
              </w:rPr>
              <w:t>1582</w:t>
            </w:r>
          </w:p>
        </w:tc>
        <w:tc>
          <w:tcPr>
            <w:tcW w:w="1558" w:type="dxa"/>
          </w:tcPr>
          <w:p>
            <w:pPr>
              <w:pStyle w:val="TableParagraph"/>
              <w:spacing w:before="6"/>
              <w:ind w:left="104"/>
              <w:rPr>
                <w:rFonts w:ascii="Courier New"/>
                <w:sz w:val="28"/>
              </w:rPr>
            </w:pPr>
            <w:r>
              <w:rPr>
                <w:rFonts w:ascii="Courier New"/>
                <w:w w:val="100"/>
                <w:sz w:val="28"/>
              </w:rPr>
              <w:t>X</w:t>
            </w:r>
          </w:p>
        </w:tc>
        <w:tc>
          <w:tcPr>
            <w:tcW w:w="2126" w:type="dxa"/>
          </w:tcPr>
          <w:p>
            <w:pPr>
              <w:pStyle w:val="TableParagraph"/>
              <w:rPr>
                <w:rFonts w:ascii="Times New Roman"/>
                <w:sz w:val="28"/>
              </w:rPr>
            </w:pPr>
          </w:p>
        </w:tc>
        <w:tc>
          <w:tcPr>
            <w:tcW w:w="2858" w:type="dxa"/>
          </w:tcPr>
          <w:p>
            <w:pPr>
              <w:pStyle w:val="TableParagraph"/>
              <w:spacing w:before="6"/>
              <w:ind w:left="107"/>
              <w:rPr>
                <w:rFonts w:ascii="Courier New"/>
                <w:sz w:val="28"/>
              </w:rPr>
            </w:pPr>
            <w:r>
              <w:rPr>
                <w:rFonts w:ascii="Courier New"/>
                <w:w w:val="100"/>
                <w:sz w:val="28"/>
              </w:rPr>
              <w:t>X</w:t>
            </w:r>
          </w:p>
        </w:tc>
        <w:tc>
          <w:tcPr>
            <w:tcW w:w="2333" w:type="dxa"/>
          </w:tcPr>
          <w:p>
            <w:pPr>
              <w:pStyle w:val="TableParagraph"/>
              <w:spacing w:before="6"/>
              <w:ind w:left="106"/>
              <w:rPr>
                <w:rFonts w:ascii="Courier New"/>
                <w:sz w:val="28"/>
              </w:rPr>
            </w:pPr>
            <w:r>
              <w:rPr>
                <w:rFonts w:ascii="Courier New"/>
                <w:w w:val="100"/>
                <w:sz w:val="28"/>
              </w:rPr>
              <w:t>X</w:t>
            </w:r>
          </w:p>
        </w:tc>
        <w:tc>
          <w:tcPr>
            <w:tcW w:w="2803" w:type="dxa"/>
          </w:tcPr>
          <w:p>
            <w:pPr>
              <w:pStyle w:val="TableParagraph"/>
              <w:rPr>
                <w:rFonts w:ascii="Times New Roman"/>
                <w:sz w:val="28"/>
              </w:rPr>
            </w:pPr>
          </w:p>
        </w:tc>
        <w:tc>
          <w:tcPr>
            <w:tcW w:w="2647" w:type="dxa"/>
          </w:tcPr>
          <w:p>
            <w:pPr>
              <w:pStyle w:val="TableParagraph"/>
              <w:spacing w:before="6"/>
              <w:ind w:left="109"/>
              <w:rPr>
                <w:rFonts w:ascii="Courier New"/>
                <w:sz w:val="28"/>
              </w:rPr>
            </w:pPr>
            <w:r>
              <w:rPr>
                <w:rFonts w:ascii="Courier New"/>
                <w:w w:val="100"/>
                <w:sz w:val="28"/>
              </w:rPr>
              <w:t>X</w:t>
            </w:r>
          </w:p>
        </w:tc>
      </w:tr>
      <w:tr>
        <w:trPr>
          <w:trHeight w:val="565" w:hRule="atLeast"/>
        </w:trPr>
        <w:tc>
          <w:tcPr>
            <w:tcW w:w="2144" w:type="dxa"/>
            <w:shd w:val="clear" w:color="auto" w:fill="00AFEF"/>
          </w:tcPr>
          <w:p>
            <w:pPr>
              <w:pStyle w:val="TableParagraph"/>
              <w:spacing w:before="2"/>
              <w:ind w:left="107"/>
              <w:rPr>
                <w:rFonts w:ascii="Courier New"/>
                <w:b/>
                <w:sz w:val="28"/>
              </w:rPr>
            </w:pPr>
            <w:r>
              <w:rPr>
                <w:rFonts w:ascii="Courier New"/>
                <w:b/>
                <w:sz w:val="28"/>
              </w:rPr>
              <w:t>Spirulina</w:t>
            </w:r>
          </w:p>
        </w:tc>
        <w:tc>
          <w:tcPr>
            <w:tcW w:w="1085" w:type="dxa"/>
          </w:tcPr>
          <w:p>
            <w:pPr>
              <w:pStyle w:val="TableParagraph"/>
              <w:spacing w:before="9"/>
              <w:ind w:left="105"/>
              <w:rPr>
                <w:rFonts w:ascii="Courier New"/>
                <w:sz w:val="28"/>
              </w:rPr>
            </w:pPr>
            <w:r>
              <w:rPr>
                <w:rFonts w:ascii="Courier New"/>
                <w:sz w:val="28"/>
              </w:rPr>
              <w:t>1515</w:t>
            </w:r>
          </w:p>
        </w:tc>
        <w:tc>
          <w:tcPr>
            <w:tcW w:w="1558" w:type="dxa"/>
          </w:tcPr>
          <w:p>
            <w:pPr>
              <w:pStyle w:val="TableParagraph"/>
              <w:spacing w:before="9"/>
              <w:ind w:left="104"/>
              <w:rPr>
                <w:rFonts w:ascii="Courier New"/>
                <w:sz w:val="28"/>
              </w:rPr>
            </w:pPr>
            <w:r>
              <w:rPr>
                <w:rFonts w:ascii="Courier New"/>
                <w:w w:val="100"/>
                <w:sz w:val="28"/>
              </w:rPr>
              <w:t>X</w:t>
            </w:r>
          </w:p>
        </w:tc>
        <w:tc>
          <w:tcPr>
            <w:tcW w:w="2126" w:type="dxa"/>
          </w:tcPr>
          <w:p>
            <w:pPr>
              <w:pStyle w:val="TableParagraph"/>
              <w:spacing w:before="9"/>
              <w:ind w:left="107"/>
              <w:rPr>
                <w:rFonts w:ascii="Courier New"/>
                <w:sz w:val="28"/>
              </w:rPr>
            </w:pPr>
            <w:r>
              <w:rPr>
                <w:rFonts w:ascii="Courier New"/>
                <w:w w:val="100"/>
                <w:sz w:val="28"/>
              </w:rPr>
              <w:t>X</w:t>
            </w:r>
          </w:p>
        </w:tc>
        <w:tc>
          <w:tcPr>
            <w:tcW w:w="2858" w:type="dxa"/>
          </w:tcPr>
          <w:p>
            <w:pPr>
              <w:pStyle w:val="TableParagraph"/>
              <w:spacing w:before="9"/>
              <w:ind w:left="107"/>
              <w:rPr>
                <w:rFonts w:ascii="Courier New"/>
                <w:sz w:val="28"/>
              </w:rPr>
            </w:pPr>
            <w:r>
              <w:rPr>
                <w:rFonts w:ascii="Courier New"/>
                <w:w w:val="100"/>
                <w:sz w:val="28"/>
              </w:rPr>
              <w:t>X</w:t>
            </w:r>
          </w:p>
        </w:tc>
        <w:tc>
          <w:tcPr>
            <w:tcW w:w="2333" w:type="dxa"/>
          </w:tcPr>
          <w:p>
            <w:pPr>
              <w:pStyle w:val="TableParagraph"/>
              <w:spacing w:before="9"/>
              <w:ind w:left="106"/>
              <w:rPr>
                <w:rFonts w:ascii="Courier New"/>
                <w:sz w:val="28"/>
              </w:rPr>
            </w:pPr>
            <w:r>
              <w:rPr>
                <w:rFonts w:ascii="Courier New"/>
                <w:w w:val="100"/>
                <w:sz w:val="28"/>
              </w:rPr>
              <w:t>X</w:t>
            </w:r>
          </w:p>
        </w:tc>
        <w:tc>
          <w:tcPr>
            <w:tcW w:w="2803" w:type="dxa"/>
          </w:tcPr>
          <w:p>
            <w:pPr>
              <w:pStyle w:val="TableParagraph"/>
              <w:spacing w:before="9"/>
              <w:ind w:left="108"/>
              <w:rPr>
                <w:rFonts w:ascii="Courier New"/>
                <w:sz w:val="28"/>
              </w:rPr>
            </w:pPr>
            <w:r>
              <w:rPr>
                <w:rFonts w:ascii="Courier New"/>
                <w:w w:val="100"/>
                <w:sz w:val="28"/>
              </w:rPr>
              <w:t>X</w:t>
            </w:r>
          </w:p>
        </w:tc>
        <w:tc>
          <w:tcPr>
            <w:tcW w:w="2647" w:type="dxa"/>
          </w:tcPr>
          <w:p>
            <w:pPr>
              <w:pStyle w:val="TableParagraph"/>
              <w:spacing w:before="9"/>
              <w:ind w:left="109"/>
              <w:rPr>
                <w:rFonts w:ascii="Courier New"/>
                <w:sz w:val="28"/>
              </w:rPr>
            </w:pPr>
            <w:r>
              <w:rPr>
                <w:rFonts w:ascii="Courier New"/>
                <w:w w:val="100"/>
                <w:sz w:val="28"/>
              </w:rPr>
              <w:t>X</w:t>
            </w:r>
          </w:p>
        </w:tc>
      </w:tr>
      <w:tr>
        <w:trPr>
          <w:trHeight w:val="563" w:hRule="atLeast"/>
        </w:trPr>
        <w:tc>
          <w:tcPr>
            <w:tcW w:w="2144" w:type="dxa"/>
            <w:shd w:val="clear" w:color="auto" w:fill="00AFEF"/>
          </w:tcPr>
          <w:p>
            <w:pPr>
              <w:pStyle w:val="TableParagraph"/>
              <w:spacing w:line="317" w:lineRule="exact"/>
              <w:ind w:left="107"/>
              <w:rPr>
                <w:rFonts w:ascii="Courier New"/>
                <w:b/>
                <w:sz w:val="28"/>
              </w:rPr>
            </w:pPr>
            <w:r>
              <w:rPr>
                <w:rFonts w:ascii="Courier New"/>
                <w:b/>
                <w:sz w:val="28"/>
              </w:rPr>
              <w:t>Reishi</w:t>
            </w:r>
          </w:p>
        </w:tc>
        <w:tc>
          <w:tcPr>
            <w:tcW w:w="1085" w:type="dxa"/>
          </w:tcPr>
          <w:p>
            <w:pPr>
              <w:pStyle w:val="TableParagraph"/>
              <w:spacing w:before="6"/>
              <w:ind w:left="105"/>
              <w:rPr>
                <w:rFonts w:ascii="Courier New"/>
                <w:sz w:val="28"/>
              </w:rPr>
            </w:pPr>
            <w:r>
              <w:rPr>
                <w:rFonts w:ascii="Courier New"/>
                <w:sz w:val="28"/>
              </w:rPr>
              <w:t>1665</w:t>
            </w:r>
          </w:p>
        </w:tc>
        <w:tc>
          <w:tcPr>
            <w:tcW w:w="1558" w:type="dxa"/>
          </w:tcPr>
          <w:p>
            <w:pPr>
              <w:pStyle w:val="TableParagraph"/>
              <w:spacing w:before="6"/>
              <w:ind w:left="104"/>
              <w:rPr>
                <w:rFonts w:ascii="Courier New"/>
                <w:sz w:val="28"/>
              </w:rPr>
            </w:pPr>
            <w:r>
              <w:rPr>
                <w:rFonts w:ascii="Courier New"/>
                <w:w w:val="100"/>
                <w:sz w:val="28"/>
              </w:rPr>
              <w:t>X</w:t>
            </w:r>
          </w:p>
        </w:tc>
        <w:tc>
          <w:tcPr>
            <w:tcW w:w="2126" w:type="dxa"/>
          </w:tcPr>
          <w:p>
            <w:pPr>
              <w:pStyle w:val="TableParagraph"/>
              <w:spacing w:before="6"/>
              <w:ind w:left="107"/>
              <w:rPr>
                <w:rFonts w:ascii="Courier New"/>
                <w:sz w:val="28"/>
              </w:rPr>
            </w:pPr>
            <w:r>
              <w:rPr>
                <w:rFonts w:ascii="Courier New"/>
                <w:w w:val="100"/>
                <w:sz w:val="28"/>
              </w:rPr>
              <w:t>X</w:t>
            </w:r>
          </w:p>
        </w:tc>
        <w:tc>
          <w:tcPr>
            <w:tcW w:w="2858" w:type="dxa"/>
          </w:tcPr>
          <w:p>
            <w:pPr>
              <w:pStyle w:val="TableParagraph"/>
              <w:spacing w:before="6"/>
              <w:ind w:left="107"/>
              <w:rPr>
                <w:rFonts w:ascii="Courier New"/>
                <w:sz w:val="28"/>
              </w:rPr>
            </w:pPr>
            <w:r>
              <w:rPr>
                <w:rFonts w:ascii="Courier New"/>
                <w:w w:val="100"/>
                <w:sz w:val="28"/>
              </w:rPr>
              <w:t>X</w:t>
            </w:r>
          </w:p>
        </w:tc>
        <w:tc>
          <w:tcPr>
            <w:tcW w:w="2333" w:type="dxa"/>
          </w:tcPr>
          <w:p>
            <w:pPr>
              <w:pStyle w:val="TableParagraph"/>
              <w:rPr>
                <w:rFonts w:ascii="Times New Roman"/>
                <w:sz w:val="28"/>
              </w:rPr>
            </w:pPr>
          </w:p>
        </w:tc>
        <w:tc>
          <w:tcPr>
            <w:tcW w:w="2803" w:type="dxa"/>
          </w:tcPr>
          <w:p>
            <w:pPr>
              <w:pStyle w:val="TableParagraph"/>
              <w:spacing w:before="6"/>
              <w:ind w:left="108"/>
              <w:rPr>
                <w:rFonts w:ascii="Courier New"/>
                <w:sz w:val="28"/>
              </w:rPr>
            </w:pPr>
            <w:r>
              <w:rPr>
                <w:rFonts w:ascii="Courier New"/>
                <w:w w:val="100"/>
                <w:sz w:val="28"/>
              </w:rPr>
              <w:t>X</w:t>
            </w:r>
          </w:p>
        </w:tc>
        <w:tc>
          <w:tcPr>
            <w:tcW w:w="2647" w:type="dxa"/>
          </w:tcPr>
          <w:p>
            <w:pPr>
              <w:pStyle w:val="TableParagraph"/>
              <w:spacing w:before="6"/>
              <w:ind w:left="109"/>
              <w:rPr>
                <w:rFonts w:ascii="Courier New"/>
                <w:sz w:val="28"/>
              </w:rPr>
            </w:pPr>
            <w:r>
              <w:rPr>
                <w:rFonts w:ascii="Courier New"/>
                <w:w w:val="100"/>
                <w:sz w:val="28"/>
              </w:rPr>
              <w:t>X</w:t>
            </w:r>
          </w:p>
        </w:tc>
      </w:tr>
      <w:tr>
        <w:trPr>
          <w:trHeight w:val="565" w:hRule="atLeast"/>
        </w:trPr>
        <w:tc>
          <w:tcPr>
            <w:tcW w:w="2144" w:type="dxa"/>
            <w:shd w:val="clear" w:color="auto" w:fill="00AFEF"/>
          </w:tcPr>
          <w:p>
            <w:pPr>
              <w:pStyle w:val="TableParagraph"/>
              <w:spacing w:before="2"/>
              <w:ind w:left="107"/>
              <w:rPr>
                <w:rFonts w:ascii="Courier New"/>
                <w:b/>
                <w:sz w:val="28"/>
              </w:rPr>
            </w:pPr>
            <w:r>
              <w:rPr>
                <w:rFonts w:ascii="Courier New"/>
                <w:b/>
                <w:sz w:val="28"/>
              </w:rPr>
              <w:t>Shiitake</w:t>
            </w:r>
          </w:p>
        </w:tc>
        <w:tc>
          <w:tcPr>
            <w:tcW w:w="1085" w:type="dxa"/>
          </w:tcPr>
          <w:p>
            <w:pPr>
              <w:pStyle w:val="TableParagraph"/>
              <w:spacing w:before="9"/>
              <w:ind w:left="105"/>
              <w:rPr>
                <w:rFonts w:ascii="Courier New"/>
                <w:sz w:val="28"/>
              </w:rPr>
            </w:pPr>
            <w:r>
              <w:rPr>
                <w:rFonts w:ascii="Courier New"/>
                <w:sz w:val="28"/>
              </w:rPr>
              <w:t>1685</w:t>
            </w:r>
          </w:p>
        </w:tc>
        <w:tc>
          <w:tcPr>
            <w:tcW w:w="1558" w:type="dxa"/>
          </w:tcPr>
          <w:p>
            <w:pPr>
              <w:pStyle w:val="TableParagraph"/>
              <w:spacing w:before="9"/>
              <w:ind w:left="104"/>
              <w:rPr>
                <w:rFonts w:ascii="Courier New"/>
                <w:sz w:val="28"/>
              </w:rPr>
            </w:pPr>
            <w:r>
              <w:rPr>
                <w:rFonts w:ascii="Courier New"/>
                <w:w w:val="100"/>
                <w:sz w:val="28"/>
              </w:rPr>
              <w:t>X</w:t>
            </w:r>
          </w:p>
        </w:tc>
        <w:tc>
          <w:tcPr>
            <w:tcW w:w="2126" w:type="dxa"/>
          </w:tcPr>
          <w:p>
            <w:pPr>
              <w:pStyle w:val="TableParagraph"/>
              <w:spacing w:before="9"/>
              <w:ind w:left="107"/>
              <w:rPr>
                <w:rFonts w:ascii="Courier New"/>
                <w:sz w:val="28"/>
              </w:rPr>
            </w:pPr>
            <w:r>
              <w:rPr>
                <w:rFonts w:ascii="Courier New"/>
                <w:w w:val="100"/>
                <w:sz w:val="28"/>
              </w:rPr>
              <w:t>X</w:t>
            </w:r>
          </w:p>
        </w:tc>
        <w:tc>
          <w:tcPr>
            <w:tcW w:w="2858" w:type="dxa"/>
          </w:tcPr>
          <w:p>
            <w:pPr>
              <w:pStyle w:val="TableParagraph"/>
              <w:spacing w:before="9"/>
              <w:ind w:left="107"/>
              <w:rPr>
                <w:rFonts w:ascii="Courier New"/>
                <w:sz w:val="28"/>
              </w:rPr>
            </w:pPr>
            <w:r>
              <w:rPr>
                <w:rFonts w:ascii="Courier New"/>
                <w:w w:val="100"/>
                <w:sz w:val="28"/>
              </w:rPr>
              <w:t>X</w:t>
            </w:r>
          </w:p>
        </w:tc>
        <w:tc>
          <w:tcPr>
            <w:tcW w:w="2333" w:type="dxa"/>
          </w:tcPr>
          <w:p>
            <w:pPr>
              <w:pStyle w:val="TableParagraph"/>
              <w:rPr>
                <w:rFonts w:ascii="Times New Roman"/>
                <w:sz w:val="28"/>
              </w:rPr>
            </w:pPr>
          </w:p>
        </w:tc>
        <w:tc>
          <w:tcPr>
            <w:tcW w:w="2803" w:type="dxa"/>
          </w:tcPr>
          <w:p>
            <w:pPr>
              <w:pStyle w:val="TableParagraph"/>
              <w:rPr>
                <w:rFonts w:ascii="Times New Roman"/>
                <w:sz w:val="28"/>
              </w:rPr>
            </w:pPr>
          </w:p>
        </w:tc>
        <w:tc>
          <w:tcPr>
            <w:tcW w:w="2647" w:type="dxa"/>
          </w:tcPr>
          <w:p>
            <w:pPr>
              <w:pStyle w:val="TableParagraph"/>
              <w:spacing w:before="9"/>
              <w:ind w:left="109"/>
              <w:rPr>
                <w:rFonts w:ascii="Courier New"/>
                <w:sz w:val="28"/>
              </w:rPr>
            </w:pPr>
            <w:r>
              <w:rPr>
                <w:rFonts w:ascii="Courier New"/>
                <w:w w:val="100"/>
                <w:sz w:val="28"/>
              </w:rPr>
              <w:t>X</w:t>
            </w:r>
          </w:p>
        </w:tc>
      </w:tr>
      <w:tr>
        <w:trPr>
          <w:trHeight w:val="564" w:hRule="atLeast"/>
        </w:trPr>
        <w:tc>
          <w:tcPr>
            <w:tcW w:w="2144" w:type="dxa"/>
            <w:shd w:val="clear" w:color="auto" w:fill="00AFEF"/>
          </w:tcPr>
          <w:p>
            <w:pPr>
              <w:pStyle w:val="TableParagraph"/>
              <w:ind w:left="107"/>
              <w:rPr>
                <w:rFonts w:ascii="Courier New"/>
                <w:b/>
                <w:sz w:val="28"/>
              </w:rPr>
            </w:pPr>
            <w:r>
              <w:rPr>
                <w:rFonts w:ascii="Courier New"/>
                <w:b/>
                <w:sz w:val="28"/>
              </w:rPr>
              <w:t>Maitake</w:t>
            </w:r>
          </w:p>
        </w:tc>
        <w:tc>
          <w:tcPr>
            <w:tcW w:w="1085" w:type="dxa"/>
          </w:tcPr>
          <w:p>
            <w:pPr>
              <w:pStyle w:val="TableParagraph"/>
              <w:spacing w:before="7"/>
              <w:ind w:left="105"/>
              <w:rPr>
                <w:rFonts w:ascii="Courier New"/>
                <w:sz w:val="28"/>
              </w:rPr>
            </w:pPr>
            <w:r>
              <w:rPr>
                <w:rFonts w:ascii="Courier New"/>
                <w:sz w:val="28"/>
              </w:rPr>
              <w:t>1697</w:t>
            </w:r>
          </w:p>
        </w:tc>
        <w:tc>
          <w:tcPr>
            <w:tcW w:w="1558" w:type="dxa"/>
          </w:tcPr>
          <w:p>
            <w:pPr>
              <w:pStyle w:val="TableParagraph"/>
              <w:spacing w:before="7"/>
              <w:ind w:left="104"/>
              <w:rPr>
                <w:rFonts w:ascii="Courier New"/>
                <w:sz w:val="28"/>
              </w:rPr>
            </w:pPr>
            <w:r>
              <w:rPr>
                <w:rFonts w:ascii="Courier New"/>
                <w:w w:val="100"/>
                <w:sz w:val="28"/>
              </w:rPr>
              <w:t>X</w:t>
            </w:r>
          </w:p>
        </w:tc>
        <w:tc>
          <w:tcPr>
            <w:tcW w:w="2126" w:type="dxa"/>
          </w:tcPr>
          <w:p>
            <w:pPr>
              <w:pStyle w:val="TableParagraph"/>
              <w:spacing w:before="7"/>
              <w:ind w:left="107"/>
              <w:rPr>
                <w:rFonts w:ascii="Courier New"/>
                <w:sz w:val="28"/>
              </w:rPr>
            </w:pPr>
            <w:r>
              <w:rPr>
                <w:rFonts w:ascii="Courier New"/>
                <w:w w:val="100"/>
                <w:sz w:val="28"/>
              </w:rPr>
              <w:t>X</w:t>
            </w:r>
          </w:p>
        </w:tc>
        <w:tc>
          <w:tcPr>
            <w:tcW w:w="2858" w:type="dxa"/>
          </w:tcPr>
          <w:p>
            <w:pPr>
              <w:pStyle w:val="TableParagraph"/>
              <w:spacing w:before="7"/>
              <w:ind w:left="107"/>
              <w:rPr>
                <w:rFonts w:ascii="Courier New"/>
                <w:sz w:val="28"/>
              </w:rPr>
            </w:pPr>
            <w:r>
              <w:rPr>
                <w:rFonts w:ascii="Courier New"/>
                <w:w w:val="100"/>
                <w:sz w:val="28"/>
              </w:rPr>
              <w:t>X</w:t>
            </w:r>
          </w:p>
        </w:tc>
        <w:tc>
          <w:tcPr>
            <w:tcW w:w="2333" w:type="dxa"/>
          </w:tcPr>
          <w:p>
            <w:pPr>
              <w:pStyle w:val="TableParagraph"/>
              <w:rPr>
                <w:rFonts w:ascii="Times New Roman"/>
                <w:sz w:val="28"/>
              </w:rPr>
            </w:pPr>
          </w:p>
        </w:tc>
        <w:tc>
          <w:tcPr>
            <w:tcW w:w="2803" w:type="dxa"/>
          </w:tcPr>
          <w:p>
            <w:pPr>
              <w:pStyle w:val="TableParagraph"/>
              <w:rPr>
                <w:rFonts w:ascii="Times New Roman"/>
                <w:sz w:val="28"/>
              </w:rPr>
            </w:pPr>
          </w:p>
        </w:tc>
        <w:tc>
          <w:tcPr>
            <w:tcW w:w="2647" w:type="dxa"/>
          </w:tcPr>
          <w:p>
            <w:pPr>
              <w:pStyle w:val="TableParagraph"/>
              <w:spacing w:before="7"/>
              <w:ind w:left="109"/>
              <w:rPr>
                <w:rFonts w:ascii="Courier New"/>
                <w:sz w:val="28"/>
              </w:rPr>
            </w:pPr>
            <w:r>
              <w:rPr>
                <w:rFonts w:ascii="Courier New"/>
                <w:w w:val="100"/>
                <w:sz w:val="28"/>
              </w:rPr>
              <w:t>X</w:t>
            </w:r>
          </w:p>
        </w:tc>
      </w:tr>
      <w:tr>
        <w:trPr>
          <w:trHeight w:val="565" w:hRule="atLeast"/>
        </w:trPr>
        <w:tc>
          <w:tcPr>
            <w:tcW w:w="2144" w:type="dxa"/>
            <w:shd w:val="clear" w:color="auto" w:fill="00AFEF"/>
          </w:tcPr>
          <w:p>
            <w:pPr>
              <w:pStyle w:val="TableParagraph"/>
              <w:spacing w:before="2"/>
              <w:ind w:left="107"/>
              <w:rPr>
                <w:rFonts w:ascii="Courier New"/>
                <w:b/>
                <w:sz w:val="28"/>
              </w:rPr>
            </w:pPr>
            <w:r>
              <w:rPr>
                <w:rFonts w:ascii="Courier New"/>
                <w:b/>
                <w:sz w:val="28"/>
              </w:rPr>
              <w:t>Polyporus</w:t>
            </w:r>
          </w:p>
        </w:tc>
        <w:tc>
          <w:tcPr>
            <w:tcW w:w="1085" w:type="dxa"/>
          </w:tcPr>
          <w:p>
            <w:pPr>
              <w:pStyle w:val="TableParagraph"/>
              <w:spacing w:before="9"/>
              <w:ind w:left="105"/>
              <w:rPr>
                <w:rFonts w:ascii="Courier New"/>
                <w:sz w:val="28"/>
              </w:rPr>
            </w:pPr>
            <w:r>
              <w:rPr>
                <w:rFonts w:ascii="Courier New"/>
                <w:sz w:val="28"/>
              </w:rPr>
              <w:t>1845</w:t>
            </w:r>
          </w:p>
        </w:tc>
        <w:tc>
          <w:tcPr>
            <w:tcW w:w="1558" w:type="dxa"/>
          </w:tcPr>
          <w:p>
            <w:pPr>
              <w:pStyle w:val="TableParagraph"/>
              <w:spacing w:before="9"/>
              <w:ind w:left="104"/>
              <w:rPr>
                <w:rFonts w:ascii="Courier New"/>
                <w:sz w:val="28"/>
              </w:rPr>
            </w:pPr>
            <w:r>
              <w:rPr>
                <w:rFonts w:ascii="Courier New"/>
                <w:w w:val="100"/>
                <w:sz w:val="28"/>
              </w:rPr>
              <w:t>X</w:t>
            </w:r>
          </w:p>
        </w:tc>
        <w:tc>
          <w:tcPr>
            <w:tcW w:w="2126" w:type="dxa"/>
          </w:tcPr>
          <w:p>
            <w:pPr>
              <w:pStyle w:val="TableParagraph"/>
              <w:spacing w:before="9"/>
              <w:ind w:left="107"/>
              <w:rPr>
                <w:rFonts w:ascii="Courier New"/>
                <w:sz w:val="28"/>
              </w:rPr>
            </w:pPr>
            <w:r>
              <w:rPr>
                <w:rFonts w:ascii="Courier New"/>
                <w:w w:val="100"/>
                <w:sz w:val="28"/>
              </w:rPr>
              <w:t>X</w:t>
            </w:r>
          </w:p>
        </w:tc>
        <w:tc>
          <w:tcPr>
            <w:tcW w:w="2858" w:type="dxa"/>
          </w:tcPr>
          <w:p>
            <w:pPr>
              <w:pStyle w:val="TableParagraph"/>
              <w:spacing w:before="9"/>
              <w:ind w:left="107"/>
              <w:rPr>
                <w:rFonts w:ascii="Courier New"/>
                <w:sz w:val="28"/>
              </w:rPr>
            </w:pPr>
            <w:r>
              <w:rPr>
                <w:rFonts w:ascii="Courier New"/>
                <w:w w:val="100"/>
                <w:sz w:val="28"/>
              </w:rPr>
              <w:t>X</w:t>
            </w:r>
          </w:p>
        </w:tc>
        <w:tc>
          <w:tcPr>
            <w:tcW w:w="2333" w:type="dxa"/>
          </w:tcPr>
          <w:p>
            <w:pPr>
              <w:pStyle w:val="TableParagraph"/>
              <w:rPr>
                <w:rFonts w:ascii="Times New Roman"/>
                <w:sz w:val="28"/>
              </w:rPr>
            </w:pPr>
          </w:p>
        </w:tc>
        <w:tc>
          <w:tcPr>
            <w:tcW w:w="2803" w:type="dxa"/>
          </w:tcPr>
          <w:p>
            <w:pPr>
              <w:pStyle w:val="TableParagraph"/>
              <w:rPr>
                <w:rFonts w:ascii="Times New Roman"/>
                <w:sz w:val="28"/>
              </w:rPr>
            </w:pPr>
          </w:p>
        </w:tc>
        <w:tc>
          <w:tcPr>
            <w:tcW w:w="2647" w:type="dxa"/>
          </w:tcPr>
          <w:p>
            <w:pPr>
              <w:pStyle w:val="TableParagraph"/>
              <w:spacing w:before="9"/>
              <w:ind w:left="109"/>
              <w:rPr>
                <w:rFonts w:ascii="Courier New"/>
                <w:sz w:val="28"/>
              </w:rPr>
            </w:pPr>
            <w:r>
              <w:rPr>
                <w:rFonts w:ascii="Courier New"/>
                <w:w w:val="100"/>
                <w:sz w:val="28"/>
              </w:rPr>
              <w:t>X</w:t>
            </w:r>
          </w:p>
        </w:tc>
      </w:tr>
      <w:tr>
        <w:trPr>
          <w:trHeight w:val="563" w:hRule="atLeast"/>
        </w:trPr>
        <w:tc>
          <w:tcPr>
            <w:tcW w:w="2144" w:type="dxa"/>
            <w:shd w:val="clear" w:color="auto" w:fill="00AFEF"/>
          </w:tcPr>
          <w:p>
            <w:pPr>
              <w:pStyle w:val="TableParagraph"/>
              <w:spacing w:line="317" w:lineRule="exact"/>
              <w:ind w:left="107"/>
              <w:rPr>
                <w:rFonts w:ascii="Courier New"/>
                <w:b/>
                <w:sz w:val="28"/>
              </w:rPr>
            </w:pPr>
            <w:r>
              <w:rPr>
                <w:rFonts w:ascii="Courier New"/>
                <w:b/>
                <w:sz w:val="28"/>
              </w:rPr>
              <w:t>Coriolus</w:t>
            </w:r>
          </w:p>
        </w:tc>
        <w:tc>
          <w:tcPr>
            <w:tcW w:w="1085" w:type="dxa"/>
          </w:tcPr>
          <w:p>
            <w:pPr>
              <w:pStyle w:val="TableParagraph"/>
              <w:spacing w:before="6"/>
              <w:ind w:left="105"/>
              <w:rPr>
                <w:rFonts w:ascii="Courier New"/>
                <w:sz w:val="28"/>
              </w:rPr>
            </w:pPr>
            <w:r>
              <w:rPr>
                <w:rFonts w:ascii="Courier New"/>
                <w:sz w:val="28"/>
              </w:rPr>
              <w:t>1848</w:t>
            </w:r>
          </w:p>
        </w:tc>
        <w:tc>
          <w:tcPr>
            <w:tcW w:w="1558" w:type="dxa"/>
          </w:tcPr>
          <w:p>
            <w:pPr>
              <w:pStyle w:val="TableParagraph"/>
              <w:spacing w:before="6"/>
              <w:ind w:left="104"/>
              <w:rPr>
                <w:rFonts w:ascii="Courier New"/>
                <w:sz w:val="28"/>
              </w:rPr>
            </w:pPr>
            <w:r>
              <w:rPr>
                <w:rFonts w:ascii="Courier New"/>
                <w:w w:val="100"/>
                <w:sz w:val="28"/>
              </w:rPr>
              <w:t>X</w:t>
            </w:r>
          </w:p>
        </w:tc>
        <w:tc>
          <w:tcPr>
            <w:tcW w:w="2126" w:type="dxa"/>
          </w:tcPr>
          <w:p>
            <w:pPr>
              <w:pStyle w:val="TableParagraph"/>
              <w:spacing w:before="6"/>
              <w:ind w:left="107"/>
              <w:rPr>
                <w:rFonts w:ascii="Courier New"/>
                <w:sz w:val="28"/>
              </w:rPr>
            </w:pPr>
            <w:r>
              <w:rPr>
                <w:rFonts w:ascii="Courier New"/>
                <w:w w:val="100"/>
                <w:sz w:val="28"/>
              </w:rPr>
              <w:t>X</w:t>
            </w:r>
          </w:p>
        </w:tc>
        <w:tc>
          <w:tcPr>
            <w:tcW w:w="2858" w:type="dxa"/>
          </w:tcPr>
          <w:p>
            <w:pPr>
              <w:pStyle w:val="TableParagraph"/>
              <w:spacing w:before="6"/>
              <w:ind w:left="107"/>
              <w:rPr>
                <w:rFonts w:ascii="Courier New"/>
                <w:sz w:val="28"/>
              </w:rPr>
            </w:pPr>
            <w:r>
              <w:rPr>
                <w:rFonts w:ascii="Courier New"/>
                <w:w w:val="100"/>
                <w:sz w:val="28"/>
              </w:rPr>
              <w:t>X</w:t>
            </w:r>
          </w:p>
        </w:tc>
        <w:tc>
          <w:tcPr>
            <w:tcW w:w="2333" w:type="dxa"/>
          </w:tcPr>
          <w:p>
            <w:pPr>
              <w:pStyle w:val="TableParagraph"/>
              <w:rPr>
                <w:rFonts w:ascii="Times New Roman"/>
                <w:sz w:val="28"/>
              </w:rPr>
            </w:pPr>
          </w:p>
        </w:tc>
        <w:tc>
          <w:tcPr>
            <w:tcW w:w="2803" w:type="dxa"/>
          </w:tcPr>
          <w:p>
            <w:pPr>
              <w:pStyle w:val="TableParagraph"/>
              <w:rPr>
                <w:rFonts w:ascii="Times New Roman"/>
                <w:sz w:val="28"/>
              </w:rPr>
            </w:pPr>
          </w:p>
        </w:tc>
        <w:tc>
          <w:tcPr>
            <w:tcW w:w="2647" w:type="dxa"/>
          </w:tcPr>
          <w:p>
            <w:pPr>
              <w:pStyle w:val="TableParagraph"/>
              <w:spacing w:before="6"/>
              <w:ind w:left="109"/>
              <w:rPr>
                <w:rFonts w:ascii="Courier New"/>
                <w:sz w:val="28"/>
              </w:rPr>
            </w:pPr>
            <w:r>
              <w:rPr>
                <w:rFonts w:ascii="Courier New"/>
                <w:w w:val="100"/>
                <w:sz w:val="28"/>
              </w:rPr>
              <w:t>X</w:t>
            </w:r>
          </w:p>
        </w:tc>
      </w:tr>
      <w:tr>
        <w:trPr>
          <w:trHeight w:val="566" w:hRule="atLeast"/>
        </w:trPr>
        <w:tc>
          <w:tcPr>
            <w:tcW w:w="2144" w:type="dxa"/>
            <w:shd w:val="clear" w:color="auto" w:fill="00AFEF"/>
          </w:tcPr>
          <w:p>
            <w:pPr>
              <w:pStyle w:val="TableParagraph"/>
              <w:spacing w:before="2"/>
              <w:ind w:left="107"/>
              <w:rPr>
                <w:rFonts w:ascii="Courier New"/>
                <w:b/>
                <w:sz w:val="28"/>
              </w:rPr>
            </w:pPr>
            <w:r>
              <w:rPr>
                <w:rFonts w:ascii="Courier New"/>
                <w:b/>
                <w:sz w:val="28"/>
              </w:rPr>
              <w:t>Kombucha</w:t>
            </w:r>
          </w:p>
        </w:tc>
        <w:tc>
          <w:tcPr>
            <w:tcW w:w="1085" w:type="dxa"/>
          </w:tcPr>
          <w:p>
            <w:pPr>
              <w:pStyle w:val="TableParagraph"/>
              <w:spacing w:before="9"/>
              <w:ind w:left="105"/>
              <w:rPr>
                <w:rFonts w:ascii="Courier New"/>
                <w:sz w:val="28"/>
              </w:rPr>
            </w:pPr>
            <w:r>
              <w:rPr>
                <w:rFonts w:ascii="Courier New"/>
                <w:sz w:val="28"/>
              </w:rPr>
              <w:t>731</w:t>
            </w:r>
          </w:p>
        </w:tc>
        <w:tc>
          <w:tcPr>
            <w:tcW w:w="1558" w:type="dxa"/>
          </w:tcPr>
          <w:p>
            <w:pPr>
              <w:pStyle w:val="TableParagraph"/>
              <w:spacing w:before="9"/>
              <w:ind w:left="104"/>
              <w:rPr>
                <w:rFonts w:ascii="Courier New"/>
                <w:sz w:val="28"/>
              </w:rPr>
            </w:pPr>
            <w:r>
              <w:rPr>
                <w:rFonts w:ascii="Courier New"/>
                <w:w w:val="100"/>
                <w:sz w:val="28"/>
              </w:rPr>
              <w:t>X</w:t>
            </w:r>
          </w:p>
        </w:tc>
        <w:tc>
          <w:tcPr>
            <w:tcW w:w="2126" w:type="dxa"/>
          </w:tcPr>
          <w:p>
            <w:pPr>
              <w:pStyle w:val="TableParagraph"/>
              <w:spacing w:before="9"/>
              <w:ind w:left="107"/>
              <w:rPr>
                <w:rFonts w:ascii="Courier New"/>
                <w:sz w:val="28"/>
              </w:rPr>
            </w:pPr>
            <w:r>
              <w:rPr>
                <w:rFonts w:ascii="Courier New"/>
                <w:w w:val="100"/>
                <w:sz w:val="28"/>
              </w:rPr>
              <w:t>X</w:t>
            </w:r>
          </w:p>
        </w:tc>
        <w:tc>
          <w:tcPr>
            <w:tcW w:w="2858" w:type="dxa"/>
          </w:tcPr>
          <w:p>
            <w:pPr>
              <w:pStyle w:val="TableParagraph"/>
              <w:spacing w:before="9"/>
              <w:ind w:left="107"/>
              <w:rPr>
                <w:rFonts w:ascii="Courier New"/>
                <w:sz w:val="28"/>
              </w:rPr>
            </w:pPr>
            <w:r>
              <w:rPr>
                <w:rFonts w:ascii="Courier New"/>
                <w:w w:val="100"/>
                <w:sz w:val="28"/>
              </w:rPr>
              <w:t>X</w:t>
            </w:r>
          </w:p>
        </w:tc>
        <w:tc>
          <w:tcPr>
            <w:tcW w:w="2333" w:type="dxa"/>
          </w:tcPr>
          <w:p>
            <w:pPr>
              <w:pStyle w:val="TableParagraph"/>
              <w:spacing w:before="9"/>
              <w:ind w:left="106"/>
              <w:rPr>
                <w:rFonts w:ascii="Courier New"/>
                <w:sz w:val="28"/>
              </w:rPr>
            </w:pPr>
            <w:r>
              <w:rPr>
                <w:rFonts w:ascii="Courier New"/>
                <w:w w:val="100"/>
                <w:sz w:val="28"/>
              </w:rPr>
              <w:t>X</w:t>
            </w:r>
          </w:p>
        </w:tc>
        <w:tc>
          <w:tcPr>
            <w:tcW w:w="2803" w:type="dxa"/>
          </w:tcPr>
          <w:p>
            <w:pPr>
              <w:pStyle w:val="TableParagraph"/>
              <w:rPr>
                <w:rFonts w:ascii="Times New Roman"/>
                <w:sz w:val="28"/>
              </w:rPr>
            </w:pPr>
          </w:p>
        </w:tc>
        <w:tc>
          <w:tcPr>
            <w:tcW w:w="2647" w:type="dxa"/>
          </w:tcPr>
          <w:p>
            <w:pPr>
              <w:pStyle w:val="TableParagraph"/>
              <w:spacing w:before="9"/>
              <w:ind w:left="109"/>
              <w:rPr>
                <w:rFonts w:ascii="Courier New"/>
                <w:sz w:val="28"/>
              </w:rPr>
            </w:pPr>
            <w:r>
              <w:rPr>
                <w:rFonts w:ascii="Courier New"/>
                <w:w w:val="100"/>
                <w:sz w:val="28"/>
              </w:rPr>
              <w:t>X</w:t>
            </w:r>
          </w:p>
        </w:tc>
      </w:tr>
    </w:tbl>
    <w:p>
      <w:pPr>
        <w:spacing w:after="0"/>
        <w:rPr>
          <w:rFonts w:ascii="Courier New"/>
          <w:sz w:val="28"/>
        </w:rPr>
        <w:sectPr>
          <w:pgSz w:w="18630" w:h="11910" w:orient="landscape"/>
          <w:pgMar w:header="0" w:footer="404" w:top="840" w:bottom="600" w:left="740" w:right="80"/>
        </w:sectPr>
      </w:pPr>
    </w:p>
    <w:p>
      <w:pPr>
        <w:pStyle w:val="BodyText"/>
        <w:spacing w:before="1" w:after="1"/>
        <w:rPr>
          <w:rFonts w:ascii="Times New Roman"/>
          <w:sz w:val="22"/>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18"/>
        <w:gridCol w:w="1181"/>
        <w:gridCol w:w="1249"/>
        <w:gridCol w:w="1541"/>
        <w:gridCol w:w="1985"/>
        <w:gridCol w:w="1985"/>
        <w:gridCol w:w="1558"/>
        <w:gridCol w:w="2129"/>
        <w:gridCol w:w="1700"/>
        <w:gridCol w:w="1672"/>
      </w:tblGrid>
      <w:tr>
        <w:trPr>
          <w:trHeight w:val="1086" w:hRule="atLeast"/>
        </w:trPr>
        <w:tc>
          <w:tcPr>
            <w:tcW w:w="17518" w:type="dxa"/>
            <w:gridSpan w:val="10"/>
            <w:shd w:val="clear" w:color="auto" w:fill="FAD3B4"/>
          </w:tcPr>
          <w:p>
            <w:pPr>
              <w:pStyle w:val="TableParagraph"/>
              <w:spacing w:before="311"/>
              <w:ind w:left="2484"/>
              <w:rPr>
                <w:b/>
                <w:sz w:val="36"/>
              </w:rPr>
            </w:pPr>
            <w:r>
              <w:rPr>
                <w:b/>
                <w:sz w:val="36"/>
              </w:rPr>
              <w:t>SUBSTANCE-EFFECT TABLE OF NATURAL REMEDIES FOR ARTHRITIS</w:t>
            </w:r>
          </w:p>
        </w:tc>
      </w:tr>
      <w:tr>
        <w:trPr>
          <w:trHeight w:val="3352" w:hRule="atLeast"/>
        </w:trPr>
        <w:tc>
          <w:tcPr>
            <w:tcW w:w="2518" w:type="dxa"/>
            <w:shd w:val="clear" w:color="auto" w:fill="FFFF00"/>
          </w:tcPr>
          <w:p>
            <w:pPr>
              <w:pStyle w:val="TableParagraph"/>
              <w:rPr>
                <w:rFonts w:ascii="Times New Roman"/>
                <w:sz w:val="32"/>
              </w:rPr>
            </w:pPr>
          </w:p>
          <w:p>
            <w:pPr>
              <w:pStyle w:val="TableParagraph"/>
              <w:spacing w:line="427" w:lineRule="auto" w:before="195"/>
              <w:ind w:left="107" w:right="868"/>
              <w:rPr>
                <w:rFonts w:ascii="Courier New"/>
                <w:b/>
                <w:sz w:val="28"/>
              </w:rPr>
            </w:pPr>
            <w:r>
              <w:rPr>
                <w:rFonts w:ascii="Courier New"/>
                <w:b/>
                <w:sz w:val="28"/>
              </w:rPr>
              <w:t>Natural substance</w:t>
            </w:r>
          </w:p>
        </w:tc>
        <w:tc>
          <w:tcPr>
            <w:tcW w:w="1181" w:type="dxa"/>
            <w:shd w:val="clear" w:color="auto" w:fill="FFFF00"/>
          </w:tcPr>
          <w:p>
            <w:pPr>
              <w:pStyle w:val="TableParagraph"/>
              <w:rPr>
                <w:rFonts w:ascii="Times New Roman"/>
                <w:sz w:val="32"/>
              </w:rPr>
            </w:pPr>
          </w:p>
          <w:p>
            <w:pPr>
              <w:pStyle w:val="TableParagraph"/>
              <w:spacing w:before="195"/>
              <w:ind w:left="107"/>
              <w:rPr>
                <w:rFonts w:ascii="Courier New"/>
                <w:b/>
                <w:sz w:val="28"/>
              </w:rPr>
            </w:pPr>
            <w:r>
              <w:rPr>
                <w:rFonts w:ascii="Courier New"/>
                <w:b/>
                <w:sz w:val="28"/>
              </w:rPr>
              <w:t>Page</w:t>
            </w:r>
          </w:p>
        </w:tc>
        <w:tc>
          <w:tcPr>
            <w:tcW w:w="1249" w:type="dxa"/>
            <w:shd w:val="clear" w:color="auto" w:fill="FFFF00"/>
          </w:tcPr>
          <w:p>
            <w:pPr>
              <w:pStyle w:val="TableParagraph"/>
              <w:rPr>
                <w:rFonts w:ascii="Times New Roman"/>
                <w:sz w:val="32"/>
              </w:rPr>
            </w:pPr>
          </w:p>
          <w:p>
            <w:pPr>
              <w:pStyle w:val="TableParagraph"/>
              <w:spacing w:line="276" w:lineRule="auto" w:before="193"/>
              <w:ind w:left="107" w:right="288"/>
              <w:rPr>
                <w:rFonts w:ascii="Courier New"/>
                <w:b/>
                <w:sz w:val="28"/>
              </w:rPr>
            </w:pPr>
            <w:r>
              <w:rPr>
                <w:rFonts w:ascii="Courier New"/>
                <w:b/>
                <w:sz w:val="28"/>
              </w:rPr>
              <w:t>Anti- oxi- dants</w:t>
            </w:r>
          </w:p>
        </w:tc>
        <w:tc>
          <w:tcPr>
            <w:tcW w:w="1541" w:type="dxa"/>
            <w:shd w:val="clear" w:color="auto" w:fill="FFFF00"/>
          </w:tcPr>
          <w:p>
            <w:pPr>
              <w:pStyle w:val="TableParagraph"/>
              <w:rPr>
                <w:rFonts w:ascii="Times New Roman"/>
                <w:sz w:val="32"/>
              </w:rPr>
            </w:pPr>
          </w:p>
          <w:p>
            <w:pPr>
              <w:pStyle w:val="TableParagraph"/>
              <w:spacing w:line="276" w:lineRule="auto" w:before="193"/>
              <w:ind w:left="104" w:right="248"/>
              <w:rPr>
                <w:rFonts w:ascii="Courier New"/>
                <w:b/>
                <w:sz w:val="28"/>
              </w:rPr>
            </w:pPr>
            <w:r>
              <w:rPr>
                <w:rFonts w:ascii="Courier New"/>
                <w:b/>
                <w:spacing w:val="-1"/>
                <w:sz w:val="28"/>
              </w:rPr>
              <w:t>Detoxi- </w:t>
            </w:r>
            <w:r>
              <w:rPr>
                <w:rFonts w:ascii="Courier New"/>
                <w:b/>
                <w:sz w:val="28"/>
              </w:rPr>
              <w:t>fica- tion and de- acidi- fica- tion</w:t>
            </w:r>
          </w:p>
        </w:tc>
        <w:tc>
          <w:tcPr>
            <w:tcW w:w="1985" w:type="dxa"/>
            <w:shd w:val="clear" w:color="auto" w:fill="FFFF00"/>
          </w:tcPr>
          <w:p>
            <w:pPr>
              <w:pStyle w:val="TableParagraph"/>
              <w:rPr>
                <w:rFonts w:ascii="Times New Roman"/>
                <w:sz w:val="32"/>
              </w:rPr>
            </w:pPr>
          </w:p>
          <w:p>
            <w:pPr>
              <w:pStyle w:val="TableParagraph"/>
              <w:spacing w:line="276" w:lineRule="auto" w:before="193"/>
              <w:ind w:left="106" w:right="186"/>
              <w:rPr>
                <w:rFonts w:ascii="Courier New"/>
                <w:b/>
                <w:sz w:val="28"/>
              </w:rPr>
            </w:pPr>
            <w:r>
              <w:rPr>
                <w:rFonts w:ascii="Courier New"/>
                <w:b/>
                <w:sz w:val="28"/>
              </w:rPr>
              <w:t>Control of inflamma- tory medi- ators</w:t>
            </w:r>
          </w:p>
        </w:tc>
        <w:tc>
          <w:tcPr>
            <w:tcW w:w="1985" w:type="dxa"/>
            <w:shd w:val="clear" w:color="auto" w:fill="FFFF00"/>
          </w:tcPr>
          <w:p>
            <w:pPr>
              <w:pStyle w:val="TableParagraph"/>
              <w:rPr>
                <w:rFonts w:ascii="Times New Roman"/>
                <w:sz w:val="32"/>
              </w:rPr>
            </w:pPr>
          </w:p>
          <w:p>
            <w:pPr>
              <w:pStyle w:val="TableParagraph"/>
              <w:spacing w:line="276" w:lineRule="auto" w:before="193"/>
              <w:ind w:left="107" w:right="167"/>
              <w:rPr>
                <w:rFonts w:ascii="Courier New"/>
                <w:b/>
                <w:sz w:val="28"/>
              </w:rPr>
            </w:pPr>
            <w:r>
              <w:rPr>
                <w:rFonts w:ascii="Courier New"/>
                <w:b/>
                <w:sz w:val="28"/>
              </w:rPr>
              <w:t>Regulation of hyper- active im- mune sys- tem</w:t>
            </w:r>
          </w:p>
        </w:tc>
        <w:tc>
          <w:tcPr>
            <w:tcW w:w="1558" w:type="dxa"/>
            <w:shd w:val="clear" w:color="auto" w:fill="FFFF00"/>
          </w:tcPr>
          <w:p>
            <w:pPr>
              <w:pStyle w:val="TableParagraph"/>
              <w:rPr>
                <w:rFonts w:ascii="Times New Roman"/>
                <w:sz w:val="32"/>
              </w:rPr>
            </w:pPr>
          </w:p>
          <w:p>
            <w:pPr>
              <w:pStyle w:val="TableParagraph"/>
              <w:spacing w:line="276" w:lineRule="auto" w:before="193"/>
              <w:ind w:left="104" w:right="265"/>
              <w:rPr>
                <w:rFonts w:ascii="Courier New"/>
                <w:b/>
                <w:sz w:val="28"/>
              </w:rPr>
            </w:pPr>
            <w:r>
              <w:rPr>
                <w:rFonts w:ascii="Courier New"/>
                <w:b/>
                <w:sz w:val="28"/>
              </w:rPr>
              <w:t>Struc- ture of the hy- aline joint carti- lage</w:t>
            </w:r>
          </w:p>
        </w:tc>
        <w:tc>
          <w:tcPr>
            <w:tcW w:w="2129" w:type="dxa"/>
            <w:shd w:val="clear" w:color="auto" w:fill="FFFF00"/>
          </w:tcPr>
          <w:p>
            <w:pPr>
              <w:pStyle w:val="TableParagraph"/>
              <w:rPr>
                <w:rFonts w:ascii="Times New Roman"/>
                <w:sz w:val="32"/>
              </w:rPr>
            </w:pPr>
          </w:p>
          <w:p>
            <w:pPr>
              <w:pStyle w:val="TableParagraph"/>
              <w:spacing w:line="276" w:lineRule="auto" w:before="193"/>
              <w:ind w:left="107" w:right="143"/>
              <w:rPr>
                <w:rFonts w:ascii="Courier New"/>
                <w:b/>
                <w:sz w:val="28"/>
              </w:rPr>
            </w:pPr>
            <w:r>
              <w:rPr>
                <w:rFonts w:ascii="Courier New"/>
                <w:b/>
                <w:sz w:val="28"/>
              </w:rPr>
              <w:t>Metabolism stimulus of the joint capsule and joint fluid</w:t>
            </w:r>
          </w:p>
        </w:tc>
        <w:tc>
          <w:tcPr>
            <w:tcW w:w="1700" w:type="dxa"/>
            <w:shd w:val="clear" w:color="auto" w:fill="FFFF00"/>
          </w:tcPr>
          <w:p>
            <w:pPr>
              <w:pStyle w:val="TableParagraph"/>
              <w:rPr>
                <w:rFonts w:ascii="Times New Roman"/>
                <w:sz w:val="32"/>
              </w:rPr>
            </w:pPr>
          </w:p>
          <w:p>
            <w:pPr>
              <w:pStyle w:val="TableParagraph"/>
              <w:spacing w:line="276" w:lineRule="auto" w:before="193"/>
              <w:ind w:left="104" w:right="221"/>
              <w:rPr>
                <w:rFonts w:ascii="Courier New"/>
                <w:b/>
                <w:sz w:val="28"/>
              </w:rPr>
            </w:pPr>
            <w:r>
              <w:rPr>
                <w:rFonts w:ascii="Courier New"/>
                <w:b/>
                <w:sz w:val="28"/>
              </w:rPr>
              <w:t>Antibac- terial and an- tifungal effect</w:t>
            </w:r>
          </w:p>
        </w:tc>
        <w:tc>
          <w:tcPr>
            <w:tcW w:w="1672" w:type="dxa"/>
            <w:shd w:val="clear" w:color="auto" w:fill="FFFF00"/>
          </w:tcPr>
          <w:p>
            <w:pPr>
              <w:pStyle w:val="TableParagraph"/>
              <w:rPr>
                <w:rFonts w:ascii="Times New Roman"/>
                <w:sz w:val="32"/>
              </w:rPr>
            </w:pPr>
          </w:p>
          <w:p>
            <w:pPr>
              <w:pStyle w:val="TableParagraph"/>
              <w:spacing w:line="276" w:lineRule="auto" w:before="193"/>
              <w:ind w:left="106" w:right="209"/>
              <w:rPr>
                <w:rFonts w:ascii="Courier New"/>
                <w:b/>
                <w:sz w:val="28"/>
              </w:rPr>
            </w:pPr>
            <w:r>
              <w:rPr>
                <w:rFonts w:ascii="Courier New"/>
                <w:b/>
                <w:sz w:val="28"/>
              </w:rPr>
              <w:t>Pallia- tivum (analge- sic ef- fect)</w:t>
            </w:r>
          </w:p>
        </w:tc>
      </w:tr>
      <w:tr>
        <w:trPr>
          <w:trHeight w:val="563" w:hRule="atLeast"/>
        </w:trPr>
        <w:tc>
          <w:tcPr>
            <w:tcW w:w="2518" w:type="dxa"/>
            <w:shd w:val="clear" w:color="auto" w:fill="00AFEF"/>
          </w:tcPr>
          <w:p>
            <w:pPr>
              <w:pStyle w:val="TableParagraph"/>
              <w:spacing w:line="317" w:lineRule="exact"/>
              <w:ind w:left="107"/>
              <w:rPr>
                <w:rFonts w:ascii="Courier New"/>
                <w:b/>
                <w:sz w:val="28"/>
              </w:rPr>
            </w:pPr>
            <w:r>
              <w:rPr>
                <w:rFonts w:ascii="Courier New"/>
                <w:b/>
                <w:sz w:val="28"/>
              </w:rPr>
              <w:t>Kombucha</w:t>
            </w:r>
          </w:p>
        </w:tc>
        <w:tc>
          <w:tcPr>
            <w:tcW w:w="1181" w:type="dxa"/>
          </w:tcPr>
          <w:p>
            <w:pPr>
              <w:pStyle w:val="TableParagraph"/>
              <w:spacing w:before="6"/>
              <w:ind w:left="107"/>
              <w:rPr>
                <w:rFonts w:ascii="Courier New"/>
                <w:sz w:val="28"/>
              </w:rPr>
            </w:pPr>
            <w:r>
              <w:rPr>
                <w:rFonts w:ascii="Courier New"/>
                <w:sz w:val="28"/>
              </w:rPr>
              <w:t>731</w:t>
            </w:r>
          </w:p>
        </w:tc>
        <w:tc>
          <w:tcPr>
            <w:tcW w:w="1249" w:type="dxa"/>
          </w:tcPr>
          <w:p>
            <w:pPr>
              <w:pStyle w:val="TableParagraph"/>
              <w:spacing w:before="6"/>
              <w:ind w:left="107"/>
              <w:rPr>
                <w:rFonts w:ascii="Courier New"/>
                <w:sz w:val="28"/>
              </w:rPr>
            </w:pPr>
            <w:r>
              <w:rPr>
                <w:rFonts w:ascii="Courier New"/>
                <w:w w:val="100"/>
                <w:sz w:val="28"/>
              </w:rPr>
              <w:t>X</w:t>
            </w:r>
          </w:p>
        </w:tc>
        <w:tc>
          <w:tcPr>
            <w:tcW w:w="1541" w:type="dxa"/>
          </w:tcPr>
          <w:p>
            <w:pPr>
              <w:pStyle w:val="TableParagraph"/>
              <w:spacing w:before="6"/>
              <w:ind w:left="104"/>
              <w:rPr>
                <w:rFonts w:ascii="Courier New"/>
                <w:sz w:val="28"/>
              </w:rPr>
            </w:pPr>
            <w:r>
              <w:rPr>
                <w:rFonts w:ascii="Courier New"/>
                <w:w w:val="100"/>
                <w:sz w:val="28"/>
              </w:rPr>
              <w:t>X</w:t>
            </w:r>
          </w:p>
        </w:tc>
        <w:tc>
          <w:tcPr>
            <w:tcW w:w="1985" w:type="dxa"/>
          </w:tcPr>
          <w:p>
            <w:pPr>
              <w:pStyle w:val="TableParagraph"/>
              <w:spacing w:before="6"/>
              <w:ind w:left="106"/>
              <w:rPr>
                <w:rFonts w:ascii="Courier New"/>
                <w:sz w:val="28"/>
              </w:rPr>
            </w:pPr>
            <w:r>
              <w:rPr>
                <w:rFonts w:ascii="Courier New"/>
                <w:w w:val="100"/>
                <w:sz w:val="28"/>
              </w:rPr>
              <w:t>X</w:t>
            </w:r>
          </w:p>
        </w:tc>
        <w:tc>
          <w:tcPr>
            <w:tcW w:w="1985" w:type="dxa"/>
          </w:tcPr>
          <w:p>
            <w:pPr>
              <w:pStyle w:val="TableParagraph"/>
              <w:spacing w:before="6"/>
              <w:ind w:left="107"/>
              <w:rPr>
                <w:rFonts w:ascii="Courier New"/>
                <w:sz w:val="28"/>
              </w:rPr>
            </w:pPr>
            <w:r>
              <w:rPr>
                <w:rFonts w:ascii="Courier New"/>
                <w:w w:val="100"/>
                <w:sz w:val="28"/>
              </w:rPr>
              <w:t>X</w:t>
            </w:r>
          </w:p>
        </w:tc>
        <w:tc>
          <w:tcPr>
            <w:tcW w:w="1558" w:type="dxa"/>
          </w:tcPr>
          <w:p>
            <w:pPr>
              <w:pStyle w:val="TableParagraph"/>
              <w:spacing w:before="6"/>
              <w:ind w:left="104"/>
              <w:rPr>
                <w:rFonts w:ascii="Courier New"/>
                <w:sz w:val="28"/>
              </w:rPr>
            </w:pPr>
            <w:r>
              <w:rPr>
                <w:rFonts w:ascii="Courier New"/>
                <w:w w:val="100"/>
                <w:sz w:val="28"/>
              </w:rPr>
              <w:t>X</w:t>
            </w:r>
          </w:p>
        </w:tc>
        <w:tc>
          <w:tcPr>
            <w:tcW w:w="2129" w:type="dxa"/>
          </w:tcPr>
          <w:p>
            <w:pPr>
              <w:pStyle w:val="TableParagraph"/>
              <w:spacing w:before="6"/>
              <w:ind w:left="107"/>
              <w:rPr>
                <w:rFonts w:ascii="Courier New"/>
                <w:sz w:val="28"/>
              </w:rPr>
            </w:pPr>
            <w:r>
              <w:rPr>
                <w:rFonts w:ascii="Courier New"/>
                <w:w w:val="100"/>
                <w:sz w:val="28"/>
              </w:rPr>
              <w:t>X</w:t>
            </w:r>
          </w:p>
        </w:tc>
        <w:tc>
          <w:tcPr>
            <w:tcW w:w="1700" w:type="dxa"/>
          </w:tcPr>
          <w:p>
            <w:pPr>
              <w:pStyle w:val="TableParagraph"/>
              <w:spacing w:before="6"/>
              <w:ind w:left="104"/>
              <w:rPr>
                <w:rFonts w:ascii="Courier New"/>
                <w:sz w:val="28"/>
              </w:rPr>
            </w:pPr>
            <w:r>
              <w:rPr>
                <w:rFonts w:ascii="Courier New"/>
                <w:w w:val="100"/>
                <w:sz w:val="28"/>
              </w:rPr>
              <w:t>X</w:t>
            </w:r>
          </w:p>
        </w:tc>
        <w:tc>
          <w:tcPr>
            <w:tcW w:w="1672" w:type="dxa"/>
          </w:tcPr>
          <w:p>
            <w:pPr>
              <w:pStyle w:val="TableParagraph"/>
              <w:spacing w:before="6"/>
              <w:ind w:left="106"/>
              <w:rPr>
                <w:rFonts w:ascii="Courier New"/>
                <w:sz w:val="28"/>
              </w:rPr>
            </w:pPr>
            <w:r>
              <w:rPr>
                <w:rFonts w:ascii="Courier New"/>
                <w:w w:val="100"/>
                <w:sz w:val="28"/>
              </w:rPr>
              <w:t>X</w:t>
            </w:r>
          </w:p>
        </w:tc>
      </w:tr>
      <w:tr>
        <w:trPr>
          <w:trHeight w:val="931" w:hRule="atLeast"/>
        </w:trPr>
        <w:tc>
          <w:tcPr>
            <w:tcW w:w="2518" w:type="dxa"/>
            <w:shd w:val="clear" w:color="auto" w:fill="00AFEF"/>
          </w:tcPr>
          <w:p>
            <w:pPr>
              <w:pStyle w:val="TableParagraph"/>
              <w:spacing w:line="278" w:lineRule="auto"/>
              <w:ind w:left="107" w:right="364"/>
              <w:rPr>
                <w:rFonts w:ascii="Courier New"/>
                <w:b/>
                <w:sz w:val="28"/>
              </w:rPr>
            </w:pPr>
            <w:r>
              <w:rPr>
                <w:rFonts w:ascii="Courier New"/>
                <w:b/>
                <w:sz w:val="28"/>
              </w:rPr>
              <w:t>Organic Ger- manium</w:t>
            </w:r>
          </w:p>
        </w:tc>
        <w:tc>
          <w:tcPr>
            <w:tcW w:w="1181" w:type="dxa"/>
          </w:tcPr>
          <w:p>
            <w:pPr>
              <w:pStyle w:val="TableParagraph"/>
              <w:spacing w:before="9"/>
              <w:ind w:left="107"/>
              <w:rPr>
                <w:rFonts w:ascii="Courier New"/>
                <w:sz w:val="28"/>
              </w:rPr>
            </w:pPr>
            <w:r>
              <w:rPr>
                <w:rFonts w:ascii="Courier New"/>
                <w:sz w:val="28"/>
              </w:rPr>
              <w:t>1152</w:t>
            </w:r>
          </w:p>
        </w:tc>
        <w:tc>
          <w:tcPr>
            <w:tcW w:w="1249" w:type="dxa"/>
          </w:tcPr>
          <w:p>
            <w:pPr>
              <w:pStyle w:val="TableParagraph"/>
              <w:spacing w:before="9"/>
              <w:ind w:left="107"/>
              <w:rPr>
                <w:rFonts w:ascii="Courier New"/>
                <w:sz w:val="28"/>
              </w:rPr>
            </w:pPr>
            <w:r>
              <w:rPr>
                <w:rFonts w:ascii="Courier New"/>
                <w:w w:val="100"/>
                <w:sz w:val="28"/>
              </w:rPr>
              <w:t>X</w:t>
            </w:r>
          </w:p>
        </w:tc>
        <w:tc>
          <w:tcPr>
            <w:tcW w:w="1541" w:type="dxa"/>
          </w:tcPr>
          <w:p>
            <w:pPr>
              <w:pStyle w:val="TableParagraph"/>
              <w:spacing w:before="9"/>
              <w:ind w:left="104"/>
              <w:rPr>
                <w:rFonts w:ascii="Courier New"/>
                <w:sz w:val="28"/>
              </w:rPr>
            </w:pPr>
            <w:r>
              <w:rPr>
                <w:rFonts w:ascii="Courier New"/>
                <w:w w:val="100"/>
                <w:sz w:val="28"/>
              </w:rPr>
              <w:t>X</w:t>
            </w:r>
          </w:p>
        </w:tc>
        <w:tc>
          <w:tcPr>
            <w:tcW w:w="1985" w:type="dxa"/>
          </w:tcPr>
          <w:p>
            <w:pPr>
              <w:pStyle w:val="TableParagraph"/>
              <w:spacing w:before="9"/>
              <w:ind w:left="106"/>
              <w:rPr>
                <w:rFonts w:ascii="Courier New"/>
                <w:sz w:val="28"/>
              </w:rPr>
            </w:pPr>
            <w:r>
              <w:rPr>
                <w:rFonts w:ascii="Courier New"/>
                <w:w w:val="100"/>
                <w:sz w:val="28"/>
              </w:rPr>
              <w:t>X</w:t>
            </w:r>
          </w:p>
        </w:tc>
        <w:tc>
          <w:tcPr>
            <w:tcW w:w="1985" w:type="dxa"/>
          </w:tcPr>
          <w:p>
            <w:pPr>
              <w:pStyle w:val="TableParagraph"/>
              <w:spacing w:before="9"/>
              <w:ind w:left="107"/>
              <w:rPr>
                <w:rFonts w:ascii="Courier New"/>
                <w:sz w:val="28"/>
              </w:rPr>
            </w:pPr>
            <w:r>
              <w:rPr>
                <w:rFonts w:ascii="Courier New"/>
                <w:w w:val="100"/>
                <w:sz w:val="28"/>
              </w:rPr>
              <w:t>X</w:t>
            </w:r>
          </w:p>
        </w:tc>
        <w:tc>
          <w:tcPr>
            <w:tcW w:w="1558" w:type="dxa"/>
          </w:tcPr>
          <w:p>
            <w:pPr>
              <w:pStyle w:val="TableParagraph"/>
              <w:rPr>
                <w:rFonts w:ascii="Times New Roman"/>
                <w:sz w:val="28"/>
              </w:rPr>
            </w:pPr>
          </w:p>
        </w:tc>
        <w:tc>
          <w:tcPr>
            <w:tcW w:w="2129" w:type="dxa"/>
          </w:tcPr>
          <w:p>
            <w:pPr>
              <w:pStyle w:val="TableParagraph"/>
              <w:rPr>
                <w:rFonts w:ascii="Times New Roman"/>
                <w:sz w:val="28"/>
              </w:rPr>
            </w:pPr>
          </w:p>
        </w:tc>
        <w:tc>
          <w:tcPr>
            <w:tcW w:w="1700" w:type="dxa"/>
          </w:tcPr>
          <w:p>
            <w:pPr>
              <w:pStyle w:val="TableParagraph"/>
              <w:spacing w:before="9"/>
              <w:ind w:left="104"/>
              <w:rPr>
                <w:rFonts w:ascii="Courier New"/>
                <w:sz w:val="28"/>
              </w:rPr>
            </w:pPr>
            <w:r>
              <w:rPr>
                <w:rFonts w:ascii="Courier New"/>
                <w:w w:val="100"/>
                <w:sz w:val="28"/>
              </w:rPr>
              <w:t>X</w:t>
            </w:r>
          </w:p>
        </w:tc>
        <w:tc>
          <w:tcPr>
            <w:tcW w:w="1672" w:type="dxa"/>
          </w:tcPr>
          <w:p>
            <w:pPr>
              <w:pStyle w:val="TableParagraph"/>
              <w:spacing w:before="9"/>
              <w:ind w:left="106"/>
              <w:rPr>
                <w:rFonts w:ascii="Courier New"/>
                <w:sz w:val="28"/>
              </w:rPr>
            </w:pPr>
            <w:r>
              <w:rPr>
                <w:rFonts w:ascii="Courier New"/>
                <w:w w:val="100"/>
                <w:sz w:val="28"/>
              </w:rPr>
              <w:t>X</w:t>
            </w:r>
          </w:p>
        </w:tc>
      </w:tr>
      <w:tr>
        <w:trPr>
          <w:trHeight w:val="928" w:hRule="atLeast"/>
        </w:trPr>
        <w:tc>
          <w:tcPr>
            <w:tcW w:w="2518" w:type="dxa"/>
            <w:shd w:val="clear" w:color="auto" w:fill="00AFEF"/>
          </w:tcPr>
          <w:p>
            <w:pPr>
              <w:pStyle w:val="TableParagraph"/>
              <w:spacing w:line="278" w:lineRule="auto"/>
              <w:ind w:left="107" w:right="868"/>
              <w:rPr>
                <w:rFonts w:ascii="Courier New"/>
                <w:b/>
                <w:sz w:val="28"/>
              </w:rPr>
            </w:pPr>
            <w:r>
              <w:rPr>
                <w:rFonts w:ascii="Courier New"/>
                <w:b/>
                <w:sz w:val="28"/>
              </w:rPr>
              <w:t>Colloidal Gold</w:t>
            </w:r>
          </w:p>
        </w:tc>
        <w:tc>
          <w:tcPr>
            <w:tcW w:w="1181" w:type="dxa"/>
          </w:tcPr>
          <w:p>
            <w:pPr>
              <w:pStyle w:val="TableParagraph"/>
              <w:spacing w:before="6"/>
              <w:ind w:left="107"/>
              <w:rPr>
                <w:rFonts w:ascii="Courier New"/>
                <w:sz w:val="28"/>
              </w:rPr>
            </w:pPr>
            <w:r>
              <w:rPr>
                <w:rFonts w:ascii="Courier New"/>
                <w:sz w:val="28"/>
              </w:rPr>
              <w:t>642</w:t>
            </w:r>
          </w:p>
        </w:tc>
        <w:tc>
          <w:tcPr>
            <w:tcW w:w="1249" w:type="dxa"/>
          </w:tcPr>
          <w:p>
            <w:pPr>
              <w:pStyle w:val="TableParagraph"/>
              <w:spacing w:before="6"/>
              <w:ind w:left="107"/>
              <w:rPr>
                <w:rFonts w:ascii="Courier New"/>
                <w:sz w:val="28"/>
              </w:rPr>
            </w:pPr>
            <w:r>
              <w:rPr>
                <w:rFonts w:ascii="Courier New"/>
                <w:w w:val="100"/>
                <w:sz w:val="28"/>
              </w:rPr>
              <w:t>X</w:t>
            </w:r>
          </w:p>
        </w:tc>
        <w:tc>
          <w:tcPr>
            <w:tcW w:w="1541" w:type="dxa"/>
          </w:tcPr>
          <w:p>
            <w:pPr>
              <w:pStyle w:val="TableParagraph"/>
              <w:spacing w:before="6"/>
              <w:ind w:left="104"/>
              <w:rPr>
                <w:rFonts w:ascii="Courier New"/>
                <w:sz w:val="28"/>
              </w:rPr>
            </w:pPr>
            <w:r>
              <w:rPr>
                <w:rFonts w:ascii="Courier New"/>
                <w:w w:val="100"/>
                <w:sz w:val="28"/>
              </w:rPr>
              <w:t>X</w:t>
            </w:r>
          </w:p>
        </w:tc>
        <w:tc>
          <w:tcPr>
            <w:tcW w:w="1985" w:type="dxa"/>
          </w:tcPr>
          <w:p>
            <w:pPr>
              <w:pStyle w:val="TableParagraph"/>
              <w:spacing w:before="6"/>
              <w:ind w:left="106"/>
              <w:rPr>
                <w:rFonts w:ascii="Courier New"/>
                <w:sz w:val="28"/>
              </w:rPr>
            </w:pPr>
            <w:r>
              <w:rPr>
                <w:rFonts w:ascii="Courier New"/>
                <w:w w:val="100"/>
                <w:sz w:val="28"/>
              </w:rPr>
              <w:t>X</w:t>
            </w:r>
          </w:p>
        </w:tc>
        <w:tc>
          <w:tcPr>
            <w:tcW w:w="1985" w:type="dxa"/>
          </w:tcPr>
          <w:p>
            <w:pPr>
              <w:pStyle w:val="TableParagraph"/>
              <w:spacing w:before="6"/>
              <w:ind w:left="107"/>
              <w:rPr>
                <w:rFonts w:ascii="Courier New"/>
                <w:sz w:val="28"/>
              </w:rPr>
            </w:pPr>
            <w:r>
              <w:rPr>
                <w:rFonts w:ascii="Courier New"/>
                <w:w w:val="100"/>
                <w:sz w:val="28"/>
              </w:rPr>
              <w:t>X</w:t>
            </w:r>
          </w:p>
        </w:tc>
        <w:tc>
          <w:tcPr>
            <w:tcW w:w="1558" w:type="dxa"/>
          </w:tcPr>
          <w:p>
            <w:pPr>
              <w:pStyle w:val="TableParagraph"/>
              <w:rPr>
                <w:rFonts w:ascii="Times New Roman"/>
                <w:sz w:val="28"/>
              </w:rPr>
            </w:pPr>
          </w:p>
        </w:tc>
        <w:tc>
          <w:tcPr>
            <w:tcW w:w="2129" w:type="dxa"/>
          </w:tcPr>
          <w:p>
            <w:pPr>
              <w:pStyle w:val="TableParagraph"/>
              <w:spacing w:before="6"/>
              <w:ind w:left="107"/>
              <w:rPr>
                <w:rFonts w:ascii="Courier New"/>
                <w:sz w:val="28"/>
              </w:rPr>
            </w:pPr>
            <w:r>
              <w:rPr>
                <w:rFonts w:ascii="Courier New"/>
                <w:w w:val="100"/>
                <w:sz w:val="28"/>
              </w:rPr>
              <w:t>X</w:t>
            </w:r>
          </w:p>
        </w:tc>
        <w:tc>
          <w:tcPr>
            <w:tcW w:w="1700" w:type="dxa"/>
          </w:tcPr>
          <w:p>
            <w:pPr>
              <w:pStyle w:val="TableParagraph"/>
              <w:spacing w:before="6"/>
              <w:ind w:left="104"/>
              <w:rPr>
                <w:rFonts w:ascii="Courier New"/>
                <w:sz w:val="28"/>
              </w:rPr>
            </w:pPr>
            <w:r>
              <w:rPr>
                <w:rFonts w:ascii="Courier New"/>
                <w:w w:val="100"/>
                <w:sz w:val="28"/>
              </w:rPr>
              <w:t>X</w:t>
            </w:r>
          </w:p>
        </w:tc>
        <w:tc>
          <w:tcPr>
            <w:tcW w:w="1672" w:type="dxa"/>
          </w:tcPr>
          <w:p>
            <w:pPr>
              <w:pStyle w:val="TableParagraph"/>
              <w:spacing w:before="6"/>
              <w:ind w:left="106"/>
              <w:rPr>
                <w:rFonts w:ascii="Courier New"/>
                <w:sz w:val="28"/>
              </w:rPr>
            </w:pPr>
            <w:r>
              <w:rPr>
                <w:rFonts w:ascii="Courier New"/>
                <w:w w:val="100"/>
                <w:sz w:val="28"/>
              </w:rPr>
              <w:t>X</w:t>
            </w:r>
          </w:p>
        </w:tc>
      </w:tr>
      <w:tr>
        <w:trPr>
          <w:trHeight w:val="565" w:hRule="atLeast"/>
        </w:trPr>
        <w:tc>
          <w:tcPr>
            <w:tcW w:w="2518" w:type="dxa"/>
            <w:shd w:val="clear" w:color="auto" w:fill="00AFEF"/>
          </w:tcPr>
          <w:p>
            <w:pPr>
              <w:pStyle w:val="TableParagraph"/>
              <w:spacing w:before="2"/>
              <w:ind w:left="107"/>
              <w:rPr>
                <w:rFonts w:ascii="Courier New"/>
                <w:b/>
                <w:sz w:val="28"/>
              </w:rPr>
            </w:pPr>
            <w:r>
              <w:rPr>
                <w:rFonts w:ascii="Courier New"/>
                <w:b/>
                <w:sz w:val="28"/>
              </w:rPr>
              <w:t>Selen</w:t>
            </w:r>
          </w:p>
        </w:tc>
        <w:tc>
          <w:tcPr>
            <w:tcW w:w="1181" w:type="dxa"/>
          </w:tcPr>
          <w:p>
            <w:pPr>
              <w:pStyle w:val="TableParagraph"/>
              <w:spacing w:before="9"/>
              <w:ind w:left="107"/>
              <w:rPr>
                <w:rFonts w:ascii="Courier New"/>
                <w:sz w:val="28"/>
              </w:rPr>
            </w:pPr>
            <w:r>
              <w:rPr>
                <w:rFonts w:ascii="Courier New"/>
                <w:sz w:val="28"/>
              </w:rPr>
              <w:t>1405</w:t>
            </w:r>
          </w:p>
        </w:tc>
        <w:tc>
          <w:tcPr>
            <w:tcW w:w="1249" w:type="dxa"/>
          </w:tcPr>
          <w:p>
            <w:pPr>
              <w:pStyle w:val="TableParagraph"/>
              <w:spacing w:before="9"/>
              <w:ind w:left="107"/>
              <w:rPr>
                <w:rFonts w:ascii="Courier New"/>
                <w:sz w:val="28"/>
              </w:rPr>
            </w:pPr>
            <w:r>
              <w:rPr>
                <w:rFonts w:ascii="Courier New"/>
                <w:w w:val="100"/>
                <w:sz w:val="28"/>
              </w:rPr>
              <w:t>X</w:t>
            </w:r>
          </w:p>
        </w:tc>
        <w:tc>
          <w:tcPr>
            <w:tcW w:w="1541" w:type="dxa"/>
          </w:tcPr>
          <w:p>
            <w:pPr>
              <w:pStyle w:val="TableParagraph"/>
              <w:spacing w:before="9"/>
              <w:ind w:left="104"/>
              <w:rPr>
                <w:rFonts w:ascii="Courier New"/>
                <w:sz w:val="28"/>
              </w:rPr>
            </w:pPr>
            <w:r>
              <w:rPr>
                <w:rFonts w:ascii="Courier New"/>
                <w:w w:val="100"/>
                <w:sz w:val="28"/>
              </w:rPr>
              <w:t>X</w:t>
            </w:r>
          </w:p>
        </w:tc>
        <w:tc>
          <w:tcPr>
            <w:tcW w:w="1985" w:type="dxa"/>
          </w:tcPr>
          <w:p>
            <w:pPr>
              <w:pStyle w:val="TableParagraph"/>
              <w:spacing w:before="9"/>
              <w:ind w:left="106"/>
              <w:rPr>
                <w:rFonts w:ascii="Courier New"/>
                <w:sz w:val="28"/>
              </w:rPr>
            </w:pPr>
            <w:r>
              <w:rPr>
                <w:rFonts w:ascii="Courier New"/>
                <w:w w:val="100"/>
                <w:sz w:val="28"/>
              </w:rPr>
              <w:t>X</w:t>
            </w:r>
          </w:p>
        </w:tc>
        <w:tc>
          <w:tcPr>
            <w:tcW w:w="1985" w:type="dxa"/>
          </w:tcPr>
          <w:p>
            <w:pPr>
              <w:pStyle w:val="TableParagraph"/>
              <w:spacing w:before="9"/>
              <w:ind w:left="107"/>
              <w:rPr>
                <w:rFonts w:ascii="Courier New"/>
                <w:sz w:val="28"/>
              </w:rPr>
            </w:pPr>
            <w:r>
              <w:rPr>
                <w:rFonts w:ascii="Courier New"/>
                <w:w w:val="100"/>
                <w:sz w:val="28"/>
              </w:rPr>
              <w:t>X</w:t>
            </w:r>
          </w:p>
        </w:tc>
        <w:tc>
          <w:tcPr>
            <w:tcW w:w="1558" w:type="dxa"/>
          </w:tcPr>
          <w:p>
            <w:pPr>
              <w:pStyle w:val="TableParagraph"/>
              <w:rPr>
                <w:rFonts w:ascii="Times New Roman"/>
                <w:sz w:val="28"/>
              </w:rPr>
            </w:pPr>
          </w:p>
        </w:tc>
        <w:tc>
          <w:tcPr>
            <w:tcW w:w="2129" w:type="dxa"/>
          </w:tcPr>
          <w:p>
            <w:pPr>
              <w:pStyle w:val="TableParagraph"/>
              <w:rPr>
                <w:rFonts w:ascii="Times New Roman"/>
                <w:sz w:val="28"/>
              </w:rPr>
            </w:pPr>
          </w:p>
        </w:tc>
        <w:tc>
          <w:tcPr>
            <w:tcW w:w="1700" w:type="dxa"/>
          </w:tcPr>
          <w:p>
            <w:pPr>
              <w:pStyle w:val="TableParagraph"/>
              <w:rPr>
                <w:rFonts w:ascii="Times New Roman"/>
                <w:sz w:val="28"/>
              </w:rPr>
            </w:pPr>
          </w:p>
        </w:tc>
        <w:tc>
          <w:tcPr>
            <w:tcW w:w="1672" w:type="dxa"/>
          </w:tcPr>
          <w:p>
            <w:pPr>
              <w:pStyle w:val="TableParagraph"/>
              <w:rPr>
                <w:rFonts w:ascii="Times New Roman"/>
                <w:sz w:val="28"/>
              </w:rPr>
            </w:pPr>
          </w:p>
        </w:tc>
      </w:tr>
      <w:tr>
        <w:trPr>
          <w:trHeight w:val="566" w:hRule="atLeast"/>
        </w:trPr>
        <w:tc>
          <w:tcPr>
            <w:tcW w:w="2518" w:type="dxa"/>
            <w:shd w:val="clear" w:color="auto" w:fill="00AFEF"/>
          </w:tcPr>
          <w:p>
            <w:pPr>
              <w:pStyle w:val="TableParagraph"/>
              <w:spacing w:line="317" w:lineRule="exact"/>
              <w:ind w:left="107"/>
              <w:rPr>
                <w:rFonts w:ascii="Courier New"/>
                <w:b/>
                <w:sz w:val="28"/>
              </w:rPr>
            </w:pPr>
            <w:r>
              <w:rPr>
                <w:rFonts w:ascii="Courier New"/>
                <w:b/>
                <w:sz w:val="28"/>
              </w:rPr>
              <w:t>Colostrum</w:t>
            </w:r>
          </w:p>
        </w:tc>
        <w:tc>
          <w:tcPr>
            <w:tcW w:w="1181" w:type="dxa"/>
          </w:tcPr>
          <w:p>
            <w:pPr>
              <w:pStyle w:val="TableParagraph"/>
              <w:spacing w:before="6"/>
              <w:ind w:left="107"/>
              <w:rPr>
                <w:rFonts w:ascii="Courier New"/>
                <w:sz w:val="28"/>
              </w:rPr>
            </w:pPr>
            <w:r>
              <w:rPr>
                <w:rFonts w:ascii="Courier New"/>
                <w:sz w:val="28"/>
              </w:rPr>
              <w:t>264</w:t>
            </w:r>
          </w:p>
        </w:tc>
        <w:tc>
          <w:tcPr>
            <w:tcW w:w="1249" w:type="dxa"/>
          </w:tcPr>
          <w:p>
            <w:pPr>
              <w:pStyle w:val="TableParagraph"/>
              <w:spacing w:before="6"/>
              <w:ind w:left="107"/>
              <w:rPr>
                <w:rFonts w:ascii="Courier New"/>
                <w:sz w:val="28"/>
              </w:rPr>
            </w:pPr>
            <w:r>
              <w:rPr>
                <w:rFonts w:ascii="Courier New"/>
                <w:w w:val="100"/>
                <w:sz w:val="28"/>
              </w:rPr>
              <w:t>X</w:t>
            </w:r>
          </w:p>
        </w:tc>
        <w:tc>
          <w:tcPr>
            <w:tcW w:w="1541" w:type="dxa"/>
          </w:tcPr>
          <w:p>
            <w:pPr>
              <w:pStyle w:val="TableParagraph"/>
              <w:spacing w:before="6"/>
              <w:ind w:left="104"/>
              <w:rPr>
                <w:rFonts w:ascii="Courier New"/>
                <w:sz w:val="28"/>
              </w:rPr>
            </w:pPr>
            <w:r>
              <w:rPr>
                <w:rFonts w:ascii="Courier New"/>
                <w:w w:val="100"/>
                <w:sz w:val="28"/>
              </w:rPr>
              <w:t>X</w:t>
            </w:r>
          </w:p>
        </w:tc>
        <w:tc>
          <w:tcPr>
            <w:tcW w:w="1985" w:type="dxa"/>
          </w:tcPr>
          <w:p>
            <w:pPr>
              <w:pStyle w:val="TableParagraph"/>
              <w:spacing w:before="6"/>
              <w:ind w:left="106"/>
              <w:rPr>
                <w:rFonts w:ascii="Courier New"/>
                <w:sz w:val="28"/>
              </w:rPr>
            </w:pPr>
            <w:r>
              <w:rPr>
                <w:rFonts w:ascii="Courier New"/>
                <w:w w:val="100"/>
                <w:sz w:val="28"/>
              </w:rPr>
              <w:t>X</w:t>
            </w:r>
          </w:p>
        </w:tc>
        <w:tc>
          <w:tcPr>
            <w:tcW w:w="1985" w:type="dxa"/>
          </w:tcPr>
          <w:p>
            <w:pPr>
              <w:pStyle w:val="TableParagraph"/>
              <w:spacing w:before="6"/>
              <w:ind w:left="107"/>
              <w:rPr>
                <w:rFonts w:ascii="Courier New"/>
                <w:sz w:val="28"/>
              </w:rPr>
            </w:pPr>
            <w:r>
              <w:rPr>
                <w:rFonts w:ascii="Courier New"/>
                <w:w w:val="100"/>
                <w:sz w:val="28"/>
              </w:rPr>
              <w:t>X</w:t>
            </w:r>
          </w:p>
        </w:tc>
        <w:tc>
          <w:tcPr>
            <w:tcW w:w="1558" w:type="dxa"/>
          </w:tcPr>
          <w:p>
            <w:pPr>
              <w:pStyle w:val="TableParagraph"/>
              <w:spacing w:before="6"/>
              <w:ind w:left="104"/>
              <w:rPr>
                <w:rFonts w:ascii="Courier New"/>
                <w:sz w:val="28"/>
              </w:rPr>
            </w:pPr>
            <w:r>
              <w:rPr>
                <w:rFonts w:ascii="Courier New"/>
                <w:w w:val="100"/>
                <w:sz w:val="28"/>
              </w:rPr>
              <w:t>X</w:t>
            </w:r>
          </w:p>
        </w:tc>
        <w:tc>
          <w:tcPr>
            <w:tcW w:w="2129" w:type="dxa"/>
          </w:tcPr>
          <w:p>
            <w:pPr>
              <w:pStyle w:val="TableParagraph"/>
              <w:spacing w:before="6"/>
              <w:ind w:left="107"/>
              <w:rPr>
                <w:rFonts w:ascii="Courier New"/>
                <w:sz w:val="28"/>
              </w:rPr>
            </w:pPr>
            <w:r>
              <w:rPr>
                <w:rFonts w:ascii="Courier New"/>
                <w:w w:val="100"/>
                <w:sz w:val="28"/>
              </w:rPr>
              <w:t>X</w:t>
            </w:r>
          </w:p>
        </w:tc>
        <w:tc>
          <w:tcPr>
            <w:tcW w:w="1700" w:type="dxa"/>
          </w:tcPr>
          <w:p>
            <w:pPr>
              <w:pStyle w:val="TableParagraph"/>
              <w:spacing w:before="6"/>
              <w:ind w:left="104"/>
              <w:rPr>
                <w:rFonts w:ascii="Courier New"/>
                <w:sz w:val="28"/>
              </w:rPr>
            </w:pPr>
            <w:r>
              <w:rPr>
                <w:rFonts w:ascii="Courier New"/>
                <w:w w:val="100"/>
                <w:sz w:val="28"/>
              </w:rPr>
              <w:t>X</w:t>
            </w:r>
          </w:p>
        </w:tc>
        <w:tc>
          <w:tcPr>
            <w:tcW w:w="1672" w:type="dxa"/>
          </w:tcPr>
          <w:p>
            <w:pPr>
              <w:pStyle w:val="TableParagraph"/>
              <w:rPr>
                <w:rFonts w:ascii="Times New Roman"/>
                <w:sz w:val="28"/>
              </w:rPr>
            </w:pPr>
          </w:p>
        </w:tc>
      </w:tr>
    </w:tbl>
    <w:p>
      <w:pPr>
        <w:spacing w:after="0"/>
        <w:rPr>
          <w:rFonts w:ascii="Times New Roman"/>
          <w:sz w:val="28"/>
        </w:rPr>
        <w:sectPr>
          <w:pgSz w:w="18630" w:h="11910" w:orient="landscape"/>
          <w:pgMar w:header="0" w:footer="404" w:top="1100" w:bottom="600" w:left="740" w:right="8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18"/>
        <w:gridCol w:w="1181"/>
        <w:gridCol w:w="1249"/>
        <w:gridCol w:w="1541"/>
        <w:gridCol w:w="1985"/>
        <w:gridCol w:w="1985"/>
        <w:gridCol w:w="1558"/>
        <w:gridCol w:w="2129"/>
        <w:gridCol w:w="1700"/>
        <w:gridCol w:w="1712"/>
      </w:tblGrid>
      <w:tr>
        <w:trPr>
          <w:trHeight w:val="928" w:hRule="atLeast"/>
        </w:trPr>
        <w:tc>
          <w:tcPr>
            <w:tcW w:w="2518" w:type="dxa"/>
            <w:shd w:val="clear" w:color="auto" w:fill="00AFEF"/>
          </w:tcPr>
          <w:p>
            <w:pPr>
              <w:pStyle w:val="TableParagraph"/>
              <w:spacing w:line="278" w:lineRule="auto"/>
              <w:ind w:left="107" w:right="196"/>
              <w:rPr>
                <w:rFonts w:ascii="Courier New"/>
                <w:b/>
                <w:sz w:val="28"/>
              </w:rPr>
            </w:pPr>
            <w:r>
              <w:rPr>
                <w:rFonts w:ascii="Courier New"/>
                <w:b/>
                <w:sz w:val="28"/>
              </w:rPr>
              <w:t>Glucosamine &amp; Chondroitin</w:t>
            </w:r>
          </w:p>
        </w:tc>
        <w:tc>
          <w:tcPr>
            <w:tcW w:w="1181" w:type="dxa"/>
          </w:tcPr>
          <w:p>
            <w:pPr>
              <w:pStyle w:val="TableParagraph"/>
              <w:spacing w:before="6"/>
              <w:ind w:left="107"/>
              <w:rPr>
                <w:rFonts w:ascii="Courier New"/>
                <w:sz w:val="28"/>
              </w:rPr>
            </w:pPr>
            <w:r>
              <w:rPr>
                <w:rFonts w:ascii="Courier New"/>
                <w:sz w:val="28"/>
              </w:rPr>
              <w:t>441</w:t>
            </w:r>
          </w:p>
        </w:tc>
        <w:tc>
          <w:tcPr>
            <w:tcW w:w="1249" w:type="dxa"/>
          </w:tcPr>
          <w:p>
            <w:pPr>
              <w:pStyle w:val="TableParagraph"/>
              <w:rPr>
                <w:rFonts w:ascii="Times New Roman"/>
                <w:sz w:val="28"/>
              </w:rPr>
            </w:pPr>
          </w:p>
        </w:tc>
        <w:tc>
          <w:tcPr>
            <w:tcW w:w="1541" w:type="dxa"/>
          </w:tcPr>
          <w:p>
            <w:pPr>
              <w:pStyle w:val="TableParagraph"/>
              <w:rPr>
                <w:rFonts w:ascii="Times New Roman"/>
                <w:sz w:val="28"/>
              </w:rPr>
            </w:pPr>
          </w:p>
        </w:tc>
        <w:tc>
          <w:tcPr>
            <w:tcW w:w="1985" w:type="dxa"/>
          </w:tcPr>
          <w:p>
            <w:pPr>
              <w:pStyle w:val="TableParagraph"/>
              <w:spacing w:before="6"/>
              <w:ind w:left="106"/>
              <w:rPr>
                <w:rFonts w:ascii="Courier New"/>
                <w:sz w:val="28"/>
              </w:rPr>
            </w:pPr>
            <w:r>
              <w:rPr>
                <w:rFonts w:ascii="Courier New"/>
                <w:w w:val="100"/>
                <w:sz w:val="28"/>
              </w:rPr>
              <w:t>X</w:t>
            </w:r>
          </w:p>
        </w:tc>
        <w:tc>
          <w:tcPr>
            <w:tcW w:w="1985" w:type="dxa"/>
          </w:tcPr>
          <w:p>
            <w:pPr>
              <w:pStyle w:val="TableParagraph"/>
              <w:rPr>
                <w:rFonts w:ascii="Times New Roman"/>
                <w:sz w:val="28"/>
              </w:rPr>
            </w:pPr>
          </w:p>
        </w:tc>
        <w:tc>
          <w:tcPr>
            <w:tcW w:w="1558" w:type="dxa"/>
          </w:tcPr>
          <w:p>
            <w:pPr>
              <w:pStyle w:val="TableParagraph"/>
              <w:spacing w:before="6"/>
              <w:ind w:left="104"/>
              <w:rPr>
                <w:rFonts w:ascii="Courier New"/>
                <w:sz w:val="28"/>
              </w:rPr>
            </w:pPr>
            <w:r>
              <w:rPr>
                <w:rFonts w:ascii="Courier New"/>
                <w:w w:val="100"/>
                <w:sz w:val="28"/>
              </w:rPr>
              <w:t>X</w:t>
            </w:r>
          </w:p>
        </w:tc>
        <w:tc>
          <w:tcPr>
            <w:tcW w:w="2129" w:type="dxa"/>
          </w:tcPr>
          <w:p>
            <w:pPr>
              <w:pStyle w:val="TableParagraph"/>
              <w:spacing w:before="6"/>
              <w:ind w:left="107"/>
              <w:rPr>
                <w:rFonts w:ascii="Courier New"/>
                <w:sz w:val="28"/>
              </w:rPr>
            </w:pPr>
            <w:r>
              <w:rPr>
                <w:rFonts w:ascii="Courier New"/>
                <w:w w:val="100"/>
                <w:sz w:val="28"/>
              </w:rPr>
              <w:t>X</w:t>
            </w:r>
          </w:p>
        </w:tc>
        <w:tc>
          <w:tcPr>
            <w:tcW w:w="1700" w:type="dxa"/>
          </w:tcPr>
          <w:p>
            <w:pPr>
              <w:pStyle w:val="TableParagraph"/>
              <w:rPr>
                <w:rFonts w:ascii="Times New Roman"/>
                <w:sz w:val="28"/>
              </w:rPr>
            </w:pPr>
          </w:p>
        </w:tc>
        <w:tc>
          <w:tcPr>
            <w:tcW w:w="1712" w:type="dxa"/>
          </w:tcPr>
          <w:p>
            <w:pPr>
              <w:pStyle w:val="TableParagraph"/>
              <w:spacing w:before="6"/>
              <w:ind w:left="106"/>
              <w:rPr>
                <w:rFonts w:ascii="Courier New"/>
                <w:sz w:val="28"/>
              </w:rPr>
            </w:pPr>
            <w:r>
              <w:rPr>
                <w:rFonts w:ascii="Courier New"/>
                <w:w w:val="100"/>
                <w:sz w:val="28"/>
              </w:rPr>
              <w:t>X</w:t>
            </w:r>
          </w:p>
        </w:tc>
      </w:tr>
      <w:tr>
        <w:trPr>
          <w:trHeight w:val="566" w:hRule="atLeast"/>
        </w:trPr>
        <w:tc>
          <w:tcPr>
            <w:tcW w:w="2518" w:type="dxa"/>
            <w:shd w:val="clear" w:color="auto" w:fill="00AFEF"/>
          </w:tcPr>
          <w:p>
            <w:pPr>
              <w:pStyle w:val="TableParagraph"/>
              <w:spacing w:line="317" w:lineRule="exact"/>
              <w:ind w:left="107"/>
              <w:rPr>
                <w:rFonts w:ascii="Courier New"/>
                <w:b/>
                <w:sz w:val="28"/>
              </w:rPr>
            </w:pPr>
            <w:r>
              <w:rPr>
                <w:rFonts w:ascii="Courier New"/>
                <w:b/>
                <w:sz w:val="28"/>
              </w:rPr>
              <w:t>Bromelain</w:t>
            </w:r>
          </w:p>
        </w:tc>
        <w:tc>
          <w:tcPr>
            <w:tcW w:w="1181" w:type="dxa"/>
          </w:tcPr>
          <w:p>
            <w:pPr>
              <w:pStyle w:val="TableParagraph"/>
              <w:spacing w:before="6"/>
              <w:ind w:left="107"/>
              <w:rPr>
                <w:rFonts w:ascii="Courier New"/>
                <w:sz w:val="28"/>
              </w:rPr>
            </w:pPr>
            <w:r>
              <w:rPr>
                <w:rFonts w:ascii="Courier New"/>
                <w:sz w:val="28"/>
              </w:rPr>
              <w:t>140</w:t>
            </w:r>
          </w:p>
        </w:tc>
        <w:tc>
          <w:tcPr>
            <w:tcW w:w="1249" w:type="dxa"/>
          </w:tcPr>
          <w:p>
            <w:pPr>
              <w:pStyle w:val="TableParagraph"/>
              <w:spacing w:before="6"/>
              <w:ind w:left="107"/>
              <w:rPr>
                <w:rFonts w:ascii="Courier New"/>
                <w:sz w:val="28"/>
              </w:rPr>
            </w:pPr>
            <w:r>
              <w:rPr>
                <w:rFonts w:ascii="Courier New"/>
                <w:w w:val="100"/>
                <w:sz w:val="28"/>
              </w:rPr>
              <w:t>X</w:t>
            </w:r>
          </w:p>
        </w:tc>
        <w:tc>
          <w:tcPr>
            <w:tcW w:w="1541" w:type="dxa"/>
          </w:tcPr>
          <w:p>
            <w:pPr>
              <w:pStyle w:val="TableParagraph"/>
              <w:rPr>
                <w:rFonts w:ascii="Times New Roman"/>
                <w:sz w:val="28"/>
              </w:rPr>
            </w:pPr>
          </w:p>
        </w:tc>
        <w:tc>
          <w:tcPr>
            <w:tcW w:w="1985" w:type="dxa"/>
          </w:tcPr>
          <w:p>
            <w:pPr>
              <w:pStyle w:val="TableParagraph"/>
              <w:spacing w:before="6"/>
              <w:ind w:left="106"/>
              <w:rPr>
                <w:rFonts w:ascii="Courier New"/>
                <w:sz w:val="28"/>
              </w:rPr>
            </w:pPr>
            <w:r>
              <w:rPr>
                <w:rFonts w:ascii="Courier New"/>
                <w:w w:val="100"/>
                <w:sz w:val="28"/>
              </w:rPr>
              <w:t>X</w:t>
            </w:r>
          </w:p>
        </w:tc>
        <w:tc>
          <w:tcPr>
            <w:tcW w:w="1985" w:type="dxa"/>
          </w:tcPr>
          <w:p>
            <w:pPr>
              <w:pStyle w:val="TableParagraph"/>
              <w:spacing w:before="6"/>
              <w:ind w:left="107"/>
              <w:rPr>
                <w:rFonts w:ascii="Courier New"/>
                <w:sz w:val="28"/>
              </w:rPr>
            </w:pPr>
            <w:r>
              <w:rPr>
                <w:rFonts w:ascii="Courier New"/>
                <w:w w:val="100"/>
                <w:sz w:val="28"/>
              </w:rPr>
              <w:t>X</w:t>
            </w:r>
          </w:p>
        </w:tc>
        <w:tc>
          <w:tcPr>
            <w:tcW w:w="1558" w:type="dxa"/>
          </w:tcPr>
          <w:p>
            <w:pPr>
              <w:pStyle w:val="TableParagraph"/>
              <w:rPr>
                <w:rFonts w:ascii="Times New Roman"/>
                <w:sz w:val="28"/>
              </w:rPr>
            </w:pPr>
          </w:p>
        </w:tc>
        <w:tc>
          <w:tcPr>
            <w:tcW w:w="2129" w:type="dxa"/>
          </w:tcPr>
          <w:p>
            <w:pPr>
              <w:pStyle w:val="TableParagraph"/>
              <w:rPr>
                <w:rFonts w:ascii="Times New Roman"/>
                <w:sz w:val="28"/>
              </w:rPr>
            </w:pPr>
          </w:p>
        </w:tc>
        <w:tc>
          <w:tcPr>
            <w:tcW w:w="1700" w:type="dxa"/>
          </w:tcPr>
          <w:p>
            <w:pPr>
              <w:pStyle w:val="TableParagraph"/>
              <w:rPr>
                <w:rFonts w:ascii="Times New Roman"/>
                <w:sz w:val="28"/>
              </w:rPr>
            </w:pPr>
          </w:p>
        </w:tc>
        <w:tc>
          <w:tcPr>
            <w:tcW w:w="1712" w:type="dxa"/>
          </w:tcPr>
          <w:p>
            <w:pPr>
              <w:pStyle w:val="TableParagraph"/>
              <w:rPr>
                <w:rFonts w:ascii="Times New Roman"/>
                <w:sz w:val="28"/>
              </w:rPr>
            </w:pPr>
          </w:p>
        </w:tc>
      </w:tr>
      <w:tr>
        <w:trPr>
          <w:trHeight w:val="928" w:hRule="atLeast"/>
        </w:trPr>
        <w:tc>
          <w:tcPr>
            <w:tcW w:w="2518" w:type="dxa"/>
            <w:shd w:val="clear" w:color="auto" w:fill="00AFEF"/>
          </w:tcPr>
          <w:p>
            <w:pPr>
              <w:pStyle w:val="TableParagraph"/>
              <w:spacing w:line="278" w:lineRule="auto"/>
              <w:ind w:left="107" w:right="532"/>
              <w:rPr>
                <w:rFonts w:ascii="Courier New"/>
                <w:b/>
                <w:sz w:val="28"/>
              </w:rPr>
            </w:pPr>
            <w:r>
              <w:rPr>
                <w:rFonts w:ascii="Courier New"/>
                <w:b/>
                <w:sz w:val="28"/>
              </w:rPr>
              <w:t>Aronia ber- ries</w:t>
            </w:r>
          </w:p>
        </w:tc>
        <w:tc>
          <w:tcPr>
            <w:tcW w:w="1181" w:type="dxa"/>
          </w:tcPr>
          <w:p>
            <w:pPr>
              <w:pStyle w:val="TableParagraph"/>
              <w:spacing w:before="6"/>
              <w:ind w:left="107"/>
              <w:rPr>
                <w:rFonts w:ascii="Courier New"/>
                <w:sz w:val="28"/>
              </w:rPr>
            </w:pPr>
            <w:r>
              <w:rPr>
                <w:rFonts w:ascii="Courier New"/>
                <w:sz w:val="28"/>
              </w:rPr>
              <w:t>173</w:t>
            </w:r>
          </w:p>
        </w:tc>
        <w:tc>
          <w:tcPr>
            <w:tcW w:w="1249" w:type="dxa"/>
          </w:tcPr>
          <w:p>
            <w:pPr>
              <w:pStyle w:val="TableParagraph"/>
              <w:spacing w:before="6"/>
              <w:ind w:left="107"/>
              <w:rPr>
                <w:rFonts w:ascii="Courier New"/>
                <w:sz w:val="28"/>
              </w:rPr>
            </w:pPr>
            <w:r>
              <w:rPr>
                <w:rFonts w:ascii="Courier New"/>
                <w:w w:val="100"/>
                <w:sz w:val="28"/>
              </w:rPr>
              <w:t>X</w:t>
            </w:r>
          </w:p>
        </w:tc>
        <w:tc>
          <w:tcPr>
            <w:tcW w:w="1541" w:type="dxa"/>
          </w:tcPr>
          <w:p>
            <w:pPr>
              <w:pStyle w:val="TableParagraph"/>
              <w:spacing w:before="6"/>
              <w:ind w:left="104"/>
              <w:rPr>
                <w:rFonts w:ascii="Courier New"/>
                <w:sz w:val="28"/>
              </w:rPr>
            </w:pPr>
            <w:r>
              <w:rPr>
                <w:rFonts w:ascii="Courier New"/>
                <w:w w:val="100"/>
                <w:sz w:val="28"/>
              </w:rPr>
              <w:t>X</w:t>
            </w:r>
          </w:p>
        </w:tc>
        <w:tc>
          <w:tcPr>
            <w:tcW w:w="1985" w:type="dxa"/>
          </w:tcPr>
          <w:p>
            <w:pPr>
              <w:pStyle w:val="TableParagraph"/>
              <w:spacing w:before="6"/>
              <w:ind w:left="106"/>
              <w:rPr>
                <w:rFonts w:ascii="Courier New"/>
                <w:sz w:val="28"/>
              </w:rPr>
            </w:pPr>
            <w:r>
              <w:rPr>
                <w:rFonts w:ascii="Courier New"/>
                <w:w w:val="100"/>
                <w:sz w:val="28"/>
              </w:rPr>
              <w:t>X</w:t>
            </w:r>
          </w:p>
        </w:tc>
        <w:tc>
          <w:tcPr>
            <w:tcW w:w="1985" w:type="dxa"/>
          </w:tcPr>
          <w:p>
            <w:pPr>
              <w:pStyle w:val="TableParagraph"/>
              <w:rPr>
                <w:rFonts w:ascii="Times New Roman"/>
                <w:sz w:val="28"/>
              </w:rPr>
            </w:pPr>
          </w:p>
        </w:tc>
        <w:tc>
          <w:tcPr>
            <w:tcW w:w="1558" w:type="dxa"/>
          </w:tcPr>
          <w:p>
            <w:pPr>
              <w:pStyle w:val="TableParagraph"/>
              <w:rPr>
                <w:rFonts w:ascii="Times New Roman"/>
                <w:sz w:val="28"/>
              </w:rPr>
            </w:pPr>
          </w:p>
        </w:tc>
        <w:tc>
          <w:tcPr>
            <w:tcW w:w="2129" w:type="dxa"/>
          </w:tcPr>
          <w:p>
            <w:pPr>
              <w:pStyle w:val="TableParagraph"/>
              <w:rPr>
                <w:rFonts w:ascii="Times New Roman"/>
                <w:sz w:val="28"/>
              </w:rPr>
            </w:pPr>
          </w:p>
        </w:tc>
        <w:tc>
          <w:tcPr>
            <w:tcW w:w="1700" w:type="dxa"/>
          </w:tcPr>
          <w:p>
            <w:pPr>
              <w:pStyle w:val="TableParagraph"/>
              <w:rPr>
                <w:rFonts w:ascii="Times New Roman"/>
                <w:sz w:val="28"/>
              </w:rPr>
            </w:pPr>
          </w:p>
        </w:tc>
        <w:tc>
          <w:tcPr>
            <w:tcW w:w="1712" w:type="dxa"/>
          </w:tcPr>
          <w:p>
            <w:pPr>
              <w:pStyle w:val="TableParagraph"/>
              <w:rPr>
                <w:rFonts w:ascii="Times New Roman"/>
                <w:sz w:val="28"/>
              </w:rPr>
            </w:pPr>
          </w:p>
        </w:tc>
      </w:tr>
      <w:tr>
        <w:trPr>
          <w:trHeight w:val="561" w:hRule="atLeast"/>
        </w:trPr>
        <w:tc>
          <w:tcPr>
            <w:tcW w:w="2518" w:type="dxa"/>
            <w:tcBorders>
              <w:bottom w:val="single" w:sz="6" w:space="0" w:color="000000"/>
            </w:tcBorders>
            <w:shd w:val="clear" w:color="auto" w:fill="00AFEF"/>
          </w:tcPr>
          <w:p>
            <w:pPr>
              <w:pStyle w:val="TableParagraph"/>
              <w:spacing w:line="317" w:lineRule="exact"/>
              <w:ind w:left="107"/>
              <w:rPr>
                <w:rFonts w:ascii="Courier New"/>
                <w:b/>
                <w:sz w:val="28"/>
              </w:rPr>
            </w:pPr>
            <w:r>
              <w:rPr>
                <w:rFonts w:ascii="Courier New"/>
                <w:b/>
                <w:sz w:val="28"/>
              </w:rPr>
              <w:t>Astragalus M.</w:t>
            </w:r>
          </w:p>
        </w:tc>
        <w:tc>
          <w:tcPr>
            <w:tcW w:w="1181" w:type="dxa"/>
            <w:tcBorders>
              <w:bottom w:val="single" w:sz="6" w:space="0" w:color="000000"/>
            </w:tcBorders>
          </w:tcPr>
          <w:p>
            <w:pPr>
              <w:pStyle w:val="TableParagraph"/>
              <w:spacing w:before="6"/>
              <w:ind w:left="107"/>
              <w:rPr>
                <w:rFonts w:ascii="Courier New"/>
                <w:sz w:val="28"/>
              </w:rPr>
            </w:pPr>
            <w:r>
              <w:rPr>
                <w:rFonts w:ascii="Courier New"/>
                <w:sz w:val="28"/>
              </w:rPr>
              <w:t>197</w:t>
            </w:r>
          </w:p>
        </w:tc>
        <w:tc>
          <w:tcPr>
            <w:tcW w:w="1249" w:type="dxa"/>
            <w:tcBorders>
              <w:bottom w:val="single" w:sz="6" w:space="0" w:color="000000"/>
            </w:tcBorders>
          </w:tcPr>
          <w:p>
            <w:pPr>
              <w:pStyle w:val="TableParagraph"/>
              <w:spacing w:before="6"/>
              <w:ind w:left="107"/>
              <w:rPr>
                <w:rFonts w:ascii="Courier New"/>
                <w:sz w:val="28"/>
              </w:rPr>
            </w:pPr>
            <w:r>
              <w:rPr>
                <w:rFonts w:ascii="Courier New"/>
                <w:w w:val="100"/>
                <w:sz w:val="28"/>
              </w:rPr>
              <w:t>X</w:t>
            </w:r>
          </w:p>
        </w:tc>
        <w:tc>
          <w:tcPr>
            <w:tcW w:w="1541" w:type="dxa"/>
            <w:tcBorders>
              <w:bottom w:val="single" w:sz="6" w:space="0" w:color="000000"/>
            </w:tcBorders>
          </w:tcPr>
          <w:p>
            <w:pPr>
              <w:pStyle w:val="TableParagraph"/>
              <w:rPr>
                <w:rFonts w:ascii="Times New Roman"/>
                <w:sz w:val="28"/>
              </w:rPr>
            </w:pPr>
          </w:p>
        </w:tc>
        <w:tc>
          <w:tcPr>
            <w:tcW w:w="1985" w:type="dxa"/>
            <w:tcBorders>
              <w:bottom w:val="single" w:sz="6" w:space="0" w:color="000000"/>
            </w:tcBorders>
          </w:tcPr>
          <w:p>
            <w:pPr>
              <w:pStyle w:val="TableParagraph"/>
              <w:spacing w:before="6"/>
              <w:ind w:left="106"/>
              <w:rPr>
                <w:rFonts w:ascii="Courier New"/>
                <w:sz w:val="28"/>
              </w:rPr>
            </w:pPr>
            <w:r>
              <w:rPr>
                <w:rFonts w:ascii="Courier New"/>
                <w:w w:val="100"/>
                <w:sz w:val="28"/>
              </w:rPr>
              <w:t>X</w:t>
            </w:r>
          </w:p>
        </w:tc>
        <w:tc>
          <w:tcPr>
            <w:tcW w:w="1985" w:type="dxa"/>
            <w:tcBorders>
              <w:bottom w:val="single" w:sz="6" w:space="0" w:color="000000"/>
            </w:tcBorders>
          </w:tcPr>
          <w:p>
            <w:pPr>
              <w:pStyle w:val="TableParagraph"/>
              <w:spacing w:before="6"/>
              <w:ind w:left="107"/>
              <w:rPr>
                <w:rFonts w:ascii="Courier New"/>
                <w:sz w:val="28"/>
              </w:rPr>
            </w:pPr>
            <w:r>
              <w:rPr>
                <w:rFonts w:ascii="Courier New"/>
                <w:w w:val="100"/>
                <w:sz w:val="28"/>
              </w:rPr>
              <w:t>X</w:t>
            </w:r>
          </w:p>
        </w:tc>
        <w:tc>
          <w:tcPr>
            <w:tcW w:w="1558" w:type="dxa"/>
            <w:tcBorders>
              <w:bottom w:val="single" w:sz="6" w:space="0" w:color="000000"/>
            </w:tcBorders>
          </w:tcPr>
          <w:p>
            <w:pPr>
              <w:pStyle w:val="TableParagraph"/>
              <w:rPr>
                <w:rFonts w:ascii="Times New Roman"/>
                <w:sz w:val="28"/>
              </w:rPr>
            </w:pPr>
          </w:p>
        </w:tc>
        <w:tc>
          <w:tcPr>
            <w:tcW w:w="2129" w:type="dxa"/>
            <w:tcBorders>
              <w:bottom w:val="single" w:sz="6" w:space="0" w:color="000000"/>
            </w:tcBorders>
          </w:tcPr>
          <w:p>
            <w:pPr>
              <w:pStyle w:val="TableParagraph"/>
              <w:rPr>
                <w:rFonts w:ascii="Times New Roman"/>
                <w:sz w:val="28"/>
              </w:rPr>
            </w:pPr>
          </w:p>
        </w:tc>
        <w:tc>
          <w:tcPr>
            <w:tcW w:w="1700" w:type="dxa"/>
            <w:tcBorders>
              <w:bottom w:val="single" w:sz="6" w:space="0" w:color="000000"/>
            </w:tcBorders>
          </w:tcPr>
          <w:p>
            <w:pPr>
              <w:pStyle w:val="TableParagraph"/>
              <w:rPr>
                <w:rFonts w:ascii="Times New Roman"/>
                <w:sz w:val="28"/>
              </w:rPr>
            </w:pPr>
          </w:p>
        </w:tc>
        <w:tc>
          <w:tcPr>
            <w:tcW w:w="1712" w:type="dxa"/>
            <w:tcBorders>
              <w:bottom w:val="single" w:sz="6" w:space="0" w:color="000000"/>
            </w:tcBorders>
          </w:tcPr>
          <w:p>
            <w:pPr>
              <w:pStyle w:val="TableParagraph"/>
              <w:rPr>
                <w:rFonts w:ascii="Times New Roman"/>
                <w:sz w:val="28"/>
              </w:rPr>
            </w:pPr>
          </w:p>
        </w:tc>
      </w:tr>
      <w:tr>
        <w:trPr>
          <w:trHeight w:val="563" w:hRule="atLeast"/>
        </w:trPr>
        <w:tc>
          <w:tcPr>
            <w:tcW w:w="2518" w:type="dxa"/>
            <w:tcBorders>
              <w:top w:val="single" w:sz="6" w:space="0" w:color="000000"/>
            </w:tcBorders>
            <w:shd w:val="clear" w:color="auto" w:fill="00AFEF"/>
          </w:tcPr>
          <w:p>
            <w:pPr>
              <w:pStyle w:val="TableParagraph"/>
              <w:spacing w:line="317" w:lineRule="exact"/>
              <w:ind w:left="107"/>
              <w:rPr>
                <w:rFonts w:ascii="Courier New"/>
                <w:b/>
                <w:sz w:val="28"/>
              </w:rPr>
            </w:pPr>
            <w:r>
              <w:rPr>
                <w:rFonts w:ascii="Courier New"/>
                <w:b/>
                <w:sz w:val="28"/>
              </w:rPr>
              <w:t>Curcumin</w:t>
            </w:r>
          </w:p>
        </w:tc>
        <w:tc>
          <w:tcPr>
            <w:tcW w:w="1181" w:type="dxa"/>
            <w:tcBorders>
              <w:top w:val="single" w:sz="6" w:space="0" w:color="000000"/>
            </w:tcBorders>
          </w:tcPr>
          <w:p>
            <w:pPr>
              <w:pStyle w:val="TableParagraph"/>
              <w:spacing w:before="7"/>
              <w:ind w:left="107"/>
              <w:rPr>
                <w:rFonts w:ascii="Courier New"/>
                <w:sz w:val="28"/>
              </w:rPr>
            </w:pPr>
            <w:r>
              <w:rPr>
                <w:rFonts w:ascii="Courier New"/>
                <w:sz w:val="28"/>
              </w:rPr>
              <w:t>328</w:t>
            </w:r>
          </w:p>
        </w:tc>
        <w:tc>
          <w:tcPr>
            <w:tcW w:w="1249" w:type="dxa"/>
            <w:tcBorders>
              <w:top w:val="single" w:sz="6" w:space="0" w:color="000000"/>
            </w:tcBorders>
          </w:tcPr>
          <w:p>
            <w:pPr>
              <w:pStyle w:val="TableParagraph"/>
              <w:spacing w:before="7"/>
              <w:ind w:left="107"/>
              <w:rPr>
                <w:rFonts w:ascii="Courier New"/>
                <w:sz w:val="28"/>
              </w:rPr>
            </w:pPr>
            <w:r>
              <w:rPr>
                <w:rFonts w:ascii="Courier New"/>
                <w:w w:val="100"/>
                <w:sz w:val="28"/>
              </w:rPr>
              <w:t>X</w:t>
            </w:r>
          </w:p>
        </w:tc>
        <w:tc>
          <w:tcPr>
            <w:tcW w:w="1541" w:type="dxa"/>
            <w:tcBorders>
              <w:top w:val="single" w:sz="6" w:space="0" w:color="000000"/>
            </w:tcBorders>
          </w:tcPr>
          <w:p>
            <w:pPr>
              <w:pStyle w:val="TableParagraph"/>
              <w:rPr>
                <w:rFonts w:ascii="Times New Roman"/>
                <w:sz w:val="28"/>
              </w:rPr>
            </w:pPr>
          </w:p>
        </w:tc>
        <w:tc>
          <w:tcPr>
            <w:tcW w:w="1985" w:type="dxa"/>
            <w:tcBorders>
              <w:top w:val="single" w:sz="6" w:space="0" w:color="000000"/>
            </w:tcBorders>
          </w:tcPr>
          <w:p>
            <w:pPr>
              <w:pStyle w:val="TableParagraph"/>
              <w:spacing w:before="7"/>
              <w:ind w:left="106"/>
              <w:rPr>
                <w:rFonts w:ascii="Courier New"/>
                <w:sz w:val="28"/>
              </w:rPr>
            </w:pPr>
            <w:r>
              <w:rPr>
                <w:rFonts w:ascii="Courier New"/>
                <w:w w:val="100"/>
                <w:sz w:val="28"/>
              </w:rPr>
              <w:t>X</w:t>
            </w:r>
          </w:p>
        </w:tc>
        <w:tc>
          <w:tcPr>
            <w:tcW w:w="1985" w:type="dxa"/>
            <w:tcBorders>
              <w:top w:val="single" w:sz="6" w:space="0" w:color="000000"/>
            </w:tcBorders>
          </w:tcPr>
          <w:p>
            <w:pPr>
              <w:pStyle w:val="TableParagraph"/>
              <w:spacing w:before="7"/>
              <w:ind w:left="107"/>
              <w:rPr>
                <w:rFonts w:ascii="Courier New"/>
                <w:sz w:val="28"/>
              </w:rPr>
            </w:pPr>
            <w:r>
              <w:rPr>
                <w:rFonts w:ascii="Courier New"/>
                <w:w w:val="100"/>
                <w:sz w:val="28"/>
              </w:rPr>
              <w:t>X</w:t>
            </w:r>
          </w:p>
        </w:tc>
        <w:tc>
          <w:tcPr>
            <w:tcW w:w="1558" w:type="dxa"/>
            <w:tcBorders>
              <w:top w:val="single" w:sz="6" w:space="0" w:color="000000"/>
            </w:tcBorders>
          </w:tcPr>
          <w:p>
            <w:pPr>
              <w:pStyle w:val="TableParagraph"/>
              <w:rPr>
                <w:rFonts w:ascii="Times New Roman"/>
                <w:sz w:val="28"/>
              </w:rPr>
            </w:pPr>
          </w:p>
        </w:tc>
        <w:tc>
          <w:tcPr>
            <w:tcW w:w="2129" w:type="dxa"/>
            <w:tcBorders>
              <w:top w:val="single" w:sz="6" w:space="0" w:color="000000"/>
            </w:tcBorders>
          </w:tcPr>
          <w:p>
            <w:pPr>
              <w:pStyle w:val="TableParagraph"/>
              <w:rPr>
                <w:rFonts w:ascii="Times New Roman"/>
                <w:sz w:val="28"/>
              </w:rPr>
            </w:pPr>
          </w:p>
        </w:tc>
        <w:tc>
          <w:tcPr>
            <w:tcW w:w="1700" w:type="dxa"/>
            <w:tcBorders>
              <w:top w:val="single" w:sz="6" w:space="0" w:color="000000"/>
            </w:tcBorders>
          </w:tcPr>
          <w:p>
            <w:pPr>
              <w:pStyle w:val="TableParagraph"/>
              <w:rPr>
                <w:rFonts w:ascii="Times New Roman"/>
                <w:sz w:val="28"/>
              </w:rPr>
            </w:pPr>
          </w:p>
        </w:tc>
        <w:tc>
          <w:tcPr>
            <w:tcW w:w="1712" w:type="dxa"/>
            <w:tcBorders>
              <w:top w:val="single" w:sz="6" w:space="0" w:color="000000"/>
            </w:tcBorders>
          </w:tcPr>
          <w:p>
            <w:pPr>
              <w:pStyle w:val="TableParagraph"/>
              <w:rPr>
                <w:rFonts w:ascii="Times New Roman"/>
                <w:sz w:val="28"/>
              </w:rPr>
            </w:pPr>
          </w:p>
        </w:tc>
      </w:tr>
      <w:tr>
        <w:trPr>
          <w:trHeight w:val="563" w:hRule="atLeast"/>
        </w:trPr>
        <w:tc>
          <w:tcPr>
            <w:tcW w:w="2518" w:type="dxa"/>
            <w:shd w:val="clear" w:color="auto" w:fill="00AFEF"/>
          </w:tcPr>
          <w:p>
            <w:pPr>
              <w:pStyle w:val="TableParagraph"/>
              <w:spacing w:line="317" w:lineRule="exact"/>
              <w:ind w:left="107"/>
              <w:rPr>
                <w:rFonts w:ascii="Courier New"/>
                <w:b/>
                <w:sz w:val="28"/>
              </w:rPr>
            </w:pPr>
            <w:r>
              <w:rPr>
                <w:rFonts w:ascii="Courier New"/>
                <w:b/>
                <w:sz w:val="28"/>
              </w:rPr>
              <w:t>DHEA</w:t>
            </w:r>
          </w:p>
        </w:tc>
        <w:tc>
          <w:tcPr>
            <w:tcW w:w="1181" w:type="dxa"/>
          </w:tcPr>
          <w:p>
            <w:pPr>
              <w:pStyle w:val="TableParagraph"/>
              <w:spacing w:before="6"/>
              <w:ind w:left="107"/>
              <w:rPr>
                <w:rFonts w:ascii="Courier New"/>
                <w:sz w:val="28"/>
              </w:rPr>
            </w:pPr>
            <w:r>
              <w:rPr>
                <w:rFonts w:ascii="Courier New"/>
                <w:sz w:val="28"/>
              </w:rPr>
              <w:t>365</w:t>
            </w:r>
          </w:p>
        </w:tc>
        <w:tc>
          <w:tcPr>
            <w:tcW w:w="1249" w:type="dxa"/>
          </w:tcPr>
          <w:p>
            <w:pPr>
              <w:pStyle w:val="TableParagraph"/>
              <w:spacing w:before="6"/>
              <w:ind w:left="107"/>
              <w:rPr>
                <w:rFonts w:ascii="Courier New"/>
                <w:sz w:val="28"/>
              </w:rPr>
            </w:pPr>
            <w:r>
              <w:rPr>
                <w:rFonts w:ascii="Courier New"/>
                <w:w w:val="100"/>
                <w:sz w:val="28"/>
              </w:rPr>
              <w:t>X</w:t>
            </w:r>
          </w:p>
        </w:tc>
        <w:tc>
          <w:tcPr>
            <w:tcW w:w="1541" w:type="dxa"/>
          </w:tcPr>
          <w:p>
            <w:pPr>
              <w:pStyle w:val="TableParagraph"/>
              <w:rPr>
                <w:rFonts w:ascii="Times New Roman"/>
                <w:sz w:val="28"/>
              </w:rPr>
            </w:pPr>
          </w:p>
        </w:tc>
        <w:tc>
          <w:tcPr>
            <w:tcW w:w="1985" w:type="dxa"/>
          </w:tcPr>
          <w:p>
            <w:pPr>
              <w:pStyle w:val="TableParagraph"/>
              <w:rPr>
                <w:rFonts w:ascii="Times New Roman"/>
                <w:sz w:val="28"/>
              </w:rPr>
            </w:pPr>
          </w:p>
        </w:tc>
        <w:tc>
          <w:tcPr>
            <w:tcW w:w="1985" w:type="dxa"/>
          </w:tcPr>
          <w:p>
            <w:pPr>
              <w:pStyle w:val="TableParagraph"/>
              <w:spacing w:before="6"/>
              <w:ind w:left="107"/>
              <w:rPr>
                <w:rFonts w:ascii="Courier New"/>
                <w:sz w:val="28"/>
              </w:rPr>
            </w:pPr>
            <w:r>
              <w:rPr>
                <w:rFonts w:ascii="Courier New"/>
                <w:w w:val="100"/>
                <w:sz w:val="28"/>
              </w:rPr>
              <w:t>X</w:t>
            </w:r>
          </w:p>
        </w:tc>
        <w:tc>
          <w:tcPr>
            <w:tcW w:w="1558" w:type="dxa"/>
          </w:tcPr>
          <w:p>
            <w:pPr>
              <w:pStyle w:val="TableParagraph"/>
              <w:rPr>
                <w:rFonts w:ascii="Times New Roman"/>
                <w:sz w:val="28"/>
              </w:rPr>
            </w:pPr>
          </w:p>
        </w:tc>
        <w:tc>
          <w:tcPr>
            <w:tcW w:w="2129" w:type="dxa"/>
          </w:tcPr>
          <w:p>
            <w:pPr>
              <w:pStyle w:val="TableParagraph"/>
              <w:rPr>
                <w:rFonts w:ascii="Times New Roman"/>
                <w:sz w:val="28"/>
              </w:rPr>
            </w:pPr>
          </w:p>
        </w:tc>
        <w:tc>
          <w:tcPr>
            <w:tcW w:w="1700" w:type="dxa"/>
          </w:tcPr>
          <w:p>
            <w:pPr>
              <w:pStyle w:val="TableParagraph"/>
              <w:rPr>
                <w:rFonts w:ascii="Times New Roman"/>
                <w:sz w:val="28"/>
              </w:rPr>
            </w:pPr>
          </w:p>
        </w:tc>
        <w:tc>
          <w:tcPr>
            <w:tcW w:w="1712" w:type="dxa"/>
          </w:tcPr>
          <w:p>
            <w:pPr>
              <w:pStyle w:val="TableParagraph"/>
              <w:spacing w:before="6"/>
              <w:ind w:left="106"/>
              <w:rPr>
                <w:rFonts w:ascii="Courier New"/>
                <w:sz w:val="28"/>
              </w:rPr>
            </w:pPr>
            <w:r>
              <w:rPr>
                <w:rFonts w:ascii="Courier New"/>
                <w:w w:val="100"/>
                <w:sz w:val="28"/>
              </w:rPr>
              <w:t>X</w:t>
            </w:r>
          </w:p>
        </w:tc>
      </w:tr>
      <w:tr>
        <w:trPr>
          <w:trHeight w:val="566" w:hRule="atLeast"/>
        </w:trPr>
        <w:tc>
          <w:tcPr>
            <w:tcW w:w="2518" w:type="dxa"/>
            <w:shd w:val="clear" w:color="auto" w:fill="00AFEF"/>
          </w:tcPr>
          <w:p>
            <w:pPr>
              <w:pStyle w:val="TableParagraph"/>
              <w:spacing w:before="2"/>
              <w:ind w:left="107"/>
              <w:rPr>
                <w:rFonts w:ascii="Courier New"/>
                <w:b/>
                <w:sz w:val="28"/>
              </w:rPr>
            </w:pPr>
            <w:r>
              <w:rPr>
                <w:rFonts w:ascii="Courier New"/>
                <w:b/>
                <w:sz w:val="28"/>
              </w:rPr>
              <w:t>Ginkgo B.</w:t>
            </w:r>
          </w:p>
        </w:tc>
        <w:tc>
          <w:tcPr>
            <w:tcW w:w="1181" w:type="dxa"/>
          </w:tcPr>
          <w:p>
            <w:pPr>
              <w:pStyle w:val="TableParagraph"/>
              <w:spacing w:before="9"/>
              <w:ind w:left="107"/>
              <w:rPr>
                <w:rFonts w:ascii="Courier New"/>
                <w:sz w:val="28"/>
              </w:rPr>
            </w:pPr>
            <w:r>
              <w:rPr>
                <w:rFonts w:ascii="Courier New"/>
                <w:sz w:val="28"/>
              </w:rPr>
              <w:t>398</w:t>
            </w:r>
          </w:p>
        </w:tc>
        <w:tc>
          <w:tcPr>
            <w:tcW w:w="1249" w:type="dxa"/>
          </w:tcPr>
          <w:p>
            <w:pPr>
              <w:pStyle w:val="TableParagraph"/>
              <w:spacing w:before="9"/>
              <w:ind w:left="107"/>
              <w:rPr>
                <w:rFonts w:ascii="Courier New"/>
                <w:sz w:val="28"/>
              </w:rPr>
            </w:pPr>
            <w:r>
              <w:rPr>
                <w:rFonts w:ascii="Courier New"/>
                <w:w w:val="100"/>
                <w:sz w:val="28"/>
              </w:rPr>
              <w:t>X</w:t>
            </w:r>
          </w:p>
        </w:tc>
        <w:tc>
          <w:tcPr>
            <w:tcW w:w="1541" w:type="dxa"/>
          </w:tcPr>
          <w:p>
            <w:pPr>
              <w:pStyle w:val="TableParagraph"/>
              <w:rPr>
                <w:rFonts w:ascii="Times New Roman"/>
                <w:sz w:val="28"/>
              </w:rPr>
            </w:pPr>
          </w:p>
        </w:tc>
        <w:tc>
          <w:tcPr>
            <w:tcW w:w="1985" w:type="dxa"/>
          </w:tcPr>
          <w:p>
            <w:pPr>
              <w:pStyle w:val="TableParagraph"/>
              <w:spacing w:before="9"/>
              <w:ind w:left="106"/>
              <w:rPr>
                <w:rFonts w:ascii="Courier New"/>
                <w:sz w:val="28"/>
              </w:rPr>
            </w:pPr>
            <w:r>
              <w:rPr>
                <w:rFonts w:ascii="Courier New"/>
                <w:w w:val="100"/>
                <w:sz w:val="28"/>
              </w:rPr>
              <w:t>X</w:t>
            </w:r>
          </w:p>
        </w:tc>
        <w:tc>
          <w:tcPr>
            <w:tcW w:w="1985" w:type="dxa"/>
          </w:tcPr>
          <w:p>
            <w:pPr>
              <w:pStyle w:val="TableParagraph"/>
              <w:rPr>
                <w:rFonts w:ascii="Times New Roman"/>
                <w:sz w:val="28"/>
              </w:rPr>
            </w:pPr>
          </w:p>
        </w:tc>
        <w:tc>
          <w:tcPr>
            <w:tcW w:w="1558" w:type="dxa"/>
          </w:tcPr>
          <w:p>
            <w:pPr>
              <w:pStyle w:val="TableParagraph"/>
              <w:spacing w:before="9"/>
              <w:ind w:left="104"/>
              <w:rPr>
                <w:rFonts w:ascii="Courier New"/>
                <w:sz w:val="28"/>
              </w:rPr>
            </w:pPr>
            <w:r>
              <w:rPr>
                <w:rFonts w:ascii="Courier New"/>
                <w:w w:val="100"/>
                <w:sz w:val="28"/>
              </w:rPr>
              <w:t>X</w:t>
            </w:r>
          </w:p>
        </w:tc>
        <w:tc>
          <w:tcPr>
            <w:tcW w:w="2129" w:type="dxa"/>
          </w:tcPr>
          <w:p>
            <w:pPr>
              <w:pStyle w:val="TableParagraph"/>
              <w:spacing w:before="9"/>
              <w:ind w:left="107"/>
              <w:rPr>
                <w:rFonts w:ascii="Courier New"/>
                <w:sz w:val="28"/>
              </w:rPr>
            </w:pPr>
            <w:r>
              <w:rPr>
                <w:rFonts w:ascii="Courier New"/>
                <w:w w:val="100"/>
                <w:sz w:val="28"/>
              </w:rPr>
              <w:t>X</w:t>
            </w:r>
          </w:p>
        </w:tc>
        <w:tc>
          <w:tcPr>
            <w:tcW w:w="1700" w:type="dxa"/>
          </w:tcPr>
          <w:p>
            <w:pPr>
              <w:pStyle w:val="TableParagraph"/>
              <w:rPr>
                <w:rFonts w:ascii="Times New Roman"/>
                <w:sz w:val="28"/>
              </w:rPr>
            </w:pPr>
          </w:p>
        </w:tc>
        <w:tc>
          <w:tcPr>
            <w:tcW w:w="1712" w:type="dxa"/>
          </w:tcPr>
          <w:p>
            <w:pPr>
              <w:pStyle w:val="TableParagraph"/>
              <w:rPr>
                <w:rFonts w:ascii="Times New Roman"/>
                <w:sz w:val="28"/>
              </w:rPr>
            </w:pPr>
          </w:p>
        </w:tc>
      </w:tr>
      <w:tr>
        <w:trPr>
          <w:trHeight w:val="563" w:hRule="atLeast"/>
        </w:trPr>
        <w:tc>
          <w:tcPr>
            <w:tcW w:w="2518" w:type="dxa"/>
            <w:shd w:val="clear" w:color="auto" w:fill="00AFEF"/>
          </w:tcPr>
          <w:p>
            <w:pPr>
              <w:pStyle w:val="TableParagraph"/>
              <w:spacing w:line="317" w:lineRule="exact"/>
              <w:ind w:left="107"/>
              <w:rPr>
                <w:rFonts w:ascii="Courier New"/>
                <w:b/>
                <w:sz w:val="28"/>
              </w:rPr>
            </w:pPr>
            <w:r>
              <w:rPr>
                <w:rFonts w:ascii="Courier New"/>
                <w:b/>
                <w:sz w:val="28"/>
              </w:rPr>
              <w:t>Pomegranate</w:t>
            </w:r>
          </w:p>
        </w:tc>
        <w:tc>
          <w:tcPr>
            <w:tcW w:w="1181" w:type="dxa"/>
          </w:tcPr>
          <w:p>
            <w:pPr>
              <w:pStyle w:val="TableParagraph"/>
              <w:spacing w:before="6"/>
              <w:ind w:left="107"/>
              <w:rPr>
                <w:rFonts w:ascii="Courier New"/>
                <w:sz w:val="28"/>
              </w:rPr>
            </w:pPr>
            <w:r>
              <w:rPr>
                <w:rFonts w:ascii="Courier New"/>
                <w:sz w:val="28"/>
              </w:rPr>
              <w:t>490</w:t>
            </w:r>
          </w:p>
        </w:tc>
        <w:tc>
          <w:tcPr>
            <w:tcW w:w="1249" w:type="dxa"/>
          </w:tcPr>
          <w:p>
            <w:pPr>
              <w:pStyle w:val="TableParagraph"/>
              <w:spacing w:before="6"/>
              <w:ind w:left="107"/>
              <w:rPr>
                <w:rFonts w:ascii="Courier New"/>
                <w:sz w:val="28"/>
              </w:rPr>
            </w:pPr>
            <w:r>
              <w:rPr>
                <w:rFonts w:ascii="Courier New"/>
                <w:w w:val="100"/>
                <w:sz w:val="28"/>
              </w:rPr>
              <w:t>X</w:t>
            </w:r>
          </w:p>
        </w:tc>
        <w:tc>
          <w:tcPr>
            <w:tcW w:w="1541" w:type="dxa"/>
          </w:tcPr>
          <w:p>
            <w:pPr>
              <w:pStyle w:val="TableParagraph"/>
              <w:rPr>
                <w:rFonts w:ascii="Times New Roman"/>
                <w:sz w:val="28"/>
              </w:rPr>
            </w:pPr>
          </w:p>
        </w:tc>
        <w:tc>
          <w:tcPr>
            <w:tcW w:w="1985" w:type="dxa"/>
          </w:tcPr>
          <w:p>
            <w:pPr>
              <w:pStyle w:val="TableParagraph"/>
              <w:spacing w:before="6"/>
              <w:ind w:left="106"/>
              <w:rPr>
                <w:rFonts w:ascii="Courier New"/>
                <w:sz w:val="28"/>
              </w:rPr>
            </w:pPr>
            <w:r>
              <w:rPr>
                <w:rFonts w:ascii="Courier New"/>
                <w:w w:val="100"/>
                <w:sz w:val="28"/>
              </w:rPr>
              <w:t>X</w:t>
            </w:r>
          </w:p>
        </w:tc>
        <w:tc>
          <w:tcPr>
            <w:tcW w:w="1985" w:type="dxa"/>
          </w:tcPr>
          <w:p>
            <w:pPr>
              <w:pStyle w:val="TableParagraph"/>
              <w:rPr>
                <w:rFonts w:ascii="Times New Roman"/>
                <w:sz w:val="28"/>
              </w:rPr>
            </w:pPr>
          </w:p>
        </w:tc>
        <w:tc>
          <w:tcPr>
            <w:tcW w:w="1558" w:type="dxa"/>
          </w:tcPr>
          <w:p>
            <w:pPr>
              <w:pStyle w:val="TableParagraph"/>
              <w:rPr>
                <w:rFonts w:ascii="Times New Roman"/>
                <w:sz w:val="28"/>
              </w:rPr>
            </w:pPr>
          </w:p>
        </w:tc>
        <w:tc>
          <w:tcPr>
            <w:tcW w:w="2129" w:type="dxa"/>
          </w:tcPr>
          <w:p>
            <w:pPr>
              <w:pStyle w:val="TableParagraph"/>
              <w:rPr>
                <w:rFonts w:ascii="Times New Roman"/>
                <w:sz w:val="28"/>
              </w:rPr>
            </w:pPr>
          </w:p>
        </w:tc>
        <w:tc>
          <w:tcPr>
            <w:tcW w:w="1700" w:type="dxa"/>
          </w:tcPr>
          <w:p>
            <w:pPr>
              <w:pStyle w:val="TableParagraph"/>
              <w:spacing w:before="6"/>
              <w:ind w:left="104"/>
              <w:rPr>
                <w:rFonts w:ascii="Courier New"/>
                <w:sz w:val="28"/>
              </w:rPr>
            </w:pPr>
            <w:r>
              <w:rPr>
                <w:rFonts w:ascii="Courier New"/>
                <w:w w:val="100"/>
                <w:sz w:val="28"/>
              </w:rPr>
              <w:t>X</w:t>
            </w:r>
          </w:p>
        </w:tc>
        <w:tc>
          <w:tcPr>
            <w:tcW w:w="1712" w:type="dxa"/>
          </w:tcPr>
          <w:p>
            <w:pPr>
              <w:pStyle w:val="TableParagraph"/>
              <w:rPr>
                <w:rFonts w:ascii="Times New Roman"/>
                <w:sz w:val="28"/>
              </w:rPr>
            </w:pPr>
          </w:p>
        </w:tc>
      </w:tr>
      <w:tr>
        <w:trPr>
          <w:trHeight w:val="566" w:hRule="atLeast"/>
        </w:trPr>
        <w:tc>
          <w:tcPr>
            <w:tcW w:w="2518" w:type="dxa"/>
            <w:shd w:val="clear" w:color="auto" w:fill="00AFEF"/>
          </w:tcPr>
          <w:p>
            <w:pPr>
              <w:pStyle w:val="TableParagraph"/>
              <w:spacing w:before="2"/>
              <w:ind w:left="107"/>
              <w:rPr>
                <w:rFonts w:ascii="Courier New"/>
                <w:b/>
                <w:sz w:val="28"/>
              </w:rPr>
            </w:pPr>
            <w:r>
              <w:rPr>
                <w:rFonts w:ascii="Courier New"/>
                <w:b/>
                <w:sz w:val="28"/>
              </w:rPr>
              <w:t>Lapacho-Tea</w:t>
            </w:r>
          </w:p>
        </w:tc>
        <w:tc>
          <w:tcPr>
            <w:tcW w:w="1181" w:type="dxa"/>
          </w:tcPr>
          <w:p>
            <w:pPr>
              <w:pStyle w:val="TableParagraph"/>
              <w:spacing w:before="9"/>
              <w:ind w:left="107"/>
              <w:rPr>
                <w:rFonts w:ascii="Courier New"/>
                <w:sz w:val="28"/>
              </w:rPr>
            </w:pPr>
            <w:r>
              <w:rPr>
                <w:rFonts w:ascii="Courier New"/>
                <w:sz w:val="28"/>
              </w:rPr>
              <w:t>815</w:t>
            </w:r>
          </w:p>
        </w:tc>
        <w:tc>
          <w:tcPr>
            <w:tcW w:w="1249" w:type="dxa"/>
          </w:tcPr>
          <w:p>
            <w:pPr>
              <w:pStyle w:val="TableParagraph"/>
              <w:spacing w:before="9"/>
              <w:ind w:left="107"/>
              <w:rPr>
                <w:rFonts w:ascii="Courier New"/>
                <w:sz w:val="28"/>
              </w:rPr>
            </w:pPr>
            <w:r>
              <w:rPr>
                <w:rFonts w:ascii="Courier New"/>
                <w:w w:val="100"/>
                <w:sz w:val="28"/>
              </w:rPr>
              <w:t>X</w:t>
            </w:r>
          </w:p>
        </w:tc>
        <w:tc>
          <w:tcPr>
            <w:tcW w:w="1541" w:type="dxa"/>
          </w:tcPr>
          <w:p>
            <w:pPr>
              <w:pStyle w:val="TableParagraph"/>
              <w:spacing w:before="9"/>
              <w:ind w:left="104"/>
              <w:rPr>
                <w:rFonts w:ascii="Courier New"/>
                <w:sz w:val="28"/>
              </w:rPr>
            </w:pPr>
            <w:r>
              <w:rPr>
                <w:rFonts w:ascii="Courier New"/>
                <w:w w:val="100"/>
                <w:sz w:val="28"/>
              </w:rPr>
              <w:t>X</w:t>
            </w:r>
          </w:p>
        </w:tc>
        <w:tc>
          <w:tcPr>
            <w:tcW w:w="1985" w:type="dxa"/>
          </w:tcPr>
          <w:p>
            <w:pPr>
              <w:pStyle w:val="TableParagraph"/>
              <w:spacing w:before="9"/>
              <w:ind w:left="106"/>
              <w:rPr>
                <w:rFonts w:ascii="Courier New"/>
                <w:sz w:val="28"/>
              </w:rPr>
            </w:pPr>
            <w:r>
              <w:rPr>
                <w:rFonts w:ascii="Courier New"/>
                <w:w w:val="100"/>
                <w:sz w:val="28"/>
              </w:rPr>
              <w:t>X</w:t>
            </w:r>
          </w:p>
        </w:tc>
        <w:tc>
          <w:tcPr>
            <w:tcW w:w="1985" w:type="dxa"/>
          </w:tcPr>
          <w:p>
            <w:pPr>
              <w:pStyle w:val="TableParagraph"/>
              <w:rPr>
                <w:rFonts w:ascii="Times New Roman"/>
                <w:sz w:val="28"/>
              </w:rPr>
            </w:pPr>
          </w:p>
        </w:tc>
        <w:tc>
          <w:tcPr>
            <w:tcW w:w="1558" w:type="dxa"/>
          </w:tcPr>
          <w:p>
            <w:pPr>
              <w:pStyle w:val="TableParagraph"/>
              <w:rPr>
                <w:rFonts w:ascii="Times New Roman"/>
                <w:sz w:val="28"/>
              </w:rPr>
            </w:pPr>
          </w:p>
        </w:tc>
        <w:tc>
          <w:tcPr>
            <w:tcW w:w="2129" w:type="dxa"/>
          </w:tcPr>
          <w:p>
            <w:pPr>
              <w:pStyle w:val="TableParagraph"/>
              <w:rPr>
                <w:rFonts w:ascii="Times New Roman"/>
                <w:sz w:val="28"/>
              </w:rPr>
            </w:pPr>
          </w:p>
        </w:tc>
        <w:tc>
          <w:tcPr>
            <w:tcW w:w="1700" w:type="dxa"/>
          </w:tcPr>
          <w:p>
            <w:pPr>
              <w:pStyle w:val="TableParagraph"/>
              <w:rPr>
                <w:rFonts w:ascii="Times New Roman"/>
                <w:sz w:val="28"/>
              </w:rPr>
            </w:pPr>
          </w:p>
        </w:tc>
        <w:tc>
          <w:tcPr>
            <w:tcW w:w="1712" w:type="dxa"/>
          </w:tcPr>
          <w:p>
            <w:pPr>
              <w:pStyle w:val="TableParagraph"/>
              <w:spacing w:before="9"/>
              <w:ind w:left="106"/>
              <w:rPr>
                <w:rFonts w:ascii="Courier New"/>
                <w:sz w:val="28"/>
              </w:rPr>
            </w:pPr>
            <w:r>
              <w:rPr>
                <w:rFonts w:ascii="Courier New"/>
                <w:w w:val="100"/>
                <w:sz w:val="28"/>
              </w:rPr>
              <w:t>X</w:t>
            </w:r>
          </w:p>
        </w:tc>
      </w:tr>
      <w:tr>
        <w:trPr>
          <w:trHeight w:val="563" w:hRule="atLeast"/>
        </w:trPr>
        <w:tc>
          <w:tcPr>
            <w:tcW w:w="2518" w:type="dxa"/>
            <w:shd w:val="clear" w:color="auto" w:fill="00AFEF"/>
          </w:tcPr>
          <w:p>
            <w:pPr>
              <w:pStyle w:val="TableParagraph"/>
              <w:spacing w:line="317" w:lineRule="exact"/>
              <w:ind w:left="107"/>
              <w:rPr>
                <w:rFonts w:ascii="Courier New"/>
                <w:b/>
                <w:sz w:val="28"/>
              </w:rPr>
            </w:pPr>
            <w:r>
              <w:rPr>
                <w:rFonts w:ascii="Courier New"/>
                <w:b/>
                <w:sz w:val="28"/>
              </w:rPr>
              <w:t>MMS</w:t>
            </w:r>
          </w:p>
        </w:tc>
        <w:tc>
          <w:tcPr>
            <w:tcW w:w="1181" w:type="dxa"/>
          </w:tcPr>
          <w:p>
            <w:pPr>
              <w:pStyle w:val="TableParagraph"/>
              <w:spacing w:before="6"/>
              <w:ind w:left="107"/>
              <w:rPr>
                <w:rFonts w:ascii="Courier New"/>
                <w:sz w:val="28"/>
              </w:rPr>
            </w:pPr>
            <w:r>
              <w:rPr>
                <w:rFonts w:ascii="Courier New"/>
                <w:sz w:val="28"/>
              </w:rPr>
              <w:t>1006</w:t>
            </w:r>
          </w:p>
        </w:tc>
        <w:tc>
          <w:tcPr>
            <w:tcW w:w="1249" w:type="dxa"/>
          </w:tcPr>
          <w:p>
            <w:pPr>
              <w:pStyle w:val="TableParagraph"/>
              <w:rPr>
                <w:rFonts w:ascii="Times New Roman"/>
                <w:sz w:val="28"/>
              </w:rPr>
            </w:pPr>
          </w:p>
        </w:tc>
        <w:tc>
          <w:tcPr>
            <w:tcW w:w="1541" w:type="dxa"/>
          </w:tcPr>
          <w:p>
            <w:pPr>
              <w:pStyle w:val="TableParagraph"/>
              <w:rPr>
                <w:rFonts w:ascii="Times New Roman"/>
                <w:sz w:val="28"/>
              </w:rPr>
            </w:pPr>
          </w:p>
        </w:tc>
        <w:tc>
          <w:tcPr>
            <w:tcW w:w="1985" w:type="dxa"/>
          </w:tcPr>
          <w:p>
            <w:pPr>
              <w:pStyle w:val="TableParagraph"/>
              <w:rPr>
                <w:rFonts w:ascii="Times New Roman"/>
                <w:sz w:val="28"/>
              </w:rPr>
            </w:pPr>
          </w:p>
        </w:tc>
        <w:tc>
          <w:tcPr>
            <w:tcW w:w="1985" w:type="dxa"/>
          </w:tcPr>
          <w:p>
            <w:pPr>
              <w:pStyle w:val="TableParagraph"/>
              <w:spacing w:before="6"/>
              <w:ind w:left="107"/>
              <w:rPr>
                <w:rFonts w:ascii="Courier New"/>
                <w:sz w:val="28"/>
              </w:rPr>
            </w:pPr>
            <w:r>
              <w:rPr>
                <w:rFonts w:ascii="Courier New"/>
                <w:w w:val="100"/>
                <w:sz w:val="28"/>
              </w:rPr>
              <w:t>X</w:t>
            </w:r>
          </w:p>
        </w:tc>
        <w:tc>
          <w:tcPr>
            <w:tcW w:w="1558" w:type="dxa"/>
          </w:tcPr>
          <w:p>
            <w:pPr>
              <w:pStyle w:val="TableParagraph"/>
              <w:rPr>
                <w:rFonts w:ascii="Times New Roman"/>
                <w:sz w:val="28"/>
              </w:rPr>
            </w:pPr>
          </w:p>
        </w:tc>
        <w:tc>
          <w:tcPr>
            <w:tcW w:w="2129" w:type="dxa"/>
          </w:tcPr>
          <w:p>
            <w:pPr>
              <w:pStyle w:val="TableParagraph"/>
              <w:rPr>
                <w:rFonts w:ascii="Times New Roman"/>
                <w:sz w:val="28"/>
              </w:rPr>
            </w:pPr>
          </w:p>
        </w:tc>
        <w:tc>
          <w:tcPr>
            <w:tcW w:w="1700" w:type="dxa"/>
          </w:tcPr>
          <w:p>
            <w:pPr>
              <w:pStyle w:val="TableParagraph"/>
              <w:spacing w:before="6"/>
              <w:ind w:left="104"/>
              <w:rPr>
                <w:rFonts w:ascii="Courier New"/>
                <w:sz w:val="28"/>
              </w:rPr>
            </w:pPr>
            <w:r>
              <w:rPr>
                <w:rFonts w:ascii="Courier New"/>
                <w:w w:val="100"/>
                <w:sz w:val="28"/>
              </w:rPr>
              <w:t>X</w:t>
            </w:r>
          </w:p>
        </w:tc>
        <w:tc>
          <w:tcPr>
            <w:tcW w:w="1712" w:type="dxa"/>
          </w:tcPr>
          <w:p>
            <w:pPr>
              <w:pStyle w:val="TableParagraph"/>
              <w:rPr>
                <w:rFonts w:ascii="Times New Roman"/>
                <w:sz w:val="28"/>
              </w:rPr>
            </w:pPr>
          </w:p>
        </w:tc>
      </w:tr>
      <w:tr>
        <w:trPr>
          <w:trHeight w:val="930" w:hRule="atLeast"/>
        </w:trPr>
        <w:tc>
          <w:tcPr>
            <w:tcW w:w="2518" w:type="dxa"/>
            <w:shd w:val="clear" w:color="auto" w:fill="00AFEF"/>
          </w:tcPr>
          <w:p>
            <w:pPr>
              <w:pStyle w:val="TableParagraph"/>
              <w:spacing w:line="278" w:lineRule="auto"/>
              <w:ind w:left="107" w:right="196"/>
              <w:rPr>
                <w:rFonts w:ascii="Courier New"/>
                <w:b/>
                <w:sz w:val="28"/>
              </w:rPr>
            </w:pPr>
            <w:r>
              <w:rPr>
                <w:rFonts w:ascii="Courier New"/>
                <w:b/>
                <w:sz w:val="28"/>
              </w:rPr>
              <w:t>Omega-3 fatty acids</w:t>
            </w:r>
          </w:p>
        </w:tc>
        <w:tc>
          <w:tcPr>
            <w:tcW w:w="1181" w:type="dxa"/>
          </w:tcPr>
          <w:p>
            <w:pPr>
              <w:pStyle w:val="TableParagraph"/>
              <w:spacing w:before="9"/>
              <w:ind w:left="107"/>
              <w:rPr>
                <w:rFonts w:ascii="Courier New"/>
                <w:sz w:val="28"/>
              </w:rPr>
            </w:pPr>
            <w:r>
              <w:rPr>
                <w:rFonts w:ascii="Courier New"/>
                <w:sz w:val="28"/>
              </w:rPr>
              <w:t>1036</w:t>
            </w:r>
          </w:p>
        </w:tc>
        <w:tc>
          <w:tcPr>
            <w:tcW w:w="1249" w:type="dxa"/>
          </w:tcPr>
          <w:p>
            <w:pPr>
              <w:pStyle w:val="TableParagraph"/>
              <w:spacing w:before="9"/>
              <w:ind w:left="107"/>
              <w:rPr>
                <w:rFonts w:ascii="Courier New"/>
                <w:sz w:val="28"/>
              </w:rPr>
            </w:pPr>
            <w:r>
              <w:rPr>
                <w:rFonts w:ascii="Courier New"/>
                <w:w w:val="100"/>
                <w:sz w:val="28"/>
              </w:rPr>
              <w:t>X</w:t>
            </w:r>
          </w:p>
        </w:tc>
        <w:tc>
          <w:tcPr>
            <w:tcW w:w="1541" w:type="dxa"/>
          </w:tcPr>
          <w:p>
            <w:pPr>
              <w:pStyle w:val="TableParagraph"/>
              <w:rPr>
                <w:rFonts w:ascii="Times New Roman"/>
                <w:sz w:val="28"/>
              </w:rPr>
            </w:pPr>
          </w:p>
        </w:tc>
        <w:tc>
          <w:tcPr>
            <w:tcW w:w="1985" w:type="dxa"/>
          </w:tcPr>
          <w:p>
            <w:pPr>
              <w:pStyle w:val="TableParagraph"/>
              <w:spacing w:before="9"/>
              <w:ind w:left="106"/>
              <w:rPr>
                <w:rFonts w:ascii="Courier New"/>
                <w:sz w:val="28"/>
              </w:rPr>
            </w:pPr>
            <w:r>
              <w:rPr>
                <w:rFonts w:ascii="Courier New"/>
                <w:w w:val="100"/>
                <w:sz w:val="28"/>
              </w:rPr>
              <w:t>X</w:t>
            </w:r>
          </w:p>
        </w:tc>
        <w:tc>
          <w:tcPr>
            <w:tcW w:w="1985" w:type="dxa"/>
          </w:tcPr>
          <w:p>
            <w:pPr>
              <w:pStyle w:val="TableParagraph"/>
              <w:rPr>
                <w:rFonts w:ascii="Times New Roman"/>
                <w:sz w:val="28"/>
              </w:rPr>
            </w:pPr>
          </w:p>
        </w:tc>
        <w:tc>
          <w:tcPr>
            <w:tcW w:w="1558" w:type="dxa"/>
          </w:tcPr>
          <w:p>
            <w:pPr>
              <w:pStyle w:val="TableParagraph"/>
              <w:rPr>
                <w:rFonts w:ascii="Times New Roman"/>
                <w:sz w:val="28"/>
              </w:rPr>
            </w:pPr>
          </w:p>
        </w:tc>
        <w:tc>
          <w:tcPr>
            <w:tcW w:w="2129" w:type="dxa"/>
          </w:tcPr>
          <w:p>
            <w:pPr>
              <w:pStyle w:val="TableParagraph"/>
              <w:spacing w:before="9"/>
              <w:ind w:left="107"/>
              <w:rPr>
                <w:rFonts w:ascii="Courier New"/>
                <w:sz w:val="28"/>
              </w:rPr>
            </w:pPr>
            <w:r>
              <w:rPr>
                <w:rFonts w:ascii="Courier New"/>
                <w:w w:val="100"/>
                <w:sz w:val="28"/>
              </w:rPr>
              <w:t>X</w:t>
            </w:r>
          </w:p>
        </w:tc>
        <w:tc>
          <w:tcPr>
            <w:tcW w:w="1700" w:type="dxa"/>
          </w:tcPr>
          <w:p>
            <w:pPr>
              <w:pStyle w:val="TableParagraph"/>
              <w:rPr>
                <w:rFonts w:ascii="Times New Roman"/>
                <w:sz w:val="28"/>
              </w:rPr>
            </w:pPr>
          </w:p>
        </w:tc>
        <w:tc>
          <w:tcPr>
            <w:tcW w:w="1712" w:type="dxa"/>
          </w:tcPr>
          <w:p>
            <w:pPr>
              <w:pStyle w:val="TableParagraph"/>
              <w:rPr>
                <w:rFonts w:ascii="Times New Roman"/>
                <w:sz w:val="28"/>
              </w:rPr>
            </w:pPr>
          </w:p>
        </w:tc>
      </w:tr>
    </w:tbl>
    <w:p>
      <w:pPr>
        <w:spacing w:after="0"/>
        <w:rPr>
          <w:rFonts w:ascii="Times New Roman"/>
          <w:sz w:val="28"/>
        </w:rPr>
        <w:sectPr>
          <w:pgSz w:w="18630" w:h="11910" w:orient="landscape"/>
          <w:pgMar w:header="0" w:footer="404" w:top="840" w:bottom="600" w:left="740" w:right="8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85"/>
        <w:gridCol w:w="1085"/>
        <w:gridCol w:w="1275"/>
        <w:gridCol w:w="2126"/>
        <w:gridCol w:w="2268"/>
        <w:gridCol w:w="2837"/>
        <w:gridCol w:w="3401"/>
        <w:gridCol w:w="2233"/>
      </w:tblGrid>
      <w:tr>
        <w:trPr>
          <w:trHeight w:val="1087" w:hRule="atLeast"/>
        </w:trPr>
        <w:tc>
          <w:tcPr>
            <w:tcW w:w="17510" w:type="dxa"/>
            <w:gridSpan w:val="8"/>
            <w:shd w:val="clear" w:color="auto" w:fill="FAD3B4"/>
          </w:tcPr>
          <w:p>
            <w:pPr>
              <w:pStyle w:val="TableParagraph"/>
              <w:spacing w:before="311"/>
              <w:ind w:left="2445"/>
              <w:rPr>
                <w:b/>
                <w:sz w:val="36"/>
              </w:rPr>
            </w:pPr>
            <w:r>
              <w:rPr>
                <w:b/>
                <w:sz w:val="36"/>
              </w:rPr>
              <w:t>SUBSTANCE-EFFECT TABLE OF NATURAL REMEDIES FOR ARTHROSIS</w:t>
            </w:r>
          </w:p>
        </w:tc>
      </w:tr>
      <w:tr>
        <w:trPr>
          <w:trHeight w:val="3187" w:hRule="atLeast"/>
        </w:trPr>
        <w:tc>
          <w:tcPr>
            <w:tcW w:w="2285" w:type="dxa"/>
            <w:shd w:val="clear" w:color="auto" w:fill="FFFF00"/>
          </w:tcPr>
          <w:p>
            <w:pPr>
              <w:pStyle w:val="TableParagraph"/>
              <w:rPr>
                <w:rFonts w:ascii="Times New Roman"/>
                <w:sz w:val="32"/>
              </w:rPr>
            </w:pPr>
          </w:p>
          <w:p>
            <w:pPr>
              <w:pStyle w:val="TableParagraph"/>
              <w:spacing w:line="278" w:lineRule="auto" w:before="193"/>
              <w:ind w:left="107" w:right="131"/>
              <w:rPr>
                <w:rFonts w:ascii="Courier New"/>
                <w:b/>
                <w:sz w:val="28"/>
              </w:rPr>
            </w:pPr>
            <w:r>
              <w:rPr>
                <w:rFonts w:ascii="Courier New"/>
                <w:b/>
                <w:sz w:val="28"/>
              </w:rPr>
              <w:t>Natural sub- stance</w:t>
            </w:r>
          </w:p>
        </w:tc>
        <w:tc>
          <w:tcPr>
            <w:tcW w:w="1085" w:type="dxa"/>
            <w:shd w:val="clear" w:color="auto" w:fill="FFFF00"/>
          </w:tcPr>
          <w:p>
            <w:pPr>
              <w:pStyle w:val="TableParagraph"/>
              <w:rPr>
                <w:rFonts w:ascii="Times New Roman"/>
                <w:sz w:val="32"/>
              </w:rPr>
            </w:pPr>
          </w:p>
          <w:p>
            <w:pPr>
              <w:pStyle w:val="TableParagraph"/>
              <w:spacing w:before="195"/>
              <w:ind w:left="107"/>
              <w:rPr>
                <w:rFonts w:ascii="Courier New"/>
                <w:b/>
                <w:sz w:val="28"/>
              </w:rPr>
            </w:pPr>
            <w:r>
              <w:rPr>
                <w:rFonts w:ascii="Courier New"/>
                <w:b/>
                <w:sz w:val="28"/>
              </w:rPr>
              <w:t>Page</w:t>
            </w:r>
          </w:p>
        </w:tc>
        <w:tc>
          <w:tcPr>
            <w:tcW w:w="1275" w:type="dxa"/>
            <w:shd w:val="clear" w:color="auto" w:fill="FFFF00"/>
          </w:tcPr>
          <w:p>
            <w:pPr>
              <w:pStyle w:val="TableParagraph"/>
              <w:rPr>
                <w:rFonts w:ascii="Times New Roman"/>
                <w:sz w:val="32"/>
              </w:rPr>
            </w:pPr>
          </w:p>
          <w:p>
            <w:pPr>
              <w:pStyle w:val="TableParagraph"/>
              <w:spacing w:line="276" w:lineRule="auto" w:before="193"/>
              <w:ind w:left="105" w:right="317"/>
              <w:rPr>
                <w:rFonts w:ascii="Courier New"/>
                <w:b/>
                <w:sz w:val="28"/>
              </w:rPr>
            </w:pPr>
            <w:r>
              <w:rPr>
                <w:rFonts w:ascii="Courier New"/>
                <w:b/>
                <w:sz w:val="28"/>
              </w:rPr>
              <w:t>Anti- oxi- dant</w:t>
            </w:r>
          </w:p>
        </w:tc>
        <w:tc>
          <w:tcPr>
            <w:tcW w:w="2126" w:type="dxa"/>
            <w:shd w:val="clear" w:color="auto" w:fill="FFFF00"/>
          </w:tcPr>
          <w:p>
            <w:pPr>
              <w:pStyle w:val="TableParagraph"/>
              <w:rPr>
                <w:rFonts w:ascii="Times New Roman"/>
                <w:sz w:val="32"/>
              </w:rPr>
            </w:pPr>
          </w:p>
          <w:p>
            <w:pPr>
              <w:pStyle w:val="TableParagraph"/>
              <w:spacing w:line="278" w:lineRule="auto" w:before="193"/>
              <w:ind w:left="107" w:right="140"/>
              <w:rPr>
                <w:rFonts w:ascii="Courier New"/>
                <w:b/>
                <w:sz w:val="28"/>
              </w:rPr>
            </w:pPr>
            <w:r>
              <w:rPr>
                <w:rFonts w:ascii="Courier New"/>
                <w:b/>
                <w:sz w:val="28"/>
              </w:rPr>
              <w:t>Detoxifica- tion</w:t>
            </w:r>
          </w:p>
          <w:p>
            <w:pPr>
              <w:pStyle w:val="TableParagraph"/>
              <w:spacing w:before="195"/>
              <w:ind w:left="107"/>
              <w:rPr>
                <w:rFonts w:ascii="Courier New"/>
                <w:b/>
                <w:sz w:val="28"/>
              </w:rPr>
            </w:pPr>
            <w:r>
              <w:rPr>
                <w:rFonts w:ascii="Courier New"/>
                <w:b/>
                <w:w w:val="100"/>
                <w:sz w:val="28"/>
              </w:rPr>
              <w:t>&amp;</w:t>
            </w:r>
          </w:p>
          <w:p>
            <w:pPr>
              <w:pStyle w:val="TableParagraph"/>
              <w:spacing w:line="278" w:lineRule="auto" w:before="248"/>
              <w:ind w:left="107" w:right="308"/>
              <w:rPr>
                <w:rFonts w:ascii="Courier New"/>
                <w:b/>
                <w:sz w:val="28"/>
              </w:rPr>
            </w:pPr>
            <w:r>
              <w:rPr>
                <w:rFonts w:ascii="Courier New"/>
                <w:b/>
                <w:sz w:val="28"/>
              </w:rPr>
              <w:t>Deacidifi- cation</w:t>
            </w:r>
          </w:p>
        </w:tc>
        <w:tc>
          <w:tcPr>
            <w:tcW w:w="2268" w:type="dxa"/>
            <w:shd w:val="clear" w:color="auto" w:fill="FFFF00"/>
          </w:tcPr>
          <w:p>
            <w:pPr>
              <w:pStyle w:val="TableParagraph"/>
              <w:rPr>
                <w:rFonts w:ascii="Times New Roman"/>
                <w:sz w:val="32"/>
              </w:rPr>
            </w:pPr>
          </w:p>
          <w:p>
            <w:pPr>
              <w:pStyle w:val="TableParagraph"/>
              <w:spacing w:before="195"/>
              <w:ind w:left="108"/>
              <w:rPr>
                <w:rFonts w:ascii="Courier New"/>
                <w:b/>
                <w:sz w:val="28"/>
              </w:rPr>
            </w:pPr>
            <w:r>
              <w:rPr>
                <w:rFonts w:ascii="Courier New"/>
                <w:b/>
                <w:sz w:val="28"/>
              </w:rPr>
              <w:t>Combatting</w:t>
            </w:r>
          </w:p>
          <w:p>
            <w:pPr>
              <w:pStyle w:val="TableParagraph"/>
              <w:spacing w:line="278" w:lineRule="auto" w:before="245"/>
              <w:ind w:left="108" w:right="113"/>
              <w:rPr>
                <w:rFonts w:ascii="Courier New"/>
                <w:b/>
                <w:sz w:val="28"/>
              </w:rPr>
            </w:pPr>
            <w:r>
              <w:rPr>
                <w:rFonts w:ascii="Courier New"/>
                <w:b/>
                <w:sz w:val="28"/>
              </w:rPr>
              <w:t>inflammation mediators</w:t>
            </w:r>
          </w:p>
        </w:tc>
        <w:tc>
          <w:tcPr>
            <w:tcW w:w="2837" w:type="dxa"/>
            <w:shd w:val="clear" w:color="auto" w:fill="FFFF00"/>
          </w:tcPr>
          <w:p>
            <w:pPr>
              <w:pStyle w:val="TableParagraph"/>
              <w:rPr>
                <w:rFonts w:ascii="Times New Roman"/>
                <w:sz w:val="32"/>
              </w:rPr>
            </w:pPr>
          </w:p>
          <w:p>
            <w:pPr>
              <w:pStyle w:val="TableParagraph"/>
              <w:spacing w:line="276" w:lineRule="auto" w:before="193"/>
              <w:ind w:left="108" w:right="196"/>
              <w:rPr>
                <w:rFonts w:ascii="Courier New"/>
                <w:b/>
                <w:sz w:val="28"/>
              </w:rPr>
            </w:pPr>
            <w:r>
              <w:rPr>
                <w:rFonts w:ascii="Courier New"/>
                <w:b/>
                <w:sz w:val="28"/>
              </w:rPr>
              <w:t>Stimulation of the collagen metabolism and structure of the hyaline joint</w:t>
            </w:r>
            <w:r>
              <w:rPr>
                <w:rFonts w:ascii="Courier New"/>
                <w:b/>
                <w:spacing w:val="-7"/>
                <w:sz w:val="28"/>
              </w:rPr>
              <w:t> </w:t>
            </w:r>
            <w:r>
              <w:rPr>
                <w:rFonts w:ascii="Courier New"/>
                <w:b/>
                <w:sz w:val="28"/>
              </w:rPr>
              <w:t>cartilage</w:t>
            </w:r>
          </w:p>
        </w:tc>
        <w:tc>
          <w:tcPr>
            <w:tcW w:w="3401" w:type="dxa"/>
            <w:shd w:val="clear" w:color="auto" w:fill="FFFF00"/>
          </w:tcPr>
          <w:p>
            <w:pPr>
              <w:pStyle w:val="TableParagraph"/>
              <w:rPr>
                <w:rFonts w:ascii="Times New Roman"/>
                <w:sz w:val="32"/>
              </w:rPr>
            </w:pPr>
          </w:p>
          <w:p>
            <w:pPr>
              <w:pStyle w:val="TableParagraph"/>
              <w:spacing w:line="276" w:lineRule="auto" w:before="193"/>
              <w:ind w:left="106" w:right="240"/>
              <w:rPr>
                <w:rFonts w:ascii="Courier New"/>
                <w:b/>
                <w:sz w:val="28"/>
              </w:rPr>
            </w:pPr>
            <w:r>
              <w:rPr>
                <w:rFonts w:ascii="Courier New"/>
                <w:b/>
                <w:sz w:val="28"/>
              </w:rPr>
              <w:t>Metabolic stimula- tion of the joint capsule and the synovial fluid</w:t>
            </w:r>
          </w:p>
        </w:tc>
        <w:tc>
          <w:tcPr>
            <w:tcW w:w="2233" w:type="dxa"/>
            <w:shd w:val="clear" w:color="auto" w:fill="FFFF00"/>
          </w:tcPr>
          <w:p>
            <w:pPr>
              <w:pStyle w:val="TableParagraph"/>
              <w:rPr>
                <w:rFonts w:ascii="Times New Roman"/>
                <w:sz w:val="32"/>
              </w:rPr>
            </w:pPr>
          </w:p>
          <w:p>
            <w:pPr>
              <w:pStyle w:val="TableParagraph"/>
              <w:spacing w:line="276" w:lineRule="auto" w:before="193"/>
              <w:ind w:left="109" w:right="265"/>
              <w:rPr>
                <w:rFonts w:ascii="Courier New"/>
                <w:b/>
                <w:sz w:val="28"/>
              </w:rPr>
            </w:pPr>
            <w:r>
              <w:rPr>
                <w:rFonts w:ascii="Courier New"/>
                <w:b/>
                <w:sz w:val="28"/>
              </w:rPr>
              <w:t>Palliativum (pain-re- lieving ef- fect)</w:t>
            </w:r>
          </w:p>
        </w:tc>
      </w:tr>
      <w:tr>
        <w:trPr>
          <w:trHeight w:val="1295" w:hRule="atLeast"/>
        </w:trPr>
        <w:tc>
          <w:tcPr>
            <w:tcW w:w="2285" w:type="dxa"/>
            <w:shd w:val="clear" w:color="auto" w:fill="00AFEF"/>
          </w:tcPr>
          <w:p>
            <w:pPr>
              <w:pStyle w:val="TableParagraph"/>
              <w:spacing w:line="276" w:lineRule="auto"/>
              <w:ind w:left="107" w:right="299"/>
              <w:rPr>
                <w:rFonts w:ascii="Courier New"/>
                <w:b/>
                <w:sz w:val="28"/>
              </w:rPr>
            </w:pPr>
            <w:r>
              <w:rPr>
                <w:rFonts w:ascii="Courier New"/>
                <w:b/>
                <w:sz w:val="28"/>
              </w:rPr>
              <w:t>Glucosamine &amp; Chon- droitin</w:t>
            </w:r>
          </w:p>
        </w:tc>
        <w:tc>
          <w:tcPr>
            <w:tcW w:w="1085" w:type="dxa"/>
          </w:tcPr>
          <w:p>
            <w:pPr>
              <w:pStyle w:val="TableParagraph"/>
              <w:spacing w:before="6"/>
              <w:ind w:left="107"/>
              <w:rPr>
                <w:rFonts w:ascii="Courier New"/>
                <w:sz w:val="28"/>
              </w:rPr>
            </w:pPr>
            <w:r>
              <w:rPr>
                <w:rFonts w:ascii="Courier New"/>
                <w:sz w:val="28"/>
              </w:rPr>
              <w:t>441</w:t>
            </w:r>
          </w:p>
        </w:tc>
        <w:tc>
          <w:tcPr>
            <w:tcW w:w="1275" w:type="dxa"/>
          </w:tcPr>
          <w:p>
            <w:pPr>
              <w:pStyle w:val="TableParagraph"/>
              <w:rPr>
                <w:rFonts w:ascii="Times New Roman"/>
                <w:sz w:val="28"/>
              </w:rPr>
            </w:pPr>
          </w:p>
        </w:tc>
        <w:tc>
          <w:tcPr>
            <w:tcW w:w="2126" w:type="dxa"/>
          </w:tcPr>
          <w:p>
            <w:pPr>
              <w:pStyle w:val="TableParagraph"/>
              <w:rPr>
                <w:rFonts w:ascii="Times New Roman"/>
                <w:sz w:val="28"/>
              </w:rPr>
            </w:pPr>
          </w:p>
        </w:tc>
        <w:tc>
          <w:tcPr>
            <w:tcW w:w="2268" w:type="dxa"/>
          </w:tcPr>
          <w:p>
            <w:pPr>
              <w:pStyle w:val="TableParagraph"/>
              <w:spacing w:before="6"/>
              <w:ind w:left="108"/>
              <w:rPr>
                <w:rFonts w:ascii="Courier New"/>
                <w:sz w:val="28"/>
              </w:rPr>
            </w:pPr>
            <w:r>
              <w:rPr>
                <w:rFonts w:ascii="Courier New"/>
                <w:w w:val="100"/>
                <w:sz w:val="28"/>
              </w:rPr>
              <w:t>X</w:t>
            </w:r>
          </w:p>
        </w:tc>
        <w:tc>
          <w:tcPr>
            <w:tcW w:w="2837" w:type="dxa"/>
          </w:tcPr>
          <w:p>
            <w:pPr>
              <w:pStyle w:val="TableParagraph"/>
              <w:spacing w:before="6"/>
              <w:ind w:left="108"/>
              <w:rPr>
                <w:rFonts w:ascii="Courier New"/>
                <w:sz w:val="28"/>
              </w:rPr>
            </w:pPr>
            <w:r>
              <w:rPr>
                <w:rFonts w:ascii="Courier New"/>
                <w:w w:val="100"/>
                <w:sz w:val="28"/>
              </w:rPr>
              <w:t>X</w:t>
            </w:r>
          </w:p>
        </w:tc>
        <w:tc>
          <w:tcPr>
            <w:tcW w:w="3401" w:type="dxa"/>
          </w:tcPr>
          <w:p>
            <w:pPr>
              <w:pStyle w:val="TableParagraph"/>
              <w:spacing w:before="6"/>
              <w:ind w:left="106"/>
              <w:rPr>
                <w:rFonts w:ascii="Courier New"/>
                <w:sz w:val="28"/>
              </w:rPr>
            </w:pPr>
            <w:r>
              <w:rPr>
                <w:rFonts w:ascii="Courier New"/>
                <w:w w:val="100"/>
                <w:sz w:val="28"/>
              </w:rPr>
              <w:t>X</w:t>
            </w:r>
          </w:p>
        </w:tc>
        <w:tc>
          <w:tcPr>
            <w:tcW w:w="2233" w:type="dxa"/>
          </w:tcPr>
          <w:p>
            <w:pPr>
              <w:pStyle w:val="TableParagraph"/>
              <w:spacing w:before="6"/>
              <w:ind w:left="109"/>
              <w:rPr>
                <w:rFonts w:ascii="Courier New"/>
                <w:sz w:val="28"/>
              </w:rPr>
            </w:pPr>
            <w:r>
              <w:rPr>
                <w:rFonts w:ascii="Courier New"/>
                <w:w w:val="100"/>
                <w:sz w:val="28"/>
              </w:rPr>
              <w:t>X</w:t>
            </w:r>
          </w:p>
        </w:tc>
      </w:tr>
      <w:tr>
        <w:trPr>
          <w:trHeight w:val="564" w:hRule="atLeast"/>
        </w:trPr>
        <w:tc>
          <w:tcPr>
            <w:tcW w:w="2285" w:type="dxa"/>
            <w:shd w:val="clear" w:color="auto" w:fill="00AFEF"/>
          </w:tcPr>
          <w:p>
            <w:pPr>
              <w:pStyle w:val="TableParagraph"/>
              <w:ind w:left="107"/>
              <w:rPr>
                <w:rFonts w:ascii="Courier New"/>
                <w:b/>
                <w:sz w:val="28"/>
              </w:rPr>
            </w:pPr>
            <w:r>
              <w:rPr>
                <w:rFonts w:ascii="Courier New"/>
                <w:b/>
                <w:sz w:val="28"/>
              </w:rPr>
              <w:t>MMS</w:t>
            </w:r>
          </w:p>
        </w:tc>
        <w:tc>
          <w:tcPr>
            <w:tcW w:w="1085" w:type="dxa"/>
          </w:tcPr>
          <w:p>
            <w:pPr>
              <w:pStyle w:val="TableParagraph"/>
              <w:spacing w:before="7"/>
              <w:ind w:left="107"/>
              <w:rPr>
                <w:rFonts w:ascii="Courier New"/>
                <w:sz w:val="28"/>
              </w:rPr>
            </w:pPr>
            <w:r>
              <w:rPr>
                <w:rFonts w:ascii="Courier New"/>
                <w:sz w:val="28"/>
              </w:rPr>
              <w:t>1006</w:t>
            </w:r>
          </w:p>
        </w:tc>
        <w:tc>
          <w:tcPr>
            <w:tcW w:w="1275" w:type="dxa"/>
          </w:tcPr>
          <w:p>
            <w:pPr>
              <w:pStyle w:val="TableParagraph"/>
              <w:rPr>
                <w:rFonts w:ascii="Times New Roman"/>
                <w:sz w:val="28"/>
              </w:rPr>
            </w:pPr>
          </w:p>
        </w:tc>
        <w:tc>
          <w:tcPr>
            <w:tcW w:w="2126" w:type="dxa"/>
          </w:tcPr>
          <w:p>
            <w:pPr>
              <w:pStyle w:val="TableParagraph"/>
              <w:rPr>
                <w:rFonts w:ascii="Times New Roman"/>
                <w:sz w:val="28"/>
              </w:rPr>
            </w:pPr>
          </w:p>
        </w:tc>
        <w:tc>
          <w:tcPr>
            <w:tcW w:w="2268" w:type="dxa"/>
          </w:tcPr>
          <w:p>
            <w:pPr>
              <w:pStyle w:val="TableParagraph"/>
              <w:spacing w:before="7"/>
              <w:ind w:left="108"/>
              <w:rPr>
                <w:rFonts w:ascii="Courier New"/>
                <w:sz w:val="28"/>
              </w:rPr>
            </w:pPr>
            <w:r>
              <w:rPr>
                <w:rFonts w:ascii="Courier New"/>
                <w:w w:val="100"/>
                <w:sz w:val="28"/>
              </w:rPr>
              <w:t>X</w:t>
            </w:r>
          </w:p>
        </w:tc>
        <w:tc>
          <w:tcPr>
            <w:tcW w:w="2837" w:type="dxa"/>
          </w:tcPr>
          <w:p>
            <w:pPr>
              <w:pStyle w:val="TableParagraph"/>
              <w:rPr>
                <w:rFonts w:ascii="Times New Roman"/>
                <w:sz w:val="28"/>
              </w:rPr>
            </w:pPr>
          </w:p>
        </w:tc>
        <w:tc>
          <w:tcPr>
            <w:tcW w:w="3401" w:type="dxa"/>
          </w:tcPr>
          <w:p>
            <w:pPr>
              <w:pStyle w:val="TableParagraph"/>
              <w:rPr>
                <w:rFonts w:ascii="Times New Roman"/>
                <w:sz w:val="28"/>
              </w:rPr>
            </w:pPr>
          </w:p>
        </w:tc>
        <w:tc>
          <w:tcPr>
            <w:tcW w:w="2233" w:type="dxa"/>
          </w:tcPr>
          <w:p>
            <w:pPr>
              <w:pStyle w:val="TableParagraph"/>
              <w:rPr>
                <w:rFonts w:ascii="Times New Roman"/>
                <w:sz w:val="28"/>
              </w:rPr>
            </w:pPr>
          </w:p>
        </w:tc>
      </w:tr>
      <w:tr>
        <w:trPr>
          <w:trHeight w:val="1130" w:hRule="atLeast"/>
        </w:trPr>
        <w:tc>
          <w:tcPr>
            <w:tcW w:w="2285" w:type="dxa"/>
            <w:shd w:val="clear" w:color="auto" w:fill="00AFEF"/>
          </w:tcPr>
          <w:p>
            <w:pPr>
              <w:pStyle w:val="TableParagraph"/>
              <w:spacing w:line="317" w:lineRule="exact"/>
              <w:ind w:left="107"/>
              <w:rPr>
                <w:rFonts w:ascii="Courier New"/>
                <w:b/>
                <w:sz w:val="28"/>
              </w:rPr>
            </w:pPr>
            <w:r>
              <w:rPr>
                <w:rFonts w:ascii="Courier New"/>
                <w:b/>
                <w:sz w:val="28"/>
              </w:rPr>
              <w:t>Silica</w:t>
            </w:r>
          </w:p>
        </w:tc>
        <w:tc>
          <w:tcPr>
            <w:tcW w:w="1085" w:type="dxa"/>
          </w:tcPr>
          <w:p>
            <w:pPr>
              <w:pStyle w:val="TableParagraph"/>
              <w:spacing w:before="6"/>
              <w:ind w:left="107"/>
              <w:rPr>
                <w:rFonts w:ascii="Courier New"/>
                <w:sz w:val="28"/>
              </w:rPr>
            </w:pPr>
            <w:r>
              <w:rPr>
                <w:rFonts w:ascii="Courier New"/>
                <w:sz w:val="28"/>
              </w:rPr>
              <w:t>1460</w:t>
            </w:r>
          </w:p>
        </w:tc>
        <w:tc>
          <w:tcPr>
            <w:tcW w:w="1275" w:type="dxa"/>
          </w:tcPr>
          <w:p>
            <w:pPr>
              <w:pStyle w:val="TableParagraph"/>
              <w:spacing w:before="6"/>
              <w:ind w:left="105"/>
              <w:rPr>
                <w:rFonts w:ascii="Courier New"/>
                <w:sz w:val="28"/>
              </w:rPr>
            </w:pPr>
            <w:r>
              <w:rPr>
                <w:rFonts w:ascii="Courier New"/>
                <w:w w:val="100"/>
                <w:sz w:val="28"/>
              </w:rPr>
              <w:t>X</w:t>
            </w:r>
          </w:p>
        </w:tc>
        <w:tc>
          <w:tcPr>
            <w:tcW w:w="2126" w:type="dxa"/>
          </w:tcPr>
          <w:p>
            <w:pPr>
              <w:pStyle w:val="TableParagraph"/>
              <w:spacing w:before="6"/>
              <w:ind w:left="107"/>
              <w:rPr>
                <w:rFonts w:ascii="Courier New"/>
                <w:sz w:val="28"/>
              </w:rPr>
            </w:pPr>
            <w:r>
              <w:rPr>
                <w:rFonts w:ascii="Courier New"/>
                <w:w w:val="100"/>
                <w:sz w:val="28"/>
              </w:rPr>
              <w:t>X</w:t>
            </w:r>
          </w:p>
        </w:tc>
        <w:tc>
          <w:tcPr>
            <w:tcW w:w="2268" w:type="dxa"/>
          </w:tcPr>
          <w:p>
            <w:pPr>
              <w:pStyle w:val="TableParagraph"/>
              <w:spacing w:before="6"/>
              <w:ind w:left="108"/>
              <w:rPr>
                <w:rFonts w:ascii="Courier New"/>
                <w:sz w:val="28"/>
              </w:rPr>
            </w:pPr>
            <w:r>
              <w:rPr>
                <w:rFonts w:ascii="Courier New"/>
                <w:w w:val="100"/>
                <w:sz w:val="28"/>
              </w:rPr>
              <w:t>X</w:t>
            </w:r>
          </w:p>
        </w:tc>
        <w:tc>
          <w:tcPr>
            <w:tcW w:w="2837" w:type="dxa"/>
          </w:tcPr>
          <w:p>
            <w:pPr>
              <w:pStyle w:val="TableParagraph"/>
              <w:spacing w:before="6"/>
              <w:ind w:left="108"/>
              <w:rPr>
                <w:rFonts w:ascii="Courier New"/>
                <w:sz w:val="28"/>
              </w:rPr>
            </w:pPr>
            <w:r>
              <w:rPr>
                <w:rFonts w:ascii="Courier New"/>
                <w:w w:val="100"/>
                <w:sz w:val="28"/>
              </w:rPr>
              <w:t>X</w:t>
            </w:r>
          </w:p>
        </w:tc>
        <w:tc>
          <w:tcPr>
            <w:tcW w:w="3401" w:type="dxa"/>
          </w:tcPr>
          <w:p>
            <w:pPr>
              <w:pStyle w:val="TableParagraph"/>
              <w:spacing w:before="6"/>
              <w:ind w:left="106"/>
              <w:rPr>
                <w:rFonts w:ascii="Courier New"/>
                <w:sz w:val="28"/>
              </w:rPr>
            </w:pPr>
            <w:r>
              <w:rPr>
                <w:rFonts w:ascii="Courier New"/>
                <w:w w:val="100"/>
                <w:sz w:val="28"/>
              </w:rPr>
              <w:t>X</w:t>
            </w:r>
          </w:p>
        </w:tc>
        <w:tc>
          <w:tcPr>
            <w:tcW w:w="2233" w:type="dxa"/>
          </w:tcPr>
          <w:p>
            <w:pPr>
              <w:pStyle w:val="TableParagraph"/>
              <w:spacing w:before="6"/>
              <w:ind w:left="109"/>
              <w:rPr>
                <w:rFonts w:ascii="Courier New"/>
                <w:sz w:val="28"/>
              </w:rPr>
            </w:pPr>
            <w:r>
              <w:rPr>
                <w:rFonts w:ascii="Courier New"/>
                <w:w w:val="100"/>
                <w:sz w:val="28"/>
              </w:rPr>
              <w:t>X</w:t>
            </w:r>
          </w:p>
        </w:tc>
      </w:tr>
      <w:tr>
        <w:trPr>
          <w:trHeight w:val="930" w:hRule="atLeast"/>
        </w:trPr>
        <w:tc>
          <w:tcPr>
            <w:tcW w:w="2285" w:type="dxa"/>
            <w:shd w:val="clear" w:color="auto" w:fill="00AFEF"/>
          </w:tcPr>
          <w:p>
            <w:pPr>
              <w:pStyle w:val="TableParagraph"/>
              <w:spacing w:line="278" w:lineRule="auto"/>
              <w:ind w:left="107" w:right="467"/>
              <w:rPr>
                <w:rFonts w:ascii="Courier New"/>
                <w:b/>
                <w:sz w:val="28"/>
              </w:rPr>
            </w:pPr>
            <w:r>
              <w:rPr>
                <w:rFonts w:ascii="Courier New"/>
                <w:b/>
                <w:sz w:val="28"/>
              </w:rPr>
              <w:t>Colloidal- Gold</w:t>
            </w:r>
          </w:p>
        </w:tc>
        <w:tc>
          <w:tcPr>
            <w:tcW w:w="1085" w:type="dxa"/>
          </w:tcPr>
          <w:p>
            <w:pPr>
              <w:pStyle w:val="TableParagraph"/>
              <w:spacing w:before="6"/>
              <w:ind w:left="107"/>
              <w:rPr>
                <w:rFonts w:ascii="Courier New"/>
                <w:sz w:val="28"/>
              </w:rPr>
            </w:pPr>
            <w:r>
              <w:rPr>
                <w:rFonts w:ascii="Courier New"/>
                <w:sz w:val="28"/>
              </w:rPr>
              <w:t>642</w:t>
            </w:r>
          </w:p>
        </w:tc>
        <w:tc>
          <w:tcPr>
            <w:tcW w:w="1275" w:type="dxa"/>
          </w:tcPr>
          <w:p>
            <w:pPr>
              <w:pStyle w:val="TableParagraph"/>
              <w:spacing w:before="6"/>
              <w:ind w:left="105"/>
              <w:rPr>
                <w:rFonts w:ascii="Courier New"/>
                <w:sz w:val="28"/>
              </w:rPr>
            </w:pPr>
            <w:r>
              <w:rPr>
                <w:rFonts w:ascii="Courier New"/>
                <w:w w:val="100"/>
                <w:sz w:val="28"/>
              </w:rPr>
              <w:t>x</w:t>
            </w:r>
          </w:p>
        </w:tc>
        <w:tc>
          <w:tcPr>
            <w:tcW w:w="2126" w:type="dxa"/>
          </w:tcPr>
          <w:p>
            <w:pPr>
              <w:pStyle w:val="TableParagraph"/>
              <w:spacing w:before="6"/>
              <w:ind w:left="107"/>
              <w:rPr>
                <w:rFonts w:ascii="Courier New"/>
                <w:sz w:val="28"/>
              </w:rPr>
            </w:pPr>
            <w:r>
              <w:rPr>
                <w:rFonts w:ascii="Courier New"/>
                <w:w w:val="100"/>
                <w:sz w:val="28"/>
              </w:rPr>
              <w:t>x</w:t>
            </w:r>
          </w:p>
        </w:tc>
        <w:tc>
          <w:tcPr>
            <w:tcW w:w="2268" w:type="dxa"/>
          </w:tcPr>
          <w:p>
            <w:pPr>
              <w:pStyle w:val="TableParagraph"/>
              <w:spacing w:before="6"/>
              <w:ind w:left="108"/>
              <w:rPr>
                <w:rFonts w:ascii="Courier New"/>
                <w:sz w:val="28"/>
              </w:rPr>
            </w:pPr>
            <w:r>
              <w:rPr>
                <w:rFonts w:ascii="Courier New"/>
                <w:w w:val="100"/>
                <w:sz w:val="28"/>
              </w:rPr>
              <w:t>x</w:t>
            </w:r>
          </w:p>
        </w:tc>
        <w:tc>
          <w:tcPr>
            <w:tcW w:w="2837" w:type="dxa"/>
          </w:tcPr>
          <w:p>
            <w:pPr>
              <w:pStyle w:val="TableParagraph"/>
              <w:rPr>
                <w:rFonts w:ascii="Times New Roman"/>
                <w:sz w:val="28"/>
              </w:rPr>
            </w:pPr>
          </w:p>
        </w:tc>
        <w:tc>
          <w:tcPr>
            <w:tcW w:w="3401" w:type="dxa"/>
          </w:tcPr>
          <w:p>
            <w:pPr>
              <w:pStyle w:val="TableParagraph"/>
              <w:spacing w:before="6"/>
              <w:ind w:left="106"/>
              <w:rPr>
                <w:rFonts w:ascii="Courier New"/>
                <w:sz w:val="28"/>
              </w:rPr>
            </w:pPr>
            <w:r>
              <w:rPr>
                <w:rFonts w:ascii="Courier New"/>
                <w:w w:val="100"/>
                <w:sz w:val="28"/>
              </w:rPr>
              <w:t>x</w:t>
            </w:r>
          </w:p>
        </w:tc>
        <w:tc>
          <w:tcPr>
            <w:tcW w:w="2233" w:type="dxa"/>
          </w:tcPr>
          <w:p>
            <w:pPr>
              <w:pStyle w:val="TableParagraph"/>
              <w:spacing w:before="6"/>
              <w:ind w:left="109"/>
              <w:rPr>
                <w:rFonts w:ascii="Courier New"/>
                <w:sz w:val="28"/>
              </w:rPr>
            </w:pPr>
            <w:r>
              <w:rPr>
                <w:rFonts w:ascii="Courier New"/>
                <w:w w:val="100"/>
                <w:sz w:val="28"/>
              </w:rPr>
              <w:t>x</w:t>
            </w:r>
          </w:p>
        </w:tc>
      </w:tr>
      <w:tr>
        <w:trPr>
          <w:trHeight w:val="621" w:hRule="atLeast"/>
        </w:trPr>
        <w:tc>
          <w:tcPr>
            <w:tcW w:w="2285" w:type="dxa"/>
            <w:shd w:val="clear" w:color="auto" w:fill="00AFEF"/>
          </w:tcPr>
          <w:p>
            <w:pPr>
              <w:pStyle w:val="TableParagraph"/>
              <w:spacing w:line="315" w:lineRule="exact"/>
              <w:ind w:left="107"/>
              <w:rPr>
                <w:rFonts w:ascii="Courier New"/>
                <w:b/>
                <w:sz w:val="28"/>
              </w:rPr>
            </w:pPr>
            <w:r>
              <w:rPr>
                <w:rFonts w:ascii="Courier New"/>
                <w:b/>
                <w:sz w:val="28"/>
              </w:rPr>
              <w:t>Vitamin C</w:t>
            </w:r>
          </w:p>
        </w:tc>
        <w:tc>
          <w:tcPr>
            <w:tcW w:w="1085" w:type="dxa"/>
          </w:tcPr>
          <w:p>
            <w:pPr>
              <w:pStyle w:val="TableParagraph"/>
              <w:spacing w:before="7"/>
              <w:ind w:left="107"/>
              <w:rPr>
                <w:rFonts w:ascii="Courier New"/>
                <w:sz w:val="28"/>
              </w:rPr>
            </w:pPr>
            <w:r>
              <w:rPr>
                <w:rFonts w:ascii="Courier New"/>
                <w:sz w:val="28"/>
              </w:rPr>
              <w:t>1720</w:t>
            </w:r>
          </w:p>
        </w:tc>
        <w:tc>
          <w:tcPr>
            <w:tcW w:w="1275" w:type="dxa"/>
          </w:tcPr>
          <w:p>
            <w:pPr>
              <w:pStyle w:val="TableParagraph"/>
              <w:rPr>
                <w:rFonts w:ascii="Times New Roman"/>
                <w:sz w:val="28"/>
              </w:rPr>
            </w:pPr>
          </w:p>
        </w:tc>
        <w:tc>
          <w:tcPr>
            <w:tcW w:w="2126" w:type="dxa"/>
          </w:tcPr>
          <w:p>
            <w:pPr>
              <w:pStyle w:val="TableParagraph"/>
              <w:rPr>
                <w:rFonts w:ascii="Times New Roman"/>
                <w:sz w:val="28"/>
              </w:rPr>
            </w:pPr>
          </w:p>
        </w:tc>
        <w:tc>
          <w:tcPr>
            <w:tcW w:w="2268" w:type="dxa"/>
          </w:tcPr>
          <w:p>
            <w:pPr>
              <w:pStyle w:val="TableParagraph"/>
              <w:spacing w:before="7"/>
              <w:ind w:left="108"/>
              <w:rPr>
                <w:rFonts w:ascii="Courier New"/>
                <w:sz w:val="28"/>
              </w:rPr>
            </w:pPr>
            <w:r>
              <w:rPr>
                <w:rFonts w:ascii="Courier New"/>
                <w:w w:val="100"/>
                <w:sz w:val="28"/>
              </w:rPr>
              <w:t>X</w:t>
            </w:r>
          </w:p>
        </w:tc>
        <w:tc>
          <w:tcPr>
            <w:tcW w:w="2837" w:type="dxa"/>
          </w:tcPr>
          <w:p>
            <w:pPr>
              <w:pStyle w:val="TableParagraph"/>
              <w:spacing w:before="7"/>
              <w:ind w:left="108"/>
              <w:rPr>
                <w:rFonts w:ascii="Courier New"/>
                <w:sz w:val="28"/>
              </w:rPr>
            </w:pPr>
            <w:r>
              <w:rPr>
                <w:rFonts w:ascii="Courier New"/>
                <w:w w:val="100"/>
                <w:sz w:val="28"/>
              </w:rPr>
              <w:t>X</w:t>
            </w:r>
          </w:p>
        </w:tc>
        <w:tc>
          <w:tcPr>
            <w:tcW w:w="3401" w:type="dxa"/>
          </w:tcPr>
          <w:p>
            <w:pPr>
              <w:pStyle w:val="TableParagraph"/>
              <w:spacing w:before="7"/>
              <w:ind w:left="106"/>
              <w:rPr>
                <w:rFonts w:ascii="Courier New"/>
                <w:sz w:val="28"/>
              </w:rPr>
            </w:pPr>
            <w:r>
              <w:rPr>
                <w:rFonts w:ascii="Courier New"/>
                <w:w w:val="100"/>
                <w:sz w:val="28"/>
              </w:rPr>
              <w:t>X</w:t>
            </w:r>
          </w:p>
        </w:tc>
        <w:tc>
          <w:tcPr>
            <w:tcW w:w="2233" w:type="dxa"/>
          </w:tcPr>
          <w:p>
            <w:pPr>
              <w:pStyle w:val="TableParagraph"/>
              <w:rPr>
                <w:rFonts w:ascii="Times New Roman"/>
                <w:sz w:val="28"/>
              </w:rPr>
            </w:pPr>
          </w:p>
        </w:tc>
      </w:tr>
    </w:tbl>
    <w:p>
      <w:pPr>
        <w:spacing w:after="0"/>
        <w:rPr>
          <w:rFonts w:ascii="Times New Roman"/>
          <w:sz w:val="28"/>
        </w:rPr>
        <w:sectPr>
          <w:pgSz w:w="18630" w:h="11910" w:orient="landscape"/>
          <w:pgMar w:header="0" w:footer="404" w:top="840" w:bottom="600" w:left="740" w:right="8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85"/>
        <w:gridCol w:w="1085"/>
        <w:gridCol w:w="1275"/>
        <w:gridCol w:w="2126"/>
        <w:gridCol w:w="2268"/>
        <w:gridCol w:w="2837"/>
        <w:gridCol w:w="3401"/>
        <w:gridCol w:w="2268"/>
      </w:tblGrid>
      <w:tr>
        <w:trPr>
          <w:trHeight w:val="621" w:hRule="atLeast"/>
        </w:trPr>
        <w:tc>
          <w:tcPr>
            <w:tcW w:w="2285" w:type="dxa"/>
            <w:shd w:val="clear" w:color="auto" w:fill="00AFEF"/>
          </w:tcPr>
          <w:p>
            <w:pPr>
              <w:pStyle w:val="TableParagraph"/>
              <w:spacing w:line="317" w:lineRule="exact"/>
              <w:ind w:left="107"/>
              <w:rPr>
                <w:rFonts w:ascii="Courier New"/>
                <w:b/>
                <w:sz w:val="28"/>
              </w:rPr>
            </w:pPr>
            <w:r>
              <w:rPr>
                <w:rFonts w:ascii="Courier New"/>
                <w:b/>
                <w:sz w:val="28"/>
              </w:rPr>
              <w:t>(Camu Camu)</w:t>
            </w:r>
          </w:p>
        </w:tc>
        <w:tc>
          <w:tcPr>
            <w:tcW w:w="1085" w:type="dxa"/>
          </w:tcPr>
          <w:p>
            <w:pPr>
              <w:pStyle w:val="TableParagraph"/>
              <w:rPr>
                <w:rFonts w:ascii="Times New Roman"/>
                <w:sz w:val="28"/>
              </w:rPr>
            </w:pPr>
          </w:p>
        </w:tc>
        <w:tc>
          <w:tcPr>
            <w:tcW w:w="1275" w:type="dxa"/>
          </w:tcPr>
          <w:p>
            <w:pPr>
              <w:pStyle w:val="TableParagraph"/>
              <w:rPr>
                <w:rFonts w:ascii="Times New Roman"/>
                <w:sz w:val="28"/>
              </w:rPr>
            </w:pPr>
          </w:p>
        </w:tc>
        <w:tc>
          <w:tcPr>
            <w:tcW w:w="2126" w:type="dxa"/>
          </w:tcPr>
          <w:p>
            <w:pPr>
              <w:pStyle w:val="TableParagraph"/>
              <w:rPr>
                <w:rFonts w:ascii="Times New Roman"/>
                <w:sz w:val="28"/>
              </w:rPr>
            </w:pPr>
          </w:p>
        </w:tc>
        <w:tc>
          <w:tcPr>
            <w:tcW w:w="2268" w:type="dxa"/>
          </w:tcPr>
          <w:p>
            <w:pPr>
              <w:pStyle w:val="TableParagraph"/>
              <w:rPr>
                <w:rFonts w:ascii="Times New Roman"/>
                <w:sz w:val="28"/>
              </w:rPr>
            </w:pPr>
          </w:p>
        </w:tc>
        <w:tc>
          <w:tcPr>
            <w:tcW w:w="2837" w:type="dxa"/>
          </w:tcPr>
          <w:p>
            <w:pPr>
              <w:pStyle w:val="TableParagraph"/>
              <w:rPr>
                <w:rFonts w:ascii="Times New Roman"/>
                <w:sz w:val="28"/>
              </w:rPr>
            </w:pPr>
          </w:p>
        </w:tc>
        <w:tc>
          <w:tcPr>
            <w:tcW w:w="3401" w:type="dxa"/>
          </w:tcPr>
          <w:p>
            <w:pPr>
              <w:pStyle w:val="TableParagraph"/>
              <w:rPr>
                <w:rFonts w:ascii="Times New Roman"/>
                <w:sz w:val="28"/>
              </w:rPr>
            </w:pPr>
          </w:p>
        </w:tc>
        <w:tc>
          <w:tcPr>
            <w:tcW w:w="2268" w:type="dxa"/>
          </w:tcPr>
          <w:p>
            <w:pPr>
              <w:pStyle w:val="TableParagraph"/>
              <w:rPr>
                <w:rFonts w:ascii="Times New Roman"/>
                <w:sz w:val="28"/>
              </w:rPr>
            </w:pPr>
          </w:p>
        </w:tc>
      </w:tr>
      <w:tr>
        <w:trPr>
          <w:trHeight w:val="563" w:hRule="atLeast"/>
        </w:trPr>
        <w:tc>
          <w:tcPr>
            <w:tcW w:w="2285" w:type="dxa"/>
            <w:shd w:val="clear" w:color="auto" w:fill="00AFEF"/>
          </w:tcPr>
          <w:p>
            <w:pPr>
              <w:pStyle w:val="TableParagraph"/>
              <w:spacing w:line="317" w:lineRule="exact"/>
              <w:ind w:left="107"/>
              <w:rPr>
                <w:rFonts w:ascii="Courier New"/>
                <w:b/>
                <w:sz w:val="28"/>
              </w:rPr>
            </w:pPr>
            <w:r>
              <w:rPr>
                <w:rFonts w:ascii="Courier New"/>
                <w:b/>
                <w:sz w:val="28"/>
              </w:rPr>
              <w:t>Bromelain</w:t>
            </w:r>
          </w:p>
        </w:tc>
        <w:tc>
          <w:tcPr>
            <w:tcW w:w="1085" w:type="dxa"/>
          </w:tcPr>
          <w:p>
            <w:pPr>
              <w:pStyle w:val="TableParagraph"/>
              <w:spacing w:before="6"/>
              <w:ind w:left="107"/>
              <w:rPr>
                <w:rFonts w:ascii="Courier New"/>
                <w:sz w:val="28"/>
              </w:rPr>
            </w:pPr>
            <w:r>
              <w:rPr>
                <w:rFonts w:ascii="Courier New"/>
                <w:sz w:val="28"/>
              </w:rPr>
              <w:t>140</w:t>
            </w:r>
          </w:p>
        </w:tc>
        <w:tc>
          <w:tcPr>
            <w:tcW w:w="1275" w:type="dxa"/>
          </w:tcPr>
          <w:p>
            <w:pPr>
              <w:pStyle w:val="TableParagraph"/>
              <w:spacing w:before="6"/>
              <w:ind w:left="105"/>
              <w:rPr>
                <w:rFonts w:ascii="Courier New"/>
                <w:sz w:val="28"/>
              </w:rPr>
            </w:pPr>
            <w:r>
              <w:rPr>
                <w:rFonts w:ascii="Courier New"/>
                <w:w w:val="100"/>
                <w:sz w:val="28"/>
              </w:rPr>
              <w:t>X</w:t>
            </w:r>
          </w:p>
        </w:tc>
        <w:tc>
          <w:tcPr>
            <w:tcW w:w="2126" w:type="dxa"/>
          </w:tcPr>
          <w:p>
            <w:pPr>
              <w:pStyle w:val="TableParagraph"/>
              <w:spacing w:before="6"/>
              <w:ind w:left="107"/>
              <w:rPr>
                <w:rFonts w:ascii="Courier New"/>
                <w:sz w:val="28"/>
              </w:rPr>
            </w:pPr>
            <w:r>
              <w:rPr>
                <w:rFonts w:ascii="Courier New"/>
                <w:w w:val="100"/>
                <w:sz w:val="28"/>
              </w:rPr>
              <w:t>X</w:t>
            </w:r>
          </w:p>
        </w:tc>
        <w:tc>
          <w:tcPr>
            <w:tcW w:w="2268" w:type="dxa"/>
          </w:tcPr>
          <w:p>
            <w:pPr>
              <w:pStyle w:val="TableParagraph"/>
              <w:spacing w:before="6"/>
              <w:ind w:left="108"/>
              <w:rPr>
                <w:rFonts w:ascii="Courier New"/>
                <w:sz w:val="28"/>
              </w:rPr>
            </w:pPr>
            <w:r>
              <w:rPr>
                <w:rFonts w:ascii="Courier New"/>
                <w:w w:val="100"/>
                <w:sz w:val="28"/>
              </w:rPr>
              <w:t>X</w:t>
            </w:r>
          </w:p>
        </w:tc>
        <w:tc>
          <w:tcPr>
            <w:tcW w:w="2837" w:type="dxa"/>
          </w:tcPr>
          <w:p>
            <w:pPr>
              <w:pStyle w:val="TableParagraph"/>
              <w:rPr>
                <w:rFonts w:ascii="Times New Roman"/>
                <w:sz w:val="28"/>
              </w:rPr>
            </w:pPr>
          </w:p>
        </w:tc>
        <w:tc>
          <w:tcPr>
            <w:tcW w:w="3401" w:type="dxa"/>
          </w:tcPr>
          <w:p>
            <w:pPr>
              <w:pStyle w:val="TableParagraph"/>
              <w:rPr>
                <w:rFonts w:ascii="Times New Roman"/>
                <w:sz w:val="28"/>
              </w:rPr>
            </w:pPr>
          </w:p>
        </w:tc>
        <w:tc>
          <w:tcPr>
            <w:tcW w:w="2268" w:type="dxa"/>
          </w:tcPr>
          <w:p>
            <w:pPr>
              <w:pStyle w:val="TableParagraph"/>
              <w:spacing w:before="6"/>
              <w:ind w:left="109"/>
              <w:rPr>
                <w:rFonts w:ascii="Courier New"/>
                <w:sz w:val="28"/>
              </w:rPr>
            </w:pPr>
            <w:r>
              <w:rPr>
                <w:rFonts w:ascii="Courier New"/>
                <w:w w:val="100"/>
                <w:sz w:val="28"/>
              </w:rPr>
              <w:t>X</w:t>
            </w:r>
          </w:p>
        </w:tc>
      </w:tr>
      <w:tr>
        <w:trPr>
          <w:trHeight w:val="930" w:hRule="atLeast"/>
        </w:trPr>
        <w:tc>
          <w:tcPr>
            <w:tcW w:w="2285" w:type="dxa"/>
            <w:shd w:val="clear" w:color="auto" w:fill="00AFEF"/>
          </w:tcPr>
          <w:p>
            <w:pPr>
              <w:pStyle w:val="TableParagraph"/>
              <w:spacing w:line="278" w:lineRule="auto"/>
              <w:ind w:left="107" w:right="299"/>
              <w:rPr>
                <w:rFonts w:ascii="Courier New"/>
                <w:b/>
                <w:sz w:val="28"/>
              </w:rPr>
            </w:pPr>
            <w:r>
              <w:rPr>
                <w:rFonts w:ascii="Courier New"/>
                <w:b/>
                <w:sz w:val="28"/>
              </w:rPr>
              <w:t>Aronia ber- ries</w:t>
            </w:r>
          </w:p>
        </w:tc>
        <w:tc>
          <w:tcPr>
            <w:tcW w:w="1085" w:type="dxa"/>
          </w:tcPr>
          <w:p>
            <w:pPr>
              <w:pStyle w:val="TableParagraph"/>
              <w:spacing w:before="9"/>
              <w:ind w:left="107"/>
              <w:rPr>
                <w:rFonts w:ascii="Courier New"/>
                <w:sz w:val="28"/>
              </w:rPr>
            </w:pPr>
            <w:r>
              <w:rPr>
                <w:rFonts w:ascii="Courier New"/>
                <w:sz w:val="28"/>
              </w:rPr>
              <w:t>173</w:t>
            </w:r>
          </w:p>
        </w:tc>
        <w:tc>
          <w:tcPr>
            <w:tcW w:w="1275" w:type="dxa"/>
          </w:tcPr>
          <w:p>
            <w:pPr>
              <w:pStyle w:val="TableParagraph"/>
              <w:spacing w:before="9"/>
              <w:ind w:left="105"/>
              <w:rPr>
                <w:rFonts w:ascii="Courier New"/>
                <w:sz w:val="28"/>
              </w:rPr>
            </w:pPr>
            <w:r>
              <w:rPr>
                <w:rFonts w:ascii="Courier New"/>
                <w:w w:val="100"/>
                <w:sz w:val="28"/>
              </w:rPr>
              <w:t>X</w:t>
            </w:r>
          </w:p>
        </w:tc>
        <w:tc>
          <w:tcPr>
            <w:tcW w:w="2126" w:type="dxa"/>
          </w:tcPr>
          <w:p>
            <w:pPr>
              <w:pStyle w:val="TableParagraph"/>
              <w:spacing w:before="9"/>
              <w:ind w:left="107"/>
              <w:rPr>
                <w:rFonts w:ascii="Courier New"/>
                <w:sz w:val="28"/>
              </w:rPr>
            </w:pPr>
            <w:r>
              <w:rPr>
                <w:rFonts w:ascii="Courier New"/>
                <w:w w:val="100"/>
                <w:sz w:val="28"/>
              </w:rPr>
              <w:t>X</w:t>
            </w:r>
          </w:p>
        </w:tc>
        <w:tc>
          <w:tcPr>
            <w:tcW w:w="2268" w:type="dxa"/>
          </w:tcPr>
          <w:p>
            <w:pPr>
              <w:pStyle w:val="TableParagraph"/>
              <w:spacing w:before="9"/>
              <w:ind w:left="108"/>
              <w:rPr>
                <w:rFonts w:ascii="Courier New"/>
                <w:sz w:val="28"/>
              </w:rPr>
            </w:pPr>
            <w:r>
              <w:rPr>
                <w:rFonts w:ascii="Courier New"/>
                <w:w w:val="100"/>
                <w:sz w:val="28"/>
              </w:rPr>
              <w:t>X</w:t>
            </w:r>
          </w:p>
        </w:tc>
        <w:tc>
          <w:tcPr>
            <w:tcW w:w="2837" w:type="dxa"/>
          </w:tcPr>
          <w:p>
            <w:pPr>
              <w:pStyle w:val="TableParagraph"/>
              <w:rPr>
                <w:rFonts w:ascii="Times New Roman"/>
                <w:sz w:val="28"/>
              </w:rPr>
            </w:pPr>
          </w:p>
        </w:tc>
        <w:tc>
          <w:tcPr>
            <w:tcW w:w="3401" w:type="dxa"/>
          </w:tcPr>
          <w:p>
            <w:pPr>
              <w:pStyle w:val="TableParagraph"/>
              <w:rPr>
                <w:rFonts w:ascii="Times New Roman"/>
                <w:sz w:val="28"/>
              </w:rPr>
            </w:pPr>
          </w:p>
        </w:tc>
        <w:tc>
          <w:tcPr>
            <w:tcW w:w="2268" w:type="dxa"/>
          </w:tcPr>
          <w:p>
            <w:pPr>
              <w:pStyle w:val="TableParagraph"/>
              <w:rPr>
                <w:rFonts w:ascii="Times New Roman"/>
                <w:sz w:val="28"/>
              </w:rPr>
            </w:pPr>
          </w:p>
        </w:tc>
      </w:tr>
      <w:tr>
        <w:trPr>
          <w:trHeight w:val="563" w:hRule="atLeast"/>
        </w:trPr>
        <w:tc>
          <w:tcPr>
            <w:tcW w:w="2285" w:type="dxa"/>
            <w:shd w:val="clear" w:color="auto" w:fill="00AFEF"/>
          </w:tcPr>
          <w:p>
            <w:pPr>
              <w:pStyle w:val="TableParagraph"/>
              <w:spacing w:line="317" w:lineRule="exact"/>
              <w:ind w:left="107"/>
              <w:rPr>
                <w:rFonts w:ascii="Courier New"/>
                <w:b/>
                <w:sz w:val="28"/>
              </w:rPr>
            </w:pPr>
            <w:r>
              <w:rPr>
                <w:rFonts w:ascii="Courier New"/>
                <w:b/>
                <w:sz w:val="28"/>
              </w:rPr>
              <w:t>Curcumin</w:t>
            </w:r>
          </w:p>
        </w:tc>
        <w:tc>
          <w:tcPr>
            <w:tcW w:w="1085" w:type="dxa"/>
          </w:tcPr>
          <w:p>
            <w:pPr>
              <w:pStyle w:val="TableParagraph"/>
              <w:spacing w:before="6"/>
              <w:ind w:left="107"/>
              <w:rPr>
                <w:rFonts w:ascii="Courier New"/>
                <w:sz w:val="28"/>
              </w:rPr>
            </w:pPr>
            <w:r>
              <w:rPr>
                <w:rFonts w:ascii="Courier New"/>
                <w:sz w:val="28"/>
              </w:rPr>
              <w:t>328</w:t>
            </w:r>
          </w:p>
        </w:tc>
        <w:tc>
          <w:tcPr>
            <w:tcW w:w="1275" w:type="dxa"/>
          </w:tcPr>
          <w:p>
            <w:pPr>
              <w:pStyle w:val="TableParagraph"/>
              <w:spacing w:before="6"/>
              <w:ind w:left="105"/>
              <w:rPr>
                <w:rFonts w:ascii="Courier New"/>
                <w:sz w:val="28"/>
              </w:rPr>
            </w:pPr>
            <w:r>
              <w:rPr>
                <w:rFonts w:ascii="Courier New"/>
                <w:w w:val="100"/>
                <w:sz w:val="28"/>
              </w:rPr>
              <w:t>X</w:t>
            </w:r>
          </w:p>
        </w:tc>
        <w:tc>
          <w:tcPr>
            <w:tcW w:w="2126" w:type="dxa"/>
          </w:tcPr>
          <w:p>
            <w:pPr>
              <w:pStyle w:val="TableParagraph"/>
              <w:rPr>
                <w:rFonts w:ascii="Times New Roman"/>
                <w:sz w:val="28"/>
              </w:rPr>
            </w:pPr>
          </w:p>
        </w:tc>
        <w:tc>
          <w:tcPr>
            <w:tcW w:w="2268" w:type="dxa"/>
          </w:tcPr>
          <w:p>
            <w:pPr>
              <w:pStyle w:val="TableParagraph"/>
              <w:spacing w:before="6"/>
              <w:ind w:left="108"/>
              <w:rPr>
                <w:rFonts w:ascii="Courier New"/>
                <w:sz w:val="28"/>
              </w:rPr>
            </w:pPr>
            <w:r>
              <w:rPr>
                <w:rFonts w:ascii="Courier New"/>
                <w:w w:val="100"/>
                <w:sz w:val="28"/>
              </w:rPr>
              <w:t>X</w:t>
            </w:r>
          </w:p>
        </w:tc>
        <w:tc>
          <w:tcPr>
            <w:tcW w:w="2837" w:type="dxa"/>
          </w:tcPr>
          <w:p>
            <w:pPr>
              <w:pStyle w:val="TableParagraph"/>
              <w:rPr>
                <w:rFonts w:ascii="Times New Roman"/>
                <w:sz w:val="28"/>
              </w:rPr>
            </w:pPr>
          </w:p>
        </w:tc>
        <w:tc>
          <w:tcPr>
            <w:tcW w:w="3401" w:type="dxa"/>
          </w:tcPr>
          <w:p>
            <w:pPr>
              <w:pStyle w:val="TableParagraph"/>
              <w:rPr>
                <w:rFonts w:ascii="Times New Roman"/>
                <w:sz w:val="28"/>
              </w:rPr>
            </w:pPr>
          </w:p>
        </w:tc>
        <w:tc>
          <w:tcPr>
            <w:tcW w:w="2268" w:type="dxa"/>
          </w:tcPr>
          <w:p>
            <w:pPr>
              <w:pStyle w:val="TableParagraph"/>
              <w:spacing w:before="6"/>
              <w:ind w:left="109"/>
              <w:rPr>
                <w:rFonts w:ascii="Courier New"/>
                <w:sz w:val="28"/>
              </w:rPr>
            </w:pPr>
            <w:r>
              <w:rPr>
                <w:rFonts w:ascii="Courier New"/>
                <w:w w:val="100"/>
                <w:sz w:val="28"/>
              </w:rPr>
              <w:t>X</w:t>
            </w:r>
          </w:p>
        </w:tc>
      </w:tr>
      <w:tr>
        <w:trPr>
          <w:trHeight w:val="566" w:hRule="atLeast"/>
        </w:trPr>
        <w:tc>
          <w:tcPr>
            <w:tcW w:w="2285" w:type="dxa"/>
            <w:shd w:val="clear" w:color="auto" w:fill="00AFEF"/>
          </w:tcPr>
          <w:p>
            <w:pPr>
              <w:pStyle w:val="TableParagraph"/>
              <w:spacing w:before="2"/>
              <w:ind w:left="107"/>
              <w:rPr>
                <w:rFonts w:ascii="Courier New"/>
                <w:b/>
                <w:sz w:val="28"/>
              </w:rPr>
            </w:pPr>
            <w:r>
              <w:rPr>
                <w:rFonts w:ascii="Courier New"/>
                <w:b/>
                <w:sz w:val="28"/>
              </w:rPr>
              <w:t>Gotu Kola</w:t>
            </w:r>
          </w:p>
        </w:tc>
        <w:tc>
          <w:tcPr>
            <w:tcW w:w="1085" w:type="dxa"/>
          </w:tcPr>
          <w:p>
            <w:pPr>
              <w:pStyle w:val="TableParagraph"/>
              <w:spacing w:before="9"/>
              <w:ind w:left="107"/>
              <w:rPr>
                <w:rFonts w:ascii="Courier New"/>
                <w:sz w:val="28"/>
              </w:rPr>
            </w:pPr>
            <w:r>
              <w:rPr>
                <w:rFonts w:ascii="Courier New"/>
                <w:sz w:val="28"/>
              </w:rPr>
              <w:t>473</w:t>
            </w:r>
          </w:p>
        </w:tc>
        <w:tc>
          <w:tcPr>
            <w:tcW w:w="1275" w:type="dxa"/>
          </w:tcPr>
          <w:p>
            <w:pPr>
              <w:pStyle w:val="TableParagraph"/>
              <w:spacing w:before="9"/>
              <w:ind w:left="105"/>
              <w:rPr>
                <w:rFonts w:ascii="Courier New"/>
                <w:sz w:val="28"/>
              </w:rPr>
            </w:pPr>
            <w:r>
              <w:rPr>
                <w:rFonts w:ascii="Courier New"/>
                <w:w w:val="100"/>
                <w:sz w:val="28"/>
              </w:rPr>
              <w:t>X</w:t>
            </w:r>
          </w:p>
        </w:tc>
        <w:tc>
          <w:tcPr>
            <w:tcW w:w="2126" w:type="dxa"/>
          </w:tcPr>
          <w:p>
            <w:pPr>
              <w:pStyle w:val="TableParagraph"/>
              <w:rPr>
                <w:rFonts w:ascii="Times New Roman"/>
                <w:sz w:val="28"/>
              </w:rPr>
            </w:pPr>
          </w:p>
        </w:tc>
        <w:tc>
          <w:tcPr>
            <w:tcW w:w="2268" w:type="dxa"/>
          </w:tcPr>
          <w:p>
            <w:pPr>
              <w:pStyle w:val="TableParagraph"/>
              <w:spacing w:before="9"/>
              <w:ind w:left="108"/>
              <w:rPr>
                <w:rFonts w:ascii="Courier New"/>
                <w:sz w:val="28"/>
              </w:rPr>
            </w:pPr>
            <w:r>
              <w:rPr>
                <w:rFonts w:ascii="Courier New"/>
                <w:w w:val="100"/>
                <w:sz w:val="28"/>
              </w:rPr>
              <w:t>X</w:t>
            </w:r>
          </w:p>
        </w:tc>
        <w:tc>
          <w:tcPr>
            <w:tcW w:w="2837" w:type="dxa"/>
          </w:tcPr>
          <w:p>
            <w:pPr>
              <w:pStyle w:val="TableParagraph"/>
              <w:spacing w:before="9"/>
              <w:ind w:left="108"/>
              <w:rPr>
                <w:rFonts w:ascii="Courier New"/>
                <w:sz w:val="28"/>
              </w:rPr>
            </w:pPr>
            <w:r>
              <w:rPr>
                <w:rFonts w:ascii="Courier New"/>
                <w:w w:val="100"/>
                <w:sz w:val="28"/>
              </w:rPr>
              <w:t>X</w:t>
            </w:r>
          </w:p>
        </w:tc>
        <w:tc>
          <w:tcPr>
            <w:tcW w:w="3401" w:type="dxa"/>
          </w:tcPr>
          <w:p>
            <w:pPr>
              <w:pStyle w:val="TableParagraph"/>
              <w:spacing w:before="9"/>
              <w:ind w:left="106"/>
              <w:rPr>
                <w:rFonts w:ascii="Courier New"/>
                <w:sz w:val="28"/>
              </w:rPr>
            </w:pPr>
            <w:r>
              <w:rPr>
                <w:rFonts w:ascii="Courier New"/>
                <w:w w:val="100"/>
                <w:sz w:val="28"/>
              </w:rPr>
              <w:t>X</w:t>
            </w:r>
          </w:p>
        </w:tc>
        <w:tc>
          <w:tcPr>
            <w:tcW w:w="2268" w:type="dxa"/>
          </w:tcPr>
          <w:p>
            <w:pPr>
              <w:pStyle w:val="TableParagraph"/>
              <w:rPr>
                <w:rFonts w:ascii="Times New Roman"/>
                <w:sz w:val="28"/>
              </w:rPr>
            </w:pPr>
          </w:p>
        </w:tc>
      </w:tr>
      <w:tr>
        <w:trPr>
          <w:trHeight w:val="563" w:hRule="atLeast"/>
        </w:trPr>
        <w:tc>
          <w:tcPr>
            <w:tcW w:w="2285" w:type="dxa"/>
            <w:shd w:val="clear" w:color="auto" w:fill="00AFEF"/>
          </w:tcPr>
          <w:p>
            <w:pPr>
              <w:pStyle w:val="TableParagraph"/>
              <w:spacing w:line="317" w:lineRule="exact"/>
              <w:ind w:left="107"/>
              <w:rPr>
                <w:rFonts w:ascii="Courier New"/>
                <w:b/>
                <w:sz w:val="28"/>
              </w:rPr>
            </w:pPr>
            <w:r>
              <w:rPr>
                <w:rFonts w:ascii="Courier New"/>
                <w:b/>
                <w:sz w:val="28"/>
              </w:rPr>
              <w:t>Kombucha</w:t>
            </w:r>
          </w:p>
        </w:tc>
        <w:tc>
          <w:tcPr>
            <w:tcW w:w="1085" w:type="dxa"/>
          </w:tcPr>
          <w:p>
            <w:pPr>
              <w:pStyle w:val="TableParagraph"/>
              <w:spacing w:before="6"/>
              <w:ind w:left="107"/>
              <w:rPr>
                <w:rFonts w:ascii="Courier New"/>
                <w:sz w:val="28"/>
              </w:rPr>
            </w:pPr>
            <w:r>
              <w:rPr>
                <w:rFonts w:ascii="Courier New"/>
                <w:sz w:val="28"/>
              </w:rPr>
              <w:t>731</w:t>
            </w:r>
          </w:p>
        </w:tc>
        <w:tc>
          <w:tcPr>
            <w:tcW w:w="1275" w:type="dxa"/>
          </w:tcPr>
          <w:p>
            <w:pPr>
              <w:pStyle w:val="TableParagraph"/>
              <w:spacing w:before="6"/>
              <w:ind w:left="105"/>
              <w:rPr>
                <w:rFonts w:ascii="Courier New"/>
                <w:sz w:val="28"/>
              </w:rPr>
            </w:pPr>
            <w:r>
              <w:rPr>
                <w:rFonts w:ascii="Courier New"/>
                <w:w w:val="100"/>
                <w:sz w:val="28"/>
              </w:rPr>
              <w:t>X</w:t>
            </w:r>
          </w:p>
        </w:tc>
        <w:tc>
          <w:tcPr>
            <w:tcW w:w="2126" w:type="dxa"/>
          </w:tcPr>
          <w:p>
            <w:pPr>
              <w:pStyle w:val="TableParagraph"/>
              <w:spacing w:before="6"/>
              <w:ind w:left="107"/>
              <w:rPr>
                <w:rFonts w:ascii="Courier New"/>
                <w:sz w:val="28"/>
              </w:rPr>
            </w:pPr>
            <w:r>
              <w:rPr>
                <w:rFonts w:ascii="Courier New"/>
                <w:w w:val="100"/>
                <w:sz w:val="28"/>
              </w:rPr>
              <w:t>X</w:t>
            </w:r>
          </w:p>
        </w:tc>
        <w:tc>
          <w:tcPr>
            <w:tcW w:w="2268" w:type="dxa"/>
          </w:tcPr>
          <w:p>
            <w:pPr>
              <w:pStyle w:val="TableParagraph"/>
              <w:spacing w:before="6"/>
              <w:ind w:left="108"/>
              <w:rPr>
                <w:rFonts w:ascii="Courier New"/>
                <w:sz w:val="28"/>
              </w:rPr>
            </w:pPr>
            <w:r>
              <w:rPr>
                <w:rFonts w:ascii="Courier New"/>
                <w:w w:val="100"/>
                <w:sz w:val="28"/>
              </w:rPr>
              <w:t>X</w:t>
            </w:r>
          </w:p>
        </w:tc>
        <w:tc>
          <w:tcPr>
            <w:tcW w:w="2837" w:type="dxa"/>
          </w:tcPr>
          <w:p>
            <w:pPr>
              <w:pStyle w:val="TableParagraph"/>
              <w:spacing w:before="6"/>
              <w:ind w:left="108"/>
              <w:rPr>
                <w:rFonts w:ascii="Courier New"/>
                <w:sz w:val="28"/>
              </w:rPr>
            </w:pPr>
            <w:r>
              <w:rPr>
                <w:rFonts w:ascii="Courier New"/>
                <w:w w:val="100"/>
                <w:sz w:val="28"/>
              </w:rPr>
              <w:t>X</w:t>
            </w:r>
          </w:p>
        </w:tc>
        <w:tc>
          <w:tcPr>
            <w:tcW w:w="3401" w:type="dxa"/>
          </w:tcPr>
          <w:p>
            <w:pPr>
              <w:pStyle w:val="TableParagraph"/>
              <w:spacing w:before="6"/>
              <w:ind w:left="106"/>
              <w:rPr>
                <w:rFonts w:ascii="Courier New"/>
                <w:sz w:val="28"/>
              </w:rPr>
            </w:pPr>
            <w:r>
              <w:rPr>
                <w:rFonts w:ascii="Courier New"/>
                <w:w w:val="100"/>
                <w:sz w:val="28"/>
              </w:rPr>
              <w:t>X</w:t>
            </w:r>
          </w:p>
        </w:tc>
        <w:tc>
          <w:tcPr>
            <w:tcW w:w="2268" w:type="dxa"/>
          </w:tcPr>
          <w:p>
            <w:pPr>
              <w:pStyle w:val="TableParagraph"/>
              <w:spacing w:before="6"/>
              <w:ind w:left="109"/>
              <w:rPr>
                <w:rFonts w:ascii="Courier New"/>
                <w:sz w:val="28"/>
              </w:rPr>
            </w:pPr>
            <w:r>
              <w:rPr>
                <w:rFonts w:ascii="Courier New"/>
                <w:w w:val="100"/>
                <w:sz w:val="28"/>
              </w:rPr>
              <w:t>X</w:t>
            </w:r>
          </w:p>
        </w:tc>
      </w:tr>
      <w:tr>
        <w:trPr>
          <w:trHeight w:val="930" w:hRule="atLeast"/>
        </w:trPr>
        <w:tc>
          <w:tcPr>
            <w:tcW w:w="2285" w:type="dxa"/>
            <w:shd w:val="clear" w:color="auto" w:fill="00AFEF"/>
          </w:tcPr>
          <w:p>
            <w:pPr>
              <w:pStyle w:val="TableParagraph"/>
              <w:spacing w:line="278" w:lineRule="auto"/>
              <w:ind w:left="107" w:right="299"/>
              <w:rPr>
                <w:rFonts w:ascii="Courier New"/>
                <w:b/>
                <w:sz w:val="28"/>
              </w:rPr>
            </w:pPr>
            <w:r>
              <w:rPr>
                <w:rFonts w:ascii="Courier New"/>
                <w:b/>
                <w:sz w:val="28"/>
              </w:rPr>
              <w:t>Omega-3 fatty acids</w:t>
            </w:r>
          </w:p>
        </w:tc>
        <w:tc>
          <w:tcPr>
            <w:tcW w:w="1085" w:type="dxa"/>
          </w:tcPr>
          <w:p>
            <w:pPr>
              <w:pStyle w:val="TableParagraph"/>
              <w:spacing w:before="6"/>
              <w:ind w:left="107"/>
              <w:rPr>
                <w:rFonts w:ascii="Courier New"/>
                <w:sz w:val="28"/>
              </w:rPr>
            </w:pPr>
            <w:r>
              <w:rPr>
                <w:rFonts w:ascii="Courier New"/>
                <w:sz w:val="28"/>
              </w:rPr>
              <w:t>1036</w:t>
            </w:r>
          </w:p>
        </w:tc>
        <w:tc>
          <w:tcPr>
            <w:tcW w:w="1275" w:type="dxa"/>
          </w:tcPr>
          <w:p>
            <w:pPr>
              <w:pStyle w:val="TableParagraph"/>
              <w:spacing w:before="6"/>
              <w:ind w:left="105"/>
              <w:rPr>
                <w:rFonts w:ascii="Courier New"/>
                <w:sz w:val="28"/>
              </w:rPr>
            </w:pPr>
            <w:r>
              <w:rPr>
                <w:rFonts w:ascii="Courier New"/>
                <w:w w:val="100"/>
                <w:sz w:val="28"/>
              </w:rPr>
              <w:t>X</w:t>
            </w:r>
          </w:p>
        </w:tc>
        <w:tc>
          <w:tcPr>
            <w:tcW w:w="2126" w:type="dxa"/>
          </w:tcPr>
          <w:p>
            <w:pPr>
              <w:pStyle w:val="TableParagraph"/>
              <w:rPr>
                <w:rFonts w:ascii="Times New Roman"/>
                <w:sz w:val="28"/>
              </w:rPr>
            </w:pPr>
          </w:p>
        </w:tc>
        <w:tc>
          <w:tcPr>
            <w:tcW w:w="2268" w:type="dxa"/>
          </w:tcPr>
          <w:p>
            <w:pPr>
              <w:pStyle w:val="TableParagraph"/>
              <w:spacing w:before="6"/>
              <w:ind w:left="108"/>
              <w:rPr>
                <w:rFonts w:ascii="Courier New"/>
                <w:sz w:val="28"/>
              </w:rPr>
            </w:pPr>
            <w:r>
              <w:rPr>
                <w:rFonts w:ascii="Courier New"/>
                <w:w w:val="100"/>
                <w:sz w:val="28"/>
              </w:rPr>
              <w:t>X</w:t>
            </w:r>
          </w:p>
        </w:tc>
        <w:tc>
          <w:tcPr>
            <w:tcW w:w="2837" w:type="dxa"/>
          </w:tcPr>
          <w:p>
            <w:pPr>
              <w:pStyle w:val="TableParagraph"/>
              <w:rPr>
                <w:rFonts w:ascii="Times New Roman"/>
                <w:sz w:val="28"/>
              </w:rPr>
            </w:pPr>
          </w:p>
        </w:tc>
        <w:tc>
          <w:tcPr>
            <w:tcW w:w="3401" w:type="dxa"/>
          </w:tcPr>
          <w:p>
            <w:pPr>
              <w:pStyle w:val="TableParagraph"/>
              <w:rPr>
                <w:rFonts w:ascii="Times New Roman"/>
                <w:sz w:val="28"/>
              </w:rPr>
            </w:pPr>
          </w:p>
        </w:tc>
        <w:tc>
          <w:tcPr>
            <w:tcW w:w="2268" w:type="dxa"/>
          </w:tcPr>
          <w:p>
            <w:pPr>
              <w:pStyle w:val="TableParagraph"/>
              <w:spacing w:before="6"/>
              <w:ind w:left="109"/>
              <w:rPr>
                <w:rFonts w:ascii="Courier New"/>
                <w:sz w:val="28"/>
              </w:rPr>
            </w:pPr>
            <w:r>
              <w:rPr>
                <w:rFonts w:ascii="Courier New"/>
                <w:w w:val="100"/>
                <w:sz w:val="28"/>
              </w:rPr>
              <w:t>X</w:t>
            </w:r>
          </w:p>
        </w:tc>
      </w:tr>
      <w:tr>
        <w:trPr>
          <w:trHeight w:val="563" w:hRule="atLeast"/>
        </w:trPr>
        <w:tc>
          <w:tcPr>
            <w:tcW w:w="2285" w:type="dxa"/>
            <w:shd w:val="clear" w:color="auto" w:fill="00AFEF"/>
          </w:tcPr>
          <w:p>
            <w:pPr>
              <w:pStyle w:val="TableParagraph"/>
              <w:spacing w:line="317" w:lineRule="exact"/>
              <w:ind w:left="107"/>
              <w:rPr>
                <w:rFonts w:ascii="Courier New"/>
                <w:b/>
                <w:sz w:val="28"/>
              </w:rPr>
            </w:pPr>
            <w:r>
              <w:rPr>
                <w:rFonts w:ascii="Courier New"/>
                <w:b/>
                <w:sz w:val="28"/>
              </w:rPr>
              <w:t>Pomegranate</w:t>
            </w:r>
          </w:p>
        </w:tc>
        <w:tc>
          <w:tcPr>
            <w:tcW w:w="1085" w:type="dxa"/>
          </w:tcPr>
          <w:p>
            <w:pPr>
              <w:pStyle w:val="TableParagraph"/>
              <w:spacing w:before="6"/>
              <w:ind w:left="107"/>
              <w:rPr>
                <w:rFonts w:ascii="Courier New"/>
                <w:sz w:val="28"/>
              </w:rPr>
            </w:pPr>
            <w:r>
              <w:rPr>
                <w:rFonts w:ascii="Courier New"/>
                <w:sz w:val="28"/>
              </w:rPr>
              <w:t>490</w:t>
            </w:r>
          </w:p>
        </w:tc>
        <w:tc>
          <w:tcPr>
            <w:tcW w:w="1275" w:type="dxa"/>
          </w:tcPr>
          <w:p>
            <w:pPr>
              <w:pStyle w:val="TableParagraph"/>
              <w:spacing w:before="6"/>
              <w:ind w:left="105"/>
              <w:rPr>
                <w:rFonts w:ascii="Courier New"/>
                <w:sz w:val="28"/>
              </w:rPr>
            </w:pPr>
            <w:r>
              <w:rPr>
                <w:rFonts w:ascii="Courier New"/>
                <w:w w:val="100"/>
                <w:sz w:val="28"/>
              </w:rPr>
              <w:t>X</w:t>
            </w:r>
          </w:p>
        </w:tc>
        <w:tc>
          <w:tcPr>
            <w:tcW w:w="2126" w:type="dxa"/>
          </w:tcPr>
          <w:p>
            <w:pPr>
              <w:pStyle w:val="TableParagraph"/>
              <w:rPr>
                <w:rFonts w:ascii="Times New Roman"/>
                <w:sz w:val="28"/>
              </w:rPr>
            </w:pPr>
          </w:p>
        </w:tc>
        <w:tc>
          <w:tcPr>
            <w:tcW w:w="2268" w:type="dxa"/>
          </w:tcPr>
          <w:p>
            <w:pPr>
              <w:pStyle w:val="TableParagraph"/>
              <w:spacing w:before="6"/>
              <w:ind w:left="108"/>
              <w:rPr>
                <w:rFonts w:ascii="Courier New"/>
                <w:sz w:val="28"/>
              </w:rPr>
            </w:pPr>
            <w:r>
              <w:rPr>
                <w:rFonts w:ascii="Courier New"/>
                <w:w w:val="100"/>
                <w:sz w:val="28"/>
              </w:rPr>
              <w:t>X</w:t>
            </w:r>
          </w:p>
        </w:tc>
        <w:tc>
          <w:tcPr>
            <w:tcW w:w="2837" w:type="dxa"/>
          </w:tcPr>
          <w:p>
            <w:pPr>
              <w:pStyle w:val="TableParagraph"/>
              <w:rPr>
                <w:rFonts w:ascii="Times New Roman"/>
                <w:sz w:val="28"/>
              </w:rPr>
            </w:pPr>
          </w:p>
        </w:tc>
        <w:tc>
          <w:tcPr>
            <w:tcW w:w="3401" w:type="dxa"/>
          </w:tcPr>
          <w:p>
            <w:pPr>
              <w:pStyle w:val="TableParagraph"/>
              <w:rPr>
                <w:rFonts w:ascii="Times New Roman"/>
                <w:sz w:val="28"/>
              </w:rPr>
            </w:pPr>
          </w:p>
        </w:tc>
        <w:tc>
          <w:tcPr>
            <w:tcW w:w="2268" w:type="dxa"/>
          </w:tcPr>
          <w:p>
            <w:pPr>
              <w:pStyle w:val="TableParagraph"/>
              <w:spacing w:before="6"/>
              <w:ind w:left="109"/>
              <w:rPr>
                <w:rFonts w:ascii="Courier New"/>
                <w:sz w:val="28"/>
              </w:rPr>
            </w:pPr>
            <w:r>
              <w:rPr>
                <w:rFonts w:ascii="Courier New"/>
                <w:w w:val="100"/>
                <w:sz w:val="28"/>
              </w:rPr>
              <w:t>X</w:t>
            </w:r>
          </w:p>
        </w:tc>
      </w:tr>
      <w:tr>
        <w:trPr>
          <w:trHeight w:val="566" w:hRule="atLeast"/>
        </w:trPr>
        <w:tc>
          <w:tcPr>
            <w:tcW w:w="2285" w:type="dxa"/>
            <w:shd w:val="clear" w:color="auto" w:fill="00AFEF"/>
          </w:tcPr>
          <w:p>
            <w:pPr>
              <w:pStyle w:val="TableParagraph"/>
              <w:spacing w:line="317" w:lineRule="exact"/>
              <w:ind w:left="107"/>
              <w:rPr>
                <w:rFonts w:ascii="Courier New"/>
                <w:b/>
                <w:sz w:val="28"/>
              </w:rPr>
            </w:pPr>
            <w:r>
              <w:rPr>
                <w:rFonts w:ascii="Courier New"/>
                <w:b/>
                <w:sz w:val="28"/>
              </w:rPr>
              <w:t>OPC</w:t>
            </w:r>
          </w:p>
        </w:tc>
        <w:tc>
          <w:tcPr>
            <w:tcW w:w="1085" w:type="dxa"/>
          </w:tcPr>
          <w:p>
            <w:pPr>
              <w:pStyle w:val="TableParagraph"/>
              <w:spacing w:before="6"/>
              <w:ind w:left="107"/>
              <w:rPr>
                <w:rFonts w:ascii="Courier New"/>
                <w:sz w:val="28"/>
              </w:rPr>
            </w:pPr>
            <w:r>
              <w:rPr>
                <w:rFonts w:ascii="Courier New"/>
                <w:sz w:val="28"/>
              </w:rPr>
              <w:t>1094</w:t>
            </w:r>
          </w:p>
        </w:tc>
        <w:tc>
          <w:tcPr>
            <w:tcW w:w="1275" w:type="dxa"/>
          </w:tcPr>
          <w:p>
            <w:pPr>
              <w:pStyle w:val="TableParagraph"/>
              <w:spacing w:before="6"/>
              <w:ind w:left="105"/>
              <w:rPr>
                <w:rFonts w:ascii="Courier New"/>
                <w:sz w:val="28"/>
              </w:rPr>
            </w:pPr>
            <w:r>
              <w:rPr>
                <w:rFonts w:ascii="Courier New"/>
                <w:w w:val="100"/>
                <w:sz w:val="28"/>
              </w:rPr>
              <w:t>X</w:t>
            </w:r>
          </w:p>
        </w:tc>
        <w:tc>
          <w:tcPr>
            <w:tcW w:w="2126" w:type="dxa"/>
          </w:tcPr>
          <w:p>
            <w:pPr>
              <w:pStyle w:val="TableParagraph"/>
              <w:spacing w:before="6"/>
              <w:ind w:left="107"/>
              <w:rPr>
                <w:rFonts w:ascii="Courier New"/>
                <w:sz w:val="28"/>
              </w:rPr>
            </w:pPr>
            <w:r>
              <w:rPr>
                <w:rFonts w:ascii="Courier New"/>
                <w:w w:val="100"/>
                <w:sz w:val="28"/>
              </w:rPr>
              <w:t>X</w:t>
            </w:r>
          </w:p>
        </w:tc>
        <w:tc>
          <w:tcPr>
            <w:tcW w:w="2268" w:type="dxa"/>
          </w:tcPr>
          <w:p>
            <w:pPr>
              <w:pStyle w:val="TableParagraph"/>
              <w:spacing w:before="6"/>
              <w:ind w:left="108"/>
              <w:rPr>
                <w:rFonts w:ascii="Courier New"/>
                <w:sz w:val="28"/>
              </w:rPr>
            </w:pPr>
            <w:r>
              <w:rPr>
                <w:rFonts w:ascii="Courier New"/>
                <w:w w:val="100"/>
                <w:sz w:val="28"/>
              </w:rPr>
              <w:t>X</w:t>
            </w:r>
          </w:p>
        </w:tc>
        <w:tc>
          <w:tcPr>
            <w:tcW w:w="2837" w:type="dxa"/>
          </w:tcPr>
          <w:p>
            <w:pPr>
              <w:pStyle w:val="TableParagraph"/>
              <w:rPr>
                <w:rFonts w:ascii="Times New Roman"/>
                <w:sz w:val="28"/>
              </w:rPr>
            </w:pPr>
          </w:p>
        </w:tc>
        <w:tc>
          <w:tcPr>
            <w:tcW w:w="3401" w:type="dxa"/>
          </w:tcPr>
          <w:p>
            <w:pPr>
              <w:pStyle w:val="TableParagraph"/>
              <w:rPr>
                <w:rFonts w:ascii="Times New Roman"/>
                <w:sz w:val="28"/>
              </w:rPr>
            </w:pPr>
          </w:p>
        </w:tc>
        <w:tc>
          <w:tcPr>
            <w:tcW w:w="2268" w:type="dxa"/>
          </w:tcPr>
          <w:p>
            <w:pPr>
              <w:pStyle w:val="TableParagraph"/>
              <w:rPr>
                <w:rFonts w:ascii="Times New Roman"/>
                <w:sz w:val="28"/>
              </w:rPr>
            </w:pPr>
          </w:p>
        </w:tc>
      </w:tr>
      <w:tr>
        <w:trPr>
          <w:trHeight w:val="563" w:hRule="atLeast"/>
        </w:trPr>
        <w:tc>
          <w:tcPr>
            <w:tcW w:w="2285" w:type="dxa"/>
            <w:shd w:val="clear" w:color="auto" w:fill="00AFEF"/>
          </w:tcPr>
          <w:p>
            <w:pPr>
              <w:pStyle w:val="TableParagraph"/>
              <w:spacing w:line="317" w:lineRule="exact"/>
              <w:ind w:left="107"/>
              <w:rPr>
                <w:rFonts w:ascii="Courier New"/>
                <w:b/>
                <w:sz w:val="28"/>
              </w:rPr>
            </w:pPr>
            <w:r>
              <w:rPr>
                <w:rFonts w:ascii="Courier New"/>
                <w:b/>
                <w:sz w:val="28"/>
              </w:rPr>
              <w:t>Papain</w:t>
            </w:r>
          </w:p>
        </w:tc>
        <w:tc>
          <w:tcPr>
            <w:tcW w:w="1085" w:type="dxa"/>
          </w:tcPr>
          <w:p>
            <w:pPr>
              <w:pStyle w:val="TableParagraph"/>
              <w:spacing w:before="6"/>
              <w:ind w:left="107"/>
              <w:rPr>
                <w:rFonts w:ascii="Courier New"/>
                <w:sz w:val="28"/>
              </w:rPr>
            </w:pPr>
            <w:r>
              <w:rPr>
                <w:rFonts w:ascii="Courier New"/>
                <w:sz w:val="28"/>
              </w:rPr>
              <w:t>1188</w:t>
            </w:r>
          </w:p>
        </w:tc>
        <w:tc>
          <w:tcPr>
            <w:tcW w:w="1275" w:type="dxa"/>
          </w:tcPr>
          <w:p>
            <w:pPr>
              <w:pStyle w:val="TableParagraph"/>
              <w:rPr>
                <w:rFonts w:ascii="Times New Roman"/>
                <w:sz w:val="28"/>
              </w:rPr>
            </w:pPr>
          </w:p>
        </w:tc>
        <w:tc>
          <w:tcPr>
            <w:tcW w:w="2126" w:type="dxa"/>
          </w:tcPr>
          <w:p>
            <w:pPr>
              <w:pStyle w:val="TableParagraph"/>
              <w:rPr>
                <w:rFonts w:ascii="Times New Roman"/>
                <w:sz w:val="28"/>
              </w:rPr>
            </w:pPr>
          </w:p>
        </w:tc>
        <w:tc>
          <w:tcPr>
            <w:tcW w:w="2268" w:type="dxa"/>
          </w:tcPr>
          <w:p>
            <w:pPr>
              <w:pStyle w:val="TableParagraph"/>
              <w:rPr>
                <w:rFonts w:ascii="Times New Roman"/>
                <w:sz w:val="28"/>
              </w:rPr>
            </w:pPr>
          </w:p>
        </w:tc>
        <w:tc>
          <w:tcPr>
            <w:tcW w:w="2837" w:type="dxa"/>
          </w:tcPr>
          <w:p>
            <w:pPr>
              <w:pStyle w:val="TableParagraph"/>
              <w:spacing w:before="6"/>
              <w:ind w:left="108"/>
              <w:rPr>
                <w:rFonts w:ascii="Courier New"/>
                <w:sz w:val="28"/>
              </w:rPr>
            </w:pPr>
            <w:r>
              <w:rPr>
                <w:rFonts w:ascii="Courier New"/>
                <w:w w:val="100"/>
                <w:sz w:val="28"/>
              </w:rPr>
              <w:t>X</w:t>
            </w:r>
          </w:p>
        </w:tc>
        <w:tc>
          <w:tcPr>
            <w:tcW w:w="3401" w:type="dxa"/>
          </w:tcPr>
          <w:p>
            <w:pPr>
              <w:pStyle w:val="TableParagraph"/>
              <w:rPr>
                <w:rFonts w:ascii="Times New Roman"/>
                <w:sz w:val="28"/>
              </w:rPr>
            </w:pPr>
          </w:p>
        </w:tc>
        <w:tc>
          <w:tcPr>
            <w:tcW w:w="2268" w:type="dxa"/>
          </w:tcPr>
          <w:p>
            <w:pPr>
              <w:pStyle w:val="TableParagraph"/>
              <w:spacing w:before="6"/>
              <w:ind w:left="109"/>
              <w:rPr>
                <w:rFonts w:ascii="Courier New"/>
                <w:sz w:val="28"/>
              </w:rPr>
            </w:pPr>
            <w:r>
              <w:rPr>
                <w:rFonts w:ascii="Courier New"/>
                <w:w w:val="100"/>
                <w:sz w:val="28"/>
              </w:rPr>
              <w:t>X</w:t>
            </w:r>
          </w:p>
        </w:tc>
      </w:tr>
      <w:tr>
        <w:trPr>
          <w:trHeight w:val="565" w:hRule="atLeast"/>
        </w:trPr>
        <w:tc>
          <w:tcPr>
            <w:tcW w:w="2285" w:type="dxa"/>
            <w:shd w:val="clear" w:color="auto" w:fill="00AFEF"/>
          </w:tcPr>
          <w:p>
            <w:pPr>
              <w:pStyle w:val="TableParagraph"/>
              <w:spacing w:line="317" w:lineRule="exact"/>
              <w:ind w:left="107"/>
              <w:rPr>
                <w:rFonts w:ascii="Courier New"/>
                <w:b/>
                <w:sz w:val="28"/>
              </w:rPr>
            </w:pPr>
            <w:r>
              <w:rPr>
                <w:rFonts w:ascii="Courier New"/>
                <w:b/>
                <w:sz w:val="28"/>
              </w:rPr>
              <w:t>Propolis</w:t>
            </w:r>
          </w:p>
        </w:tc>
        <w:tc>
          <w:tcPr>
            <w:tcW w:w="1085" w:type="dxa"/>
          </w:tcPr>
          <w:p>
            <w:pPr>
              <w:pStyle w:val="TableParagraph"/>
              <w:spacing w:before="6"/>
              <w:ind w:left="107"/>
              <w:rPr>
                <w:rFonts w:ascii="Courier New"/>
                <w:sz w:val="28"/>
              </w:rPr>
            </w:pPr>
            <w:r>
              <w:rPr>
                <w:rFonts w:ascii="Courier New"/>
                <w:sz w:val="28"/>
              </w:rPr>
              <w:t>1232</w:t>
            </w:r>
          </w:p>
        </w:tc>
        <w:tc>
          <w:tcPr>
            <w:tcW w:w="1275" w:type="dxa"/>
          </w:tcPr>
          <w:p>
            <w:pPr>
              <w:pStyle w:val="TableParagraph"/>
              <w:spacing w:before="6"/>
              <w:ind w:left="105"/>
              <w:rPr>
                <w:rFonts w:ascii="Courier New"/>
                <w:sz w:val="28"/>
              </w:rPr>
            </w:pPr>
            <w:r>
              <w:rPr>
                <w:rFonts w:ascii="Courier New"/>
                <w:w w:val="100"/>
                <w:sz w:val="28"/>
              </w:rPr>
              <w:t>X</w:t>
            </w:r>
          </w:p>
        </w:tc>
        <w:tc>
          <w:tcPr>
            <w:tcW w:w="2126" w:type="dxa"/>
          </w:tcPr>
          <w:p>
            <w:pPr>
              <w:pStyle w:val="TableParagraph"/>
              <w:rPr>
                <w:rFonts w:ascii="Times New Roman"/>
                <w:sz w:val="28"/>
              </w:rPr>
            </w:pPr>
          </w:p>
        </w:tc>
        <w:tc>
          <w:tcPr>
            <w:tcW w:w="2268" w:type="dxa"/>
          </w:tcPr>
          <w:p>
            <w:pPr>
              <w:pStyle w:val="TableParagraph"/>
              <w:spacing w:before="6"/>
              <w:ind w:left="108"/>
              <w:rPr>
                <w:rFonts w:ascii="Courier New"/>
                <w:sz w:val="28"/>
              </w:rPr>
            </w:pPr>
            <w:r>
              <w:rPr>
                <w:rFonts w:ascii="Courier New"/>
                <w:w w:val="100"/>
                <w:sz w:val="28"/>
              </w:rPr>
              <w:t>X</w:t>
            </w:r>
          </w:p>
        </w:tc>
        <w:tc>
          <w:tcPr>
            <w:tcW w:w="2837" w:type="dxa"/>
          </w:tcPr>
          <w:p>
            <w:pPr>
              <w:pStyle w:val="TableParagraph"/>
              <w:rPr>
                <w:rFonts w:ascii="Times New Roman"/>
                <w:sz w:val="28"/>
              </w:rPr>
            </w:pPr>
          </w:p>
        </w:tc>
        <w:tc>
          <w:tcPr>
            <w:tcW w:w="3401" w:type="dxa"/>
          </w:tcPr>
          <w:p>
            <w:pPr>
              <w:pStyle w:val="TableParagraph"/>
              <w:spacing w:before="6"/>
              <w:ind w:left="106"/>
              <w:rPr>
                <w:rFonts w:ascii="Courier New"/>
                <w:sz w:val="28"/>
              </w:rPr>
            </w:pPr>
            <w:r>
              <w:rPr>
                <w:rFonts w:ascii="Courier New"/>
                <w:w w:val="100"/>
                <w:sz w:val="28"/>
              </w:rPr>
              <w:t>X</w:t>
            </w:r>
          </w:p>
        </w:tc>
        <w:tc>
          <w:tcPr>
            <w:tcW w:w="2268" w:type="dxa"/>
          </w:tcPr>
          <w:p>
            <w:pPr>
              <w:pStyle w:val="TableParagraph"/>
              <w:rPr>
                <w:rFonts w:ascii="Times New Roman"/>
                <w:sz w:val="28"/>
              </w:rPr>
            </w:pPr>
          </w:p>
        </w:tc>
      </w:tr>
      <w:tr>
        <w:trPr>
          <w:trHeight w:val="563" w:hRule="atLeast"/>
        </w:trPr>
        <w:tc>
          <w:tcPr>
            <w:tcW w:w="2285" w:type="dxa"/>
            <w:shd w:val="clear" w:color="auto" w:fill="00AFEF"/>
          </w:tcPr>
          <w:p>
            <w:pPr>
              <w:pStyle w:val="TableParagraph"/>
              <w:spacing w:line="317" w:lineRule="exact"/>
              <w:ind w:left="107"/>
              <w:rPr>
                <w:rFonts w:ascii="Courier New"/>
                <w:b/>
                <w:sz w:val="28"/>
              </w:rPr>
            </w:pPr>
            <w:r>
              <w:rPr>
                <w:rFonts w:ascii="Courier New"/>
                <w:b/>
                <w:sz w:val="28"/>
              </w:rPr>
              <w:t>Resveratrol</w:t>
            </w:r>
          </w:p>
        </w:tc>
        <w:tc>
          <w:tcPr>
            <w:tcW w:w="1085" w:type="dxa"/>
          </w:tcPr>
          <w:p>
            <w:pPr>
              <w:pStyle w:val="TableParagraph"/>
              <w:spacing w:before="6"/>
              <w:ind w:left="107"/>
              <w:rPr>
                <w:rFonts w:ascii="Courier New"/>
                <w:sz w:val="28"/>
              </w:rPr>
            </w:pPr>
            <w:r>
              <w:rPr>
                <w:rFonts w:ascii="Courier New"/>
                <w:sz w:val="28"/>
              </w:rPr>
              <w:t>1340</w:t>
            </w:r>
          </w:p>
        </w:tc>
        <w:tc>
          <w:tcPr>
            <w:tcW w:w="1275" w:type="dxa"/>
          </w:tcPr>
          <w:p>
            <w:pPr>
              <w:pStyle w:val="TableParagraph"/>
              <w:spacing w:before="6"/>
              <w:ind w:left="105"/>
              <w:rPr>
                <w:rFonts w:ascii="Courier New"/>
                <w:sz w:val="28"/>
              </w:rPr>
            </w:pPr>
            <w:r>
              <w:rPr>
                <w:rFonts w:ascii="Courier New"/>
                <w:w w:val="100"/>
                <w:sz w:val="28"/>
              </w:rPr>
              <w:t>X</w:t>
            </w:r>
          </w:p>
        </w:tc>
        <w:tc>
          <w:tcPr>
            <w:tcW w:w="2126" w:type="dxa"/>
          </w:tcPr>
          <w:p>
            <w:pPr>
              <w:pStyle w:val="TableParagraph"/>
              <w:rPr>
                <w:rFonts w:ascii="Times New Roman"/>
                <w:sz w:val="28"/>
              </w:rPr>
            </w:pPr>
          </w:p>
        </w:tc>
        <w:tc>
          <w:tcPr>
            <w:tcW w:w="2268" w:type="dxa"/>
          </w:tcPr>
          <w:p>
            <w:pPr>
              <w:pStyle w:val="TableParagraph"/>
              <w:spacing w:before="6"/>
              <w:ind w:left="108"/>
              <w:rPr>
                <w:rFonts w:ascii="Courier New"/>
                <w:sz w:val="28"/>
              </w:rPr>
            </w:pPr>
            <w:r>
              <w:rPr>
                <w:rFonts w:ascii="Courier New"/>
                <w:w w:val="100"/>
                <w:sz w:val="28"/>
              </w:rPr>
              <w:t>X</w:t>
            </w:r>
          </w:p>
        </w:tc>
        <w:tc>
          <w:tcPr>
            <w:tcW w:w="2837" w:type="dxa"/>
          </w:tcPr>
          <w:p>
            <w:pPr>
              <w:pStyle w:val="TableParagraph"/>
              <w:rPr>
                <w:rFonts w:ascii="Times New Roman"/>
                <w:sz w:val="28"/>
              </w:rPr>
            </w:pPr>
          </w:p>
        </w:tc>
        <w:tc>
          <w:tcPr>
            <w:tcW w:w="3401" w:type="dxa"/>
          </w:tcPr>
          <w:p>
            <w:pPr>
              <w:pStyle w:val="TableParagraph"/>
              <w:rPr>
                <w:rFonts w:ascii="Times New Roman"/>
                <w:sz w:val="28"/>
              </w:rPr>
            </w:pPr>
          </w:p>
        </w:tc>
        <w:tc>
          <w:tcPr>
            <w:tcW w:w="2268" w:type="dxa"/>
          </w:tcPr>
          <w:p>
            <w:pPr>
              <w:pStyle w:val="TableParagraph"/>
              <w:spacing w:before="6"/>
              <w:ind w:left="109"/>
              <w:rPr>
                <w:rFonts w:ascii="Courier New"/>
                <w:sz w:val="28"/>
              </w:rPr>
            </w:pPr>
            <w:r>
              <w:rPr>
                <w:rFonts w:ascii="Courier New"/>
                <w:w w:val="100"/>
                <w:sz w:val="28"/>
              </w:rPr>
              <w:t>X</w:t>
            </w:r>
          </w:p>
        </w:tc>
      </w:tr>
      <w:tr>
        <w:trPr>
          <w:trHeight w:val="566" w:hRule="atLeast"/>
        </w:trPr>
        <w:tc>
          <w:tcPr>
            <w:tcW w:w="2285" w:type="dxa"/>
            <w:shd w:val="clear" w:color="auto" w:fill="00AFEF"/>
          </w:tcPr>
          <w:p>
            <w:pPr>
              <w:pStyle w:val="TableParagraph"/>
              <w:spacing w:line="317" w:lineRule="exact"/>
              <w:ind w:left="107"/>
              <w:rPr>
                <w:rFonts w:ascii="Courier New"/>
                <w:b/>
                <w:sz w:val="28"/>
              </w:rPr>
            </w:pPr>
            <w:r>
              <w:rPr>
                <w:rFonts w:ascii="Courier New"/>
                <w:b/>
                <w:sz w:val="28"/>
              </w:rPr>
              <w:t>Royal jelly</w:t>
            </w:r>
          </w:p>
        </w:tc>
        <w:tc>
          <w:tcPr>
            <w:tcW w:w="1085" w:type="dxa"/>
          </w:tcPr>
          <w:p>
            <w:pPr>
              <w:pStyle w:val="TableParagraph"/>
              <w:spacing w:before="6"/>
              <w:ind w:left="107"/>
              <w:rPr>
                <w:rFonts w:ascii="Courier New"/>
                <w:sz w:val="28"/>
              </w:rPr>
            </w:pPr>
            <w:r>
              <w:rPr>
                <w:rFonts w:ascii="Courier New"/>
                <w:sz w:val="28"/>
              </w:rPr>
              <w:t>1268</w:t>
            </w:r>
          </w:p>
        </w:tc>
        <w:tc>
          <w:tcPr>
            <w:tcW w:w="1275" w:type="dxa"/>
          </w:tcPr>
          <w:p>
            <w:pPr>
              <w:pStyle w:val="TableParagraph"/>
              <w:spacing w:before="6"/>
              <w:ind w:left="105"/>
              <w:rPr>
                <w:rFonts w:ascii="Courier New"/>
                <w:sz w:val="28"/>
              </w:rPr>
            </w:pPr>
            <w:r>
              <w:rPr>
                <w:rFonts w:ascii="Courier New"/>
                <w:w w:val="100"/>
                <w:sz w:val="28"/>
              </w:rPr>
              <w:t>X</w:t>
            </w:r>
          </w:p>
        </w:tc>
        <w:tc>
          <w:tcPr>
            <w:tcW w:w="2126" w:type="dxa"/>
          </w:tcPr>
          <w:p>
            <w:pPr>
              <w:pStyle w:val="TableParagraph"/>
              <w:rPr>
                <w:rFonts w:ascii="Times New Roman"/>
                <w:sz w:val="28"/>
              </w:rPr>
            </w:pPr>
          </w:p>
        </w:tc>
        <w:tc>
          <w:tcPr>
            <w:tcW w:w="2268" w:type="dxa"/>
          </w:tcPr>
          <w:p>
            <w:pPr>
              <w:pStyle w:val="TableParagraph"/>
              <w:spacing w:before="6"/>
              <w:ind w:left="108"/>
              <w:rPr>
                <w:rFonts w:ascii="Courier New"/>
                <w:sz w:val="28"/>
              </w:rPr>
            </w:pPr>
            <w:r>
              <w:rPr>
                <w:rFonts w:ascii="Courier New"/>
                <w:w w:val="100"/>
                <w:sz w:val="28"/>
              </w:rPr>
              <w:t>X</w:t>
            </w:r>
          </w:p>
        </w:tc>
        <w:tc>
          <w:tcPr>
            <w:tcW w:w="2837" w:type="dxa"/>
          </w:tcPr>
          <w:p>
            <w:pPr>
              <w:pStyle w:val="TableParagraph"/>
              <w:rPr>
                <w:rFonts w:ascii="Times New Roman"/>
                <w:sz w:val="28"/>
              </w:rPr>
            </w:pPr>
          </w:p>
        </w:tc>
        <w:tc>
          <w:tcPr>
            <w:tcW w:w="3401" w:type="dxa"/>
          </w:tcPr>
          <w:p>
            <w:pPr>
              <w:pStyle w:val="TableParagraph"/>
              <w:rPr>
                <w:rFonts w:ascii="Times New Roman"/>
                <w:sz w:val="28"/>
              </w:rPr>
            </w:pPr>
          </w:p>
        </w:tc>
        <w:tc>
          <w:tcPr>
            <w:tcW w:w="2268" w:type="dxa"/>
          </w:tcPr>
          <w:p>
            <w:pPr>
              <w:pStyle w:val="TableParagraph"/>
              <w:rPr>
                <w:rFonts w:ascii="Times New Roman"/>
                <w:sz w:val="28"/>
              </w:rPr>
            </w:pPr>
          </w:p>
        </w:tc>
      </w:tr>
    </w:tbl>
    <w:p>
      <w:pPr>
        <w:spacing w:after="0"/>
        <w:rPr>
          <w:rFonts w:ascii="Times New Roman"/>
          <w:sz w:val="28"/>
        </w:rPr>
        <w:sectPr>
          <w:pgSz w:w="18630" w:h="11910" w:orient="landscape"/>
          <w:pgMar w:header="0" w:footer="404" w:top="840" w:bottom="600" w:left="740" w:right="8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15"/>
        <w:gridCol w:w="1229"/>
        <w:gridCol w:w="1074"/>
        <w:gridCol w:w="1930"/>
        <w:gridCol w:w="1911"/>
        <w:gridCol w:w="1687"/>
        <w:gridCol w:w="2151"/>
        <w:gridCol w:w="1997"/>
        <w:gridCol w:w="1690"/>
        <w:gridCol w:w="1687"/>
        <w:gridCol w:w="86"/>
      </w:tblGrid>
      <w:tr>
        <w:trPr>
          <w:trHeight w:val="1087" w:hRule="atLeast"/>
        </w:trPr>
        <w:tc>
          <w:tcPr>
            <w:tcW w:w="17471" w:type="dxa"/>
            <w:gridSpan w:val="10"/>
            <w:tcBorders>
              <w:right w:val="nil"/>
            </w:tcBorders>
            <w:shd w:val="clear" w:color="auto" w:fill="FAD3B4"/>
          </w:tcPr>
          <w:p>
            <w:pPr>
              <w:pStyle w:val="TableParagraph"/>
              <w:spacing w:before="311"/>
              <w:ind w:left="2568"/>
              <w:rPr>
                <w:b/>
                <w:sz w:val="36"/>
              </w:rPr>
            </w:pPr>
            <w:r>
              <w:rPr>
                <w:b/>
                <w:sz w:val="36"/>
              </w:rPr>
              <w:t>SUBSTANCE-EFFECT TABLE OF NATURAL REMEDIES FOR DIABETES</w:t>
            </w:r>
          </w:p>
        </w:tc>
        <w:tc>
          <w:tcPr>
            <w:tcW w:w="86" w:type="dxa"/>
            <w:tcBorders>
              <w:left w:val="nil"/>
            </w:tcBorders>
            <w:shd w:val="clear" w:color="auto" w:fill="FAD3B4"/>
          </w:tcPr>
          <w:p>
            <w:pPr>
              <w:pStyle w:val="TableParagraph"/>
              <w:rPr>
                <w:rFonts w:ascii="Times New Roman"/>
                <w:sz w:val="28"/>
              </w:rPr>
            </w:pPr>
          </w:p>
        </w:tc>
      </w:tr>
      <w:tr>
        <w:trPr>
          <w:trHeight w:val="4046" w:hRule="atLeast"/>
        </w:trPr>
        <w:tc>
          <w:tcPr>
            <w:tcW w:w="2115" w:type="dxa"/>
            <w:shd w:val="clear" w:color="auto" w:fill="FFFF00"/>
          </w:tcPr>
          <w:p>
            <w:pPr>
              <w:pStyle w:val="TableParagraph"/>
              <w:rPr>
                <w:rFonts w:ascii="Times New Roman"/>
                <w:sz w:val="32"/>
              </w:rPr>
            </w:pPr>
          </w:p>
          <w:p>
            <w:pPr>
              <w:pStyle w:val="TableParagraph"/>
              <w:spacing w:line="278" w:lineRule="auto" w:before="193"/>
              <w:ind w:left="107" w:right="465"/>
              <w:rPr>
                <w:rFonts w:ascii="Courier New"/>
                <w:b/>
                <w:sz w:val="28"/>
              </w:rPr>
            </w:pPr>
            <w:r>
              <w:rPr>
                <w:rFonts w:ascii="Courier New"/>
                <w:b/>
                <w:sz w:val="28"/>
              </w:rPr>
              <w:t>Natural substance</w:t>
            </w:r>
          </w:p>
        </w:tc>
        <w:tc>
          <w:tcPr>
            <w:tcW w:w="1229" w:type="dxa"/>
            <w:shd w:val="clear" w:color="auto" w:fill="FFFF00"/>
          </w:tcPr>
          <w:p>
            <w:pPr>
              <w:pStyle w:val="TableParagraph"/>
              <w:rPr>
                <w:rFonts w:ascii="Times New Roman"/>
                <w:sz w:val="32"/>
              </w:rPr>
            </w:pPr>
          </w:p>
          <w:p>
            <w:pPr>
              <w:pStyle w:val="TableParagraph"/>
              <w:spacing w:before="195"/>
              <w:ind w:left="105"/>
              <w:rPr>
                <w:rFonts w:ascii="Courier New"/>
                <w:b/>
                <w:sz w:val="28"/>
              </w:rPr>
            </w:pPr>
            <w:r>
              <w:rPr>
                <w:rFonts w:ascii="Courier New"/>
                <w:b/>
                <w:sz w:val="28"/>
              </w:rPr>
              <w:t>Page</w:t>
            </w:r>
          </w:p>
        </w:tc>
        <w:tc>
          <w:tcPr>
            <w:tcW w:w="1074" w:type="dxa"/>
            <w:shd w:val="clear" w:color="auto" w:fill="FFFF00"/>
          </w:tcPr>
          <w:p>
            <w:pPr>
              <w:pStyle w:val="TableParagraph"/>
              <w:rPr>
                <w:rFonts w:ascii="Times New Roman"/>
                <w:sz w:val="32"/>
              </w:rPr>
            </w:pPr>
          </w:p>
          <w:p>
            <w:pPr>
              <w:pStyle w:val="TableParagraph"/>
              <w:spacing w:before="195"/>
              <w:ind w:left="105"/>
              <w:rPr>
                <w:rFonts w:ascii="Courier New"/>
                <w:b/>
                <w:sz w:val="28"/>
              </w:rPr>
            </w:pPr>
            <w:r>
              <w:rPr>
                <w:rFonts w:ascii="Courier New"/>
                <w:b/>
                <w:sz w:val="28"/>
              </w:rPr>
              <w:t>Anti</w:t>
            </w:r>
          </w:p>
          <w:p>
            <w:pPr>
              <w:pStyle w:val="TableParagraph"/>
              <w:spacing w:line="278" w:lineRule="auto" w:before="245"/>
              <w:ind w:left="105" w:right="98"/>
              <w:rPr>
                <w:rFonts w:ascii="Courier New"/>
                <w:b/>
                <w:sz w:val="28"/>
              </w:rPr>
            </w:pPr>
            <w:r>
              <w:rPr>
                <w:rFonts w:ascii="Courier New"/>
                <w:b/>
                <w:sz w:val="28"/>
              </w:rPr>
              <w:t>oxi- dants</w:t>
            </w:r>
          </w:p>
        </w:tc>
        <w:tc>
          <w:tcPr>
            <w:tcW w:w="1930" w:type="dxa"/>
            <w:shd w:val="clear" w:color="auto" w:fill="FFFF00"/>
          </w:tcPr>
          <w:p>
            <w:pPr>
              <w:pStyle w:val="TableParagraph"/>
              <w:rPr>
                <w:rFonts w:ascii="Times New Roman"/>
                <w:sz w:val="32"/>
              </w:rPr>
            </w:pPr>
          </w:p>
          <w:p>
            <w:pPr>
              <w:pStyle w:val="TableParagraph"/>
              <w:spacing w:before="195"/>
              <w:ind w:left="106"/>
              <w:rPr>
                <w:rFonts w:ascii="Courier New"/>
                <w:b/>
                <w:sz w:val="28"/>
              </w:rPr>
            </w:pPr>
            <w:r>
              <w:rPr>
                <w:rFonts w:ascii="Courier New"/>
                <w:b/>
                <w:sz w:val="28"/>
              </w:rPr>
              <w:t>Anti-</w:t>
            </w:r>
          </w:p>
          <w:p>
            <w:pPr>
              <w:pStyle w:val="TableParagraph"/>
              <w:spacing w:line="276" w:lineRule="auto" w:before="245"/>
              <w:ind w:left="106" w:right="281"/>
              <w:rPr>
                <w:rFonts w:ascii="Courier New"/>
                <w:b/>
                <w:sz w:val="28"/>
              </w:rPr>
            </w:pPr>
            <w:r>
              <w:rPr>
                <w:rFonts w:ascii="Courier New"/>
                <w:b/>
                <w:sz w:val="28"/>
              </w:rPr>
              <w:t>Viral ef- fect against Coxsackie B virus</w:t>
            </w:r>
          </w:p>
        </w:tc>
        <w:tc>
          <w:tcPr>
            <w:tcW w:w="1911" w:type="dxa"/>
            <w:shd w:val="clear" w:color="auto" w:fill="FFFF00"/>
          </w:tcPr>
          <w:p>
            <w:pPr>
              <w:pStyle w:val="TableParagraph"/>
              <w:rPr>
                <w:rFonts w:ascii="Times New Roman"/>
                <w:sz w:val="32"/>
              </w:rPr>
            </w:pPr>
          </w:p>
          <w:p>
            <w:pPr>
              <w:pStyle w:val="TableParagraph"/>
              <w:spacing w:line="276" w:lineRule="auto" w:before="193"/>
              <w:ind w:left="103" w:right="115"/>
              <w:rPr>
                <w:rFonts w:ascii="Courier New"/>
                <w:b/>
                <w:sz w:val="28"/>
              </w:rPr>
            </w:pPr>
            <w:r>
              <w:rPr>
                <w:rFonts w:ascii="Courier New"/>
                <w:b/>
                <w:sz w:val="28"/>
              </w:rPr>
              <w:t>Optimisa- tion of glucose- utilisa- tion / re- duction of blood sugar</w:t>
            </w:r>
          </w:p>
        </w:tc>
        <w:tc>
          <w:tcPr>
            <w:tcW w:w="1687" w:type="dxa"/>
            <w:shd w:val="clear" w:color="auto" w:fill="FFFF00"/>
          </w:tcPr>
          <w:p>
            <w:pPr>
              <w:pStyle w:val="TableParagraph"/>
              <w:rPr>
                <w:rFonts w:ascii="Times New Roman"/>
                <w:sz w:val="32"/>
              </w:rPr>
            </w:pPr>
          </w:p>
          <w:p>
            <w:pPr>
              <w:pStyle w:val="TableParagraph"/>
              <w:spacing w:line="276" w:lineRule="auto" w:before="193"/>
              <w:ind w:left="103" w:right="227"/>
              <w:rPr>
                <w:rFonts w:ascii="Courier New"/>
                <w:b/>
                <w:sz w:val="28"/>
              </w:rPr>
            </w:pPr>
            <w:r>
              <w:rPr>
                <w:rFonts w:ascii="Courier New"/>
                <w:b/>
                <w:sz w:val="28"/>
              </w:rPr>
              <w:t>Improve- ment of insulin sensi- tivity</w:t>
            </w:r>
          </w:p>
        </w:tc>
        <w:tc>
          <w:tcPr>
            <w:tcW w:w="2151" w:type="dxa"/>
            <w:shd w:val="clear" w:color="auto" w:fill="FFFF00"/>
          </w:tcPr>
          <w:p>
            <w:pPr>
              <w:pStyle w:val="TableParagraph"/>
              <w:rPr>
                <w:rFonts w:ascii="Times New Roman"/>
                <w:sz w:val="32"/>
              </w:rPr>
            </w:pPr>
          </w:p>
          <w:p>
            <w:pPr>
              <w:pStyle w:val="TableParagraph"/>
              <w:spacing w:line="276" w:lineRule="auto" w:before="193"/>
              <w:ind w:left="106" w:right="184"/>
              <w:rPr>
                <w:rFonts w:ascii="Courier New"/>
                <w:b/>
                <w:sz w:val="28"/>
              </w:rPr>
            </w:pPr>
            <w:r>
              <w:rPr>
                <w:rFonts w:ascii="Courier New"/>
                <w:b/>
                <w:sz w:val="28"/>
              </w:rPr>
              <w:t>Protection against neurologi- cal fail- ures and diabetic polyneurop- athy (dia- betic foot)</w:t>
            </w:r>
          </w:p>
        </w:tc>
        <w:tc>
          <w:tcPr>
            <w:tcW w:w="1997" w:type="dxa"/>
            <w:shd w:val="clear" w:color="auto" w:fill="FFFF00"/>
          </w:tcPr>
          <w:p>
            <w:pPr>
              <w:pStyle w:val="TableParagraph"/>
              <w:rPr>
                <w:rFonts w:ascii="Times New Roman"/>
                <w:sz w:val="32"/>
              </w:rPr>
            </w:pPr>
          </w:p>
          <w:p>
            <w:pPr>
              <w:pStyle w:val="TableParagraph"/>
              <w:spacing w:line="276" w:lineRule="auto" w:before="193"/>
              <w:ind w:left="106" w:right="198"/>
              <w:rPr>
                <w:rFonts w:ascii="Courier New"/>
                <w:b/>
                <w:sz w:val="28"/>
              </w:rPr>
            </w:pPr>
            <w:r>
              <w:rPr>
                <w:rFonts w:ascii="Courier New"/>
                <w:b/>
                <w:sz w:val="28"/>
              </w:rPr>
              <w:t>Protection against diabetes- related cardio- vascular diseases</w:t>
            </w:r>
          </w:p>
        </w:tc>
        <w:tc>
          <w:tcPr>
            <w:tcW w:w="1690" w:type="dxa"/>
            <w:shd w:val="clear" w:color="auto" w:fill="FFFF00"/>
          </w:tcPr>
          <w:p>
            <w:pPr>
              <w:pStyle w:val="TableParagraph"/>
              <w:rPr>
                <w:rFonts w:ascii="Times New Roman"/>
                <w:sz w:val="32"/>
              </w:rPr>
            </w:pPr>
          </w:p>
          <w:p>
            <w:pPr>
              <w:pStyle w:val="TableParagraph"/>
              <w:spacing w:line="276" w:lineRule="auto" w:before="193"/>
              <w:ind w:left="103" w:right="229"/>
              <w:rPr>
                <w:rFonts w:ascii="Courier New"/>
                <w:b/>
                <w:sz w:val="28"/>
              </w:rPr>
            </w:pPr>
            <w:r>
              <w:rPr>
                <w:rFonts w:ascii="Courier New"/>
                <w:b/>
                <w:sz w:val="28"/>
              </w:rPr>
              <w:t>Protec- tion for blood vessels (against athero- sclero- sis)</w:t>
            </w:r>
          </w:p>
        </w:tc>
        <w:tc>
          <w:tcPr>
            <w:tcW w:w="1687" w:type="dxa"/>
            <w:shd w:val="clear" w:color="auto" w:fill="FFFF00"/>
          </w:tcPr>
          <w:p>
            <w:pPr>
              <w:pStyle w:val="TableParagraph"/>
              <w:rPr>
                <w:rFonts w:ascii="Times New Roman"/>
                <w:sz w:val="32"/>
              </w:rPr>
            </w:pPr>
          </w:p>
          <w:p>
            <w:pPr>
              <w:pStyle w:val="TableParagraph"/>
              <w:spacing w:line="276" w:lineRule="auto" w:before="193"/>
              <w:ind w:left="103" w:right="227"/>
              <w:rPr>
                <w:rFonts w:ascii="Courier New"/>
                <w:b/>
                <w:sz w:val="28"/>
              </w:rPr>
            </w:pPr>
            <w:r>
              <w:rPr>
                <w:rFonts w:ascii="Courier New"/>
                <w:b/>
                <w:sz w:val="28"/>
              </w:rPr>
              <w:t>Protec- tion against diabetic reti- nopathy</w:t>
            </w:r>
          </w:p>
        </w:tc>
        <w:tc>
          <w:tcPr>
            <w:tcW w:w="86" w:type="dxa"/>
            <w:tcBorders>
              <w:bottom w:val="nil"/>
              <w:right w:val="nil"/>
            </w:tcBorders>
            <w:shd w:val="clear" w:color="auto" w:fill="FFFF00"/>
          </w:tcPr>
          <w:p>
            <w:pPr>
              <w:pStyle w:val="TableParagraph"/>
              <w:rPr>
                <w:rFonts w:ascii="Times New Roman"/>
                <w:sz w:val="28"/>
              </w:rPr>
            </w:pPr>
          </w:p>
        </w:tc>
      </w:tr>
      <w:tr>
        <w:trPr>
          <w:trHeight w:val="931" w:hRule="atLeast"/>
        </w:trPr>
        <w:tc>
          <w:tcPr>
            <w:tcW w:w="2115" w:type="dxa"/>
            <w:shd w:val="clear" w:color="auto" w:fill="00AFEF"/>
          </w:tcPr>
          <w:p>
            <w:pPr>
              <w:pStyle w:val="TableParagraph"/>
              <w:spacing w:line="278" w:lineRule="auto"/>
              <w:ind w:left="107" w:right="465"/>
              <w:rPr>
                <w:rFonts w:ascii="Courier New"/>
                <w:b/>
                <w:sz w:val="28"/>
              </w:rPr>
            </w:pPr>
            <w:r>
              <w:rPr>
                <w:rFonts w:ascii="Courier New"/>
                <w:b/>
                <w:sz w:val="28"/>
              </w:rPr>
              <w:t>Alpha-li- poic acid</w:t>
            </w:r>
          </w:p>
        </w:tc>
        <w:tc>
          <w:tcPr>
            <w:tcW w:w="1229" w:type="dxa"/>
          </w:tcPr>
          <w:p>
            <w:pPr>
              <w:pStyle w:val="TableParagraph"/>
              <w:spacing w:before="6"/>
              <w:ind w:left="105"/>
              <w:rPr>
                <w:rFonts w:ascii="Courier New"/>
                <w:sz w:val="28"/>
              </w:rPr>
            </w:pPr>
            <w:r>
              <w:rPr>
                <w:rFonts w:ascii="Courier New"/>
                <w:sz w:val="28"/>
              </w:rPr>
              <w:t>86</w:t>
            </w:r>
          </w:p>
        </w:tc>
        <w:tc>
          <w:tcPr>
            <w:tcW w:w="1074" w:type="dxa"/>
          </w:tcPr>
          <w:p>
            <w:pPr>
              <w:pStyle w:val="TableParagraph"/>
              <w:spacing w:before="6"/>
              <w:ind w:left="105"/>
              <w:rPr>
                <w:rFonts w:ascii="Courier New"/>
                <w:sz w:val="28"/>
              </w:rPr>
            </w:pPr>
            <w:r>
              <w:rPr>
                <w:rFonts w:ascii="Courier New"/>
                <w:w w:val="100"/>
                <w:sz w:val="28"/>
              </w:rPr>
              <w:t>X</w:t>
            </w:r>
          </w:p>
        </w:tc>
        <w:tc>
          <w:tcPr>
            <w:tcW w:w="1930" w:type="dxa"/>
          </w:tcPr>
          <w:p>
            <w:pPr>
              <w:pStyle w:val="TableParagraph"/>
              <w:rPr>
                <w:rFonts w:ascii="Times New Roman"/>
                <w:sz w:val="28"/>
              </w:rPr>
            </w:pPr>
          </w:p>
        </w:tc>
        <w:tc>
          <w:tcPr>
            <w:tcW w:w="1911" w:type="dxa"/>
          </w:tcPr>
          <w:p>
            <w:pPr>
              <w:pStyle w:val="TableParagraph"/>
              <w:spacing w:before="6"/>
              <w:ind w:left="103"/>
              <w:rPr>
                <w:rFonts w:ascii="Courier New"/>
                <w:sz w:val="28"/>
              </w:rPr>
            </w:pPr>
            <w:r>
              <w:rPr>
                <w:rFonts w:ascii="Courier New"/>
                <w:w w:val="100"/>
                <w:sz w:val="28"/>
              </w:rPr>
              <w:t>X</w:t>
            </w:r>
          </w:p>
        </w:tc>
        <w:tc>
          <w:tcPr>
            <w:tcW w:w="1687" w:type="dxa"/>
          </w:tcPr>
          <w:p>
            <w:pPr>
              <w:pStyle w:val="TableParagraph"/>
              <w:spacing w:before="6"/>
              <w:ind w:left="103"/>
              <w:rPr>
                <w:rFonts w:ascii="Courier New"/>
                <w:sz w:val="28"/>
              </w:rPr>
            </w:pPr>
            <w:r>
              <w:rPr>
                <w:rFonts w:ascii="Courier New"/>
                <w:w w:val="100"/>
                <w:sz w:val="28"/>
              </w:rPr>
              <w:t>X</w:t>
            </w:r>
          </w:p>
        </w:tc>
        <w:tc>
          <w:tcPr>
            <w:tcW w:w="2151" w:type="dxa"/>
          </w:tcPr>
          <w:p>
            <w:pPr>
              <w:pStyle w:val="TableParagraph"/>
              <w:spacing w:before="6"/>
              <w:ind w:left="106"/>
              <w:rPr>
                <w:rFonts w:ascii="Courier New"/>
                <w:sz w:val="28"/>
              </w:rPr>
            </w:pPr>
            <w:r>
              <w:rPr>
                <w:rFonts w:ascii="Courier New"/>
                <w:w w:val="100"/>
                <w:sz w:val="28"/>
              </w:rPr>
              <w:t>X</w:t>
            </w:r>
          </w:p>
        </w:tc>
        <w:tc>
          <w:tcPr>
            <w:tcW w:w="1997" w:type="dxa"/>
          </w:tcPr>
          <w:p>
            <w:pPr>
              <w:pStyle w:val="TableParagraph"/>
              <w:spacing w:before="6"/>
              <w:ind w:left="106"/>
              <w:rPr>
                <w:rFonts w:ascii="Courier New"/>
                <w:sz w:val="28"/>
              </w:rPr>
            </w:pPr>
            <w:r>
              <w:rPr>
                <w:rFonts w:ascii="Courier New"/>
                <w:w w:val="100"/>
                <w:sz w:val="28"/>
              </w:rPr>
              <w:t>X</w:t>
            </w:r>
          </w:p>
        </w:tc>
        <w:tc>
          <w:tcPr>
            <w:tcW w:w="1690" w:type="dxa"/>
          </w:tcPr>
          <w:p>
            <w:pPr>
              <w:pStyle w:val="TableParagraph"/>
              <w:spacing w:before="6"/>
              <w:ind w:left="103"/>
              <w:rPr>
                <w:rFonts w:ascii="Courier New"/>
                <w:sz w:val="28"/>
              </w:rPr>
            </w:pPr>
            <w:r>
              <w:rPr>
                <w:rFonts w:ascii="Courier New"/>
                <w:w w:val="100"/>
                <w:sz w:val="28"/>
              </w:rPr>
              <w:t>X</w:t>
            </w:r>
          </w:p>
        </w:tc>
        <w:tc>
          <w:tcPr>
            <w:tcW w:w="1687" w:type="dxa"/>
          </w:tcPr>
          <w:p>
            <w:pPr>
              <w:pStyle w:val="TableParagraph"/>
              <w:spacing w:before="6"/>
              <w:ind w:left="103"/>
              <w:rPr>
                <w:rFonts w:ascii="Courier New"/>
                <w:sz w:val="28"/>
              </w:rPr>
            </w:pPr>
            <w:r>
              <w:rPr>
                <w:rFonts w:ascii="Courier New"/>
                <w:w w:val="100"/>
                <w:sz w:val="28"/>
              </w:rPr>
              <w:t>X</w:t>
            </w:r>
          </w:p>
        </w:tc>
        <w:tc>
          <w:tcPr>
            <w:tcW w:w="86" w:type="dxa"/>
            <w:tcBorders>
              <w:top w:val="nil"/>
              <w:bottom w:val="nil"/>
              <w:right w:val="nil"/>
            </w:tcBorders>
          </w:tcPr>
          <w:p>
            <w:pPr>
              <w:pStyle w:val="TableParagraph"/>
              <w:rPr>
                <w:rFonts w:ascii="Times New Roman"/>
                <w:sz w:val="28"/>
              </w:rPr>
            </w:pPr>
          </w:p>
        </w:tc>
      </w:tr>
      <w:tr>
        <w:trPr>
          <w:trHeight w:val="563" w:hRule="atLeast"/>
        </w:trPr>
        <w:tc>
          <w:tcPr>
            <w:tcW w:w="2115" w:type="dxa"/>
            <w:shd w:val="clear" w:color="auto" w:fill="00AFEF"/>
          </w:tcPr>
          <w:p>
            <w:pPr>
              <w:pStyle w:val="TableParagraph"/>
              <w:spacing w:line="317" w:lineRule="exact"/>
              <w:ind w:left="107"/>
              <w:rPr>
                <w:rFonts w:ascii="Courier New"/>
                <w:b/>
                <w:sz w:val="28"/>
              </w:rPr>
            </w:pPr>
            <w:r>
              <w:rPr>
                <w:rFonts w:ascii="Courier New"/>
                <w:b/>
                <w:sz w:val="28"/>
              </w:rPr>
              <w:t>Lapacho-Tea</w:t>
            </w:r>
          </w:p>
        </w:tc>
        <w:tc>
          <w:tcPr>
            <w:tcW w:w="1229" w:type="dxa"/>
          </w:tcPr>
          <w:p>
            <w:pPr>
              <w:pStyle w:val="TableParagraph"/>
              <w:spacing w:before="6"/>
              <w:ind w:left="105"/>
              <w:rPr>
                <w:rFonts w:ascii="Courier New"/>
                <w:sz w:val="28"/>
              </w:rPr>
            </w:pPr>
            <w:r>
              <w:rPr>
                <w:rFonts w:ascii="Courier New"/>
                <w:sz w:val="28"/>
              </w:rPr>
              <w:t>815</w:t>
            </w:r>
          </w:p>
        </w:tc>
        <w:tc>
          <w:tcPr>
            <w:tcW w:w="1074" w:type="dxa"/>
          </w:tcPr>
          <w:p>
            <w:pPr>
              <w:pStyle w:val="TableParagraph"/>
              <w:spacing w:before="6"/>
              <w:ind w:left="105"/>
              <w:rPr>
                <w:rFonts w:ascii="Courier New"/>
                <w:sz w:val="28"/>
              </w:rPr>
            </w:pPr>
            <w:r>
              <w:rPr>
                <w:rFonts w:ascii="Courier New"/>
                <w:w w:val="100"/>
                <w:sz w:val="28"/>
              </w:rPr>
              <w:t>X</w:t>
            </w:r>
          </w:p>
        </w:tc>
        <w:tc>
          <w:tcPr>
            <w:tcW w:w="1930" w:type="dxa"/>
          </w:tcPr>
          <w:p>
            <w:pPr>
              <w:pStyle w:val="TableParagraph"/>
              <w:rPr>
                <w:rFonts w:ascii="Times New Roman"/>
                <w:sz w:val="28"/>
              </w:rPr>
            </w:pPr>
          </w:p>
        </w:tc>
        <w:tc>
          <w:tcPr>
            <w:tcW w:w="1911" w:type="dxa"/>
          </w:tcPr>
          <w:p>
            <w:pPr>
              <w:pStyle w:val="TableParagraph"/>
              <w:spacing w:before="6"/>
              <w:ind w:left="103"/>
              <w:rPr>
                <w:rFonts w:ascii="Courier New"/>
                <w:sz w:val="28"/>
              </w:rPr>
            </w:pPr>
            <w:r>
              <w:rPr>
                <w:rFonts w:ascii="Courier New"/>
                <w:w w:val="100"/>
                <w:sz w:val="28"/>
              </w:rPr>
              <w:t>X</w:t>
            </w:r>
          </w:p>
        </w:tc>
        <w:tc>
          <w:tcPr>
            <w:tcW w:w="1687" w:type="dxa"/>
          </w:tcPr>
          <w:p>
            <w:pPr>
              <w:pStyle w:val="TableParagraph"/>
              <w:rPr>
                <w:rFonts w:ascii="Times New Roman"/>
                <w:sz w:val="28"/>
              </w:rPr>
            </w:pPr>
          </w:p>
        </w:tc>
        <w:tc>
          <w:tcPr>
            <w:tcW w:w="2151" w:type="dxa"/>
          </w:tcPr>
          <w:p>
            <w:pPr>
              <w:pStyle w:val="TableParagraph"/>
              <w:rPr>
                <w:rFonts w:ascii="Times New Roman"/>
                <w:sz w:val="28"/>
              </w:rPr>
            </w:pPr>
          </w:p>
        </w:tc>
        <w:tc>
          <w:tcPr>
            <w:tcW w:w="1997" w:type="dxa"/>
          </w:tcPr>
          <w:p>
            <w:pPr>
              <w:pStyle w:val="TableParagraph"/>
              <w:spacing w:before="6"/>
              <w:ind w:left="106"/>
              <w:rPr>
                <w:rFonts w:ascii="Courier New"/>
                <w:sz w:val="28"/>
              </w:rPr>
            </w:pPr>
            <w:r>
              <w:rPr>
                <w:rFonts w:ascii="Courier New"/>
                <w:w w:val="100"/>
                <w:sz w:val="28"/>
              </w:rPr>
              <w:t>X</w:t>
            </w:r>
          </w:p>
        </w:tc>
        <w:tc>
          <w:tcPr>
            <w:tcW w:w="1690" w:type="dxa"/>
          </w:tcPr>
          <w:p>
            <w:pPr>
              <w:pStyle w:val="TableParagraph"/>
              <w:spacing w:before="6"/>
              <w:ind w:left="103"/>
              <w:rPr>
                <w:rFonts w:ascii="Courier New"/>
                <w:sz w:val="28"/>
              </w:rPr>
            </w:pPr>
            <w:r>
              <w:rPr>
                <w:rFonts w:ascii="Courier New"/>
                <w:w w:val="100"/>
                <w:sz w:val="28"/>
              </w:rPr>
              <w:t>X</w:t>
            </w:r>
          </w:p>
        </w:tc>
        <w:tc>
          <w:tcPr>
            <w:tcW w:w="1687" w:type="dxa"/>
          </w:tcPr>
          <w:p>
            <w:pPr>
              <w:pStyle w:val="TableParagraph"/>
              <w:rPr>
                <w:rFonts w:ascii="Times New Roman"/>
                <w:sz w:val="28"/>
              </w:rPr>
            </w:pPr>
          </w:p>
        </w:tc>
        <w:tc>
          <w:tcPr>
            <w:tcW w:w="86" w:type="dxa"/>
            <w:tcBorders>
              <w:top w:val="nil"/>
              <w:bottom w:val="nil"/>
              <w:right w:val="nil"/>
            </w:tcBorders>
          </w:tcPr>
          <w:p>
            <w:pPr>
              <w:pStyle w:val="TableParagraph"/>
              <w:rPr>
                <w:rFonts w:ascii="Times New Roman"/>
                <w:sz w:val="28"/>
              </w:rPr>
            </w:pPr>
          </w:p>
        </w:tc>
      </w:tr>
      <w:tr>
        <w:trPr>
          <w:trHeight w:val="930" w:hRule="atLeast"/>
        </w:trPr>
        <w:tc>
          <w:tcPr>
            <w:tcW w:w="2115" w:type="dxa"/>
            <w:shd w:val="clear" w:color="auto" w:fill="00AFEF"/>
          </w:tcPr>
          <w:p>
            <w:pPr>
              <w:pStyle w:val="TableParagraph"/>
              <w:spacing w:line="278" w:lineRule="auto"/>
              <w:ind w:left="107" w:right="801"/>
              <w:rPr>
                <w:rFonts w:ascii="Courier New"/>
                <w:b/>
                <w:sz w:val="28"/>
              </w:rPr>
            </w:pPr>
            <w:r>
              <w:rPr>
                <w:rFonts w:ascii="Courier New"/>
                <w:b/>
                <w:sz w:val="28"/>
              </w:rPr>
              <w:t>Aronia berries</w:t>
            </w:r>
          </w:p>
        </w:tc>
        <w:tc>
          <w:tcPr>
            <w:tcW w:w="1229" w:type="dxa"/>
          </w:tcPr>
          <w:p>
            <w:pPr>
              <w:pStyle w:val="TableParagraph"/>
              <w:spacing w:before="6"/>
              <w:ind w:left="105"/>
              <w:rPr>
                <w:rFonts w:ascii="Courier New"/>
                <w:sz w:val="28"/>
              </w:rPr>
            </w:pPr>
            <w:r>
              <w:rPr>
                <w:rFonts w:ascii="Courier New"/>
                <w:sz w:val="28"/>
              </w:rPr>
              <w:t>173</w:t>
            </w:r>
          </w:p>
        </w:tc>
        <w:tc>
          <w:tcPr>
            <w:tcW w:w="1074" w:type="dxa"/>
          </w:tcPr>
          <w:p>
            <w:pPr>
              <w:pStyle w:val="TableParagraph"/>
              <w:spacing w:before="6"/>
              <w:ind w:left="105"/>
              <w:rPr>
                <w:rFonts w:ascii="Courier New"/>
                <w:sz w:val="28"/>
              </w:rPr>
            </w:pPr>
            <w:r>
              <w:rPr>
                <w:rFonts w:ascii="Courier New"/>
                <w:w w:val="100"/>
                <w:sz w:val="28"/>
              </w:rPr>
              <w:t>X</w:t>
            </w:r>
          </w:p>
        </w:tc>
        <w:tc>
          <w:tcPr>
            <w:tcW w:w="1930" w:type="dxa"/>
          </w:tcPr>
          <w:p>
            <w:pPr>
              <w:pStyle w:val="TableParagraph"/>
              <w:rPr>
                <w:rFonts w:ascii="Times New Roman"/>
                <w:sz w:val="28"/>
              </w:rPr>
            </w:pPr>
          </w:p>
        </w:tc>
        <w:tc>
          <w:tcPr>
            <w:tcW w:w="1911" w:type="dxa"/>
          </w:tcPr>
          <w:p>
            <w:pPr>
              <w:pStyle w:val="TableParagraph"/>
              <w:spacing w:before="6"/>
              <w:ind w:left="103"/>
              <w:rPr>
                <w:rFonts w:ascii="Courier New"/>
                <w:sz w:val="28"/>
              </w:rPr>
            </w:pPr>
            <w:r>
              <w:rPr>
                <w:rFonts w:ascii="Courier New"/>
                <w:w w:val="100"/>
                <w:sz w:val="28"/>
              </w:rPr>
              <w:t>X</w:t>
            </w:r>
          </w:p>
        </w:tc>
        <w:tc>
          <w:tcPr>
            <w:tcW w:w="1687" w:type="dxa"/>
          </w:tcPr>
          <w:p>
            <w:pPr>
              <w:pStyle w:val="TableParagraph"/>
              <w:rPr>
                <w:rFonts w:ascii="Times New Roman"/>
                <w:sz w:val="28"/>
              </w:rPr>
            </w:pPr>
          </w:p>
        </w:tc>
        <w:tc>
          <w:tcPr>
            <w:tcW w:w="2151" w:type="dxa"/>
          </w:tcPr>
          <w:p>
            <w:pPr>
              <w:pStyle w:val="TableParagraph"/>
              <w:rPr>
                <w:rFonts w:ascii="Times New Roman"/>
                <w:sz w:val="28"/>
              </w:rPr>
            </w:pPr>
          </w:p>
        </w:tc>
        <w:tc>
          <w:tcPr>
            <w:tcW w:w="1997" w:type="dxa"/>
          </w:tcPr>
          <w:p>
            <w:pPr>
              <w:pStyle w:val="TableParagraph"/>
              <w:spacing w:before="6"/>
              <w:ind w:left="106"/>
              <w:rPr>
                <w:rFonts w:ascii="Courier New"/>
                <w:sz w:val="28"/>
              </w:rPr>
            </w:pPr>
            <w:r>
              <w:rPr>
                <w:rFonts w:ascii="Courier New"/>
                <w:w w:val="100"/>
                <w:sz w:val="28"/>
              </w:rPr>
              <w:t>X</w:t>
            </w:r>
          </w:p>
        </w:tc>
        <w:tc>
          <w:tcPr>
            <w:tcW w:w="1690" w:type="dxa"/>
          </w:tcPr>
          <w:p>
            <w:pPr>
              <w:pStyle w:val="TableParagraph"/>
              <w:spacing w:before="6"/>
              <w:ind w:left="103"/>
              <w:rPr>
                <w:rFonts w:ascii="Courier New"/>
                <w:sz w:val="28"/>
              </w:rPr>
            </w:pPr>
            <w:r>
              <w:rPr>
                <w:rFonts w:ascii="Courier New"/>
                <w:w w:val="100"/>
                <w:sz w:val="28"/>
              </w:rPr>
              <w:t>X</w:t>
            </w:r>
          </w:p>
        </w:tc>
        <w:tc>
          <w:tcPr>
            <w:tcW w:w="1687" w:type="dxa"/>
          </w:tcPr>
          <w:p>
            <w:pPr>
              <w:pStyle w:val="TableParagraph"/>
              <w:rPr>
                <w:rFonts w:ascii="Times New Roman"/>
                <w:sz w:val="28"/>
              </w:rPr>
            </w:pPr>
          </w:p>
        </w:tc>
        <w:tc>
          <w:tcPr>
            <w:tcW w:w="86" w:type="dxa"/>
            <w:tcBorders>
              <w:top w:val="nil"/>
              <w:bottom w:val="nil"/>
              <w:right w:val="nil"/>
            </w:tcBorders>
          </w:tcPr>
          <w:p>
            <w:pPr>
              <w:pStyle w:val="TableParagraph"/>
              <w:rPr>
                <w:rFonts w:ascii="Times New Roman"/>
                <w:sz w:val="28"/>
              </w:rPr>
            </w:pPr>
          </w:p>
        </w:tc>
      </w:tr>
      <w:tr>
        <w:trPr>
          <w:trHeight w:val="563" w:hRule="atLeast"/>
        </w:trPr>
        <w:tc>
          <w:tcPr>
            <w:tcW w:w="2115" w:type="dxa"/>
            <w:shd w:val="clear" w:color="auto" w:fill="00AFEF"/>
          </w:tcPr>
          <w:p>
            <w:pPr>
              <w:pStyle w:val="TableParagraph"/>
              <w:spacing w:line="317" w:lineRule="exact"/>
              <w:ind w:left="107"/>
              <w:rPr>
                <w:rFonts w:ascii="Courier New"/>
                <w:b/>
                <w:sz w:val="28"/>
              </w:rPr>
            </w:pPr>
            <w:r>
              <w:rPr>
                <w:rFonts w:ascii="Courier New"/>
                <w:b/>
                <w:sz w:val="28"/>
              </w:rPr>
              <w:t>Pomegranate</w:t>
            </w:r>
          </w:p>
        </w:tc>
        <w:tc>
          <w:tcPr>
            <w:tcW w:w="1229" w:type="dxa"/>
          </w:tcPr>
          <w:p>
            <w:pPr>
              <w:pStyle w:val="TableParagraph"/>
              <w:spacing w:before="6"/>
              <w:ind w:left="105"/>
              <w:rPr>
                <w:rFonts w:ascii="Courier New"/>
                <w:sz w:val="28"/>
              </w:rPr>
            </w:pPr>
            <w:r>
              <w:rPr>
                <w:rFonts w:ascii="Courier New"/>
                <w:sz w:val="28"/>
              </w:rPr>
              <w:t>490</w:t>
            </w:r>
          </w:p>
        </w:tc>
        <w:tc>
          <w:tcPr>
            <w:tcW w:w="1074" w:type="dxa"/>
          </w:tcPr>
          <w:p>
            <w:pPr>
              <w:pStyle w:val="TableParagraph"/>
              <w:spacing w:before="6"/>
              <w:ind w:left="105"/>
              <w:rPr>
                <w:rFonts w:ascii="Courier New"/>
                <w:sz w:val="28"/>
              </w:rPr>
            </w:pPr>
            <w:r>
              <w:rPr>
                <w:rFonts w:ascii="Courier New"/>
                <w:w w:val="100"/>
                <w:sz w:val="28"/>
              </w:rPr>
              <w:t>X</w:t>
            </w:r>
          </w:p>
        </w:tc>
        <w:tc>
          <w:tcPr>
            <w:tcW w:w="1930" w:type="dxa"/>
          </w:tcPr>
          <w:p>
            <w:pPr>
              <w:pStyle w:val="TableParagraph"/>
              <w:rPr>
                <w:rFonts w:ascii="Times New Roman"/>
                <w:sz w:val="28"/>
              </w:rPr>
            </w:pPr>
          </w:p>
        </w:tc>
        <w:tc>
          <w:tcPr>
            <w:tcW w:w="1911" w:type="dxa"/>
          </w:tcPr>
          <w:p>
            <w:pPr>
              <w:pStyle w:val="TableParagraph"/>
              <w:spacing w:before="6"/>
              <w:ind w:left="103"/>
              <w:rPr>
                <w:rFonts w:ascii="Courier New"/>
                <w:sz w:val="28"/>
              </w:rPr>
            </w:pPr>
            <w:r>
              <w:rPr>
                <w:rFonts w:ascii="Courier New"/>
                <w:w w:val="100"/>
                <w:sz w:val="28"/>
              </w:rPr>
              <w:t>X</w:t>
            </w:r>
          </w:p>
        </w:tc>
        <w:tc>
          <w:tcPr>
            <w:tcW w:w="1687" w:type="dxa"/>
          </w:tcPr>
          <w:p>
            <w:pPr>
              <w:pStyle w:val="TableParagraph"/>
              <w:spacing w:before="6"/>
              <w:ind w:left="103"/>
              <w:rPr>
                <w:rFonts w:ascii="Courier New"/>
                <w:sz w:val="28"/>
              </w:rPr>
            </w:pPr>
            <w:r>
              <w:rPr>
                <w:rFonts w:ascii="Courier New"/>
                <w:w w:val="100"/>
                <w:sz w:val="28"/>
              </w:rPr>
              <w:t>X</w:t>
            </w:r>
          </w:p>
        </w:tc>
        <w:tc>
          <w:tcPr>
            <w:tcW w:w="2151" w:type="dxa"/>
          </w:tcPr>
          <w:p>
            <w:pPr>
              <w:pStyle w:val="TableParagraph"/>
              <w:spacing w:before="6"/>
              <w:ind w:left="106"/>
              <w:rPr>
                <w:rFonts w:ascii="Courier New"/>
                <w:sz w:val="28"/>
              </w:rPr>
            </w:pPr>
            <w:r>
              <w:rPr>
                <w:rFonts w:ascii="Courier New"/>
                <w:w w:val="100"/>
                <w:sz w:val="28"/>
              </w:rPr>
              <w:t>X</w:t>
            </w:r>
          </w:p>
        </w:tc>
        <w:tc>
          <w:tcPr>
            <w:tcW w:w="1997" w:type="dxa"/>
          </w:tcPr>
          <w:p>
            <w:pPr>
              <w:pStyle w:val="TableParagraph"/>
              <w:spacing w:before="6"/>
              <w:ind w:left="106"/>
              <w:rPr>
                <w:rFonts w:ascii="Courier New"/>
                <w:sz w:val="28"/>
              </w:rPr>
            </w:pPr>
            <w:r>
              <w:rPr>
                <w:rFonts w:ascii="Courier New"/>
                <w:w w:val="100"/>
                <w:sz w:val="28"/>
              </w:rPr>
              <w:t>X</w:t>
            </w:r>
          </w:p>
        </w:tc>
        <w:tc>
          <w:tcPr>
            <w:tcW w:w="1690" w:type="dxa"/>
          </w:tcPr>
          <w:p>
            <w:pPr>
              <w:pStyle w:val="TableParagraph"/>
              <w:spacing w:before="6"/>
              <w:ind w:left="103"/>
              <w:rPr>
                <w:rFonts w:ascii="Courier New"/>
                <w:sz w:val="28"/>
              </w:rPr>
            </w:pPr>
            <w:r>
              <w:rPr>
                <w:rFonts w:ascii="Courier New"/>
                <w:w w:val="100"/>
                <w:sz w:val="28"/>
              </w:rPr>
              <w:t>X</w:t>
            </w:r>
          </w:p>
        </w:tc>
        <w:tc>
          <w:tcPr>
            <w:tcW w:w="1687" w:type="dxa"/>
          </w:tcPr>
          <w:p>
            <w:pPr>
              <w:pStyle w:val="TableParagraph"/>
              <w:rPr>
                <w:rFonts w:ascii="Times New Roman"/>
                <w:sz w:val="28"/>
              </w:rPr>
            </w:pPr>
          </w:p>
        </w:tc>
        <w:tc>
          <w:tcPr>
            <w:tcW w:w="86" w:type="dxa"/>
            <w:tcBorders>
              <w:top w:val="nil"/>
              <w:bottom w:val="nil"/>
              <w:right w:val="nil"/>
            </w:tcBorders>
          </w:tcPr>
          <w:p>
            <w:pPr>
              <w:pStyle w:val="TableParagraph"/>
              <w:rPr>
                <w:rFonts w:ascii="Times New Roman"/>
                <w:sz w:val="28"/>
              </w:rPr>
            </w:pPr>
          </w:p>
        </w:tc>
      </w:tr>
      <w:tr>
        <w:trPr>
          <w:trHeight w:val="566" w:hRule="atLeast"/>
        </w:trPr>
        <w:tc>
          <w:tcPr>
            <w:tcW w:w="2115" w:type="dxa"/>
            <w:shd w:val="clear" w:color="auto" w:fill="00AFEF"/>
          </w:tcPr>
          <w:p>
            <w:pPr>
              <w:pStyle w:val="TableParagraph"/>
              <w:ind w:left="107"/>
              <w:rPr>
                <w:rFonts w:ascii="Courier New"/>
                <w:b/>
                <w:sz w:val="28"/>
              </w:rPr>
            </w:pPr>
            <w:r>
              <w:rPr>
                <w:rFonts w:ascii="Courier New"/>
                <w:b/>
                <w:sz w:val="28"/>
              </w:rPr>
              <w:t>L-Carnosine</w:t>
            </w:r>
          </w:p>
        </w:tc>
        <w:tc>
          <w:tcPr>
            <w:tcW w:w="1229" w:type="dxa"/>
          </w:tcPr>
          <w:p>
            <w:pPr>
              <w:pStyle w:val="TableParagraph"/>
              <w:spacing w:before="7"/>
              <w:ind w:left="105"/>
              <w:rPr>
                <w:rFonts w:ascii="Courier New"/>
                <w:sz w:val="28"/>
              </w:rPr>
            </w:pPr>
            <w:r>
              <w:rPr>
                <w:rFonts w:ascii="Courier New"/>
                <w:sz w:val="28"/>
              </w:rPr>
              <w:t>924</w:t>
            </w:r>
          </w:p>
        </w:tc>
        <w:tc>
          <w:tcPr>
            <w:tcW w:w="1074" w:type="dxa"/>
          </w:tcPr>
          <w:p>
            <w:pPr>
              <w:pStyle w:val="TableParagraph"/>
              <w:spacing w:before="7"/>
              <w:ind w:left="105"/>
              <w:rPr>
                <w:rFonts w:ascii="Courier New"/>
                <w:sz w:val="28"/>
              </w:rPr>
            </w:pPr>
            <w:r>
              <w:rPr>
                <w:rFonts w:ascii="Courier New"/>
                <w:w w:val="100"/>
                <w:sz w:val="28"/>
              </w:rPr>
              <w:t>X</w:t>
            </w:r>
          </w:p>
        </w:tc>
        <w:tc>
          <w:tcPr>
            <w:tcW w:w="1930" w:type="dxa"/>
          </w:tcPr>
          <w:p>
            <w:pPr>
              <w:pStyle w:val="TableParagraph"/>
              <w:rPr>
                <w:rFonts w:ascii="Times New Roman"/>
                <w:sz w:val="28"/>
              </w:rPr>
            </w:pPr>
          </w:p>
        </w:tc>
        <w:tc>
          <w:tcPr>
            <w:tcW w:w="1911" w:type="dxa"/>
          </w:tcPr>
          <w:p>
            <w:pPr>
              <w:pStyle w:val="TableParagraph"/>
              <w:spacing w:before="7"/>
              <w:ind w:left="103"/>
              <w:rPr>
                <w:rFonts w:ascii="Courier New"/>
                <w:sz w:val="28"/>
              </w:rPr>
            </w:pPr>
            <w:r>
              <w:rPr>
                <w:rFonts w:ascii="Courier New"/>
                <w:w w:val="100"/>
                <w:sz w:val="28"/>
              </w:rPr>
              <w:t>X</w:t>
            </w:r>
          </w:p>
        </w:tc>
        <w:tc>
          <w:tcPr>
            <w:tcW w:w="1687" w:type="dxa"/>
          </w:tcPr>
          <w:p>
            <w:pPr>
              <w:pStyle w:val="TableParagraph"/>
              <w:rPr>
                <w:rFonts w:ascii="Times New Roman"/>
                <w:sz w:val="28"/>
              </w:rPr>
            </w:pPr>
          </w:p>
        </w:tc>
        <w:tc>
          <w:tcPr>
            <w:tcW w:w="2151" w:type="dxa"/>
          </w:tcPr>
          <w:p>
            <w:pPr>
              <w:pStyle w:val="TableParagraph"/>
              <w:rPr>
                <w:rFonts w:ascii="Times New Roman"/>
                <w:sz w:val="28"/>
              </w:rPr>
            </w:pPr>
          </w:p>
        </w:tc>
        <w:tc>
          <w:tcPr>
            <w:tcW w:w="1997" w:type="dxa"/>
          </w:tcPr>
          <w:p>
            <w:pPr>
              <w:pStyle w:val="TableParagraph"/>
              <w:spacing w:before="7"/>
              <w:ind w:left="106"/>
              <w:rPr>
                <w:rFonts w:ascii="Courier New"/>
                <w:sz w:val="28"/>
              </w:rPr>
            </w:pPr>
            <w:r>
              <w:rPr>
                <w:rFonts w:ascii="Courier New"/>
                <w:w w:val="100"/>
                <w:sz w:val="28"/>
              </w:rPr>
              <w:t>X</w:t>
            </w:r>
          </w:p>
        </w:tc>
        <w:tc>
          <w:tcPr>
            <w:tcW w:w="1690" w:type="dxa"/>
          </w:tcPr>
          <w:p>
            <w:pPr>
              <w:pStyle w:val="TableParagraph"/>
              <w:spacing w:before="7"/>
              <w:ind w:left="103"/>
              <w:rPr>
                <w:rFonts w:ascii="Courier New"/>
                <w:sz w:val="28"/>
              </w:rPr>
            </w:pPr>
            <w:r>
              <w:rPr>
                <w:rFonts w:ascii="Courier New"/>
                <w:w w:val="100"/>
                <w:sz w:val="28"/>
              </w:rPr>
              <w:t>X</w:t>
            </w:r>
          </w:p>
        </w:tc>
        <w:tc>
          <w:tcPr>
            <w:tcW w:w="1687" w:type="dxa"/>
          </w:tcPr>
          <w:p>
            <w:pPr>
              <w:pStyle w:val="TableParagraph"/>
              <w:spacing w:before="7"/>
              <w:ind w:left="103"/>
              <w:rPr>
                <w:rFonts w:ascii="Courier New"/>
                <w:sz w:val="28"/>
              </w:rPr>
            </w:pPr>
            <w:r>
              <w:rPr>
                <w:rFonts w:ascii="Courier New"/>
                <w:w w:val="100"/>
                <w:sz w:val="28"/>
              </w:rPr>
              <w:t>X</w:t>
            </w:r>
          </w:p>
        </w:tc>
        <w:tc>
          <w:tcPr>
            <w:tcW w:w="86" w:type="dxa"/>
            <w:tcBorders>
              <w:top w:val="nil"/>
              <w:bottom w:val="nil"/>
              <w:right w:val="nil"/>
            </w:tcBorders>
          </w:tcPr>
          <w:p>
            <w:pPr>
              <w:pStyle w:val="TableParagraph"/>
              <w:rPr>
                <w:rFonts w:ascii="Times New Roman"/>
                <w:sz w:val="28"/>
              </w:rPr>
            </w:pPr>
          </w:p>
        </w:tc>
      </w:tr>
    </w:tbl>
    <w:p>
      <w:pPr>
        <w:spacing w:after="0"/>
        <w:rPr>
          <w:rFonts w:ascii="Times New Roman"/>
          <w:sz w:val="28"/>
        </w:rPr>
        <w:sectPr>
          <w:pgSz w:w="18630" w:h="11910" w:orient="landscape"/>
          <w:pgMar w:header="0" w:footer="404" w:top="840" w:bottom="600" w:left="740" w:right="8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15"/>
        <w:gridCol w:w="1229"/>
        <w:gridCol w:w="1074"/>
        <w:gridCol w:w="1930"/>
        <w:gridCol w:w="1911"/>
        <w:gridCol w:w="1687"/>
        <w:gridCol w:w="2151"/>
        <w:gridCol w:w="1997"/>
        <w:gridCol w:w="1690"/>
        <w:gridCol w:w="1687"/>
      </w:tblGrid>
      <w:tr>
        <w:trPr>
          <w:trHeight w:val="564" w:hRule="atLeast"/>
        </w:trPr>
        <w:tc>
          <w:tcPr>
            <w:tcW w:w="2115" w:type="dxa"/>
            <w:shd w:val="clear" w:color="auto" w:fill="00AFEF"/>
          </w:tcPr>
          <w:p>
            <w:pPr>
              <w:pStyle w:val="TableParagraph"/>
              <w:spacing w:line="317" w:lineRule="exact"/>
              <w:ind w:left="107"/>
              <w:rPr>
                <w:rFonts w:ascii="Courier New"/>
                <w:b/>
                <w:sz w:val="28"/>
              </w:rPr>
            </w:pPr>
            <w:r>
              <w:rPr>
                <w:rFonts w:ascii="Courier New"/>
                <w:b/>
                <w:sz w:val="28"/>
              </w:rPr>
              <w:t>Green Tea</w:t>
            </w:r>
          </w:p>
        </w:tc>
        <w:tc>
          <w:tcPr>
            <w:tcW w:w="1229" w:type="dxa"/>
          </w:tcPr>
          <w:p>
            <w:pPr>
              <w:pStyle w:val="TableParagraph"/>
              <w:spacing w:before="6"/>
              <w:ind w:left="105"/>
              <w:rPr>
                <w:rFonts w:ascii="Courier New"/>
                <w:sz w:val="28"/>
              </w:rPr>
            </w:pPr>
            <w:r>
              <w:rPr>
                <w:rFonts w:ascii="Courier New"/>
                <w:sz w:val="28"/>
              </w:rPr>
              <w:t>587</w:t>
            </w:r>
          </w:p>
        </w:tc>
        <w:tc>
          <w:tcPr>
            <w:tcW w:w="1074" w:type="dxa"/>
          </w:tcPr>
          <w:p>
            <w:pPr>
              <w:pStyle w:val="TableParagraph"/>
              <w:spacing w:before="6"/>
              <w:ind w:left="105"/>
              <w:rPr>
                <w:rFonts w:ascii="Courier New"/>
                <w:sz w:val="28"/>
              </w:rPr>
            </w:pPr>
            <w:r>
              <w:rPr>
                <w:rFonts w:ascii="Courier New"/>
                <w:w w:val="100"/>
                <w:sz w:val="28"/>
              </w:rPr>
              <w:t>X</w:t>
            </w:r>
          </w:p>
        </w:tc>
        <w:tc>
          <w:tcPr>
            <w:tcW w:w="1930" w:type="dxa"/>
          </w:tcPr>
          <w:p>
            <w:pPr>
              <w:pStyle w:val="TableParagraph"/>
              <w:rPr>
                <w:rFonts w:ascii="Times New Roman"/>
                <w:sz w:val="28"/>
              </w:rPr>
            </w:pPr>
          </w:p>
        </w:tc>
        <w:tc>
          <w:tcPr>
            <w:tcW w:w="1911" w:type="dxa"/>
          </w:tcPr>
          <w:p>
            <w:pPr>
              <w:pStyle w:val="TableParagraph"/>
              <w:spacing w:before="6"/>
              <w:ind w:left="103"/>
              <w:rPr>
                <w:rFonts w:ascii="Courier New"/>
                <w:sz w:val="28"/>
              </w:rPr>
            </w:pPr>
            <w:r>
              <w:rPr>
                <w:rFonts w:ascii="Courier New"/>
                <w:w w:val="100"/>
                <w:sz w:val="28"/>
              </w:rPr>
              <w:t>X</w:t>
            </w:r>
          </w:p>
        </w:tc>
        <w:tc>
          <w:tcPr>
            <w:tcW w:w="1687" w:type="dxa"/>
          </w:tcPr>
          <w:p>
            <w:pPr>
              <w:pStyle w:val="TableParagraph"/>
              <w:spacing w:before="6"/>
              <w:ind w:left="103"/>
              <w:rPr>
                <w:rFonts w:ascii="Courier New"/>
                <w:sz w:val="28"/>
              </w:rPr>
            </w:pPr>
            <w:r>
              <w:rPr>
                <w:rFonts w:ascii="Courier New"/>
                <w:w w:val="100"/>
                <w:sz w:val="28"/>
              </w:rPr>
              <w:t>X</w:t>
            </w:r>
          </w:p>
        </w:tc>
        <w:tc>
          <w:tcPr>
            <w:tcW w:w="2151" w:type="dxa"/>
          </w:tcPr>
          <w:p>
            <w:pPr>
              <w:pStyle w:val="TableParagraph"/>
              <w:rPr>
                <w:rFonts w:ascii="Times New Roman"/>
                <w:sz w:val="28"/>
              </w:rPr>
            </w:pPr>
          </w:p>
        </w:tc>
        <w:tc>
          <w:tcPr>
            <w:tcW w:w="1997" w:type="dxa"/>
          </w:tcPr>
          <w:p>
            <w:pPr>
              <w:pStyle w:val="TableParagraph"/>
              <w:spacing w:before="6"/>
              <w:ind w:left="106"/>
              <w:rPr>
                <w:rFonts w:ascii="Courier New"/>
                <w:sz w:val="28"/>
              </w:rPr>
            </w:pPr>
            <w:r>
              <w:rPr>
                <w:rFonts w:ascii="Courier New"/>
                <w:w w:val="100"/>
                <w:sz w:val="28"/>
              </w:rPr>
              <w:t>X</w:t>
            </w:r>
          </w:p>
        </w:tc>
        <w:tc>
          <w:tcPr>
            <w:tcW w:w="1690" w:type="dxa"/>
          </w:tcPr>
          <w:p>
            <w:pPr>
              <w:pStyle w:val="TableParagraph"/>
              <w:spacing w:before="6"/>
              <w:ind w:left="103"/>
              <w:rPr>
                <w:rFonts w:ascii="Courier New"/>
                <w:sz w:val="28"/>
              </w:rPr>
            </w:pPr>
            <w:r>
              <w:rPr>
                <w:rFonts w:ascii="Courier New"/>
                <w:w w:val="100"/>
                <w:sz w:val="28"/>
              </w:rPr>
              <w:t>X</w:t>
            </w:r>
          </w:p>
        </w:tc>
        <w:tc>
          <w:tcPr>
            <w:tcW w:w="1687" w:type="dxa"/>
          </w:tcPr>
          <w:p>
            <w:pPr>
              <w:pStyle w:val="TableParagraph"/>
              <w:rPr>
                <w:rFonts w:ascii="Times New Roman"/>
                <w:sz w:val="28"/>
              </w:rPr>
            </w:pPr>
          </w:p>
        </w:tc>
      </w:tr>
      <w:tr>
        <w:trPr>
          <w:trHeight w:val="565" w:hRule="atLeast"/>
        </w:trPr>
        <w:tc>
          <w:tcPr>
            <w:tcW w:w="2115" w:type="dxa"/>
            <w:shd w:val="clear" w:color="auto" w:fill="00AFEF"/>
          </w:tcPr>
          <w:p>
            <w:pPr>
              <w:pStyle w:val="TableParagraph"/>
              <w:spacing w:line="317" w:lineRule="exact"/>
              <w:ind w:left="107"/>
              <w:rPr>
                <w:rFonts w:ascii="Courier New"/>
                <w:b/>
                <w:sz w:val="28"/>
              </w:rPr>
            </w:pPr>
            <w:r>
              <w:rPr>
                <w:rFonts w:ascii="Courier New"/>
                <w:b/>
                <w:sz w:val="28"/>
              </w:rPr>
              <w:t>Astragalus</w:t>
            </w:r>
          </w:p>
        </w:tc>
        <w:tc>
          <w:tcPr>
            <w:tcW w:w="1229" w:type="dxa"/>
          </w:tcPr>
          <w:p>
            <w:pPr>
              <w:pStyle w:val="TableParagraph"/>
              <w:spacing w:before="6"/>
              <w:ind w:left="105"/>
              <w:rPr>
                <w:rFonts w:ascii="Courier New"/>
                <w:sz w:val="28"/>
              </w:rPr>
            </w:pPr>
            <w:r>
              <w:rPr>
                <w:rFonts w:ascii="Courier New"/>
                <w:sz w:val="28"/>
              </w:rPr>
              <w:t>197</w:t>
            </w:r>
          </w:p>
        </w:tc>
        <w:tc>
          <w:tcPr>
            <w:tcW w:w="1074" w:type="dxa"/>
          </w:tcPr>
          <w:p>
            <w:pPr>
              <w:pStyle w:val="TableParagraph"/>
              <w:spacing w:before="6"/>
              <w:ind w:left="105"/>
              <w:rPr>
                <w:rFonts w:ascii="Courier New"/>
                <w:sz w:val="28"/>
              </w:rPr>
            </w:pPr>
            <w:r>
              <w:rPr>
                <w:rFonts w:ascii="Courier New"/>
                <w:w w:val="100"/>
                <w:sz w:val="28"/>
              </w:rPr>
              <w:t>X</w:t>
            </w:r>
          </w:p>
        </w:tc>
        <w:tc>
          <w:tcPr>
            <w:tcW w:w="1930" w:type="dxa"/>
          </w:tcPr>
          <w:p>
            <w:pPr>
              <w:pStyle w:val="TableParagraph"/>
              <w:rPr>
                <w:rFonts w:ascii="Times New Roman"/>
                <w:sz w:val="28"/>
              </w:rPr>
            </w:pPr>
          </w:p>
        </w:tc>
        <w:tc>
          <w:tcPr>
            <w:tcW w:w="1911" w:type="dxa"/>
          </w:tcPr>
          <w:p>
            <w:pPr>
              <w:pStyle w:val="TableParagraph"/>
              <w:rPr>
                <w:rFonts w:ascii="Times New Roman"/>
                <w:sz w:val="28"/>
              </w:rPr>
            </w:pPr>
          </w:p>
        </w:tc>
        <w:tc>
          <w:tcPr>
            <w:tcW w:w="1687" w:type="dxa"/>
          </w:tcPr>
          <w:p>
            <w:pPr>
              <w:pStyle w:val="TableParagraph"/>
              <w:rPr>
                <w:rFonts w:ascii="Times New Roman"/>
                <w:sz w:val="28"/>
              </w:rPr>
            </w:pPr>
          </w:p>
        </w:tc>
        <w:tc>
          <w:tcPr>
            <w:tcW w:w="2151" w:type="dxa"/>
          </w:tcPr>
          <w:p>
            <w:pPr>
              <w:pStyle w:val="TableParagraph"/>
              <w:spacing w:before="6"/>
              <w:ind w:left="106"/>
              <w:rPr>
                <w:rFonts w:ascii="Courier New"/>
                <w:sz w:val="28"/>
              </w:rPr>
            </w:pPr>
            <w:r>
              <w:rPr>
                <w:rFonts w:ascii="Courier New"/>
                <w:w w:val="100"/>
                <w:sz w:val="28"/>
              </w:rPr>
              <w:t>X</w:t>
            </w:r>
          </w:p>
        </w:tc>
        <w:tc>
          <w:tcPr>
            <w:tcW w:w="1997" w:type="dxa"/>
          </w:tcPr>
          <w:p>
            <w:pPr>
              <w:pStyle w:val="TableParagraph"/>
              <w:spacing w:before="6"/>
              <w:ind w:left="106"/>
              <w:rPr>
                <w:rFonts w:ascii="Courier New"/>
                <w:sz w:val="28"/>
              </w:rPr>
            </w:pPr>
            <w:r>
              <w:rPr>
                <w:rFonts w:ascii="Courier New"/>
                <w:w w:val="100"/>
                <w:sz w:val="28"/>
              </w:rPr>
              <w:t>X</w:t>
            </w:r>
          </w:p>
        </w:tc>
        <w:tc>
          <w:tcPr>
            <w:tcW w:w="1690" w:type="dxa"/>
          </w:tcPr>
          <w:p>
            <w:pPr>
              <w:pStyle w:val="TableParagraph"/>
              <w:spacing w:before="6"/>
              <w:ind w:left="103"/>
              <w:rPr>
                <w:rFonts w:ascii="Courier New"/>
                <w:sz w:val="28"/>
              </w:rPr>
            </w:pPr>
            <w:r>
              <w:rPr>
                <w:rFonts w:ascii="Courier New"/>
                <w:w w:val="100"/>
                <w:sz w:val="28"/>
              </w:rPr>
              <w:t>X</w:t>
            </w:r>
          </w:p>
        </w:tc>
        <w:tc>
          <w:tcPr>
            <w:tcW w:w="1687" w:type="dxa"/>
          </w:tcPr>
          <w:p>
            <w:pPr>
              <w:pStyle w:val="TableParagraph"/>
              <w:rPr>
                <w:rFonts w:ascii="Times New Roman"/>
                <w:sz w:val="28"/>
              </w:rPr>
            </w:pPr>
          </w:p>
        </w:tc>
      </w:tr>
      <w:tr>
        <w:trPr>
          <w:trHeight w:val="563" w:hRule="atLeast"/>
        </w:trPr>
        <w:tc>
          <w:tcPr>
            <w:tcW w:w="2115" w:type="dxa"/>
            <w:shd w:val="clear" w:color="auto" w:fill="00AFEF"/>
          </w:tcPr>
          <w:p>
            <w:pPr>
              <w:pStyle w:val="TableParagraph"/>
              <w:spacing w:line="317" w:lineRule="exact"/>
              <w:ind w:left="107"/>
              <w:rPr>
                <w:rFonts w:ascii="Courier New"/>
                <w:b/>
                <w:sz w:val="28"/>
              </w:rPr>
            </w:pPr>
            <w:r>
              <w:rPr>
                <w:rFonts w:ascii="Courier New"/>
                <w:b/>
                <w:sz w:val="28"/>
              </w:rPr>
              <w:t>Colostrum</w:t>
            </w:r>
          </w:p>
        </w:tc>
        <w:tc>
          <w:tcPr>
            <w:tcW w:w="1229" w:type="dxa"/>
          </w:tcPr>
          <w:p>
            <w:pPr>
              <w:pStyle w:val="TableParagraph"/>
              <w:spacing w:before="6"/>
              <w:ind w:left="105"/>
              <w:rPr>
                <w:rFonts w:ascii="Courier New"/>
                <w:sz w:val="28"/>
              </w:rPr>
            </w:pPr>
            <w:r>
              <w:rPr>
                <w:rFonts w:ascii="Courier New"/>
                <w:sz w:val="28"/>
              </w:rPr>
              <w:t>264</w:t>
            </w:r>
          </w:p>
        </w:tc>
        <w:tc>
          <w:tcPr>
            <w:tcW w:w="1074" w:type="dxa"/>
          </w:tcPr>
          <w:p>
            <w:pPr>
              <w:pStyle w:val="TableParagraph"/>
              <w:spacing w:before="6"/>
              <w:ind w:left="105"/>
              <w:rPr>
                <w:rFonts w:ascii="Courier New"/>
                <w:sz w:val="28"/>
              </w:rPr>
            </w:pPr>
            <w:r>
              <w:rPr>
                <w:rFonts w:ascii="Courier New"/>
                <w:w w:val="100"/>
                <w:sz w:val="28"/>
              </w:rPr>
              <w:t>X</w:t>
            </w:r>
          </w:p>
        </w:tc>
        <w:tc>
          <w:tcPr>
            <w:tcW w:w="1930" w:type="dxa"/>
          </w:tcPr>
          <w:p>
            <w:pPr>
              <w:pStyle w:val="TableParagraph"/>
              <w:rPr>
                <w:rFonts w:ascii="Times New Roman"/>
                <w:sz w:val="28"/>
              </w:rPr>
            </w:pPr>
          </w:p>
        </w:tc>
        <w:tc>
          <w:tcPr>
            <w:tcW w:w="1911" w:type="dxa"/>
          </w:tcPr>
          <w:p>
            <w:pPr>
              <w:pStyle w:val="TableParagraph"/>
              <w:spacing w:before="6"/>
              <w:ind w:left="103"/>
              <w:rPr>
                <w:rFonts w:ascii="Courier New"/>
                <w:sz w:val="28"/>
              </w:rPr>
            </w:pPr>
            <w:r>
              <w:rPr>
                <w:rFonts w:ascii="Courier New"/>
                <w:w w:val="100"/>
                <w:sz w:val="28"/>
              </w:rPr>
              <w:t>X</w:t>
            </w:r>
          </w:p>
        </w:tc>
        <w:tc>
          <w:tcPr>
            <w:tcW w:w="1687" w:type="dxa"/>
          </w:tcPr>
          <w:p>
            <w:pPr>
              <w:pStyle w:val="TableParagraph"/>
              <w:rPr>
                <w:rFonts w:ascii="Times New Roman"/>
                <w:sz w:val="28"/>
              </w:rPr>
            </w:pPr>
          </w:p>
        </w:tc>
        <w:tc>
          <w:tcPr>
            <w:tcW w:w="2151" w:type="dxa"/>
          </w:tcPr>
          <w:p>
            <w:pPr>
              <w:pStyle w:val="TableParagraph"/>
              <w:rPr>
                <w:rFonts w:ascii="Times New Roman"/>
                <w:sz w:val="28"/>
              </w:rPr>
            </w:pPr>
          </w:p>
        </w:tc>
        <w:tc>
          <w:tcPr>
            <w:tcW w:w="1997" w:type="dxa"/>
          </w:tcPr>
          <w:p>
            <w:pPr>
              <w:pStyle w:val="TableParagraph"/>
              <w:rPr>
                <w:rFonts w:ascii="Times New Roman"/>
                <w:sz w:val="28"/>
              </w:rPr>
            </w:pPr>
          </w:p>
        </w:tc>
        <w:tc>
          <w:tcPr>
            <w:tcW w:w="1690" w:type="dxa"/>
          </w:tcPr>
          <w:p>
            <w:pPr>
              <w:pStyle w:val="TableParagraph"/>
              <w:spacing w:before="6"/>
              <w:ind w:left="103"/>
              <w:rPr>
                <w:rFonts w:ascii="Courier New"/>
                <w:sz w:val="28"/>
              </w:rPr>
            </w:pPr>
            <w:r>
              <w:rPr>
                <w:rFonts w:ascii="Courier New"/>
                <w:w w:val="100"/>
                <w:sz w:val="28"/>
              </w:rPr>
              <w:t>X</w:t>
            </w:r>
          </w:p>
        </w:tc>
        <w:tc>
          <w:tcPr>
            <w:tcW w:w="1687" w:type="dxa"/>
          </w:tcPr>
          <w:p>
            <w:pPr>
              <w:pStyle w:val="TableParagraph"/>
              <w:spacing w:before="6"/>
              <w:ind w:left="103"/>
              <w:rPr>
                <w:rFonts w:ascii="Courier New"/>
                <w:sz w:val="28"/>
              </w:rPr>
            </w:pPr>
            <w:r>
              <w:rPr>
                <w:rFonts w:ascii="Courier New"/>
                <w:w w:val="100"/>
                <w:sz w:val="28"/>
              </w:rPr>
              <w:t>X</w:t>
            </w:r>
          </w:p>
        </w:tc>
      </w:tr>
      <w:tr>
        <w:trPr>
          <w:trHeight w:val="566" w:hRule="atLeast"/>
        </w:trPr>
        <w:tc>
          <w:tcPr>
            <w:tcW w:w="2115" w:type="dxa"/>
            <w:shd w:val="clear" w:color="auto" w:fill="00AFEF"/>
          </w:tcPr>
          <w:p>
            <w:pPr>
              <w:pStyle w:val="TableParagraph"/>
              <w:spacing w:line="317" w:lineRule="exact"/>
              <w:ind w:left="107"/>
              <w:rPr>
                <w:rFonts w:ascii="Courier New"/>
                <w:b/>
                <w:sz w:val="28"/>
              </w:rPr>
            </w:pPr>
            <w:r>
              <w:rPr>
                <w:rFonts w:ascii="Courier New"/>
                <w:b/>
                <w:sz w:val="28"/>
              </w:rPr>
              <w:t>Curcumin</w:t>
            </w:r>
          </w:p>
        </w:tc>
        <w:tc>
          <w:tcPr>
            <w:tcW w:w="1229" w:type="dxa"/>
          </w:tcPr>
          <w:p>
            <w:pPr>
              <w:pStyle w:val="TableParagraph"/>
              <w:spacing w:before="6"/>
              <w:ind w:left="105"/>
              <w:rPr>
                <w:rFonts w:ascii="Courier New"/>
                <w:sz w:val="28"/>
              </w:rPr>
            </w:pPr>
            <w:r>
              <w:rPr>
                <w:rFonts w:ascii="Courier New"/>
                <w:sz w:val="28"/>
              </w:rPr>
              <w:t>328</w:t>
            </w:r>
          </w:p>
        </w:tc>
        <w:tc>
          <w:tcPr>
            <w:tcW w:w="1074" w:type="dxa"/>
          </w:tcPr>
          <w:p>
            <w:pPr>
              <w:pStyle w:val="TableParagraph"/>
              <w:spacing w:before="6"/>
              <w:ind w:left="105"/>
              <w:rPr>
                <w:rFonts w:ascii="Courier New"/>
                <w:sz w:val="28"/>
              </w:rPr>
            </w:pPr>
            <w:r>
              <w:rPr>
                <w:rFonts w:ascii="Courier New"/>
                <w:w w:val="100"/>
                <w:sz w:val="28"/>
              </w:rPr>
              <w:t>X</w:t>
            </w:r>
          </w:p>
        </w:tc>
        <w:tc>
          <w:tcPr>
            <w:tcW w:w="1930" w:type="dxa"/>
          </w:tcPr>
          <w:p>
            <w:pPr>
              <w:pStyle w:val="TableParagraph"/>
              <w:rPr>
                <w:rFonts w:ascii="Times New Roman"/>
                <w:sz w:val="28"/>
              </w:rPr>
            </w:pPr>
          </w:p>
        </w:tc>
        <w:tc>
          <w:tcPr>
            <w:tcW w:w="1911" w:type="dxa"/>
          </w:tcPr>
          <w:p>
            <w:pPr>
              <w:pStyle w:val="TableParagraph"/>
              <w:spacing w:before="6"/>
              <w:ind w:left="103"/>
              <w:rPr>
                <w:rFonts w:ascii="Courier New"/>
                <w:sz w:val="28"/>
              </w:rPr>
            </w:pPr>
            <w:r>
              <w:rPr>
                <w:rFonts w:ascii="Courier New"/>
                <w:w w:val="100"/>
                <w:sz w:val="28"/>
              </w:rPr>
              <w:t>X</w:t>
            </w:r>
          </w:p>
        </w:tc>
        <w:tc>
          <w:tcPr>
            <w:tcW w:w="1687" w:type="dxa"/>
          </w:tcPr>
          <w:p>
            <w:pPr>
              <w:pStyle w:val="TableParagraph"/>
              <w:rPr>
                <w:rFonts w:ascii="Times New Roman"/>
                <w:sz w:val="28"/>
              </w:rPr>
            </w:pPr>
          </w:p>
        </w:tc>
        <w:tc>
          <w:tcPr>
            <w:tcW w:w="2151" w:type="dxa"/>
          </w:tcPr>
          <w:p>
            <w:pPr>
              <w:pStyle w:val="TableParagraph"/>
              <w:spacing w:before="6"/>
              <w:ind w:left="106"/>
              <w:rPr>
                <w:rFonts w:ascii="Courier New"/>
                <w:sz w:val="28"/>
              </w:rPr>
            </w:pPr>
            <w:r>
              <w:rPr>
                <w:rFonts w:ascii="Courier New"/>
                <w:w w:val="100"/>
                <w:sz w:val="28"/>
              </w:rPr>
              <w:t>X</w:t>
            </w:r>
          </w:p>
        </w:tc>
        <w:tc>
          <w:tcPr>
            <w:tcW w:w="1997" w:type="dxa"/>
          </w:tcPr>
          <w:p>
            <w:pPr>
              <w:pStyle w:val="TableParagraph"/>
              <w:spacing w:before="6"/>
              <w:ind w:left="106"/>
              <w:rPr>
                <w:rFonts w:ascii="Courier New"/>
                <w:sz w:val="28"/>
              </w:rPr>
            </w:pPr>
            <w:r>
              <w:rPr>
                <w:rFonts w:ascii="Courier New"/>
                <w:w w:val="100"/>
                <w:sz w:val="28"/>
              </w:rPr>
              <w:t>X</w:t>
            </w:r>
          </w:p>
        </w:tc>
        <w:tc>
          <w:tcPr>
            <w:tcW w:w="1690" w:type="dxa"/>
          </w:tcPr>
          <w:p>
            <w:pPr>
              <w:pStyle w:val="TableParagraph"/>
              <w:spacing w:before="6"/>
              <w:ind w:left="103"/>
              <w:rPr>
                <w:rFonts w:ascii="Courier New"/>
                <w:sz w:val="28"/>
              </w:rPr>
            </w:pPr>
            <w:r>
              <w:rPr>
                <w:rFonts w:ascii="Courier New"/>
                <w:w w:val="100"/>
                <w:sz w:val="28"/>
              </w:rPr>
              <w:t>X</w:t>
            </w:r>
          </w:p>
        </w:tc>
        <w:tc>
          <w:tcPr>
            <w:tcW w:w="1687" w:type="dxa"/>
          </w:tcPr>
          <w:p>
            <w:pPr>
              <w:pStyle w:val="TableParagraph"/>
              <w:rPr>
                <w:rFonts w:ascii="Times New Roman"/>
                <w:sz w:val="28"/>
              </w:rPr>
            </w:pPr>
          </w:p>
        </w:tc>
      </w:tr>
      <w:tr>
        <w:trPr>
          <w:trHeight w:val="566" w:hRule="atLeast"/>
        </w:trPr>
        <w:tc>
          <w:tcPr>
            <w:tcW w:w="2115" w:type="dxa"/>
            <w:shd w:val="clear" w:color="auto" w:fill="00AFEF"/>
          </w:tcPr>
          <w:p>
            <w:pPr>
              <w:pStyle w:val="TableParagraph"/>
              <w:spacing w:line="317" w:lineRule="exact"/>
              <w:ind w:left="107"/>
              <w:rPr>
                <w:rFonts w:ascii="Courier New"/>
                <w:b/>
                <w:sz w:val="28"/>
              </w:rPr>
            </w:pPr>
            <w:r>
              <w:rPr>
                <w:rFonts w:ascii="Courier New"/>
                <w:b/>
                <w:sz w:val="28"/>
              </w:rPr>
              <w:t>DHEA</w:t>
            </w:r>
          </w:p>
        </w:tc>
        <w:tc>
          <w:tcPr>
            <w:tcW w:w="1229" w:type="dxa"/>
          </w:tcPr>
          <w:p>
            <w:pPr>
              <w:pStyle w:val="TableParagraph"/>
              <w:spacing w:before="6"/>
              <w:ind w:left="105"/>
              <w:rPr>
                <w:rFonts w:ascii="Courier New"/>
                <w:sz w:val="28"/>
              </w:rPr>
            </w:pPr>
            <w:r>
              <w:rPr>
                <w:rFonts w:ascii="Courier New"/>
                <w:sz w:val="28"/>
              </w:rPr>
              <w:t>365</w:t>
            </w:r>
          </w:p>
        </w:tc>
        <w:tc>
          <w:tcPr>
            <w:tcW w:w="1074" w:type="dxa"/>
          </w:tcPr>
          <w:p>
            <w:pPr>
              <w:pStyle w:val="TableParagraph"/>
              <w:spacing w:before="6"/>
              <w:ind w:left="105"/>
              <w:rPr>
                <w:rFonts w:ascii="Courier New"/>
                <w:sz w:val="28"/>
              </w:rPr>
            </w:pPr>
            <w:r>
              <w:rPr>
                <w:rFonts w:ascii="Courier New"/>
                <w:w w:val="100"/>
                <w:sz w:val="28"/>
              </w:rPr>
              <w:t>X</w:t>
            </w:r>
          </w:p>
        </w:tc>
        <w:tc>
          <w:tcPr>
            <w:tcW w:w="1930" w:type="dxa"/>
          </w:tcPr>
          <w:p>
            <w:pPr>
              <w:pStyle w:val="TableParagraph"/>
              <w:rPr>
                <w:rFonts w:ascii="Times New Roman"/>
                <w:sz w:val="28"/>
              </w:rPr>
            </w:pPr>
          </w:p>
        </w:tc>
        <w:tc>
          <w:tcPr>
            <w:tcW w:w="1911" w:type="dxa"/>
          </w:tcPr>
          <w:p>
            <w:pPr>
              <w:pStyle w:val="TableParagraph"/>
              <w:spacing w:before="6"/>
              <w:ind w:left="103"/>
              <w:rPr>
                <w:rFonts w:ascii="Courier New"/>
                <w:sz w:val="28"/>
              </w:rPr>
            </w:pPr>
            <w:r>
              <w:rPr>
                <w:rFonts w:ascii="Courier New"/>
                <w:w w:val="100"/>
                <w:sz w:val="28"/>
              </w:rPr>
              <w:t>X</w:t>
            </w:r>
          </w:p>
        </w:tc>
        <w:tc>
          <w:tcPr>
            <w:tcW w:w="1687" w:type="dxa"/>
          </w:tcPr>
          <w:p>
            <w:pPr>
              <w:pStyle w:val="TableParagraph"/>
              <w:spacing w:before="6"/>
              <w:ind w:left="103"/>
              <w:rPr>
                <w:rFonts w:ascii="Courier New"/>
                <w:sz w:val="28"/>
              </w:rPr>
            </w:pPr>
            <w:r>
              <w:rPr>
                <w:rFonts w:ascii="Courier New"/>
                <w:w w:val="100"/>
                <w:sz w:val="28"/>
              </w:rPr>
              <w:t>X</w:t>
            </w:r>
          </w:p>
        </w:tc>
        <w:tc>
          <w:tcPr>
            <w:tcW w:w="2151" w:type="dxa"/>
          </w:tcPr>
          <w:p>
            <w:pPr>
              <w:pStyle w:val="TableParagraph"/>
              <w:spacing w:before="6"/>
              <w:ind w:left="106"/>
              <w:rPr>
                <w:rFonts w:ascii="Courier New"/>
                <w:sz w:val="28"/>
              </w:rPr>
            </w:pPr>
            <w:r>
              <w:rPr>
                <w:rFonts w:ascii="Courier New"/>
                <w:w w:val="100"/>
                <w:sz w:val="28"/>
              </w:rPr>
              <w:t>X</w:t>
            </w:r>
          </w:p>
        </w:tc>
        <w:tc>
          <w:tcPr>
            <w:tcW w:w="1997" w:type="dxa"/>
          </w:tcPr>
          <w:p>
            <w:pPr>
              <w:pStyle w:val="TableParagraph"/>
              <w:spacing w:before="6"/>
              <w:ind w:left="106"/>
              <w:rPr>
                <w:rFonts w:ascii="Courier New"/>
                <w:sz w:val="28"/>
              </w:rPr>
            </w:pPr>
            <w:r>
              <w:rPr>
                <w:rFonts w:ascii="Courier New"/>
                <w:w w:val="100"/>
                <w:sz w:val="28"/>
              </w:rPr>
              <w:t>X</w:t>
            </w:r>
          </w:p>
        </w:tc>
        <w:tc>
          <w:tcPr>
            <w:tcW w:w="1690" w:type="dxa"/>
          </w:tcPr>
          <w:p>
            <w:pPr>
              <w:pStyle w:val="TableParagraph"/>
              <w:spacing w:before="6"/>
              <w:ind w:left="103"/>
              <w:rPr>
                <w:rFonts w:ascii="Courier New"/>
                <w:sz w:val="28"/>
              </w:rPr>
            </w:pPr>
            <w:r>
              <w:rPr>
                <w:rFonts w:ascii="Courier New"/>
                <w:w w:val="100"/>
                <w:sz w:val="28"/>
              </w:rPr>
              <w:t>X</w:t>
            </w:r>
          </w:p>
        </w:tc>
        <w:tc>
          <w:tcPr>
            <w:tcW w:w="1687" w:type="dxa"/>
          </w:tcPr>
          <w:p>
            <w:pPr>
              <w:pStyle w:val="TableParagraph"/>
              <w:rPr>
                <w:rFonts w:ascii="Times New Roman"/>
                <w:sz w:val="28"/>
              </w:rPr>
            </w:pPr>
          </w:p>
        </w:tc>
      </w:tr>
      <w:tr>
        <w:trPr>
          <w:trHeight w:val="564" w:hRule="atLeast"/>
        </w:trPr>
        <w:tc>
          <w:tcPr>
            <w:tcW w:w="2115" w:type="dxa"/>
            <w:shd w:val="clear" w:color="auto" w:fill="00AFEF"/>
          </w:tcPr>
          <w:p>
            <w:pPr>
              <w:pStyle w:val="TableParagraph"/>
              <w:ind w:left="107"/>
              <w:rPr>
                <w:rFonts w:ascii="Courier New"/>
                <w:b/>
                <w:sz w:val="28"/>
              </w:rPr>
            </w:pPr>
            <w:r>
              <w:rPr>
                <w:rFonts w:ascii="Courier New"/>
                <w:b/>
                <w:sz w:val="28"/>
              </w:rPr>
              <w:t>Ginkgo</w:t>
            </w:r>
          </w:p>
        </w:tc>
        <w:tc>
          <w:tcPr>
            <w:tcW w:w="1229" w:type="dxa"/>
          </w:tcPr>
          <w:p>
            <w:pPr>
              <w:pStyle w:val="TableParagraph"/>
              <w:spacing w:before="7"/>
              <w:ind w:left="105"/>
              <w:rPr>
                <w:rFonts w:ascii="Courier New"/>
                <w:sz w:val="28"/>
              </w:rPr>
            </w:pPr>
            <w:r>
              <w:rPr>
                <w:rFonts w:ascii="Courier New"/>
                <w:sz w:val="28"/>
              </w:rPr>
              <w:t>398</w:t>
            </w:r>
          </w:p>
        </w:tc>
        <w:tc>
          <w:tcPr>
            <w:tcW w:w="1074" w:type="dxa"/>
          </w:tcPr>
          <w:p>
            <w:pPr>
              <w:pStyle w:val="TableParagraph"/>
              <w:spacing w:before="7"/>
              <w:ind w:left="105"/>
              <w:rPr>
                <w:rFonts w:ascii="Courier New"/>
                <w:sz w:val="28"/>
              </w:rPr>
            </w:pPr>
            <w:r>
              <w:rPr>
                <w:rFonts w:ascii="Courier New"/>
                <w:w w:val="100"/>
                <w:sz w:val="28"/>
              </w:rPr>
              <w:t>X</w:t>
            </w:r>
          </w:p>
        </w:tc>
        <w:tc>
          <w:tcPr>
            <w:tcW w:w="1930" w:type="dxa"/>
          </w:tcPr>
          <w:p>
            <w:pPr>
              <w:pStyle w:val="TableParagraph"/>
              <w:rPr>
                <w:rFonts w:ascii="Times New Roman"/>
                <w:sz w:val="28"/>
              </w:rPr>
            </w:pPr>
          </w:p>
        </w:tc>
        <w:tc>
          <w:tcPr>
            <w:tcW w:w="1911" w:type="dxa"/>
          </w:tcPr>
          <w:p>
            <w:pPr>
              <w:pStyle w:val="TableParagraph"/>
              <w:rPr>
                <w:rFonts w:ascii="Times New Roman"/>
                <w:sz w:val="28"/>
              </w:rPr>
            </w:pPr>
          </w:p>
        </w:tc>
        <w:tc>
          <w:tcPr>
            <w:tcW w:w="1687" w:type="dxa"/>
          </w:tcPr>
          <w:p>
            <w:pPr>
              <w:pStyle w:val="TableParagraph"/>
              <w:rPr>
                <w:rFonts w:ascii="Times New Roman"/>
                <w:sz w:val="28"/>
              </w:rPr>
            </w:pPr>
          </w:p>
        </w:tc>
        <w:tc>
          <w:tcPr>
            <w:tcW w:w="2151" w:type="dxa"/>
          </w:tcPr>
          <w:p>
            <w:pPr>
              <w:pStyle w:val="TableParagraph"/>
              <w:rPr>
                <w:rFonts w:ascii="Times New Roman"/>
                <w:sz w:val="28"/>
              </w:rPr>
            </w:pPr>
          </w:p>
        </w:tc>
        <w:tc>
          <w:tcPr>
            <w:tcW w:w="1997" w:type="dxa"/>
          </w:tcPr>
          <w:p>
            <w:pPr>
              <w:pStyle w:val="TableParagraph"/>
              <w:spacing w:before="7"/>
              <w:ind w:left="106"/>
              <w:rPr>
                <w:rFonts w:ascii="Courier New"/>
                <w:sz w:val="28"/>
              </w:rPr>
            </w:pPr>
            <w:r>
              <w:rPr>
                <w:rFonts w:ascii="Courier New"/>
                <w:w w:val="100"/>
                <w:sz w:val="28"/>
              </w:rPr>
              <w:t>X</w:t>
            </w:r>
          </w:p>
        </w:tc>
        <w:tc>
          <w:tcPr>
            <w:tcW w:w="1690" w:type="dxa"/>
          </w:tcPr>
          <w:p>
            <w:pPr>
              <w:pStyle w:val="TableParagraph"/>
              <w:spacing w:before="7"/>
              <w:ind w:left="103"/>
              <w:rPr>
                <w:rFonts w:ascii="Courier New"/>
                <w:sz w:val="28"/>
              </w:rPr>
            </w:pPr>
            <w:r>
              <w:rPr>
                <w:rFonts w:ascii="Courier New"/>
                <w:w w:val="100"/>
                <w:sz w:val="28"/>
              </w:rPr>
              <w:t>X</w:t>
            </w:r>
          </w:p>
        </w:tc>
        <w:tc>
          <w:tcPr>
            <w:tcW w:w="1687" w:type="dxa"/>
          </w:tcPr>
          <w:p>
            <w:pPr>
              <w:pStyle w:val="TableParagraph"/>
              <w:rPr>
                <w:rFonts w:ascii="Times New Roman"/>
                <w:sz w:val="28"/>
              </w:rPr>
            </w:pPr>
          </w:p>
        </w:tc>
      </w:tr>
      <w:tr>
        <w:trPr>
          <w:trHeight w:val="1130" w:hRule="atLeast"/>
        </w:trPr>
        <w:tc>
          <w:tcPr>
            <w:tcW w:w="2115" w:type="dxa"/>
            <w:shd w:val="clear" w:color="auto" w:fill="00AFEF"/>
          </w:tcPr>
          <w:p>
            <w:pPr>
              <w:pStyle w:val="TableParagraph"/>
              <w:spacing w:line="317" w:lineRule="exact"/>
              <w:ind w:left="107"/>
              <w:rPr>
                <w:rFonts w:ascii="Courier New"/>
                <w:b/>
                <w:sz w:val="28"/>
              </w:rPr>
            </w:pPr>
            <w:r>
              <w:rPr>
                <w:rFonts w:ascii="Courier New"/>
                <w:b/>
                <w:sz w:val="28"/>
              </w:rPr>
              <w:t>Acetyl-</w:t>
            </w:r>
          </w:p>
          <w:p>
            <w:pPr>
              <w:pStyle w:val="TableParagraph"/>
              <w:spacing w:before="247"/>
              <w:ind w:left="107"/>
              <w:rPr>
                <w:rFonts w:ascii="Courier New"/>
                <w:b/>
                <w:sz w:val="28"/>
              </w:rPr>
            </w:pPr>
            <w:r>
              <w:rPr>
                <w:rFonts w:ascii="Courier New"/>
                <w:b/>
                <w:sz w:val="28"/>
              </w:rPr>
              <w:t>L-Carnitine</w:t>
            </w:r>
          </w:p>
        </w:tc>
        <w:tc>
          <w:tcPr>
            <w:tcW w:w="1229" w:type="dxa"/>
          </w:tcPr>
          <w:p>
            <w:pPr>
              <w:pStyle w:val="TableParagraph"/>
              <w:spacing w:before="6"/>
              <w:ind w:left="105"/>
              <w:rPr>
                <w:rFonts w:ascii="Courier New"/>
                <w:sz w:val="28"/>
              </w:rPr>
            </w:pPr>
            <w:r>
              <w:rPr>
                <w:rFonts w:ascii="Courier New"/>
                <w:sz w:val="28"/>
              </w:rPr>
              <w:t>866</w:t>
            </w:r>
          </w:p>
        </w:tc>
        <w:tc>
          <w:tcPr>
            <w:tcW w:w="1074" w:type="dxa"/>
          </w:tcPr>
          <w:p>
            <w:pPr>
              <w:pStyle w:val="TableParagraph"/>
              <w:spacing w:before="6"/>
              <w:ind w:left="105"/>
              <w:rPr>
                <w:rFonts w:ascii="Courier New"/>
                <w:sz w:val="28"/>
              </w:rPr>
            </w:pPr>
            <w:r>
              <w:rPr>
                <w:rFonts w:ascii="Courier New"/>
                <w:w w:val="100"/>
                <w:sz w:val="28"/>
              </w:rPr>
              <w:t>X</w:t>
            </w:r>
          </w:p>
        </w:tc>
        <w:tc>
          <w:tcPr>
            <w:tcW w:w="1930" w:type="dxa"/>
          </w:tcPr>
          <w:p>
            <w:pPr>
              <w:pStyle w:val="TableParagraph"/>
              <w:rPr>
                <w:rFonts w:ascii="Times New Roman"/>
                <w:sz w:val="28"/>
              </w:rPr>
            </w:pPr>
          </w:p>
        </w:tc>
        <w:tc>
          <w:tcPr>
            <w:tcW w:w="1911" w:type="dxa"/>
          </w:tcPr>
          <w:p>
            <w:pPr>
              <w:pStyle w:val="TableParagraph"/>
              <w:spacing w:before="6"/>
              <w:ind w:left="103"/>
              <w:rPr>
                <w:rFonts w:ascii="Courier New"/>
                <w:sz w:val="28"/>
              </w:rPr>
            </w:pPr>
            <w:r>
              <w:rPr>
                <w:rFonts w:ascii="Courier New"/>
                <w:w w:val="100"/>
                <w:sz w:val="28"/>
              </w:rPr>
              <w:t>X</w:t>
            </w:r>
          </w:p>
        </w:tc>
        <w:tc>
          <w:tcPr>
            <w:tcW w:w="1687" w:type="dxa"/>
          </w:tcPr>
          <w:p>
            <w:pPr>
              <w:pStyle w:val="TableParagraph"/>
              <w:spacing w:before="6"/>
              <w:ind w:left="103"/>
              <w:rPr>
                <w:rFonts w:ascii="Courier New"/>
                <w:sz w:val="28"/>
              </w:rPr>
            </w:pPr>
            <w:r>
              <w:rPr>
                <w:rFonts w:ascii="Courier New"/>
                <w:w w:val="100"/>
                <w:sz w:val="28"/>
              </w:rPr>
              <w:t>X</w:t>
            </w:r>
          </w:p>
        </w:tc>
        <w:tc>
          <w:tcPr>
            <w:tcW w:w="2151" w:type="dxa"/>
          </w:tcPr>
          <w:p>
            <w:pPr>
              <w:pStyle w:val="TableParagraph"/>
              <w:spacing w:before="6"/>
              <w:ind w:left="106"/>
              <w:rPr>
                <w:rFonts w:ascii="Courier New"/>
                <w:sz w:val="28"/>
              </w:rPr>
            </w:pPr>
            <w:r>
              <w:rPr>
                <w:rFonts w:ascii="Courier New"/>
                <w:w w:val="100"/>
                <w:sz w:val="28"/>
              </w:rPr>
              <w:t>X</w:t>
            </w:r>
          </w:p>
        </w:tc>
        <w:tc>
          <w:tcPr>
            <w:tcW w:w="1997" w:type="dxa"/>
          </w:tcPr>
          <w:p>
            <w:pPr>
              <w:pStyle w:val="TableParagraph"/>
              <w:spacing w:before="6"/>
              <w:ind w:left="106"/>
              <w:rPr>
                <w:rFonts w:ascii="Courier New"/>
                <w:sz w:val="28"/>
              </w:rPr>
            </w:pPr>
            <w:r>
              <w:rPr>
                <w:rFonts w:ascii="Courier New"/>
                <w:w w:val="100"/>
                <w:sz w:val="28"/>
              </w:rPr>
              <w:t>X</w:t>
            </w:r>
          </w:p>
        </w:tc>
        <w:tc>
          <w:tcPr>
            <w:tcW w:w="1690" w:type="dxa"/>
          </w:tcPr>
          <w:p>
            <w:pPr>
              <w:pStyle w:val="TableParagraph"/>
              <w:spacing w:before="6"/>
              <w:ind w:left="103"/>
              <w:rPr>
                <w:rFonts w:ascii="Courier New"/>
                <w:sz w:val="28"/>
              </w:rPr>
            </w:pPr>
            <w:r>
              <w:rPr>
                <w:rFonts w:ascii="Courier New"/>
                <w:w w:val="100"/>
                <w:sz w:val="28"/>
              </w:rPr>
              <w:t>X</w:t>
            </w:r>
          </w:p>
        </w:tc>
        <w:tc>
          <w:tcPr>
            <w:tcW w:w="1687" w:type="dxa"/>
          </w:tcPr>
          <w:p>
            <w:pPr>
              <w:pStyle w:val="TableParagraph"/>
              <w:spacing w:before="6"/>
              <w:ind w:left="103"/>
              <w:rPr>
                <w:rFonts w:ascii="Courier New"/>
                <w:sz w:val="28"/>
              </w:rPr>
            </w:pPr>
            <w:r>
              <w:rPr>
                <w:rFonts w:ascii="Courier New"/>
                <w:w w:val="100"/>
                <w:sz w:val="28"/>
              </w:rPr>
              <w:t>X</w:t>
            </w:r>
          </w:p>
        </w:tc>
      </w:tr>
      <w:tr>
        <w:trPr>
          <w:trHeight w:val="563" w:hRule="atLeast"/>
        </w:trPr>
        <w:tc>
          <w:tcPr>
            <w:tcW w:w="2115" w:type="dxa"/>
            <w:shd w:val="clear" w:color="auto" w:fill="00AFEF"/>
          </w:tcPr>
          <w:p>
            <w:pPr>
              <w:pStyle w:val="TableParagraph"/>
              <w:spacing w:line="317" w:lineRule="exact"/>
              <w:ind w:left="107"/>
              <w:rPr>
                <w:rFonts w:ascii="Courier New"/>
                <w:b/>
                <w:sz w:val="28"/>
              </w:rPr>
            </w:pPr>
            <w:r>
              <w:rPr>
                <w:rFonts w:ascii="Courier New"/>
                <w:b/>
                <w:sz w:val="28"/>
              </w:rPr>
              <w:t>Melatonin</w:t>
            </w:r>
          </w:p>
        </w:tc>
        <w:tc>
          <w:tcPr>
            <w:tcW w:w="1229" w:type="dxa"/>
          </w:tcPr>
          <w:p>
            <w:pPr>
              <w:pStyle w:val="TableParagraph"/>
              <w:spacing w:before="6"/>
              <w:ind w:left="105"/>
              <w:rPr>
                <w:rFonts w:ascii="Courier New"/>
                <w:sz w:val="28"/>
              </w:rPr>
            </w:pPr>
            <w:r>
              <w:rPr>
                <w:rFonts w:ascii="Courier New"/>
                <w:sz w:val="28"/>
              </w:rPr>
              <w:t>954</w:t>
            </w:r>
          </w:p>
        </w:tc>
        <w:tc>
          <w:tcPr>
            <w:tcW w:w="1074" w:type="dxa"/>
          </w:tcPr>
          <w:p>
            <w:pPr>
              <w:pStyle w:val="TableParagraph"/>
              <w:spacing w:before="6"/>
              <w:ind w:left="105"/>
              <w:rPr>
                <w:rFonts w:ascii="Courier New"/>
                <w:sz w:val="28"/>
              </w:rPr>
            </w:pPr>
            <w:r>
              <w:rPr>
                <w:rFonts w:ascii="Courier New"/>
                <w:w w:val="100"/>
                <w:sz w:val="28"/>
              </w:rPr>
              <w:t>X</w:t>
            </w:r>
          </w:p>
        </w:tc>
        <w:tc>
          <w:tcPr>
            <w:tcW w:w="1930" w:type="dxa"/>
          </w:tcPr>
          <w:p>
            <w:pPr>
              <w:pStyle w:val="TableParagraph"/>
              <w:rPr>
                <w:rFonts w:ascii="Times New Roman"/>
                <w:sz w:val="28"/>
              </w:rPr>
            </w:pPr>
          </w:p>
        </w:tc>
        <w:tc>
          <w:tcPr>
            <w:tcW w:w="1911" w:type="dxa"/>
          </w:tcPr>
          <w:p>
            <w:pPr>
              <w:pStyle w:val="TableParagraph"/>
              <w:spacing w:before="6"/>
              <w:ind w:left="103"/>
              <w:rPr>
                <w:rFonts w:ascii="Courier New"/>
                <w:sz w:val="28"/>
              </w:rPr>
            </w:pPr>
            <w:r>
              <w:rPr>
                <w:rFonts w:ascii="Courier New"/>
                <w:w w:val="100"/>
                <w:sz w:val="28"/>
              </w:rPr>
              <w:t>X</w:t>
            </w:r>
          </w:p>
        </w:tc>
        <w:tc>
          <w:tcPr>
            <w:tcW w:w="1687" w:type="dxa"/>
          </w:tcPr>
          <w:p>
            <w:pPr>
              <w:pStyle w:val="TableParagraph"/>
              <w:rPr>
                <w:rFonts w:ascii="Times New Roman"/>
                <w:sz w:val="28"/>
              </w:rPr>
            </w:pPr>
          </w:p>
        </w:tc>
        <w:tc>
          <w:tcPr>
            <w:tcW w:w="2151" w:type="dxa"/>
          </w:tcPr>
          <w:p>
            <w:pPr>
              <w:pStyle w:val="TableParagraph"/>
              <w:rPr>
                <w:rFonts w:ascii="Times New Roman"/>
                <w:sz w:val="28"/>
              </w:rPr>
            </w:pPr>
          </w:p>
        </w:tc>
        <w:tc>
          <w:tcPr>
            <w:tcW w:w="1997" w:type="dxa"/>
          </w:tcPr>
          <w:p>
            <w:pPr>
              <w:pStyle w:val="TableParagraph"/>
              <w:spacing w:before="6"/>
              <w:ind w:left="106"/>
              <w:rPr>
                <w:rFonts w:ascii="Courier New"/>
                <w:sz w:val="28"/>
              </w:rPr>
            </w:pPr>
            <w:r>
              <w:rPr>
                <w:rFonts w:ascii="Courier New"/>
                <w:w w:val="100"/>
                <w:sz w:val="28"/>
              </w:rPr>
              <w:t>X</w:t>
            </w:r>
          </w:p>
        </w:tc>
        <w:tc>
          <w:tcPr>
            <w:tcW w:w="1690" w:type="dxa"/>
          </w:tcPr>
          <w:p>
            <w:pPr>
              <w:pStyle w:val="TableParagraph"/>
              <w:spacing w:before="6"/>
              <w:ind w:left="103"/>
              <w:rPr>
                <w:rFonts w:ascii="Courier New"/>
                <w:sz w:val="28"/>
              </w:rPr>
            </w:pPr>
            <w:r>
              <w:rPr>
                <w:rFonts w:ascii="Courier New"/>
                <w:w w:val="100"/>
                <w:sz w:val="28"/>
              </w:rPr>
              <w:t>X</w:t>
            </w:r>
          </w:p>
        </w:tc>
        <w:tc>
          <w:tcPr>
            <w:tcW w:w="1687" w:type="dxa"/>
          </w:tcPr>
          <w:p>
            <w:pPr>
              <w:pStyle w:val="TableParagraph"/>
              <w:rPr>
                <w:rFonts w:ascii="Times New Roman"/>
                <w:sz w:val="28"/>
              </w:rPr>
            </w:pPr>
          </w:p>
        </w:tc>
      </w:tr>
      <w:tr>
        <w:trPr>
          <w:trHeight w:val="566" w:hRule="atLeast"/>
        </w:trPr>
        <w:tc>
          <w:tcPr>
            <w:tcW w:w="2115" w:type="dxa"/>
            <w:shd w:val="clear" w:color="auto" w:fill="00AFEF"/>
          </w:tcPr>
          <w:p>
            <w:pPr>
              <w:pStyle w:val="TableParagraph"/>
              <w:spacing w:line="317" w:lineRule="exact"/>
              <w:ind w:left="107"/>
              <w:rPr>
                <w:rFonts w:ascii="Courier New"/>
                <w:b/>
                <w:sz w:val="28"/>
              </w:rPr>
            </w:pPr>
            <w:r>
              <w:rPr>
                <w:rFonts w:ascii="Courier New"/>
                <w:b/>
                <w:sz w:val="28"/>
              </w:rPr>
              <w:t>MMS</w:t>
            </w:r>
          </w:p>
        </w:tc>
        <w:tc>
          <w:tcPr>
            <w:tcW w:w="1229" w:type="dxa"/>
          </w:tcPr>
          <w:p>
            <w:pPr>
              <w:pStyle w:val="TableParagraph"/>
              <w:spacing w:before="6"/>
              <w:ind w:left="105"/>
              <w:rPr>
                <w:rFonts w:ascii="Courier New"/>
                <w:sz w:val="28"/>
              </w:rPr>
            </w:pPr>
            <w:r>
              <w:rPr>
                <w:rFonts w:ascii="Courier New"/>
                <w:sz w:val="28"/>
              </w:rPr>
              <w:t>1006</w:t>
            </w:r>
          </w:p>
        </w:tc>
        <w:tc>
          <w:tcPr>
            <w:tcW w:w="1074" w:type="dxa"/>
          </w:tcPr>
          <w:p>
            <w:pPr>
              <w:pStyle w:val="TableParagraph"/>
              <w:rPr>
                <w:rFonts w:ascii="Times New Roman"/>
                <w:sz w:val="28"/>
              </w:rPr>
            </w:pPr>
          </w:p>
        </w:tc>
        <w:tc>
          <w:tcPr>
            <w:tcW w:w="1930" w:type="dxa"/>
          </w:tcPr>
          <w:p>
            <w:pPr>
              <w:pStyle w:val="TableParagraph"/>
              <w:spacing w:before="6"/>
              <w:ind w:left="106"/>
              <w:rPr>
                <w:rFonts w:ascii="Courier New"/>
                <w:sz w:val="28"/>
              </w:rPr>
            </w:pPr>
            <w:r>
              <w:rPr>
                <w:rFonts w:ascii="Courier New"/>
                <w:w w:val="100"/>
                <w:sz w:val="28"/>
              </w:rPr>
              <w:t>X</w:t>
            </w:r>
          </w:p>
        </w:tc>
        <w:tc>
          <w:tcPr>
            <w:tcW w:w="1911" w:type="dxa"/>
          </w:tcPr>
          <w:p>
            <w:pPr>
              <w:pStyle w:val="TableParagraph"/>
              <w:rPr>
                <w:rFonts w:ascii="Times New Roman"/>
                <w:sz w:val="28"/>
              </w:rPr>
            </w:pPr>
          </w:p>
        </w:tc>
        <w:tc>
          <w:tcPr>
            <w:tcW w:w="1687" w:type="dxa"/>
          </w:tcPr>
          <w:p>
            <w:pPr>
              <w:pStyle w:val="TableParagraph"/>
              <w:rPr>
                <w:rFonts w:ascii="Times New Roman"/>
                <w:sz w:val="28"/>
              </w:rPr>
            </w:pPr>
          </w:p>
        </w:tc>
        <w:tc>
          <w:tcPr>
            <w:tcW w:w="2151" w:type="dxa"/>
          </w:tcPr>
          <w:p>
            <w:pPr>
              <w:pStyle w:val="TableParagraph"/>
              <w:rPr>
                <w:rFonts w:ascii="Times New Roman"/>
                <w:sz w:val="28"/>
              </w:rPr>
            </w:pPr>
          </w:p>
        </w:tc>
        <w:tc>
          <w:tcPr>
            <w:tcW w:w="1997" w:type="dxa"/>
          </w:tcPr>
          <w:p>
            <w:pPr>
              <w:pStyle w:val="TableParagraph"/>
              <w:rPr>
                <w:rFonts w:ascii="Times New Roman"/>
                <w:sz w:val="28"/>
              </w:rPr>
            </w:pPr>
          </w:p>
        </w:tc>
        <w:tc>
          <w:tcPr>
            <w:tcW w:w="1690" w:type="dxa"/>
          </w:tcPr>
          <w:p>
            <w:pPr>
              <w:pStyle w:val="TableParagraph"/>
              <w:spacing w:before="6"/>
              <w:ind w:left="103"/>
              <w:rPr>
                <w:rFonts w:ascii="Courier New"/>
                <w:sz w:val="28"/>
              </w:rPr>
            </w:pPr>
            <w:r>
              <w:rPr>
                <w:rFonts w:ascii="Courier New"/>
                <w:w w:val="100"/>
                <w:sz w:val="28"/>
              </w:rPr>
              <w:t>X</w:t>
            </w:r>
          </w:p>
        </w:tc>
        <w:tc>
          <w:tcPr>
            <w:tcW w:w="1687" w:type="dxa"/>
          </w:tcPr>
          <w:p>
            <w:pPr>
              <w:pStyle w:val="TableParagraph"/>
              <w:rPr>
                <w:rFonts w:ascii="Times New Roman"/>
                <w:sz w:val="28"/>
              </w:rPr>
            </w:pPr>
          </w:p>
        </w:tc>
      </w:tr>
      <w:tr>
        <w:trPr>
          <w:trHeight w:val="1657" w:hRule="atLeast"/>
        </w:trPr>
        <w:tc>
          <w:tcPr>
            <w:tcW w:w="2115" w:type="dxa"/>
            <w:shd w:val="clear" w:color="auto" w:fill="00AFEF"/>
          </w:tcPr>
          <w:p>
            <w:pPr>
              <w:pStyle w:val="TableParagraph"/>
              <w:spacing w:line="276" w:lineRule="auto"/>
              <w:ind w:left="107" w:right="315"/>
              <w:rPr>
                <w:rFonts w:ascii="Courier New" w:hAnsi="Courier New"/>
                <w:b/>
                <w:sz w:val="28"/>
              </w:rPr>
            </w:pPr>
            <w:r>
              <w:rPr>
                <w:rFonts w:ascii="Courier New" w:hAnsi="Courier New"/>
                <w:b/>
                <w:sz w:val="28"/>
              </w:rPr>
              <w:t>Omega-3 fatty ac- ids-3- Fettsäuren</w:t>
            </w:r>
          </w:p>
        </w:tc>
        <w:tc>
          <w:tcPr>
            <w:tcW w:w="1229" w:type="dxa"/>
          </w:tcPr>
          <w:p>
            <w:pPr>
              <w:pStyle w:val="TableParagraph"/>
              <w:spacing w:before="6"/>
              <w:ind w:left="105"/>
              <w:rPr>
                <w:rFonts w:ascii="Courier New"/>
                <w:sz w:val="28"/>
              </w:rPr>
            </w:pPr>
            <w:r>
              <w:rPr>
                <w:rFonts w:ascii="Courier New"/>
                <w:sz w:val="28"/>
              </w:rPr>
              <w:t>1036</w:t>
            </w:r>
          </w:p>
        </w:tc>
        <w:tc>
          <w:tcPr>
            <w:tcW w:w="1074" w:type="dxa"/>
          </w:tcPr>
          <w:p>
            <w:pPr>
              <w:pStyle w:val="TableParagraph"/>
              <w:spacing w:before="6"/>
              <w:ind w:left="105"/>
              <w:rPr>
                <w:rFonts w:ascii="Courier New"/>
                <w:sz w:val="28"/>
              </w:rPr>
            </w:pPr>
            <w:r>
              <w:rPr>
                <w:rFonts w:ascii="Courier New"/>
                <w:w w:val="100"/>
                <w:sz w:val="28"/>
              </w:rPr>
              <w:t>X</w:t>
            </w:r>
          </w:p>
        </w:tc>
        <w:tc>
          <w:tcPr>
            <w:tcW w:w="1930" w:type="dxa"/>
          </w:tcPr>
          <w:p>
            <w:pPr>
              <w:pStyle w:val="TableParagraph"/>
              <w:rPr>
                <w:rFonts w:ascii="Times New Roman"/>
                <w:sz w:val="28"/>
              </w:rPr>
            </w:pPr>
          </w:p>
        </w:tc>
        <w:tc>
          <w:tcPr>
            <w:tcW w:w="1911" w:type="dxa"/>
          </w:tcPr>
          <w:p>
            <w:pPr>
              <w:pStyle w:val="TableParagraph"/>
              <w:rPr>
                <w:rFonts w:ascii="Times New Roman"/>
                <w:sz w:val="28"/>
              </w:rPr>
            </w:pPr>
          </w:p>
        </w:tc>
        <w:tc>
          <w:tcPr>
            <w:tcW w:w="1687" w:type="dxa"/>
          </w:tcPr>
          <w:p>
            <w:pPr>
              <w:pStyle w:val="TableParagraph"/>
              <w:spacing w:before="6"/>
              <w:ind w:left="103"/>
              <w:rPr>
                <w:rFonts w:ascii="Courier New"/>
                <w:sz w:val="28"/>
              </w:rPr>
            </w:pPr>
            <w:r>
              <w:rPr>
                <w:rFonts w:ascii="Courier New"/>
                <w:w w:val="100"/>
                <w:sz w:val="28"/>
              </w:rPr>
              <w:t>X</w:t>
            </w:r>
          </w:p>
        </w:tc>
        <w:tc>
          <w:tcPr>
            <w:tcW w:w="2151" w:type="dxa"/>
          </w:tcPr>
          <w:p>
            <w:pPr>
              <w:pStyle w:val="TableParagraph"/>
              <w:rPr>
                <w:rFonts w:ascii="Times New Roman"/>
                <w:sz w:val="28"/>
              </w:rPr>
            </w:pPr>
          </w:p>
        </w:tc>
        <w:tc>
          <w:tcPr>
            <w:tcW w:w="1997" w:type="dxa"/>
          </w:tcPr>
          <w:p>
            <w:pPr>
              <w:pStyle w:val="TableParagraph"/>
              <w:spacing w:before="6"/>
              <w:ind w:left="106"/>
              <w:rPr>
                <w:rFonts w:ascii="Courier New"/>
                <w:sz w:val="28"/>
              </w:rPr>
            </w:pPr>
            <w:r>
              <w:rPr>
                <w:rFonts w:ascii="Courier New"/>
                <w:w w:val="100"/>
                <w:sz w:val="28"/>
              </w:rPr>
              <w:t>X</w:t>
            </w:r>
          </w:p>
        </w:tc>
        <w:tc>
          <w:tcPr>
            <w:tcW w:w="1690" w:type="dxa"/>
          </w:tcPr>
          <w:p>
            <w:pPr>
              <w:pStyle w:val="TableParagraph"/>
              <w:spacing w:before="6"/>
              <w:ind w:left="103"/>
              <w:rPr>
                <w:rFonts w:ascii="Courier New"/>
                <w:sz w:val="28"/>
              </w:rPr>
            </w:pPr>
            <w:r>
              <w:rPr>
                <w:rFonts w:ascii="Courier New"/>
                <w:w w:val="100"/>
                <w:sz w:val="28"/>
              </w:rPr>
              <w:t>X</w:t>
            </w:r>
          </w:p>
        </w:tc>
        <w:tc>
          <w:tcPr>
            <w:tcW w:w="1687" w:type="dxa"/>
          </w:tcPr>
          <w:p>
            <w:pPr>
              <w:pStyle w:val="TableParagraph"/>
              <w:spacing w:before="6"/>
              <w:ind w:left="103"/>
              <w:rPr>
                <w:rFonts w:ascii="Courier New"/>
                <w:sz w:val="28"/>
              </w:rPr>
            </w:pPr>
            <w:r>
              <w:rPr>
                <w:rFonts w:ascii="Courier New"/>
                <w:w w:val="100"/>
                <w:sz w:val="28"/>
              </w:rPr>
              <w:t>X</w:t>
            </w:r>
          </w:p>
        </w:tc>
      </w:tr>
      <w:tr>
        <w:trPr>
          <w:trHeight w:val="931" w:hRule="atLeast"/>
        </w:trPr>
        <w:tc>
          <w:tcPr>
            <w:tcW w:w="2115" w:type="dxa"/>
            <w:shd w:val="clear" w:color="auto" w:fill="00AFEF"/>
          </w:tcPr>
          <w:p>
            <w:pPr>
              <w:pStyle w:val="TableParagraph"/>
              <w:spacing w:line="278" w:lineRule="auto"/>
              <w:ind w:left="107" w:right="633"/>
              <w:rPr>
                <w:rFonts w:ascii="Courier New"/>
                <w:b/>
                <w:sz w:val="28"/>
              </w:rPr>
            </w:pPr>
            <w:r>
              <w:rPr>
                <w:rFonts w:ascii="Courier New"/>
                <w:b/>
                <w:sz w:val="28"/>
              </w:rPr>
              <w:t>Resvera- trol</w:t>
            </w:r>
          </w:p>
        </w:tc>
        <w:tc>
          <w:tcPr>
            <w:tcW w:w="1229" w:type="dxa"/>
          </w:tcPr>
          <w:p>
            <w:pPr>
              <w:pStyle w:val="TableParagraph"/>
              <w:spacing w:before="6"/>
              <w:ind w:left="105"/>
              <w:rPr>
                <w:rFonts w:ascii="Courier New"/>
                <w:sz w:val="28"/>
              </w:rPr>
            </w:pPr>
            <w:r>
              <w:rPr>
                <w:rFonts w:ascii="Courier New"/>
                <w:sz w:val="28"/>
              </w:rPr>
              <w:t>1340</w:t>
            </w:r>
          </w:p>
        </w:tc>
        <w:tc>
          <w:tcPr>
            <w:tcW w:w="1074" w:type="dxa"/>
          </w:tcPr>
          <w:p>
            <w:pPr>
              <w:pStyle w:val="TableParagraph"/>
              <w:spacing w:before="6"/>
              <w:ind w:left="105"/>
              <w:rPr>
                <w:rFonts w:ascii="Courier New"/>
                <w:sz w:val="28"/>
              </w:rPr>
            </w:pPr>
            <w:r>
              <w:rPr>
                <w:rFonts w:ascii="Courier New"/>
                <w:w w:val="100"/>
                <w:sz w:val="28"/>
              </w:rPr>
              <w:t>X</w:t>
            </w:r>
          </w:p>
        </w:tc>
        <w:tc>
          <w:tcPr>
            <w:tcW w:w="1930" w:type="dxa"/>
          </w:tcPr>
          <w:p>
            <w:pPr>
              <w:pStyle w:val="TableParagraph"/>
              <w:rPr>
                <w:rFonts w:ascii="Times New Roman"/>
                <w:sz w:val="28"/>
              </w:rPr>
            </w:pPr>
          </w:p>
        </w:tc>
        <w:tc>
          <w:tcPr>
            <w:tcW w:w="1911" w:type="dxa"/>
          </w:tcPr>
          <w:p>
            <w:pPr>
              <w:pStyle w:val="TableParagraph"/>
              <w:rPr>
                <w:rFonts w:ascii="Times New Roman"/>
                <w:sz w:val="28"/>
              </w:rPr>
            </w:pPr>
          </w:p>
        </w:tc>
        <w:tc>
          <w:tcPr>
            <w:tcW w:w="1687" w:type="dxa"/>
          </w:tcPr>
          <w:p>
            <w:pPr>
              <w:pStyle w:val="TableParagraph"/>
              <w:spacing w:before="6"/>
              <w:ind w:left="103"/>
              <w:rPr>
                <w:rFonts w:ascii="Courier New"/>
                <w:sz w:val="28"/>
              </w:rPr>
            </w:pPr>
            <w:r>
              <w:rPr>
                <w:rFonts w:ascii="Courier New"/>
                <w:w w:val="100"/>
                <w:sz w:val="28"/>
              </w:rPr>
              <w:t>X</w:t>
            </w:r>
          </w:p>
        </w:tc>
        <w:tc>
          <w:tcPr>
            <w:tcW w:w="2151" w:type="dxa"/>
          </w:tcPr>
          <w:p>
            <w:pPr>
              <w:pStyle w:val="TableParagraph"/>
              <w:spacing w:before="6"/>
              <w:ind w:left="106"/>
              <w:rPr>
                <w:rFonts w:ascii="Courier New"/>
                <w:sz w:val="28"/>
              </w:rPr>
            </w:pPr>
            <w:r>
              <w:rPr>
                <w:rFonts w:ascii="Courier New"/>
                <w:w w:val="100"/>
                <w:sz w:val="28"/>
              </w:rPr>
              <w:t>X</w:t>
            </w:r>
          </w:p>
        </w:tc>
        <w:tc>
          <w:tcPr>
            <w:tcW w:w="1997" w:type="dxa"/>
          </w:tcPr>
          <w:p>
            <w:pPr>
              <w:pStyle w:val="TableParagraph"/>
              <w:spacing w:before="6"/>
              <w:ind w:left="106"/>
              <w:rPr>
                <w:rFonts w:ascii="Courier New"/>
                <w:sz w:val="28"/>
              </w:rPr>
            </w:pPr>
            <w:r>
              <w:rPr>
                <w:rFonts w:ascii="Courier New"/>
                <w:w w:val="100"/>
                <w:sz w:val="28"/>
              </w:rPr>
              <w:t>X</w:t>
            </w:r>
          </w:p>
        </w:tc>
        <w:tc>
          <w:tcPr>
            <w:tcW w:w="1690" w:type="dxa"/>
          </w:tcPr>
          <w:p>
            <w:pPr>
              <w:pStyle w:val="TableParagraph"/>
              <w:spacing w:before="6"/>
              <w:ind w:left="103"/>
              <w:rPr>
                <w:rFonts w:ascii="Courier New"/>
                <w:sz w:val="28"/>
              </w:rPr>
            </w:pPr>
            <w:r>
              <w:rPr>
                <w:rFonts w:ascii="Courier New"/>
                <w:w w:val="100"/>
                <w:sz w:val="28"/>
              </w:rPr>
              <w:t>X</w:t>
            </w:r>
          </w:p>
        </w:tc>
        <w:tc>
          <w:tcPr>
            <w:tcW w:w="1687" w:type="dxa"/>
          </w:tcPr>
          <w:p>
            <w:pPr>
              <w:pStyle w:val="TableParagraph"/>
              <w:rPr>
                <w:rFonts w:ascii="Times New Roman"/>
                <w:sz w:val="28"/>
              </w:rPr>
            </w:pPr>
          </w:p>
        </w:tc>
      </w:tr>
      <w:tr>
        <w:trPr>
          <w:trHeight w:val="563" w:hRule="atLeast"/>
        </w:trPr>
        <w:tc>
          <w:tcPr>
            <w:tcW w:w="2115" w:type="dxa"/>
            <w:shd w:val="clear" w:color="auto" w:fill="00AFEF"/>
          </w:tcPr>
          <w:p>
            <w:pPr>
              <w:pStyle w:val="TableParagraph"/>
              <w:spacing w:line="317" w:lineRule="exact"/>
              <w:ind w:left="107"/>
              <w:rPr>
                <w:rFonts w:ascii="Courier New"/>
                <w:b/>
                <w:sz w:val="28"/>
              </w:rPr>
            </w:pPr>
            <w:r>
              <w:rPr>
                <w:rFonts w:ascii="Courier New"/>
                <w:b/>
                <w:sz w:val="28"/>
              </w:rPr>
              <w:t>Papain</w:t>
            </w:r>
          </w:p>
        </w:tc>
        <w:tc>
          <w:tcPr>
            <w:tcW w:w="1229" w:type="dxa"/>
          </w:tcPr>
          <w:p>
            <w:pPr>
              <w:pStyle w:val="TableParagraph"/>
              <w:spacing w:before="6"/>
              <w:ind w:left="105"/>
              <w:rPr>
                <w:rFonts w:ascii="Courier New"/>
                <w:sz w:val="28"/>
              </w:rPr>
            </w:pPr>
            <w:r>
              <w:rPr>
                <w:rFonts w:ascii="Courier New"/>
                <w:sz w:val="28"/>
              </w:rPr>
              <w:t>1188</w:t>
            </w:r>
          </w:p>
        </w:tc>
        <w:tc>
          <w:tcPr>
            <w:tcW w:w="1074" w:type="dxa"/>
          </w:tcPr>
          <w:p>
            <w:pPr>
              <w:pStyle w:val="TableParagraph"/>
              <w:spacing w:before="6"/>
              <w:ind w:left="105"/>
              <w:rPr>
                <w:rFonts w:ascii="Courier New"/>
                <w:sz w:val="28"/>
              </w:rPr>
            </w:pPr>
            <w:r>
              <w:rPr>
                <w:rFonts w:ascii="Courier New"/>
                <w:w w:val="100"/>
                <w:sz w:val="28"/>
              </w:rPr>
              <w:t>X</w:t>
            </w:r>
          </w:p>
        </w:tc>
        <w:tc>
          <w:tcPr>
            <w:tcW w:w="1930" w:type="dxa"/>
          </w:tcPr>
          <w:p>
            <w:pPr>
              <w:pStyle w:val="TableParagraph"/>
              <w:rPr>
                <w:rFonts w:ascii="Times New Roman"/>
                <w:sz w:val="28"/>
              </w:rPr>
            </w:pPr>
          </w:p>
        </w:tc>
        <w:tc>
          <w:tcPr>
            <w:tcW w:w="1911" w:type="dxa"/>
          </w:tcPr>
          <w:p>
            <w:pPr>
              <w:pStyle w:val="TableParagraph"/>
              <w:rPr>
                <w:rFonts w:ascii="Times New Roman"/>
                <w:sz w:val="28"/>
              </w:rPr>
            </w:pPr>
          </w:p>
        </w:tc>
        <w:tc>
          <w:tcPr>
            <w:tcW w:w="1687" w:type="dxa"/>
          </w:tcPr>
          <w:p>
            <w:pPr>
              <w:pStyle w:val="TableParagraph"/>
              <w:rPr>
                <w:rFonts w:ascii="Times New Roman"/>
                <w:sz w:val="28"/>
              </w:rPr>
            </w:pPr>
          </w:p>
        </w:tc>
        <w:tc>
          <w:tcPr>
            <w:tcW w:w="2151" w:type="dxa"/>
          </w:tcPr>
          <w:p>
            <w:pPr>
              <w:pStyle w:val="TableParagraph"/>
              <w:rPr>
                <w:rFonts w:ascii="Times New Roman"/>
                <w:sz w:val="28"/>
              </w:rPr>
            </w:pPr>
          </w:p>
        </w:tc>
        <w:tc>
          <w:tcPr>
            <w:tcW w:w="1997" w:type="dxa"/>
          </w:tcPr>
          <w:p>
            <w:pPr>
              <w:pStyle w:val="TableParagraph"/>
              <w:spacing w:before="6"/>
              <w:ind w:left="106"/>
              <w:rPr>
                <w:rFonts w:ascii="Courier New"/>
                <w:sz w:val="28"/>
              </w:rPr>
            </w:pPr>
            <w:r>
              <w:rPr>
                <w:rFonts w:ascii="Courier New"/>
                <w:w w:val="100"/>
                <w:sz w:val="28"/>
              </w:rPr>
              <w:t>X</w:t>
            </w:r>
          </w:p>
        </w:tc>
        <w:tc>
          <w:tcPr>
            <w:tcW w:w="1690" w:type="dxa"/>
          </w:tcPr>
          <w:p>
            <w:pPr>
              <w:pStyle w:val="TableParagraph"/>
              <w:spacing w:before="6"/>
              <w:ind w:left="103"/>
              <w:rPr>
                <w:rFonts w:ascii="Courier New"/>
                <w:sz w:val="28"/>
              </w:rPr>
            </w:pPr>
            <w:r>
              <w:rPr>
                <w:rFonts w:ascii="Courier New"/>
                <w:w w:val="100"/>
                <w:sz w:val="28"/>
              </w:rPr>
              <w:t>X</w:t>
            </w:r>
          </w:p>
        </w:tc>
        <w:tc>
          <w:tcPr>
            <w:tcW w:w="1687" w:type="dxa"/>
          </w:tcPr>
          <w:p>
            <w:pPr>
              <w:pStyle w:val="TableParagraph"/>
              <w:rPr>
                <w:rFonts w:ascii="Times New Roman"/>
                <w:sz w:val="28"/>
              </w:rPr>
            </w:pPr>
          </w:p>
        </w:tc>
      </w:tr>
    </w:tbl>
    <w:p>
      <w:pPr>
        <w:spacing w:after="0"/>
        <w:rPr>
          <w:rFonts w:ascii="Times New Roman"/>
          <w:sz w:val="28"/>
        </w:rPr>
        <w:sectPr>
          <w:pgSz w:w="18630" w:h="11910" w:orient="landscape"/>
          <w:pgMar w:header="0" w:footer="404" w:top="840" w:bottom="600" w:left="740" w:right="8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15"/>
        <w:gridCol w:w="1229"/>
        <w:gridCol w:w="1074"/>
        <w:gridCol w:w="1930"/>
        <w:gridCol w:w="1911"/>
        <w:gridCol w:w="1687"/>
        <w:gridCol w:w="2151"/>
        <w:gridCol w:w="1997"/>
        <w:gridCol w:w="1690"/>
        <w:gridCol w:w="1687"/>
      </w:tblGrid>
      <w:tr>
        <w:trPr>
          <w:trHeight w:val="564" w:hRule="atLeast"/>
        </w:trPr>
        <w:tc>
          <w:tcPr>
            <w:tcW w:w="2115" w:type="dxa"/>
            <w:shd w:val="clear" w:color="auto" w:fill="00AFEF"/>
          </w:tcPr>
          <w:p>
            <w:pPr>
              <w:pStyle w:val="TableParagraph"/>
              <w:spacing w:line="317" w:lineRule="exact"/>
              <w:ind w:left="107"/>
              <w:rPr>
                <w:rFonts w:ascii="Courier New"/>
                <w:b/>
                <w:sz w:val="28"/>
              </w:rPr>
            </w:pPr>
            <w:r>
              <w:rPr>
                <w:rFonts w:ascii="Courier New"/>
                <w:b/>
                <w:sz w:val="28"/>
              </w:rPr>
              <w:t>Rooibos</w:t>
            </w:r>
          </w:p>
        </w:tc>
        <w:tc>
          <w:tcPr>
            <w:tcW w:w="1229" w:type="dxa"/>
          </w:tcPr>
          <w:p>
            <w:pPr>
              <w:pStyle w:val="TableParagraph"/>
              <w:spacing w:before="6"/>
              <w:ind w:left="105"/>
              <w:rPr>
                <w:rFonts w:ascii="Courier New"/>
                <w:sz w:val="28"/>
              </w:rPr>
            </w:pPr>
            <w:r>
              <w:rPr>
                <w:rFonts w:ascii="Courier New"/>
                <w:sz w:val="28"/>
              </w:rPr>
              <w:t>1370</w:t>
            </w:r>
          </w:p>
        </w:tc>
        <w:tc>
          <w:tcPr>
            <w:tcW w:w="1074" w:type="dxa"/>
          </w:tcPr>
          <w:p>
            <w:pPr>
              <w:pStyle w:val="TableParagraph"/>
              <w:spacing w:before="6"/>
              <w:ind w:left="105"/>
              <w:rPr>
                <w:rFonts w:ascii="Courier New"/>
                <w:sz w:val="28"/>
              </w:rPr>
            </w:pPr>
            <w:r>
              <w:rPr>
                <w:rFonts w:ascii="Courier New"/>
                <w:w w:val="100"/>
                <w:sz w:val="28"/>
              </w:rPr>
              <w:t>X</w:t>
            </w:r>
          </w:p>
        </w:tc>
        <w:tc>
          <w:tcPr>
            <w:tcW w:w="1930" w:type="dxa"/>
          </w:tcPr>
          <w:p>
            <w:pPr>
              <w:pStyle w:val="TableParagraph"/>
              <w:rPr>
                <w:rFonts w:ascii="Times New Roman"/>
                <w:sz w:val="28"/>
              </w:rPr>
            </w:pPr>
          </w:p>
        </w:tc>
        <w:tc>
          <w:tcPr>
            <w:tcW w:w="1911" w:type="dxa"/>
          </w:tcPr>
          <w:p>
            <w:pPr>
              <w:pStyle w:val="TableParagraph"/>
              <w:spacing w:before="6"/>
              <w:ind w:left="103"/>
              <w:rPr>
                <w:rFonts w:ascii="Courier New"/>
                <w:sz w:val="28"/>
              </w:rPr>
            </w:pPr>
            <w:r>
              <w:rPr>
                <w:rFonts w:ascii="Courier New"/>
                <w:w w:val="100"/>
                <w:sz w:val="28"/>
              </w:rPr>
              <w:t>X</w:t>
            </w:r>
          </w:p>
        </w:tc>
        <w:tc>
          <w:tcPr>
            <w:tcW w:w="1687" w:type="dxa"/>
          </w:tcPr>
          <w:p>
            <w:pPr>
              <w:pStyle w:val="TableParagraph"/>
              <w:rPr>
                <w:rFonts w:ascii="Times New Roman"/>
                <w:sz w:val="28"/>
              </w:rPr>
            </w:pPr>
          </w:p>
        </w:tc>
        <w:tc>
          <w:tcPr>
            <w:tcW w:w="2151" w:type="dxa"/>
          </w:tcPr>
          <w:p>
            <w:pPr>
              <w:pStyle w:val="TableParagraph"/>
              <w:rPr>
                <w:rFonts w:ascii="Times New Roman"/>
                <w:sz w:val="28"/>
              </w:rPr>
            </w:pPr>
          </w:p>
        </w:tc>
        <w:tc>
          <w:tcPr>
            <w:tcW w:w="1997" w:type="dxa"/>
          </w:tcPr>
          <w:p>
            <w:pPr>
              <w:pStyle w:val="TableParagraph"/>
              <w:spacing w:before="6"/>
              <w:ind w:left="106"/>
              <w:rPr>
                <w:rFonts w:ascii="Courier New"/>
                <w:sz w:val="28"/>
              </w:rPr>
            </w:pPr>
            <w:r>
              <w:rPr>
                <w:rFonts w:ascii="Courier New"/>
                <w:w w:val="100"/>
                <w:sz w:val="28"/>
              </w:rPr>
              <w:t>X</w:t>
            </w:r>
          </w:p>
        </w:tc>
        <w:tc>
          <w:tcPr>
            <w:tcW w:w="1690" w:type="dxa"/>
          </w:tcPr>
          <w:p>
            <w:pPr>
              <w:pStyle w:val="TableParagraph"/>
              <w:spacing w:before="6"/>
              <w:ind w:left="103"/>
              <w:rPr>
                <w:rFonts w:ascii="Courier New"/>
                <w:sz w:val="28"/>
              </w:rPr>
            </w:pPr>
            <w:r>
              <w:rPr>
                <w:rFonts w:ascii="Courier New"/>
                <w:w w:val="100"/>
                <w:sz w:val="28"/>
              </w:rPr>
              <w:t>X</w:t>
            </w:r>
          </w:p>
        </w:tc>
        <w:tc>
          <w:tcPr>
            <w:tcW w:w="1687" w:type="dxa"/>
          </w:tcPr>
          <w:p>
            <w:pPr>
              <w:pStyle w:val="TableParagraph"/>
              <w:rPr>
                <w:rFonts w:ascii="Times New Roman"/>
                <w:sz w:val="28"/>
              </w:rPr>
            </w:pPr>
          </w:p>
        </w:tc>
      </w:tr>
      <w:tr>
        <w:trPr>
          <w:trHeight w:val="565" w:hRule="atLeast"/>
        </w:trPr>
        <w:tc>
          <w:tcPr>
            <w:tcW w:w="2115" w:type="dxa"/>
            <w:shd w:val="clear" w:color="auto" w:fill="00AFEF"/>
          </w:tcPr>
          <w:p>
            <w:pPr>
              <w:pStyle w:val="TableParagraph"/>
              <w:spacing w:line="317" w:lineRule="exact"/>
              <w:ind w:left="107"/>
              <w:rPr>
                <w:rFonts w:ascii="Courier New"/>
                <w:b/>
                <w:sz w:val="28"/>
              </w:rPr>
            </w:pPr>
            <w:r>
              <w:rPr>
                <w:rFonts w:ascii="Courier New"/>
                <w:b/>
                <w:sz w:val="28"/>
              </w:rPr>
              <w:t>Selen</w:t>
            </w:r>
          </w:p>
        </w:tc>
        <w:tc>
          <w:tcPr>
            <w:tcW w:w="1229" w:type="dxa"/>
          </w:tcPr>
          <w:p>
            <w:pPr>
              <w:pStyle w:val="TableParagraph"/>
              <w:spacing w:before="6"/>
              <w:ind w:left="105"/>
              <w:rPr>
                <w:rFonts w:ascii="Courier New"/>
                <w:sz w:val="28"/>
              </w:rPr>
            </w:pPr>
            <w:r>
              <w:rPr>
                <w:rFonts w:ascii="Courier New"/>
                <w:sz w:val="28"/>
              </w:rPr>
              <w:t>1405</w:t>
            </w:r>
          </w:p>
        </w:tc>
        <w:tc>
          <w:tcPr>
            <w:tcW w:w="1074" w:type="dxa"/>
          </w:tcPr>
          <w:p>
            <w:pPr>
              <w:pStyle w:val="TableParagraph"/>
              <w:spacing w:before="6"/>
              <w:ind w:left="105"/>
              <w:rPr>
                <w:rFonts w:ascii="Courier New"/>
                <w:sz w:val="28"/>
              </w:rPr>
            </w:pPr>
            <w:r>
              <w:rPr>
                <w:rFonts w:ascii="Courier New"/>
                <w:w w:val="100"/>
                <w:sz w:val="28"/>
              </w:rPr>
              <w:t>X</w:t>
            </w:r>
          </w:p>
        </w:tc>
        <w:tc>
          <w:tcPr>
            <w:tcW w:w="1930" w:type="dxa"/>
          </w:tcPr>
          <w:p>
            <w:pPr>
              <w:pStyle w:val="TableParagraph"/>
              <w:rPr>
                <w:rFonts w:ascii="Times New Roman"/>
                <w:sz w:val="28"/>
              </w:rPr>
            </w:pPr>
          </w:p>
        </w:tc>
        <w:tc>
          <w:tcPr>
            <w:tcW w:w="1911" w:type="dxa"/>
          </w:tcPr>
          <w:p>
            <w:pPr>
              <w:pStyle w:val="TableParagraph"/>
              <w:rPr>
                <w:rFonts w:ascii="Times New Roman"/>
                <w:sz w:val="28"/>
              </w:rPr>
            </w:pPr>
          </w:p>
        </w:tc>
        <w:tc>
          <w:tcPr>
            <w:tcW w:w="1687" w:type="dxa"/>
          </w:tcPr>
          <w:p>
            <w:pPr>
              <w:pStyle w:val="TableParagraph"/>
              <w:spacing w:before="6"/>
              <w:ind w:left="103"/>
              <w:rPr>
                <w:rFonts w:ascii="Courier New"/>
                <w:sz w:val="28"/>
              </w:rPr>
            </w:pPr>
            <w:r>
              <w:rPr>
                <w:rFonts w:ascii="Courier New"/>
                <w:w w:val="100"/>
                <w:sz w:val="28"/>
              </w:rPr>
              <w:t>X</w:t>
            </w:r>
          </w:p>
        </w:tc>
        <w:tc>
          <w:tcPr>
            <w:tcW w:w="2151" w:type="dxa"/>
          </w:tcPr>
          <w:p>
            <w:pPr>
              <w:pStyle w:val="TableParagraph"/>
              <w:rPr>
                <w:rFonts w:ascii="Times New Roman"/>
                <w:sz w:val="28"/>
              </w:rPr>
            </w:pPr>
          </w:p>
        </w:tc>
        <w:tc>
          <w:tcPr>
            <w:tcW w:w="1997" w:type="dxa"/>
          </w:tcPr>
          <w:p>
            <w:pPr>
              <w:pStyle w:val="TableParagraph"/>
              <w:spacing w:before="6"/>
              <w:ind w:left="106"/>
              <w:rPr>
                <w:rFonts w:ascii="Courier New"/>
                <w:sz w:val="28"/>
              </w:rPr>
            </w:pPr>
            <w:r>
              <w:rPr>
                <w:rFonts w:ascii="Courier New"/>
                <w:w w:val="100"/>
                <w:sz w:val="28"/>
              </w:rPr>
              <w:t>X</w:t>
            </w:r>
          </w:p>
        </w:tc>
        <w:tc>
          <w:tcPr>
            <w:tcW w:w="1690" w:type="dxa"/>
          </w:tcPr>
          <w:p>
            <w:pPr>
              <w:pStyle w:val="TableParagraph"/>
              <w:spacing w:before="6"/>
              <w:ind w:left="103"/>
              <w:rPr>
                <w:rFonts w:ascii="Courier New"/>
                <w:sz w:val="28"/>
              </w:rPr>
            </w:pPr>
            <w:r>
              <w:rPr>
                <w:rFonts w:ascii="Courier New"/>
                <w:w w:val="100"/>
                <w:sz w:val="28"/>
              </w:rPr>
              <w:t>X</w:t>
            </w:r>
          </w:p>
        </w:tc>
        <w:tc>
          <w:tcPr>
            <w:tcW w:w="1687" w:type="dxa"/>
          </w:tcPr>
          <w:p>
            <w:pPr>
              <w:pStyle w:val="TableParagraph"/>
              <w:spacing w:before="6"/>
              <w:ind w:left="103"/>
              <w:rPr>
                <w:rFonts w:ascii="Courier New"/>
                <w:sz w:val="28"/>
              </w:rPr>
            </w:pPr>
            <w:r>
              <w:rPr>
                <w:rFonts w:ascii="Courier New"/>
                <w:w w:val="100"/>
                <w:sz w:val="28"/>
              </w:rPr>
              <w:t>X</w:t>
            </w:r>
          </w:p>
        </w:tc>
      </w:tr>
      <w:tr>
        <w:trPr>
          <w:trHeight w:val="928" w:hRule="atLeast"/>
        </w:trPr>
        <w:tc>
          <w:tcPr>
            <w:tcW w:w="2115" w:type="dxa"/>
            <w:shd w:val="clear" w:color="auto" w:fill="00AFEF"/>
          </w:tcPr>
          <w:p>
            <w:pPr>
              <w:pStyle w:val="TableParagraph"/>
              <w:spacing w:line="278" w:lineRule="auto"/>
              <w:ind w:left="107" w:right="465"/>
              <w:rPr>
                <w:rFonts w:ascii="Courier New"/>
                <w:b/>
                <w:sz w:val="28"/>
              </w:rPr>
            </w:pPr>
            <w:r>
              <w:rPr>
                <w:rFonts w:ascii="Courier New"/>
                <w:b/>
                <w:sz w:val="28"/>
              </w:rPr>
              <w:t>Spirulina platensis</w:t>
            </w:r>
          </w:p>
        </w:tc>
        <w:tc>
          <w:tcPr>
            <w:tcW w:w="1229" w:type="dxa"/>
          </w:tcPr>
          <w:p>
            <w:pPr>
              <w:pStyle w:val="TableParagraph"/>
              <w:spacing w:before="6"/>
              <w:ind w:left="105"/>
              <w:rPr>
                <w:rFonts w:ascii="Courier New"/>
                <w:sz w:val="28"/>
              </w:rPr>
            </w:pPr>
            <w:r>
              <w:rPr>
                <w:rFonts w:ascii="Courier New"/>
                <w:sz w:val="28"/>
              </w:rPr>
              <w:t>1515</w:t>
            </w:r>
          </w:p>
        </w:tc>
        <w:tc>
          <w:tcPr>
            <w:tcW w:w="1074" w:type="dxa"/>
          </w:tcPr>
          <w:p>
            <w:pPr>
              <w:pStyle w:val="TableParagraph"/>
              <w:spacing w:before="6"/>
              <w:ind w:left="105"/>
              <w:rPr>
                <w:rFonts w:ascii="Courier New"/>
                <w:sz w:val="28"/>
              </w:rPr>
            </w:pPr>
            <w:r>
              <w:rPr>
                <w:rFonts w:ascii="Courier New"/>
                <w:w w:val="100"/>
                <w:sz w:val="28"/>
              </w:rPr>
              <w:t>X</w:t>
            </w:r>
          </w:p>
        </w:tc>
        <w:tc>
          <w:tcPr>
            <w:tcW w:w="1930" w:type="dxa"/>
          </w:tcPr>
          <w:p>
            <w:pPr>
              <w:pStyle w:val="TableParagraph"/>
              <w:rPr>
                <w:rFonts w:ascii="Times New Roman"/>
                <w:sz w:val="28"/>
              </w:rPr>
            </w:pPr>
          </w:p>
        </w:tc>
        <w:tc>
          <w:tcPr>
            <w:tcW w:w="1911" w:type="dxa"/>
          </w:tcPr>
          <w:p>
            <w:pPr>
              <w:pStyle w:val="TableParagraph"/>
              <w:spacing w:before="6"/>
              <w:ind w:left="103"/>
              <w:rPr>
                <w:rFonts w:ascii="Courier New"/>
                <w:sz w:val="28"/>
              </w:rPr>
            </w:pPr>
            <w:r>
              <w:rPr>
                <w:rFonts w:ascii="Courier New"/>
                <w:w w:val="100"/>
                <w:sz w:val="28"/>
              </w:rPr>
              <w:t>X</w:t>
            </w:r>
          </w:p>
        </w:tc>
        <w:tc>
          <w:tcPr>
            <w:tcW w:w="1687" w:type="dxa"/>
          </w:tcPr>
          <w:p>
            <w:pPr>
              <w:pStyle w:val="TableParagraph"/>
              <w:spacing w:before="6"/>
              <w:ind w:left="103"/>
              <w:rPr>
                <w:rFonts w:ascii="Courier New"/>
                <w:sz w:val="28"/>
              </w:rPr>
            </w:pPr>
            <w:r>
              <w:rPr>
                <w:rFonts w:ascii="Courier New"/>
                <w:w w:val="100"/>
                <w:sz w:val="28"/>
              </w:rPr>
              <w:t>X</w:t>
            </w:r>
          </w:p>
        </w:tc>
        <w:tc>
          <w:tcPr>
            <w:tcW w:w="2151" w:type="dxa"/>
          </w:tcPr>
          <w:p>
            <w:pPr>
              <w:pStyle w:val="TableParagraph"/>
              <w:rPr>
                <w:rFonts w:ascii="Times New Roman"/>
                <w:sz w:val="28"/>
              </w:rPr>
            </w:pPr>
          </w:p>
        </w:tc>
        <w:tc>
          <w:tcPr>
            <w:tcW w:w="1997" w:type="dxa"/>
          </w:tcPr>
          <w:p>
            <w:pPr>
              <w:pStyle w:val="TableParagraph"/>
              <w:spacing w:before="6"/>
              <w:ind w:left="106"/>
              <w:rPr>
                <w:rFonts w:ascii="Courier New"/>
                <w:sz w:val="28"/>
              </w:rPr>
            </w:pPr>
            <w:r>
              <w:rPr>
                <w:rFonts w:ascii="Courier New"/>
                <w:w w:val="100"/>
                <w:sz w:val="28"/>
              </w:rPr>
              <w:t>X</w:t>
            </w:r>
          </w:p>
        </w:tc>
        <w:tc>
          <w:tcPr>
            <w:tcW w:w="1690" w:type="dxa"/>
          </w:tcPr>
          <w:p>
            <w:pPr>
              <w:pStyle w:val="TableParagraph"/>
              <w:spacing w:before="6"/>
              <w:ind w:left="103"/>
              <w:rPr>
                <w:rFonts w:ascii="Courier New"/>
                <w:sz w:val="28"/>
              </w:rPr>
            </w:pPr>
            <w:r>
              <w:rPr>
                <w:rFonts w:ascii="Courier New"/>
                <w:w w:val="100"/>
                <w:sz w:val="28"/>
              </w:rPr>
              <w:t>X</w:t>
            </w:r>
          </w:p>
        </w:tc>
        <w:tc>
          <w:tcPr>
            <w:tcW w:w="1687" w:type="dxa"/>
          </w:tcPr>
          <w:p>
            <w:pPr>
              <w:pStyle w:val="TableParagraph"/>
              <w:rPr>
                <w:rFonts w:ascii="Times New Roman"/>
                <w:sz w:val="28"/>
              </w:rPr>
            </w:pPr>
          </w:p>
        </w:tc>
      </w:tr>
      <w:tr>
        <w:trPr>
          <w:trHeight w:val="926" w:hRule="atLeast"/>
        </w:trPr>
        <w:tc>
          <w:tcPr>
            <w:tcW w:w="2115" w:type="dxa"/>
            <w:tcBorders>
              <w:bottom w:val="single" w:sz="6" w:space="0" w:color="000000"/>
            </w:tcBorders>
            <w:shd w:val="clear" w:color="auto" w:fill="00AFEF"/>
          </w:tcPr>
          <w:p>
            <w:pPr>
              <w:pStyle w:val="TableParagraph"/>
              <w:spacing w:line="278" w:lineRule="auto"/>
              <w:ind w:left="107" w:right="633"/>
              <w:rPr>
                <w:rFonts w:ascii="Courier New"/>
                <w:b/>
                <w:sz w:val="28"/>
              </w:rPr>
            </w:pPr>
            <w:r>
              <w:rPr>
                <w:rFonts w:ascii="Courier New"/>
                <w:b/>
                <w:sz w:val="28"/>
              </w:rPr>
              <w:t>Reishi- Heilpilz</w:t>
            </w:r>
          </w:p>
        </w:tc>
        <w:tc>
          <w:tcPr>
            <w:tcW w:w="1229" w:type="dxa"/>
            <w:tcBorders>
              <w:bottom w:val="single" w:sz="6" w:space="0" w:color="000000"/>
            </w:tcBorders>
          </w:tcPr>
          <w:p>
            <w:pPr>
              <w:pStyle w:val="TableParagraph"/>
              <w:spacing w:before="6"/>
              <w:ind w:left="105"/>
              <w:rPr>
                <w:rFonts w:ascii="Courier New"/>
                <w:sz w:val="28"/>
              </w:rPr>
            </w:pPr>
            <w:r>
              <w:rPr>
                <w:rFonts w:ascii="Courier New"/>
                <w:sz w:val="28"/>
              </w:rPr>
              <w:t>1665</w:t>
            </w:r>
          </w:p>
        </w:tc>
        <w:tc>
          <w:tcPr>
            <w:tcW w:w="1074" w:type="dxa"/>
            <w:tcBorders>
              <w:bottom w:val="single" w:sz="6" w:space="0" w:color="000000"/>
            </w:tcBorders>
          </w:tcPr>
          <w:p>
            <w:pPr>
              <w:pStyle w:val="TableParagraph"/>
              <w:spacing w:before="6"/>
              <w:ind w:left="105"/>
              <w:rPr>
                <w:rFonts w:ascii="Courier New"/>
                <w:sz w:val="28"/>
              </w:rPr>
            </w:pPr>
            <w:r>
              <w:rPr>
                <w:rFonts w:ascii="Courier New"/>
                <w:w w:val="100"/>
                <w:sz w:val="28"/>
              </w:rPr>
              <w:t>X</w:t>
            </w:r>
          </w:p>
        </w:tc>
        <w:tc>
          <w:tcPr>
            <w:tcW w:w="1930" w:type="dxa"/>
            <w:tcBorders>
              <w:bottom w:val="single" w:sz="6" w:space="0" w:color="000000"/>
            </w:tcBorders>
          </w:tcPr>
          <w:p>
            <w:pPr>
              <w:pStyle w:val="TableParagraph"/>
              <w:rPr>
                <w:rFonts w:ascii="Times New Roman"/>
                <w:sz w:val="28"/>
              </w:rPr>
            </w:pPr>
          </w:p>
        </w:tc>
        <w:tc>
          <w:tcPr>
            <w:tcW w:w="1911" w:type="dxa"/>
            <w:tcBorders>
              <w:bottom w:val="single" w:sz="6" w:space="0" w:color="000000"/>
            </w:tcBorders>
          </w:tcPr>
          <w:p>
            <w:pPr>
              <w:pStyle w:val="TableParagraph"/>
              <w:rPr>
                <w:rFonts w:ascii="Times New Roman"/>
                <w:sz w:val="28"/>
              </w:rPr>
            </w:pPr>
          </w:p>
        </w:tc>
        <w:tc>
          <w:tcPr>
            <w:tcW w:w="1687" w:type="dxa"/>
            <w:tcBorders>
              <w:bottom w:val="single" w:sz="6" w:space="0" w:color="000000"/>
            </w:tcBorders>
          </w:tcPr>
          <w:p>
            <w:pPr>
              <w:pStyle w:val="TableParagraph"/>
              <w:rPr>
                <w:rFonts w:ascii="Times New Roman"/>
                <w:sz w:val="28"/>
              </w:rPr>
            </w:pPr>
          </w:p>
        </w:tc>
        <w:tc>
          <w:tcPr>
            <w:tcW w:w="2151" w:type="dxa"/>
            <w:tcBorders>
              <w:bottom w:val="single" w:sz="6" w:space="0" w:color="000000"/>
            </w:tcBorders>
          </w:tcPr>
          <w:p>
            <w:pPr>
              <w:pStyle w:val="TableParagraph"/>
              <w:rPr>
                <w:rFonts w:ascii="Times New Roman"/>
                <w:sz w:val="28"/>
              </w:rPr>
            </w:pPr>
          </w:p>
        </w:tc>
        <w:tc>
          <w:tcPr>
            <w:tcW w:w="1997" w:type="dxa"/>
            <w:tcBorders>
              <w:bottom w:val="single" w:sz="6" w:space="0" w:color="000000"/>
            </w:tcBorders>
          </w:tcPr>
          <w:p>
            <w:pPr>
              <w:pStyle w:val="TableParagraph"/>
              <w:spacing w:before="6"/>
              <w:ind w:left="106"/>
              <w:rPr>
                <w:rFonts w:ascii="Courier New"/>
                <w:sz w:val="28"/>
              </w:rPr>
            </w:pPr>
            <w:r>
              <w:rPr>
                <w:rFonts w:ascii="Courier New"/>
                <w:w w:val="100"/>
                <w:sz w:val="28"/>
              </w:rPr>
              <w:t>X</w:t>
            </w:r>
          </w:p>
        </w:tc>
        <w:tc>
          <w:tcPr>
            <w:tcW w:w="1690" w:type="dxa"/>
            <w:tcBorders>
              <w:bottom w:val="single" w:sz="6" w:space="0" w:color="000000"/>
            </w:tcBorders>
          </w:tcPr>
          <w:p>
            <w:pPr>
              <w:pStyle w:val="TableParagraph"/>
              <w:spacing w:before="6"/>
              <w:ind w:left="103"/>
              <w:rPr>
                <w:rFonts w:ascii="Courier New"/>
                <w:sz w:val="28"/>
              </w:rPr>
            </w:pPr>
            <w:r>
              <w:rPr>
                <w:rFonts w:ascii="Courier New"/>
                <w:w w:val="100"/>
                <w:sz w:val="28"/>
              </w:rPr>
              <w:t>X</w:t>
            </w:r>
          </w:p>
        </w:tc>
        <w:tc>
          <w:tcPr>
            <w:tcW w:w="1687" w:type="dxa"/>
            <w:tcBorders>
              <w:bottom w:val="single" w:sz="6" w:space="0" w:color="000000"/>
            </w:tcBorders>
          </w:tcPr>
          <w:p>
            <w:pPr>
              <w:pStyle w:val="TableParagraph"/>
              <w:rPr>
                <w:rFonts w:ascii="Times New Roman"/>
                <w:sz w:val="28"/>
              </w:rPr>
            </w:pPr>
          </w:p>
        </w:tc>
      </w:tr>
      <w:tr>
        <w:trPr>
          <w:trHeight w:val="563" w:hRule="atLeast"/>
        </w:trPr>
        <w:tc>
          <w:tcPr>
            <w:tcW w:w="2115" w:type="dxa"/>
            <w:tcBorders>
              <w:top w:val="single" w:sz="6" w:space="0" w:color="000000"/>
            </w:tcBorders>
            <w:shd w:val="clear" w:color="auto" w:fill="00AFEF"/>
          </w:tcPr>
          <w:p>
            <w:pPr>
              <w:pStyle w:val="TableParagraph"/>
              <w:spacing w:line="317" w:lineRule="exact"/>
              <w:ind w:left="107"/>
              <w:rPr>
                <w:rFonts w:ascii="Courier New"/>
                <w:b/>
                <w:sz w:val="28"/>
              </w:rPr>
            </w:pPr>
            <w:r>
              <w:rPr>
                <w:rFonts w:ascii="Courier New"/>
                <w:b/>
                <w:sz w:val="28"/>
              </w:rPr>
              <w:t>Shiitake</w:t>
            </w:r>
          </w:p>
        </w:tc>
        <w:tc>
          <w:tcPr>
            <w:tcW w:w="1229" w:type="dxa"/>
            <w:tcBorders>
              <w:top w:val="single" w:sz="6" w:space="0" w:color="000000"/>
            </w:tcBorders>
          </w:tcPr>
          <w:p>
            <w:pPr>
              <w:pStyle w:val="TableParagraph"/>
              <w:spacing w:before="7"/>
              <w:ind w:left="105"/>
              <w:rPr>
                <w:rFonts w:ascii="Courier New"/>
                <w:sz w:val="28"/>
              </w:rPr>
            </w:pPr>
            <w:r>
              <w:rPr>
                <w:rFonts w:ascii="Courier New"/>
                <w:sz w:val="28"/>
              </w:rPr>
              <w:t>1685</w:t>
            </w:r>
          </w:p>
        </w:tc>
        <w:tc>
          <w:tcPr>
            <w:tcW w:w="1074" w:type="dxa"/>
            <w:tcBorders>
              <w:top w:val="single" w:sz="6" w:space="0" w:color="000000"/>
            </w:tcBorders>
          </w:tcPr>
          <w:p>
            <w:pPr>
              <w:pStyle w:val="TableParagraph"/>
              <w:spacing w:before="7"/>
              <w:ind w:left="105"/>
              <w:rPr>
                <w:rFonts w:ascii="Courier New"/>
                <w:sz w:val="28"/>
              </w:rPr>
            </w:pPr>
            <w:r>
              <w:rPr>
                <w:rFonts w:ascii="Courier New"/>
                <w:w w:val="100"/>
                <w:sz w:val="28"/>
              </w:rPr>
              <w:t>X</w:t>
            </w:r>
          </w:p>
        </w:tc>
        <w:tc>
          <w:tcPr>
            <w:tcW w:w="1930" w:type="dxa"/>
            <w:tcBorders>
              <w:top w:val="single" w:sz="6" w:space="0" w:color="000000"/>
            </w:tcBorders>
          </w:tcPr>
          <w:p>
            <w:pPr>
              <w:pStyle w:val="TableParagraph"/>
              <w:rPr>
                <w:rFonts w:ascii="Times New Roman"/>
                <w:sz w:val="28"/>
              </w:rPr>
            </w:pPr>
          </w:p>
        </w:tc>
        <w:tc>
          <w:tcPr>
            <w:tcW w:w="1911" w:type="dxa"/>
            <w:tcBorders>
              <w:top w:val="single" w:sz="6" w:space="0" w:color="000000"/>
            </w:tcBorders>
          </w:tcPr>
          <w:p>
            <w:pPr>
              <w:pStyle w:val="TableParagraph"/>
              <w:rPr>
                <w:rFonts w:ascii="Times New Roman"/>
                <w:sz w:val="28"/>
              </w:rPr>
            </w:pPr>
          </w:p>
        </w:tc>
        <w:tc>
          <w:tcPr>
            <w:tcW w:w="1687" w:type="dxa"/>
            <w:tcBorders>
              <w:top w:val="single" w:sz="6" w:space="0" w:color="000000"/>
            </w:tcBorders>
          </w:tcPr>
          <w:p>
            <w:pPr>
              <w:pStyle w:val="TableParagraph"/>
              <w:rPr>
                <w:rFonts w:ascii="Times New Roman"/>
                <w:sz w:val="28"/>
              </w:rPr>
            </w:pPr>
          </w:p>
        </w:tc>
        <w:tc>
          <w:tcPr>
            <w:tcW w:w="2151" w:type="dxa"/>
            <w:tcBorders>
              <w:top w:val="single" w:sz="6" w:space="0" w:color="000000"/>
            </w:tcBorders>
          </w:tcPr>
          <w:p>
            <w:pPr>
              <w:pStyle w:val="TableParagraph"/>
              <w:rPr>
                <w:rFonts w:ascii="Times New Roman"/>
                <w:sz w:val="28"/>
              </w:rPr>
            </w:pPr>
          </w:p>
        </w:tc>
        <w:tc>
          <w:tcPr>
            <w:tcW w:w="1997" w:type="dxa"/>
            <w:tcBorders>
              <w:top w:val="single" w:sz="6" w:space="0" w:color="000000"/>
            </w:tcBorders>
          </w:tcPr>
          <w:p>
            <w:pPr>
              <w:pStyle w:val="TableParagraph"/>
              <w:spacing w:before="7"/>
              <w:ind w:left="106"/>
              <w:rPr>
                <w:rFonts w:ascii="Courier New"/>
                <w:sz w:val="28"/>
              </w:rPr>
            </w:pPr>
            <w:r>
              <w:rPr>
                <w:rFonts w:ascii="Courier New"/>
                <w:w w:val="100"/>
                <w:sz w:val="28"/>
              </w:rPr>
              <w:t>X</w:t>
            </w:r>
          </w:p>
        </w:tc>
        <w:tc>
          <w:tcPr>
            <w:tcW w:w="1690" w:type="dxa"/>
            <w:tcBorders>
              <w:top w:val="single" w:sz="6" w:space="0" w:color="000000"/>
            </w:tcBorders>
          </w:tcPr>
          <w:p>
            <w:pPr>
              <w:pStyle w:val="TableParagraph"/>
              <w:spacing w:before="7"/>
              <w:ind w:left="103"/>
              <w:rPr>
                <w:rFonts w:ascii="Courier New"/>
                <w:sz w:val="28"/>
              </w:rPr>
            </w:pPr>
            <w:r>
              <w:rPr>
                <w:rFonts w:ascii="Courier New"/>
                <w:w w:val="100"/>
                <w:sz w:val="28"/>
              </w:rPr>
              <w:t>X</w:t>
            </w:r>
          </w:p>
        </w:tc>
        <w:tc>
          <w:tcPr>
            <w:tcW w:w="1687" w:type="dxa"/>
            <w:tcBorders>
              <w:top w:val="single" w:sz="6" w:space="0" w:color="000000"/>
            </w:tcBorders>
          </w:tcPr>
          <w:p>
            <w:pPr>
              <w:pStyle w:val="TableParagraph"/>
              <w:rPr>
                <w:rFonts w:ascii="Times New Roman"/>
                <w:sz w:val="28"/>
              </w:rPr>
            </w:pPr>
          </w:p>
        </w:tc>
      </w:tr>
      <w:tr>
        <w:trPr>
          <w:trHeight w:val="563" w:hRule="atLeast"/>
        </w:trPr>
        <w:tc>
          <w:tcPr>
            <w:tcW w:w="2115" w:type="dxa"/>
            <w:shd w:val="clear" w:color="auto" w:fill="00AFEF"/>
          </w:tcPr>
          <w:p>
            <w:pPr>
              <w:pStyle w:val="TableParagraph"/>
              <w:spacing w:line="317" w:lineRule="exact"/>
              <w:ind w:left="107"/>
              <w:rPr>
                <w:rFonts w:ascii="Courier New"/>
                <w:b/>
                <w:sz w:val="28"/>
              </w:rPr>
            </w:pPr>
            <w:r>
              <w:rPr>
                <w:rFonts w:ascii="Courier New"/>
                <w:b/>
                <w:sz w:val="28"/>
              </w:rPr>
              <w:t>Maitake</w:t>
            </w:r>
          </w:p>
        </w:tc>
        <w:tc>
          <w:tcPr>
            <w:tcW w:w="1229" w:type="dxa"/>
          </w:tcPr>
          <w:p>
            <w:pPr>
              <w:pStyle w:val="TableParagraph"/>
              <w:spacing w:before="6"/>
              <w:ind w:left="105"/>
              <w:rPr>
                <w:rFonts w:ascii="Courier New"/>
                <w:sz w:val="28"/>
              </w:rPr>
            </w:pPr>
            <w:r>
              <w:rPr>
                <w:rFonts w:ascii="Courier New"/>
                <w:sz w:val="28"/>
              </w:rPr>
              <w:t>1697</w:t>
            </w:r>
          </w:p>
        </w:tc>
        <w:tc>
          <w:tcPr>
            <w:tcW w:w="1074" w:type="dxa"/>
          </w:tcPr>
          <w:p>
            <w:pPr>
              <w:pStyle w:val="TableParagraph"/>
              <w:spacing w:before="6"/>
              <w:ind w:left="105"/>
              <w:rPr>
                <w:rFonts w:ascii="Courier New"/>
                <w:sz w:val="28"/>
              </w:rPr>
            </w:pPr>
            <w:r>
              <w:rPr>
                <w:rFonts w:ascii="Courier New"/>
                <w:w w:val="100"/>
                <w:sz w:val="28"/>
              </w:rPr>
              <w:t>X</w:t>
            </w:r>
          </w:p>
        </w:tc>
        <w:tc>
          <w:tcPr>
            <w:tcW w:w="1930" w:type="dxa"/>
          </w:tcPr>
          <w:p>
            <w:pPr>
              <w:pStyle w:val="TableParagraph"/>
              <w:rPr>
                <w:rFonts w:ascii="Times New Roman"/>
                <w:sz w:val="28"/>
              </w:rPr>
            </w:pPr>
          </w:p>
        </w:tc>
        <w:tc>
          <w:tcPr>
            <w:tcW w:w="1911" w:type="dxa"/>
          </w:tcPr>
          <w:p>
            <w:pPr>
              <w:pStyle w:val="TableParagraph"/>
              <w:spacing w:before="6"/>
              <w:ind w:left="103"/>
              <w:rPr>
                <w:rFonts w:ascii="Courier New"/>
                <w:sz w:val="28"/>
              </w:rPr>
            </w:pPr>
            <w:r>
              <w:rPr>
                <w:rFonts w:ascii="Courier New"/>
                <w:w w:val="100"/>
                <w:sz w:val="28"/>
              </w:rPr>
              <w:t>X</w:t>
            </w:r>
          </w:p>
        </w:tc>
        <w:tc>
          <w:tcPr>
            <w:tcW w:w="1687" w:type="dxa"/>
          </w:tcPr>
          <w:p>
            <w:pPr>
              <w:pStyle w:val="TableParagraph"/>
              <w:spacing w:before="6"/>
              <w:ind w:left="103"/>
              <w:rPr>
                <w:rFonts w:ascii="Courier New"/>
                <w:sz w:val="28"/>
              </w:rPr>
            </w:pPr>
            <w:r>
              <w:rPr>
                <w:rFonts w:ascii="Courier New"/>
                <w:w w:val="100"/>
                <w:sz w:val="28"/>
              </w:rPr>
              <w:t>X</w:t>
            </w:r>
          </w:p>
        </w:tc>
        <w:tc>
          <w:tcPr>
            <w:tcW w:w="2151" w:type="dxa"/>
          </w:tcPr>
          <w:p>
            <w:pPr>
              <w:pStyle w:val="TableParagraph"/>
              <w:rPr>
                <w:rFonts w:ascii="Times New Roman"/>
                <w:sz w:val="28"/>
              </w:rPr>
            </w:pPr>
          </w:p>
        </w:tc>
        <w:tc>
          <w:tcPr>
            <w:tcW w:w="1997" w:type="dxa"/>
          </w:tcPr>
          <w:p>
            <w:pPr>
              <w:pStyle w:val="TableParagraph"/>
              <w:spacing w:before="6"/>
              <w:ind w:left="106"/>
              <w:rPr>
                <w:rFonts w:ascii="Courier New"/>
                <w:sz w:val="28"/>
              </w:rPr>
            </w:pPr>
            <w:r>
              <w:rPr>
                <w:rFonts w:ascii="Courier New"/>
                <w:w w:val="100"/>
                <w:sz w:val="28"/>
              </w:rPr>
              <w:t>X</w:t>
            </w:r>
          </w:p>
        </w:tc>
        <w:tc>
          <w:tcPr>
            <w:tcW w:w="1690" w:type="dxa"/>
          </w:tcPr>
          <w:p>
            <w:pPr>
              <w:pStyle w:val="TableParagraph"/>
              <w:spacing w:before="6"/>
              <w:ind w:left="103"/>
              <w:rPr>
                <w:rFonts w:ascii="Courier New"/>
                <w:sz w:val="28"/>
              </w:rPr>
            </w:pPr>
            <w:r>
              <w:rPr>
                <w:rFonts w:ascii="Courier New"/>
                <w:w w:val="100"/>
                <w:sz w:val="28"/>
              </w:rPr>
              <w:t>X</w:t>
            </w:r>
          </w:p>
        </w:tc>
        <w:tc>
          <w:tcPr>
            <w:tcW w:w="1687" w:type="dxa"/>
          </w:tcPr>
          <w:p>
            <w:pPr>
              <w:pStyle w:val="TableParagraph"/>
              <w:rPr>
                <w:rFonts w:ascii="Times New Roman"/>
                <w:sz w:val="28"/>
              </w:rPr>
            </w:pPr>
          </w:p>
        </w:tc>
      </w:tr>
      <w:tr>
        <w:trPr>
          <w:trHeight w:val="566" w:hRule="atLeast"/>
        </w:trPr>
        <w:tc>
          <w:tcPr>
            <w:tcW w:w="2115" w:type="dxa"/>
            <w:shd w:val="clear" w:color="auto" w:fill="00AFEF"/>
          </w:tcPr>
          <w:p>
            <w:pPr>
              <w:pStyle w:val="TableParagraph"/>
              <w:spacing w:before="2"/>
              <w:ind w:left="107"/>
              <w:rPr>
                <w:rFonts w:ascii="Courier New"/>
                <w:b/>
                <w:sz w:val="28"/>
              </w:rPr>
            </w:pPr>
            <w:r>
              <w:rPr>
                <w:rFonts w:ascii="Courier New"/>
                <w:b/>
                <w:sz w:val="28"/>
              </w:rPr>
              <w:t>Vitamin C</w:t>
            </w:r>
          </w:p>
        </w:tc>
        <w:tc>
          <w:tcPr>
            <w:tcW w:w="1229" w:type="dxa"/>
          </w:tcPr>
          <w:p>
            <w:pPr>
              <w:pStyle w:val="TableParagraph"/>
              <w:spacing w:before="9"/>
              <w:ind w:left="105"/>
              <w:rPr>
                <w:rFonts w:ascii="Courier New"/>
                <w:sz w:val="28"/>
              </w:rPr>
            </w:pPr>
            <w:r>
              <w:rPr>
                <w:rFonts w:ascii="Courier New"/>
                <w:sz w:val="28"/>
              </w:rPr>
              <w:t>1720</w:t>
            </w:r>
          </w:p>
        </w:tc>
        <w:tc>
          <w:tcPr>
            <w:tcW w:w="1074" w:type="dxa"/>
          </w:tcPr>
          <w:p>
            <w:pPr>
              <w:pStyle w:val="TableParagraph"/>
              <w:spacing w:before="9"/>
              <w:ind w:left="105"/>
              <w:rPr>
                <w:rFonts w:ascii="Courier New"/>
                <w:sz w:val="28"/>
              </w:rPr>
            </w:pPr>
            <w:r>
              <w:rPr>
                <w:rFonts w:ascii="Courier New"/>
                <w:w w:val="100"/>
                <w:sz w:val="28"/>
              </w:rPr>
              <w:t>X</w:t>
            </w:r>
          </w:p>
        </w:tc>
        <w:tc>
          <w:tcPr>
            <w:tcW w:w="1930" w:type="dxa"/>
          </w:tcPr>
          <w:p>
            <w:pPr>
              <w:pStyle w:val="TableParagraph"/>
              <w:rPr>
                <w:rFonts w:ascii="Times New Roman"/>
                <w:sz w:val="28"/>
              </w:rPr>
            </w:pPr>
          </w:p>
        </w:tc>
        <w:tc>
          <w:tcPr>
            <w:tcW w:w="1911" w:type="dxa"/>
          </w:tcPr>
          <w:p>
            <w:pPr>
              <w:pStyle w:val="TableParagraph"/>
              <w:spacing w:before="9"/>
              <w:ind w:left="103"/>
              <w:rPr>
                <w:rFonts w:ascii="Courier New"/>
                <w:sz w:val="28"/>
              </w:rPr>
            </w:pPr>
            <w:r>
              <w:rPr>
                <w:rFonts w:ascii="Courier New"/>
                <w:w w:val="100"/>
                <w:sz w:val="28"/>
              </w:rPr>
              <w:t>X</w:t>
            </w:r>
          </w:p>
        </w:tc>
        <w:tc>
          <w:tcPr>
            <w:tcW w:w="1687" w:type="dxa"/>
          </w:tcPr>
          <w:p>
            <w:pPr>
              <w:pStyle w:val="TableParagraph"/>
              <w:rPr>
                <w:rFonts w:ascii="Times New Roman"/>
                <w:sz w:val="28"/>
              </w:rPr>
            </w:pPr>
          </w:p>
        </w:tc>
        <w:tc>
          <w:tcPr>
            <w:tcW w:w="2151" w:type="dxa"/>
          </w:tcPr>
          <w:p>
            <w:pPr>
              <w:pStyle w:val="TableParagraph"/>
              <w:rPr>
                <w:rFonts w:ascii="Times New Roman"/>
                <w:sz w:val="28"/>
              </w:rPr>
            </w:pPr>
          </w:p>
        </w:tc>
        <w:tc>
          <w:tcPr>
            <w:tcW w:w="1997" w:type="dxa"/>
          </w:tcPr>
          <w:p>
            <w:pPr>
              <w:pStyle w:val="TableParagraph"/>
              <w:spacing w:before="9"/>
              <w:ind w:left="106"/>
              <w:rPr>
                <w:rFonts w:ascii="Courier New"/>
                <w:sz w:val="28"/>
              </w:rPr>
            </w:pPr>
            <w:r>
              <w:rPr>
                <w:rFonts w:ascii="Courier New"/>
                <w:w w:val="100"/>
                <w:sz w:val="28"/>
              </w:rPr>
              <w:t>X</w:t>
            </w:r>
          </w:p>
        </w:tc>
        <w:tc>
          <w:tcPr>
            <w:tcW w:w="1690" w:type="dxa"/>
          </w:tcPr>
          <w:p>
            <w:pPr>
              <w:pStyle w:val="TableParagraph"/>
              <w:spacing w:before="9"/>
              <w:ind w:left="103"/>
              <w:rPr>
                <w:rFonts w:ascii="Courier New"/>
                <w:sz w:val="28"/>
              </w:rPr>
            </w:pPr>
            <w:r>
              <w:rPr>
                <w:rFonts w:ascii="Courier New"/>
                <w:w w:val="100"/>
                <w:sz w:val="28"/>
              </w:rPr>
              <w:t>X</w:t>
            </w:r>
          </w:p>
        </w:tc>
        <w:tc>
          <w:tcPr>
            <w:tcW w:w="1687" w:type="dxa"/>
          </w:tcPr>
          <w:p>
            <w:pPr>
              <w:pStyle w:val="TableParagraph"/>
              <w:rPr>
                <w:rFonts w:ascii="Times New Roman"/>
                <w:sz w:val="28"/>
              </w:rPr>
            </w:pPr>
          </w:p>
        </w:tc>
      </w:tr>
      <w:tr>
        <w:trPr>
          <w:trHeight w:val="565" w:hRule="atLeast"/>
        </w:trPr>
        <w:tc>
          <w:tcPr>
            <w:tcW w:w="2115" w:type="dxa"/>
            <w:shd w:val="clear" w:color="auto" w:fill="00AFEF"/>
          </w:tcPr>
          <w:p>
            <w:pPr>
              <w:pStyle w:val="TableParagraph"/>
              <w:spacing w:line="317" w:lineRule="exact"/>
              <w:ind w:left="107"/>
              <w:rPr>
                <w:rFonts w:ascii="Courier New"/>
                <w:b/>
                <w:sz w:val="28"/>
              </w:rPr>
            </w:pPr>
            <w:r>
              <w:rPr>
                <w:rFonts w:ascii="Courier New"/>
                <w:b/>
                <w:sz w:val="28"/>
              </w:rPr>
              <w:t>Stevia</w:t>
            </w:r>
          </w:p>
        </w:tc>
        <w:tc>
          <w:tcPr>
            <w:tcW w:w="1229" w:type="dxa"/>
          </w:tcPr>
          <w:p>
            <w:pPr>
              <w:pStyle w:val="TableParagraph"/>
              <w:spacing w:before="6"/>
              <w:ind w:left="105"/>
              <w:rPr>
                <w:rFonts w:ascii="Courier New"/>
                <w:sz w:val="28"/>
              </w:rPr>
            </w:pPr>
            <w:r>
              <w:rPr>
                <w:rFonts w:ascii="Courier New"/>
                <w:sz w:val="28"/>
              </w:rPr>
              <w:t>1571</w:t>
            </w:r>
          </w:p>
        </w:tc>
        <w:tc>
          <w:tcPr>
            <w:tcW w:w="1074" w:type="dxa"/>
          </w:tcPr>
          <w:p>
            <w:pPr>
              <w:pStyle w:val="TableParagraph"/>
              <w:rPr>
                <w:rFonts w:ascii="Times New Roman"/>
                <w:sz w:val="28"/>
              </w:rPr>
            </w:pPr>
          </w:p>
        </w:tc>
        <w:tc>
          <w:tcPr>
            <w:tcW w:w="1930" w:type="dxa"/>
          </w:tcPr>
          <w:p>
            <w:pPr>
              <w:pStyle w:val="TableParagraph"/>
              <w:rPr>
                <w:rFonts w:ascii="Times New Roman"/>
                <w:sz w:val="28"/>
              </w:rPr>
            </w:pPr>
          </w:p>
        </w:tc>
        <w:tc>
          <w:tcPr>
            <w:tcW w:w="1911" w:type="dxa"/>
          </w:tcPr>
          <w:p>
            <w:pPr>
              <w:pStyle w:val="TableParagraph"/>
              <w:spacing w:before="6"/>
              <w:ind w:left="103"/>
              <w:rPr>
                <w:rFonts w:ascii="Courier New"/>
                <w:sz w:val="28"/>
              </w:rPr>
            </w:pPr>
            <w:r>
              <w:rPr>
                <w:rFonts w:ascii="Courier New"/>
                <w:w w:val="100"/>
                <w:sz w:val="28"/>
              </w:rPr>
              <w:t>X</w:t>
            </w:r>
          </w:p>
        </w:tc>
        <w:tc>
          <w:tcPr>
            <w:tcW w:w="1687" w:type="dxa"/>
          </w:tcPr>
          <w:p>
            <w:pPr>
              <w:pStyle w:val="TableParagraph"/>
              <w:rPr>
                <w:rFonts w:ascii="Times New Roman"/>
                <w:sz w:val="28"/>
              </w:rPr>
            </w:pPr>
          </w:p>
        </w:tc>
        <w:tc>
          <w:tcPr>
            <w:tcW w:w="2151" w:type="dxa"/>
          </w:tcPr>
          <w:p>
            <w:pPr>
              <w:pStyle w:val="TableParagraph"/>
              <w:rPr>
                <w:rFonts w:ascii="Times New Roman"/>
                <w:sz w:val="28"/>
              </w:rPr>
            </w:pPr>
          </w:p>
        </w:tc>
        <w:tc>
          <w:tcPr>
            <w:tcW w:w="1997" w:type="dxa"/>
          </w:tcPr>
          <w:p>
            <w:pPr>
              <w:pStyle w:val="TableParagraph"/>
              <w:spacing w:before="6"/>
              <w:ind w:left="106"/>
              <w:rPr>
                <w:rFonts w:ascii="Courier New"/>
                <w:sz w:val="28"/>
              </w:rPr>
            </w:pPr>
            <w:r>
              <w:rPr>
                <w:rFonts w:ascii="Courier New"/>
                <w:w w:val="100"/>
                <w:sz w:val="28"/>
              </w:rPr>
              <w:t>X</w:t>
            </w:r>
          </w:p>
        </w:tc>
        <w:tc>
          <w:tcPr>
            <w:tcW w:w="1690" w:type="dxa"/>
          </w:tcPr>
          <w:p>
            <w:pPr>
              <w:pStyle w:val="TableParagraph"/>
              <w:spacing w:before="6"/>
              <w:ind w:left="103"/>
              <w:rPr>
                <w:rFonts w:ascii="Courier New"/>
                <w:sz w:val="28"/>
              </w:rPr>
            </w:pPr>
            <w:r>
              <w:rPr>
                <w:rFonts w:ascii="Courier New"/>
                <w:w w:val="100"/>
                <w:sz w:val="28"/>
              </w:rPr>
              <w:t>X</w:t>
            </w:r>
          </w:p>
        </w:tc>
        <w:tc>
          <w:tcPr>
            <w:tcW w:w="1687" w:type="dxa"/>
          </w:tcPr>
          <w:p>
            <w:pPr>
              <w:pStyle w:val="TableParagraph"/>
              <w:rPr>
                <w:rFonts w:ascii="Times New Roman"/>
                <w:sz w:val="28"/>
              </w:rPr>
            </w:pPr>
          </w:p>
        </w:tc>
      </w:tr>
    </w:tbl>
    <w:p>
      <w:pPr>
        <w:spacing w:after="0"/>
        <w:rPr>
          <w:rFonts w:ascii="Times New Roman"/>
          <w:sz w:val="28"/>
        </w:rPr>
        <w:sectPr>
          <w:pgSz w:w="18630" w:h="11910" w:orient="landscape"/>
          <w:pgMar w:header="0" w:footer="404" w:top="840" w:bottom="600" w:left="740" w:right="8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2"/>
        <w:gridCol w:w="1220"/>
        <w:gridCol w:w="2137"/>
        <w:gridCol w:w="2016"/>
        <w:gridCol w:w="2124"/>
        <w:gridCol w:w="2554"/>
        <w:gridCol w:w="2835"/>
        <w:gridCol w:w="2116"/>
      </w:tblGrid>
      <w:tr>
        <w:trPr>
          <w:trHeight w:val="1087" w:hRule="atLeast"/>
        </w:trPr>
        <w:tc>
          <w:tcPr>
            <w:tcW w:w="17254" w:type="dxa"/>
            <w:gridSpan w:val="8"/>
            <w:shd w:val="clear" w:color="auto" w:fill="FAD3B4"/>
          </w:tcPr>
          <w:p>
            <w:pPr>
              <w:pStyle w:val="TableParagraph"/>
              <w:spacing w:before="311"/>
              <w:ind w:left="1603"/>
              <w:rPr>
                <w:b/>
                <w:sz w:val="36"/>
              </w:rPr>
            </w:pPr>
            <w:r>
              <w:rPr>
                <w:b/>
                <w:sz w:val="36"/>
              </w:rPr>
              <w:t>SUBSTANCE-EFFECT TABLE OF NATURAL SUBSTANCES FOR HEART DISEASES</w:t>
            </w:r>
          </w:p>
        </w:tc>
      </w:tr>
      <w:tr>
        <w:trPr>
          <w:trHeight w:val="2587" w:hRule="atLeast"/>
        </w:trPr>
        <w:tc>
          <w:tcPr>
            <w:tcW w:w="2252" w:type="dxa"/>
            <w:shd w:val="clear" w:color="auto" w:fill="FFFF00"/>
          </w:tcPr>
          <w:p>
            <w:pPr>
              <w:pStyle w:val="TableParagraph"/>
              <w:rPr>
                <w:rFonts w:ascii="Times New Roman"/>
                <w:sz w:val="32"/>
              </w:rPr>
            </w:pPr>
          </w:p>
          <w:p>
            <w:pPr>
              <w:pStyle w:val="TableParagraph"/>
              <w:spacing w:line="278" w:lineRule="auto" w:before="193"/>
              <w:ind w:left="107" w:right="98"/>
              <w:rPr>
                <w:rFonts w:ascii="Courier New"/>
                <w:b/>
                <w:sz w:val="28"/>
              </w:rPr>
            </w:pPr>
            <w:r>
              <w:rPr>
                <w:rFonts w:ascii="Courier New"/>
                <w:b/>
                <w:sz w:val="28"/>
              </w:rPr>
              <w:t>Natural sub- stance</w:t>
            </w:r>
          </w:p>
        </w:tc>
        <w:tc>
          <w:tcPr>
            <w:tcW w:w="1220" w:type="dxa"/>
            <w:shd w:val="clear" w:color="auto" w:fill="FFFF00"/>
          </w:tcPr>
          <w:p>
            <w:pPr>
              <w:pStyle w:val="TableParagraph"/>
              <w:rPr>
                <w:rFonts w:ascii="Times New Roman"/>
                <w:sz w:val="32"/>
              </w:rPr>
            </w:pPr>
          </w:p>
          <w:p>
            <w:pPr>
              <w:pStyle w:val="TableParagraph"/>
              <w:spacing w:before="195"/>
              <w:ind w:left="107"/>
              <w:rPr>
                <w:rFonts w:ascii="Courier New"/>
                <w:b/>
                <w:sz w:val="28"/>
              </w:rPr>
            </w:pPr>
            <w:r>
              <w:rPr>
                <w:rFonts w:ascii="Courier New"/>
                <w:b/>
                <w:sz w:val="28"/>
              </w:rPr>
              <w:t>Page</w:t>
            </w:r>
          </w:p>
        </w:tc>
        <w:tc>
          <w:tcPr>
            <w:tcW w:w="2137" w:type="dxa"/>
            <w:shd w:val="clear" w:color="auto" w:fill="FFFF00"/>
          </w:tcPr>
          <w:p>
            <w:pPr>
              <w:pStyle w:val="TableParagraph"/>
              <w:rPr>
                <w:rFonts w:ascii="Times New Roman"/>
                <w:sz w:val="32"/>
              </w:rPr>
            </w:pPr>
          </w:p>
          <w:p>
            <w:pPr>
              <w:pStyle w:val="TableParagraph"/>
              <w:spacing w:line="276" w:lineRule="auto" w:before="193"/>
              <w:ind w:left="106" w:right="170"/>
              <w:rPr>
                <w:rFonts w:ascii="Courier New"/>
                <w:b/>
                <w:sz w:val="28"/>
              </w:rPr>
            </w:pPr>
            <w:r>
              <w:rPr>
                <w:rFonts w:ascii="Courier New"/>
                <w:b/>
                <w:sz w:val="28"/>
              </w:rPr>
              <w:t>General strengthen- ing of the heart mus- cle</w:t>
            </w:r>
          </w:p>
        </w:tc>
        <w:tc>
          <w:tcPr>
            <w:tcW w:w="2016" w:type="dxa"/>
            <w:shd w:val="clear" w:color="auto" w:fill="FFFF00"/>
          </w:tcPr>
          <w:p>
            <w:pPr>
              <w:pStyle w:val="TableParagraph"/>
              <w:rPr>
                <w:rFonts w:ascii="Times New Roman"/>
                <w:sz w:val="32"/>
              </w:rPr>
            </w:pPr>
          </w:p>
          <w:p>
            <w:pPr>
              <w:pStyle w:val="TableParagraph"/>
              <w:spacing w:line="276" w:lineRule="auto" w:before="193"/>
              <w:ind w:left="103" w:right="220"/>
              <w:rPr>
                <w:rFonts w:ascii="Courier New"/>
                <w:b/>
                <w:sz w:val="28"/>
              </w:rPr>
            </w:pPr>
            <w:r>
              <w:rPr>
                <w:rFonts w:ascii="Courier New"/>
                <w:b/>
                <w:sz w:val="28"/>
              </w:rPr>
              <w:t>Increased blood flow through the</w:t>
            </w:r>
            <w:r>
              <w:rPr>
                <w:rFonts w:ascii="Courier New"/>
                <w:b/>
                <w:spacing w:val="-3"/>
                <w:sz w:val="28"/>
              </w:rPr>
              <w:t> </w:t>
            </w:r>
            <w:r>
              <w:rPr>
                <w:rFonts w:ascii="Courier New"/>
                <w:b/>
                <w:sz w:val="28"/>
              </w:rPr>
              <w:t>heart</w:t>
            </w:r>
          </w:p>
        </w:tc>
        <w:tc>
          <w:tcPr>
            <w:tcW w:w="2124" w:type="dxa"/>
            <w:shd w:val="clear" w:color="auto" w:fill="FFFF00"/>
          </w:tcPr>
          <w:p>
            <w:pPr>
              <w:pStyle w:val="TableParagraph"/>
              <w:rPr>
                <w:rFonts w:ascii="Times New Roman"/>
                <w:sz w:val="32"/>
              </w:rPr>
            </w:pPr>
          </w:p>
          <w:p>
            <w:pPr>
              <w:pStyle w:val="TableParagraph"/>
              <w:spacing w:line="276" w:lineRule="auto" w:before="193"/>
              <w:ind w:left="103" w:right="160"/>
              <w:rPr>
                <w:rFonts w:ascii="Courier New"/>
                <w:b/>
                <w:sz w:val="28"/>
              </w:rPr>
            </w:pPr>
            <w:r>
              <w:rPr>
                <w:rFonts w:ascii="Courier New"/>
                <w:b/>
                <w:sz w:val="28"/>
              </w:rPr>
              <w:t>Regulation of the blood pres- sure</w:t>
            </w:r>
          </w:p>
        </w:tc>
        <w:tc>
          <w:tcPr>
            <w:tcW w:w="2554" w:type="dxa"/>
            <w:shd w:val="clear" w:color="auto" w:fill="FFFF00"/>
          </w:tcPr>
          <w:p>
            <w:pPr>
              <w:pStyle w:val="TableParagraph"/>
              <w:rPr>
                <w:rFonts w:ascii="Times New Roman"/>
                <w:sz w:val="32"/>
              </w:rPr>
            </w:pPr>
          </w:p>
          <w:p>
            <w:pPr>
              <w:pStyle w:val="TableParagraph"/>
              <w:spacing w:line="276" w:lineRule="auto" w:before="193"/>
              <w:ind w:left="106" w:right="401"/>
              <w:rPr>
                <w:rFonts w:ascii="Courier New"/>
                <w:b/>
                <w:sz w:val="28"/>
              </w:rPr>
            </w:pPr>
            <w:r>
              <w:rPr>
                <w:rFonts w:ascii="Courier New"/>
                <w:b/>
                <w:sz w:val="28"/>
              </w:rPr>
              <w:t>Reduction of cholesterol level</w:t>
            </w:r>
          </w:p>
        </w:tc>
        <w:tc>
          <w:tcPr>
            <w:tcW w:w="2835" w:type="dxa"/>
            <w:shd w:val="clear" w:color="auto" w:fill="FFFF00"/>
          </w:tcPr>
          <w:p>
            <w:pPr>
              <w:pStyle w:val="TableParagraph"/>
              <w:rPr>
                <w:rFonts w:ascii="Times New Roman"/>
                <w:sz w:val="32"/>
              </w:rPr>
            </w:pPr>
          </w:p>
          <w:p>
            <w:pPr>
              <w:pStyle w:val="TableParagraph"/>
              <w:spacing w:line="278" w:lineRule="auto" w:before="193"/>
              <w:ind w:left="104" w:right="180"/>
              <w:rPr>
                <w:rFonts w:ascii="Courier New"/>
                <w:b/>
                <w:sz w:val="28"/>
              </w:rPr>
            </w:pPr>
            <w:r>
              <w:rPr>
                <w:rFonts w:ascii="Courier New"/>
                <w:b/>
                <w:sz w:val="28"/>
              </w:rPr>
              <w:t>Prevention of atherosclerosis</w:t>
            </w:r>
          </w:p>
        </w:tc>
        <w:tc>
          <w:tcPr>
            <w:tcW w:w="2116" w:type="dxa"/>
            <w:shd w:val="clear" w:color="auto" w:fill="FFFF00"/>
          </w:tcPr>
          <w:p>
            <w:pPr>
              <w:pStyle w:val="TableParagraph"/>
              <w:rPr>
                <w:rFonts w:ascii="Times New Roman"/>
                <w:sz w:val="32"/>
              </w:rPr>
            </w:pPr>
          </w:p>
          <w:p>
            <w:pPr>
              <w:pStyle w:val="TableParagraph"/>
              <w:spacing w:line="276" w:lineRule="auto" w:before="193"/>
              <w:ind w:left="104" w:right="301"/>
              <w:rPr>
                <w:rFonts w:ascii="Courier New"/>
                <w:b/>
                <w:sz w:val="28"/>
              </w:rPr>
            </w:pPr>
            <w:r>
              <w:rPr>
                <w:rFonts w:ascii="Courier New"/>
                <w:b/>
                <w:sz w:val="28"/>
              </w:rPr>
              <w:t>Reduction of Athero- sclerosis</w:t>
            </w:r>
          </w:p>
        </w:tc>
      </w:tr>
      <w:tr>
        <w:trPr>
          <w:trHeight w:val="565" w:hRule="atLeast"/>
        </w:trPr>
        <w:tc>
          <w:tcPr>
            <w:tcW w:w="2252" w:type="dxa"/>
            <w:shd w:val="clear" w:color="auto" w:fill="00AFEF"/>
          </w:tcPr>
          <w:p>
            <w:pPr>
              <w:pStyle w:val="TableParagraph"/>
              <w:spacing w:line="317" w:lineRule="exact"/>
              <w:ind w:left="107"/>
              <w:rPr>
                <w:rFonts w:ascii="Courier New"/>
                <w:b/>
                <w:sz w:val="28"/>
              </w:rPr>
            </w:pPr>
            <w:r>
              <w:rPr>
                <w:rFonts w:ascii="Courier New"/>
                <w:b/>
                <w:sz w:val="28"/>
              </w:rPr>
              <w:t>Strophanthin</w:t>
            </w:r>
          </w:p>
        </w:tc>
        <w:tc>
          <w:tcPr>
            <w:tcW w:w="1220" w:type="dxa"/>
          </w:tcPr>
          <w:p>
            <w:pPr>
              <w:pStyle w:val="TableParagraph"/>
              <w:spacing w:before="6"/>
              <w:ind w:left="107"/>
              <w:rPr>
                <w:rFonts w:ascii="Courier New"/>
                <w:sz w:val="28"/>
              </w:rPr>
            </w:pPr>
            <w:r>
              <w:rPr>
                <w:rFonts w:ascii="Courier New"/>
                <w:sz w:val="28"/>
              </w:rPr>
              <w:t>1615</w:t>
            </w:r>
          </w:p>
        </w:tc>
        <w:tc>
          <w:tcPr>
            <w:tcW w:w="2137" w:type="dxa"/>
          </w:tcPr>
          <w:p>
            <w:pPr>
              <w:pStyle w:val="TableParagraph"/>
              <w:spacing w:before="6"/>
              <w:ind w:left="106"/>
              <w:rPr>
                <w:rFonts w:ascii="Courier New"/>
                <w:sz w:val="28"/>
              </w:rPr>
            </w:pPr>
            <w:r>
              <w:rPr>
                <w:rFonts w:ascii="Courier New"/>
                <w:w w:val="100"/>
                <w:sz w:val="28"/>
              </w:rPr>
              <w:t>X</w:t>
            </w:r>
          </w:p>
        </w:tc>
        <w:tc>
          <w:tcPr>
            <w:tcW w:w="2016" w:type="dxa"/>
          </w:tcPr>
          <w:p>
            <w:pPr>
              <w:pStyle w:val="TableParagraph"/>
              <w:spacing w:before="6"/>
              <w:ind w:left="103"/>
              <w:rPr>
                <w:rFonts w:ascii="Courier New"/>
                <w:sz w:val="28"/>
              </w:rPr>
            </w:pPr>
            <w:r>
              <w:rPr>
                <w:rFonts w:ascii="Courier New"/>
                <w:w w:val="100"/>
                <w:sz w:val="28"/>
              </w:rPr>
              <w:t>X</w:t>
            </w:r>
          </w:p>
        </w:tc>
        <w:tc>
          <w:tcPr>
            <w:tcW w:w="2124" w:type="dxa"/>
          </w:tcPr>
          <w:p>
            <w:pPr>
              <w:pStyle w:val="TableParagraph"/>
              <w:spacing w:before="6"/>
              <w:ind w:left="103"/>
              <w:rPr>
                <w:rFonts w:ascii="Courier New"/>
                <w:sz w:val="28"/>
              </w:rPr>
            </w:pPr>
            <w:r>
              <w:rPr>
                <w:rFonts w:ascii="Courier New"/>
                <w:w w:val="100"/>
                <w:sz w:val="28"/>
              </w:rPr>
              <w:t>X</w:t>
            </w:r>
          </w:p>
        </w:tc>
        <w:tc>
          <w:tcPr>
            <w:tcW w:w="2554" w:type="dxa"/>
          </w:tcPr>
          <w:p>
            <w:pPr>
              <w:pStyle w:val="TableParagraph"/>
              <w:spacing w:before="6"/>
              <w:ind w:left="106"/>
              <w:rPr>
                <w:rFonts w:ascii="Courier New"/>
                <w:sz w:val="28"/>
              </w:rPr>
            </w:pPr>
            <w:r>
              <w:rPr>
                <w:rFonts w:ascii="Courier New"/>
                <w:w w:val="100"/>
                <w:sz w:val="28"/>
              </w:rPr>
              <w:t>X</w:t>
            </w:r>
          </w:p>
        </w:tc>
        <w:tc>
          <w:tcPr>
            <w:tcW w:w="2835" w:type="dxa"/>
          </w:tcPr>
          <w:p>
            <w:pPr>
              <w:pStyle w:val="TableParagraph"/>
              <w:spacing w:before="6"/>
              <w:ind w:left="104"/>
              <w:rPr>
                <w:rFonts w:ascii="Courier New"/>
                <w:sz w:val="28"/>
              </w:rPr>
            </w:pPr>
            <w:r>
              <w:rPr>
                <w:rFonts w:ascii="Courier New"/>
                <w:w w:val="100"/>
                <w:sz w:val="28"/>
              </w:rPr>
              <w:t>X</w:t>
            </w:r>
          </w:p>
        </w:tc>
        <w:tc>
          <w:tcPr>
            <w:tcW w:w="2116" w:type="dxa"/>
          </w:tcPr>
          <w:p>
            <w:pPr>
              <w:pStyle w:val="TableParagraph"/>
              <w:rPr>
                <w:rFonts w:ascii="Times New Roman"/>
                <w:sz w:val="28"/>
              </w:rPr>
            </w:pPr>
          </w:p>
        </w:tc>
      </w:tr>
      <w:tr>
        <w:trPr>
          <w:trHeight w:val="563" w:hRule="atLeast"/>
        </w:trPr>
        <w:tc>
          <w:tcPr>
            <w:tcW w:w="2252" w:type="dxa"/>
            <w:shd w:val="clear" w:color="auto" w:fill="00AFEF"/>
          </w:tcPr>
          <w:p>
            <w:pPr>
              <w:pStyle w:val="TableParagraph"/>
              <w:spacing w:line="317" w:lineRule="exact"/>
              <w:ind w:left="107"/>
              <w:rPr>
                <w:rFonts w:ascii="Courier New"/>
                <w:b/>
                <w:sz w:val="28"/>
              </w:rPr>
            </w:pPr>
            <w:r>
              <w:rPr>
                <w:rFonts w:ascii="Courier New"/>
                <w:b/>
                <w:sz w:val="28"/>
              </w:rPr>
              <w:t>Coenzyme Q10</w:t>
            </w:r>
          </w:p>
        </w:tc>
        <w:tc>
          <w:tcPr>
            <w:tcW w:w="1220" w:type="dxa"/>
          </w:tcPr>
          <w:p>
            <w:pPr>
              <w:pStyle w:val="TableParagraph"/>
              <w:spacing w:before="6"/>
              <w:ind w:left="107"/>
              <w:rPr>
                <w:rFonts w:ascii="Courier New"/>
                <w:sz w:val="28"/>
              </w:rPr>
            </w:pPr>
            <w:r>
              <w:rPr>
                <w:rFonts w:ascii="Courier New"/>
                <w:sz w:val="28"/>
              </w:rPr>
              <w:t>1393</w:t>
            </w:r>
          </w:p>
        </w:tc>
        <w:tc>
          <w:tcPr>
            <w:tcW w:w="2137" w:type="dxa"/>
          </w:tcPr>
          <w:p>
            <w:pPr>
              <w:pStyle w:val="TableParagraph"/>
              <w:spacing w:before="6"/>
              <w:ind w:left="106"/>
              <w:rPr>
                <w:rFonts w:ascii="Courier New"/>
                <w:sz w:val="28"/>
              </w:rPr>
            </w:pPr>
            <w:r>
              <w:rPr>
                <w:rFonts w:ascii="Courier New"/>
                <w:w w:val="100"/>
                <w:sz w:val="28"/>
              </w:rPr>
              <w:t>X</w:t>
            </w:r>
          </w:p>
        </w:tc>
        <w:tc>
          <w:tcPr>
            <w:tcW w:w="2016" w:type="dxa"/>
          </w:tcPr>
          <w:p>
            <w:pPr>
              <w:pStyle w:val="TableParagraph"/>
              <w:spacing w:before="6"/>
              <w:ind w:left="103"/>
              <w:rPr>
                <w:rFonts w:ascii="Courier New"/>
                <w:sz w:val="28"/>
              </w:rPr>
            </w:pPr>
            <w:r>
              <w:rPr>
                <w:rFonts w:ascii="Courier New"/>
                <w:w w:val="100"/>
                <w:sz w:val="28"/>
              </w:rPr>
              <w:t>X</w:t>
            </w:r>
          </w:p>
        </w:tc>
        <w:tc>
          <w:tcPr>
            <w:tcW w:w="2124" w:type="dxa"/>
          </w:tcPr>
          <w:p>
            <w:pPr>
              <w:pStyle w:val="TableParagraph"/>
              <w:spacing w:before="6"/>
              <w:ind w:left="103"/>
              <w:rPr>
                <w:rFonts w:ascii="Courier New"/>
                <w:sz w:val="28"/>
              </w:rPr>
            </w:pPr>
            <w:r>
              <w:rPr>
                <w:rFonts w:ascii="Courier New"/>
                <w:w w:val="100"/>
                <w:sz w:val="28"/>
              </w:rPr>
              <w:t>X</w:t>
            </w:r>
          </w:p>
        </w:tc>
        <w:tc>
          <w:tcPr>
            <w:tcW w:w="2554" w:type="dxa"/>
          </w:tcPr>
          <w:p>
            <w:pPr>
              <w:pStyle w:val="TableParagraph"/>
              <w:spacing w:before="6"/>
              <w:ind w:left="106"/>
              <w:rPr>
                <w:rFonts w:ascii="Courier New"/>
                <w:sz w:val="28"/>
              </w:rPr>
            </w:pPr>
            <w:r>
              <w:rPr>
                <w:rFonts w:ascii="Courier New"/>
                <w:w w:val="100"/>
                <w:sz w:val="28"/>
              </w:rPr>
              <w:t>X</w:t>
            </w:r>
          </w:p>
        </w:tc>
        <w:tc>
          <w:tcPr>
            <w:tcW w:w="2835" w:type="dxa"/>
          </w:tcPr>
          <w:p>
            <w:pPr>
              <w:pStyle w:val="TableParagraph"/>
              <w:spacing w:before="6"/>
              <w:ind w:left="104"/>
              <w:rPr>
                <w:rFonts w:ascii="Courier New"/>
                <w:sz w:val="28"/>
              </w:rPr>
            </w:pPr>
            <w:r>
              <w:rPr>
                <w:rFonts w:ascii="Courier New"/>
                <w:w w:val="100"/>
                <w:sz w:val="28"/>
              </w:rPr>
              <w:t>X</w:t>
            </w:r>
          </w:p>
        </w:tc>
        <w:tc>
          <w:tcPr>
            <w:tcW w:w="2116" w:type="dxa"/>
          </w:tcPr>
          <w:p>
            <w:pPr>
              <w:pStyle w:val="TableParagraph"/>
              <w:rPr>
                <w:rFonts w:ascii="Times New Roman"/>
                <w:sz w:val="28"/>
              </w:rPr>
            </w:pPr>
          </w:p>
        </w:tc>
      </w:tr>
      <w:tr>
        <w:trPr>
          <w:trHeight w:val="565" w:hRule="atLeast"/>
        </w:trPr>
        <w:tc>
          <w:tcPr>
            <w:tcW w:w="2252" w:type="dxa"/>
            <w:shd w:val="clear" w:color="auto" w:fill="00AFEF"/>
          </w:tcPr>
          <w:p>
            <w:pPr>
              <w:pStyle w:val="TableParagraph"/>
              <w:spacing w:line="317" w:lineRule="exact"/>
              <w:ind w:left="107"/>
              <w:rPr>
                <w:rFonts w:ascii="Courier New"/>
                <w:b/>
                <w:sz w:val="28"/>
              </w:rPr>
            </w:pPr>
            <w:r>
              <w:rPr>
                <w:rFonts w:ascii="Courier New"/>
                <w:b/>
                <w:sz w:val="28"/>
              </w:rPr>
              <w:t>Beta-Carotin</w:t>
            </w:r>
          </w:p>
        </w:tc>
        <w:tc>
          <w:tcPr>
            <w:tcW w:w="1220" w:type="dxa"/>
          </w:tcPr>
          <w:p>
            <w:pPr>
              <w:pStyle w:val="TableParagraph"/>
              <w:spacing w:before="6"/>
              <w:ind w:left="107"/>
              <w:rPr>
                <w:rFonts w:ascii="Courier New"/>
                <w:sz w:val="28"/>
              </w:rPr>
            </w:pPr>
            <w:r>
              <w:rPr>
                <w:rFonts w:ascii="Courier New"/>
                <w:sz w:val="28"/>
              </w:rPr>
              <w:t>237</w:t>
            </w:r>
          </w:p>
        </w:tc>
        <w:tc>
          <w:tcPr>
            <w:tcW w:w="2137" w:type="dxa"/>
          </w:tcPr>
          <w:p>
            <w:pPr>
              <w:pStyle w:val="TableParagraph"/>
              <w:spacing w:before="6"/>
              <w:ind w:left="106"/>
              <w:rPr>
                <w:rFonts w:ascii="Courier New"/>
                <w:sz w:val="28"/>
              </w:rPr>
            </w:pPr>
            <w:r>
              <w:rPr>
                <w:rFonts w:ascii="Courier New"/>
                <w:w w:val="100"/>
                <w:sz w:val="28"/>
              </w:rPr>
              <w:t>X</w:t>
            </w:r>
          </w:p>
        </w:tc>
        <w:tc>
          <w:tcPr>
            <w:tcW w:w="2016" w:type="dxa"/>
          </w:tcPr>
          <w:p>
            <w:pPr>
              <w:pStyle w:val="TableParagraph"/>
              <w:rPr>
                <w:rFonts w:ascii="Times New Roman"/>
                <w:sz w:val="28"/>
              </w:rPr>
            </w:pPr>
          </w:p>
        </w:tc>
        <w:tc>
          <w:tcPr>
            <w:tcW w:w="2124" w:type="dxa"/>
          </w:tcPr>
          <w:p>
            <w:pPr>
              <w:pStyle w:val="TableParagraph"/>
              <w:spacing w:before="6"/>
              <w:ind w:left="103"/>
              <w:rPr>
                <w:rFonts w:ascii="Courier New"/>
                <w:sz w:val="28"/>
              </w:rPr>
            </w:pPr>
            <w:r>
              <w:rPr>
                <w:rFonts w:ascii="Courier New"/>
                <w:w w:val="100"/>
                <w:sz w:val="28"/>
              </w:rPr>
              <w:t>X</w:t>
            </w:r>
          </w:p>
        </w:tc>
        <w:tc>
          <w:tcPr>
            <w:tcW w:w="2554" w:type="dxa"/>
          </w:tcPr>
          <w:p>
            <w:pPr>
              <w:pStyle w:val="TableParagraph"/>
              <w:spacing w:before="6"/>
              <w:ind w:left="106"/>
              <w:rPr>
                <w:rFonts w:ascii="Courier New"/>
                <w:sz w:val="28"/>
              </w:rPr>
            </w:pPr>
            <w:r>
              <w:rPr>
                <w:rFonts w:ascii="Courier New"/>
                <w:w w:val="100"/>
                <w:sz w:val="28"/>
              </w:rPr>
              <w:t>X</w:t>
            </w:r>
          </w:p>
        </w:tc>
        <w:tc>
          <w:tcPr>
            <w:tcW w:w="2835" w:type="dxa"/>
          </w:tcPr>
          <w:p>
            <w:pPr>
              <w:pStyle w:val="TableParagraph"/>
              <w:spacing w:before="6"/>
              <w:ind w:left="104"/>
              <w:rPr>
                <w:rFonts w:ascii="Courier New"/>
                <w:sz w:val="28"/>
              </w:rPr>
            </w:pPr>
            <w:r>
              <w:rPr>
                <w:rFonts w:ascii="Courier New"/>
                <w:w w:val="100"/>
                <w:sz w:val="28"/>
              </w:rPr>
              <w:t>X</w:t>
            </w:r>
          </w:p>
        </w:tc>
        <w:tc>
          <w:tcPr>
            <w:tcW w:w="2116" w:type="dxa"/>
          </w:tcPr>
          <w:p>
            <w:pPr>
              <w:pStyle w:val="TableParagraph"/>
              <w:rPr>
                <w:rFonts w:ascii="Times New Roman"/>
                <w:sz w:val="28"/>
              </w:rPr>
            </w:pPr>
          </w:p>
        </w:tc>
      </w:tr>
      <w:tr>
        <w:trPr>
          <w:trHeight w:val="1293" w:hRule="atLeast"/>
        </w:trPr>
        <w:tc>
          <w:tcPr>
            <w:tcW w:w="2252" w:type="dxa"/>
            <w:shd w:val="clear" w:color="auto" w:fill="00AFEF"/>
          </w:tcPr>
          <w:p>
            <w:pPr>
              <w:pStyle w:val="TableParagraph"/>
              <w:spacing w:line="276" w:lineRule="auto"/>
              <w:ind w:left="107" w:right="115"/>
              <w:rPr>
                <w:rFonts w:ascii="Courier New" w:hAnsi="Courier New"/>
                <w:b/>
                <w:sz w:val="28"/>
              </w:rPr>
            </w:pPr>
            <w:r>
              <w:rPr>
                <w:rFonts w:ascii="Courier New" w:hAnsi="Courier New"/>
                <w:b/>
                <w:sz w:val="28"/>
              </w:rPr>
              <w:t>Omega-3 fatty acids- </w:t>
            </w:r>
            <w:r>
              <w:rPr>
                <w:rFonts w:ascii="Courier New" w:hAnsi="Courier New"/>
                <w:b/>
                <w:spacing w:val="-1"/>
                <w:sz w:val="28"/>
              </w:rPr>
              <w:t>3-Fettsäuren</w:t>
            </w:r>
          </w:p>
        </w:tc>
        <w:tc>
          <w:tcPr>
            <w:tcW w:w="1220" w:type="dxa"/>
          </w:tcPr>
          <w:p>
            <w:pPr>
              <w:pStyle w:val="TableParagraph"/>
              <w:spacing w:before="6"/>
              <w:ind w:left="107"/>
              <w:rPr>
                <w:rFonts w:ascii="Courier New"/>
                <w:sz w:val="28"/>
              </w:rPr>
            </w:pPr>
            <w:r>
              <w:rPr>
                <w:rFonts w:ascii="Courier New"/>
                <w:sz w:val="28"/>
              </w:rPr>
              <w:t>1036</w:t>
            </w:r>
          </w:p>
        </w:tc>
        <w:tc>
          <w:tcPr>
            <w:tcW w:w="2137" w:type="dxa"/>
          </w:tcPr>
          <w:p>
            <w:pPr>
              <w:pStyle w:val="TableParagraph"/>
              <w:spacing w:before="6"/>
              <w:ind w:left="106"/>
              <w:rPr>
                <w:rFonts w:ascii="Courier New"/>
                <w:sz w:val="28"/>
              </w:rPr>
            </w:pPr>
            <w:r>
              <w:rPr>
                <w:rFonts w:ascii="Courier New"/>
                <w:w w:val="100"/>
                <w:sz w:val="28"/>
              </w:rPr>
              <w:t>X</w:t>
            </w:r>
          </w:p>
        </w:tc>
        <w:tc>
          <w:tcPr>
            <w:tcW w:w="2016" w:type="dxa"/>
          </w:tcPr>
          <w:p>
            <w:pPr>
              <w:pStyle w:val="TableParagraph"/>
              <w:spacing w:before="6"/>
              <w:ind w:left="103"/>
              <w:rPr>
                <w:rFonts w:ascii="Courier New"/>
                <w:sz w:val="28"/>
              </w:rPr>
            </w:pPr>
            <w:r>
              <w:rPr>
                <w:rFonts w:ascii="Courier New"/>
                <w:w w:val="100"/>
                <w:sz w:val="28"/>
              </w:rPr>
              <w:t>X</w:t>
            </w:r>
          </w:p>
        </w:tc>
        <w:tc>
          <w:tcPr>
            <w:tcW w:w="2124" w:type="dxa"/>
          </w:tcPr>
          <w:p>
            <w:pPr>
              <w:pStyle w:val="TableParagraph"/>
              <w:spacing w:before="6"/>
              <w:ind w:left="103"/>
              <w:rPr>
                <w:rFonts w:ascii="Courier New"/>
                <w:sz w:val="28"/>
              </w:rPr>
            </w:pPr>
            <w:r>
              <w:rPr>
                <w:rFonts w:ascii="Courier New"/>
                <w:w w:val="100"/>
                <w:sz w:val="28"/>
              </w:rPr>
              <w:t>X</w:t>
            </w:r>
          </w:p>
        </w:tc>
        <w:tc>
          <w:tcPr>
            <w:tcW w:w="2554" w:type="dxa"/>
          </w:tcPr>
          <w:p>
            <w:pPr>
              <w:pStyle w:val="TableParagraph"/>
              <w:spacing w:before="6"/>
              <w:ind w:left="106"/>
              <w:rPr>
                <w:rFonts w:ascii="Courier New"/>
                <w:sz w:val="28"/>
              </w:rPr>
            </w:pPr>
            <w:r>
              <w:rPr>
                <w:rFonts w:ascii="Courier New"/>
                <w:w w:val="100"/>
                <w:sz w:val="28"/>
              </w:rPr>
              <w:t>X</w:t>
            </w:r>
          </w:p>
        </w:tc>
        <w:tc>
          <w:tcPr>
            <w:tcW w:w="2835" w:type="dxa"/>
          </w:tcPr>
          <w:p>
            <w:pPr>
              <w:pStyle w:val="TableParagraph"/>
              <w:spacing w:before="6"/>
              <w:ind w:left="104"/>
              <w:rPr>
                <w:rFonts w:ascii="Courier New"/>
                <w:sz w:val="28"/>
              </w:rPr>
            </w:pPr>
            <w:r>
              <w:rPr>
                <w:rFonts w:ascii="Courier New"/>
                <w:w w:val="100"/>
                <w:sz w:val="28"/>
              </w:rPr>
              <w:t>X</w:t>
            </w:r>
          </w:p>
        </w:tc>
        <w:tc>
          <w:tcPr>
            <w:tcW w:w="2116" w:type="dxa"/>
          </w:tcPr>
          <w:p>
            <w:pPr>
              <w:pStyle w:val="TableParagraph"/>
              <w:rPr>
                <w:rFonts w:ascii="Times New Roman"/>
                <w:sz w:val="28"/>
              </w:rPr>
            </w:pPr>
          </w:p>
        </w:tc>
      </w:tr>
      <w:tr>
        <w:trPr>
          <w:trHeight w:val="566" w:hRule="atLeast"/>
        </w:trPr>
        <w:tc>
          <w:tcPr>
            <w:tcW w:w="2252" w:type="dxa"/>
            <w:shd w:val="clear" w:color="auto" w:fill="00AFEF"/>
          </w:tcPr>
          <w:p>
            <w:pPr>
              <w:pStyle w:val="TableParagraph"/>
              <w:spacing w:line="317" w:lineRule="exact"/>
              <w:ind w:left="107"/>
              <w:rPr>
                <w:rFonts w:ascii="Courier New"/>
                <w:b/>
                <w:sz w:val="28"/>
              </w:rPr>
            </w:pPr>
            <w:r>
              <w:rPr>
                <w:rFonts w:ascii="Courier New"/>
                <w:b/>
                <w:sz w:val="28"/>
              </w:rPr>
              <w:t>L-Carnitine</w:t>
            </w:r>
          </w:p>
        </w:tc>
        <w:tc>
          <w:tcPr>
            <w:tcW w:w="1220" w:type="dxa"/>
          </w:tcPr>
          <w:p>
            <w:pPr>
              <w:pStyle w:val="TableParagraph"/>
              <w:spacing w:before="6"/>
              <w:ind w:left="107"/>
              <w:rPr>
                <w:rFonts w:ascii="Courier New"/>
                <w:sz w:val="28"/>
              </w:rPr>
            </w:pPr>
            <w:r>
              <w:rPr>
                <w:rFonts w:ascii="Courier New"/>
                <w:sz w:val="28"/>
              </w:rPr>
              <w:t>866</w:t>
            </w:r>
          </w:p>
        </w:tc>
        <w:tc>
          <w:tcPr>
            <w:tcW w:w="2137" w:type="dxa"/>
          </w:tcPr>
          <w:p>
            <w:pPr>
              <w:pStyle w:val="TableParagraph"/>
              <w:spacing w:before="6"/>
              <w:ind w:left="106"/>
              <w:rPr>
                <w:rFonts w:ascii="Courier New"/>
                <w:sz w:val="28"/>
              </w:rPr>
            </w:pPr>
            <w:r>
              <w:rPr>
                <w:rFonts w:ascii="Courier New"/>
                <w:w w:val="100"/>
                <w:sz w:val="28"/>
              </w:rPr>
              <w:t>X</w:t>
            </w:r>
          </w:p>
        </w:tc>
        <w:tc>
          <w:tcPr>
            <w:tcW w:w="2016" w:type="dxa"/>
          </w:tcPr>
          <w:p>
            <w:pPr>
              <w:pStyle w:val="TableParagraph"/>
              <w:spacing w:before="6"/>
              <w:ind w:left="103"/>
              <w:rPr>
                <w:rFonts w:ascii="Courier New"/>
                <w:sz w:val="28"/>
              </w:rPr>
            </w:pPr>
            <w:r>
              <w:rPr>
                <w:rFonts w:ascii="Courier New"/>
                <w:w w:val="100"/>
                <w:sz w:val="28"/>
              </w:rPr>
              <w:t>x</w:t>
            </w:r>
          </w:p>
        </w:tc>
        <w:tc>
          <w:tcPr>
            <w:tcW w:w="2124" w:type="dxa"/>
          </w:tcPr>
          <w:p>
            <w:pPr>
              <w:pStyle w:val="TableParagraph"/>
              <w:spacing w:before="6"/>
              <w:ind w:left="103"/>
              <w:rPr>
                <w:rFonts w:ascii="Courier New"/>
                <w:sz w:val="28"/>
              </w:rPr>
            </w:pPr>
            <w:r>
              <w:rPr>
                <w:rFonts w:ascii="Courier New"/>
                <w:w w:val="100"/>
                <w:sz w:val="28"/>
              </w:rPr>
              <w:t>X</w:t>
            </w:r>
          </w:p>
        </w:tc>
        <w:tc>
          <w:tcPr>
            <w:tcW w:w="2554" w:type="dxa"/>
          </w:tcPr>
          <w:p>
            <w:pPr>
              <w:pStyle w:val="TableParagraph"/>
              <w:spacing w:before="6"/>
              <w:ind w:left="106"/>
              <w:rPr>
                <w:rFonts w:ascii="Courier New"/>
                <w:sz w:val="28"/>
              </w:rPr>
            </w:pPr>
            <w:r>
              <w:rPr>
                <w:rFonts w:ascii="Courier New"/>
                <w:w w:val="100"/>
                <w:sz w:val="28"/>
              </w:rPr>
              <w:t>X</w:t>
            </w:r>
          </w:p>
        </w:tc>
        <w:tc>
          <w:tcPr>
            <w:tcW w:w="2835" w:type="dxa"/>
          </w:tcPr>
          <w:p>
            <w:pPr>
              <w:pStyle w:val="TableParagraph"/>
              <w:spacing w:before="6"/>
              <w:ind w:left="104"/>
              <w:rPr>
                <w:rFonts w:ascii="Courier New"/>
                <w:sz w:val="28"/>
              </w:rPr>
            </w:pPr>
            <w:r>
              <w:rPr>
                <w:rFonts w:ascii="Courier New"/>
                <w:w w:val="100"/>
                <w:sz w:val="28"/>
              </w:rPr>
              <w:t>X</w:t>
            </w:r>
          </w:p>
        </w:tc>
        <w:tc>
          <w:tcPr>
            <w:tcW w:w="2116" w:type="dxa"/>
          </w:tcPr>
          <w:p>
            <w:pPr>
              <w:pStyle w:val="TableParagraph"/>
              <w:rPr>
                <w:rFonts w:ascii="Times New Roman"/>
                <w:sz w:val="28"/>
              </w:rPr>
            </w:pPr>
          </w:p>
        </w:tc>
      </w:tr>
      <w:tr>
        <w:trPr>
          <w:trHeight w:val="563" w:hRule="atLeast"/>
        </w:trPr>
        <w:tc>
          <w:tcPr>
            <w:tcW w:w="2252" w:type="dxa"/>
            <w:shd w:val="clear" w:color="auto" w:fill="00AFEF"/>
          </w:tcPr>
          <w:p>
            <w:pPr>
              <w:pStyle w:val="TableParagraph"/>
              <w:spacing w:line="317" w:lineRule="exact"/>
              <w:ind w:left="107"/>
              <w:rPr>
                <w:rFonts w:ascii="Courier New"/>
                <w:b/>
                <w:sz w:val="28"/>
              </w:rPr>
            </w:pPr>
            <w:r>
              <w:rPr>
                <w:rFonts w:ascii="Courier New"/>
                <w:b/>
                <w:sz w:val="28"/>
              </w:rPr>
              <w:t>Pomegranate</w:t>
            </w:r>
          </w:p>
        </w:tc>
        <w:tc>
          <w:tcPr>
            <w:tcW w:w="1220" w:type="dxa"/>
          </w:tcPr>
          <w:p>
            <w:pPr>
              <w:pStyle w:val="TableParagraph"/>
              <w:spacing w:before="6"/>
              <w:ind w:left="107"/>
              <w:rPr>
                <w:rFonts w:ascii="Courier New"/>
                <w:sz w:val="28"/>
              </w:rPr>
            </w:pPr>
            <w:r>
              <w:rPr>
                <w:rFonts w:ascii="Courier New"/>
                <w:sz w:val="28"/>
              </w:rPr>
              <w:t>490</w:t>
            </w:r>
          </w:p>
        </w:tc>
        <w:tc>
          <w:tcPr>
            <w:tcW w:w="2137" w:type="dxa"/>
          </w:tcPr>
          <w:p>
            <w:pPr>
              <w:pStyle w:val="TableParagraph"/>
              <w:spacing w:before="6"/>
              <w:ind w:left="106"/>
              <w:rPr>
                <w:rFonts w:ascii="Courier New"/>
                <w:sz w:val="28"/>
              </w:rPr>
            </w:pPr>
            <w:r>
              <w:rPr>
                <w:rFonts w:ascii="Courier New"/>
                <w:w w:val="100"/>
                <w:sz w:val="28"/>
              </w:rPr>
              <w:t>X</w:t>
            </w:r>
          </w:p>
        </w:tc>
        <w:tc>
          <w:tcPr>
            <w:tcW w:w="2016" w:type="dxa"/>
          </w:tcPr>
          <w:p>
            <w:pPr>
              <w:pStyle w:val="TableParagraph"/>
              <w:spacing w:before="6"/>
              <w:ind w:left="103"/>
              <w:rPr>
                <w:rFonts w:ascii="Courier New"/>
                <w:sz w:val="28"/>
              </w:rPr>
            </w:pPr>
            <w:r>
              <w:rPr>
                <w:rFonts w:ascii="Courier New"/>
                <w:w w:val="100"/>
                <w:sz w:val="28"/>
              </w:rPr>
              <w:t>X</w:t>
            </w:r>
          </w:p>
        </w:tc>
        <w:tc>
          <w:tcPr>
            <w:tcW w:w="2124" w:type="dxa"/>
          </w:tcPr>
          <w:p>
            <w:pPr>
              <w:pStyle w:val="TableParagraph"/>
              <w:spacing w:before="6"/>
              <w:ind w:left="103"/>
              <w:rPr>
                <w:rFonts w:ascii="Courier New"/>
                <w:sz w:val="28"/>
              </w:rPr>
            </w:pPr>
            <w:r>
              <w:rPr>
                <w:rFonts w:ascii="Courier New"/>
                <w:w w:val="100"/>
                <w:sz w:val="28"/>
              </w:rPr>
              <w:t>X</w:t>
            </w:r>
          </w:p>
        </w:tc>
        <w:tc>
          <w:tcPr>
            <w:tcW w:w="2554" w:type="dxa"/>
          </w:tcPr>
          <w:p>
            <w:pPr>
              <w:pStyle w:val="TableParagraph"/>
              <w:spacing w:before="6"/>
              <w:ind w:left="106"/>
              <w:rPr>
                <w:rFonts w:ascii="Courier New"/>
                <w:sz w:val="28"/>
              </w:rPr>
            </w:pPr>
            <w:r>
              <w:rPr>
                <w:rFonts w:ascii="Courier New"/>
                <w:w w:val="100"/>
                <w:sz w:val="28"/>
              </w:rPr>
              <w:t>X</w:t>
            </w:r>
          </w:p>
        </w:tc>
        <w:tc>
          <w:tcPr>
            <w:tcW w:w="2835" w:type="dxa"/>
          </w:tcPr>
          <w:p>
            <w:pPr>
              <w:pStyle w:val="TableParagraph"/>
              <w:spacing w:before="6"/>
              <w:ind w:left="104"/>
              <w:rPr>
                <w:rFonts w:ascii="Courier New"/>
                <w:sz w:val="28"/>
              </w:rPr>
            </w:pPr>
            <w:r>
              <w:rPr>
                <w:rFonts w:ascii="Courier New"/>
                <w:w w:val="100"/>
                <w:sz w:val="28"/>
              </w:rPr>
              <w:t>X</w:t>
            </w:r>
          </w:p>
        </w:tc>
        <w:tc>
          <w:tcPr>
            <w:tcW w:w="2116" w:type="dxa"/>
          </w:tcPr>
          <w:p>
            <w:pPr>
              <w:pStyle w:val="TableParagraph"/>
              <w:spacing w:before="6"/>
              <w:ind w:left="104"/>
              <w:rPr>
                <w:rFonts w:ascii="Courier New"/>
                <w:sz w:val="28"/>
              </w:rPr>
            </w:pPr>
            <w:r>
              <w:rPr>
                <w:rFonts w:ascii="Courier New"/>
                <w:w w:val="100"/>
                <w:sz w:val="28"/>
              </w:rPr>
              <w:t>X</w:t>
            </w:r>
          </w:p>
        </w:tc>
      </w:tr>
      <w:tr>
        <w:trPr>
          <w:trHeight w:val="931" w:hRule="atLeast"/>
        </w:trPr>
        <w:tc>
          <w:tcPr>
            <w:tcW w:w="2252" w:type="dxa"/>
            <w:shd w:val="clear" w:color="auto" w:fill="00AFEF"/>
          </w:tcPr>
          <w:p>
            <w:pPr>
              <w:pStyle w:val="TableParagraph"/>
              <w:spacing w:line="278" w:lineRule="auto"/>
              <w:ind w:left="107" w:right="98"/>
              <w:rPr>
                <w:rFonts w:ascii="Courier New"/>
                <w:b/>
                <w:sz w:val="28"/>
              </w:rPr>
            </w:pPr>
            <w:r>
              <w:rPr>
                <w:rFonts w:ascii="Courier New"/>
                <w:b/>
                <w:sz w:val="28"/>
              </w:rPr>
              <w:t>Alpha-lipoic acid</w:t>
            </w:r>
          </w:p>
        </w:tc>
        <w:tc>
          <w:tcPr>
            <w:tcW w:w="1220" w:type="dxa"/>
          </w:tcPr>
          <w:p>
            <w:pPr>
              <w:pStyle w:val="TableParagraph"/>
              <w:spacing w:before="6"/>
              <w:ind w:left="107"/>
              <w:rPr>
                <w:rFonts w:ascii="Courier New"/>
                <w:sz w:val="28"/>
              </w:rPr>
            </w:pPr>
            <w:r>
              <w:rPr>
                <w:rFonts w:ascii="Courier New"/>
                <w:sz w:val="28"/>
              </w:rPr>
              <w:t>86</w:t>
            </w:r>
          </w:p>
        </w:tc>
        <w:tc>
          <w:tcPr>
            <w:tcW w:w="2137" w:type="dxa"/>
          </w:tcPr>
          <w:p>
            <w:pPr>
              <w:pStyle w:val="TableParagraph"/>
              <w:spacing w:before="6"/>
              <w:ind w:left="106"/>
              <w:rPr>
                <w:rFonts w:ascii="Courier New"/>
                <w:sz w:val="28"/>
              </w:rPr>
            </w:pPr>
            <w:r>
              <w:rPr>
                <w:rFonts w:ascii="Courier New"/>
                <w:w w:val="100"/>
                <w:sz w:val="28"/>
              </w:rPr>
              <w:t>X</w:t>
            </w:r>
          </w:p>
        </w:tc>
        <w:tc>
          <w:tcPr>
            <w:tcW w:w="2016" w:type="dxa"/>
          </w:tcPr>
          <w:p>
            <w:pPr>
              <w:pStyle w:val="TableParagraph"/>
              <w:spacing w:before="6"/>
              <w:ind w:left="103"/>
              <w:rPr>
                <w:rFonts w:ascii="Courier New"/>
                <w:sz w:val="28"/>
              </w:rPr>
            </w:pPr>
            <w:r>
              <w:rPr>
                <w:rFonts w:ascii="Courier New"/>
                <w:w w:val="100"/>
                <w:sz w:val="28"/>
              </w:rPr>
              <w:t>X</w:t>
            </w:r>
          </w:p>
        </w:tc>
        <w:tc>
          <w:tcPr>
            <w:tcW w:w="2124" w:type="dxa"/>
          </w:tcPr>
          <w:p>
            <w:pPr>
              <w:pStyle w:val="TableParagraph"/>
              <w:spacing w:before="6"/>
              <w:ind w:left="103"/>
              <w:rPr>
                <w:rFonts w:ascii="Courier New"/>
                <w:sz w:val="28"/>
              </w:rPr>
            </w:pPr>
            <w:r>
              <w:rPr>
                <w:rFonts w:ascii="Courier New"/>
                <w:w w:val="100"/>
                <w:sz w:val="28"/>
              </w:rPr>
              <w:t>X</w:t>
            </w:r>
          </w:p>
        </w:tc>
        <w:tc>
          <w:tcPr>
            <w:tcW w:w="2554" w:type="dxa"/>
          </w:tcPr>
          <w:p>
            <w:pPr>
              <w:pStyle w:val="TableParagraph"/>
              <w:spacing w:before="6"/>
              <w:ind w:left="106"/>
              <w:rPr>
                <w:rFonts w:ascii="Courier New"/>
                <w:sz w:val="28"/>
              </w:rPr>
            </w:pPr>
            <w:r>
              <w:rPr>
                <w:rFonts w:ascii="Courier New"/>
                <w:w w:val="100"/>
                <w:sz w:val="28"/>
              </w:rPr>
              <w:t>X</w:t>
            </w:r>
          </w:p>
        </w:tc>
        <w:tc>
          <w:tcPr>
            <w:tcW w:w="2835" w:type="dxa"/>
          </w:tcPr>
          <w:p>
            <w:pPr>
              <w:pStyle w:val="TableParagraph"/>
              <w:spacing w:before="6"/>
              <w:ind w:left="104"/>
              <w:rPr>
                <w:rFonts w:ascii="Courier New"/>
                <w:sz w:val="28"/>
              </w:rPr>
            </w:pPr>
            <w:r>
              <w:rPr>
                <w:rFonts w:ascii="Courier New"/>
                <w:w w:val="100"/>
                <w:sz w:val="28"/>
              </w:rPr>
              <w:t>X</w:t>
            </w:r>
          </w:p>
        </w:tc>
        <w:tc>
          <w:tcPr>
            <w:tcW w:w="2116" w:type="dxa"/>
          </w:tcPr>
          <w:p>
            <w:pPr>
              <w:pStyle w:val="TableParagraph"/>
              <w:rPr>
                <w:rFonts w:ascii="Times New Roman"/>
                <w:sz w:val="28"/>
              </w:rPr>
            </w:pPr>
          </w:p>
        </w:tc>
      </w:tr>
    </w:tbl>
    <w:p>
      <w:pPr>
        <w:spacing w:after="0"/>
        <w:rPr>
          <w:rFonts w:ascii="Times New Roman"/>
          <w:sz w:val="28"/>
        </w:rPr>
        <w:sectPr>
          <w:pgSz w:w="18630" w:h="11910" w:orient="landscape"/>
          <w:pgMar w:header="0" w:footer="404" w:top="840" w:bottom="600" w:left="740" w:right="8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2"/>
        <w:gridCol w:w="1220"/>
        <w:gridCol w:w="2137"/>
        <w:gridCol w:w="2016"/>
        <w:gridCol w:w="2124"/>
        <w:gridCol w:w="2554"/>
        <w:gridCol w:w="2835"/>
        <w:gridCol w:w="2155"/>
      </w:tblGrid>
      <w:tr>
        <w:trPr>
          <w:trHeight w:val="928" w:hRule="atLeast"/>
        </w:trPr>
        <w:tc>
          <w:tcPr>
            <w:tcW w:w="2252" w:type="dxa"/>
            <w:shd w:val="clear" w:color="auto" w:fill="00AFEF"/>
          </w:tcPr>
          <w:p>
            <w:pPr>
              <w:pStyle w:val="TableParagraph"/>
              <w:spacing w:line="278" w:lineRule="auto"/>
              <w:ind w:left="107" w:right="434"/>
              <w:rPr>
                <w:rFonts w:ascii="Courier New"/>
                <w:b/>
                <w:sz w:val="28"/>
              </w:rPr>
            </w:pPr>
            <w:r>
              <w:rPr>
                <w:rFonts w:ascii="Courier New"/>
                <w:b/>
                <w:sz w:val="28"/>
              </w:rPr>
              <w:t>Pineapple- Bromelain</w:t>
            </w:r>
          </w:p>
        </w:tc>
        <w:tc>
          <w:tcPr>
            <w:tcW w:w="1220" w:type="dxa"/>
          </w:tcPr>
          <w:p>
            <w:pPr>
              <w:pStyle w:val="TableParagraph"/>
              <w:spacing w:before="6"/>
              <w:ind w:left="107"/>
              <w:rPr>
                <w:rFonts w:ascii="Courier New"/>
                <w:sz w:val="28"/>
              </w:rPr>
            </w:pPr>
            <w:r>
              <w:rPr>
                <w:rFonts w:ascii="Courier New"/>
                <w:sz w:val="28"/>
              </w:rPr>
              <w:t>140</w:t>
            </w:r>
          </w:p>
        </w:tc>
        <w:tc>
          <w:tcPr>
            <w:tcW w:w="2137" w:type="dxa"/>
          </w:tcPr>
          <w:p>
            <w:pPr>
              <w:pStyle w:val="TableParagraph"/>
              <w:spacing w:before="6"/>
              <w:ind w:left="106"/>
              <w:rPr>
                <w:rFonts w:ascii="Courier New"/>
                <w:sz w:val="28"/>
              </w:rPr>
            </w:pPr>
            <w:r>
              <w:rPr>
                <w:rFonts w:ascii="Courier New"/>
                <w:w w:val="100"/>
                <w:sz w:val="28"/>
              </w:rPr>
              <w:t>X</w:t>
            </w:r>
          </w:p>
        </w:tc>
        <w:tc>
          <w:tcPr>
            <w:tcW w:w="2016" w:type="dxa"/>
          </w:tcPr>
          <w:p>
            <w:pPr>
              <w:pStyle w:val="TableParagraph"/>
              <w:spacing w:before="6"/>
              <w:ind w:left="103"/>
              <w:rPr>
                <w:rFonts w:ascii="Courier New"/>
                <w:sz w:val="28"/>
              </w:rPr>
            </w:pPr>
            <w:r>
              <w:rPr>
                <w:rFonts w:ascii="Courier New"/>
                <w:w w:val="100"/>
                <w:sz w:val="28"/>
              </w:rPr>
              <w:t>X</w:t>
            </w:r>
          </w:p>
        </w:tc>
        <w:tc>
          <w:tcPr>
            <w:tcW w:w="2124" w:type="dxa"/>
          </w:tcPr>
          <w:p>
            <w:pPr>
              <w:pStyle w:val="TableParagraph"/>
              <w:spacing w:before="6"/>
              <w:ind w:left="103"/>
              <w:rPr>
                <w:rFonts w:ascii="Courier New"/>
                <w:sz w:val="28"/>
              </w:rPr>
            </w:pPr>
            <w:r>
              <w:rPr>
                <w:rFonts w:ascii="Courier New"/>
                <w:w w:val="100"/>
                <w:sz w:val="28"/>
              </w:rPr>
              <w:t>X</w:t>
            </w:r>
          </w:p>
        </w:tc>
        <w:tc>
          <w:tcPr>
            <w:tcW w:w="2554" w:type="dxa"/>
          </w:tcPr>
          <w:p>
            <w:pPr>
              <w:pStyle w:val="TableParagraph"/>
              <w:spacing w:before="6"/>
              <w:ind w:left="106"/>
              <w:rPr>
                <w:rFonts w:ascii="Courier New"/>
                <w:sz w:val="28"/>
              </w:rPr>
            </w:pPr>
            <w:r>
              <w:rPr>
                <w:rFonts w:ascii="Courier New"/>
                <w:w w:val="100"/>
                <w:sz w:val="28"/>
              </w:rPr>
              <w:t>X</w:t>
            </w:r>
          </w:p>
        </w:tc>
        <w:tc>
          <w:tcPr>
            <w:tcW w:w="2835" w:type="dxa"/>
          </w:tcPr>
          <w:p>
            <w:pPr>
              <w:pStyle w:val="TableParagraph"/>
              <w:spacing w:before="6"/>
              <w:ind w:left="104"/>
              <w:rPr>
                <w:rFonts w:ascii="Courier New"/>
                <w:sz w:val="28"/>
              </w:rPr>
            </w:pPr>
            <w:r>
              <w:rPr>
                <w:rFonts w:ascii="Courier New"/>
                <w:w w:val="100"/>
                <w:sz w:val="28"/>
              </w:rPr>
              <w:t>X</w:t>
            </w:r>
          </w:p>
        </w:tc>
        <w:tc>
          <w:tcPr>
            <w:tcW w:w="2155" w:type="dxa"/>
          </w:tcPr>
          <w:p>
            <w:pPr>
              <w:pStyle w:val="TableParagraph"/>
              <w:spacing w:before="6"/>
              <w:ind w:left="104"/>
              <w:rPr>
                <w:rFonts w:ascii="Courier New"/>
                <w:sz w:val="28"/>
              </w:rPr>
            </w:pPr>
            <w:r>
              <w:rPr>
                <w:rFonts w:ascii="Courier New"/>
                <w:w w:val="100"/>
                <w:sz w:val="28"/>
              </w:rPr>
              <w:t>X</w:t>
            </w:r>
          </w:p>
        </w:tc>
      </w:tr>
      <w:tr>
        <w:trPr>
          <w:trHeight w:val="930" w:hRule="atLeast"/>
        </w:trPr>
        <w:tc>
          <w:tcPr>
            <w:tcW w:w="2252" w:type="dxa"/>
            <w:shd w:val="clear" w:color="auto" w:fill="00AFEF"/>
          </w:tcPr>
          <w:p>
            <w:pPr>
              <w:pStyle w:val="TableParagraph"/>
              <w:spacing w:line="278" w:lineRule="auto"/>
              <w:ind w:left="107" w:right="266"/>
              <w:rPr>
                <w:rFonts w:ascii="Courier New"/>
                <w:b/>
                <w:sz w:val="28"/>
              </w:rPr>
            </w:pPr>
            <w:r>
              <w:rPr>
                <w:rFonts w:ascii="Courier New"/>
                <w:b/>
                <w:sz w:val="28"/>
              </w:rPr>
              <w:t>Aronia ber- ries</w:t>
            </w:r>
          </w:p>
        </w:tc>
        <w:tc>
          <w:tcPr>
            <w:tcW w:w="1220" w:type="dxa"/>
          </w:tcPr>
          <w:p>
            <w:pPr>
              <w:pStyle w:val="TableParagraph"/>
              <w:spacing w:before="6"/>
              <w:ind w:left="107"/>
              <w:rPr>
                <w:rFonts w:ascii="Courier New"/>
                <w:sz w:val="28"/>
              </w:rPr>
            </w:pPr>
            <w:r>
              <w:rPr>
                <w:rFonts w:ascii="Courier New"/>
                <w:sz w:val="28"/>
              </w:rPr>
              <w:t>173</w:t>
            </w:r>
          </w:p>
        </w:tc>
        <w:tc>
          <w:tcPr>
            <w:tcW w:w="2137" w:type="dxa"/>
          </w:tcPr>
          <w:p>
            <w:pPr>
              <w:pStyle w:val="TableParagraph"/>
              <w:spacing w:before="6"/>
              <w:ind w:left="106"/>
              <w:rPr>
                <w:rFonts w:ascii="Courier New"/>
                <w:sz w:val="28"/>
              </w:rPr>
            </w:pPr>
            <w:r>
              <w:rPr>
                <w:rFonts w:ascii="Courier New"/>
                <w:w w:val="100"/>
                <w:sz w:val="28"/>
              </w:rPr>
              <w:t>X</w:t>
            </w:r>
          </w:p>
        </w:tc>
        <w:tc>
          <w:tcPr>
            <w:tcW w:w="2016" w:type="dxa"/>
          </w:tcPr>
          <w:p>
            <w:pPr>
              <w:pStyle w:val="TableParagraph"/>
              <w:spacing w:before="6"/>
              <w:ind w:left="103"/>
              <w:rPr>
                <w:rFonts w:ascii="Courier New"/>
                <w:sz w:val="28"/>
              </w:rPr>
            </w:pPr>
            <w:r>
              <w:rPr>
                <w:rFonts w:ascii="Courier New"/>
                <w:w w:val="100"/>
                <w:sz w:val="28"/>
              </w:rPr>
              <w:t>X</w:t>
            </w:r>
          </w:p>
        </w:tc>
        <w:tc>
          <w:tcPr>
            <w:tcW w:w="2124" w:type="dxa"/>
          </w:tcPr>
          <w:p>
            <w:pPr>
              <w:pStyle w:val="TableParagraph"/>
              <w:spacing w:before="6"/>
              <w:ind w:left="103"/>
              <w:rPr>
                <w:rFonts w:ascii="Courier New"/>
                <w:sz w:val="28"/>
              </w:rPr>
            </w:pPr>
            <w:r>
              <w:rPr>
                <w:rFonts w:ascii="Courier New"/>
                <w:w w:val="100"/>
                <w:sz w:val="28"/>
              </w:rPr>
              <w:t>X</w:t>
            </w:r>
          </w:p>
        </w:tc>
        <w:tc>
          <w:tcPr>
            <w:tcW w:w="2554" w:type="dxa"/>
          </w:tcPr>
          <w:p>
            <w:pPr>
              <w:pStyle w:val="TableParagraph"/>
              <w:spacing w:before="6"/>
              <w:ind w:left="106"/>
              <w:rPr>
                <w:rFonts w:ascii="Courier New"/>
                <w:sz w:val="28"/>
              </w:rPr>
            </w:pPr>
            <w:r>
              <w:rPr>
                <w:rFonts w:ascii="Courier New"/>
                <w:w w:val="100"/>
                <w:sz w:val="28"/>
              </w:rPr>
              <w:t>X</w:t>
            </w:r>
          </w:p>
        </w:tc>
        <w:tc>
          <w:tcPr>
            <w:tcW w:w="2835" w:type="dxa"/>
          </w:tcPr>
          <w:p>
            <w:pPr>
              <w:pStyle w:val="TableParagraph"/>
              <w:spacing w:before="6"/>
              <w:ind w:left="104"/>
              <w:rPr>
                <w:rFonts w:ascii="Courier New"/>
                <w:sz w:val="28"/>
              </w:rPr>
            </w:pPr>
            <w:r>
              <w:rPr>
                <w:rFonts w:ascii="Courier New"/>
                <w:w w:val="100"/>
                <w:sz w:val="28"/>
              </w:rPr>
              <w:t>X</w:t>
            </w:r>
          </w:p>
        </w:tc>
        <w:tc>
          <w:tcPr>
            <w:tcW w:w="2155" w:type="dxa"/>
          </w:tcPr>
          <w:p>
            <w:pPr>
              <w:pStyle w:val="TableParagraph"/>
              <w:rPr>
                <w:rFonts w:ascii="Times New Roman"/>
                <w:sz w:val="26"/>
              </w:rPr>
            </w:pPr>
          </w:p>
        </w:tc>
      </w:tr>
      <w:tr>
        <w:trPr>
          <w:trHeight w:val="928" w:hRule="atLeast"/>
        </w:trPr>
        <w:tc>
          <w:tcPr>
            <w:tcW w:w="2252" w:type="dxa"/>
            <w:shd w:val="clear" w:color="auto" w:fill="00AFEF"/>
          </w:tcPr>
          <w:p>
            <w:pPr>
              <w:pStyle w:val="TableParagraph"/>
              <w:spacing w:line="278" w:lineRule="auto"/>
              <w:ind w:left="107" w:right="434"/>
              <w:rPr>
                <w:rFonts w:ascii="Courier New"/>
                <w:b/>
                <w:sz w:val="28"/>
              </w:rPr>
            </w:pPr>
            <w:r>
              <w:rPr>
                <w:rFonts w:ascii="Courier New"/>
                <w:b/>
                <w:sz w:val="28"/>
              </w:rPr>
              <w:t>Astragalus M.</w:t>
            </w:r>
          </w:p>
        </w:tc>
        <w:tc>
          <w:tcPr>
            <w:tcW w:w="1220" w:type="dxa"/>
          </w:tcPr>
          <w:p>
            <w:pPr>
              <w:pStyle w:val="TableParagraph"/>
              <w:spacing w:before="6"/>
              <w:ind w:left="107"/>
              <w:rPr>
                <w:rFonts w:ascii="Courier New"/>
                <w:sz w:val="28"/>
              </w:rPr>
            </w:pPr>
            <w:r>
              <w:rPr>
                <w:rFonts w:ascii="Courier New"/>
                <w:sz w:val="28"/>
              </w:rPr>
              <w:t>197</w:t>
            </w:r>
          </w:p>
        </w:tc>
        <w:tc>
          <w:tcPr>
            <w:tcW w:w="2137" w:type="dxa"/>
          </w:tcPr>
          <w:p>
            <w:pPr>
              <w:pStyle w:val="TableParagraph"/>
              <w:spacing w:before="6"/>
              <w:ind w:left="106"/>
              <w:rPr>
                <w:rFonts w:ascii="Courier New"/>
                <w:sz w:val="28"/>
              </w:rPr>
            </w:pPr>
            <w:r>
              <w:rPr>
                <w:rFonts w:ascii="Courier New"/>
                <w:w w:val="100"/>
                <w:sz w:val="28"/>
              </w:rPr>
              <w:t>X</w:t>
            </w:r>
          </w:p>
        </w:tc>
        <w:tc>
          <w:tcPr>
            <w:tcW w:w="2016" w:type="dxa"/>
          </w:tcPr>
          <w:p>
            <w:pPr>
              <w:pStyle w:val="TableParagraph"/>
              <w:spacing w:before="6"/>
              <w:ind w:left="103"/>
              <w:rPr>
                <w:rFonts w:ascii="Courier New"/>
                <w:sz w:val="28"/>
              </w:rPr>
            </w:pPr>
            <w:r>
              <w:rPr>
                <w:rFonts w:ascii="Courier New"/>
                <w:w w:val="100"/>
                <w:sz w:val="28"/>
              </w:rPr>
              <w:t>X</w:t>
            </w:r>
          </w:p>
        </w:tc>
        <w:tc>
          <w:tcPr>
            <w:tcW w:w="2124" w:type="dxa"/>
          </w:tcPr>
          <w:p>
            <w:pPr>
              <w:pStyle w:val="TableParagraph"/>
              <w:spacing w:before="6"/>
              <w:ind w:left="103"/>
              <w:rPr>
                <w:rFonts w:ascii="Courier New"/>
                <w:sz w:val="28"/>
              </w:rPr>
            </w:pPr>
            <w:r>
              <w:rPr>
                <w:rFonts w:ascii="Courier New"/>
                <w:w w:val="100"/>
                <w:sz w:val="28"/>
              </w:rPr>
              <w:t>X</w:t>
            </w:r>
          </w:p>
        </w:tc>
        <w:tc>
          <w:tcPr>
            <w:tcW w:w="2554" w:type="dxa"/>
          </w:tcPr>
          <w:p>
            <w:pPr>
              <w:pStyle w:val="TableParagraph"/>
              <w:spacing w:before="6"/>
              <w:ind w:left="106"/>
              <w:rPr>
                <w:rFonts w:ascii="Courier New"/>
                <w:sz w:val="28"/>
              </w:rPr>
            </w:pPr>
            <w:r>
              <w:rPr>
                <w:rFonts w:ascii="Courier New"/>
                <w:w w:val="100"/>
                <w:sz w:val="28"/>
              </w:rPr>
              <w:t>X</w:t>
            </w:r>
          </w:p>
        </w:tc>
        <w:tc>
          <w:tcPr>
            <w:tcW w:w="2835" w:type="dxa"/>
          </w:tcPr>
          <w:p>
            <w:pPr>
              <w:pStyle w:val="TableParagraph"/>
              <w:spacing w:before="6"/>
              <w:ind w:left="104"/>
              <w:rPr>
                <w:rFonts w:ascii="Courier New"/>
                <w:sz w:val="28"/>
              </w:rPr>
            </w:pPr>
            <w:r>
              <w:rPr>
                <w:rFonts w:ascii="Courier New"/>
                <w:w w:val="100"/>
                <w:sz w:val="28"/>
              </w:rPr>
              <w:t>X</w:t>
            </w:r>
          </w:p>
        </w:tc>
        <w:tc>
          <w:tcPr>
            <w:tcW w:w="2155" w:type="dxa"/>
          </w:tcPr>
          <w:p>
            <w:pPr>
              <w:pStyle w:val="TableParagraph"/>
              <w:rPr>
                <w:rFonts w:ascii="Times New Roman"/>
                <w:sz w:val="26"/>
              </w:rPr>
            </w:pPr>
          </w:p>
        </w:tc>
      </w:tr>
      <w:tr>
        <w:trPr>
          <w:trHeight w:val="1130" w:hRule="atLeast"/>
        </w:trPr>
        <w:tc>
          <w:tcPr>
            <w:tcW w:w="2252" w:type="dxa"/>
            <w:shd w:val="clear" w:color="auto" w:fill="00AFEF"/>
          </w:tcPr>
          <w:p>
            <w:pPr>
              <w:pStyle w:val="TableParagraph"/>
              <w:ind w:left="107"/>
              <w:rPr>
                <w:rFonts w:ascii="Courier New"/>
                <w:b/>
                <w:sz w:val="28"/>
              </w:rPr>
            </w:pPr>
            <w:r>
              <w:rPr>
                <w:rFonts w:ascii="Courier New"/>
                <w:b/>
                <w:sz w:val="28"/>
              </w:rPr>
              <w:t>Vitamin C</w:t>
            </w:r>
          </w:p>
          <w:p>
            <w:pPr>
              <w:pStyle w:val="TableParagraph"/>
              <w:spacing w:before="247"/>
              <w:ind w:left="107"/>
              <w:rPr>
                <w:rFonts w:ascii="Courier New"/>
                <w:b/>
                <w:sz w:val="28"/>
              </w:rPr>
            </w:pPr>
            <w:r>
              <w:rPr>
                <w:rFonts w:ascii="Courier New"/>
                <w:b/>
                <w:sz w:val="28"/>
              </w:rPr>
              <w:t>(Camu Camu)</w:t>
            </w:r>
          </w:p>
        </w:tc>
        <w:tc>
          <w:tcPr>
            <w:tcW w:w="1220" w:type="dxa"/>
          </w:tcPr>
          <w:p>
            <w:pPr>
              <w:pStyle w:val="TableParagraph"/>
              <w:spacing w:before="7"/>
              <w:ind w:left="107"/>
              <w:rPr>
                <w:rFonts w:ascii="Courier New"/>
                <w:sz w:val="28"/>
              </w:rPr>
            </w:pPr>
            <w:r>
              <w:rPr>
                <w:rFonts w:ascii="Courier New"/>
                <w:sz w:val="28"/>
              </w:rPr>
              <w:t>1720</w:t>
            </w:r>
          </w:p>
        </w:tc>
        <w:tc>
          <w:tcPr>
            <w:tcW w:w="2137" w:type="dxa"/>
          </w:tcPr>
          <w:p>
            <w:pPr>
              <w:pStyle w:val="TableParagraph"/>
              <w:spacing w:before="7"/>
              <w:ind w:left="106"/>
              <w:rPr>
                <w:rFonts w:ascii="Courier New"/>
                <w:sz w:val="28"/>
              </w:rPr>
            </w:pPr>
            <w:r>
              <w:rPr>
                <w:rFonts w:ascii="Courier New"/>
                <w:w w:val="100"/>
                <w:sz w:val="28"/>
              </w:rPr>
              <w:t>X</w:t>
            </w:r>
          </w:p>
        </w:tc>
        <w:tc>
          <w:tcPr>
            <w:tcW w:w="2016" w:type="dxa"/>
          </w:tcPr>
          <w:p>
            <w:pPr>
              <w:pStyle w:val="TableParagraph"/>
              <w:spacing w:before="7"/>
              <w:ind w:left="103"/>
              <w:rPr>
                <w:rFonts w:ascii="Courier New"/>
                <w:sz w:val="28"/>
              </w:rPr>
            </w:pPr>
            <w:r>
              <w:rPr>
                <w:rFonts w:ascii="Courier New"/>
                <w:w w:val="100"/>
                <w:sz w:val="28"/>
              </w:rPr>
              <w:t>X</w:t>
            </w:r>
          </w:p>
        </w:tc>
        <w:tc>
          <w:tcPr>
            <w:tcW w:w="2124" w:type="dxa"/>
          </w:tcPr>
          <w:p>
            <w:pPr>
              <w:pStyle w:val="TableParagraph"/>
              <w:spacing w:before="7"/>
              <w:ind w:left="103"/>
              <w:rPr>
                <w:rFonts w:ascii="Courier New"/>
                <w:sz w:val="28"/>
              </w:rPr>
            </w:pPr>
            <w:r>
              <w:rPr>
                <w:rFonts w:ascii="Courier New"/>
                <w:w w:val="100"/>
                <w:sz w:val="28"/>
              </w:rPr>
              <w:t>X</w:t>
            </w:r>
          </w:p>
        </w:tc>
        <w:tc>
          <w:tcPr>
            <w:tcW w:w="2554" w:type="dxa"/>
          </w:tcPr>
          <w:p>
            <w:pPr>
              <w:pStyle w:val="TableParagraph"/>
              <w:spacing w:before="7"/>
              <w:ind w:left="106"/>
              <w:rPr>
                <w:rFonts w:ascii="Courier New"/>
                <w:sz w:val="28"/>
              </w:rPr>
            </w:pPr>
            <w:r>
              <w:rPr>
                <w:rFonts w:ascii="Courier New"/>
                <w:w w:val="100"/>
                <w:sz w:val="28"/>
              </w:rPr>
              <w:t>X</w:t>
            </w:r>
          </w:p>
        </w:tc>
        <w:tc>
          <w:tcPr>
            <w:tcW w:w="2835" w:type="dxa"/>
          </w:tcPr>
          <w:p>
            <w:pPr>
              <w:pStyle w:val="TableParagraph"/>
              <w:spacing w:before="7"/>
              <w:ind w:left="104"/>
              <w:rPr>
                <w:rFonts w:ascii="Courier New"/>
                <w:sz w:val="28"/>
              </w:rPr>
            </w:pPr>
            <w:r>
              <w:rPr>
                <w:rFonts w:ascii="Courier New"/>
                <w:w w:val="100"/>
                <w:sz w:val="28"/>
              </w:rPr>
              <w:t>X</w:t>
            </w:r>
          </w:p>
        </w:tc>
        <w:tc>
          <w:tcPr>
            <w:tcW w:w="2155" w:type="dxa"/>
          </w:tcPr>
          <w:p>
            <w:pPr>
              <w:pStyle w:val="TableParagraph"/>
              <w:spacing w:before="7"/>
              <w:ind w:left="104"/>
              <w:rPr>
                <w:rFonts w:ascii="Courier New"/>
                <w:sz w:val="28"/>
              </w:rPr>
            </w:pPr>
            <w:r>
              <w:rPr>
                <w:rFonts w:ascii="Courier New"/>
                <w:w w:val="100"/>
                <w:sz w:val="28"/>
              </w:rPr>
              <w:t>X</w:t>
            </w:r>
          </w:p>
        </w:tc>
      </w:tr>
      <w:tr>
        <w:trPr>
          <w:trHeight w:val="563" w:hRule="atLeast"/>
        </w:trPr>
        <w:tc>
          <w:tcPr>
            <w:tcW w:w="2252" w:type="dxa"/>
            <w:shd w:val="clear" w:color="auto" w:fill="00AFEF"/>
          </w:tcPr>
          <w:p>
            <w:pPr>
              <w:pStyle w:val="TableParagraph"/>
              <w:spacing w:line="317" w:lineRule="exact"/>
              <w:ind w:left="107"/>
              <w:rPr>
                <w:rFonts w:ascii="Courier New"/>
                <w:b/>
                <w:sz w:val="28"/>
              </w:rPr>
            </w:pPr>
            <w:r>
              <w:rPr>
                <w:rFonts w:ascii="Courier New"/>
                <w:b/>
                <w:sz w:val="28"/>
              </w:rPr>
              <w:t>Curcumin</w:t>
            </w:r>
          </w:p>
        </w:tc>
        <w:tc>
          <w:tcPr>
            <w:tcW w:w="1220" w:type="dxa"/>
          </w:tcPr>
          <w:p>
            <w:pPr>
              <w:pStyle w:val="TableParagraph"/>
              <w:spacing w:before="6"/>
              <w:ind w:left="107"/>
              <w:rPr>
                <w:rFonts w:ascii="Courier New"/>
                <w:sz w:val="28"/>
              </w:rPr>
            </w:pPr>
            <w:r>
              <w:rPr>
                <w:rFonts w:ascii="Courier New"/>
                <w:sz w:val="28"/>
              </w:rPr>
              <w:t>328</w:t>
            </w:r>
          </w:p>
        </w:tc>
        <w:tc>
          <w:tcPr>
            <w:tcW w:w="2137" w:type="dxa"/>
          </w:tcPr>
          <w:p>
            <w:pPr>
              <w:pStyle w:val="TableParagraph"/>
              <w:spacing w:before="6"/>
              <w:ind w:left="106"/>
              <w:rPr>
                <w:rFonts w:ascii="Courier New"/>
                <w:sz w:val="28"/>
              </w:rPr>
            </w:pPr>
            <w:r>
              <w:rPr>
                <w:rFonts w:ascii="Courier New"/>
                <w:w w:val="100"/>
                <w:sz w:val="28"/>
              </w:rPr>
              <w:t>X</w:t>
            </w:r>
          </w:p>
        </w:tc>
        <w:tc>
          <w:tcPr>
            <w:tcW w:w="2016" w:type="dxa"/>
          </w:tcPr>
          <w:p>
            <w:pPr>
              <w:pStyle w:val="TableParagraph"/>
              <w:spacing w:before="6"/>
              <w:ind w:left="103"/>
              <w:rPr>
                <w:rFonts w:ascii="Courier New"/>
                <w:sz w:val="28"/>
              </w:rPr>
            </w:pPr>
            <w:r>
              <w:rPr>
                <w:rFonts w:ascii="Courier New"/>
                <w:w w:val="100"/>
                <w:sz w:val="28"/>
              </w:rPr>
              <w:t>X</w:t>
            </w:r>
          </w:p>
        </w:tc>
        <w:tc>
          <w:tcPr>
            <w:tcW w:w="2124" w:type="dxa"/>
          </w:tcPr>
          <w:p>
            <w:pPr>
              <w:pStyle w:val="TableParagraph"/>
              <w:spacing w:before="6"/>
              <w:ind w:left="103"/>
              <w:rPr>
                <w:rFonts w:ascii="Courier New"/>
                <w:sz w:val="28"/>
              </w:rPr>
            </w:pPr>
            <w:r>
              <w:rPr>
                <w:rFonts w:ascii="Courier New"/>
                <w:w w:val="100"/>
                <w:sz w:val="28"/>
              </w:rPr>
              <w:t>X</w:t>
            </w:r>
          </w:p>
        </w:tc>
        <w:tc>
          <w:tcPr>
            <w:tcW w:w="2554" w:type="dxa"/>
          </w:tcPr>
          <w:p>
            <w:pPr>
              <w:pStyle w:val="TableParagraph"/>
              <w:spacing w:before="6"/>
              <w:ind w:left="106"/>
              <w:rPr>
                <w:rFonts w:ascii="Courier New"/>
                <w:sz w:val="28"/>
              </w:rPr>
            </w:pPr>
            <w:r>
              <w:rPr>
                <w:rFonts w:ascii="Courier New"/>
                <w:w w:val="100"/>
                <w:sz w:val="28"/>
              </w:rPr>
              <w:t>X</w:t>
            </w:r>
          </w:p>
        </w:tc>
        <w:tc>
          <w:tcPr>
            <w:tcW w:w="2835" w:type="dxa"/>
          </w:tcPr>
          <w:p>
            <w:pPr>
              <w:pStyle w:val="TableParagraph"/>
              <w:spacing w:before="6"/>
              <w:ind w:left="104"/>
              <w:rPr>
                <w:rFonts w:ascii="Courier New"/>
                <w:sz w:val="28"/>
              </w:rPr>
            </w:pPr>
            <w:r>
              <w:rPr>
                <w:rFonts w:ascii="Courier New"/>
                <w:w w:val="100"/>
                <w:sz w:val="28"/>
              </w:rPr>
              <w:t>X</w:t>
            </w:r>
          </w:p>
        </w:tc>
        <w:tc>
          <w:tcPr>
            <w:tcW w:w="2155" w:type="dxa"/>
          </w:tcPr>
          <w:p>
            <w:pPr>
              <w:pStyle w:val="TableParagraph"/>
              <w:rPr>
                <w:rFonts w:ascii="Times New Roman"/>
                <w:sz w:val="26"/>
              </w:rPr>
            </w:pPr>
          </w:p>
        </w:tc>
      </w:tr>
    </w:tbl>
    <w:p>
      <w:pPr>
        <w:spacing w:after="0"/>
        <w:rPr>
          <w:rFonts w:ascii="Times New Roman"/>
          <w:sz w:val="26"/>
        </w:rPr>
        <w:sectPr>
          <w:pgSz w:w="18630" w:h="11910" w:orient="landscape"/>
          <w:pgMar w:header="0" w:footer="404" w:top="840" w:bottom="600" w:left="740" w:right="8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60"/>
        <w:gridCol w:w="1136"/>
        <w:gridCol w:w="1278"/>
        <w:gridCol w:w="1417"/>
        <w:gridCol w:w="1703"/>
        <w:gridCol w:w="1419"/>
        <w:gridCol w:w="1700"/>
        <w:gridCol w:w="2410"/>
        <w:gridCol w:w="1844"/>
        <w:gridCol w:w="1665"/>
      </w:tblGrid>
      <w:tr>
        <w:trPr>
          <w:trHeight w:val="1240" w:hRule="atLeast"/>
        </w:trPr>
        <w:tc>
          <w:tcPr>
            <w:tcW w:w="17232" w:type="dxa"/>
            <w:gridSpan w:val="10"/>
            <w:shd w:val="clear" w:color="auto" w:fill="FAD3B4"/>
          </w:tcPr>
          <w:p>
            <w:pPr>
              <w:pStyle w:val="TableParagraph"/>
              <w:spacing w:line="460" w:lineRule="atLeast" w:before="256"/>
              <w:ind w:left="5088" w:right="727" w:hanging="4304"/>
              <w:rPr>
                <w:b/>
                <w:sz w:val="36"/>
              </w:rPr>
            </w:pPr>
            <w:r>
              <w:rPr>
                <w:b/>
                <w:sz w:val="36"/>
              </w:rPr>
              <w:t>SUBSTANCE-EFFECT TABLE FOR THE NATURAL REMEDIES FOR THE THREE TYPES OF STROKE AND THEIR CONSEQUENCES</w:t>
            </w:r>
          </w:p>
        </w:tc>
      </w:tr>
      <w:tr>
        <w:trPr>
          <w:trHeight w:val="3684" w:hRule="atLeast"/>
        </w:trPr>
        <w:tc>
          <w:tcPr>
            <w:tcW w:w="2660" w:type="dxa"/>
            <w:shd w:val="clear" w:color="auto" w:fill="FFFF00"/>
          </w:tcPr>
          <w:p>
            <w:pPr>
              <w:pStyle w:val="TableParagraph"/>
              <w:rPr>
                <w:rFonts w:ascii="Times New Roman"/>
                <w:sz w:val="32"/>
              </w:rPr>
            </w:pPr>
          </w:p>
          <w:p>
            <w:pPr>
              <w:pStyle w:val="TableParagraph"/>
              <w:spacing w:line="278" w:lineRule="auto" w:before="195"/>
              <w:ind w:left="107" w:right="506"/>
              <w:rPr>
                <w:rFonts w:ascii="Courier New"/>
                <w:b/>
                <w:sz w:val="28"/>
              </w:rPr>
            </w:pPr>
            <w:r>
              <w:rPr>
                <w:rFonts w:ascii="Courier New"/>
                <w:b/>
                <w:sz w:val="28"/>
              </w:rPr>
              <w:t>Natural sub- stance</w:t>
            </w:r>
          </w:p>
        </w:tc>
        <w:tc>
          <w:tcPr>
            <w:tcW w:w="1136" w:type="dxa"/>
            <w:shd w:val="clear" w:color="auto" w:fill="FFFF00"/>
          </w:tcPr>
          <w:p>
            <w:pPr>
              <w:pStyle w:val="TableParagraph"/>
              <w:rPr>
                <w:rFonts w:ascii="Times New Roman"/>
                <w:sz w:val="32"/>
              </w:rPr>
            </w:pPr>
          </w:p>
          <w:p>
            <w:pPr>
              <w:pStyle w:val="TableParagraph"/>
              <w:spacing w:before="198"/>
              <w:ind w:left="107"/>
              <w:rPr>
                <w:rFonts w:ascii="Courier New"/>
                <w:b/>
                <w:sz w:val="28"/>
              </w:rPr>
            </w:pPr>
            <w:r>
              <w:rPr>
                <w:rFonts w:ascii="Courier New"/>
                <w:b/>
                <w:sz w:val="28"/>
              </w:rPr>
              <w:t>Page</w:t>
            </w:r>
          </w:p>
        </w:tc>
        <w:tc>
          <w:tcPr>
            <w:tcW w:w="1278" w:type="dxa"/>
            <w:shd w:val="clear" w:color="auto" w:fill="FFFF00"/>
          </w:tcPr>
          <w:p>
            <w:pPr>
              <w:pStyle w:val="TableParagraph"/>
              <w:rPr>
                <w:rFonts w:ascii="Times New Roman"/>
                <w:sz w:val="32"/>
              </w:rPr>
            </w:pPr>
          </w:p>
          <w:p>
            <w:pPr>
              <w:pStyle w:val="TableParagraph"/>
              <w:spacing w:before="198"/>
              <w:ind w:left="104"/>
              <w:rPr>
                <w:rFonts w:ascii="Courier New"/>
                <w:b/>
                <w:sz w:val="28"/>
              </w:rPr>
            </w:pPr>
            <w:r>
              <w:rPr>
                <w:rFonts w:ascii="Courier New"/>
                <w:b/>
                <w:sz w:val="28"/>
              </w:rPr>
              <w:t>Anti</w:t>
            </w:r>
          </w:p>
          <w:p>
            <w:pPr>
              <w:pStyle w:val="TableParagraph"/>
              <w:spacing w:line="278" w:lineRule="auto" w:before="244"/>
              <w:ind w:left="104" w:right="471"/>
              <w:rPr>
                <w:rFonts w:ascii="Courier New"/>
                <w:b/>
                <w:sz w:val="28"/>
              </w:rPr>
            </w:pPr>
            <w:r>
              <w:rPr>
                <w:rFonts w:ascii="Courier New"/>
                <w:b/>
                <w:spacing w:val="-1"/>
                <w:sz w:val="28"/>
              </w:rPr>
              <w:t>oxi- </w:t>
            </w:r>
            <w:r>
              <w:rPr>
                <w:rFonts w:ascii="Courier New"/>
                <w:b/>
                <w:sz w:val="28"/>
              </w:rPr>
              <w:t>dant</w:t>
            </w:r>
          </w:p>
        </w:tc>
        <w:tc>
          <w:tcPr>
            <w:tcW w:w="1417" w:type="dxa"/>
            <w:shd w:val="clear" w:color="auto" w:fill="FFFF00"/>
          </w:tcPr>
          <w:p>
            <w:pPr>
              <w:pStyle w:val="TableParagraph"/>
              <w:rPr>
                <w:rFonts w:ascii="Times New Roman"/>
                <w:sz w:val="32"/>
              </w:rPr>
            </w:pPr>
          </w:p>
          <w:p>
            <w:pPr>
              <w:pStyle w:val="TableParagraph"/>
              <w:spacing w:line="278" w:lineRule="auto" w:before="195"/>
              <w:ind w:left="103" w:right="107"/>
              <w:rPr>
                <w:rFonts w:ascii="Courier New"/>
                <w:b/>
                <w:sz w:val="28"/>
              </w:rPr>
            </w:pPr>
            <w:r>
              <w:rPr>
                <w:rFonts w:ascii="Courier New"/>
                <w:b/>
                <w:sz w:val="28"/>
              </w:rPr>
              <w:t>deacid- ifying</w:t>
            </w:r>
          </w:p>
        </w:tc>
        <w:tc>
          <w:tcPr>
            <w:tcW w:w="1703" w:type="dxa"/>
            <w:shd w:val="clear" w:color="auto" w:fill="FFFF00"/>
          </w:tcPr>
          <w:p>
            <w:pPr>
              <w:pStyle w:val="TableParagraph"/>
              <w:rPr>
                <w:rFonts w:ascii="Times New Roman"/>
                <w:sz w:val="32"/>
              </w:rPr>
            </w:pPr>
          </w:p>
          <w:p>
            <w:pPr>
              <w:pStyle w:val="TableParagraph"/>
              <w:spacing w:before="198"/>
              <w:ind w:left="105"/>
              <w:rPr>
                <w:rFonts w:ascii="Courier New"/>
                <w:b/>
                <w:sz w:val="28"/>
              </w:rPr>
            </w:pPr>
            <w:r>
              <w:rPr>
                <w:rFonts w:ascii="Courier New"/>
                <w:b/>
                <w:sz w:val="28"/>
              </w:rPr>
              <w:t>Anti-</w:t>
            </w:r>
          </w:p>
          <w:p>
            <w:pPr>
              <w:pStyle w:val="TableParagraph"/>
              <w:spacing w:line="278" w:lineRule="auto" w:before="244"/>
              <w:ind w:left="105" w:right="565"/>
              <w:rPr>
                <w:rFonts w:ascii="Courier New"/>
                <w:b/>
                <w:sz w:val="28"/>
              </w:rPr>
            </w:pPr>
            <w:r>
              <w:rPr>
                <w:rFonts w:ascii="Courier New"/>
                <w:b/>
                <w:spacing w:val="-1"/>
                <w:sz w:val="28"/>
              </w:rPr>
              <w:t>throm- </w:t>
            </w:r>
            <w:r>
              <w:rPr>
                <w:rFonts w:ascii="Courier New"/>
                <w:b/>
                <w:sz w:val="28"/>
              </w:rPr>
              <w:t>botic</w:t>
            </w:r>
          </w:p>
        </w:tc>
        <w:tc>
          <w:tcPr>
            <w:tcW w:w="1419" w:type="dxa"/>
            <w:shd w:val="clear" w:color="auto" w:fill="FFFF00"/>
          </w:tcPr>
          <w:p>
            <w:pPr>
              <w:pStyle w:val="TableParagraph"/>
              <w:rPr>
                <w:rFonts w:ascii="Times New Roman"/>
                <w:sz w:val="32"/>
              </w:rPr>
            </w:pPr>
          </w:p>
          <w:p>
            <w:pPr>
              <w:pStyle w:val="TableParagraph"/>
              <w:spacing w:line="276" w:lineRule="auto" w:before="195"/>
              <w:ind w:left="101" w:right="111"/>
              <w:rPr>
                <w:rFonts w:ascii="Courier New"/>
                <w:b/>
                <w:sz w:val="28"/>
              </w:rPr>
            </w:pPr>
            <w:r>
              <w:rPr>
                <w:rFonts w:ascii="Courier New"/>
                <w:b/>
                <w:sz w:val="28"/>
              </w:rPr>
              <w:t>Dila- tion of blood vesels</w:t>
            </w:r>
          </w:p>
        </w:tc>
        <w:tc>
          <w:tcPr>
            <w:tcW w:w="1700" w:type="dxa"/>
            <w:shd w:val="clear" w:color="auto" w:fill="FFFF00"/>
          </w:tcPr>
          <w:p>
            <w:pPr>
              <w:pStyle w:val="TableParagraph"/>
              <w:rPr>
                <w:rFonts w:ascii="Times New Roman"/>
                <w:sz w:val="32"/>
              </w:rPr>
            </w:pPr>
          </w:p>
          <w:p>
            <w:pPr>
              <w:pStyle w:val="TableParagraph"/>
              <w:spacing w:line="276" w:lineRule="auto" w:before="195"/>
              <w:ind w:left="100" w:right="244"/>
              <w:rPr>
                <w:rFonts w:ascii="Courier New"/>
                <w:b/>
                <w:sz w:val="28"/>
              </w:rPr>
            </w:pPr>
            <w:r>
              <w:rPr>
                <w:rFonts w:ascii="Courier New"/>
                <w:b/>
                <w:spacing w:val="-1"/>
                <w:sz w:val="28"/>
              </w:rPr>
              <w:t>Strength </w:t>
            </w:r>
            <w:r>
              <w:rPr>
                <w:rFonts w:ascii="Courier New"/>
                <w:b/>
                <w:sz w:val="28"/>
              </w:rPr>
              <w:t>ens blood vessels and keeps them </w:t>
            </w:r>
            <w:r>
              <w:rPr>
                <w:rFonts w:ascii="Courier New"/>
                <w:b/>
                <w:spacing w:val="-1"/>
                <w:sz w:val="28"/>
              </w:rPr>
              <w:t>flexible</w:t>
            </w:r>
          </w:p>
        </w:tc>
        <w:tc>
          <w:tcPr>
            <w:tcW w:w="2410" w:type="dxa"/>
            <w:shd w:val="clear" w:color="auto" w:fill="FFFF00"/>
          </w:tcPr>
          <w:p>
            <w:pPr>
              <w:pStyle w:val="TableParagraph"/>
              <w:rPr>
                <w:rFonts w:ascii="Times New Roman"/>
                <w:sz w:val="32"/>
              </w:rPr>
            </w:pPr>
          </w:p>
          <w:p>
            <w:pPr>
              <w:pStyle w:val="TableParagraph"/>
              <w:spacing w:line="276" w:lineRule="auto" w:before="195"/>
              <w:ind w:left="103" w:right="110"/>
              <w:rPr>
                <w:rFonts w:ascii="Courier New"/>
                <w:b/>
                <w:sz w:val="28"/>
              </w:rPr>
            </w:pPr>
            <w:r>
              <w:rPr>
                <w:rFonts w:ascii="Courier New"/>
                <w:b/>
                <w:sz w:val="28"/>
              </w:rPr>
              <w:t>Antiathero- genic (for atherosclero- sis + breaks it down!)</w:t>
            </w:r>
          </w:p>
        </w:tc>
        <w:tc>
          <w:tcPr>
            <w:tcW w:w="1844" w:type="dxa"/>
            <w:shd w:val="clear" w:color="auto" w:fill="FFFF00"/>
          </w:tcPr>
          <w:p>
            <w:pPr>
              <w:pStyle w:val="TableParagraph"/>
              <w:rPr>
                <w:rFonts w:ascii="Times New Roman"/>
                <w:sz w:val="32"/>
              </w:rPr>
            </w:pPr>
          </w:p>
          <w:p>
            <w:pPr>
              <w:pStyle w:val="TableParagraph"/>
              <w:spacing w:line="276" w:lineRule="auto" w:before="195"/>
              <w:ind w:left="102" w:right="216"/>
              <w:rPr>
                <w:rFonts w:ascii="Courier New"/>
                <w:b/>
                <w:sz w:val="28"/>
              </w:rPr>
            </w:pPr>
            <w:r>
              <w:rPr>
                <w:rFonts w:ascii="Courier New"/>
                <w:b/>
                <w:sz w:val="28"/>
              </w:rPr>
              <w:t>High blood </w:t>
            </w:r>
            <w:r>
              <w:rPr>
                <w:rFonts w:ascii="Courier New"/>
                <w:b/>
                <w:spacing w:val="-1"/>
                <w:sz w:val="28"/>
              </w:rPr>
              <w:t>pressure- </w:t>
            </w:r>
            <w:r>
              <w:rPr>
                <w:rFonts w:ascii="Courier New"/>
                <w:b/>
                <w:sz w:val="28"/>
              </w:rPr>
              <w:t>lowering</w:t>
            </w:r>
          </w:p>
        </w:tc>
        <w:tc>
          <w:tcPr>
            <w:tcW w:w="1665" w:type="dxa"/>
            <w:shd w:val="clear" w:color="auto" w:fill="FFFF00"/>
          </w:tcPr>
          <w:p>
            <w:pPr>
              <w:pStyle w:val="TableParagraph"/>
              <w:rPr>
                <w:rFonts w:ascii="Times New Roman"/>
                <w:sz w:val="32"/>
              </w:rPr>
            </w:pPr>
          </w:p>
          <w:p>
            <w:pPr>
              <w:pStyle w:val="TableParagraph"/>
              <w:spacing w:before="198"/>
              <w:ind w:left="102"/>
              <w:rPr>
                <w:rFonts w:ascii="Courier New"/>
                <w:b/>
                <w:sz w:val="28"/>
              </w:rPr>
            </w:pPr>
            <w:r>
              <w:rPr>
                <w:rFonts w:ascii="Courier New"/>
                <w:b/>
                <w:sz w:val="28"/>
              </w:rPr>
              <w:t>Cholest-</w:t>
            </w:r>
          </w:p>
          <w:p>
            <w:pPr>
              <w:pStyle w:val="TableParagraph"/>
              <w:spacing w:line="278" w:lineRule="auto" w:before="244"/>
              <w:ind w:left="102" w:right="196"/>
              <w:rPr>
                <w:rFonts w:ascii="Courier New"/>
                <w:b/>
                <w:sz w:val="28"/>
              </w:rPr>
            </w:pPr>
            <w:r>
              <w:rPr>
                <w:rFonts w:ascii="Courier New"/>
                <w:b/>
                <w:sz w:val="28"/>
              </w:rPr>
              <w:t>erol- </w:t>
            </w:r>
            <w:r>
              <w:rPr>
                <w:rFonts w:ascii="Courier New"/>
                <w:b/>
                <w:spacing w:val="-1"/>
                <w:sz w:val="28"/>
              </w:rPr>
              <w:t>lowering</w:t>
            </w:r>
          </w:p>
        </w:tc>
      </w:tr>
      <w:tr>
        <w:trPr>
          <w:trHeight w:val="563" w:hRule="atLeast"/>
        </w:trPr>
        <w:tc>
          <w:tcPr>
            <w:tcW w:w="2660" w:type="dxa"/>
            <w:shd w:val="clear" w:color="auto" w:fill="00AFEF"/>
          </w:tcPr>
          <w:p>
            <w:pPr>
              <w:pStyle w:val="TableParagraph"/>
              <w:spacing w:line="317" w:lineRule="exact"/>
              <w:ind w:left="107"/>
              <w:rPr>
                <w:rFonts w:ascii="Courier New"/>
                <w:b/>
                <w:sz w:val="28"/>
              </w:rPr>
            </w:pPr>
            <w:r>
              <w:rPr>
                <w:rFonts w:ascii="Courier New"/>
                <w:b/>
                <w:sz w:val="28"/>
              </w:rPr>
              <w:t>L-Carnosine</w:t>
            </w:r>
          </w:p>
        </w:tc>
        <w:tc>
          <w:tcPr>
            <w:tcW w:w="1136" w:type="dxa"/>
          </w:tcPr>
          <w:p>
            <w:pPr>
              <w:pStyle w:val="TableParagraph"/>
              <w:spacing w:before="6"/>
              <w:ind w:left="107"/>
              <w:rPr>
                <w:rFonts w:ascii="Courier New"/>
                <w:sz w:val="28"/>
              </w:rPr>
            </w:pPr>
            <w:r>
              <w:rPr>
                <w:rFonts w:ascii="Courier New"/>
                <w:sz w:val="28"/>
              </w:rPr>
              <w:t>924</w:t>
            </w:r>
          </w:p>
        </w:tc>
        <w:tc>
          <w:tcPr>
            <w:tcW w:w="1278" w:type="dxa"/>
          </w:tcPr>
          <w:p>
            <w:pPr>
              <w:pStyle w:val="TableParagraph"/>
              <w:spacing w:before="6"/>
              <w:ind w:left="104"/>
              <w:rPr>
                <w:rFonts w:ascii="Courier New"/>
                <w:sz w:val="28"/>
              </w:rPr>
            </w:pPr>
            <w:r>
              <w:rPr>
                <w:rFonts w:ascii="Courier New"/>
                <w:w w:val="100"/>
                <w:sz w:val="28"/>
              </w:rPr>
              <w:t>X</w:t>
            </w:r>
          </w:p>
        </w:tc>
        <w:tc>
          <w:tcPr>
            <w:tcW w:w="1417" w:type="dxa"/>
          </w:tcPr>
          <w:p>
            <w:pPr>
              <w:pStyle w:val="TableParagraph"/>
              <w:spacing w:before="6"/>
              <w:ind w:left="103"/>
              <w:rPr>
                <w:rFonts w:ascii="Courier New"/>
                <w:sz w:val="28"/>
              </w:rPr>
            </w:pPr>
            <w:r>
              <w:rPr>
                <w:rFonts w:ascii="Courier New"/>
                <w:w w:val="100"/>
                <w:sz w:val="28"/>
              </w:rPr>
              <w:t>X</w:t>
            </w:r>
          </w:p>
        </w:tc>
        <w:tc>
          <w:tcPr>
            <w:tcW w:w="1703" w:type="dxa"/>
          </w:tcPr>
          <w:p>
            <w:pPr>
              <w:pStyle w:val="TableParagraph"/>
              <w:rPr>
                <w:rFonts w:ascii="Times New Roman"/>
                <w:sz w:val="28"/>
              </w:rPr>
            </w:pPr>
          </w:p>
        </w:tc>
        <w:tc>
          <w:tcPr>
            <w:tcW w:w="1419" w:type="dxa"/>
          </w:tcPr>
          <w:p>
            <w:pPr>
              <w:pStyle w:val="TableParagraph"/>
              <w:rPr>
                <w:rFonts w:ascii="Times New Roman"/>
                <w:sz w:val="28"/>
              </w:rPr>
            </w:pPr>
          </w:p>
        </w:tc>
        <w:tc>
          <w:tcPr>
            <w:tcW w:w="1700" w:type="dxa"/>
          </w:tcPr>
          <w:p>
            <w:pPr>
              <w:pStyle w:val="TableParagraph"/>
              <w:rPr>
                <w:rFonts w:ascii="Times New Roman"/>
                <w:sz w:val="28"/>
              </w:rPr>
            </w:pPr>
          </w:p>
        </w:tc>
        <w:tc>
          <w:tcPr>
            <w:tcW w:w="2410" w:type="dxa"/>
          </w:tcPr>
          <w:p>
            <w:pPr>
              <w:pStyle w:val="TableParagraph"/>
              <w:spacing w:before="6"/>
              <w:ind w:left="103"/>
              <w:rPr>
                <w:rFonts w:ascii="Courier New"/>
                <w:sz w:val="28"/>
              </w:rPr>
            </w:pPr>
            <w:r>
              <w:rPr>
                <w:rFonts w:ascii="Courier New"/>
                <w:w w:val="100"/>
                <w:sz w:val="28"/>
              </w:rPr>
              <w:t>X</w:t>
            </w:r>
          </w:p>
        </w:tc>
        <w:tc>
          <w:tcPr>
            <w:tcW w:w="1844" w:type="dxa"/>
          </w:tcPr>
          <w:p>
            <w:pPr>
              <w:pStyle w:val="TableParagraph"/>
              <w:spacing w:before="6"/>
              <w:ind w:left="102"/>
              <w:rPr>
                <w:rFonts w:ascii="Courier New"/>
                <w:sz w:val="28"/>
              </w:rPr>
            </w:pPr>
            <w:r>
              <w:rPr>
                <w:rFonts w:ascii="Courier New"/>
                <w:w w:val="100"/>
                <w:sz w:val="28"/>
              </w:rPr>
              <w:t>X</w:t>
            </w:r>
          </w:p>
        </w:tc>
        <w:tc>
          <w:tcPr>
            <w:tcW w:w="1665" w:type="dxa"/>
          </w:tcPr>
          <w:p>
            <w:pPr>
              <w:pStyle w:val="TableParagraph"/>
              <w:spacing w:before="6"/>
              <w:ind w:left="102"/>
              <w:rPr>
                <w:rFonts w:ascii="Courier New"/>
                <w:sz w:val="28"/>
              </w:rPr>
            </w:pPr>
            <w:r>
              <w:rPr>
                <w:rFonts w:ascii="Courier New"/>
                <w:w w:val="100"/>
                <w:sz w:val="28"/>
              </w:rPr>
              <w:t>X</w:t>
            </w:r>
          </w:p>
        </w:tc>
      </w:tr>
      <w:tr>
        <w:trPr>
          <w:trHeight w:val="566" w:hRule="atLeast"/>
        </w:trPr>
        <w:tc>
          <w:tcPr>
            <w:tcW w:w="2660" w:type="dxa"/>
            <w:shd w:val="clear" w:color="auto" w:fill="00AFEF"/>
          </w:tcPr>
          <w:p>
            <w:pPr>
              <w:pStyle w:val="TableParagraph"/>
              <w:spacing w:before="2"/>
              <w:ind w:left="107"/>
              <w:rPr>
                <w:rFonts w:ascii="Courier New"/>
                <w:b/>
                <w:sz w:val="28"/>
              </w:rPr>
            </w:pPr>
            <w:r>
              <w:rPr>
                <w:rFonts w:ascii="Courier New"/>
                <w:b/>
                <w:sz w:val="28"/>
              </w:rPr>
              <w:t>Resveratrol</w:t>
            </w:r>
          </w:p>
        </w:tc>
        <w:tc>
          <w:tcPr>
            <w:tcW w:w="1136" w:type="dxa"/>
          </w:tcPr>
          <w:p>
            <w:pPr>
              <w:pStyle w:val="TableParagraph"/>
              <w:spacing w:before="9"/>
              <w:ind w:left="107"/>
              <w:rPr>
                <w:rFonts w:ascii="Courier New"/>
                <w:sz w:val="28"/>
              </w:rPr>
            </w:pPr>
            <w:r>
              <w:rPr>
                <w:rFonts w:ascii="Courier New"/>
                <w:sz w:val="28"/>
              </w:rPr>
              <w:t>1340</w:t>
            </w:r>
          </w:p>
        </w:tc>
        <w:tc>
          <w:tcPr>
            <w:tcW w:w="1278" w:type="dxa"/>
          </w:tcPr>
          <w:p>
            <w:pPr>
              <w:pStyle w:val="TableParagraph"/>
              <w:spacing w:before="9"/>
              <w:ind w:left="104"/>
              <w:rPr>
                <w:rFonts w:ascii="Courier New"/>
                <w:sz w:val="28"/>
              </w:rPr>
            </w:pPr>
            <w:r>
              <w:rPr>
                <w:rFonts w:ascii="Courier New"/>
                <w:w w:val="100"/>
                <w:sz w:val="28"/>
              </w:rPr>
              <w:t>X</w:t>
            </w:r>
          </w:p>
        </w:tc>
        <w:tc>
          <w:tcPr>
            <w:tcW w:w="1417" w:type="dxa"/>
          </w:tcPr>
          <w:p>
            <w:pPr>
              <w:pStyle w:val="TableParagraph"/>
              <w:rPr>
                <w:rFonts w:ascii="Times New Roman"/>
                <w:sz w:val="28"/>
              </w:rPr>
            </w:pPr>
          </w:p>
        </w:tc>
        <w:tc>
          <w:tcPr>
            <w:tcW w:w="1703" w:type="dxa"/>
          </w:tcPr>
          <w:p>
            <w:pPr>
              <w:pStyle w:val="TableParagraph"/>
              <w:spacing w:before="9"/>
              <w:ind w:left="105"/>
              <w:rPr>
                <w:rFonts w:ascii="Courier New"/>
                <w:sz w:val="28"/>
              </w:rPr>
            </w:pPr>
            <w:r>
              <w:rPr>
                <w:rFonts w:ascii="Courier New"/>
                <w:w w:val="100"/>
                <w:sz w:val="28"/>
              </w:rPr>
              <w:t>X</w:t>
            </w:r>
          </w:p>
        </w:tc>
        <w:tc>
          <w:tcPr>
            <w:tcW w:w="1419" w:type="dxa"/>
          </w:tcPr>
          <w:p>
            <w:pPr>
              <w:pStyle w:val="TableParagraph"/>
              <w:rPr>
                <w:rFonts w:ascii="Times New Roman"/>
                <w:sz w:val="28"/>
              </w:rPr>
            </w:pPr>
          </w:p>
        </w:tc>
        <w:tc>
          <w:tcPr>
            <w:tcW w:w="1700" w:type="dxa"/>
          </w:tcPr>
          <w:p>
            <w:pPr>
              <w:pStyle w:val="TableParagraph"/>
              <w:rPr>
                <w:rFonts w:ascii="Times New Roman"/>
                <w:sz w:val="28"/>
              </w:rPr>
            </w:pPr>
          </w:p>
        </w:tc>
        <w:tc>
          <w:tcPr>
            <w:tcW w:w="2410" w:type="dxa"/>
          </w:tcPr>
          <w:p>
            <w:pPr>
              <w:pStyle w:val="TableParagraph"/>
              <w:rPr>
                <w:rFonts w:ascii="Times New Roman"/>
                <w:sz w:val="28"/>
              </w:rPr>
            </w:pPr>
          </w:p>
        </w:tc>
        <w:tc>
          <w:tcPr>
            <w:tcW w:w="1844" w:type="dxa"/>
          </w:tcPr>
          <w:p>
            <w:pPr>
              <w:pStyle w:val="TableParagraph"/>
              <w:spacing w:before="9"/>
              <w:ind w:left="102"/>
              <w:rPr>
                <w:rFonts w:ascii="Courier New"/>
                <w:sz w:val="28"/>
              </w:rPr>
            </w:pPr>
            <w:r>
              <w:rPr>
                <w:rFonts w:ascii="Courier New"/>
                <w:w w:val="100"/>
                <w:sz w:val="28"/>
              </w:rPr>
              <w:t>X</w:t>
            </w:r>
          </w:p>
        </w:tc>
        <w:tc>
          <w:tcPr>
            <w:tcW w:w="1665" w:type="dxa"/>
          </w:tcPr>
          <w:p>
            <w:pPr>
              <w:pStyle w:val="TableParagraph"/>
              <w:spacing w:before="9"/>
              <w:ind w:left="102"/>
              <w:rPr>
                <w:rFonts w:ascii="Courier New"/>
                <w:sz w:val="28"/>
              </w:rPr>
            </w:pPr>
            <w:r>
              <w:rPr>
                <w:rFonts w:ascii="Courier New"/>
                <w:w w:val="100"/>
                <w:sz w:val="28"/>
              </w:rPr>
              <w:t>X</w:t>
            </w:r>
          </w:p>
        </w:tc>
      </w:tr>
      <w:tr>
        <w:trPr>
          <w:trHeight w:val="928" w:hRule="atLeast"/>
        </w:trPr>
        <w:tc>
          <w:tcPr>
            <w:tcW w:w="2660" w:type="dxa"/>
            <w:shd w:val="clear" w:color="auto" w:fill="00AFEF"/>
          </w:tcPr>
          <w:p>
            <w:pPr>
              <w:pStyle w:val="TableParagraph"/>
              <w:spacing w:line="278" w:lineRule="auto"/>
              <w:ind w:left="107" w:right="355"/>
              <w:rPr>
                <w:rFonts w:ascii="Courier New"/>
                <w:b/>
                <w:sz w:val="28"/>
              </w:rPr>
            </w:pPr>
            <w:r>
              <w:rPr>
                <w:rFonts w:ascii="Courier New"/>
                <w:b/>
                <w:sz w:val="28"/>
              </w:rPr>
              <w:t>Omega-3 fatty acids-3</w:t>
            </w:r>
          </w:p>
        </w:tc>
        <w:tc>
          <w:tcPr>
            <w:tcW w:w="1136" w:type="dxa"/>
          </w:tcPr>
          <w:p>
            <w:pPr>
              <w:pStyle w:val="TableParagraph"/>
              <w:spacing w:before="6"/>
              <w:ind w:left="107"/>
              <w:rPr>
                <w:rFonts w:ascii="Courier New"/>
                <w:sz w:val="28"/>
              </w:rPr>
            </w:pPr>
            <w:r>
              <w:rPr>
                <w:rFonts w:ascii="Courier New"/>
                <w:sz w:val="28"/>
              </w:rPr>
              <w:t>1036</w:t>
            </w:r>
          </w:p>
        </w:tc>
        <w:tc>
          <w:tcPr>
            <w:tcW w:w="1278" w:type="dxa"/>
          </w:tcPr>
          <w:p>
            <w:pPr>
              <w:pStyle w:val="TableParagraph"/>
              <w:rPr>
                <w:rFonts w:ascii="Times New Roman"/>
                <w:sz w:val="28"/>
              </w:rPr>
            </w:pPr>
          </w:p>
        </w:tc>
        <w:tc>
          <w:tcPr>
            <w:tcW w:w="1417" w:type="dxa"/>
          </w:tcPr>
          <w:p>
            <w:pPr>
              <w:pStyle w:val="TableParagraph"/>
              <w:rPr>
                <w:rFonts w:ascii="Times New Roman"/>
                <w:sz w:val="28"/>
              </w:rPr>
            </w:pPr>
          </w:p>
        </w:tc>
        <w:tc>
          <w:tcPr>
            <w:tcW w:w="1703" w:type="dxa"/>
          </w:tcPr>
          <w:p>
            <w:pPr>
              <w:pStyle w:val="TableParagraph"/>
              <w:spacing w:before="6"/>
              <w:ind w:left="105"/>
              <w:rPr>
                <w:rFonts w:ascii="Courier New"/>
                <w:sz w:val="28"/>
              </w:rPr>
            </w:pPr>
            <w:r>
              <w:rPr>
                <w:rFonts w:ascii="Courier New"/>
                <w:w w:val="100"/>
                <w:sz w:val="28"/>
              </w:rPr>
              <w:t>X</w:t>
            </w:r>
          </w:p>
        </w:tc>
        <w:tc>
          <w:tcPr>
            <w:tcW w:w="1419" w:type="dxa"/>
          </w:tcPr>
          <w:p>
            <w:pPr>
              <w:pStyle w:val="TableParagraph"/>
              <w:rPr>
                <w:rFonts w:ascii="Times New Roman"/>
                <w:sz w:val="28"/>
              </w:rPr>
            </w:pPr>
          </w:p>
        </w:tc>
        <w:tc>
          <w:tcPr>
            <w:tcW w:w="1700" w:type="dxa"/>
          </w:tcPr>
          <w:p>
            <w:pPr>
              <w:pStyle w:val="TableParagraph"/>
              <w:rPr>
                <w:rFonts w:ascii="Times New Roman"/>
                <w:sz w:val="28"/>
              </w:rPr>
            </w:pPr>
          </w:p>
        </w:tc>
        <w:tc>
          <w:tcPr>
            <w:tcW w:w="2410" w:type="dxa"/>
          </w:tcPr>
          <w:p>
            <w:pPr>
              <w:pStyle w:val="TableParagraph"/>
              <w:spacing w:before="6"/>
              <w:ind w:left="103"/>
              <w:rPr>
                <w:rFonts w:ascii="Courier New"/>
                <w:sz w:val="28"/>
              </w:rPr>
            </w:pPr>
            <w:r>
              <w:rPr>
                <w:rFonts w:ascii="Courier New"/>
                <w:w w:val="100"/>
                <w:sz w:val="28"/>
              </w:rPr>
              <w:t>X</w:t>
            </w:r>
          </w:p>
        </w:tc>
        <w:tc>
          <w:tcPr>
            <w:tcW w:w="1844" w:type="dxa"/>
          </w:tcPr>
          <w:p>
            <w:pPr>
              <w:pStyle w:val="TableParagraph"/>
              <w:spacing w:before="6"/>
              <w:ind w:left="102"/>
              <w:rPr>
                <w:rFonts w:ascii="Courier New"/>
                <w:sz w:val="28"/>
              </w:rPr>
            </w:pPr>
            <w:r>
              <w:rPr>
                <w:rFonts w:ascii="Courier New"/>
                <w:w w:val="100"/>
                <w:sz w:val="28"/>
              </w:rPr>
              <w:t>X</w:t>
            </w:r>
          </w:p>
        </w:tc>
        <w:tc>
          <w:tcPr>
            <w:tcW w:w="1665" w:type="dxa"/>
          </w:tcPr>
          <w:p>
            <w:pPr>
              <w:pStyle w:val="TableParagraph"/>
              <w:spacing w:before="6"/>
              <w:ind w:left="102"/>
              <w:rPr>
                <w:rFonts w:ascii="Courier New"/>
                <w:sz w:val="28"/>
              </w:rPr>
            </w:pPr>
            <w:r>
              <w:rPr>
                <w:rFonts w:ascii="Courier New"/>
                <w:w w:val="100"/>
                <w:sz w:val="28"/>
              </w:rPr>
              <w:t>X</w:t>
            </w:r>
          </w:p>
        </w:tc>
      </w:tr>
      <w:tr>
        <w:trPr>
          <w:trHeight w:val="565" w:hRule="atLeast"/>
        </w:trPr>
        <w:tc>
          <w:tcPr>
            <w:tcW w:w="2660" w:type="dxa"/>
            <w:shd w:val="clear" w:color="auto" w:fill="00AFEF"/>
          </w:tcPr>
          <w:p>
            <w:pPr>
              <w:pStyle w:val="TableParagraph"/>
              <w:spacing w:before="2"/>
              <w:ind w:left="107"/>
              <w:rPr>
                <w:rFonts w:ascii="Courier New"/>
                <w:b/>
                <w:sz w:val="28"/>
              </w:rPr>
            </w:pPr>
            <w:r>
              <w:rPr>
                <w:rFonts w:ascii="Courier New"/>
                <w:b/>
                <w:sz w:val="28"/>
              </w:rPr>
              <w:t>Ginkgo Biloba</w:t>
            </w:r>
          </w:p>
        </w:tc>
        <w:tc>
          <w:tcPr>
            <w:tcW w:w="1136" w:type="dxa"/>
          </w:tcPr>
          <w:p>
            <w:pPr>
              <w:pStyle w:val="TableParagraph"/>
              <w:spacing w:before="9"/>
              <w:ind w:left="107"/>
              <w:rPr>
                <w:rFonts w:ascii="Courier New"/>
                <w:sz w:val="28"/>
              </w:rPr>
            </w:pPr>
            <w:r>
              <w:rPr>
                <w:rFonts w:ascii="Courier New"/>
                <w:sz w:val="28"/>
              </w:rPr>
              <w:t>398</w:t>
            </w:r>
          </w:p>
        </w:tc>
        <w:tc>
          <w:tcPr>
            <w:tcW w:w="1278" w:type="dxa"/>
          </w:tcPr>
          <w:p>
            <w:pPr>
              <w:pStyle w:val="TableParagraph"/>
              <w:spacing w:before="9"/>
              <w:ind w:left="104"/>
              <w:rPr>
                <w:rFonts w:ascii="Courier New"/>
                <w:sz w:val="28"/>
              </w:rPr>
            </w:pPr>
            <w:r>
              <w:rPr>
                <w:rFonts w:ascii="Courier New"/>
                <w:w w:val="100"/>
                <w:sz w:val="28"/>
              </w:rPr>
              <w:t>X</w:t>
            </w:r>
          </w:p>
        </w:tc>
        <w:tc>
          <w:tcPr>
            <w:tcW w:w="1417" w:type="dxa"/>
          </w:tcPr>
          <w:p>
            <w:pPr>
              <w:pStyle w:val="TableParagraph"/>
              <w:rPr>
                <w:rFonts w:ascii="Times New Roman"/>
                <w:sz w:val="28"/>
              </w:rPr>
            </w:pPr>
          </w:p>
        </w:tc>
        <w:tc>
          <w:tcPr>
            <w:tcW w:w="1703" w:type="dxa"/>
          </w:tcPr>
          <w:p>
            <w:pPr>
              <w:pStyle w:val="TableParagraph"/>
              <w:spacing w:before="9"/>
              <w:ind w:left="105"/>
              <w:rPr>
                <w:rFonts w:ascii="Courier New"/>
                <w:sz w:val="28"/>
              </w:rPr>
            </w:pPr>
            <w:r>
              <w:rPr>
                <w:rFonts w:ascii="Courier New"/>
                <w:w w:val="100"/>
                <w:sz w:val="28"/>
              </w:rPr>
              <w:t>X</w:t>
            </w:r>
          </w:p>
        </w:tc>
        <w:tc>
          <w:tcPr>
            <w:tcW w:w="1419" w:type="dxa"/>
          </w:tcPr>
          <w:p>
            <w:pPr>
              <w:pStyle w:val="TableParagraph"/>
              <w:spacing w:before="9"/>
              <w:ind w:left="101"/>
              <w:rPr>
                <w:rFonts w:ascii="Courier New"/>
                <w:sz w:val="28"/>
              </w:rPr>
            </w:pPr>
            <w:r>
              <w:rPr>
                <w:rFonts w:ascii="Courier New"/>
                <w:w w:val="100"/>
                <w:sz w:val="28"/>
              </w:rPr>
              <w:t>X</w:t>
            </w:r>
          </w:p>
        </w:tc>
        <w:tc>
          <w:tcPr>
            <w:tcW w:w="1700" w:type="dxa"/>
          </w:tcPr>
          <w:p>
            <w:pPr>
              <w:pStyle w:val="TableParagraph"/>
              <w:rPr>
                <w:rFonts w:ascii="Times New Roman"/>
                <w:sz w:val="28"/>
              </w:rPr>
            </w:pPr>
          </w:p>
        </w:tc>
        <w:tc>
          <w:tcPr>
            <w:tcW w:w="2410" w:type="dxa"/>
          </w:tcPr>
          <w:p>
            <w:pPr>
              <w:pStyle w:val="TableParagraph"/>
              <w:spacing w:before="9"/>
              <w:ind w:left="103"/>
              <w:rPr>
                <w:rFonts w:ascii="Courier New"/>
                <w:sz w:val="28"/>
              </w:rPr>
            </w:pPr>
            <w:r>
              <w:rPr>
                <w:rFonts w:ascii="Courier New"/>
                <w:w w:val="100"/>
                <w:sz w:val="28"/>
              </w:rPr>
              <w:t>X</w:t>
            </w:r>
          </w:p>
        </w:tc>
        <w:tc>
          <w:tcPr>
            <w:tcW w:w="1844" w:type="dxa"/>
          </w:tcPr>
          <w:p>
            <w:pPr>
              <w:pStyle w:val="TableParagraph"/>
              <w:spacing w:before="9"/>
              <w:ind w:left="102"/>
              <w:rPr>
                <w:rFonts w:ascii="Courier New"/>
                <w:sz w:val="28"/>
              </w:rPr>
            </w:pPr>
            <w:r>
              <w:rPr>
                <w:rFonts w:ascii="Courier New"/>
                <w:w w:val="100"/>
                <w:sz w:val="28"/>
              </w:rPr>
              <w:t>X</w:t>
            </w:r>
          </w:p>
        </w:tc>
        <w:tc>
          <w:tcPr>
            <w:tcW w:w="1665" w:type="dxa"/>
          </w:tcPr>
          <w:p>
            <w:pPr>
              <w:pStyle w:val="TableParagraph"/>
              <w:spacing w:before="9"/>
              <w:ind w:left="102"/>
              <w:rPr>
                <w:rFonts w:ascii="Courier New"/>
                <w:sz w:val="28"/>
              </w:rPr>
            </w:pPr>
            <w:r>
              <w:rPr>
                <w:rFonts w:ascii="Courier New"/>
                <w:w w:val="100"/>
                <w:sz w:val="28"/>
              </w:rPr>
              <w:t>X</w:t>
            </w:r>
          </w:p>
        </w:tc>
      </w:tr>
      <w:tr>
        <w:trPr>
          <w:trHeight w:val="563" w:hRule="atLeast"/>
        </w:trPr>
        <w:tc>
          <w:tcPr>
            <w:tcW w:w="2660" w:type="dxa"/>
            <w:shd w:val="clear" w:color="auto" w:fill="00AFEF"/>
          </w:tcPr>
          <w:p>
            <w:pPr>
              <w:pStyle w:val="TableParagraph"/>
              <w:spacing w:line="317" w:lineRule="exact"/>
              <w:ind w:left="107"/>
              <w:rPr>
                <w:rFonts w:ascii="Courier New"/>
                <w:b/>
                <w:sz w:val="28"/>
              </w:rPr>
            </w:pPr>
            <w:r>
              <w:rPr>
                <w:rFonts w:ascii="Courier New"/>
                <w:b/>
                <w:sz w:val="28"/>
              </w:rPr>
              <w:t>Vitamin C</w:t>
            </w:r>
          </w:p>
        </w:tc>
        <w:tc>
          <w:tcPr>
            <w:tcW w:w="1136" w:type="dxa"/>
          </w:tcPr>
          <w:p>
            <w:pPr>
              <w:pStyle w:val="TableParagraph"/>
              <w:spacing w:before="6"/>
              <w:ind w:left="107"/>
              <w:rPr>
                <w:rFonts w:ascii="Courier New"/>
                <w:sz w:val="28"/>
              </w:rPr>
            </w:pPr>
            <w:r>
              <w:rPr>
                <w:rFonts w:ascii="Courier New"/>
                <w:sz w:val="28"/>
              </w:rPr>
              <w:t>1720</w:t>
            </w:r>
          </w:p>
        </w:tc>
        <w:tc>
          <w:tcPr>
            <w:tcW w:w="1278" w:type="dxa"/>
          </w:tcPr>
          <w:p>
            <w:pPr>
              <w:pStyle w:val="TableParagraph"/>
              <w:spacing w:before="6"/>
              <w:ind w:left="104"/>
              <w:rPr>
                <w:rFonts w:ascii="Courier New"/>
                <w:sz w:val="28"/>
              </w:rPr>
            </w:pPr>
            <w:r>
              <w:rPr>
                <w:rFonts w:ascii="Courier New"/>
                <w:w w:val="100"/>
                <w:sz w:val="28"/>
              </w:rPr>
              <w:t>X</w:t>
            </w:r>
          </w:p>
        </w:tc>
        <w:tc>
          <w:tcPr>
            <w:tcW w:w="1417" w:type="dxa"/>
          </w:tcPr>
          <w:p>
            <w:pPr>
              <w:pStyle w:val="TableParagraph"/>
              <w:rPr>
                <w:rFonts w:ascii="Times New Roman"/>
                <w:sz w:val="28"/>
              </w:rPr>
            </w:pPr>
          </w:p>
        </w:tc>
        <w:tc>
          <w:tcPr>
            <w:tcW w:w="1703" w:type="dxa"/>
          </w:tcPr>
          <w:p>
            <w:pPr>
              <w:pStyle w:val="TableParagraph"/>
              <w:spacing w:before="6"/>
              <w:ind w:left="105"/>
              <w:rPr>
                <w:rFonts w:ascii="Courier New"/>
                <w:sz w:val="28"/>
              </w:rPr>
            </w:pPr>
            <w:r>
              <w:rPr>
                <w:rFonts w:ascii="Courier New"/>
                <w:w w:val="100"/>
                <w:sz w:val="28"/>
              </w:rPr>
              <w:t>X</w:t>
            </w:r>
          </w:p>
        </w:tc>
        <w:tc>
          <w:tcPr>
            <w:tcW w:w="1419" w:type="dxa"/>
          </w:tcPr>
          <w:p>
            <w:pPr>
              <w:pStyle w:val="TableParagraph"/>
              <w:rPr>
                <w:rFonts w:ascii="Times New Roman"/>
                <w:sz w:val="28"/>
              </w:rPr>
            </w:pPr>
          </w:p>
        </w:tc>
        <w:tc>
          <w:tcPr>
            <w:tcW w:w="1700" w:type="dxa"/>
          </w:tcPr>
          <w:p>
            <w:pPr>
              <w:pStyle w:val="TableParagraph"/>
              <w:spacing w:before="6"/>
              <w:ind w:left="100"/>
              <w:rPr>
                <w:rFonts w:ascii="Courier New"/>
                <w:sz w:val="28"/>
              </w:rPr>
            </w:pPr>
            <w:r>
              <w:rPr>
                <w:rFonts w:ascii="Courier New"/>
                <w:w w:val="100"/>
                <w:sz w:val="28"/>
              </w:rPr>
              <w:t>X</w:t>
            </w:r>
          </w:p>
        </w:tc>
        <w:tc>
          <w:tcPr>
            <w:tcW w:w="2410" w:type="dxa"/>
          </w:tcPr>
          <w:p>
            <w:pPr>
              <w:pStyle w:val="TableParagraph"/>
              <w:spacing w:before="6"/>
              <w:ind w:left="103"/>
              <w:rPr>
                <w:rFonts w:ascii="Courier New"/>
                <w:sz w:val="28"/>
              </w:rPr>
            </w:pPr>
            <w:r>
              <w:rPr>
                <w:rFonts w:ascii="Courier New"/>
                <w:w w:val="100"/>
                <w:sz w:val="28"/>
              </w:rPr>
              <w:t>X</w:t>
            </w:r>
          </w:p>
        </w:tc>
        <w:tc>
          <w:tcPr>
            <w:tcW w:w="1844" w:type="dxa"/>
          </w:tcPr>
          <w:p>
            <w:pPr>
              <w:pStyle w:val="TableParagraph"/>
              <w:spacing w:before="6"/>
              <w:ind w:left="102"/>
              <w:rPr>
                <w:rFonts w:ascii="Courier New"/>
                <w:sz w:val="28"/>
              </w:rPr>
            </w:pPr>
            <w:r>
              <w:rPr>
                <w:rFonts w:ascii="Courier New"/>
                <w:w w:val="100"/>
                <w:sz w:val="28"/>
              </w:rPr>
              <w:t>X</w:t>
            </w:r>
          </w:p>
        </w:tc>
        <w:tc>
          <w:tcPr>
            <w:tcW w:w="1665" w:type="dxa"/>
          </w:tcPr>
          <w:p>
            <w:pPr>
              <w:pStyle w:val="TableParagraph"/>
              <w:spacing w:before="6"/>
              <w:ind w:left="102"/>
              <w:rPr>
                <w:rFonts w:ascii="Courier New"/>
                <w:sz w:val="28"/>
              </w:rPr>
            </w:pPr>
            <w:r>
              <w:rPr>
                <w:rFonts w:ascii="Courier New"/>
                <w:w w:val="100"/>
                <w:sz w:val="28"/>
              </w:rPr>
              <w:t>X</w:t>
            </w:r>
          </w:p>
        </w:tc>
      </w:tr>
      <w:tr>
        <w:trPr>
          <w:trHeight w:val="566" w:hRule="atLeast"/>
        </w:trPr>
        <w:tc>
          <w:tcPr>
            <w:tcW w:w="2660" w:type="dxa"/>
            <w:shd w:val="clear" w:color="auto" w:fill="00AFEF"/>
          </w:tcPr>
          <w:p>
            <w:pPr>
              <w:pStyle w:val="TableParagraph"/>
              <w:spacing w:before="2"/>
              <w:ind w:left="107"/>
              <w:rPr>
                <w:rFonts w:ascii="Courier New"/>
                <w:b/>
                <w:sz w:val="28"/>
              </w:rPr>
            </w:pPr>
            <w:r>
              <w:rPr>
                <w:rFonts w:ascii="Courier New"/>
                <w:b/>
                <w:sz w:val="28"/>
              </w:rPr>
              <w:t>OPC</w:t>
            </w:r>
          </w:p>
        </w:tc>
        <w:tc>
          <w:tcPr>
            <w:tcW w:w="1136" w:type="dxa"/>
          </w:tcPr>
          <w:p>
            <w:pPr>
              <w:pStyle w:val="TableParagraph"/>
              <w:spacing w:before="9"/>
              <w:ind w:left="107"/>
              <w:rPr>
                <w:rFonts w:ascii="Courier New"/>
                <w:sz w:val="28"/>
              </w:rPr>
            </w:pPr>
            <w:r>
              <w:rPr>
                <w:rFonts w:ascii="Courier New"/>
                <w:sz w:val="28"/>
              </w:rPr>
              <w:t>1094</w:t>
            </w:r>
          </w:p>
        </w:tc>
        <w:tc>
          <w:tcPr>
            <w:tcW w:w="1278" w:type="dxa"/>
          </w:tcPr>
          <w:p>
            <w:pPr>
              <w:pStyle w:val="TableParagraph"/>
              <w:spacing w:before="9"/>
              <w:ind w:left="104"/>
              <w:rPr>
                <w:rFonts w:ascii="Courier New"/>
                <w:sz w:val="28"/>
              </w:rPr>
            </w:pPr>
            <w:r>
              <w:rPr>
                <w:rFonts w:ascii="Courier New"/>
                <w:w w:val="100"/>
                <w:sz w:val="28"/>
              </w:rPr>
              <w:t>X</w:t>
            </w:r>
          </w:p>
        </w:tc>
        <w:tc>
          <w:tcPr>
            <w:tcW w:w="1417" w:type="dxa"/>
          </w:tcPr>
          <w:p>
            <w:pPr>
              <w:pStyle w:val="TableParagraph"/>
              <w:rPr>
                <w:rFonts w:ascii="Times New Roman"/>
                <w:sz w:val="28"/>
              </w:rPr>
            </w:pPr>
          </w:p>
        </w:tc>
        <w:tc>
          <w:tcPr>
            <w:tcW w:w="1703" w:type="dxa"/>
          </w:tcPr>
          <w:p>
            <w:pPr>
              <w:pStyle w:val="TableParagraph"/>
              <w:spacing w:before="9"/>
              <w:ind w:left="105"/>
              <w:rPr>
                <w:rFonts w:ascii="Courier New"/>
                <w:sz w:val="28"/>
              </w:rPr>
            </w:pPr>
            <w:r>
              <w:rPr>
                <w:rFonts w:ascii="Courier New"/>
                <w:w w:val="100"/>
                <w:sz w:val="28"/>
              </w:rPr>
              <w:t>X</w:t>
            </w:r>
          </w:p>
        </w:tc>
        <w:tc>
          <w:tcPr>
            <w:tcW w:w="1419" w:type="dxa"/>
          </w:tcPr>
          <w:p>
            <w:pPr>
              <w:pStyle w:val="TableParagraph"/>
              <w:rPr>
                <w:rFonts w:ascii="Times New Roman"/>
                <w:sz w:val="28"/>
              </w:rPr>
            </w:pPr>
          </w:p>
        </w:tc>
        <w:tc>
          <w:tcPr>
            <w:tcW w:w="1700" w:type="dxa"/>
          </w:tcPr>
          <w:p>
            <w:pPr>
              <w:pStyle w:val="TableParagraph"/>
              <w:spacing w:before="9"/>
              <w:ind w:left="100"/>
              <w:rPr>
                <w:rFonts w:ascii="Courier New"/>
                <w:sz w:val="28"/>
              </w:rPr>
            </w:pPr>
            <w:r>
              <w:rPr>
                <w:rFonts w:ascii="Courier New"/>
                <w:w w:val="100"/>
                <w:sz w:val="28"/>
              </w:rPr>
              <w:t>X</w:t>
            </w:r>
          </w:p>
        </w:tc>
        <w:tc>
          <w:tcPr>
            <w:tcW w:w="2410" w:type="dxa"/>
          </w:tcPr>
          <w:p>
            <w:pPr>
              <w:pStyle w:val="TableParagraph"/>
              <w:spacing w:before="9"/>
              <w:ind w:left="103"/>
              <w:rPr>
                <w:rFonts w:ascii="Courier New"/>
                <w:sz w:val="28"/>
              </w:rPr>
            </w:pPr>
            <w:r>
              <w:rPr>
                <w:rFonts w:ascii="Courier New"/>
                <w:w w:val="100"/>
                <w:sz w:val="28"/>
              </w:rPr>
              <w:t>X</w:t>
            </w:r>
          </w:p>
        </w:tc>
        <w:tc>
          <w:tcPr>
            <w:tcW w:w="1844" w:type="dxa"/>
          </w:tcPr>
          <w:p>
            <w:pPr>
              <w:pStyle w:val="TableParagraph"/>
              <w:spacing w:before="9"/>
              <w:ind w:left="102"/>
              <w:rPr>
                <w:rFonts w:ascii="Courier New"/>
                <w:sz w:val="28"/>
              </w:rPr>
            </w:pPr>
            <w:r>
              <w:rPr>
                <w:rFonts w:ascii="Courier New"/>
                <w:w w:val="100"/>
                <w:sz w:val="28"/>
              </w:rPr>
              <w:t>X</w:t>
            </w:r>
          </w:p>
        </w:tc>
        <w:tc>
          <w:tcPr>
            <w:tcW w:w="1665" w:type="dxa"/>
          </w:tcPr>
          <w:p>
            <w:pPr>
              <w:pStyle w:val="TableParagraph"/>
              <w:spacing w:before="9"/>
              <w:ind w:left="102"/>
              <w:rPr>
                <w:rFonts w:ascii="Courier New"/>
                <w:sz w:val="28"/>
              </w:rPr>
            </w:pPr>
            <w:r>
              <w:rPr>
                <w:rFonts w:ascii="Courier New"/>
                <w:w w:val="100"/>
                <w:sz w:val="28"/>
              </w:rPr>
              <w:t>X</w:t>
            </w:r>
          </w:p>
        </w:tc>
      </w:tr>
    </w:tbl>
    <w:p>
      <w:pPr>
        <w:spacing w:after="0"/>
        <w:rPr>
          <w:rFonts w:ascii="Courier New"/>
          <w:sz w:val="28"/>
        </w:rPr>
        <w:sectPr>
          <w:pgSz w:w="18630" w:h="11910" w:orient="landscape"/>
          <w:pgMar w:header="0" w:footer="404" w:top="840" w:bottom="600" w:left="740" w:right="8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60"/>
        <w:gridCol w:w="1136"/>
        <w:gridCol w:w="1278"/>
        <w:gridCol w:w="1417"/>
        <w:gridCol w:w="1703"/>
        <w:gridCol w:w="1419"/>
        <w:gridCol w:w="1700"/>
        <w:gridCol w:w="2410"/>
        <w:gridCol w:w="1844"/>
        <w:gridCol w:w="1704"/>
      </w:tblGrid>
      <w:tr>
        <w:trPr>
          <w:trHeight w:val="1128" w:hRule="atLeast"/>
        </w:trPr>
        <w:tc>
          <w:tcPr>
            <w:tcW w:w="2660" w:type="dxa"/>
            <w:shd w:val="clear" w:color="auto" w:fill="00AFEF"/>
          </w:tcPr>
          <w:p>
            <w:pPr>
              <w:pStyle w:val="TableParagraph"/>
              <w:spacing w:line="317" w:lineRule="exact"/>
              <w:ind w:left="107"/>
              <w:rPr>
                <w:rFonts w:ascii="Courier New"/>
                <w:b/>
                <w:sz w:val="28"/>
              </w:rPr>
            </w:pPr>
            <w:r>
              <w:rPr>
                <w:rFonts w:ascii="Courier New"/>
                <w:b/>
                <w:sz w:val="28"/>
              </w:rPr>
              <w:t>Acetyl-</w:t>
            </w:r>
          </w:p>
          <w:p>
            <w:pPr>
              <w:pStyle w:val="TableParagraph"/>
              <w:spacing w:before="247"/>
              <w:ind w:left="107"/>
              <w:rPr>
                <w:rFonts w:ascii="Courier New"/>
                <w:b/>
                <w:sz w:val="28"/>
              </w:rPr>
            </w:pPr>
            <w:r>
              <w:rPr>
                <w:rFonts w:ascii="Courier New"/>
                <w:b/>
                <w:sz w:val="28"/>
              </w:rPr>
              <w:t>L-Carnitine*</w:t>
            </w:r>
          </w:p>
        </w:tc>
        <w:tc>
          <w:tcPr>
            <w:tcW w:w="1136" w:type="dxa"/>
          </w:tcPr>
          <w:p>
            <w:pPr>
              <w:pStyle w:val="TableParagraph"/>
              <w:spacing w:before="6"/>
              <w:ind w:left="107"/>
              <w:rPr>
                <w:rFonts w:ascii="Courier New"/>
                <w:sz w:val="28"/>
              </w:rPr>
            </w:pPr>
            <w:r>
              <w:rPr>
                <w:rFonts w:ascii="Courier New"/>
                <w:sz w:val="28"/>
              </w:rPr>
              <w:t>866</w:t>
            </w:r>
          </w:p>
        </w:tc>
        <w:tc>
          <w:tcPr>
            <w:tcW w:w="1278" w:type="dxa"/>
          </w:tcPr>
          <w:p>
            <w:pPr>
              <w:pStyle w:val="TableParagraph"/>
              <w:spacing w:before="6"/>
              <w:ind w:left="104"/>
              <w:rPr>
                <w:rFonts w:ascii="Courier New"/>
                <w:sz w:val="28"/>
              </w:rPr>
            </w:pPr>
            <w:r>
              <w:rPr>
                <w:rFonts w:ascii="Courier New"/>
                <w:w w:val="100"/>
                <w:sz w:val="28"/>
              </w:rPr>
              <w:t>X</w:t>
            </w:r>
          </w:p>
        </w:tc>
        <w:tc>
          <w:tcPr>
            <w:tcW w:w="1417" w:type="dxa"/>
          </w:tcPr>
          <w:p>
            <w:pPr>
              <w:pStyle w:val="TableParagraph"/>
              <w:rPr>
                <w:rFonts w:ascii="Times New Roman"/>
                <w:sz w:val="28"/>
              </w:rPr>
            </w:pPr>
          </w:p>
        </w:tc>
        <w:tc>
          <w:tcPr>
            <w:tcW w:w="1703" w:type="dxa"/>
          </w:tcPr>
          <w:p>
            <w:pPr>
              <w:pStyle w:val="TableParagraph"/>
              <w:rPr>
                <w:rFonts w:ascii="Times New Roman"/>
                <w:sz w:val="28"/>
              </w:rPr>
            </w:pPr>
          </w:p>
        </w:tc>
        <w:tc>
          <w:tcPr>
            <w:tcW w:w="1419" w:type="dxa"/>
          </w:tcPr>
          <w:p>
            <w:pPr>
              <w:pStyle w:val="TableParagraph"/>
              <w:spacing w:before="6"/>
              <w:ind w:left="101"/>
              <w:rPr>
                <w:rFonts w:ascii="Courier New"/>
                <w:sz w:val="28"/>
              </w:rPr>
            </w:pPr>
            <w:r>
              <w:rPr>
                <w:rFonts w:ascii="Courier New"/>
                <w:w w:val="100"/>
                <w:sz w:val="28"/>
              </w:rPr>
              <w:t>X</w:t>
            </w:r>
          </w:p>
        </w:tc>
        <w:tc>
          <w:tcPr>
            <w:tcW w:w="1700" w:type="dxa"/>
          </w:tcPr>
          <w:p>
            <w:pPr>
              <w:pStyle w:val="TableParagraph"/>
              <w:rPr>
                <w:rFonts w:ascii="Times New Roman"/>
                <w:sz w:val="28"/>
              </w:rPr>
            </w:pPr>
          </w:p>
        </w:tc>
        <w:tc>
          <w:tcPr>
            <w:tcW w:w="2410" w:type="dxa"/>
          </w:tcPr>
          <w:p>
            <w:pPr>
              <w:pStyle w:val="TableParagraph"/>
              <w:rPr>
                <w:rFonts w:ascii="Times New Roman"/>
                <w:sz w:val="28"/>
              </w:rPr>
            </w:pPr>
          </w:p>
        </w:tc>
        <w:tc>
          <w:tcPr>
            <w:tcW w:w="1844" w:type="dxa"/>
          </w:tcPr>
          <w:p>
            <w:pPr>
              <w:pStyle w:val="TableParagraph"/>
              <w:spacing w:before="6"/>
              <w:ind w:left="102"/>
              <w:rPr>
                <w:rFonts w:ascii="Courier New"/>
                <w:sz w:val="28"/>
              </w:rPr>
            </w:pPr>
            <w:r>
              <w:rPr>
                <w:rFonts w:ascii="Courier New"/>
                <w:w w:val="100"/>
                <w:sz w:val="28"/>
              </w:rPr>
              <w:t>X</w:t>
            </w:r>
          </w:p>
        </w:tc>
        <w:tc>
          <w:tcPr>
            <w:tcW w:w="1704" w:type="dxa"/>
          </w:tcPr>
          <w:p>
            <w:pPr>
              <w:pStyle w:val="TableParagraph"/>
              <w:rPr>
                <w:rFonts w:ascii="Times New Roman"/>
                <w:sz w:val="28"/>
              </w:rPr>
            </w:pPr>
          </w:p>
        </w:tc>
      </w:tr>
      <w:tr>
        <w:trPr>
          <w:trHeight w:val="565" w:hRule="atLeast"/>
        </w:trPr>
        <w:tc>
          <w:tcPr>
            <w:tcW w:w="2660" w:type="dxa"/>
            <w:shd w:val="clear" w:color="auto" w:fill="00AFEF"/>
          </w:tcPr>
          <w:p>
            <w:pPr>
              <w:pStyle w:val="TableParagraph"/>
              <w:spacing w:before="2"/>
              <w:ind w:left="107"/>
              <w:rPr>
                <w:rFonts w:ascii="Courier New"/>
                <w:b/>
                <w:sz w:val="28"/>
              </w:rPr>
            </w:pPr>
            <w:r>
              <w:rPr>
                <w:rFonts w:ascii="Courier New"/>
                <w:b/>
                <w:sz w:val="28"/>
              </w:rPr>
              <w:t>Pomegranate</w:t>
            </w:r>
          </w:p>
        </w:tc>
        <w:tc>
          <w:tcPr>
            <w:tcW w:w="1136" w:type="dxa"/>
          </w:tcPr>
          <w:p>
            <w:pPr>
              <w:pStyle w:val="TableParagraph"/>
              <w:spacing w:before="9"/>
              <w:ind w:left="107"/>
              <w:rPr>
                <w:rFonts w:ascii="Courier New"/>
                <w:sz w:val="28"/>
              </w:rPr>
            </w:pPr>
            <w:r>
              <w:rPr>
                <w:rFonts w:ascii="Courier New"/>
                <w:sz w:val="28"/>
              </w:rPr>
              <w:t>490</w:t>
            </w:r>
          </w:p>
        </w:tc>
        <w:tc>
          <w:tcPr>
            <w:tcW w:w="1278" w:type="dxa"/>
          </w:tcPr>
          <w:p>
            <w:pPr>
              <w:pStyle w:val="TableParagraph"/>
              <w:spacing w:before="9"/>
              <w:ind w:left="104"/>
              <w:rPr>
                <w:rFonts w:ascii="Courier New"/>
                <w:sz w:val="28"/>
              </w:rPr>
            </w:pPr>
            <w:r>
              <w:rPr>
                <w:rFonts w:ascii="Courier New"/>
                <w:w w:val="100"/>
                <w:sz w:val="28"/>
              </w:rPr>
              <w:t>X</w:t>
            </w:r>
          </w:p>
        </w:tc>
        <w:tc>
          <w:tcPr>
            <w:tcW w:w="1417" w:type="dxa"/>
          </w:tcPr>
          <w:p>
            <w:pPr>
              <w:pStyle w:val="TableParagraph"/>
              <w:rPr>
                <w:rFonts w:ascii="Times New Roman"/>
                <w:sz w:val="28"/>
              </w:rPr>
            </w:pPr>
          </w:p>
        </w:tc>
        <w:tc>
          <w:tcPr>
            <w:tcW w:w="1703" w:type="dxa"/>
          </w:tcPr>
          <w:p>
            <w:pPr>
              <w:pStyle w:val="TableParagraph"/>
              <w:spacing w:before="9"/>
              <w:ind w:left="105"/>
              <w:rPr>
                <w:rFonts w:ascii="Courier New"/>
                <w:sz w:val="28"/>
              </w:rPr>
            </w:pPr>
            <w:r>
              <w:rPr>
                <w:rFonts w:ascii="Courier New"/>
                <w:w w:val="100"/>
                <w:sz w:val="28"/>
              </w:rPr>
              <w:t>X</w:t>
            </w:r>
          </w:p>
        </w:tc>
        <w:tc>
          <w:tcPr>
            <w:tcW w:w="1419" w:type="dxa"/>
          </w:tcPr>
          <w:p>
            <w:pPr>
              <w:pStyle w:val="TableParagraph"/>
              <w:rPr>
                <w:rFonts w:ascii="Times New Roman"/>
                <w:sz w:val="28"/>
              </w:rPr>
            </w:pPr>
          </w:p>
        </w:tc>
        <w:tc>
          <w:tcPr>
            <w:tcW w:w="1700" w:type="dxa"/>
          </w:tcPr>
          <w:p>
            <w:pPr>
              <w:pStyle w:val="TableParagraph"/>
              <w:rPr>
                <w:rFonts w:ascii="Times New Roman"/>
                <w:sz w:val="28"/>
              </w:rPr>
            </w:pPr>
          </w:p>
        </w:tc>
        <w:tc>
          <w:tcPr>
            <w:tcW w:w="2410" w:type="dxa"/>
          </w:tcPr>
          <w:p>
            <w:pPr>
              <w:pStyle w:val="TableParagraph"/>
              <w:spacing w:before="9"/>
              <w:ind w:left="103"/>
              <w:rPr>
                <w:rFonts w:ascii="Courier New"/>
                <w:sz w:val="28"/>
              </w:rPr>
            </w:pPr>
            <w:r>
              <w:rPr>
                <w:rFonts w:ascii="Courier New"/>
                <w:w w:val="100"/>
                <w:sz w:val="28"/>
              </w:rPr>
              <w:t>X</w:t>
            </w:r>
          </w:p>
        </w:tc>
        <w:tc>
          <w:tcPr>
            <w:tcW w:w="1844" w:type="dxa"/>
          </w:tcPr>
          <w:p>
            <w:pPr>
              <w:pStyle w:val="TableParagraph"/>
              <w:spacing w:before="9"/>
              <w:ind w:left="102"/>
              <w:rPr>
                <w:rFonts w:ascii="Courier New"/>
                <w:sz w:val="28"/>
              </w:rPr>
            </w:pPr>
            <w:r>
              <w:rPr>
                <w:rFonts w:ascii="Courier New"/>
                <w:w w:val="100"/>
                <w:sz w:val="28"/>
              </w:rPr>
              <w:t>X</w:t>
            </w:r>
          </w:p>
        </w:tc>
        <w:tc>
          <w:tcPr>
            <w:tcW w:w="1704" w:type="dxa"/>
          </w:tcPr>
          <w:p>
            <w:pPr>
              <w:pStyle w:val="TableParagraph"/>
              <w:rPr>
                <w:rFonts w:ascii="Times New Roman"/>
                <w:sz w:val="28"/>
              </w:rPr>
            </w:pPr>
          </w:p>
        </w:tc>
      </w:tr>
      <w:tr>
        <w:trPr>
          <w:trHeight w:val="1130" w:hRule="atLeast"/>
        </w:trPr>
        <w:tc>
          <w:tcPr>
            <w:tcW w:w="2660" w:type="dxa"/>
            <w:shd w:val="clear" w:color="auto" w:fill="00AFEF"/>
          </w:tcPr>
          <w:p>
            <w:pPr>
              <w:pStyle w:val="TableParagraph"/>
              <w:spacing w:line="317" w:lineRule="exact"/>
              <w:ind w:left="107"/>
              <w:rPr>
                <w:rFonts w:ascii="Courier New"/>
                <w:b/>
                <w:sz w:val="28"/>
              </w:rPr>
            </w:pPr>
            <w:r>
              <w:rPr>
                <w:rFonts w:ascii="Courier New"/>
                <w:b/>
                <w:sz w:val="28"/>
              </w:rPr>
              <w:t>Spirulina</w:t>
            </w:r>
          </w:p>
          <w:p>
            <w:pPr>
              <w:pStyle w:val="TableParagraph"/>
              <w:spacing w:before="247"/>
              <w:ind w:left="107"/>
              <w:rPr>
                <w:rFonts w:ascii="Courier New"/>
                <w:b/>
                <w:sz w:val="28"/>
              </w:rPr>
            </w:pPr>
            <w:r>
              <w:rPr>
                <w:rFonts w:ascii="Courier New"/>
                <w:b/>
                <w:sz w:val="28"/>
              </w:rPr>
              <w:t>platensis</w:t>
            </w:r>
          </w:p>
        </w:tc>
        <w:tc>
          <w:tcPr>
            <w:tcW w:w="1136" w:type="dxa"/>
          </w:tcPr>
          <w:p>
            <w:pPr>
              <w:pStyle w:val="TableParagraph"/>
              <w:spacing w:before="6"/>
              <w:ind w:left="107"/>
              <w:rPr>
                <w:rFonts w:ascii="Courier New"/>
                <w:sz w:val="28"/>
              </w:rPr>
            </w:pPr>
            <w:r>
              <w:rPr>
                <w:rFonts w:ascii="Courier New"/>
                <w:sz w:val="28"/>
              </w:rPr>
              <w:t>1515</w:t>
            </w:r>
          </w:p>
        </w:tc>
        <w:tc>
          <w:tcPr>
            <w:tcW w:w="1278" w:type="dxa"/>
          </w:tcPr>
          <w:p>
            <w:pPr>
              <w:pStyle w:val="TableParagraph"/>
              <w:spacing w:before="6"/>
              <w:ind w:left="104"/>
              <w:rPr>
                <w:rFonts w:ascii="Courier New"/>
                <w:sz w:val="28"/>
              </w:rPr>
            </w:pPr>
            <w:r>
              <w:rPr>
                <w:rFonts w:ascii="Courier New"/>
                <w:w w:val="100"/>
                <w:sz w:val="28"/>
              </w:rPr>
              <w:t>X</w:t>
            </w:r>
          </w:p>
        </w:tc>
        <w:tc>
          <w:tcPr>
            <w:tcW w:w="1417" w:type="dxa"/>
          </w:tcPr>
          <w:p>
            <w:pPr>
              <w:pStyle w:val="TableParagraph"/>
              <w:spacing w:before="6"/>
              <w:ind w:left="103"/>
              <w:rPr>
                <w:rFonts w:ascii="Courier New"/>
                <w:sz w:val="28"/>
              </w:rPr>
            </w:pPr>
            <w:r>
              <w:rPr>
                <w:rFonts w:ascii="Courier New"/>
                <w:w w:val="100"/>
                <w:sz w:val="28"/>
              </w:rPr>
              <w:t>X</w:t>
            </w:r>
          </w:p>
        </w:tc>
        <w:tc>
          <w:tcPr>
            <w:tcW w:w="1703" w:type="dxa"/>
          </w:tcPr>
          <w:p>
            <w:pPr>
              <w:pStyle w:val="TableParagraph"/>
              <w:spacing w:before="6"/>
              <w:ind w:left="105"/>
              <w:rPr>
                <w:rFonts w:ascii="Courier New"/>
                <w:sz w:val="28"/>
              </w:rPr>
            </w:pPr>
            <w:r>
              <w:rPr>
                <w:rFonts w:ascii="Courier New"/>
                <w:w w:val="100"/>
                <w:sz w:val="28"/>
              </w:rPr>
              <w:t>X</w:t>
            </w:r>
          </w:p>
        </w:tc>
        <w:tc>
          <w:tcPr>
            <w:tcW w:w="1419" w:type="dxa"/>
          </w:tcPr>
          <w:p>
            <w:pPr>
              <w:pStyle w:val="TableParagraph"/>
              <w:spacing w:before="6"/>
              <w:ind w:left="101"/>
              <w:rPr>
                <w:rFonts w:ascii="Courier New"/>
                <w:sz w:val="28"/>
              </w:rPr>
            </w:pPr>
            <w:r>
              <w:rPr>
                <w:rFonts w:ascii="Courier New"/>
                <w:w w:val="100"/>
                <w:sz w:val="28"/>
              </w:rPr>
              <w:t>X</w:t>
            </w:r>
          </w:p>
        </w:tc>
        <w:tc>
          <w:tcPr>
            <w:tcW w:w="1700" w:type="dxa"/>
          </w:tcPr>
          <w:p>
            <w:pPr>
              <w:pStyle w:val="TableParagraph"/>
              <w:spacing w:before="6"/>
              <w:ind w:left="100"/>
              <w:rPr>
                <w:rFonts w:ascii="Courier New"/>
                <w:sz w:val="28"/>
              </w:rPr>
            </w:pPr>
            <w:r>
              <w:rPr>
                <w:rFonts w:ascii="Courier New"/>
                <w:w w:val="100"/>
                <w:sz w:val="28"/>
              </w:rPr>
              <w:t>X</w:t>
            </w:r>
          </w:p>
        </w:tc>
        <w:tc>
          <w:tcPr>
            <w:tcW w:w="2410" w:type="dxa"/>
          </w:tcPr>
          <w:p>
            <w:pPr>
              <w:pStyle w:val="TableParagraph"/>
              <w:spacing w:before="6"/>
              <w:ind w:left="103"/>
              <w:rPr>
                <w:rFonts w:ascii="Courier New"/>
                <w:sz w:val="28"/>
              </w:rPr>
            </w:pPr>
            <w:r>
              <w:rPr>
                <w:rFonts w:ascii="Courier New"/>
                <w:w w:val="100"/>
                <w:sz w:val="28"/>
              </w:rPr>
              <w:t>X</w:t>
            </w:r>
          </w:p>
        </w:tc>
        <w:tc>
          <w:tcPr>
            <w:tcW w:w="1844" w:type="dxa"/>
          </w:tcPr>
          <w:p>
            <w:pPr>
              <w:pStyle w:val="TableParagraph"/>
              <w:spacing w:before="6"/>
              <w:ind w:left="102"/>
              <w:rPr>
                <w:rFonts w:ascii="Courier New"/>
                <w:sz w:val="28"/>
              </w:rPr>
            </w:pPr>
            <w:r>
              <w:rPr>
                <w:rFonts w:ascii="Courier New"/>
                <w:w w:val="100"/>
                <w:sz w:val="28"/>
              </w:rPr>
              <w:t>X</w:t>
            </w:r>
          </w:p>
        </w:tc>
        <w:tc>
          <w:tcPr>
            <w:tcW w:w="1704" w:type="dxa"/>
          </w:tcPr>
          <w:p>
            <w:pPr>
              <w:pStyle w:val="TableParagraph"/>
              <w:spacing w:before="6"/>
              <w:ind w:left="102"/>
              <w:rPr>
                <w:rFonts w:ascii="Courier New"/>
                <w:sz w:val="28"/>
              </w:rPr>
            </w:pPr>
            <w:r>
              <w:rPr>
                <w:rFonts w:ascii="Courier New"/>
                <w:w w:val="100"/>
                <w:sz w:val="28"/>
              </w:rPr>
              <w:t>X</w:t>
            </w:r>
          </w:p>
        </w:tc>
      </w:tr>
      <w:tr>
        <w:trPr>
          <w:trHeight w:val="564" w:hRule="atLeast"/>
        </w:trPr>
        <w:tc>
          <w:tcPr>
            <w:tcW w:w="2660" w:type="dxa"/>
            <w:shd w:val="clear" w:color="auto" w:fill="00AFEF"/>
          </w:tcPr>
          <w:p>
            <w:pPr>
              <w:pStyle w:val="TableParagraph"/>
              <w:ind w:left="107"/>
              <w:rPr>
                <w:rFonts w:ascii="Courier New"/>
                <w:b/>
                <w:sz w:val="28"/>
              </w:rPr>
            </w:pPr>
            <w:r>
              <w:rPr>
                <w:rFonts w:ascii="Courier New"/>
                <w:b/>
                <w:sz w:val="28"/>
              </w:rPr>
              <w:t>Strophanthin</w:t>
            </w:r>
          </w:p>
        </w:tc>
        <w:tc>
          <w:tcPr>
            <w:tcW w:w="1136" w:type="dxa"/>
          </w:tcPr>
          <w:p>
            <w:pPr>
              <w:pStyle w:val="TableParagraph"/>
              <w:spacing w:before="7"/>
              <w:ind w:left="107"/>
              <w:rPr>
                <w:rFonts w:ascii="Courier New"/>
                <w:sz w:val="28"/>
              </w:rPr>
            </w:pPr>
            <w:r>
              <w:rPr>
                <w:rFonts w:ascii="Courier New"/>
                <w:sz w:val="28"/>
              </w:rPr>
              <w:t>1615</w:t>
            </w:r>
          </w:p>
        </w:tc>
        <w:tc>
          <w:tcPr>
            <w:tcW w:w="1278" w:type="dxa"/>
          </w:tcPr>
          <w:p>
            <w:pPr>
              <w:pStyle w:val="TableParagraph"/>
              <w:rPr>
                <w:rFonts w:ascii="Times New Roman"/>
                <w:sz w:val="28"/>
              </w:rPr>
            </w:pPr>
          </w:p>
        </w:tc>
        <w:tc>
          <w:tcPr>
            <w:tcW w:w="1417" w:type="dxa"/>
          </w:tcPr>
          <w:p>
            <w:pPr>
              <w:pStyle w:val="TableParagraph"/>
              <w:spacing w:before="7"/>
              <w:ind w:left="103"/>
              <w:rPr>
                <w:rFonts w:ascii="Courier New"/>
                <w:sz w:val="28"/>
              </w:rPr>
            </w:pPr>
            <w:r>
              <w:rPr>
                <w:rFonts w:ascii="Courier New"/>
                <w:w w:val="100"/>
                <w:sz w:val="28"/>
              </w:rPr>
              <w:t>X</w:t>
            </w:r>
          </w:p>
        </w:tc>
        <w:tc>
          <w:tcPr>
            <w:tcW w:w="1703" w:type="dxa"/>
          </w:tcPr>
          <w:p>
            <w:pPr>
              <w:pStyle w:val="TableParagraph"/>
              <w:spacing w:before="7"/>
              <w:ind w:left="105"/>
              <w:rPr>
                <w:rFonts w:ascii="Courier New"/>
                <w:sz w:val="28"/>
              </w:rPr>
            </w:pPr>
            <w:r>
              <w:rPr>
                <w:rFonts w:ascii="Courier New"/>
                <w:w w:val="100"/>
                <w:sz w:val="28"/>
              </w:rPr>
              <w:t>X</w:t>
            </w:r>
          </w:p>
        </w:tc>
        <w:tc>
          <w:tcPr>
            <w:tcW w:w="1419" w:type="dxa"/>
          </w:tcPr>
          <w:p>
            <w:pPr>
              <w:pStyle w:val="TableParagraph"/>
              <w:spacing w:before="7"/>
              <w:ind w:left="101"/>
              <w:rPr>
                <w:rFonts w:ascii="Courier New"/>
                <w:sz w:val="28"/>
              </w:rPr>
            </w:pPr>
            <w:r>
              <w:rPr>
                <w:rFonts w:ascii="Courier New"/>
                <w:w w:val="100"/>
                <w:sz w:val="28"/>
              </w:rPr>
              <w:t>X</w:t>
            </w:r>
          </w:p>
        </w:tc>
        <w:tc>
          <w:tcPr>
            <w:tcW w:w="1700" w:type="dxa"/>
          </w:tcPr>
          <w:p>
            <w:pPr>
              <w:pStyle w:val="TableParagraph"/>
              <w:rPr>
                <w:rFonts w:ascii="Times New Roman"/>
                <w:sz w:val="28"/>
              </w:rPr>
            </w:pPr>
          </w:p>
        </w:tc>
        <w:tc>
          <w:tcPr>
            <w:tcW w:w="2410" w:type="dxa"/>
          </w:tcPr>
          <w:p>
            <w:pPr>
              <w:pStyle w:val="TableParagraph"/>
              <w:rPr>
                <w:rFonts w:ascii="Times New Roman"/>
                <w:sz w:val="28"/>
              </w:rPr>
            </w:pPr>
          </w:p>
        </w:tc>
        <w:tc>
          <w:tcPr>
            <w:tcW w:w="1844" w:type="dxa"/>
          </w:tcPr>
          <w:p>
            <w:pPr>
              <w:pStyle w:val="TableParagraph"/>
              <w:spacing w:before="7"/>
              <w:ind w:left="102"/>
              <w:rPr>
                <w:rFonts w:ascii="Courier New"/>
                <w:sz w:val="28"/>
              </w:rPr>
            </w:pPr>
            <w:r>
              <w:rPr>
                <w:rFonts w:ascii="Courier New"/>
                <w:w w:val="100"/>
                <w:sz w:val="28"/>
              </w:rPr>
              <w:t>X</w:t>
            </w:r>
          </w:p>
        </w:tc>
        <w:tc>
          <w:tcPr>
            <w:tcW w:w="1704" w:type="dxa"/>
          </w:tcPr>
          <w:p>
            <w:pPr>
              <w:pStyle w:val="TableParagraph"/>
              <w:spacing w:before="7"/>
              <w:ind w:left="102"/>
              <w:rPr>
                <w:rFonts w:ascii="Courier New"/>
                <w:sz w:val="28"/>
              </w:rPr>
            </w:pPr>
            <w:r>
              <w:rPr>
                <w:rFonts w:ascii="Courier New"/>
                <w:w w:val="100"/>
                <w:sz w:val="28"/>
              </w:rPr>
              <w:t>X</w:t>
            </w:r>
          </w:p>
        </w:tc>
      </w:tr>
      <w:tr>
        <w:trPr>
          <w:trHeight w:val="566" w:hRule="atLeast"/>
        </w:trPr>
        <w:tc>
          <w:tcPr>
            <w:tcW w:w="2660" w:type="dxa"/>
            <w:shd w:val="clear" w:color="auto" w:fill="00AFEF"/>
          </w:tcPr>
          <w:p>
            <w:pPr>
              <w:pStyle w:val="TableParagraph"/>
              <w:spacing w:line="317" w:lineRule="exact"/>
              <w:ind w:left="107"/>
              <w:rPr>
                <w:rFonts w:ascii="Courier New"/>
                <w:b/>
                <w:sz w:val="28"/>
              </w:rPr>
            </w:pPr>
            <w:r>
              <w:rPr>
                <w:rFonts w:ascii="Courier New"/>
                <w:b/>
                <w:sz w:val="28"/>
              </w:rPr>
              <w:t>Green Tea</w:t>
            </w:r>
          </w:p>
        </w:tc>
        <w:tc>
          <w:tcPr>
            <w:tcW w:w="1136" w:type="dxa"/>
          </w:tcPr>
          <w:p>
            <w:pPr>
              <w:pStyle w:val="TableParagraph"/>
              <w:spacing w:before="6"/>
              <w:ind w:left="107"/>
              <w:rPr>
                <w:rFonts w:ascii="Courier New"/>
                <w:sz w:val="28"/>
              </w:rPr>
            </w:pPr>
            <w:r>
              <w:rPr>
                <w:rFonts w:ascii="Courier New"/>
                <w:sz w:val="28"/>
              </w:rPr>
              <w:t>587</w:t>
            </w:r>
          </w:p>
        </w:tc>
        <w:tc>
          <w:tcPr>
            <w:tcW w:w="1278" w:type="dxa"/>
          </w:tcPr>
          <w:p>
            <w:pPr>
              <w:pStyle w:val="TableParagraph"/>
              <w:spacing w:before="6"/>
              <w:ind w:left="104"/>
              <w:rPr>
                <w:rFonts w:ascii="Courier New"/>
                <w:sz w:val="28"/>
              </w:rPr>
            </w:pPr>
            <w:r>
              <w:rPr>
                <w:rFonts w:ascii="Courier New"/>
                <w:w w:val="100"/>
                <w:sz w:val="28"/>
              </w:rPr>
              <w:t>X</w:t>
            </w:r>
          </w:p>
        </w:tc>
        <w:tc>
          <w:tcPr>
            <w:tcW w:w="1417" w:type="dxa"/>
          </w:tcPr>
          <w:p>
            <w:pPr>
              <w:pStyle w:val="TableParagraph"/>
              <w:rPr>
                <w:rFonts w:ascii="Times New Roman"/>
                <w:sz w:val="28"/>
              </w:rPr>
            </w:pPr>
          </w:p>
        </w:tc>
        <w:tc>
          <w:tcPr>
            <w:tcW w:w="1703" w:type="dxa"/>
          </w:tcPr>
          <w:p>
            <w:pPr>
              <w:pStyle w:val="TableParagraph"/>
              <w:spacing w:before="6"/>
              <w:ind w:left="105"/>
              <w:rPr>
                <w:rFonts w:ascii="Courier New"/>
                <w:sz w:val="28"/>
              </w:rPr>
            </w:pPr>
            <w:r>
              <w:rPr>
                <w:rFonts w:ascii="Courier New"/>
                <w:w w:val="100"/>
                <w:sz w:val="28"/>
              </w:rPr>
              <w:t>X</w:t>
            </w:r>
          </w:p>
        </w:tc>
        <w:tc>
          <w:tcPr>
            <w:tcW w:w="1419" w:type="dxa"/>
          </w:tcPr>
          <w:p>
            <w:pPr>
              <w:pStyle w:val="TableParagraph"/>
              <w:rPr>
                <w:rFonts w:ascii="Times New Roman"/>
                <w:sz w:val="28"/>
              </w:rPr>
            </w:pPr>
          </w:p>
        </w:tc>
        <w:tc>
          <w:tcPr>
            <w:tcW w:w="1700" w:type="dxa"/>
          </w:tcPr>
          <w:p>
            <w:pPr>
              <w:pStyle w:val="TableParagraph"/>
              <w:rPr>
                <w:rFonts w:ascii="Times New Roman"/>
                <w:sz w:val="28"/>
              </w:rPr>
            </w:pPr>
          </w:p>
        </w:tc>
        <w:tc>
          <w:tcPr>
            <w:tcW w:w="2410" w:type="dxa"/>
          </w:tcPr>
          <w:p>
            <w:pPr>
              <w:pStyle w:val="TableParagraph"/>
              <w:spacing w:before="6"/>
              <w:ind w:left="103"/>
              <w:rPr>
                <w:rFonts w:ascii="Courier New"/>
                <w:sz w:val="28"/>
              </w:rPr>
            </w:pPr>
            <w:r>
              <w:rPr>
                <w:rFonts w:ascii="Courier New"/>
                <w:w w:val="100"/>
                <w:sz w:val="28"/>
              </w:rPr>
              <w:t>X</w:t>
            </w:r>
          </w:p>
        </w:tc>
        <w:tc>
          <w:tcPr>
            <w:tcW w:w="1844" w:type="dxa"/>
          </w:tcPr>
          <w:p>
            <w:pPr>
              <w:pStyle w:val="TableParagraph"/>
              <w:spacing w:before="6"/>
              <w:ind w:left="102"/>
              <w:rPr>
                <w:rFonts w:ascii="Courier New"/>
                <w:sz w:val="28"/>
              </w:rPr>
            </w:pPr>
            <w:r>
              <w:rPr>
                <w:rFonts w:ascii="Courier New"/>
                <w:w w:val="100"/>
                <w:sz w:val="28"/>
              </w:rPr>
              <w:t>X</w:t>
            </w:r>
          </w:p>
        </w:tc>
        <w:tc>
          <w:tcPr>
            <w:tcW w:w="1704" w:type="dxa"/>
          </w:tcPr>
          <w:p>
            <w:pPr>
              <w:pStyle w:val="TableParagraph"/>
              <w:spacing w:before="6"/>
              <w:ind w:left="102"/>
              <w:rPr>
                <w:rFonts w:ascii="Courier New"/>
                <w:sz w:val="28"/>
              </w:rPr>
            </w:pPr>
            <w:r>
              <w:rPr>
                <w:rFonts w:ascii="Courier New"/>
                <w:w w:val="100"/>
                <w:sz w:val="28"/>
              </w:rPr>
              <w:t>X</w:t>
            </w:r>
          </w:p>
        </w:tc>
      </w:tr>
      <w:tr>
        <w:trPr>
          <w:trHeight w:val="1127" w:hRule="atLeast"/>
        </w:trPr>
        <w:tc>
          <w:tcPr>
            <w:tcW w:w="2660" w:type="dxa"/>
            <w:shd w:val="clear" w:color="auto" w:fill="00AFEF"/>
          </w:tcPr>
          <w:p>
            <w:pPr>
              <w:pStyle w:val="TableParagraph"/>
              <w:spacing w:line="317" w:lineRule="exact"/>
              <w:ind w:left="107"/>
              <w:rPr>
                <w:rFonts w:ascii="Courier New"/>
                <w:b/>
                <w:sz w:val="28"/>
              </w:rPr>
            </w:pPr>
            <w:r>
              <w:rPr>
                <w:rFonts w:ascii="Courier New"/>
                <w:b/>
                <w:sz w:val="28"/>
              </w:rPr>
              <w:t>Alpha-</w:t>
            </w:r>
          </w:p>
          <w:p>
            <w:pPr>
              <w:pStyle w:val="TableParagraph"/>
              <w:spacing w:before="247"/>
              <w:ind w:left="107"/>
              <w:rPr>
                <w:rFonts w:ascii="Courier New"/>
                <w:b/>
                <w:sz w:val="28"/>
              </w:rPr>
            </w:pPr>
            <w:r>
              <w:rPr>
                <w:rFonts w:ascii="Courier New"/>
                <w:b/>
                <w:sz w:val="28"/>
              </w:rPr>
              <w:t>Lipoic acid*</w:t>
            </w:r>
          </w:p>
        </w:tc>
        <w:tc>
          <w:tcPr>
            <w:tcW w:w="1136" w:type="dxa"/>
          </w:tcPr>
          <w:p>
            <w:pPr>
              <w:pStyle w:val="TableParagraph"/>
              <w:spacing w:before="6"/>
              <w:ind w:left="107"/>
              <w:rPr>
                <w:rFonts w:ascii="Courier New"/>
                <w:sz w:val="28"/>
              </w:rPr>
            </w:pPr>
            <w:r>
              <w:rPr>
                <w:rFonts w:ascii="Courier New"/>
                <w:sz w:val="28"/>
              </w:rPr>
              <w:t>86</w:t>
            </w:r>
          </w:p>
        </w:tc>
        <w:tc>
          <w:tcPr>
            <w:tcW w:w="1278" w:type="dxa"/>
          </w:tcPr>
          <w:p>
            <w:pPr>
              <w:pStyle w:val="TableParagraph"/>
              <w:spacing w:before="6"/>
              <w:ind w:left="104"/>
              <w:rPr>
                <w:rFonts w:ascii="Courier New"/>
                <w:sz w:val="28"/>
              </w:rPr>
            </w:pPr>
            <w:r>
              <w:rPr>
                <w:rFonts w:ascii="Courier New"/>
                <w:w w:val="100"/>
                <w:sz w:val="28"/>
              </w:rPr>
              <w:t>X</w:t>
            </w:r>
          </w:p>
        </w:tc>
        <w:tc>
          <w:tcPr>
            <w:tcW w:w="1417" w:type="dxa"/>
          </w:tcPr>
          <w:p>
            <w:pPr>
              <w:pStyle w:val="TableParagraph"/>
              <w:rPr>
                <w:rFonts w:ascii="Times New Roman"/>
                <w:sz w:val="28"/>
              </w:rPr>
            </w:pPr>
          </w:p>
        </w:tc>
        <w:tc>
          <w:tcPr>
            <w:tcW w:w="1703" w:type="dxa"/>
          </w:tcPr>
          <w:p>
            <w:pPr>
              <w:pStyle w:val="TableParagraph"/>
              <w:rPr>
                <w:rFonts w:ascii="Times New Roman"/>
                <w:sz w:val="28"/>
              </w:rPr>
            </w:pPr>
          </w:p>
        </w:tc>
        <w:tc>
          <w:tcPr>
            <w:tcW w:w="1419" w:type="dxa"/>
          </w:tcPr>
          <w:p>
            <w:pPr>
              <w:pStyle w:val="TableParagraph"/>
              <w:rPr>
                <w:rFonts w:ascii="Times New Roman"/>
                <w:sz w:val="28"/>
              </w:rPr>
            </w:pPr>
          </w:p>
        </w:tc>
        <w:tc>
          <w:tcPr>
            <w:tcW w:w="1700" w:type="dxa"/>
          </w:tcPr>
          <w:p>
            <w:pPr>
              <w:pStyle w:val="TableParagraph"/>
              <w:rPr>
                <w:rFonts w:ascii="Times New Roman"/>
                <w:sz w:val="28"/>
              </w:rPr>
            </w:pPr>
          </w:p>
        </w:tc>
        <w:tc>
          <w:tcPr>
            <w:tcW w:w="2410" w:type="dxa"/>
          </w:tcPr>
          <w:p>
            <w:pPr>
              <w:pStyle w:val="TableParagraph"/>
              <w:spacing w:before="6"/>
              <w:ind w:left="103"/>
              <w:rPr>
                <w:rFonts w:ascii="Courier New"/>
                <w:sz w:val="28"/>
              </w:rPr>
            </w:pPr>
            <w:r>
              <w:rPr>
                <w:rFonts w:ascii="Courier New"/>
                <w:w w:val="100"/>
                <w:sz w:val="28"/>
              </w:rPr>
              <w:t>X</w:t>
            </w:r>
          </w:p>
        </w:tc>
        <w:tc>
          <w:tcPr>
            <w:tcW w:w="1844" w:type="dxa"/>
          </w:tcPr>
          <w:p>
            <w:pPr>
              <w:pStyle w:val="TableParagraph"/>
              <w:spacing w:before="6"/>
              <w:ind w:left="102"/>
              <w:rPr>
                <w:rFonts w:ascii="Courier New"/>
                <w:sz w:val="28"/>
              </w:rPr>
            </w:pPr>
            <w:r>
              <w:rPr>
                <w:rFonts w:ascii="Courier New"/>
                <w:w w:val="100"/>
                <w:sz w:val="28"/>
              </w:rPr>
              <w:t>X</w:t>
            </w:r>
          </w:p>
        </w:tc>
        <w:tc>
          <w:tcPr>
            <w:tcW w:w="1704" w:type="dxa"/>
          </w:tcPr>
          <w:p>
            <w:pPr>
              <w:pStyle w:val="TableParagraph"/>
              <w:spacing w:before="6"/>
              <w:ind w:left="102"/>
              <w:rPr>
                <w:rFonts w:ascii="Courier New"/>
                <w:sz w:val="28"/>
              </w:rPr>
            </w:pPr>
            <w:r>
              <w:rPr>
                <w:rFonts w:ascii="Courier New"/>
                <w:w w:val="100"/>
                <w:sz w:val="28"/>
              </w:rPr>
              <w:t>X</w:t>
            </w:r>
          </w:p>
        </w:tc>
      </w:tr>
      <w:tr>
        <w:trPr>
          <w:trHeight w:val="566" w:hRule="atLeast"/>
        </w:trPr>
        <w:tc>
          <w:tcPr>
            <w:tcW w:w="2660" w:type="dxa"/>
            <w:shd w:val="clear" w:color="auto" w:fill="00AFEF"/>
          </w:tcPr>
          <w:p>
            <w:pPr>
              <w:pStyle w:val="TableParagraph"/>
              <w:spacing w:before="2"/>
              <w:ind w:left="107"/>
              <w:rPr>
                <w:rFonts w:ascii="Courier New"/>
                <w:b/>
                <w:sz w:val="28"/>
              </w:rPr>
            </w:pPr>
            <w:r>
              <w:rPr>
                <w:rFonts w:ascii="Courier New"/>
                <w:b/>
                <w:sz w:val="28"/>
              </w:rPr>
              <w:t>DHEA</w:t>
            </w:r>
          </w:p>
        </w:tc>
        <w:tc>
          <w:tcPr>
            <w:tcW w:w="1136" w:type="dxa"/>
          </w:tcPr>
          <w:p>
            <w:pPr>
              <w:pStyle w:val="TableParagraph"/>
              <w:spacing w:before="9"/>
              <w:ind w:left="107"/>
              <w:rPr>
                <w:rFonts w:ascii="Courier New"/>
                <w:sz w:val="28"/>
              </w:rPr>
            </w:pPr>
            <w:r>
              <w:rPr>
                <w:rFonts w:ascii="Courier New"/>
                <w:sz w:val="28"/>
              </w:rPr>
              <w:t>365</w:t>
            </w:r>
          </w:p>
        </w:tc>
        <w:tc>
          <w:tcPr>
            <w:tcW w:w="1278" w:type="dxa"/>
          </w:tcPr>
          <w:p>
            <w:pPr>
              <w:pStyle w:val="TableParagraph"/>
              <w:spacing w:before="9"/>
              <w:ind w:left="104"/>
              <w:rPr>
                <w:rFonts w:ascii="Courier New"/>
                <w:sz w:val="28"/>
              </w:rPr>
            </w:pPr>
            <w:r>
              <w:rPr>
                <w:rFonts w:ascii="Courier New"/>
                <w:w w:val="100"/>
                <w:sz w:val="28"/>
              </w:rPr>
              <w:t>X</w:t>
            </w:r>
          </w:p>
        </w:tc>
        <w:tc>
          <w:tcPr>
            <w:tcW w:w="1417" w:type="dxa"/>
          </w:tcPr>
          <w:p>
            <w:pPr>
              <w:pStyle w:val="TableParagraph"/>
              <w:rPr>
                <w:rFonts w:ascii="Times New Roman"/>
                <w:sz w:val="28"/>
              </w:rPr>
            </w:pPr>
          </w:p>
        </w:tc>
        <w:tc>
          <w:tcPr>
            <w:tcW w:w="1703" w:type="dxa"/>
          </w:tcPr>
          <w:p>
            <w:pPr>
              <w:pStyle w:val="TableParagraph"/>
              <w:spacing w:before="9"/>
              <w:ind w:left="105"/>
              <w:rPr>
                <w:rFonts w:ascii="Courier New"/>
                <w:sz w:val="28"/>
              </w:rPr>
            </w:pPr>
            <w:r>
              <w:rPr>
                <w:rFonts w:ascii="Courier New"/>
                <w:w w:val="100"/>
                <w:sz w:val="28"/>
              </w:rPr>
              <w:t>X</w:t>
            </w:r>
          </w:p>
        </w:tc>
        <w:tc>
          <w:tcPr>
            <w:tcW w:w="1419" w:type="dxa"/>
          </w:tcPr>
          <w:p>
            <w:pPr>
              <w:pStyle w:val="TableParagraph"/>
              <w:rPr>
                <w:rFonts w:ascii="Times New Roman"/>
                <w:sz w:val="28"/>
              </w:rPr>
            </w:pPr>
          </w:p>
        </w:tc>
        <w:tc>
          <w:tcPr>
            <w:tcW w:w="1700" w:type="dxa"/>
          </w:tcPr>
          <w:p>
            <w:pPr>
              <w:pStyle w:val="TableParagraph"/>
              <w:rPr>
                <w:rFonts w:ascii="Times New Roman"/>
                <w:sz w:val="28"/>
              </w:rPr>
            </w:pPr>
          </w:p>
        </w:tc>
        <w:tc>
          <w:tcPr>
            <w:tcW w:w="2410" w:type="dxa"/>
          </w:tcPr>
          <w:p>
            <w:pPr>
              <w:pStyle w:val="TableParagraph"/>
              <w:rPr>
                <w:rFonts w:ascii="Times New Roman"/>
                <w:sz w:val="28"/>
              </w:rPr>
            </w:pPr>
          </w:p>
        </w:tc>
        <w:tc>
          <w:tcPr>
            <w:tcW w:w="1844" w:type="dxa"/>
          </w:tcPr>
          <w:p>
            <w:pPr>
              <w:pStyle w:val="TableParagraph"/>
              <w:spacing w:before="9"/>
              <w:ind w:left="102"/>
              <w:rPr>
                <w:rFonts w:ascii="Courier New"/>
                <w:sz w:val="28"/>
              </w:rPr>
            </w:pPr>
            <w:r>
              <w:rPr>
                <w:rFonts w:ascii="Courier New"/>
                <w:w w:val="100"/>
                <w:sz w:val="28"/>
              </w:rPr>
              <w:t>X</w:t>
            </w:r>
          </w:p>
        </w:tc>
        <w:tc>
          <w:tcPr>
            <w:tcW w:w="1704" w:type="dxa"/>
          </w:tcPr>
          <w:p>
            <w:pPr>
              <w:pStyle w:val="TableParagraph"/>
              <w:spacing w:before="9"/>
              <w:ind w:left="102"/>
              <w:rPr>
                <w:rFonts w:ascii="Courier New"/>
                <w:sz w:val="28"/>
              </w:rPr>
            </w:pPr>
            <w:r>
              <w:rPr>
                <w:rFonts w:ascii="Courier New"/>
                <w:w w:val="100"/>
                <w:sz w:val="28"/>
              </w:rPr>
              <w:t>X</w:t>
            </w:r>
          </w:p>
        </w:tc>
      </w:tr>
      <w:tr>
        <w:trPr>
          <w:trHeight w:val="563" w:hRule="atLeast"/>
        </w:trPr>
        <w:tc>
          <w:tcPr>
            <w:tcW w:w="2660" w:type="dxa"/>
            <w:shd w:val="clear" w:color="auto" w:fill="00AFEF"/>
          </w:tcPr>
          <w:p>
            <w:pPr>
              <w:pStyle w:val="TableParagraph"/>
              <w:spacing w:line="317" w:lineRule="exact"/>
              <w:ind w:left="107"/>
              <w:rPr>
                <w:rFonts w:ascii="Courier New"/>
                <w:b/>
                <w:sz w:val="28"/>
              </w:rPr>
            </w:pPr>
            <w:r>
              <w:rPr>
                <w:rFonts w:ascii="Courier New"/>
                <w:b/>
                <w:sz w:val="28"/>
              </w:rPr>
              <w:t>Selenium</w:t>
            </w:r>
          </w:p>
        </w:tc>
        <w:tc>
          <w:tcPr>
            <w:tcW w:w="1136" w:type="dxa"/>
          </w:tcPr>
          <w:p>
            <w:pPr>
              <w:pStyle w:val="TableParagraph"/>
              <w:spacing w:before="6"/>
              <w:ind w:left="107"/>
              <w:rPr>
                <w:rFonts w:ascii="Courier New"/>
                <w:sz w:val="28"/>
              </w:rPr>
            </w:pPr>
            <w:r>
              <w:rPr>
                <w:rFonts w:ascii="Courier New"/>
                <w:sz w:val="28"/>
              </w:rPr>
              <w:t>1405</w:t>
            </w:r>
          </w:p>
        </w:tc>
        <w:tc>
          <w:tcPr>
            <w:tcW w:w="1278" w:type="dxa"/>
          </w:tcPr>
          <w:p>
            <w:pPr>
              <w:pStyle w:val="TableParagraph"/>
              <w:spacing w:before="6"/>
              <w:ind w:left="104"/>
              <w:rPr>
                <w:rFonts w:ascii="Courier New"/>
                <w:sz w:val="28"/>
              </w:rPr>
            </w:pPr>
            <w:r>
              <w:rPr>
                <w:rFonts w:ascii="Courier New"/>
                <w:w w:val="100"/>
                <w:sz w:val="28"/>
              </w:rPr>
              <w:t>X</w:t>
            </w:r>
          </w:p>
        </w:tc>
        <w:tc>
          <w:tcPr>
            <w:tcW w:w="1417" w:type="dxa"/>
          </w:tcPr>
          <w:p>
            <w:pPr>
              <w:pStyle w:val="TableParagraph"/>
              <w:rPr>
                <w:rFonts w:ascii="Times New Roman"/>
                <w:sz w:val="28"/>
              </w:rPr>
            </w:pPr>
          </w:p>
        </w:tc>
        <w:tc>
          <w:tcPr>
            <w:tcW w:w="1703" w:type="dxa"/>
          </w:tcPr>
          <w:p>
            <w:pPr>
              <w:pStyle w:val="TableParagraph"/>
              <w:rPr>
                <w:rFonts w:ascii="Times New Roman"/>
                <w:sz w:val="28"/>
              </w:rPr>
            </w:pPr>
          </w:p>
        </w:tc>
        <w:tc>
          <w:tcPr>
            <w:tcW w:w="1419" w:type="dxa"/>
          </w:tcPr>
          <w:p>
            <w:pPr>
              <w:pStyle w:val="TableParagraph"/>
              <w:rPr>
                <w:rFonts w:ascii="Times New Roman"/>
                <w:sz w:val="28"/>
              </w:rPr>
            </w:pPr>
          </w:p>
        </w:tc>
        <w:tc>
          <w:tcPr>
            <w:tcW w:w="1700" w:type="dxa"/>
          </w:tcPr>
          <w:p>
            <w:pPr>
              <w:pStyle w:val="TableParagraph"/>
              <w:rPr>
                <w:rFonts w:ascii="Times New Roman"/>
                <w:sz w:val="28"/>
              </w:rPr>
            </w:pPr>
          </w:p>
        </w:tc>
        <w:tc>
          <w:tcPr>
            <w:tcW w:w="2410" w:type="dxa"/>
          </w:tcPr>
          <w:p>
            <w:pPr>
              <w:pStyle w:val="TableParagraph"/>
              <w:rPr>
                <w:rFonts w:ascii="Times New Roman"/>
                <w:sz w:val="28"/>
              </w:rPr>
            </w:pPr>
          </w:p>
        </w:tc>
        <w:tc>
          <w:tcPr>
            <w:tcW w:w="1844" w:type="dxa"/>
          </w:tcPr>
          <w:p>
            <w:pPr>
              <w:pStyle w:val="TableParagraph"/>
              <w:spacing w:before="6"/>
              <w:ind w:left="102"/>
              <w:rPr>
                <w:rFonts w:ascii="Courier New"/>
                <w:sz w:val="28"/>
              </w:rPr>
            </w:pPr>
            <w:r>
              <w:rPr>
                <w:rFonts w:ascii="Courier New"/>
                <w:w w:val="100"/>
                <w:sz w:val="28"/>
              </w:rPr>
              <w:t>X</w:t>
            </w:r>
          </w:p>
        </w:tc>
        <w:tc>
          <w:tcPr>
            <w:tcW w:w="1704" w:type="dxa"/>
          </w:tcPr>
          <w:p>
            <w:pPr>
              <w:pStyle w:val="TableParagraph"/>
              <w:rPr>
                <w:rFonts w:ascii="Times New Roman"/>
                <w:sz w:val="28"/>
              </w:rPr>
            </w:pPr>
          </w:p>
        </w:tc>
      </w:tr>
      <w:tr>
        <w:trPr>
          <w:trHeight w:val="565" w:hRule="atLeast"/>
        </w:trPr>
        <w:tc>
          <w:tcPr>
            <w:tcW w:w="2660" w:type="dxa"/>
            <w:shd w:val="clear" w:color="auto" w:fill="00AFEF"/>
          </w:tcPr>
          <w:p>
            <w:pPr>
              <w:pStyle w:val="TableParagraph"/>
              <w:spacing w:before="2"/>
              <w:ind w:left="107"/>
              <w:rPr>
                <w:rFonts w:ascii="Courier New"/>
                <w:b/>
                <w:sz w:val="28"/>
              </w:rPr>
            </w:pPr>
            <w:r>
              <w:rPr>
                <w:rFonts w:ascii="Courier New"/>
                <w:b/>
                <w:sz w:val="28"/>
              </w:rPr>
              <w:t>Bromelain</w:t>
            </w:r>
          </w:p>
        </w:tc>
        <w:tc>
          <w:tcPr>
            <w:tcW w:w="1136" w:type="dxa"/>
          </w:tcPr>
          <w:p>
            <w:pPr>
              <w:pStyle w:val="TableParagraph"/>
              <w:spacing w:before="9"/>
              <w:ind w:left="107"/>
              <w:rPr>
                <w:rFonts w:ascii="Courier New"/>
                <w:sz w:val="28"/>
              </w:rPr>
            </w:pPr>
            <w:r>
              <w:rPr>
                <w:rFonts w:ascii="Courier New"/>
                <w:sz w:val="28"/>
              </w:rPr>
              <w:t>113</w:t>
            </w:r>
          </w:p>
        </w:tc>
        <w:tc>
          <w:tcPr>
            <w:tcW w:w="1278" w:type="dxa"/>
          </w:tcPr>
          <w:p>
            <w:pPr>
              <w:pStyle w:val="TableParagraph"/>
              <w:spacing w:before="9"/>
              <w:ind w:left="104"/>
              <w:rPr>
                <w:rFonts w:ascii="Courier New"/>
                <w:sz w:val="28"/>
              </w:rPr>
            </w:pPr>
            <w:r>
              <w:rPr>
                <w:rFonts w:ascii="Courier New"/>
                <w:w w:val="100"/>
                <w:sz w:val="28"/>
              </w:rPr>
              <w:t>X</w:t>
            </w:r>
          </w:p>
        </w:tc>
        <w:tc>
          <w:tcPr>
            <w:tcW w:w="1417" w:type="dxa"/>
          </w:tcPr>
          <w:p>
            <w:pPr>
              <w:pStyle w:val="TableParagraph"/>
              <w:spacing w:before="9"/>
              <w:ind w:left="103"/>
              <w:rPr>
                <w:rFonts w:ascii="Courier New"/>
                <w:sz w:val="28"/>
              </w:rPr>
            </w:pPr>
            <w:r>
              <w:rPr>
                <w:rFonts w:ascii="Courier New"/>
                <w:w w:val="100"/>
                <w:sz w:val="28"/>
              </w:rPr>
              <w:t>X</w:t>
            </w:r>
          </w:p>
        </w:tc>
        <w:tc>
          <w:tcPr>
            <w:tcW w:w="1703" w:type="dxa"/>
          </w:tcPr>
          <w:p>
            <w:pPr>
              <w:pStyle w:val="TableParagraph"/>
              <w:spacing w:before="9"/>
              <w:ind w:left="105"/>
              <w:rPr>
                <w:rFonts w:ascii="Courier New"/>
                <w:sz w:val="28"/>
              </w:rPr>
            </w:pPr>
            <w:r>
              <w:rPr>
                <w:rFonts w:ascii="Courier New"/>
                <w:w w:val="100"/>
                <w:sz w:val="28"/>
              </w:rPr>
              <w:t>X</w:t>
            </w:r>
          </w:p>
        </w:tc>
        <w:tc>
          <w:tcPr>
            <w:tcW w:w="1419" w:type="dxa"/>
          </w:tcPr>
          <w:p>
            <w:pPr>
              <w:pStyle w:val="TableParagraph"/>
              <w:rPr>
                <w:rFonts w:ascii="Times New Roman"/>
                <w:sz w:val="28"/>
              </w:rPr>
            </w:pPr>
          </w:p>
        </w:tc>
        <w:tc>
          <w:tcPr>
            <w:tcW w:w="1700" w:type="dxa"/>
          </w:tcPr>
          <w:p>
            <w:pPr>
              <w:pStyle w:val="TableParagraph"/>
              <w:rPr>
                <w:rFonts w:ascii="Times New Roman"/>
                <w:sz w:val="28"/>
              </w:rPr>
            </w:pPr>
          </w:p>
        </w:tc>
        <w:tc>
          <w:tcPr>
            <w:tcW w:w="2410" w:type="dxa"/>
          </w:tcPr>
          <w:p>
            <w:pPr>
              <w:pStyle w:val="TableParagraph"/>
              <w:spacing w:before="9"/>
              <w:ind w:left="103"/>
              <w:rPr>
                <w:rFonts w:ascii="Courier New"/>
                <w:sz w:val="28"/>
              </w:rPr>
            </w:pPr>
            <w:r>
              <w:rPr>
                <w:rFonts w:ascii="Courier New"/>
                <w:w w:val="100"/>
                <w:sz w:val="28"/>
              </w:rPr>
              <w:t>X</w:t>
            </w:r>
          </w:p>
        </w:tc>
        <w:tc>
          <w:tcPr>
            <w:tcW w:w="1844" w:type="dxa"/>
          </w:tcPr>
          <w:p>
            <w:pPr>
              <w:pStyle w:val="TableParagraph"/>
              <w:spacing w:before="9"/>
              <w:ind w:left="102"/>
              <w:rPr>
                <w:rFonts w:ascii="Courier New"/>
                <w:sz w:val="28"/>
              </w:rPr>
            </w:pPr>
            <w:r>
              <w:rPr>
                <w:rFonts w:ascii="Courier New"/>
                <w:w w:val="100"/>
                <w:sz w:val="28"/>
              </w:rPr>
              <w:t>X</w:t>
            </w:r>
          </w:p>
        </w:tc>
        <w:tc>
          <w:tcPr>
            <w:tcW w:w="1704" w:type="dxa"/>
          </w:tcPr>
          <w:p>
            <w:pPr>
              <w:pStyle w:val="TableParagraph"/>
              <w:rPr>
                <w:rFonts w:ascii="Times New Roman"/>
                <w:sz w:val="28"/>
              </w:rPr>
            </w:pPr>
          </w:p>
        </w:tc>
      </w:tr>
      <w:tr>
        <w:trPr>
          <w:trHeight w:val="563" w:hRule="atLeast"/>
        </w:trPr>
        <w:tc>
          <w:tcPr>
            <w:tcW w:w="2660" w:type="dxa"/>
            <w:shd w:val="clear" w:color="auto" w:fill="00AFEF"/>
          </w:tcPr>
          <w:p>
            <w:pPr>
              <w:pStyle w:val="TableParagraph"/>
              <w:spacing w:line="317" w:lineRule="exact"/>
              <w:ind w:left="107"/>
              <w:rPr>
                <w:rFonts w:ascii="Courier New"/>
                <w:b/>
                <w:sz w:val="28"/>
              </w:rPr>
            </w:pPr>
            <w:r>
              <w:rPr>
                <w:rFonts w:ascii="Courier New"/>
                <w:b/>
                <w:sz w:val="28"/>
              </w:rPr>
              <w:t>Silica</w:t>
            </w:r>
          </w:p>
        </w:tc>
        <w:tc>
          <w:tcPr>
            <w:tcW w:w="1136" w:type="dxa"/>
          </w:tcPr>
          <w:p>
            <w:pPr>
              <w:pStyle w:val="TableParagraph"/>
              <w:spacing w:before="6"/>
              <w:ind w:left="107"/>
              <w:rPr>
                <w:rFonts w:ascii="Courier New"/>
                <w:sz w:val="28"/>
              </w:rPr>
            </w:pPr>
            <w:r>
              <w:rPr>
                <w:rFonts w:ascii="Courier New"/>
                <w:sz w:val="28"/>
              </w:rPr>
              <w:t>1460</w:t>
            </w:r>
          </w:p>
        </w:tc>
        <w:tc>
          <w:tcPr>
            <w:tcW w:w="1278" w:type="dxa"/>
          </w:tcPr>
          <w:p>
            <w:pPr>
              <w:pStyle w:val="TableParagraph"/>
              <w:rPr>
                <w:rFonts w:ascii="Times New Roman"/>
                <w:sz w:val="28"/>
              </w:rPr>
            </w:pPr>
          </w:p>
        </w:tc>
        <w:tc>
          <w:tcPr>
            <w:tcW w:w="1417" w:type="dxa"/>
          </w:tcPr>
          <w:p>
            <w:pPr>
              <w:pStyle w:val="TableParagraph"/>
              <w:rPr>
                <w:rFonts w:ascii="Times New Roman"/>
                <w:sz w:val="28"/>
              </w:rPr>
            </w:pPr>
          </w:p>
        </w:tc>
        <w:tc>
          <w:tcPr>
            <w:tcW w:w="1703" w:type="dxa"/>
          </w:tcPr>
          <w:p>
            <w:pPr>
              <w:pStyle w:val="TableParagraph"/>
              <w:rPr>
                <w:rFonts w:ascii="Times New Roman"/>
                <w:sz w:val="28"/>
              </w:rPr>
            </w:pPr>
          </w:p>
        </w:tc>
        <w:tc>
          <w:tcPr>
            <w:tcW w:w="1419" w:type="dxa"/>
          </w:tcPr>
          <w:p>
            <w:pPr>
              <w:pStyle w:val="TableParagraph"/>
              <w:rPr>
                <w:rFonts w:ascii="Times New Roman"/>
                <w:sz w:val="28"/>
              </w:rPr>
            </w:pPr>
          </w:p>
        </w:tc>
        <w:tc>
          <w:tcPr>
            <w:tcW w:w="1700" w:type="dxa"/>
          </w:tcPr>
          <w:p>
            <w:pPr>
              <w:pStyle w:val="TableParagraph"/>
              <w:spacing w:before="6"/>
              <w:ind w:left="100"/>
              <w:rPr>
                <w:rFonts w:ascii="Courier New"/>
                <w:sz w:val="28"/>
              </w:rPr>
            </w:pPr>
            <w:r>
              <w:rPr>
                <w:rFonts w:ascii="Courier New"/>
                <w:w w:val="100"/>
                <w:sz w:val="28"/>
              </w:rPr>
              <w:t>X</w:t>
            </w:r>
          </w:p>
        </w:tc>
        <w:tc>
          <w:tcPr>
            <w:tcW w:w="2410" w:type="dxa"/>
          </w:tcPr>
          <w:p>
            <w:pPr>
              <w:pStyle w:val="TableParagraph"/>
              <w:spacing w:before="6"/>
              <w:ind w:left="103"/>
              <w:rPr>
                <w:rFonts w:ascii="Courier New"/>
                <w:sz w:val="28"/>
              </w:rPr>
            </w:pPr>
            <w:r>
              <w:rPr>
                <w:rFonts w:ascii="Courier New"/>
                <w:w w:val="100"/>
                <w:sz w:val="28"/>
              </w:rPr>
              <w:t>X</w:t>
            </w:r>
          </w:p>
        </w:tc>
        <w:tc>
          <w:tcPr>
            <w:tcW w:w="1844" w:type="dxa"/>
          </w:tcPr>
          <w:p>
            <w:pPr>
              <w:pStyle w:val="TableParagraph"/>
              <w:spacing w:before="6"/>
              <w:ind w:left="102"/>
              <w:rPr>
                <w:rFonts w:ascii="Courier New"/>
                <w:sz w:val="28"/>
              </w:rPr>
            </w:pPr>
            <w:r>
              <w:rPr>
                <w:rFonts w:ascii="Courier New"/>
                <w:w w:val="100"/>
                <w:sz w:val="28"/>
              </w:rPr>
              <w:t>X</w:t>
            </w:r>
          </w:p>
        </w:tc>
        <w:tc>
          <w:tcPr>
            <w:tcW w:w="1704" w:type="dxa"/>
          </w:tcPr>
          <w:p>
            <w:pPr>
              <w:pStyle w:val="TableParagraph"/>
              <w:rPr>
                <w:rFonts w:ascii="Times New Roman"/>
                <w:sz w:val="28"/>
              </w:rPr>
            </w:pPr>
          </w:p>
        </w:tc>
      </w:tr>
      <w:tr>
        <w:trPr>
          <w:trHeight w:val="566" w:hRule="atLeast"/>
        </w:trPr>
        <w:tc>
          <w:tcPr>
            <w:tcW w:w="2660" w:type="dxa"/>
            <w:shd w:val="clear" w:color="auto" w:fill="00AFEF"/>
          </w:tcPr>
          <w:p>
            <w:pPr>
              <w:pStyle w:val="TableParagraph"/>
              <w:spacing w:before="2"/>
              <w:ind w:left="107"/>
              <w:rPr>
                <w:rFonts w:ascii="Courier New"/>
                <w:b/>
                <w:sz w:val="28"/>
              </w:rPr>
            </w:pPr>
            <w:r>
              <w:rPr>
                <w:rFonts w:ascii="Courier New"/>
                <w:b/>
                <w:sz w:val="28"/>
              </w:rPr>
              <w:t>Aronia berries</w:t>
            </w:r>
          </w:p>
        </w:tc>
        <w:tc>
          <w:tcPr>
            <w:tcW w:w="1136" w:type="dxa"/>
          </w:tcPr>
          <w:p>
            <w:pPr>
              <w:pStyle w:val="TableParagraph"/>
              <w:spacing w:before="9"/>
              <w:ind w:left="107"/>
              <w:rPr>
                <w:rFonts w:ascii="Courier New"/>
                <w:sz w:val="28"/>
              </w:rPr>
            </w:pPr>
            <w:r>
              <w:rPr>
                <w:rFonts w:ascii="Courier New"/>
                <w:sz w:val="28"/>
              </w:rPr>
              <w:t>173</w:t>
            </w:r>
          </w:p>
        </w:tc>
        <w:tc>
          <w:tcPr>
            <w:tcW w:w="1278" w:type="dxa"/>
          </w:tcPr>
          <w:p>
            <w:pPr>
              <w:pStyle w:val="TableParagraph"/>
              <w:spacing w:before="9"/>
              <w:ind w:left="104"/>
              <w:rPr>
                <w:rFonts w:ascii="Courier New"/>
                <w:sz w:val="28"/>
              </w:rPr>
            </w:pPr>
            <w:r>
              <w:rPr>
                <w:rFonts w:ascii="Courier New"/>
                <w:w w:val="100"/>
                <w:sz w:val="28"/>
              </w:rPr>
              <w:t>X</w:t>
            </w:r>
          </w:p>
        </w:tc>
        <w:tc>
          <w:tcPr>
            <w:tcW w:w="1417" w:type="dxa"/>
          </w:tcPr>
          <w:p>
            <w:pPr>
              <w:pStyle w:val="TableParagraph"/>
              <w:rPr>
                <w:rFonts w:ascii="Times New Roman"/>
                <w:sz w:val="28"/>
              </w:rPr>
            </w:pPr>
          </w:p>
        </w:tc>
        <w:tc>
          <w:tcPr>
            <w:tcW w:w="1703" w:type="dxa"/>
          </w:tcPr>
          <w:p>
            <w:pPr>
              <w:pStyle w:val="TableParagraph"/>
              <w:spacing w:before="9"/>
              <w:ind w:left="105"/>
              <w:rPr>
                <w:rFonts w:ascii="Courier New"/>
                <w:sz w:val="28"/>
              </w:rPr>
            </w:pPr>
            <w:r>
              <w:rPr>
                <w:rFonts w:ascii="Courier New"/>
                <w:w w:val="100"/>
                <w:sz w:val="28"/>
              </w:rPr>
              <w:t>X</w:t>
            </w:r>
          </w:p>
        </w:tc>
        <w:tc>
          <w:tcPr>
            <w:tcW w:w="1419" w:type="dxa"/>
          </w:tcPr>
          <w:p>
            <w:pPr>
              <w:pStyle w:val="TableParagraph"/>
              <w:rPr>
                <w:rFonts w:ascii="Times New Roman"/>
                <w:sz w:val="28"/>
              </w:rPr>
            </w:pPr>
          </w:p>
        </w:tc>
        <w:tc>
          <w:tcPr>
            <w:tcW w:w="1700" w:type="dxa"/>
          </w:tcPr>
          <w:p>
            <w:pPr>
              <w:pStyle w:val="TableParagraph"/>
              <w:rPr>
                <w:rFonts w:ascii="Times New Roman"/>
                <w:sz w:val="28"/>
              </w:rPr>
            </w:pPr>
          </w:p>
        </w:tc>
        <w:tc>
          <w:tcPr>
            <w:tcW w:w="2410" w:type="dxa"/>
          </w:tcPr>
          <w:p>
            <w:pPr>
              <w:pStyle w:val="TableParagraph"/>
              <w:spacing w:before="9"/>
              <w:ind w:left="103"/>
              <w:rPr>
                <w:rFonts w:ascii="Courier New"/>
                <w:sz w:val="28"/>
              </w:rPr>
            </w:pPr>
            <w:r>
              <w:rPr>
                <w:rFonts w:ascii="Courier New"/>
                <w:w w:val="100"/>
                <w:sz w:val="28"/>
              </w:rPr>
              <w:t>X</w:t>
            </w:r>
          </w:p>
        </w:tc>
        <w:tc>
          <w:tcPr>
            <w:tcW w:w="1844" w:type="dxa"/>
          </w:tcPr>
          <w:p>
            <w:pPr>
              <w:pStyle w:val="TableParagraph"/>
              <w:spacing w:before="9"/>
              <w:ind w:left="102"/>
              <w:rPr>
                <w:rFonts w:ascii="Courier New"/>
                <w:sz w:val="28"/>
              </w:rPr>
            </w:pPr>
            <w:r>
              <w:rPr>
                <w:rFonts w:ascii="Courier New"/>
                <w:w w:val="100"/>
                <w:sz w:val="28"/>
              </w:rPr>
              <w:t>X</w:t>
            </w:r>
          </w:p>
        </w:tc>
        <w:tc>
          <w:tcPr>
            <w:tcW w:w="1704" w:type="dxa"/>
          </w:tcPr>
          <w:p>
            <w:pPr>
              <w:pStyle w:val="TableParagraph"/>
              <w:spacing w:before="9"/>
              <w:ind w:left="102"/>
              <w:rPr>
                <w:rFonts w:ascii="Courier New"/>
                <w:sz w:val="28"/>
              </w:rPr>
            </w:pPr>
            <w:r>
              <w:rPr>
                <w:rFonts w:ascii="Courier New"/>
                <w:w w:val="100"/>
                <w:sz w:val="28"/>
              </w:rPr>
              <w:t>X</w:t>
            </w:r>
          </w:p>
        </w:tc>
      </w:tr>
      <w:tr>
        <w:trPr>
          <w:trHeight w:val="566" w:hRule="atLeast"/>
        </w:trPr>
        <w:tc>
          <w:tcPr>
            <w:tcW w:w="2660" w:type="dxa"/>
            <w:shd w:val="clear" w:color="auto" w:fill="00AFEF"/>
          </w:tcPr>
          <w:p>
            <w:pPr>
              <w:pStyle w:val="TableParagraph"/>
              <w:spacing w:line="317" w:lineRule="exact"/>
              <w:ind w:left="107"/>
              <w:rPr>
                <w:rFonts w:ascii="Courier New"/>
                <w:b/>
                <w:sz w:val="28"/>
              </w:rPr>
            </w:pPr>
            <w:r>
              <w:rPr>
                <w:rFonts w:ascii="Courier New"/>
                <w:b/>
                <w:sz w:val="28"/>
              </w:rPr>
              <w:t>Beta-carotene</w:t>
            </w:r>
          </w:p>
        </w:tc>
        <w:tc>
          <w:tcPr>
            <w:tcW w:w="1136" w:type="dxa"/>
          </w:tcPr>
          <w:p>
            <w:pPr>
              <w:pStyle w:val="TableParagraph"/>
              <w:spacing w:before="6"/>
              <w:ind w:left="107"/>
              <w:rPr>
                <w:rFonts w:ascii="Courier New"/>
                <w:sz w:val="28"/>
              </w:rPr>
            </w:pPr>
            <w:r>
              <w:rPr>
                <w:rFonts w:ascii="Courier New"/>
                <w:sz w:val="28"/>
              </w:rPr>
              <w:t>237</w:t>
            </w:r>
          </w:p>
        </w:tc>
        <w:tc>
          <w:tcPr>
            <w:tcW w:w="1278" w:type="dxa"/>
          </w:tcPr>
          <w:p>
            <w:pPr>
              <w:pStyle w:val="TableParagraph"/>
              <w:spacing w:before="6"/>
              <w:ind w:left="104"/>
              <w:rPr>
                <w:rFonts w:ascii="Courier New"/>
                <w:sz w:val="28"/>
              </w:rPr>
            </w:pPr>
            <w:r>
              <w:rPr>
                <w:rFonts w:ascii="Courier New"/>
                <w:w w:val="100"/>
                <w:sz w:val="28"/>
              </w:rPr>
              <w:t>X</w:t>
            </w:r>
          </w:p>
        </w:tc>
        <w:tc>
          <w:tcPr>
            <w:tcW w:w="1417" w:type="dxa"/>
          </w:tcPr>
          <w:p>
            <w:pPr>
              <w:pStyle w:val="TableParagraph"/>
              <w:rPr>
                <w:rFonts w:ascii="Times New Roman"/>
                <w:sz w:val="28"/>
              </w:rPr>
            </w:pPr>
          </w:p>
        </w:tc>
        <w:tc>
          <w:tcPr>
            <w:tcW w:w="1703" w:type="dxa"/>
          </w:tcPr>
          <w:p>
            <w:pPr>
              <w:pStyle w:val="TableParagraph"/>
              <w:rPr>
                <w:rFonts w:ascii="Times New Roman"/>
                <w:sz w:val="28"/>
              </w:rPr>
            </w:pPr>
          </w:p>
        </w:tc>
        <w:tc>
          <w:tcPr>
            <w:tcW w:w="1419" w:type="dxa"/>
          </w:tcPr>
          <w:p>
            <w:pPr>
              <w:pStyle w:val="TableParagraph"/>
              <w:rPr>
                <w:rFonts w:ascii="Times New Roman"/>
                <w:sz w:val="28"/>
              </w:rPr>
            </w:pPr>
          </w:p>
        </w:tc>
        <w:tc>
          <w:tcPr>
            <w:tcW w:w="1700" w:type="dxa"/>
          </w:tcPr>
          <w:p>
            <w:pPr>
              <w:pStyle w:val="TableParagraph"/>
              <w:rPr>
                <w:rFonts w:ascii="Times New Roman"/>
                <w:sz w:val="28"/>
              </w:rPr>
            </w:pPr>
          </w:p>
        </w:tc>
        <w:tc>
          <w:tcPr>
            <w:tcW w:w="2410" w:type="dxa"/>
          </w:tcPr>
          <w:p>
            <w:pPr>
              <w:pStyle w:val="TableParagraph"/>
              <w:spacing w:before="6"/>
              <w:ind w:left="103"/>
              <w:rPr>
                <w:rFonts w:ascii="Courier New"/>
                <w:sz w:val="28"/>
              </w:rPr>
            </w:pPr>
            <w:r>
              <w:rPr>
                <w:rFonts w:ascii="Courier New"/>
                <w:w w:val="100"/>
                <w:sz w:val="28"/>
              </w:rPr>
              <w:t>X</w:t>
            </w:r>
          </w:p>
        </w:tc>
        <w:tc>
          <w:tcPr>
            <w:tcW w:w="1844" w:type="dxa"/>
          </w:tcPr>
          <w:p>
            <w:pPr>
              <w:pStyle w:val="TableParagraph"/>
              <w:spacing w:before="6"/>
              <w:ind w:left="102"/>
              <w:rPr>
                <w:rFonts w:ascii="Courier New"/>
                <w:sz w:val="28"/>
              </w:rPr>
            </w:pPr>
            <w:r>
              <w:rPr>
                <w:rFonts w:ascii="Courier New"/>
                <w:w w:val="100"/>
                <w:sz w:val="28"/>
              </w:rPr>
              <w:t>X</w:t>
            </w:r>
          </w:p>
        </w:tc>
        <w:tc>
          <w:tcPr>
            <w:tcW w:w="1704" w:type="dxa"/>
          </w:tcPr>
          <w:p>
            <w:pPr>
              <w:pStyle w:val="TableParagraph"/>
              <w:spacing w:before="6"/>
              <w:ind w:left="102"/>
              <w:rPr>
                <w:rFonts w:ascii="Courier New"/>
                <w:sz w:val="28"/>
              </w:rPr>
            </w:pPr>
            <w:r>
              <w:rPr>
                <w:rFonts w:ascii="Courier New"/>
                <w:w w:val="100"/>
                <w:sz w:val="28"/>
              </w:rPr>
              <w:t>X</w:t>
            </w:r>
          </w:p>
        </w:tc>
      </w:tr>
    </w:tbl>
    <w:p>
      <w:pPr>
        <w:spacing w:after="0"/>
        <w:rPr>
          <w:rFonts w:ascii="Courier New"/>
          <w:sz w:val="28"/>
        </w:rPr>
        <w:sectPr>
          <w:pgSz w:w="18630" w:h="11910" w:orient="landscape"/>
          <w:pgMar w:header="0" w:footer="404" w:top="840" w:bottom="600" w:left="740" w:right="8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60"/>
        <w:gridCol w:w="1136"/>
        <w:gridCol w:w="1278"/>
        <w:gridCol w:w="1417"/>
        <w:gridCol w:w="1703"/>
        <w:gridCol w:w="1419"/>
        <w:gridCol w:w="1700"/>
        <w:gridCol w:w="2410"/>
        <w:gridCol w:w="1844"/>
        <w:gridCol w:w="1704"/>
      </w:tblGrid>
      <w:tr>
        <w:trPr>
          <w:trHeight w:val="564" w:hRule="atLeast"/>
        </w:trPr>
        <w:tc>
          <w:tcPr>
            <w:tcW w:w="2660" w:type="dxa"/>
            <w:shd w:val="clear" w:color="auto" w:fill="00AFEF"/>
          </w:tcPr>
          <w:p>
            <w:pPr>
              <w:pStyle w:val="TableParagraph"/>
              <w:spacing w:line="317" w:lineRule="exact"/>
              <w:ind w:left="107"/>
              <w:rPr>
                <w:rFonts w:ascii="Courier New"/>
                <w:b/>
                <w:sz w:val="28"/>
              </w:rPr>
            </w:pPr>
            <w:r>
              <w:rPr>
                <w:rFonts w:ascii="Courier New"/>
                <w:b/>
                <w:sz w:val="28"/>
              </w:rPr>
              <w:t>Curcumin</w:t>
            </w:r>
          </w:p>
        </w:tc>
        <w:tc>
          <w:tcPr>
            <w:tcW w:w="1136" w:type="dxa"/>
          </w:tcPr>
          <w:p>
            <w:pPr>
              <w:pStyle w:val="TableParagraph"/>
              <w:spacing w:before="6"/>
              <w:ind w:left="107"/>
              <w:rPr>
                <w:rFonts w:ascii="Courier New"/>
                <w:sz w:val="28"/>
              </w:rPr>
            </w:pPr>
            <w:r>
              <w:rPr>
                <w:rFonts w:ascii="Courier New"/>
                <w:sz w:val="28"/>
              </w:rPr>
              <w:t>328</w:t>
            </w:r>
          </w:p>
        </w:tc>
        <w:tc>
          <w:tcPr>
            <w:tcW w:w="1278" w:type="dxa"/>
          </w:tcPr>
          <w:p>
            <w:pPr>
              <w:pStyle w:val="TableParagraph"/>
              <w:spacing w:before="6"/>
              <w:ind w:left="104"/>
              <w:rPr>
                <w:rFonts w:ascii="Courier New"/>
                <w:sz w:val="28"/>
              </w:rPr>
            </w:pPr>
            <w:r>
              <w:rPr>
                <w:rFonts w:ascii="Courier New"/>
                <w:w w:val="100"/>
                <w:sz w:val="28"/>
              </w:rPr>
              <w:t>X</w:t>
            </w:r>
          </w:p>
        </w:tc>
        <w:tc>
          <w:tcPr>
            <w:tcW w:w="1417" w:type="dxa"/>
          </w:tcPr>
          <w:p>
            <w:pPr>
              <w:pStyle w:val="TableParagraph"/>
              <w:rPr>
                <w:rFonts w:ascii="Times New Roman"/>
                <w:sz w:val="28"/>
              </w:rPr>
            </w:pPr>
          </w:p>
        </w:tc>
        <w:tc>
          <w:tcPr>
            <w:tcW w:w="1703" w:type="dxa"/>
          </w:tcPr>
          <w:p>
            <w:pPr>
              <w:pStyle w:val="TableParagraph"/>
              <w:rPr>
                <w:rFonts w:ascii="Times New Roman"/>
                <w:sz w:val="28"/>
              </w:rPr>
            </w:pPr>
          </w:p>
        </w:tc>
        <w:tc>
          <w:tcPr>
            <w:tcW w:w="1419" w:type="dxa"/>
          </w:tcPr>
          <w:p>
            <w:pPr>
              <w:pStyle w:val="TableParagraph"/>
              <w:rPr>
                <w:rFonts w:ascii="Times New Roman"/>
                <w:sz w:val="28"/>
              </w:rPr>
            </w:pPr>
          </w:p>
        </w:tc>
        <w:tc>
          <w:tcPr>
            <w:tcW w:w="1700" w:type="dxa"/>
          </w:tcPr>
          <w:p>
            <w:pPr>
              <w:pStyle w:val="TableParagraph"/>
              <w:rPr>
                <w:rFonts w:ascii="Times New Roman"/>
                <w:sz w:val="28"/>
              </w:rPr>
            </w:pPr>
          </w:p>
        </w:tc>
        <w:tc>
          <w:tcPr>
            <w:tcW w:w="2410" w:type="dxa"/>
          </w:tcPr>
          <w:p>
            <w:pPr>
              <w:pStyle w:val="TableParagraph"/>
              <w:rPr>
                <w:rFonts w:ascii="Times New Roman"/>
                <w:sz w:val="28"/>
              </w:rPr>
            </w:pPr>
          </w:p>
        </w:tc>
        <w:tc>
          <w:tcPr>
            <w:tcW w:w="1844" w:type="dxa"/>
          </w:tcPr>
          <w:p>
            <w:pPr>
              <w:pStyle w:val="TableParagraph"/>
              <w:spacing w:before="6"/>
              <w:ind w:left="102"/>
              <w:rPr>
                <w:rFonts w:ascii="Courier New"/>
                <w:sz w:val="28"/>
              </w:rPr>
            </w:pPr>
            <w:r>
              <w:rPr>
                <w:rFonts w:ascii="Courier New"/>
                <w:w w:val="100"/>
                <w:sz w:val="28"/>
              </w:rPr>
              <w:t>X</w:t>
            </w:r>
          </w:p>
        </w:tc>
        <w:tc>
          <w:tcPr>
            <w:tcW w:w="1704" w:type="dxa"/>
          </w:tcPr>
          <w:p>
            <w:pPr>
              <w:pStyle w:val="TableParagraph"/>
              <w:spacing w:before="6"/>
              <w:ind w:left="102"/>
              <w:rPr>
                <w:rFonts w:ascii="Courier New"/>
                <w:sz w:val="28"/>
              </w:rPr>
            </w:pPr>
            <w:r>
              <w:rPr>
                <w:rFonts w:ascii="Courier New"/>
                <w:w w:val="100"/>
                <w:sz w:val="28"/>
              </w:rPr>
              <w:t>X</w:t>
            </w:r>
          </w:p>
        </w:tc>
      </w:tr>
      <w:tr>
        <w:trPr>
          <w:trHeight w:val="565" w:hRule="atLeast"/>
        </w:trPr>
        <w:tc>
          <w:tcPr>
            <w:tcW w:w="2660" w:type="dxa"/>
            <w:shd w:val="clear" w:color="auto" w:fill="00AFEF"/>
          </w:tcPr>
          <w:p>
            <w:pPr>
              <w:pStyle w:val="TableParagraph"/>
              <w:spacing w:line="317" w:lineRule="exact"/>
              <w:ind w:left="107"/>
              <w:rPr>
                <w:rFonts w:ascii="Courier New"/>
                <w:b/>
                <w:sz w:val="28"/>
              </w:rPr>
            </w:pPr>
            <w:r>
              <w:rPr>
                <w:rFonts w:ascii="Courier New"/>
                <w:b/>
                <w:sz w:val="28"/>
              </w:rPr>
              <w:t>Gotu Kola</w:t>
            </w:r>
          </w:p>
        </w:tc>
        <w:tc>
          <w:tcPr>
            <w:tcW w:w="1136" w:type="dxa"/>
          </w:tcPr>
          <w:p>
            <w:pPr>
              <w:pStyle w:val="TableParagraph"/>
              <w:spacing w:before="6"/>
              <w:ind w:left="107"/>
              <w:rPr>
                <w:rFonts w:ascii="Courier New"/>
                <w:sz w:val="28"/>
              </w:rPr>
            </w:pPr>
            <w:r>
              <w:rPr>
                <w:rFonts w:ascii="Courier New"/>
                <w:sz w:val="28"/>
              </w:rPr>
              <w:t>473</w:t>
            </w:r>
          </w:p>
        </w:tc>
        <w:tc>
          <w:tcPr>
            <w:tcW w:w="1278" w:type="dxa"/>
          </w:tcPr>
          <w:p>
            <w:pPr>
              <w:pStyle w:val="TableParagraph"/>
              <w:spacing w:before="6"/>
              <w:ind w:left="104"/>
              <w:rPr>
                <w:rFonts w:ascii="Courier New"/>
                <w:sz w:val="28"/>
              </w:rPr>
            </w:pPr>
            <w:r>
              <w:rPr>
                <w:rFonts w:ascii="Courier New"/>
                <w:w w:val="100"/>
                <w:sz w:val="28"/>
              </w:rPr>
              <w:t>X</w:t>
            </w:r>
          </w:p>
        </w:tc>
        <w:tc>
          <w:tcPr>
            <w:tcW w:w="1417" w:type="dxa"/>
          </w:tcPr>
          <w:p>
            <w:pPr>
              <w:pStyle w:val="TableParagraph"/>
              <w:rPr>
                <w:rFonts w:ascii="Times New Roman"/>
                <w:sz w:val="28"/>
              </w:rPr>
            </w:pPr>
          </w:p>
        </w:tc>
        <w:tc>
          <w:tcPr>
            <w:tcW w:w="1703" w:type="dxa"/>
          </w:tcPr>
          <w:p>
            <w:pPr>
              <w:pStyle w:val="TableParagraph"/>
              <w:rPr>
                <w:rFonts w:ascii="Times New Roman"/>
                <w:sz w:val="28"/>
              </w:rPr>
            </w:pPr>
          </w:p>
        </w:tc>
        <w:tc>
          <w:tcPr>
            <w:tcW w:w="1419" w:type="dxa"/>
          </w:tcPr>
          <w:p>
            <w:pPr>
              <w:pStyle w:val="TableParagraph"/>
              <w:spacing w:before="6"/>
              <w:ind w:left="101"/>
              <w:rPr>
                <w:rFonts w:ascii="Courier New"/>
                <w:sz w:val="28"/>
              </w:rPr>
            </w:pPr>
            <w:r>
              <w:rPr>
                <w:rFonts w:ascii="Courier New"/>
                <w:w w:val="100"/>
                <w:sz w:val="28"/>
              </w:rPr>
              <w:t>X</w:t>
            </w:r>
          </w:p>
        </w:tc>
        <w:tc>
          <w:tcPr>
            <w:tcW w:w="1700" w:type="dxa"/>
          </w:tcPr>
          <w:p>
            <w:pPr>
              <w:pStyle w:val="TableParagraph"/>
              <w:spacing w:before="6"/>
              <w:ind w:left="100"/>
              <w:rPr>
                <w:rFonts w:ascii="Courier New"/>
                <w:sz w:val="28"/>
              </w:rPr>
            </w:pPr>
            <w:r>
              <w:rPr>
                <w:rFonts w:ascii="Courier New"/>
                <w:w w:val="100"/>
                <w:sz w:val="28"/>
              </w:rPr>
              <w:t>X</w:t>
            </w:r>
          </w:p>
        </w:tc>
        <w:tc>
          <w:tcPr>
            <w:tcW w:w="2410" w:type="dxa"/>
          </w:tcPr>
          <w:p>
            <w:pPr>
              <w:pStyle w:val="TableParagraph"/>
              <w:spacing w:before="6"/>
              <w:ind w:left="103"/>
              <w:rPr>
                <w:rFonts w:ascii="Courier New"/>
                <w:sz w:val="28"/>
              </w:rPr>
            </w:pPr>
            <w:r>
              <w:rPr>
                <w:rFonts w:ascii="Courier New"/>
                <w:w w:val="100"/>
                <w:sz w:val="28"/>
              </w:rPr>
              <w:t>X</w:t>
            </w:r>
          </w:p>
        </w:tc>
        <w:tc>
          <w:tcPr>
            <w:tcW w:w="1844" w:type="dxa"/>
          </w:tcPr>
          <w:p>
            <w:pPr>
              <w:pStyle w:val="TableParagraph"/>
              <w:spacing w:before="6"/>
              <w:ind w:left="102"/>
              <w:rPr>
                <w:rFonts w:ascii="Courier New"/>
                <w:sz w:val="28"/>
              </w:rPr>
            </w:pPr>
            <w:r>
              <w:rPr>
                <w:rFonts w:ascii="Courier New"/>
                <w:w w:val="100"/>
                <w:sz w:val="28"/>
              </w:rPr>
              <w:t>X</w:t>
            </w:r>
          </w:p>
        </w:tc>
        <w:tc>
          <w:tcPr>
            <w:tcW w:w="1704" w:type="dxa"/>
          </w:tcPr>
          <w:p>
            <w:pPr>
              <w:pStyle w:val="TableParagraph"/>
              <w:rPr>
                <w:rFonts w:ascii="Times New Roman"/>
                <w:sz w:val="28"/>
              </w:rPr>
            </w:pPr>
          </w:p>
        </w:tc>
      </w:tr>
      <w:tr>
        <w:trPr>
          <w:trHeight w:val="563" w:hRule="atLeast"/>
        </w:trPr>
        <w:tc>
          <w:tcPr>
            <w:tcW w:w="2660" w:type="dxa"/>
            <w:shd w:val="clear" w:color="auto" w:fill="00AFEF"/>
          </w:tcPr>
          <w:p>
            <w:pPr>
              <w:pStyle w:val="TableParagraph"/>
              <w:spacing w:line="317" w:lineRule="exact"/>
              <w:ind w:left="107"/>
              <w:rPr>
                <w:rFonts w:ascii="Courier New"/>
                <w:b/>
                <w:sz w:val="28"/>
              </w:rPr>
            </w:pPr>
            <w:r>
              <w:rPr>
                <w:rFonts w:ascii="Courier New"/>
                <w:b/>
                <w:sz w:val="28"/>
              </w:rPr>
              <w:t>Kombucha</w:t>
            </w:r>
          </w:p>
        </w:tc>
        <w:tc>
          <w:tcPr>
            <w:tcW w:w="1136" w:type="dxa"/>
          </w:tcPr>
          <w:p>
            <w:pPr>
              <w:pStyle w:val="TableParagraph"/>
              <w:spacing w:before="6"/>
              <w:ind w:left="107"/>
              <w:rPr>
                <w:rFonts w:ascii="Courier New"/>
                <w:sz w:val="28"/>
              </w:rPr>
            </w:pPr>
            <w:r>
              <w:rPr>
                <w:rFonts w:ascii="Courier New"/>
                <w:sz w:val="28"/>
              </w:rPr>
              <w:t>731</w:t>
            </w:r>
          </w:p>
        </w:tc>
        <w:tc>
          <w:tcPr>
            <w:tcW w:w="1278" w:type="dxa"/>
          </w:tcPr>
          <w:p>
            <w:pPr>
              <w:pStyle w:val="TableParagraph"/>
              <w:spacing w:before="6"/>
              <w:ind w:left="104"/>
              <w:rPr>
                <w:rFonts w:ascii="Courier New"/>
                <w:sz w:val="28"/>
              </w:rPr>
            </w:pPr>
            <w:r>
              <w:rPr>
                <w:rFonts w:ascii="Courier New"/>
                <w:w w:val="100"/>
                <w:sz w:val="28"/>
              </w:rPr>
              <w:t>X</w:t>
            </w:r>
          </w:p>
        </w:tc>
        <w:tc>
          <w:tcPr>
            <w:tcW w:w="1417" w:type="dxa"/>
          </w:tcPr>
          <w:p>
            <w:pPr>
              <w:pStyle w:val="TableParagraph"/>
              <w:spacing w:before="6"/>
              <w:ind w:left="103"/>
              <w:rPr>
                <w:rFonts w:ascii="Courier New"/>
                <w:sz w:val="28"/>
              </w:rPr>
            </w:pPr>
            <w:r>
              <w:rPr>
                <w:rFonts w:ascii="Courier New"/>
                <w:w w:val="100"/>
                <w:sz w:val="28"/>
              </w:rPr>
              <w:t>X</w:t>
            </w:r>
          </w:p>
        </w:tc>
        <w:tc>
          <w:tcPr>
            <w:tcW w:w="1703" w:type="dxa"/>
          </w:tcPr>
          <w:p>
            <w:pPr>
              <w:pStyle w:val="TableParagraph"/>
              <w:spacing w:before="6"/>
              <w:ind w:left="105"/>
              <w:rPr>
                <w:rFonts w:ascii="Courier New"/>
                <w:sz w:val="28"/>
              </w:rPr>
            </w:pPr>
            <w:r>
              <w:rPr>
                <w:rFonts w:ascii="Courier New"/>
                <w:w w:val="100"/>
                <w:sz w:val="28"/>
              </w:rPr>
              <w:t>X</w:t>
            </w:r>
          </w:p>
        </w:tc>
        <w:tc>
          <w:tcPr>
            <w:tcW w:w="1419" w:type="dxa"/>
          </w:tcPr>
          <w:p>
            <w:pPr>
              <w:pStyle w:val="TableParagraph"/>
              <w:rPr>
                <w:rFonts w:ascii="Times New Roman"/>
                <w:sz w:val="28"/>
              </w:rPr>
            </w:pPr>
          </w:p>
        </w:tc>
        <w:tc>
          <w:tcPr>
            <w:tcW w:w="1700" w:type="dxa"/>
          </w:tcPr>
          <w:p>
            <w:pPr>
              <w:pStyle w:val="TableParagraph"/>
              <w:rPr>
                <w:rFonts w:ascii="Times New Roman"/>
                <w:sz w:val="28"/>
              </w:rPr>
            </w:pPr>
          </w:p>
        </w:tc>
        <w:tc>
          <w:tcPr>
            <w:tcW w:w="2410" w:type="dxa"/>
          </w:tcPr>
          <w:p>
            <w:pPr>
              <w:pStyle w:val="TableParagraph"/>
              <w:spacing w:before="6"/>
              <w:ind w:left="103"/>
              <w:rPr>
                <w:rFonts w:ascii="Courier New"/>
                <w:sz w:val="28"/>
              </w:rPr>
            </w:pPr>
            <w:r>
              <w:rPr>
                <w:rFonts w:ascii="Courier New"/>
                <w:w w:val="100"/>
                <w:sz w:val="28"/>
              </w:rPr>
              <w:t>X</w:t>
            </w:r>
          </w:p>
        </w:tc>
        <w:tc>
          <w:tcPr>
            <w:tcW w:w="1844" w:type="dxa"/>
          </w:tcPr>
          <w:p>
            <w:pPr>
              <w:pStyle w:val="TableParagraph"/>
              <w:spacing w:before="6"/>
              <w:ind w:left="102"/>
              <w:rPr>
                <w:rFonts w:ascii="Courier New"/>
                <w:sz w:val="28"/>
              </w:rPr>
            </w:pPr>
            <w:r>
              <w:rPr>
                <w:rFonts w:ascii="Courier New"/>
                <w:w w:val="100"/>
                <w:sz w:val="28"/>
              </w:rPr>
              <w:t>X</w:t>
            </w:r>
          </w:p>
        </w:tc>
        <w:tc>
          <w:tcPr>
            <w:tcW w:w="1704" w:type="dxa"/>
          </w:tcPr>
          <w:p>
            <w:pPr>
              <w:pStyle w:val="TableParagraph"/>
              <w:spacing w:before="6"/>
              <w:ind w:left="102"/>
              <w:rPr>
                <w:rFonts w:ascii="Courier New"/>
                <w:sz w:val="28"/>
              </w:rPr>
            </w:pPr>
            <w:r>
              <w:rPr>
                <w:rFonts w:ascii="Courier New"/>
                <w:w w:val="100"/>
                <w:sz w:val="28"/>
              </w:rPr>
              <w:t>X</w:t>
            </w:r>
          </w:p>
        </w:tc>
      </w:tr>
      <w:tr>
        <w:trPr>
          <w:trHeight w:val="566" w:hRule="atLeast"/>
        </w:trPr>
        <w:tc>
          <w:tcPr>
            <w:tcW w:w="2660" w:type="dxa"/>
            <w:shd w:val="clear" w:color="auto" w:fill="00AFEF"/>
          </w:tcPr>
          <w:p>
            <w:pPr>
              <w:pStyle w:val="TableParagraph"/>
              <w:spacing w:line="317" w:lineRule="exact"/>
              <w:ind w:left="107"/>
              <w:rPr>
                <w:rFonts w:ascii="Courier New"/>
                <w:b/>
                <w:sz w:val="28"/>
              </w:rPr>
            </w:pPr>
            <w:r>
              <w:rPr>
                <w:rFonts w:ascii="Courier New"/>
                <w:b/>
                <w:sz w:val="28"/>
              </w:rPr>
              <w:t>Lapacho</w:t>
            </w:r>
          </w:p>
        </w:tc>
        <w:tc>
          <w:tcPr>
            <w:tcW w:w="1136" w:type="dxa"/>
          </w:tcPr>
          <w:p>
            <w:pPr>
              <w:pStyle w:val="TableParagraph"/>
              <w:spacing w:before="6"/>
              <w:ind w:left="107"/>
              <w:rPr>
                <w:rFonts w:ascii="Courier New"/>
                <w:sz w:val="28"/>
              </w:rPr>
            </w:pPr>
            <w:r>
              <w:rPr>
                <w:rFonts w:ascii="Courier New"/>
                <w:sz w:val="28"/>
              </w:rPr>
              <w:t>815</w:t>
            </w:r>
          </w:p>
        </w:tc>
        <w:tc>
          <w:tcPr>
            <w:tcW w:w="1278" w:type="dxa"/>
          </w:tcPr>
          <w:p>
            <w:pPr>
              <w:pStyle w:val="TableParagraph"/>
              <w:spacing w:before="6"/>
              <w:ind w:left="104"/>
              <w:rPr>
                <w:rFonts w:ascii="Courier New"/>
                <w:sz w:val="28"/>
              </w:rPr>
            </w:pPr>
            <w:r>
              <w:rPr>
                <w:rFonts w:ascii="Courier New"/>
                <w:w w:val="100"/>
                <w:sz w:val="28"/>
              </w:rPr>
              <w:t>X</w:t>
            </w:r>
          </w:p>
        </w:tc>
        <w:tc>
          <w:tcPr>
            <w:tcW w:w="1417" w:type="dxa"/>
          </w:tcPr>
          <w:p>
            <w:pPr>
              <w:pStyle w:val="TableParagraph"/>
              <w:rPr>
                <w:rFonts w:ascii="Times New Roman"/>
                <w:sz w:val="28"/>
              </w:rPr>
            </w:pPr>
          </w:p>
        </w:tc>
        <w:tc>
          <w:tcPr>
            <w:tcW w:w="1703" w:type="dxa"/>
          </w:tcPr>
          <w:p>
            <w:pPr>
              <w:pStyle w:val="TableParagraph"/>
              <w:spacing w:before="6"/>
              <w:ind w:left="105"/>
              <w:rPr>
                <w:rFonts w:ascii="Courier New"/>
                <w:sz w:val="28"/>
              </w:rPr>
            </w:pPr>
            <w:r>
              <w:rPr>
                <w:rFonts w:ascii="Courier New"/>
                <w:w w:val="100"/>
                <w:sz w:val="28"/>
              </w:rPr>
              <w:t>X</w:t>
            </w:r>
          </w:p>
        </w:tc>
        <w:tc>
          <w:tcPr>
            <w:tcW w:w="1419" w:type="dxa"/>
          </w:tcPr>
          <w:p>
            <w:pPr>
              <w:pStyle w:val="TableParagraph"/>
              <w:rPr>
                <w:rFonts w:ascii="Times New Roman"/>
                <w:sz w:val="28"/>
              </w:rPr>
            </w:pPr>
          </w:p>
        </w:tc>
        <w:tc>
          <w:tcPr>
            <w:tcW w:w="1700" w:type="dxa"/>
          </w:tcPr>
          <w:p>
            <w:pPr>
              <w:pStyle w:val="TableParagraph"/>
              <w:rPr>
                <w:rFonts w:ascii="Times New Roman"/>
                <w:sz w:val="28"/>
              </w:rPr>
            </w:pPr>
          </w:p>
        </w:tc>
        <w:tc>
          <w:tcPr>
            <w:tcW w:w="2410" w:type="dxa"/>
          </w:tcPr>
          <w:p>
            <w:pPr>
              <w:pStyle w:val="TableParagraph"/>
              <w:rPr>
                <w:rFonts w:ascii="Times New Roman"/>
                <w:sz w:val="28"/>
              </w:rPr>
            </w:pPr>
          </w:p>
        </w:tc>
        <w:tc>
          <w:tcPr>
            <w:tcW w:w="1844" w:type="dxa"/>
          </w:tcPr>
          <w:p>
            <w:pPr>
              <w:pStyle w:val="TableParagraph"/>
              <w:spacing w:before="6"/>
              <w:ind w:left="102"/>
              <w:rPr>
                <w:rFonts w:ascii="Courier New"/>
                <w:sz w:val="28"/>
              </w:rPr>
            </w:pPr>
            <w:r>
              <w:rPr>
                <w:rFonts w:ascii="Courier New"/>
                <w:w w:val="100"/>
                <w:sz w:val="28"/>
              </w:rPr>
              <w:t>X</w:t>
            </w:r>
          </w:p>
        </w:tc>
        <w:tc>
          <w:tcPr>
            <w:tcW w:w="1704" w:type="dxa"/>
          </w:tcPr>
          <w:p>
            <w:pPr>
              <w:pStyle w:val="TableParagraph"/>
              <w:rPr>
                <w:rFonts w:ascii="Times New Roman"/>
                <w:sz w:val="28"/>
              </w:rPr>
            </w:pPr>
          </w:p>
        </w:tc>
      </w:tr>
      <w:tr>
        <w:trPr>
          <w:trHeight w:val="563" w:hRule="atLeast"/>
        </w:trPr>
        <w:tc>
          <w:tcPr>
            <w:tcW w:w="2660" w:type="dxa"/>
            <w:shd w:val="clear" w:color="auto" w:fill="00AFEF"/>
          </w:tcPr>
          <w:p>
            <w:pPr>
              <w:pStyle w:val="TableParagraph"/>
              <w:spacing w:line="317" w:lineRule="exact"/>
              <w:ind w:left="107"/>
              <w:rPr>
                <w:rFonts w:ascii="Courier New"/>
                <w:b/>
                <w:sz w:val="28"/>
              </w:rPr>
            </w:pPr>
            <w:r>
              <w:rPr>
                <w:rFonts w:ascii="Courier New"/>
                <w:b/>
                <w:sz w:val="28"/>
              </w:rPr>
              <w:t>Melatonin</w:t>
            </w:r>
          </w:p>
        </w:tc>
        <w:tc>
          <w:tcPr>
            <w:tcW w:w="1136" w:type="dxa"/>
          </w:tcPr>
          <w:p>
            <w:pPr>
              <w:pStyle w:val="TableParagraph"/>
              <w:spacing w:before="6"/>
              <w:ind w:left="107"/>
              <w:rPr>
                <w:rFonts w:ascii="Courier New"/>
                <w:sz w:val="28"/>
              </w:rPr>
            </w:pPr>
            <w:r>
              <w:rPr>
                <w:rFonts w:ascii="Courier New"/>
                <w:sz w:val="28"/>
              </w:rPr>
              <w:t>954</w:t>
            </w:r>
          </w:p>
        </w:tc>
        <w:tc>
          <w:tcPr>
            <w:tcW w:w="1278" w:type="dxa"/>
          </w:tcPr>
          <w:p>
            <w:pPr>
              <w:pStyle w:val="TableParagraph"/>
              <w:spacing w:before="6"/>
              <w:ind w:left="104"/>
              <w:rPr>
                <w:rFonts w:ascii="Courier New"/>
                <w:sz w:val="28"/>
              </w:rPr>
            </w:pPr>
            <w:r>
              <w:rPr>
                <w:rFonts w:ascii="Courier New"/>
                <w:w w:val="100"/>
                <w:sz w:val="28"/>
              </w:rPr>
              <w:t>X</w:t>
            </w:r>
          </w:p>
        </w:tc>
        <w:tc>
          <w:tcPr>
            <w:tcW w:w="1417" w:type="dxa"/>
          </w:tcPr>
          <w:p>
            <w:pPr>
              <w:pStyle w:val="TableParagraph"/>
              <w:rPr>
                <w:rFonts w:ascii="Times New Roman"/>
                <w:sz w:val="28"/>
              </w:rPr>
            </w:pPr>
          </w:p>
        </w:tc>
        <w:tc>
          <w:tcPr>
            <w:tcW w:w="1703" w:type="dxa"/>
          </w:tcPr>
          <w:p>
            <w:pPr>
              <w:pStyle w:val="TableParagraph"/>
              <w:rPr>
                <w:rFonts w:ascii="Times New Roman"/>
                <w:sz w:val="28"/>
              </w:rPr>
            </w:pPr>
          </w:p>
        </w:tc>
        <w:tc>
          <w:tcPr>
            <w:tcW w:w="1419" w:type="dxa"/>
          </w:tcPr>
          <w:p>
            <w:pPr>
              <w:pStyle w:val="TableParagraph"/>
              <w:rPr>
                <w:rFonts w:ascii="Times New Roman"/>
                <w:sz w:val="28"/>
              </w:rPr>
            </w:pPr>
          </w:p>
        </w:tc>
        <w:tc>
          <w:tcPr>
            <w:tcW w:w="1700" w:type="dxa"/>
          </w:tcPr>
          <w:p>
            <w:pPr>
              <w:pStyle w:val="TableParagraph"/>
              <w:rPr>
                <w:rFonts w:ascii="Times New Roman"/>
                <w:sz w:val="28"/>
              </w:rPr>
            </w:pPr>
          </w:p>
        </w:tc>
        <w:tc>
          <w:tcPr>
            <w:tcW w:w="2410" w:type="dxa"/>
          </w:tcPr>
          <w:p>
            <w:pPr>
              <w:pStyle w:val="TableParagraph"/>
              <w:rPr>
                <w:rFonts w:ascii="Times New Roman"/>
                <w:sz w:val="28"/>
              </w:rPr>
            </w:pPr>
          </w:p>
        </w:tc>
        <w:tc>
          <w:tcPr>
            <w:tcW w:w="1844" w:type="dxa"/>
          </w:tcPr>
          <w:p>
            <w:pPr>
              <w:pStyle w:val="TableParagraph"/>
              <w:spacing w:before="6"/>
              <w:ind w:left="102"/>
              <w:rPr>
                <w:rFonts w:ascii="Courier New"/>
                <w:sz w:val="28"/>
              </w:rPr>
            </w:pPr>
            <w:r>
              <w:rPr>
                <w:rFonts w:ascii="Courier New"/>
                <w:w w:val="100"/>
                <w:sz w:val="28"/>
              </w:rPr>
              <w:t>X</w:t>
            </w:r>
          </w:p>
        </w:tc>
        <w:tc>
          <w:tcPr>
            <w:tcW w:w="1704" w:type="dxa"/>
          </w:tcPr>
          <w:p>
            <w:pPr>
              <w:pStyle w:val="TableParagraph"/>
              <w:spacing w:before="6"/>
              <w:ind w:left="102"/>
              <w:rPr>
                <w:rFonts w:ascii="Courier New"/>
                <w:sz w:val="28"/>
              </w:rPr>
            </w:pPr>
            <w:r>
              <w:rPr>
                <w:rFonts w:ascii="Courier New"/>
                <w:w w:val="100"/>
                <w:sz w:val="28"/>
              </w:rPr>
              <w:t>X</w:t>
            </w:r>
          </w:p>
        </w:tc>
      </w:tr>
      <w:tr>
        <w:trPr>
          <w:trHeight w:val="564" w:hRule="atLeast"/>
        </w:trPr>
        <w:tc>
          <w:tcPr>
            <w:tcW w:w="2660" w:type="dxa"/>
            <w:shd w:val="clear" w:color="auto" w:fill="00AFEF"/>
          </w:tcPr>
          <w:p>
            <w:pPr>
              <w:pStyle w:val="TableParagraph"/>
              <w:ind w:left="107"/>
              <w:rPr>
                <w:rFonts w:ascii="Courier New"/>
                <w:b/>
                <w:sz w:val="28"/>
              </w:rPr>
            </w:pPr>
            <w:r>
              <w:rPr>
                <w:rFonts w:ascii="Courier New"/>
                <w:b/>
                <w:sz w:val="28"/>
              </w:rPr>
              <w:t>MMS</w:t>
            </w:r>
          </w:p>
        </w:tc>
        <w:tc>
          <w:tcPr>
            <w:tcW w:w="1136" w:type="dxa"/>
          </w:tcPr>
          <w:p>
            <w:pPr>
              <w:pStyle w:val="TableParagraph"/>
              <w:spacing w:before="7"/>
              <w:ind w:left="107"/>
              <w:rPr>
                <w:rFonts w:ascii="Courier New"/>
                <w:sz w:val="28"/>
              </w:rPr>
            </w:pPr>
            <w:r>
              <w:rPr>
                <w:rFonts w:ascii="Courier New"/>
                <w:sz w:val="28"/>
              </w:rPr>
              <w:t>1006</w:t>
            </w:r>
          </w:p>
        </w:tc>
        <w:tc>
          <w:tcPr>
            <w:tcW w:w="1278" w:type="dxa"/>
          </w:tcPr>
          <w:p>
            <w:pPr>
              <w:pStyle w:val="TableParagraph"/>
              <w:spacing w:before="7"/>
              <w:ind w:left="104"/>
              <w:rPr>
                <w:rFonts w:ascii="Courier New"/>
                <w:sz w:val="28"/>
              </w:rPr>
            </w:pPr>
            <w:r>
              <w:rPr>
                <w:rFonts w:ascii="Courier New"/>
                <w:w w:val="100"/>
                <w:sz w:val="28"/>
              </w:rPr>
              <w:t>X</w:t>
            </w:r>
          </w:p>
        </w:tc>
        <w:tc>
          <w:tcPr>
            <w:tcW w:w="1417" w:type="dxa"/>
          </w:tcPr>
          <w:p>
            <w:pPr>
              <w:pStyle w:val="TableParagraph"/>
              <w:rPr>
                <w:rFonts w:ascii="Times New Roman"/>
                <w:sz w:val="28"/>
              </w:rPr>
            </w:pPr>
          </w:p>
        </w:tc>
        <w:tc>
          <w:tcPr>
            <w:tcW w:w="1703" w:type="dxa"/>
          </w:tcPr>
          <w:p>
            <w:pPr>
              <w:pStyle w:val="TableParagraph"/>
              <w:spacing w:before="7"/>
              <w:ind w:left="105"/>
              <w:rPr>
                <w:rFonts w:ascii="Courier New"/>
                <w:sz w:val="28"/>
              </w:rPr>
            </w:pPr>
            <w:r>
              <w:rPr>
                <w:rFonts w:ascii="Courier New"/>
                <w:w w:val="100"/>
                <w:sz w:val="28"/>
              </w:rPr>
              <w:t>X</w:t>
            </w:r>
          </w:p>
        </w:tc>
        <w:tc>
          <w:tcPr>
            <w:tcW w:w="1419" w:type="dxa"/>
          </w:tcPr>
          <w:p>
            <w:pPr>
              <w:pStyle w:val="TableParagraph"/>
              <w:rPr>
                <w:rFonts w:ascii="Times New Roman"/>
                <w:sz w:val="28"/>
              </w:rPr>
            </w:pPr>
          </w:p>
        </w:tc>
        <w:tc>
          <w:tcPr>
            <w:tcW w:w="1700" w:type="dxa"/>
          </w:tcPr>
          <w:p>
            <w:pPr>
              <w:pStyle w:val="TableParagraph"/>
              <w:rPr>
                <w:rFonts w:ascii="Times New Roman"/>
                <w:sz w:val="28"/>
              </w:rPr>
            </w:pPr>
          </w:p>
        </w:tc>
        <w:tc>
          <w:tcPr>
            <w:tcW w:w="2410" w:type="dxa"/>
          </w:tcPr>
          <w:p>
            <w:pPr>
              <w:pStyle w:val="TableParagraph"/>
              <w:rPr>
                <w:rFonts w:ascii="Times New Roman"/>
                <w:sz w:val="28"/>
              </w:rPr>
            </w:pPr>
          </w:p>
        </w:tc>
        <w:tc>
          <w:tcPr>
            <w:tcW w:w="1844" w:type="dxa"/>
          </w:tcPr>
          <w:p>
            <w:pPr>
              <w:pStyle w:val="TableParagraph"/>
              <w:spacing w:before="7"/>
              <w:ind w:left="102"/>
              <w:rPr>
                <w:rFonts w:ascii="Courier New"/>
                <w:sz w:val="28"/>
              </w:rPr>
            </w:pPr>
            <w:r>
              <w:rPr>
                <w:rFonts w:ascii="Courier New"/>
                <w:w w:val="100"/>
                <w:sz w:val="28"/>
              </w:rPr>
              <w:t>X</w:t>
            </w:r>
          </w:p>
        </w:tc>
        <w:tc>
          <w:tcPr>
            <w:tcW w:w="1704" w:type="dxa"/>
          </w:tcPr>
          <w:p>
            <w:pPr>
              <w:pStyle w:val="TableParagraph"/>
              <w:rPr>
                <w:rFonts w:ascii="Times New Roman"/>
                <w:sz w:val="28"/>
              </w:rPr>
            </w:pPr>
          </w:p>
        </w:tc>
      </w:tr>
      <w:tr>
        <w:trPr>
          <w:trHeight w:val="930" w:hRule="atLeast"/>
        </w:trPr>
        <w:tc>
          <w:tcPr>
            <w:tcW w:w="2660" w:type="dxa"/>
            <w:shd w:val="clear" w:color="auto" w:fill="00AFEF"/>
          </w:tcPr>
          <w:p>
            <w:pPr>
              <w:pStyle w:val="TableParagraph"/>
              <w:spacing w:line="278" w:lineRule="auto"/>
              <w:ind w:left="107" w:right="170"/>
              <w:rPr>
                <w:rFonts w:ascii="Courier New"/>
                <w:b/>
                <w:sz w:val="28"/>
              </w:rPr>
            </w:pPr>
            <w:r>
              <w:rPr>
                <w:rFonts w:ascii="Courier New"/>
                <w:b/>
                <w:sz w:val="28"/>
              </w:rPr>
              <w:t>Organic Germa- nium</w:t>
            </w:r>
          </w:p>
        </w:tc>
        <w:tc>
          <w:tcPr>
            <w:tcW w:w="1136" w:type="dxa"/>
          </w:tcPr>
          <w:p>
            <w:pPr>
              <w:pStyle w:val="TableParagraph"/>
              <w:spacing w:before="9"/>
              <w:ind w:left="107"/>
              <w:rPr>
                <w:rFonts w:ascii="Courier New"/>
                <w:sz w:val="28"/>
              </w:rPr>
            </w:pPr>
            <w:r>
              <w:rPr>
                <w:rFonts w:ascii="Courier New"/>
                <w:sz w:val="28"/>
              </w:rPr>
              <w:t>1152</w:t>
            </w:r>
          </w:p>
        </w:tc>
        <w:tc>
          <w:tcPr>
            <w:tcW w:w="1278" w:type="dxa"/>
          </w:tcPr>
          <w:p>
            <w:pPr>
              <w:pStyle w:val="TableParagraph"/>
              <w:spacing w:before="9"/>
              <w:ind w:left="104"/>
              <w:rPr>
                <w:rFonts w:ascii="Courier New"/>
                <w:sz w:val="28"/>
              </w:rPr>
            </w:pPr>
            <w:r>
              <w:rPr>
                <w:rFonts w:ascii="Courier New"/>
                <w:w w:val="100"/>
                <w:sz w:val="28"/>
              </w:rPr>
              <w:t>X</w:t>
            </w:r>
          </w:p>
        </w:tc>
        <w:tc>
          <w:tcPr>
            <w:tcW w:w="1417" w:type="dxa"/>
          </w:tcPr>
          <w:p>
            <w:pPr>
              <w:pStyle w:val="TableParagraph"/>
              <w:rPr>
                <w:rFonts w:ascii="Times New Roman"/>
                <w:sz w:val="28"/>
              </w:rPr>
            </w:pPr>
          </w:p>
        </w:tc>
        <w:tc>
          <w:tcPr>
            <w:tcW w:w="1703" w:type="dxa"/>
          </w:tcPr>
          <w:p>
            <w:pPr>
              <w:pStyle w:val="TableParagraph"/>
              <w:rPr>
                <w:rFonts w:ascii="Times New Roman"/>
                <w:sz w:val="28"/>
              </w:rPr>
            </w:pPr>
          </w:p>
        </w:tc>
        <w:tc>
          <w:tcPr>
            <w:tcW w:w="1419" w:type="dxa"/>
          </w:tcPr>
          <w:p>
            <w:pPr>
              <w:pStyle w:val="TableParagraph"/>
              <w:rPr>
                <w:rFonts w:ascii="Times New Roman"/>
                <w:sz w:val="28"/>
              </w:rPr>
            </w:pPr>
          </w:p>
        </w:tc>
        <w:tc>
          <w:tcPr>
            <w:tcW w:w="1700" w:type="dxa"/>
          </w:tcPr>
          <w:p>
            <w:pPr>
              <w:pStyle w:val="TableParagraph"/>
              <w:rPr>
                <w:rFonts w:ascii="Times New Roman"/>
                <w:sz w:val="28"/>
              </w:rPr>
            </w:pPr>
          </w:p>
        </w:tc>
        <w:tc>
          <w:tcPr>
            <w:tcW w:w="2410" w:type="dxa"/>
          </w:tcPr>
          <w:p>
            <w:pPr>
              <w:pStyle w:val="TableParagraph"/>
              <w:spacing w:before="9"/>
              <w:ind w:left="103"/>
              <w:rPr>
                <w:rFonts w:ascii="Courier New"/>
                <w:sz w:val="28"/>
              </w:rPr>
            </w:pPr>
            <w:r>
              <w:rPr>
                <w:rFonts w:ascii="Courier New"/>
                <w:w w:val="100"/>
                <w:sz w:val="28"/>
              </w:rPr>
              <w:t>X</w:t>
            </w:r>
          </w:p>
        </w:tc>
        <w:tc>
          <w:tcPr>
            <w:tcW w:w="1844" w:type="dxa"/>
          </w:tcPr>
          <w:p>
            <w:pPr>
              <w:pStyle w:val="TableParagraph"/>
              <w:spacing w:before="9"/>
              <w:ind w:left="102"/>
              <w:rPr>
                <w:rFonts w:ascii="Courier New"/>
                <w:sz w:val="28"/>
              </w:rPr>
            </w:pPr>
            <w:r>
              <w:rPr>
                <w:rFonts w:ascii="Courier New"/>
                <w:w w:val="100"/>
                <w:sz w:val="28"/>
              </w:rPr>
              <w:t>X</w:t>
            </w:r>
          </w:p>
        </w:tc>
        <w:tc>
          <w:tcPr>
            <w:tcW w:w="1704" w:type="dxa"/>
          </w:tcPr>
          <w:p>
            <w:pPr>
              <w:pStyle w:val="TableParagraph"/>
              <w:spacing w:before="9"/>
              <w:ind w:left="102"/>
              <w:rPr>
                <w:rFonts w:ascii="Courier New"/>
                <w:sz w:val="28"/>
              </w:rPr>
            </w:pPr>
            <w:r>
              <w:rPr>
                <w:rFonts w:ascii="Courier New"/>
                <w:w w:val="100"/>
                <w:sz w:val="28"/>
              </w:rPr>
              <w:t>X</w:t>
            </w:r>
          </w:p>
        </w:tc>
      </w:tr>
      <w:tr>
        <w:trPr>
          <w:trHeight w:val="563" w:hRule="atLeast"/>
        </w:trPr>
        <w:tc>
          <w:tcPr>
            <w:tcW w:w="2660" w:type="dxa"/>
            <w:shd w:val="clear" w:color="auto" w:fill="00AFEF"/>
          </w:tcPr>
          <w:p>
            <w:pPr>
              <w:pStyle w:val="TableParagraph"/>
              <w:spacing w:line="317" w:lineRule="exact"/>
              <w:ind w:left="107"/>
              <w:rPr>
                <w:rFonts w:ascii="Courier New"/>
                <w:b/>
                <w:sz w:val="28"/>
              </w:rPr>
            </w:pPr>
            <w:r>
              <w:rPr>
                <w:rFonts w:ascii="Courier New"/>
                <w:b/>
                <w:sz w:val="28"/>
              </w:rPr>
              <w:t>Papain</w:t>
            </w:r>
          </w:p>
        </w:tc>
        <w:tc>
          <w:tcPr>
            <w:tcW w:w="1136" w:type="dxa"/>
          </w:tcPr>
          <w:p>
            <w:pPr>
              <w:pStyle w:val="TableParagraph"/>
              <w:spacing w:before="6"/>
              <w:ind w:left="107"/>
              <w:rPr>
                <w:rFonts w:ascii="Courier New"/>
                <w:sz w:val="28"/>
              </w:rPr>
            </w:pPr>
            <w:r>
              <w:rPr>
                <w:rFonts w:ascii="Courier New"/>
                <w:sz w:val="28"/>
              </w:rPr>
              <w:t>1188</w:t>
            </w:r>
          </w:p>
        </w:tc>
        <w:tc>
          <w:tcPr>
            <w:tcW w:w="1278" w:type="dxa"/>
          </w:tcPr>
          <w:p>
            <w:pPr>
              <w:pStyle w:val="TableParagraph"/>
              <w:spacing w:before="6"/>
              <w:ind w:left="104"/>
              <w:rPr>
                <w:rFonts w:ascii="Courier New"/>
                <w:sz w:val="28"/>
              </w:rPr>
            </w:pPr>
            <w:r>
              <w:rPr>
                <w:rFonts w:ascii="Courier New"/>
                <w:w w:val="100"/>
                <w:sz w:val="28"/>
              </w:rPr>
              <w:t>X</w:t>
            </w:r>
          </w:p>
        </w:tc>
        <w:tc>
          <w:tcPr>
            <w:tcW w:w="1417" w:type="dxa"/>
          </w:tcPr>
          <w:p>
            <w:pPr>
              <w:pStyle w:val="TableParagraph"/>
              <w:spacing w:before="6"/>
              <w:ind w:left="103"/>
              <w:rPr>
                <w:rFonts w:ascii="Courier New"/>
                <w:sz w:val="28"/>
              </w:rPr>
            </w:pPr>
            <w:r>
              <w:rPr>
                <w:rFonts w:ascii="Courier New"/>
                <w:w w:val="100"/>
                <w:sz w:val="28"/>
              </w:rPr>
              <w:t>X</w:t>
            </w:r>
          </w:p>
        </w:tc>
        <w:tc>
          <w:tcPr>
            <w:tcW w:w="1703" w:type="dxa"/>
          </w:tcPr>
          <w:p>
            <w:pPr>
              <w:pStyle w:val="TableParagraph"/>
              <w:rPr>
                <w:rFonts w:ascii="Times New Roman"/>
                <w:sz w:val="28"/>
              </w:rPr>
            </w:pPr>
          </w:p>
        </w:tc>
        <w:tc>
          <w:tcPr>
            <w:tcW w:w="1419" w:type="dxa"/>
          </w:tcPr>
          <w:p>
            <w:pPr>
              <w:pStyle w:val="TableParagraph"/>
              <w:rPr>
                <w:rFonts w:ascii="Times New Roman"/>
                <w:sz w:val="28"/>
              </w:rPr>
            </w:pPr>
          </w:p>
        </w:tc>
        <w:tc>
          <w:tcPr>
            <w:tcW w:w="1700" w:type="dxa"/>
          </w:tcPr>
          <w:p>
            <w:pPr>
              <w:pStyle w:val="TableParagraph"/>
              <w:rPr>
                <w:rFonts w:ascii="Times New Roman"/>
                <w:sz w:val="28"/>
              </w:rPr>
            </w:pPr>
          </w:p>
        </w:tc>
        <w:tc>
          <w:tcPr>
            <w:tcW w:w="2410" w:type="dxa"/>
          </w:tcPr>
          <w:p>
            <w:pPr>
              <w:pStyle w:val="TableParagraph"/>
              <w:spacing w:before="6"/>
              <w:ind w:left="103"/>
              <w:rPr>
                <w:rFonts w:ascii="Courier New"/>
                <w:sz w:val="28"/>
              </w:rPr>
            </w:pPr>
            <w:r>
              <w:rPr>
                <w:rFonts w:ascii="Courier New"/>
                <w:w w:val="100"/>
                <w:sz w:val="28"/>
              </w:rPr>
              <w:t>X</w:t>
            </w:r>
          </w:p>
        </w:tc>
        <w:tc>
          <w:tcPr>
            <w:tcW w:w="1844" w:type="dxa"/>
          </w:tcPr>
          <w:p>
            <w:pPr>
              <w:pStyle w:val="TableParagraph"/>
              <w:spacing w:before="6"/>
              <w:ind w:left="102"/>
              <w:rPr>
                <w:rFonts w:ascii="Courier New"/>
                <w:sz w:val="28"/>
              </w:rPr>
            </w:pPr>
            <w:r>
              <w:rPr>
                <w:rFonts w:ascii="Courier New"/>
                <w:w w:val="100"/>
                <w:sz w:val="28"/>
              </w:rPr>
              <w:t>X</w:t>
            </w:r>
          </w:p>
        </w:tc>
        <w:tc>
          <w:tcPr>
            <w:tcW w:w="1704" w:type="dxa"/>
          </w:tcPr>
          <w:p>
            <w:pPr>
              <w:pStyle w:val="TableParagraph"/>
              <w:spacing w:before="6"/>
              <w:ind w:left="102"/>
              <w:rPr>
                <w:rFonts w:ascii="Courier New"/>
                <w:sz w:val="28"/>
              </w:rPr>
            </w:pPr>
            <w:r>
              <w:rPr>
                <w:rFonts w:ascii="Courier New"/>
                <w:w w:val="100"/>
                <w:sz w:val="28"/>
              </w:rPr>
              <w:t>X</w:t>
            </w:r>
          </w:p>
        </w:tc>
      </w:tr>
      <w:tr>
        <w:trPr>
          <w:trHeight w:val="565" w:hRule="atLeast"/>
        </w:trPr>
        <w:tc>
          <w:tcPr>
            <w:tcW w:w="2660" w:type="dxa"/>
            <w:shd w:val="clear" w:color="auto" w:fill="00AFEF"/>
          </w:tcPr>
          <w:p>
            <w:pPr>
              <w:pStyle w:val="TableParagraph"/>
              <w:spacing w:before="2"/>
              <w:ind w:left="107"/>
              <w:rPr>
                <w:rFonts w:ascii="Courier New"/>
                <w:b/>
                <w:sz w:val="28"/>
              </w:rPr>
            </w:pPr>
            <w:r>
              <w:rPr>
                <w:rFonts w:ascii="Courier New"/>
                <w:b/>
                <w:sz w:val="28"/>
              </w:rPr>
              <w:t>Q10</w:t>
            </w:r>
          </w:p>
        </w:tc>
        <w:tc>
          <w:tcPr>
            <w:tcW w:w="1136" w:type="dxa"/>
          </w:tcPr>
          <w:p>
            <w:pPr>
              <w:pStyle w:val="TableParagraph"/>
              <w:spacing w:before="9"/>
              <w:ind w:left="107"/>
              <w:rPr>
                <w:rFonts w:ascii="Courier New"/>
                <w:sz w:val="28"/>
              </w:rPr>
            </w:pPr>
            <w:r>
              <w:rPr>
                <w:rFonts w:ascii="Courier New"/>
                <w:sz w:val="28"/>
              </w:rPr>
              <w:t>1393</w:t>
            </w:r>
          </w:p>
        </w:tc>
        <w:tc>
          <w:tcPr>
            <w:tcW w:w="1278" w:type="dxa"/>
          </w:tcPr>
          <w:p>
            <w:pPr>
              <w:pStyle w:val="TableParagraph"/>
              <w:spacing w:before="9"/>
              <w:ind w:left="104"/>
              <w:rPr>
                <w:rFonts w:ascii="Courier New"/>
                <w:sz w:val="28"/>
              </w:rPr>
            </w:pPr>
            <w:r>
              <w:rPr>
                <w:rFonts w:ascii="Courier New"/>
                <w:w w:val="100"/>
                <w:sz w:val="28"/>
              </w:rPr>
              <w:t>X</w:t>
            </w:r>
          </w:p>
        </w:tc>
        <w:tc>
          <w:tcPr>
            <w:tcW w:w="1417" w:type="dxa"/>
          </w:tcPr>
          <w:p>
            <w:pPr>
              <w:pStyle w:val="TableParagraph"/>
              <w:rPr>
                <w:rFonts w:ascii="Times New Roman"/>
                <w:sz w:val="28"/>
              </w:rPr>
            </w:pPr>
          </w:p>
        </w:tc>
        <w:tc>
          <w:tcPr>
            <w:tcW w:w="1703" w:type="dxa"/>
          </w:tcPr>
          <w:p>
            <w:pPr>
              <w:pStyle w:val="TableParagraph"/>
              <w:rPr>
                <w:rFonts w:ascii="Times New Roman"/>
                <w:sz w:val="28"/>
              </w:rPr>
            </w:pPr>
          </w:p>
        </w:tc>
        <w:tc>
          <w:tcPr>
            <w:tcW w:w="1419" w:type="dxa"/>
          </w:tcPr>
          <w:p>
            <w:pPr>
              <w:pStyle w:val="TableParagraph"/>
              <w:rPr>
                <w:rFonts w:ascii="Times New Roman"/>
                <w:sz w:val="28"/>
              </w:rPr>
            </w:pPr>
          </w:p>
        </w:tc>
        <w:tc>
          <w:tcPr>
            <w:tcW w:w="1700" w:type="dxa"/>
          </w:tcPr>
          <w:p>
            <w:pPr>
              <w:pStyle w:val="TableParagraph"/>
              <w:rPr>
                <w:rFonts w:ascii="Times New Roman"/>
                <w:sz w:val="28"/>
              </w:rPr>
            </w:pPr>
          </w:p>
        </w:tc>
        <w:tc>
          <w:tcPr>
            <w:tcW w:w="2410" w:type="dxa"/>
          </w:tcPr>
          <w:p>
            <w:pPr>
              <w:pStyle w:val="TableParagraph"/>
              <w:spacing w:before="9"/>
              <w:ind w:left="103"/>
              <w:rPr>
                <w:rFonts w:ascii="Courier New"/>
                <w:sz w:val="28"/>
              </w:rPr>
            </w:pPr>
            <w:r>
              <w:rPr>
                <w:rFonts w:ascii="Courier New"/>
                <w:w w:val="100"/>
                <w:sz w:val="28"/>
              </w:rPr>
              <w:t>X</w:t>
            </w:r>
          </w:p>
        </w:tc>
        <w:tc>
          <w:tcPr>
            <w:tcW w:w="1844" w:type="dxa"/>
          </w:tcPr>
          <w:p>
            <w:pPr>
              <w:pStyle w:val="TableParagraph"/>
              <w:spacing w:before="9"/>
              <w:ind w:left="102"/>
              <w:rPr>
                <w:rFonts w:ascii="Courier New"/>
                <w:sz w:val="28"/>
              </w:rPr>
            </w:pPr>
            <w:r>
              <w:rPr>
                <w:rFonts w:ascii="Courier New"/>
                <w:w w:val="100"/>
                <w:sz w:val="28"/>
              </w:rPr>
              <w:t>X</w:t>
            </w:r>
          </w:p>
        </w:tc>
        <w:tc>
          <w:tcPr>
            <w:tcW w:w="1704" w:type="dxa"/>
          </w:tcPr>
          <w:p>
            <w:pPr>
              <w:pStyle w:val="TableParagraph"/>
              <w:spacing w:before="9"/>
              <w:ind w:left="102"/>
              <w:rPr>
                <w:rFonts w:ascii="Courier New"/>
                <w:sz w:val="28"/>
              </w:rPr>
            </w:pPr>
            <w:r>
              <w:rPr>
                <w:rFonts w:ascii="Courier New"/>
                <w:w w:val="100"/>
                <w:sz w:val="28"/>
              </w:rPr>
              <w:t>X</w:t>
            </w:r>
          </w:p>
        </w:tc>
      </w:tr>
      <w:tr>
        <w:trPr>
          <w:trHeight w:val="928" w:hRule="atLeast"/>
        </w:trPr>
        <w:tc>
          <w:tcPr>
            <w:tcW w:w="2660" w:type="dxa"/>
            <w:shd w:val="clear" w:color="auto" w:fill="00AFEF"/>
          </w:tcPr>
          <w:p>
            <w:pPr>
              <w:pStyle w:val="TableParagraph"/>
              <w:spacing w:line="278" w:lineRule="auto"/>
              <w:ind w:left="107" w:right="170"/>
              <w:rPr>
                <w:rFonts w:ascii="Courier New"/>
                <w:b/>
                <w:sz w:val="28"/>
              </w:rPr>
            </w:pPr>
            <w:r>
              <w:rPr>
                <w:rFonts w:ascii="Courier New"/>
                <w:b/>
                <w:sz w:val="28"/>
              </w:rPr>
              <w:t>Reishi medici- nal mushroom</w:t>
            </w:r>
          </w:p>
        </w:tc>
        <w:tc>
          <w:tcPr>
            <w:tcW w:w="1136" w:type="dxa"/>
          </w:tcPr>
          <w:p>
            <w:pPr>
              <w:pStyle w:val="TableParagraph"/>
              <w:spacing w:before="7"/>
              <w:ind w:left="107"/>
              <w:rPr>
                <w:rFonts w:ascii="Courier New"/>
                <w:sz w:val="28"/>
              </w:rPr>
            </w:pPr>
            <w:r>
              <w:rPr>
                <w:rFonts w:ascii="Courier New"/>
                <w:sz w:val="28"/>
              </w:rPr>
              <w:t>1665</w:t>
            </w:r>
          </w:p>
        </w:tc>
        <w:tc>
          <w:tcPr>
            <w:tcW w:w="1278" w:type="dxa"/>
          </w:tcPr>
          <w:p>
            <w:pPr>
              <w:pStyle w:val="TableParagraph"/>
              <w:spacing w:before="7"/>
              <w:ind w:left="104"/>
              <w:rPr>
                <w:rFonts w:ascii="Courier New"/>
                <w:sz w:val="28"/>
              </w:rPr>
            </w:pPr>
            <w:r>
              <w:rPr>
                <w:rFonts w:ascii="Courier New"/>
                <w:w w:val="100"/>
                <w:sz w:val="28"/>
              </w:rPr>
              <w:t>X</w:t>
            </w:r>
          </w:p>
        </w:tc>
        <w:tc>
          <w:tcPr>
            <w:tcW w:w="1417" w:type="dxa"/>
          </w:tcPr>
          <w:p>
            <w:pPr>
              <w:pStyle w:val="TableParagraph"/>
              <w:rPr>
                <w:rFonts w:ascii="Times New Roman"/>
                <w:sz w:val="28"/>
              </w:rPr>
            </w:pPr>
          </w:p>
        </w:tc>
        <w:tc>
          <w:tcPr>
            <w:tcW w:w="1703" w:type="dxa"/>
          </w:tcPr>
          <w:p>
            <w:pPr>
              <w:pStyle w:val="TableParagraph"/>
              <w:spacing w:before="7"/>
              <w:ind w:left="105"/>
              <w:rPr>
                <w:rFonts w:ascii="Courier New"/>
                <w:sz w:val="28"/>
              </w:rPr>
            </w:pPr>
            <w:r>
              <w:rPr>
                <w:rFonts w:ascii="Courier New"/>
                <w:w w:val="100"/>
                <w:sz w:val="28"/>
              </w:rPr>
              <w:t>X</w:t>
            </w:r>
          </w:p>
        </w:tc>
        <w:tc>
          <w:tcPr>
            <w:tcW w:w="1419" w:type="dxa"/>
          </w:tcPr>
          <w:p>
            <w:pPr>
              <w:pStyle w:val="TableParagraph"/>
              <w:rPr>
                <w:rFonts w:ascii="Times New Roman"/>
                <w:sz w:val="28"/>
              </w:rPr>
            </w:pPr>
          </w:p>
        </w:tc>
        <w:tc>
          <w:tcPr>
            <w:tcW w:w="1700" w:type="dxa"/>
          </w:tcPr>
          <w:p>
            <w:pPr>
              <w:pStyle w:val="TableParagraph"/>
              <w:rPr>
                <w:rFonts w:ascii="Times New Roman"/>
                <w:sz w:val="28"/>
              </w:rPr>
            </w:pPr>
          </w:p>
        </w:tc>
        <w:tc>
          <w:tcPr>
            <w:tcW w:w="2410" w:type="dxa"/>
          </w:tcPr>
          <w:p>
            <w:pPr>
              <w:pStyle w:val="TableParagraph"/>
              <w:rPr>
                <w:rFonts w:ascii="Times New Roman"/>
                <w:sz w:val="28"/>
              </w:rPr>
            </w:pPr>
          </w:p>
        </w:tc>
        <w:tc>
          <w:tcPr>
            <w:tcW w:w="1844" w:type="dxa"/>
          </w:tcPr>
          <w:p>
            <w:pPr>
              <w:pStyle w:val="TableParagraph"/>
              <w:spacing w:before="7"/>
              <w:ind w:left="102"/>
              <w:rPr>
                <w:rFonts w:ascii="Courier New"/>
                <w:sz w:val="28"/>
              </w:rPr>
            </w:pPr>
            <w:r>
              <w:rPr>
                <w:rFonts w:ascii="Courier New"/>
                <w:w w:val="100"/>
                <w:sz w:val="28"/>
              </w:rPr>
              <w:t>X</w:t>
            </w:r>
          </w:p>
        </w:tc>
        <w:tc>
          <w:tcPr>
            <w:tcW w:w="1704" w:type="dxa"/>
          </w:tcPr>
          <w:p>
            <w:pPr>
              <w:pStyle w:val="TableParagraph"/>
              <w:spacing w:before="7"/>
              <w:ind w:left="102"/>
              <w:rPr>
                <w:rFonts w:ascii="Courier New"/>
                <w:sz w:val="28"/>
              </w:rPr>
            </w:pPr>
            <w:r>
              <w:rPr>
                <w:rFonts w:ascii="Courier New"/>
                <w:w w:val="100"/>
                <w:sz w:val="28"/>
              </w:rPr>
              <w:t>X</w:t>
            </w:r>
          </w:p>
        </w:tc>
      </w:tr>
      <w:tr>
        <w:trPr>
          <w:trHeight w:val="1295" w:hRule="atLeast"/>
        </w:trPr>
        <w:tc>
          <w:tcPr>
            <w:tcW w:w="2660" w:type="dxa"/>
            <w:shd w:val="clear" w:color="auto" w:fill="00AFEF"/>
          </w:tcPr>
          <w:p>
            <w:pPr>
              <w:pStyle w:val="TableParagraph"/>
              <w:spacing w:line="276" w:lineRule="auto"/>
              <w:ind w:left="107" w:right="338"/>
              <w:rPr>
                <w:rFonts w:ascii="Courier New"/>
                <w:b/>
                <w:sz w:val="28"/>
              </w:rPr>
            </w:pPr>
            <w:r>
              <w:rPr>
                <w:rFonts w:ascii="Courier New"/>
                <w:b/>
                <w:sz w:val="28"/>
              </w:rPr>
              <w:t>Shiitake me- dicinal mush- room</w:t>
            </w:r>
          </w:p>
        </w:tc>
        <w:tc>
          <w:tcPr>
            <w:tcW w:w="1136" w:type="dxa"/>
          </w:tcPr>
          <w:p>
            <w:pPr>
              <w:pStyle w:val="TableParagraph"/>
              <w:spacing w:before="9"/>
              <w:ind w:left="107"/>
              <w:rPr>
                <w:rFonts w:ascii="Courier New"/>
                <w:sz w:val="28"/>
              </w:rPr>
            </w:pPr>
            <w:r>
              <w:rPr>
                <w:rFonts w:ascii="Courier New"/>
                <w:sz w:val="28"/>
              </w:rPr>
              <w:t>1685</w:t>
            </w:r>
          </w:p>
        </w:tc>
        <w:tc>
          <w:tcPr>
            <w:tcW w:w="1278" w:type="dxa"/>
          </w:tcPr>
          <w:p>
            <w:pPr>
              <w:pStyle w:val="TableParagraph"/>
              <w:spacing w:before="9"/>
              <w:ind w:left="104"/>
              <w:rPr>
                <w:rFonts w:ascii="Courier New"/>
                <w:sz w:val="28"/>
              </w:rPr>
            </w:pPr>
            <w:r>
              <w:rPr>
                <w:rFonts w:ascii="Courier New"/>
                <w:w w:val="100"/>
                <w:sz w:val="28"/>
              </w:rPr>
              <w:t>X</w:t>
            </w:r>
          </w:p>
        </w:tc>
        <w:tc>
          <w:tcPr>
            <w:tcW w:w="1417" w:type="dxa"/>
          </w:tcPr>
          <w:p>
            <w:pPr>
              <w:pStyle w:val="TableParagraph"/>
              <w:spacing w:before="9"/>
              <w:ind w:left="103"/>
              <w:rPr>
                <w:rFonts w:ascii="Courier New"/>
                <w:sz w:val="28"/>
              </w:rPr>
            </w:pPr>
            <w:r>
              <w:rPr>
                <w:rFonts w:ascii="Courier New"/>
                <w:w w:val="100"/>
                <w:sz w:val="28"/>
              </w:rPr>
              <w:t>X</w:t>
            </w:r>
          </w:p>
        </w:tc>
        <w:tc>
          <w:tcPr>
            <w:tcW w:w="1703" w:type="dxa"/>
          </w:tcPr>
          <w:p>
            <w:pPr>
              <w:pStyle w:val="TableParagraph"/>
              <w:spacing w:before="9"/>
              <w:ind w:left="105"/>
              <w:rPr>
                <w:rFonts w:ascii="Courier New"/>
                <w:sz w:val="28"/>
              </w:rPr>
            </w:pPr>
            <w:r>
              <w:rPr>
                <w:rFonts w:ascii="Courier New"/>
                <w:w w:val="100"/>
                <w:sz w:val="28"/>
              </w:rPr>
              <w:t>X</w:t>
            </w:r>
          </w:p>
        </w:tc>
        <w:tc>
          <w:tcPr>
            <w:tcW w:w="1419" w:type="dxa"/>
          </w:tcPr>
          <w:p>
            <w:pPr>
              <w:pStyle w:val="TableParagraph"/>
              <w:rPr>
                <w:rFonts w:ascii="Times New Roman"/>
                <w:sz w:val="28"/>
              </w:rPr>
            </w:pPr>
          </w:p>
        </w:tc>
        <w:tc>
          <w:tcPr>
            <w:tcW w:w="1700" w:type="dxa"/>
          </w:tcPr>
          <w:p>
            <w:pPr>
              <w:pStyle w:val="TableParagraph"/>
              <w:rPr>
                <w:rFonts w:ascii="Times New Roman"/>
                <w:sz w:val="28"/>
              </w:rPr>
            </w:pPr>
          </w:p>
        </w:tc>
        <w:tc>
          <w:tcPr>
            <w:tcW w:w="2410" w:type="dxa"/>
          </w:tcPr>
          <w:p>
            <w:pPr>
              <w:pStyle w:val="TableParagraph"/>
              <w:rPr>
                <w:rFonts w:ascii="Times New Roman"/>
                <w:sz w:val="28"/>
              </w:rPr>
            </w:pPr>
          </w:p>
        </w:tc>
        <w:tc>
          <w:tcPr>
            <w:tcW w:w="1844" w:type="dxa"/>
          </w:tcPr>
          <w:p>
            <w:pPr>
              <w:pStyle w:val="TableParagraph"/>
              <w:spacing w:before="9"/>
              <w:ind w:left="102"/>
              <w:rPr>
                <w:rFonts w:ascii="Courier New"/>
                <w:sz w:val="28"/>
              </w:rPr>
            </w:pPr>
            <w:r>
              <w:rPr>
                <w:rFonts w:ascii="Courier New"/>
                <w:w w:val="100"/>
                <w:sz w:val="28"/>
              </w:rPr>
              <w:t>X</w:t>
            </w:r>
          </w:p>
        </w:tc>
        <w:tc>
          <w:tcPr>
            <w:tcW w:w="1704" w:type="dxa"/>
          </w:tcPr>
          <w:p>
            <w:pPr>
              <w:pStyle w:val="TableParagraph"/>
              <w:spacing w:before="9"/>
              <w:ind w:left="102"/>
              <w:rPr>
                <w:rFonts w:ascii="Courier New"/>
                <w:sz w:val="28"/>
              </w:rPr>
            </w:pPr>
            <w:r>
              <w:rPr>
                <w:rFonts w:ascii="Courier New"/>
                <w:w w:val="100"/>
                <w:sz w:val="28"/>
              </w:rPr>
              <w:t>X</w:t>
            </w:r>
          </w:p>
        </w:tc>
      </w:tr>
      <w:tr>
        <w:trPr>
          <w:trHeight w:val="931" w:hRule="atLeast"/>
        </w:trPr>
        <w:tc>
          <w:tcPr>
            <w:tcW w:w="2660" w:type="dxa"/>
            <w:shd w:val="clear" w:color="auto" w:fill="00AFEF"/>
          </w:tcPr>
          <w:p>
            <w:pPr>
              <w:pStyle w:val="TableParagraph"/>
              <w:spacing w:line="278" w:lineRule="auto"/>
              <w:ind w:left="107" w:right="170"/>
              <w:rPr>
                <w:rFonts w:ascii="Courier New"/>
                <w:b/>
                <w:sz w:val="28"/>
              </w:rPr>
            </w:pPr>
            <w:r>
              <w:rPr>
                <w:rFonts w:ascii="Courier New"/>
                <w:b/>
                <w:sz w:val="28"/>
              </w:rPr>
              <w:t>Maitake medic- inal mushroom</w:t>
            </w:r>
          </w:p>
        </w:tc>
        <w:tc>
          <w:tcPr>
            <w:tcW w:w="1136" w:type="dxa"/>
          </w:tcPr>
          <w:p>
            <w:pPr>
              <w:pStyle w:val="TableParagraph"/>
              <w:spacing w:before="6"/>
              <w:ind w:left="107"/>
              <w:rPr>
                <w:rFonts w:ascii="Courier New"/>
                <w:sz w:val="28"/>
              </w:rPr>
            </w:pPr>
            <w:r>
              <w:rPr>
                <w:rFonts w:ascii="Courier New"/>
                <w:sz w:val="28"/>
              </w:rPr>
              <w:t>1697</w:t>
            </w:r>
          </w:p>
        </w:tc>
        <w:tc>
          <w:tcPr>
            <w:tcW w:w="1278" w:type="dxa"/>
          </w:tcPr>
          <w:p>
            <w:pPr>
              <w:pStyle w:val="TableParagraph"/>
              <w:spacing w:before="6"/>
              <w:ind w:left="104"/>
              <w:rPr>
                <w:rFonts w:ascii="Courier New"/>
                <w:sz w:val="28"/>
              </w:rPr>
            </w:pPr>
            <w:r>
              <w:rPr>
                <w:rFonts w:ascii="Courier New"/>
                <w:w w:val="100"/>
                <w:sz w:val="28"/>
              </w:rPr>
              <w:t>X</w:t>
            </w:r>
          </w:p>
        </w:tc>
        <w:tc>
          <w:tcPr>
            <w:tcW w:w="1417" w:type="dxa"/>
          </w:tcPr>
          <w:p>
            <w:pPr>
              <w:pStyle w:val="TableParagraph"/>
              <w:rPr>
                <w:rFonts w:ascii="Times New Roman"/>
                <w:sz w:val="28"/>
              </w:rPr>
            </w:pPr>
          </w:p>
        </w:tc>
        <w:tc>
          <w:tcPr>
            <w:tcW w:w="1703" w:type="dxa"/>
          </w:tcPr>
          <w:p>
            <w:pPr>
              <w:pStyle w:val="TableParagraph"/>
              <w:spacing w:before="6"/>
              <w:ind w:left="105"/>
              <w:rPr>
                <w:rFonts w:ascii="Courier New"/>
                <w:sz w:val="28"/>
              </w:rPr>
            </w:pPr>
            <w:r>
              <w:rPr>
                <w:rFonts w:ascii="Courier New"/>
                <w:w w:val="100"/>
                <w:sz w:val="28"/>
              </w:rPr>
              <w:t>X</w:t>
            </w:r>
          </w:p>
        </w:tc>
        <w:tc>
          <w:tcPr>
            <w:tcW w:w="1419" w:type="dxa"/>
          </w:tcPr>
          <w:p>
            <w:pPr>
              <w:pStyle w:val="TableParagraph"/>
              <w:rPr>
                <w:rFonts w:ascii="Times New Roman"/>
                <w:sz w:val="28"/>
              </w:rPr>
            </w:pPr>
          </w:p>
        </w:tc>
        <w:tc>
          <w:tcPr>
            <w:tcW w:w="1700" w:type="dxa"/>
          </w:tcPr>
          <w:p>
            <w:pPr>
              <w:pStyle w:val="TableParagraph"/>
              <w:rPr>
                <w:rFonts w:ascii="Times New Roman"/>
                <w:sz w:val="28"/>
              </w:rPr>
            </w:pPr>
          </w:p>
        </w:tc>
        <w:tc>
          <w:tcPr>
            <w:tcW w:w="2410" w:type="dxa"/>
          </w:tcPr>
          <w:p>
            <w:pPr>
              <w:pStyle w:val="TableParagraph"/>
              <w:rPr>
                <w:rFonts w:ascii="Times New Roman"/>
                <w:sz w:val="28"/>
              </w:rPr>
            </w:pPr>
          </w:p>
        </w:tc>
        <w:tc>
          <w:tcPr>
            <w:tcW w:w="1844" w:type="dxa"/>
          </w:tcPr>
          <w:p>
            <w:pPr>
              <w:pStyle w:val="TableParagraph"/>
              <w:spacing w:before="6"/>
              <w:ind w:left="102"/>
              <w:rPr>
                <w:rFonts w:ascii="Courier New"/>
                <w:sz w:val="28"/>
              </w:rPr>
            </w:pPr>
            <w:r>
              <w:rPr>
                <w:rFonts w:ascii="Courier New"/>
                <w:w w:val="100"/>
                <w:sz w:val="28"/>
              </w:rPr>
              <w:t>X</w:t>
            </w:r>
          </w:p>
        </w:tc>
        <w:tc>
          <w:tcPr>
            <w:tcW w:w="1704" w:type="dxa"/>
          </w:tcPr>
          <w:p>
            <w:pPr>
              <w:pStyle w:val="TableParagraph"/>
              <w:spacing w:before="6"/>
              <w:ind w:left="102"/>
              <w:rPr>
                <w:rFonts w:ascii="Courier New"/>
                <w:sz w:val="28"/>
              </w:rPr>
            </w:pPr>
            <w:r>
              <w:rPr>
                <w:rFonts w:ascii="Courier New"/>
                <w:w w:val="100"/>
                <w:sz w:val="28"/>
              </w:rPr>
              <w:t>X</w:t>
            </w:r>
          </w:p>
        </w:tc>
      </w:tr>
    </w:tbl>
    <w:p>
      <w:pPr>
        <w:spacing w:after="0"/>
        <w:rPr>
          <w:rFonts w:ascii="Courier New"/>
          <w:sz w:val="28"/>
        </w:rPr>
        <w:sectPr>
          <w:pgSz w:w="18630" w:h="11910" w:orient="landscape"/>
          <w:pgMar w:header="0" w:footer="404" w:top="840" w:bottom="600" w:left="740" w:right="8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60"/>
        <w:gridCol w:w="1136"/>
        <w:gridCol w:w="1278"/>
        <w:gridCol w:w="1417"/>
        <w:gridCol w:w="1703"/>
        <w:gridCol w:w="1419"/>
        <w:gridCol w:w="1700"/>
        <w:gridCol w:w="2410"/>
        <w:gridCol w:w="1844"/>
        <w:gridCol w:w="1704"/>
      </w:tblGrid>
      <w:tr>
        <w:trPr>
          <w:trHeight w:val="1293" w:hRule="atLeast"/>
        </w:trPr>
        <w:tc>
          <w:tcPr>
            <w:tcW w:w="2660" w:type="dxa"/>
            <w:shd w:val="clear" w:color="auto" w:fill="00AFEF"/>
          </w:tcPr>
          <w:p>
            <w:pPr>
              <w:pStyle w:val="TableParagraph"/>
              <w:spacing w:line="276" w:lineRule="auto"/>
              <w:ind w:left="107" w:right="338"/>
              <w:rPr>
                <w:rFonts w:ascii="Courier New"/>
                <w:b/>
                <w:sz w:val="28"/>
              </w:rPr>
            </w:pPr>
            <w:r>
              <w:rPr>
                <w:rFonts w:ascii="Courier New"/>
                <w:b/>
                <w:sz w:val="28"/>
              </w:rPr>
              <w:t>Hericium me- dicinal mush- room</w:t>
            </w:r>
          </w:p>
        </w:tc>
        <w:tc>
          <w:tcPr>
            <w:tcW w:w="1136" w:type="dxa"/>
          </w:tcPr>
          <w:p>
            <w:pPr>
              <w:pStyle w:val="TableParagraph"/>
              <w:spacing w:before="6"/>
              <w:ind w:left="107"/>
              <w:rPr>
                <w:rFonts w:ascii="Courier New"/>
                <w:sz w:val="28"/>
              </w:rPr>
            </w:pPr>
            <w:r>
              <w:rPr>
                <w:rFonts w:ascii="Courier New"/>
                <w:sz w:val="28"/>
              </w:rPr>
              <w:t>1707</w:t>
            </w:r>
          </w:p>
        </w:tc>
        <w:tc>
          <w:tcPr>
            <w:tcW w:w="1278" w:type="dxa"/>
          </w:tcPr>
          <w:p>
            <w:pPr>
              <w:pStyle w:val="TableParagraph"/>
              <w:spacing w:before="6"/>
              <w:ind w:left="104"/>
              <w:rPr>
                <w:rFonts w:ascii="Courier New"/>
                <w:sz w:val="28"/>
              </w:rPr>
            </w:pPr>
            <w:r>
              <w:rPr>
                <w:rFonts w:ascii="Courier New"/>
                <w:w w:val="100"/>
                <w:sz w:val="28"/>
              </w:rPr>
              <w:t>X</w:t>
            </w:r>
          </w:p>
        </w:tc>
        <w:tc>
          <w:tcPr>
            <w:tcW w:w="1417" w:type="dxa"/>
          </w:tcPr>
          <w:p>
            <w:pPr>
              <w:pStyle w:val="TableParagraph"/>
              <w:rPr>
                <w:rFonts w:ascii="Times New Roman"/>
                <w:sz w:val="28"/>
              </w:rPr>
            </w:pPr>
          </w:p>
        </w:tc>
        <w:tc>
          <w:tcPr>
            <w:tcW w:w="1703" w:type="dxa"/>
          </w:tcPr>
          <w:p>
            <w:pPr>
              <w:pStyle w:val="TableParagraph"/>
              <w:rPr>
                <w:rFonts w:ascii="Times New Roman"/>
                <w:sz w:val="28"/>
              </w:rPr>
            </w:pPr>
          </w:p>
        </w:tc>
        <w:tc>
          <w:tcPr>
            <w:tcW w:w="1419" w:type="dxa"/>
          </w:tcPr>
          <w:p>
            <w:pPr>
              <w:pStyle w:val="TableParagraph"/>
              <w:rPr>
                <w:rFonts w:ascii="Times New Roman"/>
                <w:sz w:val="28"/>
              </w:rPr>
            </w:pPr>
          </w:p>
        </w:tc>
        <w:tc>
          <w:tcPr>
            <w:tcW w:w="1700" w:type="dxa"/>
          </w:tcPr>
          <w:p>
            <w:pPr>
              <w:pStyle w:val="TableParagraph"/>
              <w:rPr>
                <w:rFonts w:ascii="Times New Roman"/>
                <w:sz w:val="28"/>
              </w:rPr>
            </w:pPr>
          </w:p>
        </w:tc>
        <w:tc>
          <w:tcPr>
            <w:tcW w:w="2410" w:type="dxa"/>
          </w:tcPr>
          <w:p>
            <w:pPr>
              <w:pStyle w:val="TableParagraph"/>
              <w:rPr>
                <w:rFonts w:ascii="Times New Roman"/>
                <w:sz w:val="28"/>
              </w:rPr>
            </w:pPr>
          </w:p>
        </w:tc>
        <w:tc>
          <w:tcPr>
            <w:tcW w:w="1844" w:type="dxa"/>
          </w:tcPr>
          <w:p>
            <w:pPr>
              <w:pStyle w:val="TableParagraph"/>
              <w:spacing w:before="6"/>
              <w:ind w:left="102"/>
              <w:rPr>
                <w:rFonts w:ascii="Courier New"/>
                <w:sz w:val="28"/>
              </w:rPr>
            </w:pPr>
            <w:r>
              <w:rPr>
                <w:rFonts w:ascii="Courier New"/>
                <w:w w:val="100"/>
                <w:sz w:val="28"/>
              </w:rPr>
              <w:t>X</w:t>
            </w:r>
          </w:p>
        </w:tc>
        <w:tc>
          <w:tcPr>
            <w:tcW w:w="1704" w:type="dxa"/>
          </w:tcPr>
          <w:p>
            <w:pPr>
              <w:pStyle w:val="TableParagraph"/>
              <w:spacing w:before="6"/>
              <w:ind w:left="102"/>
              <w:rPr>
                <w:rFonts w:ascii="Courier New"/>
                <w:sz w:val="28"/>
              </w:rPr>
            </w:pPr>
            <w:r>
              <w:rPr>
                <w:rFonts w:ascii="Courier New"/>
                <w:w w:val="100"/>
                <w:sz w:val="28"/>
              </w:rPr>
              <w:t>X</w:t>
            </w:r>
          </w:p>
        </w:tc>
      </w:tr>
      <w:tr>
        <w:trPr>
          <w:trHeight w:val="566" w:hRule="atLeast"/>
        </w:trPr>
        <w:tc>
          <w:tcPr>
            <w:tcW w:w="2660" w:type="dxa"/>
            <w:shd w:val="clear" w:color="auto" w:fill="00AFEF"/>
          </w:tcPr>
          <w:p>
            <w:pPr>
              <w:pStyle w:val="TableParagraph"/>
              <w:spacing w:line="317" w:lineRule="exact"/>
              <w:ind w:left="107"/>
              <w:rPr>
                <w:rFonts w:ascii="Courier New"/>
                <w:b/>
                <w:sz w:val="28"/>
              </w:rPr>
            </w:pPr>
            <w:r>
              <w:rPr>
                <w:rFonts w:ascii="Courier New"/>
                <w:b/>
                <w:sz w:val="28"/>
              </w:rPr>
              <w:t>Polyporus</w:t>
            </w:r>
          </w:p>
        </w:tc>
        <w:tc>
          <w:tcPr>
            <w:tcW w:w="1136" w:type="dxa"/>
          </w:tcPr>
          <w:p>
            <w:pPr>
              <w:pStyle w:val="TableParagraph"/>
              <w:spacing w:before="6"/>
              <w:ind w:left="107"/>
              <w:rPr>
                <w:rFonts w:ascii="Courier New"/>
                <w:sz w:val="28"/>
              </w:rPr>
            </w:pPr>
            <w:r>
              <w:rPr>
                <w:rFonts w:ascii="Courier New"/>
                <w:sz w:val="28"/>
              </w:rPr>
              <w:t>1845</w:t>
            </w:r>
          </w:p>
        </w:tc>
        <w:tc>
          <w:tcPr>
            <w:tcW w:w="1278" w:type="dxa"/>
          </w:tcPr>
          <w:p>
            <w:pPr>
              <w:pStyle w:val="TableParagraph"/>
              <w:spacing w:before="6"/>
              <w:ind w:left="104"/>
              <w:rPr>
                <w:rFonts w:ascii="Courier New"/>
                <w:sz w:val="28"/>
              </w:rPr>
            </w:pPr>
            <w:r>
              <w:rPr>
                <w:rFonts w:ascii="Courier New"/>
                <w:w w:val="100"/>
                <w:sz w:val="28"/>
              </w:rPr>
              <w:t>X</w:t>
            </w:r>
          </w:p>
        </w:tc>
        <w:tc>
          <w:tcPr>
            <w:tcW w:w="1417" w:type="dxa"/>
          </w:tcPr>
          <w:p>
            <w:pPr>
              <w:pStyle w:val="TableParagraph"/>
              <w:rPr>
                <w:rFonts w:ascii="Times New Roman"/>
                <w:sz w:val="28"/>
              </w:rPr>
            </w:pPr>
          </w:p>
        </w:tc>
        <w:tc>
          <w:tcPr>
            <w:tcW w:w="1703" w:type="dxa"/>
          </w:tcPr>
          <w:p>
            <w:pPr>
              <w:pStyle w:val="TableParagraph"/>
              <w:rPr>
                <w:rFonts w:ascii="Times New Roman"/>
                <w:sz w:val="28"/>
              </w:rPr>
            </w:pPr>
          </w:p>
        </w:tc>
        <w:tc>
          <w:tcPr>
            <w:tcW w:w="1419" w:type="dxa"/>
          </w:tcPr>
          <w:p>
            <w:pPr>
              <w:pStyle w:val="TableParagraph"/>
              <w:rPr>
                <w:rFonts w:ascii="Times New Roman"/>
                <w:sz w:val="28"/>
              </w:rPr>
            </w:pPr>
          </w:p>
        </w:tc>
        <w:tc>
          <w:tcPr>
            <w:tcW w:w="1700" w:type="dxa"/>
          </w:tcPr>
          <w:p>
            <w:pPr>
              <w:pStyle w:val="TableParagraph"/>
              <w:rPr>
                <w:rFonts w:ascii="Times New Roman"/>
                <w:sz w:val="28"/>
              </w:rPr>
            </w:pPr>
          </w:p>
        </w:tc>
        <w:tc>
          <w:tcPr>
            <w:tcW w:w="2410" w:type="dxa"/>
          </w:tcPr>
          <w:p>
            <w:pPr>
              <w:pStyle w:val="TableParagraph"/>
              <w:rPr>
                <w:rFonts w:ascii="Times New Roman"/>
                <w:sz w:val="28"/>
              </w:rPr>
            </w:pPr>
          </w:p>
        </w:tc>
        <w:tc>
          <w:tcPr>
            <w:tcW w:w="1844" w:type="dxa"/>
          </w:tcPr>
          <w:p>
            <w:pPr>
              <w:pStyle w:val="TableParagraph"/>
              <w:spacing w:before="6"/>
              <w:ind w:left="102"/>
              <w:rPr>
                <w:rFonts w:ascii="Courier New"/>
                <w:sz w:val="28"/>
              </w:rPr>
            </w:pPr>
            <w:r>
              <w:rPr>
                <w:rFonts w:ascii="Courier New"/>
                <w:w w:val="100"/>
                <w:sz w:val="28"/>
              </w:rPr>
              <w:t>X</w:t>
            </w:r>
          </w:p>
        </w:tc>
        <w:tc>
          <w:tcPr>
            <w:tcW w:w="1704" w:type="dxa"/>
          </w:tcPr>
          <w:p>
            <w:pPr>
              <w:pStyle w:val="TableParagraph"/>
              <w:spacing w:before="6"/>
              <w:ind w:left="102"/>
              <w:rPr>
                <w:rFonts w:ascii="Courier New"/>
                <w:sz w:val="28"/>
              </w:rPr>
            </w:pPr>
            <w:r>
              <w:rPr>
                <w:rFonts w:ascii="Courier New"/>
                <w:w w:val="100"/>
                <w:sz w:val="28"/>
              </w:rPr>
              <w:t>X</w:t>
            </w:r>
          </w:p>
        </w:tc>
      </w:tr>
      <w:tr>
        <w:trPr>
          <w:trHeight w:val="563" w:hRule="atLeast"/>
        </w:trPr>
        <w:tc>
          <w:tcPr>
            <w:tcW w:w="2660" w:type="dxa"/>
            <w:shd w:val="clear" w:color="auto" w:fill="00AFEF"/>
          </w:tcPr>
          <w:p>
            <w:pPr>
              <w:pStyle w:val="TableParagraph"/>
              <w:spacing w:line="317" w:lineRule="exact"/>
              <w:ind w:left="107"/>
              <w:rPr>
                <w:rFonts w:ascii="Courier New"/>
                <w:b/>
                <w:sz w:val="28"/>
              </w:rPr>
            </w:pPr>
            <w:r>
              <w:rPr>
                <w:rFonts w:ascii="Courier New"/>
                <w:b/>
                <w:sz w:val="28"/>
              </w:rPr>
              <w:t>Coriolus</w:t>
            </w:r>
          </w:p>
        </w:tc>
        <w:tc>
          <w:tcPr>
            <w:tcW w:w="1136" w:type="dxa"/>
          </w:tcPr>
          <w:p>
            <w:pPr>
              <w:pStyle w:val="TableParagraph"/>
              <w:spacing w:before="6"/>
              <w:ind w:left="107"/>
              <w:rPr>
                <w:rFonts w:ascii="Courier New"/>
                <w:sz w:val="28"/>
              </w:rPr>
            </w:pPr>
            <w:r>
              <w:rPr>
                <w:rFonts w:ascii="Courier New"/>
                <w:sz w:val="28"/>
              </w:rPr>
              <w:t>1848</w:t>
            </w:r>
          </w:p>
        </w:tc>
        <w:tc>
          <w:tcPr>
            <w:tcW w:w="1278" w:type="dxa"/>
          </w:tcPr>
          <w:p>
            <w:pPr>
              <w:pStyle w:val="TableParagraph"/>
              <w:spacing w:before="6"/>
              <w:ind w:left="104"/>
              <w:rPr>
                <w:rFonts w:ascii="Courier New"/>
                <w:sz w:val="28"/>
              </w:rPr>
            </w:pPr>
            <w:r>
              <w:rPr>
                <w:rFonts w:ascii="Courier New"/>
                <w:w w:val="100"/>
                <w:sz w:val="28"/>
              </w:rPr>
              <w:t>X</w:t>
            </w:r>
          </w:p>
        </w:tc>
        <w:tc>
          <w:tcPr>
            <w:tcW w:w="1417" w:type="dxa"/>
          </w:tcPr>
          <w:p>
            <w:pPr>
              <w:pStyle w:val="TableParagraph"/>
              <w:rPr>
                <w:rFonts w:ascii="Times New Roman"/>
                <w:sz w:val="28"/>
              </w:rPr>
            </w:pPr>
          </w:p>
        </w:tc>
        <w:tc>
          <w:tcPr>
            <w:tcW w:w="1703" w:type="dxa"/>
          </w:tcPr>
          <w:p>
            <w:pPr>
              <w:pStyle w:val="TableParagraph"/>
              <w:rPr>
                <w:rFonts w:ascii="Times New Roman"/>
                <w:sz w:val="28"/>
              </w:rPr>
            </w:pPr>
          </w:p>
        </w:tc>
        <w:tc>
          <w:tcPr>
            <w:tcW w:w="1419" w:type="dxa"/>
          </w:tcPr>
          <w:p>
            <w:pPr>
              <w:pStyle w:val="TableParagraph"/>
              <w:rPr>
                <w:rFonts w:ascii="Times New Roman"/>
                <w:sz w:val="28"/>
              </w:rPr>
            </w:pPr>
          </w:p>
        </w:tc>
        <w:tc>
          <w:tcPr>
            <w:tcW w:w="1700" w:type="dxa"/>
          </w:tcPr>
          <w:p>
            <w:pPr>
              <w:pStyle w:val="TableParagraph"/>
              <w:rPr>
                <w:rFonts w:ascii="Times New Roman"/>
                <w:sz w:val="28"/>
              </w:rPr>
            </w:pPr>
          </w:p>
        </w:tc>
        <w:tc>
          <w:tcPr>
            <w:tcW w:w="2410" w:type="dxa"/>
          </w:tcPr>
          <w:p>
            <w:pPr>
              <w:pStyle w:val="TableParagraph"/>
              <w:rPr>
                <w:rFonts w:ascii="Times New Roman"/>
                <w:sz w:val="28"/>
              </w:rPr>
            </w:pPr>
          </w:p>
        </w:tc>
        <w:tc>
          <w:tcPr>
            <w:tcW w:w="1844" w:type="dxa"/>
          </w:tcPr>
          <w:p>
            <w:pPr>
              <w:pStyle w:val="TableParagraph"/>
              <w:spacing w:before="6"/>
              <w:ind w:left="102"/>
              <w:rPr>
                <w:rFonts w:ascii="Courier New"/>
                <w:sz w:val="28"/>
              </w:rPr>
            </w:pPr>
            <w:r>
              <w:rPr>
                <w:rFonts w:ascii="Courier New"/>
                <w:w w:val="100"/>
                <w:sz w:val="28"/>
              </w:rPr>
              <w:t>X</w:t>
            </w:r>
          </w:p>
        </w:tc>
        <w:tc>
          <w:tcPr>
            <w:tcW w:w="1704" w:type="dxa"/>
          </w:tcPr>
          <w:p>
            <w:pPr>
              <w:pStyle w:val="TableParagraph"/>
              <w:spacing w:before="6"/>
              <w:ind w:left="102"/>
              <w:rPr>
                <w:rFonts w:ascii="Courier New"/>
                <w:sz w:val="28"/>
              </w:rPr>
            </w:pPr>
            <w:r>
              <w:rPr>
                <w:rFonts w:ascii="Courier New"/>
                <w:w w:val="100"/>
                <w:sz w:val="28"/>
              </w:rPr>
              <w:t>X</w:t>
            </w:r>
          </w:p>
        </w:tc>
      </w:tr>
    </w:tbl>
    <w:p>
      <w:pPr>
        <w:spacing w:before="12"/>
        <w:ind w:left="112" w:right="0" w:firstLine="0"/>
        <w:jc w:val="left"/>
        <w:rPr>
          <w:rFonts w:ascii="Courier New"/>
          <w:sz w:val="28"/>
        </w:rPr>
      </w:pPr>
      <w:r>
        <w:rPr>
          <w:rFonts w:ascii="Courier New"/>
          <w:sz w:val="32"/>
        </w:rPr>
        <w:t>*</w:t>
      </w:r>
      <w:r>
        <w:rPr>
          <w:rFonts w:ascii="Courier New"/>
          <w:sz w:val="28"/>
        </w:rPr>
        <w:t>additional protection against reperfusion damage</w:t>
      </w:r>
    </w:p>
    <w:p>
      <w:pPr>
        <w:spacing w:after="0"/>
        <w:jc w:val="left"/>
        <w:rPr>
          <w:rFonts w:ascii="Courier New"/>
          <w:sz w:val="28"/>
        </w:rPr>
        <w:sectPr>
          <w:pgSz w:w="18630" w:h="11910" w:orient="landscape"/>
          <w:pgMar w:header="0" w:footer="404" w:top="840" w:bottom="600" w:left="740" w:right="8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5"/>
        <w:gridCol w:w="1135"/>
        <w:gridCol w:w="1416"/>
        <w:gridCol w:w="1418"/>
        <w:gridCol w:w="1418"/>
        <w:gridCol w:w="1133"/>
        <w:gridCol w:w="1135"/>
        <w:gridCol w:w="1274"/>
        <w:gridCol w:w="1277"/>
        <w:gridCol w:w="1274"/>
        <w:gridCol w:w="1418"/>
        <w:gridCol w:w="1276"/>
        <w:gridCol w:w="1119"/>
      </w:tblGrid>
      <w:tr>
        <w:trPr>
          <w:trHeight w:val="1087" w:hRule="atLeast"/>
        </w:trPr>
        <w:tc>
          <w:tcPr>
            <w:tcW w:w="17528" w:type="dxa"/>
            <w:gridSpan w:val="13"/>
            <w:shd w:val="clear" w:color="auto" w:fill="FAD3B4"/>
          </w:tcPr>
          <w:p>
            <w:pPr>
              <w:pStyle w:val="TableParagraph"/>
              <w:spacing w:before="311"/>
              <w:ind w:left="2532"/>
              <w:rPr>
                <w:b/>
                <w:sz w:val="36"/>
              </w:rPr>
            </w:pPr>
            <w:r>
              <w:rPr>
                <w:b/>
                <w:sz w:val="36"/>
              </w:rPr>
              <w:t>SUBSTANCE-EFFECT TABLE OF NATURAL SUBSTANCES FOR CANCER</w:t>
            </w:r>
          </w:p>
        </w:tc>
      </w:tr>
      <w:tr>
        <w:trPr>
          <w:trHeight w:val="2297" w:hRule="atLeast"/>
        </w:trPr>
        <w:tc>
          <w:tcPr>
            <w:tcW w:w="2235" w:type="dxa"/>
            <w:tcBorders>
              <w:bottom w:val="nil"/>
            </w:tcBorders>
            <w:shd w:val="clear" w:color="auto" w:fill="FFFF00"/>
          </w:tcPr>
          <w:p>
            <w:pPr>
              <w:pStyle w:val="TableParagraph"/>
              <w:rPr>
                <w:rFonts w:ascii="Courier New"/>
                <w:sz w:val="24"/>
              </w:rPr>
            </w:pPr>
          </w:p>
          <w:p>
            <w:pPr>
              <w:pStyle w:val="TableParagraph"/>
              <w:spacing w:line="278" w:lineRule="auto" w:before="209"/>
              <w:ind w:left="107" w:right="513"/>
              <w:rPr>
                <w:rFonts w:ascii="Courier New"/>
                <w:b/>
                <w:sz w:val="22"/>
              </w:rPr>
            </w:pPr>
            <w:r>
              <w:rPr>
                <w:rFonts w:ascii="Courier New"/>
                <w:b/>
                <w:sz w:val="22"/>
              </w:rPr>
              <w:t>Natural sub- stance</w:t>
            </w:r>
          </w:p>
        </w:tc>
        <w:tc>
          <w:tcPr>
            <w:tcW w:w="1135" w:type="dxa"/>
            <w:tcBorders>
              <w:bottom w:val="nil"/>
            </w:tcBorders>
            <w:shd w:val="clear" w:color="auto" w:fill="FFFF00"/>
          </w:tcPr>
          <w:p>
            <w:pPr>
              <w:pStyle w:val="TableParagraph"/>
              <w:rPr>
                <w:rFonts w:ascii="Courier New"/>
                <w:sz w:val="24"/>
              </w:rPr>
            </w:pPr>
          </w:p>
          <w:p>
            <w:pPr>
              <w:pStyle w:val="TableParagraph"/>
              <w:spacing w:line="276" w:lineRule="auto" w:before="209"/>
              <w:ind w:left="107" w:right="222"/>
              <w:jc w:val="both"/>
              <w:rPr>
                <w:rFonts w:ascii="Courier New"/>
                <w:b/>
                <w:sz w:val="22"/>
              </w:rPr>
            </w:pPr>
            <w:r>
              <w:rPr>
                <w:rFonts w:ascii="Courier New"/>
                <w:b/>
                <w:sz w:val="22"/>
              </w:rPr>
              <w:t>Chemo- Sensi- tiser</w:t>
            </w:r>
          </w:p>
        </w:tc>
        <w:tc>
          <w:tcPr>
            <w:tcW w:w="1416" w:type="dxa"/>
            <w:tcBorders>
              <w:bottom w:val="nil"/>
            </w:tcBorders>
            <w:shd w:val="clear" w:color="auto" w:fill="FFFF00"/>
          </w:tcPr>
          <w:p>
            <w:pPr>
              <w:pStyle w:val="TableParagraph"/>
              <w:rPr>
                <w:rFonts w:ascii="Courier New"/>
                <w:sz w:val="24"/>
              </w:rPr>
            </w:pPr>
          </w:p>
          <w:p>
            <w:pPr>
              <w:pStyle w:val="TableParagraph"/>
              <w:spacing w:line="276" w:lineRule="auto" w:before="209"/>
              <w:ind w:left="105" w:right="373"/>
              <w:rPr>
                <w:rFonts w:ascii="Courier New"/>
                <w:b/>
                <w:sz w:val="22"/>
              </w:rPr>
            </w:pPr>
            <w:r>
              <w:rPr>
                <w:rFonts w:ascii="Courier New"/>
                <w:b/>
                <w:sz w:val="22"/>
              </w:rPr>
              <w:t>Chemo- protec- tors</w:t>
            </w:r>
          </w:p>
        </w:tc>
        <w:tc>
          <w:tcPr>
            <w:tcW w:w="1418" w:type="dxa"/>
            <w:tcBorders>
              <w:bottom w:val="nil"/>
            </w:tcBorders>
            <w:shd w:val="clear" w:color="auto" w:fill="FFFF00"/>
          </w:tcPr>
          <w:p>
            <w:pPr>
              <w:pStyle w:val="TableParagraph"/>
              <w:rPr>
                <w:rFonts w:ascii="Courier New"/>
                <w:sz w:val="24"/>
              </w:rPr>
            </w:pPr>
          </w:p>
          <w:p>
            <w:pPr>
              <w:pStyle w:val="TableParagraph"/>
              <w:spacing w:line="276" w:lineRule="auto" w:before="209"/>
              <w:ind w:left="108" w:right="241"/>
              <w:rPr>
                <w:rFonts w:ascii="Courier New"/>
                <w:b/>
                <w:sz w:val="22"/>
              </w:rPr>
            </w:pPr>
            <w:r>
              <w:rPr>
                <w:rFonts w:ascii="Courier New"/>
                <w:b/>
                <w:sz w:val="22"/>
              </w:rPr>
              <w:t>Radia- tionsen- sitisers</w:t>
            </w:r>
          </w:p>
        </w:tc>
        <w:tc>
          <w:tcPr>
            <w:tcW w:w="1418" w:type="dxa"/>
            <w:tcBorders>
              <w:bottom w:val="nil"/>
            </w:tcBorders>
            <w:shd w:val="clear" w:color="auto" w:fill="FFFF00"/>
          </w:tcPr>
          <w:p>
            <w:pPr>
              <w:pStyle w:val="TableParagraph"/>
              <w:rPr>
                <w:rFonts w:ascii="Courier New"/>
                <w:sz w:val="24"/>
              </w:rPr>
            </w:pPr>
          </w:p>
          <w:p>
            <w:pPr>
              <w:pStyle w:val="TableParagraph"/>
              <w:spacing w:line="276" w:lineRule="auto" w:before="209"/>
              <w:ind w:left="108" w:right="241"/>
              <w:rPr>
                <w:rFonts w:ascii="Courier New"/>
                <w:b/>
                <w:sz w:val="22"/>
              </w:rPr>
            </w:pPr>
            <w:r>
              <w:rPr>
                <w:rFonts w:ascii="Courier New"/>
                <w:b/>
                <w:sz w:val="22"/>
              </w:rPr>
              <w:t>Radia- tion(Ra- dio-)</w:t>
            </w:r>
          </w:p>
          <w:p>
            <w:pPr>
              <w:pStyle w:val="TableParagraph"/>
              <w:spacing w:line="276" w:lineRule="auto" w:before="201"/>
              <w:ind w:left="108" w:right="355"/>
              <w:rPr>
                <w:rFonts w:ascii="Courier New"/>
                <w:b/>
                <w:sz w:val="22"/>
              </w:rPr>
            </w:pPr>
            <w:r>
              <w:rPr>
                <w:rFonts w:ascii="Courier New"/>
                <w:b/>
                <w:sz w:val="22"/>
              </w:rPr>
              <w:t>Protec- tors</w:t>
            </w:r>
          </w:p>
        </w:tc>
        <w:tc>
          <w:tcPr>
            <w:tcW w:w="1133" w:type="dxa"/>
            <w:tcBorders>
              <w:bottom w:val="nil"/>
            </w:tcBorders>
            <w:shd w:val="clear" w:color="auto" w:fill="FFFF00"/>
          </w:tcPr>
          <w:p>
            <w:pPr>
              <w:pStyle w:val="TableParagraph"/>
              <w:rPr>
                <w:rFonts w:ascii="Courier New"/>
                <w:sz w:val="24"/>
              </w:rPr>
            </w:pPr>
          </w:p>
          <w:p>
            <w:pPr>
              <w:pStyle w:val="TableParagraph"/>
              <w:spacing w:line="276" w:lineRule="auto" w:before="209"/>
              <w:ind w:left="106" w:right="222"/>
              <w:rPr>
                <w:rFonts w:ascii="Courier New"/>
                <w:b/>
                <w:sz w:val="22"/>
              </w:rPr>
            </w:pPr>
            <w:r>
              <w:rPr>
                <w:rFonts w:ascii="Courier New"/>
                <w:b/>
                <w:sz w:val="22"/>
              </w:rPr>
              <w:t>Natu- ral cyto- toxic agents</w:t>
            </w:r>
          </w:p>
        </w:tc>
        <w:tc>
          <w:tcPr>
            <w:tcW w:w="1135" w:type="dxa"/>
            <w:tcBorders>
              <w:bottom w:val="nil"/>
            </w:tcBorders>
            <w:shd w:val="clear" w:color="auto" w:fill="FFFF00"/>
          </w:tcPr>
          <w:p>
            <w:pPr>
              <w:pStyle w:val="TableParagraph"/>
              <w:rPr>
                <w:rFonts w:ascii="Courier New"/>
                <w:sz w:val="24"/>
              </w:rPr>
            </w:pPr>
          </w:p>
          <w:p>
            <w:pPr>
              <w:pStyle w:val="TableParagraph"/>
              <w:spacing w:line="276" w:lineRule="auto" w:before="209"/>
              <w:ind w:left="109" w:right="353"/>
              <w:rPr>
                <w:rFonts w:ascii="Courier New"/>
                <w:b/>
                <w:sz w:val="22"/>
              </w:rPr>
            </w:pPr>
            <w:r>
              <w:rPr>
                <w:rFonts w:ascii="Courier New"/>
                <w:b/>
                <w:sz w:val="22"/>
              </w:rPr>
              <w:t>Natu- ral cyto- stat- ics</w:t>
            </w:r>
          </w:p>
        </w:tc>
        <w:tc>
          <w:tcPr>
            <w:tcW w:w="1274" w:type="dxa"/>
            <w:tcBorders>
              <w:bottom w:val="nil"/>
            </w:tcBorders>
            <w:shd w:val="clear" w:color="auto" w:fill="FFFF00"/>
          </w:tcPr>
          <w:p>
            <w:pPr>
              <w:pStyle w:val="TableParagraph"/>
              <w:rPr>
                <w:rFonts w:ascii="Courier New"/>
                <w:sz w:val="24"/>
              </w:rPr>
            </w:pPr>
          </w:p>
          <w:p>
            <w:pPr>
              <w:pStyle w:val="TableParagraph"/>
              <w:spacing w:line="276" w:lineRule="auto" w:before="209"/>
              <w:ind w:left="107" w:right="230"/>
              <w:rPr>
                <w:rFonts w:ascii="Courier New"/>
                <w:b/>
                <w:sz w:val="22"/>
              </w:rPr>
            </w:pPr>
            <w:r>
              <w:rPr>
                <w:rFonts w:ascii="Courier New"/>
                <w:b/>
                <w:sz w:val="22"/>
              </w:rPr>
              <w:t>Immun- modula- tors</w:t>
            </w:r>
          </w:p>
        </w:tc>
        <w:tc>
          <w:tcPr>
            <w:tcW w:w="1277" w:type="dxa"/>
            <w:tcBorders>
              <w:bottom w:val="nil"/>
            </w:tcBorders>
            <w:shd w:val="clear" w:color="auto" w:fill="FFFF00"/>
          </w:tcPr>
          <w:p>
            <w:pPr>
              <w:pStyle w:val="TableParagraph"/>
              <w:rPr>
                <w:rFonts w:ascii="Courier New"/>
                <w:sz w:val="24"/>
              </w:rPr>
            </w:pPr>
          </w:p>
          <w:p>
            <w:pPr>
              <w:pStyle w:val="TableParagraph"/>
              <w:spacing w:line="278" w:lineRule="auto" w:before="209"/>
              <w:ind w:left="110" w:right="80"/>
              <w:rPr>
                <w:rFonts w:ascii="Courier New"/>
                <w:b/>
                <w:sz w:val="22"/>
              </w:rPr>
            </w:pPr>
            <w:r>
              <w:rPr>
                <w:rFonts w:ascii="Courier New"/>
                <w:b/>
                <w:sz w:val="22"/>
              </w:rPr>
              <w:t>Antioxi- dant</w:t>
            </w:r>
          </w:p>
        </w:tc>
        <w:tc>
          <w:tcPr>
            <w:tcW w:w="1274" w:type="dxa"/>
            <w:tcBorders>
              <w:bottom w:val="nil"/>
            </w:tcBorders>
            <w:shd w:val="clear" w:color="auto" w:fill="FFFF00"/>
          </w:tcPr>
          <w:p>
            <w:pPr>
              <w:pStyle w:val="TableParagraph"/>
              <w:rPr>
                <w:rFonts w:ascii="Courier New"/>
                <w:sz w:val="24"/>
              </w:rPr>
            </w:pPr>
          </w:p>
          <w:p>
            <w:pPr>
              <w:pStyle w:val="TableParagraph"/>
              <w:spacing w:line="276" w:lineRule="auto" w:before="209"/>
              <w:ind w:left="107" w:right="99"/>
              <w:rPr>
                <w:rFonts w:ascii="Courier New"/>
                <w:b/>
                <w:sz w:val="22"/>
              </w:rPr>
            </w:pPr>
            <w:r>
              <w:rPr>
                <w:rFonts w:ascii="Courier New"/>
                <w:b/>
                <w:sz w:val="22"/>
              </w:rPr>
              <w:t>Neo-an- giogene- sis in- hibator</w:t>
            </w:r>
          </w:p>
        </w:tc>
        <w:tc>
          <w:tcPr>
            <w:tcW w:w="1418" w:type="dxa"/>
            <w:tcBorders>
              <w:bottom w:val="nil"/>
            </w:tcBorders>
            <w:shd w:val="clear" w:color="auto" w:fill="FFFF00"/>
          </w:tcPr>
          <w:p>
            <w:pPr>
              <w:pStyle w:val="TableParagraph"/>
              <w:rPr>
                <w:rFonts w:ascii="Courier New"/>
                <w:sz w:val="24"/>
              </w:rPr>
            </w:pPr>
          </w:p>
          <w:p>
            <w:pPr>
              <w:pStyle w:val="TableParagraph"/>
              <w:spacing w:line="276" w:lineRule="auto" w:before="209"/>
              <w:ind w:left="110" w:right="107"/>
              <w:rPr>
                <w:rFonts w:ascii="Courier New"/>
                <w:b/>
                <w:sz w:val="22"/>
              </w:rPr>
            </w:pPr>
            <w:r>
              <w:rPr>
                <w:rFonts w:ascii="Courier New"/>
                <w:b/>
                <w:sz w:val="22"/>
              </w:rPr>
              <w:t>Apoptosis activa- tors</w:t>
            </w:r>
          </w:p>
        </w:tc>
        <w:tc>
          <w:tcPr>
            <w:tcW w:w="1276" w:type="dxa"/>
            <w:tcBorders>
              <w:bottom w:val="nil"/>
            </w:tcBorders>
            <w:shd w:val="clear" w:color="auto" w:fill="FFFF00"/>
          </w:tcPr>
          <w:p>
            <w:pPr>
              <w:pStyle w:val="TableParagraph"/>
              <w:rPr>
                <w:rFonts w:ascii="Courier New"/>
                <w:sz w:val="24"/>
              </w:rPr>
            </w:pPr>
          </w:p>
          <w:p>
            <w:pPr>
              <w:pStyle w:val="TableParagraph"/>
              <w:spacing w:line="276" w:lineRule="auto" w:before="209"/>
              <w:ind w:left="109" w:right="230"/>
              <w:jc w:val="both"/>
              <w:rPr>
                <w:rFonts w:ascii="Courier New"/>
                <w:b/>
                <w:sz w:val="22"/>
              </w:rPr>
            </w:pPr>
            <w:r>
              <w:rPr>
                <w:rFonts w:ascii="Courier New"/>
                <w:b/>
                <w:sz w:val="22"/>
              </w:rPr>
              <w:t>Hormone regula- tor</w:t>
            </w:r>
          </w:p>
        </w:tc>
        <w:tc>
          <w:tcPr>
            <w:tcW w:w="1119" w:type="dxa"/>
            <w:tcBorders>
              <w:bottom w:val="nil"/>
            </w:tcBorders>
            <w:shd w:val="clear" w:color="auto" w:fill="FFFF00"/>
          </w:tcPr>
          <w:p>
            <w:pPr>
              <w:pStyle w:val="TableParagraph"/>
              <w:rPr>
                <w:rFonts w:ascii="Courier New"/>
                <w:sz w:val="24"/>
              </w:rPr>
            </w:pPr>
          </w:p>
          <w:p>
            <w:pPr>
              <w:pStyle w:val="TableParagraph"/>
              <w:spacing w:line="276" w:lineRule="auto" w:before="209"/>
              <w:ind w:left="109" w:right="74"/>
              <w:jc w:val="both"/>
              <w:rPr>
                <w:rFonts w:ascii="Courier New"/>
                <w:b/>
                <w:sz w:val="22"/>
              </w:rPr>
            </w:pPr>
            <w:r>
              <w:rPr>
                <w:rFonts w:ascii="Courier New"/>
                <w:b/>
                <w:sz w:val="22"/>
              </w:rPr>
              <w:t>Natural Pallia- tivum</w:t>
            </w:r>
          </w:p>
        </w:tc>
      </w:tr>
      <w:tr>
        <w:trPr>
          <w:trHeight w:val="4348" w:hRule="atLeast"/>
        </w:trPr>
        <w:tc>
          <w:tcPr>
            <w:tcW w:w="2235" w:type="dxa"/>
            <w:tcBorders>
              <w:top w:val="nil"/>
            </w:tcBorders>
            <w:shd w:val="clear" w:color="auto" w:fill="FFFF00"/>
          </w:tcPr>
          <w:p>
            <w:pPr>
              <w:pStyle w:val="TableParagraph"/>
              <w:rPr>
                <w:rFonts w:ascii="Times New Roman"/>
                <w:sz w:val="22"/>
              </w:rPr>
            </w:pPr>
          </w:p>
        </w:tc>
        <w:tc>
          <w:tcPr>
            <w:tcW w:w="1135" w:type="dxa"/>
            <w:tcBorders>
              <w:top w:val="nil"/>
            </w:tcBorders>
            <w:shd w:val="clear" w:color="auto" w:fill="FFFF00"/>
          </w:tcPr>
          <w:p>
            <w:pPr>
              <w:pStyle w:val="TableParagraph"/>
              <w:rPr>
                <w:rFonts w:ascii="Courier New"/>
                <w:sz w:val="24"/>
              </w:rPr>
            </w:pPr>
          </w:p>
          <w:p>
            <w:pPr>
              <w:pStyle w:val="TableParagraph"/>
              <w:rPr>
                <w:rFonts w:ascii="Courier New"/>
                <w:sz w:val="24"/>
              </w:rPr>
            </w:pPr>
          </w:p>
          <w:p>
            <w:pPr>
              <w:pStyle w:val="TableParagraph"/>
              <w:spacing w:line="276" w:lineRule="auto" w:before="161"/>
              <w:ind w:left="107" w:right="223"/>
              <w:rPr>
                <w:rFonts w:ascii="Courier New"/>
                <w:b/>
                <w:sz w:val="22"/>
              </w:rPr>
            </w:pPr>
            <w:r>
              <w:rPr>
                <w:rFonts w:ascii="Courier New"/>
                <w:b/>
                <w:sz w:val="22"/>
              </w:rPr>
              <w:t>(Can- cer cells are made more </w:t>
            </w:r>
            <w:r>
              <w:rPr>
                <w:rFonts w:ascii="Courier New"/>
                <w:b/>
                <w:spacing w:val="-1"/>
                <w:sz w:val="22"/>
              </w:rPr>
              <w:t>sensi- </w:t>
            </w:r>
            <w:r>
              <w:rPr>
                <w:rFonts w:ascii="Courier New"/>
                <w:b/>
                <w:sz w:val="22"/>
              </w:rPr>
              <w:t>tive to </w:t>
            </w:r>
            <w:r>
              <w:rPr>
                <w:rFonts w:ascii="Courier New"/>
                <w:b/>
                <w:spacing w:val="-1"/>
                <w:sz w:val="22"/>
              </w:rPr>
              <w:t>chemo- </w:t>
            </w:r>
            <w:r>
              <w:rPr>
                <w:rFonts w:ascii="Courier New"/>
                <w:b/>
                <w:sz w:val="22"/>
              </w:rPr>
              <w:t>ther- apy)</w:t>
            </w:r>
          </w:p>
        </w:tc>
        <w:tc>
          <w:tcPr>
            <w:tcW w:w="1416" w:type="dxa"/>
            <w:tcBorders>
              <w:top w:val="nil"/>
            </w:tcBorders>
            <w:shd w:val="clear" w:color="auto" w:fill="FFFF00"/>
          </w:tcPr>
          <w:p>
            <w:pPr>
              <w:pStyle w:val="TableParagraph"/>
              <w:rPr>
                <w:rFonts w:ascii="Courier New"/>
                <w:sz w:val="24"/>
              </w:rPr>
            </w:pPr>
          </w:p>
          <w:p>
            <w:pPr>
              <w:pStyle w:val="TableParagraph"/>
              <w:rPr>
                <w:rFonts w:ascii="Courier New"/>
                <w:sz w:val="24"/>
              </w:rPr>
            </w:pPr>
          </w:p>
          <w:p>
            <w:pPr>
              <w:pStyle w:val="TableParagraph"/>
              <w:spacing w:line="276" w:lineRule="auto" w:before="161"/>
              <w:ind w:left="105" w:right="110"/>
              <w:rPr>
                <w:rFonts w:ascii="Courier New"/>
                <w:b/>
                <w:sz w:val="22"/>
              </w:rPr>
            </w:pPr>
            <w:r>
              <w:rPr>
                <w:rFonts w:ascii="Courier New"/>
                <w:b/>
                <w:sz w:val="22"/>
              </w:rPr>
              <w:t>(Natural substance protects against side ef- fects of chemo- therapy)</w:t>
            </w:r>
          </w:p>
        </w:tc>
        <w:tc>
          <w:tcPr>
            <w:tcW w:w="1418" w:type="dxa"/>
            <w:tcBorders>
              <w:top w:val="nil"/>
            </w:tcBorders>
            <w:shd w:val="clear" w:color="auto" w:fill="FFFF00"/>
          </w:tcPr>
          <w:p>
            <w:pPr>
              <w:pStyle w:val="TableParagraph"/>
              <w:rPr>
                <w:rFonts w:ascii="Courier New"/>
                <w:sz w:val="24"/>
              </w:rPr>
            </w:pPr>
          </w:p>
          <w:p>
            <w:pPr>
              <w:pStyle w:val="TableParagraph"/>
              <w:rPr>
                <w:rFonts w:ascii="Courier New"/>
                <w:sz w:val="24"/>
              </w:rPr>
            </w:pPr>
          </w:p>
          <w:p>
            <w:pPr>
              <w:pStyle w:val="TableParagraph"/>
              <w:spacing w:line="276" w:lineRule="auto" w:before="161"/>
              <w:ind w:left="108" w:right="91"/>
              <w:rPr>
                <w:rFonts w:ascii="Courier New"/>
                <w:b/>
                <w:sz w:val="22"/>
              </w:rPr>
            </w:pPr>
            <w:r>
              <w:rPr>
                <w:rFonts w:ascii="Courier New"/>
                <w:b/>
                <w:sz w:val="22"/>
              </w:rPr>
              <w:t>(Cancer cells are made more sensitive to radio- therapy)</w:t>
            </w:r>
          </w:p>
        </w:tc>
        <w:tc>
          <w:tcPr>
            <w:tcW w:w="1418" w:type="dxa"/>
            <w:tcBorders>
              <w:top w:val="nil"/>
            </w:tcBorders>
            <w:shd w:val="clear" w:color="auto" w:fill="FFFF00"/>
          </w:tcPr>
          <w:p>
            <w:pPr>
              <w:pStyle w:val="TableParagraph"/>
              <w:rPr>
                <w:rFonts w:ascii="Courier New"/>
                <w:sz w:val="24"/>
              </w:rPr>
            </w:pPr>
          </w:p>
          <w:p>
            <w:pPr>
              <w:pStyle w:val="TableParagraph"/>
              <w:rPr>
                <w:rFonts w:ascii="Courier New"/>
                <w:sz w:val="24"/>
              </w:rPr>
            </w:pPr>
          </w:p>
          <w:p>
            <w:pPr>
              <w:pStyle w:val="TableParagraph"/>
              <w:rPr>
                <w:rFonts w:ascii="Courier New"/>
                <w:sz w:val="24"/>
              </w:rPr>
            </w:pPr>
          </w:p>
          <w:p>
            <w:pPr>
              <w:pStyle w:val="TableParagraph"/>
              <w:spacing w:line="276" w:lineRule="auto" w:before="177"/>
              <w:ind w:left="108" w:right="109"/>
              <w:rPr>
                <w:rFonts w:ascii="Courier New"/>
                <w:b/>
                <w:sz w:val="22"/>
              </w:rPr>
            </w:pPr>
            <w:r>
              <w:rPr>
                <w:rFonts w:ascii="Courier New"/>
                <w:b/>
                <w:sz w:val="22"/>
              </w:rPr>
              <w:t>(Natural substance protects against side ef- fects of radio- therapy)</w:t>
            </w:r>
          </w:p>
        </w:tc>
        <w:tc>
          <w:tcPr>
            <w:tcW w:w="1133" w:type="dxa"/>
            <w:tcBorders>
              <w:top w:val="nil"/>
            </w:tcBorders>
            <w:shd w:val="clear" w:color="auto" w:fill="FFFF00"/>
          </w:tcPr>
          <w:p>
            <w:pPr>
              <w:pStyle w:val="TableParagraph"/>
              <w:rPr>
                <w:rFonts w:ascii="Courier New"/>
                <w:sz w:val="24"/>
              </w:rPr>
            </w:pPr>
          </w:p>
          <w:p>
            <w:pPr>
              <w:pStyle w:val="TableParagraph"/>
              <w:rPr>
                <w:rFonts w:ascii="Courier New"/>
                <w:sz w:val="24"/>
              </w:rPr>
            </w:pPr>
          </w:p>
          <w:p>
            <w:pPr>
              <w:pStyle w:val="TableParagraph"/>
              <w:spacing w:before="9"/>
              <w:rPr>
                <w:rFonts w:ascii="Courier New"/>
                <w:sz w:val="21"/>
              </w:rPr>
            </w:pPr>
          </w:p>
          <w:p>
            <w:pPr>
              <w:pStyle w:val="TableParagraph"/>
              <w:spacing w:line="276" w:lineRule="auto"/>
              <w:ind w:left="106" w:right="222"/>
              <w:rPr>
                <w:rFonts w:ascii="Courier New"/>
                <w:b/>
                <w:sz w:val="22"/>
              </w:rPr>
            </w:pPr>
            <w:r>
              <w:rPr>
                <w:rFonts w:ascii="Courier New"/>
                <w:b/>
                <w:sz w:val="22"/>
              </w:rPr>
              <w:t>(Can- cer cells de- struc- tive natu- ral sub- stance s)</w:t>
            </w:r>
          </w:p>
        </w:tc>
        <w:tc>
          <w:tcPr>
            <w:tcW w:w="1135" w:type="dxa"/>
            <w:tcBorders>
              <w:top w:val="nil"/>
            </w:tcBorders>
            <w:shd w:val="clear" w:color="auto" w:fill="FFFF00"/>
          </w:tcPr>
          <w:p>
            <w:pPr>
              <w:pStyle w:val="TableParagraph"/>
              <w:rPr>
                <w:rFonts w:ascii="Courier New"/>
                <w:sz w:val="24"/>
              </w:rPr>
            </w:pPr>
          </w:p>
          <w:p>
            <w:pPr>
              <w:pStyle w:val="TableParagraph"/>
              <w:rPr>
                <w:rFonts w:ascii="Courier New"/>
                <w:sz w:val="24"/>
              </w:rPr>
            </w:pPr>
          </w:p>
          <w:p>
            <w:pPr>
              <w:pStyle w:val="TableParagraph"/>
              <w:spacing w:before="9"/>
              <w:rPr>
                <w:rFonts w:ascii="Courier New"/>
                <w:sz w:val="21"/>
              </w:rPr>
            </w:pPr>
          </w:p>
          <w:p>
            <w:pPr>
              <w:pStyle w:val="TableParagraph"/>
              <w:spacing w:line="276" w:lineRule="auto"/>
              <w:ind w:left="109" w:right="221"/>
              <w:rPr>
                <w:rFonts w:ascii="Courier New"/>
                <w:b/>
                <w:sz w:val="22"/>
              </w:rPr>
            </w:pPr>
            <w:r>
              <w:rPr>
                <w:rFonts w:ascii="Courier New"/>
                <w:b/>
                <w:sz w:val="22"/>
              </w:rPr>
              <w:t>(Can- cer growth inhib- iting natu- ral sub- stance s)</w:t>
            </w:r>
          </w:p>
        </w:tc>
        <w:tc>
          <w:tcPr>
            <w:tcW w:w="1274" w:type="dxa"/>
            <w:tcBorders>
              <w:top w:val="nil"/>
            </w:tcBorders>
            <w:shd w:val="clear" w:color="auto" w:fill="FFFF00"/>
          </w:tcPr>
          <w:p>
            <w:pPr>
              <w:pStyle w:val="TableParagraph"/>
              <w:rPr>
                <w:rFonts w:ascii="Courier New"/>
                <w:sz w:val="24"/>
              </w:rPr>
            </w:pPr>
          </w:p>
          <w:p>
            <w:pPr>
              <w:pStyle w:val="TableParagraph"/>
              <w:rPr>
                <w:rFonts w:ascii="Courier New"/>
                <w:sz w:val="24"/>
              </w:rPr>
            </w:pPr>
          </w:p>
          <w:p>
            <w:pPr>
              <w:pStyle w:val="TableParagraph"/>
              <w:spacing w:line="276" w:lineRule="auto" w:before="161"/>
              <w:ind w:left="107" w:right="98"/>
              <w:rPr>
                <w:rFonts w:ascii="Courier New"/>
                <w:b/>
                <w:sz w:val="22"/>
              </w:rPr>
            </w:pPr>
            <w:r>
              <w:rPr>
                <w:rFonts w:ascii="Courier New"/>
                <w:b/>
                <w:sz w:val="22"/>
              </w:rPr>
              <w:t>(Immune system is stim- ulated)</w:t>
            </w:r>
          </w:p>
        </w:tc>
        <w:tc>
          <w:tcPr>
            <w:tcW w:w="1277" w:type="dxa"/>
            <w:tcBorders>
              <w:top w:val="nil"/>
            </w:tcBorders>
            <w:shd w:val="clear" w:color="auto" w:fill="FFFF00"/>
          </w:tcPr>
          <w:p>
            <w:pPr>
              <w:pStyle w:val="TableParagraph"/>
              <w:rPr>
                <w:rFonts w:ascii="Courier New"/>
                <w:sz w:val="24"/>
              </w:rPr>
            </w:pPr>
          </w:p>
          <w:p>
            <w:pPr>
              <w:pStyle w:val="TableParagraph"/>
              <w:rPr>
                <w:rFonts w:ascii="Courier New"/>
                <w:sz w:val="24"/>
              </w:rPr>
            </w:pPr>
          </w:p>
          <w:p>
            <w:pPr>
              <w:pStyle w:val="TableParagraph"/>
              <w:rPr>
                <w:rFonts w:ascii="Courier New"/>
                <w:sz w:val="32"/>
              </w:rPr>
            </w:pPr>
          </w:p>
          <w:p>
            <w:pPr>
              <w:pStyle w:val="TableParagraph"/>
              <w:spacing w:line="276" w:lineRule="auto"/>
              <w:ind w:left="110" w:right="98"/>
              <w:rPr>
                <w:rFonts w:ascii="Courier New"/>
                <w:b/>
                <w:sz w:val="22"/>
              </w:rPr>
            </w:pPr>
            <w:r>
              <w:rPr>
                <w:rFonts w:ascii="Courier New"/>
                <w:b/>
                <w:sz w:val="22"/>
              </w:rPr>
              <w:t>(Protec- tion against free radi- cals)</w:t>
            </w:r>
          </w:p>
        </w:tc>
        <w:tc>
          <w:tcPr>
            <w:tcW w:w="1274" w:type="dxa"/>
            <w:tcBorders>
              <w:top w:val="nil"/>
            </w:tcBorders>
            <w:shd w:val="clear" w:color="auto" w:fill="FFFF00"/>
          </w:tcPr>
          <w:p>
            <w:pPr>
              <w:pStyle w:val="TableParagraph"/>
              <w:rPr>
                <w:rFonts w:ascii="Courier New"/>
                <w:sz w:val="24"/>
              </w:rPr>
            </w:pPr>
          </w:p>
          <w:p>
            <w:pPr>
              <w:pStyle w:val="TableParagraph"/>
              <w:spacing w:before="7"/>
              <w:rPr>
                <w:rFonts w:ascii="Courier New"/>
                <w:sz w:val="20"/>
              </w:rPr>
            </w:pPr>
          </w:p>
          <w:p>
            <w:pPr>
              <w:pStyle w:val="TableParagraph"/>
              <w:spacing w:line="276" w:lineRule="auto"/>
              <w:ind w:left="107" w:right="230"/>
              <w:rPr>
                <w:rFonts w:ascii="Courier New"/>
                <w:b/>
                <w:sz w:val="22"/>
              </w:rPr>
            </w:pPr>
            <w:r>
              <w:rPr>
                <w:rFonts w:ascii="Courier New"/>
                <w:b/>
                <w:sz w:val="22"/>
              </w:rPr>
              <w:t>(For- mation of can- cerous blood vessels is in- hib- ited!)</w:t>
            </w:r>
          </w:p>
        </w:tc>
        <w:tc>
          <w:tcPr>
            <w:tcW w:w="1418" w:type="dxa"/>
            <w:tcBorders>
              <w:top w:val="nil"/>
            </w:tcBorders>
            <w:shd w:val="clear" w:color="auto" w:fill="FFFF00"/>
          </w:tcPr>
          <w:p>
            <w:pPr>
              <w:pStyle w:val="TableParagraph"/>
              <w:rPr>
                <w:rFonts w:ascii="Courier New"/>
                <w:sz w:val="24"/>
              </w:rPr>
            </w:pPr>
          </w:p>
          <w:p>
            <w:pPr>
              <w:pStyle w:val="TableParagraph"/>
              <w:rPr>
                <w:rFonts w:ascii="Courier New"/>
                <w:sz w:val="24"/>
              </w:rPr>
            </w:pPr>
          </w:p>
          <w:p>
            <w:pPr>
              <w:pStyle w:val="TableParagraph"/>
              <w:spacing w:line="276" w:lineRule="auto" w:before="161"/>
              <w:ind w:left="110" w:right="107"/>
              <w:rPr>
                <w:rFonts w:ascii="Courier New"/>
                <w:b/>
                <w:sz w:val="22"/>
              </w:rPr>
            </w:pPr>
            <w:r>
              <w:rPr>
                <w:rFonts w:ascii="Courier New"/>
                <w:b/>
                <w:sz w:val="22"/>
              </w:rPr>
              <w:t>(Acti- vates the self-de- struction of the cancer cells)</w:t>
            </w:r>
          </w:p>
        </w:tc>
        <w:tc>
          <w:tcPr>
            <w:tcW w:w="1276" w:type="dxa"/>
            <w:tcBorders>
              <w:top w:val="nil"/>
            </w:tcBorders>
            <w:shd w:val="clear" w:color="auto" w:fill="FFFF00"/>
          </w:tcPr>
          <w:p>
            <w:pPr>
              <w:pStyle w:val="TableParagraph"/>
              <w:spacing w:before="4"/>
              <w:rPr>
                <w:rFonts w:ascii="Courier New"/>
                <w:sz w:val="19"/>
              </w:rPr>
            </w:pPr>
          </w:p>
          <w:p>
            <w:pPr>
              <w:pStyle w:val="TableParagraph"/>
              <w:spacing w:line="276" w:lineRule="auto"/>
              <w:ind w:left="109" w:right="98"/>
              <w:rPr>
                <w:rFonts w:ascii="Courier New"/>
                <w:b/>
                <w:sz w:val="22"/>
              </w:rPr>
            </w:pPr>
            <w:r>
              <w:rPr>
                <w:rFonts w:ascii="Courier New"/>
                <w:b/>
                <w:sz w:val="22"/>
              </w:rPr>
              <w:t>(im- portant for hor- mone-re- lated cancers such as breast, uterine, pros- tate, etc.)</w:t>
            </w:r>
          </w:p>
        </w:tc>
        <w:tc>
          <w:tcPr>
            <w:tcW w:w="1119" w:type="dxa"/>
            <w:tcBorders>
              <w:top w:val="nil"/>
            </w:tcBorders>
            <w:shd w:val="clear" w:color="auto" w:fill="FFFF00"/>
          </w:tcPr>
          <w:p>
            <w:pPr>
              <w:pStyle w:val="TableParagraph"/>
              <w:rPr>
                <w:rFonts w:ascii="Courier New"/>
                <w:sz w:val="24"/>
              </w:rPr>
            </w:pPr>
          </w:p>
          <w:p>
            <w:pPr>
              <w:pStyle w:val="TableParagraph"/>
              <w:rPr>
                <w:rFonts w:ascii="Courier New"/>
                <w:sz w:val="24"/>
              </w:rPr>
            </w:pPr>
          </w:p>
          <w:p>
            <w:pPr>
              <w:pStyle w:val="TableParagraph"/>
              <w:rPr>
                <w:rFonts w:ascii="Courier New"/>
                <w:sz w:val="24"/>
              </w:rPr>
            </w:pPr>
          </w:p>
          <w:p>
            <w:pPr>
              <w:pStyle w:val="TableParagraph"/>
              <w:spacing w:before="2"/>
              <w:rPr>
                <w:rFonts w:ascii="Courier New"/>
                <w:sz w:val="33"/>
              </w:rPr>
            </w:pPr>
          </w:p>
          <w:p>
            <w:pPr>
              <w:pStyle w:val="TableParagraph"/>
              <w:spacing w:line="276" w:lineRule="auto"/>
              <w:ind w:left="109" w:right="74"/>
              <w:rPr>
                <w:rFonts w:ascii="Courier New"/>
                <w:b/>
                <w:sz w:val="22"/>
              </w:rPr>
            </w:pPr>
            <w:r>
              <w:rPr>
                <w:rFonts w:ascii="Courier New"/>
                <w:b/>
                <w:sz w:val="22"/>
              </w:rPr>
              <w:t>(Cancer pain reliev- ing ef- fect)</w:t>
            </w:r>
          </w:p>
        </w:tc>
      </w:tr>
      <w:tr>
        <w:trPr>
          <w:trHeight w:val="972" w:hRule="atLeast"/>
        </w:trPr>
        <w:tc>
          <w:tcPr>
            <w:tcW w:w="2235" w:type="dxa"/>
            <w:shd w:val="clear" w:color="auto" w:fill="00AFEF"/>
          </w:tcPr>
          <w:p>
            <w:pPr>
              <w:pStyle w:val="TableParagraph"/>
              <w:rPr>
                <w:rFonts w:ascii="Courier New"/>
                <w:sz w:val="24"/>
              </w:rPr>
            </w:pPr>
          </w:p>
          <w:p>
            <w:pPr>
              <w:pStyle w:val="TableParagraph"/>
              <w:spacing w:before="212"/>
              <w:ind w:left="107"/>
              <w:rPr>
                <w:rFonts w:ascii="Courier New"/>
                <w:b/>
                <w:sz w:val="22"/>
              </w:rPr>
            </w:pPr>
            <w:r>
              <w:rPr>
                <w:rFonts w:ascii="Courier New"/>
                <w:b/>
                <w:sz w:val="22"/>
              </w:rPr>
              <w:t>Coenzyme Q10</w:t>
            </w:r>
          </w:p>
        </w:tc>
        <w:tc>
          <w:tcPr>
            <w:tcW w:w="1135" w:type="dxa"/>
          </w:tcPr>
          <w:p>
            <w:pPr>
              <w:pStyle w:val="TableParagraph"/>
              <w:rPr>
                <w:rFonts w:ascii="Times New Roman"/>
                <w:sz w:val="22"/>
              </w:rPr>
            </w:pPr>
          </w:p>
        </w:tc>
        <w:tc>
          <w:tcPr>
            <w:tcW w:w="1416" w:type="dxa"/>
          </w:tcPr>
          <w:p>
            <w:pPr>
              <w:pStyle w:val="TableParagraph"/>
              <w:spacing w:before="9"/>
              <w:ind w:left="105"/>
              <w:rPr>
                <w:rFonts w:ascii="Courier New"/>
                <w:sz w:val="32"/>
              </w:rPr>
            </w:pPr>
            <w:r>
              <w:rPr>
                <w:rFonts w:ascii="Courier New"/>
                <w:w w:val="99"/>
                <w:sz w:val="32"/>
              </w:rPr>
              <w:t>x</w:t>
            </w:r>
          </w:p>
        </w:tc>
        <w:tc>
          <w:tcPr>
            <w:tcW w:w="1418" w:type="dxa"/>
          </w:tcPr>
          <w:p>
            <w:pPr>
              <w:pStyle w:val="TableParagraph"/>
              <w:rPr>
                <w:rFonts w:ascii="Times New Roman"/>
                <w:sz w:val="22"/>
              </w:rPr>
            </w:pPr>
          </w:p>
        </w:tc>
        <w:tc>
          <w:tcPr>
            <w:tcW w:w="1418" w:type="dxa"/>
          </w:tcPr>
          <w:p>
            <w:pPr>
              <w:pStyle w:val="TableParagraph"/>
              <w:spacing w:before="9"/>
              <w:ind w:left="108"/>
              <w:rPr>
                <w:rFonts w:ascii="Courier New"/>
                <w:sz w:val="32"/>
              </w:rPr>
            </w:pPr>
            <w:r>
              <w:rPr>
                <w:rFonts w:ascii="Courier New"/>
                <w:w w:val="99"/>
                <w:sz w:val="32"/>
              </w:rPr>
              <w:t>x</w:t>
            </w:r>
          </w:p>
        </w:tc>
        <w:tc>
          <w:tcPr>
            <w:tcW w:w="1133" w:type="dxa"/>
          </w:tcPr>
          <w:p>
            <w:pPr>
              <w:pStyle w:val="TableParagraph"/>
              <w:rPr>
                <w:rFonts w:ascii="Times New Roman"/>
                <w:sz w:val="22"/>
              </w:rPr>
            </w:pPr>
          </w:p>
        </w:tc>
        <w:tc>
          <w:tcPr>
            <w:tcW w:w="1135" w:type="dxa"/>
          </w:tcPr>
          <w:p>
            <w:pPr>
              <w:pStyle w:val="TableParagraph"/>
              <w:rPr>
                <w:rFonts w:ascii="Times New Roman"/>
                <w:sz w:val="22"/>
              </w:rPr>
            </w:pPr>
          </w:p>
        </w:tc>
        <w:tc>
          <w:tcPr>
            <w:tcW w:w="1274" w:type="dxa"/>
          </w:tcPr>
          <w:p>
            <w:pPr>
              <w:pStyle w:val="TableParagraph"/>
              <w:spacing w:before="9"/>
              <w:ind w:left="107"/>
              <w:rPr>
                <w:rFonts w:ascii="Courier New"/>
                <w:sz w:val="32"/>
              </w:rPr>
            </w:pPr>
            <w:r>
              <w:rPr>
                <w:rFonts w:ascii="Courier New"/>
                <w:w w:val="99"/>
                <w:sz w:val="32"/>
              </w:rPr>
              <w:t>x</w:t>
            </w:r>
          </w:p>
        </w:tc>
        <w:tc>
          <w:tcPr>
            <w:tcW w:w="1277" w:type="dxa"/>
          </w:tcPr>
          <w:p>
            <w:pPr>
              <w:pStyle w:val="TableParagraph"/>
              <w:spacing w:before="9"/>
              <w:ind w:left="110"/>
              <w:rPr>
                <w:rFonts w:ascii="Courier New"/>
                <w:sz w:val="32"/>
              </w:rPr>
            </w:pPr>
            <w:r>
              <w:rPr>
                <w:rFonts w:ascii="Courier New"/>
                <w:w w:val="99"/>
                <w:sz w:val="32"/>
              </w:rPr>
              <w:t>x</w:t>
            </w:r>
          </w:p>
        </w:tc>
        <w:tc>
          <w:tcPr>
            <w:tcW w:w="1274" w:type="dxa"/>
          </w:tcPr>
          <w:p>
            <w:pPr>
              <w:pStyle w:val="TableParagraph"/>
              <w:rPr>
                <w:rFonts w:ascii="Times New Roman"/>
                <w:sz w:val="22"/>
              </w:rPr>
            </w:pPr>
          </w:p>
        </w:tc>
        <w:tc>
          <w:tcPr>
            <w:tcW w:w="1418" w:type="dxa"/>
          </w:tcPr>
          <w:p>
            <w:pPr>
              <w:pStyle w:val="TableParagraph"/>
              <w:rPr>
                <w:rFonts w:ascii="Times New Roman"/>
                <w:sz w:val="22"/>
              </w:rPr>
            </w:pPr>
          </w:p>
        </w:tc>
        <w:tc>
          <w:tcPr>
            <w:tcW w:w="1276" w:type="dxa"/>
          </w:tcPr>
          <w:p>
            <w:pPr>
              <w:pStyle w:val="TableParagraph"/>
              <w:rPr>
                <w:rFonts w:ascii="Times New Roman"/>
                <w:sz w:val="22"/>
              </w:rPr>
            </w:pPr>
          </w:p>
        </w:tc>
        <w:tc>
          <w:tcPr>
            <w:tcW w:w="1119" w:type="dxa"/>
          </w:tcPr>
          <w:p>
            <w:pPr>
              <w:pStyle w:val="TableParagraph"/>
              <w:rPr>
                <w:rFonts w:ascii="Times New Roman"/>
                <w:sz w:val="22"/>
              </w:rPr>
            </w:pPr>
          </w:p>
        </w:tc>
      </w:tr>
    </w:tbl>
    <w:p>
      <w:pPr>
        <w:spacing w:after="0"/>
        <w:rPr>
          <w:rFonts w:ascii="Times New Roman"/>
          <w:sz w:val="22"/>
        </w:rPr>
        <w:sectPr>
          <w:pgSz w:w="18630" w:h="11910" w:orient="landscape"/>
          <w:pgMar w:header="0" w:footer="404" w:top="840" w:bottom="600" w:left="740" w:right="8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5"/>
        <w:gridCol w:w="1135"/>
        <w:gridCol w:w="1416"/>
        <w:gridCol w:w="1418"/>
        <w:gridCol w:w="1418"/>
        <w:gridCol w:w="1133"/>
        <w:gridCol w:w="1135"/>
        <w:gridCol w:w="1274"/>
        <w:gridCol w:w="1277"/>
        <w:gridCol w:w="1274"/>
        <w:gridCol w:w="1418"/>
        <w:gridCol w:w="1276"/>
        <w:gridCol w:w="1158"/>
      </w:tblGrid>
      <w:tr>
        <w:trPr>
          <w:trHeight w:val="972" w:hRule="atLeast"/>
        </w:trPr>
        <w:tc>
          <w:tcPr>
            <w:tcW w:w="2235" w:type="dxa"/>
            <w:shd w:val="clear" w:color="auto" w:fill="00AFEF"/>
          </w:tcPr>
          <w:p>
            <w:pPr>
              <w:pStyle w:val="TableParagraph"/>
              <w:spacing w:line="246" w:lineRule="exact"/>
              <w:ind w:left="107"/>
              <w:rPr>
                <w:rFonts w:ascii="Courier New"/>
                <w:b/>
                <w:sz w:val="22"/>
              </w:rPr>
            </w:pPr>
            <w:r>
              <w:rPr>
                <w:rFonts w:ascii="Courier New"/>
                <w:b/>
                <w:sz w:val="22"/>
              </w:rPr>
              <w:t>p.1393</w:t>
            </w:r>
          </w:p>
        </w:tc>
        <w:tc>
          <w:tcPr>
            <w:tcW w:w="1135" w:type="dxa"/>
          </w:tcPr>
          <w:p>
            <w:pPr>
              <w:pStyle w:val="TableParagraph"/>
              <w:rPr>
                <w:rFonts w:ascii="Times New Roman"/>
                <w:sz w:val="22"/>
              </w:rPr>
            </w:pPr>
          </w:p>
        </w:tc>
        <w:tc>
          <w:tcPr>
            <w:tcW w:w="1416" w:type="dxa"/>
          </w:tcPr>
          <w:p>
            <w:pPr>
              <w:pStyle w:val="TableParagraph"/>
              <w:rPr>
                <w:rFonts w:ascii="Times New Roman"/>
                <w:sz w:val="22"/>
              </w:rPr>
            </w:pPr>
          </w:p>
        </w:tc>
        <w:tc>
          <w:tcPr>
            <w:tcW w:w="1418" w:type="dxa"/>
          </w:tcPr>
          <w:p>
            <w:pPr>
              <w:pStyle w:val="TableParagraph"/>
              <w:rPr>
                <w:rFonts w:ascii="Times New Roman"/>
                <w:sz w:val="22"/>
              </w:rPr>
            </w:pPr>
          </w:p>
        </w:tc>
        <w:tc>
          <w:tcPr>
            <w:tcW w:w="1418" w:type="dxa"/>
          </w:tcPr>
          <w:p>
            <w:pPr>
              <w:pStyle w:val="TableParagraph"/>
              <w:rPr>
                <w:rFonts w:ascii="Times New Roman"/>
                <w:sz w:val="22"/>
              </w:rPr>
            </w:pPr>
          </w:p>
        </w:tc>
        <w:tc>
          <w:tcPr>
            <w:tcW w:w="1133" w:type="dxa"/>
          </w:tcPr>
          <w:p>
            <w:pPr>
              <w:pStyle w:val="TableParagraph"/>
              <w:rPr>
                <w:rFonts w:ascii="Times New Roman"/>
                <w:sz w:val="22"/>
              </w:rPr>
            </w:pPr>
          </w:p>
        </w:tc>
        <w:tc>
          <w:tcPr>
            <w:tcW w:w="1135" w:type="dxa"/>
          </w:tcPr>
          <w:p>
            <w:pPr>
              <w:pStyle w:val="TableParagraph"/>
              <w:rPr>
                <w:rFonts w:ascii="Times New Roman"/>
                <w:sz w:val="22"/>
              </w:rPr>
            </w:pPr>
          </w:p>
        </w:tc>
        <w:tc>
          <w:tcPr>
            <w:tcW w:w="1274" w:type="dxa"/>
          </w:tcPr>
          <w:p>
            <w:pPr>
              <w:pStyle w:val="TableParagraph"/>
              <w:rPr>
                <w:rFonts w:ascii="Times New Roman"/>
                <w:sz w:val="22"/>
              </w:rPr>
            </w:pPr>
          </w:p>
        </w:tc>
        <w:tc>
          <w:tcPr>
            <w:tcW w:w="1277" w:type="dxa"/>
          </w:tcPr>
          <w:p>
            <w:pPr>
              <w:pStyle w:val="TableParagraph"/>
              <w:rPr>
                <w:rFonts w:ascii="Times New Roman"/>
                <w:sz w:val="22"/>
              </w:rPr>
            </w:pPr>
          </w:p>
        </w:tc>
        <w:tc>
          <w:tcPr>
            <w:tcW w:w="1274" w:type="dxa"/>
          </w:tcPr>
          <w:p>
            <w:pPr>
              <w:pStyle w:val="TableParagraph"/>
              <w:rPr>
                <w:rFonts w:ascii="Times New Roman"/>
                <w:sz w:val="22"/>
              </w:rPr>
            </w:pPr>
          </w:p>
        </w:tc>
        <w:tc>
          <w:tcPr>
            <w:tcW w:w="1418" w:type="dxa"/>
          </w:tcPr>
          <w:p>
            <w:pPr>
              <w:pStyle w:val="TableParagraph"/>
              <w:rPr>
                <w:rFonts w:ascii="Times New Roman"/>
                <w:sz w:val="22"/>
              </w:rPr>
            </w:pPr>
          </w:p>
        </w:tc>
        <w:tc>
          <w:tcPr>
            <w:tcW w:w="1276" w:type="dxa"/>
          </w:tcPr>
          <w:p>
            <w:pPr>
              <w:pStyle w:val="TableParagraph"/>
              <w:rPr>
                <w:rFonts w:ascii="Times New Roman"/>
                <w:sz w:val="22"/>
              </w:rPr>
            </w:pPr>
          </w:p>
        </w:tc>
        <w:tc>
          <w:tcPr>
            <w:tcW w:w="1158" w:type="dxa"/>
          </w:tcPr>
          <w:p>
            <w:pPr>
              <w:pStyle w:val="TableParagraph"/>
              <w:rPr>
                <w:rFonts w:ascii="Times New Roman"/>
                <w:sz w:val="22"/>
              </w:rPr>
            </w:pPr>
          </w:p>
        </w:tc>
      </w:tr>
      <w:tr>
        <w:trPr>
          <w:trHeight w:val="1458" w:hRule="atLeast"/>
        </w:trPr>
        <w:tc>
          <w:tcPr>
            <w:tcW w:w="2235" w:type="dxa"/>
            <w:shd w:val="clear" w:color="auto" w:fill="00AFEF"/>
          </w:tcPr>
          <w:p>
            <w:pPr>
              <w:pStyle w:val="TableParagraph"/>
              <w:spacing w:before="3"/>
              <w:rPr>
                <w:rFonts w:ascii="Courier New"/>
                <w:sz w:val="22"/>
              </w:rPr>
            </w:pPr>
          </w:p>
          <w:p>
            <w:pPr>
              <w:pStyle w:val="TableParagraph"/>
              <w:spacing w:line="480" w:lineRule="atLeast" w:before="1"/>
              <w:ind w:left="107" w:right="381"/>
              <w:rPr>
                <w:rFonts w:ascii="Courier New"/>
                <w:b/>
                <w:sz w:val="22"/>
              </w:rPr>
            </w:pPr>
            <w:r>
              <w:rPr>
                <w:rFonts w:ascii="Courier New"/>
                <w:b/>
                <w:sz w:val="22"/>
              </w:rPr>
              <w:t>Ginkgo Biloba p.398</w:t>
            </w:r>
          </w:p>
        </w:tc>
        <w:tc>
          <w:tcPr>
            <w:tcW w:w="1135" w:type="dxa"/>
          </w:tcPr>
          <w:p>
            <w:pPr>
              <w:pStyle w:val="TableParagraph"/>
              <w:spacing w:before="9"/>
              <w:ind w:left="107"/>
              <w:rPr>
                <w:rFonts w:ascii="Courier New"/>
                <w:sz w:val="32"/>
              </w:rPr>
            </w:pPr>
            <w:r>
              <w:rPr>
                <w:rFonts w:ascii="Courier New"/>
                <w:w w:val="99"/>
                <w:sz w:val="32"/>
              </w:rPr>
              <w:t>x</w:t>
            </w:r>
          </w:p>
        </w:tc>
        <w:tc>
          <w:tcPr>
            <w:tcW w:w="1416" w:type="dxa"/>
          </w:tcPr>
          <w:p>
            <w:pPr>
              <w:pStyle w:val="TableParagraph"/>
              <w:rPr>
                <w:rFonts w:ascii="Times New Roman"/>
                <w:sz w:val="22"/>
              </w:rPr>
            </w:pPr>
          </w:p>
        </w:tc>
        <w:tc>
          <w:tcPr>
            <w:tcW w:w="1418" w:type="dxa"/>
          </w:tcPr>
          <w:p>
            <w:pPr>
              <w:pStyle w:val="TableParagraph"/>
              <w:rPr>
                <w:rFonts w:ascii="Times New Roman"/>
                <w:sz w:val="22"/>
              </w:rPr>
            </w:pPr>
          </w:p>
        </w:tc>
        <w:tc>
          <w:tcPr>
            <w:tcW w:w="1418" w:type="dxa"/>
          </w:tcPr>
          <w:p>
            <w:pPr>
              <w:pStyle w:val="TableParagraph"/>
              <w:spacing w:before="9"/>
              <w:ind w:left="108"/>
              <w:rPr>
                <w:rFonts w:ascii="Courier New"/>
                <w:sz w:val="32"/>
              </w:rPr>
            </w:pPr>
            <w:r>
              <w:rPr>
                <w:rFonts w:ascii="Courier New"/>
                <w:w w:val="99"/>
                <w:sz w:val="32"/>
              </w:rPr>
              <w:t>x</w:t>
            </w:r>
          </w:p>
        </w:tc>
        <w:tc>
          <w:tcPr>
            <w:tcW w:w="1133" w:type="dxa"/>
          </w:tcPr>
          <w:p>
            <w:pPr>
              <w:pStyle w:val="TableParagraph"/>
              <w:rPr>
                <w:rFonts w:ascii="Times New Roman"/>
                <w:sz w:val="22"/>
              </w:rPr>
            </w:pPr>
          </w:p>
        </w:tc>
        <w:tc>
          <w:tcPr>
            <w:tcW w:w="1135" w:type="dxa"/>
          </w:tcPr>
          <w:p>
            <w:pPr>
              <w:pStyle w:val="TableParagraph"/>
              <w:rPr>
                <w:rFonts w:ascii="Times New Roman"/>
                <w:sz w:val="22"/>
              </w:rPr>
            </w:pPr>
          </w:p>
        </w:tc>
        <w:tc>
          <w:tcPr>
            <w:tcW w:w="1274" w:type="dxa"/>
          </w:tcPr>
          <w:p>
            <w:pPr>
              <w:pStyle w:val="TableParagraph"/>
              <w:rPr>
                <w:rFonts w:ascii="Times New Roman"/>
                <w:sz w:val="22"/>
              </w:rPr>
            </w:pPr>
          </w:p>
        </w:tc>
        <w:tc>
          <w:tcPr>
            <w:tcW w:w="1277" w:type="dxa"/>
          </w:tcPr>
          <w:p>
            <w:pPr>
              <w:pStyle w:val="TableParagraph"/>
              <w:rPr>
                <w:rFonts w:ascii="Times New Roman"/>
                <w:sz w:val="22"/>
              </w:rPr>
            </w:pPr>
          </w:p>
        </w:tc>
        <w:tc>
          <w:tcPr>
            <w:tcW w:w="1274" w:type="dxa"/>
          </w:tcPr>
          <w:p>
            <w:pPr>
              <w:pStyle w:val="TableParagraph"/>
              <w:rPr>
                <w:rFonts w:ascii="Times New Roman"/>
                <w:sz w:val="22"/>
              </w:rPr>
            </w:pPr>
          </w:p>
        </w:tc>
        <w:tc>
          <w:tcPr>
            <w:tcW w:w="1418" w:type="dxa"/>
          </w:tcPr>
          <w:p>
            <w:pPr>
              <w:pStyle w:val="TableParagraph"/>
              <w:rPr>
                <w:rFonts w:ascii="Times New Roman"/>
                <w:sz w:val="22"/>
              </w:rPr>
            </w:pPr>
          </w:p>
        </w:tc>
        <w:tc>
          <w:tcPr>
            <w:tcW w:w="1276" w:type="dxa"/>
          </w:tcPr>
          <w:p>
            <w:pPr>
              <w:pStyle w:val="TableParagraph"/>
              <w:rPr>
                <w:rFonts w:ascii="Times New Roman"/>
                <w:sz w:val="22"/>
              </w:rPr>
            </w:pPr>
          </w:p>
        </w:tc>
        <w:tc>
          <w:tcPr>
            <w:tcW w:w="1158" w:type="dxa"/>
          </w:tcPr>
          <w:p>
            <w:pPr>
              <w:pStyle w:val="TableParagraph"/>
              <w:rPr>
                <w:rFonts w:ascii="Times New Roman"/>
                <w:sz w:val="22"/>
              </w:rPr>
            </w:pPr>
          </w:p>
        </w:tc>
      </w:tr>
      <w:tr>
        <w:trPr>
          <w:trHeight w:val="2433" w:hRule="atLeast"/>
        </w:trPr>
        <w:tc>
          <w:tcPr>
            <w:tcW w:w="2235" w:type="dxa"/>
            <w:shd w:val="clear" w:color="auto" w:fill="00AFEF"/>
          </w:tcPr>
          <w:p>
            <w:pPr>
              <w:pStyle w:val="TableParagraph"/>
              <w:rPr>
                <w:rFonts w:ascii="Courier New"/>
                <w:sz w:val="24"/>
              </w:rPr>
            </w:pPr>
          </w:p>
          <w:p>
            <w:pPr>
              <w:pStyle w:val="TableParagraph"/>
              <w:spacing w:before="212"/>
              <w:ind w:left="107"/>
              <w:rPr>
                <w:rFonts w:ascii="Courier New"/>
                <w:b/>
                <w:sz w:val="22"/>
              </w:rPr>
            </w:pPr>
            <w:r>
              <w:rPr>
                <w:rFonts w:ascii="Courier New"/>
                <w:b/>
                <w:sz w:val="22"/>
              </w:rPr>
              <w:t>Apricot kernels</w:t>
            </w:r>
          </w:p>
          <w:p>
            <w:pPr>
              <w:pStyle w:val="TableParagraph"/>
              <w:rPr>
                <w:rFonts w:ascii="Courier New"/>
                <w:sz w:val="21"/>
              </w:rPr>
            </w:pPr>
          </w:p>
          <w:p>
            <w:pPr>
              <w:pStyle w:val="TableParagraph"/>
              <w:ind w:left="107"/>
              <w:rPr>
                <w:rFonts w:ascii="Courier New"/>
                <w:b/>
                <w:sz w:val="22"/>
              </w:rPr>
            </w:pPr>
            <w:r>
              <w:rPr>
                <w:rFonts w:ascii="Courier New"/>
                <w:b/>
                <w:sz w:val="22"/>
              </w:rPr>
              <w:t>/Laetrile/</w:t>
            </w:r>
          </w:p>
          <w:p>
            <w:pPr>
              <w:pStyle w:val="TableParagraph"/>
              <w:spacing w:line="480" w:lineRule="atLeast" w:before="8"/>
              <w:ind w:left="107" w:right="645"/>
              <w:rPr>
                <w:rFonts w:ascii="Courier New"/>
                <w:b/>
                <w:sz w:val="22"/>
              </w:rPr>
            </w:pPr>
            <w:r>
              <w:rPr>
                <w:rFonts w:ascii="Courier New"/>
                <w:b/>
                <w:sz w:val="22"/>
              </w:rPr>
              <w:t>Vitamin B17 p.783</w:t>
            </w:r>
          </w:p>
        </w:tc>
        <w:tc>
          <w:tcPr>
            <w:tcW w:w="1135" w:type="dxa"/>
          </w:tcPr>
          <w:p>
            <w:pPr>
              <w:pStyle w:val="TableParagraph"/>
              <w:rPr>
                <w:rFonts w:ascii="Times New Roman"/>
                <w:sz w:val="22"/>
              </w:rPr>
            </w:pPr>
          </w:p>
        </w:tc>
        <w:tc>
          <w:tcPr>
            <w:tcW w:w="1416" w:type="dxa"/>
          </w:tcPr>
          <w:p>
            <w:pPr>
              <w:pStyle w:val="TableParagraph"/>
              <w:rPr>
                <w:rFonts w:ascii="Times New Roman"/>
                <w:sz w:val="22"/>
              </w:rPr>
            </w:pPr>
          </w:p>
        </w:tc>
        <w:tc>
          <w:tcPr>
            <w:tcW w:w="1418" w:type="dxa"/>
          </w:tcPr>
          <w:p>
            <w:pPr>
              <w:pStyle w:val="TableParagraph"/>
              <w:rPr>
                <w:rFonts w:ascii="Times New Roman"/>
                <w:sz w:val="22"/>
              </w:rPr>
            </w:pPr>
          </w:p>
        </w:tc>
        <w:tc>
          <w:tcPr>
            <w:tcW w:w="1418" w:type="dxa"/>
          </w:tcPr>
          <w:p>
            <w:pPr>
              <w:pStyle w:val="TableParagraph"/>
              <w:rPr>
                <w:rFonts w:ascii="Times New Roman"/>
                <w:sz w:val="22"/>
              </w:rPr>
            </w:pPr>
          </w:p>
        </w:tc>
        <w:tc>
          <w:tcPr>
            <w:tcW w:w="1133" w:type="dxa"/>
          </w:tcPr>
          <w:p>
            <w:pPr>
              <w:pStyle w:val="TableParagraph"/>
              <w:spacing w:before="9"/>
              <w:ind w:left="106"/>
              <w:rPr>
                <w:rFonts w:ascii="Courier New"/>
                <w:sz w:val="32"/>
              </w:rPr>
            </w:pPr>
            <w:r>
              <w:rPr>
                <w:rFonts w:ascii="Courier New"/>
                <w:w w:val="99"/>
                <w:sz w:val="32"/>
              </w:rPr>
              <w:t>x</w:t>
            </w:r>
          </w:p>
        </w:tc>
        <w:tc>
          <w:tcPr>
            <w:tcW w:w="1135" w:type="dxa"/>
          </w:tcPr>
          <w:p>
            <w:pPr>
              <w:pStyle w:val="TableParagraph"/>
              <w:spacing w:before="9"/>
              <w:ind w:left="109"/>
              <w:rPr>
                <w:rFonts w:ascii="Courier New"/>
                <w:sz w:val="32"/>
              </w:rPr>
            </w:pPr>
            <w:r>
              <w:rPr>
                <w:rFonts w:ascii="Courier New"/>
                <w:w w:val="99"/>
                <w:sz w:val="32"/>
              </w:rPr>
              <w:t>x</w:t>
            </w:r>
          </w:p>
        </w:tc>
        <w:tc>
          <w:tcPr>
            <w:tcW w:w="1274" w:type="dxa"/>
          </w:tcPr>
          <w:p>
            <w:pPr>
              <w:pStyle w:val="TableParagraph"/>
              <w:rPr>
                <w:rFonts w:ascii="Times New Roman"/>
                <w:sz w:val="22"/>
              </w:rPr>
            </w:pPr>
          </w:p>
        </w:tc>
        <w:tc>
          <w:tcPr>
            <w:tcW w:w="1277" w:type="dxa"/>
          </w:tcPr>
          <w:p>
            <w:pPr>
              <w:pStyle w:val="TableParagraph"/>
              <w:rPr>
                <w:rFonts w:ascii="Times New Roman"/>
                <w:sz w:val="22"/>
              </w:rPr>
            </w:pPr>
          </w:p>
        </w:tc>
        <w:tc>
          <w:tcPr>
            <w:tcW w:w="1274" w:type="dxa"/>
          </w:tcPr>
          <w:p>
            <w:pPr>
              <w:pStyle w:val="TableParagraph"/>
              <w:rPr>
                <w:rFonts w:ascii="Times New Roman"/>
                <w:sz w:val="22"/>
              </w:rPr>
            </w:pPr>
          </w:p>
        </w:tc>
        <w:tc>
          <w:tcPr>
            <w:tcW w:w="1418" w:type="dxa"/>
          </w:tcPr>
          <w:p>
            <w:pPr>
              <w:pStyle w:val="TableParagraph"/>
              <w:rPr>
                <w:rFonts w:ascii="Times New Roman"/>
                <w:sz w:val="22"/>
              </w:rPr>
            </w:pPr>
          </w:p>
        </w:tc>
        <w:tc>
          <w:tcPr>
            <w:tcW w:w="1276" w:type="dxa"/>
          </w:tcPr>
          <w:p>
            <w:pPr>
              <w:pStyle w:val="TableParagraph"/>
              <w:rPr>
                <w:rFonts w:ascii="Times New Roman"/>
                <w:sz w:val="22"/>
              </w:rPr>
            </w:pPr>
          </w:p>
        </w:tc>
        <w:tc>
          <w:tcPr>
            <w:tcW w:w="1158" w:type="dxa"/>
          </w:tcPr>
          <w:p>
            <w:pPr>
              <w:pStyle w:val="TableParagraph"/>
              <w:spacing w:before="9"/>
              <w:ind w:left="109"/>
              <w:rPr>
                <w:rFonts w:ascii="Courier New"/>
                <w:sz w:val="32"/>
              </w:rPr>
            </w:pPr>
            <w:r>
              <w:rPr>
                <w:rFonts w:ascii="Courier New"/>
                <w:w w:val="99"/>
                <w:sz w:val="32"/>
              </w:rPr>
              <w:t>x</w:t>
            </w:r>
          </w:p>
        </w:tc>
      </w:tr>
      <w:tr>
        <w:trPr>
          <w:trHeight w:val="1461" w:hRule="atLeast"/>
        </w:trPr>
        <w:tc>
          <w:tcPr>
            <w:tcW w:w="2235" w:type="dxa"/>
            <w:shd w:val="clear" w:color="auto" w:fill="00AFEF"/>
          </w:tcPr>
          <w:p>
            <w:pPr>
              <w:pStyle w:val="TableParagraph"/>
              <w:spacing w:before="3"/>
              <w:rPr>
                <w:rFonts w:ascii="Courier New"/>
                <w:sz w:val="22"/>
              </w:rPr>
            </w:pPr>
          </w:p>
          <w:p>
            <w:pPr>
              <w:pStyle w:val="TableParagraph"/>
              <w:spacing w:line="480" w:lineRule="atLeast" w:before="1"/>
              <w:ind w:left="107" w:right="645"/>
              <w:rPr>
                <w:rFonts w:ascii="Courier New"/>
                <w:b/>
                <w:sz w:val="22"/>
              </w:rPr>
            </w:pPr>
            <w:r>
              <w:rPr>
                <w:rFonts w:ascii="Courier New"/>
                <w:b/>
                <w:sz w:val="22"/>
              </w:rPr>
              <w:t>Lapacho-Tea p. 815</w:t>
            </w:r>
          </w:p>
        </w:tc>
        <w:tc>
          <w:tcPr>
            <w:tcW w:w="1135" w:type="dxa"/>
          </w:tcPr>
          <w:p>
            <w:pPr>
              <w:pStyle w:val="TableParagraph"/>
              <w:rPr>
                <w:rFonts w:ascii="Times New Roman"/>
                <w:sz w:val="22"/>
              </w:rPr>
            </w:pPr>
          </w:p>
        </w:tc>
        <w:tc>
          <w:tcPr>
            <w:tcW w:w="1416" w:type="dxa"/>
          </w:tcPr>
          <w:p>
            <w:pPr>
              <w:pStyle w:val="TableParagraph"/>
              <w:spacing w:before="9"/>
              <w:ind w:left="105"/>
              <w:rPr>
                <w:rFonts w:ascii="Courier New"/>
                <w:sz w:val="32"/>
              </w:rPr>
            </w:pPr>
            <w:r>
              <w:rPr>
                <w:rFonts w:ascii="Courier New"/>
                <w:w w:val="99"/>
                <w:sz w:val="32"/>
              </w:rPr>
              <w:t>x</w:t>
            </w:r>
          </w:p>
        </w:tc>
        <w:tc>
          <w:tcPr>
            <w:tcW w:w="1418" w:type="dxa"/>
          </w:tcPr>
          <w:p>
            <w:pPr>
              <w:pStyle w:val="TableParagraph"/>
              <w:rPr>
                <w:rFonts w:ascii="Times New Roman"/>
                <w:sz w:val="22"/>
              </w:rPr>
            </w:pPr>
          </w:p>
        </w:tc>
        <w:tc>
          <w:tcPr>
            <w:tcW w:w="1418" w:type="dxa"/>
          </w:tcPr>
          <w:p>
            <w:pPr>
              <w:pStyle w:val="TableParagraph"/>
              <w:rPr>
                <w:rFonts w:ascii="Times New Roman"/>
                <w:sz w:val="22"/>
              </w:rPr>
            </w:pPr>
          </w:p>
        </w:tc>
        <w:tc>
          <w:tcPr>
            <w:tcW w:w="1133" w:type="dxa"/>
          </w:tcPr>
          <w:p>
            <w:pPr>
              <w:pStyle w:val="TableParagraph"/>
              <w:spacing w:before="9"/>
              <w:ind w:left="106"/>
              <w:rPr>
                <w:rFonts w:ascii="Courier New"/>
                <w:sz w:val="32"/>
              </w:rPr>
            </w:pPr>
            <w:r>
              <w:rPr>
                <w:rFonts w:ascii="Courier New"/>
                <w:w w:val="99"/>
                <w:sz w:val="32"/>
              </w:rPr>
              <w:t>x</w:t>
            </w:r>
          </w:p>
        </w:tc>
        <w:tc>
          <w:tcPr>
            <w:tcW w:w="1135" w:type="dxa"/>
          </w:tcPr>
          <w:p>
            <w:pPr>
              <w:pStyle w:val="TableParagraph"/>
              <w:spacing w:before="9"/>
              <w:ind w:left="109"/>
              <w:rPr>
                <w:rFonts w:ascii="Courier New"/>
                <w:sz w:val="32"/>
              </w:rPr>
            </w:pPr>
            <w:r>
              <w:rPr>
                <w:rFonts w:ascii="Courier New"/>
                <w:w w:val="99"/>
                <w:sz w:val="32"/>
              </w:rPr>
              <w:t>x</w:t>
            </w:r>
          </w:p>
        </w:tc>
        <w:tc>
          <w:tcPr>
            <w:tcW w:w="1274" w:type="dxa"/>
          </w:tcPr>
          <w:p>
            <w:pPr>
              <w:pStyle w:val="TableParagraph"/>
              <w:spacing w:before="9"/>
              <w:ind w:left="107"/>
              <w:rPr>
                <w:rFonts w:ascii="Courier New"/>
                <w:sz w:val="32"/>
              </w:rPr>
            </w:pPr>
            <w:r>
              <w:rPr>
                <w:rFonts w:ascii="Courier New"/>
                <w:w w:val="99"/>
                <w:sz w:val="32"/>
              </w:rPr>
              <w:t>x</w:t>
            </w:r>
          </w:p>
        </w:tc>
        <w:tc>
          <w:tcPr>
            <w:tcW w:w="1277" w:type="dxa"/>
          </w:tcPr>
          <w:p>
            <w:pPr>
              <w:pStyle w:val="TableParagraph"/>
              <w:rPr>
                <w:rFonts w:ascii="Times New Roman"/>
                <w:sz w:val="22"/>
              </w:rPr>
            </w:pPr>
          </w:p>
        </w:tc>
        <w:tc>
          <w:tcPr>
            <w:tcW w:w="1274" w:type="dxa"/>
          </w:tcPr>
          <w:p>
            <w:pPr>
              <w:pStyle w:val="TableParagraph"/>
              <w:rPr>
                <w:rFonts w:ascii="Times New Roman"/>
                <w:sz w:val="22"/>
              </w:rPr>
            </w:pPr>
          </w:p>
        </w:tc>
        <w:tc>
          <w:tcPr>
            <w:tcW w:w="1418" w:type="dxa"/>
          </w:tcPr>
          <w:p>
            <w:pPr>
              <w:pStyle w:val="TableParagraph"/>
              <w:rPr>
                <w:rFonts w:ascii="Times New Roman"/>
                <w:sz w:val="22"/>
              </w:rPr>
            </w:pPr>
          </w:p>
        </w:tc>
        <w:tc>
          <w:tcPr>
            <w:tcW w:w="1276" w:type="dxa"/>
          </w:tcPr>
          <w:p>
            <w:pPr>
              <w:pStyle w:val="TableParagraph"/>
              <w:rPr>
                <w:rFonts w:ascii="Times New Roman"/>
                <w:sz w:val="22"/>
              </w:rPr>
            </w:pPr>
          </w:p>
        </w:tc>
        <w:tc>
          <w:tcPr>
            <w:tcW w:w="1158" w:type="dxa"/>
          </w:tcPr>
          <w:p>
            <w:pPr>
              <w:pStyle w:val="TableParagraph"/>
              <w:spacing w:before="9"/>
              <w:ind w:left="109"/>
              <w:rPr>
                <w:rFonts w:ascii="Courier New"/>
                <w:sz w:val="32"/>
              </w:rPr>
            </w:pPr>
            <w:r>
              <w:rPr>
                <w:rFonts w:ascii="Courier New"/>
                <w:w w:val="99"/>
                <w:sz w:val="32"/>
              </w:rPr>
              <w:t>x</w:t>
            </w:r>
          </w:p>
        </w:tc>
      </w:tr>
      <w:tr>
        <w:trPr>
          <w:trHeight w:val="971" w:hRule="atLeast"/>
        </w:trPr>
        <w:tc>
          <w:tcPr>
            <w:tcW w:w="2235" w:type="dxa"/>
            <w:shd w:val="clear" w:color="auto" w:fill="00AFEF"/>
          </w:tcPr>
          <w:p>
            <w:pPr>
              <w:pStyle w:val="TableParagraph"/>
              <w:spacing w:line="246" w:lineRule="exact"/>
              <w:ind w:left="107"/>
              <w:rPr>
                <w:rFonts w:ascii="Courier New"/>
                <w:b/>
                <w:sz w:val="22"/>
              </w:rPr>
            </w:pPr>
            <w:r>
              <w:rPr>
                <w:rFonts w:ascii="Courier New"/>
                <w:b/>
                <w:sz w:val="22"/>
              </w:rPr>
              <w:t>Colloidal Gold</w:t>
            </w:r>
          </w:p>
          <w:p>
            <w:pPr>
              <w:pStyle w:val="TableParagraph"/>
              <w:spacing w:before="9"/>
              <w:rPr>
                <w:rFonts w:ascii="Courier New"/>
                <w:sz w:val="20"/>
              </w:rPr>
            </w:pPr>
          </w:p>
          <w:p>
            <w:pPr>
              <w:pStyle w:val="TableParagraph"/>
              <w:ind w:left="107"/>
              <w:rPr>
                <w:rFonts w:ascii="Courier New"/>
                <w:b/>
                <w:sz w:val="22"/>
              </w:rPr>
            </w:pPr>
            <w:r>
              <w:rPr>
                <w:rFonts w:ascii="Courier New"/>
                <w:b/>
                <w:sz w:val="22"/>
              </w:rPr>
              <w:t>p.642</w:t>
            </w:r>
          </w:p>
        </w:tc>
        <w:tc>
          <w:tcPr>
            <w:tcW w:w="1135" w:type="dxa"/>
          </w:tcPr>
          <w:p>
            <w:pPr>
              <w:pStyle w:val="TableParagraph"/>
              <w:rPr>
                <w:rFonts w:ascii="Times New Roman"/>
                <w:sz w:val="22"/>
              </w:rPr>
            </w:pPr>
          </w:p>
        </w:tc>
        <w:tc>
          <w:tcPr>
            <w:tcW w:w="1416" w:type="dxa"/>
          </w:tcPr>
          <w:p>
            <w:pPr>
              <w:pStyle w:val="TableParagraph"/>
              <w:rPr>
                <w:rFonts w:ascii="Times New Roman"/>
                <w:sz w:val="22"/>
              </w:rPr>
            </w:pPr>
          </w:p>
        </w:tc>
        <w:tc>
          <w:tcPr>
            <w:tcW w:w="1418" w:type="dxa"/>
          </w:tcPr>
          <w:p>
            <w:pPr>
              <w:pStyle w:val="TableParagraph"/>
              <w:rPr>
                <w:rFonts w:ascii="Times New Roman"/>
                <w:sz w:val="22"/>
              </w:rPr>
            </w:pPr>
          </w:p>
        </w:tc>
        <w:tc>
          <w:tcPr>
            <w:tcW w:w="1418" w:type="dxa"/>
          </w:tcPr>
          <w:p>
            <w:pPr>
              <w:pStyle w:val="TableParagraph"/>
              <w:rPr>
                <w:rFonts w:ascii="Times New Roman"/>
                <w:sz w:val="22"/>
              </w:rPr>
            </w:pPr>
          </w:p>
        </w:tc>
        <w:tc>
          <w:tcPr>
            <w:tcW w:w="1133" w:type="dxa"/>
          </w:tcPr>
          <w:p>
            <w:pPr>
              <w:pStyle w:val="TableParagraph"/>
              <w:spacing w:before="9"/>
              <w:ind w:left="106"/>
              <w:rPr>
                <w:rFonts w:ascii="Courier New"/>
                <w:sz w:val="32"/>
              </w:rPr>
            </w:pPr>
            <w:r>
              <w:rPr>
                <w:rFonts w:ascii="Courier New"/>
                <w:w w:val="99"/>
                <w:sz w:val="32"/>
              </w:rPr>
              <w:t>X</w:t>
            </w:r>
          </w:p>
        </w:tc>
        <w:tc>
          <w:tcPr>
            <w:tcW w:w="1135" w:type="dxa"/>
          </w:tcPr>
          <w:p>
            <w:pPr>
              <w:pStyle w:val="TableParagraph"/>
              <w:spacing w:before="9"/>
              <w:ind w:left="109"/>
              <w:rPr>
                <w:rFonts w:ascii="Courier New"/>
                <w:sz w:val="32"/>
              </w:rPr>
            </w:pPr>
            <w:r>
              <w:rPr>
                <w:rFonts w:ascii="Courier New"/>
                <w:w w:val="99"/>
                <w:sz w:val="32"/>
              </w:rPr>
              <w:t>X</w:t>
            </w:r>
          </w:p>
        </w:tc>
        <w:tc>
          <w:tcPr>
            <w:tcW w:w="1274" w:type="dxa"/>
          </w:tcPr>
          <w:p>
            <w:pPr>
              <w:pStyle w:val="TableParagraph"/>
              <w:spacing w:before="9"/>
              <w:ind w:left="107"/>
              <w:rPr>
                <w:rFonts w:ascii="Courier New"/>
                <w:sz w:val="32"/>
              </w:rPr>
            </w:pPr>
            <w:r>
              <w:rPr>
                <w:rFonts w:ascii="Courier New"/>
                <w:w w:val="99"/>
                <w:sz w:val="32"/>
              </w:rPr>
              <w:t>X</w:t>
            </w:r>
          </w:p>
        </w:tc>
        <w:tc>
          <w:tcPr>
            <w:tcW w:w="1277" w:type="dxa"/>
          </w:tcPr>
          <w:p>
            <w:pPr>
              <w:pStyle w:val="TableParagraph"/>
              <w:spacing w:before="9"/>
              <w:ind w:left="110"/>
              <w:rPr>
                <w:rFonts w:ascii="Courier New"/>
                <w:sz w:val="32"/>
              </w:rPr>
            </w:pPr>
            <w:r>
              <w:rPr>
                <w:rFonts w:ascii="Courier New"/>
                <w:w w:val="99"/>
                <w:sz w:val="32"/>
              </w:rPr>
              <w:t>X</w:t>
            </w:r>
          </w:p>
        </w:tc>
        <w:tc>
          <w:tcPr>
            <w:tcW w:w="1274" w:type="dxa"/>
          </w:tcPr>
          <w:p>
            <w:pPr>
              <w:pStyle w:val="TableParagraph"/>
              <w:rPr>
                <w:rFonts w:ascii="Times New Roman"/>
                <w:sz w:val="22"/>
              </w:rPr>
            </w:pPr>
          </w:p>
        </w:tc>
        <w:tc>
          <w:tcPr>
            <w:tcW w:w="1418" w:type="dxa"/>
          </w:tcPr>
          <w:p>
            <w:pPr>
              <w:pStyle w:val="TableParagraph"/>
              <w:rPr>
                <w:rFonts w:ascii="Times New Roman"/>
                <w:sz w:val="22"/>
              </w:rPr>
            </w:pPr>
          </w:p>
        </w:tc>
        <w:tc>
          <w:tcPr>
            <w:tcW w:w="1276" w:type="dxa"/>
          </w:tcPr>
          <w:p>
            <w:pPr>
              <w:pStyle w:val="TableParagraph"/>
              <w:rPr>
                <w:rFonts w:ascii="Times New Roman"/>
                <w:sz w:val="22"/>
              </w:rPr>
            </w:pPr>
          </w:p>
        </w:tc>
        <w:tc>
          <w:tcPr>
            <w:tcW w:w="1158" w:type="dxa"/>
          </w:tcPr>
          <w:p>
            <w:pPr>
              <w:pStyle w:val="TableParagraph"/>
              <w:spacing w:before="9"/>
              <w:ind w:left="109"/>
              <w:rPr>
                <w:rFonts w:ascii="Courier New"/>
                <w:sz w:val="32"/>
              </w:rPr>
            </w:pPr>
            <w:r>
              <w:rPr>
                <w:rFonts w:ascii="Courier New"/>
                <w:w w:val="99"/>
                <w:sz w:val="32"/>
              </w:rPr>
              <w:t>X</w:t>
            </w:r>
          </w:p>
        </w:tc>
      </w:tr>
      <w:tr>
        <w:trPr>
          <w:trHeight w:val="1260" w:hRule="atLeast"/>
        </w:trPr>
        <w:tc>
          <w:tcPr>
            <w:tcW w:w="2235" w:type="dxa"/>
            <w:shd w:val="clear" w:color="auto" w:fill="00AFEF"/>
          </w:tcPr>
          <w:p>
            <w:pPr>
              <w:pStyle w:val="TableParagraph"/>
              <w:rPr>
                <w:rFonts w:ascii="Courier New"/>
                <w:sz w:val="24"/>
              </w:rPr>
            </w:pPr>
          </w:p>
          <w:p>
            <w:pPr>
              <w:pStyle w:val="TableParagraph"/>
              <w:spacing w:line="278" w:lineRule="auto" w:before="212"/>
              <w:ind w:left="107" w:right="777"/>
              <w:rPr>
                <w:rFonts w:ascii="Courier New"/>
                <w:b/>
                <w:sz w:val="22"/>
              </w:rPr>
            </w:pPr>
            <w:r>
              <w:rPr>
                <w:rFonts w:ascii="Courier New"/>
                <w:b/>
                <w:sz w:val="22"/>
              </w:rPr>
              <w:t>Spirulina- Platensis</w:t>
            </w:r>
          </w:p>
        </w:tc>
        <w:tc>
          <w:tcPr>
            <w:tcW w:w="1135" w:type="dxa"/>
          </w:tcPr>
          <w:p>
            <w:pPr>
              <w:pStyle w:val="TableParagraph"/>
              <w:rPr>
                <w:rFonts w:ascii="Times New Roman"/>
                <w:sz w:val="22"/>
              </w:rPr>
            </w:pPr>
          </w:p>
        </w:tc>
        <w:tc>
          <w:tcPr>
            <w:tcW w:w="1416" w:type="dxa"/>
          </w:tcPr>
          <w:p>
            <w:pPr>
              <w:pStyle w:val="TableParagraph"/>
              <w:spacing w:before="9"/>
              <w:ind w:left="105"/>
              <w:rPr>
                <w:rFonts w:ascii="Courier New"/>
                <w:sz w:val="32"/>
              </w:rPr>
            </w:pPr>
            <w:r>
              <w:rPr>
                <w:rFonts w:ascii="Courier New"/>
                <w:w w:val="99"/>
                <w:sz w:val="32"/>
              </w:rPr>
              <w:t>x</w:t>
            </w:r>
          </w:p>
        </w:tc>
        <w:tc>
          <w:tcPr>
            <w:tcW w:w="1418" w:type="dxa"/>
          </w:tcPr>
          <w:p>
            <w:pPr>
              <w:pStyle w:val="TableParagraph"/>
              <w:rPr>
                <w:rFonts w:ascii="Times New Roman"/>
                <w:sz w:val="22"/>
              </w:rPr>
            </w:pPr>
          </w:p>
        </w:tc>
        <w:tc>
          <w:tcPr>
            <w:tcW w:w="1418" w:type="dxa"/>
          </w:tcPr>
          <w:p>
            <w:pPr>
              <w:pStyle w:val="TableParagraph"/>
              <w:spacing w:before="9"/>
              <w:ind w:left="108"/>
              <w:rPr>
                <w:rFonts w:ascii="Courier New"/>
                <w:sz w:val="32"/>
              </w:rPr>
            </w:pPr>
            <w:r>
              <w:rPr>
                <w:rFonts w:ascii="Courier New"/>
                <w:w w:val="99"/>
                <w:sz w:val="32"/>
              </w:rPr>
              <w:t>x</w:t>
            </w:r>
          </w:p>
        </w:tc>
        <w:tc>
          <w:tcPr>
            <w:tcW w:w="1133" w:type="dxa"/>
          </w:tcPr>
          <w:p>
            <w:pPr>
              <w:pStyle w:val="TableParagraph"/>
              <w:spacing w:before="9"/>
              <w:ind w:left="106"/>
              <w:rPr>
                <w:rFonts w:ascii="Courier New"/>
                <w:sz w:val="32"/>
              </w:rPr>
            </w:pPr>
            <w:r>
              <w:rPr>
                <w:rFonts w:ascii="Courier New"/>
                <w:w w:val="99"/>
                <w:sz w:val="32"/>
              </w:rPr>
              <w:t>x</w:t>
            </w:r>
          </w:p>
        </w:tc>
        <w:tc>
          <w:tcPr>
            <w:tcW w:w="1135" w:type="dxa"/>
          </w:tcPr>
          <w:p>
            <w:pPr>
              <w:pStyle w:val="TableParagraph"/>
              <w:spacing w:before="9"/>
              <w:ind w:left="109"/>
              <w:rPr>
                <w:rFonts w:ascii="Courier New"/>
                <w:sz w:val="32"/>
              </w:rPr>
            </w:pPr>
            <w:r>
              <w:rPr>
                <w:rFonts w:ascii="Courier New"/>
                <w:w w:val="99"/>
                <w:sz w:val="32"/>
              </w:rPr>
              <w:t>x</w:t>
            </w:r>
          </w:p>
        </w:tc>
        <w:tc>
          <w:tcPr>
            <w:tcW w:w="1274" w:type="dxa"/>
          </w:tcPr>
          <w:p>
            <w:pPr>
              <w:pStyle w:val="TableParagraph"/>
              <w:spacing w:before="9"/>
              <w:ind w:left="107"/>
              <w:rPr>
                <w:rFonts w:ascii="Courier New"/>
                <w:sz w:val="32"/>
              </w:rPr>
            </w:pPr>
            <w:r>
              <w:rPr>
                <w:rFonts w:ascii="Courier New"/>
                <w:w w:val="99"/>
                <w:sz w:val="32"/>
              </w:rPr>
              <w:t>x</w:t>
            </w:r>
          </w:p>
        </w:tc>
        <w:tc>
          <w:tcPr>
            <w:tcW w:w="1277" w:type="dxa"/>
          </w:tcPr>
          <w:p>
            <w:pPr>
              <w:pStyle w:val="TableParagraph"/>
              <w:rPr>
                <w:rFonts w:ascii="Times New Roman"/>
                <w:sz w:val="22"/>
              </w:rPr>
            </w:pPr>
          </w:p>
        </w:tc>
        <w:tc>
          <w:tcPr>
            <w:tcW w:w="1274" w:type="dxa"/>
          </w:tcPr>
          <w:p>
            <w:pPr>
              <w:pStyle w:val="TableParagraph"/>
              <w:rPr>
                <w:rFonts w:ascii="Times New Roman"/>
                <w:sz w:val="22"/>
              </w:rPr>
            </w:pPr>
          </w:p>
        </w:tc>
        <w:tc>
          <w:tcPr>
            <w:tcW w:w="1418" w:type="dxa"/>
          </w:tcPr>
          <w:p>
            <w:pPr>
              <w:pStyle w:val="TableParagraph"/>
              <w:rPr>
                <w:rFonts w:ascii="Times New Roman"/>
                <w:sz w:val="22"/>
              </w:rPr>
            </w:pPr>
          </w:p>
        </w:tc>
        <w:tc>
          <w:tcPr>
            <w:tcW w:w="1276" w:type="dxa"/>
          </w:tcPr>
          <w:p>
            <w:pPr>
              <w:pStyle w:val="TableParagraph"/>
              <w:rPr>
                <w:rFonts w:ascii="Times New Roman"/>
                <w:sz w:val="22"/>
              </w:rPr>
            </w:pPr>
          </w:p>
        </w:tc>
        <w:tc>
          <w:tcPr>
            <w:tcW w:w="1158" w:type="dxa"/>
          </w:tcPr>
          <w:p>
            <w:pPr>
              <w:pStyle w:val="TableParagraph"/>
              <w:rPr>
                <w:rFonts w:ascii="Times New Roman"/>
                <w:sz w:val="22"/>
              </w:rPr>
            </w:pPr>
          </w:p>
        </w:tc>
      </w:tr>
    </w:tbl>
    <w:p>
      <w:pPr>
        <w:spacing w:after="0"/>
        <w:rPr>
          <w:rFonts w:ascii="Times New Roman"/>
          <w:sz w:val="22"/>
        </w:rPr>
        <w:sectPr>
          <w:pgSz w:w="18630" w:h="11910" w:orient="landscape"/>
          <w:pgMar w:header="0" w:footer="404" w:top="840" w:bottom="600" w:left="740" w:right="8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5"/>
        <w:gridCol w:w="1135"/>
        <w:gridCol w:w="1416"/>
        <w:gridCol w:w="1418"/>
        <w:gridCol w:w="1418"/>
        <w:gridCol w:w="1133"/>
        <w:gridCol w:w="1135"/>
        <w:gridCol w:w="1274"/>
        <w:gridCol w:w="1277"/>
        <w:gridCol w:w="1274"/>
        <w:gridCol w:w="1418"/>
        <w:gridCol w:w="1276"/>
        <w:gridCol w:w="1158"/>
      </w:tblGrid>
      <w:tr>
        <w:trPr>
          <w:trHeight w:val="991" w:hRule="atLeast"/>
        </w:trPr>
        <w:tc>
          <w:tcPr>
            <w:tcW w:w="2235" w:type="dxa"/>
            <w:shd w:val="clear" w:color="auto" w:fill="00AFEF"/>
          </w:tcPr>
          <w:p>
            <w:pPr>
              <w:pStyle w:val="TableParagraph"/>
              <w:spacing w:line="246" w:lineRule="exact"/>
              <w:ind w:left="107"/>
              <w:rPr>
                <w:rFonts w:ascii="Courier New"/>
                <w:b/>
                <w:sz w:val="22"/>
              </w:rPr>
            </w:pPr>
            <w:r>
              <w:rPr>
                <w:rFonts w:ascii="Courier New"/>
                <w:b/>
                <w:sz w:val="22"/>
              </w:rPr>
              <w:t>p.1515</w:t>
            </w:r>
          </w:p>
        </w:tc>
        <w:tc>
          <w:tcPr>
            <w:tcW w:w="1135" w:type="dxa"/>
          </w:tcPr>
          <w:p>
            <w:pPr>
              <w:pStyle w:val="TableParagraph"/>
              <w:rPr>
                <w:rFonts w:ascii="Times New Roman"/>
                <w:sz w:val="22"/>
              </w:rPr>
            </w:pPr>
          </w:p>
        </w:tc>
        <w:tc>
          <w:tcPr>
            <w:tcW w:w="1416" w:type="dxa"/>
          </w:tcPr>
          <w:p>
            <w:pPr>
              <w:pStyle w:val="TableParagraph"/>
              <w:rPr>
                <w:rFonts w:ascii="Times New Roman"/>
                <w:sz w:val="22"/>
              </w:rPr>
            </w:pPr>
          </w:p>
        </w:tc>
        <w:tc>
          <w:tcPr>
            <w:tcW w:w="1418" w:type="dxa"/>
          </w:tcPr>
          <w:p>
            <w:pPr>
              <w:pStyle w:val="TableParagraph"/>
              <w:rPr>
                <w:rFonts w:ascii="Times New Roman"/>
                <w:sz w:val="22"/>
              </w:rPr>
            </w:pPr>
          </w:p>
        </w:tc>
        <w:tc>
          <w:tcPr>
            <w:tcW w:w="1418" w:type="dxa"/>
          </w:tcPr>
          <w:p>
            <w:pPr>
              <w:pStyle w:val="TableParagraph"/>
              <w:rPr>
                <w:rFonts w:ascii="Times New Roman"/>
                <w:sz w:val="22"/>
              </w:rPr>
            </w:pPr>
          </w:p>
        </w:tc>
        <w:tc>
          <w:tcPr>
            <w:tcW w:w="1133" w:type="dxa"/>
          </w:tcPr>
          <w:p>
            <w:pPr>
              <w:pStyle w:val="TableParagraph"/>
              <w:rPr>
                <w:rFonts w:ascii="Times New Roman"/>
                <w:sz w:val="22"/>
              </w:rPr>
            </w:pPr>
          </w:p>
        </w:tc>
        <w:tc>
          <w:tcPr>
            <w:tcW w:w="1135" w:type="dxa"/>
          </w:tcPr>
          <w:p>
            <w:pPr>
              <w:pStyle w:val="TableParagraph"/>
              <w:rPr>
                <w:rFonts w:ascii="Times New Roman"/>
                <w:sz w:val="22"/>
              </w:rPr>
            </w:pPr>
          </w:p>
        </w:tc>
        <w:tc>
          <w:tcPr>
            <w:tcW w:w="1274" w:type="dxa"/>
          </w:tcPr>
          <w:p>
            <w:pPr>
              <w:pStyle w:val="TableParagraph"/>
              <w:rPr>
                <w:rFonts w:ascii="Times New Roman"/>
                <w:sz w:val="22"/>
              </w:rPr>
            </w:pPr>
          </w:p>
        </w:tc>
        <w:tc>
          <w:tcPr>
            <w:tcW w:w="1277" w:type="dxa"/>
          </w:tcPr>
          <w:p>
            <w:pPr>
              <w:pStyle w:val="TableParagraph"/>
              <w:rPr>
                <w:rFonts w:ascii="Times New Roman"/>
                <w:sz w:val="22"/>
              </w:rPr>
            </w:pPr>
          </w:p>
        </w:tc>
        <w:tc>
          <w:tcPr>
            <w:tcW w:w="1274" w:type="dxa"/>
          </w:tcPr>
          <w:p>
            <w:pPr>
              <w:pStyle w:val="TableParagraph"/>
              <w:rPr>
                <w:rFonts w:ascii="Times New Roman"/>
                <w:sz w:val="22"/>
              </w:rPr>
            </w:pPr>
          </w:p>
        </w:tc>
        <w:tc>
          <w:tcPr>
            <w:tcW w:w="1418" w:type="dxa"/>
          </w:tcPr>
          <w:p>
            <w:pPr>
              <w:pStyle w:val="TableParagraph"/>
              <w:rPr>
                <w:rFonts w:ascii="Times New Roman"/>
                <w:sz w:val="22"/>
              </w:rPr>
            </w:pPr>
          </w:p>
        </w:tc>
        <w:tc>
          <w:tcPr>
            <w:tcW w:w="1276" w:type="dxa"/>
          </w:tcPr>
          <w:p>
            <w:pPr>
              <w:pStyle w:val="TableParagraph"/>
              <w:rPr>
                <w:rFonts w:ascii="Times New Roman"/>
                <w:sz w:val="22"/>
              </w:rPr>
            </w:pPr>
          </w:p>
        </w:tc>
        <w:tc>
          <w:tcPr>
            <w:tcW w:w="1158" w:type="dxa"/>
          </w:tcPr>
          <w:p>
            <w:pPr>
              <w:pStyle w:val="TableParagraph"/>
              <w:rPr>
                <w:rFonts w:ascii="Times New Roman"/>
                <w:sz w:val="22"/>
              </w:rPr>
            </w:pPr>
          </w:p>
        </w:tc>
      </w:tr>
      <w:tr>
        <w:trPr>
          <w:trHeight w:val="1461" w:hRule="atLeast"/>
        </w:trPr>
        <w:tc>
          <w:tcPr>
            <w:tcW w:w="2235" w:type="dxa"/>
            <w:shd w:val="clear" w:color="auto" w:fill="00AFEF"/>
          </w:tcPr>
          <w:p>
            <w:pPr>
              <w:pStyle w:val="TableParagraph"/>
              <w:spacing w:before="3"/>
              <w:rPr>
                <w:rFonts w:ascii="Courier New"/>
                <w:sz w:val="22"/>
              </w:rPr>
            </w:pPr>
          </w:p>
          <w:p>
            <w:pPr>
              <w:pStyle w:val="TableParagraph"/>
              <w:spacing w:line="480" w:lineRule="atLeast" w:before="1"/>
              <w:ind w:left="107" w:right="645"/>
              <w:rPr>
                <w:rFonts w:ascii="Courier New"/>
                <w:b/>
                <w:sz w:val="22"/>
              </w:rPr>
            </w:pPr>
            <w:r>
              <w:rPr>
                <w:rFonts w:ascii="Courier New"/>
                <w:b/>
                <w:sz w:val="22"/>
              </w:rPr>
              <w:t>L-Carnosine p.924</w:t>
            </w:r>
          </w:p>
        </w:tc>
        <w:tc>
          <w:tcPr>
            <w:tcW w:w="1135" w:type="dxa"/>
          </w:tcPr>
          <w:p>
            <w:pPr>
              <w:pStyle w:val="TableParagraph"/>
              <w:rPr>
                <w:rFonts w:ascii="Times New Roman"/>
                <w:sz w:val="22"/>
              </w:rPr>
            </w:pPr>
          </w:p>
        </w:tc>
        <w:tc>
          <w:tcPr>
            <w:tcW w:w="1416" w:type="dxa"/>
          </w:tcPr>
          <w:p>
            <w:pPr>
              <w:pStyle w:val="TableParagraph"/>
              <w:rPr>
                <w:rFonts w:ascii="Times New Roman"/>
                <w:sz w:val="22"/>
              </w:rPr>
            </w:pPr>
          </w:p>
        </w:tc>
        <w:tc>
          <w:tcPr>
            <w:tcW w:w="1418" w:type="dxa"/>
          </w:tcPr>
          <w:p>
            <w:pPr>
              <w:pStyle w:val="TableParagraph"/>
              <w:rPr>
                <w:rFonts w:ascii="Times New Roman"/>
                <w:sz w:val="22"/>
              </w:rPr>
            </w:pPr>
          </w:p>
        </w:tc>
        <w:tc>
          <w:tcPr>
            <w:tcW w:w="1418" w:type="dxa"/>
          </w:tcPr>
          <w:p>
            <w:pPr>
              <w:pStyle w:val="TableParagraph"/>
              <w:rPr>
                <w:rFonts w:ascii="Times New Roman"/>
                <w:sz w:val="22"/>
              </w:rPr>
            </w:pPr>
          </w:p>
        </w:tc>
        <w:tc>
          <w:tcPr>
            <w:tcW w:w="1133" w:type="dxa"/>
          </w:tcPr>
          <w:p>
            <w:pPr>
              <w:pStyle w:val="TableParagraph"/>
              <w:spacing w:before="11"/>
              <w:ind w:left="106"/>
              <w:rPr>
                <w:rFonts w:ascii="Courier New"/>
                <w:sz w:val="32"/>
              </w:rPr>
            </w:pPr>
            <w:r>
              <w:rPr>
                <w:rFonts w:ascii="Courier New"/>
                <w:w w:val="99"/>
                <w:sz w:val="32"/>
              </w:rPr>
              <w:t>x</w:t>
            </w:r>
          </w:p>
        </w:tc>
        <w:tc>
          <w:tcPr>
            <w:tcW w:w="1135" w:type="dxa"/>
          </w:tcPr>
          <w:p>
            <w:pPr>
              <w:pStyle w:val="TableParagraph"/>
              <w:spacing w:before="11"/>
              <w:ind w:left="109"/>
              <w:rPr>
                <w:rFonts w:ascii="Courier New"/>
                <w:sz w:val="32"/>
              </w:rPr>
            </w:pPr>
            <w:r>
              <w:rPr>
                <w:rFonts w:ascii="Courier New"/>
                <w:w w:val="99"/>
                <w:sz w:val="32"/>
              </w:rPr>
              <w:t>x</w:t>
            </w:r>
          </w:p>
        </w:tc>
        <w:tc>
          <w:tcPr>
            <w:tcW w:w="1274" w:type="dxa"/>
          </w:tcPr>
          <w:p>
            <w:pPr>
              <w:pStyle w:val="TableParagraph"/>
              <w:rPr>
                <w:rFonts w:ascii="Times New Roman"/>
                <w:sz w:val="22"/>
              </w:rPr>
            </w:pPr>
          </w:p>
        </w:tc>
        <w:tc>
          <w:tcPr>
            <w:tcW w:w="1277" w:type="dxa"/>
          </w:tcPr>
          <w:p>
            <w:pPr>
              <w:pStyle w:val="TableParagraph"/>
              <w:rPr>
                <w:rFonts w:ascii="Times New Roman"/>
                <w:sz w:val="22"/>
              </w:rPr>
            </w:pPr>
          </w:p>
        </w:tc>
        <w:tc>
          <w:tcPr>
            <w:tcW w:w="1274" w:type="dxa"/>
          </w:tcPr>
          <w:p>
            <w:pPr>
              <w:pStyle w:val="TableParagraph"/>
              <w:rPr>
                <w:rFonts w:ascii="Times New Roman"/>
                <w:sz w:val="22"/>
              </w:rPr>
            </w:pPr>
          </w:p>
        </w:tc>
        <w:tc>
          <w:tcPr>
            <w:tcW w:w="1418" w:type="dxa"/>
          </w:tcPr>
          <w:p>
            <w:pPr>
              <w:pStyle w:val="TableParagraph"/>
              <w:rPr>
                <w:rFonts w:ascii="Times New Roman"/>
                <w:sz w:val="22"/>
              </w:rPr>
            </w:pPr>
          </w:p>
        </w:tc>
        <w:tc>
          <w:tcPr>
            <w:tcW w:w="1276" w:type="dxa"/>
          </w:tcPr>
          <w:p>
            <w:pPr>
              <w:pStyle w:val="TableParagraph"/>
              <w:rPr>
                <w:rFonts w:ascii="Times New Roman"/>
                <w:sz w:val="22"/>
              </w:rPr>
            </w:pPr>
          </w:p>
        </w:tc>
        <w:tc>
          <w:tcPr>
            <w:tcW w:w="1158" w:type="dxa"/>
          </w:tcPr>
          <w:p>
            <w:pPr>
              <w:pStyle w:val="TableParagraph"/>
              <w:rPr>
                <w:rFonts w:ascii="Times New Roman"/>
                <w:sz w:val="22"/>
              </w:rPr>
            </w:pPr>
          </w:p>
        </w:tc>
      </w:tr>
      <w:tr>
        <w:trPr>
          <w:trHeight w:val="1459" w:hRule="atLeast"/>
        </w:trPr>
        <w:tc>
          <w:tcPr>
            <w:tcW w:w="2235" w:type="dxa"/>
            <w:shd w:val="clear" w:color="auto" w:fill="00AFEF"/>
          </w:tcPr>
          <w:p>
            <w:pPr>
              <w:pStyle w:val="TableParagraph"/>
              <w:spacing w:before="4"/>
              <w:rPr>
                <w:rFonts w:ascii="Courier New"/>
                <w:sz w:val="22"/>
              </w:rPr>
            </w:pPr>
          </w:p>
          <w:p>
            <w:pPr>
              <w:pStyle w:val="TableParagraph"/>
              <w:spacing w:line="480" w:lineRule="atLeast"/>
              <w:ind w:left="107" w:right="909"/>
              <w:rPr>
                <w:rFonts w:ascii="Courier New"/>
                <w:b/>
                <w:sz w:val="22"/>
              </w:rPr>
            </w:pPr>
            <w:r>
              <w:rPr>
                <w:rFonts w:ascii="Courier New"/>
                <w:b/>
                <w:sz w:val="22"/>
              </w:rPr>
              <w:t>Melatonin p.954</w:t>
            </w:r>
          </w:p>
        </w:tc>
        <w:tc>
          <w:tcPr>
            <w:tcW w:w="1135" w:type="dxa"/>
          </w:tcPr>
          <w:p>
            <w:pPr>
              <w:pStyle w:val="TableParagraph"/>
              <w:spacing w:before="9"/>
              <w:ind w:left="107"/>
              <w:rPr>
                <w:rFonts w:ascii="Courier New"/>
                <w:sz w:val="32"/>
              </w:rPr>
            </w:pPr>
            <w:r>
              <w:rPr>
                <w:rFonts w:ascii="Courier New"/>
                <w:w w:val="99"/>
                <w:sz w:val="32"/>
              </w:rPr>
              <w:t>x</w:t>
            </w:r>
          </w:p>
        </w:tc>
        <w:tc>
          <w:tcPr>
            <w:tcW w:w="1416" w:type="dxa"/>
          </w:tcPr>
          <w:p>
            <w:pPr>
              <w:pStyle w:val="TableParagraph"/>
              <w:spacing w:before="9"/>
              <w:ind w:left="105"/>
              <w:rPr>
                <w:rFonts w:ascii="Courier New"/>
                <w:sz w:val="32"/>
              </w:rPr>
            </w:pPr>
            <w:r>
              <w:rPr>
                <w:rFonts w:ascii="Courier New"/>
                <w:w w:val="99"/>
                <w:sz w:val="32"/>
              </w:rPr>
              <w:t>x</w:t>
            </w:r>
          </w:p>
        </w:tc>
        <w:tc>
          <w:tcPr>
            <w:tcW w:w="1418" w:type="dxa"/>
          </w:tcPr>
          <w:p>
            <w:pPr>
              <w:pStyle w:val="TableParagraph"/>
              <w:rPr>
                <w:rFonts w:ascii="Times New Roman"/>
                <w:sz w:val="22"/>
              </w:rPr>
            </w:pPr>
          </w:p>
        </w:tc>
        <w:tc>
          <w:tcPr>
            <w:tcW w:w="1418" w:type="dxa"/>
          </w:tcPr>
          <w:p>
            <w:pPr>
              <w:pStyle w:val="TableParagraph"/>
              <w:rPr>
                <w:rFonts w:ascii="Times New Roman"/>
                <w:sz w:val="22"/>
              </w:rPr>
            </w:pPr>
          </w:p>
        </w:tc>
        <w:tc>
          <w:tcPr>
            <w:tcW w:w="1133" w:type="dxa"/>
          </w:tcPr>
          <w:p>
            <w:pPr>
              <w:pStyle w:val="TableParagraph"/>
              <w:rPr>
                <w:rFonts w:ascii="Times New Roman"/>
                <w:sz w:val="22"/>
              </w:rPr>
            </w:pPr>
          </w:p>
        </w:tc>
        <w:tc>
          <w:tcPr>
            <w:tcW w:w="1135" w:type="dxa"/>
          </w:tcPr>
          <w:p>
            <w:pPr>
              <w:pStyle w:val="TableParagraph"/>
              <w:spacing w:before="9"/>
              <w:ind w:left="109"/>
              <w:rPr>
                <w:rFonts w:ascii="Courier New"/>
                <w:sz w:val="32"/>
              </w:rPr>
            </w:pPr>
            <w:r>
              <w:rPr>
                <w:rFonts w:ascii="Courier New"/>
                <w:w w:val="99"/>
                <w:sz w:val="32"/>
              </w:rPr>
              <w:t>x</w:t>
            </w:r>
          </w:p>
        </w:tc>
        <w:tc>
          <w:tcPr>
            <w:tcW w:w="1274" w:type="dxa"/>
          </w:tcPr>
          <w:p>
            <w:pPr>
              <w:pStyle w:val="TableParagraph"/>
              <w:spacing w:before="9"/>
              <w:ind w:left="107"/>
              <w:rPr>
                <w:rFonts w:ascii="Courier New"/>
                <w:sz w:val="32"/>
              </w:rPr>
            </w:pPr>
            <w:r>
              <w:rPr>
                <w:rFonts w:ascii="Courier New"/>
                <w:w w:val="99"/>
                <w:sz w:val="32"/>
              </w:rPr>
              <w:t>x</w:t>
            </w:r>
          </w:p>
        </w:tc>
        <w:tc>
          <w:tcPr>
            <w:tcW w:w="1277" w:type="dxa"/>
          </w:tcPr>
          <w:p>
            <w:pPr>
              <w:pStyle w:val="TableParagraph"/>
              <w:spacing w:before="9"/>
              <w:ind w:left="110"/>
              <w:rPr>
                <w:rFonts w:ascii="Courier New"/>
                <w:sz w:val="32"/>
              </w:rPr>
            </w:pPr>
            <w:r>
              <w:rPr>
                <w:rFonts w:ascii="Courier New"/>
                <w:w w:val="99"/>
                <w:sz w:val="32"/>
              </w:rPr>
              <w:t>x</w:t>
            </w:r>
          </w:p>
        </w:tc>
        <w:tc>
          <w:tcPr>
            <w:tcW w:w="1274" w:type="dxa"/>
          </w:tcPr>
          <w:p>
            <w:pPr>
              <w:pStyle w:val="TableParagraph"/>
              <w:rPr>
                <w:rFonts w:ascii="Times New Roman"/>
                <w:sz w:val="22"/>
              </w:rPr>
            </w:pPr>
          </w:p>
        </w:tc>
        <w:tc>
          <w:tcPr>
            <w:tcW w:w="1418" w:type="dxa"/>
          </w:tcPr>
          <w:p>
            <w:pPr>
              <w:pStyle w:val="TableParagraph"/>
              <w:rPr>
                <w:rFonts w:ascii="Times New Roman"/>
                <w:sz w:val="22"/>
              </w:rPr>
            </w:pPr>
          </w:p>
        </w:tc>
        <w:tc>
          <w:tcPr>
            <w:tcW w:w="1276" w:type="dxa"/>
          </w:tcPr>
          <w:p>
            <w:pPr>
              <w:pStyle w:val="TableParagraph"/>
              <w:spacing w:before="9"/>
              <w:ind w:left="109"/>
              <w:rPr>
                <w:rFonts w:ascii="Courier New"/>
                <w:sz w:val="32"/>
              </w:rPr>
            </w:pPr>
            <w:r>
              <w:rPr>
                <w:rFonts w:ascii="Courier New"/>
                <w:w w:val="99"/>
                <w:sz w:val="32"/>
              </w:rPr>
              <w:t>x</w:t>
            </w:r>
          </w:p>
        </w:tc>
        <w:tc>
          <w:tcPr>
            <w:tcW w:w="1158" w:type="dxa"/>
          </w:tcPr>
          <w:p>
            <w:pPr>
              <w:pStyle w:val="TableParagraph"/>
              <w:rPr>
                <w:rFonts w:ascii="Times New Roman"/>
                <w:sz w:val="22"/>
              </w:rPr>
            </w:pPr>
          </w:p>
        </w:tc>
      </w:tr>
      <w:tr>
        <w:trPr>
          <w:trHeight w:val="1461" w:hRule="atLeast"/>
        </w:trPr>
        <w:tc>
          <w:tcPr>
            <w:tcW w:w="2235" w:type="dxa"/>
            <w:shd w:val="clear" w:color="auto" w:fill="00AFEF"/>
          </w:tcPr>
          <w:p>
            <w:pPr>
              <w:pStyle w:val="TableParagraph"/>
              <w:spacing w:before="3"/>
              <w:rPr>
                <w:rFonts w:ascii="Courier New"/>
                <w:sz w:val="22"/>
              </w:rPr>
            </w:pPr>
          </w:p>
          <w:p>
            <w:pPr>
              <w:pStyle w:val="TableParagraph"/>
              <w:spacing w:line="480" w:lineRule="atLeast" w:before="1"/>
              <w:ind w:left="107" w:right="1305"/>
              <w:rPr>
                <w:rFonts w:ascii="Courier New"/>
                <w:b/>
                <w:sz w:val="22"/>
              </w:rPr>
            </w:pPr>
            <w:r>
              <w:rPr>
                <w:rFonts w:ascii="Courier New"/>
                <w:b/>
                <w:sz w:val="22"/>
              </w:rPr>
              <w:t>MMS p.1006</w:t>
            </w:r>
          </w:p>
        </w:tc>
        <w:tc>
          <w:tcPr>
            <w:tcW w:w="1135" w:type="dxa"/>
          </w:tcPr>
          <w:p>
            <w:pPr>
              <w:pStyle w:val="TableParagraph"/>
              <w:rPr>
                <w:rFonts w:ascii="Times New Roman"/>
                <w:sz w:val="22"/>
              </w:rPr>
            </w:pPr>
          </w:p>
        </w:tc>
        <w:tc>
          <w:tcPr>
            <w:tcW w:w="1416" w:type="dxa"/>
          </w:tcPr>
          <w:p>
            <w:pPr>
              <w:pStyle w:val="TableParagraph"/>
              <w:rPr>
                <w:rFonts w:ascii="Times New Roman"/>
                <w:sz w:val="22"/>
              </w:rPr>
            </w:pPr>
          </w:p>
        </w:tc>
        <w:tc>
          <w:tcPr>
            <w:tcW w:w="1418" w:type="dxa"/>
          </w:tcPr>
          <w:p>
            <w:pPr>
              <w:pStyle w:val="TableParagraph"/>
              <w:rPr>
                <w:rFonts w:ascii="Times New Roman"/>
                <w:sz w:val="22"/>
              </w:rPr>
            </w:pPr>
          </w:p>
        </w:tc>
        <w:tc>
          <w:tcPr>
            <w:tcW w:w="1418" w:type="dxa"/>
          </w:tcPr>
          <w:p>
            <w:pPr>
              <w:pStyle w:val="TableParagraph"/>
              <w:rPr>
                <w:rFonts w:ascii="Times New Roman"/>
                <w:sz w:val="22"/>
              </w:rPr>
            </w:pPr>
          </w:p>
        </w:tc>
        <w:tc>
          <w:tcPr>
            <w:tcW w:w="1133" w:type="dxa"/>
          </w:tcPr>
          <w:p>
            <w:pPr>
              <w:pStyle w:val="TableParagraph"/>
              <w:rPr>
                <w:rFonts w:ascii="Times New Roman"/>
                <w:sz w:val="22"/>
              </w:rPr>
            </w:pPr>
          </w:p>
        </w:tc>
        <w:tc>
          <w:tcPr>
            <w:tcW w:w="1135" w:type="dxa"/>
          </w:tcPr>
          <w:p>
            <w:pPr>
              <w:pStyle w:val="TableParagraph"/>
              <w:rPr>
                <w:rFonts w:ascii="Times New Roman"/>
                <w:sz w:val="22"/>
              </w:rPr>
            </w:pPr>
          </w:p>
        </w:tc>
        <w:tc>
          <w:tcPr>
            <w:tcW w:w="1274" w:type="dxa"/>
          </w:tcPr>
          <w:p>
            <w:pPr>
              <w:pStyle w:val="TableParagraph"/>
              <w:spacing w:before="11"/>
              <w:ind w:left="107"/>
              <w:rPr>
                <w:rFonts w:ascii="Courier New"/>
                <w:sz w:val="32"/>
              </w:rPr>
            </w:pPr>
            <w:r>
              <w:rPr>
                <w:rFonts w:ascii="Courier New"/>
                <w:w w:val="99"/>
                <w:sz w:val="32"/>
              </w:rPr>
              <w:t>x</w:t>
            </w:r>
          </w:p>
        </w:tc>
        <w:tc>
          <w:tcPr>
            <w:tcW w:w="1277" w:type="dxa"/>
          </w:tcPr>
          <w:p>
            <w:pPr>
              <w:pStyle w:val="TableParagraph"/>
              <w:rPr>
                <w:rFonts w:ascii="Times New Roman"/>
                <w:sz w:val="22"/>
              </w:rPr>
            </w:pPr>
          </w:p>
        </w:tc>
        <w:tc>
          <w:tcPr>
            <w:tcW w:w="1274" w:type="dxa"/>
          </w:tcPr>
          <w:p>
            <w:pPr>
              <w:pStyle w:val="TableParagraph"/>
              <w:rPr>
                <w:rFonts w:ascii="Times New Roman"/>
                <w:sz w:val="22"/>
              </w:rPr>
            </w:pPr>
          </w:p>
        </w:tc>
        <w:tc>
          <w:tcPr>
            <w:tcW w:w="1418" w:type="dxa"/>
          </w:tcPr>
          <w:p>
            <w:pPr>
              <w:pStyle w:val="TableParagraph"/>
              <w:rPr>
                <w:rFonts w:ascii="Times New Roman"/>
                <w:sz w:val="22"/>
              </w:rPr>
            </w:pPr>
          </w:p>
        </w:tc>
        <w:tc>
          <w:tcPr>
            <w:tcW w:w="1276" w:type="dxa"/>
          </w:tcPr>
          <w:p>
            <w:pPr>
              <w:pStyle w:val="TableParagraph"/>
              <w:rPr>
                <w:rFonts w:ascii="Times New Roman"/>
                <w:sz w:val="22"/>
              </w:rPr>
            </w:pPr>
          </w:p>
        </w:tc>
        <w:tc>
          <w:tcPr>
            <w:tcW w:w="1158" w:type="dxa"/>
          </w:tcPr>
          <w:p>
            <w:pPr>
              <w:pStyle w:val="TableParagraph"/>
              <w:rPr>
                <w:rFonts w:ascii="Times New Roman"/>
                <w:sz w:val="22"/>
              </w:rPr>
            </w:pPr>
          </w:p>
        </w:tc>
      </w:tr>
      <w:tr>
        <w:trPr>
          <w:trHeight w:val="1459" w:hRule="atLeast"/>
        </w:trPr>
        <w:tc>
          <w:tcPr>
            <w:tcW w:w="2235" w:type="dxa"/>
            <w:shd w:val="clear" w:color="auto" w:fill="00AFEF"/>
          </w:tcPr>
          <w:p>
            <w:pPr>
              <w:pStyle w:val="TableParagraph"/>
              <w:spacing w:before="4"/>
              <w:rPr>
                <w:rFonts w:ascii="Courier New"/>
                <w:sz w:val="22"/>
              </w:rPr>
            </w:pPr>
          </w:p>
          <w:p>
            <w:pPr>
              <w:pStyle w:val="TableParagraph"/>
              <w:spacing w:line="480" w:lineRule="atLeast"/>
              <w:ind w:left="107" w:right="1305"/>
              <w:rPr>
                <w:rFonts w:ascii="Courier New"/>
                <w:b/>
                <w:sz w:val="22"/>
              </w:rPr>
            </w:pPr>
            <w:r>
              <w:rPr>
                <w:rFonts w:ascii="Courier New"/>
                <w:b/>
                <w:sz w:val="22"/>
              </w:rPr>
              <w:t>Silica p.1460</w:t>
            </w:r>
          </w:p>
        </w:tc>
        <w:tc>
          <w:tcPr>
            <w:tcW w:w="1135" w:type="dxa"/>
          </w:tcPr>
          <w:p>
            <w:pPr>
              <w:pStyle w:val="TableParagraph"/>
              <w:rPr>
                <w:rFonts w:ascii="Times New Roman"/>
                <w:sz w:val="22"/>
              </w:rPr>
            </w:pPr>
          </w:p>
        </w:tc>
        <w:tc>
          <w:tcPr>
            <w:tcW w:w="1416" w:type="dxa"/>
          </w:tcPr>
          <w:p>
            <w:pPr>
              <w:pStyle w:val="TableParagraph"/>
              <w:rPr>
                <w:rFonts w:ascii="Times New Roman"/>
                <w:sz w:val="22"/>
              </w:rPr>
            </w:pPr>
          </w:p>
        </w:tc>
        <w:tc>
          <w:tcPr>
            <w:tcW w:w="1418" w:type="dxa"/>
          </w:tcPr>
          <w:p>
            <w:pPr>
              <w:pStyle w:val="TableParagraph"/>
              <w:rPr>
                <w:rFonts w:ascii="Times New Roman"/>
                <w:sz w:val="22"/>
              </w:rPr>
            </w:pPr>
          </w:p>
        </w:tc>
        <w:tc>
          <w:tcPr>
            <w:tcW w:w="1418" w:type="dxa"/>
          </w:tcPr>
          <w:p>
            <w:pPr>
              <w:pStyle w:val="TableParagraph"/>
              <w:rPr>
                <w:rFonts w:ascii="Times New Roman"/>
                <w:sz w:val="22"/>
              </w:rPr>
            </w:pPr>
          </w:p>
        </w:tc>
        <w:tc>
          <w:tcPr>
            <w:tcW w:w="1133" w:type="dxa"/>
          </w:tcPr>
          <w:p>
            <w:pPr>
              <w:pStyle w:val="TableParagraph"/>
              <w:rPr>
                <w:rFonts w:ascii="Times New Roman"/>
                <w:sz w:val="22"/>
              </w:rPr>
            </w:pPr>
          </w:p>
        </w:tc>
        <w:tc>
          <w:tcPr>
            <w:tcW w:w="1135" w:type="dxa"/>
          </w:tcPr>
          <w:p>
            <w:pPr>
              <w:pStyle w:val="TableParagraph"/>
              <w:rPr>
                <w:rFonts w:ascii="Times New Roman"/>
                <w:sz w:val="22"/>
              </w:rPr>
            </w:pPr>
          </w:p>
        </w:tc>
        <w:tc>
          <w:tcPr>
            <w:tcW w:w="1274" w:type="dxa"/>
          </w:tcPr>
          <w:p>
            <w:pPr>
              <w:pStyle w:val="TableParagraph"/>
              <w:spacing w:before="9"/>
              <w:ind w:left="107"/>
              <w:rPr>
                <w:rFonts w:ascii="Courier New"/>
                <w:sz w:val="32"/>
              </w:rPr>
            </w:pPr>
            <w:r>
              <w:rPr>
                <w:rFonts w:ascii="Courier New"/>
                <w:w w:val="99"/>
                <w:sz w:val="32"/>
              </w:rPr>
              <w:t>x</w:t>
            </w:r>
          </w:p>
        </w:tc>
        <w:tc>
          <w:tcPr>
            <w:tcW w:w="1277" w:type="dxa"/>
          </w:tcPr>
          <w:p>
            <w:pPr>
              <w:pStyle w:val="TableParagraph"/>
              <w:rPr>
                <w:rFonts w:ascii="Times New Roman"/>
                <w:sz w:val="22"/>
              </w:rPr>
            </w:pPr>
          </w:p>
        </w:tc>
        <w:tc>
          <w:tcPr>
            <w:tcW w:w="1274" w:type="dxa"/>
          </w:tcPr>
          <w:p>
            <w:pPr>
              <w:pStyle w:val="TableParagraph"/>
              <w:rPr>
                <w:rFonts w:ascii="Times New Roman"/>
                <w:sz w:val="22"/>
              </w:rPr>
            </w:pPr>
          </w:p>
        </w:tc>
        <w:tc>
          <w:tcPr>
            <w:tcW w:w="1418" w:type="dxa"/>
          </w:tcPr>
          <w:p>
            <w:pPr>
              <w:pStyle w:val="TableParagraph"/>
              <w:rPr>
                <w:rFonts w:ascii="Times New Roman"/>
                <w:sz w:val="22"/>
              </w:rPr>
            </w:pPr>
          </w:p>
        </w:tc>
        <w:tc>
          <w:tcPr>
            <w:tcW w:w="1276" w:type="dxa"/>
          </w:tcPr>
          <w:p>
            <w:pPr>
              <w:pStyle w:val="TableParagraph"/>
              <w:rPr>
                <w:rFonts w:ascii="Times New Roman"/>
                <w:sz w:val="22"/>
              </w:rPr>
            </w:pPr>
          </w:p>
        </w:tc>
        <w:tc>
          <w:tcPr>
            <w:tcW w:w="1158" w:type="dxa"/>
          </w:tcPr>
          <w:p>
            <w:pPr>
              <w:pStyle w:val="TableParagraph"/>
              <w:rPr>
                <w:rFonts w:ascii="Times New Roman"/>
                <w:sz w:val="22"/>
              </w:rPr>
            </w:pPr>
          </w:p>
        </w:tc>
      </w:tr>
      <w:tr>
        <w:trPr>
          <w:trHeight w:val="1747" w:hRule="atLeast"/>
        </w:trPr>
        <w:tc>
          <w:tcPr>
            <w:tcW w:w="2235" w:type="dxa"/>
            <w:shd w:val="clear" w:color="auto" w:fill="00AFEF"/>
          </w:tcPr>
          <w:p>
            <w:pPr>
              <w:pStyle w:val="TableParagraph"/>
              <w:rPr>
                <w:rFonts w:ascii="Courier New"/>
                <w:sz w:val="24"/>
              </w:rPr>
            </w:pPr>
          </w:p>
          <w:p>
            <w:pPr>
              <w:pStyle w:val="TableParagraph"/>
              <w:spacing w:line="278" w:lineRule="auto" w:before="212"/>
              <w:ind w:left="107" w:right="381"/>
              <w:rPr>
                <w:rFonts w:ascii="Courier New"/>
                <w:b/>
                <w:sz w:val="22"/>
              </w:rPr>
            </w:pPr>
            <w:r>
              <w:rPr>
                <w:rFonts w:ascii="Courier New"/>
                <w:b/>
                <w:sz w:val="22"/>
              </w:rPr>
              <w:t>Omega-3 fatty acids</w:t>
            </w:r>
          </w:p>
          <w:p>
            <w:pPr>
              <w:pStyle w:val="TableParagraph"/>
              <w:spacing w:before="195"/>
              <w:ind w:left="107"/>
              <w:rPr>
                <w:rFonts w:ascii="Courier New"/>
                <w:b/>
                <w:sz w:val="22"/>
              </w:rPr>
            </w:pPr>
            <w:r>
              <w:rPr>
                <w:rFonts w:ascii="Courier New"/>
                <w:b/>
                <w:sz w:val="22"/>
              </w:rPr>
              <w:t>p.1036</w:t>
            </w:r>
          </w:p>
        </w:tc>
        <w:tc>
          <w:tcPr>
            <w:tcW w:w="1135" w:type="dxa"/>
          </w:tcPr>
          <w:p>
            <w:pPr>
              <w:pStyle w:val="TableParagraph"/>
              <w:rPr>
                <w:rFonts w:ascii="Times New Roman"/>
                <w:sz w:val="22"/>
              </w:rPr>
            </w:pPr>
          </w:p>
        </w:tc>
        <w:tc>
          <w:tcPr>
            <w:tcW w:w="1416" w:type="dxa"/>
          </w:tcPr>
          <w:p>
            <w:pPr>
              <w:pStyle w:val="TableParagraph"/>
              <w:rPr>
                <w:rFonts w:ascii="Times New Roman"/>
                <w:sz w:val="22"/>
              </w:rPr>
            </w:pPr>
          </w:p>
        </w:tc>
        <w:tc>
          <w:tcPr>
            <w:tcW w:w="1418" w:type="dxa"/>
          </w:tcPr>
          <w:p>
            <w:pPr>
              <w:pStyle w:val="TableParagraph"/>
              <w:spacing w:before="9"/>
              <w:ind w:left="108"/>
              <w:rPr>
                <w:rFonts w:ascii="Courier New"/>
                <w:sz w:val="32"/>
              </w:rPr>
            </w:pPr>
            <w:r>
              <w:rPr>
                <w:rFonts w:ascii="Courier New"/>
                <w:w w:val="99"/>
                <w:sz w:val="32"/>
              </w:rPr>
              <w:t>x</w:t>
            </w:r>
          </w:p>
        </w:tc>
        <w:tc>
          <w:tcPr>
            <w:tcW w:w="1418" w:type="dxa"/>
          </w:tcPr>
          <w:p>
            <w:pPr>
              <w:pStyle w:val="TableParagraph"/>
              <w:spacing w:before="9"/>
              <w:ind w:left="108"/>
              <w:rPr>
                <w:rFonts w:ascii="Courier New"/>
                <w:sz w:val="32"/>
              </w:rPr>
            </w:pPr>
            <w:r>
              <w:rPr>
                <w:rFonts w:ascii="Courier New"/>
                <w:w w:val="99"/>
                <w:sz w:val="32"/>
              </w:rPr>
              <w:t>x</w:t>
            </w:r>
          </w:p>
        </w:tc>
        <w:tc>
          <w:tcPr>
            <w:tcW w:w="1133" w:type="dxa"/>
          </w:tcPr>
          <w:p>
            <w:pPr>
              <w:pStyle w:val="TableParagraph"/>
              <w:rPr>
                <w:rFonts w:ascii="Times New Roman"/>
                <w:sz w:val="22"/>
              </w:rPr>
            </w:pPr>
          </w:p>
        </w:tc>
        <w:tc>
          <w:tcPr>
            <w:tcW w:w="1135" w:type="dxa"/>
          </w:tcPr>
          <w:p>
            <w:pPr>
              <w:pStyle w:val="TableParagraph"/>
              <w:rPr>
                <w:rFonts w:ascii="Times New Roman"/>
                <w:sz w:val="22"/>
              </w:rPr>
            </w:pPr>
          </w:p>
        </w:tc>
        <w:tc>
          <w:tcPr>
            <w:tcW w:w="1274" w:type="dxa"/>
          </w:tcPr>
          <w:p>
            <w:pPr>
              <w:pStyle w:val="TableParagraph"/>
              <w:spacing w:before="9"/>
              <w:ind w:left="107"/>
              <w:rPr>
                <w:rFonts w:ascii="Courier New"/>
                <w:sz w:val="32"/>
              </w:rPr>
            </w:pPr>
            <w:r>
              <w:rPr>
                <w:rFonts w:ascii="Courier New"/>
                <w:w w:val="99"/>
                <w:sz w:val="32"/>
              </w:rPr>
              <w:t>x</w:t>
            </w:r>
          </w:p>
        </w:tc>
        <w:tc>
          <w:tcPr>
            <w:tcW w:w="1277" w:type="dxa"/>
          </w:tcPr>
          <w:p>
            <w:pPr>
              <w:pStyle w:val="TableParagraph"/>
              <w:rPr>
                <w:rFonts w:ascii="Times New Roman"/>
                <w:sz w:val="22"/>
              </w:rPr>
            </w:pPr>
          </w:p>
        </w:tc>
        <w:tc>
          <w:tcPr>
            <w:tcW w:w="1274" w:type="dxa"/>
          </w:tcPr>
          <w:p>
            <w:pPr>
              <w:pStyle w:val="TableParagraph"/>
              <w:rPr>
                <w:rFonts w:ascii="Times New Roman"/>
                <w:sz w:val="22"/>
              </w:rPr>
            </w:pPr>
          </w:p>
        </w:tc>
        <w:tc>
          <w:tcPr>
            <w:tcW w:w="1418" w:type="dxa"/>
          </w:tcPr>
          <w:p>
            <w:pPr>
              <w:pStyle w:val="TableParagraph"/>
              <w:rPr>
                <w:rFonts w:ascii="Times New Roman"/>
                <w:sz w:val="22"/>
              </w:rPr>
            </w:pPr>
          </w:p>
        </w:tc>
        <w:tc>
          <w:tcPr>
            <w:tcW w:w="1276" w:type="dxa"/>
          </w:tcPr>
          <w:p>
            <w:pPr>
              <w:pStyle w:val="TableParagraph"/>
              <w:spacing w:before="9"/>
              <w:ind w:left="109"/>
              <w:rPr>
                <w:rFonts w:ascii="Courier New"/>
                <w:sz w:val="32"/>
              </w:rPr>
            </w:pPr>
            <w:r>
              <w:rPr>
                <w:rFonts w:ascii="Courier New"/>
                <w:w w:val="99"/>
                <w:sz w:val="32"/>
              </w:rPr>
              <w:t>x</w:t>
            </w:r>
          </w:p>
        </w:tc>
        <w:tc>
          <w:tcPr>
            <w:tcW w:w="1158" w:type="dxa"/>
          </w:tcPr>
          <w:p>
            <w:pPr>
              <w:pStyle w:val="TableParagraph"/>
              <w:spacing w:before="9"/>
              <w:ind w:left="109"/>
              <w:rPr>
                <w:rFonts w:ascii="Courier New"/>
                <w:sz w:val="32"/>
              </w:rPr>
            </w:pPr>
            <w:r>
              <w:rPr>
                <w:rFonts w:ascii="Courier New"/>
                <w:w w:val="99"/>
                <w:sz w:val="32"/>
              </w:rPr>
              <w:t>x</w:t>
            </w:r>
          </w:p>
        </w:tc>
      </w:tr>
    </w:tbl>
    <w:p>
      <w:pPr>
        <w:spacing w:after="0"/>
        <w:rPr>
          <w:rFonts w:ascii="Courier New"/>
          <w:sz w:val="32"/>
        </w:rPr>
        <w:sectPr>
          <w:pgSz w:w="18630" w:h="11910" w:orient="landscape"/>
          <w:pgMar w:header="0" w:footer="404" w:top="840" w:bottom="600" w:left="740" w:right="8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5"/>
        <w:gridCol w:w="1135"/>
        <w:gridCol w:w="1416"/>
        <w:gridCol w:w="1418"/>
        <w:gridCol w:w="1418"/>
        <w:gridCol w:w="1133"/>
        <w:gridCol w:w="1135"/>
        <w:gridCol w:w="1274"/>
        <w:gridCol w:w="1277"/>
        <w:gridCol w:w="1274"/>
        <w:gridCol w:w="1418"/>
        <w:gridCol w:w="1276"/>
        <w:gridCol w:w="1158"/>
      </w:tblGrid>
      <w:tr>
        <w:trPr>
          <w:trHeight w:val="1459" w:hRule="atLeast"/>
        </w:trPr>
        <w:tc>
          <w:tcPr>
            <w:tcW w:w="2235" w:type="dxa"/>
            <w:shd w:val="clear" w:color="auto" w:fill="00AFEF"/>
          </w:tcPr>
          <w:p>
            <w:pPr>
              <w:pStyle w:val="TableParagraph"/>
              <w:spacing w:before="4"/>
              <w:rPr>
                <w:rFonts w:ascii="Courier New"/>
                <w:sz w:val="22"/>
              </w:rPr>
            </w:pPr>
          </w:p>
          <w:p>
            <w:pPr>
              <w:pStyle w:val="TableParagraph"/>
              <w:spacing w:line="480" w:lineRule="atLeast"/>
              <w:ind w:left="107" w:right="645"/>
              <w:rPr>
                <w:rFonts w:ascii="Courier New"/>
                <w:b/>
                <w:sz w:val="22"/>
              </w:rPr>
            </w:pPr>
            <w:r>
              <w:rPr>
                <w:rFonts w:ascii="Courier New"/>
                <w:b/>
                <w:sz w:val="22"/>
              </w:rPr>
              <w:t>Rooibos-Tea p.1370</w:t>
            </w:r>
          </w:p>
        </w:tc>
        <w:tc>
          <w:tcPr>
            <w:tcW w:w="1135" w:type="dxa"/>
          </w:tcPr>
          <w:p>
            <w:pPr>
              <w:pStyle w:val="TableParagraph"/>
              <w:rPr>
                <w:rFonts w:ascii="Times New Roman"/>
                <w:sz w:val="24"/>
              </w:rPr>
            </w:pPr>
          </w:p>
        </w:tc>
        <w:tc>
          <w:tcPr>
            <w:tcW w:w="1416" w:type="dxa"/>
          </w:tcPr>
          <w:p>
            <w:pPr>
              <w:pStyle w:val="TableParagraph"/>
              <w:rPr>
                <w:rFonts w:ascii="Times New Roman"/>
                <w:sz w:val="24"/>
              </w:rPr>
            </w:pPr>
          </w:p>
        </w:tc>
        <w:tc>
          <w:tcPr>
            <w:tcW w:w="1418" w:type="dxa"/>
          </w:tcPr>
          <w:p>
            <w:pPr>
              <w:pStyle w:val="TableParagraph"/>
              <w:rPr>
                <w:rFonts w:ascii="Times New Roman"/>
                <w:sz w:val="24"/>
              </w:rPr>
            </w:pPr>
          </w:p>
        </w:tc>
        <w:tc>
          <w:tcPr>
            <w:tcW w:w="1418" w:type="dxa"/>
          </w:tcPr>
          <w:p>
            <w:pPr>
              <w:pStyle w:val="TableParagraph"/>
              <w:spacing w:before="9"/>
              <w:ind w:left="108"/>
              <w:rPr>
                <w:rFonts w:ascii="Courier New"/>
                <w:sz w:val="32"/>
              </w:rPr>
            </w:pPr>
            <w:r>
              <w:rPr>
                <w:rFonts w:ascii="Courier New"/>
                <w:w w:val="99"/>
                <w:sz w:val="32"/>
              </w:rPr>
              <w:t>x</w:t>
            </w:r>
          </w:p>
        </w:tc>
        <w:tc>
          <w:tcPr>
            <w:tcW w:w="1133" w:type="dxa"/>
          </w:tcPr>
          <w:p>
            <w:pPr>
              <w:pStyle w:val="TableParagraph"/>
              <w:rPr>
                <w:rFonts w:ascii="Times New Roman"/>
                <w:sz w:val="24"/>
              </w:rPr>
            </w:pPr>
          </w:p>
        </w:tc>
        <w:tc>
          <w:tcPr>
            <w:tcW w:w="1135" w:type="dxa"/>
          </w:tcPr>
          <w:p>
            <w:pPr>
              <w:pStyle w:val="TableParagraph"/>
              <w:spacing w:before="9"/>
              <w:ind w:left="109"/>
              <w:rPr>
                <w:rFonts w:ascii="Courier New"/>
                <w:sz w:val="32"/>
              </w:rPr>
            </w:pPr>
            <w:r>
              <w:rPr>
                <w:rFonts w:ascii="Courier New"/>
                <w:w w:val="99"/>
                <w:sz w:val="32"/>
              </w:rPr>
              <w:t>x</w:t>
            </w:r>
          </w:p>
        </w:tc>
        <w:tc>
          <w:tcPr>
            <w:tcW w:w="1274" w:type="dxa"/>
          </w:tcPr>
          <w:p>
            <w:pPr>
              <w:pStyle w:val="TableParagraph"/>
              <w:spacing w:before="9"/>
              <w:ind w:left="107"/>
              <w:rPr>
                <w:rFonts w:ascii="Courier New"/>
                <w:sz w:val="32"/>
              </w:rPr>
            </w:pPr>
            <w:r>
              <w:rPr>
                <w:rFonts w:ascii="Courier New"/>
                <w:w w:val="99"/>
                <w:sz w:val="32"/>
              </w:rPr>
              <w:t>x</w:t>
            </w:r>
          </w:p>
        </w:tc>
        <w:tc>
          <w:tcPr>
            <w:tcW w:w="1277" w:type="dxa"/>
          </w:tcPr>
          <w:p>
            <w:pPr>
              <w:pStyle w:val="TableParagraph"/>
              <w:rPr>
                <w:rFonts w:ascii="Times New Roman"/>
                <w:sz w:val="24"/>
              </w:rPr>
            </w:pPr>
          </w:p>
        </w:tc>
        <w:tc>
          <w:tcPr>
            <w:tcW w:w="1274" w:type="dxa"/>
          </w:tcPr>
          <w:p>
            <w:pPr>
              <w:pStyle w:val="TableParagraph"/>
              <w:rPr>
                <w:rFonts w:ascii="Times New Roman"/>
                <w:sz w:val="24"/>
              </w:rPr>
            </w:pPr>
          </w:p>
        </w:tc>
        <w:tc>
          <w:tcPr>
            <w:tcW w:w="1418" w:type="dxa"/>
          </w:tcPr>
          <w:p>
            <w:pPr>
              <w:pStyle w:val="TableParagraph"/>
              <w:rPr>
                <w:rFonts w:ascii="Times New Roman"/>
                <w:sz w:val="24"/>
              </w:rPr>
            </w:pPr>
          </w:p>
        </w:tc>
        <w:tc>
          <w:tcPr>
            <w:tcW w:w="1276" w:type="dxa"/>
          </w:tcPr>
          <w:p>
            <w:pPr>
              <w:pStyle w:val="TableParagraph"/>
              <w:rPr>
                <w:rFonts w:ascii="Times New Roman"/>
                <w:sz w:val="24"/>
              </w:rPr>
            </w:pPr>
          </w:p>
        </w:tc>
        <w:tc>
          <w:tcPr>
            <w:tcW w:w="1158" w:type="dxa"/>
          </w:tcPr>
          <w:p>
            <w:pPr>
              <w:pStyle w:val="TableParagraph"/>
              <w:rPr>
                <w:rFonts w:ascii="Times New Roman"/>
                <w:sz w:val="24"/>
              </w:rPr>
            </w:pPr>
          </w:p>
        </w:tc>
      </w:tr>
      <w:tr>
        <w:trPr>
          <w:trHeight w:val="1458" w:hRule="atLeast"/>
        </w:trPr>
        <w:tc>
          <w:tcPr>
            <w:tcW w:w="2235" w:type="dxa"/>
            <w:shd w:val="clear" w:color="auto" w:fill="00AFEF"/>
          </w:tcPr>
          <w:p>
            <w:pPr>
              <w:pStyle w:val="TableParagraph"/>
              <w:spacing w:before="3"/>
              <w:rPr>
                <w:rFonts w:ascii="Courier New"/>
                <w:sz w:val="22"/>
              </w:rPr>
            </w:pPr>
          </w:p>
          <w:p>
            <w:pPr>
              <w:pStyle w:val="TableParagraph"/>
              <w:spacing w:line="480" w:lineRule="atLeast" w:before="1"/>
              <w:ind w:left="107" w:right="381"/>
              <w:rPr>
                <w:rFonts w:ascii="Courier New"/>
                <w:b/>
                <w:sz w:val="22"/>
              </w:rPr>
            </w:pPr>
            <w:r>
              <w:rPr>
                <w:rFonts w:ascii="Courier New"/>
                <w:b/>
                <w:sz w:val="22"/>
              </w:rPr>
              <w:t>OPC/Vitamin P S.1094</w:t>
            </w:r>
          </w:p>
        </w:tc>
        <w:tc>
          <w:tcPr>
            <w:tcW w:w="1135" w:type="dxa"/>
          </w:tcPr>
          <w:p>
            <w:pPr>
              <w:pStyle w:val="TableParagraph"/>
              <w:rPr>
                <w:rFonts w:ascii="Times New Roman"/>
                <w:sz w:val="24"/>
              </w:rPr>
            </w:pPr>
          </w:p>
        </w:tc>
        <w:tc>
          <w:tcPr>
            <w:tcW w:w="1416" w:type="dxa"/>
          </w:tcPr>
          <w:p>
            <w:pPr>
              <w:pStyle w:val="TableParagraph"/>
              <w:rPr>
                <w:rFonts w:ascii="Times New Roman"/>
                <w:sz w:val="24"/>
              </w:rPr>
            </w:pPr>
          </w:p>
        </w:tc>
        <w:tc>
          <w:tcPr>
            <w:tcW w:w="1418" w:type="dxa"/>
          </w:tcPr>
          <w:p>
            <w:pPr>
              <w:pStyle w:val="TableParagraph"/>
              <w:rPr>
                <w:rFonts w:ascii="Times New Roman"/>
                <w:sz w:val="24"/>
              </w:rPr>
            </w:pPr>
          </w:p>
        </w:tc>
        <w:tc>
          <w:tcPr>
            <w:tcW w:w="1418" w:type="dxa"/>
          </w:tcPr>
          <w:p>
            <w:pPr>
              <w:pStyle w:val="TableParagraph"/>
              <w:rPr>
                <w:rFonts w:ascii="Times New Roman"/>
                <w:sz w:val="24"/>
              </w:rPr>
            </w:pPr>
          </w:p>
        </w:tc>
        <w:tc>
          <w:tcPr>
            <w:tcW w:w="1133" w:type="dxa"/>
          </w:tcPr>
          <w:p>
            <w:pPr>
              <w:pStyle w:val="TableParagraph"/>
              <w:rPr>
                <w:rFonts w:ascii="Times New Roman"/>
                <w:sz w:val="24"/>
              </w:rPr>
            </w:pPr>
          </w:p>
        </w:tc>
        <w:tc>
          <w:tcPr>
            <w:tcW w:w="1135" w:type="dxa"/>
          </w:tcPr>
          <w:p>
            <w:pPr>
              <w:pStyle w:val="TableParagraph"/>
              <w:rPr>
                <w:rFonts w:ascii="Times New Roman"/>
                <w:sz w:val="24"/>
              </w:rPr>
            </w:pPr>
          </w:p>
        </w:tc>
        <w:tc>
          <w:tcPr>
            <w:tcW w:w="1274" w:type="dxa"/>
          </w:tcPr>
          <w:p>
            <w:pPr>
              <w:pStyle w:val="TableParagraph"/>
              <w:spacing w:before="9"/>
              <w:ind w:left="107"/>
              <w:rPr>
                <w:rFonts w:ascii="Courier New"/>
                <w:sz w:val="32"/>
              </w:rPr>
            </w:pPr>
            <w:r>
              <w:rPr>
                <w:rFonts w:ascii="Courier New"/>
                <w:w w:val="99"/>
                <w:sz w:val="32"/>
              </w:rPr>
              <w:t>x</w:t>
            </w:r>
          </w:p>
        </w:tc>
        <w:tc>
          <w:tcPr>
            <w:tcW w:w="1277" w:type="dxa"/>
          </w:tcPr>
          <w:p>
            <w:pPr>
              <w:pStyle w:val="TableParagraph"/>
              <w:spacing w:before="9"/>
              <w:ind w:left="110"/>
              <w:rPr>
                <w:rFonts w:ascii="Courier New"/>
                <w:sz w:val="32"/>
              </w:rPr>
            </w:pPr>
            <w:r>
              <w:rPr>
                <w:rFonts w:ascii="Courier New"/>
                <w:w w:val="99"/>
                <w:sz w:val="32"/>
              </w:rPr>
              <w:t>x</w:t>
            </w:r>
          </w:p>
        </w:tc>
        <w:tc>
          <w:tcPr>
            <w:tcW w:w="1274" w:type="dxa"/>
          </w:tcPr>
          <w:p>
            <w:pPr>
              <w:pStyle w:val="TableParagraph"/>
              <w:rPr>
                <w:rFonts w:ascii="Times New Roman"/>
                <w:sz w:val="24"/>
              </w:rPr>
            </w:pPr>
          </w:p>
        </w:tc>
        <w:tc>
          <w:tcPr>
            <w:tcW w:w="1418" w:type="dxa"/>
          </w:tcPr>
          <w:p>
            <w:pPr>
              <w:pStyle w:val="TableParagraph"/>
              <w:rPr>
                <w:rFonts w:ascii="Times New Roman"/>
                <w:sz w:val="24"/>
              </w:rPr>
            </w:pPr>
          </w:p>
        </w:tc>
        <w:tc>
          <w:tcPr>
            <w:tcW w:w="1276" w:type="dxa"/>
          </w:tcPr>
          <w:p>
            <w:pPr>
              <w:pStyle w:val="TableParagraph"/>
              <w:rPr>
                <w:rFonts w:ascii="Times New Roman"/>
                <w:sz w:val="24"/>
              </w:rPr>
            </w:pPr>
          </w:p>
        </w:tc>
        <w:tc>
          <w:tcPr>
            <w:tcW w:w="1158" w:type="dxa"/>
          </w:tcPr>
          <w:p>
            <w:pPr>
              <w:pStyle w:val="TableParagraph"/>
              <w:rPr>
                <w:rFonts w:ascii="Times New Roman"/>
                <w:sz w:val="24"/>
              </w:rPr>
            </w:pPr>
          </w:p>
        </w:tc>
      </w:tr>
      <w:tr>
        <w:trPr>
          <w:trHeight w:val="1747" w:hRule="atLeast"/>
        </w:trPr>
        <w:tc>
          <w:tcPr>
            <w:tcW w:w="2235" w:type="dxa"/>
            <w:shd w:val="clear" w:color="auto" w:fill="00AFEF"/>
          </w:tcPr>
          <w:p>
            <w:pPr>
              <w:pStyle w:val="TableParagraph"/>
              <w:rPr>
                <w:rFonts w:ascii="Courier New"/>
                <w:sz w:val="24"/>
              </w:rPr>
            </w:pPr>
          </w:p>
          <w:p>
            <w:pPr>
              <w:pStyle w:val="TableParagraph"/>
              <w:spacing w:line="278" w:lineRule="auto" w:before="212"/>
              <w:ind w:left="107" w:right="249"/>
              <w:rPr>
                <w:rFonts w:ascii="Courier New"/>
                <w:b/>
                <w:sz w:val="22"/>
              </w:rPr>
            </w:pPr>
            <w:r>
              <w:rPr>
                <w:rFonts w:ascii="Courier New"/>
                <w:b/>
                <w:sz w:val="22"/>
              </w:rPr>
              <w:t>Organic Germa- nium</w:t>
            </w:r>
          </w:p>
          <w:p>
            <w:pPr>
              <w:pStyle w:val="TableParagraph"/>
              <w:spacing w:before="197"/>
              <w:ind w:left="107"/>
              <w:rPr>
                <w:rFonts w:ascii="Courier New"/>
                <w:b/>
                <w:sz w:val="22"/>
              </w:rPr>
            </w:pPr>
            <w:r>
              <w:rPr>
                <w:rFonts w:ascii="Courier New"/>
                <w:b/>
                <w:sz w:val="22"/>
              </w:rPr>
              <w:t>p.1152</w:t>
            </w:r>
          </w:p>
        </w:tc>
        <w:tc>
          <w:tcPr>
            <w:tcW w:w="1135" w:type="dxa"/>
          </w:tcPr>
          <w:p>
            <w:pPr>
              <w:pStyle w:val="TableParagraph"/>
              <w:rPr>
                <w:rFonts w:ascii="Times New Roman"/>
                <w:sz w:val="24"/>
              </w:rPr>
            </w:pPr>
          </w:p>
        </w:tc>
        <w:tc>
          <w:tcPr>
            <w:tcW w:w="1416" w:type="dxa"/>
          </w:tcPr>
          <w:p>
            <w:pPr>
              <w:pStyle w:val="TableParagraph"/>
              <w:rPr>
                <w:rFonts w:ascii="Times New Roman"/>
                <w:sz w:val="24"/>
              </w:rPr>
            </w:pPr>
          </w:p>
        </w:tc>
        <w:tc>
          <w:tcPr>
            <w:tcW w:w="1418" w:type="dxa"/>
          </w:tcPr>
          <w:p>
            <w:pPr>
              <w:pStyle w:val="TableParagraph"/>
              <w:rPr>
                <w:rFonts w:ascii="Times New Roman"/>
                <w:sz w:val="24"/>
              </w:rPr>
            </w:pPr>
          </w:p>
        </w:tc>
        <w:tc>
          <w:tcPr>
            <w:tcW w:w="1418" w:type="dxa"/>
          </w:tcPr>
          <w:p>
            <w:pPr>
              <w:pStyle w:val="TableParagraph"/>
              <w:rPr>
                <w:rFonts w:ascii="Times New Roman"/>
                <w:sz w:val="24"/>
              </w:rPr>
            </w:pPr>
          </w:p>
        </w:tc>
        <w:tc>
          <w:tcPr>
            <w:tcW w:w="1133" w:type="dxa"/>
          </w:tcPr>
          <w:p>
            <w:pPr>
              <w:pStyle w:val="TableParagraph"/>
              <w:spacing w:before="12"/>
              <w:ind w:left="106"/>
              <w:rPr>
                <w:rFonts w:ascii="Courier New"/>
                <w:sz w:val="32"/>
              </w:rPr>
            </w:pPr>
            <w:r>
              <w:rPr>
                <w:rFonts w:ascii="Courier New"/>
                <w:w w:val="99"/>
                <w:sz w:val="32"/>
              </w:rPr>
              <w:t>x</w:t>
            </w:r>
          </w:p>
        </w:tc>
        <w:tc>
          <w:tcPr>
            <w:tcW w:w="1135" w:type="dxa"/>
          </w:tcPr>
          <w:p>
            <w:pPr>
              <w:pStyle w:val="TableParagraph"/>
              <w:spacing w:before="12"/>
              <w:ind w:left="109"/>
              <w:rPr>
                <w:rFonts w:ascii="Courier New"/>
                <w:sz w:val="32"/>
              </w:rPr>
            </w:pPr>
            <w:r>
              <w:rPr>
                <w:rFonts w:ascii="Courier New"/>
                <w:w w:val="99"/>
                <w:sz w:val="32"/>
              </w:rPr>
              <w:t>x</w:t>
            </w:r>
          </w:p>
        </w:tc>
        <w:tc>
          <w:tcPr>
            <w:tcW w:w="1274" w:type="dxa"/>
          </w:tcPr>
          <w:p>
            <w:pPr>
              <w:pStyle w:val="TableParagraph"/>
              <w:spacing w:before="12"/>
              <w:ind w:left="107"/>
              <w:rPr>
                <w:rFonts w:ascii="Courier New"/>
                <w:sz w:val="32"/>
              </w:rPr>
            </w:pPr>
            <w:r>
              <w:rPr>
                <w:rFonts w:ascii="Courier New"/>
                <w:w w:val="99"/>
                <w:sz w:val="32"/>
              </w:rPr>
              <w:t>x</w:t>
            </w:r>
          </w:p>
        </w:tc>
        <w:tc>
          <w:tcPr>
            <w:tcW w:w="1277" w:type="dxa"/>
          </w:tcPr>
          <w:p>
            <w:pPr>
              <w:pStyle w:val="TableParagraph"/>
              <w:spacing w:before="12"/>
              <w:ind w:left="110"/>
              <w:rPr>
                <w:rFonts w:ascii="Courier New"/>
                <w:sz w:val="32"/>
              </w:rPr>
            </w:pPr>
            <w:r>
              <w:rPr>
                <w:rFonts w:ascii="Courier New"/>
                <w:w w:val="99"/>
                <w:sz w:val="32"/>
              </w:rPr>
              <w:t>x</w:t>
            </w:r>
          </w:p>
        </w:tc>
        <w:tc>
          <w:tcPr>
            <w:tcW w:w="1274" w:type="dxa"/>
          </w:tcPr>
          <w:p>
            <w:pPr>
              <w:pStyle w:val="TableParagraph"/>
              <w:rPr>
                <w:rFonts w:ascii="Times New Roman"/>
                <w:sz w:val="24"/>
              </w:rPr>
            </w:pPr>
          </w:p>
        </w:tc>
        <w:tc>
          <w:tcPr>
            <w:tcW w:w="1418" w:type="dxa"/>
          </w:tcPr>
          <w:p>
            <w:pPr>
              <w:pStyle w:val="TableParagraph"/>
              <w:rPr>
                <w:rFonts w:ascii="Times New Roman"/>
                <w:sz w:val="24"/>
              </w:rPr>
            </w:pPr>
          </w:p>
        </w:tc>
        <w:tc>
          <w:tcPr>
            <w:tcW w:w="1276" w:type="dxa"/>
          </w:tcPr>
          <w:p>
            <w:pPr>
              <w:pStyle w:val="TableParagraph"/>
              <w:rPr>
                <w:rFonts w:ascii="Times New Roman"/>
                <w:sz w:val="24"/>
              </w:rPr>
            </w:pPr>
          </w:p>
        </w:tc>
        <w:tc>
          <w:tcPr>
            <w:tcW w:w="1158" w:type="dxa"/>
          </w:tcPr>
          <w:p>
            <w:pPr>
              <w:pStyle w:val="TableParagraph"/>
              <w:spacing w:before="12"/>
              <w:ind w:left="109"/>
              <w:rPr>
                <w:rFonts w:ascii="Courier New"/>
                <w:sz w:val="32"/>
              </w:rPr>
            </w:pPr>
            <w:r>
              <w:rPr>
                <w:rFonts w:ascii="Courier New"/>
                <w:w w:val="99"/>
                <w:sz w:val="32"/>
              </w:rPr>
              <w:t>x</w:t>
            </w:r>
          </w:p>
        </w:tc>
      </w:tr>
      <w:tr>
        <w:trPr>
          <w:trHeight w:val="1461" w:hRule="atLeast"/>
        </w:trPr>
        <w:tc>
          <w:tcPr>
            <w:tcW w:w="2235" w:type="dxa"/>
            <w:shd w:val="clear" w:color="auto" w:fill="00AFEF"/>
          </w:tcPr>
          <w:p>
            <w:pPr>
              <w:pStyle w:val="TableParagraph"/>
              <w:spacing w:before="3"/>
              <w:rPr>
                <w:rFonts w:ascii="Courier New"/>
                <w:sz w:val="22"/>
              </w:rPr>
            </w:pPr>
          </w:p>
          <w:p>
            <w:pPr>
              <w:pStyle w:val="TableParagraph"/>
              <w:spacing w:line="480" w:lineRule="atLeast" w:before="1"/>
              <w:ind w:left="107" w:right="381"/>
              <w:rPr>
                <w:rFonts w:ascii="Courier New"/>
                <w:b/>
                <w:sz w:val="22"/>
              </w:rPr>
            </w:pPr>
            <w:r>
              <w:rPr>
                <w:rFonts w:ascii="Courier New"/>
                <w:b/>
                <w:sz w:val="22"/>
              </w:rPr>
              <w:t>Papaya-Papain p.1188</w:t>
            </w:r>
          </w:p>
        </w:tc>
        <w:tc>
          <w:tcPr>
            <w:tcW w:w="1135" w:type="dxa"/>
          </w:tcPr>
          <w:p>
            <w:pPr>
              <w:pStyle w:val="TableParagraph"/>
              <w:rPr>
                <w:rFonts w:ascii="Times New Roman"/>
                <w:sz w:val="24"/>
              </w:rPr>
            </w:pPr>
          </w:p>
        </w:tc>
        <w:tc>
          <w:tcPr>
            <w:tcW w:w="1416" w:type="dxa"/>
          </w:tcPr>
          <w:p>
            <w:pPr>
              <w:pStyle w:val="TableParagraph"/>
              <w:spacing w:before="9"/>
              <w:ind w:left="105"/>
              <w:rPr>
                <w:rFonts w:ascii="Courier New"/>
                <w:sz w:val="32"/>
              </w:rPr>
            </w:pPr>
            <w:r>
              <w:rPr>
                <w:rFonts w:ascii="Courier New"/>
                <w:w w:val="99"/>
                <w:sz w:val="32"/>
              </w:rPr>
              <w:t>x</w:t>
            </w:r>
          </w:p>
        </w:tc>
        <w:tc>
          <w:tcPr>
            <w:tcW w:w="1418" w:type="dxa"/>
          </w:tcPr>
          <w:p>
            <w:pPr>
              <w:pStyle w:val="TableParagraph"/>
              <w:rPr>
                <w:rFonts w:ascii="Times New Roman"/>
                <w:sz w:val="24"/>
              </w:rPr>
            </w:pPr>
          </w:p>
        </w:tc>
        <w:tc>
          <w:tcPr>
            <w:tcW w:w="1418" w:type="dxa"/>
          </w:tcPr>
          <w:p>
            <w:pPr>
              <w:pStyle w:val="TableParagraph"/>
              <w:spacing w:before="9"/>
              <w:ind w:left="108"/>
              <w:rPr>
                <w:rFonts w:ascii="Courier New"/>
                <w:sz w:val="32"/>
              </w:rPr>
            </w:pPr>
            <w:r>
              <w:rPr>
                <w:rFonts w:ascii="Courier New"/>
                <w:w w:val="99"/>
                <w:sz w:val="32"/>
              </w:rPr>
              <w:t>x</w:t>
            </w:r>
          </w:p>
        </w:tc>
        <w:tc>
          <w:tcPr>
            <w:tcW w:w="1133" w:type="dxa"/>
          </w:tcPr>
          <w:p>
            <w:pPr>
              <w:pStyle w:val="TableParagraph"/>
              <w:spacing w:before="9"/>
              <w:ind w:left="106"/>
              <w:rPr>
                <w:rFonts w:ascii="Courier New"/>
                <w:sz w:val="32"/>
              </w:rPr>
            </w:pPr>
            <w:r>
              <w:rPr>
                <w:rFonts w:ascii="Courier New"/>
                <w:w w:val="99"/>
                <w:sz w:val="32"/>
              </w:rPr>
              <w:t>x</w:t>
            </w:r>
          </w:p>
        </w:tc>
        <w:tc>
          <w:tcPr>
            <w:tcW w:w="1135" w:type="dxa"/>
          </w:tcPr>
          <w:p>
            <w:pPr>
              <w:pStyle w:val="TableParagraph"/>
              <w:spacing w:before="9"/>
              <w:ind w:left="109"/>
              <w:rPr>
                <w:rFonts w:ascii="Courier New"/>
                <w:sz w:val="32"/>
              </w:rPr>
            </w:pPr>
            <w:r>
              <w:rPr>
                <w:rFonts w:ascii="Courier New"/>
                <w:w w:val="99"/>
                <w:sz w:val="32"/>
              </w:rPr>
              <w:t>x</w:t>
            </w:r>
          </w:p>
        </w:tc>
        <w:tc>
          <w:tcPr>
            <w:tcW w:w="1274" w:type="dxa"/>
          </w:tcPr>
          <w:p>
            <w:pPr>
              <w:pStyle w:val="TableParagraph"/>
              <w:spacing w:before="9"/>
              <w:ind w:left="107"/>
              <w:rPr>
                <w:rFonts w:ascii="Courier New"/>
                <w:sz w:val="32"/>
              </w:rPr>
            </w:pPr>
            <w:r>
              <w:rPr>
                <w:rFonts w:ascii="Courier New"/>
                <w:w w:val="99"/>
                <w:sz w:val="32"/>
              </w:rPr>
              <w:t>x</w:t>
            </w:r>
          </w:p>
        </w:tc>
        <w:tc>
          <w:tcPr>
            <w:tcW w:w="1277" w:type="dxa"/>
          </w:tcPr>
          <w:p>
            <w:pPr>
              <w:pStyle w:val="TableParagraph"/>
              <w:spacing w:before="9"/>
              <w:ind w:left="110"/>
              <w:rPr>
                <w:rFonts w:ascii="Courier New"/>
                <w:sz w:val="32"/>
              </w:rPr>
            </w:pPr>
            <w:r>
              <w:rPr>
                <w:rFonts w:ascii="Courier New"/>
                <w:w w:val="99"/>
                <w:sz w:val="32"/>
              </w:rPr>
              <w:t>x</w:t>
            </w:r>
          </w:p>
        </w:tc>
        <w:tc>
          <w:tcPr>
            <w:tcW w:w="1274" w:type="dxa"/>
          </w:tcPr>
          <w:p>
            <w:pPr>
              <w:pStyle w:val="TableParagraph"/>
              <w:rPr>
                <w:rFonts w:ascii="Times New Roman"/>
                <w:sz w:val="24"/>
              </w:rPr>
            </w:pPr>
          </w:p>
        </w:tc>
        <w:tc>
          <w:tcPr>
            <w:tcW w:w="1418" w:type="dxa"/>
          </w:tcPr>
          <w:p>
            <w:pPr>
              <w:pStyle w:val="TableParagraph"/>
              <w:rPr>
                <w:rFonts w:ascii="Times New Roman"/>
                <w:sz w:val="24"/>
              </w:rPr>
            </w:pPr>
          </w:p>
        </w:tc>
        <w:tc>
          <w:tcPr>
            <w:tcW w:w="1276" w:type="dxa"/>
          </w:tcPr>
          <w:p>
            <w:pPr>
              <w:pStyle w:val="TableParagraph"/>
              <w:rPr>
                <w:rFonts w:ascii="Times New Roman"/>
                <w:sz w:val="24"/>
              </w:rPr>
            </w:pPr>
          </w:p>
        </w:tc>
        <w:tc>
          <w:tcPr>
            <w:tcW w:w="1158" w:type="dxa"/>
          </w:tcPr>
          <w:p>
            <w:pPr>
              <w:pStyle w:val="TableParagraph"/>
              <w:rPr>
                <w:rFonts w:ascii="Times New Roman"/>
                <w:sz w:val="24"/>
              </w:rPr>
            </w:pPr>
          </w:p>
        </w:tc>
      </w:tr>
      <w:tr>
        <w:trPr>
          <w:trHeight w:val="1458" w:hRule="atLeast"/>
        </w:trPr>
        <w:tc>
          <w:tcPr>
            <w:tcW w:w="2235" w:type="dxa"/>
            <w:shd w:val="clear" w:color="auto" w:fill="00AFEF"/>
          </w:tcPr>
          <w:p>
            <w:pPr>
              <w:pStyle w:val="TableParagraph"/>
              <w:spacing w:before="3"/>
              <w:rPr>
                <w:rFonts w:ascii="Courier New"/>
                <w:sz w:val="22"/>
              </w:rPr>
            </w:pPr>
          </w:p>
          <w:p>
            <w:pPr>
              <w:pStyle w:val="TableParagraph"/>
              <w:spacing w:line="480" w:lineRule="atLeast" w:before="1"/>
              <w:ind w:left="107" w:right="1041"/>
              <w:rPr>
                <w:rFonts w:ascii="Courier New"/>
                <w:b/>
                <w:sz w:val="22"/>
              </w:rPr>
            </w:pPr>
            <w:r>
              <w:rPr>
                <w:rFonts w:ascii="Courier New"/>
                <w:b/>
                <w:sz w:val="22"/>
              </w:rPr>
              <w:t>Propolis p.1232</w:t>
            </w:r>
          </w:p>
        </w:tc>
        <w:tc>
          <w:tcPr>
            <w:tcW w:w="1135" w:type="dxa"/>
          </w:tcPr>
          <w:p>
            <w:pPr>
              <w:pStyle w:val="TableParagraph"/>
              <w:spacing w:before="9"/>
              <w:ind w:left="107"/>
              <w:rPr>
                <w:rFonts w:ascii="Courier New"/>
                <w:sz w:val="32"/>
              </w:rPr>
            </w:pPr>
            <w:r>
              <w:rPr>
                <w:rFonts w:ascii="Courier New"/>
                <w:w w:val="99"/>
                <w:sz w:val="32"/>
              </w:rPr>
              <w:t>x</w:t>
            </w:r>
          </w:p>
        </w:tc>
        <w:tc>
          <w:tcPr>
            <w:tcW w:w="1416" w:type="dxa"/>
          </w:tcPr>
          <w:p>
            <w:pPr>
              <w:pStyle w:val="TableParagraph"/>
              <w:spacing w:before="9"/>
              <w:ind w:left="105"/>
              <w:rPr>
                <w:rFonts w:ascii="Courier New"/>
                <w:sz w:val="32"/>
              </w:rPr>
            </w:pPr>
            <w:r>
              <w:rPr>
                <w:rFonts w:ascii="Courier New"/>
                <w:w w:val="99"/>
                <w:sz w:val="32"/>
              </w:rPr>
              <w:t>x</w:t>
            </w:r>
          </w:p>
        </w:tc>
        <w:tc>
          <w:tcPr>
            <w:tcW w:w="1418" w:type="dxa"/>
          </w:tcPr>
          <w:p>
            <w:pPr>
              <w:pStyle w:val="TableParagraph"/>
              <w:rPr>
                <w:rFonts w:ascii="Times New Roman"/>
                <w:sz w:val="24"/>
              </w:rPr>
            </w:pPr>
          </w:p>
        </w:tc>
        <w:tc>
          <w:tcPr>
            <w:tcW w:w="1418" w:type="dxa"/>
          </w:tcPr>
          <w:p>
            <w:pPr>
              <w:pStyle w:val="TableParagraph"/>
              <w:spacing w:before="9"/>
              <w:ind w:left="108"/>
              <w:rPr>
                <w:rFonts w:ascii="Courier New"/>
                <w:sz w:val="32"/>
              </w:rPr>
            </w:pPr>
            <w:r>
              <w:rPr>
                <w:rFonts w:ascii="Courier New"/>
                <w:w w:val="99"/>
                <w:sz w:val="32"/>
              </w:rPr>
              <w:t>x</w:t>
            </w:r>
          </w:p>
        </w:tc>
        <w:tc>
          <w:tcPr>
            <w:tcW w:w="1133" w:type="dxa"/>
          </w:tcPr>
          <w:p>
            <w:pPr>
              <w:pStyle w:val="TableParagraph"/>
              <w:spacing w:before="9"/>
              <w:ind w:left="106"/>
              <w:rPr>
                <w:rFonts w:ascii="Courier New"/>
                <w:sz w:val="32"/>
              </w:rPr>
            </w:pPr>
            <w:r>
              <w:rPr>
                <w:rFonts w:ascii="Courier New"/>
                <w:w w:val="99"/>
                <w:sz w:val="32"/>
              </w:rPr>
              <w:t>x</w:t>
            </w:r>
          </w:p>
        </w:tc>
        <w:tc>
          <w:tcPr>
            <w:tcW w:w="1135" w:type="dxa"/>
          </w:tcPr>
          <w:p>
            <w:pPr>
              <w:pStyle w:val="TableParagraph"/>
              <w:spacing w:before="9"/>
              <w:ind w:left="109"/>
              <w:rPr>
                <w:rFonts w:ascii="Courier New"/>
                <w:sz w:val="32"/>
              </w:rPr>
            </w:pPr>
            <w:r>
              <w:rPr>
                <w:rFonts w:ascii="Courier New"/>
                <w:w w:val="99"/>
                <w:sz w:val="32"/>
              </w:rPr>
              <w:t>x</w:t>
            </w:r>
          </w:p>
        </w:tc>
        <w:tc>
          <w:tcPr>
            <w:tcW w:w="1274" w:type="dxa"/>
          </w:tcPr>
          <w:p>
            <w:pPr>
              <w:pStyle w:val="TableParagraph"/>
              <w:spacing w:before="9"/>
              <w:ind w:left="107"/>
              <w:rPr>
                <w:rFonts w:ascii="Courier New"/>
                <w:sz w:val="32"/>
              </w:rPr>
            </w:pPr>
            <w:r>
              <w:rPr>
                <w:rFonts w:ascii="Courier New"/>
                <w:w w:val="99"/>
                <w:sz w:val="32"/>
              </w:rPr>
              <w:t>x</w:t>
            </w:r>
          </w:p>
        </w:tc>
        <w:tc>
          <w:tcPr>
            <w:tcW w:w="1277" w:type="dxa"/>
          </w:tcPr>
          <w:p>
            <w:pPr>
              <w:pStyle w:val="TableParagraph"/>
              <w:spacing w:before="9"/>
              <w:ind w:left="110"/>
              <w:rPr>
                <w:rFonts w:ascii="Courier New"/>
                <w:sz w:val="32"/>
              </w:rPr>
            </w:pPr>
            <w:r>
              <w:rPr>
                <w:rFonts w:ascii="Courier New"/>
                <w:w w:val="99"/>
                <w:sz w:val="32"/>
              </w:rPr>
              <w:t>x</w:t>
            </w:r>
          </w:p>
        </w:tc>
        <w:tc>
          <w:tcPr>
            <w:tcW w:w="1274" w:type="dxa"/>
          </w:tcPr>
          <w:p>
            <w:pPr>
              <w:pStyle w:val="TableParagraph"/>
              <w:spacing w:before="9"/>
              <w:ind w:left="107"/>
              <w:rPr>
                <w:rFonts w:ascii="Courier New"/>
                <w:sz w:val="32"/>
              </w:rPr>
            </w:pPr>
            <w:r>
              <w:rPr>
                <w:rFonts w:ascii="Courier New"/>
                <w:w w:val="99"/>
                <w:sz w:val="32"/>
              </w:rPr>
              <w:t>x</w:t>
            </w:r>
          </w:p>
        </w:tc>
        <w:tc>
          <w:tcPr>
            <w:tcW w:w="1418" w:type="dxa"/>
          </w:tcPr>
          <w:p>
            <w:pPr>
              <w:pStyle w:val="TableParagraph"/>
              <w:spacing w:before="9"/>
              <w:ind w:left="110"/>
              <w:rPr>
                <w:rFonts w:ascii="Courier New"/>
                <w:sz w:val="32"/>
              </w:rPr>
            </w:pPr>
            <w:r>
              <w:rPr>
                <w:rFonts w:ascii="Courier New"/>
                <w:w w:val="99"/>
                <w:sz w:val="32"/>
              </w:rPr>
              <w:t>x</w:t>
            </w:r>
          </w:p>
        </w:tc>
        <w:tc>
          <w:tcPr>
            <w:tcW w:w="1276" w:type="dxa"/>
          </w:tcPr>
          <w:p>
            <w:pPr>
              <w:pStyle w:val="TableParagraph"/>
              <w:rPr>
                <w:rFonts w:ascii="Times New Roman"/>
                <w:sz w:val="24"/>
              </w:rPr>
            </w:pPr>
          </w:p>
        </w:tc>
        <w:tc>
          <w:tcPr>
            <w:tcW w:w="1158" w:type="dxa"/>
          </w:tcPr>
          <w:p>
            <w:pPr>
              <w:pStyle w:val="TableParagraph"/>
              <w:spacing w:before="9"/>
              <w:ind w:left="109"/>
              <w:rPr>
                <w:rFonts w:ascii="Courier New"/>
                <w:sz w:val="32"/>
              </w:rPr>
            </w:pPr>
            <w:r>
              <w:rPr>
                <w:rFonts w:ascii="Courier New"/>
                <w:w w:val="99"/>
                <w:sz w:val="32"/>
              </w:rPr>
              <w:t>x</w:t>
            </w:r>
          </w:p>
        </w:tc>
      </w:tr>
      <w:tr>
        <w:trPr>
          <w:trHeight w:val="974" w:hRule="atLeast"/>
        </w:trPr>
        <w:tc>
          <w:tcPr>
            <w:tcW w:w="2235" w:type="dxa"/>
            <w:shd w:val="clear" w:color="auto" w:fill="00AFEF"/>
          </w:tcPr>
          <w:p>
            <w:pPr>
              <w:pStyle w:val="TableParagraph"/>
              <w:rPr>
                <w:rFonts w:ascii="Courier New"/>
                <w:sz w:val="24"/>
              </w:rPr>
            </w:pPr>
          </w:p>
          <w:p>
            <w:pPr>
              <w:pStyle w:val="TableParagraph"/>
              <w:spacing w:before="212"/>
              <w:ind w:left="107"/>
              <w:rPr>
                <w:rFonts w:ascii="Courier New"/>
                <w:b/>
                <w:sz w:val="22"/>
              </w:rPr>
            </w:pPr>
            <w:r>
              <w:rPr>
                <w:rFonts w:ascii="Courier New"/>
                <w:b/>
                <w:sz w:val="22"/>
              </w:rPr>
              <w:t>Selenium</w:t>
            </w:r>
          </w:p>
        </w:tc>
        <w:tc>
          <w:tcPr>
            <w:tcW w:w="1135" w:type="dxa"/>
          </w:tcPr>
          <w:p>
            <w:pPr>
              <w:pStyle w:val="TableParagraph"/>
              <w:spacing w:before="9"/>
              <w:ind w:left="107"/>
              <w:rPr>
                <w:rFonts w:ascii="Courier New"/>
                <w:sz w:val="32"/>
              </w:rPr>
            </w:pPr>
            <w:r>
              <w:rPr>
                <w:rFonts w:ascii="Courier New"/>
                <w:w w:val="99"/>
                <w:sz w:val="32"/>
              </w:rPr>
              <w:t>x</w:t>
            </w:r>
          </w:p>
        </w:tc>
        <w:tc>
          <w:tcPr>
            <w:tcW w:w="1416" w:type="dxa"/>
          </w:tcPr>
          <w:p>
            <w:pPr>
              <w:pStyle w:val="TableParagraph"/>
              <w:spacing w:before="9"/>
              <w:ind w:left="105"/>
              <w:rPr>
                <w:rFonts w:ascii="Courier New"/>
                <w:sz w:val="32"/>
              </w:rPr>
            </w:pPr>
            <w:r>
              <w:rPr>
                <w:rFonts w:ascii="Courier New"/>
                <w:w w:val="99"/>
                <w:sz w:val="32"/>
              </w:rPr>
              <w:t>x</w:t>
            </w:r>
          </w:p>
        </w:tc>
        <w:tc>
          <w:tcPr>
            <w:tcW w:w="1418" w:type="dxa"/>
          </w:tcPr>
          <w:p>
            <w:pPr>
              <w:pStyle w:val="TableParagraph"/>
              <w:spacing w:before="9"/>
              <w:ind w:left="108"/>
              <w:rPr>
                <w:rFonts w:ascii="Courier New"/>
                <w:sz w:val="32"/>
              </w:rPr>
            </w:pPr>
            <w:r>
              <w:rPr>
                <w:rFonts w:ascii="Courier New"/>
                <w:w w:val="99"/>
                <w:sz w:val="32"/>
              </w:rPr>
              <w:t>x</w:t>
            </w:r>
          </w:p>
        </w:tc>
        <w:tc>
          <w:tcPr>
            <w:tcW w:w="1418" w:type="dxa"/>
          </w:tcPr>
          <w:p>
            <w:pPr>
              <w:pStyle w:val="TableParagraph"/>
              <w:spacing w:before="9"/>
              <w:ind w:left="108"/>
              <w:rPr>
                <w:rFonts w:ascii="Courier New"/>
                <w:sz w:val="32"/>
              </w:rPr>
            </w:pPr>
            <w:r>
              <w:rPr>
                <w:rFonts w:ascii="Courier New"/>
                <w:w w:val="99"/>
                <w:sz w:val="32"/>
              </w:rPr>
              <w:t>x</w:t>
            </w:r>
          </w:p>
        </w:tc>
        <w:tc>
          <w:tcPr>
            <w:tcW w:w="1133" w:type="dxa"/>
          </w:tcPr>
          <w:p>
            <w:pPr>
              <w:pStyle w:val="TableParagraph"/>
              <w:rPr>
                <w:rFonts w:ascii="Times New Roman"/>
                <w:sz w:val="24"/>
              </w:rPr>
            </w:pPr>
          </w:p>
        </w:tc>
        <w:tc>
          <w:tcPr>
            <w:tcW w:w="1135" w:type="dxa"/>
          </w:tcPr>
          <w:p>
            <w:pPr>
              <w:pStyle w:val="TableParagraph"/>
              <w:rPr>
                <w:rFonts w:ascii="Times New Roman"/>
                <w:sz w:val="24"/>
              </w:rPr>
            </w:pPr>
          </w:p>
        </w:tc>
        <w:tc>
          <w:tcPr>
            <w:tcW w:w="1274" w:type="dxa"/>
          </w:tcPr>
          <w:p>
            <w:pPr>
              <w:pStyle w:val="TableParagraph"/>
              <w:spacing w:before="9"/>
              <w:ind w:left="107"/>
              <w:rPr>
                <w:rFonts w:ascii="Courier New"/>
                <w:sz w:val="32"/>
              </w:rPr>
            </w:pPr>
            <w:r>
              <w:rPr>
                <w:rFonts w:ascii="Courier New"/>
                <w:w w:val="99"/>
                <w:sz w:val="32"/>
              </w:rPr>
              <w:t>x</w:t>
            </w:r>
          </w:p>
        </w:tc>
        <w:tc>
          <w:tcPr>
            <w:tcW w:w="1277" w:type="dxa"/>
          </w:tcPr>
          <w:p>
            <w:pPr>
              <w:pStyle w:val="TableParagraph"/>
              <w:spacing w:before="9"/>
              <w:ind w:left="110"/>
              <w:rPr>
                <w:rFonts w:ascii="Courier New"/>
                <w:sz w:val="32"/>
              </w:rPr>
            </w:pPr>
            <w:r>
              <w:rPr>
                <w:rFonts w:ascii="Courier New"/>
                <w:w w:val="99"/>
                <w:sz w:val="32"/>
              </w:rPr>
              <w:t>x</w:t>
            </w:r>
          </w:p>
        </w:tc>
        <w:tc>
          <w:tcPr>
            <w:tcW w:w="1274" w:type="dxa"/>
          </w:tcPr>
          <w:p>
            <w:pPr>
              <w:pStyle w:val="TableParagraph"/>
              <w:rPr>
                <w:rFonts w:ascii="Times New Roman"/>
                <w:sz w:val="24"/>
              </w:rPr>
            </w:pPr>
          </w:p>
        </w:tc>
        <w:tc>
          <w:tcPr>
            <w:tcW w:w="1418" w:type="dxa"/>
          </w:tcPr>
          <w:p>
            <w:pPr>
              <w:pStyle w:val="TableParagraph"/>
              <w:spacing w:before="9"/>
              <w:ind w:left="110"/>
              <w:rPr>
                <w:rFonts w:ascii="Courier New"/>
                <w:sz w:val="32"/>
              </w:rPr>
            </w:pPr>
            <w:r>
              <w:rPr>
                <w:rFonts w:ascii="Courier New"/>
                <w:w w:val="99"/>
                <w:sz w:val="32"/>
              </w:rPr>
              <w:t>x</w:t>
            </w:r>
          </w:p>
        </w:tc>
        <w:tc>
          <w:tcPr>
            <w:tcW w:w="1276" w:type="dxa"/>
          </w:tcPr>
          <w:p>
            <w:pPr>
              <w:pStyle w:val="TableParagraph"/>
              <w:rPr>
                <w:rFonts w:ascii="Times New Roman"/>
                <w:sz w:val="24"/>
              </w:rPr>
            </w:pPr>
          </w:p>
        </w:tc>
        <w:tc>
          <w:tcPr>
            <w:tcW w:w="1158" w:type="dxa"/>
          </w:tcPr>
          <w:p>
            <w:pPr>
              <w:pStyle w:val="TableParagraph"/>
              <w:rPr>
                <w:rFonts w:ascii="Times New Roman"/>
                <w:sz w:val="24"/>
              </w:rPr>
            </w:pPr>
          </w:p>
        </w:tc>
      </w:tr>
    </w:tbl>
    <w:p>
      <w:pPr>
        <w:spacing w:after="0"/>
        <w:rPr>
          <w:rFonts w:ascii="Times New Roman"/>
          <w:sz w:val="24"/>
        </w:rPr>
        <w:sectPr>
          <w:pgSz w:w="18630" w:h="11910" w:orient="landscape"/>
          <w:pgMar w:header="0" w:footer="404" w:top="840" w:bottom="600" w:left="740" w:right="8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5"/>
        <w:gridCol w:w="1135"/>
        <w:gridCol w:w="1416"/>
        <w:gridCol w:w="1418"/>
        <w:gridCol w:w="1418"/>
        <w:gridCol w:w="1133"/>
        <w:gridCol w:w="1135"/>
        <w:gridCol w:w="1274"/>
        <w:gridCol w:w="1277"/>
        <w:gridCol w:w="1274"/>
        <w:gridCol w:w="1418"/>
        <w:gridCol w:w="1276"/>
        <w:gridCol w:w="1158"/>
      </w:tblGrid>
      <w:tr>
        <w:trPr>
          <w:trHeight w:val="854" w:hRule="atLeast"/>
        </w:trPr>
        <w:tc>
          <w:tcPr>
            <w:tcW w:w="2235" w:type="dxa"/>
            <w:shd w:val="clear" w:color="auto" w:fill="00AFEF"/>
          </w:tcPr>
          <w:p>
            <w:pPr>
              <w:pStyle w:val="TableParagraph"/>
              <w:spacing w:line="246" w:lineRule="exact"/>
              <w:ind w:left="107"/>
              <w:rPr>
                <w:rFonts w:ascii="Courier New"/>
                <w:b/>
                <w:sz w:val="22"/>
              </w:rPr>
            </w:pPr>
            <w:r>
              <w:rPr>
                <w:rFonts w:ascii="Courier New"/>
                <w:b/>
                <w:sz w:val="22"/>
              </w:rPr>
              <w:t>p.1405</w:t>
            </w:r>
          </w:p>
        </w:tc>
        <w:tc>
          <w:tcPr>
            <w:tcW w:w="1135" w:type="dxa"/>
          </w:tcPr>
          <w:p>
            <w:pPr>
              <w:pStyle w:val="TableParagraph"/>
              <w:rPr>
                <w:rFonts w:ascii="Times New Roman"/>
                <w:sz w:val="22"/>
              </w:rPr>
            </w:pPr>
          </w:p>
        </w:tc>
        <w:tc>
          <w:tcPr>
            <w:tcW w:w="1416" w:type="dxa"/>
          </w:tcPr>
          <w:p>
            <w:pPr>
              <w:pStyle w:val="TableParagraph"/>
              <w:rPr>
                <w:rFonts w:ascii="Times New Roman"/>
                <w:sz w:val="22"/>
              </w:rPr>
            </w:pPr>
          </w:p>
        </w:tc>
        <w:tc>
          <w:tcPr>
            <w:tcW w:w="1418" w:type="dxa"/>
          </w:tcPr>
          <w:p>
            <w:pPr>
              <w:pStyle w:val="TableParagraph"/>
              <w:rPr>
                <w:rFonts w:ascii="Times New Roman"/>
                <w:sz w:val="22"/>
              </w:rPr>
            </w:pPr>
          </w:p>
        </w:tc>
        <w:tc>
          <w:tcPr>
            <w:tcW w:w="1418" w:type="dxa"/>
          </w:tcPr>
          <w:p>
            <w:pPr>
              <w:pStyle w:val="TableParagraph"/>
              <w:rPr>
                <w:rFonts w:ascii="Times New Roman"/>
                <w:sz w:val="22"/>
              </w:rPr>
            </w:pPr>
          </w:p>
        </w:tc>
        <w:tc>
          <w:tcPr>
            <w:tcW w:w="1133" w:type="dxa"/>
          </w:tcPr>
          <w:p>
            <w:pPr>
              <w:pStyle w:val="TableParagraph"/>
              <w:rPr>
                <w:rFonts w:ascii="Times New Roman"/>
                <w:sz w:val="22"/>
              </w:rPr>
            </w:pPr>
          </w:p>
        </w:tc>
        <w:tc>
          <w:tcPr>
            <w:tcW w:w="1135" w:type="dxa"/>
          </w:tcPr>
          <w:p>
            <w:pPr>
              <w:pStyle w:val="TableParagraph"/>
              <w:rPr>
                <w:rFonts w:ascii="Times New Roman"/>
                <w:sz w:val="22"/>
              </w:rPr>
            </w:pPr>
          </w:p>
        </w:tc>
        <w:tc>
          <w:tcPr>
            <w:tcW w:w="1274" w:type="dxa"/>
          </w:tcPr>
          <w:p>
            <w:pPr>
              <w:pStyle w:val="TableParagraph"/>
              <w:rPr>
                <w:rFonts w:ascii="Times New Roman"/>
                <w:sz w:val="22"/>
              </w:rPr>
            </w:pPr>
          </w:p>
        </w:tc>
        <w:tc>
          <w:tcPr>
            <w:tcW w:w="1277" w:type="dxa"/>
          </w:tcPr>
          <w:p>
            <w:pPr>
              <w:pStyle w:val="TableParagraph"/>
              <w:rPr>
                <w:rFonts w:ascii="Times New Roman"/>
                <w:sz w:val="22"/>
              </w:rPr>
            </w:pPr>
          </w:p>
        </w:tc>
        <w:tc>
          <w:tcPr>
            <w:tcW w:w="1274" w:type="dxa"/>
          </w:tcPr>
          <w:p>
            <w:pPr>
              <w:pStyle w:val="TableParagraph"/>
              <w:rPr>
                <w:rFonts w:ascii="Times New Roman"/>
                <w:sz w:val="22"/>
              </w:rPr>
            </w:pPr>
          </w:p>
        </w:tc>
        <w:tc>
          <w:tcPr>
            <w:tcW w:w="1418" w:type="dxa"/>
          </w:tcPr>
          <w:p>
            <w:pPr>
              <w:pStyle w:val="TableParagraph"/>
              <w:rPr>
                <w:rFonts w:ascii="Times New Roman"/>
                <w:sz w:val="22"/>
              </w:rPr>
            </w:pPr>
          </w:p>
        </w:tc>
        <w:tc>
          <w:tcPr>
            <w:tcW w:w="1276" w:type="dxa"/>
          </w:tcPr>
          <w:p>
            <w:pPr>
              <w:pStyle w:val="TableParagraph"/>
              <w:rPr>
                <w:rFonts w:ascii="Times New Roman"/>
                <w:sz w:val="22"/>
              </w:rPr>
            </w:pPr>
          </w:p>
        </w:tc>
        <w:tc>
          <w:tcPr>
            <w:tcW w:w="1158" w:type="dxa"/>
          </w:tcPr>
          <w:p>
            <w:pPr>
              <w:pStyle w:val="TableParagraph"/>
              <w:rPr>
                <w:rFonts w:ascii="Times New Roman"/>
                <w:sz w:val="22"/>
              </w:rPr>
            </w:pPr>
          </w:p>
        </w:tc>
      </w:tr>
      <w:tr>
        <w:trPr>
          <w:trHeight w:val="2232" w:hRule="atLeast"/>
        </w:trPr>
        <w:tc>
          <w:tcPr>
            <w:tcW w:w="2235" w:type="dxa"/>
            <w:shd w:val="clear" w:color="auto" w:fill="00AFEF"/>
          </w:tcPr>
          <w:p>
            <w:pPr>
              <w:pStyle w:val="TableParagraph"/>
              <w:rPr>
                <w:rFonts w:ascii="Courier New"/>
                <w:sz w:val="24"/>
              </w:rPr>
            </w:pPr>
          </w:p>
          <w:p>
            <w:pPr>
              <w:pStyle w:val="TableParagraph"/>
              <w:spacing w:line="276" w:lineRule="auto" w:before="212"/>
              <w:ind w:left="107" w:right="117"/>
              <w:rPr>
                <w:rFonts w:ascii="Courier New"/>
                <w:b/>
                <w:sz w:val="22"/>
              </w:rPr>
            </w:pPr>
            <w:r>
              <w:rPr>
                <w:rFonts w:ascii="Courier New"/>
                <w:b/>
                <w:sz w:val="22"/>
              </w:rPr>
              <w:t>Medicinal mush- room</w:t>
            </w:r>
          </w:p>
          <w:p>
            <w:pPr>
              <w:pStyle w:val="TableParagraph"/>
              <w:spacing w:before="199"/>
              <w:ind w:left="107"/>
              <w:rPr>
                <w:rFonts w:ascii="Courier New"/>
                <w:b/>
                <w:sz w:val="22"/>
              </w:rPr>
            </w:pPr>
            <w:r>
              <w:rPr>
                <w:rFonts w:ascii="Courier New"/>
                <w:b/>
                <w:sz w:val="22"/>
              </w:rPr>
              <w:t>Reishi</w:t>
            </w:r>
          </w:p>
          <w:p>
            <w:pPr>
              <w:pStyle w:val="TableParagraph"/>
              <w:spacing w:before="9"/>
              <w:rPr>
                <w:rFonts w:ascii="Courier New"/>
                <w:sz w:val="20"/>
              </w:rPr>
            </w:pPr>
          </w:p>
          <w:p>
            <w:pPr>
              <w:pStyle w:val="TableParagraph"/>
              <w:ind w:left="107"/>
              <w:rPr>
                <w:rFonts w:ascii="Courier New"/>
                <w:b/>
                <w:sz w:val="22"/>
              </w:rPr>
            </w:pPr>
            <w:r>
              <w:rPr>
                <w:rFonts w:ascii="Courier New"/>
                <w:b/>
                <w:sz w:val="22"/>
              </w:rPr>
              <w:t>p.1665</w:t>
            </w:r>
          </w:p>
        </w:tc>
        <w:tc>
          <w:tcPr>
            <w:tcW w:w="1135" w:type="dxa"/>
          </w:tcPr>
          <w:p>
            <w:pPr>
              <w:pStyle w:val="TableParagraph"/>
              <w:rPr>
                <w:rFonts w:ascii="Times New Roman"/>
                <w:sz w:val="22"/>
              </w:rPr>
            </w:pPr>
          </w:p>
        </w:tc>
        <w:tc>
          <w:tcPr>
            <w:tcW w:w="1416" w:type="dxa"/>
          </w:tcPr>
          <w:p>
            <w:pPr>
              <w:pStyle w:val="TableParagraph"/>
              <w:rPr>
                <w:rFonts w:ascii="Times New Roman"/>
                <w:sz w:val="22"/>
              </w:rPr>
            </w:pPr>
          </w:p>
        </w:tc>
        <w:tc>
          <w:tcPr>
            <w:tcW w:w="1418" w:type="dxa"/>
          </w:tcPr>
          <w:p>
            <w:pPr>
              <w:pStyle w:val="TableParagraph"/>
              <w:rPr>
                <w:rFonts w:ascii="Times New Roman"/>
                <w:sz w:val="22"/>
              </w:rPr>
            </w:pPr>
          </w:p>
        </w:tc>
        <w:tc>
          <w:tcPr>
            <w:tcW w:w="1418" w:type="dxa"/>
          </w:tcPr>
          <w:p>
            <w:pPr>
              <w:pStyle w:val="TableParagraph"/>
              <w:rPr>
                <w:rFonts w:ascii="Times New Roman"/>
                <w:sz w:val="22"/>
              </w:rPr>
            </w:pPr>
          </w:p>
        </w:tc>
        <w:tc>
          <w:tcPr>
            <w:tcW w:w="1133" w:type="dxa"/>
          </w:tcPr>
          <w:p>
            <w:pPr>
              <w:pStyle w:val="TableParagraph"/>
              <w:spacing w:before="9"/>
              <w:ind w:left="106"/>
              <w:rPr>
                <w:rFonts w:ascii="Courier New"/>
                <w:sz w:val="32"/>
              </w:rPr>
            </w:pPr>
            <w:r>
              <w:rPr>
                <w:rFonts w:ascii="Courier New"/>
                <w:w w:val="99"/>
                <w:sz w:val="32"/>
              </w:rPr>
              <w:t>x</w:t>
            </w:r>
          </w:p>
        </w:tc>
        <w:tc>
          <w:tcPr>
            <w:tcW w:w="1135" w:type="dxa"/>
          </w:tcPr>
          <w:p>
            <w:pPr>
              <w:pStyle w:val="TableParagraph"/>
              <w:spacing w:before="9"/>
              <w:ind w:left="109"/>
              <w:rPr>
                <w:rFonts w:ascii="Courier New"/>
                <w:sz w:val="32"/>
              </w:rPr>
            </w:pPr>
            <w:r>
              <w:rPr>
                <w:rFonts w:ascii="Courier New"/>
                <w:w w:val="99"/>
                <w:sz w:val="32"/>
              </w:rPr>
              <w:t>x</w:t>
            </w:r>
          </w:p>
        </w:tc>
        <w:tc>
          <w:tcPr>
            <w:tcW w:w="1274" w:type="dxa"/>
          </w:tcPr>
          <w:p>
            <w:pPr>
              <w:pStyle w:val="TableParagraph"/>
              <w:spacing w:before="9"/>
              <w:ind w:left="107"/>
              <w:rPr>
                <w:rFonts w:ascii="Courier New"/>
                <w:sz w:val="32"/>
              </w:rPr>
            </w:pPr>
            <w:r>
              <w:rPr>
                <w:rFonts w:ascii="Courier New"/>
                <w:w w:val="99"/>
                <w:sz w:val="32"/>
              </w:rPr>
              <w:t>x</w:t>
            </w:r>
          </w:p>
        </w:tc>
        <w:tc>
          <w:tcPr>
            <w:tcW w:w="1277" w:type="dxa"/>
          </w:tcPr>
          <w:p>
            <w:pPr>
              <w:pStyle w:val="TableParagraph"/>
              <w:spacing w:before="9"/>
              <w:ind w:left="110"/>
              <w:rPr>
                <w:rFonts w:ascii="Courier New"/>
                <w:sz w:val="32"/>
              </w:rPr>
            </w:pPr>
            <w:r>
              <w:rPr>
                <w:rFonts w:ascii="Courier New"/>
                <w:w w:val="99"/>
                <w:sz w:val="32"/>
              </w:rPr>
              <w:t>x</w:t>
            </w:r>
          </w:p>
        </w:tc>
        <w:tc>
          <w:tcPr>
            <w:tcW w:w="1274" w:type="dxa"/>
          </w:tcPr>
          <w:p>
            <w:pPr>
              <w:pStyle w:val="TableParagraph"/>
              <w:spacing w:before="9"/>
              <w:ind w:left="107"/>
              <w:rPr>
                <w:rFonts w:ascii="Courier New"/>
                <w:sz w:val="32"/>
              </w:rPr>
            </w:pPr>
            <w:r>
              <w:rPr>
                <w:rFonts w:ascii="Courier New"/>
                <w:w w:val="99"/>
                <w:sz w:val="32"/>
              </w:rPr>
              <w:t>x</w:t>
            </w:r>
          </w:p>
        </w:tc>
        <w:tc>
          <w:tcPr>
            <w:tcW w:w="1418" w:type="dxa"/>
          </w:tcPr>
          <w:p>
            <w:pPr>
              <w:pStyle w:val="TableParagraph"/>
              <w:spacing w:before="9"/>
              <w:ind w:left="110"/>
              <w:rPr>
                <w:rFonts w:ascii="Courier New"/>
                <w:sz w:val="32"/>
              </w:rPr>
            </w:pPr>
            <w:r>
              <w:rPr>
                <w:rFonts w:ascii="Courier New"/>
                <w:w w:val="99"/>
                <w:sz w:val="32"/>
              </w:rPr>
              <w:t>x</w:t>
            </w:r>
          </w:p>
        </w:tc>
        <w:tc>
          <w:tcPr>
            <w:tcW w:w="1276" w:type="dxa"/>
          </w:tcPr>
          <w:p>
            <w:pPr>
              <w:pStyle w:val="TableParagraph"/>
              <w:rPr>
                <w:rFonts w:ascii="Times New Roman"/>
                <w:sz w:val="22"/>
              </w:rPr>
            </w:pPr>
          </w:p>
        </w:tc>
        <w:tc>
          <w:tcPr>
            <w:tcW w:w="1158" w:type="dxa"/>
          </w:tcPr>
          <w:p>
            <w:pPr>
              <w:pStyle w:val="TableParagraph"/>
              <w:rPr>
                <w:rFonts w:ascii="Times New Roman"/>
                <w:sz w:val="22"/>
              </w:rPr>
            </w:pPr>
          </w:p>
        </w:tc>
      </w:tr>
      <w:tr>
        <w:trPr>
          <w:trHeight w:val="1746" w:hRule="atLeast"/>
        </w:trPr>
        <w:tc>
          <w:tcPr>
            <w:tcW w:w="2235" w:type="dxa"/>
            <w:shd w:val="clear" w:color="auto" w:fill="00AFEF"/>
          </w:tcPr>
          <w:p>
            <w:pPr>
              <w:pStyle w:val="TableParagraph"/>
              <w:spacing w:line="278" w:lineRule="auto"/>
              <w:ind w:left="107" w:right="117"/>
              <w:rPr>
                <w:rFonts w:ascii="Courier New"/>
                <w:b/>
                <w:sz w:val="22"/>
              </w:rPr>
            </w:pPr>
            <w:r>
              <w:rPr>
                <w:rFonts w:ascii="Courier New"/>
                <w:b/>
                <w:sz w:val="22"/>
              </w:rPr>
              <w:t>Medicinal mush- room</w:t>
            </w:r>
          </w:p>
          <w:p>
            <w:pPr>
              <w:pStyle w:val="TableParagraph"/>
              <w:spacing w:before="193"/>
              <w:ind w:left="107"/>
              <w:rPr>
                <w:rFonts w:ascii="Courier New"/>
                <w:b/>
                <w:sz w:val="22"/>
              </w:rPr>
            </w:pPr>
            <w:r>
              <w:rPr>
                <w:rFonts w:ascii="Courier New"/>
                <w:b/>
                <w:sz w:val="22"/>
              </w:rPr>
              <w:t>Shiitake</w:t>
            </w:r>
          </w:p>
          <w:p>
            <w:pPr>
              <w:pStyle w:val="TableParagraph"/>
              <w:spacing w:before="9"/>
              <w:rPr>
                <w:rFonts w:ascii="Courier New"/>
                <w:sz w:val="20"/>
              </w:rPr>
            </w:pPr>
          </w:p>
          <w:p>
            <w:pPr>
              <w:pStyle w:val="TableParagraph"/>
              <w:ind w:left="107"/>
              <w:rPr>
                <w:rFonts w:ascii="Courier New"/>
                <w:b/>
                <w:sz w:val="22"/>
              </w:rPr>
            </w:pPr>
            <w:r>
              <w:rPr>
                <w:rFonts w:ascii="Courier New"/>
                <w:b/>
                <w:sz w:val="22"/>
              </w:rPr>
              <w:t>p.1685</w:t>
            </w:r>
          </w:p>
        </w:tc>
        <w:tc>
          <w:tcPr>
            <w:tcW w:w="1135" w:type="dxa"/>
          </w:tcPr>
          <w:p>
            <w:pPr>
              <w:pStyle w:val="TableParagraph"/>
              <w:rPr>
                <w:rFonts w:ascii="Times New Roman"/>
                <w:sz w:val="22"/>
              </w:rPr>
            </w:pPr>
          </w:p>
        </w:tc>
        <w:tc>
          <w:tcPr>
            <w:tcW w:w="1416" w:type="dxa"/>
          </w:tcPr>
          <w:p>
            <w:pPr>
              <w:pStyle w:val="TableParagraph"/>
              <w:rPr>
                <w:rFonts w:ascii="Times New Roman"/>
                <w:sz w:val="22"/>
              </w:rPr>
            </w:pPr>
          </w:p>
        </w:tc>
        <w:tc>
          <w:tcPr>
            <w:tcW w:w="1418" w:type="dxa"/>
          </w:tcPr>
          <w:p>
            <w:pPr>
              <w:pStyle w:val="TableParagraph"/>
              <w:rPr>
                <w:rFonts w:ascii="Times New Roman"/>
                <w:sz w:val="22"/>
              </w:rPr>
            </w:pPr>
          </w:p>
        </w:tc>
        <w:tc>
          <w:tcPr>
            <w:tcW w:w="1418" w:type="dxa"/>
          </w:tcPr>
          <w:p>
            <w:pPr>
              <w:pStyle w:val="TableParagraph"/>
              <w:rPr>
                <w:rFonts w:ascii="Times New Roman"/>
                <w:sz w:val="22"/>
              </w:rPr>
            </w:pPr>
          </w:p>
        </w:tc>
        <w:tc>
          <w:tcPr>
            <w:tcW w:w="1133" w:type="dxa"/>
          </w:tcPr>
          <w:p>
            <w:pPr>
              <w:pStyle w:val="TableParagraph"/>
              <w:spacing w:before="9"/>
              <w:ind w:left="106"/>
              <w:rPr>
                <w:rFonts w:ascii="Courier New"/>
                <w:sz w:val="32"/>
              </w:rPr>
            </w:pPr>
            <w:r>
              <w:rPr>
                <w:rFonts w:ascii="Courier New"/>
                <w:w w:val="99"/>
                <w:sz w:val="32"/>
              </w:rPr>
              <w:t>x</w:t>
            </w:r>
          </w:p>
        </w:tc>
        <w:tc>
          <w:tcPr>
            <w:tcW w:w="1135" w:type="dxa"/>
          </w:tcPr>
          <w:p>
            <w:pPr>
              <w:pStyle w:val="TableParagraph"/>
              <w:spacing w:before="9"/>
              <w:ind w:left="109"/>
              <w:rPr>
                <w:rFonts w:ascii="Courier New"/>
                <w:sz w:val="32"/>
              </w:rPr>
            </w:pPr>
            <w:r>
              <w:rPr>
                <w:rFonts w:ascii="Courier New"/>
                <w:w w:val="99"/>
                <w:sz w:val="32"/>
              </w:rPr>
              <w:t>x</w:t>
            </w:r>
          </w:p>
        </w:tc>
        <w:tc>
          <w:tcPr>
            <w:tcW w:w="1274" w:type="dxa"/>
          </w:tcPr>
          <w:p>
            <w:pPr>
              <w:pStyle w:val="TableParagraph"/>
              <w:spacing w:before="9"/>
              <w:ind w:left="107"/>
              <w:rPr>
                <w:rFonts w:ascii="Courier New"/>
                <w:sz w:val="32"/>
              </w:rPr>
            </w:pPr>
            <w:r>
              <w:rPr>
                <w:rFonts w:ascii="Courier New"/>
                <w:w w:val="99"/>
                <w:sz w:val="32"/>
              </w:rPr>
              <w:t>x</w:t>
            </w:r>
          </w:p>
        </w:tc>
        <w:tc>
          <w:tcPr>
            <w:tcW w:w="1277" w:type="dxa"/>
          </w:tcPr>
          <w:p>
            <w:pPr>
              <w:pStyle w:val="TableParagraph"/>
              <w:spacing w:before="9"/>
              <w:ind w:left="110"/>
              <w:rPr>
                <w:rFonts w:ascii="Courier New"/>
                <w:sz w:val="32"/>
              </w:rPr>
            </w:pPr>
            <w:r>
              <w:rPr>
                <w:rFonts w:ascii="Courier New"/>
                <w:w w:val="99"/>
                <w:sz w:val="32"/>
              </w:rPr>
              <w:t>x</w:t>
            </w:r>
          </w:p>
        </w:tc>
        <w:tc>
          <w:tcPr>
            <w:tcW w:w="1274" w:type="dxa"/>
          </w:tcPr>
          <w:p>
            <w:pPr>
              <w:pStyle w:val="TableParagraph"/>
              <w:rPr>
                <w:rFonts w:ascii="Times New Roman"/>
                <w:sz w:val="22"/>
              </w:rPr>
            </w:pPr>
          </w:p>
        </w:tc>
        <w:tc>
          <w:tcPr>
            <w:tcW w:w="1418" w:type="dxa"/>
          </w:tcPr>
          <w:p>
            <w:pPr>
              <w:pStyle w:val="TableParagraph"/>
              <w:spacing w:before="9"/>
              <w:ind w:left="110"/>
              <w:rPr>
                <w:rFonts w:ascii="Courier New"/>
                <w:sz w:val="32"/>
              </w:rPr>
            </w:pPr>
            <w:r>
              <w:rPr>
                <w:rFonts w:ascii="Courier New"/>
                <w:w w:val="99"/>
                <w:sz w:val="32"/>
              </w:rPr>
              <w:t>x</w:t>
            </w:r>
          </w:p>
        </w:tc>
        <w:tc>
          <w:tcPr>
            <w:tcW w:w="1276" w:type="dxa"/>
          </w:tcPr>
          <w:p>
            <w:pPr>
              <w:pStyle w:val="TableParagraph"/>
              <w:rPr>
                <w:rFonts w:ascii="Times New Roman"/>
                <w:sz w:val="22"/>
              </w:rPr>
            </w:pPr>
          </w:p>
        </w:tc>
        <w:tc>
          <w:tcPr>
            <w:tcW w:w="1158" w:type="dxa"/>
          </w:tcPr>
          <w:p>
            <w:pPr>
              <w:pStyle w:val="TableParagraph"/>
              <w:rPr>
                <w:rFonts w:ascii="Times New Roman"/>
                <w:sz w:val="22"/>
              </w:rPr>
            </w:pPr>
          </w:p>
        </w:tc>
      </w:tr>
      <w:tr>
        <w:trPr>
          <w:trHeight w:val="1747" w:hRule="atLeast"/>
        </w:trPr>
        <w:tc>
          <w:tcPr>
            <w:tcW w:w="2235" w:type="dxa"/>
            <w:shd w:val="clear" w:color="auto" w:fill="00AFEF"/>
          </w:tcPr>
          <w:p>
            <w:pPr>
              <w:pStyle w:val="TableParagraph"/>
              <w:spacing w:line="278" w:lineRule="auto"/>
              <w:ind w:left="107" w:right="117"/>
              <w:rPr>
                <w:rFonts w:ascii="Courier New"/>
                <w:b/>
                <w:sz w:val="22"/>
              </w:rPr>
            </w:pPr>
            <w:r>
              <w:rPr>
                <w:rFonts w:ascii="Courier New"/>
                <w:b/>
                <w:sz w:val="22"/>
              </w:rPr>
              <w:t>Medicinal mush- room</w:t>
            </w:r>
          </w:p>
          <w:p>
            <w:pPr>
              <w:pStyle w:val="TableParagraph"/>
              <w:spacing w:before="191"/>
              <w:ind w:left="107"/>
              <w:rPr>
                <w:rFonts w:ascii="Courier New"/>
                <w:b/>
                <w:sz w:val="22"/>
              </w:rPr>
            </w:pPr>
            <w:r>
              <w:rPr>
                <w:rFonts w:ascii="Courier New"/>
                <w:b/>
                <w:sz w:val="22"/>
              </w:rPr>
              <w:t>Maitake</w:t>
            </w:r>
          </w:p>
          <w:p>
            <w:pPr>
              <w:pStyle w:val="TableParagraph"/>
              <w:rPr>
                <w:rFonts w:ascii="Courier New"/>
                <w:sz w:val="21"/>
              </w:rPr>
            </w:pPr>
          </w:p>
          <w:p>
            <w:pPr>
              <w:pStyle w:val="TableParagraph"/>
              <w:ind w:left="107"/>
              <w:rPr>
                <w:rFonts w:ascii="Courier New"/>
                <w:b/>
                <w:sz w:val="22"/>
              </w:rPr>
            </w:pPr>
            <w:r>
              <w:rPr>
                <w:rFonts w:ascii="Courier New"/>
                <w:b/>
                <w:sz w:val="22"/>
              </w:rPr>
              <w:t>p.1697</w:t>
            </w:r>
          </w:p>
        </w:tc>
        <w:tc>
          <w:tcPr>
            <w:tcW w:w="1135" w:type="dxa"/>
          </w:tcPr>
          <w:p>
            <w:pPr>
              <w:pStyle w:val="TableParagraph"/>
              <w:rPr>
                <w:rFonts w:ascii="Times New Roman"/>
                <w:sz w:val="22"/>
              </w:rPr>
            </w:pPr>
          </w:p>
        </w:tc>
        <w:tc>
          <w:tcPr>
            <w:tcW w:w="1416" w:type="dxa"/>
          </w:tcPr>
          <w:p>
            <w:pPr>
              <w:pStyle w:val="TableParagraph"/>
              <w:rPr>
                <w:rFonts w:ascii="Times New Roman"/>
                <w:sz w:val="22"/>
              </w:rPr>
            </w:pPr>
          </w:p>
        </w:tc>
        <w:tc>
          <w:tcPr>
            <w:tcW w:w="1418" w:type="dxa"/>
          </w:tcPr>
          <w:p>
            <w:pPr>
              <w:pStyle w:val="TableParagraph"/>
              <w:rPr>
                <w:rFonts w:ascii="Times New Roman"/>
                <w:sz w:val="22"/>
              </w:rPr>
            </w:pPr>
          </w:p>
        </w:tc>
        <w:tc>
          <w:tcPr>
            <w:tcW w:w="1418" w:type="dxa"/>
          </w:tcPr>
          <w:p>
            <w:pPr>
              <w:pStyle w:val="TableParagraph"/>
              <w:rPr>
                <w:rFonts w:ascii="Times New Roman"/>
                <w:sz w:val="22"/>
              </w:rPr>
            </w:pPr>
          </w:p>
        </w:tc>
        <w:tc>
          <w:tcPr>
            <w:tcW w:w="1133" w:type="dxa"/>
          </w:tcPr>
          <w:p>
            <w:pPr>
              <w:pStyle w:val="TableParagraph"/>
              <w:spacing w:before="9"/>
              <w:ind w:left="106"/>
              <w:rPr>
                <w:rFonts w:ascii="Courier New"/>
                <w:sz w:val="32"/>
              </w:rPr>
            </w:pPr>
            <w:r>
              <w:rPr>
                <w:rFonts w:ascii="Courier New"/>
                <w:w w:val="99"/>
                <w:sz w:val="32"/>
              </w:rPr>
              <w:t>x</w:t>
            </w:r>
          </w:p>
        </w:tc>
        <w:tc>
          <w:tcPr>
            <w:tcW w:w="1135" w:type="dxa"/>
          </w:tcPr>
          <w:p>
            <w:pPr>
              <w:pStyle w:val="TableParagraph"/>
              <w:spacing w:before="9"/>
              <w:ind w:left="109"/>
              <w:rPr>
                <w:rFonts w:ascii="Courier New"/>
                <w:sz w:val="32"/>
              </w:rPr>
            </w:pPr>
            <w:r>
              <w:rPr>
                <w:rFonts w:ascii="Courier New"/>
                <w:w w:val="99"/>
                <w:sz w:val="32"/>
              </w:rPr>
              <w:t>x</w:t>
            </w:r>
          </w:p>
        </w:tc>
        <w:tc>
          <w:tcPr>
            <w:tcW w:w="1274" w:type="dxa"/>
          </w:tcPr>
          <w:p>
            <w:pPr>
              <w:pStyle w:val="TableParagraph"/>
              <w:spacing w:before="9"/>
              <w:ind w:left="107"/>
              <w:rPr>
                <w:rFonts w:ascii="Courier New"/>
                <w:sz w:val="32"/>
              </w:rPr>
            </w:pPr>
            <w:r>
              <w:rPr>
                <w:rFonts w:ascii="Courier New"/>
                <w:w w:val="99"/>
                <w:sz w:val="32"/>
              </w:rPr>
              <w:t>x</w:t>
            </w:r>
          </w:p>
        </w:tc>
        <w:tc>
          <w:tcPr>
            <w:tcW w:w="1277" w:type="dxa"/>
          </w:tcPr>
          <w:p>
            <w:pPr>
              <w:pStyle w:val="TableParagraph"/>
              <w:spacing w:before="9"/>
              <w:ind w:left="110"/>
              <w:rPr>
                <w:rFonts w:ascii="Courier New"/>
                <w:sz w:val="32"/>
              </w:rPr>
            </w:pPr>
            <w:r>
              <w:rPr>
                <w:rFonts w:ascii="Courier New"/>
                <w:w w:val="99"/>
                <w:sz w:val="32"/>
              </w:rPr>
              <w:t>x</w:t>
            </w:r>
          </w:p>
        </w:tc>
        <w:tc>
          <w:tcPr>
            <w:tcW w:w="1274" w:type="dxa"/>
          </w:tcPr>
          <w:p>
            <w:pPr>
              <w:pStyle w:val="TableParagraph"/>
              <w:rPr>
                <w:rFonts w:ascii="Times New Roman"/>
                <w:sz w:val="22"/>
              </w:rPr>
            </w:pPr>
          </w:p>
        </w:tc>
        <w:tc>
          <w:tcPr>
            <w:tcW w:w="1418" w:type="dxa"/>
          </w:tcPr>
          <w:p>
            <w:pPr>
              <w:pStyle w:val="TableParagraph"/>
              <w:rPr>
                <w:rFonts w:ascii="Times New Roman"/>
                <w:sz w:val="22"/>
              </w:rPr>
            </w:pPr>
          </w:p>
        </w:tc>
        <w:tc>
          <w:tcPr>
            <w:tcW w:w="1276" w:type="dxa"/>
          </w:tcPr>
          <w:p>
            <w:pPr>
              <w:pStyle w:val="TableParagraph"/>
              <w:rPr>
                <w:rFonts w:ascii="Times New Roman"/>
                <w:sz w:val="22"/>
              </w:rPr>
            </w:pPr>
          </w:p>
        </w:tc>
        <w:tc>
          <w:tcPr>
            <w:tcW w:w="1158" w:type="dxa"/>
          </w:tcPr>
          <w:p>
            <w:pPr>
              <w:pStyle w:val="TableParagraph"/>
              <w:rPr>
                <w:rFonts w:ascii="Times New Roman"/>
                <w:sz w:val="22"/>
              </w:rPr>
            </w:pPr>
          </w:p>
        </w:tc>
      </w:tr>
      <w:tr>
        <w:trPr>
          <w:trHeight w:val="1747" w:hRule="atLeast"/>
        </w:trPr>
        <w:tc>
          <w:tcPr>
            <w:tcW w:w="2235" w:type="dxa"/>
            <w:shd w:val="clear" w:color="auto" w:fill="00AFEF"/>
          </w:tcPr>
          <w:p>
            <w:pPr>
              <w:pStyle w:val="TableParagraph"/>
              <w:spacing w:line="276" w:lineRule="auto"/>
              <w:ind w:left="107" w:right="117"/>
              <w:rPr>
                <w:rFonts w:ascii="Courier New"/>
                <w:b/>
                <w:sz w:val="22"/>
              </w:rPr>
            </w:pPr>
            <w:r>
              <w:rPr>
                <w:rFonts w:ascii="Courier New"/>
                <w:b/>
                <w:sz w:val="22"/>
              </w:rPr>
              <w:t>Medicinal mush- room</w:t>
            </w:r>
          </w:p>
          <w:p>
            <w:pPr>
              <w:pStyle w:val="TableParagraph"/>
              <w:spacing w:before="196"/>
              <w:ind w:left="107"/>
              <w:rPr>
                <w:rFonts w:ascii="Courier New"/>
                <w:b/>
                <w:sz w:val="22"/>
              </w:rPr>
            </w:pPr>
            <w:r>
              <w:rPr>
                <w:rFonts w:ascii="Courier New"/>
                <w:b/>
                <w:sz w:val="22"/>
              </w:rPr>
              <w:t>Hericium</w:t>
            </w:r>
          </w:p>
          <w:p>
            <w:pPr>
              <w:pStyle w:val="TableParagraph"/>
              <w:rPr>
                <w:rFonts w:ascii="Courier New"/>
                <w:sz w:val="21"/>
              </w:rPr>
            </w:pPr>
          </w:p>
          <w:p>
            <w:pPr>
              <w:pStyle w:val="TableParagraph"/>
              <w:ind w:left="107"/>
              <w:rPr>
                <w:rFonts w:ascii="Courier New"/>
                <w:b/>
                <w:sz w:val="22"/>
              </w:rPr>
            </w:pPr>
            <w:r>
              <w:rPr>
                <w:rFonts w:ascii="Courier New"/>
                <w:b/>
                <w:sz w:val="22"/>
              </w:rPr>
              <w:t>p.1707</w:t>
            </w:r>
          </w:p>
        </w:tc>
        <w:tc>
          <w:tcPr>
            <w:tcW w:w="1135" w:type="dxa"/>
          </w:tcPr>
          <w:p>
            <w:pPr>
              <w:pStyle w:val="TableParagraph"/>
              <w:rPr>
                <w:rFonts w:ascii="Times New Roman"/>
                <w:sz w:val="22"/>
              </w:rPr>
            </w:pPr>
          </w:p>
        </w:tc>
        <w:tc>
          <w:tcPr>
            <w:tcW w:w="1416" w:type="dxa"/>
          </w:tcPr>
          <w:p>
            <w:pPr>
              <w:pStyle w:val="TableParagraph"/>
              <w:rPr>
                <w:rFonts w:ascii="Times New Roman"/>
                <w:sz w:val="22"/>
              </w:rPr>
            </w:pPr>
          </w:p>
        </w:tc>
        <w:tc>
          <w:tcPr>
            <w:tcW w:w="1418" w:type="dxa"/>
          </w:tcPr>
          <w:p>
            <w:pPr>
              <w:pStyle w:val="TableParagraph"/>
              <w:rPr>
                <w:rFonts w:ascii="Times New Roman"/>
                <w:sz w:val="22"/>
              </w:rPr>
            </w:pPr>
          </w:p>
        </w:tc>
        <w:tc>
          <w:tcPr>
            <w:tcW w:w="1418" w:type="dxa"/>
          </w:tcPr>
          <w:p>
            <w:pPr>
              <w:pStyle w:val="TableParagraph"/>
              <w:rPr>
                <w:rFonts w:ascii="Times New Roman"/>
                <w:sz w:val="22"/>
              </w:rPr>
            </w:pPr>
          </w:p>
        </w:tc>
        <w:tc>
          <w:tcPr>
            <w:tcW w:w="1133" w:type="dxa"/>
          </w:tcPr>
          <w:p>
            <w:pPr>
              <w:pStyle w:val="TableParagraph"/>
              <w:spacing w:before="9"/>
              <w:ind w:left="106"/>
              <w:rPr>
                <w:rFonts w:ascii="Courier New"/>
                <w:sz w:val="32"/>
              </w:rPr>
            </w:pPr>
            <w:r>
              <w:rPr>
                <w:rFonts w:ascii="Courier New"/>
                <w:w w:val="99"/>
                <w:sz w:val="32"/>
              </w:rPr>
              <w:t>x</w:t>
            </w:r>
          </w:p>
        </w:tc>
        <w:tc>
          <w:tcPr>
            <w:tcW w:w="1135" w:type="dxa"/>
          </w:tcPr>
          <w:p>
            <w:pPr>
              <w:pStyle w:val="TableParagraph"/>
              <w:spacing w:before="9"/>
              <w:ind w:left="109"/>
              <w:rPr>
                <w:rFonts w:ascii="Courier New"/>
                <w:sz w:val="32"/>
              </w:rPr>
            </w:pPr>
            <w:r>
              <w:rPr>
                <w:rFonts w:ascii="Courier New"/>
                <w:w w:val="99"/>
                <w:sz w:val="32"/>
              </w:rPr>
              <w:t>x</w:t>
            </w:r>
          </w:p>
        </w:tc>
        <w:tc>
          <w:tcPr>
            <w:tcW w:w="1274" w:type="dxa"/>
          </w:tcPr>
          <w:p>
            <w:pPr>
              <w:pStyle w:val="TableParagraph"/>
              <w:spacing w:before="9"/>
              <w:ind w:left="107"/>
              <w:rPr>
                <w:rFonts w:ascii="Courier New"/>
                <w:sz w:val="32"/>
              </w:rPr>
            </w:pPr>
            <w:r>
              <w:rPr>
                <w:rFonts w:ascii="Courier New"/>
                <w:w w:val="99"/>
                <w:sz w:val="32"/>
              </w:rPr>
              <w:t>x</w:t>
            </w:r>
          </w:p>
        </w:tc>
        <w:tc>
          <w:tcPr>
            <w:tcW w:w="1277" w:type="dxa"/>
          </w:tcPr>
          <w:p>
            <w:pPr>
              <w:pStyle w:val="TableParagraph"/>
              <w:spacing w:before="9"/>
              <w:ind w:left="110"/>
              <w:rPr>
                <w:rFonts w:ascii="Courier New"/>
                <w:sz w:val="32"/>
              </w:rPr>
            </w:pPr>
            <w:r>
              <w:rPr>
                <w:rFonts w:ascii="Courier New"/>
                <w:w w:val="99"/>
                <w:sz w:val="32"/>
              </w:rPr>
              <w:t>x</w:t>
            </w:r>
          </w:p>
        </w:tc>
        <w:tc>
          <w:tcPr>
            <w:tcW w:w="1274" w:type="dxa"/>
          </w:tcPr>
          <w:p>
            <w:pPr>
              <w:pStyle w:val="TableParagraph"/>
              <w:rPr>
                <w:rFonts w:ascii="Times New Roman"/>
                <w:sz w:val="22"/>
              </w:rPr>
            </w:pPr>
          </w:p>
        </w:tc>
        <w:tc>
          <w:tcPr>
            <w:tcW w:w="1418" w:type="dxa"/>
          </w:tcPr>
          <w:p>
            <w:pPr>
              <w:pStyle w:val="TableParagraph"/>
              <w:rPr>
                <w:rFonts w:ascii="Times New Roman"/>
                <w:sz w:val="22"/>
              </w:rPr>
            </w:pPr>
          </w:p>
        </w:tc>
        <w:tc>
          <w:tcPr>
            <w:tcW w:w="1276" w:type="dxa"/>
          </w:tcPr>
          <w:p>
            <w:pPr>
              <w:pStyle w:val="TableParagraph"/>
              <w:rPr>
                <w:rFonts w:ascii="Times New Roman"/>
                <w:sz w:val="22"/>
              </w:rPr>
            </w:pPr>
          </w:p>
        </w:tc>
        <w:tc>
          <w:tcPr>
            <w:tcW w:w="1158" w:type="dxa"/>
          </w:tcPr>
          <w:p>
            <w:pPr>
              <w:pStyle w:val="TableParagraph"/>
              <w:rPr>
                <w:rFonts w:ascii="Times New Roman"/>
                <w:sz w:val="22"/>
              </w:rPr>
            </w:pPr>
          </w:p>
        </w:tc>
      </w:tr>
    </w:tbl>
    <w:p>
      <w:pPr>
        <w:spacing w:after="0"/>
        <w:rPr>
          <w:rFonts w:ascii="Times New Roman"/>
          <w:sz w:val="22"/>
        </w:rPr>
        <w:sectPr>
          <w:pgSz w:w="18630" w:h="11910" w:orient="landscape"/>
          <w:pgMar w:header="0" w:footer="404" w:top="840" w:bottom="600" w:left="740" w:right="8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5"/>
        <w:gridCol w:w="1135"/>
        <w:gridCol w:w="1416"/>
        <w:gridCol w:w="1418"/>
        <w:gridCol w:w="1418"/>
        <w:gridCol w:w="1133"/>
        <w:gridCol w:w="1135"/>
        <w:gridCol w:w="1274"/>
        <w:gridCol w:w="1277"/>
        <w:gridCol w:w="1274"/>
        <w:gridCol w:w="1418"/>
        <w:gridCol w:w="1276"/>
        <w:gridCol w:w="1158"/>
      </w:tblGrid>
      <w:tr>
        <w:trPr>
          <w:trHeight w:val="1744" w:hRule="atLeast"/>
        </w:trPr>
        <w:tc>
          <w:tcPr>
            <w:tcW w:w="2235" w:type="dxa"/>
            <w:shd w:val="clear" w:color="auto" w:fill="00AFEF"/>
          </w:tcPr>
          <w:p>
            <w:pPr>
              <w:pStyle w:val="TableParagraph"/>
              <w:spacing w:line="276" w:lineRule="auto"/>
              <w:ind w:left="107" w:right="117"/>
              <w:rPr>
                <w:rFonts w:ascii="Courier New"/>
                <w:b/>
                <w:sz w:val="22"/>
              </w:rPr>
            </w:pPr>
            <w:r>
              <w:rPr>
                <w:rFonts w:ascii="Courier New"/>
                <w:b/>
                <w:sz w:val="22"/>
              </w:rPr>
              <w:t>Medicinal mush- room</w:t>
            </w:r>
          </w:p>
          <w:p>
            <w:pPr>
              <w:pStyle w:val="TableParagraph"/>
              <w:spacing w:before="196"/>
              <w:ind w:left="107"/>
              <w:rPr>
                <w:rFonts w:ascii="Courier New"/>
                <w:b/>
                <w:sz w:val="22"/>
              </w:rPr>
            </w:pPr>
            <w:r>
              <w:rPr>
                <w:rFonts w:ascii="Courier New"/>
                <w:b/>
                <w:sz w:val="22"/>
              </w:rPr>
              <w:t>Polyporus</w:t>
            </w:r>
          </w:p>
          <w:p>
            <w:pPr>
              <w:pStyle w:val="TableParagraph"/>
              <w:rPr>
                <w:rFonts w:ascii="Courier New"/>
                <w:sz w:val="21"/>
              </w:rPr>
            </w:pPr>
          </w:p>
          <w:p>
            <w:pPr>
              <w:pStyle w:val="TableParagraph"/>
              <w:ind w:left="107"/>
              <w:rPr>
                <w:rFonts w:ascii="Courier New"/>
                <w:b/>
                <w:sz w:val="22"/>
              </w:rPr>
            </w:pPr>
            <w:r>
              <w:rPr>
                <w:rFonts w:ascii="Courier New"/>
                <w:b/>
                <w:sz w:val="22"/>
              </w:rPr>
              <w:t>p.1845</w:t>
            </w:r>
          </w:p>
        </w:tc>
        <w:tc>
          <w:tcPr>
            <w:tcW w:w="1135" w:type="dxa"/>
          </w:tcPr>
          <w:p>
            <w:pPr>
              <w:pStyle w:val="TableParagraph"/>
              <w:rPr>
                <w:rFonts w:ascii="Times New Roman"/>
                <w:sz w:val="22"/>
              </w:rPr>
            </w:pPr>
          </w:p>
        </w:tc>
        <w:tc>
          <w:tcPr>
            <w:tcW w:w="1416" w:type="dxa"/>
          </w:tcPr>
          <w:p>
            <w:pPr>
              <w:pStyle w:val="TableParagraph"/>
              <w:spacing w:before="9"/>
              <w:ind w:left="105"/>
              <w:rPr>
                <w:rFonts w:ascii="Courier New"/>
                <w:sz w:val="32"/>
              </w:rPr>
            </w:pPr>
            <w:r>
              <w:rPr>
                <w:rFonts w:ascii="Courier New"/>
                <w:w w:val="99"/>
                <w:sz w:val="32"/>
              </w:rPr>
              <w:t>x</w:t>
            </w:r>
          </w:p>
        </w:tc>
        <w:tc>
          <w:tcPr>
            <w:tcW w:w="1418" w:type="dxa"/>
          </w:tcPr>
          <w:p>
            <w:pPr>
              <w:pStyle w:val="TableParagraph"/>
              <w:rPr>
                <w:rFonts w:ascii="Times New Roman"/>
                <w:sz w:val="22"/>
              </w:rPr>
            </w:pPr>
          </w:p>
        </w:tc>
        <w:tc>
          <w:tcPr>
            <w:tcW w:w="1418" w:type="dxa"/>
          </w:tcPr>
          <w:p>
            <w:pPr>
              <w:pStyle w:val="TableParagraph"/>
              <w:rPr>
                <w:rFonts w:ascii="Times New Roman"/>
                <w:sz w:val="22"/>
              </w:rPr>
            </w:pPr>
          </w:p>
        </w:tc>
        <w:tc>
          <w:tcPr>
            <w:tcW w:w="1133" w:type="dxa"/>
          </w:tcPr>
          <w:p>
            <w:pPr>
              <w:pStyle w:val="TableParagraph"/>
              <w:spacing w:before="9"/>
              <w:ind w:left="106"/>
              <w:rPr>
                <w:rFonts w:ascii="Courier New"/>
                <w:sz w:val="32"/>
              </w:rPr>
            </w:pPr>
            <w:r>
              <w:rPr>
                <w:rFonts w:ascii="Courier New"/>
                <w:w w:val="99"/>
                <w:sz w:val="32"/>
              </w:rPr>
              <w:t>x</w:t>
            </w:r>
          </w:p>
        </w:tc>
        <w:tc>
          <w:tcPr>
            <w:tcW w:w="1135" w:type="dxa"/>
          </w:tcPr>
          <w:p>
            <w:pPr>
              <w:pStyle w:val="TableParagraph"/>
              <w:spacing w:before="9"/>
              <w:ind w:left="109"/>
              <w:rPr>
                <w:rFonts w:ascii="Courier New"/>
                <w:sz w:val="32"/>
              </w:rPr>
            </w:pPr>
            <w:r>
              <w:rPr>
                <w:rFonts w:ascii="Courier New"/>
                <w:w w:val="99"/>
                <w:sz w:val="32"/>
              </w:rPr>
              <w:t>x</w:t>
            </w:r>
          </w:p>
        </w:tc>
        <w:tc>
          <w:tcPr>
            <w:tcW w:w="1274" w:type="dxa"/>
          </w:tcPr>
          <w:p>
            <w:pPr>
              <w:pStyle w:val="TableParagraph"/>
              <w:spacing w:before="9"/>
              <w:ind w:left="107"/>
              <w:rPr>
                <w:rFonts w:ascii="Courier New"/>
                <w:sz w:val="32"/>
              </w:rPr>
            </w:pPr>
            <w:r>
              <w:rPr>
                <w:rFonts w:ascii="Courier New"/>
                <w:w w:val="99"/>
                <w:sz w:val="32"/>
              </w:rPr>
              <w:t>x</w:t>
            </w:r>
          </w:p>
        </w:tc>
        <w:tc>
          <w:tcPr>
            <w:tcW w:w="1277" w:type="dxa"/>
          </w:tcPr>
          <w:p>
            <w:pPr>
              <w:pStyle w:val="TableParagraph"/>
              <w:spacing w:before="9"/>
              <w:ind w:left="110"/>
              <w:rPr>
                <w:rFonts w:ascii="Courier New"/>
                <w:sz w:val="32"/>
              </w:rPr>
            </w:pPr>
            <w:r>
              <w:rPr>
                <w:rFonts w:ascii="Courier New"/>
                <w:w w:val="99"/>
                <w:sz w:val="32"/>
              </w:rPr>
              <w:t>x</w:t>
            </w:r>
          </w:p>
        </w:tc>
        <w:tc>
          <w:tcPr>
            <w:tcW w:w="1274" w:type="dxa"/>
          </w:tcPr>
          <w:p>
            <w:pPr>
              <w:pStyle w:val="TableParagraph"/>
              <w:rPr>
                <w:rFonts w:ascii="Times New Roman"/>
                <w:sz w:val="22"/>
              </w:rPr>
            </w:pPr>
          </w:p>
        </w:tc>
        <w:tc>
          <w:tcPr>
            <w:tcW w:w="1418" w:type="dxa"/>
          </w:tcPr>
          <w:p>
            <w:pPr>
              <w:pStyle w:val="TableParagraph"/>
              <w:rPr>
                <w:rFonts w:ascii="Times New Roman"/>
                <w:sz w:val="22"/>
              </w:rPr>
            </w:pPr>
          </w:p>
        </w:tc>
        <w:tc>
          <w:tcPr>
            <w:tcW w:w="1276" w:type="dxa"/>
          </w:tcPr>
          <w:p>
            <w:pPr>
              <w:pStyle w:val="TableParagraph"/>
              <w:rPr>
                <w:rFonts w:ascii="Times New Roman"/>
                <w:sz w:val="22"/>
              </w:rPr>
            </w:pPr>
          </w:p>
        </w:tc>
        <w:tc>
          <w:tcPr>
            <w:tcW w:w="1158" w:type="dxa"/>
          </w:tcPr>
          <w:p>
            <w:pPr>
              <w:pStyle w:val="TableParagraph"/>
              <w:rPr>
                <w:rFonts w:ascii="Times New Roman"/>
                <w:sz w:val="22"/>
              </w:rPr>
            </w:pPr>
          </w:p>
        </w:tc>
      </w:tr>
      <w:tr>
        <w:trPr>
          <w:trHeight w:val="1747" w:hRule="atLeast"/>
        </w:trPr>
        <w:tc>
          <w:tcPr>
            <w:tcW w:w="2235" w:type="dxa"/>
            <w:shd w:val="clear" w:color="auto" w:fill="00AFEF"/>
          </w:tcPr>
          <w:p>
            <w:pPr>
              <w:pStyle w:val="TableParagraph"/>
              <w:spacing w:line="276" w:lineRule="auto"/>
              <w:ind w:left="107" w:right="117"/>
              <w:rPr>
                <w:rFonts w:ascii="Courier New"/>
                <w:b/>
                <w:sz w:val="22"/>
              </w:rPr>
            </w:pPr>
            <w:r>
              <w:rPr>
                <w:rFonts w:ascii="Courier New"/>
                <w:b/>
                <w:sz w:val="22"/>
              </w:rPr>
              <w:t>Medicinal Mush- room</w:t>
            </w:r>
          </w:p>
          <w:p>
            <w:pPr>
              <w:pStyle w:val="TableParagraph"/>
              <w:spacing w:before="198"/>
              <w:ind w:left="107"/>
              <w:rPr>
                <w:rFonts w:ascii="Courier New"/>
                <w:b/>
                <w:sz w:val="22"/>
              </w:rPr>
            </w:pPr>
            <w:r>
              <w:rPr>
                <w:rFonts w:ascii="Courier New"/>
                <w:b/>
                <w:sz w:val="22"/>
              </w:rPr>
              <w:t>Coriolus</w:t>
            </w:r>
          </w:p>
          <w:p>
            <w:pPr>
              <w:pStyle w:val="TableParagraph"/>
              <w:spacing w:before="1"/>
              <w:rPr>
                <w:rFonts w:ascii="Courier New"/>
                <w:sz w:val="21"/>
              </w:rPr>
            </w:pPr>
          </w:p>
          <w:p>
            <w:pPr>
              <w:pStyle w:val="TableParagraph"/>
              <w:ind w:left="107"/>
              <w:rPr>
                <w:rFonts w:ascii="Courier New"/>
                <w:b/>
                <w:sz w:val="22"/>
              </w:rPr>
            </w:pPr>
            <w:r>
              <w:rPr>
                <w:rFonts w:ascii="Courier New"/>
                <w:b/>
                <w:sz w:val="22"/>
              </w:rPr>
              <w:t>p.1848</w:t>
            </w:r>
          </w:p>
        </w:tc>
        <w:tc>
          <w:tcPr>
            <w:tcW w:w="1135" w:type="dxa"/>
          </w:tcPr>
          <w:p>
            <w:pPr>
              <w:pStyle w:val="TableParagraph"/>
              <w:rPr>
                <w:rFonts w:ascii="Times New Roman"/>
                <w:sz w:val="22"/>
              </w:rPr>
            </w:pPr>
          </w:p>
        </w:tc>
        <w:tc>
          <w:tcPr>
            <w:tcW w:w="1416" w:type="dxa"/>
          </w:tcPr>
          <w:p>
            <w:pPr>
              <w:pStyle w:val="TableParagraph"/>
              <w:spacing w:before="11"/>
              <w:ind w:left="105"/>
              <w:rPr>
                <w:rFonts w:ascii="Courier New"/>
                <w:sz w:val="32"/>
              </w:rPr>
            </w:pPr>
            <w:r>
              <w:rPr>
                <w:rFonts w:ascii="Courier New"/>
                <w:w w:val="99"/>
                <w:sz w:val="32"/>
              </w:rPr>
              <w:t>x</w:t>
            </w:r>
          </w:p>
        </w:tc>
        <w:tc>
          <w:tcPr>
            <w:tcW w:w="1418" w:type="dxa"/>
          </w:tcPr>
          <w:p>
            <w:pPr>
              <w:pStyle w:val="TableParagraph"/>
              <w:rPr>
                <w:rFonts w:ascii="Times New Roman"/>
                <w:sz w:val="22"/>
              </w:rPr>
            </w:pPr>
          </w:p>
        </w:tc>
        <w:tc>
          <w:tcPr>
            <w:tcW w:w="1418" w:type="dxa"/>
          </w:tcPr>
          <w:p>
            <w:pPr>
              <w:pStyle w:val="TableParagraph"/>
              <w:spacing w:before="11"/>
              <w:ind w:left="108"/>
              <w:rPr>
                <w:rFonts w:ascii="Courier New"/>
                <w:sz w:val="32"/>
              </w:rPr>
            </w:pPr>
            <w:r>
              <w:rPr>
                <w:rFonts w:ascii="Courier New"/>
                <w:w w:val="99"/>
                <w:sz w:val="32"/>
              </w:rPr>
              <w:t>x</w:t>
            </w:r>
          </w:p>
        </w:tc>
        <w:tc>
          <w:tcPr>
            <w:tcW w:w="1133" w:type="dxa"/>
          </w:tcPr>
          <w:p>
            <w:pPr>
              <w:pStyle w:val="TableParagraph"/>
              <w:spacing w:before="11"/>
              <w:ind w:left="106"/>
              <w:rPr>
                <w:rFonts w:ascii="Courier New"/>
                <w:sz w:val="32"/>
              </w:rPr>
            </w:pPr>
            <w:r>
              <w:rPr>
                <w:rFonts w:ascii="Courier New"/>
                <w:w w:val="99"/>
                <w:sz w:val="32"/>
              </w:rPr>
              <w:t>x</w:t>
            </w:r>
          </w:p>
        </w:tc>
        <w:tc>
          <w:tcPr>
            <w:tcW w:w="1135" w:type="dxa"/>
          </w:tcPr>
          <w:p>
            <w:pPr>
              <w:pStyle w:val="TableParagraph"/>
              <w:spacing w:before="11"/>
              <w:ind w:left="109"/>
              <w:rPr>
                <w:rFonts w:ascii="Courier New"/>
                <w:sz w:val="32"/>
              </w:rPr>
            </w:pPr>
            <w:r>
              <w:rPr>
                <w:rFonts w:ascii="Courier New"/>
                <w:w w:val="99"/>
                <w:sz w:val="32"/>
              </w:rPr>
              <w:t>x</w:t>
            </w:r>
          </w:p>
        </w:tc>
        <w:tc>
          <w:tcPr>
            <w:tcW w:w="1274" w:type="dxa"/>
          </w:tcPr>
          <w:p>
            <w:pPr>
              <w:pStyle w:val="TableParagraph"/>
              <w:spacing w:before="11"/>
              <w:ind w:left="107"/>
              <w:rPr>
                <w:rFonts w:ascii="Courier New"/>
                <w:sz w:val="32"/>
              </w:rPr>
            </w:pPr>
            <w:r>
              <w:rPr>
                <w:rFonts w:ascii="Courier New"/>
                <w:w w:val="99"/>
                <w:sz w:val="32"/>
              </w:rPr>
              <w:t>x</w:t>
            </w:r>
          </w:p>
        </w:tc>
        <w:tc>
          <w:tcPr>
            <w:tcW w:w="1277" w:type="dxa"/>
          </w:tcPr>
          <w:p>
            <w:pPr>
              <w:pStyle w:val="TableParagraph"/>
              <w:spacing w:before="11"/>
              <w:ind w:left="110"/>
              <w:rPr>
                <w:rFonts w:ascii="Courier New"/>
                <w:sz w:val="32"/>
              </w:rPr>
            </w:pPr>
            <w:r>
              <w:rPr>
                <w:rFonts w:ascii="Courier New"/>
                <w:w w:val="99"/>
                <w:sz w:val="32"/>
              </w:rPr>
              <w:t>x</w:t>
            </w:r>
          </w:p>
        </w:tc>
        <w:tc>
          <w:tcPr>
            <w:tcW w:w="1274" w:type="dxa"/>
          </w:tcPr>
          <w:p>
            <w:pPr>
              <w:pStyle w:val="TableParagraph"/>
              <w:rPr>
                <w:rFonts w:ascii="Times New Roman"/>
                <w:sz w:val="22"/>
              </w:rPr>
            </w:pPr>
          </w:p>
        </w:tc>
        <w:tc>
          <w:tcPr>
            <w:tcW w:w="1418" w:type="dxa"/>
          </w:tcPr>
          <w:p>
            <w:pPr>
              <w:pStyle w:val="TableParagraph"/>
              <w:rPr>
                <w:rFonts w:ascii="Times New Roman"/>
                <w:sz w:val="22"/>
              </w:rPr>
            </w:pPr>
          </w:p>
        </w:tc>
        <w:tc>
          <w:tcPr>
            <w:tcW w:w="1276" w:type="dxa"/>
          </w:tcPr>
          <w:p>
            <w:pPr>
              <w:pStyle w:val="TableParagraph"/>
              <w:rPr>
                <w:rFonts w:ascii="Times New Roman"/>
                <w:sz w:val="22"/>
              </w:rPr>
            </w:pPr>
          </w:p>
        </w:tc>
        <w:tc>
          <w:tcPr>
            <w:tcW w:w="1158" w:type="dxa"/>
          </w:tcPr>
          <w:p>
            <w:pPr>
              <w:pStyle w:val="TableParagraph"/>
              <w:rPr>
                <w:rFonts w:ascii="Times New Roman"/>
                <w:sz w:val="22"/>
              </w:rPr>
            </w:pPr>
          </w:p>
        </w:tc>
      </w:tr>
      <w:tr>
        <w:trPr>
          <w:trHeight w:val="1945" w:hRule="atLeast"/>
        </w:trPr>
        <w:tc>
          <w:tcPr>
            <w:tcW w:w="2235" w:type="dxa"/>
            <w:shd w:val="clear" w:color="auto" w:fill="00AFEF"/>
          </w:tcPr>
          <w:p>
            <w:pPr>
              <w:pStyle w:val="TableParagraph"/>
              <w:rPr>
                <w:rFonts w:ascii="Courier New"/>
                <w:sz w:val="24"/>
              </w:rPr>
            </w:pPr>
          </w:p>
          <w:p>
            <w:pPr>
              <w:pStyle w:val="TableParagraph"/>
              <w:spacing w:before="212"/>
              <w:ind w:left="107"/>
              <w:rPr>
                <w:rFonts w:ascii="Courier New"/>
                <w:b/>
                <w:sz w:val="22"/>
              </w:rPr>
            </w:pPr>
            <w:r>
              <w:rPr>
                <w:rFonts w:ascii="Courier New"/>
                <w:b/>
                <w:sz w:val="22"/>
              </w:rPr>
              <w:t>Vitamin C</w:t>
            </w:r>
          </w:p>
          <w:p>
            <w:pPr>
              <w:pStyle w:val="TableParagraph"/>
              <w:rPr>
                <w:rFonts w:ascii="Courier New"/>
                <w:sz w:val="24"/>
              </w:rPr>
            </w:pPr>
          </w:p>
          <w:p>
            <w:pPr>
              <w:pStyle w:val="TableParagraph"/>
              <w:rPr>
                <w:rFonts w:ascii="Courier New"/>
                <w:sz w:val="24"/>
              </w:rPr>
            </w:pPr>
          </w:p>
          <w:p>
            <w:pPr>
              <w:pStyle w:val="TableParagraph"/>
              <w:spacing w:before="181"/>
              <w:ind w:left="107"/>
              <w:rPr>
                <w:rFonts w:ascii="Courier New"/>
                <w:b/>
                <w:sz w:val="22"/>
              </w:rPr>
            </w:pPr>
            <w:r>
              <w:rPr>
                <w:rFonts w:ascii="Courier New"/>
                <w:b/>
                <w:sz w:val="22"/>
              </w:rPr>
              <w:t>p.1720</w:t>
            </w:r>
          </w:p>
        </w:tc>
        <w:tc>
          <w:tcPr>
            <w:tcW w:w="1135" w:type="dxa"/>
          </w:tcPr>
          <w:p>
            <w:pPr>
              <w:pStyle w:val="TableParagraph"/>
              <w:rPr>
                <w:rFonts w:ascii="Times New Roman"/>
                <w:sz w:val="22"/>
              </w:rPr>
            </w:pPr>
          </w:p>
        </w:tc>
        <w:tc>
          <w:tcPr>
            <w:tcW w:w="1416" w:type="dxa"/>
          </w:tcPr>
          <w:p>
            <w:pPr>
              <w:pStyle w:val="TableParagraph"/>
              <w:rPr>
                <w:rFonts w:ascii="Times New Roman"/>
                <w:sz w:val="22"/>
              </w:rPr>
            </w:pPr>
          </w:p>
        </w:tc>
        <w:tc>
          <w:tcPr>
            <w:tcW w:w="1418" w:type="dxa"/>
          </w:tcPr>
          <w:p>
            <w:pPr>
              <w:pStyle w:val="TableParagraph"/>
              <w:rPr>
                <w:rFonts w:ascii="Times New Roman"/>
                <w:sz w:val="22"/>
              </w:rPr>
            </w:pPr>
          </w:p>
        </w:tc>
        <w:tc>
          <w:tcPr>
            <w:tcW w:w="1418" w:type="dxa"/>
          </w:tcPr>
          <w:p>
            <w:pPr>
              <w:pStyle w:val="TableParagraph"/>
              <w:rPr>
                <w:rFonts w:ascii="Times New Roman"/>
                <w:sz w:val="22"/>
              </w:rPr>
            </w:pPr>
          </w:p>
        </w:tc>
        <w:tc>
          <w:tcPr>
            <w:tcW w:w="1133" w:type="dxa"/>
          </w:tcPr>
          <w:p>
            <w:pPr>
              <w:pStyle w:val="TableParagraph"/>
              <w:spacing w:before="9"/>
              <w:ind w:left="106"/>
              <w:rPr>
                <w:rFonts w:ascii="Courier New"/>
                <w:sz w:val="32"/>
              </w:rPr>
            </w:pPr>
            <w:r>
              <w:rPr>
                <w:rFonts w:ascii="Courier New"/>
                <w:w w:val="99"/>
                <w:sz w:val="32"/>
              </w:rPr>
              <w:t>x</w:t>
            </w:r>
          </w:p>
        </w:tc>
        <w:tc>
          <w:tcPr>
            <w:tcW w:w="1135" w:type="dxa"/>
          </w:tcPr>
          <w:p>
            <w:pPr>
              <w:pStyle w:val="TableParagraph"/>
              <w:spacing w:before="9"/>
              <w:ind w:left="109"/>
              <w:rPr>
                <w:rFonts w:ascii="Courier New"/>
                <w:sz w:val="32"/>
              </w:rPr>
            </w:pPr>
            <w:r>
              <w:rPr>
                <w:rFonts w:ascii="Courier New"/>
                <w:w w:val="99"/>
                <w:sz w:val="32"/>
              </w:rPr>
              <w:t>x</w:t>
            </w:r>
          </w:p>
        </w:tc>
        <w:tc>
          <w:tcPr>
            <w:tcW w:w="1274" w:type="dxa"/>
          </w:tcPr>
          <w:p>
            <w:pPr>
              <w:pStyle w:val="TableParagraph"/>
              <w:spacing w:before="9"/>
              <w:ind w:left="107"/>
              <w:rPr>
                <w:rFonts w:ascii="Courier New"/>
                <w:sz w:val="32"/>
              </w:rPr>
            </w:pPr>
            <w:r>
              <w:rPr>
                <w:rFonts w:ascii="Courier New"/>
                <w:w w:val="99"/>
                <w:sz w:val="32"/>
              </w:rPr>
              <w:t>x</w:t>
            </w:r>
          </w:p>
        </w:tc>
        <w:tc>
          <w:tcPr>
            <w:tcW w:w="1277" w:type="dxa"/>
          </w:tcPr>
          <w:p>
            <w:pPr>
              <w:pStyle w:val="TableParagraph"/>
              <w:rPr>
                <w:rFonts w:ascii="Times New Roman"/>
                <w:sz w:val="22"/>
              </w:rPr>
            </w:pPr>
          </w:p>
        </w:tc>
        <w:tc>
          <w:tcPr>
            <w:tcW w:w="1274" w:type="dxa"/>
          </w:tcPr>
          <w:p>
            <w:pPr>
              <w:pStyle w:val="TableParagraph"/>
              <w:rPr>
                <w:rFonts w:ascii="Times New Roman"/>
                <w:sz w:val="22"/>
              </w:rPr>
            </w:pPr>
          </w:p>
        </w:tc>
        <w:tc>
          <w:tcPr>
            <w:tcW w:w="1418" w:type="dxa"/>
          </w:tcPr>
          <w:p>
            <w:pPr>
              <w:pStyle w:val="TableParagraph"/>
              <w:rPr>
                <w:rFonts w:ascii="Times New Roman"/>
                <w:sz w:val="22"/>
              </w:rPr>
            </w:pPr>
          </w:p>
        </w:tc>
        <w:tc>
          <w:tcPr>
            <w:tcW w:w="1276" w:type="dxa"/>
          </w:tcPr>
          <w:p>
            <w:pPr>
              <w:pStyle w:val="TableParagraph"/>
              <w:rPr>
                <w:rFonts w:ascii="Times New Roman"/>
                <w:sz w:val="22"/>
              </w:rPr>
            </w:pPr>
          </w:p>
        </w:tc>
        <w:tc>
          <w:tcPr>
            <w:tcW w:w="1158" w:type="dxa"/>
          </w:tcPr>
          <w:p>
            <w:pPr>
              <w:pStyle w:val="TableParagraph"/>
              <w:rPr>
                <w:rFonts w:ascii="Times New Roman"/>
                <w:sz w:val="22"/>
              </w:rPr>
            </w:pPr>
          </w:p>
        </w:tc>
      </w:tr>
      <w:tr>
        <w:trPr>
          <w:trHeight w:val="1747" w:hRule="atLeast"/>
        </w:trPr>
        <w:tc>
          <w:tcPr>
            <w:tcW w:w="2235" w:type="dxa"/>
            <w:shd w:val="clear" w:color="auto" w:fill="00AFEF"/>
          </w:tcPr>
          <w:p>
            <w:pPr>
              <w:pStyle w:val="TableParagraph"/>
              <w:rPr>
                <w:rFonts w:ascii="Courier New"/>
                <w:sz w:val="24"/>
              </w:rPr>
            </w:pPr>
          </w:p>
          <w:p>
            <w:pPr>
              <w:pStyle w:val="TableParagraph"/>
              <w:spacing w:line="278" w:lineRule="auto" w:before="212"/>
              <w:ind w:left="107" w:right="525"/>
              <w:rPr>
                <w:rFonts w:ascii="Courier New"/>
                <w:b/>
                <w:sz w:val="22"/>
              </w:rPr>
            </w:pPr>
            <w:r>
              <w:rPr>
                <w:rFonts w:ascii="Courier New"/>
                <w:b/>
                <w:spacing w:val="-1"/>
                <w:sz w:val="22"/>
              </w:rPr>
              <w:t>Alpha-lipoic </w:t>
            </w:r>
            <w:r>
              <w:rPr>
                <w:rFonts w:ascii="Courier New"/>
                <w:b/>
                <w:sz w:val="22"/>
              </w:rPr>
              <w:t>acid</w:t>
            </w:r>
          </w:p>
          <w:p>
            <w:pPr>
              <w:pStyle w:val="TableParagraph"/>
              <w:spacing w:before="197"/>
              <w:ind w:left="107"/>
              <w:rPr>
                <w:rFonts w:ascii="Courier New"/>
                <w:b/>
                <w:sz w:val="22"/>
              </w:rPr>
            </w:pPr>
            <w:r>
              <w:rPr>
                <w:rFonts w:ascii="Courier New"/>
                <w:b/>
                <w:sz w:val="22"/>
              </w:rPr>
              <w:t>p.86</w:t>
            </w:r>
          </w:p>
        </w:tc>
        <w:tc>
          <w:tcPr>
            <w:tcW w:w="1135" w:type="dxa"/>
          </w:tcPr>
          <w:p>
            <w:pPr>
              <w:pStyle w:val="TableParagraph"/>
              <w:rPr>
                <w:rFonts w:ascii="Times New Roman"/>
                <w:sz w:val="22"/>
              </w:rPr>
            </w:pPr>
          </w:p>
        </w:tc>
        <w:tc>
          <w:tcPr>
            <w:tcW w:w="1416" w:type="dxa"/>
          </w:tcPr>
          <w:p>
            <w:pPr>
              <w:pStyle w:val="TableParagraph"/>
              <w:spacing w:before="12"/>
              <w:ind w:left="105"/>
              <w:rPr>
                <w:rFonts w:ascii="Courier New"/>
                <w:sz w:val="32"/>
              </w:rPr>
            </w:pPr>
            <w:r>
              <w:rPr>
                <w:rFonts w:ascii="Courier New"/>
                <w:w w:val="99"/>
                <w:sz w:val="32"/>
              </w:rPr>
              <w:t>x</w:t>
            </w:r>
          </w:p>
        </w:tc>
        <w:tc>
          <w:tcPr>
            <w:tcW w:w="1418" w:type="dxa"/>
          </w:tcPr>
          <w:p>
            <w:pPr>
              <w:pStyle w:val="TableParagraph"/>
              <w:rPr>
                <w:rFonts w:ascii="Times New Roman"/>
                <w:sz w:val="22"/>
              </w:rPr>
            </w:pPr>
          </w:p>
        </w:tc>
        <w:tc>
          <w:tcPr>
            <w:tcW w:w="1418" w:type="dxa"/>
          </w:tcPr>
          <w:p>
            <w:pPr>
              <w:pStyle w:val="TableParagraph"/>
              <w:spacing w:before="12"/>
              <w:ind w:left="108"/>
              <w:rPr>
                <w:rFonts w:ascii="Courier New"/>
                <w:sz w:val="32"/>
              </w:rPr>
            </w:pPr>
            <w:r>
              <w:rPr>
                <w:rFonts w:ascii="Courier New"/>
                <w:w w:val="99"/>
                <w:sz w:val="32"/>
              </w:rPr>
              <w:t>x</w:t>
            </w:r>
          </w:p>
        </w:tc>
        <w:tc>
          <w:tcPr>
            <w:tcW w:w="1133" w:type="dxa"/>
          </w:tcPr>
          <w:p>
            <w:pPr>
              <w:pStyle w:val="TableParagraph"/>
              <w:rPr>
                <w:rFonts w:ascii="Times New Roman"/>
                <w:sz w:val="22"/>
              </w:rPr>
            </w:pPr>
          </w:p>
        </w:tc>
        <w:tc>
          <w:tcPr>
            <w:tcW w:w="1135" w:type="dxa"/>
          </w:tcPr>
          <w:p>
            <w:pPr>
              <w:pStyle w:val="TableParagraph"/>
              <w:rPr>
                <w:rFonts w:ascii="Times New Roman"/>
                <w:sz w:val="22"/>
              </w:rPr>
            </w:pPr>
          </w:p>
        </w:tc>
        <w:tc>
          <w:tcPr>
            <w:tcW w:w="1274" w:type="dxa"/>
          </w:tcPr>
          <w:p>
            <w:pPr>
              <w:pStyle w:val="TableParagraph"/>
              <w:spacing w:before="12"/>
              <w:ind w:left="107"/>
              <w:rPr>
                <w:rFonts w:ascii="Courier New"/>
                <w:sz w:val="32"/>
              </w:rPr>
            </w:pPr>
            <w:r>
              <w:rPr>
                <w:rFonts w:ascii="Courier New"/>
                <w:w w:val="99"/>
                <w:sz w:val="32"/>
              </w:rPr>
              <w:t>x</w:t>
            </w:r>
          </w:p>
        </w:tc>
        <w:tc>
          <w:tcPr>
            <w:tcW w:w="1277" w:type="dxa"/>
          </w:tcPr>
          <w:p>
            <w:pPr>
              <w:pStyle w:val="TableParagraph"/>
              <w:spacing w:before="12"/>
              <w:ind w:left="110"/>
              <w:rPr>
                <w:rFonts w:ascii="Courier New"/>
                <w:sz w:val="32"/>
              </w:rPr>
            </w:pPr>
            <w:r>
              <w:rPr>
                <w:rFonts w:ascii="Courier New"/>
                <w:w w:val="99"/>
                <w:sz w:val="32"/>
              </w:rPr>
              <w:t>x</w:t>
            </w:r>
          </w:p>
        </w:tc>
        <w:tc>
          <w:tcPr>
            <w:tcW w:w="1274" w:type="dxa"/>
          </w:tcPr>
          <w:p>
            <w:pPr>
              <w:pStyle w:val="TableParagraph"/>
              <w:rPr>
                <w:rFonts w:ascii="Times New Roman"/>
                <w:sz w:val="22"/>
              </w:rPr>
            </w:pPr>
          </w:p>
        </w:tc>
        <w:tc>
          <w:tcPr>
            <w:tcW w:w="1418" w:type="dxa"/>
          </w:tcPr>
          <w:p>
            <w:pPr>
              <w:pStyle w:val="TableParagraph"/>
              <w:rPr>
                <w:rFonts w:ascii="Times New Roman"/>
                <w:sz w:val="22"/>
              </w:rPr>
            </w:pPr>
          </w:p>
        </w:tc>
        <w:tc>
          <w:tcPr>
            <w:tcW w:w="1276" w:type="dxa"/>
          </w:tcPr>
          <w:p>
            <w:pPr>
              <w:pStyle w:val="TableParagraph"/>
              <w:rPr>
                <w:rFonts w:ascii="Times New Roman"/>
                <w:sz w:val="22"/>
              </w:rPr>
            </w:pPr>
          </w:p>
        </w:tc>
        <w:tc>
          <w:tcPr>
            <w:tcW w:w="1158" w:type="dxa"/>
          </w:tcPr>
          <w:p>
            <w:pPr>
              <w:pStyle w:val="TableParagraph"/>
              <w:rPr>
                <w:rFonts w:ascii="Times New Roman"/>
                <w:sz w:val="22"/>
              </w:rPr>
            </w:pPr>
          </w:p>
        </w:tc>
      </w:tr>
      <w:tr>
        <w:trPr>
          <w:trHeight w:val="1461" w:hRule="atLeast"/>
        </w:trPr>
        <w:tc>
          <w:tcPr>
            <w:tcW w:w="2235" w:type="dxa"/>
            <w:shd w:val="clear" w:color="auto" w:fill="00AFEF"/>
          </w:tcPr>
          <w:p>
            <w:pPr>
              <w:pStyle w:val="TableParagraph"/>
              <w:spacing w:before="3"/>
              <w:rPr>
                <w:rFonts w:ascii="Courier New"/>
                <w:sz w:val="22"/>
              </w:rPr>
            </w:pPr>
          </w:p>
          <w:p>
            <w:pPr>
              <w:pStyle w:val="TableParagraph"/>
              <w:spacing w:line="480" w:lineRule="atLeast" w:before="1"/>
              <w:ind w:left="107" w:right="909"/>
              <w:rPr>
                <w:rFonts w:ascii="Courier New"/>
                <w:b/>
                <w:sz w:val="22"/>
              </w:rPr>
            </w:pPr>
            <w:r>
              <w:rPr>
                <w:rFonts w:ascii="Courier New"/>
                <w:b/>
                <w:sz w:val="22"/>
              </w:rPr>
              <w:t>Bromelain p.113</w:t>
            </w:r>
          </w:p>
        </w:tc>
        <w:tc>
          <w:tcPr>
            <w:tcW w:w="1135" w:type="dxa"/>
          </w:tcPr>
          <w:p>
            <w:pPr>
              <w:pStyle w:val="TableParagraph"/>
              <w:spacing w:before="9"/>
              <w:ind w:left="107"/>
              <w:rPr>
                <w:rFonts w:ascii="Courier New"/>
                <w:sz w:val="32"/>
              </w:rPr>
            </w:pPr>
            <w:r>
              <w:rPr>
                <w:rFonts w:ascii="Courier New"/>
                <w:w w:val="99"/>
                <w:sz w:val="32"/>
              </w:rPr>
              <w:t>x</w:t>
            </w:r>
          </w:p>
        </w:tc>
        <w:tc>
          <w:tcPr>
            <w:tcW w:w="1416" w:type="dxa"/>
          </w:tcPr>
          <w:p>
            <w:pPr>
              <w:pStyle w:val="TableParagraph"/>
              <w:spacing w:before="9"/>
              <w:ind w:left="105"/>
              <w:rPr>
                <w:rFonts w:ascii="Courier New"/>
                <w:sz w:val="32"/>
              </w:rPr>
            </w:pPr>
            <w:r>
              <w:rPr>
                <w:rFonts w:ascii="Courier New"/>
                <w:w w:val="99"/>
                <w:sz w:val="32"/>
              </w:rPr>
              <w:t>x</w:t>
            </w:r>
          </w:p>
        </w:tc>
        <w:tc>
          <w:tcPr>
            <w:tcW w:w="1418" w:type="dxa"/>
          </w:tcPr>
          <w:p>
            <w:pPr>
              <w:pStyle w:val="TableParagraph"/>
              <w:rPr>
                <w:rFonts w:ascii="Times New Roman"/>
                <w:sz w:val="22"/>
              </w:rPr>
            </w:pPr>
          </w:p>
        </w:tc>
        <w:tc>
          <w:tcPr>
            <w:tcW w:w="1418" w:type="dxa"/>
          </w:tcPr>
          <w:p>
            <w:pPr>
              <w:pStyle w:val="TableParagraph"/>
              <w:spacing w:before="9"/>
              <w:ind w:left="108"/>
              <w:rPr>
                <w:rFonts w:ascii="Courier New"/>
                <w:sz w:val="32"/>
              </w:rPr>
            </w:pPr>
            <w:r>
              <w:rPr>
                <w:rFonts w:ascii="Courier New"/>
                <w:w w:val="99"/>
                <w:sz w:val="32"/>
              </w:rPr>
              <w:t>x</w:t>
            </w:r>
          </w:p>
        </w:tc>
        <w:tc>
          <w:tcPr>
            <w:tcW w:w="1133" w:type="dxa"/>
          </w:tcPr>
          <w:p>
            <w:pPr>
              <w:pStyle w:val="TableParagraph"/>
              <w:rPr>
                <w:rFonts w:ascii="Times New Roman"/>
                <w:sz w:val="22"/>
              </w:rPr>
            </w:pPr>
          </w:p>
        </w:tc>
        <w:tc>
          <w:tcPr>
            <w:tcW w:w="1135" w:type="dxa"/>
          </w:tcPr>
          <w:p>
            <w:pPr>
              <w:pStyle w:val="TableParagraph"/>
              <w:rPr>
                <w:rFonts w:ascii="Times New Roman"/>
                <w:sz w:val="22"/>
              </w:rPr>
            </w:pPr>
          </w:p>
        </w:tc>
        <w:tc>
          <w:tcPr>
            <w:tcW w:w="1274" w:type="dxa"/>
          </w:tcPr>
          <w:p>
            <w:pPr>
              <w:pStyle w:val="TableParagraph"/>
              <w:spacing w:before="9"/>
              <w:ind w:left="107"/>
              <w:rPr>
                <w:rFonts w:ascii="Courier New"/>
                <w:sz w:val="32"/>
              </w:rPr>
            </w:pPr>
            <w:r>
              <w:rPr>
                <w:rFonts w:ascii="Courier New"/>
                <w:w w:val="99"/>
                <w:sz w:val="32"/>
              </w:rPr>
              <w:t>x</w:t>
            </w:r>
          </w:p>
        </w:tc>
        <w:tc>
          <w:tcPr>
            <w:tcW w:w="1277" w:type="dxa"/>
          </w:tcPr>
          <w:p>
            <w:pPr>
              <w:pStyle w:val="TableParagraph"/>
              <w:spacing w:before="9"/>
              <w:ind w:left="110"/>
              <w:rPr>
                <w:rFonts w:ascii="Courier New"/>
                <w:sz w:val="32"/>
              </w:rPr>
            </w:pPr>
            <w:r>
              <w:rPr>
                <w:rFonts w:ascii="Courier New"/>
                <w:w w:val="99"/>
                <w:sz w:val="32"/>
              </w:rPr>
              <w:t>x</w:t>
            </w:r>
          </w:p>
        </w:tc>
        <w:tc>
          <w:tcPr>
            <w:tcW w:w="1274" w:type="dxa"/>
          </w:tcPr>
          <w:p>
            <w:pPr>
              <w:pStyle w:val="TableParagraph"/>
              <w:rPr>
                <w:rFonts w:ascii="Times New Roman"/>
                <w:sz w:val="22"/>
              </w:rPr>
            </w:pPr>
          </w:p>
        </w:tc>
        <w:tc>
          <w:tcPr>
            <w:tcW w:w="1418" w:type="dxa"/>
          </w:tcPr>
          <w:p>
            <w:pPr>
              <w:pStyle w:val="TableParagraph"/>
              <w:spacing w:before="9"/>
              <w:ind w:left="110"/>
              <w:rPr>
                <w:rFonts w:ascii="Courier New"/>
                <w:sz w:val="32"/>
              </w:rPr>
            </w:pPr>
            <w:r>
              <w:rPr>
                <w:rFonts w:ascii="Courier New"/>
                <w:w w:val="99"/>
                <w:sz w:val="32"/>
              </w:rPr>
              <w:t>x</w:t>
            </w:r>
          </w:p>
        </w:tc>
        <w:tc>
          <w:tcPr>
            <w:tcW w:w="1276" w:type="dxa"/>
          </w:tcPr>
          <w:p>
            <w:pPr>
              <w:pStyle w:val="TableParagraph"/>
              <w:rPr>
                <w:rFonts w:ascii="Times New Roman"/>
                <w:sz w:val="22"/>
              </w:rPr>
            </w:pPr>
          </w:p>
        </w:tc>
        <w:tc>
          <w:tcPr>
            <w:tcW w:w="1158" w:type="dxa"/>
          </w:tcPr>
          <w:p>
            <w:pPr>
              <w:pStyle w:val="TableParagraph"/>
              <w:rPr>
                <w:rFonts w:ascii="Times New Roman"/>
                <w:sz w:val="22"/>
              </w:rPr>
            </w:pPr>
          </w:p>
        </w:tc>
      </w:tr>
    </w:tbl>
    <w:p>
      <w:pPr>
        <w:spacing w:after="0"/>
        <w:rPr>
          <w:rFonts w:ascii="Times New Roman"/>
          <w:sz w:val="22"/>
        </w:rPr>
        <w:sectPr>
          <w:pgSz w:w="18630" w:h="11910" w:orient="landscape"/>
          <w:pgMar w:header="0" w:footer="404" w:top="840" w:bottom="600" w:left="740" w:right="8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5"/>
        <w:gridCol w:w="1135"/>
        <w:gridCol w:w="1416"/>
        <w:gridCol w:w="1418"/>
        <w:gridCol w:w="1418"/>
        <w:gridCol w:w="1133"/>
        <w:gridCol w:w="1135"/>
        <w:gridCol w:w="1274"/>
        <w:gridCol w:w="1277"/>
        <w:gridCol w:w="1274"/>
        <w:gridCol w:w="1418"/>
        <w:gridCol w:w="1276"/>
        <w:gridCol w:w="1158"/>
      </w:tblGrid>
      <w:tr>
        <w:trPr>
          <w:trHeight w:val="1459" w:hRule="atLeast"/>
        </w:trPr>
        <w:tc>
          <w:tcPr>
            <w:tcW w:w="2235" w:type="dxa"/>
            <w:shd w:val="clear" w:color="auto" w:fill="00AFEF"/>
          </w:tcPr>
          <w:p>
            <w:pPr>
              <w:pStyle w:val="TableParagraph"/>
              <w:spacing w:before="4"/>
              <w:rPr>
                <w:rFonts w:ascii="Courier New"/>
                <w:sz w:val="22"/>
              </w:rPr>
            </w:pPr>
          </w:p>
          <w:p>
            <w:pPr>
              <w:pStyle w:val="TableParagraph"/>
              <w:spacing w:line="480" w:lineRule="atLeast"/>
              <w:ind w:left="107" w:right="249"/>
              <w:rPr>
                <w:rFonts w:ascii="Courier New"/>
                <w:b/>
                <w:sz w:val="22"/>
              </w:rPr>
            </w:pPr>
            <w:r>
              <w:rPr>
                <w:rFonts w:ascii="Courier New"/>
                <w:b/>
                <w:sz w:val="22"/>
              </w:rPr>
              <w:t>Aronia berries p.173</w:t>
            </w:r>
          </w:p>
        </w:tc>
        <w:tc>
          <w:tcPr>
            <w:tcW w:w="1135" w:type="dxa"/>
          </w:tcPr>
          <w:p>
            <w:pPr>
              <w:pStyle w:val="TableParagraph"/>
              <w:rPr>
                <w:rFonts w:ascii="Times New Roman"/>
                <w:sz w:val="22"/>
              </w:rPr>
            </w:pPr>
          </w:p>
        </w:tc>
        <w:tc>
          <w:tcPr>
            <w:tcW w:w="1416" w:type="dxa"/>
          </w:tcPr>
          <w:p>
            <w:pPr>
              <w:pStyle w:val="TableParagraph"/>
              <w:spacing w:before="9"/>
              <w:ind w:left="105"/>
              <w:rPr>
                <w:rFonts w:ascii="Courier New"/>
                <w:sz w:val="32"/>
              </w:rPr>
            </w:pPr>
            <w:r>
              <w:rPr>
                <w:rFonts w:ascii="Courier New"/>
                <w:w w:val="99"/>
                <w:sz w:val="32"/>
              </w:rPr>
              <w:t>x</w:t>
            </w:r>
          </w:p>
        </w:tc>
        <w:tc>
          <w:tcPr>
            <w:tcW w:w="1418" w:type="dxa"/>
          </w:tcPr>
          <w:p>
            <w:pPr>
              <w:pStyle w:val="TableParagraph"/>
              <w:rPr>
                <w:rFonts w:ascii="Times New Roman"/>
                <w:sz w:val="22"/>
              </w:rPr>
            </w:pPr>
          </w:p>
        </w:tc>
        <w:tc>
          <w:tcPr>
            <w:tcW w:w="1418" w:type="dxa"/>
          </w:tcPr>
          <w:p>
            <w:pPr>
              <w:pStyle w:val="TableParagraph"/>
              <w:spacing w:before="9"/>
              <w:ind w:left="108"/>
              <w:rPr>
                <w:rFonts w:ascii="Courier New"/>
                <w:sz w:val="32"/>
              </w:rPr>
            </w:pPr>
            <w:r>
              <w:rPr>
                <w:rFonts w:ascii="Courier New"/>
                <w:w w:val="99"/>
                <w:sz w:val="32"/>
              </w:rPr>
              <w:t>x</w:t>
            </w:r>
          </w:p>
        </w:tc>
        <w:tc>
          <w:tcPr>
            <w:tcW w:w="1133" w:type="dxa"/>
          </w:tcPr>
          <w:p>
            <w:pPr>
              <w:pStyle w:val="TableParagraph"/>
              <w:rPr>
                <w:rFonts w:ascii="Times New Roman"/>
                <w:sz w:val="22"/>
              </w:rPr>
            </w:pPr>
          </w:p>
        </w:tc>
        <w:tc>
          <w:tcPr>
            <w:tcW w:w="1135" w:type="dxa"/>
          </w:tcPr>
          <w:p>
            <w:pPr>
              <w:pStyle w:val="TableParagraph"/>
              <w:rPr>
                <w:rFonts w:ascii="Times New Roman"/>
                <w:sz w:val="22"/>
              </w:rPr>
            </w:pPr>
          </w:p>
        </w:tc>
        <w:tc>
          <w:tcPr>
            <w:tcW w:w="1274" w:type="dxa"/>
          </w:tcPr>
          <w:p>
            <w:pPr>
              <w:pStyle w:val="TableParagraph"/>
              <w:spacing w:before="9"/>
              <w:ind w:left="107"/>
              <w:rPr>
                <w:rFonts w:ascii="Courier New"/>
                <w:sz w:val="32"/>
              </w:rPr>
            </w:pPr>
            <w:r>
              <w:rPr>
                <w:rFonts w:ascii="Courier New"/>
                <w:w w:val="99"/>
                <w:sz w:val="32"/>
              </w:rPr>
              <w:t>x</w:t>
            </w:r>
          </w:p>
        </w:tc>
        <w:tc>
          <w:tcPr>
            <w:tcW w:w="1277" w:type="dxa"/>
          </w:tcPr>
          <w:p>
            <w:pPr>
              <w:pStyle w:val="TableParagraph"/>
              <w:spacing w:before="9"/>
              <w:ind w:left="110"/>
              <w:rPr>
                <w:rFonts w:ascii="Courier New"/>
                <w:sz w:val="32"/>
              </w:rPr>
            </w:pPr>
            <w:r>
              <w:rPr>
                <w:rFonts w:ascii="Courier New"/>
                <w:w w:val="99"/>
                <w:sz w:val="32"/>
              </w:rPr>
              <w:t>x</w:t>
            </w:r>
          </w:p>
        </w:tc>
        <w:tc>
          <w:tcPr>
            <w:tcW w:w="1274" w:type="dxa"/>
          </w:tcPr>
          <w:p>
            <w:pPr>
              <w:pStyle w:val="TableParagraph"/>
              <w:rPr>
                <w:rFonts w:ascii="Times New Roman"/>
                <w:sz w:val="22"/>
              </w:rPr>
            </w:pPr>
          </w:p>
        </w:tc>
        <w:tc>
          <w:tcPr>
            <w:tcW w:w="1418" w:type="dxa"/>
          </w:tcPr>
          <w:p>
            <w:pPr>
              <w:pStyle w:val="TableParagraph"/>
              <w:rPr>
                <w:rFonts w:ascii="Times New Roman"/>
                <w:sz w:val="22"/>
              </w:rPr>
            </w:pPr>
          </w:p>
        </w:tc>
        <w:tc>
          <w:tcPr>
            <w:tcW w:w="1276" w:type="dxa"/>
          </w:tcPr>
          <w:p>
            <w:pPr>
              <w:pStyle w:val="TableParagraph"/>
              <w:rPr>
                <w:rFonts w:ascii="Times New Roman"/>
                <w:sz w:val="22"/>
              </w:rPr>
            </w:pPr>
          </w:p>
        </w:tc>
        <w:tc>
          <w:tcPr>
            <w:tcW w:w="1158" w:type="dxa"/>
          </w:tcPr>
          <w:p>
            <w:pPr>
              <w:pStyle w:val="TableParagraph"/>
              <w:rPr>
                <w:rFonts w:ascii="Times New Roman"/>
                <w:sz w:val="22"/>
              </w:rPr>
            </w:pPr>
          </w:p>
        </w:tc>
      </w:tr>
      <w:tr>
        <w:trPr>
          <w:trHeight w:val="1747" w:hRule="atLeast"/>
        </w:trPr>
        <w:tc>
          <w:tcPr>
            <w:tcW w:w="2235" w:type="dxa"/>
            <w:shd w:val="clear" w:color="auto" w:fill="00AFEF"/>
          </w:tcPr>
          <w:p>
            <w:pPr>
              <w:pStyle w:val="TableParagraph"/>
              <w:rPr>
                <w:rFonts w:ascii="Courier New"/>
                <w:sz w:val="24"/>
              </w:rPr>
            </w:pPr>
          </w:p>
          <w:p>
            <w:pPr>
              <w:pStyle w:val="TableParagraph"/>
              <w:spacing w:line="276" w:lineRule="auto" w:before="212"/>
              <w:ind w:left="107" w:right="117"/>
              <w:rPr>
                <w:rFonts w:ascii="Courier New"/>
                <w:b/>
                <w:sz w:val="22"/>
              </w:rPr>
            </w:pPr>
            <w:r>
              <w:rPr>
                <w:rFonts w:ascii="Courier New"/>
                <w:b/>
                <w:sz w:val="22"/>
              </w:rPr>
              <w:t>Astragalus Mem- branaceus</w:t>
            </w:r>
          </w:p>
          <w:p>
            <w:pPr>
              <w:pStyle w:val="TableParagraph"/>
              <w:spacing w:before="199"/>
              <w:ind w:left="107"/>
              <w:rPr>
                <w:rFonts w:ascii="Courier New"/>
                <w:b/>
                <w:sz w:val="22"/>
              </w:rPr>
            </w:pPr>
            <w:r>
              <w:rPr>
                <w:rFonts w:ascii="Courier New"/>
                <w:b/>
                <w:sz w:val="22"/>
              </w:rPr>
              <w:t>p.197</w:t>
            </w:r>
          </w:p>
        </w:tc>
        <w:tc>
          <w:tcPr>
            <w:tcW w:w="1135" w:type="dxa"/>
          </w:tcPr>
          <w:p>
            <w:pPr>
              <w:pStyle w:val="TableParagraph"/>
              <w:spacing w:before="9"/>
              <w:ind w:left="107"/>
              <w:rPr>
                <w:rFonts w:ascii="Courier New"/>
                <w:sz w:val="32"/>
              </w:rPr>
            </w:pPr>
            <w:r>
              <w:rPr>
                <w:rFonts w:ascii="Courier New"/>
                <w:w w:val="99"/>
                <w:sz w:val="32"/>
              </w:rPr>
              <w:t>x</w:t>
            </w:r>
          </w:p>
        </w:tc>
        <w:tc>
          <w:tcPr>
            <w:tcW w:w="1416" w:type="dxa"/>
          </w:tcPr>
          <w:p>
            <w:pPr>
              <w:pStyle w:val="TableParagraph"/>
              <w:spacing w:before="9"/>
              <w:ind w:left="105"/>
              <w:rPr>
                <w:rFonts w:ascii="Courier New"/>
                <w:sz w:val="32"/>
              </w:rPr>
            </w:pPr>
            <w:r>
              <w:rPr>
                <w:rFonts w:ascii="Courier New"/>
                <w:w w:val="99"/>
                <w:sz w:val="32"/>
              </w:rPr>
              <w:t>x</w:t>
            </w:r>
          </w:p>
        </w:tc>
        <w:tc>
          <w:tcPr>
            <w:tcW w:w="1418" w:type="dxa"/>
          </w:tcPr>
          <w:p>
            <w:pPr>
              <w:pStyle w:val="TableParagraph"/>
              <w:rPr>
                <w:rFonts w:ascii="Times New Roman"/>
                <w:sz w:val="22"/>
              </w:rPr>
            </w:pPr>
          </w:p>
        </w:tc>
        <w:tc>
          <w:tcPr>
            <w:tcW w:w="1418" w:type="dxa"/>
          </w:tcPr>
          <w:p>
            <w:pPr>
              <w:pStyle w:val="TableParagraph"/>
              <w:rPr>
                <w:rFonts w:ascii="Times New Roman"/>
                <w:sz w:val="22"/>
              </w:rPr>
            </w:pPr>
          </w:p>
        </w:tc>
        <w:tc>
          <w:tcPr>
            <w:tcW w:w="1133" w:type="dxa"/>
          </w:tcPr>
          <w:p>
            <w:pPr>
              <w:pStyle w:val="TableParagraph"/>
              <w:rPr>
                <w:rFonts w:ascii="Times New Roman"/>
                <w:sz w:val="22"/>
              </w:rPr>
            </w:pPr>
          </w:p>
        </w:tc>
        <w:tc>
          <w:tcPr>
            <w:tcW w:w="1135" w:type="dxa"/>
          </w:tcPr>
          <w:p>
            <w:pPr>
              <w:pStyle w:val="TableParagraph"/>
              <w:rPr>
                <w:rFonts w:ascii="Times New Roman"/>
                <w:sz w:val="22"/>
              </w:rPr>
            </w:pPr>
          </w:p>
        </w:tc>
        <w:tc>
          <w:tcPr>
            <w:tcW w:w="1274" w:type="dxa"/>
          </w:tcPr>
          <w:p>
            <w:pPr>
              <w:pStyle w:val="TableParagraph"/>
              <w:spacing w:before="9"/>
              <w:ind w:left="107"/>
              <w:rPr>
                <w:rFonts w:ascii="Courier New"/>
                <w:sz w:val="32"/>
              </w:rPr>
            </w:pPr>
            <w:r>
              <w:rPr>
                <w:rFonts w:ascii="Courier New"/>
                <w:w w:val="99"/>
                <w:sz w:val="32"/>
              </w:rPr>
              <w:t>x</w:t>
            </w:r>
          </w:p>
        </w:tc>
        <w:tc>
          <w:tcPr>
            <w:tcW w:w="1277" w:type="dxa"/>
          </w:tcPr>
          <w:p>
            <w:pPr>
              <w:pStyle w:val="TableParagraph"/>
              <w:rPr>
                <w:rFonts w:ascii="Times New Roman"/>
                <w:sz w:val="22"/>
              </w:rPr>
            </w:pPr>
          </w:p>
        </w:tc>
        <w:tc>
          <w:tcPr>
            <w:tcW w:w="1274" w:type="dxa"/>
          </w:tcPr>
          <w:p>
            <w:pPr>
              <w:pStyle w:val="TableParagraph"/>
              <w:rPr>
                <w:rFonts w:ascii="Times New Roman"/>
                <w:sz w:val="22"/>
              </w:rPr>
            </w:pPr>
          </w:p>
        </w:tc>
        <w:tc>
          <w:tcPr>
            <w:tcW w:w="1418" w:type="dxa"/>
          </w:tcPr>
          <w:p>
            <w:pPr>
              <w:pStyle w:val="TableParagraph"/>
              <w:rPr>
                <w:rFonts w:ascii="Times New Roman"/>
                <w:sz w:val="22"/>
              </w:rPr>
            </w:pPr>
          </w:p>
        </w:tc>
        <w:tc>
          <w:tcPr>
            <w:tcW w:w="1276" w:type="dxa"/>
          </w:tcPr>
          <w:p>
            <w:pPr>
              <w:pStyle w:val="TableParagraph"/>
              <w:rPr>
                <w:rFonts w:ascii="Times New Roman"/>
                <w:sz w:val="22"/>
              </w:rPr>
            </w:pPr>
          </w:p>
        </w:tc>
        <w:tc>
          <w:tcPr>
            <w:tcW w:w="1158" w:type="dxa"/>
          </w:tcPr>
          <w:p>
            <w:pPr>
              <w:pStyle w:val="TableParagraph"/>
              <w:rPr>
                <w:rFonts w:ascii="Times New Roman"/>
                <w:sz w:val="22"/>
              </w:rPr>
            </w:pPr>
          </w:p>
        </w:tc>
      </w:tr>
      <w:tr>
        <w:trPr>
          <w:trHeight w:val="1458" w:hRule="atLeast"/>
        </w:trPr>
        <w:tc>
          <w:tcPr>
            <w:tcW w:w="2235" w:type="dxa"/>
            <w:shd w:val="clear" w:color="auto" w:fill="00AFEF"/>
          </w:tcPr>
          <w:p>
            <w:pPr>
              <w:pStyle w:val="TableParagraph"/>
              <w:spacing w:before="3"/>
              <w:rPr>
                <w:rFonts w:ascii="Courier New"/>
                <w:sz w:val="22"/>
              </w:rPr>
            </w:pPr>
          </w:p>
          <w:p>
            <w:pPr>
              <w:pStyle w:val="TableParagraph"/>
              <w:spacing w:line="480" w:lineRule="atLeast" w:before="1"/>
              <w:ind w:left="107" w:right="381"/>
              <w:rPr>
                <w:rFonts w:ascii="Courier New"/>
                <w:b/>
                <w:sz w:val="22"/>
              </w:rPr>
            </w:pPr>
            <w:r>
              <w:rPr>
                <w:rFonts w:ascii="Courier New"/>
                <w:b/>
                <w:sz w:val="22"/>
              </w:rPr>
              <w:t>Beta-carotene p.237</w:t>
            </w:r>
          </w:p>
        </w:tc>
        <w:tc>
          <w:tcPr>
            <w:tcW w:w="1135" w:type="dxa"/>
          </w:tcPr>
          <w:p>
            <w:pPr>
              <w:pStyle w:val="TableParagraph"/>
              <w:rPr>
                <w:rFonts w:ascii="Times New Roman"/>
                <w:sz w:val="22"/>
              </w:rPr>
            </w:pPr>
          </w:p>
        </w:tc>
        <w:tc>
          <w:tcPr>
            <w:tcW w:w="1416" w:type="dxa"/>
          </w:tcPr>
          <w:p>
            <w:pPr>
              <w:pStyle w:val="TableParagraph"/>
              <w:rPr>
                <w:rFonts w:ascii="Times New Roman"/>
                <w:sz w:val="22"/>
              </w:rPr>
            </w:pPr>
          </w:p>
        </w:tc>
        <w:tc>
          <w:tcPr>
            <w:tcW w:w="1418" w:type="dxa"/>
          </w:tcPr>
          <w:p>
            <w:pPr>
              <w:pStyle w:val="TableParagraph"/>
              <w:rPr>
                <w:rFonts w:ascii="Times New Roman"/>
                <w:sz w:val="22"/>
              </w:rPr>
            </w:pPr>
          </w:p>
        </w:tc>
        <w:tc>
          <w:tcPr>
            <w:tcW w:w="1418" w:type="dxa"/>
          </w:tcPr>
          <w:p>
            <w:pPr>
              <w:pStyle w:val="TableParagraph"/>
              <w:rPr>
                <w:rFonts w:ascii="Times New Roman"/>
                <w:sz w:val="22"/>
              </w:rPr>
            </w:pPr>
          </w:p>
        </w:tc>
        <w:tc>
          <w:tcPr>
            <w:tcW w:w="1133" w:type="dxa"/>
          </w:tcPr>
          <w:p>
            <w:pPr>
              <w:pStyle w:val="TableParagraph"/>
              <w:spacing w:before="9"/>
              <w:ind w:left="106"/>
              <w:rPr>
                <w:rFonts w:ascii="Courier New"/>
                <w:sz w:val="32"/>
              </w:rPr>
            </w:pPr>
            <w:r>
              <w:rPr>
                <w:rFonts w:ascii="Courier New"/>
                <w:w w:val="99"/>
                <w:sz w:val="32"/>
              </w:rPr>
              <w:t>x</w:t>
            </w:r>
          </w:p>
        </w:tc>
        <w:tc>
          <w:tcPr>
            <w:tcW w:w="1135" w:type="dxa"/>
          </w:tcPr>
          <w:p>
            <w:pPr>
              <w:pStyle w:val="TableParagraph"/>
              <w:rPr>
                <w:rFonts w:ascii="Times New Roman"/>
                <w:sz w:val="22"/>
              </w:rPr>
            </w:pPr>
          </w:p>
        </w:tc>
        <w:tc>
          <w:tcPr>
            <w:tcW w:w="1274" w:type="dxa"/>
          </w:tcPr>
          <w:p>
            <w:pPr>
              <w:pStyle w:val="TableParagraph"/>
              <w:spacing w:before="9"/>
              <w:ind w:left="107"/>
              <w:rPr>
                <w:rFonts w:ascii="Courier New"/>
                <w:sz w:val="32"/>
              </w:rPr>
            </w:pPr>
            <w:r>
              <w:rPr>
                <w:rFonts w:ascii="Courier New"/>
                <w:w w:val="99"/>
                <w:sz w:val="32"/>
              </w:rPr>
              <w:t>x</w:t>
            </w:r>
          </w:p>
        </w:tc>
        <w:tc>
          <w:tcPr>
            <w:tcW w:w="1277" w:type="dxa"/>
          </w:tcPr>
          <w:p>
            <w:pPr>
              <w:pStyle w:val="TableParagraph"/>
              <w:rPr>
                <w:rFonts w:ascii="Times New Roman"/>
                <w:sz w:val="22"/>
              </w:rPr>
            </w:pPr>
          </w:p>
        </w:tc>
        <w:tc>
          <w:tcPr>
            <w:tcW w:w="1274" w:type="dxa"/>
          </w:tcPr>
          <w:p>
            <w:pPr>
              <w:pStyle w:val="TableParagraph"/>
              <w:rPr>
                <w:rFonts w:ascii="Times New Roman"/>
                <w:sz w:val="22"/>
              </w:rPr>
            </w:pPr>
          </w:p>
        </w:tc>
        <w:tc>
          <w:tcPr>
            <w:tcW w:w="1418" w:type="dxa"/>
          </w:tcPr>
          <w:p>
            <w:pPr>
              <w:pStyle w:val="TableParagraph"/>
              <w:rPr>
                <w:rFonts w:ascii="Times New Roman"/>
                <w:sz w:val="22"/>
              </w:rPr>
            </w:pPr>
          </w:p>
        </w:tc>
        <w:tc>
          <w:tcPr>
            <w:tcW w:w="1276" w:type="dxa"/>
          </w:tcPr>
          <w:p>
            <w:pPr>
              <w:pStyle w:val="TableParagraph"/>
              <w:rPr>
                <w:rFonts w:ascii="Times New Roman"/>
                <w:sz w:val="22"/>
              </w:rPr>
            </w:pPr>
          </w:p>
        </w:tc>
        <w:tc>
          <w:tcPr>
            <w:tcW w:w="1158" w:type="dxa"/>
          </w:tcPr>
          <w:p>
            <w:pPr>
              <w:pStyle w:val="TableParagraph"/>
              <w:rPr>
                <w:rFonts w:ascii="Times New Roman"/>
                <w:sz w:val="22"/>
              </w:rPr>
            </w:pPr>
          </w:p>
        </w:tc>
      </w:tr>
      <w:tr>
        <w:trPr>
          <w:trHeight w:val="1461" w:hRule="atLeast"/>
        </w:trPr>
        <w:tc>
          <w:tcPr>
            <w:tcW w:w="2235" w:type="dxa"/>
            <w:shd w:val="clear" w:color="auto" w:fill="00AFEF"/>
          </w:tcPr>
          <w:p>
            <w:pPr>
              <w:pStyle w:val="TableParagraph"/>
              <w:spacing w:before="3"/>
              <w:rPr>
                <w:rFonts w:ascii="Courier New"/>
                <w:sz w:val="22"/>
              </w:rPr>
            </w:pPr>
          </w:p>
          <w:p>
            <w:pPr>
              <w:pStyle w:val="TableParagraph"/>
              <w:spacing w:line="480" w:lineRule="atLeast" w:before="1"/>
              <w:ind w:left="107" w:right="909"/>
              <w:rPr>
                <w:rFonts w:ascii="Courier New"/>
                <w:b/>
                <w:sz w:val="22"/>
              </w:rPr>
            </w:pPr>
            <w:r>
              <w:rPr>
                <w:rFonts w:ascii="Courier New"/>
                <w:b/>
                <w:sz w:val="22"/>
              </w:rPr>
              <w:t>Colostrum p.264</w:t>
            </w:r>
          </w:p>
        </w:tc>
        <w:tc>
          <w:tcPr>
            <w:tcW w:w="1135" w:type="dxa"/>
          </w:tcPr>
          <w:p>
            <w:pPr>
              <w:pStyle w:val="TableParagraph"/>
              <w:rPr>
                <w:rFonts w:ascii="Times New Roman"/>
                <w:sz w:val="22"/>
              </w:rPr>
            </w:pPr>
          </w:p>
        </w:tc>
        <w:tc>
          <w:tcPr>
            <w:tcW w:w="1416" w:type="dxa"/>
          </w:tcPr>
          <w:p>
            <w:pPr>
              <w:pStyle w:val="TableParagraph"/>
              <w:rPr>
                <w:rFonts w:ascii="Times New Roman"/>
                <w:sz w:val="22"/>
              </w:rPr>
            </w:pPr>
          </w:p>
        </w:tc>
        <w:tc>
          <w:tcPr>
            <w:tcW w:w="1418" w:type="dxa"/>
          </w:tcPr>
          <w:p>
            <w:pPr>
              <w:pStyle w:val="TableParagraph"/>
              <w:rPr>
                <w:rFonts w:ascii="Times New Roman"/>
                <w:sz w:val="22"/>
              </w:rPr>
            </w:pPr>
          </w:p>
        </w:tc>
        <w:tc>
          <w:tcPr>
            <w:tcW w:w="1418" w:type="dxa"/>
          </w:tcPr>
          <w:p>
            <w:pPr>
              <w:pStyle w:val="TableParagraph"/>
              <w:rPr>
                <w:rFonts w:ascii="Times New Roman"/>
                <w:sz w:val="22"/>
              </w:rPr>
            </w:pPr>
          </w:p>
        </w:tc>
        <w:tc>
          <w:tcPr>
            <w:tcW w:w="1133" w:type="dxa"/>
          </w:tcPr>
          <w:p>
            <w:pPr>
              <w:pStyle w:val="TableParagraph"/>
              <w:rPr>
                <w:rFonts w:ascii="Times New Roman"/>
                <w:sz w:val="22"/>
              </w:rPr>
            </w:pPr>
          </w:p>
        </w:tc>
        <w:tc>
          <w:tcPr>
            <w:tcW w:w="1135" w:type="dxa"/>
          </w:tcPr>
          <w:p>
            <w:pPr>
              <w:pStyle w:val="TableParagraph"/>
              <w:spacing w:before="9"/>
              <w:ind w:left="109"/>
              <w:rPr>
                <w:rFonts w:ascii="Courier New"/>
                <w:sz w:val="32"/>
              </w:rPr>
            </w:pPr>
            <w:r>
              <w:rPr>
                <w:rFonts w:ascii="Courier New"/>
                <w:w w:val="99"/>
                <w:sz w:val="32"/>
              </w:rPr>
              <w:t>x</w:t>
            </w:r>
          </w:p>
        </w:tc>
        <w:tc>
          <w:tcPr>
            <w:tcW w:w="1274" w:type="dxa"/>
          </w:tcPr>
          <w:p>
            <w:pPr>
              <w:pStyle w:val="TableParagraph"/>
              <w:spacing w:before="9"/>
              <w:ind w:left="107"/>
              <w:rPr>
                <w:rFonts w:ascii="Courier New"/>
                <w:sz w:val="32"/>
              </w:rPr>
            </w:pPr>
            <w:r>
              <w:rPr>
                <w:rFonts w:ascii="Courier New"/>
                <w:w w:val="99"/>
                <w:sz w:val="32"/>
              </w:rPr>
              <w:t>x</w:t>
            </w:r>
          </w:p>
        </w:tc>
        <w:tc>
          <w:tcPr>
            <w:tcW w:w="1277" w:type="dxa"/>
          </w:tcPr>
          <w:p>
            <w:pPr>
              <w:pStyle w:val="TableParagraph"/>
              <w:spacing w:before="9"/>
              <w:ind w:left="110"/>
              <w:rPr>
                <w:rFonts w:ascii="Courier New"/>
                <w:sz w:val="32"/>
              </w:rPr>
            </w:pPr>
            <w:r>
              <w:rPr>
                <w:rFonts w:ascii="Courier New"/>
                <w:w w:val="99"/>
                <w:sz w:val="32"/>
              </w:rPr>
              <w:t>x</w:t>
            </w:r>
          </w:p>
        </w:tc>
        <w:tc>
          <w:tcPr>
            <w:tcW w:w="1274" w:type="dxa"/>
          </w:tcPr>
          <w:p>
            <w:pPr>
              <w:pStyle w:val="TableParagraph"/>
              <w:rPr>
                <w:rFonts w:ascii="Times New Roman"/>
                <w:sz w:val="22"/>
              </w:rPr>
            </w:pPr>
          </w:p>
        </w:tc>
        <w:tc>
          <w:tcPr>
            <w:tcW w:w="1418" w:type="dxa"/>
          </w:tcPr>
          <w:p>
            <w:pPr>
              <w:pStyle w:val="TableParagraph"/>
              <w:rPr>
                <w:rFonts w:ascii="Times New Roman"/>
                <w:sz w:val="22"/>
              </w:rPr>
            </w:pPr>
          </w:p>
        </w:tc>
        <w:tc>
          <w:tcPr>
            <w:tcW w:w="1276" w:type="dxa"/>
          </w:tcPr>
          <w:p>
            <w:pPr>
              <w:pStyle w:val="TableParagraph"/>
              <w:spacing w:before="9"/>
              <w:ind w:left="109"/>
              <w:rPr>
                <w:rFonts w:ascii="Courier New"/>
                <w:sz w:val="32"/>
              </w:rPr>
            </w:pPr>
            <w:r>
              <w:rPr>
                <w:rFonts w:ascii="Courier New"/>
                <w:w w:val="99"/>
                <w:sz w:val="32"/>
              </w:rPr>
              <w:t>x</w:t>
            </w:r>
          </w:p>
        </w:tc>
        <w:tc>
          <w:tcPr>
            <w:tcW w:w="1158" w:type="dxa"/>
          </w:tcPr>
          <w:p>
            <w:pPr>
              <w:pStyle w:val="TableParagraph"/>
              <w:rPr>
                <w:rFonts w:ascii="Times New Roman"/>
                <w:sz w:val="22"/>
              </w:rPr>
            </w:pPr>
          </w:p>
        </w:tc>
      </w:tr>
      <w:tr>
        <w:trPr>
          <w:trHeight w:val="1458" w:hRule="atLeast"/>
        </w:trPr>
        <w:tc>
          <w:tcPr>
            <w:tcW w:w="2235" w:type="dxa"/>
            <w:shd w:val="clear" w:color="auto" w:fill="00AFEF"/>
          </w:tcPr>
          <w:p>
            <w:pPr>
              <w:pStyle w:val="TableParagraph"/>
              <w:spacing w:before="3"/>
              <w:rPr>
                <w:rFonts w:ascii="Courier New"/>
                <w:sz w:val="22"/>
              </w:rPr>
            </w:pPr>
          </w:p>
          <w:p>
            <w:pPr>
              <w:pStyle w:val="TableParagraph"/>
              <w:spacing w:line="480" w:lineRule="atLeast" w:before="1"/>
              <w:ind w:left="107" w:right="1173"/>
              <w:rPr>
                <w:rFonts w:ascii="Courier New"/>
                <w:b/>
                <w:sz w:val="22"/>
              </w:rPr>
            </w:pPr>
            <w:r>
              <w:rPr>
                <w:rFonts w:ascii="Courier New"/>
                <w:b/>
                <w:sz w:val="22"/>
              </w:rPr>
              <w:t>Cucumin p.328</w:t>
            </w:r>
          </w:p>
        </w:tc>
        <w:tc>
          <w:tcPr>
            <w:tcW w:w="1135" w:type="dxa"/>
          </w:tcPr>
          <w:p>
            <w:pPr>
              <w:pStyle w:val="TableParagraph"/>
              <w:spacing w:before="9"/>
              <w:ind w:left="107"/>
              <w:rPr>
                <w:rFonts w:ascii="Courier New"/>
                <w:sz w:val="32"/>
              </w:rPr>
            </w:pPr>
            <w:r>
              <w:rPr>
                <w:rFonts w:ascii="Courier New"/>
                <w:w w:val="99"/>
                <w:sz w:val="32"/>
              </w:rPr>
              <w:t>x</w:t>
            </w:r>
          </w:p>
        </w:tc>
        <w:tc>
          <w:tcPr>
            <w:tcW w:w="1416" w:type="dxa"/>
          </w:tcPr>
          <w:p>
            <w:pPr>
              <w:pStyle w:val="TableParagraph"/>
              <w:spacing w:before="9"/>
              <w:ind w:left="105"/>
              <w:rPr>
                <w:rFonts w:ascii="Courier New"/>
                <w:sz w:val="32"/>
              </w:rPr>
            </w:pPr>
            <w:r>
              <w:rPr>
                <w:rFonts w:ascii="Courier New"/>
                <w:w w:val="99"/>
                <w:sz w:val="32"/>
              </w:rPr>
              <w:t>x</w:t>
            </w:r>
          </w:p>
        </w:tc>
        <w:tc>
          <w:tcPr>
            <w:tcW w:w="1418" w:type="dxa"/>
          </w:tcPr>
          <w:p>
            <w:pPr>
              <w:pStyle w:val="TableParagraph"/>
              <w:spacing w:before="9"/>
              <w:ind w:left="108"/>
              <w:rPr>
                <w:rFonts w:ascii="Courier New"/>
                <w:sz w:val="32"/>
              </w:rPr>
            </w:pPr>
            <w:r>
              <w:rPr>
                <w:rFonts w:ascii="Courier New"/>
                <w:w w:val="99"/>
                <w:sz w:val="32"/>
              </w:rPr>
              <w:t>x</w:t>
            </w:r>
          </w:p>
        </w:tc>
        <w:tc>
          <w:tcPr>
            <w:tcW w:w="1418" w:type="dxa"/>
          </w:tcPr>
          <w:p>
            <w:pPr>
              <w:pStyle w:val="TableParagraph"/>
              <w:rPr>
                <w:rFonts w:ascii="Times New Roman"/>
                <w:sz w:val="22"/>
              </w:rPr>
            </w:pPr>
          </w:p>
        </w:tc>
        <w:tc>
          <w:tcPr>
            <w:tcW w:w="1133" w:type="dxa"/>
          </w:tcPr>
          <w:p>
            <w:pPr>
              <w:pStyle w:val="TableParagraph"/>
              <w:rPr>
                <w:rFonts w:ascii="Times New Roman"/>
                <w:sz w:val="22"/>
              </w:rPr>
            </w:pPr>
          </w:p>
        </w:tc>
        <w:tc>
          <w:tcPr>
            <w:tcW w:w="1135" w:type="dxa"/>
          </w:tcPr>
          <w:p>
            <w:pPr>
              <w:pStyle w:val="TableParagraph"/>
              <w:rPr>
                <w:rFonts w:ascii="Times New Roman"/>
                <w:sz w:val="22"/>
              </w:rPr>
            </w:pPr>
          </w:p>
        </w:tc>
        <w:tc>
          <w:tcPr>
            <w:tcW w:w="1274" w:type="dxa"/>
          </w:tcPr>
          <w:p>
            <w:pPr>
              <w:pStyle w:val="TableParagraph"/>
              <w:spacing w:before="9"/>
              <w:ind w:left="107"/>
              <w:rPr>
                <w:rFonts w:ascii="Courier New"/>
                <w:sz w:val="32"/>
              </w:rPr>
            </w:pPr>
            <w:r>
              <w:rPr>
                <w:rFonts w:ascii="Courier New"/>
                <w:w w:val="99"/>
                <w:sz w:val="32"/>
              </w:rPr>
              <w:t>x</w:t>
            </w:r>
          </w:p>
        </w:tc>
        <w:tc>
          <w:tcPr>
            <w:tcW w:w="1277" w:type="dxa"/>
          </w:tcPr>
          <w:p>
            <w:pPr>
              <w:pStyle w:val="TableParagraph"/>
              <w:rPr>
                <w:rFonts w:ascii="Times New Roman"/>
                <w:sz w:val="22"/>
              </w:rPr>
            </w:pPr>
          </w:p>
        </w:tc>
        <w:tc>
          <w:tcPr>
            <w:tcW w:w="1274" w:type="dxa"/>
          </w:tcPr>
          <w:p>
            <w:pPr>
              <w:pStyle w:val="TableParagraph"/>
              <w:rPr>
                <w:rFonts w:ascii="Times New Roman"/>
                <w:sz w:val="22"/>
              </w:rPr>
            </w:pPr>
          </w:p>
        </w:tc>
        <w:tc>
          <w:tcPr>
            <w:tcW w:w="1418" w:type="dxa"/>
          </w:tcPr>
          <w:p>
            <w:pPr>
              <w:pStyle w:val="TableParagraph"/>
              <w:spacing w:before="9"/>
              <w:ind w:left="110"/>
              <w:rPr>
                <w:rFonts w:ascii="Courier New"/>
                <w:sz w:val="32"/>
              </w:rPr>
            </w:pPr>
            <w:r>
              <w:rPr>
                <w:rFonts w:ascii="Courier New"/>
                <w:w w:val="99"/>
                <w:sz w:val="32"/>
              </w:rPr>
              <w:t>x</w:t>
            </w:r>
          </w:p>
        </w:tc>
        <w:tc>
          <w:tcPr>
            <w:tcW w:w="1276" w:type="dxa"/>
          </w:tcPr>
          <w:p>
            <w:pPr>
              <w:pStyle w:val="TableParagraph"/>
              <w:rPr>
                <w:rFonts w:ascii="Times New Roman"/>
                <w:sz w:val="22"/>
              </w:rPr>
            </w:pPr>
          </w:p>
        </w:tc>
        <w:tc>
          <w:tcPr>
            <w:tcW w:w="1158" w:type="dxa"/>
          </w:tcPr>
          <w:p>
            <w:pPr>
              <w:pStyle w:val="TableParagraph"/>
              <w:rPr>
                <w:rFonts w:ascii="Times New Roman"/>
                <w:sz w:val="22"/>
              </w:rPr>
            </w:pPr>
          </w:p>
        </w:tc>
      </w:tr>
      <w:tr>
        <w:trPr>
          <w:trHeight w:val="984" w:hRule="atLeast"/>
        </w:trPr>
        <w:tc>
          <w:tcPr>
            <w:tcW w:w="2235" w:type="dxa"/>
            <w:shd w:val="clear" w:color="auto" w:fill="00AFEF"/>
          </w:tcPr>
          <w:p>
            <w:pPr>
              <w:pStyle w:val="TableParagraph"/>
              <w:rPr>
                <w:rFonts w:ascii="Courier New"/>
                <w:sz w:val="24"/>
              </w:rPr>
            </w:pPr>
          </w:p>
          <w:p>
            <w:pPr>
              <w:pStyle w:val="TableParagraph"/>
              <w:spacing w:before="212"/>
              <w:ind w:left="107"/>
              <w:rPr>
                <w:rFonts w:ascii="Courier New"/>
                <w:b/>
                <w:sz w:val="22"/>
              </w:rPr>
            </w:pPr>
            <w:r>
              <w:rPr>
                <w:rFonts w:ascii="Courier New"/>
                <w:b/>
                <w:sz w:val="22"/>
              </w:rPr>
              <w:t>DHEA</w:t>
            </w:r>
          </w:p>
        </w:tc>
        <w:tc>
          <w:tcPr>
            <w:tcW w:w="1135" w:type="dxa"/>
          </w:tcPr>
          <w:p>
            <w:pPr>
              <w:pStyle w:val="TableParagraph"/>
              <w:rPr>
                <w:rFonts w:ascii="Times New Roman"/>
                <w:sz w:val="22"/>
              </w:rPr>
            </w:pPr>
          </w:p>
        </w:tc>
        <w:tc>
          <w:tcPr>
            <w:tcW w:w="1416" w:type="dxa"/>
          </w:tcPr>
          <w:p>
            <w:pPr>
              <w:pStyle w:val="TableParagraph"/>
              <w:rPr>
                <w:rFonts w:ascii="Times New Roman"/>
                <w:sz w:val="22"/>
              </w:rPr>
            </w:pPr>
          </w:p>
        </w:tc>
        <w:tc>
          <w:tcPr>
            <w:tcW w:w="1418" w:type="dxa"/>
          </w:tcPr>
          <w:p>
            <w:pPr>
              <w:pStyle w:val="TableParagraph"/>
              <w:rPr>
                <w:rFonts w:ascii="Times New Roman"/>
                <w:sz w:val="22"/>
              </w:rPr>
            </w:pPr>
          </w:p>
        </w:tc>
        <w:tc>
          <w:tcPr>
            <w:tcW w:w="1418" w:type="dxa"/>
          </w:tcPr>
          <w:p>
            <w:pPr>
              <w:pStyle w:val="TableParagraph"/>
              <w:rPr>
                <w:rFonts w:ascii="Times New Roman"/>
                <w:sz w:val="22"/>
              </w:rPr>
            </w:pPr>
          </w:p>
        </w:tc>
        <w:tc>
          <w:tcPr>
            <w:tcW w:w="1133" w:type="dxa"/>
          </w:tcPr>
          <w:p>
            <w:pPr>
              <w:pStyle w:val="TableParagraph"/>
              <w:rPr>
                <w:rFonts w:ascii="Times New Roman"/>
                <w:sz w:val="22"/>
              </w:rPr>
            </w:pPr>
          </w:p>
        </w:tc>
        <w:tc>
          <w:tcPr>
            <w:tcW w:w="1135" w:type="dxa"/>
          </w:tcPr>
          <w:p>
            <w:pPr>
              <w:pStyle w:val="TableParagraph"/>
              <w:rPr>
                <w:rFonts w:ascii="Times New Roman"/>
                <w:sz w:val="22"/>
              </w:rPr>
            </w:pPr>
          </w:p>
        </w:tc>
        <w:tc>
          <w:tcPr>
            <w:tcW w:w="1274" w:type="dxa"/>
          </w:tcPr>
          <w:p>
            <w:pPr>
              <w:pStyle w:val="TableParagraph"/>
              <w:rPr>
                <w:rFonts w:ascii="Times New Roman"/>
                <w:sz w:val="22"/>
              </w:rPr>
            </w:pPr>
          </w:p>
        </w:tc>
        <w:tc>
          <w:tcPr>
            <w:tcW w:w="1277" w:type="dxa"/>
          </w:tcPr>
          <w:p>
            <w:pPr>
              <w:pStyle w:val="TableParagraph"/>
              <w:rPr>
                <w:rFonts w:ascii="Times New Roman"/>
                <w:sz w:val="22"/>
              </w:rPr>
            </w:pPr>
          </w:p>
        </w:tc>
        <w:tc>
          <w:tcPr>
            <w:tcW w:w="1274" w:type="dxa"/>
          </w:tcPr>
          <w:p>
            <w:pPr>
              <w:pStyle w:val="TableParagraph"/>
              <w:rPr>
                <w:rFonts w:ascii="Times New Roman"/>
                <w:sz w:val="22"/>
              </w:rPr>
            </w:pPr>
          </w:p>
        </w:tc>
        <w:tc>
          <w:tcPr>
            <w:tcW w:w="1418" w:type="dxa"/>
          </w:tcPr>
          <w:p>
            <w:pPr>
              <w:pStyle w:val="TableParagraph"/>
              <w:rPr>
                <w:rFonts w:ascii="Times New Roman"/>
                <w:sz w:val="22"/>
              </w:rPr>
            </w:pPr>
          </w:p>
        </w:tc>
        <w:tc>
          <w:tcPr>
            <w:tcW w:w="1276" w:type="dxa"/>
          </w:tcPr>
          <w:p>
            <w:pPr>
              <w:pStyle w:val="TableParagraph"/>
              <w:spacing w:before="9"/>
              <w:ind w:left="109"/>
              <w:rPr>
                <w:rFonts w:ascii="Courier New"/>
                <w:sz w:val="32"/>
              </w:rPr>
            </w:pPr>
            <w:r>
              <w:rPr>
                <w:rFonts w:ascii="Courier New"/>
                <w:w w:val="99"/>
                <w:sz w:val="32"/>
              </w:rPr>
              <w:t>x</w:t>
            </w:r>
          </w:p>
        </w:tc>
        <w:tc>
          <w:tcPr>
            <w:tcW w:w="1158" w:type="dxa"/>
          </w:tcPr>
          <w:p>
            <w:pPr>
              <w:pStyle w:val="TableParagraph"/>
              <w:rPr>
                <w:rFonts w:ascii="Times New Roman"/>
                <w:sz w:val="22"/>
              </w:rPr>
            </w:pPr>
          </w:p>
        </w:tc>
      </w:tr>
    </w:tbl>
    <w:p>
      <w:pPr>
        <w:spacing w:after="0"/>
        <w:rPr>
          <w:rFonts w:ascii="Times New Roman"/>
          <w:sz w:val="22"/>
        </w:rPr>
        <w:sectPr>
          <w:pgSz w:w="18630" w:h="11910" w:orient="landscape"/>
          <w:pgMar w:header="0" w:footer="404" w:top="840" w:bottom="600" w:left="740" w:right="8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5"/>
        <w:gridCol w:w="1135"/>
        <w:gridCol w:w="1416"/>
        <w:gridCol w:w="1418"/>
        <w:gridCol w:w="1418"/>
        <w:gridCol w:w="1133"/>
        <w:gridCol w:w="1135"/>
        <w:gridCol w:w="1274"/>
        <w:gridCol w:w="1277"/>
        <w:gridCol w:w="1274"/>
        <w:gridCol w:w="1418"/>
        <w:gridCol w:w="1276"/>
        <w:gridCol w:w="1158"/>
      </w:tblGrid>
      <w:tr>
        <w:trPr>
          <w:trHeight w:val="983" w:hRule="atLeast"/>
        </w:trPr>
        <w:tc>
          <w:tcPr>
            <w:tcW w:w="2235" w:type="dxa"/>
            <w:shd w:val="clear" w:color="auto" w:fill="00AFEF"/>
          </w:tcPr>
          <w:p>
            <w:pPr>
              <w:pStyle w:val="TableParagraph"/>
              <w:spacing w:line="246" w:lineRule="exact"/>
              <w:ind w:left="107"/>
              <w:rPr>
                <w:rFonts w:ascii="Courier New"/>
                <w:b/>
                <w:sz w:val="22"/>
              </w:rPr>
            </w:pPr>
            <w:r>
              <w:rPr>
                <w:rFonts w:ascii="Courier New"/>
                <w:b/>
                <w:sz w:val="22"/>
              </w:rPr>
              <w:t>p.378</w:t>
            </w:r>
          </w:p>
        </w:tc>
        <w:tc>
          <w:tcPr>
            <w:tcW w:w="1135" w:type="dxa"/>
          </w:tcPr>
          <w:p>
            <w:pPr>
              <w:pStyle w:val="TableParagraph"/>
              <w:rPr>
                <w:rFonts w:ascii="Times New Roman"/>
                <w:sz w:val="22"/>
              </w:rPr>
            </w:pPr>
          </w:p>
        </w:tc>
        <w:tc>
          <w:tcPr>
            <w:tcW w:w="1416" w:type="dxa"/>
          </w:tcPr>
          <w:p>
            <w:pPr>
              <w:pStyle w:val="TableParagraph"/>
              <w:rPr>
                <w:rFonts w:ascii="Times New Roman"/>
                <w:sz w:val="22"/>
              </w:rPr>
            </w:pPr>
          </w:p>
        </w:tc>
        <w:tc>
          <w:tcPr>
            <w:tcW w:w="1418" w:type="dxa"/>
          </w:tcPr>
          <w:p>
            <w:pPr>
              <w:pStyle w:val="TableParagraph"/>
              <w:rPr>
                <w:rFonts w:ascii="Times New Roman"/>
                <w:sz w:val="22"/>
              </w:rPr>
            </w:pPr>
          </w:p>
        </w:tc>
        <w:tc>
          <w:tcPr>
            <w:tcW w:w="1418" w:type="dxa"/>
          </w:tcPr>
          <w:p>
            <w:pPr>
              <w:pStyle w:val="TableParagraph"/>
              <w:rPr>
                <w:rFonts w:ascii="Times New Roman"/>
                <w:sz w:val="22"/>
              </w:rPr>
            </w:pPr>
          </w:p>
        </w:tc>
        <w:tc>
          <w:tcPr>
            <w:tcW w:w="1133" w:type="dxa"/>
          </w:tcPr>
          <w:p>
            <w:pPr>
              <w:pStyle w:val="TableParagraph"/>
              <w:rPr>
                <w:rFonts w:ascii="Times New Roman"/>
                <w:sz w:val="22"/>
              </w:rPr>
            </w:pPr>
          </w:p>
        </w:tc>
        <w:tc>
          <w:tcPr>
            <w:tcW w:w="1135" w:type="dxa"/>
          </w:tcPr>
          <w:p>
            <w:pPr>
              <w:pStyle w:val="TableParagraph"/>
              <w:rPr>
                <w:rFonts w:ascii="Times New Roman"/>
                <w:sz w:val="22"/>
              </w:rPr>
            </w:pPr>
          </w:p>
        </w:tc>
        <w:tc>
          <w:tcPr>
            <w:tcW w:w="1274" w:type="dxa"/>
          </w:tcPr>
          <w:p>
            <w:pPr>
              <w:pStyle w:val="TableParagraph"/>
              <w:rPr>
                <w:rFonts w:ascii="Times New Roman"/>
                <w:sz w:val="22"/>
              </w:rPr>
            </w:pPr>
          </w:p>
        </w:tc>
        <w:tc>
          <w:tcPr>
            <w:tcW w:w="1277" w:type="dxa"/>
          </w:tcPr>
          <w:p>
            <w:pPr>
              <w:pStyle w:val="TableParagraph"/>
              <w:rPr>
                <w:rFonts w:ascii="Times New Roman"/>
                <w:sz w:val="22"/>
              </w:rPr>
            </w:pPr>
          </w:p>
        </w:tc>
        <w:tc>
          <w:tcPr>
            <w:tcW w:w="1274" w:type="dxa"/>
          </w:tcPr>
          <w:p>
            <w:pPr>
              <w:pStyle w:val="TableParagraph"/>
              <w:rPr>
                <w:rFonts w:ascii="Times New Roman"/>
                <w:sz w:val="22"/>
              </w:rPr>
            </w:pPr>
          </w:p>
        </w:tc>
        <w:tc>
          <w:tcPr>
            <w:tcW w:w="1418" w:type="dxa"/>
          </w:tcPr>
          <w:p>
            <w:pPr>
              <w:pStyle w:val="TableParagraph"/>
              <w:rPr>
                <w:rFonts w:ascii="Times New Roman"/>
                <w:sz w:val="22"/>
              </w:rPr>
            </w:pPr>
          </w:p>
        </w:tc>
        <w:tc>
          <w:tcPr>
            <w:tcW w:w="1276" w:type="dxa"/>
          </w:tcPr>
          <w:p>
            <w:pPr>
              <w:pStyle w:val="TableParagraph"/>
              <w:rPr>
                <w:rFonts w:ascii="Times New Roman"/>
                <w:sz w:val="22"/>
              </w:rPr>
            </w:pPr>
          </w:p>
        </w:tc>
        <w:tc>
          <w:tcPr>
            <w:tcW w:w="1158" w:type="dxa"/>
          </w:tcPr>
          <w:p>
            <w:pPr>
              <w:pStyle w:val="TableParagraph"/>
              <w:rPr>
                <w:rFonts w:ascii="Times New Roman"/>
                <w:sz w:val="22"/>
              </w:rPr>
            </w:pPr>
          </w:p>
        </w:tc>
      </w:tr>
      <w:tr>
        <w:trPr>
          <w:trHeight w:val="1458" w:hRule="atLeast"/>
        </w:trPr>
        <w:tc>
          <w:tcPr>
            <w:tcW w:w="2235" w:type="dxa"/>
            <w:shd w:val="clear" w:color="auto" w:fill="00AFEF"/>
          </w:tcPr>
          <w:p>
            <w:pPr>
              <w:pStyle w:val="TableParagraph"/>
              <w:spacing w:before="3"/>
              <w:rPr>
                <w:rFonts w:ascii="Courier New"/>
                <w:sz w:val="22"/>
              </w:rPr>
            </w:pPr>
          </w:p>
          <w:p>
            <w:pPr>
              <w:pStyle w:val="TableParagraph"/>
              <w:spacing w:line="480" w:lineRule="atLeast" w:before="1"/>
              <w:ind w:left="107" w:right="381"/>
              <w:rPr>
                <w:rFonts w:ascii="Courier New"/>
                <w:b/>
                <w:sz w:val="22"/>
              </w:rPr>
            </w:pPr>
            <w:r>
              <w:rPr>
                <w:rFonts w:ascii="Courier New"/>
                <w:b/>
                <w:sz w:val="22"/>
              </w:rPr>
              <w:t>Ginkgo-Biloba p.398</w:t>
            </w:r>
          </w:p>
        </w:tc>
        <w:tc>
          <w:tcPr>
            <w:tcW w:w="1135" w:type="dxa"/>
          </w:tcPr>
          <w:p>
            <w:pPr>
              <w:pStyle w:val="TableParagraph"/>
              <w:spacing w:before="9"/>
              <w:ind w:left="107"/>
              <w:rPr>
                <w:rFonts w:ascii="Courier New"/>
                <w:sz w:val="32"/>
              </w:rPr>
            </w:pPr>
            <w:r>
              <w:rPr>
                <w:rFonts w:ascii="Courier New"/>
                <w:w w:val="99"/>
                <w:sz w:val="32"/>
              </w:rPr>
              <w:t>x</w:t>
            </w:r>
          </w:p>
        </w:tc>
        <w:tc>
          <w:tcPr>
            <w:tcW w:w="1416" w:type="dxa"/>
          </w:tcPr>
          <w:p>
            <w:pPr>
              <w:pStyle w:val="TableParagraph"/>
              <w:rPr>
                <w:rFonts w:ascii="Times New Roman"/>
                <w:sz w:val="22"/>
              </w:rPr>
            </w:pPr>
          </w:p>
        </w:tc>
        <w:tc>
          <w:tcPr>
            <w:tcW w:w="1418" w:type="dxa"/>
          </w:tcPr>
          <w:p>
            <w:pPr>
              <w:pStyle w:val="TableParagraph"/>
              <w:rPr>
                <w:rFonts w:ascii="Times New Roman"/>
                <w:sz w:val="22"/>
              </w:rPr>
            </w:pPr>
          </w:p>
        </w:tc>
        <w:tc>
          <w:tcPr>
            <w:tcW w:w="1418" w:type="dxa"/>
          </w:tcPr>
          <w:p>
            <w:pPr>
              <w:pStyle w:val="TableParagraph"/>
              <w:spacing w:before="9"/>
              <w:ind w:left="108"/>
              <w:rPr>
                <w:rFonts w:ascii="Courier New"/>
                <w:sz w:val="32"/>
              </w:rPr>
            </w:pPr>
            <w:r>
              <w:rPr>
                <w:rFonts w:ascii="Courier New"/>
                <w:w w:val="99"/>
                <w:sz w:val="32"/>
              </w:rPr>
              <w:t>x</w:t>
            </w:r>
          </w:p>
        </w:tc>
        <w:tc>
          <w:tcPr>
            <w:tcW w:w="1133" w:type="dxa"/>
          </w:tcPr>
          <w:p>
            <w:pPr>
              <w:pStyle w:val="TableParagraph"/>
              <w:rPr>
                <w:rFonts w:ascii="Times New Roman"/>
                <w:sz w:val="22"/>
              </w:rPr>
            </w:pPr>
          </w:p>
        </w:tc>
        <w:tc>
          <w:tcPr>
            <w:tcW w:w="1135" w:type="dxa"/>
          </w:tcPr>
          <w:p>
            <w:pPr>
              <w:pStyle w:val="TableParagraph"/>
              <w:rPr>
                <w:rFonts w:ascii="Times New Roman"/>
                <w:sz w:val="22"/>
              </w:rPr>
            </w:pPr>
          </w:p>
        </w:tc>
        <w:tc>
          <w:tcPr>
            <w:tcW w:w="1274" w:type="dxa"/>
          </w:tcPr>
          <w:p>
            <w:pPr>
              <w:pStyle w:val="TableParagraph"/>
              <w:spacing w:before="9"/>
              <w:ind w:left="107"/>
              <w:rPr>
                <w:rFonts w:ascii="Courier New"/>
                <w:sz w:val="32"/>
              </w:rPr>
            </w:pPr>
            <w:r>
              <w:rPr>
                <w:rFonts w:ascii="Courier New"/>
                <w:w w:val="99"/>
                <w:sz w:val="32"/>
              </w:rPr>
              <w:t>x</w:t>
            </w:r>
          </w:p>
        </w:tc>
        <w:tc>
          <w:tcPr>
            <w:tcW w:w="1277" w:type="dxa"/>
          </w:tcPr>
          <w:p>
            <w:pPr>
              <w:pStyle w:val="TableParagraph"/>
              <w:spacing w:before="9"/>
              <w:ind w:left="110"/>
              <w:rPr>
                <w:rFonts w:ascii="Courier New"/>
                <w:sz w:val="32"/>
              </w:rPr>
            </w:pPr>
            <w:r>
              <w:rPr>
                <w:rFonts w:ascii="Courier New"/>
                <w:w w:val="99"/>
                <w:sz w:val="32"/>
              </w:rPr>
              <w:t>x</w:t>
            </w:r>
          </w:p>
        </w:tc>
        <w:tc>
          <w:tcPr>
            <w:tcW w:w="1274" w:type="dxa"/>
          </w:tcPr>
          <w:p>
            <w:pPr>
              <w:pStyle w:val="TableParagraph"/>
              <w:rPr>
                <w:rFonts w:ascii="Times New Roman"/>
                <w:sz w:val="22"/>
              </w:rPr>
            </w:pPr>
          </w:p>
        </w:tc>
        <w:tc>
          <w:tcPr>
            <w:tcW w:w="1418" w:type="dxa"/>
          </w:tcPr>
          <w:p>
            <w:pPr>
              <w:pStyle w:val="TableParagraph"/>
              <w:rPr>
                <w:rFonts w:ascii="Times New Roman"/>
                <w:sz w:val="22"/>
              </w:rPr>
            </w:pPr>
          </w:p>
        </w:tc>
        <w:tc>
          <w:tcPr>
            <w:tcW w:w="1276" w:type="dxa"/>
          </w:tcPr>
          <w:p>
            <w:pPr>
              <w:pStyle w:val="TableParagraph"/>
              <w:rPr>
                <w:rFonts w:ascii="Times New Roman"/>
                <w:sz w:val="22"/>
              </w:rPr>
            </w:pPr>
          </w:p>
        </w:tc>
        <w:tc>
          <w:tcPr>
            <w:tcW w:w="1158" w:type="dxa"/>
          </w:tcPr>
          <w:p>
            <w:pPr>
              <w:pStyle w:val="TableParagraph"/>
              <w:spacing w:before="9"/>
              <w:ind w:left="109"/>
              <w:rPr>
                <w:rFonts w:ascii="Courier New"/>
                <w:sz w:val="32"/>
              </w:rPr>
            </w:pPr>
            <w:r>
              <w:rPr>
                <w:rFonts w:ascii="Courier New"/>
                <w:w w:val="99"/>
                <w:sz w:val="32"/>
              </w:rPr>
              <w:t>x</w:t>
            </w:r>
          </w:p>
        </w:tc>
      </w:tr>
      <w:tr>
        <w:trPr>
          <w:trHeight w:val="1461" w:hRule="atLeast"/>
        </w:trPr>
        <w:tc>
          <w:tcPr>
            <w:tcW w:w="2235" w:type="dxa"/>
            <w:shd w:val="clear" w:color="auto" w:fill="00AFEF"/>
          </w:tcPr>
          <w:p>
            <w:pPr>
              <w:pStyle w:val="TableParagraph"/>
              <w:spacing w:before="4"/>
              <w:rPr>
                <w:rFonts w:ascii="Courier New"/>
                <w:sz w:val="22"/>
              </w:rPr>
            </w:pPr>
          </w:p>
          <w:p>
            <w:pPr>
              <w:pStyle w:val="TableParagraph"/>
              <w:spacing w:line="480" w:lineRule="atLeast"/>
              <w:ind w:left="107" w:right="645"/>
              <w:rPr>
                <w:rFonts w:ascii="Courier New"/>
                <w:b/>
                <w:sz w:val="22"/>
              </w:rPr>
            </w:pPr>
            <w:r>
              <w:rPr>
                <w:rFonts w:ascii="Courier New"/>
                <w:b/>
                <w:sz w:val="22"/>
              </w:rPr>
              <w:t>Pomegranate p.490</w:t>
            </w:r>
          </w:p>
        </w:tc>
        <w:tc>
          <w:tcPr>
            <w:tcW w:w="1135" w:type="dxa"/>
          </w:tcPr>
          <w:p>
            <w:pPr>
              <w:pStyle w:val="TableParagraph"/>
              <w:rPr>
                <w:rFonts w:ascii="Times New Roman"/>
                <w:sz w:val="22"/>
              </w:rPr>
            </w:pPr>
          </w:p>
        </w:tc>
        <w:tc>
          <w:tcPr>
            <w:tcW w:w="1416" w:type="dxa"/>
          </w:tcPr>
          <w:p>
            <w:pPr>
              <w:pStyle w:val="TableParagraph"/>
              <w:rPr>
                <w:rFonts w:ascii="Times New Roman"/>
                <w:sz w:val="22"/>
              </w:rPr>
            </w:pPr>
          </w:p>
        </w:tc>
        <w:tc>
          <w:tcPr>
            <w:tcW w:w="1418" w:type="dxa"/>
          </w:tcPr>
          <w:p>
            <w:pPr>
              <w:pStyle w:val="TableParagraph"/>
              <w:rPr>
                <w:rFonts w:ascii="Times New Roman"/>
                <w:sz w:val="22"/>
              </w:rPr>
            </w:pPr>
          </w:p>
        </w:tc>
        <w:tc>
          <w:tcPr>
            <w:tcW w:w="1418" w:type="dxa"/>
          </w:tcPr>
          <w:p>
            <w:pPr>
              <w:pStyle w:val="TableParagraph"/>
              <w:rPr>
                <w:rFonts w:ascii="Times New Roman"/>
                <w:sz w:val="22"/>
              </w:rPr>
            </w:pPr>
          </w:p>
        </w:tc>
        <w:tc>
          <w:tcPr>
            <w:tcW w:w="1133" w:type="dxa"/>
          </w:tcPr>
          <w:p>
            <w:pPr>
              <w:pStyle w:val="TableParagraph"/>
              <w:rPr>
                <w:rFonts w:ascii="Times New Roman"/>
                <w:sz w:val="22"/>
              </w:rPr>
            </w:pPr>
          </w:p>
        </w:tc>
        <w:tc>
          <w:tcPr>
            <w:tcW w:w="1135" w:type="dxa"/>
          </w:tcPr>
          <w:p>
            <w:pPr>
              <w:pStyle w:val="TableParagraph"/>
              <w:rPr>
                <w:rFonts w:ascii="Times New Roman"/>
                <w:sz w:val="22"/>
              </w:rPr>
            </w:pPr>
          </w:p>
        </w:tc>
        <w:tc>
          <w:tcPr>
            <w:tcW w:w="1274" w:type="dxa"/>
          </w:tcPr>
          <w:p>
            <w:pPr>
              <w:pStyle w:val="TableParagraph"/>
              <w:spacing w:before="9"/>
              <w:ind w:left="107"/>
              <w:rPr>
                <w:rFonts w:ascii="Courier New"/>
                <w:sz w:val="32"/>
              </w:rPr>
            </w:pPr>
            <w:r>
              <w:rPr>
                <w:rFonts w:ascii="Courier New"/>
                <w:w w:val="99"/>
                <w:sz w:val="32"/>
              </w:rPr>
              <w:t>x</w:t>
            </w:r>
          </w:p>
        </w:tc>
        <w:tc>
          <w:tcPr>
            <w:tcW w:w="1277" w:type="dxa"/>
          </w:tcPr>
          <w:p>
            <w:pPr>
              <w:pStyle w:val="TableParagraph"/>
              <w:spacing w:before="9"/>
              <w:ind w:left="110"/>
              <w:rPr>
                <w:rFonts w:ascii="Courier New"/>
                <w:sz w:val="32"/>
              </w:rPr>
            </w:pPr>
            <w:r>
              <w:rPr>
                <w:rFonts w:ascii="Courier New"/>
                <w:w w:val="99"/>
                <w:sz w:val="32"/>
              </w:rPr>
              <w:t>x</w:t>
            </w:r>
          </w:p>
        </w:tc>
        <w:tc>
          <w:tcPr>
            <w:tcW w:w="1274" w:type="dxa"/>
          </w:tcPr>
          <w:p>
            <w:pPr>
              <w:pStyle w:val="TableParagraph"/>
              <w:spacing w:before="9"/>
              <w:ind w:left="107"/>
              <w:rPr>
                <w:rFonts w:ascii="Courier New"/>
                <w:sz w:val="32"/>
              </w:rPr>
            </w:pPr>
            <w:r>
              <w:rPr>
                <w:rFonts w:ascii="Courier New"/>
                <w:w w:val="99"/>
                <w:sz w:val="32"/>
              </w:rPr>
              <w:t>x</w:t>
            </w:r>
          </w:p>
        </w:tc>
        <w:tc>
          <w:tcPr>
            <w:tcW w:w="1418" w:type="dxa"/>
          </w:tcPr>
          <w:p>
            <w:pPr>
              <w:pStyle w:val="TableParagraph"/>
              <w:spacing w:before="9"/>
              <w:ind w:left="110"/>
              <w:rPr>
                <w:rFonts w:ascii="Courier New"/>
                <w:sz w:val="32"/>
              </w:rPr>
            </w:pPr>
            <w:r>
              <w:rPr>
                <w:rFonts w:ascii="Courier New"/>
                <w:w w:val="99"/>
                <w:sz w:val="32"/>
              </w:rPr>
              <w:t>x</w:t>
            </w:r>
          </w:p>
        </w:tc>
        <w:tc>
          <w:tcPr>
            <w:tcW w:w="1276" w:type="dxa"/>
          </w:tcPr>
          <w:p>
            <w:pPr>
              <w:pStyle w:val="TableParagraph"/>
              <w:spacing w:before="9"/>
              <w:ind w:left="109"/>
              <w:rPr>
                <w:rFonts w:ascii="Courier New"/>
                <w:sz w:val="32"/>
              </w:rPr>
            </w:pPr>
            <w:r>
              <w:rPr>
                <w:rFonts w:ascii="Courier New"/>
                <w:w w:val="99"/>
                <w:sz w:val="32"/>
              </w:rPr>
              <w:t>x</w:t>
            </w:r>
          </w:p>
        </w:tc>
        <w:tc>
          <w:tcPr>
            <w:tcW w:w="1158" w:type="dxa"/>
          </w:tcPr>
          <w:p>
            <w:pPr>
              <w:pStyle w:val="TableParagraph"/>
              <w:rPr>
                <w:rFonts w:ascii="Times New Roman"/>
                <w:sz w:val="22"/>
              </w:rPr>
            </w:pPr>
          </w:p>
        </w:tc>
      </w:tr>
      <w:tr>
        <w:trPr>
          <w:trHeight w:val="1458" w:hRule="atLeast"/>
        </w:trPr>
        <w:tc>
          <w:tcPr>
            <w:tcW w:w="2235" w:type="dxa"/>
            <w:shd w:val="clear" w:color="auto" w:fill="00AFEF"/>
          </w:tcPr>
          <w:p>
            <w:pPr>
              <w:pStyle w:val="TableParagraph"/>
              <w:spacing w:before="3"/>
              <w:rPr>
                <w:rFonts w:ascii="Courier New"/>
                <w:sz w:val="22"/>
              </w:rPr>
            </w:pPr>
          </w:p>
          <w:p>
            <w:pPr>
              <w:pStyle w:val="TableParagraph"/>
              <w:spacing w:line="480" w:lineRule="atLeast" w:before="1"/>
              <w:ind w:left="107" w:right="909"/>
              <w:rPr>
                <w:rFonts w:ascii="Courier New"/>
                <w:b/>
                <w:sz w:val="22"/>
              </w:rPr>
            </w:pPr>
            <w:r>
              <w:rPr>
                <w:rFonts w:ascii="Courier New"/>
                <w:b/>
                <w:sz w:val="22"/>
              </w:rPr>
              <w:t>Green Tea p.587</w:t>
            </w:r>
          </w:p>
        </w:tc>
        <w:tc>
          <w:tcPr>
            <w:tcW w:w="1135" w:type="dxa"/>
          </w:tcPr>
          <w:p>
            <w:pPr>
              <w:pStyle w:val="TableParagraph"/>
              <w:rPr>
                <w:rFonts w:ascii="Times New Roman"/>
                <w:sz w:val="22"/>
              </w:rPr>
            </w:pPr>
          </w:p>
        </w:tc>
        <w:tc>
          <w:tcPr>
            <w:tcW w:w="1416" w:type="dxa"/>
          </w:tcPr>
          <w:p>
            <w:pPr>
              <w:pStyle w:val="TableParagraph"/>
              <w:rPr>
                <w:rFonts w:ascii="Times New Roman"/>
                <w:sz w:val="22"/>
              </w:rPr>
            </w:pPr>
          </w:p>
        </w:tc>
        <w:tc>
          <w:tcPr>
            <w:tcW w:w="1418" w:type="dxa"/>
          </w:tcPr>
          <w:p>
            <w:pPr>
              <w:pStyle w:val="TableParagraph"/>
              <w:rPr>
                <w:rFonts w:ascii="Times New Roman"/>
                <w:sz w:val="22"/>
              </w:rPr>
            </w:pPr>
          </w:p>
        </w:tc>
        <w:tc>
          <w:tcPr>
            <w:tcW w:w="1418" w:type="dxa"/>
          </w:tcPr>
          <w:p>
            <w:pPr>
              <w:pStyle w:val="TableParagraph"/>
              <w:rPr>
                <w:rFonts w:ascii="Times New Roman"/>
                <w:sz w:val="22"/>
              </w:rPr>
            </w:pPr>
          </w:p>
        </w:tc>
        <w:tc>
          <w:tcPr>
            <w:tcW w:w="1133" w:type="dxa"/>
          </w:tcPr>
          <w:p>
            <w:pPr>
              <w:pStyle w:val="TableParagraph"/>
              <w:rPr>
                <w:rFonts w:ascii="Times New Roman"/>
                <w:sz w:val="22"/>
              </w:rPr>
            </w:pPr>
          </w:p>
        </w:tc>
        <w:tc>
          <w:tcPr>
            <w:tcW w:w="1135" w:type="dxa"/>
          </w:tcPr>
          <w:p>
            <w:pPr>
              <w:pStyle w:val="TableParagraph"/>
              <w:spacing w:before="9"/>
              <w:ind w:left="109"/>
              <w:rPr>
                <w:rFonts w:ascii="Courier New"/>
                <w:sz w:val="32"/>
              </w:rPr>
            </w:pPr>
            <w:r>
              <w:rPr>
                <w:rFonts w:ascii="Courier New"/>
                <w:w w:val="99"/>
                <w:sz w:val="32"/>
              </w:rPr>
              <w:t>x</w:t>
            </w:r>
          </w:p>
        </w:tc>
        <w:tc>
          <w:tcPr>
            <w:tcW w:w="1274" w:type="dxa"/>
          </w:tcPr>
          <w:p>
            <w:pPr>
              <w:pStyle w:val="TableParagraph"/>
              <w:spacing w:before="9"/>
              <w:ind w:left="107"/>
              <w:rPr>
                <w:rFonts w:ascii="Courier New"/>
                <w:sz w:val="32"/>
              </w:rPr>
            </w:pPr>
            <w:r>
              <w:rPr>
                <w:rFonts w:ascii="Courier New"/>
                <w:w w:val="99"/>
                <w:sz w:val="32"/>
              </w:rPr>
              <w:t>x</w:t>
            </w:r>
          </w:p>
        </w:tc>
        <w:tc>
          <w:tcPr>
            <w:tcW w:w="1277" w:type="dxa"/>
          </w:tcPr>
          <w:p>
            <w:pPr>
              <w:pStyle w:val="TableParagraph"/>
              <w:spacing w:before="9"/>
              <w:ind w:left="110"/>
              <w:rPr>
                <w:rFonts w:ascii="Courier New"/>
                <w:sz w:val="32"/>
              </w:rPr>
            </w:pPr>
            <w:r>
              <w:rPr>
                <w:rFonts w:ascii="Courier New"/>
                <w:w w:val="99"/>
                <w:sz w:val="32"/>
              </w:rPr>
              <w:t>x</w:t>
            </w:r>
          </w:p>
        </w:tc>
        <w:tc>
          <w:tcPr>
            <w:tcW w:w="1274" w:type="dxa"/>
          </w:tcPr>
          <w:p>
            <w:pPr>
              <w:pStyle w:val="TableParagraph"/>
              <w:rPr>
                <w:rFonts w:ascii="Times New Roman"/>
                <w:sz w:val="22"/>
              </w:rPr>
            </w:pPr>
          </w:p>
        </w:tc>
        <w:tc>
          <w:tcPr>
            <w:tcW w:w="1418" w:type="dxa"/>
          </w:tcPr>
          <w:p>
            <w:pPr>
              <w:pStyle w:val="TableParagraph"/>
              <w:rPr>
                <w:rFonts w:ascii="Times New Roman"/>
                <w:sz w:val="22"/>
              </w:rPr>
            </w:pPr>
          </w:p>
        </w:tc>
        <w:tc>
          <w:tcPr>
            <w:tcW w:w="1276" w:type="dxa"/>
          </w:tcPr>
          <w:p>
            <w:pPr>
              <w:pStyle w:val="TableParagraph"/>
              <w:rPr>
                <w:rFonts w:ascii="Times New Roman"/>
                <w:sz w:val="22"/>
              </w:rPr>
            </w:pPr>
          </w:p>
        </w:tc>
        <w:tc>
          <w:tcPr>
            <w:tcW w:w="1158" w:type="dxa"/>
          </w:tcPr>
          <w:p>
            <w:pPr>
              <w:pStyle w:val="TableParagraph"/>
              <w:rPr>
                <w:rFonts w:ascii="Times New Roman"/>
                <w:sz w:val="22"/>
              </w:rPr>
            </w:pPr>
          </w:p>
        </w:tc>
      </w:tr>
      <w:tr>
        <w:trPr>
          <w:trHeight w:val="1459" w:hRule="atLeast"/>
        </w:trPr>
        <w:tc>
          <w:tcPr>
            <w:tcW w:w="2235" w:type="dxa"/>
            <w:shd w:val="clear" w:color="auto" w:fill="00AFEF"/>
          </w:tcPr>
          <w:p>
            <w:pPr>
              <w:pStyle w:val="TableParagraph"/>
              <w:spacing w:before="4"/>
              <w:rPr>
                <w:rFonts w:ascii="Courier New"/>
                <w:sz w:val="22"/>
              </w:rPr>
            </w:pPr>
          </w:p>
          <w:p>
            <w:pPr>
              <w:pStyle w:val="TableParagraph"/>
              <w:spacing w:line="480" w:lineRule="atLeast"/>
              <w:ind w:left="107" w:right="513"/>
              <w:rPr>
                <w:rFonts w:ascii="Courier New"/>
                <w:b/>
                <w:sz w:val="22"/>
              </w:rPr>
            </w:pPr>
            <w:r>
              <w:rPr>
                <w:rFonts w:ascii="Courier New"/>
                <w:b/>
                <w:sz w:val="22"/>
              </w:rPr>
              <w:t>Kombucha-Tea p.731</w:t>
            </w:r>
          </w:p>
        </w:tc>
        <w:tc>
          <w:tcPr>
            <w:tcW w:w="1135" w:type="dxa"/>
          </w:tcPr>
          <w:p>
            <w:pPr>
              <w:pStyle w:val="TableParagraph"/>
              <w:rPr>
                <w:rFonts w:ascii="Times New Roman"/>
                <w:sz w:val="22"/>
              </w:rPr>
            </w:pPr>
          </w:p>
        </w:tc>
        <w:tc>
          <w:tcPr>
            <w:tcW w:w="1416" w:type="dxa"/>
          </w:tcPr>
          <w:p>
            <w:pPr>
              <w:pStyle w:val="TableParagraph"/>
              <w:rPr>
                <w:rFonts w:ascii="Times New Roman"/>
                <w:sz w:val="22"/>
              </w:rPr>
            </w:pPr>
          </w:p>
        </w:tc>
        <w:tc>
          <w:tcPr>
            <w:tcW w:w="1418" w:type="dxa"/>
          </w:tcPr>
          <w:p>
            <w:pPr>
              <w:pStyle w:val="TableParagraph"/>
              <w:rPr>
                <w:rFonts w:ascii="Times New Roman"/>
                <w:sz w:val="22"/>
              </w:rPr>
            </w:pPr>
          </w:p>
        </w:tc>
        <w:tc>
          <w:tcPr>
            <w:tcW w:w="1418" w:type="dxa"/>
          </w:tcPr>
          <w:p>
            <w:pPr>
              <w:pStyle w:val="TableParagraph"/>
              <w:rPr>
                <w:rFonts w:ascii="Times New Roman"/>
                <w:sz w:val="22"/>
              </w:rPr>
            </w:pPr>
          </w:p>
        </w:tc>
        <w:tc>
          <w:tcPr>
            <w:tcW w:w="1133" w:type="dxa"/>
          </w:tcPr>
          <w:p>
            <w:pPr>
              <w:pStyle w:val="TableParagraph"/>
              <w:rPr>
                <w:rFonts w:ascii="Times New Roman"/>
                <w:sz w:val="22"/>
              </w:rPr>
            </w:pPr>
          </w:p>
        </w:tc>
        <w:tc>
          <w:tcPr>
            <w:tcW w:w="1135" w:type="dxa"/>
          </w:tcPr>
          <w:p>
            <w:pPr>
              <w:pStyle w:val="TableParagraph"/>
              <w:spacing w:before="9"/>
              <w:ind w:left="109"/>
              <w:rPr>
                <w:rFonts w:ascii="Courier New"/>
                <w:sz w:val="32"/>
              </w:rPr>
            </w:pPr>
            <w:r>
              <w:rPr>
                <w:rFonts w:ascii="Courier New"/>
                <w:w w:val="99"/>
                <w:sz w:val="32"/>
              </w:rPr>
              <w:t>x</w:t>
            </w:r>
          </w:p>
        </w:tc>
        <w:tc>
          <w:tcPr>
            <w:tcW w:w="1274" w:type="dxa"/>
          </w:tcPr>
          <w:p>
            <w:pPr>
              <w:pStyle w:val="TableParagraph"/>
              <w:spacing w:before="9"/>
              <w:ind w:left="107"/>
              <w:rPr>
                <w:rFonts w:ascii="Courier New"/>
                <w:sz w:val="32"/>
              </w:rPr>
            </w:pPr>
            <w:r>
              <w:rPr>
                <w:rFonts w:ascii="Courier New"/>
                <w:w w:val="99"/>
                <w:sz w:val="32"/>
              </w:rPr>
              <w:t>x</w:t>
            </w:r>
          </w:p>
        </w:tc>
        <w:tc>
          <w:tcPr>
            <w:tcW w:w="1277" w:type="dxa"/>
          </w:tcPr>
          <w:p>
            <w:pPr>
              <w:pStyle w:val="TableParagraph"/>
              <w:spacing w:before="9"/>
              <w:ind w:left="110"/>
              <w:rPr>
                <w:rFonts w:ascii="Courier New"/>
                <w:sz w:val="32"/>
              </w:rPr>
            </w:pPr>
            <w:r>
              <w:rPr>
                <w:rFonts w:ascii="Courier New"/>
                <w:w w:val="99"/>
                <w:sz w:val="32"/>
              </w:rPr>
              <w:t>x</w:t>
            </w:r>
          </w:p>
        </w:tc>
        <w:tc>
          <w:tcPr>
            <w:tcW w:w="1274" w:type="dxa"/>
          </w:tcPr>
          <w:p>
            <w:pPr>
              <w:pStyle w:val="TableParagraph"/>
              <w:rPr>
                <w:rFonts w:ascii="Times New Roman"/>
                <w:sz w:val="22"/>
              </w:rPr>
            </w:pPr>
          </w:p>
        </w:tc>
        <w:tc>
          <w:tcPr>
            <w:tcW w:w="1418" w:type="dxa"/>
          </w:tcPr>
          <w:p>
            <w:pPr>
              <w:pStyle w:val="TableParagraph"/>
              <w:rPr>
                <w:rFonts w:ascii="Times New Roman"/>
                <w:sz w:val="22"/>
              </w:rPr>
            </w:pPr>
          </w:p>
        </w:tc>
        <w:tc>
          <w:tcPr>
            <w:tcW w:w="1276" w:type="dxa"/>
          </w:tcPr>
          <w:p>
            <w:pPr>
              <w:pStyle w:val="TableParagraph"/>
              <w:rPr>
                <w:rFonts w:ascii="Times New Roman"/>
                <w:sz w:val="22"/>
              </w:rPr>
            </w:pPr>
          </w:p>
        </w:tc>
        <w:tc>
          <w:tcPr>
            <w:tcW w:w="1158" w:type="dxa"/>
          </w:tcPr>
          <w:p>
            <w:pPr>
              <w:pStyle w:val="TableParagraph"/>
              <w:rPr>
                <w:rFonts w:ascii="Times New Roman"/>
                <w:sz w:val="22"/>
              </w:rPr>
            </w:pPr>
          </w:p>
        </w:tc>
      </w:tr>
      <w:tr>
        <w:trPr>
          <w:trHeight w:val="1461" w:hRule="atLeast"/>
        </w:trPr>
        <w:tc>
          <w:tcPr>
            <w:tcW w:w="2235" w:type="dxa"/>
            <w:shd w:val="clear" w:color="auto" w:fill="00AFEF"/>
          </w:tcPr>
          <w:p>
            <w:pPr>
              <w:pStyle w:val="TableParagraph"/>
              <w:spacing w:before="3"/>
              <w:rPr>
                <w:rFonts w:ascii="Courier New"/>
                <w:sz w:val="22"/>
              </w:rPr>
            </w:pPr>
          </w:p>
          <w:p>
            <w:pPr>
              <w:pStyle w:val="TableParagraph"/>
              <w:spacing w:line="480" w:lineRule="atLeast" w:before="1"/>
              <w:ind w:left="107" w:right="645"/>
              <w:rPr>
                <w:rFonts w:ascii="Courier New"/>
                <w:b/>
                <w:sz w:val="22"/>
              </w:rPr>
            </w:pPr>
            <w:r>
              <w:rPr>
                <w:rFonts w:ascii="Courier New"/>
                <w:b/>
                <w:sz w:val="22"/>
              </w:rPr>
              <w:t>L-Carnitine p.866</w:t>
            </w:r>
          </w:p>
        </w:tc>
        <w:tc>
          <w:tcPr>
            <w:tcW w:w="1135" w:type="dxa"/>
          </w:tcPr>
          <w:p>
            <w:pPr>
              <w:pStyle w:val="TableParagraph"/>
              <w:rPr>
                <w:rFonts w:ascii="Times New Roman"/>
                <w:sz w:val="22"/>
              </w:rPr>
            </w:pPr>
          </w:p>
        </w:tc>
        <w:tc>
          <w:tcPr>
            <w:tcW w:w="1416" w:type="dxa"/>
          </w:tcPr>
          <w:p>
            <w:pPr>
              <w:pStyle w:val="TableParagraph"/>
              <w:spacing w:before="11"/>
              <w:ind w:left="105"/>
              <w:rPr>
                <w:rFonts w:ascii="Courier New"/>
                <w:sz w:val="32"/>
              </w:rPr>
            </w:pPr>
            <w:r>
              <w:rPr>
                <w:rFonts w:ascii="Courier New"/>
                <w:w w:val="99"/>
                <w:sz w:val="32"/>
              </w:rPr>
              <w:t>x</w:t>
            </w:r>
          </w:p>
        </w:tc>
        <w:tc>
          <w:tcPr>
            <w:tcW w:w="1418" w:type="dxa"/>
          </w:tcPr>
          <w:p>
            <w:pPr>
              <w:pStyle w:val="TableParagraph"/>
              <w:rPr>
                <w:rFonts w:ascii="Times New Roman"/>
                <w:sz w:val="22"/>
              </w:rPr>
            </w:pPr>
          </w:p>
        </w:tc>
        <w:tc>
          <w:tcPr>
            <w:tcW w:w="1418" w:type="dxa"/>
          </w:tcPr>
          <w:p>
            <w:pPr>
              <w:pStyle w:val="TableParagraph"/>
              <w:rPr>
                <w:rFonts w:ascii="Times New Roman"/>
                <w:sz w:val="22"/>
              </w:rPr>
            </w:pPr>
          </w:p>
        </w:tc>
        <w:tc>
          <w:tcPr>
            <w:tcW w:w="1133" w:type="dxa"/>
          </w:tcPr>
          <w:p>
            <w:pPr>
              <w:pStyle w:val="TableParagraph"/>
              <w:rPr>
                <w:rFonts w:ascii="Times New Roman"/>
                <w:sz w:val="22"/>
              </w:rPr>
            </w:pPr>
          </w:p>
        </w:tc>
        <w:tc>
          <w:tcPr>
            <w:tcW w:w="1135" w:type="dxa"/>
          </w:tcPr>
          <w:p>
            <w:pPr>
              <w:pStyle w:val="TableParagraph"/>
              <w:rPr>
                <w:rFonts w:ascii="Times New Roman"/>
                <w:sz w:val="22"/>
              </w:rPr>
            </w:pPr>
          </w:p>
        </w:tc>
        <w:tc>
          <w:tcPr>
            <w:tcW w:w="1274" w:type="dxa"/>
          </w:tcPr>
          <w:p>
            <w:pPr>
              <w:pStyle w:val="TableParagraph"/>
              <w:rPr>
                <w:rFonts w:ascii="Times New Roman"/>
                <w:sz w:val="22"/>
              </w:rPr>
            </w:pPr>
          </w:p>
        </w:tc>
        <w:tc>
          <w:tcPr>
            <w:tcW w:w="1277" w:type="dxa"/>
          </w:tcPr>
          <w:p>
            <w:pPr>
              <w:pStyle w:val="TableParagraph"/>
              <w:rPr>
                <w:rFonts w:ascii="Times New Roman"/>
                <w:sz w:val="22"/>
              </w:rPr>
            </w:pPr>
          </w:p>
        </w:tc>
        <w:tc>
          <w:tcPr>
            <w:tcW w:w="1274" w:type="dxa"/>
          </w:tcPr>
          <w:p>
            <w:pPr>
              <w:pStyle w:val="TableParagraph"/>
              <w:rPr>
                <w:rFonts w:ascii="Times New Roman"/>
                <w:sz w:val="22"/>
              </w:rPr>
            </w:pPr>
          </w:p>
        </w:tc>
        <w:tc>
          <w:tcPr>
            <w:tcW w:w="1418" w:type="dxa"/>
          </w:tcPr>
          <w:p>
            <w:pPr>
              <w:pStyle w:val="TableParagraph"/>
              <w:rPr>
                <w:rFonts w:ascii="Times New Roman"/>
                <w:sz w:val="22"/>
              </w:rPr>
            </w:pPr>
          </w:p>
        </w:tc>
        <w:tc>
          <w:tcPr>
            <w:tcW w:w="1276" w:type="dxa"/>
          </w:tcPr>
          <w:p>
            <w:pPr>
              <w:pStyle w:val="TableParagraph"/>
              <w:rPr>
                <w:rFonts w:ascii="Times New Roman"/>
                <w:sz w:val="22"/>
              </w:rPr>
            </w:pPr>
          </w:p>
        </w:tc>
        <w:tc>
          <w:tcPr>
            <w:tcW w:w="1158" w:type="dxa"/>
          </w:tcPr>
          <w:p>
            <w:pPr>
              <w:pStyle w:val="TableParagraph"/>
              <w:rPr>
                <w:rFonts w:ascii="Times New Roman"/>
                <w:sz w:val="22"/>
              </w:rPr>
            </w:pPr>
          </w:p>
        </w:tc>
      </w:tr>
    </w:tbl>
    <w:p>
      <w:pPr>
        <w:spacing w:after="0"/>
        <w:rPr>
          <w:rFonts w:ascii="Times New Roman"/>
          <w:sz w:val="22"/>
        </w:rPr>
        <w:sectPr>
          <w:pgSz w:w="18630" w:h="11910" w:orient="landscape"/>
          <w:pgMar w:header="0" w:footer="404" w:top="840" w:bottom="600" w:left="740" w:right="8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5"/>
        <w:gridCol w:w="1135"/>
        <w:gridCol w:w="1416"/>
        <w:gridCol w:w="1418"/>
        <w:gridCol w:w="1418"/>
        <w:gridCol w:w="1133"/>
        <w:gridCol w:w="1135"/>
        <w:gridCol w:w="1274"/>
        <w:gridCol w:w="1277"/>
        <w:gridCol w:w="1274"/>
        <w:gridCol w:w="1418"/>
        <w:gridCol w:w="1276"/>
        <w:gridCol w:w="1158"/>
      </w:tblGrid>
      <w:tr>
        <w:trPr>
          <w:trHeight w:val="1744" w:hRule="atLeast"/>
        </w:trPr>
        <w:tc>
          <w:tcPr>
            <w:tcW w:w="2235" w:type="dxa"/>
            <w:shd w:val="clear" w:color="auto" w:fill="00AFEF"/>
          </w:tcPr>
          <w:p>
            <w:pPr>
              <w:pStyle w:val="TableParagraph"/>
              <w:rPr>
                <w:rFonts w:ascii="Courier New"/>
                <w:sz w:val="24"/>
              </w:rPr>
            </w:pPr>
          </w:p>
          <w:p>
            <w:pPr>
              <w:pStyle w:val="TableParagraph"/>
              <w:spacing w:line="276" w:lineRule="auto" w:before="212"/>
              <w:ind w:left="107" w:right="249"/>
              <w:rPr>
                <w:rFonts w:ascii="Courier New"/>
                <w:b/>
                <w:sz w:val="22"/>
              </w:rPr>
            </w:pPr>
            <w:r>
              <w:rPr>
                <w:rFonts w:ascii="Courier New"/>
                <w:b/>
                <w:sz w:val="22"/>
              </w:rPr>
              <w:t>Organic Germa- nium</w:t>
            </w:r>
          </w:p>
          <w:p>
            <w:pPr>
              <w:pStyle w:val="TableParagraph"/>
              <w:spacing w:before="200"/>
              <w:ind w:left="107"/>
              <w:rPr>
                <w:rFonts w:ascii="Courier New"/>
                <w:b/>
                <w:sz w:val="22"/>
              </w:rPr>
            </w:pPr>
            <w:r>
              <w:rPr>
                <w:rFonts w:ascii="Courier New"/>
                <w:b/>
                <w:sz w:val="22"/>
              </w:rPr>
              <w:t>p.1152</w:t>
            </w:r>
          </w:p>
        </w:tc>
        <w:tc>
          <w:tcPr>
            <w:tcW w:w="1135" w:type="dxa"/>
          </w:tcPr>
          <w:p>
            <w:pPr>
              <w:pStyle w:val="TableParagraph"/>
              <w:rPr>
                <w:rFonts w:ascii="Times New Roman"/>
                <w:sz w:val="22"/>
              </w:rPr>
            </w:pPr>
          </w:p>
        </w:tc>
        <w:tc>
          <w:tcPr>
            <w:tcW w:w="1416" w:type="dxa"/>
          </w:tcPr>
          <w:p>
            <w:pPr>
              <w:pStyle w:val="TableParagraph"/>
              <w:rPr>
                <w:rFonts w:ascii="Times New Roman"/>
                <w:sz w:val="22"/>
              </w:rPr>
            </w:pPr>
          </w:p>
        </w:tc>
        <w:tc>
          <w:tcPr>
            <w:tcW w:w="1418" w:type="dxa"/>
          </w:tcPr>
          <w:p>
            <w:pPr>
              <w:pStyle w:val="TableParagraph"/>
              <w:rPr>
                <w:rFonts w:ascii="Times New Roman"/>
                <w:sz w:val="22"/>
              </w:rPr>
            </w:pPr>
          </w:p>
        </w:tc>
        <w:tc>
          <w:tcPr>
            <w:tcW w:w="1418" w:type="dxa"/>
          </w:tcPr>
          <w:p>
            <w:pPr>
              <w:pStyle w:val="TableParagraph"/>
              <w:rPr>
                <w:rFonts w:ascii="Times New Roman"/>
                <w:sz w:val="22"/>
              </w:rPr>
            </w:pPr>
          </w:p>
        </w:tc>
        <w:tc>
          <w:tcPr>
            <w:tcW w:w="1133" w:type="dxa"/>
          </w:tcPr>
          <w:p>
            <w:pPr>
              <w:pStyle w:val="TableParagraph"/>
              <w:spacing w:before="9"/>
              <w:ind w:left="106"/>
              <w:rPr>
                <w:rFonts w:ascii="Courier New"/>
                <w:sz w:val="32"/>
              </w:rPr>
            </w:pPr>
            <w:r>
              <w:rPr>
                <w:rFonts w:ascii="Courier New"/>
                <w:w w:val="99"/>
                <w:sz w:val="32"/>
              </w:rPr>
              <w:t>x</w:t>
            </w:r>
          </w:p>
        </w:tc>
        <w:tc>
          <w:tcPr>
            <w:tcW w:w="1135" w:type="dxa"/>
          </w:tcPr>
          <w:p>
            <w:pPr>
              <w:pStyle w:val="TableParagraph"/>
              <w:spacing w:before="9"/>
              <w:ind w:left="109"/>
              <w:rPr>
                <w:rFonts w:ascii="Courier New"/>
                <w:sz w:val="32"/>
              </w:rPr>
            </w:pPr>
            <w:r>
              <w:rPr>
                <w:rFonts w:ascii="Courier New"/>
                <w:w w:val="99"/>
                <w:sz w:val="32"/>
              </w:rPr>
              <w:t>x</w:t>
            </w:r>
          </w:p>
        </w:tc>
        <w:tc>
          <w:tcPr>
            <w:tcW w:w="1274" w:type="dxa"/>
          </w:tcPr>
          <w:p>
            <w:pPr>
              <w:pStyle w:val="TableParagraph"/>
              <w:spacing w:before="9"/>
              <w:ind w:left="107"/>
              <w:rPr>
                <w:rFonts w:ascii="Courier New"/>
                <w:sz w:val="32"/>
              </w:rPr>
            </w:pPr>
            <w:r>
              <w:rPr>
                <w:rFonts w:ascii="Courier New"/>
                <w:w w:val="99"/>
                <w:sz w:val="32"/>
              </w:rPr>
              <w:t>x</w:t>
            </w:r>
          </w:p>
        </w:tc>
        <w:tc>
          <w:tcPr>
            <w:tcW w:w="1277" w:type="dxa"/>
          </w:tcPr>
          <w:p>
            <w:pPr>
              <w:pStyle w:val="TableParagraph"/>
              <w:rPr>
                <w:rFonts w:ascii="Times New Roman"/>
                <w:sz w:val="22"/>
              </w:rPr>
            </w:pPr>
          </w:p>
        </w:tc>
        <w:tc>
          <w:tcPr>
            <w:tcW w:w="1274" w:type="dxa"/>
          </w:tcPr>
          <w:p>
            <w:pPr>
              <w:pStyle w:val="TableParagraph"/>
              <w:rPr>
                <w:rFonts w:ascii="Times New Roman"/>
                <w:sz w:val="22"/>
              </w:rPr>
            </w:pPr>
          </w:p>
        </w:tc>
        <w:tc>
          <w:tcPr>
            <w:tcW w:w="1418" w:type="dxa"/>
          </w:tcPr>
          <w:p>
            <w:pPr>
              <w:pStyle w:val="TableParagraph"/>
              <w:rPr>
                <w:rFonts w:ascii="Times New Roman"/>
                <w:sz w:val="22"/>
              </w:rPr>
            </w:pPr>
          </w:p>
        </w:tc>
        <w:tc>
          <w:tcPr>
            <w:tcW w:w="1276" w:type="dxa"/>
          </w:tcPr>
          <w:p>
            <w:pPr>
              <w:pStyle w:val="TableParagraph"/>
              <w:rPr>
                <w:rFonts w:ascii="Times New Roman"/>
                <w:sz w:val="22"/>
              </w:rPr>
            </w:pPr>
          </w:p>
        </w:tc>
        <w:tc>
          <w:tcPr>
            <w:tcW w:w="1158" w:type="dxa"/>
          </w:tcPr>
          <w:p>
            <w:pPr>
              <w:pStyle w:val="TableParagraph"/>
              <w:rPr>
                <w:rFonts w:ascii="Times New Roman"/>
                <w:sz w:val="22"/>
              </w:rPr>
            </w:pPr>
          </w:p>
        </w:tc>
      </w:tr>
      <w:tr>
        <w:trPr>
          <w:trHeight w:val="1461" w:hRule="atLeast"/>
        </w:trPr>
        <w:tc>
          <w:tcPr>
            <w:tcW w:w="2235" w:type="dxa"/>
            <w:shd w:val="clear" w:color="auto" w:fill="00AFEF"/>
          </w:tcPr>
          <w:p>
            <w:pPr>
              <w:pStyle w:val="TableParagraph"/>
              <w:spacing w:before="3"/>
              <w:rPr>
                <w:rFonts w:ascii="Courier New"/>
                <w:sz w:val="22"/>
              </w:rPr>
            </w:pPr>
          </w:p>
          <w:p>
            <w:pPr>
              <w:pStyle w:val="TableParagraph"/>
              <w:spacing w:line="480" w:lineRule="atLeast" w:before="1"/>
              <w:ind w:left="107" w:right="645"/>
              <w:rPr>
                <w:rFonts w:ascii="Courier New"/>
                <w:b/>
                <w:sz w:val="22"/>
              </w:rPr>
            </w:pPr>
            <w:r>
              <w:rPr>
                <w:rFonts w:ascii="Courier New"/>
                <w:b/>
                <w:sz w:val="22"/>
              </w:rPr>
              <w:t>Royal jelly p.1268</w:t>
            </w:r>
          </w:p>
        </w:tc>
        <w:tc>
          <w:tcPr>
            <w:tcW w:w="1135" w:type="dxa"/>
          </w:tcPr>
          <w:p>
            <w:pPr>
              <w:pStyle w:val="TableParagraph"/>
              <w:rPr>
                <w:rFonts w:ascii="Times New Roman"/>
                <w:sz w:val="22"/>
              </w:rPr>
            </w:pPr>
          </w:p>
        </w:tc>
        <w:tc>
          <w:tcPr>
            <w:tcW w:w="1416" w:type="dxa"/>
          </w:tcPr>
          <w:p>
            <w:pPr>
              <w:pStyle w:val="TableParagraph"/>
              <w:rPr>
                <w:rFonts w:ascii="Times New Roman"/>
                <w:sz w:val="22"/>
              </w:rPr>
            </w:pPr>
          </w:p>
        </w:tc>
        <w:tc>
          <w:tcPr>
            <w:tcW w:w="1418" w:type="dxa"/>
          </w:tcPr>
          <w:p>
            <w:pPr>
              <w:pStyle w:val="TableParagraph"/>
              <w:rPr>
                <w:rFonts w:ascii="Times New Roman"/>
                <w:sz w:val="22"/>
              </w:rPr>
            </w:pPr>
          </w:p>
        </w:tc>
        <w:tc>
          <w:tcPr>
            <w:tcW w:w="1418" w:type="dxa"/>
          </w:tcPr>
          <w:p>
            <w:pPr>
              <w:pStyle w:val="TableParagraph"/>
              <w:spacing w:before="11"/>
              <w:ind w:left="108"/>
              <w:rPr>
                <w:rFonts w:ascii="Courier New"/>
                <w:sz w:val="32"/>
              </w:rPr>
            </w:pPr>
            <w:r>
              <w:rPr>
                <w:rFonts w:ascii="Courier New"/>
                <w:w w:val="99"/>
                <w:sz w:val="32"/>
              </w:rPr>
              <w:t>x</w:t>
            </w:r>
          </w:p>
        </w:tc>
        <w:tc>
          <w:tcPr>
            <w:tcW w:w="1133" w:type="dxa"/>
          </w:tcPr>
          <w:p>
            <w:pPr>
              <w:pStyle w:val="TableParagraph"/>
              <w:rPr>
                <w:rFonts w:ascii="Times New Roman"/>
                <w:sz w:val="22"/>
              </w:rPr>
            </w:pPr>
          </w:p>
        </w:tc>
        <w:tc>
          <w:tcPr>
            <w:tcW w:w="1135" w:type="dxa"/>
          </w:tcPr>
          <w:p>
            <w:pPr>
              <w:pStyle w:val="TableParagraph"/>
              <w:rPr>
                <w:rFonts w:ascii="Times New Roman"/>
                <w:sz w:val="22"/>
              </w:rPr>
            </w:pPr>
          </w:p>
        </w:tc>
        <w:tc>
          <w:tcPr>
            <w:tcW w:w="1274" w:type="dxa"/>
          </w:tcPr>
          <w:p>
            <w:pPr>
              <w:pStyle w:val="TableParagraph"/>
              <w:rPr>
                <w:rFonts w:ascii="Times New Roman"/>
                <w:sz w:val="22"/>
              </w:rPr>
            </w:pPr>
          </w:p>
        </w:tc>
        <w:tc>
          <w:tcPr>
            <w:tcW w:w="1277" w:type="dxa"/>
          </w:tcPr>
          <w:p>
            <w:pPr>
              <w:pStyle w:val="TableParagraph"/>
              <w:rPr>
                <w:rFonts w:ascii="Times New Roman"/>
                <w:sz w:val="22"/>
              </w:rPr>
            </w:pPr>
          </w:p>
        </w:tc>
        <w:tc>
          <w:tcPr>
            <w:tcW w:w="1274" w:type="dxa"/>
          </w:tcPr>
          <w:p>
            <w:pPr>
              <w:pStyle w:val="TableParagraph"/>
              <w:rPr>
                <w:rFonts w:ascii="Times New Roman"/>
                <w:sz w:val="22"/>
              </w:rPr>
            </w:pPr>
          </w:p>
        </w:tc>
        <w:tc>
          <w:tcPr>
            <w:tcW w:w="1418" w:type="dxa"/>
          </w:tcPr>
          <w:p>
            <w:pPr>
              <w:pStyle w:val="TableParagraph"/>
              <w:rPr>
                <w:rFonts w:ascii="Times New Roman"/>
                <w:sz w:val="22"/>
              </w:rPr>
            </w:pPr>
          </w:p>
        </w:tc>
        <w:tc>
          <w:tcPr>
            <w:tcW w:w="1276" w:type="dxa"/>
          </w:tcPr>
          <w:p>
            <w:pPr>
              <w:pStyle w:val="TableParagraph"/>
              <w:rPr>
                <w:rFonts w:ascii="Times New Roman"/>
                <w:sz w:val="22"/>
              </w:rPr>
            </w:pPr>
          </w:p>
        </w:tc>
        <w:tc>
          <w:tcPr>
            <w:tcW w:w="1158" w:type="dxa"/>
          </w:tcPr>
          <w:p>
            <w:pPr>
              <w:pStyle w:val="TableParagraph"/>
              <w:rPr>
                <w:rFonts w:ascii="Times New Roman"/>
                <w:sz w:val="22"/>
              </w:rPr>
            </w:pPr>
          </w:p>
        </w:tc>
      </w:tr>
    </w:tbl>
    <w:p>
      <w:pPr>
        <w:spacing w:after="0"/>
        <w:rPr>
          <w:rFonts w:ascii="Times New Roman"/>
          <w:sz w:val="22"/>
        </w:rPr>
        <w:sectPr>
          <w:pgSz w:w="18630" w:h="11910" w:orient="landscape"/>
          <w:pgMar w:header="0" w:footer="404" w:top="840" w:bottom="600" w:left="740" w:right="8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12"/>
        <w:gridCol w:w="3843"/>
        <w:gridCol w:w="4254"/>
        <w:gridCol w:w="3545"/>
        <w:gridCol w:w="2561"/>
      </w:tblGrid>
      <w:tr>
        <w:trPr>
          <w:trHeight w:val="1032" w:hRule="atLeast"/>
        </w:trPr>
        <w:tc>
          <w:tcPr>
            <w:tcW w:w="17415" w:type="dxa"/>
            <w:gridSpan w:val="5"/>
            <w:shd w:val="clear" w:color="auto" w:fill="FFC000"/>
          </w:tcPr>
          <w:p>
            <w:pPr>
              <w:pStyle w:val="TableParagraph"/>
              <w:spacing w:line="276" w:lineRule="auto"/>
              <w:ind w:left="5345" w:hanging="5089"/>
              <w:rPr>
                <w:rFonts w:ascii="Courier New"/>
                <w:b/>
                <w:sz w:val="32"/>
              </w:rPr>
            </w:pPr>
            <w:r>
              <w:rPr>
                <w:rFonts w:ascii="Courier New"/>
                <w:b/>
                <w:sz w:val="32"/>
              </w:rPr>
              <w:t>ALLOCATION TABLE DETOXIFICATION, HEAVY METAL REMOVAL, DEACIDIFICATION THROUGH THE USE OF NATURAL SUBSTANCES (CANCER THERAPY)</w:t>
            </w:r>
          </w:p>
        </w:tc>
      </w:tr>
      <w:tr>
        <w:trPr>
          <w:trHeight w:val="1859" w:hRule="atLeast"/>
        </w:trPr>
        <w:tc>
          <w:tcPr>
            <w:tcW w:w="3212" w:type="dxa"/>
            <w:shd w:val="clear" w:color="auto" w:fill="FFFF00"/>
          </w:tcPr>
          <w:p>
            <w:pPr>
              <w:pStyle w:val="TableParagraph"/>
              <w:rPr>
                <w:rFonts w:ascii="Courier New"/>
                <w:sz w:val="32"/>
              </w:rPr>
            </w:pPr>
          </w:p>
          <w:p>
            <w:pPr>
              <w:pStyle w:val="TableParagraph"/>
              <w:spacing w:before="203"/>
              <w:ind w:left="107"/>
              <w:rPr>
                <w:rFonts w:ascii="Courier New"/>
                <w:b/>
                <w:sz w:val="28"/>
              </w:rPr>
            </w:pPr>
            <w:r>
              <w:rPr>
                <w:rFonts w:ascii="Courier New"/>
                <w:b/>
                <w:sz w:val="28"/>
              </w:rPr>
              <w:t>Natural substance</w:t>
            </w:r>
          </w:p>
        </w:tc>
        <w:tc>
          <w:tcPr>
            <w:tcW w:w="3843" w:type="dxa"/>
            <w:shd w:val="clear" w:color="auto" w:fill="FFFF00"/>
          </w:tcPr>
          <w:p>
            <w:pPr>
              <w:pStyle w:val="TableParagraph"/>
              <w:rPr>
                <w:rFonts w:ascii="Courier New"/>
                <w:sz w:val="32"/>
              </w:rPr>
            </w:pPr>
          </w:p>
          <w:p>
            <w:pPr>
              <w:pStyle w:val="TableParagraph"/>
              <w:spacing w:line="278" w:lineRule="auto" w:before="201"/>
              <w:ind w:left="107" w:right="513"/>
              <w:rPr>
                <w:rFonts w:ascii="Courier New"/>
                <w:b/>
                <w:sz w:val="28"/>
              </w:rPr>
            </w:pPr>
            <w:r>
              <w:rPr>
                <w:rFonts w:ascii="Courier New"/>
                <w:b/>
                <w:sz w:val="28"/>
              </w:rPr>
              <w:t>General detoxifica- tion</w:t>
            </w:r>
          </w:p>
        </w:tc>
        <w:tc>
          <w:tcPr>
            <w:tcW w:w="4254" w:type="dxa"/>
            <w:shd w:val="clear" w:color="auto" w:fill="FFFF00"/>
          </w:tcPr>
          <w:p>
            <w:pPr>
              <w:pStyle w:val="TableParagraph"/>
              <w:rPr>
                <w:rFonts w:ascii="Courier New"/>
                <w:sz w:val="32"/>
              </w:rPr>
            </w:pPr>
          </w:p>
          <w:p>
            <w:pPr>
              <w:pStyle w:val="TableParagraph"/>
              <w:spacing w:before="203"/>
              <w:ind w:left="107"/>
              <w:rPr>
                <w:rFonts w:ascii="Courier New"/>
                <w:b/>
                <w:sz w:val="28"/>
              </w:rPr>
            </w:pPr>
            <w:r>
              <w:rPr>
                <w:rFonts w:ascii="Courier New"/>
                <w:b/>
                <w:sz w:val="28"/>
              </w:rPr>
              <w:t>Removal of heavy metals</w:t>
            </w:r>
          </w:p>
        </w:tc>
        <w:tc>
          <w:tcPr>
            <w:tcW w:w="3545" w:type="dxa"/>
            <w:shd w:val="clear" w:color="auto" w:fill="FFFF00"/>
          </w:tcPr>
          <w:p>
            <w:pPr>
              <w:pStyle w:val="TableParagraph"/>
              <w:rPr>
                <w:rFonts w:ascii="Courier New"/>
                <w:sz w:val="32"/>
              </w:rPr>
            </w:pPr>
          </w:p>
          <w:p>
            <w:pPr>
              <w:pStyle w:val="TableParagraph"/>
              <w:spacing w:line="276" w:lineRule="auto" w:before="201"/>
              <w:ind w:left="107" w:right="215"/>
              <w:rPr>
                <w:rFonts w:ascii="Courier New"/>
                <w:b/>
                <w:sz w:val="28"/>
              </w:rPr>
            </w:pPr>
            <w:r>
              <w:rPr>
                <w:rFonts w:ascii="Courier New"/>
                <w:b/>
                <w:sz w:val="28"/>
              </w:rPr>
              <w:t>Removal of/protec- tion against radia- tion</w:t>
            </w:r>
          </w:p>
        </w:tc>
        <w:tc>
          <w:tcPr>
            <w:tcW w:w="2561" w:type="dxa"/>
            <w:shd w:val="clear" w:color="auto" w:fill="FFFF00"/>
          </w:tcPr>
          <w:p>
            <w:pPr>
              <w:pStyle w:val="TableParagraph"/>
              <w:rPr>
                <w:rFonts w:ascii="Courier New"/>
                <w:sz w:val="32"/>
              </w:rPr>
            </w:pPr>
          </w:p>
          <w:p>
            <w:pPr>
              <w:pStyle w:val="TableParagraph"/>
              <w:spacing w:line="278" w:lineRule="auto" w:before="201"/>
              <w:ind w:left="105" w:right="409"/>
              <w:rPr>
                <w:rFonts w:ascii="Courier New"/>
                <w:b/>
                <w:sz w:val="28"/>
              </w:rPr>
            </w:pPr>
            <w:r>
              <w:rPr>
                <w:rFonts w:ascii="Courier New"/>
                <w:b/>
                <w:sz w:val="28"/>
              </w:rPr>
              <w:t>Deacidifica- tion</w:t>
            </w:r>
          </w:p>
        </w:tc>
      </w:tr>
      <w:tr>
        <w:trPr>
          <w:trHeight w:val="1694" w:hRule="atLeast"/>
        </w:trPr>
        <w:tc>
          <w:tcPr>
            <w:tcW w:w="3212" w:type="dxa"/>
            <w:shd w:val="clear" w:color="auto" w:fill="00AFEF"/>
          </w:tcPr>
          <w:p>
            <w:pPr>
              <w:pStyle w:val="TableParagraph"/>
              <w:spacing w:before="6"/>
              <w:rPr>
                <w:rFonts w:ascii="Courier New"/>
                <w:sz w:val="28"/>
              </w:rPr>
            </w:pPr>
          </w:p>
          <w:p>
            <w:pPr>
              <w:pStyle w:val="TableParagraph"/>
              <w:spacing w:line="560" w:lineRule="atLeast"/>
              <w:ind w:left="107" w:right="1058"/>
              <w:rPr>
                <w:rFonts w:ascii="Courier New"/>
                <w:b/>
                <w:sz w:val="28"/>
              </w:rPr>
            </w:pPr>
            <w:r>
              <w:rPr>
                <w:rFonts w:ascii="Courier New"/>
                <w:b/>
                <w:sz w:val="28"/>
              </w:rPr>
              <w:t>Kombucha-Tea p.731</w:t>
            </w:r>
          </w:p>
        </w:tc>
        <w:tc>
          <w:tcPr>
            <w:tcW w:w="3843" w:type="dxa"/>
          </w:tcPr>
          <w:p>
            <w:pPr>
              <w:pStyle w:val="TableParagraph"/>
              <w:spacing w:before="10"/>
              <w:ind w:left="107"/>
              <w:rPr>
                <w:rFonts w:ascii="Courier New"/>
                <w:sz w:val="32"/>
              </w:rPr>
            </w:pPr>
            <w:r>
              <w:rPr>
                <w:rFonts w:ascii="Courier New"/>
                <w:w w:val="99"/>
                <w:sz w:val="32"/>
              </w:rPr>
              <w:t>x</w:t>
            </w:r>
          </w:p>
        </w:tc>
        <w:tc>
          <w:tcPr>
            <w:tcW w:w="4254" w:type="dxa"/>
          </w:tcPr>
          <w:p>
            <w:pPr>
              <w:pStyle w:val="TableParagraph"/>
              <w:rPr>
                <w:rFonts w:ascii="Times New Roman"/>
                <w:sz w:val="28"/>
              </w:rPr>
            </w:pPr>
          </w:p>
        </w:tc>
        <w:tc>
          <w:tcPr>
            <w:tcW w:w="3545" w:type="dxa"/>
          </w:tcPr>
          <w:p>
            <w:pPr>
              <w:pStyle w:val="TableParagraph"/>
              <w:rPr>
                <w:rFonts w:ascii="Times New Roman"/>
                <w:sz w:val="28"/>
              </w:rPr>
            </w:pPr>
          </w:p>
        </w:tc>
        <w:tc>
          <w:tcPr>
            <w:tcW w:w="2561" w:type="dxa"/>
          </w:tcPr>
          <w:p>
            <w:pPr>
              <w:pStyle w:val="TableParagraph"/>
              <w:spacing w:before="10"/>
              <w:ind w:left="105"/>
              <w:rPr>
                <w:rFonts w:ascii="Courier New"/>
                <w:sz w:val="32"/>
              </w:rPr>
            </w:pPr>
            <w:r>
              <w:rPr>
                <w:rFonts w:ascii="Courier New"/>
                <w:w w:val="99"/>
                <w:sz w:val="32"/>
              </w:rPr>
              <w:t>x</w:t>
            </w:r>
          </w:p>
        </w:tc>
      </w:tr>
      <w:tr>
        <w:trPr>
          <w:trHeight w:val="2059" w:hRule="atLeast"/>
        </w:trPr>
        <w:tc>
          <w:tcPr>
            <w:tcW w:w="3212" w:type="dxa"/>
            <w:shd w:val="clear" w:color="auto" w:fill="00AFEF"/>
          </w:tcPr>
          <w:p>
            <w:pPr>
              <w:pStyle w:val="TableParagraph"/>
              <w:rPr>
                <w:rFonts w:ascii="Courier New"/>
                <w:sz w:val="32"/>
              </w:rPr>
            </w:pPr>
          </w:p>
          <w:p>
            <w:pPr>
              <w:pStyle w:val="TableParagraph"/>
              <w:spacing w:line="278" w:lineRule="auto" w:before="201"/>
              <w:ind w:left="107" w:right="218"/>
              <w:rPr>
                <w:rFonts w:ascii="Courier New"/>
                <w:b/>
                <w:sz w:val="28"/>
              </w:rPr>
            </w:pPr>
            <w:r>
              <w:rPr>
                <w:rFonts w:ascii="Courier New"/>
                <w:b/>
                <w:sz w:val="28"/>
              </w:rPr>
              <w:t>Spirulina-Platen- sis</w:t>
            </w:r>
          </w:p>
          <w:p>
            <w:pPr>
              <w:pStyle w:val="TableParagraph"/>
              <w:spacing w:before="195"/>
              <w:ind w:left="107"/>
              <w:rPr>
                <w:rFonts w:ascii="Courier New"/>
                <w:b/>
                <w:sz w:val="28"/>
              </w:rPr>
            </w:pPr>
            <w:r>
              <w:rPr>
                <w:rFonts w:ascii="Courier New"/>
                <w:b/>
                <w:sz w:val="28"/>
              </w:rPr>
              <w:t>p.1515</w:t>
            </w:r>
          </w:p>
        </w:tc>
        <w:tc>
          <w:tcPr>
            <w:tcW w:w="3843" w:type="dxa"/>
          </w:tcPr>
          <w:p>
            <w:pPr>
              <w:pStyle w:val="TableParagraph"/>
              <w:spacing w:before="11"/>
              <w:ind w:left="107"/>
              <w:rPr>
                <w:rFonts w:ascii="Courier New"/>
                <w:sz w:val="32"/>
              </w:rPr>
            </w:pPr>
            <w:r>
              <w:rPr>
                <w:rFonts w:ascii="Courier New"/>
                <w:w w:val="99"/>
                <w:sz w:val="32"/>
              </w:rPr>
              <w:t>x</w:t>
            </w:r>
          </w:p>
        </w:tc>
        <w:tc>
          <w:tcPr>
            <w:tcW w:w="4254" w:type="dxa"/>
          </w:tcPr>
          <w:p>
            <w:pPr>
              <w:pStyle w:val="TableParagraph"/>
              <w:spacing w:before="11"/>
              <w:ind w:left="107"/>
              <w:rPr>
                <w:rFonts w:ascii="Courier New"/>
                <w:sz w:val="32"/>
              </w:rPr>
            </w:pPr>
            <w:r>
              <w:rPr>
                <w:rFonts w:ascii="Courier New"/>
                <w:w w:val="99"/>
                <w:sz w:val="32"/>
              </w:rPr>
              <w:t>X</w:t>
            </w:r>
          </w:p>
        </w:tc>
        <w:tc>
          <w:tcPr>
            <w:tcW w:w="3545" w:type="dxa"/>
          </w:tcPr>
          <w:p>
            <w:pPr>
              <w:pStyle w:val="TableParagraph"/>
              <w:spacing w:before="11"/>
              <w:ind w:left="107"/>
              <w:rPr>
                <w:rFonts w:ascii="Courier New"/>
                <w:sz w:val="32"/>
              </w:rPr>
            </w:pPr>
            <w:r>
              <w:rPr>
                <w:rFonts w:ascii="Courier New"/>
                <w:w w:val="99"/>
                <w:sz w:val="32"/>
              </w:rPr>
              <w:t>x</w:t>
            </w:r>
          </w:p>
        </w:tc>
        <w:tc>
          <w:tcPr>
            <w:tcW w:w="2561" w:type="dxa"/>
          </w:tcPr>
          <w:p>
            <w:pPr>
              <w:pStyle w:val="TableParagraph"/>
              <w:spacing w:before="11"/>
              <w:ind w:left="105"/>
              <w:rPr>
                <w:rFonts w:ascii="Courier New"/>
                <w:sz w:val="32"/>
              </w:rPr>
            </w:pPr>
            <w:r>
              <w:rPr>
                <w:rFonts w:ascii="Courier New"/>
                <w:w w:val="99"/>
                <w:sz w:val="32"/>
              </w:rPr>
              <w:t>x</w:t>
            </w:r>
          </w:p>
        </w:tc>
      </w:tr>
      <w:tr>
        <w:trPr>
          <w:trHeight w:val="1696" w:hRule="atLeast"/>
        </w:trPr>
        <w:tc>
          <w:tcPr>
            <w:tcW w:w="3212" w:type="dxa"/>
            <w:shd w:val="clear" w:color="auto" w:fill="00AFEF"/>
          </w:tcPr>
          <w:p>
            <w:pPr>
              <w:pStyle w:val="TableParagraph"/>
              <w:spacing w:before="5"/>
              <w:rPr>
                <w:rFonts w:ascii="Courier New"/>
                <w:sz w:val="28"/>
              </w:rPr>
            </w:pPr>
          </w:p>
          <w:p>
            <w:pPr>
              <w:pStyle w:val="TableParagraph"/>
              <w:spacing w:line="560" w:lineRule="atLeast" w:before="1"/>
              <w:ind w:left="107" w:right="1898"/>
              <w:rPr>
                <w:rFonts w:ascii="Courier New"/>
                <w:b/>
                <w:sz w:val="28"/>
              </w:rPr>
            </w:pPr>
            <w:r>
              <w:rPr>
                <w:rFonts w:ascii="Courier New"/>
                <w:b/>
                <w:sz w:val="28"/>
              </w:rPr>
              <w:t>Lapacho p.815</w:t>
            </w:r>
          </w:p>
        </w:tc>
        <w:tc>
          <w:tcPr>
            <w:tcW w:w="3843" w:type="dxa"/>
          </w:tcPr>
          <w:p>
            <w:pPr>
              <w:pStyle w:val="TableParagraph"/>
              <w:spacing w:before="11"/>
              <w:ind w:left="107"/>
              <w:rPr>
                <w:rFonts w:ascii="Courier New"/>
                <w:sz w:val="32"/>
              </w:rPr>
            </w:pPr>
            <w:r>
              <w:rPr>
                <w:rFonts w:ascii="Courier New"/>
                <w:w w:val="99"/>
                <w:sz w:val="32"/>
              </w:rPr>
              <w:t>x</w:t>
            </w:r>
          </w:p>
        </w:tc>
        <w:tc>
          <w:tcPr>
            <w:tcW w:w="4254" w:type="dxa"/>
          </w:tcPr>
          <w:p>
            <w:pPr>
              <w:pStyle w:val="TableParagraph"/>
              <w:rPr>
                <w:rFonts w:ascii="Times New Roman"/>
                <w:sz w:val="28"/>
              </w:rPr>
            </w:pPr>
          </w:p>
        </w:tc>
        <w:tc>
          <w:tcPr>
            <w:tcW w:w="3545" w:type="dxa"/>
          </w:tcPr>
          <w:p>
            <w:pPr>
              <w:pStyle w:val="TableParagraph"/>
              <w:rPr>
                <w:rFonts w:ascii="Times New Roman"/>
                <w:sz w:val="28"/>
              </w:rPr>
            </w:pPr>
          </w:p>
        </w:tc>
        <w:tc>
          <w:tcPr>
            <w:tcW w:w="2561" w:type="dxa"/>
          </w:tcPr>
          <w:p>
            <w:pPr>
              <w:pStyle w:val="TableParagraph"/>
              <w:rPr>
                <w:rFonts w:ascii="Times New Roman"/>
                <w:sz w:val="28"/>
              </w:rPr>
            </w:pPr>
          </w:p>
        </w:tc>
      </w:tr>
    </w:tbl>
    <w:p>
      <w:pPr>
        <w:spacing w:after="0"/>
        <w:rPr>
          <w:rFonts w:ascii="Times New Roman"/>
          <w:sz w:val="28"/>
        </w:rPr>
        <w:sectPr>
          <w:pgSz w:w="18630" w:h="11910" w:orient="landscape"/>
          <w:pgMar w:header="0" w:footer="404" w:top="840" w:bottom="600" w:left="740" w:right="8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12"/>
        <w:gridCol w:w="3843"/>
        <w:gridCol w:w="4254"/>
        <w:gridCol w:w="3545"/>
        <w:gridCol w:w="2561"/>
      </w:tblGrid>
      <w:tr>
        <w:trPr>
          <w:trHeight w:val="1694" w:hRule="atLeast"/>
        </w:trPr>
        <w:tc>
          <w:tcPr>
            <w:tcW w:w="3212" w:type="dxa"/>
            <w:shd w:val="clear" w:color="auto" w:fill="00AFEF"/>
          </w:tcPr>
          <w:p>
            <w:pPr>
              <w:pStyle w:val="TableParagraph"/>
              <w:spacing w:before="3"/>
              <w:rPr>
                <w:rFonts w:ascii="Courier New"/>
                <w:sz w:val="28"/>
              </w:rPr>
            </w:pPr>
          </w:p>
          <w:p>
            <w:pPr>
              <w:pStyle w:val="TableParagraph"/>
              <w:spacing w:line="560" w:lineRule="atLeast" w:before="1"/>
              <w:ind w:left="107" w:right="1226"/>
              <w:rPr>
                <w:rFonts w:ascii="Courier New"/>
                <w:b/>
                <w:sz w:val="28"/>
              </w:rPr>
            </w:pPr>
            <w:r>
              <w:rPr>
                <w:rFonts w:ascii="Courier New"/>
                <w:b/>
                <w:sz w:val="28"/>
              </w:rPr>
              <w:t>L-Carnosine p.924</w:t>
            </w:r>
          </w:p>
        </w:tc>
        <w:tc>
          <w:tcPr>
            <w:tcW w:w="3843" w:type="dxa"/>
          </w:tcPr>
          <w:p>
            <w:pPr>
              <w:pStyle w:val="TableParagraph"/>
              <w:rPr>
                <w:rFonts w:ascii="Times New Roman"/>
                <w:sz w:val="28"/>
              </w:rPr>
            </w:pPr>
          </w:p>
        </w:tc>
        <w:tc>
          <w:tcPr>
            <w:tcW w:w="4254" w:type="dxa"/>
          </w:tcPr>
          <w:p>
            <w:pPr>
              <w:pStyle w:val="TableParagraph"/>
              <w:spacing w:before="9"/>
              <w:ind w:left="107"/>
              <w:rPr>
                <w:rFonts w:ascii="Courier New"/>
                <w:sz w:val="32"/>
              </w:rPr>
            </w:pPr>
            <w:r>
              <w:rPr>
                <w:rFonts w:ascii="Courier New"/>
                <w:w w:val="99"/>
                <w:sz w:val="32"/>
              </w:rPr>
              <w:t>x</w:t>
            </w:r>
          </w:p>
        </w:tc>
        <w:tc>
          <w:tcPr>
            <w:tcW w:w="3545" w:type="dxa"/>
          </w:tcPr>
          <w:p>
            <w:pPr>
              <w:pStyle w:val="TableParagraph"/>
              <w:rPr>
                <w:rFonts w:ascii="Times New Roman"/>
                <w:sz w:val="28"/>
              </w:rPr>
            </w:pPr>
          </w:p>
        </w:tc>
        <w:tc>
          <w:tcPr>
            <w:tcW w:w="2561" w:type="dxa"/>
          </w:tcPr>
          <w:p>
            <w:pPr>
              <w:pStyle w:val="TableParagraph"/>
              <w:rPr>
                <w:rFonts w:ascii="Times New Roman"/>
                <w:sz w:val="28"/>
              </w:rPr>
            </w:pPr>
          </w:p>
        </w:tc>
      </w:tr>
      <w:tr>
        <w:trPr>
          <w:trHeight w:val="1694" w:hRule="atLeast"/>
        </w:trPr>
        <w:tc>
          <w:tcPr>
            <w:tcW w:w="3212" w:type="dxa"/>
            <w:shd w:val="clear" w:color="auto" w:fill="00AFEF"/>
          </w:tcPr>
          <w:p>
            <w:pPr>
              <w:pStyle w:val="TableParagraph"/>
              <w:spacing w:before="3"/>
              <w:rPr>
                <w:rFonts w:ascii="Courier New"/>
                <w:sz w:val="28"/>
              </w:rPr>
            </w:pPr>
          </w:p>
          <w:p>
            <w:pPr>
              <w:pStyle w:val="TableParagraph"/>
              <w:spacing w:line="560" w:lineRule="atLeast"/>
              <w:ind w:left="107" w:right="1394"/>
              <w:rPr>
                <w:rFonts w:ascii="Courier New"/>
                <w:b/>
                <w:sz w:val="28"/>
              </w:rPr>
            </w:pPr>
            <w:r>
              <w:rPr>
                <w:rFonts w:ascii="Courier New"/>
                <w:b/>
                <w:sz w:val="28"/>
              </w:rPr>
              <w:t>Rooibostea p.1370</w:t>
            </w:r>
          </w:p>
        </w:tc>
        <w:tc>
          <w:tcPr>
            <w:tcW w:w="3843" w:type="dxa"/>
          </w:tcPr>
          <w:p>
            <w:pPr>
              <w:pStyle w:val="TableParagraph"/>
              <w:spacing w:before="9"/>
              <w:ind w:left="107"/>
              <w:rPr>
                <w:rFonts w:ascii="Courier New"/>
                <w:sz w:val="32"/>
              </w:rPr>
            </w:pPr>
            <w:r>
              <w:rPr>
                <w:rFonts w:ascii="Courier New"/>
                <w:w w:val="99"/>
                <w:sz w:val="32"/>
              </w:rPr>
              <w:t>x</w:t>
            </w:r>
          </w:p>
        </w:tc>
        <w:tc>
          <w:tcPr>
            <w:tcW w:w="4254" w:type="dxa"/>
          </w:tcPr>
          <w:p>
            <w:pPr>
              <w:pStyle w:val="TableParagraph"/>
              <w:rPr>
                <w:rFonts w:ascii="Times New Roman"/>
                <w:sz w:val="28"/>
              </w:rPr>
            </w:pPr>
          </w:p>
        </w:tc>
        <w:tc>
          <w:tcPr>
            <w:tcW w:w="3545" w:type="dxa"/>
          </w:tcPr>
          <w:p>
            <w:pPr>
              <w:pStyle w:val="TableParagraph"/>
              <w:spacing w:before="9"/>
              <w:ind w:left="107"/>
              <w:rPr>
                <w:rFonts w:ascii="Courier New"/>
                <w:sz w:val="32"/>
              </w:rPr>
            </w:pPr>
            <w:r>
              <w:rPr>
                <w:rFonts w:ascii="Courier New"/>
                <w:w w:val="99"/>
                <w:sz w:val="32"/>
              </w:rPr>
              <w:t>x</w:t>
            </w:r>
          </w:p>
        </w:tc>
        <w:tc>
          <w:tcPr>
            <w:tcW w:w="2561" w:type="dxa"/>
          </w:tcPr>
          <w:p>
            <w:pPr>
              <w:pStyle w:val="TableParagraph"/>
              <w:rPr>
                <w:rFonts w:ascii="Times New Roman"/>
                <w:sz w:val="28"/>
              </w:rPr>
            </w:pPr>
          </w:p>
        </w:tc>
      </w:tr>
      <w:tr>
        <w:trPr>
          <w:trHeight w:val="2258" w:hRule="atLeast"/>
        </w:trPr>
        <w:tc>
          <w:tcPr>
            <w:tcW w:w="3212" w:type="dxa"/>
            <w:shd w:val="clear" w:color="auto" w:fill="00AFEF"/>
          </w:tcPr>
          <w:p>
            <w:pPr>
              <w:pStyle w:val="TableParagraph"/>
              <w:rPr>
                <w:rFonts w:ascii="Courier New"/>
                <w:sz w:val="32"/>
              </w:rPr>
            </w:pPr>
          </w:p>
          <w:p>
            <w:pPr>
              <w:pStyle w:val="TableParagraph"/>
              <w:spacing w:before="201"/>
              <w:ind w:left="107"/>
              <w:rPr>
                <w:rFonts w:ascii="Courier New"/>
                <w:b/>
                <w:sz w:val="28"/>
              </w:rPr>
            </w:pPr>
            <w:r>
              <w:rPr>
                <w:rFonts w:ascii="Courier New"/>
                <w:b/>
                <w:sz w:val="28"/>
              </w:rPr>
              <w:t>Organic</w:t>
            </w:r>
          </w:p>
          <w:p>
            <w:pPr>
              <w:pStyle w:val="TableParagraph"/>
              <w:spacing w:line="560" w:lineRule="atLeast" w:before="6"/>
              <w:ind w:left="107" w:right="1562"/>
              <w:rPr>
                <w:rFonts w:ascii="Courier New"/>
                <w:b/>
                <w:sz w:val="28"/>
              </w:rPr>
            </w:pPr>
            <w:r>
              <w:rPr>
                <w:rFonts w:ascii="Courier New"/>
                <w:b/>
                <w:sz w:val="28"/>
              </w:rPr>
              <w:t>Germanium p.1152</w:t>
            </w:r>
          </w:p>
        </w:tc>
        <w:tc>
          <w:tcPr>
            <w:tcW w:w="3843" w:type="dxa"/>
          </w:tcPr>
          <w:p>
            <w:pPr>
              <w:pStyle w:val="TableParagraph"/>
              <w:spacing w:before="9"/>
              <w:ind w:left="107"/>
              <w:rPr>
                <w:rFonts w:ascii="Courier New"/>
                <w:sz w:val="32"/>
              </w:rPr>
            </w:pPr>
            <w:r>
              <w:rPr>
                <w:rFonts w:ascii="Courier New"/>
                <w:w w:val="99"/>
                <w:sz w:val="32"/>
              </w:rPr>
              <w:t>x</w:t>
            </w:r>
          </w:p>
        </w:tc>
        <w:tc>
          <w:tcPr>
            <w:tcW w:w="4254" w:type="dxa"/>
          </w:tcPr>
          <w:p>
            <w:pPr>
              <w:pStyle w:val="TableParagraph"/>
              <w:spacing w:before="9"/>
              <w:ind w:left="107"/>
              <w:rPr>
                <w:rFonts w:ascii="Courier New"/>
                <w:sz w:val="32"/>
              </w:rPr>
            </w:pPr>
            <w:r>
              <w:rPr>
                <w:rFonts w:ascii="Courier New"/>
                <w:w w:val="99"/>
                <w:sz w:val="32"/>
              </w:rPr>
              <w:t>x</w:t>
            </w:r>
          </w:p>
        </w:tc>
        <w:tc>
          <w:tcPr>
            <w:tcW w:w="3545" w:type="dxa"/>
          </w:tcPr>
          <w:p>
            <w:pPr>
              <w:pStyle w:val="TableParagraph"/>
              <w:rPr>
                <w:rFonts w:ascii="Times New Roman"/>
                <w:sz w:val="28"/>
              </w:rPr>
            </w:pPr>
          </w:p>
        </w:tc>
        <w:tc>
          <w:tcPr>
            <w:tcW w:w="2561" w:type="dxa"/>
          </w:tcPr>
          <w:p>
            <w:pPr>
              <w:pStyle w:val="TableParagraph"/>
              <w:rPr>
                <w:rFonts w:ascii="Times New Roman"/>
                <w:sz w:val="28"/>
              </w:rPr>
            </w:pPr>
          </w:p>
        </w:tc>
      </w:tr>
      <w:tr>
        <w:trPr>
          <w:trHeight w:val="2260" w:hRule="atLeast"/>
        </w:trPr>
        <w:tc>
          <w:tcPr>
            <w:tcW w:w="3212" w:type="dxa"/>
            <w:shd w:val="clear" w:color="auto" w:fill="00AFEF"/>
          </w:tcPr>
          <w:p>
            <w:pPr>
              <w:pStyle w:val="TableParagraph"/>
              <w:rPr>
                <w:rFonts w:ascii="Courier New"/>
                <w:sz w:val="32"/>
              </w:rPr>
            </w:pPr>
          </w:p>
          <w:p>
            <w:pPr>
              <w:pStyle w:val="TableParagraph"/>
              <w:spacing w:line="427" w:lineRule="auto" w:before="203"/>
              <w:ind w:left="107" w:right="890"/>
              <w:rPr>
                <w:rFonts w:ascii="Courier New"/>
                <w:b/>
                <w:sz w:val="28"/>
              </w:rPr>
            </w:pPr>
            <w:r>
              <w:rPr>
                <w:rFonts w:ascii="Courier New"/>
                <w:b/>
                <w:sz w:val="28"/>
              </w:rPr>
              <w:t>Papaya-Papain p.1188</w:t>
            </w:r>
          </w:p>
        </w:tc>
        <w:tc>
          <w:tcPr>
            <w:tcW w:w="3843" w:type="dxa"/>
          </w:tcPr>
          <w:p>
            <w:pPr>
              <w:pStyle w:val="TableParagraph"/>
              <w:spacing w:before="9"/>
              <w:ind w:left="107"/>
              <w:rPr>
                <w:rFonts w:ascii="Courier New"/>
                <w:sz w:val="32"/>
              </w:rPr>
            </w:pPr>
            <w:r>
              <w:rPr>
                <w:rFonts w:ascii="Courier New"/>
                <w:w w:val="99"/>
                <w:sz w:val="32"/>
              </w:rPr>
              <w:t>x</w:t>
            </w:r>
          </w:p>
        </w:tc>
        <w:tc>
          <w:tcPr>
            <w:tcW w:w="4254" w:type="dxa"/>
          </w:tcPr>
          <w:p>
            <w:pPr>
              <w:pStyle w:val="TableParagraph"/>
              <w:rPr>
                <w:rFonts w:ascii="Times New Roman"/>
                <w:sz w:val="28"/>
              </w:rPr>
            </w:pPr>
          </w:p>
        </w:tc>
        <w:tc>
          <w:tcPr>
            <w:tcW w:w="3545" w:type="dxa"/>
          </w:tcPr>
          <w:p>
            <w:pPr>
              <w:pStyle w:val="TableParagraph"/>
              <w:rPr>
                <w:rFonts w:ascii="Times New Roman"/>
                <w:sz w:val="28"/>
              </w:rPr>
            </w:pPr>
          </w:p>
        </w:tc>
        <w:tc>
          <w:tcPr>
            <w:tcW w:w="2561" w:type="dxa"/>
          </w:tcPr>
          <w:p>
            <w:pPr>
              <w:pStyle w:val="TableParagraph"/>
              <w:spacing w:before="9"/>
              <w:ind w:left="105"/>
              <w:rPr>
                <w:rFonts w:ascii="Courier New"/>
                <w:sz w:val="32"/>
              </w:rPr>
            </w:pPr>
            <w:r>
              <w:rPr>
                <w:rFonts w:ascii="Courier New"/>
                <w:w w:val="99"/>
                <w:sz w:val="32"/>
              </w:rPr>
              <w:t>x</w:t>
            </w:r>
          </w:p>
        </w:tc>
      </w:tr>
      <w:tr>
        <w:trPr>
          <w:trHeight w:val="701" w:hRule="atLeast"/>
        </w:trPr>
        <w:tc>
          <w:tcPr>
            <w:tcW w:w="3212" w:type="dxa"/>
            <w:shd w:val="clear" w:color="auto" w:fill="00AFEF"/>
          </w:tcPr>
          <w:p>
            <w:pPr>
              <w:pStyle w:val="TableParagraph"/>
              <w:rPr>
                <w:rFonts w:ascii="Times New Roman"/>
                <w:sz w:val="28"/>
              </w:rPr>
            </w:pPr>
          </w:p>
        </w:tc>
        <w:tc>
          <w:tcPr>
            <w:tcW w:w="3843" w:type="dxa"/>
          </w:tcPr>
          <w:p>
            <w:pPr>
              <w:pStyle w:val="TableParagraph"/>
              <w:spacing w:before="9"/>
              <w:ind w:left="107"/>
              <w:rPr>
                <w:rFonts w:ascii="Courier New"/>
                <w:sz w:val="32"/>
              </w:rPr>
            </w:pPr>
            <w:r>
              <w:rPr>
                <w:rFonts w:ascii="Courier New"/>
                <w:w w:val="99"/>
                <w:sz w:val="32"/>
              </w:rPr>
              <w:t>x</w:t>
            </w:r>
          </w:p>
        </w:tc>
        <w:tc>
          <w:tcPr>
            <w:tcW w:w="4254" w:type="dxa"/>
          </w:tcPr>
          <w:p>
            <w:pPr>
              <w:pStyle w:val="TableParagraph"/>
              <w:spacing w:before="9"/>
              <w:ind w:left="107"/>
              <w:rPr>
                <w:rFonts w:ascii="Courier New"/>
                <w:sz w:val="32"/>
              </w:rPr>
            </w:pPr>
            <w:r>
              <w:rPr>
                <w:rFonts w:ascii="Courier New"/>
                <w:w w:val="99"/>
                <w:sz w:val="32"/>
              </w:rPr>
              <w:t>x</w:t>
            </w:r>
          </w:p>
        </w:tc>
        <w:tc>
          <w:tcPr>
            <w:tcW w:w="3545" w:type="dxa"/>
          </w:tcPr>
          <w:p>
            <w:pPr>
              <w:pStyle w:val="TableParagraph"/>
              <w:rPr>
                <w:rFonts w:ascii="Times New Roman"/>
                <w:sz w:val="28"/>
              </w:rPr>
            </w:pPr>
          </w:p>
        </w:tc>
        <w:tc>
          <w:tcPr>
            <w:tcW w:w="2561" w:type="dxa"/>
          </w:tcPr>
          <w:p>
            <w:pPr>
              <w:pStyle w:val="TableParagraph"/>
              <w:rPr>
                <w:rFonts w:ascii="Times New Roman"/>
                <w:sz w:val="28"/>
              </w:rPr>
            </w:pPr>
          </w:p>
        </w:tc>
      </w:tr>
    </w:tbl>
    <w:p>
      <w:pPr>
        <w:spacing w:after="0"/>
        <w:rPr>
          <w:rFonts w:ascii="Times New Roman"/>
          <w:sz w:val="28"/>
        </w:rPr>
        <w:sectPr>
          <w:pgSz w:w="18630" w:h="11910" w:orient="landscape"/>
          <w:pgMar w:header="0" w:footer="404" w:top="840" w:bottom="600" w:left="740" w:right="8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12"/>
        <w:gridCol w:w="3843"/>
        <w:gridCol w:w="4254"/>
        <w:gridCol w:w="3545"/>
        <w:gridCol w:w="2561"/>
      </w:tblGrid>
      <w:tr>
        <w:trPr>
          <w:trHeight w:val="1694" w:hRule="atLeast"/>
        </w:trPr>
        <w:tc>
          <w:tcPr>
            <w:tcW w:w="3212" w:type="dxa"/>
            <w:shd w:val="clear" w:color="auto" w:fill="00AFEF"/>
          </w:tcPr>
          <w:p>
            <w:pPr>
              <w:pStyle w:val="TableParagraph"/>
              <w:spacing w:line="427" w:lineRule="auto"/>
              <w:ind w:left="107" w:right="1730"/>
              <w:rPr>
                <w:rFonts w:ascii="Courier New"/>
                <w:b/>
                <w:sz w:val="28"/>
              </w:rPr>
            </w:pPr>
            <w:r>
              <w:rPr>
                <w:rFonts w:ascii="Courier New"/>
                <w:b/>
                <w:sz w:val="28"/>
              </w:rPr>
              <w:t>Propolis p.1232</w:t>
            </w:r>
          </w:p>
        </w:tc>
        <w:tc>
          <w:tcPr>
            <w:tcW w:w="3843" w:type="dxa"/>
          </w:tcPr>
          <w:p>
            <w:pPr>
              <w:pStyle w:val="TableParagraph"/>
              <w:rPr>
                <w:rFonts w:ascii="Times New Roman"/>
                <w:sz w:val="28"/>
              </w:rPr>
            </w:pPr>
          </w:p>
        </w:tc>
        <w:tc>
          <w:tcPr>
            <w:tcW w:w="4254" w:type="dxa"/>
          </w:tcPr>
          <w:p>
            <w:pPr>
              <w:pStyle w:val="TableParagraph"/>
              <w:rPr>
                <w:rFonts w:ascii="Times New Roman"/>
                <w:sz w:val="28"/>
              </w:rPr>
            </w:pPr>
          </w:p>
        </w:tc>
        <w:tc>
          <w:tcPr>
            <w:tcW w:w="3545" w:type="dxa"/>
          </w:tcPr>
          <w:p>
            <w:pPr>
              <w:pStyle w:val="TableParagraph"/>
              <w:rPr>
                <w:rFonts w:ascii="Times New Roman"/>
                <w:sz w:val="28"/>
              </w:rPr>
            </w:pPr>
          </w:p>
        </w:tc>
        <w:tc>
          <w:tcPr>
            <w:tcW w:w="2561" w:type="dxa"/>
          </w:tcPr>
          <w:p>
            <w:pPr>
              <w:pStyle w:val="TableParagraph"/>
              <w:rPr>
                <w:rFonts w:ascii="Times New Roman"/>
                <w:sz w:val="28"/>
              </w:rPr>
            </w:pPr>
          </w:p>
        </w:tc>
      </w:tr>
      <w:tr>
        <w:trPr>
          <w:trHeight w:val="2258" w:hRule="atLeast"/>
        </w:trPr>
        <w:tc>
          <w:tcPr>
            <w:tcW w:w="3212" w:type="dxa"/>
            <w:shd w:val="clear" w:color="auto" w:fill="00AFEF"/>
          </w:tcPr>
          <w:p>
            <w:pPr>
              <w:pStyle w:val="TableParagraph"/>
              <w:rPr>
                <w:rFonts w:ascii="Courier New"/>
                <w:sz w:val="32"/>
              </w:rPr>
            </w:pPr>
          </w:p>
          <w:p>
            <w:pPr>
              <w:pStyle w:val="TableParagraph"/>
              <w:spacing w:line="429" w:lineRule="auto" w:before="201"/>
              <w:ind w:left="107" w:right="1730"/>
              <w:rPr>
                <w:rFonts w:ascii="Courier New"/>
                <w:b/>
                <w:sz w:val="28"/>
              </w:rPr>
            </w:pPr>
            <w:r>
              <w:rPr>
                <w:rFonts w:ascii="Courier New"/>
                <w:b/>
                <w:sz w:val="28"/>
              </w:rPr>
              <w:t>Selenium p.1405</w:t>
            </w:r>
          </w:p>
        </w:tc>
        <w:tc>
          <w:tcPr>
            <w:tcW w:w="3843" w:type="dxa"/>
          </w:tcPr>
          <w:p>
            <w:pPr>
              <w:pStyle w:val="TableParagraph"/>
              <w:rPr>
                <w:rFonts w:ascii="Times New Roman"/>
                <w:sz w:val="28"/>
              </w:rPr>
            </w:pPr>
          </w:p>
        </w:tc>
        <w:tc>
          <w:tcPr>
            <w:tcW w:w="4254" w:type="dxa"/>
          </w:tcPr>
          <w:p>
            <w:pPr>
              <w:pStyle w:val="TableParagraph"/>
              <w:rPr>
                <w:rFonts w:ascii="Times New Roman"/>
                <w:sz w:val="28"/>
              </w:rPr>
            </w:pPr>
          </w:p>
        </w:tc>
        <w:tc>
          <w:tcPr>
            <w:tcW w:w="3545" w:type="dxa"/>
          </w:tcPr>
          <w:p>
            <w:pPr>
              <w:pStyle w:val="TableParagraph"/>
              <w:spacing w:before="9"/>
              <w:ind w:left="107"/>
              <w:rPr>
                <w:rFonts w:ascii="Courier New"/>
                <w:sz w:val="32"/>
              </w:rPr>
            </w:pPr>
            <w:r>
              <w:rPr>
                <w:rFonts w:ascii="Courier New"/>
                <w:w w:val="99"/>
                <w:sz w:val="32"/>
              </w:rPr>
              <w:t>x</w:t>
            </w:r>
          </w:p>
        </w:tc>
        <w:tc>
          <w:tcPr>
            <w:tcW w:w="2561" w:type="dxa"/>
          </w:tcPr>
          <w:p>
            <w:pPr>
              <w:pStyle w:val="TableParagraph"/>
              <w:rPr>
                <w:rFonts w:ascii="Times New Roman"/>
                <w:sz w:val="28"/>
              </w:rPr>
            </w:pPr>
          </w:p>
        </w:tc>
      </w:tr>
      <w:tr>
        <w:trPr>
          <w:trHeight w:val="2260" w:hRule="atLeast"/>
        </w:trPr>
        <w:tc>
          <w:tcPr>
            <w:tcW w:w="3212" w:type="dxa"/>
            <w:shd w:val="clear" w:color="auto" w:fill="00AFEF"/>
          </w:tcPr>
          <w:p>
            <w:pPr>
              <w:pStyle w:val="TableParagraph"/>
              <w:rPr>
                <w:rFonts w:ascii="Courier New"/>
                <w:sz w:val="32"/>
              </w:rPr>
            </w:pPr>
          </w:p>
          <w:p>
            <w:pPr>
              <w:pStyle w:val="TableParagraph"/>
              <w:spacing w:line="427" w:lineRule="auto" w:before="203"/>
              <w:ind w:left="107" w:right="1562"/>
              <w:rPr>
                <w:rFonts w:ascii="Courier New"/>
                <w:b/>
                <w:sz w:val="28"/>
              </w:rPr>
            </w:pPr>
            <w:r>
              <w:rPr>
                <w:rFonts w:ascii="Courier New"/>
                <w:b/>
                <w:sz w:val="28"/>
              </w:rPr>
              <w:t>Vitamin C p.1720</w:t>
            </w:r>
          </w:p>
        </w:tc>
        <w:tc>
          <w:tcPr>
            <w:tcW w:w="3843" w:type="dxa"/>
          </w:tcPr>
          <w:p>
            <w:pPr>
              <w:pStyle w:val="TableParagraph"/>
              <w:spacing w:before="9"/>
              <w:ind w:left="107"/>
              <w:rPr>
                <w:rFonts w:ascii="Courier New"/>
                <w:sz w:val="32"/>
              </w:rPr>
            </w:pPr>
            <w:r>
              <w:rPr>
                <w:rFonts w:ascii="Courier New"/>
                <w:w w:val="99"/>
                <w:sz w:val="32"/>
              </w:rPr>
              <w:t>x</w:t>
            </w:r>
          </w:p>
        </w:tc>
        <w:tc>
          <w:tcPr>
            <w:tcW w:w="4254" w:type="dxa"/>
          </w:tcPr>
          <w:p>
            <w:pPr>
              <w:pStyle w:val="TableParagraph"/>
              <w:spacing w:before="9"/>
              <w:ind w:left="107"/>
              <w:rPr>
                <w:rFonts w:ascii="Courier New"/>
                <w:sz w:val="32"/>
              </w:rPr>
            </w:pPr>
            <w:r>
              <w:rPr>
                <w:rFonts w:ascii="Courier New"/>
                <w:w w:val="99"/>
                <w:sz w:val="32"/>
              </w:rPr>
              <w:t>x</w:t>
            </w:r>
          </w:p>
        </w:tc>
        <w:tc>
          <w:tcPr>
            <w:tcW w:w="3545" w:type="dxa"/>
          </w:tcPr>
          <w:p>
            <w:pPr>
              <w:pStyle w:val="TableParagraph"/>
              <w:rPr>
                <w:rFonts w:ascii="Times New Roman"/>
                <w:sz w:val="28"/>
              </w:rPr>
            </w:pPr>
          </w:p>
        </w:tc>
        <w:tc>
          <w:tcPr>
            <w:tcW w:w="2561" w:type="dxa"/>
          </w:tcPr>
          <w:p>
            <w:pPr>
              <w:pStyle w:val="TableParagraph"/>
              <w:rPr>
                <w:rFonts w:ascii="Times New Roman"/>
                <w:sz w:val="28"/>
              </w:rPr>
            </w:pPr>
          </w:p>
        </w:tc>
      </w:tr>
      <w:tr>
        <w:trPr>
          <w:trHeight w:val="2258" w:hRule="atLeast"/>
        </w:trPr>
        <w:tc>
          <w:tcPr>
            <w:tcW w:w="3212" w:type="dxa"/>
            <w:shd w:val="clear" w:color="auto" w:fill="00AFEF"/>
          </w:tcPr>
          <w:p>
            <w:pPr>
              <w:pStyle w:val="TableParagraph"/>
              <w:rPr>
                <w:rFonts w:ascii="Courier New"/>
                <w:sz w:val="32"/>
              </w:rPr>
            </w:pPr>
          </w:p>
          <w:p>
            <w:pPr>
              <w:pStyle w:val="TableParagraph"/>
              <w:spacing w:line="427" w:lineRule="auto" w:before="201"/>
              <w:ind w:left="107" w:right="218"/>
              <w:rPr>
                <w:rFonts w:ascii="Courier New"/>
                <w:b/>
                <w:sz w:val="28"/>
              </w:rPr>
            </w:pPr>
            <w:r>
              <w:rPr>
                <w:rFonts w:ascii="Courier New"/>
                <w:b/>
                <w:sz w:val="28"/>
              </w:rPr>
              <w:t>Alpha-lipoic acid p.86</w:t>
            </w:r>
          </w:p>
        </w:tc>
        <w:tc>
          <w:tcPr>
            <w:tcW w:w="3843" w:type="dxa"/>
          </w:tcPr>
          <w:p>
            <w:pPr>
              <w:pStyle w:val="TableParagraph"/>
              <w:spacing w:before="9"/>
              <w:ind w:left="107"/>
              <w:rPr>
                <w:rFonts w:ascii="Courier New"/>
                <w:sz w:val="32"/>
              </w:rPr>
            </w:pPr>
            <w:r>
              <w:rPr>
                <w:rFonts w:ascii="Courier New"/>
                <w:w w:val="99"/>
                <w:sz w:val="32"/>
              </w:rPr>
              <w:t>x</w:t>
            </w:r>
          </w:p>
        </w:tc>
        <w:tc>
          <w:tcPr>
            <w:tcW w:w="4254" w:type="dxa"/>
          </w:tcPr>
          <w:p>
            <w:pPr>
              <w:pStyle w:val="TableParagraph"/>
              <w:spacing w:before="9"/>
              <w:ind w:left="107"/>
              <w:rPr>
                <w:rFonts w:ascii="Courier New"/>
                <w:sz w:val="32"/>
              </w:rPr>
            </w:pPr>
            <w:r>
              <w:rPr>
                <w:rFonts w:ascii="Courier New"/>
                <w:w w:val="99"/>
                <w:sz w:val="32"/>
              </w:rPr>
              <w:t>x</w:t>
            </w:r>
          </w:p>
        </w:tc>
        <w:tc>
          <w:tcPr>
            <w:tcW w:w="3545" w:type="dxa"/>
          </w:tcPr>
          <w:p>
            <w:pPr>
              <w:pStyle w:val="TableParagraph"/>
              <w:spacing w:before="9"/>
              <w:ind w:left="107"/>
              <w:rPr>
                <w:rFonts w:ascii="Courier New"/>
                <w:sz w:val="32"/>
              </w:rPr>
            </w:pPr>
            <w:r>
              <w:rPr>
                <w:rFonts w:ascii="Courier New"/>
                <w:w w:val="99"/>
                <w:sz w:val="32"/>
              </w:rPr>
              <w:t>x</w:t>
            </w:r>
          </w:p>
        </w:tc>
        <w:tc>
          <w:tcPr>
            <w:tcW w:w="2561" w:type="dxa"/>
          </w:tcPr>
          <w:p>
            <w:pPr>
              <w:pStyle w:val="TableParagraph"/>
              <w:rPr>
                <w:rFonts w:ascii="Times New Roman"/>
                <w:sz w:val="28"/>
              </w:rPr>
            </w:pPr>
          </w:p>
        </w:tc>
      </w:tr>
    </w:tbl>
    <w:p>
      <w:pPr>
        <w:spacing w:after="0"/>
        <w:rPr>
          <w:rFonts w:ascii="Times New Roman"/>
          <w:sz w:val="28"/>
        </w:rPr>
        <w:sectPr>
          <w:pgSz w:w="18630" w:h="11910" w:orient="landscape"/>
          <w:pgMar w:header="0" w:footer="404" w:top="840" w:bottom="600" w:left="740" w:right="8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12"/>
        <w:gridCol w:w="3843"/>
        <w:gridCol w:w="4254"/>
        <w:gridCol w:w="3545"/>
        <w:gridCol w:w="2561"/>
      </w:tblGrid>
      <w:tr>
        <w:trPr>
          <w:trHeight w:val="1694" w:hRule="atLeast"/>
        </w:trPr>
        <w:tc>
          <w:tcPr>
            <w:tcW w:w="3212" w:type="dxa"/>
            <w:shd w:val="clear" w:color="auto" w:fill="00AFEF"/>
          </w:tcPr>
          <w:p>
            <w:pPr>
              <w:pStyle w:val="TableParagraph"/>
              <w:spacing w:before="3"/>
              <w:rPr>
                <w:rFonts w:ascii="Courier New"/>
                <w:sz w:val="28"/>
              </w:rPr>
            </w:pPr>
          </w:p>
          <w:p>
            <w:pPr>
              <w:pStyle w:val="TableParagraph"/>
              <w:spacing w:line="560" w:lineRule="atLeast" w:before="1"/>
              <w:ind w:left="107" w:right="1562"/>
              <w:rPr>
                <w:rFonts w:ascii="Courier New"/>
                <w:b/>
                <w:sz w:val="28"/>
              </w:rPr>
            </w:pPr>
            <w:r>
              <w:rPr>
                <w:rFonts w:ascii="Courier New"/>
                <w:b/>
                <w:sz w:val="28"/>
              </w:rPr>
              <w:t>Bromelain p.113</w:t>
            </w:r>
          </w:p>
        </w:tc>
        <w:tc>
          <w:tcPr>
            <w:tcW w:w="3843" w:type="dxa"/>
          </w:tcPr>
          <w:p>
            <w:pPr>
              <w:pStyle w:val="TableParagraph"/>
              <w:spacing w:before="9"/>
              <w:ind w:left="107"/>
              <w:rPr>
                <w:rFonts w:ascii="Courier New"/>
                <w:sz w:val="32"/>
              </w:rPr>
            </w:pPr>
            <w:r>
              <w:rPr>
                <w:rFonts w:ascii="Courier New"/>
                <w:w w:val="99"/>
                <w:sz w:val="32"/>
              </w:rPr>
              <w:t>x</w:t>
            </w:r>
          </w:p>
        </w:tc>
        <w:tc>
          <w:tcPr>
            <w:tcW w:w="4254" w:type="dxa"/>
          </w:tcPr>
          <w:p>
            <w:pPr>
              <w:pStyle w:val="TableParagraph"/>
              <w:spacing w:before="9"/>
              <w:ind w:left="107"/>
              <w:rPr>
                <w:rFonts w:ascii="Courier New"/>
                <w:sz w:val="32"/>
              </w:rPr>
            </w:pPr>
            <w:r>
              <w:rPr>
                <w:rFonts w:ascii="Courier New"/>
                <w:w w:val="99"/>
                <w:sz w:val="32"/>
              </w:rPr>
              <w:t>x</w:t>
            </w:r>
          </w:p>
        </w:tc>
        <w:tc>
          <w:tcPr>
            <w:tcW w:w="3545" w:type="dxa"/>
          </w:tcPr>
          <w:p>
            <w:pPr>
              <w:pStyle w:val="TableParagraph"/>
              <w:rPr>
                <w:rFonts w:ascii="Times New Roman"/>
                <w:sz w:val="28"/>
              </w:rPr>
            </w:pPr>
          </w:p>
        </w:tc>
        <w:tc>
          <w:tcPr>
            <w:tcW w:w="2561" w:type="dxa"/>
          </w:tcPr>
          <w:p>
            <w:pPr>
              <w:pStyle w:val="TableParagraph"/>
              <w:spacing w:before="9"/>
              <w:ind w:left="105"/>
              <w:rPr>
                <w:rFonts w:ascii="Courier New"/>
                <w:sz w:val="32"/>
              </w:rPr>
            </w:pPr>
            <w:r>
              <w:rPr>
                <w:rFonts w:ascii="Courier New"/>
                <w:w w:val="99"/>
                <w:sz w:val="32"/>
              </w:rPr>
              <w:t>x</w:t>
            </w:r>
          </w:p>
        </w:tc>
      </w:tr>
      <w:tr>
        <w:trPr>
          <w:trHeight w:val="2258" w:hRule="atLeast"/>
        </w:trPr>
        <w:tc>
          <w:tcPr>
            <w:tcW w:w="3212" w:type="dxa"/>
            <w:shd w:val="clear" w:color="auto" w:fill="00AFEF"/>
          </w:tcPr>
          <w:p>
            <w:pPr>
              <w:pStyle w:val="TableParagraph"/>
              <w:rPr>
                <w:rFonts w:ascii="Courier New"/>
                <w:sz w:val="32"/>
              </w:rPr>
            </w:pPr>
          </w:p>
          <w:p>
            <w:pPr>
              <w:pStyle w:val="TableParagraph"/>
              <w:spacing w:line="429" w:lineRule="auto" w:before="201"/>
              <w:ind w:left="107" w:right="722"/>
              <w:rPr>
                <w:rFonts w:ascii="Courier New"/>
                <w:b/>
                <w:sz w:val="28"/>
              </w:rPr>
            </w:pPr>
            <w:r>
              <w:rPr>
                <w:rFonts w:ascii="Courier New"/>
                <w:b/>
                <w:sz w:val="28"/>
              </w:rPr>
              <w:t>Aronia berries p.173</w:t>
            </w:r>
          </w:p>
        </w:tc>
        <w:tc>
          <w:tcPr>
            <w:tcW w:w="3843" w:type="dxa"/>
          </w:tcPr>
          <w:p>
            <w:pPr>
              <w:pStyle w:val="TableParagraph"/>
              <w:spacing w:before="9"/>
              <w:ind w:left="107"/>
              <w:rPr>
                <w:rFonts w:ascii="Courier New"/>
                <w:sz w:val="32"/>
              </w:rPr>
            </w:pPr>
            <w:r>
              <w:rPr>
                <w:rFonts w:ascii="Courier New"/>
                <w:w w:val="99"/>
                <w:sz w:val="32"/>
              </w:rPr>
              <w:t>x</w:t>
            </w:r>
          </w:p>
        </w:tc>
        <w:tc>
          <w:tcPr>
            <w:tcW w:w="4254" w:type="dxa"/>
          </w:tcPr>
          <w:p>
            <w:pPr>
              <w:pStyle w:val="TableParagraph"/>
              <w:spacing w:before="9"/>
              <w:ind w:left="107"/>
              <w:rPr>
                <w:rFonts w:ascii="Courier New"/>
                <w:sz w:val="32"/>
              </w:rPr>
            </w:pPr>
            <w:r>
              <w:rPr>
                <w:rFonts w:ascii="Courier New"/>
                <w:w w:val="99"/>
                <w:sz w:val="32"/>
              </w:rPr>
              <w:t>x</w:t>
            </w:r>
          </w:p>
        </w:tc>
        <w:tc>
          <w:tcPr>
            <w:tcW w:w="3545" w:type="dxa"/>
          </w:tcPr>
          <w:p>
            <w:pPr>
              <w:pStyle w:val="TableParagraph"/>
              <w:rPr>
                <w:rFonts w:ascii="Times New Roman"/>
                <w:sz w:val="28"/>
              </w:rPr>
            </w:pPr>
          </w:p>
        </w:tc>
        <w:tc>
          <w:tcPr>
            <w:tcW w:w="2561" w:type="dxa"/>
          </w:tcPr>
          <w:p>
            <w:pPr>
              <w:pStyle w:val="TableParagraph"/>
              <w:rPr>
                <w:rFonts w:ascii="Times New Roman"/>
                <w:sz w:val="28"/>
              </w:rPr>
            </w:pPr>
          </w:p>
        </w:tc>
      </w:tr>
      <w:tr>
        <w:trPr>
          <w:trHeight w:val="1694" w:hRule="atLeast"/>
        </w:trPr>
        <w:tc>
          <w:tcPr>
            <w:tcW w:w="3212" w:type="dxa"/>
            <w:shd w:val="clear" w:color="auto" w:fill="00AFEF"/>
          </w:tcPr>
          <w:p>
            <w:pPr>
              <w:pStyle w:val="TableParagraph"/>
              <w:spacing w:before="5"/>
              <w:rPr>
                <w:rFonts w:ascii="Courier New"/>
                <w:sz w:val="28"/>
              </w:rPr>
            </w:pPr>
          </w:p>
          <w:p>
            <w:pPr>
              <w:pStyle w:val="TableParagraph"/>
              <w:spacing w:line="560" w:lineRule="atLeast" w:before="1"/>
              <w:ind w:left="107" w:right="890"/>
              <w:rPr>
                <w:rFonts w:ascii="Courier New"/>
                <w:b/>
                <w:sz w:val="28"/>
              </w:rPr>
            </w:pPr>
            <w:r>
              <w:rPr>
                <w:rFonts w:ascii="Courier New"/>
                <w:b/>
                <w:sz w:val="28"/>
              </w:rPr>
              <w:t>Beta-carotene p.237</w:t>
            </w:r>
          </w:p>
        </w:tc>
        <w:tc>
          <w:tcPr>
            <w:tcW w:w="3843" w:type="dxa"/>
          </w:tcPr>
          <w:p>
            <w:pPr>
              <w:pStyle w:val="TableParagraph"/>
              <w:spacing w:before="9"/>
              <w:ind w:left="107"/>
              <w:rPr>
                <w:rFonts w:ascii="Courier New"/>
                <w:sz w:val="32"/>
              </w:rPr>
            </w:pPr>
            <w:r>
              <w:rPr>
                <w:rFonts w:ascii="Courier New"/>
                <w:w w:val="99"/>
                <w:sz w:val="32"/>
              </w:rPr>
              <w:t>x</w:t>
            </w:r>
          </w:p>
        </w:tc>
        <w:tc>
          <w:tcPr>
            <w:tcW w:w="4254" w:type="dxa"/>
          </w:tcPr>
          <w:p>
            <w:pPr>
              <w:pStyle w:val="TableParagraph"/>
              <w:rPr>
                <w:rFonts w:ascii="Times New Roman"/>
                <w:sz w:val="28"/>
              </w:rPr>
            </w:pPr>
          </w:p>
        </w:tc>
        <w:tc>
          <w:tcPr>
            <w:tcW w:w="3545" w:type="dxa"/>
          </w:tcPr>
          <w:p>
            <w:pPr>
              <w:pStyle w:val="TableParagraph"/>
              <w:rPr>
                <w:rFonts w:ascii="Times New Roman"/>
                <w:sz w:val="28"/>
              </w:rPr>
            </w:pPr>
          </w:p>
        </w:tc>
        <w:tc>
          <w:tcPr>
            <w:tcW w:w="2561" w:type="dxa"/>
          </w:tcPr>
          <w:p>
            <w:pPr>
              <w:pStyle w:val="TableParagraph"/>
              <w:rPr>
                <w:rFonts w:ascii="Times New Roman"/>
                <w:sz w:val="28"/>
              </w:rPr>
            </w:pPr>
          </w:p>
        </w:tc>
      </w:tr>
      <w:tr>
        <w:trPr>
          <w:trHeight w:val="1693" w:hRule="atLeast"/>
        </w:trPr>
        <w:tc>
          <w:tcPr>
            <w:tcW w:w="3212" w:type="dxa"/>
            <w:shd w:val="clear" w:color="auto" w:fill="00AFEF"/>
          </w:tcPr>
          <w:p>
            <w:pPr>
              <w:pStyle w:val="TableParagraph"/>
              <w:spacing w:before="5"/>
              <w:rPr>
                <w:rFonts w:ascii="Courier New"/>
                <w:sz w:val="28"/>
              </w:rPr>
            </w:pPr>
          </w:p>
          <w:p>
            <w:pPr>
              <w:pStyle w:val="TableParagraph"/>
              <w:spacing w:line="560" w:lineRule="atLeast" w:before="1"/>
              <w:ind w:left="107" w:right="1562"/>
              <w:rPr>
                <w:rFonts w:ascii="Courier New"/>
                <w:b/>
                <w:sz w:val="28"/>
              </w:rPr>
            </w:pPr>
            <w:r>
              <w:rPr>
                <w:rFonts w:ascii="Courier New"/>
                <w:b/>
                <w:sz w:val="28"/>
              </w:rPr>
              <w:t>Colostrum p.264</w:t>
            </w:r>
          </w:p>
        </w:tc>
        <w:tc>
          <w:tcPr>
            <w:tcW w:w="3843" w:type="dxa"/>
          </w:tcPr>
          <w:p>
            <w:pPr>
              <w:pStyle w:val="TableParagraph"/>
              <w:spacing w:before="9"/>
              <w:ind w:left="107"/>
              <w:rPr>
                <w:rFonts w:ascii="Courier New"/>
                <w:sz w:val="32"/>
              </w:rPr>
            </w:pPr>
            <w:r>
              <w:rPr>
                <w:rFonts w:ascii="Courier New"/>
                <w:w w:val="99"/>
                <w:sz w:val="32"/>
              </w:rPr>
              <w:t>x</w:t>
            </w:r>
          </w:p>
        </w:tc>
        <w:tc>
          <w:tcPr>
            <w:tcW w:w="4254" w:type="dxa"/>
          </w:tcPr>
          <w:p>
            <w:pPr>
              <w:pStyle w:val="TableParagraph"/>
              <w:rPr>
                <w:rFonts w:ascii="Times New Roman"/>
                <w:sz w:val="28"/>
              </w:rPr>
            </w:pPr>
          </w:p>
        </w:tc>
        <w:tc>
          <w:tcPr>
            <w:tcW w:w="3545" w:type="dxa"/>
          </w:tcPr>
          <w:p>
            <w:pPr>
              <w:pStyle w:val="TableParagraph"/>
              <w:rPr>
                <w:rFonts w:ascii="Times New Roman"/>
                <w:sz w:val="28"/>
              </w:rPr>
            </w:pPr>
          </w:p>
        </w:tc>
        <w:tc>
          <w:tcPr>
            <w:tcW w:w="2561" w:type="dxa"/>
          </w:tcPr>
          <w:p>
            <w:pPr>
              <w:pStyle w:val="TableParagraph"/>
              <w:rPr>
                <w:rFonts w:ascii="Times New Roman"/>
                <w:sz w:val="28"/>
              </w:rPr>
            </w:pPr>
          </w:p>
        </w:tc>
      </w:tr>
      <w:tr>
        <w:trPr>
          <w:trHeight w:val="1171" w:hRule="atLeast"/>
        </w:trPr>
        <w:tc>
          <w:tcPr>
            <w:tcW w:w="3212" w:type="dxa"/>
            <w:shd w:val="clear" w:color="auto" w:fill="00AFEF"/>
          </w:tcPr>
          <w:p>
            <w:pPr>
              <w:pStyle w:val="TableParagraph"/>
              <w:rPr>
                <w:rFonts w:ascii="Courier New"/>
                <w:sz w:val="32"/>
              </w:rPr>
            </w:pPr>
          </w:p>
          <w:p>
            <w:pPr>
              <w:pStyle w:val="TableParagraph"/>
              <w:spacing w:before="203"/>
              <w:ind w:left="107"/>
              <w:rPr>
                <w:rFonts w:ascii="Courier New"/>
                <w:b/>
                <w:sz w:val="28"/>
              </w:rPr>
            </w:pPr>
            <w:r>
              <w:rPr>
                <w:rFonts w:ascii="Courier New"/>
                <w:b/>
                <w:sz w:val="28"/>
              </w:rPr>
              <w:t>Curcumin-Kurkuma</w:t>
            </w:r>
          </w:p>
        </w:tc>
        <w:tc>
          <w:tcPr>
            <w:tcW w:w="3843" w:type="dxa"/>
          </w:tcPr>
          <w:p>
            <w:pPr>
              <w:pStyle w:val="TableParagraph"/>
              <w:spacing w:before="11"/>
              <w:ind w:left="107"/>
              <w:rPr>
                <w:rFonts w:ascii="Courier New"/>
                <w:sz w:val="32"/>
              </w:rPr>
            </w:pPr>
            <w:r>
              <w:rPr>
                <w:rFonts w:ascii="Courier New"/>
                <w:w w:val="99"/>
                <w:sz w:val="32"/>
              </w:rPr>
              <w:t>x</w:t>
            </w:r>
          </w:p>
        </w:tc>
        <w:tc>
          <w:tcPr>
            <w:tcW w:w="4254" w:type="dxa"/>
          </w:tcPr>
          <w:p>
            <w:pPr>
              <w:pStyle w:val="TableParagraph"/>
              <w:rPr>
                <w:rFonts w:ascii="Times New Roman"/>
                <w:sz w:val="28"/>
              </w:rPr>
            </w:pPr>
          </w:p>
        </w:tc>
        <w:tc>
          <w:tcPr>
            <w:tcW w:w="3545" w:type="dxa"/>
          </w:tcPr>
          <w:p>
            <w:pPr>
              <w:pStyle w:val="TableParagraph"/>
              <w:rPr>
                <w:rFonts w:ascii="Times New Roman"/>
                <w:sz w:val="28"/>
              </w:rPr>
            </w:pPr>
          </w:p>
        </w:tc>
        <w:tc>
          <w:tcPr>
            <w:tcW w:w="2561" w:type="dxa"/>
          </w:tcPr>
          <w:p>
            <w:pPr>
              <w:pStyle w:val="TableParagraph"/>
              <w:rPr>
                <w:rFonts w:ascii="Times New Roman"/>
                <w:sz w:val="28"/>
              </w:rPr>
            </w:pPr>
          </w:p>
        </w:tc>
      </w:tr>
    </w:tbl>
    <w:p>
      <w:pPr>
        <w:spacing w:after="0"/>
        <w:rPr>
          <w:rFonts w:ascii="Times New Roman"/>
          <w:sz w:val="28"/>
        </w:rPr>
        <w:sectPr>
          <w:pgSz w:w="18630" w:h="11910" w:orient="landscape"/>
          <w:pgMar w:header="0" w:footer="404" w:top="840" w:bottom="600" w:left="740" w:right="8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12"/>
        <w:gridCol w:w="3843"/>
        <w:gridCol w:w="4254"/>
        <w:gridCol w:w="3545"/>
        <w:gridCol w:w="2561"/>
      </w:tblGrid>
      <w:tr>
        <w:trPr>
          <w:trHeight w:val="1168" w:hRule="atLeast"/>
        </w:trPr>
        <w:tc>
          <w:tcPr>
            <w:tcW w:w="3212" w:type="dxa"/>
            <w:shd w:val="clear" w:color="auto" w:fill="00AFEF"/>
          </w:tcPr>
          <w:p>
            <w:pPr>
              <w:pStyle w:val="TableParagraph"/>
              <w:spacing w:line="317" w:lineRule="exact"/>
              <w:ind w:left="107"/>
              <w:rPr>
                <w:rFonts w:ascii="Courier New"/>
                <w:b/>
                <w:sz w:val="28"/>
              </w:rPr>
            </w:pPr>
            <w:r>
              <w:rPr>
                <w:rFonts w:ascii="Courier New"/>
                <w:b/>
                <w:sz w:val="28"/>
              </w:rPr>
              <w:t>p.328</w:t>
            </w:r>
          </w:p>
        </w:tc>
        <w:tc>
          <w:tcPr>
            <w:tcW w:w="3843" w:type="dxa"/>
          </w:tcPr>
          <w:p>
            <w:pPr>
              <w:pStyle w:val="TableParagraph"/>
              <w:rPr>
                <w:rFonts w:ascii="Times New Roman"/>
                <w:sz w:val="28"/>
              </w:rPr>
            </w:pPr>
          </w:p>
        </w:tc>
        <w:tc>
          <w:tcPr>
            <w:tcW w:w="4254" w:type="dxa"/>
          </w:tcPr>
          <w:p>
            <w:pPr>
              <w:pStyle w:val="TableParagraph"/>
              <w:rPr>
                <w:rFonts w:ascii="Times New Roman"/>
                <w:sz w:val="28"/>
              </w:rPr>
            </w:pPr>
          </w:p>
        </w:tc>
        <w:tc>
          <w:tcPr>
            <w:tcW w:w="3545" w:type="dxa"/>
          </w:tcPr>
          <w:p>
            <w:pPr>
              <w:pStyle w:val="TableParagraph"/>
              <w:rPr>
                <w:rFonts w:ascii="Times New Roman"/>
                <w:sz w:val="28"/>
              </w:rPr>
            </w:pPr>
          </w:p>
        </w:tc>
        <w:tc>
          <w:tcPr>
            <w:tcW w:w="2561" w:type="dxa"/>
          </w:tcPr>
          <w:p>
            <w:pPr>
              <w:pStyle w:val="TableParagraph"/>
              <w:rPr>
                <w:rFonts w:ascii="Times New Roman"/>
                <w:sz w:val="28"/>
              </w:rPr>
            </w:pPr>
          </w:p>
        </w:tc>
      </w:tr>
      <w:tr>
        <w:trPr>
          <w:trHeight w:val="1693" w:hRule="atLeast"/>
        </w:trPr>
        <w:tc>
          <w:tcPr>
            <w:tcW w:w="3212" w:type="dxa"/>
            <w:shd w:val="clear" w:color="auto" w:fill="00AFEF"/>
          </w:tcPr>
          <w:p>
            <w:pPr>
              <w:pStyle w:val="TableParagraph"/>
              <w:spacing w:before="3"/>
              <w:rPr>
                <w:rFonts w:ascii="Courier New"/>
                <w:sz w:val="28"/>
              </w:rPr>
            </w:pPr>
          </w:p>
          <w:p>
            <w:pPr>
              <w:pStyle w:val="TableParagraph"/>
              <w:spacing w:line="560" w:lineRule="atLeast"/>
              <w:ind w:left="107" w:right="1562"/>
              <w:rPr>
                <w:rFonts w:ascii="Courier New"/>
                <w:b/>
                <w:sz w:val="28"/>
              </w:rPr>
            </w:pPr>
            <w:r>
              <w:rPr>
                <w:rFonts w:ascii="Courier New"/>
                <w:b/>
                <w:sz w:val="28"/>
              </w:rPr>
              <w:t>Green Tea p.587</w:t>
            </w:r>
          </w:p>
        </w:tc>
        <w:tc>
          <w:tcPr>
            <w:tcW w:w="3843" w:type="dxa"/>
          </w:tcPr>
          <w:p>
            <w:pPr>
              <w:pStyle w:val="TableParagraph"/>
              <w:spacing w:before="9"/>
              <w:ind w:left="107"/>
              <w:rPr>
                <w:rFonts w:ascii="Courier New"/>
                <w:sz w:val="32"/>
              </w:rPr>
            </w:pPr>
            <w:r>
              <w:rPr>
                <w:rFonts w:ascii="Courier New"/>
                <w:w w:val="99"/>
                <w:sz w:val="32"/>
              </w:rPr>
              <w:t>x</w:t>
            </w:r>
          </w:p>
        </w:tc>
        <w:tc>
          <w:tcPr>
            <w:tcW w:w="4254" w:type="dxa"/>
          </w:tcPr>
          <w:p>
            <w:pPr>
              <w:pStyle w:val="TableParagraph"/>
              <w:rPr>
                <w:rFonts w:ascii="Times New Roman"/>
                <w:sz w:val="28"/>
              </w:rPr>
            </w:pPr>
          </w:p>
        </w:tc>
        <w:tc>
          <w:tcPr>
            <w:tcW w:w="3545" w:type="dxa"/>
          </w:tcPr>
          <w:p>
            <w:pPr>
              <w:pStyle w:val="TableParagraph"/>
              <w:rPr>
                <w:rFonts w:ascii="Times New Roman"/>
                <w:sz w:val="28"/>
              </w:rPr>
            </w:pPr>
          </w:p>
        </w:tc>
        <w:tc>
          <w:tcPr>
            <w:tcW w:w="2561" w:type="dxa"/>
          </w:tcPr>
          <w:p>
            <w:pPr>
              <w:pStyle w:val="TableParagraph"/>
              <w:rPr>
                <w:rFonts w:ascii="Times New Roman"/>
                <w:sz w:val="28"/>
              </w:rPr>
            </w:pPr>
          </w:p>
        </w:tc>
      </w:tr>
      <w:tr>
        <w:trPr>
          <w:trHeight w:val="1694" w:hRule="atLeast"/>
        </w:trPr>
        <w:tc>
          <w:tcPr>
            <w:tcW w:w="3212" w:type="dxa"/>
            <w:shd w:val="clear" w:color="auto" w:fill="00AFEF"/>
          </w:tcPr>
          <w:p>
            <w:pPr>
              <w:pStyle w:val="TableParagraph"/>
              <w:spacing w:before="4"/>
              <w:rPr>
                <w:rFonts w:ascii="Courier New"/>
                <w:sz w:val="28"/>
              </w:rPr>
            </w:pPr>
          </w:p>
          <w:p>
            <w:pPr>
              <w:pStyle w:val="TableParagraph"/>
              <w:spacing w:line="560" w:lineRule="atLeast"/>
              <w:ind w:left="107" w:right="1058"/>
              <w:rPr>
                <w:rFonts w:ascii="Courier New"/>
                <w:b/>
                <w:sz w:val="28"/>
              </w:rPr>
            </w:pPr>
            <w:r>
              <w:rPr>
                <w:rFonts w:ascii="Courier New"/>
                <w:b/>
                <w:sz w:val="28"/>
              </w:rPr>
              <w:t>Kombucha-Tea p.731</w:t>
            </w:r>
          </w:p>
        </w:tc>
        <w:tc>
          <w:tcPr>
            <w:tcW w:w="3843" w:type="dxa"/>
          </w:tcPr>
          <w:p>
            <w:pPr>
              <w:pStyle w:val="TableParagraph"/>
              <w:spacing w:before="10"/>
              <w:ind w:left="107"/>
              <w:rPr>
                <w:rFonts w:ascii="Courier New"/>
                <w:sz w:val="32"/>
              </w:rPr>
            </w:pPr>
            <w:r>
              <w:rPr>
                <w:rFonts w:ascii="Courier New"/>
                <w:w w:val="99"/>
                <w:sz w:val="32"/>
              </w:rPr>
              <w:t>x</w:t>
            </w:r>
          </w:p>
        </w:tc>
        <w:tc>
          <w:tcPr>
            <w:tcW w:w="4254" w:type="dxa"/>
          </w:tcPr>
          <w:p>
            <w:pPr>
              <w:pStyle w:val="TableParagraph"/>
              <w:rPr>
                <w:rFonts w:ascii="Times New Roman"/>
                <w:sz w:val="28"/>
              </w:rPr>
            </w:pPr>
          </w:p>
        </w:tc>
        <w:tc>
          <w:tcPr>
            <w:tcW w:w="3545" w:type="dxa"/>
          </w:tcPr>
          <w:p>
            <w:pPr>
              <w:pStyle w:val="TableParagraph"/>
              <w:rPr>
                <w:rFonts w:ascii="Times New Roman"/>
                <w:sz w:val="28"/>
              </w:rPr>
            </w:pPr>
          </w:p>
        </w:tc>
        <w:tc>
          <w:tcPr>
            <w:tcW w:w="2561" w:type="dxa"/>
          </w:tcPr>
          <w:p>
            <w:pPr>
              <w:pStyle w:val="TableParagraph"/>
              <w:rPr>
                <w:rFonts w:ascii="Times New Roman"/>
                <w:sz w:val="28"/>
              </w:rPr>
            </w:pPr>
          </w:p>
        </w:tc>
      </w:tr>
      <w:tr>
        <w:trPr>
          <w:trHeight w:val="1694" w:hRule="atLeast"/>
        </w:trPr>
        <w:tc>
          <w:tcPr>
            <w:tcW w:w="3212" w:type="dxa"/>
            <w:shd w:val="clear" w:color="auto" w:fill="00AFEF"/>
          </w:tcPr>
          <w:p>
            <w:pPr>
              <w:pStyle w:val="TableParagraph"/>
              <w:spacing w:before="5"/>
              <w:rPr>
                <w:rFonts w:ascii="Courier New"/>
                <w:sz w:val="28"/>
              </w:rPr>
            </w:pPr>
          </w:p>
          <w:p>
            <w:pPr>
              <w:pStyle w:val="TableParagraph"/>
              <w:spacing w:line="560" w:lineRule="atLeast" w:before="1"/>
              <w:ind w:left="107" w:right="1226"/>
              <w:rPr>
                <w:rFonts w:ascii="Courier New"/>
                <w:b/>
                <w:sz w:val="28"/>
              </w:rPr>
            </w:pPr>
            <w:r>
              <w:rPr>
                <w:rFonts w:ascii="Courier New"/>
                <w:b/>
                <w:sz w:val="28"/>
              </w:rPr>
              <w:t>L-Carnitine p.866</w:t>
            </w:r>
          </w:p>
        </w:tc>
        <w:tc>
          <w:tcPr>
            <w:tcW w:w="3843" w:type="dxa"/>
          </w:tcPr>
          <w:p>
            <w:pPr>
              <w:pStyle w:val="TableParagraph"/>
              <w:spacing w:before="9"/>
              <w:ind w:left="107"/>
              <w:rPr>
                <w:rFonts w:ascii="Courier New"/>
                <w:sz w:val="32"/>
              </w:rPr>
            </w:pPr>
            <w:r>
              <w:rPr>
                <w:rFonts w:ascii="Courier New"/>
                <w:w w:val="99"/>
                <w:sz w:val="32"/>
              </w:rPr>
              <w:t>x</w:t>
            </w:r>
          </w:p>
        </w:tc>
        <w:tc>
          <w:tcPr>
            <w:tcW w:w="4254" w:type="dxa"/>
          </w:tcPr>
          <w:p>
            <w:pPr>
              <w:pStyle w:val="TableParagraph"/>
              <w:rPr>
                <w:rFonts w:ascii="Times New Roman"/>
                <w:sz w:val="28"/>
              </w:rPr>
            </w:pPr>
          </w:p>
        </w:tc>
        <w:tc>
          <w:tcPr>
            <w:tcW w:w="3545" w:type="dxa"/>
          </w:tcPr>
          <w:p>
            <w:pPr>
              <w:pStyle w:val="TableParagraph"/>
              <w:rPr>
                <w:rFonts w:ascii="Times New Roman"/>
                <w:sz w:val="28"/>
              </w:rPr>
            </w:pPr>
          </w:p>
        </w:tc>
        <w:tc>
          <w:tcPr>
            <w:tcW w:w="2561" w:type="dxa"/>
          </w:tcPr>
          <w:p>
            <w:pPr>
              <w:pStyle w:val="TableParagraph"/>
              <w:rPr>
                <w:rFonts w:ascii="Times New Roman"/>
                <w:sz w:val="28"/>
              </w:rPr>
            </w:pPr>
          </w:p>
        </w:tc>
      </w:tr>
      <w:tr>
        <w:trPr>
          <w:trHeight w:val="1693" w:hRule="atLeast"/>
        </w:trPr>
        <w:tc>
          <w:tcPr>
            <w:tcW w:w="3212" w:type="dxa"/>
            <w:shd w:val="clear" w:color="auto" w:fill="00AFEF"/>
          </w:tcPr>
          <w:p>
            <w:pPr>
              <w:pStyle w:val="TableParagraph"/>
              <w:spacing w:before="5"/>
              <w:rPr>
                <w:rFonts w:ascii="Courier New"/>
                <w:sz w:val="28"/>
              </w:rPr>
            </w:pPr>
          </w:p>
          <w:p>
            <w:pPr>
              <w:pStyle w:val="TableParagraph"/>
              <w:spacing w:line="560" w:lineRule="atLeast" w:before="1"/>
              <w:ind w:left="107" w:right="2066"/>
              <w:rPr>
                <w:rFonts w:ascii="Courier New"/>
                <w:b/>
                <w:sz w:val="28"/>
              </w:rPr>
            </w:pPr>
            <w:r>
              <w:rPr>
                <w:rFonts w:ascii="Courier New"/>
                <w:b/>
                <w:sz w:val="28"/>
              </w:rPr>
              <w:t>OPC p.1094</w:t>
            </w:r>
          </w:p>
        </w:tc>
        <w:tc>
          <w:tcPr>
            <w:tcW w:w="3843" w:type="dxa"/>
          </w:tcPr>
          <w:p>
            <w:pPr>
              <w:pStyle w:val="TableParagraph"/>
              <w:spacing w:before="9"/>
              <w:ind w:left="107"/>
              <w:rPr>
                <w:rFonts w:ascii="Courier New"/>
                <w:sz w:val="32"/>
              </w:rPr>
            </w:pPr>
            <w:r>
              <w:rPr>
                <w:rFonts w:ascii="Courier New"/>
                <w:w w:val="99"/>
                <w:sz w:val="32"/>
              </w:rPr>
              <w:t>x</w:t>
            </w:r>
          </w:p>
        </w:tc>
        <w:tc>
          <w:tcPr>
            <w:tcW w:w="4254" w:type="dxa"/>
          </w:tcPr>
          <w:p>
            <w:pPr>
              <w:pStyle w:val="TableParagraph"/>
              <w:rPr>
                <w:rFonts w:ascii="Times New Roman"/>
                <w:sz w:val="28"/>
              </w:rPr>
            </w:pPr>
          </w:p>
        </w:tc>
        <w:tc>
          <w:tcPr>
            <w:tcW w:w="3545" w:type="dxa"/>
          </w:tcPr>
          <w:p>
            <w:pPr>
              <w:pStyle w:val="TableParagraph"/>
              <w:rPr>
                <w:rFonts w:ascii="Times New Roman"/>
                <w:sz w:val="28"/>
              </w:rPr>
            </w:pPr>
          </w:p>
        </w:tc>
        <w:tc>
          <w:tcPr>
            <w:tcW w:w="2561" w:type="dxa"/>
          </w:tcPr>
          <w:p>
            <w:pPr>
              <w:pStyle w:val="TableParagraph"/>
              <w:rPr>
                <w:rFonts w:ascii="Times New Roman"/>
                <w:sz w:val="28"/>
              </w:rPr>
            </w:pPr>
          </w:p>
        </w:tc>
      </w:tr>
    </w:tbl>
    <w:p>
      <w:pPr>
        <w:spacing w:after="0"/>
        <w:rPr>
          <w:rFonts w:ascii="Times New Roman"/>
          <w:sz w:val="28"/>
        </w:rPr>
        <w:sectPr>
          <w:pgSz w:w="18630" w:h="11910" w:orient="landscape"/>
          <w:pgMar w:header="0" w:footer="404" w:top="840" w:bottom="600" w:left="740" w:right="8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12"/>
        <w:gridCol w:w="3843"/>
        <w:gridCol w:w="4254"/>
        <w:gridCol w:w="3545"/>
        <w:gridCol w:w="2561"/>
      </w:tblGrid>
      <w:tr>
        <w:trPr>
          <w:trHeight w:val="1694" w:hRule="atLeast"/>
        </w:trPr>
        <w:tc>
          <w:tcPr>
            <w:tcW w:w="3212" w:type="dxa"/>
            <w:shd w:val="clear" w:color="auto" w:fill="00AFEF"/>
          </w:tcPr>
          <w:p>
            <w:pPr>
              <w:pStyle w:val="TableParagraph"/>
              <w:spacing w:before="3"/>
              <w:rPr>
                <w:rFonts w:ascii="Courier New"/>
                <w:sz w:val="28"/>
              </w:rPr>
            </w:pPr>
          </w:p>
          <w:p>
            <w:pPr>
              <w:pStyle w:val="TableParagraph"/>
              <w:spacing w:line="560" w:lineRule="atLeast" w:before="1"/>
              <w:ind w:left="107" w:right="218"/>
              <w:rPr>
                <w:rFonts w:ascii="Courier New"/>
                <w:b/>
                <w:sz w:val="28"/>
              </w:rPr>
            </w:pPr>
            <w:r>
              <w:rPr>
                <w:rFonts w:ascii="Courier New"/>
                <w:b/>
                <w:sz w:val="28"/>
              </w:rPr>
              <w:t>Organic Germanium p.1152</w:t>
            </w:r>
          </w:p>
        </w:tc>
        <w:tc>
          <w:tcPr>
            <w:tcW w:w="3843" w:type="dxa"/>
          </w:tcPr>
          <w:p>
            <w:pPr>
              <w:pStyle w:val="TableParagraph"/>
              <w:spacing w:before="9"/>
              <w:ind w:left="107"/>
              <w:rPr>
                <w:rFonts w:ascii="Courier New"/>
                <w:sz w:val="32"/>
              </w:rPr>
            </w:pPr>
            <w:r>
              <w:rPr>
                <w:rFonts w:ascii="Courier New"/>
                <w:w w:val="99"/>
                <w:sz w:val="32"/>
              </w:rPr>
              <w:t>x</w:t>
            </w:r>
          </w:p>
        </w:tc>
        <w:tc>
          <w:tcPr>
            <w:tcW w:w="4254" w:type="dxa"/>
          </w:tcPr>
          <w:p>
            <w:pPr>
              <w:pStyle w:val="TableParagraph"/>
              <w:spacing w:before="9"/>
              <w:ind w:left="107"/>
              <w:rPr>
                <w:rFonts w:ascii="Courier New"/>
                <w:sz w:val="32"/>
              </w:rPr>
            </w:pPr>
            <w:r>
              <w:rPr>
                <w:rFonts w:ascii="Courier New"/>
                <w:w w:val="99"/>
                <w:sz w:val="32"/>
              </w:rPr>
              <w:t>x</w:t>
            </w:r>
          </w:p>
        </w:tc>
        <w:tc>
          <w:tcPr>
            <w:tcW w:w="3545" w:type="dxa"/>
          </w:tcPr>
          <w:p>
            <w:pPr>
              <w:pStyle w:val="TableParagraph"/>
              <w:spacing w:before="9"/>
              <w:ind w:left="107"/>
              <w:rPr>
                <w:rFonts w:ascii="Courier New"/>
                <w:sz w:val="32"/>
              </w:rPr>
            </w:pPr>
            <w:r>
              <w:rPr>
                <w:rFonts w:ascii="Courier New"/>
                <w:w w:val="99"/>
                <w:sz w:val="32"/>
              </w:rPr>
              <w:t>x</w:t>
            </w:r>
          </w:p>
        </w:tc>
        <w:tc>
          <w:tcPr>
            <w:tcW w:w="2561" w:type="dxa"/>
          </w:tcPr>
          <w:p>
            <w:pPr>
              <w:pStyle w:val="TableParagraph"/>
              <w:rPr>
                <w:rFonts w:ascii="Times New Roman"/>
                <w:sz w:val="28"/>
              </w:rPr>
            </w:pPr>
          </w:p>
        </w:tc>
      </w:tr>
      <w:tr>
        <w:trPr>
          <w:trHeight w:val="2258" w:hRule="atLeast"/>
        </w:trPr>
        <w:tc>
          <w:tcPr>
            <w:tcW w:w="3212" w:type="dxa"/>
            <w:shd w:val="clear" w:color="auto" w:fill="00AFEF"/>
          </w:tcPr>
          <w:p>
            <w:pPr>
              <w:pStyle w:val="TableParagraph"/>
              <w:rPr>
                <w:rFonts w:ascii="Courier New"/>
                <w:sz w:val="32"/>
              </w:rPr>
            </w:pPr>
          </w:p>
          <w:p>
            <w:pPr>
              <w:pStyle w:val="TableParagraph"/>
              <w:spacing w:line="429" w:lineRule="auto" w:before="201"/>
              <w:ind w:left="107" w:right="2066"/>
              <w:rPr>
                <w:rFonts w:ascii="Courier New"/>
                <w:b/>
                <w:sz w:val="28"/>
              </w:rPr>
            </w:pPr>
            <w:r>
              <w:rPr>
                <w:rFonts w:ascii="Courier New"/>
                <w:b/>
                <w:sz w:val="28"/>
              </w:rPr>
              <w:t>Silica p.1460</w:t>
            </w:r>
          </w:p>
        </w:tc>
        <w:tc>
          <w:tcPr>
            <w:tcW w:w="3843" w:type="dxa"/>
          </w:tcPr>
          <w:p>
            <w:pPr>
              <w:pStyle w:val="TableParagraph"/>
              <w:spacing w:before="9"/>
              <w:ind w:left="107"/>
              <w:rPr>
                <w:rFonts w:ascii="Courier New"/>
                <w:sz w:val="32"/>
              </w:rPr>
            </w:pPr>
            <w:r>
              <w:rPr>
                <w:rFonts w:ascii="Courier New"/>
                <w:w w:val="99"/>
                <w:sz w:val="32"/>
              </w:rPr>
              <w:t>x</w:t>
            </w:r>
          </w:p>
        </w:tc>
        <w:tc>
          <w:tcPr>
            <w:tcW w:w="4254" w:type="dxa"/>
          </w:tcPr>
          <w:p>
            <w:pPr>
              <w:pStyle w:val="TableParagraph"/>
              <w:spacing w:before="9"/>
              <w:ind w:left="107"/>
              <w:rPr>
                <w:rFonts w:ascii="Courier New"/>
                <w:sz w:val="32"/>
              </w:rPr>
            </w:pPr>
            <w:r>
              <w:rPr>
                <w:rFonts w:ascii="Courier New"/>
                <w:w w:val="99"/>
                <w:sz w:val="32"/>
              </w:rPr>
              <w:t>x</w:t>
            </w:r>
          </w:p>
        </w:tc>
        <w:tc>
          <w:tcPr>
            <w:tcW w:w="3545" w:type="dxa"/>
          </w:tcPr>
          <w:p>
            <w:pPr>
              <w:pStyle w:val="TableParagraph"/>
              <w:spacing w:before="9"/>
              <w:ind w:left="107"/>
              <w:rPr>
                <w:rFonts w:ascii="Courier New"/>
                <w:sz w:val="32"/>
              </w:rPr>
            </w:pPr>
            <w:r>
              <w:rPr>
                <w:rFonts w:ascii="Courier New"/>
                <w:w w:val="99"/>
                <w:sz w:val="32"/>
              </w:rPr>
              <w:t>x</w:t>
            </w:r>
          </w:p>
        </w:tc>
        <w:tc>
          <w:tcPr>
            <w:tcW w:w="2561" w:type="dxa"/>
          </w:tcPr>
          <w:p>
            <w:pPr>
              <w:pStyle w:val="TableParagraph"/>
              <w:rPr>
                <w:rFonts w:ascii="Times New Roman"/>
                <w:sz w:val="28"/>
              </w:rPr>
            </w:pPr>
          </w:p>
        </w:tc>
      </w:tr>
    </w:tbl>
    <w:p>
      <w:pPr>
        <w:spacing w:after="0"/>
        <w:rPr>
          <w:rFonts w:ascii="Times New Roman"/>
          <w:sz w:val="28"/>
        </w:rPr>
        <w:sectPr>
          <w:pgSz w:w="18630" w:h="11910" w:orient="landscape"/>
          <w:pgMar w:header="0" w:footer="404" w:top="840" w:bottom="600" w:left="740" w:right="8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3"/>
        <w:gridCol w:w="1368"/>
        <w:gridCol w:w="3418"/>
        <w:gridCol w:w="3247"/>
        <w:gridCol w:w="3274"/>
        <w:gridCol w:w="3393"/>
      </w:tblGrid>
      <w:tr>
        <w:trPr>
          <w:trHeight w:val="1240" w:hRule="atLeast"/>
        </w:trPr>
        <w:tc>
          <w:tcPr>
            <w:tcW w:w="17393" w:type="dxa"/>
            <w:gridSpan w:val="6"/>
            <w:shd w:val="clear" w:color="auto" w:fill="FAD3B4"/>
          </w:tcPr>
          <w:p>
            <w:pPr>
              <w:pStyle w:val="TableParagraph"/>
              <w:spacing w:before="311"/>
              <w:ind w:left="3049" w:right="3001"/>
              <w:jc w:val="center"/>
              <w:rPr>
                <w:b/>
                <w:sz w:val="36"/>
              </w:rPr>
            </w:pPr>
            <w:r>
              <w:rPr>
                <w:b/>
                <w:sz w:val="36"/>
              </w:rPr>
              <w:t>SUBSTANCE-EFFECT TABLE ANTI-AGEING / REVERSE-AGEING</w:t>
            </w:r>
          </w:p>
          <w:p>
            <w:pPr>
              <w:pStyle w:val="TableParagraph"/>
              <w:spacing w:before="61"/>
              <w:ind w:left="3048" w:right="3001"/>
              <w:jc w:val="center"/>
              <w:rPr>
                <w:b/>
                <w:sz w:val="36"/>
              </w:rPr>
            </w:pPr>
            <w:r>
              <w:rPr>
                <w:b/>
                <w:sz w:val="36"/>
              </w:rPr>
              <w:t>(primary factors)</w:t>
            </w:r>
          </w:p>
        </w:tc>
      </w:tr>
      <w:tr>
        <w:trPr>
          <w:trHeight w:val="2788" w:hRule="atLeast"/>
        </w:trPr>
        <w:tc>
          <w:tcPr>
            <w:tcW w:w="2693" w:type="dxa"/>
            <w:shd w:val="clear" w:color="auto" w:fill="FFFF00"/>
          </w:tcPr>
          <w:p>
            <w:pPr>
              <w:pStyle w:val="TableParagraph"/>
              <w:rPr>
                <w:rFonts w:ascii="Courier New"/>
                <w:sz w:val="32"/>
              </w:rPr>
            </w:pPr>
          </w:p>
          <w:p>
            <w:pPr>
              <w:pStyle w:val="TableParagraph"/>
              <w:spacing w:line="278" w:lineRule="auto" w:before="201"/>
              <w:ind w:left="107" w:right="539"/>
              <w:rPr>
                <w:rFonts w:ascii="Courier New"/>
                <w:b/>
                <w:sz w:val="28"/>
              </w:rPr>
            </w:pPr>
            <w:r>
              <w:rPr>
                <w:rFonts w:ascii="Courier New"/>
                <w:b/>
                <w:sz w:val="28"/>
              </w:rPr>
              <w:t>Natural sub- stance</w:t>
            </w:r>
          </w:p>
        </w:tc>
        <w:tc>
          <w:tcPr>
            <w:tcW w:w="1368" w:type="dxa"/>
            <w:shd w:val="clear" w:color="auto" w:fill="FFFF00"/>
          </w:tcPr>
          <w:p>
            <w:pPr>
              <w:pStyle w:val="TableParagraph"/>
              <w:rPr>
                <w:rFonts w:ascii="Courier New"/>
                <w:sz w:val="32"/>
              </w:rPr>
            </w:pPr>
          </w:p>
          <w:p>
            <w:pPr>
              <w:pStyle w:val="TableParagraph"/>
              <w:spacing w:before="203"/>
              <w:ind w:left="108"/>
              <w:rPr>
                <w:rFonts w:ascii="Courier New"/>
                <w:b/>
                <w:sz w:val="28"/>
              </w:rPr>
            </w:pPr>
            <w:r>
              <w:rPr>
                <w:rFonts w:ascii="Courier New"/>
                <w:b/>
                <w:sz w:val="28"/>
              </w:rPr>
              <w:t>Page</w:t>
            </w:r>
          </w:p>
        </w:tc>
        <w:tc>
          <w:tcPr>
            <w:tcW w:w="3418" w:type="dxa"/>
            <w:shd w:val="clear" w:color="auto" w:fill="FFFF00"/>
          </w:tcPr>
          <w:p>
            <w:pPr>
              <w:pStyle w:val="TableParagraph"/>
              <w:rPr>
                <w:rFonts w:ascii="Courier New"/>
                <w:sz w:val="32"/>
              </w:rPr>
            </w:pPr>
          </w:p>
          <w:p>
            <w:pPr>
              <w:pStyle w:val="TableParagraph"/>
              <w:spacing w:line="276" w:lineRule="auto" w:before="201"/>
              <w:ind w:left="108" w:right="87"/>
              <w:rPr>
                <w:rFonts w:ascii="Courier New"/>
                <w:b/>
                <w:sz w:val="28"/>
              </w:rPr>
            </w:pPr>
            <w:r>
              <w:rPr>
                <w:rFonts w:ascii="Courier New"/>
                <w:b/>
                <w:sz w:val="28"/>
              </w:rPr>
              <w:t>Protection against telomere shortening or extension of te- lomeres</w:t>
            </w:r>
          </w:p>
        </w:tc>
        <w:tc>
          <w:tcPr>
            <w:tcW w:w="3247" w:type="dxa"/>
            <w:shd w:val="clear" w:color="auto" w:fill="FFFF00"/>
          </w:tcPr>
          <w:p>
            <w:pPr>
              <w:pStyle w:val="TableParagraph"/>
              <w:rPr>
                <w:rFonts w:ascii="Courier New"/>
                <w:sz w:val="32"/>
              </w:rPr>
            </w:pPr>
          </w:p>
          <w:p>
            <w:pPr>
              <w:pStyle w:val="TableParagraph"/>
              <w:spacing w:before="203"/>
              <w:ind w:left="108"/>
              <w:rPr>
                <w:rFonts w:ascii="Courier New"/>
                <w:b/>
                <w:sz w:val="28"/>
              </w:rPr>
            </w:pPr>
            <w:r>
              <w:rPr>
                <w:rFonts w:ascii="Courier New"/>
                <w:b/>
                <w:sz w:val="28"/>
              </w:rPr>
              <w:t>Protection against</w:t>
            </w:r>
          </w:p>
          <w:p>
            <w:pPr>
              <w:pStyle w:val="TableParagraph"/>
              <w:spacing w:line="278" w:lineRule="auto" w:before="245"/>
              <w:ind w:left="108" w:right="252"/>
              <w:rPr>
                <w:rFonts w:ascii="Courier New"/>
                <w:b/>
                <w:sz w:val="28"/>
              </w:rPr>
            </w:pPr>
            <w:r>
              <w:rPr>
                <w:rFonts w:ascii="Courier New"/>
                <w:b/>
                <w:sz w:val="28"/>
              </w:rPr>
              <w:t>DNA mutations via antioxidants</w:t>
            </w:r>
          </w:p>
        </w:tc>
        <w:tc>
          <w:tcPr>
            <w:tcW w:w="3274" w:type="dxa"/>
            <w:shd w:val="clear" w:color="auto" w:fill="FFFF00"/>
          </w:tcPr>
          <w:p>
            <w:pPr>
              <w:pStyle w:val="TableParagraph"/>
              <w:rPr>
                <w:rFonts w:ascii="Courier New"/>
                <w:sz w:val="32"/>
              </w:rPr>
            </w:pPr>
          </w:p>
          <w:p>
            <w:pPr>
              <w:pStyle w:val="TableParagraph"/>
              <w:spacing w:line="278" w:lineRule="auto" w:before="201"/>
              <w:ind w:left="108" w:right="111"/>
              <w:rPr>
                <w:rFonts w:ascii="Courier New"/>
                <w:b/>
                <w:sz w:val="28"/>
              </w:rPr>
            </w:pPr>
            <w:r>
              <w:rPr>
                <w:rFonts w:ascii="Courier New"/>
                <w:b/>
                <w:sz w:val="28"/>
              </w:rPr>
              <w:t>Protection against glycation</w:t>
            </w:r>
          </w:p>
        </w:tc>
        <w:tc>
          <w:tcPr>
            <w:tcW w:w="3393" w:type="dxa"/>
            <w:shd w:val="clear" w:color="auto" w:fill="FFFF00"/>
          </w:tcPr>
          <w:p>
            <w:pPr>
              <w:pStyle w:val="TableParagraph"/>
              <w:rPr>
                <w:rFonts w:ascii="Courier New"/>
                <w:sz w:val="32"/>
              </w:rPr>
            </w:pPr>
          </w:p>
          <w:p>
            <w:pPr>
              <w:pStyle w:val="TableParagraph"/>
              <w:spacing w:line="278" w:lineRule="auto" w:before="201"/>
              <w:ind w:left="109" w:right="229"/>
              <w:rPr>
                <w:rFonts w:ascii="Courier New"/>
                <w:b/>
                <w:sz w:val="28"/>
              </w:rPr>
            </w:pPr>
            <w:r>
              <w:rPr>
                <w:rFonts w:ascii="Courier New"/>
                <w:b/>
                <w:sz w:val="28"/>
              </w:rPr>
              <w:t>Protection against epigenetic changes</w:t>
            </w:r>
          </w:p>
        </w:tc>
      </w:tr>
      <w:tr>
        <w:trPr>
          <w:trHeight w:val="930" w:hRule="atLeast"/>
        </w:trPr>
        <w:tc>
          <w:tcPr>
            <w:tcW w:w="2693" w:type="dxa"/>
            <w:shd w:val="clear" w:color="auto" w:fill="00AFEF"/>
          </w:tcPr>
          <w:p>
            <w:pPr>
              <w:pStyle w:val="TableParagraph"/>
              <w:spacing w:line="278" w:lineRule="auto"/>
              <w:ind w:left="107" w:right="539"/>
              <w:rPr>
                <w:rFonts w:ascii="Courier New"/>
                <w:b/>
                <w:sz w:val="28"/>
              </w:rPr>
            </w:pPr>
            <w:r>
              <w:rPr>
                <w:rFonts w:ascii="Courier New"/>
                <w:b/>
                <w:sz w:val="28"/>
              </w:rPr>
              <w:t>Astragalus Membranaceus</w:t>
            </w:r>
          </w:p>
        </w:tc>
        <w:tc>
          <w:tcPr>
            <w:tcW w:w="1368" w:type="dxa"/>
          </w:tcPr>
          <w:p>
            <w:pPr>
              <w:pStyle w:val="TableParagraph"/>
              <w:spacing w:before="6"/>
              <w:ind w:left="108"/>
              <w:rPr>
                <w:rFonts w:ascii="Courier New"/>
                <w:sz w:val="28"/>
              </w:rPr>
            </w:pPr>
            <w:r>
              <w:rPr>
                <w:rFonts w:ascii="Courier New"/>
                <w:sz w:val="28"/>
              </w:rPr>
              <w:t>197</w:t>
            </w:r>
          </w:p>
        </w:tc>
        <w:tc>
          <w:tcPr>
            <w:tcW w:w="3418" w:type="dxa"/>
          </w:tcPr>
          <w:p>
            <w:pPr>
              <w:pStyle w:val="TableParagraph"/>
              <w:spacing w:before="6"/>
              <w:ind w:left="108"/>
              <w:rPr>
                <w:rFonts w:ascii="Courier New"/>
                <w:sz w:val="28"/>
              </w:rPr>
            </w:pPr>
            <w:r>
              <w:rPr>
                <w:rFonts w:ascii="Courier New"/>
                <w:w w:val="100"/>
                <w:sz w:val="28"/>
              </w:rPr>
              <w:t>X</w:t>
            </w:r>
          </w:p>
        </w:tc>
        <w:tc>
          <w:tcPr>
            <w:tcW w:w="3247" w:type="dxa"/>
          </w:tcPr>
          <w:p>
            <w:pPr>
              <w:pStyle w:val="TableParagraph"/>
              <w:spacing w:before="6"/>
              <w:ind w:left="108"/>
              <w:rPr>
                <w:rFonts w:ascii="Courier New"/>
                <w:sz w:val="28"/>
              </w:rPr>
            </w:pPr>
            <w:r>
              <w:rPr>
                <w:rFonts w:ascii="Courier New"/>
                <w:w w:val="100"/>
                <w:sz w:val="28"/>
              </w:rPr>
              <w:t>X</w:t>
            </w:r>
          </w:p>
        </w:tc>
        <w:tc>
          <w:tcPr>
            <w:tcW w:w="3274" w:type="dxa"/>
          </w:tcPr>
          <w:p>
            <w:pPr>
              <w:pStyle w:val="TableParagraph"/>
              <w:spacing w:before="6"/>
              <w:ind w:left="108"/>
              <w:rPr>
                <w:rFonts w:ascii="Courier New"/>
                <w:sz w:val="28"/>
              </w:rPr>
            </w:pPr>
            <w:r>
              <w:rPr>
                <w:rFonts w:ascii="Courier New"/>
                <w:w w:val="100"/>
                <w:sz w:val="28"/>
              </w:rPr>
              <w:t>X</w:t>
            </w:r>
          </w:p>
        </w:tc>
        <w:tc>
          <w:tcPr>
            <w:tcW w:w="3393" w:type="dxa"/>
          </w:tcPr>
          <w:p>
            <w:pPr>
              <w:pStyle w:val="TableParagraph"/>
              <w:rPr>
                <w:rFonts w:ascii="Times New Roman"/>
                <w:sz w:val="28"/>
              </w:rPr>
            </w:pPr>
          </w:p>
        </w:tc>
      </w:tr>
      <w:tr>
        <w:trPr>
          <w:trHeight w:val="563" w:hRule="atLeast"/>
        </w:trPr>
        <w:tc>
          <w:tcPr>
            <w:tcW w:w="2693" w:type="dxa"/>
            <w:shd w:val="clear" w:color="auto" w:fill="00AFEF"/>
          </w:tcPr>
          <w:p>
            <w:pPr>
              <w:pStyle w:val="TableParagraph"/>
              <w:spacing w:line="317" w:lineRule="exact"/>
              <w:ind w:left="107"/>
              <w:rPr>
                <w:rFonts w:ascii="Courier New"/>
                <w:b/>
                <w:sz w:val="28"/>
              </w:rPr>
            </w:pPr>
            <w:r>
              <w:rPr>
                <w:rFonts w:ascii="Courier New"/>
                <w:b/>
                <w:sz w:val="28"/>
              </w:rPr>
              <w:t>L-Carnosine</w:t>
            </w:r>
          </w:p>
        </w:tc>
        <w:tc>
          <w:tcPr>
            <w:tcW w:w="1368" w:type="dxa"/>
          </w:tcPr>
          <w:p>
            <w:pPr>
              <w:pStyle w:val="TableParagraph"/>
              <w:spacing w:before="6"/>
              <w:ind w:left="108"/>
              <w:rPr>
                <w:rFonts w:ascii="Courier New"/>
                <w:sz w:val="28"/>
              </w:rPr>
            </w:pPr>
            <w:r>
              <w:rPr>
                <w:rFonts w:ascii="Courier New"/>
                <w:sz w:val="28"/>
              </w:rPr>
              <w:t>924</w:t>
            </w:r>
          </w:p>
        </w:tc>
        <w:tc>
          <w:tcPr>
            <w:tcW w:w="3418" w:type="dxa"/>
          </w:tcPr>
          <w:p>
            <w:pPr>
              <w:pStyle w:val="TableParagraph"/>
              <w:spacing w:before="6"/>
              <w:ind w:left="108"/>
              <w:rPr>
                <w:rFonts w:ascii="Courier New"/>
                <w:sz w:val="28"/>
              </w:rPr>
            </w:pPr>
            <w:r>
              <w:rPr>
                <w:rFonts w:ascii="Courier New"/>
                <w:w w:val="100"/>
                <w:sz w:val="28"/>
              </w:rPr>
              <w:t>X</w:t>
            </w:r>
          </w:p>
        </w:tc>
        <w:tc>
          <w:tcPr>
            <w:tcW w:w="3247" w:type="dxa"/>
          </w:tcPr>
          <w:p>
            <w:pPr>
              <w:pStyle w:val="TableParagraph"/>
              <w:spacing w:before="6"/>
              <w:ind w:left="108"/>
              <w:rPr>
                <w:rFonts w:ascii="Courier New"/>
                <w:sz w:val="28"/>
              </w:rPr>
            </w:pPr>
            <w:r>
              <w:rPr>
                <w:rFonts w:ascii="Courier New"/>
                <w:w w:val="100"/>
                <w:sz w:val="28"/>
              </w:rPr>
              <w:t>X</w:t>
            </w:r>
          </w:p>
        </w:tc>
        <w:tc>
          <w:tcPr>
            <w:tcW w:w="3274" w:type="dxa"/>
          </w:tcPr>
          <w:p>
            <w:pPr>
              <w:pStyle w:val="TableParagraph"/>
              <w:spacing w:before="6"/>
              <w:ind w:left="108"/>
              <w:rPr>
                <w:rFonts w:ascii="Courier New"/>
                <w:sz w:val="28"/>
              </w:rPr>
            </w:pPr>
            <w:r>
              <w:rPr>
                <w:rFonts w:ascii="Courier New"/>
                <w:w w:val="100"/>
                <w:sz w:val="28"/>
              </w:rPr>
              <w:t>X</w:t>
            </w:r>
          </w:p>
        </w:tc>
        <w:tc>
          <w:tcPr>
            <w:tcW w:w="3393" w:type="dxa"/>
          </w:tcPr>
          <w:p>
            <w:pPr>
              <w:pStyle w:val="TableParagraph"/>
              <w:rPr>
                <w:rFonts w:ascii="Times New Roman"/>
                <w:sz w:val="28"/>
              </w:rPr>
            </w:pPr>
          </w:p>
        </w:tc>
      </w:tr>
      <w:tr>
        <w:trPr>
          <w:trHeight w:val="566" w:hRule="atLeast"/>
        </w:trPr>
        <w:tc>
          <w:tcPr>
            <w:tcW w:w="2693" w:type="dxa"/>
            <w:shd w:val="clear" w:color="auto" w:fill="00AFEF"/>
          </w:tcPr>
          <w:p>
            <w:pPr>
              <w:pStyle w:val="TableParagraph"/>
              <w:ind w:left="107"/>
              <w:rPr>
                <w:rFonts w:ascii="Courier New"/>
                <w:b/>
                <w:sz w:val="28"/>
              </w:rPr>
            </w:pPr>
            <w:r>
              <w:rPr>
                <w:rFonts w:ascii="Courier New"/>
                <w:b/>
                <w:sz w:val="28"/>
              </w:rPr>
              <w:t>Melatonin</w:t>
            </w:r>
          </w:p>
        </w:tc>
        <w:tc>
          <w:tcPr>
            <w:tcW w:w="1368" w:type="dxa"/>
          </w:tcPr>
          <w:p>
            <w:pPr>
              <w:pStyle w:val="TableParagraph"/>
              <w:spacing w:before="7"/>
              <w:ind w:left="108"/>
              <w:rPr>
                <w:rFonts w:ascii="Courier New"/>
                <w:sz w:val="28"/>
              </w:rPr>
            </w:pPr>
            <w:r>
              <w:rPr>
                <w:rFonts w:ascii="Courier New"/>
                <w:sz w:val="28"/>
              </w:rPr>
              <w:t>954</w:t>
            </w:r>
          </w:p>
        </w:tc>
        <w:tc>
          <w:tcPr>
            <w:tcW w:w="3418" w:type="dxa"/>
          </w:tcPr>
          <w:p>
            <w:pPr>
              <w:pStyle w:val="TableParagraph"/>
              <w:rPr>
                <w:rFonts w:ascii="Times New Roman"/>
                <w:sz w:val="28"/>
              </w:rPr>
            </w:pPr>
          </w:p>
        </w:tc>
        <w:tc>
          <w:tcPr>
            <w:tcW w:w="3247" w:type="dxa"/>
          </w:tcPr>
          <w:p>
            <w:pPr>
              <w:pStyle w:val="TableParagraph"/>
              <w:spacing w:before="7"/>
              <w:ind w:left="108"/>
              <w:rPr>
                <w:rFonts w:ascii="Courier New"/>
                <w:sz w:val="28"/>
              </w:rPr>
            </w:pPr>
            <w:r>
              <w:rPr>
                <w:rFonts w:ascii="Courier New"/>
                <w:w w:val="100"/>
                <w:sz w:val="28"/>
              </w:rPr>
              <w:t>X</w:t>
            </w:r>
          </w:p>
        </w:tc>
        <w:tc>
          <w:tcPr>
            <w:tcW w:w="3274" w:type="dxa"/>
          </w:tcPr>
          <w:p>
            <w:pPr>
              <w:pStyle w:val="TableParagraph"/>
              <w:rPr>
                <w:rFonts w:ascii="Times New Roman"/>
                <w:sz w:val="28"/>
              </w:rPr>
            </w:pPr>
          </w:p>
        </w:tc>
        <w:tc>
          <w:tcPr>
            <w:tcW w:w="3393" w:type="dxa"/>
          </w:tcPr>
          <w:p>
            <w:pPr>
              <w:pStyle w:val="TableParagraph"/>
              <w:rPr>
                <w:rFonts w:ascii="Times New Roman"/>
                <w:sz w:val="28"/>
              </w:rPr>
            </w:pPr>
          </w:p>
        </w:tc>
      </w:tr>
      <w:tr>
        <w:trPr>
          <w:trHeight w:val="563" w:hRule="atLeast"/>
        </w:trPr>
        <w:tc>
          <w:tcPr>
            <w:tcW w:w="2693" w:type="dxa"/>
            <w:shd w:val="clear" w:color="auto" w:fill="00AFEF"/>
          </w:tcPr>
          <w:p>
            <w:pPr>
              <w:pStyle w:val="TableParagraph"/>
              <w:spacing w:line="317" w:lineRule="exact"/>
              <w:ind w:left="107"/>
              <w:rPr>
                <w:rFonts w:ascii="Courier New"/>
                <w:b/>
                <w:sz w:val="28"/>
              </w:rPr>
            </w:pPr>
            <w:r>
              <w:rPr>
                <w:rFonts w:ascii="Courier New"/>
                <w:b/>
                <w:sz w:val="28"/>
              </w:rPr>
              <w:t>Resveratrol</w:t>
            </w:r>
          </w:p>
        </w:tc>
        <w:tc>
          <w:tcPr>
            <w:tcW w:w="1368" w:type="dxa"/>
          </w:tcPr>
          <w:p>
            <w:pPr>
              <w:pStyle w:val="TableParagraph"/>
              <w:spacing w:before="6"/>
              <w:ind w:left="108"/>
              <w:rPr>
                <w:rFonts w:ascii="Courier New"/>
                <w:sz w:val="28"/>
              </w:rPr>
            </w:pPr>
            <w:r>
              <w:rPr>
                <w:rFonts w:ascii="Courier New"/>
                <w:sz w:val="28"/>
              </w:rPr>
              <w:t>1340</w:t>
            </w:r>
          </w:p>
        </w:tc>
        <w:tc>
          <w:tcPr>
            <w:tcW w:w="3418" w:type="dxa"/>
          </w:tcPr>
          <w:p>
            <w:pPr>
              <w:pStyle w:val="TableParagraph"/>
              <w:rPr>
                <w:rFonts w:ascii="Times New Roman"/>
                <w:sz w:val="28"/>
              </w:rPr>
            </w:pPr>
          </w:p>
        </w:tc>
        <w:tc>
          <w:tcPr>
            <w:tcW w:w="3247" w:type="dxa"/>
          </w:tcPr>
          <w:p>
            <w:pPr>
              <w:pStyle w:val="TableParagraph"/>
              <w:spacing w:before="6"/>
              <w:ind w:left="108"/>
              <w:rPr>
                <w:rFonts w:ascii="Courier New"/>
                <w:sz w:val="28"/>
              </w:rPr>
            </w:pPr>
            <w:r>
              <w:rPr>
                <w:rFonts w:ascii="Courier New"/>
                <w:w w:val="100"/>
                <w:sz w:val="28"/>
              </w:rPr>
              <w:t>X</w:t>
            </w:r>
          </w:p>
        </w:tc>
        <w:tc>
          <w:tcPr>
            <w:tcW w:w="3274" w:type="dxa"/>
          </w:tcPr>
          <w:p>
            <w:pPr>
              <w:pStyle w:val="TableParagraph"/>
              <w:rPr>
                <w:rFonts w:ascii="Times New Roman"/>
                <w:sz w:val="28"/>
              </w:rPr>
            </w:pPr>
          </w:p>
        </w:tc>
        <w:tc>
          <w:tcPr>
            <w:tcW w:w="3393" w:type="dxa"/>
          </w:tcPr>
          <w:p>
            <w:pPr>
              <w:pStyle w:val="TableParagraph"/>
              <w:spacing w:before="6"/>
              <w:ind w:left="109"/>
              <w:rPr>
                <w:rFonts w:ascii="Courier New"/>
                <w:sz w:val="28"/>
              </w:rPr>
            </w:pPr>
            <w:r>
              <w:rPr>
                <w:rFonts w:ascii="Courier New"/>
                <w:w w:val="100"/>
                <w:sz w:val="28"/>
              </w:rPr>
              <w:t>X</w:t>
            </w:r>
          </w:p>
        </w:tc>
      </w:tr>
      <w:tr>
        <w:trPr>
          <w:trHeight w:val="565" w:hRule="atLeast"/>
        </w:trPr>
        <w:tc>
          <w:tcPr>
            <w:tcW w:w="2693" w:type="dxa"/>
            <w:shd w:val="clear" w:color="auto" w:fill="00AFEF"/>
          </w:tcPr>
          <w:p>
            <w:pPr>
              <w:pStyle w:val="TableParagraph"/>
              <w:spacing w:line="317" w:lineRule="exact"/>
              <w:ind w:left="107"/>
              <w:rPr>
                <w:rFonts w:ascii="Courier New"/>
                <w:b/>
                <w:sz w:val="28"/>
              </w:rPr>
            </w:pPr>
            <w:r>
              <w:rPr>
                <w:rFonts w:ascii="Courier New"/>
                <w:b/>
                <w:sz w:val="28"/>
              </w:rPr>
              <w:t>Selenium</w:t>
            </w:r>
          </w:p>
        </w:tc>
        <w:tc>
          <w:tcPr>
            <w:tcW w:w="1368" w:type="dxa"/>
          </w:tcPr>
          <w:p>
            <w:pPr>
              <w:pStyle w:val="TableParagraph"/>
              <w:spacing w:before="6"/>
              <w:ind w:left="108"/>
              <w:rPr>
                <w:rFonts w:ascii="Courier New"/>
                <w:sz w:val="28"/>
              </w:rPr>
            </w:pPr>
            <w:r>
              <w:rPr>
                <w:rFonts w:ascii="Courier New"/>
                <w:sz w:val="28"/>
              </w:rPr>
              <w:t>1405</w:t>
            </w:r>
          </w:p>
        </w:tc>
        <w:tc>
          <w:tcPr>
            <w:tcW w:w="3418" w:type="dxa"/>
          </w:tcPr>
          <w:p>
            <w:pPr>
              <w:pStyle w:val="TableParagraph"/>
              <w:rPr>
                <w:rFonts w:ascii="Times New Roman"/>
                <w:sz w:val="28"/>
              </w:rPr>
            </w:pPr>
          </w:p>
        </w:tc>
        <w:tc>
          <w:tcPr>
            <w:tcW w:w="3247" w:type="dxa"/>
          </w:tcPr>
          <w:p>
            <w:pPr>
              <w:pStyle w:val="TableParagraph"/>
              <w:spacing w:before="6"/>
              <w:ind w:left="108"/>
              <w:rPr>
                <w:rFonts w:ascii="Courier New"/>
                <w:sz w:val="28"/>
              </w:rPr>
            </w:pPr>
            <w:r>
              <w:rPr>
                <w:rFonts w:ascii="Courier New"/>
                <w:w w:val="100"/>
                <w:sz w:val="28"/>
              </w:rPr>
              <w:t>X</w:t>
            </w:r>
          </w:p>
        </w:tc>
        <w:tc>
          <w:tcPr>
            <w:tcW w:w="3274" w:type="dxa"/>
          </w:tcPr>
          <w:p>
            <w:pPr>
              <w:pStyle w:val="TableParagraph"/>
              <w:rPr>
                <w:rFonts w:ascii="Times New Roman"/>
                <w:sz w:val="28"/>
              </w:rPr>
            </w:pPr>
          </w:p>
        </w:tc>
        <w:tc>
          <w:tcPr>
            <w:tcW w:w="3393" w:type="dxa"/>
          </w:tcPr>
          <w:p>
            <w:pPr>
              <w:pStyle w:val="TableParagraph"/>
              <w:rPr>
                <w:rFonts w:ascii="Times New Roman"/>
                <w:sz w:val="28"/>
              </w:rPr>
            </w:pPr>
          </w:p>
        </w:tc>
      </w:tr>
      <w:tr>
        <w:trPr>
          <w:trHeight w:val="563" w:hRule="atLeast"/>
        </w:trPr>
        <w:tc>
          <w:tcPr>
            <w:tcW w:w="2693" w:type="dxa"/>
            <w:shd w:val="clear" w:color="auto" w:fill="00AFEF"/>
          </w:tcPr>
          <w:p>
            <w:pPr>
              <w:pStyle w:val="TableParagraph"/>
              <w:spacing w:line="317" w:lineRule="exact"/>
              <w:ind w:left="107"/>
              <w:rPr>
                <w:rFonts w:ascii="Courier New"/>
                <w:b/>
                <w:sz w:val="28"/>
              </w:rPr>
            </w:pPr>
            <w:r>
              <w:rPr>
                <w:rFonts w:ascii="Courier New"/>
                <w:b/>
                <w:sz w:val="28"/>
              </w:rPr>
              <w:t>Colloidal gold</w:t>
            </w:r>
          </w:p>
        </w:tc>
        <w:tc>
          <w:tcPr>
            <w:tcW w:w="1368" w:type="dxa"/>
          </w:tcPr>
          <w:p>
            <w:pPr>
              <w:pStyle w:val="TableParagraph"/>
              <w:spacing w:before="6"/>
              <w:ind w:left="108"/>
              <w:rPr>
                <w:rFonts w:ascii="Courier New"/>
                <w:sz w:val="28"/>
              </w:rPr>
            </w:pPr>
            <w:r>
              <w:rPr>
                <w:rFonts w:ascii="Courier New"/>
                <w:sz w:val="28"/>
              </w:rPr>
              <w:t>642</w:t>
            </w:r>
          </w:p>
        </w:tc>
        <w:tc>
          <w:tcPr>
            <w:tcW w:w="3418" w:type="dxa"/>
          </w:tcPr>
          <w:p>
            <w:pPr>
              <w:pStyle w:val="TableParagraph"/>
              <w:rPr>
                <w:rFonts w:ascii="Times New Roman"/>
                <w:sz w:val="28"/>
              </w:rPr>
            </w:pPr>
          </w:p>
        </w:tc>
        <w:tc>
          <w:tcPr>
            <w:tcW w:w="3247" w:type="dxa"/>
          </w:tcPr>
          <w:p>
            <w:pPr>
              <w:pStyle w:val="TableParagraph"/>
              <w:spacing w:before="6"/>
              <w:ind w:left="108"/>
              <w:rPr>
                <w:rFonts w:ascii="Courier New"/>
                <w:sz w:val="28"/>
              </w:rPr>
            </w:pPr>
            <w:r>
              <w:rPr>
                <w:rFonts w:ascii="Courier New"/>
                <w:w w:val="100"/>
                <w:sz w:val="28"/>
              </w:rPr>
              <w:t>X</w:t>
            </w:r>
          </w:p>
        </w:tc>
        <w:tc>
          <w:tcPr>
            <w:tcW w:w="3274" w:type="dxa"/>
          </w:tcPr>
          <w:p>
            <w:pPr>
              <w:pStyle w:val="TableParagraph"/>
              <w:spacing w:before="6"/>
              <w:ind w:left="108"/>
              <w:rPr>
                <w:rFonts w:ascii="Courier New"/>
                <w:sz w:val="28"/>
              </w:rPr>
            </w:pPr>
            <w:r>
              <w:rPr>
                <w:rFonts w:ascii="Courier New"/>
                <w:w w:val="100"/>
                <w:sz w:val="28"/>
              </w:rPr>
              <w:t>x</w:t>
            </w:r>
          </w:p>
        </w:tc>
        <w:tc>
          <w:tcPr>
            <w:tcW w:w="3393" w:type="dxa"/>
          </w:tcPr>
          <w:p>
            <w:pPr>
              <w:pStyle w:val="TableParagraph"/>
              <w:spacing w:before="6"/>
              <w:ind w:left="109"/>
              <w:rPr>
                <w:rFonts w:ascii="Courier New"/>
                <w:sz w:val="28"/>
              </w:rPr>
            </w:pPr>
            <w:r>
              <w:rPr>
                <w:rFonts w:ascii="Courier New"/>
                <w:w w:val="100"/>
                <w:sz w:val="28"/>
              </w:rPr>
              <w:t>x</w:t>
            </w:r>
          </w:p>
        </w:tc>
      </w:tr>
      <w:tr>
        <w:trPr>
          <w:trHeight w:val="566" w:hRule="atLeast"/>
        </w:trPr>
        <w:tc>
          <w:tcPr>
            <w:tcW w:w="2693" w:type="dxa"/>
            <w:shd w:val="clear" w:color="auto" w:fill="00AFEF"/>
          </w:tcPr>
          <w:p>
            <w:pPr>
              <w:pStyle w:val="TableParagraph"/>
              <w:spacing w:line="317" w:lineRule="exact"/>
              <w:ind w:left="107"/>
              <w:rPr>
                <w:rFonts w:ascii="Courier New"/>
                <w:b/>
                <w:sz w:val="28"/>
              </w:rPr>
            </w:pPr>
            <w:r>
              <w:rPr>
                <w:rFonts w:ascii="Courier New"/>
                <w:b/>
                <w:sz w:val="28"/>
              </w:rPr>
              <w:t>Colostrum</w:t>
            </w:r>
          </w:p>
        </w:tc>
        <w:tc>
          <w:tcPr>
            <w:tcW w:w="1368" w:type="dxa"/>
          </w:tcPr>
          <w:p>
            <w:pPr>
              <w:pStyle w:val="TableParagraph"/>
              <w:spacing w:before="6"/>
              <w:ind w:left="108"/>
              <w:rPr>
                <w:rFonts w:ascii="Courier New"/>
                <w:sz w:val="28"/>
              </w:rPr>
            </w:pPr>
            <w:r>
              <w:rPr>
                <w:rFonts w:ascii="Courier New"/>
                <w:sz w:val="28"/>
              </w:rPr>
              <w:t>264</w:t>
            </w:r>
          </w:p>
        </w:tc>
        <w:tc>
          <w:tcPr>
            <w:tcW w:w="3418" w:type="dxa"/>
          </w:tcPr>
          <w:p>
            <w:pPr>
              <w:pStyle w:val="TableParagraph"/>
              <w:spacing w:before="6"/>
              <w:ind w:left="108"/>
              <w:rPr>
                <w:rFonts w:ascii="Courier New"/>
                <w:sz w:val="28"/>
              </w:rPr>
            </w:pPr>
            <w:r>
              <w:rPr>
                <w:rFonts w:ascii="Courier New"/>
                <w:w w:val="100"/>
                <w:sz w:val="28"/>
              </w:rPr>
              <w:t>X</w:t>
            </w:r>
          </w:p>
        </w:tc>
        <w:tc>
          <w:tcPr>
            <w:tcW w:w="3247" w:type="dxa"/>
          </w:tcPr>
          <w:p>
            <w:pPr>
              <w:pStyle w:val="TableParagraph"/>
              <w:spacing w:before="6"/>
              <w:ind w:left="108"/>
              <w:rPr>
                <w:rFonts w:ascii="Courier New"/>
                <w:sz w:val="28"/>
              </w:rPr>
            </w:pPr>
            <w:r>
              <w:rPr>
                <w:rFonts w:ascii="Courier New"/>
                <w:w w:val="100"/>
                <w:sz w:val="28"/>
              </w:rPr>
              <w:t>X</w:t>
            </w:r>
          </w:p>
        </w:tc>
        <w:tc>
          <w:tcPr>
            <w:tcW w:w="3274" w:type="dxa"/>
          </w:tcPr>
          <w:p>
            <w:pPr>
              <w:pStyle w:val="TableParagraph"/>
              <w:rPr>
                <w:rFonts w:ascii="Times New Roman"/>
                <w:sz w:val="28"/>
              </w:rPr>
            </w:pPr>
          </w:p>
        </w:tc>
        <w:tc>
          <w:tcPr>
            <w:tcW w:w="3393" w:type="dxa"/>
          </w:tcPr>
          <w:p>
            <w:pPr>
              <w:pStyle w:val="TableParagraph"/>
              <w:rPr>
                <w:rFonts w:ascii="Times New Roman"/>
                <w:sz w:val="28"/>
              </w:rPr>
            </w:pPr>
          </w:p>
        </w:tc>
      </w:tr>
    </w:tbl>
    <w:p>
      <w:pPr>
        <w:spacing w:after="0"/>
        <w:rPr>
          <w:rFonts w:ascii="Times New Roman"/>
          <w:sz w:val="28"/>
        </w:rPr>
        <w:sectPr>
          <w:pgSz w:w="18630" w:h="11910" w:orient="landscape"/>
          <w:pgMar w:header="0" w:footer="404" w:top="840" w:bottom="600" w:left="740" w:right="8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3"/>
        <w:gridCol w:w="1368"/>
        <w:gridCol w:w="3418"/>
        <w:gridCol w:w="3247"/>
        <w:gridCol w:w="3274"/>
        <w:gridCol w:w="3432"/>
      </w:tblGrid>
      <w:tr>
        <w:trPr>
          <w:trHeight w:val="564" w:hRule="atLeast"/>
        </w:trPr>
        <w:tc>
          <w:tcPr>
            <w:tcW w:w="2693" w:type="dxa"/>
            <w:shd w:val="clear" w:color="auto" w:fill="00AFEF"/>
          </w:tcPr>
          <w:p>
            <w:pPr>
              <w:pStyle w:val="TableParagraph"/>
              <w:spacing w:line="317" w:lineRule="exact"/>
              <w:ind w:left="107"/>
              <w:rPr>
                <w:rFonts w:ascii="Courier New"/>
                <w:b/>
                <w:sz w:val="28"/>
              </w:rPr>
            </w:pPr>
            <w:r>
              <w:rPr>
                <w:rFonts w:ascii="Courier New"/>
                <w:b/>
                <w:sz w:val="28"/>
              </w:rPr>
              <w:t>Kombucha</w:t>
            </w:r>
          </w:p>
        </w:tc>
        <w:tc>
          <w:tcPr>
            <w:tcW w:w="1368" w:type="dxa"/>
          </w:tcPr>
          <w:p>
            <w:pPr>
              <w:pStyle w:val="TableParagraph"/>
              <w:spacing w:before="6"/>
              <w:ind w:left="108"/>
              <w:rPr>
                <w:rFonts w:ascii="Courier New"/>
                <w:sz w:val="28"/>
              </w:rPr>
            </w:pPr>
            <w:r>
              <w:rPr>
                <w:rFonts w:ascii="Courier New"/>
                <w:sz w:val="28"/>
              </w:rPr>
              <w:t>731</w:t>
            </w:r>
          </w:p>
        </w:tc>
        <w:tc>
          <w:tcPr>
            <w:tcW w:w="3418" w:type="dxa"/>
          </w:tcPr>
          <w:p>
            <w:pPr>
              <w:pStyle w:val="TableParagraph"/>
              <w:rPr>
                <w:rFonts w:ascii="Times New Roman"/>
                <w:sz w:val="28"/>
              </w:rPr>
            </w:pPr>
          </w:p>
        </w:tc>
        <w:tc>
          <w:tcPr>
            <w:tcW w:w="3247" w:type="dxa"/>
          </w:tcPr>
          <w:p>
            <w:pPr>
              <w:pStyle w:val="TableParagraph"/>
              <w:spacing w:before="6"/>
              <w:ind w:left="108"/>
              <w:rPr>
                <w:rFonts w:ascii="Courier New"/>
                <w:sz w:val="28"/>
              </w:rPr>
            </w:pPr>
            <w:r>
              <w:rPr>
                <w:rFonts w:ascii="Courier New"/>
                <w:w w:val="100"/>
                <w:sz w:val="28"/>
              </w:rPr>
              <w:t>X</w:t>
            </w:r>
          </w:p>
        </w:tc>
        <w:tc>
          <w:tcPr>
            <w:tcW w:w="3274" w:type="dxa"/>
          </w:tcPr>
          <w:p>
            <w:pPr>
              <w:pStyle w:val="TableParagraph"/>
              <w:rPr>
                <w:rFonts w:ascii="Times New Roman"/>
                <w:sz w:val="28"/>
              </w:rPr>
            </w:pPr>
          </w:p>
        </w:tc>
        <w:tc>
          <w:tcPr>
            <w:tcW w:w="3432" w:type="dxa"/>
          </w:tcPr>
          <w:p>
            <w:pPr>
              <w:pStyle w:val="TableParagraph"/>
              <w:rPr>
                <w:rFonts w:ascii="Times New Roman"/>
                <w:sz w:val="28"/>
              </w:rPr>
            </w:pPr>
          </w:p>
        </w:tc>
      </w:tr>
      <w:tr>
        <w:trPr>
          <w:trHeight w:val="930" w:hRule="atLeast"/>
        </w:trPr>
        <w:tc>
          <w:tcPr>
            <w:tcW w:w="2693" w:type="dxa"/>
            <w:shd w:val="clear" w:color="auto" w:fill="00AFEF"/>
          </w:tcPr>
          <w:p>
            <w:pPr>
              <w:pStyle w:val="TableParagraph"/>
              <w:spacing w:line="278" w:lineRule="auto"/>
              <w:ind w:left="107" w:right="371"/>
              <w:rPr>
                <w:rFonts w:ascii="Courier New"/>
                <w:b/>
                <w:sz w:val="28"/>
              </w:rPr>
            </w:pPr>
            <w:r>
              <w:rPr>
                <w:rFonts w:ascii="Courier New"/>
                <w:b/>
                <w:sz w:val="28"/>
              </w:rPr>
              <w:t>Omega-3 fatty acids</w:t>
            </w:r>
          </w:p>
        </w:tc>
        <w:tc>
          <w:tcPr>
            <w:tcW w:w="1368" w:type="dxa"/>
          </w:tcPr>
          <w:p>
            <w:pPr>
              <w:pStyle w:val="TableParagraph"/>
              <w:spacing w:before="6"/>
              <w:ind w:left="108"/>
              <w:rPr>
                <w:rFonts w:ascii="Courier New"/>
                <w:sz w:val="28"/>
              </w:rPr>
            </w:pPr>
            <w:r>
              <w:rPr>
                <w:rFonts w:ascii="Courier New"/>
                <w:sz w:val="28"/>
              </w:rPr>
              <w:t>1036</w:t>
            </w:r>
          </w:p>
        </w:tc>
        <w:tc>
          <w:tcPr>
            <w:tcW w:w="3418" w:type="dxa"/>
          </w:tcPr>
          <w:p>
            <w:pPr>
              <w:pStyle w:val="TableParagraph"/>
              <w:spacing w:before="6"/>
              <w:ind w:left="108"/>
              <w:rPr>
                <w:rFonts w:ascii="Courier New"/>
                <w:sz w:val="28"/>
              </w:rPr>
            </w:pPr>
            <w:r>
              <w:rPr>
                <w:rFonts w:ascii="Courier New"/>
                <w:w w:val="100"/>
                <w:sz w:val="28"/>
              </w:rPr>
              <w:t>X</w:t>
            </w:r>
          </w:p>
        </w:tc>
        <w:tc>
          <w:tcPr>
            <w:tcW w:w="3247" w:type="dxa"/>
          </w:tcPr>
          <w:p>
            <w:pPr>
              <w:pStyle w:val="TableParagraph"/>
              <w:spacing w:before="6"/>
              <w:ind w:left="108"/>
              <w:rPr>
                <w:rFonts w:ascii="Courier New"/>
                <w:sz w:val="28"/>
              </w:rPr>
            </w:pPr>
            <w:r>
              <w:rPr>
                <w:rFonts w:ascii="Courier New"/>
                <w:w w:val="100"/>
                <w:sz w:val="28"/>
              </w:rPr>
              <w:t>X</w:t>
            </w:r>
          </w:p>
        </w:tc>
        <w:tc>
          <w:tcPr>
            <w:tcW w:w="3274" w:type="dxa"/>
          </w:tcPr>
          <w:p>
            <w:pPr>
              <w:pStyle w:val="TableParagraph"/>
              <w:rPr>
                <w:rFonts w:ascii="Times New Roman"/>
                <w:sz w:val="28"/>
              </w:rPr>
            </w:pPr>
          </w:p>
        </w:tc>
        <w:tc>
          <w:tcPr>
            <w:tcW w:w="3432" w:type="dxa"/>
          </w:tcPr>
          <w:p>
            <w:pPr>
              <w:pStyle w:val="TableParagraph"/>
              <w:rPr>
                <w:rFonts w:ascii="Times New Roman"/>
                <w:sz w:val="28"/>
              </w:rPr>
            </w:pPr>
          </w:p>
        </w:tc>
      </w:tr>
      <w:tr>
        <w:trPr>
          <w:trHeight w:val="928" w:hRule="atLeast"/>
        </w:trPr>
        <w:tc>
          <w:tcPr>
            <w:tcW w:w="2693" w:type="dxa"/>
            <w:shd w:val="clear" w:color="auto" w:fill="00AFEF"/>
          </w:tcPr>
          <w:p>
            <w:pPr>
              <w:pStyle w:val="TableParagraph"/>
              <w:spacing w:line="278" w:lineRule="auto"/>
              <w:ind w:left="107" w:right="539"/>
              <w:rPr>
                <w:rFonts w:ascii="Courier New"/>
                <w:b/>
                <w:sz w:val="28"/>
              </w:rPr>
            </w:pPr>
            <w:r>
              <w:rPr>
                <w:rFonts w:ascii="Courier New"/>
                <w:b/>
                <w:sz w:val="28"/>
              </w:rPr>
              <w:t>Alpha-lipoic acid</w:t>
            </w:r>
          </w:p>
        </w:tc>
        <w:tc>
          <w:tcPr>
            <w:tcW w:w="1368" w:type="dxa"/>
          </w:tcPr>
          <w:p>
            <w:pPr>
              <w:pStyle w:val="TableParagraph"/>
              <w:spacing w:before="6"/>
              <w:ind w:left="108"/>
              <w:rPr>
                <w:rFonts w:ascii="Courier New"/>
                <w:sz w:val="28"/>
              </w:rPr>
            </w:pPr>
            <w:r>
              <w:rPr>
                <w:rFonts w:ascii="Courier New"/>
                <w:sz w:val="28"/>
              </w:rPr>
              <w:t>86</w:t>
            </w:r>
          </w:p>
        </w:tc>
        <w:tc>
          <w:tcPr>
            <w:tcW w:w="3418" w:type="dxa"/>
          </w:tcPr>
          <w:p>
            <w:pPr>
              <w:pStyle w:val="TableParagraph"/>
              <w:rPr>
                <w:rFonts w:ascii="Times New Roman"/>
                <w:sz w:val="28"/>
              </w:rPr>
            </w:pPr>
          </w:p>
        </w:tc>
        <w:tc>
          <w:tcPr>
            <w:tcW w:w="3247" w:type="dxa"/>
          </w:tcPr>
          <w:p>
            <w:pPr>
              <w:pStyle w:val="TableParagraph"/>
              <w:spacing w:before="6"/>
              <w:ind w:left="108"/>
              <w:rPr>
                <w:rFonts w:ascii="Courier New"/>
                <w:sz w:val="28"/>
              </w:rPr>
            </w:pPr>
            <w:r>
              <w:rPr>
                <w:rFonts w:ascii="Courier New"/>
                <w:w w:val="100"/>
                <w:sz w:val="28"/>
              </w:rPr>
              <w:t>X</w:t>
            </w:r>
          </w:p>
        </w:tc>
        <w:tc>
          <w:tcPr>
            <w:tcW w:w="3274" w:type="dxa"/>
          </w:tcPr>
          <w:p>
            <w:pPr>
              <w:pStyle w:val="TableParagraph"/>
              <w:rPr>
                <w:rFonts w:ascii="Times New Roman"/>
                <w:sz w:val="28"/>
              </w:rPr>
            </w:pPr>
          </w:p>
        </w:tc>
        <w:tc>
          <w:tcPr>
            <w:tcW w:w="3432" w:type="dxa"/>
          </w:tcPr>
          <w:p>
            <w:pPr>
              <w:pStyle w:val="TableParagraph"/>
              <w:spacing w:before="6"/>
              <w:ind w:left="109"/>
              <w:rPr>
                <w:rFonts w:ascii="Courier New"/>
                <w:sz w:val="28"/>
              </w:rPr>
            </w:pPr>
            <w:r>
              <w:rPr>
                <w:rFonts w:ascii="Courier New"/>
                <w:w w:val="100"/>
                <w:sz w:val="28"/>
              </w:rPr>
              <w:t>X</w:t>
            </w:r>
          </w:p>
        </w:tc>
      </w:tr>
      <w:tr>
        <w:trPr>
          <w:trHeight w:val="1130" w:hRule="atLeast"/>
        </w:trPr>
        <w:tc>
          <w:tcPr>
            <w:tcW w:w="2693" w:type="dxa"/>
            <w:shd w:val="clear" w:color="auto" w:fill="00AFEF"/>
          </w:tcPr>
          <w:p>
            <w:pPr>
              <w:pStyle w:val="TableParagraph"/>
              <w:spacing w:line="317" w:lineRule="exact"/>
              <w:ind w:left="107"/>
              <w:rPr>
                <w:rFonts w:ascii="Courier New"/>
                <w:b/>
                <w:sz w:val="28"/>
              </w:rPr>
            </w:pPr>
            <w:r>
              <w:rPr>
                <w:rFonts w:ascii="Courier New"/>
                <w:b/>
                <w:sz w:val="28"/>
              </w:rPr>
              <w:t>Acetyl-</w:t>
            </w:r>
          </w:p>
          <w:p>
            <w:pPr>
              <w:pStyle w:val="TableParagraph"/>
              <w:spacing w:before="247"/>
              <w:ind w:left="107"/>
              <w:rPr>
                <w:rFonts w:ascii="Courier New"/>
                <w:b/>
                <w:sz w:val="28"/>
              </w:rPr>
            </w:pPr>
            <w:r>
              <w:rPr>
                <w:rFonts w:ascii="Courier New"/>
                <w:b/>
                <w:sz w:val="28"/>
              </w:rPr>
              <w:t>L-Carnitine</w:t>
            </w:r>
          </w:p>
        </w:tc>
        <w:tc>
          <w:tcPr>
            <w:tcW w:w="1368" w:type="dxa"/>
          </w:tcPr>
          <w:p>
            <w:pPr>
              <w:pStyle w:val="TableParagraph"/>
              <w:spacing w:before="6"/>
              <w:ind w:left="108"/>
              <w:rPr>
                <w:rFonts w:ascii="Courier New"/>
                <w:sz w:val="28"/>
              </w:rPr>
            </w:pPr>
            <w:r>
              <w:rPr>
                <w:rFonts w:ascii="Courier New"/>
                <w:sz w:val="28"/>
              </w:rPr>
              <w:t>866</w:t>
            </w:r>
          </w:p>
        </w:tc>
        <w:tc>
          <w:tcPr>
            <w:tcW w:w="3418" w:type="dxa"/>
          </w:tcPr>
          <w:p>
            <w:pPr>
              <w:pStyle w:val="TableParagraph"/>
              <w:rPr>
                <w:rFonts w:ascii="Times New Roman"/>
                <w:sz w:val="28"/>
              </w:rPr>
            </w:pPr>
          </w:p>
        </w:tc>
        <w:tc>
          <w:tcPr>
            <w:tcW w:w="3247" w:type="dxa"/>
          </w:tcPr>
          <w:p>
            <w:pPr>
              <w:pStyle w:val="TableParagraph"/>
              <w:spacing w:before="6"/>
              <w:ind w:left="108"/>
              <w:rPr>
                <w:rFonts w:ascii="Courier New"/>
                <w:sz w:val="28"/>
              </w:rPr>
            </w:pPr>
            <w:r>
              <w:rPr>
                <w:rFonts w:ascii="Courier New"/>
                <w:w w:val="100"/>
                <w:sz w:val="28"/>
              </w:rPr>
              <w:t>X</w:t>
            </w:r>
          </w:p>
        </w:tc>
        <w:tc>
          <w:tcPr>
            <w:tcW w:w="3274" w:type="dxa"/>
          </w:tcPr>
          <w:p>
            <w:pPr>
              <w:pStyle w:val="TableParagraph"/>
              <w:spacing w:before="6"/>
              <w:ind w:left="108"/>
              <w:rPr>
                <w:rFonts w:ascii="Courier New"/>
                <w:sz w:val="28"/>
              </w:rPr>
            </w:pPr>
            <w:r>
              <w:rPr>
                <w:rFonts w:ascii="Courier New"/>
                <w:w w:val="100"/>
                <w:sz w:val="28"/>
              </w:rPr>
              <w:t>X</w:t>
            </w:r>
          </w:p>
        </w:tc>
        <w:tc>
          <w:tcPr>
            <w:tcW w:w="3432" w:type="dxa"/>
          </w:tcPr>
          <w:p>
            <w:pPr>
              <w:pStyle w:val="TableParagraph"/>
              <w:rPr>
                <w:rFonts w:ascii="Times New Roman"/>
                <w:sz w:val="28"/>
              </w:rPr>
            </w:pPr>
          </w:p>
        </w:tc>
      </w:tr>
      <w:tr>
        <w:trPr>
          <w:trHeight w:val="563" w:hRule="atLeast"/>
        </w:trPr>
        <w:tc>
          <w:tcPr>
            <w:tcW w:w="2693" w:type="dxa"/>
            <w:shd w:val="clear" w:color="auto" w:fill="00AFEF"/>
          </w:tcPr>
          <w:p>
            <w:pPr>
              <w:pStyle w:val="TableParagraph"/>
              <w:spacing w:line="317" w:lineRule="exact"/>
              <w:ind w:left="107"/>
              <w:rPr>
                <w:rFonts w:ascii="Courier New"/>
                <w:b/>
                <w:sz w:val="28"/>
              </w:rPr>
            </w:pPr>
            <w:r>
              <w:rPr>
                <w:rFonts w:ascii="Courier New"/>
                <w:b/>
                <w:sz w:val="28"/>
              </w:rPr>
              <w:t>DHEA</w:t>
            </w:r>
          </w:p>
        </w:tc>
        <w:tc>
          <w:tcPr>
            <w:tcW w:w="1368" w:type="dxa"/>
          </w:tcPr>
          <w:p>
            <w:pPr>
              <w:pStyle w:val="TableParagraph"/>
              <w:spacing w:before="6"/>
              <w:ind w:left="108"/>
              <w:rPr>
                <w:rFonts w:ascii="Courier New"/>
                <w:sz w:val="28"/>
              </w:rPr>
            </w:pPr>
            <w:r>
              <w:rPr>
                <w:rFonts w:ascii="Courier New"/>
                <w:sz w:val="28"/>
              </w:rPr>
              <w:t>365</w:t>
            </w:r>
          </w:p>
        </w:tc>
        <w:tc>
          <w:tcPr>
            <w:tcW w:w="3418" w:type="dxa"/>
          </w:tcPr>
          <w:p>
            <w:pPr>
              <w:pStyle w:val="TableParagraph"/>
              <w:rPr>
                <w:rFonts w:ascii="Times New Roman"/>
                <w:sz w:val="28"/>
              </w:rPr>
            </w:pPr>
          </w:p>
        </w:tc>
        <w:tc>
          <w:tcPr>
            <w:tcW w:w="3247" w:type="dxa"/>
          </w:tcPr>
          <w:p>
            <w:pPr>
              <w:pStyle w:val="TableParagraph"/>
              <w:spacing w:before="6"/>
              <w:ind w:left="108"/>
              <w:rPr>
                <w:rFonts w:ascii="Courier New"/>
                <w:sz w:val="28"/>
              </w:rPr>
            </w:pPr>
            <w:r>
              <w:rPr>
                <w:rFonts w:ascii="Courier New"/>
                <w:w w:val="100"/>
                <w:sz w:val="28"/>
              </w:rPr>
              <w:t>X</w:t>
            </w:r>
          </w:p>
        </w:tc>
        <w:tc>
          <w:tcPr>
            <w:tcW w:w="3274" w:type="dxa"/>
          </w:tcPr>
          <w:p>
            <w:pPr>
              <w:pStyle w:val="TableParagraph"/>
              <w:rPr>
                <w:rFonts w:ascii="Times New Roman"/>
                <w:sz w:val="28"/>
              </w:rPr>
            </w:pPr>
          </w:p>
        </w:tc>
        <w:tc>
          <w:tcPr>
            <w:tcW w:w="3432" w:type="dxa"/>
          </w:tcPr>
          <w:p>
            <w:pPr>
              <w:pStyle w:val="TableParagraph"/>
              <w:spacing w:before="6"/>
              <w:ind w:left="109"/>
              <w:rPr>
                <w:rFonts w:ascii="Courier New"/>
                <w:sz w:val="28"/>
              </w:rPr>
            </w:pPr>
            <w:r>
              <w:rPr>
                <w:rFonts w:ascii="Courier New"/>
                <w:w w:val="100"/>
                <w:sz w:val="28"/>
              </w:rPr>
              <w:t>X</w:t>
            </w:r>
          </w:p>
        </w:tc>
      </w:tr>
      <w:tr>
        <w:trPr>
          <w:trHeight w:val="565" w:hRule="atLeast"/>
        </w:trPr>
        <w:tc>
          <w:tcPr>
            <w:tcW w:w="2693" w:type="dxa"/>
            <w:shd w:val="clear" w:color="auto" w:fill="00AFEF"/>
          </w:tcPr>
          <w:p>
            <w:pPr>
              <w:pStyle w:val="TableParagraph"/>
              <w:spacing w:line="317" w:lineRule="exact"/>
              <w:ind w:left="107"/>
              <w:rPr>
                <w:rFonts w:ascii="Courier New"/>
                <w:b/>
                <w:sz w:val="28"/>
              </w:rPr>
            </w:pPr>
            <w:r>
              <w:rPr>
                <w:rFonts w:ascii="Courier New"/>
                <w:b/>
                <w:sz w:val="28"/>
              </w:rPr>
              <w:t>DMAE</w:t>
            </w:r>
          </w:p>
        </w:tc>
        <w:tc>
          <w:tcPr>
            <w:tcW w:w="1368" w:type="dxa"/>
          </w:tcPr>
          <w:p>
            <w:pPr>
              <w:pStyle w:val="TableParagraph"/>
              <w:spacing w:before="6"/>
              <w:ind w:left="108"/>
              <w:rPr>
                <w:rFonts w:ascii="Courier New"/>
                <w:sz w:val="28"/>
              </w:rPr>
            </w:pPr>
            <w:r>
              <w:rPr>
                <w:rFonts w:ascii="Courier New"/>
                <w:sz w:val="28"/>
              </w:rPr>
              <w:t>387</w:t>
            </w:r>
          </w:p>
        </w:tc>
        <w:tc>
          <w:tcPr>
            <w:tcW w:w="3418" w:type="dxa"/>
          </w:tcPr>
          <w:p>
            <w:pPr>
              <w:pStyle w:val="TableParagraph"/>
              <w:rPr>
                <w:rFonts w:ascii="Times New Roman"/>
                <w:sz w:val="28"/>
              </w:rPr>
            </w:pPr>
          </w:p>
        </w:tc>
        <w:tc>
          <w:tcPr>
            <w:tcW w:w="3247" w:type="dxa"/>
          </w:tcPr>
          <w:p>
            <w:pPr>
              <w:pStyle w:val="TableParagraph"/>
              <w:spacing w:before="6"/>
              <w:ind w:left="108"/>
              <w:rPr>
                <w:rFonts w:ascii="Courier New"/>
                <w:sz w:val="28"/>
              </w:rPr>
            </w:pPr>
            <w:r>
              <w:rPr>
                <w:rFonts w:ascii="Courier New"/>
                <w:w w:val="100"/>
                <w:sz w:val="28"/>
              </w:rPr>
              <w:t>X</w:t>
            </w:r>
          </w:p>
        </w:tc>
        <w:tc>
          <w:tcPr>
            <w:tcW w:w="3274" w:type="dxa"/>
          </w:tcPr>
          <w:p>
            <w:pPr>
              <w:pStyle w:val="TableParagraph"/>
              <w:spacing w:before="6"/>
              <w:ind w:left="108"/>
              <w:rPr>
                <w:rFonts w:ascii="Courier New"/>
                <w:sz w:val="28"/>
              </w:rPr>
            </w:pPr>
            <w:r>
              <w:rPr>
                <w:rFonts w:ascii="Courier New"/>
                <w:w w:val="100"/>
                <w:sz w:val="28"/>
              </w:rPr>
              <w:t>X</w:t>
            </w:r>
          </w:p>
        </w:tc>
        <w:tc>
          <w:tcPr>
            <w:tcW w:w="3432" w:type="dxa"/>
          </w:tcPr>
          <w:p>
            <w:pPr>
              <w:pStyle w:val="TableParagraph"/>
              <w:rPr>
                <w:rFonts w:ascii="Times New Roman"/>
                <w:sz w:val="28"/>
              </w:rPr>
            </w:pPr>
          </w:p>
        </w:tc>
      </w:tr>
      <w:tr>
        <w:trPr>
          <w:trHeight w:val="563" w:hRule="atLeast"/>
        </w:trPr>
        <w:tc>
          <w:tcPr>
            <w:tcW w:w="2693" w:type="dxa"/>
            <w:shd w:val="clear" w:color="auto" w:fill="00AFEF"/>
          </w:tcPr>
          <w:p>
            <w:pPr>
              <w:pStyle w:val="TableParagraph"/>
              <w:spacing w:line="317" w:lineRule="exact"/>
              <w:ind w:left="107"/>
              <w:rPr>
                <w:rFonts w:ascii="Courier New"/>
                <w:b/>
                <w:sz w:val="28"/>
              </w:rPr>
            </w:pPr>
            <w:r>
              <w:rPr>
                <w:rFonts w:ascii="Courier New"/>
                <w:b/>
                <w:sz w:val="28"/>
              </w:rPr>
              <w:t>Silica</w:t>
            </w:r>
          </w:p>
        </w:tc>
        <w:tc>
          <w:tcPr>
            <w:tcW w:w="1368" w:type="dxa"/>
          </w:tcPr>
          <w:p>
            <w:pPr>
              <w:pStyle w:val="TableParagraph"/>
              <w:spacing w:before="6"/>
              <w:ind w:left="108"/>
              <w:rPr>
                <w:rFonts w:ascii="Courier New"/>
                <w:sz w:val="28"/>
              </w:rPr>
            </w:pPr>
            <w:r>
              <w:rPr>
                <w:rFonts w:ascii="Courier New"/>
                <w:sz w:val="28"/>
              </w:rPr>
              <w:t>1460</w:t>
            </w:r>
          </w:p>
        </w:tc>
        <w:tc>
          <w:tcPr>
            <w:tcW w:w="3418" w:type="dxa"/>
          </w:tcPr>
          <w:p>
            <w:pPr>
              <w:pStyle w:val="TableParagraph"/>
              <w:rPr>
                <w:rFonts w:ascii="Times New Roman"/>
                <w:sz w:val="28"/>
              </w:rPr>
            </w:pPr>
          </w:p>
        </w:tc>
        <w:tc>
          <w:tcPr>
            <w:tcW w:w="3247" w:type="dxa"/>
          </w:tcPr>
          <w:p>
            <w:pPr>
              <w:pStyle w:val="TableParagraph"/>
              <w:spacing w:before="6"/>
              <w:ind w:left="108"/>
              <w:rPr>
                <w:rFonts w:ascii="Courier New"/>
                <w:sz w:val="28"/>
              </w:rPr>
            </w:pPr>
            <w:r>
              <w:rPr>
                <w:rFonts w:ascii="Courier New"/>
                <w:w w:val="100"/>
                <w:sz w:val="28"/>
              </w:rPr>
              <w:t>X</w:t>
            </w:r>
          </w:p>
        </w:tc>
        <w:tc>
          <w:tcPr>
            <w:tcW w:w="3274" w:type="dxa"/>
          </w:tcPr>
          <w:p>
            <w:pPr>
              <w:pStyle w:val="TableParagraph"/>
              <w:spacing w:before="6"/>
              <w:ind w:left="108"/>
              <w:rPr>
                <w:rFonts w:ascii="Courier New"/>
                <w:sz w:val="28"/>
              </w:rPr>
            </w:pPr>
            <w:r>
              <w:rPr>
                <w:rFonts w:ascii="Courier New"/>
                <w:w w:val="100"/>
                <w:sz w:val="28"/>
              </w:rPr>
              <w:t>X</w:t>
            </w:r>
          </w:p>
        </w:tc>
        <w:tc>
          <w:tcPr>
            <w:tcW w:w="3432" w:type="dxa"/>
          </w:tcPr>
          <w:p>
            <w:pPr>
              <w:pStyle w:val="TableParagraph"/>
              <w:rPr>
                <w:rFonts w:ascii="Times New Roman"/>
                <w:sz w:val="28"/>
              </w:rPr>
            </w:pPr>
          </w:p>
        </w:tc>
      </w:tr>
      <w:tr>
        <w:trPr>
          <w:trHeight w:val="566" w:hRule="atLeast"/>
        </w:trPr>
        <w:tc>
          <w:tcPr>
            <w:tcW w:w="2693" w:type="dxa"/>
            <w:shd w:val="clear" w:color="auto" w:fill="00AFEF"/>
          </w:tcPr>
          <w:p>
            <w:pPr>
              <w:pStyle w:val="TableParagraph"/>
              <w:spacing w:line="317" w:lineRule="exact"/>
              <w:ind w:left="107"/>
              <w:rPr>
                <w:rFonts w:ascii="Courier New"/>
                <w:b/>
                <w:sz w:val="28"/>
              </w:rPr>
            </w:pPr>
            <w:r>
              <w:rPr>
                <w:rFonts w:ascii="Courier New"/>
                <w:b/>
                <w:sz w:val="28"/>
              </w:rPr>
              <w:t>Vitamin C</w:t>
            </w:r>
          </w:p>
        </w:tc>
        <w:tc>
          <w:tcPr>
            <w:tcW w:w="1368" w:type="dxa"/>
          </w:tcPr>
          <w:p>
            <w:pPr>
              <w:pStyle w:val="TableParagraph"/>
              <w:spacing w:before="6"/>
              <w:ind w:left="108"/>
              <w:rPr>
                <w:rFonts w:ascii="Courier New"/>
                <w:sz w:val="28"/>
              </w:rPr>
            </w:pPr>
            <w:r>
              <w:rPr>
                <w:rFonts w:ascii="Courier New"/>
                <w:sz w:val="28"/>
              </w:rPr>
              <w:t>1720</w:t>
            </w:r>
          </w:p>
        </w:tc>
        <w:tc>
          <w:tcPr>
            <w:tcW w:w="3418" w:type="dxa"/>
          </w:tcPr>
          <w:p>
            <w:pPr>
              <w:pStyle w:val="TableParagraph"/>
              <w:rPr>
                <w:rFonts w:ascii="Times New Roman"/>
                <w:sz w:val="28"/>
              </w:rPr>
            </w:pPr>
          </w:p>
        </w:tc>
        <w:tc>
          <w:tcPr>
            <w:tcW w:w="3247" w:type="dxa"/>
          </w:tcPr>
          <w:p>
            <w:pPr>
              <w:pStyle w:val="TableParagraph"/>
              <w:spacing w:before="6"/>
              <w:ind w:left="108"/>
              <w:rPr>
                <w:rFonts w:ascii="Courier New"/>
                <w:sz w:val="28"/>
              </w:rPr>
            </w:pPr>
            <w:r>
              <w:rPr>
                <w:rFonts w:ascii="Courier New"/>
                <w:w w:val="100"/>
                <w:sz w:val="28"/>
              </w:rPr>
              <w:t>X</w:t>
            </w:r>
          </w:p>
        </w:tc>
        <w:tc>
          <w:tcPr>
            <w:tcW w:w="3274" w:type="dxa"/>
          </w:tcPr>
          <w:p>
            <w:pPr>
              <w:pStyle w:val="TableParagraph"/>
              <w:spacing w:before="6"/>
              <w:ind w:left="108"/>
              <w:rPr>
                <w:rFonts w:ascii="Courier New"/>
                <w:sz w:val="28"/>
              </w:rPr>
            </w:pPr>
            <w:r>
              <w:rPr>
                <w:rFonts w:ascii="Courier New"/>
                <w:w w:val="100"/>
                <w:sz w:val="28"/>
              </w:rPr>
              <w:t>X</w:t>
            </w:r>
          </w:p>
        </w:tc>
        <w:tc>
          <w:tcPr>
            <w:tcW w:w="3432" w:type="dxa"/>
          </w:tcPr>
          <w:p>
            <w:pPr>
              <w:pStyle w:val="TableParagraph"/>
              <w:spacing w:before="6"/>
              <w:ind w:left="109"/>
              <w:rPr>
                <w:rFonts w:ascii="Courier New"/>
                <w:sz w:val="28"/>
              </w:rPr>
            </w:pPr>
            <w:r>
              <w:rPr>
                <w:rFonts w:ascii="Courier New"/>
                <w:w w:val="100"/>
                <w:sz w:val="28"/>
              </w:rPr>
              <w:t>X</w:t>
            </w:r>
          </w:p>
        </w:tc>
      </w:tr>
      <w:tr>
        <w:trPr>
          <w:trHeight w:val="563" w:hRule="atLeast"/>
        </w:trPr>
        <w:tc>
          <w:tcPr>
            <w:tcW w:w="2693" w:type="dxa"/>
            <w:shd w:val="clear" w:color="auto" w:fill="00AFEF"/>
          </w:tcPr>
          <w:p>
            <w:pPr>
              <w:pStyle w:val="TableParagraph"/>
              <w:spacing w:line="317" w:lineRule="exact"/>
              <w:ind w:left="107"/>
              <w:rPr>
                <w:rFonts w:ascii="Courier New"/>
                <w:b/>
                <w:sz w:val="28"/>
              </w:rPr>
            </w:pPr>
            <w:r>
              <w:rPr>
                <w:rFonts w:ascii="Courier New"/>
                <w:b/>
                <w:sz w:val="28"/>
              </w:rPr>
              <w:t>OPC</w:t>
            </w:r>
          </w:p>
        </w:tc>
        <w:tc>
          <w:tcPr>
            <w:tcW w:w="1368" w:type="dxa"/>
          </w:tcPr>
          <w:p>
            <w:pPr>
              <w:pStyle w:val="TableParagraph"/>
              <w:spacing w:before="6"/>
              <w:ind w:left="108"/>
              <w:rPr>
                <w:rFonts w:ascii="Courier New"/>
                <w:sz w:val="28"/>
              </w:rPr>
            </w:pPr>
            <w:r>
              <w:rPr>
                <w:rFonts w:ascii="Courier New"/>
                <w:sz w:val="28"/>
              </w:rPr>
              <w:t>1094</w:t>
            </w:r>
          </w:p>
        </w:tc>
        <w:tc>
          <w:tcPr>
            <w:tcW w:w="3418" w:type="dxa"/>
          </w:tcPr>
          <w:p>
            <w:pPr>
              <w:pStyle w:val="TableParagraph"/>
              <w:rPr>
                <w:rFonts w:ascii="Times New Roman"/>
                <w:sz w:val="28"/>
              </w:rPr>
            </w:pPr>
          </w:p>
        </w:tc>
        <w:tc>
          <w:tcPr>
            <w:tcW w:w="3247" w:type="dxa"/>
          </w:tcPr>
          <w:p>
            <w:pPr>
              <w:pStyle w:val="TableParagraph"/>
              <w:spacing w:before="6"/>
              <w:ind w:left="108"/>
              <w:rPr>
                <w:rFonts w:ascii="Courier New"/>
                <w:sz w:val="28"/>
              </w:rPr>
            </w:pPr>
            <w:r>
              <w:rPr>
                <w:rFonts w:ascii="Courier New"/>
                <w:w w:val="100"/>
                <w:sz w:val="28"/>
              </w:rPr>
              <w:t>X</w:t>
            </w:r>
          </w:p>
        </w:tc>
        <w:tc>
          <w:tcPr>
            <w:tcW w:w="3274" w:type="dxa"/>
          </w:tcPr>
          <w:p>
            <w:pPr>
              <w:pStyle w:val="TableParagraph"/>
              <w:rPr>
                <w:rFonts w:ascii="Times New Roman"/>
                <w:sz w:val="28"/>
              </w:rPr>
            </w:pPr>
          </w:p>
        </w:tc>
        <w:tc>
          <w:tcPr>
            <w:tcW w:w="3432" w:type="dxa"/>
          </w:tcPr>
          <w:p>
            <w:pPr>
              <w:pStyle w:val="TableParagraph"/>
              <w:rPr>
                <w:rFonts w:ascii="Times New Roman"/>
                <w:sz w:val="28"/>
              </w:rPr>
            </w:pPr>
          </w:p>
        </w:tc>
      </w:tr>
      <w:tr>
        <w:trPr>
          <w:trHeight w:val="566" w:hRule="atLeast"/>
        </w:trPr>
        <w:tc>
          <w:tcPr>
            <w:tcW w:w="2693" w:type="dxa"/>
            <w:shd w:val="clear" w:color="auto" w:fill="00AFEF"/>
          </w:tcPr>
          <w:p>
            <w:pPr>
              <w:pStyle w:val="TableParagraph"/>
              <w:spacing w:line="317" w:lineRule="exact"/>
              <w:ind w:left="107"/>
              <w:rPr>
                <w:rFonts w:ascii="Courier New"/>
                <w:b/>
                <w:sz w:val="28"/>
              </w:rPr>
            </w:pPr>
            <w:r>
              <w:rPr>
                <w:rFonts w:ascii="Courier New"/>
                <w:b/>
                <w:sz w:val="28"/>
              </w:rPr>
              <w:t>Coenzyme Q10</w:t>
            </w:r>
          </w:p>
        </w:tc>
        <w:tc>
          <w:tcPr>
            <w:tcW w:w="1368" w:type="dxa"/>
          </w:tcPr>
          <w:p>
            <w:pPr>
              <w:pStyle w:val="TableParagraph"/>
              <w:spacing w:before="6"/>
              <w:ind w:left="108"/>
              <w:rPr>
                <w:rFonts w:ascii="Courier New"/>
                <w:sz w:val="28"/>
              </w:rPr>
            </w:pPr>
            <w:r>
              <w:rPr>
                <w:rFonts w:ascii="Courier New"/>
                <w:sz w:val="28"/>
              </w:rPr>
              <w:t>1393</w:t>
            </w:r>
          </w:p>
        </w:tc>
        <w:tc>
          <w:tcPr>
            <w:tcW w:w="3418" w:type="dxa"/>
          </w:tcPr>
          <w:p>
            <w:pPr>
              <w:pStyle w:val="TableParagraph"/>
              <w:rPr>
                <w:rFonts w:ascii="Times New Roman"/>
                <w:sz w:val="28"/>
              </w:rPr>
            </w:pPr>
          </w:p>
        </w:tc>
        <w:tc>
          <w:tcPr>
            <w:tcW w:w="3247" w:type="dxa"/>
          </w:tcPr>
          <w:p>
            <w:pPr>
              <w:pStyle w:val="TableParagraph"/>
              <w:spacing w:before="6"/>
              <w:ind w:left="108"/>
              <w:rPr>
                <w:rFonts w:ascii="Courier New"/>
                <w:sz w:val="28"/>
              </w:rPr>
            </w:pPr>
            <w:r>
              <w:rPr>
                <w:rFonts w:ascii="Courier New"/>
                <w:w w:val="100"/>
                <w:sz w:val="28"/>
              </w:rPr>
              <w:t>X</w:t>
            </w:r>
          </w:p>
        </w:tc>
        <w:tc>
          <w:tcPr>
            <w:tcW w:w="3274" w:type="dxa"/>
          </w:tcPr>
          <w:p>
            <w:pPr>
              <w:pStyle w:val="TableParagraph"/>
              <w:rPr>
                <w:rFonts w:ascii="Times New Roman"/>
                <w:sz w:val="28"/>
              </w:rPr>
            </w:pPr>
          </w:p>
        </w:tc>
        <w:tc>
          <w:tcPr>
            <w:tcW w:w="3432" w:type="dxa"/>
          </w:tcPr>
          <w:p>
            <w:pPr>
              <w:pStyle w:val="TableParagraph"/>
              <w:rPr>
                <w:rFonts w:ascii="Times New Roman"/>
                <w:sz w:val="28"/>
              </w:rPr>
            </w:pPr>
          </w:p>
        </w:tc>
      </w:tr>
      <w:tr>
        <w:trPr>
          <w:trHeight w:val="563" w:hRule="atLeast"/>
        </w:trPr>
        <w:tc>
          <w:tcPr>
            <w:tcW w:w="2693" w:type="dxa"/>
            <w:shd w:val="clear" w:color="auto" w:fill="00AFEF"/>
          </w:tcPr>
          <w:p>
            <w:pPr>
              <w:pStyle w:val="TableParagraph"/>
              <w:spacing w:line="317" w:lineRule="exact"/>
              <w:ind w:left="107"/>
              <w:rPr>
                <w:rFonts w:ascii="Courier New"/>
                <w:b/>
                <w:sz w:val="28"/>
              </w:rPr>
            </w:pPr>
            <w:r>
              <w:rPr>
                <w:rFonts w:ascii="Courier New"/>
                <w:b/>
                <w:sz w:val="28"/>
              </w:rPr>
              <w:t>Spirulina p.</w:t>
            </w:r>
          </w:p>
        </w:tc>
        <w:tc>
          <w:tcPr>
            <w:tcW w:w="1368" w:type="dxa"/>
          </w:tcPr>
          <w:p>
            <w:pPr>
              <w:pStyle w:val="TableParagraph"/>
              <w:spacing w:before="6"/>
              <w:ind w:left="108"/>
              <w:rPr>
                <w:rFonts w:ascii="Courier New"/>
                <w:sz w:val="28"/>
              </w:rPr>
            </w:pPr>
            <w:r>
              <w:rPr>
                <w:rFonts w:ascii="Courier New"/>
                <w:sz w:val="28"/>
              </w:rPr>
              <w:t>1515</w:t>
            </w:r>
          </w:p>
        </w:tc>
        <w:tc>
          <w:tcPr>
            <w:tcW w:w="3418" w:type="dxa"/>
          </w:tcPr>
          <w:p>
            <w:pPr>
              <w:pStyle w:val="TableParagraph"/>
              <w:rPr>
                <w:rFonts w:ascii="Times New Roman"/>
                <w:sz w:val="28"/>
              </w:rPr>
            </w:pPr>
          </w:p>
        </w:tc>
        <w:tc>
          <w:tcPr>
            <w:tcW w:w="3247" w:type="dxa"/>
          </w:tcPr>
          <w:p>
            <w:pPr>
              <w:pStyle w:val="TableParagraph"/>
              <w:spacing w:before="6"/>
              <w:ind w:left="108"/>
              <w:rPr>
                <w:rFonts w:ascii="Courier New"/>
                <w:sz w:val="28"/>
              </w:rPr>
            </w:pPr>
            <w:r>
              <w:rPr>
                <w:rFonts w:ascii="Courier New"/>
                <w:w w:val="100"/>
                <w:sz w:val="28"/>
              </w:rPr>
              <w:t>X</w:t>
            </w:r>
          </w:p>
        </w:tc>
        <w:tc>
          <w:tcPr>
            <w:tcW w:w="3274" w:type="dxa"/>
          </w:tcPr>
          <w:p>
            <w:pPr>
              <w:pStyle w:val="TableParagraph"/>
              <w:rPr>
                <w:rFonts w:ascii="Times New Roman"/>
                <w:sz w:val="28"/>
              </w:rPr>
            </w:pPr>
          </w:p>
        </w:tc>
        <w:tc>
          <w:tcPr>
            <w:tcW w:w="3432" w:type="dxa"/>
          </w:tcPr>
          <w:p>
            <w:pPr>
              <w:pStyle w:val="TableParagraph"/>
              <w:rPr>
                <w:rFonts w:ascii="Times New Roman"/>
                <w:sz w:val="28"/>
              </w:rPr>
            </w:pPr>
          </w:p>
        </w:tc>
      </w:tr>
      <w:tr>
        <w:trPr>
          <w:trHeight w:val="565" w:hRule="atLeast"/>
        </w:trPr>
        <w:tc>
          <w:tcPr>
            <w:tcW w:w="2693" w:type="dxa"/>
            <w:shd w:val="clear" w:color="auto" w:fill="00AFEF"/>
          </w:tcPr>
          <w:p>
            <w:pPr>
              <w:pStyle w:val="TableParagraph"/>
              <w:spacing w:line="317" w:lineRule="exact"/>
              <w:ind w:left="107"/>
              <w:rPr>
                <w:rFonts w:ascii="Courier New"/>
                <w:b/>
                <w:sz w:val="28"/>
              </w:rPr>
            </w:pPr>
            <w:r>
              <w:rPr>
                <w:rFonts w:ascii="Courier New"/>
                <w:b/>
                <w:sz w:val="28"/>
              </w:rPr>
              <w:t>Bromelain</w:t>
            </w:r>
          </w:p>
        </w:tc>
        <w:tc>
          <w:tcPr>
            <w:tcW w:w="1368" w:type="dxa"/>
          </w:tcPr>
          <w:p>
            <w:pPr>
              <w:pStyle w:val="TableParagraph"/>
              <w:spacing w:before="6"/>
              <w:ind w:left="108"/>
              <w:rPr>
                <w:rFonts w:ascii="Courier New"/>
                <w:sz w:val="28"/>
              </w:rPr>
            </w:pPr>
            <w:r>
              <w:rPr>
                <w:rFonts w:ascii="Courier New"/>
                <w:sz w:val="28"/>
              </w:rPr>
              <w:t>113</w:t>
            </w:r>
          </w:p>
        </w:tc>
        <w:tc>
          <w:tcPr>
            <w:tcW w:w="3418" w:type="dxa"/>
          </w:tcPr>
          <w:p>
            <w:pPr>
              <w:pStyle w:val="TableParagraph"/>
              <w:rPr>
                <w:rFonts w:ascii="Times New Roman"/>
                <w:sz w:val="28"/>
              </w:rPr>
            </w:pPr>
          </w:p>
        </w:tc>
        <w:tc>
          <w:tcPr>
            <w:tcW w:w="3247" w:type="dxa"/>
          </w:tcPr>
          <w:p>
            <w:pPr>
              <w:pStyle w:val="TableParagraph"/>
              <w:spacing w:before="6"/>
              <w:ind w:left="108"/>
              <w:rPr>
                <w:rFonts w:ascii="Courier New"/>
                <w:sz w:val="28"/>
              </w:rPr>
            </w:pPr>
            <w:r>
              <w:rPr>
                <w:rFonts w:ascii="Courier New"/>
                <w:w w:val="100"/>
                <w:sz w:val="28"/>
              </w:rPr>
              <w:t>X</w:t>
            </w:r>
          </w:p>
        </w:tc>
        <w:tc>
          <w:tcPr>
            <w:tcW w:w="3274" w:type="dxa"/>
          </w:tcPr>
          <w:p>
            <w:pPr>
              <w:pStyle w:val="TableParagraph"/>
              <w:rPr>
                <w:rFonts w:ascii="Times New Roman"/>
                <w:sz w:val="28"/>
              </w:rPr>
            </w:pPr>
          </w:p>
        </w:tc>
        <w:tc>
          <w:tcPr>
            <w:tcW w:w="3432" w:type="dxa"/>
          </w:tcPr>
          <w:p>
            <w:pPr>
              <w:pStyle w:val="TableParagraph"/>
              <w:rPr>
                <w:rFonts w:ascii="Times New Roman"/>
                <w:sz w:val="28"/>
              </w:rPr>
            </w:pPr>
          </w:p>
        </w:tc>
      </w:tr>
      <w:tr>
        <w:trPr>
          <w:trHeight w:val="564" w:hRule="atLeast"/>
        </w:trPr>
        <w:tc>
          <w:tcPr>
            <w:tcW w:w="2693" w:type="dxa"/>
            <w:shd w:val="clear" w:color="auto" w:fill="00AFEF"/>
          </w:tcPr>
          <w:p>
            <w:pPr>
              <w:pStyle w:val="TableParagraph"/>
              <w:ind w:left="107"/>
              <w:rPr>
                <w:rFonts w:ascii="Courier New"/>
                <w:b/>
                <w:sz w:val="28"/>
              </w:rPr>
            </w:pPr>
            <w:r>
              <w:rPr>
                <w:rFonts w:ascii="Courier New"/>
                <w:b/>
                <w:sz w:val="28"/>
              </w:rPr>
              <w:t>Papain</w:t>
            </w:r>
          </w:p>
        </w:tc>
        <w:tc>
          <w:tcPr>
            <w:tcW w:w="1368" w:type="dxa"/>
          </w:tcPr>
          <w:p>
            <w:pPr>
              <w:pStyle w:val="TableParagraph"/>
              <w:spacing w:before="7"/>
              <w:ind w:left="108"/>
              <w:rPr>
                <w:rFonts w:ascii="Courier New"/>
                <w:sz w:val="28"/>
              </w:rPr>
            </w:pPr>
            <w:r>
              <w:rPr>
                <w:rFonts w:ascii="Courier New"/>
                <w:sz w:val="28"/>
              </w:rPr>
              <w:t>1188</w:t>
            </w:r>
          </w:p>
        </w:tc>
        <w:tc>
          <w:tcPr>
            <w:tcW w:w="3418" w:type="dxa"/>
          </w:tcPr>
          <w:p>
            <w:pPr>
              <w:pStyle w:val="TableParagraph"/>
              <w:rPr>
                <w:rFonts w:ascii="Times New Roman"/>
                <w:sz w:val="28"/>
              </w:rPr>
            </w:pPr>
          </w:p>
        </w:tc>
        <w:tc>
          <w:tcPr>
            <w:tcW w:w="3247" w:type="dxa"/>
          </w:tcPr>
          <w:p>
            <w:pPr>
              <w:pStyle w:val="TableParagraph"/>
              <w:spacing w:before="7"/>
              <w:ind w:left="108"/>
              <w:rPr>
                <w:rFonts w:ascii="Courier New"/>
                <w:sz w:val="28"/>
              </w:rPr>
            </w:pPr>
            <w:r>
              <w:rPr>
                <w:rFonts w:ascii="Courier New"/>
                <w:w w:val="100"/>
                <w:sz w:val="28"/>
              </w:rPr>
              <w:t>X</w:t>
            </w:r>
          </w:p>
        </w:tc>
        <w:tc>
          <w:tcPr>
            <w:tcW w:w="3274" w:type="dxa"/>
          </w:tcPr>
          <w:p>
            <w:pPr>
              <w:pStyle w:val="TableParagraph"/>
              <w:rPr>
                <w:rFonts w:ascii="Times New Roman"/>
                <w:sz w:val="28"/>
              </w:rPr>
            </w:pPr>
          </w:p>
        </w:tc>
        <w:tc>
          <w:tcPr>
            <w:tcW w:w="3432" w:type="dxa"/>
          </w:tcPr>
          <w:p>
            <w:pPr>
              <w:pStyle w:val="TableParagraph"/>
              <w:rPr>
                <w:rFonts w:ascii="Times New Roman"/>
                <w:sz w:val="28"/>
              </w:rPr>
            </w:pPr>
          </w:p>
        </w:tc>
      </w:tr>
    </w:tbl>
    <w:p>
      <w:pPr>
        <w:spacing w:after="0"/>
        <w:rPr>
          <w:rFonts w:ascii="Times New Roman"/>
          <w:sz w:val="28"/>
        </w:rPr>
        <w:sectPr>
          <w:pgSz w:w="18630" w:h="11910" w:orient="landscape"/>
          <w:pgMar w:header="0" w:footer="404" w:top="840" w:bottom="600" w:left="740" w:right="8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3"/>
        <w:gridCol w:w="1368"/>
        <w:gridCol w:w="3418"/>
        <w:gridCol w:w="3247"/>
        <w:gridCol w:w="3274"/>
        <w:gridCol w:w="3432"/>
      </w:tblGrid>
      <w:tr>
        <w:trPr>
          <w:trHeight w:val="564" w:hRule="atLeast"/>
        </w:trPr>
        <w:tc>
          <w:tcPr>
            <w:tcW w:w="2693" w:type="dxa"/>
            <w:shd w:val="clear" w:color="auto" w:fill="00AFEF"/>
          </w:tcPr>
          <w:p>
            <w:pPr>
              <w:pStyle w:val="TableParagraph"/>
              <w:spacing w:line="317" w:lineRule="exact"/>
              <w:ind w:left="107"/>
              <w:rPr>
                <w:rFonts w:ascii="Courier New"/>
                <w:b/>
                <w:sz w:val="28"/>
              </w:rPr>
            </w:pPr>
            <w:r>
              <w:rPr>
                <w:rFonts w:ascii="Courier New"/>
                <w:b/>
                <w:sz w:val="28"/>
              </w:rPr>
              <w:t>Propolis</w:t>
            </w:r>
          </w:p>
        </w:tc>
        <w:tc>
          <w:tcPr>
            <w:tcW w:w="1368" w:type="dxa"/>
          </w:tcPr>
          <w:p>
            <w:pPr>
              <w:pStyle w:val="TableParagraph"/>
              <w:spacing w:before="6"/>
              <w:ind w:left="108"/>
              <w:rPr>
                <w:rFonts w:ascii="Courier New"/>
                <w:sz w:val="28"/>
              </w:rPr>
            </w:pPr>
            <w:r>
              <w:rPr>
                <w:rFonts w:ascii="Courier New"/>
                <w:sz w:val="28"/>
              </w:rPr>
              <w:t>1290</w:t>
            </w:r>
          </w:p>
        </w:tc>
        <w:tc>
          <w:tcPr>
            <w:tcW w:w="3418" w:type="dxa"/>
          </w:tcPr>
          <w:p>
            <w:pPr>
              <w:pStyle w:val="TableParagraph"/>
              <w:rPr>
                <w:rFonts w:ascii="Times New Roman"/>
                <w:sz w:val="28"/>
              </w:rPr>
            </w:pPr>
          </w:p>
        </w:tc>
        <w:tc>
          <w:tcPr>
            <w:tcW w:w="3247" w:type="dxa"/>
          </w:tcPr>
          <w:p>
            <w:pPr>
              <w:pStyle w:val="TableParagraph"/>
              <w:spacing w:before="6"/>
              <w:ind w:left="108"/>
              <w:rPr>
                <w:rFonts w:ascii="Courier New"/>
                <w:sz w:val="28"/>
              </w:rPr>
            </w:pPr>
            <w:r>
              <w:rPr>
                <w:rFonts w:ascii="Courier New"/>
                <w:w w:val="100"/>
                <w:sz w:val="28"/>
              </w:rPr>
              <w:t>X</w:t>
            </w:r>
          </w:p>
        </w:tc>
        <w:tc>
          <w:tcPr>
            <w:tcW w:w="3274" w:type="dxa"/>
          </w:tcPr>
          <w:p>
            <w:pPr>
              <w:pStyle w:val="TableParagraph"/>
              <w:rPr>
                <w:rFonts w:ascii="Times New Roman"/>
                <w:sz w:val="28"/>
              </w:rPr>
            </w:pPr>
          </w:p>
        </w:tc>
        <w:tc>
          <w:tcPr>
            <w:tcW w:w="3432" w:type="dxa"/>
          </w:tcPr>
          <w:p>
            <w:pPr>
              <w:pStyle w:val="TableParagraph"/>
              <w:rPr>
                <w:rFonts w:ascii="Times New Roman"/>
                <w:sz w:val="28"/>
              </w:rPr>
            </w:pPr>
          </w:p>
        </w:tc>
      </w:tr>
      <w:tr>
        <w:trPr>
          <w:trHeight w:val="1129" w:hRule="atLeast"/>
        </w:trPr>
        <w:tc>
          <w:tcPr>
            <w:tcW w:w="2693" w:type="dxa"/>
            <w:shd w:val="clear" w:color="auto" w:fill="00AFEF"/>
          </w:tcPr>
          <w:p>
            <w:pPr>
              <w:pStyle w:val="TableParagraph"/>
              <w:spacing w:line="317" w:lineRule="exact"/>
              <w:ind w:left="107"/>
              <w:rPr>
                <w:rFonts w:ascii="Courier New"/>
                <w:b/>
                <w:sz w:val="28"/>
              </w:rPr>
            </w:pPr>
            <w:r>
              <w:rPr>
                <w:rFonts w:ascii="Courier New"/>
                <w:b/>
                <w:sz w:val="28"/>
              </w:rPr>
              <w:t>Aronia berries</w:t>
            </w:r>
          </w:p>
        </w:tc>
        <w:tc>
          <w:tcPr>
            <w:tcW w:w="1368" w:type="dxa"/>
          </w:tcPr>
          <w:p>
            <w:pPr>
              <w:pStyle w:val="TableParagraph"/>
              <w:spacing w:before="6"/>
              <w:ind w:left="108"/>
              <w:rPr>
                <w:rFonts w:ascii="Courier New"/>
                <w:sz w:val="28"/>
              </w:rPr>
            </w:pPr>
            <w:r>
              <w:rPr>
                <w:rFonts w:ascii="Courier New"/>
                <w:sz w:val="28"/>
              </w:rPr>
              <w:t>173</w:t>
            </w:r>
          </w:p>
        </w:tc>
        <w:tc>
          <w:tcPr>
            <w:tcW w:w="3418" w:type="dxa"/>
          </w:tcPr>
          <w:p>
            <w:pPr>
              <w:pStyle w:val="TableParagraph"/>
              <w:rPr>
                <w:rFonts w:ascii="Times New Roman"/>
                <w:sz w:val="28"/>
              </w:rPr>
            </w:pPr>
          </w:p>
        </w:tc>
        <w:tc>
          <w:tcPr>
            <w:tcW w:w="3247" w:type="dxa"/>
          </w:tcPr>
          <w:p>
            <w:pPr>
              <w:pStyle w:val="TableParagraph"/>
              <w:spacing w:before="6"/>
              <w:ind w:left="108"/>
              <w:rPr>
                <w:rFonts w:ascii="Courier New"/>
                <w:sz w:val="28"/>
              </w:rPr>
            </w:pPr>
            <w:r>
              <w:rPr>
                <w:rFonts w:ascii="Courier New"/>
                <w:w w:val="100"/>
                <w:sz w:val="28"/>
              </w:rPr>
              <w:t>X</w:t>
            </w:r>
          </w:p>
        </w:tc>
        <w:tc>
          <w:tcPr>
            <w:tcW w:w="3274" w:type="dxa"/>
          </w:tcPr>
          <w:p>
            <w:pPr>
              <w:pStyle w:val="TableParagraph"/>
              <w:rPr>
                <w:rFonts w:ascii="Times New Roman"/>
                <w:sz w:val="28"/>
              </w:rPr>
            </w:pPr>
          </w:p>
        </w:tc>
        <w:tc>
          <w:tcPr>
            <w:tcW w:w="3432" w:type="dxa"/>
          </w:tcPr>
          <w:p>
            <w:pPr>
              <w:pStyle w:val="TableParagraph"/>
              <w:rPr>
                <w:rFonts w:ascii="Times New Roman"/>
                <w:sz w:val="28"/>
              </w:rPr>
            </w:pPr>
          </w:p>
        </w:tc>
      </w:tr>
      <w:tr>
        <w:trPr>
          <w:trHeight w:val="563" w:hRule="atLeast"/>
        </w:trPr>
        <w:tc>
          <w:tcPr>
            <w:tcW w:w="2693" w:type="dxa"/>
            <w:shd w:val="clear" w:color="auto" w:fill="00AFEF"/>
          </w:tcPr>
          <w:p>
            <w:pPr>
              <w:pStyle w:val="TableParagraph"/>
              <w:spacing w:line="317" w:lineRule="exact"/>
              <w:ind w:left="107"/>
              <w:rPr>
                <w:rFonts w:ascii="Courier New"/>
                <w:b/>
                <w:sz w:val="28"/>
              </w:rPr>
            </w:pPr>
            <w:r>
              <w:rPr>
                <w:rFonts w:ascii="Courier New"/>
                <w:b/>
                <w:sz w:val="28"/>
              </w:rPr>
              <w:t>Curcumin</w:t>
            </w:r>
          </w:p>
        </w:tc>
        <w:tc>
          <w:tcPr>
            <w:tcW w:w="1368" w:type="dxa"/>
          </w:tcPr>
          <w:p>
            <w:pPr>
              <w:pStyle w:val="TableParagraph"/>
              <w:spacing w:before="6"/>
              <w:ind w:left="108"/>
              <w:rPr>
                <w:rFonts w:ascii="Courier New"/>
                <w:sz w:val="28"/>
              </w:rPr>
            </w:pPr>
            <w:r>
              <w:rPr>
                <w:rFonts w:ascii="Courier New"/>
                <w:sz w:val="28"/>
              </w:rPr>
              <w:t>328</w:t>
            </w:r>
          </w:p>
        </w:tc>
        <w:tc>
          <w:tcPr>
            <w:tcW w:w="3418" w:type="dxa"/>
          </w:tcPr>
          <w:p>
            <w:pPr>
              <w:pStyle w:val="TableParagraph"/>
              <w:rPr>
                <w:rFonts w:ascii="Times New Roman"/>
                <w:sz w:val="28"/>
              </w:rPr>
            </w:pPr>
          </w:p>
        </w:tc>
        <w:tc>
          <w:tcPr>
            <w:tcW w:w="3247" w:type="dxa"/>
          </w:tcPr>
          <w:p>
            <w:pPr>
              <w:pStyle w:val="TableParagraph"/>
              <w:spacing w:before="6"/>
              <w:ind w:left="108"/>
              <w:rPr>
                <w:rFonts w:ascii="Courier New"/>
                <w:sz w:val="28"/>
              </w:rPr>
            </w:pPr>
            <w:r>
              <w:rPr>
                <w:rFonts w:ascii="Courier New"/>
                <w:w w:val="100"/>
                <w:sz w:val="28"/>
              </w:rPr>
              <w:t>X</w:t>
            </w:r>
          </w:p>
        </w:tc>
        <w:tc>
          <w:tcPr>
            <w:tcW w:w="3274" w:type="dxa"/>
          </w:tcPr>
          <w:p>
            <w:pPr>
              <w:pStyle w:val="TableParagraph"/>
              <w:rPr>
                <w:rFonts w:ascii="Times New Roman"/>
                <w:sz w:val="28"/>
              </w:rPr>
            </w:pPr>
          </w:p>
        </w:tc>
        <w:tc>
          <w:tcPr>
            <w:tcW w:w="3432" w:type="dxa"/>
          </w:tcPr>
          <w:p>
            <w:pPr>
              <w:pStyle w:val="TableParagraph"/>
              <w:rPr>
                <w:rFonts w:ascii="Times New Roman"/>
                <w:sz w:val="28"/>
              </w:rPr>
            </w:pPr>
          </w:p>
        </w:tc>
      </w:tr>
      <w:tr>
        <w:trPr>
          <w:trHeight w:val="565" w:hRule="atLeast"/>
        </w:trPr>
        <w:tc>
          <w:tcPr>
            <w:tcW w:w="2693" w:type="dxa"/>
            <w:shd w:val="clear" w:color="auto" w:fill="00AFEF"/>
          </w:tcPr>
          <w:p>
            <w:pPr>
              <w:pStyle w:val="TableParagraph"/>
              <w:spacing w:before="2"/>
              <w:ind w:left="107"/>
              <w:rPr>
                <w:rFonts w:ascii="Courier New"/>
                <w:b/>
                <w:sz w:val="28"/>
              </w:rPr>
            </w:pPr>
            <w:r>
              <w:rPr>
                <w:rFonts w:ascii="Courier New"/>
                <w:b/>
                <w:sz w:val="28"/>
              </w:rPr>
              <w:t>Ginkgo Biloba</w:t>
            </w:r>
          </w:p>
        </w:tc>
        <w:tc>
          <w:tcPr>
            <w:tcW w:w="1368" w:type="dxa"/>
          </w:tcPr>
          <w:p>
            <w:pPr>
              <w:pStyle w:val="TableParagraph"/>
              <w:spacing w:before="9"/>
              <w:ind w:left="108"/>
              <w:rPr>
                <w:rFonts w:ascii="Courier New"/>
                <w:sz w:val="28"/>
              </w:rPr>
            </w:pPr>
            <w:r>
              <w:rPr>
                <w:rFonts w:ascii="Courier New"/>
                <w:sz w:val="28"/>
              </w:rPr>
              <w:t>398</w:t>
            </w:r>
          </w:p>
        </w:tc>
        <w:tc>
          <w:tcPr>
            <w:tcW w:w="3418" w:type="dxa"/>
          </w:tcPr>
          <w:p>
            <w:pPr>
              <w:pStyle w:val="TableParagraph"/>
              <w:spacing w:before="9"/>
              <w:ind w:left="108"/>
              <w:rPr>
                <w:rFonts w:ascii="Courier New"/>
                <w:sz w:val="28"/>
              </w:rPr>
            </w:pPr>
            <w:r>
              <w:rPr>
                <w:rFonts w:ascii="Courier New"/>
                <w:w w:val="100"/>
                <w:sz w:val="28"/>
              </w:rPr>
              <w:t>X</w:t>
            </w:r>
          </w:p>
        </w:tc>
        <w:tc>
          <w:tcPr>
            <w:tcW w:w="3247" w:type="dxa"/>
          </w:tcPr>
          <w:p>
            <w:pPr>
              <w:pStyle w:val="TableParagraph"/>
              <w:spacing w:before="9"/>
              <w:ind w:left="108"/>
              <w:rPr>
                <w:rFonts w:ascii="Courier New"/>
                <w:sz w:val="28"/>
              </w:rPr>
            </w:pPr>
            <w:r>
              <w:rPr>
                <w:rFonts w:ascii="Courier New"/>
                <w:w w:val="100"/>
                <w:sz w:val="28"/>
              </w:rPr>
              <w:t>X</w:t>
            </w:r>
          </w:p>
        </w:tc>
        <w:tc>
          <w:tcPr>
            <w:tcW w:w="3274" w:type="dxa"/>
          </w:tcPr>
          <w:p>
            <w:pPr>
              <w:pStyle w:val="TableParagraph"/>
              <w:rPr>
                <w:rFonts w:ascii="Times New Roman"/>
                <w:sz w:val="28"/>
              </w:rPr>
            </w:pPr>
          </w:p>
        </w:tc>
        <w:tc>
          <w:tcPr>
            <w:tcW w:w="3432" w:type="dxa"/>
          </w:tcPr>
          <w:p>
            <w:pPr>
              <w:pStyle w:val="TableParagraph"/>
              <w:rPr>
                <w:rFonts w:ascii="Times New Roman"/>
                <w:sz w:val="28"/>
              </w:rPr>
            </w:pPr>
          </w:p>
        </w:tc>
      </w:tr>
      <w:tr>
        <w:trPr>
          <w:trHeight w:val="564" w:hRule="atLeast"/>
        </w:trPr>
        <w:tc>
          <w:tcPr>
            <w:tcW w:w="2693" w:type="dxa"/>
            <w:shd w:val="clear" w:color="auto" w:fill="00AFEF"/>
          </w:tcPr>
          <w:p>
            <w:pPr>
              <w:pStyle w:val="TableParagraph"/>
              <w:ind w:left="107"/>
              <w:rPr>
                <w:rFonts w:ascii="Courier New"/>
                <w:b/>
                <w:sz w:val="28"/>
              </w:rPr>
            </w:pPr>
            <w:r>
              <w:rPr>
                <w:rFonts w:ascii="Courier New"/>
                <w:b/>
                <w:sz w:val="28"/>
              </w:rPr>
              <w:t>Gotu Kola</w:t>
            </w:r>
          </w:p>
        </w:tc>
        <w:tc>
          <w:tcPr>
            <w:tcW w:w="1368" w:type="dxa"/>
          </w:tcPr>
          <w:p>
            <w:pPr>
              <w:pStyle w:val="TableParagraph"/>
              <w:spacing w:before="7"/>
              <w:ind w:left="108"/>
              <w:rPr>
                <w:rFonts w:ascii="Courier New"/>
                <w:sz w:val="28"/>
              </w:rPr>
            </w:pPr>
            <w:r>
              <w:rPr>
                <w:rFonts w:ascii="Courier New"/>
                <w:sz w:val="28"/>
              </w:rPr>
              <w:t>473</w:t>
            </w:r>
          </w:p>
        </w:tc>
        <w:tc>
          <w:tcPr>
            <w:tcW w:w="3418" w:type="dxa"/>
          </w:tcPr>
          <w:p>
            <w:pPr>
              <w:pStyle w:val="TableParagraph"/>
              <w:rPr>
                <w:rFonts w:ascii="Times New Roman"/>
                <w:sz w:val="28"/>
              </w:rPr>
            </w:pPr>
          </w:p>
        </w:tc>
        <w:tc>
          <w:tcPr>
            <w:tcW w:w="3247" w:type="dxa"/>
          </w:tcPr>
          <w:p>
            <w:pPr>
              <w:pStyle w:val="TableParagraph"/>
              <w:spacing w:before="7"/>
              <w:ind w:left="108"/>
              <w:rPr>
                <w:rFonts w:ascii="Courier New"/>
                <w:sz w:val="28"/>
              </w:rPr>
            </w:pPr>
            <w:r>
              <w:rPr>
                <w:rFonts w:ascii="Courier New"/>
                <w:w w:val="100"/>
                <w:sz w:val="28"/>
              </w:rPr>
              <w:t>X</w:t>
            </w:r>
          </w:p>
        </w:tc>
        <w:tc>
          <w:tcPr>
            <w:tcW w:w="3274" w:type="dxa"/>
          </w:tcPr>
          <w:p>
            <w:pPr>
              <w:pStyle w:val="TableParagraph"/>
              <w:rPr>
                <w:rFonts w:ascii="Times New Roman"/>
                <w:sz w:val="28"/>
              </w:rPr>
            </w:pPr>
          </w:p>
        </w:tc>
        <w:tc>
          <w:tcPr>
            <w:tcW w:w="3432" w:type="dxa"/>
          </w:tcPr>
          <w:p>
            <w:pPr>
              <w:pStyle w:val="TableParagraph"/>
              <w:rPr>
                <w:rFonts w:ascii="Times New Roman"/>
                <w:sz w:val="28"/>
              </w:rPr>
            </w:pPr>
          </w:p>
        </w:tc>
      </w:tr>
      <w:tr>
        <w:trPr>
          <w:trHeight w:val="566" w:hRule="atLeast"/>
        </w:trPr>
        <w:tc>
          <w:tcPr>
            <w:tcW w:w="2693" w:type="dxa"/>
            <w:shd w:val="clear" w:color="auto" w:fill="00AFEF"/>
          </w:tcPr>
          <w:p>
            <w:pPr>
              <w:pStyle w:val="TableParagraph"/>
              <w:spacing w:line="317" w:lineRule="exact"/>
              <w:ind w:left="107"/>
              <w:rPr>
                <w:rFonts w:ascii="Courier New"/>
                <w:b/>
                <w:sz w:val="28"/>
              </w:rPr>
            </w:pPr>
            <w:r>
              <w:rPr>
                <w:rFonts w:ascii="Courier New"/>
                <w:b/>
                <w:sz w:val="28"/>
              </w:rPr>
              <w:t>Pomegranate</w:t>
            </w:r>
          </w:p>
        </w:tc>
        <w:tc>
          <w:tcPr>
            <w:tcW w:w="1368" w:type="dxa"/>
          </w:tcPr>
          <w:p>
            <w:pPr>
              <w:pStyle w:val="TableParagraph"/>
              <w:spacing w:before="6"/>
              <w:ind w:left="108"/>
              <w:rPr>
                <w:rFonts w:ascii="Courier New"/>
                <w:sz w:val="28"/>
              </w:rPr>
            </w:pPr>
            <w:r>
              <w:rPr>
                <w:rFonts w:ascii="Courier New"/>
                <w:sz w:val="28"/>
              </w:rPr>
              <w:t>490</w:t>
            </w:r>
          </w:p>
        </w:tc>
        <w:tc>
          <w:tcPr>
            <w:tcW w:w="3418" w:type="dxa"/>
          </w:tcPr>
          <w:p>
            <w:pPr>
              <w:pStyle w:val="TableParagraph"/>
              <w:rPr>
                <w:rFonts w:ascii="Times New Roman"/>
                <w:sz w:val="28"/>
              </w:rPr>
            </w:pPr>
          </w:p>
        </w:tc>
        <w:tc>
          <w:tcPr>
            <w:tcW w:w="3247" w:type="dxa"/>
          </w:tcPr>
          <w:p>
            <w:pPr>
              <w:pStyle w:val="TableParagraph"/>
              <w:spacing w:before="6"/>
              <w:ind w:left="108"/>
              <w:rPr>
                <w:rFonts w:ascii="Courier New"/>
                <w:sz w:val="28"/>
              </w:rPr>
            </w:pPr>
            <w:r>
              <w:rPr>
                <w:rFonts w:ascii="Courier New"/>
                <w:w w:val="100"/>
                <w:sz w:val="28"/>
              </w:rPr>
              <w:t>X</w:t>
            </w:r>
          </w:p>
        </w:tc>
        <w:tc>
          <w:tcPr>
            <w:tcW w:w="3274" w:type="dxa"/>
          </w:tcPr>
          <w:p>
            <w:pPr>
              <w:pStyle w:val="TableParagraph"/>
              <w:rPr>
                <w:rFonts w:ascii="Times New Roman"/>
                <w:sz w:val="28"/>
              </w:rPr>
            </w:pPr>
          </w:p>
        </w:tc>
        <w:tc>
          <w:tcPr>
            <w:tcW w:w="3432" w:type="dxa"/>
          </w:tcPr>
          <w:p>
            <w:pPr>
              <w:pStyle w:val="TableParagraph"/>
              <w:rPr>
                <w:rFonts w:ascii="Times New Roman"/>
                <w:sz w:val="28"/>
              </w:rPr>
            </w:pPr>
          </w:p>
        </w:tc>
      </w:tr>
      <w:tr>
        <w:trPr>
          <w:trHeight w:val="563" w:hRule="atLeast"/>
        </w:trPr>
        <w:tc>
          <w:tcPr>
            <w:tcW w:w="2693" w:type="dxa"/>
            <w:shd w:val="clear" w:color="auto" w:fill="00AFEF"/>
          </w:tcPr>
          <w:p>
            <w:pPr>
              <w:pStyle w:val="TableParagraph"/>
              <w:spacing w:line="317" w:lineRule="exact"/>
              <w:ind w:left="107"/>
              <w:rPr>
                <w:rFonts w:ascii="Courier New"/>
                <w:b/>
                <w:sz w:val="28"/>
              </w:rPr>
            </w:pPr>
            <w:r>
              <w:rPr>
                <w:rFonts w:ascii="Courier New"/>
                <w:b/>
                <w:sz w:val="28"/>
              </w:rPr>
              <w:t>Green Tea</w:t>
            </w:r>
          </w:p>
        </w:tc>
        <w:tc>
          <w:tcPr>
            <w:tcW w:w="1368" w:type="dxa"/>
          </w:tcPr>
          <w:p>
            <w:pPr>
              <w:pStyle w:val="TableParagraph"/>
              <w:spacing w:before="6"/>
              <w:ind w:left="108"/>
              <w:rPr>
                <w:rFonts w:ascii="Courier New"/>
                <w:sz w:val="28"/>
              </w:rPr>
            </w:pPr>
            <w:r>
              <w:rPr>
                <w:rFonts w:ascii="Courier New"/>
                <w:sz w:val="28"/>
              </w:rPr>
              <w:t>587</w:t>
            </w:r>
          </w:p>
        </w:tc>
        <w:tc>
          <w:tcPr>
            <w:tcW w:w="3418" w:type="dxa"/>
          </w:tcPr>
          <w:p>
            <w:pPr>
              <w:pStyle w:val="TableParagraph"/>
              <w:rPr>
                <w:rFonts w:ascii="Times New Roman"/>
                <w:sz w:val="28"/>
              </w:rPr>
            </w:pPr>
          </w:p>
        </w:tc>
        <w:tc>
          <w:tcPr>
            <w:tcW w:w="3247" w:type="dxa"/>
          </w:tcPr>
          <w:p>
            <w:pPr>
              <w:pStyle w:val="TableParagraph"/>
              <w:spacing w:before="6"/>
              <w:ind w:left="108"/>
              <w:rPr>
                <w:rFonts w:ascii="Courier New"/>
                <w:sz w:val="28"/>
              </w:rPr>
            </w:pPr>
            <w:r>
              <w:rPr>
                <w:rFonts w:ascii="Courier New"/>
                <w:w w:val="100"/>
                <w:sz w:val="28"/>
              </w:rPr>
              <w:t>X</w:t>
            </w:r>
          </w:p>
        </w:tc>
        <w:tc>
          <w:tcPr>
            <w:tcW w:w="3274" w:type="dxa"/>
          </w:tcPr>
          <w:p>
            <w:pPr>
              <w:pStyle w:val="TableParagraph"/>
              <w:rPr>
                <w:rFonts w:ascii="Times New Roman"/>
                <w:sz w:val="28"/>
              </w:rPr>
            </w:pPr>
          </w:p>
        </w:tc>
        <w:tc>
          <w:tcPr>
            <w:tcW w:w="3432" w:type="dxa"/>
          </w:tcPr>
          <w:p>
            <w:pPr>
              <w:pStyle w:val="TableParagraph"/>
              <w:spacing w:before="6"/>
              <w:ind w:left="109"/>
              <w:rPr>
                <w:rFonts w:ascii="Courier New"/>
                <w:sz w:val="28"/>
              </w:rPr>
            </w:pPr>
            <w:r>
              <w:rPr>
                <w:rFonts w:ascii="Courier New"/>
                <w:w w:val="100"/>
                <w:sz w:val="28"/>
              </w:rPr>
              <w:t>X</w:t>
            </w:r>
          </w:p>
        </w:tc>
      </w:tr>
      <w:tr>
        <w:trPr>
          <w:trHeight w:val="930" w:hRule="atLeast"/>
        </w:trPr>
        <w:tc>
          <w:tcPr>
            <w:tcW w:w="2693" w:type="dxa"/>
            <w:shd w:val="clear" w:color="auto" w:fill="00AFEF"/>
          </w:tcPr>
          <w:p>
            <w:pPr>
              <w:pStyle w:val="TableParagraph"/>
              <w:spacing w:line="278" w:lineRule="auto"/>
              <w:ind w:left="107" w:right="203"/>
              <w:rPr>
                <w:rFonts w:ascii="Courier New"/>
                <w:b/>
                <w:sz w:val="28"/>
              </w:rPr>
            </w:pPr>
            <w:r>
              <w:rPr>
                <w:rFonts w:ascii="Courier New"/>
                <w:b/>
                <w:sz w:val="28"/>
              </w:rPr>
              <w:t>Organic Germa- nium</w:t>
            </w:r>
          </w:p>
        </w:tc>
        <w:tc>
          <w:tcPr>
            <w:tcW w:w="1368" w:type="dxa"/>
          </w:tcPr>
          <w:p>
            <w:pPr>
              <w:pStyle w:val="TableParagraph"/>
              <w:spacing w:before="6"/>
              <w:ind w:left="108"/>
              <w:rPr>
                <w:rFonts w:ascii="Courier New"/>
                <w:sz w:val="28"/>
              </w:rPr>
            </w:pPr>
            <w:r>
              <w:rPr>
                <w:rFonts w:ascii="Courier New"/>
                <w:sz w:val="28"/>
              </w:rPr>
              <w:t>1152</w:t>
            </w:r>
          </w:p>
        </w:tc>
        <w:tc>
          <w:tcPr>
            <w:tcW w:w="3418" w:type="dxa"/>
          </w:tcPr>
          <w:p>
            <w:pPr>
              <w:pStyle w:val="TableParagraph"/>
              <w:rPr>
                <w:rFonts w:ascii="Times New Roman"/>
                <w:sz w:val="28"/>
              </w:rPr>
            </w:pPr>
          </w:p>
        </w:tc>
        <w:tc>
          <w:tcPr>
            <w:tcW w:w="3247" w:type="dxa"/>
          </w:tcPr>
          <w:p>
            <w:pPr>
              <w:pStyle w:val="TableParagraph"/>
              <w:spacing w:before="6"/>
              <w:ind w:left="108"/>
              <w:rPr>
                <w:rFonts w:ascii="Courier New"/>
                <w:sz w:val="28"/>
              </w:rPr>
            </w:pPr>
            <w:r>
              <w:rPr>
                <w:rFonts w:ascii="Courier New"/>
                <w:w w:val="100"/>
                <w:sz w:val="28"/>
              </w:rPr>
              <w:t>X</w:t>
            </w:r>
          </w:p>
        </w:tc>
        <w:tc>
          <w:tcPr>
            <w:tcW w:w="3274" w:type="dxa"/>
          </w:tcPr>
          <w:p>
            <w:pPr>
              <w:pStyle w:val="TableParagraph"/>
              <w:rPr>
                <w:rFonts w:ascii="Times New Roman"/>
                <w:sz w:val="28"/>
              </w:rPr>
            </w:pPr>
          </w:p>
        </w:tc>
        <w:tc>
          <w:tcPr>
            <w:tcW w:w="3432" w:type="dxa"/>
          </w:tcPr>
          <w:p>
            <w:pPr>
              <w:pStyle w:val="TableParagraph"/>
              <w:rPr>
                <w:rFonts w:ascii="Times New Roman"/>
                <w:sz w:val="28"/>
              </w:rPr>
            </w:pPr>
          </w:p>
        </w:tc>
      </w:tr>
      <w:tr>
        <w:trPr>
          <w:trHeight w:val="1293" w:hRule="atLeast"/>
        </w:trPr>
        <w:tc>
          <w:tcPr>
            <w:tcW w:w="2693" w:type="dxa"/>
            <w:shd w:val="clear" w:color="auto" w:fill="00AFEF"/>
          </w:tcPr>
          <w:p>
            <w:pPr>
              <w:pStyle w:val="TableParagraph"/>
              <w:spacing w:line="276" w:lineRule="auto"/>
              <w:ind w:left="107" w:right="1043"/>
              <w:rPr>
                <w:rFonts w:ascii="Courier New"/>
                <w:b/>
                <w:sz w:val="28"/>
              </w:rPr>
            </w:pPr>
            <w:r>
              <w:rPr>
                <w:rFonts w:ascii="Courier New"/>
                <w:b/>
                <w:sz w:val="28"/>
              </w:rPr>
              <w:t>Medicinal mushroom Reishi</w:t>
            </w:r>
          </w:p>
        </w:tc>
        <w:tc>
          <w:tcPr>
            <w:tcW w:w="1368" w:type="dxa"/>
          </w:tcPr>
          <w:p>
            <w:pPr>
              <w:pStyle w:val="TableParagraph"/>
              <w:spacing w:before="7"/>
              <w:ind w:left="108"/>
              <w:rPr>
                <w:rFonts w:ascii="Courier New"/>
                <w:sz w:val="28"/>
              </w:rPr>
            </w:pPr>
            <w:r>
              <w:rPr>
                <w:rFonts w:ascii="Courier New"/>
                <w:sz w:val="28"/>
              </w:rPr>
              <w:t>1665</w:t>
            </w:r>
          </w:p>
        </w:tc>
        <w:tc>
          <w:tcPr>
            <w:tcW w:w="3418" w:type="dxa"/>
          </w:tcPr>
          <w:p>
            <w:pPr>
              <w:pStyle w:val="TableParagraph"/>
              <w:rPr>
                <w:rFonts w:ascii="Times New Roman"/>
                <w:sz w:val="28"/>
              </w:rPr>
            </w:pPr>
          </w:p>
        </w:tc>
        <w:tc>
          <w:tcPr>
            <w:tcW w:w="3247" w:type="dxa"/>
          </w:tcPr>
          <w:p>
            <w:pPr>
              <w:pStyle w:val="TableParagraph"/>
              <w:spacing w:before="7"/>
              <w:ind w:left="108"/>
              <w:rPr>
                <w:rFonts w:ascii="Courier New"/>
                <w:sz w:val="28"/>
              </w:rPr>
            </w:pPr>
            <w:r>
              <w:rPr>
                <w:rFonts w:ascii="Courier New"/>
                <w:w w:val="100"/>
                <w:sz w:val="28"/>
              </w:rPr>
              <w:t>X</w:t>
            </w:r>
          </w:p>
        </w:tc>
        <w:tc>
          <w:tcPr>
            <w:tcW w:w="3274" w:type="dxa"/>
          </w:tcPr>
          <w:p>
            <w:pPr>
              <w:pStyle w:val="TableParagraph"/>
              <w:rPr>
                <w:rFonts w:ascii="Times New Roman"/>
                <w:sz w:val="28"/>
              </w:rPr>
            </w:pPr>
          </w:p>
        </w:tc>
        <w:tc>
          <w:tcPr>
            <w:tcW w:w="3432" w:type="dxa"/>
          </w:tcPr>
          <w:p>
            <w:pPr>
              <w:pStyle w:val="TableParagraph"/>
              <w:rPr>
                <w:rFonts w:ascii="Times New Roman"/>
                <w:sz w:val="28"/>
              </w:rPr>
            </w:pPr>
          </w:p>
        </w:tc>
      </w:tr>
      <w:tr>
        <w:trPr>
          <w:trHeight w:val="565" w:hRule="atLeast"/>
        </w:trPr>
        <w:tc>
          <w:tcPr>
            <w:tcW w:w="2693" w:type="dxa"/>
            <w:shd w:val="clear" w:color="auto" w:fill="00AFEF"/>
          </w:tcPr>
          <w:p>
            <w:pPr>
              <w:pStyle w:val="TableParagraph"/>
              <w:spacing w:line="317" w:lineRule="exact"/>
              <w:ind w:left="107"/>
              <w:rPr>
                <w:rFonts w:ascii="Courier New"/>
                <w:b/>
                <w:sz w:val="28"/>
              </w:rPr>
            </w:pPr>
            <w:r>
              <w:rPr>
                <w:rFonts w:ascii="Courier New"/>
                <w:b/>
                <w:sz w:val="28"/>
              </w:rPr>
              <w:t>Maitake</w:t>
            </w:r>
          </w:p>
        </w:tc>
        <w:tc>
          <w:tcPr>
            <w:tcW w:w="1368" w:type="dxa"/>
          </w:tcPr>
          <w:p>
            <w:pPr>
              <w:pStyle w:val="TableParagraph"/>
              <w:spacing w:before="6"/>
              <w:ind w:left="108"/>
              <w:rPr>
                <w:rFonts w:ascii="Courier New"/>
                <w:sz w:val="28"/>
              </w:rPr>
            </w:pPr>
            <w:r>
              <w:rPr>
                <w:rFonts w:ascii="Courier New"/>
                <w:sz w:val="28"/>
              </w:rPr>
              <w:t>1697</w:t>
            </w:r>
          </w:p>
        </w:tc>
        <w:tc>
          <w:tcPr>
            <w:tcW w:w="3418" w:type="dxa"/>
          </w:tcPr>
          <w:p>
            <w:pPr>
              <w:pStyle w:val="TableParagraph"/>
              <w:rPr>
                <w:rFonts w:ascii="Times New Roman"/>
                <w:sz w:val="28"/>
              </w:rPr>
            </w:pPr>
          </w:p>
        </w:tc>
        <w:tc>
          <w:tcPr>
            <w:tcW w:w="3247" w:type="dxa"/>
          </w:tcPr>
          <w:p>
            <w:pPr>
              <w:pStyle w:val="TableParagraph"/>
              <w:spacing w:before="6"/>
              <w:ind w:left="108"/>
              <w:rPr>
                <w:rFonts w:ascii="Courier New"/>
                <w:sz w:val="28"/>
              </w:rPr>
            </w:pPr>
            <w:r>
              <w:rPr>
                <w:rFonts w:ascii="Courier New"/>
                <w:w w:val="100"/>
                <w:sz w:val="28"/>
              </w:rPr>
              <w:t>X</w:t>
            </w:r>
          </w:p>
        </w:tc>
        <w:tc>
          <w:tcPr>
            <w:tcW w:w="3274" w:type="dxa"/>
          </w:tcPr>
          <w:p>
            <w:pPr>
              <w:pStyle w:val="TableParagraph"/>
              <w:rPr>
                <w:rFonts w:ascii="Times New Roman"/>
                <w:sz w:val="28"/>
              </w:rPr>
            </w:pPr>
          </w:p>
        </w:tc>
        <w:tc>
          <w:tcPr>
            <w:tcW w:w="3432" w:type="dxa"/>
          </w:tcPr>
          <w:p>
            <w:pPr>
              <w:pStyle w:val="TableParagraph"/>
              <w:rPr>
                <w:rFonts w:ascii="Times New Roman"/>
                <w:sz w:val="28"/>
              </w:rPr>
            </w:pPr>
          </w:p>
        </w:tc>
      </w:tr>
      <w:tr>
        <w:trPr>
          <w:trHeight w:val="563" w:hRule="atLeast"/>
        </w:trPr>
        <w:tc>
          <w:tcPr>
            <w:tcW w:w="2693" w:type="dxa"/>
            <w:shd w:val="clear" w:color="auto" w:fill="00AFEF"/>
          </w:tcPr>
          <w:p>
            <w:pPr>
              <w:pStyle w:val="TableParagraph"/>
              <w:spacing w:line="317" w:lineRule="exact"/>
              <w:ind w:left="107"/>
              <w:rPr>
                <w:rFonts w:ascii="Courier New"/>
                <w:b/>
                <w:sz w:val="28"/>
              </w:rPr>
            </w:pPr>
            <w:r>
              <w:rPr>
                <w:rFonts w:ascii="Courier New"/>
                <w:b/>
                <w:sz w:val="28"/>
              </w:rPr>
              <w:t>Shiitake</w:t>
            </w:r>
          </w:p>
        </w:tc>
        <w:tc>
          <w:tcPr>
            <w:tcW w:w="1368" w:type="dxa"/>
          </w:tcPr>
          <w:p>
            <w:pPr>
              <w:pStyle w:val="TableParagraph"/>
              <w:spacing w:before="6"/>
              <w:ind w:left="108"/>
              <w:rPr>
                <w:rFonts w:ascii="Courier New"/>
                <w:sz w:val="28"/>
              </w:rPr>
            </w:pPr>
            <w:r>
              <w:rPr>
                <w:rFonts w:ascii="Courier New"/>
                <w:sz w:val="28"/>
              </w:rPr>
              <w:t>1685</w:t>
            </w:r>
          </w:p>
        </w:tc>
        <w:tc>
          <w:tcPr>
            <w:tcW w:w="3418" w:type="dxa"/>
          </w:tcPr>
          <w:p>
            <w:pPr>
              <w:pStyle w:val="TableParagraph"/>
              <w:rPr>
                <w:rFonts w:ascii="Times New Roman"/>
                <w:sz w:val="28"/>
              </w:rPr>
            </w:pPr>
          </w:p>
        </w:tc>
        <w:tc>
          <w:tcPr>
            <w:tcW w:w="3247" w:type="dxa"/>
          </w:tcPr>
          <w:p>
            <w:pPr>
              <w:pStyle w:val="TableParagraph"/>
              <w:spacing w:before="6"/>
              <w:ind w:left="108"/>
              <w:rPr>
                <w:rFonts w:ascii="Courier New"/>
                <w:sz w:val="28"/>
              </w:rPr>
            </w:pPr>
            <w:r>
              <w:rPr>
                <w:rFonts w:ascii="Courier New"/>
                <w:w w:val="100"/>
                <w:sz w:val="28"/>
              </w:rPr>
              <w:t>X</w:t>
            </w:r>
          </w:p>
        </w:tc>
        <w:tc>
          <w:tcPr>
            <w:tcW w:w="3274" w:type="dxa"/>
          </w:tcPr>
          <w:p>
            <w:pPr>
              <w:pStyle w:val="TableParagraph"/>
              <w:rPr>
                <w:rFonts w:ascii="Times New Roman"/>
                <w:sz w:val="28"/>
              </w:rPr>
            </w:pPr>
          </w:p>
        </w:tc>
        <w:tc>
          <w:tcPr>
            <w:tcW w:w="3432" w:type="dxa"/>
          </w:tcPr>
          <w:p>
            <w:pPr>
              <w:pStyle w:val="TableParagraph"/>
              <w:rPr>
                <w:rFonts w:ascii="Times New Roman"/>
                <w:sz w:val="28"/>
              </w:rPr>
            </w:pPr>
          </w:p>
        </w:tc>
      </w:tr>
      <w:tr>
        <w:trPr>
          <w:trHeight w:val="566" w:hRule="atLeast"/>
        </w:trPr>
        <w:tc>
          <w:tcPr>
            <w:tcW w:w="2693" w:type="dxa"/>
            <w:shd w:val="clear" w:color="auto" w:fill="00AFEF"/>
          </w:tcPr>
          <w:p>
            <w:pPr>
              <w:pStyle w:val="TableParagraph"/>
              <w:spacing w:line="317" w:lineRule="exact"/>
              <w:ind w:left="107"/>
              <w:rPr>
                <w:rFonts w:ascii="Courier New"/>
                <w:b/>
                <w:sz w:val="28"/>
              </w:rPr>
            </w:pPr>
            <w:r>
              <w:rPr>
                <w:rFonts w:ascii="Courier New"/>
                <w:b/>
                <w:sz w:val="28"/>
              </w:rPr>
              <w:t>Hericium</w:t>
            </w:r>
          </w:p>
        </w:tc>
        <w:tc>
          <w:tcPr>
            <w:tcW w:w="1368" w:type="dxa"/>
          </w:tcPr>
          <w:p>
            <w:pPr>
              <w:pStyle w:val="TableParagraph"/>
              <w:spacing w:before="6"/>
              <w:ind w:left="108"/>
              <w:rPr>
                <w:rFonts w:ascii="Courier New"/>
                <w:sz w:val="28"/>
              </w:rPr>
            </w:pPr>
            <w:r>
              <w:rPr>
                <w:rFonts w:ascii="Courier New"/>
                <w:sz w:val="28"/>
              </w:rPr>
              <w:t>1707</w:t>
            </w:r>
          </w:p>
        </w:tc>
        <w:tc>
          <w:tcPr>
            <w:tcW w:w="3418" w:type="dxa"/>
          </w:tcPr>
          <w:p>
            <w:pPr>
              <w:pStyle w:val="TableParagraph"/>
              <w:rPr>
                <w:rFonts w:ascii="Times New Roman"/>
                <w:sz w:val="28"/>
              </w:rPr>
            </w:pPr>
          </w:p>
        </w:tc>
        <w:tc>
          <w:tcPr>
            <w:tcW w:w="3247" w:type="dxa"/>
          </w:tcPr>
          <w:p>
            <w:pPr>
              <w:pStyle w:val="TableParagraph"/>
              <w:spacing w:before="6"/>
              <w:ind w:left="108"/>
              <w:rPr>
                <w:rFonts w:ascii="Courier New"/>
                <w:sz w:val="28"/>
              </w:rPr>
            </w:pPr>
            <w:r>
              <w:rPr>
                <w:rFonts w:ascii="Courier New"/>
                <w:w w:val="100"/>
                <w:sz w:val="28"/>
              </w:rPr>
              <w:t>X</w:t>
            </w:r>
          </w:p>
        </w:tc>
        <w:tc>
          <w:tcPr>
            <w:tcW w:w="3274" w:type="dxa"/>
          </w:tcPr>
          <w:p>
            <w:pPr>
              <w:pStyle w:val="TableParagraph"/>
              <w:rPr>
                <w:rFonts w:ascii="Times New Roman"/>
                <w:sz w:val="28"/>
              </w:rPr>
            </w:pPr>
          </w:p>
        </w:tc>
        <w:tc>
          <w:tcPr>
            <w:tcW w:w="3432" w:type="dxa"/>
          </w:tcPr>
          <w:p>
            <w:pPr>
              <w:pStyle w:val="TableParagraph"/>
              <w:rPr>
                <w:rFonts w:ascii="Times New Roman"/>
                <w:sz w:val="28"/>
              </w:rPr>
            </w:pPr>
          </w:p>
        </w:tc>
      </w:tr>
    </w:tbl>
    <w:p>
      <w:pPr>
        <w:spacing w:after="0"/>
        <w:rPr>
          <w:rFonts w:ascii="Times New Roman"/>
          <w:sz w:val="28"/>
        </w:rPr>
        <w:sectPr>
          <w:pgSz w:w="18630" w:h="11910" w:orient="landscape"/>
          <w:pgMar w:header="0" w:footer="404" w:top="840" w:bottom="600" w:left="740" w:right="8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3"/>
        <w:gridCol w:w="1368"/>
        <w:gridCol w:w="3418"/>
        <w:gridCol w:w="3247"/>
        <w:gridCol w:w="3274"/>
        <w:gridCol w:w="3432"/>
      </w:tblGrid>
      <w:tr>
        <w:trPr>
          <w:trHeight w:val="564" w:hRule="atLeast"/>
        </w:trPr>
        <w:tc>
          <w:tcPr>
            <w:tcW w:w="2693" w:type="dxa"/>
            <w:shd w:val="clear" w:color="auto" w:fill="00AFEF"/>
          </w:tcPr>
          <w:p>
            <w:pPr>
              <w:pStyle w:val="TableParagraph"/>
              <w:spacing w:line="317" w:lineRule="exact"/>
              <w:ind w:left="107"/>
              <w:rPr>
                <w:rFonts w:ascii="Courier New"/>
                <w:b/>
                <w:sz w:val="28"/>
              </w:rPr>
            </w:pPr>
            <w:r>
              <w:rPr>
                <w:rFonts w:ascii="Courier New"/>
                <w:b/>
                <w:sz w:val="28"/>
              </w:rPr>
              <w:t>Polyporus</w:t>
            </w:r>
          </w:p>
        </w:tc>
        <w:tc>
          <w:tcPr>
            <w:tcW w:w="1368" w:type="dxa"/>
          </w:tcPr>
          <w:p>
            <w:pPr>
              <w:pStyle w:val="TableParagraph"/>
              <w:spacing w:before="6"/>
              <w:ind w:left="108"/>
              <w:rPr>
                <w:rFonts w:ascii="Courier New"/>
                <w:sz w:val="28"/>
              </w:rPr>
            </w:pPr>
            <w:r>
              <w:rPr>
                <w:rFonts w:ascii="Courier New"/>
                <w:sz w:val="28"/>
              </w:rPr>
              <w:t>1845</w:t>
            </w:r>
          </w:p>
        </w:tc>
        <w:tc>
          <w:tcPr>
            <w:tcW w:w="3418" w:type="dxa"/>
          </w:tcPr>
          <w:p>
            <w:pPr>
              <w:pStyle w:val="TableParagraph"/>
              <w:rPr>
                <w:rFonts w:ascii="Times New Roman"/>
                <w:sz w:val="26"/>
              </w:rPr>
            </w:pPr>
          </w:p>
        </w:tc>
        <w:tc>
          <w:tcPr>
            <w:tcW w:w="3247" w:type="dxa"/>
          </w:tcPr>
          <w:p>
            <w:pPr>
              <w:pStyle w:val="TableParagraph"/>
              <w:spacing w:before="6"/>
              <w:ind w:left="108"/>
              <w:rPr>
                <w:rFonts w:ascii="Courier New"/>
                <w:sz w:val="28"/>
              </w:rPr>
            </w:pPr>
            <w:r>
              <w:rPr>
                <w:rFonts w:ascii="Courier New"/>
                <w:w w:val="100"/>
                <w:sz w:val="28"/>
              </w:rPr>
              <w:t>X</w:t>
            </w:r>
          </w:p>
        </w:tc>
        <w:tc>
          <w:tcPr>
            <w:tcW w:w="3274" w:type="dxa"/>
          </w:tcPr>
          <w:p>
            <w:pPr>
              <w:pStyle w:val="TableParagraph"/>
              <w:rPr>
                <w:rFonts w:ascii="Times New Roman"/>
                <w:sz w:val="26"/>
              </w:rPr>
            </w:pPr>
          </w:p>
        </w:tc>
        <w:tc>
          <w:tcPr>
            <w:tcW w:w="3432" w:type="dxa"/>
          </w:tcPr>
          <w:p>
            <w:pPr>
              <w:pStyle w:val="TableParagraph"/>
              <w:rPr>
                <w:rFonts w:ascii="Times New Roman"/>
                <w:sz w:val="26"/>
              </w:rPr>
            </w:pPr>
          </w:p>
        </w:tc>
      </w:tr>
      <w:tr>
        <w:trPr>
          <w:trHeight w:val="565" w:hRule="atLeast"/>
        </w:trPr>
        <w:tc>
          <w:tcPr>
            <w:tcW w:w="2693" w:type="dxa"/>
            <w:shd w:val="clear" w:color="auto" w:fill="00AFEF"/>
          </w:tcPr>
          <w:p>
            <w:pPr>
              <w:pStyle w:val="TableParagraph"/>
              <w:spacing w:line="317" w:lineRule="exact"/>
              <w:ind w:left="107"/>
              <w:rPr>
                <w:rFonts w:ascii="Courier New"/>
                <w:b/>
                <w:sz w:val="28"/>
              </w:rPr>
            </w:pPr>
            <w:r>
              <w:rPr>
                <w:rFonts w:ascii="Courier New"/>
                <w:b/>
                <w:sz w:val="28"/>
              </w:rPr>
              <w:t>Coriolus</w:t>
            </w:r>
          </w:p>
        </w:tc>
        <w:tc>
          <w:tcPr>
            <w:tcW w:w="1368" w:type="dxa"/>
          </w:tcPr>
          <w:p>
            <w:pPr>
              <w:pStyle w:val="TableParagraph"/>
              <w:spacing w:before="6"/>
              <w:ind w:left="108"/>
              <w:rPr>
                <w:rFonts w:ascii="Courier New"/>
                <w:sz w:val="28"/>
              </w:rPr>
            </w:pPr>
            <w:r>
              <w:rPr>
                <w:rFonts w:ascii="Courier New"/>
                <w:sz w:val="28"/>
              </w:rPr>
              <w:t>1848</w:t>
            </w:r>
          </w:p>
        </w:tc>
        <w:tc>
          <w:tcPr>
            <w:tcW w:w="3418" w:type="dxa"/>
          </w:tcPr>
          <w:p>
            <w:pPr>
              <w:pStyle w:val="TableParagraph"/>
              <w:rPr>
                <w:rFonts w:ascii="Times New Roman"/>
                <w:sz w:val="26"/>
              </w:rPr>
            </w:pPr>
          </w:p>
        </w:tc>
        <w:tc>
          <w:tcPr>
            <w:tcW w:w="3247" w:type="dxa"/>
          </w:tcPr>
          <w:p>
            <w:pPr>
              <w:pStyle w:val="TableParagraph"/>
              <w:spacing w:before="6"/>
              <w:ind w:left="108"/>
              <w:rPr>
                <w:rFonts w:ascii="Courier New"/>
                <w:sz w:val="28"/>
              </w:rPr>
            </w:pPr>
            <w:r>
              <w:rPr>
                <w:rFonts w:ascii="Courier New"/>
                <w:w w:val="100"/>
                <w:sz w:val="28"/>
              </w:rPr>
              <w:t>X</w:t>
            </w:r>
          </w:p>
        </w:tc>
        <w:tc>
          <w:tcPr>
            <w:tcW w:w="3274" w:type="dxa"/>
          </w:tcPr>
          <w:p>
            <w:pPr>
              <w:pStyle w:val="TableParagraph"/>
              <w:rPr>
                <w:rFonts w:ascii="Times New Roman"/>
                <w:sz w:val="26"/>
              </w:rPr>
            </w:pPr>
          </w:p>
        </w:tc>
        <w:tc>
          <w:tcPr>
            <w:tcW w:w="3432" w:type="dxa"/>
          </w:tcPr>
          <w:p>
            <w:pPr>
              <w:pStyle w:val="TableParagraph"/>
              <w:rPr>
                <w:rFonts w:ascii="Times New Roman"/>
                <w:sz w:val="26"/>
              </w:rPr>
            </w:pPr>
          </w:p>
        </w:tc>
      </w:tr>
      <w:tr>
        <w:trPr>
          <w:trHeight w:val="1117" w:hRule="atLeast"/>
        </w:trPr>
        <w:tc>
          <w:tcPr>
            <w:tcW w:w="2693" w:type="dxa"/>
            <w:shd w:val="clear" w:color="auto" w:fill="00AFEF"/>
          </w:tcPr>
          <w:p>
            <w:pPr>
              <w:pStyle w:val="TableParagraph"/>
              <w:spacing w:line="278" w:lineRule="auto"/>
              <w:ind w:left="107" w:right="371"/>
              <w:rPr>
                <w:rFonts w:ascii="Courier New"/>
                <w:b/>
                <w:sz w:val="28"/>
              </w:rPr>
            </w:pPr>
            <w:r>
              <w:rPr>
                <w:rFonts w:ascii="Courier New"/>
                <w:b/>
                <w:sz w:val="28"/>
              </w:rPr>
              <w:t>Glucosamine / Chondroitin</w:t>
            </w:r>
          </w:p>
        </w:tc>
        <w:tc>
          <w:tcPr>
            <w:tcW w:w="1368" w:type="dxa"/>
          </w:tcPr>
          <w:p>
            <w:pPr>
              <w:pStyle w:val="TableParagraph"/>
              <w:spacing w:before="6"/>
              <w:ind w:left="108"/>
              <w:rPr>
                <w:rFonts w:ascii="Courier New"/>
                <w:sz w:val="28"/>
              </w:rPr>
            </w:pPr>
            <w:r>
              <w:rPr>
                <w:rFonts w:ascii="Courier New"/>
                <w:sz w:val="28"/>
              </w:rPr>
              <w:t>441</w:t>
            </w:r>
          </w:p>
        </w:tc>
        <w:tc>
          <w:tcPr>
            <w:tcW w:w="3418" w:type="dxa"/>
          </w:tcPr>
          <w:p>
            <w:pPr>
              <w:pStyle w:val="TableParagraph"/>
              <w:rPr>
                <w:rFonts w:ascii="Times New Roman"/>
                <w:sz w:val="26"/>
              </w:rPr>
            </w:pPr>
          </w:p>
        </w:tc>
        <w:tc>
          <w:tcPr>
            <w:tcW w:w="3247" w:type="dxa"/>
          </w:tcPr>
          <w:p>
            <w:pPr>
              <w:pStyle w:val="TableParagraph"/>
              <w:spacing w:before="6"/>
              <w:ind w:left="108"/>
              <w:rPr>
                <w:rFonts w:ascii="Courier New"/>
                <w:sz w:val="28"/>
              </w:rPr>
            </w:pPr>
            <w:r>
              <w:rPr>
                <w:rFonts w:ascii="Courier New"/>
                <w:sz w:val="28"/>
              </w:rPr>
              <w:t>joints/skin</w:t>
            </w:r>
          </w:p>
        </w:tc>
        <w:tc>
          <w:tcPr>
            <w:tcW w:w="3274" w:type="dxa"/>
          </w:tcPr>
          <w:p>
            <w:pPr>
              <w:pStyle w:val="TableParagraph"/>
              <w:rPr>
                <w:rFonts w:ascii="Times New Roman"/>
                <w:sz w:val="26"/>
              </w:rPr>
            </w:pPr>
          </w:p>
        </w:tc>
        <w:tc>
          <w:tcPr>
            <w:tcW w:w="3432" w:type="dxa"/>
          </w:tcPr>
          <w:p>
            <w:pPr>
              <w:pStyle w:val="TableParagraph"/>
              <w:rPr>
                <w:rFonts w:ascii="Times New Roman"/>
                <w:sz w:val="26"/>
              </w:rPr>
            </w:pPr>
          </w:p>
        </w:tc>
      </w:tr>
    </w:tbl>
    <w:p>
      <w:pPr>
        <w:spacing w:after="0"/>
        <w:rPr>
          <w:rFonts w:ascii="Times New Roman"/>
          <w:sz w:val="26"/>
        </w:rPr>
        <w:sectPr>
          <w:pgSz w:w="18630" w:h="11910" w:orient="landscape"/>
          <w:pgMar w:header="0" w:footer="404" w:top="840" w:bottom="600" w:left="740" w:right="8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18"/>
        <w:gridCol w:w="1135"/>
        <w:gridCol w:w="3228"/>
        <w:gridCol w:w="3845"/>
        <w:gridCol w:w="3132"/>
        <w:gridCol w:w="3534"/>
      </w:tblGrid>
      <w:tr>
        <w:trPr>
          <w:trHeight w:val="1240" w:hRule="atLeast"/>
        </w:trPr>
        <w:tc>
          <w:tcPr>
            <w:tcW w:w="17392" w:type="dxa"/>
            <w:gridSpan w:val="6"/>
            <w:shd w:val="clear" w:color="auto" w:fill="FAD3B4"/>
          </w:tcPr>
          <w:p>
            <w:pPr>
              <w:pStyle w:val="TableParagraph"/>
              <w:spacing w:before="311"/>
              <w:ind w:left="3049" w:right="3001"/>
              <w:jc w:val="center"/>
              <w:rPr>
                <w:b/>
                <w:sz w:val="36"/>
              </w:rPr>
            </w:pPr>
            <w:r>
              <w:rPr>
                <w:b/>
                <w:sz w:val="36"/>
              </w:rPr>
              <w:t>SUBSTANCE-EFFECT TABLE ANTI-AGEING / REVERSE-AGEING</w:t>
            </w:r>
          </w:p>
          <w:p>
            <w:pPr>
              <w:pStyle w:val="TableParagraph"/>
              <w:spacing w:before="61"/>
              <w:ind w:left="3049" w:right="2999"/>
              <w:jc w:val="center"/>
              <w:rPr>
                <w:b/>
                <w:sz w:val="36"/>
              </w:rPr>
            </w:pPr>
            <w:r>
              <w:rPr>
                <w:b/>
                <w:sz w:val="36"/>
              </w:rPr>
              <w:t>(secondary factors)</w:t>
            </w:r>
          </w:p>
        </w:tc>
      </w:tr>
      <w:tr>
        <w:trPr>
          <w:trHeight w:val="2788" w:hRule="atLeast"/>
        </w:trPr>
        <w:tc>
          <w:tcPr>
            <w:tcW w:w="2518" w:type="dxa"/>
            <w:shd w:val="clear" w:color="auto" w:fill="FFFF00"/>
          </w:tcPr>
          <w:p>
            <w:pPr>
              <w:pStyle w:val="TableParagraph"/>
              <w:rPr>
                <w:rFonts w:ascii="Courier New"/>
                <w:sz w:val="32"/>
              </w:rPr>
            </w:pPr>
          </w:p>
          <w:p>
            <w:pPr>
              <w:pStyle w:val="TableParagraph"/>
              <w:spacing w:line="278" w:lineRule="auto" w:before="201"/>
              <w:ind w:left="107" w:right="364"/>
              <w:rPr>
                <w:rFonts w:ascii="Courier New"/>
                <w:b/>
                <w:sz w:val="28"/>
              </w:rPr>
            </w:pPr>
            <w:r>
              <w:rPr>
                <w:rFonts w:ascii="Courier New"/>
                <w:b/>
                <w:sz w:val="28"/>
              </w:rPr>
              <w:t>Natural sub- stance</w:t>
            </w:r>
          </w:p>
        </w:tc>
        <w:tc>
          <w:tcPr>
            <w:tcW w:w="1135" w:type="dxa"/>
            <w:shd w:val="clear" w:color="auto" w:fill="FFFF00"/>
          </w:tcPr>
          <w:p>
            <w:pPr>
              <w:pStyle w:val="TableParagraph"/>
              <w:rPr>
                <w:rFonts w:ascii="Courier New"/>
                <w:sz w:val="32"/>
              </w:rPr>
            </w:pPr>
          </w:p>
          <w:p>
            <w:pPr>
              <w:pStyle w:val="TableParagraph"/>
              <w:spacing w:before="203"/>
              <w:ind w:left="107"/>
              <w:rPr>
                <w:rFonts w:ascii="Courier New"/>
                <w:b/>
                <w:sz w:val="28"/>
              </w:rPr>
            </w:pPr>
            <w:r>
              <w:rPr>
                <w:rFonts w:ascii="Courier New"/>
                <w:b/>
                <w:sz w:val="28"/>
              </w:rPr>
              <w:t>Page</w:t>
            </w:r>
          </w:p>
        </w:tc>
        <w:tc>
          <w:tcPr>
            <w:tcW w:w="3228" w:type="dxa"/>
            <w:shd w:val="clear" w:color="auto" w:fill="FFFF00"/>
          </w:tcPr>
          <w:p>
            <w:pPr>
              <w:pStyle w:val="TableParagraph"/>
              <w:rPr>
                <w:rFonts w:ascii="Courier New"/>
                <w:sz w:val="32"/>
              </w:rPr>
            </w:pPr>
          </w:p>
          <w:p>
            <w:pPr>
              <w:pStyle w:val="TableParagraph"/>
              <w:spacing w:line="276" w:lineRule="auto" w:before="201"/>
              <w:ind w:left="105" w:right="572"/>
              <w:rPr>
                <w:rFonts w:ascii="Courier New" w:hAnsi="Courier New"/>
                <w:b/>
                <w:sz w:val="28"/>
              </w:rPr>
            </w:pPr>
            <w:r>
              <w:rPr>
                <w:rFonts w:ascii="Courier New" w:hAnsi="Courier New"/>
                <w:b/>
                <w:sz w:val="28"/>
              </w:rPr>
              <w:t>Optimisation of the body´s own hormone produc- tion</w:t>
            </w:r>
          </w:p>
        </w:tc>
        <w:tc>
          <w:tcPr>
            <w:tcW w:w="3845" w:type="dxa"/>
            <w:shd w:val="clear" w:color="auto" w:fill="FFFF00"/>
          </w:tcPr>
          <w:p>
            <w:pPr>
              <w:pStyle w:val="TableParagraph"/>
              <w:rPr>
                <w:rFonts w:ascii="Courier New"/>
                <w:sz w:val="32"/>
              </w:rPr>
            </w:pPr>
          </w:p>
          <w:p>
            <w:pPr>
              <w:pStyle w:val="TableParagraph"/>
              <w:spacing w:line="278" w:lineRule="auto" w:before="201"/>
              <w:ind w:left="108" w:right="346"/>
              <w:rPr>
                <w:rFonts w:ascii="Courier New"/>
                <w:b/>
                <w:sz w:val="28"/>
              </w:rPr>
            </w:pPr>
            <w:r>
              <w:rPr>
                <w:rFonts w:ascii="Courier New"/>
                <w:b/>
                <w:sz w:val="28"/>
              </w:rPr>
              <w:t>Combatting inflamma- tion mediators</w:t>
            </w:r>
          </w:p>
        </w:tc>
        <w:tc>
          <w:tcPr>
            <w:tcW w:w="3132" w:type="dxa"/>
            <w:shd w:val="clear" w:color="auto" w:fill="FFFF00"/>
          </w:tcPr>
          <w:p>
            <w:pPr>
              <w:pStyle w:val="TableParagraph"/>
              <w:rPr>
                <w:rFonts w:ascii="Courier New"/>
                <w:sz w:val="32"/>
              </w:rPr>
            </w:pPr>
          </w:p>
          <w:p>
            <w:pPr>
              <w:pStyle w:val="TableParagraph"/>
              <w:spacing w:line="276" w:lineRule="auto" w:before="201"/>
              <w:ind w:left="108" w:right="137"/>
              <w:rPr>
                <w:rFonts w:ascii="Courier New"/>
                <w:b/>
                <w:sz w:val="28"/>
              </w:rPr>
            </w:pPr>
            <w:r>
              <w:rPr>
                <w:rFonts w:ascii="Courier New"/>
                <w:b/>
                <w:sz w:val="28"/>
              </w:rPr>
              <w:t>Reducing the work of the mitochon- dria</w:t>
            </w:r>
          </w:p>
        </w:tc>
        <w:tc>
          <w:tcPr>
            <w:tcW w:w="3534" w:type="dxa"/>
            <w:shd w:val="clear" w:color="auto" w:fill="FFFF00"/>
          </w:tcPr>
          <w:p>
            <w:pPr>
              <w:pStyle w:val="TableParagraph"/>
              <w:rPr>
                <w:rFonts w:ascii="Courier New"/>
                <w:sz w:val="32"/>
              </w:rPr>
            </w:pPr>
          </w:p>
          <w:p>
            <w:pPr>
              <w:pStyle w:val="TableParagraph"/>
              <w:spacing w:line="427" w:lineRule="auto" w:before="203"/>
              <w:ind w:left="109" w:right="538"/>
              <w:rPr>
                <w:rFonts w:ascii="Courier New"/>
                <w:b/>
                <w:sz w:val="28"/>
              </w:rPr>
            </w:pPr>
            <w:r>
              <w:rPr>
                <w:rFonts w:ascii="Courier New"/>
                <w:b/>
                <w:sz w:val="28"/>
              </w:rPr>
              <w:t>Deacidification &amp; purification</w:t>
            </w:r>
          </w:p>
        </w:tc>
      </w:tr>
      <w:tr>
        <w:trPr>
          <w:trHeight w:val="930" w:hRule="atLeast"/>
        </w:trPr>
        <w:tc>
          <w:tcPr>
            <w:tcW w:w="2518" w:type="dxa"/>
            <w:shd w:val="clear" w:color="auto" w:fill="00AFEF"/>
          </w:tcPr>
          <w:p>
            <w:pPr>
              <w:pStyle w:val="TableParagraph"/>
              <w:spacing w:line="278" w:lineRule="auto"/>
              <w:ind w:left="107" w:right="364"/>
              <w:rPr>
                <w:rFonts w:ascii="Courier New"/>
                <w:b/>
                <w:sz w:val="28"/>
              </w:rPr>
            </w:pPr>
            <w:r>
              <w:rPr>
                <w:rFonts w:ascii="Courier New"/>
                <w:b/>
                <w:sz w:val="28"/>
              </w:rPr>
              <w:t>Astragalus Membranaceus</w:t>
            </w:r>
          </w:p>
        </w:tc>
        <w:tc>
          <w:tcPr>
            <w:tcW w:w="1135" w:type="dxa"/>
          </w:tcPr>
          <w:p>
            <w:pPr>
              <w:pStyle w:val="TableParagraph"/>
              <w:spacing w:before="6"/>
              <w:ind w:left="107"/>
              <w:rPr>
                <w:rFonts w:ascii="Courier New"/>
                <w:sz w:val="28"/>
              </w:rPr>
            </w:pPr>
            <w:r>
              <w:rPr>
                <w:rFonts w:ascii="Courier New"/>
                <w:sz w:val="28"/>
              </w:rPr>
              <w:t>197</w:t>
            </w:r>
          </w:p>
        </w:tc>
        <w:tc>
          <w:tcPr>
            <w:tcW w:w="3228" w:type="dxa"/>
          </w:tcPr>
          <w:p>
            <w:pPr>
              <w:pStyle w:val="TableParagraph"/>
              <w:rPr>
                <w:rFonts w:ascii="Times New Roman"/>
                <w:sz w:val="28"/>
              </w:rPr>
            </w:pPr>
          </w:p>
        </w:tc>
        <w:tc>
          <w:tcPr>
            <w:tcW w:w="3845" w:type="dxa"/>
          </w:tcPr>
          <w:p>
            <w:pPr>
              <w:pStyle w:val="TableParagraph"/>
              <w:spacing w:before="6"/>
              <w:ind w:left="108"/>
              <w:rPr>
                <w:rFonts w:ascii="Courier New"/>
                <w:sz w:val="28"/>
              </w:rPr>
            </w:pPr>
            <w:r>
              <w:rPr>
                <w:rFonts w:ascii="Courier New"/>
                <w:w w:val="100"/>
                <w:sz w:val="28"/>
              </w:rPr>
              <w:t>X</w:t>
            </w:r>
          </w:p>
        </w:tc>
        <w:tc>
          <w:tcPr>
            <w:tcW w:w="3132" w:type="dxa"/>
          </w:tcPr>
          <w:p>
            <w:pPr>
              <w:pStyle w:val="TableParagraph"/>
              <w:rPr>
                <w:rFonts w:ascii="Times New Roman"/>
                <w:sz w:val="28"/>
              </w:rPr>
            </w:pPr>
          </w:p>
        </w:tc>
        <w:tc>
          <w:tcPr>
            <w:tcW w:w="3534" w:type="dxa"/>
          </w:tcPr>
          <w:p>
            <w:pPr>
              <w:pStyle w:val="TableParagraph"/>
              <w:rPr>
                <w:rFonts w:ascii="Times New Roman"/>
                <w:sz w:val="28"/>
              </w:rPr>
            </w:pPr>
          </w:p>
        </w:tc>
      </w:tr>
      <w:tr>
        <w:trPr>
          <w:trHeight w:val="563" w:hRule="atLeast"/>
        </w:trPr>
        <w:tc>
          <w:tcPr>
            <w:tcW w:w="2518" w:type="dxa"/>
            <w:shd w:val="clear" w:color="auto" w:fill="00AFEF"/>
          </w:tcPr>
          <w:p>
            <w:pPr>
              <w:pStyle w:val="TableParagraph"/>
              <w:spacing w:line="317" w:lineRule="exact"/>
              <w:ind w:left="107"/>
              <w:rPr>
                <w:rFonts w:ascii="Courier New"/>
                <w:b/>
                <w:sz w:val="28"/>
              </w:rPr>
            </w:pPr>
            <w:r>
              <w:rPr>
                <w:rFonts w:ascii="Courier New"/>
                <w:b/>
                <w:sz w:val="28"/>
              </w:rPr>
              <w:t>L-Carnosine</w:t>
            </w:r>
          </w:p>
        </w:tc>
        <w:tc>
          <w:tcPr>
            <w:tcW w:w="1135" w:type="dxa"/>
          </w:tcPr>
          <w:p>
            <w:pPr>
              <w:pStyle w:val="TableParagraph"/>
              <w:spacing w:before="6"/>
              <w:ind w:left="107"/>
              <w:rPr>
                <w:rFonts w:ascii="Courier New"/>
                <w:sz w:val="28"/>
              </w:rPr>
            </w:pPr>
            <w:r>
              <w:rPr>
                <w:rFonts w:ascii="Courier New"/>
                <w:sz w:val="28"/>
              </w:rPr>
              <w:t>924</w:t>
            </w:r>
          </w:p>
        </w:tc>
        <w:tc>
          <w:tcPr>
            <w:tcW w:w="3228" w:type="dxa"/>
          </w:tcPr>
          <w:p>
            <w:pPr>
              <w:pStyle w:val="TableParagraph"/>
              <w:rPr>
                <w:rFonts w:ascii="Times New Roman"/>
                <w:sz w:val="28"/>
              </w:rPr>
            </w:pPr>
          </w:p>
        </w:tc>
        <w:tc>
          <w:tcPr>
            <w:tcW w:w="3845" w:type="dxa"/>
          </w:tcPr>
          <w:p>
            <w:pPr>
              <w:pStyle w:val="TableParagraph"/>
              <w:rPr>
                <w:rFonts w:ascii="Times New Roman"/>
                <w:sz w:val="28"/>
              </w:rPr>
            </w:pPr>
          </w:p>
        </w:tc>
        <w:tc>
          <w:tcPr>
            <w:tcW w:w="3132" w:type="dxa"/>
          </w:tcPr>
          <w:p>
            <w:pPr>
              <w:pStyle w:val="TableParagraph"/>
              <w:rPr>
                <w:rFonts w:ascii="Times New Roman"/>
                <w:sz w:val="28"/>
              </w:rPr>
            </w:pPr>
          </w:p>
        </w:tc>
        <w:tc>
          <w:tcPr>
            <w:tcW w:w="3534" w:type="dxa"/>
          </w:tcPr>
          <w:p>
            <w:pPr>
              <w:pStyle w:val="TableParagraph"/>
              <w:rPr>
                <w:rFonts w:ascii="Times New Roman"/>
                <w:sz w:val="28"/>
              </w:rPr>
            </w:pPr>
          </w:p>
        </w:tc>
      </w:tr>
      <w:tr>
        <w:trPr>
          <w:trHeight w:val="566" w:hRule="atLeast"/>
        </w:trPr>
        <w:tc>
          <w:tcPr>
            <w:tcW w:w="2518" w:type="dxa"/>
            <w:shd w:val="clear" w:color="auto" w:fill="00AFEF"/>
          </w:tcPr>
          <w:p>
            <w:pPr>
              <w:pStyle w:val="TableParagraph"/>
              <w:ind w:left="107"/>
              <w:rPr>
                <w:rFonts w:ascii="Courier New"/>
                <w:b/>
                <w:sz w:val="28"/>
              </w:rPr>
            </w:pPr>
            <w:r>
              <w:rPr>
                <w:rFonts w:ascii="Courier New"/>
                <w:b/>
                <w:sz w:val="28"/>
              </w:rPr>
              <w:t>Melatonin</w:t>
            </w:r>
          </w:p>
        </w:tc>
        <w:tc>
          <w:tcPr>
            <w:tcW w:w="1135" w:type="dxa"/>
          </w:tcPr>
          <w:p>
            <w:pPr>
              <w:pStyle w:val="TableParagraph"/>
              <w:spacing w:before="7"/>
              <w:ind w:left="107"/>
              <w:rPr>
                <w:rFonts w:ascii="Courier New"/>
                <w:sz w:val="28"/>
              </w:rPr>
            </w:pPr>
            <w:r>
              <w:rPr>
                <w:rFonts w:ascii="Courier New"/>
                <w:sz w:val="28"/>
              </w:rPr>
              <w:t>954</w:t>
            </w:r>
          </w:p>
        </w:tc>
        <w:tc>
          <w:tcPr>
            <w:tcW w:w="3228" w:type="dxa"/>
          </w:tcPr>
          <w:p>
            <w:pPr>
              <w:pStyle w:val="TableParagraph"/>
              <w:spacing w:before="7"/>
              <w:ind w:left="105"/>
              <w:rPr>
                <w:rFonts w:ascii="Courier New"/>
                <w:sz w:val="28"/>
              </w:rPr>
            </w:pPr>
            <w:r>
              <w:rPr>
                <w:rFonts w:ascii="Courier New"/>
                <w:w w:val="100"/>
                <w:sz w:val="28"/>
              </w:rPr>
              <w:t>X</w:t>
            </w:r>
          </w:p>
        </w:tc>
        <w:tc>
          <w:tcPr>
            <w:tcW w:w="3845" w:type="dxa"/>
          </w:tcPr>
          <w:p>
            <w:pPr>
              <w:pStyle w:val="TableParagraph"/>
              <w:rPr>
                <w:rFonts w:ascii="Times New Roman"/>
                <w:sz w:val="28"/>
              </w:rPr>
            </w:pPr>
          </w:p>
        </w:tc>
        <w:tc>
          <w:tcPr>
            <w:tcW w:w="3132" w:type="dxa"/>
          </w:tcPr>
          <w:p>
            <w:pPr>
              <w:pStyle w:val="TableParagraph"/>
              <w:spacing w:before="7"/>
              <w:ind w:left="108"/>
              <w:rPr>
                <w:rFonts w:ascii="Courier New"/>
                <w:sz w:val="28"/>
              </w:rPr>
            </w:pPr>
            <w:r>
              <w:rPr>
                <w:rFonts w:ascii="Courier New"/>
                <w:w w:val="100"/>
                <w:sz w:val="28"/>
              </w:rPr>
              <w:t>X</w:t>
            </w:r>
          </w:p>
        </w:tc>
        <w:tc>
          <w:tcPr>
            <w:tcW w:w="3534" w:type="dxa"/>
          </w:tcPr>
          <w:p>
            <w:pPr>
              <w:pStyle w:val="TableParagraph"/>
              <w:rPr>
                <w:rFonts w:ascii="Times New Roman"/>
                <w:sz w:val="28"/>
              </w:rPr>
            </w:pPr>
          </w:p>
        </w:tc>
      </w:tr>
      <w:tr>
        <w:trPr>
          <w:trHeight w:val="563" w:hRule="atLeast"/>
        </w:trPr>
        <w:tc>
          <w:tcPr>
            <w:tcW w:w="2518" w:type="dxa"/>
            <w:shd w:val="clear" w:color="auto" w:fill="00AFEF"/>
          </w:tcPr>
          <w:p>
            <w:pPr>
              <w:pStyle w:val="TableParagraph"/>
              <w:spacing w:line="317" w:lineRule="exact"/>
              <w:ind w:left="107"/>
              <w:rPr>
                <w:rFonts w:ascii="Courier New"/>
                <w:b/>
                <w:sz w:val="28"/>
              </w:rPr>
            </w:pPr>
            <w:r>
              <w:rPr>
                <w:rFonts w:ascii="Courier New"/>
                <w:b/>
                <w:sz w:val="28"/>
              </w:rPr>
              <w:t>Resveratrol</w:t>
            </w:r>
          </w:p>
        </w:tc>
        <w:tc>
          <w:tcPr>
            <w:tcW w:w="1135" w:type="dxa"/>
          </w:tcPr>
          <w:p>
            <w:pPr>
              <w:pStyle w:val="TableParagraph"/>
              <w:spacing w:before="6"/>
              <w:ind w:left="107"/>
              <w:rPr>
                <w:rFonts w:ascii="Courier New"/>
                <w:sz w:val="28"/>
              </w:rPr>
            </w:pPr>
            <w:r>
              <w:rPr>
                <w:rFonts w:ascii="Courier New"/>
                <w:sz w:val="28"/>
              </w:rPr>
              <w:t>1340</w:t>
            </w:r>
          </w:p>
        </w:tc>
        <w:tc>
          <w:tcPr>
            <w:tcW w:w="3228" w:type="dxa"/>
          </w:tcPr>
          <w:p>
            <w:pPr>
              <w:pStyle w:val="TableParagraph"/>
              <w:rPr>
                <w:rFonts w:ascii="Times New Roman"/>
                <w:sz w:val="28"/>
              </w:rPr>
            </w:pPr>
          </w:p>
        </w:tc>
        <w:tc>
          <w:tcPr>
            <w:tcW w:w="3845" w:type="dxa"/>
          </w:tcPr>
          <w:p>
            <w:pPr>
              <w:pStyle w:val="TableParagraph"/>
              <w:spacing w:before="6"/>
              <w:ind w:left="108"/>
              <w:rPr>
                <w:rFonts w:ascii="Courier New"/>
                <w:sz w:val="28"/>
              </w:rPr>
            </w:pPr>
            <w:r>
              <w:rPr>
                <w:rFonts w:ascii="Courier New"/>
                <w:w w:val="100"/>
                <w:sz w:val="28"/>
              </w:rPr>
              <w:t>X</w:t>
            </w:r>
          </w:p>
        </w:tc>
        <w:tc>
          <w:tcPr>
            <w:tcW w:w="3132" w:type="dxa"/>
          </w:tcPr>
          <w:p>
            <w:pPr>
              <w:pStyle w:val="TableParagraph"/>
              <w:spacing w:before="6"/>
              <w:ind w:left="108"/>
              <w:rPr>
                <w:rFonts w:ascii="Courier New"/>
                <w:sz w:val="28"/>
              </w:rPr>
            </w:pPr>
            <w:r>
              <w:rPr>
                <w:rFonts w:ascii="Courier New"/>
                <w:w w:val="100"/>
                <w:sz w:val="28"/>
              </w:rPr>
              <w:t>X</w:t>
            </w:r>
          </w:p>
        </w:tc>
        <w:tc>
          <w:tcPr>
            <w:tcW w:w="3534" w:type="dxa"/>
          </w:tcPr>
          <w:p>
            <w:pPr>
              <w:pStyle w:val="TableParagraph"/>
              <w:rPr>
                <w:rFonts w:ascii="Times New Roman"/>
                <w:sz w:val="28"/>
              </w:rPr>
            </w:pPr>
          </w:p>
        </w:tc>
      </w:tr>
      <w:tr>
        <w:trPr>
          <w:trHeight w:val="565" w:hRule="atLeast"/>
        </w:trPr>
        <w:tc>
          <w:tcPr>
            <w:tcW w:w="2518" w:type="dxa"/>
            <w:shd w:val="clear" w:color="auto" w:fill="00AFEF"/>
          </w:tcPr>
          <w:p>
            <w:pPr>
              <w:pStyle w:val="TableParagraph"/>
              <w:spacing w:line="317" w:lineRule="exact"/>
              <w:ind w:left="107"/>
              <w:rPr>
                <w:rFonts w:ascii="Courier New"/>
                <w:b/>
                <w:sz w:val="28"/>
              </w:rPr>
            </w:pPr>
            <w:r>
              <w:rPr>
                <w:rFonts w:ascii="Courier New"/>
                <w:b/>
                <w:sz w:val="28"/>
              </w:rPr>
              <w:t>Selenium</w:t>
            </w:r>
          </w:p>
        </w:tc>
        <w:tc>
          <w:tcPr>
            <w:tcW w:w="1135" w:type="dxa"/>
          </w:tcPr>
          <w:p>
            <w:pPr>
              <w:pStyle w:val="TableParagraph"/>
              <w:spacing w:before="6"/>
              <w:ind w:left="107"/>
              <w:rPr>
                <w:rFonts w:ascii="Courier New"/>
                <w:sz w:val="28"/>
              </w:rPr>
            </w:pPr>
            <w:r>
              <w:rPr>
                <w:rFonts w:ascii="Courier New"/>
                <w:sz w:val="28"/>
              </w:rPr>
              <w:t>1405</w:t>
            </w:r>
          </w:p>
        </w:tc>
        <w:tc>
          <w:tcPr>
            <w:tcW w:w="3228" w:type="dxa"/>
          </w:tcPr>
          <w:p>
            <w:pPr>
              <w:pStyle w:val="TableParagraph"/>
              <w:rPr>
                <w:rFonts w:ascii="Times New Roman"/>
                <w:sz w:val="28"/>
              </w:rPr>
            </w:pPr>
          </w:p>
        </w:tc>
        <w:tc>
          <w:tcPr>
            <w:tcW w:w="3845" w:type="dxa"/>
          </w:tcPr>
          <w:p>
            <w:pPr>
              <w:pStyle w:val="TableParagraph"/>
              <w:spacing w:before="6"/>
              <w:ind w:left="108"/>
              <w:rPr>
                <w:rFonts w:ascii="Courier New"/>
                <w:sz w:val="28"/>
              </w:rPr>
            </w:pPr>
            <w:r>
              <w:rPr>
                <w:rFonts w:ascii="Courier New"/>
                <w:w w:val="100"/>
                <w:sz w:val="28"/>
              </w:rPr>
              <w:t>X</w:t>
            </w:r>
          </w:p>
        </w:tc>
        <w:tc>
          <w:tcPr>
            <w:tcW w:w="3132" w:type="dxa"/>
          </w:tcPr>
          <w:p>
            <w:pPr>
              <w:pStyle w:val="TableParagraph"/>
              <w:rPr>
                <w:rFonts w:ascii="Times New Roman"/>
                <w:sz w:val="28"/>
              </w:rPr>
            </w:pPr>
          </w:p>
        </w:tc>
        <w:tc>
          <w:tcPr>
            <w:tcW w:w="3534" w:type="dxa"/>
          </w:tcPr>
          <w:p>
            <w:pPr>
              <w:pStyle w:val="TableParagraph"/>
              <w:rPr>
                <w:rFonts w:ascii="Times New Roman"/>
                <w:sz w:val="28"/>
              </w:rPr>
            </w:pPr>
          </w:p>
        </w:tc>
      </w:tr>
      <w:tr>
        <w:trPr>
          <w:trHeight w:val="928" w:hRule="atLeast"/>
        </w:trPr>
        <w:tc>
          <w:tcPr>
            <w:tcW w:w="2518" w:type="dxa"/>
            <w:shd w:val="clear" w:color="auto" w:fill="00AFEF"/>
          </w:tcPr>
          <w:p>
            <w:pPr>
              <w:pStyle w:val="TableParagraph"/>
              <w:spacing w:line="278" w:lineRule="auto"/>
              <w:ind w:left="107" w:right="868"/>
              <w:rPr>
                <w:rFonts w:ascii="Courier New"/>
                <w:b/>
                <w:sz w:val="28"/>
              </w:rPr>
            </w:pPr>
            <w:r>
              <w:rPr>
                <w:rFonts w:ascii="Courier New"/>
                <w:b/>
                <w:sz w:val="28"/>
              </w:rPr>
              <w:t>Colloidal gold</w:t>
            </w:r>
          </w:p>
        </w:tc>
        <w:tc>
          <w:tcPr>
            <w:tcW w:w="1135" w:type="dxa"/>
          </w:tcPr>
          <w:p>
            <w:pPr>
              <w:pStyle w:val="TableParagraph"/>
              <w:spacing w:before="6"/>
              <w:ind w:left="107"/>
              <w:rPr>
                <w:rFonts w:ascii="Courier New"/>
                <w:sz w:val="28"/>
              </w:rPr>
            </w:pPr>
            <w:r>
              <w:rPr>
                <w:rFonts w:ascii="Courier New"/>
                <w:sz w:val="28"/>
              </w:rPr>
              <w:t>642</w:t>
            </w:r>
          </w:p>
        </w:tc>
        <w:tc>
          <w:tcPr>
            <w:tcW w:w="3228" w:type="dxa"/>
          </w:tcPr>
          <w:p>
            <w:pPr>
              <w:pStyle w:val="TableParagraph"/>
              <w:spacing w:before="6"/>
              <w:ind w:left="105"/>
              <w:rPr>
                <w:rFonts w:ascii="Courier New"/>
                <w:sz w:val="28"/>
              </w:rPr>
            </w:pPr>
            <w:r>
              <w:rPr>
                <w:rFonts w:ascii="Courier New"/>
                <w:w w:val="100"/>
                <w:sz w:val="28"/>
              </w:rPr>
              <w:t>X</w:t>
            </w:r>
          </w:p>
        </w:tc>
        <w:tc>
          <w:tcPr>
            <w:tcW w:w="3845" w:type="dxa"/>
          </w:tcPr>
          <w:p>
            <w:pPr>
              <w:pStyle w:val="TableParagraph"/>
              <w:spacing w:before="6"/>
              <w:ind w:left="108"/>
              <w:rPr>
                <w:rFonts w:ascii="Courier New"/>
                <w:sz w:val="28"/>
              </w:rPr>
            </w:pPr>
            <w:r>
              <w:rPr>
                <w:rFonts w:ascii="Courier New"/>
                <w:w w:val="100"/>
                <w:sz w:val="28"/>
              </w:rPr>
              <w:t>X</w:t>
            </w:r>
          </w:p>
        </w:tc>
        <w:tc>
          <w:tcPr>
            <w:tcW w:w="3132" w:type="dxa"/>
          </w:tcPr>
          <w:p>
            <w:pPr>
              <w:pStyle w:val="TableParagraph"/>
              <w:spacing w:before="6"/>
              <w:ind w:left="108"/>
              <w:rPr>
                <w:rFonts w:ascii="Courier New"/>
                <w:sz w:val="28"/>
              </w:rPr>
            </w:pPr>
            <w:r>
              <w:rPr>
                <w:rFonts w:ascii="Courier New"/>
                <w:w w:val="100"/>
                <w:sz w:val="28"/>
              </w:rPr>
              <w:t>X</w:t>
            </w:r>
          </w:p>
        </w:tc>
        <w:tc>
          <w:tcPr>
            <w:tcW w:w="3534" w:type="dxa"/>
          </w:tcPr>
          <w:p>
            <w:pPr>
              <w:pStyle w:val="TableParagraph"/>
              <w:rPr>
                <w:rFonts w:ascii="Times New Roman"/>
                <w:sz w:val="28"/>
              </w:rPr>
            </w:pPr>
          </w:p>
        </w:tc>
      </w:tr>
      <w:tr>
        <w:trPr>
          <w:trHeight w:val="566" w:hRule="atLeast"/>
        </w:trPr>
        <w:tc>
          <w:tcPr>
            <w:tcW w:w="2518" w:type="dxa"/>
            <w:shd w:val="clear" w:color="auto" w:fill="00AFEF"/>
          </w:tcPr>
          <w:p>
            <w:pPr>
              <w:pStyle w:val="TableParagraph"/>
              <w:ind w:left="107"/>
              <w:rPr>
                <w:rFonts w:ascii="Courier New"/>
                <w:b/>
                <w:sz w:val="28"/>
              </w:rPr>
            </w:pPr>
            <w:r>
              <w:rPr>
                <w:rFonts w:ascii="Courier New"/>
                <w:b/>
                <w:sz w:val="28"/>
              </w:rPr>
              <w:t>Colostrum</w:t>
            </w:r>
          </w:p>
        </w:tc>
        <w:tc>
          <w:tcPr>
            <w:tcW w:w="1135" w:type="dxa"/>
          </w:tcPr>
          <w:p>
            <w:pPr>
              <w:pStyle w:val="TableParagraph"/>
              <w:spacing w:before="7"/>
              <w:ind w:left="107"/>
              <w:rPr>
                <w:rFonts w:ascii="Courier New"/>
                <w:sz w:val="28"/>
              </w:rPr>
            </w:pPr>
            <w:r>
              <w:rPr>
                <w:rFonts w:ascii="Courier New"/>
                <w:sz w:val="28"/>
              </w:rPr>
              <w:t>264</w:t>
            </w:r>
          </w:p>
        </w:tc>
        <w:tc>
          <w:tcPr>
            <w:tcW w:w="3228" w:type="dxa"/>
          </w:tcPr>
          <w:p>
            <w:pPr>
              <w:pStyle w:val="TableParagraph"/>
              <w:spacing w:before="7"/>
              <w:ind w:left="105"/>
              <w:rPr>
                <w:rFonts w:ascii="Courier New"/>
                <w:sz w:val="28"/>
              </w:rPr>
            </w:pPr>
            <w:r>
              <w:rPr>
                <w:rFonts w:ascii="Courier New"/>
                <w:w w:val="100"/>
                <w:sz w:val="28"/>
              </w:rPr>
              <w:t>X</w:t>
            </w:r>
          </w:p>
        </w:tc>
        <w:tc>
          <w:tcPr>
            <w:tcW w:w="3845" w:type="dxa"/>
          </w:tcPr>
          <w:p>
            <w:pPr>
              <w:pStyle w:val="TableParagraph"/>
              <w:spacing w:before="7"/>
              <w:ind w:left="108"/>
              <w:rPr>
                <w:rFonts w:ascii="Courier New"/>
                <w:sz w:val="28"/>
              </w:rPr>
            </w:pPr>
            <w:r>
              <w:rPr>
                <w:rFonts w:ascii="Courier New"/>
                <w:w w:val="100"/>
                <w:sz w:val="28"/>
              </w:rPr>
              <w:t>X</w:t>
            </w:r>
          </w:p>
        </w:tc>
        <w:tc>
          <w:tcPr>
            <w:tcW w:w="3132" w:type="dxa"/>
          </w:tcPr>
          <w:p>
            <w:pPr>
              <w:pStyle w:val="TableParagraph"/>
              <w:rPr>
                <w:rFonts w:ascii="Times New Roman"/>
                <w:sz w:val="28"/>
              </w:rPr>
            </w:pPr>
          </w:p>
        </w:tc>
        <w:tc>
          <w:tcPr>
            <w:tcW w:w="3534" w:type="dxa"/>
          </w:tcPr>
          <w:p>
            <w:pPr>
              <w:pStyle w:val="TableParagraph"/>
              <w:rPr>
                <w:rFonts w:ascii="Times New Roman"/>
                <w:sz w:val="28"/>
              </w:rPr>
            </w:pPr>
          </w:p>
        </w:tc>
      </w:tr>
    </w:tbl>
    <w:p>
      <w:pPr>
        <w:spacing w:after="0"/>
        <w:rPr>
          <w:rFonts w:ascii="Times New Roman"/>
          <w:sz w:val="28"/>
        </w:rPr>
        <w:sectPr>
          <w:pgSz w:w="18630" w:h="11910" w:orient="landscape"/>
          <w:pgMar w:header="0" w:footer="404" w:top="840" w:bottom="600" w:left="740" w:right="8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18"/>
        <w:gridCol w:w="1135"/>
        <w:gridCol w:w="3228"/>
        <w:gridCol w:w="3845"/>
        <w:gridCol w:w="3132"/>
        <w:gridCol w:w="3573"/>
      </w:tblGrid>
      <w:tr>
        <w:trPr>
          <w:trHeight w:val="564" w:hRule="atLeast"/>
        </w:trPr>
        <w:tc>
          <w:tcPr>
            <w:tcW w:w="2518" w:type="dxa"/>
            <w:shd w:val="clear" w:color="auto" w:fill="00AFEF"/>
          </w:tcPr>
          <w:p>
            <w:pPr>
              <w:pStyle w:val="TableParagraph"/>
              <w:spacing w:line="317" w:lineRule="exact"/>
              <w:ind w:left="107"/>
              <w:rPr>
                <w:rFonts w:ascii="Courier New"/>
                <w:b/>
                <w:sz w:val="28"/>
              </w:rPr>
            </w:pPr>
            <w:r>
              <w:rPr>
                <w:rFonts w:ascii="Courier New"/>
                <w:b/>
                <w:sz w:val="28"/>
              </w:rPr>
              <w:t>Kombucha</w:t>
            </w:r>
          </w:p>
        </w:tc>
        <w:tc>
          <w:tcPr>
            <w:tcW w:w="1135" w:type="dxa"/>
          </w:tcPr>
          <w:p>
            <w:pPr>
              <w:pStyle w:val="TableParagraph"/>
              <w:spacing w:before="6"/>
              <w:ind w:left="107"/>
              <w:rPr>
                <w:rFonts w:ascii="Courier New"/>
                <w:sz w:val="28"/>
              </w:rPr>
            </w:pPr>
            <w:r>
              <w:rPr>
                <w:rFonts w:ascii="Courier New"/>
                <w:sz w:val="28"/>
              </w:rPr>
              <w:t>731</w:t>
            </w:r>
          </w:p>
        </w:tc>
        <w:tc>
          <w:tcPr>
            <w:tcW w:w="3228" w:type="dxa"/>
          </w:tcPr>
          <w:p>
            <w:pPr>
              <w:pStyle w:val="TableParagraph"/>
              <w:rPr>
                <w:rFonts w:ascii="Times New Roman"/>
                <w:sz w:val="28"/>
              </w:rPr>
            </w:pPr>
          </w:p>
        </w:tc>
        <w:tc>
          <w:tcPr>
            <w:tcW w:w="3845" w:type="dxa"/>
          </w:tcPr>
          <w:p>
            <w:pPr>
              <w:pStyle w:val="TableParagraph"/>
              <w:spacing w:before="6"/>
              <w:ind w:left="108"/>
              <w:rPr>
                <w:rFonts w:ascii="Courier New"/>
                <w:sz w:val="28"/>
              </w:rPr>
            </w:pPr>
            <w:r>
              <w:rPr>
                <w:rFonts w:ascii="Courier New"/>
                <w:w w:val="100"/>
                <w:sz w:val="28"/>
              </w:rPr>
              <w:t>X</w:t>
            </w:r>
          </w:p>
        </w:tc>
        <w:tc>
          <w:tcPr>
            <w:tcW w:w="3132" w:type="dxa"/>
          </w:tcPr>
          <w:p>
            <w:pPr>
              <w:pStyle w:val="TableParagraph"/>
              <w:rPr>
                <w:rFonts w:ascii="Times New Roman"/>
                <w:sz w:val="28"/>
              </w:rPr>
            </w:pPr>
          </w:p>
        </w:tc>
        <w:tc>
          <w:tcPr>
            <w:tcW w:w="3573" w:type="dxa"/>
          </w:tcPr>
          <w:p>
            <w:pPr>
              <w:pStyle w:val="TableParagraph"/>
              <w:spacing w:before="6"/>
              <w:ind w:left="109"/>
              <w:rPr>
                <w:rFonts w:ascii="Courier New"/>
                <w:sz w:val="28"/>
              </w:rPr>
            </w:pPr>
            <w:r>
              <w:rPr>
                <w:rFonts w:ascii="Courier New"/>
                <w:w w:val="100"/>
                <w:sz w:val="28"/>
              </w:rPr>
              <w:t>X</w:t>
            </w:r>
          </w:p>
        </w:tc>
      </w:tr>
      <w:tr>
        <w:trPr>
          <w:trHeight w:val="930" w:hRule="atLeast"/>
        </w:trPr>
        <w:tc>
          <w:tcPr>
            <w:tcW w:w="2518" w:type="dxa"/>
            <w:shd w:val="clear" w:color="auto" w:fill="00AFEF"/>
          </w:tcPr>
          <w:p>
            <w:pPr>
              <w:pStyle w:val="TableParagraph"/>
              <w:spacing w:line="278" w:lineRule="auto"/>
              <w:ind w:left="107" w:right="196"/>
              <w:rPr>
                <w:rFonts w:ascii="Courier New"/>
                <w:b/>
                <w:sz w:val="28"/>
              </w:rPr>
            </w:pPr>
            <w:r>
              <w:rPr>
                <w:rFonts w:ascii="Courier New"/>
                <w:b/>
                <w:sz w:val="28"/>
              </w:rPr>
              <w:t>Omega-3 fatty acids</w:t>
            </w:r>
          </w:p>
        </w:tc>
        <w:tc>
          <w:tcPr>
            <w:tcW w:w="1135" w:type="dxa"/>
          </w:tcPr>
          <w:p>
            <w:pPr>
              <w:pStyle w:val="TableParagraph"/>
              <w:spacing w:before="6"/>
              <w:ind w:left="107"/>
              <w:rPr>
                <w:rFonts w:ascii="Courier New"/>
                <w:sz w:val="28"/>
              </w:rPr>
            </w:pPr>
            <w:r>
              <w:rPr>
                <w:rFonts w:ascii="Courier New"/>
                <w:sz w:val="28"/>
              </w:rPr>
              <w:t>1036</w:t>
            </w:r>
          </w:p>
        </w:tc>
        <w:tc>
          <w:tcPr>
            <w:tcW w:w="3228" w:type="dxa"/>
          </w:tcPr>
          <w:p>
            <w:pPr>
              <w:pStyle w:val="TableParagraph"/>
              <w:spacing w:before="6"/>
              <w:ind w:left="105"/>
              <w:rPr>
                <w:rFonts w:ascii="Courier New"/>
                <w:sz w:val="28"/>
              </w:rPr>
            </w:pPr>
            <w:r>
              <w:rPr>
                <w:rFonts w:ascii="Courier New"/>
                <w:w w:val="100"/>
                <w:sz w:val="28"/>
              </w:rPr>
              <w:t>X</w:t>
            </w:r>
          </w:p>
        </w:tc>
        <w:tc>
          <w:tcPr>
            <w:tcW w:w="3845" w:type="dxa"/>
          </w:tcPr>
          <w:p>
            <w:pPr>
              <w:pStyle w:val="TableParagraph"/>
              <w:spacing w:before="6"/>
              <w:ind w:left="108"/>
              <w:rPr>
                <w:rFonts w:ascii="Courier New"/>
                <w:sz w:val="28"/>
              </w:rPr>
            </w:pPr>
            <w:r>
              <w:rPr>
                <w:rFonts w:ascii="Courier New"/>
                <w:w w:val="100"/>
                <w:sz w:val="28"/>
              </w:rPr>
              <w:t>X</w:t>
            </w:r>
          </w:p>
        </w:tc>
        <w:tc>
          <w:tcPr>
            <w:tcW w:w="3132" w:type="dxa"/>
          </w:tcPr>
          <w:p>
            <w:pPr>
              <w:pStyle w:val="TableParagraph"/>
              <w:rPr>
                <w:rFonts w:ascii="Times New Roman"/>
                <w:sz w:val="28"/>
              </w:rPr>
            </w:pPr>
          </w:p>
        </w:tc>
        <w:tc>
          <w:tcPr>
            <w:tcW w:w="3573" w:type="dxa"/>
          </w:tcPr>
          <w:p>
            <w:pPr>
              <w:pStyle w:val="TableParagraph"/>
              <w:rPr>
                <w:rFonts w:ascii="Times New Roman"/>
                <w:sz w:val="28"/>
              </w:rPr>
            </w:pPr>
          </w:p>
        </w:tc>
      </w:tr>
      <w:tr>
        <w:trPr>
          <w:trHeight w:val="928" w:hRule="atLeast"/>
        </w:trPr>
        <w:tc>
          <w:tcPr>
            <w:tcW w:w="2518" w:type="dxa"/>
            <w:shd w:val="clear" w:color="auto" w:fill="00AFEF"/>
          </w:tcPr>
          <w:p>
            <w:pPr>
              <w:pStyle w:val="TableParagraph"/>
              <w:spacing w:line="278" w:lineRule="auto"/>
              <w:ind w:left="107" w:right="364"/>
              <w:rPr>
                <w:rFonts w:ascii="Courier New"/>
                <w:b/>
                <w:sz w:val="28"/>
              </w:rPr>
            </w:pPr>
            <w:r>
              <w:rPr>
                <w:rFonts w:ascii="Courier New"/>
                <w:b/>
                <w:sz w:val="28"/>
              </w:rPr>
              <w:t>Alpha-lipoic acid</w:t>
            </w:r>
          </w:p>
        </w:tc>
        <w:tc>
          <w:tcPr>
            <w:tcW w:w="1135" w:type="dxa"/>
          </w:tcPr>
          <w:p>
            <w:pPr>
              <w:pStyle w:val="TableParagraph"/>
              <w:spacing w:before="6"/>
              <w:ind w:left="107"/>
              <w:rPr>
                <w:rFonts w:ascii="Courier New"/>
                <w:sz w:val="28"/>
              </w:rPr>
            </w:pPr>
            <w:r>
              <w:rPr>
                <w:rFonts w:ascii="Courier New"/>
                <w:sz w:val="28"/>
              </w:rPr>
              <w:t>86</w:t>
            </w:r>
          </w:p>
        </w:tc>
        <w:tc>
          <w:tcPr>
            <w:tcW w:w="3228" w:type="dxa"/>
          </w:tcPr>
          <w:p>
            <w:pPr>
              <w:pStyle w:val="TableParagraph"/>
              <w:rPr>
                <w:rFonts w:ascii="Times New Roman"/>
                <w:sz w:val="28"/>
              </w:rPr>
            </w:pPr>
          </w:p>
        </w:tc>
        <w:tc>
          <w:tcPr>
            <w:tcW w:w="3845" w:type="dxa"/>
          </w:tcPr>
          <w:p>
            <w:pPr>
              <w:pStyle w:val="TableParagraph"/>
              <w:spacing w:before="6"/>
              <w:ind w:left="108"/>
              <w:rPr>
                <w:rFonts w:ascii="Courier New"/>
                <w:sz w:val="28"/>
              </w:rPr>
            </w:pPr>
            <w:r>
              <w:rPr>
                <w:rFonts w:ascii="Courier New"/>
                <w:w w:val="100"/>
                <w:sz w:val="28"/>
              </w:rPr>
              <w:t>X</w:t>
            </w:r>
          </w:p>
        </w:tc>
        <w:tc>
          <w:tcPr>
            <w:tcW w:w="3132" w:type="dxa"/>
          </w:tcPr>
          <w:p>
            <w:pPr>
              <w:pStyle w:val="TableParagraph"/>
              <w:spacing w:before="6"/>
              <w:ind w:left="108"/>
              <w:rPr>
                <w:rFonts w:ascii="Courier New"/>
                <w:sz w:val="28"/>
              </w:rPr>
            </w:pPr>
            <w:r>
              <w:rPr>
                <w:rFonts w:ascii="Courier New"/>
                <w:w w:val="100"/>
                <w:sz w:val="28"/>
              </w:rPr>
              <w:t>X</w:t>
            </w:r>
          </w:p>
        </w:tc>
        <w:tc>
          <w:tcPr>
            <w:tcW w:w="3573" w:type="dxa"/>
          </w:tcPr>
          <w:p>
            <w:pPr>
              <w:pStyle w:val="TableParagraph"/>
              <w:rPr>
                <w:rFonts w:ascii="Times New Roman"/>
                <w:sz w:val="28"/>
              </w:rPr>
            </w:pPr>
          </w:p>
        </w:tc>
      </w:tr>
      <w:tr>
        <w:trPr>
          <w:trHeight w:val="1130" w:hRule="atLeast"/>
        </w:trPr>
        <w:tc>
          <w:tcPr>
            <w:tcW w:w="2518" w:type="dxa"/>
            <w:shd w:val="clear" w:color="auto" w:fill="00AFEF"/>
          </w:tcPr>
          <w:p>
            <w:pPr>
              <w:pStyle w:val="TableParagraph"/>
              <w:spacing w:line="317" w:lineRule="exact"/>
              <w:ind w:left="107"/>
              <w:rPr>
                <w:rFonts w:ascii="Courier New"/>
                <w:b/>
                <w:sz w:val="28"/>
              </w:rPr>
            </w:pPr>
            <w:r>
              <w:rPr>
                <w:rFonts w:ascii="Courier New"/>
                <w:b/>
                <w:sz w:val="28"/>
              </w:rPr>
              <w:t>Acetyl-</w:t>
            </w:r>
          </w:p>
          <w:p>
            <w:pPr>
              <w:pStyle w:val="TableParagraph"/>
              <w:spacing w:before="247"/>
              <w:ind w:left="107"/>
              <w:rPr>
                <w:rFonts w:ascii="Courier New"/>
                <w:b/>
                <w:sz w:val="28"/>
              </w:rPr>
            </w:pPr>
            <w:r>
              <w:rPr>
                <w:rFonts w:ascii="Courier New"/>
                <w:b/>
                <w:sz w:val="28"/>
              </w:rPr>
              <w:t>L-Carnitine</w:t>
            </w:r>
          </w:p>
        </w:tc>
        <w:tc>
          <w:tcPr>
            <w:tcW w:w="1135" w:type="dxa"/>
          </w:tcPr>
          <w:p>
            <w:pPr>
              <w:pStyle w:val="TableParagraph"/>
              <w:spacing w:before="6"/>
              <w:ind w:left="107"/>
              <w:rPr>
                <w:rFonts w:ascii="Courier New"/>
                <w:sz w:val="28"/>
              </w:rPr>
            </w:pPr>
            <w:r>
              <w:rPr>
                <w:rFonts w:ascii="Courier New"/>
                <w:sz w:val="28"/>
              </w:rPr>
              <w:t>866</w:t>
            </w:r>
          </w:p>
        </w:tc>
        <w:tc>
          <w:tcPr>
            <w:tcW w:w="3228" w:type="dxa"/>
          </w:tcPr>
          <w:p>
            <w:pPr>
              <w:pStyle w:val="TableParagraph"/>
              <w:spacing w:before="6"/>
              <w:ind w:left="105"/>
              <w:rPr>
                <w:rFonts w:ascii="Courier New"/>
                <w:sz w:val="28"/>
              </w:rPr>
            </w:pPr>
            <w:r>
              <w:rPr>
                <w:rFonts w:ascii="Courier New"/>
                <w:w w:val="100"/>
                <w:sz w:val="28"/>
              </w:rPr>
              <w:t>X</w:t>
            </w:r>
          </w:p>
        </w:tc>
        <w:tc>
          <w:tcPr>
            <w:tcW w:w="3845" w:type="dxa"/>
          </w:tcPr>
          <w:p>
            <w:pPr>
              <w:pStyle w:val="TableParagraph"/>
              <w:rPr>
                <w:rFonts w:ascii="Times New Roman"/>
                <w:sz w:val="28"/>
              </w:rPr>
            </w:pPr>
          </w:p>
        </w:tc>
        <w:tc>
          <w:tcPr>
            <w:tcW w:w="3132" w:type="dxa"/>
          </w:tcPr>
          <w:p>
            <w:pPr>
              <w:pStyle w:val="TableParagraph"/>
              <w:spacing w:before="6"/>
              <w:ind w:left="108"/>
              <w:rPr>
                <w:rFonts w:ascii="Courier New"/>
                <w:sz w:val="28"/>
              </w:rPr>
            </w:pPr>
            <w:r>
              <w:rPr>
                <w:rFonts w:ascii="Courier New"/>
                <w:w w:val="100"/>
                <w:sz w:val="28"/>
              </w:rPr>
              <w:t>X</w:t>
            </w:r>
          </w:p>
        </w:tc>
        <w:tc>
          <w:tcPr>
            <w:tcW w:w="3573" w:type="dxa"/>
          </w:tcPr>
          <w:p>
            <w:pPr>
              <w:pStyle w:val="TableParagraph"/>
              <w:rPr>
                <w:rFonts w:ascii="Times New Roman"/>
                <w:sz w:val="28"/>
              </w:rPr>
            </w:pPr>
          </w:p>
        </w:tc>
      </w:tr>
      <w:tr>
        <w:trPr>
          <w:trHeight w:val="563" w:hRule="atLeast"/>
        </w:trPr>
        <w:tc>
          <w:tcPr>
            <w:tcW w:w="2518" w:type="dxa"/>
            <w:shd w:val="clear" w:color="auto" w:fill="00AFEF"/>
          </w:tcPr>
          <w:p>
            <w:pPr>
              <w:pStyle w:val="TableParagraph"/>
              <w:spacing w:line="317" w:lineRule="exact"/>
              <w:ind w:left="107"/>
              <w:rPr>
                <w:rFonts w:ascii="Courier New"/>
                <w:b/>
                <w:sz w:val="28"/>
              </w:rPr>
            </w:pPr>
            <w:r>
              <w:rPr>
                <w:rFonts w:ascii="Courier New"/>
                <w:b/>
                <w:sz w:val="28"/>
              </w:rPr>
              <w:t>DHEA</w:t>
            </w:r>
          </w:p>
        </w:tc>
        <w:tc>
          <w:tcPr>
            <w:tcW w:w="1135" w:type="dxa"/>
          </w:tcPr>
          <w:p>
            <w:pPr>
              <w:pStyle w:val="TableParagraph"/>
              <w:spacing w:before="6"/>
              <w:ind w:left="107"/>
              <w:rPr>
                <w:rFonts w:ascii="Courier New"/>
                <w:sz w:val="28"/>
              </w:rPr>
            </w:pPr>
            <w:r>
              <w:rPr>
                <w:rFonts w:ascii="Courier New"/>
                <w:sz w:val="28"/>
              </w:rPr>
              <w:t>365</w:t>
            </w:r>
          </w:p>
        </w:tc>
        <w:tc>
          <w:tcPr>
            <w:tcW w:w="3228" w:type="dxa"/>
          </w:tcPr>
          <w:p>
            <w:pPr>
              <w:pStyle w:val="TableParagraph"/>
              <w:spacing w:before="6"/>
              <w:ind w:left="105"/>
              <w:rPr>
                <w:rFonts w:ascii="Courier New"/>
                <w:sz w:val="28"/>
              </w:rPr>
            </w:pPr>
            <w:r>
              <w:rPr>
                <w:rFonts w:ascii="Courier New"/>
                <w:w w:val="100"/>
                <w:sz w:val="28"/>
              </w:rPr>
              <w:t>X</w:t>
            </w:r>
          </w:p>
        </w:tc>
        <w:tc>
          <w:tcPr>
            <w:tcW w:w="3845" w:type="dxa"/>
          </w:tcPr>
          <w:p>
            <w:pPr>
              <w:pStyle w:val="TableParagraph"/>
              <w:rPr>
                <w:rFonts w:ascii="Times New Roman"/>
                <w:sz w:val="28"/>
              </w:rPr>
            </w:pPr>
          </w:p>
        </w:tc>
        <w:tc>
          <w:tcPr>
            <w:tcW w:w="3132" w:type="dxa"/>
          </w:tcPr>
          <w:p>
            <w:pPr>
              <w:pStyle w:val="TableParagraph"/>
              <w:rPr>
                <w:rFonts w:ascii="Times New Roman"/>
                <w:sz w:val="28"/>
              </w:rPr>
            </w:pPr>
          </w:p>
        </w:tc>
        <w:tc>
          <w:tcPr>
            <w:tcW w:w="3573" w:type="dxa"/>
          </w:tcPr>
          <w:p>
            <w:pPr>
              <w:pStyle w:val="TableParagraph"/>
              <w:rPr>
                <w:rFonts w:ascii="Times New Roman"/>
                <w:sz w:val="28"/>
              </w:rPr>
            </w:pPr>
          </w:p>
        </w:tc>
      </w:tr>
      <w:tr>
        <w:trPr>
          <w:trHeight w:val="565" w:hRule="atLeast"/>
        </w:trPr>
        <w:tc>
          <w:tcPr>
            <w:tcW w:w="2518" w:type="dxa"/>
            <w:shd w:val="clear" w:color="auto" w:fill="00AFEF"/>
          </w:tcPr>
          <w:p>
            <w:pPr>
              <w:pStyle w:val="TableParagraph"/>
              <w:spacing w:line="317" w:lineRule="exact"/>
              <w:ind w:left="107"/>
              <w:rPr>
                <w:rFonts w:ascii="Courier New"/>
                <w:b/>
                <w:sz w:val="28"/>
              </w:rPr>
            </w:pPr>
            <w:r>
              <w:rPr>
                <w:rFonts w:ascii="Courier New"/>
                <w:b/>
                <w:sz w:val="28"/>
              </w:rPr>
              <w:t>DMAE</w:t>
            </w:r>
          </w:p>
        </w:tc>
        <w:tc>
          <w:tcPr>
            <w:tcW w:w="1135" w:type="dxa"/>
          </w:tcPr>
          <w:p>
            <w:pPr>
              <w:pStyle w:val="TableParagraph"/>
              <w:spacing w:before="6"/>
              <w:ind w:left="107"/>
              <w:rPr>
                <w:rFonts w:ascii="Courier New"/>
                <w:sz w:val="28"/>
              </w:rPr>
            </w:pPr>
            <w:r>
              <w:rPr>
                <w:rFonts w:ascii="Courier New"/>
                <w:sz w:val="28"/>
              </w:rPr>
              <w:t>387</w:t>
            </w:r>
          </w:p>
        </w:tc>
        <w:tc>
          <w:tcPr>
            <w:tcW w:w="3228" w:type="dxa"/>
          </w:tcPr>
          <w:p>
            <w:pPr>
              <w:pStyle w:val="TableParagraph"/>
              <w:rPr>
                <w:rFonts w:ascii="Times New Roman"/>
                <w:sz w:val="28"/>
              </w:rPr>
            </w:pPr>
          </w:p>
        </w:tc>
        <w:tc>
          <w:tcPr>
            <w:tcW w:w="3845" w:type="dxa"/>
          </w:tcPr>
          <w:p>
            <w:pPr>
              <w:pStyle w:val="TableParagraph"/>
              <w:rPr>
                <w:rFonts w:ascii="Times New Roman"/>
                <w:sz w:val="28"/>
              </w:rPr>
            </w:pPr>
          </w:p>
        </w:tc>
        <w:tc>
          <w:tcPr>
            <w:tcW w:w="3132" w:type="dxa"/>
          </w:tcPr>
          <w:p>
            <w:pPr>
              <w:pStyle w:val="TableParagraph"/>
              <w:rPr>
                <w:rFonts w:ascii="Times New Roman"/>
                <w:sz w:val="28"/>
              </w:rPr>
            </w:pPr>
          </w:p>
        </w:tc>
        <w:tc>
          <w:tcPr>
            <w:tcW w:w="3573" w:type="dxa"/>
          </w:tcPr>
          <w:p>
            <w:pPr>
              <w:pStyle w:val="TableParagraph"/>
              <w:rPr>
                <w:rFonts w:ascii="Times New Roman"/>
                <w:sz w:val="28"/>
              </w:rPr>
            </w:pPr>
          </w:p>
        </w:tc>
      </w:tr>
      <w:tr>
        <w:trPr>
          <w:trHeight w:val="563" w:hRule="atLeast"/>
        </w:trPr>
        <w:tc>
          <w:tcPr>
            <w:tcW w:w="2518" w:type="dxa"/>
            <w:shd w:val="clear" w:color="auto" w:fill="00AFEF"/>
          </w:tcPr>
          <w:p>
            <w:pPr>
              <w:pStyle w:val="TableParagraph"/>
              <w:spacing w:line="317" w:lineRule="exact"/>
              <w:ind w:left="107"/>
              <w:rPr>
                <w:rFonts w:ascii="Courier New"/>
                <w:b/>
                <w:sz w:val="28"/>
              </w:rPr>
            </w:pPr>
            <w:r>
              <w:rPr>
                <w:rFonts w:ascii="Courier New"/>
                <w:b/>
                <w:sz w:val="28"/>
              </w:rPr>
              <w:t>Silica</w:t>
            </w:r>
          </w:p>
        </w:tc>
        <w:tc>
          <w:tcPr>
            <w:tcW w:w="1135" w:type="dxa"/>
          </w:tcPr>
          <w:p>
            <w:pPr>
              <w:pStyle w:val="TableParagraph"/>
              <w:spacing w:before="6"/>
              <w:ind w:left="107"/>
              <w:rPr>
                <w:rFonts w:ascii="Courier New"/>
                <w:sz w:val="28"/>
              </w:rPr>
            </w:pPr>
            <w:r>
              <w:rPr>
                <w:rFonts w:ascii="Courier New"/>
                <w:sz w:val="28"/>
              </w:rPr>
              <w:t>1460</w:t>
            </w:r>
          </w:p>
        </w:tc>
        <w:tc>
          <w:tcPr>
            <w:tcW w:w="3228" w:type="dxa"/>
          </w:tcPr>
          <w:p>
            <w:pPr>
              <w:pStyle w:val="TableParagraph"/>
              <w:rPr>
                <w:rFonts w:ascii="Times New Roman"/>
                <w:sz w:val="28"/>
              </w:rPr>
            </w:pPr>
          </w:p>
        </w:tc>
        <w:tc>
          <w:tcPr>
            <w:tcW w:w="3845" w:type="dxa"/>
          </w:tcPr>
          <w:p>
            <w:pPr>
              <w:pStyle w:val="TableParagraph"/>
              <w:spacing w:before="6"/>
              <w:ind w:left="108"/>
              <w:rPr>
                <w:rFonts w:ascii="Courier New"/>
                <w:sz w:val="28"/>
              </w:rPr>
            </w:pPr>
            <w:r>
              <w:rPr>
                <w:rFonts w:ascii="Courier New"/>
                <w:w w:val="100"/>
                <w:sz w:val="28"/>
              </w:rPr>
              <w:t>X</w:t>
            </w:r>
          </w:p>
        </w:tc>
        <w:tc>
          <w:tcPr>
            <w:tcW w:w="3132" w:type="dxa"/>
          </w:tcPr>
          <w:p>
            <w:pPr>
              <w:pStyle w:val="TableParagraph"/>
              <w:rPr>
                <w:rFonts w:ascii="Times New Roman"/>
                <w:sz w:val="28"/>
              </w:rPr>
            </w:pPr>
          </w:p>
        </w:tc>
        <w:tc>
          <w:tcPr>
            <w:tcW w:w="3573" w:type="dxa"/>
          </w:tcPr>
          <w:p>
            <w:pPr>
              <w:pStyle w:val="TableParagraph"/>
              <w:spacing w:before="6"/>
              <w:ind w:left="109"/>
              <w:rPr>
                <w:rFonts w:ascii="Courier New"/>
                <w:sz w:val="28"/>
              </w:rPr>
            </w:pPr>
            <w:r>
              <w:rPr>
                <w:rFonts w:ascii="Courier New"/>
                <w:w w:val="100"/>
                <w:sz w:val="28"/>
              </w:rPr>
              <w:t>X</w:t>
            </w:r>
          </w:p>
        </w:tc>
      </w:tr>
      <w:tr>
        <w:trPr>
          <w:trHeight w:val="566" w:hRule="atLeast"/>
        </w:trPr>
        <w:tc>
          <w:tcPr>
            <w:tcW w:w="2518" w:type="dxa"/>
            <w:shd w:val="clear" w:color="auto" w:fill="00AFEF"/>
          </w:tcPr>
          <w:p>
            <w:pPr>
              <w:pStyle w:val="TableParagraph"/>
              <w:spacing w:line="317" w:lineRule="exact"/>
              <w:ind w:left="107"/>
              <w:rPr>
                <w:rFonts w:ascii="Courier New"/>
                <w:b/>
                <w:sz w:val="28"/>
              </w:rPr>
            </w:pPr>
            <w:r>
              <w:rPr>
                <w:rFonts w:ascii="Courier New"/>
                <w:b/>
                <w:sz w:val="28"/>
              </w:rPr>
              <w:t>Vitamin C</w:t>
            </w:r>
          </w:p>
        </w:tc>
        <w:tc>
          <w:tcPr>
            <w:tcW w:w="1135" w:type="dxa"/>
          </w:tcPr>
          <w:p>
            <w:pPr>
              <w:pStyle w:val="TableParagraph"/>
              <w:spacing w:before="6"/>
              <w:ind w:left="107"/>
              <w:rPr>
                <w:rFonts w:ascii="Courier New"/>
                <w:sz w:val="28"/>
              </w:rPr>
            </w:pPr>
            <w:r>
              <w:rPr>
                <w:rFonts w:ascii="Courier New"/>
                <w:sz w:val="28"/>
              </w:rPr>
              <w:t>1720</w:t>
            </w:r>
          </w:p>
        </w:tc>
        <w:tc>
          <w:tcPr>
            <w:tcW w:w="3228" w:type="dxa"/>
          </w:tcPr>
          <w:p>
            <w:pPr>
              <w:pStyle w:val="TableParagraph"/>
              <w:spacing w:before="6"/>
              <w:ind w:left="105"/>
              <w:rPr>
                <w:rFonts w:ascii="Courier New"/>
                <w:sz w:val="28"/>
              </w:rPr>
            </w:pPr>
            <w:r>
              <w:rPr>
                <w:rFonts w:ascii="Courier New"/>
                <w:w w:val="100"/>
                <w:sz w:val="28"/>
              </w:rPr>
              <w:t>X</w:t>
            </w:r>
          </w:p>
        </w:tc>
        <w:tc>
          <w:tcPr>
            <w:tcW w:w="3845" w:type="dxa"/>
          </w:tcPr>
          <w:p>
            <w:pPr>
              <w:pStyle w:val="TableParagraph"/>
              <w:spacing w:before="6"/>
              <w:ind w:left="108"/>
              <w:rPr>
                <w:rFonts w:ascii="Courier New"/>
                <w:sz w:val="28"/>
              </w:rPr>
            </w:pPr>
            <w:r>
              <w:rPr>
                <w:rFonts w:ascii="Courier New"/>
                <w:w w:val="100"/>
                <w:sz w:val="28"/>
              </w:rPr>
              <w:t>X</w:t>
            </w:r>
          </w:p>
        </w:tc>
        <w:tc>
          <w:tcPr>
            <w:tcW w:w="3132" w:type="dxa"/>
          </w:tcPr>
          <w:p>
            <w:pPr>
              <w:pStyle w:val="TableParagraph"/>
              <w:rPr>
                <w:rFonts w:ascii="Times New Roman"/>
                <w:sz w:val="28"/>
              </w:rPr>
            </w:pPr>
          </w:p>
        </w:tc>
        <w:tc>
          <w:tcPr>
            <w:tcW w:w="3573" w:type="dxa"/>
          </w:tcPr>
          <w:p>
            <w:pPr>
              <w:pStyle w:val="TableParagraph"/>
              <w:rPr>
                <w:rFonts w:ascii="Times New Roman"/>
                <w:sz w:val="28"/>
              </w:rPr>
            </w:pPr>
          </w:p>
        </w:tc>
      </w:tr>
      <w:tr>
        <w:trPr>
          <w:trHeight w:val="563" w:hRule="atLeast"/>
        </w:trPr>
        <w:tc>
          <w:tcPr>
            <w:tcW w:w="2518" w:type="dxa"/>
            <w:shd w:val="clear" w:color="auto" w:fill="00AFEF"/>
          </w:tcPr>
          <w:p>
            <w:pPr>
              <w:pStyle w:val="TableParagraph"/>
              <w:spacing w:line="317" w:lineRule="exact"/>
              <w:ind w:left="107"/>
              <w:rPr>
                <w:rFonts w:ascii="Courier New"/>
                <w:b/>
                <w:sz w:val="28"/>
              </w:rPr>
            </w:pPr>
            <w:r>
              <w:rPr>
                <w:rFonts w:ascii="Courier New"/>
                <w:b/>
                <w:sz w:val="28"/>
              </w:rPr>
              <w:t>OPC</w:t>
            </w:r>
          </w:p>
        </w:tc>
        <w:tc>
          <w:tcPr>
            <w:tcW w:w="1135" w:type="dxa"/>
          </w:tcPr>
          <w:p>
            <w:pPr>
              <w:pStyle w:val="TableParagraph"/>
              <w:spacing w:before="6"/>
              <w:ind w:left="107"/>
              <w:rPr>
                <w:rFonts w:ascii="Courier New"/>
                <w:sz w:val="28"/>
              </w:rPr>
            </w:pPr>
            <w:r>
              <w:rPr>
                <w:rFonts w:ascii="Courier New"/>
                <w:sz w:val="28"/>
              </w:rPr>
              <w:t>1094</w:t>
            </w:r>
          </w:p>
        </w:tc>
        <w:tc>
          <w:tcPr>
            <w:tcW w:w="3228" w:type="dxa"/>
          </w:tcPr>
          <w:p>
            <w:pPr>
              <w:pStyle w:val="TableParagraph"/>
              <w:rPr>
                <w:rFonts w:ascii="Times New Roman"/>
                <w:sz w:val="28"/>
              </w:rPr>
            </w:pPr>
          </w:p>
        </w:tc>
        <w:tc>
          <w:tcPr>
            <w:tcW w:w="3845" w:type="dxa"/>
          </w:tcPr>
          <w:p>
            <w:pPr>
              <w:pStyle w:val="TableParagraph"/>
              <w:spacing w:before="6"/>
              <w:ind w:left="108"/>
              <w:rPr>
                <w:rFonts w:ascii="Courier New"/>
                <w:sz w:val="28"/>
              </w:rPr>
            </w:pPr>
            <w:r>
              <w:rPr>
                <w:rFonts w:ascii="Courier New"/>
                <w:w w:val="100"/>
                <w:sz w:val="28"/>
              </w:rPr>
              <w:t>X</w:t>
            </w:r>
          </w:p>
        </w:tc>
        <w:tc>
          <w:tcPr>
            <w:tcW w:w="3132" w:type="dxa"/>
          </w:tcPr>
          <w:p>
            <w:pPr>
              <w:pStyle w:val="TableParagraph"/>
              <w:rPr>
                <w:rFonts w:ascii="Times New Roman"/>
                <w:sz w:val="28"/>
              </w:rPr>
            </w:pPr>
          </w:p>
        </w:tc>
        <w:tc>
          <w:tcPr>
            <w:tcW w:w="3573" w:type="dxa"/>
          </w:tcPr>
          <w:p>
            <w:pPr>
              <w:pStyle w:val="TableParagraph"/>
              <w:rPr>
                <w:rFonts w:ascii="Times New Roman"/>
                <w:sz w:val="28"/>
              </w:rPr>
            </w:pPr>
          </w:p>
        </w:tc>
      </w:tr>
      <w:tr>
        <w:trPr>
          <w:trHeight w:val="566" w:hRule="atLeast"/>
        </w:trPr>
        <w:tc>
          <w:tcPr>
            <w:tcW w:w="2518" w:type="dxa"/>
            <w:shd w:val="clear" w:color="auto" w:fill="00AFEF"/>
          </w:tcPr>
          <w:p>
            <w:pPr>
              <w:pStyle w:val="TableParagraph"/>
              <w:spacing w:line="317" w:lineRule="exact"/>
              <w:ind w:left="107"/>
              <w:rPr>
                <w:rFonts w:ascii="Courier New"/>
                <w:b/>
                <w:sz w:val="28"/>
              </w:rPr>
            </w:pPr>
            <w:r>
              <w:rPr>
                <w:rFonts w:ascii="Courier New"/>
                <w:b/>
                <w:sz w:val="28"/>
              </w:rPr>
              <w:t>Coenzyme Q10</w:t>
            </w:r>
          </w:p>
        </w:tc>
        <w:tc>
          <w:tcPr>
            <w:tcW w:w="1135" w:type="dxa"/>
          </w:tcPr>
          <w:p>
            <w:pPr>
              <w:pStyle w:val="TableParagraph"/>
              <w:spacing w:before="6"/>
              <w:ind w:left="107"/>
              <w:rPr>
                <w:rFonts w:ascii="Courier New"/>
                <w:sz w:val="28"/>
              </w:rPr>
            </w:pPr>
            <w:r>
              <w:rPr>
                <w:rFonts w:ascii="Courier New"/>
                <w:sz w:val="28"/>
              </w:rPr>
              <w:t>1393</w:t>
            </w:r>
          </w:p>
        </w:tc>
        <w:tc>
          <w:tcPr>
            <w:tcW w:w="3228" w:type="dxa"/>
          </w:tcPr>
          <w:p>
            <w:pPr>
              <w:pStyle w:val="TableParagraph"/>
              <w:rPr>
                <w:rFonts w:ascii="Times New Roman"/>
                <w:sz w:val="28"/>
              </w:rPr>
            </w:pPr>
          </w:p>
        </w:tc>
        <w:tc>
          <w:tcPr>
            <w:tcW w:w="3845" w:type="dxa"/>
          </w:tcPr>
          <w:p>
            <w:pPr>
              <w:pStyle w:val="TableParagraph"/>
              <w:spacing w:before="6"/>
              <w:ind w:left="108"/>
              <w:rPr>
                <w:rFonts w:ascii="Courier New"/>
                <w:sz w:val="28"/>
              </w:rPr>
            </w:pPr>
            <w:r>
              <w:rPr>
                <w:rFonts w:ascii="Courier New"/>
                <w:w w:val="100"/>
                <w:sz w:val="28"/>
              </w:rPr>
              <w:t>X</w:t>
            </w:r>
          </w:p>
        </w:tc>
        <w:tc>
          <w:tcPr>
            <w:tcW w:w="3132" w:type="dxa"/>
          </w:tcPr>
          <w:p>
            <w:pPr>
              <w:pStyle w:val="TableParagraph"/>
              <w:spacing w:before="6"/>
              <w:ind w:left="108"/>
              <w:rPr>
                <w:rFonts w:ascii="Courier New"/>
                <w:sz w:val="28"/>
              </w:rPr>
            </w:pPr>
            <w:r>
              <w:rPr>
                <w:rFonts w:ascii="Courier New"/>
                <w:w w:val="100"/>
                <w:sz w:val="28"/>
              </w:rPr>
              <w:t>X</w:t>
            </w:r>
          </w:p>
        </w:tc>
        <w:tc>
          <w:tcPr>
            <w:tcW w:w="3573" w:type="dxa"/>
          </w:tcPr>
          <w:p>
            <w:pPr>
              <w:pStyle w:val="TableParagraph"/>
              <w:rPr>
                <w:rFonts w:ascii="Times New Roman"/>
                <w:sz w:val="28"/>
              </w:rPr>
            </w:pPr>
          </w:p>
        </w:tc>
      </w:tr>
      <w:tr>
        <w:trPr>
          <w:trHeight w:val="563" w:hRule="atLeast"/>
        </w:trPr>
        <w:tc>
          <w:tcPr>
            <w:tcW w:w="2518" w:type="dxa"/>
            <w:shd w:val="clear" w:color="auto" w:fill="00AFEF"/>
          </w:tcPr>
          <w:p>
            <w:pPr>
              <w:pStyle w:val="TableParagraph"/>
              <w:spacing w:line="317" w:lineRule="exact"/>
              <w:ind w:left="107"/>
              <w:rPr>
                <w:rFonts w:ascii="Courier New"/>
                <w:b/>
                <w:sz w:val="28"/>
              </w:rPr>
            </w:pPr>
            <w:r>
              <w:rPr>
                <w:rFonts w:ascii="Courier New"/>
                <w:b/>
                <w:sz w:val="28"/>
              </w:rPr>
              <w:t>Spirulina p.</w:t>
            </w:r>
          </w:p>
        </w:tc>
        <w:tc>
          <w:tcPr>
            <w:tcW w:w="1135" w:type="dxa"/>
          </w:tcPr>
          <w:p>
            <w:pPr>
              <w:pStyle w:val="TableParagraph"/>
              <w:spacing w:before="6"/>
              <w:ind w:left="107"/>
              <w:rPr>
                <w:rFonts w:ascii="Courier New"/>
                <w:sz w:val="28"/>
              </w:rPr>
            </w:pPr>
            <w:r>
              <w:rPr>
                <w:rFonts w:ascii="Courier New"/>
                <w:sz w:val="28"/>
              </w:rPr>
              <w:t>1515</w:t>
            </w:r>
          </w:p>
        </w:tc>
        <w:tc>
          <w:tcPr>
            <w:tcW w:w="3228" w:type="dxa"/>
          </w:tcPr>
          <w:p>
            <w:pPr>
              <w:pStyle w:val="TableParagraph"/>
              <w:spacing w:before="6"/>
              <w:ind w:left="105"/>
              <w:rPr>
                <w:rFonts w:ascii="Courier New"/>
                <w:sz w:val="28"/>
              </w:rPr>
            </w:pPr>
            <w:r>
              <w:rPr>
                <w:rFonts w:ascii="Courier New"/>
                <w:w w:val="100"/>
                <w:sz w:val="28"/>
              </w:rPr>
              <w:t>X</w:t>
            </w:r>
          </w:p>
        </w:tc>
        <w:tc>
          <w:tcPr>
            <w:tcW w:w="3845" w:type="dxa"/>
          </w:tcPr>
          <w:p>
            <w:pPr>
              <w:pStyle w:val="TableParagraph"/>
              <w:spacing w:before="6"/>
              <w:ind w:left="108"/>
              <w:rPr>
                <w:rFonts w:ascii="Courier New"/>
                <w:sz w:val="28"/>
              </w:rPr>
            </w:pPr>
            <w:r>
              <w:rPr>
                <w:rFonts w:ascii="Courier New"/>
                <w:w w:val="100"/>
                <w:sz w:val="28"/>
              </w:rPr>
              <w:t>X</w:t>
            </w:r>
          </w:p>
        </w:tc>
        <w:tc>
          <w:tcPr>
            <w:tcW w:w="3132" w:type="dxa"/>
          </w:tcPr>
          <w:p>
            <w:pPr>
              <w:pStyle w:val="TableParagraph"/>
              <w:rPr>
                <w:rFonts w:ascii="Times New Roman"/>
                <w:sz w:val="28"/>
              </w:rPr>
            </w:pPr>
          </w:p>
        </w:tc>
        <w:tc>
          <w:tcPr>
            <w:tcW w:w="3573" w:type="dxa"/>
          </w:tcPr>
          <w:p>
            <w:pPr>
              <w:pStyle w:val="TableParagraph"/>
              <w:spacing w:before="6"/>
              <w:ind w:left="109"/>
              <w:rPr>
                <w:rFonts w:ascii="Courier New"/>
                <w:sz w:val="28"/>
              </w:rPr>
            </w:pPr>
            <w:r>
              <w:rPr>
                <w:rFonts w:ascii="Courier New"/>
                <w:w w:val="100"/>
                <w:sz w:val="28"/>
              </w:rPr>
              <w:t>X</w:t>
            </w:r>
          </w:p>
        </w:tc>
      </w:tr>
      <w:tr>
        <w:trPr>
          <w:trHeight w:val="565" w:hRule="atLeast"/>
        </w:trPr>
        <w:tc>
          <w:tcPr>
            <w:tcW w:w="2518" w:type="dxa"/>
            <w:shd w:val="clear" w:color="auto" w:fill="00AFEF"/>
          </w:tcPr>
          <w:p>
            <w:pPr>
              <w:pStyle w:val="TableParagraph"/>
              <w:spacing w:line="317" w:lineRule="exact"/>
              <w:ind w:left="107"/>
              <w:rPr>
                <w:rFonts w:ascii="Courier New"/>
                <w:b/>
                <w:sz w:val="28"/>
              </w:rPr>
            </w:pPr>
            <w:r>
              <w:rPr>
                <w:rFonts w:ascii="Courier New"/>
                <w:b/>
                <w:sz w:val="28"/>
              </w:rPr>
              <w:t>Bromelain</w:t>
            </w:r>
          </w:p>
        </w:tc>
        <w:tc>
          <w:tcPr>
            <w:tcW w:w="1135" w:type="dxa"/>
          </w:tcPr>
          <w:p>
            <w:pPr>
              <w:pStyle w:val="TableParagraph"/>
              <w:spacing w:before="6"/>
              <w:ind w:left="107"/>
              <w:rPr>
                <w:rFonts w:ascii="Courier New"/>
                <w:sz w:val="28"/>
              </w:rPr>
            </w:pPr>
            <w:r>
              <w:rPr>
                <w:rFonts w:ascii="Courier New"/>
                <w:sz w:val="28"/>
              </w:rPr>
              <w:t>113</w:t>
            </w:r>
          </w:p>
        </w:tc>
        <w:tc>
          <w:tcPr>
            <w:tcW w:w="3228" w:type="dxa"/>
          </w:tcPr>
          <w:p>
            <w:pPr>
              <w:pStyle w:val="TableParagraph"/>
              <w:rPr>
                <w:rFonts w:ascii="Times New Roman"/>
                <w:sz w:val="28"/>
              </w:rPr>
            </w:pPr>
          </w:p>
        </w:tc>
        <w:tc>
          <w:tcPr>
            <w:tcW w:w="3845" w:type="dxa"/>
          </w:tcPr>
          <w:p>
            <w:pPr>
              <w:pStyle w:val="TableParagraph"/>
              <w:spacing w:before="6"/>
              <w:ind w:left="108"/>
              <w:rPr>
                <w:rFonts w:ascii="Courier New"/>
                <w:sz w:val="28"/>
              </w:rPr>
            </w:pPr>
            <w:r>
              <w:rPr>
                <w:rFonts w:ascii="Courier New"/>
                <w:w w:val="100"/>
                <w:sz w:val="28"/>
              </w:rPr>
              <w:t>X</w:t>
            </w:r>
          </w:p>
        </w:tc>
        <w:tc>
          <w:tcPr>
            <w:tcW w:w="3132" w:type="dxa"/>
          </w:tcPr>
          <w:p>
            <w:pPr>
              <w:pStyle w:val="TableParagraph"/>
              <w:rPr>
                <w:rFonts w:ascii="Times New Roman"/>
                <w:sz w:val="28"/>
              </w:rPr>
            </w:pPr>
          </w:p>
        </w:tc>
        <w:tc>
          <w:tcPr>
            <w:tcW w:w="3573" w:type="dxa"/>
          </w:tcPr>
          <w:p>
            <w:pPr>
              <w:pStyle w:val="TableParagraph"/>
              <w:spacing w:before="6"/>
              <w:ind w:left="109"/>
              <w:rPr>
                <w:rFonts w:ascii="Courier New"/>
                <w:sz w:val="28"/>
              </w:rPr>
            </w:pPr>
            <w:r>
              <w:rPr>
                <w:rFonts w:ascii="Courier New"/>
                <w:w w:val="100"/>
                <w:sz w:val="28"/>
              </w:rPr>
              <w:t>X</w:t>
            </w:r>
          </w:p>
        </w:tc>
      </w:tr>
      <w:tr>
        <w:trPr>
          <w:trHeight w:val="564" w:hRule="atLeast"/>
        </w:trPr>
        <w:tc>
          <w:tcPr>
            <w:tcW w:w="2518" w:type="dxa"/>
            <w:shd w:val="clear" w:color="auto" w:fill="00AFEF"/>
          </w:tcPr>
          <w:p>
            <w:pPr>
              <w:pStyle w:val="TableParagraph"/>
              <w:ind w:left="107"/>
              <w:rPr>
                <w:rFonts w:ascii="Courier New"/>
                <w:b/>
                <w:sz w:val="28"/>
              </w:rPr>
            </w:pPr>
            <w:r>
              <w:rPr>
                <w:rFonts w:ascii="Courier New"/>
                <w:b/>
                <w:sz w:val="28"/>
              </w:rPr>
              <w:t>Papain</w:t>
            </w:r>
          </w:p>
        </w:tc>
        <w:tc>
          <w:tcPr>
            <w:tcW w:w="1135" w:type="dxa"/>
          </w:tcPr>
          <w:p>
            <w:pPr>
              <w:pStyle w:val="TableParagraph"/>
              <w:spacing w:before="7"/>
              <w:ind w:left="107"/>
              <w:rPr>
                <w:rFonts w:ascii="Courier New"/>
                <w:sz w:val="28"/>
              </w:rPr>
            </w:pPr>
            <w:r>
              <w:rPr>
                <w:rFonts w:ascii="Courier New"/>
                <w:sz w:val="28"/>
              </w:rPr>
              <w:t>1188</w:t>
            </w:r>
          </w:p>
        </w:tc>
        <w:tc>
          <w:tcPr>
            <w:tcW w:w="3228" w:type="dxa"/>
          </w:tcPr>
          <w:p>
            <w:pPr>
              <w:pStyle w:val="TableParagraph"/>
              <w:spacing w:before="7"/>
              <w:ind w:left="105"/>
              <w:rPr>
                <w:rFonts w:ascii="Courier New"/>
                <w:sz w:val="28"/>
              </w:rPr>
            </w:pPr>
            <w:r>
              <w:rPr>
                <w:rFonts w:ascii="Courier New"/>
                <w:w w:val="100"/>
                <w:sz w:val="28"/>
              </w:rPr>
              <w:t>X</w:t>
            </w:r>
          </w:p>
        </w:tc>
        <w:tc>
          <w:tcPr>
            <w:tcW w:w="3845" w:type="dxa"/>
          </w:tcPr>
          <w:p>
            <w:pPr>
              <w:pStyle w:val="TableParagraph"/>
              <w:spacing w:before="7"/>
              <w:ind w:left="108"/>
              <w:rPr>
                <w:rFonts w:ascii="Courier New"/>
                <w:sz w:val="28"/>
              </w:rPr>
            </w:pPr>
            <w:r>
              <w:rPr>
                <w:rFonts w:ascii="Courier New"/>
                <w:w w:val="100"/>
                <w:sz w:val="28"/>
              </w:rPr>
              <w:t>X</w:t>
            </w:r>
          </w:p>
        </w:tc>
        <w:tc>
          <w:tcPr>
            <w:tcW w:w="3132" w:type="dxa"/>
          </w:tcPr>
          <w:p>
            <w:pPr>
              <w:pStyle w:val="TableParagraph"/>
              <w:rPr>
                <w:rFonts w:ascii="Times New Roman"/>
                <w:sz w:val="28"/>
              </w:rPr>
            </w:pPr>
          </w:p>
        </w:tc>
        <w:tc>
          <w:tcPr>
            <w:tcW w:w="3573" w:type="dxa"/>
          </w:tcPr>
          <w:p>
            <w:pPr>
              <w:pStyle w:val="TableParagraph"/>
              <w:spacing w:before="7"/>
              <w:ind w:left="109"/>
              <w:rPr>
                <w:rFonts w:ascii="Courier New"/>
                <w:sz w:val="28"/>
              </w:rPr>
            </w:pPr>
            <w:r>
              <w:rPr>
                <w:rFonts w:ascii="Courier New"/>
                <w:w w:val="100"/>
                <w:sz w:val="28"/>
              </w:rPr>
              <w:t>X</w:t>
            </w:r>
          </w:p>
        </w:tc>
      </w:tr>
    </w:tbl>
    <w:p>
      <w:pPr>
        <w:spacing w:after="0"/>
        <w:rPr>
          <w:rFonts w:ascii="Courier New"/>
          <w:sz w:val="28"/>
        </w:rPr>
        <w:sectPr>
          <w:pgSz w:w="18630" w:h="11910" w:orient="landscape"/>
          <w:pgMar w:header="0" w:footer="404" w:top="840" w:bottom="600" w:left="740" w:right="8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18"/>
        <w:gridCol w:w="1135"/>
        <w:gridCol w:w="3228"/>
        <w:gridCol w:w="3845"/>
        <w:gridCol w:w="3132"/>
        <w:gridCol w:w="3573"/>
      </w:tblGrid>
      <w:tr>
        <w:trPr>
          <w:trHeight w:val="564" w:hRule="atLeast"/>
        </w:trPr>
        <w:tc>
          <w:tcPr>
            <w:tcW w:w="2518" w:type="dxa"/>
            <w:shd w:val="clear" w:color="auto" w:fill="00AFEF"/>
          </w:tcPr>
          <w:p>
            <w:pPr>
              <w:pStyle w:val="TableParagraph"/>
              <w:spacing w:line="317" w:lineRule="exact"/>
              <w:ind w:left="107"/>
              <w:rPr>
                <w:rFonts w:ascii="Courier New"/>
                <w:b/>
                <w:sz w:val="28"/>
              </w:rPr>
            </w:pPr>
            <w:r>
              <w:rPr>
                <w:rFonts w:ascii="Courier New"/>
                <w:b/>
                <w:sz w:val="28"/>
              </w:rPr>
              <w:t>Propolis</w:t>
            </w:r>
          </w:p>
        </w:tc>
        <w:tc>
          <w:tcPr>
            <w:tcW w:w="1135" w:type="dxa"/>
          </w:tcPr>
          <w:p>
            <w:pPr>
              <w:pStyle w:val="TableParagraph"/>
              <w:spacing w:before="6"/>
              <w:ind w:left="107"/>
              <w:rPr>
                <w:rFonts w:ascii="Courier New"/>
                <w:sz w:val="28"/>
              </w:rPr>
            </w:pPr>
            <w:r>
              <w:rPr>
                <w:rFonts w:ascii="Courier New"/>
                <w:sz w:val="28"/>
              </w:rPr>
              <w:t>1232</w:t>
            </w:r>
          </w:p>
        </w:tc>
        <w:tc>
          <w:tcPr>
            <w:tcW w:w="3228" w:type="dxa"/>
          </w:tcPr>
          <w:p>
            <w:pPr>
              <w:pStyle w:val="TableParagraph"/>
              <w:rPr>
                <w:rFonts w:ascii="Times New Roman"/>
                <w:sz w:val="28"/>
              </w:rPr>
            </w:pPr>
          </w:p>
        </w:tc>
        <w:tc>
          <w:tcPr>
            <w:tcW w:w="3845" w:type="dxa"/>
          </w:tcPr>
          <w:p>
            <w:pPr>
              <w:pStyle w:val="TableParagraph"/>
              <w:spacing w:before="6"/>
              <w:ind w:left="108"/>
              <w:rPr>
                <w:rFonts w:ascii="Courier New"/>
                <w:sz w:val="28"/>
              </w:rPr>
            </w:pPr>
            <w:r>
              <w:rPr>
                <w:rFonts w:ascii="Courier New"/>
                <w:w w:val="100"/>
                <w:sz w:val="28"/>
              </w:rPr>
              <w:t>X</w:t>
            </w:r>
          </w:p>
        </w:tc>
        <w:tc>
          <w:tcPr>
            <w:tcW w:w="3132" w:type="dxa"/>
          </w:tcPr>
          <w:p>
            <w:pPr>
              <w:pStyle w:val="TableParagraph"/>
              <w:rPr>
                <w:rFonts w:ascii="Times New Roman"/>
                <w:sz w:val="28"/>
              </w:rPr>
            </w:pPr>
          </w:p>
        </w:tc>
        <w:tc>
          <w:tcPr>
            <w:tcW w:w="3573" w:type="dxa"/>
          </w:tcPr>
          <w:p>
            <w:pPr>
              <w:pStyle w:val="TableParagraph"/>
              <w:rPr>
                <w:rFonts w:ascii="Times New Roman"/>
                <w:sz w:val="28"/>
              </w:rPr>
            </w:pPr>
          </w:p>
        </w:tc>
      </w:tr>
      <w:tr>
        <w:trPr>
          <w:trHeight w:val="1494" w:hRule="atLeast"/>
        </w:trPr>
        <w:tc>
          <w:tcPr>
            <w:tcW w:w="2518" w:type="dxa"/>
            <w:shd w:val="clear" w:color="auto" w:fill="00AFEF"/>
          </w:tcPr>
          <w:p>
            <w:pPr>
              <w:pStyle w:val="TableParagraph"/>
              <w:spacing w:line="278" w:lineRule="auto"/>
              <w:ind w:left="107" w:right="532"/>
              <w:rPr>
                <w:rFonts w:ascii="Courier New"/>
                <w:b/>
                <w:sz w:val="28"/>
              </w:rPr>
            </w:pPr>
            <w:r>
              <w:rPr>
                <w:rFonts w:ascii="Courier New"/>
                <w:b/>
                <w:sz w:val="28"/>
              </w:rPr>
              <w:t>Aronia ber- ries</w:t>
            </w:r>
          </w:p>
        </w:tc>
        <w:tc>
          <w:tcPr>
            <w:tcW w:w="1135" w:type="dxa"/>
          </w:tcPr>
          <w:p>
            <w:pPr>
              <w:pStyle w:val="TableParagraph"/>
              <w:spacing w:before="6"/>
              <w:ind w:left="107"/>
              <w:rPr>
                <w:rFonts w:ascii="Courier New"/>
                <w:sz w:val="28"/>
              </w:rPr>
            </w:pPr>
            <w:r>
              <w:rPr>
                <w:rFonts w:ascii="Courier New"/>
                <w:sz w:val="28"/>
              </w:rPr>
              <w:t>173</w:t>
            </w:r>
          </w:p>
        </w:tc>
        <w:tc>
          <w:tcPr>
            <w:tcW w:w="3228" w:type="dxa"/>
          </w:tcPr>
          <w:p>
            <w:pPr>
              <w:pStyle w:val="TableParagraph"/>
              <w:rPr>
                <w:rFonts w:ascii="Times New Roman"/>
                <w:sz w:val="28"/>
              </w:rPr>
            </w:pPr>
          </w:p>
        </w:tc>
        <w:tc>
          <w:tcPr>
            <w:tcW w:w="3845" w:type="dxa"/>
          </w:tcPr>
          <w:p>
            <w:pPr>
              <w:pStyle w:val="TableParagraph"/>
              <w:spacing w:before="6"/>
              <w:ind w:left="108"/>
              <w:rPr>
                <w:rFonts w:ascii="Courier New"/>
                <w:sz w:val="28"/>
              </w:rPr>
            </w:pPr>
            <w:r>
              <w:rPr>
                <w:rFonts w:ascii="Courier New"/>
                <w:w w:val="100"/>
                <w:sz w:val="28"/>
              </w:rPr>
              <w:t>X</w:t>
            </w:r>
          </w:p>
        </w:tc>
        <w:tc>
          <w:tcPr>
            <w:tcW w:w="3132" w:type="dxa"/>
          </w:tcPr>
          <w:p>
            <w:pPr>
              <w:pStyle w:val="TableParagraph"/>
              <w:rPr>
                <w:rFonts w:ascii="Times New Roman"/>
                <w:sz w:val="28"/>
              </w:rPr>
            </w:pPr>
          </w:p>
        </w:tc>
        <w:tc>
          <w:tcPr>
            <w:tcW w:w="3573" w:type="dxa"/>
          </w:tcPr>
          <w:p>
            <w:pPr>
              <w:pStyle w:val="TableParagraph"/>
              <w:rPr>
                <w:rFonts w:ascii="Times New Roman"/>
                <w:sz w:val="28"/>
              </w:rPr>
            </w:pPr>
          </w:p>
        </w:tc>
      </w:tr>
      <w:tr>
        <w:trPr>
          <w:trHeight w:val="563" w:hRule="atLeast"/>
        </w:trPr>
        <w:tc>
          <w:tcPr>
            <w:tcW w:w="2518" w:type="dxa"/>
            <w:shd w:val="clear" w:color="auto" w:fill="00AFEF"/>
          </w:tcPr>
          <w:p>
            <w:pPr>
              <w:pStyle w:val="TableParagraph"/>
              <w:spacing w:line="317" w:lineRule="exact"/>
              <w:ind w:left="107"/>
              <w:rPr>
                <w:rFonts w:ascii="Courier New"/>
                <w:b/>
                <w:sz w:val="28"/>
              </w:rPr>
            </w:pPr>
            <w:r>
              <w:rPr>
                <w:rFonts w:ascii="Courier New"/>
                <w:b/>
                <w:sz w:val="28"/>
              </w:rPr>
              <w:t>Curcumin</w:t>
            </w:r>
          </w:p>
        </w:tc>
        <w:tc>
          <w:tcPr>
            <w:tcW w:w="1135" w:type="dxa"/>
          </w:tcPr>
          <w:p>
            <w:pPr>
              <w:pStyle w:val="TableParagraph"/>
              <w:spacing w:before="6"/>
              <w:ind w:left="107"/>
              <w:rPr>
                <w:rFonts w:ascii="Courier New"/>
                <w:sz w:val="28"/>
              </w:rPr>
            </w:pPr>
            <w:r>
              <w:rPr>
                <w:rFonts w:ascii="Courier New"/>
                <w:sz w:val="28"/>
              </w:rPr>
              <w:t>328</w:t>
            </w:r>
          </w:p>
        </w:tc>
        <w:tc>
          <w:tcPr>
            <w:tcW w:w="3228" w:type="dxa"/>
          </w:tcPr>
          <w:p>
            <w:pPr>
              <w:pStyle w:val="TableParagraph"/>
              <w:spacing w:before="6"/>
              <w:ind w:left="105"/>
              <w:rPr>
                <w:rFonts w:ascii="Courier New"/>
                <w:sz w:val="28"/>
              </w:rPr>
            </w:pPr>
            <w:r>
              <w:rPr>
                <w:rFonts w:ascii="Courier New"/>
                <w:w w:val="100"/>
                <w:sz w:val="28"/>
              </w:rPr>
              <w:t>X</w:t>
            </w:r>
          </w:p>
        </w:tc>
        <w:tc>
          <w:tcPr>
            <w:tcW w:w="3845" w:type="dxa"/>
          </w:tcPr>
          <w:p>
            <w:pPr>
              <w:pStyle w:val="TableParagraph"/>
              <w:spacing w:before="6"/>
              <w:ind w:left="108"/>
              <w:rPr>
                <w:rFonts w:ascii="Courier New"/>
                <w:sz w:val="28"/>
              </w:rPr>
            </w:pPr>
            <w:r>
              <w:rPr>
                <w:rFonts w:ascii="Courier New"/>
                <w:w w:val="100"/>
                <w:sz w:val="28"/>
              </w:rPr>
              <w:t>X</w:t>
            </w:r>
          </w:p>
        </w:tc>
        <w:tc>
          <w:tcPr>
            <w:tcW w:w="3132" w:type="dxa"/>
          </w:tcPr>
          <w:p>
            <w:pPr>
              <w:pStyle w:val="TableParagraph"/>
              <w:rPr>
                <w:rFonts w:ascii="Times New Roman"/>
                <w:sz w:val="28"/>
              </w:rPr>
            </w:pPr>
          </w:p>
        </w:tc>
        <w:tc>
          <w:tcPr>
            <w:tcW w:w="3573" w:type="dxa"/>
          </w:tcPr>
          <w:p>
            <w:pPr>
              <w:pStyle w:val="TableParagraph"/>
              <w:rPr>
                <w:rFonts w:ascii="Times New Roman"/>
                <w:sz w:val="28"/>
              </w:rPr>
            </w:pPr>
          </w:p>
        </w:tc>
      </w:tr>
      <w:tr>
        <w:trPr>
          <w:trHeight w:val="566" w:hRule="atLeast"/>
        </w:trPr>
        <w:tc>
          <w:tcPr>
            <w:tcW w:w="2518" w:type="dxa"/>
            <w:shd w:val="clear" w:color="auto" w:fill="00AFEF"/>
          </w:tcPr>
          <w:p>
            <w:pPr>
              <w:pStyle w:val="TableParagraph"/>
              <w:spacing w:before="2"/>
              <w:ind w:left="107"/>
              <w:rPr>
                <w:rFonts w:ascii="Courier New"/>
                <w:b/>
                <w:sz w:val="28"/>
              </w:rPr>
            </w:pPr>
            <w:r>
              <w:rPr>
                <w:rFonts w:ascii="Courier New"/>
                <w:b/>
                <w:sz w:val="28"/>
              </w:rPr>
              <w:t>Ginkgo Biloba</w:t>
            </w:r>
          </w:p>
        </w:tc>
        <w:tc>
          <w:tcPr>
            <w:tcW w:w="1135" w:type="dxa"/>
          </w:tcPr>
          <w:p>
            <w:pPr>
              <w:pStyle w:val="TableParagraph"/>
              <w:spacing w:before="9"/>
              <w:ind w:left="107"/>
              <w:rPr>
                <w:rFonts w:ascii="Courier New"/>
                <w:sz w:val="28"/>
              </w:rPr>
            </w:pPr>
            <w:r>
              <w:rPr>
                <w:rFonts w:ascii="Courier New"/>
                <w:sz w:val="28"/>
              </w:rPr>
              <w:t>398</w:t>
            </w:r>
          </w:p>
        </w:tc>
        <w:tc>
          <w:tcPr>
            <w:tcW w:w="3228" w:type="dxa"/>
          </w:tcPr>
          <w:p>
            <w:pPr>
              <w:pStyle w:val="TableParagraph"/>
              <w:rPr>
                <w:rFonts w:ascii="Times New Roman"/>
                <w:sz w:val="28"/>
              </w:rPr>
            </w:pPr>
          </w:p>
        </w:tc>
        <w:tc>
          <w:tcPr>
            <w:tcW w:w="3845" w:type="dxa"/>
          </w:tcPr>
          <w:p>
            <w:pPr>
              <w:pStyle w:val="TableParagraph"/>
              <w:spacing w:before="9"/>
              <w:ind w:left="108"/>
              <w:rPr>
                <w:rFonts w:ascii="Courier New"/>
                <w:sz w:val="28"/>
              </w:rPr>
            </w:pPr>
            <w:r>
              <w:rPr>
                <w:rFonts w:ascii="Courier New"/>
                <w:w w:val="100"/>
                <w:sz w:val="28"/>
              </w:rPr>
              <w:t>X</w:t>
            </w:r>
          </w:p>
        </w:tc>
        <w:tc>
          <w:tcPr>
            <w:tcW w:w="3132" w:type="dxa"/>
          </w:tcPr>
          <w:p>
            <w:pPr>
              <w:pStyle w:val="TableParagraph"/>
              <w:rPr>
                <w:rFonts w:ascii="Times New Roman"/>
                <w:sz w:val="28"/>
              </w:rPr>
            </w:pPr>
          </w:p>
        </w:tc>
        <w:tc>
          <w:tcPr>
            <w:tcW w:w="3573" w:type="dxa"/>
          </w:tcPr>
          <w:p>
            <w:pPr>
              <w:pStyle w:val="TableParagraph"/>
              <w:rPr>
                <w:rFonts w:ascii="Times New Roman"/>
                <w:sz w:val="28"/>
              </w:rPr>
            </w:pPr>
          </w:p>
        </w:tc>
      </w:tr>
      <w:tr>
        <w:trPr>
          <w:trHeight w:val="563" w:hRule="atLeast"/>
        </w:trPr>
        <w:tc>
          <w:tcPr>
            <w:tcW w:w="2518" w:type="dxa"/>
            <w:shd w:val="clear" w:color="auto" w:fill="00AFEF"/>
          </w:tcPr>
          <w:p>
            <w:pPr>
              <w:pStyle w:val="TableParagraph"/>
              <w:spacing w:line="317" w:lineRule="exact"/>
              <w:ind w:left="107"/>
              <w:rPr>
                <w:rFonts w:ascii="Courier New"/>
                <w:b/>
                <w:sz w:val="28"/>
              </w:rPr>
            </w:pPr>
            <w:r>
              <w:rPr>
                <w:rFonts w:ascii="Courier New"/>
                <w:b/>
                <w:sz w:val="28"/>
              </w:rPr>
              <w:t>Gotu Kola</w:t>
            </w:r>
          </w:p>
        </w:tc>
        <w:tc>
          <w:tcPr>
            <w:tcW w:w="1135" w:type="dxa"/>
          </w:tcPr>
          <w:p>
            <w:pPr>
              <w:pStyle w:val="TableParagraph"/>
              <w:spacing w:before="6"/>
              <w:ind w:left="107"/>
              <w:rPr>
                <w:rFonts w:ascii="Courier New"/>
                <w:sz w:val="28"/>
              </w:rPr>
            </w:pPr>
            <w:r>
              <w:rPr>
                <w:rFonts w:ascii="Courier New"/>
                <w:sz w:val="28"/>
              </w:rPr>
              <w:t>473</w:t>
            </w:r>
          </w:p>
        </w:tc>
        <w:tc>
          <w:tcPr>
            <w:tcW w:w="3228" w:type="dxa"/>
          </w:tcPr>
          <w:p>
            <w:pPr>
              <w:pStyle w:val="TableParagraph"/>
              <w:rPr>
                <w:rFonts w:ascii="Times New Roman"/>
                <w:sz w:val="28"/>
              </w:rPr>
            </w:pPr>
          </w:p>
        </w:tc>
        <w:tc>
          <w:tcPr>
            <w:tcW w:w="3845" w:type="dxa"/>
          </w:tcPr>
          <w:p>
            <w:pPr>
              <w:pStyle w:val="TableParagraph"/>
              <w:spacing w:before="6"/>
              <w:ind w:left="108"/>
              <w:rPr>
                <w:rFonts w:ascii="Courier New"/>
                <w:sz w:val="28"/>
              </w:rPr>
            </w:pPr>
            <w:r>
              <w:rPr>
                <w:rFonts w:ascii="Courier New"/>
                <w:w w:val="100"/>
                <w:sz w:val="28"/>
              </w:rPr>
              <w:t>X</w:t>
            </w:r>
          </w:p>
        </w:tc>
        <w:tc>
          <w:tcPr>
            <w:tcW w:w="3132" w:type="dxa"/>
          </w:tcPr>
          <w:p>
            <w:pPr>
              <w:pStyle w:val="TableParagraph"/>
              <w:rPr>
                <w:rFonts w:ascii="Times New Roman"/>
                <w:sz w:val="28"/>
              </w:rPr>
            </w:pPr>
          </w:p>
        </w:tc>
        <w:tc>
          <w:tcPr>
            <w:tcW w:w="3573" w:type="dxa"/>
          </w:tcPr>
          <w:p>
            <w:pPr>
              <w:pStyle w:val="TableParagraph"/>
              <w:rPr>
                <w:rFonts w:ascii="Times New Roman"/>
                <w:sz w:val="28"/>
              </w:rPr>
            </w:pPr>
          </w:p>
        </w:tc>
      </w:tr>
      <w:tr>
        <w:trPr>
          <w:trHeight w:val="566" w:hRule="atLeast"/>
        </w:trPr>
        <w:tc>
          <w:tcPr>
            <w:tcW w:w="2518" w:type="dxa"/>
            <w:shd w:val="clear" w:color="auto" w:fill="00AFEF"/>
          </w:tcPr>
          <w:p>
            <w:pPr>
              <w:pStyle w:val="TableParagraph"/>
              <w:spacing w:line="317" w:lineRule="exact"/>
              <w:ind w:left="107"/>
              <w:rPr>
                <w:rFonts w:ascii="Courier New"/>
                <w:b/>
                <w:sz w:val="28"/>
              </w:rPr>
            </w:pPr>
            <w:r>
              <w:rPr>
                <w:rFonts w:ascii="Courier New"/>
                <w:b/>
                <w:sz w:val="28"/>
              </w:rPr>
              <w:t>Pomegranate</w:t>
            </w:r>
          </w:p>
        </w:tc>
        <w:tc>
          <w:tcPr>
            <w:tcW w:w="1135" w:type="dxa"/>
          </w:tcPr>
          <w:p>
            <w:pPr>
              <w:pStyle w:val="TableParagraph"/>
              <w:spacing w:before="6"/>
              <w:ind w:left="107"/>
              <w:rPr>
                <w:rFonts w:ascii="Courier New"/>
                <w:sz w:val="28"/>
              </w:rPr>
            </w:pPr>
            <w:r>
              <w:rPr>
                <w:rFonts w:ascii="Courier New"/>
                <w:sz w:val="28"/>
              </w:rPr>
              <w:t>490</w:t>
            </w:r>
          </w:p>
        </w:tc>
        <w:tc>
          <w:tcPr>
            <w:tcW w:w="3228" w:type="dxa"/>
          </w:tcPr>
          <w:p>
            <w:pPr>
              <w:pStyle w:val="TableParagraph"/>
              <w:spacing w:before="6"/>
              <w:ind w:left="105"/>
              <w:rPr>
                <w:rFonts w:ascii="Courier New"/>
                <w:sz w:val="28"/>
              </w:rPr>
            </w:pPr>
            <w:r>
              <w:rPr>
                <w:rFonts w:ascii="Courier New"/>
                <w:w w:val="100"/>
                <w:sz w:val="28"/>
              </w:rPr>
              <w:t>X</w:t>
            </w:r>
          </w:p>
        </w:tc>
        <w:tc>
          <w:tcPr>
            <w:tcW w:w="3845" w:type="dxa"/>
          </w:tcPr>
          <w:p>
            <w:pPr>
              <w:pStyle w:val="TableParagraph"/>
              <w:spacing w:before="6"/>
              <w:ind w:left="108"/>
              <w:rPr>
                <w:rFonts w:ascii="Courier New"/>
                <w:sz w:val="28"/>
              </w:rPr>
            </w:pPr>
            <w:r>
              <w:rPr>
                <w:rFonts w:ascii="Courier New"/>
                <w:w w:val="100"/>
                <w:sz w:val="28"/>
              </w:rPr>
              <w:t>X</w:t>
            </w:r>
          </w:p>
        </w:tc>
        <w:tc>
          <w:tcPr>
            <w:tcW w:w="3132" w:type="dxa"/>
          </w:tcPr>
          <w:p>
            <w:pPr>
              <w:pStyle w:val="TableParagraph"/>
              <w:rPr>
                <w:rFonts w:ascii="Times New Roman"/>
                <w:sz w:val="28"/>
              </w:rPr>
            </w:pPr>
          </w:p>
        </w:tc>
        <w:tc>
          <w:tcPr>
            <w:tcW w:w="3573" w:type="dxa"/>
          </w:tcPr>
          <w:p>
            <w:pPr>
              <w:pStyle w:val="TableParagraph"/>
              <w:rPr>
                <w:rFonts w:ascii="Times New Roman"/>
                <w:sz w:val="28"/>
              </w:rPr>
            </w:pPr>
          </w:p>
        </w:tc>
      </w:tr>
      <w:tr>
        <w:trPr>
          <w:trHeight w:val="563" w:hRule="atLeast"/>
        </w:trPr>
        <w:tc>
          <w:tcPr>
            <w:tcW w:w="2518" w:type="dxa"/>
            <w:shd w:val="clear" w:color="auto" w:fill="00AFEF"/>
          </w:tcPr>
          <w:p>
            <w:pPr>
              <w:pStyle w:val="TableParagraph"/>
              <w:spacing w:line="317" w:lineRule="exact"/>
              <w:ind w:left="107"/>
              <w:rPr>
                <w:rFonts w:ascii="Courier New"/>
                <w:b/>
                <w:sz w:val="28"/>
              </w:rPr>
            </w:pPr>
            <w:r>
              <w:rPr>
                <w:rFonts w:ascii="Courier New"/>
                <w:b/>
                <w:sz w:val="28"/>
              </w:rPr>
              <w:t>Green Tea</w:t>
            </w:r>
          </w:p>
        </w:tc>
        <w:tc>
          <w:tcPr>
            <w:tcW w:w="1135" w:type="dxa"/>
          </w:tcPr>
          <w:p>
            <w:pPr>
              <w:pStyle w:val="TableParagraph"/>
              <w:spacing w:before="6"/>
              <w:ind w:left="107"/>
              <w:rPr>
                <w:rFonts w:ascii="Courier New"/>
                <w:sz w:val="28"/>
              </w:rPr>
            </w:pPr>
            <w:r>
              <w:rPr>
                <w:rFonts w:ascii="Courier New"/>
                <w:sz w:val="28"/>
              </w:rPr>
              <w:t>587</w:t>
            </w:r>
          </w:p>
        </w:tc>
        <w:tc>
          <w:tcPr>
            <w:tcW w:w="3228" w:type="dxa"/>
          </w:tcPr>
          <w:p>
            <w:pPr>
              <w:pStyle w:val="TableParagraph"/>
              <w:rPr>
                <w:rFonts w:ascii="Times New Roman"/>
                <w:sz w:val="28"/>
              </w:rPr>
            </w:pPr>
          </w:p>
        </w:tc>
        <w:tc>
          <w:tcPr>
            <w:tcW w:w="3845" w:type="dxa"/>
          </w:tcPr>
          <w:p>
            <w:pPr>
              <w:pStyle w:val="TableParagraph"/>
              <w:spacing w:before="6"/>
              <w:ind w:left="108"/>
              <w:rPr>
                <w:rFonts w:ascii="Courier New"/>
                <w:sz w:val="28"/>
              </w:rPr>
            </w:pPr>
            <w:r>
              <w:rPr>
                <w:rFonts w:ascii="Courier New"/>
                <w:w w:val="100"/>
                <w:sz w:val="28"/>
              </w:rPr>
              <w:t>X</w:t>
            </w:r>
          </w:p>
        </w:tc>
        <w:tc>
          <w:tcPr>
            <w:tcW w:w="3132" w:type="dxa"/>
          </w:tcPr>
          <w:p>
            <w:pPr>
              <w:pStyle w:val="TableParagraph"/>
              <w:rPr>
                <w:rFonts w:ascii="Times New Roman"/>
                <w:sz w:val="28"/>
              </w:rPr>
            </w:pPr>
          </w:p>
        </w:tc>
        <w:tc>
          <w:tcPr>
            <w:tcW w:w="3573" w:type="dxa"/>
          </w:tcPr>
          <w:p>
            <w:pPr>
              <w:pStyle w:val="TableParagraph"/>
              <w:rPr>
                <w:rFonts w:ascii="Times New Roman"/>
                <w:sz w:val="28"/>
              </w:rPr>
            </w:pPr>
          </w:p>
        </w:tc>
      </w:tr>
      <w:tr>
        <w:trPr>
          <w:trHeight w:val="931" w:hRule="atLeast"/>
        </w:trPr>
        <w:tc>
          <w:tcPr>
            <w:tcW w:w="2518" w:type="dxa"/>
            <w:shd w:val="clear" w:color="auto" w:fill="00AFEF"/>
          </w:tcPr>
          <w:p>
            <w:pPr>
              <w:pStyle w:val="TableParagraph"/>
              <w:spacing w:line="278" w:lineRule="auto"/>
              <w:ind w:left="107" w:right="364"/>
              <w:rPr>
                <w:rFonts w:ascii="Courier New"/>
                <w:b/>
                <w:sz w:val="28"/>
              </w:rPr>
            </w:pPr>
            <w:r>
              <w:rPr>
                <w:rFonts w:ascii="Courier New"/>
                <w:b/>
                <w:sz w:val="28"/>
              </w:rPr>
              <w:t>Organic Ger- manium</w:t>
            </w:r>
          </w:p>
        </w:tc>
        <w:tc>
          <w:tcPr>
            <w:tcW w:w="1135" w:type="dxa"/>
          </w:tcPr>
          <w:p>
            <w:pPr>
              <w:pStyle w:val="TableParagraph"/>
              <w:spacing w:before="6"/>
              <w:ind w:left="107"/>
              <w:rPr>
                <w:rFonts w:ascii="Courier New"/>
                <w:sz w:val="28"/>
              </w:rPr>
            </w:pPr>
            <w:r>
              <w:rPr>
                <w:rFonts w:ascii="Courier New"/>
                <w:sz w:val="28"/>
              </w:rPr>
              <w:t>1152</w:t>
            </w:r>
          </w:p>
        </w:tc>
        <w:tc>
          <w:tcPr>
            <w:tcW w:w="3228" w:type="dxa"/>
          </w:tcPr>
          <w:p>
            <w:pPr>
              <w:pStyle w:val="TableParagraph"/>
              <w:rPr>
                <w:rFonts w:ascii="Times New Roman"/>
                <w:sz w:val="28"/>
              </w:rPr>
            </w:pPr>
          </w:p>
        </w:tc>
        <w:tc>
          <w:tcPr>
            <w:tcW w:w="3845" w:type="dxa"/>
          </w:tcPr>
          <w:p>
            <w:pPr>
              <w:pStyle w:val="TableParagraph"/>
              <w:spacing w:before="6"/>
              <w:ind w:left="108"/>
              <w:rPr>
                <w:rFonts w:ascii="Courier New"/>
                <w:sz w:val="28"/>
              </w:rPr>
            </w:pPr>
            <w:r>
              <w:rPr>
                <w:rFonts w:ascii="Courier New"/>
                <w:w w:val="100"/>
                <w:sz w:val="28"/>
              </w:rPr>
              <w:t>X</w:t>
            </w:r>
          </w:p>
        </w:tc>
        <w:tc>
          <w:tcPr>
            <w:tcW w:w="3132" w:type="dxa"/>
          </w:tcPr>
          <w:p>
            <w:pPr>
              <w:pStyle w:val="TableParagraph"/>
              <w:rPr>
                <w:rFonts w:ascii="Times New Roman"/>
                <w:sz w:val="28"/>
              </w:rPr>
            </w:pPr>
          </w:p>
        </w:tc>
        <w:tc>
          <w:tcPr>
            <w:tcW w:w="3573" w:type="dxa"/>
          </w:tcPr>
          <w:p>
            <w:pPr>
              <w:pStyle w:val="TableParagraph"/>
              <w:rPr>
                <w:rFonts w:ascii="Times New Roman"/>
                <w:sz w:val="28"/>
              </w:rPr>
            </w:pPr>
          </w:p>
        </w:tc>
      </w:tr>
      <w:tr>
        <w:trPr>
          <w:trHeight w:val="618" w:hRule="atLeast"/>
        </w:trPr>
        <w:tc>
          <w:tcPr>
            <w:tcW w:w="2518" w:type="dxa"/>
            <w:shd w:val="clear" w:color="auto" w:fill="00AFEF"/>
          </w:tcPr>
          <w:p>
            <w:pPr>
              <w:pStyle w:val="TableParagraph"/>
              <w:spacing w:line="317" w:lineRule="exact"/>
              <w:ind w:left="107"/>
              <w:rPr>
                <w:rFonts w:ascii="Courier New"/>
                <w:b/>
                <w:sz w:val="28"/>
              </w:rPr>
            </w:pPr>
            <w:r>
              <w:rPr>
                <w:rFonts w:ascii="Courier New"/>
                <w:b/>
                <w:sz w:val="28"/>
              </w:rPr>
              <w:t>Reishi</w:t>
            </w:r>
          </w:p>
        </w:tc>
        <w:tc>
          <w:tcPr>
            <w:tcW w:w="1135" w:type="dxa"/>
          </w:tcPr>
          <w:p>
            <w:pPr>
              <w:pStyle w:val="TableParagraph"/>
              <w:spacing w:before="6"/>
              <w:ind w:left="107"/>
              <w:rPr>
                <w:rFonts w:ascii="Courier New"/>
                <w:sz w:val="28"/>
              </w:rPr>
            </w:pPr>
            <w:r>
              <w:rPr>
                <w:rFonts w:ascii="Courier New"/>
                <w:sz w:val="28"/>
              </w:rPr>
              <w:t>1665</w:t>
            </w:r>
          </w:p>
        </w:tc>
        <w:tc>
          <w:tcPr>
            <w:tcW w:w="3228" w:type="dxa"/>
          </w:tcPr>
          <w:p>
            <w:pPr>
              <w:pStyle w:val="TableParagraph"/>
              <w:rPr>
                <w:rFonts w:ascii="Times New Roman"/>
                <w:sz w:val="28"/>
              </w:rPr>
            </w:pPr>
          </w:p>
        </w:tc>
        <w:tc>
          <w:tcPr>
            <w:tcW w:w="3845" w:type="dxa"/>
          </w:tcPr>
          <w:p>
            <w:pPr>
              <w:pStyle w:val="TableParagraph"/>
              <w:spacing w:before="6"/>
              <w:ind w:left="108"/>
              <w:rPr>
                <w:rFonts w:ascii="Courier New"/>
                <w:sz w:val="28"/>
              </w:rPr>
            </w:pPr>
            <w:r>
              <w:rPr>
                <w:rFonts w:ascii="Courier New"/>
                <w:w w:val="100"/>
                <w:sz w:val="28"/>
              </w:rPr>
              <w:t>X</w:t>
            </w:r>
          </w:p>
        </w:tc>
        <w:tc>
          <w:tcPr>
            <w:tcW w:w="3132" w:type="dxa"/>
          </w:tcPr>
          <w:p>
            <w:pPr>
              <w:pStyle w:val="TableParagraph"/>
              <w:rPr>
                <w:rFonts w:ascii="Times New Roman"/>
                <w:sz w:val="28"/>
              </w:rPr>
            </w:pPr>
          </w:p>
        </w:tc>
        <w:tc>
          <w:tcPr>
            <w:tcW w:w="3573" w:type="dxa"/>
          </w:tcPr>
          <w:p>
            <w:pPr>
              <w:pStyle w:val="TableParagraph"/>
              <w:spacing w:before="6"/>
              <w:ind w:left="109"/>
              <w:rPr>
                <w:rFonts w:ascii="Courier New"/>
                <w:sz w:val="28"/>
              </w:rPr>
            </w:pPr>
            <w:r>
              <w:rPr>
                <w:rFonts w:ascii="Courier New"/>
                <w:w w:val="100"/>
                <w:sz w:val="28"/>
              </w:rPr>
              <w:t>X</w:t>
            </w:r>
          </w:p>
        </w:tc>
      </w:tr>
      <w:tr>
        <w:trPr>
          <w:trHeight w:val="565" w:hRule="atLeast"/>
        </w:trPr>
        <w:tc>
          <w:tcPr>
            <w:tcW w:w="2518" w:type="dxa"/>
            <w:shd w:val="clear" w:color="auto" w:fill="00AFEF"/>
          </w:tcPr>
          <w:p>
            <w:pPr>
              <w:pStyle w:val="TableParagraph"/>
              <w:spacing w:line="317" w:lineRule="exact"/>
              <w:ind w:left="107"/>
              <w:rPr>
                <w:rFonts w:ascii="Courier New"/>
                <w:b/>
                <w:sz w:val="28"/>
              </w:rPr>
            </w:pPr>
            <w:r>
              <w:rPr>
                <w:rFonts w:ascii="Courier New"/>
                <w:b/>
                <w:sz w:val="28"/>
              </w:rPr>
              <w:t>Maitake</w:t>
            </w:r>
          </w:p>
        </w:tc>
        <w:tc>
          <w:tcPr>
            <w:tcW w:w="1135" w:type="dxa"/>
          </w:tcPr>
          <w:p>
            <w:pPr>
              <w:pStyle w:val="TableParagraph"/>
              <w:spacing w:before="6"/>
              <w:ind w:left="107"/>
              <w:rPr>
                <w:rFonts w:ascii="Courier New"/>
                <w:sz w:val="28"/>
              </w:rPr>
            </w:pPr>
            <w:r>
              <w:rPr>
                <w:rFonts w:ascii="Courier New"/>
                <w:sz w:val="28"/>
              </w:rPr>
              <w:t>1697</w:t>
            </w:r>
          </w:p>
        </w:tc>
        <w:tc>
          <w:tcPr>
            <w:tcW w:w="3228" w:type="dxa"/>
          </w:tcPr>
          <w:p>
            <w:pPr>
              <w:pStyle w:val="TableParagraph"/>
              <w:rPr>
                <w:rFonts w:ascii="Times New Roman"/>
                <w:sz w:val="28"/>
              </w:rPr>
            </w:pPr>
          </w:p>
        </w:tc>
        <w:tc>
          <w:tcPr>
            <w:tcW w:w="3845" w:type="dxa"/>
          </w:tcPr>
          <w:p>
            <w:pPr>
              <w:pStyle w:val="TableParagraph"/>
              <w:rPr>
                <w:rFonts w:ascii="Times New Roman"/>
                <w:sz w:val="28"/>
              </w:rPr>
            </w:pPr>
          </w:p>
        </w:tc>
        <w:tc>
          <w:tcPr>
            <w:tcW w:w="3132" w:type="dxa"/>
          </w:tcPr>
          <w:p>
            <w:pPr>
              <w:pStyle w:val="TableParagraph"/>
              <w:rPr>
                <w:rFonts w:ascii="Times New Roman"/>
                <w:sz w:val="28"/>
              </w:rPr>
            </w:pPr>
          </w:p>
        </w:tc>
        <w:tc>
          <w:tcPr>
            <w:tcW w:w="3573" w:type="dxa"/>
          </w:tcPr>
          <w:p>
            <w:pPr>
              <w:pStyle w:val="TableParagraph"/>
              <w:rPr>
                <w:rFonts w:ascii="Times New Roman"/>
                <w:sz w:val="28"/>
              </w:rPr>
            </w:pPr>
          </w:p>
        </w:tc>
      </w:tr>
      <w:tr>
        <w:trPr>
          <w:trHeight w:val="563" w:hRule="atLeast"/>
        </w:trPr>
        <w:tc>
          <w:tcPr>
            <w:tcW w:w="2518" w:type="dxa"/>
            <w:shd w:val="clear" w:color="auto" w:fill="00AFEF"/>
          </w:tcPr>
          <w:p>
            <w:pPr>
              <w:pStyle w:val="TableParagraph"/>
              <w:spacing w:line="317" w:lineRule="exact"/>
              <w:ind w:left="107"/>
              <w:rPr>
                <w:rFonts w:ascii="Courier New"/>
                <w:b/>
                <w:sz w:val="28"/>
              </w:rPr>
            </w:pPr>
            <w:r>
              <w:rPr>
                <w:rFonts w:ascii="Courier New"/>
                <w:b/>
                <w:sz w:val="28"/>
              </w:rPr>
              <w:t>Shiitake</w:t>
            </w:r>
          </w:p>
        </w:tc>
        <w:tc>
          <w:tcPr>
            <w:tcW w:w="1135" w:type="dxa"/>
          </w:tcPr>
          <w:p>
            <w:pPr>
              <w:pStyle w:val="TableParagraph"/>
              <w:spacing w:before="6"/>
              <w:ind w:left="107"/>
              <w:rPr>
                <w:rFonts w:ascii="Courier New"/>
                <w:sz w:val="28"/>
              </w:rPr>
            </w:pPr>
            <w:r>
              <w:rPr>
                <w:rFonts w:ascii="Courier New"/>
                <w:sz w:val="28"/>
              </w:rPr>
              <w:t>1685</w:t>
            </w:r>
          </w:p>
        </w:tc>
        <w:tc>
          <w:tcPr>
            <w:tcW w:w="3228" w:type="dxa"/>
          </w:tcPr>
          <w:p>
            <w:pPr>
              <w:pStyle w:val="TableParagraph"/>
              <w:rPr>
                <w:rFonts w:ascii="Times New Roman"/>
                <w:sz w:val="28"/>
              </w:rPr>
            </w:pPr>
          </w:p>
        </w:tc>
        <w:tc>
          <w:tcPr>
            <w:tcW w:w="3845" w:type="dxa"/>
          </w:tcPr>
          <w:p>
            <w:pPr>
              <w:pStyle w:val="TableParagraph"/>
              <w:rPr>
                <w:rFonts w:ascii="Times New Roman"/>
                <w:sz w:val="28"/>
              </w:rPr>
            </w:pPr>
          </w:p>
        </w:tc>
        <w:tc>
          <w:tcPr>
            <w:tcW w:w="3132" w:type="dxa"/>
          </w:tcPr>
          <w:p>
            <w:pPr>
              <w:pStyle w:val="TableParagraph"/>
              <w:rPr>
                <w:rFonts w:ascii="Times New Roman"/>
                <w:sz w:val="28"/>
              </w:rPr>
            </w:pPr>
          </w:p>
        </w:tc>
        <w:tc>
          <w:tcPr>
            <w:tcW w:w="3573" w:type="dxa"/>
          </w:tcPr>
          <w:p>
            <w:pPr>
              <w:pStyle w:val="TableParagraph"/>
              <w:rPr>
                <w:rFonts w:ascii="Times New Roman"/>
                <w:sz w:val="28"/>
              </w:rPr>
            </w:pPr>
          </w:p>
        </w:tc>
      </w:tr>
      <w:tr>
        <w:trPr>
          <w:trHeight w:val="565" w:hRule="atLeast"/>
        </w:trPr>
        <w:tc>
          <w:tcPr>
            <w:tcW w:w="2518" w:type="dxa"/>
            <w:shd w:val="clear" w:color="auto" w:fill="00AFEF"/>
          </w:tcPr>
          <w:p>
            <w:pPr>
              <w:pStyle w:val="TableParagraph"/>
              <w:spacing w:line="317" w:lineRule="exact"/>
              <w:ind w:left="107"/>
              <w:rPr>
                <w:rFonts w:ascii="Courier New"/>
                <w:b/>
                <w:sz w:val="28"/>
              </w:rPr>
            </w:pPr>
            <w:r>
              <w:rPr>
                <w:rFonts w:ascii="Courier New"/>
                <w:b/>
                <w:sz w:val="28"/>
              </w:rPr>
              <w:t>Hericium</w:t>
            </w:r>
          </w:p>
        </w:tc>
        <w:tc>
          <w:tcPr>
            <w:tcW w:w="1135" w:type="dxa"/>
          </w:tcPr>
          <w:p>
            <w:pPr>
              <w:pStyle w:val="TableParagraph"/>
              <w:spacing w:before="6"/>
              <w:ind w:left="107"/>
              <w:rPr>
                <w:rFonts w:ascii="Courier New"/>
                <w:sz w:val="28"/>
              </w:rPr>
            </w:pPr>
            <w:r>
              <w:rPr>
                <w:rFonts w:ascii="Courier New"/>
                <w:sz w:val="28"/>
              </w:rPr>
              <w:t>1707</w:t>
            </w:r>
          </w:p>
        </w:tc>
        <w:tc>
          <w:tcPr>
            <w:tcW w:w="3228" w:type="dxa"/>
          </w:tcPr>
          <w:p>
            <w:pPr>
              <w:pStyle w:val="TableParagraph"/>
              <w:rPr>
                <w:rFonts w:ascii="Times New Roman"/>
                <w:sz w:val="28"/>
              </w:rPr>
            </w:pPr>
          </w:p>
        </w:tc>
        <w:tc>
          <w:tcPr>
            <w:tcW w:w="3845" w:type="dxa"/>
          </w:tcPr>
          <w:p>
            <w:pPr>
              <w:pStyle w:val="TableParagraph"/>
              <w:rPr>
                <w:rFonts w:ascii="Times New Roman"/>
                <w:sz w:val="28"/>
              </w:rPr>
            </w:pPr>
          </w:p>
        </w:tc>
        <w:tc>
          <w:tcPr>
            <w:tcW w:w="3132" w:type="dxa"/>
          </w:tcPr>
          <w:p>
            <w:pPr>
              <w:pStyle w:val="TableParagraph"/>
              <w:rPr>
                <w:rFonts w:ascii="Times New Roman"/>
                <w:sz w:val="28"/>
              </w:rPr>
            </w:pPr>
          </w:p>
        </w:tc>
        <w:tc>
          <w:tcPr>
            <w:tcW w:w="3573" w:type="dxa"/>
          </w:tcPr>
          <w:p>
            <w:pPr>
              <w:pStyle w:val="TableParagraph"/>
              <w:rPr>
                <w:rFonts w:ascii="Times New Roman"/>
                <w:sz w:val="28"/>
              </w:rPr>
            </w:pPr>
          </w:p>
        </w:tc>
      </w:tr>
      <w:tr>
        <w:trPr>
          <w:trHeight w:val="564" w:hRule="atLeast"/>
        </w:trPr>
        <w:tc>
          <w:tcPr>
            <w:tcW w:w="2518" w:type="dxa"/>
            <w:shd w:val="clear" w:color="auto" w:fill="00AFEF"/>
          </w:tcPr>
          <w:p>
            <w:pPr>
              <w:pStyle w:val="TableParagraph"/>
              <w:ind w:left="107"/>
              <w:rPr>
                <w:rFonts w:ascii="Courier New"/>
                <w:b/>
                <w:sz w:val="28"/>
              </w:rPr>
            </w:pPr>
            <w:r>
              <w:rPr>
                <w:rFonts w:ascii="Courier New"/>
                <w:b/>
                <w:sz w:val="28"/>
              </w:rPr>
              <w:t>Polyporus</w:t>
            </w:r>
          </w:p>
        </w:tc>
        <w:tc>
          <w:tcPr>
            <w:tcW w:w="1135" w:type="dxa"/>
          </w:tcPr>
          <w:p>
            <w:pPr>
              <w:pStyle w:val="TableParagraph"/>
              <w:spacing w:before="7"/>
              <w:ind w:left="107"/>
              <w:rPr>
                <w:rFonts w:ascii="Courier New"/>
                <w:sz w:val="28"/>
              </w:rPr>
            </w:pPr>
            <w:r>
              <w:rPr>
                <w:rFonts w:ascii="Courier New"/>
                <w:sz w:val="28"/>
              </w:rPr>
              <w:t>1845</w:t>
            </w:r>
          </w:p>
        </w:tc>
        <w:tc>
          <w:tcPr>
            <w:tcW w:w="3228" w:type="dxa"/>
          </w:tcPr>
          <w:p>
            <w:pPr>
              <w:pStyle w:val="TableParagraph"/>
              <w:rPr>
                <w:rFonts w:ascii="Times New Roman"/>
                <w:sz w:val="28"/>
              </w:rPr>
            </w:pPr>
          </w:p>
        </w:tc>
        <w:tc>
          <w:tcPr>
            <w:tcW w:w="3845" w:type="dxa"/>
          </w:tcPr>
          <w:p>
            <w:pPr>
              <w:pStyle w:val="TableParagraph"/>
              <w:rPr>
                <w:rFonts w:ascii="Times New Roman"/>
                <w:sz w:val="28"/>
              </w:rPr>
            </w:pPr>
          </w:p>
        </w:tc>
        <w:tc>
          <w:tcPr>
            <w:tcW w:w="3132" w:type="dxa"/>
          </w:tcPr>
          <w:p>
            <w:pPr>
              <w:pStyle w:val="TableParagraph"/>
              <w:rPr>
                <w:rFonts w:ascii="Times New Roman"/>
                <w:sz w:val="28"/>
              </w:rPr>
            </w:pPr>
          </w:p>
        </w:tc>
        <w:tc>
          <w:tcPr>
            <w:tcW w:w="3573" w:type="dxa"/>
          </w:tcPr>
          <w:p>
            <w:pPr>
              <w:pStyle w:val="TableParagraph"/>
              <w:rPr>
                <w:rFonts w:ascii="Times New Roman"/>
                <w:sz w:val="28"/>
              </w:rPr>
            </w:pPr>
          </w:p>
        </w:tc>
      </w:tr>
    </w:tbl>
    <w:p>
      <w:pPr>
        <w:spacing w:after="0"/>
        <w:rPr>
          <w:rFonts w:ascii="Times New Roman"/>
          <w:sz w:val="28"/>
        </w:rPr>
        <w:sectPr>
          <w:pgSz w:w="18630" w:h="11910" w:orient="landscape"/>
          <w:pgMar w:header="0" w:footer="404" w:top="840" w:bottom="600" w:left="740" w:right="8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18"/>
        <w:gridCol w:w="1135"/>
        <w:gridCol w:w="3228"/>
        <w:gridCol w:w="3845"/>
        <w:gridCol w:w="3132"/>
        <w:gridCol w:w="3573"/>
      </w:tblGrid>
      <w:tr>
        <w:trPr>
          <w:trHeight w:val="564" w:hRule="atLeast"/>
        </w:trPr>
        <w:tc>
          <w:tcPr>
            <w:tcW w:w="2518" w:type="dxa"/>
            <w:shd w:val="clear" w:color="auto" w:fill="00AFEF"/>
          </w:tcPr>
          <w:p>
            <w:pPr>
              <w:pStyle w:val="TableParagraph"/>
              <w:spacing w:line="317" w:lineRule="exact"/>
              <w:ind w:left="107"/>
              <w:rPr>
                <w:rFonts w:ascii="Courier New"/>
                <w:b/>
                <w:sz w:val="28"/>
              </w:rPr>
            </w:pPr>
            <w:r>
              <w:rPr>
                <w:rFonts w:ascii="Courier New"/>
                <w:b/>
                <w:sz w:val="28"/>
              </w:rPr>
              <w:t>Coriolus</w:t>
            </w:r>
          </w:p>
        </w:tc>
        <w:tc>
          <w:tcPr>
            <w:tcW w:w="1135" w:type="dxa"/>
          </w:tcPr>
          <w:p>
            <w:pPr>
              <w:pStyle w:val="TableParagraph"/>
              <w:spacing w:before="6"/>
              <w:ind w:left="107"/>
              <w:rPr>
                <w:rFonts w:ascii="Courier New"/>
                <w:sz w:val="28"/>
              </w:rPr>
            </w:pPr>
            <w:r>
              <w:rPr>
                <w:rFonts w:ascii="Courier New"/>
                <w:sz w:val="28"/>
              </w:rPr>
              <w:t>1848</w:t>
            </w:r>
          </w:p>
        </w:tc>
        <w:tc>
          <w:tcPr>
            <w:tcW w:w="3228" w:type="dxa"/>
          </w:tcPr>
          <w:p>
            <w:pPr>
              <w:pStyle w:val="TableParagraph"/>
              <w:rPr>
                <w:rFonts w:ascii="Times New Roman"/>
                <w:sz w:val="26"/>
              </w:rPr>
            </w:pPr>
          </w:p>
        </w:tc>
        <w:tc>
          <w:tcPr>
            <w:tcW w:w="3845" w:type="dxa"/>
          </w:tcPr>
          <w:p>
            <w:pPr>
              <w:pStyle w:val="TableParagraph"/>
              <w:rPr>
                <w:rFonts w:ascii="Times New Roman"/>
                <w:sz w:val="26"/>
              </w:rPr>
            </w:pPr>
          </w:p>
        </w:tc>
        <w:tc>
          <w:tcPr>
            <w:tcW w:w="3132" w:type="dxa"/>
          </w:tcPr>
          <w:p>
            <w:pPr>
              <w:pStyle w:val="TableParagraph"/>
              <w:rPr>
                <w:rFonts w:ascii="Times New Roman"/>
                <w:sz w:val="26"/>
              </w:rPr>
            </w:pPr>
          </w:p>
        </w:tc>
        <w:tc>
          <w:tcPr>
            <w:tcW w:w="3573" w:type="dxa"/>
          </w:tcPr>
          <w:p>
            <w:pPr>
              <w:pStyle w:val="TableParagraph"/>
              <w:rPr>
                <w:rFonts w:ascii="Times New Roman"/>
                <w:sz w:val="26"/>
              </w:rPr>
            </w:pPr>
          </w:p>
        </w:tc>
      </w:tr>
      <w:tr>
        <w:trPr>
          <w:trHeight w:val="952" w:hRule="atLeast"/>
        </w:trPr>
        <w:tc>
          <w:tcPr>
            <w:tcW w:w="2518" w:type="dxa"/>
            <w:shd w:val="clear" w:color="auto" w:fill="00AFEF"/>
          </w:tcPr>
          <w:p>
            <w:pPr>
              <w:pStyle w:val="TableParagraph"/>
              <w:spacing w:line="278" w:lineRule="auto"/>
              <w:ind w:left="107" w:right="196"/>
              <w:rPr>
                <w:rFonts w:ascii="Courier New"/>
                <w:b/>
                <w:sz w:val="28"/>
              </w:rPr>
            </w:pPr>
            <w:r>
              <w:rPr>
                <w:rFonts w:ascii="Courier New"/>
                <w:b/>
                <w:sz w:val="28"/>
              </w:rPr>
              <w:t>Glucosamine / Chondroitin</w:t>
            </w:r>
          </w:p>
        </w:tc>
        <w:tc>
          <w:tcPr>
            <w:tcW w:w="1135" w:type="dxa"/>
          </w:tcPr>
          <w:p>
            <w:pPr>
              <w:pStyle w:val="TableParagraph"/>
              <w:spacing w:before="6"/>
              <w:ind w:left="107"/>
              <w:rPr>
                <w:rFonts w:ascii="Courier New"/>
                <w:sz w:val="28"/>
              </w:rPr>
            </w:pPr>
            <w:r>
              <w:rPr>
                <w:rFonts w:ascii="Courier New"/>
                <w:sz w:val="28"/>
              </w:rPr>
              <w:t>441</w:t>
            </w:r>
          </w:p>
        </w:tc>
        <w:tc>
          <w:tcPr>
            <w:tcW w:w="3228" w:type="dxa"/>
          </w:tcPr>
          <w:p>
            <w:pPr>
              <w:pStyle w:val="TableParagraph"/>
              <w:rPr>
                <w:rFonts w:ascii="Times New Roman"/>
                <w:sz w:val="26"/>
              </w:rPr>
            </w:pPr>
          </w:p>
        </w:tc>
        <w:tc>
          <w:tcPr>
            <w:tcW w:w="3845" w:type="dxa"/>
          </w:tcPr>
          <w:p>
            <w:pPr>
              <w:pStyle w:val="TableParagraph"/>
              <w:spacing w:before="6"/>
              <w:ind w:left="108"/>
              <w:rPr>
                <w:rFonts w:ascii="Courier New"/>
                <w:sz w:val="28"/>
              </w:rPr>
            </w:pPr>
            <w:r>
              <w:rPr>
                <w:rFonts w:ascii="Courier New"/>
                <w:w w:val="100"/>
                <w:sz w:val="28"/>
              </w:rPr>
              <w:t>X</w:t>
            </w:r>
          </w:p>
        </w:tc>
        <w:tc>
          <w:tcPr>
            <w:tcW w:w="3132" w:type="dxa"/>
          </w:tcPr>
          <w:p>
            <w:pPr>
              <w:pStyle w:val="TableParagraph"/>
              <w:rPr>
                <w:rFonts w:ascii="Times New Roman"/>
                <w:sz w:val="26"/>
              </w:rPr>
            </w:pPr>
          </w:p>
        </w:tc>
        <w:tc>
          <w:tcPr>
            <w:tcW w:w="3573" w:type="dxa"/>
          </w:tcPr>
          <w:p>
            <w:pPr>
              <w:pStyle w:val="TableParagraph"/>
              <w:rPr>
                <w:rFonts w:ascii="Times New Roman"/>
                <w:sz w:val="26"/>
              </w:rPr>
            </w:pPr>
          </w:p>
        </w:tc>
      </w:tr>
    </w:tbl>
    <w:p>
      <w:pPr>
        <w:spacing w:after="0"/>
        <w:rPr>
          <w:rFonts w:ascii="Times New Roman"/>
          <w:sz w:val="26"/>
        </w:rPr>
        <w:sectPr>
          <w:pgSz w:w="18630" w:h="11910" w:orient="landscape"/>
          <w:pgMar w:header="0" w:footer="404" w:top="840" w:bottom="600" w:left="740" w:right="8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76"/>
        <w:gridCol w:w="1135"/>
        <w:gridCol w:w="2127"/>
        <w:gridCol w:w="2268"/>
        <w:gridCol w:w="2256"/>
        <w:gridCol w:w="2650"/>
        <w:gridCol w:w="2367"/>
        <w:gridCol w:w="2073"/>
      </w:tblGrid>
      <w:tr>
        <w:trPr>
          <w:trHeight w:val="1552" w:hRule="atLeast"/>
        </w:trPr>
        <w:tc>
          <w:tcPr>
            <w:tcW w:w="17252" w:type="dxa"/>
            <w:gridSpan w:val="8"/>
            <w:shd w:val="clear" w:color="auto" w:fill="FAD3B4"/>
          </w:tcPr>
          <w:p>
            <w:pPr>
              <w:pStyle w:val="TableParagraph"/>
              <w:spacing w:line="276" w:lineRule="auto" w:before="311"/>
              <w:ind w:left="6370" w:right="884" w:hanging="5423"/>
              <w:rPr>
                <w:b/>
                <w:sz w:val="36"/>
              </w:rPr>
            </w:pPr>
            <w:r>
              <w:rPr>
                <w:b/>
                <w:sz w:val="36"/>
              </w:rPr>
              <w:t>SUBSTANCE-EFFECT TABLE OF NATURAL REMEDIES TO COUNTERACT DEPRESSION, ANXIETY AND BURNOUT</w:t>
            </w:r>
          </w:p>
        </w:tc>
      </w:tr>
      <w:tr>
        <w:trPr>
          <w:trHeight w:val="2916" w:hRule="atLeast"/>
        </w:trPr>
        <w:tc>
          <w:tcPr>
            <w:tcW w:w="2376" w:type="dxa"/>
            <w:shd w:val="clear" w:color="auto" w:fill="FFFF00"/>
          </w:tcPr>
          <w:p>
            <w:pPr>
              <w:pStyle w:val="TableParagraph"/>
              <w:rPr>
                <w:rFonts w:ascii="Courier New"/>
                <w:sz w:val="32"/>
              </w:rPr>
            </w:pPr>
          </w:p>
          <w:p>
            <w:pPr>
              <w:pStyle w:val="TableParagraph"/>
              <w:spacing w:line="278" w:lineRule="auto" w:before="198"/>
              <w:ind w:left="107" w:right="222"/>
              <w:rPr>
                <w:rFonts w:ascii="Courier New"/>
                <w:b/>
                <w:sz w:val="28"/>
              </w:rPr>
            </w:pPr>
            <w:r>
              <w:rPr>
                <w:rFonts w:ascii="Courier New"/>
                <w:b/>
                <w:sz w:val="28"/>
              </w:rPr>
              <w:t>Natural sub- stance</w:t>
            </w:r>
          </w:p>
        </w:tc>
        <w:tc>
          <w:tcPr>
            <w:tcW w:w="1135" w:type="dxa"/>
            <w:shd w:val="clear" w:color="auto" w:fill="FFFF00"/>
          </w:tcPr>
          <w:p>
            <w:pPr>
              <w:pStyle w:val="TableParagraph"/>
              <w:rPr>
                <w:rFonts w:ascii="Courier New"/>
                <w:sz w:val="32"/>
              </w:rPr>
            </w:pPr>
          </w:p>
          <w:p>
            <w:pPr>
              <w:pStyle w:val="TableParagraph"/>
              <w:spacing w:before="201"/>
              <w:ind w:left="108"/>
              <w:rPr>
                <w:rFonts w:ascii="Courier New"/>
                <w:b/>
                <w:sz w:val="28"/>
              </w:rPr>
            </w:pPr>
            <w:r>
              <w:rPr>
                <w:rFonts w:ascii="Courier New"/>
                <w:b/>
                <w:sz w:val="28"/>
              </w:rPr>
              <w:t>Page</w:t>
            </w:r>
          </w:p>
        </w:tc>
        <w:tc>
          <w:tcPr>
            <w:tcW w:w="2127" w:type="dxa"/>
            <w:shd w:val="clear" w:color="auto" w:fill="FFFF00"/>
          </w:tcPr>
          <w:p>
            <w:pPr>
              <w:pStyle w:val="TableParagraph"/>
              <w:rPr>
                <w:rFonts w:ascii="Courier New"/>
                <w:sz w:val="32"/>
              </w:rPr>
            </w:pPr>
          </w:p>
          <w:p>
            <w:pPr>
              <w:pStyle w:val="TableParagraph"/>
              <w:spacing w:line="276" w:lineRule="auto" w:before="198"/>
              <w:ind w:left="105" w:right="479"/>
              <w:rPr>
                <w:rFonts w:ascii="Courier New"/>
                <w:b/>
                <w:sz w:val="28"/>
              </w:rPr>
            </w:pPr>
            <w:r>
              <w:rPr>
                <w:rFonts w:ascii="Courier New"/>
                <w:b/>
                <w:sz w:val="28"/>
              </w:rPr>
              <w:t>Optimisa- tion of serotonin synthesis</w:t>
            </w:r>
          </w:p>
        </w:tc>
        <w:tc>
          <w:tcPr>
            <w:tcW w:w="2268" w:type="dxa"/>
            <w:shd w:val="clear" w:color="auto" w:fill="FFFF00"/>
          </w:tcPr>
          <w:p>
            <w:pPr>
              <w:pStyle w:val="TableParagraph"/>
              <w:rPr>
                <w:rFonts w:ascii="Courier New"/>
                <w:sz w:val="32"/>
              </w:rPr>
            </w:pPr>
          </w:p>
          <w:p>
            <w:pPr>
              <w:pStyle w:val="TableParagraph"/>
              <w:spacing w:line="276" w:lineRule="auto" w:before="198"/>
              <w:ind w:left="106" w:right="115"/>
              <w:rPr>
                <w:rFonts w:ascii="Courier New"/>
                <w:b/>
                <w:sz w:val="28"/>
              </w:rPr>
            </w:pPr>
            <w:r>
              <w:rPr>
                <w:rFonts w:ascii="Courier New"/>
                <w:b/>
                <w:sz w:val="28"/>
              </w:rPr>
              <w:t>Natural mon- oamine oxi- dase inhibi- tor (MAO in- hibitor)</w:t>
            </w:r>
          </w:p>
        </w:tc>
        <w:tc>
          <w:tcPr>
            <w:tcW w:w="2256" w:type="dxa"/>
            <w:shd w:val="clear" w:color="auto" w:fill="FFFF00"/>
          </w:tcPr>
          <w:p>
            <w:pPr>
              <w:pStyle w:val="TableParagraph"/>
              <w:rPr>
                <w:rFonts w:ascii="Courier New"/>
                <w:sz w:val="32"/>
              </w:rPr>
            </w:pPr>
          </w:p>
          <w:p>
            <w:pPr>
              <w:pStyle w:val="TableParagraph"/>
              <w:spacing w:line="276" w:lineRule="auto" w:before="198"/>
              <w:ind w:left="106" w:right="121"/>
              <w:rPr>
                <w:rFonts w:ascii="Courier New"/>
                <w:b/>
                <w:sz w:val="28"/>
              </w:rPr>
            </w:pPr>
            <w:r>
              <w:rPr>
                <w:rFonts w:ascii="Courier New"/>
                <w:b/>
                <w:sz w:val="28"/>
              </w:rPr>
              <w:t>Activation, reorganisa- tion of neu- rotransmit- ters</w:t>
            </w:r>
          </w:p>
        </w:tc>
        <w:tc>
          <w:tcPr>
            <w:tcW w:w="2650" w:type="dxa"/>
            <w:shd w:val="clear" w:color="auto" w:fill="FFFF00"/>
          </w:tcPr>
          <w:p>
            <w:pPr>
              <w:pStyle w:val="TableParagraph"/>
              <w:rPr>
                <w:rFonts w:ascii="Courier New"/>
                <w:sz w:val="32"/>
              </w:rPr>
            </w:pPr>
          </w:p>
          <w:p>
            <w:pPr>
              <w:pStyle w:val="TableParagraph"/>
              <w:spacing w:line="276" w:lineRule="auto" w:before="198"/>
              <w:ind w:left="106" w:right="179"/>
              <w:rPr>
                <w:rFonts w:ascii="Courier New"/>
                <w:b/>
                <w:sz w:val="28"/>
              </w:rPr>
            </w:pPr>
            <w:r>
              <w:rPr>
                <w:rFonts w:ascii="Courier New"/>
                <w:b/>
                <w:sz w:val="28"/>
              </w:rPr>
              <w:t>Optimisation of neuron com- munication</w:t>
            </w:r>
          </w:p>
        </w:tc>
        <w:tc>
          <w:tcPr>
            <w:tcW w:w="2367" w:type="dxa"/>
            <w:shd w:val="clear" w:color="auto" w:fill="FFFF00"/>
          </w:tcPr>
          <w:p>
            <w:pPr>
              <w:pStyle w:val="TableParagraph"/>
              <w:rPr>
                <w:rFonts w:ascii="Courier New"/>
                <w:sz w:val="32"/>
              </w:rPr>
            </w:pPr>
          </w:p>
          <w:p>
            <w:pPr>
              <w:pStyle w:val="TableParagraph"/>
              <w:spacing w:line="278" w:lineRule="auto" w:before="198"/>
              <w:ind w:left="109" w:right="211"/>
              <w:rPr>
                <w:rFonts w:ascii="Courier New"/>
                <w:b/>
                <w:sz w:val="28"/>
              </w:rPr>
            </w:pPr>
            <w:r>
              <w:rPr>
                <w:rFonts w:ascii="Courier New"/>
                <w:b/>
                <w:sz w:val="28"/>
              </w:rPr>
              <w:t>Deacidifying effect</w:t>
            </w:r>
          </w:p>
        </w:tc>
        <w:tc>
          <w:tcPr>
            <w:tcW w:w="2073" w:type="dxa"/>
            <w:shd w:val="clear" w:color="auto" w:fill="FFFF00"/>
          </w:tcPr>
          <w:p>
            <w:pPr>
              <w:pStyle w:val="TableParagraph"/>
              <w:rPr>
                <w:rFonts w:ascii="Courier New"/>
                <w:sz w:val="32"/>
              </w:rPr>
            </w:pPr>
          </w:p>
          <w:p>
            <w:pPr>
              <w:pStyle w:val="TableParagraph"/>
              <w:spacing w:line="276" w:lineRule="auto" w:before="198"/>
              <w:ind w:left="108" w:right="254"/>
              <w:rPr>
                <w:rFonts w:ascii="Courier New"/>
                <w:b/>
                <w:sz w:val="28"/>
              </w:rPr>
            </w:pPr>
            <w:r>
              <w:rPr>
                <w:rFonts w:ascii="Courier New"/>
                <w:b/>
                <w:sz w:val="28"/>
              </w:rPr>
              <w:t>Antiviral and anti- fungal ef- fect</w:t>
            </w:r>
          </w:p>
        </w:tc>
      </w:tr>
      <w:tr>
        <w:trPr>
          <w:trHeight w:val="702" w:hRule="atLeast"/>
        </w:trPr>
        <w:tc>
          <w:tcPr>
            <w:tcW w:w="2376" w:type="dxa"/>
            <w:shd w:val="clear" w:color="auto" w:fill="00AFEF"/>
          </w:tcPr>
          <w:p>
            <w:pPr>
              <w:pStyle w:val="TableParagraph"/>
              <w:spacing w:line="317" w:lineRule="exact"/>
              <w:ind w:left="107"/>
              <w:rPr>
                <w:rFonts w:ascii="Courier New"/>
                <w:b/>
                <w:sz w:val="28"/>
              </w:rPr>
            </w:pPr>
            <w:r>
              <w:rPr>
                <w:rFonts w:ascii="Courier New"/>
                <w:b/>
                <w:sz w:val="28"/>
              </w:rPr>
              <w:t>Curcumin</w:t>
            </w:r>
          </w:p>
        </w:tc>
        <w:tc>
          <w:tcPr>
            <w:tcW w:w="1135" w:type="dxa"/>
          </w:tcPr>
          <w:p>
            <w:pPr>
              <w:pStyle w:val="TableParagraph"/>
              <w:spacing w:before="6"/>
              <w:ind w:left="108"/>
              <w:rPr>
                <w:rFonts w:ascii="Courier New"/>
                <w:sz w:val="28"/>
              </w:rPr>
            </w:pPr>
            <w:r>
              <w:rPr>
                <w:rFonts w:ascii="Courier New"/>
                <w:sz w:val="28"/>
              </w:rPr>
              <w:t>328</w:t>
            </w:r>
          </w:p>
        </w:tc>
        <w:tc>
          <w:tcPr>
            <w:tcW w:w="2127" w:type="dxa"/>
          </w:tcPr>
          <w:p>
            <w:pPr>
              <w:pStyle w:val="TableParagraph"/>
              <w:spacing w:before="6"/>
              <w:ind w:left="105"/>
              <w:rPr>
                <w:rFonts w:ascii="Courier New"/>
                <w:sz w:val="28"/>
              </w:rPr>
            </w:pPr>
            <w:r>
              <w:rPr>
                <w:rFonts w:ascii="Courier New"/>
                <w:w w:val="100"/>
                <w:sz w:val="28"/>
              </w:rPr>
              <w:t>X</w:t>
            </w:r>
          </w:p>
        </w:tc>
        <w:tc>
          <w:tcPr>
            <w:tcW w:w="2268" w:type="dxa"/>
          </w:tcPr>
          <w:p>
            <w:pPr>
              <w:pStyle w:val="TableParagraph"/>
              <w:spacing w:before="6"/>
              <w:ind w:left="106"/>
              <w:rPr>
                <w:rFonts w:ascii="Courier New"/>
                <w:sz w:val="28"/>
              </w:rPr>
            </w:pPr>
            <w:r>
              <w:rPr>
                <w:rFonts w:ascii="Courier New"/>
                <w:w w:val="100"/>
                <w:sz w:val="28"/>
              </w:rPr>
              <w:t>X</w:t>
            </w:r>
          </w:p>
        </w:tc>
        <w:tc>
          <w:tcPr>
            <w:tcW w:w="2256" w:type="dxa"/>
          </w:tcPr>
          <w:p>
            <w:pPr>
              <w:pStyle w:val="TableParagraph"/>
              <w:spacing w:before="6"/>
              <w:ind w:left="106"/>
              <w:rPr>
                <w:rFonts w:ascii="Courier New"/>
                <w:sz w:val="28"/>
              </w:rPr>
            </w:pPr>
            <w:r>
              <w:rPr>
                <w:rFonts w:ascii="Courier New"/>
                <w:w w:val="100"/>
                <w:sz w:val="28"/>
              </w:rPr>
              <w:t>X</w:t>
            </w:r>
          </w:p>
        </w:tc>
        <w:tc>
          <w:tcPr>
            <w:tcW w:w="2650" w:type="dxa"/>
          </w:tcPr>
          <w:p>
            <w:pPr>
              <w:pStyle w:val="TableParagraph"/>
              <w:spacing w:before="6"/>
              <w:ind w:left="106"/>
              <w:rPr>
                <w:rFonts w:ascii="Courier New"/>
                <w:sz w:val="28"/>
              </w:rPr>
            </w:pPr>
            <w:r>
              <w:rPr>
                <w:rFonts w:ascii="Courier New"/>
                <w:w w:val="100"/>
                <w:sz w:val="28"/>
              </w:rPr>
              <w:t>X</w:t>
            </w:r>
          </w:p>
        </w:tc>
        <w:tc>
          <w:tcPr>
            <w:tcW w:w="2367" w:type="dxa"/>
          </w:tcPr>
          <w:p>
            <w:pPr>
              <w:pStyle w:val="TableParagraph"/>
              <w:rPr>
                <w:rFonts w:ascii="Times New Roman"/>
                <w:sz w:val="28"/>
              </w:rPr>
            </w:pPr>
          </w:p>
        </w:tc>
        <w:tc>
          <w:tcPr>
            <w:tcW w:w="2073" w:type="dxa"/>
          </w:tcPr>
          <w:p>
            <w:pPr>
              <w:pStyle w:val="TableParagraph"/>
              <w:rPr>
                <w:rFonts w:ascii="Times New Roman"/>
                <w:sz w:val="28"/>
              </w:rPr>
            </w:pPr>
          </w:p>
        </w:tc>
      </w:tr>
      <w:tr>
        <w:trPr>
          <w:trHeight w:val="931" w:hRule="atLeast"/>
        </w:trPr>
        <w:tc>
          <w:tcPr>
            <w:tcW w:w="2376" w:type="dxa"/>
            <w:shd w:val="clear" w:color="auto" w:fill="00AFEF"/>
          </w:tcPr>
          <w:p>
            <w:pPr>
              <w:pStyle w:val="TableParagraph"/>
              <w:spacing w:line="278" w:lineRule="auto"/>
              <w:ind w:left="107" w:right="894"/>
              <w:rPr>
                <w:rFonts w:ascii="Courier New"/>
                <w:b/>
                <w:sz w:val="28"/>
              </w:rPr>
            </w:pPr>
            <w:r>
              <w:rPr>
                <w:rFonts w:ascii="Courier New"/>
                <w:b/>
                <w:sz w:val="28"/>
              </w:rPr>
              <w:t>Colloida gold</w:t>
            </w:r>
          </w:p>
        </w:tc>
        <w:tc>
          <w:tcPr>
            <w:tcW w:w="1135" w:type="dxa"/>
          </w:tcPr>
          <w:p>
            <w:pPr>
              <w:pStyle w:val="TableParagraph"/>
              <w:spacing w:before="6"/>
              <w:ind w:left="108"/>
              <w:rPr>
                <w:rFonts w:ascii="Courier New"/>
                <w:sz w:val="28"/>
              </w:rPr>
            </w:pPr>
            <w:r>
              <w:rPr>
                <w:rFonts w:ascii="Courier New"/>
                <w:sz w:val="28"/>
              </w:rPr>
              <w:t>642</w:t>
            </w:r>
          </w:p>
        </w:tc>
        <w:tc>
          <w:tcPr>
            <w:tcW w:w="2127" w:type="dxa"/>
          </w:tcPr>
          <w:p>
            <w:pPr>
              <w:pStyle w:val="TableParagraph"/>
              <w:spacing w:before="6"/>
              <w:ind w:left="105"/>
              <w:rPr>
                <w:rFonts w:ascii="Courier New"/>
                <w:sz w:val="28"/>
              </w:rPr>
            </w:pPr>
            <w:r>
              <w:rPr>
                <w:rFonts w:ascii="Courier New"/>
                <w:w w:val="100"/>
                <w:sz w:val="28"/>
              </w:rPr>
              <w:t>x</w:t>
            </w:r>
          </w:p>
        </w:tc>
        <w:tc>
          <w:tcPr>
            <w:tcW w:w="2268" w:type="dxa"/>
          </w:tcPr>
          <w:p>
            <w:pPr>
              <w:pStyle w:val="TableParagraph"/>
              <w:rPr>
                <w:rFonts w:ascii="Times New Roman"/>
                <w:sz w:val="28"/>
              </w:rPr>
            </w:pPr>
          </w:p>
        </w:tc>
        <w:tc>
          <w:tcPr>
            <w:tcW w:w="2256" w:type="dxa"/>
          </w:tcPr>
          <w:p>
            <w:pPr>
              <w:pStyle w:val="TableParagraph"/>
              <w:spacing w:before="6"/>
              <w:ind w:left="106"/>
              <w:rPr>
                <w:rFonts w:ascii="Courier New"/>
                <w:sz w:val="28"/>
              </w:rPr>
            </w:pPr>
            <w:r>
              <w:rPr>
                <w:rFonts w:ascii="Courier New"/>
                <w:w w:val="100"/>
                <w:sz w:val="28"/>
              </w:rPr>
              <w:t>X</w:t>
            </w:r>
          </w:p>
        </w:tc>
        <w:tc>
          <w:tcPr>
            <w:tcW w:w="2650" w:type="dxa"/>
          </w:tcPr>
          <w:p>
            <w:pPr>
              <w:pStyle w:val="TableParagraph"/>
              <w:spacing w:before="6"/>
              <w:ind w:left="106"/>
              <w:rPr>
                <w:rFonts w:ascii="Courier New"/>
                <w:sz w:val="28"/>
              </w:rPr>
            </w:pPr>
            <w:r>
              <w:rPr>
                <w:rFonts w:ascii="Courier New"/>
                <w:w w:val="100"/>
                <w:sz w:val="28"/>
              </w:rPr>
              <w:t>x</w:t>
            </w:r>
          </w:p>
        </w:tc>
        <w:tc>
          <w:tcPr>
            <w:tcW w:w="2367" w:type="dxa"/>
          </w:tcPr>
          <w:p>
            <w:pPr>
              <w:pStyle w:val="TableParagraph"/>
              <w:rPr>
                <w:rFonts w:ascii="Times New Roman"/>
                <w:sz w:val="28"/>
              </w:rPr>
            </w:pPr>
          </w:p>
        </w:tc>
        <w:tc>
          <w:tcPr>
            <w:tcW w:w="2073" w:type="dxa"/>
          </w:tcPr>
          <w:p>
            <w:pPr>
              <w:pStyle w:val="TableParagraph"/>
              <w:spacing w:before="6"/>
              <w:ind w:left="108"/>
              <w:rPr>
                <w:rFonts w:ascii="Courier New"/>
                <w:sz w:val="28"/>
              </w:rPr>
            </w:pPr>
            <w:r>
              <w:rPr>
                <w:rFonts w:ascii="Courier New"/>
                <w:w w:val="100"/>
                <w:sz w:val="28"/>
              </w:rPr>
              <w:t>x</w:t>
            </w:r>
          </w:p>
        </w:tc>
      </w:tr>
      <w:tr>
        <w:trPr>
          <w:trHeight w:val="563" w:hRule="atLeast"/>
        </w:trPr>
        <w:tc>
          <w:tcPr>
            <w:tcW w:w="2376" w:type="dxa"/>
            <w:shd w:val="clear" w:color="auto" w:fill="00AFEF"/>
          </w:tcPr>
          <w:p>
            <w:pPr>
              <w:pStyle w:val="TableParagraph"/>
              <w:spacing w:line="317" w:lineRule="exact"/>
              <w:ind w:left="107"/>
              <w:rPr>
                <w:rFonts w:ascii="Courier New"/>
                <w:b/>
                <w:sz w:val="28"/>
              </w:rPr>
            </w:pPr>
            <w:r>
              <w:rPr>
                <w:rFonts w:ascii="Courier New"/>
                <w:b/>
                <w:sz w:val="28"/>
              </w:rPr>
              <w:t>Ginkgo B.</w:t>
            </w:r>
          </w:p>
        </w:tc>
        <w:tc>
          <w:tcPr>
            <w:tcW w:w="1135" w:type="dxa"/>
          </w:tcPr>
          <w:p>
            <w:pPr>
              <w:pStyle w:val="TableParagraph"/>
              <w:spacing w:before="6"/>
              <w:ind w:left="108"/>
              <w:rPr>
                <w:rFonts w:ascii="Courier New"/>
                <w:sz w:val="28"/>
              </w:rPr>
            </w:pPr>
            <w:r>
              <w:rPr>
                <w:rFonts w:ascii="Courier New"/>
                <w:sz w:val="28"/>
              </w:rPr>
              <w:t>398</w:t>
            </w:r>
          </w:p>
        </w:tc>
        <w:tc>
          <w:tcPr>
            <w:tcW w:w="2127" w:type="dxa"/>
          </w:tcPr>
          <w:p>
            <w:pPr>
              <w:pStyle w:val="TableParagraph"/>
              <w:spacing w:before="6"/>
              <w:ind w:left="105"/>
              <w:rPr>
                <w:rFonts w:ascii="Courier New"/>
                <w:sz w:val="28"/>
              </w:rPr>
            </w:pPr>
            <w:r>
              <w:rPr>
                <w:rFonts w:ascii="Courier New"/>
                <w:w w:val="100"/>
                <w:sz w:val="28"/>
              </w:rPr>
              <w:t>X</w:t>
            </w:r>
          </w:p>
        </w:tc>
        <w:tc>
          <w:tcPr>
            <w:tcW w:w="2268" w:type="dxa"/>
          </w:tcPr>
          <w:p>
            <w:pPr>
              <w:pStyle w:val="TableParagraph"/>
              <w:rPr>
                <w:rFonts w:ascii="Times New Roman"/>
                <w:sz w:val="28"/>
              </w:rPr>
            </w:pPr>
          </w:p>
        </w:tc>
        <w:tc>
          <w:tcPr>
            <w:tcW w:w="2256" w:type="dxa"/>
          </w:tcPr>
          <w:p>
            <w:pPr>
              <w:pStyle w:val="TableParagraph"/>
              <w:spacing w:before="6"/>
              <w:ind w:left="106"/>
              <w:rPr>
                <w:rFonts w:ascii="Courier New"/>
                <w:sz w:val="28"/>
              </w:rPr>
            </w:pPr>
            <w:r>
              <w:rPr>
                <w:rFonts w:ascii="Courier New"/>
                <w:w w:val="100"/>
                <w:sz w:val="28"/>
              </w:rPr>
              <w:t>X</w:t>
            </w:r>
          </w:p>
        </w:tc>
        <w:tc>
          <w:tcPr>
            <w:tcW w:w="2650" w:type="dxa"/>
          </w:tcPr>
          <w:p>
            <w:pPr>
              <w:pStyle w:val="TableParagraph"/>
              <w:spacing w:before="6"/>
              <w:ind w:left="106"/>
              <w:rPr>
                <w:rFonts w:ascii="Courier New"/>
                <w:sz w:val="28"/>
              </w:rPr>
            </w:pPr>
            <w:r>
              <w:rPr>
                <w:rFonts w:ascii="Courier New"/>
                <w:w w:val="100"/>
                <w:sz w:val="28"/>
              </w:rPr>
              <w:t>X</w:t>
            </w:r>
          </w:p>
        </w:tc>
        <w:tc>
          <w:tcPr>
            <w:tcW w:w="2367" w:type="dxa"/>
          </w:tcPr>
          <w:p>
            <w:pPr>
              <w:pStyle w:val="TableParagraph"/>
              <w:rPr>
                <w:rFonts w:ascii="Times New Roman"/>
                <w:sz w:val="28"/>
              </w:rPr>
            </w:pPr>
          </w:p>
        </w:tc>
        <w:tc>
          <w:tcPr>
            <w:tcW w:w="2073" w:type="dxa"/>
          </w:tcPr>
          <w:p>
            <w:pPr>
              <w:pStyle w:val="TableParagraph"/>
              <w:rPr>
                <w:rFonts w:ascii="Times New Roman"/>
                <w:sz w:val="28"/>
              </w:rPr>
            </w:pPr>
          </w:p>
        </w:tc>
      </w:tr>
      <w:tr>
        <w:trPr>
          <w:trHeight w:val="1130" w:hRule="atLeast"/>
        </w:trPr>
        <w:tc>
          <w:tcPr>
            <w:tcW w:w="2376" w:type="dxa"/>
            <w:shd w:val="clear" w:color="auto" w:fill="00AFEF"/>
          </w:tcPr>
          <w:p>
            <w:pPr>
              <w:pStyle w:val="TableParagraph"/>
              <w:spacing w:line="317" w:lineRule="exact"/>
              <w:ind w:left="107"/>
              <w:rPr>
                <w:rFonts w:ascii="Courier New"/>
                <w:b/>
                <w:sz w:val="28"/>
              </w:rPr>
            </w:pPr>
            <w:r>
              <w:rPr>
                <w:rFonts w:ascii="Courier New"/>
                <w:b/>
                <w:sz w:val="28"/>
              </w:rPr>
              <w:t>DHEA</w:t>
            </w:r>
          </w:p>
        </w:tc>
        <w:tc>
          <w:tcPr>
            <w:tcW w:w="1135" w:type="dxa"/>
          </w:tcPr>
          <w:p>
            <w:pPr>
              <w:pStyle w:val="TableParagraph"/>
              <w:spacing w:before="6"/>
              <w:ind w:left="108"/>
              <w:rPr>
                <w:rFonts w:ascii="Courier New"/>
                <w:sz w:val="28"/>
              </w:rPr>
            </w:pPr>
            <w:r>
              <w:rPr>
                <w:rFonts w:ascii="Courier New"/>
                <w:sz w:val="28"/>
              </w:rPr>
              <w:t>365</w:t>
            </w:r>
          </w:p>
        </w:tc>
        <w:tc>
          <w:tcPr>
            <w:tcW w:w="2127" w:type="dxa"/>
          </w:tcPr>
          <w:p>
            <w:pPr>
              <w:pStyle w:val="TableParagraph"/>
              <w:rPr>
                <w:rFonts w:ascii="Times New Roman"/>
                <w:sz w:val="28"/>
              </w:rPr>
            </w:pPr>
          </w:p>
        </w:tc>
        <w:tc>
          <w:tcPr>
            <w:tcW w:w="2268" w:type="dxa"/>
          </w:tcPr>
          <w:p>
            <w:pPr>
              <w:pStyle w:val="TableParagraph"/>
              <w:rPr>
                <w:rFonts w:ascii="Times New Roman"/>
                <w:sz w:val="28"/>
              </w:rPr>
            </w:pPr>
          </w:p>
        </w:tc>
        <w:tc>
          <w:tcPr>
            <w:tcW w:w="2256" w:type="dxa"/>
          </w:tcPr>
          <w:p>
            <w:pPr>
              <w:pStyle w:val="TableParagraph"/>
              <w:rPr>
                <w:rFonts w:ascii="Times New Roman"/>
                <w:sz w:val="28"/>
              </w:rPr>
            </w:pPr>
          </w:p>
        </w:tc>
        <w:tc>
          <w:tcPr>
            <w:tcW w:w="2650" w:type="dxa"/>
          </w:tcPr>
          <w:p>
            <w:pPr>
              <w:pStyle w:val="TableParagraph"/>
              <w:rPr>
                <w:rFonts w:ascii="Times New Roman"/>
                <w:sz w:val="28"/>
              </w:rPr>
            </w:pPr>
          </w:p>
        </w:tc>
        <w:tc>
          <w:tcPr>
            <w:tcW w:w="2367" w:type="dxa"/>
          </w:tcPr>
          <w:p>
            <w:pPr>
              <w:pStyle w:val="TableParagraph"/>
              <w:rPr>
                <w:rFonts w:ascii="Times New Roman"/>
                <w:sz w:val="28"/>
              </w:rPr>
            </w:pPr>
          </w:p>
        </w:tc>
        <w:tc>
          <w:tcPr>
            <w:tcW w:w="2073" w:type="dxa"/>
          </w:tcPr>
          <w:p>
            <w:pPr>
              <w:pStyle w:val="TableParagraph"/>
              <w:rPr>
                <w:rFonts w:ascii="Times New Roman"/>
                <w:sz w:val="28"/>
              </w:rPr>
            </w:pPr>
          </w:p>
        </w:tc>
      </w:tr>
      <w:tr>
        <w:trPr>
          <w:trHeight w:val="566" w:hRule="atLeast"/>
        </w:trPr>
        <w:tc>
          <w:tcPr>
            <w:tcW w:w="2376" w:type="dxa"/>
            <w:shd w:val="clear" w:color="auto" w:fill="00AFEF"/>
          </w:tcPr>
          <w:p>
            <w:pPr>
              <w:pStyle w:val="TableParagraph"/>
              <w:rPr>
                <w:rFonts w:ascii="Times New Roman"/>
                <w:sz w:val="28"/>
              </w:rPr>
            </w:pPr>
          </w:p>
        </w:tc>
        <w:tc>
          <w:tcPr>
            <w:tcW w:w="1135" w:type="dxa"/>
          </w:tcPr>
          <w:p>
            <w:pPr>
              <w:pStyle w:val="TableParagraph"/>
              <w:spacing w:before="6"/>
              <w:ind w:left="108"/>
              <w:rPr>
                <w:rFonts w:ascii="Courier New"/>
                <w:sz w:val="28"/>
              </w:rPr>
            </w:pPr>
            <w:r>
              <w:rPr>
                <w:rFonts w:ascii="Courier New"/>
                <w:sz w:val="28"/>
              </w:rPr>
              <w:t>387</w:t>
            </w:r>
          </w:p>
        </w:tc>
        <w:tc>
          <w:tcPr>
            <w:tcW w:w="2127" w:type="dxa"/>
          </w:tcPr>
          <w:p>
            <w:pPr>
              <w:pStyle w:val="TableParagraph"/>
              <w:rPr>
                <w:rFonts w:ascii="Times New Roman"/>
                <w:sz w:val="28"/>
              </w:rPr>
            </w:pPr>
          </w:p>
        </w:tc>
        <w:tc>
          <w:tcPr>
            <w:tcW w:w="2268" w:type="dxa"/>
          </w:tcPr>
          <w:p>
            <w:pPr>
              <w:pStyle w:val="TableParagraph"/>
              <w:rPr>
                <w:rFonts w:ascii="Times New Roman"/>
                <w:sz w:val="28"/>
              </w:rPr>
            </w:pPr>
          </w:p>
        </w:tc>
        <w:tc>
          <w:tcPr>
            <w:tcW w:w="2256" w:type="dxa"/>
          </w:tcPr>
          <w:p>
            <w:pPr>
              <w:pStyle w:val="TableParagraph"/>
              <w:rPr>
                <w:rFonts w:ascii="Times New Roman"/>
                <w:sz w:val="28"/>
              </w:rPr>
            </w:pPr>
          </w:p>
        </w:tc>
        <w:tc>
          <w:tcPr>
            <w:tcW w:w="2650" w:type="dxa"/>
          </w:tcPr>
          <w:p>
            <w:pPr>
              <w:pStyle w:val="TableParagraph"/>
              <w:rPr>
                <w:rFonts w:ascii="Times New Roman"/>
                <w:sz w:val="28"/>
              </w:rPr>
            </w:pPr>
          </w:p>
        </w:tc>
        <w:tc>
          <w:tcPr>
            <w:tcW w:w="2367" w:type="dxa"/>
          </w:tcPr>
          <w:p>
            <w:pPr>
              <w:pStyle w:val="TableParagraph"/>
              <w:rPr>
                <w:rFonts w:ascii="Times New Roman"/>
                <w:sz w:val="28"/>
              </w:rPr>
            </w:pPr>
          </w:p>
        </w:tc>
        <w:tc>
          <w:tcPr>
            <w:tcW w:w="2073" w:type="dxa"/>
          </w:tcPr>
          <w:p>
            <w:pPr>
              <w:pStyle w:val="TableParagraph"/>
              <w:rPr>
                <w:rFonts w:ascii="Times New Roman"/>
                <w:sz w:val="28"/>
              </w:rPr>
            </w:pPr>
          </w:p>
        </w:tc>
      </w:tr>
    </w:tbl>
    <w:p>
      <w:pPr>
        <w:rPr>
          <w:sz w:val="2"/>
          <w:szCs w:val="2"/>
        </w:rPr>
      </w:pPr>
      <w:r>
        <w:rPr/>
        <w:pict>
          <v:line style="position:absolute;mso-position-horizontal-relative:page;mso-position-vertical-relative:page;z-index:-1268512" from="328.609985pt,242.090012pt" to="434.109985pt,242.090012pt" stroked="true" strokeweight=".72pt" strokecolor="#000000">
            <v:stroke dashstyle="solid"/>
            <w10:wrap type="none"/>
          </v:line>
        </w:pict>
      </w:r>
    </w:p>
    <w:p>
      <w:pPr>
        <w:spacing w:after="0"/>
        <w:rPr>
          <w:sz w:val="2"/>
          <w:szCs w:val="2"/>
        </w:rPr>
        <w:sectPr>
          <w:pgSz w:w="18630" w:h="11910" w:orient="landscape"/>
          <w:pgMar w:header="0" w:footer="404" w:top="840" w:bottom="600" w:left="740" w:right="8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76"/>
        <w:gridCol w:w="1135"/>
        <w:gridCol w:w="2127"/>
        <w:gridCol w:w="2268"/>
        <w:gridCol w:w="2256"/>
        <w:gridCol w:w="2650"/>
        <w:gridCol w:w="2367"/>
        <w:gridCol w:w="2112"/>
      </w:tblGrid>
      <w:tr>
        <w:trPr>
          <w:trHeight w:val="1128" w:hRule="atLeast"/>
        </w:trPr>
        <w:tc>
          <w:tcPr>
            <w:tcW w:w="2376" w:type="dxa"/>
            <w:shd w:val="clear" w:color="auto" w:fill="00AFEF"/>
          </w:tcPr>
          <w:p>
            <w:pPr>
              <w:pStyle w:val="TableParagraph"/>
              <w:spacing w:line="317" w:lineRule="exact"/>
              <w:ind w:left="107"/>
              <w:rPr>
                <w:rFonts w:ascii="Courier New"/>
                <w:b/>
                <w:sz w:val="28"/>
              </w:rPr>
            </w:pPr>
            <w:r>
              <w:rPr>
                <w:rFonts w:ascii="Courier New"/>
                <w:b/>
                <w:sz w:val="28"/>
              </w:rPr>
              <w:t>DMAE</w:t>
            </w:r>
          </w:p>
        </w:tc>
        <w:tc>
          <w:tcPr>
            <w:tcW w:w="1135" w:type="dxa"/>
          </w:tcPr>
          <w:p>
            <w:pPr>
              <w:pStyle w:val="TableParagraph"/>
              <w:rPr>
                <w:rFonts w:ascii="Times New Roman"/>
                <w:sz w:val="26"/>
              </w:rPr>
            </w:pPr>
          </w:p>
        </w:tc>
        <w:tc>
          <w:tcPr>
            <w:tcW w:w="2127" w:type="dxa"/>
          </w:tcPr>
          <w:p>
            <w:pPr>
              <w:pStyle w:val="TableParagraph"/>
              <w:rPr>
                <w:rFonts w:ascii="Times New Roman"/>
                <w:sz w:val="26"/>
              </w:rPr>
            </w:pPr>
          </w:p>
        </w:tc>
        <w:tc>
          <w:tcPr>
            <w:tcW w:w="2268" w:type="dxa"/>
          </w:tcPr>
          <w:p>
            <w:pPr>
              <w:pStyle w:val="TableParagraph"/>
              <w:rPr>
                <w:rFonts w:ascii="Times New Roman"/>
                <w:sz w:val="26"/>
              </w:rPr>
            </w:pPr>
          </w:p>
        </w:tc>
        <w:tc>
          <w:tcPr>
            <w:tcW w:w="2256" w:type="dxa"/>
          </w:tcPr>
          <w:p>
            <w:pPr>
              <w:pStyle w:val="TableParagraph"/>
              <w:rPr>
                <w:rFonts w:ascii="Times New Roman"/>
                <w:sz w:val="26"/>
              </w:rPr>
            </w:pPr>
          </w:p>
        </w:tc>
        <w:tc>
          <w:tcPr>
            <w:tcW w:w="2650" w:type="dxa"/>
          </w:tcPr>
          <w:p>
            <w:pPr>
              <w:pStyle w:val="TableParagraph"/>
              <w:rPr>
                <w:rFonts w:ascii="Times New Roman"/>
                <w:sz w:val="26"/>
              </w:rPr>
            </w:pPr>
          </w:p>
        </w:tc>
        <w:tc>
          <w:tcPr>
            <w:tcW w:w="2367" w:type="dxa"/>
          </w:tcPr>
          <w:p>
            <w:pPr>
              <w:pStyle w:val="TableParagraph"/>
              <w:rPr>
                <w:rFonts w:ascii="Times New Roman"/>
                <w:sz w:val="26"/>
              </w:rPr>
            </w:pPr>
          </w:p>
        </w:tc>
        <w:tc>
          <w:tcPr>
            <w:tcW w:w="2112" w:type="dxa"/>
          </w:tcPr>
          <w:p>
            <w:pPr>
              <w:pStyle w:val="TableParagraph"/>
              <w:rPr>
                <w:rFonts w:ascii="Times New Roman"/>
                <w:sz w:val="26"/>
              </w:rPr>
            </w:pPr>
          </w:p>
        </w:tc>
      </w:tr>
      <w:tr>
        <w:trPr>
          <w:trHeight w:val="1696" w:hRule="atLeast"/>
        </w:trPr>
        <w:tc>
          <w:tcPr>
            <w:tcW w:w="2376" w:type="dxa"/>
            <w:shd w:val="clear" w:color="auto" w:fill="00AFEF"/>
          </w:tcPr>
          <w:p>
            <w:pPr>
              <w:pStyle w:val="TableParagraph"/>
              <w:rPr>
                <w:rFonts w:ascii="Courier New"/>
                <w:sz w:val="32"/>
              </w:rPr>
            </w:pPr>
          </w:p>
          <w:p>
            <w:pPr>
              <w:pStyle w:val="TableParagraph"/>
              <w:spacing w:before="203"/>
              <w:ind w:left="107"/>
              <w:rPr>
                <w:rFonts w:ascii="Courier New"/>
                <w:b/>
                <w:sz w:val="28"/>
              </w:rPr>
            </w:pPr>
            <w:r>
              <w:rPr>
                <w:rFonts w:ascii="Courier New"/>
                <w:b/>
                <w:sz w:val="28"/>
              </w:rPr>
              <w:t>Bromelain</w:t>
            </w:r>
          </w:p>
        </w:tc>
        <w:tc>
          <w:tcPr>
            <w:tcW w:w="1135" w:type="dxa"/>
          </w:tcPr>
          <w:p>
            <w:pPr>
              <w:pStyle w:val="TableParagraph"/>
              <w:spacing w:before="9"/>
              <w:ind w:left="108"/>
              <w:rPr>
                <w:rFonts w:ascii="Courier New"/>
                <w:sz w:val="28"/>
              </w:rPr>
            </w:pPr>
            <w:r>
              <w:rPr>
                <w:rFonts w:ascii="Courier New"/>
                <w:sz w:val="28"/>
              </w:rPr>
              <w:t>113</w:t>
            </w:r>
          </w:p>
        </w:tc>
        <w:tc>
          <w:tcPr>
            <w:tcW w:w="2127" w:type="dxa"/>
          </w:tcPr>
          <w:p>
            <w:pPr>
              <w:pStyle w:val="TableParagraph"/>
              <w:spacing w:before="9"/>
              <w:ind w:left="105"/>
              <w:rPr>
                <w:rFonts w:ascii="Courier New"/>
                <w:sz w:val="28"/>
              </w:rPr>
            </w:pPr>
            <w:r>
              <w:rPr>
                <w:rFonts w:ascii="Courier New"/>
                <w:w w:val="100"/>
                <w:sz w:val="28"/>
              </w:rPr>
              <w:t>X</w:t>
            </w:r>
          </w:p>
        </w:tc>
        <w:tc>
          <w:tcPr>
            <w:tcW w:w="2268" w:type="dxa"/>
          </w:tcPr>
          <w:p>
            <w:pPr>
              <w:pStyle w:val="TableParagraph"/>
              <w:rPr>
                <w:rFonts w:ascii="Times New Roman"/>
                <w:sz w:val="26"/>
              </w:rPr>
            </w:pPr>
          </w:p>
        </w:tc>
        <w:tc>
          <w:tcPr>
            <w:tcW w:w="2256" w:type="dxa"/>
          </w:tcPr>
          <w:p>
            <w:pPr>
              <w:pStyle w:val="TableParagraph"/>
              <w:rPr>
                <w:rFonts w:ascii="Times New Roman"/>
                <w:sz w:val="26"/>
              </w:rPr>
            </w:pPr>
          </w:p>
        </w:tc>
        <w:tc>
          <w:tcPr>
            <w:tcW w:w="2650" w:type="dxa"/>
          </w:tcPr>
          <w:p>
            <w:pPr>
              <w:pStyle w:val="TableParagraph"/>
              <w:rPr>
                <w:rFonts w:ascii="Times New Roman"/>
                <w:sz w:val="26"/>
              </w:rPr>
            </w:pPr>
          </w:p>
        </w:tc>
        <w:tc>
          <w:tcPr>
            <w:tcW w:w="2367" w:type="dxa"/>
          </w:tcPr>
          <w:p>
            <w:pPr>
              <w:pStyle w:val="TableParagraph"/>
              <w:spacing w:before="9"/>
              <w:ind w:left="109"/>
              <w:rPr>
                <w:rFonts w:ascii="Courier New"/>
                <w:sz w:val="28"/>
              </w:rPr>
            </w:pPr>
            <w:r>
              <w:rPr>
                <w:rFonts w:ascii="Courier New"/>
                <w:w w:val="100"/>
                <w:sz w:val="28"/>
              </w:rPr>
              <w:t>X</w:t>
            </w:r>
          </w:p>
        </w:tc>
        <w:tc>
          <w:tcPr>
            <w:tcW w:w="2112" w:type="dxa"/>
          </w:tcPr>
          <w:p>
            <w:pPr>
              <w:pStyle w:val="TableParagraph"/>
              <w:rPr>
                <w:rFonts w:ascii="Times New Roman"/>
                <w:sz w:val="26"/>
              </w:rPr>
            </w:pPr>
          </w:p>
        </w:tc>
      </w:tr>
      <w:tr>
        <w:trPr>
          <w:trHeight w:val="1694" w:hRule="atLeast"/>
        </w:trPr>
        <w:tc>
          <w:tcPr>
            <w:tcW w:w="2376" w:type="dxa"/>
            <w:shd w:val="clear" w:color="auto" w:fill="00AFEF"/>
          </w:tcPr>
          <w:p>
            <w:pPr>
              <w:pStyle w:val="TableParagraph"/>
              <w:rPr>
                <w:rFonts w:ascii="Courier New"/>
                <w:sz w:val="32"/>
              </w:rPr>
            </w:pPr>
          </w:p>
          <w:p>
            <w:pPr>
              <w:pStyle w:val="TableParagraph"/>
              <w:spacing w:before="201"/>
              <w:ind w:left="107"/>
              <w:rPr>
                <w:rFonts w:ascii="Courier New"/>
                <w:b/>
                <w:sz w:val="28"/>
              </w:rPr>
            </w:pPr>
            <w:r>
              <w:rPr>
                <w:rFonts w:ascii="Courier New"/>
                <w:b/>
                <w:sz w:val="28"/>
              </w:rPr>
              <w:t>Melatonin</w:t>
            </w:r>
          </w:p>
        </w:tc>
        <w:tc>
          <w:tcPr>
            <w:tcW w:w="1135" w:type="dxa"/>
          </w:tcPr>
          <w:p>
            <w:pPr>
              <w:pStyle w:val="TableParagraph"/>
              <w:spacing w:before="7"/>
              <w:ind w:left="108"/>
              <w:rPr>
                <w:rFonts w:ascii="Courier New"/>
                <w:sz w:val="28"/>
              </w:rPr>
            </w:pPr>
            <w:r>
              <w:rPr>
                <w:rFonts w:ascii="Courier New"/>
                <w:sz w:val="28"/>
              </w:rPr>
              <w:t>954</w:t>
            </w:r>
          </w:p>
        </w:tc>
        <w:tc>
          <w:tcPr>
            <w:tcW w:w="2127" w:type="dxa"/>
          </w:tcPr>
          <w:p>
            <w:pPr>
              <w:pStyle w:val="TableParagraph"/>
              <w:rPr>
                <w:rFonts w:ascii="Times New Roman"/>
                <w:sz w:val="26"/>
              </w:rPr>
            </w:pPr>
          </w:p>
        </w:tc>
        <w:tc>
          <w:tcPr>
            <w:tcW w:w="2268" w:type="dxa"/>
          </w:tcPr>
          <w:p>
            <w:pPr>
              <w:pStyle w:val="TableParagraph"/>
              <w:rPr>
                <w:rFonts w:ascii="Times New Roman"/>
                <w:sz w:val="26"/>
              </w:rPr>
            </w:pPr>
          </w:p>
        </w:tc>
        <w:tc>
          <w:tcPr>
            <w:tcW w:w="2256" w:type="dxa"/>
          </w:tcPr>
          <w:p>
            <w:pPr>
              <w:pStyle w:val="TableParagraph"/>
              <w:rPr>
                <w:rFonts w:ascii="Times New Roman"/>
                <w:sz w:val="26"/>
              </w:rPr>
            </w:pPr>
          </w:p>
        </w:tc>
        <w:tc>
          <w:tcPr>
            <w:tcW w:w="2650" w:type="dxa"/>
          </w:tcPr>
          <w:p>
            <w:pPr>
              <w:pStyle w:val="TableParagraph"/>
              <w:spacing w:before="7"/>
              <w:ind w:left="106"/>
              <w:rPr>
                <w:rFonts w:ascii="Courier New"/>
                <w:sz w:val="28"/>
              </w:rPr>
            </w:pPr>
            <w:r>
              <w:rPr>
                <w:rFonts w:ascii="Courier New"/>
                <w:w w:val="100"/>
                <w:sz w:val="28"/>
              </w:rPr>
              <w:t>X</w:t>
            </w:r>
          </w:p>
        </w:tc>
        <w:tc>
          <w:tcPr>
            <w:tcW w:w="2367" w:type="dxa"/>
          </w:tcPr>
          <w:p>
            <w:pPr>
              <w:pStyle w:val="TableParagraph"/>
              <w:rPr>
                <w:rFonts w:ascii="Times New Roman"/>
                <w:sz w:val="26"/>
              </w:rPr>
            </w:pPr>
          </w:p>
        </w:tc>
        <w:tc>
          <w:tcPr>
            <w:tcW w:w="2112" w:type="dxa"/>
          </w:tcPr>
          <w:p>
            <w:pPr>
              <w:pStyle w:val="TableParagraph"/>
              <w:rPr>
                <w:rFonts w:ascii="Times New Roman"/>
                <w:sz w:val="26"/>
              </w:rPr>
            </w:pPr>
          </w:p>
        </w:tc>
      </w:tr>
      <w:tr>
        <w:trPr>
          <w:trHeight w:val="933" w:hRule="atLeast"/>
        </w:trPr>
        <w:tc>
          <w:tcPr>
            <w:tcW w:w="2376" w:type="dxa"/>
            <w:shd w:val="clear" w:color="auto" w:fill="00AFEF"/>
          </w:tcPr>
          <w:p>
            <w:pPr>
              <w:pStyle w:val="TableParagraph"/>
              <w:spacing w:line="278" w:lineRule="auto"/>
              <w:ind w:left="107" w:right="390"/>
              <w:rPr>
                <w:rFonts w:ascii="Courier New"/>
                <w:b/>
                <w:sz w:val="28"/>
              </w:rPr>
            </w:pPr>
            <w:r>
              <w:rPr>
                <w:rFonts w:ascii="Courier New"/>
                <w:b/>
                <w:sz w:val="28"/>
              </w:rPr>
              <w:t>Omega-3 fatty acids</w:t>
            </w:r>
          </w:p>
        </w:tc>
        <w:tc>
          <w:tcPr>
            <w:tcW w:w="1135" w:type="dxa"/>
          </w:tcPr>
          <w:p>
            <w:pPr>
              <w:pStyle w:val="TableParagraph"/>
              <w:spacing w:before="6"/>
              <w:ind w:left="108"/>
              <w:rPr>
                <w:rFonts w:ascii="Courier New"/>
                <w:sz w:val="28"/>
              </w:rPr>
            </w:pPr>
            <w:r>
              <w:rPr>
                <w:rFonts w:ascii="Courier New"/>
                <w:sz w:val="28"/>
              </w:rPr>
              <w:t>1036</w:t>
            </w:r>
          </w:p>
        </w:tc>
        <w:tc>
          <w:tcPr>
            <w:tcW w:w="2127" w:type="dxa"/>
          </w:tcPr>
          <w:p>
            <w:pPr>
              <w:pStyle w:val="TableParagraph"/>
              <w:spacing w:before="6"/>
              <w:ind w:left="105"/>
              <w:rPr>
                <w:rFonts w:ascii="Courier New"/>
                <w:sz w:val="28"/>
              </w:rPr>
            </w:pPr>
            <w:r>
              <w:rPr>
                <w:rFonts w:ascii="Courier New"/>
                <w:w w:val="100"/>
                <w:sz w:val="28"/>
              </w:rPr>
              <w:t>x</w:t>
            </w:r>
          </w:p>
        </w:tc>
        <w:tc>
          <w:tcPr>
            <w:tcW w:w="2268" w:type="dxa"/>
          </w:tcPr>
          <w:p>
            <w:pPr>
              <w:pStyle w:val="TableParagraph"/>
              <w:rPr>
                <w:rFonts w:ascii="Times New Roman"/>
                <w:sz w:val="26"/>
              </w:rPr>
            </w:pPr>
          </w:p>
        </w:tc>
        <w:tc>
          <w:tcPr>
            <w:tcW w:w="2256" w:type="dxa"/>
          </w:tcPr>
          <w:p>
            <w:pPr>
              <w:pStyle w:val="TableParagraph"/>
              <w:rPr>
                <w:rFonts w:ascii="Times New Roman"/>
                <w:sz w:val="26"/>
              </w:rPr>
            </w:pPr>
          </w:p>
        </w:tc>
        <w:tc>
          <w:tcPr>
            <w:tcW w:w="2650" w:type="dxa"/>
          </w:tcPr>
          <w:p>
            <w:pPr>
              <w:pStyle w:val="TableParagraph"/>
              <w:rPr>
                <w:rFonts w:ascii="Times New Roman"/>
                <w:sz w:val="26"/>
              </w:rPr>
            </w:pPr>
          </w:p>
        </w:tc>
        <w:tc>
          <w:tcPr>
            <w:tcW w:w="2367" w:type="dxa"/>
          </w:tcPr>
          <w:p>
            <w:pPr>
              <w:pStyle w:val="TableParagraph"/>
              <w:rPr>
                <w:rFonts w:ascii="Times New Roman"/>
                <w:sz w:val="26"/>
              </w:rPr>
            </w:pPr>
          </w:p>
        </w:tc>
        <w:tc>
          <w:tcPr>
            <w:tcW w:w="2112" w:type="dxa"/>
          </w:tcPr>
          <w:p>
            <w:pPr>
              <w:pStyle w:val="TableParagraph"/>
              <w:rPr>
                <w:rFonts w:ascii="Times New Roman"/>
                <w:sz w:val="26"/>
              </w:rPr>
            </w:pPr>
          </w:p>
        </w:tc>
      </w:tr>
      <w:tr>
        <w:trPr>
          <w:trHeight w:val="624" w:hRule="atLeast"/>
        </w:trPr>
        <w:tc>
          <w:tcPr>
            <w:tcW w:w="2376" w:type="dxa"/>
            <w:shd w:val="clear" w:color="auto" w:fill="00AFEF"/>
          </w:tcPr>
          <w:p>
            <w:pPr>
              <w:pStyle w:val="TableParagraph"/>
              <w:spacing w:before="2"/>
              <w:ind w:left="107"/>
              <w:rPr>
                <w:rFonts w:ascii="Courier New"/>
                <w:b/>
                <w:sz w:val="28"/>
              </w:rPr>
            </w:pPr>
            <w:r>
              <w:rPr>
                <w:rFonts w:ascii="Courier New"/>
                <w:b/>
                <w:sz w:val="28"/>
              </w:rPr>
              <w:t>Coenzyme Q10</w:t>
            </w:r>
          </w:p>
        </w:tc>
        <w:tc>
          <w:tcPr>
            <w:tcW w:w="1135" w:type="dxa"/>
          </w:tcPr>
          <w:p>
            <w:pPr>
              <w:pStyle w:val="TableParagraph"/>
              <w:spacing w:before="9"/>
              <w:ind w:left="108"/>
              <w:rPr>
                <w:rFonts w:ascii="Courier New"/>
                <w:sz w:val="28"/>
              </w:rPr>
            </w:pPr>
            <w:r>
              <w:rPr>
                <w:rFonts w:ascii="Courier New"/>
                <w:sz w:val="28"/>
              </w:rPr>
              <w:t>1393</w:t>
            </w:r>
          </w:p>
        </w:tc>
        <w:tc>
          <w:tcPr>
            <w:tcW w:w="2127" w:type="dxa"/>
          </w:tcPr>
          <w:p>
            <w:pPr>
              <w:pStyle w:val="TableParagraph"/>
              <w:rPr>
                <w:rFonts w:ascii="Times New Roman"/>
                <w:sz w:val="26"/>
              </w:rPr>
            </w:pPr>
          </w:p>
        </w:tc>
        <w:tc>
          <w:tcPr>
            <w:tcW w:w="2268" w:type="dxa"/>
          </w:tcPr>
          <w:p>
            <w:pPr>
              <w:pStyle w:val="TableParagraph"/>
              <w:rPr>
                <w:rFonts w:ascii="Times New Roman"/>
                <w:sz w:val="26"/>
              </w:rPr>
            </w:pPr>
          </w:p>
        </w:tc>
        <w:tc>
          <w:tcPr>
            <w:tcW w:w="2256" w:type="dxa"/>
          </w:tcPr>
          <w:p>
            <w:pPr>
              <w:pStyle w:val="TableParagraph"/>
              <w:rPr>
                <w:rFonts w:ascii="Times New Roman"/>
                <w:sz w:val="26"/>
              </w:rPr>
            </w:pPr>
          </w:p>
        </w:tc>
        <w:tc>
          <w:tcPr>
            <w:tcW w:w="2650" w:type="dxa"/>
          </w:tcPr>
          <w:p>
            <w:pPr>
              <w:pStyle w:val="TableParagraph"/>
              <w:spacing w:before="9"/>
              <w:ind w:left="106"/>
              <w:rPr>
                <w:rFonts w:ascii="Courier New"/>
                <w:sz w:val="28"/>
              </w:rPr>
            </w:pPr>
            <w:r>
              <w:rPr>
                <w:rFonts w:ascii="Courier New"/>
                <w:w w:val="100"/>
                <w:sz w:val="28"/>
              </w:rPr>
              <w:t>X</w:t>
            </w:r>
          </w:p>
        </w:tc>
        <w:tc>
          <w:tcPr>
            <w:tcW w:w="2367" w:type="dxa"/>
          </w:tcPr>
          <w:p>
            <w:pPr>
              <w:pStyle w:val="TableParagraph"/>
              <w:rPr>
                <w:rFonts w:ascii="Times New Roman"/>
                <w:sz w:val="26"/>
              </w:rPr>
            </w:pPr>
          </w:p>
        </w:tc>
        <w:tc>
          <w:tcPr>
            <w:tcW w:w="2112" w:type="dxa"/>
          </w:tcPr>
          <w:p>
            <w:pPr>
              <w:pStyle w:val="TableParagraph"/>
              <w:rPr>
                <w:rFonts w:ascii="Times New Roman"/>
                <w:sz w:val="26"/>
              </w:rPr>
            </w:pPr>
          </w:p>
        </w:tc>
      </w:tr>
      <w:tr>
        <w:trPr>
          <w:trHeight w:val="565" w:hRule="atLeast"/>
        </w:trPr>
        <w:tc>
          <w:tcPr>
            <w:tcW w:w="2376" w:type="dxa"/>
            <w:shd w:val="clear" w:color="auto" w:fill="00AFEF"/>
          </w:tcPr>
          <w:p>
            <w:pPr>
              <w:pStyle w:val="TableParagraph"/>
              <w:spacing w:line="317" w:lineRule="exact"/>
              <w:ind w:left="107"/>
              <w:rPr>
                <w:rFonts w:ascii="Courier New"/>
                <w:b/>
                <w:sz w:val="28"/>
              </w:rPr>
            </w:pPr>
            <w:r>
              <w:rPr>
                <w:rFonts w:ascii="Courier New"/>
                <w:b/>
                <w:sz w:val="28"/>
              </w:rPr>
              <w:t>Vitamin C</w:t>
            </w:r>
          </w:p>
        </w:tc>
        <w:tc>
          <w:tcPr>
            <w:tcW w:w="1135" w:type="dxa"/>
          </w:tcPr>
          <w:p>
            <w:pPr>
              <w:pStyle w:val="TableParagraph"/>
              <w:spacing w:before="6"/>
              <w:ind w:left="108"/>
              <w:rPr>
                <w:rFonts w:ascii="Courier New"/>
                <w:sz w:val="28"/>
              </w:rPr>
            </w:pPr>
            <w:r>
              <w:rPr>
                <w:rFonts w:ascii="Courier New"/>
                <w:sz w:val="28"/>
              </w:rPr>
              <w:t>1720</w:t>
            </w:r>
          </w:p>
        </w:tc>
        <w:tc>
          <w:tcPr>
            <w:tcW w:w="2127" w:type="dxa"/>
          </w:tcPr>
          <w:p>
            <w:pPr>
              <w:pStyle w:val="TableParagraph"/>
              <w:rPr>
                <w:rFonts w:ascii="Times New Roman"/>
                <w:sz w:val="26"/>
              </w:rPr>
            </w:pPr>
          </w:p>
        </w:tc>
        <w:tc>
          <w:tcPr>
            <w:tcW w:w="2268" w:type="dxa"/>
          </w:tcPr>
          <w:p>
            <w:pPr>
              <w:pStyle w:val="TableParagraph"/>
              <w:rPr>
                <w:rFonts w:ascii="Times New Roman"/>
                <w:sz w:val="26"/>
              </w:rPr>
            </w:pPr>
          </w:p>
        </w:tc>
        <w:tc>
          <w:tcPr>
            <w:tcW w:w="2256" w:type="dxa"/>
          </w:tcPr>
          <w:p>
            <w:pPr>
              <w:pStyle w:val="TableParagraph"/>
              <w:rPr>
                <w:rFonts w:ascii="Times New Roman"/>
                <w:sz w:val="26"/>
              </w:rPr>
            </w:pPr>
          </w:p>
        </w:tc>
        <w:tc>
          <w:tcPr>
            <w:tcW w:w="2650" w:type="dxa"/>
          </w:tcPr>
          <w:p>
            <w:pPr>
              <w:pStyle w:val="TableParagraph"/>
              <w:spacing w:before="6"/>
              <w:ind w:left="106"/>
              <w:rPr>
                <w:rFonts w:ascii="Courier New"/>
                <w:sz w:val="28"/>
              </w:rPr>
            </w:pPr>
            <w:r>
              <w:rPr>
                <w:rFonts w:ascii="Courier New"/>
                <w:w w:val="100"/>
                <w:sz w:val="28"/>
              </w:rPr>
              <w:t>X</w:t>
            </w:r>
          </w:p>
        </w:tc>
        <w:tc>
          <w:tcPr>
            <w:tcW w:w="2367" w:type="dxa"/>
          </w:tcPr>
          <w:p>
            <w:pPr>
              <w:pStyle w:val="TableParagraph"/>
              <w:rPr>
                <w:rFonts w:ascii="Times New Roman"/>
                <w:sz w:val="26"/>
              </w:rPr>
            </w:pPr>
          </w:p>
        </w:tc>
        <w:tc>
          <w:tcPr>
            <w:tcW w:w="2112" w:type="dxa"/>
          </w:tcPr>
          <w:p>
            <w:pPr>
              <w:pStyle w:val="TableParagraph"/>
              <w:rPr>
                <w:rFonts w:ascii="Times New Roman"/>
                <w:sz w:val="26"/>
              </w:rPr>
            </w:pPr>
          </w:p>
        </w:tc>
      </w:tr>
      <w:tr>
        <w:trPr>
          <w:trHeight w:val="563" w:hRule="atLeast"/>
        </w:trPr>
        <w:tc>
          <w:tcPr>
            <w:tcW w:w="2376" w:type="dxa"/>
            <w:shd w:val="clear" w:color="auto" w:fill="00AFEF"/>
          </w:tcPr>
          <w:p>
            <w:pPr>
              <w:pStyle w:val="TableParagraph"/>
              <w:spacing w:line="317" w:lineRule="exact"/>
              <w:ind w:left="107"/>
              <w:rPr>
                <w:rFonts w:ascii="Courier New"/>
                <w:b/>
                <w:sz w:val="28"/>
              </w:rPr>
            </w:pPr>
            <w:r>
              <w:rPr>
                <w:rFonts w:ascii="Courier New"/>
                <w:b/>
                <w:sz w:val="28"/>
              </w:rPr>
              <w:t>OPC</w:t>
            </w:r>
          </w:p>
        </w:tc>
        <w:tc>
          <w:tcPr>
            <w:tcW w:w="1135" w:type="dxa"/>
          </w:tcPr>
          <w:p>
            <w:pPr>
              <w:pStyle w:val="TableParagraph"/>
              <w:spacing w:before="6"/>
              <w:ind w:left="108"/>
              <w:rPr>
                <w:rFonts w:ascii="Courier New"/>
                <w:sz w:val="28"/>
              </w:rPr>
            </w:pPr>
            <w:r>
              <w:rPr>
                <w:rFonts w:ascii="Courier New"/>
                <w:sz w:val="28"/>
              </w:rPr>
              <w:t>1094</w:t>
            </w:r>
          </w:p>
        </w:tc>
        <w:tc>
          <w:tcPr>
            <w:tcW w:w="2127" w:type="dxa"/>
          </w:tcPr>
          <w:p>
            <w:pPr>
              <w:pStyle w:val="TableParagraph"/>
              <w:rPr>
                <w:rFonts w:ascii="Times New Roman"/>
                <w:sz w:val="26"/>
              </w:rPr>
            </w:pPr>
          </w:p>
        </w:tc>
        <w:tc>
          <w:tcPr>
            <w:tcW w:w="2268" w:type="dxa"/>
          </w:tcPr>
          <w:p>
            <w:pPr>
              <w:pStyle w:val="TableParagraph"/>
              <w:rPr>
                <w:rFonts w:ascii="Times New Roman"/>
                <w:sz w:val="26"/>
              </w:rPr>
            </w:pPr>
          </w:p>
        </w:tc>
        <w:tc>
          <w:tcPr>
            <w:tcW w:w="2256" w:type="dxa"/>
          </w:tcPr>
          <w:p>
            <w:pPr>
              <w:pStyle w:val="TableParagraph"/>
              <w:rPr>
                <w:rFonts w:ascii="Times New Roman"/>
                <w:sz w:val="26"/>
              </w:rPr>
            </w:pPr>
          </w:p>
        </w:tc>
        <w:tc>
          <w:tcPr>
            <w:tcW w:w="2650" w:type="dxa"/>
          </w:tcPr>
          <w:p>
            <w:pPr>
              <w:pStyle w:val="TableParagraph"/>
              <w:spacing w:before="6"/>
              <w:ind w:left="106"/>
              <w:rPr>
                <w:rFonts w:ascii="Courier New"/>
                <w:sz w:val="28"/>
              </w:rPr>
            </w:pPr>
            <w:r>
              <w:rPr>
                <w:rFonts w:ascii="Courier New"/>
                <w:w w:val="100"/>
                <w:sz w:val="28"/>
              </w:rPr>
              <w:t>X</w:t>
            </w:r>
          </w:p>
        </w:tc>
        <w:tc>
          <w:tcPr>
            <w:tcW w:w="2367" w:type="dxa"/>
          </w:tcPr>
          <w:p>
            <w:pPr>
              <w:pStyle w:val="TableParagraph"/>
              <w:rPr>
                <w:rFonts w:ascii="Times New Roman"/>
                <w:sz w:val="26"/>
              </w:rPr>
            </w:pPr>
          </w:p>
        </w:tc>
        <w:tc>
          <w:tcPr>
            <w:tcW w:w="2112" w:type="dxa"/>
          </w:tcPr>
          <w:p>
            <w:pPr>
              <w:pStyle w:val="TableParagraph"/>
              <w:rPr>
                <w:rFonts w:ascii="Times New Roman"/>
                <w:sz w:val="26"/>
              </w:rPr>
            </w:pPr>
          </w:p>
        </w:tc>
      </w:tr>
      <w:tr>
        <w:trPr>
          <w:trHeight w:val="645" w:hRule="atLeast"/>
        </w:trPr>
        <w:tc>
          <w:tcPr>
            <w:tcW w:w="2376" w:type="dxa"/>
            <w:shd w:val="clear" w:color="auto" w:fill="00AFEF"/>
          </w:tcPr>
          <w:p>
            <w:pPr>
              <w:pStyle w:val="TableParagraph"/>
              <w:spacing w:line="317" w:lineRule="exact"/>
              <w:ind w:left="107"/>
              <w:rPr>
                <w:rFonts w:ascii="Courier New"/>
                <w:b/>
                <w:sz w:val="28"/>
              </w:rPr>
            </w:pPr>
            <w:r>
              <w:rPr>
                <w:rFonts w:ascii="Courier New"/>
                <w:b/>
                <w:sz w:val="28"/>
              </w:rPr>
              <w:t>Rooibostea</w:t>
            </w:r>
          </w:p>
        </w:tc>
        <w:tc>
          <w:tcPr>
            <w:tcW w:w="1135" w:type="dxa"/>
          </w:tcPr>
          <w:p>
            <w:pPr>
              <w:pStyle w:val="TableParagraph"/>
              <w:spacing w:before="6"/>
              <w:ind w:left="108"/>
              <w:rPr>
                <w:rFonts w:ascii="Courier New"/>
                <w:sz w:val="28"/>
              </w:rPr>
            </w:pPr>
            <w:r>
              <w:rPr>
                <w:rFonts w:ascii="Courier New"/>
                <w:sz w:val="28"/>
              </w:rPr>
              <w:t>1370</w:t>
            </w:r>
          </w:p>
        </w:tc>
        <w:tc>
          <w:tcPr>
            <w:tcW w:w="2127" w:type="dxa"/>
          </w:tcPr>
          <w:p>
            <w:pPr>
              <w:pStyle w:val="TableParagraph"/>
              <w:spacing w:before="6"/>
              <w:ind w:left="105"/>
              <w:rPr>
                <w:rFonts w:ascii="Courier New"/>
                <w:sz w:val="28"/>
              </w:rPr>
            </w:pPr>
            <w:r>
              <w:rPr>
                <w:rFonts w:ascii="Courier New"/>
                <w:w w:val="100"/>
                <w:sz w:val="28"/>
              </w:rPr>
              <w:t>X</w:t>
            </w:r>
          </w:p>
        </w:tc>
        <w:tc>
          <w:tcPr>
            <w:tcW w:w="2268" w:type="dxa"/>
          </w:tcPr>
          <w:p>
            <w:pPr>
              <w:pStyle w:val="TableParagraph"/>
              <w:rPr>
                <w:rFonts w:ascii="Times New Roman"/>
                <w:sz w:val="26"/>
              </w:rPr>
            </w:pPr>
          </w:p>
        </w:tc>
        <w:tc>
          <w:tcPr>
            <w:tcW w:w="2256" w:type="dxa"/>
          </w:tcPr>
          <w:p>
            <w:pPr>
              <w:pStyle w:val="TableParagraph"/>
              <w:rPr>
                <w:rFonts w:ascii="Times New Roman"/>
                <w:sz w:val="26"/>
              </w:rPr>
            </w:pPr>
          </w:p>
        </w:tc>
        <w:tc>
          <w:tcPr>
            <w:tcW w:w="2650" w:type="dxa"/>
          </w:tcPr>
          <w:p>
            <w:pPr>
              <w:pStyle w:val="TableParagraph"/>
              <w:rPr>
                <w:rFonts w:ascii="Times New Roman"/>
                <w:sz w:val="26"/>
              </w:rPr>
            </w:pPr>
          </w:p>
        </w:tc>
        <w:tc>
          <w:tcPr>
            <w:tcW w:w="2367" w:type="dxa"/>
          </w:tcPr>
          <w:p>
            <w:pPr>
              <w:pStyle w:val="TableParagraph"/>
              <w:rPr>
                <w:rFonts w:ascii="Times New Roman"/>
                <w:sz w:val="26"/>
              </w:rPr>
            </w:pPr>
          </w:p>
        </w:tc>
        <w:tc>
          <w:tcPr>
            <w:tcW w:w="2112" w:type="dxa"/>
          </w:tcPr>
          <w:p>
            <w:pPr>
              <w:pStyle w:val="TableParagraph"/>
              <w:rPr>
                <w:rFonts w:ascii="Times New Roman"/>
                <w:sz w:val="26"/>
              </w:rPr>
            </w:pPr>
          </w:p>
        </w:tc>
      </w:tr>
      <w:tr>
        <w:trPr>
          <w:trHeight w:val="605" w:hRule="atLeast"/>
        </w:trPr>
        <w:tc>
          <w:tcPr>
            <w:tcW w:w="2376" w:type="dxa"/>
            <w:shd w:val="clear" w:color="auto" w:fill="00AFEF"/>
          </w:tcPr>
          <w:p>
            <w:pPr>
              <w:pStyle w:val="TableParagraph"/>
              <w:spacing w:line="317" w:lineRule="exact"/>
              <w:ind w:left="107"/>
              <w:rPr>
                <w:rFonts w:ascii="Courier New"/>
                <w:b/>
                <w:sz w:val="28"/>
              </w:rPr>
            </w:pPr>
            <w:r>
              <w:rPr>
                <w:rFonts w:ascii="Courier New"/>
                <w:b/>
                <w:sz w:val="28"/>
              </w:rPr>
              <w:t>Selenium</w:t>
            </w:r>
          </w:p>
        </w:tc>
        <w:tc>
          <w:tcPr>
            <w:tcW w:w="1135" w:type="dxa"/>
          </w:tcPr>
          <w:p>
            <w:pPr>
              <w:pStyle w:val="TableParagraph"/>
              <w:spacing w:before="6"/>
              <w:ind w:left="108"/>
              <w:rPr>
                <w:rFonts w:ascii="Courier New"/>
                <w:sz w:val="28"/>
              </w:rPr>
            </w:pPr>
            <w:r>
              <w:rPr>
                <w:rFonts w:ascii="Courier New"/>
                <w:sz w:val="28"/>
              </w:rPr>
              <w:t>1405</w:t>
            </w:r>
          </w:p>
        </w:tc>
        <w:tc>
          <w:tcPr>
            <w:tcW w:w="2127" w:type="dxa"/>
          </w:tcPr>
          <w:p>
            <w:pPr>
              <w:pStyle w:val="TableParagraph"/>
              <w:rPr>
                <w:rFonts w:ascii="Times New Roman"/>
                <w:sz w:val="26"/>
              </w:rPr>
            </w:pPr>
          </w:p>
        </w:tc>
        <w:tc>
          <w:tcPr>
            <w:tcW w:w="2268" w:type="dxa"/>
          </w:tcPr>
          <w:p>
            <w:pPr>
              <w:pStyle w:val="TableParagraph"/>
              <w:rPr>
                <w:rFonts w:ascii="Times New Roman"/>
                <w:sz w:val="26"/>
              </w:rPr>
            </w:pPr>
          </w:p>
        </w:tc>
        <w:tc>
          <w:tcPr>
            <w:tcW w:w="2256" w:type="dxa"/>
          </w:tcPr>
          <w:p>
            <w:pPr>
              <w:pStyle w:val="TableParagraph"/>
              <w:rPr>
                <w:rFonts w:ascii="Times New Roman"/>
                <w:sz w:val="26"/>
              </w:rPr>
            </w:pPr>
          </w:p>
        </w:tc>
        <w:tc>
          <w:tcPr>
            <w:tcW w:w="2650" w:type="dxa"/>
          </w:tcPr>
          <w:p>
            <w:pPr>
              <w:pStyle w:val="TableParagraph"/>
              <w:rPr>
                <w:rFonts w:ascii="Times New Roman"/>
                <w:sz w:val="26"/>
              </w:rPr>
            </w:pPr>
          </w:p>
        </w:tc>
        <w:tc>
          <w:tcPr>
            <w:tcW w:w="2367" w:type="dxa"/>
          </w:tcPr>
          <w:p>
            <w:pPr>
              <w:pStyle w:val="TableParagraph"/>
              <w:rPr>
                <w:rFonts w:ascii="Times New Roman"/>
                <w:sz w:val="26"/>
              </w:rPr>
            </w:pPr>
          </w:p>
        </w:tc>
        <w:tc>
          <w:tcPr>
            <w:tcW w:w="2112" w:type="dxa"/>
          </w:tcPr>
          <w:p>
            <w:pPr>
              <w:pStyle w:val="TableParagraph"/>
              <w:rPr>
                <w:rFonts w:ascii="Times New Roman"/>
                <w:sz w:val="26"/>
              </w:rPr>
            </w:pPr>
          </w:p>
        </w:tc>
      </w:tr>
    </w:tbl>
    <w:p>
      <w:pPr>
        <w:spacing w:after="0"/>
        <w:rPr>
          <w:rFonts w:ascii="Times New Roman"/>
          <w:sz w:val="26"/>
        </w:rPr>
        <w:sectPr>
          <w:pgSz w:w="18630" w:h="11910" w:orient="landscape"/>
          <w:pgMar w:header="0" w:footer="404" w:top="840" w:bottom="600" w:left="740" w:right="8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76"/>
        <w:gridCol w:w="1135"/>
        <w:gridCol w:w="2127"/>
        <w:gridCol w:w="2268"/>
        <w:gridCol w:w="2256"/>
        <w:gridCol w:w="2650"/>
        <w:gridCol w:w="2367"/>
        <w:gridCol w:w="2112"/>
      </w:tblGrid>
      <w:tr>
        <w:trPr>
          <w:trHeight w:val="928" w:hRule="atLeast"/>
        </w:trPr>
        <w:tc>
          <w:tcPr>
            <w:tcW w:w="2376" w:type="dxa"/>
            <w:shd w:val="clear" w:color="auto" w:fill="00AFEF"/>
          </w:tcPr>
          <w:p>
            <w:pPr>
              <w:pStyle w:val="TableParagraph"/>
              <w:spacing w:line="278" w:lineRule="auto"/>
              <w:ind w:left="107" w:right="726"/>
              <w:rPr>
                <w:rFonts w:ascii="Courier New"/>
                <w:b/>
                <w:sz w:val="28"/>
              </w:rPr>
            </w:pPr>
            <w:r>
              <w:rPr>
                <w:rFonts w:ascii="Courier New"/>
                <w:b/>
                <w:sz w:val="28"/>
              </w:rPr>
              <w:t>Acetyl-L- Carnitine</w:t>
            </w:r>
          </w:p>
        </w:tc>
        <w:tc>
          <w:tcPr>
            <w:tcW w:w="1135" w:type="dxa"/>
          </w:tcPr>
          <w:p>
            <w:pPr>
              <w:pStyle w:val="TableParagraph"/>
              <w:spacing w:before="6"/>
              <w:ind w:left="108"/>
              <w:rPr>
                <w:rFonts w:ascii="Courier New"/>
                <w:sz w:val="28"/>
              </w:rPr>
            </w:pPr>
            <w:r>
              <w:rPr>
                <w:rFonts w:ascii="Courier New"/>
                <w:sz w:val="28"/>
              </w:rPr>
              <w:t>866</w:t>
            </w:r>
          </w:p>
        </w:tc>
        <w:tc>
          <w:tcPr>
            <w:tcW w:w="2127" w:type="dxa"/>
          </w:tcPr>
          <w:p>
            <w:pPr>
              <w:pStyle w:val="TableParagraph"/>
              <w:spacing w:before="6"/>
              <w:ind w:left="105"/>
              <w:rPr>
                <w:rFonts w:ascii="Courier New"/>
                <w:sz w:val="28"/>
              </w:rPr>
            </w:pPr>
            <w:r>
              <w:rPr>
                <w:rFonts w:ascii="Courier New"/>
                <w:w w:val="100"/>
                <w:sz w:val="28"/>
              </w:rPr>
              <w:t>X</w:t>
            </w:r>
          </w:p>
        </w:tc>
        <w:tc>
          <w:tcPr>
            <w:tcW w:w="2268" w:type="dxa"/>
          </w:tcPr>
          <w:p>
            <w:pPr>
              <w:pStyle w:val="TableParagraph"/>
              <w:rPr>
                <w:rFonts w:ascii="Times New Roman"/>
                <w:sz w:val="28"/>
              </w:rPr>
            </w:pPr>
          </w:p>
        </w:tc>
        <w:tc>
          <w:tcPr>
            <w:tcW w:w="2256" w:type="dxa"/>
          </w:tcPr>
          <w:p>
            <w:pPr>
              <w:pStyle w:val="TableParagraph"/>
              <w:rPr>
                <w:rFonts w:ascii="Times New Roman"/>
                <w:sz w:val="28"/>
              </w:rPr>
            </w:pPr>
          </w:p>
        </w:tc>
        <w:tc>
          <w:tcPr>
            <w:tcW w:w="2650" w:type="dxa"/>
          </w:tcPr>
          <w:p>
            <w:pPr>
              <w:pStyle w:val="TableParagraph"/>
              <w:rPr>
                <w:rFonts w:ascii="Times New Roman"/>
                <w:sz w:val="28"/>
              </w:rPr>
            </w:pPr>
          </w:p>
        </w:tc>
        <w:tc>
          <w:tcPr>
            <w:tcW w:w="2367" w:type="dxa"/>
          </w:tcPr>
          <w:p>
            <w:pPr>
              <w:pStyle w:val="TableParagraph"/>
              <w:rPr>
                <w:rFonts w:ascii="Times New Roman"/>
                <w:sz w:val="28"/>
              </w:rPr>
            </w:pPr>
          </w:p>
        </w:tc>
        <w:tc>
          <w:tcPr>
            <w:tcW w:w="2112" w:type="dxa"/>
          </w:tcPr>
          <w:p>
            <w:pPr>
              <w:pStyle w:val="TableParagraph"/>
              <w:rPr>
                <w:rFonts w:ascii="Times New Roman"/>
                <w:sz w:val="28"/>
              </w:rPr>
            </w:pPr>
          </w:p>
        </w:tc>
      </w:tr>
      <w:tr>
        <w:trPr>
          <w:trHeight w:val="930" w:hRule="atLeast"/>
        </w:trPr>
        <w:tc>
          <w:tcPr>
            <w:tcW w:w="2376" w:type="dxa"/>
            <w:shd w:val="clear" w:color="auto" w:fill="00AFEF"/>
          </w:tcPr>
          <w:p>
            <w:pPr>
              <w:pStyle w:val="TableParagraph"/>
              <w:spacing w:line="278" w:lineRule="auto"/>
              <w:ind w:left="107" w:right="726"/>
              <w:rPr>
                <w:rFonts w:ascii="Courier New"/>
                <w:b/>
                <w:sz w:val="28"/>
              </w:rPr>
            </w:pPr>
            <w:r>
              <w:rPr>
                <w:rFonts w:ascii="Courier New"/>
                <w:b/>
                <w:sz w:val="28"/>
              </w:rPr>
              <w:t>Spirulina platensis</w:t>
            </w:r>
          </w:p>
        </w:tc>
        <w:tc>
          <w:tcPr>
            <w:tcW w:w="1135" w:type="dxa"/>
          </w:tcPr>
          <w:p>
            <w:pPr>
              <w:pStyle w:val="TableParagraph"/>
              <w:spacing w:before="6"/>
              <w:ind w:left="108"/>
              <w:rPr>
                <w:rFonts w:ascii="Courier New"/>
                <w:sz w:val="28"/>
              </w:rPr>
            </w:pPr>
            <w:r>
              <w:rPr>
                <w:rFonts w:ascii="Courier New"/>
                <w:sz w:val="28"/>
              </w:rPr>
              <w:t>1515</w:t>
            </w:r>
          </w:p>
        </w:tc>
        <w:tc>
          <w:tcPr>
            <w:tcW w:w="2127" w:type="dxa"/>
          </w:tcPr>
          <w:p>
            <w:pPr>
              <w:pStyle w:val="TableParagraph"/>
              <w:spacing w:before="6"/>
              <w:ind w:left="105"/>
              <w:rPr>
                <w:rFonts w:ascii="Courier New"/>
                <w:sz w:val="28"/>
              </w:rPr>
            </w:pPr>
            <w:r>
              <w:rPr>
                <w:rFonts w:ascii="Courier New"/>
                <w:w w:val="100"/>
                <w:sz w:val="28"/>
              </w:rPr>
              <w:t>X</w:t>
            </w:r>
          </w:p>
        </w:tc>
        <w:tc>
          <w:tcPr>
            <w:tcW w:w="2268" w:type="dxa"/>
          </w:tcPr>
          <w:p>
            <w:pPr>
              <w:pStyle w:val="TableParagraph"/>
              <w:rPr>
                <w:rFonts w:ascii="Times New Roman"/>
                <w:sz w:val="28"/>
              </w:rPr>
            </w:pPr>
          </w:p>
        </w:tc>
        <w:tc>
          <w:tcPr>
            <w:tcW w:w="2256" w:type="dxa"/>
          </w:tcPr>
          <w:p>
            <w:pPr>
              <w:pStyle w:val="TableParagraph"/>
              <w:rPr>
                <w:rFonts w:ascii="Times New Roman"/>
                <w:sz w:val="28"/>
              </w:rPr>
            </w:pPr>
          </w:p>
        </w:tc>
        <w:tc>
          <w:tcPr>
            <w:tcW w:w="2650" w:type="dxa"/>
          </w:tcPr>
          <w:p>
            <w:pPr>
              <w:pStyle w:val="TableParagraph"/>
              <w:spacing w:before="6"/>
              <w:ind w:left="106"/>
              <w:rPr>
                <w:rFonts w:ascii="Courier New"/>
                <w:sz w:val="28"/>
              </w:rPr>
            </w:pPr>
            <w:r>
              <w:rPr>
                <w:rFonts w:ascii="Courier New"/>
                <w:w w:val="100"/>
                <w:sz w:val="28"/>
              </w:rPr>
              <w:t>X</w:t>
            </w:r>
          </w:p>
        </w:tc>
        <w:tc>
          <w:tcPr>
            <w:tcW w:w="2367" w:type="dxa"/>
          </w:tcPr>
          <w:p>
            <w:pPr>
              <w:pStyle w:val="TableParagraph"/>
              <w:spacing w:before="6"/>
              <w:ind w:left="109"/>
              <w:rPr>
                <w:rFonts w:ascii="Courier New"/>
                <w:sz w:val="28"/>
              </w:rPr>
            </w:pPr>
            <w:r>
              <w:rPr>
                <w:rFonts w:ascii="Courier New"/>
                <w:w w:val="100"/>
                <w:sz w:val="28"/>
              </w:rPr>
              <w:t>X</w:t>
            </w:r>
          </w:p>
        </w:tc>
        <w:tc>
          <w:tcPr>
            <w:tcW w:w="2112" w:type="dxa"/>
          </w:tcPr>
          <w:p>
            <w:pPr>
              <w:pStyle w:val="TableParagraph"/>
              <w:rPr>
                <w:rFonts w:ascii="Times New Roman"/>
                <w:sz w:val="28"/>
              </w:rPr>
            </w:pPr>
          </w:p>
        </w:tc>
      </w:tr>
      <w:tr>
        <w:trPr>
          <w:trHeight w:val="693" w:hRule="atLeast"/>
        </w:trPr>
        <w:tc>
          <w:tcPr>
            <w:tcW w:w="2376" w:type="dxa"/>
            <w:shd w:val="clear" w:color="auto" w:fill="00AFEF"/>
          </w:tcPr>
          <w:p>
            <w:pPr>
              <w:pStyle w:val="TableParagraph"/>
              <w:spacing w:line="317" w:lineRule="exact"/>
              <w:ind w:left="107"/>
              <w:rPr>
                <w:rFonts w:ascii="Courier New"/>
                <w:b/>
                <w:sz w:val="28"/>
              </w:rPr>
            </w:pPr>
            <w:r>
              <w:rPr>
                <w:rFonts w:ascii="Courier New"/>
                <w:b/>
                <w:sz w:val="28"/>
              </w:rPr>
              <w:t>Colostrum</w:t>
            </w:r>
          </w:p>
        </w:tc>
        <w:tc>
          <w:tcPr>
            <w:tcW w:w="1135" w:type="dxa"/>
          </w:tcPr>
          <w:p>
            <w:pPr>
              <w:pStyle w:val="TableParagraph"/>
              <w:spacing w:before="6"/>
              <w:ind w:left="108"/>
              <w:rPr>
                <w:rFonts w:ascii="Courier New"/>
                <w:sz w:val="28"/>
              </w:rPr>
            </w:pPr>
            <w:r>
              <w:rPr>
                <w:rFonts w:ascii="Courier New"/>
                <w:sz w:val="28"/>
              </w:rPr>
              <w:t>264</w:t>
            </w:r>
          </w:p>
        </w:tc>
        <w:tc>
          <w:tcPr>
            <w:tcW w:w="2127" w:type="dxa"/>
          </w:tcPr>
          <w:p>
            <w:pPr>
              <w:pStyle w:val="TableParagraph"/>
              <w:rPr>
                <w:rFonts w:ascii="Times New Roman"/>
                <w:sz w:val="28"/>
              </w:rPr>
            </w:pPr>
          </w:p>
        </w:tc>
        <w:tc>
          <w:tcPr>
            <w:tcW w:w="2268" w:type="dxa"/>
          </w:tcPr>
          <w:p>
            <w:pPr>
              <w:pStyle w:val="TableParagraph"/>
              <w:rPr>
                <w:rFonts w:ascii="Times New Roman"/>
                <w:sz w:val="28"/>
              </w:rPr>
            </w:pPr>
          </w:p>
        </w:tc>
        <w:tc>
          <w:tcPr>
            <w:tcW w:w="2256" w:type="dxa"/>
          </w:tcPr>
          <w:p>
            <w:pPr>
              <w:pStyle w:val="TableParagraph"/>
              <w:rPr>
                <w:rFonts w:ascii="Times New Roman"/>
                <w:sz w:val="28"/>
              </w:rPr>
            </w:pPr>
          </w:p>
        </w:tc>
        <w:tc>
          <w:tcPr>
            <w:tcW w:w="2650" w:type="dxa"/>
          </w:tcPr>
          <w:p>
            <w:pPr>
              <w:pStyle w:val="TableParagraph"/>
              <w:rPr>
                <w:rFonts w:ascii="Times New Roman"/>
                <w:sz w:val="28"/>
              </w:rPr>
            </w:pPr>
          </w:p>
        </w:tc>
        <w:tc>
          <w:tcPr>
            <w:tcW w:w="2367" w:type="dxa"/>
          </w:tcPr>
          <w:p>
            <w:pPr>
              <w:pStyle w:val="TableParagraph"/>
              <w:rPr>
                <w:rFonts w:ascii="Times New Roman"/>
                <w:sz w:val="28"/>
              </w:rPr>
            </w:pPr>
          </w:p>
        </w:tc>
        <w:tc>
          <w:tcPr>
            <w:tcW w:w="2112" w:type="dxa"/>
          </w:tcPr>
          <w:p>
            <w:pPr>
              <w:pStyle w:val="TableParagraph"/>
              <w:spacing w:before="6"/>
              <w:ind w:left="108"/>
              <w:rPr>
                <w:rFonts w:ascii="Courier New"/>
                <w:sz w:val="28"/>
              </w:rPr>
            </w:pPr>
            <w:r>
              <w:rPr>
                <w:rFonts w:ascii="Courier New"/>
                <w:w w:val="100"/>
                <w:sz w:val="28"/>
              </w:rPr>
              <w:t>X</w:t>
            </w:r>
          </w:p>
        </w:tc>
      </w:tr>
      <w:tr>
        <w:trPr>
          <w:trHeight w:val="703" w:hRule="atLeast"/>
        </w:trPr>
        <w:tc>
          <w:tcPr>
            <w:tcW w:w="2376" w:type="dxa"/>
            <w:shd w:val="clear" w:color="auto" w:fill="00AFEF"/>
          </w:tcPr>
          <w:p>
            <w:pPr>
              <w:pStyle w:val="TableParagraph"/>
              <w:spacing w:line="317" w:lineRule="exact"/>
              <w:ind w:left="107"/>
              <w:rPr>
                <w:rFonts w:ascii="Courier New"/>
                <w:b/>
                <w:sz w:val="28"/>
              </w:rPr>
            </w:pPr>
            <w:r>
              <w:rPr>
                <w:rFonts w:ascii="Courier New"/>
                <w:b/>
                <w:sz w:val="28"/>
              </w:rPr>
              <w:t>Lapacho</w:t>
            </w:r>
          </w:p>
        </w:tc>
        <w:tc>
          <w:tcPr>
            <w:tcW w:w="1135" w:type="dxa"/>
          </w:tcPr>
          <w:p>
            <w:pPr>
              <w:pStyle w:val="TableParagraph"/>
              <w:spacing w:before="6"/>
              <w:ind w:left="108"/>
              <w:rPr>
                <w:rFonts w:ascii="Courier New"/>
                <w:sz w:val="28"/>
              </w:rPr>
            </w:pPr>
            <w:r>
              <w:rPr>
                <w:rFonts w:ascii="Courier New"/>
                <w:sz w:val="28"/>
              </w:rPr>
              <w:t>815</w:t>
            </w:r>
          </w:p>
        </w:tc>
        <w:tc>
          <w:tcPr>
            <w:tcW w:w="2127" w:type="dxa"/>
          </w:tcPr>
          <w:p>
            <w:pPr>
              <w:pStyle w:val="TableParagraph"/>
              <w:rPr>
                <w:rFonts w:ascii="Times New Roman"/>
                <w:sz w:val="28"/>
              </w:rPr>
            </w:pPr>
          </w:p>
        </w:tc>
        <w:tc>
          <w:tcPr>
            <w:tcW w:w="2268" w:type="dxa"/>
          </w:tcPr>
          <w:p>
            <w:pPr>
              <w:pStyle w:val="TableParagraph"/>
              <w:rPr>
                <w:rFonts w:ascii="Times New Roman"/>
                <w:sz w:val="28"/>
              </w:rPr>
            </w:pPr>
          </w:p>
        </w:tc>
        <w:tc>
          <w:tcPr>
            <w:tcW w:w="2256" w:type="dxa"/>
          </w:tcPr>
          <w:p>
            <w:pPr>
              <w:pStyle w:val="TableParagraph"/>
              <w:rPr>
                <w:rFonts w:ascii="Times New Roman"/>
                <w:sz w:val="28"/>
              </w:rPr>
            </w:pPr>
          </w:p>
        </w:tc>
        <w:tc>
          <w:tcPr>
            <w:tcW w:w="2650" w:type="dxa"/>
          </w:tcPr>
          <w:p>
            <w:pPr>
              <w:pStyle w:val="TableParagraph"/>
              <w:rPr>
                <w:rFonts w:ascii="Times New Roman"/>
                <w:sz w:val="28"/>
              </w:rPr>
            </w:pPr>
          </w:p>
        </w:tc>
        <w:tc>
          <w:tcPr>
            <w:tcW w:w="2367" w:type="dxa"/>
          </w:tcPr>
          <w:p>
            <w:pPr>
              <w:pStyle w:val="TableParagraph"/>
              <w:rPr>
                <w:rFonts w:ascii="Times New Roman"/>
                <w:sz w:val="28"/>
              </w:rPr>
            </w:pPr>
          </w:p>
        </w:tc>
        <w:tc>
          <w:tcPr>
            <w:tcW w:w="2112" w:type="dxa"/>
          </w:tcPr>
          <w:p>
            <w:pPr>
              <w:pStyle w:val="TableParagraph"/>
              <w:rPr>
                <w:rFonts w:ascii="Times New Roman"/>
                <w:sz w:val="28"/>
              </w:rPr>
            </w:pPr>
          </w:p>
        </w:tc>
      </w:tr>
      <w:tr>
        <w:trPr>
          <w:trHeight w:val="930" w:hRule="atLeast"/>
        </w:trPr>
        <w:tc>
          <w:tcPr>
            <w:tcW w:w="2376" w:type="dxa"/>
            <w:shd w:val="clear" w:color="auto" w:fill="00AFEF"/>
          </w:tcPr>
          <w:p>
            <w:pPr>
              <w:pStyle w:val="TableParagraph"/>
              <w:spacing w:line="278" w:lineRule="auto"/>
              <w:ind w:left="107" w:right="222"/>
              <w:rPr>
                <w:rFonts w:ascii="Courier New"/>
                <w:b/>
                <w:sz w:val="28"/>
              </w:rPr>
            </w:pPr>
            <w:r>
              <w:rPr>
                <w:rFonts w:ascii="Courier New"/>
                <w:b/>
                <w:sz w:val="28"/>
              </w:rPr>
              <w:t>Organic Ger- manium</w:t>
            </w:r>
          </w:p>
        </w:tc>
        <w:tc>
          <w:tcPr>
            <w:tcW w:w="1135" w:type="dxa"/>
          </w:tcPr>
          <w:p>
            <w:pPr>
              <w:pStyle w:val="TableParagraph"/>
              <w:spacing w:before="9"/>
              <w:ind w:left="108"/>
              <w:rPr>
                <w:rFonts w:ascii="Courier New"/>
                <w:sz w:val="28"/>
              </w:rPr>
            </w:pPr>
            <w:r>
              <w:rPr>
                <w:rFonts w:ascii="Courier New"/>
                <w:sz w:val="28"/>
              </w:rPr>
              <w:t>1152</w:t>
            </w:r>
          </w:p>
        </w:tc>
        <w:tc>
          <w:tcPr>
            <w:tcW w:w="2127" w:type="dxa"/>
          </w:tcPr>
          <w:p>
            <w:pPr>
              <w:pStyle w:val="TableParagraph"/>
              <w:rPr>
                <w:rFonts w:ascii="Times New Roman"/>
                <w:sz w:val="28"/>
              </w:rPr>
            </w:pPr>
          </w:p>
        </w:tc>
        <w:tc>
          <w:tcPr>
            <w:tcW w:w="2268" w:type="dxa"/>
          </w:tcPr>
          <w:p>
            <w:pPr>
              <w:pStyle w:val="TableParagraph"/>
              <w:rPr>
                <w:rFonts w:ascii="Times New Roman"/>
                <w:sz w:val="28"/>
              </w:rPr>
            </w:pPr>
          </w:p>
        </w:tc>
        <w:tc>
          <w:tcPr>
            <w:tcW w:w="2256" w:type="dxa"/>
          </w:tcPr>
          <w:p>
            <w:pPr>
              <w:pStyle w:val="TableParagraph"/>
              <w:rPr>
                <w:rFonts w:ascii="Times New Roman"/>
                <w:sz w:val="28"/>
              </w:rPr>
            </w:pPr>
          </w:p>
        </w:tc>
        <w:tc>
          <w:tcPr>
            <w:tcW w:w="2650" w:type="dxa"/>
          </w:tcPr>
          <w:p>
            <w:pPr>
              <w:pStyle w:val="TableParagraph"/>
              <w:rPr>
                <w:rFonts w:ascii="Times New Roman"/>
                <w:sz w:val="28"/>
              </w:rPr>
            </w:pPr>
          </w:p>
        </w:tc>
        <w:tc>
          <w:tcPr>
            <w:tcW w:w="2367" w:type="dxa"/>
          </w:tcPr>
          <w:p>
            <w:pPr>
              <w:pStyle w:val="TableParagraph"/>
              <w:rPr>
                <w:rFonts w:ascii="Times New Roman"/>
                <w:sz w:val="28"/>
              </w:rPr>
            </w:pPr>
          </w:p>
        </w:tc>
        <w:tc>
          <w:tcPr>
            <w:tcW w:w="2112" w:type="dxa"/>
          </w:tcPr>
          <w:p>
            <w:pPr>
              <w:pStyle w:val="TableParagraph"/>
              <w:spacing w:before="9"/>
              <w:ind w:left="108"/>
              <w:rPr>
                <w:rFonts w:ascii="Courier New"/>
                <w:sz w:val="28"/>
              </w:rPr>
            </w:pPr>
            <w:r>
              <w:rPr>
                <w:rFonts w:ascii="Courier New"/>
                <w:w w:val="100"/>
                <w:sz w:val="28"/>
              </w:rPr>
              <w:t>X</w:t>
            </w:r>
          </w:p>
        </w:tc>
      </w:tr>
      <w:tr>
        <w:trPr>
          <w:trHeight w:val="623" w:hRule="atLeast"/>
        </w:trPr>
        <w:tc>
          <w:tcPr>
            <w:tcW w:w="2376" w:type="dxa"/>
            <w:shd w:val="clear" w:color="auto" w:fill="00AFEF"/>
          </w:tcPr>
          <w:p>
            <w:pPr>
              <w:pStyle w:val="TableParagraph"/>
              <w:spacing w:line="317" w:lineRule="exact"/>
              <w:ind w:left="107"/>
              <w:rPr>
                <w:rFonts w:ascii="Courier New"/>
                <w:b/>
                <w:sz w:val="28"/>
              </w:rPr>
            </w:pPr>
            <w:r>
              <w:rPr>
                <w:rFonts w:ascii="Courier New"/>
                <w:b/>
                <w:sz w:val="28"/>
              </w:rPr>
              <w:t>Strophanthin</w:t>
            </w:r>
          </w:p>
        </w:tc>
        <w:tc>
          <w:tcPr>
            <w:tcW w:w="1135" w:type="dxa"/>
          </w:tcPr>
          <w:p>
            <w:pPr>
              <w:pStyle w:val="TableParagraph"/>
              <w:spacing w:before="6"/>
              <w:ind w:left="108"/>
              <w:rPr>
                <w:rFonts w:ascii="Courier New"/>
                <w:sz w:val="28"/>
              </w:rPr>
            </w:pPr>
            <w:r>
              <w:rPr>
                <w:rFonts w:ascii="Courier New"/>
                <w:sz w:val="28"/>
              </w:rPr>
              <w:t>1615</w:t>
            </w:r>
          </w:p>
        </w:tc>
        <w:tc>
          <w:tcPr>
            <w:tcW w:w="2127" w:type="dxa"/>
          </w:tcPr>
          <w:p>
            <w:pPr>
              <w:pStyle w:val="TableParagraph"/>
              <w:rPr>
                <w:rFonts w:ascii="Times New Roman"/>
                <w:sz w:val="28"/>
              </w:rPr>
            </w:pPr>
          </w:p>
        </w:tc>
        <w:tc>
          <w:tcPr>
            <w:tcW w:w="2268" w:type="dxa"/>
          </w:tcPr>
          <w:p>
            <w:pPr>
              <w:pStyle w:val="TableParagraph"/>
              <w:rPr>
                <w:rFonts w:ascii="Times New Roman"/>
                <w:sz w:val="28"/>
              </w:rPr>
            </w:pPr>
          </w:p>
        </w:tc>
        <w:tc>
          <w:tcPr>
            <w:tcW w:w="2256" w:type="dxa"/>
          </w:tcPr>
          <w:p>
            <w:pPr>
              <w:pStyle w:val="TableParagraph"/>
              <w:rPr>
                <w:rFonts w:ascii="Times New Roman"/>
                <w:sz w:val="28"/>
              </w:rPr>
            </w:pPr>
          </w:p>
        </w:tc>
        <w:tc>
          <w:tcPr>
            <w:tcW w:w="2650" w:type="dxa"/>
          </w:tcPr>
          <w:p>
            <w:pPr>
              <w:pStyle w:val="TableParagraph"/>
              <w:rPr>
                <w:rFonts w:ascii="Times New Roman"/>
                <w:sz w:val="28"/>
              </w:rPr>
            </w:pPr>
          </w:p>
        </w:tc>
        <w:tc>
          <w:tcPr>
            <w:tcW w:w="2367" w:type="dxa"/>
          </w:tcPr>
          <w:p>
            <w:pPr>
              <w:pStyle w:val="TableParagraph"/>
              <w:spacing w:before="6"/>
              <w:ind w:left="109"/>
              <w:rPr>
                <w:rFonts w:ascii="Courier New"/>
                <w:sz w:val="28"/>
              </w:rPr>
            </w:pPr>
            <w:r>
              <w:rPr>
                <w:rFonts w:ascii="Courier New"/>
                <w:w w:val="100"/>
                <w:sz w:val="28"/>
              </w:rPr>
              <w:t>X</w:t>
            </w:r>
          </w:p>
        </w:tc>
        <w:tc>
          <w:tcPr>
            <w:tcW w:w="2112" w:type="dxa"/>
          </w:tcPr>
          <w:p>
            <w:pPr>
              <w:pStyle w:val="TableParagraph"/>
              <w:rPr>
                <w:rFonts w:ascii="Times New Roman"/>
                <w:sz w:val="28"/>
              </w:rPr>
            </w:pPr>
          </w:p>
        </w:tc>
      </w:tr>
      <w:tr>
        <w:trPr>
          <w:trHeight w:val="1293" w:hRule="atLeast"/>
        </w:trPr>
        <w:tc>
          <w:tcPr>
            <w:tcW w:w="2376" w:type="dxa"/>
            <w:shd w:val="clear" w:color="auto" w:fill="00AFEF"/>
          </w:tcPr>
          <w:p>
            <w:pPr>
              <w:pStyle w:val="TableParagraph"/>
              <w:spacing w:line="276" w:lineRule="auto"/>
              <w:ind w:left="107" w:right="726"/>
              <w:rPr>
                <w:rFonts w:ascii="Courier New"/>
                <w:b/>
                <w:sz w:val="28"/>
              </w:rPr>
            </w:pPr>
            <w:r>
              <w:rPr>
                <w:rFonts w:ascii="Courier New"/>
                <w:b/>
                <w:sz w:val="28"/>
              </w:rPr>
              <w:t>Grape- fruitseed extract</w:t>
            </w:r>
          </w:p>
        </w:tc>
        <w:tc>
          <w:tcPr>
            <w:tcW w:w="1135" w:type="dxa"/>
          </w:tcPr>
          <w:p>
            <w:pPr>
              <w:pStyle w:val="TableParagraph"/>
              <w:spacing w:before="6"/>
              <w:ind w:left="108"/>
              <w:rPr>
                <w:rFonts w:ascii="Courier New"/>
                <w:sz w:val="28"/>
              </w:rPr>
            </w:pPr>
            <w:r>
              <w:rPr>
                <w:rFonts w:ascii="Courier New"/>
                <w:sz w:val="28"/>
              </w:rPr>
              <w:t>534</w:t>
            </w:r>
          </w:p>
        </w:tc>
        <w:tc>
          <w:tcPr>
            <w:tcW w:w="2127" w:type="dxa"/>
          </w:tcPr>
          <w:p>
            <w:pPr>
              <w:pStyle w:val="TableParagraph"/>
              <w:rPr>
                <w:rFonts w:ascii="Times New Roman"/>
                <w:sz w:val="28"/>
              </w:rPr>
            </w:pPr>
          </w:p>
        </w:tc>
        <w:tc>
          <w:tcPr>
            <w:tcW w:w="2268" w:type="dxa"/>
          </w:tcPr>
          <w:p>
            <w:pPr>
              <w:pStyle w:val="TableParagraph"/>
              <w:rPr>
                <w:rFonts w:ascii="Times New Roman"/>
                <w:sz w:val="28"/>
              </w:rPr>
            </w:pPr>
          </w:p>
        </w:tc>
        <w:tc>
          <w:tcPr>
            <w:tcW w:w="2256" w:type="dxa"/>
          </w:tcPr>
          <w:p>
            <w:pPr>
              <w:pStyle w:val="TableParagraph"/>
              <w:rPr>
                <w:rFonts w:ascii="Times New Roman"/>
                <w:sz w:val="28"/>
              </w:rPr>
            </w:pPr>
          </w:p>
        </w:tc>
        <w:tc>
          <w:tcPr>
            <w:tcW w:w="2650" w:type="dxa"/>
          </w:tcPr>
          <w:p>
            <w:pPr>
              <w:pStyle w:val="TableParagraph"/>
              <w:rPr>
                <w:rFonts w:ascii="Times New Roman"/>
                <w:sz w:val="28"/>
              </w:rPr>
            </w:pPr>
          </w:p>
        </w:tc>
        <w:tc>
          <w:tcPr>
            <w:tcW w:w="2367" w:type="dxa"/>
          </w:tcPr>
          <w:p>
            <w:pPr>
              <w:pStyle w:val="TableParagraph"/>
              <w:rPr>
                <w:rFonts w:ascii="Times New Roman"/>
                <w:sz w:val="28"/>
              </w:rPr>
            </w:pPr>
          </w:p>
        </w:tc>
        <w:tc>
          <w:tcPr>
            <w:tcW w:w="2112" w:type="dxa"/>
          </w:tcPr>
          <w:p>
            <w:pPr>
              <w:pStyle w:val="TableParagraph"/>
              <w:spacing w:before="6"/>
              <w:ind w:left="108"/>
              <w:rPr>
                <w:rFonts w:ascii="Courier New"/>
                <w:sz w:val="28"/>
              </w:rPr>
            </w:pPr>
            <w:r>
              <w:rPr>
                <w:rFonts w:ascii="Courier New"/>
                <w:w w:val="100"/>
                <w:sz w:val="28"/>
              </w:rPr>
              <w:t>X</w:t>
            </w:r>
          </w:p>
        </w:tc>
      </w:tr>
      <w:tr>
        <w:trPr>
          <w:trHeight w:val="565" w:hRule="atLeast"/>
        </w:trPr>
        <w:tc>
          <w:tcPr>
            <w:tcW w:w="2376" w:type="dxa"/>
            <w:shd w:val="clear" w:color="auto" w:fill="00AFEF"/>
          </w:tcPr>
          <w:p>
            <w:pPr>
              <w:pStyle w:val="TableParagraph"/>
              <w:spacing w:line="317" w:lineRule="exact"/>
              <w:ind w:left="107"/>
              <w:rPr>
                <w:rFonts w:ascii="Courier New"/>
                <w:b/>
                <w:sz w:val="28"/>
              </w:rPr>
            </w:pPr>
            <w:r>
              <w:rPr>
                <w:rFonts w:ascii="Courier New"/>
                <w:b/>
                <w:sz w:val="28"/>
              </w:rPr>
              <w:t>MMS</w:t>
            </w:r>
          </w:p>
        </w:tc>
        <w:tc>
          <w:tcPr>
            <w:tcW w:w="1135" w:type="dxa"/>
          </w:tcPr>
          <w:p>
            <w:pPr>
              <w:pStyle w:val="TableParagraph"/>
              <w:spacing w:before="6"/>
              <w:ind w:left="108"/>
              <w:rPr>
                <w:rFonts w:ascii="Courier New"/>
                <w:sz w:val="28"/>
              </w:rPr>
            </w:pPr>
            <w:r>
              <w:rPr>
                <w:rFonts w:ascii="Courier New"/>
                <w:sz w:val="28"/>
              </w:rPr>
              <w:t>1006</w:t>
            </w:r>
          </w:p>
        </w:tc>
        <w:tc>
          <w:tcPr>
            <w:tcW w:w="2127" w:type="dxa"/>
          </w:tcPr>
          <w:p>
            <w:pPr>
              <w:pStyle w:val="TableParagraph"/>
              <w:rPr>
                <w:rFonts w:ascii="Times New Roman"/>
                <w:sz w:val="28"/>
              </w:rPr>
            </w:pPr>
          </w:p>
        </w:tc>
        <w:tc>
          <w:tcPr>
            <w:tcW w:w="2268" w:type="dxa"/>
          </w:tcPr>
          <w:p>
            <w:pPr>
              <w:pStyle w:val="TableParagraph"/>
              <w:rPr>
                <w:rFonts w:ascii="Times New Roman"/>
                <w:sz w:val="28"/>
              </w:rPr>
            </w:pPr>
          </w:p>
        </w:tc>
        <w:tc>
          <w:tcPr>
            <w:tcW w:w="2256" w:type="dxa"/>
          </w:tcPr>
          <w:p>
            <w:pPr>
              <w:pStyle w:val="TableParagraph"/>
              <w:rPr>
                <w:rFonts w:ascii="Times New Roman"/>
                <w:sz w:val="28"/>
              </w:rPr>
            </w:pPr>
          </w:p>
        </w:tc>
        <w:tc>
          <w:tcPr>
            <w:tcW w:w="2650" w:type="dxa"/>
          </w:tcPr>
          <w:p>
            <w:pPr>
              <w:pStyle w:val="TableParagraph"/>
              <w:rPr>
                <w:rFonts w:ascii="Times New Roman"/>
                <w:sz w:val="28"/>
              </w:rPr>
            </w:pPr>
          </w:p>
        </w:tc>
        <w:tc>
          <w:tcPr>
            <w:tcW w:w="2367" w:type="dxa"/>
          </w:tcPr>
          <w:p>
            <w:pPr>
              <w:pStyle w:val="TableParagraph"/>
              <w:rPr>
                <w:rFonts w:ascii="Times New Roman"/>
                <w:sz w:val="28"/>
              </w:rPr>
            </w:pPr>
          </w:p>
        </w:tc>
        <w:tc>
          <w:tcPr>
            <w:tcW w:w="2112" w:type="dxa"/>
          </w:tcPr>
          <w:p>
            <w:pPr>
              <w:pStyle w:val="TableParagraph"/>
              <w:spacing w:before="6"/>
              <w:ind w:left="108"/>
              <w:rPr>
                <w:rFonts w:ascii="Courier New"/>
                <w:sz w:val="28"/>
              </w:rPr>
            </w:pPr>
            <w:r>
              <w:rPr>
                <w:rFonts w:ascii="Courier New"/>
                <w:w w:val="100"/>
                <w:sz w:val="28"/>
              </w:rPr>
              <w:t>X</w:t>
            </w:r>
          </w:p>
        </w:tc>
      </w:tr>
      <w:tr>
        <w:trPr>
          <w:trHeight w:val="954" w:hRule="atLeast"/>
        </w:trPr>
        <w:tc>
          <w:tcPr>
            <w:tcW w:w="2376" w:type="dxa"/>
            <w:shd w:val="clear" w:color="auto" w:fill="00AFEF"/>
          </w:tcPr>
          <w:p>
            <w:pPr>
              <w:pStyle w:val="TableParagraph"/>
              <w:spacing w:line="278" w:lineRule="auto"/>
              <w:ind w:left="107" w:right="726"/>
              <w:rPr>
                <w:rFonts w:ascii="Courier New"/>
                <w:b/>
                <w:sz w:val="28"/>
              </w:rPr>
            </w:pPr>
            <w:r>
              <w:rPr>
                <w:rFonts w:ascii="Courier New"/>
                <w:b/>
                <w:sz w:val="28"/>
              </w:rPr>
              <w:t>Colloidal Silica</w:t>
            </w:r>
          </w:p>
        </w:tc>
        <w:tc>
          <w:tcPr>
            <w:tcW w:w="1135" w:type="dxa"/>
          </w:tcPr>
          <w:p>
            <w:pPr>
              <w:pStyle w:val="TableParagraph"/>
              <w:spacing w:before="6"/>
              <w:ind w:left="108"/>
              <w:rPr>
                <w:rFonts w:ascii="Courier New"/>
                <w:sz w:val="28"/>
              </w:rPr>
            </w:pPr>
            <w:r>
              <w:rPr>
                <w:rFonts w:ascii="Courier New"/>
                <w:sz w:val="28"/>
              </w:rPr>
              <w:t>1460</w:t>
            </w:r>
          </w:p>
        </w:tc>
        <w:tc>
          <w:tcPr>
            <w:tcW w:w="2127" w:type="dxa"/>
          </w:tcPr>
          <w:p>
            <w:pPr>
              <w:pStyle w:val="TableParagraph"/>
              <w:rPr>
                <w:rFonts w:ascii="Times New Roman"/>
                <w:sz w:val="28"/>
              </w:rPr>
            </w:pPr>
          </w:p>
        </w:tc>
        <w:tc>
          <w:tcPr>
            <w:tcW w:w="2268" w:type="dxa"/>
          </w:tcPr>
          <w:p>
            <w:pPr>
              <w:pStyle w:val="TableParagraph"/>
              <w:rPr>
                <w:rFonts w:ascii="Times New Roman"/>
                <w:sz w:val="28"/>
              </w:rPr>
            </w:pPr>
          </w:p>
        </w:tc>
        <w:tc>
          <w:tcPr>
            <w:tcW w:w="2256" w:type="dxa"/>
          </w:tcPr>
          <w:p>
            <w:pPr>
              <w:pStyle w:val="TableParagraph"/>
              <w:rPr>
                <w:rFonts w:ascii="Times New Roman"/>
                <w:sz w:val="28"/>
              </w:rPr>
            </w:pPr>
          </w:p>
        </w:tc>
        <w:tc>
          <w:tcPr>
            <w:tcW w:w="2650" w:type="dxa"/>
          </w:tcPr>
          <w:p>
            <w:pPr>
              <w:pStyle w:val="TableParagraph"/>
              <w:rPr>
                <w:rFonts w:ascii="Times New Roman"/>
                <w:sz w:val="28"/>
              </w:rPr>
            </w:pPr>
          </w:p>
        </w:tc>
        <w:tc>
          <w:tcPr>
            <w:tcW w:w="2367" w:type="dxa"/>
          </w:tcPr>
          <w:p>
            <w:pPr>
              <w:pStyle w:val="TableParagraph"/>
              <w:rPr>
                <w:rFonts w:ascii="Times New Roman"/>
                <w:sz w:val="28"/>
              </w:rPr>
            </w:pPr>
          </w:p>
        </w:tc>
        <w:tc>
          <w:tcPr>
            <w:tcW w:w="2112" w:type="dxa"/>
          </w:tcPr>
          <w:p>
            <w:pPr>
              <w:pStyle w:val="TableParagraph"/>
              <w:spacing w:before="6"/>
              <w:ind w:left="108"/>
              <w:rPr>
                <w:rFonts w:ascii="Courier New"/>
                <w:sz w:val="28"/>
              </w:rPr>
            </w:pPr>
            <w:r>
              <w:rPr>
                <w:rFonts w:ascii="Courier New"/>
                <w:w w:val="100"/>
                <w:sz w:val="28"/>
              </w:rPr>
              <w:t>X</w:t>
            </w:r>
          </w:p>
        </w:tc>
      </w:tr>
    </w:tbl>
    <w:p>
      <w:pPr>
        <w:spacing w:after="0"/>
        <w:rPr>
          <w:rFonts w:ascii="Courier New"/>
          <w:sz w:val="28"/>
        </w:rPr>
        <w:sectPr>
          <w:pgSz w:w="18630" w:h="11910" w:orient="landscape"/>
          <w:pgMar w:header="0" w:footer="404" w:top="840" w:bottom="600" w:left="740" w:right="80"/>
        </w:sectPr>
      </w:pPr>
    </w:p>
    <w:tbl>
      <w:tblPr>
        <w:tblW w:w="0" w:type="auto"/>
        <w:jc w:val="left"/>
        <w:tblInd w:w="4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8"/>
        <w:gridCol w:w="1588"/>
        <w:gridCol w:w="4536"/>
      </w:tblGrid>
      <w:tr>
        <w:trPr>
          <w:trHeight w:val="931" w:hRule="atLeast"/>
        </w:trPr>
        <w:tc>
          <w:tcPr>
            <w:tcW w:w="7542" w:type="dxa"/>
            <w:gridSpan w:val="3"/>
            <w:shd w:val="clear" w:color="auto" w:fill="FAD3B4"/>
          </w:tcPr>
          <w:p>
            <w:pPr>
              <w:pStyle w:val="TableParagraph"/>
              <w:spacing w:line="276" w:lineRule="auto"/>
              <w:ind w:left="496" w:right="488"/>
              <w:jc w:val="center"/>
              <w:rPr>
                <w:b/>
                <w:sz w:val="24"/>
              </w:rPr>
            </w:pPr>
            <w:r>
              <w:rPr>
                <w:b/>
                <w:sz w:val="24"/>
              </w:rPr>
              <w:t>MICRONUTRIENTS THAT COUNTERACT DEPRESSION, ANXIETY</w:t>
            </w:r>
          </w:p>
          <w:p>
            <w:pPr>
              <w:pStyle w:val="TableParagraph"/>
              <w:spacing w:line="269" w:lineRule="exact"/>
              <w:ind w:left="496" w:right="486"/>
              <w:jc w:val="center"/>
              <w:rPr>
                <w:b/>
                <w:sz w:val="24"/>
              </w:rPr>
            </w:pPr>
            <w:r>
              <w:rPr>
                <w:b/>
                <w:sz w:val="24"/>
              </w:rPr>
              <w:t>AND BURNOUT</w:t>
            </w:r>
          </w:p>
        </w:tc>
      </w:tr>
      <w:tr>
        <w:trPr>
          <w:trHeight w:val="1449" w:hRule="atLeast"/>
        </w:trPr>
        <w:tc>
          <w:tcPr>
            <w:tcW w:w="1418" w:type="dxa"/>
            <w:shd w:val="clear" w:color="auto" w:fill="D9D9D9"/>
          </w:tcPr>
          <w:p>
            <w:pPr>
              <w:pStyle w:val="TableParagraph"/>
              <w:spacing w:line="276" w:lineRule="auto"/>
              <w:ind w:left="107" w:right="169"/>
              <w:rPr>
                <w:b/>
                <w:sz w:val="28"/>
              </w:rPr>
            </w:pPr>
            <w:r>
              <w:rPr>
                <w:b/>
                <w:sz w:val="28"/>
              </w:rPr>
              <w:t>Micronu- trient</w:t>
            </w:r>
          </w:p>
        </w:tc>
        <w:tc>
          <w:tcPr>
            <w:tcW w:w="1588" w:type="dxa"/>
            <w:shd w:val="clear" w:color="auto" w:fill="D9D9D9"/>
          </w:tcPr>
          <w:p>
            <w:pPr>
              <w:pStyle w:val="TableParagraph"/>
              <w:spacing w:line="276" w:lineRule="auto"/>
              <w:ind w:left="108" w:right="230"/>
              <w:rPr>
                <w:sz w:val="28"/>
              </w:rPr>
            </w:pPr>
            <w:r>
              <w:rPr>
                <w:b/>
                <w:sz w:val="28"/>
              </w:rPr>
              <w:t>Recom- mended amount </w:t>
            </w:r>
            <w:r>
              <w:rPr>
                <w:sz w:val="28"/>
              </w:rPr>
              <w:t>(if</w:t>
            </w:r>
          </w:p>
          <w:p>
            <w:pPr>
              <w:pStyle w:val="TableParagraph"/>
              <w:ind w:left="108"/>
              <w:rPr>
                <w:sz w:val="28"/>
              </w:rPr>
            </w:pPr>
            <w:r>
              <w:rPr>
                <w:sz w:val="28"/>
              </w:rPr>
              <w:t>known)</w:t>
            </w:r>
          </w:p>
        </w:tc>
        <w:tc>
          <w:tcPr>
            <w:tcW w:w="4536" w:type="dxa"/>
            <w:shd w:val="clear" w:color="auto" w:fill="D9D9D9"/>
          </w:tcPr>
          <w:p>
            <w:pPr>
              <w:pStyle w:val="TableParagraph"/>
              <w:spacing w:line="276" w:lineRule="auto"/>
              <w:ind w:left="107"/>
              <w:rPr>
                <w:sz w:val="28"/>
              </w:rPr>
            </w:pPr>
            <w:r>
              <w:rPr>
                <w:b/>
                <w:sz w:val="28"/>
              </w:rPr>
              <w:t>Explanation of effect </w:t>
            </w:r>
            <w:r>
              <w:rPr>
                <w:sz w:val="28"/>
              </w:rPr>
              <w:t>(to the extent known)</w:t>
            </w:r>
          </w:p>
        </w:tc>
      </w:tr>
      <w:tr>
        <w:trPr>
          <w:trHeight w:val="362" w:hRule="atLeast"/>
        </w:trPr>
        <w:tc>
          <w:tcPr>
            <w:tcW w:w="1418" w:type="dxa"/>
            <w:shd w:val="clear" w:color="auto" w:fill="85DFFF"/>
          </w:tcPr>
          <w:p>
            <w:pPr>
              <w:pStyle w:val="TableParagraph"/>
              <w:spacing w:line="314" w:lineRule="exact"/>
              <w:ind w:left="69" w:right="111"/>
              <w:jc w:val="center"/>
              <w:rPr>
                <w:b/>
                <w:i/>
                <w:sz w:val="29"/>
              </w:rPr>
            </w:pPr>
            <w:r>
              <w:rPr>
                <w:b/>
                <w:i/>
                <w:sz w:val="29"/>
              </w:rPr>
              <w:t>Vitamins:</w:t>
            </w:r>
          </w:p>
        </w:tc>
        <w:tc>
          <w:tcPr>
            <w:tcW w:w="6124" w:type="dxa"/>
            <w:gridSpan w:val="2"/>
          </w:tcPr>
          <w:p>
            <w:pPr>
              <w:pStyle w:val="TableParagraph"/>
              <w:rPr>
                <w:rFonts w:ascii="Times New Roman"/>
                <w:sz w:val="26"/>
              </w:rPr>
            </w:pPr>
          </w:p>
        </w:tc>
      </w:tr>
      <w:tr>
        <w:trPr>
          <w:trHeight w:val="725" w:hRule="atLeast"/>
        </w:trPr>
        <w:tc>
          <w:tcPr>
            <w:tcW w:w="1418" w:type="dxa"/>
            <w:shd w:val="clear" w:color="auto" w:fill="85DFFF"/>
          </w:tcPr>
          <w:p>
            <w:pPr>
              <w:pStyle w:val="TableParagraph"/>
              <w:spacing w:line="311" w:lineRule="exact"/>
              <w:ind w:left="42" w:right="111"/>
              <w:jc w:val="center"/>
              <w:rPr>
                <w:sz w:val="28"/>
              </w:rPr>
            </w:pPr>
            <w:r>
              <w:rPr>
                <w:sz w:val="28"/>
              </w:rPr>
              <w:t>Vitamin C</w:t>
            </w:r>
          </w:p>
        </w:tc>
        <w:tc>
          <w:tcPr>
            <w:tcW w:w="1588" w:type="dxa"/>
            <w:shd w:val="clear" w:color="auto" w:fill="BEBEBE"/>
          </w:tcPr>
          <w:p>
            <w:pPr>
              <w:pStyle w:val="TableParagraph"/>
              <w:spacing w:line="311" w:lineRule="exact"/>
              <w:ind w:left="108"/>
              <w:rPr>
                <w:sz w:val="28"/>
              </w:rPr>
            </w:pPr>
            <w:r>
              <w:rPr>
                <w:sz w:val="28"/>
              </w:rPr>
              <w:t>2000–5000</w:t>
            </w:r>
          </w:p>
          <w:p>
            <w:pPr>
              <w:pStyle w:val="TableParagraph"/>
              <w:spacing w:before="48"/>
              <w:ind w:left="108"/>
              <w:rPr>
                <w:sz w:val="28"/>
              </w:rPr>
            </w:pPr>
            <w:r>
              <w:rPr>
                <w:sz w:val="28"/>
              </w:rPr>
              <w:t>mg</w:t>
            </w:r>
          </w:p>
        </w:tc>
        <w:tc>
          <w:tcPr>
            <w:tcW w:w="4536" w:type="dxa"/>
            <w:shd w:val="clear" w:color="auto" w:fill="BEBEBE"/>
          </w:tcPr>
          <w:p>
            <w:pPr>
              <w:pStyle w:val="TableParagraph"/>
              <w:spacing w:line="311" w:lineRule="exact"/>
              <w:ind w:left="107"/>
              <w:rPr>
                <w:sz w:val="28"/>
              </w:rPr>
            </w:pPr>
            <w:r>
              <w:rPr>
                <w:sz w:val="28"/>
              </w:rPr>
              <w:t>Increases calcium conversion</w:t>
            </w:r>
          </w:p>
        </w:tc>
      </w:tr>
      <w:tr>
        <w:trPr>
          <w:trHeight w:val="724" w:hRule="atLeast"/>
        </w:trPr>
        <w:tc>
          <w:tcPr>
            <w:tcW w:w="1418" w:type="dxa"/>
            <w:shd w:val="clear" w:color="auto" w:fill="85DFFF"/>
          </w:tcPr>
          <w:p>
            <w:pPr>
              <w:pStyle w:val="TableParagraph"/>
              <w:spacing w:line="311" w:lineRule="exact"/>
              <w:ind w:left="107"/>
              <w:rPr>
                <w:sz w:val="28"/>
              </w:rPr>
            </w:pPr>
            <w:r>
              <w:rPr>
                <w:sz w:val="28"/>
              </w:rPr>
              <w:t>Vitamin</w:t>
            </w:r>
          </w:p>
          <w:p>
            <w:pPr>
              <w:pStyle w:val="TableParagraph"/>
              <w:spacing w:before="47"/>
              <w:ind w:left="107"/>
              <w:rPr>
                <w:sz w:val="28"/>
              </w:rPr>
            </w:pPr>
            <w:r>
              <w:rPr>
                <w:sz w:val="28"/>
              </w:rPr>
              <w:t>B1</w:t>
            </w:r>
          </w:p>
        </w:tc>
        <w:tc>
          <w:tcPr>
            <w:tcW w:w="1588" w:type="dxa"/>
          </w:tcPr>
          <w:p>
            <w:pPr>
              <w:pStyle w:val="TableParagraph"/>
              <w:spacing w:line="311" w:lineRule="exact"/>
              <w:ind w:left="108"/>
              <w:rPr>
                <w:sz w:val="28"/>
              </w:rPr>
            </w:pPr>
            <w:r>
              <w:rPr>
                <w:sz w:val="28"/>
              </w:rPr>
              <w:t>50 mg</w:t>
            </w:r>
          </w:p>
        </w:tc>
        <w:tc>
          <w:tcPr>
            <w:tcW w:w="4536" w:type="dxa"/>
          </w:tcPr>
          <w:p>
            <w:pPr>
              <w:pStyle w:val="TableParagraph"/>
              <w:spacing w:line="311" w:lineRule="exact"/>
              <w:ind w:left="107"/>
              <w:rPr>
                <w:sz w:val="28"/>
              </w:rPr>
            </w:pPr>
            <w:r>
              <w:rPr>
                <w:sz w:val="28"/>
              </w:rPr>
              <w:t>Slight deficiency may trigger depression</w:t>
            </w:r>
          </w:p>
        </w:tc>
      </w:tr>
      <w:tr>
        <w:trPr>
          <w:trHeight w:val="724" w:hRule="atLeast"/>
        </w:trPr>
        <w:tc>
          <w:tcPr>
            <w:tcW w:w="1418" w:type="dxa"/>
            <w:shd w:val="clear" w:color="auto" w:fill="85DFFF"/>
          </w:tcPr>
          <w:p>
            <w:pPr>
              <w:pStyle w:val="TableParagraph"/>
              <w:spacing w:line="311" w:lineRule="exact"/>
              <w:ind w:left="107"/>
              <w:rPr>
                <w:sz w:val="28"/>
              </w:rPr>
            </w:pPr>
            <w:r>
              <w:rPr>
                <w:sz w:val="28"/>
              </w:rPr>
              <w:t>Vitamin</w:t>
            </w:r>
          </w:p>
          <w:p>
            <w:pPr>
              <w:pStyle w:val="TableParagraph"/>
              <w:spacing w:before="47"/>
              <w:ind w:left="107"/>
              <w:rPr>
                <w:sz w:val="28"/>
              </w:rPr>
            </w:pPr>
            <w:r>
              <w:rPr>
                <w:sz w:val="28"/>
              </w:rPr>
              <w:t>B2</w:t>
            </w:r>
          </w:p>
        </w:tc>
        <w:tc>
          <w:tcPr>
            <w:tcW w:w="1588" w:type="dxa"/>
            <w:shd w:val="clear" w:color="auto" w:fill="BEBEBE"/>
          </w:tcPr>
          <w:p>
            <w:pPr>
              <w:pStyle w:val="TableParagraph"/>
              <w:spacing w:line="311" w:lineRule="exact"/>
              <w:ind w:left="108"/>
              <w:rPr>
                <w:sz w:val="28"/>
              </w:rPr>
            </w:pPr>
            <w:r>
              <w:rPr>
                <w:sz w:val="28"/>
              </w:rPr>
              <w:t>50 mg</w:t>
            </w:r>
          </w:p>
        </w:tc>
        <w:tc>
          <w:tcPr>
            <w:tcW w:w="4536" w:type="dxa"/>
            <w:shd w:val="clear" w:color="auto" w:fill="BEBEBE"/>
          </w:tcPr>
          <w:p>
            <w:pPr>
              <w:pStyle w:val="TableParagraph"/>
              <w:spacing w:line="311" w:lineRule="exact"/>
              <w:ind w:left="107"/>
              <w:rPr>
                <w:sz w:val="28"/>
              </w:rPr>
            </w:pPr>
            <w:r>
              <w:rPr>
                <w:sz w:val="28"/>
              </w:rPr>
              <w:t>Slight deficiency may trigger depression</w:t>
            </w:r>
          </w:p>
        </w:tc>
      </w:tr>
      <w:tr>
        <w:trPr>
          <w:trHeight w:val="724" w:hRule="atLeast"/>
        </w:trPr>
        <w:tc>
          <w:tcPr>
            <w:tcW w:w="1418" w:type="dxa"/>
            <w:shd w:val="clear" w:color="auto" w:fill="85DFFF"/>
          </w:tcPr>
          <w:p>
            <w:pPr>
              <w:pStyle w:val="TableParagraph"/>
              <w:spacing w:line="311" w:lineRule="exact"/>
              <w:ind w:left="107"/>
              <w:rPr>
                <w:sz w:val="28"/>
              </w:rPr>
            </w:pPr>
            <w:r>
              <w:rPr>
                <w:sz w:val="28"/>
              </w:rPr>
              <w:t>Vitamin</w:t>
            </w:r>
          </w:p>
          <w:p>
            <w:pPr>
              <w:pStyle w:val="TableParagraph"/>
              <w:spacing w:before="47"/>
              <w:ind w:left="107"/>
              <w:rPr>
                <w:sz w:val="28"/>
              </w:rPr>
            </w:pPr>
            <w:r>
              <w:rPr>
                <w:sz w:val="28"/>
              </w:rPr>
              <w:t>B3</w:t>
            </w:r>
          </w:p>
        </w:tc>
        <w:tc>
          <w:tcPr>
            <w:tcW w:w="1588" w:type="dxa"/>
          </w:tcPr>
          <w:p>
            <w:pPr>
              <w:pStyle w:val="TableParagraph"/>
              <w:rPr>
                <w:rFonts w:ascii="Times New Roman"/>
                <w:sz w:val="26"/>
              </w:rPr>
            </w:pPr>
          </w:p>
        </w:tc>
        <w:tc>
          <w:tcPr>
            <w:tcW w:w="4536" w:type="dxa"/>
          </w:tcPr>
          <w:p>
            <w:pPr>
              <w:pStyle w:val="TableParagraph"/>
              <w:spacing w:line="311" w:lineRule="exact"/>
              <w:ind w:left="107"/>
              <w:rPr>
                <w:sz w:val="28"/>
              </w:rPr>
            </w:pPr>
            <w:r>
              <w:rPr>
                <w:sz w:val="28"/>
              </w:rPr>
              <w:t>Slight deficiency may trigger depression</w:t>
            </w:r>
          </w:p>
        </w:tc>
      </w:tr>
      <w:tr>
        <w:trPr>
          <w:trHeight w:val="724" w:hRule="atLeast"/>
        </w:trPr>
        <w:tc>
          <w:tcPr>
            <w:tcW w:w="1418" w:type="dxa"/>
            <w:shd w:val="clear" w:color="auto" w:fill="85DFFF"/>
          </w:tcPr>
          <w:p>
            <w:pPr>
              <w:pStyle w:val="TableParagraph"/>
              <w:spacing w:line="311" w:lineRule="exact"/>
              <w:ind w:left="107"/>
              <w:rPr>
                <w:sz w:val="28"/>
              </w:rPr>
            </w:pPr>
            <w:r>
              <w:rPr>
                <w:sz w:val="28"/>
              </w:rPr>
              <w:t>Vitamin</w:t>
            </w:r>
          </w:p>
          <w:p>
            <w:pPr>
              <w:pStyle w:val="TableParagraph"/>
              <w:spacing w:before="47"/>
              <w:ind w:left="107"/>
              <w:rPr>
                <w:sz w:val="28"/>
              </w:rPr>
            </w:pPr>
            <w:r>
              <w:rPr>
                <w:sz w:val="28"/>
              </w:rPr>
              <w:t>B6</w:t>
            </w:r>
          </w:p>
        </w:tc>
        <w:tc>
          <w:tcPr>
            <w:tcW w:w="1588" w:type="dxa"/>
            <w:shd w:val="clear" w:color="auto" w:fill="BEBEBE"/>
          </w:tcPr>
          <w:p>
            <w:pPr>
              <w:pStyle w:val="TableParagraph"/>
              <w:spacing w:line="311" w:lineRule="exact"/>
              <w:ind w:left="108"/>
              <w:rPr>
                <w:sz w:val="28"/>
              </w:rPr>
            </w:pPr>
            <w:r>
              <w:rPr>
                <w:sz w:val="28"/>
              </w:rPr>
              <w:t>50 mg</w:t>
            </w:r>
          </w:p>
        </w:tc>
        <w:tc>
          <w:tcPr>
            <w:tcW w:w="4536" w:type="dxa"/>
            <w:shd w:val="clear" w:color="auto" w:fill="BEBEBE"/>
          </w:tcPr>
          <w:p>
            <w:pPr>
              <w:pStyle w:val="TableParagraph"/>
              <w:spacing w:line="311" w:lineRule="exact"/>
              <w:ind w:left="107"/>
              <w:rPr>
                <w:sz w:val="28"/>
              </w:rPr>
            </w:pPr>
            <w:r>
              <w:rPr>
                <w:sz w:val="28"/>
              </w:rPr>
              <w:t>Slight deficiency may trigger depression</w:t>
            </w:r>
          </w:p>
        </w:tc>
      </w:tr>
      <w:tr>
        <w:trPr>
          <w:trHeight w:val="724" w:hRule="atLeast"/>
        </w:trPr>
        <w:tc>
          <w:tcPr>
            <w:tcW w:w="1418" w:type="dxa"/>
            <w:shd w:val="clear" w:color="auto" w:fill="85DFFF"/>
          </w:tcPr>
          <w:p>
            <w:pPr>
              <w:pStyle w:val="TableParagraph"/>
              <w:spacing w:line="311" w:lineRule="exact"/>
              <w:ind w:left="107"/>
              <w:rPr>
                <w:sz w:val="28"/>
              </w:rPr>
            </w:pPr>
            <w:r>
              <w:rPr>
                <w:sz w:val="28"/>
              </w:rPr>
              <w:t>Vitamin</w:t>
            </w:r>
          </w:p>
          <w:p>
            <w:pPr>
              <w:pStyle w:val="TableParagraph"/>
              <w:spacing w:before="47"/>
              <w:ind w:left="107"/>
              <w:rPr>
                <w:sz w:val="28"/>
              </w:rPr>
            </w:pPr>
            <w:r>
              <w:rPr>
                <w:sz w:val="28"/>
              </w:rPr>
              <w:t>B12</w:t>
            </w:r>
          </w:p>
        </w:tc>
        <w:tc>
          <w:tcPr>
            <w:tcW w:w="1588" w:type="dxa"/>
          </w:tcPr>
          <w:p>
            <w:pPr>
              <w:pStyle w:val="TableParagraph"/>
              <w:rPr>
                <w:rFonts w:ascii="Times New Roman"/>
                <w:sz w:val="26"/>
              </w:rPr>
            </w:pPr>
          </w:p>
        </w:tc>
        <w:tc>
          <w:tcPr>
            <w:tcW w:w="4536" w:type="dxa"/>
          </w:tcPr>
          <w:p>
            <w:pPr>
              <w:pStyle w:val="TableParagraph"/>
              <w:spacing w:line="311" w:lineRule="exact"/>
              <w:ind w:left="107"/>
              <w:rPr>
                <w:sz w:val="28"/>
              </w:rPr>
            </w:pPr>
            <w:r>
              <w:rPr>
                <w:sz w:val="28"/>
              </w:rPr>
              <w:t>Slight deficiency may trigger depression</w:t>
            </w:r>
          </w:p>
        </w:tc>
      </w:tr>
      <w:tr>
        <w:trPr>
          <w:trHeight w:val="361" w:hRule="atLeast"/>
        </w:trPr>
        <w:tc>
          <w:tcPr>
            <w:tcW w:w="1418" w:type="dxa"/>
            <w:shd w:val="clear" w:color="auto" w:fill="85DFFF"/>
          </w:tcPr>
          <w:p>
            <w:pPr>
              <w:pStyle w:val="TableParagraph"/>
              <w:spacing w:line="311" w:lineRule="exact"/>
              <w:ind w:left="69" w:right="209"/>
              <w:jc w:val="center"/>
              <w:rPr>
                <w:sz w:val="28"/>
              </w:rPr>
            </w:pPr>
            <w:r>
              <w:rPr>
                <w:sz w:val="28"/>
              </w:rPr>
              <w:t>Folic acid</w:t>
            </w:r>
          </w:p>
        </w:tc>
        <w:tc>
          <w:tcPr>
            <w:tcW w:w="1588" w:type="dxa"/>
            <w:shd w:val="clear" w:color="auto" w:fill="BEBEBE"/>
          </w:tcPr>
          <w:p>
            <w:pPr>
              <w:pStyle w:val="TableParagraph"/>
              <w:rPr>
                <w:rFonts w:ascii="Times New Roman"/>
                <w:sz w:val="26"/>
              </w:rPr>
            </w:pPr>
          </w:p>
        </w:tc>
        <w:tc>
          <w:tcPr>
            <w:tcW w:w="4536" w:type="dxa"/>
            <w:shd w:val="clear" w:color="auto" w:fill="BEBEBE"/>
          </w:tcPr>
          <w:p>
            <w:pPr>
              <w:pStyle w:val="TableParagraph"/>
              <w:spacing w:line="311" w:lineRule="exact"/>
              <w:ind w:left="107"/>
              <w:rPr>
                <w:sz w:val="28"/>
              </w:rPr>
            </w:pPr>
            <w:r>
              <w:rPr>
                <w:sz w:val="28"/>
              </w:rPr>
              <w:t>Raises serotonin level</w:t>
            </w:r>
          </w:p>
        </w:tc>
      </w:tr>
      <w:tr>
        <w:trPr>
          <w:trHeight w:val="724" w:hRule="atLeast"/>
        </w:trPr>
        <w:tc>
          <w:tcPr>
            <w:tcW w:w="1418" w:type="dxa"/>
            <w:shd w:val="clear" w:color="auto" w:fill="85DFFF"/>
          </w:tcPr>
          <w:p>
            <w:pPr>
              <w:pStyle w:val="TableParagraph"/>
              <w:spacing w:line="311" w:lineRule="exact"/>
              <w:ind w:left="69" w:right="100"/>
              <w:jc w:val="center"/>
              <w:rPr>
                <w:sz w:val="28"/>
              </w:rPr>
            </w:pPr>
            <w:r>
              <w:rPr>
                <w:sz w:val="28"/>
              </w:rPr>
              <w:t>Vitamin D</w:t>
            </w:r>
          </w:p>
        </w:tc>
        <w:tc>
          <w:tcPr>
            <w:tcW w:w="1588" w:type="dxa"/>
          </w:tcPr>
          <w:p>
            <w:pPr>
              <w:pStyle w:val="TableParagraph"/>
              <w:spacing w:line="311" w:lineRule="exact"/>
              <w:ind w:left="108"/>
              <w:rPr>
                <w:sz w:val="28"/>
              </w:rPr>
            </w:pPr>
            <w:r>
              <w:rPr>
                <w:sz w:val="28"/>
              </w:rPr>
              <w:t>10–20 mcg</w:t>
            </w:r>
          </w:p>
        </w:tc>
        <w:tc>
          <w:tcPr>
            <w:tcW w:w="4536" w:type="dxa"/>
          </w:tcPr>
          <w:p>
            <w:pPr>
              <w:pStyle w:val="TableParagraph"/>
              <w:spacing w:line="311" w:lineRule="exact"/>
              <w:ind w:left="107"/>
              <w:rPr>
                <w:sz w:val="28"/>
              </w:rPr>
            </w:pPr>
            <w:r>
              <w:rPr>
                <w:sz w:val="28"/>
              </w:rPr>
              <w:t>Especially effective for seasonal depres-</w:t>
            </w:r>
          </w:p>
          <w:p>
            <w:pPr>
              <w:pStyle w:val="TableParagraph"/>
              <w:spacing w:before="47"/>
              <w:ind w:left="107"/>
              <w:rPr>
                <w:sz w:val="28"/>
              </w:rPr>
            </w:pPr>
            <w:r>
              <w:rPr>
                <w:sz w:val="28"/>
              </w:rPr>
              <w:t>sion</w:t>
            </w:r>
          </w:p>
        </w:tc>
      </w:tr>
    </w:tbl>
    <w:p>
      <w:pPr>
        <w:spacing w:after="0"/>
        <w:rPr>
          <w:sz w:val="28"/>
        </w:rPr>
        <w:sectPr>
          <w:pgSz w:w="18630" w:h="11910" w:orient="landscape"/>
          <w:pgMar w:header="0" w:footer="404" w:top="840" w:bottom="600" w:left="740" w:right="80"/>
        </w:sectPr>
      </w:pPr>
    </w:p>
    <w:tbl>
      <w:tblPr>
        <w:tblW w:w="0" w:type="auto"/>
        <w:jc w:val="left"/>
        <w:tblInd w:w="4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8"/>
        <w:gridCol w:w="1588"/>
        <w:gridCol w:w="4536"/>
      </w:tblGrid>
      <w:tr>
        <w:trPr>
          <w:trHeight w:val="724" w:hRule="atLeast"/>
        </w:trPr>
        <w:tc>
          <w:tcPr>
            <w:tcW w:w="1418" w:type="dxa"/>
            <w:shd w:val="clear" w:color="auto" w:fill="85DFFF"/>
          </w:tcPr>
          <w:p>
            <w:pPr>
              <w:pStyle w:val="TableParagraph"/>
              <w:spacing w:line="311" w:lineRule="exact"/>
              <w:ind w:left="107"/>
              <w:rPr>
                <w:sz w:val="28"/>
              </w:rPr>
            </w:pPr>
            <w:r>
              <w:rPr>
                <w:sz w:val="28"/>
              </w:rPr>
              <w:t>Biotin</w:t>
            </w:r>
          </w:p>
        </w:tc>
        <w:tc>
          <w:tcPr>
            <w:tcW w:w="1588" w:type="dxa"/>
            <w:shd w:val="clear" w:color="auto" w:fill="BEBEBE"/>
          </w:tcPr>
          <w:p>
            <w:pPr>
              <w:pStyle w:val="TableParagraph"/>
              <w:spacing w:line="311" w:lineRule="exact"/>
              <w:ind w:left="108"/>
              <w:rPr>
                <w:sz w:val="28"/>
              </w:rPr>
            </w:pPr>
            <w:r>
              <w:rPr>
                <w:sz w:val="28"/>
              </w:rPr>
              <w:t>150 ug</w:t>
            </w:r>
          </w:p>
        </w:tc>
        <w:tc>
          <w:tcPr>
            <w:tcW w:w="4536" w:type="dxa"/>
            <w:shd w:val="clear" w:color="auto" w:fill="BEBEBE"/>
          </w:tcPr>
          <w:p>
            <w:pPr>
              <w:pStyle w:val="TableParagraph"/>
              <w:spacing w:line="311" w:lineRule="exact"/>
              <w:ind w:left="107"/>
              <w:rPr>
                <w:sz w:val="28"/>
              </w:rPr>
            </w:pPr>
            <w:r>
              <w:rPr>
                <w:sz w:val="28"/>
              </w:rPr>
              <w:t>Slight deficiency can already trigger de-</w:t>
            </w:r>
          </w:p>
          <w:p>
            <w:pPr>
              <w:pStyle w:val="TableParagraph"/>
              <w:spacing w:before="48"/>
              <w:ind w:left="107"/>
              <w:rPr>
                <w:sz w:val="28"/>
              </w:rPr>
            </w:pPr>
            <w:r>
              <w:rPr>
                <w:sz w:val="28"/>
              </w:rPr>
              <w:t>pression and anxiety</w:t>
            </w:r>
          </w:p>
        </w:tc>
      </w:tr>
      <w:tr>
        <w:trPr>
          <w:trHeight w:val="362" w:hRule="atLeast"/>
        </w:trPr>
        <w:tc>
          <w:tcPr>
            <w:tcW w:w="1418" w:type="dxa"/>
            <w:shd w:val="clear" w:color="auto" w:fill="85DFFF"/>
          </w:tcPr>
          <w:p>
            <w:pPr>
              <w:pStyle w:val="TableParagraph"/>
              <w:spacing w:line="314" w:lineRule="exact"/>
              <w:ind w:left="107"/>
              <w:rPr>
                <w:b/>
                <w:i/>
                <w:sz w:val="29"/>
              </w:rPr>
            </w:pPr>
            <w:r>
              <w:rPr>
                <w:b/>
                <w:i/>
                <w:sz w:val="29"/>
              </w:rPr>
              <w:t>Minerals:</w:t>
            </w:r>
          </w:p>
        </w:tc>
        <w:tc>
          <w:tcPr>
            <w:tcW w:w="6124" w:type="dxa"/>
            <w:gridSpan w:val="2"/>
          </w:tcPr>
          <w:p>
            <w:pPr>
              <w:pStyle w:val="TableParagraph"/>
              <w:rPr>
                <w:rFonts w:ascii="Times New Roman"/>
                <w:sz w:val="28"/>
              </w:rPr>
            </w:pPr>
          </w:p>
        </w:tc>
      </w:tr>
      <w:tr>
        <w:trPr>
          <w:trHeight w:val="1811" w:hRule="atLeast"/>
        </w:trPr>
        <w:tc>
          <w:tcPr>
            <w:tcW w:w="1418" w:type="dxa"/>
            <w:shd w:val="clear" w:color="auto" w:fill="85DFFF"/>
          </w:tcPr>
          <w:p>
            <w:pPr>
              <w:pStyle w:val="TableParagraph"/>
              <w:spacing w:line="276" w:lineRule="auto"/>
              <w:ind w:left="107" w:right="461"/>
              <w:rPr>
                <w:sz w:val="28"/>
              </w:rPr>
            </w:pPr>
            <w:r>
              <w:rPr>
                <w:sz w:val="28"/>
              </w:rPr>
              <w:t>Magne- sium</w:t>
            </w:r>
          </w:p>
        </w:tc>
        <w:tc>
          <w:tcPr>
            <w:tcW w:w="1588" w:type="dxa"/>
            <w:shd w:val="clear" w:color="auto" w:fill="BEBEBE"/>
          </w:tcPr>
          <w:p>
            <w:pPr>
              <w:pStyle w:val="TableParagraph"/>
              <w:spacing w:line="311" w:lineRule="exact"/>
              <w:ind w:left="108"/>
              <w:rPr>
                <w:sz w:val="28"/>
              </w:rPr>
            </w:pPr>
            <w:r>
              <w:rPr>
                <w:sz w:val="28"/>
              </w:rPr>
              <w:t>600 mg</w:t>
            </w:r>
          </w:p>
        </w:tc>
        <w:tc>
          <w:tcPr>
            <w:tcW w:w="4536" w:type="dxa"/>
            <w:shd w:val="clear" w:color="auto" w:fill="BEBEBE"/>
          </w:tcPr>
          <w:p>
            <w:pPr>
              <w:pStyle w:val="TableParagraph"/>
              <w:spacing w:line="276" w:lineRule="auto"/>
              <w:ind w:left="107" w:right="147"/>
              <w:rPr>
                <w:sz w:val="28"/>
              </w:rPr>
            </w:pPr>
            <w:r>
              <w:rPr>
                <w:sz w:val="28"/>
              </w:rPr>
              <w:t>Magnesium activates the B vitamins that counteract depression. Magnesium deficiency is commonly seen in people with depression, often due to stress, ill-</w:t>
            </w:r>
          </w:p>
          <w:p>
            <w:pPr>
              <w:pStyle w:val="TableParagraph"/>
              <w:ind w:left="107"/>
              <w:rPr>
                <w:sz w:val="28"/>
              </w:rPr>
            </w:pPr>
            <w:r>
              <w:rPr>
                <w:sz w:val="28"/>
              </w:rPr>
              <w:t>ness and medication.</w:t>
            </w:r>
          </w:p>
        </w:tc>
      </w:tr>
      <w:tr>
        <w:trPr>
          <w:trHeight w:val="725" w:hRule="atLeast"/>
        </w:trPr>
        <w:tc>
          <w:tcPr>
            <w:tcW w:w="1418" w:type="dxa"/>
            <w:shd w:val="clear" w:color="auto" w:fill="85DFFF"/>
          </w:tcPr>
          <w:p>
            <w:pPr>
              <w:pStyle w:val="TableParagraph"/>
              <w:spacing w:line="312" w:lineRule="exact"/>
              <w:ind w:left="107"/>
              <w:rPr>
                <w:sz w:val="28"/>
              </w:rPr>
            </w:pPr>
            <w:r>
              <w:rPr>
                <w:sz w:val="28"/>
              </w:rPr>
              <w:t>Calcium</w:t>
            </w:r>
          </w:p>
        </w:tc>
        <w:tc>
          <w:tcPr>
            <w:tcW w:w="1588" w:type="dxa"/>
          </w:tcPr>
          <w:p>
            <w:pPr>
              <w:pStyle w:val="TableParagraph"/>
              <w:spacing w:line="312" w:lineRule="exact"/>
              <w:ind w:left="108"/>
              <w:rPr>
                <w:sz w:val="28"/>
              </w:rPr>
            </w:pPr>
            <w:r>
              <w:rPr>
                <w:sz w:val="28"/>
              </w:rPr>
              <w:t>1000 mg</w:t>
            </w:r>
          </w:p>
        </w:tc>
        <w:tc>
          <w:tcPr>
            <w:tcW w:w="4536" w:type="dxa"/>
          </w:tcPr>
          <w:p>
            <w:pPr>
              <w:pStyle w:val="TableParagraph"/>
              <w:spacing w:line="312" w:lineRule="exact"/>
              <w:ind w:left="107"/>
              <w:rPr>
                <w:sz w:val="28"/>
              </w:rPr>
            </w:pPr>
            <w:r>
              <w:rPr>
                <w:sz w:val="28"/>
              </w:rPr>
              <w:t>Especially effective for seasonal depres-</w:t>
            </w:r>
          </w:p>
          <w:p>
            <w:pPr>
              <w:pStyle w:val="TableParagraph"/>
              <w:spacing w:before="47"/>
              <w:ind w:left="107"/>
              <w:rPr>
                <w:sz w:val="28"/>
              </w:rPr>
            </w:pPr>
            <w:r>
              <w:rPr>
                <w:sz w:val="28"/>
              </w:rPr>
              <w:t>sion</w:t>
            </w:r>
          </w:p>
        </w:tc>
      </w:tr>
      <w:tr>
        <w:trPr>
          <w:trHeight w:val="724" w:hRule="atLeast"/>
        </w:trPr>
        <w:tc>
          <w:tcPr>
            <w:tcW w:w="1418" w:type="dxa"/>
            <w:shd w:val="clear" w:color="auto" w:fill="85DFFF"/>
          </w:tcPr>
          <w:p>
            <w:pPr>
              <w:pStyle w:val="TableParagraph"/>
              <w:spacing w:line="311" w:lineRule="exact"/>
              <w:ind w:left="107"/>
              <w:rPr>
                <w:sz w:val="28"/>
              </w:rPr>
            </w:pPr>
            <w:r>
              <w:rPr>
                <w:sz w:val="28"/>
              </w:rPr>
              <w:t>Zinc</w:t>
            </w:r>
          </w:p>
        </w:tc>
        <w:tc>
          <w:tcPr>
            <w:tcW w:w="1588" w:type="dxa"/>
            <w:shd w:val="clear" w:color="auto" w:fill="BEBEBE"/>
          </w:tcPr>
          <w:p>
            <w:pPr>
              <w:pStyle w:val="TableParagraph"/>
              <w:spacing w:line="311" w:lineRule="exact"/>
              <w:ind w:left="108"/>
              <w:rPr>
                <w:sz w:val="28"/>
              </w:rPr>
            </w:pPr>
            <w:r>
              <w:rPr>
                <w:sz w:val="28"/>
              </w:rPr>
              <w:t>30-60 mg</w:t>
            </w:r>
          </w:p>
        </w:tc>
        <w:tc>
          <w:tcPr>
            <w:tcW w:w="4536" w:type="dxa"/>
            <w:shd w:val="clear" w:color="auto" w:fill="BEBEBE"/>
          </w:tcPr>
          <w:p>
            <w:pPr>
              <w:pStyle w:val="TableParagraph"/>
              <w:spacing w:line="311" w:lineRule="exact"/>
              <w:ind w:left="107"/>
              <w:rPr>
                <w:sz w:val="28"/>
              </w:rPr>
            </w:pPr>
            <w:r>
              <w:rPr>
                <w:sz w:val="28"/>
              </w:rPr>
              <w:t>Zinc deficiency is often observed in</w:t>
            </w:r>
          </w:p>
          <w:p>
            <w:pPr>
              <w:pStyle w:val="TableParagraph"/>
              <w:spacing w:before="47"/>
              <w:ind w:left="107"/>
              <w:rPr>
                <w:sz w:val="28"/>
              </w:rPr>
            </w:pPr>
            <w:r>
              <w:rPr>
                <w:sz w:val="28"/>
              </w:rPr>
              <w:t>people with depression</w:t>
            </w:r>
          </w:p>
        </w:tc>
      </w:tr>
      <w:tr>
        <w:trPr>
          <w:trHeight w:val="1086" w:hRule="atLeast"/>
        </w:trPr>
        <w:tc>
          <w:tcPr>
            <w:tcW w:w="1418" w:type="dxa"/>
            <w:shd w:val="clear" w:color="auto" w:fill="85DFFF"/>
          </w:tcPr>
          <w:p>
            <w:pPr>
              <w:pStyle w:val="TableParagraph"/>
              <w:spacing w:line="311" w:lineRule="exact"/>
              <w:ind w:left="107"/>
              <w:rPr>
                <w:sz w:val="28"/>
              </w:rPr>
            </w:pPr>
            <w:r>
              <w:rPr>
                <w:sz w:val="28"/>
              </w:rPr>
              <w:t>Chromium</w:t>
            </w:r>
          </w:p>
        </w:tc>
        <w:tc>
          <w:tcPr>
            <w:tcW w:w="1588" w:type="dxa"/>
          </w:tcPr>
          <w:p>
            <w:pPr>
              <w:pStyle w:val="TableParagraph"/>
              <w:rPr>
                <w:rFonts w:ascii="Times New Roman"/>
                <w:sz w:val="28"/>
              </w:rPr>
            </w:pPr>
          </w:p>
        </w:tc>
        <w:tc>
          <w:tcPr>
            <w:tcW w:w="4536" w:type="dxa"/>
          </w:tcPr>
          <w:p>
            <w:pPr>
              <w:pStyle w:val="TableParagraph"/>
              <w:spacing w:line="276" w:lineRule="auto"/>
              <w:ind w:left="107" w:right="21"/>
              <w:rPr>
                <w:sz w:val="28"/>
              </w:rPr>
            </w:pPr>
            <w:r>
              <w:rPr>
                <w:sz w:val="28"/>
              </w:rPr>
              <w:t>Optimises the metabolisation of amino acids, thus counteracting depression and</w:t>
            </w:r>
          </w:p>
          <w:p>
            <w:pPr>
              <w:pStyle w:val="TableParagraph"/>
              <w:ind w:left="107"/>
              <w:rPr>
                <w:sz w:val="28"/>
              </w:rPr>
            </w:pPr>
            <w:r>
              <w:rPr>
                <w:sz w:val="28"/>
              </w:rPr>
              <w:t>anxiety.</w:t>
            </w:r>
          </w:p>
        </w:tc>
      </w:tr>
      <w:tr>
        <w:trPr>
          <w:trHeight w:val="724" w:hRule="atLeast"/>
        </w:trPr>
        <w:tc>
          <w:tcPr>
            <w:tcW w:w="1418" w:type="dxa"/>
            <w:shd w:val="clear" w:color="auto" w:fill="85DFFF"/>
          </w:tcPr>
          <w:p>
            <w:pPr>
              <w:pStyle w:val="TableParagraph"/>
              <w:spacing w:line="311" w:lineRule="exact"/>
              <w:ind w:left="107"/>
              <w:rPr>
                <w:sz w:val="28"/>
              </w:rPr>
            </w:pPr>
            <w:r>
              <w:rPr>
                <w:sz w:val="28"/>
              </w:rPr>
              <w:t>Selenium</w:t>
            </w:r>
          </w:p>
        </w:tc>
        <w:tc>
          <w:tcPr>
            <w:tcW w:w="1588" w:type="dxa"/>
            <w:shd w:val="clear" w:color="auto" w:fill="BEBEBE"/>
          </w:tcPr>
          <w:p>
            <w:pPr>
              <w:pStyle w:val="TableParagraph"/>
              <w:spacing w:line="311" w:lineRule="exact"/>
              <w:ind w:left="108"/>
              <w:rPr>
                <w:sz w:val="28"/>
              </w:rPr>
            </w:pPr>
            <w:r>
              <w:rPr>
                <w:sz w:val="28"/>
              </w:rPr>
              <w:t>up to</w:t>
            </w:r>
            <w:r>
              <w:rPr>
                <w:spacing w:val="62"/>
                <w:sz w:val="28"/>
              </w:rPr>
              <w:t> </w:t>
            </w:r>
            <w:r>
              <w:rPr>
                <w:sz w:val="28"/>
              </w:rPr>
              <w:t>1000</w:t>
            </w:r>
          </w:p>
          <w:p>
            <w:pPr>
              <w:pStyle w:val="TableParagraph"/>
              <w:spacing w:before="47"/>
              <w:ind w:left="108"/>
              <w:rPr>
                <w:sz w:val="28"/>
              </w:rPr>
            </w:pPr>
            <w:r>
              <w:rPr>
                <w:sz w:val="28"/>
              </w:rPr>
              <w:t>μg</w:t>
            </w:r>
          </w:p>
        </w:tc>
        <w:tc>
          <w:tcPr>
            <w:tcW w:w="4536" w:type="dxa"/>
            <w:shd w:val="clear" w:color="auto" w:fill="BEBEBE"/>
          </w:tcPr>
          <w:p>
            <w:pPr>
              <w:pStyle w:val="TableParagraph"/>
              <w:rPr>
                <w:rFonts w:ascii="Times New Roman"/>
                <w:sz w:val="28"/>
              </w:rPr>
            </w:pPr>
          </w:p>
        </w:tc>
      </w:tr>
      <w:tr>
        <w:trPr>
          <w:trHeight w:val="724" w:hRule="atLeast"/>
        </w:trPr>
        <w:tc>
          <w:tcPr>
            <w:tcW w:w="1418" w:type="dxa"/>
            <w:shd w:val="clear" w:color="auto" w:fill="85DFFF"/>
          </w:tcPr>
          <w:p>
            <w:pPr>
              <w:pStyle w:val="TableParagraph"/>
              <w:spacing w:line="314" w:lineRule="exact"/>
              <w:ind w:left="107"/>
              <w:rPr>
                <w:b/>
                <w:i/>
                <w:sz w:val="29"/>
              </w:rPr>
            </w:pPr>
            <w:r>
              <w:rPr>
                <w:b/>
                <w:i/>
                <w:sz w:val="29"/>
              </w:rPr>
              <w:t>Amino</w:t>
            </w:r>
          </w:p>
          <w:p>
            <w:pPr>
              <w:pStyle w:val="TableParagraph"/>
              <w:spacing w:before="36"/>
              <w:ind w:left="107"/>
              <w:rPr>
                <w:b/>
                <w:i/>
                <w:sz w:val="29"/>
              </w:rPr>
            </w:pPr>
            <w:r>
              <w:rPr>
                <w:b/>
                <w:i/>
                <w:sz w:val="29"/>
              </w:rPr>
              <w:t>acids:</w:t>
            </w:r>
          </w:p>
        </w:tc>
        <w:tc>
          <w:tcPr>
            <w:tcW w:w="6124" w:type="dxa"/>
            <w:gridSpan w:val="2"/>
          </w:tcPr>
          <w:p>
            <w:pPr>
              <w:pStyle w:val="TableParagraph"/>
              <w:rPr>
                <w:rFonts w:ascii="Times New Roman"/>
                <w:sz w:val="28"/>
              </w:rPr>
            </w:pPr>
          </w:p>
        </w:tc>
      </w:tr>
      <w:tr>
        <w:trPr>
          <w:trHeight w:val="1449" w:hRule="atLeast"/>
        </w:trPr>
        <w:tc>
          <w:tcPr>
            <w:tcW w:w="1418" w:type="dxa"/>
            <w:shd w:val="clear" w:color="auto" w:fill="85DFFF"/>
          </w:tcPr>
          <w:p>
            <w:pPr>
              <w:pStyle w:val="TableParagraph"/>
              <w:spacing w:line="276" w:lineRule="auto"/>
              <w:ind w:left="107" w:right="101"/>
              <w:rPr>
                <w:sz w:val="28"/>
              </w:rPr>
            </w:pPr>
            <w:r>
              <w:rPr>
                <w:sz w:val="28"/>
              </w:rPr>
              <w:t>S-adenosil- methio- nine</w:t>
            </w:r>
          </w:p>
          <w:p>
            <w:pPr>
              <w:pStyle w:val="TableParagraph"/>
              <w:ind w:left="107"/>
              <w:rPr>
                <w:sz w:val="28"/>
              </w:rPr>
            </w:pPr>
            <w:r>
              <w:rPr>
                <w:sz w:val="28"/>
              </w:rPr>
              <w:t>(SAMe)</w:t>
            </w:r>
          </w:p>
        </w:tc>
        <w:tc>
          <w:tcPr>
            <w:tcW w:w="1588" w:type="dxa"/>
            <w:shd w:val="clear" w:color="auto" w:fill="BEBEBE"/>
          </w:tcPr>
          <w:p>
            <w:pPr>
              <w:pStyle w:val="TableParagraph"/>
              <w:spacing w:line="276" w:lineRule="auto"/>
              <w:ind w:left="108"/>
              <w:rPr>
                <w:sz w:val="28"/>
              </w:rPr>
            </w:pPr>
            <w:r>
              <w:rPr>
                <w:sz w:val="28"/>
              </w:rPr>
              <w:t>400 mg x 4 per day</w:t>
            </w:r>
          </w:p>
        </w:tc>
        <w:tc>
          <w:tcPr>
            <w:tcW w:w="4536" w:type="dxa"/>
            <w:shd w:val="clear" w:color="auto" w:fill="BEBEBE"/>
          </w:tcPr>
          <w:p>
            <w:pPr>
              <w:pStyle w:val="TableParagraph"/>
              <w:spacing w:line="276" w:lineRule="auto"/>
              <w:ind w:left="107"/>
              <w:rPr>
                <w:sz w:val="28"/>
              </w:rPr>
            </w:pPr>
            <w:r>
              <w:rPr>
                <w:sz w:val="28"/>
              </w:rPr>
              <w:t>Increases serotonin phosphatidylserine and dopamine levels</w:t>
            </w:r>
          </w:p>
        </w:tc>
      </w:tr>
    </w:tbl>
    <w:p>
      <w:pPr>
        <w:spacing w:after="0" w:line="276" w:lineRule="auto"/>
        <w:rPr>
          <w:sz w:val="28"/>
        </w:rPr>
        <w:sectPr>
          <w:pgSz w:w="18630" w:h="11910" w:orient="landscape"/>
          <w:pgMar w:header="0" w:footer="404" w:top="840" w:bottom="600" w:left="740" w:right="80"/>
        </w:sectPr>
      </w:pPr>
    </w:p>
    <w:p>
      <w:pPr>
        <w:spacing w:line="276" w:lineRule="auto" w:before="85"/>
        <w:ind w:left="112" w:right="572" w:firstLine="0"/>
        <w:jc w:val="left"/>
        <w:rPr>
          <w:sz w:val="24"/>
        </w:rPr>
      </w:pPr>
      <w:r>
        <w:rPr>
          <w:b/>
          <w:sz w:val="24"/>
        </w:rPr>
        <w:t>Sources: </w:t>
      </w:r>
      <w:r>
        <w:rPr>
          <w:sz w:val="24"/>
        </w:rPr>
        <w:t>Zimmermann, Michael et al.: Burgersteins Handbuch der Nährstoffe (‘Nutrient Manual’), Haug-Verlag, Heidelberg, 2000; Schilcher, Heinz and Kammerer, Susanne: Leitfaden Phytotherapie (‘Guide to Phytotherapy’), 2nd Edition, Urban &amp; Fischer.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59"/>
        <w:gridCol w:w="1995"/>
        <w:gridCol w:w="1703"/>
        <w:gridCol w:w="1558"/>
        <w:gridCol w:w="1419"/>
        <w:gridCol w:w="1702"/>
        <w:gridCol w:w="1844"/>
        <w:gridCol w:w="1558"/>
        <w:gridCol w:w="1702"/>
        <w:gridCol w:w="1974"/>
      </w:tblGrid>
      <w:tr>
        <w:trPr>
          <w:trHeight w:val="1243" w:hRule="atLeast"/>
        </w:trPr>
        <w:tc>
          <w:tcPr>
            <w:tcW w:w="17114" w:type="dxa"/>
            <w:gridSpan w:val="10"/>
            <w:shd w:val="clear" w:color="auto" w:fill="FAD3B4"/>
          </w:tcPr>
          <w:p>
            <w:pPr>
              <w:pStyle w:val="TableParagraph"/>
              <w:spacing w:line="460" w:lineRule="atLeast" w:before="258"/>
              <w:ind w:left="6600" w:right="1834" w:hanging="4705"/>
              <w:rPr>
                <w:b/>
                <w:sz w:val="36"/>
              </w:rPr>
            </w:pPr>
            <w:r>
              <w:rPr>
                <w:b/>
                <w:sz w:val="36"/>
              </w:rPr>
              <w:t>SUBSTANCE-EFFECT TABLE OF NATURAL REMEDIES THAT COUNTERACT FUNGAL INFECTIONS</w:t>
            </w:r>
          </w:p>
        </w:tc>
      </w:tr>
      <w:tr>
        <w:trPr>
          <w:trHeight w:val="1415" w:hRule="atLeast"/>
        </w:trPr>
        <w:tc>
          <w:tcPr>
            <w:tcW w:w="1659" w:type="dxa"/>
            <w:shd w:val="clear" w:color="auto" w:fill="FFFF00"/>
          </w:tcPr>
          <w:p>
            <w:pPr>
              <w:pStyle w:val="TableParagraph"/>
              <w:rPr>
                <w:sz w:val="24"/>
              </w:rPr>
            </w:pPr>
          </w:p>
          <w:p>
            <w:pPr>
              <w:pStyle w:val="TableParagraph"/>
              <w:spacing w:line="273" w:lineRule="auto" w:before="214"/>
              <w:ind w:left="107" w:right="339"/>
              <w:rPr>
                <w:b/>
                <w:sz w:val="22"/>
              </w:rPr>
            </w:pPr>
            <w:r>
              <w:rPr>
                <w:b/>
                <w:sz w:val="22"/>
              </w:rPr>
              <w:t>Natural sub- stance</w:t>
            </w:r>
          </w:p>
        </w:tc>
        <w:tc>
          <w:tcPr>
            <w:tcW w:w="1995" w:type="dxa"/>
            <w:shd w:val="clear" w:color="auto" w:fill="FFFF00"/>
          </w:tcPr>
          <w:p>
            <w:pPr>
              <w:pStyle w:val="TableParagraph"/>
              <w:rPr>
                <w:sz w:val="24"/>
              </w:rPr>
            </w:pPr>
          </w:p>
          <w:p>
            <w:pPr>
              <w:pStyle w:val="TableParagraph"/>
              <w:spacing w:line="273" w:lineRule="auto" w:before="214"/>
              <w:ind w:left="105" w:right="248"/>
              <w:rPr>
                <w:b/>
                <w:sz w:val="22"/>
              </w:rPr>
            </w:pPr>
            <w:r>
              <w:rPr>
                <w:b/>
                <w:sz w:val="22"/>
              </w:rPr>
              <w:t>Fungicidal (Anti- fungal) effect</w:t>
            </w:r>
          </w:p>
        </w:tc>
        <w:tc>
          <w:tcPr>
            <w:tcW w:w="1703" w:type="dxa"/>
            <w:shd w:val="clear" w:color="auto" w:fill="FFFF00"/>
          </w:tcPr>
          <w:p>
            <w:pPr>
              <w:pStyle w:val="TableParagraph"/>
              <w:rPr>
                <w:sz w:val="24"/>
              </w:rPr>
            </w:pPr>
          </w:p>
          <w:p>
            <w:pPr>
              <w:pStyle w:val="TableParagraph"/>
              <w:spacing w:line="276" w:lineRule="auto" w:before="214"/>
              <w:ind w:left="104" w:right="320"/>
              <w:jc w:val="both"/>
              <w:rPr>
                <w:b/>
                <w:sz w:val="22"/>
              </w:rPr>
            </w:pPr>
            <w:r>
              <w:rPr>
                <w:b/>
                <w:sz w:val="22"/>
              </w:rPr>
              <w:t>Immune sys- tem-stimulat- ing</w:t>
            </w:r>
          </w:p>
        </w:tc>
        <w:tc>
          <w:tcPr>
            <w:tcW w:w="1558" w:type="dxa"/>
            <w:shd w:val="clear" w:color="auto" w:fill="FFFF00"/>
          </w:tcPr>
          <w:p>
            <w:pPr>
              <w:pStyle w:val="TableParagraph"/>
              <w:rPr>
                <w:sz w:val="24"/>
              </w:rPr>
            </w:pPr>
          </w:p>
          <w:p>
            <w:pPr>
              <w:pStyle w:val="TableParagraph"/>
              <w:spacing w:line="273" w:lineRule="auto" w:before="214"/>
              <w:ind w:left="103" w:right="121"/>
              <w:rPr>
                <w:b/>
                <w:sz w:val="22"/>
              </w:rPr>
            </w:pPr>
            <w:r>
              <w:rPr>
                <w:b/>
                <w:sz w:val="22"/>
              </w:rPr>
              <w:t>Deacidifyinge effect</w:t>
            </w:r>
          </w:p>
        </w:tc>
        <w:tc>
          <w:tcPr>
            <w:tcW w:w="1419" w:type="dxa"/>
            <w:shd w:val="clear" w:color="auto" w:fill="FFFF00"/>
          </w:tcPr>
          <w:p>
            <w:pPr>
              <w:pStyle w:val="TableParagraph"/>
              <w:rPr>
                <w:sz w:val="24"/>
              </w:rPr>
            </w:pPr>
          </w:p>
          <w:p>
            <w:pPr>
              <w:pStyle w:val="TableParagraph"/>
              <w:spacing w:line="273" w:lineRule="auto" w:before="214"/>
              <w:ind w:left="105" w:right="83"/>
              <w:rPr>
                <w:b/>
                <w:sz w:val="22"/>
              </w:rPr>
            </w:pPr>
            <w:r>
              <w:rPr>
                <w:b/>
                <w:sz w:val="22"/>
              </w:rPr>
              <w:t>Removal of heavy metals</w:t>
            </w:r>
          </w:p>
        </w:tc>
        <w:tc>
          <w:tcPr>
            <w:tcW w:w="1702" w:type="dxa"/>
            <w:shd w:val="clear" w:color="auto" w:fill="FFFF00"/>
          </w:tcPr>
          <w:p>
            <w:pPr>
              <w:pStyle w:val="TableParagraph"/>
              <w:rPr>
                <w:sz w:val="24"/>
              </w:rPr>
            </w:pPr>
          </w:p>
          <w:p>
            <w:pPr>
              <w:pStyle w:val="TableParagraph"/>
              <w:spacing w:line="273" w:lineRule="auto" w:before="214"/>
              <w:ind w:left="103" w:right="111"/>
              <w:rPr>
                <w:b/>
                <w:sz w:val="22"/>
              </w:rPr>
            </w:pPr>
            <w:r>
              <w:rPr>
                <w:b/>
                <w:sz w:val="22"/>
              </w:rPr>
              <w:t>Anti-Inflamma- tory effect</w:t>
            </w:r>
          </w:p>
        </w:tc>
        <w:tc>
          <w:tcPr>
            <w:tcW w:w="1844" w:type="dxa"/>
            <w:shd w:val="clear" w:color="auto" w:fill="FFFF00"/>
          </w:tcPr>
          <w:p>
            <w:pPr>
              <w:pStyle w:val="TableParagraph"/>
              <w:rPr>
                <w:sz w:val="24"/>
              </w:rPr>
            </w:pPr>
          </w:p>
          <w:p>
            <w:pPr>
              <w:pStyle w:val="TableParagraph"/>
              <w:spacing w:line="276" w:lineRule="auto" w:before="214"/>
              <w:ind w:left="102" w:right="281"/>
              <w:jc w:val="both"/>
              <w:rPr>
                <w:b/>
                <w:sz w:val="22"/>
              </w:rPr>
            </w:pPr>
            <w:r>
              <w:rPr>
                <w:b/>
                <w:sz w:val="22"/>
              </w:rPr>
              <w:t>Fights drug re- sistance among yeasts</w:t>
            </w:r>
          </w:p>
        </w:tc>
        <w:tc>
          <w:tcPr>
            <w:tcW w:w="1558" w:type="dxa"/>
            <w:shd w:val="clear" w:color="auto" w:fill="FFFF00"/>
          </w:tcPr>
          <w:p>
            <w:pPr>
              <w:pStyle w:val="TableParagraph"/>
              <w:rPr>
                <w:sz w:val="24"/>
              </w:rPr>
            </w:pPr>
          </w:p>
          <w:p>
            <w:pPr>
              <w:pStyle w:val="TableParagraph"/>
              <w:spacing w:line="273" w:lineRule="auto" w:before="214"/>
              <w:ind w:left="102" w:right="206"/>
              <w:rPr>
                <w:b/>
                <w:sz w:val="22"/>
              </w:rPr>
            </w:pPr>
            <w:r>
              <w:rPr>
                <w:b/>
                <w:sz w:val="22"/>
              </w:rPr>
              <w:t>Sugar substi- tute</w:t>
            </w:r>
          </w:p>
        </w:tc>
        <w:tc>
          <w:tcPr>
            <w:tcW w:w="1702" w:type="dxa"/>
            <w:shd w:val="clear" w:color="auto" w:fill="FFFF00"/>
          </w:tcPr>
          <w:p>
            <w:pPr>
              <w:pStyle w:val="TableParagraph"/>
              <w:rPr>
                <w:sz w:val="24"/>
              </w:rPr>
            </w:pPr>
          </w:p>
          <w:p>
            <w:pPr>
              <w:pStyle w:val="TableParagraph"/>
              <w:spacing w:line="273" w:lineRule="auto" w:before="214"/>
              <w:ind w:left="104" w:right="206"/>
              <w:rPr>
                <w:b/>
                <w:sz w:val="22"/>
              </w:rPr>
            </w:pPr>
            <w:r>
              <w:rPr>
                <w:b/>
                <w:sz w:val="22"/>
              </w:rPr>
              <w:t>Intestinal flora regulators</w:t>
            </w:r>
          </w:p>
        </w:tc>
        <w:tc>
          <w:tcPr>
            <w:tcW w:w="1974" w:type="dxa"/>
            <w:shd w:val="clear" w:color="auto" w:fill="FFFF00"/>
          </w:tcPr>
          <w:p>
            <w:pPr>
              <w:pStyle w:val="TableParagraph"/>
              <w:rPr>
                <w:sz w:val="24"/>
              </w:rPr>
            </w:pPr>
          </w:p>
          <w:p>
            <w:pPr>
              <w:pStyle w:val="TableParagraph"/>
              <w:spacing w:line="273" w:lineRule="auto" w:before="214"/>
              <w:ind w:left="102" w:right="56"/>
              <w:rPr>
                <w:b/>
                <w:sz w:val="22"/>
              </w:rPr>
            </w:pPr>
            <w:r>
              <w:rPr>
                <w:b/>
                <w:sz w:val="22"/>
              </w:rPr>
              <w:t>Acts against “brain fog”</w:t>
            </w:r>
          </w:p>
        </w:tc>
      </w:tr>
      <w:tr>
        <w:trPr>
          <w:trHeight w:val="614" w:hRule="atLeast"/>
        </w:trPr>
        <w:tc>
          <w:tcPr>
            <w:tcW w:w="1659" w:type="dxa"/>
            <w:shd w:val="clear" w:color="auto" w:fill="00AFEF"/>
          </w:tcPr>
          <w:p>
            <w:pPr>
              <w:pStyle w:val="TableParagraph"/>
              <w:spacing w:line="276" w:lineRule="auto"/>
              <w:ind w:left="107" w:right="87"/>
              <w:rPr>
                <w:b/>
                <w:sz w:val="22"/>
              </w:rPr>
            </w:pPr>
            <w:r>
              <w:rPr>
                <w:b/>
                <w:sz w:val="22"/>
              </w:rPr>
              <w:t>Grapefruit seed extract p. 534</w:t>
            </w:r>
          </w:p>
        </w:tc>
        <w:tc>
          <w:tcPr>
            <w:tcW w:w="1995" w:type="dxa"/>
          </w:tcPr>
          <w:p>
            <w:pPr>
              <w:pStyle w:val="TableParagraph"/>
              <w:ind w:left="105"/>
              <w:rPr>
                <w:sz w:val="22"/>
              </w:rPr>
            </w:pPr>
            <w:r>
              <w:rPr>
                <w:w w:val="100"/>
                <w:sz w:val="22"/>
              </w:rPr>
              <w:t>X</w:t>
            </w:r>
          </w:p>
        </w:tc>
        <w:tc>
          <w:tcPr>
            <w:tcW w:w="1703" w:type="dxa"/>
            <w:shd w:val="clear" w:color="auto" w:fill="F8D3E8"/>
          </w:tcPr>
          <w:p>
            <w:pPr>
              <w:pStyle w:val="TableParagraph"/>
              <w:ind w:left="104"/>
              <w:rPr>
                <w:sz w:val="22"/>
              </w:rPr>
            </w:pPr>
            <w:r>
              <w:rPr>
                <w:w w:val="100"/>
                <w:sz w:val="22"/>
              </w:rPr>
              <w:t>X</w:t>
            </w:r>
          </w:p>
        </w:tc>
        <w:tc>
          <w:tcPr>
            <w:tcW w:w="1558" w:type="dxa"/>
          </w:tcPr>
          <w:p>
            <w:pPr>
              <w:pStyle w:val="TableParagraph"/>
              <w:rPr>
                <w:rFonts w:ascii="Times New Roman"/>
                <w:sz w:val="24"/>
              </w:rPr>
            </w:pPr>
          </w:p>
        </w:tc>
        <w:tc>
          <w:tcPr>
            <w:tcW w:w="1419" w:type="dxa"/>
            <w:shd w:val="clear" w:color="auto" w:fill="F8D3E8"/>
          </w:tcPr>
          <w:p>
            <w:pPr>
              <w:pStyle w:val="TableParagraph"/>
              <w:rPr>
                <w:rFonts w:ascii="Times New Roman"/>
                <w:sz w:val="24"/>
              </w:rPr>
            </w:pPr>
          </w:p>
        </w:tc>
        <w:tc>
          <w:tcPr>
            <w:tcW w:w="1702" w:type="dxa"/>
          </w:tcPr>
          <w:p>
            <w:pPr>
              <w:pStyle w:val="TableParagraph"/>
              <w:rPr>
                <w:rFonts w:ascii="Times New Roman"/>
                <w:sz w:val="24"/>
              </w:rPr>
            </w:pPr>
          </w:p>
        </w:tc>
        <w:tc>
          <w:tcPr>
            <w:tcW w:w="1844" w:type="dxa"/>
            <w:shd w:val="clear" w:color="auto" w:fill="F8D3E8"/>
          </w:tcPr>
          <w:p>
            <w:pPr>
              <w:pStyle w:val="TableParagraph"/>
              <w:rPr>
                <w:rFonts w:ascii="Times New Roman"/>
                <w:sz w:val="24"/>
              </w:rPr>
            </w:pPr>
          </w:p>
        </w:tc>
        <w:tc>
          <w:tcPr>
            <w:tcW w:w="1558" w:type="dxa"/>
          </w:tcPr>
          <w:p>
            <w:pPr>
              <w:pStyle w:val="TableParagraph"/>
              <w:rPr>
                <w:rFonts w:ascii="Times New Roman"/>
                <w:sz w:val="24"/>
              </w:rPr>
            </w:pPr>
          </w:p>
        </w:tc>
        <w:tc>
          <w:tcPr>
            <w:tcW w:w="1702" w:type="dxa"/>
            <w:shd w:val="clear" w:color="auto" w:fill="F8D3E8"/>
          </w:tcPr>
          <w:p>
            <w:pPr>
              <w:pStyle w:val="TableParagraph"/>
              <w:rPr>
                <w:rFonts w:ascii="Times New Roman"/>
                <w:sz w:val="24"/>
              </w:rPr>
            </w:pPr>
          </w:p>
        </w:tc>
        <w:tc>
          <w:tcPr>
            <w:tcW w:w="1974" w:type="dxa"/>
          </w:tcPr>
          <w:p>
            <w:pPr>
              <w:pStyle w:val="TableParagraph"/>
              <w:rPr>
                <w:rFonts w:ascii="Times New Roman"/>
                <w:sz w:val="24"/>
              </w:rPr>
            </w:pPr>
          </w:p>
        </w:tc>
      </w:tr>
      <w:tr>
        <w:trPr>
          <w:trHeight w:val="614" w:hRule="atLeast"/>
        </w:trPr>
        <w:tc>
          <w:tcPr>
            <w:tcW w:w="1659" w:type="dxa"/>
            <w:shd w:val="clear" w:color="auto" w:fill="00AFEF"/>
          </w:tcPr>
          <w:p>
            <w:pPr>
              <w:pStyle w:val="TableParagraph"/>
              <w:spacing w:line="278" w:lineRule="auto"/>
              <w:ind w:left="107" w:right="183"/>
              <w:rPr>
                <w:b/>
                <w:sz w:val="22"/>
              </w:rPr>
            </w:pPr>
            <w:r>
              <w:rPr>
                <w:b/>
                <w:sz w:val="22"/>
              </w:rPr>
              <w:t>colloidal silver p. 685</w:t>
            </w:r>
          </w:p>
        </w:tc>
        <w:tc>
          <w:tcPr>
            <w:tcW w:w="1995" w:type="dxa"/>
          </w:tcPr>
          <w:p>
            <w:pPr>
              <w:pStyle w:val="TableParagraph"/>
              <w:ind w:left="105"/>
              <w:rPr>
                <w:sz w:val="22"/>
              </w:rPr>
            </w:pPr>
            <w:r>
              <w:rPr>
                <w:w w:val="100"/>
                <w:sz w:val="22"/>
              </w:rPr>
              <w:t>X</w:t>
            </w:r>
          </w:p>
        </w:tc>
        <w:tc>
          <w:tcPr>
            <w:tcW w:w="1703" w:type="dxa"/>
            <w:shd w:val="clear" w:color="auto" w:fill="F8D3E8"/>
          </w:tcPr>
          <w:p>
            <w:pPr>
              <w:pStyle w:val="TableParagraph"/>
              <w:ind w:left="104"/>
              <w:rPr>
                <w:sz w:val="22"/>
              </w:rPr>
            </w:pPr>
            <w:r>
              <w:rPr>
                <w:w w:val="100"/>
                <w:sz w:val="22"/>
              </w:rPr>
              <w:t>X</w:t>
            </w:r>
          </w:p>
        </w:tc>
        <w:tc>
          <w:tcPr>
            <w:tcW w:w="1558" w:type="dxa"/>
          </w:tcPr>
          <w:p>
            <w:pPr>
              <w:pStyle w:val="TableParagraph"/>
              <w:rPr>
                <w:rFonts w:ascii="Times New Roman"/>
                <w:sz w:val="24"/>
              </w:rPr>
            </w:pPr>
          </w:p>
        </w:tc>
        <w:tc>
          <w:tcPr>
            <w:tcW w:w="1419" w:type="dxa"/>
            <w:shd w:val="clear" w:color="auto" w:fill="F8D3E8"/>
          </w:tcPr>
          <w:p>
            <w:pPr>
              <w:pStyle w:val="TableParagraph"/>
              <w:rPr>
                <w:rFonts w:ascii="Times New Roman"/>
                <w:sz w:val="24"/>
              </w:rPr>
            </w:pPr>
          </w:p>
        </w:tc>
        <w:tc>
          <w:tcPr>
            <w:tcW w:w="1702" w:type="dxa"/>
          </w:tcPr>
          <w:p>
            <w:pPr>
              <w:pStyle w:val="TableParagraph"/>
              <w:rPr>
                <w:rFonts w:ascii="Times New Roman"/>
                <w:sz w:val="24"/>
              </w:rPr>
            </w:pPr>
          </w:p>
        </w:tc>
        <w:tc>
          <w:tcPr>
            <w:tcW w:w="1844" w:type="dxa"/>
            <w:shd w:val="clear" w:color="auto" w:fill="F8D3E8"/>
          </w:tcPr>
          <w:p>
            <w:pPr>
              <w:pStyle w:val="TableParagraph"/>
              <w:rPr>
                <w:rFonts w:ascii="Times New Roman"/>
                <w:sz w:val="24"/>
              </w:rPr>
            </w:pPr>
          </w:p>
        </w:tc>
        <w:tc>
          <w:tcPr>
            <w:tcW w:w="1558" w:type="dxa"/>
          </w:tcPr>
          <w:p>
            <w:pPr>
              <w:pStyle w:val="TableParagraph"/>
              <w:rPr>
                <w:rFonts w:ascii="Times New Roman"/>
                <w:sz w:val="24"/>
              </w:rPr>
            </w:pPr>
          </w:p>
        </w:tc>
        <w:tc>
          <w:tcPr>
            <w:tcW w:w="1702" w:type="dxa"/>
            <w:shd w:val="clear" w:color="auto" w:fill="F8D3E8"/>
          </w:tcPr>
          <w:p>
            <w:pPr>
              <w:pStyle w:val="TableParagraph"/>
              <w:rPr>
                <w:rFonts w:ascii="Times New Roman"/>
                <w:sz w:val="24"/>
              </w:rPr>
            </w:pPr>
          </w:p>
        </w:tc>
        <w:tc>
          <w:tcPr>
            <w:tcW w:w="1974" w:type="dxa"/>
          </w:tcPr>
          <w:p>
            <w:pPr>
              <w:pStyle w:val="TableParagraph"/>
              <w:rPr>
                <w:rFonts w:ascii="Times New Roman"/>
                <w:sz w:val="24"/>
              </w:rPr>
            </w:pPr>
          </w:p>
        </w:tc>
      </w:tr>
      <w:tr>
        <w:trPr>
          <w:trHeight w:val="613" w:hRule="atLeast"/>
        </w:trPr>
        <w:tc>
          <w:tcPr>
            <w:tcW w:w="1659" w:type="dxa"/>
            <w:shd w:val="clear" w:color="auto" w:fill="00AFEF"/>
          </w:tcPr>
          <w:p>
            <w:pPr>
              <w:pStyle w:val="TableParagraph"/>
              <w:spacing w:line="276" w:lineRule="auto"/>
              <w:ind w:left="107" w:right="312"/>
              <w:rPr>
                <w:b/>
                <w:sz w:val="22"/>
              </w:rPr>
            </w:pPr>
            <w:r>
              <w:rPr>
                <w:b/>
                <w:sz w:val="22"/>
              </w:rPr>
              <w:t>kolloid. Gold p. 642</w:t>
            </w:r>
          </w:p>
        </w:tc>
        <w:tc>
          <w:tcPr>
            <w:tcW w:w="1995" w:type="dxa"/>
          </w:tcPr>
          <w:p>
            <w:pPr>
              <w:pStyle w:val="TableParagraph"/>
              <w:rPr>
                <w:rFonts w:ascii="Times New Roman"/>
                <w:sz w:val="24"/>
              </w:rPr>
            </w:pPr>
          </w:p>
        </w:tc>
        <w:tc>
          <w:tcPr>
            <w:tcW w:w="1703" w:type="dxa"/>
            <w:shd w:val="clear" w:color="auto" w:fill="F8D3E8"/>
          </w:tcPr>
          <w:p>
            <w:pPr>
              <w:pStyle w:val="TableParagraph"/>
              <w:ind w:left="104"/>
              <w:rPr>
                <w:sz w:val="22"/>
              </w:rPr>
            </w:pPr>
            <w:r>
              <w:rPr>
                <w:w w:val="100"/>
                <w:sz w:val="22"/>
              </w:rPr>
              <w:t>X</w:t>
            </w:r>
          </w:p>
        </w:tc>
        <w:tc>
          <w:tcPr>
            <w:tcW w:w="1558" w:type="dxa"/>
          </w:tcPr>
          <w:p>
            <w:pPr>
              <w:pStyle w:val="TableParagraph"/>
              <w:rPr>
                <w:rFonts w:ascii="Times New Roman"/>
                <w:sz w:val="24"/>
              </w:rPr>
            </w:pPr>
          </w:p>
        </w:tc>
        <w:tc>
          <w:tcPr>
            <w:tcW w:w="1419" w:type="dxa"/>
            <w:shd w:val="clear" w:color="auto" w:fill="F8D3E8"/>
          </w:tcPr>
          <w:p>
            <w:pPr>
              <w:pStyle w:val="TableParagraph"/>
              <w:rPr>
                <w:rFonts w:ascii="Times New Roman"/>
                <w:sz w:val="24"/>
              </w:rPr>
            </w:pPr>
          </w:p>
        </w:tc>
        <w:tc>
          <w:tcPr>
            <w:tcW w:w="1702" w:type="dxa"/>
          </w:tcPr>
          <w:p>
            <w:pPr>
              <w:pStyle w:val="TableParagraph"/>
              <w:ind w:left="103"/>
              <w:rPr>
                <w:sz w:val="22"/>
              </w:rPr>
            </w:pPr>
            <w:r>
              <w:rPr>
                <w:w w:val="100"/>
                <w:sz w:val="22"/>
              </w:rPr>
              <w:t>X</w:t>
            </w:r>
          </w:p>
        </w:tc>
        <w:tc>
          <w:tcPr>
            <w:tcW w:w="1844" w:type="dxa"/>
            <w:shd w:val="clear" w:color="auto" w:fill="F8D3E8"/>
          </w:tcPr>
          <w:p>
            <w:pPr>
              <w:pStyle w:val="TableParagraph"/>
              <w:rPr>
                <w:rFonts w:ascii="Times New Roman"/>
                <w:sz w:val="24"/>
              </w:rPr>
            </w:pPr>
          </w:p>
        </w:tc>
        <w:tc>
          <w:tcPr>
            <w:tcW w:w="1558" w:type="dxa"/>
          </w:tcPr>
          <w:p>
            <w:pPr>
              <w:pStyle w:val="TableParagraph"/>
              <w:rPr>
                <w:rFonts w:ascii="Times New Roman"/>
                <w:sz w:val="24"/>
              </w:rPr>
            </w:pPr>
          </w:p>
        </w:tc>
        <w:tc>
          <w:tcPr>
            <w:tcW w:w="1702" w:type="dxa"/>
            <w:shd w:val="clear" w:color="auto" w:fill="F8D3E8"/>
          </w:tcPr>
          <w:p>
            <w:pPr>
              <w:pStyle w:val="TableParagraph"/>
              <w:rPr>
                <w:rFonts w:ascii="Times New Roman"/>
                <w:sz w:val="24"/>
              </w:rPr>
            </w:pPr>
          </w:p>
        </w:tc>
        <w:tc>
          <w:tcPr>
            <w:tcW w:w="1974" w:type="dxa"/>
          </w:tcPr>
          <w:p>
            <w:pPr>
              <w:pStyle w:val="TableParagraph"/>
              <w:rPr>
                <w:rFonts w:ascii="Times New Roman"/>
                <w:sz w:val="24"/>
              </w:rPr>
            </w:pPr>
          </w:p>
        </w:tc>
      </w:tr>
      <w:tr>
        <w:trPr>
          <w:trHeight w:val="614" w:hRule="atLeast"/>
        </w:trPr>
        <w:tc>
          <w:tcPr>
            <w:tcW w:w="1659" w:type="dxa"/>
            <w:shd w:val="clear" w:color="auto" w:fill="00AFEF"/>
          </w:tcPr>
          <w:p>
            <w:pPr>
              <w:pStyle w:val="TableParagraph"/>
              <w:ind w:left="107"/>
              <w:rPr>
                <w:b/>
                <w:sz w:val="22"/>
              </w:rPr>
            </w:pPr>
            <w:r>
              <w:rPr>
                <w:b/>
                <w:sz w:val="22"/>
              </w:rPr>
              <w:t>MMS p. 1006</w:t>
            </w:r>
          </w:p>
        </w:tc>
        <w:tc>
          <w:tcPr>
            <w:tcW w:w="1995" w:type="dxa"/>
          </w:tcPr>
          <w:p>
            <w:pPr>
              <w:pStyle w:val="TableParagraph"/>
              <w:ind w:left="105"/>
              <w:rPr>
                <w:sz w:val="22"/>
              </w:rPr>
            </w:pPr>
            <w:r>
              <w:rPr>
                <w:w w:val="100"/>
                <w:sz w:val="22"/>
              </w:rPr>
              <w:t>X</w:t>
            </w:r>
          </w:p>
        </w:tc>
        <w:tc>
          <w:tcPr>
            <w:tcW w:w="1703" w:type="dxa"/>
            <w:shd w:val="clear" w:color="auto" w:fill="F8D3E8"/>
          </w:tcPr>
          <w:p>
            <w:pPr>
              <w:pStyle w:val="TableParagraph"/>
              <w:ind w:left="104"/>
              <w:rPr>
                <w:sz w:val="22"/>
              </w:rPr>
            </w:pPr>
            <w:r>
              <w:rPr>
                <w:w w:val="100"/>
                <w:sz w:val="22"/>
              </w:rPr>
              <w:t>X</w:t>
            </w:r>
          </w:p>
        </w:tc>
        <w:tc>
          <w:tcPr>
            <w:tcW w:w="1558" w:type="dxa"/>
          </w:tcPr>
          <w:p>
            <w:pPr>
              <w:pStyle w:val="TableParagraph"/>
              <w:rPr>
                <w:rFonts w:ascii="Times New Roman"/>
                <w:sz w:val="24"/>
              </w:rPr>
            </w:pPr>
          </w:p>
        </w:tc>
        <w:tc>
          <w:tcPr>
            <w:tcW w:w="1419" w:type="dxa"/>
            <w:shd w:val="clear" w:color="auto" w:fill="F8D3E8"/>
          </w:tcPr>
          <w:p>
            <w:pPr>
              <w:pStyle w:val="TableParagraph"/>
              <w:rPr>
                <w:rFonts w:ascii="Times New Roman"/>
                <w:sz w:val="24"/>
              </w:rPr>
            </w:pPr>
          </w:p>
        </w:tc>
        <w:tc>
          <w:tcPr>
            <w:tcW w:w="1702" w:type="dxa"/>
          </w:tcPr>
          <w:p>
            <w:pPr>
              <w:pStyle w:val="TableParagraph"/>
              <w:rPr>
                <w:rFonts w:ascii="Times New Roman"/>
                <w:sz w:val="24"/>
              </w:rPr>
            </w:pPr>
          </w:p>
        </w:tc>
        <w:tc>
          <w:tcPr>
            <w:tcW w:w="1844" w:type="dxa"/>
            <w:shd w:val="clear" w:color="auto" w:fill="F8D3E8"/>
          </w:tcPr>
          <w:p>
            <w:pPr>
              <w:pStyle w:val="TableParagraph"/>
              <w:rPr>
                <w:rFonts w:ascii="Times New Roman"/>
                <w:sz w:val="24"/>
              </w:rPr>
            </w:pPr>
          </w:p>
        </w:tc>
        <w:tc>
          <w:tcPr>
            <w:tcW w:w="1558" w:type="dxa"/>
          </w:tcPr>
          <w:p>
            <w:pPr>
              <w:pStyle w:val="TableParagraph"/>
              <w:rPr>
                <w:rFonts w:ascii="Times New Roman"/>
                <w:sz w:val="24"/>
              </w:rPr>
            </w:pPr>
          </w:p>
        </w:tc>
        <w:tc>
          <w:tcPr>
            <w:tcW w:w="1702" w:type="dxa"/>
            <w:shd w:val="clear" w:color="auto" w:fill="F8D3E8"/>
          </w:tcPr>
          <w:p>
            <w:pPr>
              <w:pStyle w:val="TableParagraph"/>
              <w:rPr>
                <w:rFonts w:ascii="Times New Roman"/>
                <w:sz w:val="24"/>
              </w:rPr>
            </w:pPr>
          </w:p>
        </w:tc>
        <w:tc>
          <w:tcPr>
            <w:tcW w:w="1974" w:type="dxa"/>
          </w:tcPr>
          <w:p>
            <w:pPr>
              <w:pStyle w:val="TableParagraph"/>
              <w:rPr>
                <w:rFonts w:ascii="Times New Roman"/>
                <w:sz w:val="24"/>
              </w:rPr>
            </w:pPr>
          </w:p>
        </w:tc>
      </w:tr>
      <w:tr>
        <w:trPr>
          <w:trHeight w:val="614" w:hRule="atLeast"/>
        </w:trPr>
        <w:tc>
          <w:tcPr>
            <w:tcW w:w="1659" w:type="dxa"/>
            <w:shd w:val="clear" w:color="auto" w:fill="00AFEF"/>
          </w:tcPr>
          <w:p>
            <w:pPr>
              <w:pStyle w:val="TableParagraph"/>
              <w:spacing w:line="276" w:lineRule="auto"/>
              <w:ind w:left="107" w:right="449"/>
              <w:rPr>
                <w:b/>
                <w:sz w:val="22"/>
              </w:rPr>
            </w:pPr>
            <w:r>
              <w:rPr>
                <w:b/>
                <w:sz w:val="22"/>
              </w:rPr>
              <w:t>Spirulina p. 1515</w:t>
            </w:r>
          </w:p>
        </w:tc>
        <w:tc>
          <w:tcPr>
            <w:tcW w:w="1995" w:type="dxa"/>
          </w:tcPr>
          <w:p>
            <w:pPr>
              <w:pStyle w:val="TableParagraph"/>
              <w:rPr>
                <w:rFonts w:ascii="Times New Roman"/>
                <w:sz w:val="24"/>
              </w:rPr>
            </w:pPr>
          </w:p>
        </w:tc>
        <w:tc>
          <w:tcPr>
            <w:tcW w:w="1703" w:type="dxa"/>
            <w:shd w:val="clear" w:color="auto" w:fill="F8D3E8"/>
          </w:tcPr>
          <w:p>
            <w:pPr>
              <w:pStyle w:val="TableParagraph"/>
              <w:ind w:left="104"/>
              <w:rPr>
                <w:sz w:val="22"/>
              </w:rPr>
            </w:pPr>
            <w:r>
              <w:rPr>
                <w:w w:val="100"/>
                <w:sz w:val="22"/>
              </w:rPr>
              <w:t>X</w:t>
            </w:r>
          </w:p>
        </w:tc>
        <w:tc>
          <w:tcPr>
            <w:tcW w:w="1558" w:type="dxa"/>
          </w:tcPr>
          <w:p>
            <w:pPr>
              <w:pStyle w:val="TableParagraph"/>
              <w:ind w:left="103"/>
              <w:rPr>
                <w:sz w:val="22"/>
              </w:rPr>
            </w:pPr>
            <w:r>
              <w:rPr>
                <w:w w:val="100"/>
                <w:sz w:val="22"/>
              </w:rPr>
              <w:t>X</w:t>
            </w:r>
          </w:p>
        </w:tc>
        <w:tc>
          <w:tcPr>
            <w:tcW w:w="1419" w:type="dxa"/>
            <w:shd w:val="clear" w:color="auto" w:fill="F8D3E8"/>
          </w:tcPr>
          <w:p>
            <w:pPr>
              <w:pStyle w:val="TableParagraph"/>
              <w:ind w:left="105"/>
              <w:rPr>
                <w:sz w:val="22"/>
              </w:rPr>
            </w:pPr>
            <w:r>
              <w:rPr>
                <w:w w:val="100"/>
                <w:sz w:val="22"/>
              </w:rPr>
              <w:t>X</w:t>
            </w:r>
          </w:p>
        </w:tc>
        <w:tc>
          <w:tcPr>
            <w:tcW w:w="1702" w:type="dxa"/>
          </w:tcPr>
          <w:p>
            <w:pPr>
              <w:pStyle w:val="TableParagraph"/>
              <w:ind w:left="103"/>
              <w:rPr>
                <w:sz w:val="22"/>
              </w:rPr>
            </w:pPr>
            <w:r>
              <w:rPr>
                <w:w w:val="100"/>
                <w:sz w:val="22"/>
              </w:rPr>
              <w:t>X</w:t>
            </w:r>
          </w:p>
        </w:tc>
        <w:tc>
          <w:tcPr>
            <w:tcW w:w="1844" w:type="dxa"/>
            <w:shd w:val="clear" w:color="auto" w:fill="F8D3E8"/>
          </w:tcPr>
          <w:p>
            <w:pPr>
              <w:pStyle w:val="TableParagraph"/>
              <w:rPr>
                <w:rFonts w:ascii="Times New Roman"/>
                <w:sz w:val="24"/>
              </w:rPr>
            </w:pPr>
          </w:p>
        </w:tc>
        <w:tc>
          <w:tcPr>
            <w:tcW w:w="1558" w:type="dxa"/>
          </w:tcPr>
          <w:p>
            <w:pPr>
              <w:pStyle w:val="TableParagraph"/>
              <w:rPr>
                <w:rFonts w:ascii="Times New Roman"/>
                <w:sz w:val="24"/>
              </w:rPr>
            </w:pPr>
          </w:p>
        </w:tc>
        <w:tc>
          <w:tcPr>
            <w:tcW w:w="1702" w:type="dxa"/>
            <w:shd w:val="clear" w:color="auto" w:fill="F8D3E8"/>
          </w:tcPr>
          <w:p>
            <w:pPr>
              <w:pStyle w:val="TableParagraph"/>
              <w:ind w:left="104"/>
              <w:rPr>
                <w:sz w:val="22"/>
              </w:rPr>
            </w:pPr>
            <w:r>
              <w:rPr>
                <w:w w:val="100"/>
                <w:sz w:val="22"/>
              </w:rPr>
              <w:t>X</w:t>
            </w:r>
          </w:p>
        </w:tc>
        <w:tc>
          <w:tcPr>
            <w:tcW w:w="1974" w:type="dxa"/>
          </w:tcPr>
          <w:p>
            <w:pPr>
              <w:pStyle w:val="TableParagraph"/>
              <w:rPr>
                <w:rFonts w:ascii="Times New Roman"/>
                <w:sz w:val="24"/>
              </w:rPr>
            </w:pPr>
          </w:p>
        </w:tc>
      </w:tr>
      <w:tr>
        <w:trPr>
          <w:trHeight w:val="614" w:hRule="atLeast"/>
        </w:trPr>
        <w:tc>
          <w:tcPr>
            <w:tcW w:w="1659" w:type="dxa"/>
            <w:shd w:val="clear" w:color="auto" w:fill="00AFEF"/>
          </w:tcPr>
          <w:p>
            <w:pPr>
              <w:pStyle w:val="TableParagraph"/>
              <w:ind w:left="107"/>
              <w:rPr>
                <w:b/>
                <w:sz w:val="22"/>
              </w:rPr>
            </w:pPr>
            <w:r>
              <w:rPr>
                <w:b/>
                <w:sz w:val="22"/>
              </w:rPr>
              <w:t>Lapacho p. 815</w:t>
            </w:r>
          </w:p>
        </w:tc>
        <w:tc>
          <w:tcPr>
            <w:tcW w:w="1995" w:type="dxa"/>
          </w:tcPr>
          <w:p>
            <w:pPr>
              <w:pStyle w:val="TableParagraph"/>
              <w:ind w:left="105"/>
              <w:rPr>
                <w:sz w:val="22"/>
              </w:rPr>
            </w:pPr>
            <w:r>
              <w:rPr>
                <w:w w:val="100"/>
                <w:sz w:val="22"/>
              </w:rPr>
              <w:t>X</w:t>
            </w:r>
          </w:p>
        </w:tc>
        <w:tc>
          <w:tcPr>
            <w:tcW w:w="1703" w:type="dxa"/>
            <w:shd w:val="clear" w:color="auto" w:fill="F8D3E8"/>
          </w:tcPr>
          <w:p>
            <w:pPr>
              <w:pStyle w:val="TableParagraph"/>
              <w:ind w:left="104"/>
              <w:rPr>
                <w:sz w:val="22"/>
              </w:rPr>
            </w:pPr>
            <w:r>
              <w:rPr>
                <w:w w:val="100"/>
                <w:sz w:val="22"/>
              </w:rPr>
              <w:t>X</w:t>
            </w:r>
          </w:p>
        </w:tc>
        <w:tc>
          <w:tcPr>
            <w:tcW w:w="1558" w:type="dxa"/>
          </w:tcPr>
          <w:p>
            <w:pPr>
              <w:pStyle w:val="TableParagraph"/>
              <w:rPr>
                <w:rFonts w:ascii="Times New Roman"/>
                <w:sz w:val="24"/>
              </w:rPr>
            </w:pPr>
          </w:p>
        </w:tc>
        <w:tc>
          <w:tcPr>
            <w:tcW w:w="1419" w:type="dxa"/>
            <w:shd w:val="clear" w:color="auto" w:fill="F8D3E8"/>
          </w:tcPr>
          <w:p>
            <w:pPr>
              <w:pStyle w:val="TableParagraph"/>
              <w:rPr>
                <w:rFonts w:ascii="Times New Roman"/>
                <w:sz w:val="24"/>
              </w:rPr>
            </w:pPr>
          </w:p>
        </w:tc>
        <w:tc>
          <w:tcPr>
            <w:tcW w:w="1702" w:type="dxa"/>
          </w:tcPr>
          <w:p>
            <w:pPr>
              <w:pStyle w:val="TableParagraph"/>
              <w:ind w:left="103"/>
              <w:rPr>
                <w:sz w:val="22"/>
              </w:rPr>
            </w:pPr>
            <w:r>
              <w:rPr>
                <w:w w:val="100"/>
                <w:sz w:val="22"/>
              </w:rPr>
              <w:t>X</w:t>
            </w:r>
          </w:p>
        </w:tc>
        <w:tc>
          <w:tcPr>
            <w:tcW w:w="1844" w:type="dxa"/>
            <w:shd w:val="clear" w:color="auto" w:fill="F8D3E8"/>
          </w:tcPr>
          <w:p>
            <w:pPr>
              <w:pStyle w:val="TableParagraph"/>
              <w:rPr>
                <w:rFonts w:ascii="Times New Roman"/>
                <w:sz w:val="24"/>
              </w:rPr>
            </w:pPr>
          </w:p>
        </w:tc>
        <w:tc>
          <w:tcPr>
            <w:tcW w:w="1558" w:type="dxa"/>
          </w:tcPr>
          <w:p>
            <w:pPr>
              <w:pStyle w:val="TableParagraph"/>
              <w:rPr>
                <w:rFonts w:ascii="Times New Roman"/>
                <w:sz w:val="24"/>
              </w:rPr>
            </w:pPr>
          </w:p>
        </w:tc>
        <w:tc>
          <w:tcPr>
            <w:tcW w:w="1702" w:type="dxa"/>
            <w:shd w:val="clear" w:color="auto" w:fill="F8D3E8"/>
          </w:tcPr>
          <w:p>
            <w:pPr>
              <w:pStyle w:val="TableParagraph"/>
              <w:ind w:left="104"/>
              <w:rPr>
                <w:sz w:val="22"/>
              </w:rPr>
            </w:pPr>
            <w:r>
              <w:rPr>
                <w:w w:val="100"/>
                <w:sz w:val="22"/>
              </w:rPr>
              <w:t>X</w:t>
            </w:r>
          </w:p>
        </w:tc>
        <w:tc>
          <w:tcPr>
            <w:tcW w:w="1974" w:type="dxa"/>
          </w:tcPr>
          <w:p>
            <w:pPr>
              <w:pStyle w:val="TableParagraph"/>
              <w:rPr>
                <w:rFonts w:ascii="Times New Roman"/>
                <w:sz w:val="24"/>
              </w:rPr>
            </w:pPr>
          </w:p>
        </w:tc>
      </w:tr>
    </w:tbl>
    <w:p>
      <w:pPr>
        <w:spacing w:after="0"/>
        <w:rPr>
          <w:rFonts w:ascii="Times New Roman"/>
          <w:sz w:val="24"/>
        </w:rPr>
        <w:sectPr>
          <w:pgSz w:w="18630" w:h="11910" w:orient="landscape"/>
          <w:pgMar w:header="0" w:footer="404" w:top="760" w:bottom="600" w:left="740" w:right="8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59"/>
        <w:gridCol w:w="1995"/>
        <w:gridCol w:w="1703"/>
        <w:gridCol w:w="1558"/>
        <w:gridCol w:w="1419"/>
        <w:gridCol w:w="1702"/>
        <w:gridCol w:w="1844"/>
        <w:gridCol w:w="1558"/>
        <w:gridCol w:w="1702"/>
        <w:gridCol w:w="2014"/>
      </w:tblGrid>
      <w:tr>
        <w:trPr>
          <w:trHeight w:val="614" w:hRule="atLeast"/>
        </w:trPr>
        <w:tc>
          <w:tcPr>
            <w:tcW w:w="1659" w:type="dxa"/>
            <w:shd w:val="clear" w:color="auto" w:fill="00AFEF"/>
          </w:tcPr>
          <w:p>
            <w:pPr>
              <w:pStyle w:val="TableParagraph"/>
              <w:spacing w:line="276" w:lineRule="auto"/>
              <w:ind w:left="107" w:right="582"/>
              <w:rPr>
                <w:b/>
                <w:sz w:val="22"/>
              </w:rPr>
            </w:pPr>
            <w:r>
              <w:rPr>
                <w:b/>
                <w:sz w:val="22"/>
              </w:rPr>
              <w:t>Curcumin p. 328</w:t>
            </w:r>
          </w:p>
        </w:tc>
        <w:tc>
          <w:tcPr>
            <w:tcW w:w="1995" w:type="dxa"/>
          </w:tcPr>
          <w:p>
            <w:pPr>
              <w:pStyle w:val="TableParagraph"/>
              <w:ind w:left="105"/>
              <w:rPr>
                <w:sz w:val="22"/>
              </w:rPr>
            </w:pPr>
            <w:r>
              <w:rPr>
                <w:w w:val="100"/>
                <w:sz w:val="22"/>
              </w:rPr>
              <w:t>X</w:t>
            </w:r>
          </w:p>
        </w:tc>
        <w:tc>
          <w:tcPr>
            <w:tcW w:w="1703" w:type="dxa"/>
            <w:shd w:val="clear" w:color="auto" w:fill="F8D3E8"/>
          </w:tcPr>
          <w:p>
            <w:pPr>
              <w:pStyle w:val="TableParagraph"/>
              <w:ind w:left="104"/>
              <w:rPr>
                <w:sz w:val="22"/>
              </w:rPr>
            </w:pPr>
            <w:r>
              <w:rPr>
                <w:w w:val="100"/>
                <w:sz w:val="22"/>
              </w:rPr>
              <w:t>X</w:t>
            </w:r>
          </w:p>
        </w:tc>
        <w:tc>
          <w:tcPr>
            <w:tcW w:w="1558" w:type="dxa"/>
          </w:tcPr>
          <w:p>
            <w:pPr>
              <w:pStyle w:val="TableParagraph"/>
              <w:rPr>
                <w:rFonts w:ascii="Times New Roman"/>
                <w:sz w:val="22"/>
              </w:rPr>
            </w:pPr>
          </w:p>
        </w:tc>
        <w:tc>
          <w:tcPr>
            <w:tcW w:w="1419" w:type="dxa"/>
            <w:shd w:val="clear" w:color="auto" w:fill="F8D3E8"/>
          </w:tcPr>
          <w:p>
            <w:pPr>
              <w:pStyle w:val="TableParagraph"/>
              <w:rPr>
                <w:rFonts w:ascii="Times New Roman"/>
                <w:sz w:val="22"/>
              </w:rPr>
            </w:pPr>
          </w:p>
        </w:tc>
        <w:tc>
          <w:tcPr>
            <w:tcW w:w="1702" w:type="dxa"/>
          </w:tcPr>
          <w:p>
            <w:pPr>
              <w:pStyle w:val="TableParagraph"/>
              <w:ind w:left="103"/>
              <w:rPr>
                <w:sz w:val="22"/>
              </w:rPr>
            </w:pPr>
            <w:r>
              <w:rPr>
                <w:w w:val="100"/>
                <w:sz w:val="22"/>
              </w:rPr>
              <w:t>X</w:t>
            </w:r>
          </w:p>
        </w:tc>
        <w:tc>
          <w:tcPr>
            <w:tcW w:w="1844" w:type="dxa"/>
            <w:shd w:val="clear" w:color="auto" w:fill="F8D3E8"/>
          </w:tcPr>
          <w:p>
            <w:pPr>
              <w:pStyle w:val="TableParagraph"/>
              <w:ind w:left="102"/>
              <w:rPr>
                <w:sz w:val="22"/>
              </w:rPr>
            </w:pPr>
            <w:r>
              <w:rPr>
                <w:w w:val="100"/>
                <w:sz w:val="22"/>
              </w:rPr>
              <w:t>X</w:t>
            </w:r>
          </w:p>
        </w:tc>
        <w:tc>
          <w:tcPr>
            <w:tcW w:w="1558" w:type="dxa"/>
          </w:tcPr>
          <w:p>
            <w:pPr>
              <w:pStyle w:val="TableParagraph"/>
              <w:rPr>
                <w:rFonts w:ascii="Times New Roman"/>
                <w:sz w:val="22"/>
              </w:rPr>
            </w:pPr>
          </w:p>
        </w:tc>
        <w:tc>
          <w:tcPr>
            <w:tcW w:w="1702" w:type="dxa"/>
            <w:shd w:val="clear" w:color="auto" w:fill="F8D3E8"/>
          </w:tcPr>
          <w:p>
            <w:pPr>
              <w:pStyle w:val="TableParagraph"/>
              <w:rPr>
                <w:rFonts w:ascii="Times New Roman"/>
                <w:sz w:val="22"/>
              </w:rPr>
            </w:pPr>
          </w:p>
        </w:tc>
        <w:tc>
          <w:tcPr>
            <w:tcW w:w="2014" w:type="dxa"/>
          </w:tcPr>
          <w:p>
            <w:pPr>
              <w:pStyle w:val="TableParagraph"/>
              <w:rPr>
                <w:rFonts w:ascii="Times New Roman"/>
                <w:sz w:val="22"/>
              </w:rPr>
            </w:pPr>
          </w:p>
        </w:tc>
      </w:tr>
      <w:tr>
        <w:trPr>
          <w:trHeight w:val="613" w:hRule="atLeast"/>
        </w:trPr>
        <w:tc>
          <w:tcPr>
            <w:tcW w:w="1659" w:type="dxa"/>
            <w:shd w:val="clear" w:color="auto" w:fill="00AFEF"/>
          </w:tcPr>
          <w:p>
            <w:pPr>
              <w:pStyle w:val="TableParagraph"/>
              <w:spacing w:line="273" w:lineRule="auto"/>
              <w:ind w:left="107" w:right="515"/>
              <w:rPr>
                <w:b/>
                <w:sz w:val="22"/>
              </w:rPr>
            </w:pPr>
            <w:r>
              <w:rPr>
                <w:b/>
                <w:sz w:val="22"/>
              </w:rPr>
              <w:t>Propolis p. 1232</w:t>
            </w:r>
          </w:p>
        </w:tc>
        <w:tc>
          <w:tcPr>
            <w:tcW w:w="1995" w:type="dxa"/>
          </w:tcPr>
          <w:p>
            <w:pPr>
              <w:pStyle w:val="TableParagraph"/>
              <w:ind w:left="105"/>
              <w:rPr>
                <w:sz w:val="22"/>
              </w:rPr>
            </w:pPr>
            <w:r>
              <w:rPr>
                <w:w w:val="100"/>
                <w:sz w:val="22"/>
              </w:rPr>
              <w:t>X</w:t>
            </w:r>
          </w:p>
        </w:tc>
        <w:tc>
          <w:tcPr>
            <w:tcW w:w="1703" w:type="dxa"/>
            <w:shd w:val="clear" w:color="auto" w:fill="F8D3E8"/>
          </w:tcPr>
          <w:p>
            <w:pPr>
              <w:pStyle w:val="TableParagraph"/>
              <w:ind w:left="104"/>
              <w:rPr>
                <w:sz w:val="22"/>
              </w:rPr>
            </w:pPr>
            <w:r>
              <w:rPr>
                <w:w w:val="100"/>
                <w:sz w:val="22"/>
              </w:rPr>
              <w:t>X</w:t>
            </w:r>
          </w:p>
        </w:tc>
        <w:tc>
          <w:tcPr>
            <w:tcW w:w="1558" w:type="dxa"/>
          </w:tcPr>
          <w:p>
            <w:pPr>
              <w:pStyle w:val="TableParagraph"/>
              <w:rPr>
                <w:rFonts w:ascii="Times New Roman"/>
                <w:sz w:val="22"/>
              </w:rPr>
            </w:pPr>
          </w:p>
        </w:tc>
        <w:tc>
          <w:tcPr>
            <w:tcW w:w="1419" w:type="dxa"/>
            <w:shd w:val="clear" w:color="auto" w:fill="F8D3E8"/>
          </w:tcPr>
          <w:p>
            <w:pPr>
              <w:pStyle w:val="TableParagraph"/>
              <w:ind w:left="105"/>
              <w:rPr>
                <w:sz w:val="22"/>
              </w:rPr>
            </w:pPr>
            <w:r>
              <w:rPr>
                <w:w w:val="100"/>
                <w:sz w:val="22"/>
              </w:rPr>
              <w:t>X</w:t>
            </w:r>
          </w:p>
        </w:tc>
        <w:tc>
          <w:tcPr>
            <w:tcW w:w="1702" w:type="dxa"/>
          </w:tcPr>
          <w:p>
            <w:pPr>
              <w:pStyle w:val="TableParagraph"/>
              <w:ind w:left="103"/>
              <w:rPr>
                <w:sz w:val="22"/>
              </w:rPr>
            </w:pPr>
            <w:r>
              <w:rPr>
                <w:w w:val="100"/>
                <w:sz w:val="22"/>
              </w:rPr>
              <w:t>X</w:t>
            </w:r>
          </w:p>
        </w:tc>
        <w:tc>
          <w:tcPr>
            <w:tcW w:w="1844" w:type="dxa"/>
            <w:shd w:val="clear" w:color="auto" w:fill="F8D3E8"/>
          </w:tcPr>
          <w:p>
            <w:pPr>
              <w:pStyle w:val="TableParagraph"/>
              <w:rPr>
                <w:rFonts w:ascii="Times New Roman"/>
                <w:sz w:val="22"/>
              </w:rPr>
            </w:pPr>
          </w:p>
        </w:tc>
        <w:tc>
          <w:tcPr>
            <w:tcW w:w="1558" w:type="dxa"/>
          </w:tcPr>
          <w:p>
            <w:pPr>
              <w:pStyle w:val="TableParagraph"/>
              <w:rPr>
                <w:rFonts w:ascii="Times New Roman"/>
                <w:sz w:val="22"/>
              </w:rPr>
            </w:pPr>
          </w:p>
        </w:tc>
        <w:tc>
          <w:tcPr>
            <w:tcW w:w="1702" w:type="dxa"/>
            <w:shd w:val="clear" w:color="auto" w:fill="F8D3E8"/>
          </w:tcPr>
          <w:p>
            <w:pPr>
              <w:pStyle w:val="TableParagraph"/>
              <w:rPr>
                <w:rFonts w:ascii="Times New Roman"/>
                <w:sz w:val="22"/>
              </w:rPr>
            </w:pPr>
          </w:p>
        </w:tc>
        <w:tc>
          <w:tcPr>
            <w:tcW w:w="2014" w:type="dxa"/>
          </w:tcPr>
          <w:p>
            <w:pPr>
              <w:pStyle w:val="TableParagraph"/>
              <w:rPr>
                <w:rFonts w:ascii="Times New Roman"/>
                <w:sz w:val="22"/>
              </w:rPr>
            </w:pPr>
          </w:p>
        </w:tc>
      </w:tr>
      <w:tr>
        <w:trPr>
          <w:trHeight w:val="798" w:hRule="atLeast"/>
        </w:trPr>
        <w:tc>
          <w:tcPr>
            <w:tcW w:w="1659" w:type="dxa"/>
            <w:shd w:val="clear" w:color="auto" w:fill="00AFEF"/>
          </w:tcPr>
          <w:p>
            <w:pPr>
              <w:pStyle w:val="TableParagraph"/>
              <w:spacing w:line="273" w:lineRule="auto"/>
              <w:ind w:left="107" w:right="293"/>
              <w:rPr>
                <w:b/>
                <w:sz w:val="22"/>
              </w:rPr>
            </w:pPr>
            <w:r>
              <w:rPr>
                <w:b/>
                <w:sz w:val="22"/>
              </w:rPr>
              <w:t>Organic Ger- manium p.</w:t>
            </w:r>
          </w:p>
          <w:p>
            <w:pPr>
              <w:pStyle w:val="TableParagraph"/>
              <w:spacing w:line="210" w:lineRule="exact" w:before="4"/>
              <w:ind w:left="107"/>
              <w:rPr>
                <w:b/>
                <w:sz w:val="22"/>
              </w:rPr>
            </w:pPr>
            <w:r>
              <w:rPr>
                <w:b/>
                <w:sz w:val="22"/>
              </w:rPr>
              <w:t>1152</w:t>
            </w:r>
          </w:p>
        </w:tc>
        <w:tc>
          <w:tcPr>
            <w:tcW w:w="1995" w:type="dxa"/>
          </w:tcPr>
          <w:p>
            <w:pPr>
              <w:pStyle w:val="TableParagraph"/>
              <w:ind w:left="105"/>
              <w:rPr>
                <w:sz w:val="22"/>
              </w:rPr>
            </w:pPr>
            <w:r>
              <w:rPr>
                <w:w w:val="100"/>
                <w:sz w:val="22"/>
              </w:rPr>
              <w:t>X</w:t>
            </w:r>
          </w:p>
        </w:tc>
        <w:tc>
          <w:tcPr>
            <w:tcW w:w="1703" w:type="dxa"/>
            <w:shd w:val="clear" w:color="auto" w:fill="F8D3E8"/>
          </w:tcPr>
          <w:p>
            <w:pPr>
              <w:pStyle w:val="TableParagraph"/>
              <w:ind w:left="104"/>
              <w:rPr>
                <w:sz w:val="22"/>
              </w:rPr>
            </w:pPr>
            <w:r>
              <w:rPr>
                <w:w w:val="100"/>
                <w:sz w:val="22"/>
              </w:rPr>
              <w:t>X</w:t>
            </w:r>
          </w:p>
        </w:tc>
        <w:tc>
          <w:tcPr>
            <w:tcW w:w="1558" w:type="dxa"/>
          </w:tcPr>
          <w:p>
            <w:pPr>
              <w:pStyle w:val="TableParagraph"/>
              <w:rPr>
                <w:rFonts w:ascii="Times New Roman"/>
                <w:sz w:val="22"/>
              </w:rPr>
            </w:pPr>
          </w:p>
        </w:tc>
        <w:tc>
          <w:tcPr>
            <w:tcW w:w="1419" w:type="dxa"/>
            <w:shd w:val="clear" w:color="auto" w:fill="F8D3E8"/>
          </w:tcPr>
          <w:p>
            <w:pPr>
              <w:pStyle w:val="TableParagraph"/>
              <w:ind w:left="105"/>
              <w:rPr>
                <w:sz w:val="22"/>
              </w:rPr>
            </w:pPr>
            <w:r>
              <w:rPr>
                <w:w w:val="100"/>
                <w:sz w:val="22"/>
              </w:rPr>
              <w:t>X</w:t>
            </w:r>
          </w:p>
        </w:tc>
        <w:tc>
          <w:tcPr>
            <w:tcW w:w="1702" w:type="dxa"/>
          </w:tcPr>
          <w:p>
            <w:pPr>
              <w:pStyle w:val="TableParagraph"/>
              <w:ind w:left="103"/>
              <w:rPr>
                <w:sz w:val="22"/>
              </w:rPr>
            </w:pPr>
            <w:r>
              <w:rPr>
                <w:w w:val="100"/>
                <w:sz w:val="22"/>
              </w:rPr>
              <w:t>X</w:t>
            </w:r>
          </w:p>
        </w:tc>
        <w:tc>
          <w:tcPr>
            <w:tcW w:w="1844" w:type="dxa"/>
            <w:shd w:val="clear" w:color="auto" w:fill="F8D3E8"/>
          </w:tcPr>
          <w:p>
            <w:pPr>
              <w:pStyle w:val="TableParagraph"/>
              <w:rPr>
                <w:rFonts w:ascii="Times New Roman"/>
                <w:sz w:val="22"/>
              </w:rPr>
            </w:pPr>
          </w:p>
        </w:tc>
        <w:tc>
          <w:tcPr>
            <w:tcW w:w="1558" w:type="dxa"/>
          </w:tcPr>
          <w:p>
            <w:pPr>
              <w:pStyle w:val="TableParagraph"/>
              <w:rPr>
                <w:rFonts w:ascii="Times New Roman"/>
                <w:sz w:val="22"/>
              </w:rPr>
            </w:pPr>
          </w:p>
        </w:tc>
        <w:tc>
          <w:tcPr>
            <w:tcW w:w="1702" w:type="dxa"/>
            <w:shd w:val="clear" w:color="auto" w:fill="F8D3E8"/>
          </w:tcPr>
          <w:p>
            <w:pPr>
              <w:pStyle w:val="TableParagraph"/>
              <w:rPr>
                <w:rFonts w:ascii="Times New Roman"/>
                <w:sz w:val="22"/>
              </w:rPr>
            </w:pPr>
          </w:p>
        </w:tc>
        <w:tc>
          <w:tcPr>
            <w:tcW w:w="2014" w:type="dxa"/>
          </w:tcPr>
          <w:p>
            <w:pPr>
              <w:pStyle w:val="TableParagraph"/>
              <w:rPr>
                <w:rFonts w:ascii="Times New Roman"/>
                <w:sz w:val="22"/>
              </w:rPr>
            </w:pPr>
          </w:p>
        </w:tc>
      </w:tr>
      <w:tr>
        <w:trPr>
          <w:trHeight w:val="613" w:hRule="atLeast"/>
        </w:trPr>
        <w:tc>
          <w:tcPr>
            <w:tcW w:w="1659" w:type="dxa"/>
            <w:shd w:val="clear" w:color="auto" w:fill="00AFEF"/>
          </w:tcPr>
          <w:p>
            <w:pPr>
              <w:pStyle w:val="TableParagraph"/>
              <w:spacing w:line="276" w:lineRule="auto"/>
              <w:ind w:left="107" w:right="307"/>
              <w:rPr>
                <w:b/>
                <w:sz w:val="22"/>
              </w:rPr>
            </w:pPr>
            <w:r>
              <w:rPr>
                <w:b/>
                <w:sz w:val="22"/>
              </w:rPr>
              <w:t>Astragalus p. 197</w:t>
            </w:r>
          </w:p>
        </w:tc>
        <w:tc>
          <w:tcPr>
            <w:tcW w:w="1995" w:type="dxa"/>
          </w:tcPr>
          <w:p>
            <w:pPr>
              <w:pStyle w:val="TableParagraph"/>
              <w:ind w:left="105"/>
              <w:rPr>
                <w:sz w:val="22"/>
              </w:rPr>
            </w:pPr>
            <w:r>
              <w:rPr>
                <w:w w:val="100"/>
                <w:sz w:val="22"/>
              </w:rPr>
              <w:t>X</w:t>
            </w:r>
          </w:p>
        </w:tc>
        <w:tc>
          <w:tcPr>
            <w:tcW w:w="1703" w:type="dxa"/>
            <w:shd w:val="clear" w:color="auto" w:fill="F8D3E8"/>
          </w:tcPr>
          <w:p>
            <w:pPr>
              <w:pStyle w:val="TableParagraph"/>
              <w:ind w:left="104"/>
              <w:rPr>
                <w:sz w:val="22"/>
              </w:rPr>
            </w:pPr>
            <w:r>
              <w:rPr>
                <w:w w:val="100"/>
                <w:sz w:val="22"/>
              </w:rPr>
              <w:t>X</w:t>
            </w:r>
          </w:p>
        </w:tc>
        <w:tc>
          <w:tcPr>
            <w:tcW w:w="1558" w:type="dxa"/>
          </w:tcPr>
          <w:p>
            <w:pPr>
              <w:pStyle w:val="TableParagraph"/>
              <w:rPr>
                <w:rFonts w:ascii="Times New Roman"/>
                <w:sz w:val="22"/>
              </w:rPr>
            </w:pPr>
          </w:p>
        </w:tc>
        <w:tc>
          <w:tcPr>
            <w:tcW w:w="1419" w:type="dxa"/>
            <w:shd w:val="clear" w:color="auto" w:fill="F8D3E8"/>
          </w:tcPr>
          <w:p>
            <w:pPr>
              <w:pStyle w:val="TableParagraph"/>
              <w:rPr>
                <w:rFonts w:ascii="Times New Roman"/>
                <w:sz w:val="22"/>
              </w:rPr>
            </w:pPr>
          </w:p>
        </w:tc>
        <w:tc>
          <w:tcPr>
            <w:tcW w:w="1702" w:type="dxa"/>
          </w:tcPr>
          <w:p>
            <w:pPr>
              <w:pStyle w:val="TableParagraph"/>
              <w:ind w:left="103"/>
              <w:rPr>
                <w:sz w:val="22"/>
              </w:rPr>
            </w:pPr>
            <w:r>
              <w:rPr>
                <w:w w:val="100"/>
                <w:sz w:val="22"/>
              </w:rPr>
              <w:t>X</w:t>
            </w:r>
          </w:p>
        </w:tc>
        <w:tc>
          <w:tcPr>
            <w:tcW w:w="1844" w:type="dxa"/>
            <w:shd w:val="clear" w:color="auto" w:fill="F8D3E8"/>
          </w:tcPr>
          <w:p>
            <w:pPr>
              <w:pStyle w:val="TableParagraph"/>
              <w:rPr>
                <w:rFonts w:ascii="Times New Roman"/>
                <w:sz w:val="22"/>
              </w:rPr>
            </w:pPr>
          </w:p>
        </w:tc>
        <w:tc>
          <w:tcPr>
            <w:tcW w:w="1558" w:type="dxa"/>
          </w:tcPr>
          <w:p>
            <w:pPr>
              <w:pStyle w:val="TableParagraph"/>
              <w:rPr>
                <w:rFonts w:ascii="Times New Roman"/>
                <w:sz w:val="22"/>
              </w:rPr>
            </w:pPr>
          </w:p>
        </w:tc>
        <w:tc>
          <w:tcPr>
            <w:tcW w:w="1702" w:type="dxa"/>
            <w:shd w:val="clear" w:color="auto" w:fill="F8D3E8"/>
          </w:tcPr>
          <w:p>
            <w:pPr>
              <w:pStyle w:val="TableParagraph"/>
              <w:rPr>
                <w:rFonts w:ascii="Times New Roman"/>
                <w:sz w:val="22"/>
              </w:rPr>
            </w:pPr>
          </w:p>
        </w:tc>
        <w:tc>
          <w:tcPr>
            <w:tcW w:w="2014" w:type="dxa"/>
          </w:tcPr>
          <w:p>
            <w:pPr>
              <w:pStyle w:val="TableParagraph"/>
              <w:rPr>
                <w:rFonts w:ascii="Times New Roman"/>
                <w:sz w:val="22"/>
              </w:rPr>
            </w:pPr>
          </w:p>
        </w:tc>
      </w:tr>
      <w:tr>
        <w:trPr>
          <w:trHeight w:val="614" w:hRule="atLeast"/>
        </w:trPr>
        <w:tc>
          <w:tcPr>
            <w:tcW w:w="1659" w:type="dxa"/>
            <w:shd w:val="clear" w:color="auto" w:fill="00AFEF"/>
          </w:tcPr>
          <w:p>
            <w:pPr>
              <w:pStyle w:val="TableParagraph"/>
              <w:spacing w:line="278" w:lineRule="auto"/>
              <w:ind w:left="107" w:right="284"/>
              <w:rPr>
                <w:b/>
                <w:sz w:val="22"/>
              </w:rPr>
            </w:pPr>
            <w:r>
              <w:rPr>
                <w:b/>
                <w:sz w:val="22"/>
              </w:rPr>
              <w:t>Pomegranate p. 490</w:t>
            </w:r>
          </w:p>
        </w:tc>
        <w:tc>
          <w:tcPr>
            <w:tcW w:w="1995" w:type="dxa"/>
          </w:tcPr>
          <w:p>
            <w:pPr>
              <w:pStyle w:val="TableParagraph"/>
              <w:ind w:left="105"/>
              <w:rPr>
                <w:sz w:val="22"/>
              </w:rPr>
            </w:pPr>
            <w:r>
              <w:rPr>
                <w:w w:val="100"/>
                <w:sz w:val="22"/>
              </w:rPr>
              <w:t>X</w:t>
            </w:r>
          </w:p>
        </w:tc>
        <w:tc>
          <w:tcPr>
            <w:tcW w:w="1703" w:type="dxa"/>
            <w:shd w:val="clear" w:color="auto" w:fill="F8D3E8"/>
          </w:tcPr>
          <w:p>
            <w:pPr>
              <w:pStyle w:val="TableParagraph"/>
              <w:ind w:left="104"/>
              <w:rPr>
                <w:sz w:val="22"/>
              </w:rPr>
            </w:pPr>
            <w:r>
              <w:rPr>
                <w:w w:val="100"/>
                <w:sz w:val="22"/>
              </w:rPr>
              <w:t>X</w:t>
            </w:r>
          </w:p>
        </w:tc>
        <w:tc>
          <w:tcPr>
            <w:tcW w:w="1558" w:type="dxa"/>
          </w:tcPr>
          <w:p>
            <w:pPr>
              <w:pStyle w:val="TableParagraph"/>
              <w:rPr>
                <w:rFonts w:ascii="Times New Roman"/>
                <w:sz w:val="22"/>
              </w:rPr>
            </w:pPr>
          </w:p>
        </w:tc>
        <w:tc>
          <w:tcPr>
            <w:tcW w:w="1419" w:type="dxa"/>
            <w:shd w:val="clear" w:color="auto" w:fill="F8D3E8"/>
          </w:tcPr>
          <w:p>
            <w:pPr>
              <w:pStyle w:val="TableParagraph"/>
              <w:rPr>
                <w:rFonts w:ascii="Times New Roman"/>
                <w:sz w:val="22"/>
              </w:rPr>
            </w:pPr>
          </w:p>
        </w:tc>
        <w:tc>
          <w:tcPr>
            <w:tcW w:w="1702" w:type="dxa"/>
          </w:tcPr>
          <w:p>
            <w:pPr>
              <w:pStyle w:val="TableParagraph"/>
              <w:ind w:left="103"/>
              <w:rPr>
                <w:sz w:val="22"/>
              </w:rPr>
            </w:pPr>
            <w:r>
              <w:rPr>
                <w:w w:val="100"/>
                <w:sz w:val="22"/>
              </w:rPr>
              <w:t>X</w:t>
            </w:r>
          </w:p>
        </w:tc>
        <w:tc>
          <w:tcPr>
            <w:tcW w:w="1844" w:type="dxa"/>
            <w:shd w:val="clear" w:color="auto" w:fill="F8D3E8"/>
          </w:tcPr>
          <w:p>
            <w:pPr>
              <w:pStyle w:val="TableParagraph"/>
              <w:rPr>
                <w:rFonts w:ascii="Times New Roman"/>
                <w:sz w:val="22"/>
              </w:rPr>
            </w:pPr>
          </w:p>
        </w:tc>
        <w:tc>
          <w:tcPr>
            <w:tcW w:w="1558" w:type="dxa"/>
          </w:tcPr>
          <w:p>
            <w:pPr>
              <w:pStyle w:val="TableParagraph"/>
              <w:rPr>
                <w:rFonts w:ascii="Times New Roman"/>
                <w:sz w:val="22"/>
              </w:rPr>
            </w:pPr>
          </w:p>
        </w:tc>
        <w:tc>
          <w:tcPr>
            <w:tcW w:w="1702" w:type="dxa"/>
            <w:shd w:val="clear" w:color="auto" w:fill="F8D3E8"/>
          </w:tcPr>
          <w:p>
            <w:pPr>
              <w:pStyle w:val="TableParagraph"/>
              <w:rPr>
                <w:rFonts w:ascii="Times New Roman"/>
                <w:sz w:val="22"/>
              </w:rPr>
            </w:pPr>
          </w:p>
        </w:tc>
        <w:tc>
          <w:tcPr>
            <w:tcW w:w="2014" w:type="dxa"/>
          </w:tcPr>
          <w:p>
            <w:pPr>
              <w:pStyle w:val="TableParagraph"/>
              <w:rPr>
                <w:rFonts w:ascii="Times New Roman"/>
                <w:sz w:val="22"/>
              </w:rPr>
            </w:pPr>
          </w:p>
        </w:tc>
      </w:tr>
      <w:tr>
        <w:trPr>
          <w:trHeight w:val="613" w:hRule="atLeast"/>
        </w:trPr>
        <w:tc>
          <w:tcPr>
            <w:tcW w:w="1659" w:type="dxa"/>
            <w:shd w:val="clear" w:color="auto" w:fill="00AFEF"/>
          </w:tcPr>
          <w:p>
            <w:pPr>
              <w:pStyle w:val="TableParagraph"/>
              <w:ind w:left="107"/>
              <w:rPr>
                <w:b/>
                <w:sz w:val="22"/>
              </w:rPr>
            </w:pPr>
            <w:r>
              <w:rPr>
                <w:b/>
                <w:sz w:val="22"/>
              </w:rPr>
              <w:t>Shiitake p. 1685</w:t>
            </w:r>
          </w:p>
        </w:tc>
        <w:tc>
          <w:tcPr>
            <w:tcW w:w="1995" w:type="dxa"/>
          </w:tcPr>
          <w:p>
            <w:pPr>
              <w:pStyle w:val="TableParagraph"/>
              <w:ind w:left="105"/>
              <w:rPr>
                <w:sz w:val="22"/>
              </w:rPr>
            </w:pPr>
            <w:r>
              <w:rPr>
                <w:w w:val="100"/>
                <w:sz w:val="22"/>
              </w:rPr>
              <w:t>X</w:t>
            </w:r>
          </w:p>
        </w:tc>
        <w:tc>
          <w:tcPr>
            <w:tcW w:w="1703" w:type="dxa"/>
            <w:shd w:val="clear" w:color="auto" w:fill="F8D3E8"/>
          </w:tcPr>
          <w:p>
            <w:pPr>
              <w:pStyle w:val="TableParagraph"/>
              <w:ind w:left="104"/>
              <w:rPr>
                <w:sz w:val="22"/>
              </w:rPr>
            </w:pPr>
            <w:r>
              <w:rPr>
                <w:w w:val="100"/>
                <w:sz w:val="22"/>
              </w:rPr>
              <w:t>X</w:t>
            </w:r>
          </w:p>
        </w:tc>
        <w:tc>
          <w:tcPr>
            <w:tcW w:w="1558" w:type="dxa"/>
          </w:tcPr>
          <w:p>
            <w:pPr>
              <w:pStyle w:val="TableParagraph"/>
              <w:ind w:left="103"/>
              <w:rPr>
                <w:sz w:val="22"/>
              </w:rPr>
            </w:pPr>
            <w:r>
              <w:rPr>
                <w:w w:val="100"/>
                <w:sz w:val="22"/>
              </w:rPr>
              <w:t>X</w:t>
            </w:r>
          </w:p>
        </w:tc>
        <w:tc>
          <w:tcPr>
            <w:tcW w:w="1419" w:type="dxa"/>
            <w:shd w:val="clear" w:color="auto" w:fill="F8D3E8"/>
          </w:tcPr>
          <w:p>
            <w:pPr>
              <w:pStyle w:val="TableParagraph"/>
              <w:rPr>
                <w:rFonts w:ascii="Times New Roman"/>
                <w:sz w:val="22"/>
              </w:rPr>
            </w:pPr>
          </w:p>
        </w:tc>
        <w:tc>
          <w:tcPr>
            <w:tcW w:w="1702" w:type="dxa"/>
          </w:tcPr>
          <w:p>
            <w:pPr>
              <w:pStyle w:val="TableParagraph"/>
              <w:rPr>
                <w:rFonts w:ascii="Times New Roman"/>
                <w:sz w:val="22"/>
              </w:rPr>
            </w:pPr>
          </w:p>
        </w:tc>
        <w:tc>
          <w:tcPr>
            <w:tcW w:w="1844" w:type="dxa"/>
            <w:shd w:val="clear" w:color="auto" w:fill="F8D3E8"/>
          </w:tcPr>
          <w:p>
            <w:pPr>
              <w:pStyle w:val="TableParagraph"/>
              <w:rPr>
                <w:rFonts w:ascii="Times New Roman"/>
                <w:sz w:val="22"/>
              </w:rPr>
            </w:pPr>
          </w:p>
        </w:tc>
        <w:tc>
          <w:tcPr>
            <w:tcW w:w="1558" w:type="dxa"/>
          </w:tcPr>
          <w:p>
            <w:pPr>
              <w:pStyle w:val="TableParagraph"/>
              <w:rPr>
                <w:rFonts w:ascii="Times New Roman"/>
                <w:sz w:val="22"/>
              </w:rPr>
            </w:pPr>
          </w:p>
        </w:tc>
        <w:tc>
          <w:tcPr>
            <w:tcW w:w="1702" w:type="dxa"/>
            <w:shd w:val="clear" w:color="auto" w:fill="F8D3E8"/>
          </w:tcPr>
          <w:p>
            <w:pPr>
              <w:pStyle w:val="TableParagraph"/>
              <w:ind w:left="104"/>
              <w:rPr>
                <w:sz w:val="22"/>
              </w:rPr>
            </w:pPr>
            <w:r>
              <w:rPr>
                <w:w w:val="100"/>
                <w:sz w:val="22"/>
              </w:rPr>
              <w:t>X</w:t>
            </w:r>
          </w:p>
        </w:tc>
        <w:tc>
          <w:tcPr>
            <w:tcW w:w="2014" w:type="dxa"/>
          </w:tcPr>
          <w:p>
            <w:pPr>
              <w:pStyle w:val="TableParagraph"/>
              <w:rPr>
                <w:rFonts w:ascii="Times New Roman"/>
                <w:sz w:val="22"/>
              </w:rPr>
            </w:pPr>
          </w:p>
        </w:tc>
      </w:tr>
      <w:tr>
        <w:trPr>
          <w:trHeight w:val="613" w:hRule="atLeast"/>
        </w:trPr>
        <w:tc>
          <w:tcPr>
            <w:tcW w:w="1659" w:type="dxa"/>
            <w:shd w:val="clear" w:color="auto" w:fill="00AFEF"/>
          </w:tcPr>
          <w:p>
            <w:pPr>
              <w:pStyle w:val="TableParagraph"/>
              <w:spacing w:line="276" w:lineRule="auto"/>
              <w:ind w:left="107" w:right="735"/>
              <w:rPr>
                <w:b/>
                <w:sz w:val="22"/>
              </w:rPr>
            </w:pPr>
            <w:r>
              <w:rPr>
                <w:b/>
                <w:sz w:val="22"/>
              </w:rPr>
              <w:t>Coriolus p. 1848</w:t>
            </w:r>
          </w:p>
        </w:tc>
        <w:tc>
          <w:tcPr>
            <w:tcW w:w="1995" w:type="dxa"/>
          </w:tcPr>
          <w:p>
            <w:pPr>
              <w:pStyle w:val="TableParagraph"/>
              <w:ind w:left="105"/>
              <w:rPr>
                <w:sz w:val="22"/>
              </w:rPr>
            </w:pPr>
            <w:r>
              <w:rPr>
                <w:w w:val="100"/>
                <w:sz w:val="22"/>
              </w:rPr>
              <w:t>X</w:t>
            </w:r>
          </w:p>
        </w:tc>
        <w:tc>
          <w:tcPr>
            <w:tcW w:w="1703" w:type="dxa"/>
            <w:shd w:val="clear" w:color="auto" w:fill="F8D3E8"/>
          </w:tcPr>
          <w:p>
            <w:pPr>
              <w:pStyle w:val="TableParagraph"/>
              <w:ind w:left="104"/>
              <w:rPr>
                <w:sz w:val="22"/>
              </w:rPr>
            </w:pPr>
            <w:r>
              <w:rPr>
                <w:w w:val="100"/>
                <w:sz w:val="22"/>
              </w:rPr>
              <w:t>X</w:t>
            </w:r>
          </w:p>
        </w:tc>
        <w:tc>
          <w:tcPr>
            <w:tcW w:w="1558" w:type="dxa"/>
          </w:tcPr>
          <w:p>
            <w:pPr>
              <w:pStyle w:val="TableParagraph"/>
              <w:rPr>
                <w:rFonts w:ascii="Times New Roman"/>
                <w:sz w:val="22"/>
              </w:rPr>
            </w:pPr>
          </w:p>
        </w:tc>
        <w:tc>
          <w:tcPr>
            <w:tcW w:w="1419" w:type="dxa"/>
            <w:shd w:val="clear" w:color="auto" w:fill="F8D3E8"/>
          </w:tcPr>
          <w:p>
            <w:pPr>
              <w:pStyle w:val="TableParagraph"/>
              <w:rPr>
                <w:rFonts w:ascii="Times New Roman"/>
                <w:sz w:val="22"/>
              </w:rPr>
            </w:pPr>
          </w:p>
        </w:tc>
        <w:tc>
          <w:tcPr>
            <w:tcW w:w="1702" w:type="dxa"/>
          </w:tcPr>
          <w:p>
            <w:pPr>
              <w:pStyle w:val="TableParagraph"/>
              <w:rPr>
                <w:rFonts w:ascii="Times New Roman"/>
                <w:sz w:val="22"/>
              </w:rPr>
            </w:pPr>
          </w:p>
        </w:tc>
        <w:tc>
          <w:tcPr>
            <w:tcW w:w="1844" w:type="dxa"/>
            <w:shd w:val="clear" w:color="auto" w:fill="F8D3E8"/>
          </w:tcPr>
          <w:p>
            <w:pPr>
              <w:pStyle w:val="TableParagraph"/>
              <w:rPr>
                <w:rFonts w:ascii="Times New Roman"/>
                <w:sz w:val="22"/>
              </w:rPr>
            </w:pPr>
          </w:p>
        </w:tc>
        <w:tc>
          <w:tcPr>
            <w:tcW w:w="1558" w:type="dxa"/>
          </w:tcPr>
          <w:p>
            <w:pPr>
              <w:pStyle w:val="TableParagraph"/>
              <w:rPr>
                <w:rFonts w:ascii="Times New Roman"/>
                <w:sz w:val="22"/>
              </w:rPr>
            </w:pPr>
          </w:p>
        </w:tc>
        <w:tc>
          <w:tcPr>
            <w:tcW w:w="1702" w:type="dxa"/>
            <w:shd w:val="clear" w:color="auto" w:fill="F8D3E8"/>
          </w:tcPr>
          <w:p>
            <w:pPr>
              <w:pStyle w:val="TableParagraph"/>
              <w:rPr>
                <w:rFonts w:ascii="Times New Roman"/>
                <w:sz w:val="22"/>
              </w:rPr>
            </w:pPr>
          </w:p>
        </w:tc>
        <w:tc>
          <w:tcPr>
            <w:tcW w:w="2014" w:type="dxa"/>
          </w:tcPr>
          <w:p>
            <w:pPr>
              <w:pStyle w:val="TableParagraph"/>
              <w:rPr>
                <w:rFonts w:ascii="Times New Roman"/>
                <w:sz w:val="22"/>
              </w:rPr>
            </w:pPr>
          </w:p>
        </w:tc>
      </w:tr>
      <w:tr>
        <w:trPr>
          <w:trHeight w:val="613" w:hRule="atLeast"/>
        </w:trPr>
        <w:tc>
          <w:tcPr>
            <w:tcW w:w="1659" w:type="dxa"/>
            <w:shd w:val="clear" w:color="auto" w:fill="00AFEF"/>
          </w:tcPr>
          <w:p>
            <w:pPr>
              <w:pStyle w:val="TableParagraph"/>
              <w:ind w:left="107"/>
              <w:rPr>
                <w:b/>
                <w:sz w:val="22"/>
              </w:rPr>
            </w:pPr>
            <w:r>
              <w:rPr>
                <w:b/>
                <w:sz w:val="22"/>
              </w:rPr>
              <w:t>Papain p. 1312</w:t>
            </w:r>
          </w:p>
        </w:tc>
        <w:tc>
          <w:tcPr>
            <w:tcW w:w="1995" w:type="dxa"/>
          </w:tcPr>
          <w:p>
            <w:pPr>
              <w:pStyle w:val="TableParagraph"/>
              <w:ind w:left="105"/>
              <w:rPr>
                <w:sz w:val="22"/>
              </w:rPr>
            </w:pPr>
            <w:r>
              <w:rPr>
                <w:w w:val="100"/>
                <w:sz w:val="22"/>
              </w:rPr>
              <w:t>X</w:t>
            </w:r>
          </w:p>
        </w:tc>
        <w:tc>
          <w:tcPr>
            <w:tcW w:w="1703" w:type="dxa"/>
            <w:shd w:val="clear" w:color="auto" w:fill="F8D3E8"/>
          </w:tcPr>
          <w:p>
            <w:pPr>
              <w:pStyle w:val="TableParagraph"/>
              <w:ind w:left="104"/>
              <w:rPr>
                <w:sz w:val="22"/>
              </w:rPr>
            </w:pPr>
            <w:r>
              <w:rPr>
                <w:w w:val="100"/>
                <w:sz w:val="22"/>
              </w:rPr>
              <w:t>X</w:t>
            </w:r>
          </w:p>
        </w:tc>
        <w:tc>
          <w:tcPr>
            <w:tcW w:w="1558" w:type="dxa"/>
          </w:tcPr>
          <w:p>
            <w:pPr>
              <w:pStyle w:val="TableParagraph"/>
              <w:ind w:left="103"/>
              <w:rPr>
                <w:sz w:val="22"/>
              </w:rPr>
            </w:pPr>
            <w:r>
              <w:rPr>
                <w:w w:val="100"/>
                <w:sz w:val="22"/>
              </w:rPr>
              <w:t>X</w:t>
            </w:r>
          </w:p>
        </w:tc>
        <w:tc>
          <w:tcPr>
            <w:tcW w:w="1419" w:type="dxa"/>
            <w:shd w:val="clear" w:color="auto" w:fill="F8D3E8"/>
          </w:tcPr>
          <w:p>
            <w:pPr>
              <w:pStyle w:val="TableParagraph"/>
              <w:rPr>
                <w:rFonts w:ascii="Times New Roman"/>
                <w:sz w:val="22"/>
              </w:rPr>
            </w:pPr>
          </w:p>
        </w:tc>
        <w:tc>
          <w:tcPr>
            <w:tcW w:w="1702" w:type="dxa"/>
          </w:tcPr>
          <w:p>
            <w:pPr>
              <w:pStyle w:val="TableParagraph"/>
              <w:ind w:left="103"/>
              <w:rPr>
                <w:sz w:val="22"/>
              </w:rPr>
            </w:pPr>
            <w:r>
              <w:rPr>
                <w:w w:val="100"/>
                <w:sz w:val="22"/>
              </w:rPr>
              <w:t>X</w:t>
            </w:r>
          </w:p>
        </w:tc>
        <w:tc>
          <w:tcPr>
            <w:tcW w:w="1844" w:type="dxa"/>
            <w:shd w:val="clear" w:color="auto" w:fill="F8D3E8"/>
          </w:tcPr>
          <w:p>
            <w:pPr>
              <w:pStyle w:val="TableParagraph"/>
              <w:rPr>
                <w:rFonts w:ascii="Times New Roman"/>
                <w:sz w:val="22"/>
              </w:rPr>
            </w:pPr>
          </w:p>
        </w:tc>
        <w:tc>
          <w:tcPr>
            <w:tcW w:w="1558" w:type="dxa"/>
          </w:tcPr>
          <w:p>
            <w:pPr>
              <w:pStyle w:val="TableParagraph"/>
              <w:rPr>
                <w:rFonts w:ascii="Times New Roman"/>
                <w:sz w:val="22"/>
              </w:rPr>
            </w:pPr>
          </w:p>
        </w:tc>
        <w:tc>
          <w:tcPr>
            <w:tcW w:w="1702" w:type="dxa"/>
            <w:shd w:val="clear" w:color="auto" w:fill="F8D3E8"/>
          </w:tcPr>
          <w:p>
            <w:pPr>
              <w:pStyle w:val="TableParagraph"/>
              <w:ind w:left="104"/>
              <w:rPr>
                <w:sz w:val="22"/>
              </w:rPr>
            </w:pPr>
            <w:r>
              <w:rPr>
                <w:w w:val="100"/>
                <w:sz w:val="22"/>
              </w:rPr>
              <w:t>X</w:t>
            </w:r>
          </w:p>
        </w:tc>
        <w:tc>
          <w:tcPr>
            <w:tcW w:w="2014" w:type="dxa"/>
          </w:tcPr>
          <w:p>
            <w:pPr>
              <w:pStyle w:val="TableParagraph"/>
              <w:rPr>
                <w:rFonts w:ascii="Times New Roman"/>
                <w:sz w:val="22"/>
              </w:rPr>
            </w:pPr>
          </w:p>
        </w:tc>
      </w:tr>
      <w:tr>
        <w:trPr>
          <w:trHeight w:val="614" w:hRule="atLeast"/>
        </w:trPr>
        <w:tc>
          <w:tcPr>
            <w:tcW w:w="1659" w:type="dxa"/>
            <w:shd w:val="clear" w:color="auto" w:fill="00AFEF"/>
          </w:tcPr>
          <w:p>
            <w:pPr>
              <w:pStyle w:val="TableParagraph"/>
              <w:spacing w:line="276" w:lineRule="auto"/>
              <w:ind w:left="107" w:right="548"/>
              <w:rPr>
                <w:b/>
                <w:sz w:val="22"/>
              </w:rPr>
            </w:pPr>
            <w:r>
              <w:rPr>
                <w:b/>
                <w:sz w:val="22"/>
              </w:rPr>
              <w:t>Bromelain p. 140</w:t>
            </w:r>
          </w:p>
        </w:tc>
        <w:tc>
          <w:tcPr>
            <w:tcW w:w="1995" w:type="dxa"/>
          </w:tcPr>
          <w:p>
            <w:pPr>
              <w:pStyle w:val="TableParagraph"/>
              <w:ind w:left="105"/>
              <w:rPr>
                <w:sz w:val="22"/>
              </w:rPr>
            </w:pPr>
            <w:r>
              <w:rPr>
                <w:w w:val="100"/>
                <w:sz w:val="22"/>
              </w:rPr>
              <w:t>X</w:t>
            </w:r>
          </w:p>
        </w:tc>
        <w:tc>
          <w:tcPr>
            <w:tcW w:w="1703" w:type="dxa"/>
            <w:shd w:val="clear" w:color="auto" w:fill="F8D3E8"/>
          </w:tcPr>
          <w:p>
            <w:pPr>
              <w:pStyle w:val="TableParagraph"/>
              <w:ind w:left="104"/>
              <w:rPr>
                <w:sz w:val="22"/>
              </w:rPr>
            </w:pPr>
            <w:r>
              <w:rPr>
                <w:w w:val="100"/>
                <w:sz w:val="22"/>
              </w:rPr>
              <w:t>X</w:t>
            </w:r>
          </w:p>
        </w:tc>
        <w:tc>
          <w:tcPr>
            <w:tcW w:w="1558" w:type="dxa"/>
          </w:tcPr>
          <w:p>
            <w:pPr>
              <w:pStyle w:val="TableParagraph"/>
              <w:ind w:left="103"/>
              <w:rPr>
                <w:sz w:val="22"/>
              </w:rPr>
            </w:pPr>
            <w:r>
              <w:rPr>
                <w:w w:val="100"/>
                <w:sz w:val="22"/>
              </w:rPr>
              <w:t>X</w:t>
            </w:r>
          </w:p>
        </w:tc>
        <w:tc>
          <w:tcPr>
            <w:tcW w:w="1419" w:type="dxa"/>
            <w:shd w:val="clear" w:color="auto" w:fill="F8D3E8"/>
          </w:tcPr>
          <w:p>
            <w:pPr>
              <w:pStyle w:val="TableParagraph"/>
              <w:ind w:left="105"/>
              <w:rPr>
                <w:sz w:val="22"/>
              </w:rPr>
            </w:pPr>
            <w:r>
              <w:rPr>
                <w:w w:val="100"/>
                <w:sz w:val="22"/>
              </w:rPr>
              <w:t>X</w:t>
            </w:r>
          </w:p>
        </w:tc>
        <w:tc>
          <w:tcPr>
            <w:tcW w:w="1702" w:type="dxa"/>
          </w:tcPr>
          <w:p>
            <w:pPr>
              <w:pStyle w:val="TableParagraph"/>
              <w:ind w:left="103"/>
              <w:rPr>
                <w:sz w:val="22"/>
              </w:rPr>
            </w:pPr>
            <w:r>
              <w:rPr>
                <w:w w:val="100"/>
                <w:sz w:val="22"/>
              </w:rPr>
              <w:t>X</w:t>
            </w:r>
          </w:p>
        </w:tc>
        <w:tc>
          <w:tcPr>
            <w:tcW w:w="1844" w:type="dxa"/>
            <w:shd w:val="clear" w:color="auto" w:fill="F8D3E8"/>
          </w:tcPr>
          <w:p>
            <w:pPr>
              <w:pStyle w:val="TableParagraph"/>
              <w:rPr>
                <w:rFonts w:ascii="Times New Roman"/>
                <w:sz w:val="22"/>
              </w:rPr>
            </w:pPr>
          </w:p>
        </w:tc>
        <w:tc>
          <w:tcPr>
            <w:tcW w:w="1558" w:type="dxa"/>
          </w:tcPr>
          <w:p>
            <w:pPr>
              <w:pStyle w:val="TableParagraph"/>
              <w:rPr>
                <w:rFonts w:ascii="Times New Roman"/>
                <w:sz w:val="22"/>
              </w:rPr>
            </w:pPr>
          </w:p>
        </w:tc>
        <w:tc>
          <w:tcPr>
            <w:tcW w:w="1702" w:type="dxa"/>
            <w:shd w:val="clear" w:color="auto" w:fill="F8D3E8"/>
          </w:tcPr>
          <w:p>
            <w:pPr>
              <w:pStyle w:val="TableParagraph"/>
              <w:ind w:left="104"/>
              <w:rPr>
                <w:sz w:val="22"/>
              </w:rPr>
            </w:pPr>
            <w:r>
              <w:rPr>
                <w:w w:val="100"/>
                <w:sz w:val="22"/>
              </w:rPr>
              <w:t>X</w:t>
            </w:r>
          </w:p>
        </w:tc>
        <w:tc>
          <w:tcPr>
            <w:tcW w:w="2014" w:type="dxa"/>
          </w:tcPr>
          <w:p>
            <w:pPr>
              <w:pStyle w:val="TableParagraph"/>
              <w:rPr>
                <w:rFonts w:ascii="Times New Roman"/>
                <w:sz w:val="22"/>
              </w:rPr>
            </w:pPr>
          </w:p>
        </w:tc>
      </w:tr>
      <w:tr>
        <w:trPr>
          <w:trHeight w:val="614" w:hRule="atLeast"/>
        </w:trPr>
        <w:tc>
          <w:tcPr>
            <w:tcW w:w="1659" w:type="dxa"/>
            <w:shd w:val="clear" w:color="auto" w:fill="00AFEF"/>
          </w:tcPr>
          <w:p>
            <w:pPr>
              <w:pStyle w:val="TableParagraph"/>
              <w:ind w:left="107"/>
              <w:rPr>
                <w:b/>
                <w:sz w:val="22"/>
              </w:rPr>
            </w:pPr>
            <w:r>
              <w:rPr>
                <w:b/>
                <w:sz w:val="22"/>
              </w:rPr>
              <w:t>Ginkgo p. 398</w:t>
            </w:r>
          </w:p>
        </w:tc>
        <w:tc>
          <w:tcPr>
            <w:tcW w:w="1995" w:type="dxa"/>
          </w:tcPr>
          <w:p>
            <w:pPr>
              <w:pStyle w:val="TableParagraph"/>
              <w:ind w:left="105"/>
              <w:rPr>
                <w:sz w:val="22"/>
              </w:rPr>
            </w:pPr>
            <w:r>
              <w:rPr>
                <w:w w:val="100"/>
                <w:sz w:val="22"/>
              </w:rPr>
              <w:t>X</w:t>
            </w:r>
          </w:p>
        </w:tc>
        <w:tc>
          <w:tcPr>
            <w:tcW w:w="1703" w:type="dxa"/>
            <w:shd w:val="clear" w:color="auto" w:fill="F8D3E8"/>
          </w:tcPr>
          <w:p>
            <w:pPr>
              <w:pStyle w:val="TableParagraph"/>
              <w:ind w:left="104"/>
              <w:rPr>
                <w:sz w:val="22"/>
              </w:rPr>
            </w:pPr>
            <w:r>
              <w:rPr>
                <w:w w:val="100"/>
                <w:sz w:val="22"/>
              </w:rPr>
              <w:t>X</w:t>
            </w:r>
          </w:p>
        </w:tc>
        <w:tc>
          <w:tcPr>
            <w:tcW w:w="1558" w:type="dxa"/>
          </w:tcPr>
          <w:p>
            <w:pPr>
              <w:pStyle w:val="TableParagraph"/>
              <w:rPr>
                <w:rFonts w:ascii="Times New Roman"/>
                <w:sz w:val="22"/>
              </w:rPr>
            </w:pPr>
          </w:p>
        </w:tc>
        <w:tc>
          <w:tcPr>
            <w:tcW w:w="1419" w:type="dxa"/>
            <w:shd w:val="clear" w:color="auto" w:fill="F8D3E8"/>
          </w:tcPr>
          <w:p>
            <w:pPr>
              <w:pStyle w:val="TableParagraph"/>
              <w:rPr>
                <w:rFonts w:ascii="Times New Roman"/>
                <w:sz w:val="22"/>
              </w:rPr>
            </w:pPr>
          </w:p>
        </w:tc>
        <w:tc>
          <w:tcPr>
            <w:tcW w:w="1702" w:type="dxa"/>
          </w:tcPr>
          <w:p>
            <w:pPr>
              <w:pStyle w:val="TableParagraph"/>
              <w:ind w:left="103"/>
              <w:rPr>
                <w:sz w:val="22"/>
              </w:rPr>
            </w:pPr>
            <w:r>
              <w:rPr>
                <w:w w:val="100"/>
                <w:sz w:val="22"/>
              </w:rPr>
              <w:t>X</w:t>
            </w:r>
          </w:p>
        </w:tc>
        <w:tc>
          <w:tcPr>
            <w:tcW w:w="1844" w:type="dxa"/>
            <w:shd w:val="clear" w:color="auto" w:fill="F8D3E8"/>
          </w:tcPr>
          <w:p>
            <w:pPr>
              <w:pStyle w:val="TableParagraph"/>
              <w:rPr>
                <w:rFonts w:ascii="Times New Roman"/>
                <w:sz w:val="22"/>
              </w:rPr>
            </w:pPr>
          </w:p>
        </w:tc>
        <w:tc>
          <w:tcPr>
            <w:tcW w:w="1558" w:type="dxa"/>
          </w:tcPr>
          <w:p>
            <w:pPr>
              <w:pStyle w:val="TableParagraph"/>
              <w:rPr>
                <w:rFonts w:ascii="Times New Roman"/>
                <w:sz w:val="22"/>
              </w:rPr>
            </w:pPr>
          </w:p>
        </w:tc>
        <w:tc>
          <w:tcPr>
            <w:tcW w:w="1702" w:type="dxa"/>
            <w:shd w:val="clear" w:color="auto" w:fill="F8D3E8"/>
          </w:tcPr>
          <w:p>
            <w:pPr>
              <w:pStyle w:val="TableParagraph"/>
              <w:rPr>
                <w:rFonts w:ascii="Times New Roman"/>
                <w:sz w:val="22"/>
              </w:rPr>
            </w:pPr>
          </w:p>
        </w:tc>
        <w:tc>
          <w:tcPr>
            <w:tcW w:w="2014" w:type="dxa"/>
          </w:tcPr>
          <w:p>
            <w:pPr>
              <w:pStyle w:val="TableParagraph"/>
              <w:rPr>
                <w:rFonts w:ascii="Times New Roman"/>
                <w:sz w:val="22"/>
              </w:rPr>
            </w:pPr>
          </w:p>
        </w:tc>
      </w:tr>
      <w:tr>
        <w:trPr>
          <w:trHeight w:val="613" w:hRule="atLeast"/>
        </w:trPr>
        <w:tc>
          <w:tcPr>
            <w:tcW w:w="1659" w:type="dxa"/>
            <w:shd w:val="clear" w:color="auto" w:fill="00AFEF"/>
          </w:tcPr>
          <w:p>
            <w:pPr>
              <w:pStyle w:val="TableParagraph"/>
              <w:ind w:left="107"/>
              <w:rPr>
                <w:b/>
                <w:sz w:val="22"/>
              </w:rPr>
            </w:pPr>
            <w:r>
              <w:rPr>
                <w:b/>
                <w:sz w:val="22"/>
              </w:rPr>
              <w:t>Stevia p. 1571</w:t>
            </w:r>
          </w:p>
        </w:tc>
        <w:tc>
          <w:tcPr>
            <w:tcW w:w="1995" w:type="dxa"/>
          </w:tcPr>
          <w:p>
            <w:pPr>
              <w:pStyle w:val="TableParagraph"/>
              <w:ind w:left="105"/>
              <w:rPr>
                <w:sz w:val="22"/>
              </w:rPr>
            </w:pPr>
            <w:r>
              <w:rPr>
                <w:w w:val="100"/>
                <w:sz w:val="22"/>
              </w:rPr>
              <w:t>X</w:t>
            </w:r>
          </w:p>
        </w:tc>
        <w:tc>
          <w:tcPr>
            <w:tcW w:w="1703" w:type="dxa"/>
            <w:shd w:val="clear" w:color="auto" w:fill="F8D3E8"/>
          </w:tcPr>
          <w:p>
            <w:pPr>
              <w:pStyle w:val="TableParagraph"/>
              <w:ind w:left="104"/>
              <w:rPr>
                <w:sz w:val="22"/>
              </w:rPr>
            </w:pPr>
            <w:r>
              <w:rPr>
                <w:w w:val="100"/>
                <w:sz w:val="22"/>
              </w:rPr>
              <w:t>X</w:t>
            </w:r>
          </w:p>
        </w:tc>
        <w:tc>
          <w:tcPr>
            <w:tcW w:w="1558" w:type="dxa"/>
          </w:tcPr>
          <w:p>
            <w:pPr>
              <w:pStyle w:val="TableParagraph"/>
              <w:rPr>
                <w:rFonts w:ascii="Times New Roman"/>
                <w:sz w:val="22"/>
              </w:rPr>
            </w:pPr>
          </w:p>
        </w:tc>
        <w:tc>
          <w:tcPr>
            <w:tcW w:w="1419" w:type="dxa"/>
            <w:shd w:val="clear" w:color="auto" w:fill="F8D3E8"/>
          </w:tcPr>
          <w:p>
            <w:pPr>
              <w:pStyle w:val="TableParagraph"/>
              <w:rPr>
                <w:rFonts w:ascii="Times New Roman"/>
                <w:sz w:val="22"/>
              </w:rPr>
            </w:pPr>
          </w:p>
        </w:tc>
        <w:tc>
          <w:tcPr>
            <w:tcW w:w="1702" w:type="dxa"/>
          </w:tcPr>
          <w:p>
            <w:pPr>
              <w:pStyle w:val="TableParagraph"/>
              <w:rPr>
                <w:rFonts w:ascii="Times New Roman"/>
                <w:sz w:val="22"/>
              </w:rPr>
            </w:pPr>
          </w:p>
        </w:tc>
        <w:tc>
          <w:tcPr>
            <w:tcW w:w="1844" w:type="dxa"/>
            <w:shd w:val="clear" w:color="auto" w:fill="F8D3E8"/>
          </w:tcPr>
          <w:p>
            <w:pPr>
              <w:pStyle w:val="TableParagraph"/>
              <w:rPr>
                <w:rFonts w:ascii="Times New Roman"/>
                <w:sz w:val="22"/>
              </w:rPr>
            </w:pPr>
          </w:p>
        </w:tc>
        <w:tc>
          <w:tcPr>
            <w:tcW w:w="1558" w:type="dxa"/>
          </w:tcPr>
          <w:p>
            <w:pPr>
              <w:pStyle w:val="TableParagraph"/>
              <w:ind w:left="102"/>
              <w:rPr>
                <w:sz w:val="22"/>
              </w:rPr>
            </w:pPr>
            <w:r>
              <w:rPr>
                <w:w w:val="100"/>
                <w:sz w:val="22"/>
              </w:rPr>
              <w:t>X</w:t>
            </w:r>
          </w:p>
        </w:tc>
        <w:tc>
          <w:tcPr>
            <w:tcW w:w="1702" w:type="dxa"/>
            <w:shd w:val="clear" w:color="auto" w:fill="F8D3E8"/>
          </w:tcPr>
          <w:p>
            <w:pPr>
              <w:pStyle w:val="TableParagraph"/>
              <w:rPr>
                <w:rFonts w:ascii="Times New Roman"/>
                <w:sz w:val="22"/>
              </w:rPr>
            </w:pPr>
          </w:p>
        </w:tc>
        <w:tc>
          <w:tcPr>
            <w:tcW w:w="2014" w:type="dxa"/>
          </w:tcPr>
          <w:p>
            <w:pPr>
              <w:pStyle w:val="TableParagraph"/>
              <w:rPr>
                <w:rFonts w:ascii="Times New Roman"/>
                <w:sz w:val="22"/>
              </w:rPr>
            </w:pPr>
          </w:p>
        </w:tc>
      </w:tr>
      <w:tr>
        <w:trPr>
          <w:trHeight w:val="614" w:hRule="atLeast"/>
        </w:trPr>
        <w:tc>
          <w:tcPr>
            <w:tcW w:w="1659" w:type="dxa"/>
            <w:shd w:val="clear" w:color="auto" w:fill="00AFEF"/>
          </w:tcPr>
          <w:p>
            <w:pPr>
              <w:pStyle w:val="TableParagraph"/>
              <w:spacing w:line="276" w:lineRule="auto"/>
              <w:ind w:left="107" w:right="515"/>
              <w:rPr>
                <w:b/>
                <w:sz w:val="22"/>
              </w:rPr>
            </w:pPr>
            <w:r>
              <w:rPr>
                <w:b/>
                <w:sz w:val="22"/>
              </w:rPr>
              <w:t>Rooibos p. 1370</w:t>
            </w:r>
          </w:p>
        </w:tc>
        <w:tc>
          <w:tcPr>
            <w:tcW w:w="1995" w:type="dxa"/>
          </w:tcPr>
          <w:p>
            <w:pPr>
              <w:pStyle w:val="TableParagraph"/>
              <w:ind w:left="105"/>
              <w:rPr>
                <w:sz w:val="22"/>
              </w:rPr>
            </w:pPr>
            <w:r>
              <w:rPr>
                <w:w w:val="100"/>
                <w:sz w:val="22"/>
              </w:rPr>
              <w:t>X</w:t>
            </w:r>
          </w:p>
        </w:tc>
        <w:tc>
          <w:tcPr>
            <w:tcW w:w="1703" w:type="dxa"/>
            <w:shd w:val="clear" w:color="auto" w:fill="F8D3E8"/>
          </w:tcPr>
          <w:p>
            <w:pPr>
              <w:pStyle w:val="TableParagraph"/>
              <w:ind w:left="104"/>
              <w:rPr>
                <w:sz w:val="22"/>
              </w:rPr>
            </w:pPr>
            <w:r>
              <w:rPr>
                <w:w w:val="100"/>
                <w:sz w:val="22"/>
              </w:rPr>
              <w:t>X</w:t>
            </w:r>
          </w:p>
        </w:tc>
        <w:tc>
          <w:tcPr>
            <w:tcW w:w="1558" w:type="dxa"/>
          </w:tcPr>
          <w:p>
            <w:pPr>
              <w:pStyle w:val="TableParagraph"/>
              <w:rPr>
                <w:rFonts w:ascii="Times New Roman"/>
                <w:sz w:val="22"/>
              </w:rPr>
            </w:pPr>
          </w:p>
        </w:tc>
        <w:tc>
          <w:tcPr>
            <w:tcW w:w="1419" w:type="dxa"/>
            <w:shd w:val="clear" w:color="auto" w:fill="F8D3E8"/>
          </w:tcPr>
          <w:p>
            <w:pPr>
              <w:pStyle w:val="TableParagraph"/>
              <w:rPr>
                <w:rFonts w:ascii="Times New Roman"/>
                <w:sz w:val="22"/>
              </w:rPr>
            </w:pPr>
          </w:p>
        </w:tc>
        <w:tc>
          <w:tcPr>
            <w:tcW w:w="1702" w:type="dxa"/>
          </w:tcPr>
          <w:p>
            <w:pPr>
              <w:pStyle w:val="TableParagraph"/>
              <w:rPr>
                <w:rFonts w:ascii="Times New Roman"/>
                <w:sz w:val="22"/>
              </w:rPr>
            </w:pPr>
          </w:p>
        </w:tc>
        <w:tc>
          <w:tcPr>
            <w:tcW w:w="1844" w:type="dxa"/>
            <w:shd w:val="clear" w:color="auto" w:fill="F8D3E8"/>
          </w:tcPr>
          <w:p>
            <w:pPr>
              <w:pStyle w:val="TableParagraph"/>
              <w:rPr>
                <w:rFonts w:ascii="Times New Roman"/>
                <w:sz w:val="22"/>
              </w:rPr>
            </w:pPr>
          </w:p>
        </w:tc>
        <w:tc>
          <w:tcPr>
            <w:tcW w:w="1558" w:type="dxa"/>
          </w:tcPr>
          <w:p>
            <w:pPr>
              <w:pStyle w:val="TableParagraph"/>
              <w:rPr>
                <w:rFonts w:ascii="Times New Roman"/>
                <w:sz w:val="22"/>
              </w:rPr>
            </w:pPr>
          </w:p>
        </w:tc>
        <w:tc>
          <w:tcPr>
            <w:tcW w:w="1702" w:type="dxa"/>
            <w:shd w:val="clear" w:color="auto" w:fill="F8D3E8"/>
          </w:tcPr>
          <w:p>
            <w:pPr>
              <w:pStyle w:val="TableParagraph"/>
              <w:ind w:left="104"/>
              <w:rPr>
                <w:sz w:val="22"/>
              </w:rPr>
            </w:pPr>
            <w:r>
              <w:rPr>
                <w:w w:val="100"/>
                <w:sz w:val="22"/>
              </w:rPr>
              <w:t>X</w:t>
            </w:r>
          </w:p>
        </w:tc>
        <w:tc>
          <w:tcPr>
            <w:tcW w:w="2014" w:type="dxa"/>
          </w:tcPr>
          <w:p>
            <w:pPr>
              <w:pStyle w:val="TableParagraph"/>
              <w:rPr>
                <w:rFonts w:ascii="Times New Roman"/>
                <w:sz w:val="22"/>
              </w:rPr>
            </w:pPr>
          </w:p>
        </w:tc>
      </w:tr>
      <w:tr>
        <w:trPr>
          <w:trHeight w:val="613" w:hRule="atLeast"/>
        </w:trPr>
        <w:tc>
          <w:tcPr>
            <w:tcW w:w="1659" w:type="dxa"/>
            <w:shd w:val="clear" w:color="auto" w:fill="00AFEF"/>
          </w:tcPr>
          <w:p>
            <w:pPr>
              <w:pStyle w:val="TableParagraph"/>
              <w:spacing w:line="276" w:lineRule="auto"/>
              <w:ind w:left="107" w:right="309"/>
              <w:rPr>
                <w:b/>
                <w:sz w:val="22"/>
              </w:rPr>
            </w:pPr>
            <w:r>
              <w:rPr>
                <w:b/>
                <w:sz w:val="22"/>
              </w:rPr>
              <w:t>Colostrum p. 264</w:t>
            </w:r>
          </w:p>
        </w:tc>
        <w:tc>
          <w:tcPr>
            <w:tcW w:w="1995" w:type="dxa"/>
          </w:tcPr>
          <w:p>
            <w:pPr>
              <w:pStyle w:val="TableParagraph"/>
              <w:rPr>
                <w:rFonts w:ascii="Times New Roman"/>
                <w:sz w:val="22"/>
              </w:rPr>
            </w:pPr>
          </w:p>
        </w:tc>
        <w:tc>
          <w:tcPr>
            <w:tcW w:w="1703" w:type="dxa"/>
            <w:shd w:val="clear" w:color="auto" w:fill="F8D3E8"/>
          </w:tcPr>
          <w:p>
            <w:pPr>
              <w:pStyle w:val="TableParagraph"/>
              <w:ind w:left="104"/>
              <w:rPr>
                <w:sz w:val="22"/>
              </w:rPr>
            </w:pPr>
            <w:r>
              <w:rPr>
                <w:w w:val="100"/>
                <w:sz w:val="22"/>
              </w:rPr>
              <w:t>X</w:t>
            </w:r>
          </w:p>
        </w:tc>
        <w:tc>
          <w:tcPr>
            <w:tcW w:w="1558" w:type="dxa"/>
          </w:tcPr>
          <w:p>
            <w:pPr>
              <w:pStyle w:val="TableParagraph"/>
              <w:rPr>
                <w:rFonts w:ascii="Times New Roman"/>
                <w:sz w:val="22"/>
              </w:rPr>
            </w:pPr>
          </w:p>
        </w:tc>
        <w:tc>
          <w:tcPr>
            <w:tcW w:w="1419" w:type="dxa"/>
            <w:shd w:val="clear" w:color="auto" w:fill="F8D3E8"/>
          </w:tcPr>
          <w:p>
            <w:pPr>
              <w:pStyle w:val="TableParagraph"/>
              <w:rPr>
                <w:rFonts w:ascii="Times New Roman"/>
                <w:sz w:val="22"/>
              </w:rPr>
            </w:pPr>
          </w:p>
        </w:tc>
        <w:tc>
          <w:tcPr>
            <w:tcW w:w="1702" w:type="dxa"/>
          </w:tcPr>
          <w:p>
            <w:pPr>
              <w:pStyle w:val="TableParagraph"/>
              <w:ind w:left="103"/>
              <w:rPr>
                <w:sz w:val="22"/>
              </w:rPr>
            </w:pPr>
            <w:r>
              <w:rPr>
                <w:w w:val="100"/>
                <w:sz w:val="22"/>
              </w:rPr>
              <w:t>X</w:t>
            </w:r>
          </w:p>
        </w:tc>
        <w:tc>
          <w:tcPr>
            <w:tcW w:w="1844" w:type="dxa"/>
            <w:shd w:val="clear" w:color="auto" w:fill="F8D3E8"/>
          </w:tcPr>
          <w:p>
            <w:pPr>
              <w:pStyle w:val="TableParagraph"/>
              <w:rPr>
                <w:rFonts w:ascii="Times New Roman"/>
                <w:sz w:val="22"/>
              </w:rPr>
            </w:pPr>
          </w:p>
        </w:tc>
        <w:tc>
          <w:tcPr>
            <w:tcW w:w="1558" w:type="dxa"/>
          </w:tcPr>
          <w:p>
            <w:pPr>
              <w:pStyle w:val="TableParagraph"/>
              <w:rPr>
                <w:rFonts w:ascii="Times New Roman"/>
                <w:sz w:val="22"/>
              </w:rPr>
            </w:pPr>
          </w:p>
        </w:tc>
        <w:tc>
          <w:tcPr>
            <w:tcW w:w="1702" w:type="dxa"/>
            <w:shd w:val="clear" w:color="auto" w:fill="F8D3E8"/>
          </w:tcPr>
          <w:p>
            <w:pPr>
              <w:pStyle w:val="TableParagraph"/>
              <w:ind w:left="104"/>
              <w:rPr>
                <w:sz w:val="22"/>
              </w:rPr>
            </w:pPr>
            <w:r>
              <w:rPr>
                <w:w w:val="100"/>
                <w:sz w:val="22"/>
              </w:rPr>
              <w:t>X</w:t>
            </w:r>
          </w:p>
        </w:tc>
        <w:tc>
          <w:tcPr>
            <w:tcW w:w="2014" w:type="dxa"/>
          </w:tcPr>
          <w:p>
            <w:pPr>
              <w:pStyle w:val="TableParagraph"/>
              <w:rPr>
                <w:rFonts w:ascii="Times New Roman"/>
                <w:sz w:val="22"/>
              </w:rPr>
            </w:pPr>
          </w:p>
        </w:tc>
      </w:tr>
      <w:tr>
        <w:trPr>
          <w:trHeight w:val="614" w:hRule="atLeast"/>
        </w:trPr>
        <w:tc>
          <w:tcPr>
            <w:tcW w:w="1659" w:type="dxa"/>
            <w:shd w:val="clear" w:color="auto" w:fill="00AFEF"/>
          </w:tcPr>
          <w:p>
            <w:pPr>
              <w:pStyle w:val="TableParagraph"/>
              <w:spacing w:line="276" w:lineRule="auto"/>
              <w:ind w:left="107" w:right="422"/>
              <w:rPr>
                <w:b/>
                <w:sz w:val="22"/>
              </w:rPr>
            </w:pPr>
            <w:r>
              <w:rPr>
                <w:b/>
                <w:sz w:val="22"/>
              </w:rPr>
              <w:t>Selenium p. 1405</w:t>
            </w:r>
          </w:p>
        </w:tc>
        <w:tc>
          <w:tcPr>
            <w:tcW w:w="1995" w:type="dxa"/>
          </w:tcPr>
          <w:p>
            <w:pPr>
              <w:pStyle w:val="TableParagraph"/>
              <w:rPr>
                <w:rFonts w:ascii="Times New Roman"/>
                <w:sz w:val="22"/>
              </w:rPr>
            </w:pPr>
          </w:p>
        </w:tc>
        <w:tc>
          <w:tcPr>
            <w:tcW w:w="1703" w:type="dxa"/>
            <w:shd w:val="clear" w:color="auto" w:fill="F8D3E8"/>
          </w:tcPr>
          <w:p>
            <w:pPr>
              <w:pStyle w:val="TableParagraph"/>
              <w:ind w:left="104"/>
              <w:rPr>
                <w:sz w:val="22"/>
              </w:rPr>
            </w:pPr>
            <w:r>
              <w:rPr>
                <w:w w:val="100"/>
                <w:sz w:val="22"/>
              </w:rPr>
              <w:t>X</w:t>
            </w:r>
          </w:p>
        </w:tc>
        <w:tc>
          <w:tcPr>
            <w:tcW w:w="1558" w:type="dxa"/>
          </w:tcPr>
          <w:p>
            <w:pPr>
              <w:pStyle w:val="TableParagraph"/>
              <w:rPr>
                <w:rFonts w:ascii="Times New Roman"/>
                <w:sz w:val="22"/>
              </w:rPr>
            </w:pPr>
          </w:p>
        </w:tc>
        <w:tc>
          <w:tcPr>
            <w:tcW w:w="1419" w:type="dxa"/>
            <w:shd w:val="clear" w:color="auto" w:fill="F8D3E8"/>
          </w:tcPr>
          <w:p>
            <w:pPr>
              <w:pStyle w:val="TableParagraph"/>
              <w:ind w:left="105"/>
              <w:rPr>
                <w:sz w:val="22"/>
              </w:rPr>
            </w:pPr>
            <w:r>
              <w:rPr>
                <w:w w:val="100"/>
                <w:sz w:val="22"/>
              </w:rPr>
              <w:t>X</w:t>
            </w:r>
          </w:p>
        </w:tc>
        <w:tc>
          <w:tcPr>
            <w:tcW w:w="1702" w:type="dxa"/>
          </w:tcPr>
          <w:p>
            <w:pPr>
              <w:pStyle w:val="TableParagraph"/>
              <w:ind w:left="103"/>
              <w:rPr>
                <w:sz w:val="22"/>
              </w:rPr>
            </w:pPr>
            <w:r>
              <w:rPr>
                <w:w w:val="100"/>
                <w:sz w:val="22"/>
              </w:rPr>
              <w:t>X</w:t>
            </w:r>
          </w:p>
        </w:tc>
        <w:tc>
          <w:tcPr>
            <w:tcW w:w="1844" w:type="dxa"/>
            <w:shd w:val="clear" w:color="auto" w:fill="F8D3E8"/>
          </w:tcPr>
          <w:p>
            <w:pPr>
              <w:pStyle w:val="TableParagraph"/>
              <w:rPr>
                <w:rFonts w:ascii="Times New Roman"/>
                <w:sz w:val="22"/>
              </w:rPr>
            </w:pPr>
          </w:p>
        </w:tc>
        <w:tc>
          <w:tcPr>
            <w:tcW w:w="1558" w:type="dxa"/>
          </w:tcPr>
          <w:p>
            <w:pPr>
              <w:pStyle w:val="TableParagraph"/>
              <w:rPr>
                <w:rFonts w:ascii="Times New Roman"/>
                <w:sz w:val="22"/>
              </w:rPr>
            </w:pPr>
          </w:p>
        </w:tc>
        <w:tc>
          <w:tcPr>
            <w:tcW w:w="1702" w:type="dxa"/>
            <w:shd w:val="clear" w:color="auto" w:fill="F8D3E8"/>
          </w:tcPr>
          <w:p>
            <w:pPr>
              <w:pStyle w:val="TableParagraph"/>
              <w:rPr>
                <w:rFonts w:ascii="Times New Roman"/>
                <w:sz w:val="22"/>
              </w:rPr>
            </w:pPr>
          </w:p>
        </w:tc>
        <w:tc>
          <w:tcPr>
            <w:tcW w:w="2014" w:type="dxa"/>
          </w:tcPr>
          <w:p>
            <w:pPr>
              <w:pStyle w:val="TableParagraph"/>
              <w:rPr>
                <w:rFonts w:ascii="Times New Roman"/>
                <w:sz w:val="22"/>
              </w:rPr>
            </w:pPr>
          </w:p>
        </w:tc>
      </w:tr>
    </w:tbl>
    <w:p>
      <w:pPr>
        <w:spacing w:after="0"/>
        <w:rPr>
          <w:rFonts w:ascii="Times New Roman"/>
          <w:sz w:val="22"/>
        </w:rPr>
        <w:sectPr>
          <w:pgSz w:w="18630" w:h="11910" w:orient="landscape"/>
          <w:pgMar w:header="0" w:footer="404" w:top="840" w:bottom="600" w:left="740" w:right="8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59"/>
        <w:gridCol w:w="1995"/>
        <w:gridCol w:w="1703"/>
        <w:gridCol w:w="1558"/>
        <w:gridCol w:w="1419"/>
        <w:gridCol w:w="1702"/>
        <w:gridCol w:w="1844"/>
        <w:gridCol w:w="1558"/>
        <w:gridCol w:w="1702"/>
        <w:gridCol w:w="2014"/>
      </w:tblGrid>
      <w:tr>
        <w:trPr>
          <w:trHeight w:val="892" w:hRule="atLeast"/>
        </w:trPr>
        <w:tc>
          <w:tcPr>
            <w:tcW w:w="1659" w:type="dxa"/>
            <w:shd w:val="clear" w:color="auto" w:fill="00AFEF"/>
          </w:tcPr>
          <w:p>
            <w:pPr>
              <w:pStyle w:val="TableParagraph"/>
              <w:ind w:left="107"/>
              <w:rPr>
                <w:b/>
                <w:sz w:val="22"/>
              </w:rPr>
            </w:pPr>
            <w:r>
              <w:rPr>
                <w:b/>
                <w:sz w:val="22"/>
              </w:rPr>
              <w:t>Green Tea</w:t>
            </w:r>
          </w:p>
          <w:p>
            <w:pPr>
              <w:pStyle w:val="TableParagraph"/>
              <w:spacing w:before="1"/>
              <w:rPr>
                <w:sz w:val="21"/>
              </w:rPr>
            </w:pPr>
          </w:p>
          <w:p>
            <w:pPr>
              <w:pStyle w:val="TableParagraph"/>
              <w:ind w:left="107"/>
              <w:rPr>
                <w:b/>
                <w:sz w:val="22"/>
              </w:rPr>
            </w:pPr>
            <w:r>
              <w:rPr>
                <w:b/>
                <w:sz w:val="22"/>
              </w:rPr>
              <w:t>p. 587</w:t>
            </w:r>
          </w:p>
        </w:tc>
        <w:tc>
          <w:tcPr>
            <w:tcW w:w="1995" w:type="dxa"/>
          </w:tcPr>
          <w:p>
            <w:pPr>
              <w:pStyle w:val="TableParagraph"/>
              <w:ind w:left="105"/>
              <w:rPr>
                <w:sz w:val="22"/>
              </w:rPr>
            </w:pPr>
            <w:r>
              <w:rPr>
                <w:w w:val="100"/>
                <w:sz w:val="22"/>
              </w:rPr>
              <w:t>X</w:t>
            </w:r>
          </w:p>
          <w:p>
            <w:pPr>
              <w:pStyle w:val="TableParagraph"/>
              <w:spacing w:before="1"/>
              <w:rPr>
                <w:sz w:val="21"/>
              </w:rPr>
            </w:pPr>
          </w:p>
          <w:p>
            <w:pPr>
              <w:pStyle w:val="TableParagraph"/>
              <w:ind w:left="105"/>
              <w:rPr>
                <w:sz w:val="22"/>
              </w:rPr>
            </w:pPr>
            <w:r>
              <w:rPr>
                <w:sz w:val="22"/>
              </w:rPr>
              <w:t>(Japanese bancha)</w:t>
            </w:r>
          </w:p>
        </w:tc>
        <w:tc>
          <w:tcPr>
            <w:tcW w:w="1703" w:type="dxa"/>
            <w:shd w:val="clear" w:color="auto" w:fill="F8D3E8"/>
          </w:tcPr>
          <w:p>
            <w:pPr>
              <w:pStyle w:val="TableParagraph"/>
              <w:ind w:left="104"/>
              <w:rPr>
                <w:sz w:val="22"/>
              </w:rPr>
            </w:pPr>
            <w:r>
              <w:rPr>
                <w:w w:val="100"/>
                <w:sz w:val="22"/>
              </w:rPr>
              <w:t>X</w:t>
            </w:r>
          </w:p>
        </w:tc>
        <w:tc>
          <w:tcPr>
            <w:tcW w:w="1558" w:type="dxa"/>
          </w:tcPr>
          <w:p>
            <w:pPr>
              <w:pStyle w:val="TableParagraph"/>
              <w:rPr>
                <w:rFonts w:ascii="Times New Roman"/>
                <w:sz w:val="22"/>
              </w:rPr>
            </w:pPr>
          </w:p>
        </w:tc>
        <w:tc>
          <w:tcPr>
            <w:tcW w:w="1419" w:type="dxa"/>
            <w:shd w:val="clear" w:color="auto" w:fill="F8D3E8"/>
          </w:tcPr>
          <w:p>
            <w:pPr>
              <w:pStyle w:val="TableParagraph"/>
              <w:rPr>
                <w:rFonts w:ascii="Times New Roman"/>
                <w:sz w:val="22"/>
              </w:rPr>
            </w:pPr>
          </w:p>
        </w:tc>
        <w:tc>
          <w:tcPr>
            <w:tcW w:w="1702" w:type="dxa"/>
          </w:tcPr>
          <w:p>
            <w:pPr>
              <w:pStyle w:val="TableParagraph"/>
              <w:ind w:left="103"/>
              <w:rPr>
                <w:sz w:val="22"/>
              </w:rPr>
            </w:pPr>
            <w:r>
              <w:rPr>
                <w:w w:val="100"/>
                <w:sz w:val="22"/>
              </w:rPr>
              <w:t>X</w:t>
            </w:r>
          </w:p>
        </w:tc>
        <w:tc>
          <w:tcPr>
            <w:tcW w:w="1844" w:type="dxa"/>
            <w:shd w:val="clear" w:color="auto" w:fill="F8D3E8"/>
          </w:tcPr>
          <w:p>
            <w:pPr>
              <w:pStyle w:val="TableParagraph"/>
              <w:rPr>
                <w:rFonts w:ascii="Times New Roman"/>
                <w:sz w:val="22"/>
              </w:rPr>
            </w:pPr>
          </w:p>
        </w:tc>
        <w:tc>
          <w:tcPr>
            <w:tcW w:w="1558" w:type="dxa"/>
          </w:tcPr>
          <w:p>
            <w:pPr>
              <w:pStyle w:val="TableParagraph"/>
              <w:rPr>
                <w:rFonts w:ascii="Times New Roman"/>
                <w:sz w:val="22"/>
              </w:rPr>
            </w:pPr>
          </w:p>
        </w:tc>
        <w:tc>
          <w:tcPr>
            <w:tcW w:w="1702" w:type="dxa"/>
            <w:shd w:val="clear" w:color="auto" w:fill="F8D3E8"/>
          </w:tcPr>
          <w:p>
            <w:pPr>
              <w:pStyle w:val="TableParagraph"/>
              <w:ind w:left="104"/>
              <w:rPr>
                <w:sz w:val="22"/>
              </w:rPr>
            </w:pPr>
            <w:r>
              <w:rPr>
                <w:w w:val="100"/>
                <w:sz w:val="22"/>
              </w:rPr>
              <w:t>X</w:t>
            </w:r>
          </w:p>
        </w:tc>
        <w:tc>
          <w:tcPr>
            <w:tcW w:w="2014" w:type="dxa"/>
          </w:tcPr>
          <w:p>
            <w:pPr>
              <w:pStyle w:val="TableParagraph"/>
              <w:rPr>
                <w:rFonts w:ascii="Times New Roman"/>
                <w:sz w:val="22"/>
              </w:rPr>
            </w:pPr>
          </w:p>
        </w:tc>
      </w:tr>
      <w:tr>
        <w:trPr>
          <w:trHeight w:val="614" w:hRule="atLeast"/>
        </w:trPr>
        <w:tc>
          <w:tcPr>
            <w:tcW w:w="1659" w:type="dxa"/>
            <w:shd w:val="clear" w:color="auto" w:fill="00AFEF"/>
          </w:tcPr>
          <w:p>
            <w:pPr>
              <w:pStyle w:val="TableParagraph"/>
              <w:spacing w:line="276" w:lineRule="auto"/>
              <w:ind w:left="107" w:right="222"/>
              <w:rPr>
                <w:b/>
                <w:sz w:val="22"/>
              </w:rPr>
            </w:pPr>
            <w:r>
              <w:rPr>
                <w:b/>
                <w:sz w:val="22"/>
              </w:rPr>
              <w:t>A-L-Carnitine p. 866</w:t>
            </w:r>
          </w:p>
        </w:tc>
        <w:tc>
          <w:tcPr>
            <w:tcW w:w="1995" w:type="dxa"/>
          </w:tcPr>
          <w:p>
            <w:pPr>
              <w:pStyle w:val="TableParagraph"/>
              <w:rPr>
                <w:rFonts w:ascii="Times New Roman"/>
                <w:sz w:val="22"/>
              </w:rPr>
            </w:pPr>
          </w:p>
        </w:tc>
        <w:tc>
          <w:tcPr>
            <w:tcW w:w="1703" w:type="dxa"/>
            <w:shd w:val="clear" w:color="auto" w:fill="F8D3E8"/>
          </w:tcPr>
          <w:p>
            <w:pPr>
              <w:pStyle w:val="TableParagraph"/>
              <w:rPr>
                <w:rFonts w:ascii="Times New Roman"/>
                <w:sz w:val="22"/>
              </w:rPr>
            </w:pPr>
          </w:p>
        </w:tc>
        <w:tc>
          <w:tcPr>
            <w:tcW w:w="1558" w:type="dxa"/>
          </w:tcPr>
          <w:p>
            <w:pPr>
              <w:pStyle w:val="TableParagraph"/>
              <w:rPr>
                <w:rFonts w:ascii="Times New Roman"/>
                <w:sz w:val="22"/>
              </w:rPr>
            </w:pPr>
          </w:p>
        </w:tc>
        <w:tc>
          <w:tcPr>
            <w:tcW w:w="1419" w:type="dxa"/>
            <w:shd w:val="clear" w:color="auto" w:fill="F8D3E8"/>
          </w:tcPr>
          <w:p>
            <w:pPr>
              <w:pStyle w:val="TableParagraph"/>
              <w:ind w:left="105"/>
              <w:rPr>
                <w:sz w:val="22"/>
              </w:rPr>
            </w:pPr>
            <w:r>
              <w:rPr>
                <w:w w:val="100"/>
                <w:sz w:val="22"/>
              </w:rPr>
              <w:t>X</w:t>
            </w:r>
          </w:p>
        </w:tc>
        <w:tc>
          <w:tcPr>
            <w:tcW w:w="1702" w:type="dxa"/>
          </w:tcPr>
          <w:p>
            <w:pPr>
              <w:pStyle w:val="TableParagraph"/>
              <w:rPr>
                <w:rFonts w:ascii="Times New Roman"/>
                <w:sz w:val="22"/>
              </w:rPr>
            </w:pPr>
          </w:p>
        </w:tc>
        <w:tc>
          <w:tcPr>
            <w:tcW w:w="1844" w:type="dxa"/>
            <w:shd w:val="clear" w:color="auto" w:fill="F8D3E8"/>
          </w:tcPr>
          <w:p>
            <w:pPr>
              <w:pStyle w:val="TableParagraph"/>
              <w:rPr>
                <w:rFonts w:ascii="Times New Roman"/>
                <w:sz w:val="22"/>
              </w:rPr>
            </w:pPr>
          </w:p>
        </w:tc>
        <w:tc>
          <w:tcPr>
            <w:tcW w:w="1558" w:type="dxa"/>
          </w:tcPr>
          <w:p>
            <w:pPr>
              <w:pStyle w:val="TableParagraph"/>
              <w:rPr>
                <w:rFonts w:ascii="Times New Roman"/>
                <w:sz w:val="22"/>
              </w:rPr>
            </w:pPr>
          </w:p>
        </w:tc>
        <w:tc>
          <w:tcPr>
            <w:tcW w:w="1702" w:type="dxa"/>
            <w:shd w:val="clear" w:color="auto" w:fill="F8D3E8"/>
          </w:tcPr>
          <w:p>
            <w:pPr>
              <w:pStyle w:val="TableParagraph"/>
              <w:rPr>
                <w:rFonts w:ascii="Times New Roman"/>
                <w:sz w:val="22"/>
              </w:rPr>
            </w:pPr>
          </w:p>
        </w:tc>
        <w:tc>
          <w:tcPr>
            <w:tcW w:w="2014" w:type="dxa"/>
          </w:tcPr>
          <w:p>
            <w:pPr>
              <w:pStyle w:val="TableParagraph"/>
              <w:ind w:left="102"/>
              <w:rPr>
                <w:sz w:val="22"/>
              </w:rPr>
            </w:pPr>
            <w:r>
              <w:rPr>
                <w:w w:val="100"/>
                <w:sz w:val="22"/>
              </w:rPr>
              <w:t>X</w:t>
            </w:r>
          </w:p>
        </w:tc>
      </w:tr>
      <w:tr>
        <w:trPr>
          <w:trHeight w:val="613" w:hRule="atLeast"/>
        </w:trPr>
        <w:tc>
          <w:tcPr>
            <w:tcW w:w="1659" w:type="dxa"/>
            <w:shd w:val="clear" w:color="auto" w:fill="00AFEF"/>
          </w:tcPr>
          <w:p>
            <w:pPr>
              <w:pStyle w:val="TableParagraph"/>
              <w:spacing w:line="276" w:lineRule="auto"/>
              <w:ind w:left="107" w:right="566"/>
              <w:rPr>
                <w:b/>
                <w:sz w:val="22"/>
              </w:rPr>
            </w:pPr>
            <w:r>
              <w:rPr>
                <w:b/>
                <w:sz w:val="22"/>
              </w:rPr>
              <w:t>Melatonin p. 954</w:t>
            </w:r>
          </w:p>
        </w:tc>
        <w:tc>
          <w:tcPr>
            <w:tcW w:w="1995" w:type="dxa"/>
          </w:tcPr>
          <w:p>
            <w:pPr>
              <w:pStyle w:val="TableParagraph"/>
              <w:rPr>
                <w:rFonts w:ascii="Times New Roman"/>
                <w:sz w:val="22"/>
              </w:rPr>
            </w:pPr>
          </w:p>
        </w:tc>
        <w:tc>
          <w:tcPr>
            <w:tcW w:w="1703" w:type="dxa"/>
            <w:shd w:val="clear" w:color="auto" w:fill="F8D3E8"/>
          </w:tcPr>
          <w:p>
            <w:pPr>
              <w:pStyle w:val="TableParagraph"/>
              <w:ind w:left="104"/>
              <w:rPr>
                <w:sz w:val="22"/>
              </w:rPr>
            </w:pPr>
            <w:r>
              <w:rPr>
                <w:w w:val="100"/>
                <w:sz w:val="22"/>
              </w:rPr>
              <w:t>X</w:t>
            </w:r>
          </w:p>
        </w:tc>
        <w:tc>
          <w:tcPr>
            <w:tcW w:w="1558" w:type="dxa"/>
          </w:tcPr>
          <w:p>
            <w:pPr>
              <w:pStyle w:val="TableParagraph"/>
              <w:rPr>
                <w:rFonts w:ascii="Times New Roman"/>
                <w:sz w:val="22"/>
              </w:rPr>
            </w:pPr>
          </w:p>
        </w:tc>
        <w:tc>
          <w:tcPr>
            <w:tcW w:w="1419" w:type="dxa"/>
            <w:shd w:val="clear" w:color="auto" w:fill="F8D3E8"/>
          </w:tcPr>
          <w:p>
            <w:pPr>
              <w:pStyle w:val="TableParagraph"/>
              <w:rPr>
                <w:rFonts w:ascii="Times New Roman"/>
                <w:sz w:val="22"/>
              </w:rPr>
            </w:pPr>
          </w:p>
        </w:tc>
        <w:tc>
          <w:tcPr>
            <w:tcW w:w="1702" w:type="dxa"/>
          </w:tcPr>
          <w:p>
            <w:pPr>
              <w:pStyle w:val="TableParagraph"/>
              <w:rPr>
                <w:rFonts w:ascii="Times New Roman"/>
                <w:sz w:val="22"/>
              </w:rPr>
            </w:pPr>
          </w:p>
        </w:tc>
        <w:tc>
          <w:tcPr>
            <w:tcW w:w="1844" w:type="dxa"/>
            <w:shd w:val="clear" w:color="auto" w:fill="F8D3E8"/>
          </w:tcPr>
          <w:p>
            <w:pPr>
              <w:pStyle w:val="TableParagraph"/>
              <w:rPr>
                <w:rFonts w:ascii="Times New Roman"/>
                <w:sz w:val="22"/>
              </w:rPr>
            </w:pPr>
          </w:p>
        </w:tc>
        <w:tc>
          <w:tcPr>
            <w:tcW w:w="1558" w:type="dxa"/>
          </w:tcPr>
          <w:p>
            <w:pPr>
              <w:pStyle w:val="TableParagraph"/>
              <w:rPr>
                <w:rFonts w:ascii="Times New Roman"/>
                <w:sz w:val="22"/>
              </w:rPr>
            </w:pPr>
          </w:p>
        </w:tc>
        <w:tc>
          <w:tcPr>
            <w:tcW w:w="1702" w:type="dxa"/>
            <w:shd w:val="clear" w:color="auto" w:fill="F8D3E8"/>
          </w:tcPr>
          <w:p>
            <w:pPr>
              <w:pStyle w:val="TableParagraph"/>
              <w:ind w:left="104"/>
              <w:rPr>
                <w:sz w:val="22"/>
              </w:rPr>
            </w:pPr>
            <w:r>
              <w:rPr>
                <w:w w:val="100"/>
                <w:sz w:val="22"/>
              </w:rPr>
              <w:t>X</w:t>
            </w:r>
          </w:p>
        </w:tc>
        <w:tc>
          <w:tcPr>
            <w:tcW w:w="2014" w:type="dxa"/>
          </w:tcPr>
          <w:p>
            <w:pPr>
              <w:pStyle w:val="TableParagraph"/>
              <w:rPr>
                <w:rFonts w:ascii="Times New Roman"/>
                <w:sz w:val="22"/>
              </w:rPr>
            </w:pPr>
          </w:p>
        </w:tc>
      </w:tr>
    </w:tbl>
    <w:p>
      <w:pPr>
        <w:spacing w:after="0"/>
        <w:rPr>
          <w:rFonts w:ascii="Times New Roman"/>
          <w:sz w:val="22"/>
        </w:rPr>
        <w:sectPr>
          <w:pgSz w:w="18630" w:h="11910" w:orient="landscape"/>
          <w:pgMar w:header="0" w:footer="404" w:top="840" w:bottom="600" w:left="740" w:right="8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5"/>
        <w:gridCol w:w="1150"/>
        <w:gridCol w:w="2255"/>
        <w:gridCol w:w="1842"/>
        <w:gridCol w:w="2270"/>
        <w:gridCol w:w="2021"/>
        <w:gridCol w:w="2664"/>
        <w:gridCol w:w="2696"/>
      </w:tblGrid>
      <w:tr>
        <w:trPr>
          <w:trHeight w:val="1087" w:hRule="atLeast"/>
        </w:trPr>
        <w:tc>
          <w:tcPr>
            <w:tcW w:w="17133" w:type="dxa"/>
            <w:gridSpan w:val="8"/>
            <w:shd w:val="clear" w:color="auto" w:fill="FAD3B4"/>
          </w:tcPr>
          <w:p>
            <w:pPr>
              <w:pStyle w:val="TableParagraph"/>
              <w:spacing w:before="311"/>
              <w:ind w:left="530"/>
              <w:rPr>
                <w:b/>
                <w:sz w:val="36"/>
              </w:rPr>
            </w:pPr>
            <w:r>
              <w:rPr>
                <w:b/>
                <w:sz w:val="36"/>
              </w:rPr>
              <w:t>SUBSTANCE-EFFECT TABLE OF NATURAL REMEDIES FOR ALZHEIMER´S AND DEMENTIA</w:t>
            </w:r>
          </w:p>
        </w:tc>
      </w:tr>
      <w:tr>
        <w:trPr>
          <w:trHeight w:val="5011" w:hRule="atLeast"/>
        </w:trPr>
        <w:tc>
          <w:tcPr>
            <w:tcW w:w="2235" w:type="dxa"/>
            <w:shd w:val="clear" w:color="auto" w:fill="FFFF00"/>
          </w:tcPr>
          <w:p>
            <w:pPr>
              <w:pStyle w:val="TableParagraph"/>
              <w:rPr>
                <w:sz w:val="32"/>
              </w:rPr>
            </w:pPr>
          </w:p>
          <w:p>
            <w:pPr>
              <w:pStyle w:val="TableParagraph"/>
              <w:spacing w:before="203"/>
              <w:ind w:left="107"/>
              <w:rPr>
                <w:rFonts w:ascii="Courier New"/>
                <w:b/>
                <w:sz w:val="28"/>
              </w:rPr>
            </w:pPr>
            <w:r>
              <w:rPr>
                <w:rFonts w:ascii="Courier New"/>
                <w:b/>
                <w:sz w:val="28"/>
              </w:rPr>
              <w:t>Natursubtanz</w:t>
            </w:r>
          </w:p>
        </w:tc>
        <w:tc>
          <w:tcPr>
            <w:tcW w:w="1150" w:type="dxa"/>
            <w:shd w:val="clear" w:color="auto" w:fill="FFFF00"/>
          </w:tcPr>
          <w:p>
            <w:pPr>
              <w:pStyle w:val="TableParagraph"/>
              <w:rPr>
                <w:sz w:val="32"/>
              </w:rPr>
            </w:pPr>
          </w:p>
          <w:p>
            <w:pPr>
              <w:pStyle w:val="TableParagraph"/>
              <w:spacing w:before="203"/>
              <w:ind w:left="107"/>
              <w:rPr>
                <w:rFonts w:ascii="Courier New"/>
                <w:b/>
                <w:sz w:val="28"/>
              </w:rPr>
            </w:pPr>
            <w:r>
              <w:rPr>
                <w:rFonts w:ascii="Courier New"/>
                <w:b/>
                <w:sz w:val="28"/>
              </w:rPr>
              <w:t>Page</w:t>
            </w:r>
          </w:p>
        </w:tc>
        <w:tc>
          <w:tcPr>
            <w:tcW w:w="2255" w:type="dxa"/>
            <w:shd w:val="clear" w:color="auto" w:fill="FFFF00"/>
          </w:tcPr>
          <w:p>
            <w:pPr>
              <w:pStyle w:val="TableParagraph"/>
              <w:rPr>
                <w:sz w:val="32"/>
              </w:rPr>
            </w:pPr>
          </w:p>
          <w:p>
            <w:pPr>
              <w:pStyle w:val="TableParagraph"/>
              <w:spacing w:line="276" w:lineRule="auto" w:before="201"/>
              <w:ind w:left="104" w:right="121"/>
              <w:rPr>
                <w:rFonts w:ascii="Courier New"/>
                <w:b/>
                <w:sz w:val="28"/>
              </w:rPr>
            </w:pPr>
            <w:r>
              <w:rPr>
                <w:rFonts w:ascii="Courier New"/>
                <w:b/>
                <w:sz w:val="28"/>
              </w:rPr>
              <w:t>Detoxifica- tion of mer- cury, amal- gam, palla- dium, alu- minium etc/repair of brain cells</w:t>
            </w:r>
          </w:p>
        </w:tc>
        <w:tc>
          <w:tcPr>
            <w:tcW w:w="1842" w:type="dxa"/>
            <w:shd w:val="clear" w:color="auto" w:fill="FFFF00"/>
          </w:tcPr>
          <w:p>
            <w:pPr>
              <w:pStyle w:val="TableParagraph"/>
              <w:rPr>
                <w:sz w:val="32"/>
              </w:rPr>
            </w:pPr>
          </w:p>
          <w:p>
            <w:pPr>
              <w:pStyle w:val="TableParagraph"/>
              <w:spacing w:line="276" w:lineRule="auto" w:before="201"/>
              <w:ind w:left="103" w:right="196"/>
              <w:rPr>
                <w:rFonts w:ascii="Courier New"/>
                <w:b/>
                <w:sz w:val="28"/>
              </w:rPr>
            </w:pPr>
            <w:r>
              <w:rPr>
                <w:rFonts w:ascii="Courier New"/>
                <w:b/>
                <w:sz w:val="28"/>
              </w:rPr>
              <w:t>Neuropro- tective shield (e.g. against free rad- icals)</w:t>
            </w:r>
          </w:p>
        </w:tc>
        <w:tc>
          <w:tcPr>
            <w:tcW w:w="2270" w:type="dxa"/>
            <w:shd w:val="clear" w:color="auto" w:fill="FFFF00"/>
          </w:tcPr>
          <w:p>
            <w:pPr>
              <w:pStyle w:val="TableParagraph"/>
              <w:rPr>
                <w:sz w:val="32"/>
              </w:rPr>
            </w:pPr>
          </w:p>
          <w:p>
            <w:pPr>
              <w:pStyle w:val="TableParagraph"/>
              <w:spacing w:line="276" w:lineRule="auto" w:before="201"/>
              <w:ind w:left="105" w:right="305"/>
              <w:rPr>
                <w:rFonts w:ascii="Courier New"/>
                <w:b/>
                <w:sz w:val="28"/>
              </w:rPr>
            </w:pPr>
            <w:r>
              <w:rPr>
                <w:rFonts w:ascii="Courier New"/>
                <w:b/>
                <w:sz w:val="28"/>
              </w:rPr>
              <w:t>Removal of deposits (so-called plaques) in the brain</w:t>
            </w:r>
          </w:p>
        </w:tc>
        <w:tc>
          <w:tcPr>
            <w:tcW w:w="2021" w:type="dxa"/>
            <w:shd w:val="clear" w:color="auto" w:fill="FFFF00"/>
          </w:tcPr>
          <w:p>
            <w:pPr>
              <w:pStyle w:val="TableParagraph"/>
              <w:rPr>
                <w:sz w:val="32"/>
              </w:rPr>
            </w:pPr>
          </w:p>
          <w:p>
            <w:pPr>
              <w:pStyle w:val="TableParagraph"/>
              <w:spacing w:line="276" w:lineRule="auto" w:before="201"/>
              <w:ind w:left="103" w:right="393"/>
              <w:rPr>
                <w:rFonts w:ascii="Courier New"/>
                <w:b/>
                <w:sz w:val="28"/>
              </w:rPr>
            </w:pPr>
            <w:r>
              <w:rPr>
                <w:rFonts w:ascii="Courier New"/>
                <w:b/>
                <w:sz w:val="28"/>
              </w:rPr>
              <w:t>Stimula- tion of circula- tion in the brain</w:t>
            </w:r>
          </w:p>
        </w:tc>
        <w:tc>
          <w:tcPr>
            <w:tcW w:w="2664" w:type="dxa"/>
            <w:shd w:val="clear" w:color="auto" w:fill="FFFF00"/>
          </w:tcPr>
          <w:p>
            <w:pPr>
              <w:pStyle w:val="TableParagraph"/>
              <w:rPr>
                <w:sz w:val="32"/>
              </w:rPr>
            </w:pPr>
          </w:p>
          <w:p>
            <w:pPr>
              <w:pStyle w:val="TableParagraph"/>
              <w:spacing w:line="276" w:lineRule="auto" w:before="201"/>
              <w:ind w:left="101" w:right="198"/>
              <w:rPr>
                <w:rFonts w:ascii="Courier New"/>
                <w:b/>
                <w:sz w:val="28"/>
              </w:rPr>
            </w:pPr>
            <w:r>
              <w:rPr>
                <w:rFonts w:ascii="Courier New"/>
                <w:b/>
                <w:sz w:val="28"/>
              </w:rPr>
              <w:t>Support for neurotransmit- ters/improve- ment of nerve transfers in the brain</w:t>
            </w:r>
          </w:p>
        </w:tc>
        <w:tc>
          <w:tcPr>
            <w:tcW w:w="2696" w:type="dxa"/>
            <w:shd w:val="clear" w:color="auto" w:fill="FFFF00"/>
          </w:tcPr>
          <w:p>
            <w:pPr>
              <w:pStyle w:val="TableParagraph"/>
              <w:rPr>
                <w:sz w:val="32"/>
              </w:rPr>
            </w:pPr>
          </w:p>
          <w:p>
            <w:pPr>
              <w:pStyle w:val="TableParagraph"/>
              <w:spacing w:line="276" w:lineRule="auto" w:before="201"/>
              <w:ind w:left="96" w:right="217"/>
              <w:rPr>
                <w:rFonts w:ascii="Courier New"/>
                <w:b/>
                <w:sz w:val="28"/>
              </w:rPr>
            </w:pPr>
            <w:r>
              <w:rPr>
                <w:rFonts w:ascii="Courier New"/>
                <w:b/>
                <w:sz w:val="28"/>
              </w:rPr>
              <w:t>Effects which encourage stress reduc- tion, healthy sleep (only at night) and re- generation of brain cells</w:t>
            </w:r>
          </w:p>
        </w:tc>
      </w:tr>
      <w:tr>
        <w:trPr>
          <w:trHeight w:val="628" w:hRule="atLeast"/>
        </w:trPr>
        <w:tc>
          <w:tcPr>
            <w:tcW w:w="2235" w:type="dxa"/>
            <w:shd w:val="clear" w:color="auto" w:fill="00AFEF"/>
          </w:tcPr>
          <w:p>
            <w:pPr>
              <w:pStyle w:val="TableParagraph"/>
              <w:spacing w:line="317" w:lineRule="exact"/>
              <w:ind w:left="107"/>
              <w:rPr>
                <w:rFonts w:ascii="Courier New"/>
                <w:b/>
                <w:sz w:val="28"/>
              </w:rPr>
            </w:pPr>
            <w:r>
              <w:rPr>
                <w:rFonts w:ascii="Courier New"/>
                <w:b/>
                <w:sz w:val="28"/>
              </w:rPr>
              <w:t>Ginkgo</w:t>
            </w:r>
          </w:p>
        </w:tc>
        <w:tc>
          <w:tcPr>
            <w:tcW w:w="1150" w:type="dxa"/>
          </w:tcPr>
          <w:p>
            <w:pPr>
              <w:pStyle w:val="TableParagraph"/>
              <w:spacing w:before="6"/>
              <w:ind w:left="107"/>
              <w:rPr>
                <w:rFonts w:ascii="Courier New"/>
                <w:sz w:val="28"/>
              </w:rPr>
            </w:pPr>
            <w:r>
              <w:rPr>
                <w:rFonts w:ascii="Courier New"/>
                <w:sz w:val="28"/>
              </w:rPr>
              <w:t>398</w:t>
            </w:r>
          </w:p>
        </w:tc>
        <w:tc>
          <w:tcPr>
            <w:tcW w:w="2255" w:type="dxa"/>
          </w:tcPr>
          <w:p>
            <w:pPr>
              <w:pStyle w:val="TableParagraph"/>
              <w:rPr>
                <w:rFonts w:ascii="Times New Roman"/>
                <w:sz w:val="28"/>
              </w:rPr>
            </w:pPr>
          </w:p>
        </w:tc>
        <w:tc>
          <w:tcPr>
            <w:tcW w:w="1842" w:type="dxa"/>
          </w:tcPr>
          <w:p>
            <w:pPr>
              <w:pStyle w:val="TableParagraph"/>
              <w:spacing w:before="6"/>
              <w:ind w:left="103"/>
              <w:rPr>
                <w:rFonts w:ascii="Courier New"/>
                <w:sz w:val="28"/>
              </w:rPr>
            </w:pPr>
            <w:r>
              <w:rPr>
                <w:rFonts w:ascii="Courier New"/>
                <w:w w:val="100"/>
                <w:sz w:val="28"/>
              </w:rPr>
              <w:t>X</w:t>
            </w:r>
          </w:p>
        </w:tc>
        <w:tc>
          <w:tcPr>
            <w:tcW w:w="2270" w:type="dxa"/>
          </w:tcPr>
          <w:p>
            <w:pPr>
              <w:pStyle w:val="TableParagraph"/>
              <w:rPr>
                <w:rFonts w:ascii="Times New Roman"/>
                <w:sz w:val="28"/>
              </w:rPr>
            </w:pPr>
          </w:p>
        </w:tc>
        <w:tc>
          <w:tcPr>
            <w:tcW w:w="2021" w:type="dxa"/>
          </w:tcPr>
          <w:p>
            <w:pPr>
              <w:pStyle w:val="TableParagraph"/>
              <w:spacing w:before="6"/>
              <w:ind w:left="103"/>
              <w:rPr>
                <w:rFonts w:ascii="Courier New"/>
                <w:sz w:val="28"/>
              </w:rPr>
            </w:pPr>
            <w:r>
              <w:rPr>
                <w:rFonts w:ascii="Courier New"/>
                <w:w w:val="100"/>
                <w:sz w:val="28"/>
              </w:rPr>
              <w:t>X</w:t>
            </w:r>
          </w:p>
        </w:tc>
        <w:tc>
          <w:tcPr>
            <w:tcW w:w="2664" w:type="dxa"/>
          </w:tcPr>
          <w:p>
            <w:pPr>
              <w:pStyle w:val="TableParagraph"/>
              <w:spacing w:before="6"/>
              <w:ind w:left="101"/>
              <w:rPr>
                <w:rFonts w:ascii="Courier New"/>
                <w:sz w:val="28"/>
              </w:rPr>
            </w:pPr>
            <w:r>
              <w:rPr>
                <w:rFonts w:ascii="Courier New"/>
                <w:w w:val="100"/>
                <w:sz w:val="28"/>
              </w:rPr>
              <w:t>X</w:t>
            </w:r>
          </w:p>
        </w:tc>
        <w:tc>
          <w:tcPr>
            <w:tcW w:w="2696" w:type="dxa"/>
          </w:tcPr>
          <w:p>
            <w:pPr>
              <w:pStyle w:val="TableParagraph"/>
              <w:spacing w:before="6"/>
              <w:ind w:left="96"/>
              <w:rPr>
                <w:rFonts w:ascii="Courier New"/>
                <w:sz w:val="28"/>
              </w:rPr>
            </w:pPr>
            <w:r>
              <w:rPr>
                <w:rFonts w:ascii="Courier New"/>
                <w:w w:val="100"/>
                <w:sz w:val="28"/>
              </w:rPr>
              <w:t>X</w:t>
            </w:r>
          </w:p>
        </w:tc>
      </w:tr>
      <w:tr>
        <w:trPr>
          <w:trHeight w:val="621" w:hRule="atLeast"/>
        </w:trPr>
        <w:tc>
          <w:tcPr>
            <w:tcW w:w="2235" w:type="dxa"/>
            <w:shd w:val="clear" w:color="auto" w:fill="00AFEF"/>
          </w:tcPr>
          <w:p>
            <w:pPr>
              <w:pStyle w:val="TableParagraph"/>
              <w:spacing w:line="317" w:lineRule="exact"/>
              <w:ind w:left="107"/>
              <w:rPr>
                <w:rFonts w:ascii="Courier New"/>
                <w:b/>
                <w:sz w:val="28"/>
              </w:rPr>
            </w:pPr>
            <w:r>
              <w:rPr>
                <w:rFonts w:ascii="Courier New"/>
                <w:b/>
                <w:sz w:val="28"/>
              </w:rPr>
              <w:t>L-Carnosine</w:t>
            </w:r>
          </w:p>
        </w:tc>
        <w:tc>
          <w:tcPr>
            <w:tcW w:w="1150" w:type="dxa"/>
          </w:tcPr>
          <w:p>
            <w:pPr>
              <w:pStyle w:val="TableParagraph"/>
              <w:spacing w:before="6"/>
              <w:ind w:left="107"/>
              <w:rPr>
                <w:rFonts w:ascii="Courier New"/>
                <w:sz w:val="28"/>
              </w:rPr>
            </w:pPr>
            <w:r>
              <w:rPr>
                <w:rFonts w:ascii="Courier New"/>
                <w:sz w:val="28"/>
              </w:rPr>
              <w:t>924</w:t>
            </w:r>
          </w:p>
        </w:tc>
        <w:tc>
          <w:tcPr>
            <w:tcW w:w="2255" w:type="dxa"/>
          </w:tcPr>
          <w:p>
            <w:pPr>
              <w:pStyle w:val="TableParagraph"/>
              <w:spacing w:before="6"/>
              <w:ind w:left="104"/>
              <w:rPr>
                <w:rFonts w:ascii="Courier New"/>
                <w:sz w:val="28"/>
              </w:rPr>
            </w:pPr>
            <w:r>
              <w:rPr>
                <w:rFonts w:ascii="Courier New"/>
                <w:w w:val="100"/>
                <w:sz w:val="28"/>
              </w:rPr>
              <w:t>X</w:t>
            </w:r>
          </w:p>
        </w:tc>
        <w:tc>
          <w:tcPr>
            <w:tcW w:w="1842" w:type="dxa"/>
          </w:tcPr>
          <w:p>
            <w:pPr>
              <w:pStyle w:val="TableParagraph"/>
              <w:spacing w:before="6"/>
              <w:ind w:left="103"/>
              <w:rPr>
                <w:rFonts w:ascii="Courier New"/>
                <w:sz w:val="28"/>
              </w:rPr>
            </w:pPr>
            <w:r>
              <w:rPr>
                <w:rFonts w:ascii="Courier New"/>
                <w:w w:val="100"/>
                <w:sz w:val="28"/>
              </w:rPr>
              <w:t>X</w:t>
            </w:r>
          </w:p>
        </w:tc>
        <w:tc>
          <w:tcPr>
            <w:tcW w:w="2270" w:type="dxa"/>
          </w:tcPr>
          <w:p>
            <w:pPr>
              <w:pStyle w:val="TableParagraph"/>
              <w:spacing w:before="6"/>
              <w:ind w:left="105"/>
              <w:rPr>
                <w:rFonts w:ascii="Courier New"/>
                <w:sz w:val="28"/>
              </w:rPr>
            </w:pPr>
            <w:r>
              <w:rPr>
                <w:rFonts w:ascii="Courier New"/>
                <w:w w:val="100"/>
                <w:sz w:val="28"/>
              </w:rPr>
              <w:t>X</w:t>
            </w:r>
          </w:p>
        </w:tc>
        <w:tc>
          <w:tcPr>
            <w:tcW w:w="2021" w:type="dxa"/>
          </w:tcPr>
          <w:p>
            <w:pPr>
              <w:pStyle w:val="TableParagraph"/>
              <w:rPr>
                <w:rFonts w:ascii="Times New Roman"/>
                <w:sz w:val="28"/>
              </w:rPr>
            </w:pPr>
          </w:p>
        </w:tc>
        <w:tc>
          <w:tcPr>
            <w:tcW w:w="2664" w:type="dxa"/>
          </w:tcPr>
          <w:p>
            <w:pPr>
              <w:pStyle w:val="TableParagraph"/>
              <w:spacing w:before="6"/>
              <w:ind w:left="101"/>
              <w:rPr>
                <w:rFonts w:ascii="Courier New"/>
                <w:sz w:val="28"/>
              </w:rPr>
            </w:pPr>
            <w:r>
              <w:rPr>
                <w:rFonts w:ascii="Courier New"/>
                <w:w w:val="100"/>
                <w:sz w:val="28"/>
              </w:rPr>
              <w:t>X</w:t>
            </w:r>
          </w:p>
        </w:tc>
        <w:tc>
          <w:tcPr>
            <w:tcW w:w="2696" w:type="dxa"/>
          </w:tcPr>
          <w:p>
            <w:pPr>
              <w:pStyle w:val="TableParagraph"/>
              <w:rPr>
                <w:rFonts w:ascii="Times New Roman"/>
                <w:sz w:val="28"/>
              </w:rPr>
            </w:pPr>
          </w:p>
        </w:tc>
      </w:tr>
      <w:tr>
        <w:trPr>
          <w:trHeight w:val="931" w:hRule="atLeast"/>
        </w:trPr>
        <w:tc>
          <w:tcPr>
            <w:tcW w:w="2235" w:type="dxa"/>
            <w:shd w:val="clear" w:color="auto" w:fill="00AFEF"/>
          </w:tcPr>
          <w:p>
            <w:pPr>
              <w:pStyle w:val="TableParagraph"/>
              <w:spacing w:line="278" w:lineRule="auto"/>
              <w:ind w:left="107" w:right="417"/>
              <w:rPr>
                <w:rFonts w:ascii="Courier New"/>
                <w:b/>
                <w:sz w:val="28"/>
              </w:rPr>
            </w:pPr>
            <w:r>
              <w:rPr>
                <w:rFonts w:ascii="Courier New"/>
                <w:b/>
                <w:sz w:val="28"/>
              </w:rPr>
              <w:t>colloidal- Gold*</w:t>
            </w:r>
          </w:p>
        </w:tc>
        <w:tc>
          <w:tcPr>
            <w:tcW w:w="1150" w:type="dxa"/>
          </w:tcPr>
          <w:p>
            <w:pPr>
              <w:pStyle w:val="TableParagraph"/>
              <w:spacing w:before="6"/>
              <w:ind w:left="107"/>
              <w:rPr>
                <w:rFonts w:ascii="Courier New"/>
                <w:sz w:val="28"/>
              </w:rPr>
            </w:pPr>
            <w:r>
              <w:rPr>
                <w:rFonts w:ascii="Courier New"/>
                <w:sz w:val="28"/>
              </w:rPr>
              <w:t>642</w:t>
            </w:r>
          </w:p>
        </w:tc>
        <w:tc>
          <w:tcPr>
            <w:tcW w:w="2255" w:type="dxa"/>
          </w:tcPr>
          <w:p>
            <w:pPr>
              <w:pStyle w:val="TableParagraph"/>
              <w:rPr>
                <w:rFonts w:ascii="Times New Roman"/>
                <w:sz w:val="28"/>
              </w:rPr>
            </w:pPr>
          </w:p>
        </w:tc>
        <w:tc>
          <w:tcPr>
            <w:tcW w:w="1842" w:type="dxa"/>
          </w:tcPr>
          <w:p>
            <w:pPr>
              <w:pStyle w:val="TableParagraph"/>
              <w:spacing w:before="6"/>
              <w:ind w:left="103"/>
              <w:rPr>
                <w:rFonts w:ascii="Courier New"/>
                <w:sz w:val="28"/>
              </w:rPr>
            </w:pPr>
            <w:r>
              <w:rPr>
                <w:rFonts w:ascii="Courier New"/>
                <w:w w:val="100"/>
                <w:sz w:val="28"/>
              </w:rPr>
              <w:t>X</w:t>
            </w:r>
          </w:p>
        </w:tc>
        <w:tc>
          <w:tcPr>
            <w:tcW w:w="2270" w:type="dxa"/>
          </w:tcPr>
          <w:p>
            <w:pPr>
              <w:pStyle w:val="TableParagraph"/>
              <w:rPr>
                <w:rFonts w:ascii="Times New Roman"/>
                <w:sz w:val="28"/>
              </w:rPr>
            </w:pPr>
          </w:p>
        </w:tc>
        <w:tc>
          <w:tcPr>
            <w:tcW w:w="2021" w:type="dxa"/>
          </w:tcPr>
          <w:p>
            <w:pPr>
              <w:pStyle w:val="TableParagraph"/>
              <w:rPr>
                <w:rFonts w:ascii="Times New Roman"/>
                <w:sz w:val="28"/>
              </w:rPr>
            </w:pPr>
          </w:p>
        </w:tc>
        <w:tc>
          <w:tcPr>
            <w:tcW w:w="2664" w:type="dxa"/>
          </w:tcPr>
          <w:p>
            <w:pPr>
              <w:pStyle w:val="TableParagraph"/>
              <w:spacing w:before="6"/>
              <w:ind w:left="101"/>
              <w:rPr>
                <w:rFonts w:ascii="Courier New"/>
                <w:sz w:val="28"/>
              </w:rPr>
            </w:pPr>
            <w:r>
              <w:rPr>
                <w:rFonts w:ascii="Courier New"/>
                <w:w w:val="100"/>
                <w:sz w:val="28"/>
              </w:rPr>
              <w:t>X</w:t>
            </w:r>
          </w:p>
        </w:tc>
        <w:tc>
          <w:tcPr>
            <w:tcW w:w="2696" w:type="dxa"/>
          </w:tcPr>
          <w:p>
            <w:pPr>
              <w:pStyle w:val="TableParagraph"/>
              <w:spacing w:before="6"/>
              <w:ind w:left="96"/>
              <w:rPr>
                <w:rFonts w:ascii="Courier New"/>
                <w:sz w:val="28"/>
              </w:rPr>
            </w:pPr>
            <w:r>
              <w:rPr>
                <w:rFonts w:ascii="Courier New"/>
                <w:w w:val="100"/>
                <w:sz w:val="28"/>
              </w:rPr>
              <w:t>X</w:t>
            </w:r>
          </w:p>
        </w:tc>
      </w:tr>
    </w:tbl>
    <w:p>
      <w:pPr>
        <w:spacing w:after="0"/>
        <w:rPr>
          <w:rFonts w:ascii="Courier New"/>
          <w:sz w:val="28"/>
        </w:rPr>
        <w:sectPr>
          <w:pgSz w:w="18630" w:h="11910" w:orient="landscape"/>
          <w:pgMar w:header="0" w:footer="404" w:top="840" w:bottom="600" w:left="740" w:right="8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5"/>
        <w:gridCol w:w="1150"/>
        <w:gridCol w:w="2255"/>
        <w:gridCol w:w="1842"/>
        <w:gridCol w:w="2270"/>
        <w:gridCol w:w="2021"/>
        <w:gridCol w:w="2664"/>
        <w:gridCol w:w="2696"/>
      </w:tblGrid>
      <w:tr>
        <w:trPr>
          <w:trHeight w:val="1658" w:hRule="atLeast"/>
        </w:trPr>
        <w:tc>
          <w:tcPr>
            <w:tcW w:w="2235" w:type="dxa"/>
            <w:shd w:val="clear" w:color="auto" w:fill="00AFEF"/>
          </w:tcPr>
          <w:p>
            <w:pPr>
              <w:pStyle w:val="TableParagraph"/>
              <w:spacing w:line="276" w:lineRule="auto"/>
              <w:ind w:left="107" w:right="98"/>
              <w:rPr>
                <w:rFonts w:ascii="Courier New"/>
                <w:b/>
                <w:sz w:val="28"/>
              </w:rPr>
            </w:pPr>
            <w:r>
              <w:rPr>
                <w:rFonts w:ascii="Courier New"/>
                <w:b/>
                <w:sz w:val="28"/>
              </w:rPr>
              <w:t>Omega-3 fatty acids- 3-</w:t>
            </w:r>
          </w:p>
          <w:p>
            <w:pPr>
              <w:pStyle w:val="TableParagraph"/>
              <w:ind w:left="107"/>
              <w:rPr>
                <w:rFonts w:ascii="Courier New" w:hAnsi="Courier New"/>
                <w:b/>
                <w:sz w:val="28"/>
              </w:rPr>
            </w:pPr>
            <w:r>
              <w:rPr>
                <w:rFonts w:ascii="Courier New" w:hAnsi="Courier New"/>
                <w:b/>
                <w:sz w:val="28"/>
              </w:rPr>
              <w:t>Fettsäuren</w:t>
            </w:r>
          </w:p>
        </w:tc>
        <w:tc>
          <w:tcPr>
            <w:tcW w:w="1150" w:type="dxa"/>
          </w:tcPr>
          <w:p>
            <w:pPr>
              <w:pStyle w:val="TableParagraph"/>
              <w:spacing w:before="6"/>
              <w:ind w:left="107"/>
              <w:rPr>
                <w:rFonts w:ascii="Courier New"/>
                <w:sz w:val="28"/>
              </w:rPr>
            </w:pPr>
            <w:r>
              <w:rPr>
                <w:rFonts w:ascii="Courier New"/>
                <w:sz w:val="28"/>
              </w:rPr>
              <w:t>1036</w:t>
            </w:r>
          </w:p>
        </w:tc>
        <w:tc>
          <w:tcPr>
            <w:tcW w:w="2255" w:type="dxa"/>
          </w:tcPr>
          <w:p>
            <w:pPr>
              <w:pStyle w:val="TableParagraph"/>
              <w:spacing w:before="6"/>
              <w:ind w:left="104"/>
              <w:rPr>
                <w:rFonts w:ascii="Courier New"/>
                <w:sz w:val="28"/>
              </w:rPr>
            </w:pPr>
            <w:r>
              <w:rPr>
                <w:rFonts w:ascii="Courier New"/>
                <w:w w:val="100"/>
                <w:sz w:val="28"/>
              </w:rPr>
              <w:t>X</w:t>
            </w:r>
          </w:p>
        </w:tc>
        <w:tc>
          <w:tcPr>
            <w:tcW w:w="1842" w:type="dxa"/>
          </w:tcPr>
          <w:p>
            <w:pPr>
              <w:pStyle w:val="TableParagraph"/>
              <w:rPr>
                <w:rFonts w:ascii="Times New Roman"/>
                <w:sz w:val="28"/>
              </w:rPr>
            </w:pPr>
          </w:p>
        </w:tc>
        <w:tc>
          <w:tcPr>
            <w:tcW w:w="2270" w:type="dxa"/>
          </w:tcPr>
          <w:p>
            <w:pPr>
              <w:pStyle w:val="TableParagraph"/>
              <w:rPr>
                <w:rFonts w:ascii="Times New Roman"/>
                <w:sz w:val="28"/>
              </w:rPr>
            </w:pPr>
          </w:p>
        </w:tc>
        <w:tc>
          <w:tcPr>
            <w:tcW w:w="2021" w:type="dxa"/>
          </w:tcPr>
          <w:p>
            <w:pPr>
              <w:pStyle w:val="TableParagraph"/>
              <w:spacing w:before="6"/>
              <w:ind w:left="103"/>
              <w:rPr>
                <w:rFonts w:ascii="Courier New"/>
                <w:sz w:val="28"/>
              </w:rPr>
            </w:pPr>
            <w:r>
              <w:rPr>
                <w:rFonts w:ascii="Courier New"/>
                <w:w w:val="100"/>
                <w:sz w:val="28"/>
              </w:rPr>
              <w:t>X</w:t>
            </w:r>
          </w:p>
        </w:tc>
        <w:tc>
          <w:tcPr>
            <w:tcW w:w="2664" w:type="dxa"/>
          </w:tcPr>
          <w:p>
            <w:pPr>
              <w:pStyle w:val="TableParagraph"/>
              <w:spacing w:before="6"/>
              <w:ind w:left="101"/>
              <w:rPr>
                <w:rFonts w:ascii="Courier New"/>
                <w:sz w:val="28"/>
              </w:rPr>
            </w:pPr>
            <w:r>
              <w:rPr>
                <w:rFonts w:ascii="Courier New"/>
                <w:w w:val="100"/>
                <w:sz w:val="28"/>
              </w:rPr>
              <w:t>X</w:t>
            </w:r>
          </w:p>
        </w:tc>
        <w:tc>
          <w:tcPr>
            <w:tcW w:w="2696" w:type="dxa"/>
          </w:tcPr>
          <w:p>
            <w:pPr>
              <w:pStyle w:val="TableParagraph"/>
              <w:spacing w:before="6"/>
              <w:ind w:left="96"/>
              <w:rPr>
                <w:rFonts w:ascii="Courier New"/>
                <w:sz w:val="28"/>
              </w:rPr>
            </w:pPr>
            <w:r>
              <w:rPr>
                <w:rFonts w:ascii="Courier New"/>
                <w:w w:val="100"/>
                <w:sz w:val="28"/>
              </w:rPr>
              <w:t>X</w:t>
            </w:r>
          </w:p>
        </w:tc>
      </w:tr>
      <w:tr>
        <w:trPr>
          <w:trHeight w:val="950" w:hRule="atLeast"/>
        </w:trPr>
        <w:tc>
          <w:tcPr>
            <w:tcW w:w="2235" w:type="dxa"/>
            <w:shd w:val="clear" w:color="auto" w:fill="00AFEF"/>
          </w:tcPr>
          <w:p>
            <w:pPr>
              <w:pStyle w:val="TableParagraph"/>
              <w:spacing w:line="278" w:lineRule="auto"/>
              <w:ind w:left="107" w:right="81"/>
              <w:rPr>
                <w:rFonts w:ascii="Courier New"/>
                <w:b/>
                <w:sz w:val="28"/>
              </w:rPr>
            </w:pPr>
            <w:r>
              <w:rPr>
                <w:rFonts w:ascii="Courier New"/>
                <w:b/>
                <w:sz w:val="28"/>
              </w:rPr>
              <w:t>Alpha-lipoic acid</w:t>
            </w:r>
          </w:p>
        </w:tc>
        <w:tc>
          <w:tcPr>
            <w:tcW w:w="1150" w:type="dxa"/>
          </w:tcPr>
          <w:p>
            <w:pPr>
              <w:pStyle w:val="TableParagraph"/>
              <w:spacing w:before="6"/>
              <w:ind w:left="107"/>
              <w:rPr>
                <w:rFonts w:ascii="Courier New"/>
                <w:sz w:val="28"/>
              </w:rPr>
            </w:pPr>
            <w:r>
              <w:rPr>
                <w:rFonts w:ascii="Courier New"/>
                <w:sz w:val="28"/>
              </w:rPr>
              <w:t>86</w:t>
            </w:r>
          </w:p>
        </w:tc>
        <w:tc>
          <w:tcPr>
            <w:tcW w:w="2255" w:type="dxa"/>
          </w:tcPr>
          <w:p>
            <w:pPr>
              <w:pStyle w:val="TableParagraph"/>
              <w:spacing w:before="6"/>
              <w:ind w:left="104"/>
              <w:rPr>
                <w:rFonts w:ascii="Courier New"/>
                <w:sz w:val="28"/>
              </w:rPr>
            </w:pPr>
            <w:r>
              <w:rPr>
                <w:rFonts w:ascii="Courier New"/>
                <w:w w:val="100"/>
                <w:sz w:val="28"/>
              </w:rPr>
              <w:t>X</w:t>
            </w:r>
          </w:p>
        </w:tc>
        <w:tc>
          <w:tcPr>
            <w:tcW w:w="1842" w:type="dxa"/>
          </w:tcPr>
          <w:p>
            <w:pPr>
              <w:pStyle w:val="TableParagraph"/>
              <w:spacing w:before="6"/>
              <w:ind w:left="103"/>
              <w:rPr>
                <w:rFonts w:ascii="Courier New"/>
                <w:sz w:val="28"/>
              </w:rPr>
            </w:pPr>
            <w:r>
              <w:rPr>
                <w:rFonts w:ascii="Courier New"/>
                <w:w w:val="100"/>
                <w:sz w:val="28"/>
              </w:rPr>
              <w:t>X</w:t>
            </w:r>
          </w:p>
        </w:tc>
        <w:tc>
          <w:tcPr>
            <w:tcW w:w="2270" w:type="dxa"/>
          </w:tcPr>
          <w:p>
            <w:pPr>
              <w:pStyle w:val="TableParagraph"/>
              <w:rPr>
                <w:rFonts w:ascii="Times New Roman"/>
                <w:sz w:val="28"/>
              </w:rPr>
            </w:pPr>
          </w:p>
        </w:tc>
        <w:tc>
          <w:tcPr>
            <w:tcW w:w="2021" w:type="dxa"/>
          </w:tcPr>
          <w:p>
            <w:pPr>
              <w:pStyle w:val="TableParagraph"/>
              <w:rPr>
                <w:rFonts w:ascii="Times New Roman"/>
                <w:sz w:val="28"/>
              </w:rPr>
            </w:pPr>
          </w:p>
        </w:tc>
        <w:tc>
          <w:tcPr>
            <w:tcW w:w="2664" w:type="dxa"/>
          </w:tcPr>
          <w:p>
            <w:pPr>
              <w:pStyle w:val="TableParagraph"/>
              <w:spacing w:before="6"/>
              <w:ind w:left="101"/>
              <w:rPr>
                <w:rFonts w:ascii="Courier New"/>
                <w:sz w:val="28"/>
              </w:rPr>
            </w:pPr>
            <w:r>
              <w:rPr>
                <w:rFonts w:ascii="Courier New"/>
                <w:w w:val="100"/>
                <w:sz w:val="28"/>
              </w:rPr>
              <w:t>X</w:t>
            </w:r>
          </w:p>
        </w:tc>
        <w:tc>
          <w:tcPr>
            <w:tcW w:w="2696" w:type="dxa"/>
          </w:tcPr>
          <w:p>
            <w:pPr>
              <w:pStyle w:val="TableParagraph"/>
              <w:rPr>
                <w:rFonts w:ascii="Times New Roman"/>
                <w:sz w:val="28"/>
              </w:rPr>
            </w:pPr>
          </w:p>
        </w:tc>
      </w:tr>
      <w:tr>
        <w:trPr>
          <w:trHeight w:val="931" w:hRule="atLeast"/>
        </w:trPr>
        <w:tc>
          <w:tcPr>
            <w:tcW w:w="2235" w:type="dxa"/>
            <w:shd w:val="clear" w:color="auto" w:fill="00AFEF"/>
          </w:tcPr>
          <w:p>
            <w:pPr>
              <w:pStyle w:val="TableParagraph"/>
              <w:spacing w:line="278" w:lineRule="auto"/>
              <w:ind w:left="107" w:right="585"/>
              <w:rPr>
                <w:rFonts w:ascii="Courier New"/>
                <w:b/>
                <w:sz w:val="28"/>
              </w:rPr>
            </w:pPr>
            <w:r>
              <w:rPr>
                <w:rFonts w:ascii="Courier New"/>
                <w:b/>
                <w:sz w:val="28"/>
              </w:rPr>
              <w:t>Acetyl-L- Carnitine</w:t>
            </w:r>
          </w:p>
        </w:tc>
        <w:tc>
          <w:tcPr>
            <w:tcW w:w="1150" w:type="dxa"/>
          </w:tcPr>
          <w:p>
            <w:pPr>
              <w:pStyle w:val="TableParagraph"/>
              <w:spacing w:before="9"/>
              <w:ind w:left="107"/>
              <w:rPr>
                <w:rFonts w:ascii="Courier New"/>
                <w:sz w:val="28"/>
              </w:rPr>
            </w:pPr>
            <w:r>
              <w:rPr>
                <w:rFonts w:ascii="Courier New"/>
                <w:sz w:val="28"/>
              </w:rPr>
              <w:t>866</w:t>
            </w:r>
          </w:p>
        </w:tc>
        <w:tc>
          <w:tcPr>
            <w:tcW w:w="2255" w:type="dxa"/>
          </w:tcPr>
          <w:p>
            <w:pPr>
              <w:pStyle w:val="TableParagraph"/>
              <w:spacing w:before="9"/>
              <w:ind w:left="104"/>
              <w:rPr>
                <w:rFonts w:ascii="Courier New"/>
                <w:sz w:val="28"/>
              </w:rPr>
            </w:pPr>
            <w:r>
              <w:rPr>
                <w:rFonts w:ascii="Courier New"/>
                <w:w w:val="100"/>
                <w:sz w:val="28"/>
              </w:rPr>
              <w:t>X</w:t>
            </w:r>
          </w:p>
        </w:tc>
        <w:tc>
          <w:tcPr>
            <w:tcW w:w="1842" w:type="dxa"/>
          </w:tcPr>
          <w:p>
            <w:pPr>
              <w:pStyle w:val="TableParagraph"/>
              <w:spacing w:before="9"/>
              <w:ind w:left="103"/>
              <w:rPr>
                <w:rFonts w:ascii="Courier New"/>
                <w:sz w:val="28"/>
              </w:rPr>
            </w:pPr>
            <w:r>
              <w:rPr>
                <w:rFonts w:ascii="Courier New"/>
                <w:w w:val="100"/>
                <w:sz w:val="28"/>
              </w:rPr>
              <w:t>X</w:t>
            </w:r>
          </w:p>
        </w:tc>
        <w:tc>
          <w:tcPr>
            <w:tcW w:w="2270" w:type="dxa"/>
          </w:tcPr>
          <w:p>
            <w:pPr>
              <w:pStyle w:val="TableParagraph"/>
              <w:rPr>
                <w:rFonts w:ascii="Times New Roman"/>
                <w:sz w:val="28"/>
              </w:rPr>
            </w:pPr>
          </w:p>
        </w:tc>
        <w:tc>
          <w:tcPr>
            <w:tcW w:w="2021" w:type="dxa"/>
          </w:tcPr>
          <w:p>
            <w:pPr>
              <w:pStyle w:val="TableParagraph"/>
              <w:spacing w:before="9"/>
              <w:ind w:left="103"/>
              <w:rPr>
                <w:rFonts w:ascii="Courier New"/>
                <w:sz w:val="28"/>
              </w:rPr>
            </w:pPr>
            <w:r>
              <w:rPr>
                <w:rFonts w:ascii="Courier New"/>
                <w:w w:val="100"/>
                <w:sz w:val="28"/>
              </w:rPr>
              <w:t>X</w:t>
            </w:r>
          </w:p>
        </w:tc>
        <w:tc>
          <w:tcPr>
            <w:tcW w:w="2664" w:type="dxa"/>
          </w:tcPr>
          <w:p>
            <w:pPr>
              <w:pStyle w:val="TableParagraph"/>
              <w:rPr>
                <w:rFonts w:ascii="Times New Roman"/>
                <w:sz w:val="28"/>
              </w:rPr>
            </w:pPr>
          </w:p>
        </w:tc>
        <w:tc>
          <w:tcPr>
            <w:tcW w:w="2696" w:type="dxa"/>
          </w:tcPr>
          <w:p>
            <w:pPr>
              <w:pStyle w:val="TableParagraph"/>
              <w:spacing w:before="9"/>
              <w:ind w:left="96"/>
              <w:rPr>
                <w:rFonts w:ascii="Courier New"/>
                <w:sz w:val="28"/>
              </w:rPr>
            </w:pPr>
            <w:r>
              <w:rPr>
                <w:rFonts w:ascii="Courier New"/>
                <w:w w:val="100"/>
                <w:sz w:val="28"/>
              </w:rPr>
              <w:t>X</w:t>
            </w:r>
          </w:p>
        </w:tc>
      </w:tr>
      <w:tr>
        <w:trPr>
          <w:trHeight w:val="563" w:hRule="atLeast"/>
        </w:trPr>
        <w:tc>
          <w:tcPr>
            <w:tcW w:w="2235" w:type="dxa"/>
            <w:shd w:val="clear" w:color="auto" w:fill="00AFEF"/>
          </w:tcPr>
          <w:p>
            <w:pPr>
              <w:pStyle w:val="TableParagraph"/>
              <w:spacing w:line="317" w:lineRule="exact"/>
              <w:ind w:left="107"/>
              <w:rPr>
                <w:rFonts w:ascii="Courier New"/>
                <w:b/>
                <w:sz w:val="28"/>
              </w:rPr>
            </w:pPr>
            <w:r>
              <w:rPr>
                <w:rFonts w:ascii="Courier New"/>
                <w:b/>
                <w:sz w:val="28"/>
              </w:rPr>
              <w:t>DHEA</w:t>
            </w:r>
          </w:p>
        </w:tc>
        <w:tc>
          <w:tcPr>
            <w:tcW w:w="1150" w:type="dxa"/>
          </w:tcPr>
          <w:p>
            <w:pPr>
              <w:pStyle w:val="TableParagraph"/>
              <w:spacing w:before="6"/>
              <w:ind w:left="107"/>
              <w:rPr>
                <w:rFonts w:ascii="Courier New"/>
                <w:sz w:val="28"/>
              </w:rPr>
            </w:pPr>
            <w:r>
              <w:rPr>
                <w:rFonts w:ascii="Courier New"/>
                <w:sz w:val="28"/>
              </w:rPr>
              <w:t>365</w:t>
            </w:r>
          </w:p>
        </w:tc>
        <w:tc>
          <w:tcPr>
            <w:tcW w:w="2255" w:type="dxa"/>
          </w:tcPr>
          <w:p>
            <w:pPr>
              <w:pStyle w:val="TableParagraph"/>
              <w:rPr>
                <w:rFonts w:ascii="Times New Roman"/>
                <w:sz w:val="28"/>
              </w:rPr>
            </w:pPr>
          </w:p>
        </w:tc>
        <w:tc>
          <w:tcPr>
            <w:tcW w:w="1842" w:type="dxa"/>
          </w:tcPr>
          <w:p>
            <w:pPr>
              <w:pStyle w:val="TableParagraph"/>
              <w:spacing w:before="6"/>
              <w:ind w:left="103"/>
              <w:rPr>
                <w:rFonts w:ascii="Courier New"/>
                <w:sz w:val="28"/>
              </w:rPr>
            </w:pPr>
            <w:r>
              <w:rPr>
                <w:rFonts w:ascii="Courier New"/>
                <w:w w:val="100"/>
                <w:sz w:val="28"/>
              </w:rPr>
              <w:t>X</w:t>
            </w:r>
          </w:p>
        </w:tc>
        <w:tc>
          <w:tcPr>
            <w:tcW w:w="2270" w:type="dxa"/>
          </w:tcPr>
          <w:p>
            <w:pPr>
              <w:pStyle w:val="TableParagraph"/>
              <w:rPr>
                <w:rFonts w:ascii="Times New Roman"/>
                <w:sz w:val="28"/>
              </w:rPr>
            </w:pPr>
          </w:p>
        </w:tc>
        <w:tc>
          <w:tcPr>
            <w:tcW w:w="2021" w:type="dxa"/>
          </w:tcPr>
          <w:p>
            <w:pPr>
              <w:pStyle w:val="TableParagraph"/>
              <w:rPr>
                <w:rFonts w:ascii="Times New Roman"/>
                <w:sz w:val="28"/>
              </w:rPr>
            </w:pPr>
          </w:p>
        </w:tc>
        <w:tc>
          <w:tcPr>
            <w:tcW w:w="2664" w:type="dxa"/>
          </w:tcPr>
          <w:p>
            <w:pPr>
              <w:pStyle w:val="TableParagraph"/>
              <w:rPr>
                <w:rFonts w:ascii="Times New Roman"/>
                <w:sz w:val="28"/>
              </w:rPr>
            </w:pPr>
          </w:p>
        </w:tc>
        <w:tc>
          <w:tcPr>
            <w:tcW w:w="2696" w:type="dxa"/>
          </w:tcPr>
          <w:p>
            <w:pPr>
              <w:pStyle w:val="TableParagraph"/>
              <w:rPr>
                <w:rFonts w:ascii="Times New Roman"/>
                <w:sz w:val="28"/>
              </w:rPr>
            </w:pPr>
          </w:p>
        </w:tc>
      </w:tr>
      <w:tr>
        <w:trPr>
          <w:trHeight w:val="565" w:hRule="atLeast"/>
        </w:trPr>
        <w:tc>
          <w:tcPr>
            <w:tcW w:w="2235" w:type="dxa"/>
            <w:shd w:val="clear" w:color="auto" w:fill="00AFEF"/>
          </w:tcPr>
          <w:p>
            <w:pPr>
              <w:pStyle w:val="TableParagraph"/>
              <w:spacing w:before="2"/>
              <w:ind w:left="107"/>
              <w:rPr>
                <w:rFonts w:ascii="Courier New"/>
                <w:b/>
                <w:sz w:val="28"/>
              </w:rPr>
            </w:pPr>
            <w:r>
              <w:rPr>
                <w:rFonts w:ascii="Courier New"/>
                <w:b/>
                <w:sz w:val="28"/>
              </w:rPr>
              <w:t>Curcumin</w:t>
            </w:r>
          </w:p>
        </w:tc>
        <w:tc>
          <w:tcPr>
            <w:tcW w:w="1150" w:type="dxa"/>
          </w:tcPr>
          <w:p>
            <w:pPr>
              <w:pStyle w:val="TableParagraph"/>
              <w:spacing w:before="9"/>
              <w:ind w:left="107"/>
              <w:rPr>
                <w:rFonts w:ascii="Courier New"/>
                <w:sz w:val="28"/>
              </w:rPr>
            </w:pPr>
            <w:r>
              <w:rPr>
                <w:rFonts w:ascii="Courier New"/>
                <w:sz w:val="28"/>
              </w:rPr>
              <w:t>328</w:t>
            </w:r>
          </w:p>
        </w:tc>
        <w:tc>
          <w:tcPr>
            <w:tcW w:w="2255" w:type="dxa"/>
          </w:tcPr>
          <w:p>
            <w:pPr>
              <w:pStyle w:val="TableParagraph"/>
              <w:rPr>
                <w:rFonts w:ascii="Times New Roman"/>
                <w:sz w:val="28"/>
              </w:rPr>
            </w:pPr>
          </w:p>
        </w:tc>
        <w:tc>
          <w:tcPr>
            <w:tcW w:w="1842" w:type="dxa"/>
          </w:tcPr>
          <w:p>
            <w:pPr>
              <w:pStyle w:val="TableParagraph"/>
              <w:spacing w:before="9"/>
              <w:ind w:left="103"/>
              <w:rPr>
                <w:rFonts w:ascii="Courier New"/>
                <w:sz w:val="28"/>
              </w:rPr>
            </w:pPr>
            <w:r>
              <w:rPr>
                <w:rFonts w:ascii="Courier New"/>
                <w:w w:val="100"/>
                <w:sz w:val="28"/>
              </w:rPr>
              <w:t>X</w:t>
            </w:r>
          </w:p>
        </w:tc>
        <w:tc>
          <w:tcPr>
            <w:tcW w:w="2270" w:type="dxa"/>
          </w:tcPr>
          <w:p>
            <w:pPr>
              <w:pStyle w:val="TableParagraph"/>
              <w:spacing w:before="9"/>
              <w:ind w:left="105"/>
              <w:rPr>
                <w:rFonts w:ascii="Courier New"/>
                <w:sz w:val="28"/>
              </w:rPr>
            </w:pPr>
            <w:r>
              <w:rPr>
                <w:rFonts w:ascii="Courier New"/>
                <w:w w:val="100"/>
                <w:sz w:val="28"/>
              </w:rPr>
              <w:t>X</w:t>
            </w:r>
          </w:p>
        </w:tc>
        <w:tc>
          <w:tcPr>
            <w:tcW w:w="2021" w:type="dxa"/>
          </w:tcPr>
          <w:p>
            <w:pPr>
              <w:pStyle w:val="TableParagraph"/>
              <w:spacing w:before="9"/>
              <w:ind w:left="103"/>
              <w:rPr>
                <w:rFonts w:ascii="Courier New"/>
                <w:sz w:val="28"/>
              </w:rPr>
            </w:pPr>
            <w:r>
              <w:rPr>
                <w:rFonts w:ascii="Courier New"/>
                <w:w w:val="100"/>
                <w:sz w:val="28"/>
              </w:rPr>
              <w:t>X</w:t>
            </w:r>
          </w:p>
        </w:tc>
        <w:tc>
          <w:tcPr>
            <w:tcW w:w="2664" w:type="dxa"/>
          </w:tcPr>
          <w:p>
            <w:pPr>
              <w:pStyle w:val="TableParagraph"/>
              <w:spacing w:before="9"/>
              <w:ind w:left="101"/>
              <w:rPr>
                <w:rFonts w:ascii="Courier New"/>
                <w:sz w:val="28"/>
              </w:rPr>
            </w:pPr>
            <w:r>
              <w:rPr>
                <w:rFonts w:ascii="Courier New"/>
                <w:w w:val="100"/>
                <w:sz w:val="28"/>
              </w:rPr>
              <w:t>X</w:t>
            </w:r>
          </w:p>
        </w:tc>
        <w:tc>
          <w:tcPr>
            <w:tcW w:w="2696" w:type="dxa"/>
          </w:tcPr>
          <w:p>
            <w:pPr>
              <w:pStyle w:val="TableParagraph"/>
              <w:spacing w:before="9"/>
              <w:ind w:left="96"/>
              <w:rPr>
                <w:rFonts w:ascii="Courier New"/>
                <w:sz w:val="28"/>
              </w:rPr>
            </w:pPr>
            <w:r>
              <w:rPr>
                <w:rFonts w:ascii="Courier New"/>
                <w:w w:val="100"/>
                <w:sz w:val="28"/>
              </w:rPr>
              <w:t>X</w:t>
            </w:r>
          </w:p>
        </w:tc>
      </w:tr>
      <w:tr>
        <w:trPr>
          <w:trHeight w:val="563" w:hRule="atLeast"/>
        </w:trPr>
        <w:tc>
          <w:tcPr>
            <w:tcW w:w="2235" w:type="dxa"/>
            <w:shd w:val="clear" w:color="auto" w:fill="00AFEF"/>
          </w:tcPr>
          <w:p>
            <w:pPr>
              <w:pStyle w:val="TableParagraph"/>
              <w:spacing w:line="317" w:lineRule="exact"/>
              <w:ind w:left="107"/>
              <w:rPr>
                <w:rFonts w:ascii="Courier New"/>
                <w:b/>
                <w:sz w:val="28"/>
              </w:rPr>
            </w:pPr>
            <w:r>
              <w:rPr>
                <w:rFonts w:ascii="Courier New"/>
                <w:b/>
                <w:sz w:val="28"/>
              </w:rPr>
              <w:t>DMAE</w:t>
            </w:r>
          </w:p>
        </w:tc>
        <w:tc>
          <w:tcPr>
            <w:tcW w:w="1150" w:type="dxa"/>
          </w:tcPr>
          <w:p>
            <w:pPr>
              <w:pStyle w:val="TableParagraph"/>
              <w:spacing w:before="6"/>
              <w:ind w:left="107"/>
              <w:rPr>
                <w:rFonts w:ascii="Courier New"/>
                <w:sz w:val="28"/>
              </w:rPr>
            </w:pPr>
            <w:r>
              <w:rPr>
                <w:rFonts w:ascii="Courier New"/>
                <w:sz w:val="28"/>
              </w:rPr>
              <w:t>387</w:t>
            </w:r>
          </w:p>
        </w:tc>
        <w:tc>
          <w:tcPr>
            <w:tcW w:w="2255" w:type="dxa"/>
          </w:tcPr>
          <w:p>
            <w:pPr>
              <w:pStyle w:val="TableParagraph"/>
              <w:rPr>
                <w:rFonts w:ascii="Times New Roman"/>
                <w:sz w:val="28"/>
              </w:rPr>
            </w:pPr>
          </w:p>
        </w:tc>
        <w:tc>
          <w:tcPr>
            <w:tcW w:w="1842" w:type="dxa"/>
          </w:tcPr>
          <w:p>
            <w:pPr>
              <w:pStyle w:val="TableParagraph"/>
              <w:rPr>
                <w:rFonts w:ascii="Times New Roman"/>
                <w:sz w:val="28"/>
              </w:rPr>
            </w:pPr>
          </w:p>
        </w:tc>
        <w:tc>
          <w:tcPr>
            <w:tcW w:w="2270" w:type="dxa"/>
          </w:tcPr>
          <w:p>
            <w:pPr>
              <w:pStyle w:val="TableParagraph"/>
              <w:spacing w:before="6"/>
              <w:ind w:left="105"/>
              <w:rPr>
                <w:rFonts w:ascii="Courier New"/>
                <w:sz w:val="28"/>
              </w:rPr>
            </w:pPr>
            <w:r>
              <w:rPr>
                <w:rFonts w:ascii="Courier New"/>
                <w:w w:val="100"/>
                <w:sz w:val="28"/>
              </w:rPr>
              <w:t>X</w:t>
            </w:r>
          </w:p>
        </w:tc>
        <w:tc>
          <w:tcPr>
            <w:tcW w:w="2021" w:type="dxa"/>
          </w:tcPr>
          <w:p>
            <w:pPr>
              <w:pStyle w:val="TableParagraph"/>
              <w:rPr>
                <w:rFonts w:ascii="Times New Roman"/>
                <w:sz w:val="28"/>
              </w:rPr>
            </w:pPr>
          </w:p>
        </w:tc>
        <w:tc>
          <w:tcPr>
            <w:tcW w:w="2664" w:type="dxa"/>
          </w:tcPr>
          <w:p>
            <w:pPr>
              <w:pStyle w:val="TableParagraph"/>
              <w:spacing w:before="6"/>
              <w:ind w:left="101"/>
              <w:rPr>
                <w:rFonts w:ascii="Courier New"/>
                <w:sz w:val="28"/>
              </w:rPr>
            </w:pPr>
            <w:r>
              <w:rPr>
                <w:rFonts w:ascii="Courier New"/>
                <w:w w:val="100"/>
                <w:sz w:val="28"/>
              </w:rPr>
              <w:t>X</w:t>
            </w:r>
          </w:p>
        </w:tc>
        <w:tc>
          <w:tcPr>
            <w:tcW w:w="2696" w:type="dxa"/>
          </w:tcPr>
          <w:p>
            <w:pPr>
              <w:pStyle w:val="TableParagraph"/>
              <w:spacing w:before="6"/>
              <w:ind w:left="96"/>
              <w:rPr>
                <w:rFonts w:ascii="Courier New"/>
                <w:sz w:val="28"/>
              </w:rPr>
            </w:pPr>
            <w:r>
              <w:rPr>
                <w:rFonts w:ascii="Courier New"/>
                <w:w w:val="100"/>
                <w:sz w:val="28"/>
              </w:rPr>
              <w:t>X</w:t>
            </w:r>
          </w:p>
        </w:tc>
      </w:tr>
      <w:tr>
        <w:trPr>
          <w:trHeight w:val="566" w:hRule="atLeast"/>
        </w:trPr>
        <w:tc>
          <w:tcPr>
            <w:tcW w:w="2235" w:type="dxa"/>
            <w:shd w:val="clear" w:color="auto" w:fill="00AFEF"/>
          </w:tcPr>
          <w:p>
            <w:pPr>
              <w:pStyle w:val="TableParagraph"/>
              <w:spacing w:before="2"/>
              <w:ind w:left="107"/>
              <w:rPr>
                <w:rFonts w:ascii="Courier New"/>
                <w:b/>
                <w:sz w:val="28"/>
              </w:rPr>
            </w:pPr>
            <w:r>
              <w:rPr>
                <w:rFonts w:ascii="Courier New"/>
                <w:b/>
                <w:sz w:val="28"/>
              </w:rPr>
              <w:t>Gotu Kola</w:t>
            </w:r>
          </w:p>
        </w:tc>
        <w:tc>
          <w:tcPr>
            <w:tcW w:w="1150" w:type="dxa"/>
          </w:tcPr>
          <w:p>
            <w:pPr>
              <w:pStyle w:val="TableParagraph"/>
              <w:spacing w:before="9"/>
              <w:ind w:left="107"/>
              <w:rPr>
                <w:rFonts w:ascii="Courier New"/>
                <w:sz w:val="28"/>
              </w:rPr>
            </w:pPr>
            <w:r>
              <w:rPr>
                <w:rFonts w:ascii="Courier New"/>
                <w:sz w:val="28"/>
              </w:rPr>
              <w:t>473</w:t>
            </w:r>
          </w:p>
        </w:tc>
        <w:tc>
          <w:tcPr>
            <w:tcW w:w="2255" w:type="dxa"/>
          </w:tcPr>
          <w:p>
            <w:pPr>
              <w:pStyle w:val="TableParagraph"/>
              <w:rPr>
                <w:rFonts w:ascii="Times New Roman"/>
                <w:sz w:val="28"/>
              </w:rPr>
            </w:pPr>
          </w:p>
        </w:tc>
        <w:tc>
          <w:tcPr>
            <w:tcW w:w="1842" w:type="dxa"/>
          </w:tcPr>
          <w:p>
            <w:pPr>
              <w:pStyle w:val="TableParagraph"/>
              <w:spacing w:before="9"/>
              <w:ind w:left="103"/>
              <w:rPr>
                <w:rFonts w:ascii="Courier New"/>
                <w:sz w:val="28"/>
              </w:rPr>
            </w:pPr>
            <w:r>
              <w:rPr>
                <w:rFonts w:ascii="Courier New"/>
                <w:w w:val="100"/>
                <w:sz w:val="28"/>
              </w:rPr>
              <w:t>X</w:t>
            </w:r>
          </w:p>
        </w:tc>
        <w:tc>
          <w:tcPr>
            <w:tcW w:w="2270" w:type="dxa"/>
          </w:tcPr>
          <w:p>
            <w:pPr>
              <w:pStyle w:val="TableParagraph"/>
              <w:rPr>
                <w:rFonts w:ascii="Times New Roman"/>
                <w:sz w:val="28"/>
              </w:rPr>
            </w:pPr>
          </w:p>
        </w:tc>
        <w:tc>
          <w:tcPr>
            <w:tcW w:w="2021" w:type="dxa"/>
          </w:tcPr>
          <w:p>
            <w:pPr>
              <w:pStyle w:val="TableParagraph"/>
              <w:rPr>
                <w:rFonts w:ascii="Times New Roman"/>
                <w:sz w:val="28"/>
              </w:rPr>
            </w:pPr>
          </w:p>
        </w:tc>
        <w:tc>
          <w:tcPr>
            <w:tcW w:w="2664" w:type="dxa"/>
          </w:tcPr>
          <w:p>
            <w:pPr>
              <w:pStyle w:val="TableParagraph"/>
              <w:rPr>
                <w:rFonts w:ascii="Times New Roman"/>
                <w:sz w:val="28"/>
              </w:rPr>
            </w:pPr>
          </w:p>
        </w:tc>
        <w:tc>
          <w:tcPr>
            <w:tcW w:w="2696" w:type="dxa"/>
          </w:tcPr>
          <w:p>
            <w:pPr>
              <w:pStyle w:val="TableParagraph"/>
              <w:spacing w:before="9"/>
              <w:ind w:left="96"/>
              <w:rPr>
                <w:rFonts w:ascii="Courier New"/>
                <w:sz w:val="28"/>
              </w:rPr>
            </w:pPr>
            <w:r>
              <w:rPr>
                <w:rFonts w:ascii="Courier New"/>
                <w:w w:val="100"/>
                <w:sz w:val="28"/>
              </w:rPr>
              <w:t>X</w:t>
            </w:r>
          </w:p>
        </w:tc>
      </w:tr>
      <w:tr>
        <w:trPr>
          <w:trHeight w:val="642" w:hRule="atLeast"/>
        </w:trPr>
        <w:tc>
          <w:tcPr>
            <w:tcW w:w="2235" w:type="dxa"/>
            <w:shd w:val="clear" w:color="auto" w:fill="00AFEF"/>
          </w:tcPr>
          <w:p>
            <w:pPr>
              <w:pStyle w:val="TableParagraph"/>
              <w:spacing w:line="317" w:lineRule="exact"/>
              <w:ind w:left="107"/>
              <w:rPr>
                <w:rFonts w:ascii="Courier New"/>
                <w:b/>
                <w:sz w:val="28"/>
              </w:rPr>
            </w:pPr>
            <w:r>
              <w:rPr>
                <w:rFonts w:ascii="Courier New"/>
                <w:b/>
                <w:sz w:val="28"/>
              </w:rPr>
              <w:t>Green Tea</w:t>
            </w:r>
          </w:p>
        </w:tc>
        <w:tc>
          <w:tcPr>
            <w:tcW w:w="1150" w:type="dxa"/>
          </w:tcPr>
          <w:p>
            <w:pPr>
              <w:pStyle w:val="TableParagraph"/>
              <w:spacing w:before="6"/>
              <w:ind w:left="107"/>
              <w:rPr>
                <w:rFonts w:ascii="Courier New"/>
                <w:sz w:val="28"/>
              </w:rPr>
            </w:pPr>
            <w:r>
              <w:rPr>
                <w:rFonts w:ascii="Courier New"/>
                <w:sz w:val="28"/>
              </w:rPr>
              <w:t>587</w:t>
            </w:r>
          </w:p>
        </w:tc>
        <w:tc>
          <w:tcPr>
            <w:tcW w:w="2255" w:type="dxa"/>
          </w:tcPr>
          <w:p>
            <w:pPr>
              <w:pStyle w:val="TableParagraph"/>
              <w:rPr>
                <w:rFonts w:ascii="Times New Roman"/>
                <w:sz w:val="28"/>
              </w:rPr>
            </w:pPr>
          </w:p>
        </w:tc>
        <w:tc>
          <w:tcPr>
            <w:tcW w:w="1842" w:type="dxa"/>
          </w:tcPr>
          <w:p>
            <w:pPr>
              <w:pStyle w:val="TableParagraph"/>
              <w:spacing w:before="6"/>
              <w:ind w:left="103"/>
              <w:rPr>
                <w:rFonts w:ascii="Courier New"/>
                <w:sz w:val="28"/>
              </w:rPr>
            </w:pPr>
            <w:r>
              <w:rPr>
                <w:rFonts w:ascii="Courier New"/>
                <w:w w:val="100"/>
                <w:sz w:val="28"/>
              </w:rPr>
              <w:t>X</w:t>
            </w:r>
          </w:p>
        </w:tc>
        <w:tc>
          <w:tcPr>
            <w:tcW w:w="2270" w:type="dxa"/>
          </w:tcPr>
          <w:p>
            <w:pPr>
              <w:pStyle w:val="TableParagraph"/>
              <w:rPr>
                <w:rFonts w:ascii="Times New Roman"/>
                <w:sz w:val="28"/>
              </w:rPr>
            </w:pPr>
          </w:p>
        </w:tc>
        <w:tc>
          <w:tcPr>
            <w:tcW w:w="2021" w:type="dxa"/>
          </w:tcPr>
          <w:p>
            <w:pPr>
              <w:pStyle w:val="TableParagraph"/>
              <w:spacing w:before="6"/>
              <w:ind w:left="103"/>
              <w:rPr>
                <w:rFonts w:ascii="Courier New"/>
                <w:sz w:val="28"/>
              </w:rPr>
            </w:pPr>
            <w:r>
              <w:rPr>
                <w:rFonts w:ascii="Courier New"/>
                <w:w w:val="100"/>
                <w:sz w:val="28"/>
              </w:rPr>
              <w:t>X</w:t>
            </w:r>
          </w:p>
        </w:tc>
        <w:tc>
          <w:tcPr>
            <w:tcW w:w="2664" w:type="dxa"/>
          </w:tcPr>
          <w:p>
            <w:pPr>
              <w:pStyle w:val="TableParagraph"/>
              <w:rPr>
                <w:rFonts w:ascii="Times New Roman"/>
                <w:sz w:val="28"/>
              </w:rPr>
            </w:pPr>
          </w:p>
        </w:tc>
        <w:tc>
          <w:tcPr>
            <w:tcW w:w="2696" w:type="dxa"/>
          </w:tcPr>
          <w:p>
            <w:pPr>
              <w:pStyle w:val="TableParagraph"/>
              <w:rPr>
                <w:rFonts w:ascii="Times New Roman"/>
                <w:sz w:val="28"/>
              </w:rPr>
            </w:pPr>
          </w:p>
        </w:tc>
      </w:tr>
      <w:tr>
        <w:trPr>
          <w:trHeight w:val="597" w:hRule="atLeast"/>
        </w:trPr>
        <w:tc>
          <w:tcPr>
            <w:tcW w:w="2235" w:type="dxa"/>
            <w:shd w:val="clear" w:color="auto" w:fill="00AFEF"/>
          </w:tcPr>
          <w:p>
            <w:pPr>
              <w:pStyle w:val="TableParagraph"/>
              <w:spacing w:line="317" w:lineRule="exact"/>
              <w:ind w:left="107"/>
              <w:rPr>
                <w:rFonts w:ascii="Courier New"/>
                <w:b/>
                <w:sz w:val="28"/>
              </w:rPr>
            </w:pPr>
            <w:r>
              <w:rPr>
                <w:rFonts w:ascii="Courier New"/>
                <w:b/>
                <w:sz w:val="28"/>
              </w:rPr>
              <w:t>Melatonin</w:t>
            </w:r>
          </w:p>
        </w:tc>
        <w:tc>
          <w:tcPr>
            <w:tcW w:w="1150" w:type="dxa"/>
          </w:tcPr>
          <w:p>
            <w:pPr>
              <w:pStyle w:val="TableParagraph"/>
              <w:spacing w:before="6"/>
              <w:ind w:left="107"/>
              <w:rPr>
                <w:rFonts w:ascii="Courier New"/>
                <w:sz w:val="28"/>
              </w:rPr>
            </w:pPr>
            <w:r>
              <w:rPr>
                <w:rFonts w:ascii="Courier New"/>
                <w:sz w:val="28"/>
              </w:rPr>
              <w:t>954</w:t>
            </w:r>
          </w:p>
        </w:tc>
        <w:tc>
          <w:tcPr>
            <w:tcW w:w="2255" w:type="dxa"/>
          </w:tcPr>
          <w:p>
            <w:pPr>
              <w:pStyle w:val="TableParagraph"/>
              <w:rPr>
                <w:rFonts w:ascii="Times New Roman"/>
                <w:sz w:val="28"/>
              </w:rPr>
            </w:pPr>
          </w:p>
        </w:tc>
        <w:tc>
          <w:tcPr>
            <w:tcW w:w="1842" w:type="dxa"/>
          </w:tcPr>
          <w:p>
            <w:pPr>
              <w:pStyle w:val="TableParagraph"/>
              <w:spacing w:before="6"/>
              <w:ind w:left="103"/>
              <w:rPr>
                <w:rFonts w:ascii="Courier New"/>
                <w:sz w:val="28"/>
              </w:rPr>
            </w:pPr>
            <w:r>
              <w:rPr>
                <w:rFonts w:ascii="Courier New"/>
                <w:w w:val="100"/>
                <w:sz w:val="28"/>
              </w:rPr>
              <w:t>X</w:t>
            </w:r>
          </w:p>
        </w:tc>
        <w:tc>
          <w:tcPr>
            <w:tcW w:w="2270" w:type="dxa"/>
          </w:tcPr>
          <w:p>
            <w:pPr>
              <w:pStyle w:val="TableParagraph"/>
              <w:rPr>
                <w:rFonts w:ascii="Times New Roman"/>
                <w:sz w:val="28"/>
              </w:rPr>
            </w:pPr>
          </w:p>
        </w:tc>
        <w:tc>
          <w:tcPr>
            <w:tcW w:w="2021" w:type="dxa"/>
          </w:tcPr>
          <w:p>
            <w:pPr>
              <w:pStyle w:val="TableParagraph"/>
              <w:rPr>
                <w:rFonts w:ascii="Times New Roman"/>
                <w:sz w:val="28"/>
              </w:rPr>
            </w:pPr>
          </w:p>
        </w:tc>
        <w:tc>
          <w:tcPr>
            <w:tcW w:w="2664" w:type="dxa"/>
          </w:tcPr>
          <w:p>
            <w:pPr>
              <w:pStyle w:val="TableParagraph"/>
              <w:rPr>
                <w:rFonts w:ascii="Times New Roman"/>
                <w:sz w:val="28"/>
              </w:rPr>
            </w:pPr>
          </w:p>
        </w:tc>
        <w:tc>
          <w:tcPr>
            <w:tcW w:w="2696" w:type="dxa"/>
          </w:tcPr>
          <w:p>
            <w:pPr>
              <w:pStyle w:val="TableParagraph"/>
              <w:spacing w:before="6"/>
              <w:ind w:left="96"/>
              <w:rPr>
                <w:rFonts w:ascii="Courier New"/>
                <w:sz w:val="28"/>
              </w:rPr>
            </w:pPr>
            <w:r>
              <w:rPr>
                <w:rFonts w:ascii="Courier New"/>
                <w:w w:val="100"/>
                <w:sz w:val="28"/>
              </w:rPr>
              <w:t>X</w:t>
            </w:r>
          </w:p>
        </w:tc>
      </w:tr>
      <w:tr>
        <w:trPr>
          <w:trHeight w:val="566" w:hRule="atLeast"/>
        </w:trPr>
        <w:tc>
          <w:tcPr>
            <w:tcW w:w="2235" w:type="dxa"/>
            <w:shd w:val="clear" w:color="auto" w:fill="00AFEF"/>
          </w:tcPr>
          <w:p>
            <w:pPr>
              <w:pStyle w:val="TableParagraph"/>
              <w:spacing w:line="317" w:lineRule="exact"/>
              <w:ind w:left="107"/>
              <w:rPr>
                <w:rFonts w:ascii="Courier New"/>
                <w:b/>
                <w:sz w:val="28"/>
              </w:rPr>
            </w:pPr>
            <w:r>
              <w:rPr>
                <w:rFonts w:ascii="Courier New"/>
                <w:b/>
                <w:sz w:val="28"/>
              </w:rPr>
              <w:t>Bromelain</w:t>
            </w:r>
          </w:p>
        </w:tc>
        <w:tc>
          <w:tcPr>
            <w:tcW w:w="1150" w:type="dxa"/>
          </w:tcPr>
          <w:p>
            <w:pPr>
              <w:pStyle w:val="TableParagraph"/>
              <w:spacing w:before="6"/>
              <w:ind w:left="107"/>
              <w:rPr>
                <w:rFonts w:ascii="Courier New"/>
                <w:sz w:val="28"/>
              </w:rPr>
            </w:pPr>
            <w:r>
              <w:rPr>
                <w:rFonts w:ascii="Courier New"/>
                <w:sz w:val="28"/>
              </w:rPr>
              <w:t>113</w:t>
            </w:r>
          </w:p>
        </w:tc>
        <w:tc>
          <w:tcPr>
            <w:tcW w:w="2255" w:type="dxa"/>
          </w:tcPr>
          <w:p>
            <w:pPr>
              <w:pStyle w:val="TableParagraph"/>
              <w:rPr>
                <w:rFonts w:ascii="Times New Roman"/>
                <w:sz w:val="28"/>
              </w:rPr>
            </w:pPr>
          </w:p>
        </w:tc>
        <w:tc>
          <w:tcPr>
            <w:tcW w:w="1842" w:type="dxa"/>
          </w:tcPr>
          <w:p>
            <w:pPr>
              <w:pStyle w:val="TableParagraph"/>
              <w:rPr>
                <w:rFonts w:ascii="Times New Roman"/>
                <w:sz w:val="28"/>
              </w:rPr>
            </w:pPr>
          </w:p>
        </w:tc>
        <w:tc>
          <w:tcPr>
            <w:tcW w:w="2270" w:type="dxa"/>
          </w:tcPr>
          <w:p>
            <w:pPr>
              <w:pStyle w:val="TableParagraph"/>
              <w:spacing w:before="6"/>
              <w:ind w:left="105"/>
              <w:rPr>
                <w:rFonts w:ascii="Courier New"/>
                <w:sz w:val="28"/>
              </w:rPr>
            </w:pPr>
            <w:r>
              <w:rPr>
                <w:rFonts w:ascii="Courier New"/>
                <w:w w:val="100"/>
                <w:sz w:val="28"/>
              </w:rPr>
              <w:t>X</w:t>
            </w:r>
          </w:p>
        </w:tc>
        <w:tc>
          <w:tcPr>
            <w:tcW w:w="2021" w:type="dxa"/>
          </w:tcPr>
          <w:p>
            <w:pPr>
              <w:pStyle w:val="TableParagraph"/>
              <w:spacing w:before="6"/>
              <w:ind w:left="103"/>
              <w:rPr>
                <w:rFonts w:ascii="Courier New"/>
                <w:sz w:val="28"/>
              </w:rPr>
            </w:pPr>
            <w:r>
              <w:rPr>
                <w:rFonts w:ascii="Courier New"/>
                <w:w w:val="100"/>
                <w:sz w:val="28"/>
              </w:rPr>
              <w:t>X</w:t>
            </w:r>
          </w:p>
        </w:tc>
        <w:tc>
          <w:tcPr>
            <w:tcW w:w="2664" w:type="dxa"/>
          </w:tcPr>
          <w:p>
            <w:pPr>
              <w:pStyle w:val="TableParagraph"/>
              <w:rPr>
                <w:rFonts w:ascii="Times New Roman"/>
                <w:sz w:val="28"/>
              </w:rPr>
            </w:pPr>
          </w:p>
        </w:tc>
        <w:tc>
          <w:tcPr>
            <w:tcW w:w="2696" w:type="dxa"/>
          </w:tcPr>
          <w:p>
            <w:pPr>
              <w:pStyle w:val="TableParagraph"/>
              <w:spacing w:before="6"/>
              <w:ind w:left="96"/>
              <w:rPr>
                <w:rFonts w:ascii="Courier New"/>
                <w:sz w:val="28"/>
              </w:rPr>
            </w:pPr>
            <w:r>
              <w:rPr>
                <w:rFonts w:ascii="Courier New"/>
                <w:w w:val="100"/>
                <w:sz w:val="28"/>
              </w:rPr>
              <w:t>X</w:t>
            </w:r>
          </w:p>
        </w:tc>
      </w:tr>
      <w:tr>
        <w:trPr>
          <w:trHeight w:val="563" w:hRule="atLeast"/>
        </w:trPr>
        <w:tc>
          <w:tcPr>
            <w:tcW w:w="2235" w:type="dxa"/>
            <w:shd w:val="clear" w:color="auto" w:fill="00AFEF"/>
          </w:tcPr>
          <w:p>
            <w:pPr>
              <w:pStyle w:val="TableParagraph"/>
              <w:spacing w:line="317" w:lineRule="exact"/>
              <w:ind w:left="107"/>
              <w:rPr>
                <w:rFonts w:ascii="Courier New"/>
                <w:b/>
                <w:sz w:val="28"/>
              </w:rPr>
            </w:pPr>
            <w:r>
              <w:rPr>
                <w:rFonts w:ascii="Courier New"/>
                <w:b/>
                <w:sz w:val="28"/>
              </w:rPr>
              <w:t>Resveratrol</w:t>
            </w:r>
          </w:p>
        </w:tc>
        <w:tc>
          <w:tcPr>
            <w:tcW w:w="1150" w:type="dxa"/>
          </w:tcPr>
          <w:p>
            <w:pPr>
              <w:pStyle w:val="TableParagraph"/>
              <w:spacing w:before="6"/>
              <w:ind w:left="107"/>
              <w:rPr>
                <w:rFonts w:ascii="Courier New"/>
                <w:sz w:val="28"/>
              </w:rPr>
            </w:pPr>
            <w:r>
              <w:rPr>
                <w:rFonts w:ascii="Courier New"/>
                <w:sz w:val="28"/>
              </w:rPr>
              <w:t>1340</w:t>
            </w:r>
          </w:p>
        </w:tc>
        <w:tc>
          <w:tcPr>
            <w:tcW w:w="2255" w:type="dxa"/>
          </w:tcPr>
          <w:p>
            <w:pPr>
              <w:pStyle w:val="TableParagraph"/>
              <w:rPr>
                <w:rFonts w:ascii="Times New Roman"/>
                <w:sz w:val="28"/>
              </w:rPr>
            </w:pPr>
          </w:p>
        </w:tc>
        <w:tc>
          <w:tcPr>
            <w:tcW w:w="1842" w:type="dxa"/>
          </w:tcPr>
          <w:p>
            <w:pPr>
              <w:pStyle w:val="TableParagraph"/>
              <w:spacing w:before="6"/>
              <w:ind w:left="103"/>
              <w:rPr>
                <w:rFonts w:ascii="Courier New"/>
                <w:sz w:val="28"/>
              </w:rPr>
            </w:pPr>
            <w:r>
              <w:rPr>
                <w:rFonts w:ascii="Courier New"/>
                <w:w w:val="100"/>
                <w:sz w:val="28"/>
              </w:rPr>
              <w:t>X</w:t>
            </w:r>
          </w:p>
        </w:tc>
        <w:tc>
          <w:tcPr>
            <w:tcW w:w="2270" w:type="dxa"/>
          </w:tcPr>
          <w:p>
            <w:pPr>
              <w:pStyle w:val="TableParagraph"/>
              <w:rPr>
                <w:rFonts w:ascii="Times New Roman"/>
                <w:sz w:val="28"/>
              </w:rPr>
            </w:pPr>
          </w:p>
        </w:tc>
        <w:tc>
          <w:tcPr>
            <w:tcW w:w="2021" w:type="dxa"/>
          </w:tcPr>
          <w:p>
            <w:pPr>
              <w:pStyle w:val="TableParagraph"/>
              <w:spacing w:before="6"/>
              <w:ind w:left="103"/>
              <w:rPr>
                <w:rFonts w:ascii="Courier New"/>
                <w:sz w:val="28"/>
              </w:rPr>
            </w:pPr>
            <w:r>
              <w:rPr>
                <w:rFonts w:ascii="Courier New"/>
                <w:w w:val="100"/>
                <w:sz w:val="28"/>
              </w:rPr>
              <w:t>X</w:t>
            </w:r>
          </w:p>
        </w:tc>
        <w:tc>
          <w:tcPr>
            <w:tcW w:w="2664" w:type="dxa"/>
          </w:tcPr>
          <w:p>
            <w:pPr>
              <w:pStyle w:val="TableParagraph"/>
              <w:rPr>
                <w:rFonts w:ascii="Times New Roman"/>
                <w:sz w:val="28"/>
              </w:rPr>
            </w:pPr>
          </w:p>
        </w:tc>
        <w:tc>
          <w:tcPr>
            <w:tcW w:w="2696" w:type="dxa"/>
          </w:tcPr>
          <w:p>
            <w:pPr>
              <w:pStyle w:val="TableParagraph"/>
              <w:rPr>
                <w:rFonts w:ascii="Times New Roman"/>
                <w:sz w:val="28"/>
              </w:rPr>
            </w:pPr>
          </w:p>
        </w:tc>
      </w:tr>
      <w:tr>
        <w:trPr>
          <w:trHeight w:val="566" w:hRule="atLeast"/>
        </w:trPr>
        <w:tc>
          <w:tcPr>
            <w:tcW w:w="2235" w:type="dxa"/>
            <w:shd w:val="clear" w:color="auto" w:fill="00AFEF"/>
          </w:tcPr>
          <w:p>
            <w:pPr>
              <w:pStyle w:val="TableParagraph"/>
              <w:ind w:left="107"/>
              <w:rPr>
                <w:rFonts w:ascii="Courier New"/>
                <w:b/>
                <w:sz w:val="28"/>
              </w:rPr>
            </w:pPr>
            <w:r>
              <w:rPr>
                <w:rFonts w:ascii="Courier New"/>
                <w:b/>
                <w:sz w:val="28"/>
              </w:rPr>
              <w:t>Silica</w:t>
            </w:r>
          </w:p>
        </w:tc>
        <w:tc>
          <w:tcPr>
            <w:tcW w:w="1150" w:type="dxa"/>
          </w:tcPr>
          <w:p>
            <w:pPr>
              <w:pStyle w:val="TableParagraph"/>
              <w:spacing w:before="7"/>
              <w:ind w:left="107"/>
              <w:rPr>
                <w:rFonts w:ascii="Courier New"/>
                <w:sz w:val="28"/>
              </w:rPr>
            </w:pPr>
            <w:r>
              <w:rPr>
                <w:rFonts w:ascii="Courier New"/>
                <w:sz w:val="28"/>
              </w:rPr>
              <w:t>1460</w:t>
            </w:r>
          </w:p>
        </w:tc>
        <w:tc>
          <w:tcPr>
            <w:tcW w:w="2255" w:type="dxa"/>
          </w:tcPr>
          <w:p>
            <w:pPr>
              <w:pStyle w:val="TableParagraph"/>
              <w:rPr>
                <w:rFonts w:ascii="Times New Roman"/>
                <w:sz w:val="28"/>
              </w:rPr>
            </w:pPr>
          </w:p>
        </w:tc>
        <w:tc>
          <w:tcPr>
            <w:tcW w:w="1842" w:type="dxa"/>
          </w:tcPr>
          <w:p>
            <w:pPr>
              <w:pStyle w:val="TableParagraph"/>
              <w:rPr>
                <w:rFonts w:ascii="Times New Roman"/>
                <w:sz w:val="28"/>
              </w:rPr>
            </w:pPr>
          </w:p>
        </w:tc>
        <w:tc>
          <w:tcPr>
            <w:tcW w:w="2270" w:type="dxa"/>
          </w:tcPr>
          <w:p>
            <w:pPr>
              <w:pStyle w:val="TableParagraph"/>
              <w:rPr>
                <w:rFonts w:ascii="Times New Roman"/>
                <w:sz w:val="28"/>
              </w:rPr>
            </w:pPr>
          </w:p>
        </w:tc>
        <w:tc>
          <w:tcPr>
            <w:tcW w:w="2021" w:type="dxa"/>
          </w:tcPr>
          <w:p>
            <w:pPr>
              <w:pStyle w:val="TableParagraph"/>
              <w:rPr>
                <w:rFonts w:ascii="Times New Roman"/>
                <w:sz w:val="28"/>
              </w:rPr>
            </w:pPr>
          </w:p>
        </w:tc>
        <w:tc>
          <w:tcPr>
            <w:tcW w:w="2664" w:type="dxa"/>
          </w:tcPr>
          <w:p>
            <w:pPr>
              <w:pStyle w:val="TableParagraph"/>
              <w:rPr>
                <w:rFonts w:ascii="Times New Roman"/>
                <w:sz w:val="28"/>
              </w:rPr>
            </w:pPr>
          </w:p>
        </w:tc>
        <w:tc>
          <w:tcPr>
            <w:tcW w:w="2696" w:type="dxa"/>
          </w:tcPr>
          <w:p>
            <w:pPr>
              <w:pStyle w:val="TableParagraph"/>
              <w:spacing w:before="7"/>
              <w:ind w:left="96"/>
              <w:rPr>
                <w:rFonts w:ascii="Courier New"/>
                <w:sz w:val="28"/>
              </w:rPr>
            </w:pPr>
            <w:r>
              <w:rPr>
                <w:rFonts w:ascii="Courier New"/>
                <w:w w:val="100"/>
                <w:sz w:val="28"/>
              </w:rPr>
              <w:t>X</w:t>
            </w:r>
          </w:p>
        </w:tc>
      </w:tr>
    </w:tbl>
    <w:p>
      <w:pPr>
        <w:spacing w:after="0"/>
        <w:rPr>
          <w:rFonts w:ascii="Courier New"/>
          <w:sz w:val="28"/>
        </w:rPr>
        <w:sectPr>
          <w:pgSz w:w="18630" w:h="11910" w:orient="landscape"/>
          <w:pgMar w:header="0" w:footer="404" w:top="840" w:bottom="600" w:left="740" w:right="8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5"/>
        <w:gridCol w:w="1150"/>
        <w:gridCol w:w="2255"/>
        <w:gridCol w:w="1842"/>
        <w:gridCol w:w="2270"/>
        <w:gridCol w:w="2021"/>
        <w:gridCol w:w="2664"/>
        <w:gridCol w:w="2696"/>
      </w:tblGrid>
      <w:tr>
        <w:trPr>
          <w:trHeight w:val="583" w:hRule="atLeast"/>
        </w:trPr>
        <w:tc>
          <w:tcPr>
            <w:tcW w:w="2235" w:type="dxa"/>
            <w:shd w:val="clear" w:color="auto" w:fill="00AFEF"/>
          </w:tcPr>
          <w:p>
            <w:pPr>
              <w:pStyle w:val="TableParagraph"/>
              <w:spacing w:line="317" w:lineRule="exact"/>
              <w:ind w:left="107"/>
              <w:rPr>
                <w:rFonts w:ascii="Courier New"/>
                <w:b/>
                <w:sz w:val="28"/>
              </w:rPr>
            </w:pPr>
            <w:r>
              <w:rPr>
                <w:rFonts w:ascii="Courier New"/>
                <w:b/>
                <w:sz w:val="28"/>
              </w:rPr>
              <w:t>Vitamin C</w:t>
            </w:r>
          </w:p>
        </w:tc>
        <w:tc>
          <w:tcPr>
            <w:tcW w:w="1150" w:type="dxa"/>
          </w:tcPr>
          <w:p>
            <w:pPr>
              <w:pStyle w:val="TableParagraph"/>
              <w:spacing w:before="6"/>
              <w:ind w:left="107"/>
              <w:rPr>
                <w:rFonts w:ascii="Courier New"/>
                <w:sz w:val="28"/>
              </w:rPr>
            </w:pPr>
            <w:r>
              <w:rPr>
                <w:rFonts w:ascii="Courier New"/>
                <w:sz w:val="28"/>
              </w:rPr>
              <w:t>1720</w:t>
            </w:r>
          </w:p>
        </w:tc>
        <w:tc>
          <w:tcPr>
            <w:tcW w:w="2255" w:type="dxa"/>
          </w:tcPr>
          <w:p>
            <w:pPr>
              <w:pStyle w:val="TableParagraph"/>
              <w:rPr>
                <w:rFonts w:ascii="Times New Roman"/>
                <w:sz w:val="26"/>
              </w:rPr>
            </w:pPr>
          </w:p>
        </w:tc>
        <w:tc>
          <w:tcPr>
            <w:tcW w:w="1842" w:type="dxa"/>
          </w:tcPr>
          <w:p>
            <w:pPr>
              <w:pStyle w:val="TableParagraph"/>
              <w:spacing w:before="6"/>
              <w:ind w:left="103"/>
              <w:rPr>
                <w:rFonts w:ascii="Courier New"/>
                <w:sz w:val="28"/>
              </w:rPr>
            </w:pPr>
            <w:r>
              <w:rPr>
                <w:rFonts w:ascii="Courier New"/>
                <w:w w:val="100"/>
                <w:sz w:val="28"/>
              </w:rPr>
              <w:t>X</w:t>
            </w:r>
          </w:p>
        </w:tc>
        <w:tc>
          <w:tcPr>
            <w:tcW w:w="2270" w:type="dxa"/>
          </w:tcPr>
          <w:p>
            <w:pPr>
              <w:pStyle w:val="TableParagraph"/>
              <w:rPr>
                <w:rFonts w:ascii="Times New Roman"/>
                <w:sz w:val="26"/>
              </w:rPr>
            </w:pPr>
          </w:p>
        </w:tc>
        <w:tc>
          <w:tcPr>
            <w:tcW w:w="2021" w:type="dxa"/>
          </w:tcPr>
          <w:p>
            <w:pPr>
              <w:pStyle w:val="TableParagraph"/>
              <w:spacing w:before="6"/>
              <w:ind w:left="103"/>
              <w:rPr>
                <w:rFonts w:ascii="Courier New"/>
                <w:sz w:val="28"/>
              </w:rPr>
            </w:pPr>
            <w:r>
              <w:rPr>
                <w:rFonts w:ascii="Courier New"/>
                <w:w w:val="100"/>
                <w:sz w:val="28"/>
              </w:rPr>
              <w:t>X</w:t>
            </w:r>
          </w:p>
        </w:tc>
        <w:tc>
          <w:tcPr>
            <w:tcW w:w="2664" w:type="dxa"/>
          </w:tcPr>
          <w:p>
            <w:pPr>
              <w:pStyle w:val="TableParagraph"/>
              <w:spacing w:before="6"/>
              <w:ind w:left="101"/>
              <w:rPr>
                <w:rFonts w:ascii="Courier New"/>
                <w:sz w:val="28"/>
              </w:rPr>
            </w:pPr>
            <w:r>
              <w:rPr>
                <w:rFonts w:ascii="Courier New"/>
                <w:w w:val="100"/>
                <w:sz w:val="28"/>
              </w:rPr>
              <w:t>X</w:t>
            </w:r>
          </w:p>
        </w:tc>
        <w:tc>
          <w:tcPr>
            <w:tcW w:w="2696" w:type="dxa"/>
          </w:tcPr>
          <w:p>
            <w:pPr>
              <w:pStyle w:val="TableParagraph"/>
              <w:spacing w:before="6"/>
              <w:ind w:left="96"/>
              <w:rPr>
                <w:rFonts w:ascii="Courier New"/>
                <w:sz w:val="28"/>
              </w:rPr>
            </w:pPr>
            <w:r>
              <w:rPr>
                <w:rFonts w:ascii="Courier New"/>
                <w:w w:val="100"/>
                <w:sz w:val="28"/>
              </w:rPr>
              <w:t>X</w:t>
            </w:r>
          </w:p>
        </w:tc>
      </w:tr>
      <w:tr>
        <w:trPr>
          <w:trHeight w:val="621" w:hRule="atLeast"/>
        </w:trPr>
        <w:tc>
          <w:tcPr>
            <w:tcW w:w="2235" w:type="dxa"/>
            <w:shd w:val="clear" w:color="auto" w:fill="00AFEF"/>
          </w:tcPr>
          <w:p>
            <w:pPr>
              <w:pStyle w:val="TableParagraph"/>
              <w:spacing w:line="317" w:lineRule="exact"/>
              <w:ind w:left="107"/>
              <w:rPr>
                <w:rFonts w:ascii="Courier New"/>
                <w:b/>
                <w:sz w:val="28"/>
              </w:rPr>
            </w:pPr>
            <w:r>
              <w:rPr>
                <w:rFonts w:ascii="Courier New"/>
                <w:b/>
                <w:sz w:val="28"/>
              </w:rPr>
              <w:t>OPC</w:t>
            </w:r>
          </w:p>
        </w:tc>
        <w:tc>
          <w:tcPr>
            <w:tcW w:w="1150" w:type="dxa"/>
          </w:tcPr>
          <w:p>
            <w:pPr>
              <w:pStyle w:val="TableParagraph"/>
              <w:spacing w:before="6"/>
              <w:ind w:left="107"/>
              <w:rPr>
                <w:rFonts w:ascii="Courier New"/>
                <w:sz w:val="28"/>
              </w:rPr>
            </w:pPr>
            <w:r>
              <w:rPr>
                <w:rFonts w:ascii="Courier New"/>
                <w:sz w:val="28"/>
              </w:rPr>
              <w:t>1094</w:t>
            </w:r>
          </w:p>
        </w:tc>
        <w:tc>
          <w:tcPr>
            <w:tcW w:w="2255" w:type="dxa"/>
          </w:tcPr>
          <w:p>
            <w:pPr>
              <w:pStyle w:val="TableParagraph"/>
              <w:rPr>
                <w:rFonts w:ascii="Times New Roman"/>
                <w:sz w:val="26"/>
              </w:rPr>
            </w:pPr>
          </w:p>
        </w:tc>
        <w:tc>
          <w:tcPr>
            <w:tcW w:w="1842" w:type="dxa"/>
          </w:tcPr>
          <w:p>
            <w:pPr>
              <w:pStyle w:val="TableParagraph"/>
              <w:spacing w:before="6"/>
              <w:ind w:left="103"/>
              <w:rPr>
                <w:rFonts w:ascii="Courier New"/>
                <w:sz w:val="28"/>
              </w:rPr>
            </w:pPr>
            <w:r>
              <w:rPr>
                <w:rFonts w:ascii="Courier New"/>
                <w:w w:val="100"/>
                <w:sz w:val="28"/>
              </w:rPr>
              <w:t>X</w:t>
            </w:r>
          </w:p>
        </w:tc>
        <w:tc>
          <w:tcPr>
            <w:tcW w:w="2270" w:type="dxa"/>
          </w:tcPr>
          <w:p>
            <w:pPr>
              <w:pStyle w:val="TableParagraph"/>
              <w:rPr>
                <w:rFonts w:ascii="Times New Roman"/>
                <w:sz w:val="26"/>
              </w:rPr>
            </w:pPr>
          </w:p>
        </w:tc>
        <w:tc>
          <w:tcPr>
            <w:tcW w:w="2021" w:type="dxa"/>
          </w:tcPr>
          <w:p>
            <w:pPr>
              <w:pStyle w:val="TableParagraph"/>
              <w:spacing w:before="6"/>
              <w:ind w:left="103"/>
              <w:rPr>
                <w:rFonts w:ascii="Courier New"/>
                <w:sz w:val="28"/>
              </w:rPr>
            </w:pPr>
            <w:r>
              <w:rPr>
                <w:rFonts w:ascii="Courier New"/>
                <w:w w:val="100"/>
                <w:sz w:val="28"/>
              </w:rPr>
              <w:t>X</w:t>
            </w:r>
          </w:p>
        </w:tc>
        <w:tc>
          <w:tcPr>
            <w:tcW w:w="2664" w:type="dxa"/>
          </w:tcPr>
          <w:p>
            <w:pPr>
              <w:pStyle w:val="TableParagraph"/>
              <w:spacing w:before="6"/>
              <w:ind w:left="101"/>
              <w:rPr>
                <w:rFonts w:ascii="Courier New"/>
                <w:sz w:val="28"/>
              </w:rPr>
            </w:pPr>
            <w:r>
              <w:rPr>
                <w:rFonts w:ascii="Courier New"/>
                <w:w w:val="100"/>
                <w:sz w:val="28"/>
              </w:rPr>
              <w:t>X</w:t>
            </w:r>
          </w:p>
        </w:tc>
        <w:tc>
          <w:tcPr>
            <w:tcW w:w="2696" w:type="dxa"/>
          </w:tcPr>
          <w:p>
            <w:pPr>
              <w:pStyle w:val="TableParagraph"/>
              <w:spacing w:before="6"/>
              <w:ind w:left="96"/>
              <w:rPr>
                <w:rFonts w:ascii="Courier New"/>
                <w:sz w:val="28"/>
              </w:rPr>
            </w:pPr>
            <w:r>
              <w:rPr>
                <w:rFonts w:ascii="Courier New"/>
                <w:w w:val="100"/>
                <w:sz w:val="28"/>
              </w:rPr>
              <w:t>X</w:t>
            </w:r>
          </w:p>
        </w:tc>
      </w:tr>
      <w:tr>
        <w:trPr>
          <w:trHeight w:val="928" w:hRule="atLeast"/>
        </w:trPr>
        <w:tc>
          <w:tcPr>
            <w:tcW w:w="2235" w:type="dxa"/>
            <w:shd w:val="clear" w:color="auto" w:fill="00AFEF"/>
          </w:tcPr>
          <w:p>
            <w:pPr>
              <w:pStyle w:val="TableParagraph"/>
              <w:spacing w:line="278" w:lineRule="auto"/>
              <w:ind w:left="107" w:right="585"/>
              <w:rPr>
                <w:rFonts w:ascii="Courier New"/>
                <w:b/>
                <w:sz w:val="28"/>
              </w:rPr>
            </w:pPr>
            <w:r>
              <w:rPr>
                <w:rFonts w:ascii="Courier New"/>
                <w:b/>
                <w:sz w:val="28"/>
              </w:rPr>
              <w:t>Medicinal mushrooms</w:t>
            </w:r>
          </w:p>
        </w:tc>
        <w:tc>
          <w:tcPr>
            <w:tcW w:w="1150" w:type="dxa"/>
          </w:tcPr>
          <w:p>
            <w:pPr>
              <w:pStyle w:val="TableParagraph"/>
              <w:spacing w:before="6"/>
              <w:ind w:left="107"/>
              <w:rPr>
                <w:rFonts w:ascii="Courier New"/>
                <w:sz w:val="28"/>
              </w:rPr>
            </w:pPr>
            <w:r>
              <w:rPr>
                <w:rFonts w:ascii="Courier New"/>
                <w:sz w:val="28"/>
              </w:rPr>
              <w:t>1787</w:t>
            </w:r>
          </w:p>
        </w:tc>
        <w:tc>
          <w:tcPr>
            <w:tcW w:w="2255" w:type="dxa"/>
          </w:tcPr>
          <w:p>
            <w:pPr>
              <w:pStyle w:val="TableParagraph"/>
              <w:rPr>
                <w:rFonts w:ascii="Times New Roman"/>
                <w:sz w:val="26"/>
              </w:rPr>
            </w:pPr>
          </w:p>
        </w:tc>
        <w:tc>
          <w:tcPr>
            <w:tcW w:w="1842" w:type="dxa"/>
          </w:tcPr>
          <w:p>
            <w:pPr>
              <w:pStyle w:val="TableParagraph"/>
              <w:spacing w:before="6"/>
              <w:ind w:left="103"/>
              <w:rPr>
                <w:rFonts w:ascii="Courier New"/>
                <w:sz w:val="28"/>
              </w:rPr>
            </w:pPr>
            <w:r>
              <w:rPr>
                <w:rFonts w:ascii="Courier New"/>
                <w:w w:val="100"/>
                <w:sz w:val="28"/>
              </w:rPr>
              <w:t>X</w:t>
            </w:r>
          </w:p>
        </w:tc>
        <w:tc>
          <w:tcPr>
            <w:tcW w:w="2270" w:type="dxa"/>
          </w:tcPr>
          <w:p>
            <w:pPr>
              <w:pStyle w:val="TableParagraph"/>
              <w:rPr>
                <w:rFonts w:ascii="Times New Roman"/>
                <w:sz w:val="26"/>
              </w:rPr>
            </w:pPr>
          </w:p>
        </w:tc>
        <w:tc>
          <w:tcPr>
            <w:tcW w:w="2021" w:type="dxa"/>
          </w:tcPr>
          <w:p>
            <w:pPr>
              <w:pStyle w:val="TableParagraph"/>
              <w:spacing w:before="6"/>
              <w:ind w:left="103"/>
              <w:rPr>
                <w:rFonts w:ascii="Courier New"/>
                <w:sz w:val="28"/>
              </w:rPr>
            </w:pPr>
            <w:r>
              <w:rPr>
                <w:rFonts w:ascii="Courier New"/>
                <w:w w:val="100"/>
                <w:sz w:val="28"/>
              </w:rPr>
              <w:t>X</w:t>
            </w:r>
          </w:p>
        </w:tc>
        <w:tc>
          <w:tcPr>
            <w:tcW w:w="2664" w:type="dxa"/>
          </w:tcPr>
          <w:p>
            <w:pPr>
              <w:pStyle w:val="TableParagraph"/>
              <w:rPr>
                <w:rFonts w:ascii="Times New Roman"/>
                <w:sz w:val="26"/>
              </w:rPr>
            </w:pPr>
          </w:p>
        </w:tc>
        <w:tc>
          <w:tcPr>
            <w:tcW w:w="2696" w:type="dxa"/>
          </w:tcPr>
          <w:p>
            <w:pPr>
              <w:pStyle w:val="TableParagraph"/>
              <w:spacing w:before="6"/>
              <w:ind w:left="96"/>
              <w:rPr>
                <w:rFonts w:ascii="Courier New"/>
                <w:sz w:val="28"/>
              </w:rPr>
            </w:pPr>
            <w:r>
              <w:rPr>
                <w:rFonts w:ascii="Courier New"/>
                <w:w w:val="100"/>
                <w:sz w:val="28"/>
              </w:rPr>
              <w:t>X</w:t>
            </w:r>
          </w:p>
        </w:tc>
      </w:tr>
      <w:tr>
        <w:trPr>
          <w:trHeight w:val="642" w:hRule="atLeast"/>
        </w:trPr>
        <w:tc>
          <w:tcPr>
            <w:tcW w:w="2235" w:type="dxa"/>
            <w:shd w:val="clear" w:color="auto" w:fill="00AFEF"/>
          </w:tcPr>
          <w:p>
            <w:pPr>
              <w:pStyle w:val="TableParagraph"/>
              <w:spacing w:before="2"/>
              <w:ind w:left="107"/>
              <w:rPr>
                <w:rFonts w:ascii="Courier New"/>
                <w:b/>
                <w:sz w:val="28"/>
              </w:rPr>
            </w:pPr>
            <w:r>
              <w:rPr>
                <w:rFonts w:ascii="Courier New"/>
                <w:b/>
                <w:sz w:val="28"/>
              </w:rPr>
              <w:t>Pomegranate</w:t>
            </w:r>
          </w:p>
        </w:tc>
        <w:tc>
          <w:tcPr>
            <w:tcW w:w="1150" w:type="dxa"/>
          </w:tcPr>
          <w:p>
            <w:pPr>
              <w:pStyle w:val="TableParagraph"/>
              <w:spacing w:before="9"/>
              <w:ind w:left="107"/>
              <w:rPr>
                <w:rFonts w:ascii="Courier New"/>
                <w:sz w:val="28"/>
              </w:rPr>
            </w:pPr>
            <w:r>
              <w:rPr>
                <w:rFonts w:ascii="Courier New"/>
                <w:sz w:val="28"/>
              </w:rPr>
              <w:t>490</w:t>
            </w:r>
          </w:p>
        </w:tc>
        <w:tc>
          <w:tcPr>
            <w:tcW w:w="2255" w:type="dxa"/>
          </w:tcPr>
          <w:p>
            <w:pPr>
              <w:pStyle w:val="TableParagraph"/>
              <w:rPr>
                <w:rFonts w:ascii="Times New Roman"/>
                <w:sz w:val="26"/>
              </w:rPr>
            </w:pPr>
          </w:p>
        </w:tc>
        <w:tc>
          <w:tcPr>
            <w:tcW w:w="1842" w:type="dxa"/>
          </w:tcPr>
          <w:p>
            <w:pPr>
              <w:pStyle w:val="TableParagraph"/>
              <w:spacing w:before="9"/>
              <w:ind w:left="103"/>
              <w:rPr>
                <w:rFonts w:ascii="Courier New"/>
                <w:sz w:val="28"/>
              </w:rPr>
            </w:pPr>
            <w:r>
              <w:rPr>
                <w:rFonts w:ascii="Courier New"/>
                <w:w w:val="100"/>
                <w:sz w:val="28"/>
              </w:rPr>
              <w:t>X</w:t>
            </w:r>
          </w:p>
        </w:tc>
        <w:tc>
          <w:tcPr>
            <w:tcW w:w="2270" w:type="dxa"/>
          </w:tcPr>
          <w:p>
            <w:pPr>
              <w:pStyle w:val="TableParagraph"/>
              <w:spacing w:before="9"/>
              <w:ind w:left="105"/>
              <w:rPr>
                <w:rFonts w:ascii="Courier New"/>
                <w:sz w:val="28"/>
              </w:rPr>
            </w:pPr>
            <w:r>
              <w:rPr>
                <w:rFonts w:ascii="Courier New"/>
                <w:w w:val="100"/>
                <w:sz w:val="28"/>
              </w:rPr>
              <w:t>X</w:t>
            </w:r>
          </w:p>
        </w:tc>
        <w:tc>
          <w:tcPr>
            <w:tcW w:w="2021" w:type="dxa"/>
          </w:tcPr>
          <w:p>
            <w:pPr>
              <w:pStyle w:val="TableParagraph"/>
              <w:spacing w:before="9"/>
              <w:ind w:left="103"/>
              <w:rPr>
                <w:rFonts w:ascii="Courier New"/>
                <w:sz w:val="28"/>
              </w:rPr>
            </w:pPr>
            <w:r>
              <w:rPr>
                <w:rFonts w:ascii="Courier New"/>
                <w:w w:val="100"/>
                <w:sz w:val="28"/>
              </w:rPr>
              <w:t>X</w:t>
            </w:r>
          </w:p>
        </w:tc>
        <w:tc>
          <w:tcPr>
            <w:tcW w:w="2664" w:type="dxa"/>
          </w:tcPr>
          <w:p>
            <w:pPr>
              <w:pStyle w:val="TableParagraph"/>
              <w:rPr>
                <w:rFonts w:ascii="Times New Roman"/>
                <w:sz w:val="26"/>
              </w:rPr>
            </w:pPr>
          </w:p>
        </w:tc>
        <w:tc>
          <w:tcPr>
            <w:tcW w:w="2696" w:type="dxa"/>
          </w:tcPr>
          <w:p>
            <w:pPr>
              <w:pStyle w:val="TableParagraph"/>
              <w:rPr>
                <w:rFonts w:ascii="Times New Roman"/>
                <w:sz w:val="26"/>
              </w:rPr>
            </w:pPr>
          </w:p>
        </w:tc>
      </w:tr>
      <w:tr>
        <w:trPr>
          <w:trHeight w:val="621" w:hRule="atLeast"/>
        </w:trPr>
        <w:tc>
          <w:tcPr>
            <w:tcW w:w="2235" w:type="dxa"/>
            <w:shd w:val="clear" w:color="auto" w:fill="00AFEF"/>
          </w:tcPr>
          <w:p>
            <w:pPr>
              <w:pStyle w:val="TableParagraph"/>
              <w:ind w:left="107"/>
              <w:rPr>
                <w:rFonts w:ascii="Courier New"/>
                <w:b/>
                <w:sz w:val="28"/>
              </w:rPr>
            </w:pPr>
            <w:r>
              <w:rPr>
                <w:rFonts w:ascii="Courier New"/>
                <w:b/>
                <w:sz w:val="28"/>
              </w:rPr>
              <w:t>Strophanthin</w:t>
            </w:r>
          </w:p>
        </w:tc>
        <w:tc>
          <w:tcPr>
            <w:tcW w:w="1150" w:type="dxa"/>
          </w:tcPr>
          <w:p>
            <w:pPr>
              <w:pStyle w:val="TableParagraph"/>
              <w:spacing w:before="7"/>
              <w:ind w:left="107"/>
              <w:rPr>
                <w:rFonts w:ascii="Courier New"/>
                <w:sz w:val="28"/>
              </w:rPr>
            </w:pPr>
            <w:r>
              <w:rPr>
                <w:rFonts w:ascii="Courier New"/>
                <w:sz w:val="28"/>
              </w:rPr>
              <w:t>1615</w:t>
            </w:r>
          </w:p>
        </w:tc>
        <w:tc>
          <w:tcPr>
            <w:tcW w:w="2255" w:type="dxa"/>
          </w:tcPr>
          <w:p>
            <w:pPr>
              <w:pStyle w:val="TableParagraph"/>
              <w:rPr>
                <w:rFonts w:ascii="Times New Roman"/>
                <w:sz w:val="26"/>
              </w:rPr>
            </w:pPr>
          </w:p>
        </w:tc>
        <w:tc>
          <w:tcPr>
            <w:tcW w:w="1842" w:type="dxa"/>
          </w:tcPr>
          <w:p>
            <w:pPr>
              <w:pStyle w:val="TableParagraph"/>
              <w:rPr>
                <w:rFonts w:ascii="Times New Roman"/>
                <w:sz w:val="26"/>
              </w:rPr>
            </w:pPr>
          </w:p>
        </w:tc>
        <w:tc>
          <w:tcPr>
            <w:tcW w:w="2270" w:type="dxa"/>
          </w:tcPr>
          <w:p>
            <w:pPr>
              <w:pStyle w:val="TableParagraph"/>
              <w:rPr>
                <w:rFonts w:ascii="Times New Roman"/>
                <w:sz w:val="26"/>
              </w:rPr>
            </w:pPr>
          </w:p>
        </w:tc>
        <w:tc>
          <w:tcPr>
            <w:tcW w:w="2021" w:type="dxa"/>
          </w:tcPr>
          <w:p>
            <w:pPr>
              <w:pStyle w:val="TableParagraph"/>
              <w:spacing w:before="7"/>
              <w:ind w:left="103"/>
              <w:rPr>
                <w:rFonts w:ascii="Courier New"/>
                <w:sz w:val="28"/>
              </w:rPr>
            </w:pPr>
            <w:r>
              <w:rPr>
                <w:rFonts w:ascii="Courier New"/>
                <w:w w:val="100"/>
                <w:sz w:val="28"/>
              </w:rPr>
              <w:t>X</w:t>
            </w:r>
          </w:p>
        </w:tc>
        <w:tc>
          <w:tcPr>
            <w:tcW w:w="2664" w:type="dxa"/>
          </w:tcPr>
          <w:p>
            <w:pPr>
              <w:pStyle w:val="TableParagraph"/>
              <w:rPr>
                <w:rFonts w:ascii="Times New Roman"/>
                <w:sz w:val="26"/>
              </w:rPr>
            </w:pPr>
          </w:p>
        </w:tc>
        <w:tc>
          <w:tcPr>
            <w:tcW w:w="2696" w:type="dxa"/>
          </w:tcPr>
          <w:p>
            <w:pPr>
              <w:pStyle w:val="TableParagraph"/>
              <w:rPr>
                <w:rFonts w:ascii="Times New Roman"/>
                <w:sz w:val="26"/>
              </w:rPr>
            </w:pPr>
          </w:p>
        </w:tc>
      </w:tr>
      <w:tr>
        <w:trPr>
          <w:trHeight w:val="930" w:hRule="atLeast"/>
        </w:trPr>
        <w:tc>
          <w:tcPr>
            <w:tcW w:w="2235" w:type="dxa"/>
            <w:shd w:val="clear" w:color="auto" w:fill="00AFEF"/>
          </w:tcPr>
          <w:p>
            <w:pPr>
              <w:pStyle w:val="TableParagraph"/>
              <w:spacing w:line="278" w:lineRule="auto"/>
              <w:ind w:left="107" w:right="249"/>
              <w:rPr>
                <w:rFonts w:ascii="Courier New"/>
                <w:b/>
                <w:sz w:val="28"/>
              </w:rPr>
            </w:pPr>
            <w:r>
              <w:rPr>
                <w:rFonts w:ascii="Courier New"/>
                <w:b/>
                <w:sz w:val="28"/>
              </w:rPr>
              <w:t>Aronia ber- ries</w:t>
            </w:r>
          </w:p>
        </w:tc>
        <w:tc>
          <w:tcPr>
            <w:tcW w:w="1150" w:type="dxa"/>
          </w:tcPr>
          <w:p>
            <w:pPr>
              <w:pStyle w:val="TableParagraph"/>
              <w:spacing w:before="6"/>
              <w:ind w:left="107"/>
              <w:rPr>
                <w:rFonts w:ascii="Courier New"/>
                <w:sz w:val="28"/>
              </w:rPr>
            </w:pPr>
            <w:r>
              <w:rPr>
                <w:rFonts w:ascii="Courier New"/>
                <w:sz w:val="28"/>
              </w:rPr>
              <w:t>173</w:t>
            </w:r>
          </w:p>
        </w:tc>
        <w:tc>
          <w:tcPr>
            <w:tcW w:w="2255" w:type="dxa"/>
          </w:tcPr>
          <w:p>
            <w:pPr>
              <w:pStyle w:val="TableParagraph"/>
              <w:rPr>
                <w:rFonts w:ascii="Times New Roman"/>
                <w:sz w:val="26"/>
              </w:rPr>
            </w:pPr>
          </w:p>
        </w:tc>
        <w:tc>
          <w:tcPr>
            <w:tcW w:w="1842" w:type="dxa"/>
          </w:tcPr>
          <w:p>
            <w:pPr>
              <w:pStyle w:val="TableParagraph"/>
              <w:spacing w:before="6"/>
              <w:ind w:left="103"/>
              <w:rPr>
                <w:rFonts w:ascii="Courier New"/>
                <w:sz w:val="28"/>
              </w:rPr>
            </w:pPr>
            <w:r>
              <w:rPr>
                <w:rFonts w:ascii="Courier New"/>
                <w:w w:val="100"/>
                <w:sz w:val="28"/>
              </w:rPr>
              <w:t>X</w:t>
            </w:r>
          </w:p>
        </w:tc>
        <w:tc>
          <w:tcPr>
            <w:tcW w:w="2270" w:type="dxa"/>
          </w:tcPr>
          <w:p>
            <w:pPr>
              <w:pStyle w:val="TableParagraph"/>
              <w:rPr>
                <w:rFonts w:ascii="Times New Roman"/>
                <w:sz w:val="26"/>
              </w:rPr>
            </w:pPr>
          </w:p>
        </w:tc>
        <w:tc>
          <w:tcPr>
            <w:tcW w:w="2021" w:type="dxa"/>
          </w:tcPr>
          <w:p>
            <w:pPr>
              <w:pStyle w:val="TableParagraph"/>
              <w:spacing w:before="6"/>
              <w:ind w:left="103"/>
              <w:rPr>
                <w:rFonts w:ascii="Courier New"/>
                <w:sz w:val="28"/>
              </w:rPr>
            </w:pPr>
            <w:r>
              <w:rPr>
                <w:rFonts w:ascii="Courier New"/>
                <w:w w:val="100"/>
                <w:sz w:val="28"/>
              </w:rPr>
              <w:t>X</w:t>
            </w:r>
          </w:p>
        </w:tc>
        <w:tc>
          <w:tcPr>
            <w:tcW w:w="2664" w:type="dxa"/>
          </w:tcPr>
          <w:p>
            <w:pPr>
              <w:pStyle w:val="TableParagraph"/>
              <w:rPr>
                <w:rFonts w:ascii="Times New Roman"/>
                <w:sz w:val="26"/>
              </w:rPr>
            </w:pPr>
          </w:p>
        </w:tc>
        <w:tc>
          <w:tcPr>
            <w:tcW w:w="2696" w:type="dxa"/>
          </w:tcPr>
          <w:p>
            <w:pPr>
              <w:pStyle w:val="TableParagraph"/>
              <w:rPr>
                <w:rFonts w:ascii="Times New Roman"/>
                <w:sz w:val="26"/>
              </w:rPr>
            </w:pPr>
          </w:p>
        </w:tc>
      </w:tr>
      <w:tr>
        <w:trPr>
          <w:trHeight w:val="563" w:hRule="atLeast"/>
        </w:trPr>
        <w:tc>
          <w:tcPr>
            <w:tcW w:w="2235" w:type="dxa"/>
            <w:shd w:val="clear" w:color="auto" w:fill="00AFEF"/>
          </w:tcPr>
          <w:p>
            <w:pPr>
              <w:pStyle w:val="TableParagraph"/>
              <w:spacing w:line="317" w:lineRule="exact"/>
              <w:ind w:left="107"/>
              <w:rPr>
                <w:rFonts w:ascii="Courier New"/>
                <w:b/>
                <w:sz w:val="28"/>
              </w:rPr>
            </w:pPr>
            <w:r>
              <w:rPr>
                <w:rFonts w:ascii="Courier New"/>
                <w:b/>
                <w:sz w:val="28"/>
              </w:rPr>
              <w:t>Colostrum</w:t>
            </w:r>
          </w:p>
        </w:tc>
        <w:tc>
          <w:tcPr>
            <w:tcW w:w="1150" w:type="dxa"/>
          </w:tcPr>
          <w:p>
            <w:pPr>
              <w:pStyle w:val="TableParagraph"/>
              <w:spacing w:before="6"/>
              <w:ind w:left="107"/>
              <w:rPr>
                <w:rFonts w:ascii="Courier New"/>
                <w:sz w:val="28"/>
              </w:rPr>
            </w:pPr>
            <w:r>
              <w:rPr>
                <w:rFonts w:ascii="Courier New"/>
                <w:sz w:val="28"/>
              </w:rPr>
              <w:t>264</w:t>
            </w:r>
          </w:p>
        </w:tc>
        <w:tc>
          <w:tcPr>
            <w:tcW w:w="2255" w:type="dxa"/>
          </w:tcPr>
          <w:p>
            <w:pPr>
              <w:pStyle w:val="TableParagraph"/>
              <w:rPr>
                <w:rFonts w:ascii="Times New Roman"/>
                <w:sz w:val="26"/>
              </w:rPr>
            </w:pPr>
          </w:p>
        </w:tc>
        <w:tc>
          <w:tcPr>
            <w:tcW w:w="1842" w:type="dxa"/>
          </w:tcPr>
          <w:p>
            <w:pPr>
              <w:pStyle w:val="TableParagraph"/>
              <w:spacing w:before="6"/>
              <w:ind w:left="103"/>
              <w:rPr>
                <w:rFonts w:ascii="Courier New"/>
                <w:sz w:val="28"/>
              </w:rPr>
            </w:pPr>
            <w:r>
              <w:rPr>
                <w:rFonts w:ascii="Courier New"/>
                <w:w w:val="100"/>
                <w:sz w:val="28"/>
              </w:rPr>
              <w:t>X</w:t>
            </w:r>
          </w:p>
        </w:tc>
        <w:tc>
          <w:tcPr>
            <w:tcW w:w="2270" w:type="dxa"/>
          </w:tcPr>
          <w:p>
            <w:pPr>
              <w:pStyle w:val="TableParagraph"/>
              <w:rPr>
                <w:rFonts w:ascii="Times New Roman"/>
                <w:sz w:val="26"/>
              </w:rPr>
            </w:pPr>
          </w:p>
        </w:tc>
        <w:tc>
          <w:tcPr>
            <w:tcW w:w="2021" w:type="dxa"/>
          </w:tcPr>
          <w:p>
            <w:pPr>
              <w:pStyle w:val="TableParagraph"/>
              <w:rPr>
                <w:rFonts w:ascii="Times New Roman"/>
                <w:sz w:val="26"/>
              </w:rPr>
            </w:pPr>
          </w:p>
        </w:tc>
        <w:tc>
          <w:tcPr>
            <w:tcW w:w="2664" w:type="dxa"/>
          </w:tcPr>
          <w:p>
            <w:pPr>
              <w:pStyle w:val="TableParagraph"/>
              <w:rPr>
                <w:rFonts w:ascii="Times New Roman"/>
                <w:sz w:val="26"/>
              </w:rPr>
            </w:pPr>
          </w:p>
        </w:tc>
        <w:tc>
          <w:tcPr>
            <w:tcW w:w="2696" w:type="dxa"/>
          </w:tcPr>
          <w:p>
            <w:pPr>
              <w:pStyle w:val="TableParagraph"/>
              <w:rPr>
                <w:rFonts w:ascii="Times New Roman"/>
                <w:sz w:val="26"/>
              </w:rPr>
            </w:pPr>
          </w:p>
        </w:tc>
      </w:tr>
      <w:tr>
        <w:trPr>
          <w:trHeight w:val="931" w:hRule="atLeast"/>
        </w:trPr>
        <w:tc>
          <w:tcPr>
            <w:tcW w:w="2235" w:type="dxa"/>
            <w:shd w:val="clear" w:color="auto" w:fill="00AFEF"/>
          </w:tcPr>
          <w:p>
            <w:pPr>
              <w:pStyle w:val="TableParagraph"/>
              <w:spacing w:line="278" w:lineRule="auto"/>
              <w:ind w:left="107" w:right="417"/>
              <w:rPr>
                <w:rFonts w:ascii="Courier New"/>
                <w:b/>
                <w:sz w:val="28"/>
              </w:rPr>
            </w:pPr>
            <w:r>
              <w:rPr>
                <w:rFonts w:ascii="Courier New"/>
                <w:b/>
                <w:sz w:val="28"/>
              </w:rPr>
              <w:t>Astragalus m.</w:t>
            </w:r>
          </w:p>
        </w:tc>
        <w:tc>
          <w:tcPr>
            <w:tcW w:w="1150" w:type="dxa"/>
          </w:tcPr>
          <w:p>
            <w:pPr>
              <w:pStyle w:val="TableParagraph"/>
              <w:spacing w:before="6"/>
              <w:ind w:left="107"/>
              <w:rPr>
                <w:rFonts w:ascii="Courier New"/>
                <w:sz w:val="28"/>
              </w:rPr>
            </w:pPr>
            <w:r>
              <w:rPr>
                <w:rFonts w:ascii="Courier New"/>
                <w:sz w:val="28"/>
              </w:rPr>
              <w:t>197</w:t>
            </w:r>
          </w:p>
        </w:tc>
        <w:tc>
          <w:tcPr>
            <w:tcW w:w="2255" w:type="dxa"/>
          </w:tcPr>
          <w:p>
            <w:pPr>
              <w:pStyle w:val="TableParagraph"/>
              <w:rPr>
                <w:rFonts w:ascii="Times New Roman"/>
                <w:sz w:val="26"/>
              </w:rPr>
            </w:pPr>
          </w:p>
        </w:tc>
        <w:tc>
          <w:tcPr>
            <w:tcW w:w="1842" w:type="dxa"/>
          </w:tcPr>
          <w:p>
            <w:pPr>
              <w:pStyle w:val="TableParagraph"/>
              <w:spacing w:before="6"/>
              <w:ind w:left="103"/>
              <w:rPr>
                <w:rFonts w:ascii="Courier New"/>
                <w:sz w:val="28"/>
              </w:rPr>
            </w:pPr>
            <w:r>
              <w:rPr>
                <w:rFonts w:ascii="Courier New"/>
                <w:w w:val="100"/>
                <w:sz w:val="28"/>
              </w:rPr>
              <w:t>X</w:t>
            </w:r>
          </w:p>
        </w:tc>
        <w:tc>
          <w:tcPr>
            <w:tcW w:w="2270" w:type="dxa"/>
          </w:tcPr>
          <w:p>
            <w:pPr>
              <w:pStyle w:val="TableParagraph"/>
              <w:rPr>
                <w:rFonts w:ascii="Times New Roman"/>
                <w:sz w:val="26"/>
              </w:rPr>
            </w:pPr>
          </w:p>
        </w:tc>
        <w:tc>
          <w:tcPr>
            <w:tcW w:w="2021" w:type="dxa"/>
          </w:tcPr>
          <w:p>
            <w:pPr>
              <w:pStyle w:val="TableParagraph"/>
              <w:spacing w:before="6"/>
              <w:ind w:left="103"/>
              <w:rPr>
                <w:rFonts w:ascii="Courier New"/>
                <w:sz w:val="28"/>
              </w:rPr>
            </w:pPr>
            <w:r>
              <w:rPr>
                <w:rFonts w:ascii="Courier New"/>
                <w:w w:val="100"/>
                <w:sz w:val="28"/>
              </w:rPr>
              <w:t>X</w:t>
            </w:r>
          </w:p>
        </w:tc>
        <w:tc>
          <w:tcPr>
            <w:tcW w:w="2664" w:type="dxa"/>
          </w:tcPr>
          <w:p>
            <w:pPr>
              <w:pStyle w:val="TableParagraph"/>
              <w:rPr>
                <w:rFonts w:ascii="Times New Roman"/>
                <w:sz w:val="26"/>
              </w:rPr>
            </w:pPr>
          </w:p>
        </w:tc>
        <w:tc>
          <w:tcPr>
            <w:tcW w:w="2696" w:type="dxa"/>
          </w:tcPr>
          <w:p>
            <w:pPr>
              <w:pStyle w:val="TableParagraph"/>
              <w:rPr>
                <w:rFonts w:ascii="Times New Roman"/>
                <w:sz w:val="26"/>
              </w:rPr>
            </w:pPr>
          </w:p>
        </w:tc>
      </w:tr>
    </w:tbl>
    <w:p>
      <w:pPr>
        <w:pStyle w:val="BodyText"/>
        <w:rPr>
          <w:sz w:val="20"/>
        </w:rPr>
      </w:pPr>
    </w:p>
    <w:p>
      <w:pPr>
        <w:pStyle w:val="BodyText"/>
        <w:spacing w:before="9"/>
        <w:rPr>
          <w:sz w:val="19"/>
        </w:rPr>
      </w:pPr>
    </w:p>
    <w:p>
      <w:pPr>
        <w:spacing w:before="100"/>
        <w:ind w:left="112" w:right="0" w:firstLine="0"/>
        <w:jc w:val="left"/>
        <w:rPr>
          <w:rFonts w:ascii="Courier New"/>
          <w:sz w:val="22"/>
        </w:rPr>
      </w:pPr>
      <w:r>
        <w:rPr>
          <w:rFonts w:ascii="Courier New"/>
          <w:sz w:val="32"/>
        </w:rPr>
        <w:t>*</w:t>
      </w:r>
      <w:r>
        <w:rPr>
          <w:rFonts w:ascii="Courier New"/>
          <w:sz w:val="22"/>
        </w:rPr>
        <w:t>in study IQ increased by 20%!</w:t>
      </w:r>
    </w:p>
    <w:p>
      <w:pPr>
        <w:spacing w:after="0"/>
        <w:jc w:val="left"/>
        <w:rPr>
          <w:rFonts w:ascii="Courier New"/>
          <w:sz w:val="22"/>
        </w:rPr>
        <w:sectPr>
          <w:pgSz w:w="18630" w:h="11910" w:orient="landscape"/>
          <w:pgMar w:header="0" w:footer="404" w:top="840" w:bottom="600" w:left="740" w:right="8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8"/>
        <w:gridCol w:w="849"/>
        <w:gridCol w:w="1418"/>
        <w:gridCol w:w="1275"/>
        <w:gridCol w:w="1985"/>
        <w:gridCol w:w="2127"/>
        <w:gridCol w:w="1843"/>
        <w:gridCol w:w="1985"/>
        <w:gridCol w:w="4242"/>
      </w:tblGrid>
      <w:tr>
        <w:trPr>
          <w:trHeight w:val="1087" w:hRule="atLeast"/>
        </w:trPr>
        <w:tc>
          <w:tcPr>
            <w:tcW w:w="17392" w:type="dxa"/>
            <w:gridSpan w:val="9"/>
            <w:tcBorders>
              <w:bottom w:val="single" w:sz="8" w:space="0" w:color="000000"/>
            </w:tcBorders>
            <w:shd w:val="clear" w:color="auto" w:fill="FAD3B4"/>
          </w:tcPr>
          <w:p>
            <w:pPr>
              <w:pStyle w:val="TableParagraph"/>
              <w:spacing w:before="311"/>
              <w:ind w:left="2332"/>
              <w:rPr>
                <w:b/>
                <w:sz w:val="36"/>
              </w:rPr>
            </w:pPr>
            <w:r>
              <w:rPr>
                <w:b/>
                <w:sz w:val="36"/>
              </w:rPr>
              <w:t>SUBSTANCE-EFFECT TABLE OF NATURAL REMEDIES FOR IMPOTENCE</w:t>
            </w:r>
          </w:p>
        </w:tc>
      </w:tr>
      <w:tr>
        <w:trPr>
          <w:trHeight w:val="2253" w:hRule="atLeast"/>
        </w:trPr>
        <w:tc>
          <w:tcPr>
            <w:tcW w:w="1668" w:type="dxa"/>
            <w:tcBorders>
              <w:top w:val="single" w:sz="8" w:space="0" w:color="000000"/>
            </w:tcBorders>
            <w:shd w:val="clear" w:color="auto" w:fill="FFFF00"/>
          </w:tcPr>
          <w:p>
            <w:pPr>
              <w:pStyle w:val="TableParagraph"/>
              <w:spacing w:line="278" w:lineRule="auto"/>
              <w:ind w:left="107" w:right="401"/>
              <w:rPr>
                <w:rFonts w:ascii="Calibri"/>
                <w:b/>
                <w:sz w:val="22"/>
              </w:rPr>
            </w:pPr>
            <w:r>
              <w:rPr>
                <w:rFonts w:ascii="Calibri"/>
                <w:b/>
                <w:sz w:val="22"/>
              </w:rPr>
              <w:t>Natural sub- stance</w:t>
            </w:r>
          </w:p>
        </w:tc>
        <w:tc>
          <w:tcPr>
            <w:tcW w:w="849" w:type="dxa"/>
            <w:tcBorders>
              <w:top w:val="single" w:sz="8" w:space="0" w:color="000000"/>
            </w:tcBorders>
            <w:shd w:val="clear" w:color="auto" w:fill="FFFF00"/>
          </w:tcPr>
          <w:p>
            <w:pPr>
              <w:pStyle w:val="TableParagraph"/>
              <w:spacing w:line="267" w:lineRule="exact"/>
              <w:ind w:left="108"/>
              <w:rPr>
                <w:rFonts w:ascii="Calibri"/>
                <w:b/>
                <w:sz w:val="22"/>
              </w:rPr>
            </w:pPr>
            <w:r>
              <w:rPr>
                <w:rFonts w:ascii="Calibri"/>
                <w:b/>
                <w:sz w:val="22"/>
              </w:rPr>
              <w:t>Page</w:t>
            </w:r>
          </w:p>
        </w:tc>
        <w:tc>
          <w:tcPr>
            <w:tcW w:w="1418" w:type="dxa"/>
            <w:tcBorders>
              <w:top w:val="single" w:sz="8" w:space="0" w:color="000000"/>
            </w:tcBorders>
            <w:shd w:val="clear" w:color="auto" w:fill="FFFF00"/>
          </w:tcPr>
          <w:p>
            <w:pPr>
              <w:pStyle w:val="TableParagraph"/>
              <w:spacing w:line="276" w:lineRule="auto"/>
              <w:ind w:left="108" w:right="219"/>
              <w:rPr>
                <w:rFonts w:ascii="Calibri"/>
                <w:b/>
                <w:sz w:val="22"/>
              </w:rPr>
            </w:pPr>
            <w:r>
              <w:rPr>
                <w:rFonts w:ascii="Calibri"/>
                <w:b/>
                <w:sz w:val="22"/>
              </w:rPr>
              <w:t>Stimulation of circula- tion in the sexual or- gans</w:t>
            </w:r>
          </w:p>
        </w:tc>
        <w:tc>
          <w:tcPr>
            <w:tcW w:w="1275" w:type="dxa"/>
            <w:tcBorders>
              <w:top w:val="single" w:sz="8" w:space="0" w:color="000000"/>
            </w:tcBorders>
            <w:shd w:val="clear" w:color="auto" w:fill="FFFF00"/>
          </w:tcPr>
          <w:p>
            <w:pPr>
              <w:pStyle w:val="TableParagraph"/>
              <w:spacing w:line="276" w:lineRule="auto"/>
              <w:ind w:left="106" w:right="136"/>
              <w:rPr>
                <w:rFonts w:ascii="Calibri"/>
                <w:b/>
                <w:sz w:val="22"/>
              </w:rPr>
            </w:pPr>
            <w:r>
              <w:rPr>
                <w:rFonts w:ascii="Calibri"/>
                <w:b/>
                <w:sz w:val="22"/>
              </w:rPr>
              <w:t>Increase of oxygen content in the blood</w:t>
            </w:r>
          </w:p>
        </w:tc>
        <w:tc>
          <w:tcPr>
            <w:tcW w:w="1985" w:type="dxa"/>
            <w:tcBorders>
              <w:top w:val="single" w:sz="8" w:space="0" w:color="000000"/>
            </w:tcBorders>
            <w:shd w:val="clear" w:color="auto" w:fill="FFFF00"/>
          </w:tcPr>
          <w:p>
            <w:pPr>
              <w:pStyle w:val="TableParagraph"/>
              <w:spacing w:line="276" w:lineRule="auto"/>
              <w:ind w:left="109" w:right="79"/>
              <w:rPr>
                <w:rFonts w:ascii="Calibri"/>
                <w:b/>
                <w:sz w:val="22"/>
              </w:rPr>
            </w:pPr>
            <w:r>
              <w:rPr>
                <w:rFonts w:ascii="Calibri"/>
                <w:b/>
                <w:sz w:val="22"/>
              </w:rPr>
              <w:t>Protection of arter- ies (removal of de- posits in the arter- ies of the genitals and prevention of future deposits)</w:t>
            </w:r>
          </w:p>
        </w:tc>
        <w:tc>
          <w:tcPr>
            <w:tcW w:w="2127" w:type="dxa"/>
            <w:tcBorders>
              <w:top w:val="single" w:sz="8" w:space="0" w:color="000000"/>
            </w:tcBorders>
            <w:shd w:val="clear" w:color="auto" w:fill="FFFF00"/>
          </w:tcPr>
          <w:p>
            <w:pPr>
              <w:pStyle w:val="TableParagraph"/>
              <w:spacing w:line="276" w:lineRule="auto"/>
              <w:ind w:left="108" w:right="161"/>
              <w:rPr>
                <w:rFonts w:ascii="Calibri"/>
                <w:b/>
                <w:sz w:val="22"/>
              </w:rPr>
            </w:pPr>
            <w:r>
              <w:rPr>
                <w:rFonts w:ascii="Calibri"/>
                <w:b/>
                <w:sz w:val="22"/>
              </w:rPr>
              <w:t>Regulation of hor- mone balance (oes- trogen-testosterone levels)</w:t>
            </w:r>
          </w:p>
        </w:tc>
        <w:tc>
          <w:tcPr>
            <w:tcW w:w="1843" w:type="dxa"/>
            <w:tcBorders>
              <w:top w:val="single" w:sz="8" w:space="0" w:color="000000"/>
            </w:tcBorders>
            <w:shd w:val="clear" w:color="auto" w:fill="FFFF00"/>
          </w:tcPr>
          <w:p>
            <w:pPr>
              <w:pStyle w:val="TableParagraph"/>
              <w:spacing w:line="278" w:lineRule="auto"/>
              <w:ind w:left="108" w:right="356"/>
              <w:rPr>
                <w:rFonts w:ascii="Calibri"/>
                <w:b/>
                <w:sz w:val="22"/>
              </w:rPr>
            </w:pPr>
            <w:r>
              <w:rPr>
                <w:rFonts w:ascii="Calibri"/>
                <w:b/>
                <w:sz w:val="22"/>
              </w:rPr>
              <w:t>Invigoration of the sex glands</w:t>
            </w:r>
          </w:p>
        </w:tc>
        <w:tc>
          <w:tcPr>
            <w:tcW w:w="1985" w:type="dxa"/>
            <w:tcBorders>
              <w:top w:val="single" w:sz="8" w:space="0" w:color="000000"/>
            </w:tcBorders>
            <w:shd w:val="clear" w:color="auto" w:fill="FFFF00"/>
          </w:tcPr>
          <w:p>
            <w:pPr>
              <w:pStyle w:val="TableParagraph"/>
              <w:spacing w:line="267" w:lineRule="exact"/>
              <w:ind w:left="109"/>
              <w:rPr>
                <w:rFonts w:ascii="Calibri"/>
                <w:b/>
                <w:sz w:val="22"/>
              </w:rPr>
            </w:pPr>
            <w:r>
              <w:rPr>
                <w:rFonts w:ascii="Calibri"/>
                <w:b/>
                <w:sz w:val="22"/>
              </w:rPr>
              <w:t>Stress reduction</w:t>
            </w:r>
          </w:p>
        </w:tc>
        <w:tc>
          <w:tcPr>
            <w:tcW w:w="4242" w:type="dxa"/>
            <w:tcBorders>
              <w:top w:val="single" w:sz="8" w:space="0" w:color="000000"/>
            </w:tcBorders>
            <w:shd w:val="clear" w:color="auto" w:fill="FFFF00"/>
          </w:tcPr>
          <w:p>
            <w:pPr>
              <w:pStyle w:val="TableParagraph"/>
              <w:spacing w:line="267" w:lineRule="exact"/>
              <w:ind w:left="109"/>
              <w:rPr>
                <w:rFonts w:ascii="Calibri"/>
                <w:b/>
                <w:sz w:val="22"/>
              </w:rPr>
            </w:pPr>
            <w:r>
              <w:rPr>
                <w:rFonts w:ascii="Calibri"/>
                <w:b/>
                <w:sz w:val="22"/>
              </w:rPr>
              <w:t>Protection against cell oxidation</w:t>
            </w:r>
          </w:p>
        </w:tc>
      </w:tr>
      <w:tr>
        <w:trPr>
          <w:trHeight w:val="508" w:hRule="atLeast"/>
        </w:trPr>
        <w:tc>
          <w:tcPr>
            <w:tcW w:w="1668" w:type="dxa"/>
            <w:shd w:val="clear" w:color="auto" w:fill="00AFEF"/>
          </w:tcPr>
          <w:p>
            <w:pPr>
              <w:pStyle w:val="TableParagraph"/>
              <w:spacing w:line="268" w:lineRule="exact"/>
              <w:ind w:left="107"/>
              <w:rPr>
                <w:rFonts w:ascii="Calibri"/>
                <w:sz w:val="22"/>
              </w:rPr>
            </w:pPr>
            <w:r>
              <w:rPr>
                <w:rFonts w:ascii="Calibri"/>
                <w:sz w:val="22"/>
              </w:rPr>
              <w:t>L-Carnosine</w:t>
            </w:r>
          </w:p>
        </w:tc>
        <w:tc>
          <w:tcPr>
            <w:tcW w:w="849" w:type="dxa"/>
          </w:tcPr>
          <w:p>
            <w:pPr>
              <w:pStyle w:val="TableParagraph"/>
              <w:spacing w:line="268" w:lineRule="exact"/>
              <w:ind w:left="158"/>
              <w:rPr>
                <w:rFonts w:ascii="Calibri"/>
                <w:sz w:val="22"/>
              </w:rPr>
            </w:pPr>
            <w:r>
              <w:rPr>
                <w:rFonts w:ascii="Calibri"/>
                <w:sz w:val="22"/>
              </w:rPr>
              <w:t>924</w:t>
            </w:r>
          </w:p>
        </w:tc>
        <w:tc>
          <w:tcPr>
            <w:tcW w:w="1418" w:type="dxa"/>
          </w:tcPr>
          <w:p>
            <w:pPr>
              <w:pStyle w:val="TableParagraph"/>
              <w:rPr>
                <w:rFonts w:ascii="Times New Roman"/>
                <w:sz w:val="22"/>
              </w:rPr>
            </w:pPr>
          </w:p>
        </w:tc>
        <w:tc>
          <w:tcPr>
            <w:tcW w:w="1275" w:type="dxa"/>
          </w:tcPr>
          <w:p>
            <w:pPr>
              <w:pStyle w:val="TableParagraph"/>
              <w:spacing w:line="268" w:lineRule="exact"/>
              <w:ind w:left="556"/>
              <w:rPr>
                <w:rFonts w:ascii="Calibri"/>
                <w:sz w:val="22"/>
              </w:rPr>
            </w:pPr>
            <w:r>
              <w:rPr>
                <w:rFonts w:ascii="Calibri"/>
                <w:w w:val="100"/>
                <w:sz w:val="22"/>
              </w:rPr>
              <w:t>X</w:t>
            </w:r>
          </w:p>
        </w:tc>
        <w:tc>
          <w:tcPr>
            <w:tcW w:w="1985" w:type="dxa"/>
          </w:tcPr>
          <w:p>
            <w:pPr>
              <w:pStyle w:val="TableParagraph"/>
              <w:spacing w:line="268" w:lineRule="exact"/>
              <w:ind w:left="608"/>
              <w:rPr>
                <w:rFonts w:ascii="Calibri"/>
                <w:sz w:val="22"/>
              </w:rPr>
            </w:pPr>
            <w:r>
              <w:rPr>
                <w:rFonts w:ascii="Calibri"/>
                <w:w w:val="100"/>
                <w:sz w:val="22"/>
              </w:rPr>
              <w:t>X</w:t>
            </w:r>
          </w:p>
        </w:tc>
        <w:tc>
          <w:tcPr>
            <w:tcW w:w="2127" w:type="dxa"/>
          </w:tcPr>
          <w:p>
            <w:pPr>
              <w:pStyle w:val="TableParagraph"/>
              <w:rPr>
                <w:rFonts w:ascii="Times New Roman"/>
                <w:sz w:val="22"/>
              </w:rPr>
            </w:pPr>
          </w:p>
        </w:tc>
        <w:tc>
          <w:tcPr>
            <w:tcW w:w="1843" w:type="dxa"/>
          </w:tcPr>
          <w:p>
            <w:pPr>
              <w:pStyle w:val="TableParagraph"/>
              <w:rPr>
                <w:rFonts w:ascii="Times New Roman"/>
                <w:sz w:val="22"/>
              </w:rPr>
            </w:pPr>
          </w:p>
        </w:tc>
        <w:tc>
          <w:tcPr>
            <w:tcW w:w="1985" w:type="dxa"/>
          </w:tcPr>
          <w:p>
            <w:pPr>
              <w:pStyle w:val="TableParagraph"/>
              <w:rPr>
                <w:rFonts w:ascii="Times New Roman"/>
                <w:sz w:val="22"/>
              </w:rPr>
            </w:pPr>
          </w:p>
        </w:tc>
        <w:tc>
          <w:tcPr>
            <w:tcW w:w="4242" w:type="dxa"/>
          </w:tcPr>
          <w:p>
            <w:pPr>
              <w:pStyle w:val="TableParagraph"/>
              <w:spacing w:line="268" w:lineRule="exact"/>
              <w:ind w:left="707"/>
              <w:rPr>
                <w:rFonts w:ascii="Calibri"/>
                <w:sz w:val="22"/>
              </w:rPr>
            </w:pPr>
            <w:r>
              <w:rPr>
                <w:rFonts w:ascii="Calibri"/>
                <w:w w:val="100"/>
                <w:sz w:val="22"/>
              </w:rPr>
              <w:t>X</w:t>
            </w:r>
          </w:p>
        </w:tc>
      </w:tr>
      <w:tr>
        <w:trPr>
          <w:trHeight w:val="508" w:hRule="atLeast"/>
        </w:trPr>
        <w:tc>
          <w:tcPr>
            <w:tcW w:w="1668" w:type="dxa"/>
            <w:shd w:val="clear" w:color="auto" w:fill="00AFEF"/>
          </w:tcPr>
          <w:p>
            <w:pPr>
              <w:pStyle w:val="TableParagraph"/>
              <w:spacing w:line="268" w:lineRule="exact"/>
              <w:ind w:left="107"/>
              <w:rPr>
                <w:rFonts w:ascii="Calibri"/>
                <w:sz w:val="22"/>
              </w:rPr>
            </w:pPr>
            <w:r>
              <w:rPr>
                <w:rFonts w:ascii="Calibri"/>
                <w:sz w:val="22"/>
              </w:rPr>
              <w:t>Colloidal gold</w:t>
            </w:r>
          </w:p>
        </w:tc>
        <w:tc>
          <w:tcPr>
            <w:tcW w:w="849" w:type="dxa"/>
          </w:tcPr>
          <w:p>
            <w:pPr>
              <w:pStyle w:val="TableParagraph"/>
              <w:spacing w:line="268" w:lineRule="exact"/>
              <w:ind w:left="158"/>
              <w:rPr>
                <w:rFonts w:ascii="Calibri"/>
                <w:sz w:val="22"/>
              </w:rPr>
            </w:pPr>
            <w:r>
              <w:rPr>
                <w:rFonts w:ascii="Calibri"/>
                <w:sz w:val="22"/>
              </w:rPr>
              <w:t>642</w:t>
            </w:r>
          </w:p>
        </w:tc>
        <w:tc>
          <w:tcPr>
            <w:tcW w:w="1418" w:type="dxa"/>
          </w:tcPr>
          <w:p>
            <w:pPr>
              <w:pStyle w:val="TableParagraph"/>
              <w:spacing w:line="268" w:lineRule="exact"/>
              <w:ind w:left="459"/>
              <w:rPr>
                <w:rFonts w:ascii="Calibri"/>
                <w:sz w:val="22"/>
              </w:rPr>
            </w:pPr>
            <w:r>
              <w:rPr>
                <w:rFonts w:ascii="Calibri"/>
                <w:w w:val="100"/>
                <w:sz w:val="22"/>
              </w:rPr>
              <w:t>X</w:t>
            </w:r>
          </w:p>
        </w:tc>
        <w:tc>
          <w:tcPr>
            <w:tcW w:w="1275" w:type="dxa"/>
          </w:tcPr>
          <w:p>
            <w:pPr>
              <w:pStyle w:val="TableParagraph"/>
              <w:rPr>
                <w:rFonts w:ascii="Times New Roman"/>
                <w:sz w:val="22"/>
              </w:rPr>
            </w:pPr>
          </w:p>
        </w:tc>
        <w:tc>
          <w:tcPr>
            <w:tcW w:w="1985" w:type="dxa"/>
          </w:tcPr>
          <w:p>
            <w:pPr>
              <w:pStyle w:val="TableParagraph"/>
              <w:spacing w:line="268" w:lineRule="exact"/>
              <w:ind w:left="608"/>
              <w:rPr>
                <w:rFonts w:ascii="Calibri"/>
                <w:sz w:val="22"/>
              </w:rPr>
            </w:pPr>
            <w:r>
              <w:rPr>
                <w:rFonts w:ascii="Calibri"/>
                <w:w w:val="100"/>
                <w:sz w:val="22"/>
              </w:rPr>
              <w:t>X</w:t>
            </w:r>
          </w:p>
        </w:tc>
        <w:tc>
          <w:tcPr>
            <w:tcW w:w="2127" w:type="dxa"/>
          </w:tcPr>
          <w:p>
            <w:pPr>
              <w:pStyle w:val="TableParagraph"/>
              <w:spacing w:line="268" w:lineRule="exact"/>
              <w:ind w:left="108"/>
              <w:rPr>
                <w:rFonts w:ascii="Calibri"/>
                <w:sz w:val="22"/>
              </w:rPr>
            </w:pPr>
            <w:r>
              <w:rPr>
                <w:rFonts w:ascii="Calibri"/>
                <w:w w:val="100"/>
                <w:sz w:val="22"/>
              </w:rPr>
              <w:t>X</w:t>
            </w:r>
          </w:p>
        </w:tc>
        <w:tc>
          <w:tcPr>
            <w:tcW w:w="1843" w:type="dxa"/>
          </w:tcPr>
          <w:p>
            <w:pPr>
              <w:pStyle w:val="TableParagraph"/>
              <w:spacing w:line="268" w:lineRule="exact"/>
              <w:ind w:left="159"/>
              <w:rPr>
                <w:rFonts w:ascii="Calibri"/>
                <w:sz w:val="22"/>
              </w:rPr>
            </w:pPr>
            <w:r>
              <w:rPr>
                <w:rFonts w:ascii="Calibri"/>
                <w:w w:val="100"/>
                <w:sz w:val="22"/>
              </w:rPr>
              <w:t>X</w:t>
            </w:r>
          </w:p>
        </w:tc>
        <w:tc>
          <w:tcPr>
            <w:tcW w:w="1985" w:type="dxa"/>
          </w:tcPr>
          <w:p>
            <w:pPr>
              <w:pStyle w:val="TableParagraph"/>
              <w:spacing w:line="268" w:lineRule="exact"/>
              <w:ind w:left="160"/>
              <w:rPr>
                <w:rFonts w:ascii="Calibri"/>
                <w:sz w:val="22"/>
              </w:rPr>
            </w:pPr>
            <w:r>
              <w:rPr>
                <w:rFonts w:ascii="Calibri"/>
                <w:w w:val="100"/>
                <w:sz w:val="22"/>
              </w:rPr>
              <w:t>X</w:t>
            </w:r>
          </w:p>
        </w:tc>
        <w:tc>
          <w:tcPr>
            <w:tcW w:w="4242" w:type="dxa"/>
          </w:tcPr>
          <w:p>
            <w:pPr>
              <w:pStyle w:val="TableParagraph"/>
              <w:spacing w:line="268" w:lineRule="exact"/>
              <w:ind w:left="707"/>
              <w:rPr>
                <w:rFonts w:ascii="Calibri"/>
                <w:sz w:val="22"/>
              </w:rPr>
            </w:pPr>
            <w:r>
              <w:rPr>
                <w:rFonts w:ascii="Calibri"/>
                <w:w w:val="100"/>
                <w:sz w:val="22"/>
              </w:rPr>
              <w:t>X</w:t>
            </w:r>
          </w:p>
        </w:tc>
      </w:tr>
      <w:tr>
        <w:trPr>
          <w:trHeight w:val="818" w:hRule="atLeast"/>
        </w:trPr>
        <w:tc>
          <w:tcPr>
            <w:tcW w:w="1668" w:type="dxa"/>
            <w:shd w:val="clear" w:color="auto" w:fill="00AFEF"/>
          </w:tcPr>
          <w:p>
            <w:pPr>
              <w:pStyle w:val="TableParagraph"/>
              <w:spacing w:line="278" w:lineRule="auto"/>
              <w:ind w:left="107" w:right="467"/>
              <w:rPr>
                <w:rFonts w:ascii="Calibri"/>
                <w:sz w:val="22"/>
              </w:rPr>
            </w:pPr>
            <w:r>
              <w:rPr>
                <w:rFonts w:ascii="Calibri"/>
                <w:sz w:val="22"/>
              </w:rPr>
              <w:t>Medicinal mushrooms</w:t>
            </w:r>
          </w:p>
        </w:tc>
        <w:tc>
          <w:tcPr>
            <w:tcW w:w="849" w:type="dxa"/>
          </w:tcPr>
          <w:p>
            <w:pPr>
              <w:pStyle w:val="TableParagraph"/>
              <w:spacing w:line="268" w:lineRule="exact"/>
              <w:ind w:left="158"/>
              <w:rPr>
                <w:rFonts w:ascii="Calibri"/>
                <w:sz w:val="22"/>
              </w:rPr>
            </w:pPr>
            <w:r>
              <w:rPr>
                <w:rFonts w:ascii="Calibri"/>
                <w:sz w:val="22"/>
              </w:rPr>
              <w:t>24</w:t>
            </w:r>
          </w:p>
        </w:tc>
        <w:tc>
          <w:tcPr>
            <w:tcW w:w="1418" w:type="dxa"/>
          </w:tcPr>
          <w:p>
            <w:pPr>
              <w:pStyle w:val="TableParagraph"/>
              <w:spacing w:line="268" w:lineRule="exact"/>
              <w:ind w:left="459"/>
              <w:rPr>
                <w:rFonts w:ascii="Calibri"/>
                <w:sz w:val="22"/>
              </w:rPr>
            </w:pPr>
            <w:r>
              <w:rPr>
                <w:rFonts w:ascii="Calibri"/>
                <w:w w:val="100"/>
                <w:sz w:val="22"/>
              </w:rPr>
              <w:t>X</w:t>
            </w:r>
          </w:p>
        </w:tc>
        <w:tc>
          <w:tcPr>
            <w:tcW w:w="1275" w:type="dxa"/>
          </w:tcPr>
          <w:p>
            <w:pPr>
              <w:pStyle w:val="TableParagraph"/>
              <w:spacing w:line="268" w:lineRule="exact"/>
              <w:ind w:left="556"/>
              <w:rPr>
                <w:rFonts w:ascii="Calibri"/>
                <w:sz w:val="22"/>
              </w:rPr>
            </w:pPr>
            <w:r>
              <w:rPr>
                <w:rFonts w:ascii="Calibri"/>
                <w:w w:val="100"/>
                <w:sz w:val="22"/>
              </w:rPr>
              <w:t>X</w:t>
            </w:r>
          </w:p>
        </w:tc>
        <w:tc>
          <w:tcPr>
            <w:tcW w:w="1985" w:type="dxa"/>
          </w:tcPr>
          <w:p>
            <w:pPr>
              <w:pStyle w:val="TableParagraph"/>
              <w:spacing w:line="268" w:lineRule="exact"/>
              <w:ind w:left="608"/>
              <w:rPr>
                <w:rFonts w:ascii="Calibri"/>
                <w:sz w:val="22"/>
              </w:rPr>
            </w:pPr>
            <w:r>
              <w:rPr>
                <w:rFonts w:ascii="Calibri"/>
                <w:w w:val="100"/>
                <w:sz w:val="22"/>
              </w:rPr>
              <w:t>X</w:t>
            </w:r>
          </w:p>
        </w:tc>
        <w:tc>
          <w:tcPr>
            <w:tcW w:w="2127" w:type="dxa"/>
          </w:tcPr>
          <w:p>
            <w:pPr>
              <w:pStyle w:val="TableParagraph"/>
              <w:rPr>
                <w:rFonts w:ascii="Times New Roman"/>
                <w:sz w:val="22"/>
              </w:rPr>
            </w:pPr>
          </w:p>
        </w:tc>
        <w:tc>
          <w:tcPr>
            <w:tcW w:w="1843" w:type="dxa"/>
          </w:tcPr>
          <w:p>
            <w:pPr>
              <w:pStyle w:val="TableParagraph"/>
              <w:rPr>
                <w:rFonts w:ascii="Times New Roman"/>
                <w:sz w:val="22"/>
              </w:rPr>
            </w:pPr>
          </w:p>
        </w:tc>
        <w:tc>
          <w:tcPr>
            <w:tcW w:w="1985" w:type="dxa"/>
          </w:tcPr>
          <w:p>
            <w:pPr>
              <w:pStyle w:val="TableParagraph"/>
              <w:rPr>
                <w:rFonts w:ascii="Times New Roman"/>
                <w:sz w:val="22"/>
              </w:rPr>
            </w:pPr>
          </w:p>
        </w:tc>
        <w:tc>
          <w:tcPr>
            <w:tcW w:w="4242" w:type="dxa"/>
          </w:tcPr>
          <w:p>
            <w:pPr>
              <w:pStyle w:val="TableParagraph"/>
              <w:spacing w:line="268" w:lineRule="exact"/>
              <w:ind w:left="707"/>
              <w:rPr>
                <w:rFonts w:ascii="Calibri"/>
                <w:sz w:val="22"/>
              </w:rPr>
            </w:pPr>
            <w:r>
              <w:rPr>
                <w:rFonts w:ascii="Calibri"/>
                <w:w w:val="100"/>
                <w:sz w:val="22"/>
              </w:rPr>
              <w:t>X</w:t>
            </w:r>
          </w:p>
        </w:tc>
      </w:tr>
      <w:tr>
        <w:trPr>
          <w:trHeight w:val="508" w:hRule="atLeast"/>
        </w:trPr>
        <w:tc>
          <w:tcPr>
            <w:tcW w:w="1668" w:type="dxa"/>
            <w:shd w:val="clear" w:color="auto" w:fill="00AFEF"/>
          </w:tcPr>
          <w:p>
            <w:pPr>
              <w:pStyle w:val="TableParagraph"/>
              <w:spacing w:line="268" w:lineRule="exact"/>
              <w:ind w:left="107"/>
              <w:rPr>
                <w:rFonts w:ascii="Calibri"/>
                <w:sz w:val="22"/>
              </w:rPr>
            </w:pPr>
            <w:r>
              <w:rPr>
                <w:rFonts w:ascii="Calibri"/>
                <w:sz w:val="22"/>
              </w:rPr>
              <w:t>DHEA</w:t>
            </w:r>
          </w:p>
        </w:tc>
        <w:tc>
          <w:tcPr>
            <w:tcW w:w="849" w:type="dxa"/>
          </w:tcPr>
          <w:p>
            <w:pPr>
              <w:pStyle w:val="TableParagraph"/>
              <w:spacing w:line="268" w:lineRule="exact"/>
              <w:ind w:left="158"/>
              <w:rPr>
                <w:rFonts w:ascii="Calibri"/>
                <w:sz w:val="22"/>
              </w:rPr>
            </w:pPr>
            <w:r>
              <w:rPr>
                <w:rFonts w:ascii="Calibri"/>
                <w:sz w:val="22"/>
              </w:rPr>
              <w:t>46</w:t>
            </w:r>
          </w:p>
        </w:tc>
        <w:tc>
          <w:tcPr>
            <w:tcW w:w="1418" w:type="dxa"/>
          </w:tcPr>
          <w:p>
            <w:pPr>
              <w:pStyle w:val="TableParagraph"/>
              <w:spacing w:line="268" w:lineRule="exact"/>
              <w:ind w:left="459"/>
              <w:rPr>
                <w:rFonts w:ascii="Calibri"/>
                <w:sz w:val="22"/>
              </w:rPr>
            </w:pPr>
            <w:r>
              <w:rPr>
                <w:rFonts w:ascii="Calibri"/>
                <w:w w:val="100"/>
                <w:sz w:val="22"/>
              </w:rPr>
              <w:t>X</w:t>
            </w:r>
          </w:p>
        </w:tc>
        <w:tc>
          <w:tcPr>
            <w:tcW w:w="1275" w:type="dxa"/>
          </w:tcPr>
          <w:p>
            <w:pPr>
              <w:pStyle w:val="TableParagraph"/>
              <w:rPr>
                <w:rFonts w:ascii="Times New Roman"/>
                <w:sz w:val="22"/>
              </w:rPr>
            </w:pPr>
          </w:p>
        </w:tc>
        <w:tc>
          <w:tcPr>
            <w:tcW w:w="1985" w:type="dxa"/>
          </w:tcPr>
          <w:p>
            <w:pPr>
              <w:pStyle w:val="TableParagraph"/>
              <w:spacing w:line="268" w:lineRule="exact"/>
              <w:ind w:left="608"/>
              <w:rPr>
                <w:rFonts w:ascii="Calibri"/>
                <w:sz w:val="22"/>
              </w:rPr>
            </w:pPr>
            <w:r>
              <w:rPr>
                <w:rFonts w:ascii="Calibri"/>
                <w:w w:val="100"/>
                <w:sz w:val="22"/>
              </w:rPr>
              <w:t>X</w:t>
            </w:r>
          </w:p>
        </w:tc>
        <w:tc>
          <w:tcPr>
            <w:tcW w:w="2127" w:type="dxa"/>
          </w:tcPr>
          <w:p>
            <w:pPr>
              <w:pStyle w:val="TableParagraph"/>
              <w:spacing w:line="268" w:lineRule="exact"/>
              <w:ind w:right="1293"/>
              <w:jc w:val="right"/>
              <w:rPr>
                <w:rFonts w:ascii="Calibri"/>
                <w:sz w:val="22"/>
              </w:rPr>
            </w:pPr>
            <w:r>
              <w:rPr>
                <w:rFonts w:ascii="Calibri"/>
                <w:w w:val="100"/>
                <w:sz w:val="22"/>
              </w:rPr>
              <w:t>X</w:t>
            </w:r>
          </w:p>
        </w:tc>
        <w:tc>
          <w:tcPr>
            <w:tcW w:w="1843" w:type="dxa"/>
          </w:tcPr>
          <w:p>
            <w:pPr>
              <w:pStyle w:val="TableParagraph"/>
              <w:rPr>
                <w:rFonts w:ascii="Times New Roman"/>
                <w:sz w:val="22"/>
              </w:rPr>
            </w:pPr>
          </w:p>
        </w:tc>
        <w:tc>
          <w:tcPr>
            <w:tcW w:w="1985" w:type="dxa"/>
          </w:tcPr>
          <w:p>
            <w:pPr>
              <w:pStyle w:val="TableParagraph"/>
              <w:spacing w:line="268" w:lineRule="exact"/>
              <w:ind w:left="154"/>
              <w:jc w:val="center"/>
              <w:rPr>
                <w:rFonts w:ascii="Calibri"/>
                <w:sz w:val="22"/>
              </w:rPr>
            </w:pPr>
            <w:r>
              <w:rPr>
                <w:rFonts w:ascii="Calibri"/>
                <w:w w:val="100"/>
                <w:sz w:val="22"/>
              </w:rPr>
              <w:t>X</w:t>
            </w:r>
          </w:p>
        </w:tc>
        <w:tc>
          <w:tcPr>
            <w:tcW w:w="4242" w:type="dxa"/>
          </w:tcPr>
          <w:p>
            <w:pPr>
              <w:pStyle w:val="TableParagraph"/>
              <w:spacing w:line="268" w:lineRule="exact"/>
              <w:ind w:left="707"/>
              <w:rPr>
                <w:rFonts w:ascii="Calibri"/>
                <w:sz w:val="22"/>
              </w:rPr>
            </w:pPr>
            <w:r>
              <w:rPr>
                <w:rFonts w:ascii="Calibri"/>
                <w:w w:val="100"/>
                <w:sz w:val="22"/>
              </w:rPr>
              <w:t>X</w:t>
            </w:r>
          </w:p>
        </w:tc>
      </w:tr>
      <w:tr>
        <w:trPr>
          <w:trHeight w:val="508" w:hRule="atLeast"/>
        </w:trPr>
        <w:tc>
          <w:tcPr>
            <w:tcW w:w="1668" w:type="dxa"/>
            <w:shd w:val="clear" w:color="auto" w:fill="00AFEF"/>
          </w:tcPr>
          <w:p>
            <w:pPr>
              <w:pStyle w:val="TableParagraph"/>
              <w:spacing w:line="268" w:lineRule="exact"/>
              <w:ind w:left="107"/>
              <w:rPr>
                <w:rFonts w:ascii="Calibri"/>
                <w:sz w:val="22"/>
              </w:rPr>
            </w:pPr>
            <w:r>
              <w:rPr>
                <w:rFonts w:ascii="Calibri"/>
                <w:sz w:val="22"/>
              </w:rPr>
              <w:t>Bromelain</w:t>
            </w:r>
          </w:p>
        </w:tc>
        <w:tc>
          <w:tcPr>
            <w:tcW w:w="849" w:type="dxa"/>
          </w:tcPr>
          <w:p>
            <w:pPr>
              <w:pStyle w:val="TableParagraph"/>
              <w:spacing w:line="268" w:lineRule="exact"/>
              <w:ind w:left="158"/>
              <w:rPr>
                <w:rFonts w:ascii="Calibri"/>
                <w:sz w:val="22"/>
              </w:rPr>
            </w:pPr>
            <w:r>
              <w:rPr>
                <w:rFonts w:ascii="Calibri"/>
                <w:sz w:val="22"/>
              </w:rPr>
              <w:t>62</w:t>
            </w:r>
          </w:p>
        </w:tc>
        <w:tc>
          <w:tcPr>
            <w:tcW w:w="1418" w:type="dxa"/>
          </w:tcPr>
          <w:p>
            <w:pPr>
              <w:pStyle w:val="TableParagraph"/>
              <w:spacing w:line="268" w:lineRule="exact"/>
              <w:ind w:left="459"/>
              <w:rPr>
                <w:rFonts w:ascii="Calibri"/>
                <w:sz w:val="22"/>
              </w:rPr>
            </w:pPr>
            <w:r>
              <w:rPr>
                <w:rFonts w:ascii="Calibri"/>
                <w:w w:val="100"/>
                <w:sz w:val="22"/>
              </w:rPr>
              <w:t>X</w:t>
            </w:r>
          </w:p>
        </w:tc>
        <w:tc>
          <w:tcPr>
            <w:tcW w:w="1275" w:type="dxa"/>
          </w:tcPr>
          <w:p>
            <w:pPr>
              <w:pStyle w:val="TableParagraph"/>
              <w:spacing w:line="268" w:lineRule="exact"/>
              <w:ind w:left="505"/>
              <w:rPr>
                <w:rFonts w:ascii="Calibri"/>
                <w:sz w:val="22"/>
              </w:rPr>
            </w:pPr>
            <w:r>
              <w:rPr>
                <w:rFonts w:ascii="Calibri"/>
                <w:w w:val="100"/>
                <w:sz w:val="22"/>
              </w:rPr>
              <w:t>X</w:t>
            </w:r>
          </w:p>
        </w:tc>
        <w:tc>
          <w:tcPr>
            <w:tcW w:w="1985" w:type="dxa"/>
          </w:tcPr>
          <w:p>
            <w:pPr>
              <w:pStyle w:val="TableParagraph"/>
              <w:spacing w:line="268" w:lineRule="exact"/>
              <w:ind w:left="608"/>
              <w:rPr>
                <w:rFonts w:ascii="Calibri"/>
                <w:sz w:val="22"/>
              </w:rPr>
            </w:pPr>
            <w:r>
              <w:rPr>
                <w:rFonts w:ascii="Calibri"/>
                <w:w w:val="100"/>
                <w:sz w:val="22"/>
              </w:rPr>
              <w:t>X</w:t>
            </w:r>
          </w:p>
        </w:tc>
        <w:tc>
          <w:tcPr>
            <w:tcW w:w="2127" w:type="dxa"/>
          </w:tcPr>
          <w:p>
            <w:pPr>
              <w:pStyle w:val="TableParagraph"/>
              <w:rPr>
                <w:rFonts w:ascii="Times New Roman"/>
                <w:sz w:val="22"/>
              </w:rPr>
            </w:pPr>
          </w:p>
        </w:tc>
        <w:tc>
          <w:tcPr>
            <w:tcW w:w="1843" w:type="dxa"/>
          </w:tcPr>
          <w:p>
            <w:pPr>
              <w:pStyle w:val="TableParagraph"/>
              <w:spacing w:line="268" w:lineRule="exact"/>
              <w:ind w:right="7"/>
              <w:jc w:val="center"/>
              <w:rPr>
                <w:rFonts w:ascii="Calibri"/>
                <w:sz w:val="22"/>
              </w:rPr>
            </w:pPr>
            <w:r>
              <w:rPr>
                <w:rFonts w:ascii="Calibri"/>
                <w:w w:val="100"/>
                <w:sz w:val="22"/>
              </w:rPr>
              <w:t>X</w:t>
            </w:r>
          </w:p>
        </w:tc>
        <w:tc>
          <w:tcPr>
            <w:tcW w:w="1985" w:type="dxa"/>
          </w:tcPr>
          <w:p>
            <w:pPr>
              <w:pStyle w:val="TableParagraph"/>
              <w:rPr>
                <w:rFonts w:ascii="Times New Roman"/>
                <w:sz w:val="22"/>
              </w:rPr>
            </w:pPr>
          </w:p>
        </w:tc>
        <w:tc>
          <w:tcPr>
            <w:tcW w:w="4242" w:type="dxa"/>
          </w:tcPr>
          <w:p>
            <w:pPr>
              <w:pStyle w:val="TableParagraph"/>
              <w:rPr>
                <w:rFonts w:ascii="Times New Roman"/>
                <w:sz w:val="22"/>
              </w:rPr>
            </w:pPr>
          </w:p>
        </w:tc>
      </w:tr>
      <w:tr>
        <w:trPr>
          <w:trHeight w:val="508" w:hRule="atLeast"/>
        </w:trPr>
        <w:tc>
          <w:tcPr>
            <w:tcW w:w="1668" w:type="dxa"/>
            <w:shd w:val="clear" w:color="auto" w:fill="00AFEF"/>
          </w:tcPr>
          <w:p>
            <w:pPr>
              <w:pStyle w:val="TableParagraph"/>
              <w:spacing w:line="268" w:lineRule="exact"/>
              <w:ind w:left="107"/>
              <w:rPr>
                <w:rFonts w:ascii="Calibri"/>
                <w:sz w:val="22"/>
              </w:rPr>
            </w:pPr>
            <w:r>
              <w:rPr>
                <w:rFonts w:ascii="Calibri"/>
                <w:sz w:val="22"/>
              </w:rPr>
              <w:t>Curcumin</w:t>
            </w:r>
          </w:p>
        </w:tc>
        <w:tc>
          <w:tcPr>
            <w:tcW w:w="849" w:type="dxa"/>
          </w:tcPr>
          <w:p>
            <w:pPr>
              <w:pStyle w:val="TableParagraph"/>
              <w:spacing w:line="268" w:lineRule="exact"/>
              <w:ind w:left="158"/>
              <w:rPr>
                <w:rFonts w:ascii="Calibri"/>
                <w:sz w:val="22"/>
              </w:rPr>
            </w:pPr>
            <w:r>
              <w:rPr>
                <w:rFonts w:ascii="Calibri"/>
                <w:sz w:val="22"/>
              </w:rPr>
              <w:t>80</w:t>
            </w:r>
          </w:p>
        </w:tc>
        <w:tc>
          <w:tcPr>
            <w:tcW w:w="1418" w:type="dxa"/>
          </w:tcPr>
          <w:p>
            <w:pPr>
              <w:pStyle w:val="TableParagraph"/>
              <w:spacing w:line="268" w:lineRule="exact"/>
              <w:ind w:left="459"/>
              <w:rPr>
                <w:rFonts w:ascii="Calibri"/>
                <w:sz w:val="22"/>
              </w:rPr>
            </w:pPr>
            <w:r>
              <w:rPr>
                <w:rFonts w:ascii="Calibri"/>
                <w:w w:val="100"/>
                <w:sz w:val="22"/>
              </w:rPr>
              <w:t>X</w:t>
            </w:r>
          </w:p>
        </w:tc>
        <w:tc>
          <w:tcPr>
            <w:tcW w:w="1275" w:type="dxa"/>
          </w:tcPr>
          <w:p>
            <w:pPr>
              <w:pStyle w:val="TableParagraph"/>
              <w:spacing w:line="268" w:lineRule="exact"/>
              <w:ind w:left="505"/>
              <w:rPr>
                <w:rFonts w:ascii="Calibri"/>
                <w:sz w:val="22"/>
              </w:rPr>
            </w:pPr>
            <w:r>
              <w:rPr>
                <w:rFonts w:ascii="Calibri"/>
                <w:w w:val="100"/>
                <w:sz w:val="22"/>
              </w:rPr>
              <w:t>X</w:t>
            </w:r>
          </w:p>
        </w:tc>
        <w:tc>
          <w:tcPr>
            <w:tcW w:w="1985" w:type="dxa"/>
          </w:tcPr>
          <w:p>
            <w:pPr>
              <w:pStyle w:val="TableParagraph"/>
              <w:spacing w:line="268" w:lineRule="exact"/>
              <w:ind w:left="608"/>
              <w:rPr>
                <w:rFonts w:ascii="Calibri"/>
                <w:sz w:val="22"/>
              </w:rPr>
            </w:pPr>
            <w:r>
              <w:rPr>
                <w:rFonts w:ascii="Calibri"/>
                <w:w w:val="100"/>
                <w:sz w:val="22"/>
              </w:rPr>
              <w:t>X</w:t>
            </w:r>
          </w:p>
        </w:tc>
        <w:tc>
          <w:tcPr>
            <w:tcW w:w="2127" w:type="dxa"/>
          </w:tcPr>
          <w:p>
            <w:pPr>
              <w:pStyle w:val="TableParagraph"/>
              <w:rPr>
                <w:rFonts w:ascii="Times New Roman"/>
                <w:sz w:val="22"/>
              </w:rPr>
            </w:pPr>
          </w:p>
        </w:tc>
        <w:tc>
          <w:tcPr>
            <w:tcW w:w="1843" w:type="dxa"/>
          </w:tcPr>
          <w:p>
            <w:pPr>
              <w:pStyle w:val="TableParagraph"/>
              <w:rPr>
                <w:rFonts w:ascii="Times New Roman"/>
                <w:sz w:val="22"/>
              </w:rPr>
            </w:pPr>
          </w:p>
        </w:tc>
        <w:tc>
          <w:tcPr>
            <w:tcW w:w="1985" w:type="dxa"/>
          </w:tcPr>
          <w:p>
            <w:pPr>
              <w:pStyle w:val="TableParagraph"/>
              <w:rPr>
                <w:rFonts w:ascii="Times New Roman"/>
                <w:sz w:val="22"/>
              </w:rPr>
            </w:pPr>
          </w:p>
        </w:tc>
        <w:tc>
          <w:tcPr>
            <w:tcW w:w="4242" w:type="dxa"/>
          </w:tcPr>
          <w:p>
            <w:pPr>
              <w:pStyle w:val="TableParagraph"/>
              <w:spacing w:line="268" w:lineRule="exact"/>
              <w:ind w:left="707"/>
              <w:rPr>
                <w:rFonts w:ascii="Calibri"/>
                <w:sz w:val="22"/>
              </w:rPr>
            </w:pPr>
            <w:r>
              <w:rPr>
                <w:rFonts w:ascii="Calibri"/>
                <w:w w:val="100"/>
                <w:sz w:val="22"/>
              </w:rPr>
              <w:t>X</w:t>
            </w:r>
          </w:p>
        </w:tc>
      </w:tr>
      <w:tr>
        <w:trPr>
          <w:trHeight w:val="510" w:hRule="atLeast"/>
        </w:trPr>
        <w:tc>
          <w:tcPr>
            <w:tcW w:w="1668" w:type="dxa"/>
            <w:shd w:val="clear" w:color="auto" w:fill="00AFEF"/>
          </w:tcPr>
          <w:p>
            <w:pPr>
              <w:pStyle w:val="TableParagraph"/>
              <w:spacing w:before="1"/>
              <w:ind w:left="107"/>
              <w:rPr>
                <w:rFonts w:ascii="Calibri"/>
                <w:sz w:val="22"/>
              </w:rPr>
            </w:pPr>
            <w:r>
              <w:rPr>
                <w:rFonts w:ascii="Calibri"/>
                <w:sz w:val="22"/>
              </w:rPr>
              <w:t>Ginkgo Biloba</w:t>
            </w:r>
          </w:p>
        </w:tc>
        <w:tc>
          <w:tcPr>
            <w:tcW w:w="849" w:type="dxa"/>
          </w:tcPr>
          <w:p>
            <w:pPr>
              <w:pStyle w:val="TableParagraph"/>
              <w:spacing w:before="1"/>
              <w:ind w:left="158"/>
              <w:rPr>
                <w:rFonts w:ascii="Calibri"/>
                <w:sz w:val="22"/>
              </w:rPr>
            </w:pPr>
            <w:r>
              <w:rPr>
                <w:rFonts w:ascii="Calibri"/>
                <w:sz w:val="22"/>
              </w:rPr>
              <w:t>92</w:t>
            </w:r>
          </w:p>
        </w:tc>
        <w:tc>
          <w:tcPr>
            <w:tcW w:w="1418" w:type="dxa"/>
          </w:tcPr>
          <w:p>
            <w:pPr>
              <w:pStyle w:val="TableParagraph"/>
              <w:spacing w:before="1"/>
              <w:ind w:left="459"/>
              <w:rPr>
                <w:rFonts w:ascii="Calibri"/>
                <w:sz w:val="22"/>
              </w:rPr>
            </w:pPr>
            <w:r>
              <w:rPr>
                <w:rFonts w:ascii="Calibri"/>
                <w:w w:val="100"/>
                <w:sz w:val="22"/>
              </w:rPr>
              <w:t>X</w:t>
            </w:r>
          </w:p>
        </w:tc>
        <w:tc>
          <w:tcPr>
            <w:tcW w:w="1275" w:type="dxa"/>
          </w:tcPr>
          <w:p>
            <w:pPr>
              <w:pStyle w:val="TableParagraph"/>
              <w:spacing w:before="1"/>
              <w:ind w:left="505"/>
              <w:rPr>
                <w:rFonts w:ascii="Calibri"/>
                <w:sz w:val="22"/>
              </w:rPr>
            </w:pPr>
            <w:r>
              <w:rPr>
                <w:rFonts w:ascii="Calibri"/>
                <w:w w:val="100"/>
                <w:sz w:val="22"/>
              </w:rPr>
              <w:t>X</w:t>
            </w:r>
          </w:p>
        </w:tc>
        <w:tc>
          <w:tcPr>
            <w:tcW w:w="1985" w:type="dxa"/>
          </w:tcPr>
          <w:p>
            <w:pPr>
              <w:pStyle w:val="TableParagraph"/>
              <w:spacing w:before="1"/>
              <w:ind w:left="608"/>
              <w:rPr>
                <w:rFonts w:ascii="Calibri"/>
                <w:sz w:val="22"/>
              </w:rPr>
            </w:pPr>
            <w:r>
              <w:rPr>
                <w:rFonts w:ascii="Calibri"/>
                <w:w w:val="100"/>
                <w:sz w:val="22"/>
              </w:rPr>
              <w:t>X</w:t>
            </w:r>
          </w:p>
        </w:tc>
        <w:tc>
          <w:tcPr>
            <w:tcW w:w="2127" w:type="dxa"/>
          </w:tcPr>
          <w:p>
            <w:pPr>
              <w:pStyle w:val="TableParagraph"/>
              <w:rPr>
                <w:rFonts w:ascii="Times New Roman"/>
                <w:sz w:val="22"/>
              </w:rPr>
            </w:pPr>
          </w:p>
        </w:tc>
        <w:tc>
          <w:tcPr>
            <w:tcW w:w="1843" w:type="dxa"/>
          </w:tcPr>
          <w:p>
            <w:pPr>
              <w:pStyle w:val="TableParagraph"/>
              <w:rPr>
                <w:rFonts w:ascii="Times New Roman"/>
                <w:sz w:val="22"/>
              </w:rPr>
            </w:pPr>
          </w:p>
        </w:tc>
        <w:tc>
          <w:tcPr>
            <w:tcW w:w="1985" w:type="dxa"/>
          </w:tcPr>
          <w:p>
            <w:pPr>
              <w:pStyle w:val="TableParagraph"/>
              <w:spacing w:before="1"/>
              <w:ind w:left="154"/>
              <w:jc w:val="center"/>
              <w:rPr>
                <w:rFonts w:ascii="Calibri"/>
                <w:sz w:val="22"/>
              </w:rPr>
            </w:pPr>
            <w:r>
              <w:rPr>
                <w:rFonts w:ascii="Calibri"/>
                <w:w w:val="100"/>
                <w:sz w:val="22"/>
              </w:rPr>
              <w:t>X</w:t>
            </w:r>
          </w:p>
        </w:tc>
        <w:tc>
          <w:tcPr>
            <w:tcW w:w="4242" w:type="dxa"/>
          </w:tcPr>
          <w:p>
            <w:pPr>
              <w:pStyle w:val="TableParagraph"/>
              <w:spacing w:before="1"/>
              <w:ind w:left="707"/>
              <w:rPr>
                <w:rFonts w:ascii="Calibri"/>
                <w:sz w:val="22"/>
              </w:rPr>
            </w:pPr>
            <w:r>
              <w:rPr>
                <w:rFonts w:ascii="Calibri"/>
                <w:w w:val="100"/>
                <w:sz w:val="22"/>
              </w:rPr>
              <w:t>X</w:t>
            </w:r>
          </w:p>
        </w:tc>
      </w:tr>
      <w:tr>
        <w:trPr>
          <w:trHeight w:val="508" w:hRule="atLeast"/>
        </w:trPr>
        <w:tc>
          <w:tcPr>
            <w:tcW w:w="1668" w:type="dxa"/>
            <w:shd w:val="clear" w:color="auto" w:fill="00AFEF"/>
          </w:tcPr>
          <w:p>
            <w:pPr>
              <w:pStyle w:val="TableParagraph"/>
              <w:spacing w:line="268" w:lineRule="exact"/>
              <w:ind w:left="107"/>
              <w:rPr>
                <w:rFonts w:ascii="Calibri"/>
                <w:sz w:val="22"/>
              </w:rPr>
            </w:pPr>
            <w:r>
              <w:rPr>
                <w:rFonts w:ascii="Calibri"/>
                <w:sz w:val="22"/>
              </w:rPr>
              <w:t>Pomegranate</w:t>
            </w:r>
          </w:p>
        </w:tc>
        <w:tc>
          <w:tcPr>
            <w:tcW w:w="849" w:type="dxa"/>
          </w:tcPr>
          <w:p>
            <w:pPr>
              <w:pStyle w:val="TableParagraph"/>
              <w:spacing w:line="268" w:lineRule="exact"/>
              <w:ind w:left="108"/>
              <w:rPr>
                <w:rFonts w:ascii="Calibri"/>
                <w:sz w:val="22"/>
              </w:rPr>
            </w:pPr>
            <w:r>
              <w:rPr>
                <w:rFonts w:ascii="Calibri"/>
                <w:sz w:val="22"/>
              </w:rPr>
              <w:t>111</w:t>
            </w:r>
          </w:p>
        </w:tc>
        <w:tc>
          <w:tcPr>
            <w:tcW w:w="1418" w:type="dxa"/>
          </w:tcPr>
          <w:p>
            <w:pPr>
              <w:pStyle w:val="TableParagraph"/>
              <w:spacing w:line="268" w:lineRule="exact"/>
              <w:ind w:left="459"/>
              <w:rPr>
                <w:rFonts w:ascii="Calibri"/>
                <w:sz w:val="22"/>
              </w:rPr>
            </w:pPr>
            <w:r>
              <w:rPr>
                <w:rFonts w:ascii="Calibri"/>
                <w:w w:val="100"/>
                <w:sz w:val="22"/>
              </w:rPr>
              <w:t>X</w:t>
            </w:r>
          </w:p>
        </w:tc>
        <w:tc>
          <w:tcPr>
            <w:tcW w:w="1275" w:type="dxa"/>
          </w:tcPr>
          <w:p>
            <w:pPr>
              <w:pStyle w:val="TableParagraph"/>
              <w:spacing w:line="268" w:lineRule="exact"/>
              <w:ind w:left="505"/>
              <w:rPr>
                <w:rFonts w:ascii="Calibri"/>
                <w:sz w:val="22"/>
              </w:rPr>
            </w:pPr>
            <w:r>
              <w:rPr>
                <w:rFonts w:ascii="Calibri"/>
                <w:w w:val="100"/>
                <w:sz w:val="22"/>
              </w:rPr>
              <w:t>X</w:t>
            </w:r>
          </w:p>
        </w:tc>
        <w:tc>
          <w:tcPr>
            <w:tcW w:w="1985" w:type="dxa"/>
          </w:tcPr>
          <w:p>
            <w:pPr>
              <w:pStyle w:val="TableParagraph"/>
              <w:spacing w:line="268" w:lineRule="exact"/>
              <w:ind w:left="608"/>
              <w:rPr>
                <w:rFonts w:ascii="Calibri"/>
                <w:sz w:val="22"/>
              </w:rPr>
            </w:pPr>
            <w:r>
              <w:rPr>
                <w:rFonts w:ascii="Calibri"/>
                <w:w w:val="100"/>
                <w:sz w:val="22"/>
              </w:rPr>
              <w:t>X</w:t>
            </w:r>
          </w:p>
        </w:tc>
        <w:tc>
          <w:tcPr>
            <w:tcW w:w="2127" w:type="dxa"/>
          </w:tcPr>
          <w:p>
            <w:pPr>
              <w:pStyle w:val="TableParagraph"/>
              <w:spacing w:line="268" w:lineRule="exact"/>
              <w:ind w:right="1293"/>
              <w:jc w:val="right"/>
              <w:rPr>
                <w:rFonts w:ascii="Calibri"/>
                <w:sz w:val="22"/>
              </w:rPr>
            </w:pPr>
            <w:r>
              <w:rPr>
                <w:rFonts w:ascii="Calibri"/>
                <w:w w:val="100"/>
                <w:sz w:val="22"/>
              </w:rPr>
              <w:t>X</w:t>
            </w:r>
          </w:p>
        </w:tc>
        <w:tc>
          <w:tcPr>
            <w:tcW w:w="1843" w:type="dxa"/>
          </w:tcPr>
          <w:p>
            <w:pPr>
              <w:pStyle w:val="TableParagraph"/>
              <w:rPr>
                <w:rFonts w:ascii="Times New Roman"/>
                <w:sz w:val="22"/>
              </w:rPr>
            </w:pPr>
          </w:p>
        </w:tc>
        <w:tc>
          <w:tcPr>
            <w:tcW w:w="1985" w:type="dxa"/>
          </w:tcPr>
          <w:p>
            <w:pPr>
              <w:pStyle w:val="TableParagraph"/>
              <w:rPr>
                <w:rFonts w:ascii="Times New Roman"/>
                <w:sz w:val="22"/>
              </w:rPr>
            </w:pPr>
          </w:p>
        </w:tc>
        <w:tc>
          <w:tcPr>
            <w:tcW w:w="4242" w:type="dxa"/>
          </w:tcPr>
          <w:p>
            <w:pPr>
              <w:pStyle w:val="TableParagraph"/>
              <w:spacing w:line="268" w:lineRule="exact"/>
              <w:ind w:left="707"/>
              <w:rPr>
                <w:rFonts w:ascii="Calibri"/>
                <w:sz w:val="22"/>
              </w:rPr>
            </w:pPr>
            <w:r>
              <w:rPr>
                <w:rFonts w:ascii="Calibri"/>
                <w:w w:val="100"/>
                <w:sz w:val="22"/>
              </w:rPr>
              <w:t>X</w:t>
            </w:r>
          </w:p>
        </w:tc>
      </w:tr>
      <w:tr>
        <w:trPr>
          <w:trHeight w:val="508" w:hRule="atLeast"/>
        </w:trPr>
        <w:tc>
          <w:tcPr>
            <w:tcW w:w="1668" w:type="dxa"/>
            <w:shd w:val="clear" w:color="auto" w:fill="00AFEF"/>
          </w:tcPr>
          <w:p>
            <w:pPr>
              <w:pStyle w:val="TableParagraph"/>
              <w:spacing w:line="268" w:lineRule="exact"/>
              <w:ind w:left="107"/>
              <w:rPr>
                <w:rFonts w:ascii="Calibri"/>
                <w:sz w:val="22"/>
              </w:rPr>
            </w:pPr>
            <w:r>
              <w:rPr>
                <w:rFonts w:ascii="Calibri"/>
                <w:sz w:val="22"/>
              </w:rPr>
              <w:t>Melatonin</w:t>
            </w:r>
          </w:p>
        </w:tc>
        <w:tc>
          <w:tcPr>
            <w:tcW w:w="849" w:type="dxa"/>
          </w:tcPr>
          <w:p>
            <w:pPr>
              <w:pStyle w:val="TableParagraph"/>
              <w:spacing w:line="268" w:lineRule="exact"/>
              <w:ind w:left="108"/>
              <w:rPr>
                <w:rFonts w:ascii="Calibri"/>
                <w:sz w:val="22"/>
              </w:rPr>
            </w:pPr>
            <w:r>
              <w:rPr>
                <w:rFonts w:ascii="Calibri"/>
                <w:sz w:val="22"/>
              </w:rPr>
              <w:t>143</w:t>
            </w:r>
          </w:p>
        </w:tc>
        <w:tc>
          <w:tcPr>
            <w:tcW w:w="1418" w:type="dxa"/>
          </w:tcPr>
          <w:p>
            <w:pPr>
              <w:pStyle w:val="TableParagraph"/>
              <w:rPr>
                <w:rFonts w:ascii="Times New Roman"/>
                <w:sz w:val="22"/>
              </w:rPr>
            </w:pPr>
          </w:p>
        </w:tc>
        <w:tc>
          <w:tcPr>
            <w:tcW w:w="1275" w:type="dxa"/>
          </w:tcPr>
          <w:p>
            <w:pPr>
              <w:pStyle w:val="TableParagraph"/>
              <w:rPr>
                <w:rFonts w:ascii="Times New Roman"/>
                <w:sz w:val="22"/>
              </w:rPr>
            </w:pPr>
          </w:p>
        </w:tc>
        <w:tc>
          <w:tcPr>
            <w:tcW w:w="1985" w:type="dxa"/>
          </w:tcPr>
          <w:p>
            <w:pPr>
              <w:pStyle w:val="TableParagraph"/>
              <w:spacing w:line="268" w:lineRule="exact"/>
              <w:ind w:left="608"/>
              <w:rPr>
                <w:rFonts w:ascii="Calibri"/>
                <w:sz w:val="22"/>
              </w:rPr>
            </w:pPr>
            <w:r>
              <w:rPr>
                <w:rFonts w:ascii="Calibri"/>
                <w:w w:val="100"/>
                <w:sz w:val="22"/>
              </w:rPr>
              <w:t>X</w:t>
            </w:r>
          </w:p>
        </w:tc>
        <w:tc>
          <w:tcPr>
            <w:tcW w:w="2127" w:type="dxa"/>
          </w:tcPr>
          <w:p>
            <w:pPr>
              <w:pStyle w:val="TableParagraph"/>
              <w:spacing w:line="268" w:lineRule="exact"/>
              <w:ind w:right="1293"/>
              <w:jc w:val="right"/>
              <w:rPr>
                <w:rFonts w:ascii="Calibri"/>
                <w:sz w:val="22"/>
              </w:rPr>
            </w:pPr>
            <w:r>
              <w:rPr>
                <w:rFonts w:ascii="Calibri"/>
                <w:w w:val="100"/>
                <w:sz w:val="22"/>
              </w:rPr>
              <w:t>X</w:t>
            </w:r>
          </w:p>
        </w:tc>
        <w:tc>
          <w:tcPr>
            <w:tcW w:w="1843" w:type="dxa"/>
          </w:tcPr>
          <w:p>
            <w:pPr>
              <w:pStyle w:val="TableParagraph"/>
              <w:rPr>
                <w:rFonts w:ascii="Times New Roman"/>
                <w:sz w:val="22"/>
              </w:rPr>
            </w:pPr>
          </w:p>
        </w:tc>
        <w:tc>
          <w:tcPr>
            <w:tcW w:w="1985" w:type="dxa"/>
          </w:tcPr>
          <w:p>
            <w:pPr>
              <w:pStyle w:val="TableParagraph"/>
              <w:spacing w:line="268" w:lineRule="exact"/>
              <w:ind w:left="154"/>
              <w:jc w:val="center"/>
              <w:rPr>
                <w:rFonts w:ascii="Calibri"/>
                <w:sz w:val="22"/>
              </w:rPr>
            </w:pPr>
            <w:r>
              <w:rPr>
                <w:rFonts w:ascii="Calibri"/>
                <w:w w:val="100"/>
                <w:sz w:val="22"/>
              </w:rPr>
              <w:t>X</w:t>
            </w:r>
          </w:p>
        </w:tc>
        <w:tc>
          <w:tcPr>
            <w:tcW w:w="4242" w:type="dxa"/>
          </w:tcPr>
          <w:p>
            <w:pPr>
              <w:pStyle w:val="TableParagraph"/>
              <w:spacing w:line="268" w:lineRule="exact"/>
              <w:ind w:left="707"/>
              <w:rPr>
                <w:rFonts w:ascii="Calibri"/>
                <w:sz w:val="22"/>
              </w:rPr>
            </w:pPr>
            <w:r>
              <w:rPr>
                <w:rFonts w:ascii="Calibri"/>
                <w:w w:val="100"/>
                <w:sz w:val="22"/>
              </w:rPr>
              <w:t>X</w:t>
            </w:r>
          </w:p>
        </w:tc>
      </w:tr>
      <w:tr>
        <w:trPr>
          <w:trHeight w:val="508" w:hRule="atLeast"/>
        </w:trPr>
        <w:tc>
          <w:tcPr>
            <w:tcW w:w="1668" w:type="dxa"/>
            <w:shd w:val="clear" w:color="auto" w:fill="00AFEF"/>
          </w:tcPr>
          <w:p>
            <w:pPr>
              <w:pStyle w:val="TableParagraph"/>
              <w:spacing w:line="268" w:lineRule="exact"/>
              <w:ind w:left="107"/>
              <w:rPr>
                <w:rFonts w:ascii="Calibri"/>
                <w:sz w:val="22"/>
              </w:rPr>
            </w:pPr>
            <w:r>
              <w:rPr>
                <w:rFonts w:ascii="Calibri"/>
                <w:sz w:val="22"/>
              </w:rPr>
              <w:t>Vitamin C</w:t>
            </w:r>
          </w:p>
        </w:tc>
        <w:tc>
          <w:tcPr>
            <w:tcW w:w="849" w:type="dxa"/>
          </w:tcPr>
          <w:p>
            <w:pPr>
              <w:pStyle w:val="TableParagraph"/>
              <w:spacing w:line="268" w:lineRule="exact"/>
              <w:ind w:left="108"/>
              <w:rPr>
                <w:rFonts w:ascii="Calibri"/>
                <w:sz w:val="22"/>
              </w:rPr>
            </w:pPr>
            <w:r>
              <w:rPr>
                <w:rFonts w:ascii="Calibri"/>
                <w:sz w:val="22"/>
              </w:rPr>
              <w:t>187</w:t>
            </w:r>
          </w:p>
        </w:tc>
        <w:tc>
          <w:tcPr>
            <w:tcW w:w="1418" w:type="dxa"/>
          </w:tcPr>
          <w:p>
            <w:pPr>
              <w:pStyle w:val="TableParagraph"/>
              <w:spacing w:line="268" w:lineRule="exact"/>
              <w:ind w:left="459"/>
              <w:rPr>
                <w:rFonts w:ascii="Calibri"/>
                <w:sz w:val="22"/>
              </w:rPr>
            </w:pPr>
            <w:r>
              <w:rPr>
                <w:rFonts w:ascii="Calibri"/>
                <w:w w:val="100"/>
                <w:sz w:val="22"/>
              </w:rPr>
              <w:t>X</w:t>
            </w:r>
          </w:p>
        </w:tc>
        <w:tc>
          <w:tcPr>
            <w:tcW w:w="1275" w:type="dxa"/>
          </w:tcPr>
          <w:p>
            <w:pPr>
              <w:pStyle w:val="TableParagraph"/>
              <w:spacing w:line="268" w:lineRule="exact"/>
              <w:ind w:left="505"/>
              <w:rPr>
                <w:rFonts w:ascii="Calibri"/>
                <w:sz w:val="22"/>
              </w:rPr>
            </w:pPr>
            <w:r>
              <w:rPr>
                <w:rFonts w:ascii="Calibri"/>
                <w:w w:val="100"/>
                <w:sz w:val="22"/>
              </w:rPr>
              <w:t>X</w:t>
            </w:r>
          </w:p>
        </w:tc>
        <w:tc>
          <w:tcPr>
            <w:tcW w:w="1985" w:type="dxa"/>
          </w:tcPr>
          <w:p>
            <w:pPr>
              <w:pStyle w:val="TableParagraph"/>
              <w:spacing w:line="268" w:lineRule="exact"/>
              <w:ind w:left="608"/>
              <w:rPr>
                <w:rFonts w:ascii="Calibri"/>
                <w:sz w:val="22"/>
              </w:rPr>
            </w:pPr>
            <w:r>
              <w:rPr>
                <w:rFonts w:ascii="Calibri"/>
                <w:w w:val="100"/>
                <w:sz w:val="22"/>
              </w:rPr>
              <w:t>X</w:t>
            </w:r>
          </w:p>
        </w:tc>
        <w:tc>
          <w:tcPr>
            <w:tcW w:w="2127" w:type="dxa"/>
          </w:tcPr>
          <w:p>
            <w:pPr>
              <w:pStyle w:val="TableParagraph"/>
              <w:spacing w:line="268" w:lineRule="exact"/>
              <w:ind w:right="1293"/>
              <w:jc w:val="right"/>
              <w:rPr>
                <w:rFonts w:ascii="Calibri"/>
                <w:sz w:val="22"/>
              </w:rPr>
            </w:pPr>
            <w:r>
              <w:rPr>
                <w:rFonts w:ascii="Calibri"/>
                <w:w w:val="100"/>
                <w:sz w:val="22"/>
              </w:rPr>
              <w:t>X</w:t>
            </w:r>
          </w:p>
        </w:tc>
        <w:tc>
          <w:tcPr>
            <w:tcW w:w="1843" w:type="dxa"/>
          </w:tcPr>
          <w:p>
            <w:pPr>
              <w:pStyle w:val="TableParagraph"/>
              <w:rPr>
                <w:rFonts w:ascii="Times New Roman"/>
                <w:sz w:val="22"/>
              </w:rPr>
            </w:pPr>
          </w:p>
        </w:tc>
        <w:tc>
          <w:tcPr>
            <w:tcW w:w="1985" w:type="dxa"/>
          </w:tcPr>
          <w:p>
            <w:pPr>
              <w:pStyle w:val="TableParagraph"/>
              <w:spacing w:line="268" w:lineRule="exact"/>
              <w:ind w:left="154"/>
              <w:jc w:val="center"/>
              <w:rPr>
                <w:rFonts w:ascii="Calibri"/>
                <w:sz w:val="22"/>
              </w:rPr>
            </w:pPr>
            <w:r>
              <w:rPr>
                <w:rFonts w:ascii="Calibri"/>
                <w:w w:val="100"/>
                <w:sz w:val="22"/>
              </w:rPr>
              <w:t>X</w:t>
            </w:r>
          </w:p>
        </w:tc>
        <w:tc>
          <w:tcPr>
            <w:tcW w:w="4242" w:type="dxa"/>
          </w:tcPr>
          <w:p>
            <w:pPr>
              <w:pStyle w:val="TableParagraph"/>
              <w:spacing w:line="268" w:lineRule="exact"/>
              <w:ind w:left="707"/>
              <w:rPr>
                <w:rFonts w:ascii="Calibri"/>
                <w:sz w:val="22"/>
              </w:rPr>
            </w:pPr>
            <w:r>
              <w:rPr>
                <w:rFonts w:ascii="Calibri"/>
                <w:w w:val="100"/>
                <w:sz w:val="22"/>
              </w:rPr>
              <w:t>X</w:t>
            </w:r>
          </w:p>
        </w:tc>
      </w:tr>
    </w:tbl>
    <w:p>
      <w:pPr>
        <w:spacing w:after="0" w:line="268" w:lineRule="exact"/>
        <w:rPr>
          <w:rFonts w:ascii="Calibri"/>
          <w:sz w:val="22"/>
        </w:rPr>
        <w:sectPr>
          <w:pgSz w:w="18630" w:h="11910" w:orient="landscape"/>
          <w:pgMar w:header="0" w:footer="404" w:top="840" w:bottom="600" w:left="740" w:right="8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8"/>
        <w:gridCol w:w="849"/>
        <w:gridCol w:w="1418"/>
        <w:gridCol w:w="1275"/>
        <w:gridCol w:w="1985"/>
        <w:gridCol w:w="2127"/>
        <w:gridCol w:w="1843"/>
        <w:gridCol w:w="1985"/>
        <w:gridCol w:w="4282"/>
      </w:tblGrid>
      <w:tr>
        <w:trPr>
          <w:trHeight w:val="508" w:hRule="atLeast"/>
        </w:trPr>
        <w:tc>
          <w:tcPr>
            <w:tcW w:w="1668" w:type="dxa"/>
            <w:shd w:val="clear" w:color="auto" w:fill="00AFEF"/>
          </w:tcPr>
          <w:p>
            <w:pPr>
              <w:pStyle w:val="TableParagraph"/>
              <w:spacing w:line="268" w:lineRule="exact"/>
              <w:ind w:left="107"/>
              <w:rPr>
                <w:rFonts w:ascii="Calibri"/>
                <w:sz w:val="22"/>
              </w:rPr>
            </w:pPr>
            <w:r>
              <w:rPr>
                <w:rFonts w:ascii="Calibri"/>
                <w:sz w:val="22"/>
              </w:rPr>
              <w:t>OPC</w:t>
            </w:r>
          </w:p>
        </w:tc>
        <w:tc>
          <w:tcPr>
            <w:tcW w:w="849" w:type="dxa"/>
          </w:tcPr>
          <w:p>
            <w:pPr>
              <w:pStyle w:val="TableParagraph"/>
              <w:spacing w:line="268" w:lineRule="exact"/>
              <w:ind w:left="108"/>
              <w:rPr>
                <w:rFonts w:ascii="Calibri"/>
                <w:sz w:val="22"/>
              </w:rPr>
            </w:pPr>
            <w:r>
              <w:rPr>
                <w:rFonts w:ascii="Calibri"/>
                <w:sz w:val="22"/>
              </w:rPr>
              <w:t>1094</w:t>
            </w:r>
          </w:p>
        </w:tc>
        <w:tc>
          <w:tcPr>
            <w:tcW w:w="1418" w:type="dxa"/>
          </w:tcPr>
          <w:p>
            <w:pPr>
              <w:pStyle w:val="TableParagraph"/>
              <w:spacing w:line="268" w:lineRule="exact"/>
              <w:ind w:left="459"/>
              <w:rPr>
                <w:rFonts w:ascii="Calibri"/>
                <w:sz w:val="22"/>
              </w:rPr>
            </w:pPr>
            <w:r>
              <w:rPr>
                <w:rFonts w:ascii="Calibri"/>
                <w:w w:val="100"/>
                <w:sz w:val="22"/>
              </w:rPr>
              <w:t>X</w:t>
            </w:r>
          </w:p>
        </w:tc>
        <w:tc>
          <w:tcPr>
            <w:tcW w:w="1275" w:type="dxa"/>
          </w:tcPr>
          <w:p>
            <w:pPr>
              <w:pStyle w:val="TableParagraph"/>
              <w:spacing w:line="268" w:lineRule="exact"/>
              <w:ind w:left="505"/>
              <w:rPr>
                <w:rFonts w:ascii="Calibri"/>
                <w:sz w:val="22"/>
              </w:rPr>
            </w:pPr>
            <w:r>
              <w:rPr>
                <w:rFonts w:ascii="Calibri"/>
                <w:w w:val="100"/>
                <w:sz w:val="22"/>
              </w:rPr>
              <w:t>X</w:t>
            </w:r>
          </w:p>
        </w:tc>
        <w:tc>
          <w:tcPr>
            <w:tcW w:w="1985" w:type="dxa"/>
          </w:tcPr>
          <w:p>
            <w:pPr>
              <w:pStyle w:val="TableParagraph"/>
              <w:rPr>
                <w:rFonts w:ascii="Times New Roman"/>
                <w:sz w:val="22"/>
              </w:rPr>
            </w:pPr>
          </w:p>
        </w:tc>
        <w:tc>
          <w:tcPr>
            <w:tcW w:w="2127" w:type="dxa"/>
          </w:tcPr>
          <w:p>
            <w:pPr>
              <w:pStyle w:val="TableParagraph"/>
              <w:spacing w:line="268" w:lineRule="exact"/>
              <w:ind w:left="706"/>
              <w:rPr>
                <w:rFonts w:ascii="Calibri"/>
                <w:sz w:val="22"/>
              </w:rPr>
            </w:pPr>
            <w:r>
              <w:rPr>
                <w:rFonts w:ascii="Calibri"/>
                <w:w w:val="100"/>
                <w:sz w:val="22"/>
              </w:rPr>
              <w:t>X</w:t>
            </w:r>
          </w:p>
        </w:tc>
        <w:tc>
          <w:tcPr>
            <w:tcW w:w="1843" w:type="dxa"/>
          </w:tcPr>
          <w:p>
            <w:pPr>
              <w:pStyle w:val="TableParagraph"/>
              <w:rPr>
                <w:rFonts w:ascii="Times New Roman"/>
                <w:sz w:val="22"/>
              </w:rPr>
            </w:pPr>
          </w:p>
        </w:tc>
        <w:tc>
          <w:tcPr>
            <w:tcW w:w="1985" w:type="dxa"/>
          </w:tcPr>
          <w:p>
            <w:pPr>
              <w:pStyle w:val="TableParagraph"/>
              <w:spacing w:line="268" w:lineRule="exact"/>
              <w:ind w:right="851"/>
              <w:jc w:val="right"/>
              <w:rPr>
                <w:rFonts w:ascii="Calibri"/>
                <w:sz w:val="22"/>
              </w:rPr>
            </w:pPr>
            <w:r>
              <w:rPr>
                <w:rFonts w:ascii="Calibri"/>
                <w:w w:val="100"/>
                <w:sz w:val="22"/>
              </w:rPr>
              <w:t>X</w:t>
            </w:r>
          </w:p>
        </w:tc>
        <w:tc>
          <w:tcPr>
            <w:tcW w:w="4282" w:type="dxa"/>
          </w:tcPr>
          <w:p>
            <w:pPr>
              <w:pStyle w:val="TableParagraph"/>
              <w:spacing w:line="268" w:lineRule="exact"/>
              <w:ind w:left="707"/>
              <w:rPr>
                <w:rFonts w:ascii="Calibri"/>
                <w:sz w:val="22"/>
              </w:rPr>
            </w:pPr>
            <w:r>
              <w:rPr>
                <w:rFonts w:ascii="Calibri"/>
                <w:w w:val="100"/>
                <w:sz w:val="22"/>
              </w:rPr>
              <w:t>X</w:t>
            </w:r>
          </w:p>
        </w:tc>
      </w:tr>
      <w:tr>
        <w:trPr>
          <w:trHeight w:val="508" w:hRule="atLeast"/>
        </w:trPr>
        <w:tc>
          <w:tcPr>
            <w:tcW w:w="1668" w:type="dxa"/>
            <w:shd w:val="clear" w:color="auto" w:fill="00AFEF"/>
          </w:tcPr>
          <w:p>
            <w:pPr>
              <w:pStyle w:val="TableParagraph"/>
              <w:spacing w:line="268" w:lineRule="exact"/>
              <w:ind w:left="107"/>
              <w:rPr>
                <w:rFonts w:ascii="Calibri"/>
                <w:sz w:val="22"/>
              </w:rPr>
            </w:pPr>
            <w:r>
              <w:rPr>
                <w:rFonts w:ascii="Calibri"/>
                <w:sz w:val="22"/>
              </w:rPr>
              <w:t>Papain</w:t>
            </w:r>
          </w:p>
        </w:tc>
        <w:tc>
          <w:tcPr>
            <w:tcW w:w="849" w:type="dxa"/>
          </w:tcPr>
          <w:p>
            <w:pPr>
              <w:pStyle w:val="TableParagraph"/>
              <w:spacing w:line="268" w:lineRule="exact"/>
              <w:ind w:left="108"/>
              <w:rPr>
                <w:rFonts w:ascii="Calibri"/>
                <w:sz w:val="22"/>
              </w:rPr>
            </w:pPr>
            <w:r>
              <w:rPr>
                <w:rFonts w:ascii="Calibri"/>
                <w:sz w:val="22"/>
              </w:rPr>
              <w:t>276</w:t>
            </w:r>
          </w:p>
        </w:tc>
        <w:tc>
          <w:tcPr>
            <w:tcW w:w="1418" w:type="dxa"/>
          </w:tcPr>
          <w:p>
            <w:pPr>
              <w:pStyle w:val="TableParagraph"/>
              <w:spacing w:line="268" w:lineRule="exact"/>
              <w:ind w:left="459"/>
              <w:rPr>
                <w:rFonts w:ascii="Calibri"/>
                <w:sz w:val="22"/>
              </w:rPr>
            </w:pPr>
            <w:r>
              <w:rPr>
                <w:rFonts w:ascii="Calibri"/>
                <w:w w:val="100"/>
                <w:sz w:val="22"/>
              </w:rPr>
              <w:t>X</w:t>
            </w:r>
          </w:p>
        </w:tc>
        <w:tc>
          <w:tcPr>
            <w:tcW w:w="1275" w:type="dxa"/>
          </w:tcPr>
          <w:p>
            <w:pPr>
              <w:pStyle w:val="TableParagraph"/>
              <w:spacing w:line="268" w:lineRule="exact"/>
              <w:ind w:left="505"/>
              <w:rPr>
                <w:rFonts w:ascii="Calibri"/>
                <w:sz w:val="22"/>
              </w:rPr>
            </w:pPr>
            <w:r>
              <w:rPr>
                <w:rFonts w:ascii="Calibri"/>
                <w:w w:val="100"/>
                <w:sz w:val="22"/>
              </w:rPr>
              <w:t>X</w:t>
            </w:r>
          </w:p>
        </w:tc>
        <w:tc>
          <w:tcPr>
            <w:tcW w:w="1985" w:type="dxa"/>
          </w:tcPr>
          <w:p>
            <w:pPr>
              <w:pStyle w:val="TableParagraph"/>
              <w:spacing w:line="268" w:lineRule="exact"/>
              <w:ind w:left="608"/>
              <w:rPr>
                <w:rFonts w:ascii="Calibri"/>
                <w:sz w:val="22"/>
              </w:rPr>
            </w:pPr>
            <w:r>
              <w:rPr>
                <w:rFonts w:ascii="Calibri"/>
                <w:w w:val="100"/>
                <w:sz w:val="22"/>
              </w:rPr>
              <w:t>X</w:t>
            </w:r>
          </w:p>
        </w:tc>
        <w:tc>
          <w:tcPr>
            <w:tcW w:w="2127" w:type="dxa"/>
          </w:tcPr>
          <w:p>
            <w:pPr>
              <w:pStyle w:val="TableParagraph"/>
              <w:rPr>
                <w:rFonts w:ascii="Times New Roman"/>
                <w:sz w:val="22"/>
              </w:rPr>
            </w:pPr>
          </w:p>
        </w:tc>
        <w:tc>
          <w:tcPr>
            <w:tcW w:w="1843" w:type="dxa"/>
          </w:tcPr>
          <w:p>
            <w:pPr>
              <w:pStyle w:val="TableParagraph"/>
              <w:spacing w:line="268" w:lineRule="exact"/>
              <w:ind w:left="807"/>
              <w:rPr>
                <w:rFonts w:ascii="Calibri"/>
                <w:sz w:val="22"/>
              </w:rPr>
            </w:pPr>
            <w:r>
              <w:rPr>
                <w:rFonts w:ascii="Calibri"/>
                <w:w w:val="100"/>
                <w:sz w:val="22"/>
              </w:rPr>
              <w:t>X</w:t>
            </w:r>
          </w:p>
        </w:tc>
        <w:tc>
          <w:tcPr>
            <w:tcW w:w="1985" w:type="dxa"/>
          </w:tcPr>
          <w:p>
            <w:pPr>
              <w:pStyle w:val="TableParagraph"/>
              <w:rPr>
                <w:rFonts w:ascii="Times New Roman"/>
                <w:sz w:val="22"/>
              </w:rPr>
            </w:pPr>
          </w:p>
        </w:tc>
        <w:tc>
          <w:tcPr>
            <w:tcW w:w="4282" w:type="dxa"/>
          </w:tcPr>
          <w:p>
            <w:pPr>
              <w:pStyle w:val="TableParagraph"/>
              <w:spacing w:line="268" w:lineRule="exact"/>
              <w:ind w:left="707"/>
              <w:rPr>
                <w:rFonts w:ascii="Calibri"/>
                <w:sz w:val="22"/>
              </w:rPr>
            </w:pPr>
            <w:r>
              <w:rPr>
                <w:rFonts w:ascii="Calibri"/>
                <w:w w:val="100"/>
                <w:sz w:val="22"/>
              </w:rPr>
              <w:t>X</w:t>
            </w:r>
          </w:p>
        </w:tc>
      </w:tr>
      <w:tr>
        <w:trPr>
          <w:trHeight w:val="508" w:hRule="atLeast"/>
        </w:trPr>
        <w:tc>
          <w:tcPr>
            <w:tcW w:w="1668" w:type="dxa"/>
            <w:shd w:val="clear" w:color="auto" w:fill="00AFEF"/>
          </w:tcPr>
          <w:p>
            <w:pPr>
              <w:pStyle w:val="TableParagraph"/>
              <w:spacing w:line="268" w:lineRule="exact"/>
              <w:ind w:left="107"/>
              <w:rPr>
                <w:rFonts w:ascii="Calibri"/>
                <w:sz w:val="22"/>
              </w:rPr>
            </w:pPr>
            <w:r>
              <w:rPr>
                <w:rFonts w:ascii="Calibri"/>
                <w:sz w:val="22"/>
              </w:rPr>
              <w:t>Kombucha</w:t>
            </w:r>
          </w:p>
        </w:tc>
        <w:tc>
          <w:tcPr>
            <w:tcW w:w="849" w:type="dxa"/>
          </w:tcPr>
          <w:p>
            <w:pPr>
              <w:pStyle w:val="TableParagraph"/>
              <w:spacing w:line="268" w:lineRule="exact"/>
              <w:ind w:left="108"/>
              <w:rPr>
                <w:rFonts w:ascii="Calibri"/>
                <w:sz w:val="22"/>
              </w:rPr>
            </w:pPr>
            <w:r>
              <w:rPr>
                <w:rFonts w:ascii="Calibri"/>
                <w:sz w:val="22"/>
              </w:rPr>
              <w:t>293</w:t>
            </w:r>
          </w:p>
        </w:tc>
        <w:tc>
          <w:tcPr>
            <w:tcW w:w="1418" w:type="dxa"/>
          </w:tcPr>
          <w:p>
            <w:pPr>
              <w:pStyle w:val="TableParagraph"/>
              <w:spacing w:line="268" w:lineRule="exact"/>
              <w:ind w:left="459"/>
              <w:rPr>
                <w:rFonts w:ascii="Calibri"/>
                <w:sz w:val="22"/>
              </w:rPr>
            </w:pPr>
            <w:r>
              <w:rPr>
                <w:rFonts w:ascii="Calibri"/>
                <w:w w:val="100"/>
                <w:sz w:val="22"/>
              </w:rPr>
              <w:t>X</w:t>
            </w:r>
          </w:p>
        </w:tc>
        <w:tc>
          <w:tcPr>
            <w:tcW w:w="1275" w:type="dxa"/>
          </w:tcPr>
          <w:p>
            <w:pPr>
              <w:pStyle w:val="TableParagraph"/>
              <w:rPr>
                <w:rFonts w:ascii="Times New Roman"/>
                <w:sz w:val="22"/>
              </w:rPr>
            </w:pPr>
          </w:p>
        </w:tc>
        <w:tc>
          <w:tcPr>
            <w:tcW w:w="1985" w:type="dxa"/>
          </w:tcPr>
          <w:p>
            <w:pPr>
              <w:pStyle w:val="TableParagraph"/>
              <w:spacing w:line="268" w:lineRule="exact"/>
              <w:ind w:left="608"/>
              <w:rPr>
                <w:rFonts w:ascii="Calibri"/>
                <w:sz w:val="22"/>
              </w:rPr>
            </w:pPr>
            <w:r>
              <w:rPr>
                <w:rFonts w:ascii="Calibri"/>
                <w:w w:val="100"/>
                <w:sz w:val="22"/>
              </w:rPr>
              <w:t>X</w:t>
            </w:r>
          </w:p>
        </w:tc>
        <w:tc>
          <w:tcPr>
            <w:tcW w:w="2127" w:type="dxa"/>
          </w:tcPr>
          <w:p>
            <w:pPr>
              <w:pStyle w:val="TableParagraph"/>
              <w:rPr>
                <w:rFonts w:ascii="Times New Roman"/>
                <w:sz w:val="22"/>
              </w:rPr>
            </w:pPr>
          </w:p>
        </w:tc>
        <w:tc>
          <w:tcPr>
            <w:tcW w:w="1843" w:type="dxa"/>
          </w:tcPr>
          <w:p>
            <w:pPr>
              <w:pStyle w:val="TableParagraph"/>
              <w:spacing w:line="268" w:lineRule="exact"/>
              <w:ind w:left="807"/>
              <w:rPr>
                <w:rFonts w:ascii="Calibri"/>
                <w:sz w:val="22"/>
              </w:rPr>
            </w:pPr>
            <w:r>
              <w:rPr>
                <w:rFonts w:ascii="Calibri"/>
                <w:w w:val="100"/>
                <w:sz w:val="22"/>
              </w:rPr>
              <w:t>X</w:t>
            </w:r>
          </w:p>
        </w:tc>
        <w:tc>
          <w:tcPr>
            <w:tcW w:w="1985" w:type="dxa"/>
          </w:tcPr>
          <w:p>
            <w:pPr>
              <w:pStyle w:val="TableParagraph"/>
              <w:spacing w:line="268" w:lineRule="exact"/>
              <w:ind w:right="851"/>
              <w:jc w:val="right"/>
              <w:rPr>
                <w:rFonts w:ascii="Calibri"/>
                <w:sz w:val="22"/>
              </w:rPr>
            </w:pPr>
            <w:r>
              <w:rPr>
                <w:rFonts w:ascii="Calibri"/>
                <w:w w:val="100"/>
                <w:sz w:val="22"/>
              </w:rPr>
              <w:t>X</w:t>
            </w:r>
          </w:p>
        </w:tc>
        <w:tc>
          <w:tcPr>
            <w:tcW w:w="4282" w:type="dxa"/>
          </w:tcPr>
          <w:p>
            <w:pPr>
              <w:pStyle w:val="TableParagraph"/>
              <w:rPr>
                <w:rFonts w:ascii="Times New Roman"/>
                <w:sz w:val="22"/>
              </w:rPr>
            </w:pPr>
          </w:p>
        </w:tc>
      </w:tr>
      <w:tr>
        <w:trPr>
          <w:trHeight w:val="817" w:hRule="atLeast"/>
        </w:trPr>
        <w:tc>
          <w:tcPr>
            <w:tcW w:w="1668" w:type="dxa"/>
            <w:shd w:val="clear" w:color="auto" w:fill="00AFEF"/>
          </w:tcPr>
          <w:p>
            <w:pPr>
              <w:pStyle w:val="TableParagraph"/>
              <w:spacing w:line="278" w:lineRule="auto"/>
              <w:ind w:left="107" w:right="383"/>
              <w:rPr>
                <w:rFonts w:ascii="Calibri"/>
                <w:sz w:val="22"/>
              </w:rPr>
            </w:pPr>
            <w:r>
              <w:rPr>
                <w:rFonts w:ascii="Calibri"/>
                <w:sz w:val="22"/>
              </w:rPr>
              <w:t>Acetyl-L-Car- nitine</w:t>
            </w:r>
          </w:p>
        </w:tc>
        <w:tc>
          <w:tcPr>
            <w:tcW w:w="849" w:type="dxa"/>
          </w:tcPr>
          <w:p>
            <w:pPr>
              <w:pStyle w:val="TableParagraph"/>
              <w:spacing w:line="268" w:lineRule="exact"/>
              <w:ind w:left="108"/>
              <w:rPr>
                <w:rFonts w:ascii="Calibri"/>
                <w:sz w:val="22"/>
              </w:rPr>
            </w:pPr>
            <w:r>
              <w:rPr>
                <w:rFonts w:ascii="Calibri"/>
                <w:sz w:val="22"/>
              </w:rPr>
              <w:t>347</w:t>
            </w:r>
          </w:p>
        </w:tc>
        <w:tc>
          <w:tcPr>
            <w:tcW w:w="1418" w:type="dxa"/>
          </w:tcPr>
          <w:p>
            <w:pPr>
              <w:pStyle w:val="TableParagraph"/>
              <w:spacing w:line="268" w:lineRule="exact"/>
              <w:ind w:left="459"/>
              <w:rPr>
                <w:rFonts w:ascii="Calibri"/>
                <w:sz w:val="22"/>
              </w:rPr>
            </w:pPr>
            <w:r>
              <w:rPr>
                <w:rFonts w:ascii="Calibri"/>
                <w:w w:val="100"/>
                <w:sz w:val="22"/>
              </w:rPr>
              <w:t>X</w:t>
            </w:r>
          </w:p>
        </w:tc>
        <w:tc>
          <w:tcPr>
            <w:tcW w:w="1275" w:type="dxa"/>
          </w:tcPr>
          <w:p>
            <w:pPr>
              <w:pStyle w:val="TableParagraph"/>
              <w:spacing w:line="268" w:lineRule="exact"/>
              <w:ind w:left="505"/>
              <w:rPr>
                <w:rFonts w:ascii="Calibri"/>
                <w:sz w:val="22"/>
              </w:rPr>
            </w:pPr>
            <w:r>
              <w:rPr>
                <w:rFonts w:ascii="Calibri"/>
                <w:w w:val="100"/>
                <w:sz w:val="22"/>
              </w:rPr>
              <w:t>X</w:t>
            </w:r>
          </w:p>
        </w:tc>
        <w:tc>
          <w:tcPr>
            <w:tcW w:w="1985" w:type="dxa"/>
          </w:tcPr>
          <w:p>
            <w:pPr>
              <w:pStyle w:val="TableParagraph"/>
              <w:spacing w:line="268" w:lineRule="exact"/>
              <w:ind w:left="608"/>
              <w:rPr>
                <w:rFonts w:ascii="Calibri"/>
                <w:sz w:val="22"/>
              </w:rPr>
            </w:pPr>
            <w:r>
              <w:rPr>
                <w:rFonts w:ascii="Calibri"/>
                <w:w w:val="100"/>
                <w:sz w:val="22"/>
              </w:rPr>
              <w:t>X</w:t>
            </w:r>
          </w:p>
        </w:tc>
        <w:tc>
          <w:tcPr>
            <w:tcW w:w="2127" w:type="dxa"/>
          </w:tcPr>
          <w:p>
            <w:pPr>
              <w:pStyle w:val="TableParagraph"/>
              <w:spacing w:line="268" w:lineRule="exact"/>
              <w:ind w:left="706"/>
              <w:rPr>
                <w:rFonts w:ascii="Calibri"/>
                <w:sz w:val="22"/>
              </w:rPr>
            </w:pPr>
            <w:r>
              <w:rPr>
                <w:rFonts w:ascii="Calibri"/>
                <w:w w:val="100"/>
                <w:sz w:val="22"/>
              </w:rPr>
              <w:t>X</w:t>
            </w:r>
          </w:p>
        </w:tc>
        <w:tc>
          <w:tcPr>
            <w:tcW w:w="1843" w:type="dxa"/>
          </w:tcPr>
          <w:p>
            <w:pPr>
              <w:pStyle w:val="TableParagraph"/>
              <w:rPr>
                <w:rFonts w:ascii="Times New Roman"/>
                <w:sz w:val="22"/>
              </w:rPr>
            </w:pPr>
          </w:p>
        </w:tc>
        <w:tc>
          <w:tcPr>
            <w:tcW w:w="1985" w:type="dxa"/>
          </w:tcPr>
          <w:p>
            <w:pPr>
              <w:pStyle w:val="TableParagraph"/>
              <w:rPr>
                <w:rFonts w:ascii="Times New Roman"/>
                <w:sz w:val="22"/>
              </w:rPr>
            </w:pPr>
          </w:p>
        </w:tc>
        <w:tc>
          <w:tcPr>
            <w:tcW w:w="4282" w:type="dxa"/>
          </w:tcPr>
          <w:p>
            <w:pPr>
              <w:pStyle w:val="TableParagraph"/>
              <w:spacing w:line="268" w:lineRule="exact"/>
              <w:ind w:left="707"/>
              <w:rPr>
                <w:rFonts w:ascii="Calibri"/>
                <w:sz w:val="22"/>
              </w:rPr>
            </w:pPr>
            <w:r>
              <w:rPr>
                <w:rFonts w:ascii="Calibri"/>
                <w:w w:val="100"/>
                <w:sz w:val="22"/>
              </w:rPr>
              <w:t>X</w:t>
            </w:r>
          </w:p>
        </w:tc>
      </w:tr>
      <w:tr>
        <w:trPr>
          <w:trHeight w:val="508" w:hRule="atLeast"/>
        </w:trPr>
        <w:tc>
          <w:tcPr>
            <w:tcW w:w="1668" w:type="dxa"/>
            <w:shd w:val="clear" w:color="auto" w:fill="00AFEF"/>
          </w:tcPr>
          <w:p>
            <w:pPr>
              <w:pStyle w:val="TableParagraph"/>
              <w:spacing w:line="268" w:lineRule="exact"/>
              <w:ind w:left="107"/>
              <w:rPr>
                <w:rFonts w:ascii="Calibri"/>
                <w:sz w:val="22"/>
              </w:rPr>
            </w:pPr>
            <w:r>
              <w:rPr>
                <w:rFonts w:ascii="Calibri"/>
                <w:sz w:val="22"/>
              </w:rPr>
              <w:t>Gotu Kola</w:t>
            </w:r>
          </w:p>
        </w:tc>
        <w:tc>
          <w:tcPr>
            <w:tcW w:w="849" w:type="dxa"/>
          </w:tcPr>
          <w:p>
            <w:pPr>
              <w:pStyle w:val="TableParagraph"/>
              <w:spacing w:line="268" w:lineRule="exact"/>
              <w:ind w:left="108"/>
              <w:rPr>
                <w:rFonts w:ascii="Calibri"/>
                <w:sz w:val="22"/>
              </w:rPr>
            </w:pPr>
            <w:r>
              <w:rPr>
                <w:rFonts w:ascii="Calibri"/>
                <w:sz w:val="22"/>
              </w:rPr>
              <w:t>376</w:t>
            </w:r>
          </w:p>
        </w:tc>
        <w:tc>
          <w:tcPr>
            <w:tcW w:w="1418" w:type="dxa"/>
          </w:tcPr>
          <w:p>
            <w:pPr>
              <w:pStyle w:val="TableParagraph"/>
              <w:spacing w:line="268" w:lineRule="exact"/>
              <w:ind w:left="459"/>
              <w:rPr>
                <w:rFonts w:ascii="Calibri"/>
                <w:sz w:val="22"/>
              </w:rPr>
            </w:pPr>
            <w:r>
              <w:rPr>
                <w:rFonts w:ascii="Calibri"/>
                <w:w w:val="100"/>
                <w:sz w:val="22"/>
              </w:rPr>
              <w:t>X</w:t>
            </w:r>
          </w:p>
        </w:tc>
        <w:tc>
          <w:tcPr>
            <w:tcW w:w="1275" w:type="dxa"/>
          </w:tcPr>
          <w:p>
            <w:pPr>
              <w:pStyle w:val="TableParagraph"/>
              <w:spacing w:line="268" w:lineRule="exact"/>
              <w:ind w:left="505"/>
              <w:rPr>
                <w:rFonts w:ascii="Calibri"/>
                <w:sz w:val="22"/>
              </w:rPr>
            </w:pPr>
            <w:r>
              <w:rPr>
                <w:rFonts w:ascii="Calibri"/>
                <w:w w:val="100"/>
                <w:sz w:val="22"/>
              </w:rPr>
              <w:t>X</w:t>
            </w:r>
          </w:p>
        </w:tc>
        <w:tc>
          <w:tcPr>
            <w:tcW w:w="1985" w:type="dxa"/>
          </w:tcPr>
          <w:p>
            <w:pPr>
              <w:pStyle w:val="TableParagraph"/>
              <w:spacing w:line="268" w:lineRule="exact"/>
              <w:ind w:left="608"/>
              <w:rPr>
                <w:rFonts w:ascii="Calibri"/>
                <w:sz w:val="22"/>
              </w:rPr>
            </w:pPr>
            <w:r>
              <w:rPr>
                <w:rFonts w:ascii="Calibri"/>
                <w:w w:val="100"/>
                <w:sz w:val="22"/>
              </w:rPr>
              <w:t>X</w:t>
            </w:r>
          </w:p>
        </w:tc>
        <w:tc>
          <w:tcPr>
            <w:tcW w:w="2127" w:type="dxa"/>
          </w:tcPr>
          <w:p>
            <w:pPr>
              <w:pStyle w:val="TableParagraph"/>
              <w:rPr>
                <w:rFonts w:ascii="Times New Roman"/>
                <w:sz w:val="22"/>
              </w:rPr>
            </w:pPr>
          </w:p>
        </w:tc>
        <w:tc>
          <w:tcPr>
            <w:tcW w:w="1843" w:type="dxa"/>
          </w:tcPr>
          <w:p>
            <w:pPr>
              <w:pStyle w:val="TableParagraph"/>
              <w:spacing w:line="268" w:lineRule="exact"/>
              <w:ind w:left="807"/>
              <w:rPr>
                <w:rFonts w:ascii="Calibri"/>
                <w:sz w:val="22"/>
              </w:rPr>
            </w:pPr>
            <w:r>
              <w:rPr>
                <w:rFonts w:ascii="Calibri"/>
                <w:w w:val="100"/>
                <w:sz w:val="22"/>
              </w:rPr>
              <w:t>X</w:t>
            </w:r>
          </w:p>
        </w:tc>
        <w:tc>
          <w:tcPr>
            <w:tcW w:w="1985" w:type="dxa"/>
          </w:tcPr>
          <w:p>
            <w:pPr>
              <w:pStyle w:val="TableParagraph"/>
              <w:spacing w:line="268" w:lineRule="exact"/>
              <w:ind w:right="851"/>
              <w:jc w:val="right"/>
              <w:rPr>
                <w:rFonts w:ascii="Calibri"/>
                <w:sz w:val="22"/>
              </w:rPr>
            </w:pPr>
            <w:r>
              <w:rPr>
                <w:rFonts w:ascii="Calibri"/>
                <w:w w:val="100"/>
                <w:sz w:val="22"/>
              </w:rPr>
              <w:t>X</w:t>
            </w:r>
          </w:p>
        </w:tc>
        <w:tc>
          <w:tcPr>
            <w:tcW w:w="4282" w:type="dxa"/>
          </w:tcPr>
          <w:p>
            <w:pPr>
              <w:pStyle w:val="TableParagraph"/>
              <w:spacing w:line="268" w:lineRule="exact"/>
              <w:ind w:left="707"/>
              <w:rPr>
                <w:rFonts w:ascii="Calibri"/>
                <w:sz w:val="22"/>
              </w:rPr>
            </w:pPr>
            <w:r>
              <w:rPr>
                <w:rFonts w:ascii="Calibri"/>
                <w:w w:val="100"/>
                <w:sz w:val="22"/>
              </w:rPr>
              <w:t>X</w:t>
            </w:r>
          </w:p>
        </w:tc>
      </w:tr>
    </w:tbl>
    <w:p>
      <w:pPr>
        <w:spacing w:after="0" w:line="268" w:lineRule="exact"/>
        <w:rPr>
          <w:rFonts w:ascii="Calibri"/>
          <w:sz w:val="22"/>
        </w:rPr>
        <w:sectPr>
          <w:pgSz w:w="18630" w:h="11910" w:orient="landscape"/>
          <w:pgMar w:header="0" w:footer="404" w:top="840" w:bottom="600" w:left="740" w:right="80"/>
        </w:sectPr>
      </w:pPr>
    </w:p>
    <w:p>
      <w:pPr>
        <w:pStyle w:val="BodyText"/>
        <w:rPr>
          <w:rFonts w:ascii="Courier New"/>
          <w:sz w:val="20"/>
        </w:rPr>
      </w:pPr>
    </w:p>
    <w:p>
      <w:pPr>
        <w:spacing w:before="235"/>
        <w:ind w:left="477" w:right="0" w:firstLine="0"/>
        <w:jc w:val="left"/>
        <w:rPr>
          <w:rFonts w:ascii="Cambria"/>
          <w:b/>
          <w:sz w:val="28"/>
        </w:rPr>
      </w:pPr>
      <w:r>
        <w:rPr>
          <w:rFonts w:ascii="Cambria"/>
          <w:b/>
          <w:color w:val="365F91"/>
          <w:sz w:val="28"/>
        </w:rPr>
        <w:t>ALPHA-LIPOIC ACID</w:t>
      </w:r>
    </w:p>
    <w:p>
      <w:pPr>
        <w:spacing w:before="251"/>
        <w:ind w:left="477" w:right="0" w:firstLine="0"/>
        <w:jc w:val="left"/>
        <w:rPr>
          <w:i/>
          <w:sz w:val="38"/>
        </w:rPr>
      </w:pPr>
      <w:r>
        <w:rPr>
          <w:i/>
          <w:sz w:val="38"/>
        </w:rPr>
        <w:t>What is alpha-lipoic acid (ALA)? - the key facts first</w:t>
      </w:r>
    </w:p>
    <w:p>
      <w:pPr>
        <w:pStyle w:val="BodyText"/>
        <w:spacing w:line="276" w:lineRule="auto" w:before="302"/>
        <w:ind w:left="477" w:right="132"/>
        <w:jc w:val="both"/>
      </w:pPr>
      <w:r>
        <w:rPr/>
        <w:t>Most scientists and researchers now agree that ageing</w:t>
      </w:r>
      <w:r>
        <w:rPr>
          <w:position w:val="9"/>
          <w:sz w:val="25"/>
        </w:rPr>
        <w:t>14 </w:t>
      </w:r>
      <w:r>
        <w:rPr/>
        <w:t>and most civilisation diseases</w:t>
      </w:r>
      <w:r>
        <w:rPr>
          <w:spacing w:val="-11"/>
        </w:rPr>
        <w:t> </w:t>
      </w:r>
      <w:r>
        <w:rPr/>
        <w:t>–</w:t>
      </w:r>
      <w:r>
        <w:rPr>
          <w:spacing w:val="-12"/>
        </w:rPr>
        <w:t> </w:t>
      </w:r>
      <w:r>
        <w:rPr/>
        <w:t>such</w:t>
      </w:r>
      <w:r>
        <w:rPr>
          <w:spacing w:val="-12"/>
        </w:rPr>
        <w:t> </w:t>
      </w:r>
      <w:r>
        <w:rPr/>
        <w:t>as</w:t>
      </w:r>
      <w:r>
        <w:rPr>
          <w:spacing w:val="-12"/>
        </w:rPr>
        <w:t> </w:t>
      </w:r>
      <w:r>
        <w:rPr/>
        <w:t>atherosclerosis,</w:t>
      </w:r>
      <w:r>
        <w:rPr>
          <w:spacing w:val="-11"/>
        </w:rPr>
        <w:t> </w:t>
      </w:r>
      <w:r>
        <w:rPr/>
        <w:t>cardiovascular</w:t>
      </w:r>
      <w:r>
        <w:rPr>
          <w:spacing w:val="-12"/>
        </w:rPr>
        <w:t> </w:t>
      </w:r>
      <w:r>
        <w:rPr/>
        <w:t>disease</w:t>
      </w:r>
      <w:r>
        <w:rPr>
          <w:spacing w:val="-10"/>
        </w:rPr>
        <w:t> </w:t>
      </w:r>
      <w:r>
        <w:rPr/>
        <w:t>and</w:t>
      </w:r>
      <w:r>
        <w:rPr>
          <w:spacing w:val="-11"/>
        </w:rPr>
        <w:t> </w:t>
      </w:r>
      <w:r>
        <w:rPr/>
        <w:t>stroke</w:t>
      </w:r>
      <w:r>
        <w:rPr>
          <w:spacing w:val="-11"/>
        </w:rPr>
        <w:t> </w:t>
      </w:r>
      <w:r>
        <w:rPr/>
        <w:t>(one</w:t>
      </w:r>
      <w:r>
        <w:rPr>
          <w:spacing w:val="-10"/>
        </w:rPr>
        <w:t> </w:t>
      </w:r>
      <w:r>
        <w:rPr/>
        <w:t>in</w:t>
      </w:r>
      <w:r>
        <w:rPr>
          <w:spacing w:val="-14"/>
        </w:rPr>
        <w:t> </w:t>
      </w:r>
      <w:r>
        <w:rPr/>
        <w:t>two people</w:t>
      </w:r>
      <w:r>
        <w:rPr>
          <w:spacing w:val="-5"/>
        </w:rPr>
        <w:t> </w:t>
      </w:r>
      <w:r>
        <w:rPr/>
        <w:t>dies</w:t>
      </w:r>
      <w:r>
        <w:rPr>
          <w:spacing w:val="-6"/>
        </w:rPr>
        <w:t> </w:t>
      </w:r>
      <w:r>
        <w:rPr/>
        <w:t>as</w:t>
      </w:r>
      <w:r>
        <w:rPr>
          <w:spacing w:val="-4"/>
        </w:rPr>
        <w:t> </w:t>
      </w:r>
      <w:r>
        <w:rPr/>
        <w:t>a</w:t>
      </w:r>
      <w:r>
        <w:rPr>
          <w:spacing w:val="-10"/>
        </w:rPr>
        <w:t> </w:t>
      </w:r>
      <w:r>
        <w:rPr/>
        <w:t>result</w:t>
      </w:r>
      <w:r>
        <w:rPr>
          <w:spacing w:val="-6"/>
        </w:rPr>
        <w:t> </w:t>
      </w:r>
      <w:r>
        <w:rPr/>
        <w:t>of</w:t>
      </w:r>
      <w:r>
        <w:rPr>
          <w:spacing w:val="-3"/>
        </w:rPr>
        <w:t> </w:t>
      </w:r>
      <w:r>
        <w:rPr/>
        <w:t>these!),</w:t>
      </w:r>
      <w:r>
        <w:rPr>
          <w:spacing w:val="-8"/>
        </w:rPr>
        <w:t> </w:t>
      </w:r>
      <w:r>
        <w:rPr/>
        <w:t>cancer</w:t>
      </w:r>
      <w:r>
        <w:rPr>
          <w:spacing w:val="1"/>
        </w:rPr>
        <w:t> </w:t>
      </w:r>
      <w:r>
        <w:rPr/>
        <w:t>(one</w:t>
      </w:r>
      <w:r>
        <w:rPr>
          <w:spacing w:val="-7"/>
        </w:rPr>
        <w:t> </w:t>
      </w:r>
      <w:r>
        <w:rPr/>
        <w:t>in</w:t>
      </w:r>
      <w:r>
        <w:rPr>
          <w:spacing w:val="-6"/>
        </w:rPr>
        <w:t> </w:t>
      </w:r>
      <w:r>
        <w:rPr/>
        <w:t>four</w:t>
      </w:r>
      <w:r>
        <w:rPr>
          <w:spacing w:val="-4"/>
        </w:rPr>
        <w:t> </w:t>
      </w:r>
      <w:r>
        <w:rPr/>
        <w:t>dies</w:t>
      </w:r>
      <w:r>
        <w:rPr>
          <w:spacing w:val="-3"/>
        </w:rPr>
        <w:t> </w:t>
      </w:r>
      <w:r>
        <w:rPr/>
        <w:t>as</w:t>
      </w:r>
      <w:r>
        <w:rPr>
          <w:spacing w:val="-6"/>
        </w:rPr>
        <w:t> </w:t>
      </w:r>
      <w:r>
        <w:rPr/>
        <w:t>a</w:t>
      </w:r>
      <w:r>
        <w:rPr>
          <w:spacing w:val="-4"/>
        </w:rPr>
        <w:t> </w:t>
      </w:r>
      <w:r>
        <w:rPr/>
        <w:t>result</w:t>
      </w:r>
      <w:r>
        <w:rPr>
          <w:spacing w:val="-5"/>
        </w:rPr>
        <w:t> </w:t>
      </w:r>
      <w:r>
        <w:rPr/>
        <w:t>of</w:t>
      </w:r>
      <w:r>
        <w:rPr>
          <w:spacing w:val="-3"/>
        </w:rPr>
        <w:t> </w:t>
      </w:r>
      <w:r>
        <w:rPr/>
        <w:t>cancer</w:t>
      </w:r>
      <w:r>
        <w:rPr>
          <w:position w:val="9"/>
          <w:sz w:val="25"/>
        </w:rPr>
        <w:t>15</w:t>
      </w:r>
      <w:r>
        <w:rPr/>
        <w:t>; taking bitter apricot kernels could prevent the disease!), diabetes, arthritis, Alz- heimer's, respiratory diseases, blood vessel diseases, cystic fibrosis, inflamma- tion, hepatitis, Down’s syndrome and many others – are largely due to cell oxi- dation, that is, the destruction of our body cells by so-called ‘free</w:t>
      </w:r>
      <w:r>
        <w:rPr>
          <w:spacing w:val="-14"/>
        </w:rPr>
        <w:t> </w:t>
      </w:r>
      <w:r>
        <w:rPr/>
        <w:t>radicals’.</w:t>
      </w:r>
    </w:p>
    <w:p>
      <w:pPr>
        <w:pStyle w:val="BodyText"/>
        <w:spacing w:line="276" w:lineRule="auto" w:before="241"/>
        <w:ind w:left="477" w:right="132"/>
        <w:jc w:val="both"/>
      </w:pPr>
      <w:r>
        <w:rPr/>
        <w:t>One must imagine iron, which begins to rust when left unprotected to the ef- fects of oxygen and water and is gradually destroyed; rust = oxidation! The ge- netic material (DNA) of each of our body cells is exposed to oxidative attacks by</w:t>
      </w:r>
      <w:r>
        <w:rPr>
          <w:spacing w:val="-16"/>
        </w:rPr>
        <w:t> </w:t>
      </w:r>
      <w:r>
        <w:rPr/>
        <w:t>free</w:t>
      </w:r>
      <w:r>
        <w:rPr>
          <w:spacing w:val="-16"/>
        </w:rPr>
        <w:t> </w:t>
      </w:r>
      <w:r>
        <w:rPr/>
        <w:t>radicals,</w:t>
      </w:r>
      <w:r>
        <w:rPr>
          <w:spacing w:val="-18"/>
        </w:rPr>
        <w:t> </w:t>
      </w:r>
      <w:r>
        <w:rPr/>
        <w:t>and</w:t>
      </w:r>
      <w:r>
        <w:rPr>
          <w:spacing w:val="-16"/>
        </w:rPr>
        <w:t> </w:t>
      </w:r>
      <w:r>
        <w:rPr/>
        <w:t>our</w:t>
      </w:r>
      <w:r>
        <w:rPr>
          <w:spacing w:val="-15"/>
        </w:rPr>
        <w:t> </w:t>
      </w:r>
      <w:r>
        <w:rPr/>
        <w:t>body</w:t>
      </w:r>
      <w:r>
        <w:rPr>
          <w:spacing w:val="-17"/>
        </w:rPr>
        <w:t> </w:t>
      </w:r>
      <w:r>
        <w:rPr/>
        <w:t>cells</w:t>
      </w:r>
      <w:r>
        <w:rPr>
          <w:spacing w:val="-17"/>
        </w:rPr>
        <w:t> </w:t>
      </w:r>
      <w:r>
        <w:rPr/>
        <w:t>are</w:t>
      </w:r>
      <w:r>
        <w:rPr>
          <w:spacing w:val="-16"/>
        </w:rPr>
        <w:t> </w:t>
      </w:r>
      <w:r>
        <w:rPr/>
        <w:t>gradually</w:t>
      </w:r>
      <w:r>
        <w:rPr>
          <w:spacing w:val="-15"/>
        </w:rPr>
        <w:t> </w:t>
      </w:r>
      <w:r>
        <w:rPr/>
        <w:t>destroyed,</w:t>
      </w:r>
      <w:r>
        <w:rPr>
          <w:spacing w:val="-16"/>
        </w:rPr>
        <w:t> </w:t>
      </w:r>
      <w:r>
        <w:rPr/>
        <w:t>just</w:t>
      </w:r>
      <w:r>
        <w:rPr>
          <w:spacing w:val="-16"/>
        </w:rPr>
        <w:t> </w:t>
      </w:r>
      <w:r>
        <w:rPr/>
        <w:t>like</w:t>
      </w:r>
      <w:r>
        <w:rPr>
          <w:spacing w:val="-18"/>
        </w:rPr>
        <w:t> </w:t>
      </w:r>
      <w:r>
        <w:rPr/>
        <w:t>the</w:t>
      </w:r>
      <w:r>
        <w:rPr>
          <w:spacing w:val="-14"/>
        </w:rPr>
        <w:t> </w:t>
      </w:r>
      <w:r>
        <w:rPr/>
        <w:t>iron</w:t>
      </w:r>
      <w:r>
        <w:rPr>
          <w:spacing w:val="-19"/>
        </w:rPr>
        <w:t> </w:t>
      </w:r>
      <w:r>
        <w:rPr/>
        <w:t>that is consumed by</w:t>
      </w:r>
      <w:r>
        <w:rPr>
          <w:spacing w:val="-1"/>
        </w:rPr>
        <w:t> </w:t>
      </w:r>
      <w:r>
        <w:rPr/>
        <w:t>rust.</w:t>
      </w:r>
    </w:p>
    <w:p>
      <w:pPr>
        <w:pStyle w:val="BodyText"/>
        <w:spacing w:line="276" w:lineRule="auto" w:before="240"/>
        <w:ind w:left="477" w:right="131"/>
        <w:jc w:val="both"/>
      </w:pPr>
      <w:r>
        <w:rPr/>
        <w:t>These</w:t>
      </w:r>
      <w:r>
        <w:rPr>
          <w:spacing w:val="-9"/>
        </w:rPr>
        <w:t> </w:t>
      </w:r>
      <w:r>
        <w:rPr/>
        <w:t>are</w:t>
      </w:r>
      <w:r>
        <w:rPr>
          <w:spacing w:val="-9"/>
        </w:rPr>
        <w:t> </w:t>
      </w:r>
      <w:r>
        <w:rPr/>
        <w:t>exactly</w:t>
      </w:r>
      <w:r>
        <w:rPr>
          <w:spacing w:val="-8"/>
        </w:rPr>
        <w:t> </w:t>
      </w:r>
      <w:r>
        <w:rPr/>
        <w:t>the</w:t>
      </w:r>
      <w:r>
        <w:rPr>
          <w:spacing w:val="-8"/>
        </w:rPr>
        <w:t> </w:t>
      </w:r>
      <w:r>
        <w:rPr/>
        <w:t>mechanisms</w:t>
      </w:r>
      <w:r>
        <w:rPr>
          <w:spacing w:val="-8"/>
        </w:rPr>
        <w:t> </w:t>
      </w:r>
      <w:r>
        <w:rPr/>
        <w:t>that</w:t>
      </w:r>
      <w:r>
        <w:rPr>
          <w:spacing w:val="-9"/>
        </w:rPr>
        <w:t> </w:t>
      </w:r>
      <w:r>
        <w:rPr/>
        <w:t>are</w:t>
      </w:r>
      <w:r>
        <w:rPr>
          <w:spacing w:val="-8"/>
        </w:rPr>
        <w:t> </w:t>
      </w:r>
      <w:r>
        <w:rPr/>
        <w:t>reflected</w:t>
      </w:r>
      <w:r>
        <w:rPr>
          <w:spacing w:val="-10"/>
        </w:rPr>
        <w:t> </w:t>
      </w:r>
      <w:r>
        <w:rPr/>
        <w:t>in</w:t>
      </w:r>
      <w:r>
        <w:rPr>
          <w:spacing w:val="-8"/>
        </w:rPr>
        <w:t> </w:t>
      </w:r>
      <w:r>
        <w:rPr/>
        <w:t>the</w:t>
      </w:r>
      <w:r>
        <w:rPr>
          <w:spacing w:val="-8"/>
        </w:rPr>
        <w:t> </w:t>
      </w:r>
      <w:r>
        <w:rPr/>
        <w:t>form</w:t>
      </w:r>
      <w:r>
        <w:rPr>
          <w:spacing w:val="-11"/>
        </w:rPr>
        <w:t> </w:t>
      </w:r>
      <w:r>
        <w:rPr/>
        <w:t>of</w:t>
      </w:r>
      <w:r>
        <w:rPr>
          <w:spacing w:val="-9"/>
        </w:rPr>
        <w:t> </w:t>
      </w:r>
      <w:r>
        <w:rPr/>
        <w:t>ageing</w:t>
      </w:r>
      <w:r>
        <w:rPr>
          <w:spacing w:val="-5"/>
        </w:rPr>
        <w:t> </w:t>
      </w:r>
      <w:r>
        <w:rPr/>
        <w:t>signs, and</w:t>
      </w:r>
      <w:r>
        <w:rPr>
          <w:spacing w:val="-8"/>
        </w:rPr>
        <w:t> </w:t>
      </w:r>
      <w:r>
        <w:rPr/>
        <w:t>are</w:t>
      </w:r>
      <w:r>
        <w:rPr>
          <w:spacing w:val="-7"/>
        </w:rPr>
        <w:t> </w:t>
      </w:r>
      <w:r>
        <w:rPr/>
        <w:t>those</w:t>
      </w:r>
      <w:r>
        <w:rPr>
          <w:spacing w:val="-9"/>
        </w:rPr>
        <w:t> </w:t>
      </w:r>
      <w:r>
        <w:rPr/>
        <w:t>that</w:t>
      </w:r>
      <w:r>
        <w:rPr>
          <w:spacing w:val="-8"/>
        </w:rPr>
        <w:t> </w:t>
      </w:r>
      <w:r>
        <w:rPr/>
        <w:t>age</w:t>
      </w:r>
      <w:r>
        <w:rPr>
          <w:spacing w:val="-7"/>
        </w:rPr>
        <w:t> </w:t>
      </w:r>
      <w:r>
        <w:rPr/>
        <w:t>our</w:t>
      </w:r>
      <w:r>
        <w:rPr>
          <w:spacing w:val="-9"/>
        </w:rPr>
        <w:t> </w:t>
      </w:r>
      <w:r>
        <w:rPr/>
        <w:t>body</w:t>
      </w:r>
      <w:r>
        <w:rPr>
          <w:spacing w:val="-12"/>
        </w:rPr>
        <w:t> </w:t>
      </w:r>
      <w:r>
        <w:rPr/>
        <w:t>and</w:t>
      </w:r>
      <w:r>
        <w:rPr>
          <w:spacing w:val="-7"/>
        </w:rPr>
        <w:t> </w:t>
      </w:r>
      <w:r>
        <w:rPr/>
        <w:t>lead</w:t>
      </w:r>
      <w:r>
        <w:rPr>
          <w:spacing w:val="-8"/>
        </w:rPr>
        <w:t> </w:t>
      </w:r>
      <w:r>
        <w:rPr/>
        <w:t>to</w:t>
      </w:r>
      <w:r>
        <w:rPr>
          <w:spacing w:val="-9"/>
        </w:rPr>
        <w:t> </w:t>
      </w:r>
      <w:r>
        <w:rPr/>
        <w:t>the</w:t>
      </w:r>
      <w:r>
        <w:rPr>
          <w:spacing w:val="-8"/>
        </w:rPr>
        <w:t> </w:t>
      </w:r>
      <w:r>
        <w:rPr/>
        <w:t>aforementioned</w:t>
      </w:r>
      <w:r>
        <w:rPr>
          <w:spacing w:val="-9"/>
        </w:rPr>
        <w:t> </w:t>
      </w:r>
      <w:r>
        <w:rPr/>
        <w:t>diseases!</w:t>
      </w:r>
      <w:r>
        <w:rPr>
          <w:spacing w:val="-5"/>
        </w:rPr>
        <w:t> </w:t>
      </w:r>
      <w:r>
        <w:rPr/>
        <w:t>While protective mechanisms such as galvanising, priming and painting are applied</w:t>
      </w:r>
      <w:r>
        <w:rPr>
          <w:spacing w:val="-59"/>
        </w:rPr>
        <w:t> </w:t>
      </w:r>
      <w:r>
        <w:rPr/>
        <w:t>to iron, as human beings, we have only one way to protect ourselves from oxida- tion and thus the destruction and premature ageing of our body: with the help of</w:t>
      </w:r>
      <w:r>
        <w:rPr>
          <w:spacing w:val="-10"/>
        </w:rPr>
        <w:t> </w:t>
      </w:r>
      <w:r>
        <w:rPr/>
        <w:t>so-called</w:t>
      </w:r>
      <w:r>
        <w:rPr>
          <w:spacing w:val="-11"/>
        </w:rPr>
        <w:t> </w:t>
      </w:r>
      <w:r>
        <w:rPr/>
        <w:t>antioxidants,</w:t>
      </w:r>
      <w:r>
        <w:rPr>
          <w:spacing w:val="-10"/>
        </w:rPr>
        <w:t> </w:t>
      </w:r>
      <w:r>
        <w:rPr/>
        <w:t>also</w:t>
      </w:r>
      <w:r>
        <w:rPr>
          <w:spacing w:val="-9"/>
        </w:rPr>
        <w:t> </w:t>
      </w:r>
      <w:r>
        <w:rPr/>
        <w:t>called</w:t>
      </w:r>
      <w:r>
        <w:rPr>
          <w:spacing w:val="-10"/>
        </w:rPr>
        <w:t> </w:t>
      </w:r>
      <w:r>
        <w:rPr/>
        <w:t>‘free</w:t>
      </w:r>
      <w:r>
        <w:rPr>
          <w:spacing w:val="-12"/>
        </w:rPr>
        <w:t> </w:t>
      </w:r>
      <w:r>
        <w:rPr/>
        <w:t>radical</w:t>
      </w:r>
      <w:r>
        <w:rPr>
          <w:spacing w:val="-10"/>
        </w:rPr>
        <w:t> </w:t>
      </w:r>
      <w:r>
        <w:rPr/>
        <w:t>scavengers’,</w:t>
      </w:r>
      <w:r>
        <w:rPr>
          <w:spacing w:val="-12"/>
        </w:rPr>
        <w:t> </w:t>
      </w:r>
      <w:r>
        <w:rPr/>
        <w:t>which</w:t>
      </w:r>
      <w:r>
        <w:rPr>
          <w:spacing w:val="-9"/>
        </w:rPr>
        <w:t> </w:t>
      </w:r>
      <w:r>
        <w:rPr/>
        <w:t>can</w:t>
      </w:r>
      <w:r>
        <w:rPr>
          <w:spacing w:val="-11"/>
        </w:rPr>
        <w:t> </w:t>
      </w:r>
      <w:r>
        <w:rPr/>
        <w:t>only</w:t>
      </w:r>
      <w:r>
        <w:rPr>
          <w:spacing w:val="-13"/>
        </w:rPr>
        <w:t> </w:t>
      </w:r>
      <w:r>
        <w:rPr/>
        <w:t>be</w:t>
      </w:r>
    </w:p>
    <w:p>
      <w:pPr>
        <w:pStyle w:val="BodyText"/>
        <w:spacing w:before="4"/>
        <w:rPr>
          <w:sz w:val="28"/>
        </w:rPr>
      </w:pPr>
      <w:r>
        <w:rPr/>
        <w:pict>
          <v:line style="position:absolute;mso-position-horizontal-relative:page;mso-position-vertical-relative:paragraph;z-index:-808;mso-wrap-distance-left:0;mso-wrap-distance-right:0" from="63.863998pt,18.311274pt" to="207.883998pt,18.311274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14 </w:t>
      </w:r>
      <w:r>
        <w:rPr>
          <w:sz w:val="20"/>
        </w:rPr>
        <w:t>‘Theory of Ageing’ by Harman and Perricone 2001</w:t>
      </w:r>
    </w:p>
    <w:p>
      <w:pPr>
        <w:spacing w:before="94"/>
        <w:ind w:left="477" w:right="0" w:firstLine="0"/>
        <w:jc w:val="left"/>
        <w:rPr>
          <w:sz w:val="20"/>
        </w:rPr>
      </w:pPr>
      <w:r>
        <w:rPr>
          <w:position w:val="5"/>
          <w:sz w:val="13"/>
        </w:rPr>
        <w:t>15 </w:t>
      </w:r>
      <w:r>
        <w:rPr>
          <w:sz w:val="20"/>
        </w:rPr>
        <w:t>https://gis.cdc.gov/Cancer/USCS/DataViz.html</w:t>
      </w:r>
    </w:p>
    <w:p>
      <w:pPr>
        <w:spacing w:after="0"/>
        <w:jc w:val="left"/>
        <w:rPr>
          <w:sz w:val="20"/>
        </w:rPr>
        <w:sectPr>
          <w:footerReference w:type="default" r:id="rId15"/>
          <w:pgSz w:w="14270" w:h="16850"/>
          <w:pgMar w:footer="1891" w:header="0" w:top="1600" w:bottom="2080" w:left="800" w:right="1280"/>
          <w:pgNumType w:start="86"/>
        </w:sectPr>
      </w:pPr>
    </w:p>
    <w:p>
      <w:pPr>
        <w:pStyle w:val="BodyText"/>
        <w:spacing w:line="276" w:lineRule="auto" w:before="181"/>
        <w:ind w:left="477" w:right="141"/>
        <w:jc w:val="both"/>
      </w:pPr>
      <w:r>
        <w:rPr/>
        <w:t>obtained through diet. So, antioxidants are, for our body cells, what rust pro- tection, primer and paint are for the metal on our car!</w:t>
      </w:r>
    </w:p>
    <w:p>
      <w:pPr>
        <w:pStyle w:val="BodyText"/>
        <w:spacing w:line="276" w:lineRule="auto" w:before="241"/>
        <w:ind w:left="477" w:right="135"/>
        <w:jc w:val="both"/>
      </w:pPr>
      <w:r>
        <w:rPr/>
        <w:t>Incidentally, scientists have found that human DNA has the potential to reach the age of about 120 years. If one succeeded in stopping cell oxidation, one could live to 120 years old! Of course, antioxidants play a key role as they are the only ones that protect the cells from</w:t>
      </w:r>
      <w:r>
        <w:rPr>
          <w:spacing w:val="-3"/>
        </w:rPr>
        <w:t> </w:t>
      </w:r>
      <w:r>
        <w:rPr/>
        <w:t>oxidation!</w:t>
      </w:r>
    </w:p>
    <w:p>
      <w:pPr>
        <w:pStyle w:val="BodyText"/>
        <w:spacing w:before="360"/>
        <w:ind w:left="477"/>
      </w:pPr>
      <w:r>
        <w:rPr/>
        <w:t>Can a healthy person really reach 120 years of</w:t>
      </w:r>
      <w:r>
        <w:rPr>
          <w:spacing w:val="-28"/>
        </w:rPr>
        <w:t> </w:t>
      </w:r>
      <w:r>
        <w:rPr/>
        <w:t>age?</w:t>
      </w:r>
    </w:p>
    <w:p>
      <w:pPr>
        <w:pStyle w:val="BodyText"/>
        <w:spacing w:line="276" w:lineRule="auto" w:before="304"/>
        <w:ind w:left="477" w:right="138"/>
        <w:jc w:val="both"/>
      </w:pPr>
      <w:r>
        <w:rPr/>
        <w:t>Our genetic plan, at least, allows for this, and the regular intake of effective antioxidants, such as alpha-lipoic acid (or ALA for short), could make this dream come true!</w:t>
      </w:r>
    </w:p>
    <w:p>
      <w:pPr>
        <w:pStyle w:val="BodyText"/>
        <w:spacing w:line="276" w:lineRule="auto" w:before="241"/>
        <w:ind w:left="477" w:right="130"/>
        <w:jc w:val="both"/>
      </w:pPr>
      <w:r>
        <w:rPr/>
        <w:t>In the following chapters, read more about one of the most important, if not THE</w:t>
      </w:r>
      <w:r>
        <w:rPr>
          <w:spacing w:val="-10"/>
        </w:rPr>
        <w:t> </w:t>
      </w:r>
      <w:r>
        <w:rPr/>
        <w:t>most</w:t>
      </w:r>
      <w:r>
        <w:rPr>
          <w:spacing w:val="-9"/>
        </w:rPr>
        <w:t> </w:t>
      </w:r>
      <w:r>
        <w:rPr/>
        <w:t>important,</w:t>
      </w:r>
      <w:r>
        <w:rPr>
          <w:spacing w:val="-9"/>
        </w:rPr>
        <w:t> </w:t>
      </w:r>
      <w:r>
        <w:rPr/>
        <w:t>antioxidant,</w:t>
      </w:r>
      <w:r>
        <w:rPr>
          <w:spacing w:val="-9"/>
        </w:rPr>
        <w:t> </w:t>
      </w:r>
      <w:r>
        <w:rPr/>
        <w:t>as</w:t>
      </w:r>
      <w:r>
        <w:rPr>
          <w:spacing w:val="-10"/>
        </w:rPr>
        <w:t> </w:t>
      </w:r>
      <w:r>
        <w:rPr/>
        <w:t>described</w:t>
      </w:r>
      <w:r>
        <w:rPr>
          <w:spacing w:val="-11"/>
        </w:rPr>
        <w:t> </w:t>
      </w:r>
      <w:r>
        <w:rPr/>
        <w:t>by</w:t>
      </w:r>
      <w:r>
        <w:rPr>
          <w:spacing w:val="-8"/>
        </w:rPr>
        <w:t> </w:t>
      </w:r>
      <w:r>
        <w:rPr/>
        <w:t>Prof.</w:t>
      </w:r>
      <w:r>
        <w:rPr>
          <w:spacing w:val="-11"/>
        </w:rPr>
        <w:t> </w:t>
      </w:r>
      <w:r>
        <w:rPr/>
        <w:t>Dr.</w:t>
      </w:r>
      <w:r>
        <w:rPr>
          <w:spacing w:val="-11"/>
        </w:rPr>
        <w:t> </w:t>
      </w:r>
      <w:r>
        <w:rPr/>
        <w:t>Lester</w:t>
      </w:r>
      <w:r>
        <w:rPr>
          <w:spacing w:val="-9"/>
        </w:rPr>
        <w:t> </w:t>
      </w:r>
      <w:r>
        <w:rPr/>
        <w:t>Packer,</w:t>
      </w:r>
      <w:r>
        <w:rPr>
          <w:spacing w:val="-10"/>
        </w:rPr>
        <w:t> </w:t>
      </w:r>
      <w:r>
        <w:rPr/>
        <w:t>one of the world's leading antioxidant researchers and Professor of Molecular Cell Biology at the renowned Berkeley University. Lipoic acid is one of the most powerful antioxidants known to man. Find out more about the amazing health benefits that Mother Nature provides with the gift of alpha-lipoic</w:t>
      </w:r>
      <w:r>
        <w:rPr>
          <w:spacing w:val="-10"/>
        </w:rPr>
        <w:t> </w:t>
      </w:r>
      <w:r>
        <w:rPr/>
        <w:t>acid!</w:t>
      </w:r>
    </w:p>
    <w:p>
      <w:pPr>
        <w:pStyle w:val="Heading2"/>
        <w:spacing w:before="241"/>
      </w:pPr>
      <w:r>
        <w:rPr/>
        <w:t>Did you know, that...</w:t>
      </w:r>
    </w:p>
    <w:p>
      <w:pPr>
        <w:pStyle w:val="ListParagraph"/>
        <w:numPr>
          <w:ilvl w:val="2"/>
          <w:numId w:val="8"/>
        </w:numPr>
        <w:tabs>
          <w:tab w:pos="1312" w:val="left" w:leader="none"/>
          <w:tab w:pos="1313" w:val="left" w:leader="none"/>
        </w:tabs>
        <w:spacing w:line="271" w:lineRule="auto" w:before="305" w:after="0"/>
        <w:ind w:left="1120" w:right="132" w:hanging="360"/>
        <w:jc w:val="left"/>
        <w:rPr>
          <w:sz w:val="38"/>
        </w:rPr>
      </w:pPr>
      <w:r>
        <w:rPr>
          <w:sz w:val="38"/>
        </w:rPr>
        <w:t>... most civilisation diseases (cancer, diabetes, Alzheimer's, Parkinson's, etc.) are due to the oxidation of the body</w:t>
      </w:r>
      <w:r>
        <w:rPr>
          <w:spacing w:val="1"/>
          <w:sz w:val="38"/>
        </w:rPr>
        <w:t> </w:t>
      </w:r>
      <w:r>
        <w:rPr>
          <w:sz w:val="38"/>
        </w:rPr>
        <w:t>cells?</w:t>
      </w:r>
    </w:p>
    <w:p>
      <w:pPr>
        <w:pStyle w:val="ListParagraph"/>
        <w:numPr>
          <w:ilvl w:val="2"/>
          <w:numId w:val="8"/>
        </w:numPr>
        <w:tabs>
          <w:tab w:pos="1312" w:val="left" w:leader="none"/>
          <w:tab w:pos="1313" w:val="left" w:leader="none"/>
        </w:tabs>
        <w:spacing w:line="240" w:lineRule="auto" w:before="252" w:after="0"/>
        <w:ind w:left="1120" w:right="0" w:hanging="360"/>
        <w:jc w:val="left"/>
        <w:rPr>
          <w:sz w:val="38"/>
        </w:rPr>
      </w:pPr>
      <w:r>
        <w:rPr>
          <w:sz w:val="38"/>
        </w:rPr>
        <w:t>... according to scientific findings, humans could become 120 years old</w:t>
      </w:r>
      <w:r>
        <w:rPr>
          <w:spacing w:val="20"/>
          <w:sz w:val="38"/>
        </w:rPr>
        <w:t> </w:t>
      </w:r>
      <w:r>
        <w:rPr>
          <w:sz w:val="38"/>
        </w:rPr>
        <w:t>if</w:t>
      </w:r>
    </w:p>
    <w:p>
      <w:pPr>
        <w:spacing w:after="0" w:line="240" w:lineRule="auto"/>
        <w:jc w:val="left"/>
        <w:rPr>
          <w:sz w:val="38"/>
        </w:rPr>
        <w:sectPr>
          <w:pgSz w:w="14270" w:h="16850"/>
          <w:pgMar w:header="0" w:footer="1891" w:top="1600" w:bottom="2080" w:left="800" w:right="1280"/>
        </w:sectPr>
      </w:pPr>
    </w:p>
    <w:p>
      <w:pPr>
        <w:pStyle w:val="BodyText"/>
        <w:spacing w:before="181"/>
        <w:ind w:left="1120"/>
      </w:pPr>
      <w:r>
        <w:rPr/>
        <w:t>the body cells did not oxidise?</w:t>
      </w:r>
    </w:p>
    <w:p>
      <w:pPr>
        <w:pStyle w:val="ListParagraph"/>
        <w:numPr>
          <w:ilvl w:val="2"/>
          <w:numId w:val="8"/>
        </w:numPr>
        <w:tabs>
          <w:tab w:pos="1312" w:val="left" w:leader="none"/>
          <w:tab w:pos="1313" w:val="left" w:leader="none"/>
        </w:tabs>
        <w:spacing w:line="271" w:lineRule="auto" w:before="306" w:after="0"/>
        <w:ind w:left="1120" w:right="141" w:hanging="360"/>
        <w:jc w:val="left"/>
        <w:rPr>
          <w:sz w:val="38"/>
        </w:rPr>
      </w:pPr>
      <w:r>
        <w:rPr>
          <w:sz w:val="38"/>
        </w:rPr>
        <w:t>...</w:t>
      </w:r>
      <w:r>
        <w:rPr>
          <w:spacing w:val="-14"/>
          <w:sz w:val="38"/>
        </w:rPr>
        <w:t> </w:t>
      </w:r>
      <w:r>
        <w:rPr>
          <w:sz w:val="38"/>
        </w:rPr>
        <w:t>there</w:t>
      </w:r>
      <w:r>
        <w:rPr>
          <w:spacing w:val="-15"/>
          <w:sz w:val="38"/>
        </w:rPr>
        <w:t> </w:t>
      </w:r>
      <w:r>
        <w:rPr>
          <w:sz w:val="38"/>
        </w:rPr>
        <w:t>is</w:t>
      </w:r>
      <w:r>
        <w:rPr>
          <w:spacing w:val="-15"/>
          <w:sz w:val="38"/>
        </w:rPr>
        <w:t> </w:t>
      </w:r>
      <w:r>
        <w:rPr>
          <w:sz w:val="38"/>
        </w:rPr>
        <w:t>one</w:t>
      </w:r>
      <w:r>
        <w:rPr>
          <w:spacing w:val="-15"/>
          <w:sz w:val="38"/>
        </w:rPr>
        <w:t> </w:t>
      </w:r>
      <w:r>
        <w:rPr>
          <w:sz w:val="38"/>
        </w:rPr>
        <w:t>sole</w:t>
      </w:r>
      <w:r>
        <w:rPr>
          <w:spacing w:val="-15"/>
          <w:sz w:val="38"/>
        </w:rPr>
        <w:t> </w:t>
      </w:r>
      <w:r>
        <w:rPr>
          <w:sz w:val="38"/>
        </w:rPr>
        <w:t>means</w:t>
      </w:r>
      <w:r>
        <w:rPr>
          <w:spacing w:val="-14"/>
          <w:sz w:val="38"/>
        </w:rPr>
        <w:t> </w:t>
      </w:r>
      <w:r>
        <w:rPr>
          <w:sz w:val="38"/>
        </w:rPr>
        <w:t>of</w:t>
      </w:r>
      <w:r>
        <w:rPr>
          <w:spacing w:val="-14"/>
          <w:sz w:val="38"/>
        </w:rPr>
        <w:t> </w:t>
      </w:r>
      <w:r>
        <w:rPr>
          <w:sz w:val="38"/>
        </w:rPr>
        <w:t>protection</w:t>
      </w:r>
      <w:r>
        <w:rPr>
          <w:spacing w:val="-14"/>
          <w:sz w:val="38"/>
        </w:rPr>
        <w:t> </w:t>
      </w:r>
      <w:r>
        <w:rPr>
          <w:sz w:val="38"/>
        </w:rPr>
        <w:t>against</w:t>
      </w:r>
      <w:r>
        <w:rPr>
          <w:spacing w:val="-15"/>
          <w:sz w:val="38"/>
        </w:rPr>
        <w:t> </w:t>
      </w:r>
      <w:r>
        <w:rPr>
          <w:sz w:val="38"/>
        </w:rPr>
        <w:t>oxidation</w:t>
      </w:r>
      <w:r>
        <w:rPr>
          <w:spacing w:val="-14"/>
          <w:sz w:val="38"/>
        </w:rPr>
        <w:t> </w:t>
      </w:r>
      <w:r>
        <w:rPr>
          <w:sz w:val="38"/>
        </w:rPr>
        <w:t>(free</w:t>
      </w:r>
      <w:r>
        <w:rPr>
          <w:spacing w:val="-14"/>
          <w:sz w:val="38"/>
        </w:rPr>
        <w:t> </w:t>
      </w:r>
      <w:r>
        <w:rPr>
          <w:sz w:val="38"/>
        </w:rPr>
        <w:t>radicals)</w:t>
      </w:r>
      <w:r>
        <w:rPr>
          <w:spacing w:val="-16"/>
          <w:sz w:val="38"/>
        </w:rPr>
        <w:t> </w:t>
      </w:r>
      <w:r>
        <w:rPr>
          <w:sz w:val="38"/>
        </w:rPr>
        <w:t>of the cells, namely the absorption of so-called</w:t>
      </w:r>
      <w:r>
        <w:rPr>
          <w:spacing w:val="-4"/>
          <w:sz w:val="38"/>
        </w:rPr>
        <w:t> </w:t>
      </w:r>
      <w:r>
        <w:rPr>
          <w:sz w:val="38"/>
        </w:rPr>
        <w:t>antioxidants?</w:t>
      </w:r>
    </w:p>
    <w:p>
      <w:pPr>
        <w:pStyle w:val="ListParagraph"/>
        <w:numPr>
          <w:ilvl w:val="2"/>
          <w:numId w:val="8"/>
        </w:numPr>
        <w:tabs>
          <w:tab w:pos="1312" w:val="left" w:leader="none"/>
          <w:tab w:pos="1313" w:val="left" w:leader="none"/>
        </w:tabs>
        <w:spacing w:line="271" w:lineRule="auto" w:before="251" w:after="0"/>
        <w:ind w:left="1120" w:right="139" w:hanging="360"/>
        <w:jc w:val="left"/>
        <w:rPr>
          <w:sz w:val="38"/>
        </w:rPr>
      </w:pPr>
      <w:r>
        <w:rPr>
          <w:sz w:val="38"/>
        </w:rPr>
        <w:t>...</w:t>
      </w:r>
      <w:r>
        <w:rPr>
          <w:spacing w:val="-8"/>
          <w:sz w:val="38"/>
        </w:rPr>
        <w:t> </w:t>
      </w:r>
      <w:r>
        <w:rPr>
          <w:sz w:val="38"/>
        </w:rPr>
        <w:t>unlike</w:t>
      </w:r>
      <w:r>
        <w:rPr>
          <w:spacing w:val="-9"/>
          <w:sz w:val="38"/>
        </w:rPr>
        <w:t> </w:t>
      </w:r>
      <w:r>
        <w:rPr>
          <w:sz w:val="38"/>
        </w:rPr>
        <w:t>the</w:t>
      </w:r>
      <w:r>
        <w:rPr>
          <w:spacing w:val="-9"/>
          <w:sz w:val="38"/>
        </w:rPr>
        <w:t> </w:t>
      </w:r>
      <w:r>
        <w:rPr>
          <w:sz w:val="38"/>
        </w:rPr>
        <w:t>other</w:t>
      </w:r>
      <w:r>
        <w:rPr>
          <w:spacing w:val="-8"/>
          <w:sz w:val="38"/>
        </w:rPr>
        <w:t> </w:t>
      </w:r>
      <w:r>
        <w:rPr>
          <w:sz w:val="38"/>
        </w:rPr>
        <w:t>antioxidants,</w:t>
      </w:r>
      <w:r>
        <w:rPr>
          <w:spacing w:val="-9"/>
          <w:sz w:val="38"/>
        </w:rPr>
        <w:t> </w:t>
      </w:r>
      <w:r>
        <w:rPr>
          <w:sz w:val="38"/>
        </w:rPr>
        <w:t>alpha-lipoic</w:t>
      </w:r>
      <w:r>
        <w:rPr>
          <w:spacing w:val="-8"/>
          <w:sz w:val="38"/>
        </w:rPr>
        <w:t> </w:t>
      </w:r>
      <w:r>
        <w:rPr>
          <w:sz w:val="38"/>
        </w:rPr>
        <w:t>acid</w:t>
      </w:r>
      <w:r>
        <w:rPr>
          <w:spacing w:val="-9"/>
          <w:sz w:val="38"/>
        </w:rPr>
        <w:t> </w:t>
      </w:r>
      <w:r>
        <w:rPr>
          <w:sz w:val="38"/>
        </w:rPr>
        <w:t>protects</w:t>
      </w:r>
      <w:r>
        <w:rPr>
          <w:spacing w:val="-8"/>
          <w:sz w:val="38"/>
        </w:rPr>
        <w:t> </w:t>
      </w:r>
      <w:r>
        <w:rPr>
          <w:sz w:val="38"/>
        </w:rPr>
        <w:t>our</w:t>
      </w:r>
      <w:r>
        <w:rPr>
          <w:spacing w:val="-9"/>
          <w:sz w:val="38"/>
        </w:rPr>
        <w:t> </w:t>
      </w:r>
      <w:r>
        <w:rPr>
          <w:sz w:val="38"/>
        </w:rPr>
        <w:t>entire</w:t>
      </w:r>
      <w:r>
        <w:rPr>
          <w:spacing w:val="-9"/>
          <w:sz w:val="38"/>
        </w:rPr>
        <w:t> </w:t>
      </w:r>
      <w:r>
        <w:rPr>
          <w:sz w:val="38"/>
        </w:rPr>
        <w:t>body including the brain, which is why it's also called a ‘universal</w:t>
      </w:r>
      <w:r>
        <w:rPr>
          <w:spacing w:val="-19"/>
          <w:sz w:val="38"/>
        </w:rPr>
        <w:t> </w:t>
      </w:r>
      <w:r>
        <w:rPr>
          <w:sz w:val="38"/>
        </w:rPr>
        <w:t>antioxidant’?</w:t>
      </w:r>
    </w:p>
    <w:p>
      <w:pPr>
        <w:pStyle w:val="ListParagraph"/>
        <w:numPr>
          <w:ilvl w:val="2"/>
          <w:numId w:val="8"/>
        </w:numPr>
        <w:tabs>
          <w:tab w:pos="1312" w:val="left" w:leader="none"/>
          <w:tab w:pos="1313" w:val="left" w:leader="none"/>
        </w:tabs>
        <w:spacing w:line="271" w:lineRule="auto" w:before="254" w:after="0"/>
        <w:ind w:left="1120" w:right="141" w:hanging="360"/>
        <w:jc w:val="left"/>
        <w:rPr>
          <w:sz w:val="38"/>
        </w:rPr>
      </w:pPr>
      <w:r>
        <w:rPr>
          <w:sz w:val="38"/>
        </w:rPr>
        <w:t>... in addition, alpha-lipoic acid (ALA) has the ability to regenerate other antioxidants in the fight against voracious free</w:t>
      </w:r>
      <w:r>
        <w:rPr>
          <w:spacing w:val="-5"/>
          <w:sz w:val="38"/>
        </w:rPr>
        <w:t> </w:t>
      </w:r>
      <w:r>
        <w:rPr>
          <w:sz w:val="38"/>
        </w:rPr>
        <w:t>radicals?</w:t>
      </w:r>
    </w:p>
    <w:p>
      <w:pPr>
        <w:pStyle w:val="ListParagraph"/>
        <w:numPr>
          <w:ilvl w:val="2"/>
          <w:numId w:val="8"/>
        </w:numPr>
        <w:tabs>
          <w:tab w:pos="1312" w:val="left" w:leader="none"/>
          <w:tab w:pos="1313" w:val="left" w:leader="none"/>
        </w:tabs>
        <w:spacing w:line="271" w:lineRule="auto" w:before="251" w:after="0"/>
        <w:ind w:left="1120" w:right="138" w:hanging="360"/>
        <w:jc w:val="left"/>
        <w:rPr>
          <w:sz w:val="38"/>
        </w:rPr>
      </w:pPr>
      <w:r>
        <w:rPr>
          <w:sz w:val="38"/>
        </w:rPr>
        <w:t>... alpha-lipoic acid enhances the effects of vitamins like vitamin C, E</w:t>
      </w:r>
      <w:r>
        <w:rPr>
          <w:spacing w:val="-54"/>
          <w:sz w:val="38"/>
        </w:rPr>
        <w:t> </w:t>
      </w:r>
      <w:r>
        <w:rPr>
          <w:sz w:val="38"/>
        </w:rPr>
        <w:t>and coenzyme</w:t>
      </w:r>
      <w:r>
        <w:rPr>
          <w:spacing w:val="1"/>
          <w:sz w:val="38"/>
        </w:rPr>
        <w:t> </w:t>
      </w:r>
      <w:r>
        <w:rPr>
          <w:sz w:val="38"/>
        </w:rPr>
        <w:t>Q10?</w:t>
      </w:r>
    </w:p>
    <w:p>
      <w:pPr>
        <w:pStyle w:val="ListParagraph"/>
        <w:numPr>
          <w:ilvl w:val="2"/>
          <w:numId w:val="8"/>
        </w:numPr>
        <w:tabs>
          <w:tab w:pos="1312" w:val="left" w:leader="none"/>
          <w:tab w:pos="1313" w:val="left" w:leader="none"/>
        </w:tabs>
        <w:spacing w:line="271" w:lineRule="auto" w:before="254" w:after="0"/>
        <w:ind w:left="1120" w:right="147" w:hanging="360"/>
        <w:jc w:val="left"/>
        <w:rPr>
          <w:sz w:val="38"/>
        </w:rPr>
      </w:pPr>
      <w:r>
        <w:rPr>
          <w:sz w:val="38"/>
        </w:rPr>
        <w:t>... alpha-lipoic acid protects us very successfully against heavy metal con- tamination and</w:t>
      </w:r>
      <w:r>
        <w:rPr>
          <w:spacing w:val="1"/>
          <w:sz w:val="38"/>
        </w:rPr>
        <w:t> </w:t>
      </w:r>
      <w:r>
        <w:rPr>
          <w:sz w:val="38"/>
        </w:rPr>
        <w:t>poisoning?</w:t>
      </w:r>
    </w:p>
    <w:p>
      <w:pPr>
        <w:pStyle w:val="ListParagraph"/>
        <w:numPr>
          <w:ilvl w:val="2"/>
          <w:numId w:val="8"/>
        </w:numPr>
        <w:tabs>
          <w:tab w:pos="1312" w:val="left" w:leader="none"/>
          <w:tab w:pos="1313" w:val="left" w:leader="none"/>
        </w:tabs>
        <w:spacing w:line="240" w:lineRule="auto" w:before="251" w:after="0"/>
        <w:ind w:left="1120" w:right="0" w:hanging="360"/>
        <w:jc w:val="left"/>
        <w:rPr>
          <w:sz w:val="38"/>
        </w:rPr>
      </w:pPr>
      <w:r>
        <w:rPr>
          <w:sz w:val="38"/>
        </w:rPr>
        <w:t>... alpha-lipoic acid can be effective against mushroom</w:t>
      </w:r>
      <w:r>
        <w:rPr>
          <w:spacing w:val="-9"/>
          <w:sz w:val="38"/>
        </w:rPr>
        <w:t> </w:t>
      </w:r>
      <w:r>
        <w:rPr>
          <w:sz w:val="38"/>
        </w:rPr>
        <w:t>poisoning?</w:t>
      </w:r>
    </w:p>
    <w:p>
      <w:pPr>
        <w:pStyle w:val="ListParagraph"/>
        <w:numPr>
          <w:ilvl w:val="2"/>
          <w:numId w:val="8"/>
        </w:numPr>
        <w:tabs>
          <w:tab w:pos="1312" w:val="left" w:leader="none"/>
          <w:tab w:pos="1313" w:val="left" w:leader="none"/>
        </w:tabs>
        <w:spacing w:line="271" w:lineRule="auto" w:before="305" w:after="0"/>
        <w:ind w:left="1120" w:right="138" w:hanging="360"/>
        <w:jc w:val="left"/>
        <w:rPr>
          <w:sz w:val="38"/>
        </w:rPr>
      </w:pPr>
      <w:r>
        <w:rPr>
          <w:sz w:val="38"/>
        </w:rPr>
        <w:t>... alpha-lipoic acid very efficiently dissipates radioactivity from our bod- ies?</w:t>
      </w:r>
    </w:p>
    <w:p>
      <w:pPr>
        <w:pStyle w:val="ListParagraph"/>
        <w:numPr>
          <w:ilvl w:val="2"/>
          <w:numId w:val="8"/>
        </w:numPr>
        <w:tabs>
          <w:tab w:pos="1313" w:val="left" w:leader="none"/>
        </w:tabs>
        <w:spacing w:line="273" w:lineRule="auto" w:before="251" w:after="0"/>
        <w:ind w:left="1120" w:right="133" w:hanging="360"/>
        <w:jc w:val="both"/>
        <w:rPr>
          <w:sz w:val="38"/>
        </w:rPr>
      </w:pPr>
      <w:r>
        <w:rPr>
          <w:sz w:val="38"/>
        </w:rPr>
        <w:t>... alpha-lipoic acid helps to bring sugar into the energy cycle more effi- ciently, which is of fundamental importance for diabetics, overweight peo- ple and</w:t>
      </w:r>
      <w:r>
        <w:rPr>
          <w:spacing w:val="1"/>
          <w:sz w:val="38"/>
        </w:rPr>
        <w:t> </w:t>
      </w:r>
      <w:r>
        <w:rPr>
          <w:sz w:val="38"/>
        </w:rPr>
        <w:t>athletes?</w:t>
      </w:r>
    </w:p>
    <w:p>
      <w:pPr>
        <w:pStyle w:val="ListParagraph"/>
        <w:numPr>
          <w:ilvl w:val="2"/>
          <w:numId w:val="8"/>
        </w:numPr>
        <w:tabs>
          <w:tab w:pos="1312" w:val="left" w:leader="none"/>
          <w:tab w:pos="1313" w:val="left" w:leader="none"/>
        </w:tabs>
        <w:spacing w:line="240" w:lineRule="auto" w:before="248" w:after="0"/>
        <w:ind w:left="1120" w:right="0" w:hanging="360"/>
        <w:jc w:val="left"/>
        <w:rPr>
          <w:sz w:val="38"/>
        </w:rPr>
      </w:pPr>
      <w:r>
        <w:rPr>
          <w:sz w:val="38"/>
        </w:rPr>
        <w:t>... alpha-lipoic acid protects against diabetes and diabetes-induced</w:t>
      </w:r>
      <w:r>
        <w:rPr>
          <w:spacing w:val="88"/>
          <w:sz w:val="38"/>
        </w:rPr>
        <w:t> </w:t>
      </w:r>
      <w:r>
        <w:rPr>
          <w:sz w:val="38"/>
        </w:rPr>
        <w:t>nerve</w:t>
      </w:r>
    </w:p>
    <w:p>
      <w:pPr>
        <w:spacing w:after="0" w:line="240" w:lineRule="auto"/>
        <w:jc w:val="left"/>
        <w:rPr>
          <w:sz w:val="38"/>
        </w:rPr>
        <w:sectPr>
          <w:pgSz w:w="14270" w:h="16850"/>
          <w:pgMar w:header="0" w:footer="1891" w:top="1600" w:bottom="2080" w:left="800" w:right="1280"/>
        </w:sectPr>
      </w:pPr>
    </w:p>
    <w:p>
      <w:pPr>
        <w:pStyle w:val="BodyText"/>
        <w:spacing w:before="181"/>
        <w:ind w:left="1120"/>
      </w:pPr>
      <w:r>
        <w:rPr/>
        <w:t>damage?</w:t>
      </w:r>
    </w:p>
    <w:p>
      <w:pPr>
        <w:pStyle w:val="ListParagraph"/>
        <w:numPr>
          <w:ilvl w:val="2"/>
          <w:numId w:val="8"/>
        </w:numPr>
        <w:tabs>
          <w:tab w:pos="1312" w:val="left" w:leader="none"/>
          <w:tab w:pos="1313" w:val="left" w:leader="none"/>
        </w:tabs>
        <w:spacing w:line="240" w:lineRule="auto" w:before="306" w:after="0"/>
        <w:ind w:left="1120" w:right="0" w:hanging="360"/>
        <w:jc w:val="left"/>
        <w:rPr>
          <w:sz w:val="38"/>
        </w:rPr>
      </w:pPr>
      <w:r>
        <w:rPr>
          <w:sz w:val="38"/>
        </w:rPr>
        <w:t>... thanks to alpha-lipoic acid, smokers are better</w:t>
      </w:r>
      <w:r>
        <w:rPr>
          <w:spacing w:val="-7"/>
          <w:sz w:val="38"/>
        </w:rPr>
        <w:t> </w:t>
      </w:r>
      <w:r>
        <w:rPr>
          <w:sz w:val="38"/>
        </w:rPr>
        <w:t>protected?</w:t>
      </w:r>
    </w:p>
    <w:p>
      <w:pPr>
        <w:pStyle w:val="ListParagraph"/>
        <w:numPr>
          <w:ilvl w:val="2"/>
          <w:numId w:val="8"/>
        </w:numPr>
        <w:tabs>
          <w:tab w:pos="1312" w:val="left" w:leader="none"/>
          <w:tab w:pos="1313" w:val="left" w:leader="none"/>
        </w:tabs>
        <w:spacing w:line="271" w:lineRule="auto" w:before="305" w:after="0"/>
        <w:ind w:left="1120" w:right="132" w:hanging="360"/>
        <w:jc w:val="left"/>
        <w:rPr>
          <w:sz w:val="38"/>
        </w:rPr>
      </w:pPr>
      <w:r>
        <w:rPr>
          <w:sz w:val="38"/>
        </w:rPr>
        <w:t>...</w:t>
      </w:r>
      <w:r>
        <w:rPr>
          <w:spacing w:val="-17"/>
          <w:sz w:val="38"/>
        </w:rPr>
        <w:t> </w:t>
      </w:r>
      <w:r>
        <w:rPr>
          <w:sz w:val="38"/>
        </w:rPr>
        <w:t>alpha-lipoic</w:t>
      </w:r>
      <w:r>
        <w:rPr>
          <w:spacing w:val="-18"/>
          <w:sz w:val="38"/>
        </w:rPr>
        <w:t> </w:t>
      </w:r>
      <w:r>
        <w:rPr>
          <w:sz w:val="38"/>
        </w:rPr>
        <w:t>acid</w:t>
      </w:r>
      <w:r>
        <w:rPr>
          <w:spacing w:val="-19"/>
          <w:sz w:val="38"/>
        </w:rPr>
        <w:t> </w:t>
      </w:r>
      <w:r>
        <w:rPr>
          <w:sz w:val="38"/>
        </w:rPr>
        <w:t>regenerates,</w:t>
      </w:r>
      <w:r>
        <w:rPr>
          <w:spacing w:val="-20"/>
          <w:sz w:val="38"/>
        </w:rPr>
        <w:t> </w:t>
      </w:r>
      <w:r>
        <w:rPr>
          <w:sz w:val="38"/>
        </w:rPr>
        <w:t>rejuvenates,</w:t>
      </w:r>
      <w:r>
        <w:rPr>
          <w:spacing w:val="-17"/>
          <w:sz w:val="38"/>
        </w:rPr>
        <w:t> </w:t>
      </w:r>
      <w:r>
        <w:rPr>
          <w:sz w:val="38"/>
        </w:rPr>
        <w:t>smoothens</w:t>
      </w:r>
      <w:r>
        <w:rPr>
          <w:spacing w:val="-18"/>
          <w:sz w:val="38"/>
        </w:rPr>
        <w:t> </w:t>
      </w:r>
      <w:r>
        <w:rPr>
          <w:sz w:val="38"/>
        </w:rPr>
        <w:t>wrinkles</w:t>
      </w:r>
      <w:r>
        <w:rPr>
          <w:spacing w:val="-11"/>
          <w:sz w:val="38"/>
        </w:rPr>
        <w:t> </w:t>
      </w:r>
      <w:r>
        <w:rPr>
          <w:sz w:val="38"/>
        </w:rPr>
        <w:t>and</w:t>
      </w:r>
      <w:r>
        <w:rPr>
          <w:spacing w:val="-18"/>
          <w:sz w:val="38"/>
        </w:rPr>
        <w:t> </w:t>
      </w:r>
      <w:r>
        <w:rPr>
          <w:sz w:val="38"/>
        </w:rPr>
        <w:t>even removes acne scars by up to 70-80</w:t>
      </w:r>
      <w:r>
        <w:rPr>
          <w:spacing w:val="-1"/>
          <w:sz w:val="38"/>
        </w:rPr>
        <w:t> </w:t>
      </w:r>
      <w:r>
        <w:rPr>
          <w:sz w:val="38"/>
        </w:rPr>
        <w:t>%?</w:t>
      </w:r>
    </w:p>
    <w:p>
      <w:pPr>
        <w:pStyle w:val="ListParagraph"/>
        <w:numPr>
          <w:ilvl w:val="2"/>
          <w:numId w:val="8"/>
        </w:numPr>
        <w:tabs>
          <w:tab w:pos="1312" w:val="left" w:leader="none"/>
          <w:tab w:pos="1313" w:val="left" w:leader="none"/>
        </w:tabs>
        <w:spacing w:line="273" w:lineRule="auto" w:before="251" w:after="0"/>
        <w:ind w:left="1120" w:right="163" w:hanging="360"/>
        <w:jc w:val="left"/>
        <w:rPr>
          <w:sz w:val="38"/>
        </w:rPr>
      </w:pPr>
      <w:r>
        <w:rPr>
          <w:sz w:val="38"/>
        </w:rPr>
        <w:t>... alpha-lipoic acid is used therapeutically, for diabetes, liver cirrhosis, heart disease, heavy metal poisoning, skin diseases, opacity of the eye lens, Parkinson's disease and Alzheimer's</w:t>
      </w:r>
      <w:r>
        <w:rPr>
          <w:spacing w:val="4"/>
          <w:sz w:val="38"/>
        </w:rPr>
        <w:t> </w:t>
      </w:r>
      <w:r>
        <w:rPr>
          <w:sz w:val="38"/>
        </w:rPr>
        <w:t>disease?</w:t>
      </w:r>
    </w:p>
    <w:p>
      <w:pPr>
        <w:pStyle w:val="ListParagraph"/>
        <w:numPr>
          <w:ilvl w:val="2"/>
          <w:numId w:val="8"/>
        </w:numPr>
        <w:tabs>
          <w:tab w:pos="1312" w:val="left" w:leader="none"/>
          <w:tab w:pos="1313" w:val="left" w:leader="none"/>
        </w:tabs>
        <w:spacing w:line="271" w:lineRule="auto" w:before="247" w:after="0"/>
        <w:ind w:left="1120" w:right="238" w:hanging="360"/>
        <w:jc w:val="left"/>
        <w:rPr>
          <w:sz w:val="38"/>
        </w:rPr>
      </w:pPr>
      <w:r>
        <w:rPr>
          <w:sz w:val="38"/>
        </w:rPr>
        <w:t>... our food contains very little alpha-lipoic acid and vegetarians could be especially lacking in</w:t>
      </w:r>
      <w:r>
        <w:rPr>
          <w:spacing w:val="1"/>
          <w:sz w:val="38"/>
        </w:rPr>
        <w:t> </w:t>
      </w:r>
      <w:r>
        <w:rPr>
          <w:sz w:val="38"/>
        </w:rPr>
        <w:t>it?</w:t>
      </w:r>
    </w:p>
    <w:p>
      <w:pPr>
        <w:pStyle w:val="ListParagraph"/>
        <w:numPr>
          <w:ilvl w:val="2"/>
          <w:numId w:val="8"/>
        </w:numPr>
        <w:tabs>
          <w:tab w:pos="1312" w:val="left" w:leader="none"/>
          <w:tab w:pos="1313" w:val="left" w:leader="none"/>
        </w:tabs>
        <w:spacing w:line="271" w:lineRule="auto" w:before="254" w:after="0"/>
        <w:ind w:left="1120" w:right="351" w:hanging="360"/>
        <w:jc w:val="left"/>
        <w:rPr>
          <w:sz w:val="38"/>
        </w:rPr>
      </w:pPr>
      <w:r>
        <w:rPr>
          <w:sz w:val="38"/>
        </w:rPr>
        <w:t>... you can enhance your diet with alpha-lipoic acid conveniently and in- expensively in the form of nutritional</w:t>
      </w:r>
      <w:r>
        <w:rPr>
          <w:spacing w:val="-3"/>
          <w:sz w:val="38"/>
        </w:rPr>
        <w:t> </w:t>
      </w:r>
      <w:r>
        <w:rPr>
          <w:sz w:val="38"/>
        </w:rPr>
        <w:t>supplements?</w:t>
      </w:r>
    </w:p>
    <w:p>
      <w:pPr>
        <w:pStyle w:val="BodyText"/>
        <w:spacing w:line="276" w:lineRule="auto" w:before="251"/>
        <w:ind w:left="477" w:right="244"/>
      </w:pPr>
      <w:r>
        <w:rPr/>
        <w:t>You will find all of this in detail in the following chapters, underpinned by the appropriate representative studies.</w:t>
      </w:r>
    </w:p>
    <w:p>
      <w:pPr>
        <w:pStyle w:val="BodyText"/>
        <w:spacing w:before="8"/>
        <w:rPr>
          <w:sz w:val="42"/>
        </w:rPr>
      </w:pPr>
    </w:p>
    <w:p>
      <w:pPr>
        <w:pStyle w:val="Heading2"/>
      </w:pPr>
      <w:r>
        <w:rPr/>
        <w:t>Alpha-lipoic acid - what exactly is it?</w:t>
      </w:r>
    </w:p>
    <w:p>
      <w:pPr>
        <w:pStyle w:val="BodyText"/>
        <w:spacing w:line="276" w:lineRule="auto" w:before="305"/>
        <w:ind w:left="477" w:right="156"/>
      </w:pPr>
      <w:r>
        <w:rPr/>
        <w:t>Alpha-lipoic acid was discovered in 1951 when scientists realised that it plays a key role in the transformation of food into energy within our mitochondria (the power plants of our cells). Gradually, research shed light on further ad- vantages of alpha-lipoic acid. Above all, it has emerged that alpha-lipoic acid possesses three abilities, which have been honed to perfection:</w:t>
      </w:r>
    </w:p>
    <w:p>
      <w:pPr>
        <w:spacing w:after="0" w:line="276" w:lineRule="auto"/>
        <w:sectPr>
          <w:pgSz w:w="14270" w:h="16850"/>
          <w:pgMar w:header="0" w:footer="1891" w:top="1600" w:bottom="2080" w:left="800" w:right="1280"/>
        </w:sectPr>
      </w:pPr>
    </w:p>
    <w:p>
      <w:pPr>
        <w:pStyle w:val="ListParagraph"/>
        <w:numPr>
          <w:ilvl w:val="0"/>
          <w:numId w:val="9"/>
        </w:numPr>
        <w:tabs>
          <w:tab w:pos="905" w:val="left" w:leader="none"/>
        </w:tabs>
        <w:spacing w:line="240" w:lineRule="auto" w:before="181" w:after="0"/>
        <w:ind w:left="904" w:right="0" w:hanging="427"/>
        <w:jc w:val="both"/>
        <w:rPr>
          <w:sz w:val="38"/>
        </w:rPr>
      </w:pPr>
      <w:r>
        <w:rPr>
          <w:sz w:val="38"/>
        </w:rPr>
        <w:t>protection against free radicals (against cell ageing and cell</w:t>
      </w:r>
      <w:r>
        <w:rPr>
          <w:spacing w:val="-13"/>
          <w:sz w:val="38"/>
        </w:rPr>
        <w:t> </w:t>
      </w:r>
      <w:r>
        <w:rPr>
          <w:sz w:val="38"/>
        </w:rPr>
        <w:t>destruction)</w:t>
      </w:r>
    </w:p>
    <w:p>
      <w:pPr>
        <w:pStyle w:val="ListParagraph"/>
        <w:numPr>
          <w:ilvl w:val="0"/>
          <w:numId w:val="9"/>
        </w:numPr>
        <w:tabs>
          <w:tab w:pos="905" w:val="left" w:leader="none"/>
        </w:tabs>
        <w:spacing w:line="240" w:lineRule="auto" w:before="185" w:after="0"/>
        <w:ind w:left="904" w:right="0" w:hanging="427"/>
        <w:jc w:val="both"/>
        <w:rPr>
          <w:sz w:val="38"/>
        </w:rPr>
      </w:pPr>
      <w:r>
        <w:rPr>
          <w:sz w:val="38"/>
        </w:rPr>
        <w:t>detoxification of heavy metals, radioactivity and</w:t>
      </w:r>
      <w:r>
        <w:rPr>
          <w:spacing w:val="-1"/>
          <w:sz w:val="38"/>
        </w:rPr>
        <w:t> </w:t>
      </w:r>
      <w:r>
        <w:rPr>
          <w:sz w:val="38"/>
        </w:rPr>
        <w:t>toxins</w:t>
      </w:r>
    </w:p>
    <w:p>
      <w:pPr>
        <w:pStyle w:val="ListParagraph"/>
        <w:numPr>
          <w:ilvl w:val="0"/>
          <w:numId w:val="9"/>
        </w:numPr>
        <w:tabs>
          <w:tab w:pos="905" w:val="left" w:leader="none"/>
        </w:tabs>
        <w:spacing w:line="240" w:lineRule="auto" w:before="184" w:after="0"/>
        <w:ind w:left="904" w:right="0" w:hanging="427"/>
        <w:jc w:val="both"/>
        <w:rPr>
          <w:sz w:val="38"/>
        </w:rPr>
      </w:pPr>
      <w:r>
        <w:rPr>
          <w:sz w:val="38"/>
        </w:rPr>
        <w:t>energy conversion</w:t>
      </w:r>
    </w:p>
    <w:p>
      <w:pPr>
        <w:pStyle w:val="BodyText"/>
        <w:spacing w:before="8"/>
        <w:rPr>
          <w:sz w:val="37"/>
        </w:rPr>
      </w:pPr>
    </w:p>
    <w:p>
      <w:pPr>
        <w:pStyle w:val="Heading2"/>
        <w:numPr>
          <w:ilvl w:val="0"/>
          <w:numId w:val="10"/>
        </w:numPr>
        <w:tabs>
          <w:tab w:pos="890" w:val="left" w:leader="none"/>
        </w:tabs>
        <w:spacing w:line="240" w:lineRule="auto" w:before="1" w:after="0"/>
        <w:ind w:left="889" w:right="0" w:hanging="412"/>
        <w:jc w:val="both"/>
      </w:pPr>
      <w:r>
        <w:rPr/>
        <w:t>Alpha-lipoic acid as protection against free</w:t>
      </w:r>
      <w:r>
        <w:rPr>
          <w:spacing w:val="-5"/>
        </w:rPr>
        <w:t> </w:t>
      </w:r>
      <w:r>
        <w:rPr/>
        <w:t>radicals</w:t>
      </w:r>
    </w:p>
    <w:p>
      <w:pPr>
        <w:pStyle w:val="BodyText"/>
        <w:spacing w:line="276" w:lineRule="auto" w:before="304"/>
        <w:ind w:left="477" w:right="132"/>
        <w:jc w:val="both"/>
      </w:pPr>
      <w:r>
        <w:rPr/>
        <w:t>As mentioned in the preface, free radicals are not only responsible for ageing, but also for many diseases, some of them fatal, including atherosclerosis,</w:t>
      </w:r>
      <w:r>
        <w:rPr>
          <w:spacing w:val="-60"/>
        </w:rPr>
        <w:t> </w:t>
      </w:r>
      <w:r>
        <w:rPr/>
        <w:t>cardi- ovascular diseases, stroke, cancer, arthritis, diabetes, Alzheimer's, respiratory diseases, blood vessel diseases, cystic fibrosis, inflammation, hepatitis, Down’s syndrome and more.</w:t>
      </w:r>
    </w:p>
    <w:p>
      <w:pPr>
        <w:pStyle w:val="BodyText"/>
        <w:spacing w:line="276" w:lineRule="auto" w:before="240"/>
        <w:ind w:left="477" w:right="138"/>
        <w:jc w:val="both"/>
      </w:pPr>
      <w:r>
        <w:rPr/>
        <w:t>Alpha-lipoic</w:t>
      </w:r>
      <w:r>
        <w:rPr>
          <w:spacing w:val="-23"/>
        </w:rPr>
        <w:t> </w:t>
      </w:r>
      <w:r>
        <w:rPr/>
        <w:t>acid,</w:t>
      </w:r>
      <w:r>
        <w:rPr>
          <w:spacing w:val="-22"/>
        </w:rPr>
        <w:t> </w:t>
      </w:r>
      <w:r>
        <w:rPr/>
        <w:t>like</w:t>
      </w:r>
      <w:r>
        <w:rPr>
          <w:spacing w:val="-24"/>
        </w:rPr>
        <w:t> </w:t>
      </w:r>
      <w:r>
        <w:rPr/>
        <w:t>no</w:t>
      </w:r>
      <w:r>
        <w:rPr>
          <w:spacing w:val="-23"/>
        </w:rPr>
        <w:t> </w:t>
      </w:r>
      <w:r>
        <w:rPr/>
        <w:t>other</w:t>
      </w:r>
      <w:r>
        <w:rPr>
          <w:spacing w:val="-22"/>
        </w:rPr>
        <w:t> </w:t>
      </w:r>
      <w:r>
        <w:rPr/>
        <w:t>antioxidant,</w:t>
      </w:r>
      <w:r>
        <w:rPr>
          <w:spacing w:val="-22"/>
        </w:rPr>
        <w:t> </w:t>
      </w:r>
      <w:r>
        <w:rPr/>
        <w:t>can</w:t>
      </w:r>
      <w:r>
        <w:rPr>
          <w:spacing w:val="-21"/>
        </w:rPr>
        <w:t> </w:t>
      </w:r>
      <w:r>
        <w:rPr/>
        <w:t>protect</w:t>
      </w:r>
      <w:r>
        <w:rPr>
          <w:spacing w:val="-23"/>
        </w:rPr>
        <w:t> </w:t>
      </w:r>
      <w:r>
        <w:rPr/>
        <w:t>us</w:t>
      </w:r>
      <w:r>
        <w:rPr>
          <w:spacing w:val="-23"/>
        </w:rPr>
        <w:t> </w:t>
      </w:r>
      <w:r>
        <w:rPr/>
        <w:t>against</w:t>
      </w:r>
      <w:r>
        <w:rPr>
          <w:spacing w:val="-28"/>
        </w:rPr>
        <w:t> </w:t>
      </w:r>
      <w:r>
        <w:rPr/>
        <w:t>these</w:t>
      </w:r>
      <w:r>
        <w:rPr>
          <w:spacing w:val="-22"/>
        </w:rPr>
        <w:t> </w:t>
      </w:r>
      <w:r>
        <w:rPr/>
        <w:t>destruc- tive free radicals (oxidants) and has three unique abilities in this</w:t>
      </w:r>
      <w:r>
        <w:rPr>
          <w:spacing w:val="-11"/>
        </w:rPr>
        <w:t> </w:t>
      </w:r>
      <w:r>
        <w:rPr/>
        <w:t>regard:</w:t>
      </w:r>
    </w:p>
    <w:p>
      <w:pPr>
        <w:pStyle w:val="ListParagraph"/>
        <w:numPr>
          <w:ilvl w:val="0"/>
          <w:numId w:val="11"/>
        </w:numPr>
        <w:tabs>
          <w:tab w:pos="1044" w:val="left" w:leader="none"/>
        </w:tabs>
        <w:spacing w:line="276" w:lineRule="auto" w:before="239" w:after="0"/>
        <w:ind w:left="477" w:right="135" w:firstLine="0"/>
        <w:jc w:val="both"/>
        <w:rPr>
          <w:sz w:val="38"/>
        </w:rPr>
      </w:pPr>
      <w:r>
        <w:rPr>
          <w:sz w:val="38"/>
        </w:rPr>
        <w:t>Our body consists of aqueous and fatty forms of tissue. In contrast to the other antioxidants (for example, vitamin C is water-soluble and functions merely</w:t>
      </w:r>
      <w:r>
        <w:rPr>
          <w:spacing w:val="-19"/>
          <w:sz w:val="38"/>
        </w:rPr>
        <w:t> </w:t>
      </w:r>
      <w:r>
        <w:rPr>
          <w:sz w:val="38"/>
        </w:rPr>
        <w:t>as</w:t>
      </w:r>
      <w:r>
        <w:rPr>
          <w:spacing w:val="-19"/>
          <w:sz w:val="38"/>
        </w:rPr>
        <w:t> </w:t>
      </w:r>
      <w:r>
        <w:rPr>
          <w:sz w:val="38"/>
        </w:rPr>
        <w:t>a</w:t>
      </w:r>
      <w:r>
        <w:rPr>
          <w:spacing w:val="-20"/>
          <w:sz w:val="38"/>
        </w:rPr>
        <w:t> </w:t>
      </w:r>
      <w:r>
        <w:rPr>
          <w:sz w:val="38"/>
        </w:rPr>
        <w:t>protector</w:t>
      </w:r>
      <w:r>
        <w:rPr>
          <w:spacing w:val="-18"/>
          <w:sz w:val="38"/>
        </w:rPr>
        <w:t> </w:t>
      </w:r>
      <w:r>
        <w:rPr>
          <w:sz w:val="38"/>
        </w:rPr>
        <w:t>of</w:t>
      </w:r>
      <w:r>
        <w:rPr>
          <w:spacing w:val="-19"/>
          <w:sz w:val="38"/>
        </w:rPr>
        <w:t> </w:t>
      </w:r>
      <w:r>
        <w:rPr>
          <w:sz w:val="38"/>
        </w:rPr>
        <w:t>aqueous</w:t>
      </w:r>
      <w:r>
        <w:rPr>
          <w:spacing w:val="-19"/>
          <w:sz w:val="38"/>
        </w:rPr>
        <w:t> </w:t>
      </w:r>
      <w:r>
        <w:rPr>
          <w:sz w:val="38"/>
        </w:rPr>
        <w:t>tissue</w:t>
      </w:r>
      <w:r>
        <w:rPr>
          <w:spacing w:val="-19"/>
          <w:sz w:val="38"/>
        </w:rPr>
        <w:t> </w:t>
      </w:r>
      <w:r>
        <w:rPr>
          <w:sz w:val="38"/>
        </w:rPr>
        <w:t>forms,</w:t>
      </w:r>
      <w:r>
        <w:rPr>
          <w:spacing w:val="-18"/>
          <w:sz w:val="38"/>
        </w:rPr>
        <w:t> </w:t>
      </w:r>
      <w:r>
        <w:rPr>
          <w:sz w:val="38"/>
        </w:rPr>
        <w:t>while</w:t>
      </w:r>
      <w:r>
        <w:rPr>
          <w:spacing w:val="-20"/>
          <w:sz w:val="38"/>
        </w:rPr>
        <w:t> </w:t>
      </w:r>
      <w:r>
        <w:rPr>
          <w:sz w:val="38"/>
        </w:rPr>
        <w:t>vitamin</w:t>
      </w:r>
      <w:r>
        <w:rPr>
          <w:spacing w:val="-18"/>
          <w:sz w:val="38"/>
        </w:rPr>
        <w:t> </w:t>
      </w:r>
      <w:r>
        <w:rPr>
          <w:sz w:val="38"/>
        </w:rPr>
        <w:t>E</w:t>
      </w:r>
      <w:r>
        <w:rPr>
          <w:spacing w:val="-18"/>
          <w:sz w:val="38"/>
        </w:rPr>
        <w:t> </w:t>
      </w:r>
      <w:r>
        <w:rPr>
          <w:sz w:val="38"/>
        </w:rPr>
        <w:t>is</w:t>
      </w:r>
      <w:r>
        <w:rPr>
          <w:spacing w:val="-19"/>
          <w:sz w:val="38"/>
        </w:rPr>
        <w:t> </w:t>
      </w:r>
      <w:r>
        <w:rPr>
          <w:sz w:val="38"/>
        </w:rPr>
        <w:t>fat-soluble</w:t>
      </w:r>
      <w:r>
        <w:rPr>
          <w:spacing w:val="-19"/>
          <w:sz w:val="38"/>
        </w:rPr>
        <w:t> </w:t>
      </w:r>
      <w:r>
        <w:rPr>
          <w:sz w:val="38"/>
        </w:rPr>
        <w:t>and protects the fatty tissue in the body), alpha-lipoic acid is able to penetrate both aqueous</w:t>
      </w:r>
      <w:r>
        <w:rPr>
          <w:spacing w:val="-23"/>
          <w:sz w:val="38"/>
        </w:rPr>
        <w:t> </w:t>
      </w:r>
      <w:r>
        <w:rPr>
          <w:sz w:val="38"/>
        </w:rPr>
        <w:t>and</w:t>
      </w:r>
      <w:r>
        <w:rPr>
          <w:spacing w:val="-22"/>
          <w:sz w:val="38"/>
        </w:rPr>
        <w:t> </w:t>
      </w:r>
      <w:r>
        <w:rPr>
          <w:sz w:val="38"/>
        </w:rPr>
        <w:t>fatty</w:t>
      </w:r>
      <w:r>
        <w:rPr>
          <w:spacing w:val="-21"/>
          <w:sz w:val="38"/>
        </w:rPr>
        <w:t> </w:t>
      </w:r>
      <w:r>
        <w:rPr>
          <w:sz w:val="38"/>
        </w:rPr>
        <w:t>tissues</w:t>
      </w:r>
      <w:r>
        <w:rPr>
          <w:spacing w:val="-21"/>
          <w:sz w:val="38"/>
        </w:rPr>
        <w:t> </w:t>
      </w:r>
      <w:r>
        <w:rPr>
          <w:sz w:val="38"/>
        </w:rPr>
        <w:t>in</w:t>
      </w:r>
      <w:r>
        <w:rPr>
          <w:spacing w:val="-22"/>
          <w:sz w:val="38"/>
        </w:rPr>
        <w:t> </w:t>
      </w:r>
      <w:r>
        <w:rPr>
          <w:sz w:val="38"/>
        </w:rPr>
        <w:t>our</w:t>
      </w:r>
      <w:r>
        <w:rPr>
          <w:spacing w:val="-21"/>
          <w:sz w:val="38"/>
        </w:rPr>
        <w:t> </w:t>
      </w:r>
      <w:r>
        <w:rPr>
          <w:sz w:val="38"/>
        </w:rPr>
        <w:t>body</w:t>
      </w:r>
      <w:r>
        <w:rPr>
          <w:spacing w:val="-23"/>
          <w:sz w:val="38"/>
        </w:rPr>
        <w:t> </w:t>
      </w:r>
      <w:r>
        <w:rPr>
          <w:sz w:val="38"/>
        </w:rPr>
        <w:t>and</w:t>
      </w:r>
      <w:r>
        <w:rPr>
          <w:spacing w:val="-22"/>
          <w:sz w:val="38"/>
        </w:rPr>
        <w:t> </w:t>
      </w:r>
      <w:r>
        <w:rPr>
          <w:sz w:val="38"/>
        </w:rPr>
        <w:t>protect</w:t>
      </w:r>
      <w:r>
        <w:rPr>
          <w:spacing w:val="-22"/>
          <w:sz w:val="38"/>
        </w:rPr>
        <w:t> </w:t>
      </w:r>
      <w:r>
        <w:rPr>
          <w:sz w:val="38"/>
        </w:rPr>
        <w:t>against</w:t>
      </w:r>
      <w:r>
        <w:rPr>
          <w:spacing w:val="-23"/>
          <w:sz w:val="38"/>
        </w:rPr>
        <w:t> </w:t>
      </w:r>
      <w:r>
        <w:rPr>
          <w:sz w:val="38"/>
        </w:rPr>
        <w:t>voracious</w:t>
      </w:r>
      <w:r>
        <w:rPr>
          <w:spacing w:val="-21"/>
          <w:sz w:val="38"/>
        </w:rPr>
        <w:t> </w:t>
      </w:r>
      <w:r>
        <w:rPr>
          <w:sz w:val="38"/>
        </w:rPr>
        <w:t>free</w:t>
      </w:r>
      <w:r>
        <w:rPr>
          <w:spacing w:val="-21"/>
          <w:sz w:val="38"/>
        </w:rPr>
        <w:t> </w:t>
      </w:r>
      <w:r>
        <w:rPr>
          <w:sz w:val="38"/>
        </w:rPr>
        <w:t>radicals. Thus, it protects all tissue forms of our body, which is why it is often referred to as a ‘universal antioxidant’.</w:t>
      </w:r>
    </w:p>
    <w:p>
      <w:pPr>
        <w:pStyle w:val="ListParagraph"/>
        <w:numPr>
          <w:ilvl w:val="0"/>
          <w:numId w:val="11"/>
        </w:numPr>
        <w:tabs>
          <w:tab w:pos="1044" w:val="left" w:leader="none"/>
        </w:tabs>
        <w:spacing w:line="276" w:lineRule="auto" w:before="241" w:after="0"/>
        <w:ind w:left="477" w:right="137" w:firstLine="0"/>
        <w:jc w:val="both"/>
        <w:rPr>
          <w:sz w:val="38"/>
        </w:rPr>
      </w:pPr>
      <w:r>
        <w:rPr>
          <w:sz w:val="38"/>
        </w:rPr>
        <w:t>Alpha-lipoic</w:t>
      </w:r>
      <w:r>
        <w:rPr>
          <w:spacing w:val="-22"/>
          <w:sz w:val="38"/>
        </w:rPr>
        <w:t> </w:t>
      </w:r>
      <w:r>
        <w:rPr>
          <w:sz w:val="38"/>
        </w:rPr>
        <w:t>acid,</w:t>
      </w:r>
      <w:r>
        <w:rPr>
          <w:spacing w:val="-19"/>
          <w:sz w:val="38"/>
        </w:rPr>
        <w:t> </w:t>
      </w:r>
      <w:r>
        <w:rPr>
          <w:sz w:val="38"/>
        </w:rPr>
        <w:t>unlike</w:t>
      </w:r>
      <w:r>
        <w:rPr>
          <w:spacing w:val="-21"/>
          <w:sz w:val="38"/>
        </w:rPr>
        <w:t> </w:t>
      </w:r>
      <w:r>
        <w:rPr>
          <w:sz w:val="38"/>
        </w:rPr>
        <w:t>most</w:t>
      </w:r>
      <w:r>
        <w:rPr>
          <w:spacing w:val="-22"/>
          <w:sz w:val="38"/>
        </w:rPr>
        <w:t> </w:t>
      </w:r>
      <w:r>
        <w:rPr>
          <w:sz w:val="38"/>
        </w:rPr>
        <w:t>other</w:t>
      </w:r>
      <w:r>
        <w:rPr>
          <w:spacing w:val="-20"/>
          <w:sz w:val="38"/>
        </w:rPr>
        <w:t> </w:t>
      </w:r>
      <w:r>
        <w:rPr>
          <w:sz w:val="38"/>
        </w:rPr>
        <w:t>antioxidants,</w:t>
      </w:r>
      <w:r>
        <w:rPr>
          <w:spacing w:val="-19"/>
          <w:sz w:val="38"/>
        </w:rPr>
        <w:t> </w:t>
      </w:r>
      <w:r>
        <w:rPr>
          <w:sz w:val="38"/>
        </w:rPr>
        <w:t>can</w:t>
      </w:r>
      <w:r>
        <w:rPr>
          <w:spacing w:val="-22"/>
          <w:sz w:val="38"/>
        </w:rPr>
        <w:t> </w:t>
      </w:r>
      <w:r>
        <w:rPr>
          <w:sz w:val="38"/>
        </w:rPr>
        <w:t>even</w:t>
      </w:r>
      <w:r>
        <w:rPr>
          <w:spacing w:val="-22"/>
          <w:sz w:val="38"/>
        </w:rPr>
        <w:t> </w:t>
      </w:r>
      <w:r>
        <w:rPr>
          <w:sz w:val="38"/>
        </w:rPr>
        <w:t>pass</w:t>
      </w:r>
      <w:r>
        <w:rPr>
          <w:spacing w:val="-23"/>
          <w:sz w:val="38"/>
        </w:rPr>
        <w:t> </w:t>
      </w:r>
      <w:r>
        <w:rPr>
          <w:sz w:val="38"/>
        </w:rPr>
        <w:t>through</w:t>
      </w:r>
      <w:r>
        <w:rPr>
          <w:spacing w:val="-20"/>
          <w:sz w:val="38"/>
        </w:rPr>
        <w:t> </w:t>
      </w:r>
      <w:r>
        <w:rPr>
          <w:sz w:val="38"/>
        </w:rPr>
        <w:t>the blood-brain</w:t>
      </w:r>
      <w:r>
        <w:rPr>
          <w:spacing w:val="22"/>
          <w:sz w:val="38"/>
        </w:rPr>
        <w:t> </w:t>
      </w:r>
      <w:r>
        <w:rPr>
          <w:sz w:val="38"/>
        </w:rPr>
        <w:t>barrier</w:t>
      </w:r>
      <w:r>
        <w:rPr>
          <w:spacing w:val="24"/>
          <w:sz w:val="38"/>
        </w:rPr>
        <w:t> </w:t>
      </w:r>
      <w:r>
        <w:rPr>
          <w:sz w:val="38"/>
        </w:rPr>
        <w:t>and</w:t>
      </w:r>
      <w:r>
        <w:rPr>
          <w:spacing w:val="23"/>
          <w:sz w:val="38"/>
        </w:rPr>
        <w:t> </w:t>
      </w:r>
      <w:r>
        <w:rPr>
          <w:sz w:val="38"/>
        </w:rPr>
        <w:t>protect</w:t>
      </w:r>
      <w:r>
        <w:rPr>
          <w:spacing w:val="22"/>
          <w:sz w:val="38"/>
        </w:rPr>
        <w:t> </w:t>
      </w:r>
      <w:r>
        <w:rPr>
          <w:sz w:val="38"/>
        </w:rPr>
        <w:t>our</w:t>
      </w:r>
      <w:r>
        <w:rPr>
          <w:spacing w:val="23"/>
          <w:sz w:val="38"/>
        </w:rPr>
        <w:t> </w:t>
      </w:r>
      <w:r>
        <w:rPr>
          <w:sz w:val="38"/>
        </w:rPr>
        <w:t>brain</w:t>
      </w:r>
      <w:r>
        <w:rPr>
          <w:spacing w:val="23"/>
          <w:sz w:val="38"/>
        </w:rPr>
        <w:t> </w:t>
      </w:r>
      <w:r>
        <w:rPr>
          <w:sz w:val="38"/>
        </w:rPr>
        <w:t>cells</w:t>
      </w:r>
      <w:r>
        <w:rPr>
          <w:spacing w:val="21"/>
          <w:sz w:val="38"/>
        </w:rPr>
        <w:t> </w:t>
      </w:r>
      <w:r>
        <w:rPr>
          <w:sz w:val="38"/>
        </w:rPr>
        <w:t>due</w:t>
      </w:r>
      <w:r>
        <w:rPr>
          <w:spacing w:val="23"/>
          <w:sz w:val="38"/>
        </w:rPr>
        <w:t> </w:t>
      </w:r>
      <w:r>
        <w:rPr>
          <w:sz w:val="38"/>
        </w:rPr>
        <w:t>to</w:t>
      </w:r>
      <w:r>
        <w:rPr>
          <w:spacing w:val="24"/>
          <w:sz w:val="38"/>
        </w:rPr>
        <w:t> </w:t>
      </w:r>
      <w:r>
        <w:rPr>
          <w:sz w:val="38"/>
        </w:rPr>
        <w:t>its</w:t>
      </w:r>
      <w:r>
        <w:rPr>
          <w:spacing w:val="21"/>
          <w:sz w:val="38"/>
        </w:rPr>
        <w:t> </w:t>
      </w:r>
      <w:r>
        <w:rPr>
          <w:sz w:val="38"/>
        </w:rPr>
        <w:t>small</w:t>
      </w:r>
      <w:r>
        <w:rPr>
          <w:spacing w:val="21"/>
          <w:sz w:val="38"/>
        </w:rPr>
        <w:t> </w:t>
      </w:r>
      <w:r>
        <w:rPr>
          <w:sz w:val="38"/>
        </w:rPr>
        <w:t>molecular</w:t>
      </w:r>
      <w:r>
        <w:rPr>
          <w:spacing w:val="24"/>
          <w:sz w:val="38"/>
        </w:rPr>
        <w:t> </w:t>
      </w:r>
      <w:r>
        <w:rPr>
          <w:sz w:val="38"/>
        </w:rPr>
        <w:t>size</w:t>
      </w:r>
    </w:p>
    <w:p>
      <w:pPr>
        <w:spacing w:after="0" w:line="276" w:lineRule="auto"/>
        <w:jc w:val="both"/>
        <w:rPr>
          <w:sz w:val="38"/>
        </w:rPr>
        <w:sectPr>
          <w:pgSz w:w="14270" w:h="16850"/>
          <w:pgMar w:header="0" w:footer="1891" w:top="1600" w:bottom="2080" w:left="800" w:right="1280"/>
        </w:sectPr>
      </w:pPr>
    </w:p>
    <w:p>
      <w:pPr>
        <w:pStyle w:val="BodyText"/>
        <w:spacing w:line="276" w:lineRule="auto" w:before="181"/>
        <w:ind w:left="477" w:right="135"/>
        <w:jc w:val="both"/>
      </w:pPr>
      <w:r>
        <w:rPr/>
        <w:t>(see</w:t>
      </w:r>
      <w:r>
        <w:rPr>
          <w:spacing w:val="-20"/>
        </w:rPr>
        <w:t> </w:t>
      </w:r>
      <w:r>
        <w:rPr/>
        <w:t>also,</w:t>
      </w:r>
      <w:r>
        <w:rPr>
          <w:spacing w:val="-20"/>
        </w:rPr>
        <w:t> </w:t>
      </w:r>
      <w:r>
        <w:rPr/>
        <w:t>under</w:t>
      </w:r>
      <w:r>
        <w:rPr>
          <w:spacing w:val="-21"/>
        </w:rPr>
        <w:t> </w:t>
      </w:r>
      <w:r>
        <w:rPr/>
        <w:t>‘Effect’,</w:t>
      </w:r>
      <w:r>
        <w:rPr>
          <w:spacing w:val="-20"/>
        </w:rPr>
        <w:t> </w:t>
      </w:r>
      <w:r>
        <w:rPr/>
        <w:t>the</w:t>
      </w:r>
      <w:r>
        <w:rPr>
          <w:spacing w:val="-20"/>
        </w:rPr>
        <w:t> </w:t>
      </w:r>
      <w:r>
        <w:rPr/>
        <w:t>study</w:t>
      </w:r>
      <w:r>
        <w:rPr>
          <w:spacing w:val="-22"/>
        </w:rPr>
        <w:t> </w:t>
      </w:r>
      <w:r>
        <w:rPr/>
        <w:t>relating</w:t>
      </w:r>
      <w:r>
        <w:rPr>
          <w:spacing w:val="-19"/>
        </w:rPr>
        <w:t> </w:t>
      </w:r>
      <w:r>
        <w:rPr/>
        <w:t>to</w:t>
      </w:r>
      <w:r>
        <w:rPr>
          <w:spacing w:val="-21"/>
        </w:rPr>
        <w:t> </w:t>
      </w:r>
      <w:r>
        <w:rPr/>
        <w:t>increased</w:t>
      </w:r>
      <w:r>
        <w:rPr>
          <w:spacing w:val="-20"/>
        </w:rPr>
        <w:t> </w:t>
      </w:r>
      <w:r>
        <w:rPr/>
        <w:t>intelligence</w:t>
      </w:r>
      <w:r>
        <w:rPr>
          <w:spacing w:val="-20"/>
        </w:rPr>
        <w:t> </w:t>
      </w:r>
      <w:r>
        <w:rPr/>
        <w:t>due</w:t>
      </w:r>
      <w:r>
        <w:rPr>
          <w:spacing w:val="-22"/>
        </w:rPr>
        <w:t> </w:t>
      </w:r>
      <w:r>
        <w:rPr/>
        <w:t>to</w:t>
      </w:r>
      <w:r>
        <w:rPr>
          <w:spacing w:val="-21"/>
        </w:rPr>
        <w:t> </w:t>
      </w:r>
      <w:r>
        <w:rPr/>
        <w:t>alpha- lipoic</w:t>
      </w:r>
      <w:r>
        <w:rPr>
          <w:spacing w:val="-2"/>
        </w:rPr>
        <w:t> </w:t>
      </w:r>
      <w:r>
        <w:rPr/>
        <w:t>acid).</w:t>
      </w:r>
    </w:p>
    <w:p>
      <w:pPr>
        <w:pStyle w:val="ListParagraph"/>
        <w:numPr>
          <w:ilvl w:val="0"/>
          <w:numId w:val="11"/>
        </w:numPr>
        <w:tabs>
          <w:tab w:pos="1044" w:val="left" w:leader="none"/>
        </w:tabs>
        <w:spacing w:line="276" w:lineRule="auto" w:before="241" w:after="0"/>
        <w:ind w:left="477" w:right="141" w:firstLine="0"/>
        <w:jc w:val="both"/>
        <w:rPr>
          <w:sz w:val="38"/>
        </w:rPr>
      </w:pPr>
      <w:r>
        <w:rPr>
          <w:sz w:val="38"/>
        </w:rPr>
        <w:t>Furthermore, alpha-lipoic acid can regenerate other antioxidants so that they do not become exhausted in the fight against free</w:t>
      </w:r>
      <w:r>
        <w:rPr>
          <w:spacing w:val="-4"/>
          <w:sz w:val="38"/>
        </w:rPr>
        <w:t> </w:t>
      </w:r>
      <w:r>
        <w:rPr>
          <w:sz w:val="38"/>
        </w:rPr>
        <w:t>radicals.</w:t>
      </w:r>
    </w:p>
    <w:p>
      <w:pPr>
        <w:pStyle w:val="BodyText"/>
        <w:rPr>
          <w:sz w:val="42"/>
        </w:rPr>
      </w:pPr>
    </w:p>
    <w:p>
      <w:pPr>
        <w:pStyle w:val="BodyText"/>
        <w:rPr>
          <w:sz w:val="42"/>
        </w:rPr>
      </w:pPr>
    </w:p>
    <w:p>
      <w:pPr>
        <w:pStyle w:val="Heading2"/>
        <w:numPr>
          <w:ilvl w:val="0"/>
          <w:numId w:val="10"/>
        </w:numPr>
        <w:tabs>
          <w:tab w:pos="909" w:val="left" w:leader="none"/>
        </w:tabs>
        <w:spacing w:line="240" w:lineRule="auto" w:before="266" w:after="0"/>
        <w:ind w:left="908" w:right="0" w:hanging="431"/>
        <w:jc w:val="left"/>
      </w:pPr>
      <w:r>
        <w:rPr/>
        <w:t>Alpha-lipoic</w:t>
      </w:r>
      <w:r>
        <w:rPr>
          <w:spacing w:val="-10"/>
        </w:rPr>
        <w:t> </w:t>
      </w:r>
      <w:r>
        <w:rPr/>
        <w:t>acid</w:t>
      </w:r>
      <w:r>
        <w:rPr>
          <w:spacing w:val="-12"/>
        </w:rPr>
        <w:t> </w:t>
      </w:r>
      <w:r>
        <w:rPr/>
        <w:t>detoxifies</w:t>
      </w:r>
      <w:r>
        <w:rPr>
          <w:spacing w:val="-9"/>
        </w:rPr>
        <w:t> </w:t>
      </w:r>
      <w:r>
        <w:rPr/>
        <w:t>us</w:t>
      </w:r>
      <w:r>
        <w:rPr>
          <w:spacing w:val="-10"/>
        </w:rPr>
        <w:t> </w:t>
      </w:r>
      <w:r>
        <w:rPr/>
        <w:t>from</w:t>
      </w:r>
      <w:r>
        <w:rPr>
          <w:spacing w:val="-10"/>
        </w:rPr>
        <w:t> </w:t>
      </w:r>
      <w:r>
        <w:rPr/>
        <w:t>heavy</w:t>
      </w:r>
      <w:r>
        <w:rPr>
          <w:spacing w:val="-9"/>
        </w:rPr>
        <w:t> </w:t>
      </w:r>
      <w:r>
        <w:rPr/>
        <w:t>metals</w:t>
      </w:r>
      <w:r>
        <w:rPr>
          <w:spacing w:val="-9"/>
        </w:rPr>
        <w:t> </w:t>
      </w:r>
      <w:r>
        <w:rPr/>
        <w:t>and</w:t>
      </w:r>
      <w:r>
        <w:rPr>
          <w:spacing w:val="-11"/>
        </w:rPr>
        <w:t> </w:t>
      </w:r>
      <w:r>
        <w:rPr/>
        <w:t>radioactive</w:t>
      </w:r>
      <w:r>
        <w:rPr>
          <w:spacing w:val="-11"/>
        </w:rPr>
        <w:t> </w:t>
      </w:r>
      <w:r>
        <w:rPr/>
        <w:t>rays</w:t>
      </w:r>
    </w:p>
    <w:p>
      <w:pPr>
        <w:pStyle w:val="BodyText"/>
        <w:spacing w:line="276" w:lineRule="auto" w:before="305"/>
        <w:ind w:left="477" w:right="141"/>
        <w:jc w:val="both"/>
      </w:pPr>
      <w:r>
        <w:rPr/>
        <w:t>In</w:t>
      </w:r>
      <w:r>
        <w:rPr>
          <w:spacing w:val="-18"/>
        </w:rPr>
        <w:t> </w:t>
      </w:r>
      <w:r>
        <w:rPr/>
        <w:t>studies,</w:t>
      </w:r>
      <w:r>
        <w:rPr>
          <w:spacing w:val="-18"/>
        </w:rPr>
        <w:t> </w:t>
      </w:r>
      <w:r>
        <w:rPr/>
        <w:t>alpha-lipoic</w:t>
      </w:r>
      <w:r>
        <w:rPr>
          <w:spacing w:val="-20"/>
        </w:rPr>
        <w:t> </w:t>
      </w:r>
      <w:r>
        <w:rPr/>
        <w:t>acid</w:t>
      </w:r>
      <w:r>
        <w:rPr>
          <w:spacing w:val="-18"/>
        </w:rPr>
        <w:t> </w:t>
      </w:r>
      <w:r>
        <w:rPr/>
        <w:t>showed</w:t>
      </w:r>
      <w:r>
        <w:rPr>
          <w:spacing w:val="-19"/>
        </w:rPr>
        <w:t> </w:t>
      </w:r>
      <w:r>
        <w:rPr/>
        <w:t>it</w:t>
      </w:r>
      <w:r>
        <w:rPr>
          <w:spacing w:val="-20"/>
        </w:rPr>
        <w:t> </w:t>
      </w:r>
      <w:r>
        <w:rPr/>
        <w:t>could</w:t>
      </w:r>
      <w:r>
        <w:rPr>
          <w:spacing w:val="-19"/>
        </w:rPr>
        <w:t> </w:t>
      </w:r>
      <w:r>
        <w:rPr/>
        <w:t>remove</w:t>
      </w:r>
      <w:r>
        <w:rPr>
          <w:spacing w:val="-18"/>
        </w:rPr>
        <w:t> </w:t>
      </w:r>
      <w:r>
        <w:rPr/>
        <w:t>heavy</w:t>
      </w:r>
      <w:r>
        <w:rPr>
          <w:spacing w:val="-20"/>
        </w:rPr>
        <w:t> </w:t>
      </w:r>
      <w:r>
        <w:rPr/>
        <w:t>metals,</w:t>
      </w:r>
      <w:r>
        <w:rPr>
          <w:spacing w:val="-16"/>
        </w:rPr>
        <w:t> </w:t>
      </w:r>
      <w:r>
        <w:rPr/>
        <w:t>such</w:t>
      </w:r>
      <w:r>
        <w:rPr>
          <w:spacing w:val="-18"/>
        </w:rPr>
        <w:t> </w:t>
      </w:r>
      <w:r>
        <w:rPr/>
        <w:t>as</w:t>
      </w:r>
      <w:r>
        <w:rPr>
          <w:spacing w:val="-18"/>
        </w:rPr>
        <w:t> </w:t>
      </w:r>
      <w:r>
        <w:rPr/>
        <w:t>amal- gam, from the body and counteract radioactivity, as experiments on irradiated children in Chernobyl impressively demonstrated (see ‘Effect’).</w:t>
      </w:r>
    </w:p>
    <w:p>
      <w:pPr>
        <w:pStyle w:val="Heading2"/>
        <w:numPr>
          <w:ilvl w:val="0"/>
          <w:numId w:val="10"/>
        </w:numPr>
        <w:tabs>
          <w:tab w:pos="885" w:val="left" w:leader="none"/>
        </w:tabs>
        <w:spacing w:line="240" w:lineRule="auto" w:before="361" w:after="0"/>
        <w:ind w:left="884" w:right="0" w:hanging="407"/>
        <w:jc w:val="left"/>
      </w:pPr>
      <w:r>
        <w:rPr/>
        <w:t>Alpha-lipoic acid as an energy</w:t>
      </w:r>
      <w:r>
        <w:rPr>
          <w:spacing w:val="1"/>
        </w:rPr>
        <w:t> </w:t>
      </w:r>
      <w:r>
        <w:rPr/>
        <w:t>converter</w:t>
      </w:r>
    </w:p>
    <w:p>
      <w:pPr>
        <w:pStyle w:val="BodyText"/>
        <w:spacing w:line="276" w:lineRule="auto" w:before="305"/>
        <w:ind w:left="477" w:right="137"/>
        <w:jc w:val="both"/>
      </w:pPr>
      <w:r>
        <w:rPr/>
        <w:t>Alpha-lipoic acid plays a central role in the energy transformation of dietary sugar into energy within the mitochondria. Here, it acts as a coenzyme in nu- merous energy-transforming enzyme complexes and can convert food sugars (and dietary fats) into energy, a property that should be very interesting, espe- cially for diabetics, slimmers and athletes!</w:t>
      </w:r>
    </w:p>
    <w:p>
      <w:pPr>
        <w:pStyle w:val="BodyText"/>
        <w:spacing w:line="276" w:lineRule="auto" w:before="239"/>
        <w:ind w:left="477" w:right="132"/>
        <w:jc w:val="both"/>
      </w:pPr>
      <w:r>
        <w:rPr/>
        <w:t>For diabetics, this results in an insulin-saving effect, slimmers do not store as much sugar in the form of body fat, and athletes simply have more power! Al- pha-lipoic acid is an endogenous chemical that converts the mitochondria into a powerful antioxidant, provided there is enough lipoic acid in the body.</w:t>
      </w:r>
    </w:p>
    <w:p>
      <w:pPr>
        <w:spacing w:after="0" w:line="276" w:lineRule="auto"/>
        <w:jc w:val="both"/>
        <w:sectPr>
          <w:pgSz w:w="14270" w:h="16850"/>
          <w:pgMar w:header="0" w:footer="1891" w:top="1600" w:bottom="2080" w:left="800" w:right="1280"/>
        </w:sectPr>
      </w:pPr>
    </w:p>
    <w:p>
      <w:pPr>
        <w:pStyle w:val="BodyText"/>
        <w:spacing w:line="276" w:lineRule="auto" w:before="181"/>
        <w:ind w:left="477" w:right="139"/>
        <w:jc w:val="both"/>
      </w:pPr>
      <w:r>
        <w:rPr/>
        <w:t>Lipoic acid must be supplied regularly, as mitochondria are only reproduced every ten days. The body is able to produce alpha-lipoic acid, but only in</w:t>
      </w:r>
      <w:r>
        <w:rPr>
          <w:spacing w:val="-50"/>
        </w:rPr>
        <w:t> </w:t>
      </w:r>
      <w:r>
        <w:rPr/>
        <w:t>insuf- ficient amounts.</w:t>
      </w:r>
    </w:p>
    <w:p>
      <w:pPr>
        <w:pStyle w:val="BodyText"/>
        <w:rPr>
          <w:sz w:val="42"/>
        </w:rPr>
      </w:pPr>
    </w:p>
    <w:p>
      <w:pPr>
        <w:pStyle w:val="BodyText"/>
        <w:spacing w:before="6"/>
        <w:rPr>
          <w:sz w:val="44"/>
        </w:rPr>
      </w:pPr>
    </w:p>
    <w:p>
      <w:pPr>
        <w:pStyle w:val="Heading2"/>
      </w:pPr>
      <w:r>
        <w:rPr/>
        <w:t>The occurrence of alpha-lipoic acid (ALA) in the diet</w:t>
      </w:r>
    </w:p>
    <w:p>
      <w:pPr>
        <w:pStyle w:val="BodyText"/>
        <w:spacing w:line="276" w:lineRule="auto" w:before="303"/>
        <w:ind w:left="477" w:right="137"/>
        <w:jc w:val="both"/>
      </w:pPr>
      <w:r>
        <w:rPr/>
        <w:t>Alpha-lipoic acid is found in most foods, but only in traces. Higher concentra- tions are found in meat, especially in red meat, especially in the liver, heart and kidneys. However, vegetables such as spinach, broccoli or tomatoes contain trace amounts of alpha-lipoic acid.</w:t>
      </w:r>
    </w:p>
    <w:p>
      <w:pPr>
        <w:pStyle w:val="BodyText"/>
        <w:spacing w:line="276" w:lineRule="auto" w:before="241"/>
        <w:ind w:left="477" w:right="137"/>
        <w:jc w:val="both"/>
      </w:pPr>
      <w:r>
        <w:rPr/>
        <w:t>The following table shows the presence of alpha-lipoic acid in foods and illus- trates</w:t>
      </w:r>
      <w:r>
        <w:rPr>
          <w:spacing w:val="-6"/>
        </w:rPr>
        <w:t> </w:t>
      </w:r>
      <w:r>
        <w:rPr/>
        <w:t>how</w:t>
      </w:r>
      <w:r>
        <w:rPr>
          <w:spacing w:val="-7"/>
        </w:rPr>
        <w:t> </w:t>
      </w:r>
      <w:r>
        <w:rPr/>
        <w:t>difficult</w:t>
      </w:r>
      <w:r>
        <w:rPr>
          <w:spacing w:val="-8"/>
        </w:rPr>
        <w:t> </w:t>
      </w:r>
      <w:r>
        <w:rPr/>
        <w:t>it</w:t>
      </w:r>
      <w:r>
        <w:rPr>
          <w:spacing w:val="-7"/>
        </w:rPr>
        <w:t> </w:t>
      </w:r>
      <w:r>
        <w:rPr/>
        <w:t>is</w:t>
      </w:r>
      <w:r>
        <w:rPr>
          <w:spacing w:val="-7"/>
        </w:rPr>
        <w:t> </w:t>
      </w:r>
      <w:r>
        <w:rPr/>
        <w:t>to</w:t>
      </w:r>
      <w:r>
        <w:rPr>
          <w:spacing w:val="-5"/>
        </w:rPr>
        <w:t> </w:t>
      </w:r>
      <w:r>
        <w:rPr/>
        <w:t>ingest</w:t>
      </w:r>
      <w:r>
        <w:rPr>
          <w:spacing w:val="-9"/>
        </w:rPr>
        <w:t> </w:t>
      </w:r>
      <w:r>
        <w:rPr/>
        <w:t>the</w:t>
      </w:r>
      <w:r>
        <w:rPr>
          <w:spacing w:val="-5"/>
        </w:rPr>
        <w:t> </w:t>
      </w:r>
      <w:r>
        <w:rPr/>
        <w:t>100</w:t>
      </w:r>
      <w:r>
        <w:rPr>
          <w:spacing w:val="-8"/>
        </w:rPr>
        <w:t> </w:t>
      </w:r>
      <w:r>
        <w:rPr/>
        <w:t>mg</w:t>
      </w:r>
      <w:r>
        <w:rPr>
          <w:spacing w:val="-5"/>
        </w:rPr>
        <w:t> </w:t>
      </w:r>
      <w:r>
        <w:rPr/>
        <w:t>recommended</w:t>
      </w:r>
      <w:r>
        <w:rPr>
          <w:spacing w:val="-7"/>
        </w:rPr>
        <w:t> </w:t>
      </w:r>
      <w:r>
        <w:rPr/>
        <w:t>for</w:t>
      </w:r>
      <w:r>
        <w:rPr>
          <w:spacing w:val="-4"/>
        </w:rPr>
        <w:t> </w:t>
      </w:r>
      <w:r>
        <w:rPr/>
        <w:t>keeping</w:t>
      </w:r>
      <w:r>
        <w:rPr>
          <w:spacing w:val="-6"/>
        </w:rPr>
        <w:t> </w:t>
      </w:r>
      <w:r>
        <w:rPr/>
        <w:t>healthy from the natural diet:</w:t>
      </w:r>
    </w:p>
    <w:p>
      <w:pPr>
        <w:pStyle w:val="BodyText"/>
        <w:rPr>
          <w:sz w:val="20"/>
        </w:rPr>
      </w:pPr>
    </w:p>
    <w:p>
      <w:pPr>
        <w:pStyle w:val="BodyText"/>
        <w:rPr>
          <w:sz w:val="20"/>
        </w:rPr>
      </w:pPr>
    </w:p>
    <w:p>
      <w:pPr>
        <w:pStyle w:val="BodyText"/>
        <w:rPr>
          <w:sz w:val="20"/>
        </w:rPr>
      </w:pPr>
    </w:p>
    <w:p>
      <w:pPr>
        <w:pStyle w:val="BodyText"/>
        <w:spacing w:before="7"/>
        <w:rPr>
          <w:sz w:val="26"/>
        </w:rPr>
      </w:pPr>
    </w:p>
    <w:tbl>
      <w:tblPr>
        <w:tblW w:w="0" w:type="auto"/>
        <w:jc w:val="left"/>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50"/>
        <w:gridCol w:w="2304"/>
        <w:gridCol w:w="1435"/>
        <w:gridCol w:w="1716"/>
      </w:tblGrid>
      <w:tr>
        <w:trPr>
          <w:trHeight w:val="426" w:hRule="atLeast"/>
        </w:trPr>
        <w:tc>
          <w:tcPr>
            <w:tcW w:w="1250" w:type="dxa"/>
          </w:tcPr>
          <w:p>
            <w:pPr>
              <w:pStyle w:val="TableParagraph"/>
              <w:spacing w:line="407" w:lineRule="exact"/>
              <w:ind w:left="50"/>
              <w:rPr>
                <w:b/>
                <w:sz w:val="38"/>
              </w:rPr>
            </w:pPr>
            <w:r>
              <w:rPr>
                <w:b/>
                <w:sz w:val="38"/>
              </w:rPr>
              <w:t>Food</w:t>
            </w:r>
          </w:p>
        </w:tc>
        <w:tc>
          <w:tcPr>
            <w:tcW w:w="2304" w:type="dxa"/>
          </w:tcPr>
          <w:p>
            <w:pPr>
              <w:pStyle w:val="TableParagraph"/>
              <w:spacing w:line="407" w:lineRule="exact"/>
              <w:ind w:left="235"/>
              <w:rPr>
                <w:b/>
                <w:sz w:val="38"/>
              </w:rPr>
            </w:pPr>
            <w:r>
              <w:rPr>
                <w:b/>
                <w:sz w:val="38"/>
              </w:rPr>
              <w:t>Lipoyllysine</w:t>
            </w:r>
          </w:p>
        </w:tc>
        <w:tc>
          <w:tcPr>
            <w:tcW w:w="1435" w:type="dxa"/>
          </w:tcPr>
          <w:p>
            <w:pPr>
              <w:pStyle w:val="TableParagraph"/>
              <w:spacing w:line="407" w:lineRule="exact"/>
              <w:ind w:left="125"/>
              <w:rPr>
                <w:b/>
                <w:sz w:val="38"/>
              </w:rPr>
            </w:pPr>
            <w:r>
              <w:rPr>
                <w:b/>
                <w:sz w:val="38"/>
              </w:rPr>
              <w:t>Portion</w:t>
            </w:r>
          </w:p>
        </w:tc>
        <w:tc>
          <w:tcPr>
            <w:tcW w:w="1716" w:type="dxa"/>
          </w:tcPr>
          <w:p>
            <w:pPr>
              <w:pStyle w:val="TableParagraph"/>
              <w:spacing w:line="407" w:lineRule="exact"/>
              <w:ind w:left="187"/>
              <w:rPr>
                <w:b/>
                <w:sz w:val="38"/>
              </w:rPr>
            </w:pPr>
            <w:r>
              <w:rPr>
                <w:b/>
                <w:sz w:val="38"/>
              </w:rPr>
              <w:t>Alpha-li-</w:t>
            </w:r>
          </w:p>
        </w:tc>
      </w:tr>
      <w:tr>
        <w:trPr>
          <w:trHeight w:val="427" w:hRule="atLeast"/>
        </w:trPr>
        <w:tc>
          <w:tcPr>
            <w:tcW w:w="1250" w:type="dxa"/>
          </w:tcPr>
          <w:p>
            <w:pPr>
              <w:pStyle w:val="TableParagraph"/>
              <w:rPr>
                <w:rFonts w:ascii="Times New Roman"/>
                <w:sz w:val="32"/>
              </w:rPr>
            </w:pPr>
          </w:p>
        </w:tc>
        <w:tc>
          <w:tcPr>
            <w:tcW w:w="2304" w:type="dxa"/>
          </w:tcPr>
          <w:p>
            <w:pPr>
              <w:pStyle w:val="TableParagraph"/>
              <w:spacing w:line="407" w:lineRule="exact"/>
              <w:ind w:left="371"/>
              <w:rPr>
                <w:b/>
                <w:sz w:val="38"/>
              </w:rPr>
            </w:pPr>
            <w:r>
              <w:rPr>
                <w:b/>
                <w:sz w:val="38"/>
              </w:rPr>
              <w:t>(mg/g dry</w:t>
            </w:r>
          </w:p>
        </w:tc>
        <w:tc>
          <w:tcPr>
            <w:tcW w:w="1435" w:type="dxa"/>
          </w:tcPr>
          <w:p>
            <w:pPr>
              <w:pStyle w:val="TableParagraph"/>
              <w:rPr>
                <w:rFonts w:ascii="Times New Roman"/>
                <w:sz w:val="32"/>
              </w:rPr>
            </w:pPr>
          </w:p>
        </w:tc>
        <w:tc>
          <w:tcPr>
            <w:tcW w:w="1716" w:type="dxa"/>
          </w:tcPr>
          <w:p>
            <w:pPr>
              <w:pStyle w:val="TableParagraph"/>
              <w:spacing w:line="407" w:lineRule="exact"/>
              <w:ind w:left="545"/>
              <w:rPr>
                <w:b/>
                <w:sz w:val="38"/>
              </w:rPr>
            </w:pPr>
            <w:r>
              <w:rPr>
                <w:b/>
                <w:sz w:val="38"/>
              </w:rPr>
              <w:t>poic</w:t>
            </w:r>
          </w:p>
        </w:tc>
      </w:tr>
      <w:tr>
        <w:trPr>
          <w:trHeight w:val="428" w:hRule="atLeast"/>
        </w:trPr>
        <w:tc>
          <w:tcPr>
            <w:tcW w:w="1250" w:type="dxa"/>
          </w:tcPr>
          <w:p>
            <w:pPr>
              <w:pStyle w:val="TableParagraph"/>
              <w:rPr>
                <w:rFonts w:ascii="Times New Roman"/>
                <w:sz w:val="32"/>
              </w:rPr>
            </w:pPr>
          </w:p>
        </w:tc>
        <w:tc>
          <w:tcPr>
            <w:tcW w:w="2304" w:type="dxa"/>
          </w:tcPr>
          <w:p>
            <w:pPr>
              <w:pStyle w:val="TableParagraph"/>
              <w:spacing w:line="408" w:lineRule="exact"/>
              <w:ind w:left="604"/>
              <w:rPr>
                <w:b/>
                <w:sz w:val="38"/>
              </w:rPr>
            </w:pPr>
            <w:r>
              <w:rPr>
                <w:b/>
                <w:sz w:val="38"/>
              </w:rPr>
              <w:t>weight)</w:t>
            </w:r>
          </w:p>
        </w:tc>
        <w:tc>
          <w:tcPr>
            <w:tcW w:w="1435" w:type="dxa"/>
          </w:tcPr>
          <w:p>
            <w:pPr>
              <w:pStyle w:val="TableParagraph"/>
              <w:rPr>
                <w:rFonts w:ascii="Times New Roman"/>
                <w:sz w:val="32"/>
              </w:rPr>
            </w:pPr>
          </w:p>
        </w:tc>
        <w:tc>
          <w:tcPr>
            <w:tcW w:w="1716" w:type="dxa"/>
          </w:tcPr>
          <w:p>
            <w:pPr>
              <w:pStyle w:val="TableParagraph"/>
              <w:spacing w:line="408" w:lineRule="exact"/>
              <w:ind w:left="115"/>
              <w:rPr>
                <w:b/>
                <w:sz w:val="38"/>
              </w:rPr>
            </w:pPr>
            <w:r>
              <w:rPr>
                <w:b/>
                <w:sz w:val="38"/>
              </w:rPr>
              <w:t>acid/por-</w:t>
            </w:r>
          </w:p>
        </w:tc>
      </w:tr>
      <w:tr>
        <w:trPr>
          <w:trHeight w:val="428" w:hRule="atLeast"/>
        </w:trPr>
        <w:tc>
          <w:tcPr>
            <w:tcW w:w="1250" w:type="dxa"/>
          </w:tcPr>
          <w:p>
            <w:pPr>
              <w:pStyle w:val="TableParagraph"/>
              <w:rPr>
                <w:rFonts w:ascii="Times New Roman"/>
                <w:sz w:val="32"/>
              </w:rPr>
            </w:pPr>
          </w:p>
        </w:tc>
        <w:tc>
          <w:tcPr>
            <w:tcW w:w="2304" w:type="dxa"/>
          </w:tcPr>
          <w:p>
            <w:pPr>
              <w:pStyle w:val="TableParagraph"/>
              <w:rPr>
                <w:rFonts w:ascii="Times New Roman"/>
                <w:sz w:val="32"/>
              </w:rPr>
            </w:pPr>
          </w:p>
        </w:tc>
        <w:tc>
          <w:tcPr>
            <w:tcW w:w="1435" w:type="dxa"/>
          </w:tcPr>
          <w:p>
            <w:pPr>
              <w:pStyle w:val="TableParagraph"/>
              <w:rPr>
                <w:rFonts w:ascii="Times New Roman"/>
                <w:sz w:val="32"/>
              </w:rPr>
            </w:pPr>
          </w:p>
        </w:tc>
        <w:tc>
          <w:tcPr>
            <w:tcW w:w="1716" w:type="dxa"/>
          </w:tcPr>
          <w:p>
            <w:pPr>
              <w:pStyle w:val="TableParagraph"/>
              <w:spacing w:line="408" w:lineRule="exact" w:before="1"/>
              <w:ind w:left="577"/>
              <w:rPr>
                <w:b/>
                <w:sz w:val="38"/>
              </w:rPr>
            </w:pPr>
            <w:r>
              <w:rPr>
                <w:b/>
                <w:sz w:val="38"/>
              </w:rPr>
              <w:t>tion</w:t>
            </w:r>
          </w:p>
        </w:tc>
      </w:tr>
      <w:tr>
        <w:trPr>
          <w:trHeight w:val="427" w:hRule="atLeast"/>
        </w:trPr>
        <w:tc>
          <w:tcPr>
            <w:tcW w:w="1250" w:type="dxa"/>
          </w:tcPr>
          <w:p>
            <w:pPr>
              <w:pStyle w:val="TableParagraph"/>
              <w:rPr>
                <w:rFonts w:ascii="Times New Roman"/>
                <w:sz w:val="32"/>
              </w:rPr>
            </w:pPr>
          </w:p>
        </w:tc>
        <w:tc>
          <w:tcPr>
            <w:tcW w:w="2304" w:type="dxa"/>
          </w:tcPr>
          <w:p>
            <w:pPr>
              <w:pStyle w:val="TableParagraph"/>
              <w:rPr>
                <w:rFonts w:ascii="Times New Roman"/>
                <w:sz w:val="32"/>
              </w:rPr>
            </w:pPr>
          </w:p>
        </w:tc>
        <w:tc>
          <w:tcPr>
            <w:tcW w:w="1435" w:type="dxa"/>
          </w:tcPr>
          <w:p>
            <w:pPr>
              <w:pStyle w:val="TableParagraph"/>
              <w:rPr>
                <w:rFonts w:ascii="Times New Roman"/>
                <w:sz w:val="32"/>
              </w:rPr>
            </w:pPr>
          </w:p>
        </w:tc>
        <w:tc>
          <w:tcPr>
            <w:tcW w:w="1716" w:type="dxa"/>
          </w:tcPr>
          <w:p>
            <w:pPr>
              <w:pStyle w:val="TableParagraph"/>
              <w:spacing w:line="407" w:lineRule="exact"/>
              <w:ind w:left="404"/>
              <w:rPr>
                <w:b/>
                <w:sz w:val="38"/>
              </w:rPr>
            </w:pPr>
            <w:r>
              <w:rPr>
                <w:b/>
                <w:sz w:val="38"/>
              </w:rPr>
              <w:t>(mcg)</w:t>
            </w:r>
          </w:p>
        </w:tc>
      </w:tr>
      <w:tr>
        <w:trPr>
          <w:trHeight w:val="427" w:hRule="atLeast"/>
        </w:trPr>
        <w:tc>
          <w:tcPr>
            <w:tcW w:w="1250" w:type="dxa"/>
          </w:tcPr>
          <w:p>
            <w:pPr>
              <w:pStyle w:val="TableParagraph"/>
              <w:spacing w:line="408" w:lineRule="exact"/>
              <w:ind w:left="50"/>
              <w:rPr>
                <w:sz w:val="38"/>
              </w:rPr>
            </w:pPr>
            <w:r>
              <w:rPr>
                <w:sz w:val="38"/>
              </w:rPr>
              <w:t>Beef</w:t>
            </w:r>
          </w:p>
        </w:tc>
        <w:tc>
          <w:tcPr>
            <w:tcW w:w="2304" w:type="dxa"/>
          </w:tcPr>
          <w:p>
            <w:pPr>
              <w:pStyle w:val="TableParagraph"/>
              <w:spacing w:line="408" w:lineRule="exact"/>
              <w:ind w:left="235"/>
              <w:rPr>
                <w:sz w:val="38"/>
              </w:rPr>
            </w:pPr>
            <w:r>
              <w:rPr>
                <w:sz w:val="38"/>
              </w:rPr>
              <w:t>2.6</w:t>
            </w:r>
          </w:p>
        </w:tc>
        <w:tc>
          <w:tcPr>
            <w:tcW w:w="1435" w:type="dxa"/>
          </w:tcPr>
          <w:p>
            <w:pPr>
              <w:pStyle w:val="TableParagraph"/>
              <w:spacing w:line="408" w:lineRule="exact"/>
              <w:ind w:left="110"/>
              <w:rPr>
                <w:sz w:val="38"/>
              </w:rPr>
            </w:pPr>
            <w:r>
              <w:rPr>
                <w:w w:val="99"/>
                <w:sz w:val="38"/>
              </w:rPr>
              <w:t>3</w:t>
            </w:r>
          </w:p>
        </w:tc>
        <w:tc>
          <w:tcPr>
            <w:tcW w:w="1716" w:type="dxa"/>
          </w:tcPr>
          <w:p>
            <w:pPr>
              <w:pStyle w:val="TableParagraph"/>
              <w:spacing w:line="408" w:lineRule="exact"/>
              <w:ind w:left="669" w:right="650"/>
              <w:jc w:val="center"/>
              <w:rPr>
                <w:sz w:val="38"/>
              </w:rPr>
            </w:pPr>
            <w:r>
              <w:rPr>
                <w:sz w:val="38"/>
              </w:rPr>
              <w:t>32</w:t>
            </w:r>
          </w:p>
        </w:tc>
      </w:tr>
      <w:tr>
        <w:trPr>
          <w:trHeight w:val="427" w:hRule="atLeast"/>
        </w:trPr>
        <w:tc>
          <w:tcPr>
            <w:tcW w:w="1250" w:type="dxa"/>
          </w:tcPr>
          <w:p>
            <w:pPr>
              <w:pStyle w:val="TableParagraph"/>
              <w:spacing w:line="408" w:lineRule="exact"/>
              <w:ind w:left="50"/>
              <w:rPr>
                <w:sz w:val="38"/>
              </w:rPr>
            </w:pPr>
            <w:r>
              <w:rPr>
                <w:sz w:val="38"/>
              </w:rPr>
              <w:t>kidney</w:t>
            </w:r>
          </w:p>
        </w:tc>
        <w:tc>
          <w:tcPr>
            <w:tcW w:w="2304" w:type="dxa"/>
          </w:tcPr>
          <w:p>
            <w:pPr>
              <w:pStyle w:val="TableParagraph"/>
              <w:rPr>
                <w:rFonts w:ascii="Times New Roman"/>
                <w:sz w:val="32"/>
              </w:rPr>
            </w:pPr>
          </w:p>
        </w:tc>
        <w:tc>
          <w:tcPr>
            <w:tcW w:w="1435" w:type="dxa"/>
          </w:tcPr>
          <w:p>
            <w:pPr>
              <w:pStyle w:val="TableParagraph"/>
              <w:spacing w:line="408" w:lineRule="exact"/>
              <w:ind w:left="110"/>
              <w:rPr>
                <w:sz w:val="38"/>
              </w:rPr>
            </w:pPr>
            <w:r>
              <w:rPr>
                <w:sz w:val="38"/>
              </w:rPr>
              <w:t>ounces</w:t>
            </w:r>
          </w:p>
        </w:tc>
        <w:tc>
          <w:tcPr>
            <w:tcW w:w="1716" w:type="dxa"/>
          </w:tcPr>
          <w:p>
            <w:pPr>
              <w:pStyle w:val="TableParagraph"/>
              <w:rPr>
                <w:rFonts w:ascii="Times New Roman"/>
                <w:sz w:val="32"/>
              </w:rPr>
            </w:pPr>
          </w:p>
        </w:tc>
      </w:tr>
      <w:tr>
        <w:trPr>
          <w:trHeight w:val="427" w:hRule="atLeast"/>
        </w:trPr>
        <w:tc>
          <w:tcPr>
            <w:tcW w:w="1250" w:type="dxa"/>
          </w:tcPr>
          <w:p>
            <w:pPr>
              <w:pStyle w:val="TableParagraph"/>
              <w:rPr>
                <w:rFonts w:ascii="Times New Roman"/>
                <w:sz w:val="32"/>
              </w:rPr>
            </w:pPr>
          </w:p>
        </w:tc>
        <w:tc>
          <w:tcPr>
            <w:tcW w:w="2304" w:type="dxa"/>
          </w:tcPr>
          <w:p>
            <w:pPr>
              <w:pStyle w:val="TableParagraph"/>
              <w:rPr>
                <w:rFonts w:ascii="Times New Roman"/>
                <w:sz w:val="32"/>
              </w:rPr>
            </w:pPr>
          </w:p>
        </w:tc>
        <w:tc>
          <w:tcPr>
            <w:tcW w:w="1435" w:type="dxa"/>
          </w:tcPr>
          <w:p>
            <w:pPr>
              <w:pStyle w:val="TableParagraph"/>
              <w:spacing w:line="407" w:lineRule="exact"/>
              <w:ind w:left="110"/>
              <w:rPr>
                <w:sz w:val="38"/>
              </w:rPr>
            </w:pPr>
            <w:r>
              <w:rPr>
                <w:sz w:val="38"/>
              </w:rPr>
              <w:t>(85 g)</w:t>
            </w:r>
          </w:p>
        </w:tc>
        <w:tc>
          <w:tcPr>
            <w:tcW w:w="1716" w:type="dxa"/>
          </w:tcPr>
          <w:p>
            <w:pPr>
              <w:pStyle w:val="TableParagraph"/>
              <w:rPr>
                <w:rFonts w:ascii="Times New Roman"/>
                <w:sz w:val="32"/>
              </w:rPr>
            </w:pPr>
          </w:p>
        </w:tc>
      </w:tr>
      <w:tr>
        <w:trPr>
          <w:trHeight w:val="426" w:hRule="atLeast"/>
        </w:trPr>
        <w:tc>
          <w:tcPr>
            <w:tcW w:w="1250" w:type="dxa"/>
          </w:tcPr>
          <w:p>
            <w:pPr>
              <w:pStyle w:val="TableParagraph"/>
              <w:spacing w:line="407" w:lineRule="exact"/>
              <w:ind w:left="50"/>
              <w:rPr>
                <w:sz w:val="38"/>
              </w:rPr>
            </w:pPr>
            <w:r>
              <w:rPr>
                <w:sz w:val="38"/>
              </w:rPr>
              <w:t>Beef</w:t>
            </w:r>
          </w:p>
        </w:tc>
        <w:tc>
          <w:tcPr>
            <w:tcW w:w="2304" w:type="dxa"/>
          </w:tcPr>
          <w:p>
            <w:pPr>
              <w:pStyle w:val="TableParagraph"/>
              <w:spacing w:line="407" w:lineRule="exact"/>
              <w:ind w:left="235"/>
              <w:rPr>
                <w:sz w:val="38"/>
              </w:rPr>
            </w:pPr>
            <w:r>
              <w:rPr>
                <w:sz w:val="38"/>
              </w:rPr>
              <w:t>1.5</w:t>
            </w:r>
          </w:p>
        </w:tc>
        <w:tc>
          <w:tcPr>
            <w:tcW w:w="1435" w:type="dxa"/>
          </w:tcPr>
          <w:p>
            <w:pPr>
              <w:pStyle w:val="TableParagraph"/>
              <w:spacing w:line="407" w:lineRule="exact"/>
              <w:ind w:left="110"/>
              <w:rPr>
                <w:sz w:val="38"/>
              </w:rPr>
            </w:pPr>
            <w:r>
              <w:rPr>
                <w:w w:val="99"/>
                <w:sz w:val="38"/>
              </w:rPr>
              <w:t>3</w:t>
            </w:r>
          </w:p>
        </w:tc>
        <w:tc>
          <w:tcPr>
            <w:tcW w:w="1716" w:type="dxa"/>
          </w:tcPr>
          <w:p>
            <w:pPr>
              <w:pStyle w:val="TableParagraph"/>
              <w:spacing w:line="407" w:lineRule="exact"/>
              <w:ind w:left="669" w:right="650"/>
              <w:jc w:val="center"/>
              <w:rPr>
                <w:sz w:val="38"/>
              </w:rPr>
            </w:pPr>
            <w:r>
              <w:rPr>
                <w:sz w:val="38"/>
              </w:rPr>
              <w:t>19</w:t>
            </w:r>
          </w:p>
        </w:tc>
      </w:tr>
    </w:tbl>
    <w:p>
      <w:pPr>
        <w:spacing w:after="0" w:line="407" w:lineRule="exact"/>
        <w:jc w:val="center"/>
        <w:rPr>
          <w:sz w:val="38"/>
        </w:rPr>
        <w:sectPr>
          <w:pgSz w:w="14270" w:h="16850"/>
          <w:pgMar w:header="0" w:footer="1891" w:top="1600" w:bottom="2080" w:left="800" w:right="1280"/>
        </w:sectPr>
      </w:pPr>
    </w:p>
    <w:p>
      <w:pPr>
        <w:pStyle w:val="BodyText"/>
        <w:spacing w:before="4"/>
        <w:rPr>
          <w:sz w:val="16"/>
        </w:rPr>
      </w:pPr>
    </w:p>
    <w:tbl>
      <w:tblPr>
        <w:tblW w:w="0" w:type="auto"/>
        <w:jc w:val="left"/>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71"/>
        <w:gridCol w:w="1512"/>
        <w:gridCol w:w="2304"/>
        <w:gridCol w:w="907"/>
      </w:tblGrid>
      <w:tr>
        <w:trPr>
          <w:trHeight w:val="426" w:hRule="atLeast"/>
        </w:trPr>
        <w:tc>
          <w:tcPr>
            <w:tcW w:w="1371" w:type="dxa"/>
          </w:tcPr>
          <w:p>
            <w:pPr>
              <w:pStyle w:val="TableParagraph"/>
              <w:spacing w:line="407" w:lineRule="exact"/>
              <w:ind w:left="50"/>
              <w:rPr>
                <w:sz w:val="38"/>
              </w:rPr>
            </w:pPr>
            <w:r>
              <w:rPr>
                <w:sz w:val="38"/>
              </w:rPr>
              <w:t>heart</w:t>
            </w:r>
          </w:p>
        </w:tc>
        <w:tc>
          <w:tcPr>
            <w:tcW w:w="1512" w:type="dxa"/>
          </w:tcPr>
          <w:p>
            <w:pPr>
              <w:pStyle w:val="TableParagraph"/>
              <w:rPr>
                <w:rFonts w:ascii="Times New Roman"/>
                <w:sz w:val="32"/>
              </w:rPr>
            </w:pPr>
          </w:p>
        </w:tc>
        <w:tc>
          <w:tcPr>
            <w:tcW w:w="2304" w:type="dxa"/>
          </w:tcPr>
          <w:p>
            <w:pPr>
              <w:pStyle w:val="TableParagraph"/>
              <w:spacing w:line="407" w:lineRule="exact"/>
              <w:ind w:left="781"/>
              <w:rPr>
                <w:sz w:val="38"/>
              </w:rPr>
            </w:pPr>
            <w:r>
              <w:rPr>
                <w:sz w:val="38"/>
              </w:rPr>
              <w:t>ounces</w:t>
            </w:r>
          </w:p>
        </w:tc>
        <w:tc>
          <w:tcPr>
            <w:tcW w:w="907" w:type="dxa"/>
            <w:vMerge w:val="restart"/>
          </w:tcPr>
          <w:p>
            <w:pPr>
              <w:pStyle w:val="TableParagraph"/>
              <w:rPr>
                <w:rFonts w:ascii="Times New Roman"/>
                <w:sz w:val="36"/>
              </w:rPr>
            </w:pPr>
          </w:p>
        </w:tc>
      </w:tr>
      <w:tr>
        <w:trPr>
          <w:trHeight w:val="427" w:hRule="atLeast"/>
        </w:trPr>
        <w:tc>
          <w:tcPr>
            <w:tcW w:w="1371" w:type="dxa"/>
          </w:tcPr>
          <w:p>
            <w:pPr>
              <w:pStyle w:val="TableParagraph"/>
              <w:rPr>
                <w:rFonts w:ascii="Times New Roman"/>
                <w:sz w:val="32"/>
              </w:rPr>
            </w:pPr>
          </w:p>
        </w:tc>
        <w:tc>
          <w:tcPr>
            <w:tcW w:w="1512" w:type="dxa"/>
          </w:tcPr>
          <w:p>
            <w:pPr>
              <w:pStyle w:val="TableParagraph"/>
              <w:rPr>
                <w:rFonts w:ascii="Times New Roman"/>
                <w:sz w:val="32"/>
              </w:rPr>
            </w:pPr>
          </w:p>
        </w:tc>
        <w:tc>
          <w:tcPr>
            <w:tcW w:w="2304" w:type="dxa"/>
          </w:tcPr>
          <w:p>
            <w:pPr>
              <w:pStyle w:val="TableParagraph"/>
              <w:spacing w:line="407" w:lineRule="exact"/>
              <w:ind w:left="781"/>
              <w:rPr>
                <w:sz w:val="38"/>
              </w:rPr>
            </w:pPr>
            <w:r>
              <w:rPr>
                <w:sz w:val="38"/>
              </w:rPr>
              <w:t>(85 g</w:t>
            </w:r>
          </w:p>
        </w:tc>
        <w:tc>
          <w:tcPr>
            <w:tcW w:w="907" w:type="dxa"/>
            <w:vMerge/>
            <w:tcBorders>
              <w:top w:val="nil"/>
            </w:tcBorders>
          </w:tcPr>
          <w:p>
            <w:pPr>
              <w:rPr>
                <w:sz w:val="2"/>
                <w:szCs w:val="2"/>
              </w:rPr>
            </w:pPr>
          </w:p>
        </w:tc>
      </w:tr>
      <w:tr>
        <w:trPr>
          <w:trHeight w:val="428" w:hRule="atLeast"/>
        </w:trPr>
        <w:tc>
          <w:tcPr>
            <w:tcW w:w="1371" w:type="dxa"/>
          </w:tcPr>
          <w:p>
            <w:pPr>
              <w:pStyle w:val="TableParagraph"/>
              <w:spacing w:line="408" w:lineRule="exact"/>
              <w:ind w:left="50"/>
              <w:rPr>
                <w:sz w:val="38"/>
              </w:rPr>
            </w:pPr>
            <w:r>
              <w:rPr>
                <w:sz w:val="38"/>
              </w:rPr>
              <w:t>Beef</w:t>
            </w:r>
          </w:p>
        </w:tc>
        <w:tc>
          <w:tcPr>
            <w:tcW w:w="1512" w:type="dxa"/>
          </w:tcPr>
          <w:p>
            <w:pPr>
              <w:pStyle w:val="TableParagraph"/>
              <w:spacing w:line="408" w:lineRule="exact"/>
              <w:ind w:left="114"/>
              <w:rPr>
                <w:sz w:val="38"/>
              </w:rPr>
            </w:pPr>
            <w:r>
              <w:rPr>
                <w:sz w:val="38"/>
              </w:rPr>
              <w:t>0.9</w:t>
            </w:r>
          </w:p>
        </w:tc>
        <w:tc>
          <w:tcPr>
            <w:tcW w:w="2304" w:type="dxa"/>
          </w:tcPr>
          <w:p>
            <w:pPr>
              <w:pStyle w:val="TableParagraph"/>
              <w:spacing w:line="408" w:lineRule="exact"/>
              <w:ind w:left="781"/>
              <w:rPr>
                <w:sz w:val="38"/>
              </w:rPr>
            </w:pPr>
            <w:r>
              <w:rPr>
                <w:w w:val="99"/>
                <w:sz w:val="38"/>
              </w:rPr>
              <w:t>3</w:t>
            </w:r>
          </w:p>
        </w:tc>
        <w:tc>
          <w:tcPr>
            <w:tcW w:w="907" w:type="dxa"/>
          </w:tcPr>
          <w:p>
            <w:pPr>
              <w:pStyle w:val="TableParagraph"/>
              <w:spacing w:line="408" w:lineRule="exact"/>
              <w:ind w:right="57"/>
              <w:jc w:val="right"/>
              <w:rPr>
                <w:sz w:val="38"/>
              </w:rPr>
            </w:pPr>
            <w:r>
              <w:rPr>
                <w:w w:val="95"/>
                <w:sz w:val="38"/>
              </w:rPr>
              <w:t>14</w:t>
            </w:r>
          </w:p>
        </w:tc>
      </w:tr>
      <w:tr>
        <w:trPr>
          <w:trHeight w:val="428" w:hRule="atLeast"/>
        </w:trPr>
        <w:tc>
          <w:tcPr>
            <w:tcW w:w="1371" w:type="dxa"/>
          </w:tcPr>
          <w:p>
            <w:pPr>
              <w:pStyle w:val="TableParagraph"/>
              <w:spacing w:line="408" w:lineRule="exact" w:before="1"/>
              <w:ind w:left="50"/>
              <w:rPr>
                <w:sz w:val="38"/>
              </w:rPr>
            </w:pPr>
            <w:r>
              <w:rPr>
                <w:sz w:val="38"/>
              </w:rPr>
              <w:t>kidney</w:t>
            </w:r>
          </w:p>
        </w:tc>
        <w:tc>
          <w:tcPr>
            <w:tcW w:w="1512" w:type="dxa"/>
          </w:tcPr>
          <w:p>
            <w:pPr>
              <w:pStyle w:val="TableParagraph"/>
              <w:rPr>
                <w:rFonts w:ascii="Times New Roman"/>
                <w:sz w:val="32"/>
              </w:rPr>
            </w:pPr>
          </w:p>
        </w:tc>
        <w:tc>
          <w:tcPr>
            <w:tcW w:w="2304" w:type="dxa"/>
          </w:tcPr>
          <w:p>
            <w:pPr>
              <w:pStyle w:val="TableParagraph"/>
              <w:spacing w:line="408" w:lineRule="exact" w:before="1"/>
              <w:ind w:left="781"/>
              <w:rPr>
                <w:sz w:val="38"/>
              </w:rPr>
            </w:pPr>
            <w:r>
              <w:rPr>
                <w:sz w:val="38"/>
              </w:rPr>
              <w:t>ounces</w:t>
            </w:r>
          </w:p>
        </w:tc>
        <w:tc>
          <w:tcPr>
            <w:tcW w:w="907" w:type="dxa"/>
          </w:tcPr>
          <w:p>
            <w:pPr>
              <w:pStyle w:val="TableParagraph"/>
              <w:rPr>
                <w:rFonts w:ascii="Times New Roman"/>
                <w:sz w:val="32"/>
              </w:rPr>
            </w:pPr>
          </w:p>
        </w:tc>
      </w:tr>
      <w:tr>
        <w:trPr>
          <w:trHeight w:val="427" w:hRule="atLeast"/>
        </w:trPr>
        <w:tc>
          <w:tcPr>
            <w:tcW w:w="1371" w:type="dxa"/>
          </w:tcPr>
          <w:p>
            <w:pPr>
              <w:pStyle w:val="TableParagraph"/>
              <w:rPr>
                <w:rFonts w:ascii="Times New Roman"/>
                <w:sz w:val="32"/>
              </w:rPr>
            </w:pPr>
          </w:p>
        </w:tc>
        <w:tc>
          <w:tcPr>
            <w:tcW w:w="1512" w:type="dxa"/>
          </w:tcPr>
          <w:p>
            <w:pPr>
              <w:pStyle w:val="TableParagraph"/>
              <w:rPr>
                <w:rFonts w:ascii="Times New Roman"/>
                <w:sz w:val="32"/>
              </w:rPr>
            </w:pPr>
          </w:p>
        </w:tc>
        <w:tc>
          <w:tcPr>
            <w:tcW w:w="2304" w:type="dxa"/>
          </w:tcPr>
          <w:p>
            <w:pPr>
              <w:pStyle w:val="TableParagraph"/>
              <w:spacing w:line="407" w:lineRule="exact"/>
              <w:ind w:left="781"/>
              <w:rPr>
                <w:sz w:val="38"/>
              </w:rPr>
            </w:pPr>
            <w:r>
              <w:rPr>
                <w:sz w:val="38"/>
              </w:rPr>
              <w:t>(85 g)</w:t>
            </w:r>
          </w:p>
        </w:tc>
        <w:tc>
          <w:tcPr>
            <w:tcW w:w="907" w:type="dxa"/>
          </w:tcPr>
          <w:p>
            <w:pPr>
              <w:pStyle w:val="TableParagraph"/>
              <w:rPr>
                <w:rFonts w:ascii="Times New Roman"/>
                <w:sz w:val="32"/>
              </w:rPr>
            </w:pPr>
          </w:p>
        </w:tc>
      </w:tr>
      <w:tr>
        <w:trPr>
          <w:trHeight w:val="427" w:hRule="atLeast"/>
        </w:trPr>
        <w:tc>
          <w:tcPr>
            <w:tcW w:w="1371" w:type="dxa"/>
          </w:tcPr>
          <w:p>
            <w:pPr>
              <w:pStyle w:val="TableParagraph"/>
              <w:spacing w:line="407" w:lineRule="exact"/>
              <w:ind w:left="50"/>
              <w:rPr>
                <w:sz w:val="38"/>
              </w:rPr>
            </w:pPr>
            <w:r>
              <w:rPr>
                <w:sz w:val="38"/>
              </w:rPr>
              <w:t>Spinach</w:t>
            </w:r>
          </w:p>
        </w:tc>
        <w:tc>
          <w:tcPr>
            <w:tcW w:w="1512" w:type="dxa"/>
          </w:tcPr>
          <w:p>
            <w:pPr>
              <w:pStyle w:val="TableParagraph"/>
              <w:spacing w:line="407" w:lineRule="exact"/>
              <w:ind w:left="114"/>
              <w:rPr>
                <w:sz w:val="38"/>
              </w:rPr>
            </w:pPr>
            <w:r>
              <w:rPr>
                <w:sz w:val="38"/>
              </w:rPr>
              <w:t>3.2</w:t>
            </w:r>
          </w:p>
        </w:tc>
        <w:tc>
          <w:tcPr>
            <w:tcW w:w="2304" w:type="dxa"/>
          </w:tcPr>
          <w:p>
            <w:pPr>
              <w:pStyle w:val="TableParagraph"/>
              <w:tabs>
                <w:tab w:pos="1467" w:val="left" w:leader="none"/>
              </w:tabs>
              <w:spacing w:line="407" w:lineRule="exact"/>
              <w:ind w:left="781"/>
              <w:rPr>
                <w:sz w:val="38"/>
              </w:rPr>
            </w:pPr>
            <w:r>
              <w:rPr>
                <w:sz w:val="38"/>
              </w:rPr>
              <w:t>1</w:t>
              <w:tab/>
              <w:t>cup</w:t>
            </w:r>
          </w:p>
        </w:tc>
        <w:tc>
          <w:tcPr>
            <w:tcW w:w="907" w:type="dxa"/>
          </w:tcPr>
          <w:p>
            <w:pPr>
              <w:pStyle w:val="TableParagraph"/>
              <w:spacing w:line="407" w:lineRule="exact"/>
              <w:ind w:right="45"/>
              <w:jc w:val="right"/>
              <w:rPr>
                <w:sz w:val="38"/>
              </w:rPr>
            </w:pPr>
            <w:r>
              <w:rPr>
                <w:w w:val="99"/>
                <w:sz w:val="38"/>
              </w:rPr>
              <w:t>5</w:t>
            </w:r>
          </w:p>
        </w:tc>
      </w:tr>
      <w:tr>
        <w:trPr>
          <w:trHeight w:val="427" w:hRule="atLeast"/>
        </w:trPr>
        <w:tc>
          <w:tcPr>
            <w:tcW w:w="1371" w:type="dxa"/>
          </w:tcPr>
          <w:p>
            <w:pPr>
              <w:pStyle w:val="TableParagraph"/>
              <w:rPr>
                <w:rFonts w:ascii="Times New Roman"/>
                <w:sz w:val="32"/>
              </w:rPr>
            </w:pPr>
          </w:p>
        </w:tc>
        <w:tc>
          <w:tcPr>
            <w:tcW w:w="1512" w:type="dxa"/>
          </w:tcPr>
          <w:p>
            <w:pPr>
              <w:pStyle w:val="TableParagraph"/>
              <w:rPr>
                <w:rFonts w:ascii="Times New Roman"/>
                <w:sz w:val="32"/>
              </w:rPr>
            </w:pPr>
          </w:p>
        </w:tc>
        <w:tc>
          <w:tcPr>
            <w:tcW w:w="2304" w:type="dxa"/>
          </w:tcPr>
          <w:p>
            <w:pPr>
              <w:pStyle w:val="TableParagraph"/>
              <w:tabs>
                <w:tab w:pos="1536" w:val="left" w:leader="none"/>
              </w:tabs>
              <w:spacing w:line="407" w:lineRule="exact"/>
              <w:ind w:left="781"/>
              <w:rPr>
                <w:sz w:val="38"/>
              </w:rPr>
            </w:pPr>
            <w:r>
              <w:rPr>
                <w:sz w:val="38"/>
              </w:rPr>
              <w:t>raw</w:t>
              <w:tab/>
              <w:t>(30</w:t>
            </w:r>
          </w:p>
        </w:tc>
        <w:tc>
          <w:tcPr>
            <w:tcW w:w="907" w:type="dxa"/>
          </w:tcPr>
          <w:p>
            <w:pPr>
              <w:pStyle w:val="TableParagraph"/>
              <w:rPr>
                <w:rFonts w:ascii="Times New Roman"/>
                <w:sz w:val="32"/>
              </w:rPr>
            </w:pPr>
          </w:p>
        </w:tc>
      </w:tr>
      <w:tr>
        <w:trPr>
          <w:trHeight w:val="427" w:hRule="atLeast"/>
        </w:trPr>
        <w:tc>
          <w:tcPr>
            <w:tcW w:w="1371" w:type="dxa"/>
          </w:tcPr>
          <w:p>
            <w:pPr>
              <w:pStyle w:val="TableParagraph"/>
              <w:rPr>
                <w:rFonts w:ascii="Times New Roman"/>
                <w:sz w:val="32"/>
              </w:rPr>
            </w:pPr>
          </w:p>
        </w:tc>
        <w:tc>
          <w:tcPr>
            <w:tcW w:w="1512" w:type="dxa"/>
          </w:tcPr>
          <w:p>
            <w:pPr>
              <w:pStyle w:val="TableParagraph"/>
              <w:rPr>
                <w:rFonts w:ascii="Times New Roman"/>
                <w:sz w:val="32"/>
              </w:rPr>
            </w:pPr>
          </w:p>
        </w:tc>
        <w:tc>
          <w:tcPr>
            <w:tcW w:w="2304" w:type="dxa"/>
          </w:tcPr>
          <w:p>
            <w:pPr>
              <w:pStyle w:val="TableParagraph"/>
              <w:spacing w:line="408" w:lineRule="exact"/>
              <w:ind w:left="781"/>
              <w:rPr>
                <w:sz w:val="38"/>
              </w:rPr>
            </w:pPr>
            <w:r>
              <w:rPr>
                <w:sz w:val="38"/>
              </w:rPr>
              <w:t>g)</w:t>
            </w:r>
          </w:p>
        </w:tc>
        <w:tc>
          <w:tcPr>
            <w:tcW w:w="907" w:type="dxa"/>
          </w:tcPr>
          <w:p>
            <w:pPr>
              <w:pStyle w:val="TableParagraph"/>
              <w:rPr>
                <w:rFonts w:ascii="Times New Roman"/>
                <w:sz w:val="32"/>
              </w:rPr>
            </w:pPr>
          </w:p>
        </w:tc>
      </w:tr>
      <w:tr>
        <w:trPr>
          <w:trHeight w:val="427" w:hRule="atLeast"/>
        </w:trPr>
        <w:tc>
          <w:tcPr>
            <w:tcW w:w="1371" w:type="dxa"/>
          </w:tcPr>
          <w:p>
            <w:pPr>
              <w:pStyle w:val="TableParagraph"/>
              <w:spacing w:line="408" w:lineRule="exact"/>
              <w:ind w:left="50"/>
              <w:rPr>
                <w:sz w:val="38"/>
              </w:rPr>
            </w:pPr>
            <w:r>
              <w:rPr>
                <w:sz w:val="38"/>
              </w:rPr>
              <w:t>Broc-</w:t>
            </w:r>
          </w:p>
        </w:tc>
        <w:tc>
          <w:tcPr>
            <w:tcW w:w="1512" w:type="dxa"/>
          </w:tcPr>
          <w:p>
            <w:pPr>
              <w:pStyle w:val="TableParagraph"/>
              <w:spacing w:line="408" w:lineRule="exact"/>
              <w:ind w:left="114"/>
              <w:rPr>
                <w:sz w:val="38"/>
              </w:rPr>
            </w:pPr>
            <w:r>
              <w:rPr>
                <w:sz w:val="38"/>
              </w:rPr>
              <w:t>0.9</w:t>
            </w:r>
          </w:p>
        </w:tc>
        <w:tc>
          <w:tcPr>
            <w:tcW w:w="2304" w:type="dxa"/>
          </w:tcPr>
          <w:p>
            <w:pPr>
              <w:pStyle w:val="TableParagraph"/>
              <w:tabs>
                <w:tab w:pos="1467" w:val="left" w:leader="none"/>
              </w:tabs>
              <w:spacing w:line="408" w:lineRule="exact"/>
              <w:ind w:left="781"/>
              <w:rPr>
                <w:sz w:val="38"/>
              </w:rPr>
            </w:pPr>
            <w:r>
              <w:rPr>
                <w:sz w:val="38"/>
              </w:rPr>
              <w:t>1</w:t>
              <w:tab/>
              <w:t>cup</w:t>
            </w:r>
          </w:p>
        </w:tc>
        <w:tc>
          <w:tcPr>
            <w:tcW w:w="907" w:type="dxa"/>
          </w:tcPr>
          <w:p>
            <w:pPr>
              <w:pStyle w:val="TableParagraph"/>
              <w:spacing w:line="408" w:lineRule="exact"/>
              <w:ind w:right="45"/>
              <w:jc w:val="right"/>
              <w:rPr>
                <w:sz w:val="38"/>
              </w:rPr>
            </w:pPr>
            <w:r>
              <w:rPr>
                <w:w w:val="99"/>
                <w:sz w:val="38"/>
              </w:rPr>
              <w:t>4</w:t>
            </w:r>
          </w:p>
        </w:tc>
      </w:tr>
      <w:tr>
        <w:trPr>
          <w:trHeight w:val="427" w:hRule="atLeast"/>
        </w:trPr>
        <w:tc>
          <w:tcPr>
            <w:tcW w:w="1371" w:type="dxa"/>
          </w:tcPr>
          <w:p>
            <w:pPr>
              <w:pStyle w:val="TableParagraph"/>
              <w:spacing w:line="407" w:lineRule="exact"/>
              <w:ind w:left="50"/>
              <w:rPr>
                <w:sz w:val="38"/>
              </w:rPr>
            </w:pPr>
            <w:r>
              <w:rPr>
                <w:sz w:val="38"/>
              </w:rPr>
              <w:t>coli</w:t>
            </w:r>
          </w:p>
        </w:tc>
        <w:tc>
          <w:tcPr>
            <w:tcW w:w="1512" w:type="dxa"/>
          </w:tcPr>
          <w:p>
            <w:pPr>
              <w:pStyle w:val="TableParagraph"/>
              <w:rPr>
                <w:rFonts w:ascii="Times New Roman"/>
                <w:sz w:val="32"/>
              </w:rPr>
            </w:pPr>
          </w:p>
        </w:tc>
        <w:tc>
          <w:tcPr>
            <w:tcW w:w="2304" w:type="dxa"/>
          </w:tcPr>
          <w:p>
            <w:pPr>
              <w:pStyle w:val="TableParagraph"/>
              <w:tabs>
                <w:tab w:pos="1536" w:val="left" w:leader="none"/>
              </w:tabs>
              <w:spacing w:line="407" w:lineRule="exact"/>
              <w:ind w:left="781"/>
              <w:rPr>
                <w:sz w:val="38"/>
              </w:rPr>
            </w:pPr>
            <w:r>
              <w:rPr>
                <w:sz w:val="38"/>
              </w:rPr>
              <w:t>raw</w:t>
              <w:tab/>
              <w:t>(71</w:t>
            </w:r>
          </w:p>
        </w:tc>
        <w:tc>
          <w:tcPr>
            <w:tcW w:w="907" w:type="dxa"/>
          </w:tcPr>
          <w:p>
            <w:pPr>
              <w:pStyle w:val="TableParagraph"/>
              <w:rPr>
                <w:rFonts w:ascii="Times New Roman"/>
                <w:sz w:val="32"/>
              </w:rPr>
            </w:pPr>
          </w:p>
        </w:tc>
      </w:tr>
      <w:tr>
        <w:trPr>
          <w:trHeight w:val="428" w:hRule="atLeast"/>
        </w:trPr>
        <w:tc>
          <w:tcPr>
            <w:tcW w:w="1371" w:type="dxa"/>
          </w:tcPr>
          <w:p>
            <w:pPr>
              <w:pStyle w:val="TableParagraph"/>
              <w:rPr>
                <w:rFonts w:ascii="Times New Roman"/>
                <w:sz w:val="32"/>
              </w:rPr>
            </w:pPr>
          </w:p>
        </w:tc>
        <w:tc>
          <w:tcPr>
            <w:tcW w:w="1512" w:type="dxa"/>
          </w:tcPr>
          <w:p>
            <w:pPr>
              <w:pStyle w:val="TableParagraph"/>
              <w:rPr>
                <w:rFonts w:ascii="Times New Roman"/>
                <w:sz w:val="32"/>
              </w:rPr>
            </w:pPr>
          </w:p>
        </w:tc>
        <w:tc>
          <w:tcPr>
            <w:tcW w:w="2304" w:type="dxa"/>
          </w:tcPr>
          <w:p>
            <w:pPr>
              <w:pStyle w:val="TableParagraph"/>
              <w:spacing w:line="408" w:lineRule="exact"/>
              <w:ind w:left="781"/>
              <w:rPr>
                <w:sz w:val="38"/>
              </w:rPr>
            </w:pPr>
            <w:r>
              <w:rPr>
                <w:sz w:val="38"/>
              </w:rPr>
              <w:t>g)</w:t>
            </w:r>
          </w:p>
        </w:tc>
        <w:tc>
          <w:tcPr>
            <w:tcW w:w="907" w:type="dxa"/>
          </w:tcPr>
          <w:p>
            <w:pPr>
              <w:pStyle w:val="TableParagraph"/>
              <w:rPr>
                <w:rFonts w:ascii="Times New Roman"/>
                <w:sz w:val="32"/>
              </w:rPr>
            </w:pPr>
          </w:p>
        </w:tc>
      </w:tr>
      <w:tr>
        <w:trPr>
          <w:trHeight w:val="428" w:hRule="atLeast"/>
        </w:trPr>
        <w:tc>
          <w:tcPr>
            <w:tcW w:w="1371" w:type="dxa"/>
          </w:tcPr>
          <w:p>
            <w:pPr>
              <w:pStyle w:val="TableParagraph"/>
              <w:spacing w:line="408" w:lineRule="exact" w:before="1"/>
              <w:ind w:left="50"/>
              <w:rPr>
                <w:sz w:val="38"/>
              </w:rPr>
            </w:pPr>
            <w:r>
              <w:rPr>
                <w:sz w:val="38"/>
              </w:rPr>
              <w:t>Toma-</w:t>
            </w:r>
          </w:p>
        </w:tc>
        <w:tc>
          <w:tcPr>
            <w:tcW w:w="1512" w:type="dxa"/>
          </w:tcPr>
          <w:p>
            <w:pPr>
              <w:pStyle w:val="TableParagraph"/>
              <w:spacing w:line="408" w:lineRule="exact" w:before="1"/>
              <w:ind w:left="114"/>
              <w:rPr>
                <w:sz w:val="38"/>
              </w:rPr>
            </w:pPr>
            <w:r>
              <w:rPr>
                <w:sz w:val="38"/>
              </w:rPr>
              <w:t>0.6</w:t>
            </w:r>
          </w:p>
        </w:tc>
        <w:tc>
          <w:tcPr>
            <w:tcW w:w="2304" w:type="dxa"/>
          </w:tcPr>
          <w:p>
            <w:pPr>
              <w:pStyle w:val="TableParagraph"/>
              <w:tabs>
                <w:tab w:pos="1436" w:val="left" w:leader="none"/>
              </w:tabs>
              <w:spacing w:line="408" w:lineRule="exact" w:before="1"/>
              <w:ind w:left="781"/>
              <w:rPr>
                <w:sz w:val="38"/>
              </w:rPr>
            </w:pPr>
            <w:r>
              <w:rPr>
                <w:sz w:val="38"/>
              </w:rPr>
              <w:t>1</w:t>
              <w:tab/>
              <w:t>me-</w:t>
            </w:r>
          </w:p>
        </w:tc>
        <w:tc>
          <w:tcPr>
            <w:tcW w:w="907" w:type="dxa"/>
          </w:tcPr>
          <w:p>
            <w:pPr>
              <w:pStyle w:val="TableParagraph"/>
              <w:spacing w:line="408" w:lineRule="exact" w:before="1"/>
              <w:ind w:right="45"/>
              <w:jc w:val="right"/>
              <w:rPr>
                <w:sz w:val="38"/>
              </w:rPr>
            </w:pPr>
            <w:r>
              <w:rPr>
                <w:w w:val="99"/>
                <w:sz w:val="38"/>
              </w:rPr>
              <w:t>3</w:t>
            </w:r>
          </w:p>
        </w:tc>
      </w:tr>
      <w:tr>
        <w:trPr>
          <w:trHeight w:val="427" w:hRule="atLeast"/>
        </w:trPr>
        <w:tc>
          <w:tcPr>
            <w:tcW w:w="1371" w:type="dxa"/>
          </w:tcPr>
          <w:p>
            <w:pPr>
              <w:pStyle w:val="TableParagraph"/>
              <w:spacing w:line="407" w:lineRule="exact"/>
              <w:ind w:left="50"/>
              <w:rPr>
                <w:sz w:val="38"/>
              </w:rPr>
            </w:pPr>
            <w:r>
              <w:rPr>
                <w:sz w:val="38"/>
              </w:rPr>
              <w:t>toes</w:t>
            </w:r>
          </w:p>
        </w:tc>
        <w:tc>
          <w:tcPr>
            <w:tcW w:w="1512" w:type="dxa"/>
          </w:tcPr>
          <w:p>
            <w:pPr>
              <w:pStyle w:val="TableParagraph"/>
              <w:rPr>
                <w:rFonts w:ascii="Times New Roman"/>
                <w:sz w:val="32"/>
              </w:rPr>
            </w:pPr>
          </w:p>
        </w:tc>
        <w:tc>
          <w:tcPr>
            <w:tcW w:w="2304" w:type="dxa"/>
          </w:tcPr>
          <w:p>
            <w:pPr>
              <w:pStyle w:val="TableParagraph"/>
              <w:spacing w:line="407" w:lineRule="exact"/>
              <w:ind w:left="781"/>
              <w:rPr>
                <w:sz w:val="38"/>
              </w:rPr>
            </w:pPr>
            <w:r>
              <w:rPr>
                <w:sz w:val="38"/>
              </w:rPr>
              <w:t>dium</w:t>
            </w:r>
          </w:p>
        </w:tc>
        <w:tc>
          <w:tcPr>
            <w:tcW w:w="907" w:type="dxa"/>
          </w:tcPr>
          <w:p>
            <w:pPr>
              <w:pStyle w:val="TableParagraph"/>
              <w:rPr>
                <w:rFonts w:ascii="Times New Roman"/>
                <w:sz w:val="32"/>
              </w:rPr>
            </w:pPr>
          </w:p>
        </w:tc>
      </w:tr>
      <w:tr>
        <w:trPr>
          <w:trHeight w:val="427" w:hRule="atLeast"/>
        </w:trPr>
        <w:tc>
          <w:tcPr>
            <w:tcW w:w="1371" w:type="dxa"/>
          </w:tcPr>
          <w:p>
            <w:pPr>
              <w:pStyle w:val="TableParagraph"/>
              <w:rPr>
                <w:rFonts w:ascii="Times New Roman"/>
                <w:sz w:val="32"/>
              </w:rPr>
            </w:pPr>
          </w:p>
        </w:tc>
        <w:tc>
          <w:tcPr>
            <w:tcW w:w="1512" w:type="dxa"/>
          </w:tcPr>
          <w:p>
            <w:pPr>
              <w:pStyle w:val="TableParagraph"/>
              <w:rPr>
                <w:rFonts w:ascii="Times New Roman"/>
                <w:sz w:val="32"/>
              </w:rPr>
            </w:pPr>
          </w:p>
        </w:tc>
        <w:tc>
          <w:tcPr>
            <w:tcW w:w="2304" w:type="dxa"/>
          </w:tcPr>
          <w:p>
            <w:pPr>
              <w:pStyle w:val="TableParagraph"/>
              <w:spacing w:line="407" w:lineRule="exact"/>
              <w:ind w:left="781"/>
              <w:rPr>
                <w:sz w:val="38"/>
              </w:rPr>
            </w:pPr>
            <w:r>
              <w:rPr>
                <w:sz w:val="38"/>
              </w:rPr>
              <w:t>(123 g)</w:t>
            </w:r>
          </w:p>
        </w:tc>
        <w:tc>
          <w:tcPr>
            <w:tcW w:w="907" w:type="dxa"/>
          </w:tcPr>
          <w:p>
            <w:pPr>
              <w:pStyle w:val="TableParagraph"/>
              <w:rPr>
                <w:rFonts w:ascii="Times New Roman"/>
                <w:sz w:val="32"/>
              </w:rPr>
            </w:pPr>
          </w:p>
        </w:tc>
      </w:tr>
      <w:tr>
        <w:trPr>
          <w:trHeight w:val="427" w:hRule="atLeast"/>
        </w:trPr>
        <w:tc>
          <w:tcPr>
            <w:tcW w:w="1371" w:type="dxa"/>
          </w:tcPr>
          <w:p>
            <w:pPr>
              <w:pStyle w:val="TableParagraph"/>
              <w:spacing w:line="407" w:lineRule="exact"/>
              <w:ind w:left="50"/>
              <w:rPr>
                <w:sz w:val="38"/>
              </w:rPr>
            </w:pPr>
            <w:r>
              <w:rPr>
                <w:sz w:val="38"/>
              </w:rPr>
              <w:t>Peas</w:t>
            </w:r>
          </w:p>
        </w:tc>
        <w:tc>
          <w:tcPr>
            <w:tcW w:w="1512" w:type="dxa"/>
          </w:tcPr>
          <w:p>
            <w:pPr>
              <w:pStyle w:val="TableParagraph"/>
              <w:spacing w:line="407" w:lineRule="exact"/>
              <w:ind w:left="114"/>
              <w:rPr>
                <w:sz w:val="38"/>
              </w:rPr>
            </w:pPr>
            <w:r>
              <w:rPr>
                <w:sz w:val="38"/>
              </w:rPr>
              <w:t>0.4</w:t>
            </w:r>
          </w:p>
        </w:tc>
        <w:tc>
          <w:tcPr>
            <w:tcW w:w="2304" w:type="dxa"/>
          </w:tcPr>
          <w:p>
            <w:pPr>
              <w:pStyle w:val="TableParagraph"/>
              <w:tabs>
                <w:tab w:pos="1467" w:val="left" w:leader="none"/>
              </w:tabs>
              <w:spacing w:line="407" w:lineRule="exact"/>
              <w:ind w:left="781"/>
              <w:rPr>
                <w:sz w:val="38"/>
              </w:rPr>
            </w:pPr>
            <w:r>
              <w:rPr>
                <w:sz w:val="38"/>
              </w:rPr>
              <w:t>1</w:t>
              <w:tab/>
              <w:t>cup</w:t>
            </w:r>
          </w:p>
        </w:tc>
        <w:tc>
          <w:tcPr>
            <w:tcW w:w="907" w:type="dxa"/>
          </w:tcPr>
          <w:p>
            <w:pPr>
              <w:pStyle w:val="TableParagraph"/>
              <w:spacing w:line="407" w:lineRule="exact"/>
              <w:ind w:right="45"/>
              <w:jc w:val="right"/>
              <w:rPr>
                <w:sz w:val="38"/>
              </w:rPr>
            </w:pPr>
            <w:r>
              <w:rPr>
                <w:w w:val="99"/>
                <w:sz w:val="38"/>
              </w:rPr>
              <w:t>7</w:t>
            </w:r>
          </w:p>
        </w:tc>
      </w:tr>
      <w:tr>
        <w:trPr>
          <w:trHeight w:val="426" w:hRule="atLeast"/>
        </w:trPr>
        <w:tc>
          <w:tcPr>
            <w:tcW w:w="1371" w:type="dxa"/>
          </w:tcPr>
          <w:p>
            <w:pPr>
              <w:pStyle w:val="TableParagraph"/>
              <w:rPr>
                <w:rFonts w:ascii="Times New Roman"/>
                <w:sz w:val="32"/>
              </w:rPr>
            </w:pPr>
          </w:p>
        </w:tc>
        <w:tc>
          <w:tcPr>
            <w:tcW w:w="1512" w:type="dxa"/>
          </w:tcPr>
          <w:p>
            <w:pPr>
              <w:pStyle w:val="TableParagraph"/>
              <w:rPr>
                <w:rFonts w:ascii="Times New Roman"/>
                <w:sz w:val="32"/>
              </w:rPr>
            </w:pPr>
          </w:p>
        </w:tc>
        <w:tc>
          <w:tcPr>
            <w:tcW w:w="2304" w:type="dxa"/>
          </w:tcPr>
          <w:p>
            <w:pPr>
              <w:pStyle w:val="TableParagraph"/>
              <w:spacing w:line="407" w:lineRule="exact"/>
              <w:ind w:left="781"/>
              <w:rPr>
                <w:sz w:val="38"/>
              </w:rPr>
            </w:pPr>
            <w:r>
              <w:rPr>
                <w:sz w:val="38"/>
              </w:rPr>
              <w:t>raw</w:t>
            </w:r>
          </w:p>
        </w:tc>
        <w:tc>
          <w:tcPr>
            <w:tcW w:w="907" w:type="dxa"/>
          </w:tcPr>
          <w:p>
            <w:pPr>
              <w:pStyle w:val="TableParagraph"/>
              <w:rPr>
                <w:rFonts w:ascii="Times New Roman"/>
                <w:sz w:val="32"/>
              </w:rPr>
            </w:pPr>
          </w:p>
        </w:tc>
      </w:tr>
      <w:tr>
        <w:trPr>
          <w:trHeight w:val="427" w:hRule="atLeast"/>
        </w:trPr>
        <w:tc>
          <w:tcPr>
            <w:tcW w:w="1371" w:type="dxa"/>
          </w:tcPr>
          <w:p>
            <w:pPr>
              <w:pStyle w:val="TableParagraph"/>
              <w:rPr>
                <w:rFonts w:ascii="Times New Roman"/>
                <w:sz w:val="32"/>
              </w:rPr>
            </w:pPr>
          </w:p>
        </w:tc>
        <w:tc>
          <w:tcPr>
            <w:tcW w:w="1512" w:type="dxa"/>
          </w:tcPr>
          <w:p>
            <w:pPr>
              <w:pStyle w:val="TableParagraph"/>
              <w:rPr>
                <w:rFonts w:ascii="Times New Roman"/>
                <w:sz w:val="32"/>
              </w:rPr>
            </w:pPr>
          </w:p>
        </w:tc>
        <w:tc>
          <w:tcPr>
            <w:tcW w:w="2304" w:type="dxa"/>
          </w:tcPr>
          <w:p>
            <w:pPr>
              <w:pStyle w:val="TableParagraph"/>
              <w:spacing w:line="407" w:lineRule="exact"/>
              <w:ind w:left="781"/>
              <w:rPr>
                <w:sz w:val="38"/>
              </w:rPr>
            </w:pPr>
            <w:r>
              <w:rPr>
                <w:sz w:val="38"/>
              </w:rPr>
              <w:t>(145 g)</w:t>
            </w:r>
          </w:p>
        </w:tc>
        <w:tc>
          <w:tcPr>
            <w:tcW w:w="907" w:type="dxa"/>
          </w:tcPr>
          <w:p>
            <w:pPr>
              <w:pStyle w:val="TableParagraph"/>
              <w:rPr>
                <w:rFonts w:ascii="Times New Roman"/>
                <w:sz w:val="32"/>
              </w:rPr>
            </w:pPr>
          </w:p>
        </w:tc>
      </w:tr>
      <w:tr>
        <w:trPr>
          <w:trHeight w:val="427" w:hRule="atLeast"/>
        </w:trPr>
        <w:tc>
          <w:tcPr>
            <w:tcW w:w="1371" w:type="dxa"/>
          </w:tcPr>
          <w:p>
            <w:pPr>
              <w:pStyle w:val="TableParagraph"/>
              <w:spacing w:line="407" w:lineRule="exact"/>
              <w:ind w:left="50"/>
              <w:rPr>
                <w:sz w:val="38"/>
              </w:rPr>
            </w:pPr>
            <w:r>
              <w:rPr>
                <w:sz w:val="38"/>
              </w:rPr>
              <w:t>Brussels</w:t>
            </w:r>
          </w:p>
        </w:tc>
        <w:tc>
          <w:tcPr>
            <w:tcW w:w="1512" w:type="dxa"/>
          </w:tcPr>
          <w:p>
            <w:pPr>
              <w:pStyle w:val="TableParagraph"/>
              <w:spacing w:line="407" w:lineRule="exact"/>
              <w:ind w:left="114"/>
              <w:rPr>
                <w:sz w:val="38"/>
              </w:rPr>
            </w:pPr>
            <w:r>
              <w:rPr>
                <w:sz w:val="38"/>
              </w:rPr>
              <w:t>0.4</w:t>
            </w:r>
          </w:p>
        </w:tc>
        <w:tc>
          <w:tcPr>
            <w:tcW w:w="2304" w:type="dxa"/>
          </w:tcPr>
          <w:p>
            <w:pPr>
              <w:pStyle w:val="TableParagraph"/>
              <w:tabs>
                <w:tab w:pos="1467" w:val="left" w:leader="none"/>
              </w:tabs>
              <w:spacing w:line="407" w:lineRule="exact"/>
              <w:ind w:left="781"/>
              <w:rPr>
                <w:sz w:val="38"/>
              </w:rPr>
            </w:pPr>
            <w:r>
              <w:rPr>
                <w:sz w:val="38"/>
              </w:rPr>
              <w:t>1</w:t>
              <w:tab/>
              <w:t>cup</w:t>
            </w:r>
          </w:p>
        </w:tc>
        <w:tc>
          <w:tcPr>
            <w:tcW w:w="907" w:type="dxa"/>
          </w:tcPr>
          <w:p>
            <w:pPr>
              <w:pStyle w:val="TableParagraph"/>
              <w:spacing w:line="407" w:lineRule="exact"/>
              <w:ind w:right="45"/>
              <w:jc w:val="right"/>
              <w:rPr>
                <w:sz w:val="38"/>
              </w:rPr>
            </w:pPr>
            <w:r>
              <w:rPr>
                <w:w w:val="99"/>
                <w:sz w:val="38"/>
              </w:rPr>
              <w:t>3</w:t>
            </w:r>
          </w:p>
        </w:tc>
      </w:tr>
      <w:tr>
        <w:trPr>
          <w:trHeight w:val="428" w:hRule="atLeast"/>
        </w:trPr>
        <w:tc>
          <w:tcPr>
            <w:tcW w:w="1371" w:type="dxa"/>
          </w:tcPr>
          <w:p>
            <w:pPr>
              <w:pStyle w:val="TableParagraph"/>
              <w:spacing w:line="408" w:lineRule="exact"/>
              <w:ind w:left="50"/>
              <w:rPr>
                <w:sz w:val="38"/>
              </w:rPr>
            </w:pPr>
            <w:r>
              <w:rPr>
                <w:sz w:val="38"/>
              </w:rPr>
              <w:t>sprout</w:t>
            </w:r>
          </w:p>
        </w:tc>
        <w:tc>
          <w:tcPr>
            <w:tcW w:w="1512" w:type="dxa"/>
          </w:tcPr>
          <w:p>
            <w:pPr>
              <w:pStyle w:val="TableParagraph"/>
              <w:rPr>
                <w:rFonts w:ascii="Times New Roman"/>
                <w:sz w:val="32"/>
              </w:rPr>
            </w:pPr>
          </w:p>
        </w:tc>
        <w:tc>
          <w:tcPr>
            <w:tcW w:w="2304" w:type="dxa"/>
          </w:tcPr>
          <w:p>
            <w:pPr>
              <w:pStyle w:val="TableParagraph"/>
              <w:tabs>
                <w:tab w:pos="1536" w:val="left" w:leader="none"/>
              </w:tabs>
              <w:spacing w:line="408" w:lineRule="exact"/>
              <w:ind w:left="781"/>
              <w:rPr>
                <w:sz w:val="38"/>
              </w:rPr>
            </w:pPr>
            <w:r>
              <w:rPr>
                <w:sz w:val="38"/>
              </w:rPr>
              <w:t>raw</w:t>
              <w:tab/>
              <w:t>(88</w:t>
            </w:r>
          </w:p>
        </w:tc>
        <w:tc>
          <w:tcPr>
            <w:tcW w:w="907" w:type="dxa"/>
          </w:tcPr>
          <w:p>
            <w:pPr>
              <w:pStyle w:val="TableParagraph"/>
              <w:rPr>
                <w:rFonts w:ascii="Times New Roman"/>
                <w:sz w:val="32"/>
              </w:rPr>
            </w:pPr>
          </w:p>
        </w:tc>
      </w:tr>
      <w:tr>
        <w:trPr>
          <w:trHeight w:val="428" w:hRule="atLeast"/>
        </w:trPr>
        <w:tc>
          <w:tcPr>
            <w:tcW w:w="1371" w:type="dxa"/>
          </w:tcPr>
          <w:p>
            <w:pPr>
              <w:pStyle w:val="TableParagraph"/>
              <w:rPr>
                <w:rFonts w:ascii="Times New Roman"/>
                <w:sz w:val="32"/>
              </w:rPr>
            </w:pPr>
          </w:p>
        </w:tc>
        <w:tc>
          <w:tcPr>
            <w:tcW w:w="1512" w:type="dxa"/>
          </w:tcPr>
          <w:p>
            <w:pPr>
              <w:pStyle w:val="TableParagraph"/>
              <w:rPr>
                <w:rFonts w:ascii="Times New Roman"/>
                <w:sz w:val="32"/>
              </w:rPr>
            </w:pPr>
          </w:p>
        </w:tc>
        <w:tc>
          <w:tcPr>
            <w:tcW w:w="2304" w:type="dxa"/>
          </w:tcPr>
          <w:p>
            <w:pPr>
              <w:pStyle w:val="TableParagraph"/>
              <w:spacing w:line="408" w:lineRule="exact" w:before="1"/>
              <w:ind w:left="781"/>
              <w:rPr>
                <w:sz w:val="38"/>
              </w:rPr>
            </w:pPr>
            <w:r>
              <w:rPr>
                <w:sz w:val="38"/>
              </w:rPr>
              <w:t>g)</w:t>
            </w:r>
          </w:p>
        </w:tc>
        <w:tc>
          <w:tcPr>
            <w:tcW w:w="907" w:type="dxa"/>
          </w:tcPr>
          <w:p>
            <w:pPr>
              <w:pStyle w:val="TableParagraph"/>
              <w:rPr>
                <w:rFonts w:ascii="Times New Roman"/>
                <w:sz w:val="32"/>
              </w:rPr>
            </w:pPr>
          </w:p>
        </w:tc>
      </w:tr>
      <w:tr>
        <w:trPr>
          <w:trHeight w:val="427" w:hRule="atLeast"/>
        </w:trPr>
        <w:tc>
          <w:tcPr>
            <w:tcW w:w="1371" w:type="dxa"/>
          </w:tcPr>
          <w:p>
            <w:pPr>
              <w:pStyle w:val="TableParagraph"/>
              <w:spacing w:line="407" w:lineRule="exact"/>
              <w:ind w:left="50"/>
              <w:rPr>
                <w:sz w:val="38"/>
              </w:rPr>
            </w:pPr>
            <w:r>
              <w:rPr>
                <w:sz w:val="38"/>
              </w:rPr>
              <w:t>Rice</w:t>
            </w:r>
          </w:p>
        </w:tc>
        <w:tc>
          <w:tcPr>
            <w:tcW w:w="1512" w:type="dxa"/>
          </w:tcPr>
          <w:p>
            <w:pPr>
              <w:pStyle w:val="TableParagraph"/>
              <w:spacing w:line="407" w:lineRule="exact"/>
              <w:ind w:left="114"/>
              <w:rPr>
                <w:sz w:val="38"/>
              </w:rPr>
            </w:pPr>
            <w:r>
              <w:rPr>
                <w:sz w:val="38"/>
              </w:rPr>
              <w:t>0.2</w:t>
            </w:r>
          </w:p>
        </w:tc>
        <w:tc>
          <w:tcPr>
            <w:tcW w:w="2304" w:type="dxa"/>
          </w:tcPr>
          <w:p>
            <w:pPr>
              <w:pStyle w:val="TableParagraph"/>
              <w:tabs>
                <w:tab w:pos="1467" w:val="left" w:leader="none"/>
              </w:tabs>
              <w:spacing w:line="407" w:lineRule="exact"/>
              <w:ind w:left="781"/>
              <w:rPr>
                <w:sz w:val="38"/>
              </w:rPr>
            </w:pPr>
            <w:r>
              <w:rPr>
                <w:sz w:val="38"/>
              </w:rPr>
              <w:t>1</w:t>
              <w:tab/>
              <w:t>cup</w:t>
            </w:r>
          </w:p>
        </w:tc>
        <w:tc>
          <w:tcPr>
            <w:tcW w:w="907" w:type="dxa"/>
          </w:tcPr>
          <w:p>
            <w:pPr>
              <w:pStyle w:val="TableParagraph"/>
              <w:spacing w:line="407" w:lineRule="exact"/>
              <w:ind w:left="395"/>
              <w:rPr>
                <w:sz w:val="38"/>
              </w:rPr>
            </w:pPr>
            <w:r>
              <w:rPr>
                <w:sz w:val="38"/>
              </w:rPr>
              <w:t>11</w:t>
            </w:r>
          </w:p>
        </w:tc>
      </w:tr>
      <w:tr>
        <w:trPr>
          <w:trHeight w:val="427" w:hRule="atLeast"/>
        </w:trPr>
        <w:tc>
          <w:tcPr>
            <w:tcW w:w="1371" w:type="dxa"/>
          </w:tcPr>
          <w:p>
            <w:pPr>
              <w:pStyle w:val="TableParagraph"/>
              <w:spacing w:line="407" w:lineRule="exact"/>
              <w:ind w:left="50"/>
              <w:rPr>
                <w:sz w:val="38"/>
              </w:rPr>
            </w:pPr>
            <w:r>
              <w:rPr>
                <w:sz w:val="38"/>
              </w:rPr>
              <w:t>bran</w:t>
            </w:r>
          </w:p>
        </w:tc>
        <w:tc>
          <w:tcPr>
            <w:tcW w:w="1512" w:type="dxa"/>
          </w:tcPr>
          <w:p>
            <w:pPr>
              <w:pStyle w:val="TableParagraph"/>
              <w:rPr>
                <w:rFonts w:ascii="Times New Roman"/>
                <w:sz w:val="32"/>
              </w:rPr>
            </w:pPr>
          </w:p>
        </w:tc>
        <w:tc>
          <w:tcPr>
            <w:tcW w:w="2304" w:type="dxa"/>
          </w:tcPr>
          <w:p>
            <w:pPr>
              <w:pStyle w:val="TableParagraph"/>
              <w:spacing w:line="407" w:lineRule="exact"/>
              <w:ind w:left="781"/>
              <w:rPr>
                <w:sz w:val="38"/>
              </w:rPr>
            </w:pPr>
            <w:r>
              <w:rPr>
                <w:sz w:val="38"/>
              </w:rPr>
              <w:t>(118 g)</w:t>
            </w:r>
          </w:p>
        </w:tc>
        <w:tc>
          <w:tcPr>
            <w:tcW w:w="907" w:type="dxa"/>
          </w:tcPr>
          <w:p>
            <w:pPr>
              <w:pStyle w:val="TableParagraph"/>
              <w:rPr>
                <w:rFonts w:ascii="Times New Roman"/>
                <w:sz w:val="32"/>
              </w:rPr>
            </w:pPr>
          </w:p>
        </w:tc>
      </w:tr>
      <w:tr>
        <w:trPr>
          <w:trHeight w:val="426" w:hRule="atLeast"/>
        </w:trPr>
        <w:tc>
          <w:tcPr>
            <w:tcW w:w="1371" w:type="dxa"/>
          </w:tcPr>
          <w:p>
            <w:pPr>
              <w:pStyle w:val="TableParagraph"/>
              <w:spacing w:line="407" w:lineRule="exact"/>
              <w:ind w:left="50"/>
              <w:rPr>
                <w:sz w:val="38"/>
              </w:rPr>
            </w:pPr>
            <w:r>
              <w:rPr>
                <w:sz w:val="38"/>
              </w:rPr>
              <w:t>Egg</w:t>
            </w:r>
          </w:p>
        </w:tc>
        <w:tc>
          <w:tcPr>
            <w:tcW w:w="1512" w:type="dxa"/>
          </w:tcPr>
          <w:p>
            <w:pPr>
              <w:pStyle w:val="TableParagraph"/>
              <w:spacing w:line="407" w:lineRule="exact"/>
              <w:ind w:left="114"/>
              <w:rPr>
                <w:sz w:val="38"/>
              </w:rPr>
            </w:pPr>
            <w:r>
              <w:rPr>
                <w:sz w:val="38"/>
              </w:rPr>
              <w:t>0.05</w:t>
            </w:r>
          </w:p>
        </w:tc>
        <w:tc>
          <w:tcPr>
            <w:tcW w:w="2304" w:type="dxa"/>
          </w:tcPr>
          <w:p>
            <w:pPr>
              <w:pStyle w:val="TableParagraph"/>
              <w:tabs>
                <w:tab w:pos="1309" w:val="left" w:leader="none"/>
              </w:tabs>
              <w:spacing w:line="407" w:lineRule="exact"/>
              <w:ind w:left="781"/>
              <w:rPr>
                <w:sz w:val="38"/>
              </w:rPr>
            </w:pPr>
            <w:r>
              <w:rPr>
                <w:sz w:val="38"/>
              </w:rPr>
              <w:t>1</w:t>
              <w:tab/>
              <w:t>large</w:t>
            </w:r>
          </w:p>
        </w:tc>
        <w:tc>
          <w:tcPr>
            <w:tcW w:w="907" w:type="dxa"/>
          </w:tcPr>
          <w:p>
            <w:pPr>
              <w:pStyle w:val="TableParagraph"/>
              <w:spacing w:line="407" w:lineRule="exact"/>
              <w:ind w:left="299"/>
              <w:rPr>
                <w:sz w:val="38"/>
              </w:rPr>
            </w:pPr>
            <w:r>
              <w:rPr>
                <w:sz w:val="38"/>
              </w:rPr>
              <w:t>0.3</w:t>
            </w:r>
          </w:p>
        </w:tc>
      </w:tr>
      <w:tr>
        <w:trPr>
          <w:trHeight w:val="427" w:hRule="atLeast"/>
        </w:trPr>
        <w:tc>
          <w:tcPr>
            <w:tcW w:w="1371" w:type="dxa"/>
          </w:tcPr>
          <w:p>
            <w:pPr>
              <w:pStyle w:val="TableParagraph"/>
              <w:spacing w:line="407" w:lineRule="exact"/>
              <w:ind w:left="50"/>
              <w:rPr>
                <w:sz w:val="38"/>
              </w:rPr>
            </w:pPr>
            <w:r>
              <w:rPr>
                <w:sz w:val="38"/>
              </w:rPr>
              <w:t>yolk</w:t>
            </w:r>
          </w:p>
        </w:tc>
        <w:tc>
          <w:tcPr>
            <w:tcW w:w="1512" w:type="dxa"/>
          </w:tcPr>
          <w:p>
            <w:pPr>
              <w:pStyle w:val="TableParagraph"/>
              <w:rPr>
                <w:rFonts w:ascii="Times New Roman"/>
                <w:sz w:val="32"/>
              </w:rPr>
            </w:pPr>
          </w:p>
        </w:tc>
        <w:tc>
          <w:tcPr>
            <w:tcW w:w="2304" w:type="dxa"/>
          </w:tcPr>
          <w:p>
            <w:pPr>
              <w:pStyle w:val="TableParagraph"/>
              <w:spacing w:line="407" w:lineRule="exact"/>
              <w:ind w:left="781"/>
              <w:rPr>
                <w:sz w:val="38"/>
              </w:rPr>
            </w:pPr>
            <w:r>
              <w:rPr>
                <w:sz w:val="38"/>
              </w:rPr>
              <w:t>(17 g)</w:t>
            </w:r>
          </w:p>
        </w:tc>
        <w:tc>
          <w:tcPr>
            <w:tcW w:w="907" w:type="dxa"/>
          </w:tcPr>
          <w:p>
            <w:pPr>
              <w:pStyle w:val="TableParagraph"/>
              <w:rPr>
                <w:rFonts w:ascii="Times New Roman"/>
                <w:sz w:val="32"/>
              </w:rPr>
            </w:pPr>
          </w:p>
        </w:tc>
      </w:tr>
    </w:tbl>
    <w:p>
      <w:pPr>
        <w:spacing w:before="1"/>
        <w:ind w:left="585" w:right="0" w:firstLine="0"/>
        <w:jc w:val="left"/>
        <w:rPr>
          <w:sz w:val="24"/>
        </w:rPr>
      </w:pPr>
      <w:hyperlink r:id="rId16">
        <w:r>
          <w:rPr>
            <w:sz w:val="24"/>
          </w:rPr>
          <w:t>Source: www.team-andro.com</w:t>
        </w:r>
      </w:hyperlink>
    </w:p>
    <w:p>
      <w:pPr>
        <w:spacing w:after="0"/>
        <w:jc w:val="left"/>
        <w:rPr>
          <w:sz w:val="24"/>
        </w:rPr>
        <w:sectPr>
          <w:pgSz w:w="14270" w:h="16850"/>
          <w:pgMar w:header="0" w:footer="1891" w:top="1600" w:bottom="2080" w:left="800" w:right="1280"/>
        </w:sectPr>
      </w:pPr>
    </w:p>
    <w:p>
      <w:pPr>
        <w:pStyle w:val="Heading2"/>
        <w:spacing w:before="181"/>
      </w:pPr>
      <w:r>
        <w:rPr/>
        <w:t>Representative, scientific studies on alpha-lipoic acid (ALA)</w:t>
      </w:r>
    </w:p>
    <w:p>
      <w:pPr>
        <w:pStyle w:val="BodyText"/>
        <w:spacing w:line="276" w:lineRule="auto" w:before="305"/>
        <w:ind w:left="477" w:right="318"/>
      </w:pPr>
      <w:r>
        <w:rPr/>
        <w:t>Study on the prevention of vitamin C and vitamin E degradation using alpha- lipoic acid by Packer, Sosin and Jacobs</w:t>
      </w:r>
    </w:p>
    <w:p>
      <w:pPr>
        <w:pStyle w:val="BodyText"/>
        <w:spacing w:line="276" w:lineRule="auto" w:before="61"/>
        <w:ind w:left="477" w:right="135"/>
        <w:jc w:val="both"/>
      </w:pPr>
      <w:r>
        <w:rPr/>
        <w:t>In the fight against free radicals, the radical scavengers (antioxidants) lose their energy and then our organism does not have them to protect it. Like no other antioxidant, alpha-lipoic acid has shown remarkable regenerative (protective) effects on the extremely important vitamins C and E, which not only act as antioxidants, but also fulfil many other important functions in the body.</w:t>
      </w:r>
    </w:p>
    <w:p>
      <w:pPr>
        <w:pStyle w:val="Heading1"/>
        <w:spacing w:before="222"/>
      </w:pPr>
      <w:r>
        <w:rPr/>
        <w:t>Study on the detoxification of heavy metals by Burgstein (2000)</w:t>
      </w:r>
    </w:p>
    <w:p>
      <w:pPr>
        <w:pStyle w:val="BodyText"/>
        <w:spacing w:line="276" w:lineRule="auto" w:before="300"/>
        <w:ind w:left="477" w:right="141"/>
        <w:jc w:val="both"/>
      </w:pPr>
      <w:r>
        <w:rPr/>
        <w:t>In his experiments, Burgstein (2000) proved that, in the case of heavy metal poisoning, alpha-lipoic acid leads to the improvement of symptoms, including increased excretion of heavy metals via the kidneys and concomitant improve- ment of liver function.</w:t>
      </w:r>
    </w:p>
    <w:p>
      <w:pPr>
        <w:pStyle w:val="BodyText"/>
        <w:spacing w:before="1"/>
        <w:rPr>
          <w:sz w:val="41"/>
        </w:rPr>
      </w:pPr>
    </w:p>
    <w:p>
      <w:pPr>
        <w:pStyle w:val="Heading1"/>
        <w:spacing w:before="0"/>
        <w:jc w:val="both"/>
      </w:pPr>
      <w:r>
        <w:rPr/>
        <w:t>Study on the removal of heavy metals by Pfaffly (2001)</w:t>
      </w:r>
    </w:p>
    <w:p>
      <w:pPr>
        <w:pStyle w:val="BodyText"/>
        <w:spacing w:before="2"/>
        <w:rPr>
          <w:b/>
          <w:i/>
          <w:sz w:val="16"/>
        </w:rPr>
      </w:pPr>
    </w:p>
    <w:tbl>
      <w:tblPr>
        <w:tblW w:w="0" w:type="auto"/>
        <w:jc w:val="left"/>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70"/>
        <w:gridCol w:w="3072"/>
        <w:gridCol w:w="3070"/>
      </w:tblGrid>
      <w:tr>
        <w:trPr>
          <w:trHeight w:val="1182" w:hRule="atLeast"/>
        </w:trPr>
        <w:tc>
          <w:tcPr>
            <w:tcW w:w="3070" w:type="dxa"/>
            <w:shd w:val="clear" w:color="auto" w:fill="8DB3E1"/>
          </w:tcPr>
          <w:p>
            <w:pPr>
              <w:pStyle w:val="TableParagraph"/>
              <w:spacing w:line="426" w:lineRule="exact"/>
              <w:ind w:left="69"/>
              <w:rPr>
                <w:b/>
                <w:sz w:val="38"/>
              </w:rPr>
            </w:pPr>
            <w:r>
              <w:rPr>
                <w:b/>
                <w:sz w:val="38"/>
              </w:rPr>
              <w:t>Metal</w:t>
            </w:r>
          </w:p>
        </w:tc>
        <w:tc>
          <w:tcPr>
            <w:tcW w:w="3072" w:type="dxa"/>
            <w:shd w:val="clear" w:color="auto" w:fill="8DB3E1"/>
          </w:tcPr>
          <w:p>
            <w:pPr>
              <w:pStyle w:val="TableParagraph"/>
              <w:spacing w:line="278" w:lineRule="auto"/>
              <w:ind w:left="194" w:right="187" w:firstLine="9"/>
              <w:rPr>
                <w:b/>
                <w:sz w:val="38"/>
              </w:rPr>
            </w:pPr>
            <w:r>
              <w:rPr>
                <w:b/>
                <w:sz w:val="38"/>
              </w:rPr>
              <w:t>Chelation due to alpha-lipoic acid</w:t>
            </w:r>
          </w:p>
        </w:tc>
        <w:tc>
          <w:tcPr>
            <w:tcW w:w="3070" w:type="dxa"/>
            <w:shd w:val="clear" w:color="auto" w:fill="8DB3E1"/>
          </w:tcPr>
          <w:p>
            <w:pPr>
              <w:pStyle w:val="TableParagraph"/>
              <w:spacing w:line="278" w:lineRule="auto"/>
              <w:ind w:left="235" w:right="208" w:firstLine="7"/>
              <w:rPr>
                <w:b/>
                <w:sz w:val="38"/>
              </w:rPr>
            </w:pPr>
            <w:r>
              <w:rPr>
                <w:b/>
                <w:sz w:val="38"/>
              </w:rPr>
              <w:t>Chelation by di- hydrolipoic acid</w:t>
            </w:r>
          </w:p>
        </w:tc>
      </w:tr>
      <w:tr>
        <w:trPr>
          <w:trHeight w:val="693" w:hRule="atLeast"/>
        </w:trPr>
        <w:tc>
          <w:tcPr>
            <w:tcW w:w="3070" w:type="dxa"/>
          </w:tcPr>
          <w:p>
            <w:pPr>
              <w:pStyle w:val="TableParagraph"/>
              <w:spacing w:line="426" w:lineRule="exact"/>
              <w:ind w:left="69"/>
              <w:rPr>
                <w:sz w:val="38"/>
              </w:rPr>
            </w:pPr>
            <w:r>
              <w:rPr>
                <w:sz w:val="38"/>
              </w:rPr>
              <w:t>Pb</w:t>
            </w:r>
            <w:r>
              <w:rPr>
                <w:position w:val="9"/>
                <w:sz w:val="25"/>
              </w:rPr>
              <w:t>2+ </w:t>
            </w:r>
            <w:r>
              <w:rPr>
                <w:sz w:val="38"/>
              </w:rPr>
              <w:t>(lead ions)</w:t>
            </w:r>
          </w:p>
        </w:tc>
        <w:tc>
          <w:tcPr>
            <w:tcW w:w="3072" w:type="dxa"/>
          </w:tcPr>
          <w:p>
            <w:pPr>
              <w:pStyle w:val="TableParagraph"/>
              <w:spacing w:line="424" w:lineRule="exact"/>
              <w:ind w:left="926"/>
              <w:rPr>
                <w:sz w:val="38"/>
              </w:rPr>
            </w:pPr>
            <w:r>
              <w:rPr>
                <w:sz w:val="38"/>
              </w:rPr>
              <w:t>Yes</w:t>
            </w:r>
          </w:p>
        </w:tc>
        <w:tc>
          <w:tcPr>
            <w:tcW w:w="3070" w:type="dxa"/>
          </w:tcPr>
          <w:p>
            <w:pPr>
              <w:pStyle w:val="TableParagraph"/>
              <w:spacing w:line="426" w:lineRule="exact"/>
              <w:ind w:left="69"/>
              <w:rPr>
                <w:sz w:val="38"/>
              </w:rPr>
            </w:pPr>
            <w:r>
              <w:rPr>
                <w:sz w:val="38"/>
              </w:rPr>
              <w:t>Yes</w:t>
            </w:r>
          </w:p>
        </w:tc>
      </w:tr>
      <w:tr>
        <w:trPr>
          <w:trHeight w:val="691" w:hRule="atLeast"/>
        </w:trPr>
        <w:tc>
          <w:tcPr>
            <w:tcW w:w="3070" w:type="dxa"/>
          </w:tcPr>
          <w:p>
            <w:pPr>
              <w:pStyle w:val="TableParagraph"/>
              <w:spacing w:line="427" w:lineRule="exact"/>
              <w:ind w:left="69"/>
              <w:rPr>
                <w:sz w:val="38"/>
              </w:rPr>
            </w:pPr>
            <w:r>
              <w:rPr>
                <w:sz w:val="38"/>
              </w:rPr>
              <w:t>Cu</w:t>
            </w:r>
            <w:r>
              <w:rPr>
                <w:position w:val="9"/>
                <w:sz w:val="25"/>
              </w:rPr>
              <w:t>2+ </w:t>
            </w:r>
            <w:r>
              <w:rPr>
                <w:sz w:val="38"/>
              </w:rPr>
              <w:t>(copper ions)</w:t>
            </w:r>
          </w:p>
        </w:tc>
        <w:tc>
          <w:tcPr>
            <w:tcW w:w="3072" w:type="dxa"/>
          </w:tcPr>
          <w:p>
            <w:pPr>
              <w:pStyle w:val="TableParagraph"/>
              <w:spacing w:line="427" w:lineRule="exact"/>
              <w:ind w:left="926"/>
              <w:rPr>
                <w:sz w:val="38"/>
              </w:rPr>
            </w:pPr>
            <w:r>
              <w:rPr>
                <w:sz w:val="38"/>
              </w:rPr>
              <w:t>Yes</w:t>
            </w:r>
          </w:p>
        </w:tc>
        <w:tc>
          <w:tcPr>
            <w:tcW w:w="3070" w:type="dxa"/>
          </w:tcPr>
          <w:p>
            <w:pPr>
              <w:pStyle w:val="TableParagraph"/>
              <w:spacing w:line="427" w:lineRule="exact"/>
              <w:ind w:left="69"/>
              <w:rPr>
                <w:sz w:val="38"/>
              </w:rPr>
            </w:pPr>
            <w:r>
              <w:rPr>
                <w:sz w:val="38"/>
              </w:rPr>
              <w:t>Yes</w:t>
            </w:r>
          </w:p>
        </w:tc>
      </w:tr>
      <w:tr>
        <w:trPr>
          <w:trHeight w:val="690" w:hRule="atLeast"/>
        </w:trPr>
        <w:tc>
          <w:tcPr>
            <w:tcW w:w="3070" w:type="dxa"/>
          </w:tcPr>
          <w:p>
            <w:pPr>
              <w:pStyle w:val="TableParagraph"/>
              <w:spacing w:line="426" w:lineRule="exact"/>
              <w:ind w:left="69"/>
              <w:rPr>
                <w:sz w:val="38"/>
              </w:rPr>
            </w:pPr>
            <w:r>
              <w:rPr>
                <w:sz w:val="38"/>
              </w:rPr>
              <w:t>Zn</w:t>
            </w:r>
            <w:r>
              <w:rPr>
                <w:position w:val="9"/>
                <w:sz w:val="25"/>
              </w:rPr>
              <w:t>2 </w:t>
            </w:r>
            <w:r>
              <w:rPr>
                <w:sz w:val="38"/>
              </w:rPr>
              <w:t>(zinc ions)</w:t>
            </w:r>
          </w:p>
        </w:tc>
        <w:tc>
          <w:tcPr>
            <w:tcW w:w="3072" w:type="dxa"/>
          </w:tcPr>
          <w:p>
            <w:pPr>
              <w:pStyle w:val="TableParagraph"/>
              <w:spacing w:line="426" w:lineRule="exact"/>
              <w:ind w:left="926"/>
              <w:rPr>
                <w:sz w:val="38"/>
              </w:rPr>
            </w:pPr>
            <w:r>
              <w:rPr>
                <w:sz w:val="38"/>
              </w:rPr>
              <w:t>Yes</w:t>
            </w:r>
          </w:p>
        </w:tc>
        <w:tc>
          <w:tcPr>
            <w:tcW w:w="3070" w:type="dxa"/>
          </w:tcPr>
          <w:p>
            <w:pPr>
              <w:pStyle w:val="TableParagraph"/>
              <w:spacing w:line="426" w:lineRule="exact"/>
              <w:ind w:left="69"/>
              <w:rPr>
                <w:sz w:val="38"/>
              </w:rPr>
            </w:pPr>
            <w:r>
              <w:rPr>
                <w:sz w:val="38"/>
              </w:rPr>
              <w:t>Yes</w:t>
            </w:r>
          </w:p>
        </w:tc>
      </w:tr>
    </w:tbl>
    <w:p>
      <w:pPr>
        <w:spacing w:after="0" w:line="426" w:lineRule="exact"/>
        <w:rPr>
          <w:sz w:val="38"/>
        </w:rPr>
        <w:sectPr>
          <w:pgSz w:w="14270" w:h="16850"/>
          <w:pgMar w:header="0" w:footer="1891" w:top="1600" w:bottom="2080" w:left="800" w:right="1280"/>
        </w:sectPr>
      </w:pPr>
    </w:p>
    <w:p>
      <w:pPr>
        <w:pStyle w:val="BodyText"/>
        <w:spacing w:before="2"/>
        <w:rPr>
          <w:b/>
          <w:i/>
          <w:sz w:val="16"/>
        </w:rPr>
      </w:pPr>
    </w:p>
    <w:tbl>
      <w:tblPr>
        <w:tblW w:w="0" w:type="auto"/>
        <w:jc w:val="left"/>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70"/>
        <w:gridCol w:w="3072"/>
        <w:gridCol w:w="3070"/>
      </w:tblGrid>
      <w:tr>
        <w:trPr>
          <w:trHeight w:val="1182" w:hRule="atLeast"/>
        </w:trPr>
        <w:tc>
          <w:tcPr>
            <w:tcW w:w="3070" w:type="dxa"/>
          </w:tcPr>
          <w:p>
            <w:pPr>
              <w:pStyle w:val="TableParagraph"/>
              <w:tabs>
                <w:tab w:pos="1274" w:val="left" w:leader="none"/>
              </w:tabs>
              <w:spacing w:line="278" w:lineRule="auto"/>
              <w:ind w:left="69" w:right="59"/>
              <w:rPr>
                <w:sz w:val="38"/>
              </w:rPr>
            </w:pPr>
            <w:r>
              <w:rPr>
                <w:sz w:val="38"/>
              </w:rPr>
              <w:t>Mn</w:t>
            </w:r>
            <w:r>
              <w:rPr>
                <w:position w:val="9"/>
                <w:sz w:val="25"/>
              </w:rPr>
              <w:t>2</w:t>
              <w:tab/>
            </w:r>
            <w:r>
              <w:rPr>
                <w:w w:val="95"/>
                <w:sz w:val="38"/>
              </w:rPr>
              <w:t>(manganese </w:t>
            </w:r>
            <w:r>
              <w:rPr>
                <w:sz w:val="38"/>
              </w:rPr>
              <w:t>ions)</w:t>
            </w:r>
          </w:p>
        </w:tc>
        <w:tc>
          <w:tcPr>
            <w:tcW w:w="3072" w:type="dxa"/>
          </w:tcPr>
          <w:p>
            <w:pPr>
              <w:pStyle w:val="TableParagraph"/>
              <w:spacing w:before="1"/>
              <w:ind w:left="926"/>
              <w:rPr>
                <w:sz w:val="38"/>
              </w:rPr>
            </w:pPr>
            <w:r>
              <w:rPr>
                <w:sz w:val="38"/>
              </w:rPr>
              <w:t>Yes</w:t>
            </w:r>
          </w:p>
        </w:tc>
        <w:tc>
          <w:tcPr>
            <w:tcW w:w="3070" w:type="dxa"/>
          </w:tcPr>
          <w:p>
            <w:pPr>
              <w:pStyle w:val="TableParagraph"/>
              <w:spacing w:before="1"/>
              <w:ind w:left="69"/>
              <w:rPr>
                <w:sz w:val="38"/>
              </w:rPr>
            </w:pPr>
            <w:r>
              <w:rPr>
                <w:w w:val="99"/>
                <w:sz w:val="38"/>
              </w:rPr>
              <w:t>-</w:t>
            </w:r>
          </w:p>
        </w:tc>
      </w:tr>
      <w:tr>
        <w:trPr>
          <w:trHeight w:val="1185" w:hRule="atLeast"/>
        </w:trPr>
        <w:tc>
          <w:tcPr>
            <w:tcW w:w="3070" w:type="dxa"/>
          </w:tcPr>
          <w:p>
            <w:pPr>
              <w:pStyle w:val="TableParagraph"/>
              <w:tabs>
                <w:tab w:pos="1526" w:val="left" w:leader="none"/>
              </w:tabs>
              <w:spacing w:line="276" w:lineRule="auto" w:before="1"/>
              <w:ind w:left="69" w:right="59"/>
              <w:rPr>
                <w:sz w:val="38"/>
              </w:rPr>
            </w:pPr>
            <w:r>
              <w:rPr>
                <w:sz w:val="38"/>
              </w:rPr>
              <w:t>Cd</w:t>
            </w:r>
            <w:r>
              <w:rPr>
                <w:position w:val="9"/>
                <w:sz w:val="25"/>
              </w:rPr>
              <w:t>2+</w:t>
              <w:tab/>
            </w:r>
            <w:r>
              <w:rPr>
                <w:sz w:val="38"/>
              </w:rPr>
              <w:t>(cadmium ions)</w:t>
            </w:r>
          </w:p>
        </w:tc>
        <w:tc>
          <w:tcPr>
            <w:tcW w:w="3072" w:type="dxa"/>
          </w:tcPr>
          <w:p>
            <w:pPr>
              <w:pStyle w:val="TableParagraph"/>
              <w:spacing w:before="4"/>
              <w:ind w:left="926"/>
              <w:rPr>
                <w:sz w:val="38"/>
              </w:rPr>
            </w:pPr>
            <w:r>
              <w:rPr>
                <w:sz w:val="38"/>
              </w:rPr>
              <w:t>Yes</w:t>
            </w:r>
          </w:p>
        </w:tc>
        <w:tc>
          <w:tcPr>
            <w:tcW w:w="3070" w:type="dxa"/>
          </w:tcPr>
          <w:p>
            <w:pPr>
              <w:pStyle w:val="TableParagraph"/>
              <w:spacing w:before="4"/>
              <w:ind w:left="69"/>
              <w:rPr>
                <w:sz w:val="38"/>
              </w:rPr>
            </w:pPr>
            <w:r>
              <w:rPr>
                <w:w w:val="99"/>
                <w:sz w:val="38"/>
              </w:rPr>
              <w:t>-</w:t>
            </w:r>
          </w:p>
        </w:tc>
      </w:tr>
      <w:tr>
        <w:trPr>
          <w:trHeight w:val="690" w:hRule="atLeast"/>
        </w:trPr>
        <w:tc>
          <w:tcPr>
            <w:tcW w:w="3070" w:type="dxa"/>
          </w:tcPr>
          <w:p>
            <w:pPr>
              <w:pStyle w:val="TableParagraph"/>
              <w:spacing w:before="1"/>
              <w:ind w:left="69"/>
              <w:rPr>
                <w:sz w:val="38"/>
              </w:rPr>
            </w:pPr>
            <w:r>
              <w:rPr>
                <w:sz w:val="38"/>
              </w:rPr>
              <w:t>Co</w:t>
            </w:r>
            <w:r>
              <w:rPr>
                <w:position w:val="9"/>
                <w:sz w:val="25"/>
              </w:rPr>
              <w:t>2 </w:t>
            </w:r>
            <w:r>
              <w:rPr>
                <w:sz w:val="38"/>
              </w:rPr>
              <w:t>(cobalt ions)</w:t>
            </w:r>
          </w:p>
        </w:tc>
        <w:tc>
          <w:tcPr>
            <w:tcW w:w="3072" w:type="dxa"/>
          </w:tcPr>
          <w:p>
            <w:pPr>
              <w:pStyle w:val="TableParagraph"/>
              <w:spacing w:before="1"/>
              <w:ind w:left="1022"/>
              <w:rPr>
                <w:sz w:val="38"/>
              </w:rPr>
            </w:pPr>
            <w:r>
              <w:rPr>
                <w:w w:val="99"/>
                <w:sz w:val="38"/>
              </w:rPr>
              <w:t>-</w:t>
            </w:r>
          </w:p>
        </w:tc>
        <w:tc>
          <w:tcPr>
            <w:tcW w:w="3070" w:type="dxa"/>
          </w:tcPr>
          <w:p>
            <w:pPr>
              <w:pStyle w:val="TableParagraph"/>
              <w:spacing w:line="427" w:lineRule="exact"/>
              <w:ind w:left="69"/>
              <w:rPr>
                <w:sz w:val="38"/>
              </w:rPr>
            </w:pPr>
            <w:r>
              <w:rPr>
                <w:sz w:val="38"/>
              </w:rPr>
              <w:t>Yes</w:t>
            </w:r>
          </w:p>
        </w:tc>
      </w:tr>
      <w:tr>
        <w:trPr>
          <w:trHeight w:val="691" w:hRule="atLeast"/>
        </w:trPr>
        <w:tc>
          <w:tcPr>
            <w:tcW w:w="3070" w:type="dxa"/>
          </w:tcPr>
          <w:p>
            <w:pPr>
              <w:pStyle w:val="TableParagraph"/>
              <w:spacing w:before="2"/>
              <w:ind w:left="69"/>
              <w:rPr>
                <w:sz w:val="38"/>
              </w:rPr>
            </w:pPr>
            <w:r>
              <w:rPr>
                <w:sz w:val="38"/>
              </w:rPr>
              <w:t>Hg</w:t>
            </w:r>
            <w:r>
              <w:rPr>
                <w:position w:val="9"/>
                <w:sz w:val="25"/>
              </w:rPr>
              <w:t>2+ </w:t>
            </w:r>
            <w:r>
              <w:rPr>
                <w:sz w:val="38"/>
              </w:rPr>
              <w:t>(mercury ions)</w:t>
            </w:r>
          </w:p>
        </w:tc>
        <w:tc>
          <w:tcPr>
            <w:tcW w:w="3072" w:type="dxa"/>
          </w:tcPr>
          <w:p>
            <w:pPr>
              <w:pStyle w:val="TableParagraph"/>
              <w:spacing w:before="2"/>
              <w:ind w:left="1022"/>
              <w:rPr>
                <w:sz w:val="38"/>
              </w:rPr>
            </w:pPr>
            <w:r>
              <w:rPr>
                <w:w w:val="99"/>
                <w:sz w:val="38"/>
              </w:rPr>
              <w:t>-</w:t>
            </w:r>
          </w:p>
        </w:tc>
        <w:tc>
          <w:tcPr>
            <w:tcW w:w="3070" w:type="dxa"/>
          </w:tcPr>
          <w:p>
            <w:pPr>
              <w:pStyle w:val="TableParagraph"/>
              <w:spacing w:before="2"/>
              <w:ind w:left="69"/>
              <w:rPr>
                <w:sz w:val="38"/>
              </w:rPr>
            </w:pPr>
            <w:r>
              <w:rPr>
                <w:sz w:val="38"/>
              </w:rPr>
              <w:t>Yes</w:t>
            </w:r>
          </w:p>
        </w:tc>
      </w:tr>
      <w:tr>
        <w:trPr>
          <w:trHeight w:val="693" w:hRule="atLeast"/>
        </w:trPr>
        <w:tc>
          <w:tcPr>
            <w:tcW w:w="3070" w:type="dxa"/>
          </w:tcPr>
          <w:p>
            <w:pPr>
              <w:pStyle w:val="TableParagraph"/>
              <w:spacing w:before="1"/>
              <w:ind w:left="69"/>
              <w:rPr>
                <w:sz w:val="38"/>
              </w:rPr>
            </w:pPr>
            <w:r>
              <w:rPr>
                <w:sz w:val="38"/>
              </w:rPr>
              <w:t>Fe</w:t>
            </w:r>
            <w:r>
              <w:rPr>
                <w:position w:val="9"/>
                <w:sz w:val="25"/>
              </w:rPr>
              <w:t>3</w:t>
            </w:r>
            <w:r>
              <w:rPr>
                <w:sz w:val="38"/>
              </w:rPr>
              <w:t>/Fe</w:t>
            </w:r>
            <w:r>
              <w:rPr>
                <w:position w:val="9"/>
                <w:sz w:val="25"/>
              </w:rPr>
              <w:t>2+ </w:t>
            </w:r>
            <w:r>
              <w:rPr>
                <w:sz w:val="38"/>
              </w:rPr>
              <w:t>(iron ions)</w:t>
            </w:r>
          </w:p>
        </w:tc>
        <w:tc>
          <w:tcPr>
            <w:tcW w:w="3072" w:type="dxa"/>
          </w:tcPr>
          <w:p>
            <w:pPr>
              <w:pStyle w:val="TableParagraph"/>
              <w:spacing w:before="1"/>
              <w:ind w:left="926"/>
              <w:rPr>
                <w:sz w:val="38"/>
              </w:rPr>
            </w:pPr>
            <w:r>
              <w:rPr>
                <w:sz w:val="38"/>
              </w:rPr>
              <w:t>Yes</w:t>
            </w:r>
          </w:p>
        </w:tc>
        <w:tc>
          <w:tcPr>
            <w:tcW w:w="3070" w:type="dxa"/>
          </w:tcPr>
          <w:p>
            <w:pPr>
              <w:pStyle w:val="TableParagraph"/>
              <w:spacing w:before="1"/>
              <w:ind w:left="69"/>
              <w:rPr>
                <w:sz w:val="38"/>
              </w:rPr>
            </w:pPr>
            <w:r>
              <w:rPr>
                <w:sz w:val="38"/>
              </w:rPr>
              <w:t>Yes</w:t>
            </w:r>
          </w:p>
        </w:tc>
      </w:tr>
      <w:tr>
        <w:trPr>
          <w:trHeight w:val="690" w:hRule="atLeast"/>
        </w:trPr>
        <w:tc>
          <w:tcPr>
            <w:tcW w:w="3070" w:type="dxa"/>
          </w:tcPr>
          <w:p>
            <w:pPr>
              <w:pStyle w:val="TableParagraph"/>
              <w:spacing w:before="1"/>
              <w:ind w:left="69"/>
              <w:rPr>
                <w:sz w:val="38"/>
              </w:rPr>
            </w:pPr>
            <w:r>
              <w:rPr>
                <w:sz w:val="38"/>
              </w:rPr>
              <w:t>Ni</w:t>
            </w:r>
            <w:r>
              <w:rPr>
                <w:position w:val="9"/>
                <w:sz w:val="25"/>
              </w:rPr>
              <w:t>2+ </w:t>
            </w:r>
            <w:r>
              <w:rPr>
                <w:sz w:val="38"/>
              </w:rPr>
              <w:t>(nickel ions)</w:t>
            </w:r>
          </w:p>
        </w:tc>
        <w:tc>
          <w:tcPr>
            <w:tcW w:w="3072" w:type="dxa"/>
          </w:tcPr>
          <w:p>
            <w:pPr>
              <w:pStyle w:val="TableParagraph"/>
              <w:spacing w:before="1"/>
              <w:ind w:left="1022"/>
              <w:rPr>
                <w:sz w:val="38"/>
              </w:rPr>
            </w:pPr>
            <w:r>
              <w:rPr>
                <w:w w:val="99"/>
                <w:sz w:val="38"/>
              </w:rPr>
              <w:t>-</w:t>
            </w:r>
          </w:p>
        </w:tc>
        <w:tc>
          <w:tcPr>
            <w:tcW w:w="3070" w:type="dxa"/>
          </w:tcPr>
          <w:p>
            <w:pPr>
              <w:pStyle w:val="TableParagraph"/>
              <w:spacing w:before="1"/>
              <w:ind w:left="69"/>
              <w:rPr>
                <w:sz w:val="38"/>
              </w:rPr>
            </w:pPr>
            <w:r>
              <w:rPr>
                <w:sz w:val="38"/>
              </w:rPr>
              <w:t>Yes</w:t>
            </w:r>
          </w:p>
        </w:tc>
      </w:tr>
    </w:tbl>
    <w:p>
      <w:pPr>
        <w:pStyle w:val="BodyText"/>
        <w:spacing w:line="276" w:lineRule="auto"/>
        <w:ind w:left="477" w:right="592"/>
      </w:pPr>
      <w:r>
        <w:rPr>
          <w:b/>
        </w:rPr>
        <w:t>Table: </w:t>
      </w:r>
      <w:r>
        <w:rPr/>
        <w:t>Heavy metal binding by alpha-lipoic acid and dihydrolipoic acid and their complementarity in effect</w:t>
      </w:r>
    </w:p>
    <w:p>
      <w:pPr>
        <w:pStyle w:val="BodyText"/>
        <w:rPr>
          <w:sz w:val="42"/>
        </w:rPr>
      </w:pPr>
    </w:p>
    <w:p>
      <w:pPr>
        <w:pStyle w:val="BodyText"/>
        <w:rPr>
          <w:sz w:val="42"/>
        </w:rPr>
      </w:pPr>
    </w:p>
    <w:p>
      <w:pPr>
        <w:pStyle w:val="BodyText"/>
        <w:spacing w:before="6"/>
        <w:rPr>
          <w:sz w:val="43"/>
        </w:rPr>
      </w:pPr>
    </w:p>
    <w:p>
      <w:pPr>
        <w:pStyle w:val="Heading1"/>
        <w:spacing w:line="261" w:lineRule="auto" w:before="0"/>
        <w:ind w:right="134"/>
        <w:jc w:val="both"/>
      </w:pPr>
      <w:r>
        <w:rPr/>
        <w:t>Study</w:t>
      </w:r>
      <w:r>
        <w:rPr>
          <w:spacing w:val="-33"/>
        </w:rPr>
        <w:t> </w:t>
      </w:r>
      <w:r>
        <w:rPr/>
        <w:t>on</w:t>
      </w:r>
      <w:r>
        <w:rPr>
          <w:spacing w:val="-32"/>
        </w:rPr>
        <w:t> </w:t>
      </w:r>
      <w:r>
        <w:rPr/>
        <w:t>the</w:t>
      </w:r>
      <w:r>
        <w:rPr>
          <w:spacing w:val="-30"/>
        </w:rPr>
        <w:t> </w:t>
      </w:r>
      <w:r>
        <w:rPr/>
        <w:t>elimination</w:t>
      </w:r>
      <w:r>
        <w:rPr>
          <w:spacing w:val="-31"/>
        </w:rPr>
        <w:t> </w:t>
      </w:r>
      <w:r>
        <w:rPr/>
        <w:t>of</w:t>
      </w:r>
      <w:r>
        <w:rPr>
          <w:spacing w:val="-32"/>
        </w:rPr>
        <w:t> </w:t>
      </w:r>
      <w:r>
        <w:rPr/>
        <w:t>radioactivity</w:t>
      </w:r>
      <w:r>
        <w:rPr>
          <w:spacing w:val="-31"/>
        </w:rPr>
        <w:t> </w:t>
      </w:r>
      <w:r>
        <w:rPr/>
        <w:t>from</w:t>
      </w:r>
      <w:r>
        <w:rPr>
          <w:spacing w:val="-32"/>
        </w:rPr>
        <w:t> </w:t>
      </w:r>
      <w:r>
        <w:rPr/>
        <w:t>the</w:t>
      </w:r>
      <w:r>
        <w:rPr>
          <w:spacing w:val="-31"/>
        </w:rPr>
        <w:t> </w:t>
      </w:r>
      <w:r>
        <w:rPr/>
        <w:t>body</w:t>
      </w:r>
      <w:r>
        <w:rPr>
          <w:spacing w:val="-30"/>
        </w:rPr>
        <w:t> </w:t>
      </w:r>
      <w:r>
        <w:rPr/>
        <w:t>by</w:t>
      </w:r>
      <w:r>
        <w:rPr>
          <w:spacing w:val="-31"/>
        </w:rPr>
        <w:t> </w:t>
      </w:r>
      <w:r>
        <w:rPr/>
        <w:t>alpha-lipoic acid by Korkina et al.</w:t>
      </w:r>
      <w:r>
        <w:rPr>
          <w:spacing w:val="-41"/>
        </w:rPr>
        <w:t> </w:t>
      </w:r>
      <w:r>
        <w:rPr/>
        <w:t>(1993)</w:t>
      </w:r>
    </w:p>
    <w:p>
      <w:pPr>
        <w:pStyle w:val="BodyText"/>
        <w:spacing w:line="276" w:lineRule="auto" w:before="258"/>
        <w:ind w:left="477" w:right="137"/>
        <w:jc w:val="both"/>
      </w:pPr>
      <w:r>
        <w:rPr/>
        <w:t>We are increasingly being involuntarily subjected to radioactive rays. The nu- clear disaster in Chernobyl in 1986 has claimed many innocent victims to this day, but has also provided insights into the effectiveness of alpha-lipoic acid against radioactivity.</w:t>
      </w:r>
    </w:p>
    <w:p>
      <w:pPr>
        <w:pStyle w:val="BodyText"/>
        <w:spacing w:before="242"/>
        <w:ind w:left="477"/>
        <w:jc w:val="both"/>
      </w:pPr>
      <w:r>
        <w:rPr/>
        <w:t>After 28 days of administering alpha-lipoic acid to some affected children, the</w:t>
      </w:r>
    </w:p>
    <w:p>
      <w:pPr>
        <w:spacing w:after="0"/>
        <w:jc w:val="both"/>
        <w:sectPr>
          <w:pgSz w:w="14270" w:h="16850"/>
          <w:pgMar w:header="0" w:footer="1891" w:top="1600" w:bottom="2080" w:left="800" w:right="1280"/>
        </w:sectPr>
      </w:pPr>
    </w:p>
    <w:p>
      <w:pPr>
        <w:pStyle w:val="BodyText"/>
        <w:spacing w:line="276" w:lineRule="auto" w:before="181"/>
        <w:ind w:left="477" w:right="133"/>
        <w:jc w:val="both"/>
      </w:pPr>
      <w:r>
        <w:rPr/>
        <w:t>researchers found that the damage caused by free radicals in the blood of</w:t>
      </w:r>
      <w:r>
        <w:rPr>
          <w:spacing w:val="-50"/>
        </w:rPr>
        <w:t> </w:t>
      </w:r>
      <w:r>
        <w:rPr/>
        <w:t>these children sank to the level of those who had not been affected. Surprisingly,</w:t>
      </w:r>
      <w:r>
        <w:rPr>
          <w:spacing w:val="-58"/>
        </w:rPr>
        <w:t> </w:t>
      </w:r>
      <w:r>
        <w:rPr/>
        <w:t>vit- amin E alone was not able to achieve any positive effect on these victims, but in combination with alpha-lipoic acid, the values even fell below the</w:t>
      </w:r>
      <w:r>
        <w:rPr>
          <w:spacing w:val="-10"/>
        </w:rPr>
        <w:t> </w:t>
      </w:r>
      <w:r>
        <w:rPr/>
        <w:t>norm!</w:t>
      </w:r>
    </w:p>
    <w:p>
      <w:pPr>
        <w:pStyle w:val="BodyText"/>
        <w:spacing w:line="276" w:lineRule="auto" w:before="242"/>
        <w:ind w:left="477" w:right="137"/>
        <w:jc w:val="both"/>
      </w:pPr>
      <w:r>
        <w:rPr/>
        <w:t>In addition, kidney and liver values of children treated with alpha-lipoic acid improved as a result of the improved excretion of radioactive metabolites caused by alpha-lipoic acid.</w:t>
      </w:r>
    </w:p>
    <w:p>
      <w:pPr>
        <w:pStyle w:val="Heading2"/>
        <w:spacing w:line="276" w:lineRule="auto" w:before="239"/>
        <w:ind w:right="380"/>
      </w:pPr>
      <w:r>
        <w:rPr/>
        <w:t>Studies on the normalisation of blood sugar levels by Passwater (1995), Biewenga et al. (1997), Ley (1996), Ziegler et al. (1999b)</w:t>
      </w:r>
    </w:p>
    <w:p>
      <w:pPr>
        <w:pStyle w:val="BodyText"/>
        <w:spacing w:line="276" w:lineRule="auto" w:before="61"/>
        <w:ind w:left="477" w:right="133"/>
      </w:pPr>
      <w:r>
        <w:rPr/>
        <w:t>In these studies, alpha-lipoic acid was shown to have a significant effect on the normalisation of blood sugar levels, something that is particularly</w:t>
      </w:r>
      <w:r>
        <w:rPr>
          <w:spacing w:val="-32"/>
        </w:rPr>
        <w:t> </w:t>
      </w:r>
      <w:r>
        <w:rPr/>
        <w:t>beneficial</w:t>
      </w:r>
      <w:r>
        <w:rPr>
          <w:spacing w:val="-4"/>
        </w:rPr>
        <w:t> </w:t>
      </w:r>
      <w:r>
        <w:rPr/>
        <w:t>for</w:t>
      </w:r>
      <w:r>
        <w:rPr>
          <w:spacing w:val="2"/>
        </w:rPr>
        <w:t> </w:t>
      </w:r>
      <w:r>
        <w:rPr/>
        <w:t>diabetics. It activates the transport molecules Glut-1 and Glut-4, which are also responsible for the introduction of glucose into the muscle cells, where it is then consumed as</w:t>
      </w:r>
      <w:r>
        <w:rPr>
          <w:spacing w:val="2"/>
        </w:rPr>
        <w:t> </w:t>
      </w:r>
      <w:r>
        <w:rPr/>
        <w:t>energy.</w:t>
      </w:r>
    </w:p>
    <w:p>
      <w:pPr>
        <w:pStyle w:val="BodyText"/>
        <w:spacing w:line="276" w:lineRule="auto" w:before="60"/>
        <w:ind w:left="477" w:right="389"/>
      </w:pPr>
      <w:r>
        <w:rPr/>
        <w:t>The degradation of these transport molecules is prevented, and these mecha- nisms support the normalisation of our blood sugar levels. In studies, it was possible to increase glucose uptake by more than 50 %.</w:t>
      </w:r>
    </w:p>
    <w:p>
      <w:pPr>
        <w:pStyle w:val="BodyText"/>
        <w:spacing w:line="276" w:lineRule="auto" w:before="61"/>
        <w:ind w:left="477" w:right="270"/>
      </w:pPr>
      <w:r>
        <w:rPr/>
        <w:t>Furthermore, Passwater (1995) proved in his studies that alpha-lipoic acid im- proves insulin sensitivity.</w:t>
      </w:r>
    </w:p>
    <w:p>
      <w:pPr>
        <w:pStyle w:val="BodyText"/>
        <w:spacing w:line="292" w:lineRule="auto" w:before="59"/>
        <w:ind w:left="477"/>
      </w:pPr>
      <w:r>
        <w:rPr/>
        <w:t>Studies to Improve Insulin Sensitivity by Packer L., Kraemer K., Rimbach G. Oral administration of alpha-lipoic acid at doses of 600 mg, 1200 mg or 1800 mg per day over a period of four weeks resulted in an improvement in insulin</w:t>
      </w:r>
    </w:p>
    <w:p>
      <w:pPr>
        <w:spacing w:after="0" w:line="292" w:lineRule="auto"/>
        <w:sectPr>
          <w:pgSz w:w="14270" w:h="16850"/>
          <w:pgMar w:header="0" w:footer="1891" w:top="1600" w:bottom="2080" w:left="800" w:right="1280"/>
        </w:sectPr>
      </w:pPr>
    </w:p>
    <w:p>
      <w:pPr>
        <w:pStyle w:val="BodyText"/>
        <w:spacing w:before="181"/>
        <w:ind w:left="477"/>
      </w:pPr>
      <w:r>
        <w:rPr/>
        <w:t>sensitivity of 25 %.</w:t>
      </w:r>
    </w:p>
    <w:p>
      <w:pPr>
        <w:pStyle w:val="BodyText"/>
        <w:spacing w:line="276" w:lineRule="auto" w:before="305"/>
        <w:ind w:left="477" w:right="626"/>
      </w:pPr>
      <w:r>
        <w:rPr/>
        <w:t>Studies by Nagamatsu et al. (1995): Alpha-lipoic acid improves nerve blood flow and nerve signal transmission.</w:t>
      </w:r>
    </w:p>
    <w:p>
      <w:pPr>
        <w:pStyle w:val="BodyText"/>
        <w:spacing w:line="276" w:lineRule="auto" w:before="61"/>
        <w:ind w:left="477" w:right="135"/>
        <w:jc w:val="both"/>
      </w:pPr>
      <w:r>
        <w:rPr/>
        <w:t>Here it was proven that alpha-lipoic acid improves signal transmission and blood flow in the nerves. Alpha-lipoic acid has proven very successful in the treatment of diabetic polyneuropathy. Thus, the ingestion of alpha-lipoic acid may counteract functional failures of the nerves, such as numbness, abnormal sensations, tingling, pain and burning (e.g. diabetic foot), as well as loss of re- flexes.</w:t>
      </w:r>
    </w:p>
    <w:p>
      <w:pPr>
        <w:spacing w:after="0" w:line="276" w:lineRule="auto"/>
        <w:jc w:val="both"/>
        <w:sectPr>
          <w:pgSz w:w="14270" w:h="16850"/>
          <w:pgMar w:header="0" w:footer="1891" w:top="1600" w:bottom="2080" w:left="800" w:right="1280"/>
        </w:sectPr>
      </w:pPr>
    </w:p>
    <w:p>
      <w:pPr>
        <w:pStyle w:val="Heading1"/>
        <w:spacing w:line="261" w:lineRule="auto" w:before="164"/>
        <w:ind w:right="144"/>
        <w:jc w:val="both"/>
      </w:pPr>
      <w:r>
        <w:rPr/>
        <w:t>Study</w:t>
      </w:r>
      <w:r>
        <w:rPr>
          <w:spacing w:val="-37"/>
        </w:rPr>
        <w:t> </w:t>
      </w:r>
      <w:r>
        <w:rPr/>
        <w:t>by</w:t>
      </w:r>
      <w:r>
        <w:rPr>
          <w:spacing w:val="-38"/>
        </w:rPr>
        <w:t> </w:t>
      </w:r>
      <w:r>
        <w:rPr/>
        <w:t>Ziegler</w:t>
      </w:r>
      <w:r>
        <w:rPr>
          <w:spacing w:val="-37"/>
        </w:rPr>
        <w:t> </w:t>
      </w:r>
      <w:r>
        <w:rPr/>
        <w:t>et</w:t>
      </w:r>
      <w:r>
        <w:rPr>
          <w:spacing w:val="-38"/>
        </w:rPr>
        <w:t> </w:t>
      </w:r>
      <w:r>
        <w:rPr/>
        <w:t>al.</w:t>
      </w:r>
      <w:r>
        <w:rPr>
          <w:spacing w:val="-37"/>
        </w:rPr>
        <w:t> </w:t>
      </w:r>
      <w:r>
        <w:rPr/>
        <w:t>(1197):</w:t>
      </w:r>
      <w:r>
        <w:rPr>
          <w:spacing w:val="-35"/>
        </w:rPr>
        <w:t> </w:t>
      </w:r>
      <w:r>
        <w:rPr/>
        <w:t>Alpha-lipoic</w:t>
      </w:r>
      <w:r>
        <w:rPr>
          <w:spacing w:val="-38"/>
        </w:rPr>
        <w:t> </w:t>
      </w:r>
      <w:r>
        <w:rPr/>
        <w:t>acid</w:t>
      </w:r>
      <w:r>
        <w:rPr>
          <w:spacing w:val="-37"/>
        </w:rPr>
        <w:t> </w:t>
      </w:r>
      <w:r>
        <w:rPr/>
        <w:t>reduces</w:t>
      </w:r>
      <w:r>
        <w:rPr>
          <w:spacing w:val="-38"/>
        </w:rPr>
        <w:t> </w:t>
      </w:r>
      <w:r>
        <w:rPr/>
        <w:t>heart</w:t>
      </w:r>
      <w:r>
        <w:rPr>
          <w:spacing w:val="-37"/>
        </w:rPr>
        <w:t> </w:t>
      </w:r>
      <w:r>
        <w:rPr/>
        <w:t>problems in</w:t>
      </w:r>
      <w:r>
        <w:rPr>
          <w:spacing w:val="-8"/>
        </w:rPr>
        <w:t> </w:t>
      </w:r>
      <w:r>
        <w:rPr/>
        <w:t>diabetics</w:t>
      </w:r>
    </w:p>
    <w:p>
      <w:pPr>
        <w:pStyle w:val="BodyText"/>
        <w:spacing w:line="276" w:lineRule="auto" w:before="260"/>
        <w:ind w:left="477" w:right="131"/>
        <w:jc w:val="both"/>
      </w:pPr>
      <w:r>
        <w:rPr/>
        <w:t>Prof. Dr. Dan Ziegler presented a previously unpublished meta-analysis at a press</w:t>
      </w:r>
      <w:r>
        <w:rPr>
          <w:spacing w:val="-7"/>
        </w:rPr>
        <w:t> </w:t>
      </w:r>
      <w:r>
        <w:rPr/>
        <w:t>workshop</w:t>
      </w:r>
      <w:r>
        <w:rPr>
          <w:spacing w:val="-10"/>
        </w:rPr>
        <w:t> </w:t>
      </w:r>
      <w:r>
        <w:rPr/>
        <w:t>in</w:t>
      </w:r>
      <w:r>
        <w:rPr>
          <w:spacing w:val="-8"/>
        </w:rPr>
        <w:t> </w:t>
      </w:r>
      <w:r>
        <w:rPr/>
        <w:t>Munich</w:t>
      </w:r>
      <w:r>
        <w:rPr>
          <w:spacing w:val="-7"/>
        </w:rPr>
        <w:t> </w:t>
      </w:r>
      <w:r>
        <w:rPr/>
        <w:t>which</w:t>
      </w:r>
      <w:r>
        <w:rPr>
          <w:spacing w:val="-8"/>
        </w:rPr>
        <w:t> </w:t>
      </w:r>
      <w:r>
        <w:rPr/>
        <w:t>included</w:t>
      </w:r>
      <w:r>
        <w:rPr>
          <w:spacing w:val="-9"/>
        </w:rPr>
        <w:t> </w:t>
      </w:r>
      <w:r>
        <w:rPr/>
        <w:t>four</w:t>
      </w:r>
      <w:r>
        <w:rPr>
          <w:spacing w:val="-9"/>
        </w:rPr>
        <w:t> </w:t>
      </w:r>
      <w:r>
        <w:rPr/>
        <w:t>randomised</w:t>
      </w:r>
      <w:r>
        <w:rPr>
          <w:spacing w:val="-8"/>
        </w:rPr>
        <w:t> </w:t>
      </w:r>
      <w:r>
        <w:rPr/>
        <w:t>controlled</w:t>
      </w:r>
      <w:r>
        <w:rPr>
          <w:spacing w:val="-8"/>
        </w:rPr>
        <w:t> </w:t>
      </w:r>
      <w:r>
        <w:rPr/>
        <w:t>double- blind studies, involving a total of 1258 diabetics who were given daily infusion therapy with 600 mg alpha-lipoic acid (excluding weekends) for three weeks. Main symptoms such as pain, numbness, tingling and paraesthesia, as well as functional deficiencies such as muscle reflexes, were affected positively during the three-week observation</w:t>
      </w:r>
      <w:r>
        <w:rPr>
          <w:spacing w:val="2"/>
        </w:rPr>
        <w:t> </w:t>
      </w:r>
      <w:r>
        <w:rPr/>
        <w:t>period.</w:t>
      </w:r>
    </w:p>
    <w:p>
      <w:pPr>
        <w:pStyle w:val="BodyText"/>
        <w:spacing w:line="276" w:lineRule="auto" w:before="241"/>
        <w:ind w:left="477" w:right="134"/>
        <w:jc w:val="both"/>
      </w:pPr>
      <w:r>
        <w:rPr/>
        <w:t>In 20-40 % of all diabetics, heart problems occur that dramatically increase the mortality</w:t>
      </w:r>
      <w:r>
        <w:rPr>
          <w:spacing w:val="-14"/>
        </w:rPr>
        <w:t> </w:t>
      </w:r>
      <w:r>
        <w:rPr/>
        <w:t>rate.</w:t>
      </w:r>
      <w:r>
        <w:rPr>
          <w:spacing w:val="-11"/>
        </w:rPr>
        <w:t> </w:t>
      </w:r>
      <w:r>
        <w:rPr/>
        <w:t>Studies</w:t>
      </w:r>
      <w:r>
        <w:rPr>
          <w:spacing w:val="-13"/>
        </w:rPr>
        <w:t> </w:t>
      </w:r>
      <w:r>
        <w:rPr/>
        <w:t>have</w:t>
      </w:r>
      <w:r>
        <w:rPr>
          <w:spacing w:val="-11"/>
        </w:rPr>
        <w:t> </w:t>
      </w:r>
      <w:r>
        <w:rPr/>
        <w:t>shown</w:t>
      </w:r>
      <w:r>
        <w:rPr>
          <w:spacing w:val="-11"/>
        </w:rPr>
        <w:t> </w:t>
      </w:r>
      <w:r>
        <w:rPr/>
        <w:t>that</w:t>
      </w:r>
      <w:r>
        <w:rPr>
          <w:spacing w:val="-13"/>
        </w:rPr>
        <w:t> </w:t>
      </w:r>
      <w:r>
        <w:rPr/>
        <w:t>alpha-lipoic</w:t>
      </w:r>
      <w:r>
        <w:rPr>
          <w:spacing w:val="-12"/>
        </w:rPr>
        <w:t> </w:t>
      </w:r>
      <w:r>
        <w:rPr/>
        <w:t>acid</w:t>
      </w:r>
      <w:r>
        <w:rPr>
          <w:spacing w:val="-13"/>
        </w:rPr>
        <w:t> </w:t>
      </w:r>
      <w:r>
        <w:rPr/>
        <w:t>has</w:t>
      </w:r>
      <w:r>
        <w:rPr>
          <w:spacing w:val="-12"/>
        </w:rPr>
        <w:t> </w:t>
      </w:r>
      <w:r>
        <w:rPr/>
        <w:t>a</w:t>
      </w:r>
      <w:r>
        <w:rPr>
          <w:spacing w:val="-13"/>
        </w:rPr>
        <w:t> </w:t>
      </w:r>
      <w:r>
        <w:rPr/>
        <w:t>positive</w:t>
      </w:r>
      <w:r>
        <w:rPr>
          <w:spacing w:val="-13"/>
        </w:rPr>
        <w:t> </w:t>
      </w:r>
      <w:r>
        <w:rPr/>
        <w:t>effect</w:t>
      </w:r>
      <w:r>
        <w:rPr>
          <w:spacing w:val="-11"/>
        </w:rPr>
        <w:t> </w:t>
      </w:r>
      <w:r>
        <w:rPr/>
        <w:t>on these illnesses.</w:t>
      </w:r>
    </w:p>
    <w:p>
      <w:pPr>
        <w:pStyle w:val="Heading1"/>
        <w:spacing w:before="342"/>
        <w:jc w:val="both"/>
      </w:pPr>
      <w:r>
        <w:rPr/>
        <w:t>Study by Dr. Burton: Alpha-lipoic acid and its effect on hepatitis C</w:t>
      </w:r>
    </w:p>
    <w:p>
      <w:pPr>
        <w:pStyle w:val="BodyText"/>
        <w:spacing w:line="276" w:lineRule="auto" w:before="299"/>
        <w:ind w:left="477" w:right="136"/>
        <w:jc w:val="both"/>
        <w:rPr>
          <w:sz w:val="25"/>
        </w:rPr>
      </w:pPr>
      <w:r>
        <w:rPr/>
        <w:t>Alpha-lipoic</w:t>
      </w:r>
      <w:r>
        <w:rPr>
          <w:spacing w:val="-16"/>
        </w:rPr>
        <w:t> </w:t>
      </w:r>
      <w:r>
        <w:rPr/>
        <w:t>acid</w:t>
      </w:r>
      <w:r>
        <w:rPr>
          <w:spacing w:val="-18"/>
        </w:rPr>
        <w:t> </w:t>
      </w:r>
      <w:r>
        <w:rPr/>
        <w:t>has</w:t>
      </w:r>
      <w:r>
        <w:rPr>
          <w:spacing w:val="-17"/>
        </w:rPr>
        <w:t> </w:t>
      </w:r>
      <w:r>
        <w:rPr/>
        <w:t>also</w:t>
      </w:r>
      <w:r>
        <w:rPr>
          <w:spacing w:val="-16"/>
        </w:rPr>
        <w:t> </w:t>
      </w:r>
      <w:r>
        <w:rPr/>
        <w:t>proven</w:t>
      </w:r>
      <w:r>
        <w:rPr>
          <w:spacing w:val="-17"/>
        </w:rPr>
        <w:t> </w:t>
      </w:r>
      <w:r>
        <w:rPr/>
        <w:t>effective</w:t>
      </w:r>
      <w:r>
        <w:rPr>
          <w:spacing w:val="-17"/>
        </w:rPr>
        <w:t> </w:t>
      </w:r>
      <w:r>
        <w:rPr/>
        <w:t>in</w:t>
      </w:r>
      <w:r>
        <w:rPr>
          <w:spacing w:val="-17"/>
        </w:rPr>
        <w:t> </w:t>
      </w:r>
      <w:r>
        <w:rPr/>
        <w:t>the</w:t>
      </w:r>
      <w:r>
        <w:rPr>
          <w:spacing w:val="-16"/>
        </w:rPr>
        <w:t> </w:t>
      </w:r>
      <w:r>
        <w:rPr/>
        <w:t>fight</w:t>
      </w:r>
      <w:r>
        <w:rPr>
          <w:spacing w:val="-17"/>
        </w:rPr>
        <w:t> </w:t>
      </w:r>
      <w:r>
        <w:rPr/>
        <w:t>against</w:t>
      </w:r>
      <w:r>
        <w:rPr>
          <w:spacing w:val="-17"/>
        </w:rPr>
        <w:t> </w:t>
      </w:r>
      <w:r>
        <w:rPr/>
        <w:t>hepatitis</w:t>
      </w:r>
      <w:r>
        <w:rPr>
          <w:spacing w:val="-14"/>
        </w:rPr>
        <w:t> </w:t>
      </w:r>
      <w:r>
        <w:rPr/>
        <w:t>C.</w:t>
      </w:r>
      <w:r>
        <w:rPr>
          <w:spacing w:val="-18"/>
        </w:rPr>
        <w:t> </w:t>
      </w:r>
      <w:r>
        <w:rPr/>
        <w:t>In</w:t>
      </w:r>
      <w:r>
        <w:rPr>
          <w:spacing w:val="-16"/>
        </w:rPr>
        <w:t> </w:t>
      </w:r>
      <w:r>
        <w:rPr/>
        <w:t>his study on the use of antioxidants on hepatitis C, Dr. Burton Berkson reported great success in healing patients.</w:t>
      </w:r>
      <w:r>
        <w:rPr>
          <w:position w:val="9"/>
          <w:sz w:val="25"/>
        </w:rPr>
        <w:t>16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2"/>
        </w:rPr>
      </w:pPr>
      <w:r>
        <w:rPr/>
        <w:pict>
          <v:line style="position:absolute;mso-position-horizontal-relative:page;mso-position-vertical-relative:paragraph;z-index:-784;mso-wrap-distance-left:0;mso-wrap-distance-right:0" from="63.863998pt,9.533765pt" to="207.883998pt,9.53376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16 </w:t>
      </w:r>
      <w:r>
        <w:rPr>
          <w:sz w:val="20"/>
        </w:rPr>
        <w:t>Dr. Burton Berkson, ‘The Alpha-Lipoic Acid Breakthrough’ 1998</w:t>
      </w:r>
    </w:p>
    <w:p>
      <w:pPr>
        <w:spacing w:after="0"/>
        <w:jc w:val="left"/>
        <w:rPr>
          <w:sz w:val="20"/>
        </w:rPr>
        <w:sectPr>
          <w:pgSz w:w="14270" w:h="16850"/>
          <w:pgMar w:header="0" w:footer="1891" w:top="1600" w:bottom="2080" w:left="800" w:right="1280"/>
        </w:sectPr>
      </w:pPr>
    </w:p>
    <w:p>
      <w:pPr>
        <w:pStyle w:val="Heading1"/>
        <w:spacing w:line="261" w:lineRule="auto" w:before="164"/>
        <w:ind w:right="140"/>
        <w:jc w:val="both"/>
        <w:rPr>
          <w:i w:val="0"/>
          <w:sz w:val="38"/>
        </w:rPr>
      </w:pPr>
      <w:r>
        <w:rPr>
          <w:w w:val="95"/>
        </w:rPr>
        <w:t>Study</w:t>
      </w:r>
      <w:r>
        <w:rPr>
          <w:spacing w:val="-11"/>
          <w:w w:val="95"/>
        </w:rPr>
        <w:t> </w:t>
      </w:r>
      <w:r>
        <w:rPr>
          <w:w w:val="95"/>
        </w:rPr>
        <w:t>by</w:t>
      </w:r>
      <w:r>
        <w:rPr>
          <w:spacing w:val="-9"/>
          <w:w w:val="95"/>
        </w:rPr>
        <w:t> </w:t>
      </w:r>
      <w:r>
        <w:rPr>
          <w:w w:val="95"/>
        </w:rPr>
        <w:t>Zhang</w:t>
      </w:r>
      <w:r>
        <w:rPr>
          <w:spacing w:val="-7"/>
          <w:w w:val="95"/>
        </w:rPr>
        <w:t> </w:t>
      </w:r>
      <w:r>
        <w:rPr>
          <w:w w:val="95"/>
        </w:rPr>
        <w:t>and</w:t>
      </w:r>
      <w:r>
        <w:rPr>
          <w:spacing w:val="-8"/>
          <w:w w:val="95"/>
        </w:rPr>
        <w:t> </w:t>
      </w:r>
      <w:r>
        <w:rPr>
          <w:w w:val="95"/>
        </w:rPr>
        <w:t>Frei</w:t>
      </w:r>
      <w:r>
        <w:rPr>
          <w:spacing w:val="-9"/>
          <w:w w:val="95"/>
        </w:rPr>
        <w:t> </w:t>
      </w:r>
      <w:r>
        <w:rPr>
          <w:w w:val="95"/>
        </w:rPr>
        <w:t>(2001):</w:t>
      </w:r>
      <w:r>
        <w:rPr>
          <w:spacing w:val="-7"/>
          <w:w w:val="95"/>
        </w:rPr>
        <w:t> </w:t>
      </w:r>
      <w:r>
        <w:rPr>
          <w:w w:val="95"/>
        </w:rPr>
        <w:t>Alpha-lipoic</w:t>
      </w:r>
      <w:r>
        <w:rPr>
          <w:spacing w:val="-6"/>
          <w:w w:val="95"/>
        </w:rPr>
        <w:t> </w:t>
      </w:r>
      <w:r>
        <w:rPr>
          <w:w w:val="95"/>
        </w:rPr>
        <w:t>acid</w:t>
      </w:r>
      <w:r>
        <w:rPr>
          <w:spacing w:val="-9"/>
          <w:w w:val="95"/>
        </w:rPr>
        <w:t> </w:t>
      </w:r>
      <w:r>
        <w:rPr>
          <w:w w:val="95"/>
        </w:rPr>
        <w:t>prevents</w:t>
      </w:r>
      <w:r>
        <w:rPr>
          <w:spacing w:val="-9"/>
          <w:w w:val="95"/>
        </w:rPr>
        <w:t> </w:t>
      </w:r>
      <w:r>
        <w:rPr>
          <w:w w:val="95"/>
        </w:rPr>
        <w:t>atherosclero- </w:t>
      </w:r>
      <w:r>
        <w:rPr/>
        <w:t>sis</w:t>
      </w:r>
      <w:r>
        <w:rPr>
          <w:i w:val="0"/>
          <w:sz w:val="38"/>
        </w:rPr>
        <w:t>.</w:t>
      </w:r>
    </w:p>
    <w:p>
      <w:pPr>
        <w:pStyle w:val="BodyText"/>
        <w:spacing w:line="276" w:lineRule="auto" w:before="260"/>
        <w:ind w:left="477" w:right="134"/>
        <w:jc w:val="both"/>
      </w:pPr>
      <w:r>
        <w:rPr/>
        <w:t>As the cause of approximately 50 % of all deaths, cardiovascular disease is the ‘Number One’ cause of death in the developed world. The deaths are usually due to atherosclerosis, popularly known as ‘arterial calcification‘. Zhang and Frei have been able to show in their studies that alpha-lipoic acid prevents the production of many factors that lead to atherosclerosis.</w:t>
      </w:r>
    </w:p>
    <w:p>
      <w:pPr>
        <w:pStyle w:val="BodyText"/>
        <w:spacing w:line="276" w:lineRule="auto" w:before="240"/>
        <w:ind w:left="477" w:right="856"/>
      </w:pPr>
      <w:r>
        <w:rPr/>
        <w:t>Studies by Passwater (1995), Packer and Colman (2000): Alpha-lipoic acid lowers blood cholesterol and increases the heart's oxygen uptake</w:t>
      </w:r>
    </w:p>
    <w:p>
      <w:pPr>
        <w:pStyle w:val="BodyText"/>
        <w:spacing w:line="276" w:lineRule="auto" w:before="61"/>
        <w:ind w:left="477" w:right="131"/>
        <w:jc w:val="both"/>
      </w:pPr>
      <w:r>
        <w:rPr/>
        <w:t>According to Passwater (1995), Russian scientists discovered as early as the 1970s that alpha-lipoic acid can reduce cholesterol levels in the blood by 40 % and aorta by 45 %, and can increase oxygen levels in the heart by 72 %, in the aorta by 148 % and in the liver by 128 %.</w:t>
      </w:r>
    </w:p>
    <w:p>
      <w:pPr>
        <w:pStyle w:val="Heading1"/>
        <w:spacing w:line="261" w:lineRule="auto" w:before="222"/>
        <w:ind w:right="139"/>
        <w:jc w:val="both"/>
      </w:pPr>
      <w:r>
        <w:rPr/>
        <w:t>Study</w:t>
      </w:r>
      <w:r>
        <w:rPr>
          <w:spacing w:val="-31"/>
        </w:rPr>
        <w:t> </w:t>
      </w:r>
      <w:r>
        <w:rPr/>
        <w:t>by</w:t>
      </w:r>
      <w:r>
        <w:rPr>
          <w:spacing w:val="-33"/>
        </w:rPr>
        <w:t> </w:t>
      </w:r>
      <w:r>
        <w:rPr/>
        <w:t>Passwater</w:t>
      </w:r>
      <w:r>
        <w:rPr>
          <w:spacing w:val="-32"/>
        </w:rPr>
        <w:t> </w:t>
      </w:r>
      <w:r>
        <w:rPr/>
        <w:t>(1995):</w:t>
      </w:r>
      <w:r>
        <w:rPr>
          <w:spacing w:val="-32"/>
        </w:rPr>
        <w:t> </w:t>
      </w:r>
      <w:r>
        <w:rPr/>
        <w:t>Alpha-lipoic</w:t>
      </w:r>
      <w:r>
        <w:rPr>
          <w:spacing w:val="-32"/>
        </w:rPr>
        <w:t> </w:t>
      </w:r>
      <w:r>
        <w:rPr/>
        <w:t>acid</w:t>
      </w:r>
      <w:r>
        <w:rPr>
          <w:spacing w:val="-32"/>
        </w:rPr>
        <w:t> </w:t>
      </w:r>
      <w:r>
        <w:rPr/>
        <w:t>helps</w:t>
      </w:r>
      <w:r>
        <w:rPr>
          <w:spacing w:val="-32"/>
        </w:rPr>
        <w:t> </w:t>
      </w:r>
      <w:r>
        <w:rPr/>
        <w:t>against</w:t>
      </w:r>
      <w:r>
        <w:rPr>
          <w:spacing w:val="-33"/>
        </w:rPr>
        <w:t> </w:t>
      </w:r>
      <w:r>
        <w:rPr/>
        <w:t>reperfusion and</w:t>
      </w:r>
      <w:r>
        <w:rPr>
          <w:spacing w:val="-30"/>
        </w:rPr>
        <w:t> </w:t>
      </w:r>
      <w:r>
        <w:rPr/>
        <w:t>increases</w:t>
      </w:r>
      <w:r>
        <w:rPr>
          <w:spacing w:val="-29"/>
        </w:rPr>
        <w:t> </w:t>
      </w:r>
      <w:r>
        <w:rPr/>
        <w:t>the</w:t>
      </w:r>
      <w:r>
        <w:rPr>
          <w:spacing w:val="-30"/>
        </w:rPr>
        <w:t> </w:t>
      </w:r>
      <w:r>
        <w:rPr/>
        <w:t>chances</w:t>
      </w:r>
      <w:r>
        <w:rPr>
          <w:spacing w:val="-27"/>
        </w:rPr>
        <w:t> </w:t>
      </w:r>
      <w:r>
        <w:rPr/>
        <w:t>of</w:t>
      </w:r>
      <w:r>
        <w:rPr>
          <w:spacing w:val="-29"/>
        </w:rPr>
        <w:t> </w:t>
      </w:r>
      <w:r>
        <w:rPr/>
        <w:t>survival</w:t>
      </w:r>
      <w:r>
        <w:rPr>
          <w:spacing w:val="-30"/>
        </w:rPr>
        <w:t> </w:t>
      </w:r>
      <w:r>
        <w:rPr/>
        <w:t>in</w:t>
      </w:r>
      <w:r>
        <w:rPr>
          <w:spacing w:val="-30"/>
        </w:rPr>
        <w:t> </w:t>
      </w:r>
      <w:r>
        <w:rPr/>
        <w:t>the</w:t>
      </w:r>
      <w:r>
        <w:rPr>
          <w:spacing w:val="-30"/>
        </w:rPr>
        <w:t> </w:t>
      </w:r>
      <w:r>
        <w:rPr/>
        <w:t>event</w:t>
      </w:r>
      <w:r>
        <w:rPr>
          <w:spacing w:val="-30"/>
        </w:rPr>
        <w:t> </w:t>
      </w:r>
      <w:r>
        <w:rPr/>
        <w:t>of</w:t>
      </w:r>
      <w:r>
        <w:rPr>
          <w:spacing w:val="-28"/>
        </w:rPr>
        <w:t> </w:t>
      </w:r>
      <w:r>
        <w:rPr/>
        <w:t>a</w:t>
      </w:r>
      <w:r>
        <w:rPr>
          <w:spacing w:val="-29"/>
        </w:rPr>
        <w:t> </w:t>
      </w:r>
      <w:r>
        <w:rPr/>
        <w:t>heart</w:t>
      </w:r>
      <w:r>
        <w:rPr>
          <w:spacing w:val="-29"/>
        </w:rPr>
        <w:t> </w:t>
      </w:r>
      <w:r>
        <w:rPr/>
        <w:t>attack.</w:t>
      </w:r>
    </w:p>
    <w:p>
      <w:pPr>
        <w:pStyle w:val="BodyText"/>
        <w:spacing w:line="276" w:lineRule="auto" w:before="261"/>
        <w:ind w:left="477" w:right="131"/>
        <w:jc w:val="both"/>
      </w:pPr>
      <w:r>
        <w:rPr/>
        <w:t>In another trial, Passwater was able to prove that alpha-lipoic acid administra- tion can reduce cardiac damage due to the temporary lack of blood supply to the heart muscle, and then reperfusion during a heart attack from 80 % to 40</w:t>
      </w:r>
    </w:p>
    <w:p>
      <w:pPr>
        <w:pStyle w:val="BodyText"/>
        <w:spacing w:line="426" w:lineRule="exact"/>
        <w:ind w:left="477"/>
        <w:jc w:val="both"/>
      </w:pPr>
      <w:r>
        <w:rPr/>
        <w:t>%.</w:t>
      </w:r>
    </w:p>
    <w:p>
      <w:pPr>
        <w:spacing w:after="0" w:line="426" w:lineRule="exact"/>
        <w:jc w:val="both"/>
        <w:sectPr>
          <w:pgSz w:w="14270" w:h="16850"/>
          <w:pgMar w:header="0" w:footer="1891" w:top="1600" w:bottom="2080" w:left="800" w:right="1280"/>
        </w:sectPr>
      </w:pPr>
    </w:p>
    <w:p>
      <w:pPr>
        <w:pStyle w:val="Heading1"/>
        <w:spacing w:line="261" w:lineRule="auto" w:before="164"/>
        <w:ind w:right="142"/>
        <w:jc w:val="both"/>
      </w:pPr>
      <w:r>
        <w:rPr/>
        <w:t>Study</w:t>
      </w:r>
      <w:r>
        <w:rPr>
          <w:spacing w:val="-53"/>
        </w:rPr>
        <w:t> </w:t>
      </w:r>
      <w:r>
        <w:rPr/>
        <w:t>by</w:t>
      </w:r>
      <w:r>
        <w:rPr>
          <w:spacing w:val="-52"/>
        </w:rPr>
        <w:t> </w:t>
      </w:r>
      <w:r>
        <w:rPr/>
        <w:t>Dr.</w:t>
      </w:r>
      <w:r>
        <w:rPr>
          <w:spacing w:val="-52"/>
        </w:rPr>
        <w:t> </w:t>
      </w:r>
      <w:r>
        <w:rPr/>
        <w:t>Parker:</w:t>
      </w:r>
      <w:r>
        <w:rPr>
          <w:spacing w:val="-52"/>
        </w:rPr>
        <w:t> </w:t>
      </w:r>
      <w:r>
        <w:rPr/>
        <w:t>Alpha-lipoic</w:t>
      </w:r>
      <w:r>
        <w:rPr>
          <w:spacing w:val="-52"/>
        </w:rPr>
        <w:t> </w:t>
      </w:r>
      <w:r>
        <w:rPr/>
        <w:t>acid</w:t>
      </w:r>
      <w:r>
        <w:rPr>
          <w:spacing w:val="-53"/>
        </w:rPr>
        <w:t> </w:t>
      </w:r>
      <w:r>
        <w:rPr/>
        <w:t>helps</w:t>
      </w:r>
      <w:r>
        <w:rPr>
          <w:spacing w:val="-51"/>
        </w:rPr>
        <w:t> </w:t>
      </w:r>
      <w:r>
        <w:rPr/>
        <w:t>against</w:t>
      </w:r>
      <w:r>
        <w:rPr>
          <w:spacing w:val="-53"/>
        </w:rPr>
        <w:t> </w:t>
      </w:r>
      <w:r>
        <w:rPr/>
        <w:t>reperfusion</w:t>
      </w:r>
      <w:r>
        <w:rPr>
          <w:spacing w:val="-53"/>
        </w:rPr>
        <w:t> </w:t>
      </w:r>
      <w:r>
        <w:rPr/>
        <w:t>and</w:t>
      </w:r>
      <w:r>
        <w:rPr>
          <w:spacing w:val="-52"/>
        </w:rPr>
        <w:t> </w:t>
      </w:r>
      <w:r>
        <w:rPr/>
        <w:t>in- creases the chances of surviving a</w:t>
      </w:r>
      <w:r>
        <w:rPr>
          <w:spacing w:val="-63"/>
        </w:rPr>
        <w:t> </w:t>
      </w:r>
      <w:r>
        <w:rPr/>
        <w:t>stroke.</w:t>
      </w:r>
    </w:p>
    <w:p>
      <w:pPr>
        <w:pStyle w:val="BodyText"/>
        <w:spacing w:line="276" w:lineRule="auto" w:before="260"/>
        <w:ind w:left="477" w:right="132"/>
        <w:jc w:val="both"/>
      </w:pPr>
      <w:r>
        <w:rPr/>
        <w:t>In</w:t>
      </w:r>
      <w:r>
        <w:rPr>
          <w:spacing w:val="-23"/>
        </w:rPr>
        <w:t> </w:t>
      </w:r>
      <w:r>
        <w:rPr/>
        <w:t>an</w:t>
      </w:r>
      <w:r>
        <w:rPr>
          <w:spacing w:val="-25"/>
        </w:rPr>
        <w:t> </w:t>
      </w:r>
      <w:r>
        <w:rPr/>
        <w:t>experiment</w:t>
      </w:r>
      <w:r>
        <w:rPr>
          <w:spacing w:val="-24"/>
        </w:rPr>
        <w:t> </w:t>
      </w:r>
      <w:r>
        <w:rPr/>
        <w:t>on</w:t>
      </w:r>
      <w:r>
        <w:rPr>
          <w:spacing w:val="-24"/>
        </w:rPr>
        <w:t> </w:t>
      </w:r>
      <w:r>
        <w:rPr/>
        <w:t>rats,</w:t>
      </w:r>
      <w:r>
        <w:rPr>
          <w:spacing w:val="-22"/>
        </w:rPr>
        <w:t> </w:t>
      </w:r>
      <w:r>
        <w:rPr/>
        <w:t>Dr.</w:t>
      </w:r>
      <w:r>
        <w:rPr>
          <w:spacing w:val="-24"/>
        </w:rPr>
        <w:t> </w:t>
      </w:r>
      <w:r>
        <w:rPr/>
        <w:t>Parker</w:t>
      </w:r>
      <w:r>
        <w:rPr>
          <w:spacing w:val="-23"/>
        </w:rPr>
        <w:t> </w:t>
      </w:r>
      <w:r>
        <w:rPr/>
        <w:t>was</w:t>
      </w:r>
      <w:r>
        <w:rPr>
          <w:spacing w:val="-22"/>
        </w:rPr>
        <w:t> </w:t>
      </w:r>
      <w:r>
        <w:rPr/>
        <w:t>able</w:t>
      </w:r>
      <w:r>
        <w:rPr>
          <w:spacing w:val="-24"/>
        </w:rPr>
        <w:t> </w:t>
      </w:r>
      <w:r>
        <w:rPr/>
        <w:t>to</w:t>
      </w:r>
      <w:r>
        <w:rPr>
          <w:spacing w:val="-25"/>
        </w:rPr>
        <w:t> </w:t>
      </w:r>
      <w:r>
        <w:rPr/>
        <w:t>reduce</w:t>
      </w:r>
      <w:r>
        <w:rPr>
          <w:spacing w:val="-24"/>
        </w:rPr>
        <w:t> </w:t>
      </w:r>
      <w:r>
        <w:rPr/>
        <w:t>the</w:t>
      </w:r>
      <w:r>
        <w:rPr>
          <w:spacing w:val="-22"/>
        </w:rPr>
        <w:t> </w:t>
      </w:r>
      <w:r>
        <w:rPr/>
        <w:t>rate</w:t>
      </w:r>
      <w:r>
        <w:rPr>
          <w:spacing w:val="-26"/>
        </w:rPr>
        <w:t> </w:t>
      </w:r>
      <w:r>
        <w:rPr/>
        <w:t>of</w:t>
      </w:r>
      <w:r>
        <w:rPr>
          <w:spacing w:val="-25"/>
        </w:rPr>
        <w:t> </w:t>
      </w:r>
      <w:r>
        <w:rPr/>
        <w:t>deaths</w:t>
      </w:r>
      <w:r>
        <w:rPr>
          <w:spacing w:val="-22"/>
        </w:rPr>
        <w:t> </w:t>
      </w:r>
      <w:r>
        <w:rPr/>
        <w:t>caused by reperfusion in induced strokes from 80 to 25 % with alpha-linoic acid. The 75 % surviving animals suffered no consequential</w:t>
      </w:r>
      <w:r>
        <w:rPr>
          <w:spacing w:val="-2"/>
        </w:rPr>
        <w:t> </w:t>
      </w:r>
      <w:r>
        <w:rPr/>
        <w:t>harm.</w:t>
      </w:r>
    </w:p>
    <w:p>
      <w:pPr>
        <w:pStyle w:val="Heading1"/>
        <w:spacing w:line="261" w:lineRule="auto" w:before="222"/>
        <w:ind w:right="138"/>
        <w:jc w:val="both"/>
      </w:pPr>
      <w:r>
        <w:rPr/>
        <w:t>Study</w:t>
      </w:r>
      <w:r>
        <w:rPr>
          <w:spacing w:val="-68"/>
        </w:rPr>
        <w:t> </w:t>
      </w:r>
      <w:r>
        <w:rPr/>
        <w:t>by</w:t>
      </w:r>
      <w:r>
        <w:rPr>
          <w:spacing w:val="-66"/>
        </w:rPr>
        <w:t> </w:t>
      </w:r>
      <w:r>
        <w:rPr/>
        <w:t>Dr.</w:t>
      </w:r>
      <w:r>
        <w:rPr>
          <w:spacing w:val="-66"/>
        </w:rPr>
        <w:t> </w:t>
      </w:r>
      <w:r>
        <w:rPr/>
        <w:t>Parker:</w:t>
      </w:r>
      <w:r>
        <w:rPr>
          <w:spacing w:val="-67"/>
        </w:rPr>
        <w:t> </w:t>
      </w:r>
      <w:r>
        <w:rPr/>
        <w:t>Alpha-lipoic</w:t>
      </w:r>
      <w:r>
        <w:rPr>
          <w:spacing w:val="-67"/>
        </w:rPr>
        <w:t> </w:t>
      </w:r>
      <w:r>
        <w:rPr/>
        <w:t>acid</w:t>
      </w:r>
      <w:r>
        <w:rPr>
          <w:spacing w:val="-67"/>
        </w:rPr>
        <w:t> </w:t>
      </w:r>
      <w:r>
        <w:rPr/>
        <w:t>helps</w:t>
      </w:r>
      <w:r>
        <w:rPr>
          <w:spacing w:val="-65"/>
        </w:rPr>
        <w:t> </w:t>
      </w:r>
      <w:r>
        <w:rPr/>
        <w:t>with</w:t>
      </w:r>
      <w:r>
        <w:rPr>
          <w:spacing w:val="-67"/>
        </w:rPr>
        <w:t> </w:t>
      </w:r>
      <w:r>
        <w:rPr/>
        <w:t>cataracts</w:t>
      </w:r>
      <w:r>
        <w:rPr>
          <w:spacing w:val="-67"/>
        </w:rPr>
        <w:t> </w:t>
      </w:r>
      <w:r>
        <w:rPr/>
        <w:t>and</w:t>
      </w:r>
      <w:r>
        <w:rPr>
          <w:spacing w:val="-66"/>
        </w:rPr>
        <w:t> </w:t>
      </w:r>
      <w:r>
        <w:rPr/>
        <w:t>eye</w:t>
      </w:r>
      <w:r>
        <w:rPr>
          <w:spacing w:val="-67"/>
        </w:rPr>
        <w:t> </w:t>
      </w:r>
      <w:r>
        <w:rPr/>
        <w:t>prob- lems.</w:t>
      </w:r>
    </w:p>
    <w:p>
      <w:pPr>
        <w:pStyle w:val="BodyText"/>
        <w:spacing w:line="276" w:lineRule="auto" w:before="261"/>
        <w:ind w:left="477" w:right="133"/>
        <w:jc w:val="both"/>
      </w:pPr>
      <w:r>
        <w:rPr/>
        <w:t>Dr. Parker has demonstrated in his studies that alpha-lipoic acid can minimise the occurrence and symptoms of cataracts and generally improve eye function. Alpha-lipoic acid can prevent cataracts, an effect which is attributed to its im- pact on glutathione levels.</w:t>
      </w:r>
    </w:p>
    <w:p>
      <w:pPr>
        <w:pStyle w:val="BodyText"/>
        <w:spacing w:line="276" w:lineRule="auto" w:before="239"/>
        <w:ind w:left="477" w:right="480"/>
      </w:pPr>
      <w:r>
        <w:rPr/>
        <w:t>Study by Münch et al. (2000) and Hager et al. (2001): Alpha-lipoic acid helps with Alzheimer's and dementia.</w:t>
      </w:r>
    </w:p>
    <w:p>
      <w:pPr>
        <w:pStyle w:val="BodyText"/>
        <w:spacing w:line="276" w:lineRule="auto" w:before="61"/>
        <w:ind w:left="477" w:right="132"/>
        <w:jc w:val="both"/>
      </w:pPr>
      <w:r>
        <w:rPr/>
        <w:t>Observations of diabetic patients who suffered from Alzheimer's and had in- takes of alpha-lipoic acid showed that Alzheimer's disease ceased to</w:t>
      </w:r>
      <w:r>
        <w:rPr>
          <w:spacing w:val="-58"/>
        </w:rPr>
        <w:t> </w:t>
      </w:r>
      <w:r>
        <w:rPr/>
        <w:t>deteriorate and</w:t>
      </w:r>
      <w:r>
        <w:rPr>
          <w:spacing w:val="-15"/>
        </w:rPr>
        <w:t> </w:t>
      </w:r>
      <w:r>
        <w:rPr/>
        <w:t>brain</w:t>
      </w:r>
      <w:r>
        <w:rPr>
          <w:spacing w:val="-15"/>
        </w:rPr>
        <w:t> </w:t>
      </w:r>
      <w:r>
        <w:rPr/>
        <w:t>performance</w:t>
      </w:r>
      <w:r>
        <w:rPr>
          <w:spacing w:val="-15"/>
        </w:rPr>
        <w:t> </w:t>
      </w:r>
      <w:r>
        <w:rPr/>
        <w:t>remained</w:t>
      </w:r>
      <w:r>
        <w:rPr>
          <w:spacing w:val="-15"/>
        </w:rPr>
        <w:t> </w:t>
      </w:r>
      <w:r>
        <w:rPr/>
        <w:t>constant.</w:t>
      </w:r>
      <w:r>
        <w:rPr>
          <w:spacing w:val="-17"/>
        </w:rPr>
        <w:t> </w:t>
      </w:r>
      <w:r>
        <w:rPr/>
        <w:t>This</w:t>
      </w:r>
      <w:r>
        <w:rPr>
          <w:spacing w:val="-17"/>
        </w:rPr>
        <w:t> </w:t>
      </w:r>
      <w:r>
        <w:rPr/>
        <w:t>stabilisation</w:t>
      </w:r>
      <w:r>
        <w:rPr>
          <w:spacing w:val="-14"/>
        </w:rPr>
        <w:t> </w:t>
      </w:r>
      <w:r>
        <w:rPr/>
        <w:t>of</w:t>
      </w:r>
      <w:r>
        <w:rPr>
          <w:spacing w:val="-15"/>
        </w:rPr>
        <w:t> </w:t>
      </w:r>
      <w:r>
        <w:rPr/>
        <w:t>the</w:t>
      </w:r>
      <w:r>
        <w:rPr>
          <w:spacing w:val="-15"/>
        </w:rPr>
        <w:t> </w:t>
      </w:r>
      <w:r>
        <w:rPr/>
        <w:t>disease</w:t>
      </w:r>
      <w:r>
        <w:rPr>
          <w:spacing w:val="-14"/>
        </w:rPr>
        <w:t> </w:t>
      </w:r>
      <w:r>
        <w:rPr/>
        <w:t>state is probably due to the antioxidant effect of alpha-lipoic acid, which can even protect the brain due to its small molecular</w:t>
      </w:r>
      <w:r>
        <w:rPr>
          <w:spacing w:val="-4"/>
        </w:rPr>
        <w:t> </w:t>
      </w:r>
      <w:r>
        <w:rPr/>
        <w:t>size.</w:t>
      </w:r>
    </w:p>
    <w:p>
      <w:pPr>
        <w:spacing w:after="0" w:line="276" w:lineRule="auto"/>
        <w:jc w:val="both"/>
        <w:sectPr>
          <w:footerReference w:type="default" r:id="rId17"/>
          <w:pgSz w:w="14270" w:h="16850"/>
          <w:pgMar w:footer="1891" w:header="0" w:top="1600" w:bottom="2080" w:left="800" w:right="1280"/>
          <w:pgNumType w:start="100"/>
        </w:sectPr>
      </w:pPr>
    </w:p>
    <w:p>
      <w:pPr>
        <w:pStyle w:val="Heading1"/>
        <w:spacing w:line="261" w:lineRule="auto" w:before="164"/>
        <w:ind w:right="138"/>
        <w:jc w:val="both"/>
      </w:pPr>
      <w:r>
        <w:rPr>
          <w:w w:val="95"/>
        </w:rPr>
        <w:t>Study</w:t>
      </w:r>
      <w:r>
        <w:rPr>
          <w:spacing w:val="-16"/>
          <w:w w:val="95"/>
        </w:rPr>
        <w:t> </w:t>
      </w:r>
      <w:r>
        <w:rPr>
          <w:w w:val="95"/>
        </w:rPr>
        <w:t>by</w:t>
      </w:r>
      <w:r>
        <w:rPr>
          <w:spacing w:val="-14"/>
          <w:w w:val="95"/>
        </w:rPr>
        <w:t> </w:t>
      </w:r>
      <w:r>
        <w:rPr>
          <w:w w:val="95"/>
        </w:rPr>
        <w:t>Packer</w:t>
      </w:r>
      <w:r>
        <w:rPr>
          <w:spacing w:val="-15"/>
          <w:w w:val="95"/>
        </w:rPr>
        <w:t> </w:t>
      </w:r>
      <w:r>
        <w:rPr>
          <w:w w:val="95"/>
        </w:rPr>
        <w:t>and</w:t>
      </w:r>
      <w:r>
        <w:rPr>
          <w:spacing w:val="-13"/>
          <w:w w:val="95"/>
        </w:rPr>
        <w:t> </w:t>
      </w:r>
      <w:r>
        <w:rPr>
          <w:w w:val="95"/>
        </w:rPr>
        <w:t>Colman</w:t>
      </w:r>
      <w:r>
        <w:rPr>
          <w:spacing w:val="-14"/>
          <w:w w:val="95"/>
        </w:rPr>
        <w:t> </w:t>
      </w:r>
      <w:r>
        <w:rPr>
          <w:w w:val="95"/>
        </w:rPr>
        <w:t>(2000):</w:t>
      </w:r>
      <w:r>
        <w:rPr>
          <w:spacing w:val="-14"/>
          <w:w w:val="95"/>
        </w:rPr>
        <w:t> </w:t>
      </w:r>
      <w:r>
        <w:rPr>
          <w:w w:val="95"/>
        </w:rPr>
        <w:t>Alpha-lipoic</w:t>
      </w:r>
      <w:r>
        <w:rPr>
          <w:spacing w:val="-14"/>
          <w:w w:val="95"/>
        </w:rPr>
        <w:t> </w:t>
      </w:r>
      <w:r>
        <w:rPr>
          <w:w w:val="95"/>
        </w:rPr>
        <w:t>acid</w:t>
      </w:r>
      <w:r>
        <w:rPr>
          <w:spacing w:val="-14"/>
          <w:w w:val="95"/>
        </w:rPr>
        <w:t> </w:t>
      </w:r>
      <w:r>
        <w:rPr>
          <w:w w:val="95"/>
        </w:rPr>
        <w:t>increases</w:t>
      </w:r>
      <w:r>
        <w:rPr>
          <w:spacing w:val="-13"/>
          <w:w w:val="95"/>
        </w:rPr>
        <w:t> </w:t>
      </w:r>
      <w:r>
        <w:rPr>
          <w:w w:val="95"/>
        </w:rPr>
        <w:t>learning </w:t>
      </w:r>
      <w:r>
        <w:rPr/>
        <w:t>and improves your ability to</w:t>
      </w:r>
      <w:r>
        <w:rPr>
          <w:spacing w:val="-50"/>
        </w:rPr>
        <w:t> </w:t>
      </w:r>
      <w:r>
        <w:rPr/>
        <w:t>think.</w:t>
      </w:r>
    </w:p>
    <w:p>
      <w:pPr>
        <w:pStyle w:val="BodyText"/>
        <w:spacing w:line="276" w:lineRule="auto" w:before="260"/>
        <w:ind w:left="477" w:right="135"/>
        <w:jc w:val="both"/>
      </w:pPr>
      <w:r>
        <w:rPr/>
        <w:t>The aforementioned ability of alpha-lipoic acid to cross the blood-brain</w:t>
      </w:r>
      <w:r>
        <w:rPr>
          <w:spacing w:val="-61"/>
        </w:rPr>
        <w:t> </w:t>
      </w:r>
      <w:r>
        <w:rPr/>
        <w:t>barrier and protect the cells and blood vessels from oxidative destruction right in the brain,</w:t>
      </w:r>
      <w:r>
        <w:rPr>
          <w:spacing w:val="-15"/>
        </w:rPr>
        <w:t> </w:t>
      </w:r>
      <w:r>
        <w:rPr/>
        <w:t>has</w:t>
      </w:r>
      <w:r>
        <w:rPr>
          <w:spacing w:val="-13"/>
        </w:rPr>
        <w:t> </w:t>
      </w:r>
      <w:r>
        <w:rPr/>
        <w:t>proven</w:t>
      </w:r>
      <w:r>
        <w:rPr>
          <w:spacing w:val="-14"/>
        </w:rPr>
        <w:t> </w:t>
      </w:r>
      <w:r>
        <w:rPr/>
        <w:t>to</w:t>
      </w:r>
      <w:r>
        <w:rPr>
          <w:spacing w:val="-15"/>
        </w:rPr>
        <w:t> </w:t>
      </w:r>
      <w:r>
        <w:rPr/>
        <w:t>increase</w:t>
      </w:r>
      <w:r>
        <w:rPr>
          <w:spacing w:val="-13"/>
        </w:rPr>
        <w:t> </w:t>
      </w:r>
      <w:r>
        <w:rPr/>
        <w:t>concentration</w:t>
      </w:r>
      <w:r>
        <w:rPr>
          <w:spacing w:val="-13"/>
        </w:rPr>
        <w:t> </w:t>
      </w:r>
      <w:r>
        <w:rPr/>
        <w:t>and</w:t>
      </w:r>
      <w:r>
        <w:rPr>
          <w:spacing w:val="-14"/>
        </w:rPr>
        <w:t> </w:t>
      </w:r>
      <w:r>
        <w:rPr/>
        <w:t>improve</w:t>
      </w:r>
      <w:r>
        <w:rPr>
          <w:spacing w:val="-15"/>
        </w:rPr>
        <w:t> </w:t>
      </w:r>
      <w:r>
        <w:rPr/>
        <w:t>the</w:t>
      </w:r>
      <w:r>
        <w:rPr>
          <w:spacing w:val="-13"/>
        </w:rPr>
        <w:t> </w:t>
      </w:r>
      <w:r>
        <w:rPr/>
        <w:t>ability</w:t>
      </w:r>
      <w:r>
        <w:rPr>
          <w:spacing w:val="-15"/>
        </w:rPr>
        <w:t> </w:t>
      </w:r>
      <w:r>
        <w:rPr/>
        <w:t>to</w:t>
      </w:r>
      <w:r>
        <w:rPr>
          <w:spacing w:val="-15"/>
        </w:rPr>
        <w:t> </w:t>
      </w:r>
      <w:r>
        <w:rPr/>
        <w:t>learn</w:t>
      </w:r>
      <w:r>
        <w:rPr>
          <w:spacing w:val="-13"/>
        </w:rPr>
        <w:t> </w:t>
      </w:r>
      <w:r>
        <w:rPr/>
        <w:t>and think. The lipoic acid not only protects against further oxidative destruction, but can even regenerate brain cells. Dr. Packer believes that alpha-lipoic acid repairs and revitalises depleted circuits in aged brain</w:t>
      </w:r>
      <w:r>
        <w:rPr>
          <w:spacing w:val="-4"/>
        </w:rPr>
        <w:t> </w:t>
      </w:r>
      <w:r>
        <w:rPr/>
        <w:t>cells.</w:t>
      </w:r>
    </w:p>
    <w:p>
      <w:pPr>
        <w:pStyle w:val="Heading1"/>
        <w:spacing w:line="261" w:lineRule="auto"/>
        <w:ind w:right="134"/>
        <w:jc w:val="both"/>
      </w:pPr>
      <w:r>
        <w:rPr/>
        <w:t>Studies</w:t>
      </w:r>
      <w:r>
        <w:rPr>
          <w:spacing w:val="-56"/>
        </w:rPr>
        <w:t> </w:t>
      </w:r>
      <w:r>
        <w:rPr/>
        <w:t>by</w:t>
      </w:r>
      <w:r>
        <w:rPr>
          <w:spacing w:val="-56"/>
        </w:rPr>
        <w:t> </w:t>
      </w:r>
      <w:r>
        <w:rPr/>
        <w:t>Bauer</w:t>
      </w:r>
      <w:r>
        <w:rPr>
          <w:spacing w:val="-56"/>
        </w:rPr>
        <w:t> </w:t>
      </w:r>
      <w:r>
        <w:rPr/>
        <w:t>(1991)</w:t>
      </w:r>
      <w:r>
        <w:rPr>
          <w:spacing w:val="-56"/>
        </w:rPr>
        <w:t> </w:t>
      </w:r>
      <w:r>
        <w:rPr/>
        <w:t>and</w:t>
      </w:r>
      <w:r>
        <w:rPr>
          <w:spacing w:val="-55"/>
        </w:rPr>
        <w:t> </w:t>
      </w:r>
      <w:r>
        <w:rPr/>
        <w:t>Lands</w:t>
      </w:r>
      <w:r>
        <w:rPr>
          <w:spacing w:val="-56"/>
        </w:rPr>
        <w:t> </w:t>
      </w:r>
      <w:r>
        <w:rPr/>
        <w:t>(2001)</w:t>
      </w:r>
      <w:r>
        <w:rPr>
          <w:spacing w:val="-55"/>
        </w:rPr>
        <w:t> </w:t>
      </w:r>
      <w:r>
        <w:rPr/>
        <w:t>show</w:t>
      </w:r>
      <w:r>
        <w:rPr>
          <w:spacing w:val="-56"/>
        </w:rPr>
        <w:t> </w:t>
      </w:r>
      <w:r>
        <w:rPr/>
        <w:t>a</w:t>
      </w:r>
      <w:r>
        <w:rPr>
          <w:spacing w:val="-56"/>
        </w:rPr>
        <w:t> </w:t>
      </w:r>
      <w:r>
        <w:rPr/>
        <w:t>positive</w:t>
      </w:r>
      <w:r>
        <w:rPr>
          <w:spacing w:val="-55"/>
        </w:rPr>
        <w:t> </w:t>
      </w:r>
      <w:r>
        <w:rPr/>
        <w:t>effect</w:t>
      </w:r>
      <w:r>
        <w:rPr>
          <w:spacing w:val="-57"/>
        </w:rPr>
        <w:t> </w:t>
      </w:r>
      <w:r>
        <w:rPr/>
        <w:t>of</w:t>
      </w:r>
      <w:r>
        <w:rPr>
          <w:spacing w:val="-55"/>
        </w:rPr>
        <w:t> </w:t>
      </w:r>
      <w:r>
        <w:rPr/>
        <w:t>alpha- lipoic acid on HIV/AIDS</w:t>
      </w:r>
    </w:p>
    <w:p>
      <w:pPr>
        <w:pStyle w:val="BodyText"/>
        <w:spacing w:line="276" w:lineRule="auto" w:before="260"/>
        <w:ind w:left="477" w:right="134"/>
        <w:jc w:val="both"/>
      </w:pPr>
      <w:r>
        <w:rPr/>
        <w:t>As</w:t>
      </w:r>
      <w:r>
        <w:rPr>
          <w:spacing w:val="-20"/>
        </w:rPr>
        <w:t> </w:t>
      </w:r>
      <w:r>
        <w:rPr/>
        <w:t>in</w:t>
      </w:r>
      <w:r>
        <w:rPr>
          <w:spacing w:val="-20"/>
        </w:rPr>
        <w:t> </w:t>
      </w:r>
      <w:r>
        <w:rPr/>
        <w:t>vitro</w:t>
      </w:r>
      <w:r>
        <w:rPr>
          <w:spacing w:val="-20"/>
        </w:rPr>
        <w:t> </w:t>
      </w:r>
      <w:r>
        <w:rPr/>
        <w:t>experiments</w:t>
      </w:r>
      <w:r>
        <w:rPr>
          <w:spacing w:val="-21"/>
        </w:rPr>
        <w:t> </w:t>
      </w:r>
      <w:r>
        <w:rPr/>
        <w:t>by</w:t>
      </w:r>
      <w:r>
        <w:rPr>
          <w:spacing w:val="-19"/>
        </w:rPr>
        <w:t> </w:t>
      </w:r>
      <w:r>
        <w:rPr/>
        <w:t>Bauer</w:t>
      </w:r>
      <w:r>
        <w:rPr>
          <w:spacing w:val="-17"/>
        </w:rPr>
        <w:t> </w:t>
      </w:r>
      <w:r>
        <w:rPr/>
        <w:t>et</w:t>
      </w:r>
      <w:r>
        <w:rPr>
          <w:spacing w:val="-21"/>
        </w:rPr>
        <w:t> </w:t>
      </w:r>
      <w:r>
        <w:rPr/>
        <w:t>al.</w:t>
      </w:r>
      <w:r>
        <w:rPr>
          <w:spacing w:val="-21"/>
        </w:rPr>
        <w:t> </w:t>
      </w:r>
      <w:r>
        <w:rPr/>
        <w:t>demonstrated</w:t>
      </w:r>
      <w:r>
        <w:rPr>
          <w:spacing w:val="-20"/>
        </w:rPr>
        <w:t> </w:t>
      </w:r>
      <w:r>
        <w:rPr/>
        <w:t>in</w:t>
      </w:r>
      <w:r>
        <w:rPr>
          <w:spacing w:val="-20"/>
        </w:rPr>
        <w:t> </w:t>
      </w:r>
      <w:r>
        <w:rPr/>
        <w:t>1991,</w:t>
      </w:r>
      <w:r>
        <w:rPr>
          <w:spacing w:val="-20"/>
        </w:rPr>
        <w:t> </w:t>
      </w:r>
      <w:r>
        <w:rPr/>
        <w:t>the</w:t>
      </w:r>
      <w:r>
        <w:rPr>
          <w:spacing w:val="-19"/>
        </w:rPr>
        <w:t> </w:t>
      </w:r>
      <w:r>
        <w:rPr/>
        <w:t>spread</w:t>
      </w:r>
      <w:r>
        <w:rPr>
          <w:spacing w:val="-21"/>
        </w:rPr>
        <w:t> </w:t>
      </w:r>
      <w:r>
        <w:rPr/>
        <w:t>of</w:t>
      </w:r>
      <w:r>
        <w:rPr>
          <w:spacing w:val="-20"/>
        </w:rPr>
        <w:t> </w:t>
      </w:r>
      <w:r>
        <w:rPr/>
        <w:t>HIV was</w:t>
      </w:r>
      <w:r>
        <w:rPr>
          <w:spacing w:val="-4"/>
        </w:rPr>
        <w:t> </w:t>
      </w:r>
      <w:r>
        <w:rPr/>
        <w:t>inhibited</w:t>
      </w:r>
      <w:r>
        <w:rPr>
          <w:spacing w:val="-4"/>
        </w:rPr>
        <w:t> </w:t>
      </w:r>
      <w:r>
        <w:rPr/>
        <w:t>by</w:t>
      </w:r>
      <w:r>
        <w:rPr>
          <w:spacing w:val="-7"/>
        </w:rPr>
        <w:t> </w:t>
      </w:r>
      <w:r>
        <w:rPr/>
        <w:t>the</w:t>
      </w:r>
      <w:r>
        <w:rPr>
          <w:spacing w:val="-6"/>
        </w:rPr>
        <w:t> </w:t>
      </w:r>
      <w:r>
        <w:rPr/>
        <w:t>use</w:t>
      </w:r>
      <w:r>
        <w:rPr>
          <w:spacing w:val="-7"/>
        </w:rPr>
        <w:t> </w:t>
      </w:r>
      <w:r>
        <w:rPr/>
        <w:t>of</w:t>
      </w:r>
      <w:r>
        <w:rPr>
          <w:spacing w:val="-4"/>
        </w:rPr>
        <w:t> </w:t>
      </w:r>
      <w:r>
        <w:rPr/>
        <w:t>alpha-lipoic</w:t>
      </w:r>
      <w:r>
        <w:rPr>
          <w:spacing w:val="-5"/>
        </w:rPr>
        <w:t> </w:t>
      </w:r>
      <w:r>
        <w:rPr/>
        <w:t>acid.</w:t>
      </w:r>
      <w:r>
        <w:rPr>
          <w:spacing w:val="-4"/>
        </w:rPr>
        <w:t> </w:t>
      </w:r>
      <w:r>
        <w:rPr/>
        <w:t>In</w:t>
      </w:r>
      <w:r>
        <w:rPr>
          <w:spacing w:val="-7"/>
        </w:rPr>
        <w:t> </w:t>
      </w:r>
      <w:r>
        <w:rPr/>
        <w:t>2001,</w:t>
      </w:r>
      <w:r>
        <w:rPr>
          <w:spacing w:val="-5"/>
        </w:rPr>
        <w:t> </w:t>
      </w:r>
      <w:r>
        <w:rPr/>
        <w:t>Lands</w:t>
      </w:r>
      <w:r>
        <w:rPr>
          <w:spacing w:val="-5"/>
        </w:rPr>
        <w:t> </w:t>
      </w:r>
      <w:r>
        <w:rPr/>
        <w:t>was</w:t>
      </w:r>
      <w:r>
        <w:rPr>
          <w:spacing w:val="-6"/>
        </w:rPr>
        <w:t> </w:t>
      </w:r>
      <w:r>
        <w:rPr/>
        <w:t>able</w:t>
      </w:r>
      <w:r>
        <w:rPr>
          <w:spacing w:val="-4"/>
        </w:rPr>
        <w:t> </w:t>
      </w:r>
      <w:r>
        <w:rPr/>
        <w:t>to</w:t>
      </w:r>
      <w:r>
        <w:rPr>
          <w:spacing w:val="-7"/>
        </w:rPr>
        <w:t> </w:t>
      </w:r>
      <w:r>
        <w:rPr/>
        <w:t>reduce the number of viruses in patients with</w:t>
      </w:r>
      <w:r>
        <w:rPr>
          <w:spacing w:val="4"/>
        </w:rPr>
        <w:t> </w:t>
      </w:r>
      <w:r>
        <w:rPr/>
        <w:t>HIV.</w:t>
      </w:r>
    </w:p>
    <w:p>
      <w:pPr>
        <w:pStyle w:val="Heading1"/>
        <w:spacing w:line="261" w:lineRule="auto" w:before="222"/>
        <w:ind w:right="136"/>
        <w:jc w:val="both"/>
      </w:pPr>
      <w:r>
        <w:rPr>
          <w:w w:val="95"/>
        </w:rPr>
        <w:t>Study</w:t>
      </w:r>
      <w:r>
        <w:rPr>
          <w:spacing w:val="-18"/>
          <w:w w:val="95"/>
        </w:rPr>
        <w:t> </w:t>
      </w:r>
      <w:r>
        <w:rPr>
          <w:w w:val="95"/>
        </w:rPr>
        <w:t>by</w:t>
      </w:r>
      <w:r>
        <w:rPr>
          <w:spacing w:val="-15"/>
          <w:w w:val="95"/>
        </w:rPr>
        <w:t> </w:t>
      </w:r>
      <w:r>
        <w:rPr>
          <w:w w:val="95"/>
        </w:rPr>
        <w:t>Perricone</w:t>
      </w:r>
      <w:r>
        <w:rPr>
          <w:spacing w:val="-15"/>
          <w:w w:val="95"/>
        </w:rPr>
        <w:t> </w:t>
      </w:r>
      <w:r>
        <w:rPr>
          <w:w w:val="95"/>
        </w:rPr>
        <w:t>(2001):</w:t>
      </w:r>
      <w:r>
        <w:rPr>
          <w:spacing w:val="-14"/>
          <w:w w:val="95"/>
        </w:rPr>
        <w:t> </w:t>
      </w:r>
      <w:r>
        <w:rPr>
          <w:w w:val="95"/>
        </w:rPr>
        <w:t>Alpha-lipoic</w:t>
      </w:r>
      <w:r>
        <w:rPr>
          <w:spacing w:val="-15"/>
          <w:w w:val="95"/>
        </w:rPr>
        <w:t> </w:t>
      </w:r>
      <w:r>
        <w:rPr>
          <w:w w:val="95"/>
        </w:rPr>
        <w:t>acid</w:t>
      </w:r>
      <w:r>
        <w:rPr>
          <w:spacing w:val="-15"/>
          <w:w w:val="95"/>
        </w:rPr>
        <w:t> </w:t>
      </w:r>
      <w:r>
        <w:rPr>
          <w:w w:val="95"/>
        </w:rPr>
        <w:t>helps</w:t>
      </w:r>
      <w:r>
        <w:rPr>
          <w:spacing w:val="-15"/>
          <w:w w:val="95"/>
        </w:rPr>
        <w:t> </w:t>
      </w:r>
      <w:r>
        <w:rPr>
          <w:w w:val="95"/>
        </w:rPr>
        <w:t>combat</w:t>
      </w:r>
      <w:r>
        <w:rPr>
          <w:spacing w:val="-12"/>
          <w:w w:val="95"/>
        </w:rPr>
        <w:t> </w:t>
      </w:r>
      <w:r>
        <w:rPr>
          <w:w w:val="95"/>
        </w:rPr>
        <w:t>wrinkles,</w:t>
      </w:r>
      <w:r>
        <w:rPr>
          <w:spacing w:val="-16"/>
          <w:w w:val="95"/>
        </w:rPr>
        <w:t> </w:t>
      </w:r>
      <w:r>
        <w:rPr>
          <w:w w:val="95"/>
        </w:rPr>
        <w:t>bags </w:t>
      </w:r>
      <w:r>
        <w:rPr/>
        <w:t>under</w:t>
      </w:r>
      <w:r>
        <w:rPr>
          <w:spacing w:val="-15"/>
        </w:rPr>
        <w:t> </w:t>
      </w:r>
      <w:r>
        <w:rPr/>
        <w:t>the</w:t>
      </w:r>
      <w:r>
        <w:rPr>
          <w:spacing w:val="-15"/>
        </w:rPr>
        <w:t> </w:t>
      </w:r>
      <w:r>
        <w:rPr/>
        <w:t>eyes,</w:t>
      </w:r>
      <w:r>
        <w:rPr>
          <w:spacing w:val="-12"/>
        </w:rPr>
        <w:t> </w:t>
      </w:r>
      <w:r>
        <w:rPr/>
        <w:t>puffiness,</w:t>
      </w:r>
      <w:r>
        <w:rPr>
          <w:spacing w:val="-14"/>
        </w:rPr>
        <w:t> </w:t>
      </w:r>
      <w:r>
        <w:rPr/>
        <w:t>and</w:t>
      </w:r>
      <w:r>
        <w:rPr>
          <w:spacing w:val="-15"/>
        </w:rPr>
        <w:t> </w:t>
      </w:r>
      <w:r>
        <w:rPr/>
        <w:t>dull</w:t>
      </w:r>
      <w:r>
        <w:rPr>
          <w:spacing w:val="-15"/>
        </w:rPr>
        <w:t> </w:t>
      </w:r>
      <w:r>
        <w:rPr/>
        <w:t>and</w:t>
      </w:r>
      <w:r>
        <w:rPr>
          <w:spacing w:val="-14"/>
        </w:rPr>
        <w:t> </w:t>
      </w:r>
      <w:r>
        <w:rPr/>
        <w:t>pallid</w:t>
      </w:r>
      <w:r>
        <w:rPr>
          <w:spacing w:val="-12"/>
        </w:rPr>
        <w:t> </w:t>
      </w:r>
      <w:r>
        <w:rPr/>
        <w:t>skin</w:t>
      </w:r>
    </w:p>
    <w:p>
      <w:pPr>
        <w:pStyle w:val="BodyText"/>
        <w:spacing w:line="276" w:lineRule="auto" w:before="260"/>
        <w:ind w:left="477" w:right="135"/>
        <w:jc w:val="both"/>
      </w:pPr>
      <w:r>
        <w:rPr/>
        <w:t>Dr. Perricone has demonstrated in his studies that alpha-lipoic acid solves the following skin problems:</w:t>
      </w:r>
    </w:p>
    <w:p>
      <w:pPr>
        <w:pStyle w:val="ListParagraph"/>
        <w:numPr>
          <w:ilvl w:val="1"/>
          <w:numId w:val="8"/>
        </w:numPr>
        <w:tabs>
          <w:tab w:pos="1198" w:val="left" w:leader="none"/>
        </w:tabs>
        <w:spacing w:line="240" w:lineRule="auto" w:before="122" w:after="0"/>
        <w:ind w:left="1197" w:right="0" w:hanging="720"/>
        <w:jc w:val="both"/>
        <w:rPr>
          <w:sz w:val="38"/>
        </w:rPr>
      </w:pPr>
      <w:r>
        <w:rPr>
          <w:sz w:val="38"/>
        </w:rPr>
        <w:t>Baggy eyes and puffy</w:t>
      </w:r>
      <w:r>
        <w:rPr>
          <w:spacing w:val="-1"/>
          <w:sz w:val="38"/>
        </w:rPr>
        <w:t> </w:t>
      </w:r>
      <w:r>
        <w:rPr>
          <w:sz w:val="38"/>
        </w:rPr>
        <w:t>skin</w:t>
      </w:r>
    </w:p>
    <w:p>
      <w:pPr>
        <w:pStyle w:val="ListParagraph"/>
        <w:numPr>
          <w:ilvl w:val="1"/>
          <w:numId w:val="8"/>
        </w:numPr>
        <w:tabs>
          <w:tab w:pos="1198" w:val="left" w:leader="none"/>
        </w:tabs>
        <w:spacing w:line="240" w:lineRule="auto" w:before="184" w:after="0"/>
        <w:ind w:left="1197" w:right="0" w:hanging="720"/>
        <w:jc w:val="both"/>
        <w:rPr>
          <w:sz w:val="38"/>
        </w:rPr>
      </w:pPr>
      <w:r>
        <w:rPr>
          <w:sz w:val="38"/>
        </w:rPr>
        <w:t>Lines and</w:t>
      </w:r>
      <w:r>
        <w:rPr>
          <w:spacing w:val="-6"/>
          <w:sz w:val="38"/>
        </w:rPr>
        <w:t> </w:t>
      </w:r>
      <w:r>
        <w:rPr>
          <w:sz w:val="38"/>
        </w:rPr>
        <w:t>wrinkles</w:t>
      </w:r>
    </w:p>
    <w:p>
      <w:pPr>
        <w:pStyle w:val="ListParagraph"/>
        <w:numPr>
          <w:ilvl w:val="1"/>
          <w:numId w:val="8"/>
        </w:numPr>
        <w:tabs>
          <w:tab w:pos="1198" w:val="left" w:leader="none"/>
        </w:tabs>
        <w:spacing w:line="240" w:lineRule="auto" w:before="184" w:after="0"/>
        <w:ind w:left="1197" w:right="0" w:hanging="720"/>
        <w:jc w:val="both"/>
        <w:rPr>
          <w:sz w:val="38"/>
        </w:rPr>
      </w:pPr>
      <w:r>
        <w:rPr>
          <w:sz w:val="38"/>
        </w:rPr>
        <w:t>Pallid and dull</w:t>
      </w:r>
      <w:r>
        <w:rPr>
          <w:spacing w:val="-10"/>
          <w:sz w:val="38"/>
        </w:rPr>
        <w:t> </w:t>
      </w:r>
      <w:r>
        <w:rPr>
          <w:sz w:val="38"/>
        </w:rPr>
        <w:t>skin</w:t>
      </w:r>
    </w:p>
    <w:p>
      <w:pPr>
        <w:spacing w:after="0" w:line="240" w:lineRule="auto"/>
        <w:jc w:val="both"/>
        <w:rPr>
          <w:sz w:val="38"/>
        </w:rPr>
        <w:sectPr>
          <w:pgSz w:w="14270" w:h="16850"/>
          <w:pgMar w:header="0" w:footer="1891" w:top="1600" w:bottom="2080" w:left="800" w:right="1280"/>
        </w:sectPr>
      </w:pPr>
    </w:p>
    <w:p>
      <w:pPr>
        <w:pStyle w:val="Heading1"/>
        <w:spacing w:before="164"/>
      </w:pPr>
      <w:r>
        <w:rPr/>
        <w:t>Study by Dr. Perricone: Alpha-lipoic acid eliminates acne scars</w:t>
      </w:r>
    </w:p>
    <w:p>
      <w:pPr>
        <w:pStyle w:val="BodyText"/>
        <w:spacing w:line="276" w:lineRule="auto" w:before="299"/>
        <w:ind w:left="477" w:right="137"/>
        <w:jc w:val="both"/>
      </w:pPr>
      <w:r>
        <w:rPr/>
        <w:t>After a six-month local application, Dr. Perricone recorded a decline between 70 and 80 % in acne scars in subjects.</w:t>
      </w:r>
    </w:p>
    <w:p>
      <w:pPr>
        <w:pStyle w:val="Heading1"/>
        <w:spacing w:line="261" w:lineRule="auto" w:before="344"/>
        <w:ind w:right="137"/>
        <w:jc w:val="both"/>
      </w:pPr>
      <w:r>
        <w:rPr/>
        <w:t>Study</w:t>
      </w:r>
      <w:r>
        <w:rPr>
          <w:spacing w:val="-55"/>
        </w:rPr>
        <w:t> </w:t>
      </w:r>
      <w:r>
        <w:rPr/>
        <w:t>by</w:t>
      </w:r>
      <w:r>
        <w:rPr>
          <w:spacing w:val="-55"/>
        </w:rPr>
        <w:t> </w:t>
      </w:r>
      <w:r>
        <w:rPr/>
        <w:t>Altenkirch,</w:t>
      </w:r>
      <w:r>
        <w:rPr>
          <w:spacing w:val="-54"/>
        </w:rPr>
        <w:t> </w:t>
      </w:r>
      <w:r>
        <w:rPr/>
        <w:t>H.</w:t>
      </w:r>
      <w:r>
        <w:rPr>
          <w:spacing w:val="-54"/>
        </w:rPr>
        <w:t> </w:t>
      </w:r>
      <w:r>
        <w:rPr/>
        <w:t>et</w:t>
      </w:r>
      <w:r>
        <w:rPr>
          <w:spacing w:val="-55"/>
        </w:rPr>
        <w:t> </w:t>
      </w:r>
      <w:r>
        <w:rPr/>
        <w:t>al.:</w:t>
      </w:r>
      <w:r>
        <w:rPr>
          <w:spacing w:val="-54"/>
        </w:rPr>
        <w:t> </w:t>
      </w:r>
      <w:r>
        <w:rPr/>
        <w:t>Alpha-lipoic</w:t>
      </w:r>
      <w:r>
        <w:rPr>
          <w:spacing w:val="-54"/>
        </w:rPr>
        <w:t> </w:t>
      </w:r>
      <w:r>
        <w:rPr/>
        <w:t>acid</w:t>
      </w:r>
      <w:r>
        <w:rPr>
          <w:spacing w:val="-54"/>
        </w:rPr>
        <w:t> </w:t>
      </w:r>
      <w:r>
        <w:rPr/>
        <w:t>aids</w:t>
      </w:r>
      <w:r>
        <w:rPr>
          <w:spacing w:val="-53"/>
        </w:rPr>
        <w:t> </w:t>
      </w:r>
      <w:r>
        <w:rPr/>
        <w:t>relaxation</w:t>
      </w:r>
      <w:r>
        <w:rPr>
          <w:spacing w:val="-55"/>
        </w:rPr>
        <w:t> </w:t>
      </w:r>
      <w:r>
        <w:rPr/>
        <w:t>and</w:t>
      </w:r>
      <w:r>
        <w:rPr>
          <w:spacing w:val="-54"/>
        </w:rPr>
        <w:t> </w:t>
      </w:r>
      <w:r>
        <w:rPr/>
        <w:t>con- tentment.</w:t>
      </w:r>
    </w:p>
    <w:p>
      <w:pPr>
        <w:pStyle w:val="BodyText"/>
        <w:spacing w:line="276" w:lineRule="auto" w:before="258"/>
        <w:ind w:left="477" w:right="138"/>
        <w:jc w:val="both"/>
      </w:pPr>
      <w:r>
        <w:rPr/>
        <w:t>According to Altenkirch et al., a noticeable feeling of relaxation and content- ment was observed as a positive side effect of alpha-lipoic acid.</w:t>
      </w:r>
    </w:p>
    <w:p>
      <w:pPr>
        <w:pStyle w:val="BodyText"/>
        <w:rPr>
          <w:sz w:val="42"/>
        </w:rPr>
      </w:pPr>
    </w:p>
    <w:p>
      <w:pPr>
        <w:pStyle w:val="BodyText"/>
        <w:spacing w:before="5"/>
        <w:rPr>
          <w:sz w:val="44"/>
        </w:rPr>
      </w:pPr>
    </w:p>
    <w:p>
      <w:pPr>
        <w:pStyle w:val="Heading2"/>
        <w:spacing w:before="1"/>
      </w:pPr>
      <w:r>
        <w:rPr/>
        <w:t>ALA, the all-rounder for your health</w:t>
      </w:r>
    </w:p>
    <w:p>
      <w:pPr>
        <w:pStyle w:val="BodyText"/>
        <w:spacing w:before="9"/>
        <w:rPr>
          <w:b/>
          <w:sz w:val="46"/>
        </w:rPr>
      </w:pPr>
    </w:p>
    <w:p>
      <w:pPr>
        <w:spacing w:before="0"/>
        <w:ind w:left="477" w:right="0" w:firstLine="0"/>
        <w:jc w:val="left"/>
        <w:rPr>
          <w:b/>
          <w:i/>
          <w:sz w:val="40"/>
        </w:rPr>
      </w:pPr>
      <w:r>
        <w:rPr>
          <w:b/>
          <w:i/>
          <w:sz w:val="40"/>
        </w:rPr>
        <w:t>Alpha-lipoic acid as an important</w:t>
      </w:r>
      <w:r>
        <w:rPr>
          <w:b/>
          <w:i/>
          <w:spacing w:val="-60"/>
          <w:sz w:val="40"/>
        </w:rPr>
        <w:t> </w:t>
      </w:r>
      <w:r>
        <w:rPr>
          <w:b/>
          <w:i/>
          <w:sz w:val="40"/>
        </w:rPr>
        <w:t>antioxidant</w:t>
      </w:r>
    </w:p>
    <w:p>
      <w:pPr>
        <w:pStyle w:val="BodyText"/>
        <w:spacing w:line="276" w:lineRule="auto" w:before="300"/>
        <w:ind w:left="477" w:right="132"/>
        <w:jc w:val="both"/>
      </w:pPr>
      <w:r>
        <w:rPr/>
        <w:t>As explained in the preface, free radicals (known as oxidants) are responsible for physical ageing and are responsible for numerous civilisation diseases such as atherosclerosis, cardiovascular diseases, stroke, cancer, arthritis, diabetes, Alzheimer's, respiratory diseases, blood vessel diseases, cystic fibrosis, inflam- mation, hepatitis, Down’s syndrome and other conditions.</w:t>
      </w:r>
    </w:p>
    <w:p>
      <w:pPr>
        <w:pStyle w:val="BodyText"/>
        <w:spacing w:line="276" w:lineRule="auto" w:before="239"/>
        <w:ind w:left="477" w:right="133"/>
        <w:jc w:val="both"/>
      </w:pPr>
      <w:r>
        <w:rPr/>
        <w:t>So-called</w:t>
      </w:r>
      <w:r>
        <w:rPr>
          <w:spacing w:val="-8"/>
        </w:rPr>
        <w:t> </w:t>
      </w:r>
      <w:r>
        <w:rPr/>
        <w:t>antioxidants</w:t>
      </w:r>
      <w:r>
        <w:rPr>
          <w:spacing w:val="-7"/>
        </w:rPr>
        <w:t> </w:t>
      </w:r>
      <w:r>
        <w:rPr/>
        <w:t>or</w:t>
      </w:r>
      <w:r>
        <w:rPr>
          <w:spacing w:val="-6"/>
        </w:rPr>
        <w:t> </w:t>
      </w:r>
      <w:r>
        <w:rPr/>
        <w:t>radical</w:t>
      </w:r>
      <w:r>
        <w:rPr>
          <w:spacing w:val="-9"/>
        </w:rPr>
        <w:t> </w:t>
      </w:r>
      <w:r>
        <w:rPr/>
        <w:t>scavengers</w:t>
      </w:r>
      <w:r>
        <w:rPr>
          <w:spacing w:val="-7"/>
        </w:rPr>
        <w:t> </w:t>
      </w:r>
      <w:r>
        <w:rPr/>
        <w:t>are</w:t>
      </w:r>
      <w:r>
        <w:rPr>
          <w:spacing w:val="-9"/>
        </w:rPr>
        <w:t> </w:t>
      </w:r>
      <w:r>
        <w:rPr/>
        <w:t>needed</w:t>
      </w:r>
      <w:r>
        <w:rPr>
          <w:spacing w:val="-7"/>
        </w:rPr>
        <w:t> </w:t>
      </w:r>
      <w:r>
        <w:rPr/>
        <w:t>to</w:t>
      </w:r>
      <w:r>
        <w:rPr>
          <w:spacing w:val="-6"/>
        </w:rPr>
        <w:t> </w:t>
      </w:r>
      <w:r>
        <w:rPr/>
        <w:t>ward</w:t>
      </w:r>
      <w:r>
        <w:rPr>
          <w:spacing w:val="-8"/>
        </w:rPr>
        <w:t> </w:t>
      </w:r>
      <w:r>
        <w:rPr/>
        <w:t>off</w:t>
      </w:r>
      <w:r>
        <w:rPr>
          <w:spacing w:val="-8"/>
        </w:rPr>
        <w:t> </w:t>
      </w:r>
      <w:r>
        <w:rPr/>
        <w:t>these</w:t>
      </w:r>
      <w:r>
        <w:rPr>
          <w:spacing w:val="-7"/>
        </w:rPr>
        <w:t> </w:t>
      </w:r>
      <w:r>
        <w:rPr/>
        <w:t>harm- ful</w:t>
      </w:r>
      <w:r>
        <w:rPr>
          <w:spacing w:val="-8"/>
        </w:rPr>
        <w:t> </w:t>
      </w:r>
      <w:r>
        <w:rPr/>
        <w:t>oxidants</w:t>
      </w:r>
      <w:r>
        <w:rPr>
          <w:spacing w:val="-5"/>
        </w:rPr>
        <w:t> </w:t>
      </w:r>
      <w:r>
        <w:rPr/>
        <w:t>or</w:t>
      </w:r>
      <w:r>
        <w:rPr>
          <w:spacing w:val="-4"/>
        </w:rPr>
        <w:t> </w:t>
      </w:r>
      <w:r>
        <w:rPr/>
        <w:t>free</w:t>
      </w:r>
      <w:r>
        <w:rPr>
          <w:spacing w:val="-5"/>
        </w:rPr>
        <w:t> </w:t>
      </w:r>
      <w:r>
        <w:rPr/>
        <w:t>radicals!</w:t>
      </w:r>
      <w:r>
        <w:rPr>
          <w:spacing w:val="-4"/>
        </w:rPr>
        <w:t> </w:t>
      </w:r>
      <w:r>
        <w:rPr/>
        <w:t>These</w:t>
      </w:r>
      <w:r>
        <w:rPr>
          <w:spacing w:val="-4"/>
        </w:rPr>
        <w:t> </w:t>
      </w:r>
      <w:r>
        <w:rPr/>
        <w:t>are</w:t>
      </w:r>
      <w:r>
        <w:rPr>
          <w:spacing w:val="-6"/>
        </w:rPr>
        <w:t> </w:t>
      </w:r>
      <w:r>
        <w:rPr/>
        <w:t>natural</w:t>
      </w:r>
      <w:r>
        <w:rPr>
          <w:spacing w:val="-5"/>
        </w:rPr>
        <w:t> </w:t>
      </w:r>
      <w:r>
        <w:rPr/>
        <w:t>components</w:t>
      </w:r>
      <w:r>
        <w:rPr>
          <w:spacing w:val="-7"/>
        </w:rPr>
        <w:t> </w:t>
      </w:r>
      <w:r>
        <w:rPr/>
        <w:t>of</w:t>
      </w:r>
      <w:r>
        <w:rPr>
          <w:spacing w:val="-5"/>
        </w:rPr>
        <w:t> </w:t>
      </w:r>
      <w:r>
        <w:rPr/>
        <w:t>food</w:t>
      </w:r>
      <w:r>
        <w:rPr>
          <w:spacing w:val="-6"/>
        </w:rPr>
        <w:t> </w:t>
      </w:r>
      <w:r>
        <w:rPr/>
        <w:t>in</w:t>
      </w:r>
      <w:r>
        <w:rPr>
          <w:spacing w:val="-5"/>
        </w:rPr>
        <w:t> </w:t>
      </w:r>
      <w:r>
        <w:rPr/>
        <w:t>the</w:t>
      </w:r>
      <w:r>
        <w:rPr>
          <w:spacing w:val="-7"/>
        </w:rPr>
        <w:t> </w:t>
      </w:r>
      <w:r>
        <w:rPr/>
        <w:t>form of</w:t>
      </w:r>
      <w:r>
        <w:rPr>
          <w:spacing w:val="-10"/>
        </w:rPr>
        <w:t> </w:t>
      </w:r>
      <w:r>
        <w:rPr/>
        <w:t>vitamins</w:t>
      </w:r>
      <w:r>
        <w:rPr>
          <w:spacing w:val="-8"/>
        </w:rPr>
        <w:t> </w:t>
      </w:r>
      <w:r>
        <w:rPr/>
        <w:t>and</w:t>
      </w:r>
      <w:r>
        <w:rPr>
          <w:spacing w:val="-7"/>
        </w:rPr>
        <w:t> </w:t>
      </w:r>
      <w:r>
        <w:rPr/>
        <w:t>trace</w:t>
      </w:r>
      <w:r>
        <w:rPr>
          <w:spacing w:val="-10"/>
        </w:rPr>
        <w:t> </w:t>
      </w:r>
      <w:r>
        <w:rPr/>
        <w:t>elements.</w:t>
      </w:r>
      <w:r>
        <w:rPr>
          <w:spacing w:val="-11"/>
        </w:rPr>
        <w:t> </w:t>
      </w:r>
      <w:r>
        <w:rPr/>
        <w:t>Here,</w:t>
      </w:r>
      <w:r>
        <w:rPr>
          <w:spacing w:val="-8"/>
        </w:rPr>
        <w:t> </w:t>
      </w:r>
      <w:r>
        <w:rPr/>
        <w:t>a</w:t>
      </w:r>
      <w:r>
        <w:rPr>
          <w:spacing w:val="-10"/>
        </w:rPr>
        <w:t> </w:t>
      </w:r>
      <w:r>
        <w:rPr/>
        <w:t>special</w:t>
      </w:r>
      <w:r>
        <w:rPr>
          <w:spacing w:val="-10"/>
        </w:rPr>
        <w:t> </w:t>
      </w:r>
      <w:r>
        <w:rPr/>
        <w:t>role</w:t>
      </w:r>
      <w:r>
        <w:rPr>
          <w:spacing w:val="-11"/>
        </w:rPr>
        <w:t> </w:t>
      </w:r>
      <w:r>
        <w:rPr/>
        <w:t>is</w:t>
      </w:r>
      <w:r>
        <w:rPr>
          <w:spacing w:val="-9"/>
        </w:rPr>
        <w:t> </w:t>
      </w:r>
      <w:r>
        <w:rPr/>
        <w:t>played</w:t>
      </w:r>
      <w:r>
        <w:rPr>
          <w:spacing w:val="-9"/>
        </w:rPr>
        <w:t> </w:t>
      </w:r>
      <w:r>
        <w:rPr/>
        <w:t>by</w:t>
      </w:r>
      <w:r>
        <w:rPr>
          <w:spacing w:val="-9"/>
        </w:rPr>
        <w:t> </w:t>
      </w:r>
      <w:r>
        <w:rPr/>
        <w:t>the</w:t>
      </w:r>
      <w:r>
        <w:rPr>
          <w:spacing w:val="-7"/>
        </w:rPr>
        <w:t> </w:t>
      </w:r>
      <w:r>
        <w:rPr/>
        <w:t>‘antioxidant network’, in the form of vitamin C, vitamin E, coenzyme Q10, glutathione</w:t>
      </w:r>
      <w:r>
        <w:rPr>
          <w:spacing w:val="-46"/>
        </w:rPr>
        <w:t> </w:t>
      </w:r>
      <w:r>
        <w:rPr/>
        <w:t>and</w:t>
      </w:r>
    </w:p>
    <w:p>
      <w:pPr>
        <w:spacing w:after="0" w:line="276" w:lineRule="auto"/>
        <w:jc w:val="both"/>
        <w:sectPr>
          <w:pgSz w:w="14270" w:h="16850"/>
          <w:pgMar w:header="0" w:footer="1891" w:top="1600" w:bottom="2080" w:left="800" w:right="1280"/>
        </w:sectPr>
      </w:pPr>
    </w:p>
    <w:p>
      <w:pPr>
        <w:pStyle w:val="BodyText"/>
        <w:spacing w:before="181"/>
        <w:ind w:left="477"/>
        <w:jc w:val="both"/>
      </w:pPr>
      <w:r>
        <w:rPr/>
        <w:t>especially alpha-lipoic acid!</w:t>
      </w:r>
    </w:p>
    <w:p>
      <w:pPr>
        <w:pStyle w:val="BodyText"/>
        <w:spacing w:line="276" w:lineRule="auto" w:before="305"/>
        <w:ind w:left="477" w:right="136"/>
        <w:jc w:val="both"/>
      </w:pPr>
      <w:r>
        <w:rPr/>
        <w:t>The ‘antioxidant network’, also called the ‘antioxidant orchestra’, represents a perfect biological system of regeneration and health care for our bodies. The network acts like an orchestra in the fight against destructive free radicals, not only fighting free radicals in a specific way according to their own abilities and characteristics, but supporting and regenerating each other in this tireless fight against free radicals.</w:t>
      </w:r>
    </w:p>
    <w:p>
      <w:pPr>
        <w:pStyle w:val="BodyText"/>
        <w:spacing w:line="276" w:lineRule="auto" w:before="240"/>
        <w:ind w:left="477" w:right="133"/>
        <w:jc w:val="both"/>
      </w:pPr>
      <w:r>
        <w:rPr/>
        <w:t>In its capacity as a water-soluble vitamin, for example, vitamin C supports glu- tathione</w:t>
      </w:r>
      <w:r>
        <w:rPr>
          <w:spacing w:val="-11"/>
        </w:rPr>
        <w:t> </w:t>
      </w:r>
      <w:r>
        <w:rPr/>
        <w:t>and</w:t>
      </w:r>
      <w:r>
        <w:rPr>
          <w:spacing w:val="-11"/>
        </w:rPr>
        <w:t> </w:t>
      </w:r>
      <w:r>
        <w:rPr/>
        <w:t>the</w:t>
      </w:r>
      <w:r>
        <w:rPr>
          <w:spacing w:val="-11"/>
        </w:rPr>
        <w:t> </w:t>
      </w:r>
      <w:r>
        <w:rPr/>
        <w:t>fight</w:t>
      </w:r>
      <w:r>
        <w:rPr>
          <w:spacing w:val="-11"/>
        </w:rPr>
        <w:t> </w:t>
      </w:r>
      <w:r>
        <w:rPr/>
        <w:t>against</w:t>
      </w:r>
      <w:r>
        <w:rPr>
          <w:spacing w:val="-12"/>
        </w:rPr>
        <w:t> </w:t>
      </w:r>
      <w:r>
        <w:rPr/>
        <w:t>free</w:t>
      </w:r>
      <w:r>
        <w:rPr>
          <w:spacing w:val="-10"/>
        </w:rPr>
        <w:t> </w:t>
      </w:r>
      <w:r>
        <w:rPr/>
        <w:t>radicals</w:t>
      </w:r>
      <w:r>
        <w:rPr>
          <w:spacing w:val="-12"/>
        </w:rPr>
        <w:t> </w:t>
      </w:r>
      <w:r>
        <w:rPr/>
        <w:t>in</w:t>
      </w:r>
      <w:r>
        <w:rPr>
          <w:spacing w:val="-12"/>
        </w:rPr>
        <w:t> </w:t>
      </w:r>
      <w:r>
        <w:rPr/>
        <w:t>the</w:t>
      </w:r>
      <w:r>
        <w:rPr>
          <w:spacing w:val="-13"/>
        </w:rPr>
        <w:t> </w:t>
      </w:r>
      <w:r>
        <w:rPr/>
        <w:t>aqueous</w:t>
      </w:r>
      <w:r>
        <w:rPr>
          <w:spacing w:val="-12"/>
        </w:rPr>
        <w:t> </w:t>
      </w:r>
      <w:r>
        <w:rPr/>
        <w:t>parts</w:t>
      </w:r>
      <w:r>
        <w:rPr>
          <w:spacing w:val="-11"/>
        </w:rPr>
        <w:t> </w:t>
      </w:r>
      <w:r>
        <w:rPr/>
        <w:t>of</w:t>
      </w:r>
      <w:r>
        <w:rPr>
          <w:spacing w:val="-13"/>
        </w:rPr>
        <w:t> </w:t>
      </w:r>
      <w:r>
        <w:rPr/>
        <w:t>the</w:t>
      </w:r>
      <w:r>
        <w:rPr>
          <w:spacing w:val="-11"/>
        </w:rPr>
        <w:t> </w:t>
      </w:r>
      <w:r>
        <w:rPr/>
        <w:t>body,</w:t>
      </w:r>
      <w:r>
        <w:rPr>
          <w:spacing w:val="-13"/>
        </w:rPr>
        <w:t> </w:t>
      </w:r>
      <w:r>
        <w:rPr/>
        <w:t>and as a fat-soluble vitamin, vitamin E combats free radicals, with the support of coenzyme Q10, in the fatty areas of the body. Some of these players have the ability</w:t>
      </w:r>
      <w:r>
        <w:rPr>
          <w:spacing w:val="-12"/>
        </w:rPr>
        <w:t> </w:t>
      </w:r>
      <w:r>
        <w:rPr/>
        <w:t>to</w:t>
      </w:r>
      <w:r>
        <w:rPr>
          <w:spacing w:val="-9"/>
        </w:rPr>
        <w:t> </w:t>
      </w:r>
      <w:r>
        <w:rPr/>
        <w:t>replace</w:t>
      </w:r>
      <w:r>
        <w:rPr>
          <w:spacing w:val="-10"/>
        </w:rPr>
        <w:t> </w:t>
      </w:r>
      <w:r>
        <w:rPr/>
        <w:t>themselves</w:t>
      </w:r>
      <w:r>
        <w:rPr>
          <w:spacing w:val="-10"/>
        </w:rPr>
        <w:t> </w:t>
      </w:r>
      <w:r>
        <w:rPr/>
        <w:t>to</w:t>
      </w:r>
      <w:r>
        <w:rPr>
          <w:spacing w:val="-9"/>
        </w:rPr>
        <w:t> </w:t>
      </w:r>
      <w:r>
        <w:rPr/>
        <w:t>some</w:t>
      </w:r>
      <w:r>
        <w:rPr>
          <w:spacing w:val="-10"/>
        </w:rPr>
        <w:t> </w:t>
      </w:r>
      <w:r>
        <w:rPr/>
        <w:t>degree;</w:t>
      </w:r>
      <w:r>
        <w:rPr>
          <w:spacing w:val="-10"/>
        </w:rPr>
        <w:t> </w:t>
      </w:r>
      <w:r>
        <w:rPr/>
        <w:t>however,</w:t>
      </w:r>
      <w:r>
        <w:rPr>
          <w:spacing w:val="-9"/>
        </w:rPr>
        <w:t> </w:t>
      </w:r>
      <w:r>
        <w:rPr/>
        <w:t>they</w:t>
      </w:r>
      <w:r>
        <w:rPr>
          <w:spacing w:val="-9"/>
        </w:rPr>
        <w:t> </w:t>
      </w:r>
      <w:r>
        <w:rPr/>
        <w:t>only</w:t>
      </w:r>
      <w:r>
        <w:rPr>
          <w:spacing w:val="-13"/>
        </w:rPr>
        <w:t> </w:t>
      </w:r>
      <w:r>
        <w:rPr/>
        <w:t>ever</w:t>
      </w:r>
      <w:r>
        <w:rPr>
          <w:spacing w:val="-9"/>
        </w:rPr>
        <w:t> </w:t>
      </w:r>
      <w:r>
        <w:rPr/>
        <w:t>offer</w:t>
      </w:r>
      <w:r>
        <w:rPr>
          <w:spacing w:val="-12"/>
        </w:rPr>
        <w:t> </w:t>
      </w:r>
      <w:r>
        <w:rPr/>
        <w:t>per- fect protection against free radicals when all of them are</w:t>
      </w:r>
      <w:r>
        <w:rPr>
          <w:spacing w:val="-5"/>
        </w:rPr>
        <w:t> </w:t>
      </w:r>
      <w:r>
        <w:rPr/>
        <w:t>present.</w:t>
      </w:r>
    </w:p>
    <w:p>
      <w:pPr>
        <w:pStyle w:val="BodyText"/>
        <w:spacing w:line="276" w:lineRule="auto" w:before="241"/>
        <w:ind w:left="477" w:right="132"/>
        <w:jc w:val="both"/>
      </w:pPr>
      <w:r>
        <w:rPr/>
        <w:t>A special feature of this ‘antioxidant network’ is the alpha-lipoic acid, since it</w:t>
      </w:r>
      <w:r>
        <w:rPr>
          <w:spacing w:val="-61"/>
        </w:rPr>
        <w:t> </w:t>
      </w:r>
      <w:r>
        <w:rPr/>
        <w:t>is not limited to a tissue form (aqueous or fatty cells), but is effective in both the aqueous and fatty cellular environments. One of its other special features is its molecular size. As one can well imagine, depending on their size, not every an- tioxidant can penetrate each cell to protect it from the gluttonous free</w:t>
      </w:r>
      <w:r>
        <w:rPr>
          <w:spacing w:val="-35"/>
        </w:rPr>
        <w:t> </w:t>
      </w:r>
      <w:r>
        <w:rPr/>
        <w:t>radicals.</w:t>
      </w:r>
    </w:p>
    <w:p>
      <w:pPr>
        <w:pStyle w:val="BodyText"/>
        <w:spacing w:line="276" w:lineRule="auto" w:before="239"/>
        <w:ind w:left="477" w:right="136"/>
        <w:jc w:val="both"/>
      </w:pPr>
      <w:r>
        <w:rPr/>
        <w:t>Thus, a limiting factor on the effect of the antioxidants is both their specific ability</w:t>
      </w:r>
      <w:r>
        <w:rPr>
          <w:spacing w:val="-12"/>
        </w:rPr>
        <w:t> </w:t>
      </w:r>
      <w:r>
        <w:rPr/>
        <w:t>to</w:t>
      </w:r>
      <w:r>
        <w:rPr>
          <w:spacing w:val="-9"/>
        </w:rPr>
        <w:t> </w:t>
      </w:r>
      <w:r>
        <w:rPr/>
        <w:t>act</w:t>
      </w:r>
      <w:r>
        <w:rPr>
          <w:spacing w:val="-10"/>
        </w:rPr>
        <w:t> </w:t>
      </w:r>
      <w:r>
        <w:rPr/>
        <w:t>in</w:t>
      </w:r>
      <w:r>
        <w:rPr>
          <w:spacing w:val="-10"/>
        </w:rPr>
        <w:t> </w:t>
      </w:r>
      <w:r>
        <w:rPr/>
        <w:t>aqueous</w:t>
      </w:r>
      <w:r>
        <w:rPr>
          <w:spacing w:val="-10"/>
        </w:rPr>
        <w:t> </w:t>
      </w:r>
      <w:r>
        <w:rPr/>
        <w:t>or</w:t>
      </w:r>
      <w:r>
        <w:rPr>
          <w:spacing w:val="-8"/>
        </w:rPr>
        <w:t> </w:t>
      </w:r>
      <w:r>
        <w:rPr/>
        <w:t>fatty</w:t>
      </w:r>
      <w:r>
        <w:rPr>
          <w:spacing w:val="-11"/>
        </w:rPr>
        <w:t> </w:t>
      </w:r>
      <w:r>
        <w:rPr/>
        <w:t>cellular</w:t>
      </w:r>
      <w:r>
        <w:rPr>
          <w:spacing w:val="-9"/>
        </w:rPr>
        <w:t> </w:t>
      </w:r>
      <w:r>
        <w:rPr/>
        <w:t>environments,</w:t>
      </w:r>
      <w:r>
        <w:rPr>
          <w:spacing w:val="-8"/>
        </w:rPr>
        <w:t> </w:t>
      </w:r>
      <w:r>
        <w:rPr/>
        <w:t>and</w:t>
      </w:r>
      <w:r>
        <w:rPr>
          <w:spacing w:val="-9"/>
        </w:rPr>
        <w:t> </w:t>
      </w:r>
      <w:r>
        <w:rPr/>
        <w:t>their</w:t>
      </w:r>
      <w:r>
        <w:rPr>
          <w:spacing w:val="-12"/>
        </w:rPr>
        <w:t> </w:t>
      </w:r>
      <w:r>
        <w:rPr/>
        <w:t>molecular</w:t>
      </w:r>
      <w:r>
        <w:rPr>
          <w:spacing w:val="-10"/>
        </w:rPr>
        <w:t> </w:t>
      </w:r>
      <w:r>
        <w:rPr/>
        <w:t>size, which enables them to penetrate into the cell to work their magic. Here, the small</w:t>
      </w:r>
      <w:r>
        <w:rPr>
          <w:spacing w:val="22"/>
        </w:rPr>
        <w:t> </w:t>
      </w:r>
      <w:r>
        <w:rPr/>
        <w:t>size</w:t>
      </w:r>
      <w:r>
        <w:rPr>
          <w:spacing w:val="22"/>
        </w:rPr>
        <w:t> </w:t>
      </w:r>
      <w:r>
        <w:rPr/>
        <w:t>of</w:t>
      </w:r>
      <w:r>
        <w:rPr>
          <w:spacing w:val="24"/>
        </w:rPr>
        <w:t> </w:t>
      </w:r>
      <w:r>
        <w:rPr/>
        <w:t>alpha-lipoic</w:t>
      </w:r>
      <w:r>
        <w:rPr>
          <w:spacing w:val="23"/>
        </w:rPr>
        <w:t> </w:t>
      </w:r>
      <w:r>
        <w:rPr/>
        <w:t>acid</w:t>
      </w:r>
      <w:r>
        <w:rPr>
          <w:spacing w:val="23"/>
        </w:rPr>
        <w:t> </w:t>
      </w:r>
      <w:r>
        <w:rPr/>
        <w:t>turns</w:t>
      </w:r>
      <w:r>
        <w:rPr>
          <w:spacing w:val="22"/>
        </w:rPr>
        <w:t> </w:t>
      </w:r>
      <w:r>
        <w:rPr/>
        <w:t>out</w:t>
      </w:r>
      <w:r>
        <w:rPr>
          <w:spacing w:val="23"/>
        </w:rPr>
        <w:t> </w:t>
      </w:r>
      <w:r>
        <w:rPr/>
        <w:t>to</w:t>
      </w:r>
      <w:r>
        <w:rPr>
          <w:spacing w:val="22"/>
        </w:rPr>
        <w:t> </w:t>
      </w:r>
      <w:r>
        <w:rPr/>
        <w:t>be</w:t>
      </w:r>
      <w:r>
        <w:rPr>
          <w:spacing w:val="22"/>
        </w:rPr>
        <w:t> </w:t>
      </w:r>
      <w:r>
        <w:rPr/>
        <w:t>a</w:t>
      </w:r>
      <w:r>
        <w:rPr>
          <w:spacing w:val="21"/>
        </w:rPr>
        <w:t> </w:t>
      </w:r>
      <w:r>
        <w:rPr/>
        <w:t>real</w:t>
      </w:r>
      <w:r>
        <w:rPr>
          <w:spacing w:val="23"/>
        </w:rPr>
        <w:t> </w:t>
      </w:r>
      <w:r>
        <w:rPr/>
        <w:t>blessing</w:t>
      </w:r>
      <w:r>
        <w:rPr>
          <w:spacing w:val="22"/>
        </w:rPr>
        <w:t> </w:t>
      </w:r>
      <w:r>
        <w:rPr/>
        <w:t>to</w:t>
      </w:r>
      <w:r>
        <w:rPr>
          <w:spacing w:val="19"/>
        </w:rPr>
        <w:t> </w:t>
      </w:r>
      <w:r>
        <w:rPr/>
        <w:t>our</w:t>
      </w:r>
      <w:r>
        <w:rPr>
          <w:spacing w:val="24"/>
        </w:rPr>
        <w:t> </w:t>
      </w:r>
      <w:r>
        <w:rPr/>
        <w:t>health</w:t>
      </w:r>
      <w:r>
        <w:rPr>
          <w:spacing w:val="23"/>
        </w:rPr>
        <w:t> </w:t>
      </w:r>
      <w:r>
        <w:rPr/>
        <w:t>as,</w:t>
      </w:r>
    </w:p>
    <w:p>
      <w:pPr>
        <w:spacing w:after="0" w:line="276" w:lineRule="auto"/>
        <w:jc w:val="both"/>
        <w:sectPr>
          <w:pgSz w:w="14270" w:h="16850"/>
          <w:pgMar w:header="0" w:footer="1891" w:top="1600" w:bottom="2080" w:left="800" w:right="1280"/>
        </w:sectPr>
      </w:pPr>
    </w:p>
    <w:p>
      <w:pPr>
        <w:pStyle w:val="BodyText"/>
        <w:spacing w:line="276" w:lineRule="auto" w:before="181"/>
        <w:ind w:left="477" w:right="132"/>
        <w:jc w:val="both"/>
      </w:pPr>
      <w:r>
        <w:rPr/>
        <w:t>unlike most other antioxidants, it can penetrate into the smallest cell and even penetrate the blood-brain barrier, in order to protect our control centre, the brain,</w:t>
      </w:r>
      <w:r>
        <w:rPr>
          <w:spacing w:val="-10"/>
        </w:rPr>
        <w:t> </w:t>
      </w:r>
      <w:r>
        <w:rPr/>
        <w:t>as</w:t>
      </w:r>
      <w:r>
        <w:rPr>
          <w:spacing w:val="-13"/>
        </w:rPr>
        <w:t> </w:t>
      </w:r>
      <w:r>
        <w:rPr/>
        <w:t>well.</w:t>
      </w:r>
      <w:r>
        <w:rPr>
          <w:spacing w:val="-9"/>
        </w:rPr>
        <w:t> </w:t>
      </w:r>
      <w:r>
        <w:rPr/>
        <w:t>The</w:t>
      </w:r>
      <w:r>
        <w:rPr>
          <w:spacing w:val="-10"/>
        </w:rPr>
        <w:t> </w:t>
      </w:r>
      <w:r>
        <w:rPr/>
        <w:t>alpha-lipoic</w:t>
      </w:r>
      <w:r>
        <w:rPr>
          <w:spacing w:val="-11"/>
        </w:rPr>
        <w:t> </w:t>
      </w:r>
      <w:r>
        <w:rPr/>
        <w:t>acid</w:t>
      </w:r>
      <w:r>
        <w:rPr>
          <w:spacing w:val="-10"/>
        </w:rPr>
        <w:t> </w:t>
      </w:r>
      <w:r>
        <w:rPr/>
        <w:t>is</w:t>
      </w:r>
      <w:r>
        <w:rPr>
          <w:spacing w:val="-10"/>
        </w:rPr>
        <w:t> </w:t>
      </w:r>
      <w:r>
        <w:rPr/>
        <w:t>therefore</w:t>
      </w:r>
      <w:r>
        <w:rPr>
          <w:spacing w:val="-10"/>
        </w:rPr>
        <w:t> </w:t>
      </w:r>
      <w:r>
        <w:rPr/>
        <w:t>sufficiently</w:t>
      </w:r>
      <w:r>
        <w:rPr>
          <w:spacing w:val="-10"/>
        </w:rPr>
        <w:t> </w:t>
      </w:r>
      <w:r>
        <w:rPr/>
        <w:t>adaptable</w:t>
      </w:r>
      <w:r>
        <w:rPr>
          <w:spacing w:val="-11"/>
        </w:rPr>
        <w:t> </w:t>
      </w:r>
      <w:r>
        <w:rPr/>
        <w:t>to</w:t>
      </w:r>
      <w:r>
        <w:rPr>
          <w:spacing w:val="-10"/>
        </w:rPr>
        <w:t> </w:t>
      </w:r>
      <w:r>
        <w:rPr/>
        <w:t>be</w:t>
      </w:r>
      <w:r>
        <w:rPr>
          <w:spacing w:val="-12"/>
        </w:rPr>
        <w:t> </w:t>
      </w:r>
      <w:r>
        <w:rPr/>
        <w:t>able to protect all tissue forms from free radicals, while being small enough to pen- etrate even the smallest cells – PERFECT PROTECTION FOR OUR WHOLE BODY!</w:t>
      </w:r>
    </w:p>
    <w:p>
      <w:pPr>
        <w:pStyle w:val="BodyText"/>
        <w:spacing w:before="2"/>
        <w:rPr>
          <w:sz w:val="41"/>
        </w:rPr>
      </w:pPr>
    </w:p>
    <w:p>
      <w:pPr>
        <w:pStyle w:val="Heading1"/>
        <w:spacing w:before="0"/>
        <w:jc w:val="both"/>
      </w:pPr>
      <w:r>
        <w:rPr/>
        <w:t>Alpha-lipoic acid as a regenerator of other antioxidants</w:t>
      </w:r>
    </w:p>
    <w:p>
      <w:pPr>
        <w:pStyle w:val="BodyText"/>
        <w:spacing w:line="276" w:lineRule="auto" w:before="300"/>
        <w:ind w:left="477" w:right="131"/>
        <w:jc w:val="both"/>
      </w:pPr>
      <w:r>
        <w:rPr/>
        <w:t>As</w:t>
      </w:r>
      <w:r>
        <w:rPr>
          <w:spacing w:val="-21"/>
        </w:rPr>
        <w:t> </w:t>
      </w:r>
      <w:r>
        <w:rPr/>
        <w:t>if</w:t>
      </w:r>
      <w:r>
        <w:rPr>
          <w:spacing w:val="-22"/>
        </w:rPr>
        <w:t> </w:t>
      </w:r>
      <w:r>
        <w:rPr/>
        <w:t>the</w:t>
      </w:r>
      <w:r>
        <w:rPr>
          <w:spacing w:val="-23"/>
        </w:rPr>
        <w:t> </w:t>
      </w:r>
      <w:r>
        <w:rPr/>
        <w:t>role</w:t>
      </w:r>
      <w:r>
        <w:rPr>
          <w:spacing w:val="-23"/>
        </w:rPr>
        <w:t> </w:t>
      </w:r>
      <w:r>
        <w:rPr/>
        <w:t>of</w:t>
      </w:r>
      <w:r>
        <w:rPr>
          <w:spacing w:val="-23"/>
        </w:rPr>
        <w:t> </w:t>
      </w:r>
      <w:r>
        <w:rPr/>
        <w:t>the</w:t>
      </w:r>
      <w:r>
        <w:rPr>
          <w:spacing w:val="-20"/>
        </w:rPr>
        <w:t> </w:t>
      </w:r>
      <w:r>
        <w:rPr/>
        <w:t>‘maestro’</w:t>
      </w:r>
      <w:r>
        <w:rPr>
          <w:spacing w:val="-22"/>
        </w:rPr>
        <w:t> </w:t>
      </w:r>
      <w:r>
        <w:rPr/>
        <w:t>within</w:t>
      </w:r>
      <w:r>
        <w:rPr>
          <w:spacing w:val="-21"/>
        </w:rPr>
        <w:t> </w:t>
      </w:r>
      <w:r>
        <w:rPr/>
        <w:t>the</w:t>
      </w:r>
      <w:r>
        <w:rPr>
          <w:spacing w:val="-23"/>
        </w:rPr>
        <w:t> </w:t>
      </w:r>
      <w:r>
        <w:rPr/>
        <w:t>orchestra</w:t>
      </w:r>
      <w:r>
        <w:rPr>
          <w:spacing w:val="-21"/>
        </w:rPr>
        <w:t> </w:t>
      </w:r>
      <w:r>
        <w:rPr/>
        <w:t>were</w:t>
      </w:r>
      <w:r>
        <w:rPr>
          <w:spacing w:val="-21"/>
        </w:rPr>
        <w:t> </w:t>
      </w:r>
      <w:r>
        <w:rPr/>
        <w:t>not</w:t>
      </w:r>
      <w:r>
        <w:rPr>
          <w:spacing w:val="-21"/>
        </w:rPr>
        <w:t> </w:t>
      </w:r>
      <w:r>
        <w:rPr/>
        <w:t>enough,</w:t>
      </w:r>
      <w:r>
        <w:rPr>
          <w:spacing w:val="-19"/>
        </w:rPr>
        <w:t> </w:t>
      </w:r>
      <w:r>
        <w:rPr/>
        <w:t>alpha-lipoic acid</w:t>
      </w:r>
      <w:r>
        <w:rPr>
          <w:spacing w:val="-11"/>
        </w:rPr>
        <w:t> </w:t>
      </w:r>
      <w:r>
        <w:rPr/>
        <w:t>also</w:t>
      </w:r>
      <w:r>
        <w:rPr>
          <w:spacing w:val="-10"/>
        </w:rPr>
        <w:t> </w:t>
      </w:r>
      <w:r>
        <w:rPr/>
        <w:t>acts</w:t>
      </w:r>
      <w:r>
        <w:rPr>
          <w:spacing w:val="-10"/>
        </w:rPr>
        <w:t> </w:t>
      </w:r>
      <w:r>
        <w:rPr/>
        <w:t>as</w:t>
      </w:r>
      <w:r>
        <w:rPr>
          <w:spacing w:val="-15"/>
        </w:rPr>
        <w:t> </w:t>
      </w:r>
      <w:r>
        <w:rPr/>
        <w:t>a</w:t>
      </w:r>
      <w:r>
        <w:rPr>
          <w:spacing w:val="-8"/>
        </w:rPr>
        <w:t> </w:t>
      </w:r>
      <w:r>
        <w:rPr/>
        <w:t>‘coach’</w:t>
      </w:r>
      <w:r>
        <w:rPr>
          <w:spacing w:val="-11"/>
        </w:rPr>
        <w:t> </w:t>
      </w:r>
      <w:r>
        <w:rPr/>
        <w:t>within</w:t>
      </w:r>
      <w:r>
        <w:rPr>
          <w:spacing w:val="-12"/>
        </w:rPr>
        <w:t> </w:t>
      </w:r>
      <w:r>
        <w:rPr/>
        <w:t>the</w:t>
      </w:r>
      <w:r>
        <w:rPr>
          <w:spacing w:val="-9"/>
        </w:rPr>
        <w:t> </w:t>
      </w:r>
      <w:r>
        <w:rPr/>
        <w:t>‘antioxidant</w:t>
      </w:r>
      <w:r>
        <w:rPr>
          <w:spacing w:val="-9"/>
        </w:rPr>
        <w:t> </w:t>
      </w:r>
      <w:r>
        <w:rPr/>
        <w:t>orchestra’</w:t>
      </w:r>
      <w:r>
        <w:rPr>
          <w:spacing w:val="-12"/>
        </w:rPr>
        <w:t> </w:t>
      </w:r>
      <w:r>
        <w:rPr/>
        <w:t>and</w:t>
      </w:r>
      <w:r>
        <w:rPr>
          <w:spacing w:val="-9"/>
        </w:rPr>
        <w:t> </w:t>
      </w:r>
      <w:r>
        <w:rPr/>
        <w:t>ensures</w:t>
      </w:r>
      <w:r>
        <w:rPr>
          <w:spacing w:val="-9"/>
        </w:rPr>
        <w:t> </w:t>
      </w:r>
      <w:r>
        <w:rPr/>
        <w:t>that</w:t>
      </w:r>
      <w:r>
        <w:rPr>
          <w:spacing w:val="-12"/>
        </w:rPr>
        <w:t> </w:t>
      </w:r>
      <w:r>
        <w:rPr/>
        <w:t>the other players do not run out of</w:t>
      </w:r>
      <w:r>
        <w:rPr>
          <w:spacing w:val="-6"/>
        </w:rPr>
        <w:t> </w:t>
      </w:r>
      <w:r>
        <w:rPr/>
        <w:t>breath.</w:t>
      </w:r>
    </w:p>
    <w:p>
      <w:pPr>
        <w:pStyle w:val="BodyText"/>
        <w:spacing w:line="276" w:lineRule="auto" w:before="241"/>
        <w:ind w:left="477" w:right="135"/>
        <w:jc w:val="both"/>
      </w:pPr>
      <w:r>
        <w:rPr/>
        <w:t>As mentioned before, some of the antioxidants within the ‘antioxidant orches- tra’ have the important ability to restore the other antioxidants’ power that has been</w:t>
      </w:r>
      <w:r>
        <w:rPr>
          <w:spacing w:val="-11"/>
        </w:rPr>
        <w:t> </w:t>
      </w:r>
      <w:r>
        <w:rPr/>
        <w:t>lost</w:t>
      </w:r>
      <w:r>
        <w:rPr>
          <w:spacing w:val="-12"/>
        </w:rPr>
        <w:t> </w:t>
      </w:r>
      <w:r>
        <w:rPr/>
        <w:t>in</w:t>
      </w:r>
      <w:r>
        <w:rPr>
          <w:spacing w:val="-12"/>
        </w:rPr>
        <w:t> </w:t>
      </w:r>
      <w:r>
        <w:rPr/>
        <w:t>the</w:t>
      </w:r>
      <w:r>
        <w:rPr>
          <w:spacing w:val="-11"/>
        </w:rPr>
        <w:t> </w:t>
      </w:r>
      <w:r>
        <w:rPr/>
        <w:t>fight</w:t>
      </w:r>
      <w:r>
        <w:rPr>
          <w:spacing w:val="-11"/>
        </w:rPr>
        <w:t> </w:t>
      </w:r>
      <w:r>
        <w:rPr/>
        <w:t>against</w:t>
      </w:r>
      <w:r>
        <w:rPr>
          <w:spacing w:val="-11"/>
        </w:rPr>
        <w:t> </w:t>
      </w:r>
      <w:r>
        <w:rPr/>
        <w:t>free</w:t>
      </w:r>
      <w:r>
        <w:rPr>
          <w:spacing w:val="-11"/>
        </w:rPr>
        <w:t> </w:t>
      </w:r>
      <w:r>
        <w:rPr/>
        <w:t>radicals.</w:t>
      </w:r>
      <w:r>
        <w:rPr>
          <w:spacing w:val="-11"/>
        </w:rPr>
        <w:t> </w:t>
      </w:r>
      <w:r>
        <w:rPr/>
        <w:t>But</w:t>
      </w:r>
      <w:r>
        <w:rPr>
          <w:spacing w:val="-12"/>
        </w:rPr>
        <w:t> </w:t>
      </w:r>
      <w:r>
        <w:rPr/>
        <w:t>here,</w:t>
      </w:r>
      <w:r>
        <w:rPr>
          <w:spacing w:val="-11"/>
        </w:rPr>
        <w:t> </w:t>
      </w:r>
      <w:r>
        <w:rPr/>
        <w:t>alpha-lipoic</w:t>
      </w:r>
      <w:r>
        <w:rPr>
          <w:spacing w:val="-12"/>
        </w:rPr>
        <w:t> </w:t>
      </w:r>
      <w:r>
        <w:rPr/>
        <w:t>acid,</w:t>
      </w:r>
      <w:r>
        <w:rPr>
          <w:spacing w:val="-12"/>
        </w:rPr>
        <w:t> </w:t>
      </w:r>
      <w:r>
        <w:rPr/>
        <w:t>unlike</w:t>
      </w:r>
      <w:r>
        <w:rPr>
          <w:spacing w:val="-13"/>
        </w:rPr>
        <w:t> </w:t>
      </w:r>
      <w:r>
        <w:rPr/>
        <w:t>any other antioxidant, restores peak performance by regenerating the other antiox- idants that lose energy in the fight against free radicals!</w:t>
      </w:r>
    </w:p>
    <w:p>
      <w:pPr>
        <w:pStyle w:val="BodyText"/>
        <w:spacing w:line="276" w:lineRule="auto" w:before="240"/>
        <w:ind w:left="477" w:right="135"/>
        <w:jc w:val="both"/>
        <w:rPr>
          <w:sz w:val="25"/>
        </w:rPr>
      </w:pPr>
      <w:r>
        <w:rPr/>
        <w:t>Vitamin C loss was prevented in studies on the intake of alpha-lipoic acid.</w:t>
      </w:r>
      <w:r>
        <w:rPr>
          <w:position w:val="9"/>
          <w:sz w:val="25"/>
        </w:rPr>
        <w:t>17 </w:t>
      </w:r>
      <w:r>
        <w:rPr/>
        <w:t>And</w:t>
      </w:r>
      <w:r>
        <w:rPr>
          <w:spacing w:val="-19"/>
        </w:rPr>
        <w:t> </w:t>
      </w:r>
      <w:r>
        <w:rPr/>
        <w:t>the</w:t>
      </w:r>
      <w:r>
        <w:rPr>
          <w:spacing w:val="-18"/>
        </w:rPr>
        <w:t> </w:t>
      </w:r>
      <w:r>
        <w:rPr/>
        <w:t>loss</w:t>
      </w:r>
      <w:r>
        <w:rPr>
          <w:spacing w:val="-19"/>
        </w:rPr>
        <w:t> </w:t>
      </w:r>
      <w:r>
        <w:rPr/>
        <w:t>of</w:t>
      </w:r>
      <w:r>
        <w:rPr>
          <w:spacing w:val="-21"/>
        </w:rPr>
        <w:t> </w:t>
      </w:r>
      <w:r>
        <w:rPr/>
        <w:t>vitamin</w:t>
      </w:r>
      <w:r>
        <w:rPr>
          <w:spacing w:val="-18"/>
        </w:rPr>
        <w:t> </w:t>
      </w:r>
      <w:r>
        <w:rPr/>
        <w:t>E</w:t>
      </w:r>
      <w:r>
        <w:rPr>
          <w:spacing w:val="-20"/>
        </w:rPr>
        <w:t> </w:t>
      </w:r>
      <w:r>
        <w:rPr/>
        <w:t>through</w:t>
      </w:r>
      <w:r>
        <w:rPr>
          <w:spacing w:val="-18"/>
        </w:rPr>
        <w:t> </w:t>
      </w:r>
      <w:r>
        <w:rPr/>
        <w:t>oxidation</w:t>
      </w:r>
      <w:r>
        <w:rPr>
          <w:spacing w:val="-18"/>
        </w:rPr>
        <w:t> </w:t>
      </w:r>
      <w:r>
        <w:rPr/>
        <w:t>has</w:t>
      </w:r>
      <w:r>
        <w:rPr>
          <w:spacing w:val="-19"/>
        </w:rPr>
        <w:t> </w:t>
      </w:r>
      <w:r>
        <w:rPr/>
        <w:t>been</w:t>
      </w:r>
      <w:r>
        <w:rPr>
          <w:spacing w:val="-18"/>
        </w:rPr>
        <w:t> </w:t>
      </w:r>
      <w:r>
        <w:rPr/>
        <w:t>successfully</w:t>
      </w:r>
      <w:r>
        <w:rPr>
          <w:spacing w:val="-18"/>
        </w:rPr>
        <w:t> </w:t>
      </w:r>
      <w:r>
        <w:rPr/>
        <w:t>counteracted in the laboratory by adding alpha-lipoic acid.</w:t>
      </w:r>
      <w:r>
        <w:rPr>
          <w:position w:val="9"/>
          <w:sz w:val="25"/>
        </w:rPr>
        <w:t>18</w:t>
      </w:r>
    </w:p>
    <w:p>
      <w:pPr>
        <w:pStyle w:val="BodyText"/>
        <w:spacing w:before="239"/>
        <w:ind w:left="477"/>
        <w:jc w:val="both"/>
      </w:pPr>
      <w:r>
        <w:rPr/>
        <w:t>Among other things, vitamin C supports our immune system, protects</w:t>
      </w:r>
      <w:r>
        <w:rPr>
          <w:spacing w:val="90"/>
        </w:rPr>
        <w:t> </w:t>
      </w:r>
      <w:r>
        <w:rPr/>
        <w:t>against</w:t>
      </w:r>
    </w:p>
    <w:p>
      <w:pPr>
        <w:pStyle w:val="BodyText"/>
        <w:rPr>
          <w:sz w:val="20"/>
        </w:rPr>
      </w:pPr>
    </w:p>
    <w:p>
      <w:pPr>
        <w:pStyle w:val="BodyText"/>
        <w:spacing w:before="2"/>
        <w:rPr>
          <w:sz w:val="26"/>
        </w:rPr>
      </w:pPr>
      <w:r>
        <w:rPr/>
        <w:pict>
          <v:line style="position:absolute;mso-position-horizontal-relative:page;mso-position-vertical-relative:paragraph;z-index:-760;mso-wrap-distance-left:0;mso-wrap-distance-right:0" from="63.863998pt,17.121235pt" to="207.883998pt,17.121235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b/>
          <w:i/>
          <w:position w:val="5"/>
          <w:sz w:val="13"/>
        </w:rPr>
        <w:t>17 </w:t>
      </w:r>
      <w:r>
        <w:rPr>
          <w:sz w:val="20"/>
        </w:rPr>
        <w:t>Bierhaus et al. 1997</w:t>
      </w:r>
    </w:p>
    <w:p>
      <w:pPr>
        <w:spacing w:before="94"/>
        <w:ind w:left="477" w:right="0" w:firstLine="0"/>
        <w:jc w:val="left"/>
        <w:rPr>
          <w:sz w:val="20"/>
        </w:rPr>
      </w:pPr>
      <w:r>
        <w:rPr>
          <w:b/>
          <w:i/>
          <w:position w:val="5"/>
          <w:sz w:val="13"/>
        </w:rPr>
        <w:t>18 </w:t>
      </w:r>
      <w:r>
        <w:rPr>
          <w:sz w:val="20"/>
        </w:rPr>
        <w:t>Packer, from Sosin and Jacobs 1998</w:t>
      </w:r>
    </w:p>
    <w:p>
      <w:pPr>
        <w:spacing w:after="0"/>
        <w:jc w:val="left"/>
        <w:rPr>
          <w:sz w:val="20"/>
        </w:rPr>
        <w:sectPr>
          <w:pgSz w:w="14270" w:h="16850"/>
          <w:pgMar w:header="0" w:footer="1891" w:top="1600" w:bottom="2080" w:left="800" w:right="1280"/>
        </w:sectPr>
      </w:pPr>
    </w:p>
    <w:p>
      <w:pPr>
        <w:pStyle w:val="BodyText"/>
        <w:spacing w:line="276" w:lineRule="auto" w:before="181"/>
        <w:ind w:left="477" w:right="130"/>
        <w:jc w:val="both"/>
      </w:pPr>
      <w:r>
        <w:rPr/>
        <w:t>colds and viral diseases (similar to grapefruit seed extract), aids collagen for- mation</w:t>
      </w:r>
      <w:r>
        <w:rPr>
          <w:spacing w:val="-7"/>
        </w:rPr>
        <w:t> </w:t>
      </w:r>
      <w:r>
        <w:rPr/>
        <w:t>and</w:t>
      </w:r>
      <w:r>
        <w:rPr>
          <w:spacing w:val="-7"/>
        </w:rPr>
        <w:t> </w:t>
      </w:r>
      <w:r>
        <w:rPr/>
        <w:t>protects</w:t>
      </w:r>
      <w:r>
        <w:rPr>
          <w:spacing w:val="-6"/>
        </w:rPr>
        <w:t> </w:t>
      </w:r>
      <w:r>
        <w:rPr/>
        <w:t>our</w:t>
      </w:r>
      <w:r>
        <w:rPr>
          <w:spacing w:val="-7"/>
        </w:rPr>
        <w:t> </w:t>
      </w:r>
      <w:r>
        <w:rPr/>
        <w:t>blood</w:t>
      </w:r>
      <w:r>
        <w:rPr>
          <w:spacing w:val="-7"/>
        </w:rPr>
        <w:t> </w:t>
      </w:r>
      <w:r>
        <w:rPr/>
        <w:t>vessels.</w:t>
      </w:r>
      <w:r>
        <w:rPr>
          <w:spacing w:val="-6"/>
        </w:rPr>
        <w:t> </w:t>
      </w:r>
      <w:r>
        <w:rPr/>
        <w:t>Vitamin</w:t>
      </w:r>
      <w:r>
        <w:rPr>
          <w:spacing w:val="-10"/>
        </w:rPr>
        <w:t> </w:t>
      </w:r>
      <w:r>
        <w:rPr/>
        <w:t>E</w:t>
      </w:r>
      <w:r>
        <w:rPr>
          <w:spacing w:val="-7"/>
        </w:rPr>
        <w:t> </w:t>
      </w:r>
      <w:r>
        <w:rPr/>
        <w:t>is</w:t>
      </w:r>
      <w:r>
        <w:rPr>
          <w:spacing w:val="-7"/>
        </w:rPr>
        <w:t> </w:t>
      </w:r>
      <w:r>
        <w:rPr/>
        <w:t>one</w:t>
      </w:r>
      <w:r>
        <w:rPr>
          <w:spacing w:val="-9"/>
        </w:rPr>
        <w:t> </w:t>
      </w:r>
      <w:r>
        <w:rPr/>
        <w:t>of</w:t>
      </w:r>
      <w:r>
        <w:rPr>
          <w:spacing w:val="-7"/>
        </w:rPr>
        <w:t> </w:t>
      </w:r>
      <w:r>
        <w:rPr/>
        <w:t>the</w:t>
      </w:r>
      <w:r>
        <w:rPr>
          <w:spacing w:val="-11"/>
        </w:rPr>
        <w:t> </w:t>
      </w:r>
      <w:r>
        <w:rPr/>
        <w:t>most</w:t>
      </w:r>
      <w:r>
        <w:rPr>
          <w:spacing w:val="-7"/>
        </w:rPr>
        <w:t> </w:t>
      </w:r>
      <w:r>
        <w:rPr/>
        <w:t>important vitamins in our lives and, in addition to its function as an antioxidant, is indis- pensable</w:t>
      </w:r>
      <w:r>
        <w:rPr>
          <w:spacing w:val="-11"/>
        </w:rPr>
        <w:t> </w:t>
      </w:r>
      <w:r>
        <w:rPr/>
        <w:t>for</w:t>
      </w:r>
      <w:r>
        <w:rPr>
          <w:spacing w:val="-10"/>
        </w:rPr>
        <w:t> </w:t>
      </w:r>
      <w:r>
        <w:rPr/>
        <w:t>the</w:t>
      </w:r>
      <w:r>
        <w:rPr>
          <w:spacing w:val="-13"/>
        </w:rPr>
        <w:t> </w:t>
      </w:r>
      <w:r>
        <w:rPr/>
        <w:t>membrane</w:t>
      </w:r>
      <w:r>
        <w:rPr>
          <w:spacing w:val="-9"/>
        </w:rPr>
        <w:t> </w:t>
      </w:r>
      <w:r>
        <w:rPr/>
        <w:t>components</w:t>
      </w:r>
      <w:r>
        <w:rPr>
          <w:spacing w:val="-5"/>
        </w:rPr>
        <w:t> </w:t>
      </w:r>
      <w:r>
        <w:rPr/>
        <w:t>of</w:t>
      </w:r>
      <w:r>
        <w:rPr>
          <w:spacing w:val="-11"/>
        </w:rPr>
        <w:t> </w:t>
      </w:r>
      <w:r>
        <w:rPr/>
        <w:t>the</w:t>
      </w:r>
      <w:r>
        <w:rPr>
          <w:spacing w:val="-11"/>
        </w:rPr>
        <w:t> </w:t>
      </w:r>
      <w:r>
        <w:rPr/>
        <w:t>cell,</w:t>
      </w:r>
      <w:r>
        <w:rPr>
          <w:spacing w:val="-9"/>
        </w:rPr>
        <w:t> </w:t>
      </w:r>
      <w:r>
        <w:rPr/>
        <w:t>as</w:t>
      </w:r>
      <w:r>
        <w:rPr>
          <w:spacing w:val="-10"/>
        </w:rPr>
        <w:t> </w:t>
      </w:r>
      <w:r>
        <w:rPr/>
        <w:t>it</w:t>
      </w:r>
      <w:r>
        <w:rPr>
          <w:spacing w:val="-13"/>
        </w:rPr>
        <w:t> </w:t>
      </w:r>
      <w:r>
        <w:rPr/>
        <w:t>protects</w:t>
      </w:r>
      <w:r>
        <w:rPr>
          <w:spacing w:val="-14"/>
        </w:rPr>
        <w:t> </w:t>
      </w:r>
      <w:r>
        <w:rPr/>
        <w:t>the</w:t>
      </w:r>
      <w:r>
        <w:rPr>
          <w:spacing w:val="-8"/>
        </w:rPr>
        <w:t> </w:t>
      </w:r>
      <w:r>
        <w:rPr/>
        <w:t>cell</w:t>
      </w:r>
      <w:r>
        <w:rPr>
          <w:spacing w:val="-10"/>
        </w:rPr>
        <w:t> </w:t>
      </w:r>
      <w:r>
        <w:rPr/>
        <w:t>mem- branes,</w:t>
      </w:r>
      <w:r>
        <w:rPr>
          <w:spacing w:val="-6"/>
        </w:rPr>
        <w:t> </w:t>
      </w:r>
      <w:r>
        <w:rPr/>
        <w:t>is</w:t>
      </w:r>
      <w:r>
        <w:rPr>
          <w:spacing w:val="-9"/>
        </w:rPr>
        <w:t> </w:t>
      </w:r>
      <w:r>
        <w:rPr/>
        <w:t>responsible</w:t>
      </w:r>
      <w:r>
        <w:rPr>
          <w:spacing w:val="-7"/>
        </w:rPr>
        <w:t> </w:t>
      </w:r>
      <w:r>
        <w:rPr/>
        <w:t>for</w:t>
      </w:r>
      <w:r>
        <w:rPr>
          <w:spacing w:val="-8"/>
        </w:rPr>
        <w:t> </w:t>
      </w:r>
      <w:r>
        <w:rPr/>
        <w:t>repairing</w:t>
      </w:r>
      <w:r>
        <w:rPr>
          <w:spacing w:val="-6"/>
        </w:rPr>
        <w:t> </w:t>
      </w:r>
      <w:r>
        <w:rPr/>
        <w:t>the</w:t>
      </w:r>
      <w:r>
        <w:rPr>
          <w:spacing w:val="-6"/>
        </w:rPr>
        <w:t> </w:t>
      </w:r>
      <w:r>
        <w:rPr/>
        <w:t>cells,</w:t>
      </w:r>
      <w:r>
        <w:rPr>
          <w:spacing w:val="-8"/>
        </w:rPr>
        <w:t> </w:t>
      </w:r>
      <w:r>
        <w:rPr/>
        <w:t>and</w:t>
      </w:r>
      <w:r>
        <w:rPr>
          <w:spacing w:val="-9"/>
        </w:rPr>
        <w:t> </w:t>
      </w:r>
      <w:r>
        <w:rPr/>
        <w:t>also</w:t>
      </w:r>
      <w:r>
        <w:rPr>
          <w:spacing w:val="-6"/>
        </w:rPr>
        <w:t> </w:t>
      </w:r>
      <w:r>
        <w:rPr/>
        <w:t>supports</w:t>
      </w:r>
      <w:r>
        <w:rPr>
          <w:spacing w:val="-6"/>
        </w:rPr>
        <w:t> </w:t>
      </w:r>
      <w:r>
        <w:rPr/>
        <w:t>the</w:t>
      </w:r>
      <w:r>
        <w:rPr>
          <w:spacing w:val="-7"/>
        </w:rPr>
        <w:t> </w:t>
      </w:r>
      <w:r>
        <w:rPr/>
        <w:t>immune</w:t>
      </w:r>
      <w:r>
        <w:rPr>
          <w:spacing w:val="-7"/>
        </w:rPr>
        <w:t> </w:t>
      </w:r>
      <w:r>
        <w:rPr/>
        <w:t>sys- tem.</w:t>
      </w:r>
      <w:r>
        <w:rPr>
          <w:spacing w:val="-12"/>
        </w:rPr>
        <w:t> </w:t>
      </w:r>
      <w:r>
        <w:rPr/>
        <w:t>The</w:t>
      </w:r>
      <w:r>
        <w:rPr>
          <w:spacing w:val="-11"/>
        </w:rPr>
        <w:t> </w:t>
      </w:r>
      <w:r>
        <w:rPr/>
        <w:t>fact</w:t>
      </w:r>
      <w:r>
        <w:rPr>
          <w:spacing w:val="-12"/>
        </w:rPr>
        <w:t> </w:t>
      </w:r>
      <w:r>
        <w:rPr/>
        <w:t>that</w:t>
      </w:r>
      <w:r>
        <w:rPr>
          <w:spacing w:val="-13"/>
        </w:rPr>
        <w:t> </w:t>
      </w:r>
      <w:r>
        <w:rPr/>
        <w:t>alpha-lipoic</w:t>
      </w:r>
      <w:r>
        <w:rPr>
          <w:spacing w:val="-12"/>
        </w:rPr>
        <w:t> </w:t>
      </w:r>
      <w:r>
        <w:rPr/>
        <w:t>acid</w:t>
      </w:r>
      <w:r>
        <w:rPr>
          <w:spacing w:val="-13"/>
        </w:rPr>
        <w:t> </w:t>
      </w:r>
      <w:r>
        <w:rPr/>
        <w:t>regenerates</w:t>
      </w:r>
      <w:r>
        <w:rPr>
          <w:spacing w:val="-12"/>
        </w:rPr>
        <w:t> </w:t>
      </w:r>
      <w:r>
        <w:rPr/>
        <w:t>vitamins</w:t>
      </w:r>
      <w:r>
        <w:rPr>
          <w:spacing w:val="-12"/>
        </w:rPr>
        <w:t> </w:t>
      </w:r>
      <w:r>
        <w:rPr/>
        <w:t>C</w:t>
      </w:r>
      <w:r>
        <w:rPr>
          <w:spacing w:val="-13"/>
        </w:rPr>
        <w:t> </w:t>
      </w:r>
      <w:r>
        <w:rPr/>
        <w:t>and</w:t>
      </w:r>
      <w:r>
        <w:rPr>
          <w:spacing w:val="-11"/>
        </w:rPr>
        <w:t> </w:t>
      </w:r>
      <w:r>
        <w:rPr/>
        <w:t>E</w:t>
      </w:r>
      <w:r>
        <w:rPr>
          <w:spacing w:val="-14"/>
        </w:rPr>
        <w:t> </w:t>
      </w:r>
      <w:r>
        <w:rPr/>
        <w:t>has</w:t>
      </w:r>
      <w:r>
        <w:rPr>
          <w:spacing w:val="-11"/>
        </w:rPr>
        <w:t> </w:t>
      </w:r>
      <w:r>
        <w:rPr/>
        <w:t>enormous significance for our</w:t>
      </w:r>
      <w:r>
        <w:rPr>
          <w:spacing w:val="1"/>
        </w:rPr>
        <w:t> </w:t>
      </w:r>
      <w:r>
        <w:rPr/>
        <w:t>health.</w:t>
      </w:r>
    </w:p>
    <w:p>
      <w:pPr>
        <w:pStyle w:val="BodyText"/>
        <w:spacing w:line="276" w:lineRule="auto" w:before="241"/>
        <w:ind w:left="477" w:right="133"/>
        <w:jc w:val="both"/>
      </w:pPr>
      <w:r>
        <w:rPr/>
        <w:t>The</w:t>
      </w:r>
      <w:r>
        <w:rPr>
          <w:spacing w:val="-13"/>
        </w:rPr>
        <w:t> </w:t>
      </w:r>
      <w:r>
        <w:rPr/>
        <w:t>importance</w:t>
      </w:r>
      <w:r>
        <w:rPr>
          <w:spacing w:val="-15"/>
        </w:rPr>
        <w:t> </w:t>
      </w:r>
      <w:r>
        <w:rPr/>
        <w:t>of</w:t>
      </w:r>
      <w:r>
        <w:rPr>
          <w:spacing w:val="-13"/>
        </w:rPr>
        <w:t> </w:t>
      </w:r>
      <w:r>
        <w:rPr/>
        <w:t>the</w:t>
      </w:r>
      <w:r>
        <w:rPr>
          <w:spacing w:val="-12"/>
        </w:rPr>
        <w:t> </w:t>
      </w:r>
      <w:r>
        <w:rPr/>
        <w:t>mutual</w:t>
      </w:r>
      <w:r>
        <w:rPr>
          <w:spacing w:val="-15"/>
        </w:rPr>
        <w:t> </w:t>
      </w:r>
      <w:r>
        <w:rPr/>
        <w:t>support</w:t>
      </w:r>
      <w:r>
        <w:rPr>
          <w:spacing w:val="-13"/>
        </w:rPr>
        <w:t> </w:t>
      </w:r>
      <w:r>
        <w:rPr/>
        <w:t>between</w:t>
      </w:r>
      <w:r>
        <w:rPr>
          <w:spacing w:val="-12"/>
        </w:rPr>
        <w:t> </w:t>
      </w:r>
      <w:r>
        <w:rPr/>
        <w:t>antioxidants</w:t>
      </w:r>
      <w:r>
        <w:rPr>
          <w:spacing w:val="-13"/>
        </w:rPr>
        <w:t> </w:t>
      </w:r>
      <w:r>
        <w:rPr/>
        <w:t>within</w:t>
      </w:r>
      <w:r>
        <w:rPr>
          <w:spacing w:val="-12"/>
        </w:rPr>
        <w:t> </w:t>
      </w:r>
      <w:r>
        <w:rPr/>
        <w:t>the</w:t>
      </w:r>
      <w:r>
        <w:rPr>
          <w:spacing w:val="-13"/>
        </w:rPr>
        <w:t> </w:t>
      </w:r>
      <w:r>
        <w:rPr/>
        <w:t>‘antiox- idant network’ becomes clear when one realises that antioxidants that lose the fight against free radicals become harmful radicals</w:t>
      </w:r>
      <w:r>
        <w:rPr>
          <w:spacing w:val="-3"/>
        </w:rPr>
        <w:t> </w:t>
      </w:r>
      <w:r>
        <w:rPr/>
        <w:t>themselves!</w:t>
      </w:r>
    </w:p>
    <w:p>
      <w:pPr>
        <w:pStyle w:val="BodyText"/>
        <w:spacing w:line="276" w:lineRule="auto" w:before="241"/>
        <w:ind w:left="477" w:right="134"/>
        <w:jc w:val="both"/>
      </w:pPr>
      <w:r>
        <w:rPr/>
        <w:t>In fact, it is just like the horror movies, where people fighting zombies</w:t>
      </w:r>
      <w:r>
        <w:rPr>
          <w:spacing w:val="-67"/>
        </w:rPr>
        <w:t> </w:t>
      </w:r>
      <w:r>
        <w:rPr/>
        <w:t>become zombies themselves after succumbing to them. In less graphic terms, this is exemplified by vitamin E in that an electron taken from a free radical in the fight against vitamin E converts vitamin E into an equally dangerous radical. Like</w:t>
      </w:r>
      <w:r>
        <w:rPr>
          <w:spacing w:val="-21"/>
        </w:rPr>
        <w:t> </w:t>
      </w:r>
      <w:r>
        <w:rPr/>
        <w:t>no</w:t>
      </w:r>
      <w:r>
        <w:rPr>
          <w:spacing w:val="-20"/>
        </w:rPr>
        <w:t> </w:t>
      </w:r>
      <w:r>
        <w:rPr/>
        <w:t>other</w:t>
      </w:r>
      <w:r>
        <w:rPr>
          <w:spacing w:val="-21"/>
        </w:rPr>
        <w:t> </w:t>
      </w:r>
      <w:r>
        <w:rPr/>
        <w:t>antioxidant</w:t>
      </w:r>
      <w:r>
        <w:rPr>
          <w:spacing w:val="-20"/>
        </w:rPr>
        <w:t> </w:t>
      </w:r>
      <w:r>
        <w:rPr/>
        <w:t>in</w:t>
      </w:r>
      <w:r>
        <w:rPr>
          <w:spacing w:val="-20"/>
        </w:rPr>
        <w:t> </w:t>
      </w:r>
      <w:r>
        <w:rPr/>
        <w:t>the</w:t>
      </w:r>
      <w:r>
        <w:rPr>
          <w:spacing w:val="-21"/>
        </w:rPr>
        <w:t> </w:t>
      </w:r>
      <w:r>
        <w:rPr/>
        <w:t>‘antioxidant</w:t>
      </w:r>
      <w:r>
        <w:rPr>
          <w:spacing w:val="-20"/>
        </w:rPr>
        <w:t> </w:t>
      </w:r>
      <w:r>
        <w:rPr/>
        <w:t>orchestra’,</w:t>
      </w:r>
      <w:r>
        <w:rPr>
          <w:spacing w:val="-22"/>
        </w:rPr>
        <w:t> </w:t>
      </w:r>
      <w:r>
        <w:rPr/>
        <w:t>alpha-lipoic</w:t>
      </w:r>
      <w:r>
        <w:rPr>
          <w:spacing w:val="-21"/>
        </w:rPr>
        <w:t> </w:t>
      </w:r>
      <w:r>
        <w:rPr/>
        <w:t>acid</w:t>
      </w:r>
      <w:r>
        <w:rPr>
          <w:spacing w:val="-21"/>
        </w:rPr>
        <w:t> </w:t>
      </w:r>
      <w:r>
        <w:rPr/>
        <w:t>has</w:t>
      </w:r>
      <w:r>
        <w:rPr>
          <w:spacing w:val="-22"/>
        </w:rPr>
        <w:t> </w:t>
      </w:r>
      <w:r>
        <w:rPr/>
        <w:t>the ability</w:t>
      </w:r>
      <w:r>
        <w:rPr>
          <w:spacing w:val="-19"/>
        </w:rPr>
        <w:t> </w:t>
      </w:r>
      <w:r>
        <w:rPr/>
        <w:t>to</w:t>
      </w:r>
      <w:r>
        <w:rPr>
          <w:spacing w:val="-16"/>
        </w:rPr>
        <w:t> </w:t>
      </w:r>
      <w:r>
        <w:rPr/>
        <w:t>return</w:t>
      </w:r>
      <w:r>
        <w:rPr>
          <w:spacing w:val="-16"/>
        </w:rPr>
        <w:t> </w:t>
      </w:r>
      <w:r>
        <w:rPr/>
        <w:t>the</w:t>
      </w:r>
      <w:r>
        <w:rPr>
          <w:spacing w:val="-16"/>
        </w:rPr>
        <w:t> </w:t>
      </w:r>
      <w:r>
        <w:rPr/>
        <w:t>stolen</w:t>
      </w:r>
      <w:r>
        <w:rPr>
          <w:spacing w:val="-16"/>
        </w:rPr>
        <w:t> </w:t>
      </w:r>
      <w:r>
        <w:rPr/>
        <w:t>electron</w:t>
      </w:r>
      <w:r>
        <w:rPr>
          <w:spacing w:val="-16"/>
        </w:rPr>
        <w:t> </w:t>
      </w:r>
      <w:r>
        <w:rPr/>
        <w:t>to</w:t>
      </w:r>
      <w:r>
        <w:rPr>
          <w:spacing w:val="-17"/>
        </w:rPr>
        <w:t> </w:t>
      </w:r>
      <w:r>
        <w:rPr/>
        <w:t>its</w:t>
      </w:r>
      <w:r>
        <w:rPr>
          <w:spacing w:val="-17"/>
        </w:rPr>
        <w:t> </w:t>
      </w:r>
      <w:r>
        <w:rPr/>
        <w:t>fellow</w:t>
      </w:r>
      <w:r>
        <w:rPr>
          <w:spacing w:val="-17"/>
        </w:rPr>
        <w:t> </w:t>
      </w:r>
      <w:r>
        <w:rPr/>
        <w:t>players</w:t>
      </w:r>
      <w:r>
        <w:rPr>
          <w:spacing w:val="-16"/>
        </w:rPr>
        <w:t> </w:t>
      </w:r>
      <w:r>
        <w:rPr/>
        <w:t>who</w:t>
      </w:r>
      <w:r>
        <w:rPr>
          <w:spacing w:val="-15"/>
        </w:rPr>
        <w:t> </w:t>
      </w:r>
      <w:r>
        <w:rPr/>
        <w:t>have</w:t>
      </w:r>
      <w:r>
        <w:rPr>
          <w:spacing w:val="-16"/>
        </w:rPr>
        <w:t> </w:t>
      </w:r>
      <w:r>
        <w:rPr/>
        <w:t>been</w:t>
      </w:r>
      <w:r>
        <w:rPr>
          <w:spacing w:val="-17"/>
        </w:rPr>
        <w:t> </w:t>
      </w:r>
      <w:r>
        <w:rPr/>
        <w:t>attacked!</w:t>
      </w:r>
    </w:p>
    <w:p>
      <w:pPr>
        <w:pStyle w:val="BodyText"/>
        <w:spacing w:line="276" w:lineRule="auto" w:before="241"/>
        <w:ind w:left="477" w:right="137"/>
        <w:jc w:val="both"/>
        <w:rPr>
          <w:sz w:val="25"/>
        </w:rPr>
      </w:pPr>
      <w:r>
        <w:rPr/>
        <w:t>For example, laboratory experiments have demonstrated that alpha-lipoic acid can counteract the typical deficiency symptoms caused by vitamin C loss through oxidation, which can cause scurvy or even death.</w:t>
      </w:r>
      <w:r>
        <w:rPr>
          <w:position w:val="9"/>
          <w:sz w:val="25"/>
        </w:rPr>
        <w:t>19</w:t>
      </w:r>
    </w:p>
    <w:p>
      <w:pPr>
        <w:pStyle w:val="BodyText"/>
        <w:spacing w:before="239"/>
        <w:ind w:left="477"/>
        <w:jc w:val="both"/>
      </w:pPr>
      <w:r>
        <w:rPr/>
        <w:t>The same has been found in studies on vitamin E; again, alpha-lipoic acid has</w:t>
      </w:r>
    </w:p>
    <w:p>
      <w:pPr>
        <w:pStyle w:val="BodyText"/>
        <w:rPr>
          <w:sz w:val="20"/>
        </w:rPr>
      </w:pPr>
    </w:p>
    <w:p>
      <w:pPr>
        <w:pStyle w:val="BodyText"/>
        <w:spacing w:before="2"/>
        <w:rPr>
          <w:sz w:val="25"/>
        </w:rPr>
      </w:pPr>
      <w:r>
        <w:rPr/>
        <w:pict>
          <v:line style="position:absolute;mso-position-horizontal-relative:page;mso-position-vertical-relative:paragraph;z-index:-736;mso-wrap-distance-left:0;mso-wrap-distance-right:0" from="63.863998pt,16.521235pt" to="207.883998pt,16.521235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19 </w:t>
      </w:r>
      <w:r>
        <w:rPr>
          <w:sz w:val="20"/>
        </w:rPr>
        <w:t>Bierhaus et al. 1997</w:t>
      </w:r>
    </w:p>
    <w:p>
      <w:pPr>
        <w:spacing w:after="0"/>
        <w:jc w:val="left"/>
        <w:rPr>
          <w:sz w:val="20"/>
        </w:rPr>
        <w:sectPr>
          <w:pgSz w:w="14270" w:h="16850"/>
          <w:pgMar w:header="0" w:footer="1891" w:top="1600" w:bottom="2080" w:left="800" w:right="1280"/>
        </w:sectPr>
      </w:pPr>
    </w:p>
    <w:p>
      <w:pPr>
        <w:pStyle w:val="BodyText"/>
        <w:spacing w:before="181"/>
        <w:ind w:left="477"/>
        <w:rPr>
          <w:sz w:val="25"/>
        </w:rPr>
      </w:pPr>
      <w:r>
        <w:rPr/>
        <w:t>saved vitamin E from loss through oxidation.</w:t>
      </w:r>
      <w:r>
        <w:rPr>
          <w:position w:val="9"/>
          <w:sz w:val="25"/>
        </w:rPr>
        <w:t>20</w:t>
      </w:r>
    </w:p>
    <w:p>
      <w:pPr>
        <w:pStyle w:val="BodyText"/>
        <w:spacing w:line="276" w:lineRule="auto" w:before="305"/>
        <w:ind w:left="477" w:right="132"/>
        <w:jc w:val="both"/>
      </w:pPr>
      <w:r>
        <w:rPr/>
        <w:t>The demonstrated, remarkable ability of alpha-lipoic acid to reach even the smallest cell and effectively develop its cell-protecting capacities both in aque- ous and fatty areas of the body, and to regenerate other antioxidants, makes alpha-lipoic acid an indispensable antioxidant all-rounder and therefore an ab- solute must-have for every health-conscious person!</w:t>
      </w:r>
    </w:p>
    <w:p>
      <w:pPr>
        <w:pStyle w:val="BodyText"/>
        <w:spacing w:before="1"/>
        <w:rPr>
          <w:sz w:val="41"/>
        </w:rPr>
      </w:pPr>
    </w:p>
    <w:p>
      <w:pPr>
        <w:pStyle w:val="Heading1"/>
        <w:spacing w:before="0"/>
      </w:pPr>
      <w:r>
        <w:rPr/>
        <w:t>Alpha-lipoic acid and its</w:t>
      </w:r>
      <w:r>
        <w:rPr>
          <w:spacing w:val="54"/>
        </w:rPr>
        <w:t> </w:t>
      </w:r>
      <w:r>
        <w:rPr/>
        <w:t>important role as an energy converter</w:t>
      </w:r>
    </w:p>
    <w:p>
      <w:pPr>
        <w:pStyle w:val="BodyText"/>
        <w:spacing w:line="276" w:lineRule="auto" w:before="300"/>
        <w:ind w:left="477" w:right="133"/>
        <w:jc w:val="both"/>
      </w:pPr>
      <w:r>
        <w:rPr/>
        <w:t>In</w:t>
      </w:r>
      <w:r>
        <w:rPr>
          <w:spacing w:val="-20"/>
        </w:rPr>
        <w:t> </w:t>
      </w:r>
      <w:r>
        <w:rPr/>
        <w:t>addition</w:t>
      </w:r>
      <w:r>
        <w:rPr>
          <w:spacing w:val="-19"/>
        </w:rPr>
        <w:t> </w:t>
      </w:r>
      <w:r>
        <w:rPr/>
        <w:t>to</w:t>
      </w:r>
      <w:r>
        <w:rPr>
          <w:spacing w:val="-19"/>
        </w:rPr>
        <w:t> </w:t>
      </w:r>
      <w:r>
        <w:rPr/>
        <w:t>its</w:t>
      </w:r>
      <w:r>
        <w:rPr>
          <w:spacing w:val="-20"/>
        </w:rPr>
        <w:t> </w:t>
      </w:r>
      <w:r>
        <w:rPr/>
        <w:t>outstanding</w:t>
      </w:r>
      <w:r>
        <w:rPr>
          <w:spacing w:val="-20"/>
        </w:rPr>
        <w:t> </w:t>
      </w:r>
      <w:r>
        <w:rPr/>
        <w:t>ability</w:t>
      </w:r>
      <w:r>
        <w:rPr>
          <w:spacing w:val="-21"/>
        </w:rPr>
        <w:t> </w:t>
      </w:r>
      <w:r>
        <w:rPr/>
        <w:t>to</w:t>
      </w:r>
      <w:r>
        <w:rPr>
          <w:spacing w:val="-20"/>
        </w:rPr>
        <w:t> </w:t>
      </w:r>
      <w:r>
        <w:rPr/>
        <w:t>fight</w:t>
      </w:r>
      <w:r>
        <w:rPr>
          <w:spacing w:val="-19"/>
        </w:rPr>
        <w:t> </w:t>
      </w:r>
      <w:r>
        <w:rPr/>
        <w:t>free</w:t>
      </w:r>
      <w:r>
        <w:rPr>
          <w:spacing w:val="-19"/>
        </w:rPr>
        <w:t> </w:t>
      </w:r>
      <w:r>
        <w:rPr/>
        <w:t>radicals</w:t>
      </w:r>
      <w:r>
        <w:rPr>
          <w:spacing w:val="-19"/>
        </w:rPr>
        <w:t> </w:t>
      </w:r>
      <w:r>
        <w:rPr/>
        <w:t>and</w:t>
      </w:r>
      <w:r>
        <w:rPr>
          <w:spacing w:val="-20"/>
        </w:rPr>
        <w:t> </w:t>
      </w:r>
      <w:r>
        <w:rPr/>
        <w:t>thus</w:t>
      </w:r>
      <w:r>
        <w:rPr>
          <w:spacing w:val="-19"/>
        </w:rPr>
        <w:t> </w:t>
      </w:r>
      <w:r>
        <w:rPr/>
        <w:t>to</w:t>
      </w:r>
      <w:r>
        <w:rPr>
          <w:spacing w:val="-20"/>
        </w:rPr>
        <w:t> </w:t>
      </w:r>
      <w:r>
        <w:rPr/>
        <w:t>defy</w:t>
      </w:r>
      <w:r>
        <w:rPr>
          <w:spacing w:val="-20"/>
        </w:rPr>
        <w:t> </w:t>
      </w:r>
      <w:r>
        <w:rPr/>
        <w:t>ageing and numerous ‘civilisation diseases’, as mentioned, alpha-lipoic acid has earned a reputation as an energy</w:t>
      </w:r>
      <w:r>
        <w:rPr>
          <w:spacing w:val="-2"/>
        </w:rPr>
        <w:t> </w:t>
      </w:r>
      <w:r>
        <w:rPr/>
        <w:t>converter.</w:t>
      </w:r>
    </w:p>
    <w:p>
      <w:pPr>
        <w:pStyle w:val="BodyText"/>
        <w:spacing w:line="276" w:lineRule="auto" w:before="241"/>
        <w:ind w:left="477" w:right="135"/>
        <w:jc w:val="both"/>
      </w:pPr>
      <w:r>
        <w:rPr/>
        <w:t>This property was discovered as early as 1951, when scientists realised that al- pha-lipoic acid has the ability to convert food into energy in the mitochondria in</w:t>
      </w:r>
      <w:r>
        <w:rPr>
          <w:spacing w:val="-9"/>
        </w:rPr>
        <w:t> </w:t>
      </w:r>
      <w:r>
        <w:rPr/>
        <w:t>our</w:t>
      </w:r>
      <w:r>
        <w:rPr>
          <w:spacing w:val="-11"/>
        </w:rPr>
        <w:t> </w:t>
      </w:r>
      <w:r>
        <w:rPr/>
        <w:t>bodies.</w:t>
      </w:r>
      <w:r>
        <w:rPr>
          <w:spacing w:val="-11"/>
        </w:rPr>
        <w:t> </w:t>
      </w:r>
      <w:r>
        <w:rPr/>
        <w:t>As</w:t>
      </w:r>
      <w:r>
        <w:rPr>
          <w:spacing w:val="-9"/>
        </w:rPr>
        <w:t> </w:t>
      </w:r>
      <w:r>
        <w:rPr/>
        <w:t>a</w:t>
      </w:r>
      <w:r>
        <w:rPr>
          <w:spacing w:val="-12"/>
        </w:rPr>
        <w:t> </w:t>
      </w:r>
      <w:r>
        <w:rPr/>
        <w:t>coenzyme</w:t>
      </w:r>
      <w:r>
        <w:rPr>
          <w:spacing w:val="-11"/>
        </w:rPr>
        <w:t> </w:t>
      </w:r>
      <w:r>
        <w:rPr/>
        <w:t>in</w:t>
      </w:r>
      <w:r>
        <w:rPr>
          <w:spacing w:val="-14"/>
        </w:rPr>
        <w:t> </w:t>
      </w:r>
      <w:r>
        <w:rPr/>
        <w:t>many</w:t>
      </w:r>
      <w:r>
        <w:rPr>
          <w:spacing w:val="-8"/>
        </w:rPr>
        <w:t> </w:t>
      </w:r>
      <w:r>
        <w:rPr/>
        <w:t>energy-transforming</w:t>
      </w:r>
      <w:r>
        <w:rPr>
          <w:spacing w:val="-11"/>
        </w:rPr>
        <w:t> </w:t>
      </w:r>
      <w:r>
        <w:rPr/>
        <w:t>enzyme</w:t>
      </w:r>
      <w:r>
        <w:rPr>
          <w:spacing w:val="-9"/>
        </w:rPr>
        <w:t> </w:t>
      </w:r>
      <w:r>
        <w:rPr/>
        <w:t>complexes, alpha-lipoic acid has the ability to convert sugars and fats absorbed from food into energy, which should be of particular interest to diabetics, slimmers and athletes!</w:t>
      </w:r>
    </w:p>
    <w:p>
      <w:pPr>
        <w:pStyle w:val="BodyText"/>
        <w:spacing w:line="276" w:lineRule="auto" w:before="240"/>
        <w:ind w:left="477" w:right="132"/>
        <w:jc w:val="both"/>
      </w:pPr>
      <w:r>
        <w:rPr/>
        <w:t>These enzyme complexes, of which alpha-lipoic acid is an important compo- nent, include:</w:t>
      </w:r>
    </w:p>
    <w:p>
      <w:pPr>
        <w:pStyle w:val="BodyText"/>
        <w:rPr>
          <w:sz w:val="20"/>
        </w:rPr>
      </w:pPr>
    </w:p>
    <w:p>
      <w:pPr>
        <w:pStyle w:val="BodyText"/>
        <w:rPr>
          <w:sz w:val="20"/>
        </w:rPr>
      </w:pPr>
    </w:p>
    <w:p>
      <w:pPr>
        <w:pStyle w:val="BodyText"/>
        <w:rPr>
          <w:sz w:val="20"/>
        </w:rPr>
      </w:pPr>
    </w:p>
    <w:p>
      <w:pPr>
        <w:pStyle w:val="BodyText"/>
        <w:spacing w:before="2"/>
        <w:rPr>
          <w:sz w:val="24"/>
        </w:rPr>
      </w:pPr>
      <w:r>
        <w:rPr/>
        <w:pict>
          <v:line style="position:absolute;mso-position-horizontal-relative:page;mso-position-vertical-relative:paragraph;z-index:-712;mso-wrap-distance-left:0;mso-wrap-distance-right:0" from="63.863998pt,15.952485pt" to="207.883998pt,15.952485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b/>
          <w:position w:val="5"/>
          <w:sz w:val="13"/>
        </w:rPr>
        <w:t>20 </w:t>
      </w:r>
      <w:r>
        <w:rPr>
          <w:sz w:val="20"/>
        </w:rPr>
        <w:t>Packer, from Sosin and Jacobs 1998</w:t>
      </w:r>
    </w:p>
    <w:p>
      <w:pPr>
        <w:spacing w:after="0"/>
        <w:jc w:val="left"/>
        <w:rPr>
          <w:sz w:val="20"/>
        </w:rPr>
        <w:sectPr>
          <w:pgSz w:w="14270" w:h="16850"/>
          <w:pgMar w:header="0" w:footer="1891" w:top="1600" w:bottom="2080" w:left="800" w:right="1280"/>
        </w:sectPr>
      </w:pPr>
    </w:p>
    <w:p>
      <w:pPr>
        <w:pStyle w:val="BodyText"/>
        <w:spacing w:before="10"/>
        <w:rPr>
          <w:sz w:val="8"/>
        </w:rPr>
      </w:pPr>
    </w:p>
    <w:p>
      <w:pPr>
        <w:pStyle w:val="ListParagraph"/>
        <w:numPr>
          <w:ilvl w:val="1"/>
          <w:numId w:val="8"/>
        </w:numPr>
        <w:tabs>
          <w:tab w:pos="1197" w:val="left" w:leader="none"/>
          <w:tab w:pos="1198" w:val="left" w:leader="none"/>
        </w:tabs>
        <w:spacing w:line="240" w:lineRule="auto" w:before="83" w:after="0"/>
        <w:ind w:left="1197" w:right="0" w:hanging="720"/>
        <w:jc w:val="left"/>
        <w:rPr>
          <w:sz w:val="38"/>
        </w:rPr>
      </w:pPr>
      <w:r>
        <w:rPr>
          <w:sz w:val="38"/>
        </w:rPr>
        <w:t>the pyruvate dehydrogenase</w:t>
      </w:r>
      <w:r>
        <w:rPr>
          <w:spacing w:val="1"/>
          <w:sz w:val="38"/>
        </w:rPr>
        <w:t> </w:t>
      </w:r>
      <w:r>
        <w:rPr>
          <w:sz w:val="38"/>
        </w:rPr>
        <w:t>complex,</w:t>
      </w:r>
    </w:p>
    <w:p>
      <w:pPr>
        <w:pStyle w:val="ListParagraph"/>
        <w:numPr>
          <w:ilvl w:val="1"/>
          <w:numId w:val="8"/>
        </w:numPr>
        <w:tabs>
          <w:tab w:pos="1197" w:val="left" w:leader="none"/>
          <w:tab w:pos="1198" w:val="left" w:leader="none"/>
        </w:tabs>
        <w:spacing w:line="338" w:lineRule="auto" w:before="184" w:after="0"/>
        <w:ind w:left="1619" w:right="5344" w:hanging="1142"/>
        <w:jc w:val="left"/>
        <w:rPr>
          <w:sz w:val="38"/>
        </w:rPr>
      </w:pPr>
      <w:r>
        <w:rPr>
          <w:sz w:val="38"/>
        </w:rPr>
        <w:t>the alpha-ketoglutarate dehydrogenase complex</w:t>
      </w:r>
    </w:p>
    <w:p>
      <w:pPr>
        <w:pStyle w:val="ListParagraph"/>
        <w:numPr>
          <w:ilvl w:val="1"/>
          <w:numId w:val="8"/>
        </w:numPr>
        <w:tabs>
          <w:tab w:pos="1197" w:val="left" w:leader="none"/>
          <w:tab w:pos="1198" w:val="left" w:leader="none"/>
        </w:tabs>
        <w:spacing w:line="240" w:lineRule="auto" w:before="13" w:after="0"/>
        <w:ind w:left="1197" w:right="0" w:hanging="720"/>
        <w:jc w:val="left"/>
        <w:rPr>
          <w:sz w:val="38"/>
        </w:rPr>
      </w:pPr>
      <w:r>
        <w:rPr>
          <w:sz w:val="38"/>
        </w:rPr>
        <w:t>the amino acid dehydrogenase</w:t>
      </w:r>
      <w:r>
        <w:rPr>
          <w:spacing w:val="1"/>
          <w:sz w:val="38"/>
        </w:rPr>
        <w:t> </w:t>
      </w:r>
      <w:r>
        <w:rPr>
          <w:sz w:val="38"/>
        </w:rPr>
        <w:t>complex,</w:t>
      </w:r>
    </w:p>
    <w:p>
      <w:pPr>
        <w:pStyle w:val="ListParagraph"/>
        <w:numPr>
          <w:ilvl w:val="1"/>
          <w:numId w:val="8"/>
        </w:numPr>
        <w:tabs>
          <w:tab w:pos="1197" w:val="left" w:leader="none"/>
          <w:tab w:pos="1198" w:val="left" w:leader="none"/>
        </w:tabs>
        <w:spacing w:line="240" w:lineRule="auto" w:before="186" w:after="0"/>
        <w:ind w:left="1197" w:right="0" w:hanging="720"/>
        <w:jc w:val="left"/>
        <w:rPr>
          <w:sz w:val="38"/>
        </w:rPr>
      </w:pPr>
      <w:r>
        <w:rPr>
          <w:sz w:val="38"/>
        </w:rPr>
        <w:t>the replacement function for coenzyme A</w:t>
      </w:r>
      <w:r>
        <w:rPr>
          <w:spacing w:val="2"/>
          <w:sz w:val="38"/>
        </w:rPr>
        <w:t> </w:t>
      </w:r>
      <w:r>
        <w:rPr>
          <w:sz w:val="38"/>
        </w:rPr>
        <w:t>(CoA)</w:t>
      </w:r>
    </w:p>
    <w:p>
      <w:pPr>
        <w:pStyle w:val="BodyText"/>
        <w:rPr>
          <w:sz w:val="44"/>
        </w:rPr>
      </w:pPr>
    </w:p>
    <w:p>
      <w:pPr>
        <w:pStyle w:val="BodyText"/>
        <w:spacing w:before="5"/>
        <w:rPr>
          <w:sz w:val="46"/>
        </w:rPr>
      </w:pPr>
    </w:p>
    <w:p>
      <w:pPr>
        <w:pStyle w:val="Heading1"/>
        <w:spacing w:before="0"/>
      </w:pPr>
      <w:r>
        <w:rPr/>
        <w:t>Alpha-lipoic acid for the detoxification of heavy metals</w:t>
      </w:r>
    </w:p>
    <w:p>
      <w:pPr>
        <w:pStyle w:val="BodyText"/>
        <w:spacing w:line="276" w:lineRule="auto" w:before="299"/>
        <w:ind w:left="477" w:right="134"/>
        <w:jc w:val="both"/>
      </w:pPr>
      <w:r>
        <w:rPr/>
        <w:t>The</w:t>
      </w:r>
      <w:r>
        <w:rPr>
          <w:spacing w:val="-7"/>
        </w:rPr>
        <w:t> </w:t>
      </w:r>
      <w:r>
        <w:rPr/>
        <w:t>other</w:t>
      </w:r>
      <w:r>
        <w:rPr>
          <w:spacing w:val="-9"/>
        </w:rPr>
        <w:t> </w:t>
      </w:r>
      <w:r>
        <w:rPr/>
        <w:t>talents</w:t>
      </w:r>
      <w:r>
        <w:rPr>
          <w:spacing w:val="-6"/>
        </w:rPr>
        <w:t> </w:t>
      </w:r>
      <w:r>
        <w:rPr/>
        <w:t>of</w:t>
      </w:r>
      <w:r>
        <w:rPr>
          <w:spacing w:val="-10"/>
        </w:rPr>
        <w:t> </w:t>
      </w:r>
      <w:r>
        <w:rPr/>
        <w:t>alpha-lipoic</w:t>
      </w:r>
      <w:r>
        <w:rPr>
          <w:spacing w:val="-7"/>
        </w:rPr>
        <w:t> </w:t>
      </w:r>
      <w:r>
        <w:rPr/>
        <w:t>acid</w:t>
      </w:r>
      <w:r>
        <w:rPr>
          <w:spacing w:val="-9"/>
        </w:rPr>
        <w:t> </w:t>
      </w:r>
      <w:r>
        <w:rPr/>
        <w:t>include</w:t>
      </w:r>
      <w:r>
        <w:rPr>
          <w:spacing w:val="-7"/>
        </w:rPr>
        <w:t> </w:t>
      </w:r>
      <w:r>
        <w:rPr/>
        <w:t>its</w:t>
      </w:r>
      <w:r>
        <w:rPr>
          <w:spacing w:val="-8"/>
        </w:rPr>
        <w:t> </w:t>
      </w:r>
      <w:r>
        <w:rPr/>
        <w:t>function</w:t>
      </w:r>
      <w:r>
        <w:rPr>
          <w:spacing w:val="-6"/>
        </w:rPr>
        <w:t> </w:t>
      </w:r>
      <w:r>
        <w:rPr/>
        <w:t>as</w:t>
      </w:r>
      <w:r>
        <w:rPr>
          <w:spacing w:val="-8"/>
        </w:rPr>
        <w:t> </w:t>
      </w:r>
      <w:r>
        <w:rPr/>
        <w:t>a</w:t>
      </w:r>
      <w:r>
        <w:rPr>
          <w:spacing w:val="-8"/>
        </w:rPr>
        <w:t> </w:t>
      </w:r>
      <w:r>
        <w:rPr/>
        <w:t>detoxifier,</w:t>
      </w:r>
      <w:r>
        <w:rPr>
          <w:spacing w:val="-7"/>
        </w:rPr>
        <w:t> </w:t>
      </w:r>
      <w:r>
        <w:rPr/>
        <w:t>which, in view of the pollution we encounter through our environment, should not</w:t>
      </w:r>
      <w:r>
        <w:rPr>
          <w:spacing w:val="-59"/>
        </w:rPr>
        <w:t> </w:t>
      </w:r>
      <w:r>
        <w:rPr/>
        <w:t>be ignored</w:t>
      </w:r>
      <w:r>
        <w:rPr>
          <w:spacing w:val="-1"/>
        </w:rPr>
        <w:t> </w:t>
      </w:r>
      <w:r>
        <w:rPr/>
        <w:t>here!</w:t>
      </w:r>
    </w:p>
    <w:p>
      <w:pPr>
        <w:pStyle w:val="BodyText"/>
        <w:spacing w:line="276" w:lineRule="auto" w:before="239"/>
        <w:ind w:left="477" w:right="133"/>
        <w:jc w:val="both"/>
        <w:rPr>
          <w:sz w:val="25"/>
        </w:rPr>
      </w:pPr>
      <w:r>
        <w:rPr/>
        <w:t>For example, alpha-lipoic acid has been used therapeutically for detoxification purposes</w:t>
      </w:r>
      <w:r>
        <w:rPr>
          <w:spacing w:val="-12"/>
        </w:rPr>
        <w:t> </w:t>
      </w:r>
      <w:r>
        <w:rPr/>
        <w:t>for</w:t>
      </w:r>
      <w:r>
        <w:rPr>
          <w:spacing w:val="-11"/>
        </w:rPr>
        <w:t> </w:t>
      </w:r>
      <w:r>
        <w:rPr/>
        <w:t>half</w:t>
      </w:r>
      <w:r>
        <w:rPr>
          <w:spacing w:val="-11"/>
        </w:rPr>
        <w:t> </w:t>
      </w:r>
      <w:r>
        <w:rPr/>
        <w:t>a</w:t>
      </w:r>
      <w:r>
        <w:rPr>
          <w:spacing w:val="-10"/>
        </w:rPr>
        <w:t> </w:t>
      </w:r>
      <w:r>
        <w:rPr/>
        <w:t>century.</w:t>
      </w:r>
      <w:r>
        <w:rPr>
          <w:spacing w:val="-12"/>
        </w:rPr>
        <w:t> </w:t>
      </w:r>
      <w:r>
        <w:rPr/>
        <w:t>Studies</w:t>
      </w:r>
      <w:r>
        <w:rPr>
          <w:spacing w:val="-11"/>
        </w:rPr>
        <w:t> </w:t>
      </w:r>
      <w:r>
        <w:rPr/>
        <w:t>have</w:t>
      </w:r>
      <w:r>
        <w:rPr>
          <w:spacing w:val="-11"/>
        </w:rPr>
        <w:t> </w:t>
      </w:r>
      <w:r>
        <w:rPr/>
        <w:t>shown</w:t>
      </w:r>
      <w:r>
        <w:rPr>
          <w:spacing w:val="-10"/>
        </w:rPr>
        <w:t> </w:t>
      </w:r>
      <w:r>
        <w:rPr/>
        <w:t>that</w:t>
      </w:r>
      <w:r>
        <w:rPr>
          <w:spacing w:val="-11"/>
        </w:rPr>
        <w:t> </w:t>
      </w:r>
      <w:r>
        <w:rPr/>
        <w:t>alpha-lipoic</w:t>
      </w:r>
      <w:r>
        <w:rPr>
          <w:spacing w:val="-10"/>
        </w:rPr>
        <w:t> </w:t>
      </w:r>
      <w:r>
        <w:rPr/>
        <w:t>acid</w:t>
      </w:r>
      <w:r>
        <w:rPr>
          <w:spacing w:val="-11"/>
        </w:rPr>
        <w:t> </w:t>
      </w:r>
      <w:r>
        <w:rPr/>
        <w:t>improves symptoms of severe metal poisoning, including increased renal excretion of heavy metals and concomitant improvement in liver</w:t>
      </w:r>
      <w:r>
        <w:rPr>
          <w:spacing w:val="-6"/>
        </w:rPr>
        <w:t> </w:t>
      </w:r>
      <w:r>
        <w:rPr/>
        <w:t>function.</w:t>
      </w:r>
      <w:r>
        <w:rPr>
          <w:position w:val="9"/>
          <w:sz w:val="25"/>
        </w:rPr>
        <w:t>21</w:t>
      </w:r>
    </w:p>
    <w:p>
      <w:pPr>
        <w:pStyle w:val="BodyText"/>
        <w:spacing w:before="1"/>
        <w:rPr>
          <w:sz w:val="41"/>
        </w:rPr>
      </w:pPr>
    </w:p>
    <w:p>
      <w:pPr>
        <w:pStyle w:val="Heading1"/>
        <w:spacing w:before="0"/>
        <w:jc w:val="both"/>
      </w:pPr>
      <w:r>
        <w:rPr/>
        <w:t>Amalgam detoxification by alpha-lipoic</w:t>
      </w:r>
      <w:r>
        <w:rPr>
          <w:spacing w:val="-52"/>
        </w:rPr>
        <w:t> </w:t>
      </w:r>
      <w:r>
        <w:rPr/>
        <w:t>acid</w:t>
      </w:r>
    </w:p>
    <w:p>
      <w:pPr>
        <w:pStyle w:val="BodyText"/>
        <w:rPr>
          <w:b/>
          <w:i/>
          <w:sz w:val="20"/>
        </w:rPr>
      </w:pPr>
    </w:p>
    <w:p>
      <w:pPr>
        <w:pStyle w:val="BodyText"/>
        <w:rPr>
          <w:b/>
          <w:i/>
          <w:sz w:val="20"/>
        </w:rPr>
      </w:pPr>
    </w:p>
    <w:p>
      <w:pPr>
        <w:pStyle w:val="BodyText"/>
        <w:rPr>
          <w:b/>
          <w:i/>
          <w:sz w:val="20"/>
        </w:rPr>
      </w:pPr>
    </w:p>
    <w:p>
      <w:pPr>
        <w:pStyle w:val="BodyText"/>
        <w:spacing w:before="4"/>
        <w:rPr>
          <w:b/>
          <w:i/>
          <w:sz w:val="17"/>
        </w:rPr>
      </w:pPr>
      <w:r>
        <w:rPr/>
        <w:pict>
          <v:line style="position:absolute;mso-position-horizontal-relative:page;mso-position-vertical-relative:paragraph;z-index:-688;mso-wrap-distance-left:0;mso-wrap-distance-right:0" from="63.863998pt,12.132197pt" to="207.883998pt,12.132197pt" stroked="true" strokeweight=".71997pt" strokecolor="#000000">
            <v:stroke dashstyle="solid"/>
            <w10:wrap type="topAndBottom"/>
          </v:line>
        </w:pict>
      </w:r>
    </w:p>
    <w:p>
      <w:pPr>
        <w:pStyle w:val="BodyText"/>
        <w:spacing w:before="7"/>
        <w:rPr>
          <w:b/>
          <w:i/>
          <w:sz w:val="18"/>
        </w:rPr>
      </w:pPr>
    </w:p>
    <w:p>
      <w:pPr>
        <w:spacing w:before="100"/>
        <w:ind w:left="477" w:right="0" w:firstLine="0"/>
        <w:jc w:val="left"/>
        <w:rPr>
          <w:sz w:val="20"/>
        </w:rPr>
      </w:pPr>
      <w:r>
        <w:rPr>
          <w:b/>
          <w:i/>
          <w:position w:val="4"/>
          <w:sz w:val="10"/>
        </w:rPr>
        <w:t>21 </w:t>
      </w:r>
      <w:r>
        <w:rPr>
          <w:sz w:val="20"/>
        </w:rPr>
        <w:t>Burgerstein 2000</w:t>
      </w:r>
    </w:p>
    <w:p>
      <w:pPr>
        <w:spacing w:after="0"/>
        <w:jc w:val="left"/>
        <w:rPr>
          <w:sz w:val="20"/>
        </w:rPr>
        <w:sectPr>
          <w:pgSz w:w="14270" w:h="16850"/>
          <w:pgMar w:header="0" w:footer="1891" w:top="1600" w:bottom="2080" w:left="800" w:right="1280"/>
        </w:sectPr>
      </w:pPr>
    </w:p>
    <w:p>
      <w:pPr>
        <w:pStyle w:val="BodyText"/>
        <w:spacing w:line="276" w:lineRule="auto" w:before="181"/>
        <w:ind w:left="477" w:right="133"/>
        <w:jc w:val="both"/>
      </w:pPr>
      <w:r>
        <w:rPr/>
        <w:t>The widespread use of amalgam as a dental filling for millions of people in the last</w:t>
      </w:r>
      <w:r>
        <w:rPr>
          <w:spacing w:val="-7"/>
        </w:rPr>
        <w:t> </w:t>
      </w:r>
      <w:r>
        <w:rPr/>
        <w:t>century</w:t>
      </w:r>
      <w:r>
        <w:rPr>
          <w:spacing w:val="-7"/>
        </w:rPr>
        <w:t> </w:t>
      </w:r>
      <w:r>
        <w:rPr/>
        <w:t>is</w:t>
      </w:r>
      <w:r>
        <w:rPr>
          <w:spacing w:val="-7"/>
        </w:rPr>
        <w:t> </w:t>
      </w:r>
      <w:r>
        <w:rPr/>
        <w:t>likely</w:t>
      </w:r>
      <w:r>
        <w:rPr>
          <w:spacing w:val="-7"/>
        </w:rPr>
        <w:t> </w:t>
      </w:r>
      <w:r>
        <w:rPr/>
        <w:t>to</w:t>
      </w:r>
      <w:r>
        <w:rPr>
          <w:spacing w:val="-6"/>
        </w:rPr>
        <w:t> </w:t>
      </w:r>
      <w:r>
        <w:rPr/>
        <w:t>result</w:t>
      </w:r>
      <w:r>
        <w:rPr>
          <w:spacing w:val="-8"/>
        </w:rPr>
        <w:t> </w:t>
      </w:r>
      <w:r>
        <w:rPr/>
        <w:t>in</w:t>
      </w:r>
      <w:r>
        <w:rPr>
          <w:spacing w:val="-7"/>
        </w:rPr>
        <w:t> </w:t>
      </w:r>
      <w:r>
        <w:rPr/>
        <w:t>large</w:t>
      </w:r>
      <w:r>
        <w:rPr>
          <w:spacing w:val="-7"/>
        </w:rPr>
        <w:t> </w:t>
      </w:r>
      <w:r>
        <w:rPr/>
        <w:t>numbers</w:t>
      </w:r>
      <w:r>
        <w:rPr>
          <w:spacing w:val="-9"/>
        </w:rPr>
        <w:t> </w:t>
      </w:r>
      <w:r>
        <w:rPr/>
        <w:t>of</w:t>
      </w:r>
      <w:r>
        <w:rPr>
          <w:spacing w:val="-9"/>
        </w:rPr>
        <w:t> </w:t>
      </w:r>
      <w:r>
        <w:rPr/>
        <w:t>hidden</w:t>
      </w:r>
      <w:r>
        <w:rPr>
          <w:spacing w:val="-6"/>
        </w:rPr>
        <w:t> </w:t>
      </w:r>
      <w:r>
        <w:rPr/>
        <w:t>victims</w:t>
      </w:r>
      <w:r>
        <w:rPr>
          <w:spacing w:val="-6"/>
        </w:rPr>
        <w:t> </w:t>
      </w:r>
      <w:r>
        <w:rPr/>
        <w:t>for</w:t>
      </w:r>
      <w:r>
        <w:rPr>
          <w:spacing w:val="-5"/>
        </w:rPr>
        <w:t> </w:t>
      </w:r>
      <w:r>
        <w:rPr/>
        <w:t>many</w:t>
      </w:r>
      <w:r>
        <w:rPr>
          <w:spacing w:val="-6"/>
        </w:rPr>
        <w:t> </w:t>
      </w:r>
      <w:r>
        <w:rPr/>
        <w:t>years to come. The long-term effects of this heavy metal, stored involuntarily in our body and absorbed over years or decades directly in the body through the oral mucosa are, to this day, not fully understood, but are devastating</w:t>
      </w:r>
      <w:r>
        <w:rPr>
          <w:spacing w:val="-25"/>
        </w:rPr>
        <w:t> </w:t>
      </w:r>
      <w:r>
        <w:rPr/>
        <w:t>nonetheless!</w:t>
      </w:r>
    </w:p>
    <w:p>
      <w:pPr>
        <w:pStyle w:val="Heading1"/>
        <w:spacing w:before="223"/>
        <w:jc w:val="both"/>
        <w:rPr>
          <w:sz w:val="26"/>
        </w:rPr>
      </w:pPr>
      <w:r>
        <w:rPr/>
        <w:t>The</w:t>
      </w:r>
      <w:r>
        <w:rPr>
          <w:spacing w:val="-46"/>
        </w:rPr>
        <w:t> </w:t>
      </w:r>
      <w:r>
        <w:rPr/>
        <w:t>following</w:t>
      </w:r>
      <w:r>
        <w:rPr>
          <w:spacing w:val="-45"/>
        </w:rPr>
        <w:t> </w:t>
      </w:r>
      <w:r>
        <w:rPr/>
        <w:t>diseases</w:t>
      </w:r>
      <w:r>
        <w:rPr>
          <w:spacing w:val="-44"/>
        </w:rPr>
        <w:t> </w:t>
      </w:r>
      <w:r>
        <w:rPr/>
        <w:t>are</w:t>
      </w:r>
      <w:r>
        <w:rPr>
          <w:spacing w:val="-45"/>
        </w:rPr>
        <w:t> </w:t>
      </w:r>
      <w:r>
        <w:rPr/>
        <w:t>caused</w:t>
      </w:r>
      <w:r>
        <w:rPr>
          <w:spacing w:val="-46"/>
        </w:rPr>
        <w:t> </w:t>
      </w:r>
      <w:r>
        <w:rPr/>
        <w:t>by</w:t>
      </w:r>
      <w:r>
        <w:rPr>
          <w:spacing w:val="-46"/>
        </w:rPr>
        <w:t> </w:t>
      </w:r>
      <w:r>
        <w:rPr/>
        <w:t>poisoning</w:t>
      </w:r>
      <w:r>
        <w:rPr>
          <w:spacing w:val="-44"/>
        </w:rPr>
        <w:t> </w:t>
      </w:r>
      <w:r>
        <w:rPr/>
        <w:t>by</w:t>
      </w:r>
      <w:r>
        <w:rPr>
          <w:spacing w:val="-46"/>
        </w:rPr>
        <w:t> </w:t>
      </w:r>
      <w:r>
        <w:rPr/>
        <w:t>amalgam</w:t>
      </w:r>
      <w:r>
        <w:rPr>
          <w:spacing w:val="-45"/>
        </w:rPr>
        <w:t> </w:t>
      </w:r>
      <w:r>
        <w:rPr/>
        <w:t>fillings:</w:t>
      </w:r>
      <w:r>
        <w:rPr>
          <w:position w:val="9"/>
          <w:sz w:val="26"/>
        </w:rPr>
        <w:t>22</w:t>
      </w:r>
    </w:p>
    <w:p>
      <w:pPr>
        <w:pStyle w:val="ListParagraph"/>
        <w:numPr>
          <w:ilvl w:val="1"/>
          <w:numId w:val="8"/>
        </w:numPr>
        <w:tabs>
          <w:tab w:pos="1198" w:val="left" w:leader="none"/>
        </w:tabs>
        <w:spacing w:line="240" w:lineRule="auto" w:before="181" w:after="0"/>
        <w:ind w:left="1197" w:right="0" w:hanging="720"/>
        <w:jc w:val="both"/>
        <w:rPr>
          <w:sz w:val="38"/>
        </w:rPr>
      </w:pPr>
      <w:r>
        <w:rPr>
          <w:sz w:val="38"/>
        </w:rPr>
        <w:t>Allergies</w:t>
      </w:r>
    </w:p>
    <w:p>
      <w:pPr>
        <w:pStyle w:val="ListParagraph"/>
        <w:numPr>
          <w:ilvl w:val="1"/>
          <w:numId w:val="8"/>
        </w:numPr>
        <w:tabs>
          <w:tab w:pos="1198" w:val="left" w:leader="none"/>
        </w:tabs>
        <w:spacing w:line="240" w:lineRule="auto" w:before="184" w:after="0"/>
        <w:ind w:left="1197" w:right="0" w:hanging="720"/>
        <w:jc w:val="both"/>
        <w:rPr>
          <w:sz w:val="38"/>
        </w:rPr>
      </w:pPr>
      <w:r>
        <w:rPr>
          <w:sz w:val="38"/>
        </w:rPr>
        <w:t>Alzheimer’s</w:t>
      </w:r>
    </w:p>
    <w:p>
      <w:pPr>
        <w:pStyle w:val="ListParagraph"/>
        <w:numPr>
          <w:ilvl w:val="1"/>
          <w:numId w:val="8"/>
        </w:numPr>
        <w:tabs>
          <w:tab w:pos="1198" w:val="left" w:leader="none"/>
        </w:tabs>
        <w:spacing w:line="240" w:lineRule="auto" w:before="186" w:after="0"/>
        <w:ind w:left="1197" w:right="0" w:hanging="720"/>
        <w:jc w:val="both"/>
        <w:rPr>
          <w:sz w:val="38"/>
        </w:rPr>
      </w:pPr>
      <w:r>
        <w:rPr>
          <w:sz w:val="38"/>
        </w:rPr>
        <w:t>Eye, nose and ear</w:t>
      </w:r>
      <w:r>
        <w:rPr>
          <w:spacing w:val="2"/>
          <w:sz w:val="38"/>
        </w:rPr>
        <w:t> </w:t>
      </w:r>
      <w:r>
        <w:rPr>
          <w:sz w:val="38"/>
        </w:rPr>
        <w:t>conditions</w:t>
      </w:r>
    </w:p>
    <w:p>
      <w:pPr>
        <w:pStyle w:val="ListParagraph"/>
        <w:numPr>
          <w:ilvl w:val="1"/>
          <w:numId w:val="8"/>
        </w:numPr>
        <w:tabs>
          <w:tab w:pos="1198" w:val="left" w:leader="none"/>
        </w:tabs>
        <w:spacing w:line="240" w:lineRule="auto" w:before="183" w:after="0"/>
        <w:ind w:left="1197" w:right="0" w:hanging="720"/>
        <w:jc w:val="both"/>
        <w:rPr>
          <w:sz w:val="38"/>
        </w:rPr>
      </w:pPr>
      <w:r>
        <w:rPr>
          <w:sz w:val="38"/>
        </w:rPr>
        <w:t>Chronic</w:t>
      </w:r>
      <w:r>
        <w:rPr>
          <w:spacing w:val="-2"/>
          <w:sz w:val="38"/>
        </w:rPr>
        <w:t> </w:t>
      </w:r>
      <w:r>
        <w:rPr>
          <w:sz w:val="38"/>
        </w:rPr>
        <w:t>pain</w:t>
      </w:r>
    </w:p>
    <w:p>
      <w:pPr>
        <w:pStyle w:val="ListParagraph"/>
        <w:numPr>
          <w:ilvl w:val="1"/>
          <w:numId w:val="8"/>
        </w:numPr>
        <w:tabs>
          <w:tab w:pos="1198" w:val="left" w:leader="none"/>
        </w:tabs>
        <w:spacing w:line="240" w:lineRule="auto" w:before="184" w:after="0"/>
        <w:ind w:left="1197" w:right="0" w:hanging="720"/>
        <w:jc w:val="both"/>
        <w:rPr>
          <w:sz w:val="38"/>
        </w:rPr>
      </w:pPr>
      <w:r>
        <w:rPr>
          <w:sz w:val="38"/>
        </w:rPr>
        <w:t>Chronic</w:t>
      </w:r>
      <w:r>
        <w:rPr>
          <w:spacing w:val="-2"/>
          <w:sz w:val="38"/>
        </w:rPr>
        <w:t> </w:t>
      </w:r>
      <w:r>
        <w:rPr>
          <w:sz w:val="38"/>
        </w:rPr>
        <w:t>fatigue</w:t>
      </w:r>
    </w:p>
    <w:p>
      <w:pPr>
        <w:pStyle w:val="ListParagraph"/>
        <w:numPr>
          <w:ilvl w:val="1"/>
          <w:numId w:val="8"/>
        </w:numPr>
        <w:tabs>
          <w:tab w:pos="1198" w:val="left" w:leader="none"/>
        </w:tabs>
        <w:spacing w:line="240" w:lineRule="auto" w:before="184" w:after="0"/>
        <w:ind w:left="1197" w:right="0" w:hanging="720"/>
        <w:jc w:val="both"/>
        <w:rPr>
          <w:sz w:val="38"/>
        </w:rPr>
      </w:pPr>
      <w:r>
        <w:rPr>
          <w:sz w:val="38"/>
        </w:rPr>
        <w:t>Fibromyalgia</w:t>
      </w:r>
    </w:p>
    <w:p>
      <w:pPr>
        <w:pStyle w:val="ListParagraph"/>
        <w:numPr>
          <w:ilvl w:val="1"/>
          <w:numId w:val="8"/>
        </w:numPr>
        <w:tabs>
          <w:tab w:pos="1198" w:val="left" w:leader="none"/>
        </w:tabs>
        <w:spacing w:line="240" w:lineRule="auto" w:before="184" w:after="0"/>
        <w:ind w:left="1197" w:right="0" w:hanging="720"/>
        <w:jc w:val="both"/>
        <w:rPr>
          <w:sz w:val="38"/>
        </w:rPr>
      </w:pPr>
      <w:r>
        <w:rPr>
          <w:sz w:val="38"/>
        </w:rPr>
        <w:t>Gynaecological</w:t>
      </w:r>
      <w:r>
        <w:rPr>
          <w:spacing w:val="-1"/>
          <w:sz w:val="38"/>
        </w:rPr>
        <w:t> </w:t>
      </w:r>
      <w:r>
        <w:rPr>
          <w:sz w:val="38"/>
        </w:rPr>
        <w:t>disorders</w:t>
      </w:r>
    </w:p>
    <w:p>
      <w:pPr>
        <w:pStyle w:val="ListParagraph"/>
        <w:numPr>
          <w:ilvl w:val="1"/>
          <w:numId w:val="8"/>
        </w:numPr>
        <w:tabs>
          <w:tab w:pos="1198" w:val="left" w:leader="none"/>
        </w:tabs>
        <w:spacing w:line="240" w:lineRule="auto" w:before="186" w:after="0"/>
        <w:ind w:left="1197" w:right="0" w:hanging="720"/>
        <w:jc w:val="both"/>
        <w:rPr>
          <w:sz w:val="38"/>
        </w:rPr>
      </w:pPr>
      <w:r>
        <w:rPr>
          <w:sz w:val="38"/>
        </w:rPr>
        <w:t>Cardiovascular</w:t>
      </w:r>
      <w:r>
        <w:rPr>
          <w:spacing w:val="1"/>
          <w:sz w:val="38"/>
        </w:rPr>
        <w:t> </w:t>
      </w:r>
      <w:r>
        <w:rPr>
          <w:sz w:val="38"/>
        </w:rPr>
        <w:t>dysfunction</w:t>
      </w:r>
    </w:p>
    <w:p>
      <w:pPr>
        <w:pStyle w:val="ListParagraph"/>
        <w:numPr>
          <w:ilvl w:val="1"/>
          <w:numId w:val="8"/>
        </w:numPr>
        <w:tabs>
          <w:tab w:pos="1198" w:val="left" w:leader="none"/>
        </w:tabs>
        <w:spacing w:line="240" w:lineRule="auto" w:before="183" w:after="0"/>
        <w:ind w:left="1197" w:right="0" w:hanging="720"/>
        <w:jc w:val="both"/>
        <w:rPr>
          <w:sz w:val="38"/>
        </w:rPr>
      </w:pPr>
      <w:r>
        <w:rPr>
          <w:sz w:val="38"/>
        </w:rPr>
        <w:t>Headaches</w:t>
      </w:r>
    </w:p>
    <w:p>
      <w:pPr>
        <w:pStyle w:val="ListParagraph"/>
        <w:numPr>
          <w:ilvl w:val="1"/>
          <w:numId w:val="8"/>
        </w:numPr>
        <w:tabs>
          <w:tab w:pos="1198" w:val="left" w:leader="none"/>
        </w:tabs>
        <w:spacing w:line="240" w:lineRule="auto" w:before="184" w:after="0"/>
        <w:ind w:left="1197" w:right="0" w:hanging="720"/>
        <w:jc w:val="both"/>
        <w:rPr>
          <w:sz w:val="38"/>
        </w:rPr>
      </w:pPr>
      <w:r>
        <w:rPr>
          <w:sz w:val="38"/>
        </w:rPr>
        <w:t>Lateral</w:t>
      </w:r>
      <w:r>
        <w:rPr>
          <w:spacing w:val="-2"/>
          <w:sz w:val="38"/>
        </w:rPr>
        <w:t> </w:t>
      </w:r>
      <w:r>
        <w:rPr>
          <w:sz w:val="38"/>
        </w:rPr>
        <w:t>sclerosis</w:t>
      </w:r>
    </w:p>
    <w:p>
      <w:pPr>
        <w:pStyle w:val="BodyText"/>
        <w:rPr>
          <w:sz w:val="20"/>
        </w:rPr>
      </w:pPr>
    </w:p>
    <w:p>
      <w:pPr>
        <w:pStyle w:val="BodyText"/>
        <w:rPr>
          <w:sz w:val="20"/>
        </w:rPr>
      </w:pPr>
    </w:p>
    <w:p>
      <w:pPr>
        <w:pStyle w:val="BodyText"/>
        <w:rPr>
          <w:sz w:val="22"/>
        </w:rPr>
      </w:pPr>
      <w:r>
        <w:rPr/>
        <w:pict>
          <v:line style="position:absolute;mso-position-horizontal-relative:page;mso-position-vertical-relative:paragraph;z-index:-664;mso-wrap-distance-left:0;mso-wrap-distance-right:0" from="63.863998pt,14.74607pt" to="207.883998pt,14.74607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b/>
          <w:i/>
          <w:position w:val="4"/>
          <w:sz w:val="10"/>
        </w:rPr>
        <w:t>22</w:t>
      </w:r>
      <w:hyperlink r:id="rId18">
        <w:r>
          <w:rPr>
            <w:sz w:val="20"/>
          </w:rPr>
          <w:t>www.geschichteinchronologie.ch/med/Mutter_amalgam-zivilisationskrankheiten.htm</w:t>
        </w:r>
      </w:hyperlink>
    </w:p>
    <w:p>
      <w:pPr>
        <w:spacing w:after="0"/>
        <w:jc w:val="left"/>
        <w:rPr>
          <w:sz w:val="20"/>
        </w:rPr>
        <w:sectPr>
          <w:pgSz w:w="14270" w:h="16850"/>
          <w:pgMar w:header="0" w:footer="1891" w:top="1600" w:bottom="2080" w:left="800" w:right="1280"/>
        </w:sectPr>
      </w:pPr>
    </w:p>
    <w:p>
      <w:pPr>
        <w:pStyle w:val="BodyText"/>
        <w:spacing w:before="10"/>
        <w:rPr>
          <w:sz w:val="8"/>
        </w:rPr>
      </w:pPr>
    </w:p>
    <w:p>
      <w:pPr>
        <w:pStyle w:val="ListParagraph"/>
        <w:numPr>
          <w:ilvl w:val="1"/>
          <w:numId w:val="8"/>
        </w:numPr>
        <w:tabs>
          <w:tab w:pos="1197" w:val="left" w:leader="none"/>
          <w:tab w:pos="1198" w:val="left" w:leader="none"/>
        </w:tabs>
        <w:spacing w:line="240" w:lineRule="auto" w:before="83" w:after="0"/>
        <w:ind w:left="1197" w:right="0" w:hanging="720"/>
        <w:jc w:val="left"/>
        <w:rPr>
          <w:sz w:val="38"/>
        </w:rPr>
      </w:pPr>
      <w:r>
        <w:rPr>
          <w:sz w:val="38"/>
        </w:rPr>
        <w:t>Migraines</w:t>
      </w:r>
    </w:p>
    <w:p>
      <w:pPr>
        <w:pStyle w:val="ListParagraph"/>
        <w:numPr>
          <w:ilvl w:val="1"/>
          <w:numId w:val="8"/>
        </w:numPr>
        <w:tabs>
          <w:tab w:pos="1197" w:val="left" w:leader="none"/>
          <w:tab w:pos="1198" w:val="left" w:leader="none"/>
        </w:tabs>
        <w:spacing w:line="240" w:lineRule="auto" w:before="184" w:after="0"/>
        <w:ind w:left="1197" w:right="0" w:hanging="720"/>
        <w:jc w:val="left"/>
        <w:rPr>
          <w:sz w:val="38"/>
        </w:rPr>
      </w:pPr>
      <w:r>
        <w:rPr>
          <w:sz w:val="38"/>
        </w:rPr>
        <w:t>Multiple chemical</w:t>
      </w:r>
      <w:r>
        <w:rPr>
          <w:spacing w:val="-1"/>
          <w:sz w:val="38"/>
        </w:rPr>
        <w:t> </w:t>
      </w:r>
      <w:r>
        <w:rPr>
          <w:sz w:val="38"/>
        </w:rPr>
        <w:t>sensitivity</w:t>
      </w:r>
    </w:p>
    <w:p>
      <w:pPr>
        <w:pStyle w:val="ListParagraph"/>
        <w:numPr>
          <w:ilvl w:val="1"/>
          <w:numId w:val="8"/>
        </w:numPr>
        <w:tabs>
          <w:tab w:pos="1197" w:val="left" w:leader="none"/>
          <w:tab w:pos="1198" w:val="left" w:leader="none"/>
        </w:tabs>
        <w:spacing w:line="240" w:lineRule="auto" w:before="186" w:after="0"/>
        <w:ind w:left="1197" w:right="0" w:hanging="720"/>
        <w:jc w:val="left"/>
        <w:rPr>
          <w:sz w:val="38"/>
        </w:rPr>
      </w:pPr>
      <w:r>
        <w:rPr>
          <w:sz w:val="38"/>
        </w:rPr>
        <w:t>Multiple sclerosis</w:t>
      </w:r>
    </w:p>
    <w:p>
      <w:pPr>
        <w:pStyle w:val="ListParagraph"/>
        <w:numPr>
          <w:ilvl w:val="1"/>
          <w:numId w:val="8"/>
        </w:numPr>
        <w:tabs>
          <w:tab w:pos="1197" w:val="left" w:leader="none"/>
          <w:tab w:pos="1198" w:val="left" w:leader="none"/>
        </w:tabs>
        <w:spacing w:line="240" w:lineRule="auto" w:before="183" w:after="0"/>
        <w:ind w:left="1197" w:right="0" w:hanging="720"/>
        <w:jc w:val="left"/>
        <w:rPr>
          <w:sz w:val="38"/>
        </w:rPr>
      </w:pPr>
      <w:r>
        <w:rPr>
          <w:sz w:val="38"/>
        </w:rPr>
        <w:t>Neuropathy</w:t>
      </w:r>
    </w:p>
    <w:p>
      <w:pPr>
        <w:pStyle w:val="ListParagraph"/>
        <w:numPr>
          <w:ilvl w:val="1"/>
          <w:numId w:val="8"/>
        </w:numPr>
        <w:tabs>
          <w:tab w:pos="1197" w:val="left" w:leader="none"/>
          <w:tab w:pos="1198" w:val="left" w:leader="none"/>
        </w:tabs>
        <w:spacing w:line="240" w:lineRule="auto" w:before="184" w:after="0"/>
        <w:ind w:left="1197" w:right="0" w:hanging="720"/>
        <w:jc w:val="left"/>
        <w:rPr>
          <w:sz w:val="38"/>
        </w:rPr>
      </w:pPr>
      <w:r>
        <w:rPr>
          <w:sz w:val="38"/>
        </w:rPr>
        <w:t>Kidney dysfunction</w:t>
      </w:r>
    </w:p>
    <w:p>
      <w:pPr>
        <w:pStyle w:val="ListParagraph"/>
        <w:numPr>
          <w:ilvl w:val="1"/>
          <w:numId w:val="8"/>
        </w:numPr>
        <w:tabs>
          <w:tab w:pos="1197" w:val="left" w:leader="none"/>
          <w:tab w:pos="1198" w:val="left" w:leader="none"/>
        </w:tabs>
        <w:spacing w:line="240" w:lineRule="auto" w:before="184" w:after="0"/>
        <w:ind w:left="1197" w:right="0" w:hanging="720"/>
        <w:jc w:val="left"/>
        <w:rPr>
          <w:sz w:val="38"/>
        </w:rPr>
      </w:pPr>
      <w:r>
        <w:rPr>
          <w:sz w:val="38"/>
        </w:rPr>
        <w:t>Parkinson’s</w:t>
      </w:r>
    </w:p>
    <w:p>
      <w:pPr>
        <w:pStyle w:val="ListParagraph"/>
        <w:numPr>
          <w:ilvl w:val="1"/>
          <w:numId w:val="8"/>
        </w:numPr>
        <w:tabs>
          <w:tab w:pos="1197" w:val="left" w:leader="none"/>
          <w:tab w:pos="1198" w:val="left" w:leader="none"/>
        </w:tabs>
        <w:spacing w:line="240" w:lineRule="auto" w:before="184" w:after="0"/>
        <w:ind w:left="1197" w:right="0" w:hanging="720"/>
        <w:jc w:val="left"/>
        <w:rPr>
          <w:sz w:val="38"/>
        </w:rPr>
      </w:pPr>
      <w:r>
        <w:rPr>
          <w:sz w:val="38"/>
        </w:rPr>
        <w:t>Fungus</w:t>
      </w:r>
    </w:p>
    <w:p>
      <w:pPr>
        <w:pStyle w:val="ListParagraph"/>
        <w:numPr>
          <w:ilvl w:val="1"/>
          <w:numId w:val="8"/>
        </w:numPr>
        <w:tabs>
          <w:tab w:pos="1197" w:val="left" w:leader="none"/>
          <w:tab w:pos="1198" w:val="left" w:leader="none"/>
        </w:tabs>
        <w:spacing w:line="240" w:lineRule="auto" w:before="186" w:after="0"/>
        <w:ind w:left="1197" w:right="0" w:hanging="720"/>
        <w:jc w:val="left"/>
        <w:rPr>
          <w:sz w:val="38"/>
        </w:rPr>
      </w:pPr>
      <w:r>
        <w:rPr>
          <w:sz w:val="38"/>
        </w:rPr>
        <w:t>Psychiatry</w:t>
      </w:r>
    </w:p>
    <w:p>
      <w:pPr>
        <w:pStyle w:val="ListParagraph"/>
        <w:numPr>
          <w:ilvl w:val="1"/>
          <w:numId w:val="8"/>
        </w:numPr>
        <w:tabs>
          <w:tab w:pos="1197" w:val="left" w:leader="none"/>
          <w:tab w:pos="1198" w:val="left" w:leader="none"/>
        </w:tabs>
        <w:spacing w:line="240" w:lineRule="auto" w:before="183" w:after="0"/>
        <w:ind w:left="1197" w:right="0" w:hanging="720"/>
        <w:jc w:val="left"/>
        <w:rPr>
          <w:sz w:val="38"/>
        </w:rPr>
      </w:pPr>
      <w:r>
        <w:rPr>
          <w:sz w:val="38"/>
        </w:rPr>
        <w:t>Tumour</w:t>
      </w:r>
      <w:r>
        <w:rPr>
          <w:spacing w:val="-1"/>
          <w:sz w:val="38"/>
        </w:rPr>
        <w:t> </w:t>
      </w:r>
      <w:r>
        <w:rPr>
          <w:sz w:val="38"/>
        </w:rPr>
        <w:t>formation</w:t>
      </w:r>
    </w:p>
    <w:p>
      <w:pPr>
        <w:pStyle w:val="ListParagraph"/>
        <w:numPr>
          <w:ilvl w:val="1"/>
          <w:numId w:val="8"/>
        </w:numPr>
        <w:tabs>
          <w:tab w:pos="1197" w:val="left" w:leader="none"/>
          <w:tab w:pos="1198" w:val="left" w:leader="none"/>
        </w:tabs>
        <w:spacing w:line="240" w:lineRule="auto" w:before="184" w:after="0"/>
        <w:ind w:left="1197" w:right="0" w:hanging="720"/>
        <w:jc w:val="left"/>
        <w:rPr>
          <w:sz w:val="38"/>
        </w:rPr>
      </w:pPr>
      <w:r>
        <w:rPr>
          <w:sz w:val="38"/>
        </w:rPr>
        <w:t>Indigestion</w:t>
      </w:r>
    </w:p>
    <w:p>
      <w:pPr>
        <w:pStyle w:val="ListParagraph"/>
        <w:numPr>
          <w:ilvl w:val="1"/>
          <w:numId w:val="8"/>
        </w:numPr>
        <w:tabs>
          <w:tab w:pos="1197" w:val="left" w:leader="none"/>
          <w:tab w:pos="1198" w:val="left" w:leader="none"/>
        </w:tabs>
        <w:spacing w:line="240" w:lineRule="auto" w:before="184" w:after="0"/>
        <w:ind w:left="1197" w:right="0" w:hanging="720"/>
        <w:jc w:val="left"/>
        <w:rPr>
          <w:sz w:val="38"/>
        </w:rPr>
      </w:pPr>
      <w:r>
        <w:rPr>
          <w:sz w:val="38"/>
        </w:rPr>
        <w:t>Convulsions</w:t>
      </w:r>
    </w:p>
    <w:p>
      <w:pPr>
        <w:pStyle w:val="BodyText"/>
        <w:spacing w:line="276" w:lineRule="auto" w:before="302"/>
        <w:ind w:left="477"/>
        <w:rPr>
          <w:sz w:val="25"/>
        </w:rPr>
      </w:pPr>
      <w:r>
        <w:rPr/>
        <w:t>Here,</w:t>
      </w:r>
      <w:r>
        <w:rPr>
          <w:spacing w:val="-11"/>
        </w:rPr>
        <w:t> </w:t>
      </w:r>
      <w:r>
        <w:rPr/>
        <w:t>alpha-lipoic</w:t>
      </w:r>
      <w:r>
        <w:rPr>
          <w:spacing w:val="-11"/>
        </w:rPr>
        <w:t> </w:t>
      </w:r>
      <w:r>
        <w:rPr/>
        <w:t>acid</w:t>
      </w:r>
      <w:r>
        <w:rPr>
          <w:spacing w:val="-13"/>
        </w:rPr>
        <w:t> </w:t>
      </w:r>
      <w:r>
        <w:rPr/>
        <w:t>can</w:t>
      </w:r>
      <w:r>
        <w:rPr>
          <w:spacing w:val="-9"/>
        </w:rPr>
        <w:t> </w:t>
      </w:r>
      <w:r>
        <w:rPr/>
        <w:t>bring</w:t>
      </w:r>
      <w:r>
        <w:rPr>
          <w:spacing w:val="-11"/>
        </w:rPr>
        <w:t> </w:t>
      </w:r>
      <w:r>
        <w:rPr/>
        <w:t>significant</w:t>
      </w:r>
      <w:r>
        <w:rPr>
          <w:spacing w:val="-12"/>
        </w:rPr>
        <w:t> </w:t>
      </w:r>
      <w:r>
        <w:rPr/>
        <w:t>benefits</w:t>
      </w:r>
      <w:r>
        <w:rPr>
          <w:spacing w:val="-12"/>
        </w:rPr>
        <w:t> </w:t>
      </w:r>
      <w:r>
        <w:rPr/>
        <w:t>by</w:t>
      </w:r>
      <w:r>
        <w:rPr>
          <w:spacing w:val="-10"/>
        </w:rPr>
        <w:t> </w:t>
      </w:r>
      <w:r>
        <w:rPr/>
        <w:t>excreting</w:t>
      </w:r>
      <w:r>
        <w:rPr>
          <w:spacing w:val="-11"/>
        </w:rPr>
        <w:t> </w:t>
      </w:r>
      <w:r>
        <w:rPr/>
        <w:t>mercury</w:t>
      </w:r>
      <w:r>
        <w:rPr>
          <w:spacing w:val="-11"/>
        </w:rPr>
        <w:t> </w:t>
      </w:r>
      <w:r>
        <w:rPr/>
        <w:t>12</w:t>
      </w:r>
      <w:r>
        <w:rPr>
          <w:spacing w:val="-12"/>
        </w:rPr>
        <w:t> </w:t>
      </w:r>
      <w:r>
        <w:rPr/>
        <w:t>to 37 times faster through the</w:t>
      </w:r>
      <w:r>
        <w:rPr>
          <w:spacing w:val="3"/>
        </w:rPr>
        <w:t> </w:t>
      </w:r>
      <w:r>
        <w:rPr/>
        <w:t>bile.</w:t>
      </w:r>
      <w:r>
        <w:rPr>
          <w:position w:val="9"/>
          <w:sz w:val="25"/>
        </w:rPr>
        <w:t>23</w:t>
      </w:r>
    </w:p>
    <w:p>
      <w:pPr>
        <w:pStyle w:val="Heading1"/>
        <w:spacing w:line="261" w:lineRule="auto"/>
      </w:pPr>
      <w:r>
        <w:rPr/>
        <w:t>Effect</w:t>
      </w:r>
      <w:r>
        <w:rPr>
          <w:spacing w:val="-44"/>
        </w:rPr>
        <w:t> </w:t>
      </w:r>
      <w:r>
        <w:rPr/>
        <w:t>of</w:t>
      </w:r>
      <w:r>
        <w:rPr>
          <w:spacing w:val="-43"/>
        </w:rPr>
        <w:t> </w:t>
      </w:r>
      <w:r>
        <w:rPr/>
        <w:t>alpha-lipoic</w:t>
      </w:r>
      <w:r>
        <w:rPr>
          <w:spacing w:val="-43"/>
        </w:rPr>
        <w:t> </w:t>
      </w:r>
      <w:r>
        <w:rPr/>
        <w:t>acid</w:t>
      </w:r>
      <w:r>
        <w:rPr>
          <w:spacing w:val="-44"/>
        </w:rPr>
        <w:t> </w:t>
      </w:r>
      <w:r>
        <w:rPr/>
        <w:t>on</w:t>
      </w:r>
      <w:r>
        <w:rPr>
          <w:spacing w:val="-44"/>
        </w:rPr>
        <w:t> </w:t>
      </w:r>
      <w:r>
        <w:rPr/>
        <w:t>pathological</w:t>
      </w:r>
      <w:r>
        <w:rPr>
          <w:spacing w:val="-42"/>
        </w:rPr>
        <w:t> </w:t>
      </w:r>
      <w:r>
        <w:rPr/>
        <w:t>disorders</w:t>
      </w:r>
      <w:r>
        <w:rPr>
          <w:spacing w:val="-43"/>
        </w:rPr>
        <w:t> </w:t>
      </w:r>
      <w:r>
        <w:rPr/>
        <w:t>that</w:t>
      </w:r>
      <w:r>
        <w:rPr>
          <w:spacing w:val="-43"/>
        </w:rPr>
        <w:t> </w:t>
      </w:r>
      <w:r>
        <w:rPr/>
        <w:t>impair</w:t>
      </w:r>
      <w:r>
        <w:rPr>
          <w:spacing w:val="-44"/>
        </w:rPr>
        <w:t> </w:t>
      </w:r>
      <w:r>
        <w:rPr/>
        <w:t>the</w:t>
      </w:r>
      <w:r>
        <w:rPr>
          <w:spacing w:val="-43"/>
        </w:rPr>
        <w:t> </w:t>
      </w:r>
      <w:r>
        <w:rPr/>
        <w:t>ex- cretion of heavy</w:t>
      </w:r>
      <w:r>
        <w:rPr>
          <w:spacing w:val="-24"/>
        </w:rPr>
        <w:t> </w:t>
      </w:r>
      <w:r>
        <w:rPr/>
        <w:t>metals</w:t>
      </w:r>
    </w:p>
    <w:p>
      <w:pPr>
        <w:pStyle w:val="BodyText"/>
        <w:spacing w:before="260"/>
        <w:ind w:left="477"/>
      </w:pPr>
      <w:r>
        <w:rPr/>
        <w:t>However much we may protect ourselves from immediate exposure to large</w:t>
      </w:r>
    </w:p>
    <w:p>
      <w:pPr>
        <w:pStyle w:val="BodyText"/>
        <w:rPr>
          <w:sz w:val="17"/>
        </w:rPr>
      </w:pPr>
      <w:r>
        <w:rPr/>
        <w:pict>
          <v:line style="position:absolute;mso-position-horizontal-relative:page;mso-position-vertical-relative:paragraph;z-index:-640;mso-wrap-distance-left:0;mso-wrap-distance-right:0" from="63.863998pt,11.92605pt" to="207.883998pt,11.9260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i/>
          <w:position w:val="4"/>
          <w:sz w:val="10"/>
        </w:rPr>
        <w:t>23 </w:t>
      </w:r>
      <w:r>
        <w:rPr>
          <w:sz w:val="20"/>
        </w:rPr>
        <w:t>Josef Pies: Alpha-Liponsäure – das Multitalent (Alpha-Lipoic Acid - The Multi-Talent’), 2010, p. 18</w:t>
      </w:r>
    </w:p>
    <w:p>
      <w:pPr>
        <w:spacing w:after="0"/>
        <w:jc w:val="left"/>
        <w:rPr>
          <w:sz w:val="20"/>
        </w:rPr>
        <w:sectPr>
          <w:pgSz w:w="14270" w:h="16850"/>
          <w:pgMar w:header="0" w:footer="1891" w:top="1600" w:bottom="2080" w:left="800" w:right="1280"/>
        </w:sectPr>
      </w:pPr>
    </w:p>
    <w:p>
      <w:pPr>
        <w:pStyle w:val="BodyText"/>
        <w:spacing w:line="276" w:lineRule="auto" w:before="181"/>
        <w:ind w:left="477" w:right="137"/>
        <w:jc w:val="both"/>
      </w:pPr>
      <w:r>
        <w:rPr/>
        <w:t>quantities</w:t>
      </w:r>
      <w:r>
        <w:rPr>
          <w:spacing w:val="-9"/>
        </w:rPr>
        <w:t> </w:t>
      </w:r>
      <w:r>
        <w:rPr/>
        <w:t>of</w:t>
      </w:r>
      <w:r>
        <w:rPr>
          <w:spacing w:val="-9"/>
        </w:rPr>
        <w:t> </w:t>
      </w:r>
      <w:r>
        <w:rPr/>
        <w:t>heavy</w:t>
      </w:r>
      <w:r>
        <w:rPr>
          <w:spacing w:val="-9"/>
        </w:rPr>
        <w:t> </w:t>
      </w:r>
      <w:r>
        <w:rPr/>
        <w:t>metals,</w:t>
      </w:r>
      <w:r>
        <w:rPr>
          <w:spacing w:val="-9"/>
        </w:rPr>
        <w:t> </w:t>
      </w:r>
      <w:r>
        <w:rPr/>
        <w:t>and</w:t>
      </w:r>
      <w:r>
        <w:rPr>
          <w:spacing w:val="-9"/>
        </w:rPr>
        <w:t> </w:t>
      </w:r>
      <w:r>
        <w:rPr/>
        <w:t>as</w:t>
      </w:r>
      <w:r>
        <w:rPr>
          <w:spacing w:val="-12"/>
        </w:rPr>
        <w:t> </w:t>
      </w:r>
      <w:r>
        <w:rPr/>
        <w:t>rare</w:t>
      </w:r>
      <w:r>
        <w:rPr>
          <w:spacing w:val="-9"/>
        </w:rPr>
        <w:t> </w:t>
      </w:r>
      <w:r>
        <w:rPr/>
        <w:t>as</w:t>
      </w:r>
      <w:r>
        <w:rPr>
          <w:spacing w:val="-10"/>
        </w:rPr>
        <w:t> </w:t>
      </w:r>
      <w:r>
        <w:rPr/>
        <w:t>the</w:t>
      </w:r>
      <w:r>
        <w:rPr>
          <w:spacing w:val="-11"/>
        </w:rPr>
        <w:t> </w:t>
      </w:r>
      <w:r>
        <w:rPr/>
        <w:t>catastrophes</w:t>
      </w:r>
      <w:r>
        <w:rPr>
          <w:spacing w:val="-8"/>
        </w:rPr>
        <w:t> </w:t>
      </w:r>
      <w:r>
        <w:rPr/>
        <w:t>as</w:t>
      </w:r>
      <w:r>
        <w:rPr>
          <w:spacing w:val="-12"/>
        </w:rPr>
        <w:t> </w:t>
      </w:r>
      <w:r>
        <w:rPr/>
        <w:t>serious</w:t>
      </w:r>
      <w:r>
        <w:rPr>
          <w:spacing w:val="-10"/>
        </w:rPr>
        <w:t> </w:t>
      </w:r>
      <w:r>
        <w:rPr/>
        <w:t>as</w:t>
      </w:r>
      <w:r>
        <w:rPr>
          <w:spacing w:val="-10"/>
        </w:rPr>
        <w:t> </w:t>
      </w:r>
      <w:r>
        <w:rPr/>
        <w:t>Cherno- byl or Hiroshima have (fortunately) been, heavy metals still constitute a real problem. Furthermore, there are people who suffer from a pathological heavy metal excretion disorder. Here, alpha-lipoic acid can have a positive impact on diseases such as Wilson's disease (copper storage</w:t>
      </w:r>
      <w:r>
        <w:rPr>
          <w:spacing w:val="-5"/>
        </w:rPr>
        <w:t> </w:t>
      </w:r>
      <w:r>
        <w:rPr/>
        <w:t>disease).</w:t>
      </w:r>
    </w:p>
    <w:p>
      <w:pPr>
        <w:pStyle w:val="Heading1"/>
        <w:spacing w:before="223"/>
      </w:pPr>
      <w:r>
        <w:rPr/>
        <w:t>Protection for smokers by alpha-lipoic</w:t>
      </w:r>
      <w:r>
        <w:rPr>
          <w:spacing w:val="-60"/>
        </w:rPr>
        <w:t> </w:t>
      </w:r>
      <w:r>
        <w:rPr/>
        <w:t>acid</w:t>
      </w:r>
    </w:p>
    <w:p>
      <w:pPr>
        <w:spacing w:line="276" w:lineRule="auto" w:before="299"/>
        <w:ind w:left="477" w:right="132" w:firstLine="0"/>
        <w:jc w:val="both"/>
        <w:rPr>
          <w:sz w:val="38"/>
        </w:rPr>
      </w:pPr>
      <w:r>
        <w:rPr>
          <w:i/>
          <w:sz w:val="38"/>
        </w:rPr>
        <w:t>‘No single action could save more lives and prevent more illnesses than not smoking!’ </w:t>
      </w:r>
      <w:r>
        <w:rPr>
          <w:sz w:val="38"/>
        </w:rPr>
        <w:t>This global statement from the World Health Organization (WHO), based on the analysis of hundreds of studies on ‘nicotine and health’, even on its own, em- phasises very starkly the dangers of smoking caused by over 1000 toxic (poi- sonous) substances in cigarettes!</w:t>
      </w:r>
    </w:p>
    <w:p>
      <w:pPr>
        <w:pStyle w:val="BodyText"/>
        <w:spacing w:line="276" w:lineRule="auto" w:before="240"/>
        <w:ind w:left="477" w:right="130"/>
        <w:jc w:val="both"/>
      </w:pPr>
      <w:r>
        <w:rPr/>
        <w:t>Of</w:t>
      </w:r>
      <w:r>
        <w:rPr>
          <w:spacing w:val="-22"/>
        </w:rPr>
        <w:t> </w:t>
      </w:r>
      <w:r>
        <w:rPr/>
        <w:t>course,</w:t>
      </w:r>
      <w:r>
        <w:rPr>
          <w:spacing w:val="-19"/>
        </w:rPr>
        <w:t> </w:t>
      </w:r>
      <w:r>
        <w:rPr/>
        <w:t>the</w:t>
      </w:r>
      <w:r>
        <w:rPr>
          <w:spacing w:val="-19"/>
        </w:rPr>
        <w:t> </w:t>
      </w:r>
      <w:r>
        <w:rPr/>
        <w:t>most</w:t>
      </w:r>
      <w:r>
        <w:rPr>
          <w:spacing w:val="-20"/>
        </w:rPr>
        <w:t> </w:t>
      </w:r>
      <w:r>
        <w:rPr/>
        <w:t>effective</w:t>
      </w:r>
      <w:r>
        <w:rPr>
          <w:spacing w:val="-20"/>
        </w:rPr>
        <w:t> </w:t>
      </w:r>
      <w:r>
        <w:rPr/>
        <w:t>measure</w:t>
      </w:r>
      <w:r>
        <w:rPr>
          <w:spacing w:val="-19"/>
        </w:rPr>
        <w:t> </w:t>
      </w:r>
      <w:r>
        <w:rPr/>
        <w:t>for</w:t>
      </w:r>
      <w:r>
        <w:rPr>
          <w:spacing w:val="-21"/>
        </w:rPr>
        <w:t> </w:t>
      </w:r>
      <w:r>
        <w:rPr/>
        <w:t>any</w:t>
      </w:r>
      <w:r>
        <w:rPr>
          <w:spacing w:val="-21"/>
        </w:rPr>
        <w:t> </w:t>
      </w:r>
      <w:r>
        <w:rPr/>
        <w:t>smoker</w:t>
      </w:r>
      <w:r>
        <w:rPr>
          <w:spacing w:val="-19"/>
        </w:rPr>
        <w:t> </w:t>
      </w:r>
      <w:r>
        <w:rPr/>
        <w:t>would</w:t>
      </w:r>
      <w:r>
        <w:rPr>
          <w:spacing w:val="-20"/>
        </w:rPr>
        <w:t> </w:t>
      </w:r>
      <w:r>
        <w:rPr/>
        <w:t>be</w:t>
      </w:r>
      <w:r>
        <w:rPr>
          <w:spacing w:val="-21"/>
        </w:rPr>
        <w:t> </w:t>
      </w:r>
      <w:r>
        <w:rPr/>
        <w:t>to</w:t>
      </w:r>
      <w:r>
        <w:rPr>
          <w:spacing w:val="-22"/>
        </w:rPr>
        <w:t> </w:t>
      </w:r>
      <w:r>
        <w:rPr/>
        <w:t>quit</w:t>
      </w:r>
      <w:r>
        <w:rPr>
          <w:spacing w:val="-20"/>
        </w:rPr>
        <w:t> </w:t>
      </w:r>
      <w:r>
        <w:rPr/>
        <w:t>smoking immediately</w:t>
      </w:r>
      <w:r>
        <w:rPr>
          <w:spacing w:val="-10"/>
        </w:rPr>
        <w:t> </w:t>
      </w:r>
      <w:r>
        <w:rPr/>
        <w:t>–</w:t>
      </w:r>
      <w:r>
        <w:rPr>
          <w:spacing w:val="-11"/>
        </w:rPr>
        <w:t> </w:t>
      </w:r>
      <w:r>
        <w:rPr/>
        <w:t>but</w:t>
      </w:r>
      <w:r>
        <w:rPr>
          <w:spacing w:val="-11"/>
        </w:rPr>
        <w:t> </w:t>
      </w:r>
      <w:r>
        <w:rPr/>
        <w:t>anyone</w:t>
      </w:r>
      <w:r>
        <w:rPr>
          <w:spacing w:val="-10"/>
        </w:rPr>
        <w:t> </w:t>
      </w:r>
      <w:r>
        <w:rPr/>
        <w:t>who</w:t>
      </w:r>
      <w:r>
        <w:rPr>
          <w:spacing w:val="-8"/>
        </w:rPr>
        <w:t> </w:t>
      </w:r>
      <w:r>
        <w:rPr/>
        <w:t>cannot</w:t>
      </w:r>
      <w:r>
        <w:rPr>
          <w:spacing w:val="-10"/>
        </w:rPr>
        <w:t> </w:t>
      </w:r>
      <w:r>
        <w:rPr/>
        <w:t>escape</w:t>
      </w:r>
      <w:r>
        <w:rPr>
          <w:spacing w:val="-9"/>
        </w:rPr>
        <w:t> </w:t>
      </w:r>
      <w:r>
        <w:rPr/>
        <w:t>this</w:t>
      </w:r>
      <w:r>
        <w:rPr>
          <w:spacing w:val="-10"/>
        </w:rPr>
        <w:t> </w:t>
      </w:r>
      <w:r>
        <w:rPr/>
        <w:t>addiction</w:t>
      </w:r>
      <w:r>
        <w:rPr>
          <w:spacing w:val="-8"/>
        </w:rPr>
        <w:t> </w:t>
      </w:r>
      <w:r>
        <w:rPr/>
        <w:t>would</w:t>
      </w:r>
      <w:r>
        <w:rPr>
          <w:spacing w:val="-9"/>
        </w:rPr>
        <w:t> </w:t>
      </w:r>
      <w:r>
        <w:rPr/>
        <w:t>do</w:t>
      </w:r>
      <w:r>
        <w:rPr>
          <w:spacing w:val="-9"/>
        </w:rPr>
        <w:t> </w:t>
      </w:r>
      <w:r>
        <w:rPr/>
        <w:t>very</w:t>
      </w:r>
      <w:r>
        <w:rPr>
          <w:spacing w:val="-10"/>
        </w:rPr>
        <w:t> </w:t>
      </w:r>
      <w:r>
        <w:rPr/>
        <w:t>well to provide their body with the vital substances that can at least minimise the consequences. Heavy metals such as cadmium are among the 1000 toxic sub- stances encountered in tobacco. Studies have shown that alpha-lipoic acid can remove these heavy metals from the body. Furthermore, smoking leads to the loss of important antioxidants, such as vitamins C, E and glutathione. The ‘ox- idative stress‘ caused by smoking, on the one hand, and the loss of protective antioxidants on the other, make smokers age more quickly, both externally and internally, and endanger their health as well as their lives. Here, due to its anti- oxidant</w:t>
      </w:r>
      <w:r>
        <w:rPr>
          <w:spacing w:val="31"/>
        </w:rPr>
        <w:t> </w:t>
      </w:r>
      <w:r>
        <w:rPr/>
        <w:t>effect</w:t>
      </w:r>
      <w:r>
        <w:rPr>
          <w:spacing w:val="31"/>
        </w:rPr>
        <w:t> </w:t>
      </w:r>
      <w:r>
        <w:rPr/>
        <w:t>and</w:t>
      </w:r>
      <w:r>
        <w:rPr>
          <w:spacing w:val="31"/>
        </w:rPr>
        <w:t> </w:t>
      </w:r>
      <w:r>
        <w:rPr/>
        <w:t>protection</w:t>
      </w:r>
      <w:r>
        <w:rPr>
          <w:spacing w:val="32"/>
        </w:rPr>
        <w:t> </w:t>
      </w:r>
      <w:r>
        <w:rPr/>
        <w:t>of</w:t>
      </w:r>
      <w:r>
        <w:rPr>
          <w:spacing w:val="31"/>
        </w:rPr>
        <w:t> </w:t>
      </w:r>
      <w:r>
        <w:rPr/>
        <w:t>other</w:t>
      </w:r>
      <w:r>
        <w:rPr>
          <w:spacing w:val="32"/>
        </w:rPr>
        <w:t> </w:t>
      </w:r>
      <w:r>
        <w:rPr/>
        <w:t>vital</w:t>
      </w:r>
      <w:r>
        <w:rPr>
          <w:spacing w:val="30"/>
        </w:rPr>
        <w:t> </w:t>
      </w:r>
      <w:r>
        <w:rPr/>
        <w:t>substances,</w:t>
      </w:r>
      <w:r>
        <w:rPr>
          <w:spacing w:val="32"/>
        </w:rPr>
        <w:t> </w:t>
      </w:r>
      <w:r>
        <w:rPr/>
        <w:t>such</w:t>
      </w:r>
      <w:r>
        <w:rPr>
          <w:spacing w:val="32"/>
        </w:rPr>
        <w:t> </w:t>
      </w:r>
      <w:r>
        <w:rPr/>
        <w:t>as</w:t>
      </w:r>
      <w:r>
        <w:rPr>
          <w:spacing w:val="30"/>
        </w:rPr>
        <w:t> </w:t>
      </w:r>
      <w:r>
        <w:rPr/>
        <w:t>vitamin</w:t>
      </w:r>
      <w:r>
        <w:rPr>
          <w:spacing w:val="31"/>
        </w:rPr>
        <w:t> </w:t>
      </w:r>
      <w:r>
        <w:rPr/>
        <w:t>C,</w:t>
      </w:r>
      <w:r>
        <w:rPr>
          <w:spacing w:val="31"/>
        </w:rPr>
        <w:t> </w:t>
      </w:r>
      <w:r>
        <w:rPr/>
        <w:t>E</w:t>
      </w:r>
    </w:p>
    <w:p>
      <w:pPr>
        <w:spacing w:after="0" w:line="276" w:lineRule="auto"/>
        <w:jc w:val="both"/>
        <w:sectPr>
          <w:footerReference w:type="default" r:id="rId19"/>
          <w:pgSz w:w="14270" w:h="16850"/>
          <w:pgMar w:footer="1891" w:header="0" w:top="1600" w:bottom="2080" w:left="800" w:right="1280"/>
          <w:pgNumType w:start="110"/>
        </w:sectPr>
      </w:pPr>
    </w:p>
    <w:p>
      <w:pPr>
        <w:pStyle w:val="BodyText"/>
        <w:spacing w:line="276" w:lineRule="auto" w:before="181"/>
        <w:ind w:left="477" w:right="139"/>
        <w:jc w:val="both"/>
      </w:pPr>
      <w:r>
        <w:rPr/>
        <w:t>and glutathione, alpha-lipoic acid makes a significant contribution to maintain- ing good health.</w:t>
      </w:r>
    </w:p>
    <w:p>
      <w:pPr>
        <w:pStyle w:val="BodyText"/>
        <w:spacing w:before="2"/>
        <w:rPr>
          <w:sz w:val="41"/>
        </w:rPr>
      </w:pPr>
    </w:p>
    <w:p>
      <w:pPr>
        <w:pStyle w:val="Heading1"/>
        <w:spacing w:before="1"/>
      </w:pPr>
      <w:r>
        <w:rPr/>
        <w:t>Excretion of radioactivity from the body by alpha-lipoic acid</w:t>
      </w:r>
    </w:p>
    <w:p>
      <w:pPr>
        <w:pStyle w:val="BodyText"/>
        <w:spacing w:line="276" w:lineRule="auto" w:before="299"/>
        <w:ind w:left="477" w:right="136"/>
        <w:jc w:val="both"/>
      </w:pPr>
      <w:r>
        <w:rPr/>
        <w:t>Modern humans are more and more directly confronted with radioactivity and are mostly defenceless against it. Today, we are constantly under attack from microwaves, radio waves, UV rays, infrared rays, gamma rays and X-rays, whether we like it or not!</w:t>
      </w:r>
    </w:p>
    <w:p>
      <w:pPr>
        <w:pStyle w:val="BodyText"/>
        <w:spacing w:line="276" w:lineRule="auto" w:before="240"/>
        <w:ind w:left="477" w:right="132"/>
        <w:jc w:val="both"/>
      </w:pPr>
      <w:r>
        <w:rPr/>
        <w:t>But what effect does radioactivity have? What is its real potential</w:t>
      </w:r>
      <w:r>
        <w:rPr>
          <w:spacing w:val="-69"/>
        </w:rPr>
        <w:t> </w:t>
      </w:r>
      <w:r>
        <w:rPr/>
        <w:t>danger? Radi- oactivity</w:t>
      </w:r>
      <w:r>
        <w:rPr>
          <w:spacing w:val="-8"/>
        </w:rPr>
        <w:t> </w:t>
      </w:r>
      <w:r>
        <w:rPr/>
        <w:t>penetrates</w:t>
      </w:r>
      <w:r>
        <w:rPr>
          <w:spacing w:val="-6"/>
        </w:rPr>
        <w:t> </w:t>
      </w:r>
      <w:r>
        <w:rPr/>
        <w:t>our</w:t>
      </w:r>
      <w:r>
        <w:rPr>
          <w:spacing w:val="-7"/>
        </w:rPr>
        <w:t> </w:t>
      </w:r>
      <w:r>
        <w:rPr/>
        <w:t>body</w:t>
      </w:r>
      <w:r>
        <w:rPr>
          <w:spacing w:val="-6"/>
        </w:rPr>
        <w:t> </w:t>
      </w:r>
      <w:r>
        <w:rPr/>
        <w:t>in</w:t>
      </w:r>
      <w:r>
        <w:rPr>
          <w:spacing w:val="-7"/>
        </w:rPr>
        <w:t> </w:t>
      </w:r>
      <w:r>
        <w:rPr/>
        <w:t>fractions</w:t>
      </w:r>
      <w:r>
        <w:rPr>
          <w:spacing w:val="-6"/>
        </w:rPr>
        <w:t> </w:t>
      </w:r>
      <w:r>
        <w:rPr/>
        <w:t>of</w:t>
      </w:r>
      <w:r>
        <w:rPr>
          <w:spacing w:val="-7"/>
        </w:rPr>
        <w:t> </w:t>
      </w:r>
      <w:r>
        <w:rPr/>
        <w:t>a</w:t>
      </w:r>
      <w:r>
        <w:rPr>
          <w:spacing w:val="-7"/>
        </w:rPr>
        <w:t> </w:t>
      </w:r>
      <w:r>
        <w:rPr/>
        <w:t>millisecond</w:t>
      </w:r>
      <w:r>
        <w:rPr>
          <w:spacing w:val="-7"/>
        </w:rPr>
        <w:t> </w:t>
      </w:r>
      <w:r>
        <w:rPr/>
        <w:t>and</w:t>
      </w:r>
      <w:r>
        <w:rPr>
          <w:spacing w:val="-7"/>
        </w:rPr>
        <w:t> </w:t>
      </w:r>
      <w:r>
        <w:rPr/>
        <w:t>affects</w:t>
      </w:r>
      <w:r>
        <w:rPr>
          <w:spacing w:val="-5"/>
        </w:rPr>
        <w:t> </w:t>
      </w:r>
      <w:r>
        <w:rPr/>
        <w:t>every</w:t>
      </w:r>
      <w:r>
        <w:rPr>
          <w:spacing w:val="-7"/>
        </w:rPr>
        <w:t> </w:t>
      </w:r>
      <w:r>
        <w:rPr/>
        <w:t>last cell in the body. If the radiation attacking from the outside directly hits the cell nucleus of our genetic code, our DNA, this code is changed, which can lead to malfunction, but also to cell death or uncontrolled cell growth, which can then lead to cancer! What’s worse is that you can transfer the changed DNA to</w:t>
      </w:r>
      <w:r>
        <w:rPr>
          <w:spacing w:val="-66"/>
        </w:rPr>
        <w:t> </w:t>
      </w:r>
      <w:r>
        <w:rPr/>
        <w:t>your offspring and pass on mutation damage for generations to</w:t>
      </w:r>
      <w:r>
        <w:rPr>
          <w:spacing w:val="-4"/>
        </w:rPr>
        <w:t> </w:t>
      </w:r>
      <w:r>
        <w:rPr/>
        <w:t>come!</w:t>
      </w:r>
    </w:p>
    <w:p>
      <w:pPr>
        <w:pStyle w:val="BodyText"/>
        <w:spacing w:line="276" w:lineRule="auto" w:before="240"/>
        <w:ind w:left="477" w:right="132"/>
        <w:jc w:val="both"/>
      </w:pPr>
      <w:r>
        <w:rPr/>
        <w:t>A very sad, vivid example of this is the Chernobyl disaster in the 1980s and</w:t>
      </w:r>
      <w:r>
        <w:rPr>
          <w:spacing w:val="-50"/>
        </w:rPr>
        <w:t> </w:t>
      </w:r>
      <w:r>
        <w:rPr/>
        <w:t>the nuclear attack on Hiroshima in 1945. To this day, people have not recovered from</w:t>
      </w:r>
      <w:r>
        <w:rPr>
          <w:spacing w:val="-9"/>
        </w:rPr>
        <w:t> </w:t>
      </w:r>
      <w:r>
        <w:rPr/>
        <w:t>these</w:t>
      </w:r>
      <w:r>
        <w:rPr>
          <w:spacing w:val="-10"/>
        </w:rPr>
        <w:t> </w:t>
      </w:r>
      <w:r>
        <w:rPr/>
        <w:t>radiation</w:t>
      </w:r>
      <w:r>
        <w:rPr>
          <w:spacing w:val="-9"/>
        </w:rPr>
        <w:t> </w:t>
      </w:r>
      <w:r>
        <w:rPr/>
        <w:t>catastrophes,</w:t>
      </w:r>
      <w:r>
        <w:rPr>
          <w:spacing w:val="-7"/>
        </w:rPr>
        <w:t> </w:t>
      </w:r>
      <w:r>
        <w:rPr/>
        <w:t>many</w:t>
      </w:r>
      <w:r>
        <w:rPr>
          <w:spacing w:val="-9"/>
        </w:rPr>
        <w:t> </w:t>
      </w:r>
      <w:r>
        <w:rPr/>
        <w:t>of</w:t>
      </w:r>
      <w:r>
        <w:rPr>
          <w:spacing w:val="-10"/>
        </w:rPr>
        <w:t> </w:t>
      </w:r>
      <w:r>
        <w:rPr/>
        <w:t>them</w:t>
      </w:r>
      <w:r>
        <w:rPr>
          <w:spacing w:val="-10"/>
        </w:rPr>
        <w:t> </w:t>
      </w:r>
      <w:r>
        <w:rPr/>
        <w:t>die</w:t>
      </w:r>
      <w:r>
        <w:rPr>
          <w:spacing w:val="-6"/>
        </w:rPr>
        <w:t> </w:t>
      </w:r>
      <w:r>
        <w:rPr/>
        <w:t>from</w:t>
      </w:r>
      <w:r>
        <w:rPr>
          <w:spacing w:val="-8"/>
        </w:rPr>
        <w:t> </w:t>
      </w:r>
      <w:r>
        <w:rPr/>
        <w:t>diseases</w:t>
      </w:r>
      <w:r>
        <w:rPr>
          <w:spacing w:val="-9"/>
        </w:rPr>
        <w:t> </w:t>
      </w:r>
      <w:r>
        <w:rPr/>
        <w:t>such</w:t>
      </w:r>
      <w:r>
        <w:rPr>
          <w:spacing w:val="-7"/>
        </w:rPr>
        <w:t> </w:t>
      </w:r>
      <w:r>
        <w:rPr/>
        <w:t>as</w:t>
      </w:r>
      <w:r>
        <w:rPr>
          <w:spacing w:val="-10"/>
        </w:rPr>
        <w:t> </w:t>
      </w:r>
      <w:r>
        <w:rPr/>
        <w:t>can- cer and pass on damaged genes to their disabled children, and these, in turn,</w:t>
      </w:r>
      <w:r>
        <w:rPr>
          <w:spacing w:val="-38"/>
        </w:rPr>
        <w:t> </w:t>
      </w:r>
      <w:r>
        <w:rPr/>
        <w:t>to their children...</w:t>
      </w:r>
    </w:p>
    <w:p>
      <w:pPr>
        <w:spacing w:after="0" w:line="276" w:lineRule="auto"/>
        <w:jc w:val="both"/>
        <w:sectPr>
          <w:pgSz w:w="14270" w:h="16850"/>
          <w:pgMar w:header="0" w:footer="1891" w:top="1600" w:bottom="2080" w:left="800" w:right="1280"/>
        </w:sectPr>
      </w:pPr>
    </w:p>
    <w:p>
      <w:pPr>
        <w:pStyle w:val="Heading1"/>
        <w:spacing w:before="164"/>
        <w:jc w:val="both"/>
      </w:pPr>
      <w:r>
        <w:rPr/>
        <w:t>Elimination of radioactivity in Chernobyl</w:t>
      </w:r>
      <w:r>
        <w:rPr>
          <w:spacing w:val="-68"/>
        </w:rPr>
        <w:t> </w:t>
      </w:r>
      <w:r>
        <w:rPr/>
        <w:t>victims</w:t>
      </w:r>
    </w:p>
    <w:p>
      <w:pPr>
        <w:pStyle w:val="BodyText"/>
        <w:spacing w:line="276" w:lineRule="auto" w:before="299"/>
        <w:ind w:left="477" w:right="131"/>
        <w:jc w:val="both"/>
      </w:pPr>
      <w:r>
        <w:rPr/>
        <w:t>As</w:t>
      </w:r>
      <w:r>
        <w:rPr>
          <w:spacing w:val="-12"/>
        </w:rPr>
        <w:t> </w:t>
      </w:r>
      <w:r>
        <w:rPr/>
        <w:t>mentioned</w:t>
      </w:r>
      <w:r>
        <w:rPr>
          <w:spacing w:val="-11"/>
        </w:rPr>
        <w:t> </w:t>
      </w:r>
      <w:r>
        <w:rPr/>
        <w:t>in</w:t>
      </w:r>
      <w:r>
        <w:rPr>
          <w:spacing w:val="-14"/>
        </w:rPr>
        <w:t> </w:t>
      </w:r>
      <w:r>
        <w:rPr/>
        <w:t>the</w:t>
      </w:r>
      <w:r>
        <w:rPr>
          <w:spacing w:val="-14"/>
        </w:rPr>
        <w:t> </w:t>
      </w:r>
      <w:r>
        <w:rPr/>
        <w:t>chapter</w:t>
      </w:r>
      <w:r>
        <w:rPr>
          <w:spacing w:val="-11"/>
        </w:rPr>
        <w:t> </w:t>
      </w:r>
      <w:r>
        <w:rPr/>
        <w:t>“studies”,</w:t>
      </w:r>
      <w:r>
        <w:rPr>
          <w:spacing w:val="-10"/>
        </w:rPr>
        <w:t> </w:t>
      </w:r>
      <w:r>
        <w:rPr/>
        <w:t>prime</w:t>
      </w:r>
      <w:r>
        <w:rPr>
          <w:spacing w:val="-14"/>
        </w:rPr>
        <w:t> </w:t>
      </w:r>
      <w:r>
        <w:rPr/>
        <w:t>example</w:t>
      </w:r>
      <w:r>
        <w:rPr>
          <w:spacing w:val="-12"/>
        </w:rPr>
        <w:t> </w:t>
      </w:r>
      <w:r>
        <w:rPr/>
        <w:t>of</w:t>
      </w:r>
      <w:r>
        <w:rPr>
          <w:spacing w:val="-11"/>
        </w:rPr>
        <w:t> </w:t>
      </w:r>
      <w:r>
        <w:rPr/>
        <w:t>the</w:t>
      </w:r>
      <w:r>
        <w:rPr>
          <w:spacing w:val="-13"/>
        </w:rPr>
        <w:t> </w:t>
      </w:r>
      <w:r>
        <w:rPr/>
        <w:t>detoxification</w:t>
      </w:r>
      <w:r>
        <w:rPr>
          <w:spacing w:val="-12"/>
        </w:rPr>
        <w:t> </w:t>
      </w:r>
      <w:r>
        <w:rPr/>
        <w:t>po- tential of alpha-lipoic acid in the case of radioactivity became apparent among the victims of the 1986 Chernobyl disaster. After 28 days of administering al- pha-lipoic</w:t>
      </w:r>
      <w:r>
        <w:rPr>
          <w:spacing w:val="-22"/>
        </w:rPr>
        <w:t> </w:t>
      </w:r>
      <w:r>
        <w:rPr/>
        <w:t>acid</w:t>
      </w:r>
      <w:r>
        <w:rPr>
          <w:spacing w:val="-22"/>
        </w:rPr>
        <w:t> </w:t>
      </w:r>
      <w:r>
        <w:rPr/>
        <w:t>to</w:t>
      </w:r>
      <w:r>
        <w:rPr>
          <w:spacing w:val="-21"/>
        </w:rPr>
        <w:t> </w:t>
      </w:r>
      <w:r>
        <w:rPr/>
        <w:t>some</w:t>
      </w:r>
      <w:r>
        <w:rPr>
          <w:spacing w:val="-23"/>
        </w:rPr>
        <w:t> </w:t>
      </w:r>
      <w:r>
        <w:rPr/>
        <w:t>affected</w:t>
      </w:r>
      <w:r>
        <w:rPr>
          <w:spacing w:val="-24"/>
        </w:rPr>
        <w:t> </w:t>
      </w:r>
      <w:r>
        <w:rPr/>
        <w:t>children,</w:t>
      </w:r>
      <w:r>
        <w:rPr>
          <w:spacing w:val="-21"/>
        </w:rPr>
        <w:t> </w:t>
      </w:r>
      <w:r>
        <w:rPr/>
        <w:t>the</w:t>
      </w:r>
      <w:r>
        <w:rPr>
          <w:spacing w:val="-23"/>
        </w:rPr>
        <w:t> </w:t>
      </w:r>
      <w:r>
        <w:rPr/>
        <w:t>researchers</w:t>
      </w:r>
      <w:r>
        <w:rPr>
          <w:spacing w:val="-21"/>
        </w:rPr>
        <w:t> </w:t>
      </w:r>
      <w:r>
        <w:rPr/>
        <w:t>found</w:t>
      </w:r>
      <w:r>
        <w:rPr>
          <w:spacing w:val="-24"/>
        </w:rPr>
        <w:t> </w:t>
      </w:r>
      <w:r>
        <w:rPr/>
        <w:t>that</w:t>
      </w:r>
      <w:r>
        <w:rPr>
          <w:spacing w:val="-22"/>
        </w:rPr>
        <w:t> </w:t>
      </w:r>
      <w:r>
        <w:rPr/>
        <w:t>the</w:t>
      </w:r>
      <w:r>
        <w:rPr>
          <w:spacing w:val="-20"/>
        </w:rPr>
        <w:t> </w:t>
      </w:r>
      <w:r>
        <w:rPr/>
        <w:t>damage caused by free radicals in the blood (known as ‘peroxidation values’) in these children sank to the level of children who had not been</w:t>
      </w:r>
      <w:r>
        <w:rPr>
          <w:spacing w:val="-10"/>
        </w:rPr>
        <w:t> </w:t>
      </w:r>
      <w:r>
        <w:rPr/>
        <w:t>affected!</w:t>
      </w:r>
    </w:p>
    <w:p>
      <w:pPr>
        <w:pStyle w:val="BodyText"/>
        <w:spacing w:line="276" w:lineRule="auto" w:before="241"/>
        <w:ind w:left="477" w:right="135"/>
        <w:jc w:val="both"/>
        <w:rPr>
          <w:sz w:val="25"/>
        </w:rPr>
      </w:pPr>
      <w:r>
        <w:rPr/>
        <w:t>Astonishingly, vitamin E alone was not able to produce any positive effects on these victims, but, in combination with alpha-lipoic acid, the values fell even below the norm!</w:t>
      </w:r>
      <w:r>
        <w:rPr>
          <w:position w:val="9"/>
          <w:sz w:val="25"/>
        </w:rPr>
        <w:t>24</w:t>
      </w:r>
    </w:p>
    <w:p>
      <w:pPr>
        <w:pStyle w:val="BodyText"/>
        <w:spacing w:line="276" w:lineRule="auto" w:before="241"/>
        <w:ind w:left="477" w:right="134"/>
        <w:jc w:val="both"/>
      </w:pPr>
      <w:r>
        <w:rPr/>
        <w:t>Furthermore, the kidney and liver values of children treated with alpha-lipoic acid</w:t>
      </w:r>
      <w:r>
        <w:rPr>
          <w:spacing w:val="-16"/>
        </w:rPr>
        <w:t> </w:t>
      </w:r>
      <w:r>
        <w:rPr/>
        <w:t>improved</w:t>
      </w:r>
      <w:r>
        <w:rPr>
          <w:spacing w:val="-15"/>
        </w:rPr>
        <w:t> </w:t>
      </w:r>
      <w:r>
        <w:rPr/>
        <w:t>as</w:t>
      </w:r>
      <w:r>
        <w:rPr>
          <w:spacing w:val="-15"/>
        </w:rPr>
        <w:t> </w:t>
      </w:r>
      <w:r>
        <w:rPr/>
        <w:t>a</w:t>
      </w:r>
      <w:r>
        <w:rPr>
          <w:spacing w:val="-15"/>
        </w:rPr>
        <w:t> </w:t>
      </w:r>
      <w:r>
        <w:rPr/>
        <w:t>result</w:t>
      </w:r>
      <w:r>
        <w:rPr>
          <w:spacing w:val="-16"/>
        </w:rPr>
        <w:t> </w:t>
      </w:r>
      <w:r>
        <w:rPr/>
        <w:t>of</w:t>
      </w:r>
      <w:r>
        <w:rPr>
          <w:spacing w:val="-15"/>
        </w:rPr>
        <w:t> </w:t>
      </w:r>
      <w:r>
        <w:rPr/>
        <w:t>the</w:t>
      </w:r>
      <w:r>
        <w:rPr>
          <w:spacing w:val="-16"/>
        </w:rPr>
        <w:t> </w:t>
      </w:r>
      <w:r>
        <w:rPr/>
        <w:t>increased</w:t>
      </w:r>
      <w:r>
        <w:rPr>
          <w:spacing w:val="-14"/>
        </w:rPr>
        <w:t> </w:t>
      </w:r>
      <w:r>
        <w:rPr/>
        <w:t>elimination</w:t>
      </w:r>
      <w:r>
        <w:rPr>
          <w:spacing w:val="-14"/>
        </w:rPr>
        <w:t> </w:t>
      </w:r>
      <w:r>
        <w:rPr/>
        <w:t>of</w:t>
      </w:r>
      <w:r>
        <w:rPr>
          <w:spacing w:val="-14"/>
        </w:rPr>
        <w:t> </w:t>
      </w:r>
      <w:r>
        <w:rPr/>
        <w:t>radioactive</w:t>
      </w:r>
      <w:r>
        <w:rPr>
          <w:spacing w:val="-17"/>
        </w:rPr>
        <w:t> </w:t>
      </w:r>
      <w:r>
        <w:rPr/>
        <w:t>metabolites by alpha-lipoic</w:t>
      </w:r>
      <w:r>
        <w:rPr>
          <w:spacing w:val="-1"/>
        </w:rPr>
        <w:t> </w:t>
      </w:r>
      <w:r>
        <w:rPr/>
        <w:t>acid.</w:t>
      </w:r>
    </w:p>
    <w:p>
      <w:pPr>
        <w:pStyle w:val="BodyText"/>
        <w:rPr>
          <w:sz w:val="41"/>
        </w:rPr>
      </w:pPr>
    </w:p>
    <w:p>
      <w:pPr>
        <w:pStyle w:val="Heading1"/>
        <w:spacing w:before="1"/>
        <w:jc w:val="both"/>
      </w:pPr>
      <w:r>
        <w:rPr/>
        <w:t>Alpha-lipoic acid as a protector of our genes</w:t>
      </w:r>
    </w:p>
    <w:p>
      <w:pPr>
        <w:pStyle w:val="BodyText"/>
        <w:spacing w:line="276" w:lineRule="auto" w:before="299"/>
        <w:ind w:left="477" w:right="133"/>
        <w:jc w:val="both"/>
      </w:pPr>
      <w:r>
        <w:rPr/>
        <w:t>Genes determine our genetic material and largely decide not only our appear- ance,</w:t>
      </w:r>
      <w:r>
        <w:rPr>
          <w:spacing w:val="-8"/>
        </w:rPr>
        <w:t> </w:t>
      </w:r>
      <w:r>
        <w:rPr/>
        <w:t>but</w:t>
      </w:r>
      <w:r>
        <w:rPr>
          <w:spacing w:val="-9"/>
        </w:rPr>
        <w:t> </w:t>
      </w:r>
      <w:r>
        <w:rPr/>
        <w:t>also</w:t>
      </w:r>
      <w:r>
        <w:rPr>
          <w:spacing w:val="-10"/>
        </w:rPr>
        <w:t> </w:t>
      </w:r>
      <w:r>
        <w:rPr/>
        <w:t>how</w:t>
      </w:r>
      <w:r>
        <w:rPr>
          <w:spacing w:val="-8"/>
        </w:rPr>
        <w:t> </w:t>
      </w:r>
      <w:r>
        <w:rPr/>
        <w:t>healthy</w:t>
      </w:r>
      <w:r>
        <w:rPr>
          <w:spacing w:val="-8"/>
        </w:rPr>
        <w:t> </w:t>
      </w:r>
      <w:r>
        <w:rPr/>
        <w:t>we</w:t>
      </w:r>
      <w:r>
        <w:rPr>
          <w:spacing w:val="-8"/>
        </w:rPr>
        <w:t> </w:t>
      </w:r>
      <w:r>
        <w:rPr/>
        <w:t>are</w:t>
      </w:r>
      <w:r>
        <w:rPr>
          <w:spacing w:val="-8"/>
        </w:rPr>
        <w:t> </w:t>
      </w:r>
      <w:r>
        <w:rPr/>
        <w:t>and</w:t>
      </w:r>
      <w:r>
        <w:rPr>
          <w:spacing w:val="-8"/>
        </w:rPr>
        <w:t> </w:t>
      </w:r>
      <w:r>
        <w:rPr/>
        <w:t>will</w:t>
      </w:r>
      <w:r>
        <w:rPr>
          <w:spacing w:val="-9"/>
        </w:rPr>
        <w:t> </w:t>
      </w:r>
      <w:r>
        <w:rPr/>
        <w:t>continue</w:t>
      </w:r>
      <w:r>
        <w:rPr>
          <w:spacing w:val="-8"/>
        </w:rPr>
        <w:t> </w:t>
      </w:r>
      <w:r>
        <w:rPr/>
        <w:t>to</w:t>
      </w:r>
      <w:r>
        <w:rPr>
          <w:spacing w:val="-7"/>
        </w:rPr>
        <w:t> </w:t>
      </w:r>
      <w:r>
        <w:rPr/>
        <w:t>be.</w:t>
      </w:r>
      <w:r>
        <w:rPr>
          <w:spacing w:val="-9"/>
        </w:rPr>
        <w:t> </w:t>
      </w:r>
      <w:r>
        <w:rPr/>
        <w:t>A</w:t>
      </w:r>
      <w:r>
        <w:rPr>
          <w:spacing w:val="-8"/>
        </w:rPr>
        <w:t> </w:t>
      </w:r>
      <w:r>
        <w:rPr/>
        <w:t>positive</w:t>
      </w:r>
      <w:r>
        <w:rPr>
          <w:spacing w:val="-9"/>
        </w:rPr>
        <w:t> </w:t>
      </w:r>
      <w:r>
        <w:rPr/>
        <w:t>impact</w:t>
      </w:r>
      <w:r>
        <w:rPr>
          <w:spacing w:val="-9"/>
        </w:rPr>
        <w:t> </w:t>
      </w:r>
      <w:r>
        <w:rPr/>
        <w:t>on our</w:t>
      </w:r>
      <w:r>
        <w:rPr>
          <w:spacing w:val="17"/>
        </w:rPr>
        <w:t> </w:t>
      </w:r>
      <w:r>
        <w:rPr/>
        <w:t>genetic</w:t>
      </w:r>
      <w:r>
        <w:rPr>
          <w:spacing w:val="17"/>
        </w:rPr>
        <w:t> </w:t>
      </w:r>
      <w:r>
        <w:rPr/>
        <w:t>material</w:t>
      </w:r>
      <w:r>
        <w:rPr>
          <w:spacing w:val="16"/>
        </w:rPr>
        <w:t> </w:t>
      </w:r>
      <w:r>
        <w:rPr/>
        <w:t>(our</w:t>
      </w:r>
      <w:r>
        <w:rPr>
          <w:spacing w:val="18"/>
        </w:rPr>
        <w:t> </w:t>
      </w:r>
      <w:r>
        <w:rPr/>
        <w:t>genes)</w:t>
      </w:r>
      <w:r>
        <w:rPr>
          <w:spacing w:val="16"/>
        </w:rPr>
        <w:t> </w:t>
      </w:r>
      <w:r>
        <w:rPr/>
        <w:t>is</w:t>
      </w:r>
      <w:r>
        <w:rPr>
          <w:spacing w:val="17"/>
        </w:rPr>
        <w:t> </w:t>
      </w:r>
      <w:r>
        <w:rPr/>
        <w:t>a</w:t>
      </w:r>
      <w:r>
        <w:rPr>
          <w:spacing w:val="16"/>
        </w:rPr>
        <w:t> </w:t>
      </w:r>
      <w:r>
        <w:rPr/>
        <w:t>very</w:t>
      </w:r>
      <w:r>
        <w:rPr>
          <w:spacing w:val="16"/>
        </w:rPr>
        <w:t> </w:t>
      </w:r>
      <w:r>
        <w:rPr/>
        <w:t>complex</w:t>
      </w:r>
      <w:r>
        <w:rPr>
          <w:spacing w:val="17"/>
        </w:rPr>
        <w:t> </w:t>
      </w:r>
      <w:r>
        <w:rPr/>
        <w:t>topic</w:t>
      </w:r>
      <w:r>
        <w:rPr>
          <w:spacing w:val="17"/>
        </w:rPr>
        <w:t> </w:t>
      </w:r>
      <w:r>
        <w:rPr/>
        <w:t>that</w:t>
      </w:r>
      <w:r>
        <w:rPr>
          <w:spacing w:val="17"/>
        </w:rPr>
        <w:t> </w:t>
      </w:r>
      <w:r>
        <w:rPr/>
        <w:t>can</w:t>
      </w:r>
      <w:r>
        <w:rPr>
          <w:spacing w:val="18"/>
        </w:rPr>
        <w:t> </w:t>
      </w:r>
      <w:r>
        <w:rPr/>
        <w:t>be</w:t>
      </w:r>
      <w:r>
        <w:rPr>
          <w:spacing w:val="16"/>
        </w:rPr>
        <w:t> </w:t>
      </w:r>
      <w:r>
        <w:rPr/>
        <w:t>explained</w:t>
      </w:r>
    </w:p>
    <w:p>
      <w:pPr>
        <w:pStyle w:val="BodyText"/>
        <w:rPr>
          <w:sz w:val="20"/>
        </w:rPr>
      </w:pPr>
    </w:p>
    <w:p>
      <w:pPr>
        <w:pStyle w:val="BodyText"/>
        <w:spacing w:before="11"/>
        <w:rPr>
          <w:sz w:val="16"/>
        </w:rPr>
      </w:pPr>
      <w:r>
        <w:rPr/>
        <w:pict>
          <v:line style="position:absolute;mso-position-horizontal-relative:page;mso-position-vertical-relative:paragraph;z-index:-616;mso-wrap-distance-left:0;mso-wrap-distance-right:0" from="63.863998pt,11.908765pt" to="207.883998pt,11.90876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24 </w:t>
      </w:r>
      <w:r>
        <w:rPr>
          <w:sz w:val="20"/>
        </w:rPr>
        <w:t>Korkina et al. 1993</w:t>
      </w:r>
    </w:p>
    <w:p>
      <w:pPr>
        <w:spacing w:after="0"/>
        <w:jc w:val="left"/>
        <w:rPr>
          <w:sz w:val="20"/>
        </w:rPr>
        <w:sectPr>
          <w:pgSz w:w="14270" w:h="16850"/>
          <w:pgMar w:header="0" w:footer="1891" w:top="1600" w:bottom="2080" w:left="800" w:right="1280"/>
        </w:sectPr>
      </w:pPr>
    </w:p>
    <w:p>
      <w:pPr>
        <w:pStyle w:val="BodyText"/>
        <w:spacing w:before="181"/>
        <w:ind w:left="477"/>
      </w:pPr>
      <w:r>
        <w:rPr/>
        <w:t>in simple terms as follows:</w:t>
      </w:r>
    </w:p>
    <w:p>
      <w:pPr>
        <w:pStyle w:val="ListParagraph"/>
        <w:numPr>
          <w:ilvl w:val="0"/>
          <w:numId w:val="12"/>
        </w:numPr>
        <w:tabs>
          <w:tab w:pos="1189" w:val="left" w:leader="none"/>
          <w:tab w:pos="1191" w:val="left" w:leader="none"/>
        </w:tabs>
        <w:spacing w:line="240" w:lineRule="auto" w:before="306" w:after="0"/>
        <w:ind w:left="1190" w:right="0" w:hanging="356"/>
        <w:jc w:val="left"/>
        <w:rPr>
          <w:sz w:val="38"/>
        </w:rPr>
      </w:pPr>
      <w:r>
        <w:rPr>
          <w:sz w:val="38"/>
        </w:rPr>
        <w:t>Genes, whether good or bad, only become effective when</w:t>
      </w:r>
      <w:r>
        <w:rPr>
          <w:spacing w:val="-13"/>
          <w:sz w:val="38"/>
        </w:rPr>
        <w:t> </w:t>
      </w:r>
      <w:r>
        <w:rPr>
          <w:sz w:val="38"/>
        </w:rPr>
        <w:t>activated.</w:t>
      </w:r>
    </w:p>
    <w:p>
      <w:pPr>
        <w:pStyle w:val="ListParagraph"/>
        <w:numPr>
          <w:ilvl w:val="0"/>
          <w:numId w:val="12"/>
        </w:numPr>
        <w:tabs>
          <w:tab w:pos="1189" w:val="left" w:leader="none"/>
          <w:tab w:pos="1191" w:val="left" w:leader="none"/>
        </w:tabs>
        <w:spacing w:line="240" w:lineRule="auto" w:before="184" w:after="0"/>
        <w:ind w:left="1190" w:right="0" w:hanging="356"/>
        <w:jc w:val="left"/>
        <w:rPr>
          <w:sz w:val="38"/>
        </w:rPr>
      </w:pPr>
      <w:r>
        <w:rPr>
          <w:sz w:val="38"/>
        </w:rPr>
        <w:t>Free radicals are important factors that can activate</w:t>
      </w:r>
      <w:r>
        <w:rPr>
          <w:spacing w:val="-3"/>
          <w:sz w:val="38"/>
        </w:rPr>
        <w:t> </w:t>
      </w:r>
      <w:r>
        <w:rPr>
          <w:sz w:val="38"/>
        </w:rPr>
        <w:t>genes.</w:t>
      </w:r>
    </w:p>
    <w:p>
      <w:pPr>
        <w:pStyle w:val="ListParagraph"/>
        <w:numPr>
          <w:ilvl w:val="0"/>
          <w:numId w:val="12"/>
        </w:numPr>
        <w:tabs>
          <w:tab w:pos="1191" w:val="left" w:leader="none"/>
        </w:tabs>
        <w:spacing w:line="273" w:lineRule="auto" w:before="184" w:after="0"/>
        <w:ind w:left="1190" w:right="131" w:hanging="356"/>
        <w:jc w:val="both"/>
        <w:rPr>
          <w:sz w:val="38"/>
        </w:rPr>
      </w:pPr>
      <w:r>
        <w:rPr>
          <w:sz w:val="38"/>
        </w:rPr>
        <w:t>The gene with the abbreviation NF-kB plays an important role as an ‘in- formation mediator’ until the activation process</w:t>
      </w:r>
      <w:r>
        <w:rPr>
          <w:spacing w:val="1"/>
          <w:sz w:val="38"/>
        </w:rPr>
        <w:t> </w:t>
      </w:r>
      <w:r>
        <w:rPr>
          <w:sz w:val="38"/>
        </w:rPr>
        <w:t>occurs.</w:t>
      </w:r>
    </w:p>
    <w:p>
      <w:pPr>
        <w:pStyle w:val="ListParagraph"/>
        <w:numPr>
          <w:ilvl w:val="0"/>
          <w:numId w:val="12"/>
        </w:numPr>
        <w:tabs>
          <w:tab w:pos="1191" w:val="left" w:leader="none"/>
        </w:tabs>
        <w:spacing w:line="276" w:lineRule="auto" w:before="127" w:after="0"/>
        <w:ind w:left="1190" w:right="132" w:hanging="356"/>
        <w:jc w:val="both"/>
        <w:rPr>
          <w:sz w:val="38"/>
        </w:rPr>
      </w:pPr>
      <w:r>
        <w:rPr>
          <w:sz w:val="38"/>
        </w:rPr>
        <w:t>Thus, the gene NF-kB has the honourable task of protecting cells from damage, such as UV rays, environmental toxins, alcohol and nicotine</w:t>
      </w:r>
      <w:r>
        <w:rPr>
          <w:spacing w:val="-58"/>
          <w:sz w:val="38"/>
        </w:rPr>
        <w:t> </w:t>
      </w:r>
      <w:r>
        <w:rPr>
          <w:sz w:val="38"/>
        </w:rPr>
        <w:t>con- sumption, by triggering the activation of other genes, the production of certain enzymes to destroy the hostile substances.</w:t>
      </w:r>
    </w:p>
    <w:p>
      <w:pPr>
        <w:pStyle w:val="ListParagraph"/>
        <w:numPr>
          <w:ilvl w:val="0"/>
          <w:numId w:val="12"/>
        </w:numPr>
        <w:tabs>
          <w:tab w:pos="1191" w:val="left" w:leader="none"/>
        </w:tabs>
        <w:spacing w:line="273" w:lineRule="auto" w:before="120" w:after="0"/>
        <w:ind w:left="1190" w:right="137" w:hanging="356"/>
        <w:jc w:val="both"/>
        <w:rPr>
          <w:sz w:val="38"/>
        </w:rPr>
      </w:pPr>
      <w:r>
        <w:rPr>
          <w:sz w:val="38"/>
        </w:rPr>
        <w:t>However, if the NF-kB gene has to perform this function too often, then it upsets the balance and the body is damaged, and can even be seriously harmed!</w:t>
      </w:r>
    </w:p>
    <w:p>
      <w:pPr>
        <w:pStyle w:val="BodyText"/>
        <w:spacing w:line="276" w:lineRule="auto" w:before="250"/>
        <w:ind w:left="477" w:right="137"/>
        <w:jc w:val="both"/>
      </w:pPr>
      <w:r>
        <w:rPr/>
        <w:t>But this is precisely what alpha-lipoic acid, in neutralising free radicals, helps</w:t>
      </w:r>
      <w:r>
        <w:rPr>
          <w:spacing w:val="-58"/>
        </w:rPr>
        <w:t> </w:t>
      </w:r>
      <w:r>
        <w:rPr/>
        <w:t>to prevent by stopping the gene NF-kB from performing its rescue tasks exces- sively, and from damaging the body in the event of a physical overload.</w:t>
      </w:r>
    </w:p>
    <w:p>
      <w:pPr>
        <w:spacing w:after="0" w:line="276" w:lineRule="auto"/>
        <w:jc w:val="both"/>
        <w:sectPr>
          <w:pgSz w:w="14270" w:h="16850"/>
          <w:pgMar w:header="0" w:footer="1891" w:top="1600" w:bottom="2080" w:left="800" w:right="1280"/>
        </w:sectPr>
      </w:pPr>
    </w:p>
    <w:p>
      <w:pPr>
        <w:pStyle w:val="Heading2"/>
        <w:spacing w:before="184"/>
      </w:pPr>
      <w:r>
        <w:rPr/>
        <w:t>Alpha-lipoic acid effect</w:t>
      </w:r>
    </w:p>
    <w:p>
      <w:pPr>
        <w:pStyle w:val="BodyText"/>
        <w:spacing w:before="11"/>
        <w:rPr>
          <w:b/>
          <w:sz w:val="35"/>
        </w:rPr>
      </w:pPr>
    </w:p>
    <w:p>
      <w:pPr>
        <w:spacing w:before="0"/>
        <w:ind w:left="477" w:right="0" w:firstLine="0"/>
        <w:jc w:val="left"/>
        <w:rPr>
          <w:b/>
          <w:i/>
          <w:sz w:val="40"/>
        </w:rPr>
      </w:pPr>
      <w:r>
        <w:rPr>
          <w:b/>
          <w:i/>
          <w:sz w:val="40"/>
        </w:rPr>
        <w:t>Alpha-lipoic acid and its effect on diabetes mellitus</w:t>
      </w:r>
    </w:p>
    <w:p>
      <w:pPr>
        <w:pStyle w:val="BodyText"/>
        <w:spacing w:line="276" w:lineRule="auto" w:before="299"/>
        <w:ind w:left="477" w:right="135"/>
        <w:jc w:val="both"/>
      </w:pPr>
      <w:r>
        <w:rPr/>
        <w:t>Diabetes mellitus, commonly known as simply ‘diabetes’, is a very unpleasant and fatal disease that affects for example around 8-10 million Germans.</w:t>
      </w:r>
    </w:p>
    <w:p>
      <w:pPr>
        <w:pStyle w:val="BodyText"/>
        <w:spacing w:line="276" w:lineRule="auto" w:before="241"/>
        <w:ind w:left="477" w:right="133"/>
        <w:jc w:val="both"/>
      </w:pPr>
      <w:r>
        <w:rPr/>
        <w:t>As</w:t>
      </w:r>
      <w:r>
        <w:rPr>
          <w:spacing w:val="-21"/>
        </w:rPr>
        <w:t> </w:t>
      </w:r>
      <w:r>
        <w:rPr/>
        <w:t>already</w:t>
      </w:r>
      <w:r>
        <w:rPr>
          <w:spacing w:val="-22"/>
        </w:rPr>
        <w:t> </w:t>
      </w:r>
      <w:r>
        <w:rPr/>
        <w:t>mentioned,</w:t>
      </w:r>
      <w:r>
        <w:rPr>
          <w:spacing w:val="-18"/>
        </w:rPr>
        <w:t> </w:t>
      </w:r>
      <w:r>
        <w:rPr/>
        <w:t>Type</w:t>
      </w:r>
      <w:r>
        <w:rPr>
          <w:spacing w:val="-22"/>
        </w:rPr>
        <w:t> </w:t>
      </w:r>
      <w:r>
        <w:rPr/>
        <w:t>1</w:t>
      </w:r>
      <w:r>
        <w:rPr>
          <w:spacing w:val="-22"/>
        </w:rPr>
        <w:t> </w:t>
      </w:r>
      <w:r>
        <w:rPr/>
        <w:t>diabetes</w:t>
      </w:r>
      <w:r>
        <w:rPr>
          <w:spacing w:val="-20"/>
        </w:rPr>
        <w:t> </w:t>
      </w:r>
      <w:r>
        <w:rPr/>
        <w:t>affects</w:t>
      </w:r>
      <w:r>
        <w:rPr>
          <w:spacing w:val="-20"/>
        </w:rPr>
        <w:t> </w:t>
      </w:r>
      <w:r>
        <w:rPr/>
        <w:t>10</w:t>
      </w:r>
      <w:r>
        <w:rPr>
          <w:spacing w:val="-22"/>
        </w:rPr>
        <w:t> </w:t>
      </w:r>
      <w:r>
        <w:rPr/>
        <w:t>%</w:t>
      </w:r>
      <w:r>
        <w:rPr>
          <w:spacing w:val="-22"/>
        </w:rPr>
        <w:t> </w:t>
      </w:r>
      <w:r>
        <w:rPr/>
        <w:t>of</w:t>
      </w:r>
      <w:r>
        <w:rPr>
          <w:spacing w:val="-21"/>
        </w:rPr>
        <w:t> </w:t>
      </w:r>
      <w:r>
        <w:rPr/>
        <w:t>all</w:t>
      </w:r>
      <w:r>
        <w:rPr>
          <w:spacing w:val="-22"/>
        </w:rPr>
        <w:t> </w:t>
      </w:r>
      <w:r>
        <w:rPr/>
        <w:t>diabetics</w:t>
      </w:r>
      <w:r>
        <w:rPr>
          <w:spacing w:val="-21"/>
        </w:rPr>
        <w:t> </w:t>
      </w:r>
      <w:r>
        <w:rPr/>
        <w:t>and</w:t>
      </w:r>
      <w:r>
        <w:rPr>
          <w:spacing w:val="-21"/>
        </w:rPr>
        <w:t> </w:t>
      </w:r>
      <w:r>
        <w:rPr/>
        <w:t>is</w:t>
      </w:r>
      <w:r>
        <w:rPr>
          <w:spacing w:val="-21"/>
        </w:rPr>
        <w:t> </w:t>
      </w:r>
      <w:r>
        <w:rPr/>
        <w:t>caused by the lack of the hormone insulin, which is why this type of diabetes is also called insulin- dependent diabetes mellitus. This disease begins at a very young age, usually as early as childhood or</w:t>
      </w:r>
      <w:r>
        <w:rPr>
          <w:spacing w:val="-2"/>
        </w:rPr>
        <w:t> </w:t>
      </w:r>
      <w:r>
        <w:rPr/>
        <w:t>adolescence.</w:t>
      </w:r>
    </w:p>
    <w:p>
      <w:pPr>
        <w:pStyle w:val="BodyText"/>
        <w:spacing w:line="276" w:lineRule="auto" w:before="240"/>
        <w:ind w:left="477" w:right="130"/>
        <w:jc w:val="both"/>
      </w:pPr>
      <w:r>
        <w:rPr/>
        <w:t>Type</w:t>
      </w:r>
      <w:r>
        <w:rPr>
          <w:spacing w:val="-13"/>
        </w:rPr>
        <w:t> </w:t>
      </w:r>
      <w:r>
        <w:rPr/>
        <w:t>2</w:t>
      </w:r>
      <w:r>
        <w:rPr>
          <w:spacing w:val="-14"/>
        </w:rPr>
        <w:t> </w:t>
      </w:r>
      <w:r>
        <w:rPr/>
        <w:t>diabetes,</w:t>
      </w:r>
      <w:r>
        <w:rPr>
          <w:spacing w:val="-16"/>
        </w:rPr>
        <w:t> </w:t>
      </w:r>
      <w:r>
        <w:rPr/>
        <w:t>formerly</w:t>
      </w:r>
      <w:r>
        <w:rPr>
          <w:spacing w:val="-15"/>
        </w:rPr>
        <w:t> </w:t>
      </w:r>
      <w:r>
        <w:rPr/>
        <w:t>also</w:t>
      </w:r>
      <w:r>
        <w:rPr>
          <w:spacing w:val="-14"/>
        </w:rPr>
        <w:t> </w:t>
      </w:r>
      <w:r>
        <w:rPr/>
        <w:t>called</w:t>
      </w:r>
      <w:r>
        <w:rPr>
          <w:spacing w:val="-15"/>
        </w:rPr>
        <w:t> </w:t>
      </w:r>
      <w:r>
        <w:rPr/>
        <w:t>‘non-insulin-dependent</w:t>
      </w:r>
      <w:r>
        <w:rPr>
          <w:spacing w:val="-13"/>
        </w:rPr>
        <w:t> </w:t>
      </w:r>
      <w:r>
        <w:rPr/>
        <w:t>diabetes’</w:t>
      </w:r>
      <w:r>
        <w:rPr>
          <w:spacing w:val="-13"/>
        </w:rPr>
        <w:t> </w:t>
      </w:r>
      <w:r>
        <w:rPr/>
        <w:t>or</w:t>
      </w:r>
      <w:r>
        <w:rPr>
          <w:spacing w:val="-15"/>
        </w:rPr>
        <w:t> </w:t>
      </w:r>
      <w:r>
        <w:rPr/>
        <w:t>‘adult- onset diabetes’, mostly affects the elderly and does not necessarily require</w:t>
      </w:r>
      <w:r>
        <w:rPr>
          <w:spacing w:val="-55"/>
        </w:rPr>
        <w:t> </w:t>
      </w:r>
      <w:r>
        <w:rPr/>
        <w:t>insu- lin treatment. This type of diabetes affects around 90 % of diabetics. Environ- mental factors, obesity and increasing sugar consumption are the causes, and more and more young people are falling ill with Type 2</w:t>
      </w:r>
      <w:r>
        <w:rPr>
          <w:spacing w:val="-8"/>
        </w:rPr>
        <w:t> </w:t>
      </w:r>
      <w:r>
        <w:rPr/>
        <w:t>diabetes.</w:t>
      </w:r>
    </w:p>
    <w:p>
      <w:pPr>
        <w:pStyle w:val="Heading1"/>
        <w:spacing w:before="222"/>
      </w:pPr>
      <w:r>
        <w:rPr/>
        <w:t>Alpha-lipoic acid can help with diabetes on several fronts:</w:t>
      </w:r>
    </w:p>
    <w:p>
      <w:pPr>
        <w:pStyle w:val="ListParagraph"/>
        <w:numPr>
          <w:ilvl w:val="0"/>
          <w:numId w:val="12"/>
        </w:numPr>
        <w:tabs>
          <w:tab w:pos="1189" w:val="left" w:leader="none"/>
          <w:tab w:pos="1191" w:val="left" w:leader="none"/>
        </w:tabs>
        <w:spacing w:line="240" w:lineRule="auto" w:before="181" w:after="0"/>
        <w:ind w:left="1190" w:right="0" w:hanging="356"/>
        <w:jc w:val="left"/>
        <w:rPr>
          <w:sz w:val="38"/>
        </w:rPr>
      </w:pPr>
      <w:r>
        <w:rPr>
          <w:sz w:val="38"/>
        </w:rPr>
        <w:t>It helps the cell use glucose for energy</w:t>
      </w:r>
      <w:r>
        <w:rPr>
          <w:spacing w:val="-6"/>
          <w:sz w:val="38"/>
        </w:rPr>
        <w:t> </w:t>
      </w:r>
      <w:r>
        <w:rPr>
          <w:sz w:val="38"/>
        </w:rPr>
        <w:t>production;</w:t>
      </w:r>
    </w:p>
    <w:p>
      <w:pPr>
        <w:pStyle w:val="ListParagraph"/>
        <w:numPr>
          <w:ilvl w:val="0"/>
          <w:numId w:val="12"/>
        </w:numPr>
        <w:tabs>
          <w:tab w:pos="1191" w:val="left" w:leader="none"/>
        </w:tabs>
        <w:spacing w:line="273" w:lineRule="auto" w:before="304" w:after="0"/>
        <w:ind w:left="1190" w:right="132" w:hanging="356"/>
        <w:jc w:val="both"/>
        <w:rPr>
          <w:sz w:val="38"/>
        </w:rPr>
      </w:pPr>
      <w:r>
        <w:rPr>
          <w:sz w:val="38"/>
        </w:rPr>
        <w:t>it activates the transport molecules Glut-1 and Glut-4, which are also re- sponsible for the introduction of glucose into the muscle cells, where it is then consumed as energy. </w:t>
      </w:r>
      <w:r>
        <w:rPr>
          <w:position w:val="9"/>
          <w:sz w:val="25"/>
        </w:rPr>
        <w:t>25 </w:t>
      </w:r>
      <w:r>
        <w:rPr>
          <w:sz w:val="38"/>
        </w:rPr>
        <w:t>Furthermore, the degradation of</w:t>
      </w:r>
      <w:r>
        <w:rPr>
          <w:spacing w:val="41"/>
          <w:sz w:val="38"/>
        </w:rPr>
        <w:t> </w:t>
      </w:r>
      <w:r>
        <w:rPr>
          <w:sz w:val="38"/>
        </w:rPr>
        <w:t>these</w:t>
      </w:r>
    </w:p>
    <w:p>
      <w:pPr>
        <w:pStyle w:val="BodyText"/>
        <w:rPr>
          <w:sz w:val="20"/>
        </w:rPr>
      </w:pPr>
    </w:p>
    <w:p>
      <w:pPr>
        <w:pStyle w:val="BodyText"/>
        <w:rPr>
          <w:sz w:val="20"/>
        </w:rPr>
      </w:pPr>
    </w:p>
    <w:p>
      <w:pPr>
        <w:pStyle w:val="BodyText"/>
        <w:spacing w:before="10"/>
        <w:rPr>
          <w:sz w:val="18"/>
        </w:rPr>
      </w:pPr>
      <w:r>
        <w:rPr/>
        <w:pict>
          <v:line style="position:absolute;mso-position-horizontal-relative:page;mso-position-vertical-relative:paragraph;z-index:-592;mso-wrap-distance-left:0;mso-wrap-distance-right:0" from="63.863998pt,13.012456pt" to="207.883998pt,13.012456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25 </w:t>
      </w:r>
      <w:r>
        <w:rPr>
          <w:sz w:val="20"/>
        </w:rPr>
        <w:t>Passwater 1995</w:t>
      </w:r>
    </w:p>
    <w:p>
      <w:pPr>
        <w:spacing w:after="0"/>
        <w:jc w:val="left"/>
        <w:rPr>
          <w:sz w:val="20"/>
        </w:rPr>
        <w:sectPr>
          <w:pgSz w:w="14270" w:h="16850"/>
          <w:pgMar w:header="0" w:footer="1891" w:top="1600" w:bottom="2080" w:left="800" w:right="1280"/>
        </w:sectPr>
      </w:pPr>
    </w:p>
    <w:p>
      <w:pPr>
        <w:pStyle w:val="BodyText"/>
        <w:spacing w:line="276" w:lineRule="auto" w:before="181"/>
        <w:ind w:left="1190"/>
      </w:pPr>
      <w:r>
        <w:rPr/>
        <w:t>transport molecules is prevented</w:t>
      </w:r>
      <w:r>
        <w:rPr>
          <w:position w:val="9"/>
          <w:sz w:val="25"/>
        </w:rPr>
        <w:t>26</w:t>
      </w:r>
      <w:r>
        <w:rPr/>
        <w:t>, and these mechanisms help our blood sugar levels return to normal. Glucose uptake can be increased by &gt; 50</w:t>
      </w:r>
    </w:p>
    <w:p>
      <w:pPr>
        <w:spacing w:line="427" w:lineRule="exact" w:before="0"/>
        <w:ind w:left="1190" w:right="0" w:firstLine="0"/>
        <w:jc w:val="left"/>
        <w:rPr>
          <w:sz w:val="25"/>
        </w:rPr>
      </w:pPr>
      <w:r>
        <w:rPr>
          <w:position w:val="-8"/>
          <w:sz w:val="38"/>
        </w:rPr>
        <w:t>%.</w:t>
      </w:r>
      <w:r>
        <w:rPr>
          <w:sz w:val="25"/>
        </w:rPr>
        <w:t>27</w:t>
      </w:r>
    </w:p>
    <w:p>
      <w:pPr>
        <w:pStyle w:val="ListParagraph"/>
        <w:numPr>
          <w:ilvl w:val="0"/>
          <w:numId w:val="12"/>
        </w:numPr>
        <w:tabs>
          <w:tab w:pos="1285" w:val="left" w:leader="none"/>
          <w:tab w:pos="1286" w:val="left" w:leader="none"/>
        </w:tabs>
        <w:spacing w:line="240" w:lineRule="auto" w:before="308" w:after="0"/>
        <w:ind w:left="1286" w:right="0" w:hanging="452"/>
        <w:jc w:val="left"/>
        <w:rPr>
          <w:sz w:val="25"/>
        </w:rPr>
      </w:pPr>
      <w:r>
        <w:rPr>
          <w:sz w:val="38"/>
        </w:rPr>
        <w:t>Studies have shown that alpha-lipoic acid improves insulin</w:t>
      </w:r>
      <w:r>
        <w:rPr>
          <w:spacing w:val="-10"/>
          <w:sz w:val="38"/>
        </w:rPr>
        <w:t> </w:t>
      </w:r>
      <w:r>
        <w:rPr>
          <w:sz w:val="38"/>
        </w:rPr>
        <w:t>sensitivity.</w:t>
      </w:r>
      <w:r>
        <w:rPr>
          <w:position w:val="9"/>
          <w:sz w:val="25"/>
        </w:rPr>
        <w:t>28</w:t>
      </w:r>
    </w:p>
    <w:p>
      <w:pPr>
        <w:pStyle w:val="ListParagraph"/>
        <w:numPr>
          <w:ilvl w:val="0"/>
          <w:numId w:val="12"/>
        </w:numPr>
        <w:tabs>
          <w:tab w:pos="1286" w:val="left" w:leader="none"/>
        </w:tabs>
        <w:spacing w:line="276" w:lineRule="auto" w:before="303" w:after="0"/>
        <w:ind w:left="1190" w:right="133" w:hanging="356"/>
        <w:jc w:val="both"/>
        <w:rPr>
          <w:sz w:val="38"/>
        </w:rPr>
      </w:pPr>
      <w:r>
        <w:rPr>
          <w:sz w:val="38"/>
        </w:rPr>
        <w:t>Intravenous</w:t>
      </w:r>
      <w:r>
        <w:rPr>
          <w:spacing w:val="-9"/>
          <w:sz w:val="38"/>
        </w:rPr>
        <w:t> </w:t>
      </w:r>
      <w:r>
        <w:rPr>
          <w:sz w:val="38"/>
        </w:rPr>
        <w:t>infusions</w:t>
      </w:r>
      <w:r>
        <w:rPr>
          <w:spacing w:val="-9"/>
          <w:sz w:val="38"/>
        </w:rPr>
        <w:t> </w:t>
      </w:r>
      <w:r>
        <w:rPr>
          <w:sz w:val="38"/>
        </w:rPr>
        <w:t>of</w:t>
      </w:r>
      <w:r>
        <w:rPr>
          <w:spacing w:val="-8"/>
          <w:sz w:val="38"/>
        </w:rPr>
        <w:t> </w:t>
      </w:r>
      <w:r>
        <w:rPr>
          <w:sz w:val="38"/>
        </w:rPr>
        <w:t>600</w:t>
      </w:r>
      <w:r>
        <w:rPr>
          <w:spacing w:val="-10"/>
          <w:sz w:val="38"/>
        </w:rPr>
        <w:t> </w:t>
      </w:r>
      <w:r>
        <w:rPr>
          <w:sz w:val="38"/>
        </w:rPr>
        <w:t>mg</w:t>
      </w:r>
      <w:r>
        <w:rPr>
          <w:spacing w:val="-8"/>
          <w:sz w:val="38"/>
        </w:rPr>
        <w:t> </w:t>
      </w:r>
      <w:r>
        <w:rPr>
          <w:sz w:val="38"/>
        </w:rPr>
        <w:t>and</w:t>
      </w:r>
      <w:r>
        <w:rPr>
          <w:spacing w:val="-9"/>
          <w:sz w:val="38"/>
        </w:rPr>
        <w:t> </w:t>
      </w:r>
      <w:r>
        <w:rPr>
          <w:sz w:val="38"/>
        </w:rPr>
        <w:t>1000</w:t>
      </w:r>
      <w:r>
        <w:rPr>
          <w:spacing w:val="-9"/>
          <w:sz w:val="38"/>
        </w:rPr>
        <w:t> </w:t>
      </w:r>
      <w:r>
        <w:rPr>
          <w:sz w:val="38"/>
        </w:rPr>
        <w:t>mg</w:t>
      </w:r>
      <w:r>
        <w:rPr>
          <w:spacing w:val="-9"/>
          <w:sz w:val="38"/>
        </w:rPr>
        <w:t> </w:t>
      </w:r>
      <w:r>
        <w:rPr>
          <w:sz w:val="38"/>
        </w:rPr>
        <w:t>of</w:t>
      </w:r>
      <w:r>
        <w:rPr>
          <w:spacing w:val="-8"/>
          <w:sz w:val="38"/>
        </w:rPr>
        <w:t> </w:t>
      </w:r>
      <w:r>
        <w:rPr>
          <w:sz w:val="38"/>
        </w:rPr>
        <w:t>alpha-lipoic</w:t>
      </w:r>
      <w:r>
        <w:rPr>
          <w:spacing w:val="-10"/>
          <w:sz w:val="38"/>
        </w:rPr>
        <w:t> </w:t>
      </w:r>
      <w:r>
        <w:rPr>
          <w:sz w:val="38"/>
        </w:rPr>
        <w:t>acid</w:t>
      </w:r>
      <w:r>
        <w:rPr>
          <w:spacing w:val="-9"/>
          <w:sz w:val="38"/>
        </w:rPr>
        <w:t> </w:t>
      </w:r>
      <w:r>
        <w:rPr>
          <w:sz w:val="38"/>
        </w:rPr>
        <w:t>in</w:t>
      </w:r>
      <w:r>
        <w:rPr>
          <w:spacing w:val="-9"/>
          <w:sz w:val="38"/>
        </w:rPr>
        <w:t> </w:t>
      </w:r>
      <w:r>
        <w:rPr>
          <w:sz w:val="38"/>
        </w:rPr>
        <w:t>peo- ple with Type 2 diabetes achieved an improvement in insulin sensitivity</w:t>
      </w:r>
      <w:r>
        <w:rPr>
          <w:spacing w:val="-52"/>
          <w:sz w:val="38"/>
        </w:rPr>
        <w:t> </w:t>
      </w:r>
      <w:r>
        <w:rPr>
          <w:sz w:val="38"/>
        </w:rPr>
        <w:t>of 27 % and 51 % respectively compared to the placebo, and a daily oral in- take</w:t>
      </w:r>
      <w:r>
        <w:rPr>
          <w:spacing w:val="-7"/>
          <w:sz w:val="38"/>
        </w:rPr>
        <w:t> </w:t>
      </w:r>
      <w:r>
        <w:rPr>
          <w:sz w:val="38"/>
        </w:rPr>
        <w:t>in</w:t>
      </w:r>
      <w:r>
        <w:rPr>
          <w:spacing w:val="-6"/>
          <w:sz w:val="38"/>
        </w:rPr>
        <w:t> </w:t>
      </w:r>
      <w:r>
        <w:rPr>
          <w:sz w:val="38"/>
        </w:rPr>
        <w:t>20</w:t>
      </w:r>
      <w:r>
        <w:rPr>
          <w:spacing w:val="-8"/>
          <w:sz w:val="38"/>
        </w:rPr>
        <w:t> </w:t>
      </w:r>
      <w:r>
        <w:rPr>
          <w:sz w:val="38"/>
        </w:rPr>
        <w:t>people</w:t>
      </w:r>
      <w:r>
        <w:rPr>
          <w:spacing w:val="-6"/>
          <w:sz w:val="38"/>
        </w:rPr>
        <w:t> </w:t>
      </w:r>
      <w:r>
        <w:rPr>
          <w:sz w:val="38"/>
        </w:rPr>
        <w:t>with</w:t>
      </w:r>
      <w:r>
        <w:rPr>
          <w:spacing w:val="-5"/>
          <w:sz w:val="38"/>
        </w:rPr>
        <w:t> </w:t>
      </w:r>
      <w:r>
        <w:rPr>
          <w:sz w:val="38"/>
        </w:rPr>
        <w:t>Type</w:t>
      </w:r>
      <w:r>
        <w:rPr>
          <w:spacing w:val="-5"/>
          <w:sz w:val="38"/>
        </w:rPr>
        <w:t> </w:t>
      </w:r>
      <w:r>
        <w:rPr>
          <w:sz w:val="38"/>
        </w:rPr>
        <w:t>2</w:t>
      </w:r>
      <w:r>
        <w:rPr>
          <w:spacing w:val="-7"/>
          <w:sz w:val="38"/>
        </w:rPr>
        <w:t> </w:t>
      </w:r>
      <w:r>
        <w:rPr>
          <w:sz w:val="38"/>
        </w:rPr>
        <w:t>diabetes</w:t>
      </w:r>
      <w:r>
        <w:rPr>
          <w:spacing w:val="-5"/>
          <w:sz w:val="38"/>
        </w:rPr>
        <w:t> </w:t>
      </w:r>
      <w:r>
        <w:rPr>
          <w:sz w:val="38"/>
        </w:rPr>
        <w:t>of</w:t>
      </w:r>
      <w:r>
        <w:rPr>
          <w:spacing w:val="-6"/>
          <w:sz w:val="38"/>
        </w:rPr>
        <w:t> </w:t>
      </w:r>
      <w:r>
        <w:rPr>
          <w:sz w:val="38"/>
        </w:rPr>
        <w:t>1200</w:t>
      </w:r>
      <w:r>
        <w:rPr>
          <w:spacing w:val="-7"/>
          <w:sz w:val="38"/>
        </w:rPr>
        <w:t> </w:t>
      </w:r>
      <w:r>
        <w:rPr>
          <w:sz w:val="38"/>
        </w:rPr>
        <w:t>mg</w:t>
      </w:r>
      <w:r>
        <w:rPr>
          <w:spacing w:val="-5"/>
          <w:sz w:val="38"/>
        </w:rPr>
        <w:t> </w:t>
      </w:r>
      <w:r>
        <w:rPr>
          <w:sz w:val="38"/>
        </w:rPr>
        <w:t>alpha-lipoic</w:t>
      </w:r>
      <w:r>
        <w:rPr>
          <w:spacing w:val="-5"/>
          <w:sz w:val="38"/>
        </w:rPr>
        <w:t> </w:t>
      </w:r>
      <w:r>
        <w:rPr>
          <w:sz w:val="38"/>
        </w:rPr>
        <w:t>acid</w:t>
      </w:r>
      <w:r>
        <w:rPr>
          <w:spacing w:val="-7"/>
          <w:sz w:val="38"/>
        </w:rPr>
        <w:t> </w:t>
      </w:r>
      <w:r>
        <w:rPr>
          <w:sz w:val="38"/>
        </w:rPr>
        <w:t>over</w:t>
      </w:r>
      <w:r>
        <w:rPr>
          <w:spacing w:val="-5"/>
          <w:sz w:val="38"/>
        </w:rPr>
        <w:t> </w:t>
      </w:r>
      <w:r>
        <w:rPr>
          <w:sz w:val="38"/>
        </w:rPr>
        <w:t>a period of four weeks caused a significant improvement in glucose metab- olism. Oral use of alpha-lipoic acid at doses of 600, 1200, or 1800 mg per day</w:t>
      </w:r>
      <w:r>
        <w:rPr>
          <w:spacing w:val="-12"/>
          <w:sz w:val="38"/>
        </w:rPr>
        <w:t> </w:t>
      </w:r>
      <w:r>
        <w:rPr>
          <w:sz w:val="38"/>
        </w:rPr>
        <w:t>over</w:t>
      </w:r>
      <w:r>
        <w:rPr>
          <w:spacing w:val="-10"/>
          <w:sz w:val="38"/>
        </w:rPr>
        <w:t> </w:t>
      </w:r>
      <w:r>
        <w:rPr>
          <w:sz w:val="38"/>
        </w:rPr>
        <w:t>four</w:t>
      </w:r>
      <w:r>
        <w:rPr>
          <w:spacing w:val="-11"/>
          <w:sz w:val="38"/>
        </w:rPr>
        <w:t> </w:t>
      </w:r>
      <w:r>
        <w:rPr>
          <w:sz w:val="38"/>
        </w:rPr>
        <w:t>weeks</w:t>
      </w:r>
      <w:r>
        <w:rPr>
          <w:spacing w:val="-11"/>
          <w:sz w:val="38"/>
        </w:rPr>
        <w:t> </w:t>
      </w:r>
      <w:r>
        <w:rPr>
          <w:sz w:val="38"/>
        </w:rPr>
        <w:t>resulted</w:t>
      </w:r>
      <w:r>
        <w:rPr>
          <w:spacing w:val="-12"/>
          <w:sz w:val="38"/>
        </w:rPr>
        <w:t> </w:t>
      </w:r>
      <w:r>
        <w:rPr>
          <w:sz w:val="38"/>
        </w:rPr>
        <w:t>in</w:t>
      </w:r>
      <w:r>
        <w:rPr>
          <w:spacing w:val="-12"/>
          <w:sz w:val="38"/>
        </w:rPr>
        <w:t> </w:t>
      </w:r>
      <w:r>
        <w:rPr>
          <w:sz w:val="38"/>
        </w:rPr>
        <w:t>an</w:t>
      </w:r>
      <w:r>
        <w:rPr>
          <w:spacing w:val="-10"/>
          <w:sz w:val="38"/>
        </w:rPr>
        <w:t> </w:t>
      </w:r>
      <w:r>
        <w:rPr>
          <w:sz w:val="38"/>
        </w:rPr>
        <w:t>improvement</w:t>
      </w:r>
      <w:r>
        <w:rPr>
          <w:spacing w:val="-11"/>
          <w:sz w:val="38"/>
        </w:rPr>
        <w:t> </w:t>
      </w:r>
      <w:r>
        <w:rPr>
          <w:sz w:val="38"/>
        </w:rPr>
        <w:t>in</w:t>
      </w:r>
      <w:r>
        <w:rPr>
          <w:spacing w:val="-11"/>
          <w:sz w:val="38"/>
        </w:rPr>
        <w:t> </w:t>
      </w:r>
      <w:r>
        <w:rPr>
          <w:sz w:val="38"/>
        </w:rPr>
        <w:t>insulin</w:t>
      </w:r>
      <w:r>
        <w:rPr>
          <w:spacing w:val="-11"/>
          <w:sz w:val="38"/>
        </w:rPr>
        <w:t> </w:t>
      </w:r>
      <w:r>
        <w:rPr>
          <w:sz w:val="38"/>
        </w:rPr>
        <w:t>sensitivity</w:t>
      </w:r>
      <w:r>
        <w:rPr>
          <w:spacing w:val="-11"/>
          <w:sz w:val="38"/>
        </w:rPr>
        <w:t> </w:t>
      </w:r>
      <w:r>
        <w:rPr>
          <w:sz w:val="38"/>
        </w:rPr>
        <w:t>of</w:t>
      </w:r>
      <w:r>
        <w:rPr>
          <w:spacing w:val="-10"/>
          <w:sz w:val="38"/>
        </w:rPr>
        <w:t> </w:t>
      </w:r>
      <w:r>
        <w:rPr>
          <w:sz w:val="38"/>
        </w:rPr>
        <w:t>25</w:t>
      </w:r>
    </w:p>
    <w:p>
      <w:pPr>
        <w:spacing w:line="423" w:lineRule="exact" w:before="0"/>
        <w:ind w:left="1190" w:right="0" w:firstLine="0"/>
        <w:jc w:val="left"/>
        <w:rPr>
          <w:sz w:val="25"/>
        </w:rPr>
      </w:pPr>
      <w:r>
        <w:rPr>
          <w:position w:val="-8"/>
          <w:sz w:val="38"/>
        </w:rPr>
        <w:t>%.</w:t>
      </w:r>
      <w:r>
        <w:rPr>
          <w:sz w:val="25"/>
        </w:rPr>
        <w:t>29</w:t>
      </w:r>
    </w:p>
    <w:p>
      <w:pPr>
        <w:pStyle w:val="ListParagraph"/>
        <w:numPr>
          <w:ilvl w:val="0"/>
          <w:numId w:val="12"/>
        </w:numPr>
        <w:tabs>
          <w:tab w:pos="1478" w:val="left" w:leader="none"/>
        </w:tabs>
        <w:spacing w:line="273" w:lineRule="auto" w:before="308" w:after="0"/>
        <w:ind w:left="1190" w:right="133" w:hanging="356"/>
        <w:jc w:val="both"/>
        <w:rPr>
          <w:sz w:val="38"/>
        </w:rPr>
      </w:pPr>
      <w:r>
        <w:rPr>
          <w:sz w:val="38"/>
        </w:rPr>
        <w:t>Studies such as the </w:t>
      </w:r>
      <w:r>
        <w:rPr>
          <w:i/>
          <w:sz w:val="38"/>
        </w:rPr>
        <w:t>Rochester Diabetic Neuropathy Study </w:t>
      </w:r>
      <w:r>
        <w:rPr>
          <w:sz w:val="38"/>
        </w:rPr>
        <w:t>have shown that every other diabetic has signs of neuropathy. Here, alpha-lipoic acid has proven very successful in the treatment of diabetic</w:t>
      </w:r>
      <w:r>
        <w:rPr>
          <w:spacing w:val="-9"/>
          <w:sz w:val="38"/>
        </w:rPr>
        <w:t> </w:t>
      </w:r>
      <w:r>
        <w:rPr>
          <w:sz w:val="38"/>
        </w:rPr>
        <w:t>polyneuropathy.</w:t>
      </w:r>
    </w:p>
    <w:p>
      <w:pPr>
        <w:pStyle w:val="ListParagraph"/>
        <w:numPr>
          <w:ilvl w:val="0"/>
          <w:numId w:val="12"/>
        </w:numPr>
        <w:tabs>
          <w:tab w:pos="1478" w:val="left" w:leader="none"/>
        </w:tabs>
        <w:spacing w:line="276" w:lineRule="auto" w:before="252" w:after="0"/>
        <w:ind w:left="1190" w:right="131" w:hanging="356"/>
        <w:jc w:val="both"/>
        <w:rPr>
          <w:sz w:val="38"/>
        </w:rPr>
      </w:pPr>
      <w:r>
        <w:rPr>
          <w:sz w:val="38"/>
        </w:rPr>
        <w:t>Metabolic</w:t>
      </w:r>
      <w:r>
        <w:rPr>
          <w:spacing w:val="-20"/>
          <w:sz w:val="38"/>
        </w:rPr>
        <w:t> </w:t>
      </w:r>
      <w:r>
        <w:rPr>
          <w:sz w:val="38"/>
        </w:rPr>
        <w:t>changes</w:t>
      </w:r>
      <w:r>
        <w:rPr>
          <w:spacing w:val="-16"/>
          <w:sz w:val="38"/>
        </w:rPr>
        <w:t> </w:t>
      </w:r>
      <w:r>
        <w:rPr>
          <w:sz w:val="38"/>
        </w:rPr>
        <w:t>in</w:t>
      </w:r>
      <w:r>
        <w:rPr>
          <w:spacing w:val="-19"/>
          <w:sz w:val="38"/>
        </w:rPr>
        <w:t> </w:t>
      </w:r>
      <w:r>
        <w:rPr>
          <w:sz w:val="38"/>
        </w:rPr>
        <w:t>diabetes</w:t>
      </w:r>
      <w:r>
        <w:rPr>
          <w:spacing w:val="-19"/>
          <w:sz w:val="38"/>
        </w:rPr>
        <w:t> </w:t>
      </w:r>
      <w:r>
        <w:rPr>
          <w:sz w:val="38"/>
        </w:rPr>
        <w:t>can</w:t>
      </w:r>
      <w:r>
        <w:rPr>
          <w:spacing w:val="-15"/>
          <w:sz w:val="38"/>
        </w:rPr>
        <w:t> </w:t>
      </w:r>
      <w:r>
        <w:rPr>
          <w:sz w:val="38"/>
        </w:rPr>
        <w:t>lead</w:t>
      </w:r>
      <w:r>
        <w:rPr>
          <w:spacing w:val="-17"/>
          <w:sz w:val="38"/>
        </w:rPr>
        <w:t> </w:t>
      </w:r>
      <w:r>
        <w:rPr>
          <w:sz w:val="38"/>
        </w:rPr>
        <w:t>to</w:t>
      </w:r>
      <w:r>
        <w:rPr>
          <w:spacing w:val="-19"/>
          <w:sz w:val="38"/>
        </w:rPr>
        <w:t> </w:t>
      </w:r>
      <w:r>
        <w:rPr>
          <w:sz w:val="38"/>
        </w:rPr>
        <w:t>functional</w:t>
      </w:r>
      <w:r>
        <w:rPr>
          <w:spacing w:val="-18"/>
          <w:sz w:val="38"/>
        </w:rPr>
        <w:t> </w:t>
      </w:r>
      <w:r>
        <w:rPr>
          <w:sz w:val="38"/>
        </w:rPr>
        <w:t>failure</w:t>
      </w:r>
      <w:r>
        <w:rPr>
          <w:spacing w:val="-16"/>
          <w:sz w:val="38"/>
        </w:rPr>
        <w:t> </w:t>
      </w:r>
      <w:r>
        <w:rPr>
          <w:sz w:val="38"/>
        </w:rPr>
        <w:t>in</w:t>
      </w:r>
      <w:r>
        <w:rPr>
          <w:spacing w:val="-16"/>
          <w:sz w:val="38"/>
        </w:rPr>
        <w:t> </w:t>
      </w:r>
      <w:r>
        <w:rPr>
          <w:sz w:val="38"/>
        </w:rPr>
        <w:t>the</w:t>
      </w:r>
      <w:r>
        <w:rPr>
          <w:spacing w:val="-17"/>
          <w:sz w:val="38"/>
        </w:rPr>
        <w:t> </w:t>
      </w:r>
      <w:r>
        <w:rPr>
          <w:sz w:val="38"/>
        </w:rPr>
        <w:t>nerves, such as numbness, abnormal sensations, tingling, pains and burning (e.g., diabetic</w:t>
      </w:r>
      <w:r>
        <w:rPr>
          <w:spacing w:val="-14"/>
          <w:sz w:val="38"/>
        </w:rPr>
        <w:t> </w:t>
      </w:r>
      <w:r>
        <w:rPr>
          <w:sz w:val="38"/>
        </w:rPr>
        <w:t>foot)</w:t>
      </w:r>
      <w:r>
        <w:rPr>
          <w:spacing w:val="-14"/>
          <w:sz w:val="38"/>
        </w:rPr>
        <w:t> </w:t>
      </w:r>
      <w:r>
        <w:rPr>
          <w:sz w:val="38"/>
        </w:rPr>
        <w:t>as</w:t>
      </w:r>
      <w:r>
        <w:rPr>
          <w:spacing w:val="-13"/>
          <w:sz w:val="38"/>
        </w:rPr>
        <w:t> </w:t>
      </w:r>
      <w:r>
        <w:rPr>
          <w:sz w:val="38"/>
        </w:rPr>
        <w:t>well</w:t>
      </w:r>
      <w:r>
        <w:rPr>
          <w:spacing w:val="-15"/>
          <w:sz w:val="38"/>
        </w:rPr>
        <w:t> </w:t>
      </w:r>
      <w:r>
        <w:rPr>
          <w:sz w:val="38"/>
        </w:rPr>
        <w:t>as</w:t>
      </w:r>
      <w:r>
        <w:rPr>
          <w:spacing w:val="-14"/>
          <w:sz w:val="38"/>
        </w:rPr>
        <w:t> </w:t>
      </w:r>
      <w:r>
        <w:rPr>
          <w:sz w:val="38"/>
        </w:rPr>
        <w:t>loss</w:t>
      </w:r>
      <w:r>
        <w:rPr>
          <w:spacing w:val="-12"/>
          <w:sz w:val="38"/>
        </w:rPr>
        <w:t> </w:t>
      </w:r>
      <w:r>
        <w:rPr>
          <w:sz w:val="38"/>
        </w:rPr>
        <w:t>of</w:t>
      </w:r>
      <w:r>
        <w:rPr>
          <w:spacing w:val="-13"/>
          <w:sz w:val="38"/>
        </w:rPr>
        <w:t> </w:t>
      </w:r>
      <w:r>
        <w:rPr>
          <w:sz w:val="38"/>
        </w:rPr>
        <w:t>reflexes.</w:t>
      </w:r>
      <w:r>
        <w:rPr>
          <w:spacing w:val="-12"/>
          <w:sz w:val="38"/>
        </w:rPr>
        <w:t> </w:t>
      </w:r>
      <w:r>
        <w:rPr>
          <w:sz w:val="38"/>
        </w:rPr>
        <w:t>An</w:t>
      </w:r>
      <w:r>
        <w:rPr>
          <w:spacing w:val="-14"/>
          <w:sz w:val="38"/>
        </w:rPr>
        <w:t> </w:t>
      </w:r>
      <w:r>
        <w:rPr>
          <w:sz w:val="38"/>
        </w:rPr>
        <w:t>increased</w:t>
      </w:r>
      <w:r>
        <w:rPr>
          <w:spacing w:val="-12"/>
          <w:sz w:val="38"/>
        </w:rPr>
        <w:t> </w:t>
      </w:r>
      <w:r>
        <w:rPr>
          <w:sz w:val="38"/>
        </w:rPr>
        <w:t>intake</w:t>
      </w:r>
      <w:r>
        <w:rPr>
          <w:spacing w:val="-14"/>
          <w:sz w:val="38"/>
        </w:rPr>
        <w:t> </w:t>
      </w:r>
      <w:r>
        <w:rPr>
          <w:sz w:val="38"/>
        </w:rPr>
        <w:t>of</w:t>
      </w:r>
      <w:r>
        <w:rPr>
          <w:spacing w:val="-13"/>
          <w:sz w:val="38"/>
        </w:rPr>
        <w:t> </w:t>
      </w:r>
      <w:r>
        <w:rPr>
          <w:sz w:val="38"/>
        </w:rPr>
        <w:t>alpha-lipoic acid</w:t>
      </w:r>
      <w:r>
        <w:rPr>
          <w:spacing w:val="30"/>
          <w:sz w:val="38"/>
        </w:rPr>
        <w:t> </w:t>
      </w:r>
      <w:r>
        <w:rPr>
          <w:sz w:val="38"/>
        </w:rPr>
        <w:t>can</w:t>
      </w:r>
      <w:r>
        <w:rPr>
          <w:spacing w:val="32"/>
          <w:sz w:val="38"/>
        </w:rPr>
        <w:t> </w:t>
      </w:r>
      <w:r>
        <w:rPr>
          <w:sz w:val="38"/>
        </w:rPr>
        <w:t>increase</w:t>
      </w:r>
      <w:r>
        <w:rPr>
          <w:spacing w:val="33"/>
          <w:sz w:val="38"/>
        </w:rPr>
        <w:t> </w:t>
      </w:r>
      <w:r>
        <w:rPr>
          <w:sz w:val="38"/>
        </w:rPr>
        <w:t>the</w:t>
      </w:r>
      <w:r>
        <w:rPr>
          <w:spacing w:val="32"/>
          <w:sz w:val="38"/>
        </w:rPr>
        <w:t> </w:t>
      </w:r>
      <w:r>
        <w:rPr>
          <w:sz w:val="38"/>
        </w:rPr>
        <w:t>energy</w:t>
      </w:r>
      <w:r>
        <w:rPr>
          <w:spacing w:val="32"/>
          <w:sz w:val="38"/>
        </w:rPr>
        <w:t> </w:t>
      </w:r>
      <w:r>
        <w:rPr>
          <w:sz w:val="38"/>
        </w:rPr>
        <w:t>metabolism</w:t>
      </w:r>
      <w:r>
        <w:rPr>
          <w:spacing w:val="32"/>
          <w:sz w:val="38"/>
        </w:rPr>
        <w:t> </w:t>
      </w:r>
      <w:r>
        <w:rPr>
          <w:sz w:val="38"/>
        </w:rPr>
        <w:t>and</w:t>
      </w:r>
      <w:r>
        <w:rPr>
          <w:spacing w:val="31"/>
          <w:sz w:val="38"/>
        </w:rPr>
        <w:t> </w:t>
      </w:r>
      <w:r>
        <w:rPr>
          <w:sz w:val="38"/>
        </w:rPr>
        <w:t>cancel</w:t>
      </w:r>
      <w:r>
        <w:rPr>
          <w:spacing w:val="32"/>
          <w:sz w:val="38"/>
        </w:rPr>
        <w:t> </w:t>
      </w:r>
      <w:r>
        <w:rPr>
          <w:sz w:val="38"/>
        </w:rPr>
        <w:t>the</w:t>
      </w:r>
      <w:r>
        <w:rPr>
          <w:spacing w:val="34"/>
          <w:sz w:val="38"/>
        </w:rPr>
        <w:t> </w:t>
      </w:r>
      <w:r>
        <w:rPr>
          <w:sz w:val="38"/>
        </w:rPr>
        <w:t>existing</w:t>
      </w:r>
      <w:r>
        <w:rPr>
          <w:spacing w:val="32"/>
          <w:sz w:val="38"/>
        </w:rPr>
        <w:t> </w:t>
      </w:r>
      <w:r>
        <w:rPr>
          <w:sz w:val="38"/>
        </w:rPr>
        <w:t>enzyme</w:t>
      </w:r>
    </w:p>
    <w:p>
      <w:pPr>
        <w:pStyle w:val="BodyText"/>
        <w:rPr>
          <w:sz w:val="20"/>
        </w:rPr>
      </w:pPr>
    </w:p>
    <w:p>
      <w:pPr>
        <w:pStyle w:val="BodyText"/>
        <w:spacing w:before="5"/>
        <w:rPr>
          <w:sz w:val="28"/>
        </w:rPr>
      </w:pPr>
      <w:r>
        <w:rPr/>
        <w:pict>
          <v:line style="position:absolute;mso-position-horizontal-relative:page;mso-position-vertical-relative:paragraph;z-index:-568;mso-wrap-distance-left:0;mso-wrap-distance-right:0" from="63.863998pt,18.355278pt" to="207.883998pt,18.355278pt" stroked="true" strokeweight=".71997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26 </w:t>
      </w:r>
      <w:r>
        <w:rPr>
          <w:sz w:val="20"/>
        </w:rPr>
        <w:t>Biewenga et al. 1997</w:t>
      </w:r>
    </w:p>
    <w:p>
      <w:pPr>
        <w:spacing w:before="94"/>
        <w:ind w:left="477" w:right="0" w:firstLine="0"/>
        <w:jc w:val="left"/>
        <w:rPr>
          <w:sz w:val="20"/>
        </w:rPr>
      </w:pPr>
      <w:r>
        <w:rPr>
          <w:position w:val="5"/>
          <w:sz w:val="13"/>
        </w:rPr>
        <w:t>27 </w:t>
      </w:r>
      <w:r>
        <w:rPr>
          <w:sz w:val="20"/>
        </w:rPr>
        <w:t>Ley 1996</w:t>
      </w:r>
    </w:p>
    <w:p>
      <w:pPr>
        <w:spacing w:before="95"/>
        <w:ind w:left="477" w:right="0" w:firstLine="0"/>
        <w:jc w:val="left"/>
        <w:rPr>
          <w:sz w:val="20"/>
        </w:rPr>
      </w:pPr>
      <w:r>
        <w:rPr>
          <w:position w:val="5"/>
          <w:sz w:val="13"/>
        </w:rPr>
        <w:t>28 </w:t>
      </w:r>
      <w:r>
        <w:rPr>
          <w:sz w:val="20"/>
        </w:rPr>
        <w:t>Ziegler et al. 1999b</w:t>
      </w:r>
    </w:p>
    <w:p>
      <w:pPr>
        <w:spacing w:line="276" w:lineRule="auto" w:before="94"/>
        <w:ind w:left="477" w:right="244" w:firstLine="0"/>
        <w:jc w:val="left"/>
        <w:rPr>
          <w:sz w:val="20"/>
        </w:rPr>
      </w:pPr>
      <w:r>
        <w:rPr/>
        <w:drawing>
          <wp:anchor distT="0" distB="0" distL="0" distR="0" allowOverlap="1" layoutInCell="1" locked="0" behindDoc="1" simplePos="0" relativeHeight="267167231">
            <wp:simplePos x="0" y="0"/>
            <wp:positionH relativeFrom="page">
              <wp:posOffset>896463</wp:posOffset>
            </wp:positionH>
            <wp:positionV relativeFrom="paragraph">
              <wp:posOffset>103862</wp:posOffset>
            </wp:positionV>
            <wp:extent cx="6379583" cy="902106"/>
            <wp:effectExtent l="0" t="0" r="0" b="0"/>
            <wp:wrapNone/>
            <wp:docPr id="13" name="image2.jpeg" descr=""/>
            <wp:cNvGraphicFramePr>
              <a:graphicFrameLocks noChangeAspect="1"/>
            </wp:cNvGraphicFramePr>
            <a:graphic>
              <a:graphicData uri="http://schemas.openxmlformats.org/drawingml/2006/picture">
                <pic:pic>
                  <pic:nvPicPr>
                    <pic:cNvPr id="14"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29 </w:t>
      </w:r>
      <w:r>
        <w:rPr>
          <w:sz w:val="20"/>
        </w:rPr>
        <w:t>Packer L. Kraemer K, Rimbach G.: Molecular aspects of lipoic acid in the prevention of diabetes complications. Nutrition. 2001; 17 (10) S.: 888– 895.</w:t>
      </w:r>
    </w:p>
    <w:p>
      <w:pPr>
        <w:spacing w:after="0" w:line="276" w:lineRule="auto"/>
        <w:jc w:val="left"/>
        <w:rPr>
          <w:sz w:val="20"/>
        </w:rPr>
        <w:sectPr>
          <w:footerReference w:type="default" r:id="rId20"/>
          <w:pgSz w:w="14270" w:h="16850"/>
          <w:pgMar w:footer="527" w:header="0" w:top="1600" w:bottom="720" w:left="800" w:right="1280"/>
          <w:pgNumType w:start="115"/>
        </w:sectPr>
      </w:pPr>
    </w:p>
    <w:p>
      <w:pPr>
        <w:pStyle w:val="BodyText"/>
        <w:spacing w:line="276" w:lineRule="auto" w:before="181"/>
        <w:ind w:left="1190" w:right="57"/>
      </w:pPr>
      <w:r>
        <w:rPr/>
        <w:t>blockages, which leads to an improvement in nerve conductivity in diabet- ics.</w:t>
      </w:r>
    </w:p>
    <w:p>
      <w:pPr>
        <w:pStyle w:val="ListParagraph"/>
        <w:numPr>
          <w:ilvl w:val="0"/>
          <w:numId w:val="12"/>
        </w:numPr>
        <w:tabs>
          <w:tab w:pos="1478" w:val="left" w:leader="none"/>
        </w:tabs>
        <w:spacing w:line="276" w:lineRule="auto" w:before="243" w:after="0"/>
        <w:ind w:left="1190" w:right="132" w:hanging="356"/>
        <w:jc w:val="both"/>
        <w:rPr>
          <w:sz w:val="25"/>
        </w:rPr>
      </w:pPr>
      <w:r>
        <w:rPr>
          <w:sz w:val="38"/>
        </w:rPr>
        <w:t>In 1995, Nagamatsu demonstrated in his studies that alpha-lipoic acid enhances signal transduction and improves blood flow to the</w:t>
      </w:r>
      <w:r>
        <w:rPr>
          <w:spacing w:val="-37"/>
          <w:sz w:val="38"/>
        </w:rPr>
        <w:t> </w:t>
      </w:r>
      <w:r>
        <w:rPr>
          <w:sz w:val="38"/>
        </w:rPr>
        <w:t>nerves.</w:t>
      </w:r>
      <w:r>
        <w:rPr>
          <w:position w:val="9"/>
          <w:sz w:val="25"/>
        </w:rPr>
        <w:t>30 </w:t>
      </w:r>
      <w:r>
        <w:rPr>
          <w:sz w:val="38"/>
        </w:rPr>
        <w:t>Al- pha-lipoic acid is officially approved and scientifically certified as a thera- peutic agent for example in</w:t>
      </w:r>
      <w:r>
        <w:rPr>
          <w:spacing w:val="1"/>
          <w:sz w:val="38"/>
        </w:rPr>
        <w:t> </w:t>
      </w:r>
      <w:r>
        <w:rPr>
          <w:sz w:val="38"/>
        </w:rPr>
        <w:t>Germany.</w:t>
      </w:r>
      <w:r>
        <w:rPr>
          <w:position w:val="9"/>
          <w:sz w:val="25"/>
        </w:rPr>
        <w:t>31</w:t>
      </w:r>
    </w:p>
    <w:p>
      <w:pPr>
        <w:pStyle w:val="ListParagraph"/>
        <w:numPr>
          <w:ilvl w:val="0"/>
          <w:numId w:val="12"/>
        </w:numPr>
        <w:tabs>
          <w:tab w:pos="1478" w:val="left" w:leader="none"/>
        </w:tabs>
        <w:spacing w:line="276" w:lineRule="auto" w:before="239" w:after="0"/>
        <w:ind w:left="1190" w:right="131" w:hanging="356"/>
        <w:jc w:val="both"/>
        <w:rPr>
          <w:sz w:val="25"/>
        </w:rPr>
      </w:pPr>
      <w:r>
        <w:rPr>
          <w:sz w:val="38"/>
        </w:rPr>
        <w:t>It is known that the additional disorders caused by diabetes are gener- ated, or at least aggravated, by free radicals. As, quite simply, THE</w:t>
      </w:r>
      <w:r>
        <w:rPr>
          <w:spacing w:val="-64"/>
          <w:sz w:val="38"/>
        </w:rPr>
        <w:t> </w:t>
      </w:r>
      <w:r>
        <w:rPr>
          <w:sz w:val="38"/>
        </w:rPr>
        <w:t>antiox- idant,</w:t>
      </w:r>
      <w:r>
        <w:rPr>
          <w:spacing w:val="-22"/>
          <w:sz w:val="38"/>
        </w:rPr>
        <w:t> </w:t>
      </w:r>
      <w:r>
        <w:rPr>
          <w:sz w:val="38"/>
        </w:rPr>
        <w:t>alpha-lipoic</w:t>
      </w:r>
      <w:r>
        <w:rPr>
          <w:spacing w:val="-23"/>
          <w:sz w:val="38"/>
        </w:rPr>
        <w:t> </w:t>
      </w:r>
      <w:r>
        <w:rPr>
          <w:sz w:val="38"/>
        </w:rPr>
        <w:t>acid</w:t>
      </w:r>
      <w:r>
        <w:rPr>
          <w:spacing w:val="-23"/>
          <w:sz w:val="38"/>
        </w:rPr>
        <w:t> </w:t>
      </w:r>
      <w:r>
        <w:rPr>
          <w:sz w:val="38"/>
        </w:rPr>
        <w:t>plays</w:t>
      </w:r>
      <w:r>
        <w:rPr>
          <w:spacing w:val="-22"/>
          <w:sz w:val="38"/>
        </w:rPr>
        <w:t> </w:t>
      </w:r>
      <w:r>
        <w:rPr>
          <w:sz w:val="38"/>
        </w:rPr>
        <w:t>the</w:t>
      </w:r>
      <w:r>
        <w:rPr>
          <w:spacing w:val="-21"/>
          <w:sz w:val="38"/>
        </w:rPr>
        <w:t> </w:t>
      </w:r>
      <w:r>
        <w:rPr>
          <w:sz w:val="38"/>
        </w:rPr>
        <w:t>key</w:t>
      </w:r>
      <w:r>
        <w:rPr>
          <w:spacing w:val="-22"/>
          <w:sz w:val="38"/>
        </w:rPr>
        <w:t> </w:t>
      </w:r>
      <w:r>
        <w:rPr>
          <w:sz w:val="38"/>
        </w:rPr>
        <w:t>role</w:t>
      </w:r>
      <w:r>
        <w:rPr>
          <w:spacing w:val="-23"/>
          <w:sz w:val="38"/>
        </w:rPr>
        <w:t> </w:t>
      </w:r>
      <w:r>
        <w:rPr>
          <w:sz w:val="38"/>
        </w:rPr>
        <w:t>in</w:t>
      </w:r>
      <w:r>
        <w:rPr>
          <w:spacing w:val="-22"/>
          <w:sz w:val="38"/>
        </w:rPr>
        <w:t> </w:t>
      </w:r>
      <w:r>
        <w:rPr>
          <w:sz w:val="38"/>
        </w:rPr>
        <w:t>antioxidation</w:t>
      </w:r>
      <w:r>
        <w:rPr>
          <w:spacing w:val="-21"/>
          <w:sz w:val="38"/>
        </w:rPr>
        <w:t> </w:t>
      </w:r>
      <w:r>
        <w:rPr>
          <w:sz w:val="38"/>
        </w:rPr>
        <w:t>and</w:t>
      </w:r>
      <w:r>
        <w:rPr>
          <w:spacing w:val="-22"/>
          <w:sz w:val="38"/>
        </w:rPr>
        <w:t> </w:t>
      </w:r>
      <w:r>
        <w:rPr>
          <w:sz w:val="38"/>
        </w:rPr>
        <w:t>helps</w:t>
      </w:r>
      <w:r>
        <w:rPr>
          <w:spacing w:val="-21"/>
          <w:sz w:val="38"/>
        </w:rPr>
        <w:t> </w:t>
      </w:r>
      <w:r>
        <w:rPr>
          <w:sz w:val="38"/>
        </w:rPr>
        <w:t>prevent or reduce the side effects of diabetes. Heart problems that increase the mortality rate occur in 20-40 % of all diabetics. Studies have shown that alpha-lipoic acid has a positive effect on the problems caused by this dis- ease.</w:t>
      </w:r>
      <w:r>
        <w:rPr>
          <w:position w:val="9"/>
          <w:sz w:val="25"/>
        </w:rPr>
        <w:t>32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6"/>
        </w:rPr>
      </w:pPr>
      <w:r>
        <w:rPr/>
        <w:pict>
          <v:line style="position:absolute;mso-position-horizontal-relative:page;mso-position-vertical-relative:paragraph;z-index:-520;mso-wrap-distance-left:0;mso-wrap-distance-right:0" from="63.863998pt,17.214252pt" to="207.883998pt,17.214252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30 </w:t>
      </w:r>
      <w:r>
        <w:rPr>
          <w:sz w:val="20"/>
        </w:rPr>
        <w:t>Nagamatsu et al. 1995</w:t>
      </w:r>
    </w:p>
    <w:p>
      <w:pPr>
        <w:spacing w:before="92"/>
        <w:ind w:left="477" w:right="0" w:firstLine="0"/>
        <w:jc w:val="left"/>
        <w:rPr>
          <w:sz w:val="20"/>
        </w:rPr>
      </w:pPr>
      <w:r>
        <w:rPr>
          <w:position w:val="5"/>
          <w:sz w:val="13"/>
        </w:rPr>
        <w:t>31 </w:t>
      </w:r>
      <w:r>
        <w:rPr>
          <w:sz w:val="20"/>
        </w:rPr>
        <w:t>Ziegler et al. 1995, Ziegler et al. 1999a, Reljanovic et al. 1999</w:t>
      </w:r>
    </w:p>
    <w:p>
      <w:pPr>
        <w:spacing w:before="94"/>
        <w:ind w:left="477" w:right="0" w:firstLine="0"/>
        <w:jc w:val="left"/>
        <w:rPr>
          <w:sz w:val="20"/>
        </w:rPr>
      </w:pPr>
      <w:r>
        <w:rPr>
          <w:position w:val="5"/>
          <w:sz w:val="13"/>
        </w:rPr>
        <w:t>32 </w:t>
      </w:r>
      <w:r>
        <w:rPr>
          <w:sz w:val="20"/>
        </w:rPr>
        <w:t>Ziegler et al. 1997</w:t>
      </w:r>
    </w:p>
    <w:p>
      <w:pPr>
        <w:spacing w:after="0"/>
        <w:jc w:val="left"/>
        <w:rPr>
          <w:sz w:val="20"/>
        </w:rPr>
        <w:sectPr>
          <w:footerReference w:type="default" r:id="rId22"/>
          <w:pgSz w:w="14270" w:h="16850"/>
          <w:pgMar w:footer="1891" w:header="0" w:top="1600" w:bottom="2080" w:left="800" w:right="1280"/>
          <w:pgNumType w:start="116"/>
        </w:sectPr>
      </w:pPr>
    </w:p>
    <w:p>
      <w:pPr>
        <w:pStyle w:val="BodyText"/>
        <w:spacing w:line="276" w:lineRule="auto" w:before="181"/>
        <w:ind w:left="477"/>
      </w:pPr>
      <w:r>
        <w:rPr/>
        <w:t>The following table shows once more the therapeutic benefits of alpha-lipoic acid for diabetes mellitus:</w:t>
      </w:r>
    </w:p>
    <w:p>
      <w:pPr>
        <w:pStyle w:val="BodyText"/>
        <w:spacing w:before="8"/>
        <w:rPr>
          <w:sz w:val="21"/>
        </w:rPr>
      </w:pPr>
    </w:p>
    <w:tbl>
      <w:tblPr>
        <w:tblW w:w="0" w:type="auto"/>
        <w:jc w:val="left"/>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39"/>
      </w:tblGrid>
      <w:tr>
        <w:trPr>
          <w:trHeight w:val="1674" w:hRule="atLeast"/>
        </w:trPr>
        <w:tc>
          <w:tcPr>
            <w:tcW w:w="6239" w:type="dxa"/>
            <w:shd w:val="clear" w:color="auto" w:fill="8DB3E1"/>
          </w:tcPr>
          <w:p>
            <w:pPr>
              <w:pStyle w:val="TableParagraph"/>
              <w:spacing w:line="276" w:lineRule="auto"/>
              <w:ind w:left="304" w:right="303" w:firstLine="4"/>
              <w:jc w:val="center"/>
              <w:rPr>
                <w:b/>
                <w:sz w:val="38"/>
              </w:rPr>
            </w:pPr>
            <w:r>
              <w:rPr>
                <w:b/>
                <w:sz w:val="38"/>
              </w:rPr>
              <w:t>THERAPEUTIC BENEFITS OF ALPHA-LIPOIC ACID FOR</w:t>
            </w:r>
            <w:r>
              <w:rPr>
                <w:b/>
                <w:spacing w:val="-22"/>
                <w:sz w:val="38"/>
              </w:rPr>
              <w:t> </w:t>
            </w:r>
            <w:r>
              <w:rPr>
                <w:b/>
                <w:sz w:val="38"/>
              </w:rPr>
              <w:t>DIA- BETES MELLITUS</w:t>
            </w:r>
          </w:p>
        </w:tc>
      </w:tr>
      <w:tr>
        <w:trPr>
          <w:trHeight w:val="1183" w:hRule="atLeast"/>
        </w:trPr>
        <w:tc>
          <w:tcPr>
            <w:tcW w:w="6239" w:type="dxa"/>
          </w:tcPr>
          <w:p>
            <w:pPr>
              <w:pStyle w:val="TableParagraph"/>
              <w:spacing w:line="278" w:lineRule="auto"/>
              <w:ind w:left="69"/>
              <w:rPr>
                <w:sz w:val="38"/>
              </w:rPr>
            </w:pPr>
            <w:r>
              <w:rPr>
                <w:sz w:val="38"/>
              </w:rPr>
              <w:t>Optimisation of glucose uptake into the muscle cell, where it is then consumed</w:t>
            </w:r>
          </w:p>
        </w:tc>
      </w:tr>
      <w:tr>
        <w:trPr>
          <w:trHeight w:val="690" w:hRule="atLeast"/>
        </w:trPr>
        <w:tc>
          <w:tcPr>
            <w:tcW w:w="6239" w:type="dxa"/>
          </w:tcPr>
          <w:p>
            <w:pPr>
              <w:pStyle w:val="TableParagraph"/>
              <w:spacing w:line="426" w:lineRule="exact"/>
              <w:ind w:left="69"/>
              <w:rPr>
                <w:sz w:val="38"/>
              </w:rPr>
            </w:pPr>
            <w:r>
              <w:rPr>
                <w:sz w:val="38"/>
              </w:rPr>
              <w:t>Optimisation of glucose utilisation</w:t>
            </w:r>
          </w:p>
        </w:tc>
      </w:tr>
      <w:tr>
        <w:trPr>
          <w:trHeight w:val="693" w:hRule="atLeast"/>
        </w:trPr>
        <w:tc>
          <w:tcPr>
            <w:tcW w:w="6239" w:type="dxa"/>
          </w:tcPr>
          <w:p>
            <w:pPr>
              <w:pStyle w:val="TableParagraph"/>
              <w:spacing w:before="1"/>
              <w:ind w:left="69"/>
              <w:rPr>
                <w:sz w:val="38"/>
              </w:rPr>
            </w:pPr>
            <w:r>
              <w:rPr>
                <w:sz w:val="38"/>
              </w:rPr>
              <w:t>Improvement of insulin sensitivity</w:t>
            </w:r>
          </w:p>
        </w:tc>
      </w:tr>
      <w:tr>
        <w:trPr>
          <w:trHeight w:val="1675" w:hRule="atLeast"/>
        </w:trPr>
        <w:tc>
          <w:tcPr>
            <w:tcW w:w="6239" w:type="dxa"/>
          </w:tcPr>
          <w:p>
            <w:pPr>
              <w:pStyle w:val="TableParagraph"/>
              <w:spacing w:line="276" w:lineRule="auto"/>
              <w:ind w:left="69" w:right="61"/>
              <w:jc w:val="both"/>
              <w:rPr>
                <w:sz w:val="38"/>
              </w:rPr>
            </w:pPr>
            <w:r>
              <w:rPr>
                <w:sz w:val="38"/>
              </w:rPr>
              <w:t>Neutralisation of the free radicals that cause complications in patients with dia- betes</w:t>
            </w:r>
          </w:p>
        </w:tc>
      </w:tr>
      <w:tr>
        <w:trPr>
          <w:trHeight w:val="1182" w:hRule="atLeast"/>
        </w:trPr>
        <w:tc>
          <w:tcPr>
            <w:tcW w:w="6239" w:type="dxa"/>
          </w:tcPr>
          <w:p>
            <w:pPr>
              <w:pStyle w:val="TableParagraph"/>
              <w:spacing w:line="278" w:lineRule="auto"/>
              <w:ind w:left="69"/>
              <w:rPr>
                <w:sz w:val="38"/>
              </w:rPr>
            </w:pPr>
            <w:r>
              <w:rPr>
                <w:sz w:val="38"/>
              </w:rPr>
              <w:t>Increase in glutathione level, which is low in patients with diabetes</w:t>
            </w:r>
          </w:p>
        </w:tc>
      </w:tr>
      <w:tr>
        <w:trPr>
          <w:trHeight w:val="690" w:hRule="atLeast"/>
        </w:trPr>
        <w:tc>
          <w:tcPr>
            <w:tcW w:w="6239" w:type="dxa"/>
          </w:tcPr>
          <w:p>
            <w:pPr>
              <w:pStyle w:val="TableParagraph"/>
              <w:spacing w:line="426" w:lineRule="exact"/>
              <w:ind w:left="69"/>
              <w:rPr>
                <w:sz w:val="38"/>
              </w:rPr>
            </w:pPr>
            <w:r>
              <w:rPr>
                <w:sz w:val="38"/>
              </w:rPr>
              <w:t>Improved blood circulation</w:t>
            </w:r>
          </w:p>
        </w:tc>
      </w:tr>
      <w:tr>
        <w:trPr>
          <w:trHeight w:val="1185" w:hRule="atLeast"/>
        </w:trPr>
        <w:tc>
          <w:tcPr>
            <w:tcW w:w="6239" w:type="dxa"/>
          </w:tcPr>
          <w:p>
            <w:pPr>
              <w:pStyle w:val="TableParagraph"/>
              <w:spacing w:line="278" w:lineRule="auto"/>
              <w:ind w:left="69"/>
              <w:rPr>
                <w:sz w:val="38"/>
              </w:rPr>
            </w:pPr>
            <w:r>
              <w:rPr>
                <w:sz w:val="38"/>
              </w:rPr>
              <w:t>Protection against typical cardiovascular problems in patients with diabetes</w:t>
            </w:r>
          </w:p>
        </w:tc>
      </w:tr>
      <w:tr>
        <w:trPr>
          <w:trHeight w:val="1183" w:hRule="atLeast"/>
        </w:trPr>
        <w:tc>
          <w:tcPr>
            <w:tcW w:w="6239" w:type="dxa"/>
          </w:tcPr>
          <w:p>
            <w:pPr>
              <w:pStyle w:val="TableParagraph"/>
              <w:spacing w:line="278" w:lineRule="auto"/>
              <w:ind w:left="69"/>
              <w:rPr>
                <w:sz w:val="38"/>
              </w:rPr>
            </w:pPr>
            <w:r>
              <w:rPr>
                <w:sz w:val="38"/>
              </w:rPr>
              <w:t>Protection against neurological deficien- cies, such as diabetic polyneuropathy</w:t>
            </w:r>
          </w:p>
        </w:tc>
      </w:tr>
    </w:tbl>
    <w:p>
      <w:pPr>
        <w:spacing w:after="0" w:line="278" w:lineRule="auto"/>
        <w:rPr>
          <w:sz w:val="38"/>
        </w:rPr>
        <w:sectPr>
          <w:pgSz w:w="14270" w:h="16850"/>
          <w:pgMar w:header="0" w:footer="1891" w:top="1600" w:bottom="2080" w:left="800" w:right="1280"/>
        </w:sectPr>
      </w:pPr>
    </w:p>
    <w:p>
      <w:pPr>
        <w:pStyle w:val="BodyText"/>
        <w:spacing w:before="5"/>
        <w:rPr>
          <w:sz w:val="16"/>
        </w:rPr>
      </w:pPr>
    </w:p>
    <w:tbl>
      <w:tblPr>
        <w:tblW w:w="0" w:type="auto"/>
        <w:jc w:val="left"/>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39"/>
      </w:tblGrid>
      <w:tr>
        <w:trPr>
          <w:trHeight w:val="693" w:hRule="atLeast"/>
        </w:trPr>
        <w:tc>
          <w:tcPr>
            <w:tcW w:w="6239" w:type="dxa"/>
          </w:tcPr>
          <w:p>
            <w:pPr>
              <w:pStyle w:val="TableParagraph"/>
              <w:spacing w:line="426" w:lineRule="exact"/>
              <w:ind w:left="69"/>
              <w:rPr>
                <w:sz w:val="38"/>
              </w:rPr>
            </w:pPr>
            <w:r>
              <w:rPr>
                <w:sz w:val="38"/>
              </w:rPr>
              <w:t>Improved nerve conductivity</w:t>
            </w:r>
          </w:p>
        </w:tc>
      </w:tr>
      <w:tr>
        <w:trPr>
          <w:trHeight w:val="1674" w:hRule="atLeast"/>
        </w:trPr>
        <w:tc>
          <w:tcPr>
            <w:tcW w:w="6239" w:type="dxa"/>
          </w:tcPr>
          <w:p>
            <w:pPr>
              <w:pStyle w:val="TableParagraph"/>
              <w:spacing w:line="276" w:lineRule="auto"/>
              <w:ind w:left="69" w:right="62"/>
              <w:jc w:val="both"/>
              <w:rPr>
                <w:sz w:val="38"/>
              </w:rPr>
            </w:pPr>
            <w:r>
              <w:rPr>
                <w:sz w:val="38"/>
              </w:rPr>
              <w:t>Protection against vitamin C degradation, which is depleted by the increased blood sugar</w:t>
            </w:r>
          </w:p>
        </w:tc>
      </w:tr>
      <w:tr>
        <w:trPr>
          <w:trHeight w:val="690" w:hRule="atLeast"/>
        </w:trPr>
        <w:tc>
          <w:tcPr>
            <w:tcW w:w="6239" w:type="dxa"/>
          </w:tcPr>
          <w:p>
            <w:pPr>
              <w:pStyle w:val="TableParagraph"/>
              <w:spacing w:line="426" w:lineRule="exact"/>
              <w:ind w:left="69"/>
              <w:rPr>
                <w:sz w:val="38"/>
              </w:rPr>
            </w:pPr>
            <w:r>
              <w:rPr>
                <w:sz w:val="38"/>
              </w:rPr>
              <w:t>Protection of the blood vessels</w:t>
            </w:r>
          </w:p>
        </w:tc>
      </w:tr>
      <w:tr>
        <w:trPr>
          <w:trHeight w:val="1183" w:hRule="atLeast"/>
        </w:trPr>
        <w:tc>
          <w:tcPr>
            <w:tcW w:w="6239" w:type="dxa"/>
          </w:tcPr>
          <w:p>
            <w:pPr>
              <w:pStyle w:val="TableParagraph"/>
              <w:spacing w:line="278" w:lineRule="auto"/>
              <w:ind w:left="69"/>
              <w:rPr>
                <w:sz w:val="38"/>
              </w:rPr>
            </w:pPr>
            <w:r>
              <w:rPr>
                <w:sz w:val="38"/>
              </w:rPr>
              <w:t>Improvement of the blood circulation in the nerves</w:t>
            </w:r>
          </w:p>
        </w:tc>
      </w:tr>
      <w:tr>
        <w:trPr>
          <w:trHeight w:val="690" w:hRule="atLeast"/>
        </w:trPr>
        <w:tc>
          <w:tcPr>
            <w:tcW w:w="6239" w:type="dxa"/>
          </w:tcPr>
          <w:p>
            <w:pPr>
              <w:pStyle w:val="TableParagraph"/>
              <w:spacing w:line="426" w:lineRule="exact"/>
              <w:ind w:left="69"/>
              <w:rPr>
                <w:sz w:val="38"/>
              </w:rPr>
            </w:pPr>
            <w:r>
              <w:rPr>
                <w:sz w:val="38"/>
              </w:rPr>
              <w:t>Protection against diabetic cataracts</w:t>
            </w:r>
          </w:p>
        </w:tc>
      </w:tr>
      <w:tr>
        <w:trPr>
          <w:trHeight w:val="693" w:hRule="atLeast"/>
        </w:trPr>
        <w:tc>
          <w:tcPr>
            <w:tcW w:w="6239" w:type="dxa"/>
          </w:tcPr>
          <w:p>
            <w:pPr>
              <w:pStyle w:val="TableParagraph"/>
              <w:spacing w:before="1"/>
              <w:ind w:left="69"/>
              <w:rPr>
                <w:sz w:val="38"/>
              </w:rPr>
            </w:pPr>
            <w:r>
              <w:rPr>
                <w:sz w:val="38"/>
              </w:rPr>
              <w:t>Counteraction of circulatory disorders</w:t>
            </w:r>
          </w:p>
        </w:tc>
      </w:tr>
      <w:tr>
        <w:trPr>
          <w:trHeight w:val="1183" w:hRule="atLeast"/>
        </w:trPr>
        <w:tc>
          <w:tcPr>
            <w:tcW w:w="6239" w:type="dxa"/>
          </w:tcPr>
          <w:p>
            <w:pPr>
              <w:pStyle w:val="TableParagraph"/>
              <w:spacing w:line="278" w:lineRule="auto"/>
              <w:ind w:left="69"/>
              <w:rPr>
                <w:sz w:val="38"/>
              </w:rPr>
            </w:pPr>
            <w:r>
              <w:rPr>
                <w:sz w:val="38"/>
              </w:rPr>
              <w:t>Promoting</w:t>
            </w:r>
            <w:r>
              <w:rPr>
                <w:spacing w:val="-20"/>
                <w:sz w:val="38"/>
              </w:rPr>
              <w:t> </w:t>
            </w:r>
            <w:r>
              <w:rPr>
                <w:sz w:val="38"/>
              </w:rPr>
              <w:t>the</w:t>
            </w:r>
            <w:r>
              <w:rPr>
                <w:spacing w:val="-20"/>
                <w:sz w:val="38"/>
              </w:rPr>
              <w:t> </w:t>
            </w:r>
            <w:r>
              <w:rPr>
                <w:sz w:val="38"/>
              </w:rPr>
              <w:t>growth</w:t>
            </w:r>
            <w:r>
              <w:rPr>
                <w:spacing w:val="-20"/>
                <w:sz w:val="38"/>
              </w:rPr>
              <w:t> </w:t>
            </w:r>
            <w:r>
              <w:rPr>
                <w:sz w:val="38"/>
              </w:rPr>
              <w:t>of</w:t>
            </w:r>
            <w:r>
              <w:rPr>
                <w:spacing w:val="-21"/>
                <w:sz w:val="38"/>
              </w:rPr>
              <w:t> </w:t>
            </w:r>
            <w:r>
              <w:rPr>
                <w:sz w:val="38"/>
              </w:rPr>
              <w:t>peripheral</w:t>
            </w:r>
            <w:r>
              <w:rPr>
                <w:spacing w:val="-22"/>
                <w:sz w:val="38"/>
              </w:rPr>
              <w:t> </w:t>
            </w:r>
            <w:r>
              <w:rPr>
                <w:sz w:val="38"/>
              </w:rPr>
              <w:t>nerve cells</w:t>
            </w:r>
          </w:p>
        </w:tc>
      </w:tr>
      <w:tr>
        <w:trPr>
          <w:trHeight w:val="1182" w:hRule="atLeast"/>
        </w:trPr>
        <w:tc>
          <w:tcPr>
            <w:tcW w:w="6239" w:type="dxa"/>
          </w:tcPr>
          <w:p>
            <w:pPr>
              <w:pStyle w:val="TableParagraph"/>
              <w:spacing w:line="278" w:lineRule="auto"/>
              <w:ind w:left="69"/>
              <w:rPr>
                <w:sz w:val="38"/>
              </w:rPr>
            </w:pPr>
            <w:r>
              <w:rPr>
                <w:sz w:val="38"/>
              </w:rPr>
              <w:t>Interception of metal ions which cause oxidative stress</w:t>
            </w:r>
          </w:p>
        </w:tc>
      </w:tr>
    </w:tbl>
    <w:p>
      <w:pPr>
        <w:pStyle w:val="BodyText"/>
        <w:rPr>
          <w:sz w:val="20"/>
        </w:rPr>
      </w:pPr>
    </w:p>
    <w:p>
      <w:pPr>
        <w:pStyle w:val="BodyText"/>
        <w:rPr>
          <w:sz w:val="20"/>
        </w:rPr>
      </w:pPr>
    </w:p>
    <w:p>
      <w:pPr>
        <w:pStyle w:val="BodyText"/>
        <w:spacing w:before="6"/>
        <w:rPr>
          <w:sz w:val="26"/>
        </w:rPr>
      </w:pPr>
    </w:p>
    <w:p>
      <w:pPr>
        <w:pStyle w:val="BodyText"/>
        <w:spacing w:line="276" w:lineRule="auto" w:before="100"/>
        <w:ind w:left="477" w:right="134"/>
        <w:jc w:val="both"/>
      </w:pPr>
      <w:r>
        <w:rPr/>
        <w:t>As a rule, diabetics usually receive a dose of 600-900 mg of lipoic acid per day as part of their treatment programme. The quantity of this dose should be dis- cussed with the attending physician, as it can also be assumed that the dose of insulin</w:t>
      </w:r>
      <w:r>
        <w:rPr>
          <w:spacing w:val="-24"/>
        </w:rPr>
        <w:t> </w:t>
      </w:r>
      <w:r>
        <w:rPr/>
        <w:t>required</w:t>
      </w:r>
      <w:r>
        <w:rPr>
          <w:spacing w:val="-24"/>
        </w:rPr>
        <w:t> </w:t>
      </w:r>
      <w:r>
        <w:rPr/>
        <w:t>can</w:t>
      </w:r>
      <w:r>
        <w:rPr>
          <w:spacing w:val="-23"/>
        </w:rPr>
        <w:t> </w:t>
      </w:r>
      <w:r>
        <w:rPr/>
        <w:t>be</w:t>
      </w:r>
      <w:r>
        <w:rPr>
          <w:spacing w:val="-24"/>
        </w:rPr>
        <w:t> </w:t>
      </w:r>
      <w:r>
        <w:rPr/>
        <w:t>reduced.</w:t>
      </w:r>
      <w:r>
        <w:rPr>
          <w:spacing w:val="-24"/>
        </w:rPr>
        <w:t> </w:t>
      </w:r>
      <w:r>
        <w:rPr/>
        <w:t>The</w:t>
      </w:r>
      <w:r>
        <w:rPr>
          <w:spacing w:val="-23"/>
        </w:rPr>
        <w:t> </w:t>
      </w:r>
      <w:r>
        <w:rPr/>
        <w:t>DDG</w:t>
      </w:r>
      <w:r>
        <w:rPr>
          <w:spacing w:val="-23"/>
        </w:rPr>
        <w:t> </w:t>
      </w:r>
      <w:r>
        <w:rPr/>
        <w:t>(</w:t>
      </w:r>
      <w:r>
        <w:rPr>
          <w:i/>
        </w:rPr>
        <w:t>Deutsche</w:t>
      </w:r>
      <w:r>
        <w:rPr>
          <w:i/>
          <w:spacing w:val="-24"/>
        </w:rPr>
        <w:t> </w:t>
      </w:r>
      <w:r>
        <w:rPr>
          <w:i/>
        </w:rPr>
        <w:t>Diabetes-Gesellschaft</w:t>
      </w:r>
      <w:r>
        <w:rPr>
          <w:i/>
          <w:spacing w:val="-20"/>
        </w:rPr>
        <w:t> </w:t>
      </w:r>
      <w:r>
        <w:rPr>
          <w:i/>
        </w:rPr>
        <w:t>-</w:t>
      </w:r>
      <w:r>
        <w:rPr>
          <w:i/>
          <w:spacing w:val="-25"/>
        </w:rPr>
        <w:t> </w:t>
      </w:r>
      <w:r>
        <w:rPr>
          <w:i/>
        </w:rPr>
        <w:t>German </w:t>
      </w:r>
      <w:r>
        <w:rPr>
          <w:i/>
        </w:rPr>
        <w:t>Diabetes Association</w:t>
      </w:r>
      <w:r>
        <w:rPr/>
        <w:t>) specifically recommends alpha-lipoic</w:t>
      </w:r>
      <w:r>
        <w:rPr>
          <w:spacing w:val="-5"/>
        </w:rPr>
        <w:t> </w:t>
      </w:r>
      <w:r>
        <w:rPr/>
        <w:t>acid.</w:t>
      </w:r>
    </w:p>
    <w:p>
      <w:pPr>
        <w:spacing w:after="0" w:line="276" w:lineRule="auto"/>
        <w:jc w:val="both"/>
        <w:sectPr>
          <w:pgSz w:w="14270" w:h="16850"/>
          <w:pgMar w:header="0" w:footer="1891" w:top="1600" w:bottom="2080" w:left="800" w:right="1280"/>
        </w:sectPr>
      </w:pPr>
    </w:p>
    <w:p>
      <w:pPr>
        <w:pStyle w:val="BodyText"/>
        <w:rPr>
          <w:sz w:val="20"/>
        </w:rPr>
      </w:pPr>
    </w:p>
    <w:p>
      <w:pPr>
        <w:pStyle w:val="BodyText"/>
        <w:rPr>
          <w:sz w:val="20"/>
        </w:rPr>
      </w:pPr>
    </w:p>
    <w:p>
      <w:pPr>
        <w:pStyle w:val="BodyText"/>
        <w:rPr>
          <w:sz w:val="20"/>
        </w:rPr>
      </w:pPr>
    </w:p>
    <w:p>
      <w:pPr>
        <w:pStyle w:val="BodyText"/>
        <w:spacing w:before="5"/>
        <w:rPr>
          <w:sz w:val="21"/>
        </w:rPr>
      </w:pPr>
    </w:p>
    <w:p>
      <w:pPr>
        <w:pStyle w:val="Heading1"/>
        <w:spacing w:line="261" w:lineRule="auto" w:before="100"/>
        <w:ind w:right="140"/>
        <w:jc w:val="both"/>
      </w:pPr>
      <w:r>
        <w:rPr/>
        <w:t>Alpha-lipoic</w:t>
      </w:r>
      <w:r>
        <w:rPr>
          <w:spacing w:val="-47"/>
        </w:rPr>
        <w:t> </w:t>
      </w:r>
      <w:r>
        <w:rPr/>
        <w:t>acid</w:t>
      </w:r>
      <w:r>
        <w:rPr>
          <w:spacing w:val="-47"/>
        </w:rPr>
        <w:t> </w:t>
      </w:r>
      <w:r>
        <w:rPr/>
        <w:t>prevents</w:t>
      </w:r>
      <w:r>
        <w:rPr>
          <w:spacing w:val="-46"/>
        </w:rPr>
        <w:t> </w:t>
      </w:r>
      <w:r>
        <w:rPr/>
        <w:t>atherosclerosis</w:t>
      </w:r>
      <w:r>
        <w:rPr>
          <w:spacing w:val="-44"/>
        </w:rPr>
        <w:t> </w:t>
      </w:r>
      <w:r>
        <w:rPr/>
        <w:t>and</w:t>
      </w:r>
      <w:r>
        <w:rPr>
          <w:spacing w:val="-47"/>
        </w:rPr>
        <w:t> </w:t>
      </w:r>
      <w:r>
        <w:rPr/>
        <w:t>prevents</w:t>
      </w:r>
      <w:r>
        <w:rPr>
          <w:spacing w:val="-47"/>
        </w:rPr>
        <w:t> </w:t>
      </w:r>
      <w:r>
        <w:rPr/>
        <w:t>cardiovascular disease, heart attack and</w:t>
      </w:r>
      <w:r>
        <w:rPr>
          <w:spacing w:val="-33"/>
        </w:rPr>
        <w:t> </w:t>
      </w:r>
      <w:r>
        <w:rPr/>
        <w:t>stroke</w:t>
      </w:r>
    </w:p>
    <w:p>
      <w:pPr>
        <w:pStyle w:val="BodyText"/>
        <w:spacing w:line="276" w:lineRule="auto" w:before="260"/>
        <w:ind w:left="477" w:right="139"/>
        <w:jc w:val="both"/>
      </w:pPr>
      <w:r>
        <w:rPr/>
        <w:t>Cardiovascular diseases are the number one cause of death in industrialised countries, causing about 50 % of all deaths. It has been proven that, in almost all cases, it is preceded by a pathological process called atherosclerosis.</w:t>
      </w:r>
    </w:p>
    <w:p>
      <w:pPr>
        <w:pStyle w:val="BodyText"/>
        <w:spacing w:line="276" w:lineRule="auto" w:before="239"/>
        <w:ind w:left="477" w:right="133"/>
        <w:jc w:val="both"/>
      </w:pPr>
      <w:r>
        <w:rPr/>
        <w:t>This is characterised by plaque deposits on the inner wall of the blood vessel and a gradual sclerosis (calcification) and blockage of the arteries. If the blood flow to the heart is stopped because of such a blockage, the heart receives no more</w:t>
      </w:r>
      <w:r>
        <w:rPr>
          <w:spacing w:val="-24"/>
        </w:rPr>
        <w:t> </w:t>
      </w:r>
      <w:r>
        <w:rPr/>
        <w:t>oxygen</w:t>
      </w:r>
      <w:r>
        <w:rPr>
          <w:spacing w:val="-23"/>
        </w:rPr>
        <w:t> </w:t>
      </w:r>
      <w:r>
        <w:rPr/>
        <w:t>and</w:t>
      </w:r>
      <w:r>
        <w:rPr>
          <w:spacing w:val="-24"/>
        </w:rPr>
        <w:t> </w:t>
      </w:r>
      <w:r>
        <w:rPr/>
        <w:t>parts</w:t>
      </w:r>
      <w:r>
        <w:rPr>
          <w:spacing w:val="-22"/>
        </w:rPr>
        <w:t> </w:t>
      </w:r>
      <w:r>
        <w:rPr/>
        <w:t>of</w:t>
      </w:r>
      <w:r>
        <w:rPr>
          <w:spacing w:val="-23"/>
        </w:rPr>
        <w:t> </w:t>
      </w:r>
      <w:r>
        <w:rPr/>
        <w:t>the</w:t>
      </w:r>
      <w:r>
        <w:rPr>
          <w:spacing w:val="-23"/>
        </w:rPr>
        <w:t> </w:t>
      </w:r>
      <w:r>
        <w:rPr/>
        <w:t>heart</w:t>
      </w:r>
      <w:r>
        <w:rPr>
          <w:spacing w:val="-23"/>
        </w:rPr>
        <w:t> </w:t>
      </w:r>
      <w:r>
        <w:rPr/>
        <w:t>muscle</w:t>
      </w:r>
      <w:r>
        <w:rPr>
          <w:spacing w:val="-24"/>
        </w:rPr>
        <w:t> </w:t>
      </w:r>
      <w:r>
        <w:rPr/>
        <w:t>die</w:t>
      </w:r>
      <w:r>
        <w:rPr>
          <w:spacing w:val="-24"/>
        </w:rPr>
        <w:t> </w:t>
      </w:r>
      <w:r>
        <w:rPr/>
        <w:t>off</w:t>
      </w:r>
      <w:r>
        <w:rPr>
          <w:spacing w:val="-19"/>
        </w:rPr>
        <w:t> </w:t>
      </w:r>
      <w:r>
        <w:rPr/>
        <w:t>–</w:t>
      </w:r>
      <w:r>
        <w:rPr>
          <w:spacing w:val="-23"/>
        </w:rPr>
        <w:t> </w:t>
      </w:r>
      <w:r>
        <w:rPr/>
        <w:t>this</w:t>
      </w:r>
      <w:r>
        <w:rPr>
          <w:spacing w:val="-23"/>
        </w:rPr>
        <w:t> </w:t>
      </w:r>
      <w:r>
        <w:rPr/>
        <w:t>is</w:t>
      </w:r>
      <w:r>
        <w:rPr>
          <w:spacing w:val="-24"/>
        </w:rPr>
        <w:t> </w:t>
      </w:r>
      <w:r>
        <w:rPr/>
        <w:t>called</w:t>
      </w:r>
      <w:r>
        <w:rPr>
          <w:spacing w:val="-24"/>
        </w:rPr>
        <w:t> </w:t>
      </w:r>
      <w:r>
        <w:rPr/>
        <w:t>also</w:t>
      </w:r>
      <w:r>
        <w:rPr>
          <w:spacing w:val="-23"/>
        </w:rPr>
        <w:t> </w:t>
      </w:r>
      <w:r>
        <w:rPr/>
        <w:t>myocardial infarction (heart attack). If a cerebral artery has become blocked due to</w:t>
      </w:r>
      <w:r>
        <w:rPr>
          <w:spacing w:val="-52"/>
        </w:rPr>
        <w:t> </w:t>
      </w:r>
      <w:r>
        <w:rPr/>
        <w:t>athero- sclerosis and prevents blood flow to the brain, it is called a stroke or cerebral apoplexy.</w:t>
      </w:r>
    </w:p>
    <w:p>
      <w:pPr>
        <w:pStyle w:val="BodyText"/>
        <w:spacing w:line="276" w:lineRule="auto" w:before="241"/>
        <w:ind w:left="477" w:right="134"/>
        <w:jc w:val="both"/>
      </w:pPr>
      <w:r>
        <w:rPr/>
        <w:t>Since the process of atherosclerosis is very lengthy and insidious, prevention is of the utmost importance, so as not to be among the 50 % of People in indus- trialized countries who die of cardiovascular disease. Here it is necessary to ex- haust all conceivable protective measures against atherosclerosis. Alpha-lipoic acid</w:t>
      </w:r>
      <w:r>
        <w:rPr>
          <w:spacing w:val="-14"/>
        </w:rPr>
        <w:t> </w:t>
      </w:r>
      <w:r>
        <w:rPr/>
        <w:t>also</w:t>
      </w:r>
      <w:r>
        <w:rPr>
          <w:spacing w:val="-11"/>
        </w:rPr>
        <w:t> </w:t>
      </w:r>
      <w:r>
        <w:rPr/>
        <w:t>proves</w:t>
      </w:r>
      <w:r>
        <w:rPr>
          <w:spacing w:val="-13"/>
        </w:rPr>
        <w:t> </w:t>
      </w:r>
      <w:r>
        <w:rPr/>
        <w:t>to</w:t>
      </w:r>
      <w:r>
        <w:rPr>
          <w:spacing w:val="-12"/>
        </w:rPr>
        <w:t> </w:t>
      </w:r>
      <w:r>
        <w:rPr/>
        <w:t>be</w:t>
      </w:r>
      <w:r>
        <w:rPr>
          <w:spacing w:val="-11"/>
        </w:rPr>
        <w:t> </w:t>
      </w:r>
      <w:r>
        <w:rPr/>
        <w:t>a</w:t>
      </w:r>
      <w:r>
        <w:rPr>
          <w:spacing w:val="-15"/>
        </w:rPr>
        <w:t> </w:t>
      </w:r>
      <w:r>
        <w:rPr/>
        <w:t>real</w:t>
      </w:r>
      <w:r>
        <w:rPr>
          <w:spacing w:val="-13"/>
        </w:rPr>
        <w:t> </w:t>
      </w:r>
      <w:r>
        <w:rPr/>
        <w:t>star</w:t>
      </w:r>
      <w:r>
        <w:rPr>
          <w:spacing w:val="-13"/>
        </w:rPr>
        <w:t> </w:t>
      </w:r>
      <w:r>
        <w:rPr/>
        <w:t>performer</w:t>
      </w:r>
      <w:r>
        <w:rPr>
          <w:spacing w:val="-12"/>
        </w:rPr>
        <w:t> </w:t>
      </w:r>
      <w:r>
        <w:rPr/>
        <w:t>in</w:t>
      </w:r>
      <w:r>
        <w:rPr>
          <w:spacing w:val="-14"/>
        </w:rPr>
        <w:t> </w:t>
      </w:r>
      <w:r>
        <w:rPr/>
        <w:t>this</w:t>
      </w:r>
      <w:r>
        <w:rPr>
          <w:spacing w:val="-11"/>
        </w:rPr>
        <w:t> </w:t>
      </w:r>
      <w:r>
        <w:rPr/>
        <w:t>area!</w:t>
      </w:r>
      <w:r>
        <w:rPr>
          <w:spacing w:val="-11"/>
        </w:rPr>
        <w:t> </w:t>
      </w:r>
      <w:r>
        <w:rPr/>
        <w:t>Studies</w:t>
      </w:r>
      <w:r>
        <w:rPr>
          <w:spacing w:val="-13"/>
        </w:rPr>
        <w:t> </w:t>
      </w:r>
      <w:r>
        <w:rPr/>
        <w:t>have</w:t>
      </w:r>
      <w:r>
        <w:rPr>
          <w:spacing w:val="-13"/>
        </w:rPr>
        <w:t> </w:t>
      </w:r>
      <w:r>
        <w:rPr/>
        <w:t>shown</w:t>
      </w:r>
      <w:r>
        <w:rPr>
          <w:spacing w:val="-11"/>
        </w:rPr>
        <w:t> </w:t>
      </w:r>
      <w:r>
        <w:rPr/>
        <w:t>that</w:t>
      </w:r>
    </w:p>
    <w:p>
      <w:pPr>
        <w:spacing w:after="0" w:line="276" w:lineRule="auto"/>
        <w:jc w:val="both"/>
        <w:sectPr>
          <w:pgSz w:w="14270" w:h="16850"/>
          <w:pgMar w:header="0" w:footer="1891" w:top="1600" w:bottom="2080" w:left="800" w:right="1280"/>
        </w:sectPr>
      </w:pPr>
    </w:p>
    <w:p>
      <w:pPr>
        <w:pStyle w:val="BodyText"/>
        <w:spacing w:before="181"/>
        <w:ind w:left="477"/>
        <w:rPr>
          <w:sz w:val="25"/>
        </w:rPr>
      </w:pPr>
      <w:r>
        <w:rPr/>
        <w:t>it prevents the production of many factors that lead to atherosclerosis.</w:t>
      </w:r>
      <w:r>
        <w:rPr>
          <w:position w:val="9"/>
          <w:sz w:val="25"/>
        </w:rPr>
        <w:t>33</w:t>
      </w:r>
    </w:p>
    <w:p>
      <w:pPr>
        <w:pStyle w:val="Heading1"/>
        <w:spacing w:before="288"/>
      </w:pPr>
      <w:r>
        <w:rPr>
          <w:w w:val="95"/>
        </w:rPr>
        <w:t>Alpha-lipoic acid prevents heart attack and relieves the knock-on</w:t>
      </w:r>
      <w:r>
        <w:rPr>
          <w:spacing w:val="-33"/>
          <w:w w:val="95"/>
        </w:rPr>
        <w:t> </w:t>
      </w:r>
      <w:r>
        <w:rPr>
          <w:w w:val="95"/>
        </w:rPr>
        <w:t>effects</w:t>
      </w:r>
    </w:p>
    <w:p>
      <w:pPr>
        <w:pStyle w:val="BodyText"/>
        <w:spacing w:line="276" w:lineRule="auto" w:before="299"/>
        <w:ind w:left="477" w:right="132"/>
        <w:jc w:val="both"/>
      </w:pPr>
      <w:r>
        <w:rPr/>
        <w:t>As already mentioned in the chapter “Studies”, Russian scientists discovered</w:t>
      </w:r>
      <w:r>
        <w:rPr>
          <w:spacing w:val="-54"/>
        </w:rPr>
        <w:t> </w:t>
      </w:r>
      <w:r>
        <w:rPr/>
        <w:t>as early as the 1970s that alpha-lipoic acid can reduce cholesterol in the blood by 40 % and in the aorta by 45 %. Oxygen absorption in the heart increases by</w:t>
      </w:r>
      <w:r>
        <w:rPr>
          <w:spacing w:val="-42"/>
        </w:rPr>
        <w:t> </w:t>
      </w:r>
      <w:r>
        <w:rPr/>
        <w:t>72</w:t>
      </w:r>
    </w:p>
    <w:p>
      <w:pPr>
        <w:pStyle w:val="BodyText"/>
        <w:spacing w:line="426" w:lineRule="exact"/>
        <w:ind w:left="477"/>
        <w:rPr>
          <w:sz w:val="25"/>
        </w:rPr>
      </w:pPr>
      <w:r>
        <w:rPr/>
        <w:t>%, by as much as 148 % in the aorta and by 128 % in the liver.</w:t>
      </w:r>
      <w:r>
        <w:rPr>
          <w:position w:val="9"/>
          <w:sz w:val="25"/>
        </w:rPr>
        <w:t>34</w:t>
      </w:r>
    </w:p>
    <w:p>
      <w:pPr>
        <w:pStyle w:val="BodyText"/>
        <w:spacing w:line="276" w:lineRule="auto" w:before="305"/>
        <w:ind w:left="477" w:right="132"/>
        <w:jc w:val="both"/>
        <w:rPr>
          <w:sz w:val="25"/>
        </w:rPr>
      </w:pPr>
      <w:r>
        <w:rPr/>
        <w:t>In another trial, researchers showed that the administration of alpha-lipoic</w:t>
      </w:r>
      <w:r>
        <w:rPr>
          <w:spacing w:val="-61"/>
        </w:rPr>
        <w:t> </w:t>
      </w:r>
      <w:r>
        <w:rPr/>
        <w:t>acid can reduce cardiac damage, caused by a temporary loss of blood supply to the heart muscle and then sudden reperfusion during a heart attack, from 80 % to 40 %.</w:t>
      </w:r>
      <w:r>
        <w:rPr>
          <w:position w:val="9"/>
          <w:sz w:val="25"/>
        </w:rPr>
        <w:t>35</w:t>
      </w:r>
    </w:p>
    <w:p>
      <w:pPr>
        <w:pStyle w:val="Heading1"/>
      </w:pPr>
      <w:r>
        <w:rPr/>
        <w:t>Alpha-lipoic</w:t>
      </w:r>
      <w:r>
        <w:rPr>
          <w:spacing w:val="-57"/>
        </w:rPr>
        <w:t> </w:t>
      </w:r>
      <w:r>
        <w:rPr/>
        <w:t>acid</w:t>
      </w:r>
      <w:r>
        <w:rPr>
          <w:spacing w:val="-57"/>
        </w:rPr>
        <w:t> </w:t>
      </w:r>
      <w:r>
        <w:rPr/>
        <w:t>prevents</w:t>
      </w:r>
      <w:r>
        <w:rPr>
          <w:spacing w:val="-56"/>
        </w:rPr>
        <w:t> </w:t>
      </w:r>
      <w:r>
        <w:rPr/>
        <w:t>the</w:t>
      </w:r>
      <w:r>
        <w:rPr>
          <w:spacing w:val="-56"/>
        </w:rPr>
        <w:t> </w:t>
      </w:r>
      <w:r>
        <w:rPr/>
        <w:t>after-effects</w:t>
      </w:r>
      <w:r>
        <w:rPr>
          <w:spacing w:val="-57"/>
        </w:rPr>
        <w:t> </w:t>
      </w:r>
      <w:r>
        <w:rPr/>
        <w:t>of</w:t>
      </w:r>
      <w:r>
        <w:rPr>
          <w:spacing w:val="-54"/>
        </w:rPr>
        <w:t> </w:t>
      </w:r>
      <w:r>
        <w:rPr/>
        <w:t>stroke/cerebral</w:t>
      </w:r>
      <w:r>
        <w:rPr>
          <w:spacing w:val="-56"/>
        </w:rPr>
        <w:t> </w:t>
      </w:r>
      <w:r>
        <w:rPr/>
        <w:t>apoplexy</w:t>
      </w:r>
    </w:p>
    <w:p>
      <w:pPr>
        <w:pStyle w:val="BodyText"/>
        <w:spacing w:line="276" w:lineRule="auto" w:before="298"/>
        <w:ind w:left="477"/>
      </w:pPr>
      <w:r>
        <w:rPr/>
        <w:t>In rats given alpha-lipoic acid, Dr. Packer was able to lower the mortality rate due to reperfusion in the case of provoked stroke from 80 % to 25 %. The 75</w:t>
      </w:r>
    </w:p>
    <w:p>
      <w:pPr>
        <w:pStyle w:val="BodyText"/>
        <w:ind w:left="477"/>
        <w:jc w:val="both"/>
        <w:rPr>
          <w:sz w:val="25"/>
        </w:rPr>
      </w:pPr>
      <w:r>
        <w:rPr/>
        <w:t>% of animals that survived had no secondary damage.</w:t>
      </w:r>
      <w:r>
        <w:rPr>
          <w:position w:val="9"/>
          <w:sz w:val="25"/>
        </w:rPr>
        <w:t>36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4"/>
        </w:rPr>
      </w:pPr>
      <w:r>
        <w:rPr/>
        <w:pict>
          <v:line style="position:absolute;mso-position-horizontal-relative:page;mso-position-vertical-relative:paragraph;z-index:-496;mso-wrap-distance-left:0;mso-wrap-distance-right:0" from="63.863998pt,16.087461pt" to="207.883998pt,16.087461pt" stroked="true" strokeweight=".71997pt" strokecolor="#000000">
            <v:stroke dashstyle="solid"/>
            <w10:wrap type="topAndBottom"/>
          </v:line>
        </w:pict>
      </w:r>
    </w:p>
    <w:p>
      <w:pPr>
        <w:pStyle w:val="BodyText"/>
        <w:spacing w:before="7"/>
        <w:rPr>
          <w:sz w:val="18"/>
        </w:rPr>
      </w:pPr>
    </w:p>
    <w:p>
      <w:pPr>
        <w:spacing w:before="99"/>
        <w:ind w:left="477" w:right="0" w:firstLine="0"/>
        <w:jc w:val="left"/>
        <w:rPr>
          <w:sz w:val="20"/>
        </w:rPr>
      </w:pPr>
      <w:r>
        <w:rPr>
          <w:b/>
          <w:i/>
          <w:position w:val="4"/>
          <w:sz w:val="10"/>
        </w:rPr>
        <w:t>33 </w:t>
      </w:r>
      <w:r>
        <w:rPr>
          <w:sz w:val="20"/>
        </w:rPr>
        <w:t>Zhang and Frei 2001</w:t>
      </w:r>
    </w:p>
    <w:p>
      <w:pPr>
        <w:spacing w:before="94"/>
        <w:ind w:left="477" w:right="0" w:firstLine="0"/>
        <w:jc w:val="left"/>
        <w:rPr>
          <w:sz w:val="20"/>
        </w:rPr>
      </w:pPr>
      <w:r>
        <w:rPr>
          <w:b/>
          <w:i/>
          <w:position w:val="4"/>
          <w:sz w:val="10"/>
        </w:rPr>
        <w:t>34 </w:t>
      </w:r>
      <w:r>
        <w:rPr>
          <w:sz w:val="20"/>
        </w:rPr>
        <w:t>Passwater 1995</w:t>
      </w:r>
    </w:p>
    <w:p>
      <w:pPr>
        <w:spacing w:before="95"/>
        <w:ind w:left="477" w:right="0" w:firstLine="0"/>
        <w:jc w:val="left"/>
        <w:rPr>
          <w:sz w:val="20"/>
        </w:rPr>
      </w:pPr>
      <w:r>
        <w:rPr/>
        <w:drawing>
          <wp:anchor distT="0" distB="0" distL="0" distR="0" allowOverlap="1" layoutInCell="1" locked="0" behindDoc="1" simplePos="0" relativeHeight="267167303">
            <wp:simplePos x="0" y="0"/>
            <wp:positionH relativeFrom="page">
              <wp:posOffset>896463</wp:posOffset>
            </wp:positionH>
            <wp:positionV relativeFrom="paragraph">
              <wp:posOffset>142597</wp:posOffset>
            </wp:positionV>
            <wp:extent cx="6379583" cy="902106"/>
            <wp:effectExtent l="0" t="0" r="0" b="0"/>
            <wp:wrapNone/>
            <wp:docPr id="17" name="image2.jpeg" descr=""/>
            <wp:cNvGraphicFramePr>
              <a:graphicFrameLocks noChangeAspect="1"/>
            </wp:cNvGraphicFramePr>
            <a:graphic>
              <a:graphicData uri="http://schemas.openxmlformats.org/drawingml/2006/picture">
                <pic:pic>
                  <pic:nvPicPr>
                    <pic:cNvPr id="18" name="image2.jpeg"/>
                    <pic:cNvPicPr/>
                  </pic:nvPicPr>
                  <pic:blipFill>
                    <a:blip r:embed="rId21" cstate="print"/>
                    <a:stretch>
                      <a:fillRect/>
                    </a:stretch>
                  </pic:blipFill>
                  <pic:spPr>
                    <a:xfrm>
                      <a:off x="0" y="0"/>
                      <a:ext cx="6379583" cy="902106"/>
                    </a:xfrm>
                    <a:prstGeom prst="rect">
                      <a:avLst/>
                    </a:prstGeom>
                  </pic:spPr>
                </pic:pic>
              </a:graphicData>
            </a:graphic>
          </wp:anchor>
        </w:drawing>
      </w:r>
      <w:r>
        <w:rPr>
          <w:b/>
          <w:i/>
          <w:position w:val="4"/>
          <w:sz w:val="10"/>
        </w:rPr>
        <w:t>35  </w:t>
      </w:r>
      <w:r>
        <w:rPr>
          <w:sz w:val="20"/>
        </w:rPr>
        <w:t>Packer and Colman</w:t>
      </w:r>
      <w:r>
        <w:rPr>
          <w:spacing w:val="-6"/>
          <w:sz w:val="20"/>
        </w:rPr>
        <w:t> </w:t>
      </w:r>
      <w:r>
        <w:rPr>
          <w:sz w:val="20"/>
        </w:rPr>
        <w:t>2000</w:t>
      </w:r>
    </w:p>
    <w:p>
      <w:pPr>
        <w:spacing w:before="94"/>
        <w:ind w:left="477" w:right="0" w:firstLine="0"/>
        <w:jc w:val="left"/>
        <w:rPr>
          <w:sz w:val="20"/>
        </w:rPr>
      </w:pPr>
      <w:r>
        <w:rPr>
          <w:position w:val="5"/>
          <w:sz w:val="13"/>
        </w:rPr>
        <w:t>36  </w:t>
      </w:r>
      <w:r>
        <w:rPr>
          <w:sz w:val="20"/>
        </w:rPr>
        <w:t>Packer and Colman</w:t>
      </w:r>
      <w:r>
        <w:rPr>
          <w:spacing w:val="-26"/>
          <w:sz w:val="20"/>
        </w:rPr>
        <w:t> </w:t>
      </w:r>
      <w:r>
        <w:rPr>
          <w:sz w:val="20"/>
        </w:rPr>
        <w:t>2000</w:t>
      </w:r>
    </w:p>
    <w:p>
      <w:pPr>
        <w:spacing w:after="0"/>
        <w:jc w:val="left"/>
        <w:rPr>
          <w:sz w:val="20"/>
        </w:rPr>
        <w:sectPr>
          <w:footerReference w:type="default" r:id="rId23"/>
          <w:pgSz w:w="14270" w:h="16850"/>
          <w:pgMar w:footer="527" w:header="0" w:top="1600" w:bottom="720" w:left="800" w:right="1280"/>
        </w:sectPr>
      </w:pPr>
    </w:p>
    <w:p>
      <w:pPr>
        <w:pStyle w:val="Heading1"/>
        <w:spacing w:before="164"/>
      </w:pPr>
      <w:r>
        <w:rPr/>
        <w:t>Alpha-lipoic acid and its effect on cataracts and eye problems</w:t>
      </w:r>
    </w:p>
    <w:p>
      <w:pPr>
        <w:pStyle w:val="BodyText"/>
        <w:spacing w:line="276" w:lineRule="auto" w:before="299"/>
        <w:ind w:left="477" w:right="133"/>
        <w:jc w:val="both"/>
      </w:pPr>
      <w:r>
        <w:rPr/>
        <w:t>Studies</w:t>
      </w:r>
      <w:r>
        <w:rPr>
          <w:spacing w:val="-20"/>
        </w:rPr>
        <w:t> </w:t>
      </w:r>
      <w:r>
        <w:rPr/>
        <w:t>have</w:t>
      </w:r>
      <w:r>
        <w:rPr>
          <w:spacing w:val="-20"/>
        </w:rPr>
        <w:t> </w:t>
      </w:r>
      <w:r>
        <w:rPr/>
        <w:t>shown</w:t>
      </w:r>
      <w:r>
        <w:rPr>
          <w:spacing w:val="-20"/>
        </w:rPr>
        <w:t> </w:t>
      </w:r>
      <w:r>
        <w:rPr/>
        <w:t>that</w:t>
      </w:r>
      <w:r>
        <w:rPr>
          <w:spacing w:val="-20"/>
        </w:rPr>
        <w:t> </w:t>
      </w:r>
      <w:r>
        <w:rPr/>
        <w:t>alpha-lipoic</w:t>
      </w:r>
      <w:r>
        <w:rPr>
          <w:spacing w:val="-20"/>
        </w:rPr>
        <w:t> </w:t>
      </w:r>
      <w:r>
        <w:rPr/>
        <w:t>acid</w:t>
      </w:r>
      <w:r>
        <w:rPr>
          <w:spacing w:val="-21"/>
        </w:rPr>
        <w:t> </w:t>
      </w:r>
      <w:r>
        <w:rPr/>
        <w:t>can</w:t>
      </w:r>
      <w:r>
        <w:rPr>
          <w:spacing w:val="-19"/>
        </w:rPr>
        <w:t> </w:t>
      </w:r>
      <w:r>
        <w:rPr/>
        <w:t>minimise</w:t>
      </w:r>
      <w:r>
        <w:rPr>
          <w:spacing w:val="-19"/>
        </w:rPr>
        <w:t> </w:t>
      </w:r>
      <w:r>
        <w:rPr/>
        <w:t>the</w:t>
      </w:r>
      <w:r>
        <w:rPr>
          <w:spacing w:val="-21"/>
        </w:rPr>
        <w:t> </w:t>
      </w:r>
      <w:r>
        <w:rPr/>
        <w:t>onset</w:t>
      </w:r>
      <w:r>
        <w:rPr>
          <w:spacing w:val="-22"/>
        </w:rPr>
        <w:t> </w:t>
      </w:r>
      <w:r>
        <w:rPr/>
        <w:t>cataract</w:t>
      </w:r>
      <w:r>
        <w:rPr>
          <w:spacing w:val="-21"/>
        </w:rPr>
        <w:t> </w:t>
      </w:r>
      <w:r>
        <w:rPr/>
        <w:t>symp- toms and improve eye function in general. In a study by Dr. Parker, the addi- tional administration of alpha-lipoic acid prevented cataracts, which can be at- tributed to the influence of alpha-lipoic acid on glutathione</w:t>
      </w:r>
      <w:r>
        <w:rPr>
          <w:spacing w:val="-5"/>
        </w:rPr>
        <w:t> </w:t>
      </w:r>
      <w:r>
        <w:rPr/>
        <w:t>levels.</w:t>
      </w:r>
    </w:p>
    <w:p>
      <w:pPr>
        <w:pStyle w:val="BodyText"/>
        <w:rPr>
          <w:sz w:val="42"/>
        </w:rPr>
      </w:pPr>
    </w:p>
    <w:p>
      <w:pPr>
        <w:pStyle w:val="BodyText"/>
        <w:spacing w:before="4"/>
        <w:rPr>
          <w:sz w:val="44"/>
        </w:rPr>
      </w:pPr>
    </w:p>
    <w:p>
      <w:pPr>
        <w:pStyle w:val="BodyText"/>
        <w:spacing w:line="276" w:lineRule="auto" w:before="1"/>
        <w:ind w:left="477" w:right="134"/>
        <w:jc w:val="both"/>
      </w:pPr>
      <w:r>
        <w:rPr/>
        <w:t>The following table explains the preventive and therapeutic effects of alpha li- poic acid on cataracts:</w:t>
      </w:r>
    </w:p>
    <w:p>
      <w:pPr>
        <w:pStyle w:val="BodyText"/>
        <w:spacing w:before="7" w:after="1"/>
        <w:rPr>
          <w:sz w:val="21"/>
        </w:rPr>
      </w:pPr>
    </w:p>
    <w:tbl>
      <w:tblPr>
        <w:tblW w:w="0" w:type="auto"/>
        <w:jc w:val="left"/>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13"/>
      </w:tblGrid>
      <w:tr>
        <w:trPr>
          <w:trHeight w:val="1182" w:hRule="atLeast"/>
        </w:trPr>
        <w:tc>
          <w:tcPr>
            <w:tcW w:w="9213" w:type="dxa"/>
            <w:shd w:val="clear" w:color="auto" w:fill="8DB3E1"/>
          </w:tcPr>
          <w:p>
            <w:pPr>
              <w:pStyle w:val="TableParagraph"/>
              <w:spacing w:line="278" w:lineRule="auto"/>
              <w:ind w:left="854" w:hanging="533"/>
              <w:rPr>
                <w:b/>
                <w:sz w:val="38"/>
              </w:rPr>
            </w:pPr>
            <w:r>
              <w:rPr>
                <w:b/>
                <w:sz w:val="38"/>
              </w:rPr>
              <w:t>PREVENTATIVE AND THERAPEUTIC EFFECT OF ALPHA-LIPOIC ACID ON CATARACTS</w:t>
            </w:r>
          </w:p>
        </w:tc>
      </w:tr>
      <w:tr>
        <w:trPr>
          <w:trHeight w:val="690" w:hRule="atLeast"/>
        </w:trPr>
        <w:tc>
          <w:tcPr>
            <w:tcW w:w="9213" w:type="dxa"/>
          </w:tcPr>
          <w:p>
            <w:pPr>
              <w:pStyle w:val="TableParagraph"/>
              <w:spacing w:line="426" w:lineRule="exact"/>
              <w:ind w:left="69"/>
              <w:rPr>
                <w:sz w:val="38"/>
              </w:rPr>
            </w:pPr>
            <w:r>
              <w:rPr>
                <w:sz w:val="38"/>
              </w:rPr>
              <w:t>Increase in the glutathione level</w:t>
            </w:r>
          </w:p>
        </w:tc>
      </w:tr>
      <w:tr>
        <w:trPr>
          <w:trHeight w:val="1185" w:hRule="atLeast"/>
        </w:trPr>
        <w:tc>
          <w:tcPr>
            <w:tcW w:w="9213" w:type="dxa"/>
          </w:tcPr>
          <w:p>
            <w:pPr>
              <w:pStyle w:val="TableParagraph"/>
              <w:spacing w:line="276" w:lineRule="auto"/>
              <w:ind w:left="69"/>
              <w:rPr>
                <w:sz w:val="38"/>
              </w:rPr>
            </w:pPr>
            <w:r>
              <w:rPr>
                <w:sz w:val="38"/>
              </w:rPr>
              <w:t>Protection against harmful glycoproteins, known as AGEs (advanced glycation end products)</w:t>
            </w:r>
          </w:p>
        </w:tc>
      </w:tr>
      <w:tr>
        <w:trPr>
          <w:trHeight w:val="690" w:hRule="atLeast"/>
        </w:trPr>
        <w:tc>
          <w:tcPr>
            <w:tcW w:w="9213" w:type="dxa"/>
          </w:tcPr>
          <w:p>
            <w:pPr>
              <w:pStyle w:val="TableParagraph"/>
              <w:spacing w:line="426" w:lineRule="exact"/>
              <w:ind w:left="69"/>
              <w:rPr>
                <w:sz w:val="38"/>
              </w:rPr>
            </w:pPr>
            <w:r>
              <w:rPr>
                <w:sz w:val="38"/>
              </w:rPr>
              <w:t>Protection against attacks by free radicals</w:t>
            </w:r>
          </w:p>
        </w:tc>
      </w:tr>
      <w:tr>
        <w:trPr>
          <w:trHeight w:val="1182" w:hRule="atLeast"/>
        </w:trPr>
        <w:tc>
          <w:tcPr>
            <w:tcW w:w="9213" w:type="dxa"/>
          </w:tcPr>
          <w:p>
            <w:pPr>
              <w:pStyle w:val="TableParagraph"/>
              <w:spacing w:line="278" w:lineRule="auto"/>
              <w:ind w:left="69"/>
              <w:rPr>
                <w:sz w:val="38"/>
              </w:rPr>
            </w:pPr>
            <w:r>
              <w:rPr>
                <w:sz w:val="38"/>
              </w:rPr>
              <w:t>Protection of the structure of the eye lens from being de- stroyed by metals, such as cadmium</w:t>
            </w:r>
          </w:p>
        </w:tc>
      </w:tr>
    </w:tbl>
    <w:p>
      <w:pPr>
        <w:spacing w:after="0" w:line="278" w:lineRule="auto"/>
        <w:rPr>
          <w:sz w:val="38"/>
        </w:rPr>
        <w:sectPr>
          <w:footerReference w:type="default" r:id="rId24"/>
          <w:pgSz w:w="14270" w:h="16850"/>
          <w:pgMar w:footer="1891" w:header="0" w:top="1600" w:bottom="2080" w:left="800" w:right="1280"/>
          <w:pgNumType w:start="121"/>
        </w:sectPr>
      </w:pPr>
    </w:p>
    <w:p>
      <w:pPr>
        <w:pStyle w:val="BodyText"/>
        <w:rPr>
          <w:sz w:val="20"/>
        </w:rPr>
      </w:pPr>
    </w:p>
    <w:p>
      <w:pPr>
        <w:pStyle w:val="BodyText"/>
        <w:rPr>
          <w:sz w:val="20"/>
        </w:rPr>
      </w:pPr>
    </w:p>
    <w:p>
      <w:pPr>
        <w:pStyle w:val="BodyText"/>
        <w:spacing w:before="1"/>
        <w:rPr>
          <w:sz w:val="20"/>
        </w:rPr>
      </w:pPr>
    </w:p>
    <w:p>
      <w:pPr>
        <w:pStyle w:val="Heading1"/>
        <w:spacing w:before="100"/>
      </w:pPr>
      <w:r>
        <w:rPr/>
        <w:t>Alpha-lipoic acid and its effect on Alzheimer's and dementia</w:t>
      </w:r>
    </w:p>
    <w:p>
      <w:pPr>
        <w:pStyle w:val="BodyText"/>
        <w:spacing w:line="276" w:lineRule="auto" w:before="179"/>
        <w:ind w:left="477" w:right="131"/>
        <w:jc w:val="both"/>
        <w:rPr>
          <w:sz w:val="25"/>
        </w:rPr>
      </w:pPr>
      <w:r>
        <w:rPr/>
        <w:t>Observation</w:t>
      </w:r>
      <w:r>
        <w:rPr>
          <w:spacing w:val="-12"/>
        </w:rPr>
        <w:t> </w:t>
      </w:r>
      <w:r>
        <w:rPr/>
        <w:t>of</w:t>
      </w:r>
      <w:r>
        <w:rPr>
          <w:spacing w:val="-9"/>
        </w:rPr>
        <w:t> </w:t>
      </w:r>
      <w:r>
        <w:rPr/>
        <w:t>diabetic</w:t>
      </w:r>
      <w:r>
        <w:rPr>
          <w:spacing w:val="-12"/>
        </w:rPr>
        <w:t> </w:t>
      </w:r>
      <w:r>
        <w:rPr/>
        <w:t>patients</w:t>
      </w:r>
      <w:r>
        <w:rPr>
          <w:spacing w:val="-11"/>
        </w:rPr>
        <w:t> </w:t>
      </w:r>
      <w:r>
        <w:rPr/>
        <w:t>who</w:t>
      </w:r>
      <w:r>
        <w:rPr>
          <w:spacing w:val="-11"/>
        </w:rPr>
        <w:t> </w:t>
      </w:r>
      <w:r>
        <w:rPr/>
        <w:t>were</w:t>
      </w:r>
      <w:r>
        <w:rPr>
          <w:spacing w:val="-11"/>
        </w:rPr>
        <w:t> </w:t>
      </w:r>
      <w:r>
        <w:rPr/>
        <w:t>given</w:t>
      </w:r>
      <w:r>
        <w:rPr>
          <w:spacing w:val="-9"/>
        </w:rPr>
        <w:t> </w:t>
      </w:r>
      <w:r>
        <w:rPr/>
        <w:t>alpha-lipoic</w:t>
      </w:r>
      <w:r>
        <w:rPr>
          <w:spacing w:val="-12"/>
        </w:rPr>
        <w:t> </w:t>
      </w:r>
      <w:r>
        <w:rPr/>
        <w:t>acid</w:t>
      </w:r>
      <w:r>
        <w:rPr>
          <w:spacing w:val="-12"/>
        </w:rPr>
        <w:t> </w:t>
      </w:r>
      <w:r>
        <w:rPr/>
        <w:t>who</w:t>
      </w:r>
      <w:r>
        <w:rPr>
          <w:spacing w:val="-11"/>
        </w:rPr>
        <w:t> </w:t>
      </w:r>
      <w:r>
        <w:rPr/>
        <w:t>also</w:t>
      </w:r>
      <w:r>
        <w:rPr>
          <w:spacing w:val="-11"/>
        </w:rPr>
        <w:t> </w:t>
      </w:r>
      <w:r>
        <w:rPr/>
        <w:t>had Alzheimer's showed that their disease ceased to deteriorate and their brain</w:t>
      </w:r>
      <w:r>
        <w:rPr>
          <w:spacing w:val="-49"/>
        </w:rPr>
        <w:t> </w:t>
      </w:r>
      <w:r>
        <w:rPr/>
        <w:t>out- put remained</w:t>
      </w:r>
      <w:r>
        <w:rPr>
          <w:spacing w:val="-2"/>
        </w:rPr>
        <w:t> </w:t>
      </w:r>
      <w:r>
        <w:rPr/>
        <w:t>constant.</w:t>
      </w:r>
      <w:r>
        <w:rPr>
          <w:position w:val="9"/>
          <w:sz w:val="25"/>
        </w:rPr>
        <w:t>37</w:t>
      </w:r>
    </w:p>
    <w:p>
      <w:pPr>
        <w:pStyle w:val="BodyText"/>
        <w:spacing w:line="276" w:lineRule="auto" w:before="239"/>
        <w:ind w:left="477" w:right="136"/>
        <w:jc w:val="both"/>
      </w:pPr>
      <w:r>
        <w:rPr/>
        <w:t>Doctors have explained that the positive effect was caused by the interception of free radicals and messengers by the alpha-lipoic acid. These messenger sub- stances lead to inflammatory reactions and are intended to attack the senile plaques as part of the immune defence, but also attack the healthy cells. Here, alpha-lipoic acid prevents the direct destruction of brain cells. Furthermore, it is believed that the influence of alpha-lipoic acid on the glucose metabolism benefits</w:t>
      </w:r>
      <w:r>
        <w:rPr>
          <w:spacing w:val="-7"/>
        </w:rPr>
        <w:t> </w:t>
      </w:r>
      <w:r>
        <w:rPr/>
        <w:t>the</w:t>
      </w:r>
      <w:r>
        <w:rPr>
          <w:spacing w:val="-6"/>
        </w:rPr>
        <w:t> </w:t>
      </w:r>
      <w:r>
        <w:rPr/>
        <w:t>energy</w:t>
      </w:r>
      <w:r>
        <w:rPr>
          <w:spacing w:val="-6"/>
        </w:rPr>
        <w:t> </w:t>
      </w:r>
      <w:r>
        <w:rPr/>
        <w:t>levels</w:t>
      </w:r>
      <w:r>
        <w:rPr>
          <w:spacing w:val="-7"/>
        </w:rPr>
        <w:t> </w:t>
      </w:r>
      <w:r>
        <w:rPr/>
        <w:t>of</w:t>
      </w:r>
      <w:r>
        <w:rPr>
          <w:spacing w:val="-7"/>
        </w:rPr>
        <w:t> </w:t>
      </w:r>
      <w:r>
        <w:rPr/>
        <w:t>the</w:t>
      </w:r>
      <w:r>
        <w:rPr>
          <w:spacing w:val="-8"/>
        </w:rPr>
        <w:t> </w:t>
      </w:r>
      <w:r>
        <w:rPr/>
        <w:t>brain</w:t>
      </w:r>
      <w:r>
        <w:rPr>
          <w:spacing w:val="-7"/>
        </w:rPr>
        <w:t> </w:t>
      </w:r>
      <w:r>
        <w:rPr/>
        <w:t>cells.</w:t>
      </w:r>
      <w:r>
        <w:rPr>
          <w:spacing w:val="-6"/>
        </w:rPr>
        <w:t> </w:t>
      </w:r>
      <w:r>
        <w:rPr/>
        <w:t>The</w:t>
      </w:r>
      <w:r>
        <w:rPr>
          <w:spacing w:val="-9"/>
        </w:rPr>
        <w:t> </w:t>
      </w:r>
      <w:r>
        <w:rPr/>
        <w:t>promotion</w:t>
      </w:r>
      <w:r>
        <w:rPr>
          <w:spacing w:val="-6"/>
        </w:rPr>
        <w:t> </w:t>
      </w:r>
      <w:r>
        <w:rPr/>
        <w:t>of</w:t>
      </w:r>
      <w:r>
        <w:rPr>
          <w:spacing w:val="-9"/>
        </w:rPr>
        <w:t> </w:t>
      </w:r>
      <w:r>
        <w:rPr/>
        <w:t>the</w:t>
      </w:r>
      <w:r>
        <w:rPr>
          <w:spacing w:val="-7"/>
        </w:rPr>
        <w:t> </w:t>
      </w:r>
      <w:r>
        <w:rPr/>
        <w:t>formation</w:t>
      </w:r>
      <w:r>
        <w:rPr>
          <w:spacing w:val="-6"/>
        </w:rPr>
        <w:t> </w:t>
      </w:r>
      <w:r>
        <w:rPr/>
        <w:t>of neurotransmitters by alpha-lipoic acid also encourages this protective</w:t>
      </w:r>
      <w:r>
        <w:rPr>
          <w:spacing w:val="-28"/>
        </w:rPr>
        <w:t> </w:t>
      </w:r>
      <w:r>
        <w:rPr/>
        <w:t>process.</w:t>
      </w:r>
    </w:p>
    <w:p>
      <w:pPr>
        <w:pStyle w:val="BodyText"/>
        <w:spacing w:line="276" w:lineRule="auto" w:before="242"/>
        <w:ind w:left="477" w:right="129"/>
        <w:jc w:val="both"/>
      </w:pPr>
      <w:r>
        <w:rPr/>
        <w:t>In this context, it is worth noting that some researchers have observed an in- creased proportion of oxidised lipids (fats) among Alzheimer’s patients.</w:t>
      </w:r>
      <w:r>
        <w:rPr>
          <w:position w:val="9"/>
          <w:sz w:val="25"/>
        </w:rPr>
        <w:t>38 </w:t>
      </w:r>
      <w:r>
        <w:rPr/>
        <w:t>The antioxidant activity of alpha-lipoic acid, which can even protect the brain due to its small molecular size, is thought to play a major role in stabilising the dis- ease.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r>
        <w:rPr/>
        <w:pict>
          <v:line style="position:absolute;mso-position-horizontal-relative:page;mso-position-vertical-relative:paragraph;z-index:-448;mso-wrap-distance-left:0;mso-wrap-distance-right:0" from="63.863998pt,18.239985pt" to="207.883998pt,18.239985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37 </w:t>
      </w:r>
      <w:r>
        <w:rPr>
          <w:sz w:val="20"/>
        </w:rPr>
        <w:t>Münch et al. 2000, Hager et al. 2001</w:t>
      </w:r>
    </w:p>
    <w:p>
      <w:pPr>
        <w:spacing w:before="94"/>
        <w:ind w:left="477" w:right="0" w:firstLine="0"/>
        <w:jc w:val="left"/>
        <w:rPr>
          <w:sz w:val="20"/>
        </w:rPr>
      </w:pPr>
      <w:r>
        <w:rPr>
          <w:position w:val="5"/>
          <w:sz w:val="13"/>
        </w:rPr>
        <w:t>38 </w:t>
      </w:r>
      <w:r>
        <w:rPr>
          <w:sz w:val="20"/>
        </w:rPr>
        <w:t>Packer and Colman 2000</w:t>
      </w:r>
    </w:p>
    <w:p>
      <w:pPr>
        <w:spacing w:after="0"/>
        <w:jc w:val="left"/>
        <w:rPr>
          <w:sz w:val="20"/>
        </w:rPr>
        <w:sectPr>
          <w:pgSz w:w="14270" w:h="16850"/>
          <w:pgMar w:header="0" w:footer="1891" w:top="1600" w:bottom="2080" w:left="800" w:right="1280"/>
        </w:sectPr>
      </w:pPr>
    </w:p>
    <w:p>
      <w:pPr>
        <w:pStyle w:val="Heading1"/>
        <w:spacing w:before="164"/>
      </w:pPr>
      <w:r>
        <w:rPr/>
        <w:t>Alpha-lipoic acid aids learning and increases your ability to think</w:t>
      </w:r>
    </w:p>
    <w:p>
      <w:pPr>
        <w:pStyle w:val="BodyText"/>
        <w:spacing w:line="276" w:lineRule="auto" w:before="299"/>
        <w:ind w:left="477" w:right="132"/>
        <w:jc w:val="both"/>
        <w:rPr>
          <w:sz w:val="25"/>
        </w:rPr>
      </w:pPr>
      <w:r>
        <w:rPr/>
        <w:t>The ability of alpha-lipoic acid, as described above, to cross the blood-brain barrier and protect cells and blood vessels from oxidative destruction directly in</w:t>
      </w:r>
      <w:r>
        <w:rPr>
          <w:spacing w:val="-10"/>
        </w:rPr>
        <w:t> </w:t>
      </w:r>
      <w:r>
        <w:rPr/>
        <w:t>the</w:t>
      </w:r>
      <w:r>
        <w:rPr>
          <w:spacing w:val="-12"/>
        </w:rPr>
        <w:t> </w:t>
      </w:r>
      <w:r>
        <w:rPr/>
        <w:t>brain,</w:t>
      </w:r>
      <w:r>
        <w:rPr>
          <w:spacing w:val="-11"/>
        </w:rPr>
        <w:t> </w:t>
      </w:r>
      <w:r>
        <w:rPr/>
        <w:t>manifests</w:t>
      </w:r>
      <w:r>
        <w:rPr>
          <w:spacing w:val="-10"/>
        </w:rPr>
        <w:t> </w:t>
      </w:r>
      <w:r>
        <w:rPr/>
        <w:t>as</w:t>
      </w:r>
      <w:r>
        <w:rPr>
          <w:spacing w:val="-13"/>
        </w:rPr>
        <w:t> </w:t>
      </w:r>
      <w:r>
        <w:rPr/>
        <w:t>an</w:t>
      </w:r>
      <w:r>
        <w:rPr>
          <w:spacing w:val="-10"/>
        </w:rPr>
        <w:t> </w:t>
      </w:r>
      <w:r>
        <w:rPr/>
        <w:t>increase</w:t>
      </w:r>
      <w:r>
        <w:rPr>
          <w:spacing w:val="-8"/>
        </w:rPr>
        <w:t> </w:t>
      </w:r>
      <w:r>
        <w:rPr/>
        <w:t>in</w:t>
      </w:r>
      <w:r>
        <w:rPr>
          <w:spacing w:val="-13"/>
        </w:rPr>
        <w:t> </w:t>
      </w:r>
      <w:r>
        <w:rPr/>
        <w:t>concentration</w:t>
      </w:r>
      <w:r>
        <w:rPr>
          <w:spacing w:val="-10"/>
        </w:rPr>
        <w:t> </w:t>
      </w:r>
      <w:r>
        <w:rPr/>
        <w:t>and</w:t>
      </w:r>
      <w:r>
        <w:rPr>
          <w:spacing w:val="-9"/>
        </w:rPr>
        <w:t> </w:t>
      </w:r>
      <w:r>
        <w:rPr/>
        <w:t>benefits</w:t>
      </w:r>
      <w:r>
        <w:rPr>
          <w:spacing w:val="-10"/>
        </w:rPr>
        <w:t> </w:t>
      </w:r>
      <w:r>
        <w:rPr/>
        <w:t>learning</w:t>
      </w:r>
      <w:r>
        <w:rPr>
          <w:spacing w:val="-12"/>
        </w:rPr>
        <w:t> </w:t>
      </w:r>
      <w:r>
        <w:rPr/>
        <w:t>and thinking, as a research group from Mannheim has</w:t>
      </w:r>
      <w:r>
        <w:rPr>
          <w:spacing w:val="-1"/>
        </w:rPr>
        <w:t> </w:t>
      </w:r>
      <w:r>
        <w:rPr/>
        <w:t>shown.</w:t>
      </w:r>
      <w:r>
        <w:rPr>
          <w:position w:val="9"/>
          <w:sz w:val="25"/>
        </w:rPr>
        <w:t>39</w:t>
      </w:r>
    </w:p>
    <w:p>
      <w:pPr>
        <w:pStyle w:val="BodyText"/>
        <w:spacing w:before="1"/>
        <w:rPr>
          <w:sz w:val="41"/>
        </w:rPr>
      </w:pPr>
    </w:p>
    <w:p>
      <w:pPr>
        <w:pStyle w:val="Heading1"/>
        <w:spacing w:before="1"/>
      </w:pPr>
      <w:r>
        <w:rPr/>
        <w:t>Alpha-lipoic acid and its effect on</w:t>
      </w:r>
      <w:r>
        <w:rPr>
          <w:spacing w:val="-68"/>
        </w:rPr>
        <w:t> </w:t>
      </w:r>
      <w:r>
        <w:rPr/>
        <w:t>cancer</w:t>
      </w:r>
    </w:p>
    <w:p>
      <w:pPr>
        <w:pStyle w:val="BodyText"/>
        <w:spacing w:line="276" w:lineRule="auto" w:before="299"/>
        <w:ind w:left="477" w:right="135"/>
        <w:jc w:val="both"/>
      </w:pPr>
      <w:r>
        <w:rPr/>
        <w:t>Of</w:t>
      </w:r>
      <w:r>
        <w:rPr>
          <w:spacing w:val="-14"/>
        </w:rPr>
        <w:t> </w:t>
      </w:r>
      <w:r>
        <w:rPr/>
        <w:t>course,</w:t>
      </w:r>
      <w:r>
        <w:rPr>
          <w:spacing w:val="-10"/>
        </w:rPr>
        <w:t> </w:t>
      </w:r>
      <w:r>
        <w:rPr/>
        <w:t>cancer</w:t>
      </w:r>
      <w:r>
        <w:rPr>
          <w:spacing w:val="-12"/>
        </w:rPr>
        <w:t> </w:t>
      </w:r>
      <w:r>
        <w:rPr/>
        <w:t>patients</w:t>
      </w:r>
      <w:r>
        <w:rPr>
          <w:spacing w:val="-11"/>
        </w:rPr>
        <w:t> </w:t>
      </w:r>
      <w:r>
        <w:rPr/>
        <w:t>can</w:t>
      </w:r>
      <w:r>
        <w:rPr>
          <w:spacing w:val="-11"/>
        </w:rPr>
        <w:t> </w:t>
      </w:r>
      <w:r>
        <w:rPr/>
        <w:t>benefit</w:t>
      </w:r>
      <w:r>
        <w:rPr>
          <w:spacing w:val="-13"/>
        </w:rPr>
        <w:t> </w:t>
      </w:r>
      <w:r>
        <w:rPr/>
        <w:t>from</w:t>
      </w:r>
      <w:r>
        <w:rPr>
          <w:spacing w:val="-12"/>
        </w:rPr>
        <w:t> </w:t>
      </w:r>
      <w:r>
        <w:rPr/>
        <w:t>detoxification</w:t>
      </w:r>
      <w:r>
        <w:rPr>
          <w:spacing w:val="-12"/>
        </w:rPr>
        <w:t> </w:t>
      </w:r>
      <w:r>
        <w:rPr/>
        <w:t>of</w:t>
      </w:r>
      <w:r>
        <w:rPr>
          <w:spacing w:val="-11"/>
        </w:rPr>
        <w:t> </w:t>
      </w:r>
      <w:r>
        <w:rPr/>
        <w:t>the</w:t>
      </w:r>
      <w:r>
        <w:rPr>
          <w:spacing w:val="-13"/>
        </w:rPr>
        <w:t> </w:t>
      </w:r>
      <w:r>
        <w:rPr/>
        <w:t>body</w:t>
      </w:r>
      <w:r>
        <w:rPr>
          <w:spacing w:val="-13"/>
        </w:rPr>
        <w:t> </w:t>
      </w:r>
      <w:r>
        <w:rPr/>
        <w:t>and</w:t>
      </w:r>
      <w:r>
        <w:rPr>
          <w:spacing w:val="-11"/>
        </w:rPr>
        <w:t> </w:t>
      </w:r>
      <w:r>
        <w:rPr/>
        <w:t>pro- tection against free radicals. The immune system can more easily focus on fighting the tumour. Furthermore, alpha-lipoic acid protects against toxins and free radicals produced during chemotherapy or radiation and prevent polyneu- ropathy, which can often occur during</w:t>
      </w:r>
      <w:r>
        <w:rPr>
          <w:spacing w:val="3"/>
        </w:rPr>
        <w:t> </w:t>
      </w:r>
      <w:r>
        <w:rPr/>
        <w:t>chemotherapy.</w:t>
      </w:r>
    </w:p>
    <w:p>
      <w:pPr>
        <w:pStyle w:val="Heading1"/>
        <w:spacing w:before="222"/>
      </w:pPr>
      <w:r>
        <w:rPr/>
        <w:t>Alpha-lipoic acid and its effect on Hepatitis C</w:t>
      </w:r>
    </w:p>
    <w:p>
      <w:pPr>
        <w:pStyle w:val="BodyText"/>
        <w:spacing w:line="276" w:lineRule="auto" w:before="300"/>
        <w:ind w:left="477" w:right="131"/>
        <w:jc w:val="both"/>
        <w:rPr>
          <w:sz w:val="25"/>
        </w:rPr>
      </w:pPr>
      <w:r>
        <w:rPr/>
        <w:t>Alpha-lipoic</w:t>
      </w:r>
      <w:r>
        <w:rPr>
          <w:spacing w:val="-16"/>
        </w:rPr>
        <w:t> </w:t>
      </w:r>
      <w:r>
        <w:rPr/>
        <w:t>acid</w:t>
      </w:r>
      <w:r>
        <w:rPr>
          <w:spacing w:val="-14"/>
        </w:rPr>
        <w:t> </w:t>
      </w:r>
      <w:r>
        <w:rPr/>
        <w:t>is</w:t>
      </w:r>
      <w:r>
        <w:rPr>
          <w:spacing w:val="-15"/>
        </w:rPr>
        <w:t> </w:t>
      </w:r>
      <w:r>
        <w:rPr/>
        <w:t>also</w:t>
      </w:r>
      <w:r>
        <w:rPr>
          <w:spacing w:val="-13"/>
        </w:rPr>
        <w:t> </w:t>
      </w:r>
      <w:r>
        <w:rPr/>
        <w:t>most</w:t>
      </w:r>
      <w:r>
        <w:rPr>
          <w:spacing w:val="-15"/>
        </w:rPr>
        <w:t> </w:t>
      </w:r>
      <w:r>
        <w:rPr/>
        <w:t>effective</w:t>
      </w:r>
      <w:r>
        <w:rPr>
          <w:spacing w:val="-16"/>
        </w:rPr>
        <w:t> </w:t>
      </w:r>
      <w:r>
        <w:rPr/>
        <w:t>in</w:t>
      </w:r>
      <w:r>
        <w:rPr>
          <w:spacing w:val="-15"/>
        </w:rPr>
        <w:t> </w:t>
      </w:r>
      <w:r>
        <w:rPr/>
        <w:t>the</w:t>
      </w:r>
      <w:r>
        <w:rPr>
          <w:spacing w:val="-14"/>
        </w:rPr>
        <w:t> </w:t>
      </w:r>
      <w:r>
        <w:rPr/>
        <w:t>fight</w:t>
      </w:r>
      <w:r>
        <w:rPr>
          <w:spacing w:val="-14"/>
        </w:rPr>
        <w:t> </w:t>
      </w:r>
      <w:r>
        <w:rPr/>
        <w:t>against</w:t>
      </w:r>
      <w:r>
        <w:rPr>
          <w:spacing w:val="-15"/>
        </w:rPr>
        <w:t> </w:t>
      </w:r>
      <w:r>
        <w:rPr/>
        <w:t>hepatitis</w:t>
      </w:r>
      <w:r>
        <w:rPr>
          <w:spacing w:val="-13"/>
        </w:rPr>
        <w:t> </w:t>
      </w:r>
      <w:r>
        <w:rPr/>
        <w:t>C</w:t>
      </w:r>
      <w:r>
        <w:rPr>
          <w:spacing w:val="-17"/>
        </w:rPr>
        <w:t> </w:t>
      </w:r>
      <w:r>
        <w:rPr/>
        <w:t>(see</w:t>
      </w:r>
      <w:r>
        <w:rPr>
          <w:spacing w:val="-13"/>
        </w:rPr>
        <w:t> </w:t>
      </w:r>
      <w:r>
        <w:rPr/>
        <w:t>chap- ter</w:t>
      </w:r>
      <w:r>
        <w:rPr>
          <w:spacing w:val="-4"/>
        </w:rPr>
        <w:t> </w:t>
      </w:r>
      <w:r>
        <w:rPr/>
        <w:t>“Studies”</w:t>
      </w:r>
      <w:r>
        <w:rPr>
          <w:spacing w:val="-5"/>
        </w:rPr>
        <w:t> </w:t>
      </w:r>
      <w:r>
        <w:rPr/>
        <w:t>above.)</w:t>
      </w:r>
      <w:r>
        <w:rPr>
          <w:spacing w:val="-5"/>
        </w:rPr>
        <w:t> </w:t>
      </w:r>
      <w:r>
        <w:rPr/>
        <w:t>In</w:t>
      </w:r>
      <w:r>
        <w:rPr>
          <w:spacing w:val="-7"/>
        </w:rPr>
        <w:t> </w:t>
      </w:r>
      <w:r>
        <w:rPr/>
        <w:t>his</w:t>
      </w:r>
      <w:r>
        <w:rPr>
          <w:spacing w:val="-6"/>
        </w:rPr>
        <w:t> </w:t>
      </w:r>
      <w:r>
        <w:rPr/>
        <w:t>study</w:t>
      </w:r>
      <w:r>
        <w:rPr>
          <w:spacing w:val="-6"/>
        </w:rPr>
        <w:t> </w:t>
      </w:r>
      <w:r>
        <w:rPr/>
        <w:t>on</w:t>
      </w:r>
      <w:r>
        <w:rPr>
          <w:spacing w:val="-5"/>
        </w:rPr>
        <w:t> </w:t>
      </w:r>
      <w:r>
        <w:rPr/>
        <w:t>the</w:t>
      </w:r>
      <w:r>
        <w:rPr>
          <w:spacing w:val="-7"/>
        </w:rPr>
        <w:t> </w:t>
      </w:r>
      <w:r>
        <w:rPr/>
        <w:t>use</w:t>
      </w:r>
      <w:r>
        <w:rPr>
          <w:spacing w:val="-7"/>
        </w:rPr>
        <w:t> </w:t>
      </w:r>
      <w:r>
        <w:rPr/>
        <w:t>of</w:t>
      </w:r>
      <w:r>
        <w:rPr>
          <w:spacing w:val="-5"/>
        </w:rPr>
        <w:t> </w:t>
      </w:r>
      <w:r>
        <w:rPr/>
        <w:t>antioxidants</w:t>
      </w:r>
      <w:r>
        <w:rPr>
          <w:spacing w:val="-5"/>
        </w:rPr>
        <w:t> </w:t>
      </w:r>
      <w:r>
        <w:rPr/>
        <w:t>on</w:t>
      </w:r>
      <w:r>
        <w:rPr>
          <w:spacing w:val="-3"/>
        </w:rPr>
        <w:t> </w:t>
      </w:r>
      <w:r>
        <w:rPr/>
        <w:t>hepatitis</w:t>
      </w:r>
      <w:r>
        <w:rPr>
          <w:spacing w:val="-5"/>
        </w:rPr>
        <w:t> </w:t>
      </w:r>
      <w:r>
        <w:rPr/>
        <w:t>C,</w:t>
      </w:r>
      <w:r>
        <w:rPr>
          <w:spacing w:val="-1"/>
        </w:rPr>
        <w:t> </w:t>
      </w:r>
      <w:r>
        <w:rPr/>
        <w:t>Dr. Burton Berkson reported great success in healing</w:t>
      </w:r>
      <w:r>
        <w:rPr>
          <w:spacing w:val="-5"/>
        </w:rPr>
        <w:t> </w:t>
      </w:r>
      <w:r>
        <w:rPr/>
        <w:t>patients.</w:t>
      </w:r>
      <w:r>
        <w:rPr>
          <w:position w:val="9"/>
          <w:sz w:val="25"/>
        </w:rPr>
        <w:t>40</w:t>
      </w:r>
    </w:p>
    <w:p>
      <w:pPr>
        <w:pStyle w:val="Heading1"/>
        <w:jc w:val="both"/>
      </w:pPr>
      <w:r>
        <w:rPr/>
        <w:t>Alpha-lipoic acid and its effect on HIV/AIDS</w:t>
      </w:r>
    </w:p>
    <w:p>
      <w:pPr>
        <w:pStyle w:val="BodyText"/>
        <w:spacing w:before="299"/>
        <w:ind w:left="477"/>
        <w:jc w:val="both"/>
      </w:pPr>
      <w:r>
        <w:rPr/>
        <w:t>To date, AIDS is considered incurable and takes millions of lives every year.</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0"/>
        </w:rPr>
      </w:pPr>
      <w:r>
        <w:rPr/>
        <w:pict>
          <v:line style="position:absolute;mso-position-horizontal-relative:page;mso-position-vertical-relative:paragraph;z-index:-424;mso-wrap-distance-left:0;mso-wrap-distance-right:0" from="63.863998pt,8.477485pt" to="207.883998pt,8.477485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39 </w:t>
      </w:r>
      <w:r>
        <w:rPr>
          <w:sz w:val="20"/>
        </w:rPr>
        <w:t>Packer and Colman 2000</w:t>
      </w:r>
    </w:p>
    <w:p>
      <w:pPr>
        <w:spacing w:before="94"/>
        <w:ind w:left="477" w:right="0" w:firstLine="0"/>
        <w:jc w:val="left"/>
        <w:rPr>
          <w:sz w:val="20"/>
        </w:rPr>
      </w:pPr>
      <w:r>
        <w:rPr>
          <w:position w:val="5"/>
          <w:sz w:val="13"/>
        </w:rPr>
        <w:t>40 </w:t>
      </w:r>
      <w:r>
        <w:rPr>
          <w:sz w:val="20"/>
        </w:rPr>
        <w:t>Dr. Burton Berkson: The Alpha-Lipoic Acid Breakthrough, 1998</w:t>
      </w:r>
    </w:p>
    <w:p>
      <w:pPr>
        <w:spacing w:after="0"/>
        <w:jc w:val="left"/>
        <w:rPr>
          <w:sz w:val="20"/>
        </w:rPr>
        <w:sectPr>
          <w:pgSz w:w="14270" w:h="16850"/>
          <w:pgMar w:header="0" w:footer="1891" w:top="1600" w:bottom="2080" w:left="800" w:right="1280"/>
        </w:sectPr>
      </w:pPr>
    </w:p>
    <w:p>
      <w:pPr>
        <w:pStyle w:val="BodyText"/>
        <w:spacing w:line="276" w:lineRule="auto" w:before="181"/>
        <w:ind w:left="477" w:right="133"/>
        <w:jc w:val="both"/>
      </w:pPr>
      <w:r>
        <w:rPr/>
        <w:t>Studies have shown that the multiplication of HIV viruses is promoted by oxi- dative stress (increased attack of free radicals). Conversely, HIV patients have relatively few antioxidants. One study has impressively demonstrated that al- pha-lipoic acid not only increased levels of glutathione and vitamin C in the blood of HIV-positive patients, but even the number of helper T cells that are involved in immune defence, which is so important in patients with HIV!</w:t>
      </w:r>
    </w:p>
    <w:p>
      <w:pPr>
        <w:pStyle w:val="BodyText"/>
        <w:spacing w:line="276" w:lineRule="auto" w:before="241"/>
        <w:ind w:left="477" w:right="133"/>
        <w:jc w:val="both"/>
        <w:rPr>
          <w:sz w:val="25"/>
        </w:rPr>
      </w:pPr>
      <w:r>
        <w:rPr/>
        <w:t>The antioxidant and antiviral effects of alpha-lipoic acid have a clear positive effect on AIDS. In vitro experiments have shown that HIV proliferation is in- hibited</w:t>
      </w:r>
      <w:r>
        <w:rPr>
          <w:spacing w:val="-16"/>
        </w:rPr>
        <w:t> </w:t>
      </w:r>
      <w:r>
        <w:rPr/>
        <w:t>by</w:t>
      </w:r>
      <w:r>
        <w:rPr>
          <w:spacing w:val="-14"/>
        </w:rPr>
        <w:t> </w:t>
      </w:r>
      <w:r>
        <w:rPr/>
        <w:t>alpha-lipoic</w:t>
      </w:r>
      <w:r>
        <w:rPr>
          <w:spacing w:val="-15"/>
        </w:rPr>
        <w:t> </w:t>
      </w:r>
      <w:r>
        <w:rPr/>
        <w:t>acid;</w:t>
      </w:r>
      <w:r>
        <w:rPr>
          <w:position w:val="9"/>
          <w:sz w:val="25"/>
        </w:rPr>
        <w:t>41</w:t>
      </w:r>
      <w:r>
        <w:rPr>
          <w:spacing w:val="30"/>
          <w:position w:val="9"/>
          <w:sz w:val="25"/>
        </w:rPr>
        <w:t> </w:t>
      </w:r>
      <w:r>
        <w:rPr/>
        <w:t>the</w:t>
      </w:r>
      <w:r>
        <w:rPr>
          <w:spacing w:val="-13"/>
        </w:rPr>
        <w:t> </w:t>
      </w:r>
      <w:r>
        <w:rPr/>
        <w:t>number</w:t>
      </w:r>
      <w:r>
        <w:rPr>
          <w:spacing w:val="-13"/>
        </w:rPr>
        <w:t> </w:t>
      </w:r>
      <w:r>
        <w:rPr/>
        <w:t>of</w:t>
      </w:r>
      <w:r>
        <w:rPr>
          <w:spacing w:val="-14"/>
        </w:rPr>
        <w:t> </w:t>
      </w:r>
      <w:r>
        <w:rPr/>
        <w:t>viruses</w:t>
      </w:r>
      <w:r>
        <w:rPr>
          <w:spacing w:val="-14"/>
        </w:rPr>
        <w:t> </w:t>
      </w:r>
      <w:r>
        <w:rPr/>
        <w:t>in</w:t>
      </w:r>
      <w:r>
        <w:rPr>
          <w:spacing w:val="-14"/>
        </w:rPr>
        <w:t> </w:t>
      </w:r>
      <w:r>
        <w:rPr/>
        <w:t>vivo</w:t>
      </w:r>
      <w:r>
        <w:rPr>
          <w:spacing w:val="-14"/>
        </w:rPr>
        <w:t> </w:t>
      </w:r>
      <w:r>
        <w:rPr/>
        <w:t>in</w:t>
      </w:r>
      <w:r>
        <w:rPr>
          <w:spacing w:val="-14"/>
        </w:rPr>
        <w:t> </w:t>
      </w:r>
      <w:r>
        <w:rPr/>
        <w:t>patients</w:t>
      </w:r>
      <w:r>
        <w:rPr>
          <w:spacing w:val="-14"/>
        </w:rPr>
        <w:t> </w:t>
      </w:r>
      <w:r>
        <w:rPr/>
        <w:t>has</w:t>
      </w:r>
      <w:r>
        <w:rPr>
          <w:spacing w:val="-13"/>
        </w:rPr>
        <w:t> </w:t>
      </w:r>
      <w:r>
        <w:rPr/>
        <w:t>been reduced.</w:t>
      </w:r>
      <w:r>
        <w:rPr>
          <w:position w:val="9"/>
          <w:sz w:val="25"/>
        </w:rPr>
        <w:t>42</w:t>
      </w:r>
    </w:p>
    <w:p>
      <w:pPr>
        <w:pStyle w:val="BodyText"/>
        <w:rPr>
          <w:sz w:val="42"/>
        </w:rPr>
      </w:pPr>
    </w:p>
    <w:p>
      <w:pPr>
        <w:pStyle w:val="BodyText"/>
        <w:rPr>
          <w:sz w:val="42"/>
        </w:rPr>
      </w:pPr>
    </w:p>
    <w:p>
      <w:pPr>
        <w:pStyle w:val="BodyText"/>
        <w:rPr>
          <w:sz w:val="42"/>
        </w:rPr>
      </w:pPr>
    </w:p>
    <w:p>
      <w:pPr>
        <w:pStyle w:val="BodyText"/>
        <w:rPr>
          <w:sz w:val="42"/>
        </w:rPr>
      </w:pPr>
    </w:p>
    <w:p>
      <w:pPr>
        <w:pStyle w:val="BodyText"/>
        <w:spacing w:before="4"/>
        <w:rPr>
          <w:sz w:val="47"/>
        </w:rPr>
      </w:pPr>
    </w:p>
    <w:p>
      <w:pPr>
        <w:pStyle w:val="Heading2"/>
        <w:spacing w:before="1"/>
      </w:pPr>
      <w:r>
        <w:rPr/>
        <w:t>Eliminating alpha-lipoic acid deficiency by appropriate supplementation</w:t>
      </w:r>
    </w:p>
    <w:p>
      <w:pPr>
        <w:spacing w:before="304"/>
        <w:ind w:left="477" w:right="0" w:firstLine="0"/>
        <w:jc w:val="left"/>
        <w:rPr>
          <w:i/>
          <w:sz w:val="38"/>
        </w:rPr>
      </w:pPr>
      <w:r>
        <w:rPr>
          <w:i/>
          <w:sz w:val="38"/>
        </w:rPr>
        <w:t>Supply shortages as limiting factors</w:t>
      </w:r>
    </w:p>
    <w:p>
      <w:pPr>
        <w:pStyle w:val="BodyText"/>
        <w:spacing w:line="276" w:lineRule="auto" w:before="305"/>
        <w:ind w:left="477" w:right="132"/>
        <w:jc w:val="both"/>
      </w:pPr>
      <w:r>
        <w:rPr/>
        <w:t>It would be great if it were possible to put all this knowledge into practice by paying more attention to your diet. Unfortunately, this is not possible, because the supply of alpha-lipoic acid is severely limited by the factors of ‘diet’, ‘age’</w:t>
      </w:r>
    </w:p>
    <w:p>
      <w:pPr>
        <w:pStyle w:val="BodyText"/>
        <w:rPr>
          <w:sz w:val="20"/>
        </w:rPr>
      </w:pPr>
    </w:p>
    <w:p>
      <w:pPr>
        <w:pStyle w:val="BodyText"/>
        <w:rPr>
          <w:sz w:val="20"/>
        </w:rPr>
      </w:pPr>
    </w:p>
    <w:p>
      <w:pPr>
        <w:pStyle w:val="BodyText"/>
        <w:spacing w:before="10"/>
        <w:rPr>
          <w:sz w:val="23"/>
        </w:rPr>
      </w:pPr>
      <w:r>
        <w:rPr/>
        <w:pict>
          <v:line style="position:absolute;mso-position-horizontal-relative:page;mso-position-vertical-relative:paragraph;z-index:-400;mso-wrap-distance-left:0;mso-wrap-distance-right:0" from="63.863998pt,15.796235pt" to="207.883998pt,15.796235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41 </w:t>
      </w:r>
      <w:r>
        <w:rPr>
          <w:sz w:val="20"/>
        </w:rPr>
        <w:t>Bauer et al. 1991, Grieb 1992</w:t>
      </w:r>
    </w:p>
    <w:p>
      <w:pPr>
        <w:spacing w:before="94"/>
        <w:ind w:left="477" w:right="0" w:firstLine="0"/>
        <w:jc w:val="left"/>
        <w:rPr>
          <w:sz w:val="20"/>
        </w:rPr>
      </w:pPr>
      <w:r>
        <w:rPr>
          <w:position w:val="5"/>
          <w:sz w:val="13"/>
        </w:rPr>
        <w:t>42 </w:t>
      </w:r>
      <w:r>
        <w:rPr>
          <w:sz w:val="20"/>
        </w:rPr>
        <w:t>Lands 2001</w:t>
      </w:r>
    </w:p>
    <w:p>
      <w:pPr>
        <w:spacing w:after="0"/>
        <w:jc w:val="left"/>
        <w:rPr>
          <w:sz w:val="20"/>
        </w:rPr>
        <w:sectPr>
          <w:pgSz w:w="14270" w:h="16850"/>
          <w:pgMar w:header="0" w:footer="1891" w:top="1600" w:bottom="2080" w:left="800" w:right="1280"/>
        </w:sectPr>
      </w:pPr>
    </w:p>
    <w:p>
      <w:pPr>
        <w:pStyle w:val="BodyText"/>
        <w:spacing w:before="181"/>
        <w:ind w:left="477"/>
      </w:pPr>
      <w:r>
        <w:rPr/>
        <w:t>and ‘disease’.</w:t>
      </w:r>
    </w:p>
    <w:p>
      <w:pPr>
        <w:pStyle w:val="BodyText"/>
        <w:spacing w:before="10"/>
        <w:rPr>
          <w:sz w:val="46"/>
        </w:rPr>
      </w:pPr>
    </w:p>
    <w:p>
      <w:pPr>
        <w:pStyle w:val="Heading1"/>
        <w:spacing w:before="0"/>
      </w:pPr>
      <w:r>
        <w:rPr/>
        <w:t>Limiting factor 1: diet</w:t>
      </w:r>
    </w:p>
    <w:p>
      <w:pPr>
        <w:pStyle w:val="BodyText"/>
        <w:spacing w:line="276" w:lineRule="auto" w:before="299"/>
        <w:ind w:left="477" w:right="133"/>
        <w:jc w:val="both"/>
      </w:pPr>
      <w:r>
        <w:rPr/>
        <w:t>Some of the players in the antioxidant orchestra must be constantly fed with food; these include vitamins E and C. Other factors are, in part, self-produced by the body; these include coenzyme Q10 and alpha-lipoic acid.</w:t>
      </w:r>
    </w:p>
    <w:p>
      <w:pPr>
        <w:pStyle w:val="BodyText"/>
        <w:spacing w:line="276" w:lineRule="auto" w:before="240"/>
        <w:ind w:left="477" w:right="135"/>
        <w:jc w:val="both"/>
      </w:pPr>
      <w:r>
        <w:rPr/>
        <w:t>However, while we need to get vitamins E and C from food, our natural diet</w:t>
      </w:r>
      <w:r>
        <w:rPr>
          <w:spacing w:val="-47"/>
        </w:rPr>
        <w:t> </w:t>
      </w:r>
      <w:r>
        <w:rPr/>
        <w:t>is losing</w:t>
      </w:r>
      <w:r>
        <w:rPr>
          <w:spacing w:val="-7"/>
        </w:rPr>
        <w:t> </w:t>
      </w:r>
      <w:r>
        <w:rPr/>
        <w:t>more</w:t>
      </w:r>
      <w:r>
        <w:rPr>
          <w:spacing w:val="-7"/>
        </w:rPr>
        <w:t> </w:t>
      </w:r>
      <w:r>
        <w:rPr/>
        <w:t>and</w:t>
      </w:r>
      <w:r>
        <w:rPr>
          <w:spacing w:val="-9"/>
        </w:rPr>
        <w:t> </w:t>
      </w:r>
      <w:r>
        <w:rPr/>
        <w:t>more</w:t>
      </w:r>
      <w:r>
        <w:rPr>
          <w:spacing w:val="-7"/>
        </w:rPr>
        <w:t> </w:t>
      </w:r>
      <w:r>
        <w:rPr/>
        <w:t>of</w:t>
      </w:r>
      <w:r>
        <w:rPr>
          <w:spacing w:val="-8"/>
        </w:rPr>
        <w:t> </w:t>
      </w:r>
      <w:r>
        <w:rPr/>
        <w:t>those</w:t>
      </w:r>
      <w:r>
        <w:rPr>
          <w:spacing w:val="-7"/>
        </w:rPr>
        <w:t> </w:t>
      </w:r>
      <w:r>
        <w:rPr/>
        <w:t>vital,</w:t>
      </w:r>
      <w:r>
        <w:rPr>
          <w:spacing w:val="-7"/>
        </w:rPr>
        <w:t> </w:t>
      </w:r>
      <w:r>
        <w:rPr/>
        <w:t>protective</w:t>
      </w:r>
      <w:r>
        <w:rPr>
          <w:spacing w:val="-7"/>
        </w:rPr>
        <w:t> </w:t>
      </w:r>
      <w:r>
        <w:rPr/>
        <w:t>nutrients</w:t>
      </w:r>
      <w:r>
        <w:rPr>
          <w:spacing w:val="-7"/>
        </w:rPr>
        <w:t> </w:t>
      </w:r>
      <w:r>
        <w:rPr/>
        <w:t>year</w:t>
      </w:r>
      <w:r>
        <w:rPr>
          <w:spacing w:val="-6"/>
        </w:rPr>
        <w:t> </w:t>
      </w:r>
      <w:r>
        <w:rPr/>
        <w:t>after</w:t>
      </w:r>
      <w:r>
        <w:rPr>
          <w:spacing w:val="-7"/>
        </w:rPr>
        <w:t> </w:t>
      </w:r>
      <w:r>
        <w:rPr/>
        <w:t>year,</w:t>
      </w:r>
      <w:r>
        <w:rPr>
          <w:spacing w:val="-5"/>
        </w:rPr>
        <w:t> </w:t>
      </w:r>
      <w:r>
        <w:rPr/>
        <w:t>as</w:t>
      </w:r>
      <w:r>
        <w:rPr>
          <w:spacing w:val="-8"/>
        </w:rPr>
        <w:t> </w:t>
      </w:r>
      <w:r>
        <w:rPr/>
        <w:t>per- tinent studies have shockingly revealed. We humans have ourselves to blame, because pollution, pesticides, depleted soils, deliberate rapid growth and long storage are all results of the less praiseworthy deeds of the human</w:t>
      </w:r>
      <w:r>
        <w:rPr>
          <w:spacing w:val="-19"/>
        </w:rPr>
        <w:t> </w:t>
      </w:r>
      <w:r>
        <w:rPr/>
        <w:t>race:</w:t>
      </w:r>
    </w:p>
    <w:p>
      <w:pPr>
        <w:spacing w:after="0" w:line="276" w:lineRule="auto"/>
        <w:jc w:val="both"/>
        <w:sectPr>
          <w:pgSz w:w="14270" w:h="16850"/>
          <w:pgMar w:header="0" w:footer="1891" w:top="1600" w:bottom="2080" w:left="800" w:right="1280"/>
        </w:sectPr>
      </w:pPr>
    </w:p>
    <w:p>
      <w:pPr>
        <w:pStyle w:val="BodyText"/>
        <w:spacing w:before="3"/>
        <w:rPr>
          <w:sz w:val="29"/>
        </w:rPr>
      </w:pPr>
    </w:p>
    <w:p>
      <w:pPr>
        <w:pStyle w:val="BodyText"/>
        <w:ind w:left="716"/>
        <w:rPr>
          <w:sz w:val="20"/>
        </w:rPr>
      </w:pPr>
      <w:r>
        <w:rPr>
          <w:sz w:val="20"/>
        </w:rPr>
        <w:drawing>
          <wp:inline distT="0" distB="0" distL="0" distR="0">
            <wp:extent cx="5847137" cy="3771900"/>
            <wp:effectExtent l="0" t="0" r="0" b="0"/>
            <wp:docPr id="21" name="image4.jpeg" descr=""/>
            <wp:cNvGraphicFramePr>
              <a:graphicFrameLocks noChangeAspect="1"/>
            </wp:cNvGraphicFramePr>
            <a:graphic>
              <a:graphicData uri="http://schemas.openxmlformats.org/drawingml/2006/picture">
                <pic:pic>
                  <pic:nvPicPr>
                    <pic:cNvPr id="22" name="image4.jpeg"/>
                    <pic:cNvPicPr/>
                  </pic:nvPicPr>
                  <pic:blipFill>
                    <a:blip r:embed="rId25" cstate="print"/>
                    <a:stretch>
                      <a:fillRect/>
                    </a:stretch>
                  </pic:blipFill>
                  <pic:spPr>
                    <a:xfrm>
                      <a:off x="0" y="0"/>
                      <a:ext cx="5847137" cy="377190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8"/>
        <w:rPr>
          <w:sz w:val="23"/>
        </w:rPr>
      </w:pPr>
    </w:p>
    <w:p>
      <w:pPr>
        <w:pStyle w:val="Heading2"/>
        <w:spacing w:before="99"/>
        <w:ind w:left="693" w:right="5813"/>
        <w:jc w:val="both"/>
      </w:pPr>
      <w:r>
        <w:rPr/>
        <w:t>CAUSES: depleted soils, air polltion, excessive pace of growth and long storage</w:t>
      </w:r>
    </w:p>
    <w:p>
      <w:pPr>
        <w:pStyle w:val="BodyText"/>
        <w:ind w:left="693" w:right="5816"/>
        <w:jc w:val="both"/>
      </w:pPr>
      <w:r>
        <w:rPr/>
        <w:t>Source: 1985 Pharmakozern Geigy (Switzerland),  1996</w:t>
      </w:r>
      <w:r>
        <w:rPr>
          <w:spacing w:val="-14"/>
        </w:rPr>
        <w:t> </w:t>
      </w:r>
      <w:r>
        <w:rPr/>
        <w:t>Lebensmittellabor</w:t>
      </w:r>
    </w:p>
    <w:p>
      <w:pPr>
        <w:pStyle w:val="BodyText"/>
        <w:spacing w:before="1"/>
        <w:ind w:left="693"/>
      </w:pPr>
      <w:r>
        <w:rPr/>
        <w:t>Karlsruhe/Sanatorium  Oberthal</w:t>
      </w:r>
      <w:r>
        <w:rPr>
          <w:spacing w:val="16"/>
        </w:rPr>
        <w:t> </w:t>
      </w:r>
      <w:r>
        <w:rPr/>
        <w:t>2002</w:t>
      </w:r>
    </w:p>
    <w:p>
      <w:pPr>
        <w:pStyle w:val="BodyText"/>
      </w:pPr>
    </w:p>
    <w:p>
      <w:pPr>
        <w:pStyle w:val="BodyText"/>
        <w:ind w:left="693" w:right="5812"/>
        <w:jc w:val="both"/>
      </w:pPr>
      <w:r>
        <w:rPr/>
        <w:t>(Geigy Pharmaceutical Group, Karls- ruhe/Sanatorium Oberthal Food La- boratory)</w:t>
      </w:r>
    </w:p>
    <w:p>
      <w:pPr>
        <w:spacing w:after="0"/>
        <w:jc w:val="both"/>
        <w:sectPr>
          <w:pgSz w:w="14270" w:h="16850"/>
          <w:pgMar w:header="0" w:footer="1891" w:top="1600" w:bottom="2080" w:left="800" w:right="12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7"/>
        </w:rPr>
      </w:pPr>
    </w:p>
    <w:p>
      <w:pPr>
        <w:pStyle w:val="Heading1"/>
        <w:spacing w:before="100"/>
      </w:pPr>
      <w:r>
        <w:rPr/>
        <w:t>Limiting factor 2: age</w:t>
      </w:r>
    </w:p>
    <w:p>
      <w:pPr>
        <w:pStyle w:val="BodyText"/>
        <w:spacing w:line="276" w:lineRule="auto" w:before="300"/>
        <w:ind w:left="477" w:right="137"/>
        <w:jc w:val="both"/>
      </w:pPr>
      <w:r>
        <w:rPr/>
        <w:t>So while two players in the antioxidant orchestra need to obtain vitamin E and C from food, which are present in ever smaller amounts (see table above), co- enzyme</w:t>
      </w:r>
      <w:r>
        <w:rPr>
          <w:spacing w:val="-6"/>
        </w:rPr>
        <w:t> </w:t>
      </w:r>
      <w:r>
        <w:rPr/>
        <w:t>Q10</w:t>
      </w:r>
      <w:r>
        <w:rPr>
          <w:spacing w:val="-7"/>
        </w:rPr>
        <w:t> </w:t>
      </w:r>
      <w:r>
        <w:rPr/>
        <w:t>and</w:t>
      </w:r>
      <w:r>
        <w:rPr>
          <w:spacing w:val="-6"/>
        </w:rPr>
        <w:t> </w:t>
      </w:r>
      <w:r>
        <w:rPr/>
        <w:t>alpha-lipoic</w:t>
      </w:r>
      <w:r>
        <w:rPr>
          <w:spacing w:val="-7"/>
        </w:rPr>
        <w:t> </w:t>
      </w:r>
      <w:r>
        <w:rPr/>
        <w:t>acid</w:t>
      </w:r>
      <w:r>
        <w:rPr>
          <w:spacing w:val="-8"/>
        </w:rPr>
        <w:t> </w:t>
      </w:r>
      <w:r>
        <w:rPr/>
        <w:t>are,</w:t>
      </w:r>
      <w:r>
        <w:rPr>
          <w:spacing w:val="-5"/>
        </w:rPr>
        <w:t> </w:t>
      </w:r>
      <w:r>
        <w:rPr/>
        <w:t>to</w:t>
      </w:r>
      <w:r>
        <w:rPr>
          <w:spacing w:val="-6"/>
        </w:rPr>
        <w:t> </w:t>
      </w:r>
      <w:r>
        <w:rPr/>
        <w:t>a</w:t>
      </w:r>
      <w:r>
        <w:rPr>
          <w:spacing w:val="-8"/>
        </w:rPr>
        <w:t> </w:t>
      </w:r>
      <w:r>
        <w:rPr/>
        <w:t>certain</w:t>
      </w:r>
      <w:r>
        <w:rPr>
          <w:spacing w:val="-6"/>
        </w:rPr>
        <w:t> </w:t>
      </w:r>
      <w:r>
        <w:rPr/>
        <w:t>degree,</w:t>
      </w:r>
      <w:r>
        <w:rPr>
          <w:spacing w:val="-6"/>
        </w:rPr>
        <w:t> </w:t>
      </w:r>
      <w:r>
        <w:rPr/>
        <w:t>manufactured</w:t>
      </w:r>
      <w:r>
        <w:rPr>
          <w:spacing w:val="-7"/>
        </w:rPr>
        <w:t> </w:t>
      </w:r>
      <w:r>
        <w:rPr/>
        <w:t>by</w:t>
      </w:r>
      <w:r>
        <w:rPr>
          <w:spacing w:val="-5"/>
        </w:rPr>
        <w:t> </w:t>
      </w:r>
      <w:r>
        <w:rPr/>
        <w:t>the body</w:t>
      </w:r>
      <w:r>
        <w:rPr>
          <w:spacing w:val="-1"/>
        </w:rPr>
        <w:t> </w:t>
      </w:r>
      <w:r>
        <w:rPr/>
        <w:t>itself.</w:t>
      </w:r>
    </w:p>
    <w:p>
      <w:pPr>
        <w:pStyle w:val="BodyText"/>
        <w:spacing w:line="276" w:lineRule="auto" w:before="119"/>
        <w:ind w:left="477" w:right="134"/>
        <w:jc w:val="both"/>
      </w:pPr>
      <w:r>
        <w:rPr/>
        <w:t>The ageing process unfortunately means that the functional capacity of our body (ageing of the endocrine glands, etc.) decreases over time – as does the ability to produce vital nutrients ourselves!</w:t>
      </w:r>
    </w:p>
    <w:p>
      <w:pPr>
        <w:pStyle w:val="BodyText"/>
        <w:rPr>
          <w:sz w:val="42"/>
        </w:rPr>
      </w:pPr>
    </w:p>
    <w:p>
      <w:pPr>
        <w:pStyle w:val="BodyText"/>
        <w:rPr>
          <w:sz w:val="42"/>
        </w:rPr>
      </w:pPr>
    </w:p>
    <w:p>
      <w:pPr>
        <w:pStyle w:val="Heading2"/>
        <w:spacing w:before="266"/>
      </w:pPr>
      <w:r>
        <w:rPr/>
        <w:t>Increased alpha-lipoic acid requirement</w:t>
      </w:r>
    </w:p>
    <w:p>
      <w:pPr>
        <w:pStyle w:val="BodyText"/>
        <w:spacing w:line="276" w:lineRule="auto" w:before="304"/>
        <w:ind w:left="477" w:right="130"/>
        <w:jc w:val="both"/>
      </w:pPr>
      <w:r>
        <w:rPr/>
        <w:t>Studies on patients have shown that the demand for these nutrients increases under</w:t>
      </w:r>
      <w:r>
        <w:rPr>
          <w:spacing w:val="-12"/>
        </w:rPr>
        <w:t> </w:t>
      </w:r>
      <w:r>
        <w:rPr/>
        <w:t>certain</w:t>
      </w:r>
      <w:r>
        <w:rPr>
          <w:spacing w:val="-13"/>
        </w:rPr>
        <w:t> </w:t>
      </w:r>
      <w:r>
        <w:rPr/>
        <w:t>conditions,</w:t>
      </w:r>
      <w:r>
        <w:rPr>
          <w:spacing w:val="-12"/>
        </w:rPr>
        <w:t> </w:t>
      </w:r>
      <w:r>
        <w:rPr/>
        <w:t>such</w:t>
      </w:r>
      <w:r>
        <w:rPr>
          <w:spacing w:val="-11"/>
        </w:rPr>
        <w:t> </w:t>
      </w:r>
      <w:r>
        <w:rPr/>
        <w:t>as</w:t>
      </w:r>
      <w:r>
        <w:rPr>
          <w:spacing w:val="-15"/>
        </w:rPr>
        <w:t> </w:t>
      </w:r>
      <w:r>
        <w:rPr/>
        <w:t>when</w:t>
      </w:r>
      <w:r>
        <w:rPr>
          <w:spacing w:val="-12"/>
        </w:rPr>
        <w:t> </w:t>
      </w:r>
      <w:r>
        <w:rPr/>
        <w:t>one</w:t>
      </w:r>
      <w:r>
        <w:rPr>
          <w:spacing w:val="-14"/>
        </w:rPr>
        <w:t> </w:t>
      </w:r>
      <w:r>
        <w:rPr/>
        <w:t>has</w:t>
      </w:r>
      <w:r>
        <w:rPr>
          <w:spacing w:val="-12"/>
        </w:rPr>
        <w:t> </w:t>
      </w:r>
      <w:r>
        <w:rPr/>
        <w:t>a</w:t>
      </w:r>
      <w:r>
        <w:rPr>
          <w:spacing w:val="-16"/>
        </w:rPr>
        <w:t> </w:t>
      </w:r>
      <w:r>
        <w:rPr/>
        <w:t>disease,</w:t>
      </w:r>
      <w:r>
        <w:rPr>
          <w:spacing w:val="-12"/>
        </w:rPr>
        <w:t> </w:t>
      </w:r>
      <w:r>
        <w:rPr/>
        <w:t>in</w:t>
      </w:r>
      <w:r>
        <w:rPr>
          <w:spacing w:val="-13"/>
        </w:rPr>
        <w:t> </w:t>
      </w:r>
      <w:r>
        <w:rPr/>
        <w:t>some</w:t>
      </w:r>
      <w:r>
        <w:rPr>
          <w:spacing w:val="-16"/>
        </w:rPr>
        <w:t> </w:t>
      </w:r>
      <w:r>
        <w:rPr/>
        <w:t>cases</w:t>
      </w:r>
      <w:r>
        <w:rPr>
          <w:spacing w:val="-12"/>
        </w:rPr>
        <w:t> </w:t>
      </w:r>
      <w:r>
        <w:rPr/>
        <w:t>increas- ing many times over! Interestingly, in diseased or injured organs, even a local deficit can be detected. These are clear indications of how essential these</w:t>
      </w:r>
      <w:r>
        <w:rPr>
          <w:spacing w:val="-52"/>
        </w:rPr>
        <w:t> </w:t>
      </w:r>
      <w:r>
        <w:rPr/>
        <w:t>nutri- ents</w:t>
      </w:r>
      <w:r>
        <w:rPr>
          <w:spacing w:val="-5"/>
        </w:rPr>
        <w:t> </w:t>
      </w:r>
      <w:r>
        <w:rPr/>
        <w:t>are</w:t>
      </w:r>
      <w:r>
        <w:rPr>
          <w:spacing w:val="-6"/>
        </w:rPr>
        <w:t> </w:t>
      </w:r>
      <w:r>
        <w:rPr/>
        <w:t>during</w:t>
      </w:r>
      <w:r>
        <w:rPr>
          <w:spacing w:val="-4"/>
        </w:rPr>
        <w:t> </w:t>
      </w:r>
      <w:r>
        <w:rPr/>
        <w:t>a</w:t>
      </w:r>
      <w:r>
        <w:rPr>
          <w:spacing w:val="-7"/>
        </w:rPr>
        <w:t> </w:t>
      </w:r>
      <w:r>
        <w:rPr/>
        <w:t>disease,</w:t>
      </w:r>
      <w:r>
        <w:rPr>
          <w:spacing w:val="-5"/>
        </w:rPr>
        <w:t> </w:t>
      </w:r>
      <w:r>
        <w:rPr/>
        <w:t>and</w:t>
      </w:r>
      <w:r>
        <w:rPr>
          <w:spacing w:val="-5"/>
        </w:rPr>
        <w:t> </w:t>
      </w:r>
      <w:r>
        <w:rPr/>
        <w:t>how</w:t>
      </w:r>
      <w:r>
        <w:rPr>
          <w:spacing w:val="-7"/>
        </w:rPr>
        <w:t> </w:t>
      </w:r>
      <w:r>
        <w:rPr/>
        <w:t>important</w:t>
      </w:r>
      <w:r>
        <w:rPr>
          <w:spacing w:val="-5"/>
        </w:rPr>
        <w:t> </w:t>
      </w:r>
      <w:r>
        <w:rPr/>
        <w:t>it</w:t>
      </w:r>
      <w:r>
        <w:rPr>
          <w:spacing w:val="-7"/>
        </w:rPr>
        <w:t> </w:t>
      </w:r>
      <w:r>
        <w:rPr/>
        <w:t>is</w:t>
      </w:r>
      <w:r>
        <w:rPr>
          <w:spacing w:val="-3"/>
        </w:rPr>
        <w:t> </w:t>
      </w:r>
      <w:r>
        <w:rPr/>
        <w:t>that</w:t>
      </w:r>
      <w:r>
        <w:rPr>
          <w:spacing w:val="-6"/>
        </w:rPr>
        <w:t> </w:t>
      </w:r>
      <w:r>
        <w:rPr/>
        <w:t>the</w:t>
      </w:r>
      <w:r>
        <w:rPr>
          <w:spacing w:val="-5"/>
        </w:rPr>
        <w:t> </w:t>
      </w:r>
      <w:r>
        <w:rPr/>
        <w:t>body</w:t>
      </w:r>
      <w:r>
        <w:rPr>
          <w:spacing w:val="-5"/>
        </w:rPr>
        <w:t> </w:t>
      </w:r>
      <w:r>
        <w:rPr/>
        <w:t>laps</w:t>
      </w:r>
      <w:r>
        <w:rPr>
          <w:spacing w:val="-5"/>
        </w:rPr>
        <w:t> </w:t>
      </w:r>
      <w:r>
        <w:rPr/>
        <w:t>them</w:t>
      </w:r>
      <w:r>
        <w:rPr>
          <w:spacing w:val="-5"/>
        </w:rPr>
        <w:t> </w:t>
      </w:r>
      <w:r>
        <w:rPr/>
        <w:t>up</w:t>
      </w:r>
      <w:r>
        <w:rPr>
          <w:spacing w:val="-5"/>
        </w:rPr>
        <w:t> </w:t>
      </w:r>
      <w:r>
        <w:rPr/>
        <w:t>to help itself heal, and that the supply does not lag</w:t>
      </w:r>
      <w:r>
        <w:rPr>
          <w:spacing w:val="-2"/>
        </w:rPr>
        <w:t> </w:t>
      </w:r>
      <w:r>
        <w:rPr/>
        <w:t>behind.</w:t>
      </w:r>
    </w:p>
    <w:p>
      <w:pPr>
        <w:spacing w:after="0" w:line="276" w:lineRule="auto"/>
        <w:jc w:val="both"/>
        <w:sectPr>
          <w:pgSz w:w="14270" w:h="16850"/>
          <w:pgMar w:header="0" w:footer="1891" w:top="1600" w:bottom="2080" w:left="800" w:right="1280"/>
        </w:sectPr>
      </w:pPr>
    </w:p>
    <w:p>
      <w:pPr>
        <w:pStyle w:val="Heading2"/>
        <w:spacing w:before="181"/>
      </w:pPr>
      <w:r>
        <w:rPr/>
        <w:t>Solving the dilemma of ‘nutritional deficiency in diet, age, disease’</w:t>
      </w:r>
    </w:p>
    <w:p>
      <w:pPr>
        <w:pStyle w:val="BodyText"/>
        <w:spacing w:line="276" w:lineRule="auto" w:before="305"/>
        <w:ind w:left="477" w:right="141"/>
        <w:jc w:val="both"/>
      </w:pPr>
      <w:r>
        <w:rPr/>
        <w:t>However intensively you may look for other alternatives, unless you live in a wilderness and spend half your day eating red meat, most of us only have one way to escape this dilemma: nutritional supplements to our natural diet, which should be as varied as possible, by means of dietary supplements!</w:t>
      </w:r>
    </w:p>
    <w:p>
      <w:pPr>
        <w:pStyle w:val="BodyText"/>
        <w:spacing w:before="7"/>
        <w:rPr>
          <w:sz w:val="42"/>
        </w:rPr>
      </w:pPr>
    </w:p>
    <w:p>
      <w:pPr>
        <w:pStyle w:val="Heading2"/>
      </w:pPr>
      <w:r>
        <w:rPr/>
        <w:t>Alpha-lipoic acid against skin ageing</w:t>
      </w:r>
    </w:p>
    <w:p>
      <w:pPr>
        <w:pStyle w:val="BodyText"/>
        <w:spacing w:line="276" w:lineRule="auto" w:before="305"/>
        <w:ind w:left="477" w:right="133"/>
        <w:jc w:val="both"/>
        <w:rPr>
          <w:sz w:val="25"/>
        </w:rPr>
      </w:pPr>
      <w:r>
        <w:rPr/>
        <w:t>Few people know that the skin is the largest organ (1.5 to 2 m</w:t>
      </w:r>
      <w:r>
        <w:rPr>
          <w:position w:val="9"/>
          <w:sz w:val="25"/>
        </w:rPr>
        <w:t>2 </w:t>
      </w:r>
      <w:r>
        <w:rPr/>
        <w:t>depending on body width and height), the heaviest (up to 10 kg) and, functionally, the most versatile</w:t>
      </w:r>
      <w:r>
        <w:rPr>
          <w:spacing w:val="-19"/>
        </w:rPr>
        <w:t> </w:t>
      </w:r>
      <w:r>
        <w:rPr/>
        <w:t>of</w:t>
      </w:r>
      <w:r>
        <w:rPr>
          <w:spacing w:val="-19"/>
        </w:rPr>
        <w:t> </w:t>
      </w:r>
      <w:r>
        <w:rPr/>
        <w:t>the</w:t>
      </w:r>
      <w:r>
        <w:rPr>
          <w:spacing w:val="-20"/>
        </w:rPr>
        <w:t> </w:t>
      </w:r>
      <w:r>
        <w:rPr/>
        <w:t>human</w:t>
      </w:r>
      <w:r>
        <w:rPr>
          <w:spacing w:val="-20"/>
        </w:rPr>
        <w:t> </w:t>
      </w:r>
      <w:r>
        <w:rPr/>
        <w:t>body.</w:t>
      </w:r>
      <w:r>
        <w:rPr>
          <w:spacing w:val="-18"/>
        </w:rPr>
        <w:t> </w:t>
      </w:r>
      <w:r>
        <w:rPr/>
        <w:t>The</w:t>
      </w:r>
      <w:r>
        <w:rPr>
          <w:spacing w:val="-21"/>
        </w:rPr>
        <w:t> </w:t>
      </w:r>
      <w:r>
        <w:rPr/>
        <w:t>skin</w:t>
      </w:r>
      <w:r>
        <w:rPr>
          <w:spacing w:val="-19"/>
        </w:rPr>
        <w:t> </w:t>
      </w:r>
      <w:r>
        <w:rPr/>
        <w:t>performs</w:t>
      </w:r>
      <w:r>
        <w:rPr>
          <w:spacing w:val="-20"/>
        </w:rPr>
        <w:t> </w:t>
      </w:r>
      <w:r>
        <w:rPr/>
        <w:t>very</w:t>
      </w:r>
      <w:r>
        <w:rPr>
          <w:spacing w:val="-18"/>
        </w:rPr>
        <w:t> </w:t>
      </w:r>
      <w:r>
        <w:rPr/>
        <w:t>important</w:t>
      </w:r>
      <w:r>
        <w:rPr>
          <w:spacing w:val="-20"/>
        </w:rPr>
        <w:t> </w:t>
      </w:r>
      <w:r>
        <w:rPr/>
        <w:t>tasks:</w:t>
      </w:r>
      <w:r>
        <w:rPr>
          <w:spacing w:val="-17"/>
        </w:rPr>
        <w:t> </w:t>
      </w:r>
      <w:r>
        <w:rPr/>
        <w:t>it</w:t>
      </w:r>
      <w:r>
        <w:rPr>
          <w:spacing w:val="-22"/>
        </w:rPr>
        <w:t> </w:t>
      </w:r>
      <w:r>
        <w:rPr/>
        <w:t>protects us from environmental influences, forms a shell, performs important</w:t>
      </w:r>
      <w:r>
        <w:rPr>
          <w:spacing w:val="-53"/>
        </w:rPr>
        <w:t> </w:t>
      </w:r>
      <w:r>
        <w:rPr/>
        <w:t>functions in the metabolism and immunology as well as in homeostasis (inner balance) and – not least – allows us to present ourselves and communicate with the world.</w:t>
      </w:r>
      <w:r>
        <w:rPr>
          <w:position w:val="9"/>
          <w:sz w:val="25"/>
        </w:rPr>
        <w:t>43</w:t>
      </w:r>
    </w:p>
    <w:p>
      <w:pPr>
        <w:pStyle w:val="BodyText"/>
        <w:spacing w:line="276" w:lineRule="auto" w:before="240"/>
        <w:ind w:left="477" w:right="133"/>
        <w:jc w:val="both"/>
      </w:pPr>
      <w:r>
        <w:rPr/>
        <w:t>However, most of the time, the skin serves as a tool to represent our appear- ance, but we seldom perceive it consciously, and this is usually when we injure ourselves, burn ourselves on hot objects, or get sunburnt. Optically, it's skin ageing</w:t>
      </w:r>
      <w:r>
        <w:rPr>
          <w:spacing w:val="-23"/>
        </w:rPr>
        <w:t> </w:t>
      </w:r>
      <w:r>
        <w:rPr/>
        <w:t>in</w:t>
      </w:r>
      <w:r>
        <w:rPr>
          <w:spacing w:val="-23"/>
        </w:rPr>
        <w:t> </w:t>
      </w:r>
      <w:r>
        <w:rPr/>
        <w:t>the</w:t>
      </w:r>
      <w:r>
        <w:rPr>
          <w:spacing w:val="-25"/>
        </w:rPr>
        <w:t> </w:t>
      </w:r>
      <w:r>
        <w:rPr/>
        <w:t>form</w:t>
      </w:r>
      <w:r>
        <w:rPr>
          <w:spacing w:val="-24"/>
        </w:rPr>
        <w:t> </w:t>
      </w:r>
      <w:r>
        <w:rPr/>
        <w:t>of</w:t>
      </w:r>
      <w:r>
        <w:rPr>
          <w:spacing w:val="-23"/>
        </w:rPr>
        <w:t> </w:t>
      </w:r>
      <w:r>
        <w:rPr/>
        <w:t>wrinkles,</w:t>
      </w:r>
      <w:r>
        <w:rPr>
          <w:spacing w:val="-25"/>
        </w:rPr>
        <w:t> </w:t>
      </w:r>
      <w:r>
        <w:rPr/>
        <w:t>sallowness</w:t>
      </w:r>
      <w:r>
        <w:rPr>
          <w:spacing w:val="-23"/>
        </w:rPr>
        <w:t> </w:t>
      </w:r>
      <w:r>
        <w:rPr/>
        <w:t>and</w:t>
      </w:r>
      <w:r>
        <w:rPr>
          <w:spacing w:val="-24"/>
        </w:rPr>
        <w:t> </w:t>
      </w:r>
      <w:r>
        <w:rPr/>
        <w:t>age</w:t>
      </w:r>
      <w:r>
        <w:rPr>
          <w:spacing w:val="-26"/>
        </w:rPr>
        <w:t> </w:t>
      </w:r>
      <w:r>
        <w:rPr/>
        <w:t>spots,</w:t>
      </w:r>
      <w:r>
        <w:rPr>
          <w:spacing w:val="-23"/>
        </w:rPr>
        <w:t> </w:t>
      </w:r>
      <w:r>
        <w:rPr/>
        <w:t>which</w:t>
      </w:r>
      <w:r>
        <w:rPr>
          <w:spacing w:val="-25"/>
        </w:rPr>
        <w:t> </w:t>
      </w:r>
      <w:r>
        <w:rPr/>
        <w:t>gradually</w:t>
      </w:r>
      <w:r>
        <w:rPr>
          <w:spacing w:val="-24"/>
        </w:rPr>
        <w:t> </w:t>
      </w:r>
      <w:r>
        <w:rPr/>
        <w:t>change our</w:t>
      </w:r>
      <w:r>
        <w:rPr>
          <w:spacing w:val="16"/>
        </w:rPr>
        <w:t> </w:t>
      </w:r>
      <w:r>
        <w:rPr/>
        <w:t>appearance</w:t>
      </w:r>
      <w:r>
        <w:rPr>
          <w:spacing w:val="16"/>
        </w:rPr>
        <w:t> </w:t>
      </w:r>
      <w:r>
        <w:rPr/>
        <w:t>in</w:t>
      </w:r>
      <w:r>
        <w:rPr>
          <w:spacing w:val="16"/>
        </w:rPr>
        <w:t> </w:t>
      </w:r>
      <w:r>
        <w:rPr/>
        <w:t>the</w:t>
      </w:r>
      <w:r>
        <w:rPr>
          <w:spacing w:val="16"/>
        </w:rPr>
        <w:t> </w:t>
      </w:r>
      <w:r>
        <w:rPr/>
        <w:t>mirror,</w:t>
      </w:r>
      <w:r>
        <w:rPr>
          <w:spacing w:val="13"/>
        </w:rPr>
        <w:t> </w:t>
      </w:r>
      <w:r>
        <w:rPr/>
        <w:t>something</w:t>
      </w:r>
      <w:r>
        <w:rPr>
          <w:spacing w:val="17"/>
        </w:rPr>
        <w:t> </w:t>
      </w:r>
      <w:r>
        <w:rPr/>
        <w:t>that</w:t>
      </w:r>
      <w:r>
        <w:rPr>
          <w:spacing w:val="15"/>
        </w:rPr>
        <w:t> </w:t>
      </w:r>
      <w:r>
        <w:rPr/>
        <w:t>most</w:t>
      </w:r>
      <w:r>
        <w:rPr>
          <w:spacing w:val="16"/>
        </w:rPr>
        <w:t> </w:t>
      </w:r>
      <w:r>
        <w:rPr/>
        <w:t>of</w:t>
      </w:r>
      <w:r>
        <w:rPr>
          <w:spacing w:val="16"/>
        </w:rPr>
        <w:t> </w:t>
      </w:r>
      <w:r>
        <w:rPr/>
        <w:t>us</w:t>
      </w:r>
      <w:r>
        <w:rPr>
          <w:spacing w:val="15"/>
        </w:rPr>
        <w:t> </w:t>
      </w:r>
      <w:r>
        <w:rPr/>
        <w:t>dislike,</w:t>
      </w:r>
      <w:r>
        <w:rPr>
          <w:spacing w:val="16"/>
        </w:rPr>
        <w:t> </w:t>
      </w:r>
      <w:r>
        <w:rPr/>
        <w:t>because</w:t>
      </w:r>
      <w:r>
        <w:rPr>
          <w:spacing w:val="15"/>
        </w:rPr>
        <w:t> </w:t>
      </w:r>
      <w:r>
        <w:rPr/>
        <w:t>who</w:t>
      </w:r>
    </w:p>
    <w:p>
      <w:pPr>
        <w:pStyle w:val="BodyText"/>
        <w:spacing w:before="7"/>
        <w:rPr>
          <w:sz w:val="13"/>
        </w:rPr>
      </w:pPr>
      <w:r>
        <w:rPr/>
        <w:pict>
          <v:line style="position:absolute;mso-position-horizontal-relative:page;mso-position-vertical-relative:paragraph;z-index:-376;mso-wrap-distance-left:0;mso-wrap-distance-right:0" from="63.863998pt,10.015015pt" to="207.883998pt,10.015015pt" stroked="true" strokeweight=".71997pt" strokecolor="#000000">
            <v:stroke dashstyle="solid"/>
            <w10:wrap type="topAndBottom"/>
          </v:line>
        </w:pict>
      </w:r>
    </w:p>
    <w:p>
      <w:pPr>
        <w:pStyle w:val="BodyText"/>
        <w:spacing w:before="3"/>
        <w:rPr>
          <w:sz w:val="19"/>
        </w:rPr>
      </w:pPr>
    </w:p>
    <w:p>
      <w:pPr>
        <w:spacing w:before="94"/>
        <w:ind w:left="477" w:right="0" w:firstLine="0"/>
        <w:jc w:val="left"/>
        <w:rPr>
          <w:rFonts w:ascii="Arial"/>
          <w:sz w:val="19"/>
        </w:rPr>
      </w:pPr>
      <w:r>
        <w:rPr>
          <w:position w:val="5"/>
          <w:sz w:val="13"/>
        </w:rPr>
        <w:t>43 </w:t>
      </w:r>
      <w:r>
        <w:rPr>
          <w:rFonts w:ascii="Arial"/>
          <w:sz w:val="19"/>
        </w:rPr>
        <w:t>https://en.wikipedia.org/wiki/Skin</w:t>
      </w:r>
    </w:p>
    <w:p>
      <w:pPr>
        <w:spacing w:after="0"/>
        <w:jc w:val="left"/>
        <w:rPr>
          <w:rFonts w:ascii="Arial"/>
          <w:sz w:val="19"/>
        </w:rPr>
        <w:sectPr>
          <w:pgSz w:w="14270" w:h="16850"/>
          <w:pgMar w:header="0" w:footer="1891" w:top="1600" w:bottom="2080" w:left="800" w:right="1280"/>
        </w:sectPr>
      </w:pPr>
    </w:p>
    <w:p>
      <w:pPr>
        <w:pStyle w:val="BodyText"/>
        <w:spacing w:before="181"/>
        <w:ind w:left="477"/>
      </w:pPr>
      <w:r>
        <w:rPr/>
        <w:t>wants to grow old?</w:t>
      </w:r>
    </w:p>
    <w:p>
      <w:pPr>
        <w:pStyle w:val="BodyText"/>
        <w:spacing w:before="5"/>
        <w:rPr>
          <w:sz w:val="48"/>
        </w:rPr>
      </w:pPr>
    </w:p>
    <w:p>
      <w:pPr>
        <w:pStyle w:val="Heading2"/>
      </w:pPr>
      <w:r>
        <w:rPr/>
        <w:t>What makes the skin age and what creates skin folds?</w:t>
      </w:r>
    </w:p>
    <w:p>
      <w:pPr>
        <w:pStyle w:val="BodyText"/>
        <w:spacing w:line="276" w:lineRule="auto" w:before="304"/>
        <w:ind w:left="477" w:right="129"/>
        <w:jc w:val="both"/>
      </w:pPr>
      <w:r>
        <w:rPr/>
        <w:t>Skin ageing and wrinkles are the most striking signs of ageing; however,</w:t>
      </w:r>
      <w:r>
        <w:rPr>
          <w:spacing w:val="-57"/>
        </w:rPr>
        <w:t> </w:t>
      </w:r>
      <w:r>
        <w:rPr/>
        <w:t>chron- ological</w:t>
      </w:r>
      <w:r>
        <w:rPr>
          <w:spacing w:val="-25"/>
        </w:rPr>
        <w:t> </w:t>
      </w:r>
      <w:r>
        <w:rPr/>
        <w:t>ageing</w:t>
      </w:r>
      <w:r>
        <w:rPr>
          <w:spacing w:val="-24"/>
        </w:rPr>
        <w:t> </w:t>
      </w:r>
      <w:r>
        <w:rPr/>
        <w:t>(due</w:t>
      </w:r>
      <w:r>
        <w:rPr>
          <w:spacing w:val="-25"/>
        </w:rPr>
        <w:t> </w:t>
      </w:r>
      <w:r>
        <w:rPr/>
        <w:t>to</w:t>
      </w:r>
      <w:r>
        <w:rPr>
          <w:spacing w:val="-24"/>
        </w:rPr>
        <w:t> </w:t>
      </w:r>
      <w:r>
        <w:rPr/>
        <w:t>years</w:t>
      </w:r>
      <w:r>
        <w:rPr>
          <w:spacing w:val="-24"/>
        </w:rPr>
        <w:t> </w:t>
      </w:r>
      <w:r>
        <w:rPr/>
        <w:t>of</w:t>
      </w:r>
      <w:r>
        <w:rPr>
          <w:spacing w:val="-24"/>
        </w:rPr>
        <w:t> </w:t>
      </w:r>
      <w:r>
        <w:rPr/>
        <w:t>life)</w:t>
      </w:r>
      <w:r>
        <w:rPr>
          <w:spacing w:val="-24"/>
        </w:rPr>
        <w:t> </w:t>
      </w:r>
      <w:r>
        <w:rPr/>
        <w:t>plays</w:t>
      </w:r>
      <w:r>
        <w:rPr>
          <w:spacing w:val="-25"/>
        </w:rPr>
        <w:t> </w:t>
      </w:r>
      <w:r>
        <w:rPr/>
        <w:t>a</w:t>
      </w:r>
      <w:r>
        <w:rPr>
          <w:spacing w:val="-27"/>
        </w:rPr>
        <w:t> </w:t>
      </w:r>
      <w:r>
        <w:rPr/>
        <w:t>secondary</w:t>
      </w:r>
      <w:r>
        <w:rPr>
          <w:spacing w:val="-25"/>
        </w:rPr>
        <w:t> </w:t>
      </w:r>
      <w:r>
        <w:rPr/>
        <w:t>role,</w:t>
      </w:r>
      <w:r>
        <w:rPr>
          <w:spacing w:val="-26"/>
        </w:rPr>
        <w:t> </w:t>
      </w:r>
      <w:r>
        <w:rPr/>
        <w:t>because</w:t>
      </w:r>
      <w:r>
        <w:rPr>
          <w:spacing w:val="-25"/>
        </w:rPr>
        <w:t> </w:t>
      </w:r>
      <w:r>
        <w:rPr/>
        <w:t>physiological ageing is much more important (due to the nature of our</w:t>
      </w:r>
      <w:r>
        <w:rPr>
          <w:spacing w:val="-11"/>
        </w:rPr>
        <w:t> </w:t>
      </w:r>
      <w:r>
        <w:rPr/>
        <w:t>physique)!</w:t>
      </w:r>
    </w:p>
    <w:p>
      <w:pPr>
        <w:pStyle w:val="BodyText"/>
        <w:spacing w:line="276" w:lineRule="auto" w:before="240"/>
        <w:ind w:left="477" w:right="142"/>
        <w:jc w:val="both"/>
      </w:pPr>
      <w:r>
        <w:rPr/>
        <w:t>And so, vitamin researchers nowadays agree that older people who look their age have themselves to blame precisely because they expose their bodies</w:t>
      </w:r>
    </w:p>
    <w:p>
      <w:pPr>
        <w:pStyle w:val="ListParagraph"/>
        <w:numPr>
          <w:ilvl w:val="0"/>
          <w:numId w:val="13"/>
        </w:numPr>
        <w:tabs>
          <w:tab w:pos="1197" w:val="left" w:leader="none"/>
          <w:tab w:pos="1198" w:val="left" w:leader="none"/>
        </w:tabs>
        <w:spacing w:line="240" w:lineRule="auto" w:before="240" w:after="0"/>
        <w:ind w:left="477" w:right="0" w:firstLine="0"/>
        <w:jc w:val="left"/>
        <w:rPr>
          <w:sz w:val="38"/>
        </w:rPr>
      </w:pPr>
      <w:r>
        <w:rPr>
          <w:sz w:val="38"/>
        </w:rPr>
        <w:t>to harmful influences, such as smoking, alcohol, stress and</w:t>
      </w:r>
      <w:r>
        <w:rPr>
          <w:spacing w:val="-5"/>
          <w:sz w:val="38"/>
        </w:rPr>
        <w:t> </w:t>
      </w:r>
      <w:r>
        <w:rPr>
          <w:sz w:val="38"/>
        </w:rPr>
        <w:t>sunlight,</w:t>
      </w:r>
    </w:p>
    <w:p>
      <w:pPr>
        <w:pStyle w:val="ListParagraph"/>
        <w:numPr>
          <w:ilvl w:val="0"/>
          <w:numId w:val="13"/>
        </w:numPr>
        <w:tabs>
          <w:tab w:pos="1198" w:val="left" w:leader="none"/>
        </w:tabs>
        <w:spacing w:line="276" w:lineRule="auto" w:before="185" w:after="0"/>
        <w:ind w:left="477" w:right="144" w:firstLine="0"/>
        <w:jc w:val="both"/>
        <w:rPr>
          <w:sz w:val="38"/>
        </w:rPr>
      </w:pPr>
      <w:r>
        <w:rPr>
          <w:sz w:val="38"/>
        </w:rPr>
        <w:t>do not give their body the nutrients it requires to regenerate the skin and finally</w:t>
      </w:r>
    </w:p>
    <w:p>
      <w:pPr>
        <w:pStyle w:val="ListParagraph"/>
        <w:numPr>
          <w:ilvl w:val="0"/>
          <w:numId w:val="13"/>
        </w:numPr>
        <w:tabs>
          <w:tab w:pos="1198" w:val="left" w:leader="none"/>
        </w:tabs>
        <w:spacing w:line="276" w:lineRule="auto" w:before="121" w:after="0"/>
        <w:ind w:left="477" w:right="137" w:firstLine="0"/>
        <w:jc w:val="both"/>
        <w:rPr>
          <w:sz w:val="38"/>
        </w:rPr>
      </w:pPr>
      <w:r>
        <w:rPr>
          <w:sz w:val="38"/>
        </w:rPr>
        <w:t>do not protect their body from free radicals through a regular intake of antioxidants.</w:t>
      </w:r>
    </w:p>
    <w:p>
      <w:pPr>
        <w:pStyle w:val="BodyText"/>
        <w:spacing w:line="276" w:lineRule="auto" w:before="238"/>
        <w:ind w:left="477" w:right="134"/>
        <w:jc w:val="both"/>
      </w:pPr>
      <w:r>
        <w:rPr/>
        <w:t>While</w:t>
      </w:r>
      <w:r>
        <w:rPr>
          <w:spacing w:val="-26"/>
        </w:rPr>
        <w:t> </w:t>
      </w:r>
      <w:r>
        <w:rPr/>
        <w:t>point</w:t>
      </w:r>
      <w:r>
        <w:rPr>
          <w:spacing w:val="-24"/>
        </w:rPr>
        <w:t> </w:t>
      </w:r>
      <w:r>
        <w:rPr/>
        <w:t>a)</w:t>
      </w:r>
      <w:r>
        <w:rPr>
          <w:spacing w:val="-25"/>
        </w:rPr>
        <w:t> </w:t>
      </w:r>
      <w:r>
        <w:rPr/>
        <w:t>illustrates</w:t>
      </w:r>
      <w:r>
        <w:rPr>
          <w:spacing w:val="-24"/>
        </w:rPr>
        <w:t> </w:t>
      </w:r>
      <w:r>
        <w:rPr/>
        <w:t>living</w:t>
      </w:r>
      <w:r>
        <w:rPr>
          <w:spacing w:val="-23"/>
        </w:rPr>
        <w:t> </w:t>
      </w:r>
      <w:r>
        <w:rPr/>
        <w:t>conditions</w:t>
      </w:r>
      <w:r>
        <w:rPr>
          <w:spacing w:val="-24"/>
        </w:rPr>
        <w:t> </w:t>
      </w:r>
      <w:r>
        <w:rPr/>
        <w:t>that</w:t>
      </w:r>
      <w:r>
        <w:rPr>
          <w:spacing w:val="-24"/>
        </w:rPr>
        <w:t> </w:t>
      </w:r>
      <w:r>
        <w:rPr/>
        <w:t>are</w:t>
      </w:r>
      <w:r>
        <w:rPr>
          <w:spacing w:val="-24"/>
        </w:rPr>
        <w:t> </w:t>
      </w:r>
      <w:r>
        <w:rPr/>
        <w:t>more</w:t>
      </w:r>
      <w:r>
        <w:rPr>
          <w:spacing w:val="-24"/>
        </w:rPr>
        <w:t> </w:t>
      </w:r>
      <w:r>
        <w:rPr/>
        <w:t>based</w:t>
      </w:r>
      <w:r>
        <w:rPr>
          <w:spacing w:val="-23"/>
        </w:rPr>
        <w:t> </w:t>
      </w:r>
      <w:r>
        <w:rPr/>
        <w:t>on</w:t>
      </w:r>
      <w:r>
        <w:rPr>
          <w:spacing w:val="-16"/>
        </w:rPr>
        <w:t> </w:t>
      </w:r>
      <w:r>
        <w:rPr>
          <w:i/>
        </w:rPr>
        <w:t>abstaining</w:t>
      </w:r>
      <w:r>
        <w:rPr>
          <w:i/>
          <w:spacing w:val="-23"/>
        </w:rPr>
        <w:t> </w:t>
      </w:r>
      <w:r>
        <w:rPr/>
        <w:t>from things in life (abstaining from smoking, abstaining from drinking alcohol, or at least limiting alcohol consumption, restricting exposure to UV rays caused by visits to the tanning salon, etc.), points b) and c) refer to the active opposite, that is, </w:t>
      </w:r>
      <w:r>
        <w:rPr>
          <w:i/>
        </w:rPr>
        <w:t>choosing </w:t>
      </w:r>
      <w:r>
        <w:rPr/>
        <w:t>to take in additional nutrients that restore the skin's youth, pro- tecting the skin while delaying</w:t>
      </w:r>
      <w:r>
        <w:rPr>
          <w:spacing w:val="4"/>
        </w:rPr>
        <w:t> </w:t>
      </w:r>
      <w:r>
        <w:rPr/>
        <w:t>ageing!</w:t>
      </w:r>
    </w:p>
    <w:p>
      <w:pPr>
        <w:pStyle w:val="BodyText"/>
        <w:spacing w:line="276" w:lineRule="auto" w:before="241"/>
        <w:ind w:left="477" w:right="140"/>
        <w:jc w:val="both"/>
      </w:pPr>
      <w:r>
        <w:rPr/>
        <w:t>To this day, the common misconception persists that external applications (creams, lotions) are more important for the skin than internal applications,</w:t>
      </w:r>
      <w:r>
        <w:rPr>
          <w:spacing w:val="-45"/>
        </w:rPr>
        <w:t> </w:t>
      </w:r>
      <w:r>
        <w:rPr/>
        <w:t>i.e.</w:t>
      </w:r>
    </w:p>
    <w:p>
      <w:pPr>
        <w:spacing w:after="0" w:line="276" w:lineRule="auto"/>
        <w:jc w:val="both"/>
        <w:sectPr>
          <w:pgSz w:w="14270" w:h="16850"/>
          <w:pgMar w:header="0" w:footer="1891" w:top="1600" w:bottom="2080" w:left="800" w:right="1280"/>
        </w:sectPr>
      </w:pPr>
    </w:p>
    <w:p>
      <w:pPr>
        <w:pStyle w:val="BodyText"/>
        <w:spacing w:line="276" w:lineRule="auto" w:before="181"/>
        <w:ind w:left="477" w:right="138"/>
        <w:jc w:val="both"/>
      </w:pPr>
      <w:r>
        <w:rPr/>
        <w:t>the intake of nutrients. This is probably due to the widespread advertising for all sorts of cosmetics and the lack of education (thanks to Big Pharma!) about the actual benefits of vitamins and nutrients.</w:t>
      </w:r>
    </w:p>
    <w:p>
      <w:pPr>
        <w:pStyle w:val="BodyText"/>
        <w:spacing w:line="276" w:lineRule="auto" w:before="242"/>
        <w:ind w:left="477" w:right="131"/>
        <w:jc w:val="both"/>
      </w:pPr>
      <w:r>
        <w:rPr/>
        <w:t>But that is not the case, because in every moment of our lives, every second, not only is there</w:t>
      </w:r>
      <w:r>
        <w:rPr>
          <w:spacing w:val="-69"/>
        </w:rPr>
        <w:t> </w:t>
      </w:r>
      <w:r>
        <w:rPr/>
        <w:t>a breakdown, but also a build-up of all our cells, that is, every- thing that is living matter – and therefore also our skin – is constantly trying to renew itself. However, ‘building materials’ in the form of nutrients and vital substances are needed for this. The complexity of the skin structure, its thick- ness consisting of several skin layers, means that external applications in the form of creams and lotions can only play a secondary role. Primarily, it is the nutrients and vital substances that give the living organ ‘skin’ what it needs to maintain its youth and defy ageing.</w:t>
      </w:r>
    </w:p>
    <w:p>
      <w:pPr>
        <w:pStyle w:val="BodyText"/>
        <w:spacing w:line="276" w:lineRule="auto" w:before="239"/>
        <w:ind w:left="477" w:right="129"/>
        <w:jc w:val="both"/>
      </w:pPr>
      <w:r>
        <w:rPr/>
        <w:t>Air</w:t>
      </w:r>
      <w:r>
        <w:rPr>
          <w:spacing w:val="-17"/>
        </w:rPr>
        <w:t> </w:t>
      </w:r>
      <w:r>
        <w:rPr/>
        <w:t>pollutants,</w:t>
      </w:r>
      <w:r>
        <w:rPr>
          <w:spacing w:val="-17"/>
        </w:rPr>
        <w:t> </w:t>
      </w:r>
      <w:r>
        <w:rPr/>
        <w:t>UV</w:t>
      </w:r>
      <w:r>
        <w:rPr>
          <w:spacing w:val="-18"/>
        </w:rPr>
        <w:t> </w:t>
      </w:r>
      <w:r>
        <w:rPr/>
        <w:t>rays,</w:t>
      </w:r>
      <w:r>
        <w:rPr>
          <w:spacing w:val="-17"/>
        </w:rPr>
        <w:t> </w:t>
      </w:r>
      <w:r>
        <w:rPr/>
        <w:t>cigarette</w:t>
      </w:r>
      <w:r>
        <w:rPr>
          <w:spacing w:val="-17"/>
        </w:rPr>
        <w:t> </w:t>
      </w:r>
      <w:r>
        <w:rPr/>
        <w:t>consumption,</w:t>
      </w:r>
      <w:r>
        <w:rPr>
          <w:spacing w:val="-17"/>
        </w:rPr>
        <w:t> </w:t>
      </w:r>
      <w:r>
        <w:rPr/>
        <w:t>alcohol,</w:t>
      </w:r>
      <w:r>
        <w:rPr>
          <w:spacing w:val="-17"/>
        </w:rPr>
        <w:t> </w:t>
      </w:r>
      <w:r>
        <w:rPr/>
        <w:t>pesticides</w:t>
      </w:r>
      <w:r>
        <w:rPr>
          <w:spacing w:val="-19"/>
        </w:rPr>
        <w:t> </w:t>
      </w:r>
      <w:r>
        <w:rPr/>
        <w:t>and</w:t>
      </w:r>
      <w:r>
        <w:rPr>
          <w:spacing w:val="-17"/>
        </w:rPr>
        <w:t> </w:t>
      </w:r>
      <w:r>
        <w:rPr/>
        <w:t>toxins</w:t>
      </w:r>
      <w:r>
        <w:rPr>
          <w:spacing w:val="-16"/>
        </w:rPr>
        <w:t> </w:t>
      </w:r>
      <w:r>
        <w:rPr/>
        <w:t>in our</w:t>
      </w:r>
      <w:r>
        <w:rPr>
          <w:spacing w:val="-9"/>
        </w:rPr>
        <w:t> </w:t>
      </w:r>
      <w:r>
        <w:rPr/>
        <w:t>food</w:t>
      </w:r>
      <w:r>
        <w:rPr>
          <w:spacing w:val="-9"/>
        </w:rPr>
        <w:t> </w:t>
      </w:r>
      <w:r>
        <w:rPr/>
        <w:t>exhibit</w:t>
      </w:r>
      <w:r>
        <w:rPr>
          <w:spacing w:val="-8"/>
        </w:rPr>
        <w:t> </w:t>
      </w:r>
      <w:r>
        <w:rPr/>
        <w:t>their</w:t>
      </w:r>
      <w:r>
        <w:rPr>
          <w:spacing w:val="-7"/>
        </w:rPr>
        <w:t> </w:t>
      </w:r>
      <w:r>
        <w:rPr/>
        <w:t>negative</w:t>
      </w:r>
      <w:r>
        <w:rPr>
          <w:spacing w:val="-9"/>
        </w:rPr>
        <w:t> </w:t>
      </w:r>
      <w:r>
        <w:rPr/>
        <w:t>effects</w:t>
      </w:r>
      <w:r>
        <w:rPr>
          <w:spacing w:val="-8"/>
        </w:rPr>
        <w:t> </w:t>
      </w:r>
      <w:r>
        <w:rPr/>
        <w:t>in</w:t>
      </w:r>
      <w:r>
        <w:rPr>
          <w:spacing w:val="-8"/>
        </w:rPr>
        <w:t> </w:t>
      </w:r>
      <w:r>
        <w:rPr/>
        <w:t>the</w:t>
      </w:r>
      <w:r>
        <w:rPr>
          <w:spacing w:val="-7"/>
        </w:rPr>
        <w:t> </w:t>
      </w:r>
      <w:r>
        <w:rPr/>
        <w:t>form</w:t>
      </w:r>
      <w:r>
        <w:rPr>
          <w:spacing w:val="-11"/>
        </w:rPr>
        <w:t> </w:t>
      </w:r>
      <w:r>
        <w:rPr/>
        <w:t>of</w:t>
      </w:r>
      <w:r>
        <w:rPr>
          <w:spacing w:val="-8"/>
        </w:rPr>
        <w:t> </w:t>
      </w:r>
      <w:r>
        <w:rPr/>
        <w:t>free</w:t>
      </w:r>
      <w:r>
        <w:rPr>
          <w:spacing w:val="-8"/>
        </w:rPr>
        <w:t> </w:t>
      </w:r>
      <w:r>
        <w:rPr/>
        <w:t>radicals;</w:t>
      </w:r>
      <w:r>
        <w:rPr>
          <w:spacing w:val="-11"/>
        </w:rPr>
        <w:t> </w:t>
      </w:r>
      <w:r>
        <w:rPr/>
        <w:t>we</w:t>
      </w:r>
      <w:r>
        <w:rPr>
          <w:spacing w:val="-9"/>
        </w:rPr>
        <w:t> </w:t>
      </w:r>
      <w:r>
        <w:rPr/>
        <w:t>can</w:t>
      </w:r>
      <w:r>
        <w:rPr>
          <w:spacing w:val="-7"/>
        </w:rPr>
        <w:t> </w:t>
      </w:r>
      <w:r>
        <w:rPr/>
        <w:t>do</w:t>
      </w:r>
      <w:r>
        <w:rPr>
          <w:spacing w:val="-8"/>
        </w:rPr>
        <w:t> </w:t>
      </w:r>
      <w:r>
        <w:rPr/>
        <w:t>so much</w:t>
      </w:r>
      <w:r>
        <w:rPr>
          <w:spacing w:val="-23"/>
        </w:rPr>
        <w:t> </w:t>
      </w:r>
      <w:r>
        <w:rPr/>
        <w:t>here</w:t>
      </w:r>
      <w:r>
        <w:rPr>
          <w:spacing w:val="-22"/>
        </w:rPr>
        <w:t> </w:t>
      </w:r>
      <w:r>
        <w:rPr/>
        <w:t>against</w:t>
      </w:r>
      <w:r>
        <w:rPr>
          <w:spacing w:val="-24"/>
        </w:rPr>
        <w:t> </w:t>
      </w:r>
      <w:r>
        <w:rPr/>
        <w:t>ageing</w:t>
      </w:r>
      <w:r>
        <w:rPr>
          <w:spacing w:val="-21"/>
        </w:rPr>
        <w:t> </w:t>
      </w:r>
      <w:r>
        <w:rPr/>
        <w:t>and</w:t>
      </w:r>
      <w:r>
        <w:rPr>
          <w:spacing w:val="-22"/>
        </w:rPr>
        <w:t> </w:t>
      </w:r>
      <w:r>
        <w:rPr/>
        <w:t>wrinkles</w:t>
      </w:r>
      <w:r>
        <w:rPr>
          <w:spacing w:val="-19"/>
        </w:rPr>
        <w:t> </w:t>
      </w:r>
      <w:r>
        <w:rPr/>
        <w:t>by</w:t>
      </w:r>
      <w:r>
        <w:rPr>
          <w:spacing w:val="-22"/>
        </w:rPr>
        <w:t> </w:t>
      </w:r>
      <w:r>
        <w:rPr/>
        <w:t>eliminating</w:t>
      </w:r>
      <w:r>
        <w:rPr>
          <w:spacing w:val="-24"/>
        </w:rPr>
        <w:t> </w:t>
      </w:r>
      <w:r>
        <w:rPr/>
        <w:t>harmful</w:t>
      </w:r>
      <w:r>
        <w:rPr>
          <w:spacing w:val="-24"/>
        </w:rPr>
        <w:t> </w:t>
      </w:r>
      <w:r>
        <w:rPr/>
        <w:t>behaviours</w:t>
      </w:r>
      <w:r>
        <w:rPr>
          <w:spacing w:val="-21"/>
        </w:rPr>
        <w:t> </w:t>
      </w:r>
      <w:r>
        <w:rPr/>
        <w:t>which are</w:t>
      </w:r>
      <w:r>
        <w:rPr>
          <w:spacing w:val="-10"/>
        </w:rPr>
        <w:t> </w:t>
      </w:r>
      <w:r>
        <w:rPr/>
        <w:t>under</w:t>
      </w:r>
      <w:r>
        <w:rPr>
          <w:spacing w:val="-10"/>
        </w:rPr>
        <w:t> </w:t>
      </w:r>
      <w:r>
        <w:rPr/>
        <w:t>our</w:t>
      </w:r>
      <w:r>
        <w:rPr>
          <w:spacing w:val="-10"/>
        </w:rPr>
        <w:t> </w:t>
      </w:r>
      <w:r>
        <w:rPr/>
        <w:t>control</w:t>
      </w:r>
      <w:r>
        <w:rPr>
          <w:spacing w:val="-10"/>
        </w:rPr>
        <w:t> </w:t>
      </w:r>
      <w:r>
        <w:rPr/>
        <w:t>(stimulants</w:t>
      </w:r>
      <w:r>
        <w:rPr>
          <w:spacing w:val="-8"/>
        </w:rPr>
        <w:t> </w:t>
      </w:r>
      <w:r>
        <w:rPr/>
        <w:t>such</w:t>
      </w:r>
      <w:r>
        <w:rPr>
          <w:spacing w:val="-9"/>
        </w:rPr>
        <w:t> </w:t>
      </w:r>
      <w:r>
        <w:rPr/>
        <w:t>as</w:t>
      </w:r>
      <w:r>
        <w:rPr>
          <w:spacing w:val="-11"/>
        </w:rPr>
        <w:t> </w:t>
      </w:r>
      <w:r>
        <w:rPr/>
        <w:t>nicotine</w:t>
      </w:r>
      <w:r>
        <w:rPr>
          <w:spacing w:val="-10"/>
        </w:rPr>
        <w:t> </w:t>
      </w:r>
      <w:r>
        <w:rPr/>
        <w:t>and</w:t>
      </w:r>
      <w:r>
        <w:rPr>
          <w:spacing w:val="-9"/>
        </w:rPr>
        <w:t> </w:t>
      </w:r>
      <w:r>
        <w:rPr/>
        <w:t>alcohol</w:t>
      </w:r>
      <w:r>
        <w:rPr>
          <w:spacing w:val="-10"/>
        </w:rPr>
        <w:t> </w:t>
      </w:r>
      <w:r>
        <w:rPr/>
        <w:t>or</w:t>
      </w:r>
      <w:r>
        <w:rPr>
          <w:spacing w:val="-9"/>
        </w:rPr>
        <w:t> </w:t>
      </w:r>
      <w:r>
        <w:rPr/>
        <w:t>activities</w:t>
      </w:r>
      <w:r>
        <w:rPr>
          <w:spacing w:val="-10"/>
        </w:rPr>
        <w:t> </w:t>
      </w:r>
      <w:r>
        <w:rPr/>
        <w:t>such as</w:t>
      </w:r>
      <w:r>
        <w:rPr>
          <w:spacing w:val="-21"/>
        </w:rPr>
        <w:t> </w:t>
      </w:r>
      <w:r>
        <w:rPr/>
        <w:t>tanning</w:t>
      </w:r>
      <w:r>
        <w:rPr>
          <w:spacing w:val="-19"/>
        </w:rPr>
        <w:t> </w:t>
      </w:r>
      <w:r>
        <w:rPr/>
        <w:t>and</w:t>
      </w:r>
      <w:r>
        <w:rPr>
          <w:spacing w:val="-20"/>
        </w:rPr>
        <w:t> </w:t>
      </w:r>
      <w:r>
        <w:rPr/>
        <w:t>unprotected</w:t>
      </w:r>
      <w:r>
        <w:rPr>
          <w:spacing w:val="-20"/>
        </w:rPr>
        <w:t> </w:t>
      </w:r>
      <w:r>
        <w:rPr/>
        <w:t>sunbathing)</w:t>
      </w:r>
      <w:r>
        <w:rPr>
          <w:spacing w:val="-21"/>
        </w:rPr>
        <w:t> </w:t>
      </w:r>
      <w:r>
        <w:rPr/>
        <w:t>or</w:t>
      </w:r>
      <w:r>
        <w:rPr>
          <w:spacing w:val="-19"/>
        </w:rPr>
        <w:t> </w:t>
      </w:r>
      <w:r>
        <w:rPr/>
        <w:t>protecting</w:t>
      </w:r>
      <w:r>
        <w:rPr>
          <w:spacing w:val="-19"/>
        </w:rPr>
        <w:t> </w:t>
      </w:r>
      <w:r>
        <w:rPr/>
        <w:t>ourselves</w:t>
      </w:r>
      <w:r>
        <w:rPr>
          <w:spacing w:val="-19"/>
        </w:rPr>
        <w:t> </w:t>
      </w:r>
      <w:r>
        <w:rPr/>
        <w:t>from</w:t>
      </w:r>
      <w:r>
        <w:rPr>
          <w:spacing w:val="-20"/>
        </w:rPr>
        <w:t> </w:t>
      </w:r>
      <w:r>
        <w:rPr/>
        <w:t>influences over</w:t>
      </w:r>
      <w:r>
        <w:rPr>
          <w:spacing w:val="-9"/>
        </w:rPr>
        <w:t> </w:t>
      </w:r>
      <w:r>
        <w:rPr/>
        <w:t>which</w:t>
      </w:r>
      <w:r>
        <w:rPr>
          <w:spacing w:val="-9"/>
        </w:rPr>
        <w:t> </w:t>
      </w:r>
      <w:r>
        <w:rPr/>
        <w:t>we</w:t>
      </w:r>
      <w:r>
        <w:rPr>
          <w:spacing w:val="-11"/>
        </w:rPr>
        <w:t> </w:t>
      </w:r>
      <w:r>
        <w:rPr/>
        <w:t>have</w:t>
      </w:r>
      <w:r>
        <w:rPr>
          <w:spacing w:val="-10"/>
        </w:rPr>
        <w:t> </w:t>
      </w:r>
      <w:r>
        <w:rPr/>
        <w:t>little</w:t>
      </w:r>
      <w:r>
        <w:rPr>
          <w:spacing w:val="-11"/>
        </w:rPr>
        <w:t> </w:t>
      </w:r>
      <w:r>
        <w:rPr/>
        <w:t>or</w:t>
      </w:r>
      <w:r>
        <w:rPr>
          <w:spacing w:val="-9"/>
        </w:rPr>
        <w:t> </w:t>
      </w:r>
      <w:r>
        <w:rPr/>
        <w:t>no</w:t>
      </w:r>
      <w:r>
        <w:rPr>
          <w:spacing w:val="-8"/>
        </w:rPr>
        <w:t> </w:t>
      </w:r>
      <w:r>
        <w:rPr/>
        <w:t>control</w:t>
      </w:r>
      <w:r>
        <w:rPr>
          <w:spacing w:val="-11"/>
        </w:rPr>
        <w:t> </w:t>
      </w:r>
      <w:r>
        <w:rPr/>
        <w:t>(environmental</w:t>
      </w:r>
      <w:r>
        <w:rPr>
          <w:spacing w:val="-12"/>
        </w:rPr>
        <w:t> </w:t>
      </w:r>
      <w:r>
        <w:rPr/>
        <w:t>pollution,</w:t>
      </w:r>
      <w:r>
        <w:rPr>
          <w:spacing w:val="-8"/>
        </w:rPr>
        <w:t> </w:t>
      </w:r>
      <w:r>
        <w:rPr/>
        <w:t>increased</w:t>
      </w:r>
      <w:r>
        <w:rPr>
          <w:spacing w:val="-10"/>
        </w:rPr>
        <w:t> </w:t>
      </w:r>
      <w:r>
        <w:rPr/>
        <w:t>UV radiation</w:t>
      </w:r>
      <w:r>
        <w:rPr>
          <w:spacing w:val="-7"/>
        </w:rPr>
        <w:t> </w:t>
      </w:r>
      <w:r>
        <w:rPr/>
        <w:t>due</w:t>
      </w:r>
      <w:r>
        <w:rPr>
          <w:spacing w:val="-8"/>
        </w:rPr>
        <w:t> </w:t>
      </w:r>
      <w:r>
        <w:rPr/>
        <w:t>to</w:t>
      </w:r>
      <w:r>
        <w:rPr>
          <w:spacing w:val="-3"/>
        </w:rPr>
        <w:t> </w:t>
      </w:r>
      <w:r>
        <w:rPr/>
        <w:t>disturbed</w:t>
      </w:r>
      <w:r>
        <w:rPr>
          <w:spacing w:val="-7"/>
        </w:rPr>
        <w:t> </w:t>
      </w:r>
      <w:r>
        <w:rPr/>
        <w:t>atmosphere,</w:t>
      </w:r>
      <w:r>
        <w:rPr>
          <w:spacing w:val="-6"/>
        </w:rPr>
        <w:t> </w:t>
      </w:r>
      <w:r>
        <w:rPr/>
        <w:t>stress</w:t>
      </w:r>
      <w:r>
        <w:rPr>
          <w:spacing w:val="-6"/>
        </w:rPr>
        <w:t> </w:t>
      </w:r>
      <w:r>
        <w:rPr/>
        <w:t>in</w:t>
      </w:r>
      <w:r>
        <w:rPr>
          <w:spacing w:val="-9"/>
        </w:rPr>
        <w:t> </w:t>
      </w:r>
      <w:r>
        <w:rPr/>
        <w:t>our</w:t>
      </w:r>
      <w:r>
        <w:rPr>
          <w:spacing w:val="-6"/>
        </w:rPr>
        <w:t> </w:t>
      </w:r>
      <w:r>
        <w:rPr/>
        <w:t>food,</w:t>
      </w:r>
      <w:r>
        <w:rPr>
          <w:spacing w:val="-6"/>
        </w:rPr>
        <w:t> </w:t>
      </w:r>
      <w:r>
        <w:rPr/>
        <w:t>etc.)</w:t>
      </w:r>
      <w:r>
        <w:rPr>
          <w:spacing w:val="-7"/>
        </w:rPr>
        <w:t> </w:t>
      </w:r>
      <w:r>
        <w:rPr/>
        <w:t>with</w:t>
      </w:r>
      <w:r>
        <w:rPr>
          <w:spacing w:val="-6"/>
        </w:rPr>
        <w:t> </w:t>
      </w:r>
      <w:r>
        <w:rPr/>
        <w:t>the</w:t>
      </w:r>
      <w:r>
        <w:rPr>
          <w:spacing w:val="-6"/>
        </w:rPr>
        <w:t> </w:t>
      </w:r>
      <w:r>
        <w:rPr/>
        <w:t>help</w:t>
      </w:r>
      <w:r>
        <w:rPr>
          <w:spacing w:val="-7"/>
        </w:rPr>
        <w:t> </w:t>
      </w:r>
      <w:r>
        <w:rPr/>
        <w:t>of antioxidants.</w:t>
      </w:r>
      <w:r>
        <w:rPr>
          <w:spacing w:val="-14"/>
        </w:rPr>
        <w:t> </w:t>
      </w:r>
      <w:r>
        <w:rPr/>
        <w:t>Furthermore,</w:t>
      </w:r>
      <w:r>
        <w:rPr>
          <w:spacing w:val="-16"/>
        </w:rPr>
        <w:t> </w:t>
      </w:r>
      <w:r>
        <w:rPr/>
        <w:t>it</w:t>
      </w:r>
      <w:r>
        <w:rPr>
          <w:spacing w:val="-15"/>
        </w:rPr>
        <w:t> </w:t>
      </w:r>
      <w:r>
        <w:rPr/>
        <w:t>is</w:t>
      </w:r>
      <w:r>
        <w:rPr>
          <w:spacing w:val="-15"/>
        </w:rPr>
        <w:t> </w:t>
      </w:r>
      <w:r>
        <w:rPr/>
        <w:t>in</w:t>
      </w:r>
      <w:r>
        <w:rPr>
          <w:spacing w:val="-14"/>
        </w:rPr>
        <w:t> </w:t>
      </w:r>
      <w:r>
        <w:rPr/>
        <w:t>our</w:t>
      </w:r>
      <w:r>
        <w:rPr>
          <w:spacing w:val="-15"/>
        </w:rPr>
        <w:t> </w:t>
      </w:r>
      <w:r>
        <w:rPr/>
        <w:t>power</w:t>
      </w:r>
      <w:r>
        <w:rPr>
          <w:spacing w:val="-14"/>
        </w:rPr>
        <w:t> </w:t>
      </w:r>
      <w:r>
        <w:rPr/>
        <w:t>to</w:t>
      </w:r>
      <w:r>
        <w:rPr>
          <w:spacing w:val="-16"/>
        </w:rPr>
        <w:t> </w:t>
      </w:r>
      <w:r>
        <w:rPr/>
        <w:t>provide</w:t>
      </w:r>
      <w:r>
        <w:rPr>
          <w:spacing w:val="-15"/>
        </w:rPr>
        <w:t> </w:t>
      </w:r>
      <w:r>
        <w:rPr/>
        <w:t>the</w:t>
      </w:r>
      <w:r>
        <w:rPr>
          <w:spacing w:val="-13"/>
        </w:rPr>
        <w:t> </w:t>
      </w:r>
      <w:r>
        <w:rPr/>
        <w:t>body</w:t>
      </w:r>
      <w:r>
        <w:rPr>
          <w:spacing w:val="-14"/>
        </w:rPr>
        <w:t> </w:t>
      </w:r>
      <w:r>
        <w:rPr/>
        <w:t>with</w:t>
      </w:r>
      <w:r>
        <w:rPr>
          <w:spacing w:val="-15"/>
        </w:rPr>
        <w:t> </w:t>
      </w:r>
      <w:r>
        <w:rPr/>
        <w:t>materials and nutrients, which it needs – as in the case of the skin – to</w:t>
      </w:r>
      <w:r>
        <w:rPr>
          <w:spacing w:val="-9"/>
        </w:rPr>
        <w:t> </w:t>
      </w:r>
      <w:r>
        <w:rPr/>
        <w:t>regenerate.</w:t>
      </w:r>
    </w:p>
    <w:p>
      <w:pPr>
        <w:pStyle w:val="Heading2"/>
        <w:spacing w:before="362"/>
        <w:jc w:val="both"/>
      </w:pPr>
      <w:r>
        <w:rPr/>
        <w:t>The best ways to counteract skin ageing and wrinkles</w:t>
      </w:r>
    </w:p>
    <w:p>
      <w:pPr>
        <w:spacing w:after="0"/>
        <w:jc w:val="both"/>
        <w:sectPr>
          <w:footerReference w:type="default" r:id="rId26"/>
          <w:pgSz w:w="14270" w:h="16850"/>
          <w:pgMar w:footer="1891" w:header="0" w:top="1600" w:bottom="2080" w:left="800" w:right="1280"/>
          <w:pgNumType w:start="130"/>
        </w:sectPr>
      </w:pPr>
    </w:p>
    <w:p>
      <w:pPr>
        <w:spacing w:before="164"/>
        <w:ind w:left="477" w:right="0" w:firstLine="0"/>
        <w:jc w:val="both"/>
        <w:rPr>
          <w:b/>
          <w:i/>
          <w:sz w:val="40"/>
        </w:rPr>
      </w:pPr>
      <w:r>
        <w:rPr>
          <w:b/>
          <w:i/>
          <w:sz w:val="40"/>
        </w:rPr>
        <w:t>Don’ts</w:t>
      </w:r>
    </w:p>
    <w:p>
      <w:pPr>
        <w:pStyle w:val="ListParagraph"/>
        <w:numPr>
          <w:ilvl w:val="0"/>
          <w:numId w:val="14"/>
        </w:numPr>
        <w:tabs>
          <w:tab w:pos="1189" w:val="left" w:leader="none"/>
          <w:tab w:pos="1191" w:val="left" w:leader="none"/>
        </w:tabs>
        <w:spacing w:line="240" w:lineRule="auto" w:before="301" w:after="0"/>
        <w:ind w:left="1190" w:right="0" w:hanging="356"/>
        <w:jc w:val="left"/>
        <w:rPr>
          <w:sz w:val="38"/>
        </w:rPr>
      </w:pPr>
      <w:r>
        <w:rPr>
          <w:sz w:val="38"/>
        </w:rPr>
        <w:t>Excessive UV radiation (solarium, unprotected</w:t>
      </w:r>
      <w:r>
        <w:rPr>
          <w:spacing w:val="-4"/>
          <w:sz w:val="38"/>
        </w:rPr>
        <w:t> </w:t>
      </w:r>
      <w:r>
        <w:rPr>
          <w:sz w:val="38"/>
        </w:rPr>
        <w:t>sunbathing)</w:t>
      </w:r>
    </w:p>
    <w:p>
      <w:pPr>
        <w:pStyle w:val="ListParagraph"/>
        <w:numPr>
          <w:ilvl w:val="0"/>
          <w:numId w:val="14"/>
        </w:numPr>
        <w:tabs>
          <w:tab w:pos="1189" w:val="left" w:leader="none"/>
          <w:tab w:pos="1191" w:val="left" w:leader="none"/>
        </w:tabs>
        <w:spacing w:line="240" w:lineRule="auto" w:before="184" w:after="0"/>
        <w:ind w:left="1190" w:right="0" w:hanging="356"/>
        <w:jc w:val="left"/>
        <w:rPr>
          <w:sz w:val="38"/>
        </w:rPr>
      </w:pPr>
      <w:r>
        <w:rPr>
          <w:sz w:val="38"/>
        </w:rPr>
        <w:t>Cigarettes (nicotine),</w:t>
      </w:r>
      <w:r>
        <w:rPr>
          <w:spacing w:val="1"/>
          <w:sz w:val="38"/>
        </w:rPr>
        <w:t> </w:t>
      </w:r>
      <w:r>
        <w:rPr>
          <w:sz w:val="38"/>
        </w:rPr>
        <w:t>alcohol</w:t>
      </w:r>
    </w:p>
    <w:p>
      <w:pPr>
        <w:pStyle w:val="ListParagraph"/>
        <w:numPr>
          <w:ilvl w:val="0"/>
          <w:numId w:val="14"/>
        </w:numPr>
        <w:tabs>
          <w:tab w:pos="1189" w:val="left" w:leader="none"/>
          <w:tab w:pos="1191" w:val="left" w:leader="none"/>
        </w:tabs>
        <w:spacing w:line="240" w:lineRule="auto" w:before="183" w:after="0"/>
        <w:ind w:left="1190" w:right="0" w:hanging="356"/>
        <w:jc w:val="left"/>
        <w:rPr>
          <w:sz w:val="38"/>
        </w:rPr>
      </w:pPr>
      <w:r>
        <w:rPr>
          <w:sz w:val="38"/>
        </w:rPr>
        <w:t>Stress</w:t>
      </w:r>
    </w:p>
    <w:p>
      <w:pPr>
        <w:pStyle w:val="ListParagraph"/>
        <w:numPr>
          <w:ilvl w:val="0"/>
          <w:numId w:val="14"/>
        </w:numPr>
        <w:tabs>
          <w:tab w:pos="1189" w:val="left" w:leader="none"/>
          <w:tab w:pos="1191" w:val="left" w:leader="none"/>
        </w:tabs>
        <w:spacing w:line="240" w:lineRule="auto" w:before="186" w:after="0"/>
        <w:ind w:left="1190" w:right="0" w:hanging="356"/>
        <w:jc w:val="left"/>
        <w:rPr>
          <w:sz w:val="38"/>
        </w:rPr>
      </w:pPr>
      <w:r>
        <w:rPr>
          <w:sz w:val="38"/>
        </w:rPr>
        <w:t>Unhealthy diet (too much fat, too much sugar</w:t>
      </w:r>
      <w:r>
        <w:rPr>
          <w:spacing w:val="1"/>
          <w:sz w:val="38"/>
        </w:rPr>
        <w:t> </w:t>
      </w:r>
      <w:r>
        <w:rPr>
          <w:sz w:val="38"/>
        </w:rPr>
        <w:t>etc.)</w:t>
      </w:r>
    </w:p>
    <w:p>
      <w:pPr>
        <w:pStyle w:val="ListParagraph"/>
        <w:numPr>
          <w:ilvl w:val="0"/>
          <w:numId w:val="14"/>
        </w:numPr>
        <w:tabs>
          <w:tab w:pos="1197" w:val="left" w:leader="none"/>
          <w:tab w:pos="1198" w:val="left" w:leader="none"/>
        </w:tabs>
        <w:spacing w:line="240" w:lineRule="auto" w:before="184" w:after="0"/>
        <w:ind w:left="1197" w:right="0" w:hanging="360"/>
        <w:jc w:val="left"/>
        <w:rPr>
          <w:sz w:val="38"/>
        </w:rPr>
      </w:pPr>
      <w:r>
        <w:rPr>
          <w:sz w:val="38"/>
        </w:rPr>
        <w:t>Environmental</w:t>
      </w:r>
      <w:r>
        <w:rPr>
          <w:spacing w:val="-1"/>
          <w:sz w:val="38"/>
        </w:rPr>
        <w:t> </w:t>
      </w:r>
      <w:r>
        <w:rPr>
          <w:sz w:val="38"/>
        </w:rPr>
        <w:t>toxins</w:t>
      </w:r>
    </w:p>
    <w:p>
      <w:pPr>
        <w:pStyle w:val="Heading1"/>
        <w:spacing w:before="285"/>
        <w:jc w:val="both"/>
      </w:pPr>
      <w:r>
        <w:rPr/>
        <w:t>Do’s</w:t>
      </w:r>
    </w:p>
    <w:p>
      <w:pPr>
        <w:pStyle w:val="ListParagraph"/>
        <w:numPr>
          <w:ilvl w:val="0"/>
          <w:numId w:val="15"/>
        </w:numPr>
        <w:tabs>
          <w:tab w:pos="878" w:val="left" w:leader="none"/>
        </w:tabs>
        <w:spacing w:line="276" w:lineRule="auto" w:before="300" w:after="0"/>
        <w:ind w:left="477" w:right="139" w:firstLine="0"/>
        <w:jc w:val="both"/>
        <w:rPr>
          <w:sz w:val="38"/>
        </w:rPr>
      </w:pPr>
      <w:r>
        <w:rPr>
          <w:sz w:val="38"/>
        </w:rPr>
        <w:t>intake of nutrients which the skin requires for regeneration; these include nutrients that boost the production of collagen and elastin and regenerate the skin, such</w:t>
      </w:r>
      <w:r>
        <w:rPr>
          <w:spacing w:val="2"/>
          <w:sz w:val="38"/>
        </w:rPr>
        <w:t> </w:t>
      </w:r>
      <w:r>
        <w:rPr>
          <w:sz w:val="38"/>
        </w:rPr>
        <w:t>as:</w:t>
      </w:r>
    </w:p>
    <w:p>
      <w:pPr>
        <w:pStyle w:val="ListParagraph"/>
        <w:numPr>
          <w:ilvl w:val="1"/>
          <w:numId w:val="15"/>
        </w:numPr>
        <w:tabs>
          <w:tab w:pos="1032" w:val="left" w:leader="none"/>
        </w:tabs>
        <w:spacing w:line="240" w:lineRule="auto" w:before="118" w:after="0"/>
        <w:ind w:left="1031" w:right="0" w:hanging="213"/>
        <w:jc w:val="left"/>
        <w:rPr>
          <w:sz w:val="38"/>
        </w:rPr>
      </w:pPr>
      <w:r>
        <w:rPr>
          <w:sz w:val="38"/>
        </w:rPr>
        <w:t>Vitamin</w:t>
      </w:r>
      <w:r>
        <w:rPr>
          <w:spacing w:val="-1"/>
          <w:sz w:val="38"/>
        </w:rPr>
        <w:t> </w:t>
      </w:r>
      <w:r>
        <w:rPr>
          <w:sz w:val="38"/>
        </w:rPr>
        <w:t>A</w:t>
      </w:r>
    </w:p>
    <w:p>
      <w:pPr>
        <w:pStyle w:val="ListParagraph"/>
        <w:numPr>
          <w:ilvl w:val="1"/>
          <w:numId w:val="15"/>
        </w:numPr>
        <w:tabs>
          <w:tab w:pos="1032" w:val="left" w:leader="none"/>
        </w:tabs>
        <w:spacing w:line="240" w:lineRule="auto" w:before="305" w:after="0"/>
        <w:ind w:left="1031" w:right="0" w:hanging="213"/>
        <w:jc w:val="left"/>
        <w:rPr>
          <w:sz w:val="38"/>
        </w:rPr>
      </w:pPr>
      <w:r>
        <w:rPr>
          <w:sz w:val="38"/>
        </w:rPr>
        <w:t>Vitamin B</w:t>
      </w:r>
      <w:r>
        <w:rPr>
          <w:spacing w:val="-1"/>
          <w:sz w:val="38"/>
        </w:rPr>
        <w:t> </w:t>
      </w:r>
      <w:r>
        <w:rPr>
          <w:sz w:val="38"/>
        </w:rPr>
        <w:t>complex</w:t>
      </w:r>
    </w:p>
    <w:p>
      <w:pPr>
        <w:pStyle w:val="ListParagraph"/>
        <w:numPr>
          <w:ilvl w:val="1"/>
          <w:numId w:val="15"/>
        </w:numPr>
        <w:tabs>
          <w:tab w:pos="1032" w:val="left" w:leader="none"/>
        </w:tabs>
        <w:spacing w:line="240" w:lineRule="auto" w:before="305" w:after="0"/>
        <w:ind w:left="1031" w:right="0" w:hanging="213"/>
        <w:jc w:val="left"/>
        <w:rPr>
          <w:sz w:val="38"/>
        </w:rPr>
      </w:pPr>
      <w:r>
        <w:rPr>
          <w:sz w:val="38"/>
        </w:rPr>
        <w:t>Vitamin</w:t>
      </w:r>
      <w:r>
        <w:rPr>
          <w:spacing w:val="-1"/>
          <w:sz w:val="38"/>
        </w:rPr>
        <w:t> </w:t>
      </w:r>
      <w:r>
        <w:rPr>
          <w:sz w:val="38"/>
        </w:rPr>
        <w:t>C</w:t>
      </w:r>
    </w:p>
    <w:p>
      <w:pPr>
        <w:pStyle w:val="ListParagraph"/>
        <w:numPr>
          <w:ilvl w:val="1"/>
          <w:numId w:val="15"/>
        </w:numPr>
        <w:tabs>
          <w:tab w:pos="1032" w:val="left" w:leader="none"/>
        </w:tabs>
        <w:spacing w:line="240" w:lineRule="auto" w:before="304" w:after="0"/>
        <w:ind w:left="1031" w:right="0" w:hanging="213"/>
        <w:jc w:val="left"/>
        <w:rPr>
          <w:sz w:val="38"/>
        </w:rPr>
      </w:pPr>
      <w:r>
        <w:rPr>
          <w:sz w:val="38"/>
        </w:rPr>
        <w:t>OPC or vitamin</w:t>
      </w:r>
      <w:r>
        <w:rPr>
          <w:spacing w:val="1"/>
          <w:sz w:val="38"/>
        </w:rPr>
        <w:t> </w:t>
      </w:r>
      <w:r>
        <w:rPr>
          <w:sz w:val="38"/>
        </w:rPr>
        <w:t>P</w:t>
      </w:r>
    </w:p>
    <w:p>
      <w:pPr>
        <w:pStyle w:val="ListParagraph"/>
        <w:numPr>
          <w:ilvl w:val="1"/>
          <w:numId w:val="15"/>
        </w:numPr>
        <w:tabs>
          <w:tab w:pos="1032" w:val="left" w:leader="none"/>
        </w:tabs>
        <w:spacing w:line="240" w:lineRule="auto" w:before="305" w:after="0"/>
        <w:ind w:left="1031" w:right="0" w:hanging="213"/>
        <w:jc w:val="left"/>
        <w:rPr>
          <w:sz w:val="38"/>
        </w:rPr>
      </w:pPr>
      <w:r>
        <w:rPr>
          <w:sz w:val="38"/>
        </w:rPr>
        <w:t>Coenzyme</w:t>
      </w:r>
      <w:r>
        <w:rPr>
          <w:spacing w:val="1"/>
          <w:sz w:val="38"/>
        </w:rPr>
        <w:t> </w:t>
      </w:r>
      <w:r>
        <w:rPr>
          <w:sz w:val="38"/>
        </w:rPr>
        <w:t>Q10</w:t>
      </w:r>
    </w:p>
    <w:p>
      <w:pPr>
        <w:pStyle w:val="ListParagraph"/>
        <w:numPr>
          <w:ilvl w:val="0"/>
          <w:numId w:val="15"/>
        </w:numPr>
        <w:tabs>
          <w:tab w:pos="902" w:val="left" w:leader="none"/>
        </w:tabs>
        <w:spacing w:line="276" w:lineRule="auto" w:before="305" w:after="0"/>
        <w:ind w:left="477" w:right="145" w:firstLine="0"/>
        <w:jc w:val="both"/>
        <w:rPr>
          <w:sz w:val="38"/>
        </w:rPr>
      </w:pPr>
      <w:r>
        <w:rPr>
          <w:sz w:val="38"/>
        </w:rPr>
        <w:t>intake of antioxidants which protect the skin from attacks by free radicals. These include:</w:t>
      </w:r>
    </w:p>
    <w:p>
      <w:pPr>
        <w:pStyle w:val="ListParagraph"/>
        <w:numPr>
          <w:ilvl w:val="1"/>
          <w:numId w:val="15"/>
        </w:numPr>
        <w:tabs>
          <w:tab w:pos="975" w:val="left" w:leader="none"/>
        </w:tabs>
        <w:spacing w:line="240" w:lineRule="auto" w:before="238" w:after="0"/>
        <w:ind w:left="974" w:right="0" w:hanging="214"/>
        <w:jc w:val="left"/>
        <w:rPr>
          <w:sz w:val="38"/>
        </w:rPr>
      </w:pPr>
      <w:r>
        <w:rPr>
          <w:sz w:val="38"/>
        </w:rPr>
        <w:t>Vitamin</w:t>
      </w:r>
      <w:r>
        <w:rPr>
          <w:spacing w:val="-1"/>
          <w:sz w:val="38"/>
        </w:rPr>
        <w:t> </w:t>
      </w:r>
      <w:r>
        <w:rPr>
          <w:sz w:val="38"/>
        </w:rPr>
        <w:t>C</w:t>
      </w:r>
    </w:p>
    <w:p>
      <w:pPr>
        <w:spacing w:after="0" w:line="240" w:lineRule="auto"/>
        <w:jc w:val="left"/>
        <w:rPr>
          <w:sz w:val="38"/>
        </w:rPr>
        <w:sectPr>
          <w:pgSz w:w="14270" w:h="16850"/>
          <w:pgMar w:header="0" w:footer="1891" w:top="1600" w:bottom="2080" w:left="800" w:right="1280"/>
        </w:sectPr>
      </w:pPr>
    </w:p>
    <w:p>
      <w:pPr>
        <w:pStyle w:val="ListParagraph"/>
        <w:numPr>
          <w:ilvl w:val="1"/>
          <w:numId w:val="15"/>
        </w:numPr>
        <w:tabs>
          <w:tab w:pos="975" w:val="left" w:leader="none"/>
        </w:tabs>
        <w:spacing w:line="240" w:lineRule="auto" w:before="181" w:after="0"/>
        <w:ind w:left="974" w:right="0" w:hanging="214"/>
        <w:jc w:val="left"/>
        <w:rPr>
          <w:sz w:val="38"/>
        </w:rPr>
      </w:pPr>
      <w:r>
        <w:rPr>
          <w:sz w:val="38"/>
        </w:rPr>
        <w:t>Vitamin</w:t>
      </w:r>
      <w:r>
        <w:rPr>
          <w:spacing w:val="-1"/>
          <w:sz w:val="38"/>
        </w:rPr>
        <w:t> </w:t>
      </w:r>
      <w:r>
        <w:rPr>
          <w:sz w:val="38"/>
        </w:rPr>
        <w:t>E</w:t>
      </w:r>
    </w:p>
    <w:p>
      <w:pPr>
        <w:pStyle w:val="ListParagraph"/>
        <w:numPr>
          <w:ilvl w:val="1"/>
          <w:numId w:val="15"/>
        </w:numPr>
        <w:tabs>
          <w:tab w:pos="975" w:val="left" w:leader="none"/>
        </w:tabs>
        <w:spacing w:line="240" w:lineRule="auto" w:before="185" w:after="0"/>
        <w:ind w:left="974" w:right="0" w:hanging="214"/>
        <w:jc w:val="left"/>
        <w:rPr>
          <w:sz w:val="38"/>
        </w:rPr>
      </w:pPr>
      <w:r>
        <w:rPr>
          <w:sz w:val="38"/>
        </w:rPr>
        <w:t>OPC</w:t>
      </w:r>
    </w:p>
    <w:p>
      <w:pPr>
        <w:pStyle w:val="ListParagraph"/>
        <w:numPr>
          <w:ilvl w:val="1"/>
          <w:numId w:val="15"/>
        </w:numPr>
        <w:tabs>
          <w:tab w:pos="975" w:val="left" w:leader="none"/>
        </w:tabs>
        <w:spacing w:line="240" w:lineRule="auto" w:before="184" w:after="0"/>
        <w:ind w:left="974" w:right="0" w:hanging="214"/>
        <w:jc w:val="left"/>
        <w:rPr>
          <w:sz w:val="38"/>
        </w:rPr>
      </w:pPr>
      <w:r>
        <w:rPr>
          <w:sz w:val="38"/>
        </w:rPr>
        <w:t>Coenzyme</w:t>
      </w:r>
      <w:r>
        <w:rPr>
          <w:spacing w:val="1"/>
          <w:sz w:val="38"/>
        </w:rPr>
        <w:t> </w:t>
      </w:r>
      <w:r>
        <w:rPr>
          <w:sz w:val="38"/>
        </w:rPr>
        <w:t>Q10</w:t>
      </w:r>
    </w:p>
    <w:p>
      <w:pPr>
        <w:pStyle w:val="ListParagraph"/>
        <w:numPr>
          <w:ilvl w:val="1"/>
          <w:numId w:val="15"/>
        </w:numPr>
        <w:tabs>
          <w:tab w:pos="975" w:val="left" w:leader="none"/>
        </w:tabs>
        <w:spacing w:line="240" w:lineRule="auto" w:before="185" w:after="0"/>
        <w:ind w:left="974" w:right="0" w:hanging="214"/>
        <w:jc w:val="left"/>
        <w:rPr>
          <w:sz w:val="38"/>
        </w:rPr>
      </w:pPr>
      <w:r>
        <w:rPr>
          <w:sz w:val="38"/>
        </w:rPr>
        <w:t>Glutathione</w:t>
      </w:r>
    </w:p>
    <w:p>
      <w:pPr>
        <w:pStyle w:val="ListParagraph"/>
        <w:numPr>
          <w:ilvl w:val="1"/>
          <w:numId w:val="15"/>
        </w:numPr>
        <w:tabs>
          <w:tab w:pos="975" w:val="left" w:leader="none"/>
        </w:tabs>
        <w:spacing w:line="240" w:lineRule="auto" w:before="184" w:after="0"/>
        <w:ind w:left="974" w:right="0" w:hanging="214"/>
        <w:jc w:val="left"/>
        <w:rPr>
          <w:sz w:val="38"/>
        </w:rPr>
      </w:pPr>
      <w:r>
        <w:rPr>
          <w:sz w:val="38"/>
        </w:rPr>
        <w:t>Selenium</w:t>
      </w:r>
    </w:p>
    <w:p>
      <w:pPr>
        <w:pStyle w:val="ListParagraph"/>
        <w:numPr>
          <w:ilvl w:val="1"/>
          <w:numId w:val="15"/>
        </w:numPr>
        <w:tabs>
          <w:tab w:pos="975" w:val="left" w:leader="none"/>
        </w:tabs>
        <w:spacing w:line="240" w:lineRule="auto" w:before="183" w:after="0"/>
        <w:ind w:left="974" w:right="0" w:hanging="214"/>
        <w:jc w:val="left"/>
        <w:rPr>
          <w:sz w:val="38"/>
        </w:rPr>
      </w:pPr>
      <w:r>
        <w:rPr>
          <w:sz w:val="38"/>
        </w:rPr>
        <w:t>Beta-carotene</w:t>
      </w:r>
    </w:p>
    <w:p>
      <w:pPr>
        <w:pStyle w:val="BodyText"/>
        <w:spacing w:before="305"/>
        <w:ind w:left="477"/>
        <w:jc w:val="both"/>
      </w:pPr>
      <w:r>
        <w:rPr/>
        <w:t>And the most important of all:</w:t>
      </w:r>
    </w:p>
    <w:p>
      <w:pPr>
        <w:pStyle w:val="ListParagraph"/>
        <w:numPr>
          <w:ilvl w:val="1"/>
          <w:numId w:val="15"/>
        </w:numPr>
        <w:tabs>
          <w:tab w:pos="919" w:val="left" w:leader="none"/>
        </w:tabs>
        <w:spacing w:line="240" w:lineRule="auto" w:before="304" w:after="0"/>
        <w:ind w:left="918" w:right="0" w:hanging="213"/>
        <w:jc w:val="left"/>
        <w:rPr>
          <w:sz w:val="38"/>
        </w:rPr>
      </w:pPr>
      <w:r>
        <w:rPr>
          <w:sz w:val="38"/>
        </w:rPr>
        <w:t>Alpha-lipoic</w:t>
      </w:r>
      <w:r>
        <w:rPr>
          <w:spacing w:val="-2"/>
          <w:sz w:val="38"/>
        </w:rPr>
        <w:t> </w:t>
      </w:r>
      <w:r>
        <w:rPr>
          <w:sz w:val="38"/>
        </w:rPr>
        <w:t>acid!</w:t>
      </w:r>
    </w:p>
    <w:p>
      <w:pPr>
        <w:pStyle w:val="BodyText"/>
        <w:rPr>
          <w:sz w:val="42"/>
        </w:rPr>
      </w:pPr>
    </w:p>
    <w:p>
      <w:pPr>
        <w:pStyle w:val="BodyText"/>
        <w:rPr>
          <w:sz w:val="42"/>
        </w:rPr>
      </w:pPr>
    </w:p>
    <w:p>
      <w:pPr>
        <w:pStyle w:val="BodyText"/>
        <w:rPr>
          <w:sz w:val="42"/>
        </w:rPr>
      </w:pPr>
    </w:p>
    <w:p>
      <w:pPr>
        <w:pStyle w:val="Heading2"/>
        <w:spacing w:before="352"/>
        <w:jc w:val="both"/>
      </w:pPr>
      <w:r>
        <w:rPr/>
        <w:t>The targeted effect of alpha-lipoic acid against wrinkles and skin ageing</w:t>
      </w:r>
    </w:p>
    <w:p>
      <w:pPr>
        <w:pStyle w:val="BodyText"/>
        <w:spacing w:line="276" w:lineRule="auto" w:before="302"/>
        <w:ind w:left="477" w:right="133"/>
        <w:jc w:val="both"/>
      </w:pPr>
      <w:r>
        <w:rPr/>
        <w:t>As</w:t>
      </w:r>
      <w:r>
        <w:rPr>
          <w:spacing w:val="-22"/>
        </w:rPr>
        <w:t> </w:t>
      </w:r>
      <w:r>
        <w:rPr/>
        <w:t>we</w:t>
      </w:r>
      <w:r>
        <w:rPr>
          <w:spacing w:val="-22"/>
        </w:rPr>
        <w:t> </w:t>
      </w:r>
      <w:r>
        <w:rPr/>
        <w:t>have</w:t>
      </w:r>
      <w:r>
        <w:rPr>
          <w:spacing w:val="-24"/>
        </w:rPr>
        <w:t> </w:t>
      </w:r>
      <w:r>
        <w:rPr/>
        <w:t>read</w:t>
      </w:r>
      <w:r>
        <w:rPr>
          <w:spacing w:val="-25"/>
        </w:rPr>
        <w:t> </w:t>
      </w:r>
      <w:r>
        <w:rPr/>
        <w:t>in</w:t>
      </w:r>
      <w:r>
        <w:rPr>
          <w:spacing w:val="-21"/>
        </w:rPr>
        <w:t> </w:t>
      </w:r>
      <w:r>
        <w:rPr/>
        <w:t>the</w:t>
      </w:r>
      <w:r>
        <w:rPr>
          <w:spacing w:val="-23"/>
        </w:rPr>
        <w:t> </w:t>
      </w:r>
      <w:r>
        <w:rPr/>
        <w:t>previous</w:t>
      </w:r>
      <w:r>
        <w:rPr>
          <w:spacing w:val="-21"/>
        </w:rPr>
        <w:t> </w:t>
      </w:r>
      <w:r>
        <w:rPr/>
        <w:t>chapters,</w:t>
      </w:r>
      <w:r>
        <w:rPr>
          <w:spacing w:val="-23"/>
        </w:rPr>
        <w:t> </w:t>
      </w:r>
      <w:r>
        <w:rPr/>
        <w:t>alpha-lipoic</w:t>
      </w:r>
      <w:r>
        <w:rPr>
          <w:spacing w:val="-22"/>
        </w:rPr>
        <w:t> </w:t>
      </w:r>
      <w:r>
        <w:rPr/>
        <w:t>acid</w:t>
      </w:r>
      <w:r>
        <w:rPr>
          <w:spacing w:val="-22"/>
        </w:rPr>
        <w:t> </w:t>
      </w:r>
      <w:r>
        <w:rPr/>
        <w:t>occupies</w:t>
      </w:r>
      <w:r>
        <w:rPr>
          <w:spacing w:val="-20"/>
        </w:rPr>
        <w:t> </w:t>
      </w:r>
      <w:r>
        <w:rPr/>
        <w:t>a</w:t>
      </w:r>
      <w:r>
        <w:rPr>
          <w:spacing w:val="-22"/>
        </w:rPr>
        <w:t> </w:t>
      </w:r>
      <w:r>
        <w:rPr/>
        <w:t>very</w:t>
      </w:r>
      <w:r>
        <w:rPr>
          <w:spacing w:val="-21"/>
        </w:rPr>
        <w:t> </w:t>
      </w:r>
      <w:r>
        <w:rPr/>
        <w:t>dom- inant position among antioxidant substances, because, unlike most of the oth- ers,</w:t>
      </w:r>
      <w:r>
        <w:rPr>
          <w:spacing w:val="-13"/>
        </w:rPr>
        <w:t> </w:t>
      </w:r>
      <w:r>
        <w:rPr/>
        <w:t>it</w:t>
      </w:r>
      <w:r>
        <w:rPr>
          <w:spacing w:val="-14"/>
        </w:rPr>
        <w:t> </w:t>
      </w:r>
      <w:r>
        <w:rPr/>
        <w:t>is</w:t>
      </w:r>
      <w:r>
        <w:rPr>
          <w:spacing w:val="-14"/>
        </w:rPr>
        <w:t> </w:t>
      </w:r>
      <w:r>
        <w:rPr/>
        <w:t>effective</w:t>
      </w:r>
      <w:r>
        <w:rPr>
          <w:spacing w:val="-13"/>
        </w:rPr>
        <w:t> </w:t>
      </w:r>
      <w:r>
        <w:rPr/>
        <w:t>in</w:t>
      </w:r>
      <w:r>
        <w:rPr>
          <w:spacing w:val="-13"/>
        </w:rPr>
        <w:t> </w:t>
      </w:r>
      <w:r>
        <w:rPr/>
        <w:t>all</w:t>
      </w:r>
      <w:r>
        <w:rPr>
          <w:spacing w:val="-16"/>
        </w:rPr>
        <w:t> </w:t>
      </w:r>
      <w:r>
        <w:rPr/>
        <w:t>forms</w:t>
      </w:r>
      <w:r>
        <w:rPr>
          <w:spacing w:val="-13"/>
        </w:rPr>
        <w:t> </w:t>
      </w:r>
      <w:r>
        <w:rPr/>
        <w:t>of</w:t>
      </w:r>
      <w:r>
        <w:rPr>
          <w:spacing w:val="-14"/>
        </w:rPr>
        <w:t> </w:t>
      </w:r>
      <w:r>
        <w:rPr/>
        <w:t>tissue</w:t>
      </w:r>
      <w:r>
        <w:rPr>
          <w:spacing w:val="-13"/>
        </w:rPr>
        <w:t> </w:t>
      </w:r>
      <w:r>
        <w:rPr/>
        <w:t>(both</w:t>
      </w:r>
      <w:r>
        <w:rPr>
          <w:spacing w:val="-13"/>
        </w:rPr>
        <w:t> </w:t>
      </w:r>
      <w:r>
        <w:rPr/>
        <w:t>aqueous</w:t>
      </w:r>
      <w:r>
        <w:rPr>
          <w:spacing w:val="-14"/>
        </w:rPr>
        <w:t> </w:t>
      </w:r>
      <w:r>
        <w:rPr/>
        <w:t>and</w:t>
      </w:r>
      <w:r>
        <w:rPr>
          <w:spacing w:val="-13"/>
        </w:rPr>
        <w:t> </w:t>
      </w:r>
      <w:r>
        <w:rPr/>
        <w:t>fatty),</w:t>
      </w:r>
      <w:r>
        <w:rPr>
          <w:spacing w:val="-13"/>
        </w:rPr>
        <w:t> </w:t>
      </w:r>
      <w:r>
        <w:rPr/>
        <w:t>and</w:t>
      </w:r>
      <w:r>
        <w:rPr>
          <w:spacing w:val="-13"/>
        </w:rPr>
        <w:t> </w:t>
      </w:r>
      <w:r>
        <w:rPr/>
        <w:t>regenerates other antioxidants during their fight against free</w:t>
      </w:r>
      <w:r>
        <w:rPr>
          <w:spacing w:val="-2"/>
        </w:rPr>
        <w:t> </w:t>
      </w:r>
      <w:r>
        <w:rPr/>
        <w:t>radicals.</w:t>
      </w:r>
    </w:p>
    <w:p>
      <w:pPr>
        <w:pStyle w:val="BodyText"/>
        <w:spacing w:line="276" w:lineRule="auto" w:before="241"/>
        <w:ind w:left="477" w:right="137"/>
        <w:jc w:val="both"/>
      </w:pPr>
      <w:r>
        <w:rPr/>
        <w:t>In</w:t>
      </w:r>
      <w:r>
        <w:rPr>
          <w:spacing w:val="-9"/>
        </w:rPr>
        <w:t> </w:t>
      </w:r>
      <w:r>
        <w:rPr/>
        <w:t>this</w:t>
      </w:r>
      <w:r>
        <w:rPr>
          <w:spacing w:val="-7"/>
        </w:rPr>
        <w:t> </w:t>
      </w:r>
      <w:r>
        <w:rPr/>
        <w:t>way,</w:t>
      </w:r>
      <w:r>
        <w:rPr>
          <w:spacing w:val="-8"/>
        </w:rPr>
        <w:t> </w:t>
      </w:r>
      <w:r>
        <w:rPr/>
        <w:t>it</w:t>
      </w:r>
      <w:r>
        <w:rPr>
          <w:spacing w:val="-10"/>
        </w:rPr>
        <w:t> </w:t>
      </w:r>
      <w:r>
        <w:rPr/>
        <w:t>ensures</w:t>
      </w:r>
      <w:r>
        <w:rPr>
          <w:spacing w:val="-7"/>
        </w:rPr>
        <w:t> </w:t>
      </w:r>
      <w:r>
        <w:rPr/>
        <w:t>that</w:t>
      </w:r>
      <w:r>
        <w:rPr>
          <w:spacing w:val="-8"/>
        </w:rPr>
        <w:t> </w:t>
      </w:r>
      <w:r>
        <w:rPr/>
        <w:t>vitamin</w:t>
      </w:r>
      <w:r>
        <w:rPr>
          <w:spacing w:val="-8"/>
        </w:rPr>
        <w:t> </w:t>
      </w:r>
      <w:r>
        <w:rPr/>
        <w:t>C,</w:t>
      </w:r>
      <w:r>
        <w:rPr>
          <w:spacing w:val="-10"/>
        </w:rPr>
        <w:t> </w:t>
      </w:r>
      <w:r>
        <w:rPr/>
        <w:t>vitamin</w:t>
      </w:r>
      <w:r>
        <w:rPr>
          <w:spacing w:val="-8"/>
        </w:rPr>
        <w:t> </w:t>
      </w:r>
      <w:r>
        <w:rPr/>
        <w:t>E,</w:t>
      </w:r>
      <w:r>
        <w:rPr>
          <w:spacing w:val="-7"/>
        </w:rPr>
        <w:t> </w:t>
      </w:r>
      <w:r>
        <w:rPr/>
        <w:t>coenzyme</w:t>
      </w:r>
      <w:r>
        <w:rPr>
          <w:spacing w:val="-7"/>
        </w:rPr>
        <w:t> </w:t>
      </w:r>
      <w:r>
        <w:rPr/>
        <w:t>Q10</w:t>
      </w:r>
      <w:r>
        <w:rPr>
          <w:spacing w:val="-11"/>
        </w:rPr>
        <w:t> </w:t>
      </w:r>
      <w:r>
        <w:rPr/>
        <w:t>and</w:t>
      </w:r>
      <w:r>
        <w:rPr>
          <w:spacing w:val="-8"/>
        </w:rPr>
        <w:t> </w:t>
      </w:r>
      <w:r>
        <w:rPr/>
        <w:t>other</w:t>
      </w:r>
      <w:r>
        <w:rPr>
          <w:spacing w:val="-8"/>
        </w:rPr>
        <w:t> </w:t>
      </w:r>
      <w:r>
        <w:rPr/>
        <w:t>sub- stances</w:t>
      </w:r>
      <w:r>
        <w:rPr>
          <w:spacing w:val="-15"/>
        </w:rPr>
        <w:t> </w:t>
      </w:r>
      <w:r>
        <w:rPr/>
        <w:t>are</w:t>
      </w:r>
      <w:r>
        <w:rPr>
          <w:spacing w:val="-16"/>
        </w:rPr>
        <w:t> </w:t>
      </w:r>
      <w:r>
        <w:rPr/>
        <w:t>not</w:t>
      </w:r>
      <w:r>
        <w:rPr>
          <w:spacing w:val="-16"/>
        </w:rPr>
        <w:t> </w:t>
      </w:r>
      <w:r>
        <w:rPr/>
        <w:t>consumed</w:t>
      </w:r>
      <w:r>
        <w:rPr>
          <w:spacing w:val="-16"/>
        </w:rPr>
        <w:t> </w:t>
      </w:r>
      <w:r>
        <w:rPr/>
        <w:t>or</w:t>
      </w:r>
      <w:r>
        <w:rPr>
          <w:spacing w:val="-14"/>
        </w:rPr>
        <w:t> </w:t>
      </w:r>
      <w:r>
        <w:rPr/>
        <w:t>–</w:t>
      </w:r>
      <w:r>
        <w:rPr>
          <w:spacing w:val="-16"/>
        </w:rPr>
        <w:t> </w:t>
      </w:r>
      <w:r>
        <w:rPr/>
        <w:t>even</w:t>
      </w:r>
      <w:r>
        <w:rPr>
          <w:spacing w:val="-16"/>
        </w:rPr>
        <w:t> </w:t>
      </w:r>
      <w:r>
        <w:rPr/>
        <w:t>worse</w:t>
      </w:r>
      <w:r>
        <w:rPr>
          <w:spacing w:val="-16"/>
        </w:rPr>
        <w:t> </w:t>
      </w:r>
      <w:r>
        <w:rPr/>
        <w:t>–</w:t>
      </w:r>
      <w:r>
        <w:rPr>
          <w:spacing w:val="-16"/>
        </w:rPr>
        <w:t> </w:t>
      </w:r>
      <w:r>
        <w:rPr/>
        <w:t>mutate</w:t>
      </w:r>
      <w:r>
        <w:rPr>
          <w:spacing w:val="-17"/>
        </w:rPr>
        <w:t> </w:t>
      </w:r>
      <w:r>
        <w:rPr/>
        <w:t>into</w:t>
      </w:r>
      <w:r>
        <w:rPr>
          <w:spacing w:val="-16"/>
        </w:rPr>
        <w:t> </w:t>
      </w:r>
      <w:r>
        <w:rPr/>
        <w:t>free</w:t>
      </w:r>
      <w:r>
        <w:rPr>
          <w:spacing w:val="-15"/>
        </w:rPr>
        <w:t> </w:t>
      </w:r>
      <w:r>
        <w:rPr/>
        <w:t>radicals,</w:t>
      </w:r>
      <w:r>
        <w:rPr>
          <w:spacing w:val="-16"/>
        </w:rPr>
        <w:t> </w:t>
      </w:r>
      <w:r>
        <w:rPr/>
        <w:t>and</w:t>
      </w:r>
      <w:r>
        <w:rPr>
          <w:spacing w:val="-15"/>
        </w:rPr>
        <w:t> </w:t>
      </w:r>
      <w:r>
        <w:rPr/>
        <w:t>it</w:t>
      </w:r>
      <w:r>
        <w:rPr>
          <w:spacing w:val="-18"/>
        </w:rPr>
        <w:t> </w:t>
      </w:r>
      <w:r>
        <w:rPr/>
        <w:t>can</w:t>
      </w:r>
    </w:p>
    <w:p>
      <w:pPr>
        <w:spacing w:after="0" w:line="276" w:lineRule="auto"/>
        <w:jc w:val="both"/>
        <w:sectPr>
          <w:pgSz w:w="14270" w:h="16850"/>
          <w:pgMar w:header="0" w:footer="1891" w:top="1600" w:bottom="2080" w:left="800" w:right="1280"/>
        </w:sectPr>
      </w:pPr>
    </w:p>
    <w:p>
      <w:pPr>
        <w:pStyle w:val="BodyText"/>
        <w:spacing w:before="181"/>
        <w:ind w:left="477"/>
        <w:jc w:val="both"/>
      </w:pPr>
      <w:r>
        <w:rPr/>
        <w:t>even compensate for a shortage of these substances to some extent.</w:t>
      </w:r>
    </w:p>
    <w:p>
      <w:pPr>
        <w:pStyle w:val="BodyText"/>
        <w:spacing w:line="276" w:lineRule="auto" w:before="305"/>
        <w:ind w:left="477" w:right="135"/>
        <w:jc w:val="both"/>
        <w:rPr>
          <w:sz w:val="25"/>
        </w:rPr>
      </w:pPr>
      <w:r>
        <w:rPr/>
        <w:t>For example, studies have shown that degradation of coenzyme Q10, which is so important to the skin, can be reduced by 40 % through localised application of alpha-lipoic acid during UV radiation (sunbeams, solarium).</w:t>
      </w:r>
      <w:r>
        <w:rPr>
          <w:position w:val="9"/>
          <w:sz w:val="25"/>
        </w:rPr>
        <w:t>44</w:t>
      </w:r>
    </w:p>
    <w:p>
      <w:pPr>
        <w:pStyle w:val="Heading1"/>
        <w:jc w:val="both"/>
      </w:pPr>
      <w:r>
        <w:rPr/>
        <w:t>Alpha-lipoic acid can do even</w:t>
      </w:r>
      <w:r>
        <w:rPr>
          <w:spacing w:val="-52"/>
        </w:rPr>
        <w:t> </w:t>
      </w:r>
      <w:r>
        <w:rPr/>
        <w:t>more</w:t>
      </w:r>
    </w:p>
    <w:p>
      <w:pPr>
        <w:pStyle w:val="BodyText"/>
        <w:spacing w:line="276" w:lineRule="auto" w:before="297"/>
        <w:ind w:left="477" w:right="131"/>
        <w:jc w:val="both"/>
      </w:pPr>
      <w:r>
        <w:rPr/>
        <w:t>During damaging activities, such as exposure to UV radiation, inflammatory reactions are triggered and harmful enzymes are produced that ‘eat away’ the skin collagen. Before these voracious enzymes are formed, the so-called tran- scription factor (AP-1) is activated by UV light. It is precisely these factors</w:t>
      </w:r>
      <w:r>
        <w:rPr>
          <w:spacing w:val="-42"/>
        </w:rPr>
        <w:t> </w:t>
      </w:r>
      <w:r>
        <w:rPr/>
        <w:t>that cause the skin damage which gradually becomes wrinkles in the form of tiny microscars!</w:t>
      </w:r>
    </w:p>
    <w:p>
      <w:pPr>
        <w:pStyle w:val="BodyText"/>
        <w:spacing w:line="276" w:lineRule="auto" w:before="240"/>
        <w:ind w:left="477" w:right="136"/>
        <w:jc w:val="both"/>
        <w:rPr>
          <w:sz w:val="25"/>
        </w:rPr>
      </w:pPr>
      <w:r>
        <w:rPr/>
        <w:t>According to the researcher Dr. Perricone, alpha-lipoic acid can trigger coun- teracting enzymes by removing the damaged collagen, repairing these mi- croscars and smoothing the wrinkles .</w:t>
      </w:r>
      <w:r>
        <w:rPr>
          <w:position w:val="9"/>
          <w:sz w:val="25"/>
        </w:rPr>
        <w:t>45</w:t>
      </w:r>
    </w:p>
    <w:p>
      <w:pPr>
        <w:pStyle w:val="BodyText"/>
        <w:spacing w:line="276" w:lineRule="auto" w:before="242"/>
        <w:ind w:left="477" w:right="134"/>
        <w:jc w:val="both"/>
        <w:rPr>
          <w:sz w:val="25"/>
        </w:rPr>
      </w:pPr>
      <w:r>
        <w:rPr/>
        <w:t>Another transcription factor called NF-kB promotes skin ageing by binding to DNA and producing pro-inflammatory proteins that promote skin ageing and wrinkling.</w:t>
      </w:r>
      <w:r>
        <w:rPr>
          <w:spacing w:val="-6"/>
        </w:rPr>
        <w:t> </w:t>
      </w:r>
      <w:r>
        <w:rPr/>
        <w:t>The</w:t>
      </w:r>
      <w:r>
        <w:rPr>
          <w:spacing w:val="-6"/>
        </w:rPr>
        <w:t> </w:t>
      </w:r>
      <w:r>
        <w:rPr/>
        <w:t>age-related</w:t>
      </w:r>
      <w:r>
        <w:rPr>
          <w:spacing w:val="-9"/>
        </w:rPr>
        <w:t> </w:t>
      </w:r>
      <w:r>
        <w:rPr/>
        <w:t>increase</w:t>
      </w:r>
      <w:r>
        <w:rPr>
          <w:spacing w:val="-6"/>
        </w:rPr>
        <w:t> </w:t>
      </w:r>
      <w:r>
        <w:rPr/>
        <w:t>in</w:t>
      </w:r>
      <w:r>
        <w:rPr>
          <w:spacing w:val="-9"/>
        </w:rPr>
        <w:t> </w:t>
      </w:r>
      <w:r>
        <w:rPr/>
        <w:t>NF-kB</w:t>
      </w:r>
      <w:r>
        <w:rPr>
          <w:spacing w:val="-8"/>
        </w:rPr>
        <w:t> </w:t>
      </w:r>
      <w:r>
        <w:rPr/>
        <w:t>activity</w:t>
      </w:r>
      <w:r>
        <w:rPr>
          <w:spacing w:val="-8"/>
        </w:rPr>
        <w:t> </w:t>
      </w:r>
      <w:r>
        <w:rPr/>
        <w:t>can</w:t>
      </w:r>
      <w:r>
        <w:rPr>
          <w:spacing w:val="-6"/>
        </w:rPr>
        <w:t> </w:t>
      </w:r>
      <w:r>
        <w:rPr/>
        <w:t>be</w:t>
      </w:r>
      <w:r>
        <w:rPr>
          <w:spacing w:val="-8"/>
        </w:rPr>
        <w:t> </w:t>
      </w:r>
      <w:r>
        <w:rPr/>
        <w:t>reduced</w:t>
      </w:r>
      <w:r>
        <w:rPr>
          <w:spacing w:val="-7"/>
        </w:rPr>
        <w:t> </w:t>
      </w:r>
      <w:r>
        <w:rPr/>
        <w:t>by</w:t>
      </w:r>
      <w:r>
        <w:rPr>
          <w:spacing w:val="-8"/>
        </w:rPr>
        <w:t> </w:t>
      </w:r>
      <w:r>
        <w:rPr/>
        <w:t>the</w:t>
      </w:r>
      <w:r>
        <w:rPr>
          <w:spacing w:val="-8"/>
        </w:rPr>
        <w:t> </w:t>
      </w:r>
      <w:r>
        <w:rPr/>
        <w:t>use of alpha-lipoic</w:t>
      </w:r>
      <w:r>
        <w:rPr>
          <w:spacing w:val="-1"/>
        </w:rPr>
        <w:t> </w:t>
      </w:r>
      <w:r>
        <w:rPr/>
        <w:t>acid.</w:t>
      </w:r>
      <w:r>
        <w:rPr>
          <w:position w:val="9"/>
          <w:sz w:val="25"/>
        </w:rPr>
        <w:t>46</w:t>
      </w:r>
    </w:p>
    <w:p>
      <w:pPr>
        <w:pStyle w:val="BodyText"/>
        <w:rPr>
          <w:sz w:val="20"/>
        </w:rPr>
      </w:pPr>
    </w:p>
    <w:p>
      <w:pPr>
        <w:pStyle w:val="BodyText"/>
        <w:rPr>
          <w:sz w:val="29"/>
        </w:rPr>
      </w:pPr>
      <w:r>
        <w:rPr/>
        <w:pict>
          <v:line style="position:absolute;mso-position-horizontal-relative:page;mso-position-vertical-relative:paragraph;z-index:-352;mso-wrap-distance-left:0;mso-wrap-distance-right:0" from="63.863998pt,18.664986pt" to="207.883998pt,18.664986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44 </w:t>
      </w:r>
      <w:r>
        <w:rPr>
          <w:sz w:val="20"/>
        </w:rPr>
        <w:t>Podda et al. 1995</w:t>
      </w:r>
    </w:p>
    <w:p>
      <w:pPr>
        <w:spacing w:before="92"/>
        <w:ind w:left="477" w:right="0" w:firstLine="0"/>
        <w:jc w:val="left"/>
        <w:rPr>
          <w:sz w:val="20"/>
        </w:rPr>
      </w:pPr>
      <w:r>
        <w:rPr>
          <w:position w:val="5"/>
          <w:sz w:val="13"/>
        </w:rPr>
        <w:t>45 </w:t>
      </w:r>
      <w:r>
        <w:rPr>
          <w:sz w:val="20"/>
        </w:rPr>
        <w:t>Perricone 2001</w:t>
      </w:r>
    </w:p>
    <w:p>
      <w:pPr>
        <w:spacing w:before="94"/>
        <w:ind w:left="477" w:right="0" w:firstLine="0"/>
        <w:jc w:val="left"/>
        <w:rPr>
          <w:sz w:val="20"/>
        </w:rPr>
      </w:pPr>
      <w:r>
        <w:rPr>
          <w:position w:val="5"/>
          <w:sz w:val="13"/>
        </w:rPr>
        <w:t>46 </w:t>
      </w:r>
      <w:r>
        <w:rPr>
          <w:sz w:val="20"/>
        </w:rPr>
        <w:t>Lee and Hughes 2002</w:t>
      </w:r>
    </w:p>
    <w:p>
      <w:pPr>
        <w:spacing w:after="0"/>
        <w:jc w:val="left"/>
        <w:rPr>
          <w:sz w:val="20"/>
        </w:rPr>
        <w:sectPr>
          <w:pgSz w:w="14270" w:h="16850"/>
          <w:pgMar w:header="0" w:footer="1891" w:top="1600" w:bottom="2080" w:left="800" w:right="1280"/>
        </w:sectPr>
      </w:pPr>
    </w:p>
    <w:p>
      <w:pPr>
        <w:pStyle w:val="BodyText"/>
        <w:spacing w:line="276" w:lineRule="auto" w:before="181"/>
        <w:ind w:left="477" w:right="134"/>
        <w:jc w:val="both"/>
      </w:pPr>
      <w:r>
        <w:rPr/>
        <w:t>Another important property of alpha-lipoic acid is its ability to break down sugar, as this is a factor in inflammation in all our cells, including skin cells. These inflammations lead to faster skin ageing and, in addition to wrinkles and enlarged pores, brown spots, known as age spots, develop. Alpha-lipoic acid can stop this process and even reverse it!</w:t>
      </w:r>
    </w:p>
    <w:p>
      <w:pPr>
        <w:pStyle w:val="BodyText"/>
        <w:spacing w:line="276" w:lineRule="auto" w:before="240"/>
        <w:ind w:left="477" w:right="135"/>
        <w:jc w:val="both"/>
        <w:rPr>
          <w:sz w:val="25"/>
        </w:rPr>
      </w:pPr>
      <w:r>
        <w:rPr/>
        <w:t>The following table shows the effect of alpha-lipoic acid on the skin when ap- plied locally:</w:t>
      </w:r>
      <w:r>
        <w:rPr>
          <w:position w:val="9"/>
          <w:sz w:val="25"/>
        </w:rPr>
        <w:t>47</w:t>
      </w:r>
    </w:p>
    <w:p>
      <w:pPr>
        <w:pStyle w:val="BodyText"/>
        <w:rPr>
          <w:sz w:val="20"/>
        </w:rPr>
      </w:pPr>
    </w:p>
    <w:p>
      <w:pPr>
        <w:pStyle w:val="BodyText"/>
        <w:rPr>
          <w:sz w:val="20"/>
        </w:rPr>
      </w:pPr>
    </w:p>
    <w:p>
      <w:pPr>
        <w:pStyle w:val="BodyText"/>
        <w:rPr>
          <w:sz w:val="20"/>
        </w:rPr>
      </w:pPr>
    </w:p>
    <w:p>
      <w:pPr>
        <w:pStyle w:val="BodyText"/>
        <w:spacing w:before="9"/>
        <w:rPr>
          <w:sz w:val="26"/>
        </w:rPr>
      </w:pPr>
    </w:p>
    <w:tbl>
      <w:tblPr>
        <w:tblW w:w="0" w:type="auto"/>
        <w:jc w:val="left"/>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90"/>
        <w:gridCol w:w="2998"/>
      </w:tblGrid>
      <w:tr>
        <w:trPr>
          <w:trHeight w:val="1965" w:hRule="atLeast"/>
        </w:trPr>
        <w:tc>
          <w:tcPr>
            <w:tcW w:w="2890" w:type="dxa"/>
            <w:shd w:val="clear" w:color="auto" w:fill="8DB3E1"/>
          </w:tcPr>
          <w:p>
            <w:pPr>
              <w:pStyle w:val="TableParagraph"/>
              <w:tabs>
                <w:tab w:pos="1672" w:val="left" w:leader="none"/>
              </w:tabs>
              <w:spacing w:line="424" w:lineRule="exact"/>
              <w:ind w:left="69"/>
              <w:rPr>
                <w:b/>
                <w:sz w:val="38"/>
              </w:rPr>
            </w:pPr>
            <w:r>
              <w:rPr>
                <w:b/>
                <w:sz w:val="38"/>
              </w:rPr>
              <w:t>TIME</w:t>
              <w:tab/>
              <w:t>FROM</w:t>
            </w:r>
          </w:p>
          <w:p>
            <w:pPr>
              <w:pStyle w:val="TableParagraph"/>
              <w:spacing w:line="490" w:lineRule="atLeast" w:before="2"/>
              <w:ind w:left="69" w:right="58"/>
              <w:jc w:val="both"/>
              <w:rPr>
                <w:b/>
                <w:sz w:val="38"/>
              </w:rPr>
            </w:pPr>
            <w:r>
              <w:rPr>
                <w:b/>
                <w:sz w:val="38"/>
              </w:rPr>
              <w:t>THE START OF THE EX- PERIMENT:</w:t>
            </w:r>
          </w:p>
        </w:tc>
        <w:tc>
          <w:tcPr>
            <w:tcW w:w="2998" w:type="dxa"/>
            <w:shd w:val="clear" w:color="auto" w:fill="8DB3E1"/>
          </w:tcPr>
          <w:p>
            <w:pPr>
              <w:pStyle w:val="TableParagraph"/>
              <w:spacing w:line="424" w:lineRule="exact"/>
              <w:ind w:left="69"/>
              <w:rPr>
                <w:b/>
                <w:sz w:val="38"/>
              </w:rPr>
            </w:pPr>
            <w:r>
              <w:rPr>
                <w:b/>
                <w:sz w:val="38"/>
              </w:rPr>
              <w:t>EFFECT:</w:t>
            </w:r>
          </w:p>
        </w:tc>
      </w:tr>
      <w:tr>
        <w:trPr>
          <w:trHeight w:val="984" w:hRule="atLeast"/>
        </w:trPr>
        <w:tc>
          <w:tcPr>
            <w:tcW w:w="2890" w:type="dxa"/>
          </w:tcPr>
          <w:p>
            <w:pPr>
              <w:pStyle w:val="TableParagraph"/>
              <w:spacing w:line="427" w:lineRule="exact"/>
              <w:ind w:left="69"/>
              <w:rPr>
                <w:sz w:val="38"/>
              </w:rPr>
            </w:pPr>
            <w:r>
              <w:rPr>
                <w:sz w:val="38"/>
              </w:rPr>
              <w:t>1-2 days</w:t>
            </w:r>
          </w:p>
        </w:tc>
        <w:tc>
          <w:tcPr>
            <w:tcW w:w="2998" w:type="dxa"/>
          </w:tcPr>
          <w:p>
            <w:pPr>
              <w:pStyle w:val="TableParagraph"/>
              <w:tabs>
                <w:tab w:pos="1909" w:val="left" w:leader="none"/>
                <w:tab w:pos="2463" w:val="left" w:leader="none"/>
              </w:tabs>
              <w:spacing w:line="427" w:lineRule="exact"/>
              <w:ind w:left="69"/>
              <w:rPr>
                <w:sz w:val="38"/>
              </w:rPr>
            </w:pPr>
            <w:r>
              <w:rPr>
                <w:sz w:val="38"/>
              </w:rPr>
              <w:t>Tightening</w:t>
              <w:tab/>
              <w:t>of</w:t>
              <w:tab/>
              <w:t>the</w:t>
            </w:r>
          </w:p>
          <w:p>
            <w:pPr>
              <w:pStyle w:val="TableParagraph"/>
              <w:spacing w:before="62"/>
              <w:ind w:left="69"/>
              <w:rPr>
                <w:sz w:val="38"/>
              </w:rPr>
            </w:pPr>
            <w:r>
              <w:rPr>
                <w:sz w:val="38"/>
              </w:rPr>
              <w:t>lachrymal sacks</w:t>
            </w:r>
          </w:p>
        </w:tc>
      </w:tr>
      <w:tr>
        <w:trPr>
          <w:trHeight w:val="491" w:hRule="atLeast"/>
        </w:trPr>
        <w:tc>
          <w:tcPr>
            <w:tcW w:w="2890" w:type="dxa"/>
          </w:tcPr>
          <w:p>
            <w:pPr>
              <w:pStyle w:val="TableParagraph"/>
              <w:spacing w:line="424" w:lineRule="exact"/>
              <w:ind w:left="69"/>
              <w:rPr>
                <w:sz w:val="38"/>
              </w:rPr>
            </w:pPr>
            <w:r>
              <w:rPr>
                <w:sz w:val="38"/>
              </w:rPr>
              <w:t>5 days</w:t>
            </w:r>
          </w:p>
        </w:tc>
        <w:tc>
          <w:tcPr>
            <w:tcW w:w="2998" w:type="dxa"/>
          </w:tcPr>
          <w:p>
            <w:pPr>
              <w:pStyle w:val="TableParagraph"/>
              <w:spacing w:line="424" w:lineRule="exact"/>
              <w:ind w:left="69"/>
              <w:rPr>
                <w:sz w:val="38"/>
              </w:rPr>
            </w:pPr>
            <w:r>
              <w:rPr>
                <w:sz w:val="38"/>
              </w:rPr>
              <w:t>Healthy erythema</w:t>
            </w:r>
          </w:p>
        </w:tc>
      </w:tr>
      <w:tr>
        <w:trPr>
          <w:trHeight w:val="983" w:hRule="atLeast"/>
        </w:trPr>
        <w:tc>
          <w:tcPr>
            <w:tcW w:w="2890" w:type="dxa"/>
          </w:tcPr>
          <w:p>
            <w:pPr>
              <w:pStyle w:val="TableParagraph"/>
              <w:spacing w:line="424" w:lineRule="exact"/>
              <w:ind w:left="69"/>
              <w:rPr>
                <w:sz w:val="38"/>
              </w:rPr>
            </w:pPr>
            <w:r>
              <w:rPr>
                <w:sz w:val="38"/>
              </w:rPr>
              <w:t>2 weeks</w:t>
            </w:r>
          </w:p>
        </w:tc>
        <w:tc>
          <w:tcPr>
            <w:tcW w:w="2998" w:type="dxa"/>
          </w:tcPr>
          <w:p>
            <w:pPr>
              <w:pStyle w:val="TableParagraph"/>
              <w:tabs>
                <w:tab w:pos="1696" w:val="left" w:leader="none"/>
                <w:tab w:pos="2258" w:val="left" w:leader="none"/>
              </w:tabs>
              <w:spacing w:line="424" w:lineRule="exact"/>
              <w:ind w:left="69"/>
              <w:rPr>
                <w:sz w:val="38"/>
              </w:rPr>
            </w:pPr>
            <w:r>
              <w:rPr>
                <w:sz w:val="38"/>
              </w:rPr>
              <w:t>Decrease</w:t>
              <w:tab/>
              <w:t>in</w:t>
              <w:tab/>
              <w:t>pore</w:t>
            </w:r>
          </w:p>
          <w:p>
            <w:pPr>
              <w:pStyle w:val="TableParagraph"/>
              <w:spacing w:before="64"/>
              <w:ind w:left="69"/>
              <w:rPr>
                <w:sz w:val="38"/>
              </w:rPr>
            </w:pPr>
            <w:r>
              <w:rPr>
                <w:sz w:val="38"/>
              </w:rPr>
              <w:t>size</w:t>
            </w:r>
          </w:p>
        </w:tc>
      </w:tr>
      <w:tr>
        <w:trPr>
          <w:trHeight w:val="491" w:hRule="atLeast"/>
        </w:trPr>
        <w:tc>
          <w:tcPr>
            <w:tcW w:w="2890" w:type="dxa"/>
          </w:tcPr>
          <w:p>
            <w:pPr>
              <w:pStyle w:val="TableParagraph"/>
              <w:spacing w:line="424" w:lineRule="exact"/>
              <w:ind w:left="69"/>
              <w:rPr>
                <w:sz w:val="38"/>
              </w:rPr>
            </w:pPr>
            <w:r>
              <w:rPr>
                <w:sz w:val="38"/>
              </w:rPr>
              <w:t>4-8 weeks</w:t>
            </w:r>
          </w:p>
        </w:tc>
        <w:tc>
          <w:tcPr>
            <w:tcW w:w="2998" w:type="dxa"/>
          </w:tcPr>
          <w:p>
            <w:pPr>
              <w:pStyle w:val="TableParagraph"/>
              <w:tabs>
                <w:tab w:pos="1815" w:val="left" w:leader="none"/>
                <w:tab w:pos="2364" w:val="left" w:leader="none"/>
              </w:tabs>
              <w:spacing w:line="424" w:lineRule="exact"/>
              <w:ind w:left="69"/>
              <w:rPr>
                <w:sz w:val="38"/>
              </w:rPr>
            </w:pPr>
            <w:r>
              <w:rPr>
                <w:sz w:val="38"/>
              </w:rPr>
              <w:t>Reduction</w:t>
              <w:tab/>
              <w:t>of</w:t>
              <w:tab/>
              <w:t>fine</w:t>
            </w:r>
          </w:p>
        </w:tc>
      </w:tr>
    </w:tbl>
    <w:p>
      <w:pPr>
        <w:pStyle w:val="BodyText"/>
        <w:rPr>
          <w:sz w:val="20"/>
        </w:rPr>
      </w:pPr>
    </w:p>
    <w:p>
      <w:pPr>
        <w:pStyle w:val="BodyText"/>
        <w:rPr>
          <w:sz w:val="20"/>
        </w:rPr>
      </w:pPr>
    </w:p>
    <w:p>
      <w:pPr>
        <w:pStyle w:val="BodyText"/>
        <w:spacing w:before="8"/>
        <w:rPr>
          <w:sz w:val="11"/>
        </w:rPr>
      </w:pPr>
      <w:r>
        <w:rPr/>
        <w:pict>
          <v:line style="position:absolute;mso-position-horizontal-relative:page;mso-position-vertical-relative:paragraph;z-index:-328;mso-wrap-distance-left:0;mso-wrap-distance-right:0" from="63.863998pt,8.940015pt" to="207.883998pt,8.94001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47 </w:t>
      </w:r>
      <w:r>
        <w:rPr>
          <w:sz w:val="20"/>
        </w:rPr>
        <w:t>Perricone 2001</w:t>
      </w:r>
    </w:p>
    <w:p>
      <w:pPr>
        <w:spacing w:after="0"/>
        <w:jc w:val="left"/>
        <w:rPr>
          <w:sz w:val="20"/>
        </w:rPr>
        <w:sectPr>
          <w:pgSz w:w="14270" w:h="16850"/>
          <w:pgMar w:header="0" w:footer="1891" w:top="1600" w:bottom="2080" w:left="800" w:right="1280"/>
        </w:sectPr>
      </w:pPr>
    </w:p>
    <w:p>
      <w:pPr>
        <w:pStyle w:val="BodyText"/>
        <w:spacing w:before="5"/>
        <w:rPr>
          <w:sz w:val="16"/>
        </w:rPr>
      </w:pPr>
    </w:p>
    <w:tbl>
      <w:tblPr>
        <w:tblW w:w="0" w:type="auto"/>
        <w:jc w:val="left"/>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90"/>
        <w:gridCol w:w="2998"/>
      </w:tblGrid>
      <w:tr>
        <w:trPr>
          <w:trHeight w:val="983" w:hRule="atLeast"/>
        </w:trPr>
        <w:tc>
          <w:tcPr>
            <w:tcW w:w="2890" w:type="dxa"/>
          </w:tcPr>
          <w:p>
            <w:pPr>
              <w:pStyle w:val="TableParagraph"/>
              <w:rPr>
                <w:rFonts w:ascii="Times New Roman"/>
                <w:sz w:val="36"/>
              </w:rPr>
            </w:pPr>
          </w:p>
        </w:tc>
        <w:tc>
          <w:tcPr>
            <w:tcW w:w="2998" w:type="dxa"/>
          </w:tcPr>
          <w:p>
            <w:pPr>
              <w:pStyle w:val="TableParagraph"/>
              <w:tabs>
                <w:tab w:pos="1076" w:val="left" w:leader="none"/>
                <w:tab w:pos="2463" w:val="left" w:leader="none"/>
              </w:tabs>
              <w:spacing w:line="424" w:lineRule="exact"/>
              <w:ind w:left="69"/>
              <w:rPr>
                <w:sz w:val="38"/>
              </w:rPr>
            </w:pPr>
            <w:r>
              <w:rPr>
                <w:sz w:val="38"/>
              </w:rPr>
              <w:t>lines</w:t>
              <w:tab/>
              <w:t>around</w:t>
              <w:tab/>
              <w:t>the</w:t>
            </w:r>
          </w:p>
          <w:p>
            <w:pPr>
              <w:pStyle w:val="TableParagraph"/>
              <w:spacing w:before="64"/>
              <w:ind w:left="69"/>
              <w:rPr>
                <w:sz w:val="38"/>
              </w:rPr>
            </w:pPr>
            <w:r>
              <w:rPr>
                <w:sz w:val="38"/>
              </w:rPr>
              <w:t>eyes</w:t>
            </w:r>
          </w:p>
        </w:tc>
      </w:tr>
      <w:tr>
        <w:trPr>
          <w:trHeight w:val="1475" w:hRule="atLeast"/>
        </w:trPr>
        <w:tc>
          <w:tcPr>
            <w:tcW w:w="2890" w:type="dxa"/>
          </w:tcPr>
          <w:p>
            <w:pPr>
              <w:pStyle w:val="TableParagraph"/>
              <w:spacing w:line="424" w:lineRule="exact"/>
              <w:ind w:left="69"/>
              <w:rPr>
                <w:sz w:val="38"/>
              </w:rPr>
            </w:pPr>
            <w:r>
              <w:rPr>
                <w:sz w:val="38"/>
              </w:rPr>
              <w:t>12 weeks</w:t>
            </w:r>
          </w:p>
        </w:tc>
        <w:tc>
          <w:tcPr>
            <w:tcW w:w="2998" w:type="dxa"/>
          </w:tcPr>
          <w:p>
            <w:pPr>
              <w:pStyle w:val="TableParagraph"/>
              <w:spacing w:line="276" w:lineRule="auto"/>
              <w:ind w:left="69"/>
              <w:rPr>
                <w:sz w:val="38"/>
              </w:rPr>
            </w:pPr>
            <w:r>
              <w:rPr>
                <w:sz w:val="38"/>
              </w:rPr>
              <w:t>Wrinkles and scars in the face are re-</w:t>
            </w:r>
          </w:p>
          <w:p>
            <w:pPr>
              <w:pStyle w:val="TableParagraph"/>
              <w:ind w:left="69"/>
              <w:rPr>
                <w:sz w:val="38"/>
              </w:rPr>
            </w:pPr>
            <w:r>
              <w:rPr>
                <w:sz w:val="38"/>
              </w:rPr>
              <w:t>duced</w:t>
            </w:r>
          </w:p>
        </w:tc>
      </w:tr>
    </w:tbl>
    <w:p>
      <w:pPr>
        <w:pStyle w:val="BodyText"/>
        <w:rPr>
          <w:sz w:val="20"/>
        </w:rPr>
      </w:pPr>
    </w:p>
    <w:p>
      <w:pPr>
        <w:pStyle w:val="BodyText"/>
        <w:spacing w:before="3"/>
        <w:rPr>
          <w:sz w:val="25"/>
        </w:rPr>
      </w:pPr>
    </w:p>
    <w:p>
      <w:pPr>
        <w:pStyle w:val="Heading2"/>
        <w:spacing w:line="276" w:lineRule="auto" w:before="100"/>
      </w:pPr>
      <w:r>
        <w:rPr/>
        <w:t>According to Dr. Perricone</w:t>
      </w:r>
      <w:r>
        <w:rPr>
          <w:position w:val="9"/>
          <w:sz w:val="25"/>
        </w:rPr>
        <w:t>48 </w:t>
      </w:r>
      <w:r>
        <w:rPr/>
        <w:t>(see the chapter “Studies” above), alpha- lipoic acid successfully tackles the following problems:</w:t>
      </w:r>
    </w:p>
    <w:p>
      <w:pPr>
        <w:pStyle w:val="ListParagraph"/>
        <w:numPr>
          <w:ilvl w:val="1"/>
          <w:numId w:val="8"/>
        </w:numPr>
        <w:tabs>
          <w:tab w:pos="1197" w:val="left" w:leader="none"/>
          <w:tab w:pos="1198" w:val="left" w:leader="none"/>
        </w:tabs>
        <w:spacing w:line="240" w:lineRule="auto" w:before="119" w:after="0"/>
        <w:ind w:left="1197" w:right="0" w:hanging="720"/>
        <w:jc w:val="left"/>
        <w:rPr>
          <w:sz w:val="38"/>
        </w:rPr>
      </w:pPr>
      <w:r>
        <w:rPr>
          <w:sz w:val="38"/>
        </w:rPr>
        <w:t>baggy eyes and puffy</w:t>
      </w:r>
      <w:r>
        <w:rPr>
          <w:spacing w:val="-1"/>
          <w:sz w:val="38"/>
        </w:rPr>
        <w:t> </w:t>
      </w:r>
      <w:r>
        <w:rPr>
          <w:sz w:val="38"/>
        </w:rPr>
        <w:t>skin</w:t>
      </w:r>
    </w:p>
    <w:p>
      <w:pPr>
        <w:pStyle w:val="ListParagraph"/>
        <w:numPr>
          <w:ilvl w:val="1"/>
          <w:numId w:val="8"/>
        </w:numPr>
        <w:tabs>
          <w:tab w:pos="1197" w:val="left" w:leader="none"/>
          <w:tab w:pos="1198" w:val="left" w:leader="none"/>
        </w:tabs>
        <w:spacing w:line="240" w:lineRule="auto" w:before="186" w:after="0"/>
        <w:ind w:left="1197" w:right="0" w:hanging="720"/>
        <w:jc w:val="left"/>
        <w:rPr>
          <w:sz w:val="38"/>
        </w:rPr>
      </w:pPr>
      <w:r>
        <w:rPr>
          <w:sz w:val="38"/>
        </w:rPr>
        <w:t>lines and</w:t>
      </w:r>
      <w:r>
        <w:rPr>
          <w:spacing w:val="1"/>
          <w:sz w:val="38"/>
        </w:rPr>
        <w:t> </w:t>
      </w:r>
      <w:r>
        <w:rPr>
          <w:sz w:val="38"/>
        </w:rPr>
        <w:t>wrinkles</w:t>
      </w:r>
    </w:p>
    <w:p>
      <w:pPr>
        <w:pStyle w:val="ListParagraph"/>
        <w:numPr>
          <w:ilvl w:val="1"/>
          <w:numId w:val="8"/>
        </w:numPr>
        <w:tabs>
          <w:tab w:pos="1197" w:val="left" w:leader="none"/>
          <w:tab w:pos="1198" w:val="left" w:leader="none"/>
        </w:tabs>
        <w:spacing w:line="240" w:lineRule="auto" w:before="184" w:after="0"/>
        <w:ind w:left="1197" w:right="0" w:hanging="720"/>
        <w:jc w:val="left"/>
        <w:rPr>
          <w:sz w:val="38"/>
        </w:rPr>
      </w:pPr>
      <w:r>
        <w:rPr>
          <w:sz w:val="38"/>
        </w:rPr>
        <w:t>pallid and dull</w:t>
      </w:r>
      <w:r>
        <w:rPr>
          <w:spacing w:val="-3"/>
          <w:sz w:val="38"/>
        </w:rPr>
        <w:t> </w:t>
      </w:r>
      <w:r>
        <w:rPr>
          <w:sz w:val="38"/>
        </w:rPr>
        <w:t>skin</w:t>
      </w:r>
    </w:p>
    <w:p>
      <w:pPr>
        <w:pStyle w:val="ListParagraph"/>
        <w:numPr>
          <w:ilvl w:val="1"/>
          <w:numId w:val="8"/>
        </w:numPr>
        <w:tabs>
          <w:tab w:pos="1197" w:val="left" w:leader="none"/>
          <w:tab w:pos="1198" w:val="left" w:leader="none"/>
        </w:tabs>
        <w:spacing w:line="240" w:lineRule="auto" w:before="184" w:after="0"/>
        <w:ind w:left="1197" w:right="0" w:hanging="720"/>
        <w:jc w:val="left"/>
        <w:rPr>
          <w:sz w:val="38"/>
        </w:rPr>
      </w:pPr>
      <w:r>
        <w:rPr>
          <w:sz w:val="38"/>
        </w:rPr>
        <w:t>enlarged skin</w:t>
      </w:r>
      <w:r>
        <w:rPr>
          <w:spacing w:val="1"/>
          <w:sz w:val="38"/>
        </w:rPr>
        <w:t> </w:t>
      </w:r>
      <w:r>
        <w:rPr>
          <w:sz w:val="38"/>
        </w:rPr>
        <w:t>pores</w:t>
      </w:r>
    </w:p>
    <w:p>
      <w:pPr>
        <w:pStyle w:val="BodyText"/>
        <w:spacing w:line="276" w:lineRule="auto" w:before="302"/>
        <w:ind w:left="477"/>
      </w:pPr>
      <w:r>
        <w:rPr/>
        <w:t>In general, a dose of 50 to 100 ml per day, divided into two doses, is recom- mended.</w:t>
      </w:r>
    </w:p>
    <w:p>
      <w:pPr>
        <w:pStyle w:val="Heading1"/>
      </w:pPr>
      <w:r>
        <w:rPr/>
        <w:t>Effect of alpha-lipoic acid on acne</w:t>
      </w:r>
      <w:r>
        <w:rPr>
          <w:spacing w:val="-65"/>
        </w:rPr>
        <w:t> </w:t>
      </w:r>
      <w:r>
        <w:rPr/>
        <w:t>scars</w:t>
      </w:r>
    </w:p>
    <w:p>
      <w:pPr>
        <w:pStyle w:val="BodyText"/>
        <w:spacing w:line="276" w:lineRule="auto" w:before="179"/>
        <w:ind w:left="477"/>
      </w:pPr>
      <w:r>
        <w:rPr/>
        <w:t>After a six-month local application, Dr. Perricone recorded a reduction in</w:t>
      </w:r>
      <w:r>
        <w:rPr>
          <w:spacing w:val="-51"/>
        </w:rPr>
        <w:t> </w:t>
      </w:r>
      <w:r>
        <w:rPr/>
        <w:t>acne scars of between 70 and 80 per cent.</w:t>
      </w:r>
    </w:p>
    <w:p>
      <w:pPr>
        <w:pStyle w:val="BodyText"/>
        <w:rPr>
          <w:sz w:val="20"/>
        </w:rPr>
      </w:pPr>
    </w:p>
    <w:p>
      <w:pPr>
        <w:pStyle w:val="BodyText"/>
        <w:spacing w:before="10"/>
        <w:rPr>
          <w:sz w:val="25"/>
        </w:rPr>
      </w:pPr>
      <w:r>
        <w:rPr/>
        <w:pict>
          <v:line style="position:absolute;mso-position-horizontal-relative:page;mso-position-vertical-relative:paragraph;z-index:-304;mso-wrap-distance-left:0;mso-wrap-distance-right:0" from="63.863998pt,16.934937pt" to="207.883998pt,16.934937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48 </w:t>
      </w:r>
      <w:r>
        <w:rPr>
          <w:sz w:val="20"/>
        </w:rPr>
        <w:t>Perricone 2001</w:t>
      </w:r>
    </w:p>
    <w:p>
      <w:pPr>
        <w:spacing w:after="0"/>
        <w:jc w:val="left"/>
        <w:rPr>
          <w:sz w:val="20"/>
        </w:rPr>
        <w:sectPr>
          <w:pgSz w:w="14270" w:h="16850"/>
          <w:pgMar w:header="0" w:footer="1891" w:top="1600" w:bottom="2080" w:left="800" w:right="1280"/>
        </w:sectPr>
      </w:pPr>
    </w:p>
    <w:p>
      <w:pPr>
        <w:spacing w:before="181"/>
        <w:ind w:left="477" w:right="0" w:firstLine="0"/>
        <w:jc w:val="left"/>
        <w:rPr>
          <w:i/>
          <w:sz w:val="38"/>
        </w:rPr>
      </w:pPr>
      <w:r>
        <w:rPr>
          <w:i/>
          <w:sz w:val="38"/>
        </w:rPr>
        <w:t>Alpha-lipoic acid and its effect on weight loss</w:t>
      </w:r>
    </w:p>
    <w:p>
      <w:pPr>
        <w:pStyle w:val="Heading1"/>
        <w:spacing w:before="288"/>
      </w:pPr>
      <w:r>
        <w:rPr/>
        <w:t>Sugar breakdown prevents storage of</w:t>
      </w:r>
      <w:r>
        <w:rPr>
          <w:spacing w:val="-54"/>
        </w:rPr>
        <w:t> </w:t>
      </w:r>
      <w:r>
        <w:rPr/>
        <w:t>fat</w:t>
      </w:r>
    </w:p>
    <w:p>
      <w:pPr>
        <w:pStyle w:val="BodyText"/>
        <w:spacing w:line="276" w:lineRule="auto" w:before="179"/>
        <w:ind w:left="477" w:right="141"/>
        <w:jc w:val="both"/>
      </w:pPr>
      <w:r>
        <w:rPr/>
        <w:t>Alpha-lipoic acid plays a key role as a coenzyme in many enzyme complexes that convert energy. Here, it converts sugar and fats from our diet into energy before they can be stored in the form of body fat.</w:t>
      </w:r>
    </w:p>
    <w:p>
      <w:pPr>
        <w:pStyle w:val="BodyText"/>
        <w:spacing w:line="276" w:lineRule="auto" w:before="239"/>
        <w:ind w:left="477"/>
      </w:pPr>
      <w:r>
        <w:rPr/>
        <w:t>These enzyme complexes, in which alpha-lipoic acid as an important compo- nent, include</w:t>
      </w:r>
    </w:p>
    <w:p>
      <w:pPr>
        <w:pStyle w:val="ListParagraph"/>
        <w:numPr>
          <w:ilvl w:val="1"/>
          <w:numId w:val="8"/>
        </w:numPr>
        <w:tabs>
          <w:tab w:pos="1198" w:val="left" w:leader="none"/>
        </w:tabs>
        <w:spacing w:line="240" w:lineRule="auto" w:before="243" w:after="0"/>
        <w:ind w:left="1197" w:right="0" w:hanging="720"/>
        <w:jc w:val="both"/>
        <w:rPr>
          <w:sz w:val="38"/>
        </w:rPr>
      </w:pPr>
      <w:r>
        <w:rPr>
          <w:sz w:val="38"/>
        </w:rPr>
        <w:t>pyruvate dehydrogenase</w:t>
      </w:r>
      <w:r>
        <w:rPr>
          <w:spacing w:val="-1"/>
          <w:sz w:val="38"/>
        </w:rPr>
        <w:t> </w:t>
      </w:r>
      <w:r>
        <w:rPr>
          <w:sz w:val="38"/>
        </w:rPr>
        <w:t>complex</w:t>
      </w:r>
    </w:p>
    <w:p>
      <w:pPr>
        <w:pStyle w:val="ListParagraph"/>
        <w:numPr>
          <w:ilvl w:val="1"/>
          <w:numId w:val="8"/>
        </w:numPr>
        <w:tabs>
          <w:tab w:pos="1198" w:val="left" w:leader="none"/>
        </w:tabs>
        <w:spacing w:line="240" w:lineRule="auto" w:before="183" w:after="0"/>
        <w:ind w:left="1197" w:right="0" w:hanging="720"/>
        <w:jc w:val="both"/>
        <w:rPr>
          <w:sz w:val="38"/>
        </w:rPr>
      </w:pPr>
      <w:r>
        <w:rPr>
          <w:sz w:val="38"/>
        </w:rPr>
        <w:t>alpha-ketoglutarate dehydrogenase</w:t>
      </w:r>
      <w:r>
        <w:rPr>
          <w:spacing w:val="-1"/>
          <w:sz w:val="38"/>
        </w:rPr>
        <w:t> </w:t>
      </w:r>
      <w:r>
        <w:rPr>
          <w:sz w:val="38"/>
        </w:rPr>
        <w:t>complex</w:t>
      </w:r>
    </w:p>
    <w:p>
      <w:pPr>
        <w:pStyle w:val="ListParagraph"/>
        <w:numPr>
          <w:ilvl w:val="1"/>
          <w:numId w:val="8"/>
        </w:numPr>
        <w:tabs>
          <w:tab w:pos="1198" w:val="left" w:leader="none"/>
        </w:tabs>
        <w:spacing w:line="240" w:lineRule="auto" w:before="184" w:after="0"/>
        <w:ind w:left="1197" w:right="0" w:hanging="720"/>
        <w:jc w:val="both"/>
        <w:rPr>
          <w:sz w:val="38"/>
        </w:rPr>
      </w:pPr>
      <w:r>
        <w:rPr>
          <w:sz w:val="38"/>
        </w:rPr>
        <w:t>amino acid dehydrogenase</w:t>
      </w:r>
      <w:r>
        <w:rPr>
          <w:spacing w:val="1"/>
          <w:sz w:val="38"/>
        </w:rPr>
        <w:t> </w:t>
      </w:r>
      <w:r>
        <w:rPr>
          <w:sz w:val="38"/>
        </w:rPr>
        <w:t>complex</w:t>
      </w:r>
    </w:p>
    <w:p>
      <w:pPr>
        <w:pStyle w:val="ListParagraph"/>
        <w:numPr>
          <w:ilvl w:val="1"/>
          <w:numId w:val="8"/>
        </w:numPr>
        <w:tabs>
          <w:tab w:pos="1198" w:val="left" w:leader="none"/>
        </w:tabs>
        <w:spacing w:line="240" w:lineRule="auto" w:before="186" w:after="0"/>
        <w:ind w:left="1197" w:right="0" w:hanging="720"/>
        <w:jc w:val="both"/>
        <w:rPr>
          <w:sz w:val="38"/>
        </w:rPr>
      </w:pPr>
      <w:r>
        <w:rPr>
          <w:sz w:val="38"/>
        </w:rPr>
        <w:t>replacement function for coenzyme Q10</w:t>
      </w:r>
      <w:r>
        <w:rPr>
          <w:spacing w:val="2"/>
          <w:sz w:val="38"/>
        </w:rPr>
        <w:t> </w:t>
      </w:r>
      <w:r>
        <w:rPr>
          <w:sz w:val="38"/>
        </w:rPr>
        <w:t>(CoA)</w:t>
      </w:r>
    </w:p>
    <w:p>
      <w:pPr>
        <w:pStyle w:val="BodyText"/>
        <w:spacing w:before="7"/>
        <w:rPr>
          <w:sz w:val="46"/>
        </w:rPr>
      </w:pPr>
    </w:p>
    <w:p>
      <w:pPr>
        <w:pStyle w:val="Heading1"/>
        <w:spacing w:line="261" w:lineRule="auto" w:before="1"/>
      </w:pPr>
      <w:r>
        <w:rPr>
          <w:w w:val="95"/>
        </w:rPr>
        <w:t>Sugar breakdown prevents insulin release and facilitates the breakdown </w:t>
      </w:r>
      <w:r>
        <w:rPr/>
        <w:t>of fats</w:t>
      </w:r>
    </w:p>
    <w:p>
      <w:pPr>
        <w:pStyle w:val="BodyText"/>
        <w:spacing w:line="276" w:lineRule="auto" w:before="260"/>
        <w:ind w:left="477" w:right="134"/>
        <w:jc w:val="both"/>
      </w:pPr>
      <w:r>
        <w:rPr/>
        <w:t>The pyruvate dehydrogenase and the alpha-ketoglutarate dehydrogenase play a very</w:t>
      </w:r>
      <w:r>
        <w:rPr>
          <w:spacing w:val="-7"/>
        </w:rPr>
        <w:t> </w:t>
      </w:r>
      <w:r>
        <w:rPr/>
        <w:t>important</w:t>
      </w:r>
      <w:r>
        <w:rPr>
          <w:spacing w:val="-10"/>
        </w:rPr>
        <w:t> </w:t>
      </w:r>
      <w:r>
        <w:rPr/>
        <w:t>role</w:t>
      </w:r>
      <w:r>
        <w:rPr>
          <w:spacing w:val="-7"/>
        </w:rPr>
        <w:t> </w:t>
      </w:r>
      <w:r>
        <w:rPr/>
        <w:t>in</w:t>
      </w:r>
      <w:r>
        <w:rPr>
          <w:spacing w:val="-7"/>
        </w:rPr>
        <w:t> </w:t>
      </w:r>
      <w:r>
        <w:rPr/>
        <w:t>the</w:t>
      </w:r>
      <w:r>
        <w:rPr>
          <w:spacing w:val="-9"/>
        </w:rPr>
        <w:t> </w:t>
      </w:r>
      <w:r>
        <w:rPr/>
        <w:t>production</w:t>
      </w:r>
      <w:r>
        <w:rPr>
          <w:spacing w:val="-7"/>
        </w:rPr>
        <w:t> </w:t>
      </w:r>
      <w:r>
        <w:rPr/>
        <w:t>of</w:t>
      </w:r>
      <w:r>
        <w:rPr>
          <w:spacing w:val="-9"/>
        </w:rPr>
        <w:t> </w:t>
      </w:r>
      <w:r>
        <w:rPr/>
        <w:t>energy</w:t>
      </w:r>
      <w:r>
        <w:rPr>
          <w:spacing w:val="-11"/>
        </w:rPr>
        <w:t> </w:t>
      </w:r>
      <w:r>
        <w:rPr/>
        <w:t>by</w:t>
      </w:r>
      <w:r>
        <w:rPr>
          <w:spacing w:val="-6"/>
        </w:rPr>
        <w:t> </w:t>
      </w:r>
      <w:r>
        <w:rPr/>
        <w:t>breaking</w:t>
      </w:r>
      <w:r>
        <w:rPr>
          <w:spacing w:val="-8"/>
        </w:rPr>
        <w:t> </w:t>
      </w:r>
      <w:r>
        <w:rPr/>
        <w:t>down</w:t>
      </w:r>
      <w:r>
        <w:rPr>
          <w:spacing w:val="-7"/>
        </w:rPr>
        <w:t> </w:t>
      </w:r>
      <w:r>
        <w:rPr/>
        <w:t>sugar,</w:t>
      </w:r>
      <w:r>
        <w:rPr>
          <w:spacing w:val="-8"/>
        </w:rPr>
        <w:t> </w:t>
      </w:r>
      <w:r>
        <w:rPr/>
        <w:t>a</w:t>
      </w:r>
      <w:r>
        <w:rPr>
          <w:spacing w:val="-8"/>
        </w:rPr>
        <w:t> </w:t>
      </w:r>
      <w:r>
        <w:rPr/>
        <w:t>pro- cess</w:t>
      </w:r>
      <w:r>
        <w:rPr>
          <w:spacing w:val="-24"/>
        </w:rPr>
        <w:t> </w:t>
      </w:r>
      <w:r>
        <w:rPr/>
        <w:t>called</w:t>
      </w:r>
      <w:r>
        <w:rPr>
          <w:spacing w:val="-25"/>
        </w:rPr>
        <w:t> </w:t>
      </w:r>
      <w:r>
        <w:rPr/>
        <w:t>glycolysis.</w:t>
      </w:r>
      <w:r>
        <w:rPr>
          <w:spacing w:val="-23"/>
        </w:rPr>
        <w:t> </w:t>
      </w:r>
      <w:r>
        <w:rPr/>
        <w:t>In</w:t>
      </w:r>
      <w:r>
        <w:rPr>
          <w:spacing w:val="-25"/>
        </w:rPr>
        <w:t> </w:t>
      </w:r>
      <w:r>
        <w:rPr/>
        <w:t>turn,</w:t>
      </w:r>
      <w:r>
        <w:rPr>
          <w:spacing w:val="-26"/>
        </w:rPr>
        <w:t> </w:t>
      </w:r>
      <w:r>
        <w:rPr/>
        <w:t>coenzyme</w:t>
      </w:r>
      <w:r>
        <w:rPr>
          <w:spacing w:val="-24"/>
        </w:rPr>
        <w:t> </w:t>
      </w:r>
      <w:r>
        <w:rPr/>
        <w:t>A</w:t>
      </w:r>
      <w:r>
        <w:rPr>
          <w:spacing w:val="-27"/>
        </w:rPr>
        <w:t> </w:t>
      </w:r>
      <w:r>
        <w:rPr/>
        <w:t>helps</w:t>
      </w:r>
      <w:r>
        <w:rPr>
          <w:spacing w:val="-22"/>
        </w:rPr>
        <w:t> </w:t>
      </w:r>
      <w:r>
        <w:rPr/>
        <w:t>convert</w:t>
      </w:r>
      <w:r>
        <w:rPr>
          <w:spacing w:val="-23"/>
        </w:rPr>
        <w:t> </w:t>
      </w:r>
      <w:r>
        <w:rPr/>
        <w:t>dietary</w:t>
      </w:r>
      <w:r>
        <w:rPr>
          <w:spacing w:val="-25"/>
        </w:rPr>
        <w:t> </w:t>
      </w:r>
      <w:r>
        <w:rPr/>
        <w:t>fats</w:t>
      </w:r>
      <w:r>
        <w:rPr>
          <w:spacing w:val="-24"/>
        </w:rPr>
        <w:t> </w:t>
      </w:r>
      <w:r>
        <w:rPr/>
        <w:t>into</w:t>
      </w:r>
      <w:r>
        <w:rPr>
          <w:spacing w:val="-23"/>
        </w:rPr>
        <w:t> </w:t>
      </w:r>
      <w:r>
        <w:rPr/>
        <w:t>energy.</w:t>
      </w:r>
    </w:p>
    <w:p>
      <w:pPr>
        <w:pStyle w:val="BodyText"/>
        <w:spacing w:line="276" w:lineRule="auto" w:before="239"/>
        <w:ind w:left="477"/>
      </w:pPr>
      <w:r>
        <w:rPr/>
        <w:t>Furthermore, alpha-lipoic acid prevents excessive releases of insulin. Since in- sulin prevents the burning of fat, alpha-lipoic acid also rules out this</w:t>
      </w:r>
      <w:r>
        <w:rPr>
          <w:spacing w:val="-15"/>
        </w:rPr>
        <w:t> </w:t>
      </w:r>
      <w:r>
        <w:rPr/>
        <w:t>disruptive</w:t>
      </w:r>
    </w:p>
    <w:p>
      <w:pPr>
        <w:spacing w:after="0" w:line="276" w:lineRule="auto"/>
        <w:sectPr>
          <w:pgSz w:w="14270" w:h="16850"/>
          <w:pgMar w:header="0" w:footer="1891" w:top="1600" w:bottom="2080" w:left="800" w:right="1280"/>
        </w:sectPr>
      </w:pPr>
    </w:p>
    <w:p>
      <w:pPr>
        <w:pStyle w:val="BodyText"/>
        <w:spacing w:line="276" w:lineRule="auto" w:before="181"/>
        <w:ind w:left="477" w:right="132"/>
        <w:jc w:val="both"/>
      </w:pPr>
      <w:r>
        <w:rPr/>
        <w:t>factor</w:t>
      </w:r>
      <w:r>
        <w:rPr>
          <w:spacing w:val="-6"/>
        </w:rPr>
        <w:t> </w:t>
      </w:r>
      <w:r>
        <w:rPr/>
        <w:t>and</w:t>
      </w:r>
      <w:r>
        <w:rPr>
          <w:spacing w:val="-6"/>
        </w:rPr>
        <w:t> </w:t>
      </w:r>
      <w:r>
        <w:rPr/>
        <w:t>aids</w:t>
      </w:r>
      <w:r>
        <w:rPr>
          <w:spacing w:val="-7"/>
        </w:rPr>
        <w:t> </w:t>
      </w:r>
      <w:r>
        <w:rPr/>
        <w:t>weight</w:t>
      </w:r>
      <w:r>
        <w:rPr>
          <w:spacing w:val="-6"/>
        </w:rPr>
        <w:t> </w:t>
      </w:r>
      <w:r>
        <w:rPr/>
        <w:t>loss!</w:t>
      </w:r>
      <w:r>
        <w:rPr>
          <w:spacing w:val="-5"/>
        </w:rPr>
        <w:t> </w:t>
      </w:r>
      <w:r>
        <w:rPr/>
        <w:t>For</w:t>
      </w:r>
      <w:r>
        <w:rPr>
          <w:spacing w:val="-7"/>
        </w:rPr>
        <w:t> </w:t>
      </w:r>
      <w:r>
        <w:rPr/>
        <w:t>weight</w:t>
      </w:r>
      <w:r>
        <w:rPr>
          <w:spacing w:val="-6"/>
        </w:rPr>
        <w:t> </w:t>
      </w:r>
      <w:r>
        <w:rPr/>
        <w:t>loss,</w:t>
      </w:r>
      <w:r>
        <w:rPr>
          <w:spacing w:val="-5"/>
        </w:rPr>
        <w:t> </w:t>
      </w:r>
      <w:r>
        <w:rPr/>
        <w:t>between</w:t>
      </w:r>
      <w:r>
        <w:rPr>
          <w:spacing w:val="-5"/>
        </w:rPr>
        <w:t> </w:t>
      </w:r>
      <w:r>
        <w:rPr/>
        <w:t>300</w:t>
      </w:r>
      <w:r>
        <w:rPr>
          <w:spacing w:val="-9"/>
        </w:rPr>
        <w:t> </w:t>
      </w:r>
      <w:r>
        <w:rPr/>
        <w:t>and</w:t>
      </w:r>
      <w:r>
        <w:rPr>
          <w:spacing w:val="-6"/>
        </w:rPr>
        <w:t> </w:t>
      </w:r>
      <w:r>
        <w:rPr/>
        <w:t>600</w:t>
      </w:r>
      <w:r>
        <w:rPr>
          <w:spacing w:val="-7"/>
        </w:rPr>
        <w:t> </w:t>
      </w:r>
      <w:r>
        <w:rPr/>
        <w:t>mg</w:t>
      </w:r>
      <w:r>
        <w:rPr>
          <w:spacing w:val="-6"/>
        </w:rPr>
        <w:t> </w:t>
      </w:r>
      <w:r>
        <w:rPr/>
        <w:t>is</w:t>
      </w:r>
      <w:r>
        <w:rPr>
          <w:spacing w:val="-6"/>
        </w:rPr>
        <w:t> </w:t>
      </w:r>
      <w:r>
        <w:rPr/>
        <w:t>admin- istered daily. Incidentally, various studies have proven that green tea helps weight</w:t>
      </w:r>
      <w:r>
        <w:rPr>
          <w:spacing w:val="-1"/>
        </w:rPr>
        <w:t> </w:t>
      </w:r>
      <w:r>
        <w:rPr/>
        <w:t>loss.</w:t>
      </w:r>
    </w:p>
    <w:p>
      <w:pPr>
        <w:pStyle w:val="Heading1"/>
        <w:spacing w:line="261" w:lineRule="auto" w:before="344"/>
        <w:ind w:right="143"/>
        <w:jc w:val="both"/>
      </w:pPr>
      <w:r>
        <w:rPr>
          <w:w w:val="95"/>
        </w:rPr>
        <w:t>Alpha-lipoic acid for weightlifting and muscle development (bodybuild- </w:t>
      </w:r>
      <w:r>
        <w:rPr/>
        <w:t>ing)</w:t>
      </w:r>
    </w:p>
    <w:p>
      <w:pPr>
        <w:pStyle w:val="BodyText"/>
        <w:spacing w:line="276" w:lineRule="auto" w:before="259"/>
        <w:ind w:left="477" w:right="133"/>
        <w:jc w:val="both"/>
      </w:pPr>
      <w:r>
        <w:rPr/>
        <w:t>Over time, alpha-lipoic acid has also earned a firm place as a supplement for strength athletes and bodybuilders. Supplementation with alpha-lipoic acid can result in measurable strength gains and, consequently, more effective muscle building. It is believed that alpha-lipoic acid infuses nutrients such as amino acids and creatine more efficiently into the muscle cells, resulting in better strength and muscle development.</w:t>
      </w:r>
    </w:p>
    <w:p>
      <w:pPr>
        <w:pStyle w:val="BodyText"/>
        <w:spacing w:before="7"/>
        <w:rPr>
          <w:sz w:val="42"/>
        </w:rPr>
      </w:pPr>
    </w:p>
    <w:p>
      <w:pPr>
        <w:pStyle w:val="Heading2"/>
      </w:pPr>
      <w:r>
        <w:rPr/>
        <w:t>Dosage and safety of alpha-lipoic acid</w:t>
      </w:r>
    </w:p>
    <w:p>
      <w:pPr>
        <w:pStyle w:val="BodyText"/>
        <w:spacing w:before="10"/>
        <w:rPr>
          <w:b/>
          <w:sz w:val="46"/>
        </w:rPr>
      </w:pPr>
    </w:p>
    <w:p>
      <w:pPr>
        <w:spacing w:before="0"/>
        <w:ind w:left="477" w:right="0" w:firstLine="0"/>
        <w:jc w:val="left"/>
        <w:rPr>
          <w:b/>
          <w:i/>
          <w:sz w:val="40"/>
        </w:rPr>
      </w:pPr>
      <w:r>
        <w:rPr>
          <w:b/>
          <w:i/>
          <w:sz w:val="40"/>
        </w:rPr>
        <w:t>Dosage of alpha-lipoic acid</w:t>
      </w:r>
    </w:p>
    <w:p>
      <w:pPr>
        <w:pStyle w:val="BodyText"/>
        <w:spacing w:line="276" w:lineRule="auto" w:before="299"/>
        <w:ind w:left="477" w:right="133"/>
        <w:jc w:val="both"/>
      </w:pPr>
      <w:r>
        <w:rPr/>
        <w:t>The recommended intake and dosage for alpha-lipoic acid depends heavily on the initial conditions, i.e. whether we are healthy and want to take the alpha- lipoic acid for preventive purposes, or as treatment for diseases.</w:t>
      </w:r>
    </w:p>
    <w:p>
      <w:pPr>
        <w:pStyle w:val="BodyText"/>
        <w:spacing w:before="4"/>
        <w:rPr>
          <w:sz w:val="41"/>
        </w:rPr>
      </w:pPr>
    </w:p>
    <w:p>
      <w:pPr>
        <w:pStyle w:val="Heading1"/>
        <w:spacing w:before="0"/>
        <w:jc w:val="both"/>
      </w:pPr>
      <w:r>
        <w:rPr/>
        <w:t>Alpha-lipoic acid as a preventative measure for healthy people</w:t>
      </w:r>
    </w:p>
    <w:p>
      <w:pPr>
        <w:pStyle w:val="BodyText"/>
        <w:spacing w:before="299"/>
        <w:ind w:left="477"/>
        <w:jc w:val="both"/>
      </w:pPr>
      <w:r>
        <w:rPr/>
        <w:t>For the purpose of maintaining health, a 50-150 mg dose of alpha-lipoic acid</w:t>
      </w:r>
    </w:p>
    <w:p>
      <w:pPr>
        <w:spacing w:after="0"/>
        <w:jc w:val="both"/>
        <w:sectPr>
          <w:pgSz w:w="14270" w:h="16850"/>
          <w:pgMar w:header="0" w:footer="1891" w:top="1600" w:bottom="2080" w:left="800" w:right="1280"/>
        </w:sectPr>
      </w:pPr>
    </w:p>
    <w:p>
      <w:pPr>
        <w:pStyle w:val="BodyText"/>
        <w:spacing w:before="181"/>
        <w:ind w:left="477"/>
      </w:pPr>
      <w:r>
        <w:rPr/>
        <w:t>should be taken twice a day as a preventative measure.</w:t>
      </w:r>
    </w:p>
    <w:p>
      <w:pPr>
        <w:pStyle w:val="BodyText"/>
        <w:spacing w:before="10"/>
        <w:rPr>
          <w:sz w:val="46"/>
        </w:rPr>
      </w:pPr>
    </w:p>
    <w:p>
      <w:pPr>
        <w:pStyle w:val="Heading1"/>
        <w:spacing w:before="0"/>
      </w:pPr>
      <w:r>
        <w:rPr/>
        <w:t>Alpha-lipoic acid and its effect on</w:t>
      </w:r>
      <w:r>
        <w:rPr>
          <w:spacing w:val="-72"/>
        </w:rPr>
        <w:t> </w:t>
      </w:r>
      <w:r>
        <w:rPr/>
        <w:t>illnesses</w:t>
      </w:r>
    </w:p>
    <w:p>
      <w:pPr>
        <w:pStyle w:val="BodyText"/>
        <w:spacing w:line="276" w:lineRule="auto" w:before="299"/>
        <w:ind w:left="477" w:right="135"/>
        <w:jc w:val="both"/>
      </w:pPr>
      <w:r>
        <w:rPr/>
        <w:t>If</w:t>
      </w:r>
      <w:r>
        <w:rPr>
          <w:spacing w:val="-8"/>
        </w:rPr>
        <w:t> </w:t>
      </w:r>
      <w:r>
        <w:rPr/>
        <w:t>someone</w:t>
      </w:r>
      <w:r>
        <w:rPr>
          <w:spacing w:val="-8"/>
        </w:rPr>
        <w:t> </w:t>
      </w:r>
      <w:r>
        <w:rPr/>
        <w:t>is</w:t>
      </w:r>
      <w:r>
        <w:rPr>
          <w:spacing w:val="-10"/>
        </w:rPr>
        <w:t> </w:t>
      </w:r>
      <w:r>
        <w:rPr/>
        <w:t>already</w:t>
      </w:r>
      <w:r>
        <w:rPr>
          <w:spacing w:val="-7"/>
        </w:rPr>
        <w:t> </w:t>
      </w:r>
      <w:r>
        <w:rPr/>
        <w:t>ill</w:t>
      </w:r>
      <w:r>
        <w:rPr>
          <w:spacing w:val="-9"/>
        </w:rPr>
        <w:t> </w:t>
      </w:r>
      <w:r>
        <w:rPr/>
        <w:t>and</w:t>
      </w:r>
      <w:r>
        <w:rPr>
          <w:spacing w:val="-7"/>
        </w:rPr>
        <w:t> </w:t>
      </w:r>
      <w:r>
        <w:rPr/>
        <w:t>wishes</w:t>
      </w:r>
      <w:r>
        <w:rPr>
          <w:spacing w:val="-7"/>
        </w:rPr>
        <w:t> </w:t>
      </w:r>
      <w:r>
        <w:rPr/>
        <w:t>to</w:t>
      </w:r>
      <w:r>
        <w:rPr>
          <w:spacing w:val="-9"/>
        </w:rPr>
        <w:t> </w:t>
      </w:r>
      <w:r>
        <w:rPr/>
        <w:t>use</w:t>
      </w:r>
      <w:r>
        <w:rPr>
          <w:spacing w:val="-8"/>
        </w:rPr>
        <w:t> </w:t>
      </w:r>
      <w:r>
        <w:rPr/>
        <w:t>alpha-lipoic</w:t>
      </w:r>
      <w:r>
        <w:rPr>
          <w:spacing w:val="-7"/>
        </w:rPr>
        <w:t> </w:t>
      </w:r>
      <w:r>
        <w:rPr/>
        <w:t>acid</w:t>
      </w:r>
      <w:r>
        <w:rPr>
          <w:spacing w:val="-9"/>
        </w:rPr>
        <w:t> </w:t>
      </w:r>
      <w:r>
        <w:rPr/>
        <w:t>for</w:t>
      </w:r>
      <w:r>
        <w:rPr>
          <w:spacing w:val="-8"/>
        </w:rPr>
        <w:t> </w:t>
      </w:r>
      <w:r>
        <w:rPr/>
        <w:t>therapeutic</w:t>
      </w:r>
      <w:r>
        <w:rPr>
          <w:spacing w:val="-8"/>
        </w:rPr>
        <w:t> </w:t>
      </w:r>
      <w:r>
        <w:rPr/>
        <w:t>pur- poses, the dose should be increased</w:t>
      </w:r>
      <w:r>
        <w:rPr>
          <w:spacing w:val="-1"/>
        </w:rPr>
        <w:t> </w:t>
      </w:r>
      <w:r>
        <w:rPr/>
        <w:t>accordingly.</w:t>
      </w:r>
    </w:p>
    <w:p>
      <w:pPr>
        <w:pStyle w:val="BodyText"/>
        <w:spacing w:before="3"/>
        <w:rPr>
          <w:sz w:val="41"/>
        </w:rPr>
      </w:pPr>
    </w:p>
    <w:p>
      <w:pPr>
        <w:pStyle w:val="Heading1"/>
        <w:spacing w:before="0"/>
      </w:pPr>
      <w:r>
        <w:rPr/>
        <w:t>Alpha-lipoic acid and its effect on</w:t>
      </w:r>
      <w:r>
        <w:rPr>
          <w:spacing w:val="-72"/>
        </w:rPr>
        <w:t> </w:t>
      </w:r>
      <w:r>
        <w:rPr/>
        <w:t>diabetes</w:t>
      </w:r>
    </w:p>
    <w:p>
      <w:pPr>
        <w:pStyle w:val="BodyText"/>
        <w:spacing w:line="276" w:lineRule="auto" w:before="297"/>
        <w:ind w:left="477" w:right="134"/>
        <w:jc w:val="both"/>
      </w:pPr>
      <w:r>
        <w:rPr/>
        <w:t>Diabetics are usually given a dose of 600 - 900 mg per day in their treatment plan.</w:t>
      </w:r>
      <w:r>
        <w:rPr>
          <w:spacing w:val="-9"/>
        </w:rPr>
        <w:t> </w:t>
      </w:r>
      <w:r>
        <w:rPr/>
        <w:t>In</w:t>
      </w:r>
      <w:r>
        <w:rPr>
          <w:spacing w:val="-9"/>
        </w:rPr>
        <w:t> </w:t>
      </w:r>
      <w:r>
        <w:rPr/>
        <w:t>addition,</w:t>
      </w:r>
      <w:r>
        <w:rPr>
          <w:spacing w:val="-8"/>
        </w:rPr>
        <w:t> </w:t>
      </w:r>
      <w:r>
        <w:rPr/>
        <w:t>the</w:t>
      </w:r>
      <w:r>
        <w:rPr>
          <w:spacing w:val="-8"/>
        </w:rPr>
        <w:t> </w:t>
      </w:r>
      <w:r>
        <w:rPr/>
        <w:t>intake</w:t>
      </w:r>
      <w:r>
        <w:rPr>
          <w:spacing w:val="-10"/>
        </w:rPr>
        <w:t> </w:t>
      </w:r>
      <w:r>
        <w:rPr/>
        <w:t>of</w:t>
      </w:r>
      <w:r>
        <w:rPr>
          <w:spacing w:val="-9"/>
        </w:rPr>
        <w:t> </w:t>
      </w:r>
      <w:r>
        <w:rPr/>
        <w:t>alpha-lipoic</w:t>
      </w:r>
      <w:r>
        <w:rPr>
          <w:spacing w:val="-10"/>
        </w:rPr>
        <w:t> </w:t>
      </w:r>
      <w:r>
        <w:rPr/>
        <w:t>acid</w:t>
      </w:r>
      <w:r>
        <w:rPr>
          <w:spacing w:val="-6"/>
        </w:rPr>
        <w:t> </w:t>
      </w:r>
      <w:r>
        <w:rPr/>
        <w:t>will</w:t>
      </w:r>
      <w:r>
        <w:rPr>
          <w:spacing w:val="-11"/>
        </w:rPr>
        <w:t> </w:t>
      </w:r>
      <w:r>
        <w:rPr/>
        <w:t>presumably</w:t>
      </w:r>
      <w:r>
        <w:rPr>
          <w:spacing w:val="-7"/>
        </w:rPr>
        <w:t> </w:t>
      </w:r>
      <w:r>
        <w:rPr/>
        <w:t>require</w:t>
      </w:r>
      <w:r>
        <w:rPr>
          <w:spacing w:val="-9"/>
        </w:rPr>
        <w:t> </w:t>
      </w:r>
      <w:r>
        <w:rPr/>
        <w:t>a</w:t>
      </w:r>
      <w:r>
        <w:rPr>
          <w:spacing w:val="-8"/>
        </w:rPr>
        <w:t> </w:t>
      </w:r>
      <w:r>
        <w:rPr/>
        <w:t>lower dose</w:t>
      </w:r>
      <w:r>
        <w:rPr>
          <w:spacing w:val="-18"/>
        </w:rPr>
        <w:t> </w:t>
      </w:r>
      <w:r>
        <w:rPr/>
        <w:t>of</w:t>
      </w:r>
      <w:r>
        <w:rPr>
          <w:spacing w:val="-20"/>
        </w:rPr>
        <w:t> </w:t>
      </w:r>
      <w:r>
        <w:rPr/>
        <w:t>insulin</w:t>
      </w:r>
      <w:r>
        <w:rPr>
          <w:spacing w:val="-18"/>
        </w:rPr>
        <w:t> </w:t>
      </w:r>
      <w:r>
        <w:rPr/>
        <w:t>-</w:t>
      </w:r>
      <w:r>
        <w:rPr>
          <w:spacing w:val="-24"/>
        </w:rPr>
        <w:t> </w:t>
      </w:r>
      <w:r>
        <w:rPr/>
        <w:t>therefore,</w:t>
      </w:r>
      <w:r>
        <w:rPr>
          <w:spacing w:val="-21"/>
        </w:rPr>
        <w:t> </w:t>
      </w:r>
      <w:r>
        <w:rPr/>
        <w:t>there</w:t>
      </w:r>
      <w:r>
        <w:rPr>
          <w:spacing w:val="-23"/>
        </w:rPr>
        <w:t> </w:t>
      </w:r>
      <w:r>
        <w:rPr/>
        <w:t>must</w:t>
      </w:r>
      <w:r>
        <w:rPr>
          <w:spacing w:val="-18"/>
        </w:rPr>
        <w:t> </w:t>
      </w:r>
      <w:r>
        <w:rPr/>
        <w:t>be</w:t>
      </w:r>
      <w:r>
        <w:rPr>
          <w:spacing w:val="-18"/>
        </w:rPr>
        <w:t> </w:t>
      </w:r>
      <w:r>
        <w:rPr/>
        <w:t>a</w:t>
      </w:r>
      <w:r>
        <w:rPr>
          <w:spacing w:val="-22"/>
        </w:rPr>
        <w:t> </w:t>
      </w:r>
      <w:r>
        <w:rPr/>
        <w:t>consultation</w:t>
      </w:r>
      <w:r>
        <w:rPr>
          <w:spacing w:val="-17"/>
        </w:rPr>
        <w:t> </w:t>
      </w:r>
      <w:r>
        <w:rPr/>
        <w:t>with</w:t>
      </w:r>
      <w:r>
        <w:rPr>
          <w:spacing w:val="-17"/>
        </w:rPr>
        <w:t> </w:t>
      </w:r>
      <w:r>
        <w:rPr/>
        <w:t>the</w:t>
      </w:r>
      <w:r>
        <w:rPr>
          <w:spacing w:val="-19"/>
        </w:rPr>
        <w:t> </w:t>
      </w:r>
      <w:r>
        <w:rPr/>
        <w:t>relevant</w:t>
      </w:r>
      <w:r>
        <w:rPr>
          <w:spacing w:val="-19"/>
        </w:rPr>
        <w:t> </w:t>
      </w:r>
      <w:r>
        <w:rPr/>
        <w:t>doctor or therapist!</w:t>
      </w:r>
    </w:p>
    <w:p>
      <w:pPr>
        <w:pStyle w:val="BodyText"/>
        <w:spacing w:line="276" w:lineRule="auto" w:before="242"/>
        <w:ind w:left="477" w:right="133"/>
        <w:jc w:val="both"/>
      </w:pPr>
      <w:r>
        <w:rPr/>
        <w:t>To improve the patient’s nerve conductivity (keyword ‘diabetic foot’), alpha- lipoic</w:t>
      </w:r>
      <w:r>
        <w:rPr>
          <w:spacing w:val="-12"/>
        </w:rPr>
        <w:t> </w:t>
      </w:r>
      <w:r>
        <w:rPr/>
        <w:t>acid</w:t>
      </w:r>
      <w:r>
        <w:rPr>
          <w:spacing w:val="-12"/>
        </w:rPr>
        <w:t> </w:t>
      </w:r>
      <w:r>
        <w:rPr/>
        <w:t>is</w:t>
      </w:r>
      <w:r>
        <w:rPr>
          <w:spacing w:val="-11"/>
        </w:rPr>
        <w:t> </w:t>
      </w:r>
      <w:r>
        <w:rPr/>
        <w:t>usually</w:t>
      </w:r>
      <w:r>
        <w:rPr>
          <w:spacing w:val="-11"/>
        </w:rPr>
        <w:t> </w:t>
      </w:r>
      <w:r>
        <w:rPr/>
        <w:t>administered</w:t>
      </w:r>
      <w:r>
        <w:rPr>
          <w:spacing w:val="-10"/>
        </w:rPr>
        <w:t> </w:t>
      </w:r>
      <w:r>
        <w:rPr/>
        <w:t>in</w:t>
      </w:r>
      <w:r>
        <w:rPr>
          <w:spacing w:val="-11"/>
        </w:rPr>
        <w:t> </w:t>
      </w:r>
      <w:r>
        <w:rPr/>
        <w:t>high</w:t>
      </w:r>
      <w:r>
        <w:rPr>
          <w:spacing w:val="-9"/>
        </w:rPr>
        <w:t> </w:t>
      </w:r>
      <w:r>
        <w:rPr/>
        <w:t>doses</w:t>
      </w:r>
      <w:r>
        <w:rPr>
          <w:spacing w:val="-11"/>
        </w:rPr>
        <w:t> </w:t>
      </w:r>
      <w:r>
        <w:rPr/>
        <w:t>(about</w:t>
      </w:r>
      <w:r>
        <w:rPr>
          <w:spacing w:val="-12"/>
        </w:rPr>
        <w:t> </w:t>
      </w:r>
      <w:r>
        <w:rPr/>
        <w:t>300-600</w:t>
      </w:r>
      <w:r>
        <w:rPr>
          <w:spacing w:val="-9"/>
        </w:rPr>
        <w:t> </w:t>
      </w:r>
      <w:r>
        <w:rPr/>
        <w:t>mg/,</w:t>
      </w:r>
      <w:r>
        <w:rPr>
          <w:spacing w:val="-10"/>
        </w:rPr>
        <w:t> </w:t>
      </w:r>
      <w:r>
        <w:rPr/>
        <w:t>day)</w:t>
      </w:r>
      <w:r>
        <w:rPr>
          <w:spacing w:val="-12"/>
        </w:rPr>
        <w:t> </w:t>
      </w:r>
      <w:r>
        <w:rPr/>
        <w:t>intra- venously</w:t>
      </w:r>
      <w:r>
        <w:rPr>
          <w:spacing w:val="-22"/>
        </w:rPr>
        <w:t> </w:t>
      </w:r>
      <w:r>
        <w:rPr/>
        <w:t>over</w:t>
      </w:r>
      <w:r>
        <w:rPr>
          <w:spacing w:val="-20"/>
        </w:rPr>
        <w:t> </w:t>
      </w:r>
      <w:r>
        <w:rPr/>
        <w:t>two</w:t>
      </w:r>
      <w:r>
        <w:rPr>
          <w:spacing w:val="-21"/>
        </w:rPr>
        <w:t> </w:t>
      </w:r>
      <w:r>
        <w:rPr/>
        <w:t>weeks;</w:t>
      </w:r>
      <w:r>
        <w:rPr>
          <w:spacing w:val="-20"/>
        </w:rPr>
        <w:t> </w:t>
      </w:r>
      <w:r>
        <w:rPr/>
        <w:t>this</w:t>
      </w:r>
      <w:r>
        <w:rPr>
          <w:spacing w:val="-20"/>
        </w:rPr>
        <w:t> </w:t>
      </w:r>
      <w:r>
        <w:rPr/>
        <w:t>is</w:t>
      </w:r>
      <w:r>
        <w:rPr>
          <w:spacing w:val="-23"/>
        </w:rPr>
        <w:t> </w:t>
      </w:r>
      <w:r>
        <w:rPr/>
        <w:t>followed</w:t>
      </w:r>
      <w:r>
        <w:rPr>
          <w:spacing w:val="-21"/>
        </w:rPr>
        <w:t> </w:t>
      </w:r>
      <w:r>
        <w:rPr/>
        <w:t>by</w:t>
      </w:r>
      <w:r>
        <w:rPr>
          <w:spacing w:val="-21"/>
        </w:rPr>
        <w:t> </w:t>
      </w:r>
      <w:r>
        <w:rPr/>
        <w:t>oral</w:t>
      </w:r>
      <w:r>
        <w:rPr>
          <w:spacing w:val="-20"/>
        </w:rPr>
        <w:t> </w:t>
      </w:r>
      <w:r>
        <w:rPr/>
        <w:t>administration</w:t>
      </w:r>
      <w:r>
        <w:rPr>
          <w:spacing w:val="-19"/>
        </w:rPr>
        <w:t> </w:t>
      </w:r>
      <w:r>
        <w:rPr/>
        <w:t>of</w:t>
      </w:r>
      <w:r>
        <w:rPr>
          <w:spacing w:val="-21"/>
        </w:rPr>
        <w:t> </w:t>
      </w:r>
      <w:r>
        <w:rPr/>
        <w:t>approx.</w:t>
      </w:r>
      <w:r>
        <w:rPr>
          <w:spacing w:val="-22"/>
        </w:rPr>
        <w:t> </w:t>
      </w:r>
      <w:r>
        <w:rPr/>
        <w:t>200- 400 mg alpha-lipoic acid per</w:t>
      </w:r>
      <w:r>
        <w:rPr>
          <w:spacing w:val="-1"/>
        </w:rPr>
        <w:t> </w:t>
      </w:r>
      <w:r>
        <w:rPr/>
        <w:t>day.</w:t>
      </w:r>
    </w:p>
    <w:p>
      <w:pPr>
        <w:pStyle w:val="BodyText"/>
        <w:rPr>
          <w:sz w:val="41"/>
        </w:rPr>
      </w:pPr>
    </w:p>
    <w:p>
      <w:pPr>
        <w:pStyle w:val="Heading1"/>
        <w:spacing w:before="1"/>
      </w:pPr>
      <w:r>
        <w:rPr/>
        <w:t>Alpha-lipoic acid and its effect on liver disease</w:t>
      </w:r>
    </w:p>
    <w:p>
      <w:pPr>
        <w:pStyle w:val="BodyText"/>
        <w:spacing w:line="276" w:lineRule="auto" w:before="299"/>
        <w:ind w:left="477" w:right="137"/>
        <w:jc w:val="both"/>
      </w:pPr>
      <w:r>
        <w:rPr/>
        <w:t>Alpha-lipoic acid is characterised by a hepatoprotective and liver-vitalising ef- fect;</w:t>
      </w:r>
      <w:r>
        <w:rPr>
          <w:spacing w:val="-11"/>
        </w:rPr>
        <w:t> </w:t>
      </w:r>
      <w:r>
        <w:rPr/>
        <w:t>it</w:t>
      </w:r>
      <w:r>
        <w:rPr>
          <w:spacing w:val="-13"/>
        </w:rPr>
        <w:t> </w:t>
      </w:r>
      <w:r>
        <w:rPr/>
        <w:t>can</w:t>
      </w:r>
      <w:r>
        <w:rPr>
          <w:spacing w:val="-11"/>
        </w:rPr>
        <w:t> </w:t>
      </w:r>
      <w:r>
        <w:rPr/>
        <w:t>lower</w:t>
      </w:r>
      <w:r>
        <w:rPr>
          <w:spacing w:val="-11"/>
        </w:rPr>
        <w:t> </w:t>
      </w:r>
      <w:r>
        <w:rPr/>
        <w:t>abnormally</w:t>
      </w:r>
      <w:r>
        <w:rPr>
          <w:spacing w:val="-11"/>
        </w:rPr>
        <w:t> </w:t>
      </w:r>
      <w:r>
        <w:rPr/>
        <w:t>high</w:t>
      </w:r>
      <w:r>
        <w:rPr>
          <w:spacing w:val="-9"/>
        </w:rPr>
        <w:t> </w:t>
      </w:r>
      <w:r>
        <w:rPr/>
        <w:t>liver</w:t>
      </w:r>
      <w:r>
        <w:rPr>
          <w:spacing w:val="-12"/>
        </w:rPr>
        <w:t> </w:t>
      </w:r>
      <w:r>
        <w:rPr/>
        <w:t>values</w:t>
      </w:r>
      <w:r>
        <w:rPr>
          <w:spacing w:val="-11"/>
        </w:rPr>
        <w:t> </w:t>
      </w:r>
      <w:r>
        <w:rPr/>
        <w:t>and</w:t>
      </w:r>
      <w:r>
        <w:rPr>
          <w:spacing w:val="-11"/>
        </w:rPr>
        <w:t> </w:t>
      </w:r>
      <w:r>
        <w:rPr/>
        <w:t>stimulate</w:t>
      </w:r>
      <w:r>
        <w:rPr>
          <w:spacing w:val="-13"/>
        </w:rPr>
        <w:t> </w:t>
      </w:r>
      <w:r>
        <w:rPr/>
        <w:t>blood</w:t>
      </w:r>
      <w:r>
        <w:rPr>
          <w:spacing w:val="-11"/>
        </w:rPr>
        <w:t> </w:t>
      </w:r>
      <w:r>
        <w:rPr/>
        <w:t>circulation</w:t>
      </w:r>
      <w:r>
        <w:rPr>
          <w:spacing w:val="-10"/>
        </w:rPr>
        <w:t> </w:t>
      </w:r>
      <w:r>
        <w:rPr/>
        <w:t>in the liver, as studies and patient observations have shown. The dosage is</w:t>
      </w:r>
      <w:r>
        <w:rPr>
          <w:spacing w:val="-66"/>
        </w:rPr>
        <w:t> </w:t>
      </w:r>
      <w:r>
        <w:rPr/>
        <w:t>usually 100-300 mg of alpha-lipoic acid per</w:t>
      </w:r>
      <w:r>
        <w:rPr>
          <w:spacing w:val="2"/>
        </w:rPr>
        <w:t> </w:t>
      </w:r>
      <w:r>
        <w:rPr/>
        <w:t>day.</w:t>
      </w:r>
    </w:p>
    <w:p>
      <w:pPr>
        <w:spacing w:after="0" w:line="276" w:lineRule="auto"/>
        <w:jc w:val="both"/>
        <w:sectPr>
          <w:pgSz w:w="14270" w:h="16850"/>
          <w:pgMar w:header="0" w:footer="1891" w:top="1600" w:bottom="2080" w:left="800" w:right="1280"/>
        </w:sectPr>
      </w:pPr>
    </w:p>
    <w:p>
      <w:pPr>
        <w:pStyle w:val="Heading1"/>
        <w:spacing w:before="164"/>
      </w:pPr>
      <w:r>
        <w:rPr/>
        <w:t>Alpha-lipoic acid for healthy, wrinkle-free</w:t>
      </w:r>
      <w:r>
        <w:rPr>
          <w:spacing w:val="-68"/>
        </w:rPr>
        <w:t> </w:t>
      </w:r>
      <w:r>
        <w:rPr/>
        <w:t>skin</w:t>
      </w:r>
    </w:p>
    <w:p>
      <w:pPr>
        <w:pStyle w:val="BodyText"/>
        <w:spacing w:line="276" w:lineRule="auto" w:before="299"/>
        <w:ind w:left="477"/>
      </w:pPr>
      <w:r>
        <w:rPr/>
        <w:t>In addition to creams containing alpha-lipoic acid, an oral intake of 50-100 mg per day is recommended, divided into two daily doses.</w:t>
      </w:r>
    </w:p>
    <w:p>
      <w:pPr>
        <w:pStyle w:val="BodyText"/>
        <w:rPr>
          <w:sz w:val="42"/>
        </w:rPr>
      </w:pPr>
    </w:p>
    <w:p>
      <w:pPr>
        <w:pStyle w:val="BodyText"/>
        <w:rPr>
          <w:sz w:val="42"/>
        </w:rPr>
      </w:pPr>
    </w:p>
    <w:p>
      <w:pPr>
        <w:pStyle w:val="Heading1"/>
        <w:spacing w:before="372"/>
      </w:pPr>
      <w:r>
        <w:rPr/>
        <w:t>Alpha-lipoic acid for weight-loss</w:t>
      </w:r>
    </w:p>
    <w:p>
      <w:pPr>
        <w:pStyle w:val="BodyText"/>
        <w:spacing w:line="276" w:lineRule="auto" w:before="296"/>
        <w:ind w:left="477"/>
      </w:pPr>
      <w:r>
        <w:rPr/>
        <w:t>Overweight people who want to, or have to, lose weight are usually given 300- 600 mg daily.</w:t>
      </w:r>
    </w:p>
    <w:p>
      <w:pPr>
        <w:pStyle w:val="BodyText"/>
        <w:spacing w:before="2"/>
        <w:rPr>
          <w:sz w:val="41"/>
        </w:rPr>
      </w:pPr>
    </w:p>
    <w:p>
      <w:pPr>
        <w:pStyle w:val="Heading1"/>
        <w:spacing w:before="1"/>
      </w:pPr>
      <w:r>
        <w:rPr/>
        <w:t>Safety and side effects of alpha-lipoic</w:t>
      </w:r>
      <w:r>
        <w:rPr>
          <w:spacing w:val="-67"/>
        </w:rPr>
        <w:t> </w:t>
      </w:r>
      <w:r>
        <w:rPr/>
        <w:t>acid</w:t>
      </w:r>
    </w:p>
    <w:p>
      <w:pPr>
        <w:pStyle w:val="BodyText"/>
        <w:spacing w:line="276" w:lineRule="auto" w:before="299"/>
        <w:ind w:left="477" w:right="132"/>
        <w:jc w:val="both"/>
      </w:pPr>
      <w:r>
        <w:rPr/>
        <w:t>Even at higher doses, no serious side effects were observed over 30 years of alpha-lipoic-acid use; alpha-lipoic acid is therefore considered safe. Prof. Dan Ziegler’s team observed side effects such as nausea, vomiting and dizziness at daily doses over 600 mg, which did not occur with a daily dose of less than</w:t>
      </w:r>
      <w:r>
        <w:rPr>
          <w:spacing w:val="-63"/>
        </w:rPr>
        <w:t> </w:t>
      </w:r>
      <w:r>
        <w:rPr/>
        <w:t>600 mg.</w:t>
      </w:r>
    </w:p>
    <w:p>
      <w:pPr>
        <w:spacing w:after="0" w:line="276" w:lineRule="auto"/>
        <w:jc w:val="both"/>
        <w:sectPr>
          <w:pgSz w:w="14270" w:h="16850"/>
          <w:pgMar w:header="0" w:footer="1891" w:top="1600" w:bottom="2080" w:left="800" w:right="1280"/>
        </w:sectPr>
      </w:pPr>
    </w:p>
    <w:p>
      <w:pPr>
        <w:spacing w:before="183"/>
        <w:ind w:left="477" w:right="0" w:firstLine="0"/>
        <w:jc w:val="both"/>
        <w:rPr>
          <w:rFonts w:ascii="Cambria"/>
          <w:b/>
          <w:sz w:val="28"/>
        </w:rPr>
      </w:pPr>
      <w:r>
        <w:rPr>
          <w:rFonts w:ascii="Cambria"/>
          <w:b/>
          <w:color w:val="365F91"/>
          <w:sz w:val="28"/>
        </w:rPr>
        <w:t>PINEAPPLE BROMELAIN</w:t>
      </w:r>
    </w:p>
    <w:p>
      <w:pPr>
        <w:pStyle w:val="BodyText"/>
        <w:rPr>
          <w:rFonts w:ascii="Cambria"/>
          <w:b/>
          <w:sz w:val="32"/>
        </w:rPr>
      </w:pPr>
    </w:p>
    <w:p>
      <w:pPr>
        <w:pStyle w:val="BodyText"/>
        <w:rPr>
          <w:rFonts w:ascii="Cambria"/>
          <w:b/>
          <w:sz w:val="32"/>
        </w:rPr>
      </w:pPr>
    </w:p>
    <w:p>
      <w:pPr>
        <w:pStyle w:val="Heading2"/>
        <w:spacing w:line="276" w:lineRule="auto" w:before="281"/>
        <w:ind w:right="133"/>
        <w:jc w:val="both"/>
      </w:pPr>
      <w:r>
        <w:rPr/>
        <w:t>Pineapple</w:t>
      </w:r>
      <w:r>
        <w:rPr>
          <w:spacing w:val="-7"/>
        </w:rPr>
        <w:t> </w:t>
      </w:r>
      <w:r>
        <w:rPr/>
        <w:t>–</w:t>
      </w:r>
      <w:r>
        <w:rPr>
          <w:spacing w:val="-6"/>
        </w:rPr>
        <w:t> </w:t>
      </w:r>
      <w:r>
        <w:rPr/>
        <w:t>the</w:t>
      </w:r>
      <w:r>
        <w:rPr>
          <w:spacing w:val="-7"/>
        </w:rPr>
        <w:t> </w:t>
      </w:r>
      <w:r>
        <w:rPr/>
        <w:t>‘Gift</w:t>
      </w:r>
      <w:r>
        <w:rPr>
          <w:spacing w:val="-7"/>
        </w:rPr>
        <w:t> </w:t>
      </w:r>
      <w:r>
        <w:rPr/>
        <w:t>of</w:t>
      </w:r>
      <w:r>
        <w:rPr>
          <w:spacing w:val="-7"/>
        </w:rPr>
        <w:t> </w:t>
      </w:r>
      <w:r>
        <w:rPr/>
        <w:t>the</w:t>
      </w:r>
      <w:r>
        <w:rPr>
          <w:spacing w:val="-6"/>
        </w:rPr>
        <w:t> </w:t>
      </w:r>
      <w:r>
        <w:rPr/>
        <w:t>Gods’</w:t>
      </w:r>
      <w:r>
        <w:rPr>
          <w:spacing w:val="-6"/>
        </w:rPr>
        <w:t> </w:t>
      </w:r>
      <w:r>
        <w:rPr/>
        <w:t>and</w:t>
      </w:r>
      <w:r>
        <w:rPr>
          <w:spacing w:val="-6"/>
        </w:rPr>
        <w:t> </w:t>
      </w:r>
      <w:r>
        <w:rPr/>
        <w:t>the</w:t>
      </w:r>
      <w:r>
        <w:rPr>
          <w:spacing w:val="-8"/>
        </w:rPr>
        <w:t> </w:t>
      </w:r>
      <w:r>
        <w:rPr/>
        <w:t>‘Queen</w:t>
      </w:r>
      <w:r>
        <w:rPr>
          <w:spacing w:val="-7"/>
        </w:rPr>
        <w:t> </w:t>
      </w:r>
      <w:r>
        <w:rPr/>
        <w:t>of</w:t>
      </w:r>
      <w:r>
        <w:rPr>
          <w:spacing w:val="-7"/>
        </w:rPr>
        <w:t> </w:t>
      </w:r>
      <w:r>
        <w:rPr/>
        <w:t>Fruits’</w:t>
      </w:r>
      <w:r>
        <w:rPr>
          <w:spacing w:val="-5"/>
        </w:rPr>
        <w:t> </w:t>
      </w:r>
      <w:r>
        <w:rPr/>
        <w:t>conquers</w:t>
      </w:r>
      <w:r>
        <w:rPr>
          <w:spacing w:val="-8"/>
        </w:rPr>
        <w:t> </w:t>
      </w:r>
      <w:r>
        <w:rPr/>
        <w:t>the world</w:t>
      </w:r>
    </w:p>
    <w:p>
      <w:pPr>
        <w:pStyle w:val="BodyText"/>
        <w:spacing w:before="8"/>
        <w:rPr>
          <w:b/>
          <w:sz w:val="43"/>
        </w:rPr>
      </w:pPr>
    </w:p>
    <w:p>
      <w:pPr>
        <w:pStyle w:val="BodyText"/>
        <w:spacing w:line="276" w:lineRule="auto" w:before="1"/>
        <w:ind w:left="477" w:right="137"/>
        <w:jc w:val="both"/>
      </w:pPr>
      <w:r>
        <w:rPr/>
        <w:t>Pineapple certainly enjoys great popularity, especially because of its fruity, re- freshing, tropical taste – however, few suspect that pineapple actually contains bona fide natural remedy!</w:t>
      </w:r>
    </w:p>
    <w:p>
      <w:pPr>
        <w:pStyle w:val="BodyText"/>
        <w:spacing w:line="276" w:lineRule="auto"/>
        <w:ind w:left="477" w:right="131"/>
        <w:jc w:val="both"/>
      </w:pPr>
      <w:r>
        <w:rPr/>
        <w:t>In fact, pineapple is a veritable treasure trove of vitamins, and as if that were not enough, it contains an incredible amount of minerals, trace elements and – in particular – enzymes.</w:t>
      </w:r>
    </w:p>
    <w:p>
      <w:pPr>
        <w:pStyle w:val="BodyText"/>
        <w:spacing w:line="276" w:lineRule="auto" w:before="240"/>
        <w:ind w:left="477" w:right="133"/>
        <w:jc w:val="both"/>
      </w:pPr>
      <w:r>
        <w:rPr/>
        <w:t>Given the title of ‘gift of the gods’ and idolised for centuries by the Indians of Central America, the pineapple was not discovered until November 4, 1493, when</w:t>
      </w:r>
      <w:r>
        <w:rPr>
          <w:spacing w:val="-21"/>
        </w:rPr>
        <w:t> </w:t>
      </w:r>
      <w:r>
        <w:rPr/>
        <w:t>Christopher</w:t>
      </w:r>
      <w:r>
        <w:rPr>
          <w:spacing w:val="-21"/>
        </w:rPr>
        <w:t> </w:t>
      </w:r>
      <w:r>
        <w:rPr/>
        <w:t>Columbus</w:t>
      </w:r>
      <w:r>
        <w:rPr>
          <w:spacing w:val="-22"/>
        </w:rPr>
        <w:t> </w:t>
      </w:r>
      <w:r>
        <w:rPr/>
        <w:t>discovered</w:t>
      </w:r>
      <w:r>
        <w:rPr>
          <w:spacing w:val="-22"/>
        </w:rPr>
        <w:t> </w:t>
      </w:r>
      <w:r>
        <w:rPr/>
        <w:t>it</w:t>
      </w:r>
      <w:r>
        <w:rPr>
          <w:spacing w:val="-21"/>
        </w:rPr>
        <w:t> </w:t>
      </w:r>
      <w:r>
        <w:rPr/>
        <w:t>on</w:t>
      </w:r>
      <w:r>
        <w:rPr>
          <w:spacing w:val="-21"/>
        </w:rPr>
        <w:t> </w:t>
      </w:r>
      <w:r>
        <w:rPr/>
        <w:t>the</w:t>
      </w:r>
      <w:r>
        <w:rPr>
          <w:spacing w:val="-22"/>
        </w:rPr>
        <w:t> </w:t>
      </w:r>
      <w:r>
        <w:rPr/>
        <w:t>Antilles</w:t>
      </w:r>
      <w:r>
        <w:rPr>
          <w:spacing w:val="-22"/>
        </w:rPr>
        <w:t> </w:t>
      </w:r>
      <w:r>
        <w:rPr/>
        <w:t>island</w:t>
      </w:r>
      <w:r>
        <w:rPr>
          <w:spacing w:val="-21"/>
        </w:rPr>
        <w:t> </w:t>
      </w:r>
      <w:r>
        <w:rPr/>
        <w:t>of</w:t>
      </w:r>
      <w:r>
        <w:rPr>
          <w:spacing w:val="-22"/>
        </w:rPr>
        <w:t> </w:t>
      </w:r>
      <w:r>
        <w:rPr/>
        <w:t>Guadeloupe and then brought to Europe. The Spanish conquerors then nicknamed it the ‘luxury of the</w:t>
      </w:r>
      <w:r>
        <w:rPr>
          <w:spacing w:val="3"/>
        </w:rPr>
        <w:t> </w:t>
      </w:r>
      <w:r>
        <w:rPr/>
        <w:t>gods’.</w:t>
      </w:r>
    </w:p>
    <w:p>
      <w:pPr>
        <w:pStyle w:val="BodyText"/>
        <w:spacing w:line="276" w:lineRule="auto" w:before="240"/>
        <w:ind w:left="477" w:right="133"/>
        <w:jc w:val="both"/>
      </w:pPr>
      <w:r>
        <w:rPr/>
        <w:t>Because</w:t>
      </w:r>
      <w:r>
        <w:rPr>
          <w:spacing w:val="-13"/>
        </w:rPr>
        <w:t> </w:t>
      </w:r>
      <w:r>
        <w:rPr/>
        <w:t>the</w:t>
      </w:r>
      <w:r>
        <w:rPr>
          <w:spacing w:val="-13"/>
        </w:rPr>
        <w:t> </w:t>
      </w:r>
      <w:r>
        <w:rPr/>
        <w:t>pineapple,</w:t>
      </w:r>
      <w:r>
        <w:rPr>
          <w:spacing w:val="-14"/>
        </w:rPr>
        <w:t> </w:t>
      </w:r>
      <w:r>
        <w:rPr/>
        <w:t>rich</w:t>
      </w:r>
      <w:r>
        <w:rPr>
          <w:spacing w:val="-13"/>
        </w:rPr>
        <w:t> </w:t>
      </w:r>
      <w:r>
        <w:rPr/>
        <w:t>in</w:t>
      </w:r>
      <w:r>
        <w:rPr>
          <w:spacing w:val="-14"/>
        </w:rPr>
        <w:t> </w:t>
      </w:r>
      <w:r>
        <w:rPr/>
        <w:t>Vitamin</w:t>
      </w:r>
      <w:r>
        <w:rPr>
          <w:spacing w:val="-14"/>
        </w:rPr>
        <w:t> </w:t>
      </w:r>
      <w:r>
        <w:rPr/>
        <w:t>C,</w:t>
      </w:r>
      <w:r>
        <w:rPr>
          <w:spacing w:val="-15"/>
        </w:rPr>
        <w:t> </w:t>
      </w:r>
      <w:r>
        <w:rPr/>
        <w:t>prevents</w:t>
      </w:r>
      <w:r>
        <w:rPr>
          <w:spacing w:val="-12"/>
        </w:rPr>
        <w:t> </w:t>
      </w:r>
      <w:r>
        <w:rPr/>
        <w:t>scurvy</w:t>
      </w:r>
      <w:r>
        <w:rPr>
          <w:spacing w:val="-13"/>
        </w:rPr>
        <w:t> </w:t>
      </w:r>
      <w:r>
        <w:rPr/>
        <w:t>and</w:t>
      </w:r>
      <w:r>
        <w:rPr>
          <w:spacing w:val="-9"/>
        </w:rPr>
        <w:t> </w:t>
      </w:r>
      <w:r>
        <w:rPr/>
        <w:t>can</w:t>
      </w:r>
      <w:r>
        <w:rPr>
          <w:spacing w:val="-11"/>
        </w:rPr>
        <w:t> </w:t>
      </w:r>
      <w:r>
        <w:rPr/>
        <w:t>be</w:t>
      </w:r>
      <w:r>
        <w:rPr>
          <w:spacing w:val="-14"/>
        </w:rPr>
        <w:t> </w:t>
      </w:r>
      <w:r>
        <w:rPr/>
        <w:t>stored</w:t>
      </w:r>
      <w:r>
        <w:rPr>
          <w:spacing w:val="-14"/>
        </w:rPr>
        <w:t> </w:t>
      </w:r>
      <w:r>
        <w:rPr/>
        <w:t>for up</w:t>
      </w:r>
      <w:r>
        <w:rPr>
          <w:spacing w:val="-16"/>
        </w:rPr>
        <w:t> </w:t>
      </w:r>
      <w:r>
        <w:rPr/>
        <w:t>to</w:t>
      </w:r>
      <w:r>
        <w:rPr>
          <w:spacing w:val="-15"/>
        </w:rPr>
        <w:t> </w:t>
      </w:r>
      <w:r>
        <w:rPr/>
        <w:t>20</w:t>
      </w:r>
      <w:r>
        <w:rPr>
          <w:spacing w:val="-15"/>
        </w:rPr>
        <w:t> </w:t>
      </w:r>
      <w:r>
        <w:rPr/>
        <w:t>days</w:t>
      </w:r>
      <w:r>
        <w:rPr>
          <w:spacing w:val="-15"/>
        </w:rPr>
        <w:t> </w:t>
      </w:r>
      <w:r>
        <w:rPr/>
        <w:t>after</w:t>
      </w:r>
      <w:r>
        <w:rPr>
          <w:spacing w:val="-14"/>
        </w:rPr>
        <w:t> </w:t>
      </w:r>
      <w:r>
        <w:rPr/>
        <w:t>harvesting,</w:t>
      </w:r>
      <w:r>
        <w:rPr>
          <w:spacing w:val="-15"/>
        </w:rPr>
        <w:t> </w:t>
      </w:r>
      <w:r>
        <w:rPr/>
        <w:t>it</w:t>
      </w:r>
      <w:r>
        <w:rPr>
          <w:spacing w:val="-18"/>
        </w:rPr>
        <w:t> </w:t>
      </w:r>
      <w:r>
        <w:rPr/>
        <w:t>was</w:t>
      </w:r>
      <w:r>
        <w:rPr>
          <w:spacing w:val="-15"/>
        </w:rPr>
        <w:t> </w:t>
      </w:r>
      <w:r>
        <w:rPr/>
        <w:t>a</w:t>
      </w:r>
      <w:r>
        <w:rPr>
          <w:spacing w:val="-16"/>
        </w:rPr>
        <w:t> </w:t>
      </w:r>
      <w:r>
        <w:rPr/>
        <w:t>popular</w:t>
      </w:r>
      <w:r>
        <w:rPr>
          <w:spacing w:val="-16"/>
        </w:rPr>
        <w:t> </w:t>
      </w:r>
      <w:r>
        <w:rPr/>
        <w:t>food</w:t>
      </w:r>
      <w:r>
        <w:rPr>
          <w:spacing w:val="-15"/>
        </w:rPr>
        <w:t> </w:t>
      </w:r>
      <w:r>
        <w:rPr/>
        <w:t>for</w:t>
      </w:r>
      <w:r>
        <w:rPr>
          <w:spacing w:val="-13"/>
        </w:rPr>
        <w:t> </w:t>
      </w:r>
      <w:r>
        <w:rPr/>
        <w:t>sailors</w:t>
      </w:r>
      <w:r>
        <w:rPr>
          <w:spacing w:val="-15"/>
        </w:rPr>
        <w:t> </w:t>
      </w:r>
      <w:r>
        <w:rPr/>
        <w:t>at</w:t>
      </w:r>
      <w:r>
        <w:rPr>
          <w:spacing w:val="-16"/>
        </w:rPr>
        <w:t> </w:t>
      </w:r>
      <w:r>
        <w:rPr/>
        <w:t>the</w:t>
      </w:r>
      <w:r>
        <w:rPr>
          <w:spacing w:val="-14"/>
        </w:rPr>
        <w:t> </w:t>
      </w:r>
      <w:r>
        <w:rPr/>
        <w:t>time.</w:t>
      </w:r>
      <w:r>
        <w:rPr>
          <w:spacing w:val="-13"/>
        </w:rPr>
        <w:t> </w:t>
      </w:r>
      <w:r>
        <w:rPr/>
        <w:t>Thus began</w:t>
      </w:r>
      <w:r>
        <w:rPr>
          <w:spacing w:val="-26"/>
        </w:rPr>
        <w:t> </w:t>
      </w:r>
      <w:r>
        <w:rPr/>
        <w:t>its</w:t>
      </w:r>
      <w:r>
        <w:rPr>
          <w:spacing w:val="-25"/>
        </w:rPr>
        <w:t> </w:t>
      </w:r>
      <w:r>
        <w:rPr/>
        <w:t>triumphant</w:t>
      </w:r>
      <w:r>
        <w:rPr>
          <w:spacing w:val="-25"/>
        </w:rPr>
        <w:t> </w:t>
      </w:r>
      <w:r>
        <w:rPr/>
        <w:t>procession</w:t>
      </w:r>
      <w:r>
        <w:rPr>
          <w:spacing w:val="-30"/>
        </w:rPr>
        <w:t> </w:t>
      </w:r>
      <w:r>
        <w:rPr/>
        <w:t>in</w:t>
      </w:r>
      <w:r>
        <w:rPr>
          <w:spacing w:val="-25"/>
        </w:rPr>
        <w:t> </w:t>
      </w:r>
      <w:r>
        <w:rPr/>
        <w:t>the</w:t>
      </w:r>
      <w:r>
        <w:rPr>
          <w:spacing w:val="-24"/>
        </w:rPr>
        <w:t> </w:t>
      </w:r>
      <w:r>
        <w:rPr/>
        <w:t>footsteps</w:t>
      </w:r>
      <w:r>
        <w:rPr>
          <w:spacing w:val="-28"/>
        </w:rPr>
        <w:t> </w:t>
      </w:r>
      <w:r>
        <w:rPr/>
        <w:t>of</w:t>
      </w:r>
      <w:r>
        <w:rPr>
          <w:spacing w:val="-25"/>
        </w:rPr>
        <w:t> </w:t>
      </w:r>
      <w:r>
        <w:rPr/>
        <w:t>colonisers</w:t>
      </w:r>
      <w:r>
        <w:rPr>
          <w:spacing w:val="-24"/>
        </w:rPr>
        <w:t> </w:t>
      </w:r>
      <w:r>
        <w:rPr/>
        <w:t>around</w:t>
      </w:r>
      <w:r>
        <w:rPr>
          <w:spacing w:val="-26"/>
        </w:rPr>
        <w:t> </w:t>
      </w:r>
      <w:r>
        <w:rPr/>
        <w:t>the</w:t>
      </w:r>
      <w:r>
        <w:rPr>
          <w:spacing w:val="-24"/>
        </w:rPr>
        <w:t> </w:t>
      </w:r>
      <w:r>
        <w:rPr/>
        <w:t>world; the Spaniards and Portuguese took them to southern India, St. Helena and the Philippines</w:t>
      </w:r>
      <w:r>
        <w:rPr>
          <w:spacing w:val="-24"/>
        </w:rPr>
        <w:t> </w:t>
      </w:r>
      <w:r>
        <w:rPr/>
        <w:t>and</w:t>
      </w:r>
      <w:r>
        <w:rPr>
          <w:spacing w:val="-23"/>
        </w:rPr>
        <w:t> </w:t>
      </w:r>
      <w:r>
        <w:rPr/>
        <w:t>very</w:t>
      </w:r>
      <w:r>
        <w:rPr>
          <w:spacing w:val="-24"/>
        </w:rPr>
        <w:t> </w:t>
      </w:r>
      <w:r>
        <w:rPr/>
        <w:t>quickly</w:t>
      </w:r>
      <w:r>
        <w:rPr>
          <w:spacing w:val="-23"/>
        </w:rPr>
        <w:t> </w:t>
      </w:r>
      <w:r>
        <w:rPr/>
        <w:t>started</w:t>
      </w:r>
      <w:r>
        <w:rPr>
          <w:spacing w:val="-24"/>
        </w:rPr>
        <w:t> </w:t>
      </w:r>
      <w:r>
        <w:rPr/>
        <w:t>growing</w:t>
      </w:r>
      <w:r>
        <w:rPr>
          <w:spacing w:val="-23"/>
        </w:rPr>
        <w:t> </w:t>
      </w:r>
      <w:r>
        <w:rPr/>
        <w:t>them</w:t>
      </w:r>
      <w:r>
        <w:rPr>
          <w:spacing w:val="-23"/>
        </w:rPr>
        <w:t> </w:t>
      </w:r>
      <w:r>
        <w:rPr/>
        <w:t>in</w:t>
      </w:r>
      <w:r>
        <w:rPr>
          <w:spacing w:val="-24"/>
        </w:rPr>
        <w:t> </w:t>
      </w:r>
      <w:r>
        <w:rPr/>
        <w:t>Africa.</w:t>
      </w:r>
      <w:r>
        <w:rPr>
          <w:spacing w:val="-23"/>
        </w:rPr>
        <w:t> </w:t>
      </w:r>
      <w:r>
        <w:rPr/>
        <w:t>Pineapple</w:t>
      </w:r>
      <w:r>
        <w:rPr>
          <w:spacing w:val="-24"/>
        </w:rPr>
        <w:t> </w:t>
      </w:r>
      <w:r>
        <w:rPr/>
        <w:t>was</w:t>
      </w:r>
      <w:r>
        <w:rPr>
          <w:spacing w:val="-23"/>
        </w:rPr>
        <w:t> </w:t>
      </w:r>
      <w:r>
        <w:rPr/>
        <w:t>soon grown wherever the climate and outside temperatures</w:t>
      </w:r>
      <w:r>
        <w:rPr>
          <w:spacing w:val="-6"/>
        </w:rPr>
        <w:t> </w:t>
      </w:r>
      <w:r>
        <w:rPr/>
        <w:t>allowed.</w:t>
      </w:r>
    </w:p>
    <w:p>
      <w:pPr>
        <w:spacing w:after="0" w:line="276" w:lineRule="auto"/>
        <w:jc w:val="both"/>
        <w:sectPr>
          <w:footerReference w:type="default" r:id="rId27"/>
          <w:pgSz w:w="14270" w:h="16850"/>
          <w:pgMar w:footer="1891" w:header="0" w:top="1600" w:bottom="2080" w:left="800" w:right="1280"/>
          <w:pgNumType w:start="140"/>
        </w:sectPr>
      </w:pPr>
    </w:p>
    <w:p>
      <w:pPr>
        <w:pStyle w:val="BodyText"/>
        <w:spacing w:line="276" w:lineRule="auto" w:before="181"/>
        <w:ind w:left="477" w:right="136"/>
        <w:jc w:val="both"/>
      </w:pPr>
      <w:r>
        <w:rPr/>
        <w:t>The French word ‘ananas’ was coined by the French Huguenot pastor André Thevet; the ‘A’ stands for ‘fruit’ and ‘nana’ for ‘delicious’ - meaning delicious fruit.</w:t>
      </w:r>
    </w:p>
    <w:p>
      <w:pPr>
        <w:pStyle w:val="Heading2"/>
        <w:spacing w:before="242"/>
        <w:jc w:val="both"/>
      </w:pPr>
      <w:r>
        <w:rPr/>
        <w:t>Pineapple – the botanical origin</w:t>
      </w:r>
    </w:p>
    <w:p>
      <w:pPr>
        <w:pStyle w:val="BodyText"/>
        <w:spacing w:line="276" w:lineRule="auto" w:before="304"/>
        <w:ind w:left="477" w:right="133"/>
        <w:jc w:val="both"/>
      </w:pPr>
      <w:r>
        <w:rPr/>
        <w:t>From a botanical point of view, the pineapple (ananas comosus) comes from the bromeliaceae family and is divided into 100 different types. The plant is about 80 to 100 cm high and has many large leaves. The fruit itself is oval and reaches a length of 14-18 cm and a diameter of 12-15 cm with a weight of up to 4 kg, and even more in exceptional cases.</w:t>
      </w:r>
    </w:p>
    <w:p>
      <w:pPr>
        <w:pStyle w:val="BodyText"/>
        <w:spacing w:line="276" w:lineRule="auto" w:before="240"/>
        <w:ind w:left="477" w:right="137"/>
        <w:jc w:val="both"/>
      </w:pPr>
      <w:r>
        <w:rPr/>
        <w:t>Their place of origin is believed to be in the Mato Grosso area, which includes parts</w:t>
      </w:r>
      <w:r>
        <w:rPr>
          <w:spacing w:val="-9"/>
        </w:rPr>
        <w:t> </w:t>
      </w:r>
      <w:r>
        <w:rPr/>
        <w:t>of</w:t>
      </w:r>
      <w:r>
        <w:rPr>
          <w:spacing w:val="-8"/>
        </w:rPr>
        <w:t> </w:t>
      </w:r>
      <w:r>
        <w:rPr/>
        <w:t>southern</w:t>
      </w:r>
      <w:r>
        <w:rPr>
          <w:spacing w:val="-8"/>
        </w:rPr>
        <w:t> </w:t>
      </w:r>
      <w:r>
        <w:rPr/>
        <w:t>Brazil,</w:t>
      </w:r>
      <w:r>
        <w:rPr>
          <w:spacing w:val="-10"/>
        </w:rPr>
        <w:t> </w:t>
      </w:r>
      <w:r>
        <w:rPr/>
        <w:t>Paraguay</w:t>
      </w:r>
      <w:r>
        <w:rPr>
          <w:spacing w:val="-9"/>
        </w:rPr>
        <w:t> </w:t>
      </w:r>
      <w:r>
        <w:rPr/>
        <w:t>and</w:t>
      </w:r>
      <w:r>
        <w:rPr>
          <w:spacing w:val="-8"/>
        </w:rPr>
        <w:t> </w:t>
      </w:r>
      <w:r>
        <w:rPr/>
        <w:t>northern</w:t>
      </w:r>
      <w:r>
        <w:rPr>
          <w:spacing w:val="-9"/>
        </w:rPr>
        <w:t> </w:t>
      </w:r>
      <w:r>
        <w:rPr/>
        <w:t>Argentina;</w:t>
      </w:r>
      <w:r>
        <w:rPr>
          <w:spacing w:val="-8"/>
        </w:rPr>
        <w:t> </w:t>
      </w:r>
      <w:r>
        <w:rPr/>
        <w:t>today,</w:t>
      </w:r>
      <w:r>
        <w:rPr>
          <w:spacing w:val="-8"/>
        </w:rPr>
        <w:t> </w:t>
      </w:r>
      <w:r>
        <w:rPr/>
        <w:t>it</w:t>
      </w:r>
      <w:r>
        <w:rPr>
          <w:spacing w:val="-10"/>
        </w:rPr>
        <w:t> </w:t>
      </w:r>
      <w:r>
        <w:rPr/>
        <w:t>is</w:t>
      </w:r>
      <w:r>
        <w:rPr>
          <w:spacing w:val="-9"/>
        </w:rPr>
        <w:t> </w:t>
      </w:r>
      <w:r>
        <w:rPr/>
        <w:t>grown</w:t>
      </w:r>
      <w:r>
        <w:rPr>
          <w:spacing w:val="-8"/>
        </w:rPr>
        <w:t> </w:t>
      </w:r>
      <w:r>
        <w:rPr/>
        <w:t>in the</w:t>
      </w:r>
      <w:r>
        <w:rPr>
          <w:spacing w:val="9"/>
        </w:rPr>
        <w:t> </w:t>
      </w:r>
      <w:r>
        <w:rPr/>
        <w:t>tropical</w:t>
      </w:r>
      <w:r>
        <w:rPr>
          <w:spacing w:val="10"/>
        </w:rPr>
        <w:t> </w:t>
      </w:r>
      <w:r>
        <w:rPr/>
        <w:t>areas</w:t>
      </w:r>
      <w:r>
        <w:rPr>
          <w:spacing w:val="9"/>
        </w:rPr>
        <w:t> </w:t>
      </w:r>
      <w:r>
        <w:rPr/>
        <w:t>of</w:t>
      </w:r>
      <w:r>
        <w:rPr>
          <w:spacing w:val="10"/>
        </w:rPr>
        <w:t> </w:t>
      </w:r>
      <w:r>
        <w:rPr/>
        <w:t>the</w:t>
      </w:r>
      <w:r>
        <w:rPr>
          <w:spacing w:val="10"/>
        </w:rPr>
        <w:t> </w:t>
      </w:r>
      <w:r>
        <w:rPr/>
        <w:t>world</w:t>
      </w:r>
      <w:r>
        <w:rPr>
          <w:spacing w:val="10"/>
        </w:rPr>
        <w:t> </w:t>
      </w:r>
      <w:r>
        <w:rPr/>
        <w:t>(requiring</w:t>
      </w:r>
      <w:r>
        <w:rPr>
          <w:spacing w:val="10"/>
        </w:rPr>
        <w:t> </w:t>
      </w:r>
      <w:r>
        <w:rPr/>
        <w:t>high</w:t>
      </w:r>
      <w:r>
        <w:rPr>
          <w:spacing w:val="11"/>
        </w:rPr>
        <w:t> </w:t>
      </w:r>
      <w:r>
        <w:rPr/>
        <w:t>temperatures</w:t>
      </w:r>
      <w:r>
        <w:rPr>
          <w:spacing w:val="10"/>
        </w:rPr>
        <w:t> </w:t>
      </w:r>
      <w:r>
        <w:rPr/>
        <w:t>of</w:t>
      </w:r>
      <w:r>
        <w:rPr>
          <w:spacing w:val="10"/>
        </w:rPr>
        <w:t> </w:t>
      </w:r>
      <w:r>
        <w:rPr/>
        <w:t>no</w:t>
      </w:r>
      <w:r>
        <w:rPr>
          <w:spacing w:val="11"/>
        </w:rPr>
        <w:t> </w:t>
      </w:r>
      <w:r>
        <w:rPr/>
        <w:t>less</w:t>
      </w:r>
      <w:r>
        <w:rPr>
          <w:spacing w:val="10"/>
        </w:rPr>
        <w:t> </w:t>
      </w:r>
      <w:r>
        <w:rPr/>
        <w:t>than</w:t>
      </w:r>
      <w:r>
        <w:rPr>
          <w:spacing w:val="11"/>
        </w:rPr>
        <w:t> </w:t>
      </w:r>
      <w:r>
        <w:rPr/>
        <w:t>20</w:t>
      </w:r>
    </w:p>
    <w:p>
      <w:pPr>
        <w:pStyle w:val="BodyText"/>
        <w:spacing w:line="276" w:lineRule="auto"/>
        <w:ind w:left="477" w:right="140"/>
        <w:jc w:val="both"/>
      </w:pPr>
      <w:r>
        <w:rPr/>
        <w:t>°C) and put on the market as a whole fruit, as a canned fruit (the latter without health benefits) or processed into fruit juice.</w:t>
      </w:r>
    </w:p>
    <w:p>
      <w:pPr>
        <w:spacing w:before="240"/>
        <w:ind w:left="477" w:right="0" w:firstLine="0"/>
        <w:jc w:val="both"/>
        <w:rPr>
          <w:i/>
          <w:sz w:val="38"/>
        </w:rPr>
      </w:pPr>
      <w:r>
        <w:rPr>
          <w:i/>
          <w:sz w:val="38"/>
        </w:rPr>
        <w:t>Bromelain/bromelin – pineapple’s power enzyme</w:t>
      </w:r>
    </w:p>
    <w:p>
      <w:pPr>
        <w:pStyle w:val="BodyText"/>
        <w:spacing w:line="276" w:lineRule="auto" w:before="304"/>
        <w:ind w:left="477" w:right="134"/>
        <w:jc w:val="both"/>
      </w:pPr>
      <w:r>
        <w:rPr/>
        <w:t>Bromelain (also referred to as ‘bromelin’) is an enzyme mixture composed of various enzymes derived from the pineapple fruit and its stem.</w:t>
      </w:r>
    </w:p>
    <w:p>
      <w:pPr>
        <w:pStyle w:val="BodyText"/>
        <w:spacing w:line="276" w:lineRule="auto" w:before="241"/>
        <w:ind w:left="477" w:right="137"/>
        <w:jc w:val="both"/>
      </w:pPr>
      <w:r>
        <w:rPr/>
        <w:t>Bromelain (or bromelin) has interesting and extremely useful properties that benefit</w:t>
      </w:r>
      <w:r>
        <w:rPr>
          <w:spacing w:val="-15"/>
        </w:rPr>
        <w:t> </w:t>
      </w:r>
      <w:r>
        <w:rPr/>
        <w:t>both</w:t>
      </w:r>
      <w:r>
        <w:rPr>
          <w:spacing w:val="-14"/>
        </w:rPr>
        <w:t> </w:t>
      </w:r>
      <w:r>
        <w:rPr/>
        <w:t>medicine</w:t>
      </w:r>
      <w:r>
        <w:rPr>
          <w:spacing w:val="-12"/>
        </w:rPr>
        <w:t> </w:t>
      </w:r>
      <w:r>
        <w:rPr/>
        <w:t>and</w:t>
      </w:r>
      <w:r>
        <w:rPr>
          <w:spacing w:val="-14"/>
        </w:rPr>
        <w:t> </w:t>
      </w:r>
      <w:r>
        <w:rPr/>
        <w:t>modern</w:t>
      </w:r>
      <w:r>
        <w:rPr>
          <w:spacing w:val="-13"/>
        </w:rPr>
        <w:t> </w:t>
      </w:r>
      <w:r>
        <w:rPr/>
        <w:t>industry.</w:t>
      </w:r>
      <w:r>
        <w:rPr>
          <w:spacing w:val="-12"/>
        </w:rPr>
        <w:t> </w:t>
      </w:r>
      <w:r>
        <w:rPr/>
        <w:t>For</w:t>
      </w:r>
      <w:r>
        <w:rPr>
          <w:spacing w:val="-15"/>
        </w:rPr>
        <w:t> </w:t>
      </w:r>
      <w:r>
        <w:rPr/>
        <w:t>example,</w:t>
      </w:r>
      <w:r>
        <w:rPr>
          <w:spacing w:val="-13"/>
        </w:rPr>
        <w:t> </w:t>
      </w:r>
      <w:r>
        <w:rPr/>
        <w:t>bromelain</w:t>
      </w:r>
      <w:r>
        <w:rPr>
          <w:spacing w:val="-13"/>
        </w:rPr>
        <w:t> </w:t>
      </w:r>
      <w:r>
        <w:rPr/>
        <w:t>splits</w:t>
      </w:r>
      <w:r>
        <w:rPr>
          <w:spacing w:val="-13"/>
        </w:rPr>
        <w:t> </w:t>
      </w:r>
      <w:r>
        <w:rPr/>
        <w:t>pro- teins, which has proved to be optimal for the prevention and treatment of var- ious</w:t>
      </w:r>
      <w:r>
        <w:rPr>
          <w:spacing w:val="-17"/>
        </w:rPr>
        <w:t> </w:t>
      </w:r>
      <w:r>
        <w:rPr/>
        <w:t>diseases,</w:t>
      </w:r>
      <w:r>
        <w:rPr>
          <w:spacing w:val="-14"/>
        </w:rPr>
        <w:t> </w:t>
      </w:r>
      <w:r>
        <w:rPr/>
        <w:t>but,</w:t>
      </w:r>
      <w:r>
        <w:rPr>
          <w:spacing w:val="-16"/>
        </w:rPr>
        <w:t> </w:t>
      </w:r>
      <w:r>
        <w:rPr/>
        <w:t>in</w:t>
      </w:r>
      <w:r>
        <w:rPr>
          <w:spacing w:val="-15"/>
        </w:rPr>
        <w:t> </w:t>
      </w:r>
      <w:r>
        <w:rPr/>
        <w:t>the</w:t>
      </w:r>
      <w:r>
        <w:rPr>
          <w:spacing w:val="-14"/>
        </w:rPr>
        <w:t> </w:t>
      </w:r>
      <w:r>
        <w:rPr/>
        <w:t>food</w:t>
      </w:r>
      <w:r>
        <w:rPr>
          <w:spacing w:val="-16"/>
        </w:rPr>
        <w:t> </w:t>
      </w:r>
      <w:r>
        <w:rPr/>
        <w:t>industry,</w:t>
      </w:r>
      <w:r>
        <w:rPr>
          <w:spacing w:val="-16"/>
        </w:rPr>
        <w:t> </w:t>
      </w:r>
      <w:r>
        <w:rPr/>
        <w:t>has</w:t>
      </w:r>
      <w:r>
        <w:rPr>
          <w:spacing w:val="-15"/>
        </w:rPr>
        <w:t> </w:t>
      </w:r>
      <w:r>
        <w:rPr/>
        <w:t>also</w:t>
      </w:r>
      <w:r>
        <w:rPr>
          <w:spacing w:val="-16"/>
        </w:rPr>
        <w:t> </w:t>
      </w:r>
      <w:r>
        <w:rPr/>
        <w:t>been</w:t>
      </w:r>
      <w:r>
        <w:rPr>
          <w:spacing w:val="-15"/>
        </w:rPr>
        <w:t> </w:t>
      </w:r>
      <w:r>
        <w:rPr/>
        <w:t>discovered</w:t>
      </w:r>
      <w:r>
        <w:rPr>
          <w:spacing w:val="-17"/>
        </w:rPr>
        <w:t> </w:t>
      </w:r>
      <w:r>
        <w:rPr/>
        <w:t>to</w:t>
      </w:r>
      <w:r>
        <w:rPr>
          <w:spacing w:val="-15"/>
        </w:rPr>
        <w:t> </w:t>
      </w:r>
      <w:r>
        <w:rPr/>
        <w:t>soften</w:t>
      </w:r>
      <w:r>
        <w:rPr>
          <w:spacing w:val="-16"/>
        </w:rPr>
        <w:t> </w:t>
      </w:r>
      <w:r>
        <w:rPr/>
        <w:t>meat.</w:t>
      </w:r>
    </w:p>
    <w:p>
      <w:pPr>
        <w:spacing w:after="0" w:line="276" w:lineRule="auto"/>
        <w:jc w:val="both"/>
        <w:sectPr>
          <w:pgSz w:w="14270" w:h="16850"/>
          <w:pgMar w:header="0" w:footer="1891" w:top="1600" w:bottom="2080" w:left="800" w:right="1280"/>
        </w:sectPr>
      </w:pPr>
    </w:p>
    <w:p>
      <w:pPr>
        <w:pStyle w:val="BodyText"/>
        <w:spacing w:line="276" w:lineRule="auto" w:before="181"/>
        <w:ind w:left="477" w:right="134"/>
        <w:jc w:val="both"/>
      </w:pPr>
      <w:r>
        <w:rPr/>
        <w:t>In</w:t>
      </w:r>
      <w:r>
        <w:rPr>
          <w:spacing w:val="-19"/>
        </w:rPr>
        <w:t> </w:t>
      </w:r>
      <w:r>
        <w:rPr/>
        <w:t>the</w:t>
      </w:r>
      <w:r>
        <w:rPr>
          <w:spacing w:val="-19"/>
        </w:rPr>
        <w:t> </w:t>
      </w:r>
      <w:r>
        <w:rPr/>
        <w:t>beverage</w:t>
      </w:r>
      <w:r>
        <w:rPr>
          <w:spacing w:val="-20"/>
        </w:rPr>
        <w:t> </w:t>
      </w:r>
      <w:r>
        <w:rPr/>
        <w:t>industry,</w:t>
      </w:r>
      <w:r>
        <w:rPr>
          <w:spacing w:val="-19"/>
        </w:rPr>
        <w:t> </w:t>
      </w:r>
      <w:r>
        <w:rPr/>
        <w:t>bromelain</w:t>
      </w:r>
      <w:r>
        <w:rPr>
          <w:spacing w:val="-20"/>
        </w:rPr>
        <w:t> </w:t>
      </w:r>
      <w:r>
        <w:rPr/>
        <w:t>is</w:t>
      </w:r>
      <w:r>
        <w:rPr>
          <w:spacing w:val="-19"/>
        </w:rPr>
        <w:t> </w:t>
      </w:r>
      <w:r>
        <w:rPr/>
        <w:t>used</w:t>
      </w:r>
      <w:r>
        <w:rPr>
          <w:spacing w:val="-20"/>
        </w:rPr>
        <w:t> </w:t>
      </w:r>
      <w:r>
        <w:rPr/>
        <w:t>to</w:t>
      </w:r>
      <w:r>
        <w:rPr>
          <w:spacing w:val="-18"/>
        </w:rPr>
        <w:t> </w:t>
      </w:r>
      <w:r>
        <w:rPr/>
        <w:t>prevent</w:t>
      </w:r>
      <w:r>
        <w:rPr>
          <w:spacing w:val="-19"/>
        </w:rPr>
        <w:t> </w:t>
      </w:r>
      <w:r>
        <w:rPr/>
        <w:t>unwanted</w:t>
      </w:r>
      <w:r>
        <w:rPr>
          <w:spacing w:val="-20"/>
        </w:rPr>
        <w:t> </w:t>
      </w:r>
      <w:r>
        <w:rPr/>
        <w:t>protein-related turbidity.</w:t>
      </w:r>
    </w:p>
    <w:p>
      <w:pPr>
        <w:pStyle w:val="BodyText"/>
        <w:spacing w:line="276" w:lineRule="auto" w:before="241"/>
        <w:ind w:left="477" w:right="133"/>
        <w:jc w:val="both"/>
      </w:pPr>
      <w:r>
        <w:rPr/>
        <w:t>Regarding its medical uses, the main features of bromelain are its anti-inflam- matory</w:t>
      </w:r>
      <w:r>
        <w:rPr>
          <w:spacing w:val="-16"/>
        </w:rPr>
        <w:t> </w:t>
      </w:r>
      <w:r>
        <w:rPr/>
        <w:t>and</w:t>
      </w:r>
      <w:r>
        <w:rPr>
          <w:spacing w:val="-16"/>
        </w:rPr>
        <w:t> </w:t>
      </w:r>
      <w:r>
        <w:rPr/>
        <w:t>decongestant</w:t>
      </w:r>
      <w:r>
        <w:rPr>
          <w:spacing w:val="-17"/>
        </w:rPr>
        <w:t> </w:t>
      </w:r>
      <w:r>
        <w:rPr/>
        <w:t>properties</w:t>
      </w:r>
      <w:r>
        <w:rPr>
          <w:spacing w:val="-16"/>
        </w:rPr>
        <w:t> </w:t>
      </w:r>
      <w:r>
        <w:rPr/>
        <w:t>as</w:t>
      </w:r>
      <w:r>
        <w:rPr>
          <w:spacing w:val="-17"/>
        </w:rPr>
        <w:t> </w:t>
      </w:r>
      <w:r>
        <w:rPr/>
        <w:t>well</w:t>
      </w:r>
      <w:r>
        <w:rPr>
          <w:spacing w:val="-18"/>
        </w:rPr>
        <w:t> </w:t>
      </w:r>
      <w:r>
        <w:rPr/>
        <w:t>as</w:t>
      </w:r>
      <w:r>
        <w:rPr>
          <w:spacing w:val="-17"/>
        </w:rPr>
        <w:t> </w:t>
      </w:r>
      <w:r>
        <w:rPr/>
        <w:t>in</w:t>
      </w:r>
      <w:r>
        <w:rPr>
          <w:spacing w:val="-16"/>
        </w:rPr>
        <w:t> </w:t>
      </w:r>
      <w:r>
        <w:rPr/>
        <w:t>the</w:t>
      </w:r>
      <w:r>
        <w:rPr>
          <w:spacing w:val="-15"/>
        </w:rPr>
        <w:t> </w:t>
      </w:r>
      <w:r>
        <w:rPr/>
        <w:t>accompanying</w:t>
      </w:r>
      <w:r>
        <w:rPr>
          <w:spacing w:val="-18"/>
        </w:rPr>
        <w:t> </w:t>
      </w:r>
      <w:r>
        <w:rPr/>
        <w:t>cancer</w:t>
      </w:r>
      <w:r>
        <w:rPr>
          <w:spacing w:val="-16"/>
        </w:rPr>
        <w:t> </w:t>
      </w:r>
      <w:r>
        <w:rPr/>
        <w:t>ther- apy, arthritis treatment and cardiology. These properties are highly valued (and not</w:t>
      </w:r>
      <w:r>
        <w:rPr>
          <w:spacing w:val="-17"/>
        </w:rPr>
        <w:t> </w:t>
      </w:r>
      <w:r>
        <w:rPr/>
        <w:t>just</w:t>
      </w:r>
      <w:r>
        <w:rPr>
          <w:spacing w:val="-16"/>
        </w:rPr>
        <w:t> </w:t>
      </w:r>
      <w:r>
        <w:rPr/>
        <w:t>by</w:t>
      </w:r>
      <w:r>
        <w:rPr>
          <w:spacing w:val="-16"/>
        </w:rPr>
        <w:t> </w:t>
      </w:r>
      <w:r>
        <w:rPr/>
        <w:t>sportspeople)</w:t>
      </w:r>
      <w:r>
        <w:rPr>
          <w:spacing w:val="-16"/>
        </w:rPr>
        <w:t> </w:t>
      </w:r>
      <w:r>
        <w:rPr/>
        <w:t>for</w:t>
      </w:r>
      <w:r>
        <w:rPr>
          <w:spacing w:val="-15"/>
        </w:rPr>
        <w:t> </w:t>
      </w:r>
      <w:r>
        <w:rPr/>
        <w:t>the</w:t>
      </w:r>
      <w:r>
        <w:rPr>
          <w:spacing w:val="-17"/>
        </w:rPr>
        <w:t> </w:t>
      </w:r>
      <w:r>
        <w:rPr/>
        <w:t>treatment</w:t>
      </w:r>
      <w:r>
        <w:rPr>
          <w:spacing w:val="-17"/>
        </w:rPr>
        <w:t> </w:t>
      </w:r>
      <w:r>
        <w:rPr/>
        <w:t>of</w:t>
      </w:r>
      <w:r>
        <w:rPr>
          <w:spacing w:val="-16"/>
        </w:rPr>
        <w:t> </w:t>
      </w:r>
      <w:r>
        <w:rPr/>
        <w:t>swelling</w:t>
      </w:r>
      <w:r>
        <w:rPr>
          <w:spacing w:val="-12"/>
        </w:rPr>
        <w:t> </w:t>
      </w:r>
      <w:r>
        <w:rPr/>
        <w:t>and</w:t>
      </w:r>
      <w:r>
        <w:rPr>
          <w:spacing w:val="-16"/>
        </w:rPr>
        <w:t> </w:t>
      </w:r>
      <w:r>
        <w:rPr/>
        <w:t>oedemas.</w:t>
      </w:r>
      <w:r>
        <w:rPr>
          <w:spacing w:val="-16"/>
        </w:rPr>
        <w:t> </w:t>
      </w:r>
      <w:r>
        <w:rPr/>
        <w:t>All</w:t>
      </w:r>
      <w:r>
        <w:rPr>
          <w:spacing w:val="-17"/>
        </w:rPr>
        <w:t> </w:t>
      </w:r>
      <w:r>
        <w:rPr/>
        <w:t>injuries caused by external influences are accompanied by painful swelling, which se- verely</w:t>
      </w:r>
      <w:r>
        <w:rPr>
          <w:spacing w:val="-10"/>
        </w:rPr>
        <w:t> </w:t>
      </w:r>
      <w:r>
        <w:rPr/>
        <w:t>limits</w:t>
      </w:r>
      <w:r>
        <w:rPr>
          <w:spacing w:val="-9"/>
        </w:rPr>
        <w:t> </w:t>
      </w:r>
      <w:r>
        <w:rPr/>
        <w:t>mobility.</w:t>
      </w:r>
      <w:r>
        <w:rPr>
          <w:spacing w:val="-9"/>
        </w:rPr>
        <w:t> </w:t>
      </w:r>
      <w:r>
        <w:rPr/>
        <w:t>The</w:t>
      </w:r>
      <w:r>
        <w:rPr>
          <w:spacing w:val="-9"/>
        </w:rPr>
        <w:t> </w:t>
      </w:r>
      <w:r>
        <w:rPr/>
        <w:t>main</w:t>
      </w:r>
      <w:r>
        <w:rPr>
          <w:spacing w:val="-9"/>
        </w:rPr>
        <w:t> </w:t>
      </w:r>
      <w:r>
        <w:rPr/>
        <w:t>cause</w:t>
      </w:r>
      <w:r>
        <w:rPr>
          <w:spacing w:val="-8"/>
        </w:rPr>
        <w:t> </w:t>
      </w:r>
      <w:r>
        <w:rPr/>
        <w:t>of</w:t>
      </w:r>
      <w:r>
        <w:rPr>
          <w:spacing w:val="-9"/>
        </w:rPr>
        <w:t> </w:t>
      </w:r>
      <w:r>
        <w:rPr/>
        <w:t>the</w:t>
      </w:r>
      <w:r>
        <w:rPr>
          <w:spacing w:val="-8"/>
        </w:rPr>
        <w:t> </w:t>
      </w:r>
      <w:r>
        <w:rPr/>
        <w:t>swelling</w:t>
      </w:r>
      <w:r>
        <w:rPr>
          <w:spacing w:val="-9"/>
        </w:rPr>
        <w:t> </w:t>
      </w:r>
      <w:r>
        <w:rPr/>
        <w:t>is</w:t>
      </w:r>
      <w:r>
        <w:rPr>
          <w:spacing w:val="-9"/>
        </w:rPr>
        <w:t> </w:t>
      </w:r>
      <w:r>
        <w:rPr/>
        <w:t>an</w:t>
      </w:r>
      <w:r>
        <w:rPr>
          <w:spacing w:val="-8"/>
        </w:rPr>
        <w:t> </w:t>
      </w:r>
      <w:r>
        <w:rPr/>
        <w:t>increased</w:t>
      </w:r>
      <w:r>
        <w:rPr>
          <w:spacing w:val="-8"/>
        </w:rPr>
        <w:t> </w:t>
      </w:r>
      <w:r>
        <w:rPr/>
        <w:t>amount</w:t>
      </w:r>
      <w:r>
        <w:rPr>
          <w:spacing w:val="-9"/>
        </w:rPr>
        <w:t> </w:t>
      </w:r>
      <w:r>
        <w:rPr/>
        <w:t>of protein within the injured tissue. The protein components enter the injured</w:t>
      </w:r>
      <w:r>
        <w:rPr>
          <w:spacing w:val="-63"/>
        </w:rPr>
        <w:t> </w:t>
      </w:r>
      <w:r>
        <w:rPr/>
        <w:t>tis- sue from the damaged lymphatic and blood vessels together with the body's own fluid and form the unpleasant swelling. Swelling always impedes proper healing, and thus, as well as being painful, is very counterproductive from a recovery point of</w:t>
      </w:r>
      <w:r>
        <w:rPr>
          <w:spacing w:val="-3"/>
        </w:rPr>
        <w:t> </w:t>
      </w:r>
      <w:r>
        <w:rPr/>
        <w:t>view.</w:t>
      </w:r>
    </w:p>
    <w:p>
      <w:pPr>
        <w:pStyle w:val="BodyText"/>
        <w:spacing w:line="276" w:lineRule="auto" w:before="240"/>
        <w:ind w:left="477" w:right="137"/>
        <w:jc w:val="both"/>
      </w:pPr>
      <w:r>
        <w:rPr/>
        <w:t>Here, the Bromelain actively intervenes, splits the protein components (dis- solves</w:t>
      </w:r>
      <w:r>
        <w:rPr>
          <w:spacing w:val="-18"/>
        </w:rPr>
        <w:t> </w:t>
      </w:r>
      <w:r>
        <w:rPr/>
        <w:t>them),</w:t>
      </w:r>
      <w:r>
        <w:rPr>
          <w:spacing w:val="-20"/>
        </w:rPr>
        <w:t> </w:t>
      </w:r>
      <w:r>
        <w:rPr/>
        <w:t>prevents</w:t>
      </w:r>
      <w:r>
        <w:rPr>
          <w:spacing w:val="-17"/>
        </w:rPr>
        <w:t> </w:t>
      </w:r>
      <w:r>
        <w:rPr/>
        <w:t>the</w:t>
      </w:r>
      <w:r>
        <w:rPr>
          <w:spacing w:val="-18"/>
        </w:rPr>
        <w:t> </w:t>
      </w:r>
      <w:r>
        <w:rPr/>
        <w:t>swelling</w:t>
      </w:r>
      <w:r>
        <w:rPr>
          <w:spacing w:val="-17"/>
        </w:rPr>
        <w:t> </w:t>
      </w:r>
      <w:r>
        <w:rPr/>
        <w:t>and</w:t>
      </w:r>
      <w:r>
        <w:rPr>
          <w:spacing w:val="-17"/>
        </w:rPr>
        <w:t> </w:t>
      </w:r>
      <w:r>
        <w:rPr/>
        <w:t>pain</w:t>
      </w:r>
      <w:r>
        <w:rPr>
          <w:spacing w:val="-19"/>
        </w:rPr>
        <w:t> </w:t>
      </w:r>
      <w:r>
        <w:rPr/>
        <w:t>as</w:t>
      </w:r>
      <w:r>
        <w:rPr>
          <w:spacing w:val="-18"/>
        </w:rPr>
        <w:t> </w:t>
      </w:r>
      <w:r>
        <w:rPr/>
        <w:t>a</w:t>
      </w:r>
      <w:r>
        <w:rPr>
          <w:spacing w:val="-20"/>
        </w:rPr>
        <w:t> </w:t>
      </w:r>
      <w:r>
        <w:rPr/>
        <w:t>result,</w:t>
      </w:r>
      <w:r>
        <w:rPr>
          <w:spacing w:val="-18"/>
        </w:rPr>
        <w:t> </w:t>
      </w:r>
      <w:r>
        <w:rPr/>
        <w:t>and</w:t>
      </w:r>
      <w:r>
        <w:rPr>
          <w:spacing w:val="-17"/>
        </w:rPr>
        <w:t> </w:t>
      </w:r>
      <w:r>
        <w:rPr/>
        <w:t>accelerates</w:t>
      </w:r>
      <w:r>
        <w:rPr>
          <w:spacing w:val="-17"/>
        </w:rPr>
        <w:t> </w:t>
      </w:r>
      <w:r>
        <w:rPr/>
        <w:t>the</w:t>
      </w:r>
      <w:r>
        <w:rPr>
          <w:spacing w:val="-16"/>
        </w:rPr>
        <w:t> </w:t>
      </w:r>
      <w:r>
        <w:rPr/>
        <w:t>heal- ing of the injured</w:t>
      </w:r>
      <w:r>
        <w:rPr>
          <w:spacing w:val="3"/>
        </w:rPr>
        <w:t> </w:t>
      </w:r>
      <w:r>
        <w:rPr/>
        <w:t>tissue.</w:t>
      </w:r>
    </w:p>
    <w:p>
      <w:pPr>
        <w:spacing w:line="276" w:lineRule="auto" w:before="242"/>
        <w:ind w:left="477" w:right="132" w:firstLine="0"/>
        <w:jc w:val="both"/>
        <w:rPr>
          <w:i/>
          <w:sz w:val="38"/>
        </w:rPr>
      </w:pPr>
      <w:r>
        <w:rPr>
          <w:sz w:val="38"/>
        </w:rPr>
        <w:t>Dr. Nieper, an eminent authority in alternative medicine, compares bromelain with tube cleaner, as it has the long-term ability to rid our blood vessels of plaque (atherosclerosis), thus preventing all kinds of cardiovascular diseases. Furthermore, he estimates the effect of bromelain in the prevention of heart attacks</w:t>
      </w:r>
      <w:r>
        <w:rPr>
          <w:spacing w:val="-21"/>
          <w:sz w:val="38"/>
        </w:rPr>
        <w:t> </w:t>
      </w:r>
      <w:r>
        <w:rPr>
          <w:sz w:val="38"/>
        </w:rPr>
        <w:t>to</w:t>
      </w:r>
      <w:r>
        <w:rPr>
          <w:spacing w:val="-21"/>
          <w:sz w:val="38"/>
        </w:rPr>
        <w:t> </w:t>
      </w:r>
      <w:r>
        <w:rPr>
          <w:sz w:val="38"/>
        </w:rPr>
        <w:t>be</w:t>
      </w:r>
      <w:r>
        <w:rPr>
          <w:spacing w:val="-21"/>
          <w:sz w:val="38"/>
        </w:rPr>
        <w:t> </w:t>
      </w:r>
      <w:r>
        <w:rPr>
          <w:sz w:val="38"/>
        </w:rPr>
        <w:t>greater</w:t>
      </w:r>
      <w:r>
        <w:rPr>
          <w:spacing w:val="-20"/>
          <w:sz w:val="38"/>
        </w:rPr>
        <w:t> </w:t>
      </w:r>
      <w:r>
        <w:rPr>
          <w:sz w:val="38"/>
        </w:rPr>
        <w:t>than</w:t>
      </w:r>
      <w:r>
        <w:rPr>
          <w:spacing w:val="-22"/>
          <w:sz w:val="38"/>
        </w:rPr>
        <w:t> </w:t>
      </w:r>
      <w:r>
        <w:rPr>
          <w:sz w:val="38"/>
        </w:rPr>
        <w:t>that</w:t>
      </w:r>
      <w:r>
        <w:rPr>
          <w:spacing w:val="-21"/>
          <w:sz w:val="38"/>
        </w:rPr>
        <w:t> </w:t>
      </w:r>
      <w:r>
        <w:rPr>
          <w:sz w:val="38"/>
        </w:rPr>
        <w:t>of</w:t>
      </w:r>
      <w:r>
        <w:rPr>
          <w:spacing w:val="-21"/>
          <w:sz w:val="38"/>
        </w:rPr>
        <w:t> </w:t>
      </w:r>
      <w:r>
        <w:rPr>
          <w:sz w:val="38"/>
        </w:rPr>
        <w:t>beta-blockers.</w:t>
      </w:r>
      <w:r>
        <w:rPr>
          <w:spacing w:val="-20"/>
          <w:sz w:val="38"/>
        </w:rPr>
        <w:t> </w:t>
      </w:r>
      <w:r>
        <w:rPr>
          <w:sz w:val="38"/>
        </w:rPr>
        <w:t>According</w:t>
      </w:r>
      <w:r>
        <w:rPr>
          <w:spacing w:val="-21"/>
          <w:sz w:val="38"/>
        </w:rPr>
        <w:t> </w:t>
      </w:r>
      <w:r>
        <w:rPr>
          <w:sz w:val="38"/>
        </w:rPr>
        <w:t>to</w:t>
      </w:r>
      <w:r>
        <w:rPr>
          <w:spacing w:val="-21"/>
          <w:sz w:val="38"/>
        </w:rPr>
        <w:t> </w:t>
      </w:r>
      <w:r>
        <w:rPr>
          <w:sz w:val="38"/>
        </w:rPr>
        <w:t>Dr.</w:t>
      </w:r>
      <w:r>
        <w:rPr>
          <w:spacing w:val="-23"/>
          <w:sz w:val="38"/>
        </w:rPr>
        <w:t> </w:t>
      </w:r>
      <w:r>
        <w:rPr>
          <w:sz w:val="38"/>
        </w:rPr>
        <w:t>Nieper</w:t>
      </w:r>
      <w:r>
        <w:rPr>
          <w:spacing w:val="-20"/>
          <w:sz w:val="38"/>
        </w:rPr>
        <w:t> </w:t>
      </w:r>
      <w:r>
        <w:rPr>
          <w:i/>
          <w:sz w:val="38"/>
        </w:rPr>
        <w:t>‘through </w:t>
      </w:r>
      <w:r>
        <w:rPr>
          <w:i/>
          <w:sz w:val="38"/>
        </w:rPr>
        <w:t>intensive</w:t>
      </w:r>
      <w:r>
        <w:rPr>
          <w:i/>
          <w:spacing w:val="21"/>
          <w:sz w:val="38"/>
        </w:rPr>
        <w:t> </w:t>
      </w:r>
      <w:r>
        <w:rPr>
          <w:i/>
          <w:sz w:val="38"/>
        </w:rPr>
        <w:t>long-term</w:t>
      </w:r>
      <w:r>
        <w:rPr>
          <w:i/>
          <w:spacing w:val="17"/>
          <w:sz w:val="38"/>
        </w:rPr>
        <w:t> </w:t>
      </w:r>
      <w:r>
        <w:rPr>
          <w:i/>
          <w:sz w:val="38"/>
        </w:rPr>
        <w:t>therapy</w:t>
      </w:r>
      <w:r>
        <w:rPr>
          <w:i/>
          <w:spacing w:val="22"/>
          <w:sz w:val="38"/>
        </w:rPr>
        <w:t> </w:t>
      </w:r>
      <w:r>
        <w:rPr>
          <w:i/>
          <w:sz w:val="38"/>
        </w:rPr>
        <w:t>with</w:t>
      </w:r>
      <w:r>
        <w:rPr>
          <w:i/>
          <w:spacing w:val="22"/>
          <w:sz w:val="38"/>
        </w:rPr>
        <w:t> </w:t>
      </w:r>
      <w:r>
        <w:rPr>
          <w:i/>
          <w:sz w:val="38"/>
        </w:rPr>
        <w:t>bromelain,</w:t>
      </w:r>
      <w:r>
        <w:rPr>
          <w:i/>
          <w:spacing w:val="20"/>
          <w:sz w:val="38"/>
        </w:rPr>
        <w:t> </w:t>
      </w:r>
      <w:r>
        <w:rPr>
          <w:i/>
          <w:sz w:val="38"/>
        </w:rPr>
        <w:t>the</w:t>
      </w:r>
      <w:r>
        <w:rPr>
          <w:i/>
          <w:spacing w:val="21"/>
          <w:sz w:val="38"/>
        </w:rPr>
        <w:t> </w:t>
      </w:r>
      <w:r>
        <w:rPr>
          <w:i/>
          <w:sz w:val="38"/>
        </w:rPr>
        <w:t>coronary</w:t>
      </w:r>
      <w:r>
        <w:rPr>
          <w:i/>
          <w:spacing w:val="19"/>
          <w:sz w:val="38"/>
        </w:rPr>
        <w:t> </w:t>
      </w:r>
      <w:r>
        <w:rPr>
          <w:i/>
          <w:sz w:val="38"/>
        </w:rPr>
        <w:t>veins</w:t>
      </w:r>
      <w:r>
        <w:rPr>
          <w:i/>
          <w:spacing w:val="22"/>
          <w:sz w:val="38"/>
        </w:rPr>
        <w:t> </w:t>
      </w:r>
      <w:r>
        <w:rPr>
          <w:i/>
          <w:sz w:val="38"/>
        </w:rPr>
        <w:t>are,</w:t>
      </w:r>
      <w:r>
        <w:rPr>
          <w:i/>
          <w:spacing w:val="22"/>
          <w:sz w:val="38"/>
        </w:rPr>
        <w:t> </w:t>
      </w:r>
      <w:r>
        <w:rPr>
          <w:i/>
          <w:sz w:val="38"/>
        </w:rPr>
        <w:t>so</w:t>
      </w:r>
      <w:r>
        <w:rPr>
          <w:i/>
          <w:spacing w:val="21"/>
          <w:sz w:val="38"/>
        </w:rPr>
        <w:t> </w:t>
      </w:r>
      <w:r>
        <w:rPr>
          <w:i/>
          <w:sz w:val="38"/>
        </w:rPr>
        <w:t>to</w:t>
      </w:r>
      <w:r>
        <w:rPr>
          <w:i/>
          <w:spacing w:val="19"/>
          <w:sz w:val="38"/>
        </w:rPr>
        <w:t> </w:t>
      </w:r>
      <w:r>
        <w:rPr>
          <w:i/>
          <w:sz w:val="38"/>
        </w:rPr>
        <w:t>speak,</w:t>
      </w:r>
      <w:r>
        <w:rPr>
          <w:i/>
          <w:spacing w:val="22"/>
          <w:sz w:val="38"/>
        </w:rPr>
        <w:t> </w:t>
      </w:r>
      <w:r>
        <w:rPr>
          <w:i/>
          <w:sz w:val="38"/>
        </w:rPr>
        <w:t>cleaned</w:t>
      </w:r>
      <w:r>
        <w:rPr>
          <w:i/>
          <w:spacing w:val="21"/>
          <w:sz w:val="38"/>
        </w:rPr>
        <w:t> </w:t>
      </w:r>
      <w:r>
        <w:rPr>
          <w:i/>
          <w:sz w:val="38"/>
        </w:rPr>
        <w:t>out</w:t>
      </w:r>
    </w:p>
    <w:p>
      <w:pPr>
        <w:spacing w:after="0" w:line="276" w:lineRule="auto"/>
        <w:jc w:val="both"/>
        <w:rPr>
          <w:sz w:val="38"/>
        </w:rPr>
        <w:sectPr>
          <w:pgSz w:w="14270" w:h="16850"/>
          <w:pgMar w:header="0" w:footer="1891" w:top="1600" w:bottom="2080" w:left="800" w:right="1280"/>
        </w:sectPr>
      </w:pPr>
    </w:p>
    <w:p>
      <w:pPr>
        <w:spacing w:before="181"/>
        <w:ind w:left="477" w:right="0" w:firstLine="0"/>
        <w:jc w:val="left"/>
        <w:rPr>
          <w:i/>
          <w:sz w:val="38"/>
        </w:rPr>
      </w:pPr>
      <w:r>
        <w:rPr>
          <w:i/>
          <w:sz w:val="38"/>
        </w:rPr>
        <w:t>from the inside’.</w:t>
      </w:r>
    </w:p>
    <w:p>
      <w:pPr>
        <w:pStyle w:val="BodyText"/>
        <w:spacing w:line="276" w:lineRule="auto" w:before="305"/>
        <w:ind w:left="477" w:right="138"/>
        <w:jc w:val="both"/>
      </w:pPr>
      <w:r>
        <w:rPr/>
        <w:t>Bromelain, similar to papain, is multifactorial as part of cancer treatment and supports cancer therapy in a variety of ways.</w:t>
      </w:r>
    </w:p>
    <w:p>
      <w:pPr>
        <w:pStyle w:val="BodyText"/>
        <w:spacing w:line="276" w:lineRule="auto" w:before="241"/>
        <w:ind w:left="477" w:right="137"/>
        <w:jc w:val="both"/>
      </w:pPr>
      <w:r>
        <w:rPr/>
        <w:t>Read more interesting things about the effect of this amazing enzyme found in pineapples under ‘Effect of pineapple bromelain’.</w:t>
      </w:r>
    </w:p>
    <w:p>
      <w:pPr>
        <w:pStyle w:val="BodyText"/>
        <w:rPr>
          <w:sz w:val="42"/>
        </w:rPr>
      </w:pPr>
    </w:p>
    <w:p>
      <w:pPr>
        <w:pStyle w:val="BodyText"/>
        <w:spacing w:before="8"/>
        <w:rPr>
          <w:sz w:val="42"/>
        </w:rPr>
      </w:pPr>
    </w:p>
    <w:p>
      <w:pPr>
        <w:pStyle w:val="Heading1"/>
        <w:spacing w:before="0"/>
      </w:pPr>
      <w:r>
        <w:rPr/>
        <w:t>The active ingredients in pineapple</w:t>
      </w:r>
    </w:p>
    <w:p>
      <w:pPr>
        <w:spacing w:line="276" w:lineRule="auto" w:before="300"/>
        <w:ind w:left="477" w:right="135" w:firstLine="0"/>
        <w:jc w:val="both"/>
        <w:rPr>
          <w:i/>
          <w:sz w:val="38"/>
        </w:rPr>
      </w:pPr>
      <w:r>
        <w:rPr>
          <w:i/>
          <w:sz w:val="38"/>
        </w:rPr>
        <w:t>As already mentioned, pineapple is a veritable treasure trove of vital substances, consisting of </w:t>
      </w:r>
      <w:r>
        <w:rPr>
          <w:i/>
          <w:sz w:val="38"/>
        </w:rPr>
        <w:t>countless vitamins, minerals, trace elements and highly effective enzymes. In fact, besides vita- min E, biotin and vitamin B12, it contains all the vitamins and 16 different minerals.</w:t>
      </w:r>
      <w:r>
        <w:rPr>
          <w:i/>
          <w:position w:val="9"/>
          <w:sz w:val="25"/>
        </w:rPr>
        <w:t>49 </w:t>
      </w:r>
      <w:r>
        <w:rPr>
          <w:i/>
          <w:sz w:val="38"/>
        </w:rPr>
        <w:t>What active substances and ingredients are in pineapple?</w:t>
      </w:r>
    </w:p>
    <w:p>
      <w:pPr>
        <w:pStyle w:val="BodyText"/>
        <w:spacing w:line="276" w:lineRule="auto" w:before="239"/>
        <w:ind w:left="477" w:right="133"/>
        <w:jc w:val="both"/>
      </w:pPr>
      <w:r>
        <w:rPr/>
        <w:t>As</w:t>
      </w:r>
      <w:r>
        <w:rPr>
          <w:spacing w:val="-11"/>
        </w:rPr>
        <w:t> </w:t>
      </w:r>
      <w:r>
        <w:rPr/>
        <w:t>far</w:t>
      </w:r>
      <w:r>
        <w:rPr>
          <w:spacing w:val="-10"/>
        </w:rPr>
        <w:t> </w:t>
      </w:r>
      <w:r>
        <w:rPr/>
        <w:t>as</w:t>
      </w:r>
      <w:r>
        <w:rPr>
          <w:spacing w:val="-11"/>
        </w:rPr>
        <w:t> </w:t>
      </w:r>
      <w:r>
        <w:rPr/>
        <w:t>the</w:t>
      </w:r>
      <w:r>
        <w:rPr>
          <w:spacing w:val="-10"/>
        </w:rPr>
        <w:t> </w:t>
      </w:r>
      <w:r>
        <w:rPr/>
        <w:t>density</w:t>
      </w:r>
      <w:r>
        <w:rPr>
          <w:spacing w:val="-12"/>
        </w:rPr>
        <w:t> </w:t>
      </w:r>
      <w:r>
        <w:rPr/>
        <w:t>of</w:t>
      </w:r>
      <w:r>
        <w:rPr>
          <w:spacing w:val="-10"/>
        </w:rPr>
        <w:t> </w:t>
      </w:r>
      <w:r>
        <w:rPr/>
        <w:t>vital</w:t>
      </w:r>
      <w:r>
        <w:rPr>
          <w:spacing w:val="-12"/>
        </w:rPr>
        <w:t> </w:t>
      </w:r>
      <w:r>
        <w:rPr/>
        <w:t>substances</w:t>
      </w:r>
      <w:r>
        <w:rPr>
          <w:spacing w:val="-10"/>
        </w:rPr>
        <w:t> </w:t>
      </w:r>
      <w:r>
        <w:rPr/>
        <w:t>(the</w:t>
      </w:r>
      <w:r>
        <w:rPr>
          <w:spacing w:val="-10"/>
        </w:rPr>
        <w:t> </w:t>
      </w:r>
      <w:r>
        <w:rPr/>
        <w:t>ratio</w:t>
      </w:r>
      <w:r>
        <w:rPr>
          <w:spacing w:val="-13"/>
        </w:rPr>
        <w:t> </w:t>
      </w:r>
      <w:r>
        <w:rPr/>
        <w:t>of</w:t>
      </w:r>
      <w:r>
        <w:rPr>
          <w:spacing w:val="-10"/>
        </w:rPr>
        <w:t> </w:t>
      </w:r>
      <w:r>
        <w:rPr/>
        <w:t>vital</w:t>
      </w:r>
      <w:r>
        <w:rPr>
          <w:spacing w:val="-11"/>
        </w:rPr>
        <w:t> </w:t>
      </w:r>
      <w:r>
        <w:rPr/>
        <w:t>substances</w:t>
      </w:r>
      <w:r>
        <w:rPr>
          <w:spacing w:val="-10"/>
        </w:rPr>
        <w:t> </w:t>
      </w:r>
      <w:r>
        <w:rPr/>
        <w:t>to</w:t>
      </w:r>
      <w:r>
        <w:rPr>
          <w:spacing w:val="-11"/>
        </w:rPr>
        <w:t> </w:t>
      </w:r>
      <w:r>
        <w:rPr/>
        <w:t>calories) and the enzyme content are concerned, pineapple is in no way inferior to pa- paya; it contains all the vitamins, beta-carotene, biotin and numerous minerals as well as coenzymes and fruit acids – but above all the super-effective enzyme ‘bromelain’!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1"/>
        </w:rPr>
      </w:pPr>
      <w:r>
        <w:rPr/>
        <w:pict>
          <v:line style="position:absolute;mso-position-horizontal-relative:page;mso-position-vertical-relative:paragraph;z-index:-280;mso-wrap-distance-left:0;mso-wrap-distance-right:0" from="63.863998pt,8.958735pt" to="207.883998pt,8.958735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49 </w:t>
      </w:r>
      <w:r>
        <w:rPr>
          <w:sz w:val="20"/>
        </w:rPr>
        <w:t>Barbara Simonsohn: Die sagenhafte Heilkraft der Ananas (‘The Legendary Healing Power of Pineapple’) 4th Edition, 2012, p. 68.</w:t>
      </w:r>
    </w:p>
    <w:p>
      <w:pPr>
        <w:spacing w:after="0"/>
        <w:jc w:val="left"/>
        <w:rPr>
          <w:sz w:val="20"/>
        </w:rPr>
        <w:sectPr>
          <w:pgSz w:w="14270" w:h="16850"/>
          <w:pgMar w:header="0" w:footer="1891" w:top="1600" w:bottom="2080" w:left="800" w:right="1280"/>
        </w:sectPr>
      </w:pPr>
    </w:p>
    <w:p>
      <w:pPr>
        <w:pStyle w:val="Heading2"/>
        <w:spacing w:before="181"/>
      </w:pPr>
      <w:r>
        <w:rPr/>
        <w:t>Macronutrients in pineapple</w:t>
      </w:r>
    </w:p>
    <w:p>
      <w:pPr>
        <w:spacing w:before="267"/>
        <w:ind w:left="477" w:right="0" w:firstLine="0"/>
        <w:jc w:val="left"/>
        <w:rPr>
          <w:i/>
          <w:sz w:val="25"/>
        </w:rPr>
      </w:pPr>
      <w:r>
        <w:rPr>
          <w:i/>
          <w:sz w:val="38"/>
        </w:rPr>
        <w:t>150 g of pineapple contains:</w:t>
      </w:r>
      <w:r>
        <w:rPr>
          <w:i/>
          <w:position w:val="9"/>
          <w:sz w:val="25"/>
        </w:rPr>
        <w:t>50</w:t>
      </w:r>
    </w:p>
    <w:p>
      <w:pPr>
        <w:pStyle w:val="BodyText"/>
        <w:spacing w:before="5"/>
        <w:rPr>
          <w:i/>
          <w:sz w:val="16"/>
        </w:rPr>
      </w:pPr>
    </w:p>
    <w:tbl>
      <w:tblPr>
        <w:tblW w:w="0" w:type="auto"/>
        <w:jc w:val="left"/>
        <w:tblInd w:w="3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70"/>
        <w:gridCol w:w="2835"/>
      </w:tblGrid>
      <w:tr>
        <w:trPr>
          <w:trHeight w:val="693" w:hRule="atLeast"/>
        </w:trPr>
        <w:tc>
          <w:tcPr>
            <w:tcW w:w="3370" w:type="dxa"/>
          </w:tcPr>
          <w:p>
            <w:pPr>
              <w:pStyle w:val="TableParagraph"/>
              <w:spacing w:line="426" w:lineRule="exact"/>
              <w:ind w:left="107"/>
              <w:rPr>
                <w:sz w:val="38"/>
              </w:rPr>
            </w:pPr>
            <w:r>
              <w:rPr>
                <w:sz w:val="38"/>
              </w:rPr>
              <w:t>Calories</w:t>
            </w:r>
          </w:p>
        </w:tc>
        <w:tc>
          <w:tcPr>
            <w:tcW w:w="2835" w:type="dxa"/>
          </w:tcPr>
          <w:p>
            <w:pPr>
              <w:pStyle w:val="TableParagraph"/>
              <w:spacing w:line="426" w:lineRule="exact"/>
              <w:ind w:left="105"/>
              <w:rPr>
                <w:sz w:val="38"/>
              </w:rPr>
            </w:pPr>
            <w:r>
              <w:rPr>
                <w:sz w:val="38"/>
              </w:rPr>
              <w:t>77 kcal</w:t>
            </w:r>
          </w:p>
        </w:tc>
      </w:tr>
      <w:tr>
        <w:trPr>
          <w:trHeight w:val="690" w:hRule="atLeast"/>
        </w:trPr>
        <w:tc>
          <w:tcPr>
            <w:tcW w:w="3370" w:type="dxa"/>
          </w:tcPr>
          <w:p>
            <w:pPr>
              <w:pStyle w:val="TableParagraph"/>
              <w:spacing w:line="426" w:lineRule="exact"/>
              <w:ind w:left="107"/>
              <w:rPr>
                <w:sz w:val="38"/>
              </w:rPr>
            </w:pPr>
            <w:r>
              <w:rPr>
                <w:sz w:val="38"/>
              </w:rPr>
              <w:t>Water</w:t>
            </w:r>
          </w:p>
        </w:tc>
        <w:tc>
          <w:tcPr>
            <w:tcW w:w="2835" w:type="dxa"/>
          </w:tcPr>
          <w:p>
            <w:pPr>
              <w:pStyle w:val="TableParagraph"/>
              <w:spacing w:line="426" w:lineRule="exact"/>
              <w:ind w:left="105"/>
              <w:rPr>
                <w:sz w:val="38"/>
              </w:rPr>
            </w:pPr>
            <w:r>
              <w:rPr>
                <w:sz w:val="38"/>
              </w:rPr>
              <w:t>135 g</w:t>
            </w:r>
          </w:p>
        </w:tc>
      </w:tr>
      <w:tr>
        <w:trPr>
          <w:trHeight w:val="691" w:hRule="atLeast"/>
        </w:trPr>
        <w:tc>
          <w:tcPr>
            <w:tcW w:w="3370" w:type="dxa"/>
          </w:tcPr>
          <w:p>
            <w:pPr>
              <w:pStyle w:val="TableParagraph"/>
              <w:spacing w:line="426" w:lineRule="exact"/>
              <w:ind w:left="107"/>
              <w:rPr>
                <w:sz w:val="38"/>
              </w:rPr>
            </w:pPr>
            <w:r>
              <w:rPr>
                <w:sz w:val="38"/>
              </w:rPr>
              <w:t>Protein</w:t>
            </w:r>
          </w:p>
        </w:tc>
        <w:tc>
          <w:tcPr>
            <w:tcW w:w="2835" w:type="dxa"/>
          </w:tcPr>
          <w:p>
            <w:pPr>
              <w:pStyle w:val="TableParagraph"/>
              <w:spacing w:line="426" w:lineRule="exact"/>
              <w:ind w:left="105"/>
              <w:rPr>
                <w:sz w:val="38"/>
              </w:rPr>
            </w:pPr>
            <w:r>
              <w:rPr>
                <w:sz w:val="38"/>
              </w:rPr>
              <w:t>0.6 g</w:t>
            </w:r>
          </w:p>
        </w:tc>
      </w:tr>
      <w:tr>
        <w:trPr>
          <w:trHeight w:val="693" w:hRule="atLeast"/>
        </w:trPr>
        <w:tc>
          <w:tcPr>
            <w:tcW w:w="3370" w:type="dxa"/>
          </w:tcPr>
          <w:p>
            <w:pPr>
              <w:pStyle w:val="TableParagraph"/>
              <w:spacing w:line="426" w:lineRule="exact"/>
              <w:ind w:left="107"/>
              <w:rPr>
                <w:sz w:val="38"/>
              </w:rPr>
            </w:pPr>
            <w:r>
              <w:rPr>
                <w:sz w:val="38"/>
              </w:rPr>
              <w:t>Fat</w:t>
            </w:r>
          </w:p>
        </w:tc>
        <w:tc>
          <w:tcPr>
            <w:tcW w:w="2835" w:type="dxa"/>
          </w:tcPr>
          <w:p>
            <w:pPr>
              <w:pStyle w:val="TableParagraph"/>
              <w:spacing w:line="426" w:lineRule="exact"/>
              <w:ind w:left="105"/>
              <w:rPr>
                <w:sz w:val="38"/>
              </w:rPr>
            </w:pPr>
            <w:r>
              <w:rPr>
                <w:sz w:val="38"/>
              </w:rPr>
              <w:t>0.66 g</w:t>
            </w:r>
          </w:p>
        </w:tc>
      </w:tr>
      <w:tr>
        <w:trPr>
          <w:trHeight w:val="690" w:hRule="atLeast"/>
        </w:trPr>
        <w:tc>
          <w:tcPr>
            <w:tcW w:w="3370" w:type="dxa"/>
          </w:tcPr>
          <w:p>
            <w:pPr>
              <w:pStyle w:val="TableParagraph"/>
              <w:spacing w:line="426" w:lineRule="exact"/>
              <w:ind w:left="107"/>
              <w:rPr>
                <w:sz w:val="38"/>
              </w:rPr>
            </w:pPr>
            <w:r>
              <w:rPr>
                <w:sz w:val="38"/>
              </w:rPr>
              <w:t>Carbohydrates</w:t>
            </w:r>
          </w:p>
        </w:tc>
        <w:tc>
          <w:tcPr>
            <w:tcW w:w="2835" w:type="dxa"/>
          </w:tcPr>
          <w:p>
            <w:pPr>
              <w:pStyle w:val="TableParagraph"/>
              <w:spacing w:line="426" w:lineRule="exact"/>
              <w:ind w:left="105"/>
              <w:rPr>
                <w:sz w:val="38"/>
              </w:rPr>
            </w:pPr>
            <w:r>
              <w:rPr>
                <w:sz w:val="38"/>
              </w:rPr>
              <w:t>19.21 g</w:t>
            </w:r>
          </w:p>
        </w:tc>
      </w:tr>
    </w:tbl>
    <w:p>
      <w:pPr>
        <w:pStyle w:val="BodyText"/>
        <w:spacing w:before="1"/>
        <w:rPr>
          <w:i/>
          <w:sz w:val="61"/>
        </w:rPr>
      </w:pPr>
    </w:p>
    <w:p>
      <w:pPr>
        <w:pStyle w:val="Heading2"/>
        <w:ind w:left="573"/>
      </w:pPr>
      <w:r>
        <w:rPr/>
        <w:t>Vitamins in pineapple</w:t>
      </w:r>
    </w:p>
    <w:p>
      <w:pPr>
        <w:pStyle w:val="BodyText"/>
        <w:spacing w:before="8"/>
        <w:rPr>
          <w:b/>
          <w:sz w:val="16"/>
        </w:rPr>
      </w:pPr>
    </w:p>
    <w:tbl>
      <w:tblPr>
        <w:tblW w:w="0" w:type="auto"/>
        <w:jc w:val="left"/>
        <w:tblInd w:w="3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70"/>
        <w:gridCol w:w="2835"/>
      </w:tblGrid>
      <w:tr>
        <w:trPr>
          <w:trHeight w:val="690" w:hRule="atLeast"/>
        </w:trPr>
        <w:tc>
          <w:tcPr>
            <w:tcW w:w="3370" w:type="dxa"/>
          </w:tcPr>
          <w:p>
            <w:pPr>
              <w:pStyle w:val="TableParagraph"/>
              <w:spacing w:line="426" w:lineRule="exact"/>
              <w:ind w:left="107"/>
              <w:rPr>
                <w:sz w:val="38"/>
              </w:rPr>
            </w:pPr>
            <w:r>
              <w:rPr>
                <w:sz w:val="38"/>
              </w:rPr>
              <w:t>Provitamin A</w:t>
            </w:r>
          </w:p>
        </w:tc>
        <w:tc>
          <w:tcPr>
            <w:tcW w:w="2835" w:type="dxa"/>
          </w:tcPr>
          <w:p>
            <w:pPr>
              <w:pStyle w:val="TableParagraph"/>
              <w:spacing w:line="426" w:lineRule="exact"/>
              <w:ind w:left="105"/>
              <w:rPr>
                <w:sz w:val="38"/>
              </w:rPr>
            </w:pPr>
            <w:r>
              <w:rPr>
                <w:sz w:val="38"/>
              </w:rPr>
              <w:t>4 RE</w:t>
            </w:r>
          </w:p>
        </w:tc>
      </w:tr>
      <w:tr>
        <w:trPr>
          <w:trHeight w:val="693" w:hRule="atLeast"/>
        </w:trPr>
        <w:tc>
          <w:tcPr>
            <w:tcW w:w="3370" w:type="dxa"/>
          </w:tcPr>
          <w:p>
            <w:pPr>
              <w:pStyle w:val="TableParagraph"/>
              <w:spacing w:before="1"/>
              <w:ind w:left="107"/>
              <w:rPr>
                <w:sz w:val="38"/>
              </w:rPr>
            </w:pPr>
            <w:r>
              <w:rPr>
                <w:sz w:val="38"/>
              </w:rPr>
              <w:t>Vitamin C</w:t>
            </w:r>
          </w:p>
        </w:tc>
        <w:tc>
          <w:tcPr>
            <w:tcW w:w="2835" w:type="dxa"/>
          </w:tcPr>
          <w:p>
            <w:pPr>
              <w:pStyle w:val="TableParagraph"/>
              <w:spacing w:before="1"/>
              <w:ind w:left="105"/>
              <w:rPr>
                <w:sz w:val="38"/>
              </w:rPr>
            </w:pPr>
            <w:r>
              <w:rPr>
                <w:sz w:val="38"/>
              </w:rPr>
              <w:t>23.9 mg</w:t>
            </w:r>
          </w:p>
        </w:tc>
      </w:tr>
      <w:tr>
        <w:trPr>
          <w:trHeight w:val="690" w:hRule="atLeast"/>
        </w:trPr>
        <w:tc>
          <w:tcPr>
            <w:tcW w:w="3370" w:type="dxa"/>
          </w:tcPr>
          <w:p>
            <w:pPr>
              <w:pStyle w:val="TableParagraph"/>
              <w:spacing w:line="426" w:lineRule="exact"/>
              <w:ind w:left="107"/>
              <w:rPr>
                <w:sz w:val="38"/>
              </w:rPr>
            </w:pPr>
            <w:r>
              <w:rPr>
                <w:sz w:val="38"/>
              </w:rPr>
              <w:t>Vitamin B1</w:t>
            </w:r>
          </w:p>
        </w:tc>
        <w:tc>
          <w:tcPr>
            <w:tcW w:w="2835" w:type="dxa"/>
          </w:tcPr>
          <w:p>
            <w:pPr>
              <w:pStyle w:val="TableParagraph"/>
              <w:spacing w:line="426" w:lineRule="exact"/>
              <w:ind w:left="105"/>
              <w:rPr>
                <w:sz w:val="38"/>
              </w:rPr>
            </w:pPr>
            <w:r>
              <w:rPr>
                <w:sz w:val="38"/>
              </w:rPr>
              <w:t>0.143 mg</w:t>
            </w:r>
          </w:p>
        </w:tc>
      </w:tr>
      <w:tr>
        <w:trPr>
          <w:trHeight w:val="690" w:hRule="atLeast"/>
        </w:trPr>
        <w:tc>
          <w:tcPr>
            <w:tcW w:w="3370" w:type="dxa"/>
          </w:tcPr>
          <w:p>
            <w:pPr>
              <w:pStyle w:val="TableParagraph"/>
              <w:spacing w:line="426" w:lineRule="exact"/>
              <w:ind w:left="107"/>
              <w:rPr>
                <w:sz w:val="38"/>
              </w:rPr>
            </w:pPr>
            <w:r>
              <w:rPr>
                <w:sz w:val="38"/>
              </w:rPr>
              <w:t>Vitamin B2</w:t>
            </w:r>
          </w:p>
        </w:tc>
        <w:tc>
          <w:tcPr>
            <w:tcW w:w="2835" w:type="dxa"/>
          </w:tcPr>
          <w:p>
            <w:pPr>
              <w:pStyle w:val="TableParagraph"/>
              <w:spacing w:line="426" w:lineRule="exact"/>
              <w:ind w:left="105"/>
              <w:rPr>
                <w:sz w:val="38"/>
              </w:rPr>
            </w:pPr>
            <w:r>
              <w:rPr>
                <w:sz w:val="38"/>
              </w:rPr>
              <w:t>0.056 mg</w:t>
            </w:r>
          </w:p>
        </w:tc>
      </w:tr>
      <w:tr>
        <w:trPr>
          <w:trHeight w:val="693" w:hRule="atLeast"/>
        </w:trPr>
        <w:tc>
          <w:tcPr>
            <w:tcW w:w="3370" w:type="dxa"/>
          </w:tcPr>
          <w:p>
            <w:pPr>
              <w:pStyle w:val="TableParagraph"/>
              <w:spacing w:before="1"/>
              <w:ind w:left="107"/>
              <w:rPr>
                <w:sz w:val="38"/>
              </w:rPr>
            </w:pPr>
            <w:r>
              <w:rPr>
                <w:sz w:val="38"/>
              </w:rPr>
              <w:t>Vitamin B3</w:t>
            </w:r>
          </w:p>
        </w:tc>
        <w:tc>
          <w:tcPr>
            <w:tcW w:w="2835" w:type="dxa"/>
          </w:tcPr>
          <w:p>
            <w:pPr>
              <w:pStyle w:val="TableParagraph"/>
              <w:spacing w:before="1"/>
              <w:ind w:left="105"/>
              <w:rPr>
                <w:sz w:val="38"/>
              </w:rPr>
            </w:pPr>
            <w:r>
              <w:rPr>
                <w:sz w:val="38"/>
              </w:rPr>
              <w:t>0.651 mg</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1"/>
        </w:rPr>
      </w:pPr>
      <w:r>
        <w:rPr/>
        <w:pict>
          <v:line style="position:absolute;mso-position-horizontal-relative:page;mso-position-vertical-relative:paragraph;z-index:-256;mso-wrap-distance-left:0;mso-wrap-distance-right:0" from="63.863998pt,14.369985pt" to="207.883998pt,14.369985pt" stroked="true" strokeweight=".72003pt" strokecolor="#000000">
            <v:stroke dashstyle="solid"/>
            <w10:wrap type="topAndBottom"/>
          </v:line>
        </w:pict>
      </w:r>
    </w:p>
    <w:p>
      <w:pPr>
        <w:spacing w:before="309"/>
        <w:ind w:left="477" w:right="0" w:firstLine="0"/>
        <w:jc w:val="left"/>
        <w:rPr>
          <w:sz w:val="20"/>
        </w:rPr>
      </w:pPr>
      <w:r>
        <w:rPr>
          <w:position w:val="5"/>
          <w:sz w:val="13"/>
        </w:rPr>
        <w:t>50 </w:t>
      </w:r>
      <w:r>
        <w:rPr>
          <w:sz w:val="20"/>
        </w:rPr>
        <w:t>Barbara Simonsohn: Die sagenhafte Heilkraft der Ananas (‘The Legendary Healing Power of Pineapple’) 4th Edition, 2012, p.48.</w:t>
      </w:r>
    </w:p>
    <w:p>
      <w:pPr>
        <w:spacing w:after="0"/>
        <w:jc w:val="left"/>
        <w:rPr>
          <w:sz w:val="20"/>
        </w:rPr>
        <w:sectPr>
          <w:pgSz w:w="14270" w:h="16850"/>
          <w:pgMar w:header="0" w:footer="1891" w:top="1600" w:bottom="2080" w:left="800" w:right="1280"/>
        </w:sectPr>
      </w:pPr>
    </w:p>
    <w:p>
      <w:pPr>
        <w:pStyle w:val="BodyText"/>
        <w:rPr>
          <w:sz w:val="20"/>
        </w:rPr>
      </w:pPr>
    </w:p>
    <w:p>
      <w:pPr>
        <w:pStyle w:val="BodyText"/>
        <w:rPr>
          <w:sz w:val="20"/>
        </w:rPr>
      </w:pPr>
    </w:p>
    <w:p>
      <w:pPr>
        <w:pStyle w:val="BodyText"/>
        <w:spacing w:before="8"/>
        <w:rPr>
          <w:sz w:val="28"/>
        </w:rPr>
      </w:pPr>
    </w:p>
    <w:p>
      <w:pPr>
        <w:pStyle w:val="Heading2"/>
        <w:spacing w:before="100"/>
        <w:ind w:left="573"/>
      </w:pPr>
      <w:r>
        <w:rPr/>
        <w:t>Minerals in pineapple</w:t>
      </w:r>
    </w:p>
    <w:p>
      <w:pPr>
        <w:pStyle w:val="BodyText"/>
        <w:spacing w:before="7" w:after="1"/>
        <w:rPr>
          <w:b/>
          <w:sz w:val="16"/>
        </w:rPr>
      </w:pPr>
    </w:p>
    <w:tbl>
      <w:tblPr>
        <w:tblW w:w="0" w:type="auto"/>
        <w:jc w:val="left"/>
        <w:tblInd w:w="3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70"/>
        <w:gridCol w:w="2835"/>
      </w:tblGrid>
      <w:tr>
        <w:trPr>
          <w:trHeight w:val="693" w:hRule="atLeast"/>
        </w:trPr>
        <w:tc>
          <w:tcPr>
            <w:tcW w:w="3370" w:type="dxa"/>
          </w:tcPr>
          <w:p>
            <w:pPr>
              <w:pStyle w:val="TableParagraph"/>
              <w:spacing w:line="426" w:lineRule="exact"/>
              <w:ind w:left="107"/>
              <w:rPr>
                <w:sz w:val="38"/>
              </w:rPr>
            </w:pPr>
            <w:r>
              <w:rPr>
                <w:sz w:val="38"/>
              </w:rPr>
              <w:t>Potassium</w:t>
            </w:r>
          </w:p>
        </w:tc>
        <w:tc>
          <w:tcPr>
            <w:tcW w:w="2835" w:type="dxa"/>
          </w:tcPr>
          <w:p>
            <w:pPr>
              <w:pStyle w:val="TableParagraph"/>
              <w:spacing w:line="426" w:lineRule="exact"/>
              <w:ind w:left="105"/>
              <w:rPr>
                <w:sz w:val="38"/>
              </w:rPr>
            </w:pPr>
            <w:r>
              <w:rPr>
                <w:sz w:val="38"/>
              </w:rPr>
              <w:t>175 mg</w:t>
            </w:r>
          </w:p>
        </w:tc>
      </w:tr>
      <w:tr>
        <w:trPr>
          <w:trHeight w:val="690" w:hRule="atLeast"/>
        </w:trPr>
        <w:tc>
          <w:tcPr>
            <w:tcW w:w="3370" w:type="dxa"/>
          </w:tcPr>
          <w:p>
            <w:pPr>
              <w:pStyle w:val="TableParagraph"/>
              <w:spacing w:line="426" w:lineRule="exact"/>
              <w:ind w:left="107"/>
              <w:rPr>
                <w:sz w:val="38"/>
              </w:rPr>
            </w:pPr>
            <w:r>
              <w:rPr>
                <w:sz w:val="38"/>
              </w:rPr>
              <w:t>Calcium</w:t>
            </w:r>
          </w:p>
        </w:tc>
        <w:tc>
          <w:tcPr>
            <w:tcW w:w="2835" w:type="dxa"/>
          </w:tcPr>
          <w:p>
            <w:pPr>
              <w:pStyle w:val="TableParagraph"/>
              <w:spacing w:line="426" w:lineRule="exact"/>
              <w:ind w:left="105"/>
              <w:rPr>
                <w:sz w:val="38"/>
              </w:rPr>
            </w:pPr>
            <w:r>
              <w:rPr>
                <w:sz w:val="38"/>
              </w:rPr>
              <w:t>11 mg</w:t>
            </w:r>
          </w:p>
        </w:tc>
      </w:tr>
      <w:tr>
        <w:trPr>
          <w:trHeight w:val="691" w:hRule="atLeast"/>
        </w:trPr>
        <w:tc>
          <w:tcPr>
            <w:tcW w:w="3370" w:type="dxa"/>
          </w:tcPr>
          <w:p>
            <w:pPr>
              <w:pStyle w:val="TableParagraph"/>
              <w:spacing w:line="426" w:lineRule="exact"/>
              <w:ind w:left="107"/>
              <w:rPr>
                <w:sz w:val="38"/>
              </w:rPr>
            </w:pPr>
            <w:r>
              <w:rPr>
                <w:sz w:val="38"/>
              </w:rPr>
              <w:t>Iron</w:t>
            </w:r>
          </w:p>
        </w:tc>
        <w:tc>
          <w:tcPr>
            <w:tcW w:w="2835" w:type="dxa"/>
          </w:tcPr>
          <w:p>
            <w:pPr>
              <w:pStyle w:val="TableParagraph"/>
              <w:spacing w:line="426" w:lineRule="exact"/>
              <w:ind w:left="105"/>
              <w:rPr>
                <w:sz w:val="38"/>
              </w:rPr>
            </w:pPr>
            <w:r>
              <w:rPr>
                <w:sz w:val="38"/>
              </w:rPr>
              <w:t>0.57 mg</w:t>
            </w:r>
          </w:p>
        </w:tc>
      </w:tr>
      <w:tr>
        <w:trPr>
          <w:trHeight w:val="693" w:hRule="atLeast"/>
        </w:trPr>
        <w:tc>
          <w:tcPr>
            <w:tcW w:w="3370" w:type="dxa"/>
          </w:tcPr>
          <w:p>
            <w:pPr>
              <w:pStyle w:val="TableParagraph"/>
              <w:spacing w:line="426" w:lineRule="exact"/>
              <w:ind w:left="107"/>
              <w:rPr>
                <w:sz w:val="38"/>
              </w:rPr>
            </w:pPr>
            <w:r>
              <w:rPr>
                <w:sz w:val="38"/>
              </w:rPr>
              <w:t>Magnesium</w:t>
            </w:r>
          </w:p>
        </w:tc>
        <w:tc>
          <w:tcPr>
            <w:tcW w:w="2835" w:type="dxa"/>
          </w:tcPr>
          <w:p>
            <w:pPr>
              <w:pStyle w:val="TableParagraph"/>
              <w:spacing w:line="426" w:lineRule="exact"/>
              <w:ind w:left="105"/>
              <w:rPr>
                <w:sz w:val="38"/>
              </w:rPr>
            </w:pPr>
            <w:r>
              <w:rPr>
                <w:sz w:val="38"/>
              </w:rPr>
              <w:t>21 mg</w:t>
            </w:r>
          </w:p>
        </w:tc>
      </w:tr>
      <w:tr>
        <w:trPr>
          <w:trHeight w:val="690" w:hRule="atLeast"/>
        </w:trPr>
        <w:tc>
          <w:tcPr>
            <w:tcW w:w="3370" w:type="dxa"/>
          </w:tcPr>
          <w:p>
            <w:pPr>
              <w:pStyle w:val="TableParagraph"/>
              <w:spacing w:line="426" w:lineRule="exact"/>
              <w:ind w:left="107"/>
              <w:rPr>
                <w:sz w:val="38"/>
              </w:rPr>
            </w:pPr>
            <w:r>
              <w:rPr>
                <w:sz w:val="38"/>
              </w:rPr>
              <w:t>Phosphorus</w:t>
            </w:r>
          </w:p>
        </w:tc>
        <w:tc>
          <w:tcPr>
            <w:tcW w:w="2835" w:type="dxa"/>
          </w:tcPr>
          <w:p>
            <w:pPr>
              <w:pStyle w:val="TableParagraph"/>
              <w:spacing w:line="426" w:lineRule="exact"/>
              <w:ind w:left="105"/>
              <w:rPr>
                <w:sz w:val="38"/>
              </w:rPr>
            </w:pPr>
            <w:r>
              <w:rPr>
                <w:sz w:val="38"/>
              </w:rPr>
              <w:t>11 mg</w:t>
            </w:r>
          </w:p>
        </w:tc>
      </w:tr>
      <w:tr>
        <w:trPr>
          <w:trHeight w:val="690" w:hRule="atLeast"/>
        </w:trPr>
        <w:tc>
          <w:tcPr>
            <w:tcW w:w="3370" w:type="dxa"/>
          </w:tcPr>
          <w:p>
            <w:pPr>
              <w:pStyle w:val="TableParagraph"/>
              <w:spacing w:line="426" w:lineRule="exact"/>
              <w:ind w:left="107"/>
              <w:rPr>
                <w:sz w:val="38"/>
              </w:rPr>
            </w:pPr>
            <w:r>
              <w:rPr>
                <w:sz w:val="38"/>
              </w:rPr>
              <w:t>Sodium</w:t>
            </w:r>
          </w:p>
        </w:tc>
        <w:tc>
          <w:tcPr>
            <w:tcW w:w="2835" w:type="dxa"/>
          </w:tcPr>
          <w:p>
            <w:pPr>
              <w:pStyle w:val="TableParagraph"/>
              <w:spacing w:line="426" w:lineRule="exact"/>
              <w:ind w:left="105"/>
              <w:rPr>
                <w:sz w:val="38"/>
              </w:rPr>
            </w:pPr>
            <w:r>
              <w:rPr>
                <w:sz w:val="38"/>
              </w:rPr>
              <w:t>1 mg</w:t>
            </w:r>
          </w:p>
        </w:tc>
      </w:tr>
    </w:tbl>
    <w:p>
      <w:pPr>
        <w:pStyle w:val="BodyText"/>
        <w:rPr>
          <w:b/>
          <w:sz w:val="42"/>
        </w:rPr>
      </w:pPr>
    </w:p>
    <w:p>
      <w:pPr>
        <w:pStyle w:val="BodyText"/>
        <w:spacing w:before="256"/>
        <w:ind w:left="477"/>
      </w:pPr>
      <w:r>
        <w:rPr/>
        <w:t>Pineapple also contains the trace elements zinc, iodine, copper and</w:t>
      </w:r>
      <w:r>
        <w:rPr>
          <w:spacing w:val="-63"/>
        </w:rPr>
        <w:t> </w:t>
      </w:r>
      <w:r>
        <w:rPr/>
        <w:t>manganese.</w:t>
      </w:r>
    </w:p>
    <w:p>
      <w:pPr>
        <w:pStyle w:val="Heading2"/>
        <w:spacing w:before="305"/>
      </w:pPr>
      <w:r>
        <w:rPr/>
        <w:t>Other substances contained in pineapple with health benefits:</w:t>
      </w:r>
    </w:p>
    <w:p>
      <w:pPr>
        <w:pStyle w:val="ListParagraph"/>
        <w:numPr>
          <w:ilvl w:val="0"/>
          <w:numId w:val="16"/>
        </w:numPr>
        <w:tabs>
          <w:tab w:pos="691" w:val="left" w:leader="none"/>
        </w:tabs>
        <w:spacing w:line="240" w:lineRule="auto" w:before="304" w:after="0"/>
        <w:ind w:left="690" w:right="0" w:hanging="213"/>
        <w:jc w:val="left"/>
        <w:rPr>
          <w:sz w:val="38"/>
        </w:rPr>
      </w:pPr>
      <w:r>
        <w:rPr>
          <w:sz w:val="38"/>
        </w:rPr>
        <w:t>1–8.6 % citric</w:t>
      </w:r>
      <w:r>
        <w:rPr>
          <w:spacing w:val="-1"/>
          <w:sz w:val="38"/>
        </w:rPr>
        <w:t> </w:t>
      </w:r>
      <w:r>
        <w:rPr>
          <w:sz w:val="38"/>
        </w:rPr>
        <w:t>acid</w:t>
      </w:r>
    </w:p>
    <w:p>
      <w:pPr>
        <w:pStyle w:val="ListParagraph"/>
        <w:numPr>
          <w:ilvl w:val="0"/>
          <w:numId w:val="16"/>
        </w:numPr>
        <w:tabs>
          <w:tab w:pos="691" w:val="left" w:leader="none"/>
        </w:tabs>
        <w:spacing w:line="240" w:lineRule="auto" w:before="185" w:after="0"/>
        <w:ind w:left="690" w:right="0" w:hanging="213"/>
        <w:jc w:val="left"/>
        <w:rPr>
          <w:sz w:val="38"/>
        </w:rPr>
      </w:pPr>
      <w:r>
        <w:rPr>
          <w:sz w:val="38"/>
        </w:rPr>
        <w:t>glucuronic acid</w:t>
      </w:r>
    </w:p>
    <w:p>
      <w:pPr>
        <w:pStyle w:val="ListParagraph"/>
        <w:numPr>
          <w:ilvl w:val="0"/>
          <w:numId w:val="16"/>
        </w:numPr>
        <w:tabs>
          <w:tab w:pos="691" w:val="left" w:leader="none"/>
        </w:tabs>
        <w:spacing w:line="240" w:lineRule="auto" w:before="184" w:after="0"/>
        <w:ind w:left="690" w:right="0" w:hanging="213"/>
        <w:jc w:val="left"/>
        <w:rPr>
          <w:sz w:val="38"/>
        </w:rPr>
      </w:pPr>
      <w:r>
        <w:rPr>
          <w:sz w:val="38"/>
        </w:rPr>
        <w:t>ferulic</w:t>
      </w:r>
      <w:r>
        <w:rPr>
          <w:spacing w:val="-2"/>
          <w:sz w:val="38"/>
        </w:rPr>
        <w:t> </w:t>
      </w:r>
      <w:r>
        <w:rPr>
          <w:sz w:val="38"/>
        </w:rPr>
        <w:t>acid</w:t>
      </w:r>
    </w:p>
    <w:p>
      <w:pPr>
        <w:pStyle w:val="ListParagraph"/>
        <w:numPr>
          <w:ilvl w:val="0"/>
          <w:numId w:val="16"/>
        </w:numPr>
        <w:tabs>
          <w:tab w:pos="691" w:val="left" w:leader="none"/>
        </w:tabs>
        <w:spacing w:line="240" w:lineRule="auto" w:before="182" w:after="0"/>
        <w:ind w:left="690" w:right="0" w:hanging="213"/>
        <w:jc w:val="left"/>
        <w:rPr>
          <w:sz w:val="38"/>
        </w:rPr>
      </w:pPr>
      <w:r>
        <w:rPr>
          <w:sz w:val="38"/>
        </w:rPr>
        <w:t>galacturonic</w:t>
      </w:r>
      <w:r>
        <w:rPr>
          <w:spacing w:val="-2"/>
          <w:sz w:val="38"/>
        </w:rPr>
        <w:t> </w:t>
      </w:r>
      <w:r>
        <w:rPr>
          <w:sz w:val="38"/>
        </w:rPr>
        <w:t>acid</w:t>
      </w:r>
    </w:p>
    <w:p>
      <w:pPr>
        <w:pStyle w:val="ListParagraph"/>
        <w:numPr>
          <w:ilvl w:val="0"/>
          <w:numId w:val="16"/>
        </w:numPr>
        <w:tabs>
          <w:tab w:pos="691" w:val="left" w:leader="none"/>
        </w:tabs>
        <w:spacing w:line="240" w:lineRule="auto" w:before="185" w:after="0"/>
        <w:ind w:left="690" w:right="0" w:hanging="213"/>
        <w:jc w:val="left"/>
        <w:rPr>
          <w:sz w:val="38"/>
        </w:rPr>
      </w:pPr>
      <w:r>
        <w:rPr>
          <w:sz w:val="38"/>
        </w:rPr>
        <w:t>niacin</w:t>
      </w:r>
    </w:p>
    <w:p>
      <w:pPr>
        <w:pStyle w:val="ListParagraph"/>
        <w:numPr>
          <w:ilvl w:val="0"/>
          <w:numId w:val="16"/>
        </w:numPr>
        <w:tabs>
          <w:tab w:pos="691" w:val="left" w:leader="none"/>
        </w:tabs>
        <w:spacing w:line="240" w:lineRule="auto" w:before="185" w:after="0"/>
        <w:ind w:left="690" w:right="0" w:hanging="213"/>
        <w:jc w:val="left"/>
        <w:rPr>
          <w:sz w:val="38"/>
        </w:rPr>
      </w:pPr>
      <w:r>
        <w:rPr>
          <w:sz w:val="38"/>
        </w:rPr>
        <w:t>vanillin</w:t>
      </w:r>
    </w:p>
    <w:p>
      <w:pPr>
        <w:spacing w:after="0" w:line="240" w:lineRule="auto"/>
        <w:jc w:val="left"/>
        <w:rPr>
          <w:sz w:val="38"/>
        </w:rPr>
        <w:sectPr>
          <w:pgSz w:w="14270" w:h="16850"/>
          <w:pgMar w:header="0" w:footer="1891" w:top="1600" w:bottom="2080" w:left="800" w:right="1280"/>
        </w:sectPr>
      </w:pPr>
    </w:p>
    <w:p>
      <w:pPr>
        <w:pStyle w:val="ListParagraph"/>
        <w:numPr>
          <w:ilvl w:val="0"/>
          <w:numId w:val="16"/>
        </w:numPr>
        <w:tabs>
          <w:tab w:pos="691" w:val="left" w:leader="none"/>
        </w:tabs>
        <w:spacing w:line="240" w:lineRule="auto" w:before="181" w:after="0"/>
        <w:ind w:left="690" w:right="0" w:hanging="213"/>
        <w:jc w:val="both"/>
        <w:rPr>
          <w:sz w:val="38"/>
        </w:rPr>
      </w:pPr>
      <w:r>
        <w:rPr>
          <w:sz w:val="38"/>
        </w:rPr>
        <w:t>pantothenic</w:t>
      </w:r>
      <w:r>
        <w:rPr>
          <w:spacing w:val="-2"/>
          <w:sz w:val="38"/>
        </w:rPr>
        <w:t> </w:t>
      </w:r>
      <w:r>
        <w:rPr>
          <w:sz w:val="38"/>
        </w:rPr>
        <w:t>acid</w:t>
      </w:r>
    </w:p>
    <w:p>
      <w:pPr>
        <w:pStyle w:val="ListParagraph"/>
        <w:numPr>
          <w:ilvl w:val="0"/>
          <w:numId w:val="16"/>
        </w:numPr>
        <w:tabs>
          <w:tab w:pos="691" w:val="left" w:leader="none"/>
        </w:tabs>
        <w:spacing w:line="240" w:lineRule="auto" w:before="185" w:after="0"/>
        <w:ind w:left="690" w:right="0" w:hanging="213"/>
        <w:jc w:val="both"/>
        <w:rPr>
          <w:sz w:val="38"/>
        </w:rPr>
      </w:pPr>
      <w:r>
        <w:rPr>
          <w:sz w:val="38"/>
        </w:rPr>
        <w:t>mannose</w:t>
      </w:r>
    </w:p>
    <w:p>
      <w:pPr>
        <w:pStyle w:val="ListParagraph"/>
        <w:numPr>
          <w:ilvl w:val="0"/>
          <w:numId w:val="16"/>
        </w:numPr>
        <w:tabs>
          <w:tab w:pos="691" w:val="left" w:leader="none"/>
        </w:tabs>
        <w:spacing w:line="240" w:lineRule="auto" w:before="184" w:after="0"/>
        <w:ind w:left="690" w:right="0" w:hanging="213"/>
        <w:jc w:val="both"/>
        <w:rPr>
          <w:sz w:val="38"/>
        </w:rPr>
      </w:pPr>
      <w:r>
        <w:rPr>
          <w:sz w:val="38"/>
        </w:rPr>
        <w:t>ribose</w:t>
      </w:r>
    </w:p>
    <w:p>
      <w:pPr>
        <w:pStyle w:val="ListParagraph"/>
        <w:numPr>
          <w:ilvl w:val="0"/>
          <w:numId w:val="16"/>
        </w:numPr>
        <w:tabs>
          <w:tab w:pos="691" w:val="left" w:leader="none"/>
        </w:tabs>
        <w:spacing w:line="240" w:lineRule="auto" w:before="185" w:after="0"/>
        <w:ind w:left="690" w:right="0" w:hanging="213"/>
        <w:jc w:val="both"/>
        <w:rPr>
          <w:sz w:val="38"/>
        </w:rPr>
      </w:pPr>
      <w:r>
        <w:rPr>
          <w:sz w:val="38"/>
        </w:rPr>
        <w:t>xylose</w:t>
      </w:r>
    </w:p>
    <w:p>
      <w:pPr>
        <w:pStyle w:val="ListParagraph"/>
        <w:numPr>
          <w:ilvl w:val="0"/>
          <w:numId w:val="16"/>
        </w:numPr>
        <w:tabs>
          <w:tab w:pos="691" w:val="left" w:leader="none"/>
        </w:tabs>
        <w:spacing w:line="240" w:lineRule="auto" w:before="184" w:after="0"/>
        <w:ind w:left="690" w:right="0" w:hanging="213"/>
        <w:jc w:val="both"/>
        <w:rPr>
          <w:sz w:val="38"/>
        </w:rPr>
      </w:pPr>
      <w:r>
        <w:rPr>
          <w:sz w:val="38"/>
        </w:rPr>
        <w:t>galactose</w:t>
      </w:r>
    </w:p>
    <w:p>
      <w:pPr>
        <w:pStyle w:val="ListParagraph"/>
        <w:numPr>
          <w:ilvl w:val="0"/>
          <w:numId w:val="16"/>
        </w:numPr>
        <w:tabs>
          <w:tab w:pos="691" w:val="left" w:leader="none"/>
        </w:tabs>
        <w:spacing w:line="240" w:lineRule="auto" w:before="183" w:after="0"/>
        <w:ind w:left="690" w:right="0" w:hanging="213"/>
        <w:jc w:val="both"/>
        <w:rPr>
          <w:sz w:val="38"/>
        </w:rPr>
      </w:pPr>
      <w:r>
        <w:rPr>
          <w:sz w:val="38"/>
        </w:rPr>
        <w:t>salicylic</w:t>
      </w:r>
      <w:r>
        <w:rPr>
          <w:spacing w:val="-1"/>
          <w:sz w:val="38"/>
        </w:rPr>
        <w:t> </w:t>
      </w:r>
      <w:r>
        <w:rPr>
          <w:sz w:val="38"/>
        </w:rPr>
        <w:t>acid</w:t>
      </w:r>
    </w:p>
    <w:p>
      <w:pPr>
        <w:pStyle w:val="BodyText"/>
        <w:spacing w:line="276" w:lineRule="auto" w:before="305"/>
        <w:ind w:left="477"/>
      </w:pPr>
      <w:r>
        <w:rPr/>
        <w:t>Enzymes in pineapple: first and foremost, we should mention bromelain here, which is only found in a concentrated form in pineapple.</w:t>
      </w:r>
    </w:p>
    <w:p>
      <w:pPr>
        <w:pStyle w:val="BodyText"/>
        <w:rPr>
          <w:sz w:val="42"/>
        </w:rPr>
      </w:pPr>
    </w:p>
    <w:p>
      <w:pPr>
        <w:pStyle w:val="BodyText"/>
        <w:spacing w:before="10"/>
        <w:rPr>
          <w:sz w:val="42"/>
        </w:rPr>
      </w:pPr>
    </w:p>
    <w:p>
      <w:pPr>
        <w:pStyle w:val="Heading1"/>
        <w:spacing w:before="0"/>
      </w:pPr>
      <w:r>
        <w:rPr/>
        <w:t>Effect of pineapple/bromelain</w:t>
      </w:r>
    </w:p>
    <w:p>
      <w:pPr>
        <w:pStyle w:val="BodyText"/>
        <w:spacing w:line="276" w:lineRule="auto" w:before="299"/>
        <w:ind w:left="477" w:right="135"/>
        <w:jc w:val="both"/>
      </w:pPr>
      <w:r>
        <w:rPr/>
        <w:t>What effect do pineapple and its enzyme bromelain have, and what do they counteract? Before we talk in detail about the mode of action and effect of pineapple and bromelain, it is extremely important to mention that we are</w:t>
      </w:r>
      <w:r>
        <w:rPr>
          <w:spacing w:val="-47"/>
        </w:rPr>
        <w:t> </w:t>
      </w:r>
      <w:r>
        <w:rPr/>
        <w:t>talk- ing about fresh pineapple. Tinned pineapple (preserve) has virtually lost its ef- fectiveness during the preservation process, as its effective enzymes have been killed.</w:t>
      </w:r>
    </w:p>
    <w:p>
      <w:pPr>
        <w:pStyle w:val="Heading1"/>
        <w:spacing w:before="223"/>
      </w:pPr>
      <w:r>
        <w:rPr/>
        <w:t>What effect does bromelain have, and what does it counteract?</w:t>
      </w:r>
    </w:p>
    <w:p>
      <w:pPr>
        <w:pStyle w:val="BodyText"/>
        <w:spacing w:line="276" w:lineRule="auto" w:before="300"/>
        <w:ind w:left="477"/>
      </w:pPr>
      <w:r>
        <w:rPr/>
        <w:t>Bromelains are protein-splitting enzymes that act in a cellulose-activating, vital- ising, carminative, muscle-relaxing, anti-inflammatory manner and break down</w:t>
      </w:r>
    </w:p>
    <w:p>
      <w:pPr>
        <w:spacing w:after="0" w:line="276" w:lineRule="auto"/>
        <w:sectPr>
          <w:pgSz w:w="14270" w:h="16850"/>
          <w:pgMar w:header="0" w:footer="1891" w:top="1600" w:bottom="2080" w:left="800" w:right="1280"/>
        </w:sectPr>
      </w:pPr>
    </w:p>
    <w:p>
      <w:pPr>
        <w:pStyle w:val="BodyText"/>
        <w:spacing w:before="181"/>
        <w:ind w:left="477"/>
      </w:pPr>
      <w:r>
        <w:rPr/>
        <w:t>harmful substances.</w:t>
      </w:r>
    </w:p>
    <w:p>
      <w:pPr>
        <w:pStyle w:val="Heading1"/>
        <w:spacing w:before="288"/>
      </w:pPr>
      <w:r>
        <w:rPr/>
        <w:t>Effect of bromelain on the body</w:t>
      </w:r>
    </w:p>
    <w:p>
      <w:pPr>
        <w:pStyle w:val="BodyText"/>
        <w:spacing w:line="276" w:lineRule="auto" w:before="299"/>
        <w:ind w:left="477" w:right="131"/>
        <w:jc w:val="both"/>
      </w:pPr>
      <w:r>
        <w:rPr/>
        <w:t>Stress is by far </w:t>
      </w:r>
      <w:r>
        <w:rPr>
          <w:u w:val="single"/>
        </w:rPr>
        <w:t>the</w:t>
      </w:r>
      <w:r>
        <w:rPr/>
        <w:t> most common cause of illness today. If a person is exposed to negative stress over a long period of time (as opposed to ‘eustress’), which the</w:t>
      </w:r>
      <w:r>
        <w:rPr>
          <w:spacing w:val="-8"/>
        </w:rPr>
        <w:t> </w:t>
      </w:r>
      <w:r>
        <w:rPr/>
        <w:t>body</w:t>
      </w:r>
      <w:r>
        <w:rPr>
          <w:spacing w:val="-9"/>
        </w:rPr>
        <w:t> </w:t>
      </w:r>
      <w:r>
        <w:rPr/>
        <w:t>can</w:t>
      </w:r>
      <w:r>
        <w:rPr>
          <w:spacing w:val="-8"/>
        </w:rPr>
        <w:t> </w:t>
      </w:r>
      <w:r>
        <w:rPr/>
        <w:t>no</w:t>
      </w:r>
      <w:r>
        <w:rPr>
          <w:spacing w:val="-10"/>
        </w:rPr>
        <w:t> </w:t>
      </w:r>
      <w:r>
        <w:rPr/>
        <w:t>longer</w:t>
      </w:r>
      <w:r>
        <w:rPr>
          <w:spacing w:val="-8"/>
        </w:rPr>
        <w:t> </w:t>
      </w:r>
      <w:r>
        <w:rPr/>
        <w:t>counteract</w:t>
      </w:r>
      <w:r>
        <w:rPr>
          <w:spacing w:val="-8"/>
        </w:rPr>
        <w:t> </w:t>
      </w:r>
      <w:r>
        <w:rPr/>
        <w:t>through</w:t>
      </w:r>
      <w:r>
        <w:rPr>
          <w:spacing w:val="-9"/>
        </w:rPr>
        <w:t> </w:t>
      </w:r>
      <w:r>
        <w:rPr/>
        <w:t>its</w:t>
      </w:r>
      <w:r>
        <w:rPr>
          <w:spacing w:val="-10"/>
        </w:rPr>
        <w:t> </w:t>
      </w:r>
      <w:r>
        <w:rPr/>
        <w:t>compensatory</w:t>
      </w:r>
      <w:r>
        <w:rPr>
          <w:spacing w:val="-8"/>
        </w:rPr>
        <w:t> </w:t>
      </w:r>
      <w:r>
        <w:rPr/>
        <w:t>mechanisms,</w:t>
      </w:r>
      <w:r>
        <w:rPr>
          <w:spacing w:val="-8"/>
        </w:rPr>
        <w:t> </w:t>
      </w:r>
      <w:r>
        <w:rPr/>
        <w:t>hor- mone-like substances (‘prostaglandins’) are released into the body to draw at- tention to this</w:t>
      </w:r>
      <w:r>
        <w:rPr>
          <w:spacing w:val="3"/>
        </w:rPr>
        <w:t> </w:t>
      </w:r>
      <w:r>
        <w:rPr/>
        <w:t>condition.</w:t>
      </w:r>
    </w:p>
    <w:p>
      <w:pPr>
        <w:pStyle w:val="BodyText"/>
        <w:spacing w:line="276" w:lineRule="auto" w:before="240"/>
        <w:ind w:left="477" w:right="138"/>
        <w:jc w:val="both"/>
      </w:pPr>
      <w:r>
        <w:rPr/>
        <w:t>This happens, for example, through the sensitisation of pain receptors causing pain and inflammation, whereby this discomfort makes the person aware that something is wrong with them and that they must remedy the situation.</w:t>
      </w:r>
    </w:p>
    <w:p>
      <w:pPr>
        <w:pStyle w:val="BodyText"/>
        <w:spacing w:line="276" w:lineRule="auto" w:before="241"/>
        <w:ind w:left="477" w:right="135"/>
        <w:jc w:val="both"/>
      </w:pPr>
      <w:r>
        <w:rPr/>
        <w:t>If the person does not react appropriately to the body’s distress signals and if they do not remove the cause (stressors), these messenger substances subse- quently cause real physical suffering, which we know as ‘chronic, degenerative diseases’, for example in the form of cancer, cardiovascular diseases, arthritis and ulcers etc.</w:t>
      </w:r>
    </w:p>
    <w:p>
      <w:pPr>
        <w:pStyle w:val="BodyText"/>
        <w:rPr>
          <w:sz w:val="42"/>
        </w:rPr>
      </w:pPr>
    </w:p>
    <w:p>
      <w:pPr>
        <w:pStyle w:val="BodyText"/>
        <w:spacing w:before="10"/>
        <w:rPr>
          <w:sz w:val="42"/>
        </w:rPr>
      </w:pPr>
    </w:p>
    <w:p>
      <w:pPr>
        <w:pStyle w:val="Heading1"/>
        <w:spacing w:before="0"/>
      </w:pPr>
      <w:r>
        <w:rPr/>
        <w:t>Bromelain regulates the work of</w:t>
      </w:r>
      <w:r>
        <w:rPr>
          <w:spacing w:val="-66"/>
        </w:rPr>
        <w:t> </w:t>
      </w:r>
      <w:r>
        <w:rPr/>
        <w:t>prostaglandin</w:t>
      </w:r>
    </w:p>
    <w:p>
      <w:pPr>
        <w:pStyle w:val="BodyText"/>
        <w:spacing w:line="276" w:lineRule="auto" w:before="300"/>
        <w:ind w:left="477" w:right="138"/>
        <w:jc w:val="both"/>
      </w:pPr>
      <w:r>
        <w:rPr/>
        <w:t>In</w:t>
      </w:r>
      <w:r>
        <w:rPr>
          <w:spacing w:val="-6"/>
        </w:rPr>
        <w:t> </w:t>
      </w:r>
      <w:r>
        <w:rPr/>
        <w:t>addition</w:t>
      </w:r>
      <w:r>
        <w:rPr>
          <w:spacing w:val="-5"/>
        </w:rPr>
        <w:t> </w:t>
      </w:r>
      <w:r>
        <w:rPr/>
        <w:t>to</w:t>
      </w:r>
      <w:r>
        <w:rPr>
          <w:spacing w:val="-5"/>
        </w:rPr>
        <w:t> </w:t>
      </w:r>
      <w:r>
        <w:rPr/>
        <w:t>the</w:t>
      </w:r>
      <w:r>
        <w:rPr>
          <w:spacing w:val="-5"/>
        </w:rPr>
        <w:t> </w:t>
      </w:r>
      <w:r>
        <w:rPr/>
        <w:t>prostaglandins</w:t>
      </w:r>
      <w:r>
        <w:rPr>
          <w:spacing w:val="-5"/>
        </w:rPr>
        <w:t> </w:t>
      </w:r>
      <w:r>
        <w:rPr/>
        <w:t>described</w:t>
      </w:r>
      <w:r>
        <w:rPr>
          <w:spacing w:val="-8"/>
        </w:rPr>
        <w:t> </w:t>
      </w:r>
      <w:r>
        <w:rPr/>
        <w:t>above,</w:t>
      </w:r>
      <w:r>
        <w:rPr>
          <w:spacing w:val="-6"/>
        </w:rPr>
        <w:t> </w:t>
      </w:r>
      <w:r>
        <w:rPr/>
        <w:t>which</w:t>
      </w:r>
      <w:r>
        <w:rPr>
          <w:spacing w:val="-8"/>
        </w:rPr>
        <w:t> </w:t>
      </w:r>
      <w:r>
        <w:rPr/>
        <w:t>are</w:t>
      </w:r>
      <w:r>
        <w:rPr>
          <w:spacing w:val="-6"/>
        </w:rPr>
        <w:t> </w:t>
      </w:r>
      <w:r>
        <w:rPr/>
        <w:t>also</w:t>
      </w:r>
      <w:r>
        <w:rPr>
          <w:spacing w:val="-7"/>
        </w:rPr>
        <w:t> </w:t>
      </w:r>
      <w:r>
        <w:rPr/>
        <w:t>referred</w:t>
      </w:r>
      <w:r>
        <w:rPr>
          <w:spacing w:val="-8"/>
        </w:rPr>
        <w:t> </w:t>
      </w:r>
      <w:r>
        <w:rPr/>
        <w:t>to</w:t>
      </w:r>
      <w:r>
        <w:rPr>
          <w:spacing w:val="-9"/>
        </w:rPr>
        <w:t> </w:t>
      </w:r>
      <w:r>
        <w:rPr/>
        <w:t>as ‘alarm prostaglandins’ because they serve to warn the body and respond to stress overload, there is another group of prostaglandins that has a</w:t>
      </w:r>
      <w:r>
        <w:rPr>
          <w:spacing w:val="80"/>
        </w:rPr>
        <w:t> </w:t>
      </w:r>
      <w:r>
        <w:rPr/>
        <w:t>completely</w:t>
      </w:r>
    </w:p>
    <w:p>
      <w:pPr>
        <w:spacing w:after="0" w:line="276" w:lineRule="auto"/>
        <w:jc w:val="both"/>
        <w:sectPr>
          <w:pgSz w:w="14270" w:h="16850"/>
          <w:pgMar w:header="0" w:footer="1891" w:top="1600" w:bottom="2080" w:left="800" w:right="1280"/>
        </w:sectPr>
      </w:pPr>
    </w:p>
    <w:p>
      <w:pPr>
        <w:pStyle w:val="BodyText"/>
        <w:spacing w:line="276" w:lineRule="auto" w:before="181"/>
        <w:ind w:left="477" w:right="132"/>
        <w:jc w:val="both"/>
      </w:pPr>
      <w:r>
        <w:rPr/>
        <w:t>contrasting mode of action, one that is curative and anti-inflammatory. This group</w:t>
      </w:r>
      <w:r>
        <w:rPr>
          <w:spacing w:val="-11"/>
        </w:rPr>
        <w:t> </w:t>
      </w:r>
      <w:r>
        <w:rPr/>
        <w:t>only</w:t>
      </w:r>
      <w:r>
        <w:rPr>
          <w:spacing w:val="-12"/>
        </w:rPr>
        <w:t> </w:t>
      </w:r>
      <w:r>
        <w:rPr/>
        <w:t>intervenes</w:t>
      </w:r>
      <w:r>
        <w:rPr>
          <w:spacing w:val="-11"/>
        </w:rPr>
        <w:t> </w:t>
      </w:r>
      <w:r>
        <w:rPr/>
        <w:t>when</w:t>
      </w:r>
      <w:r>
        <w:rPr>
          <w:spacing w:val="-10"/>
        </w:rPr>
        <w:t> </w:t>
      </w:r>
      <w:r>
        <w:rPr/>
        <w:t>the</w:t>
      </w:r>
      <w:r>
        <w:rPr>
          <w:spacing w:val="-11"/>
        </w:rPr>
        <w:t> </w:t>
      </w:r>
      <w:r>
        <w:rPr/>
        <w:t>stressors</w:t>
      </w:r>
      <w:r>
        <w:rPr>
          <w:spacing w:val="-11"/>
        </w:rPr>
        <w:t> </w:t>
      </w:r>
      <w:r>
        <w:rPr/>
        <w:t>are</w:t>
      </w:r>
      <w:r>
        <w:rPr>
          <w:spacing w:val="-11"/>
        </w:rPr>
        <w:t> </w:t>
      </w:r>
      <w:r>
        <w:rPr/>
        <w:t>broken</w:t>
      </w:r>
      <w:r>
        <w:rPr>
          <w:spacing w:val="-11"/>
        </w:rPr>
        <w:t> </w:t>
      </w:r>
      <w:r>
        <w:rPr/>
        <w:t>down</w:t>
      </w:r>
      <w:r>
        <w:rPr>
          <w:spacing w:val="-11"/>
        </w:rPr>
        <w:t> </w:t>
      </w:r>
      <w:r>
        <w:rPr/>
        <w:t>and</w:t>
      </w:r>
      <w:r>
        <w:rPr>
          <w:spacing w:val="-11"/>
        </w:rPr>
        <w:t> </w:t>
      </w:r>
      <w:r>
        <w:rPr/>
        <w:t>the</w:t>
      </w:r>
      <w:r>
        <w:rPr>
          <w:spacing w:val="-5"/>
        </w:rPr>
        <w:t> </w:t>
      </w:r>
      <w:r>
        <w:rPr/>
        <w:t>‘alarm</w:t>
      </w:r>
      <w:r>
        <w:rPr>
          <w:spacing w:val="-10"/>
        </w:rPr>
        <w:t> </w:t>
      </w:r>
      <w:r>
        <w:rPr/>
        <w:t>pros- taglandins’ have withdrawn. Only then is healing</w:t>
      </w:r>
      <w:r>
        <w:rPr>
          <w:spacing w:val="-1"/>
        </w:rPr>
        <w:t> </w:t>
      </w:r>
      <w:r>
        <w:rPr/>
        <w:t>possible!</w:t>
      </w:r>
    </w:p>
    <w:p>
      <w:pPr>
        <w:pStyle w:val="BodyText"/>
        <w:spacing w:line="276" w:lineRule="auto" w:before="242"/>
        <w:ind w:left="477" w:right="134"/>
        <w:jc w:val="both"/>
      </w:pPr>
      <w:r>
        <w:rPr/>
        <w:t>It is exactly at this point that the soothing, healing effect of bromelain kicks in: bromelain acts selectively as a prostaglandin inhibitor by preventing the release of painful and inflammatory ‘alarm prostaglandins’ and creating room for</w:t>
      </w:r>
      <w:r>
        <w:rPr>
          <w:spacing w:val="-43"/>
        </w:rPr>
        <w:t> </w:t>
      </w:r>
      <w:r>
        <w:rPr/>
        <w:t>heal- ing, anti-inflammatory</w:t>
      </w:r>
      <w:r>
        <w:rPr>
          <w:spacing w:val="2"/>
        </w:rPr>
        <w:t> </w:t>
      </w:r>
      <w:r>
        <w:rPr/>
        <w:t>prostaglandins.</w:t>
      </w:r>
    </w:p>
    <w:p>
      <w:pPr>
        <w:pStyle w:val="BodyText"/>
        <w:spacing w:line="276" w:lineRule="auto" w:before="239"/>
        <w:ind w:left="477" w:right="131"/>
        <w:jc w:val="both"/>
      </w:pPr>
      <w:r>
        <w:rPr/>
        <w:t>Here,</w:t>
      </w:r>
      <w:r>
        <w:rPr>
          <w:spacing w:val="-10"/>
        </w:rPr>
        <w:t> </w:t>
      </w:r>
      <w:r>
        <w:rPr/>
        <w:t>the</w:t>
      </w:r>
      <w:r>
        <w:rPr>
          <w:spacing w:val="-13"/>
        </w:rPr>
        <w:t> </w:t>
      </w:r>
      <w:r>
        <w:rPr/>
        <w:t>natural</w:t>
      </w:r>
      <w:r>
        <w:rPr>
          <w:spacing w:val="-12"/>
        </w:rPr>
        <w:t> </w:t>
      </w:r>
      <w:r>
        <w:rPr/>
        <w:t>prostaglandin</w:t>
      </w:r>
      <w:r>
        <w:rPr>
          <w:spacing w:val="-11"/>
        </w:rPr>
        <w:t> </w:t>
      </w:r>
      <w:r>
        <w:rPr/>
        <w:t>inhibitors</w:t>
      </w:r>
      <w:r>
        <w:rPr>
          <w:spacing w:val="-10"/>
        </w:rPr>
        <w:t> </w:t>
      </w:r>
      <w:r>
        <w:rPr/>
        <w:t>in</w:t>
      </w:r>
      <w:r>
        <w:rPr>
          <w:spacing w:val="-14"/>
        </w:rPr>
        <w:t> </w:t>
      </w:r>
      <w:r>
        <w:rPr/>
        <w:t>pineapple</w:t>
      </w:r>
      <w:r>
        <w:rPr>
          <w:spacing w:val="-11"/>
        </w:rPr>
        <w:t> </w:t>
      </w:r>
      <w:r>
        <w:rPr/>
        <w:t>stand</w:t>
      </w:r>
      <w:r>
        <w:rPr>
          <w:spacing w:val="-10"/>
        </w:rPr>
        <w:t> </w:t>
      </w:r>
      <w:r>
        <w:rPr/>
        <w:t>out</w:t>
      </w:r>
      <w:r>
        <w:rPr>
          <w:spacing w:val="-12"/>
        </w:rPr>
        <w:t> </w:t>
      </w:r>
      <w:r>
        <w:rPr/>
        <w:t>in</w:t>
      </w:r>
      <w:r>
        <w:rPr>
          <w:spacing w:val="-11"/>
        </w:rPr>
        <w:t> </w:t>
      </w:r>
      <w:r>
        <w:rPr/>
        <w:t>comparison to the synthetic (artificial) prostaglandin inhibitors, in that the latter prevent both</w:t>
      </w:r>
      <w:r>
        <w:rPr>
          <w:spacing w:val="-22"/>
        </w:rPr>
        <w:t> </w:t>
      </w:r>
      <w:r>
        <w:rPr/>
        <w:t>the</w:t>
      </w:r>
      <w:r>
        <w:rPr>
          <w:spacing w:val="-20"/>
        </w:rPr>
        <w:t> </w:t>
      </w:r>
      <w:r>
        <w:rPr/>
        <w:t>release</w:t>
      </w:r>
      <w:r>
        <w:rPr>
          <w:spacing w:val="-24"/>
        </w:rPr>
        <w:t> </w:t>
      </w:r>
      <w:r>
        <w:rPr/>
        <w:t>of</w:t>
      </w:r>
      <w:r>
        <w:rPr>
          <w:spacing w:val="-21"/>
        </w:rPr>
        <w:t> </w:t>
      </w:r>
      <w:r>
        <w:rPr/>
        <w:t>the</w:t>
      </w:r>
      <w:r>
        <w:rPr>
          <w:spacing w:val="-20"/>
        </w:rPr>
        <w:t> </w:t>
      </w:r>
      <w:r>
        <w:rPr/>
        <w:t>‘alarm</w:t>
      </w:r>
      <w:r>
        <w:rPr>
          <w:spacing w:val="-22"/>
        </w:rPr>
        <w:t> </w:t>
      </w:r>
      <w:r>
        <w:rPr/>
        <w:t>prostaglandins’</w:t>
      </w:r>
      <w:r>
        <w:rPr>
          <w:spacing w:val="-21"/>
        </w:rPr>
        <w:t> </w:t>
      </w:r>
      <w:r>
        <w:rPr/>
        <w:t>and</w:t>
      </w:r>
      <w:r>
        <w:rPr>
          <w:spacing w:val="-21"/>
        </w:rPr>
        <w:t> </w:t>
      </w:r>
      <w:r>
        <w:rPr/>
        <w:t>the</w:t>
      </w:r>
      <w:r>
        <w:rPr>
          <w:spacing w:val="-21"/>
        </w:rPr>
        <w:t> </w:t>
      </w:r>
      <w:r>
        <w:rPr/>
        <w:t>healing,</w:t>
      </w:r>
      <w:r>
        <w:rPr>
          <w:spacing w:val="-21"/>
        </w:rPr>
        <w:t> </w:t>
      </w:r>
      <w:r>
        <w:rPr/>
        <w:t>anti-inflammatory prostaglandins, while the pineapple prostaglandin inhibitors are very selective and only inhibit the pathogenic</w:t>
      </w:r>
      <w:r>
        <w:rPr>
          <w:spacing w:val="-5"/>
        </w:rPr>
        <w:t> </w:t>
      </w:r>
      <w:r>
        <w:rPr/>
        <w:t>prostaglandins.</w:t>
      </w:r>
    </w:p>
    <w:p>
      <w:pPr>
        <w:pStyle w:val="Heading1"/>
        <w:spacing w:before="343"/>
        <w:jc w:val="both"/>
      </w:pPr>
      <w:r>
        <w:rPr/>
        <w:t>In summary, the effect of bromelain results from</w:t>
      </w:r>
    </w:p>
    <w:p>
      <w:pPr>
        <w:pStyle w:val="ListParagraph"/>
        <w:numPr>
          <w:ilvl w:val="1"/>
          <w:numId w:val="16"/>
        </w:numPr>
        <w:tabs>
          <w:tab w:pos="1197" w:val="left" w:leader="none"/>
          <w:tab w:pos="1198" w:val="left" w:leader="none"/>
        </w:tabs>
        <w:spacing w:line="240" w:lineRule="auto" w:before="301" w:after="0"/>
        <w:ind w:left="1197" w:right="0" w:hanging="360"/>
        <w:jc w:val="left"/>
        <w:rPr>
          <w:sz w:val="38"/>
        </w:rPr>
      </w:pPr>
      <w:r>
        <w:rPr>
          <w:sz w:val="38"/>
        </w:rPr>
        <w:t>regulation of prostaglandins (see</w:t>
      </w:r>
      <w:r>
        <w:rPr>
          <w:spacing w:val="3"/>
          <w:sz w:val="38"/>
        </w:rPr>
        <w:t> </w:t>
      </w:r>
      <w:r>
        <w:rPr>
          <w:sz w:val="38"/>
        </w:rPr>
        <w:t>above);</w:t>
      </w:r>
    </w:p>
    <w:p>
      <w:pPr>
        <w:pStyle w:val="ListParagraph"/>
        <w:numPr>
          <w:ilvl w:val="1"/>
          <w:numId w:val="16"/>
        </w:numPr>
        <w:tabs>
          <w:tab w:pos="1197" w:val="left" w:leader="none"/>
          <w:tab w:pos="1198" w:val="left" w:leader="none"/>
        </w:tabs>
        <w:spacing w:line="240" w:lineRule="auto" w:before="63" w:after="0"/>
        <w:ind w:left="1197" w:right="0" w:hanging="360"/>
        <w:jc w:val="left"/>
        <w:rPr>
          <w:sz w:val="38"/>
        </w:rPr>
      </w:pPr>
      <w:r>
        <w:rPr>
          <w:sz w:val="38"/>
        </w:rPr>
        <w:t>splitting of dietary</w:t>
      </w:r>
      <w:r>
        <w:rPr>
          <w:spacing w:val="1"/>
          <w:sz w:val="38"/>
        </w:rPr>
        <w:t> </w:t>
      </w:r>
      <w:r>
        <w:rPr>
          <w:sz w:val="38"/>
        </w:rPr>
        <w:t>protein;</w:t>
      </w:r>
    </w:p>
    <w:p>
      <w:pPr>
        <w:pStyle w:val="ListParagraph"/>
        <w:numPr>
          <w:ilvl w:val="1"/>
          <w:numId w:val="16"/>
        </w:numPr>
        <w:tabs>
          <w:tab w:pos="1197" w:val="left" w:leader="none"/>
          <w:tab w:pos="1198" w:val="left" w:leader="none"/>
        </w:tabs>
        <w:spacing w:line="240" w:lineRule="auto" w:before="66" w:after="0"/>
        <w:ind w:left="1197" w:right="0" w:hanging="360"/>
        <w:jc w:val="left"/>
        <w:rPr>
          <w:sz w:val="38"/>
        </w:rPr>
      </w:pPr>
      <w:r>
        <w:rPr>
          <w:sz w:val="38"/>
        </w:rPr>
        <w:t>balancing acid-alkali levels and counteracting</w:t>
      </w:r>
      <w:r>
        <w:rPr>
          <w:spacing w:val="-1"/>
          <w:sz w:val="38"/>
        </w:rPr>
        <w:t> </w:t>
      </w:r>
      <w:r>
        <w:rPr>
          <w:sz w:val="38"/>
        </w:rPr>
        <w:t>atherosclerosis;</w:t>
      </w:r>
    </w:p>
    <w:p>
      <w:pPr>
        <w:pStyle w:val="ListParagraph"/>
        <w:numPr>
          <w:ilvl w:val="1"/>
          <w:numId w:val="16"/>
        </w:numPr>
        <w:tabs>
          <w:tab w:pos="1197" w:val="left" w:leader="none"/>
          <w:tab w:pos="1198" w:val="left" w:leader="none"/>
        </w:tabs>
        <w:spacing w:line="273" w:lineRule="auto" w:before="64" w:after="0"/>
        <w:ind w:left="1197" w:right="134" w:hanging="360"/>
        <w:jc w:val="left"/>
        <w:rPr>
          <w:sz w:val="38"/>
        </w:rPr>
      </w:pPr>
      <w:r>
        <w:rPr>
          <w:sz w:val="38"/>
        </w:rPr>
        <w:t>keeps the blood thin, thereby preventing high blood pressure and throm- bosis;</w:t>
      </w:r>
    </w:p>
    <w:p>
      <w:pPr>
        <w:pStyle w:val="ListParagraph"/>
        <w:numPr>
          <w:ilvl w:val="1"/>
          <w:numId w:val="16"/>
        </w:numPr>
        <w:tabs>
          <w:tab w:pos="1197" w:val="left" w:leader="none"/>
          <w:tab w:pos="1198" w:val="left" w:leader="none"/>
        </w:tabs>
        <w:spacing w:line="240" w:lineRule="auto" w:before="8" w:after="0"/>
        <w:ind w:left="1197" w:right="0" w:hanging="360"/>
        <w:jc w:val="left"/>
        <w:rPr>
          <w:sz w:val="38"/>
        </w:rPr>
      </w:pPr>
      <w:r>
        <w:rPr>
          <w:sz w:val="38"/>
        </w:rPr>
        <w:t>regulates blood</w:t>
      </w:r>
      <w:r>
        <w:rPr>
          <w:spacing w:val="1"/>
          <w:sz w:val="38"/>
        </w:rPr>
        <w:t> </w:t>
      </w:r>
      <w:r>
        <w:rPr>
          <w:sz w:val="38"/>
        </w:rPr>
        <w:t>pressure;</w:t>
      </w:r>
    </w:p>
    <w:p>
      <w:pPr>
        <w:pStyle w:val="ListParagraph"/>
        <w:numPr>
          <w:ilvl w:val="1"/>
          <w:numId w:val="16"/>
        </w:numPr>
        <w:tabs>
          <w:tab w:pos="1197" w:val="left" w:leader="none"/>
          <w:tab w:pos="1198" w:val="left" w:leader="none"/>
        </w:tabs>
        <w:spacing w:line="240" w:lineRule="auto" w:before="63" w:after="0"/>
        <w:ind w:left="1197" w:right="0" w:hanging="360"/>
        <w:jc w:val="left"/>
        <w:rPr>
          <w:sz w:val="38"/>
        </w:rPr>
      </w:pPr>
      <w:r>
        <w:rPr>
          <w:sz w:val="38"/>
        </w:rPr>
        <w:t>has</w:t>
      </w:r>
      <w:r>
        <w:rPr>
          <w:spacing w:val="-11"/>
          <w:sz w:val="38"/>
        </w:rPr>
        <w:t> </w:t>
      </w:r>
      <w:r>
        <w:rPr>
          <w:sz w:val="38"/>
        </w:rPr>
        <w:t>a</w:t>
      </w:r>
      <w:r>
        <w:rPr>
          <w:spacing w:val="-13"/>
          <w:sz w:val="38"/>
        </w:rPr>
        <w:t> </w:t>
      </w:r>
      <w:r>
        <w:rPr>
          <w:sz w:val="38"/>
        </w:rPr>
        <w:t>cardioprotective</w:t>
      </w:r>
      <w:r>
        <w:rPr>
          <w:spacing w:val="-12"/>
          <w:sz w:val="38"/>
        </w:rPr>
        <w:t> </w:t>
      </w:r>
      <w:r>
        <w:rPr>
          <w:sz w:val="38"/>
        </w:rPr>
        <w:t>effect</w:t>
      </w:r>
      <w:r>
        <w:rPr>
          <w:spacing w:val="-11"/>
          <w:sz w:val="38"/>
        </w:rPr>
        <w:t> </w:t>
      </w:r>
      <w:r>
        <w:rPr>
          <w:sz w:val="38"/>
        </w:rPr>
        <w:t>in</w:t>
      </w:r>
      <w:r>
        <w:rPr>
          <w:spacing w:val="-11"/>
          <w:sz w:val="38"/>
        </w:rPr>
        <w:t> </w:t>
      </w:r>
      <w:r>
        <w:rPr>
          <w:sz w:val="38"/>
        </w:rPr>
        <w:t>the</w:t>
      </w:r>
      <w:r>
        <w:rPr>
          <w:spacing w:val="-11"/>
          <w:sz w:val="38"/>
        </w:rPr>
        <w:t> </w:t>
      </w:r>
      <w:r>
        <w:rPr>
          <w:sz w:val="38"/>
        </w:rPr>
        <w:t>prevention</w:t>
      </w:r>
      <w:r>
        <w:rPr>
          <w:spacing w:val="-13"/>
          <w:sz w:val="38"/>
        </w:rPr>
        <w:t> </w:t>
      </w:r>
      <w:r>
        <w:rPr>
          <w:sz w:val="38"/>
        </w:rPr>
        <w:t>of</w:t>
      </w:r>
      <w:r>
        <w:rPr>
          <w:spacing w:val="-13"/>
          <w:sz w:val="38"/>
        </w:rPr>
        <w:t> </w:t>
      </w:r>
      <w:r>
        <w:rPr>
          <w:sz w:val="38"/>
        </w:rPr>
        <w:t>blood</w:t>
      </w:r>
      <w:r>
        <w:rPr>
          <w:spacing w:val="-11"/>
          <w:sz w:val="38"/>
        </w:rPr>
        <w:t> </w:t>
      </w:r>
      <w:r>
        <w:rPr>
          <w:sz w:val="38"/>
        </w:rPr>
        <w:t>platelet</w:t>
      </w:r>
      <w:r>
        <w:rPr>
          <w:spacing w:val="-13"/>
          <w:sz w:val="38"/>
        </w:rPr>
        <w:t> </w:t>
      </w:r>
      <w:r>
        <w:rPr>
          <w:sz w:val="38"/>
        </w:rPr>
        <w:t>formation;</w:t>
      </w:r>
    </w:p>
    <w:p>
      <w:pPr>
        <w:pStyle w:val="ListParagraph"/>
        <w:numPr>
          <w:ilvl w:val="1"/>
          <w:numId w:val="16"/>
        </w:numPr>
        <w:tabs>
          <w:tab w:pos="1197" w:val="left" w:leader="none"/>
          <w:tab w:pos="1198" w:val="left" w:leader="none"/>
        </w:tabs>
        <w:spacing w:line="240" w:lineRule="auto" w:before="64" w:after="0"/>
        <w:ind w:left="1197" w:right="0" w:hanging="360"/>
        <w:jc w:val="left"/>
        <w:rPr>
          <w:sz w:val="38"/>
        </w:rPr>
      </w:pPr>
      <w:r>
        <w:rPr>
          <w:sz w:val="38"/>
        </w:rPr>
        <w:t>destroys harmful intestinal parasites and removes these from the</w:t>
      </w:r>
      <w:r>
        <w:rPr>
          <w:spacing w:val="-15"/>
          <w:sz w:val="38"/>
        </w:rPr>
        <w:t> </w:t>
      </w:r>
      <w:r>
        <w:rPr>
          <w:sz w:val="38"/>
        </w:rPr>
        <w:t>body;</w:t>
      </w:r>
    </w:p>
    <w:p>
      <w:pPr>
        <w:spacing w:after="0" w:line="240" w:lineRule="auto"/>
        <w:jc w:val="left"/>
        <w:rPr>
          <w:sz w:val="38"/>
        </w:rPr>
        <w:sectPr>
          <w:pgSz w:w="14270" w:h="16850"/>
          <w:pgMar w:header="0" w:footer="1891" w:top="1600" w:bottom="2080" w:left="800" w:right="1280"/>
        </w:sectPr>
      </w:pPr>
    </w:p>
    <w:p>
      <w:pPr>
        <w:pStyle w:val="BodyText"/>
        <w:spacing w:before="10"/>
        <w:rPr>
          <w:sz w:val="8"/>
        </w:rPr>
      </w:pPr>
    </w:p>
    <w:p>
      <w:pPr>
        <w:pStyle w:val="ListParagraph"/>
        <w:numPr>
          <w:ilvl w:val="1"/>
          <w:numId w:val="16"/>
        </w:numPr>
        <w:tabs>
          <w:tab w:pos="1197" w:val="left" w:leader="none"/>
          <w:tab w:pos="1198" w:val="left" w:leader="none"/>
        </w:tabs>
        <w:spacing w:line="240" w:lineRule="auto" w:before="83" w:after="0"/>
        <w:ind w:left="1197" w:right="0" w:hanging="360"/>
        <w:jc w:val="left"/>
        <w:rPr>
          <w:sz w:val="38"/>
        </w:rPr>
      </w:pPr>
      <w:r>
        <w:rPr>
          <w:sz w:val="38"/>
        </w:rPr>
        <w:t>helps against inflammation and</w:t>
      </w:r>
      <w:r>
        <w:rPr>
          <w:spacing w:val="4"/>
          <w:sz w:val="38"/>
        </w:rPr>
        <w:t> </w:t>
      </w:r>
      <w:r>
        <w:rPr>
          <w:sz w:val="38"/>
        </w:rPr>
        <w:t>rheumatism;</w:t>
      </w:r>
    </w:p>
    <w:p>
      <w:pPr>
        <w:pStyle w:val="ListParagraph"/>
        <w:numPr>
          <w:ilvl w:val="1"/>
          <w:numId w:val="16"/>
        </w:numPr>
        <w:tabs>
          <w:tab w:pos="1197" w:val="left" w:leader="none"/>
          <w:tab w:pos="1198" w:val="left" w:leader="none"/>
        </w:tabs>
        <w:spacing w:line="240" w:lineRule="auto" w:before="64" w:after="0"/>
        <w:ind w:left="1197" w:right="0" w:hanging="360"/>
        <w:jc w:val="left"/>
        <w:rPr>
          <w:sz w:val="38"/>
        </w:rPr>
      </w:pPr>
      <w:r>
        <w:rPr>
          <w:sz w:val="38"/>
        </w:rPr>
        <w:t>successfully prevents and treats of cancer</w:t>
      </w:r>
      <w:r>
        <w:rPr>
          <w:spacing w:val="4"/>
          <w:sz w:val="38"/>
        </w:rPr>
        <w:t> </w:t>
      </w:r>
      <w:r>
        <w:rPr>
          <w:sz w:val="38"/>
        </w:rPr>
        <w:t>and</w:t>
      </w:r>
    </w:p>
    <w:p>
      <w:pPr>
        <w:pStyle w:val="ListParagraph"/>
        <w:numPr>
          <w:ilvl w:val="1"/>
          <w:numId w:val="16"/>
        </w:numPr>
        <w:tabs>
          <w:tab w:pos="1197" w:val="left" w:leader="none"/>
          <w:tab w:pos="1198" w:val="left" w:leader="none"/>
        </w:tabs>
        <w:spacing w:line="240" w:lineRule="auto" w:before="66" w:after="0"/>
        <w:ind w:left="1197" w:right="0" w:hanging="360"/>
        <w:jc w:val="left"/>
        <w:rPr>
          <w:sz w:val="38"/>
        </w:rPr>
      </w:pPr>
      <w:r>
        <w:rPr>
          <w:sz w:val="38"/>
        </w:rPr>
        <w:t>prevents the metastasis of cancer</w:t>
      </w:r>
      <w:r>
        <w:rPr>
          <w:spacing w:val="4"/>
          <w:sz w:val="38"/>
        </w:rPr>
        <w:t> </w:t>
      </w:r>
      <w:r>
        <w:rPr>
          <w:sz w:val="38"/>
        </w:rPr>
        <w:t>cells.</w:t>
      </w:r>
    </w:p>
    <w:p>
      <w:pPr>
        <w:pStyle w:val="Heading2"/>
        <w:spacing w:before="302"/>
      </w:pPr>
      <w:r>
        <w:rPr/>
        <w:t>General effect of pineapple/bromelain</w:t>
      </w:r>
    </w:p>
    <w:p>
      <w:pPr>
        <w:pStyle w:val="BodyText"/>
        <w:spacing w:before="304"/>
        <w:ind w:left="477"/>
      </w:pPr>
      <w:r>
        <w:rPr/>
        <w:t>The general effect can be categorised in the following bullet points:</w:t>
      </w:r>
    </w:p>
    <w:p>
      <w:pPr>
        <w:pStyle w:val="ListParagraph"/>
        <w:numPr>
          <w:ilvl w:val="1"/>
          <w:numId w:val="16"/>
        </w:numPr>
        <w:tabs>
          <w:tab w:pos="1197" w:val="left" w:leader="none"/>
          <w:tab w:pos="1198" w:val="left" w:leader="none"/>
        </w:tabs>
        <w:spacing w:line="240" w:lineRule="auto" w:before="304" w:after="0"/>
        <w:ind w:left="1197" w:right="0" w:hanging="360"/>
        <w:jc w:val="left"/>
        <w:rPr>
          <w:sz w:val="38"/>
        </w:rPr>
      </w:pPr>
      <w:r>
        <w:rPr>
          <w:sz w:val="38"/>
        </w:rPr>
        <w:t>strengthens the immune</w:t>
      </w:r>
      <w:r>
        <w:rPr>
          <w:spacing w:val="1"/>
          <w:sz w:val="38"/>
        </w:rPr>
        <w:t> </w:t>
      </w:r>
      <w:r>
        <w:rPr>
          <w:sz w:val="38"/>
        </w:rPr>
        <w:t>system</w:t>
      </w:r>
    </w:p>
    <w:p>
      <w:pPr>
        <w:pStyle w:val="ListParagraph"/>
        <w:numPr>
          <w:ilvl w:val="1"/>
          <w:numId w:val="16"/>
        </w:numPr>
        <w:tabs>
          <w:tab w:pos="1197" w:val="left" w:leader="none"/>
          <w:tab w:pos="1198" w:val="left" w:leader="none"/>
        </w:tabs>
        <w:spacing w:line="240" w:lineRule="auto" w:before="66" w:after="0"/>
        <w:ind w:left="1197" w:right="0" w:hanging="360"/>
        <w:jc w:val="left"/>
        <w:rPr>
          <w:sz w:val="38"/>
        </w:rPr>
      </w:pPr>
      <w:r>
        <w:rPr>
          <w:sz w:val="38"/>
        </w:rPr>
        <w:t>antioxidant</w:t>
      </w:r>
    </w:p>
    <w:p>
      <w:pPr>
        <w:pStyle w:val="ListParagraph"/>
        <w:numPr>
          <w:ilvl w:val="1"/>
          <w:numId w:val="16"/>
        </w:numPr>
        <w:tabs>
          <w:tab w:pos="1197" w:val="left" w:leader="none"/>
          <w:tab w:pos="1198" w:val="left" w:leader="none"/>
        </w:tabs>
        <w:spacing w:line="240" w:lineRule="auto" w:before="64" w:after="0"/>
        <w:ind w:left="1197" w:right="0" w:hanging="360"/>
        <w:jc w:val="left"/>
        <w:rPr>
          <w:sz w:val="38"/>
        </w:rPr>
      </w:pPr>
      <w:r>
        <w:rPr>
          <w:sz w:val="38"/>
        </w:rPr>
        <w:t>protects cells</w:t>
      </w:r>
    </w:p>
    <w:p>
      <w:pPr>
        <w:pStyle w:val="ListParagraph"/>
        <w:numPr>
          <w:ilvl w:val="1"/>
          <w:numId w:val="16"/>
        </w:numPr>
        <w:tabs>
          <w:tab w:pos="1197" w:val="left" w:leader="none"/>
          <w:tab w:pos="1198" w:val="left" w:leader="none"/>
        </w:tabs>
        <w:spacing w:line="240" w:lineRule="auto" w:before="64" w:after="0"/>
        <w:ind w:left="1197" w:right="0" w:hanging="360"/>
        <w:jc w:val="left"/>
        <w:rPr>
          <w:sz w:val="38"/>
        </w:rPr>
      </w:pPr>
      <w:r>
        <w:rPr>
          <w:sz w:val="38"/>
        </w:rPr>
        <w:t>rejuvenating</w:t>
      </w:r>
    </w:p>
    <w:p>
      <w:pPr>
        <w:pStyle w:val="ListParagraph"/>
        <w:numPr>
          <w:ilvl w:val="1"/>
          <w:numId w:val="16"/>
        </w:numPr>
        <w:tabs>
          <w:tab w:pos="1197" w:val="left" w:leader="none"/>
          <w:tab w:pos="1198" w:val="left" w:leader="none"/>
        </w:tabs>
        <w:spacing w:line="240" w:lineRule="auto" w:before="63" w:after="0"/>
        <w:ind w:left="1197" w:right="0" w:hanging="360"/>
        <w:jc w:val="left"/>
        <w:rPr>
          <w:sz w:val="38"/>
        </w:rPr>
      </w:pPr>
      <w:r>
        <w:rPr>
          <w:sz w:val="38"/>
        </w:rPr>
        <w:t>vitalising</w:t>
      </w:r>
    </w:p>
    <w:p>
      <w:pPr>
        <w:pStyle w:val="ListParagraph"/>
        <w:numPr>
          <w:ilvl w:val="1"/>
          <w:numId w:val="16"/>
        </w:numPr>
        <w:tabs>
          <w:tab w:pos="1197" w:val="left" w:leader="none"/>
          <w:tab w:pos="1198" w:val="left" w:leader="none"/>
        </w:tabs>
        <w:spacing w:line="240" w:lineRule="auto" w:before="66" w:after="0"/>
        <w:ind w:left="1197" w:right="0" w:hanging="360"/>
        <w:jc w:val="left"/>
        <w:rPr>
          <w:sz w:val="38"/>
        </w:rPr>
      </w:pPr>
      <w:r>
        <w:rPr>
          <w:sz w:val="38"/>
        </w:rPr>
        <w:t>detoxifying</w:t>
      </w:r>
    </w:p>
    <w:p>
      <w:pPr>
        <w:pStyle w:val="ListParagraph"/>
        <w:numPr>
          <w:ilvl w:val="1"/>
          <w:numId w:val="16"/>
        </w:numPr>
        <w:tabs>
          <w:tab w:pos="1197" w:val="left" w:leader="none"/>
          <w:tab w:pos="1198" w:val="left" w:leader="none"/>
        </w:tabs>
        <w:spacing w:line="240" w:lineRule="auto" w:before="64" w:after="0"/>
        <w:ind w:left="1197" w:right="0" w:hanging="360"/>
        <w:jc w:val="left"/>
        <w:rPr>
          <w:sz w:val="38"/>
        </w:rPr>
      </w:pPr>
      <w:r>
        <w:rPr>
          <w:sz w:val="38"/>
        </w:rPr>
        <w:t>deacidifying</w:t>
      </w:r>
    </w:p>
    <w:p>
      <w:pPr>
        <w:pStyle w:val="ListParagraph"/>
        <w:numPr>
          <w:ilvl w:val="1"/>
          <w:numId w:val="16"/>
        </w:numPr>
        <w:tabs>
          <w:tab w:pos="1197" w:val="left" w:leader="none"/>
          <w:tab w:pos="1198" w:val="left" w:leader="none"/>
        </w:tabs>
        <w:spacing w:line="240" w:lineRule="auto" w:before="64" w:after="0"/>
        <w:ind w:left="1197" w:right="0" w:hanging="360"/>
        <w:jc w:val="left"/>
        <w:rPr>
          <w:sz w:val="38"/>
        </w:rPr>
      </w:pPr>
      <w:r>
        <w:rPr>
          <w:sz w:val="38"/>
        </w:rPr>
        <w:t>detoxifying</w:t>
      </w:r>
    </w:p>
    <w:p>
      <w:pPr>
        <w:pStyle w:val="ListParagraph"/>
        <w:numPr>
          <w:ilvl w:val="1"/>
          <w:numId w:val="16"/>
        </w:numPr>
        <w:tabs>
          <w:tab w:pos="1197" w:val="left" w:leader="none"/>
          <w:tab w:pos="1198" w:val="left" w:leader="none"/>
        </w:tabs>
        <w:spacing w:line="240" w:lineRule="auto" w:before="64" w:after="0"/>
        <w:ind w:left="1197" w:right="0" w:hanging="360"/>
        <w:jc w:val="left"/>
        <w:rPr>
          <w:sz w:val="38"/>
        </w:rPr>
      </w:pPr>
      <w:r>
        <w:rPr>
          <w:sz w:val="38"/>
        </w:rPr>
        <w:t>accelerates healing of</w:t>
      </w:r>
      <w:r>
        <w:rPr>
          <w:spacing w:val="1"/>
          <w:sz w:val="38"/>
        </w:rPr>
        <w:t> </w:t>
      </w:r>
      <w:r>
        <w:rPr>
          <w:sz w:val="38"/>
        </w:rPr>
        <w:t>wounds</w:t>
      </w:r>
    </w:p>
    <w:p>
      <w:pPr>
        <w:pStyle w:val="ListParagraph"/>
        <w:numPr>
          <w:ilvl w:val="1"/>
          <w:numId w:val="16"/>
        </w:numPr>
        <w:tabs>
          <w:tab w:pos="1197" w:val="left" w:leader="none"/>
          <w:tab w:pos="1198" w:val="left" w:leader="none"/>
        </w:tabs>
        <w:spacing w:line="240" w:lineRule="auto" w:before="63" w:after="0"/>
        <w:ind w:left="1197" w:right="0" w:hanging="360"/>
        <w:jc w:val="left"/>
        <w:rPr>
          <w:sz w:val="38"/>
        </w:rPr>
      </w:pPr>
      <w:r>
        <w:rPr>
          <w:sz w:val="38"/>
        </w:rPr>
        <w:t>purgative</w:t>
      </w:r>
    </w:p>
    <w:p>
      <w:pPr>
        <w:pStyle w:val="ListParagraph"/>
        <w:numPr>
          <w:ilvl w:val="1"/>
          <w:numId w:val="16"/>
        </w:numPr>
        <w:tabs>
          <w:tab w:pos="1197" w:val="left" w:leader="none"/>
          <w:tab w:pos="1198" w:val="left" w:leader="none"/>
        </w:tabs>
        <w:spacing w:line="240" w:lineRule="auto" w:before="66" w:after="0"/>
        <w:ind w:left="1197" w:right="0" w:hanging="360"/>
        <w:jc w:val="left"/>
        <w:rPr>
          <w:sz w:val="38"/>
        </w:rPr>
      </w:pPr>
      <w:r>
        <w:rPr>
          <w:sz w:val="38"/>
        </w:rPr>
        <w:t>cholagogue</w:t>
      </w:r>
    </w:p>
    <w:p>
      <w:pPr>
        <w:pStyle w:val="ListParagraph"/>
        <w:numPr>
          <w:ilvl w:val="1"/>
          <w:numId w:val="16"/>
        </w:numPr>
        <w:tabs>
          <w:tab w:pos="1197" w:val="left" w:leader="none"/>
          <w:tab w:pos="1198" w:val="left" w:leader="none"/>
        </w:tabs>
        <w:spacing w:line="240" w:lineRule="auto" w:before="64" w:after="0"/>
        <w:ind w:left="1197" w:right="0" w:hanging="360"/>
        <w:jc w:val="left"/>
        <w:rPr>
          <w:sz w:val="38"/>
        </w:rPr>
      </w:pPr>
      <w:r>
        <w:rPr>
          <w:sz w:val="38"/>
        </w:rPr>
        <w:t>laxative</w:t>
      </w:r>
    </w:p>
    <w:p>
      <w:pPr>
        <w:pStyle w:val="ListParagraph"/>
        <w:numPr>
          <w:ilvl w:val="1"/>
          <w:numId w:val="16"/>
        </w:numPr>
        <w:tabs>
          <w:tab w:pos="1197" w:val="left" w:leader="none"/>
          <w:tab w:pos="1198" w:val="left" w:leader="none"/>
        </w:tabs>
        <w:spacing w:line="240" w:lineRule="auto" w:before="64" w:after="0"/>
        <w:ind w:left="1197" w:right="0" w:hanging="360"/>
        <w:jc w:val="left"/>
        <w:rPr>
          <w:sz w:val="38"/>
        </w:rPr>
      </w:pPr>
      <w:r>
        <w:rPr>
          <w:sz w:val="38"/>
        </w:rPr>
        <w:t>cooling (during</w:t>
      </w:r>
      <w:r>
        <w:rPr>
          <w:spacing w:val="-12"/>
          <w:sz w:val="38"/>
        </w:rPr>
        <w:t> </w:t>
      </w:r>
      <w:r>
        <w:rPr>
          <w:sz w:val="38"/>
        </w:rPr>
        <w:t>fevers)</w:t>
      </w:r>
    </w:p>
    <w:p>
      <w:pPr>
        <w:pStyle w:val="ListParagraph"/>
        <w:numPr>
          <w:ilvl w:val="1"/>
          <w:numId w:val="16"/>
        </w:numPr>
        <w:tabs>
          <w:tab w:pos="1197" w:val="left" w:leader="none"/>
          <w:tab w:pos="1198" w:val="left" w:leader="none"/>
        </w:tabs>
        <w:spacing w:line="273" w:lineRule="auto" w:before="64" w:after="0"/>
        <w:ind w:left="1197" w:right="132" w:hanging="360"/>
        <w:jc w:val="left"/>
        <w:rPr>
          <w:sz w:val="38"/>
        </w:rPr>
      </w:pPr>
      <w:r>
        <w:rPr>
          <w:sz w:val="38"/>
        </w:rPr>
        <w:t>anti-atherogenic</w:t>
      </w:r>
      <w:r>
        <w:rPr>
          <w:spacing w:val="-29"/>
          <w:sz w:val="38"/>
        </w:rPr>
        <w:t> </w:t>
      </w:r>
      <w:r>
        <w:rPr>
          <w:sz w:val="38"/>
        </w:rPr>
        <w:t>(protects</w:t>
      </w:r>
      <w:r>
        <w:rPr>
          <w:spacing w:val="-27"/>
          <w:sz w:val="38"/>
        </w:rPr>
        <w:t> </w:t>
      </w:r>
      <w:r>
        <w:rPr>
          <w:sz w:val="38"/>
        </w:rPr>
        <w:t>against</w:t>
      </w:r>
      <w:r>
        <w:rPr>
          <w:spacing w:val="-28"/>
          <w:sz w:val="38"/>
        </w:rPr>
        <w:t> </w:t>
      </w:r>
      <w:r>
        <w:rPr>
          <w:sz w:val="38"/>
        </w:rPr>
        <w:t>atherosclerosis</w:t>
      </w:r>
      <w:r>
        <w:rPr>
          <w:spacing w:val="-23"/>
          <w:sz w:val="38"/>
        </w:rPr>
        <w:t> </w:t>
      </w:r>
      <w:r>
        <w:rPr>
          <w:sz w:val="38"/>
        </w:rPr>
        <w:t>and</w:t>
      </w:r>
      <w:r>
        <w:rPr>
          <w:spacing w:val="-27"/>
          <w:sz w:val="38"/>
        </w:rPr>
        <w:t> </w:t>
      </w:r>
      <w:r>
        <w:rPr>
          <w:sz w:val="38"/>
        </w:rPr>
        <w:t>removes</w:t>
      </w:r>
      <w:r>
        <w:rPr>
          <w:spacing w:val="-27"/>
          <w:sz w:val="38"/>
        </w:rPr>
        <w:t> </w:t>
      </w:r>
      <w:r>
        <w:rPr>
          <w:sz w:val="38"/>
        </w:rPr>
        <w:t>existing</w:t>
      </w:r>
      <w:r>
        <w:rPr>
          <w:spacing w:val="-27"/>
          <w:sz w:val="38"/>
        </w:rPr>
        <w:t> </w:t>
      </w:r>
      <w:r>
        <w:rPr>
          <w:sz w:val="38"/>
        </w:rPr>
        <w:t>vas- cular calcification)</w:t>
      </w:r>
    </w:p>
    <w:p>
      <w:pPr>
        <w:pStyle w:val="ListParagraph"/>
        <w:numPr>
          <w:ilvl w:val="1"/>
          <w:numId w:val="16"/>
        </w:numPr>
        <w:tabs>
          <w:tab w:pos="1197" w:val="left" w:leader="none"/>
          <w:tab w:pos="1198" w:val="left" w:leader="none"/>
        </w:tabs>
        <w:spacing w:line="240" w:lineRule="auto" w:before="7" w:after="0"/>
        <w:ind w:left="1197" w:right="0" w:hanging="360"/>
        <w:jc w:val="left"/>
        <w:rPr>
          <w:sz w:val="38"/>
        </w:rPr>
      </w:pPr>
      <w:r>
        <w:rPr>
          <w:sz w:val="38"/>
        </w:rPr>
        <w:t>anti-carcinogenic (counteracts carcinogenesis)</w:t>
      </w:r>
    </w:p>
    <w:p>
      <w:pPr>
        <w:spacing w:after="0" w:line="240" w:lineRule="auto"/>
        <w:jc w:val="left"/>
        <w:rPr>
          <w:sz w:val="38"/>
        </w:rPr>
        <w:sectPr>
          <w:pgSz w:w="14270" w:h="16850"/>
          <w:pgMar w:header="0" w:footer="1891" w:top="1600" w:bottom="2080" w:left="800" w:right="1280"/>
        </w:sectPr>
      </w:pPr>
    </w:p>
    <w:p>
      <w:pPr>
        <w:pStyle w:val="BodyText"/>
        <w:spacing w:before="10"/>
        <w:rPr>
          <w:sz w:val="8"/>
        </w:rPr>
      </w:pPr>
    </w:p>
    <w:p>
      <w:pPr>
        <w:pStyle w:val="ListParagraph"/>
        <w:numPr>
          <w:ilvl w:val="1"/>
          <w:numId w:val="16"/>
        </w:numPr>
        <w:tabs>
          <w:tab w:pos="1197" w:val="left" w:leader="none"/>
          <w:tab w:pos="1198" w:val="left" w:leader="none"/>
        </w:tabs>
        <w:spacing w:line="240" w:lineRule="auto" w:before="83" w:after="0"/>
        <w:ind w:left="1197" w:right="0" w:hanging="360"/>
        <w:jc w:val="left"/>
        <w:rPr>
          <w:sz w:val="38"/>
        </w:rPr>
      </w:pPr>
      <w:r>
        <w:rPr>
          <w:sz w:val="38"/>
        </w:rPr>
        <w:t>protects the cardiovascular system</w:t>
      </w:r>
    </w:p>
    <w:p>
      <w:pPr>
        <w:pStyle w:val="ListParagraph"/>
        <w:numPr>
          <w:ilvl w:val="1"/>
          <w:numId w:val="16"/>
        </w:numPr>
        <w:tabs>
          <w:tab w:pos="1197" w:val="left" w:leader="none"/>
          <w:tab w:pos="1198" w:val="left" w:leader="none"/>
        </w:tabs>
        <w:spacing w:line="240" w:lineRule="auto" w:before="64" w:after="0"/>
        <w:ind w:left="1197" w:right="0" w:hanging="360"/>
        <w:jc w:val="left"/>
        <w:rPr>
          <w:sz w:val="38"/>
        </w:rPr>
      </w:pPr>
      <w:r>
        <w:rPr>
          <w:sz w:val="38"/>
        </w:rPr>
        <w:t>regulates blood</w:t>
      </w:r>
      <w:r>
        <w:rPr>
          <w:spacing w:val="2"/>
          <w:sz w:val="38"/>
        </w:rPr>
        <w:t> </w:t>
      </w:r>
      <w:r>
        <w:rPr>
          <w:sz w:val="38"/>
        </w:rPr>
        <w:t>pressure</w:t>
      </w:r>
    </w:p>
    <w:p>
      <w:pPr>
        <w:pStyle w:val="ListParagraph"/>
        <w:numPr>
          <w:ilvl w:val="1"/>
          <w:numId w:val="16"/>
        </w:numPr>
        <w:tabs>
          <w:tab w:pos="1197" w:val="left" w:leader="none"/>
          <w:tab w:pos="1198" w:val="left" w:leader="none"/>
        </w:tabs>
        <w:spacing w:line="240" w:lineRule="auto" w:before="66" w:after="0"/>
        <w:ind w:left="1197" w:right="0" w:hanging="360"/>
        <w:jc w:val="left"/>
        <w:rPr>
          <w:sz w:val="38"/>
        </w:rPr>
      </w:pPr>
      <w:r>
        <w:rPr>
          <w:sz w:val="38"/>
        </w:rPr>
        <w:t>carminative</w:t>
      </w:r>
    </w:p>
    <w:p>
      <w:pPr>
        <w:pStyle w:val="ListParagraph"/>
        <w:numPr>
          <w:ilvl w:val="1"/>
          <w:numId w:val="16"/>
        </w:numPr>
        <w:tabs>
          <w:tab w:pos="1197" w:val="left" w:leader="none"/>
          <w:tab w:pos="1198" w:val="left" w:leader="none"/>
        </w:tabs>
        <w:spacing w:line="240" w:lineRule="auto" w:before="63" w:after="0"/>
        <w:ind w:left="1197" w:right="0" w:hanging="360"/>
        <w:jc w:val="left"/>
        <w:rPr>
          <w:sz w:val="38"/>
        </w:rPr>
      </w:pPr>
      <w:r>
        <w:rPr>
          <w:sz w:val="38"/>
        </w:rPr>
        <w:t>diaphoretic</w:t>
      </w:r>
    </w:p>
    <w:p>
      <w:pPr>
        <w:pStyle w:val="ListParagraph"/>
        <w:numPr>
          <w:ilvl w:val="1"/>
          <w:numId w:val="16"/>
        </w:numPr>
        <w:tabs>
          <w:tab w:pos="1197" w:val="left" w:leader="none"/>
          <w:tab w:pos="1198" w:val="left" w:leader="none"/>
        </w:tabs>
        <w:spacing w:line="240" w:lineRule="auto" w:before="64" w:after="0"/>
        <w:ind w:left="1197" w:right="0" w:hanging="360"/>
        <w:jc w:val="left"/>
        <w:rPr>
          <w:sz w:val="38"/>
        </w:rPr>
      </w:pPr>
      <w:r>
        <w:rPr>
          <w:sz w:val="38"/>
        </w:rPr>
        <w:t>dehydrating</w:t>
      </w:r>
    </w:p>
    <w:p>
      <w:pPr>
        <w:pStyle w:val="ListParagraph"/>
        <w:numPr>
          <w:ilvl w:val="1"/>
          <w:numId w:val="16"/>
        </w:numPr>
        <w:tabs>
          <w:tab w:pos="1197" w:val="left" w:leader="none"/>
          <w:tab w:pos="1198" w:val="left" w:leader="none"/>
        </w:tabs>
        <w:spacing w:line="240" w:lineRule="auto" w:before="63" w:after="0"/>
        <w:ind w:left="1197" w:right="0" w:hanging="360"/>
        <w:jc w:val="left"/>
        <w:rPr>
          <w:sz w:val="38"/>
        </w:rPr>
      </w:pPr>
      <w:r>
        <w:rPr>
          <w:sz w:val="38"/>
        </w:rPr>
        <w:t>builds the intestinal</w:t>
      </w:r>
      <w:r>
        <w:rPr>
          <w:spacing w:val="-1"/>
          <w:sz w:val="38"/>
        </w:rPr>
        <w:t> </w:t>
      </w:r>
      <w:r>
        <w:rPr>
          <w:sz w:val="38"/>
        </w:rPr>
        <w:t>flora</w:t>
      </w:r>
    </w:p>
    <w:p>
      <w:pPr>
        <w:pStyle w:val="ListParagraph"/>
        <w:numPr>
          <w:ilvl w:val="1"/>
          <w:numId w:val="16"/>
        </w:numPr>
        <w:tabs>
          <w:tab w:pos="1197" w:val="left" w:leader="none"/>
          <w:tab w:pos="1198" w:val="left" w:leader="none"/>
        </w:tabs>
        <w:spacing w:line="240" w:lineRule="auto" w:before="65" w:after="0"/>
        <w:ind w:left="1197" w:right="0" w:hanging="360"/>
        <w:jc w:val="left"/>
        <w:rPr>
          <w:sz w:val="38"/>
        </w:rPr>
      </w:pPr>
      <w:r>
        <w:rPr>
          <w:sz w:val="38"/>
        </w:rPr>
        <w:t>invigorates the endocrine</w:t>
      </w:r>
      <w:r>
        <w:rPr>
          <w:spacing w:val="3"/>
          <w:sz w:val="38"/>
        </w:rPr>
        <w:t> </w:t>
      </w:r>
      <w:r>
        <w:rPr>
          <w:sz w:val="38"/>
        </w:rPr>
        <w:t>system</w:t>
      </w:r>
    </w:p>
    <w:p>
      <w:pPr>
        <w:pStyle w:val="ListParagraph"/>
        <w:numPr>
          <w:ilvl w:val="1"/>
          <w:numId w:val="16"/>
        </w:numPr>
        <w:tabs>
          <w:tab w:pos="1197" w:val="left" w:leader="none"/>
          <w:tab w:pos="1198" w:val="left" w:leader="none"/>
        </w:tabs>
        <w:spacing w:line="240" w:lineRule="auto" w:before="66" w:after="0"/>
        <w:ind w:left="1197" w:right="0" w:hanging="360"/>
        <w:jc w:val="left"/>
        <w:rPr>
          <w:sz w:val="38"/>
        </w:rPr>
      </w:pPr>
      <w:r>
        <w:rPr>
          <w:sz w:val="38"/>
        </w:rPr>
        <w:t>anti-inflammatory</w:t>
      </w:r>
    </w:p>
    <w:p>
      <w:pPr>
        <w:pStyle w:val="ListParagraph"/>
        <w:numPr>
          <w:ilvl w:val="1"/>
          <w:numId w:val="16"/>
        </w:numPr>
        <w:tabs>
          <w:tab w:pos="1197" w:val="left" w:leader="none"/>
          <w:tab w:pos="1198" w:val="left" w:leader="none"/>
        </w:tabs>
        <w:spacing w:line="240" w:lineRule="auto" w:before="63" w:after="0"/>
        <w:ind w:left="1197" w:right="0" w:hanging="360"/>
        <w:jc w:val="left"/>
        <w:rPr>
          <w:sz w:val="38"/>
        </w:rPr>
      </w:pPr>
      <w:r>
        <w:rPr>
          <w:sz w:val="38"/>
        </w:rPr>
        <w:t>antibacterial</w:t>
      </w:r>
    </w:p>
    <w:p>
      <w:pPr>
        <w:pStyle w:val="ListParagraph"/>
        <w:numPr>
          <w:ilvl w:val="1"/>
          <w:numId w:val="16"/>
        </w:numPr>
        <w:tabs>
          <w:tab w:pos="1197" w:val="left" w:leader="none"/>
          <w:tab w:pos="1198" w:val="left" w:leader="none"/>
        </w:tabs>
        <w:spacing w:line="240" w:lineRule="auto" w:before="64" w:after="0"/>
        <w:ind w:left="1197" w:right="0" w:hanging="360"/>
        <w:jc w:val="left"/>
        <w:rPr>
          <w:sz w:val="38"/>
        </w:rPr>
      </w:pPr>
      <w:r>
        <w:rPr>
          <w:sz w:val="38"/>
        </w:rPr>
        <w:t>antiviral</w:t>
      </w:r>
    </w:p>
    <w:p>
      <w:pPr>
        <w:pStyle w:val="ListParagraph"/>
        <w:numPr>
          <w:ilvl w:val="1"/>
          <w:numId w:val="16"/>
        </w:numPr>
        <w:tabs>
          <w:tab w:pos="1197" w:val="left" w:leader="none"/>
          <w:tab w:pos="1198" w:val="left" w:leader="none"/>
        </w:tabs>
        <w:spacing w:line="240" w:lineRule="auto" w:before="64" w:after="0"/>
        <w:ind w:left="1197" w:right="0" w:hanging="360"/>
        <w:jc w:val="left"/>
        <w:rPr>
          <w:sz w:val="38"/>
        </w:rPr>
      </w:pPr>
      <w:r>
        <w:rPr>
          <w:sz w:val="38"/>
        </w:rPr>
        <w:t>antifungal</w:t>
      </w:r>
    </w:p>
    <w:p>
      <w:pPr>
        <w:pStyle w:val="ListParagraph"/>
        <w:numPr>
          <w:ilvl w:val="1"/>
          <w:numId w:val="16"/>
        </w:numPr>
        <w:tabs>
          <w:tab w:pos="1197" w:val="left" w:leader="none"/>
          <w:tab w:pos="1198" w:val="left" w:leader="none"/>
        </w:tabs>
        <w:spacing w:line="240" w:lineRule="auto" w:before="63" w:after="0"/>
        <w:ind w:left="1197" w:right="0" w:hanging="360"/>
        <w:jc w:val="left"/>
        <w:rPr>
          <w:sz w:val="38"/>
        </w:rPr>
      </w:pPr>
      <w:r>
        <w:rPr>
          <w:sz w:val="38"/>
        </w:rPr>
        <w:t>anti-helminthic (removes</w:t>
      </w:r>
      <w:r>
        <w:rPr>
          <w:spacing w:val="-1"/>
          <w:sz w:val="38"/>
        </w:rPr>
        <w:t> </w:t>
      </w:r>
      <w:r>
        <w:rPr>
          <w:sz w:val="38"/>
        </w:rPr>
        <w:t>worms)</w:t>
      </w:r>
    </w:p>
    <w:p>
      <w:pPr>
        <w:pStyle w:val="ListParagraph"/>
        <w:numPr>
          <w:ilvl w:val="1"/>
          <w:numId w:val="16"/>
        </w:numPr>
        <w:tabs>
          <w:tab w:pos="1197" w:val="left" w:leader="none"/>
          <w:tab w:pos="1198" w:val="left" w:leader="none"/>
        </w:tabs>
        <w:spacing w:line="240" w:lineRule="auto" w:before="66" w:after="0"/>
        <w:ind w:left="1197" w:right="0" w:hanging="360"/>
        <w:jc w:val="left"/>
        <w:rPr>
          <w:sz w:val="38"/>
        </w:rPr>
      </w:pPr>
      <w:r>
        <w:rPr>
          <w:sz w:val="38"/>
        </w:rPr>
        <w:t>prevention and therapy of</w:t>
      </w:r>
      <w:r>
        <w:rPr>
          <w:spacing w:val="2"/>
          <w:sz w:val="38"/>
        </w:rPr>
        <w:t> </w:t>
      </w:r>
      <w:r>
        <w:rPr>
          <w:sz w:val="38"/>
        </w:rPr>
        <w:t>ulcers</w:t>
      </w:r>
    </w:p>
    <w:p>
      <w:pPr>
        <w:pStyle w:val="ListParagraph"/>
        <w:numPr>
          <w:ilvl w:val="1"/>
          <w:numId w:val="16"/>
        </w:numPr>
        <w:tabs>
          <w:tab w:pos="1197" w:val="left" w:leader="none"/>
          <w:tab w:pos="1198" w:val="left" w:leader="none"/>
        </w:tabs>
        <w:spacing w:line="240" w:lineRule="auto" w:before="64" w:after="0"/>
        <w:ind w:left="1197" w:right="0" w:hanging="360"/>
        <w:jc w:val="left"/>
        <w:rPr>
          <w:sz w:val="38"/>
        </w:rPr>
      </w:pPr>
      <w:r>
        <w:rPr>
          <w:sz w:val="38"/>
        </w:rPr>
        <w:t>anti-inflammatory</w:t>
      </w:r>
    </w:p>
    <w:p>
      <w:pPr>
        <w:pStyle w:val="ListParagraph"/>
        <w:numPr>
          <w:ilvl w:val="1"/>
          <w:numId w:val="16"/>
        </w:numPr>
        <w:tabs>
          <w:tab w:pos="1197" w:val="left" w:leader="none"/>
          <w:tab w:pos="1198" w:val="left" w:leader="none"/>
        </w:tabs>
        <w:spacing w:line="240" w:lineRule="auto" w:before="64" w:after="0"/>
        <w:ind w:left="1197" w:right="0" w:hanging="360"/>
        <w:jc w:val="left"/>
        <w:rPr>
          <w:sz w:val="38"/>
        </w:rPr>
      </w:pPr>
      <w:r>
        <w:rPr>
          <w:sz w:val="38"/>
        </w:rPr>
        <w:t>supports weight loss and figure</w:t>
      </w:r>
      <w:r>
        <w:rPr>
          <w:spacing w:val="-1"/>
          <w:sz w:val="38"/>
        </w:rPr>
        <w:t> </w:t>
      </w:r>
      <w:r>
        <w:rPr>
          <w:sz w:val="38"/>
        </w:rPr>
        <w:t>maintenance</w:t>
      </w:r>
    </w:p>
    <w:p>
      <w:pPr>
        <w:pStyle w:val="BodyText"/>
        <w:rPr>
          <w:sz w:val="44"/>
        </w:rPr>
      </w:pPr>
    </w:p>
    <w:p>
      <w:pPr>
        <w:pStyle w:val="Heading1"/>
        <w:spacing w:before="282"/>
      </w:pPr>
      <w:r>
        <w:rPr/>
        <w:t>Pineapple/bromelain and the immune-strengthening effect</w:t>
      </w:r>
    </w:p>
    <w:p>
      <w:pPr>
        <w:pStyle w:val="BodyText"/>
        <w:spacing w:line="276" w:lineRule="auto" w:before="299"/>
        <w:ind w:left="477"/>
      </w:pPr>
      <w:r>
        <w:rPr/>
        <w:t>In a similar way to papaya, pineapple's stimulating and regulating effect on our immune system is multifactorial and takes place on the following basis:</w:t>
      </w:r>
    </w:p>
    <w:p>
      <w:pPr>
        <w:pStyle w:val="ListParagraph"/>
        <w:numPr>
          <w:ilvl w:val="2"/>
          <w:numId w:val="16"/>
        </w:numPr>
        <w:tabs>
          <w:tab w:pos="1554" w:val="left" w:leader="none"/>
          <w:tab w:pos="1555" w:val="left" w:leader="none"/>
        </w:tabs>
        <w:spacing w:line="240" w:lineRule="auto" w:before="243" w:after="0"/>
        <w:ind w:left="1554" w:right="0" w:hanging="357"/>
        <w:jc w:val="left"/>
        <w:rPr>
          <w:sz w:val="38"/>
        </w:rPr>
      </w:pPr>
      <w:r>
        <w:rPr>
          <w:sz w:val="38"/>
        </w:rPr>
        <w:t>Bromelain stimulates the production of leukocytes (white blood</w:t>
      </w:r>
      <w:r>
        <w:rPr>
          <w:spacing w:val="-20"/>
          <w:sz w:val="38"/>
        </w:rPr>
        <w:t> </w:t>
      </w:r>
      <w:r>
        <w:rPr>
          <w:sz w:val="38"/>
        </w:rPr>
        <w:t>cells).</w:t>
      </w:r>
    </w:p>
    <w:p>
      <w:pPr>
        <w:spacing w:after="0" w:line="240" w:lineRule="auto"/>
        <w:jc w:val="left"/>
        <w:rPr>
          <w:sz w:val="38"/>
        </w:rPr>
        <w:sectPr>
          <w:footerReference w:type="default" r:id="rId28"/>
          <w:pgSz w:w="14270" w:h="16850"/>
          <w:pgMar w:footer="1891" w:header="0" w:top="1600" w:bottom="2080" w:left="800" w:right="1280"/>
          <w:pgNumType w:start="150"/>
        </w:sectPr>
      </w:pPr>
    </w:p>
    <w:p>
      <w:pPr>
        <w:pStyle w:val="BodyText"/>
        <w:spacing w:before="10"/>
        <w:rPr>
          <w:sz w:val="8"/>
        </w:rPr>
      </w:pPr>
    </w:p>
    <w:p>
      <w:pPr>
        <w:pStyle w:val="ListParagraph"/>
        <w:numPr>
          <w:ilvl w:val="2"/>
          <w:numId w:val="16"/>
        </w:numPr>
        <w:tabs>
          <w:tab w:pos="1554" w:val="left" w:leader="none"/>
          <w:tab w:pos="1555" w:val="left" w:leader="none"/>
        </w:tabs>
        <w:spacing w:line="273" w:lineRule="auto" w:before="83" w:after="0"/>
        <w:ind w:left="1554" w:right="135" w:hanging="357"/>
        <w:jc w:val="left"/>
        <w:rPr>
          <w:sz w:val="38"/>
        </w:rPr>
      </w:pPr>
      <w:r>
        <w:rPr>
          <w:sz w:val="38"/>
        </w:rPr>
        <w:t>Bromelain increases the production of cytokines (interleukins and tu- mour necrosis</w:t>
      </w:r>
      <w:r>
        <w:rPr>
          <w:spacing w:val="-3"/>
          <w:sz w:val="38"/>
        </w:rPr>
        <w:t> </w:t>
      </w:r>
      <w:r>
        <w:rPr>
          <w:sz w:val="38"/>
        </w:rPr>
        <w:t>factor).</w:t>
      </w:r>
    </w:p>
    <w:p>
      <w:pPr>
        <w:pStyle w:val="ListParagraph"/>
        <w:numPr>
          <w:ilvl w:val="2"/>
          <w:numId w:val="16"/>
        </w:numPr>
        <w:tabs>
          <w:tab w:pos="1554" w:val="left" w:leader="none"/>
          <w:tab w:pos="1555" w:val="left" w:leader="none"/>
        </w:tabs>
        <w:spacing w:line="273" w:lineRule="auto" w:before="7" w:after="0"/>
        <w:ind w:left="1554" w:right="138" w:hanging="357"/>
        <w:jc w:val="left"/>
        <w:rPr>
          <w:sz w:val="38"/>
        </w:rPr>
      </w:pPr>
      <w:r>
        <w:rPr>
          <w:sz w:val="38"/>
        </w:rPr>
        <w:t>Pineapple and bromelain relieve the immune system through their anti- viral, antibacterial, and antifungal</w:t>
      </w:r>
      <w:r>
        <w:rPr>
          <w:spacing w:val="1"/>
          <w:sz w:val="38"/>
        </w:rPr>
        <w:t> </w:t>
      </w:r>
      <w:r>
        <w:rPr>
          <w:sz w:val="38"/>
        </w:rPr>
        <w:t>effects.</w:t>
      </w:r>
    </w:p>
    <w:p>
      <w:pPr>
        <w:pStyle w:val="ListParagraph"/>
        <w:numPr>
          <w:ilvl w:val="2"/>
          <w:numId w:val="16"/>
        </w:numPr>
        <w:tabs>
          <w:tab w:pos="1554" w:val="left" w:leader="none"/>
          <w:tab w:pos="1555" w:val="left" w:leader="none"/>
        </w:tabs>
        <w:spacing w:line="273" w:lineRule="auto" w:before="7" w:after="0"/>
        <w:ind w:left="1554" w:right="135" w:hanging="357"/>
        <w:jc w:val="left"/>
        <w:rPr>
          <w:sz w:val="38"/>
        </w:rPr>
      </w:pPr>
      <w:r>
        <w:rPr>
          <w:sz w:val="38"/>
        </w:rPr>
        <w:t>Pineapple eliminates immune complexes and prevents the formation of new</w:t>
      </w:r>
      <w:r>
        <w:rPr>
          <w:spacing w:val="-1"/>
          <w:sz w:val="38"/>
        </w:rPr>
        <w:t> </w:t>
      </w:r>
      <w:r>
        <w:rPr>
          <w:sz w:val="38"/>
        </w:rPr>
        <w:t>ones.</w:t>
      </w:r>
    </w:p>
    <w:p>
      <w:pPr>
        <w:pStyle w:val="ListParagraph"/>
        <w:numPr>
          <w:ilvl w:val="2"/>
          <w:numId w:val="16"/>
        </w:numPr>
        <w:tabs>
          <w:tab w:pos="1554" w:val="left" w:leader="none"/>
          <w:tab w:pos="1555" w:val="left" w:leader="none"/>
        </w:tabs>
        <w:spacing w:line="240" w:lineRule="auto" w:before="8" w:after="0"/>
        <w:ind w:left="1554" w:right="0" w:hanging="357"/>
        <w:jc w:val="left"/>
        <w:rPr>
          <w:sz w:val="38"/>
        </w:rPr>
      </w:pPr>
      <w:r>
        <w:rPr>
          <w:sz w:val="38"/>
        </w:rPr>
        <w:t>Pineapple and its enzymes clean and detoxify the</w:t>
      </w:r>
      <w:r>
        <w:rPr>
          <w:spacing w:val="-2"/>
          <w:sz w:val="38"/>
        </w:rPr>
        <w:t> </w:t>
      </w:r>
      <w:r>
        <w:rPr>
          <w:sz w:val="38"/>
        </w:rPr>
        <w:t>body.</w:t>
      </w:r>
    </w:p>
    <w:p>
      <w:pPr>
        <w:pStyle w:val="ListParagraph"/>
        <w:numPr>
          <w:ilvl w:val="2"/>
          <w:numId w:val="16"/>
        </w:numPr>
        <w:tabs>
          <w:tab w:pos="1554" w:val="left" w:leader="none"/>
          <w:tab w:pos="1555" w:val="left" w:leader="none"/>
        </w:tabs>
        <w:spacing w:line="240" w:lineRule="auto" w:before="66" w:after="0"/>
        <w:ind w:left="1554" w:right="0" w:hanging="357"/>
        <w:jc w:val="left"/>
        <w:rPr>
          <w:sz w:val="38"/>
        </w:rPr>
      </w:pPr>
      <w:r>
        <w:rPr>
          <w:sz w:val="38"/>
        </w:rPr>
        <w:t>Pineapple optimizes the breakdown of protein</w:t>
      </w:r>
      <w:r>
        <w:rPr>
          <w:spacing w:val="-1"/>
          <w:sz w:val="38"/>
        </w:rPr>
        <w:t> </w:t>
      </w:r>
      <w:r>
        <w:rPr>
          <w:sz w:val="38"/>
        </w:rPr>
        <w:t>metabolites.</w:t>
      </w:r>
    </w:p>
    <w:p>
      <w:pPr>
        <w:pStyle w:val="ListParagraph"/>
        <w:numPr>
          <w:ilvl w:val="2"/>
          <w:numId w:val="16"/>
        </w:numPr>
        <w:tabs>
          <w:tab w:pos="1554" w:val="left" w:leader="none"/>
          <w:tab w:pos="1555" w:val="left" w:leader="none"/>
        </w:tabs>
        <w:spacing w:line="273" w:lineRule="auto" w:before="63" w:after="0"/>
        <w:ind w:left="1554" w:right="135" w:hanging="357"/>
        <w:jc w:val="left"/>
        <w:rPr>
          <w:sz w:val="38"/>
        </w:rPr>
      </w:pPr>
      <w:r>
        <w:rPr>
          <w:sz w:val="38"/>
        </w:rPr>
        <w:t>Pineapple has high levels of other immune-strengthening substances such as vitamin</w:t>
      </w:r>
      <w:r>
        <w:rPr>
          <w:spacing w:val="1"/>
          <w:sz w:val="38"/>
        </w:rPr>
        <w:t> </w:t>
      </w:r>
      <w:r>
        <w:rPr>
          <w:sz w:val="38"/>
        </w:rPr>
        <w:t>C.</w:t>
      </w:r>
    </w:p>
    <w:p>
      <w:pPr>
        <w:pStyle w:val="ListParagraph"/>
        <w:numPr>
          <w:ilvl w:val="2"/>
          <w:numId w:val="16"/>
        </w:numPr>
        <w:tabs>
          <w:tab w:pos="1554" w:val="left" w:leader="none"/>
          <w:tab w:pos="1555" w:val="left" w:leader="none"/>
        </w:tabs>
        <w:spacing w:line="240" w:lineRule="auto" w:before="8" w:after="0"/>
        <w:ind w:left="1554" w:right="0" w:hanging="357"/>
        <w:jc w:val="left"/>
        <w:rPr>
          <w:sz w:val="38"/>
        </w:rPr>
      </w:pPr>
      <w:r>
        <w:rPr>
          <w:sz w:val="38"/>
        </w:rPr>
        <w:t>Pineapple cleanses the intestinal</w:t>
      </w:r>
      <w:r>
        <w:rPr>
          <w:spacing w:val="2"/>
          <w:sz w:val="38"/>
        </w:rPr>
        <w:t> </w:t>
      </w:r>
      <w:r>
        <w:rPr>
          <w:sz w:val="38"/>
        </w:rPr>
        <w:t>villi.</w:t>
      </w:r>
    </w:p>
    <w:p>
      <w:pPr>
        <w:pStyle w:val="Heading1"/>
        <w:spacing w:before="284"/>
      </w:pPr>
      <w:r>
        <w:rPr/>
        <w:t>Anti-inflammatory effect of bromelain</w:t>
      </w:r>
    </w:p>
    <w:p>
      <w:pPr>
        <w:pStyle w:val="BodyText"/>
        <w:spacing w:line="276" w:lineRule="auto" w:before="300"/>
        <w:ind w:left="477"/>
      </w:pPr>
      <w:r>
        <w:rPr/>
        <w:t>The</w:t>
      </w:r>
      <w:r>
        <w:rPr>
          <w:spacing w:val="-26"/>
        </w:rPr>
        <w:t> </w:t>
      </w:r>
      <w:r>
        <w:rPr/>
        <w:t>anti-inflammatory</w:t>
      </w:r>
      <w:r>
        <w:rPr>
          <w:spacing w:val="-26"/>
        </w:rPr>
        <w:t> </w:t>
      </w:r>
      <w:r>
        <w:rPr/>
        <w:t>effect</w:t>
      </w:r>
      <w:r>
        <w:rPr>
          <w:spacing w:val="-26"/>
        </w:rPr>
        <w:t> </w:t>
      </w:r>
      <w:r>
        <w:rPr/>
        <w:t>of</w:t>
      </w:r>
      <w:r>
        <w:rPr>
          <w:spacing w:val="-27"/>
        </w:rPr>
        <w:t> </w:t>
      </w:r>
      <w:r>
        <w:rPr/>
        <w:t>bromelain</w:t>
      </w:r>
      <w:r>
        <w:rPr>
          <w:spacing w:val="-26"/>
        </w:rPr>
        <w:t> </w:t>
      </w:r>
      <w:r>
        <w:rPr/>
        <w:t>is</w:t>
      </w:r>
      <w:r>
        <w:rPr>
          <w:spacing w:val="-26"/>
        </w:rPr>
        <w:t> </w:t>
      </w:r>
      <w:r>
        <w:rPr/>
        <w:t>based</w:t>
      </w:r>
      <w:r>
        <w:rPr>
          <w:spacing w:val="-27"/>
        </w:rPr>
        <w:t> </w:t>
      </w:r>
      <w:r>
        <w:rPr/>
        <w:t>on</w:t>
      </w:r>
      <w:r>
        <w:rPr>
          <w:spacing w:val="-25"/>
        </w:rPr>
        <w:t> </w:t>
      </w:r>
      <w:r>
        <w:rPr/>
        <w:t>several</w:t>
      </w:r>
      <w:r>
        <w:rPr>
          <w:spacing w:val="-27"/>
        </w:rPr>
        <w:t> </w:t>
      </w:r>
      <w:r>
        <w:rPr/>
        <w:t>physiological</w:t>
      </w:r>
      <w:r>
        <w:rPr>
          <w:spacing w:val="-26"/>
        </w:rPr>
        <w:t> </w:t>
      </w:r>
      <w:r>
        <w:rPr/>
        <w:t>pro- cesses:</w:t>
      </w:r>
    </w:p>
    <w:p>
      <w:pPr>
        <w:pStyle w:val="ListParagraph"/>
        <w:numPr>
          <w:ilvl w:val="1"/>
          <w:numId w:val="16"/>
        </w:numPr>
        <w:tabs>
          <w:tab w:pos="1189" w:val="left" w:leader="none"/>
          <w:tab w:pos="1191" w:val="left" w:leader="none"/>
        </w:tabs>
        <w:spacing w:line="240" w:lineRule="auto" w:before="242" w:after="0"/>
        <w:ind w:left="1190" w:right="0" w:hanging="360"/>
        <w:jc w:val="left"/>
        <w:rPr>
          <w:sz w:val="38"/>
        </w:rPr>
      </w:pPr>
      <w:r>
        <w:rPr>
          <w:sz w:val="38"/>
        </w:rPr>
        <w:t>platelet aggregation is inhibited,</w:t>
      </w:r>
    </w:p>
    <w:p>
      <w:pPr>
        <w:pStyle w:val="ListParagraph"/>
        <w:numPr>
          <w:ilvl w:val="1"/>
          <w:numId w:val="16"/>
        </w:numPr>
        <w:tabs>
          <w:tab w:pos="1189" w:val="left" w:leader="none"/>
          <w:tab w:pos="1191" w:val="left" w:leader="none"/>
        </w:tabs>
        <w:spacing w:line="240" w:lineRule="auto" w:before="64" w:after="0"/>
        <w:ind w:left="1190" w:right="0" w:hanging="360"/>
        <w:jc w:val="left"/>
        <w:rPr>
          <w:sz w:val="38"/>
        </w:rPr>
      </w:pPr>
      <w:r>
        <w:rPr>
          <w:sz w:val="38"/>
        </w:rPr>
        <w:t>blood clotting is suppressed,</w:t>
      </w:r>
    </w:p>
    <w:p>
      <w:pPr>
        <w:pStyle w:val="ListParagraph"/>
        <w:numPr>
          <w:ilvl w:val="1"/>
          <w:numId w:val="16"/>
        </w:numPr>
        <w:tabs>
          <w:tab w:pos="1189" w:val="left" w:leader="none"/>
          <w:tab w:pos="1191" w:val="left" w:leader="none"/>
        </w:tabs>
        <w:spacing w:line="240" w:lineRule="auto" w:before="64" w:after="0"/>
        <w:ind w:left="1190" w:right="0" w:hanging="360"/>
        <w:jc w:val="left"/>
        <w:rPr>
          <w:sz w:val="38"/>
        </w:rPr>
      </w:pPr>
      <w:r>
        <w:rPr>
          <w:sz w:val="38"/>
        </w:rPr>
        <w:t>it reacts with the plasma protein</w:t>
      </w:r>
      <w:r>
        <w:rPr>
          <w:spacing w:val="-2"/>
          <w:sz w:val="38"/>
        </w:rPr>
        <w:t> </w:t>
      </w:r>
      <w:r>
        <w:rPr>
          <w:sz w:val="38"/>
        </w:rPr>
        <w:t>α2-macroglobulin,</w:t>
      </w:r>
    </w:p>
    <w:p>
      <w:pPr>
        <w:pStyle w:val="ListParagraph"/>
        <w:numPr>
          <w:ilvl w:val="1"/>
          <w:numId w:val="16"/>
        </w:numPr>
        <w:tabs>
          <w:tab w:pos="1189" w:val="left" w:leader="none"/>
          <w:tab w:pos="1191" w:val="left" w:leader="none"/>
        </w:tabs>
        <w:spacing w:line="240" w:lineRule="auto" w:before="63" w:after="0"/>
        <w:ind w:left="1190" w:right="0" w:hanging="360"/>
        <w:jc w:val="left"/>
        <w:rPr>
          <w:sz w:val="38"/>
        </w:rPr>
      </w:pPr>
      <w:r>
        <w:rPr>
          <w:sz w:val="38"/>
        </w:rPr>
        <w:t>it affects plasma kinesins and prostaglandins.</w:t>
      </w:r>
    </w:p>
    <w:p>
      <w:pPr>
        <w:pStyle w:val="Heading1"/>
        <w:spacing w:before="286"/>
      </w:pPr>
      <w:r>
        <w:rPr/>
        <w:t>Effect of pineapple against hyperacidity</w:t>
      </w:r>
    </w:p>
    <w:p>
      <w:pPr>
        <w:spacing w:after="0"/>
        <w:sectPr>
          <w:pgSz w:w="14270" w:h="16850"/>
          <w:pgMar w:header="0" w:footer="1891" w:top="1600" w:bottom="2080" w:left="800" w:right="1280"/>
        </w:sectPr>
      </w:pPr>
    </w:p>
    <w:p>
      <w:pPr>
        <w:pStyle w:val="BodyText"/>
        <w:spacing w:line="276" w:lineRule="auto" w:before="181"/>
        <w:ind w:left="477" w:right="131"/>
        <w:jc w:val="both"/>
      </w:pPr>
      <w:r>
        <w:rPr/>
        <w:t>According</w:t>
      </w:r>
      <w:r>
        <w:rPr>
          <w:spacing w:val="-8"/>
        </w:rPr>
        <w:t> </w:t>
      </w:r>
      <w:r>
        <w:rPr/>
        <w:t>to</w:t>
      </w:r>
      <w:r>
        <w:rPr>
          <w:spacing w:val="-7"/>
        </w:rPr>
        <w:t> </w:t>
      </w:r>
      <w:r>
        <w:rPr/>
        <w:t>Paracelsus,</w:t>
      </w:r>
      <w:r>
        <w:rPr>
          <w:spacing w:val="-8"/>
        </w:rPr>
        <w:t> </w:t>
      </w:r>
      <w:r>
        <w:rPr/>
        <w:t>the</w:t>
      </w:r>
      <w:r>
        <w:rPr>
          <w:spacing w:val="-7"/>
        </w:rPr>
        <w:t> </w:t>
      </w:r>
      <w:r>
        <w:rPr/>
        <w:t>forefather</w:t>
      </w:r>
      <w:r>
        <w:rPr>
          <w:spacing w:val="-7"/>
        </w:rPr>
        <w:t> </w:t>
      </w:r>
      <w:r>
        <w:rPr/>
        <w:t>of</w:t>
      </w:r>
      <w:r>
        <w:rPr>
          <w:spacing w:val="-8"/>
        </w:rPr>
        <w:t> </w:t>
      </w:r>
      <w:r>
        <w:rPr/>
        <w:t>all</w:t>
      </w:r>
      <w:r>
        <w:rPr>
          <w:spacing w:val="-9"/>
        </w:rPr>
        <w:t> </w:t>
      </w:r>
      <w:r>
        <w:rPr/>
        <w:t>doctors,</w:t>
      </w:r>
      <w:r>
        <w:rPr>
          <w:spacing w:val="-6"/>
        </w:rPr>
        <w:t> </w:t>
      </w:r>
      <w:r>
        <w:rPr/>
        <w:t>the</w:t>
      </w:r>
      <w:r>
        <w:rPr>
          <w:spacing w:val="-7"/>
        </w:rPr>
        <w:t> </w:t>
      </w:r>
      <w:r>
        <w:rPr/>
        <w:t>overacidification</w:t>
      </w:r>
      <w:r>
        <w:rPr>
          <w:spacing w:val="-4"/>
        </w:rPr>
        <w:t> </w:t>
      </w:r>
      <w:r>
        <w:rPr/>
        <w:t>(ac- idosis)</w:t>
      </w:r>
      <w:r>
        <w:rPr>
          <w:spacing w:val="-7"/>
        </w:rPr>
        <w:t> </w:t>
      </w:r>
      <w:r>
        <w:rPr/>
        <w:t>of</w:t>
      </w:r>
      <w:r>
        <w:rPr>
          <w:spacing w:val="-9"/>
        </w:rPr>
        <w:t> </w:t>
      </w:r>
      <w:r>
        <w:rPr/>
        <w:t>our</w:t>
      </w:r>
      <w:r>
        <w:rPr>
          <w:spacing w:val="-7"/>
        </w:rPr>
        <w:t> </w:t>
      </w:r>
      <w:r>
        <w:rPr/>
        <w:t>bodies</w:t>
      </w:r>
      <w:r>
        <w:rPr>
          <w:spacing w:val="-6"/>
        </w:rPr>
        <w:t> </w:t>
      </w:r>
      <w:r>
        <w:rPr/>
        <w:t>is</w:t>
      </w:r>
      <w:r>
        <w:rPr>
          <w:spacing w:val="-6"/>
        </w:rPr>
        <w:t> </w:t>
      </w:r>
      <w:r>
        <w:rPr/>
        <w:t>‘the</w:t>
      </w:r>
      <w:r>
        <w:rPr>
          <w:spacing w:val="-8"/>
        </w:rPr>
        <w:t> </w:t>
      </w:r>
      <w:r>
        <w:rPr/>
        <w:t>basic</w:t>
      </w:r>
      <w:r>
        <w:rPr>
          <w:spacing w:val="-10"/>
        </w:rPr>
        <w:t> </w:t>
      </w:r>
      <w:r>
        <w:rPr/>
        <w:t>evil</w:t>
      </w:r>
      <w:r>
        <w:rPr>
          <w:spacing w:val="-7"/>
        </w:rPr>
        <w:t> </w:t>
      </w:r>
      <w:r>
        <w:rPr/>
        <w:t>of</w:t>
      </w:r>
      <w:r>
        <w:rPr>
          <w:spacing w:val="-7"/>
        </w:rPr>
        <w:t> </w:t>
      </w:r>
      <w:r>
        <w:rPr/>
        <w:t>all</w:t>
      </w:r>
      <w:r>
        <w:rPr>
          <w:spacing w:val="-8"/>
        </w:rPr>
        <w:t> </w:t>
      </w:r>
      <w:r>
        <w:rPr/>
        <w:t>diseases’.</w:t>
      </w:r>
      <w:r>
        <w:rPr>
          <w:spacing w:val="-9"/>
        </w:rPr>
        <w:t> </w:t>
      </w:r>
      <w:r>
        <w:rPr/>
        <w:t>Acidosis</w:t>
      </w:r>
      <w:r>
        <w:rPr>
          <w:spacing w:val="-6"/>
        </w:rPr>
        <w:t> </w:t>
      </w:r>
      <w:r>
        <w:rPr/>
        <w:t>results</w:t>
      </w:r>
      <w:r>
        <w:rPr>
          <w:spacing w:val="-7"/>
        </w:rPr>
        <w:t> </w:t>
      </w:r>
      <w:r>
        <w:rPr/>
        <w:t>directly</w:t>
      </w:r>
      <w:r>
        <w:rPr>
          <w:spacing w:val="-7"/>
        </w:rPr>
        <w:t> </w:t>
      </w:r>
      <w:r>
        <w:rPr/>
        <w:t>or indirectly in lifestyle diseases such as cancer, diabetes, rheumatism, fungi and others. Recent medical studies prove that acidification is the main cause of 60 to</w:t>
      </w:r>
      <w:r>
        <w:rPr>
          <w:spacing w:val="-21"/>
        </w:rPr>
        <w:t> </w:t>
      </w:r>
      <w:r>
        <w:rPr/>
        <w:t>70</w:t>
      </w:r>
      <w:r>
        <w:rPr>
          <w:spacing w:val="-23"/>
        </w:rPr>
        <w:t> </w:t>
      </w:r>
      <w:r>
        <w:rPr/>
        <w:t>%</w:t>
      </w:r>
      <w:r>
        <w:rPr>
          <w:spacing w:val="-22"/>
        </w:rPr>
        <w:t> </w:t>
      </w:r>
      <w:r>
        <w:rPr/>
        <w:t>of</w:t>
      </w:r>
      <w:r>
        <w:rPr>
          <w:spacing w:val="-21"/>
        </w:rPr>
        <w:t> </w:t>
      </w:r>
      <w:r>
        <w:rPr/>
        <w:t>all</w:t>
      </w:r>
      <w:r>
        <w:rPr>
          <w:spacing w:val="-20"/>
        </w:rPr>
        <w:t> </w:t>
      </w:r>
      <w:r>
        <w:rPr/>
        <w:t>lifestyle</w:t>
      </w:r>
      <w:r>
        <w:rPr>
          <w:spacing w:val="-20"/>
        </w:rPr>
        <w:t> </w:t>
      </w:r>
      <w:r>
        <w:rPr/>
        <w:t>diseases.</w:t>
      </w:r>
      <w:r>
        <w:rPr>
          <w:spacing w:val="-19"/>
        </w:rPr>
        <w:t> </w:t>
      </w:r>
      <w:r>
        <w:rPr/>
        <w:t>Acidification</w:t>
      </w:r>
      <w:r>
        <w:rPr>
          <w:spacing w:val="-20"/>
        </w:rPr>
        <w:t> </w:t>
      </w:r>
      <w:r>
        <w:rPr/>
        <w:t>of</w:t>
      </w:r>
      <w:r>
        <w:rPr>
          <w:spacing w:val="-21"/>
        </w:rPr>
        <w:t> </w:t>
      </w:r>
      <w:r>
        <w:rPr/>
        <w:t>the</w:t>
      </w:r>
      <w:r>
        <w:rPr>
          <w:spacing w:val="-20"/>
        </w:rPr>
        <w:t> </w:t>
      </w:r>
      <w:r>
        <w:rPr/>
        <w:t>body</w:t>
      </w:r>
      <w:r>
        <w:rPr>
          <w:spacing w:val="-22"/>
        </w:rPr>
        <w:t> </w:t>
      </w:r>
      <w:r>
        <w:rPr/>
        <w:t>is</w:t>
      </w:r>
      <w:r>
        <w:rPr>
          <w:spacing w:val="-22"/>
        </w:rPr>
        <w:t> </w:t>
      </w:r>
      <w:r>
        <w:rPr/>
        <w:t>attributed</w:t>
      </w:r>
      <w:r>
        <w:rPr>
          <w:spacing w:val="-22"/>
        </w:rPr>
        <w:t> </w:t>
      </w:r>
      <w:r>
        <w:rPr/>
        <w:t>to</w:t>
      </w:r>
      <w:r>
        <w:rPr>
          <w:spacing w:val="-21"/>
        </w:rPr>
        <w:t> </w:t>
      </w:r>
      <w:r>
        <w:rPr/>
        <w:t>modern stress,</w:t>
      </w:r>
      <w:r>
        <w:rPr>
          <w:spacing w:val="-21"/>
        </w:rPr>
        <w:t> </w:t>
      </w:r>
      <w:r>
        <w:rPr/>
        <w:t>modern</w:t>
      </w:r>
      <w:r>
        <w:rPr>
          <w:spacing w:val="-21"/>
        </w:rPr>
        <w:t> </w:t>
      </w:r>
      <w:r>
        <w:rPr/>
        <w:t>(acid-forming)</w:t>
      </w:r>
      <w:r>
        <w:rPr>
          <w:spacing w:val="-18"/>
        </w:rPr>
        <w:t> </w:t>
      </w:r>
      <w:r>
        <w:rPr/>
        <w:t>diet</w:t>
      </w:r>
      <w:r>
        <w:rPr>
          <w:spacing w:val="-19"/>
        </w:rPr>
        <w:t> </w:t>
      </w:r>
      <w:r>
        <w:rPr/>
        <w:t>and</w:t>
      </w:r>
      <w:r>
        <w:rPr>
          <w:spacing w:val="-19"/>
        </w:rPr>
        <w:t> </w:t>
      </w:r>
      <w:r>
        <w:rPr/>
        <w:t>medication,</w:t>
      </w:r>
      <w:r>
        <w:rPr>
          <w:spacing w:val="-18"/>
        </w:rPr>
        <w:t> </w:t>
      </w:r>
      <w:r>
        <w:rPr/>
        <w:t>and</w:t>
      </w:r>
      <w:r>
        <w:rPr>
          <w:spacing w:val="-20"/>
        </w:rPr>
        <w:t> </w:t>
      </w:r>
      <w:r>
        <w:rPr/>
        <w:t>about</w:t>
      </w:r>
      <w:r>
        <w:rPr>
          <w:spacing w:val="-21"/>
        </w:rPr>
        <w:t> </w:t>
      </w:r>
      <w:r>
        <w:rPr/>
        <w:t>98</w:t>
      </w:r>
      <w:r>
        <w:rPr>
          <w:spacing w:val="-19"/>
        </w:rPr>
        <w:t> </w:t>
      </w:r>
      <w:r>
        <w:rPr/>
        <w:t>%</w:t>
      </w:r>
      <w:r>
        <w:rPr>
          <w:spacing w:val="-18"/>
        </w:rPr>
        <w:t> </w:t>
      </w:r>
      <w:r>
        <w:rPr/>
        <w:t>of</w:t>
      </w:r>
      <w:r>
        <w:rPr>
          <w:spacing w:val="-19"/>
        </w:rPr>
        <w:t> </w:t>
      </w:r>
      <w:r>
        <w:rPr/>
        <w:t>all</w:t>
      </w:r>
      <w:r>
        <w:rPr>
          <w:spacing w:val="-22"/>
        </w:rPr>
        <w:t> </w:t>
      </w:r>
      <w:r>
        <w:rPr/>
        <w:t>people have acidosis, 80 %</w:t>
      </w:r>
      <w:r>
        <w:rPr>
          <w:spacing w:val="4"/>
        </w:rPr>
        <w:t> </w:t>
      </w:r>
      <w:r>
        <w:rPr/>
        <w:t>severely!</w:t>
      </w:r>
    </w:p>
    <w:p>
      <w:pPr>
        <w:pStyle w:val="BodyText"/>
        <w:spacing w:line="276" w:lineRule="auto" w:before="241"/>
        <w:ind w:left="477" w:right="135"/>
        <w:jc w:val="both"/>
      </w:pPr>
      <w:r>
        <w:rPr/>
        <w:t>Pineapple, after papaya, is the strongest alkali of all known fruits, which makes it perfect for regulating our acid-base balance (measured in terms of pH) very efficiently. Furthermore, pineapple activates our metabolism with its enzymes and keeps the intestinal flora healthy.</w:t>
      </w:r>
    </w:p>
    <w:p>
      <w:pPr>
        <w:pStyle w:val="BodyText"/>
        <w:rPr>
          <w:sz w:val="42"/>
        </w:rPr>
      </w:pPr>
    </w:p>
    <w:p>
      <w:pPr>
        <w:pStyle w:val="BodyText"/>
        <w:spacing w:before="4"/>
        <w:rPr>
          <w:sz w:val="44"/>
        </w:rPr>
      </w:pPr>
    </w:p>
    <w:p>
      <w:pPr>
        <w:pStyle w:val="Heading2"/>
      </w:pPr>
      <w:r>
        <w:rPr/>
        <w:t>Special effects of pineapple and bromelain on diseases and maladies</w:t>
      </w:r>
    </w:p>
    <w:p>
      <w:pPr>
        <w:pStyle w:val="BodyText"/>
        <w:spacing w:line="276" w:lineRule="auto" w:before="305"/>
        <w:ind w:left="477" w:right="136"/>
        <w:jc w:val="both"/>
      </w:pPr>
      <w:r>
        <w:rPr/>
        <w:t>With its power enzyme ‘bromelain’, pineapple proves to be very effective against the following diseases and conditions:</w:t>
      </w:r>
    </w:p>
    <w:p>
      <w:pPr>
        <w:pStyle w:val="ListParagraph"/>
        <w:numPr>
          <w:ilvl w:val="0"/>
          <w:numId w:val="17"/>
        </w:numPr>
        <w:tabs>
          <w:tab w:pos="761" w:val="left" w:leader="none"/>
        </w:tabs>
        <w:spacing w:line="240" w:lineRule="auto" w:before="242" w:after="0"/>
        <w:ind w:left="904" w:right="0" w:hanging="427"/>
        <w:jc w:val="both"/>
        <w:rPr>
          <w:sz w:val="38"/>
        </w:rPr>
      </w:pPr>
      <w:r>
        <w:rPr>
          <w:sz w:val="38"/>
        </w:rPr>
        <w:t>cardiovascular disease (including protection against heart attack and stroke</w:t>
      </w:r>
      <w:r>
        <w:rPr>
          <w:spacing w:val="-18"/>
          <w:sz w:val="38"/>
        </w:rPr>
        <w:t> </w:t>
      </w:r>
      <w:r>
        <w:rPr>
          <w:sz w:val="38"/>
        </w:rPr>
        <w:t>!)</w:t>
      </w:r>
    </w:p>
    <w:p>
      <w:pPr>
        <w:pStyle w:val="ListParagraph"/>
        <w:numPr>
          <w:ilvl w:val="0"/>
          <w:numId w:val="17"/>
        </w:numPr>
        <w:tabs>
          <w:tab w:pos="893" w:val="left" w:leader="none"/>
        </w:tabs>
        <w:spacing w:line="240" w:lineRule="auto" w:before="64" w:after="0"/>
        <w:ind w:left="892" w:right="0" w:hanging="415"/>
        <w:jc w:val="both"/>
        <w:rPr>
          <w:sz w:val="38"/>
        </w:rPr>
      </w:pPr>
      <w:r>
        <w:rPr>
          <w:sz w:val="38"/>
        </w:rPr>
        <w:t>claudication</w:t>
      </w:r>
    </w:p>
    <w:p>
      <w:pPr>
        <w:pStyle w:val="ListParagraph"/>
        <w:numPr>
          <w:ilvl w:val="0"/>
          <w:numId w:val="17"/>
        </w:numPr>
        <w:tabs>
          <w:tab w:pos="893" w:val="left" w:leader="none"/>
        </w:tabs>
        <w:spacing w:line="240" w:lineRule="auto" w:before="63" w:after="0"/>
        <w:ind w:left="892" w:right="0" w:hanging="415"/>
        <w:jc w:val="both"/>
        <w:rPr>
          <w:sz w:val="38"/>
        </w:rPr>
      </w:pPr>
      <w:r>
        <w:rPr>
          <w:sz w:val="38"/>
        </w:rPr>
        <w:t>high blood</w:t>
      </w:r>
      <w:r>
        <w:rPr>
          <w:spacing w:val="-3"/>
          <w:sz w:val="38"/>
        </w:rPr>
        <w:t> </w:t>
      </w:r>
      <w:r>
        <w:rPr>
          <w:sz w:val="38"/>
        </w:rPr>
        <w:t>pressure</w:t>
      </w:r>
    </w:p>
    <w:p>
      <w:pPr>
        <w:pStyle w:val="ListParagraph"/>
        <w:numPr>
          <w:ilvl w:val="0"/>
          <w:numId w:val="17"/>
        </w:numPr>
        <w:tabs>
          <w:tab w:pos="893" w:val="left" w:leader="none"/>
        </w:tabs>
        <w:spacing w:line="240" w:lineRule="auto" w:before="64" w:after="0"/>
        <w:ind w:left="892" w:right="0" w:hanging="415"/>
        <w:jc w:val="both"/>
        <w:rPr>
          <w:sz w:val="38"/>
        </w:rPr>
      </w:pPr>
      <w:r>
        <w:rPr>
          <w:sz w:val="38"/>
        </w:rPr>
        <w:t>atherosclerosis</w:t>
      </w:r>
    </w:p>
    <w:p>
      <w:pPr>
        <w:pStyle w:val="ListParagraph"/>
        <w:numPr>
          <w:ilvl w:val="0"/>
          <w:numId w:val="17"/>
        </w:numPr>
        <w:tabs>
          <w:tab w:pos="893" w:val="left" w:leader="none"/>
        </w:tabs>
        <w:spacing w:line="240" w:lineRule="auto" w:before="67" w:after="0"/>
        <w:ind w:left="892" w:right="0" w:hanging="415"/>
        <w:jc w:val="both"/>
        <w:rPr>
          <w:sz w:val="38"/>
        </w:rPr>
      </w:pPr>
      <w:r>
        <w:rPr>
          <w:sz w:val="38"/>
        </w:rPr>
        <w:t>flu/cold</w:t>
      </w:r>
    </w:p>
    <w:p>
      <w:pPr>
        <w:pStyle w:val="ListParagraph"/>
        <w:numPr>
          <w:ilvl w:val="0"/>
          <w:numId w:val="17"/>
        </w:numPr>
        <w:tabs>
          <w:tab w:pos="893" w:val="left" w:leader="none"/>
        </w:tabs>
        <w:spacing w:line="240" w:lineRule="auto" w:before="63" w:after="0"/>
        <w:ind w:left="892" w:right="0" w:hanging="415"/>
        <w:jc w:val="both"/>
        <w:rPr>
          <w:sz w:val="38"/>
        </w:rPr>
      </w:pPr>
      <w:r>
        <w:rPr>
          <w:sz w:val="38"/>
        </w:rPr>
        <w:t>asthma</w:t>
      </w:r>
    </w:p>
    <w:p>
      <w:pPr>
        <w:spacing w:after="0" w:line="240" w:lineRule="auto"/>
        <w:jc w:val="both"/>
        <w:rPr>
          <w:sz w:val="38"/>
        </w:rPr>
        <w:sectPr>
          <w:pgSz w:w="14270" w:h="16850"/>
          <w:pgMar w:header="0" w:footer="1891" w:top="1600" w:bottom="2080" w:left="800" w:right="1280"/>
        </w:sectPr>
      </w:pPr>
    </w:p>
    <w:p>
      <w:pPr>
        <w:pStyle w:val="BodyText"/>
        <w:spacing w:before="10"/>
        <w:rPr>
          <w:sz w:val="8"/>
        </w:rPr>
      </w:pPr>
    </w:p>
    <w:p>
      <w:pPr>
        <w:pStyle w:val="ListParagraph"/>
        <w:numPr>
          <w:ilvl w:val="0"/>
          <w:numId w:val="17"/>
        </w:numPr>
        <w:tabs>
          <w:tab w:pos="892" w:val="left" w:leader="none"/>
          <w:tab w:pos="893" w:val="left" w:leader="none"/>
        </w:tabs>
        <w:spacing w:line="240" w:lineRule="auto" w:before="83" w:after="0"/>
        <w:ind w:left="892" w:right="0" w:hanging="415"/>
        <w:jc w:val="left"/>
        <w:rPr>
          <w:sz w:val="38"/>
        </w:rPr>
      </w:pPr>
      <w:r>
        <w:rPr>
          <w:sz w:val="38"/>
        </w:rPr>
        <w:t>acne</w:t>
      </w:r>
    </w:p>
    <w:p>
      <w:pPr>
        <w:pStyle w:val="ListParagraph"/>
        <w:numPr>
          <w:ilvl w:val="0"/>
          <w:numId w:val="17"/>
        </w:numPr>
        <w:tabs>
          <w:tab w:pos="892" w:val="left" w:leader="none"/>
          <w:tab w:pos="893" w:val="left" w:leader="none"/>
        </w:tabs>
        <w:spacing w:line="240" w:lineRule="auto" w:before="64" w:after="0"/>
        <w:ind w:left="892" w:right="0" w:hanging="415"/>
        <w:jc w:val="left"/>
        <w:rPr>
          <w:sz w:val="38"/>
        </w:rPr>
      </w:pPr>
      <w:r>
        <w:rPr>
          <w:sz w:val="38"/>
        </w:rPr>
        <w:t>problems in the</w:t>
      </w:r>
      <w:r>
        <w:rPr>
          <w:spacing w:val="-1"/>
          <w:sz w:val="38"/>
        </w:rPr>
        <w:t> </w:t>
      </w:r>
      <w:r>
        <w:rPr>
          <w:sz w:val="38"/>
        </w:rPr>
        <w:t>pancreas</w:t>
      </w:r>
    </w:p>
    <w:p>
      <w:pPr>
        <w:pStyle w:val="ListParagraph"/>
        <w:numPr>
          <w:ilvl w:val="0"/>
          <w:numId w:val="17"/>
        </w:numPr>
        <w:tabs>
          <w:tab w:pos="892" w:val="left" w:leader="none"/>
          <w:tab w:pos="893" w:val="left" w:leader="none"/>
        </w:tabs>
        <w:spacing w:line="240" w:lineRule="auto" w:before="66" w:after="0"/>
        <w:ind w:left="892" w:right="0" w:hanging="415"/>
        <w:jc w:val="left"/>
        <w:rPr>
          <w:sz w:val="38"/>
        </w:rPr>
      </w:pPr>
      <w:r>
        <w:rPr>
          <w:sz w:val="38"/>
        </w:rPr>
        <w:t>loss of</w:t>
      </w:r>
      <w:r>
        <w:rPr>
          <w:spacing w:val="-3"/>
          <w:sz w:val="38"/>
        </w:rPr>
        <w:t> </w:t>
      </w:r>
      <w:r>
        <w:rPr>
          <w:sz w:val="38"/>
        </w:rPr>
        <w:t>appetite</w:t>
      </w:r>
    </w:p>
    <w:p>
      <w:pPr>
        <w:pStyle w:val="ListParagraph"/>
        <w:numPr>
          <w:ilvl w:val="0"/>
          <w:numId w:val="17"/>
        </w:numPr>
        <w:tabs>
          <w:tab w:pos="892" w:val="left" w:leader="none"/>
          <w:tab w:pos="893" w:val="left" w:leader="none"/>
        </w:tabs>
        <w:spacing w:line="240" w:lineRule="auto" w:before="63" w:after="0"/>
        <w:ind w:left="892" w:right="0" w:hanging="415"/>
        <w:jc w:val="left"/>
        <w:rPr>
          <w:sz w:val="38"/>
        </w:rPr>
      </w:pPr>
      <w:r>
        <w:rPr>
          <w:sz w:val="38"/>
        </w:rPr>
        <w:t>inflammation of the colon</w:t>
      </w:r>
      <w:r>
        <w:rPr>
          <w:spacing w:val="4"/>
          <w:sz w:val="38"/>
        </w:rPr>
        <w:t> </w:t>
      </w:r>
      <w:r>
        <w:rPr>
          <w:sz w:val="38"/>
        </w:rPr>
        <w:t>(colitis)</w:t>
      </w:r>
    </w:p>
    <w:p>
      <w:pPr>
        <w:pStyle w:val="ListParagraph"/>
        <w:numPr>
          <w:ilvl w:val="0"/>
          <w:numId w:val="17"/>
        </w:numPr>
        <w:tabs>
          <w:tab w:pos="892" w:val="left" w:leader="none"/>
          <w:tab w:pos="893" w:val="left" w:leader="none"/>
        </w:tabs>
        <w:spacing w:line="240" w:lineRule="auto" w:before="64" w:after="0"/>
        <w:ind w:left="892" w:right="0" w:hanging="415"/>
        <w:jc w:val="left"/>
        <w:rPr>
          <w:sz w:val="38"/>
        </w:rPr>
      </w:pPr>
      <w:r>
        <w:rPr>
          <w:sz w:val="38"/>
        </w:rPr>
        <w:t>diarrhoea</w:t>
      </w:r>
    </w:p>
    <w:p>
      <w:pPr>
        <w:pStyle w:val="ListParagraph"/>
        <w:numPr>
          <w:ilvl w:val="0"/>
          <w:numId w:val="17"/>
        </w:numPr>
        <w:tabs>
          <w:tab w:pos="892" w:val="left" w:leader="none"/>
          <w:tab w:pos="893" w:val="left" w:leader="none"/>
        </w:tabs>
        <w:spacing w:line="240" w:lineRule="auto" w:before="63" w:after="0"/>
        <w:ind w:left="892" w:right="0" w:hanging="415"/>
        <w:jc w:val="left"/>
        <w:rPr>
          <w:sz w:val="38"/>
        </w:rPr>
      </w:pPr>
      <w:r>
        <w:rPr>
          <w:sz w:val="38"/>
        </w:rPr>
        <w:t>constipation</w:t>
      </w:r>
    </w:p>
    <w:p>
      <w:pPr>
        <w:pStyle w:val="ListParagraph"/>
        <w:numPr>
          <w:ilvl w:val="0"/>
          <w:numId w:val="17"/>
        </w:numPr>
        <w:tabs>
          <w:tab w:pos="892" w:val="left" w:leader="none"/>
          <w:tab w:pos="893" w:val="left" w:leader="none"/>
        </w:tabs>
        <w:spacing w:line="240" w:lineRule="auto" w:before="65" w:after="0"/>
        <w:ind w:left="892" w:right="0" w:hanging="415"/>
        <w:jc w:val="left"/>
        <w:rPr>
          <w:sz w:val="38"/>
        </w:rPr>
      </w:pPr>
      <w:r>
        <w:rPr>
          <w:sz w:val="38"/>
        </w:rPr>
        <w:t>urinary tract</w:t>
      </w:r>
      <w:r>
        <w:rPr>
          <w:spacing w:val="1"/>
          <w:sz w:val="38"/>
        </w:rPr>
        <w:t> </w:t>
      </w:r>
      <w:r>
        <w:rPr>
          <w:sz w:val="38"/>
        </w:rPr>
        <w:t>disorders</w:t>
      </w:r>
    </w:p>
    <w:p>
      <w:pPr>
        <w:pStyle w:val="ListParagraph"/>
        <w:numPr>
          <w:ilvl w:val="0"/>
          <w:numId w:val="17"/>
        </w:numPr>
        <w:tabs>
          <w:tab w:pos="892" w:val="left" w:leader="none"/>
          <w:tab w:pos="893" w:val="left" w:leader="none"/>
        </w:tabs>
        <w:spacing w:line="240" w:lineRule="auto" w:before="66" w:after="0"/>
        <w:ind w:left="892" w:right="0" w:hanging="415"/>
        <w:jc w:val="left"/>
        <w:rPr>
          <w:sz w:val="38"/>
        </w:rPr>
      </w:pPr>
      <w:r>
        <w:rPr>
          <w:sz w:val="38"/>
        </w:rPr>
        <w:t>signs of</w:t>
      </w:r>
      <w:r>
        <w:rPr>
          <w:spacing w:val="-2"/>
          <w:sz w:val="38"/>
        </w:rPr>
        <w:t> </w:t>
      </w:r>
      <w:r>
        <w:rPr>
          <w:sz w:val="38"/>
        </w:rPr>
        <w:t>ageing</w:t>
      </w:r>
    </w:p>
    <w:p>
      <w:pPr>
        <w:pStyle w:val="ListParagraph"/>
        <w:numPr>
          <w:ilvl w:val="0"/>
          <w:numId w:val="17"/>
        </w:numPr>
        <w:tabs>
          <w:tab w:pos="892" w:val="left" w:leader="none"/>
          <w:tab w:pos="893" w:val="left" w:leader="none"/>
        </w:tabs>
        <w:spacing w:line="240" w:lineRule="auto" w:before="63" w:after="0"/>
        <w:ind w:left="892" w:right="0" w:hanging="415"/>
        <w:jc w:val="left"/>
        <w:rPr>
          <w:sz w:val="38"/>
        </w:rPr>
      </w:pPr>
      <w:r>
        <w:rPr>
          <w:sz w:val="38"/>
        </w:rPr>
        <w:t>cancer</w:t>
      </w:r>
    </w:p>
    <w:p>
      <w:pPr>
        <w:pStyle w:val="ListParagraph"/>
        <w:numPr>
          <w:ilvl w:val="0"/>
          <w:numId w:val="17"/>
        </w:numPr>
        <w:tabs>
          <w:tab w:pos="892" w:val="left" w:leader="none"/>
          <w:tab w:pos="893" w:val="left" w:leader="none"/>
        </w:tabs>
        <w:spacing w:line="240" w:lineRule="auto" w:before="64" w:after="0"/>
        <w:ind w:left="892" w:right="0" w:hanging="415"/>
        <w:jc w:val="left"/>
        <w:rPr>
          <w:sz w:val="38"/>
        </w:rPr>
      </w:pPr>
      <w:r>
        <w:rPr>
          <w:sz w:val="38"/>
        </w:rPr>
        <w:t>depression</w:t>
      </w:r>
    </w:p>
    <w:p>
      <w:pPr>
        <w:pStyle w:val="ListParagraph"/>
        <w:numPr>
          <w:ilvl w:val="0"/>
          <w:numId w:val="17"/>
        </w:numPr>
        <w:tabs>
          <w:tab w:pos="892" w:val="left" w:leader="none"/>
          <w:tab w:pos="893" w:val="left" w:leader="none"/>
        </w:tabs>
        <w:spacing w:line="240" w:lineRule="auto" w:before="64" w:after="0"/>
        <w:ind w:left="892" w:right="0" w:hanging="415"/>
        <w:jc w:val="left"/>
        <w:rPr>
          <w:sz w:val="38"/>
        </w:rPr>
      </w:pPr>
      <w:r>
        <w:rPr>
          <w:sz w:val="38"/>
        </w:rPr>
        <w:t>thrombosis</w:t>
      </w:r>
    </w:p>
    <w:p>
      <w:pPr>
        <w:pStyle w:val="ListParagraph"/>
        <w:numPr>
          <w:ilvl w:val="0"/>
          <w:numId w:val="17"/>
        </w:numPr>
        <w:tabs>
          <w:tab w:pos="892" w:val="left" w:leader="none"/>
          <w:tab w:pos="893" w:val="left" w:leader="none"/>
        </w:tabs>
        <w:spacing w:line="240" w:lineRule="auto" w:before="63" w:after="0"/>
        <w:ind w:left="892" w:right="0" w:hanging="415"/>
        <w:jc w:val="left"/>
        <w:rPr>
          <w:sz w:val="38"/>
        </w:rPr>
      </w:pPr>
      <w:r>
        <w:rPr>
          <w:sz w:val="38"/>
        </w:rPr>
        <w:t>muscle</w:t>
      </w:r>
      <w:r>
        <w:rPr>
          <w:spacing w:val="-1"/>
          <w:sz w:val="38"/>
        </w:rPr>
        <w:t> </w:t>
      </w:r>
      <w:r>
        <w:rPr>
          <w:sz w:val="38"/>
        </w:rPr>
        <w:t>spasms</w:t>
      </w:r>
    </w:p>
    <w:p>
      <w:pPr>
        <w:pStyle w:val="ListParagraph"/>
        <w:numPr>
          <w:ilvl w:val="0"/>
          <w:numId w:val="17"/>
        </w:numPr>
        <w:tabs>
          <w:tab w:pos="892" w:val="left" w:leader="none"/>
          <w:tab w:pos="893" w:val="left" w:leader="none"/>
        </w:tabs>
        <w:spacing w:line="240" w:lineRule="auto" w:before="66" w:after="0"/>
        <w:ind w:left="892" w:right="0" w:hanging="415"/>
        <w:jc w:val="left"/>
        <w:rPr>
          <w:sz w:val="38"/>
        </w:rPr>
      </w:pPr>
      <w:r>
        <w:rPr>
          <w:sz w:val="38"/>
        </w:rPr>
        <w:t>ulcers</w:t>
      </w:r>
    </w:p>
    <w:p>
      <w:pPr>
        <w:pStyle w:val="ListParagraph"/>
        <w:numPr>
          <w:ilvl w:val="0"/>
          <w:numId w:val="17"/>
        </w:numPr>
        <w:tabs>
          <w:tab w:pos="892" w:val="left" w:leader="none"/>
          <w:tab w:pos="893" w:val="left" w:leader="none"/>
        </w:tabs>
        <w:spacing w:line="240" w:lineRule="auto" w:before="64" w:after="0"/>
        <w:ind w:left="892" w:right="0" w:hanging="415"/>
        <w:jc w:val="left"/>
        <w:rPr>
          <w:sz w:val="38"/>
        </w:rPr>
      </w:pPr>
      <w:r>
        <w:rPr>
          <w:sz w:val="38"/>
        </w:rPr>
        <w:t>sinusitis</w:t>
      </w:r>
    </w:p>
    <w:p>
      <w:pPr>
        <w:pStyle w:val="ListParagraph"/>
        <w:numPr>
          <w:ilvl w:val="0"/>
          <w:numId w:val="17"/>
        </w:numPr>
        <w:tabs>
          <w:tab w:pos="892" w:val="left" w:leader="none"/>
          <w:tab w:pos="893" w:val="left" w:leader="none"/>
        </w:tabs>
        <w:spacing w:line="240" w:lineRule="auto" w:before="64" w:after="0"/>
        <w:ind w:left="892" w:right="0" w:hanging="415"/>
        <w:jc w:val="left"/>
        <w:rPr>
          <w:sz w:val="38"/>
        </w:rPr>
      </w:pPr>
      <w:r>
        <w:rPr>
          <w:sz w:val="38"/>
        </w:rPr>
        <w:t>tenosynovitis</w:t>
      </w:r>
    </w:p>
    <w:p>
      <w:pPr>
        <w:pStyle w:val="ListParagraph"/>
        <w:numPr>
          <w:ilvl w:val="0"/>
          <w:numId w:val="17"/>
        </w:numPr>
        <w:tabs>
          <w:tab w:pos="892" w:val="left" w:leader="none"/>
          <w:tab w:pos="893" w:val="left" w:leader="none"/>
        </w:tabs>
        <w:spacing w:line="240" w:lineRule="auto" w:before="64" w:after="0"/>
        <w:ind w:left="892" w:right="0" w:hanging="415"/>
        <w:jc w:val="left"/>
        <w:rPr>
          <w:sz w:val="38"/>
        </w:rPr>
      </w:pPr>
      <w:r>
        <w:rPr>
          <w:sz w:val="38"/>
        </w:rPr>
        <w:t>ovary</w:t>
      </w:r>
      <w:r>
        <w:rPr>
          <w:spacing w:val="-3"/>
          <w:sz w:val="38"/>
        </w:rPr>
        <w:t> </w:t>
      </w:r>
      <w:r>
        <w:rPr>
          <w:sz w:val="38"/>
        </w:rPr>
        <w:t>inflammation</w:t>
      </w:r>
    </w:p>
    <w:p>
      <w:pPr>
        <w:pStyle w:val="ListParagraph"/>
        <w:numPr>
          <w:ilvl w:val="0"/>
          <w:numId w:val="17"/>
        </w:numPr>
        <w:tabs>
          <w:tab w:pos="892" w:val="left" w:leader="none"/>
          <w:tab w:pos="893" w:val="left" w:leader="none"/>
        </w:tabs>
        <w:spacing w:line="240" w:lineRule="auto" w:before="66" w:after="0"/>
        <w:ind w:left="892" w:right="0" w:hanging="415"/>
        <w:jc w:val="left"/>
        <w:rPr>
          <w:sz w:val="38"/>
        </w:rPr>
      </w:pPr>
      <w:r>
        <w:rPr>
          <w:sz w:val="38"/>
        </w:rPr>
        <w:t>sore throat</w:t>
      </w:r>
    </w:p>
    <w:p>
      <w:pPr>
        <w:pStyle w:val="ListParagraph"/>
        <w:numPr>
          <w:ilvl w:val="0"/>
          <w:numId w:val="17"/>
        </w:numPr>
        <w:tabs>
          <w:tab w:pos="892" w:val="left" w:leader="none"/>
          <w:tab w:pos="893" w:val="left" w:leader="none"/>
        </w:tabs>
        <w:spacing w:line="240" w:lineRule="auto" w:before="63" w:after="0"/>
        <w:ind w:left="892" w:right="0" w:hanging="415"/>
        <w:jc w:val="left"/>
        <w:rPr>
          <w:sz w:val="38"/>
        </w:rPr>
      </w:pPr>
      <w:r>
        <w:rPr>
          <w:sz w:val="38"/>
        </w:rPr>
        <w:t>dementia</w:t>
      </w:r>
    </w:p>
    <w:p>
      <w:pPr>
        <w:pStyle w:val="ListParagraph"/>
        <w:numPr>
          <w:ilvl w:val="0"/>
          <w:numId w:val="17"/>
        </w:numPr>
        <w:tabs>
          <w:tab w:pos="892" w:val="left" w:leader="none"/>
          <w:tab w:pos="893" w:val="left" w:leader="none"/>
        </w:tabs>
        <w:spacing w:line="240" w:lineRule="auto" w:before="64" w:after="0"/>
        <w:ind w:left="892" w:right="0" w:hanging="415"/>
        <w:jc w:val="left"/>
        <w:rPr>
          <w:sz w:val="38"/>
        </w:rPr>
      </w:pPr>
      <w:r>
        <w:rPr>
          <w:sz w:val="38"/>
        </w:rPr>
        <w:t>arthritis</w:t>
      </w:r>
    </w:p>
    <w:p>
      <w:pPr>
        <w:pStyle w:val="ListParagraph"/>
        <w:numPr>
          <w:ilvl w:val="0"/>
          <w:numId w:val="17"/>
        </w:numPr>
        <w:tabs>
          <w:tab w:pos="892" w:val="left" w:leader="none"/>
          <w:tab w:pos="893" w:val="left" w:leader="none"/>
        </w:tabs>
        <w:spacing w:line="240" w:lineRule="auto" w:before="63" w:after="0"/>
        <w:ind w:left="892" w:right="0" w:hanging="415"/>
        <w:jc w:val="left"/>
        <w:rPr>
          <w:sz w:val="38"/>
        </w:rPr>
      </w:pPr>
      <w:r>
        <w:rPr>
          <w:sz w:val="38"/>
        </w:rPr>
        <w:t>gout</w:t>
      </w:r>
    </w:p>
    <w:p>
      <w:pPr>
        <w:pStyle w:val="ListParagraph"/>
        <w:numPr>
          <w:ilvl w:val="0"/>
          <w:numId w:val="17"/>
        </w:numPr>
        <w:tabs>
          <w:tab w:pos="892" w:val="left" w:leader="none"/>
          <w:tab w:pos="893" w:val="left" w:leader="none"/>
        </w:tabs>
        <w:spacing w:line="240" w:lineRule="auto" w:before="65" w:after="0"/>
        <w:ind w:left="892" w:right="0" w:hanging="415"/>
        <w:jc w:val="left"/>
        <w:rPr>
          <w:sz w:val="38"/>
        </w:rPr>
      </w:pPr>
      <w:r>
        <w:rPr>
          <w:sz w:val="38"/>
        </w:rPr>
        <w:t>arthrosis</w:t>
      </w:r>
      <w:r>
        <w:rPr>
          <w:spacing w:val="1"/>
          <w:sz w:val="38"/>
        </w:rPr>
        <w:t> </w:t>
      </w:r>
      <w:r>
        <w:rPr>
          <w:sz w:val="38"/>
        </w:rPr>
        <w:t>(activated)</w:t>
      </w:r>
    </w:p>
    <w:p>
      <w:pPr>
        <w:pStyle w:val="ListParagraph"/>
        <w:numPr>
          <w:ilvl w:val="0"/>
          <w:numId w:val="17"/>
        </w:numPr>
        <w:tabs>
          <w:tab w:pos="892" w:val="left" w:leader="none"/>
          <w:tab w:pos="893" w:val="left" w:leader="none"/>
        </w:tabs>
        <w:spacing w:line="240" w:lineRule="auto" w:before="66" w:after="0"/>
        <w:ind w:left="892" w:right="0" w:hanging="415"/>
        <w:jc w:val="left"/>
        <w:rPr>
          <w:sz w:val="38"/>
        </w:rPr>
      </w:pPr>
      <w:r>
        <w:rPr>
          <w:sz w:val="38"/>
        </w:rPr>
        <w:t>joint</w:t>
      </w:r>
      <w:r>
        <w:rPr>
          <w:spacing w:val="-3"/>
          <w:sz w:val="38"/>
        </w:rPr>
        <w:t> </w:t>
      </w:r>
      <w:r>
        <w:rPr>
          <w:sz w:val="38"/>
        </w:rPr>
        <w:t>rheumatism</w:t>
      </w:r>
    </w:p>
    <w:p>
      <w:pPr>
        <w:spacing w:after="0" w:line="240" w:lineRule="auto"/>
        <w:jc w:val="left"/>
        <w:rPr>
          <w:sz w:val="38"/>
        </w:rPr>
        <w:sectPr>
          <w:pgSz w:w="14270" w:h="16850"/>
          <w:pgMar w:header="0" w:footer="1891" w:top="1600" w:bottom="2080" w:left="800" w:right="1280"/>
        </w:sectPr>
      </w:pPr>
    </w:p>
    <w:p>
      <w:pPr>
        <w:pStyle w:val="BodyText"/>
        <w:spacing w:before="10"/>
        <w:rPr>
          <w:sz w:val="8"/>
        </w:rPr>
      </w:pPr>
    </w:p>
    <w:p>
      <w:pPr>
        <w:pStyle w:val="ListParagraph"/>
        <w:numPr>
          <w:ilvl w:val="0"/>
          <w:numId w:val="17"/>
        </w:numPr>
        <w:tabs>
          <w:tab w:pos="892" w:val="left" w:leader="none"/>
          <w:tab w:pos="893" w:val="left" w:leader="none"/>
        </w:tabs>
        <w:spacing w:line="240" w:lineRule="auto" w:before="83" w:after="0"/>
        <w:ind w:left="892" w:right="0" w:hanging="415"/>
        <w:jc w:val="left"/>
        <w:rPr>
          <w:sz w:val="38"/>
        </w:rPr>
      </w:pPr>
      <w:r>
        <w:rPr>
          <w:sz w:val="38"/>
        </w:rPr>
        <w:t>muscular rheumatism</w:t>
      </w:r>
    </w:p>
    <w:p>
      <w:pPr>
        <w:pStyle w:val="ListParagraph"/>
        <w:numPr>
          <w:ilvl w:val="0"/>
          <w:numId w:val="17"/>
        </w:numPr>
        <w:tabs>
          <w:tab w:pos="892" w:val="left" w:leader="none"/>
          <w:tab w:pos="893" w:val="left" w:leader="none"/>
        </w:tabs>
        <w:spacing w:line="240" w:lineRule="auto" w:before="64" w:after="0"/>
        <w:ind w:left="892" w:right="0" w:hanging="415"/>
        <w:jc w:val="left"/>
        <w:rPr>
          <w:sz w:val="38"/>
        </w:rPr>
      </w:pPr>
      <w:r>
        <w:rPr>
          <w:sz w:val="38"/>
        </w:rPr>
        <w:t>cellulitis</w:t>
      </w:r>
    </w:p>
    <w:p>
      <w:pPr>
        <w:pStyle w:val="ListParagraph"/>
        <w:numPr>
          <w:ilvl w:val="0"/>
          <w:numId w:val="17"/>
        </w:numPr>
        <w:tabs>
          <w:tab w:pos="892" w:val="left" w:leader="none"/>
          <w:tab w:pos="893" w:val="left" w:leader="none"/>
        </w:tabs>
        <w:spacing w:line="240" w:lineRule="auto" w:before="66" w:after="0"/>
        <w:ind w:left="892" w:right="0" w:hanging="415"/>
        <w:jc w:val="left"/>
        <w:rPr>
          <w:sz w:val="38"/>
        </w:rPr>
      </w:pPr>
      <w:r>
        <w:rPr>
          <w:sz w:val="38"/>
        </w:rPr>
        <w:t>varicose</w:t>
      </w:r>
      <w:r>
        <w:rPr>
          <w:spacing w:val="-2"/>
          <w:sz w:val="38"/>
        </w:rPr>
        <w:t> </w:t>
      </w:r>
      <w:r>
        <w:rPr>
          <w:sz w:val="38"/>
        </w:rPr>
        <w:t>veins</w:t>
      </w:r>
    </w:p>
    <w:p>
      <w:pPr>
        <w:pStyle w:val="ListParagraph"/>
        <w:numPr>
          <w:ilvl w:val="0"/>
          <w:numId w:val="17"/>
        </w:numPr>
        <w:tabs>
          <w:tab w:pos="892" w:val="left" w:leader="none"/>
          <w:tab w:pos="893" w:val="left" w:leader="none"/>
        </w:tabs>
        <w:spacing w:line="240" w:lineRule="auto" w:before="63" w:after="0"/>
        <w:ind w:left="892" w:right="0" w:hanging="415"/>
        <w:jc w:val="left"/>
        <w:rPr>
          <w:sz w:val="38"/>
        </w:rPr>
      </w:pPr>
      <w:r>
        <w:rPr>
          <w:sz w:val="38"/>
        </w:rPr>
        <w:t>flatulence</w:t>
      </w:r>
    </w:p>
    <w:p>
      <w:pPr>
        <w:pStyle w:val="ListParagraph"/>
        <w:numPr>
          <w:ilvl w:val="0"/>
          <w:numId w:val="17"/>
        </w:numPr>
        <w:tabs>
          <w:tab w:pos="892" w:val="left" w:leader="none"/>
          <w:tab w:pos="893" w:val="left" w:leader="none"/>
        </w:tabs>
        <w:spacing w:line="240" w:lineRule="auto" w:before="64" w:after="0"/>
        <w:ind w:left="892" w:right="0" w:hanging="415"/>
        <w:jc w:val="left"/>
        <w:rPr>
          <w:sz w:val="38"/>
        </w:rPr>
      </w:pPr>
      <w:r>
        <w:rPr>
          <w:sz w:val="38"/>
        </w:rPr>
        <w:t>inflammations of all kinds</w:t>
      </w:r>
    </w:p>
    <w:p>
      <w:pPr>
        <w:pStyle w:val="ListParagraph"/>
        <w:numPr>
          <w:ilvl w:val="0"/>
          <w:numId w:val="17"/>
        </w:numPr>
        <w:tabs>
          <w:tab w:pos="892" w:val="left" w:leader="none"/>
          <w:tab w:pos="893" w:val="left" w:leader="none"/>
        </w:tabs>
        <w:spacing w:line="240" w:lineRule="auto" w:before="63" w:after="0"/>
        <w:ind w:left="892" w:right="0" w:hanging="415"/>
        <w:jc w:val="left"/>
        <w:rPr>
          <w:sz w:val="38"/>
        </w:rPr>
      </w:pPr>
      <w:r>
        <w:rPr>
          <w:sz w:val="38"/>
        </w:rPr>
        <w:t>burns</w:t>
      </w:r>
    </w:p>
    <w:p>
      <w:pPr>
        <w:pStyle w:val="ListParagraph"/>
        <w:numPr>
          <w:ilvl w:val="0"/>
          <w:numId w:val="17"/>
        </w:numPr>
        <w:tabs>
          <w:tab w:pos="892" w:val="left" w:leader="none"/>
          <w:tab w:pos="893" w:val="left" w:leader="none"/>
        </w:tabs>
        <w:spacing w:line="240" w:lineRule="auto" w:before="65" w:after="0"/>
        <w:ind w:left="892" w:right="0" w:hanging="415"/>
        <w:jc w:val="left"/>
        <w:rPr>
          <w:sz w:val="38"/>
        </w:rPr>
      </w:pPr>
      <w:r>
        <w:rPr>
          <w:sz w:val="38"/>
        </w:rPr>
        <w:t>sleep disorders</w:t>
      </w:r>
    </w:p>
    <w:p>
      <w:pPr>
        <w:pStyle w:val="ListParagraph"/>
        <w:numPr>
          <w:ilvl w:val="0"/>
          <w:numId w:val="17"/>
        </w:numPr>
        <w:tabs>
          <w:tab w:pos="892" w:val="left" w:leader="none"/>
          <w:tab w:pos="893" w:val="left" w:leader="none"/>
        </w:tabs>
        <w:spacing w:line="240" w:lineRule="auto" w:before="66" w:after="0"/>
        <w:ind w:left="892" w:right="0" w:hanging="415"/>
        <w:jc w:val="left"/>
        <w:rPr>
          <w:sz w:val="38"/>
        </w:rPr>
      </w:pPr>
      <w:r>
        <w:rPr>
          <w:sz w:val="38"/>
        </w:rPr>
        <w:t>menstrual</w:t>
      </w:r>
      <w:r>
        <w:rPr>
          <w:spacing w:val="-2"/>
          <w:sz w:val="38"/>
        </w:rPr>
        <w:t> </w:t>
      </w:r>
      <w:r>
        <w:rPr>
          <w:sz w:val="38"/>
        </w:rPr>
        <w:t>cramps</w:t>
      </w:r>
    </w:p>
    <w:p>
      <w:pPr>
        <w:pStyle w:val="ListParagraph"/>
        <w:numPr>
          <w:ilvl w:val="0"/>
          <w:numId w:val="17"/>
        </w:numPr>
        <w:tabs>
          <w:tab w:pos="892" w:val="left" w:leader="none"/>
          <w:tab w:pos="893" w:val="left" w:leader="none"/>
        </w:tabs>
        <w:spacing w:line="240" w:lineRule="auto" w:before="63" w:after="0"/>
        <w:ind w:left="892" w:right="0" w:hanging="415"/>
        <w:jc w:val="left"/>
        <w:rPr>
          <w:sz w:val="38"/>
        </w:rPr>
      </w:pPr>
      <w:r>
        <w:rPr>
          <w:sz w:val="38"/>
        </w:rPr>
        <w:t>athlete’s</w:t>
      </w:r>
      <w:r>
        <w:rPr>
          <w:spacing w:val="-2"/>
          <w:sz w:val="38"/>
        </w:rPr>
        <w:t> </w:t>
      </w:r>
      <w:r>
        <w:rPr>
          <w:sz w:val="38"/>
        </w:rPr>
        <w:t>foot</w:t>
      </w:r>
    </w:p>
    <w:p>
      <w:pPr>
        <w:pStyle w:val="ListParagraph"/>
        <w:numPr>
          <w:ilvl w:val="0"/>
          <w:numId w:val="17"/>
        </w:numPr>
        <w:tabs>
          <w:tab w:pos="892" w:val="left" w:leader="none"/>
          <w:tab w:pos="893" w:val="left" w:leader="none"/>
        </w:tabs>
        <w:spacing w:line="240" w:lineRule="auto" w:before="64" w:after="0"/>
        <w:ind w:left="892" w:right="0" w:hanging="415"/>
        <w:jc w:val="left"/>
        <w:rPr>
          <w:sz w:val="38"/>
        </w:rPr>
      </w:pPr>
      <w:r>
        <w:rPr>
          <w:sz w:val="38"/>
        </w:rPr>
        <w:t>eczema</w:t>
      </w:r>
    </w:p>
    <w:p>
      <w:pPr>
        <w:pStyle w:val="ListParagraph"/>
        <w:numPr>
          <w:ilvl w:val="0"/>
          <w:numId w:val="17"/>
        </w:numPr>
        <w:tabs>
          <w:tab w:pos="892" w:val="left" w:leader="none"/>
          <w:tab w:pos="893" w:val="left" w:leader="none"/>
        </w:tabs>
        <w:spacing w:line="240" w:lineRule="auto" w:before="64" w:after="0"/>
        <w:ind w:left="892" w:right="0" w:hanging="415"/>
        <w:jc w:val="left"/>
        <w:rPr>
          <w:sz w:val="38"/>
        </w:rPr>
      </w:pPr>
      <w:r>
        <w:rPr>
          <w:sz w:val="38"/>
        </w:rPr>
        <w:t>oedema</w:t>
      </w:r>
    </w:p>
    <w:p>
      <w:pPr>
        <w:pStyle w:val="ListParagraph"/>
        <w:numPr>
          <w:ilvl w:val="0"/>
          <w:numId w:val="17"/>
        </w:numPr>
        <w:tabs>
          <w:tab w:pos="892" w:val="left" w:leader="none"/>
          <w:tab w:pos="893" w:val="left" w:leader="none"/>
        </w:tabs>
        <w:spacing w:line="240" w:lineRule="auto" w:before="63" w:after="0"/>
        <w:ind w:left="892" w:right="0" w:hanging="415"/>
        <w:jc w:val="left"/>
        <w:rPr>
          <w:sz w:val="38"/>
        </w:rPr>
      </w:pPr>
      <w:r>
        <w:rPr>
          <w:sz w:val="38"/>
        </w:rPr>
        <w:t>scurvy</w:t>
      </w:r>
    </w:p>
    <w:p>
      <w:pPr>
        <w:pStyle w:val="ListParagraph"/>
        <w:numPr>
          <w:ilvl w:val="0"/>
          <w:numId w:val="17"/>
        </w:numPr>
        <w:tabs>
          <w:tab w:pos="892" w:val="left" w:leader="none"/>
          <w:tab w:pos="893" w:val="left" w:leader="none"/>
        </w:tabs>
        <w:spacing w:line="240" w:lineRule="auto" w:before="66" w:after="0"/>
        <w:ind w:left="892" w:right="0" w:hanging="415"/>
        <w:jc w:val="left"/>
        <w:rPr>
          <w:sz w:val="38"/>
        </w:rPr>
      </w:pPr>
      <w:r>
        <w:rPr>
          <w:sz w:val="38"/>
        </w:rPr>
        <w:t>fungi/mycoses (e.g. Candida albicans</w:t>
      </w:r>
      <w:r>
        <w:rPr>
          <w:spacing w:val="3"/>
          <w:sz w:val="38"/>
        </w:rPr>
        <w:t> </w:t>
      </w:r>
      <w:r>
        <w:rPr>
          <w:sz w:val="38"/>
        </w:rPr>
        <w:t>)</w:t>
      </w:r>
    </w:p>
    <w:p>
      <w:pPr>
        <w:pStyle w:val="ListParagraph"/>
        <w:numPr>
          <w:ilvl w:val="0"/>
          <w:numId w:val="17"/>
        </w:numPr>
        <w:tabs>
          <w:tab w:pos="892" w:val="left" w:leader="none"/>
          <w:tab w:pos="893" w:val="left" w:leader="none"/>
        </w:tabs>
        <w:spacing w:line="240" w:lineRule="auto" w:before="64" w:after="0"/>
        <w:ind w:left="892" w:right="0" w:hanging="415"/>
        <w:jc w:val="left"/>
        <w:rPr>
          <w:sz w:val="38"/>
        </w:rPr>
      </w:pPr>
      <w:r>
        <w:rPr>
          <w:sz w:val="38"/>
        </w:rPr>
        <w:t>psoriasis</w:t>
      </w:r>
    </w:p>
    <w:p>
      <w:pPr>
        <w:pStyle w:val="ListParagraph"/>
        <w:numPr>
          <w:ilvl w:val="0"/>
          <w:numId w:val="17"/>
        </w:numPr>
        <w:tabs>
          <w:tab w:pos="892" w:val="left" w:leader="none"/>
          <w:tab w:pos="893" w:val="left" w:leader="none"/>
        </w:tabs>
        <w:spacing w:line="240" w:lineRule="auto" w:before="64" w:after="0"/>
        <w:ind w:left="892" w:right="0" w:hanging="415"/>
        <w:jc w:val="left"/>
        <w:rPr>
          <w:sz w:val="38"/>
        </w:rPr>
      </w:pPr>
      <w:r>
        <w:rPr>
          <w:sz w:val="38"/>
        </w:rPr>
        <w:t>swellings (e.g. sports</w:t>
      </w:r>
      <w:r>
        <w:rPr>
          <w:spacing w:val="1"/>
          <w:sz w:val="38"/>
        </w:rPr>
        <w:t> </w:t>
      </w:r>
      <w:r>
        <w:rPr>
          <w:sz w:val="38"/>
        </w:rPr>
        <w:t>injuries)</w:t>
      </w:r>
    </w:p>
    <w:p>
      <w:pPr>
        <w:pStyle w:val="ListParagraph"/>
        <w:numPr>
          <w:ilvl w:val="0"/>
          <w:numId w:val="17"/>
        </w:numPr>
        <w:tabs>
          <w:tab w:pos="892" w:val="left" w:leader="none"/>
          <w:tab w:pos="893" w:val="left" w:leader="none"/>
        </w:tabs>
        <w:spacing w:line="240" w:lineRule="auto" w:before="64" w:after="0"/>
        <w:ind w:left="892" w:right="0" w:hanging="415"/>
        <w:jc w:val="left"/>
        <w:rPr>
          <w:sz w:val="38"/>
        </w:rPr>
      </w:pPr>
      <w:r>
        <w:rPr>
          <w:sz w:val="38"/>
        </w:rPr>
        <w:t>digestion</w:t>
      </w:r>
      <w:r>
        <w:rPr>
          <w:spacing w:val="-2"/>
          <w:sz w:val="38"/>
        </w:rPr>
        <w:t> </w:t>
      </w:r>
      <w:r>
        <w:rPr>
          <w:sz w:val="38"/>
        </w:rPr>
        <w:t>problems</w:t>
      </w:r>
    </w:p>
    <w:p>
      <w:pPr>
        <w:pStyle w:val="ListParagraph"/>
        <w:numPr>
          <w:ilvl w:val="0"/>
          <w:numId w:val="17"/>
        </w:numPr>
        <w:tabs>
          <w:tab w:pos="892" w:val="left" w:leader="none"/>
          <w:tab w:pos="893" w:val="left" w:leader="none"/>
        </w:tabs>
        <w:spacing w:line="240" w:lineRule="auto" w:before="66" w:after="0"/>
        <w:ind w:left="892" w:right="0" w:hanging="415"/>
        <w:jc w:val="left"/>
        <w:rPr>
          <w:sz w:val="38"/>
        </w:rPr>
      </w:pPr>
      <w:r>
        <w:rPr>
          <w:sz w:val="38"/>
        </w:rPr>
        <w:t>gastritis</w:t>
      </w:r>
    </w:p>
    <w:p>
      <w:pPr>
        <w:pStyle w:val="ListParagraph"/>
        <w:numPr>
          <w:ilvl w:val="0"/>
          <w:numId w:val="17"/>
        </w:numPr>
        <w:tabs>
          <w:tab w:pos="892" w:val="left" w:leader="none"/>
          <w:tab w:pos="893" w:val="left" w:leader="none"/>
        </w:tabs>
        <w:spacing w:line="240" w:lineRule="auto" w:before="63" w:after="0"/>
        <w:ind w:left="892" w:right="0" w:hanging="415"/>
        <w:jc w:val="left"/>
        <w:rPr>
          <w:sz w:val="38"/>
        </w:rPr>
      </w:pPr>
      <w:r>
        <w:rPr>
          <w:sz w:val="38"/>
        </w:rPr>
        <w:t>general stomach trouble</w:t>
      </w:r>
    </w:p>
    <w:p>
      <w:pPr>
        <w:pStyle w:val="ListParagraph"/>
        <w:numPr>
          <w:ilvl w:val="0"/>
          <w:numId w:val="17"/>
        </w:numPr>
        <w:tabs>
          <w:tab w:pos="892" w:val="left" w:leader="none"/>
          <w:tab w:pos="893" w:val="left" w:leader="none"/>
        </w:tabs>
        <w:spacing w:line="240" w:lineRule="auto" w:before="64" w:after="0"/>
        <w:ind w:left="892" w:right="0" w:hanging="415"/>
        <w:jc w:val="left"/>
        <w:rPr>
          <w:sz w:val="38"/>
        </w:rPr>
      </w:pPr>
      <w:r>
        <w:rPr>
          <w:sz w:val="38"/>
        </w:rPr>
        <w:t>heartburn</w:t>
      </w:r>
    </w:p>
    <w:p>
      <w:pPr>
        <w:pStyle w:val="ListParagraph"/>
        <w:numPr>
          <w:ilvl w:val="0"/>
          <w:numId w:val="17"/>
        </w:numPr>
        <w:tabs>
          <w:tab w:pos="892" w:val="left" w:leader="none"/>
          <w:tab w:pos="893" w:val="left" w:leader="none"/>
        </w:tabs>
        <w:spacing w:line="240" w:lineRule="auto" w:before="63" w:after="0"/>
        <w:ind w:left="892" w:right="0" w:hanging="415"/>
        <w:jc w:val="left"/>
        <w:rPr>
          <w:sz w:val="38"/>
        </w:rPr>
      </w:pPr>
      <w:r>
        <w:rPr>
          <w:sz w:val="38"/>
        </w:rPr>
        <w:t>stomach ulcers</w:t>
      </w:r>
    </w:p>
    <w:p>
      <w:pPr>
        <w:pStyle w:val="ListParagraph"/>
        <w:numPr>
          <w:ilvl w:val="0"/>
          <w:numId w:val="17"/>
        </w:numPr>
        <w:tabs>
          <w:tab w:pos="892" w:val="left" w:leader="none"/>
          <w:tab w:pos="893" w:val="left" w:leader="none"/>
        </w:tabs>
        <w:spacing w:line="240" w:lineRule="auto" w:before="65" w:after="0"/>
        <w:ind w:left="892" w:right="0" w:hanging="415"/>
        <w:jc w:val="left"/>
        <w:rPr>
          <w:sz w:val="38"/>
        </w:rPr>
      </w:pPr>
      <w:r>
        <w:rPr>
          <w:sz w:val="38"/>
        </w:rPr>
        <w:t>gum</w:t>
      </w:r>
      <w:r>
        <w:rPr>
          <w:spacing w:val="-1"/>
          <w:sz w:val="38"/>
        </w:rPr>
        <w:t> </w:t>
      </w:r>
      <w:r>
        <w:rPr>
          <w:sz w:val="38"/>
        </w:rPr>
        <w:t>bleeding</w:t>
      </w:r>
    </w:p>
    <w:p>
      <w:pPr>
        <w:pStyle w:val="ListParagraph"/>
        <w:numPr>
          <w:ilvl w:val="0"/>
          <w:numId w:val="17"/>
        </w:numPr>
        <w:tabs>
          <w:tab w:pos="892" w:val="left" w:leader="none"/>
          <w:tab w:pos="893" w:val="left" w:leader="none"/>
        </w:tabs>
        <w:spacing w:line="240" w:lineRule="auto" w:before="66" w:after="0"/>
        <w:ind w:left="892" w:right="0" w:hanging="415"/>
        <w:jc w:val="left"/>
        <w:rPr>
          <w:sz w:val="38"/>
        </w:rPr>
      </w:pPr>
      <w:r>
        <w:rPr>
          <w:sz w:val="38"/>
        </w:rPr>
        <w:t>gum</w:t>
      </w:r>
      <w:r>
        <w:rPr>
          <w:spacing w:val="-1"/>
          <w:sz w:val="38"/>
        </w:rPr>
        <w:t> </w:t>
      </w:r>
      <w:r>
        <w:rPr>
          <w:sz w:val="38"/>
        </w:rPr>
        <w:t>inflammation/parodontosis</w:t>
      </w:r>
    </w:p>
    <w:p>
      <w:pPr>
        <w:spacing w:after="0" w:line="240" w:lineRule="auto"/>
        <w:jc w:val="left"/>
        <w:rPr>
          <w:sz w:val="38"/>
        </w:rPr>
        <w:sectPr>
          <w:pgSz w:w="14270" w:h="16850"/>
          <w:pgMar w:header="0" w:footer="1891" w:top="1600" w:bottom="2080" w:left="800" w:right="1280"/>
        </w:sectPr>
      </w:pPr>
    </w:p>
    <w:p>
      <w:pPr>
        <w:pStyle w:val="BodyText"/>
        <w:spacing w:before="10"/>
        <w:rPr>
          <w:sz w:val="8"/>
        </w:rPr>
      </w:pPr>
    </w:p>
    <w:p>
      <w:pPr>
        <w:pStyle w:val="ListParagraph"/>
        <w:numPr>
          <w:ilvl w:val="0"/>
          <w:numId w:val="17"/>
        </w:numPr>
        <w:tabs>
          <w:tab w:pos="893" w:val="left" w:leader="none"/>
        </w:tabs>
        <w:spacing w:line="240" w:lineRule="auto" w:before="83" w:after="0"/>
        <w:ind w:left="892" w:right="0" w:hanging="415"/>
        <w:jc w:val="both"/>
        <w:rPr>
          <w:sz w:val="38"/>
        </w:rPr>
      </w:pPr>
      <w:r>
        <w:rPr>
          <w:sz w:val="38"/>
        </w:rPr>
        <w:t>ageing</w:t>
      </w:r>
      <w:r>
        <w:rPr>
          <w:spacing w:val="-3"/>
          <w:sz w:val="38"/>
        </w:rPr>
        <w:t> </w:t>
      </w:r>
      <w:r>
        <w:rPr>
          <w:sz w:val="38"/>
        </w:rPr>
        <w:t>spots</w:t>
      </w:r>
    </w:p>
    <w:p>
      <w:pPr>
        <w:pStyle w:val="ListParagraph"/>
        <w:numPr>
          <w:ilvl w:val="0"/>
          <w:numId w:val="17"/>
        </w:numPr>
        <w:tabs>
          <w:tab w:pos="893" w:val="left" w:leader="none"/>
        </w:tabs>
        <w:spacing w:line="240" w:lineRule="auto" w:before="64" w:after="0"/>
        <w:ind w:left="892" w:right="0" w:hanging="415"/>
        <w:jc w:val="both"/>
        <w:rPr>
          <w:sz w:val="38"/>
        </w:rPr>
      </w:pPr>
      <w:r>
        <w:rPr>
          <w:sz w:val="38"/>
        </w:rPr>
        <w:t>infertility</w:t>
      </w:r>
    </w:p>
    <w:p>
      <w:pPr>
        <w:pStyle w:val="ListParagraph"/>
        <w:numPr>
          <w:ilvl w:val="0"/>
          <w:numId w:val="17"/>
        </w:numPr>
        <w:tabs>
          <w:tab w:pos="893" w:val="left" w:leader="none"/>
        </w:tabs>
        <w:spacing w:line="240" w:lineRule="auto" w:before="66" w:after="0"/>
        <w:ind w:left="892" w:right="0" w:hanging="415"/>
        <w:jc w:val="both"/>
        <w:rPr>
          <w:sz w:val="38"/>
        </w:rPr>
      </w:pPr>
      <w:r>
        <w:rPr>
          <w:sz w:val="38"/>
        </w:rPr>
        <w:t>sexual</w:t>
      </w:r>
      <w:r>
        <w:rPr>
          <w:spacing w:val="-2"/>
          <w:sz w:val="38"/>
        </w:rPr>
        <w:t> </w:t>
      </w:r>
      <w:r>
        <w:rPr>
          <w:sz w:val="38"/>
        </w:rPr>
        <w:t>disorders/impotence</w:t>
      </w:r>
    </w:p>
    <w:p>
      <w:pPr>
        <w:pStyle w:val="Heading1"/>
        <w:spacing w:before="284"/>
        <w:jc w:val="both"/>
      </w:pPr>
      <w:r>
        <w:rPr/>
        <w:t>Effect of bromelain on rheumatism and rheumatoid arthritis</w:t>
      </w:r>
    </w:p>
    <w:p>
      <w:pPr>
        <w:pStyle w:val="BodyText"/>
        <w:spacing w:line="276" w:lineRule="auto" w:before="300"/>
        <w:ind w:left="477" w:right="131"/>
        <w:jc w:val="both"/>
      </w:pPr>
      <w:r>
        <w:rPr/>
        <w:t>Bromelain</w:t>
      </w:r>
      <w:r>
        <w:rPr>
          <w:spacing w:val="-20"/>
        </w:rPr>
        <w:t> </w:t>
      </w:r>
      <w:r>
        <w:rPr/>
        <w:t>has</w:t>
      </w:r>
      <w:r>
        <w:rPr>
          <w:spacing w:val="-19"/>
        </w:rPr>
        <w:t> </w:t>
      </w:r>
      <w:r>
        <w:rPr/>
        <w:t>the</w:t>
      </w:r>
      <w:r>
        <w:rPr>
          <w:spacing w:val="-19"/>
        </w:rPr>
        <w:t> </w:t>
      </w:r>
      <w:r>
        <w:rPr/>
        <w:t>ability</w:t>
      </w:r>
      <w:r>
        <w:rPr>
          <w:spacing w:val="-21"/>
        </w:rPr>
        <w:t> </w:t>
      </w:r>
      <w:r>
        <w:rPr/>
        <w:t>to</w:t>
      </w:r>
      <w:r>
        <w:rPr>
          <w:spacing w:val="-19"/>
        </w:rPr>
        <w:t> </w:t>
      </w:r>
      <w:r>
        <w:rPr/>
        <w:t>inhibit</w:t>
      </w:r>
      <w:r>
        <w:rPr>
          <w:spacing w:val="-19"/>
        </w:rPr>
        <w:t> </w:t>
      </w:r>
      <w:r>
        <w:rPr/>
        <w:t>the</w:t>
      </w:r>
      <w:r>
        <w:rPr>
          <w:spacing w:val="-19"/>
        </w:rPr>
        <w:t> </w:t>
      </w:r>
      <w:r>
        <w:rPr/>
        <w:t>formation</w:t>
      </w:r>
      <w:r>
        <w:rPr>
          <w:spacing w:val="-19"/>
        </w:rPr>
        <w:t> </w:t>
      </w:r>
      <w:r>
        <w:rPr/>
        <w:t>of</w:t>
      </w:r>
      <w:r>
        <w:rPr>
          <w:spacing w:val="-22"/>
        </w:rPr>
        <w:t> </w:t>
      </w:r>
      <w:r>
        <w:rPr/>
        <w:t>the</w:t>
      </w:r>
      <w:r>
        <w:rPr>
          <w:spacing w:val="-21"/>
        </w:rPr>
        <w:t> </w:t>
      </w:r>
      <w:r>
        <w:rPr/>
        <w:t>pro-inflammatory</w:t>
      </w:r>
      <w:r>
        <w:rPr>
          <w:spacing w:val="-18"/>
        </w:rPr>
        <w:t> </w:t>
      </w:r>
      <w:r>
        <w:rPr/>
        <w:t>pros- taglandin ‘thromboxane’, making it perfect for the successful treatment of ar- thritis. With enzyme therapy, around 90 % of rheumatism patients are able to relieve</w:t>
      </w:r>
      <w:r>
        <w:rPr>
          <w:spacing w:val="-23"/>
        </w:rPr>
        <w:t> </w:t>
      </w:r>
      <w:r>
        <w:rPr/>
        <w:t>symptoms.</w:t>
      </w:r>
      <w:r>
        <w:rPr>
          <w:spacing w:val="-20"/>
        </w:rPr>
        <w:t> </w:t>
      </w:r>
      <w:r>
        <w:rPr/>
        <w:t>When</w:t>
      </w:r>
      <w:r>
        <w:rPr>
          <w:spacing w:val="-23"/>
        </w:rPr>
        <w:t> </w:t>
      </w:r>
      <w:r>
        <w:rPr/>
        <w:t>combined</w:t>
      </w:r>
      <w:r>
        <w:rPr>
          <w:spacing w:val="-21"/>
        </w:rPr>
        <w:t> </w:t>
      </w:r>
      <w:r>
        <w:rPr/>
        <w:t>with</w:t>
      </w:r>
      <w:r>
        <w:rPr>
          <w:spacing w:val="-22"/>
        </w:rPr>
        <w:t> </w:t>
      </w:r>
      <w:r>
        <w:rPr/>
        <w:t>a</w:t>
      </w:r>
      <w:r>
        <w:rPr>
          <w:spacing w:val="-25"/>
        </w:rPr>
        <w:t> </w:t>
      </w:r>
      <w:r>
        <w:rPr/>
        <w:t>raw-food</w:t>
      </w:r>
      <w:r>
        <w:rPr>
          <w:spacing w:val="-21"/>
        </w:rPr>
        <w:t> </w:t>
      </w:r>
      <w:r>
        <w:rPr/>
        <w:t>diet,</w:t>
      </w:r>
      <w:r>
        <w:rPr>
          <w:spacing w:val="-23"/>
        </w:rPr>
        <w:t> </w:t>
      </w:r>
      <w:r>
        <w:rPr/>
        <w:t>the</w:t>
      </w:r>
      <w:r>
        <w:rPr>
          <w:spacing w:val="-23"/>
        </w:rPr>
        <w:t> </w:t>
      </w:r>
      <w:r>
        <w:rPr/>
        <w:t>chance</w:t>
      </w:r>
      <w:r>
        <w:rPr>
          <w:spacing w:val="-21"/>
        </w:rPr>
        <w:t> </w:t>
      </w:r>
      <w:r>
        <w:rPr/>
        <w:t>of</w:t>
      </w:r>
      <w:r>
        <w:rPr>
          <w:spacing w:val="-24"/>
        </w:rPr>
        <w:t> </w:t>
      </w:r>
      <w:r>
        <w:rPr/>
        <w:t>recovery increases rapidly! Bromelain plays an important role in deactivating antibodies and inhibiting of prostaglandin</w:t>
      </w:r>
      <w:r>
        <w:rPr>
          <w:spacing w:val="3"/>
        </w:rPr>
        <w:t> </w:t>
      </w:r>
      <w:r>
        <w:rPr/>
        <w:t>E2.</w:t>
      </w:r>
    </w:p>
    <w:p>
      <w:pPr>
        <w:pStyle w:val="BodyText"/>
        <w:spacing w:before="240"/>
        <w:ind w:left="477"/>
      </w:pPr>
      <w:r>
        <w:rPr/>
        <w:t>Another aspect of the anti-inflammatory effect of pineapple enzymes lies</w:t>
      </w:r>
    </w:p>
    <w:p>
      <w:pPr>
        <w:pStyle w:val="ListParagraph"/>
        <w:numPr>
          <w:ilvl w:val="1"/>
          <w:numId w:val="17"/>
        </w:numPr>
        <w:tabs>
          <w:tab w:pos="1191" w:val="left" w:leader="none"/>
        </w:tabs>
        <w:spacing w:line="273" w:lineRule="auto" w:before="306" w:after="0"/>
        <w:ind w:left="1190" w:right="143" w:hanging="356"/>
        <w:jc w:val="both"/>
        <w:rPr>
          <w:sz w:val="38"/>
        </w:rPr>
      </w:pPr>
      <w:r>
        <w:rPr>
          <w:sz w:val="38"/>
        </w:rPr>
        <w:t>in the stimulation of plasmin production, an endogenous drug that breaks down fibrin;</w:t>
      </w:r>
    </w:p>
    <w:p>
      <w:pPr>
        <w:pStyle w:val="ListParagraph"/>
        <w:numPr>
          <w:ilvl w:val="1"/>
          <w:numId w:val="17"/>
        </w:numPr>
        <w:tabs>
          <w:tab w:pos="1191" w:val="left" w:leader="none"/>
        </w:tabs>
        <w:spacing w:line="273" w:lineRule="auto" w:before="8" w:after="0"/>
        <w:ind w:left="1190" w:right="139" w:hanging="356"/>
        <w:jc w:val="both"/>
        <w:rPr>
          <w:sz w:val="38"/>
        </w:rPr>
      </w:pPr>
      <w:r>
        <w:rPr>
          <w:sz w:val="38"/>
        </w:rPr>
        <w:t>in</w:t>
      </w:r>
      <w:r>
        <w:rPr>
          <w:spacing w:val="-15"/>
          <w:sz w:val="38"/>
        </w:rPr>
        <w:t> </w:t>
      </w:r>
      <w:r>
        <w:rPr>
          <w:sz w:val="38"/>
        </w:rPr>
        <w:t>the</w:t>
      </w:r>
      <w:r>
        <w:rPr>
          <w:spacing w:val="-13"/>
          <w:sz w:val="38"/>
        </w:rPr>
        <w:t> </w:t>
      </w:r>
      <w:r>
        <w:rPr>
          <w:sz w:val="38"/>
        </w:rPr>
        <w:t>prevention</w:t>
      </w:r>
      <w:r>
        <w:rPr>
          <w:spacing w:val="-14"/>
          <w:sz w:val="38"/>
        </w:rPr>
        <w:t> </w:t>
      </w:r>
      <w:r>
        <w:rPr>
          <w:sz w:val="38"/>
        </w:rPr>
        <w:t>of</w:t>
      </w:r>
      <w:r>
        <w:rPr>
          <w:spacing w:val="-14"/>
          <w:sz w:val="38"/>
        </w:rPr>
        <w:t> </w:t>
      </w:r>
      <w:r>
        <w:rPr>
          <w:sz w:val="38"/>
        </w:rPr>
        <w:t>platelet</w:t>
      </w:r>
      <w:r>
        <w:rPr>
          <w:spacing w:val="-15"/>
          <w:sz w:val="38"/>
        </w:rPr>
        <w:t> </w:t>
      </w:r>
      <w:r>
        <w:rPr>
          <w:sz w:val="38"/>
        </w:rPr>
        <w:t>clumping,</w:t>
      </w:r>
      <w:r>
        <w:rPr>
          <w:spacing w:val="-14"/>
          <w:sz w:val="38"/>
        </w:rPr>
        <w:t> </w:t>
      </w:r>
      <w:r>
        <w:rPr>
          <w:sz w:val="38"/>
        </w:rPr>
        <w:t>and</w:t>
      </w:r>
      <w:r>
        <w:rPr>
          <w:spacing w:val="-14"/>
          <w:sz w:val="38"/>
        </w:rPr>
        <w:t> </w:t>
      </w:r>
      <w:r>
        <w:rPr>
          <w:sz w:val="38"/>
        </w:rPr>
        <w:t>thus</w:t>
      </w:r>
      <w:r>
        <w:rPr>
          <w:spacing w:val="-16"/>
          <w:sz w:val="38"/>
        </w:rPr>
        <w:t> </w:t>
      </w:r>
      <w:r>
        <w:rPr>
          <w:sz w:val="38"/>
        </w:rPr>
        <w:t>in</w:t>
      </w:r>
      <w:r>
        <w:rPr>
          <w:spacing w:val="-14"/>
          <w:sz w:val="38"/>
        </w:rPr>
        <w:t> </w:t>
      </w:r>
      <w:r>
        <w:rPr>
          <w:sz w:val="38"/>
        </w:rPr>
        <w:t>the</w:t>
      </w:r>
      <w:r>
        <w:rPr>
          <w:spacing w:val="-13"/>
          <w:sz w:val="38"/>
        </w:rPr>
        <w:t> </w:t>
      </w:r>
      <w:r>
        <w:rPr>
          <w:sz w:val="38"/>
        </w:rPr>
        <w:t>prevention</w:t>
      </w:r>
      <w:r>
        <w:rPr>
          <w:spacing w:val="-14"/>
          <w:sz w:val="38"/>
        </w:rPr>
        <w:t> </w:t>
      </w:r>
      <w:r>
        <w:rPr>
          <w:sz w:val="38"/>
        </w:rPr>
        <w:t>of</w:t>
      </w:r>
      <w:r>
        <w:rPr>
          <w:spacing w:val="-15"/>
          <w:sz w:val="38"/>
        </w:rPr>
        <w:t> </w:t>
      </w:r>
      <w:r>
        <w:rPr>
          <w:sz w:val="38"/>
        </w:rPr>
        <w:t>blood clotting in the affected body tissue, swelling and</w:t>
      </w:r>
      <w:r>
        <w:rPr>
          <w:spacing w:val="2"/>
          <w:sz w:val="38"/>
        </w:rPr>
        <w:t> </w:t>
      </w:r>
      <w:r>
        <w:rPr>
          <w:sz w:val="38"/>
        </w:rPr>
        <w:t>inflammation.</w:t>
      </w:r>
    </w:p>
    <w:p>
      <w:pPr>
        <w:pStyle w:val="ListParagraph"/>
        <w:numPr>
          <w:ilvl w:val="1"/>
          <w:numId w:val="17"/>
        </w:numPr>
        <w:tabs>
          <w:tab w:pos="1191" w:val="left" w:leader="none"/>
        </w:tabs>
        <w:spacing w:line="276" w:lineRule="auto" w:before="7" w:after="0"/>
        <w:ind w:left="1190" w:right="138" w:hanging="356"/>
        <w:jc w:val="both"/>
        <w:rPr>
          <w:sz w:val="38"/>
        </w:rPr>
      </w:pPr>
      <w:r>
        <w:rPr>
          <w:sz w:val="38"/>
        </w:rPr>
        <w:t>Furthermore, bromelain recognises immune complexes that circulate freely in the body and trigger auto-immune diseases such as rheumatism. It</w:t>
      </w:r>
      <w:r>
        <w:rPr>
          <w:spacing w:val="-11"/>
          <w:sz w:val="38"/>
        </w:rPr>
        <w:t> </w:t>
      </w:r>
      <w:r>
        <w:rPr>
          <w:sz w:val="38"/>
        </w:rPr>
        <w:t>dissolves</w:t>
      </w:r>
      <w:r>
        <w:rPr>
          <w:spacing w:val="-9"/>
          <w:sz w:val="38"/>
        </w:rPr>
        <w:t> </w:t>
      </w:r>
      <w:r>
        <w:rPr>
          <w:sz w:val="38"/>
        </w:rPr>
        <w:t>them</w:t>
      </w:r>
      <w:r>
        <w:rPr>
          <w:spacing w:val="-9"/>
          <w:sz w:val="38"/>
        </w:rPr>
        <w:t> </w:t>
      </w:r>
      <w:r>
        <w:rPr>
          <w:sz w:val="38"/>
        </w:rPr>
        <w:t>before</w:t>
      </w:r>
      <w:r>
        <w:rPr>
          <w:spacing w:val="-10"/>
          <w:sz w:val="38"/>
        </w:rPr>
        <w:t> </w:t>
      </w:r>
      <w:r>
        <w:rPr>
          <w:sz w:val="38"/>
        </w:rPr>
        <w:t>the</w:t>
      </w:r>
      <w:r>
        <w:rPr>
          <w:spacing w:val="-11"/>
          <w:sz w:val="38"/>
        </w:rPr>
        <w:t> </w:t>
      </w:r>
      <w:r>
        <w:rPr>
          <w:sz w:val="38"/>
        </w:rPr>
        <w:t>body</w:t>
      </w:r>
      <w:r>
        <w:rPr>
          <w:spacing w:val="-10"/>
          <w:sz w:val="38"/>
        </w:rPr>
        <w:t> </w:t>
      </w:r>
      <w:r>
        <w:rPr>
          <w:sz w:val="38"/>
        </w:rPr>
        <w:t>turns</w:t>
      </w:r>
      <w:r>
        <w:rPr>
          <w:spacing w:val="-10"/>
          <w:sz w:val="38"/>
        </w:rPr>
        <w:t> </w:t>
      </w:r>
      <w:r>
        <w:rPr>
          <w:sz w:val="38"/>
        </w:rPr>
        <w:t>against</w:t>
      </w:r>
      <w:r>
        <w:rPr>
          <w:spacing w:val="-10"/>
          <w:sz w:val="38"/>
        </w:rPr>
        <w:t> </w:t>
      </w:r>
      <w:r>
        <w:rPr>
          <w:sz w:val="38"/>
        </w:rPr>
        <w:t>them</w:t>
      </w:r>
      <w:r>
        <w:rPr>
          <w:spacing w:val="-8"/>
          <w:sz w:val="38"/>
        </w:rPr>
        <w:t> </w:t>
      </w:r>
      <w:r>
        <w:rPr>
          <w:sz w:val="38"/>
        </w:rPr>
        <w:t>and</w:t>
      </w:r>
      <w:r>
        <w:rPr>
          <w:spacing w:val="-10"/>
          <w:sz w:val="38"/>
        </w:rPr>
        <w:t> </w:t>
      </w:r>
      <w:r>
        <w:rPr>
          <w:sz w:val="38"/>
        </w:rPr>
        <w:t>attacks</w:t>
      </w:r>
      <w:r>
        <w:rPr>
          <w:spacing w:val="-9"/>
          <w:sz w:val="38"/>
        </w:rPr>
        <w:t> </w:t>
      </w:r>
      <w:r>
        <w:rPr>
          <w:sz w:val="38"/>
        </w:rPr>
        <w:t>itself</w:t>
      </w:r>
      <w:r>
        <w:rPr>
          <w:spacing w:val="-10"/>
          <w:sz w:val="38"/>
        </w:rPr>
        <w:t> </w:t>
      </w:r>
      <w:r>
        <w:rPr>
          <w:sz w:val="38"/>
        </w:rPr>
        <w:t>(ex- actly the mechanisms that are so tissue-damaging and painful in rheuma- toid arthritis and other rheumatic</w:t>
      </w:r>
      <w:r>
        <w:rPr>
          <w:spacing w:val="3"/>
          <w:sz w:val="38"/>
        </w:rPr>
        <w:t> </w:t>
      </w:r>
      <w:r>
        <w:rPr>
          <w:sz w:val="38"/>
        </w:rPr>
        <w:t>diseases!).</w:t>
      </w:r>
    </w:p>
    <w:p>
      <w:pPr>
        <w:pStyle w:val="BodyText"/>
        <w:spacing w:before="236"/>
        <w:ind w:left="477"/>
        <w:jc w:val="both"/>
      </w:pPr>
      <w:r>
        <w:rPr/>
        <w:t>The alkalising effect of pineapple, which is due to the high potassium content</w:t>
      </w:r>
    </w:p>
    <w:p>
      <w:pPr>
        <w:spacing w:after="0"/>
        <w:jc w:val="both"/>
        <w:sectPr>
          <w:pgSz w:w="14270" w:h="16850"/>
          <w:pgMar w:header="0" w:footer="1891" w:top="1600" w:bottom="2080" w:left="800" w:right="1280"/>
        </w:sectPr>
      </w:pPr>
    </w:p>
    <w:p>
      <w:pPr>
        <w:pStyle w:val="BodyText"/>
        <w:spacing w:line="276" w:lineRule="auto" w:before="181"/>
        <w:ind w:left="477" w:right="137"/>
        <w:jc w:val="both"/>
      </w:pPr>
      <w:r>
        <w:rPr/>
        <w:t>and certain fruit acids, is also worthy of note. This has a deacidifying effect on the body, as it produces an even acid-alkali balance, something that should al- ways be the foundation of efficient arthritis therapy and other rheumatic dis- eases. A high dose of 900-1200 mg bromelain/day is recommended until the swelling and pain subsides, followed by a maintenance dose of 450 mg/day.</w:t>
      </w:r>
    </w:p>
    <w:p>
      <w:pPr>
        <w:pStyle w:val="Heading1"/>
        <w:spacing w:before="223"/>
      </w:pPr>
      <w:r>
        <w:rPr/>
        <w:t>Effect of bromelain against gout</w:t>
      </w:r>
    </w:p>
    <w:p>
      <w:pPr>
        <w:pStyle w:val="BodyText"/>
        <w:spacing w:line="276" w:lineRule="auto" w:before="299"/>
        <w:ind w:left="477" w:right="136"/>
        <w:jc w:val="both"/>
      </w:pPr>
      <w:r>
        <w:rPr/>
        <w:t>See the previous section ‘Effect of bromelain on rheumatism and rheumatoid arthritis‘.</w:t>
      </w:r>
    </w:p>
    <w:p>
      <w:pPr>
        <w:pStyle w:val="Heading1"/>
      </w:pPr>
      <w:r>
        <w:rPr/>
        <w:t>The effect of bromelain on activated arthrosis</w:t>
      </w:r>
    </w:p>
    <w:p>
      <w:pPr>
        <w:pStyle w:val="BodyText"/>
        <w:spacing w:line="276" w:lineRule="auto" w:before="299"/>
        <w:ind w:left="477" w:right="140"/>
        <w:jc w:val="both"/>
      </w:pPr>
      <w:r>
        <w:rPr/>
        <w:t>Activated arthrosis is characterised by the fact that the joint is inflamed and painfully swollen. The tricky thing about this is that these activated phases are not only very painful, but also have a highly destructive effect on the hyaline cartilage. These symptoms should always be cleared as soon as possible.</w:t>
      </w:r>
    </w:p>
    <w:p>
      <w:pPr>
        <w:pStyle w:val="BodyText"/>
        <w:spacing w:line="276" w:lineRule="auto" w:before="240"/>
        <w:ind w:left="477" w:right="135"/>
        <w:jc w:val="both"/>
      </w:pPr>
      <w:r>
        <w:rPr/>
        <w:t>The anti-inflammatory effect of bromelain can counteract the active phases of arthrosis and promote the healing or stabilisation of arthrosis and relieve ar- throsis pain.</w:t>
      </w:r>
    </w:p>
    <w:p>
      <w:pPr>
        <w:pStyle w:val="Heading1"/>
      </w:pPr>
      <w:r>
        <w:rPr/>
        <w:t>Effect</w:t>
      </w:r>
      <w:r>
        <w:rPr>
          <w:spacing w:val="-67"/>
        </w:rPr>
        <w:t> </w:t>
      </w:r>
      <w:r>
        <w:rPr/>
        <w:t>of</w:t>
      </w:r>
      <w:r>
        <w:rPr>
          <w:spacing w:val="-66"/>
        </w:rPr>
        <w:t> </w:t>
      </w:r>
      <w:r>
        <w:rPr/>
        <w:t>bromelain</w:t>
      </w:r>
      <w:r>
        <w:rPr>
          <w:spacing w:val="-66"/>
        </w:rPr>
        <w:t> </w:t>
      </w:r>
      <w:r>
        <w:rPr/>
        <w:t>in</w:t>
      </w:r>
      <w:r>
        <w:rPr>
          <w:spacing w:val="-66"/>
        </w:rPr>
        <w:t> </w:t>
      </w:r>
      <w:r>
        <w:rPr/>
        <w:t>colitis</w:t>
      </w:r>
      <w:r>
        <w:rPr>
          <w:spacing w:val="-65"/>
        </w:rPr>
        <w:t> </w:t>
      </w:r>
      <w:r>
        <w:rPr/>
        <w:t>and</w:t>
      </w:r>
      <w:r>
        <w:rPr>
          <w:spacing w:val="-66"/>
        </w:rPr>
        <w:t> </w:t>
      </w:r>
      <w:r>
        <w:rPr/>
        <w:t>other</w:t>
      </w:r>
      <w:r>
        <w:rPr>
          <w:spacing w:val="-66"/>
        </w:rPr>
        <w:t> </w:t>
      </w:r>
      <w:r>
        <w:rPr/>
        <w:t>inflammatory</w:t>
      </w:r>
      <w:r>
        <w:rPr>
          <w:spacing w:val="-66"/>
        </w:rPr>
        <w:t> </w:t>
      </w:r>
      <w:r>
        <w:rPr/>
        <w:t>intestinal</w:t>
      </w:r>
      <w:r>
        <w:rPr>
          <w:spacing w:val="-66"/>
        </w:rPr>
        <w:t> </w:t>
      </w:r>
      <w:r>
        <w:rPr/>
        <w:t>disorders</w:t>
      </w:r>
    </w:p>
    <w:p>
      <w:pPr>
        <w:pStyle w:val="BodyText"/>
        <w:spacing w:line="276" w:lineRule="auto" w:before="299"/>
        <w:ind w:left="477" w:right="134"/>
        <w:jc w:val="both"/>
      </w:pPr>
      <w:r>
        <w:rPr/>
        <w:t>Bromelain prevents the formation of the pro-inflammatory prostaglandin thromboxane, which means that it can also remedy colitis and inflammatory bowel disease.</w:t>
      </w:r>
    </w:p>
    <w:p>
      <w:pPr>
        <w:spacing w:after="0" w:line="276" w:lineRule="auto"/>
        <w:jc w:val="both"/>
        <w:sectPr>
          <w:pgSz w:w="14270" w:h="16850"/>
          <w:pgMar w:header="0" w:footer="1891" w:top="1600" w:bottom="2080" w:left="800" w:right="1280"/>
        </w:sectPr>
      </w:pPr>
    </w:p>
    <w:p>
      <w:pPr>
        <w:pStyle w:val="Heading1"/>
        <w:spacing w:before="164"/>
      </w:pPr>
      <w:r>
        <w:rPr/>
        <w:t>Effect of bromelain on cardiovascular</w:t>
      </w:r>
      <w:r>
        <w:rPr>
          <w:spacing w:val="-65"/>
        </w:rPr>
        <w:t> </w:t>
      </w:r>
      <w:r>
        <w:rPr/>
        <w:t>disease</w:t>
      </w:r>
    </w:p>
    <w:p>
      <w:pPr>
        <w:pStyle w:val="BodyText"/>
        <w:spacing w:line="276" w:lineRule="auto" w:before="299"/>
        <w:ind w:left="477" w:right="135"/>
        <w:jc w:val="both"/>
      </w:pPr>
      <w:r>
        <w:rPr/>
        <w:t>Bromelain plays the role of a ‘pipe cleaner’ and has the long term ability to rid our blood vessels of debris, thereby counteracting atherosclerosis and related cardiovascular diseases, which can lead to heart attacks, thrombosis and even strokes.</w:t>
      </w:r>
    </w:p>
    <w:p>
      <w:pPr>
        <w:pStyle w:val="BodyText"/>
        <w:spacing w:line="276" w:lineRule="auto" w:before="240"/>
        <w:ind w:left="477" w:right="139"/>
        <w:jc w:val="both"/>
      </w:pPr>
      <w:r>
        <w:rPr/>
        <w:t>In addition, the ingredients of pineapple prove to encourage blood circulation by</w:t>
      </w:r>
      <w:r>
        <w:rPr>
          <w:spacing w:val="-17"/>
        </w:rPr>
        <w:t> </w:t>
      </w:r>
      <w:r>
        <w:rPr/>
        <w:t>keeping</w:t>
      </w:r>
      <w:r>
        <w:rPr>
          <w:spacing w:val="-16"/>
        </w:rPr>
        <w:t> </w:t>
      </w:r>
      <w:r>
        <w:rPr/>
        <w:t>the</w:t>
      </w:r>
      <w:r>
        <w:rPr>
          <w:spacing w:val="-16"/>
        </w:rPr>
        <w:t> </w:t>
      </w:r>
      <w:r>
        <w:rPr/>
        <w:t>blood</w:t>
      </w:r>
      <w:r>
        <w:rPr>
          <w:spacing w:val="-17"/>
        </w:rPr>
        <w:t> </w:t>
      </w:r>
      <w:r>
        <w:rPr/>
        <w:t>fluid,</w:t>
      </w:r>
      <w:r>
        <w:rPr>
          <w:spacing w:val="-17"/>
        </w:rPr>
        <w:t> </w:t>
      </w:r>
      <w:r>
        <w:rPr/>
        <w:t>preventing</w:t>
      </w:r>
      <w:r>
        <w:rPr>
          <w:spacing w:val="-16"/>
        </w:rPr>
        <w:t> </w:t>
      </w:r>
      <w:r>
        <w:rPr/>
        <w:t>blood</w:t>
      </w:r>
      <w:r>
        <w:rPr>
          <w:spacing w:val="-17"/>
        </w:rPr>
        <w:t> </w:t>
      </w:r>
      <w:r>
        <w:rPr/>
        <w:t>clots</w:t>
      </w:r>
      <w:r>
        <w:rPr>
          <w:spacing w:val="-16"/>
        </w:rPr>
        <w:t> </w:t>
      </w:r>
      <w:r>
        <w:rPr/>
        <w:t>and</w:t>
      </w:r>
      <w:r>
        <w:rPr>
          <w:spacing w:val="-16"/>
        </w:rPr>
        <w:t> </w:t>
      </w:r>
      <w:r>
        <w:rPr/>
        <w:t>dissolving</w:t>
      </w:r>
      <w:r>
        <w:rPr>
          <w:spacing w:val="-17"/>
        </w:rPr>
        <w:t> </w:t>
      </w:r>
      <w:r>
        <w:rPr/>
        <w:t>existing</w:t>
      </w:r>
      <w:r>
        <w:rPr>
          <w:spacing w:val="-16"/>
        </w:rPr>
        <w:t> </w:t>
      </w:r>
      <w:r>
        <w:rPr/>
        <w:t>blood clots.</w:t>
      </w:r>
    </w:p>
    <w:p>
      <w:pPr>
        <w:pStyle w:val="BodyText"/>
        <w:spacing w:line="276" w:lineRule="auto" w:before="241"/>
        <w:ind w:left="477" w:right="133"/>
        <w:jc w:val="both"/>
      </w:pPr>
      <w:r>
        <w:rPr/>
        <w:t>This leads to efficient perfusion of the heart muscle, angina pectoris pains are demonstrably reduced and vessel blockages that can lead to a heart attack or stroke</w:t>
      </w:r>
      <w:r>
        <w:rPr>
          <w:spacing w:val="-8"/>
        </w:rPr>
        <w:t> </w:t>
      </w:r>
      <w:r>
        <w:rPr/>
        <w:t>are</w:t>
      </w:r>
      <w:r>
        <w:rPr>
          <w:spacing w:val="-11"/>
        </w:rPr>
        <w:t> </w:t>
      </w:r>
      <w:r>
        <w:rPr/>
        <w:t>avoided.</w:t>
      </w:r>
      <w:r>
        <w:rPr>
          <w:spacing w:val="-9"/>
        </w:rPr>
        <w:t> </w:t>
      </w:r>
      <w:r>
        <w:rPr/>
        <w:t>According</w:t>
      </w:r>
      <w:r>
        <w:rPr>
          <w:spacing w:val="-12"/>
        </w:rPr>
        <w:t> </w:t>
      </w:r>
      <w:r>
        <w:rPr/>
        <w:t>to</w:t>
      </w:r>
      <w:r>
        <w:rPr>
          <w:spacing w:val="-7"/>
        </w:rPr>
        <w:t> </w:t>
      </w:r>
      <w:r>
        <w:rPr/>
        <w:t>Dr.</w:t>
      </w:r>
      <w:r>
        <w:rPr>
          <w:spacing w:val="-11"/>
        </w:rPr>
        <w:t> </w:t>
      </w:r>
      <w:r>
        <w:rPr/>
        <w:t>Nieper,</w:t>
      </w:r>
      <w:r>
        <w:rPr>
          <w:spacing w:val="-11"/>
        </w:rPr>
        <w:t> </w:t>
      </w:r>
      <w:r>
        <w:rPr/>
        <w:t>the</w:t>
      </w:r>
      <w:r>
        <w:rPr>
          <w:spacing w:val="-13"/>
        </w:rPr>
        <w:t> </w:t>
      </w:r>
      <w:r>
        <w:rPr/>
        <w:t>majority</w:t>
      </w:r>
      <w:r>
        <w:rPr>
          <w:spacing w:val="-9"/>
        </w:rPr>
        <w:t> </w:t>
      </w:r>
      <w:r>
        <w:rPr/>
        <w:t>of</w:t>
      </w:r>
      <w:r>
        <w:rPr>
          <w:spacing w:val="-9"/>
        </w:rPr>
        <w:t> </w:t>
      </w:r>
      <w:r>
        <w:rPr/>
        <w:t>the</w:t>
      </w:r>
      <w:r>
        <w:rPr>
          <w:spacing w:val="-11"/>
        </w:rPr>
        <w:t> </w:t>
      </w:r>
      <w:r>
        <w:rPr/>
        <w:t>20,000</w:t>
      </w:r>
      <w:r>
        <w:rPr>
          <w:spacing w:val="-10"/>
        </w:rPr>
        <w:t> </w:t>
      </w:r>
      <w:r>
        <w:rPr/>
        <w:t>leg</w:t>
      </w:r>
      <w:r>
        <w:rPr>
          <w:spacing w:val="-9"/>
        </w:rPr>
        <w:t> </w:t>
      </w:r>
      <w:r>
        <w:rPr/>
        <w:t>am- putations performed in 1982 could have been avoided with high doses of bro- melain.</w:t>
      </w:r>
    </w:p>
    <w:p>
      <w:pPr>
        <w:pStyle w:val="Heading1"/>
        <w:spacing w:before="223"/>
        <w:jc w:val="both"/>
      </w:pPr>
      <w:r>
        <w:rPr/>
        <w:t>Effect on cardiovascular diseases, therapeutic and prophylactic:</w:t>
      </w:r>
    </w:p>
    <w:p>
      <w:pPr>
        <w:pStyle w:val="ListParagraph"/>
        <w:numPr>
          <w:ilvl w:val="0"/>
          <w:numId w:val="17"/>
        </w:numPr>
        <w:tabs>
          <w:tab w:pos="1097" w:val="left" w:leader="none"/>
        </w:tabs>
        <w:spacing w:line="240" w:lineRule="auto" w:before="301" w:after="0"/>
        <w:ind w:left="1096" w:right="0" w:hanging="552"/>
        <w:jc w:val="both"/>
        <w:rPr>
          <w:sz w:val="38"/>
        </w:rPr>
      </w:pPr>
      <w:r>
        <w:rPr>
          <w:sz w:val="38"/>
        </w:rPr>
        <w:t>protection against</w:t>
      </w:r>
      <w:r>
        <w:rPr>
          <w:spacing w:val="-1"/>
          <w:sz w:val="38"/>
        </w:rPr>
        <w:t> </w:t>
      </w:r>
      <w:r>
        <w:rPr>
          <w:sz w:val="38"/>
        </w:rPr>
        <w:t>atherosclerosis;</w:t>
      </w:r>
    </w:p>
    <w:p>
      <w:pPr>
        <w:pStyle w:val="ListParagraph"/>
        <w:numPr>
          <w:ilvl w:val="0"/>
          <w:numId w:val="17"/>
        </w:numPr>
        <w:tabs>
          <w:tab w:pos="1097" w:val="left" w:leader="none"/>
        </w:tabs>
        <w:spacing w:line="240" w:lineRule="auto" w:before="63" w:after="0"/>
        <w:ind w:left="1096" w:right="0" w:hanging="552"/>
        <w:jc w:val="both"/>
        <w:rPr>
          <w:sz w:val="38"/>
        </w:rPr>
      </w:pPr>
      <w:r>
        <w:rPr>
          <w:sz w:val="38"/>
        </w:rPr>
        <w:t>reduction of angina pectoris</w:t>
      </w:r>
      <w:r>
        <w:rPr>
          <w:spacing w:val="1"/>
          <w:sz w:val="38"/>
        </w:rPr>
        <w:t> </w:t>
      </w:r>
      <w:r>
        <w:rPr>
          <w:sz w:val="38"/>
        </w:rPr>
        <w:t>attacks;</w:t>
      </w:r>
    </w:p>
    <w:p>
      <w:pPr>
        <w:pStyle w:val="ListParagraph"/>
        <w:numPr>
          <w:ilvl w:val="0"/>
          <w:numId w:val="17"/>
        </w:numPr>
        <w:tabs>
          <w:tab w:pos="1097" w:val="left" w:leader="none"/>
        </w:tabs>
        <w:spacing w:line="240" w:lineRule="auto" w:before="64" w:after="0"/>
        <w:ind w:left="1096" w:right="0" w:hanging="552"/>
        <w:jc w:val="both"/>
        <w:rPr>
          <w:sz w:val="38"/>
        </w:rPr>
      </w:pPr>
      <w:r>
        <w:rPr>
          <w:sz w:val="38"/>
        </w:rPr>
        <w:t>breakdown of deposits in the blood vessels</w:t>
      </w:r>
      <w:r>
        <w:rPr>
          <w:spacing w:val="-11"/>
          <w:sz w:val="38"/>
        </w:rPr>
        <w:t> </w:t>
      </w:r>
      <w:r>
        <w:rPr>
          <w:sz w:val="38"/>
        </w:rPr>
        <w:t>(arteriosclerosis/plaque);</w:t>
      </w:r>
    </w:p>
    <w:p>
      <w:pPr>
        <w:pStyle w:val="ListParagraph"/>
        <w:numPr>
          <w:ilvl w:val="0"/>
          <w:numId w:val="17"/>
        </w:numPr>
        <w:tabs>
          <w:tab w:pos="1192" w:val="left" w:leader="none"/>
          <w:tab w:pos="1193" w:val="left" w:leader="none"/>
        </w:tabs>
        <w:spacing w:line="273" w:lineRule="auto" w:before="66" w:after="0"/>
        <w:ind w:left="904" w:right="245" w:hanging="283"/>
        <w:jc w:val="left"/>
        <w:rPr>
          <w:sz w:val="38"/>
        </w:rPr>
      </w:pPr>
      <w:r>
        <w:rPr>
          <w:sz w:val="38"/>
        </w:rPr>
        <w:t>protection against blood clotting as a result of fibrin breakdown and thus better blood</w:t>
      </w:r>
      <w:r>
        <w:rPr>
          <w:spacing w:val="1"/>
          <w:sz w:val="38"/>
        </w:rPr>
        <w:t> </w:t>
      </w:r>
      <w:r>
        <w:rPr>
          <w:sz w:val="38"/>
        </w:rPr>
        <w:t>flow;</w:t>
      </w:r>
    </w:p>
    <w:p>
      <w:pPr>
        <w:pStyle w:val="ListParagraph"/>
        <w:numPr>
          <w:ilvl w:val="0"/>
          <w:numId w:val="17"/>
        </w:numPr>
        <w:tabs>
          <w:tab w:pos="1097" w:val="left" w:leader="none"/>
        </w:tabs>
        <w:spacing w:line="240" w:lineRule="auto" w:before="8" w:after="0"/>
        <w:ind w:left="1096" w:right="0" w:hanging="552"/>
        <w:jc w:val="both"/>
        <w:rPr>
          <w:sz w:val="38"/>
        </w:rPr>
      </w:pPr>
      <w:r>
        <w:rPr>
          <w:sz w:val="38"/>
        </w:rPr>
        <w:t>lowers blood</w:t>
      </w:r>
      <w:r>
        <w:rPr>
          <w:spacing w:val="-2"/>
          <w:sz w:val="38"/>
        </w:rPr>
        <w:t> </w:t>
      </w:r>
      <w:r>
        <w:rPr>
          <w:sz w:val="38"/>
        </w:rPr>
        <w:t>pressure;</w:t>
      </w:r>
    </w:p>
    <w:p>
      <w:pPr>
        <w:pStyle w:val="ListParagraph"/>
        <w:numPr>
          <w:ilvl w:val="0"/>
          <w:numId w:val="17"/>
        </w:numPr>
        <w:tabs>
          <w:tab w:pos="1097" w:val="left" w:leader="none"/>
        </w:tabs>
        <w:spacing w:line="240" w:lineRule="auto" w:before="63" w:after="0"/>
        <w:ind w:left="1096" w:right="0" w:hanging="552"/>
        <w:jc w:val="both"/>
        <w:rPr>
          <w:sz w:val="38"/>
        </w:rPr>
      </w:pPr>
      <w:r>
        <w:rPr>
          <w:sz w:val="38"/>
        </w:rPr>
        <w:t>prevents clumping of platelets (thrombocyte</w:t>
      </w:r>
      <w:r>
        <w:rPr>
          <w:spacing w:val="-3"/>
          <w:sz w:val="38"/>
        </w:rPr>
        <w:t> </w:t>
      </w:r>
      <w:r>
        <w:rPr>
          <w:sz w:val="38"/>
        </w:rPr>
        <w:t>aggregation);</w:t>
      </w:r>
    </w:p>
    <w:p>
      <w:pPr>
        <w:spacing w:after="0" w:line="240" w:lineRule="auto"/>
        <w:jc w:val="both"/>
        <w:rPr>
          <w:sz w:val="38"/>
        </w:rPr>
        <w:sectPr>
          <w:pgSz w:w="14270" w:h="16850"/>
          <w:pgMar w:header="0" w:footer="1891" w:top="1600" w:bottom="2080" w:left="800" w:right="1280"/>
        </w:sectPr>
      </w:pPr>
    </w:p>
    <w:p>
      <w:pPr>
        <w:pStyle w:val="BodyText"/>
        <w:spacing w:before="10"/>
        <w:rPr>
          <w:sz w:val="8"/>
        </w:rPr>
      </w:pPr>
    </w:p>
    <w:p>
      <w:pPr>
        <w:pStyle w:val="ListParagraph"/>
        <w:numPr>
          <w:ilvl w:val="0"/>
          <w:numId w:val="17"/>
        </w:numPr>
        <w:tabs>
          <w:tab w:pos="1096" w:val="left" w:leader="none"/>
          <w:tab w:pos="1097" w:val="left" w:leader="none"/>
        </w:tabs>
        <w:spacing w:line="273" w:lineRule="auto" w:before="83" w:after="0"/>
        <w:ind w:left="904" w:right="268" w:hanging="360"/>
        <w:jc w:val="left"/>
        <w:rPr>
          <w:sz w:val="38"/>
        </w:rPr>
      </w:pPr>
      <w:r>
        <w:rPr>
          <w:sz w:val="38"/>
        </w:rPr>
        <w:t>de-acidifies (solidification of platelets – and its dangerous consequences – is</w:t>
      </w:r>
      <w:r>
        <w:rPr>
          <w:spacing w:val="-1"/>
          <w:sz w:val="38"/>
        </w:rPr>
        <w:t> </w:t>
      </w:r>
      <w:r>
        <w:rPr>
          <w:sz w:val="38"/>
        </w:rPr>
        <w:t>avoided);</w:t>
      </w:r>
    </w:p>
    <w:p>
      <w:pPr>
        <w:pStyle w:val="ListParagraph"/>
        <w:numPr>
          <w:ilvl w:val="0"/>
          <w:numId w:val="17"/>
        </w:numPr>
        <w:tabs>
          <w:tab w:pos="1096" w:val="left" w:leader="none"/>
          <w:tab w:pos="1097" w:val="left" w:leader="none"/>
        </w:tabs>
        <w:spacing w:line="240" w:lineRule="auto" w:before="7" w:after="0"/>
        <w:ind w:left="1096" w:right="0" w:hanging="552"/>
        <w:jc w:val="left"/>
        <w:rPr>
          <w:sz w:val="38"/>
        </w:rPr>
      </w:pPr>
      <w:r>
        <w:rPr>
          <w:sz w:val="38"/>
        </w:rPr>
        <w:t>effective against</w:t>
      </w:r>
      <w:r>
        <w:rPr>
          <w:spacing w:val="-1"/>
          <w:sz w:val="38"/>
        </w:rPr>
        <w:t> </w:t>
      </w:r>
      <w:r>
        <w:rPr>
          <w:sz w:val="38"/>
        </w:rPr>
        <w:t>angina.</w:t>
      </w:r>
    </w:p>
    <w:p>
      <w:pPr>
        <w:pStyle w:val="BodyText"/>
        <w:spacing w:line="276" w:lineRule="auto" w:before="182"/>
        <w:ind w:left="477" w:right="134"/>
        <w:jc w:val="both"/>
      </w:pPr>
      <w:r>
        <w:rPr/>
        <w:t>High-dose</w:t>
      </w:r>
      <w:r>
        <w:rPr>
          <w:spacing w:val="-9"/>
        </w:rPr>
        <w:t> </w:t>
      </w:r>
      <w:r>
        <w:rPr/>
        <w:t>bromelain</w:t>
      </w:r>
      <w:r>
        <w:rPr>
          <w:spacing w:val="-10"/>
        </w:rPr>
        <w:t> </w:t>
      </w:r>
      <w:r>
        <w:rPr/>
        <w:t>proves</w:t>
      </w:r>
      <w:r>
        <w:rPr>
          <w:spacing w:val="-8"/>
        </w:rPr>
        <w:t> </w:t>
      </w:r>
      <w:r>
        <w:rPr/>
        <w:t>to</w:t>
      </w:r>
      <w:r>
        <w:rPr>
          <w:spacing w:val="-9"/>
        </w:rPr>
        <w:t> </w:t>
      </w:r>
      <w:r>
        <w:rPr/>
        <w:t>be</w:t>
      </w:r>
      <w:r>
        <w:rPr>
          <w:spacing w:val="-9"/>
        </w:rPr>
        <w:t> </w:t>
      </w:r>
      <w:r>
        <w:rPr/>
        <w:t>far</w:t>
      </w:r>
      <w:r>
        <w:rPr>
          <w:spacing w:val="-9"/>
        </w:rPr>
        <w:t> </w:t>
      </w:r>
      <w:r>
        <w:rPr/>
        <w:t>more</w:t>
      </w:r>
      <w:r>
        <w:rPr>
          <w:spacing w:val="-9"/>
        </w:rPr>
        <w:t> </w:t>
      </w:r>
      <w:r>
        <w:rPr/>
        <w:t>successful</w:t>
      </w:r>
      <w:r>
        <w:rPr>
          <w:spacing w:val="-10"/>
        </w:rPr>
        <w:t> </w:t>
      </w:r>
      <w:r>
        <w:rPr/>
        <w:t>than</w:t>
      </w:r>
      <w:r>
        <w:rPr>
          <w:spacing w:val="-8"/>
        </w:rPr>
        <w:t> </w:t>
      </w:r>
      <w:r>
        <w:rPr/>
        <w:t>many</w:t>
      </w:r>
      <w:r>
        <w:rPr>
          <w:spacing w:val="-6"/>
        </w:rPr>
        <w:t> </w:t>
      </w:r>
      <w:r>
        <w:rPr/>
        <w:t>conventional medicines with a high potential for side effects – without any such side</w:t>
      </w:r>
      <w:r>
        <w:rPr>
          <w:spacing w:val="-22"/>
        </w:rPr>
        <w:t> </w:t>
      </w:r>
      <w:r>
        <w:rPr/>
        <w:t>effects!</w:t>
      </w:r>
    </w:p>
    <w:p>
      <w:pPr>
        <w:spacing w:line="276" w:lineRule="auto" w:before="241"/>
        <w:ind w:left="477" w:right="137" w:firstLine="0"/>
        <w:jc w:val="both"/>
        <w:rPr>
          <w:sz w:val="25"/>
        </w:rPr>
      </w:pPr>
      <w:r>
        <w:rPr>
          <w:sz w:val="38"/>
        </w:rPr>
        <w:t>To quote the luminary Dr. Hans Nieper, who recommends bromelain for prophylaxis and treatment of heart disease: ‘</w:t>
      </w:r>
      <w:r>
        <w:rPr>
          <w:i/>
          <w:sz w:val="38"/>
        </w:rPr>
        <w:t>Bromelain is more effective than Marcu- </w:t>
      </w:r>
      <w:r>
        <w:rPr>
          <w:i/>
          <w:sz w:val="38"/>
        </w:rPr>
        <w:t>mar and beta blockers at preventing heart attacks</w:t>
      </w:r>
      <w:r>
        <w:rPr>
          <w:sz w:val="38"/>
        </w:rPr>
        <w:t>’.</w:t>
      </w:r>
      <w:r>
        <w:rPr>
          <w:position w:val="9"/>
          <w:sz w:val="25"/>
        </w:rPr>
        <w:t>51</w:t>
      </w:r>
    </w:p>
    <w:p>
      <w:pPr>
        <w:pStyle w:val="Heading1"/>
      </w:pPr>
      <w:r>
        <w:rPr/>
        <w:t>Pineapple’s effect on thrombosis</w:t>
      </w:r>
    </w:p>
    <w:p>
      <w:pPr>
        <w:pStyle w:val="BodyText"/>
        <w:spacing w:line="276" w:lineRule="auto" w:before="297"/>
        <w:ind w:left="477" w:right="141"/>
        <w:jc w:val="both"/>
      </w:pPr>
      <w:r>
        <w:rPr/>
        <w:t>Thrombosis occurs when the natural balance between blood clotting and the dissolution of blood clots is disturbed. This balance is primarily maintained by various enzymes.</w:t>
      </w:r>
    </w:p>
    <w:p>
      <w:pPr>
        <w:pStyle w:val="BodyText"/>
        <w:spacing w:line="276" w:lineRule="auto" w:before="242"/>
        <w:ind w:left="477" w:right="133"/>
        <w:jc w:val="both"/>
      </w:pPr>
      <w:r>
        <w:rPr/>
        <w:t>If</w:t>
      </w:r>
      <w:r>
        <w:rPr>
          <w:spacing w:val="-11"/>
        </w:rPr>
        <w:t> </w:t>
      </w:r>
      <w:r>
        <w:rPr/>
        <w:t>these</w:t>
      </w:r>
      <w:r>
        <w:rPr>
          <w:spacing w:val="-12"/>
        </w:rPr>
        <w:t> </w:t>
      </w:r>
      <w:r>
        <w:rPr/>
        <w:t>enzymes</w:t>
      </w:r>
      <w:r>
        <w:rPr>
          <w:spacing w:val="-11"/>
        </w:rPr>
        <w:t> </w:t>
      </w:r>
      <w:r>
        <w:rPr/>
        <w:t>are</w:t>
      </w:r>
      <w:r>
        <w:rPr>
          <w:spacing w:val="-11"/>
        </w:rPr>
        <w:t> </w:t>
      </w:r>
      <w:r>
        <w:rPr/>
        <w:t>lacking,</w:t>
      </w:r>
      <w:r>
        <w:rPr>
          <w:spacing w:val="-8"/>
        </w:rPr>
        <w:t> </w:t>
      </w:r>
      <w:r>
        <w:rPr/>
        <w:t>dangerous</w:t>
      </w:r>
      <w:r>
        <w:rPr>
          <w:spacing w:val="-9"/>
        </w:rPr>
        <w:t> </w:t>
      </w:r>
      <w:r>
        <w:rPr/>
        <w:t>thromboses</w:t>
      </w:r>
      <w:r>
        <w:rPr>
          <w:spacing w:val="-8"/>
        </w:rPr>
        <w:t> </w:t>
      </w:r>
      <w:r>
        <w:rPr/>
        <w:t>are</w:t>
      </w:r>
      <w:r>
        <w:rPr>
          <w:spacing w:val="-11"/>
        </w:rPr>
        <w:t> </w:t>
      </w:r>
      <w:r>
        <w:rPr/>
        <w:t>formed</w:t>
      </w:r>
      <w:r>
        <w:rPr>
          <w:spacing w:val="-14"/>
        </w:rPr>
        <w:t> </w:t>
      </w:r>
      <w:r>
        <w:rPr/>
        <w:t>which</w:t>
      </w:r>
      <w:r>
        <w:rPr>
          <w:spacing w:val="-8"/>
        </w:rPr>
        <w:t> </w:t>
      </w:r>
      <w:r>
        <w:rPr/>
        <w:t>can</w:t>
      </w:r>
      <w:r>
        <w:rPr>
          <w:spacing w:val="-9"/>
        </w:rPr>
        <w:t> </w:t>
      </w:r>
      <w:r>
        <w:rPr/>
        <w:t>clog our blood vessels and capillaries so that the tissue behind them can no longer be</w:t>
      </w:r>
      <w:r>
        <w:rPr>
          <w:spacing w:val="-14"/>
        </w:rPr>
        <w:t> </w:t>
      </w:r>
      <w:r>
        <w:rPr/>
        <w:t>adequately</w:t>
      </w:r>
      <w:r>
        <w:rPr>
          <w:spacing w:val="-15"/>
        </w:rPr>
        <w:t> </w:t>
      </w:r>
      <w:r>
        <w:rPr/>
        <w:t>supplied</w:t>
      </w:r>
      <w:r>
        <w:rPr>
          <w:spacing w:val="-14"/>
        </w:rPr>
        <w:t> </w:t>
      </w:r>
      <w:r>
        <w:rPr/>
        <w:t>with</w:t>
      </w:r>
      <w:r>
        <w:rPr>
          <w:spacing w:val="-14"/>
        </w:rPr>
        <w:t> </w:t>
      </w:r>
      <w:r>
        <w:rPr/>
        <w:t>blood</w:t>
      </w:r>
      <w:r>
        <w:rPr>
          <w:spacing w:val="-13"/>
        </w:rPr>
        <w:t> </w:t>
      </w:r>
      <w:r>
        <w:rPr/>
        <w:t>and</w:t>
      </w:r>
      <w:r>
        <w:rPr>
          <w:spacing w:val="-14"/>
        </w:rPr>
        <w:t> </w:t>
      </w:r>
      <w:r>
        <w:rPr/>
        <w:t>thus</w:t>
      </w:r>
      <w:r>
        <w:rPr>
          <w:spacing w:val="-14"/>
        </w:rPr>
        <w:t> </w:t>
      </w:r>
      <w:r>
        <w:rPr/>
        <w:t>with</w:t>
      </w:r>
      <w:r>
        <w:rPr>
          <w:spacing w:val="-11"/>
        </w:rPr>
        <w:t> </w:t>
      </w:r>
      <w:r>
        <w:rPr/>
        <w:t>oxygen.</w:t>
      </w:r>
      <w:r>
        <w:rPr>
          <w:spacing w:val="-13"/>
        </w:rPr>
        <w:t> </w:t>
      </w:r>
      <w:r>
        <w:rPr/>
        <w:t>If</w:t>
      </w:r>
      <w:r>
        <w:rPr>
          <w:spacing w:val="-13"/>
        </w:rPr>
        <w:t> </w:t>
      </w:r>
      <w:r>
        <w:rPr/>
        <w:t>a</w:t>
      </w:r>
      <w:r>
        <w:rPr>
          <w:spacing w:val="-15"/>
        </w:rPr>
        <w:t> </w:t>
      </w:r>
      <w:r>
        <w:rPr/>
        <w:t>blood</w:t>
      </w:r>
      <w:r>
        <w:rPr>
          <w:spacing w:val="-14"/>
        </w:rPr>
        <w:t> </w:t>
      </w:r>
      <w:r>
        <w:rPr/>
        <w:t>vessel</w:t>
      </w:r>
      <w:r>
        <w:rPr>
          <w:spacing w:val="-13"/>
        </w:rPr>
        <w:t> </w:t>
      </w:r>
      <w:r>
        <w:rPr/>
        <w:t>is</w:t>
      </w:r>
      <w:r>
        <w:rPr>
          <w:spacing w:val="-14"/>
        </w:rPr>
        <w:t> </w:t>
      </w:r>
      <w:r>
        <w:rPr/>
        <w:t>cut off from the blood supply to the heart due to blood clots, a heart attack may result.</w:t>
      </w:r>
      <w:r>
        <w:rPr>
          <w:spacing w:val="38"/>
        </w:rPr>
        <w:t> </w:t>
      </w:r>
      <w:r>
        <w:rPr/>
        <w:t>If</w:t>
      </w:r>
      <w:r>
        <w:rPr>
          <w:spacing w:val="38"/>
        </w:rPr>
        <w:t> </w:t>
      </w:r>
      <w:r>
        <w:rPr/>
        <w:t>a</w:t>
      </w:r>
      <w:r>
        <w:rPr>
          <w:spacing w:val="37"/>
        </w:rPr>
        <w:t> </w:t>
      </w:r>
      <w:r>
        <w:rPr/>
        <w:t>blood</w:t>
      </w:r>
      <w:r>
        <w:rPr>
          <w:spacing w:val="38"/>
        </w:rPr>
        <w:t> </w:t>
      </w:r>
      <w:r>
        <w:rPr/>
        <w:t>vessel</w:t>
      </w:r>
      <w:r>
        <w:rPr>
          <w:spacing w:val="38"/>
        </w:rPr>
        <w:t> </w:t>
      </w:r>
      <w:r>
        <w:rPr/>
        <w:t>that</w:t>
      </w:r>
      <w:r>
        <w:rPr>
          <w:spacing w:val="38"/>
        </w:rPr>
        <w:t> </w:t>
      </w:r>
      <w:r>
        <w:rPr/>
        <w:t>leads</w:t>
      </w:r>
      <w:r>
        <w:rPr>
          <w:spacing w:val="38"/>
        </w:rPr>
        <w:t> </w:t>
      </w:r>
      <w:r>
        <w:rPr/>
        <w:t>to</w:t>
      </w:r>
      <w:r>
        <w:rPr>
          <w:spacing w:val="39"/>
        </w:rPr>
        <w:t> </w:t>
      </w:r>
      <w:r>
        <w:rPr/>
        <w:t>the</w:t>
      </w:r>
      <w:r>
        <w:rPr>
          <w:spacing w:val="39"/>
        </w:rPr>
        <w:t> </w:t>
      </w:r>
      <w:r>
        <w:rPr/>
        <w:t>brain</w:t>
      </w:r>
      <w:r>
        <w:rPr>
          <w:spacing w:val="37"/>
        </w:rPr>
        <w:t> </w:t>
      </w:r>
      <w:r>
        <w:rPr/>
        <w:t>becomes</w:t>
      </w:r>
      <w:r>
        <w:rPr>
          <w:spacing w:val="39"/>
        </w:rPr>
        <w:t> </w:t>
      </w:r>
      <w:r>
        <w:rPr/>
        <w:t>blocked</w:t>
      </w:r>
      <w:r>
        <w:rPr>
          <w:spacing w:val="38"/>
        </w:rPr>
        <w:t> </w:t>
      </w:r>
      <w:r>
        <w:rPr/>
        <w:t>with</w:t>
      </w:r>
      <w:r>
        <w:rPr>
          <w:spacing w:val="39"/>
        </w:rPr>
        <w:t> </w:t>
      </w:r>
      <w:r>
        <w:rPr/>
        <w:t>blood</w:t>
      </w:r>
    </w:p>
    <w:p>
      <w:pPr>
        <w:pStyle w:val="BodyText"/>
        <w:rPr>
          <w:sz w:val="20"/>
        </w:rPr>
      </w:pPr>
    </w:p>
    <w:p>
      <w:pPr>
        <w:pStyle w:val="BodyText"/>
        <w:rPr>
          <w:sz w:val="20"/>
        </w:rPr>
      </w:pPr>
    </w:p>
    <w:p>
      <w:pPr>
        <w:pStyle w:val="BodyText"/>
        <w:spacing w:before="1"/>
        <w:rPr>
          <w:sz w:val="24"/>
        </w:rPr>
      </w:pPr>
      <w:r>
        <w:rPr/>
        <w:pict>
          <v:line style="position:absolute;mso-position-horizontal-relative:page;mso-position-vertical-relative:paragraph;z-index:-232;mso-wrap-distance-left:0;mso-wrap-distance-right:0" from="63.863998pt,15.929986pt" to="207.883998pt,15.929986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51 </w:t>
      </w:r>
      <w:r>
        <w:rPr>
          <w:sz w:val="20"/>
        </w:rPr>
        <w:t>Barbara Simonsohn: Die sagenhafte Heilkraft der Ananas (‘The Legendary Healing Power of Pineapple’) 4th Edition, 2012, p.108</w:t>
      </w:r>
    </w:p>
    <w:p>
      <w:pPr>
        <w:spacing w:after="0"/>
        <w:jc w:val="left"/>
        <w:rPr>
          <w:sz w:val="20"/>
        </w:rPr>
        <w:sectPr>
          <w:pgSz w:w="14270" w:h="16850"/>
          <w:pgMar w:header="0" w:footer="1891" w:top="1600" w:bottom="2080" w:left="800" w:right="1280"/>
        </w:sectPr>
      </w:pPr>
    </w:p>
    <w:p>
      <w:pPr>
        <w:pStyle w:val="BodyText"/>
        <w:spacing w:before="181"/>
        <w:ind w:left="477"/>
      </w:pPr>
      <w:r>
        <w:rPr/>
        <w:t>clots, the person can suffer a stroke.</w:t>
      </w:r>
    </w:p>
    <w:p>
      <w:pPr>
        <w:pStyle w:val="BodyText"/>
        <w:spacing w:line="276" w:lineRule="auto" w:before="305"/>
        <w:ind w:left="477" w:right="132"/>
        <w:jc w:val="both"/>
      </w:pPr>
      <w:r>
        <w:rPr/>
        <w:t>Like papaya, pineapple keeps the blood fluid and can thus pre-emptively pre- vent thrombosis. Here, bromelain acts as a selective prostaglandin inhibitor (thromboxane A2) and thus prevents platelet clumping. Existing blood clots, which can lead to the aforementioned health problems, however, are broken down by the pineapple enzymes.</w:t>
      </w:r>
    </w:p>
    <w:p>
      <w:pPr>
        <w:pStyle w:val="Heading1"/>
        <w:spacing w:before="223"/>
      </w:pPr>
      <w:r>
        <w:rPr/>
        <w:t>Effect of bromelain on sports injuries in general</w:t>
      </w:r>
    </w:p>
    <w:p>
      <w:pPr>
        <w:pStyle w:val="BodyText"/>
        <w:spacing w:line="276" w:lineRule="auto" w:before="299"/>
        <w:ind w:left="477" w:right="139"/>
        <w:jc w:val="both"/>
      </w:pPr>
      <w:r>
        <w:rPr/>
        <w:t>Sports injuries, such as bruises, ligament strains, dislocations and torn muscle fibres,</w:t>
      </w:r>
      <w:r>
        <w:rPr>
          <w:spacing w:val="-9"/>
        </w:rPr>
        <w:t> </w:t>
      </w:r>
      <w:r>
        <w:rPr/>
        <w:t>are</w:t>
      </w:r>
      <w:r>
        <w:rPr>
          <w:spacing w:val="-9"/>
        </w:rPr>
        <w:t> </w:t>
      </w:r>
      <w:r>
        <w:rPr/>
        <w:t>commonplace</w:t>
      </w:r>
      <w:r>
        <w:rPr>
          <w:spacing w:val="-10"/>
        </w:rPr>
        <w:t> </w:t>
      </w:r>
      <w:r>
        <w:rPr/>
        <w:t>in</w:t>
      </w:r>
      <w:r>
        <w:rPr>
          <w:spacing w:val="-9"/>
        </w:rPr>
        <w:t> </w:t>
      </w:r>
      <w:r>
        <w:rPr/>
        <w:t>competitive</w:t>
      </w:r>
      <w:r>
        <w:rPr>
          <w:spacing w:val="-10"/>
        </w:rPr>
        <w:t> </w:t>
      </w:r>
      <w:r>
        <w:rPr/>
        <w:t>sports</w:t>
      </w:r>
      <w:r>
        <w:rPr>
          <w:spacing w:val="-9"/>
        </w:rPr>
        <w:t> </w:t>
      </w:r>
      <w:r>
        <w:rPr/>
        <w:t>and</w:t>
      </w:r>
      <w:r>
        <w:rPr>
          <w:spacing w:val="-9"/>
        </w:rPr>
        <w:t> </w:t>
      </w:r>
      <w:r>
        <w:rPr/>
        <w:t>bromelain</w:t>
      </w:r>
      <w:r>
        <w:rPr>
          <w:spacing w:val="-9"/>
        </w:rPr>
        <w:t> </w:t>
      </w:r>
      <w:r>
        <w:rPr/>
        <w:t>has</w:t>
      </w:r>
      <w:r>
        <w:rPr>
          <w:spacing w:val="-9"/>
        </w:rPr>
        <w:t> </w:t>
      </w:r>
      <w:r>
        <w:rPr/>
        <w:t>already</w:t>
      </w:r>
      <w:r>
        <w:rPr>
          <w:spacing w:val="-10"/>
        </w:rPr>
        <w:t> </w:t>
      </w:r>
      <w:r>
        <w:rPr/>
        <w:t>made a</w:t>
      </w:r>
      <w:r>
        <w:rPr>
          <w:spacing w:val="-15"/>
        </w:rPr>
        <w:t> </w:t>
      </w:r>
      <w:r>
        <w:rPr/>
        <w:t>name</w:t>
      </w:r>
      <w:r>
        <w:rPr>
          <w:spacing w:val="-12"/>
        </w:rPr>
        <w:t> </w:t>
      </w:r>
      <w:r>
        <w:rPr/>
        <w:t>for</w:t>
      </w:r>
      <w:r>
        <w:rPr>
          <w:spacing w:val="-12"/>
        </w:rPr>
        <w:t> </w:t>
      </w:r>
      <w:r>
        <w:rPr/>
        <w:t>itself</w:t>
      </w:r>
      <w:r>
        <w:rPr>
          <w:spacing w:val="-14"/>
        </w:rPr>
        <w:t> </w:t>
      </w:r>
      <w:r>
        <w:rPr/>
        <w:t>here.</w:t>
      </w:r>
      <w:r>
        <w:rPr>
          <w:spacing w:val="-12"/>
        </w:rPr>
        <w:t> </w:t>
      </w:r>
      <w:r>
        <w:rPr/>
        <w:t>It</w:t>
      </w:r>
      <w:r>
        <w:rPr>
          <w:spacing w:val="-14"/>
        </w:rPr>
        <w:t> </w:t>
      </w:r>
      <w:r>
        <w:rPr/>
        <w:t>supports</w:t>
      </w:r>
      <w:r>
        <w:rPr>
          <w:spacing w:val="-15"/>
        </w:rPr>
        <w:t> </w:t>
      </w:r>
      <w:r>
        <w:rPr/>
        <w:t>the</w:t>
      </w:r>
      <w:r>
        <w:rPr>
          <w:spacing w:val="-13"/>
        </w:rPr>
        <w:t> </w:t>
      </w:r>
      <w:r>
        <w:rPr/>
        <w:t>healing</w:t>
      </w:r>
      <w:r>
        <w:rPr>
          <w:spacing w:val="-12"/>
        </w:rPr>
        <w:t> </w:t>
      </w:r>
      <w:r>
        <w:rPr/>
        <w:t>process</w:t>
      </w:r>
      <w:r>
        <w:rPr>
          <w:spacing w:val="-13"/>
        </w:rPr>
        <w:t> </w:t>
      </w:r>
      <w:r>
        <w:rPr/>
        <w:t>by</w:t>
      </w:r>
      <w:r>
        <w:rPr>
          <w:spacing w:val="-12"/>
        </w:rPr>
        <w:t> </w:t>
      </w:r>
      <w:r>
        <w:rPr/>
        <w:t>relieving</w:t>
      </w:r>
      <w:r>
        <w:rPr>
          <w:spacing w:val="-13"/>
        </w:rPr>
        <w:t> </w:t>
      </w:r>
      <w:r>
        <w:rPr/>
        <w:t>inflammation and reducing swelling and</w:t>
      </w:r>
      <w:r>
        <w:rPr>
          <w:spacing w:val="6"/>
        </w:rPr>
        <w:t> </w:t>
      </w:r>
      <w:r>
        <w:rPr/>
        <w:t>bruises.</w:t>
      </w:r>
    </w:p>
    <w:p>
      <w:pPr>
        <w:pStyle w:val="Heading1"/>
        <w:spacing w:before="222"/>
      </w:pPr>
      <w:r>
        <w:rPr/>
        <w:t>Effect of bromelain on swelling (e.g. sports injuries)</w:t>
      </w:r>
    </w:p>
    <w:p>
      <w:pPr>
        <w:pStyle w:val="BodyText"/>
        <w:spacing w:line="276" w:lineRule="auto" w:before="299"/>
        <w:ind w:left="477" w:right="132"/>
        <w:jc w:val="both"/>
      </w:pPr>
      <w:r>
        <w:rPr/>
        <w:t>All injuries caused by external factors (compression, contusion, torn ligaments and others) result in painful swelling that severely limits mobility. The main cause</w:t>
      </w:r>
      <w:r>
        <w:rPr>
          <w:spacing w:val="-18"/>
        </w:rPr>
        <w:t> </w:t>
      </w:r>
      <w:r>
        <w:rPr/>
        <w:t>of</w:t>
      </w:r>
      <w:r>
        <w:rPr>
          <w:spacing w:val="-16"/>
        </w:rPr>
        <w:t> </w:t>
      </w:r>
      <w:r>
        <w:rPr/>
        <w:t>the</w:t>
      </w:r>
      <w:r>
        <w:rPr>
          <w:spacing w:val="-19"/>
        </w:rPr>
        <w:t> </w:t>
      </w:r>
      <w:r>
        <w:rPr/>
        <w:t>swelling</w:t>
      </w:r>
      <w:r>
        <w:rPr>
          <w:spacing w:val="-16"/>
        </w:rPr>
        <w:t> </w:t>
      </w:r>
      <w:r>
        <w:rPr/>
        <w:t>is</w:t>
      </w:r>
      <w:r>
        <w:rPr>
          <w:spacing w:val="-18"/>
        </w:rPr>
        <w:t> </w:t>
      </w:r>
      <w:r>
        <w:rPr/>
        <w:t>an</w:t>
      </w:r>
      <w:r>
        <w:rPr>
          <w:spacing w:val="-16"/>
        </w:rPr>
        <w:t> </w:t>
      </w:r>
      <w:r>
        <w:rPr/>
        <w:t>increased</w:t>
      </w:r>
      <w:r>
        <w:rPr>
          <w:spacing w:val="-17"/>
        </w:rPr>
        <w:t> </w:t>
      </w:r>
      <w:r>
        <w:rPr/>
        <w:t>amount</w:t>
      </w:r>
      <w:r>
        <w:rPr>
          <w:spacing w:val="-16"/>
        </w:rPr>
        <w:t> </w:t>
      </w:r>
      <w:r>
        <w:rPr/>
        <w:t>of</w:t>
      </w:r>
      <w:r>
        <w:rPr>
          <w:spacing w:val="-17"/>
        </w:rPr>
        <w:t> </w:t>
      </w:r>
      <w:r>
        <w:rPr/>
        <w:t>protein</w:t>
      </w:r>
      <w:r>
        <w:rPr>
          <w:spacing w:val="-16"/>
        </w:rPr>
        <w:t> </w:t>
      </w:r>
      <w:r>
        <w:rPr/>
        <w:t>within</w:t>
      </w:r>
      <w:r>
        <w:rPr>
          <w:spacing w:val="-17"/>
        </w:rPr>
        <w:t> </w:t>
      </w:r>
      <w:r>
        <w:rPr/>
        <w:t>the</w:t>
      </w:r>
      <w:r>
        <w:rPr>
          <w:spacing w:val="-18"/>
        </w:rPr>
        <w:t> </w:t>
      </w:r>
      <w:r>
        <w:rPr/>
        <w:t>injured</w:t>
      </w:r>
      <w:r>
        <w:rPr>
          <w:spacing w:val="-18"/>
        </w:rPr>
        <w:t> </w:t>
      </w:r>
      <w:r>
        <w:rPr/>
        <w:t>tissue; the protein components enter the injured tissue from the damaged lymphatic and blood vessels together with the body's own fluid and form the unpleasant swelling.</w:t>
      </w:r>
      <w:r>
        <w:rPr>
          <w:spacing w:val="-24"/>
        </w:rPr>
        <w:t> </w:t>
      </w:r>
      <w:r>
        <w:rPr/>
        <w:t>Unfortunately,</w:t>
      </w:r>
      <w:r>
        <w:rPr>
          <w:spacing w:val="-25"/>
        </w:rPr>
        <w:t> </w:t>
      </w:r>
      <w:r>
        <w:rPr/>
        <w:t>this</w:t>
      </w:r>
      <w:r>
        <w:rPr>
          <w:spacing w:val="-24"/>
        </w:rPr>
        <w:t> </w:t>
      </w:r>
      <w:r>
        <w:rPr/>
        <w:t>hinders</w:t>
      </w:r>
      <w:r>
        <w:rPr>
          <w:spacing w:val="-25"/>
        </w:rPr>
        <w:t> </w:t>
      </w:r>
      <w:r>
        <w:rPr/>
        <w:t>proper</w:t>
      </w:r>
      <w:r>
        <w:rPr>
          <w:spacing w:val="-25"/>
        </w:rPr>
        <w:t> </w:t>
      </w:r>
      <w:r>
        <w:rPr/>
        <w:t>healing,</w:t>
      </w:r>
      <w:r>
        <w:rPr>
          <w:spacing w:val="-26"/>
        </w:rPr>
        <w:t> </w:t>
      </w:r>
      <w:r>
        <w:rPr/>
        <w:t>so</w:t>
      </w:r>
      <w:r>
        <w:rPr>
          <w:spacing w:val="-25"/>
        </w:rPr>
        <w:t> </w:t>
      </w:r>
      <w:r>
        <w:rPr/>
        <w:t>it</w:t>
      </w:r>
      <w:r>
        <w:rPr>
          <w:spacing w:val="-26"/>
        </w:rPr>
        <w:t> </w:t>
      </w:r>
      <w:r>
        <w:rPr/>
        <w:t>not</w:t>
      </w:r>
      <w:r>
        <w:rPr>
          <w:spacing w:val="-27"/>
        </w:rPr>
        <w:t> </w:t>
      </w:r>
      <w:r>
        <w:rPr/>
        <w:t>only</w:t>
      </w:r>
      <w:r>
        <w:rPr>
          <w:spacing w:val="-28"/>
        </w:rPr>
        <w:t> </w:t>
      </w:r>
      <w:r>
        <w:rPr/>
        <w:t>causes</w:t>
      </w:r>
      <w:r>
        <w:rPr>
          <w:spacing w:val="-24"/>
        </w:rPr>
        <w:t> </w:t>
      </w:r>
      <w:r>
        <w:rPr/>
        <w:t>painful symptoms, but also delays healing. Here, the pineapple enzyme ‘bromelain’ becomes actively involved, dissolves the protein components and prevents the swelling, thus accelerating the healing</w:t>
      </w:r>
      <w:r>
        <w:rPr>
          <w:spacing w:val="2"/>
        </w:rPr>
        <w:t> </w:t>
      </w:r>
      <w:r>
        <w:rPr/>
        <w:t>process.</w:t>
      </w:r>
    </w:p>
    <w:p>
      <w:pPr>
        <w:spacing w:after="0" w:line="276" w:lineRule="auto"/>
        <w:jc w:val="both"/>
        <w:sectPr>
          <w:pgSz w:w="14270" w:h="16850"/>
          <w:pgMar w:header="0" w:footer="1891" w:top="1600" w:bottom="2080" w:left="800" w:right="1280"/>
        </w:sectPr>
      </w:pPr>
    </w:p>
    <w:p>
      <w:pPr>
        <w:pStyle w:val="Heading1"/>
        <w:spacing w:before="164"/>
      </w:pPr>
      <w:r>
        <w:rPr>
          <w:w w:val="95"/>
        </w:rPr>
        <w:t>Effect of bromelain against inflammations of all</w:t>
      </w:r>
      <w:r>
        <w:rPr>
          <w:spacing w:val="-27"/>
          <w:w w:val="95"/>
        </w:rPr>
        <w:t> </w:t>
      </w:r>
      <w:r>
        <w:rPr>
          <w:w w:val="95"/>
        </w:rPr>
        <w:t>kinds</w:t>
      </w:r>
    </w:p>
    <w:p>
      <w:pPr>
        <w:pStyle w:val="BodyText"/>
        <w:spacing w:line="276" w:lineRule="auto" w:before="299"/>
        <w:ind w:left="477" w:right="136"/>
        <w:jc w:val="both"/>
      </w:pPr>
      <w:r>
        <w:rPr/>
        <w:t>Bromelain is able to break down fibrin, inhibit blood clotting in the affected tissue, and transport metabolic waste and toxins out of the tissues. This has a decongestant, anti-inflammatory and fever-reducing</w:t>
      </w:r>
      <w:r>
        <w:rPr>
          <w:spacing w:val="1"/>
        </w:rPr>
        <w:t> </w:t>
      </w:r>
      <w:r>
        <w:rPr/>
        <w:t>effect.</w:t>
      </w:r>
    </w:p>
    <w:p>
      <w:pPr>
        <w:pStyle w:val="Heading1"/>
        <w:rPr>
          <w:i w:val="0"/>
          <w:sz w:val="38"/>
        </w:rPr>
      </w:pPr>
      <w:r>
        <w:rPr/>
        <w:t>Effect of bromelain on burn</w:t>
      </w:r>
      <w:r>
        <w:rPr>
          <w:i w:val="0"/>
          <w:sz w:val="38"/>
        </w:rPr>
        <w:t>s</w:t>
      </w:r>
    </w:p>
    <w:p>
      <w:pPr>
        <w:pStyle w:val="BodyText"/>
        <w:spacing w:line="276" w:lineRule="auto" w:before="298"/>
        <w:ind w:left="477" w:right="137"/>
        <w:jc w:val="both"/>
      </w:pPr>
      <w:r>
        <w:rPr/>
        <w:t>Experience from doctors has shown that bromelain significantly reduces the mortality rate of third-degree burns. Burnt tissue regenerates faster, the risk of sepsis is reduced, and healing is quicker.</w:t>
      </w:r>
    </w:p>
    <w:p>
      <w:pPr>
        <w:pStyle w:val="Heading1"/>
      </w:pPr>
      <w:r>
        <w:rPr/>
        <w:t>Effect of bromelain on sinusitis</w:t>
      </w:r>
    </w:p>
    <w:p>
      <w:pPr>
        <w:pStyle w:val="BodyText"/>
        <w:spacing w:line="276" w:lineRule="auto" w:before="299"/>
        <w:ind w:left="477" w:right="131"/>
        <w:jc w:val="both"/>
      </w:pPr>
      <w:r>
        <w:rPr/>
        <w:t>Even in the case of sinusitis, the fact that bromelain prevents the formation of the</w:t>
      </w:r>
      <w:r>
        <w:rPr>
          <w:spacing w:val="-8"/>
        </w:rPr>
        <w:t> </w:t>
      </w:r>
      <w:r>
        <w:rPr/>
        <w:t>pro-inflammatory</w:t>
      </w:r>
      <w:r>
        <w:rPr>
          <w:spacing w:val="-9"/>
        </w:rPr>
        <w:t> </w:t>
      </w:r>
      <w:r>
        <w:rPr/>
        <w:t>prostaglandin</w:t>
      </w:r>
      <w:r>
        <w:rPr>
          <w:spacing w:val="-11"/>
        </w:rPr>
        <w:t> </w:t>
      </w:r>
      <w:r>
        <w:rPr/>
        <w:t>‘thromboxane’</w:t>
      </w:r>
      <w:r>
        <w:rPr>
          <w:spacing w:val="-9"/>
        </w:rPr>
        <w:t> </w:t>
      </w:r>
      <w:r>
        <w:rPr/>
        <w:t>is</w:t>
      </w:r>
      <w:r>
        <w:rPr>
          <w:spacing w:val="-9"/>
        </w:rPr>
        <w:t> </w:t>
      </w:r>
      <w:r>
        <w:rPr/>
        <w:t>the</w:t>
      </w:r>
      <w:r>
        <w:rPr>
          <w:spacing w:val="-8"/>
        </w:rPr>
        <w:t> </w:t>
      </w:r>
      <w:r>
        <w:rPr/>
        <w:t>factor</w:t>
      </w:r>
      <w:r>
        <w:rPr>
          <w:spacing w:val="-12"/>
        </w:rPr>
        <w:t> </w:t>
      </w:r>
      <w:r>
        <w:rPr/>
        <w:t>which</w:t>
      </w:r>
      <w:r>
        <w:rPr>
          <w:spacing w:val="-8"/>
        </w:rPr>
        <w:t> </w:t>
      </w:r>
      <w:r>
        <w:rPr/>
        <w:t>can</w:t>
      </w:r>
      <w:r>
        <w:rPr>
          <w:spacing w:val="-8"/>
        </w:rPr>
        <w:t> </w:t>
      </w:r>
      <w:r>
        <w:rPr/>
        <w:t>alle- viate and cure</w:t>
      </w:r>
      <w:r>
        <w:rPr>
          <w:spacing w:val="2"/>
        </w:rPr>
        <w:t> </w:t>
      </w:r>
      <w:r>
        <w:rPr/>
        <w:t>sinusitis.</w:t>
      </w:r>
    </w:p>
    <w:p>
      <w:pPr>
        <w:pStyle w:val="Heading1"/>
        <w:spacing w:before="222"/>
      </w:pPr>
      <w:r>
        <w:rPr/>
        <w:t>Effect of bromelain on indigestion</w:t>
      </w:r>
    </w:p>
    <w:p>
      <w:pPr>
        <w:pStyle w:val="BodyText"/>
        <w:spacing w:line="276" w:lineRule="auto" w:before="299"/>
        <w:ind w:left="477"/>
      </w:pPr>
      <w:r>
        <w:rPr/>
        <w:t>Bromelain breaks down food components and thus relieves the strain on the digestive organs.</w:t>
      </w:r>
    </w:p>
    <w:p>
      <w:pPr>
        <w:pStyle w:val="Heading1"/>
        <w:spacing w:before="223"/>
      </w:pPr>
      <w:r>
        <w:rPr/>
        <w:t>Effect of bromelain against intestinal parasites/worms</w:t>
      </w:r>
    </w:p>
    <w:p>
      <w:pPr>
        <w:pStyle w:val="BodyText"/>
        <w:spacing w:line="276" w:lineRule="auto" w:before="300"/>
        <w:ind w:left="477"/>
      </w:pPr>
      <w:r>
        <w:rPr/>
        <w:t>In the past, humans always resorted to the proven natural remedy pineapple when they were attacked by intestinal parasites. The proteolytic enzymes</w:t>
      </w:r>
      <w:r>
        <w:rPr>
          <w:spacing w:val="-67"/>
        </w:rPr>
        <w:t> </w:t>
      </w:r>
      <w:r>
        <w:rPr/>
        <w:t>attack</w:t>
      </w:r>
    </w:p>
    <w:p>
      <w:pPr>
        <w:spacing w:after="0" w:line="276" w:lineRule="auto"/>
        <w:sectPr>
          <w:footerReference w:type="default" r:id="rId29"/>
          <w:pgSz w:w="14270" w:h="16850"/>
          <w:pgMar w:footer="1891" w:header="0" w:top="1600" w:bottom="2080" w:left="800" w:right="1280"/>
          <w:pgNumType w:start="160"/>
        </w:sectPr>
      </w:pPr>
    </w:p>
    <w:p>
      <w:pPr>
        <w:pStyle w:val="BodyText"/>
        <w:spacing w:line="276" w:lineRule="auto" w:before="181"/>
        <w:ind w:left="477" w:right="137"/>
        <w:jc w:val="both"/>
      </w:pPr>
      <w:r>
        <w:rPr/>
        <w:t>the</w:t>
      </w:r>
      <w:r>
        <w:rPr>
          <w:spacing w:val="-9"/>
        </w:rPr>
        <w:t> </w:t>
      </w:r>
      <w:r>
        <w:rPr/>
        <w:t>parasites</w:t>
      </w:r>
      <w:r>
        <w:rPr>
          <w:spacing w:val="-12"/>
        </w:rPr>
        <w:t> </w:t>
      </w:r>
      <w:r>
        <w:rPr/>
        <w:t>in</w:t>
      </w:r>
      <w:r>
        <w:rPr>
          <w:spacing w:val="-9"/>
        </w:rPr>
        <w:t> </w:t>
      </w:r>
      <w:r>
        <w:rPr/>
        <w:t>the</w:t>
      </w:r>
      <w:r>
        <w:rPr>
          <w:spacing w:val="-10"/>
        </w:rPr>
        <w:t> </w:t>
      </w:r>
      <w:r>
        <w:rPr/>
        <w:t>gut</w:t>
      </w:r>
      <w:r>
        <w:rPr>
          <w:spacing w:val="-11"/>
        </w:rPr>
        <w:t> </w:t>
      </w:r>
      <w:r>
        <w:rPr/>
        <w:t>and</w:t>
      </w:r>
      <w:r>
        <w:rPr>
          <w:spacing w:val="-12"/>
        </w:rPr>
        <w:t> </w:t>
      </w:r>
      <w:r>
        <w:rPr/>
        <w:t>dissolve</w:t>
      </w:r>
      <w:r>
        <w:rPr>
          <w:spacing w:val="-11"/>
        </w:rPr>
        <w:t> </w:t>
      </w:r>
      <w:r>
        <w:rPr/>
        <w:t>them;</w:t>
      </w:r>
      <w:r>
        <w:rPr>
          <w:spacing w:val="-11"/>
        </w:rPr>
        <w:t> </w:t>
      </w:r>
      <w:r>
        <w:rPr/>
        <w:t>the</w:t>
      </w:r>
      <w:r>
        <w:rPr>
          <w:spacing w:val="-12"/>
        </w:rPr>
        <w:t> </w:t>
      </w:r>
      <w:r>
        <w:rPr/>
        <w:t>remaining</w:t>
      </w:r>
      <w:r>
        <w:rPr>
          <w:spacing w:val="-10"/>
        </w:rPr>
        <w:t> </w:t>
      </w:r>
      <w:r>
        <w:rPr/>
        <w:t>components</w:t>
      </w:r>
      <w:r>
        <w:rPr>
          <w:spacing w:val="-9"/>
        </w:rPr>
        <w:t> </w:t>
      </w:r>
      <w:r>
        <w:rPr/>
        <w:t>are</w:t>
      </w:r>
      <w:r>
        <w:rPr>
          <w:spacing w:val="-12"/>
        </w:rPr>
        <w:t> </w:t>
      </w:r>
      <w:r>
        <w:rPr/>
        <w:t>trans- ported out of the body. Just the presence of bromelain in the body makes worms retreat.</w:t>
      </w:r>
    </w:p>
    <w:p>
      <w:pPr>
        <w:pStyle w:val="BodyText"/>
        <w:rPr>
          <w:sz w:val="42"/>
        </w:rPr>
      </w:pPr>
    </w:p>
    <w:p>
      <w:pPr>
        <w:pStyle w:val="BodyText"/>
        <w:rPr>
          <w:sz w:val="43"/>
        </w:rPr>
      </w:pPr>
    </w:p>
    <w:p>
      <w:pPr>
        <w:pStyle w:val="Heading1"/>
        <w:spacing w:before="0"/>
      </w:pPr>
      <w:r>
        <w:rPr/>
        <w:t>Effect of bromelain on flatulence</w:t>
      </w:r>
    </w:p>
    <w:p>
      <w:pPr>
        <w:pStyle w:val="BodyText"/>
        <w:spacing w:line="276" w:lineRule="auto" w:before="297"/>
        <w:ind w:left="477"/>
      </w:pPr>
      <w:r>
        <w:rPr/>
        <w:t>Flatulence can occur after a heavy meal; bromelain can prevent it beforehand when taken immediately after a meal rich in protein and fat.</w:t>
      </w:r>
    </w:p>
    <w:p>
      <w:pPr>
        <w:pStyle w:val="Heading1"/>
      </w:pPr>
      <w:r>
        <w:rPr/>
        <w:t>Effect of bromelain on bloating and constipation</w:t>
      </w:r>
    </w:p>
    <w:p>
      <w:pPr>
        <w:pStyle w:val="BodyText"/>
        <w:spacing w:line="276" w:lineRule="auto" w:before="299"/>
        <w:ind w:left="477"/>
      </w:pPr>
      <w:r>
        <w:rPr/>
        <w:t>A bromelain capsule, taken immediately after a meal, can work wonders and counteract the two unpleasant conditions of bloating and constipation.</w:t>
      </w:r>
    </w:p>
    <w:p>
      <w:pPr>
        <w:pStyle w:val="Heading1"/>
      </w:pPr>
      <w:r>
        <w:rPr/>
        <w:t>Effect of bromelain/pineapple on weight</w:t>
      </w:r>
      <w:r>
        <w:rPr>
          <w:spacing w:val="-66"/>
        </w:rPr>
        <w:t> </w:t>
      </w:r>
      <w:r>
        <w:rPr/>
        <w:t>loss</w:t>
      </w:r>
    </w:p>
    <w:p>
      <w:pPr>
        <w:pStyle w:val="BodyText"/>
        <w:spacing w:line="276" w:lineRule="auto" w:before="297"/>
        <w:ind w:left="477" w:right="134"/>
        <w:jc w:val="both"/>
      </w:pPr>
      <w:r>
        <w:rPr/>
        <w:t>Bromelain’s ability to break down protein supports digestion and is perfect for weight control. Food is used more efficiently, the body requires fewer calories, and more fats are burned. In addition, tissue water is eliminated and the body is</w:t>
      </w:r>
      <w:r>
        <w:rPr>
          <w:spacing w:val="-8"/>
        </w:rPr>
        <w:t> </w:t>
      </w:r>
      <w:r>
        <w:rPr/>
        <w:t>detoxified</w:t>
      </w:r>
      <w:r>
        <w:rPr>
          <w:spacing w:val="-8"/>
        </w:rPr>
        <w:t> </w:t>
      </w:r>
      <w:r>
        <w:rPr/>
        <w:t>in</w:t>
      </w:r>
      <w:r>
        <w:rPr>
          <w:spacing w:val="-7"/>
        </w:rPr>
        <w:t> </w:t>
      </w:r>
      <w:r>
        <w:rPr/>
        <w:t>a</w:t>
      </w:r>
      <w:r>
        <w:rPr>
          <w:spacing w:val="-8"/>
        </w:rPr>
        <w:t> </w:t>
      </w:r>
      <w:r>
        <w:rPr/>
        <w:t>healthy</w:t>
      </w:r>
      <w:r>
        <w:rPr>
          <w:spacing w:val="-8"/>
        </w:rPr>
        <w:t> </w:t>
      </w:r>
      <w:r>
        <w:rPr/>
        <w:t>way.</w:t>
      </w:r>
      <w:r>
        <w:rPr>
          <w:spacing w:val="-6"/>
        </w:rPr>
        <w:t> </w:t>
      </w:r>
      <w:r>
        <w:rPr/>
        <w:t>After</w:t>
      </w:r>
      <w:r>
        <w:rPr>
          <w:spacing w:val="-7"/>
        </w:rPr>
        <w:t> </w:t>
      </w:r>
      <w:r>
        <w:rPr/>
        <w:t>attacks</w:t>
      </w:r>
      <w:r>
        <w:rPr>
          <w:spacing w:val="-6"/>
        </w:rPr>
        <w:t> </w:t>
      </w:r>
      <w:r>
        <w:rPr/>
        <w:t>of</w:t>
      </w:r>
      <w:r>
        <w:rPr>
          <w:spacing w:val="-8"/>
        </w:rPr>
        <w:t> </w:t>
      </w:r>
      <w:r>
        <w:rPr/>
        <w:t>gluttony,</w:t>
      </w:r>
      <w:r>
        <w:rPr>
          <w:spacing w:val="-6"/>
        </w:rPr>
        <w:t> </w:t>
      </w:r>
      <w:r>
        <w:rPr/>
        <w:t>taking</w:t>
      </w:r>
      <w:r>
        <w:rPr>
          <w:spacing w:val="-7"/>
        </w:rPr>
        <w:t> </w:t>
      </w:r>
      <w:r>
        <w:rPr/>
        <w:t>bromelain</w:t>
      </w:r>
      <w:r>
        <w:rPr>
          <w:spacing w:val="-7"/>
        </w:rPr>
        <w:t> </w:t>
      </w:r>
      <w:r>
        <w:rPr/>
        <w:t>is</w:t>
      </w:r>
      <w:r>
        <w:rPr>
          <w:spacing w:val="-8"/>
        </w:rPr>
        <w:t> </w:t>
      </w:r>
      <w:r>
        <w:rPr/>
        <w:t>rec- ommended to stimulate the digestive juices. A complete detox day, consisting of fresh pineapple, can retroactively compensate for the resulting weight gain after sinful</w:t>
      </w:r>
      <w:r>
        <w:rPr>
          <w:spacing w:val="-2"/>
        </w:rPr>
        <w:t> </w:t>
      </w:r>
      <w:r>
        <w:rPr/>
        <w:t>days.</w:t>
      </w:r>
    </w:p>
    <w:p>
      <w:pPr>
        <w:pStyle w:val="Heading1"/>
        <w:jc w:val="both"/>
      </w:pPr>
      <w:r>
        <w:rPr/>
        <w:t>Effect of pineapple against dementia</w:t>
      </w:r>
    </w:p>
    <w:p>
      <w:pPr>
        <w:spacing w:after="0"/>
        <w:jc w:val="both"/>
        <w:sectPr>
          <w:pgSz w:w="14270" w:h="16850"/>
          <w:pgMar w:header="0" w:footer="1891" w:top="1600" w:bottom="2080" w:left="800" w:right="1280"/>
        </w:sectPr>
      </w:pPr>
    </w:p>
    <w:p>
      <w:pPr>
        <w:pStyle w:val="BodyText"/>
        <w:spacing w:line="276" w:lineRule="auto" w:before="181"/>
        <w:ind w:left="477" w:right="143"/>
        <w:jc w:val="both"/>
      </w:pPr>
      <w:r>
        <w:rPr/>
        <w:t>The niacin contained in pineapple improves cerebral circulation and thus acts against forgetfulness/dementia.</w:t>
      </w:r>
    </w:p>
    <w:p>
      <w:pPr>
        <w:pStyle w:val="BodyText"/>
        <w:rPr>
          <w:sz w:val="42"/>
        </w:rPr>
      </w:pPr>
    </w:p>
    <w:p>
      <w:pPr>
        <w:pStyle w:val="BodyText"/>
        <w:spacing w:before="11"/>
        <w:rPr>
          <w:sz w:val="42"/>
        </w:rPr>
      </w:pPr>
    </w:p>
    <w:p>
      <w:pPr>
        <w:pStyle w:val="Heading1"/>
        <w:spacing w:before="0"/>
      </w:pPr>
      <w:r>
        <w:rPr/>
        <w:t>Pineapple’s effect against depression</w:t>
      </w:r>
    </w:p>
    <w:p>
      <w:pPr>
        <w:pStyle w:val="BodyText"/>
        <w:spacing w:line="276" w:lineRule="auto" w:before="299"/>
        <w:ind w:left="477" w:right="129"/>
        <w:jc w:val="both"/>
      </w:pPr>
      <w:r>
        <w:rPr/>
        <w:t>Pineapple</w:t>
      </w:r>
      <w:r>
        <w:rPr>
          <w:spacing w:val="-11"/>
        </w:rPr>
        <w:t> </w:t>
      </w:r>
      <w:r>
        <w:rPr/>
        <w:t>contains</w:t>
      </w:r>
      <w:r>
        <w:rPr>
          <w:spacing w:val="-11"/>
        </w:rPr>
        <w:t> </w:t>
      </w:r>
      <w:r>
        <w:rPr/>
        <w:t>a</w:t>
      </w:r>
      <w:r>
        <w:rPr>
          <w:spacing w:val="-13"/>
        </w:rPr>
        <w:t> </w:t>
      </w:r>
      <w:r>
        <w:rPr/>
        <w:t>lot</w:t>
      </w:r>
      <w:r>
        <w:rPr>
          <w:spacing w:val="-12"/>
        </w:rPr>
        <w:t> </w:t>
      </w:r>
      <w:r>
        <w:rPr/>
        <w:t>of</w:t>
      </w:r>
      <w:r>
        <w:rPr>
          <w:spacing w:val="-11"/>
        </w:rPr>
        <w:t> </w:t>
      </w:r>
      <w:r>
        <w:rPr/>
        <w:t>niacin,</w:t>
      </w:r>
      <w:r>
        <w:rPr>
          <w:spacing w:val="-11"/>
        </w:rPr>
        <w:t> </w:t>
      </w:r>
      <w:r>
        <w:rPr/>
        <w:t>a</w:t>
      </w:r>
      <w:r>
        <w:rPr>
          <w:spacing w:val="-13"/>
        </w:rPr>
        <w:t> </w:t>
      </w:r>
      <w:r>
        <w:rPr/>
        <w:t>vital</w:t>
      </w:r>
      <w:r>
        <w:rPr>
          <w:spacing w:val="-12"/>
        </w:rPr>
        <w:t> </w:t>
      </w:r>
      <w:r>
        <w:rPr/>
        <w:t>substance,</w:t>
      </w:r>
      <w:r>
        <w:rPr>
          <w:spacing w:val="-10"/>
        </w:rPr>
        <w:t> </w:t>
      </w:r>
      <w:r>
        <w:rPr/>
        <w:t>which</w:t>
      </w:r>
      <w:r>
        <w:rPr>
          <w:spacing w:val="-10"/>
        </w:rPr>
        <w:t> </w:t>
      </w:r>
      <w:r>
        <w:rPr/>
        <w:t>is</w:t>
      </w:r>
      <w:r>
        <w:rPr>
          <w:spacing w:val="-12"/>
        </w:rPr>
        <w:t> </w:t>
      </w:r>
      <w:r>
        <w:rPr/>
        <w:t>known</w:t>
      </w:r>
      <w:r>
        <w:rPr>
          <w:spacing w:val="-11"/>
        </w:rPr>
        <w:t> </w:t>
      </w:r>
      <w:r>
        <w:rPr/>
        <w:t>to</w:t>
      </w:r>
      <w:r>
        <w:rPr>
          <w:spacing w:val="-11"/>
        </w:rPr>
        <w:t> </w:t>
      </w:r>
      <w:r>
        <w:rPr/>
        <w:t>counter- act depression, as it is a precursor to the ‘happiness messenger’ serotonin. This effect</w:t>
      </w:r>
      <w:r>
        <w:rPr>
          <w:spacing w:val="-9"/>
        </w:rPr>
        <w:t> </w:t>
      </w:r>
      <w:r>
        <w:rPr/>
        <w:t>is</w:t>
      </w:r>
      <w:r>
        <w:rPr>
          <w:spacing w:val="-9"/>
        </w:rPr>
        <w:t> </w:t>
      </w:r>
      <w:r>
        <w:rPr/>
        <w:t>enhanced</w:t>
      </w:r>
      <w:r>
        <w:rPr>
          <w:spacing w:val="-10"/>
        </w:rPr>
        <w:t> </w:t>
      </w:r>
      <w:r>
        <w:rPr/>
        <w:t>by</w:t>
      </w:r>
      <w:r>
        <w:rPr>
          <w:spacing w:val="-9"/>
        </w:rPr>
        <w:t> </w:t>
      </w:r>
      <w:r>
        <w:rPr/>
        <w:t>the</w:t>
      </w:r>
      <w:r>
        <w:rPr>
          <w:spacing w:val="-10"/>
        </w:rPr>
        <w:t> </w:t>
      </w:r>
      <w:r>
        <w:rPr/>
        <w:t>vitamin</w:t>
      </w:r>
      <w:r>
        <w:rPr>
          <w:spacing w:val="-9"/>
        </w:rPr>
        <w:t> </w:t>
      </w:r>
      <w:r>
        <w:rPr/>
        <w:t>B12</w:t>
      </w:r>
      <w:r>
        <w:rPr>
          <w:spacing w:val="-10"/>
        </w:rPr>
        <w:t> </w:t>
      </w:r>
      <w:r>
        <w:rPr/>
        <w:t>and</w:t>
      </w:r>
      <w:r>
        <w:rPr>
          <w:spacing w:val="-9"/>
        </w:rPr>
        <w:t> </w:t>
      </w:r>
      <w:r>
        <w:rPr/>
        <w:t>vanillin</w:t>
      </w:r>
      <w:r>
        <w:rPr>
          <w:spacing w:val="-7"/>
        </w:rPr>
        <w:t> </w:t>
      </w:r>
      <w:r>
        <w:rPr/>
        <w:t>also</w:t>
      </w:r>
      <w:r>
        <w:rPr>
          <w:spacing w:val="-9"/>
        </w:rPr>
        <w:t> </w:t>
      </w:r>
      <w:r>
        <w:rPr/>
        <w:t>contained</w:t>
      </w:r>
      <w:r>
        <w:rPr>
          <w:spacing w:val="-9"/>
        </w:rPr>
        <w:t> </w:t>
      </w:r>
      <w:r>
        <w:rPr/>
        <w:t>in</w:t>
      </w:r>
      <w:r>
        <w:rPr>
          <w:spacing w:val="-9"/>
        </w:rPr>
        <w:t> </w:t>
      </w:r>
      <w:r>
        <w:rPr/>
        <w:t>the</w:t>
      </w:r>
      <w:r>
        <w:rPr>
          <w:spacing w:val="-10"/>
        </w:rPr>
        <w:t> </w:t>
      </w:r>
      <w:r>
        <w:rPr/>
        <w:t>pineap- ple.</w:t>
      </w:r>
    </w:p>
    <w:p>
      <w:pPr>
        <w:pStyle w:val="Heading1"/>
        <w:spacing w:before="223"/>
      </w:pPr>
      <w:r>
        <w:rPr/>
        <w:t>Effect of pineapple against cold and</w:t>
      </w:r>
      <w:r>
        <w:rPr>
          <w:spacing w:val="-61"/>
        </w:rPr>
        <w:t> </w:t>
      </w:r>
      <w:r>
        <w:rPr/>
        <w:t>flu</w:t>
      </w:r>
    </w:p>
    <w:p>
      <w:pPr>
        <w:pStyle w:val="BodyText"/>
        <w:spacing w:line="276" w:lineRule="auto" w:before="299"/>
        <w:ind w:left="477" w:right="136"/>
        <w:jc w:val="both"/>
      </w:pPr>
      <w:r>
        <w:rPr/>
        <w:t>As already mentioned, pineapple not only fights fungi and bacteria, but also viruses – even flu viruses! The immune-strengthening effect, along with vital substances such as vitamin C, intensifies this effect.</w:t>
      </w:r>
    </w:p>
    <w:p>
      <w:pPr>
        <w:pStyle w:val="Heading1"/>
        <w:spacing w:before="222"/>
      </w:pPr>
      <w:r>
        <w:rPr/>
        <w:t>Pineapple’s effect against premature ageing</w:t>
      </w:r>
    </w:p>
    <w:p>
      <w:pPr>
        <w:pStyle w:val="BodyText"/>
        <w:spacing w:line="276" w:lineRule="auto" w:before="299"/>
        <w:ind w:left="477" w:right="134"/>
        <w:jc w:val="both"/>
      </w:pPr>
      <w:r>
        <w:rPr/>
        <w:t>From the age of 35, the enzyme production in our bodies falls, which, among other things, heralds the biological ageing of our body. Pineapple enzymes can remedy this by preventing (even reversing) arterial calcification, keeping our blood fluid, strengthening our immune system, and ridding the intestines of waste products.</w:t>
      </w:r>
    </w:p>
    <w:p>
      <w:pPr>
        <w:pStyle w:val="Heading1"/>
        <w:spacing w:before="223"/>
        <w:jc w:val="both"/>
      </w:pPr>
      <w:r>
        <w:rPr/>
        <w:t>Effect of pineapple on infertility</w:t>
      </w:r>
    </w:p>
    <w:p>
      <w:pPr>
        <w:spacing w:after="0"/>
        <w:jc w:val="both"/>
        <w:sectPr>
          <w:pgSz w:w="14270" w:h="16850"/>
          <w:pgMar w:header="0" w:footer="1891" w:top="1600" w:bottom="2080" w:left="800" w:right="1280"/>
        </w:sectPr>
      </w:pPr>
    </w:p>
    <w:p>
      <w:pPr>
        <w:pStyle w:val="BodyText"/>
        <w:spacing w:line="276" w:lineRule="auto" w:before="181"/>
        <w:ind w:left="477" w:right="139"/>
        <w:jc w:val="both"/>
      </w:pPr>
      <w:r>
        <w:rPr/>
        <w:t>Pineapple, like papaya, has an invigorating effect on both the female and male reproductive organs in that it revitalises all glands, including those responsible for reproduction.</w:t>
      </w:r>
    </w:p>
    <w:p>
      <w:pPr>
        <w:pStyle w:val="BodyText"/>
        <w:rPr>
          <w:sz w:val="42"/>
        </w:rPr>
      </w:pPr>
    </w:p>
    <w:p>
      <w:pPr>
        <w:pStyle w:val="BodyText"/>
        <w:rPr>
          <w:sz w:val="43"/>
        </w:rPr>
      </w:pPr>
    </w:p>
    <w:p>
      <w:pPr>
        <w:pStyle w:val="Heading1"/>
        <w:spacing w:before="0"/>
        <w:jc w:val="both"/>
      </w:pPr>
      <w:r>
        <w:rPr/>
        <w:t>Effect of pineapple on impotence</w:t>
      </w:r>
    </w:p>
    <w:p>
      <w:pPr>
        <w:pStyle w:val="BodyText"/>
        <w:spacing w:line="276" w:lineRule="auto" w:before="297"/>
        <w:ind w:left="477" w:right="134"/>
        <w:jc w:val="both"/>
      </w:pPr>
      <w:r>
        <w:rPr/>
        <w:t>In addition to the gland-stimulating effect, pineapple contains vitamin A and minerals such as magnesium, manganese, selenium, iodine and zinc, vital sub- stances which are recommended for impotence because they strengthen the male libido.</w:t>
      </w:r>
    </w:p>
    <w:p>
      <w:pPr>
        <w:pStyle w:val="Heading1"/>
        <w:spacing w:before="225"/>
        <w:jc w:val="both"/>
      </w:pPr>
      <w:r>
        <w:rPr/>
        <w:t>Effect of pineapple (bromelain) on</w:t>
      </w:r>
      <w:r>
        <w:rPr>
          <w:spacing w:val="-60"/>
        </w:rPr>
        <w:t> </w:t>
      </w:r>
      <w:r>
        <w:rPr/>
        <w:t>cancer</w:t>
      </w:r>
    </w:p>
    <w:p>
      <w:pPr>
        <w:pStyle w:val="BodyText"/>
        <w:spacing w:line="276" w:lineRule="auto" w:before="299"/>
        <w:ind w:left="477" w:right="132"/>
        <w:jc w:val="both"/>
      </w:pPr>
      <w:r>
        <w:rPr/>
        <w:t>Similar</w:t>
      </w:r>
      <w:r>
        <w:rPr>
          <w:spacing w:val="-13"/>
        </w:rPr>
        <w:t> </w:t>
      </w:r>
      <w:r>
        <w:rPr/>
        <w:t>to</w:t>
      </w:r>
      <w:r>
        <w:rPr>
          <w:spacing w:val="-11"/>
        </w:rPr>
        <w:t> </w:t>
      </w:r>
      <w:r>
        <w:rPr/>
        <w:t>papaya</w:t>
      </w:r>
      <w:r>
        <w:rPr>
          <w:spacing w:val="-13"/>
        </w:rPr>
        <w:t> </w:t>
      </w:r>
      <w:r>
        <w:rPr/>
        <w:t>and</w:t>
      </w:r>
      <w:r>
        <w:rPr>
          <w:spacing w:val="-12"/>
        </w:rPr>
        <w:t> </w:t>
      </w:r>
      <w:r>
        <w:rPr/>
        <w:t>its</w:t>
      </w:r>
      <w:r>
        <w:rPr>
          <w:spacing w:val="-12"/>
        </w:rPr>
        <w:t> </w:t>
      </w:r>
      <w:r>
        <w:rPr/>
        <w:t>enzyme</w:t>
      </w:r>
      <w:r>
        <w:rPr>
          <w:spacing w:val="-12"/>
        </w:rPr>
        <w:t> </w:t>
      </w:r>
      <w:r>
        <w:rPr/>
        <w:t>‘papain’,</w:t>
      </w:r>
      <w:r>
        <w:rPr>
          <w:spacing w:val="-13"/>
        </w:rPr>
        <w:t> </w:t>
      </w:r>
      <w:r>
        <w:rPr/>
        <w:t>pineapple</w:t>
      </w:r>
      <w:r>
        <w:rPr>
          <w:spacing w:val="-12"/>
        </w:rPr>
        <w:t> </w:t>
      </w:r>
      <w:r>
        <w:rPr/>
        <w:t>and</w:t>
      </w:r>
      <w:r>
        <w:rPr>
          <w:spacing w:val="-11"/>
        </w:rPr>
        <w:t> </w:t>
      </w:r>
      <w:r>
        <w:rPr/>
        <w:t>its</w:t>
      </w:r>
      <w:r>
        <w:rPr>
          <w:spacing w:val="-12"/>
        </w:rPr>
        <w:t> </w:t>
      </w:r>
      <w:r>
        <w:rPr/>
        <w:t>enzyme</w:t>
      </w:r>
      <w:r>
        <w:rPr>
          <w:spacing w:val="-10"/>
        </w:rPr>
        <w:t> </w:t>
      </w:r>
      <w:r>
        <w:rPr/>
        <w:t>‘bromelain’ have</w:t>
      </w:r>
      <w:r>
        <w:rPr>
          <w:spacing w:val="-19"/>
        </w:rPr>
        <w:t> </w:t>
      </w:r>
      <w:r>
        <w:rPr/>
        <w:t>been</w:t>
      </w:r>
      <w:r>
        <w:rPr>
          <w:spacing w:val="-18"/>
        </w:rPr>
        <w:t> </w:t>
      </w:r>
      <w:r>
        <w:rPr/>
        <w:t>shown</w:t>
      </w:r>
      <w:r>
        <w:rPr>
          <w:spacing w:val="-15"/>
        </w:rPr>
        <w:t> </w:t>
      </w:r>
      <w:r>
        <w:rPr/>
        <w:t>to</w:t>
      </w:r>
      <w:r>
        <w:rPr>
          <w:spacing w:val="-18"/>
        </w:rPr>
        <w:t> </w:t>
      </w:r>
      <w:r>
        <w:rPr/>
        <w:t>have</w:t>
      </w:r>
      <w:r>
        <w:rPr>
          <w:spacing w:val="-19"/>
        </w:rPr>
        <w:t> </w:t>
      </w:r>
      <w:r>
        <w:rPr/>
        <w:t>a</w:t>
      </w:r>
      <w:r>
        <w:rPr>
          <w:spacing w:val="-19"/>
        </w:rPr>
        <w:t> </w:t>
      </w:r>
      <w:r>
        <w:rPr/>
        <w:t>positive</w:t>
      </w:r>
      <w:r>
        <w:rPr>
          <w:spacing w:val="-19"/>
        </w:rPr>
        <w:t> </w:t>
      </w:r>
      <w:r>
        <w:rPr/>
        <w:t>effect</w:t>
      </w:r>
      <w:r>
        <w:rPr>
          <w:spacing w:val="-17"/>
        </w:rPr>
        <w:t> </w:t>
      </w:r>
      <w:r>
        <w:rPr/>
        <w:t>on</w:t>
      </w:r>
      <w:r>
        <w:rPr>
          <w:spacing w:val="-18"/>
        </w:rPr>
        <w:t> </w:t>
      </w:r>
      <w:r>
        <w:rPr/>
        <w:t>cancer</w:t>
      </w:r>
      <w:r>
        <w:rPr>
          <w:spacing w:val="-18"/>
        </w:rPr>
        <w:t> </w:t>
      </w:r>
      <w:r>
        <w:rPr/>
        <w:t>in</w:t>
      </w:r>
      <w:r>
        <w:rPr>
          <w:spacing w:val="-18"/>
        </w:rPr>
        <w:t> </w:t>
      </w:r>
      <w:r>
        <w:rPr/>
        <w:t>many</w:t>
      </w:r>
      <w:r>
        <w:rPr>
          <w:spacing w:val="-18"/>
        </w:rPr>
        <w:t> </w:t>
      </w:r>
      <w:r>
        <w:rPr/>
        <w:t>studies</w:t>
      </w:r>
      <w:r>
        <w:rPr>
          <w:spacing w:val="-18"/>
        </w:rPr>
        <w:t> </w:t>
      </w:r>
      <w:r>
        <w:rPr/>
        <w:t>and</w:t>
      </w:r>
      <w:r>
        <w:rPr>
          <w:spacing w:val="-19"/>
        </w:rPr>
        <w:t> </w:t>
      </w:r>
      <w:r>
        <w:rPr/>
        <w:t>patient experiences. Bromelain increases the tumour necrosis factor, T-cell activation and disturbs the cell cycle of the cancer</w:t>
      </w:r>
      <w:r>
        <w:rPr>
          <w:spacing w:val="5"/>
        </w:rPr>
        <w:t> </w:t>
      </w:r>
      <w:r>
        <w:rPr/>
        <w:t>cell.</w:t>
      </w:r>
    </w:p>
    <w:p>
      <w:pPr>
        <w:pStyle w:val="BodyText"/>
        <w:spacing w:line="276" w:lineRule="auto" w:before="239"/>
        <w:ind w:left="477" w:right="135"/>
        <w:jc w:val="both"/>
      </w:pPr>
      <w:r>
        <w:rPr/>
        <w:t>Like papaya, pineapple and its leaves have been used by the Indians of Central and South America for the treatment of cancer for hundreds of years. Numer- ous reports from people who had been abandoned by conventional medicine and were able to recover from cancer thanks to high doses of bromelain prove its importance in alternative cancer therapy.</w:t>
      </w:r>
    </w:p>
    <w:p>
      <w:pPr>
        <w:pStyle w:val="BodyText"/>
        <w:spacing w:before="241"/>
        <w:ind w:left="477"/>
        <w:jc w:val="both"/>
      </w:pPr>
      <w:r>
        <w:rPr/>
        <w:t>But how does bromelain work against cancer?</w:t>
      </w:r>
    </w:p>
    <w:p>
      <w:pPr>
        <w:spacing w:after="0"/>
        <w:jc w:val="both"/>
        <w:sectPr>
          <w:pgSz w:w="14270" w:h="16850"/>
          <w:pgMar w:header="0" w:footer="1891" w:top="1600" w:bottom="2080" w:left="800" w:right="1280"/>
        </w:sectPr>
      </w:pPr>
    </w:p>
    <w:p>
      <w:pPr>
        <w:pStyle w:val="Heading1"/>
        <w:spacing w:line="261" w:lineRule="auto" w:before="164"/>
      </w:pPr>
      <w:r>
        <w:rPr>
          <w:w w:val="95"/>
        </w:rPr>
        <w:t>Bromelain inhibits the growth of lung cancer, lymphoma and</w:t>
      </w:r>
      <w:r>
        <w:rPr>
          <w:spacing w:val="-54"/>
          <w:w w:val="95"/>
        </w:rPr>
        <w:t> </w:t>
      </w:r>
      <w:r>
        <w:rPr>
          <w:w w:val="95"/>
        </w:rPr>
        <w:t>leukaemia </w:t>
      </w:r>
      <w:r>
        <w:rPr/>
        <w:t>by at least 80 % in laboratory</w:t>
      </w:r>
      <w:r>
        <w:rPr>
          <w:spacing w:val="-59"/>
        </w:rPr>
        <w:t> </w:t>
      </w:r>
      <w:r>
        <w:rPr/>
        <w:t>tests</w:t>
      </w:r>
    </w:p>
    <w:p>
      <w:pPr>
        <w:pStyle w:val="BodyText"/>
        <w:spacing w:line="276" w:lineRule="auto" w:before="260"/>
        <w:ind w:left="477" w:right="244"/>
        <w:rPr>
          <w:sz w:val="25"/>
        </w:rPr>
      </w:pPr>
      <w:r>
        <w:rPr/>
        <w:t>During in vitro tests, bromelain has been proven to inhibit cancer cell growth in leukaemia, lung and lymphoma cancer by at least 80 %.</w:t>
      </w:r>
      <w:r>
        <w:rPr>
          <w:position w:val="9"/>
          <w:sz w:val="25"/>
        </w:rPr>
        <w:t>52</w:t>
      </w:r>
    </w:p>
    <w:p>
      <w:pPr>
        <w:pStyle w:val="Heading1"/>
        <w:spacing w:line="261" w:lineRule="auto"/>
      </w:pPr>
      <w:r>
        <w:rPr/>
        <w:t>Bromelain is very successful against breast cancer, colon cancer and stomach cancer</w:t>
      </w:r>
    </w:p>
    <w:p>
      <w:pPr>
        <w:pStyle w:val="BodyText"/>
        <w:spacing w:line="276" w:lineRule="auto" w:before="258"/>
        <w:ind w:left="477" w:right="131"/>
        <w:jc w:val="both"/>
      </w:pPr>
      <w:r>
        <w:rPr/>
        <w:t>High concentrations of 600 mg/day (product name ‘Extranase’), when taken over</w:t>
      </w:r>
      <w:r>
        <w:rPr>
          <w:spacing w:val="-8"/>
        </w:rPr>
        <w:t> </w:t>
      </w:r>
      <w:r>
        <w:rPr/>
        <w:t>several</w:t>
      </w:r>
      <w:r>
        <w:rPr>
          <w:spacing w:val="-11"/>
        </w:rPr>
        <w:t> </w:t>
      </w:r>
      <w:r>
        <w:rPr/>
        <w:t>weeks,</w:t>
      </w:r>
      <w:r>
        <w:rPr>
          <w:spacing w:val="-8"/>
        </w:rPr>
        <w:t> </w:t>
      </w:r>
      <w:r>
        <w:rPr/>
        <w:t>caused</w:t>
      </w:r>
      <w:r>
        <w:rPr>
          <w:spacing w:val="-9"/>
        </w:rPr>
        <w:t> </w:t>
      </w:r>
      <w:r>
        <w:rPr/>
        <w:t>a</w:t>
      </w:r>
      <w:r>
        <w:rPr>
          <w:spacing w:val="-12"/>
        </w:rPr>
        <w:t> </w:t>
      </w:r>
      <w:r>
        <w:rPr/>
        <w:t>‘</w:t>
      </w:r>
      <w:r>
        <w:rPr>
          <w:i/>
        </w:rPr>
        <w:t>considerable</w:t>
      </w:r>
      <w:r>
        <w:rPr>
          <w:i/>
          <w:spacing w:val="-8"/>
        </w:rPr>
        <w:t> </w:t>
      </w:r>
      <w:r>
        <w:rPr>
          <w:i/>
        </w:rPr>
        <w:t>decline</w:t>
      </w:r>
      <w:r>
        <w:rPr/>
        <w:t>’</w:t>
      </w:r>
      <w:r>
        <w:rPr>
          <w:spacing w:val="-9"/>
        </w:rPr>
        <w:t> </w:t>
      </w:r>
      <w:r>
        <w:rPr/>
        <w:t>of</w:t>
      </w:r>
      <w:r>
        <w:rPr>
          <w:spacing w:val="-9"/>
        </w:rPr>
        <w:t> </w:t>
      </w:r>
      <w:r>
        <w:rPr/>
        <w:t>malignant</w:t>
      </w:r>
      <w:r>
        <w:rPr>
          <w:spacing w:val="-10"/>
        </w:rPr>
        <w:t> </w:t>
      </w:r>
      <w:r>
        <w:rPr/>
        <w:t>tumours,</w:t>
      </w:r>
      <w:r>
        <w:rPr>
          <w:spacing w:val="-9"/>
        </w:rPr>
        <w:t> </w:t>
      </w:r>
      <w:r>
        <w:rPr/>
        <w:t>especially in breast, colon and stomach cancer, according to the French internist</w:t>
      </w:r>
      <w:r>
        <w:rPr>
          <w:spacing w:val="-37"/>
        </w:rPr>
        <w:t> </w:t>
      </w:r>
      <w:r>
        <w:rPr/>
        <w:t>Gérard.</w:t>
      </w:r>
    </w:p>
    <w:p>
      <w:pPr>
        <w:pStyle w:val="Heading1"/>
      </w:pPr>
      <w:r>
        <w:rPr/>
        <w:t>Bromelain prevents metastasis in the</w:t>
      </w:r>
      <w:r>
        <w:rPr>
          <w:spacing w:val="-63"/>
        </w:rPr>
        <w:t> </w:t>
      </w:r>
      <w:r>
        <w:rPr/>
        <w:t>lungs</w:t>
      </w:r>
    </w:p>
    <w:p>
      <w:pPr>
        <w:pStyle w:val="BodyText"/>
        <w:spacing w:before="299"/>
        <w:ind w:left="477"/>
        <w:rPr>
          <w:sz w:val="25"/>
        </w:rPr>
      </w:pPr>
      <w:r>
        <w:rPr/>
        <w:t>Bromelain has been proven to prevent metastasis in the lungs.</w:t>
      </w:r>
      <w:r>
        <w:rPr>
          <w:position w:val="9"/>
          <w:sz w:val="25"/>
        </w:rPr>
        <w:t>53</w:t>
      </w:r>
    </w:p>
    <w:p>
      <w:pPr>
        <w:pStyle w:val="Heading1"/>
        <w:spacing w:before="286"/>
      </w:pPr>
      <w:r>
        <w:rPr/>
        <w:t>Bromelain protects against skin cancer</w:t>
      </w:r>
    </w:p>
    <w:p>
      <w:pPr>
        <w:pStyle w:val="BodyText"/>
        <w:spacing w:line="276" w:lineRule="auto" w:before="299"/>
        <w:ind w:left="477" w:right="135"/>
        <w:jc w:val="both"/>
      </w:pPr>
      <w:r>
        <w:rPr/>
        <w:t>In animal testing, treatment of UV-irradiated mice with bromelain has been shown to provide significant protection against skin cancer compared to the control group.</w:t>
      </w:r>
    </w:p>
    <w:p>
      <w:pPr>
        <w:pStyle w:val="Heading1"/>
      </w:pPr>
      <w:r>
        <w:rPr/>
        <w:t>Bromelain increases the effects of chemotherapy by up to 250 %</w:t>
      </w:r>
    </w:p>
    <w:p>
      <w:pPr>
        <w:pStyle w:val="BodyText"/>
        <w:spacing w:line="276" w:lineRule="auto" w:before="300"/>
        <w:ind w:left="477"/>
      </w:pPr>
      <w:r>
        <w:rPr/>
        <w:t>According to the Cancer Research Institute of the University of Hawaii, bro- melain increases the efficacy of chemotherapeutic agents such as mitomycin</w:t>
      </w:r>
      <w:r>
        <w:rPr>
          <w:spacing w:val="53"/>
        </w:rPr>
        <w:t> </w:t>
      </w:r>
      <w:r>
        <w:rPr/>
        <w:t>C</w:t>
      </w:r>
    </w:p>
    <w:p>
      <w:pPr>
        <w:pStyle w:val="BodyText"/>
        <w:rPr>
          <w:sz w:val="20"/>
        </w:rPr>
      </w:pPr>
    </w:p>
    <w:p>
      <w:pPr>
        <w:pStyle w:val="BodyText"/>
        <w:rPr>
          <w:sz w:val="20"/>
        </w:rPr>
      </w:pPr>
    </w:p>
    <w:p>
      <w:pPr>
        <w:pStyle w:val="BodyText"/>
        <w:rPr>
          <w:sz w:val="20"/>
        </w:rPr>
      </w:pPr>
    </w:p>
    <w:p>
      <w:pPr>
        <w:pStyle w:val="BodyText"/>
        <w:spacing w:before="1"/>
        <w:rPr>
          <w:sz w:val="15"/>
        </w:rPr>
      </w:pPr>
      <w:r>
        <w:rPr/>
        <w:pict>
          <v:line style="position:absolute;mso-position-horizontal-relative:page;mso-position-vertical-relative:paragraph;z-index:-208;mso-wrap-distance-left:0;mso-wrap-distance-right:0" from="63.863998pt,10.862515pt" to="207.883998pt,10.862515pt" stroked="true" strokeweight=".71997pt" strokecolor="#000000">
            <v:stroke dashstyle="solid"/>
            <w10:wrap type="topAndBottom"/>
          </v:line>
        </w:pict>
      </w:r>
    </w:p>
    <w:p>
      <w:pPr>
        <w:pStyle w:val="BodyText"/>
        <w:spacing w:before="7"/>
        <w:rPr>
          <w:sz w:val="18"/>
        </w:rPr>
      </w:pPr>
    </w:p>
    <w:p>
      <w:pPr>
        <w:spacing w:before="99"/>
        <w:ind w:left="477" w:right="0" w:firstLine="0"/>
        <w:jc w:val="left"/>
        <w:rPr>
          <w:sz w:val="20"/>
        </w:rPr>
      </w:pPr>
      <w:r>
        <w:rPr/>
        <w:drawing>
          <wp:anchor distT="0" distB="0" distL="0" distR="0" allowOverlap="1" layoutInCell="1" locked="0" behindDoc="1" simplePos="0" relativeHeight="267167591">
            <wp:simplePos x="0" y="0"/>
            <wp:positionH relativeFrom="page">
              <wp:posOffset>896463</wp:posOffset>
            </wp:positionH>
            <wp:positionV relativeFrom="paragraph">
              <wp:posOffset>145137</wp:posOffset>
            </wp:positionV>
            <wp:extent cx="6379583" cy="902106"/>
            <wp:effectExtent l="0" t="0" r="0" b="0"/>
            <wp:wrapNone/>
            <wp:docPr id="31" name="image2.jpeg" descr=""/>
            <wp:cNvGraphicFramePr>
              <a:graphicFrameLocks noChangeAspect="1"/>
            </wp:cNvGraphicFramePr>
            <a:graphic>
              <a:graphicData uri="http://schemas.openxmlformats.org/drawingml/2006/picture">
                <pic:pic>
                  <pic:nvPicPr>
                    <pic:cNvPr id="32"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52 </w:t>
      </w:r>
      <w:r>
        <w:rPr>
          <w:sz w:val="20"/>
        </w:rPr>
        <w:t>Barbara Simonsohn: Die sagenhafte Heilkraft der Ananas (‘The Legendary Healing Power of Pineapple’) 4th Edition, 2012,</w:t>
      </w:r>
      <w:r>
        <w:rPr>
          <w:spacing w:val="-24"/>
          <w:sz w:val="20"/>
        </w:rPr>
        <w:t> </w:t>
      </w:r>
      <w:r>
        <w:rPr>
          <w:sz w:val="20"/>
        </w:rPr>
        <w:t>p.99</w:t>
      </w:r>
    </w:p>
    <w:p>
      <w:pPr>
        <w:spacing w:before="94"/>
        <w:ind w:left="477" w:right="0" w:firstLine="0"/>
        <w:jc w:val="left"/>
        <w:rPr>
          <w:sz w:val="20"/>
        </w:rPr>
      </w:pPr>
      <w:r>
        <w:rPr>
          <w:position w:val="5"/>
          <w:sz w:val="13"/>
        </w:rPr>
        <w:t>53 </w:t>
      </w:r>
      <w:r>
        <w:rPr>
          <w:sz w:val="20"/>
        </w:rPr>
        <w:t>Barbara Simonsohn: Die sagenhafte Heilkraft der Ananas (‘The Legendary Healing Power of Pineapple’) 4th Edition, 2012,</w:t>
      </w:r>
      <w:r>
        <w:rPr>
          <w:spacing w:val="-24"/>
          <w:sz w:val="20"/>
        </w:rPr>
        <w:t> </w:t>
      </w:r>
      <w:r>
        <w:rPr>
          <w:sz w:val="20"/>
        </w:rPr>
        <w:t>p.99</w:t>
      </w:r>
    </w:p>
    <w:p>
      <w:pPr>
        <w:spacing w:after="0"/>
        <w:jc w:val="left"/>
        <w:rPr>
          <w:sz w:val="20"/>
        </w:rPr>
        <w:sectPr>
          <w:footerReference w:type="default" r:id="rId30"/>
          <w:pgSz w:w="14270" w:h="16850"/>
          <w:pgMar w:footer="527" w:header="0" w:top="1600" w:bottom="720" w:left="800" w:right="1280"/>
          <w:pgNumType w:start="164"/>
        </w:sectPr>
      </w:pPr>
    </w:p>
    <w:p>
      <w:pPr>
        <w:pStyle w:val="BodyText"/>
        <w:spacing w:before="181"/>
        <w:ind w:left="477"/>
      </w:pPr>
      <w:r>
        <w:rPr/>
        <w:t>and adriamycin by 250 %;</w:t>
      </w:r>
      <w:r>
        <w:rPr>
          <w:position w:val="9"/>
          <w:sz w:val="25"/>
        </w:rPr>
        <w:t>54 </w:t>
      </w:r>
      <w:r>
        <w:rPr/>
        <w:t>it also reduces the side effects of</w:t>
      </w:r>
      <w:r>
        <w:rPr>
          <w:spacing w:val="-52"/>
        </w:rPr>
        <w:t> </w:t>
      </w:r>
      <w:r>
        <w:rPr/>
        <w:t>chemotherapy.</w:t>
      </w:r>
    </w:p>
    <w:p>
      <w:pPr>
        <w:pStyle w:val="Heading2"/>
        <w:spacing w:before="305"/>
      </w:pPr>
      <w:r>
        <w:rPr/>
        <w:t>How do pineapple/bromelain work against cancer?</w:t>
      </w:r>
    </w:p>
    <w:p>
      <w:pPr>
        <w:pStyle w:val="BodyText"/>
        <w:spacing w:line="276" w:lineRule="auto" w:before="304"/>
        <w:ind w:left="477"/>
      </w:pPr>
      <w:r>
        <w:rPr/>
        <w:t>As you would expect, the mode of action of pineapple or bromelain against cancer is based on numerous factors:</w:t>
      </w:r>
    </w:p>
    <w:p>
      <w:pPr>
        <w:pStyle w:val="ListParagraph"/>
        <w:numPr>
          <w:ilvl w:val="1"/>
          <w:numId w:val="17"/>
        </w:numPr>
        <w:tabs>
          <w:tab w:pos="1191" w:val="left" w:leader="none"/>
        </w:tabs>
        <w:spacing w:line="273" w:lineRule="auto" w:before="243" w:after="0"/>
        <w:ind w:left="1190" w:right="134" w:hanging="356"/>
        <w:jc w:val="both"/>
        <w:rPr>
          <w:sz w:val="38"/>
        </w:rPr>
      </w:pPr>
      <w:r>
        <w:rPr>
          <w:sz w:val="38"/>
        </w:rPr>
        <w:t>Certain substances in pineapple (for example, p-coumarin and chlorogen) prevent the conversion of food components into carcinogenic substances (such as the conversion of nitrates to nitrosamines during</w:t>
      </w:r>
      <w:r>
        <w:rPr>
          <w:spacing w:val="-7"/>
          <w:sz w:val="38"/>
        </w:rPr>
        <w:t> </w:t>
      </w:r>
      <w:r>
        <w:rPr>
          <w:sz w:val="38"/>
        </w:rPr>
        <w:t>grilling).</w:t>
      </w:r>
    </w:p>
    <w:p>
      <w:pPr>
        <w:pStyle w:val="ListParagraph"/>
        <w:numPr>
          <w:ilvl w:val="1"/>
          <w:numId w:val="17"/>
        </w:numPr>
        <w:tabs>
          <w:tab w:pos="1189" w:val="left" w:leader="none"/>
          <w:tab w:pos="1191" w:val="left" w:leader="none"/>
        </w:tabs>
        <w:spacing w:line="240" w:lineRule="auto" w:before="10" w:after="0"/>
        <w:ind w:left="1190" w:right="0" w:hanging="356"/>
        <w:jc w:val="left"/>
        <w:rPr>
          <w:sz w:val="38"/>
        </w:rPr>
      </w:pPr>
      <w:r>
        <w:rPr>
          <w:sz w:val="38"/>
        </w:rPr>
        <w:t>The detoxifying and deacidifying effect prevents the onset of</w:t>
      </w:r>
      <w:r>
        <w:rPr>
          <w:spacing w:val="-7"/>
          <w:sz w:val="38"/>
        </w:rPr>
        <w:t> </w:t>
      </w:r>
      <w:r>
        <w:rPr>
          <w:sz w:val="38"/>
        </w:rPr>
        <w:t>cancer.</w:t>
      </w:r>
    </w:p>
    <w:p>
      <w:pPr>
        <w:pStyle w:val="ListParagraph"/>
        <w:numPr>
          <w:ilvl w:val="1"/>
          <w:numId w:val="17"/>
        </w:numPr>
        <w:tabs>
          <w:tab w:pos="1189" w:val="left" w:leader="none"/>
          <w:tab w:pos="1191" w:val="left" w:leader="none"/>
        </w:tabs>
        <w:spacing w:line="273" w:lineRule="auto" w:before="66" w:after="0"/>
        <w:ind w:left="1190" w:right="139" w:hanging="356"/>
        <w:jc w:val="left"/>
        <w:rPr>
          <w:sz w:val="38"/>
        </w:rPr>
      </w:pPr>
      <w:r>
        <w:rPr>
          <w:sz w:val="38"/>
        </w:rPr>
        <w:t>Similar to papain, bromelain uncovers cancer cells and stimulates the im- mune system to detect and fight cancer</w:t>
      </w:r>
      <w:r>
        <w:rPr>
          <w:spacing w:val="1"/>
          <w:sz w:val="38"/>
        </w:rPr>
        <w:t> </w:t>
      </w:r>
      <w:r>
        <w:rPr>
          <w:sz w:val="38"/>
        </w:rPr>
        <w:t>cells.</w:t>
      </w:r>
    </w:p>
    <w:p>
      <w:pPr>
        <w:pStyle w:val="ListParagraph"/>
        <w:numPr>
          <w:ilvl w:val="1"/>
          <w:numId w:val="17"/>
        </w:numPr>
        <w:tabs>
          <w:tab w:pos="1189" w:val="left" w:leader="none"/>
          <w:tab w:pos="1191" w:val="left" w:leader="none"/>
        </w:tabs>
        <w:spacing w:line="273" w:lineRule="auto" w:before="7" w:after="0"/>
        <w:ind w:left="1190" w:right="132" w:hanging="356"/>
        <w:jc w:val="left"/>
        <w:rPr>
          <w:sz w:val="38"/>
        </w:rPr>
      </w:pPr>
      <w:r>
        <w:rPr>
          <w:sz w:val="38"/>
        </w:rPr>
        <w:t>Bromelain</w:t>
      </w:r>
      <w:r>
        <w:rPr>
          <w:spacing w:val="-21"/>
          <w:sz w:val="38"/>
        </w:rPr>
        <w:t> </w:t>
      </w:r>
      <w:r>
        <w:rPr>
          <w:sz w:val="38"/>
        </w:rPr>
        <w:t>increases</w:t>
      </w:r>
      <w:r>
        <w:rPr>
          <w:spacing w:val="-19"/>
          <w:sz w:val="38"/>
        </w:rPr>
        <w:t> </w:t>
      </w:r>
      <w:r>
        <w:rPr>
          <w:sz w:val="38"/>
        </w:rPr>
        <w:t>the</w:t>
      </w:r>
      <w:r>
        <w:rPr>
          <w:spacing w:val="-23"/>
          <w:sz w:val="38"/>
        </w:rPr>
        <w:t> </w:t>
      </w:r>
      <w:r>
        <w:rPr>
          <w:sz w:val="38"/>
        </w:rPr>
        <w:t>tumour</w:t>
      </w:r>
      <w:r>
        <w:rPr>
          <w:spacing w:val="-21"/>
          <w:sz w:val="38"/>
        </w:rPr>
        <w:t> </w:t>
      </w:r>
      <w:r>
        <w:rPr>
          <w:sz w:val="38"/>
        </w:rPr>
        <w:t>necrosis</w:t>
      </w:r>
      <w:r>
        <w:rPr>
          <w:spacing w:val="-23"/>
          <w:sz w:val="38"/>
        </w:rPr>
        <w:t> </w:t>
      </w:r>
      <w:r>
        <w:rPr>
          <w:sz w:val="38"/>
        </w:rPr>
        <w:t>factor</w:t>
      </w:r>
      <w:r>
        <w:rPr>
          <w:spacing w:val="-19"/>
          <w:sz w:val="38"/>
        </w:rPr>
        <w:t> </w:t>
      </w:r>
      <w:r>
        <w:rPr>
          <w:sz w:val="38"/>
        </w:rPr>
        <w:t>(TNF)</w:t>
      </w:r>
      <w:r>
        <w:rPr>
          <w:spacing w:val="-22"/>
          <w:sz w:val="38"/>
        </w:rPr>
        <w:t> </w:t>
      </w:r>
      <w:r>
        <w:rPr>
          <w:sz w:val="38"/>
        </w:rPr>
        <w:t>and</w:t>
      </w:r>
      <w:r>
        <w:rPr>
          <w:spacing w:val="-20"/>
          <w:sz w:val="38"/>
        </w:rPr>
        <w:t> </w:t>
      </w:r>
      <w:r>
        <w:rPr>
          <w:sz w:val="38"/>
        </w:rPr>
        <w:t>induces</w:t>
      </w:r>
      <w:r>
        <w:rPr>
          <w:spacing w:val="-20"/>
          <w:sz w:val="38"/>
        </w:rPr>
        <w:t> </w:t>
      </w:r>
      <w:r>
        <w:rPr>
          <w:sz w:val="38"/>
        </w:rPr>
        <w:t>the</w:t>
      </w:r>
      <w:r>
        <w:rPr>
          <w:spacing w:val="-23"/>
          <w:sz w:val="38"/>
        </w:rPr>
        <w:t> </w:t>
      </w:r>
      <w:r>
        <w:rPr>
          <w:sz w:val="38"/>
        </w:rPr>
        <w:t>for- mation of various</w:t>
      </w:r>
      <w:r>
        <w:rPr>
          <w:spacing w:val="2"/>
          <w:sz w:val="38"/>
        </w:rPr>
        <w:t> </w:t>
      </w:r>
      <w:r>
        <w:rPr>
          <w:sz w:val="38"/>
        </w:rPr>
        <w:t>interleukins.</w:t>
      </w:r>
    </w:p>
    <w:p>
      <w:pPr>
        <w:pStyle w:val="ListParagraph"/>
        <w:numPr>
          <w:ilvl w:val="1"/>
          <w:numId w:val="17"/>
        </w:numPr>
        <w:tabs>
          <w:tab w:pos="1189" w:val="left" w:leader="none"/>
          <w:tab w:pos="1191" w:val="left" w:leader="none"/>
        </w:tabs>
        <w:spacing w:line="240" w:lineRule="auto" w:before="7" w:after="0"/>
        <w:ind w:left="1190" w:right="0" w:hanging="356"/>
        <w:jc w:val="left"/>
        <w:rPr>
          <w:sz w:val="38"/>
        </w:rPr>
      </w:pPr>
      <w:r>
        <w:rPr>
          <w:sz w:val="38"/>
        </w:rPr>
        <w:t>The pineapple enzyme peroxidase in bromelain inhibits tumour</w:t>
      </w:r>
      <w:r>
        <w:rPr>
          <w:spacing w:val="-11"/>
          <w:sz w:val="38"/>
        </w:rPr>
        <w:t> </w:t>
      </w:r>
      <w:r>
        <w:rPr>
          <w:sz w:val="38"/>
        </w:rPr>
        <w:t>growth.</w:t>
      </w:r>
    </w:p>
    <w:p>
      <w:pPr>
        <w:pStyle w:val="ListParagraph"/>
        <w:numPr>
          <w:ilvl w:val="1"/>
          <w:numId w:val="17"/>
        </w:numPr>
        <w:tabs>
          <w:tab w:pos="1189" w:val="left" w:leader="none"/>
          <w:tab w:pos="1191" w:val="left" w:leader="none"/>
        </w:tabs>
        <w:spacing w:line="273" w:lineRule="auto" w:before="64" w:after="0"/>
        <w:ind w:left="1190" w:right="144" w:hanging="356"/>
        <w:jc w:val="left"/>
        <w:rPr>
          <w:sz w:val="38"/>
        </w:rPr>
      </w:pPr>
      <w:r>
        <w:rPr>
          <w:sz w:val="38"/>
        </w:rPr>
        <w:t>Bromelain promotes programmed cell death, known as apoptosis, in can- cer cells.</w:t>
      </w:r>
    </w:p>
    <w:p>
      <w:pPr>
        <w:pStyle w:val="ListParagraph"/>
        <w:numPr>
          <w:ilvl w:val="1"/>
          <w:numId w:val="17"/>
        </w:numPr>
        <w:tabs>
          <w:tab w:pos="1189" w:val="left" w:leader="none"/>
          <w:tab w:pos="1191" w:val="left" w:leader="none"/>
        </w:tabs>
        <w:spacing w:line="273" w:lineRule="auto" w:before="7" w:after="0"/>
        <w:ind w:left="1190" w:right="139" w:hanging="356"/>
        <w:jc w:val="left"/>
        <w:rPr>
          <w:sz w:val="38"/>
        </w:rPr>
      </w:pPr>
      <w:r>
        <w:rPr>
          <w:sz w:val="38"/>
        </w:rPr>
        <w:t>Protease F9 enhances the anti-tumour activity of human peripheral blood cells.</w:t>
      </w:r>
    </w:p>
    <w:p>
      <w:pPr>
        <w:pStyle w:val="ListParagraph"/>
        <w:numPr>
          <w:ilvl w:val="1"/>
          <w:numId w:val="17"/>
        </w:numPr>
        <w:tabs>
          <w:tab w:pos="1189" w:val="left" w:leader="none"/>
          <w:tab w:pos="1191" w:val="left" w:leader="none"/>
        </w:tabs>
        <w:spacing w:line="273" w:lineRule="auto" w:before="7" w:after="0"/>
        <w:ind w:left="1190" w:right="139" w:hanging="356"/>
        <w:jc w:val="left"/>
        <w:rPr>
          <w:sz w:val="38"/>
        </w:rPr>
      </w:pPr>
      <w:r>
        <w:rPr>
          <w:sz w:val="38"/>
        </w:rPr>
        <w:t>Ananain</w:t>
      </w:r>
      <w:r>
        <w:rPr>
          <w:spacing w:val="-15"/>
          <w:sz w:val="38"/>
        </w:rPr>
        <w:t> </w:t>
      </w:r>
      <w:r>
        <w:rPr>
          <w:sz w:val="38"/>
        </w:rPr>
        <w:t>reveals</w:t>
      </w:r>
      <w:r>
        <w:rPr>
          <w:spacing w:val="-17"/>
          <w:sz w:val="38"/>
        </w:rPr>
        <w:t> </w:t>
      </w:r>
      <w:r>
        <w:rPr>
          <w:sz w:val="38"/>
        </w:rPr>
        <w:t>malignant</w:t>
      </w:r>
      <w:r>
        <w:rPr>
          <w:spacing w:val="-14"/>
          <w:sz w:val="38"/>
        </w:rPr>
        <w:t> </w:t>
      </w:r>
      <w:r>
        <w:rPr>
          <w:sz w:val="38"/>
        </w:rPr>
        <w:t>cells,</w:t>
      </w:r>
      <w:r>
        <w:rPr>
          <w:spacing w:val="-16"/>
          <w:sz w:val="38"/>
        </w:rPr>
        <w:t> </w:t>
      </w:r>
      <w:r>
        <w:rPr>
          <w:sz w:val="38"/>
        </w:rPr>
        <w:t>enabling</w:t>
      </w:r>
      <w:r>
        <w:rPr>
          <w:spacing w:val="-14"/>
          <w:sz w:val="38"/>
        </w:rPr>
        <w:t> </w:t>
      </w:r>
      <w:r>
        <w:rPr>
          <w:sz w:val="38"/>
        </w:rPr>
        <w:t>the</w:t>
      </w:r>
      <w:r>
        <w:rPr>
          <w:spacing w:val="-16"/>
          <w:sz w:val="38"/>
        </w:rPr>
        <w:t> </w:t>
      </w:r>
      <w:r>
        <w:rPr>
          <w:sz w:val="38"/>
        </w:rPr>
        <w:t>immune</w:t>
      </w:r>
      <w:r>
        <w:rPr>
          <w:spacing w:val="-14"/>
          <w:sz w:val="38"/>
        </w:rPr>
        <w:t> </w:t>
      </w:r>
      <w:r>
        <w:rPr>
          <w:sz w:val="38"/>
        </w:rPr>
        <w:t>system</w:t>
      </w:r>
      <w:r>
        <w:rPr>
          <w:spacing w:val="-16"/>
          <w:sz w:val="38"/>
        </w:rPr>
        <w:t> </w:t>
      </w:r>
      <w:r>
        <w:rPr>
          <w:sz w:val="38"/>
        </w:rPr>
        <w:t>to</w:t>
      </w:r>
      <w:r>
        <w:rPr>
          <w:spacing w:val="-19"/>
          <w:sz w:val="38"/>
        </w:rPr>
        <w:t> </w:t>
      </w:r>
      <w:r>
        <w:rPr>
          <w:sz w:val="38"/>
        </w:rPr>
        <w:t>detect</w:t>
      </w:r>
      <w:r>
        <w:rPr>
          <w:spacing w:val="-14"/>
          <w:sz w:val="38"/>
        </w:rPr>
        <w:t> </w:t>
      </w:r>
      <w:r>
        <w:rPr>
          <w:sz w:val="38"/>
        </w:rPr>
        <w:t>and fight them.</w:t>
      </w:r>
    </w:p>
    <w:p>
      <w:pPr>
        <w:pStyle w:val="BodyText"/>
        <w:rPr>
          <w:sz w:val="20"/>
        </w:rPr>
      </w:pPr>
    </w:p>
    <w:p>
      <w:pPr>
        <w:pStyle w:val="BodyText"/>
        <w:rPr>
          <w:sz w:val="20"/>
        </w:rPr>
      </w:pPr>
    </w:p>
    <w:p>
      <w:pPr>
        <w:pStyle w:val="BodyText"/>
        <w:rPr>
          <w:sz w:val="20"/>
        </w:rPr>
      </w:pPr>
    </w:p>
    <w:p>
      <w:pPr>
        <w:pStyle w:val="BodyText"/>
        <w:spacing w:before="7"/>
        <w:rPr>
          <w:sz w:val="25"/>
        </w:rPr>
      </w:pPr>
      <w:r>
        <w:rPr/>
        <w:pict>
          <v:line style="position:absolute;mso-position-horizontal-relative:page;mso-position-vertical-relative:paragraph;z-index:-160;mso-wrap-distance-left:0;mso-wrap-distance-right:0" from="63.863998pt,16.792387pt" to="207.883998pt,16.792387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54 </w:t>
      </w:r>
      <w:r>
        <w:rPr>
          <w:sz w:val="20"/>
        </w:rPr>
        <w:t>Barbara Simonsohn: Die sagenhafte Heilkraft der Ananas (‘The Legendary Healing Power of Pineapple’) 4th Edition, 2012, p.135</w:t>
      </w:r>
    </w:p>
    <w:p>
      <w:pPr>
        <w:spacing w:after="0"/>
        <w:jc w:val="left"/>
        <w:rPr>
          <w:sz w:val="20"/>
        </w:rPr>
        <w:sectPr>
          <w:footerReference w:type="default" r:id="rId31"/>
          <w:pgSz w:w="14270" w:h="16850"/>
          <w:pgMar w:footer="1891" w:header="0" w:top="1600" w:bottom="2080" w:left="800" w:right="1280"/>
          <w:pgNumType w:start="165"/>
        </w:sectPr>
      </w:pPr>
    </w:p>
    <w:p>
      <w:pPr>
        <w:pStyle w:val="BodyText"/>
        <w:spacing w:before="10"/>
        <w:rPr>
          <w:sz w:val="8"/>
        </w:rPr>
      </w:pPr>
    </w:p>
    <w:p>
      <w:pPr>
        <w:pStyle w:val="ListParagraph"/>
        <w:numPr>
          <w:ilvl w:val="1"/>
          <w:numId w:val="17"/>
        </w:numPr>
        <w:tabs>
          <w:tab w:pos="1191" w:val="left" w:leader="none"/>
        </w:tabs>
        <w:spacing w:line="273" w:lineRule="auto" w:before="83" w:after="0"/>
        <w:ind w:left="1190" w:right="141" w:hanging="356"/>
        <w:jc w:val="both"/>
        <w:rPr>
          <w:sz w:val="38"/>
        </w:rPr>
      </w:pPr>
      <w:r>
        <w:rPr>
          <w:sz w:val="38"/>
        </w:rPr>
        <w:t>Bromelain inhibits the formation of fibrin and bradykinin and also stimu- lates the formation of</w:t>
      </w:r>
      <w:r>
        <w:rPr>
          <w:spacing w:val="1"/>
          <w:sz w:val="38"/>
        </w:rPr>
        <w:t> </w:t>
      </w:r>
      <w:r>
        <w:rPr>
          <w:sz w:val="38"/>
        </w:rPr>
        <w:t>plasmin.</w:t>
      </w:r>
    </w:p>
    <w:p>
      <w:pPr>
        <w:pStyle w:val="ListParagraph"/>
        <w:numPr>
          <w:ilvl w:val="1"/>
          <w:numId w:val="17"/>
        </w:numPr>
        <w:tabs>
          <w:tab w:pos="1191" w:val="left" w:leader="none"/>
        </w:tabs>
        <w:spacing w:line="276" w:lineRule="auto" w:before="7" w:after="0"/>
        <w:ind w:left="1190" w:right="132" w:hanging="356"/>
        <w:jc w:val="both"/>
        <w:rPr>
          <w:sz w:val="38"/>
        </w:rPr>
      </w:pPr>
      <w:r>
        <w:rPr>
          <w:sz w:val="38"/>
        </w:rPr>
        <w:t>Bromelain reduces an elevated TGF-ß (transforming growth factor beta) in the blood, which in turn causes tumour-induced immunosuppression. TGF-ß is a protein containing sugars, which increasingly forms tumour cells,</w:t>
      </w:r>
      <w:r>
        <w:rPr>
          <w:spacing w:val="-8"/>
          <w:sz w:val="38"/>
        </w:rPr>
        <w:t> </w:t>
      </w:r>
      <w:r>
        <w:rPr>
          <w:sz w:val="38"/>
        </w:rPr>
        <w:t>but</w:t>
      </w:r>
      <w:r>
        <w:rPr>
          <w:spacing w:val="-10"/>
          <w:sz w:val="38"/>
        </w:rPr>
        <w:t> </w:t>
      </w:r>
      <w:r>
        <w:rPr>
          <w:sz w:val="38"/>
        </w:rPr>
        <w:t>suppresses</w:t>
      </w:r>
      <w:r>
        <w:rPr>
          <w:spacing w:val="-8"/>
          <w:sz w:val="38"/>
        </w:rPr>
        <w:t> </w:t>
      </w:r>
      <w:r>
        <w:rPr>
          <w:sz w:val="38"/>
        </w:rPr>
        <w:t>the</w:t>
      </w:r>
      <w:r>
        <w:rPr>
          <w:spacing w:val="-11"/>
          <w:sz w:val="38"/>
        </w:rPr>
        <w:t> </w:t>
      </w:r>
      <w:r>
        <w:rPr>
          <w:sz w:val="38"/>
        </w:rPr>
        <w:t>natural</w:t>
      </w:r>
      <w:r>
        <w:rPr>
          <w:spacing w:val="-10"/>
          <w:sz w:val="38"/>
        </w:rPr>
        <w:t> </w:t>
      </w:r>
      <w:r>
        <w:rPr>
          <w:sz w:val="38"/>
        </w:rPr>
        <w:t>killer</w:t>
      </w:r>
      <w:r>
        <w:rPr>
          <w:spacing w:val="-9"/>
          <w:sz w:val="38"/>
        </w:rPr>
        <w:t> </w:t>
      </w:r>
      <w:r>
        <w:rPr>
          <w:sz w:val="38"/>
        </w:rPr>
        <w:t>cells</w:t>
      </w:r>
      <w:r>
        <w:rPr>
          <w:spacing w:val="-9"/>
          <w:sz w:val="38"/>
        </w:rPr>
        <w:t> </w:t>
      </w:r>
      <w:r>
        <w:rPr>
          <w:sz w:val="38"/>
        </w:rPr>
        <w:t>of</w:t>
      </w:r>
      <w:r>
        <w:rPr>
          <w:spacing w:val="-9"/>
          <w:sz w:val="38"/>
        </w:rPr>
        <w:t> </w:t>
      </w:r>
      <w:r>
        <w:rPr>
          <w:sz w:val="38"/>
        </w:rPr>
        <w:t>our</w:t>
      </w:r>
      <w:r>
        <w:rPr>
          <w:spacing w:val="-10"/>
          <w:sz w:val="38"/>
        </w:rPr>
        <w:t> </w:t>
      </w:r>
      <w:r>
        <w:rPr>
          <w:sz w:val="38"/>
        </w:rPr>
        <w:t>immune</w:t>
      </w:r>
      <w:r>
        <w:rPr>
          <w:spacing w:val="-9"/>
          <w:sz w:val="38"/>
        </w:rPr>
        <w:t> </w:t>
      </w:r>
      <w:r>
        <w:rPr>
          <w:sz w:val="38"/>
        </w:rPr>
        <w:t>system</w:t>
      </w:r>
      <w:r>
        <w:rPr>
          <w:spacing w:val="-11"/>
          <w:sz w:val="38"/>
        </w:rPr>
        <w:t> </w:t>
      </w:r>
      <w:r>
        <w:rPr>
          <w:sz w:val="38"/>
        </w:rPr>
        <w:t>and</w:t>
      </w:r>
      <w:r>
        <w:rPr>
          <w:spacing w:val="-9"/>
          <w:sz w:val="38"/>
        </w:rPr>
        <w:t> </w:t>
      </w:r>
      <w:r>
        <w:rPr>
          <w:sz w:val="38"/>
        </w:rPr>
        <w:t>thus promotes carcinogenesis.</w:t>
      </w:r>
    </w:p>
    <w:p>
      <w:pPr>
        <w:pStyle w:val="ListParagraph"/>
        <w:numPr>
          <w:ilvl w:val="1"/>
          <w:numId w:val="17"/>
        </w:numPr>
        <w:tabs>
          <w:tab w:pos="1191" w:val="left" w:leader="none"/>
        </w:tabs>
        <w:spacing w:line="273" w:lineRule="auto" w:before="0" w:after="0"/>
        <w:ind w:left="1190" w:right="146" w:hanging="356"/>
        <w:jc w:val="both"/>
        <w:rPr>
          <w:sz w:val="38"/>
        </w:rPr>
      </w:pPr>
      <w:r>
        <w:rPr>
          <w:sz w:val="38"/>
        </w:rPr>
        <w:t>Bromelain removes the adhesion molecule CD44 involved in metastasis from the lymphocytes, preventing the spread of cancer</w:t>
      </w:r>
      <w:r>
        <w:rPr>
          <w:spacing w:val="-6"/>
          <w:sz w:val="38"/>
        </w:rPr>
        <w:t> </w:t>
      </w:r>
      <w:r>
        <w:rPr>
          <w:sz w:val="38"/>
        </w:rPr>
        <w:t>metastases.</w:t>
      </w:r>
    </w:p>
    <w:p>
      <w:pPr>
        <w:pStyle w:val="ListParagraph"/>
        <w:numPr>
          <w:ilvl w:val="1"/>
          <w:numId w:val="17"/>
        </w:numPr>
        <w:tabs>
          <w:tab w:pos="1191" w:val="left" w:leader="none"/>
        </w:tabs>
        <w:spacing w:line="273" w:lineRule="auto" w:before="7" w:after="0"/>
        <w:ind w:left="1190" w:right="134" w:hanging="356"/>
        <w:jc w:val="both"/>
        <w:rPr>
          <w:sz w:val="38"/>
        </w:rPr>
      </w:pPr>
      <w:r>
        <w:rPr>
          <w:sz w:val="38"/>
        </w:rPr>
        <w:t>Bromelain increases the potential of our self-healing powers so much that the body is often empowered to deal with the problem of ‘cancer‘ on its own.</w:t>
      </w:r>
    </w:p>
    <w:p>
      <w:pPr>
        <w:pStyle w:val="ListParagraph"/>
        <w:numPr>
          <w:ilvl w:val="1"/>
          <w:numId w:val="17"/>
        </w:numPr>
        <w:tabs>
          <w:tab w:pos="1198" w:val="left" w:leader="none"/>
        </w:tabs>
        <w:spacing w:line="273" w:lineRule="auto" w:before="12" w:after="0"/>
        <w:ind w:left="1197" w:right="135" w:hanging="360"/>
        <w:jc w:val="both"/>
        <w:rPr>
          <w:sz w:val="38"/>
        </w:rPr>
      </w:pPr>
      <w:r>
        <w:rPr>
          <w:sz w:val="38"/>
        </w:rPr>
        <w:t>Bromelain relieves the side effects of chemotherapy and radiation treat- ment without detracting from the effectiveness of these</w:t>
      </w:r>
      <w:r>
        <w:rPr>
          <w:spacing w:val="-7"/>
          <w:sz w:val="38"/>
        </w:rPr>
        <w:t> </w:t>
      </w:r>
      <w:r>
        <w:rPr>
          <w:sz w:val="38"/>
        </w:rPr>
        <w:t>therapies.</w:t>
      </w:r>
    </w:p>
    <w:p>
      <w:pPr>
        <w:pStyle w:val="BodyText"/>
        <w:rPr>
          <w:sz w:val="42"/>
        </w:rPr>
      </w:pPr>
    </w:p>
    <w:p>
      <w:pPr>
        <w:pStyle w:val="BodyText"/>
        <w:spacing w:before="10"/>
        <w:rPr>
          <w:sz w:val="44"/>
        </w:rPr>
      </w:pPr>
    </w:p>
    <w:p>
      <w:pPr>
        <w:spacing w:before="1"/>
        <w:ind w:left="477" w:right="0" w:firstLine="0"/>
        <w:jc w:val="left"/>
        <w:rPr>
          <w:i/>
          <w:sz w:val="38"/>
        </w:rPr>
      </w:pPr>
      <w:r>
        <w:rPr>
          <w:i/>
          <w:sz w:val="38"/>
        </w:rPr>
        <w:t>Representative scientific studies on bromelain</w:t>
      </w:r>
    </w:p>
    <w:p>
      <w:pPr>
        <w:pStyle w:val="Heading1"/>
        <w:spacing w:line="261" w:lineRule="auto" w:before="284"/>
      </w:pPr>
      <w:r>
        <w:rPr/>
        <w:t>Study</w:t>
      </w:r>
      <w:r>
        <w:rPr>
          <w:spacing w:val="-39"/>
        </w:rPr>
        <w:t> </w:t>
      </w:r>
      <w:r>
        <w:rPr/>
        <w:t>on</w:t>
      </w:r>
      <w:r>
        <w:rPr>
          <w:spacing w:val="-38"/>
        </w:rPr>
        <w:t> </w:t>
      </w:r>
      <w:r>
        <w:rPr/>
        <w:t>the</w:t>
      </w:r>
      <w:r>
        <w:rPr>
          <w:spacing w:val="-40"/>
        </w:rPr>
        <w:t> </w:t>
      </w:r>
      <w:r>
        <w:rPr/>
        <w:t>anti-inflammatory</w:t>
      </w:r>
      <w:r>
        <w:rPr>
          <w:spacing w:val="-38"/>
        </w:rPr>
        <w:t> </w:t>
      </w:r>
      <w:r>
        <w:rPr/>
        <w:t>effect</w:t>
      </w:r>
      <w:r>
        <w:rPr>
          <w:spacing w:val="-38"/>
        </w:rPr>
        <w:t> </w:t>
      </w:r>
      <w:r>
        <w:rPr/>
        <w:t>of</w:t>
      </w:r>
      <w:r>
        <w:rPr>
          <w:spacing w:val="-39"/>
        </w:rPr>
        <w:t> </w:t>
      </w:r>
      <w:r>
        <w:rPr/>
        <w:t>bromelain</w:t>
      </w:r>
      <w:r>
        <w:rPr>
          <w:spacing w:val="-39"/>
        </w:rPr>
        <w:t> </w:t>
      </w:r>
      <w:r>
        <w:rPr/>
        <w:t>in</w:t>
      </w:r>
      <w:r>
        <w:rPr>
          <w:spacing w:val="-39"/>
        </w:rPr>
        <w:t> </w:t>
      </w:r>
      <w:r>
        <w:rPr/>
        <w:t>joint</w:t>
      </w:r>
      <w:r>
        <w:rPr>
          <w:spacing w:val="-39"/>
        </w:rPr>
        <w:t> </w:t>
      </w:r>
      <w:r>
        <w:rPr/>
        <w:t>arthrosis</w:t>
      </w:r>
      <w:r>
        <w:rPr>
          <w:spacing w:val="-39"/>
        </w:rPr>
        <w:t> </w:t>
      </w:r>
      <w:r>
        <w:rPr/>
        <w:t>by Fitzhugh et al.</w:t>
      </w:r>
      <w:r>
        <w:rPr>
          <w:spacing w:val="-24"/>
        </w:rPr>
        <w:t> </w:t>
      </w:r>
      <w:r>
        <w:rPr/>
        <w:t>(2008)</w:t>
      </w:r>
    </w:p>
    <w:p>
      <w:pPr>
        <w:pStyle w:val="BodyText"/>
        <w:spacing w:line="276" w:lineRule="auto" w:before="261"/>
        <w:ind w:left="477"/>
      </w:pPr>
      <w:r>
        <w:rPr/>
        <w:t>Bromelain</w:t>
      </w:r>
      <w:r>
        <w:rPr>
          <w:spacing w:val="-12"/>
        </w:rPr>
        <w:t> </w:t>
      </w:r>
      <w:r>
        <w:rPr/>
        <w:t>was</w:t>
      </w:r>
      <w:r>
        <w:rPr>
          <w:spacing w:val="-10"/>
        </w:rPr>
        <w:t> </w:t>
      </w:r>
      <w:r>
        <w:rPr/>
        <w:t>shown</w:t>
      </w:r>
      <w:r>
        <w:rPr>
          <w:spacing w:val="-11"/>
        </w:rPr>
        <w:t> </w:t>
      </w:r>
      <w:r>
        <w:rPr/>
        <w:t>to</w:t>
      </w:r>
      <w:r>
        <w:rPr>
          <w:spacing w:val="-10"/>
        </w:rPr>
        <w:t> </w:t>
      </w:r>
      <w:r>
        <w:rPr/>
        <w:t>have</w:t>
      </w:r>
      <w:r>
        <w:rPr>
          <w:spacing w:val="-10"/>
        </w:rPr>
        <w:t> </w:t>
      </w:r>
      <w:r>
        <w:rPr/>
        <w:t>a</w:t>
      </w:r>
      <w:r>
        <w:rPr>
          <w:spacing w:val="-12"/>
        </w:rPr>
        <w:t> </w:t>
      </w:r>
      <w:r>
        <w:rPr/>
        <w:t>positive</w:t>
      </w:r>
      <w:r>
        <w:rPr>
          <w:spacing w:val="-11"/>
        </w:rPr>
        <w:t> </w:t>
      </w:r>
      <w:r>
        <w:rPr/>
        <w:t>influence</w:t>
      </w:r>
      <w:r>
        <w:rPr>
          <w:spacing w:val="-11"/>
        </w:rPr>
        <w:t> </w:t>
      </w:r>
      <w:r>
        <w:rPr/>
        <w:t>on</w:t>
      </w:r>
      <w:r>
        <w:rPr>
          <w:spacing w:val="-10"/>
        </w:rPr>
        <w:t> </w:t>
      </w:r>
      <w:r>
        <w:rPr/>
        <w:t>the</w:t>
      </w:r>
      <w:r>
        <w:rPr>
          <w:spacing w:val="-10"/>
        </w:rPr>
        <w:t> </w:t>
      </w:r>
      <w:r>
        <w:rPr/>
        <w:t>inflammatory</w:t>
      </w:r>
      <w:r>
        <w:rPr>
          <w:spacing w:val="-10"/>
        </w:rPr>
        <w:t> </w:t>
      </w:r>
      <w:r>
        <w:rPr/>
        <w:t>process in joint arthrosis.</w:t>
      </w:r>
    </w:p>
    <w:p>
      <w:pPr>
        <w:spacing w:after="0" w:line="276" w:lineRule="auto"/>
        <w:sectPr>
          <w:pgSz w:w="14270" w:h="16850"/>
          <w:pgMar w:header="0" w:footer="1891" w:top="1600" w:bottom="2080" w:left="800" w:right="1280"/>
        </w:sectPr>
      </w:pPr>
    </w:p>
    <w:p>
      <w:pPr>
        <w:pStyle w:val="Heading1"/>
        <w:spacing w:line="261" w:lineRule="auto" w:before="164"/>
        <w:ind w:right="143"/>
        <w:jc w:val="both"/>
      </w:pPr>
      <w:r>
        <w:rPr/>
        <w:t>Study</w:t>
      </w:r>
      <w:r>
        <w:rPr>
          <w:spacing w:val="-44"/>
        </w:rPr>
        <w:t> </w:t>
      </w:r>
      <w:r>
        <w:rPr/>
        <w:t>on</w:t>
      </w:r>
      <w:r>
        <w:rPr>
          <w:spacing w:val="-42"/>
        </w:rPr>
        <w:t> </w:t>
      </w:r>
      <w:r>
        <w:rPr/>
        <w:t>the</w:t>
      </w:r>
      <w:r>
        <w:rPr>
          <w:spacing w:val="-43"/>
        </w:rPr>
        <w:t> </w:t>
      </w:r>
      <w:r>
        <w:rPr/>
        <w:t>promotion</w:t>
      </w:r>
      <w:r>
        <w:rPr>
          <w:spacing w:val="-43"/>
        </w:rPr>
        <w:t> </w:t>
      </w:r>
      <w:r>
        <w:rPr/>
        <w:t>of</w:t>
      </w:r>
      <w:r>
        <w:rPr>
          <w:spacing w:val="-43"/>
        </w:rPr>
        <w:t> </w:t>
      </w:r>
      <w:r>
        <w:rPr/>
        <w:t>healing</w:t>
      </w:r>
      <w:r>
        <w:rPr>
          <w:spacing w:val="-42"/>
        </w:rPr>
        <w:t> </w:t>
      </w:r>
      <w:r>
        <w:rPr/>
        <w:t>in</w:t>
      </w:r>
      <w:r>
        <w:rPr>
          <w:spacing w:val="-43"/>
        </w:rPr>
        <w:t> </w:t>
      </w:r>
      <w:r>
        <w:rPr/>
        <w:t>Achilles</w:t>
      </w:r>
      <w:r>
        <w:rPr>
          <w:spacing w:val="-43"/>
        </w:rPr>
        <w:t> </w:t>
      </w:r>
      <w:r>
        <w:rPr/>
        <w:t>tendon</w:t>
      </w:r>
      <w:r>
        <w:rPr>
          <w:spacing w:val="-43"/>
        </w:rPr>
        <w:t> </w:t>
      </w:r>
      <w:r>
        <w:rPr/>
        <w:t>injuries</w:t>
      </w:r>
      <w:r>
        <w:rPr>
          <w:spacing w:val="-43"/>
        </w:rPr>
        <w:t> </w:t>
      </w:r>
      <w:r>
        <w:rPr/>
        <w:t>by</w:t>
      </w:r>
      <w:r>
        <w:rPr>
          <w:spacing w:val="-42"/>
        </w:rPr>
        <w:t> </w:t>
      </w:r>
      <w:r>
        <w:rPr/>
        <w:t>Aiyeg- bus Al et</w:t>
      </w:r>
      <w:r>
        <w:rPr>
          <w:spacing w:val="-21"/>
        </w:rPr>
        <w:t> </w:t>
      </w:r>
      <w:r>
        <w:rPr/>
        <w:t>al.</w:t>
      </w:r>
    </w:p>
    <w:p>
      <w:pPr>
        <w:spacing w:line="276" w:lineRule="auto" w:before="260"/>
        <w:ind w:left="477" w:right="131" w:firstLine="0"/>
        <w:jc w:val="both"/>
        <w:rPr>
          <w:i/>
          <w:sz w:val="38"/>
        </w:rPr>
      </w:pPr>
      <w:r>
        <w:rPr>
          <w:sz w:val="38"/>
        </w:rPr>
        <w:t>Bromelain promotes the healing of Achilles tendon injuries. Nigerian scientists came to this conclusion after the number of cells responsible for healing the Achilles tendon increased significantly in animal experiments, and structure of the</w:t>
      </w:r>
      <w:r>
        <w:rPr>
          <w:spacing w:val="-8"/>
          <w:sz w:val="38"/>
        </w:rPr>
        <w:t> </w:t>
      </w:r>
      <w:r>
        <w:rPr>
          <w:sz w:val="38"/>
        </w:rPr>
        <w:t>tendon</w:t>
      </w:r>
      <w:r>
        <w:rPr>
          <w:spacing w:val="-10"/>
          <w:sz w:val="38"/>
        </w:rPr>
        <w:t> </w:t>
      </w:r>
      <w:r>
        <w:rPr>
          <w:sz w:val="38"/>
        </w:rPr>
        <w:t>tissue</w:t>
      </w:r>
      <w:r>
        <w:rPr>
          <w:spacing w:val="-9"/>
          <w:sz w:val="38"/>
        </w:rPr>
        <w:t> </w:t>
      </w:r>
      <w:r>
        <w:rPr>
          <w:sz w:val="38"/>
        </w:rPr>
        <w:t>was</w:t>
      </w:r>
      <w:r>
        <w:rPr>
          <w:spacing w:val="-8"/>
          <w:sz w:val="38"/>
        </w:rPr>
        <w:t> </w:t>
      </w:r>
      <w:r>
        <w:rPr>
          <w:sz w:val="38"/>
        </w:rPr>
        <w:t>shown</w:t>
      </w:r>
      <w:r>
        <w:rPr>
          <w:spacing w:val="-12"/>
          <w:sz w:val="38"/>
        </w:rPr>
        <w:t> </w:t>
      </w:r>
      <w:r>
        <w:rPr>
          <w:sz w:val="38"/>
        </w:rPr>
        <w:t>to</w:t>
      </w:r>
      <w:r>
        <w:rPr>
          <w:spacing w:val="-11"/>
          <w:sz w:val="38"/>
        </w:rPr>
        <w:t> </w:t>
      </w:r>
      <w:r>
        <w:rPr>
          <w:sz w:val="38"/>
        </w:rPr>
        <w:t>be</w:t>
      </w:r>
      <w:r>
        <w:rPr>
          <w:spacing w:val="-8"/>
          <w:sz w:val="38"/>
        </w:rPr>
        <w:t> </w:t>
      </w:r>
      <w:r>
        <w:rPr>
          <w:sz w:val="38"/>
        </w:rPr>
        <w:t>healthy.</w:t>
      </w:r>
      <w:r>
        <w:rPr>
          <w:spacing w:val="-8"/>
          <w:sz w:val="38"/>
        </w:rPr>
        <w:t> </w:t>
      </w:r>
      <w:r>
        <w:rPr>
          <w:sz w:val="38"/>
        </w:rPr>
        <w:t>‘</w:t>
      </w:r>
      <w:r>
        <w:rPr>
          <w:i/>
          <w:sz w:val="38"/>
        </w:rPr>
        <w:t>Bromelain</w:t>
      </w:r>
      <w:r>
        <w:rPr>
          <w:i/>
          <w:spacing w:val="-9"/>
          <w:sz w:val="38"/>
        </w:rPr>
        <w:t> </w:t>
      </w:r>
      <w:r>
        <w:rPr>
          <w:i/>
          <w:sz w:val="38"/>
        </w:rPr>
        <w:t>in</w:t>
      </w:r>
      <w:r>
        <w:rPr>
          <w:i/>
          <w:spacing w:val="-10"/>
          <w:sz w:val="38"/>
        </w:rPr>
        <w:t> </w:t>
      </w:r>
      <w:r>
        <w:rPr>
          <w:i/>
          <w:sz w:val="38"/>
        </w:rPr>
        <w:t>the</w:t>
      </w:r>
      <w:r>
        <w:rPr>
          <w:i/>
          <w:spacing w:val="-9"/>
          <w:sz w:val="38"/>
        </w:rPr>
        <w:t> </w:t>
      </w:r>
      <w:r>
        <w:rPr>
          <w:i/>
          <w:sz w:val="38"/>
        </w:rPr>
        <w:t>early</w:t>
      </w:r>
      <w:r>
        <w:rPr>
          <w:i/>
          <w:spacing w:val="-8"/>
          <w:sz w:val="38"/>
        </w:rPr>
        <w:t> </w:t>
      </w:r>
      <w:r>
        <w:rPr>
          <w:i/>
          <w:sz w:val="38"/>
        </w:rPr>
        <w:t>phase</w:t>
      </w:r>
      <w:r>
        <w:rPr>
          <w:i/>
          <w:spacing w:val="-9"/>
          <w:sz w:val="38"/>
        </w:rPr>
        <w:t> </w:t>
      </w:r>
      <w:r>
        <w:rPr>
          <w:i/>
          <w:sz w:val="38"/>
        </w:rPr>
        <w:t>of</w:t>
      </w:r>
      <w:r>
        <w:rPr>
          <w:i/>
          <w:spacing w:val="-9"/>
          <w:sz w:val="38"/>
        </w:rPr>
        <w:t> </w:t>
      </w:r>
      <w:r>
        <w:rPr>
          <w:i/>
          <w:sz w:val="38"/>
        </w:rPr>
        <w:t>healing</w:t>
      </w:r>
      <w:r>
        <w:rPr>
          <w:i/>
          <w:spacing w:val="-11"/>
          <w:sz w:val="38"/>
        </w:rPr>
        <w:t> </w:t>
      </w:r>
      <w:r>
        <w:rPr>
          <w:i/>
          <w:sz w:val="38"/>
        </w:rPr>
        <w:t>in </w:t>
      </w:r>
      <w:r>
        <w:rPr>
          <w:i/>
          <w:sz w:val="38"/>
        </w:rPr>
        <w:t>acute crush Achilles tendon</w:t>
      </w:r>
      <w:r>
        <w:rPr>
          <w:i/>
          <w:spacing w:val="-1"/>
          <w:sz w:val="38"/>
        </w:rPr>
        <w:t> </w:t>
      </w:r>
      <w:r>
        <w:rPr>
          <w:i/>
          <w:sz w:val="38"/>
        </w:rPr>
        <w:t>injury’.</w:t>
      </w:r>
    </w:p>
    <w:p>
      <w:pPr>
        <w:pStyle w:val="Heading1"/>
        <w:spacing w:before="223"/>
      </w:pPr>
      <w:r>
        <w:rPr/>
        <w:t>The</w:t>
      </w:r>
      <w:r>
        <w:rPr>
          <w:spacing w:val="-36"/>
        </w:rPr>
        <w:t> </w:t>
      </w:r>
      <w:r>
        <w:rPr/>
        <w:t>death</w:t>
      </w:r>
      <w:r>
        <w:rPr>
          <w:spacing w:val="-37"/>
        </w:rPr>
        <w:t> </w:t>
      </w:r>
      <w:r>
        <w:rPr/>
        <w:t>rate</w:t>
      </w:r>
      <w:r>
        <w:rPr>
          <w:spacing w:val="-35"/>
        </w:rPr>
        <w:t> </w:t>
      </w:r>
      <w:r>
        <w:rPr/>
        <w:t>among</w:t>
      </w:r>
      <w:r>
        <w:rPr>
          <w:spacing w:val="-35"/>
        </w:rPr>
        <w:t> </w:t>
      </w:r>
      <w:r>
        <w:rPr/>
        <w:t>patients</w:t>
      </w:r>
      <w:r>
        <w:rPr>
          <w:spacing w:val="-37"/>
        </w:rPr>
        <w:t> </w:t>
      </w:r>
      <w:r>
        <w:rPr/>
        <w:t>at</w:t>
      </w:r>
      <w:r>
        <w:rPr>
          <w:spacing w:val="-36"/>
        </w:rPr>
        <w:t> </w:t>
      </w:r>
      <w:r>
        <w:rPr/>
        <w:t>risk</w:t>
      </w:r>
      <w:r>
        <w:rPr>
          <w:spacing w:val="-35"/>
        </w:rPr>
        <w:t> </w:t>
      </w:r>
      <w:r>
        <w:rPr/>
        <w:t>of</w:t>
      </w:r>
      <w:r>
        <w:rPr>
          <w:spacing w:val="-36"/>
        </w:rPr>
        <w:t> </w:t>
      </w:r>
      <w:r>
        <w:rPr/>
        <w:t>heart</w:t>
      </w:r>
      <w:r>
        <w:rPr>
          <w:spacing w:val="-37"/>
        </w:rPr>
        <w:t> </w:t>
      </w:r>
      <w:r>
        <w:rPr/>
        <w:t>attack</w:t>
      </w:r>
      <w:r>
        <w:rPr>
          <w:spacing w:val="-36"/>
        </w:rPr>
        <w:t> </w:t>
      </w:r>
      <w:r>
        <w:rPr/>
        <w:t>falls</w:t>
      </w:r>
      <w:r>
        <w:rPr>
          <w:spacing w:val="-36"/>
        </w:rPr>
        <w:t> </w:t>
      </w:r>
      <w:r>
        <w:rPr/>
        <w:t>considerably.</w:t>
      </w:r>
    </w:p>
    <w:p>
      <w:pPr>
        <w:spacing w:before="42"/>
        <w:ind w:left="477" w:right="0" w:firstLine="0"/>
        <w:jc w:val="left"/>
        <w:rPr>
          <w:b/>
          <w:i/>
          <w:sz w:val="40"/>
        </w:rPr>
      </w:pPr>
      <w:r>
        <w:rPr>
          <w:sz w:val="38"/>
        </w:rPr>
        <w:t>‘</w:t>
      </w:r>
      <w:r>
        <w:rPr>
          <w:b/>
          <w:i/>
          <w:sz w:val="40"/>
        </w:rPr>
        <w:t>Hanover Study’ vs. </w:t>
      </w:r>
      <w:r>
        <w:rPr>
          <w:sz w:val="38"/>
        </w:rPr>
        <w:t>‘</w:t>
      </w:r>
      <w:r>
        <w:rPr>
          <w:b/>
          <w:i/>
          <w:sz w:val="40"/>
        </w:rPr>
        <w:t>Cleveland Clinic’</w:t>
      </w:r>
    </w:p>
    <w:p>
      <w:pPr>
        <w:pStyle w:val="BodyText"/>
        <w:spacing w:line="276" w:lineRule="auto" w:before="299"/>
        <w:ind w:left="477" w:right="130"/>
        <w:jc w:val="both"/>
      </w:pPr>
      <w:r>
        <w:rPr/>
        <w:t>140 patients, all of whom had already had a heart attack, were treated with a bromelain</w:t>
      </w:r>
      <w:r>
        <w:rPr>
          <w:spacing w:val="-20"/>
        </w:rPr>
        <w:t> </w:t>
      </w:r>
      <w:r>
        <w:rPr/>
        <w:t>preparation</w:t>
      </w:r>
      <w:r>
        <w:rPr>
          <w:spacing w:val="-18"/>
        </w:rPr>
        <w:t> </w:t>
      </w:r>
      <w:r>
        <w:rPr/>
        <w:t>(anavit</w:t>
      </w:r>
      <w:r>
        <w:rPr>
          <w:spacing w:val="-19"/>
        </w:rPr>
        <w:t> </w:t>
      </w:r>
      <w:r>
        <w:rPr/>
        <w:t>F3</w:t>
      </w:r>
      <w:r>
        <w:rPr>
          <w:spacing w:val="-17"/>
        </w:rPr>
        <w:t> </w:t>
      </w:r>
      <w:r>
        <w:rPr/>
        <w:t>or</w:t>
      </w:r>
      <w:r>
        <w:rPr>
          <w:spacing w:val="-18"/>
        </w:rPr>
        <w:t> </w:t>
      </w:r>
      <w:r>
        <w:rPr/>
        <w:t>traumanase</w:t>
      </w:r>
      <w:r>
        <w:rPr>
          <w:spacing w:val="-19"/>
        </w:rPr>
        <w:t> </w:t>
      </w:r>
      <w:r>
        <w:rPr/>
        <w:t>forte)</w:t>
      </w:r>
      <w:r>
        <w:rPr>
          <w:spacing w:val="-19"/>
        </w:rPr>
        <w:t> </w:t>
      </w:r>
      <w:r>
        <w:rPr/>
        <w:t>and</w:t>
      </w:r>
      <w:r>
        <w:rPr>
          <w:spacing w:val="-19"/>
        </w:rPr>
        <w:t> </w:t>
      </w:r>
      <w:r>
        <w:rPr/>
        <w:t>with</w:t>
      </w:r>
      <w:r>
        <w:rPr>
          <w:spacing w:val="-19"/>
        </w:rPr>
        <w:t> </w:t>
      </w:r>
      <w:r>
        <w:rPr/>
        <w:t>magnesium</w:t>
      </w:r>
      <w:r>
        <w:rPr>
          <w:spacing w:val="-19"/>
        </w:rPr>
        <w:t> </w:t>
      </w:r>
      <w:r>
        <w:rPr/>
        <w:t>and potassium orotate. Amazingly, the mortality rate was 2 % after two years, 2 % four years later and after 14 years it was just 4</w:t>
      </w:r>
      <w:r>
        <w:rPr>
          <w:spacing w:val="2"/>
        </w:rPr>
        <w:t> </w:t>
      </w:r>
      <w:r>
        <w:rPr/>
        <w:t>%.</w:t>
      </w:r>
    </w:p>
    <w:p>
      <w:pPr>
        <w:pStyle w:val="BodyText"/>
        <w:spacing w:line="276" w:lineRule="auto" w:before="240"/>
        <w:ind w:left="477" w:right="136"/>
        <w:jc w:val="both"/>
      </w:pPr>
      <w:r>
        <w:rPr/>
        <w:t>For</w:t>
      </w:r>
      <w:r>
        <w:rPr>
          <w:spacing w:val="-16"/>
        </w:rPr>
        <w:t> </w:t>
      </w:r>
      <w:r>
        <w:rPr/>
        <w:t>comparison,</w:t>
      </w:r>
      <w:r>
        <w:rPr>
          <w:spacing w:val="-18"/>
        </w:rPr>
        <w:t> </w:t>
      </w:r>
      <w:r>
        <w:rPr/>
        <w:t>the</w:t>
      </w:r>
      <w:r>
        <w:rPr>
          <w:spacing w:val="-15"/>
        </w:rPr>
        <w:t> </w:t>
      </w:r>
      <w:r>
        <w:rPr/>
        <w:t>mortality</w:t>
      </w:r>
      <w:r>
        <w:rPr>
          <w:spacing w:val="-18"/>
        </w:rPr>
        <w:t> </w:t>
      </w:r>
      <w:r>
        <w:rPr/>
        <w:t>rate</w:t>
      </w:r>
      <w:r>
        <w:rPr>
          <w:spacing w:val="-17"/>
        </w:rPr>
        <w:t> </w:t>
      </w:r>
      <w:r>
        <w:rPr/>
        <w:t>with</w:t>
      </w:r>
      <w:r>
        <w:rPr>
          <w:spacing w:val="-16"/>
        </w:rPr>
        <w:t> </w:t>
      </w:r>
      <w:r>
        <w:rPr/>
        <w:t>traditional</w:t>
      </w:r>
      <w:r>
        <w:rPr>
          <w:spacing w:val="-17"/>
        </w:rPr>
        <w:t> </w:t>
      </w:r>
      <w:r>
        <w:rPr/>
        <w:t>medicine</w:t>
      </w:r>
      <w:r>
        <w:rPr>
          <w:spacing w:val="-16"/>
        </w:rPr>
        <w:t> </w:t>
      </w:r>
      <w:r>
        <w:rPr/>
        <w:t>was</w:t>
      </w:r>
      <w:r>
        <w:rPr>
          <w:spacing w:val="-16"/>
        </w:rPr>
        <w:t> </w:t>
      </w:r>
      <w:r>
        <w:rPr/>
        <w:t>20</w:t>
      </w:r>
      <w:r>
        <w:rPr>
          <w:spacing w:val="-14"/>
        </w:rPr>
        <w:t> </w:t>
      </w:r>
      <w:r>
        <w:rPr/>
        <w:t>%</w:t>
      </w:r>
      <w:r>
        <w:rPr>
          <w:spacing w:val="-17"/>
        </w:rPr>
        <w:t> </w:t>
      </w:r>
      <w:r>
        <w:rPr/>
        <w:t>after</w:t>
      </w:r>
      <w:r>
        <w:rPr>
          <w:spacing w:val="-17"/>
        </w:rPr>
        <w:t> </w:t>
      </w:r>
      <w:r>
        <w:rPr/>
        <w:t>two years and a whopping 75 % after 14 years!</w:t>
      </w:r>
    </w:p>
    <w:p>
      <w:pPr>
        <w:pStyle w:val="Heading1"/>
        <w:spacing w:before="223"/>
        <w:jc w:val="both"/>
      </w:pPr>
      <w:r>
        <w:rPr/>
        <w:t>Bromelain strengthens immunity in breast cancer patients</w:t>
      </w:r>
    </w:p>
    <w:p>
      <w:pPr>
        <w:pStyle w:val="BodyText"/>
        <w:spacing w:before="300"/>
        <w:ind w:left="477"/>
        <w:jc w:val="both"/>
      </w:pPr>
      <w:r>
        <w:rPr/>
        <w:t>In a study on 16 breast cancer patients, bromelain was able to the restore the</w:t>
      </w:r>
    </w:p>
    <w:p>
      <w:pPr>
        <w:spacing w:after="0"/>
        <w:jc w:val="both"/>
        <w:sectPr>
          <w:pgSz w:w="14270" w:h="16850"/>
          <w:pgMar w:header="0" w:footer="1891" w:top="1600" w:bottom="2080" w:left="800" w:right="1280"/>
        </w:sectPr>
      </w:pPr>
    </w:p>
    <w:p>
      <w:pPr>
        <w:pStyle w:val="BodyText"/>
        <w:spacing w:before="181"/>
        <w:ind w:left="477"/>
        <w:rPr>
          <w:sz w:val="25"/>
        </w:rPr>
      </w:pPr>
      <w:r>
        <w:rPr/>
        <w:t>immunity of those with reduced immunity compared to healthy individuals.</w:t>
      </w:r>
      <w:r>
        <w:rPr>
          <w:position w:val="9"/>
          <w:sz w:val="25"/>
        </w:rPr>
        <w:t>55</w:t>
      </w:r>
    </w:p>
    <w:p>
      <w:pPr>
        <w:pStyle w:val="Heading1"/>
        <w:spacing w:line="261" w:lineRule="auto" w:before="288"/>
        <w:ind w:right="145"/>
        <w:jc w:val="both"/>
      </w:pPr>
      <w:r>
        <w:rPr>
          <w:w w:val="95"/>
        </w:rPr>
        <w:t>Bromelain inhibits the growth of lung cancer, lymphoma and</w:t>
      </w:r>
      <w:r>
        <w:rPr>
          <w:spacing w:val="-54"/>
          <w:w w:val="95"/>
        </w:rPr>
        <w:t> </w:t>
      </w:r>
      <w:r>
        <w:rPr>
          <w:w w:val="95"/>
        </w:rPr>
        <w:t>leukaemia </w:t>
      </w:r>
      <w:r>
        <w:rPr/>
        <w:t>by at least 80 % in laboratory</w:t>
      </w:r>
      <w:r>
        <w:rPr>
          <w:spacing w:val="-59"/>
        </w:rPr>
        <w:t> </w:t>
      </w:r>
      <w:r>
        <w:rPr/>
        <w:t>tests</w:t>
      </w:r>
    </w:p>
    <w:p>
      <w:pPr>
        <w:pStyle w:val="BodyText"/>
        <w:spacing w:line="276" w:lineRule="auto" w:before="260"/>
        <w:ind w:left="477" w:right="138"/>
        <w:jc w:val="both"/>
        <w:rPr>
          <w:sz w:val="25"/>
        </w:rPr>
      </w:pPr>
      <w:r>
        <w:rPr/>
        <w:t>As already mentioned above, bromelain has been proven to inhibit cancer cell growth in leukaemia, lung and lymphoma cancer by at least 80 %.</w:t>
      </w:r>
      <w:r>
        <w:rPr>
          <w:position w:val="9"/>
          <w:sz w:val="25"/>
        </w:rPr>
        <w:t>56</w:t>
      </w:r>
    </w:p>
    <w:p>
      <w:pPr>
        <w:pStyle w:val="Heading1"/>
        <w:spacing w:line="261" w:lineRule="auto" w:before="222"/>
        <w:ind w:right="140"/>
        <w:jc w:val="both"/>
      </w:pPr>
      <w:r>
        <w:rPr/>
        <w:t>Bromelain</w:t>
      </w:r>
      <w:r>
        <w:rPr>
          <w:spacing w:val="-41"/>
        </w:rPr>
        <w:t> </w:t>
      </w:r>
      <w:r>
        <w:rPr/>
        <w:t>successful</w:t>
      </w:r>
      <w:r>
        <w:rPr>
          <w:spacing w:val="-41"/>
        </w:rPr>
        <w:t> </w:t>
      </w:r>
      <w:r>
        <w:rPr/>
        <w:t>against</w:t>
      </w:r>
      <w:r>
        <w:rPr>
          <w:spacing w:val="-40"/>
        </w:rPr>
        <w:t> </w:t>
      </w:r>
      <w:r>
        <w:rPr/>
        <w:t>breast</w:t>
      </w:r>
      <w:r>
        <w:rPr>
          <w:spacing w:val="-40"/>
        </w:rPr>
        <w:t> </w:t>
      </w:r>
      <w:r>
        <w:rPr/>
        <w:t>cancer,</w:t>
      </w:r>
      <w:r>
        <w:rPr>
          <w:spacing w:val="-40"/>
        </w:rPr>
        <w:t> </w:t>
      </w:r>
      <w:r>
        <w:rPr/>
        <w:t>colon</w:t>
      </w:r>
      <w:r>
        <w:rPr>
          <w:spacing w:val="-41"/>
        </w:rPr>
        <w:t> </w:t>
      </w:r>
      <w:r>
        <w:rPr/>
        <w:t>cancer</w:t>
      </w:r>
      <w:r>
        <w:rPr>
          <w:spacing w:val="-40"/>
        </w:rPr>
        <w:t> </w:t>
      </w:r>
      <w:r>
        <w:rPr/>
        <w:t>and</w:t>
      </w:r>
      <w:r>
        <w:rPr>
          <w:spacing w:val="-42"/>
        </w:rPr>
        <w:t> </w:t>
      </w:r>
      <w:r>
        <w:rPr/>
        <w:t>stomach cancer</w:t>
      </w:r>
    </w:p>
    <w:p>
      <w:pPr>
        <w:pStyle w:val="BodyText"/>
        <w:spacing w:line="276" w:lineRule="auto" w:before="260"/>
        <w:ind w:left="477" w:right="134"/>
        <w:jc w:val="both"/>
      </w:pPr>
      <w:r>
        <w:rPr/>
        <w:t>High concentrations of 600 mg/day over a period of use of several weeks caused</w:t>
      </w:r>
      <w:r>
        <w:rPr>
          <w:spacing w:val="-10"/>
        </w:rPr>
        <w:t> </w:t>
      </w:r>
      <w:r>
        <w:rPr/>
        <w:t>a</w:t>
      </w:r>
      <w:r>
        <w:rPr>
          <w:spacing w:val="-12"/>
        </w:rPr>
        <w:t> </w:t>
      </w:r>
      <w:r>
        <w:rPr/>
        <w:t>‘</w:t>
      </w:r>
      <w:r>
        <w:rPr>
          <w:b/>
        </w:rPr>
        <w:t>considerable</w:t>
      </w:r>
      <w:r>
        <w:rPr>
          <w:b/>
          <w:spacing w:val="-10"/>
        </w:rPr>
        <w:t> </w:t>
      </w:r>
      <w:r>
        <w:rPr>
          <w:b/>
        </w:rPr>
        <w:t>decline’</w:t>
      </w:r>
      <w:r>
        <w:rPr>
          <w:b/>
          <w:spacing w:val="-8"/>
        </w:rPr>
        <w:t> </w:t>
      </w:r>
      <w:r>
        <w:rPr/>
        <w:t>of</w:t>
      </w:r>
      <w:r>
        <w:rPr>
          <w:spacing w:val="-12"/>
        </w:rPr>
        <w:t> </w:t>
      </w:r>
      <w:r>
        <w:rPr/>
        <w:t>malignant</w:t>
      </w:r>
      <w:r>
        <w:rPr>
          <w:spacing w:val="-10"/>
        </w:rPr>
        <w:t> </w:t>
      </w:r>
      <w:r>
        <w:rPr/>
        <w:t>tumours,</w:t>
      </w:r>
      <w:r>
        <w:rPr>
          <w:spacing w:val="-9"/>
        </w:rPr>
        <w:t> </w:t>
      </w:r>
      <w:r>
        <w:rPr/>
        <w:t>especially</w:t>
      </w:r>
      <w:r>
        <w:rPr>
          <w:spacing w:val="-9"/>
        </w:rPr>
        <w:t> </w:t>
      </w:r>
      <w:r>
        <w:rPr/>
        <w:t>in</w:t>
      </w:r>
      <w:r>
        <w:rPr>
          <w:spacing w:val="-12"/>
        </w:rPr>
        <w:t> </w:t>
      </w:r>
      <w:r>
        <w:rPr/>
        <w:t>breast,</w:t>
      </w:r>
      <w:r>
        <w:rPr>
          <w:spacing w:val="-12"/>
        </w:rPr>
        <w:t> </w:t>
      </w:r>
      <w:r>
        <w:rPr/>
        <w:t>co- lon and stomach cancer, according to the French internist</w:t>
      </w:r>
      <w:r>
        <w:rPr>
          <w:spacing w:val="-7"/>
        </w:rPr>
        <w:t> </w:t>
      </w:r>
      <w:r>
        <w:rPr/>
        <w:t>Gérard.</w:t>
      </w:r>
    </w:p>
    <w:p>
      <w:pPr>
        <w:pStyle w:val="BodyText"/>
        <w:rPr>
          <w:sz w:val="42"/>
        </w:rPr>
      </w:pPr>
    </w:p>
    <w:p>
      <w:pPr>
        <w:pStyle w:val="BodyText"/>
        <w:spacing w:before="9"/>
        <w:rPr>
          <w:sz w:val="42"/>
        </w:rPr>
      </w:pPr>
    </w:p>
    <w:p>
      <w:pPr>
        <w:pStyle w:val="Heading1"/>
        <w:spacing w:line="261" w:lineRule="auto" w:before="0"/>
        <w:ind w:right="144"/>
        <w:jc w:val="both"/>
      </w:pPr>
      <w:r>
        <w:rPr/>
        <w:t>Colon</w:t>
      </w:r>
      <w:r>
        <w:rPr>
          <w:spacing w:val="-53"/>
        </w:rPr>
        <w:t> </w:t>
      </w:r>
      <w:r>
        <w:rPr/>
        <w:t>cancer</w:t>
      </w:r>
      <w:r>
        <w:rPr>
          <w:spacing w:val="-52"/>
        </w:rPr>
        <w:t> </w:t>
      </w:r>
      <w:r>
        <w:rPr/>
        <w:t>patients</w:t>
      </w:r>
      <w:r>
        <w:rPr>
          <w:spacing w:val="-53"/>
        </w:rPr>
        <w:t> </w:t>
      </w:r>
      <w:r>
        <w:rPr/>
        <w:t>live</w:t>
      </w:r>
      <w:r>
        <w:rPr>
          <w:spacing w:val="-53"/>
        </w:rPr>
        <w:t> </w:t>
      </w:r>
      <w:r>
        <w:rPr/>
        <w:t>longer</w:t>
      </w:r>
      <w:r>
        <w:rPr>
          <w:spacing w:val="-52"/>
        </w:rPr>
        <w:t> </w:t>
      </w:r>
      <w:r>
        <w:rPr/>
        <w:t>with</w:t>
      </w:r>
      <w:r>
        <w:rPr>
          <w:spacing w:val="-52"/>
        </w:rPr>
        <w:t> </w:t>
      </w:r>
      <w:r>
        <w:rPr/>
        <w:t>bromelain</w:t>
      </w:r>
      <w:r>
        <w:rPr>
          <w:spacing w:val="-53"/>
        </w:rPr>
        <w:t> </w:t>
      </w:r>
      <w:r>
        <w:rPr/>
        <w:t>and</w:t>
      </w:r>
      <w:r>
        <w:rPr>
          <w:spacing w:val="-53"/>
        </w:rPr>
        <w:t> </w:t>
      </w:r>
      <w:r>
        <w:rPr/>
        <w:t>have</w:t>
      </w:r>
      <w:r>
        <w:rPr>
          <w:spacing w:val="-51"/>
        </w:rPr>
        <w:t> </w:t>
      </w:r>
      <w:r>
        <w:rPr/>
        <w:t>fewer</w:t>
      </w:r>
      <w:r>
        <w:rPr>
          <w:spacing w:val="-53"/>
        </w:rPr>
        <w:t> </w:t>
      </w:r>
      <w:r>
        <w:rPr/>
        <w:t>metas- tases</w:t>
      </w:r>
    </w:p>
    <w:p>
      <w:pPr>
        <w:pStyle w:val="BodyText"/>
        <w:spacing w:line="276" w:lineRule="auto" w:before="260"/>
        <w:ind w:left="477" w:right="133"/>
        <w:jc w:val="both"/>
        <w:rPr>
          <w:sz w:val="25"/>
        </w:rPr>
      </w:pPr>
      <w:r>
        <w:rPr/>
        <w:t>In a clinical trial, colon cancer patients had fewer metastases and were able to live longer compared to the control group.</w:t>
      </w:r>
      <w:r>
        <w:rPr>
          <w:position w:val="9"/>
          <w:sz w:val="25"/>
        </w:rPr>
        <w:t>57</w:t>
      </w:r>
    </w:p>
    <w:p>
      <w:pPr>
        <w:pStyle w:val="Heading1"/>
        <w:spacing w:before="223"/>
        <w:jc w:val="both"/>
      </w:pPr>
      <w:r>
        <w:rPr/>
        <w:t>Bromelain prevents metastasis in the</w:t>
      </w:r>
      <w:r>
        <w:rPr>
          <w:spacing w:val="-63"/>
        </w:rPr>
        <w:t> </w:t>
      </w:r>
      <w:r>
        <w:rPr/>
        <w:t>lungs</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7"/>
        <w:rPr>
          <w:b/>
          <w:i/>
          <w:sz w:val="15"/>
        </w:rPr>
      </w:pPr>
      <w:r>
        <w:rPr/>
        <w:pict>
          <v:line style="position:absolute;mso-position-horizontal-relative:page;mso-position-vertical-relative:paragraph;z-index:-136;mso-wrap-distance-left:0;mso-wrap-distance-right:0" from="63.863998pt,11.156235pt" to="207.883998pt,11.156235pt" stroked="true" strokeweight=".72003pt" strokecolor="#000000">
            <v:stroke dashstyle="solid"/>
            <w10:wrap type="topAndBottom"/>
          </v:line>
        </w:pict>
      </w:r>
    </w:p>
    <w:p>
      <w:pPr>
        <w:pStyle w:val="BodyText"/>
        <w:spacing w:before="7"/>
        <w:rPr>
          <w:b/>
          <w:i/>
          <w:sz w:val="18"/>
        </w:rPr>
      </w:pPr>
    </w:p>
    <w:p>
      <w:pPr>
        <w:spacing w:before="99"/>
        <w:ind w:left="477" w:right="0" w:firstLine="0"/>
        <w:jc w:val="left"/>
        <w:rPr>
          <w:sz w:val="20"/>
        </w:rPr>
      </w:pPr>
      <w:r>
        <w:rPr>
          <w:position w:val="5"/>
          <w:sz w:val="13"/>
        </w:rPr>
        <w:t>55 </w:t>
      </w:r>
      <w:r>
        <w:rPr>
          <w:sz w:val="20"/>
        </w:rPr>
        <w:t>Eckert et al. (1999)</w:t>
      </w:r>
    </w:p>
    <w:p>
      <w:pPr>
        <w:pStyle w:val="BodyText"/>
        <w:rPr>
          <w:sz w:val="20"/>
        </w:rPr>
      </w:pPr>
    </w:p>
    <w:p>
      <w:pPr>
        <w:pStyle w:val="BodyText"/>
        <w:rPr>
          <w:sz w:val="20"/>
        </w:rPr>
      </w:pPr>
    </w:p>
    <w:p>
      <w:pPr>
        <w:pStyle w:val="BodyText"/>
        <w:spacing w:before="9"/>
        <w:rPr>
          <w:sz w:val="20"/>
        </w:rPr>
      </w:pPr>
      <w:r>
        <w:rPr/>
        <w:pict>
          <v:group style="position:absolute;margin-left:63.863998pt;margin-top:14.155015pt;width:509.1pt;height:71.05pt;mso-position-horizontal-relative:page;mso-position-vertical-relative:paragraph;z-index:-88;mso-wrap-distance-left:0;mso-wrap-distance-right:0" coordorigin="1277,283" coordsize="10182,1421">
            <v:shape style="position:absolute;left:1411;top:283;width:10047;height:1421" type="#_x0000_t75" stroked="false">
              <v:imagedata r:id="rId21" o:title=""/>
            </v:shape>
            <v:shape style="position:absolute;left:1277;top:283;width:10182;height:1421" type="#_x0000_t202" filled="false" stroked="false">
              <v:textbox inset="0,0,0,0">
                <w:txbxContent>
                  <w:p>
                    <w:pPr>
                      <w:spacing w:before="189"/>
                      <w:ind w:left="0" w:right="0" w:firstLine="0"/>
                      <w:jc w:val="left"/>
                      <w:rPr>
                        <w:sz w:val="20"/>
                      </w:rPr>
                    </w:pPr>
                    <w:r>
                      <w:rPr>
                        <w:position w:val="5"/>
                        <w:sz w:val="13"/>
                      </w:rPr>
                      <w:t>57 </w:t>
                    </w:r>
                    <w:hyperlink r:id="rId33">
                      <w:r>
                        <w:rPr>
                          <w:sz w:val="20"/>
                        </w:rPr>
                        <w:t>http://brigitte-van-hattem.suite101.de/bromelain-das-ananasenzym-a44123</w:t>
                      </w:r>
                    </w:hyperlink>
                  </w:p>
                </w:txbxContent>
              </v:textbox>
              <w10:wrap type="none"/>
            </v:shape>
            <w10:wrap type="topAndBottom"/>
          </v:group>
        </w:pict>
      </w:r>
    </w:p>
    <w:p>
      <w:pPr>
        <w:spacing w:after="0"/>
        <w:rPr>
          <w:sz w:val="20"/>
        </w:rPr>
        <w:sectPr>
          <w:footerReference w:type="default" r:id="rId32"/>
          <w:pgSz w:w="14270" w:h="16850"/>
          <w:pgMar w:footer="527" w:header="0" w:top="1600" w:bottom="720" w:left="800" w:right="1280"/>
        </w:sectPr>
      </w:pPr>
    </w:p>
    <w:p>
      <w:pPr>
        <w:pStyle w:val="BodyText"/>
        <w:spacing w:before="181"/>
        <w:ind w:left="477"/>
        <w:rPr>
          <w:sz w:val="25"/>
        </w:rPr>
      </w:pPr>
      <w:r>
        <w:rPr/>
        <w:t>Bromelain prevented metastasis in the lungs.</w:t>
      </w:r>
      <w:r>
        <w:rPr>
          <w:position w:val="9"/>
          <w:sz w:val="25"/>
        </w:rPr>
        <w:t>58</w:t>
      </w:r>
    </w:p>
    <w:p>
      <w:pPr>
        <w:pStyle w:val="Heading1"/>
        <w:spacing w:before="288"/>
      </w:pPr>
      <w:r>
        <w:rPr/>
        <w:t>Bromelain protects against skin cancer</w:t>
      </w:r>
    </w:p>
    <w:p>
      <w:pPr>
        <w:pStyle w:val="BodyText"/>
        <w:spacing w:line="276" w:lineRule="auto" w:before="299"/>
        <w:ind w:left="477" w:right="134"/>
        <w:jc w:val="both"/>
      </w:pPr>
      <w:r>
        <w:rPr/>
        <w:t>In animal testing, treatment of UV-irradiated mice with bromelain has been shown to provide significant protection against skin cancer compared to the control group.</w:t>
      </w:r>
    </w:p>
    <w:p>
      <w:pPr>
        <w:pStyle w:val="Heading1"/>
        <w:spacing w:before="222"/>
      </w:pPr>
      <w:r>
        <w:rPr/>
        <w:t>Bromelain increases the effects of chemotherapy by up to 250 %</w:t>
      </w:r>
    </w:p>
    <w:p>
      <w:pPr>
        <w:pStyle w:val="BodyText"/>
        <w:spacing w:line="276" w:lineRule="auto" w:before="299"/>
        <w:ind w:left="477" w:right="130"/>
        <w:jc w:val="both"/>
      </w:pPr>
      <w:r>
        <w:rPr/>
        <w:t>According to the Cancer Research Institute of the University of Hawaii, bro- melain increases the efficacy of chemotherapeutic agents (such as mitomycin</w:t>
      </w:r>
      <w:r>
        <w:rPr>
          <w:spacing w:val="-53"/>
        </w:rPr>
        <w:t> </w:t>
      </w:r>
      <w:r>
        <w:rPr/>
        <w:t>C and Adriamycin) by 250 %;</w:t>
      </w:r>
      <w:r>
        <w:rPr>
          <w:position w:val="9"/>
          <w:sz w:val="25"/>
        </w:rPr>
        <w:t>59 </w:t>
      </w:r>
      <w:r>
        <w:rPr/>
        <w:t>and it also reduces the side effects of chemother- apy.</w:t>
      </w:r>
    </w:p>
    <w:p>
      <w:pPr>
        <w:pStyle w:val="Heading1"/>
      </w:pPr>
      <w:r>
        <w:rPr/>
        <w:t>Bromelain shows anti-invasive properties in</w:t>
      </w:r>
      <w:r>
        <w:rPr>
          <w:spacing w:val="-74"/>
        </w:rPr>
        <w:t> </w:t>
      </w:r>
      <w:r>
        <w:rPr/>
        <w:t>study</w:t>
      </w:r>
    </w:p>
    <w:p>
      <w:pPr>
        <w:pStyle w:val="BodyText"/>
        <w:spacing w:line="276" w:lineRule="auto" w:before="298"/>
        <w:ind w:left="477" w:right="130"/>
        <w:jc w:val="both"/>
        <w:rPr>
          <w:sz w:val="25"/>
        </w:rPr>
      </w:pPr>
      <w:r>
        <w:rPr/>
        <w:t>In preclinical studies, bromelain has been shown to have anti-invasive proper- ties and to influence the expression of cell adhesion molecules.</w:t>
      </w:r>
      <w:r>
        <w:rPr>
          <w:position w:val="9"/>
          <w:sz w:val="25"/>
        </w:rPr>
        <w:t>60</w:t>
      </w:r>
    </w:p>
    <w:p>
      <w:pPr>
        <w:pStyle w:val="Heading1"/>
        <w:spacing w:line="261" w:lineRule="auto" w:before="223"/>
        <w:ind w:right="135"/>
        <w:jc w:val="both"/>
      </w:pPr>
      <w:r>
        <w:rPr/>
        <w:t>The</w:t>
      </w:r>
      <w:r>
        <w:rPr>
          <w:spacing w:val="-71"/>
        </w:rPr>
        <w:t> </w:t>
      </w:r>
      <w:r>
        <w:rPr/>
        <w:t>survival</w:t>
      </w:r>
      <w:r>
        <w:rPr>
          <w:spacing w:val="-71"/>
        </w:rPr>
        <w:t> </w:t>
      </w:r>
      <w:r>
        <w:rPr/>
        <w:t>time</w:t>
      </w:r>
      <w:r>
        <w:rPr>
          <w:spacing w:val="-71"/>
        </w:rPr>
        <w:t> </w:t>
      </w:r>
      <w:r>
        <w:rPr/>
        <w:t>of</w:t>
      </w:r>
      <w:r>
        <w:rPr>
          <w:spacing w:val="-71"/>
        </w:rPr>
        <w:t> </w:t>
      </w:r>
      <w:r>
        <w:rPr/>
        <w:t>patients</w:t>
      </w:r>
      <w:r>
        <w:rPr>
          <w:spacing w:val="-70"/>
        </w:rPr>
        <w:t> </w:t>
      </w:r>
      <w:r>
        <w:rPr/>
        <w:t>with</w:t>
      </w:r>
      <w:r>
        <w:rPr>
          <w:spacing w:val="-71"/>
        </w:rPr>
        <w:t> </w:t>
      </w:r>
      <w:r>
        <w:rPr/>
        <w:t>multiple</w:t>
      </w:r>
      <w:r>
        <w:rPr>
          <w:spacing w:val="-71"/>
        </w:rPr>
        <w:t> </w:t>
      </w:r>
      <w:r>
        <w:rPr/>
        <w:t>myeloma</w:t>
      </w:r>
      <w:r>
        <w:rPr>
          <w:spacing w:val="-70"/>
        </w:rPr>
        <w:t> </w:t>
      </w:r>
      <w:r>
        <w:rPr/>
        <w:t>is</w:t>
      </w:r>
      <w:r>
        <w:rPr>
          <w:spacing w:val="-70"/>
        </w:rPr>
        <w:t> </w:t>
      </w:r>
      <w:r>
        <w:rPr/>
        <w:t>doubled</w:t>
      </w:r>
      <w:r>
        <w:rPr>
          <w:spacing w:val="-69"/>
        </w:rPr>
        <w:t> </w:t>
      </w:r>
      <w:r>
        <w:rPr/>
        <w:t>with</w:t>
      </w:r>
      <w:r>
        <w:rPr>
          <w:spacing w:val="-71"/>
        </w:rPr>
        <w:t> </w:t>
      </w:r>
      <w:r>
        <w:rPr/>
        <w:t>bro- melain</w:t>
      </w:r>
    </w:p>
    <w:p>
      <w:pPr>
        <w:pStyle w:val="BodyText"/>
        <w:spacing w:line="276" w:lineRule="auto" w:before="260"/>
        <w:ind w:left="477" w:right="134"/>
        <w:jc w:val="both"/>
        <w:rPr>
          <w:sz w:val="25"/>
        </w:rPr>
      </w:pPr>
      <w:r>
        <w:rPr/>
        <w:t>Patients in the 3rd stage of multiple myeloma (bone-marrow cancer) lived for 83</w:t>
      </w:r>
      <w:r>
        <w:rPr>
          <w:spacing w:val="-13"/>
        </w:rPr>
        <w:t> </w:t>
      </w:r>
      <w:r>
        <w:rPr/>
        <w:t>months</w:t>
      </w:r>
      <w:r>
        <w:rPr>
          <w:spacing w:val="-13"/>
        </w:rPr>
        <w:t> </w:t>
      </w:r>
      <w:r>
        <w:rPr/>
        <w:t>on</w:t>
      </w:r>
      <w:r>
        <w:rPr>
          <w:spacing w:val="-11"/>
        </w:rPr>
        <w:t> </w:t>
      </w:r>
      <w:r>
        <w:rPr/>
        <w:t>average</w:t>
      </w:r>
      <w:r>
        <w:rPr>
          <w:spacing w:val="-12"/>
        </w:rPr>
        <w:t> </w:t>
      </w:r>
      <w:r>
        <w:rPr/>
        <w:t>with</w:t>
      </w:r>
      <w:r>
        <w:rPr>
          <w:spacing w:val="-11"/>
        </w:rPr>
        <w:t> </w:t>
      </w:r>
      <w:r>
        <w:rPr/>
        <w:t>enzyme</w:t>
      </w:r>
      <w:r>
        <w:rPr>
          <w:spacing w:val="-11"/>
        </w:rPr>
        <w:t> </w:t>
      </w:r>
      <w:r>
        <w:rPr/>
        <w:t>therapy,</w:t>
      </w:r>
      <w:r>
        <w:rPr>
          <w:spacing w:val="-14"/>
        </w:rPr>
        <w:t> </w:t>
      </w:r>
      <w:r>
        <w:rPr/>
        <w:t>while</w:t>
      </w:r>
      <w:r>
        <w:rPr>
          <w:spacing w:val="-12"/>
        </w:rPr>
        <w:t> </w:t>
      </w:r>
      <w:r>
        <w:rPr/>
        <w:t>subjects</w:t>
      </w:r>
      <w:r>
        <w:rPr>
          <w:spacing w:val="-11"/>
        </w:rPr>
        <w:t> </w:t>
      </w:r>
      <w:r>
        <w:rPr/>
        <w:t>in</w:t>
      </w:r>
      <w:r>
        <w:rPr>
          <w:spacing w:val="-14"/>
        </w:rPr>
        <w:t> </w:t>
      </w:r>
      <w:r>
        <w:rPr/>
        <w:t>the</w:t>
      </w:r>
      <w:r>
        <w:rPr>
          <w:spacing w:val="-13"/>
        </w:rPr>
        <w:t> </w:t>
      </w:r>
      <w:r>
        <w:rPr/>
        <w:t>control</w:t>
      </w:r>
      <w:r>
        <w:rPr>
          <w:spacing w:val="-12"/>
        </w:rPr>
        <w:t> </w:t>
      </w:r>
      <w:r>
        <w:rPr/>
        <w:t>group lived for an average of 47 months.</w:t>
      </w:r>
      <w:r>
        <w:rPr>
          <w:position w:val="9"/>
          <w:sz w:val="25"/>
        </w:rPr>
        <w:t>61</w:t>
      </w:r>
    </w:p>
    <w:p>
      <w:pPr>
        <w:pStyle w:val="BodyText"/>
        <w:rPr>
          <w:sz w:val="20"/>
        </w:rPr>
      </w:pPr>
    </w:p>
    <w:p>
      <w:pPr>
        <w:pStyle w:val="BodyText"/>
        <w:spacing w:before="9"/>
        <w:rPr>
          <w:sz w:val="19"/>
        </w:rPr>
      </w:pPr>
      <w:r>
        <w:rPr/>
        <w:pict>
          <v:line style="position:absolute;mso-position-horizontal-relative:page;mso-position-vertical-relative:paragraph;z-index:-64;mso-wrap-distance-left:0;mso-wrap-distance-right:0" from="63.863998pt,13.530015pt" to="207.883998pt,13.530015pt" stroked="true" strokeweight=".71997pt" strokecolor="#000000">
            <v:stroke dashstyle="solid"/>
            <w10:wrap type="topAndBottom"/>
          </v:line>
        </w:pict>
      </w:r>
    </w:p>
    <w:p>
      <w:pPr>
        <w:pStyle w:val="BodyText"/>
        <w:spacing w:before="7"/>
        <w:rPr>
          <w:sz w:val="18"/>
        </w:rPr>
      </w:pPr>
    </w:p>
    <w:p>
      <w:pPr>
        <w:spacing w:line="340" w:lineRule="auto" w:before="99"/>
        <w:ind w:left="477" w:right="1520" w:firstLine="0"/>
        <w:jc w:val="left"/>
        <w:rPr>
          <w:sz w:val="20"/>
        </w:rPr>
      </w:pPr>
      <w:r>
        <w:rPr>
          <w:position w:val="5"/>
          <w:sz w:val="13"/>
        </w:rPr>
        <w:t>58 </w:t>
      </w:r>
      <w:r>
        <w:rPr>
          <w:sz w:val="20"/>
        </w:rPr>
        <w:t>Barbara Simonsohn: Die sagenhafte Heilkraft der Ananas (‘The Legendary Healing Power of Pineapple’) 4th Edition, 2012, p.99 </w:t>
      </w:r>
      <w:r>
        <w:rPr>
          <w:position w:val="5"/>
          <w:sz w:val="13"/>
        </w:rPr>
        <w:t>59 </w:t>
      </w:r>
      <w:r>
        <w:rPr>
          <w:sz w:val="20"/>
        </w:rPr>
        <w:t>Barbara Simonsohn: Die sagenhafte Heilkraft der Ananas (‘The Legendary Healing Power of Pineapple’) 4th Edition, 2012, p.135 </w:t>
      </w:r>
      <w:r>
        <w:rPr>
          <w:position w:val="5"/>
          <w:sz w:val="13"/>
        </w:rPr>
        <w:t>60 </w:t>
      </w:r>
      <w:r>
        <w:rPr>
          <w:sz w:val="20"/>
        </w:rPr>
        <w:t>Tysnes et al. 2001</w:t>
      </w:r>
    </w:p>
    <w:p>
      <w:pPr>
        <w:spacing w:line="224" w:lineRule="exact" w:before="0"/>
        <w:ind w:left="477" w:right="0" w:firstLine="0"/>
        <w:jc w:val="left"/>
        <w:rPr>
          <w:sz w:val="20"/>
        </w:rPr>
      </w:pPr>
      <w:r>
        <w:rPr>
          <w:position w:val="5"/>
          <w:sz w:val="13"/>
        </w:rPr>
        <w:t>61 </w:t>
      </w:r>
      <w:r>
        <w:rPr>
          <w:sz w:val="20"/>
        </w:rPr>
        <w:t>Lova et al. 2001</w:t>
      </w:r>
    </w:p>
    <w:p>
      <w:pPr>
        <w:spacing w:after="0" w:line="224" w:lineRule="exact"/>
        <w:jc w:val="left"/>
        <w:rPr>
          <w:sz w:val="20"/>
        </w:rPr>
        <w:sectPr>
          <w:footerReference w:type="default" r:id="rId34"/>
          <w:pgSz w:w="14270" w:h="16850"/>
          <w:pgMar w:footer="527" w:header="0" w:top="1600" w:bottom="720" w:left="800" w:right="1280"/>
        </w:sectPr>
      </w:pPr>
    </w:p>
    <w:p>
      <w:pPr>
        <w:pStyle w:val="Heading1"/>
        <w:spacing w:line="261" w:lineRule="auto" w:before="164"/>
      </w:pPr>
      <w:r>
        <w:rPr/>
        <w:t>Enzyme</w:t>
      </w:r>
      <w:r>
        <w:rPr>
          <w:spacing w:val="-19"/>
        </w:rPr>
        <w:t> </w:t>
      </w:r>
      <w:r>
        <w:rPr/>
        <w:t>therapy</w:t>
      </w:r>
      <w:r>
        <w:rPr>
          <w:spacing w:val="-18"/>
        </w:rPr>
        <w:t> </w:t>
      </w:r>
      <w:r>
        <w:rPr/>
        <w:t>improves</w:t>
      </w:r>
      <w:r>
        <w:rPr>
          <w:spacing w:val="-18"/>
        </w:rPr>
        <w:t> </w:t>
      </w:r>
      <w:r>
        <w:rPr/>
        <w:t>quality</w:t>
      </w:r>
      <w:r>
        <w:rPr>
          <w:spacing w:val="-18"/>
        </w:rPr>
        <w:t> </w:t>
      </w:r>
      <w:r>
        <w:rPr/>
        <w:t>of</w:t>
      </w:r>
      <w:r>
        <w:rPr>
          <w:spacing w:val="-18"/>
        </w:rPr>
        <w:t> </w:t>
      </w:r>
      <w:r>
        <w:rPr/>
        <w:t>life</w:t>
      </w:r>
      <w:r>
        <w:rPr>
          <w:spacing w:val="-18"/>
        </w:rPr>
        <w:t> </w:t>
      </w:r>
      <w:r>
        <w:rPr/>
        <w:t>and</w:t>
      </w:r>
      <w:r>
        <w:rPr>
          <w:spacing w:val="-18"/>
        </w:rPr>
        <w:t> </w:t>
      </w:r>
      <w:r>
        <w:rPr/>
        <w:t>reduces</w:t>
      </w:r>
      <w:r>
        <w:rPr>
          <w:spacing w:val="-17"/>
        </w:rPr>
        <w:t> </w:t>
      </w:r>
      <w:r>
        <w:rPr/>
        <w:t>side</w:t>
      </w:r>
      <w:r>
        <w:rPr>
          <w:spacing w:val="-18"/>
        </w:rPr>
        <w:t> </w:t>
      </w:r>
      <w:r>
        <w:rPr/>
        <w:t>effects</w:t>
      </w:r>
      <w:r>
        <w:rPr>
          <w:spacing w:val="-17"/>
        </w:rPr>
        <w:t> </w:t>
      </w:r>
      <w:r>
        <w:rPr/>
        <w:t>after radiotherapy and</w:t>
      </w:r>
      <w:r>
        <w:rPr>
          <w:spacing w:val="-20"/>
        </w:rPr>
        <w:t> </w:t>
      </w:r>
      <w:r>
        <w:rPr/>
        <w:t>chemotherapy</w:t>
      </w:r>
    </w:p>
    <w:p>
      <w:pPr>
        <w:pStyle w:val="BodyText"/>
        <w:spacing w:line="276" w:lineRule="auto" w:before="260"/>
        <w:ind w:left="477" w:right="131"/>
        <w:rPr>
          <w:sz w:val="25"/>
        </w:rPr>
      </w:pPr>
      <w:r>
        <w:rPr/>
        <w:t>In a large study on 3,500 patients, it was shown that enzyme intake improves quality of life and reduces the side effects of radiotherapy and chemotherapy.</w:t>
      </w:r>
      <w:r>
        <w:rPr>
          <w:position w:val="9"/>
          <w:sz w:val="25"/>
        </w:rPr>
        <w:t>62</w:t>
      </w:r>
    </w:p>
    <w:p>
      <w:pPr>
        <w:pStyle w:val="BodyText"/>
        <w:rPr>
          <w:sz w:val="42"/>
        </w:rPr>
      </w:pPr>
    </w:p>
    <w:p>
      <w:pPr>
        <w:pStyle w:val="BodyText"/>
        <w:rPr>
          <w:sz w:val="42"/>
        </w:rPr>
      </w:pPr>
    </w:p>
    <w:p>
      <w:pPr>
        <w:pStyle w:val="BodyText"/>
        <w:rPr>
          <w:sz w:val="42"/>
        </w:rPr>
      </w:pPr>
    </w:p>
    <w:p>
      <w:pPr>
        <w:pStyle w:val="Heading1"/>
        <w:spacing w:before="269"/>
      </w:pPr>
      <w:r>
        <w:rPr/>
        <w:t>Enzymes protect the liver during</w:t>
      </w:r>
      <w:r>
        <w:rPr>
          <w:spacing w:val="-71"/>
        </w:rPr>
        <w:t> </w:t>
      </w:r>
      <w:r>
        <w:rPr/>
        <w:t>chemotherapy</w:t>
      </w:r>
    </w:p>
    <w:p>
      <w:pPr>
        <w:pStyle w:val="BodyText"/>
        <w:spacing w:line="276" w:lineRule="auto" w:before="299"/>
        <w:ind w:left="477" w:right="129"/>
        <w:rPr>
          <w:sz w:val="25"/>
        </w:rPr>
      </w:pPr>
      <w:r>
        <w:rPr/>
        <w:t>In a placebo-controlled study, proteolytic enzymes provided protection against liver enzyme increase during carboplatin chemotherapy.</w:t>
      </w:r>
      <w:r>
        <w:rPr>
          <w:position w:val="9"/>
          <w:sz w:val="25"/>
        </w:rPr>
        <w:t>63</w:t>
      </w:r>
    </w:p>
    <w:p>
      <w:pPr>
        <w:pStyle w:val="Heading1"/>
        <w:spacing w:before="223"/>
      </w:pPr>
      <w:r>
        <w:rPr/>
        <w:t>Side effects of irradiation diminished by enzyme therapy</w:t>
      </w:r>
    </w:p>
    <w:p>
      <w:pPr>
        <w:pStyle w:val="BodyText"/>
        <w:spacing w:line="276" w:lineRule="auto" w:before="300"/>
        <w:ind w:left="477"/>
        <w:rPr>
          <w:sz w:val="25"/>
        </w:rPr>
      </w:pPr>
      <w:r>
        <w:rPr/>
        <w:t>For head and neck tumours, bronchial and cervical carcinomas, administration of enzymes could reduce the side effects of radiotherapy.</w:t>
      </w:r>
      <w:r>
        <w:rPr>
          <w:position w:val="9"/>
          <w:sz w:val="25"/>
        </w:rPr>
        <w:t>64</w:t>
      </w:r>
    </w:p>
    <w:p>
      <w:pPr>
        <w:pStyle w:val="Heading1"/>
        <w:spacing w:before="221"/>
      </w:pPr>
      <w:r>
        <w:rPr/>
        <w:t>Metastasis suppressed in Lewis lung</w:t>
      </w:r>
      <w:r>
        <w:rPr>
          <w:spacing w:val="-69"/>
        </w:rPr>
        <w:t> </w:t>
      </w:r>
      <w:r>
        <w:rPr/>
        <w:t>carcinoma</w:t>
      </w:r>
    </w:p>
    <w:p>
      <w:pPr>
        <w:pStyle w:val="BodyText"/>
        <w:spacing w:line="276" w:lineRule="auto" w:before="299"/>
        <w:ind w:left="477"/>
        <w:rPr>
          <w:sz w:val="25"/>
        </w:rPr>
      </w:pPr>
      <w:r>
        <w:rPr/>
        <w:t>Oral doses of bromelain prevented the metastasis of Lewis lung carcinoma in animal studies.</w:t>
      </w:r>
      <w:r>
        <w:rPr>
          <w:position w:val="9"/>
          <w:sz w:val="25"/>
        </w:rPr>
        <w:t>65</w:t>
      </w:r>
    </w:p>
    <w:p>
      <w:pPr>
        <w:pStyle w:val="Heading2"/>
        <w:spacing w:before="241"/>
      </w:pPr>
      <w:r>
        <w:rPr/>
        <w:t>How should bromelain be taken?</w:t>
      </w:r>
    </w:p>
    <w:p>
      <w:pPr>
        <w:pStyle w:val="BodyText"/>
        <w:spacing w:before="305"/>
        <w:ind w:left="477"/>
      </w:pPr>
      <w:r>
        <w:rPr/>
        <w:t>Most</w:t>
      </w:r>
      <w:r>
        <w:rPr>
          <w:spacing w:val="-16"/>
        </w:rPr>
        <w:t> </w:t>
      </w:r>
      <w:r>
        <w:rPr/>
        <w:t>bromelain</w:t>
      </w:r>
      <w:r>
        <w:rPr>
          <w:spacing w:val="-18"/>
        </w:rPr>
        <w:t> </w:t>
      </w:r>
      <w:r>
        <w:rPr/>
        <w:t>researchers,</w:t>
      </w:r>
      <w:r>
        <w:rPr>
          <w:spacing w:val="-17"/>
        </w:rPr>
        <w:t> </w:t>
      </w:r>
      <w:r>
        <w:rPr/>
        <w:t>most</w:t>
      </w:r>
      <w:r>
        <w:rPr>
          <w:spacing w:val="-16"/>
        </w:rPr>
        <w:t> </w:t>
      </w:r>
      <w:r>
        <w:rPr/>
        <w:t>notably</w:t>
      </w:r>
      <w:r>
        <w:rPr>
          <w:spacing w:val="-15"/>
        </w:rPr>
        <w:t> </w:t>
      </w:r>
      <w:r>
        <w:rPr/>
        <w:t>Dr.</w:t>
      </w:r>
      <w:r>
        <w:rPr>
          <w:spacing w:val="-16"/>
        </w:rPr>
        <w:t> </w:t>
      </w:r>
      <w:r>
        <w:rPr/>
        <w:t>Taussig,</w:t>
      </w:r>
      <w:r>
        <w:rPr>
          <w:spacing w:val="-15"/>
        </w:rPr>
        <w:t> </w:t>
      </w:r>
      <w:r>
        <w:rPr/>
        <w:t>who</w:t>
      </w:r>
      <w:r>
        <w:rPr>
          <w:spacing w:val="-14"/>
        </w:rPr>
        <w:t> </w:t>
      </w:r>
      <w:r>
        <w:rPr/>
        <w:t>spent</w:t>
      </w:r>
      <w:r>
        <w:rPr>
          <w:spacing w:val="-18"/>
        </w:rPr>
        <w:t> </w:t>
      </w:r>
      <w:r>
        <w:rPr/>
        <w:t>over</w:t>
      </w:r>
      <w:r>
        <w:rPr>
          <w:spacing w:val="-15"/>
        </w:rPr>
        <w:t> </w:t>
      </w:r>
      <w:r>
        <w:rPr/>
        <w:t>30</w:t>
      </w:r>
      <w:r>
        <w:rPr>
          <w:spacing w:val="-16"/>
        </w:rPr>
        <w:t> </w:t>
      </w:r>
      <w:r>
        <w:rPr/>
        <w:t>years</w:t>
      </w:r>
    </w:p>
    <w:p>
      <w:pPr>
        <w:pStyle w:val="BodyText"/>
        <w:spacing w:before="1"/>
        <w:rPr>
          <w:sz w:val="25"/>
        </w:rPr>
      </w:pPr>
      <w:r>
        <w:rPr/>
        <w:pict>
          <v:line style="position:absolute;mso-position-horizontal-relative:page;mso-position-vertical-relative:paragraph;z-index:-40;mso-wrap-distance-left:0;mso-wrap-distance-right:0" from="63.863998pt,16.505014pt" to="207.883998pt,16.505014pt" stroked="true" strokeweight=".71997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62 </w:t>
      </w:r>
      <w:r>
        <w:rPr>
          <w:sz w:val="20"/>
        </w:rPr>
        <w:t>Beuth et. al 2001</w:t>
      </w:r>
    </w:p>
    <w:p>
      <w:pPr>
        <w:spacing w:before="94"/>
        <w:ind w:left="477" w:right="0" w:firstLine="0"/>
        <w:jc w:val="left"/>
        <w:rPr>
          <w:sz w:val="20"/>
        </w:rPr>
      </w:pPr>
      <w:r>
        <w:rPr>
          <w:position w:val="5"/>
          <w:sz w:val="13"/>
        </w:rPr>
        <w:t>63 </w:t>
      </w:r>
      <w:r>
        <w:rPr>
          <w:sz w:val="20"/>
        </w:rPr>
        <w:t>Lahousen et al. 1995</w:t>
      </w:r>
    </w:p>
    <w:p>
      <w:pPr>
        <w:spacing w:before="95"/>
        <w:ind w:left="477" w:right="0" w:firstLine="0"/>
        <w:jc w:val="left"/>
        <w:rPr>
          <w:sz w:val="20"/>
        </w:rPr>
      </w:pPr>
      <w:r>
        <w:rPr/>
        <w:drawing>
          <wp:anchor distT="0" distB="0" distL="0" distR="0" allowOverlap="1" layoutInCell="1" locked="0" behindDoc="1" simplePos="0" relativeHeight="267167759">
            <wp:simplePos x="0" y="0"/>
            <wp:positionH relativeFrom="page">
              <wp:posOffset>896463</wp:posOffset>
            </wp:positionH>
            <wp:positionV relativeFrom="paragraph">
              <wp:posOffset>142597</wp:posOffset>
            </wp:positionV>
            <wp:extent cx="6379583" cy="902106"/>
            <wp:effectExtent l="0" t="0" r="0" b="0"/>
            <wp:wrapNone/>
            <wp:docPr id="37" name="image2.jpeg" descr=""/>
            <wp:cNvGraphicFramePr>
              <a:graphicFrameLocks noChangeAspect="1"/>
            </wp:cNvGraphicFramePr>
            <a:graphic>
              <a:graphicData uri="http://schemas.openxmlformats.org/drawingml/2006/picture">
                <pic:pic>
                  <pic:nvPicPr>
                    <pic:cNvPr id="38"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64 </w:t>
      </w:r>
      <w:r>
        <w:rPr>
          <w:sz w:val="20"/>
        </w:rPr>
        <w:t>Dale et al. 2001, Gujal et al. 2001, Hanul et al. 2000, Smolanka et al. 2000, Kaul et al. 1999</w:t>
      </w:r>
    </w:p>
    <w:p>
      <w:pPr>
        <w:spacing w:before="94"/>
        <w:ind w:left="477" w:right="0" w:firstLine="0"/>
        <w:jc w:val="left"/>
        <w:rPr>
          <w:sz w:val="20"/>
        </w:rPr>
      </w:pPr>
      <w:r>
        <w:rPr>
          <w:position w:val="5"/>
          <w:sz w:val="13"/>
        </w:rPr>
        <w:t>65 </w:t>
      </w:r>
      <w:r>
        <w:rPr>
          <w:sz w:val="20"/>
        </w:rPr>
        <w:t>Batkins et al. J CancerRes ClinOncol, 1988; 114, p.507 f.</w:t>
      </w:r>
    </w:p>
    <w:p>
      <w:pPr>
        <w:spacing w:after="0"/>
        <w:jc w:val="left"/>
        <w:rPr>
          <w:sz w:val="20"/>
        </w:rPr>
        <w:sectPr>
          <w:footerReference w:type="default" r:id="rId35"/>
          <w:pgSz w:w="14270" w:h="16850"/>
          <w:pgMar w:footer="527" w:header="0" w:top="1600" w:bottom="720" w:left="800" w:right="1280"/>
          <w:pgNumType w:start="170"/>
        </w:sectPr>
      </w:pPr>
    </w:p>
    <w:p>
      <w:pPr>
        <w:pStyle w:val="BodyText"/>
        <w:spacing w:line="276" w:lineRule="auto" w:before="181"/>
        <w:ind w:left="477" w:right="130"/>
        <w:jc w:val="both"/>
      </w:pPr>
      <w:r>
        <w:rPr/>
        <w:t>of his professional life researching this phenomenal enzyme, recommends a high</w:t>
      </w:r>
      <w:r>
        <w:rPr>
          <w:spacing w:val="-21"/>
        </w:rPr>
        <w:t> </w:t>
      </w:r>
      <w:r>
        <w:rPr/>
        <w:t>dose</w:t>
      </w:r>
      <w:r>
        <w:rPr>
          <w:spacing w:val="-26"/>
        </w:rPr>
        <w:t> </w:t>
      </w:r>
      <w:r>
        <w:rPr/>
        <w:t>of</w:t>
      </w:r>
      <w:r>
        <w:rPr>
          <w:spacing w:val="-23"/>
        </w:rPr>
        <w:t> </w:t>
      </w:r>
      <w:r>
        <w:rPr/>
        <w:t>bromelain</w:t>
      </w:r>
      <w:r>
        <w:rPr>
          <w:spacing w:val="-21"/>
        </w:rPr>
        <w:t> </w:t>
      </w:r>
      <w:r>
        <w:rPr/>
        <w:t>to</w:t>
      </w:r>
      <w:r>
        <w:rPr>
          <w:spacing w:val="-22"/>
        </w:rPr>
        <w:t> </w:t>
      </w:r>
      <w:r>
        <w:rPr/>
        <w:t>achieve</w:t>
      </w:r>
      <w:r>
        <w:rPr>
          <w:spacing w:val="-21"/>
        </w:rPr>
        <w:t> </w:t>
      </w:r>
      <w:r>
        <w:rPr/>
        <w:t>meaningful</w:t>
      </w:r>
      <w:r>
        <w:rPr>
          <w:spacing w:val="-22"/>
        </w:rPr>
        <w:t> </w:t>
      </w:r>
      <w:r>
        <w:rPr/>
        <w:t>results.</w:t>
      </w:r>
      <w:r>
        <w:rPr>
          <w:spacing w:val="-21"/>
        </w:rPr>
        <w:t> </w:t>
      </w:r>
      <w:r>
        <w:rPr/>
        <w:t>For</w:t>
      </w:r>
      <w:r>
        <w:rPr>
          <w:spacing w:val="-22"/>
        </w:rPr>
        <w:t> </w:t>
      </w:r>
      <w:r>
        <w:rPr/>
        <w:t>chronic</w:t>
      </w:r>
      <w:r>
        <w:rPr>
          <w:spacing w:val="-22"/>
        </w:rPr>
        <w:t> </w:t>
      </w:r>
      <w:r>
        <w:rPr/>
        <w:t>diseases,</w:t>
      </w:r>
      <w:r>
        <w:rPr>
          <w:spacing w:val="-23"/>
        </w:rPr>
        <w:t> </w:t>
      </w:r>
      <w:r>
        <w:rPr/>
        <w:t>400- 2400 mg bromelain per day is recommended (in oncology, daily doses of</w:t>
      </w:r>
      <w:r>
        <w:rPr>
          <w:spacing w:val="-25"/>
        </w:rPr>
        <w:t> </w:t>
      </w:r>
      <w:r>
        <w:rPr/>
        <w:t>400).</w:t>
      </w:r>
    </w:p>
    <w:p>
      <w:pPr>
        <w:pStyle w:val="BodyText"/>
        <w:spacing w:line="276" w:lineRule="auto" w:before="242"/>
        <w:ind w:left="477" w:right="137"/>
        <w:jc w:val="both"/>
      </w:pPr>
      <w:r>
        <w:rPr/>
        <w:t>Bromelain should be taken in three portions, one hour before eating or two hours after each meal.</w:t>
      </w:r>
    </w:p>
    <w:p>
      <w:pPr>
        <w:pStyle w:val="Heading1"/>
        <w:spacing w:before="221"/>
      </w:pPr>
      <w:r>
        <w:rPr/>
        <w:t>Which bromelain supplements are available on the market?</w:t>
      </w:r>
    </w:p>
    <w:p>
      <w:pPr>
        <w:pStyle w:val="BodyText"/>
        <w:spacing w:line="276" w:lineRule="auto" w:before="299"/>
        <w:ind w:left="477" w:right="132"/>
        <w:jc w:val="both"/>
      </w:pPr>
      <w:r>
        <w:rPr/>
        <w:t>There are monopreparations which only contain bromelain on the one hand, and combination-preparations with several enzymes on the other. When buy- ing,</w:t>
      </w:r>
      <w:r>
        <w:rPr>
          <w:spacing w:val="-13"/>
        </w:rPr>
        <w:t> </w:t>
      </w:r>
      <w:r>
        <w:rPr/>
        <w:t>care</w:t>
      </w:r>
      <w:r>
        <w:rPr>
          <w:spacing w:val="-12"/>
        </w:rPr>
        <w:t> </w:t>
      </w:r>
      <w:r>
        <w:rPr/>
        <w:t>should</w:t>
      </w:r>
      <w:r>
        <w:rPr>
          <w:spacing w:val="-14"/>
        </w:rPr>
        <w:t> </w:t>
      </w:r>
      <w:r>
        <w:rPr/>
        <w:t>be</w:t>
      </w:r>
      <w:r>
        <w:rPr>
          <w:spacing w:val="-14"/>
        </w:rPr>
        <w:t> </w:t>
      </w:r>
      <w:r>
        <w:rPr/>
        <w:t>taken</w:t>
      </w:r>
      <w:r>
        <w:rPr>
          <w:spacing w:val="-13"/>
        </w:rPr>
        <w:t> </w:t>
      </w:r>
      <w:r>
        <w:rPr/>
        <w:t>that</w:t>
      </w:r>
      <w:r>
        <w:rPr>
          <w:spacing w:val="-13"/>
        </w:rPr>
        <w:t> </w:t>
      </w:r>
      <w:r>
        <w:rPr/>
        <w:t>the</w:t>
      </w:r>
      <w:r>
        <w:rPr>
          <w:spacing w:val="-13"/>
        </w:rPr>
        <w:t> </w:t>
      </w:r>
      <w:r>
        <w:rPr/>
        <w:t>enzymatic</w:t>
      </w:r>
      <w:r>
        <w:rPr>
          <w:spacing w:val="-13"/>
        </w:rPr>
        <w:t> </w:t>
      </w:r>
      <w:r>
        <w:rPr/>
        <w:t>activity</w:t>
      </w:r>
      <w:r>
        <w:rPr>
          <w:spacing w:val="-13"/>
        </w:rPr>
        <w:t> </w:t>
      </w:r>
      <w:r>
        <w:rPr/>
        <w:t>is</w:t>
      </w:r>
      <w:r>
        <w:rPr>
          <w:spacing w:val="-14"/>
        </w:rPr>
        <w:t> </w:t>
      </w:r>
      <w:r>
        <w:rPr/>
        <w:t>at</w:t>
      </w:r>
      <w:r>
        <w:rPr>
          <w:spacing w:val="-14"/>
        </w:rPr>
        <w:t> </w:t>
      </w:r>
      <w:r>
        <w:rPr/>
        <w:t>least</w:t>
      </w:r>
      <w:r>
        <w:rPr>
          <w:spacing w:val="-14"/>
        </w:rPr>
        <w:t> </w:t>
      </w:r>
      <w:r>
        <w:rPr/>
        <w:t>2.2</w:t>
      </w:r>
      <w:r>
        <w:rPr>
          <w:spacing w:val="-14"/>
        </w:rPr>
        <w:t> </w:t>
      </w:r>
      <w:r>
        <w:rPr/>
        <w:t>F.I.D.</w:t>
      </w:r>
      <w:r>
        <w:rPr>
          <w:spacing w:val="-12"/>
        </w:rPr>
        <w:t> </w:t>
      </w:r>
      <w:r>
        <w:rPr/>
        <w:t>per</w:t>
      </w:r>
      <w:r>
        <w:rPr>
          <w:spacing w:val="-14"/>
        </w:rPr>
        <w:t> </w:t>
      </w:r>
      <w:r>
        <w:rPr/>
        <w:t>mg.</w:t>
      </w:r>
    </w:p>
    <w:p>
      <w:pPr>
        <w:pStyle w:val="Heading1"/>
      </w:pPr>
      <w:r>
        <w:rPr/>
        <w:t>Bromelain mono-preparations</w:t>
      </w:r>
    </w:p>
    <w:p>
      <w:pPr>
        <w:pStyle w:val="BodyText"/>
        <w:spacing w:line="273" w:lineRule="auto" w:before="282"/>
        <w:ind w:left="477" w:right="136"/>
        <w:jc w:val="both"/>
      </w:pPr>
      <w:r>
        <w:rPr>
          <w:b/>
          <w:i/>
          <w:sz w:val="40"/>
        </w:rPr>
        <w:t>Bromelain POS</w:t>
      </w:r>
      <w:r>
        <w:rPr/>
        <w:t>: contains 200 mg bromelain per capsule; application areas: Reduce</w:t>
      </w:r>
      <w:r>
        <w:rPr>
          <w:spacing w:val="-15"/>
        </w:rPr>
        <w:t> </w:t>
      </w:r>
      <w:r>
        <w:rPr/>
        <w:t>inflammation,</w:t>
      </w:r>
      <w:r>
        <w:rPr>
          <w:spacing w:val="-14"/>
        </w:rPr>
        <w:t> </w:t>
      </w:r>
      <w:r>
        <w:rPr/>
        <w:t>improve</w:t>
      </w:r>
      <w:r>
        <w:rPr>
          <w:spacing w:val="-17"/>
        </w:rPr>
        <w:t> </w:t>
      </w:r>
      <w:r>
        <w:rPr/>
        <w:t>the</w:t>
      </w:r>
      <w:r>
        <w:rPr>
          <w:spacing w:val="-13"/>
        </w:rPr>
        <w:t> </w:t>
      </w:r>
      <w:r>
        <w:rPr/>
        <w:t>flow</w:t>
      </w:r>
      <w:r>
        <w:rPr>
          <w:spacing w:val="-16"/>
        </w:rPr>
        <w:t> </w:t>
      </w:r>
      <w:r>
        <w:rPr/>
        <w:t>properties</w:t>
      </w:r>
      <w:r>
        <w:rPr>
          <w:spacing w:val="-14"/>
        </w:rPr>
        <w:t> </w:t>
      </w:r>
      <w:r>
        <w:rPr/>
        <w:t>of</w:t>
      </w:r>
      <w:r>
        <w:rPr>
          <w:spacing w:val="-17"/>
        </w:rPr>
        <w:t> </w:t>
      </w:r>
      <w:r>
        <w:rPr/>
        <w:t>the</w:t>
      </w:r>
      <w:r>
        <w:rPr>
          <w:spacing w:val="-16"/>
        </w:rPr>
        <w:t> </w:t>
      </w:r>
      <w:r>
        <w:rPr/>
        <w:t>blood,</w:t>
      </w:r>
      <w:r>
        <w:rPr>
          <w:spacing w:val="-19"/>
        </w:rPr>
        <w:t> </w:t>
      </w:r>
      <w:r>
        <w:rPr/>
        <w:t>reduce</w:t>
      </w:r>
      <w:r>
        <w:rPr>
          <w:spacing w:val="-15"/>
        </w:rPr>
        <w:t> </w:t>
      </w:r>
      <w:r>
        <w:rPr/>
        <w:t>protein deposits.</w:t>
      </w:r>
    </w:p>
    <w:p>
      <w:pPr>
        <w:pStyle w:val="BodyText"/>
        <w:spacing w:line="271" w:lineRule="auto" w:before="227"/>
        <w:ind w:left="477" w:right="138"/>
        <w:jc w:val="both"/>
      </w:pPr>
      <w:r>
        <w:rPr>
          <w:b/>
          <w:i/>
          <w:sz w:val="40"/>
        </w:rPr>
        <w:t>Mucozyme</w:t>
      </w:r>
      <w:r>
        <w:rPr/>
        <w:t>: contains 160-200 mg bromelain per capsule; application areas: swellings and injuries.</w:t>
      </w:r>
    </w:p>
    <w:p>
      <w:pPr>
        <w:pStyle w:val="BodyText"/>
        <w:spacing w:line="271" w:lineRule="auto" w:before="232"/>
        <w:ind w:left="477" w:right="141"/>
        <w:jc w:val="both"/>
      </w:pPr>
      <w:r>
        <w:rPr>
          <w:b/>
          <w:i/>
          <w:sz w:val="40"/>
        </w:rPr>
        <w:t>Proteozyme</w:t>
      </w:r>
      <w:r>
        <w:rPr/>
        <w:t>: contains 45 mg bromelain per capsule; application areas: Oede- mas, inflammatory processes, swelling of the mucous membranes.</w:t>
      </w:r>
    </w:p>
    <w:p>
      <w:pPr>
        <w:pStyle w:val="Heading1"/>
        <w:spacing w:before="233"/>
        <w:jc w:val="both"/>
      </w:pPr>
      <w:r>
        <w:rPr/>
        <w:t>Bromelain combination preparations</w:t>
      </w:r>
    </w:p>
    <w:p>
      <w:pPr>
        <w:spacing w:after="0"/>
        <w:jc w:val="both"/>
        <w:sectPr>
          <w:footerReference w:type="default" r:id="rId36"/>
          <w:pgSz w:w="14270" w:h="16850"/>
          <w:pgMar w:footer="1891" w:header="0" w:top="1600" w:bottom="2080" w:left="800" w:right="1280"/>
          <w:pgNumType w:start="171"/>
        </w:sectPr>
      </w:pPr>
    </w:p>
    <w:p>
      <w:pPr>
        <w:pStyle w:val="BodyText"/>
        <w:spacing w:line="276" w:lineRule="auto" w:before="181"/>
        <w:ind w:left="477" w:right="140"/>
        <w:jc w:val="both"/>
      </w:pPr>
      <w:r>
        <w:rPr/>
        <w:t>Bromelain combination preparations combine bromelain with other useful en- zymes, such as papain, derived from the papaya fruit.</w:t>
      </w:r>
    </w:p>
    <w:p>
      <w:pPr>
        <w:pStyle w:val="BodyText"/>
        <w:spacing w:line="271" w:lineRule="auto" w:before="224"/>
        <w:ind w:left="477" w:right="139"/>
        <w:jc w:val="both"/>
      </w:pPr>
      <w:r>
        <w:rPr>
          <w:b/>
          <w:i/>
          <w:sz w:val="40"/>
        </w:rPr>
        <w:t>Papaya35</w:t>
      </w:r>
      <w:r>
        <w:rPr/>
        <w:t>:</w:t>
      </w:r>
      <w:r>
        <w:rPr>
          <w:spacing w:val="-29"/>
        </w:rPr>
        <w:t> </w:t>
      </w:r>
      <w:r>
        <w:rPr/>
        <w:t>contains</w:t>
      </w:r>
      <w:r>
        <w:rPr>
          <w:spacing w:val="-28"/>
        </w:rPr>
        <w:t> </w:t>
      </w:r>
      <w:r>
        <w:rPr/>
        <w:t>35</w:t>
      </w:r>
      <w:r>
        <w:rPr>
          <w:spacing w:val="-29"/>
        </w:rPr>
        <w:t> </w:t>
      </w:r>
      <w:r>
        <w:rPr/>
        <w:t>mg</w:t>
      </w:r>
      <w:r>
        <w:rPr>
          <w:spacing w:val="-28"/>
        </w:rPr>
        <w:t> </w:t>
      </w:r>
      <w:r>
        <w:rPr/>
        <w:t>papain</w:t>
      </w:r>
      <w:r>
        <w:rPr>
          <w:spacing w:val="-30"/>
        </w:rPr>
        <w:t> </w:t>
      </w:r>
      <w:r>
        <w:rPr/>
        <w:t>and</w:t>
      </w:r>
      <w:r>
        <w:rPr>
          <w:spacing w:val="-28"/>
        </w:rPr>
        <w:t> </w:t>
      </w:r>
      <w:r>
        <w:rPr/>
        <w:t>40</w:t>
      </w:r>
      <w:r>
        <w:rPr>
          <w:spacing w:val="-30"/>
        </w:rPr>
        <w:t> </w:t>
      </w:r>
      <w:r>
        <w:rPr/>
        <w:t>mg</w:t>
      </w:r>
      <w:r>
        <w:rPr>
          <w:spacing w:val="-30"/>
        </w:rPr>
        <w:t> </w:t>
      </w:r>
      <w:r>
        <w:rPr/>
        <w:t>bromelain</w:t>
      </w:r>
      <w:r>
        <w:rPr>
          <w:spacing w:val="-28"/>
        </w:rPr>
        <w:t> </w:t>
      </w:r>
      <w:r>
        <w:rPr/>
        <w:t>per</w:t>
      </w:r>
      <w:r>
        <w:rPr>
          <w:spacing w:val="-29"/>
        </w:rPr>
        <w:t> </w:t>
      </w:r>
      <w:r>
        <w:rPr/>
        <w:t>capsule;</w:t>
      </w:r>
      <w:r>
        <w:rPr>
          <w:spacing w:val="-28"/>
        </w:rPr>
        <w:t> </w:t>
      </w:r>
      <w:r>
        <w:rPr/>
        <w:t>application areas: defence against foreign</w:t>
      </w:r>
      <w:r>
        <w:rPr>
          <w:spacing w:val="3"/>
        </w:rPr>
        <w:t> </w:t>
      </w:r>
      <w:r>
        <w:rPr/>
        <w:t>cells.</w:t>
      </w:r>
    </w:p>
    <w:p>
      <w:pPr>
        <w:pStyle w:val="BodyText"/>
        <w:spacing w:line="273" w:lineRule="auto" w:before="232"/>
        <w:ind w:left="477" w:right="132"/>
        <w:jc w:val="both"/>
      </w:pPr>
      <w:r>
        <w:rPr>
          <w:b/>
          <w:i/>
          <w:sz w:val="40"/>
        </w:rPr>
        <w:t>Mulsal N</w:t>
      </w:r>
      <w:r>
        <w:rPr/>
        <w:t>: contains papain and trypsioxxn plus 45 mg bromelain per capsule; application areas: arthritis and other rheumatic diseases, ankylosing spondylitis, chronic inflammation of all kinds, and more.</w:t>
      </w:r>
    </w:p>
    <w:p>
      <w:pPr>
        <w:pStyle w:val="BodyText"/>
        <w:spacing w:line="273" w:lineRule="auto" w:before="227"/>
        <w:ind w:left="477" w:right="136"/>
        <w:jc w:val="both"/>
      </w:pPr>
      <w:r>
        <w:rPr>
          <w:b/>
          <w:i/>
          <w:sz w:val="40"/>
        </w:rPr>
        <w:t>Wobenzym N</w:t>
      </w:r>
      <w:r>
        <w:rPr/>
        <w:t>: contains 45 mg of bromelain per capsule, as well as papain, trypsin, pancreatin and chymotrypsin, and is probably the best known of all enzyme preparations; application areas: thrombosis, inflammation and more.</w:t>
      </w:r>
    </w:p>
    <w:p>
      <w:pPr>
        <w:pStyle w:val="Heading2"/>
        <w:spacing w:before="245"/>
        <w:jc w:val="both"/>
      </w:pPr>
      <w:r>
        <w:rPr/>
        <w:t>Side effects of pineapple/bromelain</w:t>
      </w:r>
    </w:p>
    <w:p>
      <w:pPr>
        <w:pStyle w:val="BodyText"/>
        <w:spacing w:before="303"/>
        <w:ind w:left="477"/>
        <w:jc w:val="both"/>
      </w:pPr>
      <w:r>
        <w:rPr/>
        <w:t>Does pineapple or its enzyme bromelain cause side effects or interactions?</w:t>
      </w:r>
    </w:p>
    <w:p>
      <w:pPr>
        <w:pStyle w:val="BodyText"/>
        <w:spacing w:line="276" w:lineRule="auto" w:before="304"/>
        <w:ind w:left="477" w:right="137"/>
        <w:jc w:val="both"/>
      </w:pPr>
      <w:r>
        <w:rPr/>
        <w:t>Pineapple has also been tried and tested in our latitudes for centuries as a pop- ular</w:t>
      </w:r>
      <w:r>
        <w:rPr>
          <w:spacing w:val="-21"/>
        </w:rPr>
        <w:t> </w:t>
      </w:r>
      <w:r>
        <w:rPr/>
        <w:t>food</w:t>
      </w:r>
      <w:r>
        <w:rPr>
          <w:spacing w:val="-22"/>
        </w:rPr>
        <w:t> </w:t>
      </w:r>
      <w:r>
        <w:rPr/>
        <w:t>and</w:t>
      </w:r>
      <w:r>
        <w:rPr>
          <w:spacing w:val="-21"/>
        </w:rPr>
        <w:t> </w:t>
      </w:r>
      <w:r>
        <w:rPr/>
        <w:t>has</w:t>
      </w:r>
      <w:r>
        <w:rPr>
          <w:spacing w:val="-21"/>
        </w:rPr>
        <w:t> </w:t>
      </w:r>
      <w:r>
        <w:rPr/>
        <w:t>fundamentally</w:t>
      </w:r>
      <w:r>
        <w:rPr>
          <w:spacing w:val="-18"/>
        </w:rPr>
        <w:t> </w:t>
      </w:r>
      <w:r>
        <w:rPr/>
        <w:t>confirmed</w:t>
      </w:r>
      <w:r>
        <w:rPr>
          <w:spacing w:val="-21"/>
        </w:rPr>
        <w:t> </w:t>
      </w:r>
      <w:r>
        <w:rPr/>
        <w:t>its</w:t>
      </w:r>
      <w:r>
        <w:rPr>
          <w:spacing w:val="-21"/>
        </w:rPr>
        <w:t> </w:t>
      </w:r>
      <w:r>
        <w:rPr/>
        <w:t>safety,</w:t>
      </w:r>
      <w:r>
        <w:rPr>
          <w:spacing w:val="-20"/>
        </w:rPr>
        <w:t> </w:t>
      </w:r>
      <w:r>
        <w:rPr/>
        <w:t>even</w:t>
      </w:r>
      <w:r>
        <w:rPr>
          <w:spacing w:val="-21"/>
        </w:rPr>
        <w:t> </w:t>
      </w:r>
      <w:r>
        <w:rPr/>
        <w:t>at</w:t>
      </w:r>
      <w:r>
        <w:rPr>
          <w:spacing w:val="-22"/>
        </w:rPr>
        <w:t> </w:t>
      </w:r>
      <w:r>
        <w:rPr/>
        <w:t>high</w:t>
      </w:r>
      <w:r>
        <w:rPr>
          <w:spacing w:val="-22"/>
        </w:rPr>
        <w:t> </w:t>
      </w:r>
      <w:r>
        <w:rPr/>
        <w:t>levels.</w:t>
      </w:r>
      <w:r>
        <w:rPr>
          <w:spacing w:val="-21"/>
        </w:rPr>
        <w:t> </w:t>
      </w:r>
      <w:r>
        <w:rPr/>
        <w:t>People who suffer from gastritis and gastric ulcers may use bromelain</w:t>
      </w:r>
      <w:r>
        <w:rPr>
          <w:spacing w:val="-15"/>
        </w:rPr>
        <w:t> </w:t>
      </w:r>
      <w:r>
        <w:rPr/>
        <w:t>supplements.</w:t>
      </w:r>
    </w:p>
    <w:p>
      <w:pPr>
        <w:pStyle w:val="BodyText"/>
        <w:spacing w:line="276" w:lineRule="auto" w:before="242"/>
        <w:ind w:left="477" w:right="136"/>
        <w:jc w:val="both"/>
      </w:pPr>
      <w:r>
        <w:rPr/>
        <w:t>The</w:t>
      </w:r>
      <w:r>
        <w:rPr>
          <w:spacing w:val="-4"/>
        </w:rPr>
        <w:t> </w:t>
      </w:r>
      <w:r>
        <w:rPr/>
        <w:t>enzyme</w:t>
      </w:r>
      <w:r>
        <w:rPr>
          <w:spacing w:val="-6"/>
        </w:rPr>
        <w:t> </w:t>
      </w:r>
      <w:r>
        <w:rPr/>
        <w:t>bromelain</w:t>
      </w:r>
      <w:r>
        <w:rPr>
          <w:spacing w:val="-5"/>
        </w:rPr>
        <w:t> </w:t>
      </w:r>
      <w:r>
        <w:rPr/>
        <w:t>is</w:t>
      </w:r>
      <w:r>
        <w:rPr>
          <w:spacing w:val="-3"/>
        </w:rPr>
        <w:t> </w:t>
      </w:r>
      <w:r>
        <w:rPr/>
        <w:t>safe</w:t>
      </w:r>
      <w:r>
        <w:rPr>
          <w:spacing w:val="-3"/>
        </w:rPr>
        <w:t> </w:t>
      </w:r>
      <w:r>
        <w:rPr/>
        <w:t>even</w:t>
      </w:r>
      <w:r>
        <w:rPr>
          <w:spacing w:val="-5"/>
        </w:rPr>
        <w:t> </w:t>
      </w:r>
      <w:r>
        <w:rPr/>
        <w:t>at</w:t>
      </w:r>
      <w:r>
        <w:rPr>
          <w:spacing w:val="-6"/>
        </w:rPr>
        <w:t> </w:t>
      </w:r>
      <w:r>
        <w:rPr/>
        <w:t>high</w:t>
      </w:r>
      <w:r>
        <w:rPr>
          <w:spacing w:val="-5"/>
        </w:rPr>
        <w:t> </w:t>
      </w:r>
      <w:r>
        <w:rPr/>
        <w:t>doses.</w:t>
      </w:r>
      <w:r>
        <w:rPr>
          <w:spacing w:val="-6"/>
        </w:rPr>
        <w:t> </w:t>
      </w:r>
      <w:r>
        <w:rPr/>
        <w:t>It</w:t>
      </w:r>
      <w:r>
        <w:rPr>
          <w:spacing w:val="-5"/>
        </w:rPr>
        <w:t> </w:t>
      </w:r>
      <w:r>
        <w:rPr/>
        <w:t>should</w:t>
      </w:r>
      <w:r>
        <w:rPr>
          <w:spacing w:val="-5"/>
        </w:rPr>
        <w:t> </w:t>
      </w:r>
      <w:r>
        <w:rPr/>
        <w:t>be</w:t>
      </w:r>
      <w:r>
        <w:rPr>
          <w:spacing w:val="-7"/>
        </w:rPr>
        <w:t> </w:t>
      </w:r>
      <w:r>
        <w:rPr/>
        <w:t>noted</w:t>
      </w:r>
      <w:r>
        <w:rPr>
          <w:spacing w:val="-3"/>
        </w:rPr>
        <w:t> </w:t>
      </w:r>
      <w:r>
        <w:rPr/>
        <w:t>that</w:t>
      </w:r>
      <w:r>
        <w:rPr>
          <w:spacing w:val="-4"/>
        </w:rPr>
        <w:t> </w:t>
      </w:r>
      <w:r>
        <w:rPr/>
        <w:t>it</w:t>
      </w:r>
      <w:r>
        <w:rPr>
          <w:spacing w:val="-6"/>
        </w:rPr>
        <w:t> </w:t>
      </w:r>
      <w:r>
        <w:rPr/>
        <w:t>has mild</w:t>
      </w:r>
      <w:r>
        <w:rPr>
          <w:spacing w:val="-20"/>
        </w:rPr>
        <w:t> </w:t>
      </w:r>
      <w:r>
        <w:rPr/>
        <w:t>anticoagulant</w:t>
      </w:r>
      <w:r>
        <w:rPr>
          <w:spacing w:val="-19"/>
        </w:rPr>
        <w:t> </w:t>
      </w:r>
      <w:r>
        <w:rPr/>
        <w:t>properties;</w:t>
      </w:r>
      <w:r>
        <w:rPr>
          <w:spacing w:val="-20"/>
        </w:rPr>
        <w:t> </w:t>
      </w:r>
      <w:r>
        <w:rPr/>
        <w:t>furthermore,</w:t>
      </w:r>
      <w:r>
        <w:rPr>
          <w:spacing w:val="-21"/>
        </w:rPr>
        <w:t> </w:t>
      </w:r>
      <w:r>
        <w:rPr/>
        <w:t>proteolytic</w:t>
      </w:r>
      <w:r>
        <w:rPr>
          <w:spacing w:val="-20"/>
        </w:rPr>
        <w:t> </w:t>
      </w:r>
      <w:r>
        <w:rPr/>
        <w:t>enzymes</w:t>
      </w:r>
      <w:r>
        <w:rPr>
          <w:spacing w:val="-23"/>
        </w:rPr>
        <w:t> </w:t>
      </w:r>
      <w:r>
        <w:rPr/>
        <w:t>may</w:t>
      </w:r>
      <w:r>
        <w:rPr>
          <w:spacing w:val="-19"/>
        </w:rPr>
        <w:t> </w:t>
      </w:r>
      <w:r>
        <w:rPr/>
        <w:t>have</w:t>
      </w:r>
      <w:r>
        <w:rPr>
          <w:spacing w:val="-19"/>
        </w:rPr>
        <w:t> </w:t>
      </w:r>
      <w:r>
        <w:rPr/>
        <w:t>aller- genic</w:t>
      </w:r>
      <w:r>
        <w:rPr>
          <w:spacing w:val="-2"/>
        </w:rPr>
        <w:t> </w:t>
      </w:r>
      <w:r>
        <w:rPr/>
        <w:t>potential.</w:t>
      </w:r>
    </w:p>
    <w:p>
      <w:pPr>
        <w:pStyle w:val="BodyText"/>
        <w:spacing w:line="276" w:lineRule="auto" w:before="239"/>
        <w:ind w:left="477" w:right="137"/>
        <w:jc w:val="both"/>
      </w:pPr>
      <w:r>
        <w:rPr/>
        <w:t>Drug interactions are extremely rare, but it must be noted that bromelain in- creases the absorption (uptake) of other drugs, which may also increase their</w:t>
      </w:r>
    </w:p>
    <w:p>
      <w:pPr>
        <w:spacing w:after="0" w:line="276" w:lineRule="auto"/>
        <w:jc w:val="both"/>
        <w:sectPr>
          <w:pgSz w:w="14270" w:h="16850"/>
          <w:pgMar w:header="0" w:footer="1891" w:top="1600" w:bottom="2080" w:left="800" w:right="1280"/>
        </w:sectPr>
      </w:pPr>
    </w:p>
    <w:p>
      <w:pPr>
        <w:pStyle w:val="BodyText"/>
        <w:spacing w:line="276" w:lineRule="auto" w:before="181"/>
        <w:ind w:left="477" w:right="137"/>
        <w:jc w:val="both"/>
      </w:pPr>
      <w:r>
        <w:rPr/>
        <w:t>effects. It is advisable to speak with an experienced naturopath to adjust the course of medication. The latter has the advantage that the side effects of the drug can also be reduced while it provides the same effect or a better one.</w:t>
      </w:r>
    </w:p>
    <w:p>
      <w:pPr>
        <w:pStyle w:val="BodyText"/>
        <w:spacing w:line="276" w:lineRule="auto" w:before="242"/>
        <w:ind w:left="477" w:right="136"/>
        <w:jc w:val="both"/>
      </w:pPr>
      <w:r>
        <w:rPr/>
        <w:t>As</w:t>
      </w:r>
      <w:r>
        <w:rPr>
          <w:spacing w:val="-22"/>
        </w:rPr>
        <w:t> </w:t>
      </w:r>
      <w:r>
        <w:rPr/>
        <w:t>with</w:t>
      </w:r>
      <w:r>
        <w:rPr>
          <w:spacing w:val="-21"/>
        </w:rPr>
        <w:t> </w:t>
      </w:r>
      <w:r>
        <w:rPr/>
        <w:t>papaya,</w:t>
      </w:r>
      <w:r>
        <w:rPr>
          <w:spacing w:val="-24"/>
        </w:rPr>
        <w:t> </w:t>
      </w:r>
      <w:r>
        <w:rPr/>
        <w:t>pregnant</w:t>
      </w:r>
      <w:r>
        <w:rPr>
          <w:spacing w:val="-22"/>
        </w:rPr>
        <w:t> </w:t>
      </w:r>
      <w:r>
        <w:rPr/>
        <w:t>women</w:t>
      </w:r>
      <w:r>
        <w:rPr>
          <w:spacing w:val="-21"/>
        </w:rPr>
        <w:t> </w:t>
      </w:r>
      <w:r>
        <w:rPr/>
        <w:t>should</w:t>
      </w:r>
      <w:r>
        <w:rPr>
          <w:spacing w:val="-22"/>
        </w:rPr>
        <w:t> </w:t>
      </w:r>
      <w:r>
        <w:rPr/>
        <w:t>avoid</w:t>
      </w:r>
      <w:r>
        <w:rPr>
          <w:spacing w:val="-22"/>
        </w:rPr>
        <w:t> </w:t>
      </w:r>
      <w:r>
        <w:rPr/>
        <w:t>unripe</w:t>
      </w:r>
      <w:r>
        <w:rPr>
          <w:spacing w:val="-21"/>
        </w:rPr>
        <w:t> </w:t>
      </w:r>
      <w:r>
        <w:rPr/>
        <w:t>pineapple,</w:t>
      </w:r>
      <w:r>
        <w:rPr>
          <w:spacing w:val="-26"/>
        </w:rPr>
        <w:t> </w:t>
      </w:r>
      <w:r>
        <w:rPr/>
        <w:t>as</w:t>
      </w:r>
      <w:r>
        <w:rPr>
          <w:spacing w:val="-21"/>
        </w:rPr>
        <w:t> </w:t>
      </w:r>
      <w:r>
        <w:rPr/>
        <w:t>it</w:t>
      </w:r>
      <w:r>
        <w:rPr>
          <w:spacing w:val="-22"/>
        </w:rPr>
        <w:t> </w:t>
      </w:r>
      <w:r>
        <w:rPr/>
        <w:t>may</w:t>
      </w:r>
      <w:r>
        <w:rPr>
          <w:spacing w:val="-22"/>
        </w:rPr>
        <w:t> </w:t>
      </w:r>
      <w:r>
        <w:rPr/>
        <w:t>cause a miscarriage and is even used as an abortifacient by some Native American peoples.</w:t>
      </w:r>
    </w:p>
    <w:p>
      <w:pPr>
        <w:pStyle w:val="BodyText"/>
        <w:rPr>
          <w:sz w:val="42"/>
        </w:rPr>
      </w:pPr>
    </w:p>
    <w:p>
      <w:pPr>
        <w:pStyle w:val="BodyText"/>
        <w:rPr>
          <w:sz w:val="42"/>
        </w:rPr>
      </w:pPr>
    </w:p>
    <w:p>
      <w:pPr>
        <w:spacing w:before="255"/>
        <w:ind w:left="477" w:right="0" w:firstLine="0"/>
        <w:jc w:val="left"/>
        <w:rPr>
          <w:rFonts w:ascii="Cambria"/>
          <w:b/>
          <w:sz w:val="28"/>
        </w:rPr>
      </w:pPr>
      <w:r>
        <w:rPr>
          <w:rFonts w:ascii="Cambria"/>
          <w:b/>
          <w:color w:val="365F91"/>
          <w:sz w:val="28"/>
        </w:rPr>
        <w:t>ARONIA BERRIES</w:t>
      </w:r>
    </w:p>
    <w:p>
      <w:pPr>
        <w:pStyle w:val="BodyText"/>
        <w:spacing w:before="2"/>
        <w:rPr>
          <w:rFonts w:ascii="Cambria"/>
          <w:b/>
          <w:sz w:val="45"/>
        </w:rPr>
      </w:pPr>
    </w:p>
    <w:p>
      <w:pPr>
        <w:pStyle w:val="Heading2"/>
      </w:pPr>
      <w:r>
        <w:rPr/>
        <w:t>A native fruit as a blessing for our health</w:t>
      </w:r>
    </w:p>
    <w:p>
      <w:pPr>
        <w:pStyle w:val="BodyText"/>
        <w:spacing w:line="276" w:lineRule="auto" w:before="302"/>
        <w:ind w:left="477" w:right="131"/>
        <w:jc w:val="both"/>
      </w:pPr>
      <w:r>
        <w:rPr/>
        <w:t>While most promises of health benefits are reserved for southern hemisphere fruits and vegetables which have such exotic names as ‘noni’ or ‘aloe vera’, a rather timid, native crop causes quite a stir with the simple name ‘aronia berry’ (also called ‘apple berry’ or ‘black mountain ash’).</w:t>
      </w:r>
    </w:p>
    <w:p>
      <w:pPr>
        <w:pStyle w:val="Heading1"/>
        <w:spacing w:before="225"/>
      </w:pPr>
      <w:r>
        <w:rPr/>
        <w:t>Aronia berries and their origin</w:t>
      </w:r>
    </w:p>
    <w:p>
      <w:pPr>
        <w:pStyle w:val="BodyText"/>
        <w:spacing w:line="276" w:lineRule="auto" w:before="299"/>
        <w:ind w:left="477" w:right="138"/>
        <w:jc w:val="both"/>
      </w:pPr>
      <w:r>
        <w:rPr/>
        <w:t>The extremely modest aronia berry is native to North America, where it</w:t>
      </w:r>
      <w:r>
        <w:rPr>
          <w:spacing w:val="-59"/>
        </w:rPr>
        <w:t> </w:t>
      </w:r>
      <w:r>
        <w:rPr/>
        <w:t>served as a winter food for the Native Americans. At the start of the 18th century, it was brought to Russia and cultivated there.</w:t>
      </w:r>
    </w:p>
    <w:p>
      <w:pPr>
        <w:pStyle w:val="BodyText"/>
        <w:spacing w:line="276" w:lineRule="auto" w:before="240"/>
        <w:ind w:left="477" w:right="135"/>
        <w:jc w:val="both"/>
      </w:pPr>
      <w:r>
        <w:rPr/>
        <w:t>In the middle of the 20th century, the aronia berry gained official recognition as a fruit species and was eventually cultivated and marketed on a wide scale.</w:t>
      </w:r>
      <w:r>
        <w:rPr>
          <w:spacing w:val="-53"/>
        </w:rPr>
        <w:t> </w:t>
      </w:r>
      <w:r>
        <w:rPr/>
        <w:t>A</w:t>
      </w:r>
    </w:p>
    <w:p>
      <w:pPr>
        <w:spacing w:after="0" w:line="276" w:lineRule="auto"/>
        <w:jc w:val="both"/>
        <w:sectPr>
          <w:pgSz w:w="14270" w:h="16850"/>
          <w:pgMar w:header="0" w:footer="1891" w:top="1600" w:bottom="2080" w:left="800" w:right="1280"/>
        </w:sectPr>
      </w:pPr>
    </w:p>
    <w:p>
      <w:pPr>
        <w:pStyle w:val="BodyText"/>
        <w:spacing w:line="276" w:lineRule="auto" w:before="181"/>
        <w:ind w:left="477" w:right="135"/>
        <w:jc w:val="both"/>
      </w:pPr>
      <w:r>
        <w:rPr/>
        <w:t>short time later, cultivation also began in Belarus, Moldova, the former East Germany and the Ukraine. The early 1980s then heralded the large-scale culti- vation of aronia berries in Slovakia and Scandinavia. Aronia is traditionally cul- tivated in Eastern European countries; in Germany, however, there are only a few cultivation areas, such as in Coswig near Dresden and in Schirgiswalde in Lusatia, the most traditional and largest growing area in Germany. In Bavaria, Brandenburg, Lower Saxony and Leipzig, there are more, some new, albeit smaller plantations.</w:t>
      </w:r>
    </w:p>
    <w:p>
      <w:pPr>
        <w:pStyle w:val="Heading1"/>
      </w:pPr>
      <w:r>
        <w:rPr/>
        <w:t>Botanical data</w:t>
      </w:r>
    </w:p>
    <w:p>
      <w:pPr>
        <w:pStyle w:val="BodyText"/>
        <w:spacing w:line="276" w:lineRule="auto" w:before="300"/>
        <w:ind w:left="477" w:right="133"/>
        <w:jc w:val="both"/>
      </w:pPr>
      <w:r>
        <w:rPr/>
        <w:t>The aronia berry, also known as the ‘apple berry’ due to the similarity of the berry with a small apple, is a member of the Rosaceae with about three to nine species</w:t>
      </w:r>
      <w:r>
        <w:rPr>
          <w:spacing w:val="-11"/>
        </w:rPr>
        <w:t> </w:t>
      </w:r>
      <w:r>
        <w:rPr/>
        <w:t>of</w:t>
      </w:r>
      <w:r>
        <w:rPr>
          <w:spacing w:val="-14"/>
        </w:rPr>
        <w:t> </w:t>
      </w:r>
      <w:r>
        <w:rPr/>
        <w:t>the</w:t>
      </w:r>
      <w:r>
        <w:rPr>
          <w:spacing w:val="-13"/>
        </w:rPr>
        <w:t> </w:t>
      </w:r>
      <w:r>
        <w:rPr/>
        <w:t>sub-species</w:t>
      </w:r>
      <w:r>
        <w:rPr>
          <w:spacing w:val="-11"/>
        </w:rPr>
        <w:t> </w:t>
      </w:r>
      <w:r>
        <w:rPr/>
        <w:t>Maloideae.</w:t>
      </w:r>
      <w:r>
        <w:rPr>
          <w:spacing w:val="-10"/>
        </w:rPr>
        <w:t> </w:t>
      </w:r>
      <w:r>
        <w:rPr/>
        <w:t>Among</w:t>
      </w:r>
      <w:r>
        <w:rPr>
          <w:spacing w:val="-13"/>
        </w:rPr>
        <w:t> </w:t>
      </w:r>
      <w:r>
        <w:rPr/>
        <w:t>the</w:t>
      </w:r>
      <w:r>
        <w:rPr>
          <w:spacing w:val="-11"/>
        </w:rPr>
        <w:t> </w:t>
      </w:r>
      <w:r>
        <w:rPr/>
        <w:t>most</w:t>
      </w:r>
      <w:r>
        <w:rPr>
          <w:spacing w:val="-14"/>
        </w:rPr>
        <w:t> </w:t>
      </w:r>
      <w:r>
        <w:rPr/>
        <w:t>common</w:t>
      </w:r>
      <w:r>
        <w:rPr>
          <w:spacing w:val="-13"/>
        </w:rPr>
        <w:t> </w:t>
      </w:r>
      <w:r>
        <w:rPr/>
        <w:t>species</w:t>
      </w:r>
      <w:r>
        <w:rPr>
          <w:spacing w:val="-13"/>
        </w:rPr>
        <w:t> </w:t>
      </w:r>
      <w:r>
        <w:rPr/>
        <w:t>are</w:t>
      </w:r>
      <w:r>
        <w:rPr>
          <w:spacing w:val="-14"/>
        </w:rPr>
        <w:t> </w:t>
      </w:r>
      <w:r>
        <w:rPr/>
        <w:t>the Aronia</w:t>
      </w:r>
      <w:r>
        <w:rPr>
          <w:spacing w:val="-8"/>
        </w:rPr>
        <w:t> </w:t>
      </w:r>
      <w:r>
        <w:rPr/>
        <w:t>arbutifolia</w:t>
      </w:r>
      <w:r>
        <w:rPr>
          <w:spacing w:val="-9"/>
        </w:rPr>
        <w:t> </w:t>
      </w:r>
      <w:r>
        <w:rPr/>
        <w:t>(‘fruity</w:t>
      </w:r>
      <w:r>
        <w:rPr>
          <w:spacing w:val="-8"/>
        </w:rPr>
        <w:t> </w:t>
      </w:r>
      <w:r>
        <w:rPr/>
        <w:t>red</w:t>
      </w:r>
      <w:r>
        <w:rPr>
          <w:spacing w:val="-8"/>
        </w:rPr>
        <w:t> </w:t>
      </w:r>
      <w:r>
        <w:rPr/>
        <w:t>apple’)</w:t>
      </w:r>
      <w:r>
        <w:rPr>
          <w:spacing w:val="-7"/>
        </w:rPr>
        <w:t> </w:t>
      </w:r>
      <w:r>
        <w:rPr/>
        <w:t>and</w:t>
      </w:r>
      <w:r>
        <w:rPr>
          <w:spacing w:val="-8"/>
        </w:rPr>
        <w:t> </w:t>
      </w:r>
      <w:r>
        <w:rPr/>
        <w:t>Aronia</w:t>
      </w:r>
      <w:r>
        <w:rPr>
          <w:spacing w:val="-10"/>
        </w:rPr>
        <w:t> </w:t>
      </w:r>
      <w:r>
        <w:rPr/>
        <w:t>melanocarpa</w:t>
      </w:r>
      <w:r>
        <w:rPr>
          <w:spacing w:val="-9"/>
        </w:rPr>
        <w:t> </w:t>
      </w:r>
      <w:r>
        <w:rPr/>
        <w:t>(‘black</w:t>
      </w:r>
      <w:r>
        <w:rPr>
          <w:spacing w:val="-7"/>
        </w:rPr>
        <w:t> </w:t>
      </w:r>
      <w:r>
        <w:rPr/>
        <w:t>mountain ash’).</w:t>
      </w:r>
    </w:p>
    <w:p>
      <w:pPr>
        <w:pStyle w:val="Heading1"/>
        <w:spacing w:before="222"/>
      </w:pPr>
      <w:r>
        <w:rPr/>
        <w:t>Appearance and taste</w:t>
      </w:r>
    </w:p>
    <w:p>
      <w:pPr>
        <w:pStyle w:val="BodyText"/>
        <w:spacing w:line="276" w:lineRule="auto" w:before="299"/>
        <w:ind w:left="477" w:right="134"/>
        <w:jc w:val="both"/>
      </w:pPr>
      <w:r>
        <w:rPr/>
        <w:t>Aronia berries are similar in appearance to blueberries, blackish blue on the outside</w:t>
      </w:r>
      <w:r>
        <w:rPr>
          <w:spacing w:val="-22"/>
        </w:rPr>
        <w:t> </w:t>
      </w:r>
      <w:r>
        <w:rPr/>
        <w:t>and</w:t>
      </w:r>
      <w:r>
        <w:rPr>
          <w:spacing w:val="-21"/>
        </w:rPr>
        <w:t> </w:t>
      </w:r>
      <w:r>
        <w:rPr/>
        <w:t>dark</w:t>
      </w:r>
      <w:r>
        <w:rPr>
          <w:spacing w:val="-22"/>
        </w:rPr>
        <w:t> </w:t>
      </w:r>
      <w:r>
        <w:rPr/>
        <w:t>red</w:t>
      </w:r>
      <w:r>
        <w:rPr>
          <w:spacing w:val="-23"/>
        </w:rPr>
        <w:t> </w:t>
      </w:r>
      <w:r>
        <w:rPr/>
        <w:t>on</w:t>
      </w:r>
      <w:r>
        <w:rPr>
          <w:spacing w:val="-22"/>
        </w:rPr>
        <w:t> </w:t>
      </w:r>
      <w:r>
        <w:rPr/>
        <w:t>the</w:t>
      </w:r>
      <w:r>
        <w:rPr>
          <w:spacing w:val="-23"/>
        </w:rPr>
        <w:t> </w:t>
      </w:r>
      <w:r>
        <w:rPr/>
        <w:t>inside</w:t>
      </w:r>
      <w:r>
        <w:rPr>
          <w:spacing w:val="-21"/>
        </w:rPr>
        <w:t> </w:t>
      </w:r>
      <w:r>
        <w:rPr/>
        <w:t>(pulp).</w:t>
      </w:r>
      <w:r>
        <w:rPr>
          <w:spacing w:val="-20"/>
        </w:rPr>
        <w:t> </w:t>
      </w:r>
      <w:r>
        <w:rPr/>
        <w:t>The</w:t>
      </w:r>
      <w:r>
        <w:rPr>
          <w:spacing w:val="-23"/>
        </w:rPr>
        <w:t> </w:t>
      </w:r>
      <w:r>
        <w:rPr/>
        <w:t>taste</w:t>
      </w:r>
      <w:r>
        <w:rPr>
          <w:spacing w:val="-20"/>
        </w:rPr>
        <w:t> </w:t>
      </w:r>
      <w:r>
        <w:rPr/>
        <w:t>is</w:t>
      </w:r>
      <w:r>
        <w:rPr>
          <w:spacing w:val="-23"/>
        </w:rPr>
        <w:t> </w:t>
      </w:r>
      <w:r>
        <w:rPr/>
        <w:t>most</w:t>
      </w:r>
      <w:r>
        <w:rPr>
          <w:spacing w:val="-24"/>
        </w:rPr>
        <w:t> </w:t>
      </w:r>
      <w:r>
        <w:rPr/>
        <w:t>commonly</w:t>
      </w:r>
      <w:r>
        <w:rPr>
          <w:spacing w:val="-21"/>
        </w:rPr>
        <w:t> </w:t>
      </w:r>
      <w:r>
        <w:rPr/>
        <w:t>described as tangy, which is due to the tannic acid</w:t>
      </w:r>
      <w:r>
        <w:rPr>
          <w:spacing w:val="2"/>
        </w:rPr>
        <w:t> </w:t>
      </w:r>
      <w:r>
        <w:rPr/>
        <w:t>content.</w:t>
      </w:r>
    </w:p>
    <w:p>
      <w:pPr>
        <w:pStyle w:val="Heading2"/>
        <w:spacing w:before="240"/>
      </w:pPr>
      <w:r>
        <w:rPr/>
        <w:t>Aronia berries – the medicinal plant</w:t>
      </w:r>
    </w:p>
    <w:p>
      <w:pPr>
        <w:pStyle w:val="BodyText"/>
        <w:spacing w:line="276" w:lineRule="auto" w:before="304"/>
        <w:ind w:left="477" w:right="142"/>
        <w:jc w:val="both"/>
      </w:pPr>
      <w:r>
        <w:rPr/>
        <w:t>Due to its high content of potentially beneficial ingredients, the aronia berry is a true blessing for both the prevention and treatment of several diseases, and</w:t>
      </w:r>
    </w:p>
    <w:p>
      <w:pPr>
        <w:spacing w:after="0" w:line="276" w:lineRule="auto"/>
        <w:jc w:val="both"/>
        <w:sectPr>
          <w:pgSz w:w="14270" w:h="16850"/>
          <w:pgMar w:header="0" w:footer="1891" w:top="1600" w:bottom="2080" w:left="800" w:right="1280"/>
        </w:sectPr>
      </w:pPr>
    </w:p>
    <w:p>
      <w:pPr>
        <w:pStyle w:val="BodyText"/>
        <w:spacing w:line="276" w:lineRule="auto" w:before="181"/>
        <w:ind w:left="477" w:right="132"/>
        <w:jc w:val="both"/>
      </w:pPr>
      <w:r>
        <w:rPr/>
        <w:t>has produced amazing effects in a number of studies and reports by naturo- paths.</w:t>
      </w:r>
      <w:r>
        <w:rPr>
          <w:spacing w:val="-9"/>
        </w:rPr>
        <w:t> </w:t>
      </w:r>
      <w:r>
        <w:rPr/>
        <w:t>This</w:t>
      </w:r>
      <w:r>
        <w:rPr>
          <w:spacing w:val="-11"/>
        </w:rPr>
        <w:t> </w:t>
      </w:r>
      <w:r>
        <w:rPr/>
        <w:t>has</w:t>
      </w:r>
      <w:r>
        <w:rPr>
          <w:spacing w:val="-12"/>
        </w:rPr>
        <w:t> </w:t>
      </w:r>
      <w:r>
        <w:rPr/>
        <w:t>brought</w:t>
      </w:r>
      <w:r>
        <w:rPr>
          <w:spacing w:val="-9"/>
        </w:rPr>
        <w:t> </w:t>
      </w:r>
      <w:r>
        <w:rPr/>
        <w:t>it</w:t>
      </w:r>
      <w:r>
        <w:rPr>
          <w:spacing w:val="-11"/>
        </w:rPr>
        <w:t> </w:t>
      </w:r>
      <w:r>
        <w:rPr/>
        <w:t>official</w:t>
      </w:r>
      <w:r>
        <w:rPr>
          <w:spacing w:val="-12"/>
        </w:rPr>
        <w:t> </w:t>
      </w:r>
      <w:r>
        <w:rPr/>
        <w:t>recognition</w:t>
      </w:r>
      <w:r>
        <w:rPr>
          <w:spacing w:val="-8"/>
        </w:rPr>
        <w:t> </w:t>
      </w:r>
      <w:r>
        <w:rPr/>
        <w:t>as</w:t>
      </w:r>
      <w:r>
        <w:rPr>
          <w:spacing w:val="-13"/>
        </w:rPr>
        <w:t> </w:t>
      </w:r>
      <w:r>
        <w:rPr/>
        <w:t>a</w:t>
      </w:r>
      <w:r>
        <w:rPr>
          <w:spacing w:val="-10"/>
        </w:rPr>
        <w:t> </w:t>
      </w:r>
      <w:r>
        <w:rPr/>
        <w:t>medicinal</w:t>
      </w:r>
      <w:r>
        <w:rPr>
          <w:spacing w:val="-9"/>
        </w:rPr>
        <w:t> </w:t>
      </w:r>
      <w:r>
        <w:rPr/>
        <w:t>plant</w:t>
      </w:r>
      <w:r>
        <w:rPr>
          <w:spacing w:val="-11"/>
        </w:rPr>
        <w:t> </w:t>
      </w:r>
      <w:r>
        <w:rPr/>
        <w:t>in</w:t>
      </w:r>
      <w:r>
        <w:rPr>
          <w:spacing w:val="-9"/>
        </w:rPr>
        <w:t> </w:t>
      </w:r>
      <w:r>
        <w:rPr/>
        <w:t>Russia</w:t>
      </w:r>
      <w:r>
        <w:rPr>
          <w:spacing w:val="-12"/>
        </w:rPr>
        <w:t> </w:t>
      </w:r>
      <w:r>
        <w:rPr/>
        <w:t>and Poland, while in Germany, it was initially used as a dye due to its shell, which stains</w:t>
      </w:r>
      <w:r>
        <w:rPr>
          <w:spacing w:val="-11"/>
        </w:rPr>
        <w:t> </w:t>
      </w:r>
      <w:r>
        <w:rPr/>
        <w:t>an</w:t>
      </w:r>
      <w:r>
        <w:rPr>
          <w:spacing w:val="-11"/>
        </w:rPr>
        <w:t> </w:t>
      </w:r>
      <w:r>
        <w:rPr/>
        <w:t>intense</w:t>
      </w:r>
      <w:r>
        <w:rPr>
          <w:spacing w:val="-10"/>
        </w:rPr>
        <w:t> </w:t>
      </w:r>
      <w:r>
        <w:rPr/>
        <w:t>reddish</w:t>
      </w:r>
      <w:r>
        <w:rPr>
          <w:spacing w:val="-11"/>
        </w:rPr>
        <w:t> </w:t>
      </w:r>
      <w:r>
        <w:rPr/>
        <w:t>violet</w:t>
      </w:r>
      <w:r>
        <w:rPr>
          <w:spacing w:val="-12"/>
        </w:rPr>
        <w:t> </w:t>
      </w:r>
      <w:r>
        <w:rPr/>
        <w:t>colour.</w:t>
      </w:r>
      <w:r>
        <w:rPr>
          <w:spacing w:val="-10"/>
        </w:rPr>
        <w:t> </w:t>
      </w:r>
      <w:r>
        <w:rPr/>
        <w:t>In</w:t>
      </w:r>
      <w:r>
        <w:rPr>
          <w:spacing w:val="-11"/>
        </w:rPr>
        <w:t> </w:t>
      </w:r>
      <w:r>
        <w:rPr/>
        <w:t>Eastern</w:t>
      </w:r>
      <w:r>
        <w:rPr>
          <w:spacing w:val="-10"/>
        </w:rPr>
        <w:t> </w:t>
      </w:r>
      <w:r>
        <w:rPr/>
        <w:t>Europe,</w:t>
      </w:r>
      <w:r>
        <w:rPr>
          <w:spacing w:val="-10"/>
        </w:rPr>
        <w:t> </w:t>
      </w:r>
      <w:r>
        <w:rPr/>
        <w:t>however,</w:t>
      </w:r>
      <w:r>
        <w:rPr>
          <w:spacing w:val="-10"/>
        </w:rPr>
        <w:t> </w:t>
      </w:r>
      <w:r>
        <w:rPr/>
        <w:t>it</w:t>
      </w:r>
      <w:r>
        <w:rPr>
          <w:spacing w:val="-13"/>
        </w:rPr>
        <w:t> </w:t>
      </w:r>
      <w:r>
        <w:rPr/>
        <w:t>has</w:t>
      </w:r>
      <w:r>
        <w:rPr>
          <w:spacing w:val="-10"/>
        </w:rPr>
        <w:t> </w:t>
      </w:r>
      <w:r>
        <w:rPr/>
        <w:t>been used for medicinal purposes for some time, particularly for gastrointestinal</w:t>
      </w:r>
      <w:r>
        <w:rPr>
          <w:spacing w:val="-41"/>
        </w:rPr>
        <w:t> </w:t>
      </w:r>
      <w:r>
        <w:rPr/>
        <w:t>dis- eases, high blood pressure, skin diseases and urinary tract infections. Its actual scope is much larger: The medicinal plant aronia can have a positive effect on many other diseases, not least the scourge of modern humanity: cancer! Thus, it astonishes the experts again and</w:t>
      </w:r>
      <w:r>
        <w:rPr>
          <w:spacing w:val="-4"/>
        </w:rPr>
        <w:t> </w:t>
      </w:r>
      <w:r>
        <w:rPr/>
        <w:t>again...</w:t>
      </w:r>
    </w:p>
    <w:p>
      <w:pPr>
        <w:pStyle w:val="Heading2"/>
        <w:spacing w:before="242"/>
      </w:pPr>
      <w:r>
        <w:rPr/>
        <w:t>The aronia berry harvest</w:t>
      </w:r>
    </w:p>
    <w:p>
      <w:pPr>
        <w:pStyle w:val="BodyText"/>
        <w:spacing w:line="276" w:lineRule="auto" w:before="304"/>
        <w:ind w:left="477" w:right="138"/>
        <w:jc w:val="both"/>
      </w:pPr>
      <w:r>
        <w:rPr/>
        <w:t>Aronia berries are harvested from mid-August to September and require rapid processing (unrefrigerated within two weeks).</w:t>
      </w:r>
    </w:p>
    <w:p>
      <w:pPr>
        <w:pStyle w:val="Heading2"/>
        <w:spacing w:before="239"/>
      </w:pPr>
      <w:r>
        <w:rPr/>
        <w:t>Growing your own aronia berries</w:t>
      </w:r>
    </w:p>
    <w:p>
      <w:pPr>
        <w:pStyle w:val="BodyText"/>
        <w:spacing w:line="276" w:lineRule="auto" w:before="305"/>
        <w:ind w:left="477" w:right="133"/>
        <w:jc w:val="both"/>
        <w:rPr>
          <w:sz w:val="25"/>
        </w:rPr>
      </w:pPr>
      <w:r>
        <w:rPr/>
        <w:t>Since</w:t>
      </w:r>
      <w:r>
        <w:rPr>
          <w:spacing w:val="-15"/>
        </w:rPr>
        <w:t> </w:t>
      </w:r>
      <w:r>
        <w:rPr/>
        <w:t>aronia</w:t>
      </w:r>
      <w:r>
        <w:rPr>
          <w:spacing w:val="-15"/>
        </w:rPr>
        <w:t> </w:t>
      </w:r>
      <w:r>
        <w:rPr/>
        <w:t>berries</w:t>
      </w:r>
      <w:r>
        <w:rPr>
          <w:spacing w:val="-13"/>
        </w:rPr>
        <w:t> </w:t>
      </w:r>
      <w:r>
        <w:rPr/>
        <w:t>are</w:t>
      </w:r>
      <w:r>
        <w:rPr>
          <w:spacing w:val="-14"/>
        </w:rPr>
        <w:t> </w:t>
      </w:r>
      <w:r>
        <w:rPr/>
        <w:t>very</w:t>
      </w:r>
      <w:r>
        <w:rPr>
          <w:spacing w:val="-13"/>
        </w:rPr>
        <w:t> </w:t>
      </w:r>
      <w:r>
        <w:rPr/>
        <w:t>undemanding</w:t>
      </w:r>
      <w:r>
        <w:rPr>
          <w:spacing w:val="-14"/>
        </w:rPr>
        <w:t> </w:t>
      </w:r>
      <w:r>
        <w:rPr/>
        <w:t>in</w:t>
      </w:r>
      <w:r>
        <w:rPr>
          <w:spacing w:val="-15"/>
        </w:rPr>
        <w:t> </w:t>
      </w:r>
      <w:r>
        <w:rPr/>
        <w:t>terms</w:t>
      </w:r>
      <w:r>
        <w:rPr>
          <w:spacing w:val="-13"/>
        </w:rPr>
        <w:t> </w:t>
      </w:r>
      <w:r>
        <w:rPr/>
        <w:t>of</w:t>
      </w:r>
      <w:r>
        <w:rPr>
          <w:spacing w:val="-14"/>
        </w:rPr>
        <w:t> </w:t>
      </w:r>
      <w:r>
        <w:rPr/>
        <w:t>their</w:t>
      </w:r>
      <w:r>
        <w:rPr>
          <w:spacing w:val="-13"/>
        </w:rPr>
        <w:t> </w:t>
      </w:r>
      <w:r>
        <w:rPr/>
        <w:t>environmental</w:t>
      </w:r>
      <w:r>
        <w:rPr>
          <w:spacing w:val="-15"/>
        </w:rPr>
        <w:t> </w:t>
      </w:r>
      <w:r>
        <w:rPr/>
        <w:t>con- ditions, you can even grow them in your own garden. Aronia is also self-polli- nating and can therefore be grown both in the garden and on the balcony as a single</w:t>
      </w:r>
      <w:r>
        <w:rPr>
          <w:spacing w:val="-14"/>
        </w:rPr>
        <w:t> </w:t>
      </w:r>
      <w:r>
        <w:rPr/>
        <w:t>plant.</w:t>
      </w:r>
      <w:r>
        <w:rPr>
          <w:spacing w:val="-13"/>
        </w:rPr>
        <w:t> </w:t>
      </w:r>
      <w:r>
        <w:rPr/>
        <w:t>The</w:t>
      </w:r>
      <w:r>
        <w:rPr>
          <w:spacing w:val="-12"/>
        </w:rPr>
        <w:t> </w:t>
      </w:r>
      <w:r>
        <w:rPr/>
        <w:t>best</w:t>
      </w:r>
      <w:r>
        <w:rPr>
          <w:spacing w:val="-13"/>
        </w:rPr>
        <w:t> </w:t>
      </w:r>
      <w:r>
        <w:rPr/>
        <w:t>time</w:t>
      </w:r>
      <w:r>
        <w:rPr>
          <w:spacing w:val="-13"/>
        </w:rPr>
        <w:t> </w:t>
      </w:r>
      <w:r>
        <w:rPr/>
        <w:t>to</w:t>
      </w:r>
      <w:r>
        <w:rPr>
          <w:spacing w:val="-13"/>
        </w:rPr>
        <w:t> </w:t>
      </w:r>
      <w:r>
        <w:rPr/>
        <w:t>grow</w:t>
      </w:r>
      <w:r>
        <w:rPr>
          <w:spacing w:val="-14"/>
        </w:rPr>
        <w:t> </w:t>
      </w:r>
      <w:r>
        <w:rPr/>
        <w:t>is</w:t>
      </w:r>
      <w:r>
        <w:rPr>
          <w:spacing w:val="-13"/>
        </w:rPr>
        <w:t> </w:t>
      </w:r>
      <w:r>
        <w:rPr/>
        <w:t>autumn;</w:t>
      </w:r>
      <w:r>
        <w:rPr>
          <w:spacing w:val="-13"/>
        </w:rPr>
        <w:t> </w:t>
      </w:r>
      <w:r>
        <w:rPr/>
        <w:t>the</w:t>
      </w:r>
      <w:r>
        <w:rPr>
          <w:spacing w:val="-12"/>
        </w:rPr>
        <w:t> </w:t>
      </w:r>
      <w:r>
        <w:rPr/>
        <w:t>aronia</w:t>
      </w:r>
      <w:r>
        <w:rPr>
          <w:spacing w:val="-14"/>
        </w:rPr>
        <w:t> </w:t>
      </w:r>
      <w:r>
        <w:rPr/>
        <w:t>bush</w:t>
      </w:r>
      <w:r>
        <w:rPr>
          <w:spacing w:val="-12"/>
        </w:rPr>
        <w:t> </w:t>
      </w:r>
      <w:r>
        <w:rPr/>
        <w:t>lasts</w:t>
      </w:r>
      <w:r>
        <w:rPr>
          <w:spacing w:val="-13"/>
        </w:rPr>
        <w:t> </w:t>
      </w:r>
      <w:r>
        <w:rPr/>
        <w:t>for</w:t>
      </w:r>
      <w:r>
        <w:rPr>
          <w:spacing w:val="-12"/>
        </w:rPr>
        <w:t> </w:t>
      </w:r>
      <w:r>
        <w:rPr/>
        <w:t>20</w:t>
      </w:r>
      <w:r>
        <w:rPr>
          <w:spacing w:val="-14"/>
        </w:rPr>
        <w:t> </w:t>
      </w:r>
      <w:r>
        <w:rPr/>
        <w:t>years, harvested from the second</w:t>
      </w:r>
      <w:r>
        <w:rPr>
          <w:spacing w:val="-1"/>
        </w:rPr>
        <w:t> </w:t>
      </w:r>
      <w:r>
        <w:rPr/>
        <w:t>year.</w:t>
      </w:r>
      <w:r>
        <w:rPr>
          <w:position w:val="9"/>
          <w:sz w:val="25"/>
        </w:rPr>
        <w:t>66</w:t>
      </w:r>
    </w:p>
    <w:p>
      <w:pPr>
        <w:pStyle w:val="Heading1"/>
        <w:spacing w:before="223"/>
        <w:jc w:val="both"/>
      </w:pPr>
      <w:r>
        <w:rPr/>
        <w:t>Aronia berries – the active ingredients</w:t>
      </w:r>
    </w:p>
    <w:p>
      <w:pPr>
        <w:pStyle w:val="BodyText"/>
        <w:rPr>
          <w:b/>
          <w:i/>
          <w:sz w:val="20"/>
        </w:rPr>
      </w:pPr>
    </w:p>
    <w:p>
      <w:pPr>
        <w:pStyle w:val="BodyText"/>
        <w:rPr>
          <w:b/>
          <w:i/>
          <w:sz w:val="20"/>
        </w:rPr>
      </w:pPr>
    </w:p>
    <w:p>
      <w:pPr>
        <w:pStyle w:val="BodyText"/>
        <w:rPr>
          <w:b/>
          <w:i/>
          <w:sz w:val="20"/>
        </w:rPr>
      </w:pPr>
    </w:p>
    <w:p>
      <w:pPr>
        <w:pStyle w:val="BodyText"/>
        <w:spacing w:before="8"/>
        <w:rPr>
          <w:b/>
          <w:i/>
          <w:sz w:val="17"/>
        </w:rPr>
      </w:pPr>
      <w:r>
        <w:rPr/>
        <w:pict>
          <v:line style="position:absolute;mso-position-horizontal-relative:page;mso-position-vertical-relative:paragraph;z-index:8;mso-wrap-distance-left:0;mso-wrap-distance-right:0" from="63.863998pt,12.339985pt" to="207.883998pt,12.339985pt" stroked="true" strokeweight=".72003pt" strokecolor="#000000">
            <v:stroke dashstyle="solid"/>
            <w10:wrap type="topAndBottom"/>
          </v:line>
        </w:pict>
      </w:r>
    </w:p>
    <w:p>
      <w:pPr>
        <w:pStyle w:val="BodyText"/>
        <w:spacing w:before="7"/>
        <w:rPr>
          <w:b/>
          <w:i/>
          <w:sz w:val="18"/>
        </w:rPr>
      </w:pPr>
    </w:p>
    <w:p>
      <w:pPr>
        <w:spacing w:line="276" w:lineRule="auto" w:before="99"/>
        <w:ind w:left="477" w:right="0" w:firstLine="0"/>
        <w:jc w:val="left"/>
        <w:rPr>
          <w:sz w:val="20"/>
        </w:rPr>
      </w:pPr>
      <w:r>
        <w:rPr>
          <w:position w:val="5"/>
          <w:sz w:val="13"/>
        </w:rPr>
        <w:t>66 </w:t>
      </w:r>
      <w:r>
        <w:rPr>
          <w:sz w:val="20"/>
        </w:rPr>
        <w:t>Renate Petra Mehrwald: Aronia – Königin der Blaublüter, Buchverlag für die Frau (‘Aronia – Queen of the Blue Bloods’, Publishing House for Women), 3rd Edition, 2012, p.54 f.</w:t>
      </w:r>
    </w:p>
    <w:p>
      <w:pPr>
        <w:spacing w:after="0" w:line="276" w:lineRule="auto"/>
        <w:jc w:val="left"/>
        <w:rPr>
          <w:sz w:val="20"/>
        </w:rPr>
        <w:sectPr>
          <w:pgSz w:w="14270" w:h="16850"/>
          <w:pgMar w:header="0" w:footer="1891" w:top="1600" w:bottom="2080" w:left="800" w:right="1280"/>
        </w:sectPr>
      </w:pPr>
    </w:p>
    <w:p>
      <w:pPr>
        <w:pStyle w:val="BodyText"/>
        <w:spacing w:line="276" w:lineRule="auto" w:before="181"/>
        <w:ind w:left="477"/>
      </w:pPr>
      <w:r>
        <w:rPr/>
        <w:t>The aronia berry is full of highly effective ingredients; these include bioflavo- noids, vitamins, minerals and trace elements.</w:t>
      </w:r>
    </w:p>
    <w:p>
      <w:pPr>
        <w:pStyle w:val="Heading2"/>
        <w:spacing w:before="241"/>
      </w:pPr>
      <w:r>
        <w:rPr/>
        <w:t>Active ingredients of the aronia berry/apple berry in detail:</w:t>
      </w:r>
    </w:p>
    <w:p>
      <w:pPr>
        <w:spacing w:before="287"/>
        <w:ind w:left="477" w:right="0" w:firstLine="0"/>
        <w:jc w:val="left"/>
        <w:rPr>
          <w:b/>
          <w:i/>
          <w:sz w:val="40"/>
        </w:rPr>
      </w:pPr>
      <w:r>
        <w:rPr>
          <w:b/>
          <w:i/>
          <w:sz w:val="40"/>
        </w:rPr>
        <w:t>Vitamins in the aronia berry</w:t>
      </w:r>
    </w:p>
    <w:p>
      <w:pPr>
        <w:pStyle w:val="BodyText"/>
        <w:spacing w:line="276" w:lineRule="auto" w:before="300"/>
        <w:ind w:left="477" w:right="138"/>
        <w:jc w:val="both"/>
      </w:pPr>
      <w:r>
        <w:rPr/>
        <w:t>Aronia berry contains, from the fat-soluble vitamins, vitamins A, provitamins A,</w:t>
      </w:r>
      <w:r>
        <w:rPr>
          <w:spacing w:val="-8"/>
        </w:rPr>
        <w:t> </w:t>
      </w:r>
      <w:r>
        <w:rPr/>
        <w:t>E</w:t>
      </w:r>
      <w:r>
        <w:rPr>
          <w:spacing w:val="-7"/>
        </w:rPr>
        <w:t> </w:t>
      </w:r>
      <w:r>
        <w:rPr/>
        <w:t>and</w:t>
      </w:r>
      <w:r>
        <w:rPr>
          <w:spacing w:val="-7"/>
        </w:rPr>
        <w:t> </w:t>
      </w:r>
      <w:r>
        <w:rPr/>
        <w:t>K;</w:t>
      </w:r>
      <w:r>
        <w:rPr>
          <w:spacing w:val="-8"/>
        </w:rPr>
        <w:t> </w:t>
      </w:r>
      <w:r>
        <w:rPr/>
        <w:t>of</w:t>
      </w:r>
      <w:r>
        <w:rPr>
          <w:spacing w:val="-8"/>
        </w:rPr>
        <w:t> </w:t>
      </w:r>
      <w:r>
        <w:rPr/>
        <w:t>the</w:t>
      </w:r>
      <w:r>
        <w:rPr>
          <w:spacing w:val="-6"/>
        </w:rPr>
        <w:t> </w:t>
      </w:r>
      <w:r>
        <w:rPr/>
        <w:t>water-soluble</w:t>
      </w:r>
      <w:r>
        <w:rPr>
          <w:spacing w:val="-4"/>
        </w:rPr>
        <w:t> </w:t>
      </w:r>
      <w:r>
        <w:rPr/>
        <w:t>vitamins,</w:t>
      </w:r>
      <w:r>
        <w:rPr>
          <w:spacing w:val="-5"/>
        </w:rPr>
        <w:t> </w:t>
      </w:r>
      <w:r>
        <w:rPr/>
        <w:t>it</w:t>
      </w:r>
      <w:r>
        <w:rPr>
          <w:spacing w:val="-9"/>
        </w:rPr>
        <w:t> </w:t>
      </w:r>
      <w:r>
        <w:rPr/>
        <w:t>contains</w:t>
      </w:r>
      <w:r>
        <w:rPr>
          <w:spacing w:val="-7"/>
        </w:rPr>
        <w:t> </w:t>
      </w:r>
      <w:r>
        <w:rPr/>
        <w:t>vitamins</w:t>
      </w:r>
      <w:r>
        <w:rPr>
          <w:spacing w:val="-6"/>
        </w:rPr>
        <w:t> </w:t>
      </w:r>
      <w:r>
        <w:rPr/>
        <w:t>C,</w:t>
      </w:r>
      <w:r>
        <w:rPr>
          <w:spacing w:val="-7"/>
        </w:rPr>
        <w:t> </w:t>
      </w:r>
      <w:r>
        <w:rPr/>
        <w:t>OPC,</w:t>
      </w:r>
      <w:r>
        <w:rPr>
          <w:spacing w:val="-7"/>
        </w:rPr>
        <w:t> </w:t>
      </w:r>
      <w:r>
        <w:rPr/>
        <w:t>B1,</w:t>
      </w:r>
      <w:r>
        <w:rPr>
          <w:spacing w:val="-7"/>
        </w:rPr>
        <w:t> </w:t>
      </w:r>
      <w:r>
        <w:rPr/>
        <w:t>B2 (riboflavin), B3 (niacin), B5, B6, B7, B9 (folic acid), B12, C and</w:t>
      </w:r>
      <w:r>
        <w:rPr>
          <w:spacing w:val="-9"/>
        </w:rPr>
        <w:t> </w:t>
      </w:r>
      <w:r>
        <w:rPr/>
        <w:t>H.</w:t>
      </w:r>
    </w:p>
    <w:p>
      <w:pPr>
        <w:pStyle w:val="BodyText"/>
        <w:tabs>
          <w:tab w:pos="3332" w:val="left" w:leader="none"/>
        </w:tabs>
        <w:spacing w:line="343" w:lineRule="auto" w:before="239"/>
        <w:ind w:left="477" w:right="2913"/>
      </w:pPr>
      <w:r>
        <w:rPr/>
        <w:t>Vitamin A/provitamin A = 1.1-2.4 g/100 ml of aronia juice Vitamin</w:t>
      </w:r>
      <w:r>
        <w:rPr>
          <w:spacing w:val="-3"/>
        </w:rPr>
        <w:t> </w:t>
      </w:r>
      <w:r>
        <w:rPr/>
        <w:t>E</w:t>
        <w:tab/>
        <w:t>= 0.8–3.1</w:t>
      </w:r>
      <w:r>
        <w:rPr>
          <w:spacing w:val="1"/>
        </w:rPr>
        <w:t> </w:t>
      </w:r>
      <w:r>
        <w:rPr/>
        <w:t>g/100ml</w:t>
      </w:r>
    </w:p>
    <w:p>
      <w:pPr>
        <w:pStyle w:val="BodyText"/>
        <w:tabs>
          <w:tab w:pos="3332" w:val="left" w:leader="none"/>
        </w:tabs>
        <w:spacing w:before="1"/>
        <w:ind w:left="477"/>
      </w:pPr>
      <w:r>
        <w:rPr/>
        <w:t>Vitamin</w:t>
      </w:r>
      <w:r>
        <w:rPr>
          <w:spacing w:val="-3"/>
        </w:rPr>
        <w:t> </w:t>
      </w:r>
      <w:r>
        <w:rPr/>
        <w:t>E</w:t>
        <w:tab/>
        <w:t>= 0.8–1.0 g/100ml</w:t>
      </w:r>
    </w:p>
    <w:p>
      <w:pPr>
        <w:pStyle w:val="Heading2"/>
        <w:spacing w:before="305"/>
      </w:pPr>
      <w:r>
        <w:rPr/>
        <w:t>OPC/vitamin P</w:t>
      </w:r>
    </w:p>
    <w:p>
      <w:pPr>
        <w:pStyle w:val="BodyText"/>
        <w:spacing w:line="276" w:lineRule="auto" w:before="302"/>
        <w:ind w:left="477" w:right="131"/>
        <w:jc w:val="both"/>
      </w:pPr>
      <w:r>
        <w:rPr/>
        <w:t>OPC, which, like some 50,000 other substances, is actually a polyphenol, but which</w:t>
      </w:r>
      <w:r>
        <w:rPr>
          <w:spacing w:val="-16"/>
        </w:rPr>
        <w:t> </w:t>
      </w:r>
      <w:r>
        <w:rPr/>
        <w:t>has</w:t>
      </w:r>
      <w:r>
        <w:rPr>
          <w:spacing w:val="-16"/>
        </w:rPr>
        <w:t> </w:t>
      </w:r>
      <w:r>
        <w:rPr/>
        <w:t>also</w:t>
      </w:r>
      <w:r>
        <w:rPr>
          <w:spacing w:val="-16"/>
        </w:rPr>
        <w:t> </w:t>
      </w:r>
      <w:r>
        <w:rPr/>
        <w:t>been</w:t>
      </w:r>
      <w:r>
        <w:rPr>
          <w:spacing w:val="-16"/>
        </w:rPr>
        <w:t> </w:t>
      </w:r>
      <w:r>
        <w:rPr/>
        <w:t>given</w:t>
      </w:r>
      <w:r>
        <w:rPr>
          <w:spacing w:val="-16"/>
        </w:rPr>
        <w:t> </w:t>
      </w:r>
      <w:r>
        <w:rPr/>
        <w:t>the</w:t>
      </w:r>
      <w:r>
        <w:rPr>
          <w:spacing w:val="-18"/>
        </w:rPr>
        <w:t> </w:t>
      </w:r>
      <w:r>
        <w:rPr/>
        <w:t>name</w:t>
      </w:r>
      <w:r>
        <w:rPr>
          <w:spacing w:val="-16"/>
        </w:rPr>
        <w:t> </w:t>
      </w:r>
      <w:r>
        <w:rPr/>
        <w:t>‘vitamin</w:t>
      </w:r>
      <w:r>
        <w:rPr>
          <w:spacing w:val="-17"/>
        </w:rPr>
        <w:t> </w:t>
      </w:r>
      <w:r>
        <w:rPr/>
        <w:t>P’,</w:t>
      </w:r>
      <w:r>
        <w:rPr>
          <w:spacing w:val="-16"/>
        </w:rPr>
        <w:t> </w:t>
      </w:r>
      <w:r>
        <w:rPr/>
        <w:t>is</w:t>
      </w:r>
      <w:r>
        <w:rPr>
          <w:spacing w:val="-16"/>
        </w:rPr>
        <w:t> </w:t>
      </w:r>
      <w:r>
        <w:rPr/>
        <w:t>found</w:t>
      </w:r>
      <w:r>
        <w:rPr>
          <w:spacing w:val="-16"/>
        </w:rPr>
        <w:t> </w:t>
      </w:r>
      <w:r>
        <w:rPr/>
        <w:t>in</w:t>
      </w:r>
      <w:r>
        <w:rPr>
          <w:spacing w:val="-16"/>
        </w:rPr>
        <w:t> </w:t>
      </w:r>
      <w:r>
        <w:rPr/>
        <w:t>abundance</w:t>
      </w:r>
      <w:r>
        <w:rPr>
          <w:spacing w:val="-16"/>
        </w:rPr>
        <w:t> </w:t>
      </w:r>
      <w:r>
        <w:rPr/>
        <w:t>in</w:t>
      </w:r>
      <w:r>
        <w:rPr>
          <w:spacing w:val="-16"/>
        </w:rPr>
        <w:t> </w:t>
      </w:r>
      <w:r>
        <w:rPr/>
        <w:t>aronia berries. OPC holds a special status within the vitamins mentioned, as it is one of the most important vitamins in addition to vitamin C and has, among other things, an above-average ability to protect cells against attacks by free radicals. Thus, the antioxidant (cytoprotective) effect of OPC against free radicals is 18 to 20 times stronger than that of vitamin C and even 40 to 50 times stronger than that of vitamin</w:t>
      </w:r>
      <w:r>
        <w:rPr>
          <w:spacing w:val="2"/>
        </w:rPr>
        <w:t> </w:t>
      </w:r>
      <w:r>
        <w:rPr/>
        <w:t>E!</w:t>
      </w:r>
    </w:p>
    <w:p>
      <w:pPr>
        <w:pStyle w:val="BodyText"/>
        <w:spacing w:before="242"/>
        <w:ind w:left="477"/>
        <w:jc w:val="both"/>
      </w:pPr>
      <w:r>
        <w:rPr/>
        <w:t>Furthermore, OPC increases the effect of vitamins C, E and A in the body by</w:t>
      </w:r>
    </w:p>
    <w:p>
      <w:pPr>
        <w:spacing w:after="0"/>
        <w:jc w:val="both"/>
        <w:sectPr>
          <w:pgSz w:w="14270" w:h="16850"/>
          <w:pgMar w:header="0" w:footer="1891" w:top="1600" w:bottom="2080" w:left="800" w:right="1280"/>
        </w:sectPr>
      </w:pPr>
    </w:p>
    <w:p>
      <w:pPr>
        <w:pStyle w:val="BodyText"/>
        <w:spacing w:line="276" w:lineRule="auto" w:before="181"/>
        <w:ind w:left="477" w:right="130"/>
        <w:jc w:val="both"/>
      </w:pPr>
      <w:r>
        <w:rPr/>
        <w:t>a factor of 10, but, in contrast to these vitamins, it attaches directly to body proteins,</w:t>
      </w:r>
      <w:r>
        <w:rPr>
          <w:spacing w:val="-10"/>
        </w:rPr>
        <w:t> </w:t>
      </w:r>
      <w:r>
        <w:rPr/>
        <w:t>especially</w:t>
      </w:r>
      <w:r>
        <w:rPr>
          <w:spacing w:val="-9"/>
        </w:rPr>
        <w:t> </w:t>
      </w:r>
      <w:r>
        <w:rPr/>
        <w:t>collagen</w:t>
      </w:r>
      <w:r>
        <w:rPr>
          <w:spacing w:val="-6"/>
        </w:rPr>
        <w:t> </w:t>
      </w:r>
      <w:r>
        <w:rPr/>
        <w:t>and</w:t>
      </w:r>
      <w:r>
        <w:rPr>
          <w:spacing w:val="-10"/>
        </w:rPr>
        <w:t> </w:t>
      </w:r>
      <w:r>
        <w:rPr/>
        <w:t>elastin,</w:t>
      </w:r>
      <w:r>
        <w:rPr>
          <w:spacing w:val="-7"/>
        </w:rPr>
        <w:t> </w:t>
      </w:r>
      <w:r>
        <w:rPr/>
        <w:t>thus</w:t>
      </w:r>
      <w:r>
        <w:rPr>
          <w:spacing w:val="-7"/>
        </w:rPr>
        <w:t> </w:t>
      </w:r>
      <w:r>
        <w:rPr/>
        <w:t>rejuvenating</w:t>
      </w:r>
      <w:r>
        <w:rPr>
          <w:spacing w:val="-8"/>
        </w:rPr>
        <w:t> </w:t>
      </w:r>
      <w:r>
        <w:rPr/>
        <w:t>our</w:t>
      </w:r>
      <w:r>
        <w:rPr>
          <w:spacing w:val="-8"/>
        </w:rPr>
        <w:t> </w:t>
      </w:r>
      <w:r>
        <w:rPr/>
        <w:t>skin</w:t>
      </w:r>
      <w:r>
        <w:rPr>
          <w:spacing w:val="-8"/>
        </w:rPr>
        <w:t> </w:t>
      </w:r>
      <w:r>
        <w:rPr/>
        <w:t>and</w:t>
      </w:r>
      <w:r>
        <w:rPr>
          <w:spacing w:val="-10"/>
        </w:rPr>
        <w:t> </w:t>
      </w:r>
      <w:r>
        <w:rPr/>
        <w:t>connec- tive tissue and – this deserves particular emphasis – rejuvenates our blood ves- sels, protects against atherosclerosis and can even expurgate</w:t>
      </w:r>
      <w:r>
        <w:rPr>
          <w:spacing w:val="3"/>
        </w:rPr>
        <w:t> </w:t>
      </w:r>
      <w:r>
        <w:rPr/>
        <w:t>them!</w:t>
      </w:r>
    </w:p>
    <w:p>
      <w:pPr>
        <w:pStyle w:val="BodyText"/>
        <w:spacing w:line="276" w:lineRule="auto" w:before="242"/>
        <w:ind w:left="477" w:right="134"/>
        <w:jc w:val="both"/>
      </w:pPr>
      <w:r>
        <w:rPr/>
        <w:t>Just 24 hours after the very first intake of OPC, the resistance capability of the blood vessels doubles; it even triples over the course of regular continuous in- take. OPC protects against UV rays, improves eyesight and flushes cholesterol out of our body.</w:t>
      </w:r>
    </w:p>
    <w:p>
      <w:pPr>
        <w:pStyle w:val="Heading2"/>
        <w:spacing w:before="240"/>
        <w:jc w:val="both"/>
      </w:pPr>
      <w:r>
        <w:rPr/>
        <w:t>Minerals in aronia</w:t>
      </w:r>
    </w:p>
    <w:p>
      <w:pPr>
        <w:pStyle w:val="BodyText"/>
        <w:spacing w:line="276" w:lineRule="auto" w:before="304"/>
        <w:ind w:left="477" w:right="132"/>
        <w:jc w:val="both"/>
      </w:pPr>
      <w:r>
        <w:rPr/>
        <w:t>The aronia berry has an impressive mineral content, especially of iron and io- dine.</w:t>
      </w:r>
      <w:r>
        <w:rPr>
          <w:spacing w:val="-11"/>
        </w:rPr>
        <w:t> </w:t>
      </w:r>
      <w:r>
        <w:rPr/>
        <w:t>It</w:t>
      </w:r>
      <w:r>
        <w:rPr>
          <w:spacing w:val="-14"/>
        </w:rPr>
        <w:t> </w:t>
      </w:r>
      <w:r>
        <w:rPr/>
        <w:t>provides</w:t>
      </w:r>
      <w:r>
        <w:rPr>
          <w:spacing w:val="-12"/>
        </w:rPr>
        <w:t> </w:t>
      </w:r>
      <w:r>
        <w:rPr/>
        <w:t>us</w:t>
      </w:r>
      <w:r>
        <w:rPr>
          <w:spacing w:val="-11"/>
        </w:rPr>
        <w:t> </w:t>
      </w:r>
      <w:r>
        <w:rPr/>
        <w:t>with</w:t>
      </w:r>
      <w:r>
        <w:rPr>
          <w:spacing w:val="-10"/>
        </w:rPr>
        <w:t> </w:t>
      </w:r>
      <w:r>
        <w:rPr/>
        <w:t>12</w:t>
      </w:r>
      <w:r>
        <w:rPr>
          <w:spacing w:val="-14"/>
        </w:rPr>
        <w:t> </w:t>
      </w:r>
      <w:r>
        <w:rPr/>
        <w:t>mg</w:t>
      </w:r>
      <w:r>
        <w:rPr>
          <w:spacing w:val="-13"/>
        </w:rPr>
        <w:t> </w:t>
      </w:r>
      <w:r>
        <w:rPr/>
        <w:t>of</w:t>
      </w:r>
      <w:r>
        <w:rPr>
          <w:spacing w:val="-12"/>
        </w:rPr>
        <w:t> </w:t>
      </w:r>
      <w:r>
        <w:rPr/>
        <w:t>iron</w:t>
      </w:r>
      <w:r>
        <w:rPr>
          <w:spacing w:val="-13"/>
        </w:rPr>
        <w:t> </w:t>
      </w:r>
      <w:r>
        <w:rPr/>
        <w:t>per</w:t>
      </w:r>
      <w:r>
        <w:rPr>
          <w:spacing w:val="-13"/>
        </w:rPr>
        <w:t> </w:t>
      </w:r>
      <w:r>
        <w:rPr/>
        <w:t>100</w:t>
      </w:r>
      <w:r>
        <w:rPr>
          <w:spacing w:val="-12"/>
        </w:rPr>
        <w:t> </w:t>
      </w:r>
      <w:r>
        <w:rPr/>
        <w:t>ml</w:t>
      </w:r>
      <w:r>
        <w:rPr>
          <w:spacing w:val="-13"/>
        </w:rPr>
        <w:t> </w:t>
      </w:r>
      <w:r>
        <w:rPr/>
        <w:t>of</w:t>
      </w:r>
      <w:r>
        <w:rPr>
          <w:spacing w:val="-13"/>
        </w:rPr>
        <w:t> </w:t>
      </w:r>
      <w:r>
        <w:rPr/>
        <w:t>juice</w:t>
      </w:r>
      <w:r>
        <w:rPr>
          <w:spacing w:val="-10"/>
        </w:rPr>
        <w:t> </w:t>
      </w:r>
      <w:r>
        <w:rPr/>
        <w:t>and</w:t>
      </w:r>
      <w:r>
        <w:rPr>
          <w:spacing w:val="-11"/>
        </w:rPr>
        <w:t> </w:t>
      </w:r>
      <w:r>
        <w:rPr/>
        <w:t>about</w:t>
      </w:r>
      <w:r>
        <w:rPr>
          <w:spacing w:val="-11"/>
        </w:rPr>
        <w:t> </w:t>
      </w:r>
      <w:r>
        <w:rPr/>
        <w:t>0.0064</w:t>
      </w:r>
      <w:r>
        <w:rPr>
          <w:spacing w:val="-11"/>
        </w:rPr>
        <w:t> </w:t>
      </w:r>
      <w:r>
        <w:rPr/>
        <w:t>mg of iodine. It also contains potassium, calcium and</w:t>
      </w:r>
      <w:r>
        <w:rPr>
          <w:spacing w:val="-2"/>
        </w:rPr>
        <w:t> </w:t>
      </w:r>
      <w:r>
        <w:rPr/>
        <w:t>magnesium.</w:t>
      </w:r>
    </w:p>
    <w:p>
      <w:pPr>
        <w:pStyle w:val="BodyText"/>
        <w:rPr>
          <w:sz w:val="42"/>
        </w:rPr>
      </w:pPr>
    </w:p>
    <w:p>
      <w:pPr>
        <w:pStyle w:val="BodyText"/>
        <w:spacing w:before="9"/>
        <w:rPr>
          <w:sz w:val="42"/>
        </w:rPr>
      </w:pPr>
    </w:p>
    <w:p>
      <w:pPr>
        <w:pStyle w:val="Heading1"/>
        <w:spacing w:before="0"/>
        <w:jc w:val="both"/>
      </w:pPr>
      <w:r>
        <w:rPr/>
        <w:t>Secondary plant substances in aronia/apple berries</w:t>
      </w:r>
    </w:p>
    <w:p>
      <w:pPr>
        <w:pStyle w:val="BodyText"/>
        <w:spacing w:line="276" w:lineRule="auto" w:before="299"/>
        <w:ind w:left="477" w:right="134"/>
        <w:jc w:val="both"/>
      </w:pPr>
      <w:r>
        <w:rPr/>
        <w:t>Bioflavonoids, which belong to the group of polyphenols, are probably the most interesting active ingredients of aronia berries, as well as the most domi- nant in terms of quantity. These are biologically active substances that have all sorts of health effects; they are found in all parts of the plant, in the fruit pulp as well as in the plants, leaves and flowers.</w:t>
      </w:r>
    </w:p>
    <w:p>
      <w:pPr>
        <w:spacing w:after="0" w:line="276" w:lineRule="auto"/>
        <w:jc w:val="both"/>
        <w:sectPr>
          <w:pgSz w:w="14270" w:h="16850"/>
          <w:pgMar w:header="0" w:footer="1891" w:top="1600" w:bottom="2080" w:left="800" w:right="1280"/>
        </w:sectPr>
      </w:pPr>
    </w:p>
    <w:p>
      <w:pPr>
        <w:pStyle w:val="BodyText"/>
        <w:spacing w:line="276" w:lineRule="auto" w:before="181"/>
        <w:ind w:left="477" w:right="130"/>
        <w:jc w:val="both"/>
      </w:pPr>
      <w:r>
        <w:rPr/>
        <w:t>Among other things, bioflavonoids protect against uncontrolled cell prolifera- tion</w:t>
      </w:r>
      <w:r>
        <w:rPr>
          <w:spacing w:val="-10"/>
        </w:rPr>
        <w:t> </w:t>
      </w:r>
      <w:r>
        <w:rPr/>
        <w:t>in</w:t>
      </w:r>
      <w:r>
        <w:rPr>
          <w:spacing w:val="-9"/>
        </w:rPr>
        <w:t> </w:t>
      </w:r>
      <w:r>
        <w:rPr/>
        <w:t>the</w:t>
      </w:r>
      <w:r>
        <w:rPr>
          <w:spacing w:val="-9"/>
        </w:rPr>
        <w:t> </w:t>
      </w:r>
      <w:r>
        <w:rPr/>
        <w:t>form</w:t>
      </w:r>
      <w:r>
        <w:rPr>
          <w:spacing w:val="-11"/>
        </w:rPr>
        <w:t> </w:t>
      </w:r>
      <w:r>
        <w:rPr/>
        <w:t>of</w:t>
      </w:r>
      <w:r>
        <w:rPr>
          <w:spacing w:val="-9"/>
        </w:rPr>
        <w:t> </w:t>
      </w:r>
      <w:r>
        <w:rPr/>
        <w:t>cancer,</w:t>
      </w:r>
      <w:r>
        <w:rPr>
          <w:spacing w:val="-11"/>
        </w:rPr>
        <w:t> </w:t>
      </w:r>
      <w:r>
        <w:rPr/>
        <w:t>keep</w:t>
      </w:r>
      <w:r>
        <w:rPr>
          <w:spacing w:val="-11"/>
        </w:rPr>
        <w:t> </w:t>
      </w:r>
      <w:r>
        <w:rPr/>
        <w:t>the</w:t>
      </w:r>
      <w:r>
        <w:rPr>
          <w:spacing w:val="-9"/>
        </w:rPr>
        <w:t> </w:t>
      </w:r>
      <w:r>
        <w:rPr/>
        <w:t>blood</w:t>
      </w:r>
      <w:r>
        <w:rPr>
          <w:spacing w:val="-11"/>
        </w:rPr>
        <w:t> </w:t>
      </w:r>
      <w:r>
        <w:rPr/>
        <w:t>fluid</w:t>
      </w:r>
      <w:r>
        <w:rPr>
          <w:spacing w:val="-10"/>
        </w:rPr>
        <w:t> </w:t>
      </w:r>
      <w:r>
        <w:rPr/>
        <w:t>and</w:t>
      </w:r>
      <w:r>
        <w:rPr>
          <w:spacing w:val="-9"/>
        </w:rPr>
        <w:t> </w:t>
      </w:r>
      <w:r>
        <w:rPr/>
        <w:t>protect</w:t>
      </w:r>
      <w:r>
        <w:rPr>
          <w:spacing w:val="-12"/>
        </w:rPr>
        <w:t> </w:t>
      </w:r>
      <w:r>
        <w:rPr/>
        <w:t>it</w:t>
      </w:r>
      <w:r>
        <w:rPr>
          <w:spacing w:val="-11"/>
        </w:rPr>
        <w:t> </w:t>
      </w:r>
      <w:r>
        <w:rPr/>
        <w:t>against</w:t>
      </w:r>
      <w:r>
        <w:rPr>
          <w:spacing w:val="-10"/>
        </w:rPr>
        <w:t> </w:t>
      </w:r>
      <w:r>
        <w:rPr/>
        <w:t>clumping, which</w:t>
      </w:r>
      <w:r>
        <w:rPr>
          <w:spacing w:val="-14"/>
        </w:rPr>
        <w:t> </w:t>
      </w:r>
      <w:r>
        <w:rPr/>
        <w:t>can</w:t>
      </w:r>
      <w:r>
        <w:rPr>
          <w:spacing w:val="-14"/>
        </w:rPr>
        <w:t> </w:t>
      </w:r>
      <w:r>
        <w:rPr/>
        <w:t>lead</w:t>
      </w:r>
      <w:r>
        <w:rPr>
          <w:spacing w:val="-16"/>
        </w:rPr>
        <w:t> </w:t>
      </w:r>
      <w:r>
        <w:rPr/>
        <w:t>to</w:t>
      </w:r>
      <w:r>
        <w:rPr>
          <w:spacing w:val="-14"/>
        </w:rPr>
        <w:t> </w:t>
      </w:r>
      <w:r>
        <w:rPr/>
        <w:t>numerous</w:t>
      </w:r>
      <w:r>
        <w:rPr>
          <w:spacing w:val="-17"/>
        </w:rPr>
        <w:t> </w:t>
      </w:r>
      <w:r>
        <w:rPr/>
        <w:t>cardiovascular</w:t>
      </w:r>
      <w:r>
        <w:rPr>
          <w:spacing w:val="-15"/>
        </w:rPr>
        <w:t> </w:t>
      </w:r>
      <w:r>
        <w:rPr/>
        <w:t>diseases,</w:t>
      </w:r>
      <w:r>
        <w:rPr>
          <w:spacing w:val="-13"/>
        </w:rPr>
        <w:t> </w:t>
      </w:r>
      <w:r>
        <w:rPr/>
        <w:t>including</w:t>
      </w:r>
      <w:r>
        <w:rPr>
          <w:spacing w:val="-15"/>
        </w:rPr>
        <w:t> </w:t>
      </w:r>
      <w:r>
        <w:rPr/>
        <w:t>heart</w:t>
      </w:r>
      <w:r>
        <w:rPr>
          <w:spacing w:val="-15"/>
        </w:rPr>
        <w:t> </w:t>
      </w:r>
      <w:r>
        <w:rPr/>
        <w:t>attacks</w:t>
      </w:r>
      <w:r>
        <w:rPr>
          <w:spacing w:val="-14"/>
        </w:rPr>
        <w:t> </w:t>
      </w:r>
      <w:r>
        <w:rPr/>
        <w:t>and strokes.</w:t>
      </w:r>
      <w:r>
        <w:rPr>
          <w:spacing w:val="-24"/>
        </w:rPr>
        <w:t> </w:t>
      </w:r>
      <w:r>
        <w:rPr/>
        <w:t>In</w:t>
      </w:r>
      <w:r>
        <w:rPr>
          <w:spacing w:val="-22"/>
        </w:rPr>
        <w:t> </w:t>
      </w:r>
      <w:r>
        <w:rPr/>
        <w:t>addition,</w:t>
      </w:r>
      <w:r>
        <w:rPr>
          <w:spacing w:val="-21"/>
        </w:rPr>
        <w:t> </w:t>
      </w:r>
      <w:r>
        <w:rPr/>
        <w:t>they</w:t>
      </w:r>
      <w:r>
        <w:rPr>
          <w:spacing w:val="-22"/>
        </w:rPr>
        <w:t> </w:t>
      </w:r>
      <w:r>
        <w:rPr/>
        <w:t>keep</w:t>
      </w:r>
      <w:r>
        <w:rPr>
          <w:spacing w:val="-22"/>
        </w:rPr>
        <w:t> </w:t>
      </w:r>
      <w:r>
        <w:rPr/>
        <w:t>our</w:t>
      </w:r>
      <w:r>
        <w:rPr>
          <w:spacing w:val="-22"/>
        </w:rPr>
        <w:t> </w:t>
      </w:r>
      <w:r>
        <w:rPr/>
        <w:t>blood</w:t>
      </w:r>
      <w:r>
        <w:rPr>
          <w:spacing w:val="-24"/>
        </w:rPr>
        <w:t> </w:t>
      </w:r>
      <w:r>
        <w:rPr/>
        <w:t>vessels</w:t>
      </w:r>
      <w:r>
        <w:rPr>
          <w:spacing w:val="-23"/>
        </w:rPr>
        <w:t> </w:t>
      </w:r>
      <w:r>
        <w:rPr/>
        <w:t>elastic</w:t>
      </w:r>
      <w:r>
        <w:rPr>
          <w:spacing w:val="-23"/>
        </w:rPr>
        <w:t> </w:t>
      </w:r>
      <w:r>
        <w:rPr/>
        <w:t>and</w:t>
      </w:r>
      <w:r>
        <w:rPr>
          <w:spacing w:val="-21"/>
        </w:rPr>
        <w:t> </w:t>
      </w:r>
      <w:r>
        <w:rPr/>
        <w:t>plaque-free,</w:t>
      </w:r>
      <w:r>
        <w:rPr>
          <w:spacing w:val="-22"/>
        </w:rPr>
        <w:t> </w:t>
      </w:r>
      <w:r>
        <w:rPr/>
        <w:t>regulate blood pressure, have anti-inflammatory and antimicrobial properties and opti- mise the immune</w:t>
      </w:r>
      <w:r>
        <w:rPr>
          <w:spacing w:val="3"/>
        </w:rPr>
        <w:t> </w:t>
      </w:r>
      <w:r>
        <w:rPr/>
        <w:t>system.</w:t>
      </w:r>
    </w:p>
    <w:p>
      <w:pPr>
        <w:pStyle w:val="Heading1"/>
      </w:pPr>
      <w:r>
        <w:rPr/>
        <w:t>Ellagic acid/gallogen</w:t>
      </w:r>
    </w:p>
    <w:p>
      <w:pPr>
        <w:pStyle w:val="BodyText"/>
        <w:spacing w:line="276" w:lineRule="auto" w:before="299"/>
        <w:ind w:left="477"/>
      </w:pPr>
      <w:r>
        <w:rPr/>
        <w:t>Ellagic acid, also known as gallogen, is also a polyphenol, regenerates our cells and has also demonstrated protective potential in cancer studies.</w:t>
      </w:r>
    </w:p>
    <w:p>
      <w:pPr>
        <w:pStyle w:val="BodyText"/>
        <w:spacing w:line="276" w:lineRule="auto" w:before="241"/>
        <w:ind w:left="477"/>
      </w:pPr>
      <w:r>
        <w:rPr/>
        <w:t>According to Prof. Leitzmann and Dr. Watzl, the protective effect of ellagic acid is:</w:t>
      </w:r>
    </w:p>
    <w:p>
      <w:pPr>
        <w:pStyle w:val="ListParagraph"/>
        <w:numPr>
          <w:ilvl w:val="0"/>
          <w:numId w:val="17"/>
        </w:numPr>
        <w:tabs>
          <w:tab w:pos="893" w:val="left" w:leader="none"/>
        </w:tabs>
        <w:spacing w:line="240" w:lineRule="auto" w:before="239" w:after="0"/>
        <w:ind w:left="892" w:right="0" w:hanging="415"/>
        <w:jc w:val="both"/>
        <w:rPr>
          <w:sz w:val="38"/>
        </w:rPr>
      </w:pPr>
      <w:r>
        <w:rPr>
          <w:sz w:val="38"/>
        </w:rPr>
        <w:t>antioxidant (fights harmful, free</w:t>
      </w:r>
      <w:r>
        <w:rPr>
          <w:spacing w:val="-4"/>
          <w:sz w:val="38"/>
        </w:rPr>
        <w:t> </w:t>
      </w:r>
      <w:r>
        <w:rPr>
          <w:sz w:val="38"/>
        </w:rPr>
        <w:t>radicals),</w:t>
      </w:r>
    </w:p>
    <w:p>
      <w:pPr>
        <w:pStyle w:val="ListParagraph"/>
        <w:numPr>
          <w:ilvl w:val="0"/>
          <w:numId w:val="17"/>
        </w:numPr>
        <w:tabs>
          <w:tab w:pos="893" w:val="left" w:leader="none"/>
        </w:tabs>
        <w:spacing w:line="240" w:lineRule="auto" w:before="67" w:after="0"/>
        <w:ind w:left="892" w:right="0" w:hanging="415"/>
        <w:jc w:val="both"/>
        <w:rPr>
          <w:sz w:val="38"/>
        </w:rPr>
      </w:pPr>
      <w:r>
        <w:rPr>
          <w:sz w:val="38"/>
        </w:rPr>
        <w:t>antimicrobial (fights</w:t>
      </w:r>
      <w:r>
        <w:rPr>
          <w:spacing w:val="-1"/>
          <w:sz w:val="38"/>
        </w:rPr>
        <w:t> </w:t>
      </w:r>
      <w:r>
        <w:rPr>
          <w:sz w:val="38"/>
        </w:rPr>
        <w:t>bacteria),</w:t>
      </w:r>
    </w:p>
    <w:p>
      <w:pPr>
        <w:pStyle w:val="ListParagraph"/>
        <w:numPr>
          <w:ilvl w:val="0"/>
          <w:numId w:val="17"/>
        </w:numPr>
        <w:tabs>
          <w:tab w:pos="893" w:val="left" w:leader="none"/>
        </w:tabs>
        <w:spacing w:line="240" w:lineRule="auto" w:before="64" w:after="0"/>
        <w:ind w:left="892" w:right="0" w:hanging="415"/>
        <w:jc w:val="both"/>
        <w:rPr>
          <w:sz w:val="38"/>
        </w:rPr>
      </w:pPr>
      <w:r>
        <w:rPr>
          <w:sz w:val="38"/>
        </w:rPr>
        <w:t>inhibits growth of degenerated</w:t>
      </w:r>
      <w:r>
        <w:rPr>
          <w:spacing w:val="-2"/>
          <w:sz w:val="38"/>
        </w:rPr>
        <w:t> </w:t>
      </w:r>
      <w:r>
        <w:rPr>
          <w:sz w:val="38"/>
        </w:rPr>
        <w:t>cells,</w:t>
      </w:r>
    </w:p>
    <w:p>
      <w:pPr>
        <w:pStyle w:val="ListParagraph"/>
        <w:numPr>
          <w:ilvl w:val="0"/>
          <w:numId w:val="17"/>
        </w:numPr>
        <w:tabs>
          <w:tab w:pos="893" w:val="left" w:leader="none"/>
        </w:tabs>
        <w:spacing w:line="240" w:lineRule="auto" w:before="63" w:after="0"/>
        <w:ind w:left="892" w:right="0" w:hanging="415"/>
        <w:jc w:val="both"/>
        <w:rPr>
          <w:sz w:val="38"/>
        </w:rPr>
      </w:pPr>
      <w:r>
        <w:rPr>
          <w:sz w:val="38"/>
        </w:rPr>
        <w:t>detoxifying.</w:t>
      </w:r>
    </w:p>
    <w:p>
      <w:pPr>
        <w:pStyle w:val="Heading1"/>
        <w:spacing w:before="285"/>
        <w:jc w:val="both"/>
      </w:pPr>
      <w:r>
        <w:rPr/>
        <w:t>Phenol</w:t>
      </w:r>
    </w:p>
    <w:p>
      <w:pPr>
        <w:pStyle w:val="BodyText"/>
        <w:spacing w:line="276" w:lineRule="auto" w:before="179"/>
        <w:ind w:left="477" w:right="136"/>
        <w:jc w:val="both"/>
      </w:pPr>
      <w:r>
        <w:rPr/>
        <w:t>Another</w:t>
      </w:r>
      <w:r>
        <w:rPr>
          <w:spacing w:val="-10"/>
        </w:rPr>
        <w:t> </w:t>
      </w:r>
      <w:r>
        <w:rPr/>
        <w:t>substance</w:t>
      </w:r>
      <w:r>
        <w:rPr>
          <w:spacing w:val="-11"/>
        </w:rPr>
        <w:t> </w:t>
      </w:r>
      <w:r>
        <w:rPr/>
        <w:t>that</w:t>
      </w:r>
      <w:r>
        <w:rPr>
          <w:spacing w:val="-10"/>
        </w:rPr>
        <w:t> </w:t>
      </w:r>
      <w:r>
        <w:rPr/>
        <w:t>has</w:t>
      </w:r>
      <w:r>
        <w:rPr>
          <w:spacing w:val="-13"/>
        </w:rPr>
        <w:t> </w:t>
      </w:r>
      <w:r>
        <w:rPr/>
        <w:t>highly</w:t>
      </w:r>
      <w:r>
        <w:rPr>
          <w:spacing w:val="-10"/>
        </w:rPr>
        <w:t> </w:t>
      </w:r>
      <w:r>
        <w:rPr/>
        <w:t>potent</w:t>
      </w:r>
      <w:r>
        <w:rPr>
          <w:spacing w:val="-13"/>
        </w:rPr>
        <w:t> </w:t>
      </w:r>
      <w:r>
        <w:rPr/>
        <w:t>antioxidant</w:t>
      </w:r>
      <w:r>
        <w:rPr>
          <w:spacing w:val="-11"/>
        </w:rPr>
        <w:t> </w:t>
      </w:r>
      <w:r>
        <w:rPr/>
        <w:t>properties</w:t>
      </w:r>
      <w:r>
        <w:rPr>
          <w:spacing w:val="-14"/>
        </w:rPr>
        <w:t> </w:t>
      </w:r>
      <w:r>
        <w:rPr/>
        <w:t>is</w:t>
      </w:r>
      <w:r>
        <w:rPr>
          <w:spacing w:val="-10"/>
        </w:rPr>
        <w:t> </w:t>
      </w:r>
      <w:r>
        <w:rPr/>
        <w:t>phenol.</w:t>
      </w:r>
      <w:r>
        <w:rPr>
          <w:spacing w:val="-14"/>
        </w:rPr>
        <w:t> </w:t>
      </w:r>
      <w:r>
        <w:rPr/>
        <w:t>This primarily affects the redox properties and the ability to bind the aggressive ox- ygen and nitrogen molecules. It also detoxifies by binding certain</w:t>
      </w:r>
      <w:r>
        <w:rPr>
          <w:spacing w:val="-10"/>
        </w:rPr>
        <w:t> </w:t>
      </w:r>
      <w:r>
        <w:rPr/>
        <w:t>metals.</w:t>
      </w:r>
    </w:p>
    <w:p>
      <w:pPr>
        <w:pStyle w:val="Heading1"/>
        <w:spacing w:before="225"/>
        <w:jc w:val="both"/>
      </w:pPr>
      <w:r>
        <w:rPr/>
        <w:t>Anthocyanins/proanthocyanins</w:t>
      </w:r>
    </w:p>
    <w:p>
      <w:pPr>
        <w:spacing w:after="0"/>
        <w:jc w:val="both"/>
        <w:sectPr>
          <w:pgSz w:w="14270" w:h="16850"/>
          <w:pgMar w:header="0" w:footer="1891" w:top="1600" w:bottom="2080" w:left="800" w:right="1280"/>
        </w:sectPr>
      </w:pPr>
    </w:p>
    <w:p>
      <w:pPr>
        <w:pStyle w:val="BodyText"/>
        <w:spacing w:line="276" w:lineRule="auto" w:before="181"/>
        <w:ind w:left="477" w:right="133"/>
        <w:jc w:val="both"/>
      </w:pPr>
      <w:r>
        <w:rPr/>
        <w:t>Anthocyanins are water-soluble plant dyes from the flavonoid group which are found in almost all higher developed plants (here in flowers and pulp), but es- pecially</w:t>
      </w:r>
      <w:r>
        <w:rPr>
          <w:spacing w:val="-5"/>
        </w:rPr>
        <w:t> </w:t>
      </w:r>
      <w:r>
        <w:rPr/>
        <w:t>in</w:t>
      </w:r>
      <w:r>
        <w:rPr>
          <w:spacing w:val="-5"/>
        </w:rPr>
        <w:t> </w:t>
      </w:r>
      <w:r>
        <w:rPr/>
        <w:t>berries,</w:t>
      </w:r>
      <w:r>
        <w:rPr>
          <w:spacing w:val="-4"/>
        </w:rPr>
        <w:t> </w:t>
      </w:r>
      <w:r>
        <w:rPr/>
        <w:t>which</w:t>
      </w:r>
      <w:r>
        <w:rPr>
          <w:spacing w:val="-7"/>
        </w:rPr>
        <w:t> </w:t>
      </w:r>
      <w:r>
        <w:rPr/>
        <w:t>give</w:t>
      </w:r>
      <w:r>
        <w:rPr>
          <w:spacing w:val="-5"/>
        </w:rPr>
        <w:t> </w:t>
      </w:r>
      <w:r>
        <w:rPr/>
        <w:t>them</w:t>
      </w:r>
      <w:r>
        <w:rPr>
          <w:spacing w:val="-7"/>
        </w:rPr>
        <w:t> </w:t>
      </w:r>
      <w:r>
        <w:rPr/>
        <w:t>their</w:t>
      </w:r>
      <w:r>
        <w:rPr>
          <w:spacing w:val="-7"/>
        </w:rPr>
        <w:t> </w:t>
      </w:r>
      <w:r>
        <w:rPr/>
        <w:t>blue,</w:t>
      </w:r>
      <w:r>
        <w:rPr>
          <w:spacing w:val="-5"/>
        </w:rPr>
        <w:t> </w:t>
      </w:r>
      <w:r>
        <w:rPr/>
        <w:t>red,</w:t>
      </w:r>
      <w:r>
        <w:rPr>
          <w:spacing w:val="-5"/>
        </w:rPr>
        <w:t> </w:t>
      </w:r>
      <w:r>
        <w:rPr/>
        <w:t>purple</w:t>
      </w:r>
      <w:r>
        <w:rPr>
          <w:spacing w:val="-8"/>
        </w:rPr>
        <w:t> </w:t>
      </w:r>
      <w:r>
        <w:rPr/>
        <w:t>or</w:t>
      </w:r>
      <w:r>
        <w:rPr>
          <w:spacing w:val="-6"/>
        </w:rPr>
        <w:t> </w:t>
      </w:r>
      <w:r>
        <w:rPr/>
        <w:t>blue-black</w:t>
      </w:r>
      <w:r>
        <w:rPr>
          <w:spacing w:val="-5"/>
        </w:rPr>
        <w:t> </w:t>
      </w:r>
      <w:r>
        <w:rPr/>
        <w:t>colour- ation. No other plant or food has as high an anthocyanin content as the aronia berry!</w:t>
      </w:r>
    </w:p>
    <w:p>
      <w:pPr>
        <w:pStyle w:val="BodyText"/>
        <w:spacing w:line="276" w:lineRule="auto" w:before="240"/>
        <w:ind w:left="477" w:right="130"/>
        <w:jc w:val="both"/>
      </w:pPr>
      <w:r>
        <w:rPr/>
        <w:t>Anthocyanins</w:t>
      </w:r>
      <w:r>
        <w:rPr>
          <w:spacing w:val="-7"/>
        </w:rPr>
        <w:t> </w:t>
      </w:r>
      <w:r>
        <w:rPr/>
        <w:t>are</w:t>
      </w:r>
      <w:r>
        <w:rPr>
          <w:spacing w:val="-8"/>
        </w:rPr>
        <w:t> </w:t>
      </w:r>
      <w:r>
        <w:rPr/>
        <w:t>especially</w:t>
      </w:r>
      <w:r>
        <w:rPr>
          <w:spacing w:val="-7"/>
        </w:rPr>
        <w:t> </w:t>
      </w:r>
      <w:r>
        <w:rPr/>
        <w:t>common</w:t>
      </w:r>
      <w:r>
        <w:rPr>
          <w:spacing w:val="-8"/>
        </w:rPr>
        <w:t> </w:t>
      </w:r>
      <w:r>
        <w:rPr/>
        <w:t>in</w:t>
      </w:r>
      <w:r>
        <w:rPr>
          <w:spacing w:val="-9"/>
        </w:rPr>
        <w:t> </w:t>
      </w:r>
      <w:r>
        <w:rPr/>
        <w:t>the</w:t>
      </w:r>
      <w:r>
        <w:rPr>
          <w:spacing w:val="-9"/>
        </w:rPr>
        <w:t> </w:t>
      </w:r>
      <w:r>
        <w:rPr/>
        <w:t>aronia</w:t>
      </w:r>
      <w:r>
        <w:rPr>
          <w:spacing w:val="-8"/>
        </w:rPr>
        <w:t> </w:t>
      </w:r>
      <w:r>
        <w:rPr/>
        <w:t>berry’s</w:t>
      </w:r>
      <w:r>
        <w:rPr>
          <w:spacing w:val="-9"/>
        </w:rPr>
        <w:t> </w:t>
      </w:r>
      <w:r>
        <w:rPr/>
        <w:t>skin,</w:t>
      </w:r>
      <w:r>
        <w:rPr>
          <w:spacing w:val="-7"/>
        </w:rPr>
        <w:t> </w:t>
      </w:r>
      <w:r>
        <w:rPr/>
        <w:t>which</w:t>
      </w:r>
      <w:r>
        <w:rPr>
          <w:spacing w:val="-7"/>
        </w:rPr>
        <w:t> </w:t>
      </w:r>
      <w:r>
        <w:rPr/>
        <w:t>is</w:t>
      </w:r>
      <w:r>
        <w:rPr>
          <w:spacing w:val="-9"/>
        </w:rPr>
        <w:t> </w:t>
      </w:r>
      <w:r>
        <w:rPr/>
        <w:t>under- standable: the evolutionary purpose behind this is the protection against pests, UV rays in strong sunlight and free radicals, which damage the cells from the outside and eventually destroy them. Due to their small size, which makes the fruit more susceptible to pests and UV rays, aronia berries have a particularly high concentration of these protective substances. On the other hand, the strong</w:t>
      </w:r>
      <w:r>
        <w:rPr>
          <w:spacing w:val="-19"/>
        </w:rPr>
        <w:t> </w:t>
      </w:r>
      <w:r>
        <w:rPr/>
        <w:t>colours</w:t>
      </w:r>
      <w:r>
        <w:rPr>
          <w:spacing w:val="-20"/>
        </w:rPr>
        <w:t> </w:t>
      </w:r>
      <w:r>
        <w:rPr/>
        <w:t>of</w:t>
      </w:r>
      <w:r>
        <w:rPr>
          <w:spacing w:val="-19"/>
        </w:rPr>
        <w:t> </w:t>
      </w:r>
      <w:r>
        <w:rPr/>
        <w:t>the</w:t>
      </w:r>
      <w:r>
        <w:rPr>
          <w:spacing w:val="-18"/>
        </w:rPr>
        <w:t> </w:t>
      </w:r>
      <w:r>
        <w:rPr/>
        <w:t>flavonoids</w:t>
      </w:r>
      <w:r>
        <w:rPr>
          <w:spacing w:val="-22"/>
        </w:rPr>
        <w:t> </w:t>
      </w:r>
      <w:r>
        <w:rPr/>
        <w:t>attract</w:t>
      </w:r>
      <w:r>
        <w:rPr>
          <w:spacing w:val="-20"/>
        </w:rPr>
        <w:t> </w:t>
      </w:r>
      <w:r>
        <w:rPr/>
        <w:t>pollinating</w:t>
      </w:r>
      <w:r>
        <w:rPr>
          <w:spacing w:val="-19"/>
        </w:rPr>
        <w:t> </w:t>
      </w:r>
      <w:r>
        <w:rPr/>
        <w:t>insects</w:t>
      </w:r>
      <w:r>
        <w:rPr>
          <w:spacing w:val="-18"/>
        </w:rPr>
        <w:t> </w:t>
      </w:r>
      <w:r>
        <w:rPr/>
        <w:t>and</w:t>
      </w:r>
      <w:r>
        <w:rPr>
          <w:spacing w:val="-19"/>
        </w:rPr>
        <w:t> </w:t>
      </w:r>
      <w:r>
        <w:rPr/>
        <w:t>to</w:t>
      </w:r>
      <w:r>
        <w:rPr>
          <w:spacing w:val="-23"/>
        </w:rPr>
        <w:t> </w:t>
      </w:r>
      <w:r>
        <w:rPr/>
        <w:t>help</w:t>
      </w:r>
      <w:r>
        <w:rPr>
          <w:spacing w:val="-19"/>
        </w:rPr>
        <w:t> </w:t>
      </w:r>
      <w:r>
        <w:rPr/>
        <w:t>the</w:t>
      </w:r>
      <w:r>
        <w:rPr>
          <w:spacing w:val="-18"/>
        </w:rPr>
        <w:t> </w:t>
      </w:r>
      <w:r>
        <w:rPr/>
        <w:t>plants reproduce.</w:t>
      </w:r>
    </w:p>
    <w:p>
      <w:pPr>
        <w:pStyle w:val="BodyText"/>
        <w:spacing w:line="276" w:lineRule="auto" w:before="241"/>
        <w:ind w:left="477" w:right="131"/>
        <w:jc w:val="both"/>
      </w:pPr>
      <w:r>
        <w:rPr/>
        <w:t>While</w:t>
      </w:r>
      <w:r>
        <w:rPr>
          <w:spacing w:val="-6"/>
        </w:rPr>
        <w:t> </w:t>
      </w:r>
      <w:r>
        <w:rPr/>
        <w:t>the</w:t>
      </w:r>
      <w:r>
        <w:rPr>
          <w:spacing w:val="-6"/>
        </w:rPr>
        <w:t> </w:t>
      </w:r>
      <w:r>
        <w:rPr/>
        <w:t>second</w:t>
      </w:r>
      <w:r>
        <w:rPr>
          <w:spacing w:val="-5"/>
        </w:rPr>
        <w:t> </w:t>
      </w:r>
      <w:r>
        <w:rPr/>
        <w:t>point</w:t>
      </w:r>
      <w:r>
        <w:rPr>
          <w:spacing w:val="-7"/>
        </w:rPr>
        <w:t> </w:t>
      </w:r>
      <w:r>
        <w:rPr/>
        <w:t>is</w:t>
      </w:r>
      <w:r>
        <w:rPr>
          <w:spacing w:val="-7"/>
        </w:rPr>
        <w:t> </w:t>
      </w:r>
      <w:r>
        <w:rPr/>
        <w:t>irrelevant</w:t>
      </w:r>
      <w:r>
        <w:rPr>
          <w:spacing w:val="-3"/>
        </w:rPr>
        <w:t> </w:t>
      </w:r>
      <w:r>
        <w:rPr/>
        <w:t>to</w:t>
      </w:r>
      <w:r>
        <w:rPr>
          <w:spacing w:val="-6"/>
        </w:rPr>
        <w:t> </w:t>
      </w:r>
      <w:r>
        <w:rPr/>
        <w:t>humans,</w:t>
      </w:r>
      <w:r>
        <w:rPr>
          <w:spacing w:val="-6"/>
        </w:rPr>
        <w:t> </w:t>
      </w:r>
      <w:r>
        <w:rPr/>
        <w:t>we</w:t>
      </w:r>
      <w:r>
        <w:rPr>
          <w:spacing w:val="-4"/>
        </w:rPr>
        <w:t> </w:t>
      </w:r>
      <w:r>
        <w:rPr/>
        <w:t>can</w:t>
      </w:r>
      <w:r>
        <w:rPr>
          <w:spacing w:val="-3"/>
        </w:rPr>
        <w:t> </w:t>
      </w:r>
      <w:r>
        <w:rPr/>
        <w:t>easily</w:t>
      </w:r>
      <w:r>
        <w:rPr>
          <w:spacing w:val="-7"/>
        </w:rPr>
        <w:t> </w:t>
      </w:r>
      <w:r>
        <w:rPr/>
        <w:t>take</w:t>
      </w:r>
      <w:r>
        <w:rPr>
          <w:spacing w:val="-5"/>
        </w:rPr>
        <w:t> </w:t>
      </w:r>
      <w:r>
        <w:rPr/>
        <w:t>advantage</w:t>
      </w:r>
      <w:r>
        <w:rPr>
          <w:spacing w:val="-4"/>
        </w:rPr>
        <w:t> </w:t>
      </w:r>
      <w:r>
        <w:rPr/>
        <w:t>of the first aspect, namely the protection against free radicals and ultraviolet rays to protect one's own body cells, by regularly consuming these plants, which have abundant anthocyanins. And indeed, the aronia berry has an amazing re- sistance to diseases and pests; it does not have to be sprayed with chemicals, which ensures gives it another high, bio-relevant</w:t>
      </w:r>
      <w:r>
        <w:rPr>
          <w:spacing w:val="1"/>
        </w:rPr>
        <w:t> </w:t>
      </w:r>
      <w:r>
        <w:rPr/>
        <w:t>value!</w:t>
      </w:r>
    </w:p>
    <w:p>
      <w:pPr>
        <w:pStyle w:val="Heading2"/>
        <w:spacing w:before="241"/>
      </w:pPr>
      <w:r>
        <w:rPr/>
        <w:t>The destructive potential of free radicals</w:t>
      </w:r>
    </w:p>
    <w:p>
      <w:pPr>
        <w:pStyle w:val="BodyText"/>
        <w:spacing w:line="276" w:lineRule="auto" w:before="304"/>
        <w:ind w:left="477" w:right="135"/>
        <w:jc w:val="both"/>
      </w:pPr>
      <w:r>
        <w:rPr/>
        <w:t>Free</w:t>
      </w:r>
      <w:r>
        <w:rPr>
          <w:spacing w:val="-27"/>
        </w:rPr>
        <w:t> </w:t>
      </w:r>
      <w:r>
        <w:rPr/>
        <w:t>radicals</w:t>
      </w:r>
      <w:r>
        <w:rPr>
          <w:spacing w:val="-26"/>
        </w:rPr>
        <w:t> </w:t>
      </w:r>
      <w:r>
        <w:rPr/>
        <w:t>are</w:t>
      </w:r>
      <w:r>
        <w:rPr>
          <w:spacing w:val="-25"/>
        </w:rPr>
        <w:t> </w:t>
      </w:r>
      <w:r>
        <w:rPr/>
        <w:t>aggressive</w:t>
      </w:r>
      <w:r>
        <w:rPr>
          <w:spacing w:val="-27"/>
        </w:rPr>
        <w:t> </w:t>
      </w:r>
      <w:r>
        <w:rPr/>
        <w:t>oxygen</w:t>
      </w:r>
      <w:r>
        <w:rPr>
          <w:spacing w:val="-26"/>
        </w:rPr>
        <w:t> </w:t>
      </w:r>
      <w:r>
        <w:rPr/>
        <w:t>molecules</w:t>
      </w:r>
      <w:r>
        <w:rPr>
          <w:spacing w:val="-25"/>
        </w:rPr>
        <w:t> </w:t>
      </w:r>
      <w:r>
        <w:rPr/>
        <w:t>that</w:t>
      </w:r>
      <w:r>
        <w:rPr>
          <w:spacing w:val="-24"/>
        </w:rPr>
        <w:t> </w:t>
      </w:r>
      <w:r>
        <w:rPr/>
        <w:t>attack</w:t>
      </w:r>
      <w:r>
        <w:rPr>
          <w:spacing w:val="-27"/>
        </w:rPr>
        <w:t> </w:t>
      </w:r>
      <w:r>
        <w:rPr/>
        <w:t>our</w:t>
      </w:r>
      <w:r>
        <w:rPr>
          <w:spacing w:val="-26"/>
        </w:rPr>
        <w:t> </w:t>
      </w:r>
      <w:r>
        <w:rPr/>
        <w:t>cells</w:t>
      </w:r>
      <w:r>
        <w:rPr>
          <w:spacing w:val="-27"/>
        </w:rPr>
        <w:t> </w:t>
      </w:r>
      <w:r>
        <w:rPr/>
        <w:t>around</w:t>
      </w:r>
      <w:r>
        <w:rPr>
          <w:spacing w:val="-26"/>
        </w:rPr>
        <w:t> </w:t>
      </w:r>
      <w:r>
        <w:rPr/>
        <w:t>10,000 times</w:t>
      </w:r>
      <w:r>
        <w:rPr>
          <w:spacing w:val="36"/>
        </w:rPr>
        <w:t> </w:t>
      </w:r>
      <w:r>
        <w:rPr/>
        <w:t>a</w:t>
      </w:r>
      <w:r>
        <w:rPr>
          <w:spacing w:val="35"/>
        </w:rPr>
        <w:t> </w:t>
      </w:r>
      <w:r>
        <w:rPr/>
        <w:t>day,</w:t>
      </w:r>
      <w:r>
        <w:rPr>
          <w:spacing w:val="37"/>
        </w:rPr>
        <w:t> </w:t>
      </w:r>
      <w:r>
        <w:rPr/>
        <w:t>not</w:t>
      </w:r>
      <w:r>
        <w:rPr>
          <w:spacing w:val="36"/>
        </w:rPr>
        <w:t> </w:t>
      </w:r>
      <w:r>
        <w:rPr/>
        <w:t>only</w:t>
      </w:r>
      <w:r>
        <w:rPr>
          <w:spacing w:val="34"/>
        </w:rPr>
        <w:t> </w:t>
      </w:r>
      <w:r>
        <w:rPr/>
        <w:t>causing</w:t>
      </w:r>
      <w:r>
        <w:rPr>
          <w:spacing w:val="37"/>
        </w:rPr>
        <w:t> </w:t>
      </w:r>
      <w:r>
        <w:rPr/>
        <w:t>physical</w:t>
      </w:r>
      <w:r>
        <w:rPr>
          <w:spacing w:val="36"/>
        </w:rPr>
        <w:t> </w:t>
      </w:r>
      <w:r>
        <w:rPr/>
        <w:t>ageing</w:t>
      </w:r>
      <w:r>
        <w:rPr>
          <w:spacing w:val="39"/>
        </w:rPr>
        <w:t> </w:t>
      </w:r>
      <w:r>
        <w:rPr/>
        <w:t>but</w:t>
      </w:r>
      <w:r>
        <w:rPr>
          <w:spacing w:val="34"/>
        </w:rPr>
        <w:t> </w:t>
      </w:r>
      <w:r>
        <w:rPr/>
        <w:t>also</w:t>
      </w:r>
      <w:r>
        <w:rPr>
          <w:spacing w:val="36"/>
        </w:rPr>
        <w:t> </w:t>
      </w:r>
      <w:r>
        <w:rPr/>
        <w:t>creating</w:t>
      </w:r>
      <w:r>
        <w:rPr>
          <w:spacing w:val="37"/>
        </w:rPr>
        <w:t> </w:t>
      </w:r>
      <w:r>
        <w:rPr/>
        <w:t>or</w:t>
      </w:r>
      <w:r>
        <w:rPr>
          <w:spacing w:val="37"/>
        </w:rPr>
        <w:t> </w:t>
      </w:r>
      <w:r>
        <w:rPr/>
        <w:t>promoting</w:t>
      </w:r>
    </w:p>
    <w:p>
      <w:pPr>
        <w:spacing w:after="0" w:line="276" w:lineRule="auto"/>
        <w:jc w:val="both"/>
        <w:sectPr>
          <w:pgSz w:w="14270" w:h="16850"/>
          <w:pgMar w:header="0" w:footer="1891" w:top="1600" w:bottom="2080" w:left="800" w:right="1280"/>
        </w:sectPr>
      </w:pPr>
    </w:p>
    <w:p>
      <w:pPr>
        <w:pStyle w:val="BodyText"/>
        <w:spacing w:line="276" w:lineRule="auto" w:before="181"/>
        <w:ind w:left="477"/>
      </w:pPr>
      <w:r>
        <w:rPr/>
        <w:t>many diseases. They occur during digestion, due to UV rays, environmental toxins, stress, excessive bodily strain, etc.</w:t>
      </w:r>
    </w:p>
    <w:p>
      <w:pPr>
        <w:pStyle w:val="Heading1"/>
        <w:jc w:val="both"/>
      </w:pPr>
      <w:r>
        <w:rPr/>
        <w:t>Diseases caused by free radicals</w:t>
      </w:r>
    </w:p>
    <w:p>
      <w:pPr>
        <w:pStyle w:val="BodyText"/>
        <w:spacing w:before="299"/>
        <w:ind w:left="477"/>
        <w:jc w:val="both"/>
      </w:pPr>
      <w:r>
        <w:rPr/>
        <w:t>The following listed diseases are promoted by free radicals:</w:t>
      </w:r>
    </w:p>
    <w:p>
      <w:pPr>
        <w:pStyle w:val="ListParagraph"/>
        <w:numPr>
          <w:ilvl w:val="0"/>
          <w:numId w:val="17"/>
        </w:numPr>
        <w:tabs>
          <w:tab w:pos="1083" w:val="left" w:leader="none"/>
        </w:tabs>
        <w:spacing w:line="240" w:lineRule="auto" w:before="306" w:after="0"/>
        <w:ind w:left="1082" w:right="0" w:hanging="605"/>
        <w:jc w:val="both"/>
        <w:rPr>
          <w:sz w:val="38"/>
        </w:rPr>
      </w:pPr>
      <w:r>
        <w:rPr>
          <w:sz w:val="38"/>
        </w:rPr>
        <w:t>cardiovascular</w:t>
      </w:r>
      <w:r>
        <w:rPr>
          <w:spacing w:val="1"/>
          <w:sz w:val="38"/>
        </w:rPr>
        <w:t> </w:t>
      </w:r>
      <w:r>
        <w:rPr>
          <w:sz w:val="38"/>
        </w:rPr>
        <w:t>disease</w:t>
      </w:r>
    </w:p>
    <w:p>
      <w:pPr>
        <w:pStyle w:val="ListParagraph"/>
        <w:numPr>
          <w:ilvl w:val="0"/>
          <w:numId w:val="17"/>
        </w:numPr>
        <w:tabs>
          <w:tab w:pos="1083" w:val="left" w:leader="none"/>
        </w:tabs>
        <w:spacing w:line="240" w:lineRule="auto" w:before="64" w:after="0"/>
        <w:ind w:left="1082" w:right="0" w:hanging="605"/>
        <w:jc w:val="both"/>
        <w:rPr>
          <w:sz w:val="38"/>
        </w:rPr>
      </w:pPr>
      <w:r>
        <w:rPr>
          <w:sz w:val="38"/>
        </w:rPr>
        <w:t>diabetes</w:t>
      </w:r>
    </w:p>
    <w:p>
      <w:pPr>
        <w:pStyle w:val="ListParagraph"/>
        <w:numPr>
          <w:ilvl w:val="0"/>
          <w:numId w:val="17"/>
        </w:numPr>
        <w:tabs>
          <w:tab w:pos="1083" w:val="left" w:leader="none"/>
        </w:tabs>
        <w:spacing w:line="240" w:lineRule="auto" w:before="64" w:after="0"/>
        <w:ind w:left="1082" w:right="0" w:hanging="605"/>
        <w:jc w:val="both"/>
        <w:rPr>
          <w:sz w:val="38"/>
        </w:rPr>
      </w:pPr>
      <w:r>
        <w:rPr>
          <w:sz w:val="38"/>
        </w:rPr>
        <w:t>cataracts</w:t>
      </w:r>
    </w:p>
    <w:p>
      <w:pPr>
        <w:pStyle w:val="ListParagraph"/>
        <w:numPr>
          <w:ilvl w:val="0"/>
          <w:numId w:val="17"/>
        </w:numPr>
        <w:tabs>
          <w:tab w:pos="1083" w:val="left" w:leader="none"/>
        </w:tabs>
        <w:spacing w:line="240" w:lineRule="auto" w:before="64" w:after="0"/>
        <w:ind w:left="1082" w:right="0" w:hanging="605"/>
        <w:jc w:val="both"/>
        <w:rPr>
          <w:sz w:val="38"/>
        </w:rPr>
      </w:pPr>
      <w:r>
        <w:rPr>
          <w:sz w:val="38"/>
        </w:rPr>
        <w:t>cancer</w:t>
      </w:r>
    </w:p>
    <w:p>
      <w:pPr>
        <w:pStyle w:val="ListParagraph"/>
        <w:numPr>
          <w:ilvl w:val="0"/>
          <w:numId w:val="17"/>
        </w:numPr>
        <w:tabs>
          <w:tab w:pos="1083" w:val="left" w:leader="none"/>
        </w:tabs>
        <w:spacing w:line="240" w:lineRule="auto" w:before="63" w:after="0"/>
        <w:ind w:left="1082" w:right="0" w:hanging="605"/>
        <w:jc w:val="both"/>
        <w:rPr>
          <w:sz w:val="38"/>
        </w:rPr>
      </w:pPr>
      <w:r>
        <w:rPr>
          <w:sz w:val="38"/>
        </w:rPr>
        <w:t>dementia</w:t>
      </w:r>
    </w:p>
    <w:p>
      <w:pPr>
        <w:pStyle w:val="ListParagraph"/>
        <w:numPr>
          <w:ilvl w:val="0"/>
          <w:numId w:val="17"/>
        </w:numPr>
        <w:tabs>
          <w:tab w:pos="1083" w:val="left" w:leader="none"/>
        </w:tabs>
        <w:spacing w:line="240" w:lineRule="auto" w:before="66" w:after="0"/>
        <w:ind w:left="1082" w:right="0" w:hanging="605"/>
        <w:jc w:val="both"/>
        <w:rPr>
          <w:sz w:val="38"/>
        </w:rPr>
      </w:pPr>
      <w:r>
        <w:rPr>
          <w:sz w:val="38"/>
        </w:rPr>
        <w:t>Alzheimer’s</w:t>
      </w:r>
    </w:p>
    <w:p>
      <w:pPr>
        <w:pStyle w:val="ListParagraph"/>
        <w:numPr>
          <w:ilvl w:val="0"/>
          <w:numId w:val="17"/>
        </w:numPr>
        <w:tabs>
          <w:tab w:pos="1083" w:val="left" w:leader="none"/>
        </w:tabs>
        <w:spacing w:line="240" w:lineRule="auto" w:before="64" w:after="0"/>
        <w:ind w:left="1082" w:right="0" w:hanging="605"/>
        <w:jc w:val="both"/>
        <w:rPr>
          <w:sz w:val="38"/>
        </w:rPr>
      </w:pPr>
      <w:r>
        <w:rPr>
          <w:sz w:val="38"/>
        </w:rPr>
        <w:t>Parkinson’s</w:t>
      </w:r>
    </w:p>
    <w:p>
      <w:pPr>
        <w:pStyle w:val="ListParagraph"/>
        <w:numPr>
          <w:ilvl w:val="0"/>
          <w:numId w:val="17"/>
        </w:numPr>
        <w:tabs>
          <w:tab w:pos="1083" w:val="left" w:leader="none"/>
        </w:tabs>
        <w:spacing w:line="240" w:lineRule="auto" w:before="64" w:after="0"/>
        <w:ind w:left="1082" w:right="0" w:hanging="605"/>
        <w:jc w:val="both"/>
        <w:rPr>
          <w:sz w:val="38"/>
        </w:rPr>
      </w:pPr>
      <w:r>
        <w:rPr>
          <w:sz w:val="38"/>
        </w:rPr>
        <w:t>and others</w:t>
      </w:r>
    </w:p>
    <w:p>
      <w:pPr>
        <w:pStyle w:val="Heading1"/>
        <w:spacing w:before="285"/>
        <w:jc w:val="both"/>
      </w:pPr>
      <w:r>
        <w:rPr/>
        <w:t>The</w:t>
      </w:r>
      <w:r>
        <w:rPr>
          <w:spacing w:val="-41"/>
        </w:rPr>
        <w:t> </w:t>
      </w:r>
      <w:r>
        <w:rPr/>
        <w:t>aronia</w:t>
      </w:r>
      <w:r>
        <w:rPr>
          <w:spacing w:val="-40"/>
        </w:rPr>
        <w:t> </w:t>
      </w:r>
      <w:r>
        <w:rPr/>
        <w:t>berry</w:t>
      </w:r>
      <w:r>
        <w:rPr>
          <w:spacing w:val="-42"/>
        </w:rPr>
        <w:t> </w:t>
      </w:r>
      <w:r>
        <w:rPr/>
        <w:t>as</w:t>
      </w:r>
      <w:r>
        <w:rPr>
          <w:spacing w:val="-40"/>
        </w:rPr>
        <w:t> </w:t>
      </w:r>
      <w:r>
        <w:rPr/>
        <w:t>the</w:t>
      </w:r>
      <w:r>
        <w:rPr>
          <w:spacing w:val="-41"/>
        </w:rPr>
        <w:t> </w:t>
      </w:r>
      <w:r>
        <w:rPr/>
        <w:t>richest</w:t>
      </w:r>
      <w:r>
        <w:rPr>
          <w:spacing w:val="-41"/>
        </w:rPr>
        <w:t> </w:t>
      </w:r>
      <w:r>
        <w:rPr/>
        <w:t>source</w:t>
      </w:r>
      <w:r>
        <w:rPr>
          <w:spacing w:val="-40"/>
        </w:rPr>
        <w:t> </w:t>
      </w:r>
      <w:r>
        <w:rPr/>
        <w:t>against</w:t>
      </w:r>
      <w:r>
        <w:rPr>
          <w:spacing w:val="-41"/>
        </w:rPr>
        <w:t> </w:t>
      </w:r>
      <w:r>
        <w:rPr/>
        <w:t>destructive</w:t>
      </w:r>
      <w:r>
        <w:rPr>
          <w:spacing w:val="-41"/>
        </w:rPr>
        <w:t> </w:t>
      </w:r>
      <w:r>
        <w:rPr/>
        <w:t>free</w:t>
      </w:r>
      <w:r>
        <w:rPr>
          <w:spacing w:val="-41"/>
        </w:rPr>
        <w:t> </w:t>
      </w:r>
      <w:r>
        <w:rPr/>
        <w:t>radicals</w:t>
      </w:r>
    </w:p>
    <w:p>
      <w:pPr>
        <w:pStyle w:val="BodyText"/>
        <w:spacing w:line="276" w:lineRule="auto" w:before="299"/>
        <w:ind w:left="477"/>
      </w:pPr>
      <w:r>
        <w:rPr/>
        <w:t>Polyphenols have about 100 times more antioxidant potential than vitamins (vitamin C contributes just 15 % to the antioxidant protection of cells).</w:t>
      </w:r>
    </w:p>
    <w:p>
      <w:pPr>
        <w:pStyle w:val="BodyText"/>
        <w:spacing w:line="276" w:lineRule="auto" w:before="241"/>
        <w:ind w:left="477" w:right="132"/>
        <w:jc w:val="both"/>
      </w:pPr>
      <w:r>
        <w:rPr/>
        <w:t>What makes the aronia berry so special and interesting to us is the fact that, in various investigations and studies, their antioxidant capacity was much higher than</w:t>
      </w:r>
      <w:r>
        <w:rPr>
          <w:spacing w:val="-9"/>
        </w:rPr>
        <w:t> </w:t>
      </w:r>
      <w:r>
        <w:rPr/>
        <w:t>that</w:t>
      </w:r>
      <w:r>
        <w:rPr>
          <w:spacing w:val="-10"/>
        </w:rPr>
        <w:t> </w:t>
      </w:r>
      <w:r>
        <w:rPr/>
        <w:t>of</w:t>
      </w:r>
      <w:r>
        <w:rPr>
          <w:spacing w:val="-9"/>
        </w:rPr>
        <w:t> </w:t>
      </w:r>
      <w:r>
        <w:rPr/>
        <w:t>other</w:t>
      </w:r>
      <w:r>
        <w:rPr>
          <w:spacing w:val="-10"/>
        </w:rPr>
        <w:t> </w:t>
      </w:r>
      <w:r>
        <w:rPr/>
        <w:t>fruits.</w:t>
      </w:r>
      <w:r>
        <w:rPr>
          <w:spacing w:val="-10"/>
        </w:rPr>
        <w:t> </w:t>
      </w:r>
      <w:r>
        <w:rPr/>
        <w:t>Apart</w:t>
      </w:r>
      <w:r>
        <w:rPr>
          <w:spacing w:val="-10"/>
        </w:rPr>
        <w:t> </w:t>
      </w:r>
      <w:r>
        <w:rPr/>
        <w:t>from</w:t>
      </w:r>
      <w:r>
        <w:rPr>
          <w:spacing w:val="-10"/>
        </w:rPr>
        <w:t> </w:t>
      </w:r>
      <w:r>
        <w:rPr/>
        <w:t>the</w:t>
      </w:r>
      <w:r>
        <w:rPr>
          <w:spacing w:val="-11"/>
        </w:rPr>
        <w:t> </w:t>
      </w:r>
      <w:r>
        <w:rPr/>
        <w:t>high</w:t>
      </w:r>
      <w:r>
        <w:rPr>
          <w:spacing w:val="-9"/>
        </w:rPr>
        <w:t> </w:t>
      </w:r>
      <w:r>
        <w:rPr/>
        <w:t>proportion</w:t>
      </w:r>
      <w:r>
        <w:rPr>
          <w:spacing w:val="-11"/>
        </w:rPr>
        <w:t> </w:t>
      </w:r>
      <w:r>
        <w:rPr/>
        <w:t>of</w:t>
      </w:r>
      <w:r>
        <w:rPr>
          <w:spacing w:val="-10"/>
        </w:rPr>
        <w:t> </w:t>
      </w:r>
      <w:r>
        <w:rPr/>
        <w:t>polyphenols,</w:t>
      </w:r>
      <w:r>
        <w:rPr>
          <w:spacing w:val="-11"/>
        </w:rPr>
        <w:t> </w:t>
      </w:r>
      <w:r>
        <w:rPr/>
        <w:t>this</w:t>
      </w:r>
      <w:r>
        <w:rPr>
          <w:spacing w:val="-9"/>
        </w:rPr>
        <w:t> </w:t>
      </w:r>
      <w:r>
        <w:rPr/>
        <w:t>is</w:t>
      </w:r>
    </w:p>
    <w:p>
      <w:pPr>
        <w:spacing w:after="0" w:line="276" w:lineRule="auto"/>
        <w:jc w:val="both"/>
        <w:sectPr>
          <w:footerReference w:type="default" r:id="rId37"/>
          <w:pgSz w:w="14270" w:h="16850"/>
          <w:pgMar w:footer="1891" w:header="0" w:top="1600" w:bottom="2080" w:left="800" w:right="1280"/>
          <w:pgNumType w:start="180"/>
        </w:sectPr>
      </w:pPr>
    </w:p>
    <w:p>
      <w:pPr>
        <w:pStyle w:val="BodyText"/>
        <w:spacing w:line="276" w:lineRule="auto" w:before="181"/>
        <w:ind w:left="477" w:right="132"/>
        <w:jc w:val="both"/>
      </w:pPr>
      <w:r>
        <w:rPr/>
        <w:t>attributed, inter alia, to the high bioavailability of the aronia berry which also depends</w:t>
      </w:r>
      <w:r>
        <w:rPr>
          <w:spacing w:val="-5"/>
        </w:rPr>
        <w:t> </w:t>
      </w:r>
      <w:r>
        <w:rPr/>
        <w:t>on</w:t>
      </w:r>
      <w:r>
        <w:rPr>
          <w:spacing w:val="-5"/>
        </w:rPr>
        <w:t> </w:t>
      </w:r>
      <w:r>
        <w:rPr/>
        <w:t>the</w:t>
      </w:r>
      <w:r>
        <w:rPr>
          <w:spacing w:val="-6"/>
        </w:rPr>
        <w:t> </w:t>
      </w:r>
      <w:r>
        <w:rPr/>
        <w:t>particle</w:t>
      </w:r>
      <w:r>
        <w:rPr>
          <w:spacing w:val="-6"/>
        </w:rPr>
        <w:t> </w:t>
      </w:r>
      <w:r>
        <w:rPr/>
        <w:t>size</w:t>
      </w:r>
      <w:r>
        <w:rPr>
          <w:spacing w:val="-6"/>
        </w:rPr>
        <w:t> </w:t>
      </w:r>
      <w:r>
        <w:rPr/>
        <w:t>–</w:t>
      </w:r>
      <w:r>
        <w:rPr>
          <w:spacing w:val="-5"/>
        </w:rPr>
        <w:t> </w:t>
      </w:r>
      <w:r>
        <w:rPr/>
        <w:t>in</w:t>
      </w:r>
      <w:r>
        <w:rPr>
          <w:spacing w:val="-3"/>
        </w:rPr>
        <w:t> </w:t>
      </w:r>
      <w:r>
        <w:rPr/>
        <w:t>the</w:t>
      </w:r>
      <w:r>
        <w:rPr>
          <w:spacing w:val="-4"/>
        </w:rPr>
        <w:t> </w:t>
      </w:r>
      <w:r>
        <w:rPr/>
        <w:t>case</w:t>
      </w:r>
      <w:r>
        <w:rPr>
          <w:spacing w:val="-5"/>
        </w:rPr>
        <w:t> </w:t>
      </w:r>
      <w:r>
        <w:rPr/>
        <w:t>of</w:t>
      </w:r>
      <w:r>
        <w:rPr>
          <w:spacing w:val="-6"/>
        </w:rPr>
        <w:t> </w:t>
      </w:r>
      <w:r>
        <w:rPr/>
        <w:t>the</w:t>
      </w:r>
      <w:r>
        <w:rPr>
          <w:spacing w:val="-4"/>
        </w:rPr>
        <w:t> </w:t>
      </w:r>
      <w:r>
        <w:rPr/>
        <w:t>aronia</w:t>
      </w:r>
      <w:r>
        <w:rPr>
          <w:spacing w:val="-6"/>
        </w:rPr>
        <w:t> </w:t>
      </w:r>
      <w:r>
        <w:rPr/>
        <w:t>berry,</w:t>
      </w:r>
      <w:r>
        <w:rPr>
          <w:spacing w:val="-4"/>
        </w:rPr>
        <w:t> </w:t>
      </w:r>
      <w:r>
        <w:rPr/>
        <w:t>this</w:t>
      </w:r>
      <w:r>
        <w:rPr>
          <w:spacing w:val="-5"/>
        </w:rPr>
        <w:t> </w:t>
      </w:r>
      <w:r>
        <w:rPr/>
        <w:t>is</w:t>
      </w:r>
      <w:r>
        <w:rPr>
          <w:spacing w:val="-6"/>
        </w:rPr>
        <w:t> </w:t>
      </w:r>
      <w:r>
        <w:rPr/>
        <w:t>in</w:t>
      </w:r>
      <w:r>
        <w:rPr>
          <w:spacing w:val="-5"/>
        </w:rPr>
        <w:t> </w:t>
      </w:r>
      <w:r>
        <w:rPr/>
        <w:t>the</w:t>
      </w:r>
      <w:r>
        <w:rPr>
          <w:spacing w:val="-5"/>
        </w:rPr>
        <w:t> </w:t>
      </w:r>
      <w:r>
        <w:rPr/>
        <w:t>nano range.</w:t>
      </w:r>
    </w:p>
    <w:p>
      <w:pPr>
        <w:pStyle w:val="Heading2"/>
        <w:spacing w:before="242"/>
        <w:rPr>
          <w:sz w:val="25"/>
        </w:rPr>
      </w:pPr>
      <w:r>
        <w:rPr/>
        <w:t>Comparison of the anthocyanin content of various fruits (per 100 g):</w:t>
      </w:r>
      <w:r>
        <w:rPr>
          <w:position w:val="9"/>
          <w:sz w:val="25"/>
        </w:rPr>
        <w:t>67</w:t>
      </w:r>
    </w:p>
    <w:p>
      <w:pPr>
        <w:pStyle w:val="BodyText"/>
        <w:spacing w:line="343" w:lineRule="auto" w:before="304"/>
        <w:ind w:left="477" w:right="8625"/>
      </w:pPr>
      <w:r>
        <w:rPr/>
        <w:t>Aronia berry 800 mg Sweet cherry 180 mg Blue grape 165 mg Blueberry 165 mg</w:t>
      </w:r>
    </w:p>
    <w:p>
      <w:pPr>
        <w:pStyle w:val="BodyText"/>
        <w:spacing w:before="1"/>
        <w:ind w:left="477"/>
      </w:pPr>
      <w:r>
        <w:rPr/>
        <w:t>Blackberry 160 mg</w:t>
      </w:r>
    </w:p>
    <w:p>
      <w:pPr>
        <w:pStyle w:val="BodyText"/>
        <w:spacing w:before="184"/>
        <w:ind w:left="477"/>
      </w:pPr>
      <w:r>
        <w:rPr/>
        <w:t>Raspberry 40 mg</w:t>
      </w:r>
    </w:p>
    <w:p>
      <w:pPr>
        <w:pStyle w:val="BodyText"/>
        <w:spacing w:before="185"/>
        <w:ind w:left="477"/>
      </w:pPr>
      <w:r>
        <w:rPr/>
        <w:t>Strawberry 30 mg</w:t>
      </w:r>
    </w:p>
    <w:p>
      <w:pPr>
        <w:pStyle w:val="BodyText"/>
        <w:spacing w:line="276" w:lineRule="auto" w:before="302"/>
        <w:ind w:left="477" w:right="135"/>
        <w:jc w:val="both"/>
      </w:pPr>
      <w:r>
        <w:rPr/>
        <w:t>The ‘antioxidant capacity’, which indicates the potential of a food to protect against</w:t>
      </w:r>
      <w:r>
        <w:rPr>
          <w:spacing w:val="-8"/>
        </w:rPr>
        <w:t> </w:t>
      </w:r>
      <w:r>
        <w:rPr/>
        <w:t>destructive</w:t>
      </w:r>
      <w:r>
        <w:rPr>
          <w:spacing w:val="-6"/>
        </w:rPr>
        <w:t> </w:t>
      </w:r>
      <w:r>
        <w:rPr/>
        <w:t>free</w:t>
      </w:r>
      <w:r>
        <w:rPr>
          <w:spacing w:val="-6"/>
        </w:rPr>
        <w:t> </w:t>
      </w:r>
      <w:r>
        <w:rPr/>
        <w:t>radicals,</w:t>
      </w:r>
      <w:r>
        <w:rPr>
          <w:spacing w:val="-7"/>
        </w:rPr>
        <w:t> </w:t>
      </w:r>
      <w:r>
        <w:rPr/>
        <w:t>is</w:t>
      </w:r>
      <w:r>
        <w:rPr>
          <w:spacing w:val="-4"/>
        </w:rPr>
        <w:t> </w:t>
      </w:r>
      <w:r>
        <w:rPr/>
        <w:t>measured</w:t>
      </w:r>
      <w:r>
        <w:rPr>
          <w:spacing w:val="-7"/>
        </w:rPr>
        <w:t> </w:t>
      </w:r>
      <w:r>
        <w:rPr/>
        <w:t>as</w:t>
      </w:r>
      <w:r>
        <w:rPr>
          <w:spacing w:val="-7"/>
        </w:rPr>
        <w:t> </w:t>
      </w:r>
      <w:r>
        <w:rPr/>
        <w:t>the</w:t>
      </w:r>
      <w:r>
        <w:rPr>
          <w:spacing w:val="-7"/>
        </w:rPr>
        <w:t> </w:t>
      </w:r>
      <w:r>
        <w:rPr/>
        <w:t>‘TEAC</w:t>
      </w:r>
      <w:r>
        <w:rPr>
          <w:spacing w:val="-7"/>
        </w:rPr>
        <w:t> </w:t>
      </w:r>
      <w:r>
        <w:rPr/>
        <w:t>value’</w:t>
      </w:r>
      <w:r>
        <w:rPr>
          <w:spacing w:val="-6"/>
        </w:rPr>
        <w:t> </w:t>
      </w:r>
      <w:r>
        <w:rPr/>
        <w:t>(trolox</w:t>
      </w:r>
      <w:r>
        <w:rPr>
          <w:spacing w:val="-7"/>
        </w:rPr>
        <w:t> </w:t>
      </w:r>
      <w:r>
        <w:rPr/>
        <w:t>equiv- alent antioxidant</w:t>
      </w:r>
      <w:r>
        <w:rPr>
          <w:spacing w:val="6"/>
        </w:rPr>
        <w:t> </w:t>
      </w:r>
      <w:r>
        <w:rPr/>
        <w:t>capacity).</w:t>
      </w:r>
    </w:p>
    <w:p>
      <w:pPr>
        <w:pStyle w:val="BodyText"/>
        <w:spacing w:line="276" w:lineRule="auto" w:before="242"/>
        <w:ind w:left="477" w:right="142"/>
        <w:jc w:val="both"/>
        <w:rPr>
          <w:sz w:val="25"/>
        </w:rPr>
      </w:pPr>
      <w:r>
        <w:rPr/>
        <w:t>The</w:t>
      </w:r>
      <w:r>
        <w:rPr>
          <w:spacing w:val="-17"/>
        </w:rPr>
        <w:t> </w:t>
      </w:r>
      <w:r>
        <w:rPr/>
        <w:t>aronia</w:t>
      </w:r>
      <w:r>
        <w:rPr>
          <w:spacing w:val="-17"/>
        </w:rPr>
        <w:t> </w:t>
      </w:r>
      <w:r>
        <w:rPr/>
        <w:t>berry</w:t>
      </w:r>
      <w:r>
        <w:rPr>
          <w:spacing w:val="-16"/>
        </w:rPr>
        <w:t> </w:t>
      </w:r>
      <w:r>
        <w:rPr/>
        <w:t>reached</w:t>
      </w:r>
      <w:r>
        <w:rPr>
          <w:spacing w:val="-17"/>
        </w:rPr>
        <w:t> </w:t>
      </w:r>
      <w:r>
        <w:rPr/>
        <w:t>the</w:t>
      </w:r>
      <w:r>
        <w:rPr>
          <w:spacing w:val="-15"/>
        </w:rPr>
        <w:t> </w:t>
      </w:r>
      <w:r>
        <w:rPr/>
        <w:t>fantastically</w:t>
      </w:r>
      <w:r>
        <w:rPr>
          <w:spacing w:val="-18"/>
        </w:rPr>
        <w:t> </w:t>
      </w:r>
      <w:r>
        <w:rPr/>
        <w:t>high</w:t>
      </w:r>
      <w:r>
        <w:rPr>
          <w:spacing w:val="-15"/>
        </w:rPr>
        <w:t> </w:t>
      </w:r>
      <w:r>
        <w:rPr/>
        <w:t>TEAC</w:t>
      </w:r>
      <w:r>
        <w:rPr>
          <w:spacing w:val="-18"/>
        </w:rPr>
        <w:t> </w:t>
      </w:r>
      <w:r>
        <w:rPr/>
        <w:t>value</w:t>
      </w:r>
      <w:r>
        <w:rPr>
          <w:spacing w:val="-16"/>
        </w:rPr>
        <w:t> </w:t>
      </w:r>
      <w:r>
        <w:rPr/>
        <w:t>of</w:t>
      </w:r>
      <w:r>
        <w:rPr>
          <w:spacing w:val="-16"/>
        </w:rPr>
        <w:t> </w:t>
      </w:r>
      <w:r>
        <w:rPr/>
        <w:t>64.8</w:t>
      </w:r>
      <w:r>
        <w:rPr>
          <w:spacing w:val="-15"/>
        </w:rPr>
        <w:t> </w:t>
      </w:r>
      <w:r>
        <w:rPr/>
        <w:t>mmol/l</w:t>
      </w:r>
      <w:r>
        <w:rPr>
          <w:spacing w:val="-18"/>
        </w:rPr>
        <w:t> </w:t>
      </w:r>
      <w:r>
        <w:rPr/>
        <w:t>and thus not only surpassed fruits such as cranberries or pomegranates in terms of antioxidant (cell protecting) effect, but even lapped them multiple</w:t>
      </w:r>
      <w:r>
        <w:rPr>
          <w:spacing w:val="-15"/>
        </w:rPr>
        <w:t> </w:t>
      </w:r>
      <w:r>
        <w:rPr/>
        <w:t>times.</w:t>
      </w:r>
      <w:r>
        <w:rPr>
          <w:position w:val="9"/>
          <w:sz w:val="25"/>
        </w:rPr>
        <w:t>68</w:t>
      </w:r>
    </w:p>
    <w:p>
      <w:pPr>
        <w:pStyle w:val="BodyText"/>
        <w:spacing w:before="241"/>
        <w:ind w:left="477"/>
        <w:jc w:val="both"/>
      </w:pPr>
      <w:r>
        <w:rPr/>
        <w:t>Here is a summary of the effect of secondary plant compounds:</w:t>
      </w:r>
    </w:p>
    <w:p>
      <w:pPr>
        <w:pStyle w:val="BodyText"/>
        <w:rPr>
          <w:sz w:val="20"/>
        </w:rPr>
      </w:pPr>
    </w:p>
    <w:p>
      <w:pPr>
        <w:pStyle w:val="BodyText"/>
        <w:spacing w:before="1"/>
        <w:rPr>
          <w:sz w:val="27"/>
        </w:rPr>
      </w:pPr>
      <w:r>
        <w:rPr/>
        <w:pict>
          <v:line style="position:absolute;mso-position-horizontal-relative:page;mso-position-vertical-relative:paragraph;z-index:32;mso-wrap-distance-left:0;mso-wrap-distance-right:0" from="63.863998pt,17.618734pt" to="207.883998pt,17.618734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67 </w:t>
      </w:r>
      <w:r>
        <w:rPr>
          <w:sz w:val="20"/>
        </w:rPr>
        <w:t>Source: Deutsches Krebsforschungsinstitut Heidelberg (German Cancer Research Institute Heidelberg)</w:t>
      </w:r>
    </w:p>
    <w:p>
      <w:pPr>
        <w:spacing w:before="94"/>
        <w:ind w:left="477" w:right="0" w:firstLine="0"/>
        <w:jc w:val="left"/>
        <w:rPr>
          <w:sz w:val="20"/>
        </w:rPr>
      </w:pPr>
      <w:r>
        <w:rPr>
          <w:position w:val="5"/>
          <w:sz w:val="13"/>
        </w:rPr>
        <w:t>68 </w:t>
      </w:r>
      <w:r>
        <w:rPr>
          <w:sz w:val="20"/>
        </w:rPr>
        <w:t>Read more under ‘Effect of the aronia berry’ below.</w:t>
      </w:r>
    </w:p>
    <w:p>
      <w:pPr>
        <w:spacing w:after="0"/>
        <w:jc w:val="left"/>
        <w:rPr>
          <w:sz w:val="20"/>
        </w:rPr>
        <w:sectPr>
          <w:pgSz w:w="14270" w:h="16850"/>
          <w:pgMar w:header="0" w:footer="1891" w:top="1600" w:bottom="2080" w:left="800" w:right="1280"/>
        </w:sectPr>
      </w:pPr>
    </w:p>
    <w:p>
      <w:pPr>
        <w:pStyle w:val="BodyText"/>
        <w:spacing w:before="10"/>
        <w:rPr>
          <w:sz w:val="8"/>
        </w:rPr>
      </w:pPr>
    </w:p>
    <w:p>
      <w:pPr>
        <w:pStyle w:val="ListParagraph"/>
        <w:numPr>
          <w:ilvl w:val="0"/>
          <w:numId w:val="17"/>
        </w:numPr>
        <w:tabs>
          <w:tab w:pos="893" w:val="left" w:leader="none"/>
        </w:tabs>
        <w:spacing w:line="240" w:lineRule="auto" w:before="83" w:after="0"/>
        <w:ind w:left="892" w:right="0" w:hanging="415"/>
        <w:jc w:val="both"/>
        <w:rPr>
          <w:sz w:val="38"/>
        </w:rPr>
      </w:pPr>
      <w:r>
        <w:rPr>
          <w:sz w:val="38"/>
        </w:rPr>
        <w:t>antioxidant</w:t>
      </w:r>
    </w:p>
    <w:p>
      <w:pPr>
        <w:pStyle w:val="ListParagraph"/>
        <w:numPr>
          <w:ilvl w:val="0"/>
          <w:numId w:val="17"/>
        </w:numPr>
        <w:tabs>
          <w:tab w:pos="893" w:val="left" w:leader="none"/>
        </w:tabs>
        <w:spacing w:line="240" w:lineRule="auto" w:before="64" w:after="0"/>
        <w:ind w:left="892" w:right="0" w:hanging="415"/>
        <w:jc w:val="both"/>
        <w:rPr>
          <w:sz w:val="38"/>
        </w:rPr>
      </w:pPr>
      <w:r>
        <w:rPr>
          <w:sz w:val="38"/>
        </w:rPr>
        <w:t>antiviral</w:t>
      </w:r>
    </w:p>
    <w:p>
      <w:pPr>
        <w:pStyle w:val="ListParagraph"/>
        <w:numPr>
          <w:ilvl w:val="0"/>
          <w:numId w:val="17"/>
        </w:numPr>
        <w:tabs>
          <w:tab w:pos="893" w:val="left" w:leader="none"/>
        </w:tabs>
        <w:spacing w:line="240" w:lineRule="auto" w:before="66" w:after="0"/>
        <w:ind w:left="892" w:right="0" w:hanging="415"/>
        <w:jc w:val="both"/>
        <w:rPr>
          <w:sz w:val="38"/>
        </w:rPr>
      </w:pPr>
      <w:r>
        <w:rPr>
          <w:sz w:val="38"/>
        </w:rPr>
        <w:t>antimicrobial</w:t>
      </w:r>
    </w:p>
    <w:p>
      <w:pPr>
        <w:pStyle w:val="ListParagraph"/>
        <w:numPr>
          <w:ilvl w:val="0"/>
          <w:numId w:val="17"/>
        </w:numPr>
        <w:tabs>
          <w:tab w:pos="893" w:val="left" w:leader="none"/>
        </w:tabs>
        <w:spacing w:line="240" w:lineRule="auto" w:before="63" w:after="0"/>
        <w:ind w:left="892" w:right="0" w:hanging="415"/>
        <w:jc w:val="both"/>
        <w:rPr>
          <w:sz w:val="38"/>
        </w:rPr>
      </w:pPr>
      <w:r>
        <w:rPr>
          <w:sz w:val="38"/>
        </w:rPr>
        <w:t>antithrombotic</w:t>
      </w:r>
    </w:p>
    <w:p>
      <w:pPr>
        <w:pStyle w:val="ListParagraph"/>
        <w:numPr>
          <w:ilvl w:val="0"/>
          <w:numId w:val="17"/>
        </w:numPr>
        <w:tabs>
          <w:tab w:pos="893" w:val="left" w:leader="none"/>
        </w:tabs>
        <w:spacing w:line="240" w:lineRule="auto" w:before="64" w:after="0"/>
        <w:ind w:left="892" w:right="0" w:hanging="415"/>
        <w:jc w:val="both"/>
        <w:rPr>
          <w:sz w:val="38"/>
        </w:rPr>
      </w:pPr>
      <w:r>
        <w:rPr>
          <w:sz w:val="38"/>
        </w:rPr>
        <w:t>builds up the immune</w:t>
      </w:r>
      <w:r>
        <w:rPr>
          <w:spacing w:val="2"/>
          <w:sz w:val="38"/>
        </w:rPr>
        <w:t> </w:t>
      </w:r>
      <w:r>
        <w:rPr>
          <w:sz w:val="38"/>
        </w:rPr>
        <w:t>system</w:t>
      </w:r>
    </w:p>
    <w:p>
      <w:pPr>
        <w:pStyle w:val="ListParagraph"/>
        <w:numPr>
          <w:ilvl w:val="0"/>
          <w:numId w:val="17"/>
        </w:numPr>
        <w:tabs>
          <w:tab w:pos="893" w:val="left" w:leader="none"/>
        </w:tabs>
        <w:spacing w:line="240" w:lineRule="auto" w:before="63" w:after="0"/>
        <w:ind w:left="892" w:right="0" w:hanging="415"/>
        <w:jc w:val="both"/>
        <w:rPr>
          <w:sz w:val="38"/>
        </w:rPr>
      </w:pPr>
      <w:r>
        <w:rPr>
          <w:sz w:val="38"/>
        </w:rPr>
        <w:t>antimutagenic</w:t>
      </w:r>
    </w:p>
    <w:p>
      <w:pPr>
        <w:pStyle w:val="ListParagraph"/>
        <w:numPr>
          <w:ilvl w:val="0"/>
          <w:numId w:val="17"/>
        </w:numPr>
        <w:tabs>
          <w:tab w:pos="893" w:val="left" w:leader="none"/>
        </w:tabs>
        <w:spacing w:line="240" w:lineRule="auto" w:before="65" w:after="0"/>
        <w:ind w:left="892" w:right="0" w:hanging="415"/>
        <w:jc w:val="both"/>
        <w:rPr>
          <w:sz w:val="38"/>
        </w:rPr>
      </w:pPr>
      <w:r>
        <w:rPr>
          <w:sz w:val="38"/>
        </w:rPr>
        <w:t>anticarcinogenic (fights</w:t>
      </w:r>
      <w:r>
        <w:rPr>
          <w:spacing w:val="1"/>
          <w:sz w:val="38"/>
        </w:rPr>
        <w:t> </w:t>
      </w:r>
      <w:r>
        <w:rPr>
          <w:sz w:val="38"/>
        </w:rPr>
        <w:t>carcinogenesis)</w:t>
      </w:r>
    </w:p>
    <w:p>
      <w:pPr>
        <w:pStyle w:val="ListParagraph"/>
        <w:numPr>
          <w:ilvl w:val="0"/>
          <w:numId w:val="17"/>
        </w:numPr>
        <w:tabs>
          <w:tab w:pos="893" w:val="left" w:leader="none"/>
        </w:tabs>
        <w:spacing w:line="240" w:lineRule="auto" w:before="66" w:after="0"/>
        <w:ind w:left="892" w:right="0" w:hanging="415"/>
        <w:jc w:val="both"/>
        <w:rPr>
          <w:sz w:val="38"/>
        </w:rPr>
      </w:pPr>
      <w:r>
        <w:rPr>
          <w:sz w:val="38"/>
        </w:rPr>
        <w:t>regulates blood sugar</w:t>
      </w:r>
      <w:r>
        <w:rPr>
          <w:spacing w:val="2"/>
          <w:sz w:val="38"/>
        </w:rPr>
        <w:t> </w:t>
      </w:r>
      <w:r>
        <w:rPr>
          <w:sz w:val="38"/>
        </w:rPr>
        <w:t>levels</w:t>
      </w:r>
    </w:p>
    <w:p>
      <w:pPr>
        <w:pStyle w:val="ListParagraph"/>
        <w:numPr>
          <w:ilvl w:val="0"/>
          <w:numId w:val="17"/>
        </w:numPr>
        <w:tabs>
          <w:tab w:pos="893" w:val="left" w:leader="none"/>
        </w:tabs>
        <w:spacing w:line="240" w:lineRule="auto" w:before="63" w:after="0"/>
        <w:ind w:left="892" w:right="0" w:hanging="415"/>
        <w:jc w:val="both"/>
        <w:rPr>
          <w:sz w:val="38"/>
        </w:rPr>
      </w:pPr>
      <w:r>
        <w:rPr>
          <w:sz w:val="38"/>
        </w:rPr>
        <w:t>regulates blood</w:t>
      </w:r>
      <w:r>
        <w:rPr>
          <w:spacing w:val="1"/>
          <w:sz w:val="38"/>
        </w:rPr>
        <w:t> </w:t>
      </w:r>
      <w:r>
        <w:rPr>
          <w:sz w:val="38"/>
        </w:rPr>
        <w:t>pressure</w:t>
      </w:r>
    </w:p>
    <w:p>
      <w:pPr>
        <w:pStyle w:val="ListParagraph"/>
        <w:numPr>
          <w:ilvl w:val="0"/>
          <w:numId w:val="17"/>
        </w:numPr>
        <w:tabs>
          <w:tab w:pos="893" w:val="left" w:leader="none"/>
        </w:tabs>
        <w:spacing w:line="240" w:lineRule="auto" w:before="64" w:after="0"/>
        <w:ind w:left="892" w:right="0" w:hanging="415"/>
        <w:jc w:val="both"/>
        <w:rPr>
          <w:sz w:val="38"/>
        </w:rPr>
      </w:pPr>
      <w:r>
        <w:rPr>
          <w:sz w:val="38"/>
        </w:rPr>
        <w:t>protects blood vessels</w:t>
      </w:r>
    </w:p>
    <w:p>
      <w:pPr>
        <w:pStyle w:val="ListParagraph"/>
        <w:numPr>
          <w:ilvl w:val="0"/>
          <w:numId w:val="17"/>
        </w:numPr>
        <w:tabs>
          <w:tab w:pos="893" w:val="left" w:leader="none"/>
        </w:tabs>
        <w:spacing w:line="240" w:lineRule="auto" w:before="64" w:after="0"/>
        <w:ind w:left="892" w:right="0" w:hanging="415"/>
        <w:jc w:val="both"/>
        <w:rPr>
          <w:sz w:val="38"/>
        </w:rPr>
      </w:pPr>
      <w:r>
        <w:rPr>
          <w:sz w:val="38"/>
        </w:rPr>
        <w:t>hypolipidemic (lowers cholesterol levels)</w:t>
      </w:r>
    </w:p>
    <w:p>
      <w:pPr>
        <w:pStyle w:val="ListParagraph"/>
        <w:numPr>
          <w:ilvl w:val="0"/>
          <w:numId w:val="17"/>
        </w:numPr>
        <w:tabs>
          <w:tab w:pos="893" w:val="left" w:leader="none"/>
        </w:tabs>
        <w:spacing w:line="240" w:lineRule="auto" w:before="63" w:after="0"/>
        <w:ind w:left="892" w:right="0" w:hanging="415"/>
        <w:jc w:val="both"/>
        <w:rPr>
          <w:sz w:val="38"/>
        </w:rPr>
      </w:pPr>
      <w:r>
        <w:rPr>
          <w:sz w:val="38"/>
        </w:rPr>
        <w:t>antiproliferative</w:t>
      </w:r>
    </w:p>
    <w:p>
      <w:pPr>
        <w:pStyle w:val="BodyText"/>
        <w:rPr>
          <w:sz w:val="44"/>
        </w:rPr>
      </w:pPr>
    </w:p>
    <w:p>
      <w:pPr>
        <w:pStyle w:val="BodyText"/>
        <w:spacing w:before="7"/>
        <w:rPr>
          <w:sz w:val="46"/>
        </w:rPr>
      </w:pPr>
    </w:p>
    <w:p>
      <w:pPr>
        <w:pStyle w:val="Heading1"/>
        <w:spacing w:before="0"/>
        <w:jc w:val="both"/>
      </w:pPr>
      <w:r>
        <w:rPr/>
        <w:t>Effect of the aronia/apple berry</w:t>
      </w:r>
    </w:p>
    <w:p>
      <w:pPr>
        <w:pStyle w:val="BodyText"/>
        <w:spacing w:line="276" w:lineRule="auto" w:before="297"/>
        <w:ind w:left="477" w:right="136"/>
        <w:jc w:val="both"/>
      </w:pPr>
      <w:r>
        <w:rPr/>
        <w:t>Findings</w:t>
      </w:r>
      <w:r>
        <w:rPr>
          <w:spacing w:val="-24"/>
        </w:rPr>
        <w:t> </w:t>
      </w:r>
      <w:r>
        <w:rPr/>
        <w:t>on</w:t>
      </w:r>
      <w:r>
        <w:rPr>
          <w:spacing w:val="-23"/>
        </w:rPr>
        <w:t> </w:t>
      </w:r>
      <w:r>
        <w:rPr/>
        <w:t>the</w:t>
      </w:r>
      <w:r>
        <w:rPr>
          <w:spacing w:val="-27"/>
        </w:rPr>
        <w:t> </w:t>
      </w:r>
      <w:r>
        <w:rPr/>
        <w:t>effect</w:t>
      </w:r>
      <w:r>
        <w:rPr>
          <w:spacing w:val="-23"/>
        </w:rPr>
        <w:t> </w:t>
      </w:r>
      <w:r>
        <w:rPr/>
        <w:t>and</w:t>
      </w:r>
      <w:r>
        <w:rPr>
          <w:spacing w:val="-24"/>
        </w:rPr>
        <w:t> </w:t>
      </w:r>
      <w:r>
        <w:rPr/>
        <w:t>mode</w:t>
      </w:r>
      <w:r>
        <w:rPr>
          <w:spacing w:val="-26"/>
        </w:rPr>
        <w:t> </w:t>
      </w:r>
      <w:r>
        <w:rPr/>
        <w:t>of</w:t>
      </w:r>
      <w:r>
        <w:rPr>
          <w:spacing w:val="-23"/>
        </w:rPr>
        <w:t> </w:t>
      </w:r>
      <w:r>
        <w:rPr/>
        <w:t>action</w:t>
      </w:r>
      <w:r>
        <w:rPr>
          <w:spacing w:val="-24"/>
        </w:rPr>
        <w:t> </w:t>
      </w:r>
      <w:r>
        <w:rPr/>
        <w:t>of</w:t>
      </w:r>
      <w:r>
        <w:rPr>
          <w:spacing w:val="-23"/>
        </w:rPr>
        <w:t> </w:t>
      </w:r>
      <w:r>
        <w:rPr/>
        <w:t>aronia</w:t>
      </w:r>
      <w:r>
        <w:rPr>
          <w:spacing w:val="-25"/>
        </w:rPr>
        <w:t> </w:t>
      </w:r>
      <w:r>
        <w:rPr/>
        <w:t>berries</w:t>
      </w:r>
      <w:r>
        <w:rPr>
          <w:spacing w:val="-23"/>
        </w:rPr>
        <w:t> </w:t>
      </w:r>
      <w:r>
        <w:rPr/>
        <w:t>primarily</w:t>
      </w:r>
      <w:r>
        <w:rPr>
          <w:spacing w:val="-24"/>
        </w:rPr>
        <w:t> </w:t>
      </w:r>
      <w:r>
        <w:rPr/>
        <w:t>come</w:t>
      </w:r>
      <w:r>
        <w:rPr>
          <w:spacing w:val="-23"/>
        </w:rPr>
        <w:t> </w:t>
      </w:r>
      <w:r>
        <w:rPr/>
        <w:t>from Eastern Europe, where the berry has traditionally been recognised as a medici- nal plant for many years. It has only been researched for a few years; the Uni- versity of Potsdam and the University of Heidelberg are the main institutions actively pioneering</w:t>
      </w:r>
      <w:r>
        <w:rPr>
          <w:spacing w:val="1"/>
        </w:rPr>
        <w:t> </w:t>
      </w:r>
      <w:r>
        <w:rPr/>
        <w:t>this.</w:t>
      </w:r>
    </w:p>
    <w:p>
      <w:pPr>
        <w:pStyle w:val="BodyText"/>
        <w:spacing w:line="276" w:lineRule="auto" w:before="243"/>
        <w:ind w:left="477"/>
      </w:pPr>
      <w:r>
        <w:rPr/>
        <w:t>As reported by </w:t>
      </w:r>
      <w:r>
        <w:rPr>
          <w:i/>
        </w:rPr>
        <w:t>Dresdener Neueste Nachrichten </w:t>
      </w:r>
      <w:r>
        <w:rPr/>
        <w:t>(Dresden Latest News) on 11/12 August 2007, the scientist Prof. Dr. Sabine E. Kulling from the University of</w:t>
      </w:r>
    </w:p>
    <w:p>
      <w:pPr>
        <w:spacing w:after="0" w:line="276" w:lineRule="auto"/>
        <w:sectPr>
          <w:pgSz w:w="14270" w:h="16850"/>
          <w:pgMar w:header="0" w:footer="1891" w:top="1600" w:bottom="2080" w:left="800" w:right="1280"/>
        </w:sectPr>
      </w:pPr>
    </w:p>
    <w:p>
      <w:pPr>
        <w:pStyle w:val="BodyText"/>
        <w:spacing w:line="276" w:lineRule="auto" w:before="181"/>
        <w:ind w:left="477" w:right="135"/>
        <w:jc w:val="both"/>
        <w:rPr>
          <w:sz w:val="25"/>
        </w:rPr>
      </w:pPr>
      <w:r>
        <w:rPr/>
        <w:t>Potsdam, after initial research in the context of a government-funded project, found that the secondary plant compounds from the aronia berry have a pre- ventive effect on colon cancer and positive effects on blood sugar levels and cholesterol levels.</w:t>
      </w:r>
      <w:r>
        <w:rPr>
          <w:position w:val="9"/>
          <w:sz w:val="25"/>
        </w:rPr>
        <w:t>69</w:t>
      </w:r>
    </w:p>
    <w:p>
      <w:pPr>
        <w:pStyle w:val="Heading1"/>
        <w:spacing w:before="225"/>
      </w:pPr>
      <w:r>
        <w:rPr/>
        <w:t>General effect of the aronia berry</w:t>
      </w:r>
    </w:p>
    <w:p>
      <w:pPr>
        <w:pStyle w:val="BodyText"/>
        <w:spacing w:before="297"/>
        <w:ind w:left="477"/>
      </w:pPr>
      <w:r>
        <w:rPr/>
        <w:t>The aronia berry has a multifactorial effect and, in general,</w:t>
      </w:r>
    </w:p>
    <w:p>
      <w:pPr>
        <w:pStyle w:val="ListParagraph"/>
        <w:numPr>
          <w:ilvl w:val="0"/>
          <w:numId w:val="17"/>
        </w:numPr>
        <w:tabs>
          <w:tab w:pos="892" w:val="left" w:leader="none"/>
          <w:tab w:pos="893" w:val="left" w:leader="none"/>
        </w:tabs>
        <w:spacing w:line="273" w:lineRule="auto" w:before="306" w:after="0"/>
        <w:ind w:left="477" w:right="143" w:firstLine="0"/>
        <w:jc w:val="left"/>
        <w:rPr>
          <w:sz w:val="38"/>
        </w:rPr>
      </w:pPr>
      <w:r>
        <w:rPr>
          <w:sz w:val="38"/>
        </w:rPr>
        <w:t>works in an antioxidant manner (cell protection against attacks by free radi- cals)</w:t>
      </w:r>
    </w:p>
    <w:p>
      <w:pPr>
        <w:pStyle w:val="ListParagraph"/>
        <w:numPr>
          <w:ilvl w:val="0"/>
          <w:numId w:val="17"/>
        </w:numPr>
        <w:tabs>
          <w:tab w:pos="893" w:val="left" w:leader="none"/>
        </w:tabs>
        <w:spacing w:line="240" w:lineRule="auto" w:before="7" w:after="0"/>
        <w:ind w:left="892" w:right="0" w:hanging="415"/>
        <w:jc w:val="both"/>
        <w:rPr>
          <w:sz w:val="38"/>
        </w:rPr>
      </w:pPr>
      <w:r>
        <w:rPr>
          <w:sz w:val="38"/>
        </w:rPr>
        <w:t>strengthens the immune system</w:t>
      </w:r>
    </w:p>
    <w:p>
      <w:pPr>
        <w:pStyle w:val="ListParagraph"/>
        <w:numPr>
          <w:ilvl w:val="0"/>
          <w:numId w:val="17"/>
        </w:numPr>
        <w:tabs>
          <w:tab w:pos="893" w:val="left" w:leader="none"/>
        </w:tabs>
        <w:spacing w:line="240" w:lineRule="auto" w:before="64" w:after="0"/>
        <w:ind w:left="892" w:right="0" w:hanging="415"/>
        <w:jc w:val="both"/>
        <w:rPr>
          <w:sz w:val="38"/>
        </w:rPr>
      </w:pPr>
      <w:r>
        <w:rPr>
          <w:sz w:val="38"/>
        </w:rPr>
        <w:t>anticarcinogenic (cancer</w:t>
      </w:r>
      <w:r>
        <w:rPr>
          <w:spacing w:val="1"/>
          <w:sz w:val="38"/>
        </w:rPr>
        <w:t> </w:t>
      </w:r>
      <w:r>
        <w:rPr>
          <w:sz w:val="38"/>
        </w:rPr>
        <w:t>prevention)</w:t>
      </w:r>
    </w:p>
    <w:p>
      <w:pPr>
        <w:pStyle w:val="ListParagraph"/>
        <w:numPr>
          <w:ilvl w:val="0"/>
          <w:numId w:val="17"/>
        </w:numPr>
        <w:tabs>
          <w:tab w:pos="893" w:val="left" w:leader="none"/>
        </w:tabs>
        <w:spacing w:line="240" w:lineRule="auto" w:before="66" w:after="0"/>
        <w:ind w:left="892" w:right="0" w:hanging="415"/>
        <w:jc w:val="both"/>
        <w:rPr>
          <w:sz w:val="38"/>
        </w:rPr>
      </w:pPr>
      <w:r>
        <w:rPr>
          <w:sz w:val="38"/>
        </w:rPr>
        <w:t>anti-inflammatory</w:t>
      </w:r>
    </w:p>
    <w:p>
      <w:pPr>
        <w:pStyle w:val="ListParagraph"/>
        <w:numPr>
          <w:ilvl w:val="0"/>
          <w:numId w:val="17"/>
        </w:numPr>
        <w:tabs>
          <w:tab w:pos="893" w:val="left" w:leader="none"/>
        </w:tabs>
        <w:spacing w:line="240" w:lineRule="auto" w:before="64" w:after="0"/>
        <w:ind w:left="892" w:right="0" w:hanging="415"/>
        <w:jc w:val="both"/>
        <w:rPr>
          <w:sz w:val="38"/>
        </w:rPr>
      </w:pPr>
      <w:r>
        <w:rPr>
          <w:sz w:val="38"/>
        </w:rPr>
        <w:t>antimutagenic</w:t>
      </w:r>
    </w:p>
    <w:p>
      <w:pPr>
        <w:pStyle w:val="ListParagraph"/>
        <w:numPr>
          <w:ilvl w:val="0"/>
          <w:numId w:val="17"/>
        </w:numPr>
        <w:tabs>
          <w:tab w:pos="893" w:val="left" w:leader="none"/>
        </w:tabs>
        <w:spacing w:line="240" w:lineRule="auto" w:before="64" w:after="0"/>
        <w:ind w:left="892" w:right="0" w:hanging="415"/>
        <w:jc w:val="both"/>
        <w:rPr>
          <w:sz w:val="38"/>
        </w:rPr>
      </w:pPr>
      <w:r>
        <w:rPr>
          <w:sz w:val="38"/>
        </w:rPr>
        <w:t>regulates blood</w:t>
      </w:r>
      <w:r>
        <w:rPr>
          <w:spacing w:val="1"/>
          <w:sz w:val="38"/>
        </w:rPr>
        <w:t> </w:t>
      </w:r>
      <w:r>
        <w:rPr>
          <w:sz w:val="38"/>
        </w:rPr>
        <w:t>pressure</w:t>
      </w:r>
    </w:p>
    <w:p>
      <w:pPr>
        <w:pStyle w:val="ListParagraph"/>
        <w:numPr>
          <w:ilvl w:val="0"/>
          <w:numId w:val="17"/>
        </w:numPr>
        <w:tabs>
          <w:tab w:pos="893" w:val="left" w:leader="none"/>
        </w:tabs>
        <w:spacing w:line="240" w:lineRule="auto" w:before="63" w:after="0"/>
        <w:ind w:left="892" w:right="0" w:hanging="415"/>
        <w:jc w:val="both"/>
        <w:rPr>
          <w:sz w:val="38"/>
        </w:rPr>
      </w:pPr>
      <w:r>
        <w:rPr>
          <w:sz w:val="38"/>
        </w:rPr>
        <w:t>encourages circulation</w:t>
      </w:r>
    </w:p>
    <w:p>
      <w:pPr>
        <w:pStyle w:val="ListParagraph"/>
        <w:numPr>
          <w:ilvl w:val="0"/>
          <w:numId w:val="17"/>
        </w:numPr>
        <w:tabs>
          <w:tab w:pos="893" w:val="left" w:leader="none"/>
        </w:tabs>
        <w:spacing w:line="240" w:lineRule="auto" w:before="66" w:after="0"/>
        <w:ind w:left="892" w:right="0" w:hanging="415"/>
        <w:jc w:val="both"/>
        <w:rPr>
          <w:sz w:val="38"/>
        </w:rPr>
      </w:pPr>
      <w:r>
        <w:rPr>
          <w:sz w:val="38"/>
        </w:rPr>
        <w:t>protects blood vessels</w:t>
      </w:r>
    </w:p>
    <w:p>
      <w:pPr>
        <w:pStyle w:val="ListParagraph"/>
        <w:numPr>
          <w:ilvl w:val="0"/>
          <w:numId w:val="17"/>
        </w:numPr>
        <w:tabs>
          <w:tab w:pos="893" w:val="left" w:leader="none"/>
        </w:tabs>
        <w:spacing w:line="240" w:lineRule="auto" w:before="64" w:after="0"/>
        <w:ind w:left="892" w:right="0" w:hanging="415"/>
        <w:jc w:val="both"/>
        <w:rPr>
          <w:sz w:val="38"/>
        </w:rPr>
      </w:pPr>
      <w:r>
        <w:rPr>
          <w:sz w:val="38"/>
        </w:rPr>
        <w:t>relaxes the coronary</w:t>
      </w:r>
      <w:r>
        <w:rPr>
          <w:spacing w:val="1"/>
          <w:sz w:val="38"/>
        </w:rPr>
        <w:t> </w:t>
      </w:r>
      <w:r>
        <w:rPr>
          <w:sz w:val="38"/>
        </w:rPr>
        <w:t>artery</w:t>
      </w:r>
    </w:p>
    <w:p>
      <w:pPr>
        <w:pStyle w:val="ListParagraph"/>
        <w:numPr>
          <w:ilvl w:val="0"/>
          <w:numId w:val="17"/>
        </w:numPr>
        <w:tabs>
          <w:tab w:pos="893" w:val="left" w:leader="none"/>
        </w:tabs>
        <w:spacing w:line="240" w:lineRule="auto" w:before="63" w:after="0"/>
        <w:ind w:left="892" w:right="0" w:hanging="415"/>
        <w:jc w:val="both"/>
        <w:rPr>
          <w:sz w:val="38"/>
        </w:rPr>
      </w:pPr>
      <w:r>
        <w:rPr>
          <w:sz w:val="38"/>
        </w:rPr>
        <w:t>stimulates metabolism</w:t>
      </w:r>
    </w:p>
    <w:p>
      <w:pPr>
        <w:pStyle w:val="ListParagraph"/>
        <w:numPr>
          <w:ilvl w:val="0"/>
          <w:numId w:val="17"/>
        </w:numPr>
        <w:tabs>
          <w:tab w:pos="893" w:val="left" w:leader="none"/>
        </w:tabs>
        <w:spacing w:line="240" w:lineRule="auto" w:before="64" w:after="0"/>
        <w:ind w:left="892" w:right="0" w:hanging="415"/>
        <w:jc w:val="both"/>
        <w:rPr>
          <w:sz w:val="38"/>
        </w:rPr>
      </w:pPr>
      <w:r>
        <w:rPr>
          <w:sz w:val="38"/>
        </w:rPr>
        <w:t>is a</w:t>
      </w:r>
      <w:r>
        <w:rPr>
          <w:spacing w:val="-4"/>
          <w:sz w:val="38"/>
        </w:rPr>
        <w:t> </w:t>
      </w:r>
      <w:r>
        <w:rPr>
          <w:sz w:val="38"/>
        </w:rPr>
        <w:t>diuretic</w:t>
      </w:r>
    </w:p>
    <w:p>
      <w:pPr>
        <w:pStyle w:val="ListParagraph"/>
        <w:numPr>
          <w:ilvl w:val="0"/>
          <w:numId w:val="17"/>
        </w:numPr>
        <w:tabs>
          <w:tab w:pos="893" w:val="left" w:leader="none"/>
        </w:tabs>
        <w:spacing w:line="240" w:lineRule="auto" w:before="64" w:after="0"/>
        <w:ind w:left="892" w:right="0" w:hanging="415"/>
        <w:jc w:val="both"/>
        <w:rPr>
          <w:sz w:val="38"/>
        </w:rPr>
      </w:pPr>
      <w:r>
        <w:rPr>
          <w:sz w:val="38"/>
        </w:rPr>
        <w:t>is</w:t>
      </w:r>
      <w:r>
        <w:rPr>
          <w:spacing w:val="-3"/>
          <w:sz w:val="38"/>
        </w:rPr>
        <w:t> </w:t>
      </w:r>
      <w:r>
        <w:rPr>
          <w:sz w:val="38"/>
        </w:rPr>
        <w:t>astringent</w:t>
      </w:r>
    </w:p>
    <w:p>
      <w:pPr>
        <w:pStyle w:val="ListParagraph"/>
        <w:numPr>
          <w:ilvl w:val="0"/>
          <w:numId w:val="17"/>
        </w:numPr>
        <w:tabs>
          <w:tab w:pos="893" w:val="left" w:leader="none"/>
        </w:tabs>
        <w:spacing w:line="240" w:lineRule="auto" w:before="66" w:after="0"/>
        <w:ind w:left="892" w:right="0" w:hanging="415"/>
        <w:jc w:val="both"/>
        <w:rPr>
          <w:sz w:val="38"/>
        </w:rPr>
      </w:pPr>
      <w:r>
        <w:rPr>
          <w:sz w:val="38"/>
        </w:rPr>
        <w:t>regenerative on muscle and</w:t>
      </w:r>
      <w:r>
        <w:rPr>
          <w:spacing w:val="1"/>
          <w:sz w:val="38"/>
        </w:rPr>
        <w:t> </w:t>
      </w:r>
      <w:r>
        <w:rPr>
          <w:sz w:val="38"/>
        </w:rPr>
        <w:t>bone</w:t>
      </w:r>
    </w:p>
    <w:p>
      <w:pPr>
        <w:pStyle w:val="BodyText"/>
        <w:rPr>
          <w:sz w:val="20"/>
        </w:rPr>
      </w:pPr>
    </w:p>
    <w:p>
      <w:pPr>
        <w:pStyle w:val="BodyText"/>
        <w:spacing w:before="4"/>
        <w:rPr>
          <w:sz w:val="25"/>
        </w:rPr>
      </w:pPr>
      <w:r>
        <w:rPr/>
        <w:pict>
          <v:line style="position:absolute;mso-position-horizontal-relative:page;mso-position-vertical-relative:paragraph;z-index:56;mso-wrap-distance-left:0;mso-wrap-distance-right:0" from="63.863998pt,16.65974pt" to="207.883998pt,16.65974pt" stroked="true" strokeweight=".72003pt" strokecolor="#000000">
            <v:stroke dashstyle="solid"/>
            <w10:wrap type="topAndBottom"/>
          </v:line>
        </w:pict>
      </w:r>
    </w:p>
    <w:p>
      <w:pPr>
        <w:pStyle w:val="BodyText"/>
        <w:spacing w:before="7"/>
        <w:rPr>
          <w:sz w:val="18"/>
        </w:rPr>
      </w:pPr>
    </w:p>
    <w:p>
      <w:pPr>
        <w:spacing w:line="276" w:lineRule="auto" w:before="99"/>
        <w:ind w:left="477" w:right="0" w:firstLine="0"/>
        <w:jc w:val="left"/>
        <w:rPr>
          <w:sz w:val="20"/>
        </w:rPr>
      </w:pPr>
      <w:r>
        <w:rPr>
          <w:position w:val="5"/>
          <w:sz w:val="13"/>
        </w:rPr>
        <w:t>69 </w:t>
      </w:r>
      <w:r>
        <w:rPr>
          <w:sz w:val="20"/>
        </w:rPr>
        <w:t>Sigrid Grün and Jan Neidhardt: Aronia – Unentdeckte Heilpflanze (‘Aronia – Undiscovered Medicinal Plant’), edition buntehunde GdbR, Regens- burg, 2007, p. 40f.</w:t>
      </w:r>
    </w:p>
    <w:p>
      <w:pPr>
        <w:spacing w:after="0" w:line="276" w:lineRule="auto"/>
        <w:jc w:val="left"/>
        <w:rPr>
          <w:sz w:val="20"/>
        </w:rPr>
        <w:sectPr>
          <w:pgSz w:w="14270" w:h="16850"/>
          <w:pgMar w:header="0" w:footer="1891" w:top="1600" w:bottom="2080" w:left="800" w:right="1280"/>
        </w:sectPr>
      </w:pPr>
    </w:p>
    <w:p>
      <w:pPr>
        <w:pStyle w:val="BodyText"/>
        <w:spacing w:before="10"/>
        <w:rPr>
          <w:sz w:val="8"/>
        </w:rPr>
      </w:pPr>
    </w:p>
    <w:p>
      <w:pPr>
        <w:pStyle w:val="ListParagraph"/>
        <w:numPr>
          <w:ilvl w:val="0"/>
          <w:numId w:val="17"/>
        </w:numPr>
        <w:tabs>
          <w:tab w:pos="892" w:val="left" w:leader="none"/>
          <w:tab w:pos="893" w:val="left" w:leader="none"/>
        </w:tabs>
        <w:spacing w:line="240" w:lineRule="auto" w:before="83" w:after="0"/>
        <w:ind w:left="892" w:right="0" w:hanging="415"/>
        <w:jc w:val="left"/>
        <w:rPr>
          <w:sz w:val="38"/>
        </w:rPr>
      </w:pPr>
      <w:r>
        <w:rPr>
          <w:sz w:val="38"/>
        </w:rPr>
        <w:t>is an</w:t>
      </w:r>
      <w:r>
        <w:rPr>
          <w:spacing w:val="-2"/>
          <w:sz w:val="38"/>
        </w:rPr>
        <w:t> </w:t>
      </w:r>
      <w:r>
        <w:rPr>
          <w:sz w:val="38"/>
        </w:rPr>
        <w:t>expectorant</w:t>
      </w:r>
    </w:p>
    <w:p>
      <w:pPr>
        <w:pStyle w:val="ListParagraph"/>
        <w:numPr>
          <w:ilvl w:val="0"/>
          <w:numId w:val="17"/>
        </w:numPr>
        <w:tabs>
          <w:tab w:pos="892" w:val="left" w:leader="none"/>
          <w:tab w:pos="893" w:val="left" w:leader="none"/>
        </w:tabs>
        <w:spacing w:line="240" w:lineRule="auto" w:before="64" w:after="0"/>
        <w:ind w:left="892" w:right="0" w:hanging="415"/>
        <w:jc w:val="left"/>
        <w:rPr>
          <w:sz w:val="38"/>
        </w:rPr>
      </w:pPr>
      <w:r>
        <w:rPr>
          <w:sz w:val="38"/>
        </w:rPr>
        <w:t>expels heavy</w:t>
      </w:r>
      <w:r>
        <w:rPr>
          <w:spacing w:val="-4"/>
          <w:sz w:val="38"/>
        </w:rPr>
        <w:t> </w:t>
      </w:r>
      <w:r>
        <w:rPr>
          <w:sz w:val="38"/>
        </w:rPr>
        <w:t>metals</w:t>
      </w:r>
    </w:p>
    <w:p>
      <w:pPr>
        <w:pStyle w:val="ListParagraph"/>
        <w:numPr>
          <w:ilvl w:val="0"/>
          <w:numId w:val="17"/>
        </w:numPr>
        <w:tabs>
          <w:tab w:pos="892" w:val="left" w:leader="none"/>
          <w:tab w:pos="893" w:val="left" w:leader="none"/>
        </w:tabs>
        <w:spacing w:line="240" w:lineRule="auto" w:before="66" w:after="0"/>
        <w:ind w:left="892" w:right="0" w:hanging="415"/>
        <w:jc w:val="left"/>
        <w:rPr>
          <w:sz w:val="38"/>
        </w:rPr>
      </w:pPr>
      <w:r>
        <w:rPr>
          <w:sz w:val="38"/>
        </w:rPr>
        <w:t>promotes growth of children and</w:t>
      </w:r>
      <w:r>
        <w:rPr>
          <w:spacing w:val="-1"/>
          <w:sz w:val="38"/>
        </w:rPr>
        <w:t> </w:t>
      </w:r>
      <w:r>
        <w:rPr>
          <w:sz w:val="38"/>
        </w:rPr>
        <w:t>foetuses</w:t>
      </w:r>
    </w:p>
    <w:p>
      <w:pPr>
        <w:pStyle w:val="BodyText"/>
        <w:spacing w:line="276" w:lineRule="auto" w:before="302"/>
        <w:ind w:left="477" w:right="133"/>
        <w:jc w:val="both"/>
      </w:pPr>
      <w:r>
        <w:rPr/>
        <w:t>As already mentioned under ‘Active ingredients’, the aronia/apple berry is par- ticularly</w:t>
      </w:r>
      <w:r>
        <w:rPr>
          <w:spacing w:val="-12"/>
        </w:rPr>
        <w:t> </w:t>
      </w:r>
      <w:r>
        <w:rPr/>
        <w:t>notable</w:t>
      </w:r>
      <w:r>
        <w:rPr>
          <w:spacing w:val="-10"/>
        </w:rPr>
        <w:t> </w:t>
      </w:r>
      <w:r>
        <w:rPr/>
        <w:t>for</w:t>
      </w:r>
      <w:r>
        <w:rPr>
          <w:spacing w:val="-9"/>
        </w:rPr>
        <w:t> </w:t>
      </w:r>
      <w:r>
        <w:rPr/>
        <w:t>its</w:t>
      </w:r>
      <w:r>
        <w:rPr>
          <w:spacing w:val="-12"/>
        </w:rPr>
        <w:t> </w:t>
      </w:r>
      <w:r>
        <w:rPr/>
        <w:t>exceptional</w:t>
      </w:r>
      <w:r>
        <w:rPr>
          <w:spacing w:val="-12"/>
        </w:rPr>
        <w:t> </w:t>
      </w:r>
      <w:r>
        <w:rPr/>
        <w:t>potential</w:t>
      </w:r>
      <w:r>
        <w:rPr>
          <w:spacing w:val="-11"/>
        </w:rPr>
        <w:t> </w:t>
      </w:r>
      <w:r>
        <w:rPr/>
        <w:t>for</w:t>
      </w:r>
      <w:r>
        <w:rPr>
          <w:spacing w:val="-10"/>
        </w:rPr>
        <w:t> </w:t>
      </w:r>
      <w:r>
        <w:rPr/>
        <w:t>protecting</w:t>
      </w:r>
      <w:r>
        <w:rPr>
          <w:spacing w:val="-9"/>
        </w:rPr>
        <w:t> </w:t>
      </w:r>
      <w:r>
        <w:rPr/>
        <w:t>against</w:t>
      </w:r>
      <w:r>
        <w:rPr>
          <w:spacing w:val="-11"/>
        </w:rPr>
        <w:t> </w:t>
      </w:r>
      <w:r>
        <w:rPr/>
        <w:t>free</w:t>
      </w:r>
      <w:r>
        <w:rPr>
          <w:spacing w:val="-11"/>
        </w:rPr>
        <w:t> </w:t>
      </w:r>
      <w:r>
        <w:rPr/>
        <w:t>radicals, which attack our cells making us old and ill. The free radicals are considered, among other things, to be direct or indirect causes of diseases in the</w:t>
      </w:r>
      <w:r>
        <w:rPr>
          <w:spacing w:val="-38"/>
        </w:rPr>
        <w:t> </w:t>
      </w:r>
      <w:r>
        <w:rPr/>
        <w:t>cardiovas- cular system, cancer, joints, kidneys, eyes and other modern</w:t>
      </w:r>
      <w:r>
        <w:rPr>
          <w:spacing w:val="-6"/>
        </w:rPr>
        <w:t> </w:t>
      </w:r>
      <w:r>
        <w:rPr/>
        <w:t>diseases.</w:t>
      </w:r>
    </w:p>
    <w:p>
      <w:pPr>
        <w:pStyle w:val="BodyText"/>
        <w:spacing w:line="276" w:lineRule="auto" w:before="120"/>
        <w:ind w:left="477" w:right="133"/>
        <w:jc w:val="both"/>
      </w:pPr>
      <w:r>
        <w:rPr/>
        <w:t>According</w:t>
      </w:r>
      <w:r>
        <w:rPr>
          <w:spacing w:val="-20"/>
        </w:rPr>
        <w:t> </w:t>
      </w:r>
      <w:r>
        <w:rPr/>
        <w:t>to</w:t>
      </w:r>
      <w:r>
        <w:rPr>
          <w:spacing w:val="-19"/>
        </w:rPr>
        <w:t> </w:t>
      </w:r>
      <w:r>
        <w:rPr/>
        <w:t>research</w:t>
      </w:r>
      <w:r>
        <w:rPr>
          <w:spacing w:val="-18"/>
        </w:rPr>
        <w:t> </w:t>
      </w:r>
      <w:r>
        <w:rPr/>
        <w:t>by</w:t>
      </w:r>
      <w:r>
        <w:rPr>
          <w:spacing w:val="-20"/>
        </w:rPr>
        <w:t> </w:t>
      </w:r>
      <w:r>
        <w:rPr/>
        <w:t>the</w:t>
      </w:r>
      <w:r>
        <w:rPr>
          <w:spacing w:val="-19"/>
        </w:rPr>
        <w:t> </w:t>
      </w:r>
      <w:r>
        <w:rPr/>
        <w:t>Potsdam</w:t>
      </w:r>
      <w:r>
        <w:rPr>
          <w:spacing w:val="-19"/>
        </w:rPr>
        <w:t> </w:t>
      </w:r>
      <w:r>
        <w:rPr/>
        <w:t>research</w:t>
      </w:r>
      <w:r>
        <w:rPr>
          <w:spacing w:val="-19"/>
        </w:rPr>
        <w:t> </w:t>
      </w:r>
      <w:r>
        <w:rPr/>
        <w:t>group,</w:t>
      </w:r>
      <w:r>
        <w:rPr>
          <w:spacing w:val="-19"/>
        </w:rPr>
        <w:t> </w:t>
      </w:r>
      <w:r>
        <w:rPr/>
        <w:t>the</w:t>
      </w:r>
      <w:r>
        <w:rPr>
          <w:spacing w:val="-19"/>
        </w:rPr>
        <w:t> </w:t>
      </w:r>
      <w:r>
        <w:rPr/>
        <w:t>aronia</w:t>
      </w:r>
      <w:r>
        <w:rPr>
          <w:spacing w:val="-20"/>
        </w:rPr>
        <w:t> </w:t>
      </w:r>
      <w:r>
        <w:rPr/>
        <w:t>berry</w:t>
      </w:r>
      <w:r>
        <w:rPr>
          <w:spacing w:val="-19"/>
        </w:rPr>
        <w:t> </w:t>
      </w:r>
      <w:r>
        <w:rPr/>
        <w:t>achieves the</w:t>
      </w:r>
      <w:r>
        <w:rPr>
          <w:spacing w:val="-8"/>
        </w:rPr>
        <w:t> </w:t>
      </w:r>
      <w:r>
        <w:rPr/>
        <w:t>exceptionally</w:t>
      </w:r>
      <w:r>
        <w:rPr>
          <w:spacing w:val="-9"/>
        </w:rPr>
        <w:t> </w:t>
      </w:r>
      <w:r>
        <w:rPr/>
        <w:t>high</w:t>
      </w:r>
      <w:r>
        <w:rPr>
          <w:spacing w:val="-7"/>
        </w:rPr>
        <w:t> </w:t>
      </w:r>
      <w:r>
        <w:rPr/>
        <w:t>TEAC</w:t>
      </w:r>
      <w:r>
        <w:rPr>
          <w:spacing w:val="-10"/>
        </w:rPr>
        <w:t> </w:t>
      </w:r>
      <w:r>
        <w:rPr/>
        <w:t>value</w:t>
      </w:r>
      <w:r>
        <w:rPr>
          <w:spacing w:val="-8"/>
        </w:rPr>
        <w:t> </w:t>
      </w:r>
      <w:r>
        <w:rPr/>
        <w:t>of</w:t>
      </w:r>
      <w:r>
        <w:rPr>
          <w:spacing w:val="-9"/>
        </w:rPr>
        <w:t> </w:t>
      </w:r>
      <w:r>
        <w:rPr/>
        <w:t>64.8</w:t>
      </w:r>
      <w:r>
        <w:rPr>
          <w:spacing w:val="-9"/>
        </w:rPr>
        <w:t> </w:t>
      </w:r>
      <w:r>
        <w:rPr/>
        <w:t>mmol/l,</w:t>
      </w:r>
      <w:r>
        <w:rPr>
          <w:spacing w:val="-9"/>
        </w:rPr>
        <w:t> </w:t>
      </w:r>
      <w:r>
        <w:rPr/>
        <w:t>even</w:t>
      </w:r>
      <w:r>
        <w:rPr>
          <w:spacing w:val="-9"/>
        </w:rPr>
        <w:t> </w:t>
      </w:r>
      <w:r>
        <w:rPr/>
        <w:t>surpassing</w:t>
      </w:r>
      <w:r>
        <w:rPr>
          <w:spacing w:val="-8"/>
        </w:rPr>
        <w:t> </w:t>
      </w:r>
      <w:r>
        <w:rPr/>
        <w:t>fruits</w:t>
      </w:r>
      <w:r>
        <w:rPr>
          <w:spacing w:val="-10"/>
        </w:rPr>
        <w:t> </w:t>
      </w:r>
      <w:r>
        <w:rPr/>
        <w:t>such as pomegranate or</w:t>
      </w:r>
      <w:r>
        <w:rPr>
          <w:spacing w:val="-2"/>
        </w:rPr>
        <w:t> </w:t>
      </w:r>
      <w:r>
        <w:rPr/>
        <w:t>cranberry!</w:t>
      </w:r>
    </w:p>
    <w:p>
      <w:pPr>
        <w:pStyle w:val="BodyText"/>
        <w:spacing w:before="4"/>
        <w:rPr>
          <w:sz w:val="17"/>
        </w:rPr>
      </w:pPr>
      <w:r>
        <w:rPr/>
        <w:pict>
          <v:group style="position:absolute;margin-left:204.824997pt;margin-top:11.758692pt;width:295.650pt;height:224.65pt;mso-position-horizontal-relative:page;mso-position-vertical-relative:paragraph;z-index:152;mso-wrap-distance-left:0;mso-wrap-distance-right:0" coordorigin="4096,235" coordsize="5913,4493">
            <v:shape style="position:absolute;left:4742;top:982;width:4880;height:2631" type="#_x0000_t75" stroked="false">
              <v:imagedata r:id="rId38" o:title=""/>
            </v:shape>
            <v:rect style="position:absolute;left:4104;top:242;width:5898;height:4478" filled="false" stroked="true" strokeweight=".75pt" strokecolor="#d9d9d9">
              <v:stroke dashstyle="solid"/>
            </v:rect>
            <v:shape style="position:absolute;left:5858;top:449;width:2408;height:281" type="#_x0000_t202" filled="false" stroked="false">
              <v:textbox inset="0,0,0,0">
                <w:txbxContent>
                  <w:p>
                    <w:pPr>
                      <w:spacing w:line="281" w:lineRule="exact" w:before="0"/>
                      <w:ind w:left="0" w:right="0" w:firstLine="0"/>
                      <w:jc w:val="left"/>
                      <w:rPr>
                        <w:rFonts w:ascii="Calibri"/>
                        <w:b/>
                        <w:sz w:val="28"/>
                      </w:rPr>
                    </w:pPr>
                    <w:r>
                      <w:rPr>
                        <w:rFonts w:ascii="Calibri"/>
                        <w:b/>
                        <w:color w:val="585858"/>
                        <w:sz w:val="28"/>
                      </w:rPr>
                      <w:t>Antioxidant capacity</w:t>
                    </w:r>
                  </w:p>
                </w:txbxContent>
              </v:textbox>
              <w10:wrap type="none"/>
            </v:shape>
            <v:shape style="position:absolute;left:4428;top:1334;width:203;height:2352" type="#_x0000_t202" filled="false" stroked="false">
              <v:textbox inset="0,0,0,0">
                <w:txbxContent>
                  <w:p>
                    <w:pPr>
                      <w:spacing w:line="183" w:lineRule="exact" w:before="0"/>
                      <w:ind w:left="0" w:right="0" w:firstLine="0"/>
                      <w:jc w:val="left"/>
                      <w:rPr>
                        <w:rFonts w:ascii="Calibri"/>
                        <w:sz w:val="18"/>
                      </w:rPr>
                    </w:pPr>
                    <w:r>
                      <w:rPr>
                        <w:rFonts w:ascii="Calibri"/>
                        <w:color w:val="585858"/>
                        <w:sz w:val="18"/>
                      </w:rPr>
                      <w:t>70</w:t>
                    </w:r>
                  </w:p>
                  <w:p>
                    <w:pPr>
                      <w:spacing w:before="91"/>
                      <w:ind w:left="0" w:right="0" w:firstLine="0"/>
                      <w:jc w:val="left"/>
                      <w:rPr>
                        <w:rFonts w:ascii="Calibri"/>
                        <w:sz w:val="18"/>
                      </w:rPr>
                    </w:pPr>
                    <w:r>
                      <w:rPr>
                        <w:rFonts w:ascii="Calibri"/>
                        <w:color w:val="585858"/>
                        <w:sz w:val="18"/>
                      </w:rPr>
                      <w:t>60</w:t>
                    </w:r>
                  </w:p>
                  <w:p>
                    <w:pPr>
                      <w:spacing w:before="90"/>
                      <w:ind w:left="0" w:right="0" w:firstLine="0"/>
                      <w:jc w:val="left"/>
                      <w:rPr>
                        <w:rFonts w:ascii="Calibri"/>
                        <w:sz w:val="18"/>
                      </w:rPr>
                    </w:pPr>
                    <w:r>
                      <w:rPr>
                        <w:rFonts w:ascii="Calibri"/>
                        <w:color w:val="585858"/>
                        <w:sz w:val="18"/>
                      </w:rPr>
                      <w:t>50</w:t>
                    </w:r>
                  </w:p>
                  <w:p>
                    <w:pPr>
                      <w:spacing w:before="91"/>
                      <w:ind w:left="0" w:right="0" w:firstLine="0"/>
                      <w:jc w:val="left"/>
                      <w:rPr>
                        <w:rFonts w:ascii="Calibri"/>
                        <w:sz w:val="18"/>
                      </w:rPr>
                    </w:pPr>
                    <w:r>
                      <w:rPr>
                        <w:rFonts w:ascii="Calibri"/>
                        <w:color w:val="585858"/>
                        <w:sz w:val="18"/>
                      </w:rPr>
                      <w:t>40</w:t>
                    </w:r>
                  </w:p>
                  <w:p>
                    <w:pPr>
                      <w:spacing w:before="90"/>
                      <w:ind w:left="0" w:right="0" w:firstLine="0"/>
                      <w:jc w:val="left"/>
                      <w:rPr>
                        <w:rFonts w:ascii="Calibri"/>
                        <w:sz w:val="18"/>
                      </w:rPr>
                    </w:pPr>
                    <w:r>
                      <w:rPr>
                        <w:rFonts w:ascii="Calibri"/>
                        <w:color w:val="585858"/>
                        <w:sz w:val="18"/>
                      </w:rPr>
                      <w:t>30</w:t>
                    </w:r>
                  </w:p>
                  <w:p>
                    <w:pPr>
                      <w:spacing w:before="91"/>
                      <w:ind w:left="0" w:right="0" w:firstLine="0"/>
                      <w:jc w:val="left"/>
                      <w:rPr>
                        <w:rFonts w:ascii="Calibri"/>
                        <w:sz w:val="18"/>
                      </w:rPr>
                    </w:pPr>
                    <w:r>
                      <w:rPr>
                        <w:rFonts w:ascii="Calibri"/>
                        <w:color w:val="585858"/>
                        <w:sz w:val="18"/>
                      </w:rPr>
                      <w:t>20</w:t>
                    </w:r>
                  </w:p>
                  <w:p>
                    <w:pPr>
                      <w:spacing w:before="90"/>
                      <w:ind w:left="0" w:right="0" w:firstLine="0"/>
                      <w:jc w:val="left"/>
                      <w:rPr>
                        <w:rFonts w:ascii="Calibri"/>
                        <w:sz w:val="18"/>
                      </w:rPr>
                    </w:pPr>
                    <w:r>
                      <w:rPr>
                        <w:rFonts w:ascii="Calibri"/>
                        <w:color w:val="585858"/>
                        <w:sz w:val="18"/>
                      </w:rPr>
                      <w:t>10</w:t>
                    </w:r>
                  </w:p>
                  <w:p>
                    <w:pPr>
                      <w:spacing w:line="216" w:lineRule="exact" w:before="91"/>
                      <w:ind w:left="91" w:right="0" w:firstLine="0"/>
                      <w:jc w:val="left"/>
                      <w:rPr>
                        <w:rFonts w:ascii="Calibri"/>
                        <w:sz w:val="18"/>
                      </w:rPr>
                    </w:pPr>
                    <w:r>
                      <w:rPr>
                        <w:rFonts w:ascii="Calibri"/>
                        <w:color w:val="585858"/>
                        <w:sz w:val="18"/>
                      </w:rPr>
                      <w:t>0</w:t>
                    </w:r>
                  </w:p>
                </w:txbxContent>
              </v:textbox>
              <w10:wrap type="none"/>
            </v:shape>
            <v:shape style="position:absolute;left:4879;top:3731;width:4057;height:705" type="#_x0000_t202" filled="false" stroked="false">
              <v:textbox inset="0,0,0,0">
                <w:txbxContent>
                  <w:p>
                    <w:pPr>
                      <w:tabs>
                        <w:tab w:pos="1553" w:val="left" w:leader="none"/>
                        <w:tab w:pos="2920" w:val="left" w:leader="none"/>
                      </w:tabs>
                      <w:spacing w:line="183" w:lineRule="exact" w:before="0"/>
                      <w:ind w:left="-1" w:right="18" w:firstLine="0"/>
                      <w:jc w:val="center"/>
                      <w:rPr>
                        <w:rFonts w:ascii="Calibri"/>
                        <w:sz w:val="18"/>
                      </w:rPr>
                    </w:pPr>
                    <w:r>
                      <w:rPr>
                        <w:rFonts w:ascii="Calibri"/>
                        <w:color w:val="585858"/>
                        <w:sz w:val="18"/>
                      </w:rPr>
                      <w:t>Aronia</w:t>
                    </w:r>
                    <w:r>
                      <w:rPr>
                        <w:rFonts w:ascii="Calibri"/>
                        <w:color w:val="585858"/>
                        <w:spacing w:val="-3"/>
                        <w:sz w:val="18"/>
                      </w:rPr>
                      <w:t> </w:t>
                    </w:r>
                    <w:r>
                      <w:rPr>
                        <w:rFonts w:ascii="Calibri"/>
                        <w:color w:val="585858"/>
                        <w:sz w:val="18"/>
                      </w:rPr>
                      <w:t>juice</w:t>
                    </w:r>
                    <w:r>
                      <w:rPr>
                        <w:rFonts w:ascii="Calibri"/>
                        <w:color w:val="585858"/>
                        <w:spacing w:val="-2"/>
                        <w:sz w:val="18"/>
                      </w:rPr>
                      <w:t> </w:t>
                    </w:r>
                    <w:r>
                      <w:rPr>
                        <w:rFonts w:ascii="Calibri"/>
                        <w:color w:val="585858"/>
                        <w:sz w:val="18"/>
                      </w:rPr>
                      <w:t>64.8</w:t>
                      <w:tab/>
                      <w:t>Pomegranate</w:t>
                      <w:tab/>
                      <w:t>Cranberry</w:t>
                    </w:r>
                    <w:r>
                      <w:rPr>
                        <w:rFonts w:ascii="Calibri"/>
                        <w:color w:val="585858"/>
                        <w:spacing w:val="-6"/>
                        <w:sz w:val="18"/>
                      </w:rPr>
                      <w:t> </w:t>
                    </w:r>
                    <w:r>
                      <w:rPr>
                        <w:rFonts w:ascii="Calibri"/>
                        <w:color w:val="585858"/>
                        <w:sz w:val="18"/>
                      </w:rPr>
                      <w:t>juice</w:t>
                    </w:r>
                  </w:p>
                  <w:p>
                    <w:pPr>
                      <w:tabs>
                        <w:tab w:pos="3642" w:val="right" w:leader="none"/>
                      </w:tabs>
                      <w:spacing w:before="0"/>
                      <w:ind w:left="1644" w:right="0" w:firstLine="0"/>
                      <w:jc w:val="left"/>
                      <w:rPr>
                        <w:rFonts w:ascii="Calibri"/>
                        <w:sz w:val="18"/>
                      </w:rPr>
                    </w:pPr>
                    <w:r>
                      <w:rPr>
                        <w:rFonts w:ascii="Calibri"/>
                        <w:color w:val="585858"/>
                        <w:sz w:val="18"/>
                      </w:rPr>
                      <w:t>juice 18-20</w:t>
                      <w:tab/>
                      <w:t>9-14</w:t>
                    </w:r>
                  </w:p>
                  <w:p>
                    <w:pPr>
                      <w:spacing w:line="240" w:lineRule="exact" w:before="61"/>
                      <w:ind w:left="50" w:right="18" w:firstLine="0"/>
                      <w:jc w:val="center"/>
                      <w:rPr>
                        <w:rFonts w:ascii="Calibri"/>
                        <w:b/>
                        <w:sz w:val="20"/>
                      </w:rPr>
                    </w:pPr>
                    <w:r>
                      <w:rPr>
                        <w:rFonts w:ascii="Calibri"/>
                        <w:b/>
                        <w:color w:val="585858"/>
                        <w:sz w:val="20"/>
                      </w:rPr>
                      <w:t>Antioxidant capacity (TEAC) in</w:t>
                    </w:r>
                    <w:r>
                      <w:rPr>
                        <w:rFonts w:ascii="Calibri"/>
                        <w:b/>
                        <w:color w:val="585858"/>
                        <w:spacing w:val="-16"/>
                        <w:sz w:val="20"/>
                      </w:rPr>
                      <w:t> </w:t>
                    </w:r>
                    <w:r>
                      <w:rPr>
                        <w:rFonts w:ascii="Calibri"/>
                        <w:b/>
                        <w:color w:val="585858"/>
                        <w:sz w:val="20"/>
                      </w:rPr>
                      <w:t>mmol/l</w:t>
                    </w:r>
                  </w:p>
                </w:txbxContent>
              </v:textbox>
              <w10:wrap type="none"/>
            </v:shape>
            <w10:wrap type="topAndBottom"/>
          </v:group>
        </w:pict>
      </w:r>
    </w:p>
    <w:p>
      <w:pPr>
        <w:pStyle w:val="BodyText"/>
        <w:spacing w:line="276" w:lineRule="auto" w:before="167"/>
        <w:ind w:left="477"/>
      </w:pPr>
      <w:r>
        <w:rPr/>
        <w:t>Source: Aronia juice = analysis of fresh aronia juice, University of Potsdam Prof. Dr. Kulling, August 2006</w:t>
      </w:r>
    </w:p>
    <w:p>
      <w:pPr>
        <w:spacing w:after="0" w:line="276" w:lineRule="auto"/>
        <w:sectPr>
          <w:pgSz w:w="14270" w:h="16850"/>
          <w:pgMar w:header="0" w:footer="1891" w:top="1600" w:bottom="2080" w:left="800" w:right="12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p>
    <w:p>
      <w:pPr>
        <w:pStyle w:val="Heading1"/>
        <w:spacing w:before="100"/>
      </w:pPr>
      <w:r>
        <w:rPr/>
        <w:t>Specific effect of aronia berries on diseases and various ailments</w:t>
      </w:r>
    </w:p>
    <w:p>
      <w:pPr>
        <w:pStyle w:val="BodyText"/>
        <w:spacing w:line="276" w:lineRule="auto" w:before="180"/>
        <w:ind w:left="477"/>
      </w:pPr>
      <w:r>
        <w:rPr/>
        <w:t>Healing</w:t>
      </w:r>
      <w:r>
        <w:rPr>
          <w:spacing w:val="-21"/>
        </w:rPr>
        <w:t> </w:t>
      </w:r>
      <w:r>
        <w:rPr/>
        <w:t>mechanisms</w:t>
      </w:r>
      <w:r>
        <w:rPr>
          <w:spacing w:val="-20"/>
        </w:rPr>
        <w:t> </w:t>
      </w:r>
      <w:r>
        <w:rPr/>
        <w:t>are</w:t>
      </w:r>
      <w:r>
        <w:rPr>
          <w:spacing w:val="-23"/>
        </w:rPr>
        <w:t> </w:t>
      </w:r>
      <w:r>
        <w:rPr/>
        <w:t>attributed</w:t>
      </w:r>
      <w:r>
        <w:rPr>
          <w:spacing w:val="-22"/>
        </w:rPr>
        <w:t> </w:t>
      </w:r>
      <w:r>
        <w:rPr/>
        <w:t>to</w:t>
      </w:r>
      <w:r>
        <w:rPr>
          <w:spacing w:val="-23"/>
        </w:rPr>
        <w:t> </w:t>
      </w:r>
      <w:r>
        <w:rPr/>
        <w:t>the</w:t>
      </w:r>
      <w:r>
        <w:rPr>
          <w:spacing w:val="-23"/>
        </w:rPr>
        <w:t> </w:t>
      </w:r>
      <w:r>
        <w:rPr/>
        <w:t>aronia</w:t>
      </w:r>
      <w:r>
        <w:rPr>
          <w:spacing w:val="-21"/>
        </w:rPr>
        <w:t> </w:t>
      </w:r>
      <w:r>
        <w:rPr/>
        <w:t>berry</w:t>
      </w:r>
      <w:r>
        <w:rPr>
          <w:spacing w:val="-21"/>
        </w:rPr>
        <w:t> </w:t>
      </w:r>
      <w:r>
        <w:rPr/>
        <w:t>for</w:t>
      </w:r>
      <w:r>
        <w:rPr>
          <w:spacing w:val="-21"/>
        </w:rPr>
        <w:t> </w:t>
      </w:r>
      <w:r>
        <w:rPr/>
        <w:t>the</w:t>
      </w:r>
      <w:r>
        <w:rPr>
          <w:spacing w:val="-21"/>
        </w:rPr>
        <w:t> </w:t>
      </w:r>
      <w:r>
        <w:rPr/>
        <w:t>following</w:t>
      </w:r>
      <w:r>
        <w:rPr>
          <w:spacing w:val="-20"/>
        </w:rPr>
        <w:t> </w:t>
      </w:r>
      <w:r>
        <w:rPr/>
        <w:t>diseases and conditions:</w:t>
      </w:r>
    </w:p>
    <w:p>
      <w:pPr>
        <w:pStyle w:val="ListParagraph"/>
        <w:numPr>
          <w:ilvl w:val="1"/>
          <w:numId w:val="17"/>
        </w:numPr>
        <w:tabs>
          <w:tab w:pos="1477" w:val="left" w:leader="none"/>
          <w:tab w:pos="1478" w:val="left" w:leader="none"/>
        </w:tabs>
        <w:spacing w:line="240" w:lineRule="auto" w:before="240" w:after="0"/>
        <w:ind w:left="1478" w:right="0" w:hanging="644"/>
        <w:jc w:val="left"/>
        <w:rPr>
          <w:sz w:val="38"/>
        </w:rPr>
      </w:pPr>
      <w:r>
        <w:rPr>
          <w:sz w:val="38"/>
        </w:rPr>
        <w:t>cardiovascular diseases (protection against heart attack and</w:t>
      </w:r>
      <w:r>
        <w:rPr>
          <w:spacing w:val="-7"/>
          <w:sz w:val="38"/>
        </w:rPr>
        <w:t> </w:t>
      </w:r>
      <w:r>
        <w:rPr>
          <w:sz w:val="38"/>
        </w:rPr>
        <w:t>stroke)</w:t>
      </w:r>
    </w:p>
    <w:p>
      <w:pPr>
        <w:pStyle w:val="ListParagraph"/>
        <w:numPr>
          <w:ilvl w:val="1"/>
          <w:numId w:val="17"/>
        </w:numPr>
        <w:tabs>
          <w:tab w:pos="1477" w:val="left" w:leader="none"/>
          <w:tab w:pos="1478" w:val="left" w:leader="none"/>
        </w:tabs>
        <w:spacing w:line="240" w:lineRule="auto" w:before="66" w:after="0"/>
        <w:ind w:left="1478" w:right="0" w:hanging="644"/>
        <w:jc w:val="left"/>
        <w:rPr>
          <w:sz w:val="38"/>
        </w:rPr>
      </w:pPr>
      <w:r>
        <w:rPr>
          <w:sz w:val="38"/>
        </w:rPr>
        <w:t>high blood</w:t>
      </w:r>
      <w:r>
        <w:rPr>
          <w:spacing w:val="-3"/>
          <w:sz w:val="38"/>
        </w:rPr>
        <w:t> </w:t>
      </w:r>
      <w:r>
        <w:rPr>
          <w:sz w:val="38"/>
        </w:rPr>
        <w:t>pressure</w:t>
      </w:r>
    </w:p>
    <w:p>
      <w:pPr>
        <w:pStyle w:val="ListParagraph"/>
        <w:numPr>
          <w:ilvl w:val="1"/>
          <w:numId w:val="17"/>
        </w:numPr>
        <w:tabs>
          <w:tab w:pos="1477" w:val="left" w:leader="none"/>
          <w:tab w:pos="1478" w:val="left" w:leader="none"/>
        </w:tabs>
        <w:spacing w:line="240" w:lineRule="auto" w:before="64" w:after="0"/>
        <w:ind w:left="1478" w:right="0" w:hanging="644"/>
        <w:jc w:val="left"/>
        <w:rPr>
          <w:sz w:val="38"/>
        </w:rPr>
      </w:pPr>
      <w:r>
        <w:rPr>
          <w:sz w:val="38"/>
        </w:rPr>
        <w:t>clots</w:t>
      </w:r>
    </w:p>
    <w:p>
      <w:pPr>
        <w:pStyle w:val="ListParagraph"/>
        <w:numPr>
          <w:ilvl w:val="1"/>
          <w:numId w:val="17"/>
        </w:numPr>
        <w:tabs>
          <w:tab w:pos="1477" w:val="left" w:leader="none"/>
          <w:tab w:pos="1478" w:val="left" w:leader="none"/>
        </w:tabs>
        <w:spacing w:line="240" w:lineRule="auto" w:before="63" w:after="0"/>
        <w:ind w:left="1478" w:right="0" w:hanging="644"/>
        <w:jc w:val="left"/>
        <w:rPr>
          <w:sz w:val="38"/>
        </w:rPr>
      </w:pPr>
      <w:r>
        <w:rPr>
          <w:sz w:val="38"/>
        </w:rPr>
        <w:t>inflammation</w:t>
      </w:r>
    </w:p>
    <w:p>
      <w:pPr>
        <w:pStyle w:val="ListParagraph"/>
        <w:numPr>
          <w:ilvl w:val="1"/>
          <w:numId w:val="17"/>
        </w:numPr>
        <w:tabs>
          <w:tab w:pos="1477" w:val="left" w:leader="none"/>
          <w:tab w:pos="1478" w:val="left" w:leader="none"/>
        </w:tabs>
        <w:spacing w:line="240" w:lineRule="auto" w:before="64" w:after="0"/>
        <w:ind w:left="1478" w:right="0" w:hanging="644"/>
        <w:jc w:val="left"/>
        <w:rPr>
          <w:sz w:val="38"/>
        </w:rPr>
      </w:pPr>
      <w:r>
        <w:rPr>
          <w:sz w:val="38"/>
        </w:rPr>
        <w:t>joint conditions (arthritis, activated</w:t>
      </w:r>
      <w:r>
        <w:rPr>
          <w:spacing w:val="-1"/>
          <w:sz w:val="38"/>
        </w:rPr>
        <w:t> </w:t>
      </w:r>
      <w:r>
        <w:rPr>
          <w:sz w:val="38"/>
        </w:rPr>
        <w:t>arthrosis)</w:t>
      </w:r>
    </w:p>
    <w:p>
      <w:pPr>
        <w:pStyle w:val="ListParagraph"/>
        <w:numPr>
          <w:ilvl w:val="1"/>
          <w:numId w:val="17"/>
        </w:numPr>
        <w:tabs>
          <w:tab w:pos="1477" w:val="left" w:leader="none"/>
          <w:tab w:pos="1478" w:val="left" w:leader="none"/>
        </w:tabs>
        <w:spacing w:line="240" w:lineRule="auto" w:before="64" w:after="0"/>
        <w:ind w:left="1478" w:right="0" w:hanging="644"/>
        <w:jc w:val="left"/>
        <w:rPr>
          <w:sz w:val="38"/>
        </w:rPr>
      </w:pPr>
      <w:r>
        <w:rPr>
          <w:sz w:val="38"/>
        </w:rPr>
        <w:t>diabetes</w:t>
      </w:r>
      <w:r>
        <w:rPr>
          <w:spacing w:val="1"/>
          <w:sz w:val="38"/>
        </w:rPr>
        <w:t> </w:t>
      </w:r>
      <w:r>
        <w:rPr>
          <w:sz w:val="38"/>
        </w:rPr>
        <w:t>mellitus</w:t>
      </w:r>
    </w:p>
    <w:p>
      <w:pPr>
        <w:pStyle w:val="ListParagraph"/>
        <w:numPr>
          <w:ilvl w:val="1"/>
          <w:numId w:val="17"/>
        </w:numPr>
        <w:tabs>
          <w:tab w:pos="1477" w:val="left" w:leader="none"/>
          <w:tab w:pos="1478" w:val="left" w:leader="none"/>
        </w:tabs>
        <w:spacing w:line="240" w:lineRule="auto" w:before="66" w:after="0"/>
        <w:ind w:left="1478" w:right="0" w:hanging="644"/>
        <w:jc w:val="left"/>
        <w:rPr>
          <w:sz w:val="38"/>
        </w:rPr>
      </w:pPr>
      <w:r>
        <w:rPr>
          <w:sz w:val="38"/>
        </w:rPr>
        <w:t>cancer</w:t>
      </w:r>
    </w:p>
    <w:p>
      <w:pPr>
        <w:pStyle w:val="ListParagraph"/>
        <w:numPr>
          <w:ilvl w:val="1"/>
          <w:numId w:val="17"/>
        </w:numPr>
        <w:tabs>
          <w:tab w:pos="1477" w:val="left" w:leader="none"/>
          <w:tab w:pos="1478" w:val="left" w:leader="none"/>
        </w:tabs>
        <w:spacing w:line="240" w:lineRule="auto" w:before="64" w:after="0"/>
        <w:ind w:left="1478" w:right="0" w:hanging="644"/>
        <w:jc w:val="left"/>
        <w:rPr>
          <w:sz w:val="38"/>
        </w:rPr>
      </w:pPr>
      <w:r>
        <w:rPr>
          <w:sz w:val="38"/>
        </w:rPr>
        <w:t>skin diseases,</w:t>
      </w:r>
      <w:r>
        <w:rPr>
          <w:spacing w:val="-3"/>
          <w:sz w:val="38"/>
        </w:rPr>
        <w:t> </w:t>
      </w:r>
      <w:r>
        <w:rPr>
          <w:sz w:val="38"/>
        </w:rPr>
        <w:t>allergies</w:t>
      </w:r>
    </w:p>
    <w:p>
      <w:pPr>
        <w:pStyle w:val="ListParagraph"/>
        <w:numPr>
          <w:ilvl w:val="1"/>
          <w:numId w:val="17"/>
        </w:numPr>
        <w:tabs>
          <w:tab w:pos="1477" w:val="left" w:leader="none"/>
          <w:tab w:pos="1478" w:val="left" w:leader="none"/>
        </w:tabs>
        <w:spacing w:line="240" w:lineRule="auto" w:before="63" w:after="0"/>
        <w:ind w:left="1478" w:right="0" w:hanging="644"/>
        <w:jc w:val="left"/>
        <w:rPr>
          <w:sz w:val="38"/>
        </w:rPr>
      </w:pPr>
      <w:r>
        <w:rPr>
          <w:sz w:val="38"/>
        </w:rPr>
        <w:t>asthma</w:t>
      </w:r>
    </w:p>
    <w:p>
      <w:pPr>
        <w:pStyle w:val="ListParagraph"/>
        <w:numPr>
          <w:ilvl w:val="1"/>
          <w:numId w:val="17"/>
        </w:numPr>
        <w:tabs>
          <w:tab w:pos="1477" w:val="left" w:leader="none"/>
          <w:tab w:pos="1478" w:val="left" w:leader="none"/>
        </w:tabs>
        <w:spacing w:line="240" w:lineRule="auto" w:before="64" w:after="0"/>
        <w:ind w:left="1478" w:right="0" w:hanging="644"/>
        <w:jc w:val="left"/>
        <w:rPr>
          <w:sz w:val="38"/>
        </w:rPr>
      </w:pPr>
      <w:r>
        <w:rPr>
          <w:sz w:val="38"/>
        </w:rPr>
        <w:t>ageing</w:t>
      </w:r>
    </w:p>
    <w:p>
      <w:pPr>
        <w:pStyle w:val="ListParagraph"/>
        <w:numPr>
          <w:ilvl w:val="1"/>
          <w:numId w:val="17"/>
        </w:numPr>
        <w:tabs>
          <w:tab w:pos="1477" w:val="left" w:leader="none"/>
          <w:tab w:pos="1478" w:val="left" w:leader="none"/>
        </w:tabs>
        <w:spacing w:line="240" w:lineRule="auto" w:before="64" w:after="0"/>
        <w:ind w:left="1478" w:right="0" w:hanging="644"/>
        <w:jc w:val="left"/>
        <w:rPr>
          <w:sz w:val="38"/>
        </w:rPr>
      </w:pPr>
      <w:r>
        <w:rPr>
          <w:sz w:val="38"/>
        </w:rPr>
        <w:t>stomach inflammation</w:t>
      </w:r>
    </w:p>
    <w:p>
      <w:pPr>
        <w:pStyle w:val="ListParagraph"/>
        <w:numPr>
          <w:ilvl w:val="1"/>
          <w:numId w:val="17"/>
        </w:numPr>
        <w:tabs>
          <w:tab w:pos="1477" w:val="left" w:leader="none"/>
          <w:tab w:pos="1478" w:val="left" w:leader="none"/>
        </w:tabs>
        <w:spacing w:line="240" w:lineRule="auto" w:before="66" w:after="0"/>
        <w:ind w:left="1478" w:right="0" w:hanging="644"/>
        <w:jc w:val="left"/>
        <w:rPr>
          <w:sz w:val="38"/>
        </w:rPr>
      </w:pPr>
      <w:r>
        <w:rPr>
          <w:sz w:val="38"/>
        </w:rPr>
        <w:t>stomach lining</w:t>
      </w:r>
      <w:r>
        <w:rPr>
          <w:spacing w:val="-1"/>
          <w:sz w:val="38"/>
        </w:rPr>
        <w:t> </w:t>
      </w:r>
      <w:r>
        <w:rPr>
          <w:sz w:val="38"/>
        </w:rPr>
        <w:t>inflammation</w:t>
      </w:r>
    </w:p>
    <w:p>
      <w:pPr>
        <w:pStyle w:val="ListParagraph"/>
        <w:numPr>
          <w:ilvl w:val="1"/>
          <w:numId w:val="17"/>
        </w:numPr>
        <w:tabs>
          <w:tab w:pos="1477" w:val="left" w:leader="none"/>
          <w:tab w:pos="1478" w:val="left" w:leader="none"/>
        </w:tabs>
        <w:spacing w:line="240" w:lineRule="auto" w:before="63" w:after="0"/>
        <w:ind w:left="1478" w:right="0" w:hanging="644"/>
        <w:jc w:val="left"/>
        <w:rPr>
          <w:sz w:val="38"/>
        </w:rPr>
      </w:pPr>
      <w:r>
        <w:rPr>
          <w:sz w:val="38"/>
        </w:rPr>
        <w:t>intestinal</w:t>
      </w:r>
      <w:r>
        <w:rPr>
          <w:spacing w:val="-1"/>
          <w:sz w:val="38"/>
        </w:rPr>
        <w:t> </w:t>
      </w:r>
      <w:r>
        <w:rPr>
          <w:sz w:val="38"/>
        </w:rPr>
        <w:t>disorders</w:t>
      </w:r>
    </w:p>
    <w:p>
      <w:pPr>
        <w:pStyle w:val="ListParagraph"/>
        <w:numPr>
          <w:ilvl w:val="1"/>
          <w:numId w:val="17"/>
        </w:numPr>
        <w:tabs>
          <w:tab w:pos="1477" w:val="left" w:leader="none"/>
          <w:tab w:pos="1478" w:val="left" w:leader="none"/>
        </w:tabs>
        <w:spacing w:line="240" w:lineRule="auto" w:before="64" w:after="0"/>
        <w:ind w:left="1478" w:right="0" w:hanging="644"/>
        <w:jc w:val="left"/>
        <w:rPr>
          <w:sz w:val="38"/>
        </w:rPr>
      </w:pPr>
      <w:r>
        <w:rPr>
          <w:sz w:val="38"/>
        </w:rPr>
        <w:t>liver disease</w:t>
      </w:r>
    </w:p>
    <w:p>
      <w:pPr>
        <w:pStyle w:val="ListParagraph"/>
        <w:numPr>
          <w:ilvl w:val="1"/>
          <w:numId w:val="17"/>
        </w:numPr>
        <w:tabs>
          <w:tab w:pos="1477" w:val="left" w:leader="none"/>
          <w:tab w:pos="1478" w:val="left" w:leader="none"/>
        </w:tabs>
        <w:spacing w:line="240" w:lineRule="auto" w:before="64" w:after="0"/>
        <w:ind w:left="1478" w:right="0" w:hanging="644"/>
        <w:jc w:val="left"/>
        <w:rPr>
          <w:sz w:val="38"/>
        </w:rPr>
      </w:pPr>
      <w:r>
        <w:rPr>
          <w:sz w:val="38"/>
        </w:rPr>
        <w:t>gall bladder diseases</w:t>
      </w:r>
    </w:p>
    <w:p>
      <w:pPr>
        <w:pStyle w:val="ListParagraph"/>
        <w:numPr>
          <w:ilvl w:val="1"/>
          <w:numId w:val="17"/>
        </w:numPr>
        <w:tabs>
          <w:tab w:pos="1477" w:val="left" w:leader="none"/>
          <w:tab w:pos="1478" w:val="left" w:leader="none"/>
        </w:tabs>
        <w:spacing w:line="240" w:lineRule="auto" w:before="66" w:after="0"/>
        <w:ind w:left="1478" w:right="0" w:hanging="644"/>
        <w:jc w:val="left"/>
        <w:rPr>
          <w:sz w:val="38"/>
        </w:rPr>
      </w:pPr>
      <w:r>
        <w:rPr>
          <w:sz w:val="38"/>
        </w:rPr>
        <w:t>childhood diseases, such as scarlet fever and measles,</w:t>
      </w:r>
    </w:p>
    <w:p>
      <w:pPr>
        <w:pStyle w:val="ListParagraph"/>
        <w:numPr>
          <w:ilvl w:val="1"/>
          <w:numId w:val="17"/>
        </w:numPr>
        <w:tabs>
          <w:tab w:pos="1477" w:val="left" w:leader="none"/>
          <w:tab w:pos="1478" w:val="left" w:leader="none"/>
        </w:tabs>
        <w:spacing w:line="240" w:lineRule="auto" w:before="64" w:after="0"/>
        <w:ind w:left="1478" w:right="0" w:hanging="644"/>
        <w:jc w:val="left"/>
        <w:rPr>
          <w:sz w:val="38"/>
        </w:rPr>
      </w:pPr>
      <w:r>
        <w:rPr>
          <w:sz w:val="38"/>
        </w:rPr>
        <w:t>eye</w:t>
      </w:r>
      <w:r>
        <w:rPr>
          <w:spacing w:val="-3"/>
          <w:sz w:val="38"/>
        </w:rPr>
        <w:t> </w:t>
      </w:r>
      <w:r>
        <w:rPr>
          <w:sz w:val="38"/>
        </w:rPr>
        <w:t>diseases</w:t>
      </w:r>
    </w:p>
    <w:p>
      <w:pPr>
        <w:spacing w:after="0" w:line="240" w:lineRule="auto"/>
        <w:jc w:val="left"/>
        <w:rPr>
          <w:sz w:val="38"/>
        </w:rPr>
        <w:sectPr>
          <w:pgSz w:w="14270" w:h="16850"/>
          <w:pgMar w:header="0" w:footer="1891" w:top="1600" w:bottom="2080" w:left="800" w:right="1280"/>
        </w:sectPr>
      </w:pPr>
    </w:p>
    <w:p>
      <w:pPr>
        <w:pStyle w:val="BodyText"/>
        <w:spacing w:before="10"/>
        <w:rPr>
          <w:sz w:val="8"/>
        </w:rPr>
      </w:pPr>
    </w:p>
    <w:p>
      <w:pPr>
        <w:pStyle w:val="ListParagraph"/>
        <w:numPr>
          <w:ilvl w:val="1"/>
          <w:numId w:val="17"/>
        </w:numPr>
        <w:tabs>
          <w:tab w:pos="1477" w:val="left" w:leader="none"/>
          <w:tab w:pos="1478" w:val="left" w:leader="none"/>
        </w:tabs>
        <w:spacing w:line="240" w:lineRule="auto" w:before="83" w:after="0"/>
        <w:ind w:left="1478" w:right="0" w:hanging="644"/>
        <w:jc w:val="left"/>
        <w:rPr>
          <w:sz w:val="38"/>
        </w:rPr>
      </w:pPr>
      <w:r>
        <w:rPr>
          <w:sz w:val="38"/>
        </w:rPr>
        <w:t>urethra</w:t>
      </w:r>
      <w:r>
        <w:rPr>
          <w:spacing w:val="-2"/>
          <w:sz w:val="38"/>
        </w:rPr>
        <w:t> </w:t>
      </w:r>
      <w:r>
        <w:rPr>
          <w:sz w:val="38"/>
        </w:rPr>
        <w:t>infection</w:t>
      </w:r>
    </w:p>
    <w:p>
      <w:pPr>
        <w:pStyle w:val="ListParagraph"/>
        <w:numPr>
          <w:ilvl w:val="1"/>
          <w:numId w:val="17"/>
        </w:numPr>
        <w:tabs>
          <w:tab w:pos="1477" w:val="left" w:leader="none"/>
          <w:tab w:pos="1478" w:val="left" w:leader="none"/>
        </w:tabs>
        <w:spacing w:line="240" w:lineRule="auto" w:before="64" w:after="0"/>
        <w:ind w:left="1478" w:right="0" w:hanging="644"/>
        <w:jc w:val="left"/>
        <w:rPr>
          <w:sz w:val="38"/>
        </w:rPr>
      </w:pPr>
      <w:r>
        <w:rPr>
          <w:sz w:val="38"/>
        </w:rPr>
        <w:t>kidney diseases</w:t>
      </w:r>
    </w:p>
    <w:p>
      <w:pPr>
        <w:pStyle w:val="ListParagraph"/>
        <w:numPr>
          <w:ilvl w:val="1"/>
          <w:numId w:val="17"/>
        </w:numPr>
        <w:tabs>
          <w:tab w:pos="1477" w:val="left" w:leader="none"/>
          <w:tab w:pos="1478" w:val="left" w:leader="none"/>
        </w:tabs>
        <w:spacing w:line="240" w:lineRule="auto" w:before="66" w:after="0"/>
        <w:ind w:left="1478" w:right="0" w:hanging="644"/>
        <w:jc w:val="left"/>
        <w:rPr>
          <w:sz w:val="38"/>
        </w:rPr>
      </w:pPr>
      <w:r>
        <w:rPr>
          <w:sz w:val="38"/>
        </w:rPr>
        <w:t>thyroid</w:t>
      </w:r>
      <w:r>
        <w:rPr>
          <w:spacing w:val="-1"/>
          <w:sz w:val="38"/>
        </w:rPr>
        <w:t> </w:t>
      </w:r>
      <w:r>
        <w:rPr>
          <w:sz w:val="38"/>
        </w:rPr>
        <w:t>disorder</w:t>
      </w:r>
    </w:p>
    <w:p>
      <w:pPr>
        <w:pStyle w:val="ListParagraph"/>
        <w:numPr>
          <w:ilvl w:val="1"/>
          <w:numId w:val="17"/>
        </w:numPr>
        <w:tabs>
          <w:tab w:pos="1477" w:val="left" w:leader="none"/>
          <w:tab w:pos="1478" w:val="left" w:leader="none"/>
        </w:tabs>
        <w:spacing w:line="240" w:lineRule="auto" w:before="63" w:after="0"/>
        <w:ind w:left="1478" w:right="0" w:hanging="644"/>
        <w:jc w:val="left"/>
        <w:rPr>
          <w:sz w:val="38"/>
        </w:rPr>
      </w:pPr>
      <w:r>
        <w:rPr>
          <w:sz w:val="38"/>
        </w:rPr>
        <w:t>radiation injuries</w:t>
      </w:r>
    </w:p>
    <w:p>
      <w:pPr>
        <w:pStyle w:val="ListParagraph"/>
        <w:numPr>
          <w:ilvl w:val="1"/>
          <w:numId w:val="17"/>
        </w:numPr>
        <w:tabs>
          <w:tab w:pos="1477" w:val="left" w:leader="none"/>
          <w:tab w:pos="1478" w:val="left" w:leader="none"/>
        </w:tabs>
        <w:spacing w:line="240" w:lineRule="auto" w:before="64" w:after="0"/>
        <w:ind w:left="1478" w:right="0" w:hanging="644"/>
        <w:jc w:val="left"/>
        <w:rPr>
          <w:sz w:val="38"/>
        </w:rPr>
      </w:pPr>
      <w:r>
        <w:rPr>
          <w:sz w:val="38"/>
        </w:rPr>
        <w:t>injuries in chemo- and radiotherapeutic</w:t>
      </w:r>
      <w:r>
        <w:rPr>
          <w:spacing w:val="-3"/>
          <w:sz w:val="38"/>
        </w:rPr>
        <w:t> </w:t>
      </w:r>
      <w:r>
        <w:rPr>
          <w:sz w:val="38"/>
        </w:rPr>
        <w:t>treatments</w:t>
      </w:r>
    </w:p>
    <w:p>
      <w:pPr>
        <w:pStyle w:val="ListParagraph"/>
        <w:numPr>
          <w:ilvl w:val="1"/>
          <w:numId w:val="17"/>
        </w:numPr>
        <w:tabs>
          <w:tab w:pos="1549" w:val="left" w:leader="none"/>
          <w:tab w:pos="1550" w:val="left" w:leader="none"/>
        </w:tabs>
        <w:spacing w:line="240" w:lineRule="auto" w:before="63" w:after="0"/>
        <w:ind w:left="1550" w:right="0" w:hanging="699"/>
        <w:jc w:val="left"/>
        <w:rPr>
          <w:sz w:val="38"/>
        </w:rPr>
      </w:pPr>
      <w:r>
        <w:rPr>
          <w:sz w:val="38"/>
        </w:rPr>
        <w:t>bacterial and viral</w:t>
      </w:r>
      <w:r>
        <w:rPr>
          <w:spacing w:val="-3"/>
          <w:sz w:val="38"/>
        </w:rPr>
        <w:t> </w:t>
      </w:r>
      <w:r>
        <w:rPr>
          <w:sz w:val="38"/>
        </w:rPr>
        <w:t>illnesses</w:t>
      </w:r>
    </w:p>
    <w:p>
      <w:pPr>
        <w:pStyle w:val="BodyText"/>
        <w:tabs>
          <w:tab w:pos="1365" w:val="left" w:leader="none"/>
        </w:tabs>
        <w:spacing w:before="65"/>
        <w:ind w:left="760"/>
      </w:pPr>
      <w:r>
        <w:rPr>
          <w:rFonts w:ascii="Times New Roman"/>
        </w:rPr>
        <w:t>-</w:t>
        <w:tab/>
      </w:r>
      <w:r>
        <w:rPr/>
        <w:t>neurodegeneration</w:t>
      </w:r>
    </w:p>
    <w:p>
      <w:pPr>
        <w:pStyle w:val="Heading1"/>
        <w:spacing w:before="287"/>
        <w:jc w:val="both"/>
      </w:pPr>
      <w:r>
        <w:rPr/>
        <w:t>Effect of aronia berries on cardiovascular diseases</w:t>
      </w:r>
    </w:p>
    <w:p>
      <w:pPr>
        <w:pStyle w:val="BodyText"/>
        <w:spacing w:line="276" w:lineRule="auto" w:before="297"/>
        <w:ind w:left="477" w:right="137"/>
        <w:jc w:val="both"/>
      </w:pPr>
      <w:r>
        <w:rPr/>
        <w:t>According to one study, the patients with the highest flavonoid consumption had</w:t>
      </w:r>
      <w:r>
        <w:rPr>
          <w:spacing w:val="-21"/>
        </w:rPr>
        <w:t> </w:t>
      </w:r>
      <w:r>
        <w:rPr/>
        <w:t>50</w:t>
      </w:r>
      <w:r>
        <w:rPr>
          <w:spacing w:val="-22"/>
        </w:rPr>
        <w:t> </w:t>
      </w:r>
      <w:r>
        <w:rPr/>
        <w:t>%</w:t>
      </w:r>
      <w:r>
        <w:rPr>
          <w:spacing w:val="-22"/>
        </w:rPr>
        <w:t> </w:t>
      </w:r>
      <w:r>
        <w:rPr/>
        <w:t>lower</w:t>
      </w:r>
      <w:r>
        <w:rPr>
          <w:spacing w:val="-20"/>
        </w:rPr>
        <w:t> </w:t>
      </w:r>
      <w:r>
        <w:rPr/>
        <w:t>cardiovascular</w:t>
      </w:r>
      <w:r>
        <w:rPr>
          <w:spacing w:val="-21"/>
        </w:rPr>
        <w:t> </w:t>
      </w:r>
      <w:r>
        <w:rPr/>
        <w:t>disease</w:t>
      </w:r>
      <w:r>
        <w:rPr>
          <w:spacing w:val="-21"/>
        </w:rPr>
        <w:t> </w:t>
      </w:r>
      <w:r>
        <w:rPr/>
        <w:t>mortality</w:t>
      </w:r>
      <w:r>
        <w:rPr>
          <w:spacing w:val="-23"/>
        </w:rPr>
        <w:t> </w:t>
      </w:r>
      <w:r>
        <w:rPr/>
        <w:t>compared</w:t>
      </w:r>
      <w:r>
        <w:rPr>
          <w:spacing w:val="-20"/>
        </w:rPr>
        <w:t> </w:t>
      </w:r>
      <w:r>
        <w:rPr/>
        <w:t>to</w:t>
      </w:r>
      <w:r>
        <w:rPr>
          <w:spacing w:val="-21"/>
        </w:rPr>
        <w:t> </w:t>
      </w:r>
      <w:r>
        <w:rPr/>
        <w:t>the</w:t>
      </w:r>
      <w:r>
        <w:rPr>
          <w:spacing w:val="-20"/>
        </w:rPr>
        <w:t> </w:t>
      </w:r>
      <w:r>
        <w:rPr/>
        <w:t>control</w:t>
      </w:r>
      <w:r>
        <w:rPr>
          <w:spacing w:val="-21"/>
        </w:rPr>
        <w:t> </w:t>
      </w:r>
      <w:r>
        <w:rPr/>
        <w:t>group, which is more than</w:t>
      </w:r>
      <w:r>
        <w:rPr>
          <w:spacing w:val="3"/>
        </w:rPr>
        <w:t> </w:t>
      </w:r>
      <w:r>
        <w:rPr/>
        <w:t>significant.</w:t>
      </w:r>
    </w:p>
    <w:p>
      <w:pPr>
        <w:pStyle w:val="BodyText"/>
        <w:spacing w:line="276" w:lineRule="auto" w:before="241"/>
        <w:ind w:left="477" w:right="139"/>
        <w:jc w:val="both"/>
      </w:pPr>
      <w:r>
        <w:rPr/>
        <w:t>The ingredients of aronia berries, especially the flavonoids, which provide sur- prisingly</w:t>
      </w:r>
      <w:r>
        <w:rPr>
          <w:spacing w:val="-7"/>
        </w:rPr>
        <w:t> </w:t>
      </w:r>
      <w:r>
        <w:rPr/>
        <w:t>high</w:t>
      </w:r>
      <w:r>
        <w:rPr>
          <w:spacing w:val="-6"/>
        </w:rPr>
        <w:t> </w:t>
      </w:r>
      <w:r>
        <w:rPr/>
        <w:t>levels</w:t>
      </w:r>
      <w:r>
        <w:rPr>
          <w:spacing w:val="-5"/>
        </w:rPr>
        <w:t> </w:t>
      </w:r>
      <w:r>
        <w:rPr/>
        <w:t>of</w:t>
      </w:r>
      <w:r>
        <w:rPr>
          <w:spacing w:val="-9"/>
        </w:rPr>
        <w:t> </w:t>
      </w:r>
      <w:r>
        <w:rPr/>
        <w:t>protection</w:t>
      </w:r>
      <w:r>
        <w:rPr>
          <w:spacing w:val="-5"/>
        </w:rPr>
        <w:t> </w:t>
      </w:r>
      <w:r>
        <w:rPr/>
        <w:t>against</w:t>
      </w:r>
      <w:r>
        <w:rPr>
          <w:spacing w:val="-5"/>
        </w:rPr>
        <w:t> </w:t>
      </w:r>
      <w:r>
        <w:rPr/>
        <w:t>free</w:t>
      </w:r>
      <w:r>
        <w:rPr>
          <w:spacing w:val="-8"/>
        </w:rPr>
        <w:t> </w:t>
      </w:r>
      <w:r>
        <w:rPr/>
        <w:t>radical</w:t>
      </w:r>
      <w:r>
        <w:rPr>
          <w:spacing w:val="-7"/>
        </w:rPr>
        <w:t> </w:t>
      </w:r>
      <w:r>
        <w:rPr/>
        <w:t>attack,</w:t>
      </w:r>
      <w:r>
        <w:rPr>
          <w:spacing w:val="-4"/>
        </w:rPr>
        <w:t> </w:t>
      </w:r>
      <w:r>
        <w:rPr/>
        <w:t>have</w:t>
      </w:r>
      <w:r>
        <w:rPr>
          <w:spacing w:val="-6"/>
        </w:rPr>
        <w:t> </w:t>
      </w:r>
      <w:r>
        <w:rPr/>
        <w:t>the</w:t>
      </w:r>
      <w:r>
        <w:rPr>
          <w:spacing w:val="-8"/>
        </w:rPr>
        <w:t> </w:t>
      </w:r>
      <w:r>
        <w:rPr/>
        <w:t>following effects on the cardiovascular</w:t>
      </w:r>
      <w:r>
        <w:rPr>
          <w:spacing w:val="2"/>
        </w:rPr>
        <w:t> </w:t>
      </w:r>
      <w:r>
        <w:rPr/>
        <w:t>system:</w:t>
      </w:r>
    </w:p>
    <w:p>
      <w:pPr>
        <w:pStyle w:val="ListParagraph"/>
        <w:numPr>
          <w:ilvl w:val="0"/>
          <w:numId w:val="18"/>
        </w:numPr>
        <w:tabs>
          <w:tab w:pos="1189" w:val="left" w:leader="none"/>
          <w:tab w:pos="1191" w:val="left" w:leader="none"/>
        </w:tabs>
        <w:spacing w:line="240" w:lineRule="auto" w:before="243" w:after="0"/>
        <w:ind w:left="1190" w:right="0" w:hanging="356"/>
        <w:jc w:val="left"/>
        <w:rPr>
          <w:sz w:val="38"/>
        </w:rPr>
      </w:pPr>
      <w:r>
        <w:rPr>
          <w:sz w:val="38"/>
        </w:rPr>
        <w:t>inhibition of platelet aggregation (clumping of blood</w:t>
      </w:r>
      <w:r>
        <w:rPr>
          <w:spacing w:val="-3"/>
          <w:sz w:val="38"/>
        </w:rPr>
        <w:t> </w:t>
      </w:r>
      <w:r>
        <w:rPr>
          <w:sz w:val="38"/>
        </w:rPr>
        <w:t>cells)</w:t>
      </w:r>
    </w:p>
    <w:p>
      <w:pPr>
        <w:pStyle w:val="ListParagraph"/>
        <w:numPr>
          <w:ilvl w:val="0"/>
          <w:numId w:val="18"/>
        </w:numPr>
        <w:tabs>
          <w:tab w:pos="1189" w:val="left" w:leader="none"/>
          <w:tab w:pos="1191" w:val="left" w:leader="none"/>
        </w:tabs>
        <w:spacing w:line="240" w:lineRule="auto" w:before="64" w:after="0"/>
        <w:ind w:left="1190" w:right="0" w:hanging="356"/>
        <w:jc w:val="left"/>
        <w:rPr>
          <w:sz w:val="38"/>
        </w:rPr>
      </w:pPr>
      <w:r>
        <w:rPr>
          <w:sz w:val="38"/>
        </w:rPr>
        <w:t>anti-arteriosclerotic effects (protection against vascular</w:t>
      </w:r>
      <w:r>
        <w:rPr>
          <w:spacing w:val="-6"/>
          <w:sz w:val="38"/>
        </w:rPr>
        <w:t> </w:t>
      </w:r>
      <w:r>
        <w:rPr>
          <w:sz w:val="38"/>
        </w:rPr>
        <w:t>calcification)</w:t>
      </w:r>
    </w:p>
    <w:p>
      <w:pPr>
        <w:pStyle w:val="ListParagraph"/>
        <w:numPr>
          <w:ilvl w:val="0"/>
          <w:numId w:val="18"/>
        </w:numPr>
        <w:tabs>
          <w:tab w:pos="1189" w:val="left" w:leader="none"/>
          <w:tab w:pos="1191" w:val="left" w:leader="none"/>
        </w:tabs>
        <w:spacing w:line="273" w:lineRule="auto" w:before="63" w:after="0"/>
        <w:ind w:left="1190" w:right="133" w:hanging="356"/>
        <w:jc w:val="left"/>
        <w:rPr>
          <w:sz w:val="38"/>
        </w:rPr>
      </w:pPr>
      <w:r>
        <w:rPr>
          <w:sz w:val="38"/>
        </w:rPr>
        <w:t>cardioprotective effect (general protective effect of the cardiovascular</w:t>
      </w:r>
      <w:r>
        <w:rPr>
          <w:spacing w:val="-46"/>
          <w:sz w:val="38"/>
        </w:rPr>
        <w:t> </w:t>
      </w:r>
      <w:r>
        <w:rPr>
          <w:sz w:val="38"/>
        </w:rPr>
        <w:t>sys- tem)</w:t>
      </w:r>
    </w:p>
    <w:p>
      <w:pPr>
        <w:pStyle w:val="ListParagraph"/>
        <w:numPr>
          <w:ilvl w:val="0"/>
          <w:numId w:val="18"/>
        </w:numPr>
        <w:tabs>
          <w:tab w:pos="1189" w:val="left" w:leader="none"/>
          <w:tab w:pos="1191" w:val="left" w:leader="none"/>
        </w:tabs>
        <w:spacing w:line="240" w:lineRule="auto" w:before="8" w:after="0"/>
        <w:ind w:left="1190" w:right="0" w:hanging="356"/>
        <w:jc w:val="left"/>
        <w:rPr>
          <w:sz w:val="38"/>
        </w:rPr>
      </w:pPr>
      <w:r>
        <w:rPr>
          <w:sz w:val="38"/>
        </w:rPr>
        <w:t>improvement of blood</w:t>
      </w:r>
      <w:r>
        <w:rPr>
          <w:spacing w:val="-2"/>
          <w:sz w:val="38"/>
        </w:rPr>
        <w:t> </w:t>
      </w:r>
      <w:r>
        <w:rPr>
          <w:sz w:val="38"/>
        </w:rPr>
        <w:t>fluidity</w:t>
      </w:r>
    </w:p>
    <w:p>
      <w:pPr>
        <w:pStyle w:val="ListParagraph"/>
        <w:numPr>
          <w:ilvl w:val="0"/>
          <w:numId w:val="18"/>
        </w:numPr>
        <w:tabs>
          <w:tab w:pos="1189" w:val="left" w:leader="none"/>
          <w:tab w:pos="1191" w:val="left" w:leader="none"/>
        </w:tabs>
        <w:spacing w:line="240" w:lineRule="auto" w:before="64" w:after="0"/>
        <w:ind w:left="1190" w:right="0" w:hanging="356"/>
        <w:jc w:val="left"/>
        <w:rPr>
          <w:sz w:val="38"/>
        </w:rPr>
      </w:pPr>
      <w:r>
        <w:rPr>
          <w:sz w:val="38"/>
        </w:rPr>
        <w:t>anti-inflammatory effect</w:t>
      </w:r>
    </w:p>
    <w:p>
      <w:pPr>
        <w:pStyle w:val="ListParagraph"/>
        <w:numPr>
          <w:ilvl w:val="0"/>
          <w:numId w:val="18"/>
        </w:numPr>
        <w:tabs>
          <w:tab w:pos="1189" w:val="left" w:leader="none"/>
          <w:tab w:pos="1191" w:val="left" w:leader="none"/>
        </w:tabs>
        <w:spacing w:line="240" w:lineRule="auto" w:before="63" w:after="0"/>
        <w:ind w:left="1190" w:right="0" w:hanging="356"/>
        <w:jc w:val="left"/>
        <w:rPr>
          <w:sz w:val="38"/>
        </w:rPr>
      </w:pPr>
      <w:r>
        <w:rPr>
          <w:sz w:val="38"/>
        </w:rPr>
        <w:t>blood pressure-regulatory effect</w:t>
      </w:r>
    </w:p>
    <w:p>
      <w:pPr>
        <w:spacing w:after="0" w:line="240" w:lineRule="auto"/>
        <w:jc w:val="left"/>
        <w:rPr>
          <w:sz w:val="38"/>
        </w:rPr>
        <w:sectPr>
          <w:pgSz w:w="14270" w:h="16850"/>
          <w:pgMar w:header="0" w:footer="1891" w:top="1600" w:bottom="2080" w:left="800" w:right="1280"/>
        </w:sectPr>
      </w:pPr>
    </w:p>
    <w:p>
      <w:pPr>
        <w:pStyle w:val="BodyText"/>
        <w:spacing w:before="10"/>
        <w:rPr>
          <w:sz w:val="8"/>
        </w:rPr>
      </w:pPr>
    </w:p>
    <w:p>
      <w:pPr>
        <w:pStyle w:val="ListParagraph"/>
        <w:numPr>
          <w:ilvl w:val="0"/>
          <w:numId w:val="18"/>
        </w:numPr>
        <w:tabs>
          <w:tab w:pos="1189" w:val="left" w:leader="none"/>
          <w:tab w:pos="1191" w:val="left" w:leader="none"/>
        </w:tabs>
        <w:spacing w:line="240" w:lineRule="auto" w:before="83" w:after="0"/>
        <w:ind w:left="1190" w:right="0" w:hanging="356"/>
        <w:jc w:val="left"/>
        <w:rPr>
          <w:sz w:val="38"/>
        </w:rPr>
      </w:pPr>
      <w:r>
        <w:rPr>
          <w:sz w:val="38"/>
        </w:rPr>
        <w:t>relaxes coronary</w:t>
      </w:r>
      <w:r>
        <w:rPr>
          <w:spacing w:val="-1"/>
          <w:sz w:val="38"/>
        </w:rPr>
        <w:t> </w:t>
      </w:r>
      <w:r>
        <w:rPr>
          <w:sz w:val="38"/>
        </w:rPr>
        <w:t>arteries</w:t>
      </w:r>
    </w:p>
    <w:p>
      <w:pPr>
        <w:pStyle w:val="Heading1"/>
        <w:spacing w:before="285"/>
      </w:pPr>
      <w:r>
        <w:rPr/>
        <w:t>Effect of aronia berries on</w:t>
      </w:r>
      <w:r>
        <w:rPr>
          <w:spacing w:val="-56"/>
        </w:rPr>
        <w:t> </w:t>
      </w:r>
      <w:r>
        <w:rPr/>
        <w:t>atherosclerosis</w:t>
      </w:r>
    </w:p>
    <w:p>
      <w:pPr>
        <w:pStyle w:val="BodyText"/>
        <w:spacing w:line="276" w:lineRule="auto" w:before="179"/>
        <w:ind w:left="477" w:right="133"/>
        <w:jc w:val="both"/>
      </w:pPr>
      <w:r>
        <w:rPr/>
        <w:t>According to conventional medicine, atherosclerosis is the precursor to a heart attack or stroke. The strong antioxidant activity of aronia berries prevents the oxidation of LDL cholesterol and improves the ratio of HDL to LDL choles- terol. Both of these factors provide reliable protection against plaque deposits in the blood vessels, known as atherosclerosis.</w:t>
      </w:r>
    </w:p>
    <w:p>
      <w:pPr>
        <w:pStyle w:val="Heading1"/>
        <w:spacing w:before="223"/>
      </w:pPr>
      <w:r>
        <w:rPr/>
        <w:t>Effect</w:t>
      </w:r>
      <w:r>
        <w:rPr>
          <w:spacing w:val="-76"/>
        </w:rPr>
        <w:t> </w:t>
      </w:r>
      <w:r>
        <w:rPr/>
        <w:t>of</w:t>
      </w:r>
      <w:r>
        <w:rPr>
          <w:spacing w:val="-74"/>
        </w:rPr>
        <w:t> </w:t>
      </w:r>
      <w:r>
        <w:rPr/>
        <w:t>aronia</w:t>
      </w:r>
      <w:r>
        <w:rPr>
          <w:spacing w:val="-74"/>
        </w:rPr>
        <w:t> </w:t>
      </w:r>
      <w:r>
        <w:rPr/>
        <w:t>berries</w:t>
      </w:r>
      <w:r>
        <w:rPr>
          <w:spacing w:val="-74"/>
        </w:rPr>
        <w:t> </w:t>
      </w:r>
      <w:r>
        <w:rPr/>
        <w:t>against</w:t>
      </w:r>
      <w:r>
        <w:rPr>
          <w:spacing w:val="-74"/>
        </w:rPr>
        <w:t> </w:t>
      </w:r>
      <w:r>
        <w:rPr/>
        <w:t>high</w:t>
      </w:r>
      <w:r>
        <w:rPr>
          <w:spacing w:val="-74"/>
        </w:rPr>
        <w:t> </w:t>
      </w:r>
      <w:r>
        <w:rPr/>
        <w:t>blood</w:t>
      </w:r>
      <w:r>
        <w:rPr>
          <w:spacing w:val="-73"/>
        </w:rPr>
        <w:t> </w:t>
      </w:r>
      <w:r>
        <w:rPr/>
        <w:t>pressure</w:t>
      </w:r>
      <w:r>
        <w:rPr>
          <w:spacing w:val="-74"/>
        </w:rPr>
        <w:t> </w:t>
      </w:r>
      <w:r>
        <w:rPr/>
        <w:t>(high</w:t>
      </w:r>
      <w:r>
        <w:rPr>
          <w:spacing w:val="-73"/>
        </w:rPr>
        <w:t> </w:t>
      </w:r>
      <w:r>
        <w:rPr/>
        <w:t>blood</w:t>
      </w:r>
      <w:r>
        <w:rPr>
          <w:spacing w:val="-75"/>
        </w:rPr>
        <w:t> </w:t>
      </w:r>
      <w:r>
        <w:rPr/>
        <w:t>pressure)</w:t>
      </w:r>
    </w:p>
    <w:p>
      <w:pPr>
        <w:pStyle w:val="BodyText"/>
        <w:spacing w:line="276" w:lineRule="auto" w:before="299"/>
        <w:ind w:left="477" w:right="132"/>
        <w:jc w:val="both"/>
      </w:pPr>
      <w:r>
        <w:rPr/>
        <w:t>The bioflavonoids contained in aronia berries, with their vitamin P activity, in combination</w:t>
      </w:r>
      <w:r>
        <w:rPr>
          <w:spacing w:val="-10"/>
        </w:rPr>
        <w:t> </w:t>
      </w:r>
      <w:r>
        <w:rPr/>
        <w:t>with</w:t>
      </w:r>
      <w:r>
        <w:rPr>
          <w:spacing w:val="-10"/>
        </w:rPr>
        <w:t> </w:t>
      </w:r>
      <w:r>
        <w:rPr/>
        <w:t>other</w:t>
      </w:r>
      <w:r>
        <w:rPr>
          <w:spacing w:val="-11"/>
        </w:rPr>
        <w:t> </w:t>
      </w:r>
      <w:r>
        <w:rPr/>
        <w:t>minerals</w:t>
      </w:r>
      <w:r>
        <w:rPr>
          <w:spacing w:val="-12"/>
        </w:rPr>
        <w:t> </w:t>
      </w:r>
      <w:r>
        <w:rPr/>
        <w:t>and</w:t>
      </w:r>
      <w:r>
        <w:rPr>
          <w:spacing w:val="-9"/>
        </w:rPr>
        <w:t> </w:t>
      </w:r>
      <w:r>
        <w:rPr/>
        <w:t>vitamins</w:t>
      </w:r>
      <w:r>
        <w:rPr>
          <w:spacing w:val="-9"/>
        </w:rPr>
        <w:t> </w:t>
      </w:r>
      <w:r>
        <w:rPr/>
        <w:t>contained</w:t>
      </w:r>
      <w:r>
        <w:rPr>
          <w:spacing w:val="-11"/>
        </w:rPr>
        <w:t> </w:t>
      </w:r>
      <w:r>
        <w:rPr/>
        <w:t>in</w:t>
      </w:r>
      <w:r>
        <w:rPr>
          <w:spacing w:val="-9"/>
        </w:rPr>
        <w:t> </w:t>
      </w:r>
      <w:r>
        <w:rPr/>
        <w:t>aronia</w:t>
      </w:r>
      <w:r>
        <w:rPr>
          <w:spacing w:val="-14"/>
        </w:rPr>
        <w:t> </w:t>
      </w:r>
      <w:r>
        <w:rPr/>
        <w:t>berries,</w:t>
      </w:r>
      <w:r>
        <w:rPr>
          <w:spacing w:val="-11"/>
        </w:rPr>
        <w:t> </w:t>
      </w:r>
      <w:r>
        <w:rPr/>
        <w:t>have a positive effect on the elasticity and permeability of the blood vessels. The nervous</w:t>
      </w:r>
      <w:r>
        <w:rPr>
          <w:spacing w:val="-14"/>
        </w:rPr>
        <w:t> </w:t>
      </w:r>
      <w:r>
        <w:rPr/>
        <w:t>system</w:t>
      </w:r>
      <w:r>
        <w:rPr>
          <w:spacing w:val="-14"/>
        </w:rPr>
        <w:t> </w:t>
      </w:r>
      <w:r>
        <w:rPr/>
        <w:t>is</w:t>
      </w:r>
      <w:r>
        <w:rPr>
          <w:spacing w:val="-14"/>
        </w:rPr>
        <w:t> </w:t>
      </w:r>
      <w:r>
        <w:rPr/>
        <w:t>calmed</w:t>
      </w:r>
      <w:r>
        <w:rPr>
          <w:spacing w:val="-14"/>
        </w:rPr>
        <w:t> </w:t>
      </w:r>
      <w:r>
        <w:rPr/>
        <w:t>and</w:t>
      </w:r>
      <w:r>
        <w:rPr>
          <w:spacing w:val="-14"/>
        </w:rPr>
        <w:t> </w:t>
      </w:r>
      <w:r>
        <w:rPr/>
        <w:t>cholesterol</w:t>
      </w:r>
      <w:r>
        <w:rPr>
          <w:spacing w:val="-14"/>
        </w:rPr>
        <w:t> </w:t>
      </w:r>
      <w:r>
        <w:rPr/>
        <w:t>deposits,</w:t>
      </w:r>
      <w:r>
        <w:rPr>
          <w:spacing w:val="-14"/>
        </w:rPr>
        <w:t> </w:t>
      </w:r>
      <w:r>
        <w:rPr/>
        <w:t>which</w:t>
      </w:r>
      <w:r>
        <w:rPr>
          <w:spacing w:val="-13"/>
        </w:rPr>
        <w:t> </w:t>
      </w:r>
      <w:r>
        <w:rPr/>
        <w:t>cause</w:t>
      </w:r>
      <w:r>
        <w:rPr>
          <w:spacing w:val="-14"/>
        </w:rPr>
        <w:t> </w:t>
      </w:r>
      <w:r>
        <w:rPr/>
        <w:t>atherosclerosis, are prevented. All this makes aronia berries a potent cure for high blood pres- sure.</w:t>
      </w:r>
    </w:p>
    <w:p>
      <w:pPr>
        <w:pStyle w:val="BodyText"/>
        <w:spacing w:line="276" w:lineRule="auto" w:before="240"/>
        <w:ind w:left="477" w:right="137"/>
        <w:jc w:val="both"/>
      </w:pPr>
      <w:r>
        <w:rPr/>
        <w:t>The effectiveness of aronia berries in treating high blood pressure (high blood pressure) is demonstrated by the decision of the Ministry of Health of the for- mer USSR of 4 April 1959 to use aronia berries for testing in the treatment of high blood pressure and atherosclerosis.</w:t>
      </w:r>
      <w:r>
        <w:rPr>
          <w:position w:val="9"/>
          <w:sz w:val="25"/>
        </w:rPr>
        <w:t>70 </w:t>
      </w:r>
      <w:r>
        <w:rPr/>
        <w:t>Just taking 200 ml of fresh aronia</w:t>
      </w:r>
    </w:p>
    <w:p>
      <w:pPr>
        <w:pStyle w:val="BodyText"/>
        <w:spacing w:before="11"/>
        <w:rPr>
          <w:sz w:val="22"/>
        </w:rPr>
      </w:pPr>
      <w:r>
        <w:rPr/>
        <w:pict>
          <v:line style="position:absolute;mso-position-horizontal-relative:page;mso-position-vertical-relative:paragraph;z-index:176;mso-wrap-distance-left:0;mso-wrap-distance-right:0" from="63.863998pt,15.282495pt" to="207.883998pt,15.28249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70 </w:t>
      </w:r>
      <w:r>
        <w:rPr>
          <w:sz w:val="20"/>
        </w:rPr>
        <w:t>Albrecht 1993</w:t>
      </w:r>
    </w:p>
    <w:p>
      <w:pPr>
        <w:spacing w:after="0"/>
        <w:jc w:val="left"/>
        <w:rPr>
          <w:sz w:val="20"/>
        </w:rPr>
        <w:sectPr>
          <w:pgSz w:w="14270" w:h="16850"/>
          <w:pgMar w:header="0" w:footer="1891" w:top="1600" w:bottom="2080" w:left="800" w:right="1280"/>
        </w:sectPr>
      </w:pPr>
    </w:p>
    <w:p>
      <w:pPr>
        <w:pStyle w:val="BodyText"/>
        <w:spacing w:line="276" w:lineRule="auto" w:before="181"/>
        <w:ind w:left="477"/>
      </w:pPr>
      <w:r>
        <w:rPr/>
        <w:t>berry</w:t>
      </w:r>
      <w:r>
        <w:rPr>
          <w:spacing w:val="-10"/>
        </w:rPr>
        <w:t> </w:t>
      </w:r>
      <w:r>
        <w:rPr/>
        <w:t>juice</w:t>
      </w:r>
      <w:r>
        <w:rPr>
          <w:spacing w:val="-11"/>
        </w:rPr>
        <w:t> </w:t>
      </w:r>
      <w:r>
        <w:rPr/>
        <w:t>twice</w:t>
      </w:r>
      <w:r>
        <w:rPr>
          <w:spacing w:val="-9"/>
        </w:rPr>
        <w:t> </w:t>
      </w:r>
      <w:r>
        <w:rPr/>
        <w:t>a</w:t>
      </w:r>
      <w:r>
        <w:rPr>
          <w:spacing w:val="-12"/>
        </w:rPr>
        <w:t> </w:t>
      </w:r>
      <w:r>
        <w:rPr/>
        <w:t>day</w:t>
      </w:r>
      <w:r>
        <w:rPr>
          <w:spacing w:val="-10"/>
        </w:rPr>
        <w:t> </w:t>
      </w:r>
      <w:r>
        <w:rPr/>
        <w:t>for</w:t>
      </w:r>
      <w:r>
        <w:rPr>
          <w:spacing w:val="-9"/>
        </w:rPr>
        <w:t> </w:t>
      </w:r>
      <w:r>
        <w:rPr/>
        <w:t>a</w:t>
      </w:r>
      <w:r>
        <w:rPr>
          <w:spacing w:val="-12"/>
        </w:rPr>
        <w:t> </w:t>
      </w:r>
      <w:r>
        <w:rPr/>
        <w:t>few</w:t>
      </w:r>
      <w:r>
        <w:rPr>
          <w:spacing w:val="-9"/>
        </w:rPr>
        <w:t> </w:t>
      </w:r>
      <w:r>
        <w:rPr/>
        <w:t>weeks</w:t>
      </w:r>
      <w:r>
        <w:rPr>
          <w:spacing w:val="-11"/>
        </w:rPr>
        <w:t> </w:t>
      </w:r>
      <w:r>
        <w:rPr/>
        <w:t>can</w:t>
      </w:r>
      <w:r>
        <w:rPr>
          <w:spacing w:val="-9"/>
        </w:rPr>
        <w:t> </w:t>
      </w:r>
      <w:r>
        <w:rPr/>
        <w:t>significantly</w:t>
      </w:r>
      <w:r>
        <w:rPr>
          <w:spacing w:val="-10"/>
        </w:rPr>
        <w:t> </w:t>
      </w:r>
      <w:r>
        <w:rPr/>
        <w:t>reduce</w:t>
      </w:r>
      <w:r>
        <w:rPr>
          <w:spacing w:val="-11"/>
        </w:rPr>
        <w:t> </w:t>
      </w:r>
      <w:r>
        <w:rPr/>
        <w:t>high</w:t>
      </w:r>
      <w:r>
        <w:rPr>
          <w:spacing w:val="-10"/>
        </w:rPr>
        <w:t> </w:t>
      </w:r>
      <w:r>
        <w:rPr/>
        <w:t>blood</w:t>
      </w:r>
      <w:r>
        <w:rPr>
          <w:spacing w:val="-10"/>
        </w:rPr>
        <w:t> </w:t>
      </w:r>
      <w:r>
        <w:rPr/>
        <w:t>pres- sure, which also effectively reduces the risk of heart attack and</w:t>
      </w:r>
      <w:r>
        <w:rPr>
          <w:spacing w:val="-11"/>
        </w:rPr>
        <w:t> </w:t>
      </w:r>
      <w:r>
        <w:rPr/>
        <w:t>stroke.</w:t>
      </w:r>
    </w:p>
    <w:p>
      <w:pPr>
        <w:pStyle w:val="Heading1"/>
      </w:pPr>
      <w:r>
        <w:rPr/>
        <w:t>Relaxing effect of aronia berries on the coronary arteries</w:t>
      </w:r>
    </w:p>
    <w:p>
      <w:pPr>
        <w:pStyle w:val="BodyText"/>
        <w:spacing w:line="276" w:lineRule="auto" w:before="299"/>
        <w:ind w:left="477"/>
        <w:rPr>
          <w:sz w:val="25"/>
        </w:rPr>
      </w:pPr>
      <w:r>
        <w:rPr/>
        <w:t>David Bell and Kristin Gochenaur of Indiana University were able to demon- strate</w:t>
      </w:r>
      <w:r>
        <w:rPr>
          <w:spacing w:val="-22"/>
        </w:rPr>
        <w:t> </w:t>
      </w:r>
      <w:r>
        <w:rPr/>
        <w:t>the</w:t>
      </w:r>
      <w:r>
        <w:rPr>
          <w:spacing w:val="-20"/>
        </w:rPr>
        <w:t> </w:t>
      </w:r>
      <w:r>
        <w:rPr/>
        <w:t>relaxing</w:t>
      </w:r>
      <w:r>
        <w:rPr>
          <w:spacing w:val="-21"/>
        </w:rPr>
        <w:t> </w:t>
      </w:r>
      <w:r>
        <w:rPr/>
        <w:t>effect</w:t>
      </w:r>
      <w:r>
        <w:rPr>
          <w:spacing w:val="-21"/>
        </w:rPr>
        <w:t> </w:t>
      </w:r>
      <w:r>
        <w:rPr/>
        <w:t>on</w:t>
      </w:r>
      <w:r>
        <w:rPr>
          <w:spacing w:val="-20"/>
        </w:rPr>
        <w:t> </w:t>
      </w:r>
      <w:r>
        <w:rPr/>
        <w:t>the</w:t>
      </w:r>
      <w:r>
        <w:rPr>
          <w:spacing w:val="-20"/>
        </w:rPr>
        <w:t> </w:t>
      </w:r>
      <w:r>
        <w:rPr/>
        <w:t>coronary</w:t>
      </w:r>
      <w:r>
        <w:rPr>
          <w:spacing w:val="-21"/>
        </w:rPr>
        <w:t> </w:t>
      </w:r>
      <w:r>
        <w:rPr/>
        <w:t>vessels</w:t>
      </w:r>
      <w:r>
        <w:rPr>
          <w:spacing w:val="-20"/>
        </w:rPr>
        <w:t> </w:t>
      </w:r>
      <w:r>
        <w:rPr/>
        <w:t>in</w:t>
      </w:r>
      <w:r>
        <w:rPr>
          <w:spacing w:val="-21"/>
        </w:rPr>
        <w:t> </w:t>
      </w:r>
      <w:r>
        <w:rPr/>
        <w:t>animal</w:t>
      </w:r>
      <w:r>
        <w:rPr>
          <w:spacing w:val="-22"/>
        </w:rPr>
        <w:t> </w:t>
      </w:r>
      <w:r>
        <w:rPr/>
        <w:t>tests</w:t>
      </w:r>
      <w:r>
        <w:rPr>
          <w:spacing w:val="-21"/>
        </w:rPr>
        <w:t> </w:t>
      </w:r>
      <w:r>
        <w:rPr/>
        <w:t>on</w:t>
      </w:r>
      <w:r>
        <w:rPr>
          <w:spacing w:val="-20"/>
        </w:rPr>
        <w:t> </w:t>
      </w:r>
      <w:r>
        <w:rPr/>
        <w:t>pigs’</w:t>
      </w:r>
      <w:r>
        <w:rPr>
          <w:spacing w:val="-21"/>
        </w:rPr>
        <w:t> </w:t>
      </w:r>
      <w:r>
        <w:rPr/>
        <w:t>hearts.</w:t>
      </w:r>
      <w:r>
        <w:rPr>
          <w:position w:val="9"/>
          <w:sz w:val="25"/>
        </w:rPr>
        <w:t>71</w:t>
      </w:r>
    </w:p>
    <w:p>
      <w:pPr>
        <w:pStyle w:val="Heading1"/>
        <w:spacing w:before="222"/>
      </w:pPr>
      <w:r>
        <w:rPr/>
        <w:t>Effect of aronia berries on cancer/malignant tumours</w:t>
      </w:r>
    </w:p>
    <w:p>
      <w:pPr>
        <w:pStyle w:val="BodyText"/>
        <w:spacing w:line="276" w:lineRule="auto" w:before="299"/>
        <w:ind w:left="477"/>
      </w:pPr>
      <w:r>
        <w:rPr/>
        <w:t>The flavonoids contained in aronia berries have been proven to provide pro- tection against tumours in:</w:t>
      </w:r>
    </w:p>
    <w:p>
      <w:pPr>
        <w:pStyle w:val="ListParagraph"/>
        <w:numPr>
          <w:ilvl w:val="0"/>
          <w:numId w:val="17"/>
        </w:numPr>
        <w:tabs>
          <w:tab w:pos="893" w:val="left" w:leader="none"/>
        </w:tabs>
        <w:spacing w:line="240" w:lineRule="auto" w:before="242" w:after="0"/>
        <w:ind w:left="892" w:right="0" w:hanging="415"/>
        <w:jc w:val="both"/>
        <w:rPr>
          <w:sz w:val="38"/>
        </w:rPr>
      </w:pPr>
      <w:r>
        <w:rPr>
          <w:sz w:val="38"/>
        </w:rPr>
        <w:t>breast</w:t>
      </w:r>
      <w:r>
        <w:rPr>
          <w:spacing w:val="-1"/>
          <w:sz w:val="38"/>
        </w:rPr>
        <w:t> </w:t>
      </w:r>
      <w:r>
        <w:rPr>
          <w:sz w:val="38"/>
        </w:rPr>
        <w:t>cancer</w:t>
      </w:r>
    </w:p>
    <w:p>
      <w:pPr>
        <w:pStyle w:val="ListParagraph"/>
        <w:numPr>
          <w:ilvl w:val="0"/>
          <w:numId w:val="17"/>
        </w:numPr>
        <w:tabs>
          <w:tab w:pos="893" w:val="left" w:leader="none"/>
        </w:tabs>
        <w:spacing w:line="240" w:lineRule="auto" w:before="64" w:after="0"/>
        <w:ind w:left="892" w:right="0" w:hanging="415"/>
        <w:jc w:val="both"/>
        <w:rPr>
          <w:sz w:val="38"/>
        </w:rPr>
      </w:pPr>
      <w:r>
        <w:rPr>
          <w:sz w:val="38"/>
        </w:rPr>
        <w:t>skin</w:t>
      </w:r>
      <w:r>
        <w:rPr>
          <w:spacing w:val="-3"/>
          <w:sz w:val="38"/>
        </w:rPr>
        <w:t> </w:t>
      </w:r>
      <w:r>
        <w:rPr>
          <w:sz w:val="38"/>
        </w:rPr>
        <w:t>cancer</w:t>
      </w:r>
    </w:p>
    <w:p>
      <w:pPr>
        <w:pStyle w:val="ListParagraph"/>
        <w:numPr>
          <w:ilvl w:val="0"/>
          <w:numId w:val="17"/>
        </w:numPr>
        <w:tabs>
          <w:tab w:pos="893" w:val="left" w:leader="none"/>
        </w:tabs>
        <w:spacing w:line="240" w:lineRule="auto" w:before="64" w:after="0"/>
        <w:ind w:left="892" w:right="0" w:hanging="415"/>
        <w:jc w:val="both"/>
        <w:rPr>
          <w:sz w:val="38"/>
        </w:rPr>
      </w:pPr>
      <w:r>
        <w:rPr>
          <w:sz w:val="38"/>
        </w:rPr>
        <w:t>oesophageal</w:t>
      </w:r>
      <w:r>
        <w:rPr>
          <w:spacing w:val="-2"/>
          <w:sz w:val="38"/>
        </w:rPr>
        <w:t> </w:t>
      </w:r>
      <w:r>
        <w:rPr>
          <w:sz w:val="38"/>
        </w:rPr>
        <w:t>cancer</w:t>
      </w:r>
    </w:p>
    <w:p>
      <w:pPr>
        <w:pStyle w:val="ListParagraph"/>
        <w:numPr>
          <w:ilvl w:val="0"/>
          <w:numId w:val="17"/>
        </w:numPr>
        <w:tabs>
          <w:tab w:pos="893" w:val="left" w:leader="none"/>
        </w:tabs>
        <w:spacing w:line="240" w:lineRule="auto" w:before="66" w:after="0"/>
        <w:ind w:left="892" w:right="0" w:hanging="415"/>
        <w:jc w:val="both"/>
        <w:rPr>
          <w:sz w:val="38"/>
        </w:rPr>
      </w:pPr>
      <w:r>
        <w:rPr>
          <w:sz w:val="38"/>
        </w:rPr>
        <w:t>colon</w:t>
      </w:r>
      <w:r>
        <w:rPr>
          <w:spacing w:val="-1"/>
          <w:sz w:val="38"/>
        </w:rPr>
        <w:t> </w:t>
      </w:r>
      <w:r>
        <w:rPr>
          <w:sz w:val="38"/>
        </w:rPr>
        <w:t>cancer</w:t>
      </w:r>
    </w:p>
    <w:p>
      <w:pPr>
        <w:pStyle w:val="ListParagraph"/>
        <w:numPr>
          <w:ilvl w:val="0"/>
          <w:numId w:val="17"/>
        </w:numPr>
        <w:tabs>
          <w:tab w:pos="893" w:val="left" w:leader="none"/>
        </w:tabs>
        <w:spacing w:line="240" w:lineRule="auto" w:before="64" w:after="0"/>
        <w:ind w:left="892" w:right="0" w:hanging="415"/>
        <w:jc w:val="both"/>
        <w:rPr>
          <w:sz w:val="38"/>
        </w:rPr>
      </w:pPr>
      <w:r>
        <w:rPr>
          <w:sz w:val="38"/>
        </w:rPr>
        <w:t>lung cancer</w:t>
      </w:r>
    </w:p>
    <w:p>
      <w:pPr>
        <w:pStyle w:val="BodyText"/>
        <w:spacing w:line="276" w:lineRule="auto" w:before="302"/>
        <w:ind w:left="477" w:right="133"/>
        <w:jc w:val="both"/>
      </w:pPr>
      <w:r>
        <w:rPr/>
        <w:t>This</w:t>
      </w:r>
      <w:r>
        <w:rPr>
          <w:spacing w:val="-11"/>
        </w:rPr>
        <w:t> </w:t>
      </w:r>
      <w:r>
        <w:rPr/>
        <w:t>is</w:t>
      </w:r>
      <w:r>
        <w:rPr>
          <w:spacing w:val="-12"/>
        </w:rPr>
        <w:t> </w:t>
      </w:r>
      <w:r>
        <w:rPr/>
        <w:t>also</w:t>
      </w:r>
      <w:r>
        <w:rPr>
          <w:spacing w:val="-11"/>
        </w:rPr>
        <w:t> </w:t>
      </w:r>
      <w:r>
        <w:rPr/>
        <w:t>due</w:t>
      </w:r>
      <w:r>
        <w:rPr>
          <w:spacing w:val="-13"/>
        </w:rPr>
        <w:t> </w:t>
      </w:r>
      <w:r>
        <w:rPr/>
        <w:t>to</w:t>
      </w:r>
      <w:r>
        <w:rPr>
          <w:spacing w:val="-11"/>
        </w:rPr>
        <w:t> </w:t>
      </w:r>
      <w:r>
        <w:rPr/>
        <w:t>the</w:t>
      </w:r>
      <w:r>
        <w:rPr>
          <w:spacing w:val="-11"/>
        </w:rPr>
        <w:t> </w:t>
      </w:r>
      <w:r>
        <w:rPr/>
        <w:t>chemopreventive</w:t>
      </w:r>
      <w:r>
        <w:rPr>
          <w:spacing w:val="-11"/>
        </w:rPr>
        <w:t> </w:t>
      </w:r>
      <w:r>
        <w:rPr/>
        <w:t>and</w:t>
      </w:r>
      <w:r>
        <w:rPr>
          <w:spacing w:val="-11"/>
        </w:rPr>
        <w:t> </w:t>
      </w:r>
      <w:r>
        <w:rPr/>
        <w:t>antiproliferative</w:t>
      </w:r>
      <w:r>
        <w:rPr>
          <w:spacing w:val="-11"/>
        </w:rPr>
        <w:t> </w:t>
      </w:r>
      <w:r>
        <w:rPr/>
        <w:t>properties,</w:t>
      </w:r>
      <w:r>
        <w:rPr>
          <w:spacing w:val="-10"/>
        </w:rPr>
        <w:t> </w:t>
      </w:r>
      <w:r>
        <w:rPr/>
        <w:t>as</w:t>
      </w:r>
      <w:r>
        <w:rPr>
          <w:spacing w:val="-12"/>
        </w:rPr>
        <w:t> </w:t>
      </w:r>
      <w:r>
        <w:rPr/>
        <w:t>well as the detoxification mechanisms of the flavonoids, which positively influence the apoptosis mechanisms as well as the immunomodulating</w:t>
      </w:r>
      <w:r>
        <w:rPr>
          <w:spacing w:val="-10"/>
        </w:rPr>
        <w:t> </w:t>
      </w:r>
      <w:r>
        <w:rPr/>
        <w:t>properties.</w:t>
      </w:r>
    </w:p>
    <w:p>
      <w:pPr>
        <w:pStyle w:val="BodyText"/>
        <w:spacing w:line="276" w:lineRule="auto" w:before="239"/>
        <w:ind w:left="477" w:right="125"/>
      </w:pPr>
      <w:r>
        <w:rPr/>
        <w:t>The phenol ‘gallogen’, ellagic acid, is one of the other highly bioactive sub- stances in aronia berries which has positive effects in cancer prevention as well</w:t>
      </w:r>
    </w:p>
    <w:p>
      <w:pPr>
        <w:pStyle w:val="BodyText"/>
        <w:rPr>
          <w:sz w:val="20"/>
        </w:rPr>
      </w:pPr>
    </w:p>
    <w:p>
      <w:pPr>
        <w:pStyle w:val="BodyText"/>
        <w:rPr>
          <w:sz w:val="20"/>
        </w:rPr>
      </w:pPr>
    </w:p>
    <w:p>
      <w:pPr>
        <w:pStyle w:val="BodyText"/>
        <w:spacing w:before="5"/>
        <w:rPr>
          <w:sz w:val="21"/>
        </w:rPr>
      </w:pPr>
      <w:r>
        <w:rPr/>
        <w:pict>
          <v:line style="position:absolute;mso-position-horizontal-relative:page;mso-position-vertical-relative:paragraph;z-index:200;mso-wrap-distance-left:0;mso-wrap-distance-right:0" from="63.863998pt,14.452388pt" to="207.883998pt,14.452388pt" stroked="true" strokeweight=".72003pt" strokecolor="#000000">
            <v:stroke dashstyle="solid"/>
            <w10:wrap type="topAndBottom"/>
          </v:line>
        </w:pict>
      </w:r>
    </w:p>
    <w:p>
      <w:pPr>
        <w:pStyle w:val="BodyText"/>
        <w:spacing w:before="7"/>
        <w:rPr>
          <w:sz w:val="18"/>
        </w:rPr>
      </w:pPr>
    </w:p>
    <w:p>
      <w:pPr>
        <w:spacing w:line="276" w:lineRule="auto" w:before="99"/>
        <w:ind w:left="477" w:right="0" w:firstLine="0"/>
        <w:jc w:val="left"/>
        <w:rPr>
          <w:sz w:val="20"/>
        </w:rPr>
      </w:pPr>
      <w:r>
        <w:rPr>
          <w:position w:val="5"/>
          <w:sz w:val="13"/>
        </w:rPr>
        <w:t>71 </w:t>
      </w:r>
      <w:r>
        <w:rPr>
          <w:sz w:val="20"/>
        </w:rPr>
        <w:t>Sigrid Grün and Jan Neidhardt: Aronia – Unentdeckte Heilpflanze (‘Aronia - Undiscovered Medicinal Plant’), edition buntehunde GdbR, Regens- burg, 2007, p. 28</w:t>
      </w:r>
    </w:p>
    <w:p>
      <w:pPr>
        <w:spacing w:after="0" w:line="276" w:lineRule="auto"/>
        <w:jc w:val="left"/>
        <w:rPr>
          <w:sz w:val="20"/>
        </w:rPr>
        <w:sectPr>
          <w:pgSz w:w="14270" w:h="16850"/>
          <w:pgMar w:header="0" w:footer="1891" w:top="1600" w:bottom="2080" w:left="800" w:right="1280"/>
        </w:sectPr>
      </w:pPr>
    </w:p>
    <w:p>
      <w:pPr>
        <w:pStyle w:val="BodyText"/>
        <w:spacing w:before="181"/>
        <w:ind w:left="477"/>
      </w:pPr>
      <w:r>
        <w:rPr/>
        <w:t>as in cancer therapy.</w:t>
      </w:r>
    </w:p>
    <w:p>
      <w:pPr>
        <w:pStyle w:val="BodyText"/>
        <w:spacing w:line="276" w:lineRule="auto" w:before="305"/>
        <w:ind w:left="477" w:right="137"/>
        <w:jc w:val="both"/>
      </w:pPr>
      <w:r>
        <w:rPr/>
        <w:t>Furthermore,</w:t>
      </w:r>
      <w:r>
        <w:rPr>
          <w:spacing w:val="-21"/>
        </w:rPr>
        <w:t> </w:t>
      </w:r>
      <w:r>
        <w:rPr/>
        <w:t>the</w:t>
      </w:r>
      <w:r>
        <w:rPr>
          <w:spacing w:val="-21"/>
        </w:rPr>
        <w:t> </w:t>
      </w:r>
      <w:r>
        <w:rPr/>
        <w:t>powerful</w:t>
      </w:r>
      <w:r>
        <w:rPr>
          <w:spacing w:val="-23"/>
        </w:rPr>
        <w:t> </w:t>
      </w:r>
      <w:r>
        <w:rPr/>
        <w:t>antioxidant,</w:t>
      </w:r>
      <w:r>
        <w:rPr>
          <w:spacing w:val="-22"/>
        </w:rPr>
        <w:t> </w:t>
      </w:r>
      <w:r>
        <w:rPr/>
        <w:t>detoxifying</w:t>
      </w:r>
      <w:r>
        <w:rPr>
          <w:spacing w:val="-21"/>
        </w:rPr>
        <w:t> </w:t>
      </w:r>
      <w:r>
        <w:rPr/>
        <w:t>and</w:t>
      </w:r>
      <w:r>
        <w:rPr>
          <w:spacing w:val="-22"/>
        </w:rPr>
        <w:t> </w:t>
      </w:r>
      <w:r>
        <w:rPr/>
        <w:t>antimutagenic</w:t>
      </w:r>
      <w:r>
        <w:rPr>
          <w:spacing w:val="-22"/>
        </w:rPr>
        <w:t> </w:t>
      </w:r>
      <w:r>
        <w:rPr/>
        <w:t>potential of the aronia berry has a preventive effect on the development of tumours and is also therapeutically beneficial:</w:t>
      </w:r>
    </w:p>
    <w:p>
      <w:pPr>
        <w:spacing w:line="276" w:lineRule="auto" w:before="241"/>
        <w:ind w:left="477" w:right="132" w:firstLine="0"/>
        <w:jc w:val="both"/>
        <w:rPr>
          <w:sz w:val="38"/>
        </w:rPr>
      </w:pPr>
      <w:r>
        <w:rPr>
          <w:sz w:val="38"/>
        </w:rPr>
        <w:t>‘</w:t>
      </w:r>
      <w:r>
        <w:rPr>
          <w:i/>
          <w:sz w:val="38"/>
        </w:rPr>
        <w:t>Aronia</w:t>
      </w:r>
      <w:r>
        <w:rPr>
          <w:i/>
          <w:spacing w:val="-15"/>
          <w:sz w:val="38"/>
        </w:rPr>
        <w:t> </w:t>
      </w:r>
      <w:r>
        <w:rPr>
          <w:i/>
          <w:sz w:val="38"/>
        </w:rPr>
        <w:t>berry</w:t>
      </w:r>
      <w:r>
        <w:rPr>
          <w:i/>
          <w:spacing w:val="-13"/>
          <w:sz w:val="38"/>
        </w:rPr>
        <w:t> </w:t>
      </w:r>
      <w:r>
        <w:rPr>
          <w:i/>
          <w:sz w:val="38"/>
        </w:rPr>
        <w:t>polyphenols</w:t>
      </w:r>
      <w:r>
        <w:rPr>
          <w:i/>
          <w:spacing w:val="-13"/>
          <w:sz w:val="38"/>
        </w:rPr>
        <w:t> </w:t>
      </w:r>
      <w:r>
        <w:rPr>
          <w:i/>
          <w:sz w:val="38"/>
        </w:rPr>
        <w:t>can</w:t>
      </w:r>
      <w:r>
        <w:rPr>
          <w:i/>
          <w:spacing w:val="-13"/>
          <w:sz w:val="38"/>
        </w:rPr>
        <w:t> </w:t>
      </w:r>
      <w:r>
        <w:rPr>
          <w:i/>
          <w:sz w:val="38"/>
        </w:rPr>
        <w:t>play</w:t>
      </w:r>
      <w:r>
        <w:rPr>
          <w:i/>
          <w:spacing w:val="-15"/>
          <w:sz w:val="38"/>
        </w:rPr>
        <w:t> </w:t>
      </w:r>
      <w:r>
        <w:rPr>
          <w:i/>
          <w:sz w:val="38"/>
        </w:rPr>
        <w:t>an</w:t>
      </w:r>
      <w:r>
        <w:rPr>
          <w:i/>
          <w:spacing w:val="-15"/>
          <w:sz w:val="38"/>
        </w:rPr>
        <w:t> </w:t>
      </w:r>
      <w:r>
        <w:rPr>
          <w:i/>
          <w:sz w:val="38"/>
        </w:rPr>
        <w:t>important</w:t>
      </w:r>
      <w:r>
        <w:rPr>
          <w:i/>
          <w:spacing w:val="-12"/>
          <w:sz w:val="38"/>
        </w:rPr>
        <w:t> </w:t>
      </w:r>
      <w:r>
        <w:rPr>
          <w:i/>
          <w:sz w:val="38"/>
        </w:rPr>
        <w:t>role</w:t>
      </w:r>
      <w:r>
        <w:rPr>
          <w:i/>
          <w:spacing w:val="-13"/>
          <w:sz w:val="38"/>
        </w:rPr>
        <w:t> </w:t>
      </w:r>
      <w:r>
        <w:rPr>
          <w:i/>
          <w:sz w:val="38"/>
        </w:rPr>
        <w:t>in</w:t>
      </w:r>
      <w:r>
        <w:rPr>
          <w:i/>
          <w:spacing w:val="-15"/>
          <w:sz w:val="38"/>
        </w:rPr>
        <w:t> </w:t>
      </w:r>
      <w:r>
        <w:rPr>
          <w:i/>
          <w:sz w:val="38"/>
        </w:rPr>
        <w:t>cancer</w:t>
      </w:r>
      <w:r>
        <w:rPr>
          <w:i/>
          <w:spacing w:val="-13"/>
          <w:sz w:val="38"/>
        </w:rPr>
        <w:t> </w:t>
      </w:r>
      <w:r>
        <w:rPr>
          <w:i/>
          <w:sz w:val="38"/>
        </w:rPr>
        <w:t>prevention</w:t>
      </w:r>
      <w:r>
        <w:rPr>
          <w:i/>
          <w:spacing w:val="-13"/>
          <w:sz w:val="38"/>
        </w:rPr>
        <w:t> </w:t>
      </w:r>
      <w:r>
        <w:rPr>
          <w:i/>
          <w:sz w:val="38"/>
        </w:rPr>
        <w:t>and</w:t>
      </w:r>
      <w:r>
        <w:rPr>
          <w:i/>
          <w:spacing w:val="-14"/>
          <w:sz w:val="38"/>
        </w:rPr>
        <w:t> </w:t>
      </w:r>
      <w:r>
        <w:rPr>
          <w:i/>
          <w:sz w:val="38"/>
        </w:rPr>
        <w:t>control</w:t>
      </w:r>
      <w:r>
        <w:rPr>
          <w:i/>
          <w:spacing w:val="-15"/>
          <w:sz w:val="38"/>
        </w:rPr>
        <w:t> </w:t>
      </w:r>
      <w:r>
        <w:rPr>
          <w:i/>
          <w:sz w:val="38"/>
        </w:rPr>
        <w:t>because </w:t>
      </w:r>
      <w:r>
        <w:rPr>
          <w:i/>
          <w:sz w:val="38"/>
        </w:rPr>
        <w:t>antioxidants work in all three phases: emergence, growth and progression of the carcinoma’. </w:t>
      </w:r>
      <w:r>
        <w:rPr>
          <w:sz w:val="38"/>
        </w:rPr>
        <w:t>(Prof. Dr. Iwona</w:t>
      </w:r>
      <w:r>
        <w:rPr>
          <w:spacing w:val="-1"/>
          <w:sz w:val="38"/>
        </w:rPr>
        <w:t> </w:t>
      </w:r>
      <w:r>
        <w:rPr>
          <w:sz w:val="38"/>
        </w:rPr>
        <w:t>Wawer)</w:t>
      </w:r>
    </w:p>
    <w:p>
      <w:pPr>
        <w:pStyle w:val="Heading1"/>
        <w:spacing w:before="222"/>
      </w:pPr>
      <w:r>
        <w:rPr/>
        <w:t>Positive effects of aronia during and after chemotherapy</w:t>
      </w:r>
    </w:p>
    <w:p>
      <w:pPr>
        <w:pStyle w:val="BodyText"/>
        <w:spacing w:line="276" w:lineRule="auto" w:before="299"/>
        <w:ind w:left="477"/>
        <w:rPr>
          <w:sz w:val="25"/>
        </w:rPr>
      </w:pPr>
      <w:r>
        <w:rPr/>
        <w:t>Studies</w:t>
      </w:r>
      <w:r>
        <w:rPr>
          <w:spacing w:val="-15"/>
        </w:rPr>
        <w:t> </w:t>
      </w:r>
      <w:r>
        <w:rPr/>
        <w:t>have</w:t>
      </w:r>
      <w:r>
        <w:rPr>
          <w:spacing w:val="-15"/>
        </w:rPr>
        <w:t> </w:t>
      </w:r>
      <w:r>
        <w:rPr/>
        <w:t>shown</w:t>
      </w:r>
      <w:r>
        <w:rPr>
          <w:spacing w:val="-15"/>
        </w:rPr>
        <w:t> </w:t>
      </w:r>
      <w:r>
        <w:rPr/>
        <w:t>that</w:t>
      </w:r>
      <w:r>
        <w:rPr>
          <w:spacing w:val="-15"/>
        </w:rPr>
        <w:t> </w:t>
      </w:r>
      <w:r>
        <w:rPr/>
        <w:t>aronia</w:t>
      </w:r>
      <w:r>
        <w:rPr>
          <w:spacing w:val="-15"/>
        </w:rPr>
        <w:t> </w:t>
      </w:r>
      <w:r>
        <w:rPr/>
        <w:t>berry</w:t>
      </w:r>
      <w:r>
        <w:rPr>
          <w:spacing w:val="-15"/>
        </w:rPr>
        <w:t> </w:t>
      </w:r>
      <w:r>
        <w:rPr/>
        <w:t>extract</w:t>
      </w:r>
      <w:r>
        <w:rPr>
          <w:spacing w:val="-16"/>
        </w:rPr>
        <w:t> </w:t>
      </w:r>
      <w:r>
        <w:rPr/>
        <w:t>can</w:t>
      </w:r>
      <w:r>
        <w:rPr>
          <w:spacing w:val="-19"/>
        </w:rPr>
        <w:t> </w:t>
      </w:r>
      <w:r>
        <w:rPr/>
        <w:t>protect</w:t>
      </w:r>
      <w:r>
        <w:rPr>
          <w:spacing w:val="-14"/>
        </w:rPr>
        <w:t> </w:t>
      </w:r>
      <w:r>
        <w:rPr/>
        <w:t>against</w:t>
      </w:r>
      <w:r>
        <w:rPr>
          <w:spacing w:val="-18"/>
        </w:rPr>
        <w:t> </w:t>
      </w:r>
      <w:r>
        <w:rPr/>
        <w:t>oxidative</w:t>
      </w:r>
      <w:r>
        <w:rPr>
          <w:spacing w:val="-16"/>
        </w:rPr>
        <w:t> </w:t>
      </w:r>
      <w:r>
        <w:rPr/>
        <w:t>stress in all phases of chemotherapy due to its antioxidant</w:t>
      </w:r>
      <w:r>
        <w:rPr>
          <w:spacing w:val="-6"/>
        </w:rPr>
        <w:t> </w:t>
      </w:r>
      <w:r>
        <w:rPr/>
        <w:t>activity.</w:t>
      </w:r>
      <w:r>
        <w:rPr>
          <w:position w:val="9"/>
          <w:sz w:val="25"/>
        </w:rPr>
        <w:t>72</w:t>
      </w:r>
    </w:p>
    <w:p>
      <w:pPr>
        <w:pStyle w:val="Heading1"/>
      </w:pPr>
      <w:r>
        <w:rPr/>
        <w:t>Positive effect in radiotherapy</w:t>
      </w:r>
    </w:p>
    <w:p>
      <w:pPr>
        <w:pStyle w:val="BodyText"/>
        <w:spacing w:line="276" w:lineRule="auto" w:before="297"/>
        <w:ind w:left="477"/>
        <w:rPr>
          <w:sz w:val="25"/>
        </w:rPr>
      </w:pPr>
      <w:r>
        <w:rPr/>
        <w:t>Cancer</w:t>
      </w:r>
      <w:r>
        <w:rPr>
          <w:spacing w:val="-18"/>
        </w:rPr>
        <w:t> </w:t>
      </w:r>
      <w:r>
        <w:rPr/>
        <w:t>patients</w:t>
      </w:r>
      <w:r>
        <w:rPr>
          <w:spacing w:val="-20"/>
        </w:rPr>
        <w:t> </w:t>
      </w:r>
      <w:r>
        <w:rPr/>
        <w:t>who</w:t>
      </w:r>
      <w:r>
        <w:rPr>
          <w:spacing w:val="-17"/>
        </w:rPr>
        <w:t> </w:t>
      </w:r>
      <w:r>
        <w:rPr/>
        <w:t>had</w:t>
      </w:r>
      <w:r>
        <w:rPr>
          <w:spacing w:val="-17"/>
        </w:rPr>
        <w:t> </w:t>
      </w:r>
      <w:r>
        <w:rPr/>
        <w:t>undergone</w:t>
      </w:r>
      <w:r>
        <w:rPr>
          <w:spacing w:val="-18"/>
        </w:rPr>
        <w:t> </w:t>
      </w:r>
      <w:r>
        <w:rPr/>
        <w:t>radiotherapy</w:t>
      </w:r>
      <w:r>
        <w:rPr>
          <w:spacing w:val="-18"/>
        </w:rPr>
        <w:t> </w:t>
      </w:r>
      <w:r>
        <w:rPr/>
        <w:t>were</w:t>
      </w:r>
      <w:r>
        <w:rPr>
          <w:spacing w:val="-20"/>
        </w:rPr>
        <w:t> </w:t>
      </w:r>
      <w:r>
        <w:rPr/>
        <w:t>successfully</w:t>
      </w:r>
      <w:r>
        <w:rPr>
          <w:spacing w:val="-17"/>
        </w:rPr>
        <w:t> </w:t>
      </w:r>
      <w:r>
        <w:rPr/>
        <w:t>treated</w:t>
      </w:r>
      <w:r>
        <w:rPr>
          <w:spacing w:val="-18"/>
        </w:rPr>
        <w:t> </w:t>
      </w:r>
      <w:r>
        <w:rPr/>
        <w:t>with aronia</w:t>
      </w:r>
      <w:r>
        <w:rPr>
          <w:spacing w:val="-1"/>
        </w:rPr>
        <w:t> </w:t>
      </w:r>
      <w:r>
        <w:rPr/>
        <w:t>berries.</w:t>
      </w:r>
      <w:r>
        <w:rPr>
          <w:position w:val="9"/>
          <w:sz w:val="25"/>
        </w:rPr>
        <w:t>73</w:t>
      </w:r>
    </w:p>
    <w:p>
      <w:pPr>
        <w:pStyle w:val="Heading1"/>
      </w:pPr>
      <w:r>
        <w:rPr/>
        <w:t>Effect of aronia/apple berry against</w:t>
      </w:r>
      <w:r>
        <w:rPr>
          <w:spacing w:val="-74"/>
        </w:rPr>
        <w:t> </w:t>
      </w:r>
      <w:r>
        <w:rPr/>
        <w:t>inflammation</w:t>
      </w:r>
    </w:p>
    <w:p>
      <w:pPr>
        <w:pStyle w:val="BodyText"/>
        <w:spacing w:line="276" w:lineRule="auto" w:before="299"/>
        <w:ind w:left="477"/>
      </w:pPr>
      <w:r>
        <w:rPr/>
        <w:t>The</w:t>
      </w:r>
      <w:r>
        <w:rPr>
          <w:spacing w:val="-23"/>
        </w:rPr>
        <w:t> </w:t>
      </w:r>
      <w:r>
        <w:rPr/>
        <w:t>flavonoids</w:t>
      </w:r>
      <w:r>
        <w:rPr>
          <w:spacing w:val="-23"/>
        </w:rPr>
        <w:t> </w:t>
      </w:r>
      <w:r>
        <w:rPr/>
        <w:t>contained</w:t>
      </w:r>
      <w:r>
        <w:rPr>
          <w:spacing w:val="-23"/>
        </w:rPr>
        <w:t> </w:t>
      </w:r>
      <w:r>
        <w:rPr/>
        <w:t>in</w:t>
      </w:r>
      <w:r>
        <w:rPr>
          <w:spacing w:val="-22"/>
        </w:rPr>
        <w:t> </w:t>
      </w:r>
      <w:r>
        <w:rPr/>
        <w:t>the</w:t>
      </w:r>
      <w:r>
        <w:rPr>
          <w:spacing w:val="-22"/>
        </w:rPr>
        <w:t> </w:t>
      </w:r>
      <w:r>
        <w:rPr/>
        <w:t>aronia</w:t>
      </w:r>
      <w:r>
        <w:rPr>
          <w:spacing w:val="-23"/>
        </w:rPr>
        <w:t> </w:t>
      </w:r>
      <w:r>
        <w:rPr/>
        <w:t>berry</w:t>
      </w:r>
      <w:r>
        <w:rPr>
          <w:spacing w:val="-22"/>
        </w:rPr>
        <w:t> </w:t>
      </w:r>
      <w:r>
        <w:rPr/>
        <w:t>have</w:t>
      </w:r>
      <w:r>
        <w:rPr>
          <w:spacing w:val="-25"/>
        </w:rPr>
        <w:t> </w:t>
      </w:r>
      <w:r>
        <w:rPr/>
        <w:t>anti-inflammatory</w:t>
      </w:r>
      <w:r>
        <w:rPr>
          <w:spacing w:val="-23"/>
        </w:rPr>
        <w:t> </w:t>
      </w:r>
      <w:r>
        <w:rPr/>
        <w:t>properties. The mechanisms behind this anti-inflammatory effect</w:t>
      </w:r>
      <w:r>
        <w:rPr>
          <w:spacing w:val="-1"/>
        </w:rPr>
        <w:t> </w:t>
      </w:r>
      <w:r>
        <w:rPr/>
        <w:t>involve</w:t>
      </w:r>
    </w:p>
    <w:p>
      <w:pPr>
        <w:pStyle w:val="ListParagraph"/>
        <w:numPr>
          <w:ilvl w:val="1"/>
          <w:numId w:val="17"/>
        </w:numPr>
        <w:tabs>
          <w:tab w:pos="1189" w:val="left" w:leader="none"/>
          <w:tab w:pos="1191" w:val="left" w:leader="none"/>
        </w:tabs>
        <w:spacing w:line="240" w:lineRule="auto" w:before="243" w:after="0"/>
        <w:ind w:left="1190" w:right="0" w:hanging="356"/>
        <w:jc w:val="left"/>
        <w:rPr>
          <w:sz w:val="38"/>
        </w:rPr>
      </w:pPr>
      <w:r>
        <w:rPr>
          <w:sz w:val="38"/>
        </w:rPr>
        <w:t>restricting cyclooxygenases,</w:t>
      </w:r>
    </w:p>
    <w:p>
      <w:pPr>
        <w:pStyle w:val="ListParagraph"/>
        <w:numPr>
          <w:ilvl w:val="1"/>
          <w:numId w:val="17"/>
        </w:numPr>
        <w:tabs>
          <w:tab w:pos="1189" w:val="left" w:leader="none"/>
          <w:tab w:pos="1191" w:val="left" w:leader="none"/>
        </w:tabs>
        <w:spacing w:line="240" w:lineRule="auto" w:before="63" w:after="0"/>
        <w:ind w:left="1190" w:right="0" w:hanging="356"/>
        <w:jc w:val="left"/>
        <w:rPr>
          <w:sz w:val="38"/>
        </w:rPr>
      </w:pPr>
      <w:r>
        <w:rPr>
          <w:sz w:val="38"/>
        </w:rPr>
        <w:t>inhibiting lipooxygenases</w:t>
      </w:r>
    </w:p>
    <w:p>
      <w:pPr>
        <w:pStyle w:val="BodyText"/>
        <w:spacing w:before="9"/>
        <w:rPr>
          <w:sz w:val="29"/>
        </w:rPr>
      </w:pPr>
      <w:r>
        <w:rPr/>
        <w:pict>
          <v:line style="position:absolute;mso-position-horizontal-relative:page;mso-position-vertical-relative:paragraph;z-index:224;mso-wrap-distance-left:0;mso-wrap-distance-right:0" from="63.863998pt,19.152475pt" to="207.883998pt,19.152475pt" stroked="true" strokeweight=".71997pt" strokecolor="#000000">
            <v:stroke dashstyle="solid"/>
            <w10:wrap type="topAndBottom"/>
          </v:line>
        </w:pict>
      </w:r>
    </w:p>
    <w:p>
      <w:pPr>
        <w:pStyle w:val="BodyText"/>
        <w:spacing w:before="7"/>
        <w:rPr>
          <w:sz w:val="18"/>
        </w:rPr>
      </w:pPr>
    </w:p>
    <w:p>
      <w:pPr>
        <w:spacing w:line="276" w:lineRule="auto" w:before="99"/>
        <w:ind w:left="477" w:right="0" w:firstLine="0"/>
        <w:jc w:val="left"/>
        <w:rPr>
          <w:sz w:val="20"/>
        </w:rPr>
      </w:pPr>
      <w:r>
        <w:rPr>
          <w:position w:val="5"/>
          <w:sz w:val="13"/>
        </w:rPr>
        <w:t>72 </w:t>
      </w:r>
      <w:r>
        <w:rPr>
          <w:sz w:val="20"/>
        </w:rPr>
        <w:t>Kedzierska M. et al.: Effects of the commercial extract of aronia on oxidative stress in blood platelets isolated from breast cancer patients after the surgery and various phases of the chemotherapy. Fitoterapia 2011 Nov 12. PMID: 22101070</w:t>
      </w:r>
    </w:p>
    <w:p>
      <w:pPr>
        <w:spacing w:line="276" w:lineRule="auto" w:before="61"/>
        <w:ind w:left="477" w:right="0" w:firstLine="0"/>
        <w:jc w:val="left"/>
        <w:rPr>
          <w:sz w:val="20"/>
        </w:rPr>
      </w:pPr>
      <w:r>
        <w:rPr/>
        <w:drawing>
          <wp:anchor distT="0" distB="0" distL="0" distR="0" allowOverlap="1" layoutInCell="1" locked="0" behindDoc="1" simplePos="0" relativeHeight="267168023">
            <wp:simplePos x="0" y="0"/>
            <wp:positionH relativeFrom="page">
              <wp:posOffset>896463</wp:posOffset>
            </wp:positionH>
            <wp:positionV relativeFrom="paragraph">
              <wp:posOffset>82907</wp:posOffset>
            </wp:positionV>
            <wp:extent cx="6379583" cy="902106"/>
            <wp:effectExtent l="0" t="0" r="0" b="0"/>
            <wp:wrapNone/>
            <wp:docPr id="43" name="image2.jpeg" descr=""/>
            <wp:cNvGraphicFramePr>
              <a:graphicFrameLocks noChangeAspect="1"/>
            </wp:cNvGraphicFramePr>
            <a:graphic>
              <a:graphicData uri="http://schemas.openxmlformats.org/drawingml/2006/picture">
                <pic:pic>
                  <pic:nvPicPr>
                    <pic:cNvPr id="44"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73 </w:t>
      </w:r>
      <w:r>
        <w:rPr>
          <w:sz w:val="20"/>
        </w:rPr>
        <w:t>Renate Petra Mehrwald: Aronia – Königin der Blaublüter, Buchverlag für die Frau (‘Aronia – Queen of the Blue Bloods’, Publishing House for Women), 3rd Edition, 2012, p. 28 f.</w:t>
      </w:r>
    </w:p>
    <w:p>
      <w:pPr>
        <w:spacing w:after="0" w:line="276" w:lineRule="auto"/>
        <w:jc w:val="left"/>
        <w:rPr>
          <w:sz w:val="20"/>
        </w:rPr>
        <w:sectPr>
          <w:footerReference w:type="default" r:id="rId39"/>
          <w:pgSz w:w="14270" w:h="16850"/>
          <w:pgMar w:footer="527" w:header="0" w:top="1600" w:bottom="720" w:left="800" w:right="1280"/>
        </w:sectPr>
      </w:pPr>
    </w:p>
    <w:p>
      <w:pPr>
        <w:pStyle w:val="BodyText"/>
        <w:spacing w:before="10"/>
        <w:rPr>
          <w:sz w:val="8"/>
        </w:rPr>
      </w:pPr>
    </w:p>
    <w:p>
      <w:pPr>
        <w:pStyle w:val="ListParagraph"/>
        <w:numPr>
          <w:ilvl w:val="1"/>
          <w:numId w:val="17"/>
        </w:numPr>
        <w:tabs>
          <w:tab w:pos="1191" w:val="left" w:leader="none"/>
        </w:tabs>
        <w:spacing w:line="273" w:lineRule="auto" w:before="83" w:after="0"/>
        <w:ind w:left="1190" w:right="136" w:hanging="356"/>
        <w:jc w:val="both"/>
        <w:rPr>
          <w:sz w:val="38"/>
        </w:rPr>
      </w:pPr>
      <w:r>
        <w:rPr>
          <w:sz w:val="38"/>
        </w:rPr>
        <w:t>and blocking the enzyme ‘phospholipase A2’, which suppresses arachi- donic acid, which in turn is the starting material for various inflammatory mediators.</w:t>
      </w:r>
    </w:p>
    <w:p>
      <w:pPr>
        <w:pStyle w:val="Heading1"/>
        <w:spacing w:before="353"/>
      </w:pPr>
      <w:r>
        <w:rPr/>
        <w:t>Effect of aronia berries on arthritis and activated arthrosis</w:t>
      </w:r>
    </w:p>
    <w:p>
      <w:pPr>
        <w:pStyle w:val="BodyText"/>
        <w:spacing w:line="276" w:lineRule="auto" w:before="299"/>
        <w:ind w:left="477" w:right="136"/>
        <w:jc w:val="both"/>
      </w:pPr>
      <w:r>
        <w:rPr/>
        <w:t>Again,</w:t>
      </w:r>
      <w:r>
        <w:rPr>
          <w:spacing w:val="-8"/>
        </w:rPr>
        <w:t> </w:t>
      </w:r>
      <w:r>
        <w:rPr/>
        <w:t>the</w:t>
      </w:r>
      <w:r>
        <w:rPr>
          <w:spacing w:val="-7"/>
        </w:rPr>
        <w:t> </w:t>
      </w:r>
      <w:r>
        <w:rPr/>
        <w:t>anti-inflammatory</w:t>
      </w:r>
      <w:r>
        <w:rPr>
          <w:spacing w:val="-9"/>
        </w:rPr>
        <w:t> </w:t>
      </w:r>
      <w:r>
        <w:rPr/>
        <w:t>mechanisms</w:t>
      </w:r>
      <w:r>
        <w:rPr>
          <w:spacing w:val="-7"/>
        </w:rPr>
        <w:t> </w:t>
      </w:r>
      <w:r>
        <w:rPr/>
        <w:t>mentioned,</w:t>
      </w:r>
      <w:r>
        <w:rPr>
          <w:spacing w:val="-10"/>
        </w:rPr>
        <w:t> </w:t>
      </w:r>
      <w:r>
        <w:rPr/>
        <w:t>such</w:t>
      </w:r>
      <w:r>
        <w:rPr>
          <w:spacing w:val="-8"/>
        </w:rPr>
        <w:t> </w:t>
      </w:r>
      <w:r>
        <w:rPr/>
        <w:t>as</w:t>
      </w:r>
      <w:r>
        <w:rPr>
          <w:spacing w:val="-10"/>
        </w:rPr>
        <w:t> </w:t>
      </w:r>
      <w:r>
        <w:rPr/>
        <w:t>the</w:t>
      </w:r>
      <w:r>
        <w:rPr>
          <w:spacing w:val="-8"/>
        </w:rPr>
        <w:t> </w:t>
      </w:r>
      <w:r>
        <w:rPr/>
        <w:t>restriction</w:t>
      </w:r>
      <w:r>
        <w:rPr>
          <w:spacing w:val="-9"/>
        </w:rPr>
        <w:t> </w:t>
      </w:r>
      <w:r>
        <w:rPr/>
        <w:t>of the cyclooxygenases, the inhibition of lipoxygenases and the blocking of the enzyme ‘phospholipase A2’ take hold, all of which prevent the inflammatory, joint-destroying process inside the joint and have a positive influence on dis- eases such as arthritis or activated</w:t>
      </w:r>
      <w:r>
        <w:rPr>
          <w:spacing w:val="5"/>
        </w:rPr>
        <w:t> </w:t>
      </w:r>
      <w:r>
        <w:rPr/>
        <w:t>arthrosis.</w:t>
      </w:r>
    </w:p>
    <w:p>
      <w:pPr>
        <w:pStyle w:val="Heading1"/>
        <w:spacing w:before="223"/>
      </w:pPr>
      <w:r>
        <w:rPr/>
        <w:t>Effect of aronia berries in diabetes</w:t>
      </w:r>
      <w:r>
        <w:rPr>
          <w:spacing w:val="-63"/>
        </w:rPr>
        <w:t> </w:t>
      </w:r>
      <w:r>
        <w:rPr/>
        <w:t>mellitus</w:t>
      </w:r>
    </w:p>
    <w:p>
      <w:pPr>
        <w:pStyle w:val="BodyText"/>
        <w:spacing w:line="276" w:lineRule="auto" w:before="299"/>
        <w:ind w:left="477" w:right="133"/>
        <w:jc w:val="both"/>
      </w:pPr>
      <w:r>
        <w:rPr/>
        <w:t>In a study by the Medical University of Plovdiv in Bulgaria, scientists were</w:t>
      </w:r>
      <w:r>
        <w:rPr>
          <w:spacing w:val="-50"/>
        </w:rPr>
        <w:t> </w:t>
      </w:r>
      <w:r>
        <w:rPr/>
        <w:t>able to prove that the juice from the aronia melanocarpa not only did not increase the</w:t>
      </w:r>
      <w:r>
        <w:rPr>
          <w:spacing w:val="-13"/>
        </w:rPr>
        <w:t> </w:t>
      </w:r>
      <w:r>
        <w:rPr/>
        <w:t>blood</w:t>
      </w:r>
      <w:r>
        <w:rPr>
          <w:spacing w:val="-15"/>
        </w:rPr>
        <w:t> </w:t>
      </w:r>
      <w:r>
        <w:rPr/>
        <w:t>sugar</w:t>
      </w:r>
      <w:r>
        <w:rPr>
          <w:spacing w:val="-13"/>
        </w:rPr>
        <w:t> </w:t>
      </w:r>
      <w:r>
        <w:rPr/>
        <w:t>level</w:t>
      </w:r>
      <w:r>
        <w:rPr>
          <w:spacing w:val="-13"/>
        </w:rPr>
        <w:t> </w:t>
      </w:r>
      <w:r>
        <w:rPr/>
        <w:t>in</w:t>
      </w:r>
      <w:r>
        <w:rPr>
          <w:spacing w:val="-15"/>
        </w:rPr>
        <w:t> </w:t>
      </w:r>
      <w:r>
        <w:rPr/>
        <w:t>Type</w:t>
      </w:r>
      <w:r>
        <w:rPr>
          <w:spacing w:val="-15"/>
        </w:rPr>
        <w:t> </w:t>
      </w:r>
      <w:r>
        <w:rPr/>
        <w:t>1</w:t>
      </w:r>
      <w:r>
        <w:rPr>
          <w:spacing w:val="-13"/>
        </w:rPr>
        <w:t> </w:t>
      </w:r>
      <w:r>
        <w:rPr/>
        <w:t>and</w:t>
      </w:r>
      <w:r>
        <w:rPr>
          <w:spacing w:val="-14"/>
        </w:rPr>
        <w:t> </w:t>
      </w:r>
      <w:r>
        <w:rPr/>
        <w:t>Type</w:t>
      </w:r>
      <w:r>
        <w:rPr>
          <w:spacing w:val="-12"/>
        </w:rPr>
        <w:t> </w:t>
      </w:r>
      <w:r>
        <w:rPr/>
        <w:t>2</w:t>
      </w:r>
      <w:r>
        <w:rPr>
          <w:spacing w:val="-16"/>
        </w:rPr>
        <w:t> </w:t>
      </w:r>
      <w:r>
        <w:rPr/>
        <w:t>diabetes</w:t>
      </w:r>
      <w:r>
        <w:rPr>
          <w:spacing w:val="-14"/>
        </w:rPr>
        <w:t> </w:t>
      </w:r>
      <w:r>
        <w:rPr/>
        <w:t>(the</w:t>
      </w:r>
      <w:r>
        <w:rPr>
          <w:spacing w:val="-15"/>
        </w:rPr>
        <w:t> </w:t>
      </w:r>
      <w:r>
        <w:rPr/>
        <w:t>sweetness</w:t>
      </w:r>
      <w:r>
        <w:rPr>
          <w:spacing w:val="-13"/>
        </w:rPr>
        <w:t> </w:t>
      </w:r>
      <w:r>
        <w:rPr/>
        <w:t>of</w:t>
      </w:r>
      <w:r>
        <w:rPr>
          <w:spacing w:val="-15"/>
        </w:rPr>
        <w:t> </w:t>
      </w:r>
      <w:r>
        <w:rPr/>
        <w:t>the</w:t>
      </w:r>
      <w:r>
        <w:rPr>
          <w:spacing w:val="-15"/>
        </w:rPr>
        <w:t> </w:t>
      </w:r>
      <w:r>
        <w:rPr/>
        <w:t>aronia berry is due to sorbitol, a replacement sugar suitable for diabetics!), but on the contrary, that 200 ml of aronia juice led to lower blood glucose levels than the initial values 60 minutes after</w:t>
      </w:r>
      <w:r>
        <w:rPr>
          <w:spacing w:val="2"/>
        </w:rPr>
        <w:t> </w:t>
      </w:r>
      <w:r>
        <w:rPr/>
        <w:t>ingestion!</w:t>
      </w:r>
    </w:p>
    <w:p>
      <w:pPr>
        <w:pStyle w:val="BodyText"/>
        <w:spacing w:line="276" w:lineRule="auto" w:before="240"/>
        <w:ind w:left="477" w:right="133"/>
        <w:jc w:val="both"/>
      </w:pPr>
      <w:r>
        <w:rPr/>
        <w:t>Specifically, 16 patients with Type 1 diabetes and 25 patients with Type 2 dia- betes</w:t>
      </w:r>
      <w:r>
        <w:rPr>
          <w:spacing w:val="-9"/>
        </w:rPr>
        <w:t> </w:t>
      </w:r>
      <w:r>
        <w:rPr/>
        <w:t>(25</w:t>
      </w:r>
      <w:r>
        <w:rPr>
          <w:spacing w:val="-9"/>
        </w:rPr>
        <w:t> </w:t>
      </w:r>
      <w:r>
        <w:rPr/>
        <w:t>females</w:t>
      </w:r>
      <w:r>
        <w:rPr>
          <w:spacing w:val="-7"/>
        </w:rPr>
        <w:t> </w:t>
      </w:r>
      <w:r>
        <w:rPr/>
        <w:t>and</w:t>
      </w:r>
      <w:r>
        <w:rPr>
          <w:spacing w:val="-8"/>
        </w:rPr>
        <w:t> </w:t>
      </w:r>
      <w:r>
        <w:rPr/>
        <w:t>16</w:t>
      </w:r>
      <w:r>
        <w:rPr>
          <w:spacing w:val="-10"/>
        </w:rPr>
        <w:t> </w:t>
      </w:r>
      <w:r>
        <w:rPr/>
        <w:t>males</w:t>
      </w:r>
      <w:r>
        <w:rPr>
          <w:spacing w:val="-8"/>
        </w:rPr>
        <w:t> </w:t>
      </w:r>
      <w:r>
        <w:rPr/>
        <w:t>between</w:t>
      </w:r>
      <w:r>
        <w:rPr>
          <w:spacing w:val="-7"/>
        </w:rPr>
        <w:t> </w:t>
      </w:r>
      <w:r>
        <w:rPr/>
        <w:t>the</w:t>
      </w:r>
      <w:r>
        <w:rPr>
          <w:spacing w:val="-7"/>
        </w:rPr>
        <w:t> </w:t>
      </w:r>
      <w:r>
        <w:rPr/>
        <w:t>ages</w:t>
      </w:r>
      <w:r>
        <w:rPr>
          <w:spacing w:val="-11"/>
        </w:rPr>
        <w:t> </w:t>
      </w:r>
      <w:r>
        <w:rPr/>
        <w:t>of</w:t>
      </w:r>
      <w:r>
        <w:rPr>
          <w:spacing w:val="-8"/>
        </w:rPr>
        <w:t> </w:t>
      </w:r>
      <w:r>
        <w:rPr/>
        <w:t>3</w:t>
      </w:r>
      <w:r>
        <w:rPr>
          <w:spacing w:val="-9"/>
        </w:rPr>
        <w:t> </w:t>
      </w:r>
      <w:r>
        <w:rPr/>
        <w:t>and</w:t>
      </w:r>
      <w:r>
        <w:rPr>
          <w:spacing w:val="-8"/>
        </w:rPr>
        <w:t> </w:t>
      </w:r>
      <w:r>
        <w:rPr/>
        <w:t>62</w:t>
      </w:r>
      <w:r>
        <w:rPr>
          <w:spacing w:val="-10"/>
        </w:rPr>
        <w:t> </w:t>
      </w:r>
      <w:r>
        <w:rPr/>
        <w:t>years),</w:t>
      </w:r>
      <w:r>
        <w:rPr>
          <w:spacing w:val="-8"/>
        </w:rPr>
        <w:t> </w:t>
      </w:r>
      <w:r>
        <w:rPr/>
        <w:t>with</w:t>
      </w:r>
      <w:r>
        <w:rPr>
          <w:spacing w:val="-8"/>
        </w:rPr>
        <w:t> </w:t>
      </w:r>
      <w:r>
        <w:rPr/>
        <w:t>symp- toms</w:t>
      </w:r>
      <w:r>
        <w:rPr>
          <w:spacing w:val="-22"/>
        </w:rPr>
        <w:t> </w:t>
      </w:r>
      <w:r>
        <w:rPr/>
        <w:t>lasting</w:t>
      </w:r>
      <w:r>
        <w:rPr>
          <w:spacing w:val="-22"/>
        </w:rPr>
        <w:t> </w:t>
      </w:r>
      <w:r>
        <w:rPr/>
        <w:t>between</w:t>
      </w:r>
      <w:r>
        <w:rPr>
          <w:spacing w:val="-22"/>
        </w:rPr>
        <w:t> </w:t>
      </w:r>
      <w:r>
        <w:rPr/>
        <w:t>one</w:t>
      </w:r>
      <w:r>
        <w:rPr>
          <w:spacing w:val="-22"/>
        </w:rPr>
        <w:t> </w:t>
      </w:r>
      <w:r>
        <w:rPr/>
        <w:t>month</w:t>
      </w:r>
      <w:r>
        <w:rPr>
          <w:spacing w:val="-24"/>
        </w:rPr>
        <w:t> </w:t>
      </w:r>
      <w:r>
        <w:rPr/>
        <w:t>and</w:t>
      </w:r>
      <w:r>
        <w:rPr>
          <w:spacing w:val="-23"/>
        </w:rPr>
        <w:t> </w:t>
      </w:r>
      <w:r>
        <w:rPr/>
        <w:t>13</w:t>
      </w:r>
      <w:r>
        <w:rPr>
          <w:spacing w:val="-24"/>
        </w:rPr>
        <w:t> </w:t>
      </w:r>
      <w:r>
        <w:rPr/>
        <w:t>years,</w:t>
      </w:r>
      <w:r>
        <w:rPr>
          <w:spacing w:val="-22"/>
        </w:rPr>
        <w:t> </w:t>
      </w:r>
      <w:r>
        <w:rPr/>
        <w:t>were</w:t>
      </w:r>
      <w:r>
        <w:rPr>
          <w:spacing w:val="-23"/>
        </w:rPr>
        <w:t> </w:t>
      </w:r>
      <w:r>
        <w:rPr/>
        <w:t>given</w:t>
      </w:r>
      <w:r>
        <w:rPr>
          <w:spacing w:val="-22"/>
        </w:rPr>
        <w:t> </w:t>
      </w:r>
      <w:r>
        <w:rPr/>
        <w:t>200</w:t>
      </w:r>
      <w:r>
        <w:rPr>
          <w:spacing w:val="-24"/>
        </w:rPr>
        <w:t> </w:t>
      </w:r>
      <w:r>
        <w:rPr/>
        <w:t>ml</w:t>
      </w:r>
      <w:r>
        <w:rPr>
          <w:spacing w:val="-23"/>
        </w:rPr>
        <w:t> </w:t>
      </w:r>
      <w:r>
        <w:rPr/>
        <w:t>of</w:t>
      </w:r>
      <w:r>
        <w:rPr>
          <w:spacing w:val="-23"/>
        </w:rPr>
        <w:t> </w:t>
      </w:r>
      <w:r>
        <w:rPr/>
        <w:t>aronia</w:t>
      </w:r>
      <w:r>
        <w:rPr>
          <w:spacing w:val="-23"/>
        </w:rPr>
        <w:t> </w:t>
      </w:r>
      <w:r>
        <w:rPr/>
        <w:t>juice. The measurements gave 14.23 ± 1.32 mmol/l as an initial value. Exactly one hour after consuming 200 ml of aronia juice, the blood sugar had</w:t>
      </w:r>
      <w:r>
        <w:rPr>
          <w:spacing w:val="72"/>
        </w:rPr>
        <w:t> </w:t>
      </w:r>
      <w:r>
        <w:rPr/>
        <w:t>already</w:t>
      </w:r>
    </w:p>
    <w:p>
      <w:pPr>
        <w:spacing w:after="0" w:line="276" w:lineRule="auto"/>
        <w:jc w:val="both"/>
        <w:sectPr>
          <w:footerReference w:type="default" r:id="rId40"/>
          <w:pgSz w:w="14270" w:h="16850"/>
          <w:pgMar w:footer="1891" w:header="0" w:top="1600" w:bottom="2080" w:left="800" w:right="1280"/>
          <w:pgNumType w:start="190"/>
        </w:sectPr>
      </w:pPr>
    </w:p>
    <w:p>
      <w:pPr>
        <w:pStyle w:val="BodyText"/>
        <w:spacing w:before="181"/>
        <w:ind w:left="477"/>
      </w:pPr>
      <w:r>
        <w:rPr/>
        <w:t>dropped to 11.4 ± 0.89 mmol/ l.</w:t>
      </w:r>
    </w:p>
    <w:p>
      <w:pPr>
        <w:pStyle w:val="BodyText"/>
        <w:spacing w:line="276" w:lineRule="auto" w:before="305"/>
        <w:ind w:left="477" w:right="132"/>
        <w:jc w:val="both"/>
      </w:pPr>
      <w:r>
        <w:rPr/>
        <w:t>Another study examined the effects of regular aronia juice consumption on blood sugar levels over a period of three months. The initial blood sugar level was 13.28 ± 4.55 mmol/l and after three months’ consumption of aronia juice (200</w:t>
      </w:r>
      <w:r>
        <w:rPr>
          <w:spacing w:val="-11"/>
        </w:rPr>
        <w:t> </w:t>
      </w:r>
      <w:r>
        <w:rPr/>
        <w:t>ml/day),</w:t>
      </w:r>
      <w:r>
        <w:rPr>
          <w:spacing w:val="-8"/>
        </w:rPr>
        <w:t> </w:t>
      </w:r>
      <w:r>
        <w:rPr/>
        <w:t>it</w:t>
      </w:r>
      <w:r>
        <w:rPr>
          <w:spacing w:val="-10"/>
        </w:rPr>
        <w:t> </w:t>
      </w:r>
      <w:r>
        <w:rPr/>
        <w:t>dropped</w:t>
      </w:r>
      <w:r>
        <w:rPr>
          <w:spacing w:val="-8"/>
        </w:rPr>
        <w:t> </w:t>
      </w:r>
      <w:r>
        <w:rPr/>
        <w:t>to</w:t>
      </w:r>
      <w:r>
        <w:rPr>
          <w:spacing w:val="-9"/>
        </w:rPr>
        <w:t> </w:t>
      </w:r>
      <w:r>
        <w:rPr/>
        <w:t>9.10</w:t>
      </w:r>
      <w:r>
        <w:rPr>
          <w:spacing w:val="-11"/>
        </w:rPr>
        <w:t> </w:t>
      </w:r>
      <w:r>
        <w:rPr/>
        <w:t>±</w:t>
      </w:r>
      <w:r>
        <w:rPr>
          <w:spacing w:val="-9"/>
        </w:rPr>
        <w:t> </w:t>
      </w:r>
      <w:r>
        <w:rPr/>
        <w:t>3.05</w:t>
      </w:r>
      <w:r>
        <w:rPr>
          <w:spacing w:val="-8"/>
        </w:rPr>
        <w:t> </w:t>
      </w:r>
      <w:r>
        <w:rPr/>
        <w:t>mmol/l.</w:t>
      </w:r>
      <w:r>
        <w:rPr>
          <w:spacing w:val="-10"/>
        </w:rPr>
        <w:t> </w:t>
      </w:r>
      <w:r>
        <w:rPr/>
        <w:t>In</w:t>
      </w:r>
      <w:r>
        <w:rPr>
          <w:spacing w:val="-8"/>
        </w:rPr>
        <w:t> </w:t>
      </w:r>
      <w:r>
        <w:rPr/>
        <w:t>addition</w:t>
      </w:r>
      <w:r>
        <w:rPr>
          <w:spacing w:val="-7"/>
        </w:rPr>
        <w:t> </w:t>
      </w:r>
      <w:r>
        <w:rPr/>
        <w:t>to</w:t>
      </w:r>
      <w:r>
        <w:rPr>
          <w:spacing w:val="-8"/>
        </w:rPr>
        <w:t> </w:t>
      </w:r>
      <w:r>
        <w:rPr/>
        <w:t>the</w:t>
      </w:r>
      <w:r>
        <w:rPr>
          <w:spacing w:val="-8"/>
        </w:rPr>
        <w:t> </w:t>
      </w:r>
      <w:r>
        <w:rPr/>
        <w:t>hypoglycae- mic effect, total cholesterol, lipid levels and HbA1c had also</w:t>
      </w:r>
      <w:r>
        <w:rPr>
          <w:spacing w:val="-12"/>
        </w:rPr>
        <w:t> </w:t>
      </w:r>
      <w:r>
        <w:rPr/>
        <w:t>improved.</w:t>
      </w:r>
    </w:p>
    <w:p>
      <w:pPr>
        <w:pStyle w:val="Heading1"/>
        <w:spacing w:before="223"/>
      </w:pPr>
      <w:r>
        <w:rPr/>
        <w:t>Effect of aronia on gastritis</w:t>
      </w:r>
    </w:p>
    <w:p>
      <w:pPr>
        <w:pStyle w:val="BodyText"/>
        <w:spacing w:line="276" w:lineRule="auto" w:before="299"/>
        <w:ind w:left="477"/>
        <w:rPr>
          <w:sz w:val="25"/>
        </w:rPr>
      </w:pPr>
      <w:r>
        <w:rPr/>
        <w:t>The Ministry of Health in the former USSR also decided to use this berry for testing in the treatment of gastritis.</w:t>
      </w:r>
      <w:r>
        <w:rPr>
          <w:position w:val="9"/>
          <w:sz w:val="25"/>
        </w:rPr>
        <w:t>74</w:t>
      </w:r>
    </w:p>
    <w:p>
      <w:pPr>
        <w:pStyle w:val="Heading1"/>
        <w:spacing w:before="223"/>
      </w:pPr>
      <w:r>
        <w:rPr/>
        <w:t>Effect of aronia berries on thyroid</w:t>
      </w:r>
      <w:r>
        <w:rPr>
          <w:spacing w:val="-68"/>
        </w:rPr>
        <w:t> </w:t>
      </w:r>
      <w:r>
        <w:rPr/>
        <w:t>diseases</w:t>
      </w:r>
    </w:p>
    <w:p>
      <w:pPr>
        <w:pStyle w:val="BodyText"/>
        <w:spacing w:line="276" w:lineRule="auto" w:before="300"/>
        <w:ind w:left="477"/>
      </w:pPr>
      <w:r>
        <w:rPr/>
        <w:t>The iodine contained in the aronia berry probably has a positive effect on cer- tain thyroid disorders.</w:t>
      </w:r>
    </w:p>
    <w:p>
      <w:pPr>
        <w:pStyle w:val="Heading1"/>
        <w:spacing w:before="221"/>
      </w:pPr>
      <w:r>
        <w:rPr/>
        <w:t>Effect of aronia berries in urinary tract infections</w:t>
      </w:r>
    </w:p>
    <w:p>
      <w:pPr>
        <w:pStyle w:val="BodyText"/>
        <w:spacing w:line="276" w:lineRule="auto" w:before="299"/>
        <w:ind w:left="477"/>
      </w:pPr>
      <w:r>
        <w:rPr/>
        <w:t>As a natural diuretic on the one hand and as a natural anti-inflammatory on the other, the aronia berry proves very efficient against urinary tract infections.</w:t>
      </w:r>
    </w:p>
    <w:p>
      <w:pPr>
        <w:pStyle w:val="Heading1"/>
      </w:pPr>
      <w:r>
        <w:rPr/>
        <w:t>Aronia berry’s effect against ageing</w:t>
      </w:r>
    </w:p>
    <w:p>
      <w:pPr>
        <w:pStyle w:val="BodyText"/>
        <w:rPr>
          <w:b/>
          <w:i/>
          <w:sz w:val="20"/>
        </w:rPr>
      </w:pPr>
    </w:p>
    <w:p>
      <w:pPr>
        <w:pStyle w:val="BodyText"/>
        <w:spacing w:before="2"/>
        <w:rPr>
          <w:b/>
          <w:i/>
          <w:sz w:val="23"/>
        </w:rPr>
      </w:pPr>
      <w:r>
        <w:rPr/>
        <w:pict>
          <v:line style="position:absolute;mso-position-horizontal-relative:page;mso-position-vertical-relative:paragraph;z-index:272;mso-wrap-distance-left:0;mso-wrap-distance-right:0" from="63.863998pt,15.421265pt" to="207.883998pt,15.421265pt" stroked="true" strokeweight=".71997pt" strokecolor="#000000">
            <v:stroke dashstyle="solid"/>
            <w10:wrap type="topAndBottom"/>
          </v:line>
        </w:pict>
      </w:r>
    </w:p>
    <w:p>
      <w:pPr>
        <w:pStyle w:val="BodyText"/>
        <w:spacing w:before="7"/>
        <w:rPr>
          <w:b/>
          <w:i/>
          <w:sz w:val="18"/>
        </w:rPr>
      </w:pPr>
    </w:p>
    <w:p>
      <w:pPr>
        <w:spacing w:before="100"/>
        <w:ind w:left="477" w:right="0" w:firstLine="0"/>
        <w:jc w:val="left"/>
        <w:rPr>
          <w:sz w:val="20"/>
        </w:rPr>
      </w:pPr>
      <w:r>
        <w:rPr>
          <w:position w:val="5"/>
          <w:sz w:val="13"/>
        </w:rPr>
        <w:t>74 </w:t>
      </w:r>
      <w:r>
        <w:rPr>
          <w:sz w:val="20"/>
        </w:rPr>
        <w:t>Albrecht 1993</w:t>
      </w:r>
    </w:p>
    <w:p>
      <w:pPr>
        <w:spacing w:after="0"/>
        <w:jc w:val="left"/>
        <w:rPr>
          <w:sz w:val="20"/>
        </w:rPr>
        <w:sectPr>
          <w:pgSz w:w="14270" w:h="16850"/>
          <w:pgMar w:header="0" w:footer="1891" w:top="1600" w:bottom="2080" w:left="800" w:right="1280"/>
        </w:sectPr>
      </w:pPr>
    </w:p>
    <w:p>
      <w:pPr>
        <w:pStyle w:val="BodyText"/>
        <w:spacing w:line="276" w:lineRule="auto" w:before="181"/>
        <w:ind w:left="477" w:right="132"/>
        <w:jc w:val="both"/>
      </w:pPr>
      <w:r>
        <w:rPr/>
        <w:t>The very high content of flavonoids, polyphenols and phenolic acid in the aro- nia</w:t>
      </w:r>
      <w:r>
        <w:rPr>
          <w:spacing w:val="-12"/>
        </w:rPr>
        <w:t> </w:t>
      </w:r>
      <w:r>
        <w:rPr/>
        <w:t>berry</w:t>
      </w:r>
      <w:r>
        <w:rPr>
          <w:spacing w:val="-11"/>
        </w:rPr>
        <w:t> </w:t>
      </w:r>
      <w:r>
        <w:rPr/>
        <w:t>(aronia</w:t>
      </w:r>
      <w:r>
        <w:rPr>
          <w:spacing w:val="-14"/>
        </w:rPr>
        <w:t> </w:t>
      </w:r>
      <w:r>
        <w:rPr/>
        <w:t>is</w:t>
      </w:r>
      <w:r>
        <w:rPr>
          <w:spacing w:val="-12"/>
        </w:rPr>
        <w:t> </w:t>
      </w:r>
      <w:r>
        <w:rPr/>
        <w:t>considered</w:t>
      </w:r>
      <w:r>
        <w:rPr>
          <w:spacing w:val="-11"/>
        </w:rPr>
        <w:t> </w:t>
      </w:r>
      <w:r>
        <w:rPr/>
        <w:t>to</w:t>
      </w:r>
      <w:r>
        <w:rPr>
          <w:spacing w:val="-13"/>
        </w:rPr>
        <w:t> </w:t>
      </w:r>
      <w:r>
        <w:rPr/>
        <w:t>be</w:t>
      </w:r>
      <w:r>
        <w:rPr>
          <w:spacing w:val="-11"/>
        </w:rPr>
        <w:t> </w:t>
      </w:r>
      <w:r>
        <w:rPr/>
        <w:t>one</w:t>
      </w:r>
      <w:r>
        <w:rPr>
          <w:spacing w:val="-11"/>
        </w:rPr>
        <w:t> </w:t>
      </w:r>
      <w:r>
        <w:rPr/>
        <w:t>of</w:t>
      </w:r>
      <w:r>
        <w:rPr>
          <w:spacing w:val="-11"/>
        </w:rPr>
        <w:t> </w:t>
      </w:r>
      <w:r>
        <w:rPr/>
        <w:t>the</w:t>
      </w:r>
      <w:r>
        <w:rPr>
          <w:spacing w:val="-11"/>
        </w:rPr>
        <w:t> </w:t>
      </w:r>
      <w:r>
        <w:rPr/>
        <w:t>richest</w:t>
      </w:r>
      <w:r>
        <w:rPr>
          <w:spacing w:val="-11"/>
        </w:rPr>
        <w:t> </w:t>
      </w:r>
      <w:r>
        <w:rPr/>
        <w:t>sources</w:t>
      </w:r>
      <w:r>
        <w:rPr>
          <w:spacing w:val="-12"/>
        </w:rPr>
        <w:t> </w:t>
      </w:r>
      <w:r>
        <w:rPr/>
        <w:t>of</w:t>
      </w:r>
      <w:r>
        <w:rPr>
          <w:spacing w:val="-14"/>
        </w:rPr>
        <w:t> </w:t>
      </w:r>
      <w:r>
        <w:rPr/>
        <w:t>anthocyanins) provides excellent protection against free radicals, not only for numerous life- style diseases such as cancer, cardiovascular disease, diabetes or arthritis, but also for cell</w:t>
      </w:r>
      <w:r>
        <w:rPr>
          <w:spacing w:val="2"/>
        </w:rPr>
        <w:t> </w:t>
      </w:r>
      <w:r>
        <w:rPr/>
        <w:t>ageing.</w:t>
      </w:r>
    </w:p>
    <w:p>
      <w:pPr>
        <w:pStyle w:val="BodyText"/>
        <w:spacing w:line="276" w:lineRule="auto" w:before="240"/>
        <w:ind w:left="477" w:right="132"/>
        <w:jc w:val="both"/>
      </w:pPr>
      <w:r>
        <w:rPr/>
        <w:t>Many age researchers argue that humans could live to around 120 years old if they were able to fend off the attacks of free radicals – a discipline that the aronia</w:t>
      </w:r>
      <w:r>
        <w:rPr>
          <w:spacing w:val="-11"/>
        </w:rPr>
        <w:t> </w:t>
      </w:r>
      <w:r>
        <w:rPr/>
        <w:t>berry</w:t>
      </w:r>
      <w:r>
        <w:rPr>
          <w:spacing w:val="-12"/>
        </w:rPr>
        <w:t> </w:t>
      </w:r>
      <w:r>
        <w:rPr/>
        <w:t>has</w:t>
      </w:r>
      <w:r>
        <w:rPr>
          <w:spacing w:val="-12"/>
        </w:rPr>
        <w:t> </w:t>
      </w:r>
      <w:r>
        <w:rPr/>
        <w:t>mastered</w:t>
      </w:r>
      <w:r>
        <w:rPr>
          <w:spacing w:val="-8"/>
        </w:rPr>
        <w:t> </w:t>
      </w:r>
      <w:r>
        <w:rPr/>
        <w:t>–</w:t>
      </w:r>
      <w:r>
        <w:rPr>
          <w:spacing w:val="-11"/>
        </w:rPr>
        <w:t> </w:t>
      </w:r>
      <w:r>
        <w:rPr/>
        <w:t>because</w:t>
      </w:r>
      <w:r>
        <w:rPr>
          <w:spacing w:val="-10"/>
        </w:rPr>
        <w:t> </w:t>
      </w:r>
      <w:r>
        <w:rPr/>
        <w:t>the</w:t>
      </w:r>
      <w:r>
        <w:rPr>
          <w:spacing w:val="-9"/>
        </w:rPr>
        <w:t> </w:t>
      </w:r>
      <w:r>
        <w:rPr/>
        <w:t>berry</w:t>
      </w:r>
      <w:r>
        <w:rPr>
          <w:spacing w:val="-10"/>
        </w:rPr>
        <w:t> </w:t>
      </w:r>
      <w:r>
        <w:rPr/>
        <w:t>has</w:t>
      </w:r>
      <w:r>
        <w:rPr>
          <w:spacing w:val="-10"/>
        </w:rPr>
        <w:t> </w:t>
      </w:r>
      <w:r>
        <w:rPr/>
        <w:t>an</w:t>
      </w:r>
      <w:r>
        <w:rPr>
          <w:spacing w:val="-10"/>
        </w:rPr>
        <w:t> </w:t>
      </w:r>
      <w:r>
        <w:rPr/>
        <w:t>above-average</w:t>
      </w:r>
      <w:r>
        <w:rPr>
          <w:spacing w:val="-10"/>
        </w:rPr>
        <w:t> </w:t>
      </w:r>
      <w:r>
        <w:rPr/>
        <w:t>proportion of oligomeric procyanides (OPC), which have considerable cell-protection po- tential. Ellagic acid performs cell regeneration and cell</w:t>
      </w:r>
      <w:r>
        <w:rPr>
          <w:spacing w:val="-5"/>
        </w:rPr>
        <w:t> </w:t>
      </w:r>
      <w:r>
        <w:rPr/>
        <w:t>repair.</w:t>
      </w:r>
    </w:p>
    <w:p>
      <w:pPr>
        <w:pStyle w:val="BodyText"/>
        <w:spacing w:line="276" w:lineRule="auto" w:before="242"/>
        <w:ind w:left="477" w:right="136"/>
        <w:jc w:val="both"/>
      </w:pPr>
      <w:r>
        <w:rPr/>
        <w:t>Furthermore, the flavonoids have pronounced anti-inflammatory properties. Because inflammation promotes the shortening of telomeres on our chromo- somes, the anti-inflammatory effect of aronia berries proves to give protection against premature ageing.</w:t>
      </w:r>
    </w:p>
    <w:p>
      <w:pPr>
        <w:spacing w:line="276" w:lineRule="auto" w:before="240"/>
        <w:ind w:left="477" w:right="132" w:firstLine="0"/>
        <w:jc w:val="both"/>
        <w:rPr>
          <w:sz w:val="38"/>
        </w:rPr>
      </w:pPr>
      <w:r>
        <w:rPr>
          <w:sz w:val="38"/>
        </w:rPr>
        <w:t>‘</w:t>
      </w:r>
      <w:r>
        <w:rPr>
          <w:i/>
          <w:sz w:val="38"/>
        </w:rPr>
        <w:t>Ageing and neurodegeneration are increasingly associated with oxidative stress</w:t>
      </w:r>
      <w:r>
        <w:rPr>
          <w:sz w:val="38"/>
        </w:rPr>
        <w:t>. </w:t>
      </w:r>
      <w:r>
        <w:rPr>
          <w:i/>
          <w:sz w:val="38"/>
        </w:rPr>
        <w:t>Oxidative </w:t>
      </w:r>
      <w:r>
        <w:rPr>
          <w:i/>
          <w:sz w:val="38"/>
        </w:rPr>
        <w:t>stress-induced neuronal degradation processes can be slowed by a change in diet, including supplementation of neuroprotective flavonoids’. </w:t>
      </w:r>
      <w:r>
        <w:rPr>
          <w:sz w:val="38"/>
        </w:rPr>
        <w:t>(Prof. Dr. Iwona Wawer)</w:t>
      </w:r>
    </w:p>
    <w:p>
      <w:pPr>
        <w:pStyle w:val="BodyText"/>
        <w:rPr>
          <w:sz w:val="42"/>
        </w:rPr>
      </w:pPr>
    </w:p>
    <w:p>
      <w:pPr>
        <w:pStyle w:val="BodyText"/>
        <w:spacing w:before="9"/>
        <w:rPr>
          <w:sz w:val="42"/>
        </w:rPr>
      </w:pPr>
    </w:p>
    <w:p>
      <w:pPr>
        <w:pStyle w:val="Heading1"/>
        <w:spacing w:before="0"/>
        <w:jc w:val="both"/>
      </w:pPr>
      <w:r>
        <w:rPr/>
        <w:t>Studies and research results for aronia berries (apple berries)</w:t>
      </w:r>
    </w:p>
    <w:p>
      <w:pPr>
        <w:pStyle w:val="BodyText"/>
        <w:spacing w:line="276" w:lineRule="auto" w:before="299"/>
        <w:ind w:left="477" w:right="134"/>
        <w:jc w:val="both"/>
      </w:pPr>
      <w:r>
        <w:rPr/>
        <w:t>Most studies on the aronia berry come from Eastern Europe, where aronia</w:t>
      </w:r>
      <w:r>
        <w:rPr>
          <w:spacing w:val="-57"/>
        </w:rPr>
        <w:t> </w:t>
      </w:r>
      <w:r>
        <w:rPr/>
        <w:t>has long been officially recognised as a natural remedy. In europe, research is still</w:t>
      </w:r>
    </w:p>
    <w:p>
      <w:pPr>
        <w:spacing w:after="0" w:line="276" w:lineRule="auto"/>
        <w:jc w:val="both"/>
        <w:sectPr>
          <w:pgSz w:w="14270" w:h="16850"/>
          <w:pgMar w:header="0" w:footer="1891" w:top="1600" w:bottom="2080" w:left="800" w:right="1280"/>
        </w:sectPr>
      </w:pPr>
    </w:p>
    <w:p>
      <w:pPr>
        <w:pStyle w:val="BodyText"/>
        <w:spacing w:line="276" w:lineRule="auto" w:before="181"/>
        <w:ind w:left="477" w:right="139"/>
        <w:jc w:val="both"/>
      </w:pPr>
      <w:r>
        <w:rPr/>
        <w:t>in</w:t>
      </w:r>
      <w:r>
        <w:rPr>
          <w:spacing w:val="-8"/>
        </w:rPr>
        <w:t> </w:t>
      </w:r>
      <w:r>
        <w:rPr/>
        <w:t>its</w:t>
      </w:r>
      <w:r>
        <w:rPr>
          <w:spacing w:val="-7"/>
        </w:rPr>
        <w:t> </w:t>
      </w:r>
      <w:r>
        <w:rPr/>
        <w:t>infancy;</w:t>
      </w:r>
      <w:r>
        <w:rPr>
          <w:spacing w:val="-6"/>
        </w:rPr>
        <w:t> </w:t>
      </w:r>
      <w:r>
        <w:rPr/>
        <w:t>only</w:t>
      </w:r>
      <w:r>
        <w:rPr>
          <w:spacing w:val="-7"/>
        </w:rPr>
        <w:t> </w:t>
      </w:r>
      <w:r>
        <w:rPr/>
        <w:t>the</w:t>
      </w:r>
      <w:r>
        <w:rPr>
          <w:spacing w:val="-6"/>
        </w:rPr>
        <w:t> </w:t>
      </w:r>
      <w:r>
        <w:rPr/>
        <w:t>universities</w:t>
      </w:r>
      <w:r>
        <w:rPr>
          <w:spacing w:val="-6"/>
        </w:rPr>
        <w:t> </w:t>
      </w:r>
      <w:r>
        <w:rPr/>
        <w:t>of</w:t>
      </w:r>
      <w:r>
        <w:rPr>
          <w:spacing w:val="-7"/>
        </w:rPr>
        <w:t> </w:t>
      </w:r>
      <w:r>
        <w:rPr/>
        <w:t>Heidelberg</w:t>
      </w:r>
      <w:r>
        <w:rPr>
          <w:spacing w:val="-7"/>
        </w:rPr>
        <w:t> </w:t>
      </w:r>
      <w:r>
        <w:rPr/>
        <w:t>and</w:t>
      </w:r>
      <w:r>
        <w:rPr>
          <w:spacing w:val="-7"/>
        </w:rPr>
        <w:t> </w:t>
      </w:r>
      <w:r>
        <w:rPr/>
        <w:t>Potsdam</w:t>
      </w:r>
      <w:r>
        <w:rPr>
          <w:spacing w:val="-7"/>
        </w:rPr>
        <w:t> </w:t>
      </w:r>
      <w:r>
        <w:rPr/>
        <w:t>are</w:t>
      </w:r>
      <w:r>
        <w:rPr>
          <w:spacing w:val="-4"/>
        </w:rPr>
        <w:t> </w:t>
      </w:r>
      <w:r>
        <w:rPr/>
        <w:t>investigating this medicinal plant as pioneers with astounding</w:t>
      </w:r>
      <w:r>
        <w:rPr>
          <w:spacing w:val="-3"/>
        </w:rPr>
        <w:t> </w:t>
      </w:r>
      <w:r>
        <w:rPr/>
        <w:t>insights.</w:t>
      </w:r>
    </w:p>
    <w:p>
      <w:pPr>
        <w:pStyle w:val="Heading1"/>
      </w:pPr>
      <w:r>
        <w:rPr/>
        <w:t>Aronia</w:t>
      </w:r>
      <w:r>
        <w:rPr>
          <w:spacing w:val="-52"/>
        </w:rPr>
        <w:t> </w:t>
      </w:r>
      <w:r>
        <w:rPr/>
        <w:t>berry</w:t>
      </w:r>
      <w:r>
        <w:rPr>
          <w:spacing w:val="-53"/>
        </w:rPr>
        <w:t> </w:t>
      </w:r>
      <w:r>
        <w:rPr/>
        <w:t>significantly</w:t>
      </w:r>
      <w:r>
        <w:rPr>
          <w:spacing w:val="-52"/>
        </w:rPr>
        <w:t> </w:t>
      </w:r>
      <w:r>
        <w:rPr/>
        <w:t>lowers</w:t>
      </w:r>
      <w:r>
        <w:rPr>
          <w:spacing w:val="-53"/>
        </w:rPr>
        <w:t> </w:t>
      </w:r>
      <w:r>
        <w:rPr/>
        <w:t>blood</w:t>
      </w:r>
      <w:r>
        <w:rPr>
          <w:spacing w:val="-53"/>
        </w:rPr>
        <w:t> </w:t>
      </w:r>
      <w:r>
        <w:rPr/>
        <w:t>sugar</w:t>
      </w:r>
      <w:r>
        <w:rPr>
          <w:spacing w:val="-53"/>
        </w:rPr>
        <w:t> </w:t>
      </w:r>
      <w:r>
        <w:rPr/>
        <w:t>levels in</w:t>
      </w:r>
      <w:r>
        <w:rPr>
          <w:spacing w:val="-53"/>
        </w:rPr>
        <w:t> </w:t>
      </w:r>
      <w:r>
        <w:rPr/>
        <w:t>diabetes mellitus</w:t>
      </w:r>
    </w:p>
    <w:p>
      <w:pPr>
        <w:pStyle w:val="BodyText"/>
        <w:spacing w:line="276" w:lineRule="auto" w:before="299"/>
        <w:ind w:left="477" w:right="131"/>
        <w:jc w:val="both"/>
      </w:pPr>
      <w:r>
        <w:rPr/>
        <w:t>The Medical University of Plovdiv in Bulgaria could prove that the juice from the aronia melanocarpa not only did not increase blood sugar levels in diabetes patients (type 1 and type 2), but on the contrary, the 200 ml of aronia juice led to lower blood sugar levels 60 minutes after ingestion! Specifically, 16 patients with type 1 diabetes and 25 patients with type 2 diabetes (25 females and 16 males between the ages of 3 and 62 years), with symptoms lasting between one month</w:t>
      </w:r>
      <w:r>
        <w:rPr>
          <w:spacing w:val="-16"/>
        </w:rPr>
        <w:t> </w:t>
      </w:r>
      <w:r>
        <w:rPr/>
        <w:t>and</w:t>
      </w:r>
      <w:r>
        <w:rPr>
          <w:spacing w:val="-16"/>
        </w:rPr>
        <w:t> </w:t>
      </w:r>
      <w:r>
        <w:rPr/>
        <w:t>13</w:t>
      </w:r>
      <w:r>
        <w:rPr>
          <w:spacing w:val="-17"/>
        </w:rPr>
        <w:t> </w:t>
      </w:r>
      <w:r>
        <w:rPr/>
        <w:t>years,</w:t>
      </w:r>
      <w:r>
        <w:rPr>
          <w:spacing w:val="-15"/>
        </w:rPr>
        <w:t> </w:t>
      </w:r>
      <w:r>
        <w:rPr/>
        <w:t>were</w:t>
      </w:r>
      <w:r>
        <w:rPr>
          <w:spacing w:val="-16"/>
        </w:rPr>
        <w:t> </w:t>
      </w:r>
      <w:r>
        <w:rPr/>
        <w:t>given</w:t>
      </w:r>
      <w:r>
        <w:rPr>
          <w:spacing w:val="-18"/>
        </w:rPr>
        <w:t> </w:t>
      </w:r>
      <w:r>
        <w:rPr/>
        <w:t>200</w:t>
      </w:r>
      <w:r>
        <w:rPr>
          <w:spacing w:val="-17"/>
        </w:rPr>
        <w:t> </w:t>
      </w:r>
      <w:r>
        <w:rPr/>
        <w:t>ml</w:t>
      </w:r>
      <w:r>
        <w:rPr>
          <w:spacing w:val="-17"/>
        </w:rPr>
        <w:t> </w:t>
      </w:r>
      <w:r>
        <w:rPr/>
        <w:t>of</w:t>
      </w:r>
      <w:r>
        <w:rPr>
          <w:spacing w:val="-16"/>
        </w:rPr>
        <w:t> </w:t>
      </w:r>
      <w:r>
        <w:rPr/>
        <w:t>aronia</w:t>
      </w:r>
      <w:r>
        <w:rPr>
          <w:spacing w:val="-16"/>
        </w:rPr>
        <w:t> </w:t>
      </w:r>
      <w:r>
        <w:rPr/>
        <w:t>juice.</w:t>
      </w:r>
      <w:r>
        <w:rPr>
          <w:spacing w:val="63"/>
        </w:rPr>
        <w:t> </w:t>
      </w:r>
      <w:r>
        <w:rPr/>
        <w:t>The</w:t>
      </w:r>
      <w:r>
        <w:rPr>
          <w:spacing w:val="-16"/>
        </w:rPr>
        <w:t> </w:t>
      </w:r>
      <w:r>
        <w:rPr/>
        <w:t>measurements</w:t>
      </w:r>
      <w:r>
        <w:rPr>
          <w:spacing w:val="-15"/>
        </w:rPr>
        <w:t> </w:t>
      </w:r>
      <w:r>
        <w:rPr/>
        <w:t>gave (before</w:t>
      </w:r>
      <w:r>
        <w:rPr>
          <w:spacing w:val="-21"/>
        </w:rPr>
        <w:t> </w:t>
      </w:r>
      <w:r>
        <w:rPr/>
        <w:t>the</w:t>
      </w:r>
      <w:r>
        <w:rPr>
          <w:spacing w:val="-23"/>
        </w:rPr>
        <w:t> </w:t>
      </w:r>
      <w:r>
        <w:rPr/>
        <w:t>consumption</w:t>
      </w:r>
      <w:r>
        <w:rPr>
          <w:spacing w:val="-20"/>
        </w:rPr>
        <w:t> </w:t>
      </w:r>
      <w:r>
        <w:rPr/>
        <w:t>of</w:t>
      </w:r>
      <w:r>
        <w:rPr>
          <w:spacing w:val="-21"/>
        </w:rPr>
        <w:t> </w:t>
      </w:r>
      <w:r>
        <w:rPr/>
        <w:t>aronia</w:t>
      </w:r>
      <w:r>
        <w:rPr>
          <w:spacing w:val="-22"/>
        </w:rPr>
        <w:t> </w:t>
      </w:r>
      <w:r>
        <w:rPr/>
        <w:t>juice)</w:t>
      </w:r>
      <w:r>
        <w:rPr>
          <w:spacing w:val="-22"/>
        </w:rPr>
        <w:t> </w:t>
      </w:r>
      <w:r>
        <w:rPr/>
        <w:t>14.23</w:t>
      </w:r>
      <w:r>
        <w:rPr>
          <w:spacing w:val="-22"/>
        </w:rPr>
        <w:t> </w:t>
      </w:r>
      <w:r>
        <w:rPr/>
        <w:t>±</w:t>
      </w:r>
      <w:r>
        <w:rPr>
          <w:spacing w:val="-22"/>
        </w:rPr>
        <w:t> </w:t>
      </w:r>
      <w:r>
        <w:rPr/>
        <w:t>1.32</w:t>
      </w:r>
      <w:r>
        <w:rPr>
          <w:spacing w:val="-20"/>
        </w:rPr>
        <w:t> </w:t>
      </w:r>
      <w:r>
        <w:rPr/>
        <w:t>mmol/l</w:t>
      </w:r>
      <w:r>
        <w:rPr>
          <w:spacing w:val="-23"/>
        </w:rPr>
        <w:t> </w:t>
      </w:r>
      <w:r>
        <w:rPr/>
        <w:t>as</w:t>
      </w:r>
      <w:r>
        <w:rPr>
          <w:spacing w:val="-21"/>
        </w:rPr>
        <w:t> </w:t>
      </w:r>
      <w:r>
        <w:rPr/>
        <w:t>an</w:t>
      </w:r>
      <w:r>
        <w:rPr>
          <w:spacing w:val="-21"/>
        </w:rPr>
        <w:t> </w:t>
      </w:r>
      <w:r>
        <w:rPr/>
        <w:t>initial</w:t>
      </w:r>
      <w:r>
        <w:rPr>
          <w:spacing w:val="-22"/>
        </w:rPr>
        <w:t> </w:t>
      </w:r>
      <w:r>
        <w:rPr/>
        <w:t>value. Exactly</w:t>
      </w:r>
      <w:r>
        <w:rPr>
          <w:spacing w:val="-20"/>
        </w:rPr>
        <w:t> </w:t>
      </w:r>
      <w:r>
        <w:rPr/>
        <w:t>one</w:t>
      </w:r>
      <w:r>
        <w:rPr>
          <w:spacing w:val="-17"/>
        </w:rPr>
        <w:t> </w:t>
      </w:r>
      <w:r>
        <w:rPr/>
        <w:t>hour</w:t>
      </w:r>
      <w:r>
        <w:rPr>
          <w:spacing w:val="-19"/>
        </w:rPr>
        <w:t> </w:t>
      </w:r>
      <w:r>
        <w:rPr/>
        <w:t>after</w:t>
      </w:r>
      <w:r>
        <w:rPr>
          <w:spacing w:val="-18"/>
        </w:rPr>
        <w:t> </w:t>
      </w:r>
      <w:r>
        <w:rPr/>
        <w:t>consuming</w:t>
      </w:r>
      <w:r>
        <w:rPr>
          <w:spacing w:val="-19"/>
        </w:rPr>
        <w:t> </w:t>
      </w:r>
      <w:r>
        <w:rPr/>
        <w:t>the</w:t>
      </w:r>
      <w:r>
        <w:rPr>
          <w:spacing w:val="-17"/>
        </w:rPr>
        <w:t> </w:t>
      </w:r>
      <w:r>
        <w:rPr/>
        <w:t>200</w:t>
      </w:r>
      <w:r>
        <w:rPr>
          <w:spacing w:val="-20"/>
        </w:rPr>
        <w:t> </w:t>
      </w:r>
      <w:r>
        <w:rPr/>
        <w:t>ml</w:t>
      </w:r>
      <w:r>
        <w:rPr>
          <w:spacing w:val="-18"/>
        </w:rPr>
        <w:t> </w:t>
      </w:r>
      <w:r>
        <w:rPr/>
        <w:t>aronia</w:t>
      </w:r>
      <w:r>
        <w:rPr>
          <w:spacing w:val="-18"/>
        </w:rPr>
        <w:t> </w:t>
      </w:r>
      <w:r>
        <w:rPr/>
        <w:t>juice,</w:t>
      </w:r>
      <w:r>
        <w:rPr>
          <w:spacing w:val="-18"/>
        </w:rPr>
        <w:t> </w:t>
      </w:r>
      <w:r>
        <w:rPr/>
        <w:t>the</w:t>
      </w:r>
      <w:r>
        <w:rPr>
          <w:spacing w:val="-12"/>
        </w:rPr>
        <w:t> </w:t>
      </w:r>
      <w:r>
        <w:rPr/>
        <w:t>blood</w:t>
      </w:r>
      <w:r>
        <w:rPr>
          <w:spacing w:val="-18"/>
        </w:rPr>
        <w:t> </w:t>
      </w:r>
      <w:r>
        <w:rPr/>
        <w:t>sugar</w:t>
      </w:r>
      <w:r>
        <w:rPr>
          <w:spacing w:val="-17"/>
        </w:rPr>
        <w:t> </w:t>
      </w:r>
      <w:r>
        <w:rPr/>
        <w:t>value had decreased to 11.4 ± 0.89</w:t>
      </w:r>
      <w:r>
        <w:rPr>
          <w:spacing w:val="4"/>
        </w:rPr>
        <w:t> </w:t>
      </w:r>
      <w:r>
        <w:rPr/>
        <w:t>mmol/l.</w:t>
      </w:r>
    </w:p>
    <w:p>
      <w:pPr>
        <w:pStyle w:val="BodyText"/>
        <w:rPr>
          <w:sz w:val="42"/>
        </w:rPr>
      </w:pPr>
    </w:p>
    <w:p>
      <w:pPr>
        <w:pStyle w:val="BodyText"/>
        <w:spacing w:before="10"/>
        <w:rPr>
          <w:sz w:val="42"/>
        </w:rPr>
      </w:pPr>
    </w:p>
    <w:p>
      <w:pPr>
        <w:pStyle w:val="Heading1"/>
        <w:spacing w:line="261" w:lineRule="auto" w:before="0"/>
        <w:ind w:right="148"/>
        <w:jc w:val="both"/>
      </w:pPr>
      <w:r>
        <w:rPr/>
        <w:t>Aronia</w:t>
      </w:r>
      <w:r>
        <w:rPr>
          <w:spacing w:val="-60"/>
        </w:rPr>
        <w:t> </w:t>
      </w:r>
      <w:r>
        <w:rPr/>
        <w:t>berry</w:t>
      </w:r>
      <w:r>
        <w:rPr>
          <w:spacing w:val="-60"/>
        </w:rPr>
        <w:t> </w:t>
      </w:r>
      <w:r>
        <w:rPr/>
        <w:t>extract</w:t>
      </w:r>
      <w:r>
        <w:rPr>
          <w:spacing w:val="-59"/>
        </w:rPr>
        <w:t> </w:t>
      </w:r>
      <w:r>
        <w:rPr/>
        <w:t>protects</w:t>
      </w:r>
      <w:r>
        <w:rPr>
          <w:spacing w:val="-60"/>
        </w:rPr>
        <w:t> </w:t>
      </w:r>
      <w:r>
        <w:rPr/>
        <w:t>against</w:t>
      </w:r>
      <w:r>
        <w:rPr>
          <w:spacing w:val="-60"/>
        </w:rPr>
        <w:t> </w:t>
      </w:r>
      <w:r>
        <w:rPr/>
        <w:t>oxidative</w:t>
      </w:r>
      <w:r>
        <w:rPr>
          <w:spacing w:val="-61"/>
        </w:rPr>
        <w:t> </w:t>
      </w:r>
      <w:r>
        <w:rPr/>
        <w:t>stress</w:t>
      </w:r>
      <w:r>
        <w:rPr>
          <w:spacing w:val="-59"/>
        </w:rPr>
        <w:t> </w:t>
      </w:r>
      <w:r>
        <w:rPr/>
        <w:t>resulting</w:t>
      </w:r>
      <w:r>
        <w:rPr>
          <w:spacing w:val="-60"/>
        </w:rPr>
        <w:t> </w:t>
      </w:r>
      <w:r>
        <w:rPr/>
        <w:t>from</w:t>
      </w:r>
      <w:r>
        <w:rPr>
          <w:spacing w:val="-60"/>
        </w:rPr>
        <w:t> </w:t>
      </w:r>
      <w:r>
        <w:rPr/>
        <w:t>sur- gery and chemotherapy</w:t>
      </w:r>
    </w:p>
    <w:p>
      <w:pPr>
        <w:pStyle w:val="BodyText"/>
        <w:spacing w:line="276" w:lineRule="auto" w:before="260"/>
        <w:ind w:left="477" w:right="134"/>
        <w:jc w:val="both"/>
        <w:rPr>
          <w:sz w:val="25"/>
        </w:rPr>
      </w:pPr>
      <w:r>
        <w:rPr/>
        <w:t>As already mentioned before, studies have shown that aronia berry extract can protect against oxidative stress due to its antioxidant effect after surgery and in all phases of chemotherapy.</w:t>
      </w:r>
      <w:r>
        <w:rPr>
          <w:position w:val="9"/>
          <w:sz w:val="25"/>
        </w:rPr>
        <w:t>75</w:t>
      </w:r>
    </w:p>
    <w:p>
      <w:pPr>
        <w:pStyle w:val="BodyText"/>
        <w:rPr>
          <w:sz w:val="20"/>
        </w:rPr>
      </w:pPr>
    </w:p>
    <w:p>
      <w:pPr>
        <w:pStyle w:val="BodyText"/>
        <w:rPr>
          <w:sz w:val="20"/>
        </w:rPr>
      </w:pPr>
    </w:p>
    <w:p>
      <w:pPr>
        <w:pStyle w:val="BodyText"/>
        <w:rPr>
          <w:sz w:val="20"/>
        </w:rPr>
      </w:pPr>
    </w:p>
    <w:p>
      <w:pPr>
        <w:pStyle w:val="BodyText"/>
        <w:spacing w:before="5"/>
        <w:rPr>
          <w:sz w:val="12"/>
        </w:rPr>
      </w:pPr>
      <w:r>
        <w:rPr/>
        <w:pict>
          <v:line style="position:absolute;mso-position-horizontal-relative:page;mso-position-vertical-relative:paragraph;z-index:296;mso-wrap-distance-left:0;mso-wrap-distance-right:0" from="63.863998pt,9.371235pt" to="207.883998pt,9.371235pt" stroked="true" strokeweight=".72003pt" strokecolor="#000000">
            <v:stroke dashstyle="solid"/>
            <w10:wrap type="topAndBottom"/>
          </v:line>
        </w:pict>
      </w:r>
    </w:p>
    <w:p>
      <w:pPr>
        <w:pStyle w:val="BodyText"/>
        <w:spacing w:before="7"/>
        <w:rPr>
          <w:sz w:val="18"/>
        </w:rPr>
      </w:pPr>
    </w:p>
    <w:p>
      <w:pPr>
        <w:spacing w:line="276" w:lineRule="auto" w:before="99"/>
        <w:ind w:left="477" w:right="0" w:firstLine="0"/>
        <w:jc w:val="left"/>
        <w:rPr>
          <w:sz w:val="20"/>
        </w:rPr>
      </w:pPr>
      <w:r>
        <w:rPr>
          <w:position w:val="5"/>
          <w:sz w:val="13"/>
        </w:rPr>
        <w:t>75 </w:t>
      </w:r>
      <w:r>
        <w:rPr>
          <w:sz w:val="20"/>
        </w:rPr>
        <w:t>Kedzierska M. et al.: Effects of the commercial extract of aronia on oxidative stress in blood platelets isolated from breast cancer patients after the surgery and various phases of the chemotherapy. Fitoterapia 2011 Nov 12. PMID: 22101070</w:t>
      </w:r>
    </w:p>
    <w:p>
      <w:pPr>
        <w:spacing w:after="0" w:line="276" w:lineRule="auto"/>
        <w:jc w:val="left"/>
        <w:rPr>
          <w:sz w:val="20"/>
        </w:rPr>
        <w:sectPr>
          <w:pgSz w:w="14270" w:h="16850"/>
          <w:pgMar w:header="0" w:footer="1891" w:top="1600" w:bottom="2080" w:left="800" w:right="1280"/>
        </w:sectPr>
      </w:pPr>
    </w:p>
    <w:p>
      <w:pPr>
        <w:pStyle w:val="Heading1"/>
        <w:spacing w:before="164"/>
      </w:pPr>
      <w:r>
        <w:rPr/>
        <w:t>Protected against radiation damage in</w:t>
      </w:r>
      <w:r>
        <w:rPr>
          <w:spacing w:val="-63"/>
        </w:rPr>
        <w:t> </w:t>
      </w:r>
      <w:r>
        <w:rPr/>
        <w:t>studies</w:t>
      </w:r>
    </w:p>
    <w:p>
      <w:pPr>
        <w:pStyle w:val="BodyText"/>
        <w:spacing w:line="276" w:lineRule="auto" w:before="299"/>
        <w:ind w:left="477" w:right="53"/>
        <w:rPr>
          <w:sz w:val="25"/>
        </w:rPr>
      </w:pPr>
      <w:r>
        <w:rPr/>
        <w:t>Cancer patients who have suffered somatic radiation damage after radiotherapy have been successfully treated in the long term.</w:t>
      </w:r>
      <w:r>
        <w:rPr>
          <w:position w:val="9"/>
          <w:sz w:val="25"/>
        </w:rPr>
        <w:t>76</w:t>
      </w:r>
    </w:p>
    <w:p>
      <w:pPr>
        <w:pStyle w:val="Heading1"/>
      </w:pPr>
      <w:r>
        <w:rPr/>
        <w:t>Aronia berries can remove heavy metals from the body</w:t>
      </w:r>
    </w:p>
    <w:p>
      <w:pPr>
        <w:pStyle w:val="BodyText"/>
        <w:spacing w:line="276" w:lineRule="auto" w:before="299"/>
        <w:ind w:left="477" w:right="123"/>
        <w:rPr>
          <w:sz w:val="25"/>
        </w:rPr>
      </w:pPr>
      <w:r>
        <w:rPr/>
        <w:t>Eastern European studies have shown that aronia berries remove heavy metals from the body.</w:t>
      </w:r>
      <w:r>
        <w:rPr>
          <w:position w:val="9"/>
          <w:sz w:val="25"/>
        </w:rPr>
        <w:t>77</w:t>
      </w:r>
    </w:p>
    <w:p>
      <w:pPr>
        <w:pStyle w:val="Heading1"/>
        <w:spacing w:before="222"/>
      </w:pPr>
      <w:r>
        <w:rPr/>
        <w:t>Relaxing effect of aronia berries on the coronary arteries</w:t>
      </w:r>
    </w:p>
    <w:p>
      <w:pPr>
        <w:pStyle w:val="BodyText"/>
        <w:spacing w:line="276" w:lineRule="auto" w:before="299"/>
        <w:ind w:left="477" w:right="132"/>
        <w:jc w:val="both"/>
        <w:rPr>
          <w:sz w:val="25"/>
        </w:rPr>
      </w:pPr>
      <w:r>
        <w:rPr/>
        <w:t>Scientists</w:t>
      </w:r>
      <w:r>
        <w:rPr>
          <w:spacing w:val="-7"/>
        </w:rPr>
        <w:t> </w:t>
      </w:r>
      <w:r>
        <w:rPr/>
        <w:t>of</w:t>
      </w:r>
      <w:r>
        <w:rPr>
          <w:spacing w:val="-7"/>
        </w:rPr>
        <w:t> </w:t>
      </w:r>
      <w:r>
        <w:rPr/>
        <w:t>Indiana</w:t>
      </w:r>
      <w:r>
        <w:rPr>
          <w:spacing w:val="-7"/>
        </w:rPr>
        <w:t> </w:t>
      </w:r>
      <w:r>
        <w:rPr/>
        <w:t>University</w:t>
      </w:r>
      <w:r>
        <w:rPr>
          <w:spacing w:val="-6"/>
        </w:rPr>
        <w:t> </w:t>
      </w:r>
      <w:r>
        <w:rPr/>
        <w:t>could</w:t>
      </w:r>
      <w:r>
        <w:rPr>
          <w:spacing w:val="-7"/>
        </w:rPr>
        <w:t> </w:t>
      </w:r>
      <w:r>
        <w:rPr/>
        <w:t>prove</w:t>
      </w:r>
      <w:r>
        <w:rPr>
          <w:spacing w:val="-7"/>
        </w:rPr>
        <w:t> </w:t>
      </w:r>
      <w:r>
        <w:rPr/>
        <w:t>the</w:t>
      </w:r>
      <w:r>
        <w:rPr>
          <w:spacing w:val="-6"/>
        </w:rPr>
        <w:t> </w:t>
      </w:r>
      <w:r>
        <w:rPr/>
        <w:t>relaxing</w:t>
      </w:r>
      <w:r>
        <w:rPr>
          <w:spacing w:val="-6"/>
        </w:rPr>
        <w:t> </w:t>
      </w:r>
      <w:r>
        <w:rPr/>
        <w:t>effect</w:t>
      </w:r>
      <w:r>
        <w:rPr>
          <w:spacing w:val="-7"/>
        </w:rPr>
        <w:t> </w:t>
      </w:r>
      <w:r>
        <w:rPr/>
        <w:t>on</w:t>
      </w:r>
      <w:r>
        <w:rPr>
          <w:spacing w:val="-3"/>
        </w:rPr>
        <w:t> </w:t>
      </w:r>
      <w:r>
        <w:rPr/>
        <w:t>the</w:t>
      </w:r>
      <w:r>
        <w:rPr>
          <w:spacing w:val="-6"/>
        </w:rPr>
        <w:t> </w:t>
      </w:r>
      <w:r>
        <w:rPr/>
        <w:t>coronary arteries of pigs’ hearts in animal trials. The physiological similarity of the pig's heart to the human heart suggests that this effect is also to be expected in hu- mans.</w:t>
      </w:r>
      <w:r>
        <w:rPr>
          <w:position w:val="9"/>
          <w:sz w:val="25"/>
        </w:rPr>
        <w:t>78</w:t>
      </w:r>
    </w:p>
    <w:p>
      <w:pPr>
        <w:pStyle w:val="Heading1"/>
        <w:spacing w:before="222"/>
      </w:pPr>
      <w:r>
        <w:rPr/>
        <w:t>Anti-inflammatory effect of aronia confirmed in study</w:t>
      </w:r>
    </w:p>
    <w:p>
      <w:pPr>
        <w:pStyle w:val="BodyText"/>
        <w:spacing w:line="276" w:lineRule="auto" w:before="300"/>
        <w:ind w:left="477"/>
        <w:rPr>
          <w:sz w:val="25"/>
        </w:rPr>
      </w:pPr>
      <w:r>
        <w:rPr/>
        <w:t>A Bulgarian study, published in 1994, has confirmed the anti-inflammatory ef- fect of the aronia berry (apple berry).</w:t>
      </w:r>
      <w:r>
        <w:rPr>
          <w:position w:val="9"/>
          <w:sz w:val="25"/>
        </w:rPr>
        <w:t>79</w:t>
      </w:r>
    </w:p>
    <w:p>
      <w:pPr>
        <w:pStyle w:val="Heading1"/>
        <w:spacing w:before="223"/>
      </w:pPr>
      <w:r>
        <w:rPr/>
        <w:t>Recommended intake for aronia berry</w:t>
      </w:r>
    </w:p>
    <w:p>
      <w:pPr>
        <w:pStyle w:val="BodyText"/>
        <w:spacing w:before="299"/>
        <w:ind w:left="477"/>
      </w:pPr>
      <w:r>
        <w:rPr/>
        <w:t>To prevent disease, it is advisable to drink one or two glasses (200 ml) with</w:t>
      </w:r>
    </w:p>
    <w:p>
      <w:pPr>
        <w:pStyle w:val="BodyText"/>
        <w:spacing w:before="7"/>
        <w:rPr>
          <w:sz w:val="19"/>
        </w:rPr>
      </w:pPr>
      <w:r>
        <w:rPr/>
        <w:pict>
          <v:line style="position:absolute;mso-position-horizontal-relative:page;mso-position-vertical-relative:paragraph;z-index:320;mso-wrap-distance-left:0;mso-wrap-distance-right:0" from="63.863998pt,13.392515pt" to="207.883998pt,13.392515pt" stroked="true" strokeweight=".71997pt" strokecolor="#000000">
            <v:stroke dashstyle="solid"/>
            <w10:wrap type="topAndBottom"/>
          </v:line>
        </w:pict>
      </w:r>
    </w:p>
    <w:p>
      <w:pPr>
        <w:pStyle w:val="BodyText"/>
        <w:spacing w:before="7"/>
        <w:rPr>
          <w:sz w:val="18"/>
        </w:rPr>
      </w:pPr>
    </w:p>
    <w:p>
      <w:pPr>
        <w:spacing w:line="276" w:lineRule="auto" w:before="100"/>
        <w:ind w:left="477" w:right="0" w:firstLine="0"/>
        <w:jc w:val="left"/>
        <w:rPr>
          <w:sz w:val="20"/>
        </w:rPr>
      </w:pPr>
      <w:r>
        <w:rPr>
          <w:position w:val="5"/>
          <w:sz w:val="13"/>
        </w:rPr>
        <w:t>76 </w:t>
      </w:r>
      <w:r>
        <w:rPr>
          <w:sz w:val="20"/>
        </w:rPr>
        <w:t>Renate Petra Mehrwald: Aronia – Königin der Blaublüter, Buchverlag für die Frau (‘Aronia – Queen of the Blue Bloods’, Publishing House for Women), 3rd Edition, 2012, p. 28 f.</w:t>
      </w:r>
    </w:p>
    <w:p>
      <w:pPr>
        <w:spacing w:line="273" w:lineRule="auto" w:before="61"/>
        <w:ind w:left="477" w:right="0" w:firstLine="0"/>
        <w:jc w:val="left"/>
        <w:rPr>
          <w:sz w:val="20"/>
        </w:rPr>
      </w:pPr>
      <w:r>
        <w:rPr>
          <w:position w:val="5"/>
          <w:sz w:val="13"/>
        </w:rPr>
        <w:t>77 </w:t>
      </w:r>
      <w:r>
        <w:rPr>
          <w:sz w:val="20"/>
        </w:rPr>
        <w:t>Renate Petra Mehrwald: Aronia – Königin der Blaublüter, Buchverlag für die Frau (‘Aronia – Queen of the Blue Bloods’, Publishing House for Women), 3rd Edition, 2012, p. 28</w:t>
      </w:r>
    </w:p>
    <w:p>
      <w:pPr>
        <w:spacing w:line="276" w:lineRule="auto" w:before="63"/>
        <w:ind w:left="477" w:right="0" w:firstLine="0"/>
        <w:jc w:val="left"/>
        <w:rPr>
          <w:sz w:val="20"/>
        </w:rPr>
      </w:pPr>
      <w:r>
        <w:rPr>
          <w:position w:val="5"/>
          <w:sz w:val="13"/>
        </w:rPr>
        <w:t>78 </w:t>
      </w:r>
      <w:r>
        <w:rPr>
          <w:sz w:val="20"/>
        </w:rPr>
        <w:t>Sigrid Grün and Jan Neidhardt: Aronia – Unentdeckte Heilpflanze (‘Aronia - Undiscovered Medicinal Plant’), edition buntehunde GdbR, Regens- burg, 2007, p.</w:t>
      </w:r>
      <w:r>
        <w:rPr>
          <w:spacing w:val="-3"/>
          <w:sz w:val="20"/>
        </w:rPr>
        <w:t> </w:t>
      </w:r>
      <w:r>
        <w:rPr>
          <w:sz w:val="20"/>
        </w:rPr>
        <w:t>28</w:t>
      </w:r>
    </w:p>
    <w:p>
      <w:pPr>
        <w:spacing w:line="276" w:lineRule="auto" w:before="61"/>
        <w:ind w:left="477" w:right="0" w:firstLine="0"/>
        <w:jc w:val="left"/>
        <w:rPr>
          <w:sz w:val="20"/>
        </w:rPr>
      </w:pPr>
      <w:r>
        <w:rPr/>
        <w:drawing>
          <wp:anchor distT="0" distB="0" distL="0" distR="0" allowOverlap="1" layoutInCell="1" locked="0" behindDoc="1" simplePos="0" relativeHeight="267168119">
            <wp:simplePos x="0" y="0"/>
            <wp:positionH relativeFrom="page">
              <wp:posOffset>896463</wp:posOffset>
            </wp:positionH>
            <wp:positionV relativeFrom="paragraph">
              <wp:posOffset>82907</wp:posOffset>
            </wp:positionV>
            <wp:extent cx="6379583" cy="902106"/>
            <wp:effectExtent l="0" t="0" r="0" b="0"/>
            <wp:wrapNone/>
            <wp:docPr id="47" name="image2.jpeg" descr=""/>
            <wp:cNvGraphicFramePr>
              <a:graphicFrameLocks noChangeAspect="1"/>
            </wp:cNvGraphicFramePr>
            <a:graphic>
              <a:graphicData uri="http://schemas.openxmlformats.org/drawingml/2006/picture">
                <pic:pic>
                  <pic:nvPicPr>
                    <pic:cNvPr id="48"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79 </w:t>
      </w:r>
      <w:r>
        <w:rPr>
          <w:sz w:val="20"/>
        </w:rPr>
        <w:t>Sigrid Grün and Jan Neidhardt: Aronia – Unentdeckte Heilpflanze (‘Aronia - Undiscovered Medicinal Plant’), edition buntehunde GdbR, Regens- burg, 2007, p.</w:t>
      </w:r>
      <w:r>
        <w:rPr>
          <w:spacing w:val="-4"/>
          <w:sz w:val="20"/>
        </w:rPr>
        <w:t> </w:t>
      </w:r>
      <w:r>
        <w:rPr>
          <w:sz w:val="20"/>
        </w:rPr>
        <w:t>41</w:t>
      </w:r>
    </w:p>
    <w:p>
      <w:pPr>
        <w:spacing w:after="0" w:line="276" w:lineRule="auto"/>
        <w:jc w:val="left"/>
        <w:rPr>
          <w:sz w:val="20"/>
        </w:rPr>
        <w:sectPr>
          <w:footerReference w:type="default" r:id="rId41"/>
          <w:pgSz w:w="14270" w:h="16850"/>
          <w:pgMar w:footer="527" w:header="0" w:top="1600" w:bottom="720" w:left="800" w:right="1280"/>
          <w:pgNumType w:start="194"/>
        </w:sectPr>
      </w:pPr>
    </w:p>
    <w:p>
      <w:pPr>
        <w:pStyle w:val="BodyText"/>
        <w:spacing w:line="276" w:lineRule="auto" w:before="181"/>
        <w:ind w:left="477" w:right="139"/>
        <w:jc w:val="both"/>
      </w:pPr>
      <w:r>
        <w:rPr/>
        <w:t>meals or immediately after meals (not on an empty stomach). If you do not make the juice yourself, you should make sure that it is protected from air and light, otherwise, it will almost certainly lose vital substances. If you make the juice yourself, it goes without saying that you have to keep it airtight and pro- tected from exposure to light, for example in darkened glass bottles.</w:t>
      </w:r>
    </w:p>
    <w:p>
      <w:pPr>
        <w:pStyle w:val="Heading1"/>
        <w:spacing w:before="223"/>
      </w:pPr>
      <w:r>
        <w:rPr/>
        <w:t>Aronia products</w:t>
      </w:r>
    </w:p>
    <w:p>
      <w:pPr>
        <w:pStyle w:val="BodyText"/>
        <w:spacing w:line="276" w:lineRule="auto" w:before="299"/>
        <w:ind w:left="477"/>
      </w:pPr>
      <w:r>
        <w:rPr/>
        <w:t>Aronia berries retain their healing properties both fresh and dried. When dried, they even offer a higher concentration of valuable ingredients.</w:t>
      </w:r>
    </w:p>
    <w:p>
      <w:pPr>
        <w:pStyle w:val="BodyText"/>
        <w:spacing w:line="276" w:lineRule="auto" w:before="241"/>
        <w:ind w:left="477" w:right="132"/>
        <w:jc w:val="both"/>
      </w:pPr>
      <w:r>
        <w:rPr/>
        <w:t>Numerous other products can be made from aronia berries. Aronia juice and aronia</w:t>
      </w:r>
      <w:r>
        <w:rPr>
          <w:spacing w:val="-10"/>
        </w:rPr>
        <w:t> </w:t>
      </w:r>
      <w:r>
        <w:rPr/>
        <w:t>nectar</w:t>
      </w:r>
      <w:r>
        <w:rPr>
          <w:spacing w:val="-9"/>
        </w:rPr>
        <w:t> </w:t>
      </w:r>
      <w:r>
        <w:rPr/>
        <w:t>are</w:t>
      </w:r>
      <w:r>
        <w:rPr>
          <w:spacing w:val="-10"/>
        </w:rPr>
        <w:t> </w:t>
      </w:r>
      <w:r>
        <w:rPr/>
        <w:t>the</w:t>
      </w:r>
      <w:r>
        <w:rPr>
          <w:spacing w:val="-11"/>
        </w:rPr>
        <w:t> </w:t>
      </w:r>
      <w:r>
        <w:rPr/>
        <w:t>most</w:t>
      </w:r>
      <w:r>
        <w:rPr>
          <w:spacing w:val="-11"/>
        </w:rPr>
        <w:t> </w:t>
      </w:r>
      <w:r>
        <w:rPr/>
        <w:t>popular.</w:t>
      </w:r>
      <w:r>
        <w:rPr>
          <w:spacing w:val="-9"/>
        </w:rPr>
        <w:t> </w:t>
      </w:r>
      <w:r>
        <w:rPr/>
        <w:t>The</w:t>
      </w:r>
      <w:r>
        <w:rPr>
          <w:spacing w:val="-10"/>
        </w:rPr>
        <w:t> </w:t>
      </w:r>
      <w:r>
        <w:rPr/>
        <w:t>benefit</w:t>
      </w:r>
      <w:r>
        <w:rPr>
          <w:spacing w:val="-13"/>
        </w:rPr>
        <w:t> </w:t>
      </w:r>
      <w:r>
        <w:rPr/>
        <w:t>of</w:t>
      </w:r>
      <w:r>
        <w:rPr>
          <w:spacing w:val="-9"/>
        </w:rPr>
        <w:t> </w:t>
      </w:r>
      <w:r>
        <w:rPr/>
        <w:t>the</w:t>
      </w:r>
      <w:r>
        <w:rPr>
          <w:spacing w:val="-11"/>
        </w:rPr>
        <w:t> </w:t>
      </w:r>
      <w:r>
        <w:rPr/>
        <w:t>juice</w:t>
      </w:r>
      <w:r>
        <w:rPr>
          <w:spacing w:val="-10"/>
        </w:rPr>
        <w:t> </w:t>
      </w:r>
      <w:r>
        <w:rPr/>
        <w:t>is</w:t>
      </w:r>
      <w:r>
        <w:rPr>
          <w:spacing w:val="-8"/>
        </w:rPr>
        <w:t> </w:t>
      </w:r>
      <w:r>
        <w:rPr/>
        <w:t>that</w:t>
      </w:r>
      <w:r>
        <w:rPr>
          <w:spacing w:val="-12"/>
        </w:rPr>
        <w:t> </w:t>
      </w:r>
      <w:r>
        <w:rPr/>
        <w:t>the</w:t>
      </w:r>
      <w:r>
        <w:rPr>
          <w:spacing w:val="-10"/>
        </w:rPr>
        <w:t> </w:t>
      </w:r>
      <w:r>
        <w:rPr/>
        <w:t>fibres</w:t>
      </w:r>
      <w:r>
        <w:rPr>
          <w:spacing w:val="-11"/>
        </w:rPr>
        <w:t> </w:t>
      </w:r>
      <w:r>
        <w:rPr/>
        <w:t>are already removed from the fruit and therefore digestion is accelerated. The vital substances therefore get into the blood and the cells much</w:t>
      </w:r>
      <w:r>
        <w:rPr>
          <w:spacing w:val="-5"/>
        </w:rPr>
        <w:t> </w:t>
      </w:r>
      <w:r>
        <w:rPr/>
        <w:t>faster.</w:t>
      </w:r>
    </w:p>
    <w:p>
      <w:pPr>
        <w:pStyle w:val="Heading1"/>
        <w:spacing w:before="222"/>
        <w:jc w:val="both"/>
      </w:pPr>
      <w:r>
        <w:rPr/>
        <w:t>Other aronia berry products:</w:t>
      </w:r>
    </w:p>
    <w:p>
      <w:pPr>
        <w:pStyle w:val="ListParagraph"/>
        <w:numPr>
          <w:ilvl w:val="0"/>
          <w:numId w:val="17"/>
        </w:numPr>
        <w:tabs>
          <w:tab w:pos="893" w:val="left" w:leader="none"/>
        </w:tabs>
        <w:spacing w:line="240" w:lineRule="auto" w:before="301" w:after="0"/>
        <w:ind w:left="892" w:right="0" w:hanging="415"/>
        <w:jc w:val="both"/>
        <w:rPr>
          <w:sz w:val="38"/>
        </w:rPr>
      </w:pPr>
      <w:r>
        <w:rPr>
          <w:sz w:val="38"/>
        </w:rPr>
        <w:t>aronia</w:t>
      </w:r>
      <w:r>
        <w:rPr>
          <w:spacing w:val="-2"/>
          <w:sz w:val="38"/>
        </w:rPr>
        <w:t> </w:t>
      </w:r>
      <w:r>
        <w:rPr>
          <w:sz w:val="38"/>
        </w:rPr>
        <w:t>jam</w:t>
      </w:r>
    </w:p>
    <w:p>
      <w:pPr>
        <w:pStyle w:val="ListParagraph"/>
        <w:numPr>
          <w:ilvl w:val="0"/>
          <w:numId w:val="17"/>
        </w:numPr>
        <w:tabs>
          <w:tab w:pos="893" w:val="left" w:leader="none"/>
        </w:tabs>
        <w:spacing w:line="240" w:lineRule="auto" w:before="64" w:after="0"/>
        <w:ind w:left="892" w:right="0" w:hanging="415"/>
        <w:jc w:val="both"/>
        <w:rPr>
          <w:sz w:val="38"/>
        </w:rPr>
      </w:pPr>
      <w:r>
        <w:rPr>
          <w:sz w:val="38"/>
        </w:rPr>
        <w:t>aronia</w:t>
      </w:r>
      <w:r>
        <w:rPr>
          <w:spacing w:val="-2"/>
          <w:sz w:val="38"/>
        </w:rPr>
        <w:t> </w:t>
      </w:r>
      <w:r>
        <w:rPr>
          <w:sz w:val="38"/>
        </w:rPr>
        <w:t>honey</w:t>
      </w:r>
    </w:p>
    <w:p>
      <w:pPr>
        <w:pStyle w:val="ListParagraph"/>
        <w:numPr>
          <w:ilvl w:val="0"/>
          <w:numId w:val="17"/>
        </w:numPr>
        <w:tabs>
          <w:tab w:pos="893" w:val="left" w:leader="none"/>
        </w:tabs>
        <w:spacing w:line="240" w:lineRule="auto" w:before="66" w:after="0"/>
        <w:ind w:left="892" w:right="0" w:hanging="415"/>
        <w:jc w:val="both"/>
        <w:rPr>
          <w:sz w:val="38"/>
        </w:rPr>
      </w:pPr>
      <w:r>
        <w:rPr>
          <w:sz w:val="38"/>
        </w:rPr>
        <w:t>aronia</w:t>
      </w:r>
      <w:r>
        <w:rPr>
          <w:spacing w:val="-2"/>
          <w:sz w:val="38"/>
        </w:rPr>
        <w:t> </w:t>
      </w:r>
      <w:r>
        <w:rPr>
          <w:sz w:val="38"/>
        </w:rPr>
        <w:t>gel</w:t>
      </w:r>
    </w:p>
    <w:p>
      <w:pPr>
        <w:pStyle w:val="ListParagraph"/>
        <w:numPr>
          <w:ilvl w:val="0"/>
          <w:numId w:val="17"/>
        </w:numPr>
        <w:tabs>
          <w:tab w:pos="893" w:val="left" w:leader="none"/>
        </w:tabs>
        <w:spacing w:line="240" w:lineRule="auto" w:before="64" w:after="0"/>
        <w:ind w:left="892" w:right="0" w:hanging="415"/>
        <w:jc w:val="both"/>
        <w:rPr>
          <w:sz w:val="38"/>
        </w:rPr>
      </w:pPr>
      <w:r>
        <w:rPr>
          <w:sz w:val="38"/>
        </w:rPr>
        <w:t>aronia</w:t>
      </w:r>
      <w:r>
        <w:rPr>
          <w:spacing w:val="-2"/>
          <w:sz w:val="38"/>
        </w:rPr>
        <w:t> </w:t>
      </w:r>
      <w:r>
        <w:rPr>
          <w:sz w:val="38"/>
        </w:rPr>
        <w:t>spread</w:t>
      </w:r>
    </w:p>
    <w:p>
      <w:pPr>
        <w:pStyle w:val="ListParagraph"/>
        <w:numPr>
          <w:ilvl w:val="0"/>
          <w:numId w:val="17"/>
        </w:numPr>
        <w:tabs>
          <w:tab w:pos="893" w:val="left" w:leader="none"/>
        </w:tabs>
        <w:spacing w:line="240" w:lineRule="auto" w:before="63" w:after="0"/>
        <w:ind w:left="892" w:right="0" w:hanging="415"/>
        <w:jc w:val="both"/>
        <w:rPr>
          <w:sz w:val="38"/>
        </w:rPr>
      </w:pPr>
      <w:r>
        <w:rPr>
          <w:sz w:val="38"/>
        </w:rPr>
        <w:t>aronia</w:t>
      </w:r>
      <w:r>
        <w:rPr>
          <w:spacing w:val="-2"/>
          <w:sz w:val="38"/>
        </w:rPr>
        <w:t> </w:t>
      </w:r>
      <w:r>
        <w:rPr>
          <w:sz w:val="38"/>
        </w:rPr>
        <w:t>compote</w:t>
      </w:r>
    </w:p>
    <w:p>
      <w:pPr>
        <w:pStyle w:val="ListParagraph"/>
        <w:numPr>
          <w:ilvl w:val="0"/>
          <w:numId w:val="17"/>
        </w:numPr>
        <w:tabs>
          <w:tab w:pos="893" w:val="left" w:leader="none"/>
        </w:tabs>
        <w:spacing w:line="240" w:lineRule="auto" w:before="64" w:after="0"/>
        <w:ind w:left="892" w:right="0" w:hanging="415"/>
        <w:jc w:val="both"/>
        <w:rPr>
          <w:sz w:val="38"/>
        </w:rPr>
      </w:pPr>
      <w:r>
        <w:rPr>
          <w:sz w:val="38"/>
        </w:rPr>
        <w:t>aronia fruit</w:t>
      </w:r>
      <w:r>
        <w:rPr>
          <w:spacing w:val="-2"/>
          <w:sz w:val="38"/>
        </w:rPr>
        <w:t> </w:t>
      </w:r>
      <w:r>
        <w:rPr>
          <w:sz w:val="38"/>
        </w:rPr>
        <w:t>sauce</w:t>
      </w:r>
    </w:p>
    <w:p>
      <w:pPr>
        <w:pStyle w:val="ListParagraph"/>
        <w:numPr>
          <w:ilvl w:val="0"/>
          <w:numId w:val="17"/>
        </w:numPr>
        <w:tabs>
          <w:tab w:pos="893" w:val="left" w:leader="none"/>
        </w:tabs>
        <w:spacing w:line="240" w:lineRule="auto" w:before="64" w:after="0"/>
        <w:ind w:left="892" w:right="0" w:hanging="415"/>
        <w:jc w:val="both"/>
        <w:rPr>
          <w:sz w:val="38"/>
        </w:rPr>
      </w:pPr>
      <w:r>
        <w:rPr>
          <w:sz w:val="38"/>
        </w:rPr>
        <w:t>aronia</w:t>
      </w:r>
      <w:r>
        <w:rPr>
          <w:spacing w:val="-2"/>
          <w:sz w:val="38"/>
        </w:rPr>
        <w:t> </w:t>
      </w:r>
      <w:r>
        <w:rPr>
          <w:sz w:val="38"/>
        </w:rPr>
        <w:t>tea</w:t>
      </w:r>
    </w:p>
    <w:p>
      <w:pPr>
        <w:pStyle w:val="ListParagraph"/>
        <w:numPr>
          <w:ilvl w:val="0"/>
          <w:numId w:val="17"/>
        </w:numPr>
        <w:tabs>
          <w:tab w:pos="893" w:val="left" w:leader="none"/>
        </w:tabs>
        <w:spacing w:line="240" w:lineRule="auto" w:before="66" w:after="0"/>
        <w:ind w:left="892" w:right="0" w:hanging="415"/>
        <w:jc w:val="both"/>
        <w:rPr>
          <w:sz w:val="38"/>
        </w:rPr>
      </w:pPr>
      <w:r>
        <w:rPr>
          <w:sz w:val="38"/>
        </w:rPr>
        <w:t>aronia</w:t>
      </w:r>
      <w:r>
        <w:rPr>
          <w:spacing w:val="-2"/>
          <w:sz w:val="38"/>
        </w:rPr>
        <w:t> </w:t>
      </w:r>
      <w:r>
        <w:rPr>
          <w:sz w:val="38"/>
        </w:rPr>
        <w:t>wine</w:t>
      </w:r>
    </w:p>
    <w:p>
      <w:pPr>
        <w:spacing w:after="0" w:line="240" w:lineRule="auto"/>
        <w:jc w:val="both"/>
        <w:rPr>
          <w:sz w:val="38"/>
        </w:rPr>
        <w:sectPr>
          <w:footerReference w:type="default" r:id="rId42"/>
          <w:pgSz w:w="14270" w:h="16850"/>
          <w:pgMar w:footer="1891" w:header="0" w:top="1600" w:bottom="2080" w:left="800" w:right="1280"/>
          <w:pgNumType w:start="195"/>
        </w:sectPr>
      </w:pPr>
    </w:p>
    <w:p>
      <w:pPr>
        <w:pStyle w:val="BodyText"/>
        <w:spacing w:before="10"/>
        <w:rPr>
          <w:sz w:val="8"/>
        </w:rPr>
      </w:pPr>
    </w:p>
    <w:p>
      <w:pPr>
        <w:pStyle w:val="ListParagraph"/>
        <w:numPr>
          <w:ilvl w:val="0"/>
          <w:numId w:val="17"/>
        </w:numPr>
        <w:tabs>
          <w:tab w:pos="892" w:val="left" w:leader="none"/>
          <w:tab w:pos="893" w:val="left" w:leader="none"/>
        </w:tabs>
        <w:spacing w:line="240" w:lineRule="auto" w:before="83" w:after="0"/>
        <w:ind w:left="892" w:right="0" w:hanging="415"/>
        <w:jc w:val="left"/>
        <w:rPr>
          <w:sz w:val="38"/>
        </w:rPr>
      </w:pPr>
      <w:r>
        <w:rPr>
          <w:sz w:val="38"/>
        </w:rPr>
        <w:t>aronia</w:t>
      </w:r>
      <w:r>
        <w:rPr>
          <w:spacing w:val="-2"/>
          <w:sz w:val="38"/>
        </w:rPr>
        <w:t> </w:t>
      </w:r>
      <w:r>
        <w:rPr>
          <w:sz w:val="38"/>
        </w:rPr>
        <w:t>liqueur</w:t>
      </w:r>
    </w:p>
    <w:p>
      <w:pPr>
        <w:pStyle w:val="ListParagraph"/>
        <w:numPr>
          <w:ilvl w:val="0"/>
          <w:numId w:val="17"/>
        </w:numPr>
        <w:tabs>
          <w:tab w:pos="892" w:val="left" w:leader="none"/>
          <w:tab w:pos="893" w:val="left" w:leader="none"/>
        </w:tabs>
        <w:spacing w:line="240" w:lineRule="auto" w:before="64" w:after="0"/>
        <w:ind w:left="892" w:right="0" w:hanging="415"/>
        <w:jc w:val="left"/>
        <w:rPr>
          <w:sz w:val="38"/>
        </w:rPr>
      </w:pPr>
      <w:r>
        <w:rPr>
          <w:sz w:val="38"/>
        </w:rPr>
        <w:t>aronia</w:t>
      </w:r>
      <w:r>
        <w:rPr>
          <w:spacing w:val="-2"/>
          <w:sz w:val="38"/>
        </w:rPr>
        <w:t> </w:t>
      </w:r>
      <w:r>
        <w:rPr>
          <w:sz w:val="38"/>
        </w:rPr>
        <w:t>cosmetics</w:t>
      </w:r>
    </w:p>
    <w:p>
      <w:pPr>
        <w:pStyle w:val="BodyText"/>
        <w:rPr>
          <w:sz w:val="44"/>
        </w:rPr>
      </w:pPr>
    </w:p>
    <w:p>
      <w:pPr>
        <w:pStyle w:val="BodyText"/>
        <w:spacing w:before="10"/>
        <w:rPr>
          <w:sz w:val="47"/>
        </w:rPr>
      </w:pPr>
    </w:p>
    <w:p>
      <w:pPr>
        <w:pStyle w:val="Heading2"/>
      </w:pPr>
      <w:r>
        <w:rPr/>
        <w:t>Making your own aronia juice</w:t>
      </w:r>
    </w:p>
    <w:p>
      <w:pPr>
        <w:pStyle w:val="BodyText"/>
        <w:spacing w:line="276" w:lineRule="auto" w:before="304"/>
        <w:ind w:left="477" w:right="137"/>
        <w:jc w:val="both"/>
      </w:pPr>
      <w:r>
        <w:rPr/>
        <w:t>It particularly makes sense for diabetics to make their own aronia juice to rule out the possibility of added sugar being present. The natural sweetness of the aronia,</w:t>
      </w:r>
      <w:r>
        <w:rPr>
          <w:spacing w:val="-11"/>
        </w:rPr>
        <w:t> </w:t>
      </w:r>
      <w:r>
        <w:rPr/>
        <w:t>in</w:t>
      </w:r>
      <w:r>
        <w:rPr>
          <w:spacing w:val="-12"/>
        </w:rPr>
        <w:t> </w:t>
      </w:r>
      <w:r>
        <w:rPr/>
        <w:t>contrast,</w:t>
      </w:r>
      <w:r>
        <w:rPr>
          <w:spacing w:val="-10"/>
        </w:rPr>
        <w:t> </w:t>
      </w:r>
      <w:r>
        <w:rPr/>
        <w:t>is</w:t>
      </w:r>
      <w:r>
        <w:rPr>
          <w:spacing w:val="-12"/>
        </w:rPr>
        <w:t> </w:t>
      </w:r>
      <w:r>
        <w:rPr/>
        <w:t>due</w:t>
      </w:r>
      <w:r>
        <w:rPr>
          <w:spacing w:val="-13"/>
        </w:rPr>
        <w:t> </w:t>
      </w:r>
      <w:r>
        <w:rPr/>
        <w:t>to</w:t>
      </w:r>
      <w:r>
        <w:rPr>
          <w:spacing w:val="-10"/>
        </w:rPr>
        <w:t> </w:t>
      </w:r>
      <w:r>
        <w:rPr/>
        <w:t>sorbitol,</w:t>
      </w:r>
      <w:r>
        <w:rPr>
          <w:spacing w:val="-11"/>
        </w:rPr>
        <w:t> </w:t>
      </w:r>
      <w:r>
        <w:rPr/>
        <w:t>a</w:t>
      </w:r>
      <w:r>
        <w:rPr>
          <w:spacing w:val="-9"/>
        </w:rPr>
        <w:t> </w:t>
      </w:r>
      <w:r>
        <w:rPr/>
        <w:t>natural</w:t>
      </w:r>
      <w:r>
        <w:rPr>
          <w:spacing w:val="-12"/>
        </w:rPr>
        <w:t> </w:t>
      </w:r>
      <w:r>
        <w:rPr/>
        <w:t>sugar</w:t>
      </w:r>
      <w:r>
        <w:rPr>
          <w:spacing w:val="-11"/>
        </w:rPr>
        <w:t> </w:t>
      </w:r>
      <w:r>
        <w:rPr/>
        <w:t>substitute</w:t>
      </w:r>
      <w:r>
        <w:rPr>
          <w:spacing w:val="-12"/>
        </w:rPr>
        <w:t> </w:t>
      </w:r>
      <w:r>
        <w:rPr/>
        <w:t>that</w:t>
      </w:r>
      <w:r>
        <w:rPr>
          <w:spacing w:val="-12"/>
        </w:rPr>
        <w:t> </w:t>
      </w:r>
      <w:r>
        <w:rPr/>
        <w:t>barely</w:t>
      </w:r>
      <w:r>
        <w:rPr>
          <w:spacing w:val="-12"/>
        </w:rPr>
        <w:t> </w:t>
      </w:r>
      <w:r>
        <w:rPr/>
        <w:t>raises blood sugar levels. The juice yield is between 75 and 80</w:t>
      </w:r>
      <w:r>
        <w:rPr>
          <w:spacing w:val="4"/>
        </w:rPr>
        <w:t> </w:t>
      </w:r>
      <w:r>
        <w:rPr/>
        <w:t>%.</w:t>
      </w:r>
    </w:p>
    <w:p>
      <w:pPr>
        <w:pStyle w:val="Heading1"/>
        <w:spacing w:line="261" w:lineRule="auto" w:before="225"/>
      </w:pPr>
      <w:r>
        <w:rPr/>
        <w:t>The</w:t>
      </w:r>
      <w:r>
        <w:rPr>
          <w:spacing w:val="-23"/>
        </w:rPr>
        <w:t> </w:t>
      </w:r>
      <w:r>
        <w:rPr/>
        <w:t>following</w:t>
      </w:r>
      <w:r>
        <w:rPr>
          <w:spacing w:val="-22"/>
        </w:rPr>
        <w:t> </w:t>
      </w:r>
      <w:r>
        <w:rPr/>
        <w:t>instructions</w:t>
      </w:r>
      <w:r>
        <w:rPr>
          <w:spacing w:val="-23"/>
        </w:rPr>
        <w:t> </w:t>
      </w:r>
      <w:r>
        <w:rPr/>
        <w:t>can</w:t>
      </w:r>
      <w:r>
        <w:rPr>
          <w:spacing w:val="-23"/>
        </w:rPr>
        <w:t> </w:t>
      </w:r>
      <w:r>
        <w:rPr/>
        <w:t>be</w:t>
      </w:r>
      <w:r>
        <w:rPr>
          <w:spacing w:val="-24"/>
        </w:rPr>
        <w:t> </w:t>
      </w:r>
      <w:r>
        <w:rPr/>
        <w:t>used</w:t>
      </w:r>
      <w:r>
        <w:rPr>
          <w:spacing w:val="-23"/>
        </w:rPr>
        <w:t> </w:t>
      </w:r>
      <w:r>
        <w:rPr/>
        <w:t>to</w:t>
      </w:r>
      <w:r>
        <w:rPr>
          <w:spacing w:val="-24"/>
        </w:rPr>
        <w:t> </w:t>
      </w:r>
      <w:r>
        <w:rPr/>
        <w:t>make</w:t>
      </w:r>
      <w:r>
        <w:rPr>
          <w:spacing w:val="-23"/>
        </w:rPr>
        <w:t> </w:t>
      </w:r>
      <w:r>
        <w:rPr/>
        <w:t>a</w:t>
      </w:r>
      <w:r>
        <w:rPr>
          <w:spacing w:val="-22"/>
        </w:rPr>
        <w:t> </w:t>
      </w:r>
      <w:r>
        <w:rPr/>
        <w:t>healthy</w:t>
      </w:r>
      <w:r>
        <w:rPr>
          <w:spacing w:val="-22"/>
        </w:rPr>
        <w:t> </w:t>
      </w:r>
      <w:r>
        <w:rPr/>
        <w:t>aronia</w:t>
      </w:r>
      <w:r>
        <w:rPr>
          <w:spacing w:val="-24"/>
        </w:rPr>
        <w:t> </w:t>
      </w:r>
      <w:r>
        <w:rPr/>
        <w:t>berry juice</w:t>
      </w:r>
      <w:r>
        <w:rPr>
          <w:spacing w:val="-8"/>
        </w:rPr>
        <w:t> </w:t>
      </w:r>
      <w:r>
        <w:rPr/>
        <w:t>yourself:</w:t>
      </w:r>
    </w:p>
    <w:p>
      <w:pPr>
        <w:pStyle w:val="ListParagraph"/>
        <w:numPr>
          <w:ilvl w:val="0"/>
          <w:numId w:val="19"/>
        </w:numPr>
        <w:tabs>
          <w:tab w:pos="1198" w:val="left" w:leader="none"/>
        </w:tabs>
        <w:spacing w:line="240" w:lineRule="auto" w:before="258" w:after="0"/>
        <w:ind w:left="1197" w:right="0" w:hanging="360"/>
        <w:jc w:val="left"/>
        <w:rPr>
          <w:sz w:val="38"/>
        </w:rPr>
      </w:pPr>
      <w:r>
        <w:rPr>
          <w:sz w:val="38"/>
        </w:rPr>
        <w:t>Blend the berries in the</w:t>
      </w:r>
      <w:r>
        <w:rPr>
          <w:spacing w:val="2"/>
          <w:sz w:val="38"/>
        </w:rPr>
        <w:t> </w:t>
      </w:r>
      <w:r>
        <w:rPr>
          <w:sz w:val="38"/>
        </w:rPr>
        <w:t>blender.</w:t>
      </w:r>
    </w:p>
    <w:p>
      <w:pPr>
        <w:pStyle w:val="ListParagraph"/>
        <w:numPr>
          <w:ilvl w:val="0"/>
          <w:numId w:val="19"/>
        </w:numPr>
        <w:tabs>
          <w:tab w:pos="1198" w:val="left" w:leader="none"/>
        </w:tabs>
        <w:spacing w:line="240" w:lineRule="auto" w:before="185" w:after="0"/>
        <w:ind w:left="1197" w:right="0" w:hanging="360"/>
        <w:jc w:val="left"/>
        <w:rPr>
          <w:sz w:val="38"/>
        </w:rPr>
      </w:pPr>
      <w:r>
        <w:rPr>
          <w:sz w:val="38"/>
        </w:rPr>
        <w:t>Boil 1.2 l of water and mix the</w:t>
      </w:r>
      <w:r>
        <w:rPr>
          <w:spacing w:val="2"/>
          <w:sz w:val="38"/>
        </w:rPr>
        <w:t> </w:t>
      </w:r>
      <w:r>
        <w:rPr>
          <w:sz w:val="38"/>
        </w:rPr>
        <w:t>berries.</w:t>
      </w:r>
    </w:p>
    <w:p>
      <w:pPr>
        <w:pStyle w:val="ListParagraph"/>
        <w:numPr>
          <w:ilvl w:val="0"/>
          <w:numId w:val="19"/>
        </w:numPr>
        <w:tabs>
          <w:tab w:pos="1198" w:val="left" w:leader="none"/>
        </w:tabs>
        <w:spacing w:line="240" w:lineRule="auto" w:before="185" w:after="0"/>
        <w:ind w:left="1197" w:right="0" w:hanging="360"/>
        <w:jc w:val="left"/>
        <w:rPr>
          <w:sz w:val="38"/>
        </w:rPr>
      </w:pPr>
      <w:r>
        <w:rPr>
          <w:sz w:val="38"/>
        </w:rPr>
        <w:t>Cool the pot overnight, preferably in the fridge.</w:t>
      </w:r>
    </w:p>
    <w:p>
      <w:pPr>
        <w:pStyle w:val="ListParagraph"/>
        <w:numPr>
          <w:ilvl w:val="0"/>
          <w:numId w:val="19"/>
        </w:numPr>
        <w:tabs>
          <w:tab w:pos="1191" w:val="left" w:leader="none"/>
        </w:tabs>
        <w:spacing w:line="240" w:lineRule="auto" w:before="184" w:after="0"/>
        <w:ind w:left="1190" w:right="0" w:hanging="356"/>
        <w:jc w:val="left"/>
        <w:rPr>
          <w:sz w:val="38"/>
        </w:rPr>
      </w:pPr>
      <w:r>
        <w:rPr>
          <w:sz w:val="38"/>
        </w:rPr>
        <w:t>Press</w:t>
      </w:r>
      <w:r>
        <w:rPr>
          <w:spacing w:val="-6"/>
          <w:sz w:val="38"/>
        </w:rPr>
        <w:t> </w:t>
      </w:r>
      <w:r>
        <w:rPr>
          <w:sz w:val="38"/>
        </w:rPr>
        <w:t>the</w:t>
      </w:r>
      <w:r>
        <w:rPr>
          <w:spacing w:val="-7"/>
          <w:sz w:val="38"/>
        </w:rPr>
        <w:t> </w:t>
      </w:r>
      <w:r>
        <w:rPr>
          <w:sz w:val="38"/>
        </w:rPr>
        <w:t>liquid</w:t>
      </w:r>
      <w:r>
        <w:rPr>
          <w:spacing w:val="-6"/>
          <w:sz w:val="38"/>
        </w:rPr>
        <w:t> </w:t>
      </w:r>
      <w:r>
        <w:rPr>
          <w:sz w:val="38"/>
        </w:rPr>
        <w:t>through</w:t>
      </w:r>
      <w:r>
        <w:rPr>
          <w:spacing w:val="-5"/>
          <w:sz w:val="38"/>
        </w:rPr>
        <w:t> </w:t>
      </w:r>
      <w:r>
        <w:rPr>
          <w:sz w:val="38"/>
        </w:rPr>
        <w:t>a</w:t>
      </w:r>
      <w:r>
        <w:rPr>
          <w:spacing w:val="-7"/>
          <w:sz w:val="38"/>
        </w:rPr>
        <w:t> </w:t>
      </w:r>
      <w:r>
        <w:rPr>
          <w:sz w:val="38"/>
        </w:rPr>
        <w:t>linen</w:t>
      </w:r>
      <w:r>
        <w:rPr>
          <w:spacing w:val="-7"/>
          <w:sz w:val="38"/>
        </w:rPr>
        <w:t> </w:t>
      </w:r>
      <w:r>
        <w:rPr>
          <w:sz w:val="38"/>
        </w:rPr>
        <w:t>cloth</w:t>
      </w:r>
      <w:r>
        <w:rPr>
          <w:spacing w:val="-5"/>
          <w:sz w:val="38"/>
        </w:rPr>
        <w:t> </w:t>
      </w:r>
      <w:r>
        <w:rPr>
          <w:sz w:val="38"/>
        </w:rPr>
        <w:t>and</w:t>
      </w:r>
      <w:r>
        <w:rPr>
          <w:spacing w:val="-6"/>
          <w:sz w:val="38"/>
        </w:rPr>
        <w:t> </w:t>
      </w:r>
      <w:r>
        <w:rPr>
          <w:sz w:val="38"/>
        </w:rPr>
        <w:t>mix</w:t>
      </w:r>
      <w:r>
        <w:rPr>
          <w:spacing w:val="-7"/>
          <w:sz w:val="38"/>
        </w:rPr>
        <w:t> </w:t>
      </w:r>
      <w:r>
        <w:rPr>
          <w:sz w:val="38"/>
        </w:rPr>
        <w:t>with</w:t>
      </w:r>
      <w:r>
        <w:rPr>
          <w:spacing w:val="-6"/>
          <w:sz w:val="38"/>
        </w:rPr>
        <w:t> </w:t>
      </w:r>
      <w:r>
        <w:rPr>
          <w:sz w:val="38"/>
        </w:rPr>
        <w:t>approx.</w:t>
      </w:r>
      <w:r>
        <w:rPr>
          <w:spacing w:val="-9"/>
          <w:sz w:val="38"/>
        </w:rPr>
        <w:t> </w:t>
      </w:r>
      <w:r>
        <w:rPr>
          <w:sz w:val="38"/>
        </w:rPr>
        <w:t>200</w:t>
      </w:r>
      <w:r>
        <w:rPr>
          <w:spacing w:val="-7"/>
          <w:sz w:val="38"/>
        </w:rPr>
        <w:t> </w:t>
      </w:r>
      <w:r>
        <w:rPr>
          <w:sz w:val="38"/>
        </w:rPr>
        <w:t>g</w:t>
      </w:r>
      <w:r>
        <w:rPr>
          <w:spacing w:val="-8"/>
          <w:sz w:val="38"/>
        </w:rPr>
        <w:t> </w:t>
      </w:r>
      <w:r>
        <w:rPr>
          <w:sz w:val="38"/>
        </w:rPr>
        <w:t>of</w:t>
      </w:r>
      <w:r>
        <w:rPr>
          <w:spacing w:val="-6"/>
          <w:sz w:val="38"/>
        </w:rPr>
        <w:t> </w:t>
      </w:r>
      <w:r>
        <w:rPr>
          <w:sz w:val="38"/>
        </w:rPr>
        <w:t>sugar.</w:t>
      </w:r>
    </w:p>
    <w:p>
      <w:pPr>
        <w:pStyle w:val="Heading2"/>
        <w:spacing w:before="305"/>
        <w:jc w:val="both"/>
      </w:pPr>
      <w:r>
        <w:rPr/>
        <w:t>Buy aronia juice</w:t>
      </w:r>
    </w:p>
    <w:p>
      <w:pPr>
        <w:pStyle w:val="BodyText"/>
        <w:spacing w:line="276" w:lineRule="auto" w:before="304"/>
        <w:ind w:left="477" w:right="133"/>
        <w:jc w:val="both"/>
      </w:pPr>
      <w:r>
        <w:rPr/>
        <w:t>When buying the aronia juice, it is important to be on the alert and make sure that</w:t>
      </w:r>
      <w:r>
        <w:rPr>
          <w:spacing w:val="-21"/>
        </w:rPr>
        <w:t> </w:t>
      </w:r>
      <w:r>
        <w:rPr/>
        <w:t>it</w:t>
      </w:r>
      <w:r>
        <w:rPr>
          <w:spacing w:val="-21"/>
        </w:rPr>
        <w:t> </w:t>
      </w:r>
      <w:r>
        <w:rPr/>
        <w:t>is</w:t>
      </w:r>
      <w:r>
        <w:rPr>
          <w:spacing w:val="-22"/>
        </w:rPr>
        <w:t> </w:t>
      </w:r>
      <w:r>
        <w:rPr/>
        <w:t>100</w:t>
      </w:r>
      <w:r>
        <w:rPr>
          <w:spacing w:val="-23"/>
        </w:rPr>
        <w:t> </w:t>
      </w:r>
      <w:r>
        <w:rPr/>
        <w:t>%</w:t>
      </w:r>
      <w:r>
        <w:rPr>
          <w:spacing w:val="-21"/>
        </w:rPr>
        <w:t> </w:t>
      </w:r>
      <w:r>
        <w:rPr/>
        <w:t>pure</w:t>
      </w:r>
      <w:r>
        <w:rPr>
          <w:spacing w:val="-21"/>
        </w:rPr>
        <w:t> </w:t>
      </w:r>
      <w:r>
        <w:rPr/>
        <w:t>aronia</w:t>
      </w:r>
      <w:r>
        <w:rPr>
          <w:spacing w:val="-21"/>
        </w:rPr>
        <w:t> </w:t>
      </w:r>
      <w:r>
        <w:rPr/>
        <w:t>juice,</w:t>
      </w:r>
      <w:r>
        <w:rPr>
          <w:spacing w:val="-21"/>
        </w:rPr>
        <w:t> </w:t>
      </w:r>
      <w:r>
        <w:rPr/>
        <w:t>so-called</w:t>
      </w:r>
      <w:r>
        <w:rPr>
          <w:spacing w:val="-23"/>
        </w:rPr>
        <w:t> </w:t>
      </w:r>
      <w:r>
        <w:rPr/>
        <w:t>‘100</w:t>
      </w:r>
      <w:r>
        <w:rPr>
          <w:spacing w:val="-22"/>
        </w:rPr>
        <w:t> </w:t>
      </w:r>
      <w:r>
        <w:rPr/>
        <w:t>%</w:t>
      </w:r>
      <w:r>
        <w:rPr>
          <w:spacing w:val="-21"/>
        </w:rPr>
        <w:t> </w:t>
      </w:r>
      <w:r>
        <w:rPr/>
        <w:t>juice’.</w:t>
      </w:r>
      <w:r>
        <w:rPr>
          <w:spacing w:val="-20"/>
        </w:rPr>
        <w:t> </w:t>
      </w:r>
      <w:r>
        <w:rPr/>
        <w:t>Often,</w:t>
      </w:r>
      <w:r>
        <w:rPr>
          <w:spacing w:val="-21"/>
        </w:rPr>
        <w:t> </w:t>
      </w:r>
      <w:r>
        <w:rPr/>
        <w:t>supposed</w:t>
      </w:r>
      <w:r>
        <w:rPr>
          <w:spacing w:val="-20"/>
        </w:rPr>
        <w:t> </w:t>
      </w:r>
      <w:r>
        <w:rPr/>
        <w:t>aronia juices</w:t>
      </w:r>
      <w:r>
        <w:rPr>
          <w:spacing w:val="-12"/>
        </w:rPr>
        <w:t> </w:t>
      </w:r>
      <w:r>
        <w:rPr/>
        <w:t>are</w:t>
      </w:r>
      <w:r>
        <w:rPr>
          <w:spacing w:val="-11"/>
        </w:rPr>
        <w:t> </w:t>
      </w:r>
      <w:r>
        <w:rPr/>
        <w:t>found</w:t>
      </w:r>
      <w:r>
        <w:rPr>
          <w:spacing w:val="-13"/>
        </w:rPr>
        <w:t> </w:t>
      </w:r>
      <w:r>
        <w:rPr/>
        <w:t>in</w:t>
      </w:r>
      <w:r>
        <w:rPr>
          <w:spacing w:val="-13"/>
        </w:rPr>
        <w:t> </w:t>
      </w:r>
      <w:r>
        <w:rPr/>
        <w:t>shops</w:t>
      </w:r>
      <w:r>
        <w:rPr>
          <w:spacing w:val="-11"/>
        </w:rPr>
        <w:t> </w:t>
      </w:r>
      <w:r>
        <w:rPr/>
        <w:t>which</w:t>
      </w:r>
      <w:r>
        <w:rPr>
          <w:spacing w:val="-16"/>
        </w:rPr>
        <w:t> </w:t>
      </w:r>
      <w:r>
        <w:rPr/>
        <w:t>only</w:t>
      </w:r>
      <w:r>
        <w:rPr>
          <w:spacing w:val="-13"/>
        </w:rPr>
        <w:t> </w:t>
      </w:r>
      <w:r>
        <w:rPr/>
        <w:t>contain</w:t>
      </w:r>
      <w:r>
        <w:rPr>
          <w:spacing w:val="-14"/>
        </w:rPr>
        <w:t> </w:t>
      </w:r>
      <w:r>
        <w:rPr/>
        <w:t>a</w:t>
      </w:r>
      <w:r>
        <w:rPr>
          <w:spacing w:val="-13"/>
        </w:rPr>
        <w:t> </w:t>
      </w:r>
      <w:r>
        <w:rPr/>
        <w:t>small</w:t>
      </w:r>
      <w:r>
        <w:rPr>
          <w:spacing w:val="-13"/>
        </w:rPr>
        <w:t> </w:t>
      </w:r>
      <w:r>
        <w:rPr/>
        <w:t>amount</w:t>
      </w:r>
      <w:r>
        <w:rPr>
          <w:spacing w:val="-12"/>
        </w:rPr>
        <w:t> </w:t>
      </w:r>
      <w:r>
        <w:rPr/>
        <w:t>of</w:t>
      </w:r>
      <w:r>
        <w:rPr>
          <w:spacing w:val="-14"/>
        </w:rPr>
        <w:t> </w:t>
      </w:r>
      <w:r>
        <w:rPr/>
        <w:t>aronia</w:t>
      </w:r>
      <w:r>
        <w:rPr>
          <w:spacing w:val="-12"/>
        </w:rPr>
        <w:t> </w:t>
      </w:r>
      <w:r>
        <w:rPr/>
        <w:t>juice</w:t>
      </w:r>
      <w:r>
        <w:rPr>
          <w:spacing w:val="-12"/>
        </w:rPr>
        <w:t> </w:t>
      </w:r>
      <w:r>
        <w:rPr/>
        <w:t>and more</w:t>
      </w:r>
      <w:r>
        <w:rPr>
          <w:spacing w:val="-11"/>
        </w:rPr>
        <w:t> </w:t>
      </w:r>
      <w:r>
        <w:rPr/>
        <w:t>water</w:t>
      </w:r>
      <w:r>
        <w:rPr>
          <w:spacing w:val="-11"/>
        </w:rPr>
        <w:t> </w:t>
      </w:r>
      <w:r>
        <w:rPr/>
        <w:t>or</w:t>
      </w:r>
      <w:r>
        <w:rPr>
          <w:spacing w:val="-11"/>
        </w:rPr>
        <w:t> </w:t>
      </w:r>
      <w:r>
        <w:rPr/>
        <w:t>a</w:t>
      </w:r>
      <w:r>
        <w:rPr>
          <w:spacing w:val="-9"/>
        </w:rPr>
        <w:t> </w:t>
      </w:r>
      <w:r>
        <w:rPr/>
        <w:t>juice</w:t>
      </w:r>
      <w:r>
        <w:rPr>
          <w:spacing w:val="-12"/>
        </w:rPr>
        <w:t> </w:t>
      </w:r>
      <w:r>
        <w:rPr/>
        <w:t>mixture</w:t>
      </w:r>
      <w:r>
        <w:rPr>
          <w:spacing w:val="-11"/>
        </w:rPr>
        <w:t> </w:t>
      </w:r>
      <w:r>
        <w:rPr/>
        <w:t>of</w:t>
      </w:r>
      <w:r>
        <w:rPr>
          <w:spacing w:val="-9"/>
        </w:rPr>
        <w:t> </w:t>
      </w:r>
      <w:r>
        <w:rPr/>
        <w:t>several</w:t>
      </w:r>
      <w:r>
        <w:rPr>
          <w:spacing w:val="-13"/>
        </w:rPr>
        <w:t> </w:t>
      </w:r>
      <w:r>
        <w:rPr/>
        <w:t>fruits.</w:t>
      </w:r>
      <w:r>
        <w:rPr>
          <w:spacing w:val="-11"/>
        </w:rPr>
        <w:t> </w:t>
      </w:r>
      <w:r>
        <w:rPr/>
        <w:t>The</w:t>
      </w:r>
      <w:r>
        <w:rPr>
          <w:spacing w:val="-10"/>
        </w:rPr>
        <w:t> </w:t>
      </w:r>
      <w:r>
        <w:rPr/>
        <w:t>juice</w:t>
      </w:r>
      <w:r>
        <w:rPr>
          <w:spacing w:val="-12"/>
        </w:rPr>
        <w:t> </w:t>
      </w:r>
      <w:r>
        <w:rPr/>
        <w:t>should</w:t>
      </w:r>
      <w:r>
        <w:rPr>
          <w:spacing w:val="-10"/>
        </w:rPr>
        <w:t> </w:t>
      </w:r>
      <w:r>
        <w:rPr/>
        <w:t>not</w:t>
      </w:r>
      <w:r>
        <w:rPr>
          <w:spacing w:val="-11"/>
        </w:rPr>
        <w:t> </w:t>
      </w:r>
      <w:r>
        <w:rPr/>
        <w:t>have</w:t>
      </w:r>
      <w:r>
        <w:rPr>
          <w:spacing w:val="-11"/>
        </w:rPr>
        <w:t> </w:t>
      </w:r>
      <w:r>
        <w:rPr/>
        <w:t>added</w:t>
      </w:r>
    </w:p>
    <w:p>
      <w:pPr>
        <w:spacing w:after="0" w:line="276" w:lineRule="auto"/>
        <w:jc w:val="both"/>
        <w:sectPr>
          <w:pgSz w:w="14270" w:h="16850"/>
          <w:pgMar w:header="0" w:footer="1891" w:top="1600" w:bottom="2080" w:left="800" w:right="1280"/>
        </w:sectPr>
      </w:pPr>
    </w:p>
    <w:p>
      <w:pPr>
        <w:pStyle w:val="BodyText"/>
        <w:spacing w:line="276" w:lineRule="auto" w:before="181"/>
        <w:ind w:left="477" w:right="76"/>
      </w:pPr>
      <w:r>
        <w:rPr/>
        <w:t>sugar or be mixed with preservatives. Furthermore, it should be packed airtight and protected from light.</w:t>
      </w:r>
    </w:p>
    <w:p>
      <w:pPr>
        <w:pStyle w:val="BodyText"/>
        <w:spacing w:before="8"/>
        <w:rPr>
          <w:sz w:val="42"/>
        </w:rPr>
      </w:pPr>
    </w:p>
    <w:p>
      <w:pPr>
        <w:pStyle w:val="Heading2"/>
        <w:spacing w:before="1"/>
      </w:pPr>
      <w:r>
        <w:rPr/>
        <w:t>Are there any interactions or side effects?</w:t>
      </w:r>
    </w:p>
    <w:p>
      <w:pPr>
        <w:pStyle w:val="BodyText"/>
        <w:spacing w:line="276" w:lineRule="auto" w:before="304"/>
        <w:ind w:left="477" w:right="133"/>
        <w:jc w:val="both"/>
      </w:pPr>
      <w:r>
        <w:rPr/>
        <w:t>Like</w:t>
      </w:r>
      <w:r>
        <w:rPr>
          <w:spacing w:val="-26"/>
        </w:rPr>
        <w:t> </w:t>
      </w:r>
      <w:r>
        <w:rPr/>
        <w:t>the</w:t>
      </w:r>
      <w:r>
        <w:rPr>
          <w:spacing w:val="-23"/>
        </w:rPr>
        <w:t> </w:t>
      </w:r>
      <w:r>
        <w:rPr/>
        <w:t>currant,</w:t>
      </w:r>
      <w:r>
        <w:rPr>
          <w:spacing w:val="-24"/>
        </w:rPr>
        <w:t> </w:t>
      </w:r>
      <w:r>
        <w:rPr/>
        <w:t>blueberry</w:t>
      </w:r>
      <w:r>
        <w:rPr>
          <w:spacing w:val="-24"/>
        </w:rPr>
        <w:t> </w:t>
      </w:r>
      <w:r>
        <w:rPr/>
        <w:t>etc.,</w:t>
      </w:r>
      <w:r>
        <w:rPr>
          <w:spacing w:val="-24"/>
        </w:rPr>
        <w:t> </w:t>
      </w:r>
      <w:r>
        <w:rPr/>
        <w:t>the</w:t>
      </w:r>
      <w:r>
        <w:rPr>
          <w:spacing w:val="-24"/>
        </w:rPr>
        <w:t> </w:t>
      </w:r>
      <w:r>
        <w:rPr/>
        <w:t>aronia</w:t>
      </w:r>
      <w:r>
        <w:rPr>
          <w:spacing w:val="-24"/>
        </w:rPr>
        <w:t> </w:t>
      </w:r>
      <w:r>
        <w:rPr/>
        <w:t>berry</w:t>
      </w:r>
      <w:r>
        <w:rPr>
          <w:spacing w:val="-25"/>
        </w:rPr>
        <w:t> </w:t>
      </w:r>
      <w:r>
        <w:rPr/>
        <w:t>is</w:t>
      </w:r>
      <w:r>
        <w:rPr>
          <w:spacing w:val="-23"/>
        </w:rPr>
        <w:t> </w:t>
      </w:r>
      <w:r>
        <w:rPr/>
        <w:t>completely</w:t>
      </w:r>
      <w:r>
        <w:rPr>
          <w:spacing w:val="-25"/>
        </w:rPr>
        <w:t> </w:t>
      </w:r>
      <w:r>
        <w:rPr/>
        <w:t>free</w:t>
      </w:r>
      <w:r>
        <w:rPr>
          <w:spacing w:val="-26"/>
        </w:rPr>
        <w:t> </w:t>
      </w:r>
      <w:r>
        <w:rPr/>
        <w:t>of</w:t>
      </w:r>
      <w:r>
        <w:rPr>
          <w:spacing w:val="-23"/>
        </w:rPr>
        <w:t> </w:t>
      </w:r>
      <w:r>
        <w:rPr/>
        <w:t>side</w:t>
      </w:r>
      <w:r>
        <w:rPr>
          <w:spacing w:val="-24"/>
        </w:rPr>
        <w:t> </w:t>
      </w:r>
      <w:r>
        <w:rPr/>
        <w:t>effects or drug interactions. Nevertheless, it is advisable to start taking aronia slowly and initially dilute the juice with water (or herbal tea) in a ratio of 1:3 (aronia</w:t>
      </w:r>
      <w:r>
        <w:rPr>
          <w:spacing w:val="-55"/>
        </w:rPr>
        <w:t> </w:t>
      </w:r>
      <w:r>
        <w:rPr/>
        <w:t>to water).</w:t>
      </w:r>
      <w:r>
        <w:rPr>
          <w:spacing w:val="-16"/>
        </w:rPr>
        <w:t> </w:t>
      </w:r>
      <w:r>
        <w:rPr/>
        <w:t>This</w:t>
      </w:r>
      <w:r>
        <w:rPr>
          <w:spacing w:val="-15"/>
        </w:rPr>
        <w:t> </w:t>
      </w:r>
      <w:r>
        <w:rPr/>
        <w:t>is</w:t>
      </w:r>
      <w:r>
        <w:rPr>
          <w:spacing w:val="-16"/>
        </w:rPr>
        <w:t> </w:t>
      </w:r>
      <w:r>
        <w:rPr/>
        <w:t>because</w:t>
      </w:r>
      <w:r>
        <w:rPr>
          <w:spacing w:val="-16"/>
        </w:rPr>
        <w:t> </w:t>
      </w:r>
      <w:r>
        <w:rPr/>
        <w:t>the</w:t>
      </w:r>
      <w:r>
        <w:rPr>
          <w:spacing w:val="-15"/>
        </w:rPr>
        <w:t> </w:t>
      </w:r>
      <w:r>
        <w:rPr/>
        <w:t>pure</w:t>
      </w:r>
      <w:r>
        <w:rPr>
          <w:spacing w:val="-15"/>
        </w:rPr>
        <w:t> </w:t>
      </w:r>
      <w:r>
        <w:rPr/>
        <w:t>juice</w:t>
      </w:r>
      <w:r>
        <w:rPr>
          <w:spacing w:val="-16"/>
        </w:rPr>
        <w:t> </w:t>
      </w:r>
      <w:r>
        <w:rPr/>
        <w:t>may</w:t>
      </w:r>
      <w:r>
        <w:rPr>
          <w:spacing w:val="-16"/>
        </w:rPr>
        <w:t> </w:t>
      </w:r>
      <w:r>
        <w:rPr/>
        <w:t>lead</w:t>
      </w:r>
      <w:r>
        <w:rPr>
          <w:spacing w:val="-16"/>
        </w:rPr>
        <w:t> </w:t>
      </w:r>
      <w:r>
        <w:rPr/>
        <w:t>to</w:t>
      </w:r>
      <w:r>
        <w:rPr>
          <w:spacing w:val="-14"/>
        </w:rPr>
        <w:t> </w:t>
      </w:r>
      <w:r>
        <w:rPr/>
        <w:t>initial</w:t>
      </w:r>
      <w:r>
        <w:rPr>
          <w:spacing w:val="-17"/>
        </w:rPr>
        <w:t> </w:t>
      </w:r>
      <w:r>
        <w:rPr/>
        <w:t>problems</w:t>
      </w:r>
      <w:r>
        <w:rPr>
          <w:spacing w:val="-15"/>
        </w:rPr>
        <w:t> </w:t>
      </w:r>
      <w:r>
        <w:rPr/>
        <w:t>in</w:t>
      </w:r>
      <w:r>
        <w:rPr>
          <w:spacing w:val="-15"/>
        </w:rPr>
        <w:t> </w:t>
      </w:r>
      <w:r>
        <w:rPr/>
        <w:t>people</w:t>
      </w:r>
      <w:r>
        <w:rPr>
          <w:spacing w:val="-16"/>
        </w:rPr>
        <w:t> </w:t>
      </w:r>
      <w:r>
        <w:rPr/>
        <w:t>with irritated gastric mucosa, and people who have a disturbed intestinal flora tem- porarily get</w:t>
      </w:r>
      <w:r>
        <w:rPr>
          <w:spacing w:val="-2"/>
        </w:rPr>
        <w:t> </w:t>
      </w:r>
      <w:r>
        <w:rPr/>
        <w:t>diarrhoea.</w:t>
      </w: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spacing w:before="3"/>
        <w:rPr>
          <w:sz w:val="47"/>
        </w:rPr>
      </w:pPr>
    </w:p>
    <w:p>
      <w:pPr>
        <w:spacing w:before="0"/>
        <w:ind w:left="477" w:right="0" w:firstLine="0"/>
        <w:jc w:val="left"/>
        <w:rPr>
          <w:rFonts w:ascii="Cambria"/>
          <w:b/>
          <w:sz w:val="28"/>
        </w:rPr>
      </w:pPr>
      <w:r>
        <w:rPr>
          <w:rFonts w:ascii="Cambria"/>
          <w:b/>
          <w:color w:val="365F91"/>
          <w:sz w:val="28"/>
        </w:rPr>
        <w:t>ASTRAGALUS MEMBRANACEUS</w:t>
      </w:r>
    </w:p>
    <w:p>
      <w:pPr>
        <w:pStyle w:val="BodyText"/>
        <w:rPr>
          <w:rFonts w:ascii="Cambria"/>
          <w:b/>
          <w:sz w:val="45"/>
        </w:rPr>
      </w:pPr>
    </w:p>
    <w:p>
      <w:pPr>
        <w:pStyle w:val="Heading2"/>
      </w:pPr>
      <w:r>
        <w:rPr/>
        <w:t>A Chinese root with extraordinary abilities</w:t>
      </w:r>
    </w:p>
    <w:p>
      <w:pPr>
        <w:spacing w:before="287"/>
        <w:ind w:left="477" w:right="0" w:firstLine="0"/>
        <w:jc w:val="left"/>
        <w:rPr>
          <w:b/>
          <w:i/>
          <w:sz w:val="40"/>
        </w:rPr>
      </w:pPr>
      <w:r>
        <w:rPr>
          <w:b/>
          <w:i/>
          <w:sz w:val="40"/>
        </w:rPr>
        <w:t>The name</w:t>
      </w:r>
    </w:p>
    <w:p>
      <w:pPr>
        <w:pStyle w:val="BodyText"/>
        <w:spacing w:line="276" w:lineRule="auto" w:before="300"/>
        <w:ind w:left="477" w:right="40"/>
      </w:pPr>
      <w:r>
        <w:rPr/>
        <w:t>The botanical name is ‘astragalus membranaceus’ (also ‘astragalus propinquus’), the pharmaceutical name is ‘Astragali Radix’, the German name is ‘Mongolian</w:t>
      </w:r>
    </w:p>
    <w:p>
      <w:pPr>
        <w:spacing w:after="0" w:line="276" w:lineRule="auto"/>
        <w:sectPr>
          <w:pgSz w:w="14270" w:h="16850"/>
          <w:pgMar w:header="0" w:footer="1891" w:top="1600" w:bottom="2080" w:left="800" w:right="1280"/>
        </w:sectPr>
      </w:pPr>
    </w:p>
    <w:p>
      <w:pPr>
        <w:pStyle w:val="BodyText"/>
        <w:spacing w:line="276" w:lineRule="auto" w:before="181"/>
        <w:ind w:left="477" w:right="131"/>
        <w:jc w:val="both"/>
      </w:pPr>
      <w:r>
        <w:rPr/>
        <w:t>Tragant’ (also ‘tragacanth root’) and the Chinese name is ‘Huang Qi’, ‘Astraga- lus’ is composed of the two Greek words ‘astron’ (‘star’) and ‘gala’ (‘milk’) and therefore means ‘milk of the stars’. The ending ‘membranaceus’ describes the membranous root.</w:t>
      </w:r>
    </w:p>
    <w:p>
      <w:pPr>
        <w:pStyle w:val="BodyText"/>
        <w:spacing w:line="276" w:lineRule="auto" w:before="242"/>
        <w:ind w:left="477" w:right="135"/>
        <w:jc w:val="both"/>
      </w:pPr>
      <w:r>
        <w:rPr/>
        <w:t>The Chinese name ‘Huang Qi’ in turn means ‘yellow leader’, which alone hints at</w:t>
      </w:r>
      <w:r>
        <w:rPr>
          <w:spacing w:val="-11"/>
        </w:rPr>
        <w:t> </w:t>
      </w:r>
      <w:r>
        <w:rPr/>
        <w:t>the</w:t>
      </w:r>
      <w:r>
        <w:rPr>
          <w:spacing w:val="-8"/>
        </w:rPr>
        <w:t> </w:t>
      </w:r>
      <w:r>
        <w:rPr/>
        <w:t>importance</w:t>
      </w:r>
      <w:r>
        <w:rPr>
          <w:spacing w:val="-8"/>
        </w:rPr>
        <w:t> </w:t>
      </w:r>
      <w:r>
        <w:rPr/>
        <w:t>of</w:t>
      </w:r>
      <w:r>
        <w:rPr>
          <w:spacing w:val="-9"/>
        </w:rPr>
        <w:t> </w:t>
      </w:r>
      <w:r>
        <w:rPr/>
        <w:t>the</w:t>
      </w:r>
      <w:r>
        <w:rPr>
          <w:spacing w:val="-7"/>
        </w:rPr>
        <w:t> </w:t>
      </w:r>
      <w:r>
        <w:rPr/>
        <w:t>plant</w:t>
      </w:r>
      <w:r>
        <w:rPr>
          <w:spacing w:val="-10"/>
        </w:rPr>
        <w:t> </w:t>
      </w:r>
      <w:r>
        <w:rPr/>
        <w:t>which</w:t>
      </w:r>
      <w:r>
        <w:rPr>
          <w:spacing w:val="-7"/>
        </w:rPr>
        <w:t> </w:t>
      </w:r>
      <w:r>
        <w:rPr/>
        <w:t>has</w:t>
      </w:r>
      <w:r>
        <w:rPr>
          <w:spacing w:val="-9"/>
        </w:rPr>
        <w:t> </w:t>
      </w:r>
      <w:r>
        <w:rPr/>
        <w:t>been</w:t>
      </w:r>
      <w:r>
        <w:rPr>
          <w:spacing w:val="-8"/>
        </w:rPr>
        <w:t> </w:t>
      </w:r>
      <w:r>
        <w:rPr/>
        <w:t>used</w:t>
      </w:r>
      <w:r>
        <w:rPr>
          <w:spacing w:val="-9"/>
        </w:rPr>
        <w:t> </w:t>
      </w:r>
      <w:r>
        <w:rPr/>
        <w:t>for</w:t>
      </w:r>
      <w:r>
        <w:rPr>
          <w:spacing w:val="-7"/>
        </w:rPr>
        <w:t> </w:t>
      </w:r>
      <w:r>
        <w:rPr/>
        <w:t>about</w:t>
      </w:r>
      <w:r>
        <w:rPr>
          <w:spacing w:val="-11"/>
        </w:rPr>
        <w:t> </w:t>
      </w:r>
      <w:r>
        <w:rPr/>
        <w:t>4000</w:t>
      </w:r>
      <w:r>
        <w:rPr>
          <w:spacing w:val="-9"/>
        </w:rPr>
        <w:t> </w:t>
      </w:r>
      <w:r>
        <w:rPr/>
        <w:t>years</w:t>
      </w:r>
      <w:r>
        <w:rPr>
          <w:spacing w:val="-8"/>
        </w:rPr>
        <w:t> </w:t>
      </w:r>
      <w:r>
        <w:rPr/>
        <w:t>within TCM (Traditional Chinese Medicine). In fact, astragalus is one of the most im- portant plants of traditional Chinese</w:t>
      </w:r>
      <w:r>
        <w:rPr>
          <w:spacing w:val="-3"/>
        </w:rPr>
        <w:t> </w:t>
      </w:r>
      <w:r>
        <w:rPr/>
        <w:t>medicine.</w:t>
      </w:r>
    </w:p>
    <w:p>
      <w:pPr>
        <w:pStyle w:val="BodyText"/>
        <w:spacing w:line="276" w:lineRule="auto" w:before="240"/>
        <w:ind w:left="477" w:right="133"/>
        <w:jc w:val="both"/>
      </w:pPr>
      <w:r>
        <w:rPr/>
        <w:t>‘Qi’ is synonymous with ‘life force’ – just like ginseng, if it is stimulated, self- healing powers are activated, and many diseases and pathological disorders</w:t>
      </w:r>
      <w:r>
        <w:rPr>
          <w:spacing w:val="-58"/>
        </w:rPr>
        <w:t> </w:t>
      </w:r>
      <w:r>
        <w:rPr/>
        <w:t>dis- appear of their own accord.</w:t>
      </w:r>
    </w:p>
    <w:p>
      <w:pPr>
        <w:pStyle w:val="Heading1"/>
        <w:spacing w:before="221"/>
        <w:jc w:val="both"/>
      </w:pPr>
      <w:r>
        <w:rPr/>
        <w:t>The botanical affiliation of Astragalus membranaceus</w:t>
      </w:r>
    </w:p>
    <w:p>
      <w:pPr>
        <w:pStyle w:val="BodyText"/>
        <w:spacing w:line="276" w:lineRule="auto" w:before="300"/>
        <w:ind w:left="477" w:right="131"/>
        <w:jc w:val="both"/>
      </w:pPr>
      <w:r>
        <w:rPr/>
        <w:t>Astragalus</w:t>
      </w:r>
      <w:r>
        <w:rPr>
          <w:spacing w:val="-19"/>
        </w:rPr>
        <w:t> </w:t>
      </w:r>
      <w:r>
        <w:rPr/>
        <w:t>is</w:t>
      </w:r>
      <w:r>
        <w:rPr>
          <w:spacing w:val="-20"/>
        </w:rPr>
        <w:t> </w:t>
      </w:r>
      <w:r>
        <w:rPr/>
        <w:t>a</w:t>
      </w:r>
      <w:r>
        <w:rPr>
          <w:spacing w:val="-20"/>
        </w:rPr>
        <w:t> </w:t>
      </w:r>
      <w:r>
        <w:rPr/>
        <w:t>flowering</w:t>
      </w:r>
      <w:r>
        <w:rPr>
          <w:spacing w:val="-20"/>
        </w:rPr>
        <w:t> </w:t>
      </w:r>
      <w:r>
        <w:rPr/>
        <w:t>plant</w:t>
      </w:r>
      <w:r>
        <w:rPr>
          <w:spacing w:val="-20"/>
        </w:rPr>
        <w:t> </w:t>
      </w:r>
      <w:r>
        <w:rPr/>
        <w:t>of</w:t>
      </w:r>
      <w:r>
        <w:rPr>
          <w:spacing w:val="-21"/>
        </w:rPr>
        <w:t> </w:t>
      </w:r>
      <w:r>
        <w:rPr/>
        <w:t>the</w:t>
      </w:r>
      <w:r>
        <w:rPr>
          <w:spacing w:val="-19"/>
        </w:rPr>
        <w:t> </w:t>
      </w:r>
      <w:r>
        <w:rPr/>
        <w:t>Fabaceae</w:t>
      </w:r>
      <w:r>
        <w:rPr>
          <w:spacing w:val="-18"/>
        </w:rPr>
        <w:t> </w:t>
      </w:r>
      <w:r>
        <w:rPr/>
        <w:t>family</w:t>
      </w:r>
      <w:r>
        <w:rPr>
          <w:spacing w:val="-21"/>
        </w:rPr>
        <w:t> </w:t>
      </w:r>
      <w:r>
        <w:rPr/>
        <w:t>(legumes)</w:t>
      </w:r>
      <w:r>
        <w:rPr>
          <w:spacing w:val="-20"/>
        </w:rPr>
        <w:t> </w:t>
      </w:r>
      <w:r>
        <w:rPr/>
        <w:t>which</w:t>
      </w:r>
      <w:r>
        <w:rPr>
          <w:spacing w:val="-18"/>
        </w:rPr>
        <w:t> </w:t>
      </w:r>
      <w:r>
        <w:rPr/>
        <w:t>is</w:t>
      </w:r>
      <w:r>
        <w:rPr>
          <w:spacing w:val="-20"/>
        </w:rPr>
        <w:t> </w:t>
      </w:r>
      <w:r>
        <w:rPr/>
        <w:t>around 70</w:t>
      </w:r>
      <w:r>
        <w:rPr>
          <w:spacing w:val="-9"/>
        </w:rPr>
        <w:t> </w:t>
      </w:r>
      <w:r>
        <w:rPr/>
        <w:t>million</w:t>
      </w:r>
      <w:r>
        <w:rPr>
          <w:spacing w:val="-6"/>
        </w:rPr>
        <w:t> </w:t>
      </w:r>
      <w:r>
        <w:rPr/>
        <w:t>years</w:t>
      </w:r>
      <w:r>
        <w:rPr>
          <w:spacing w:val="-10"/>
        </w:rPr>
        <w:t> </w:t>
      </w:r>
      <w:r>
        <w:rPr/>
        <w:t>old.</w:t>
      </w:r>
      <w:r>
        <w:rPr>
          <w:spacing w:val="-7"/>
        </w:rPr>
        <w:t> </w:t>
      </w:r>
      <w:r>
        <w:rPr/>
        <w:t>The</w:t>
      </w:r>
      <w:r>
        <w:rPr>
          <w:spacing w:val="-9"/>
        </w:rPr>
        <w:t> </w:t>
      </w:r>
      <w:r>
        <w:rPr/>
        <w:t>plant</w:t>
      </w:r>
      <w:r>
        <w:rPr>
          <w:spacing w:val="-10"/>
        </w:rPr>
        <w:t> </w:t>
      </w:r>
      <w:r>
        <w:rPr/>
        <w:t>subgroup</w:t>
      </w:r>
      <w:r>
        <w:rPr>
          <w:spacing w:val="-7"/>
        </w:rPr>
        <w:t> </w:t>
      </w:r>
      <w:r>
        <w:rPr/>
        <w:t>in</w:t>
      </w:r>
      <w:r>
        <w:rPr>
          <w:spacing w:val="-9"/>
        </w:rPr>
        <w:t> </w:t>
      </w:r>
      <w:r>
        <w:rPr/>
        <w:t>turn</w:t>
      </w:r>
      <w:r>
        <w:rPr>
          <w:spacing w:val="-9"/>
        </w:rPr>
        <w:t> </w:t>
      </w:r>
      <w:r>
        <w:rPr/>
        <w:t>belongs</w:t>
      </w:r>
      <w:r>
        <w:rPr>
          <w:spacing w:val="-8"/>
        </w:rPr>
        <w:t> </w:t>
      </w:r>
      <w:r>
        <w:rPr/>
        <w:t>to</w:t>
      </w:r>
      <w:r>
        <w:rPr>
          <w:spacing w:val="-9"/>
        </w:rPr>
        <w:t> </w:t>
      </w:r>
      <w:r>
        <w:rPr/>
        <w:t>the</w:t>
      </w:r>
      <w:r>
        <w:rPr>
          <w:spacing w:val="-8"/>
        </w:rPr>
        <w:t> </w:t>
      </w:r>
      <w:r>
        <w:rPr/>
        <w:t>butterfly</w:t>
      </w:r>
      <w:r>
        <w:rPr>
          <w:spacing w:val="-7"/>
        </w:rPr>
        <w:t> </w:t>
      </w:r>
      <w:r>
        <w:rPr/>
        <w:t>plants.</w:t>
      </w:r>
    </w:p>
    <w:p>
      <w:pPr>
        <w:pStyle w:val="Heading1"/>
        <w:spacing w:before="223"/>
        <w:jc w:val="both"/>
      </w:pPr>
      <w:r>
        <w:rPr/>
        <w:t>Geographical origin</w:t>
      </w:r>
    </w:p>
    <w:p>
      <w:pPr>
        <w:pStyle w:val="BodyText"/>
        <w:spacing w:line="276" w:lineRule="auto" w:before="299"/>
        <w:ind w:left="477" w:right="132"/>
        <w:jc w:val="both"/>
      </w:pPr>
      <w:r>
        <w:rPr/>
        <w:t>Astragalus</w:t>
      </w:r>
      <w:r>
        <w:rPr>
          <w:spacing w:val="-25"/>
        </w:rPr>
        <w:t> </w:t>
      </w:r>
      <w:r>
        <w:rPr/>
        <w:t>membranaceus</w:t>
      </w:r>
      <w:r>
        <w:rPr>
          <w:spacing w:val="-25"/>
        </w:rPr>
        <w:t> </w:t>
      </w:r>
      <w:r>
        <w:rPr/>
        <w:t>is</w:t>
      </w:r>
      <w:r>
        <w:rPr>
          <w:spacing w:val="-25"/>
        </w:rPr>
        <w:t> </w:t>
      </w:r>
      <w:r>
        <w:rPr/>
        <w:t>native</w:t>
      </w:r>
      <w:r>
        <w:rPr>
          <w:spacing w:val="-25"/>
        </w:rPr>
        <w:t> </w:t>
      </w:r>
      <w:r>
        <w:rPr/>
        <w:t>to</w:t>
      </w:r>
      <w:r>
        <w:rPr>
          <w:spacing w:val="-25"/>
        </w:rPr>
        <w:t> </w:t>
      </w:r>
      <w:r>
        <w:rPr/>
        <w:t>northern</w:t>
      </w:r>
      <w:r>
        <w:rPr>
          <w:spacing w:val="-27"/>
        </w:rPr>
        <w:t> </w:t>
      </w:r>
      <w:r>
        <w:rPr/>
        <w:t>China</w:t>
      </w:r>
      <w:r>
        <w:rPr>
          <w:spacing w:val="-26"/>
        </w:rPr>
        <w:t> </w:t>
      </w:r>
      <w:r>
        <w:rPr/>
        <w:t>and</w:t>
      </w:r>
      <w:r>
        <w:rPr>
          <w:spacing w:val="-25"/>
        </w:rPr>
        <w:t> </w:t>
      </w:r>
      <w:r>
        <w:rPr/>
        <w:t>is</w:t>
      </w:r>
      <w:r>
        <w:rPr>
          <w:spacing w:val="-27"/>
        </w:rPr>
        <w:t> </w:t>
      </w:r>
      <w:r>
        <w:rPr/>
        <w:t>found</w:t>
      </w:r>
      <w:r>
        <w:rPr>
          <w:spacing w:val="-24"/>
        </w:rPr>
        <w:t> </w:t>
      </w:r>
      <w:r>
        <w:rPr/>
        <w:t>in</w:t>
      </w:r>
      <w:r>
        <w:rPr>
          <w:spacing w:val="-24"/>
        </w:rPr>
        <w:t> </w:t>
      </w:r>
      <w:r>
        <w:rPr/>
        <w:t>the</w:t>
      </w:r>
      <w:r>
        <w:rPr>
          <w:spacing w:val="-26"/>
        </w:rPr>
        <w:t> </w:t>
      </w:r>
      <w:r>
        <w:rPr/>
        <w:t>moun- tainous</w:t>
      </w:r>
      <w:r>
        <w:rPr>
          <w:spacing w:val="-15"/>
        </w:rPr>
        <w:t> </w:t>
      </w:r>
      <w:r>
        <w:rPr/>
        <w:t>regions,</w:t>
      </w:r>
      <w:r>
        <w:rPr>
          <w:spacing w:val="-15"/>
        </w:rPr>
        <w:t> </w:t>
      </w:r>
      <w:r>
        <w:rPr/>
        <w:t>such</w:t>
      </w:r>
      <w:r>
        <w:rPr>
          <w:spacing w:val="-13"/>
        </w:rPr>
        <w:t> </w:t>
      </w:r>
      <w:r>
        <w:rPr/>
        <w:t>as</w:t>
      </w:r>
      <w:r>
        <w:rPr>
          <w:spacing w:val="-15"/>
        </w:rPr>
        <w:t> </w:t>
      </w:r>
      <w:r>
        <w:rPr/>
        <w:t>in</w:t>
      </w:r>
      <w:r>
        <w:rPr>
          <w:spacing w:val="-14"/>
        </w:rPr>
        <w:t> </w:t>
      </w:r>
      <w:r>
        <w:rPr/>
        <w:t>the</w:t>
      </w:r>
      <w:r>
        <w:rPr>
          <w:spacing w:val="-13"/>
        </w:rPr>
        <w:t> </w:t>
      </w:r>
      <w:r>
        <w:rPr/>
        <w:t>provinces</w:t>
      </w:r>
      <w:r>
        <w:rPr>
          <w:spacing w:val="-14"/>
        </w:rPr>
        <w:t> </w:t>
      </w:r>
      <w:r>
        <w:rPr/>
        <w:t>of</w:t>
      </w:r>
      <w:r>
        <w:rPr>
          <w:spacing w:val="-14"/>
        </w:rPr>
        <w:t> </w:t>
      </w:r>
      <w:r>
        <w:rPr/>
        <w:t>Heilongjiang,</w:t>
      </w:r>
      <w:r>
        <w:rPr>
          <w:spacing w:val="-13"/>
        </w:rPr>
        <w:t> </w:t>
      </w:r>
      <w:r>
        <w:rPr/>
        <w:t>Shanxi</w:t>
      </w:r>
      <w:r>
        <w:rPr>
          <w:spacing w:val="-15"/>
        </w:rPr>
        <w:t> </w:t>
      </w:r>
      <w:r>
        <w:rPr/>
        <w:t>or</w:t>
      </w:r>
      <w:r>
        <w:rPr>
          <w:spacing w:val="-14"/>
        </w:rPr>
        <w:t> </w:t>
      </w:r>
      <w:r>
        <w:rPr/>
        <w:t>Inner</w:t>
      </w:r>
      <w:r>
        <w:rPr>
          <w:spacing w:val="-16"/>
        </w:rPr>
        <w:t> </w:t>
      </w:r>
      <w:r>
        <w:rPr/>
        <w:t>Mon- golia.</w:t>
      </w:r>
    </w:p>
    <w:p>
      <w:pPr>
        <w:pStyle w:val="Heading1"/>
        <w:spacing w:before="223"/>
        <w:jc w:val="both"/>
      </w:pPr>
      <w:r>
        <w:rPr/>
        <w:t>The taste</w:t>
      </w:r>
    </w:p>
    <w:p>
      <w:pPr>
        <w:pStyle w:val="BodyText"/>
        <w:spacing w:before="299"/>
        <w:ind w:left="477"/>
        <w:jc w:val="both"/>
      </w:pPr>
      <w:r>
        <w:rPr/>
        <w:t>The plant itself and astragalus powder have a sweet taste and can therefore be</w:t>
      </w:r>
    </w:p>
    <w:p>
      <w:pPr>
        <w:spacing w:after="0"/>
        <w:jc w:val="both"/>
        <w:sectPr>
          <w:pgSz w:w="14270" w:h="16850"/>
          <w:pgMar w:header="0" w:footer="1891" w:top="1600" w:bottom="2080" w:left="800" w:right="1280"/>
        </w:sectPr>
      </w:pPr>
    </w:p>
    <w:p>
      <w:pPr>
        <w:pStyle w:val="BodyText"/>
        <w:spacing w:before="181"/>
        <w:ind w:left="477"/>
      </w:pPr>
      <w:r>
        <w:rPr/>
        <w:t>easily mixed with all drinks.</w:t>
      </w:r>
    </w:p>
    <w:p>
      <w:pPr>
        <w:pStyle w:val="BodyText"/>
        <w:rPr>
          <w:sz w:val="42"/>
        </w:rPr>
      </w:pPr>
    </w:p>
    <w:p>
      <w:pPr>
        <w:pStyle w:val="BodyText"/>
        <w:spacing w:before="7"/>
        <w:rPr>
          <w:sz w:val="48"/>
        </w:rPr>
      </w:pPr>
    </w:p>
    <w:p>
      <w:pPr>
        <w:pStyle w:val="Heading1"/>
        <w:spacing w:before="0"/>
      </w:pPr>
      <w:r>
        <w:rPr/>
        <w:t>The active ingredients of Astragalus membranaceus</w:t>
      </w:r>
    </w:p>
    <w:p>
      <w:pPr>
        <w:pStyle w:val="BodyText"/>
        <w:spacing w:line="276" w:lineRule="auto" w:before="299"/>
        <w:ind w:left="477" w:right="131"/>
        <w:jc w:val="both"/>
      </w:pPr>
      <w:r>
        <w:rPr/>
        <w:t>The ingredients of astragalus membranaceus which many studies have proven to have a positive effect on our health, performance and lifespan (see ‘Astraga- lus Studies’), include:</w:t>
      </w:r>
    </w:p>
    <w:p>
      <w:pPr>
        <w:pStyle w:val="ListParagraph"/>
        <w:numPr>
          <w:ilvl w:val="0"/>
          <w:numId w:val="17"/>
        </w:numPr>
        <w:tabs>
          <w:tab w:pos="893" w:val="left" w:leader="none"/>
        </w:tabs>
        <w:spacing w:line="240" w:lineRule="auto" w:before="241" w:after="0"/>
        <w:ind w:left="892" w:right="0" w:hanging="415"/>
        <w:jc w:val="both"/>
        <w:rPr>
          <w:sz w:val="38"/>
        </w:rPr>
      </w:pPr>
      <w:r>
        <w:rPr>
          <w:sz w:val="38"/>
        </w:rPr>
        <w:t>polysaccharides</w:t>
      </w:r>
    </w:p>
    <w:p>
      <w:pPr>
        <w:pStyle w:val="ListParagraph"/>
        <w:numPr>
          <w:ilvl w:val="0"/>
          <w:numId w:val="17"/>
        </w:numPr>
        <w:tabs>
          <w:tab w:pos="893" w:val="left" w:leader="none"/>
        </w:tabs>
        <w:spacing w:line="240" w:lineRule="auto" w:before="64" w:after="0"/>
        <w:ind w:left="892" w:right="0" w:hanging="415"/>
        <w:jc w:val="both"/>
        <w:rPr>
          <w:sz w:val="38"/>
        </w:rPr>
      </w:pPr>
      <w:r>
        <w:rPr>
          <w:sz w:val="38"/>
        </w:rPr>
        <w:t>glycosides</w:t>
      </w:r>
    </w:p>
    <w:p>
      <w:pPr>
        <w:pStyle w:val="ListParagraph"/>
        <w:numPr>
          <w:ilvl w:val="0"/>
          <w:numId w:val="17"/>
        </w:numPr>
        <w:tabs>
          <w:tab w:pos="893" w:val="left" w:leader="none"/>
        </w:tabs>
        <w:spacing w:line="240" w:lineRule="auto" w:before="66" w:after="0"/>
        <w:ind w:left="892" w:right="0" w:hanging="415"/>
        <w:jc w:val="both"/>
        <w:rPr>
          <w:sz w:val="38"/>
        </w:rPr>
      </w:pPr>
      <w:r>
        <w:rPr>
          <w:sz w:val="38"/>
        </w:rPr>
        <w:t>triterpenoids</w:t>
      </w:r>
    </w:p>
    <w:p>
      <w:pPr>
        <w:pStyle w:val="ListParagraph"/>
        <w:numPr>
          <w:ilvl w:val="0"/>
          <w:numId w:val="17"/>
        </w:numPr>
        <w:tabs>
          <w:tab w:pos="893" w:val="left" w:leader="none"/>
        </w:tabs>
        <w:spacing w:line="240" w:lineRule="auto" w:before="64" w:after="0"/>
        <w:ind w:left="892" w:right="0" w:hanging="415"/>
        <w:jc w:val="both"/>
        <w:rPr>
          <w:sz w:val="38"/>
        </w:rPr>
      </w:pPr>
      <w:r>
        <w:rPr>
          <w:sz w:val="38"/>
        </w:rPr>
        <w:t>prenylflavonoids</w:t>
      </w:r>
    </w:p>
    <w:p>
      <w:pPr>
        <w:pStyle w:val="ListParagraph"/>
        <w:numPr>
          <w:ilvl w:val="0"/>
          <w:numId w:val="17"/>
        </w:numPr>
        <w:tabs>
          <w:tab w:pos="893" w:val="left" w:leader="none"/>
        </w:tabs>
        <w:spacing w:line="240" w:lineRule="auto" w:before="63" w:after="0"/>
        <w:ind w:left="892" w:right="0" w:hanging="415"/>
        <w:jc w:val="both"/>
        <w:rPr>
          <w:sz w:val="38"/>
        </w:rPr>
      </w:pPr>
      <w:r>
        <w:rPr>
          <w:sz w:val="38"/>
        </w:rPr>
        <w:t>isoflavonoids (isoflavans, pterocarpane)</w:t>
      </w:r>
    </w:p>
    <w:p>
      <w:pPr>
        <w:pStyle w:val="ListParagraph"/>
        <w:numPr>
          <w:ilvl w:val="0"/>
          <w:numId w:val="17"/>
        </w:numPr>
        <w:tabs>
          <w:tab w:pos="893" w:val="left" w:leader="none"/>
        </w:tabs>
        <w:spacing w:line="240" w:lineRule="auto" w:before="64" w:after="0"/>
        <w:ind w:left="892" w:right="0" w:hanging="415"/>
        <w:jc w:val="both"/>
        <w:rPr>
          <w:sz w:val="38"/>
        </w:rPr>
      </w:pPr>
      <w:r>
        <w:rPr>
          <w:sz w:val="38"/>
        </w:rPr>
        <w:t>folic acid</w:t>
      </w:r>
    </w:p>
    <w:p>
      <w:pPr>
        <w:pStyle w:val="ListParagraph"/>
        <w:numPr>
          <w:ilvl w:val="0"/>
          <w:numId w:val="17"/>
        </w:numPr>
        <w:tabs>
          <w:tab w:pos="893" w:val="left" w:leader="none"/>
        </w:tabs>
        <w:spacing w:line="240" w:lineRule="auto" w:before="64" w:after="0"/>
        <w:ind w:left="892" w:right="0" w:hanging="415"/>
        <w:jc w:val="both"/>
        <w:rPr>
          <w:sz w:val="38"/>
        </w:rPr>
      </w:pPr>
      <w:r>
        <w:rPr>
          <w:sz w:val="38"/>
        </w:rPr>
        <w:t>cycloastragenol</w:t>
      </w:r>
    </w:p>
    <w:p>
      <w:pPr>
        <w:pStyle w:val="ListParagraph"/>
        <w:numPr>
          <w:ilvl w:val="0"/>
          <w:numId w:val="17"/>
        </w:numPr>
        <w:tabs>
          <w:tab w:pos="893" w:val="left" w:leader="none"/>
        </w:tabs>
        <w:spacing w:line="240" w:lineRule="auto" w:before="66" w:after="0"/>
        <w:ind w:left="892" w:right="0" w:hanging="415"/>
        <w:jc w:val="both"/>
        <w:rPr>
          <w:sz w:val="38"/>
        </w:rPr>
      </w:pPr>
      <w:r>
        <w:rPr>
          <w:sz w:val="38"/>
        </w:rPr>
        <w:t>formononetin</w:t>
      </w:r>
    </w:p>
    <w:p>
      <w:pPr>
        <w:pStyle w:val="ListParagraph"/>
        <w:numPr>
          <w:ilvl w:val="0"/>
          <w:numId w:val="17"/>
        </w:numPr>
        <w:tabs>
          <w:tab w:pos="893" w:val="left" w:leader="none"/>
        </w:tabs>
        <w:spacing w:line="240" w:lineRule="auto" w:before="63" w:after="0"/>
        <w:ind w:left="892" w:right="0" w:hanging="415"/>
        <w:jc w:val="both"/>
        <w:rPr>
          <w:sz w:val="38"/>
        </w:rPr>
      </w:pPr>
      <w:r>
        <w:rPr>
          <w:sz w:val="38"/>
        </w:rPr>
        <w:t>astragaloside 1-4</w:t>
      </w:r>
    </w:p>
    <w:p>
      <w:pPr>
        <w:pStyle w:val="ListParagraph"/>
        <w:numPr>
          <w:ilvl w:val="0"/>
          <w:numId w:val="17"/>
        </w:numPr>
        <w:tabs>
          <w:tab w:pos="893" w:val="left" w:leader="none"/>
        </w:tabs>
        <w:spacing w:line="240" w:lineRule="auto" w:before="64" w:after="0"/>
        <w:ind w:left="892" w:right="0" w:hanging="415"/>
        <w:jc w:val="both"/>
        <w:rPr>
          <w:sz w:val="38"/>
        </w:rPr>
      </w:pPr>
      <w:r>
        <w:rPr>
          <w:sz w:val="38"/>
        </w:rPr>
        <w:t>astragalan</w:t>
      </w:r>
    </w:p>
    <w:p>
      <w:pPr>
        <w:pStyle w:val="ListParagraph"/>
        <w:numPr>
          <w:ilvl w:val="0"/>
          <w:numId w:val="17"/>
        </w:numPr>
        <w:tabs>
          <w:tab w:pos="893" w:val="left" w:leader="none"/>
        </w:tabs>
        <w:spacing w:line="240" w:lineRule="auto" w:before="64" w:after="0"/>
        <w:ind w:left="892" w:right="0" w:hanging="415"/>
        <w:jc w:val="both"/>
        <w:rPr>
          <w:sz w:val="38"/>
        </w:rPr>
      </w:pPr>
      <w:r>
        <w:rPr>
          <w:sz w:val="38"/>
        </w:rPr>
        <w:t>daucosterol</w:t>
      </w:r>
    </w:p>
    <w:p>
      <w:pPr>
        <w:pStyle w:val="ListParagraph"/>
        <w:numPr>
          <w:ilvl w:val="0"/>
          <w:numId w:val="17"/>
        </w:numPr>
        <w:tabs>
          <w:tab w:pos="893" w:val="left" w:leader="none"/>
        </w:tabs>
        <w:spacing w:line="240" w:lineRule="auto" w:before="66" w:after="0"/>
        <w:ind w:left="892" w:right="0" w:hanging="415"/>
        <w:jc w:val="both"/>
        <w:rPr>
          <w:sz w:val="38"/>
        </w:rPr>
      </w:pPr>
      <w:r>
        <w:rPr>
          <w:sz w:val="38"/>
        </w:rPr>
        <w:t>palmitic</w:t>
      </w:r>
      <w:r>
        <w:rPr>
          <w:spacing w:val="-2"/>
          <w:sz w:val="38"/>
        </w:rPr>
        <w:t> </w:t>
      </w:r>
      <w:r>
        <w:rPr>
          <w:sz w:val="38"/>
        </w:rPr>
        <w:t>acid</w:t>
      </w:r>
    </w:p>
    <w:p>
      <w:pPr>
        <w:pStyle w:val="ListParagraph"/>
        <w:numPr>
          <w:ilvl w:val="0"/>
          <w:numId w:val="17"/>
        </w:numPr>
        <w:tabs>
          <w:tab w:pos="893" w:val="left" w:leader="none"/>
        </w:tabs>
        <w:spacing w:line="240" w:lineRule="auto" w:before="64" w:after="0"/>
        <w:ind w:left="892" w:right="0" w:hanging="415"/>
        <w:jc w:val="both"/>
        <w:rPr>
          <w:sz w:val="38"/>
        </w:rPr>
      </w:pPr>
      <w:r>
        <w:rPr>
          <w:sz w:val="38"/>
        </w:rPr>
        <w:t>amino acids</w:t>
      </w:r>
    </w:p>
    <w:p>
      <w:pPr>
        <w:pStyle w:val="ListParagraph"/>
        <w:numPr>
          <w:ilvl w:val="0"/>
          <w:numId w:val="17"/>
        </w:numPr>
        <w:tabs>
          <w:tab w:pos="893" w:val="left" w:leader="none"/>
        </w:tabs>
        <w:spacing w:line="240" w:lineRule="auto" w:before="64" w:after="0"/>
        <w:ind w:left="892" w:right="0" w:hanging="415"/>
        <w:jc w:val="both"/>
        <w:rPr>
          <w:sz w:val="38"/>
        </w:rPr>
      </w:pPr>
      <w:r>
        <w:rPr>
          <w:sz w:val="38"/>
        </w:rPr>
        <w:t>asparagine</w:t>
      </w:r>
    </w:p>
    <w:p>
      <w:pPr>
        <w:pStyle w:val="ListParagraph"/>
        <w:numPr>
          <w:ilvl w:val="0"/>
          <w:numId w:val="17"/>
        </w:numPr>
        <w:tabs>
          <w:tab w:pos="893" w:val="left" w:leader="none"/>
        </w:tabs>
        <w:spacing w:line="240" w:lineRule="auto" w:before="63" w:after="0"/>
        <w:ind w:left="892" w:right="0" w:hanging="415"/>
        <w:jc w:val="both"/>
        <w:rPr>
          <w:sz w:val="38"/>
        </w:rPr>
      </w:pPr>
      <w:r>
        <w:rPr>
          <w:sz w:val="38"/>
        </w:rPr>
        <w:t>astragalus saponin A, B,</w:t>
      </w:r>
      <w:r>
        <w:rPr>
          <w:spacing w:val="1"/>
          <w:sz w:val="38"/>
        </w:rPr>
        <w:t> </w:t>
      </w:r>
      <w:r>
        <w:rPr>
          <w:sz w:val="38"/>
        </w:rPr>
        <w:t>C</w:t>
      </w:r>
    </w:p>
    <w:p>
      <w:pPr>
        <w:spacing w:after="0" w:line="240" w:lineRule="auto"/>
        <w:jc w:val="both"/>
        <w:rPr>
          <w:sz w:val="38"/>
        </w:rPr>
        <w:sectPr>
          <w:pgSz w:w="14270" w:h="16850"/>
          <w:pgMar w:header="0" w:footer="1891" w:top="1600" w:bottom="2080" w:left="800" w:right="1280"/>
        </w:sectPr>
      </w:pPr>
    </w:p>
    <w:p>
      <w:pPr>
        <w:pStyle w:val="BodyText"/>
        <w:spacing w:before="10"/>
        <w:rPr>
          <w:sz w:val="8"/>
        </w:rPr>
      </w:pPr>
    </w:p>
    <w:p>
      <w:pPr>
        <w:pStyle w:val="ListParagraph"/>
        <w:numPr>
          <w:ilvl w:val="0"/>
          <w:numId w:val="17"/>
        </w:numPr>
        <w:tabs>
          <w:tab w:pos="893" w:val="left" w:leader="none"/>
        </w:tabs>
        <w:spacing w:line="240" w:lineRule="auto" w:before="83" w:after="0"/>
        <w:ind w:left="892" w:right="0" w:hanging="415"/>
        <w:jc w:val="both"/>
        <w:rPr>
          <w:sz w:val="38"/>
        </w:rPr>
      </w:pPr>
      <w:r>
        <w:rPr>
          <w:sz w:val="38"/>
        </w:rPr>
        <w:t>choline</w:t>
      </w:r>
    </w:p>
    <w:p>
      <w:pPr>
        <w:pStyle w:val="ListParagraph"/>
        <w:numPr>
          <w:ilvl w:val="0"/>
          <w:numId w:val="17"/>
        </w:numPr>
        <w:tabs>
          <w:tab w:pos="893" w:val="left" w:leader="none"/>
        </w:tabs>
        <w:spacing w:line="240" w:lineRule="auto" w:before="64" w:after="0"/>
        <w:ind w:left="892" w:right="0" w:hanging="415"/>
        <w:jc w:val="both"/>
        <w:rPr>
          <w:sz w:val="38"/>
        </w:rPr>
      </w:pPr>
      <w:r>
        <w:rPr>
          <w:sz w:val="38"/>
        </w:rPr>
        <w:t>beta sitosterol</w:t>
      </w:r>
      <w:r>
        <w:rPr>
          <w:spacing w:val="-5"/>
          <w:sz w:val="38"/>
        </w:rPr>
        <w:t> </w:t>
      </w:r>
      <w:r>
        <w:rPr>
          <w:sz w:val="38"/>
        </w:rPr>
        <w:t>1</w:t>
      </w:r>
    </w:p>
    <w:p>
      <w:pPr>
        <w:pStyle w:val="ListParagraph"/>
        <w:numPr>
          <w:ilvl w:val="0"/>
          <w:numId w:val="17"/>
        </w:numPr>
        <w:tabs>
          <w:tab w:pos="893" w:val="left" w:leader="none"/>
        </w:tabs>
        <w:spacing w:line="240" w:lineRule="auto" w:before="66" w:after="0"/>
        <w:ind w:left="892" w:right="0" w:hanging="415"/>
        <w:jc w:val="both"/>
        <w:rPr>
          <w:sz w:val="38"/>
        </w:rPr>
      </w:pPr>
      <w:r>
        <w:rPr>
          <w:sz w:val="38"/>
        </w:rPr>
        <w:t>soyasaponin</w:t>
      </w:r>
    </w:p>
    <w:p>
      <w:pPr>
        <w:pStyle w:val="ListParagraph"/>
        <w:numPr>
          <w:ilvl w:val="0"/>
          <w:numId w:val="17"/>
        </w:numPr>
        <w:tabs>
          <w:tab w:pos="893" w:val="left" w:leader="none"/>
        </w:tabs>
        <w:spacing w:line="240" w:lineRule="auto" w:before="63" w:after="0"/>
        <w:ind w:left="892" w:right="0" w:hanging="415"/>
        <w:jc w:val="both"/>
        <w:rPr>
          <w:sz w:val="38"/>
        </w:rPr>
      </w:pPr>
      <w:r>
        <w:rPr>
          <w:sz w:val="38"/>
        </w:rPr>
        <w:t>betaine</w:t>
      </w:r>
    </w:p>
    <w:p>
      <w:pPr>
        <w:pStyle w:val="ListParagraph"/>
        <w:numPr>
          <w:ilvl w:val="0"/>
          <w:numId w:val="17"/>
        </w:numPr>
        <w:tabs>
          <w:tab w:pos="893" w:val="left" w:leader="none"/>
        </w:tabs>
        <w:spacing w:line="240" w:lineRule="auto" w:before="64" w:after="0"/>
        <w:ind w:left="892" w:right="0" w:hanging="415"/>
        <w:jc w:val="both"/>
        <w:rPr>
          <w:sz w:val="38"/>
        </w:rPr>
      </w:pPr>
      <w:r>
        <w:rPr>
          <w:sz w:val="38"/>
        </w:rPr>
        <w:t>kumatakenin</w:t>
      </w:r>
    </w:p>
    <w:p>
      <w:pPr>
        <w:pStyle w:val="ListParagraph"/>
        <w:numPr>
          <w:ilvl w:val="0"/>
          <w:numId w:val="17"/>
        </w:numPr>
        <w:tabs>
          <w:tab w:pos="893" w:val="left" w:leader="none"/>
        </w:tabs>
        <w:spacing w:line="240" w:lineRule="auto" w:before="63" w:after="0"/>
        <w:ind w:left="892" w:right="0" w:hanging="415"/>
        <w:jc w:val="both"/>
        <w:rPr>
          <w:sz w:val="38"/>
        </w:rPr>
      </w:pPr>
      <w:r>
        <w:rPr>
          <w:sz w:val="38"/>
        </w:rPr>
        <w:t>sucrose</w:t>
      </w:r>
    </w:p>
    <w:p>
      <w:pPr>
        <w:pStyle w:val="Heading1"/>
        <w:spacing w:before="286"/>
        <w:jc w:val="both"/>
      </w:pPr>
      <w:r>
        <w:rPr/>
        <w:t>Mode of action and effect of Astragalus membranaceus</w:t>
      </w:r>
    </w:p>
    <w:p>
      <w:pPr>
        <w:pStyle w:val="BodyText"/>
        <w:spacing w:line="276" w:lineRule="auto" w:before="299"/>
        <w:ind w:left="477" w:right="137"/>
        <w:jc w:val="both"/>
      </w:pPr>
      <w:r>
        <w:rPr/>
        <w:t>As with all traditional Chinese remedies, it is the perfect interplay of Mother Nature's miraculously balanced ingredients that produces the amazing effects we have discussed in the section on the ingredients of Astralagus. In</w:t>
      </w:r>
      <w:r>
        <w:rPr>
          <w:spacing w:val="-53"/>
        </w:rPr>
        <w:t> </w:t>
      </w:r>
      <w:r>
        <w:rPr/>
        <w:t>particular, the</w:t>
      </w:r>
      <w:r>
        <w:rPr>
          <w:spacing w:val="-10"/>
        </w:rPr>
        <w:t> </w:t>
      </w:r>
      <w:r>
        <w:rPr/>
        <w:t>numerous</w:t>
      </w:r>
      <w:r>
        <w:rPr>
          <w:spacing w:val="-13"/>
        </w:rPr>
        <w:t> </w:t>
      </w:r>
      <w:r>
        <w:rPr/>
        <w:t>polysaccharides,</w:t>
      </w:r>
      <w:r>
        <w:rPr>
          <w:spacing w:val="-10"/>
        </w:rPr>
        <w:t> </w:t>
      </w:r>
      <w:r>
        <w:rPr/>
        <w:t>flavonoids</w:t>
      </w:r>
      <w:r>
        <w:rPr>
          <w:spacing w:val="-11"/>
        </w:rPr>
        <w:t> </w:t>
      </w:r>
      <w:r>
        <w:rPr/>
        <w:t>and</w:t>
      </w:r>
      <w:r>
        <w:rPr>
          <w:spacing w:val="-10"/>
        </w:rPr>
        <w:t> </w:t>
      </w:r>
      <w:r>
        <w:rPr/>
        <w:t>saponins</w:t>
      </w:r>
      <w:r>
        <w:rPr>
          <w:spacing w:val="-13"/>
        </w:rPr>
        <w:t> </w:t>
      </w:r>
      <w:r>
        <w:rPr/>
        <w:t>occurring</w:t>
      </w:r>
      <w:r>
        <w:rPr>
          <w:spacing w:val="-11"/>
        </w:rPr>
        <w:t> </w:t>
      </w:r>
      <w:r>
        <w:rPr/>
        <w:t>in</w:t>
      </w:r>
      <w:r>
        <w:rPr>
          <w:spacing w:val="-13"/>
        </w:rPr>
        <w:t> </w:t>
      </w:r>
      <w:r>
        <w:rPr/>
        <w:t>roots,</w:t>
      </w:r>
      <w:r>
        <w:rPr>
          <w:spacing w:val="-14"/>
        </w:rPr>
        <w:t> </w:t>
      </w:r>
      <w:r>
        <w:rPr/>
        <w:t>me- dicinal mushrooms and wild berries are increasingly becoming coveted objects of study and, in recent years, have proven to be extremely effective against nu- merous diseases and conditions in many</w:t>
      </w:r>
      <w:r>
        <w:rPr>
          <w:spacing w:val="1"/>
        </w:rPr>
        <w:t> </w:t>
      </w:r>
      <w:r>
        <w:rPr/>
        <w:t>ways.</w:t>
      </w:r>
    </w:p>
    <w:p>
      <w:pPr>
        <w:pStyle w:val="BodyText"/>
        <w:spacing w:line="276" w:lineRule="auto" w:before="241"/>
        <w:ind w:left="477" w:right="244"/>
      </w:pPr>
      <w:r>
        <w:rPr/>
        <w:t>The astragalosides present in astragalus complete this wonderful composition of Mother Nature’s health-giving tools.</w:t>
      </w:r>
    </w:p>
    <w:p>
      <w:pPr>
        <w:pStyle w:val="Heading1"/>
        <w:spacing w:before="223"/>
      </w:pPr>
      <w:r>
        <w:rPr/>
        <w:t>Which organs does astragalus have an effect on?</w:t>
      </w:r>
    </w:p>
    <w:p>
      <w:pPr>
        <w:pStyle w:val="BodyText"/>
        <w:spacing w:line="276" w:lineRule="auto" w:before="300"/>
        <w:ind w:left="477" w:right="143"/>
        <w:jc w:val="both"/>
      </w:pPr>
      <w:r>
        <w:rPr/>
        <w:t>Chinese medicine views the body holistically and does not subdivide disease symptoms into symptoms or causes within individual organs. According to TCM, astragalus generally works on the body’s core, including the</w:t>
      </w:r>
    </w:p>
    <w:p>
      <w:pPr>
        <w:spacing w:after="0" w:line="276" w:lineRule="auto"/>
        <w:jc w:val="both"/>
        <w:sectPr>
          <w:footerReference w:type="default" r:id="rId43"/>
          <w:pgSz w:w="14270" w:h="16850"/>
          <w:pgMar w:footer="1891" w:header="0" w:top="1600" w:bottom="2080" w:left="800" w:right="1280"/>
          <w:pgNumType w:start="200"/>
        </w:sectPr>
      </w:pPr>
    </w:p>
    <w:p>
      <w:pPr>
        <w:pStyle w:val="Heading1"/>
        <w:spacing w:before="164"/>
      </w:pPr>
      <w:r>
        <w:rPr/>
        <w:t>Effect of astragalus on the heart</w:t>
      </w:r>
    </w:p>
    <w:p>
      <w:pPr>
        <w:pStyle w:val="BodyText"/>
        <w:spacing w:line="276" w:lineRule="auto" w:before="299"/>
        <w:ind w:left="477" w:right="140"/>
        <w:jc w:val="both"/>
      </w:pPr>
      <w:r>
        <w:rPr/>
        <w:t>Astragalus has an exceptionally powerful effect on the heart, ensuring greater circulation and efficient functioning of the heart muscle and protecting it from destructive oxidation processes.</w:t>
      </w:r>
    </w:p>
    <w:p>
      <w:pPr>
        <w:pStyle w:val="Heading1"/>
      </w:pPr>
      <w:r>
        <w:rPr/>
        <w:t>Effect of astragalus on the lungs</w:t>
      </w:r>
    </w:p>
    <w:p>
      <w:pPr>
        <w:pStyle w:val="BodyText"/>
        <w:spacing w:line="276" w:lineRule="auto" w:before="298"/>
        <w:ind w:left="477"/>
      </w:pPr>
      <w:r>
        <w:rPr/>
        <w:t>Astragalus</w:t>
      </w:r>
      <w:r>
        <w:rPr>
          <w:spacing w:val="-15"/>
        </w:rPr>
        <w:t> </w:t>
      </w:r>
      <w:r>
        <w:rPr/>
        <w:t>can</w:t>
      </w:r>
      <w:r>
        <w:rPr>
          <w:spacing w:val="-14"/>
        </w:rPr>
        <w:t> </w:t>
      </w:r>
      <w:r>
        <w:rPr/>
        <w:t>strengthen</w:t>
      </w:r>
      <w:r>
        <w:rPr>
          <w:spacing w:val="-16"/>
        </w:rPr>
        <w:t> </w:t>
      </w:r>
      <w:r>
        <w:rPr/>
        <w:t>lung</w:t>
      </w:r>
      <w:r>
        <w:rPr>
          <w:spacing w:val="-14"/>
        </w:rPr>
        <w:t> </w:t>
      </w:r>
      <w:r>
        <w:rPr/>
        <w:t>function</w:t>
      </w:r>
      <w:r>
        <w:rPr>
          <w:spacing w:val="-15"/>
        </w:rPr>
        <w:t> </w:t>
      </w:r>
      <w:r>
        <w:rPr/>
        <w:t>and</w:t>
      </w:r>
      <w:r>
        <w:rPr>
          <w:spacing w:val="-17"/>
        </w:rPr>
        <w:t> </w:t>
      </w:r>
      <w:r>
        <w:rPr/>
        <w:t>counteract</w:t>
      </w:r>
      <w:r>
        <w:rPr>
          <w:spacing w:val="-15"/>
        </w:rPr>
        <w:t> </w:t>
      </w:r>
      <w:r>
        <w:rPr/>
        <w:t>shortness</w:t>
      </w:r>
      <w:r>
        <w:rPr>
          <w:spacing w:val="-19"/>
        </w:rPr>
        <w:t> </w:t>
      </w:r>
      <w:r>
        <w:rPr/>
        <w:t>of</w:t>
      </w:r>
      <w:r>
        <w:rPr>
          <w:spacing w:val="-15"/>
        </w:rPr>
        <w:t> </w:t>
      </w:r>
      <w:r>
        <w:rPr/>
        <w:t>breath</w:t>
      </w:r>
      <w:r>
        <w:rPr>
          <w:spacing w:val="-17"/>
        </w:rPr>
        <w:t> </w:t>
      </w:r>
      <w:r>
        <w:rPr/>
        <w:t>and asthma</w:t>
      </w:r>
      <w:r>
        <w:rPr>
          <w:spacing w:val="-2"/>
        </w:rPr>
        <w:t> </w:t>
      </w:r>
      <w:r>
        <w:rPr/>
        <w:t>conditions.</w:t>
      </w:r>
    </w:p>
    <w:p>
      <w:pPr>
        <w:pStyle w:val="Heading1"/>
        <w:spacing w:before="223"/>
      </w:pPr>
      <w:r>
        <w:rPr/>
        <w:t>Effect of astragalus on the spleen</w:t>
      </w:r>
    </w:p>
    <w:p>
      <w:pPr>
        <w:pStyle w:val="BodyText"/>
        <w:spacing w:line="276" w:lineRule="auto" w:before="299"/>
        <w:ind w:left="477" w:right="132"/>
        <w:jc w:val="both"/>
      </w:pPr>
      <w:r>
        <w:rPr/>
        <w:t>In studies, astragalus has been shown to have a significant effect on spleen de- ficiency</w:t>
      </w:r>
      <w:r>
        <w:rPr>
          <w:spacing w:val="-18"/>
        </w:rPr>
        <w:t> </w:t>
      </w:r>
      <w:r>
        <w:rPr/>
        <w:t>symptoms</w:t>
      </w:r>
      <w:r>
        <w:rPr>
          <w:spacing w:val="-18"/>
        </w:rPr>
        <w:t> </w:t>
      </w:r>
      <w:r>
        <w:rPr/>
        <w:t>such</w:t>
      </w:r>
      <w:r>
        <w:rPr>
          <w:spacing w:val="-17"/>
        </w:rPr>
        <w:t> </w:t>
      </w:r>
      <w:r>
        <w:rPr/>
        <w:t>as</w:t>
      </w:r>
      <w:r>
        <w:rPr>
          <w:spacing w:val="-18"/>
        </w:rPr>
        <w:t> </w:t>
      </w:r>
      <w:r>
        <w:rPr/>
        <w:t>fatigue,</w:t>
      </w:r>
      <w:r>
        <w:rPr>
          <w:spacing w:val="-18"/>
        </w:rPr>
        <w:t> </w:t>
      </w:r>
      <w:r>
        <w:rPr/>
        <w:t>diarrhoea,</w:t>
      </w:r>
      <w:r>
        <w:rPr>
          <w:spacing w:val="-17"/>
        </w:rPr>
        <w:t> </w:t>
      </w:r>
      <w:r>
        <w:rPr/>
        <w:t>loss</w:t>
      </w:r>
      <w:r>
        <w:rPr>
          <w:spacing w:val="-18"/>
        </w:rPr>
        <w:t> </w:t>
      </w:r>
      <w:r>
        <w:rPr/>
        <w:t>of</w:t>
      </w:r>
      <w:r>
        <w:rPr>
          <w:spacing w:val="-18"/>
        </w:rPr>
        <w:t> </w:t>
      </w:r>
      <w:r>
        <w:rPr/>
        <w:t>appetite</w:t>
      </w:r>
      <w:r>
        <w:rPr>
          <w:spacing w:val="-18"/>
        </w:rPr>
        <w:t> </w:t>
      </w:r>
      <w:r>
        <w:rPr/>
        <w:t>and</w:t>
      </w:r>
      <w:r>
        <w:rPr>
          <w:spacing w:val="-18"/>
        </w:rPr>
        <w:t> </w:t>
      </w:r>
      <w:r>
        <w:rPr/>
        <w:t>increased</w:t>
      </w:r>
      <w:r>
        <w:rPr>
          <w:spacing w:val="-18"/>
        </w:rPr>
        <w:t> </w:t>
      </w:r>
      <w:r>
        <w:rPr/>
        <w:t>per- spiration.</w:t>
      </w:r>
    </w:p>
    <w:p>
      <w:pPr>
        <w:pStyle w:val="Heading1"/>
        <w:spacing w:before="222"/>
        <w:jc w:val="both"/>
      </w:pPr>
      <w:r>
        <w:rPr/>
        <w:t>In summary, Astragalus membranaceus has the following effects:</w:t>
      </w:r>
    </w:p>
    <w:p>
      <w:pPr>
        <w:pStyle w:val="ListParagraph"/>
        <w:numPr>
          <w:ilvl w:val="0"/>
          <w:numId w:val="17"/>
        </w:numPr>
        <w:tabs>
          <w:tab w:pos="893" w:val="left" w:leader="none"/>
        </w:tabs>
        <w:spacing w:line="240" w:lineRule="auto" w:before="301" w:after="0"/>
        <w:ind w:left="892" w:right="0" w:hanging="415"/>
        <w:jc w:val="both"/>
        <w:rPr>
          <w:sz w:val="38"/>
        </w:rPr>
      </w:pPr>
      <w:r>
        <w:rPr>
          <w:sz w:val="38"/>
        </w:rPr>
        <w:t>antioxidant</w:t>
      </w:r>
    </w:p>
    <w:p>
      <w:pPr>
        <w:pStyle w:val="ListParagraph"/>
        <w:numPr>
          <w:ilvl w:val="0"/>
          <w:numId w:val="17"/>
        </w:numPr>
        <w:tabs>
          <w:tab w:pos="893" w:val="left" w:leader="none"/>
        </w:tabs>
        <w:spacing w:line="240" w:lineRule="auto" w:before="66" w:after="0"/>
        <w:ind w:left="892" w:right="0" w:hanging="415"/>
        <w:jc w:val="both"/>
        <w:rPr>
          <w:sz w:val="38"/>
        </w:rPr>
      </w:pPr>
      <w:r>
        <w:rPr>
          <w:sz w:val="38"/>
        </w:rPr>
        <w:t>stimulates the immune system</w:t>
      </w:r>
    </w:p>
    <w:p>
      <w:pPr>
        <w:pStyle w:val="ListParagraph"/>
        <w:numPr>
          <w:ilvl w:val="0"/>
          <w:numId w:val="17"/>
        </w:numPr>
        <w:tabs>
          <w:tab w:pos="893" w:val="left" w:leader="none"/>
        </w:tabs>
        <w:spacing w:line="240" w:lineRule="auto" w:before="64" w:after="0"/>
        <w:ind w:left="892" w:right="0" w:hanging="415"/>
        <w:jc w:val="both"/>
        <w:rPr>
          <w:sz w:val="38"/>
        </w:rPr>
      </w:pPr>
      <w:r>
        <w:rPr>
          <w:sz w:val="38"/>
        </w:rPr>
        <w:t>antitumoural</w:t>
      </w:r>
    </w:p>
    <w:p>
      <w:pPr>
        <w:pStyle w:val="ListParagraph"/>
        <w:numPr>
          <w:ilvl w:val="0"/>
          <w:numId w:val="17"/>
        </w:numPr>
        <w:tabs>
          <w:tab w:pos="893" w:val="left" w:leader="none"/>
        </w:tabs>
        <w:spacing w:line="240" w:lineRule="auto" w:before="63" w:after="0"/>
        <w:ind w:left="892" w:right="0" w:hanging="415"/>
        <w:jc w:val="both"/>
        <w:rPr>
          <w:sz w:val="38"/>
        </w:rPr>
      </w:pPr>
      <w:r>
        <w:rPr>
          <w:sz w:val="38"/>
        </w:rPr>
        <w:t>antiviral</w:t>
      </w:r>
    </w:p>
    <w:p>
      <w:pPr>
        <w:pStyle w:val="ListParagraph"/>
        <w:numPr>
          <w:ilvl w:val="0"/>
          <w:numId w:val="17"/>
        </w:numPr>
        <w:tabs>
          <w:tab w:pos="893" w:val="left" w:leader="none"/>
        </w:tabs>
        <w:spacing w:line="240" w:lineRule="auto" w:before="64" w:after="0"/>
        <w:ind w:left="892" w:right="0" w:hanging="415"/>
        <w:jc w:val="both"/>
        <w:rPr>
          <w:sz w:val="38"/>
        </w:rPr>
      </w:pPr>
      <w:r>
        <w:rPr>
          <w:sz w:val="38"/>
        </w:rPr>
        <w:t>antibacterial</w:t>
      </w:r>
    </w:p>
    <w:p>
      <w:pPr>
        <w:pStyle w:val="ListParagraph"/>
        <w:numPr>
          <w:ilvl w:val="0"/>
          <w:numId w:val="17"/>
        </w:numPr>
        <w:tabs>
          <w:tab w:pos="893" w:val="left" w:leader="none"/>
        </w:tabs>
        <w:spacing w:line="240" w:lineRule="auto" w:before="64" w:after="0"/>
        <w:ind w:left="892" w:right="0" w:hanging="415"/>
        <w:jc w:val="both"/>
        <w:rPr>
          <w:sz w:val="38"/>
        </w:rPr>
      </w:pPr>
      <w:r>
        <w:rPr>
          <w:sz w:val="38"/>
        </w:rPr>
        <w:t>anti-inflammatory</w:t>
      </w:r>
    </w:p>
    <w:p>
      <w:pPr>
        <w:pStyle w:val="ListParagraph"/>
        <w:numPr>
          <w:ilvl w:val="0"/>
          <w:numId w:val="17"/>
        </w:numPr>
        <w:tabs>
          <w:tab w:pos="893" w:val="left" w:leader="none"/>
        </w:tabs>
        <w:spacing w:line="240" w:lineRule="auto" w:before="66" w:after="0"/>
        <w:ind w:left="892" w:right="0" w:hanging="415"/>
        <w:jc w:val="both"/>
        <w:rPr>
          <w:sz w:val="38"/>
        </w:rPr>
      </w:pPr>
      <w:r>
        <w:rPr>
          <w:sz w:val="38"/>
        </w:rPr>
        <w:t>toning/revitalising</w:t>
      </w:r>
    </w:p>
    <w:p>
      <w:pPr>
        <w:pStyle w:val="ListParagraph"/>
        <w:numPr>
          <w:ilvl w:val="0"/>
          <w:numId w:val="17"/>
        </w:numPr>
        <w:tabs>
          <w:tab w:pos="893" w:val="left" w:leader="none"/>
        </w:tabs>
        <w:spacing w:line="240" w:lineRule="auto" w:before="64" w:after="0"/>
        <w:ind w:left="892" w:right="0" w:hanging="415"/>
        <w:jc w:val="both"/>
        <w:rPr>
          <w:sz w:val="38"/>
        </w:rPr>
      </w:pPr>
      <w:r>
        <w:rPr>
          <w:sz w:val="38"/>
        </w:rPr>
        <w:t>protects the</w:t>
      </w:r>
      <w:r>
        <w:rPr>
          <w:spacing w:val="-1"/>
          <w:sz w:val="38"/>
        </w:rPr>
        <w:t> </w:t>
      </w:r>
      <w:r>
        <w:rPr>
          <w:sz w:val="38"/>
        </w:rPr>
        <w:t>heart</w:t>
      </w:r>
    </w:p>
    <w:p>
      <w:pPr>
        <w:spacing w:after="0" w:line="240" w:lineRule="auto"/>
        <w:jc w:val="both"/>
        <w:rPr>
          <w:sz w:val="38"/>
        </w:rPr>
        <w:sectPr>
          <w:pgSz w:w="14270" w:h="16850"/>
          <w:pgMar w:header="0" w:footer="1891" w:top="1600" w:bottom="2080" w:left="800" w:right="1280"/>
        </w:sectPr>
      </w:pPr>
    </w:p>
    <w:p>
      <w:pPr>
        <w:pStyle w:val="BodyText"/>
        <w:spacing w:before="10"/>
        <w:rPr>
          <w:sz w:val="8"/>
        </w:rPr>
      </w:pPr>
    </w:p>
    <w:p>
      <w:pPr>
        <w:pStyle w:val="ListParagraph"/>
        <w:numPr>
          <w:ilvl w:val="0"/>
          <w:numId w:val="17"/>
        </w:numPr>
        <w:tabs>
          <w:tab w:pos="893" w:val="left" w:leader="none"/>
        </w:tabs>
        <w:spacing w:line="240" w:lineRule="auto" w:before="83" w:after="0"/>
        <w:ind w:left="892" w:right="0" w:hanging="415"/>
        <w:jc w:val="both"/>
        <w:rPr>
          <w:sz w:val="38"/>
        </w:rPr>
      </w:pPr>
      <w:r>
        <w:rPr>
          <w:sz w:val="38"/>
        </w:rPr>
        <w:t>protects the</w:t>
      </w:r>
      <w:r>
        <w:rPr>
          <w:spacing w:val="-1"/>
          <w:sz w:val="38"/>
        </w:rPr>
        <w:t> </w:t>
      </w:r>
      <w:r>
        <w:rPr>
          <w:sz w:val="38"/>
        </w:rPr>
        <w:t>nerves</w:t>
      </w:r>
    </w:p>
    <w:p>
      <w:pPr>
        <w:pStyle w:val="ListParagraph"/>
        <w:numPr>
          <w:ilvl w:val="0"/>
          <w:numId w:val="17"/>
        </w:numPr>
        <w:tabs>
          <w:tab w:pos="893" w:val="left" w:leader="none"/>
        </w:tabs>
        <w:spacing w:line="240" w:lineRule="auto" w:before="64" w:after="0"/>
        <w:ind w:left="892" w:right="0" w:hanging="415"/>
        <w:jc w:val="both"/>
        <w:rPr>
          <w:sz w:val="38"/>
        </w:rPr>
      </w:pPr>
      <w:r>
        <w:rPr>
          <w:sz w:val="38"/>
        </w:rPr>
        <w:t>de-stressing</w:t>
      </w:r>
    </w:p>
    <w:p>
      <w:pPr>
        <w:pStyle w:val="ListParagraph"/>
        <w:numPr>
          <w:ilvl w:val="0"/>
          <w:numId w:val="17"/>
        </w:numPr>
        <w:tabs>
          <w:tab w:pos="893" w:val="left" w:leader="none"/>
        </w:tabs>
        <w:spacing w:line="240" w:lineRule="auto" w:before="66" w:after="0"/>
        <w:ind w:left="892" w:right="0" w:hanging="415"/>
        <w:jc w:val="both"/>
        <w:rPr>
          <w:sz w:val="38"/>
        </w:rPr>
      </w:pPr>
      <w:r>
        <w:rPr>
          <w:sz w:val="38"/>
        </w:rPr>
        <w:t>rejuvenating</w:t>
      </w:r>
    </w:p>
    <w:p>
      <w:pPr>
        <w:pStyle w:val="ListParagraph"/>
        <w:numPr>
          <w:ilvl w:val="0"/>
          <w:numId w:val="17"/>
        </w:numPr>
        <w:tabs>
          <w:tab w:pos="893" w:val="left" w:leader="none"/>
        </w:tabs>
        <w:spacing w:line="240" w:lineRule="auto" w:before="63" w:after="0"/>
        <w:ind w:left="892" w:right="0" w:hanging="415"/>
        <w:jc w:val="both"/>
        <w:rPr>
          <w:sz w:val="38"/>
        </w:rPr>
      </w:pPr>
      <w:r>
        <w:rPr>
          <w:sz w:val="38"/>
        </w:rPr>
        <w:t>detoxifying</w:t>
      </w:r>
    </w:p>
    <w:p>
      <w:pPr>
        <w:pStyle w:val="ListParagraph"/>
        <w:numPr>
          <w:ilvl w:val="0"/>
          <w:numId w:val="17"/>
        </w:numPr>
        <w:tabs>
          <w:tab w:pos="893" w:val="left" w:leader="none"/>
        </w:tabs>
        <w:spacing w:line="240" w:lineRule="auto" w:before="64" w:after="0"/>
        <w:ind w:left="892" w:right="0" w:hanging="415"/>
        <w:jc w:val="both"/>
        <w:rPr>
          <w:sz w:val="38"/>
        </w:rPr>
      </w:pPr>
      <w:r>
        <w:rPr>
          <w:sz w:val="38"/>
        </w:rPr>
        <w:t>diuretic</w:t>
      </w:r>
    </w:p>
    <w:p>
      <w:pPr>
        <w:pStyle w:val="BodyText"/>
        <w:rPr>
          <w:sz w:val="44"/>
        </w:rPr>
      </w:pPr>
    </w:p>
    <w:p>
      <w:pPr>
        <w:pStyle w:val="BodyText"/>
        <w:rPr>
          <w:sz w:val="44"/>
        </w:rPr>
      </w:pPr>
    </w:p>
    <w:p>
      <w:pPr>
        <w:pStyle w:val="BodyText"/>
        <w:rPr>
          <w:sz w:val="44"/>
        </w:rPr>
      </w:pPr>
    </w:p>
    <w:p>
      <w:pPr>
        <w:pStyle w:val="Heading1"/>
        <w:spacing w:before="264"/>
        <w:jc w:val="both"/>
      </w:pPr>
      <w:r>
        <w:rPr/>
        <w:t>Antioxidant effect of Astragalus</w:t>
      </w:r>
      <w:r>
        <w:rPr>
          <w:spacing w:val="-57"/>
        </w:rPr>
        <w:t> </w:t>
      </w:r>
      <w:r>
        <w:rPr/>
        <w:t>membranaceus</w:t>
      </w:r>
    </w:p>
    <w:p>
      <w:pPr>
        <w:pStyle w:val="BodyText"/>
        <w:spacing w:line="276" w:lineRule="auto" w:before="300"/>
        <w:ind w:left="477"/>
      </w:pPr>
      <w:r>
        <w:rPr/>
        <w:t>In studies, astragalus has been shown to inhibit 40 % of lipid peroxidation (in vitro), which counteracts premature ageing among other things.</w:t>
      </w:r>
    </w:p>
    <w:p>
      <w:pPr>
        <w:pStyle w:val="Heading1"/>
        <w:spacing w:before="221"/>
      </w:pPr>
      <w:r>
        <w:rPr/>
        <w:t>The immunostimulating effect of astragalus</w:t>
      </w:r>
    </w:p>
    <w:p>
      <w:pPr>
        <w:pStyle w:val="BodyText"/>
        <w:spacing w:line="276" w:lineRule="auto" w:before="299"/>
        <w:ind w:left="477" w:right="139"/>
        <w:jc w:val="both"/>
      </w:pPr>
      <w:r>
        <w:rPr/>
        <w:t>Astragalus</w:t>
      </w:r>
      <w:r>
        <w:rPr>
          <w:spacing w:val="-11"/>
        </w:rPr>
        <w:t> </w:t>
      </w:r>
      <w:r>
        <w:rPr/>
        <w:t>has</w:t>
      </w:r>
      <w:r>
        <w:rPr>
          <w:spacing w:val="-11"/>
        </w:rPr>
        <w:t> </w:t>
      </w:r>
      <w:r>
        <w:rPr/>
        <w:t>proven</w:t>
      </w:r>
      <w:r>
        <w:rPr>
          <w:spacing w:val="-11"/>
        </w:rPr>
        <w:t> </w:t>
      </w:r>
      <w:r>
        <w:rPr/>
        <w:t>to</w:t>
      </w:r>
      <w:r>
        <w:rPr>
          <w:spacing w:val="-11"/>
        </w:rPr>
        <w:t> </w:t>
      </w:r>
      <w:r>
        <w:rPr/>
        <w:t>be</w:t>
      </w:r>
      <w:r>
        <w:rPr>
          <w:spacing w:val="-10"/>
        </w:rPr>
        <w:t> </w:t>
      </w:r>
      <w:r>
        <w:rPr/>
        <w:t>a</w:t>
      </w:r>
      <w:r>
        <w:rPr>
          <w:spacing w:val="-15"/>
        </w:rPr>
        <w:t> </w:t>
      </w:r>
      <w:r>
        <w:rPr/>
        <w:t>real</w:t>
      </w:r>
      <w:r>
        <w:rPr>
          <w:spacing w:val="-13"/>
        </w:rPr>
        <w:t> </w:t>
      </w:r>
      <w:r>
        <w:rPr/>
        <w:t>immune</w:t>
      </w:r>
      <w:r>
        <w:rPr>
          <w:spacing w:val="-11"/>
        </w:rPr>
        <w:t> </w:t>
      </w:r>
      <w:r>
        <w:rPr/>
        <w:t>booster;</w:t>
      </w:r>
      <w:r>
        <w:rPr>
          <w:spacing w:val="-9"/>
        </w:rPr>
        <w:t> </w:t>
      </w:r>
      <w:r>
        <w:rPr/>
        <w:t>this</w:t>
      </w:r>
      <w:r>
        <w:rPr>
          <w:spacing w:val="-11"/>
        </w:rPr>
        <w:t> </w:t>
      </w:r>
      <w:r>
        <w:rPr/>
        <w:t>is</w:t>
      </w:r>
      <w:r>
        <w:rPr>
          <w:spacing w:val="-12"/>
        </w:rPr>
        <w:t> </w:t>
      </w:r>
      <w:r>
        <w:rPr/>
        <w:t>due</w:t>
      </w:r>
      <w:r>
        <w:rPr>
          <w:spacing w:val="-13"/>
        </w:rPr>
        <w:t> </w:t>
      </w:r>
      <w:r>
        <w:rPr/>
        <w:t>to</w:t>
      </w:r>
      <w:r>
        <w:rPr>
          <w:spacing w:val="-13"/>
        </w:rPr>
        <w:t> </w:t>
      </w:r>
      <w:r>
        <w:rPr/>
        <w:t>a</w:t>
      </w:r>
      <w:r>
        <w:rPr>
          <w:spacing w:val="-13"/>
        </w:rPr>
        <w:t> </w:t>
      </w:r>
      <w:r>
        <w:rPr/>
        <w:t>multitude</w:t>
      </w:r>
      <w:r>
        <w:rPr>
          <w:spacing w:val="-12"/>
        </w:rPr>
        <w:t> </w:t>
      </w:r>
      <w:r>
        <w:rPr/>
        <w:t>of factors and has been the subject of intensive research in the fields of cancer control and AIDS</w:t>
      </w:r>
      <w:r>
        <w:rPr>
          <w:spacing w:val="6"/>
        </w:rPr>
        <w:t> </w:t>
      </w:r>
      <w:r>
        <w:rPr/>
        <w:t>therapy.</w:t>
      </w:r>
    </w:p>
    <w:p>
      <w:pPr>
        <w:pStyle w:val="Heading2"/>
        <w:spacing w:before="241"/>
        <w:jc w:val="both"/>
      </w:pPr>
      <w:r>
        <w:rPr/>
        <w:t>Astragalus activates:</w:t>
      </w:r>
    </w:p>
    <w:p>
      <w:pPr>
        <w:pStyle w:val="ListParagraph"/>
        <w:numPr>
          <w:ilvl w:val="1"/>
          <w:numId w:val="17"/>
        </w:numPr>
        <w:tabs>
          <w:tab w:pos="1197" w:val="left" w:leader="none"/>
          <w:tab w:pos="1198" w:val="left" w:leader="none"/>
        </w:tabs>
        <w:spacing w:line="240" w:lineRule="auto" w:before="306" w:after="0"/>
        <w:ind w:left="1197" w:right="0" w:hanging="360"/>
        <w:jc w:val="left"/>
        <w:rPr>
          <w:sz w:val="38"/>
        </w:rPr>
      </w:pPr>
      <w:r>
        <w:rPr>
          <w:sz w:val="38"/>
        </w:rPr>
        <w:t>macrophages,</w:t>
      </w:r>
    </w:p>
    <w:p>
      <w:pPr>
        <w:pStyle w:val="ListParagraph"/>
        <w:numPr>
          <w:ilvl w:val="1"/>
          <w:numId w:val="17"/>
        </w:numPr>
        <w:tabs>
          <w:tab w:pos="1197" w:val="left" w:leader="none"/>
          <w:tab w:pos="1198" w:val="left" w:leader="none"/>
        </w:tabs>
        <w:spacing w:line="240" w:lineRule="auto" w:before="64" w:after="0"/>
        <w:ind w:left="1197" w:right="0" w:hanging="360"/>
        <w:jc w:val="left"/>
        <w:rPr>
          <w:sz w:val="38"/>
        </w:rPr>
      </w:pPr>
      <w:r>
        <w:rPr>
          <w:sz w:val="38"/>
        </w:rPr>
        <w:t>immunoglobulins,</w:t>
      </w:r>
    </w:p>
    <w:p>
      <w:pPr>
        <w:pStyle w:val="ListParagraph"/>
        <w:numPr>
          <w:ilvl w:val="1"/>
          <w:numId w:val="17"/>
        </w:numPr>
        <w:tabs>
          <w:tab w:pos="1197" w:val="left" w:leader="none"/>
          <w:tab w:pos="1198" w:val="left" w:leader="none"/>
        </w:tabs>
        <w:spacing w:line="240" w:lineRule="auto" w:before="64" w:after="0"/>
        <w:ind w:left="1197" w:right="0" w:hanging="360"/>
        <w:jc w:val="left"/>
        <w:rPr>
          <w:sz w:val="38"/>
        </w:rPr>
      </w:pPr>
      <w:r>
        <w:rPr>
          <w:sz w:val="38"/>
        </w:rPr>
        <w:t>stem cell</w:t>
      </w:r>
      <w:r>
        <w:rPr>
          <w:spacing w:val="-5"/>
          <w:sz w:val="38"/>
        </w:rPr>
        <w:t> </w:t>
      </w:r>
      <w:r>
        <w:rPr>
          <w:sz w:val="38"/>
        </w:rPr>
        <w:t>proliferation,</w:t>
      </w:r>
    </w:p>
    <w:p>
      <w:pPr>
        <w:pStyle w:val="ListParagraph"/>
        <w:numPr>
          <w:ilvl w:val="1"/>
          <w:numId w:val="17"/>
        </w:numPr>
        <w:tabs>
          <w:tab w:pos="1197" w:val="left" w:leader="none"/>
          <w:tab w:pos="1198" w:val="left" w:leader="none"/>
        </w:tabs>
        <w:spacing w:line="240" w:lineRule="auto" w:before="64" w:after="0"/>
        <w:ind w:left="1197" w:right="0" w:hanging="360"/>
        <w:jc w:val="left"/>
        <w:rPr>
          <w:sz w:val="38"/>
        </w:rPr>
      </w:pPr>
      <w:r>
        <w:rPr>
          <w:sz w:val="38"/>
        </w:rPr>
        <w:t>interferon</w:t>
      </w:r>
      <w:r>
        <w:rPr>
          <w:spacing w:val="-15"/>
          <w:sz w:val="38"/>
        </w:rPr>
        <w:t> </w:t>
      </w:r>
      <w:r>
        <w:rPr>
          <w:sz w:val="38"/>
        </w:rPr>
        <w:t>production,</w:t>
      </w:r>
    </w:p>
    <w:p>
      <w:pPr>
        <w:spacing w:after="0" w:line="240" w:lineRule="auto"/>
        <w:jc w:val="left"/>
        <w:rPr>
          <w:sz w:val="38"/>
        </w:rPr>
        <w:sectPr>
          <w:pgSz w:w="14270" w:h="16850"/>
          <w:pgMar w:header="0" w:footer="1891" w:top="1600" w:bottom="2080" w:left="800" w:right="1280"/>
        </w:sectPr>
      </w:pPr>
    </w:p>
    <w:p>
      <w:pPr>
        <w:pStyle w:val="BodyText"/>
        <w:spacing w:before="10"/>
        <w:rPr>
          <w:sz w:val="8"/>
        </w:rPr>
      </w:pPr>
    </w:p>
    <w:p>
      <w:pPr>
        <w:pStyle w:val="ListParagraph"/>
        <w:numPr>
          <w:ilvl w:val="1"/>
          <w:numId w:val="17"/>
        </w:numPr>
        <w:tabs>
          <w:tab w:pos="1197" w:val="left" w:leader="none"/>
          <w:tab w:pos="1198" w:val="left" w:leader="none"/>
        </w:tabs>
        <w:spacing w:line="240" w:lineRule="auto" w:before="83" w:after="0"/>
        <w:ind w:left="1197" w:right="0" w:hanging="360"/>
        <w:jc w:val="left"/>
        <w:rPr>
          <w:sz w:val="38"/>
        </w:rPr>
      </w:pPr>
      <w:r>
        <w:rPr>
          <w:sz w:val="38"/>
        </w:rPr>
        <w:t>the T</w:t>
      </w:r>
      <w:r>
        <w:rPr>
          <w:spacing w:val="1"/>
          <w:sz w:val="38"/>
        </w:rPr>
        <w:t> </w:t>
      </w:r>
      <w:r>
        <w:rPr>
          <w:sz w:val="38"/>
        </w:rPr>
        <w:t>cells,</w:t>
      </w:r>
    </w:p>
    <w:p>
      <w:pPr>
        <w:pStyle w:val="ListParagraph"/>
        <w:numPr>
          <w:ilvl w:val="1"/>
          <w:numId w:val="17"/>
        </w:numPr>
        <w:tabs>
          <w:tab w:pos="1197" w:val="left" w:leader="none"/>
          <w:tab w:pos="1198" w:val="left" w:leader="none"/>
        </w:tabs>
        <w:spacing w:line="240" w:lineRule="auto" w:before="64" w:after="0"/>
        <w:ind w:left="1197" w:right="0" w:hanging="360"/>
        <w:jc w:val="left"/>
        <w:rPr>
          <w:sz w:val="38"/>
        </w:rPr>
      </w:pPr>
      <w:r>
        <w:rPr>
          <w:sz w:val="38"/>
        </w:rPr>
        <w:t>the natural killer</w:t>
      </w:r>
      <w:r>
        <w:rPr>
          <w:spacing w:val="2"/>
          <w:sz w:val="38"/>
        </w:rPr>
        <w:t> </w:t>
      </w:r>
      <w:r>
        <w:rPr>
          <w:sz w:val="38"/>
        </w:rPr>
        <w:t>cells;</w:t>
      </w:r>
    </w:p>
    <w:p>
      <w:pPr>
        <w:pStyle w:val="ListParagraph"/>
        <w:numPr>
          <w:ilvl w:val="1"/>
          <w:numId w:val="17"/>
        </w:numPr>
        <w:tabs>
          <w:tab w:pos="1197" w:val="left" w:leader="none"/>
          <w:tab w:pos="1198" w:val="left" w:leader="none"/>
        </w:tabs>
        <w:spacing w:line="273" w:lineRule="auto" w:before="66" w:after="0"/>
        <w:ind w:left="1197" w:right="353" w:hanging="360"/>
        <w:jc w:val="left"/>
        <w:rPr>
          <w:sz w:val="38"/>
        </w:rPr>
      </w:pPr>
      <w:r>
        <w:rPr>
          <w:sz w:val="38"/>
        </w:rPr>
        <w:t>furthermore, astragalus stimulates the function of the adrenal cortex and also supports the immune</w:t>
      </w:r>
      <w:r>
        <w:rPr>
          <w:spacing w:val="3"/>
          <w:sz w:val="38"/>
        </w:rPr>
        <w:t> </w:t>
      </w:r>
      <w:r>
        <w:rPr>
          <w:sz w:val="38"/>
        </w:rPr>
        <w:t>system.</w:t>
      </w:r>
    </w:p>
    <w:p>
      <w:pPr>
        <w:pStyle w:val="BodyText"/>
        <w:spacing w:line="276" w:lineRule="auto" w:before="245"/>
        <w:ind w:left="477" w:right="137"/>
        <w:jc w:val="both"/>
      </w:pPr>
      <w:r>
        <w:rPr/>
        <w:t>Here,</w:t>
      </w:r>
      <w:r>
        <w:rPr>
          <w:spacing w:val="-17"/>
        </w:rPr>
        <w:t> </w:t>
      </w:r>
      <w:r>
        <w:rPr/>
        <w:t>it</w:t>
      </w:r>
      <w:r>
        <w:rPr>
          <w:spacing w:val="-21"/>
        </w:rPr>
        <w:t> </w:t>
      </w:r>
      <w:r>
        <w:rPr/>
        <w:t>is</w:t>
      </w:r>
      <w:r>
        <w:rPr>
          <w:spacing w:val="-17"/>
        </w:rPr>
        <w:t> </w:t>
      </w:r>
      <w:r>
        <w:rPr/>
        <w:t>important</w:t>
      </w:r>
      <w:r>
        <w:rPr>
          <w:spacing w:val="-18"/>
        </w:rPr>
        <w:t> </w:t>
      </w:r>
      <w:r>
        <w:rPr/>
        <w:t>to</w:t>
      </w:r>
      <w:r>
        <w:rPr>
          <w:spacing w:val="-16"/>
        </w:rPr>
        <w:t> </w:t>
      </w:r>
      <w:r>
        <w:rPr/>
        <w:t>emphasise</w:t>
      </w:r>
      <w:r>
        <w:rPr>
          <w:spacing w:val="-17"/>
        </w:rPr>
        <w:t> </w:t>
      </w:r>
      <w:r>
        <w:rPr/>
        <w:t>that</w:t>
      </w:r>
      <w:r>
        <w:rPr>
          <w:spacing w:val="-18"/>
        </w:rPr>
        <w:t> </w:t>
      </w:r>
      <w:r>
        <w:rPr/>
        <w:t>astragalus</w:t>
      </w:r>
      <w:r>
        <w:rPr>
          <w:spacing w:val="-18"/>
        </w:rPr>
        <w:t> </w:t>
      </w:r>
      <w:r>
        <w:rPr/>
        <w:t>does</w:t>
      </w:r>
      <w:r>
        <w:rPr>
          <w:spacing w:val="-17"/>
        </w:rPr>
        <w:t> </w:t>
      </w:r>
      <w:r>
        <w:rPr/>
        <w:t>not</w:t>
      </w:r>
      <w:r>
        <w:rPr>
          <w:spacing w:val="-16"/>
        </w:rPr>
        <w:t> </w:t>
      </w:r>
      <w:r>
        <w:rPr/>
        <w:t>just</w:t>
      </w:r>
      <w:r>
        <w:rPr>
          <w:spacing w:val="-17"/>
        </w:rPr>
        <w:t> </w:t>
      </w:r>
      <w:r>
        <w:rPr/>
        <w:t>act</w:t>
      </w:r>
      <w:r>
        <w:rPr>
          <w:spacing w:val="-22"/>
        </w:rPr>
        <w:t> </w:t>
      </w:r>
      <w:r>
        <w:rPr/>
        <w:t>as</w:t>
      </w:r>
      <w:r>
        <w:rPr>
          <w:spacing w:val="-18"/>
        </w:rPr>
        <w:t> </w:t>
      </w:r>
      <w:r>
        <w:rPr/>
        <w:t>an</w:t>
      </w:r>
      <w:r>
        <w:rPr>
          <w:spacing w:val="-19"/>
        </w:rPr>
        <w:t> </w:t>
      </w:r>
      <w:r>
        <w:rPr/>
        <w:t>immun- ity booster and stimulate the immune system regardless of the body’s overall situation – it primarily acts as an immune regulator and secondarily as an im- mune booster, if the latter even comes into play at all! This is of particular in- terest for people who suffer from allergies, arthritis, lupus and similar diseases in which the immune system attacks its own body. In these cases, it should be expected that astragalus regulates the immune system rather than exacerbates the overall situation.</w:t>
      </w:r>
    </w:p>
    <w:p>
      <w:pPr>
        <w:pStyle w:val="BodyText"/>
        <w:rPr>
          <w:sz w:val="42"/>
        </w:rPr>
      </w:pPr>
    </w:p>
    <w:p>
      <w:pPr>
        <w:pStyle w:val="BodyText"/>
        <w:spacing w:before="4"/>
        <w:rPr>
          <w:sz w:val="44"/>
        </w:rPr>
      </w:pPr>
    </w:p>
    <w:p>
      <w:pPr>
        <w:pStyle w:val="Heading2"/>
      </w:pPr>
      <w:r>
        <w:rPr/>
        <w:t>Effect of Astragalus membranaceus against cancer</w:t>
      </w:r>
    </w:p>
    <w:p>
      <w:pPr>
        <w:pStyle w:val="BodyText"/>
        <w:spacing w:line="276" w:lineRule="auto" w:before="304"/>
        <w:ind w:left="477" w:right="131"/>
        <w:jc w:val="both"/>
      </w:pPr>
      <w:r>
        <w:rPr/>
        <w:t>In</w:t>
      </w:r>
      <w:r>
        <w:rPr>
          <w:spacing w:val="-19"/>
        </w:rPr>
        <w:t> </w:t>
      </w:r>
      <w:r>
        <w:rPr/>
        <w:t>studies,</w:t>
      </w:r>
      <w:r>
        <w:rPr>
          <w:spacing w:val="-19"/>
        </w:rPr>
        <w:t> </w:t>
      </w:r>
      <w:r>
        <w:rPr/>
        <w:t>Astragalus</w:t>
      </w:r>
      <w:r>
        <w:rPr>
          <w:spacing w:val="-19"/>
        </w:rPr>
        <w:t> </w:t>
      </w:r>
      <w:r>
        <w:rPr/>
        <w:t>membranaceus</w:t>
      </w:r>
      <w:r>
        <w:rPr>
          <w:spacing w:val="-18"/>
        </w:rPr>
        <w:t> </w:t>
      </w:r>
      <w:r>
        <w:rPr/>
        <w:t>has</w:t>
      </w:r>
      <w:r>
        <w:rPr>
          <w:spacing w:val="-19"/>
        </w:rPr>
        <w:t> </w:t>
      </w:r>
      <w:r>
        <w:rPr/>
        <w:t>been</w:t>
      </w:r>
      <w:r>
        <w:rPr>
          <w:spacing w:val="-22"/>
        </w:rPr>
        <w:t> </w:t>
      </w:r>
      <w:r>
        <w:rPr/>
        <w:t>shown</w:t>
      </w:r>
      <w:r>
        <w:rPr>
          <w:spacing w:val="-19"/>
        </w:rPr>
        <w:t> </w:t>
      </w:r>
      <w:r>
        <w:rPr/>
        <w:t>to</w:t>
      </w:r>
      <w:r>
        <w:rPr>
          <w:spacing w:val="-19"/>
        </w:rPr>
        <w:t> </w:t>
      </w:r>
      <w:r>
        <w:rPr/>
        <w:t>have</w:t>
      </w:r>
      <w:r>
        <w:rPr>
          <w:spacing w:val="-19"/>
        </w:rPr>
        <w:t> </w:t>
      </w:r>
      <w:r>
        <w:rPr/>
        <w:t>significant</w:t>
      </w:r>
      <w:r>
        <w:rPr>
          <w:spacing w:val="-19"/>
        </w:rPr>
        <w:t> </w:t>
      </w:r>
      <w:r>
        <w:rPr/>
        <w:t>effects on small-cell lung tumours, melanoma, and kidney cancer and has been shown to increase the positive effects of chemotherapy, while reducing its side</w:t>
      </w:r>
      <w:r>
        <w:rPr>
          <w:spacing w:val="-69"/>
        </w:rPr>
        <w:t> </w:t>
      </w:r>
      <w:r>
        <w:rPr/>
        <w:t>effects. Furthermore,</w:t>
      </w:r>
      <w:r>
        <w:rPr>
          <w:spacing w:val="-20"/>
        </w:rPr>
        <w:t> </w:t>
      </w:r>
      <w:r>
        <w:rPr/>
        <w:t>excessively</w:t>
      </w:r>
      <w:r>
        <w:rPr>
          <w:spacing w:val="-20"/>
        </w:rPr>
        <w:t> </w:t>
      </w:r>
      <w:r>
        <w:rPr/>
        <w:t>short</w:t>
      </w:r>
      <w:r>
        <w:rPr>
          <w:spacing w:val="-23"/>
        </w:rPr>
        <w:t> </w:t>
      </w:r>
      <w:r>
        <w:rPr/>
        <w:t>telomeres</w:t>
      </w:r>
      <w:r>
        <w:rPr>
          <w:spacing w:val="-19"/>
        </w:rPr>
        <w:t> </w:t>
      </w:r>
      <w:r>
        <w:rPr/>
        <w:t>are</w:t>
      </w:r>
      <w:r>
        <w:rPr>
          <w:spacing w:val="-22"/>
        </w:rPr>
        <w:t> </w:t>
      </w:r>
      <w:r>
        <w:rPr/>
        <w:t>considered</w:t>
      </w:r>
      <w:r>
        <w:rPr>
          <w:spacing w:val="-20"/>
        </w:rPr>
        <w:t> </w:t>
      </w:r>
      <w:r>
        <w:rPr/>
        <w:t>to</w:t>
      </w:r>
      <w:r>
        <w:rPr>
          <w:spacing w:val="-19"/>
        </w:rPr>
        <w:t> </w:t>
      </w:r>
      <w:r>
        <w:rPr/>
        <w:t>be</w:t>
      </w:r>
      <w:r>
        <w:rPr>
          <w:spacing w:val="-22"/>
        </w:rPr>
        <w:t> </w:t>
      </w:r>
      <w:r>
        <w:rPr/>
        <w:t>unstable</w:t>
      </w:r>
      <w:r>
        <w:rPr>
          <w:spacing w:val="-20"/>
        </w:rPr>
        <w:t> </w:t>
      </w:r>
      <w:r>
        <w:rPr/>
        <w:t>and</w:t>
      </w:r>
      <w:r>
        <w:rPr>
          <w:spacing w:val="-21"/>
        </w:rPr>
        <w:t> </w:t>
      </w:r>
      <w:r>
        <w:rPr/>
        <w:t>sus- ceptible to cancer. Astragalus protects telomeres from premature shortening and may also protect against cancer.</w:t>
      </w:r>
    </w:p>
    <w:p>
      <w:pPr>
        <w:spacing w:after="0" w:line="276" w:lineRule="auto"/>
        <w:jc w:val="both"/>
        <w:sectPr>
          <w:pgSz w:w="14270" w:h="16850"/>
          <w:pgMar w:header="0" w:footer="1891" w:top="1600" w:bottom="2080" w:left="800" w:right="1280"/>
        </w:sectPr>
      </w:pPr>
    </w:p>
    <w:p>
      <w:pPr>
        <w:pStyle w:val="Heading2"/>
        <w:spacing w:before="181"/>
      </w:pPr>
      <w:r>
        <w:rPr/>
        <w:t>Effect of astragalus against cancer</w:t>
      </w:r>
      <w:r>
        <w:rPr>
          <w:b w:val="0"/>
        </w:rPr>
        <w:t>, </w:t>
      </w:r>
      <w:r>
        <w:rPr/>
        <w:t>confirmed by studies</w:t>
      </w:r>
    </w:p>
    <w:p>
      <w:pPr>
        <w:spacing w:before="288"/>
        <w:ind w:left="477" w:right="0" w:firstLine="0"/>
        <w:jc w:val="left"/>
        <w:rPr>
          <w:b/>
          <w:i/>
          <w:sz w:val="40"/>
        </w:rPr>
      </w:pPr>
      <w:r>
        <w:rPr>
          <w:b/>
          <w:i/>
          <w:sz w:val="40"/>
        </w:rPr>
        <w:t>Studies of astragalus and its effect on lung cancer</w:t>
      </w:r>
    </w:p>
    <w:p>
      <w:pPr>
        <w:pStyle w:val="BodyText"/>
        <w:spacing w:line="276" w:lineRule="auto" w:before="299"/>
        <w:ind w:left="477"/>
        <w:rPr>
          <w:sz w:val="25"/>
        </w:rPr>
      </w:pPr>
      <w:r>
        <w:rPr/>
        <w:t>Ten out of twelve patients with small-cell lung cancer who were treated with astragalus achieved survival rates of 3 to 17 years.</w:t>
      </w:r>
      <w:r>
        <w:rPr>
          <w:position w:val="9"/>
          <w:sz w:val="25"/>
        </w:rPr>
        <w:t>80</w:t>
      </w:r>
    </w:p>
    <w:p>
      <w:pPr>
        <w:pStyle w:val="Heading1"/>
        <w:spacing w:before="223"/>
      </w:pPr>
      <w:r>
        <w:rPr/>
        <w:t>Astragalus effective in studies on kidney cancer and melanoma</w:t>
      </w:r>
    </w:p>
    <w:p>
      <w:pPr>
        <w:pStyle w:val="BodyText"/>
        <w:spacing w:line="276" w:lineRule="auto" w:before="298"/>
        <w:ind w:left="477"/>
        <w:rPr>
          <w:sz w:val="25"/>
        </w:rPr>
      </w:pPr>
      <w:r>
        <w:rPr/>
        <w:t>In vitro testing of astragalus has demonstrated its antitumoural effects on mel- anoma and kidney cancer.</w:t>
      </w:r>
      <w:r>
        <w:rPr>
          <w:position w:val="9"/>
          <w:sz w:val="25"/>
        </w:rPr>
        <w:t>81</w:t>
      </w:r>
    </w:p>
    <w:p>
      <w:pPr>
        <w:pStyle w:val="Heading1"/>
        <w:spacing w:line="261" w:lineRule="auto" w:before="223"/>
        <w:ind w:right="125"/>
      </w:pPr>
      <w:r>
        <w:rPr/>
        <w:t>New</w:t>
      </w:r>
      <w:r>
        <w:rPr>
          <w:spacing w:val="-56"/>
        </w:rPr>
        <w:t> </w:t>
      </w:r>
      <w:r>
        <w:rPr/>
        <w:t>anti-cancer</w:t>
      </w:r>
      <w:r>
        <w:rPr>
          <w:spacing w:val="-55"/>
        </w:rPr>
        <w:t> </w:t>
      </w:r>
      <w:r>
        <w:rPr/>
        <w:t>effect</w:t>
      </w:r>
      <w:r>
        <w:rPr>
          <w:spacing w:val="-55"/>
        </w:rPr>
        <w:t> </w:t>
      </w:r>
      <w:r>
        <w:rPr/>
        <w:t>due</w:t>
      </w:r>
      <w:r>
        <w:rPr>
          <w:spacing w:val="-55"/>
        </w:rPr>
        <w:t> </w:t>
      </w:r>
      <w:r>
        <w:rPr/>
        <w:t>to</w:t>
      </w:r>
      <w:r>
        <w:rPr>
          <w:spacing w:val="-54"/>
        </w:rPr>
        <w:t> </w:t>
      </w:r>
      <w:r>
        <w:rPr/>
        <w:t>transcriptional</w:t>
      </w:r>
      <w:r>
        <w:rPr>
          <w:spacing w:val="-54"/>
        </w:rPr>
        <w:t> </w:t>
      </w:r>
      <w:r>
        <w:rPr/>
        <w:t>activation</w:t>
      </w:r>
      <w:r>
        <w:rPr>
          <w:spacing w:val="-54"/>
        </w:rPr>
        <w:t> </w:t>
      </w:r>
      <w:r>
        <w:rPr/>
        <w:t>of</w:t>
      </w:r>
      <w:r>
        <w:rPr>
          <w:spacing w:val="-54"/>
        </w:rPr>
        <w:t> </w:t>
      </w:r>
      <w:r>
        <w:rPr/>
        <w:t>NSAID-acti- vated genes</w:t>
      </w:r>
    </w:p>
    <w:p>
      <w:pPr>
        <w:pStyle w:val="BodyText"/>
        <w:spacing w:line="276" w:lineRule="auto" w:before="261"/>
        <w:ind w:left="477" w:right="133"/>
        <w:rPr>
          <w:sz w:val="25"/>
        </w:rPr>
      </w:pPr>
      <w:r>
        <w:rPr/>
        <w:t>Astragalus</w:t>
      </w:r>
      <w:r>
        <w:rPr>
          <w:spacing w:val="-15"/>
        </w:rPr>
        <w:t> </w:t>
      </w:r>
      <w:r>
        <w:rPr/>
        <w:t>saponins</w:t>
      </w:r>
      <w:r>
        <w:rPr>
          <w:spacing w:val="-15"/>
        </w:rPr>
        <w:t> </w:t>
      </w:r>
      <w:r>
        <w:rPr/>
        <w:t>showed</w:t>
      </w:r>
      <w:r>
        <w:rPr>
          <w:spacing w:val="-16"/>
        </w:rPr>
        <w:t> </w:t>
      </w:r>
      <w:r>
        <w:rPr/>
        <w:t>a</w:t>
      </w:r>
      <w:r>
        <w:rPr>
          <w:spacing w:val="-17"/>
        </w:rPr>
        <w:t> </w:t>
      </w:r>
      <w:r>
        <w:rPr/>
        <w:t>novel</w:t>
      </w:r>
      <w:r>
        <w:rPr>
          <w:spacing w:val="-16"/>
        </w:rPr>
        <w:t> </w:t>
      </w:r>
      <w:r>
        <w:rPr/>
        <w:t>anti-cancer</w:t>
      </w:r>
      <w:r>
        <w:rPr>
          <w:spacing w:val="-15"/>
        </w:rPr>
        <w:t> </w:t>
      </w:r>
      <w:r>
        <w:rPr/>
        <w:t>effect</w:t>
      </w:r>
      <w:r>
        <w:rPr>
          <w:spacing w:val="-16"/>
        </w:rPr>
        <w:t> </w:t>
      </w:r>
      <w:r>
        <w:rPr/>
        <w:t>through</w:t>
      </w:r>
      <w:r>
        <w:rPr>
          <w:spacing w:val="-15"/>
        </w:rPr>
        <w:t> </w:t>
      </w:r>
      <w:r>
        <w:rPr/>
        <w:t>the</w:t>
      </w:r>
      <w:r>
        <w:rPr>
          <w:spacing w:val="-16"/>
        </w:rPr>
        <w:t> </w:t>
      </w:r>
      <w:r>
        <w:rPr/>
        <w:t>activation</w:t>
      </w:r>
      <w:r>
        <w:rPr>
          <w:spacing w:val="-14"/>
        </w:rPr>
        <w:t> </w:t>
      </w:r>
      <w:r>
        <w:rPr/>
        <w:t>of NSAID-activated</w:t>
      </w:r>
      <w:r>
        <w:rPr>
          <w:spacing w:val="-1"/>
        </w:rPr>
        <w:t> </w:t>
      </w:r>
      <w:r>
        <w:rPr/>
        <w:t>genes.</w:t>
      </w:r>
      <w:r>
        <w:rPr>
          <w:position w:val="9"/>
          <w:sz w:val="25"/>
        </w:rPr>
        <w:t>82</w:t>
      </w:r>
    </w:p>
    <w:p>
      <w:pPr>
        <w:pStyle w:val="Heading1"/>
        <w:spacing w:before="221"/>
      </w:pPr>
      <w:r>
        <w:rPr/>
        <w:t>Antimutagenic effect of astragalus</w:t>
      </w:r>
    </w:p>
    <w:p>
      <w:pPr>
        <w:pStyle w:val="BodyText"/>
        <w:spacing w:line="276" w:lineRule="auto" w:before="299"/>
        <w:ind w:left="477"/>
      </w:pPr>
      <w:r>
        <w:rPr/>
        <w:t>The antimutagenic effect of astragalus has a preventive and therapeutic effect against cancer.</w:t>
      </w:r>
    </w:p>
    <w:p>
      <w:pPr>
        <w:pStyle w:val="Heading1"/>
      </w:pPr>
      <w:r>
        <w:rPr/>
        <w:t>Astragalus enhances the effects of chemotherapy and prolongs life</w:t>
      </w:r>
    </w:p>
    <w:p>
      <w:pPr>
        <w:pStyle w:val="BodyText"/>
        <w:spacing w:line="276" w:lineRule="auto" w:before="299"/>
        <w:ind w:left="477"/>
      </w:pPr>
      <w:r>
        <w:rPr/>
        <w:t>In studies, astragalus has been shown to enhance the effects of chemotherapy and prevent relapses. In addition, lifespan was significantly increased and the</w:t>
      </w:r>
    </w:p>
    <w:p>
      <w:pPr>
        <w:pStyle w:val="BodyText"/>
        <w:spacing w:before="1"/>
        <w:rPr>
          <w:sz w:val="23"/>
        </w:rPr>
      </w:pPr>
      <w:r>
        <w:rPr/>
        <w:pict>
          <v:line style="position:absolute;mso-position-horizontal-relative:page;mso-position-vertical-relative:paragraph;z-index:368;mso-wrap-distance-left:0;mso-wrap-distance-right:0" from="63.863998pt,15.382515pt" to="207.883998pt,15.382515pt" stroked="true" strokeweight=".71997pt" strokecolor="#000000">
            <v:stroke dashstyle="solid"/>
            <w10:wrap type="topAndBottom"/>
          </v:line>
        </w:pict>
      </w:r>
    </w:p>
    <w:p>
      <w:pPr>
        <w:pStyle w:val="BodyText"/>
        <w:spacing w:before="7"/>
        <w:rPr>
          <w:sz w:val="18"/>
        </w:rPr>
      </w:pPr>
    </w:p>
    <w:p>
      <w:pPr>
        <w:spacing w:line="276" w:lineRule="auto" w:before="99"/>
        <w:ind w:left="477" w:right="244" w:firstLine="0"/>
        <w:jc w:val="left"/>
        <w:rPr>
          <w:sz w:val="20"/>
        </w:rPr>
      </w:pPr>
      <w:r>
        <w:rPr>
          <w:position w:val="5"/>
          <w:sz w:val="13"/>
        </w:rPr>
        <w:t>80 </w:t>
      </w:r>
      <w:r>
        <w:rPr>
          <w:sz w:val="20"/>
        </w:rPr>
        <w:t>Cha R. J. et al.: Non-surgical treatment of small cell lung cancer with chemoradio-immunotherapy and traditional Chinese medicine. Chung Hua Nei Ko Tsa Chih 1994; 33, p. 462–466.</w:t>
      </w:r>
    </w:p>
    <w:p>
      <w:pPr>
        <w:spacing w:line="276" w:lineRule="auto" w:before="61"/>
        <w:ind w:left="477" w:right="244" w:firstLine="0"/>
        <w:jc w:val="left"/>
        <w:rPr>
          <w:sz w:val="20"/>
        </w:rPr>
      </w:pPr>
      <w:r>
        <w:rPr/>
        <w:drawing>
          <wp:anchor distT="0" distB="0" distL="0" distR="0" allowOverlap="1" layoutInCell="1" locked="0" behindDoc="1" simplePos="0" relativeHeight="267168167">
            <wp:simplePos x="0" y="0"/>
            <wp:positionH relativeFrom="page">
              <wp:posOffset>896463</wp:posOffset>
            </wp:positionH>
            <wp:positionV relativeFrom="paragraph">
              <wp:posOffset>285599</wp:posOffset>
            </wp:positionV>
            <wp:extent cx="6379583" cy="902106"/>
            <wp:effectExtent l="0" t="0" r="0" b="0"/>
            <wp:wrapNone/>
            <wp:docPr id="53" name="image2.jpeg" descr=""/>
            <wp:cNvGraphicFramePr>
              <a:graphicFrameLocks noChangeAspect="1"/>
            </wp:cNvGraphicFramePr>
            <a:graphic>
              <a:graphicData uri="http://schemas.openxmlformats.org/drawingml/2006/picture">
                <pic:pic>
                  <pic:nvPicPr>
                    <pic:cNvPr id="54"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81 </w:t>
      </w:r>
      <w:r>
        <w:rPr>
          <w:sz w:val="20"/>
        </w:rPr>
        <w:t>Wang Y. et al.: Phytochemicals potentiate interleukin-2 generated lymphokine-activated killer cell cytotoxicity against murine renal cell carcinoma. Mol Biother 1992; 4, p. 143–146.</w:t>
      </w:r>
    </w:p>
    <w:p>
      <w:pPr>
        <w:spacing w:before="61"/>
        <w:ind w:left="477" w:right="0" w:firstLine="0"/>
        <w:jc w:val="left"/>
        <w:rPr>
          <w:sz w:val="20"/>
        </w:rPr>
      </w:pPr>
      <w:r>
        <w:rPr>
          <w:position w:val="5"/>
          <w:sz w:val="13"/>
        </w:rPr>
        <w:t>82 </w:t>
      </w:r>
      <w:r>
        <w:rPr>
          <w:sz w:val="20"/>
        </w:rPr>
        <w:t>Int J Cancer. 2009 Sep 1; 125 (5), p. 1082–1091. PMID: 19384947</w:t>
      </w:r>
    </w:p>
    <w:p>
      <w:pPr>
        <w:spacing w:after="0"/>
        <w:jc w:val="left"/>
        <w:rPr>
          <w:sz w:val="20"/>
        </w:rPr>
        <w:sectPr>
          <w:footerReference w:type="default" r:id="rId44"/>
          <w:pgSz w:w="14270" w:h="16850"/>
          <w:pgMar w:footer="527" w:header="0" w:top="1600" w:bottom="720" w:left="800" w:right="1280"/>
          <w:pgNumType w:start="204"/>
        </w:sectPr>
      </w:pPr>
    </w:p>
    <w:p>
      <w:pPr>
        <w:pStyle w:val="BodyText"/>
        <w:spacing w:before="181"/>
        <w:ind w:left="477"/>
        <w:rPr>
          <w:sz w:val="25"/>
        </w:rPr>
      </w:pPr>
      <w:r>
        <w:rPr/>
        <w:t>toxic side effects of the chemotherapeutic agents were reduced.</w:t>
      </w:r>
      <w:r>
        <w:rPr>
          <w:position w:val="9"/>
          <w:sz w:val="25"/>
        </w:rPr>
        <w:t>83</w:t>
      </w:r>
    </w:p>
    <w:p>
      <w:pPr>
        <w:pStyle w:val="Heading1"/>
        <w:spacing w:before="288"/>
      </w:pPr>
      <w:r>
        <w:rPr/>
        <w:t>Antiviral effect of astragalus</w:t>
      </w:r>
    </w:p>
    <w:p>
      <w:pPr>
        <w:pStyle w:val="BodyText"/>
        <w:spacing w:line="276" w:lineRule="auto" w:before="299"/>
        <w:ind w:left="477" w:right="135"/>
        <w:jc w:val="both"/>
      </w:pPr>
      <w:r>
        <w:rPr/>
        <w:t>Astragalus boosts the production of interferon, which is known to kill viral in- fections. Astragalus also inhibits the proliferation of certain viruses, such as Coxsackie,</w:t>
      </w:r>
      <w:r>
        <w:rPr>
          <w:spacing w:val="-22"/>
        </w:rPr>
        <w:t> </w:t>
      </w:r>
      <w:r>
        <w:rPr/>
        <w:t>which</w:t>
      </w:r>
      <w:r>
        <w:rPr>
          <w:spacing w:val="-20"/>
        </w:rPr>
        <w:t> </w:t>
      </w:r>
      <w:r>
        <w:rPr/>
        <w:t>can</w:t>
      </w:r>
      <w:r>
        <w:rPr>
          <w:spacing w:val="-20"/>
        </w:rPr>
        <w:t> </w:t>
      </w:r>
      <w:r>
        <w:rPr/>
        <w:t>also</w:t>
      </w:r>
      <w:r>
        <w:rPr>
          <w:spacing w:val="-24"/>
        </w:rPr>
        <w:t> </w:t>
      </w:r>
      <w:r>
        <w:rPr/>
        <w:t>cause</w:t>
      </w:r>
      <w:r>
        <w:rPr>
          <w:spacing w:val="-24"/>
        </w:rPr>
        <w:t> </w:t>
      </w:r>
      <w:r>
        <w:rPr/>
        <w:t>inflammation</w:t>
      </w:r>
      <w:r>
        <w:rPr>
          <w:spacing w:val="-20"/>
        </w:rPr>
        <w:t> </w:t>
      </w:r>
      <w:r>
        <w:rPr/>
        <w:t>in</w:t>
      </w:r>
      <w:r>
        <w:rPr>
          <w:spacing w:val="-23"/>
        </w:rPr>
        <w:t> </w:t>
      </w:r>
      <w:r>
        <w:rPr/>
        <w:t>the</w:t>
      </w:r>
      <w:r>
        <w:rPr>
          <w:spacing w:val="-20"/>
        </w:rPr>
        <w:t> </w:t>
      </w:r>
      <w:r>
        <w:rPr/>
        <w:t>heart</w:t>
      </w:r>
      <w:r>
        <w:rPr>
          <w:spacing w:val="-23"/>
        </w:rPr>
        <w:t> </w:t>
      </w:r>
      <w:r>
        <w:rPr/>
        <w:t>muscle</w:t>
      </w:r>
      <w:r>
        <w:rPr>
          <w:spacing w:val="-24"/>
        </w:rPr>
        <w:t> </w:t>
      </w:r>
      <w:r>
        <w:rPr/>
        <w:t>(myocarditis).</w:t>
      </w:r>
    </w:p>
    <w:p>
      <w:pPr>
        <w:pStyle w:val="Heading1"/>
        <w:spacing w:before="222"/>
      </w:pPr>
      <w:r>
        <w:rPr/>
        <w:t>Antibacterial effect of astragalus</w:t>
      </w:r>
    </w:p>
    <w:p>
      <w:pPr>
        <w:pStyle w:val="BodyText"/>
        <w:spacing w:line="276" w:lineRule="auto" w:before="299"/>
        <w:ind w:left="477" w:right="145"/>
        <w:jc w:val="both"/>
      </w:pPr>
      <w:r>
        <w:rPr/>
        <w:t>In vitro testing has shown that Astragalus membranaceus has a bactericidal ef- fect on bacterial strains such as Streptococcus haemolyticus, Shigella dysen- teriae, Diplococcus pneumoniae and Staphylococcus aureus.</w:t>
      </w:r>
    </w:p>
    <w:p>
      <w:pPr>
        <w:pStyle w:val="Heading1"/>
      </w:pPr>
      <w:r>
        <w:rPr/>
        <w:t>Anti-inflammatory effect of astragalus</w:t>
      </w:r>
    </w:p>
    <w:p>
      <w:pPr>
        <w:pStyle w:val="BodyText"/>
        <w:spacing w:line="276" w:lineRule="auto" w:before="299"/>
        <w:ind w:left="477"/>
      </w:pPr>
      <w:r>
        <w:rPr/>
        <w:t>Studies have found astragalus to counter airway inflammation in chronic asthma.</w:t>
      </w:r>
    </w:p>
    <w:p>
      <w:pPr>
        <w:pStyle w:val="BodyText"/>
        <w:rPr>
          <w:sz w:val="42"/>
        </w:rPr>
      </w:pPr>
    </w:p>
    <w:p>
      <w:pPr>
        <w:pStyle w:val="BodyText"/>
        <w:spacing w:before="9"/>
        <w:rPr>
          <w:sz w:val="42"/>
        </w:rPr>
      </w:pPr>
    </w:p>
    <w:p>
      <w:pPr>
        <w:pStyle w:val="Heading1"/>
        <w:spacing w:before="0"/>
      </w:pPr>
      <w:r>
        <w:rPr/>
        <w:t>Tonifying/revitalising effect of astragalus</w:t>
      </w:r>
    </w:p>
    <w:p>
      <w:pPr>
        <w:pStyle w:val="BodyText"/>
        <w:spacing w:line="276" w:lineRule="auto" w:before="299"/>
        <w:ind w:left="477" w:right="136"/>
        <w:jc w:val="both"/>
      </w:pPr>
      <w:r>
        <w:rPr/>
        <w:t>The toning effect of Astragalus membranaceus is, among other things, due to the increased circulation of the cardiovascular system. The whole body is sup- plied with more oxygen and energy, which has a toning and revitalising effect.</w:t>
      </w:r>
    </w:p>
    <w:p>
      <w:pPr>
        <w:pStyle w:val="BodyText"/>
        <w:rPr>
          <w:sz w:val="20"/>
        </w:rPr>
      </w:pPr>
    </w:p>
    <w:p>
      <w:pPr>
        <w:pStyle w:val="BodyText"/>
        <w:rPr>
          <w:sz w:val="20"/>
        </w:rPr>
      </w:pPr>
    </w:p>
    <w:p>
      <w:pPr>
        <w:pStyle w:val="BodyText"/>
        <w:rPr>
          <w:sz w:val="20"/>
        </w:rPr>
      </w:pPr>
    </w:p>
    <w:p>
      <w:pPr>
        <w:pStyle w:val="BodyText"/>
        <w:spacing w:before="6"/>
        <w:rPr>
          <w:sz w:val="14"/>
        </w:rPr>
      </w:pPr>
      <w:r>
        <w:rPr/>
        <w:pict>
          <v:line style="position:absolute;mso-position-horizontal-relative:page;mso-position-vertical-relative:paragraph;z-index:416;mso-wrap-distance-left:0;mso-wrap-distance-right:0" from="63.863998pt,10.571235pt" to="207.883998pt,10.571235pt" stroked="true" strokeweight=".72003pt" strokecolor="#000000">
            <v:stroke dashstyle="solid"/>
            <w10:wrap type="topAndBottom"/>
          </v:line>
        </w:pict>
      </w:r>
    </w:p>
    <w:p>
      <w:pPr>
        <w:pStyle w:val="BodyText"/>
        <w:spacing w:before="7"/>
        <w:rPr>
          <w:sz w:val="18"/>
        </w:rPr>
      </w:pPr>
    </w:p>
    <w:p>
      <w:pPr>
        <w:spacing w:line="276" w:lineRule="auto" w:before="99"/>
        <w:ind w:left="477" w:right="355" w:firstLine="0"/>
        <w:jc w:val="left"/>
        <w:rPr>
          <w:sz w:val="20"/>
        </w:rPr>
      </w:pPr>
      <w:r>
        <w:rPr>
          <w:position w:val="5"/>
          <w:sz w:val="13"/>
        </w:rPr>
        <w:t>83 </w:t>
      </w:r>
      <w:r>
        <w:rPr>
          <w:sz w:val="20"/>
        </w:rPr>
        <w:t>Zee-Cheng R. K.: Shi-quan-da-bu-tang (ten significant tonic decoction), SQT. A potent Chinese biological response modifier in cancer immuno- therapy, potentiation and detoxification of anticancer drugs. Methods Find Exp Clin Pharmacol.</w:t>
      </w:r>
    </w:p>
    <w:p>
      <w:pPr>
        <w:spacing w:after="0" w:line="276" w:lineRule="auto"/>
        <w:jc w:val="left"/>
        <w:rPr>
          <w:sz w:val="20"/>
        </w:rPr>
        <w:sectPr>
          <w:footerReference w:type="default" r:id="rId45"/>
          <w:pgSz w:w="14270" w:h="16850"/>
          <w:pgMar w:footer="1891" w:header="0" w:top="1600" w:bottom="2080" w:left="800" w:right="1280"/>
          <w:pgNumType w:start="205"/>
        </w:sectPr>
      </w:pPr>
    </w:p>
    <w:p>
      <w:pPr>
        <w:pStyle w:val="Heading1"/>
        <w:spacing w:before="164"/>
      </w:pPr>
      <w:r>
        <w:rPr/>
        <w:t>Heart-protecting effect of astragalus</w:t>
      </w:r>
    </w:p>
    <w:p>
      <w:pPr>
        <w:pStyle w:val="BodyText"/>
        <w:spacing w:line="276" w:lineRule="auto" w:before="299"/>
        <w:ind w:left="477" w:right="131"/>
        <w:jc w:val="both"/>
      </w:pPr>
      <w:r>
        <w:rPr/>
        <w:t>The</w:t>
      </w:r>
      <w:r>
        <w:rPr>
          <w:spacing w:val="-11"/>
        </w:rPr>
        <w:t> </w:t>
      </w:r>
      <w:r>
        <w:rPr/>
        <w:t>cardio-protective</w:t>
      </w:r>
      <w:r>
        <w:rPr>
          <w:spacing w:val="-11"/>
        </w:rPr>
        <w:t> </w:t>
      </w:r>
      <w:r>
        <w:rPr/>
        <w:t>effect</w:t>
      </w:r>
      <w:r>
        <w:rPr>
          <w:spacing w:val="-10"/>
        </w:rPr>
        <w:t> </w:t>
      </w:r>
      <w:r>
        <w:rPr/>
        <w:t>is</w:t>
      </w:r>
      <w:r>
        <w:rPr>
          <w:spacing w:val="-11"/>
        </w:rPr>
        <w:t> </w:t>
      </w:r>
      <w:r>
        <w:rPr/>
        <w:t>due</w:t>
      </w:r>
      <w:r>
        <w:rPr>
          <w:spacing w:val="-12"/>
        </w:rPr>
        <w:t> </w:t>
      </w:r>
      <w:r>
        <w:rPr/>
        <w:t>to</w:t>
      </w:r>
      <w:r>
        <w:rPr>
          <w:spacing w:val="-11"/>
        </w:rPr>
        <w:t> </w:t>
      </w:r>
      <w:r>
        <w:rPr/>
        <w:t>the</w:t>
      </w:r>
      <w:r>
        <w:rPr>
          <w:spacing w:val="-10"/>
        </w:rPr>
        <w:t> </w:t>
      </w:r>
      <w:r>
        <w:rPr/>
        <w:t>increased</w:t>
      </w:r>
      <w:r>
        <w:rPr>
          <w:spacing w:val="-10"/>
        </w:rPr>
        <w:t> </w:t>
      </w:r>
      <w:r>
        <w:rPr/>
        <w:t>blood</w:t>
      </w:r>
      <w:r>
        <w:rPr>
          <w:spacing w:val="-10"/>
        </w:rPr>
        <w:t> </w:t>
      </w:r>
      <w:r>
        <w:rPr/>
        <w:t>flow</w:t>
      </w:r>
      <w:r>
        <w:rPr>
          <w:spacing w:val="-11"/>
        </w:rPr>
        <w:t> </w:t>
      </w:r>
      <w:r>
        <w:rPr/>
        <w:t>and</w:t>
      </w:r>
      <w:r>
        <w:rPr>
          <w:spacing w:val="-11"/>
        </w:rPr>
        <w:t> </w:t>
      </w:r>
      <w:r>
        <w:rPr/>
        <w:t>the</w:t>
      </w:r>
      <w:r>
        <w:rPr>
          <w:spacing w:val="-11"/>
        </w:rPr>
        <w:t> </w:t>
      </w:r>
      <w:r>
        <w:rPr/>
        <w:t>efficient functioning</w:t>
      </w:r>
      <w:r>
        <w:rPr>
          <w:spacing w:val="-8"/>
        </w:rPr>
        <w:t> </w:t>
      </w:r>
      <w:r>
        <w:rPr/>
        <w:t>caused</w:t>
      </w:r>
      <w:r>
        <w:rPr>
          <w:spacing w:val="-9"/>
        </w:rPr>
        <w:t> </w:t>
      </w:r>
      <w:r>
        <w:rPr/>
        <w:t>by</w:t>
      </w:r>
      <w:r>
        <w:rPr>
          <w:spacing w:val="-7"/>
        </w:rPr>
        <w:t> </w:t>
      </w:r>
      <w:r>
        <w:rPr/>
        <w:t>astragalus.</w:t>
      </w:r>
      <w:r>
        <w:rPr>
          <w:spacing w:val="-10"/>
        </w:rPr>
        <w:t> </w:t>
      </w:r>
      <w:r>
        <w:rPr/>
        <w:t>In</w:t>
      </w:r>
      <w:r>
        <w:rPr>
          <w:spacing w:val="-8"/>
        </w:rPr>
        <w:t> </w:t>
      </w:r>
      <w:r>
        <w:rPr/>
        <w:t>addition,</w:t>
      </w:r>
      <w:r>
        <w:rPr>
          <w:spacing w:val="-10"/>
        </w:rPr>
        <w:t> </w:t>
      </w:r>
      <w:r>
        <w:rPr/>
        <w:t>the</w:t>
      </w:r>
      <w:r>
        <w:rPr>
          <w:spacing w:val="-9"/>
        </w:rPr>
        <w:t> </w:t>
      </w:r>
      <w:r>
        <w:rPr/>
        <w:t>saponins</w:t>
      </w:r>
      <w:r>
        <w:rPr>
          <w:spacing w:val="-6"/>
        </w:rPr>
        <w:t> </w:t>
      </w:r>
      <w:r>
        <w:rPr/>
        <w:t>in</w:t>
      </w:r>
      <w:r>
        <w:rPr>
          <w:spacing w:val="-11"/>
        </w:rPr>
        <w:t> </w:t>
      </w:r>
      <w:r>
        <w:rPr/>
        <w:t>astragalus</w:t>
      </w:r>
      <w:r>
        <w:rPr>
          <w:spacing w:val="-7"/>
        </w:rPr>
        <w:t> </w:t>
      </w:r>
      <w:r>
        <w:rPr/>
        <w:t>protect the heart muscle against dangerous lipid peroxidation as well as premature blood clotting.</w:t>
      </w:r>
    </w:p>
    <w:p>
      <w:pPr>
        <w:pStyle w:val="Heading1"/>
        <w:spacing w:before="222"/>
        <w:jc w:val="both"/>
      </w:pPr>
      <w:r>
        <w:rPr/>
        <w:t>Nerve protective effect of astragalus</w:t>
      </w:r>
    </w:p>
    <w:p>
      <w:pPr>
        <w:pStyle w:val="BodyText"/>
        <w:spacing w:before="300"/>
        <w:ind w:left="477"/>
        <w:jc w:val="both"/>
      </w:pPr>
      <w:r>
        <w:rPr/>
        <w:t>Astragalus protects the dopaminergic neurons and thus combats Parkinson’s.</w:t>
      </w:r>
    </w:p>
    <w:p>
      <w:pPr>
        <w:pStyle w:val="Heading2"/>
        <w:spacing w:before="305"/>
        <w:jc w:val="both"/>
      </w:pPr>
      <w:r>
        <w:rPr/>
        <w:t>Astragalus also acts against:</w:t>
      </w:r>
    </w:p>
    <w:p>
      <w:pPr>
        <w:pStyle w:val="ListParagraph"/>
        <w:numPr>
          <w:ilvl w:val="1"/>
          <w:numId w:val="17"/>
        </w:numPr>
        <w:tabs>
          <w:tab w:pos="1485" w:val="left" w:leader="none"/>
          <w:tab w:pos="1486" w:val="left" w:leader="none"/>
        </w:tabs>
        <w:spacing w:line="240" w:lineRule="auto" w:before="306" w:after="0"/>
        <w:ind w:left="1485" w:right="0" w:hanging="648"/>
        <w:jc w:val="left"/>
        <w:rPr>
          <w:sz w:val="38"/>
        </w:rPr>
      </w:pPr>
      <w:r>
        <w:rPr>
          <w:sz w:val="38"/>
        </w:rPr>
        <w:t>loss of</w:t>
      </w:r>
      <w:r>
        <w:rPr>
          <w:spacing w:val="-3"/>
          <w:sz w:val="38"/>
        </w:rPr>
        <w:t> </w:t>
      </w:r>
      <w:r>
        <w:rPr>
          <w:sz w:val="38"/>
        </w:rPr>
        <w:t>appetite</w:t>
      </w:r>
    </w:p>
    <w:p>
      <w:pPr>
        <w:pStyle w:val="ListParagraph"/>
        <w:numPr>
          <w:ilvl w:val="1"/>
          <w:numId w:val="17"/>
        </w:numPr>
        <w:tabs>
          <w:tab w:pos="1485" w:val="left" w:leader="none"/>
          <w:tab w:pos="1486" w:val="left" w:leader="none"/>
        </w:tabs>
        <w:spacing w:line="240" w:lineRule="auto" w:before="63" w:after="0"/>
        <w:ind w:left="1485" w:right="0" w:hanging="648"/>
        <w:jc w:val="left"/>
        <w:rPr>
          <w:sz w:val="38"/>
        </w:rPr>
      </w:pPr>
      <w:r>
        <w:rPr>
          <w:sz w:val="38"/>
        </w:rPr>
        <w:t>listlessness</w:t>
      </w:r>
    </w:p>
    <w:p>
      <w:pPr>
        <w:pStyle w:val="ListParagraph"/>
        <w:numPr>
          <w:ilvl w:val="1"/>
          <w:numId w:val="17"/>
        </w:numPr>
        <w:tabs>
          <w:tab w:pos="1485" w:val="left" w:leader="none"/>
          <w:tab w:pos="1486" w:val="left" w:leader="none"/>
        </w:tabs>
        <w:spacing w:line="240" w:lineRule="auto" w:before="64" w:after="0"/>
        <w:ind w:left="1485" w:right="0" w:hanging="648"/>
        <w:jc w:val="left"/>
        <w:rPr>
          <w:sz w:val="38"/>
        </w:rPr>
      </w:pPr>
      <w:r>
        <w:rPr>
          <w:sz w:val="38"/>
        </w:rPr>
        <w:t>chronic fatigue</w:t>
      </w:r>
    </w:p>
    <w:p>
      <w:pPr>
        <w:pStyle w:val="ListParagraph"/>
        <w:numPr>
          <w:ilvl w:val="1"/>
          <w:numId w:val="17"/>
        </w:numPr>
        <w:tabs>
          <w:tab w:pos="1485" w:val="left" w:leader="none"/>
          <w:tab w:pos="1486" w:val="left" w:leader="none"/>
        </w:tabs>
        <w:spacing w:line="240" w:lineRule="auto" w:before="66" w:after="0"/>
        <w:ind w:left="1485" w:right="0" w:hanging="648"/>
        <w:jc w:val="left"/>
        <w:rPr>
          <w:sz w:val="38"/>
        </w:rPr>
      </w:pPr>
      <w:r>
        <w:rPr>
          <w:sz w:val="38"/>
        </w:rPr>
        <w:t>shortness of</w:t>
      </w:r>
      <w:r>
        <w:rPr>
          <w:spacing w:val="-2"/>
          <w:sz w:val="38"/>
        </w:rPr>
        <w:t> </w:t>
      </w:r>
      <w:r>
        <w:rPr>
          <w:sz w:val="38"/>
        </w:rPr>
        <w:t>breath</w:t>
      </w:r>
    </w:p>
    <w:p>
      <w:pPr>
        <w:pStyle w:val="ListParagraph"/>
        <w:numPr>
          <w:ilvl w:val="1"/>
          <w:numId w:val="17"/>
        </w:numPr>
        <w:tabs>
          <w:tab w:pos="1485" w:val="left" w:leader="none"/>
          <w:tab w:pos="1486" w:val="left" w:leader="none"/>
        </w:tabs>
        <w:spacing w:line="240" w:lineRule="auto" w:before="64" w:after="0"/>
        <w:ind w:left="1485" w:right="0" w:hanging="648"/>
        <w:jc w:val="left"/>
        <w:rPr>
          <w:sz w:val="38"/>
        </w:rPr>
      </w:pPr>
      <w:r>
        <w:rPr>
          <w:sz w:val="38"/>
        </w:rPr>
        <w:t>tendency to catch</w:t>
      </w:r>
      <w:r>
        <w:rPr>
          <w:spacing w:val="3"/>
          <w:sz w:val="38"/>
        </w:rPr>
        <w:t> </w:t>
      </w:r>
      <w:r>
        <w:rPr>
          <w:sz w:val="38"/>
        </w:rPr>
        <w:t>colds</w:t>
      </w:r>
    </w:p>
    <w:p>
      <w:pPr>
        <w:pStyle w:val="ListParagraph"/>
        <w:numPr>
          <w:ilvl w:val="1"/>
          <w:numId w:val="17"/>
        </w:numPr>
        <w:tabs>
          <w:tab w:pos="1485" w:val="left" w:leader="none"/>
          <w:tab w:pos="1486" w:val="left" w:leader="none"/>
        </w:tabs>
        <w:spacing w:line="240" w:lineRule="auto" w:before="64" w:after="0"/>
        <w:ind w:left="1485" w:right="0" w:hanging="648"/>
        <w:jc w:val="left"/>
        <w:rPr>
          <w:sz w:val="38"/>
        </w:rPr>
      </w:pPr>
      <w:r>
        <w:rPr>
          <w:sz w:val="38"/>
        </w:rPr>
        <w:t>sweats</w:t>
      </w:r>
    </w:p>
    <w:p>
      <w:pPr>
        <w:pStyle w:val="ListParagraph"/>
        <w:numPr>
          <w:ilvl w:val="1"/>
          <w:numId w:val="17"/>
        </w:numPr>
        <w:tabs>
          <w:tab w:pos="1485" w:val="left" w:leader="none"/>
          <w:tab w:pos="1486" w:val="left" w:leader="none"/>
        </w:tabs>
        <w:spacing w:line="273" w:lineRule="auto" w:before="63" w:after="0"/>
        <w:ind w:left="1293" w:right="6145" w:hanging="456"/>
        <w:jc w:val="left"/>
        <w:rPr>
          <w:sz w:val="38"/>
        </w:rPr>
      </w:pPr>
      <w:r>
        <w:rPr>
          <w:sz w:val="38"/>
        </w:rPr>
        <w:t>puffiness (especially in the face and the</w:t>
      </w:r>
      <w:r>
        <w:rPr>
          <w:spacing w:val="2"/>
          <w:sz w:val="38"/>
        </w:rPr>
        <w:t> </w:t>
      </w:r>
      <w:r>
        <w:rPr>
          <w:sz w:val="38"/>
        </w:rPr>
        <w:t>extremities)</w:t>
      </w:r>
    </w:p>
    <w:p>
      <w:pPr>
        <w:pStyle w:val="ListParagraph"/>
        <w:numPr>
          <w:ilvl w:val="1"/>
          <w:numId w:val="17"/>
        </w:numPr>
        <w:tabs>
          <w:tab w:pos="1485" w:val="left" w:leader="none"/>
          <w:tab w:pos="1486" w:val="left" w:leader="none"/>
        </w:tabs>
        <w:spacing w:line="240" w:lineRule="auto" w:before="7" w:after="0"/>
        <w:ind w:left="1485" w:right="0" w:hanging="648"/>
        <w:jc w:val="left"/>
        <w:rPr>
          <w:sz w:val="38"/>
        </w:rPr>
      </w:pPr>
      <w:r>
        <w:rPr>
          <w:sz w:val="38"/>
        </w:rPr>
        <w:t>diarrhoea (liquid</w:t>
      </w:r>
      <w:r>
        <w:rPr>
          <w:spacing w:val="-1"/>
          <w:sz w:val="38"/>
        </w:rPr>
        <w:t> </w:t>
      </w:r>
      <w:r>
        <w:rPr>
          <w:sz w:val="38"/>
        </w:rPr>
        <w:t>stools)</w:t>
      </w:r>
    </w:p>
    <w:p>
      <w:pPr>
        <w:pStyle w:val="ListParagraph"/>
        <w:numPr>
          <w:ilvl w:val="1"/>
          <w:numId w:val="17"/>
        </w:numPr>
        <w:tabs>
          <w:tab w:pos="1485" w:val="left" w:leader="none"/>
          <w:tab w:pos="1486" w:val="left" w:leader="none"/>
        </w:tabs>
        <w:spacing w:line="240" w:lineRule="auto" w:before="64" w:after="0"/>
        <w:ind w:left="1485" w:right="0" w:hanging="648"/>
        <w:jc w:val="left"/>
        <w:rPr>
          <w:sz w:val="38"/>
        </w:rPr>
      </w:pPr>
      <w:r>
        <w:rPr>
          <w:sz w:val="38"/>
        </w:rPr>
        <w:t>bloody stools</w:t>
      </w:r>
    </w:p>
    <w:p>
      <w:pPr>
        <w:pStyle w:val="ListParagraph"/>
        <w:numPr>
          <w:ilvl w:val="1"/>
          <w:numId w:val="17"/>
        </w:numPr>
        <w:tabs>
          <w:tab w:pos="1485" w:val="left" w:leader="none"/>
          <w:tab w:pos="1486" w:val="left" w:leader="none"/>
        </w:tabs>
        <w:spacing w:line="240" w:lineRule="auto" w:before="67" w:after="0"/>
        <w:ind w:left="1485" w:right="0" w:hanging="648"/>
        <w:jc w:val="left"/>
        <w:rPr>
          <w:sz w:val="38"/>
        </w:rPr>
      </w:pPr>
      <w:r>
        <w:rPr>
          <w:sz w:val="38"/>
        </w:rPr>
        <w:t>bleeding in the genital</w:t>
      </w:r>
      <w:r>
        <w:rPr>
          <w:spacing w:val="-1"/>
          <w:sz w:val="38"/>
        </w:rPr>
        <w:t> </w:t>
      </w:r>
      <w:r>
        <w:rPr>
          <w:sz w:val="38"/>
        </w:rPr>
        <w:t>area</w:t>
      </w:r>
    </w:p>
    <w:p>
      <w:pPr>
        <w:pStyle w:val="ListParagraph"/>
        <w:numPr>
          <w:ilvl w:val="1"/>
          <w:numId w:val="17"/>
        </w:numPr>
        <w:tabs>
          <w:tab w:pos="1485" w:val="left" w:leader="none"/>
          <w:tab w:pos="1486" w:val="left" w:leader="none"/>
        </w:tabs>
        <w:spacing w:line="240" w:lineRule="auto" w:before="63" w:after="0"/>
        <w:ind w:left="1485" w:right="0" w:hanging="648"/>
        <w:jc w:val="left"/>
        <w:rPr>
          <w:sz w:val="38"/>
        </w:rPr>
      </w:pPr>
      <w:r>
        <w:rPr>
          <w:sz w:val="38"/>
        </w:rPr>
        <w:t>anal</w:t>
      </w:r>
      <w:r>
        <w:rPr>
          <w:spacing w:val="-1"/>
          <w:sz w:val="38"/>
        </w:rPr>
        <w:t> </w:t>
      </w:r>
      <w:r>
        <w:rPr>
          <w:sz w:val="38"/>
        </w:rPr>
        <w:t>prolapse</w:t>
      </w:r>
    </w:p>
    <w:p>
      <w:pPr>
        <w:spacing w:after="0" w:line="240" w:lineRule="auto"/>
        <w:jc w:val="left"/>
        <w:rPr>
          <w:sz w:val="38"/>
        </w:rPr>
        <w:sectPr>
          <w:pgSz w:w="14270" w:h="16850"/>
          <w:pgMar w:header="0" w:footer="1891" w:top="1600" w:bottom="2080" w:left="800" w:right="1280"/>
        </w:sectPr>
      </w:pPr>
    </w:p>
    <w:p>
      <w:pPr>
        <w:pStyle w:val="BodyText"/>
        <w:spacing w:before="10"/>
        <w:rPr>
          <w:sz w:val="8"/>
        </w:rPr>
      </w:pPr>
    </w:p>
    <w:p>
      <w:pPr>
        <w:pStyle w:val="ListParagraph"/>
        <w:numPr>
          <w:ilvl w:val="1"/>
          <w:numId w:val="17"/>
        </w:numPr>
        <w:tabs>
          <w:tab w:pos="1485" w:val="left" w:leader="none"/>
          <w:tab w:pos="1486" w:val="left" w:leader="none"/>
        </w:tabs>
        <w:spacing w:line="240" w:lineRule="auto" w:before="83" w:after="0"/>
        <w:ind w:left="1485" w:right="0" w:hanging="648"/>
        <w:jc w:val="left"/>
        <w:rPr>
          <w:sz w:val="38"/>
        </w:rPr>
      </w:pPr>
      <w:r>
        <w:rPr>
          <w:sz w:val="38"/>
        </w:rPr>
        <w:t>stomach prolapse</w:t>
      </w:r>
    </w:p>
    <w:p>
      <w:pPr>
        <w:pStyle w:val="ListParagraph"/>
        <w:numPr>
          <w:ilvl w:val="1"/>
          <w:numId w:val="17"/>
        </w:numPr>
        <w:tabs>
          <w:tab w:pos="1485" w:val="left" w:leader="none"/>
          <w:tab w:pos="1486" w:val="left" w:leader="none"/>
        </w:tabs>
        <w:spacing w:line="240" w:lineRule="auto" w:before="64" w:after="0"/>
        <w:ind w:left="1485" w:right="0" w:hanging="648"/>
        <w:jc w:val="left"/>
        <w:rPr>
          <w:sz w:val="38"/>
        </w:rPr>
      </w:pPr>
      <w:r>
        <w:rPr>
          <w:sz w:val="38"/>
        </w:rPr>
        <w:t>uterine prolapse</w:t>
      </w:r>
    </w:p>
    <w:p>
      <w:pPr>
        <w:pStyle w:val="Heading2"/>
        <w:spacing w:before="304"/>
      </w:pPr>
      <w:r>
        <w:rPr/>
        <w:t>Rejuvenating effect of astragalus</w:t>
      </w:r>
    </w:p>
    <w:p>
      <w:pPr>
        <w:pStyle w:val="BodyText"/>
        <w:spacing w:line="276" w:lineRule="auto" w:before="302"/>
        <w:ind w:left="477" w:right="130"/>
        <w:jc w:val="both"/>
      </w:pPr>
      <w:r>
        <w:rPr/>
        <w:t>Its effect on the physical and mental rejuvenation alone brought Astragalus membranaceus</w:t>
      </w:r>
      <w:r>
        <w:rPr>
          <w:spacing w:val="-17"/>
        </w:rPr>
        <w:t> </w:t>
      </w:r>
      <w:r>
        <w:rPr/>
        <w:t>almost</w:t>
      </w:r>
      <w:r>
        <w:rPr>
          <w:spacing w:val="-18"/>
        </w:rPr>
        <w:t> </w:t>
      </w:r>
      <w:r>
        <w:rPr/>
        <w:t>explosive</w:t>
      </w:r>
      <w:r>
        <w:rPr>
          <w:spacing w:val="-18"/>
        </w:rPr>
        <w:t> </w:t>
      </w:r>
      <w:r>
        <w:rPr/>
        <w:t>popularity</w:t>
      </w:r>
      <w:r>
        <w:rPr>
          <w:spacing w:val="-19"/>
        </w:rPr>
        <w:t> </w:t>
      </w:r>
      <w:r>
        <w:rPr/>
        <w:t>in</w:t>
      </w:r>
      <w:r>
        <w:rPr>
          <w:spacing w:val="-17"/>
        </w:rPr>
        <w:t> </w:t>
      </w:r>
      <w:r>
        <w:rPr/>
        <w:t>Western</w:t>
      </w:r>
      <w:r>
        <w:rPr>
          <w:spacing w:val="-16"/>
        </w:rPr>
        <w:t> </w:t>
      </w:r>
      <w:r>
        <w:rPr/>
        <w:t>countries.</w:t>
      </w:r>
      <w:r>
        <w:rPr>
          <w:spacing w:val="-19"/>
        </w:rPr>
        <w:t> </w:t>
      </w:r>
      <w:r>
        <w:rPr/>
        <w:t>This</w:t>
      </w:r>
      <w:r>
        <w:rPr>
          <w:spacing w:val="-17"/>
        </w:rPr>
        <w:t> </w:t>
      </w:r>
      <w:r>
        <w:rPr/>
        <w:t>is</w:t>
      </w:r>
      <w:r>
        <w:rPr>
          <w:spacing w:val="-18"/>
        </w:rPr>
        <w:t> </w:t>
      </w:r>
      <w:r>
        <w:rPr/>
        <w:t>thanks to the 2009 Nobel Laureates for Medicine, who have made outstanding contri- butions to research into telomeres, their associated ‘immortality enzyme’ te- lomerase, and the resulting insights into its links with astragalus, which will be made available in the near</w:t>
      </w:r>
      <w:r>
        <w:rPr>
          <w:spacing w:val="-1"/>
        </w:rPr>
        <w:t> </w:t>
      </w:r>
      <w:r>
        <w:rPr/>
        <w:t>future.</w:t>
      </w:r>
    </w:p>
    <w:p>
      <w:pPr>
        <w:pStyle w:val="BodyText"/>
        <w:spacing w:line="276" w:lineRule="auto" w:before="241"/>
        <w:ind w:left="477" w:right="129"/>
        <w:jc w:val="both"/>
      </w:pPr>
      <w:r>
        <w:rPr/>
        <w:t>This aspect is so crucial for our lives that we want to dedicate a specific</w:t>
      </w:r>
      <w:r>
        <w:rPr>
          <w:spacing w:val="-62"/>
        </w:rPr>
        <w:t> </w:t>
      </w:r>
      <w:r>
        <w:rPr/>
        <w:t>section to it. Read the amazing details on the activation of the ‘immortality enzyme’ telomerase by Astragalus membranaceus in ‘Rejuvenation with astragalus’.</w:t>
      </w:r>
    </w:p>
    <w:p>
      <w:pPr>
        <w:pStyle w:val="Heading2"/>
        <w:spacing w:before="241"/>
      </w:pPr>
      <w:r>
        <w:rPr/>
        <w:t>Specific effects of Astragalus membranaceus on diseases and maladies</w:t>
      </w:r>
    </w:p>
    <w:p>
      <w:pPr>
        <w:pStyle w:val="BodyText"/>
        <w:spacing w:line="276" w:lineRule="auto" w:before="305"/>
        <w:ind w:left="477" w:right="134"/>
        <w:jc w:val="both"/>
      </w:pPr>
      <w:r>
        <w:rPr/>
        <w:t>While Astragalus membranaceus has been one of the most important remedies of Traditional Chinese Medicine in China for 4000 years and has been used by healers</w:t>
      </w:r>
      <w:r>
        <w:rPr>
          <w:spacing w:val="-20"/>
        </w:rPr>
        <w:t> </w:t>
      </w:r>
      <w:r>
        <w:rPr/>
        <w:t>in</w:t>
      </w:r>
      <w:r>
        <w:rPr>
          <w:spacing w:val="-22"/>
        </w:rPr>
        <w:t> </w:t>
      </w:r>
      <w:r>
        <w:rPr/>
        <w:t>that</w:t>
      </w:r>
      <w:r>
        <w:rPr>
          <w:spacing w:val="-19"/>
        </w:rPr>
        <w:t> </w:t>
      </w:r>
      <w:r>
        <w:rPr/>
        <w:t>country</w:t>
      </w:r>
      <w:r>
        <w:rPr>
          <w:spacing w:val="-19"/>
        </w:rPr>
        <w:t> </w:t>
      </w:r>
      <w:r>
        <w:rPr/>
        <w:t>to</w:t>
      </w:r>
      <w:r>
        <w:rPr>
          <w:spacing w:val="-18"/>
        </w:rPr>
        <w:t> </w:t>
      </w:r>
      <w:r>
        <w:rPr/>
        <w:t>treat</w:t>
      </w:r>
      <w:r>
        <w:rPr>
          <w:spacing w:val="-22"/>
        </w:rPr>
        <w:t> </w:t>
      </w:r>
      <w:r>
        <w:rPr/>
        <w:t>many</w:t>
      </w:r>
      <w:r>
        <w:rPr>
          <w:spacing w:val="-18"/>
        </w:rPr>
        <w:t> </w:t>
      </w:r>
      <w:r>
        <w:rPr/>
        <w:t>diseases,</w:t>
      </w:r>
      <w:r>
        <w:rPr>
          <w:spacing w:val="-21"/>
        </w:rPr>
        <w:t> </w:t>
      </w:r>
      <w:r>
        <w:rPr/>
        <w:t>its</w:t>
      </w:r>
      <w:r>
        <w:rPr>
          <w:spacing w:val="-22"/>
        </w:rPr>
        <w:t> </w:t>
      </w:r>
      <w:r>
        <w:rPr/>
        <w:t>great</w:t>
      </w:r>
      <w:r>
        <w:rPr>
          <w:spacing w:val="-21"/>
        </w:rPr>
        <w:t> </w:t>
      </w:r>
      <w:r>
        <w:rPr/>
        <w:t>popularity</w:t>
      </w:r>
      <w:r>
        <w:rPr>
          <w:spacing w:val="-20"/>
        </w:rPr>
        <w:t> </w:t>
      </w:r>
      <w:r>
        <w:rPr/>
        <w:t>and</w:t>
      </w:r>
      <w:r>
        <w:rPr>
          <w:spacing w:val="-20"/>
        </w:rPr>
        <w:t> </w:t>
      </w:r>
      <w:r>
        <w:rPr/>
        <w:t>its</w:t>
      </w:r>
      <w:r>
        <w:rPr>
          <w:spacing w:val="-22"/>
        </w:rPr>
        <w:t> </w:t>
      </w:r>
      <w:r>
        <w:rPr/>
        <w:t>proven, rejuvenating effect did not become apparent in our latitudes until after 2009 (see ‘Rejuvenation with</w:t>
      </w:r>
      <w:r>
        <w:rPr>
          <w:spacing w:val="2"/>
        </w:rPr>
        <w:t> </w:t>
      </w:r>
      <w:r>
        <w:rPr/>
        <w:t>astragalus’).</w:t>
      </w:r>
    </w:p>
    <w:p>
      <w:pPr>
        <w:pStyle w:val="Heading1"/>
        <w:spacing w:line="261" w:lineRule="auto" w:before="222"/>
        <w:ind w:right="144"/>
        <w:jc w:val="both"/>
      </w:pPr>
      <w:r>
        <w:rPr/>
        <w:t>Astragalus</w:t>
      </w:r>
      <w:r>
        <w:rPr>
          <w:spacing w:val="-26"/>
        </w:rPr>
        <w:t> </w:t>
      </w:r>
      <w:r>
        <w:rPr/>
        <w:t>has</w:t>
      </w:r>
      <w:r>
        <w:rPr>
          <w:spacing w:val="-23"/>
        </w:rPr>
        <w:t> </w:t>
      </w:r>
      <w:r>
        <w:rPr/>
        <w:t>always</w:t>
      </w:r>
      <w:r>
        <w:rPr>
          <w:spacing w:val="-25"/>
        </w:rPr>
        <w:t> </w:t>
      </w:r>
      <w:r>
        <w:rPr/>
        <w:t>been</w:t>
      </w:r>
      <w:r>
        <w:rPr>
          <w:spacing w:val="-26"/>
        </w:rPr>
        <w:t> </w:t>
      </w:r>
      <w:r>
        <w:rPr/>
        <w:t>used</w:t>
      </w:r>
      <w:r>
        <w:rPr>
          <w:spacing w:val="-26"/>
        </w:rPr>
        <w:t> </w:t>
      </w:r>
      <w:r>
        <w:rPr/>
        <w:t>for</w:t>
      </w:r>
      <w:r>
        <w:rPr>
          <w:spacing w:val="-25"/>
        </w:rPr>
        <w:t> </w:t>
      </w:r>
      <w:r>
        <w:rPr/>
        <w:t>the</w:t>
      </w:r>
      <w:r>
        <w:rPr>
          <w:spacing w:val="-26"/>
        </w:rPr>
        <w:t> </w:t>
      </w:r>
      <w:r>
        <w:rPr/>
        <w:t>following</w:t>
      </w:r>
      <w:r>
        <w:rPr>
          <w:spacing w:val="-24"/>
        </w:rPr>
        <w:t> </w:t>
      </w:r>
      <w:r>
        <w:rPr/>
        <w:t>diseases</w:t>
      </w:r>
      <w:r>
        <w:rPr>
          <w:spacing w:val="-24"/>
        </w:rPr>
        <w:t> </w:t>
      </w:r>
      <w:r>
        <w:rPr/>
        <w:t>and</w:t>
      </w:r>
      <w:r>
        <w:rPr>
          <w:spacing w:val="-25"/>
        </w:rPr>
        <w:t> </w:t>
      </w:r>
      <w:r>
        <w:rPr/>
        <w:t>condi- tions:</w:t>
      </w:r>
    </w:p>
    <w:p>
      <w:pPr>
        <w:spacing w:after="0" w:line="261" w:lineRule="auto"/>
        <w:jc w:val="both"/>
        <w:sectPr>
          <w:pgSz w:w="14270" w:h="16850"/>
          <w:pgMar w:header="0" w:footer="1891" w:top="1600" w:bottom="2080" w:left="800" w:right="1280"/>
        </w:sectPr>
      </w:pPr>
    </w:p>
    <w:p>
      <w:pPr>
        <w:pStyle w:val="BodyText"/>
        <w:spacing w:before="10"/>
        <w:rPr>
          <w:b/>
          <w:i/>
          <w:sz w:val="8"/>
        </w:rPr>
      </w:pPr>
    </w:p>
    <w:p>
      <w:pPr>
        <w:pStyle w:val="ListParagraph"/>
        <w:numPr>
          <w:ilvl w:val="1"/>
          <w:numId w:val="17"/>
        </w:numPr>
        <w:tabs>
          <w:tab w:pos="1197" w:val="left" w:leader="none"/>
          <w:tab w:pos="1198" w:val="left" w:leader="none"/>
        </w:tabs>
        <w:spacing w:line="240" w:lineRule="auto" w:before="83" w:after="0"/>
        <w:ind w:left="1197" w:right="0" w:hanging="360"/>
        <w:jc w:val="left"/>
        <w:rPr>
          <w:sz w:val="38"/>
        </w:rPr>
      </w:pPr>
      <w:r>
        <w:rPr>
          <w:sz w:val="38"/>
        </w:rPr>
        <w:t>all illnesses associated with a weak immune</w:t>
      </w:r>
      <w:r>
        <w:rPr>
          <w:spacing w:val="-3"/>
          <w:sz w:val="38"/>
        </w:rPr>
        <w:t> </w:t>
      </w:r>
      <w:r>
        <w:rPr>
          <w:sz w:val="38"/>
        </w:rPr>
        <w:t>system</w:t>
      </w:r>
    </w:p>
    <w:p>
      <w:pPr>
        <w:pStyle w:val="ListParagraph"/>
        <w:numPr>
          <w:ilvl w:val="1"/>
          <w:numId w:val="17"/>
        </w:numPr>
        <w:tabs>
          <w:tab w:pos="1197" w:val="left" w:leader="none"/>
          <w:tab w:pos="1198" w:val="left" w:leader="none"/>
        </w:tabs>
        <w:spacing w:line="240" w:lineRule="auto" w:before="64" w:after="0"/>
        <w:ind w:left="1197" w:right="0" w:hanging="360"/>
        <w:jc w:val="left"/>
        <w:rPr>
          <w:sz w:val="38"/>
        </w:rPr>
      </w:pPr>
      <w:r>
        <w:rPr>
          <w:sz w:val="38"/>
        </w:rPr>
        <w:t>illnesses associated with a virus</w:t>
      </w:r>
    </w:p>
    <w:p>
      <w:pPr>
        <w:pStyle w:val="ListParagraph"/>
        <w:numPr>
          <w:ilvl w:val="1"/>
          <w:numId w:val="17"/>
        </w:numPr>
        <w:tabs>
          <w:tab w:pos="1197" w:val="left" w:leader="none"/>
          <w:tab w:pos="1198" w:val="left" w:leader="none"/>
        </w:tabs>
        <w:spacing w:line="240" w:lineRule="auto" w:before="66" w:after="0"/>
        <w:ind w:left="1197" w:right="0" w:hanging="360"/>
        <w:jc w:val="left"/>
        <w:rPr>
          <w:sz w:val="38"/>
        </w:rPr>
      </w:pPr>
      <w:r>
        <w:rPr>
          <w:sz w:val="38"/>
        </w:rPr>
        <w:t>heart disease and heart</w:t>
      </w:r>
      <w:r>
        <w:rPr>
          <w:spacing w:val="3"/>
          <w:sz w:val="38"/>
        </w:rPr>
        <w:t> </w:t>
      </w:r>
      <w:r>
        <w:rPr>
          <w:sz w:val="38"/>
        </w:rPr>
        <w:t>failure</w:t>
      </w:r>
    </w:p>
    <w:p>
      <w:pPr>
        <w:pStyle w:val="ListParagraph"/>
        <w:numPr>
          <w:ilvl w:val="1"/>
          <w:numId w:val="17"/>
        </w:numPr>
        <w:tabs>
          <w:tab w:pos="1197" w:val="left" w:leader="none"/>
          <w:tab w:pos="1198" w:val="left" w:leader="none"/>
        </w:tabs>
        <w:spacing w:line="240" w:lineRule="auto" w:before="63" w:after="0"/>
        <w:ind w:left="1197" w:right="0" w:hanging="360"/>
        <w:jc w:val="left"/>
        <w:rPr>
          <w:sz w:val="38"/>
        </w:rPr>
      </w:pPr>
      <w:r>
        <w:rPr>
          <w:sz w:val="38"/>
        </w:rPr>
        <w:t>high blood</w:t>
      </w:r>
      <w:r>
        <w:rPr>
          <w:spacing w:val="1"/>
          <w:sz w:val="38"/>
        </w:rPr>
        <w:t> </w:t>
      </w:r>
      <w:r>
        <w:rPr>
          <w:sz w:val="38"/>
        </w:rPr>
        <w:t>pressure</w:t>
      </w:r>
    </w:p>
    <w:p>
      <w:pPr>
        <w:pStyle w:val="ListParagraph"/>
        <w:numPr>
          <w:ilvl w:val="1"/>
          <w:numId w:val="17"/>
        </w:numPr>
        <w:tabs>
          <w:tab w:pos="1197" w:val="left" w:leader="none"/>
          <w:tab w:pos="1198" w:val="left" w:leader="none"/>
        </w:tabs>
        <w:spacing w:line="240" w:lineRule="auto" w:before="64" w:after="0"/>
        <w:ind w:left="1197" w:right="0" w:hanging="360"/>
        <w:jc w:val="left"/>
        <w:rPr>
          <w:sz w:val="38"/>
        </w:rPr>
      </w:pPr>
      <w:r>
        <w:rPr>
          <w:sz w:val="38"/>
        </w:rPr>
        <w:t>liver disease</w:t>
      </w:r>
    </w:p>
    <w:p>
      <w:pPr>
        <w:pStyle w:val="ListParagraph"/>
        <w:numPr>
          <w:ilvl w:val="1"/>
          <w:numId w:val="17"/>
        </w:numPr>
        <w:tabs>
          <w:tab w:pos="1197" w:val="left" w:leader="none"/>
          <w:tab w:pos="1198" w:val="left" w:leader="none"/>
        </w:tabs>
        <w:spacing w:line="240" w:lineRule="auto" w:before="63" w:after="0"/>
        <w:ind w:left="1197" w:right="0" w:hanging="360"/>
        <w:jc w:val="left"/>
        <w:rPr>
          <w:sz w:val="38"/>
        </w:rPr>
      </w:pPr>
      <w:r>
        <w:rPr>
          <w:sz w:val="38"/>
        </w:rPr>
        <w:t>kidney diseases</w:t>
      </w:r>
    </w:p>
    <w:p>
      <w:pPr>
        <w:pStyle w:val="ListParagraph"/>
        <w:numPr>
          <w:ilvl w:val="1"/>
          <w:numId w:val="17"/>
        </w:numPr>
        <w:tabs>
          <w:tab w:pos="1197" w:val="left" w:leader="none"/>
          <w:tab w:pos="1198" w:val="left" w:leader="none"/>
        </w:tabs>
        <w:spacing w:line="240" w:lineRule="auto" w:before="65" w:after="0"/>
        <w:ind w:left="1197" w:right="0" w:hanging="360"/>
        <w:jc w:val="left"/>
        <w:rPr>
          <w:sz w:val="38"/>
        </w:rPr>
      </w:pPr>
      <w:r>
        <w:rPr>
          <w:sz w:val="38"/>
        </w:rPr>
        <w:t>nerve</w:t>
      </w:r>
      <w:r>
        <w:rPr>
          <w:spacing w:val="-1"/>
          <w:sz w:val="38"/>
        </w:rPr>
        <w:t> </w:t>
      </w:r>
      <w:r>
        <w:rPr>
          <w:sz w:val="38"/>
        </w:rPr>
        <w:t>conditions</w:t>
      </w:r>
    </w:p>
    <w:p>
      <w:pPr>
        <w:pStyle w:val="ListParagraph"/>
        <w:numPr>
          <w:ilvl w:val="1"/>
          <w:numId w:val="17"/>
        </w:numPr>
        <w:tabs>
          <w:tab w:pos="1197" w:val="left" w:leader="none"/>
          <w:tab w:pos="1198" w:val="left" w:leader="none"/>
        </w:tabs>
        <w:spacing w:line="240" w:lineRule="auto" w:before="66" w:after="0"/>
        <w:ind w:left="1197" w:right="0" w:hanging="360"/>
        <w:jc w:val="left"/>
        <w:rPr>
          <w:sz w:val="38"/>
        </w:rPr>
      </w:pPr>
      <w:r>
        <w:rPr>
          <w:sz w:val="38"/>
        </w:rPr>
        <w:t>Parkinson’s</w:t>
      </w:r>
    </w:p>
    <w:p>
      <w:pPr>
        <w:pStyle w:val="ListParagraph"/>
        <w:numPr>
          <w:ilvl w:val="1"/>
          <w:numId w:val="17"/>
        </w:numPr>
        <w:tabs>
          <w:tab w:pos="1197" w:val="left" w:leader="none"/>
          <w:tab w:pos="1198" w:val="left" w:leader="none"/>
        </w:tabs>
        <w:spacing w:line="240" w:lineRule="auto" w:before="63" w:after="0"/>
        <w:ind w:left="1197" w:right="0" w:hanging="360"/>
        <w:jc w:val="left"/>
        <w:rPr>
          <w:sz w:val="38"/>
        </w:rPr>
      </w:pPr>
      <w:r>
        <w:rPr>
          <w:sz w:val="38"/>
        </w:rPr>
        <w:t>all forms of allergies</w:t>
      </w:r>
    </w:p>
    <w:p>
      <w:pPr>
        <w:pStyle w:val="ListParagraph"/>
        <w:numPr>
          <w:ilvl w:val="1"/>
          <w:numId w:val="17"/>
        </w:numPr>
        <w:tabs>
          <w:tab w:pos="1197" w:val="left" w:leader="none"/>
          <w:tab w:pos="1198" w:val="left" w:leader="none"/>
        </w:tabs>
        <w:spacing w:line="240" w:lineRule="auto" w:before="64" w:after="0"/>
        <w:ind w:left="1197" w:right="0" w:hanging="360"/>
        <w:jc w:val="left"/>
        <w:rPr>
          <w:sz w:val="38"/>
        </w:rPr>
      </w:pPr>
      <w:r>
        <w:rPr>
          <w:sz w:val="38"/>
        </w:rPr>
        <w:t>all inflammatory diseases (arthritis</w:t>
      </w:r>
      <w:r>
        <w:rPr>
          <w:spacing w:val="4"/>
          <w:sz w:val="38"/>
        </w:rPr>
        <w:t> </w:t>
      </w:r>
      <w:r>
        <w:rPr>
          <w:sz w:val="38"/>
        </w:rPr>
        <w:t>etc.)</w:t>
      </w:r>
    </w:p>
    <w:p>
      <w:pPr>
        <w:pStyle w:val="ListParagraph"/>
        <w:numPr>
          <w:ilvl w:val="1"/>
          <w:numId w:val="17"/>
        </w:numPr>
        <w:tabs>
          <w:tab w:pos="1197" w:val="left" w:leader="none"/>
          <w:tab w:pos="1198" w:val="left" w:leader="none"/>
        </w:tabs>
        <w:spacing w:line="240" w:lineRule="auto" w:before="64" w:after="0"/>
        <w:ind w:left="1197" w:right="0" w:hanging="360"/>
        <w:jc w:val="left"/>
        <w:rPr>
          <w:sz w:val="38"/>
        </w:rPr>
      </w:pPr>
      <w:r>
        <w:rPr>
          <w:sz w:val="38"/>
        </w:rPr>
        <w:t>asthma</w:t>
      </w:r>
    </w:p>
    <w:p>
      <w:pPr>
        <w:pStyle w:val="ListParagraph"/>
        <w:numPr>
          <w:ilvl w:val="1"/>
          <w:numId w:val="17"/>
        </w:numPr>
        <w:tabs>
          <w:tab w:pos="1197" w:val="left" w:leader="none"/>
          <w:tab w:pos="1198" w:val="left" w:leader="none"/>
        </w:tabs>
        <w:spacing w:line="240" w:lineRule="auto" w:before="63" w:after="0"/>
        <w:ind w:left="1197" w:right="0" w:hanging="360"/>
        <w:jc w:val="left"/>
        <w:rPr>
          <w:sz w:val="38"/>
        </w:rPr>
      </w:pPr>
      <w:r>
        <w:rPr>
          <w:sz w:val="38"/>
        </w:rPr>
        <w:t>infertility (male</w:t>
      </w:r>
      <w:r>
        <w:rPr>
          <w:spacing w:val="1"/>
          <w:sz w:val="38"/>
        </w:rPr>
        <w:t> </w:t>
      </w:r>
      <w:r>
        <w:rPr>
          <w:sz w:val="38"/>
        </w:rPr>
        <w:t>infertility)</w:t>
      </w:r>
    </w:p>
    <w:p>
      <w:pPr>
        <w:pStyle w:val="ListParagraph"/>
        <w:numPr>
          <w:ilvl w:val="1"/>
          <w:numId w:val="17"/>
        </w:numPr>
        <w:tabs>
          <w:tab w:pos="1197" w:val="left" w:leader="none"/>
          <w:tab w:pos="1198" w:val="left" w:leader="none"/>
        </w:tabs>
        <w:spacing w:line="240" w:lineRule="auto" w:before="66" w:after="0"/>
        <w:ind w:left="1197" w:right="0" w:hanging="360"/>
        <w:jc w:val="left"/>
        <w:rPr>
          <w:sz w:val="38"/>
        </w:rPr>
      </w:pPr>
      <w:r>
        <w:rPr>
          <w:sz w:val="38"/>
        </w:rPr>
        <w:t>cancer</w:t>
      </w:r>
    </w:p>
    <w:p>
      <w:pPr>
        <w:pStyle w:val="ListParagraph"/>
        <w:numPr>
          <w:ilvl w:val="1"/>
          <w:numId w:val="17"/>
        </w:numPr>
        <w:tabs>
          <w:tab w:pos="1197" w:val="left" w:leader="none"/>
          <w:tab w:pos="1198" w:val="left" w:leader="none"/>
        </w:tabs>
        <w:spacing w:line="240" w:lineRule="auto" w:before="64" w:after="0"/>
        <w:ind w:left="1197" w:right="0" w:hanging="360"/>
        <w:jc w:val="left"/>
        <w:rPr>
          <w:sz w:val="38"/>
        </w:rPr>
      </w:pPr>
      <w:r>
        <w:rPr>
          <w:sz w:val="38"/>
        </w:rPr>
        <w:t>HIV/AIDS</w:t>
      </w:r>
    </w:p>
    <w:p>
      <w:pPr>
        <w:pStyle w:val="ListParagraph"/>
        <w:numPr>
          <w:ilvl w:val="1"/>
          <w:numId w:val="17"/>
        </w:numPr>
        <w:tabs>
          <w:tab w:pos="1197" w:val="left" w:leader="none"/>
          <w:tab w:pos="1198" w:val="left" w:leader="none"/>
        </w:tabs>
        <w:spacing w:line="240" w:lineRule="auto" w:before="64" w:after="0"/>
        <w:ind w:left="1197" w:right="0" w:hanging="360"/>
        <w:jc w:val="left"/>
        <w:rPr>
          <w:sz w:val="38"/>
        </w:rPr>
      </w:pPr>
      <w:r>
        <w:rPr>
          <w:sz w:val="38"/>
        </w:rPr>
        <w:t>autoimmune diseases (e.g. lupus)</w:t>
      </w:r>
    </w:p>
    <w:p>
      <w:pPr>
        <w:pStyle w:val="ListParagraph"/>
        <w:numPr>
          <w:ilvl w:val="1"/>
          <w:numId w:val="17"/>
        </w:numPr>
        <w:tabs>
          <w:tab w:pos="1197" w:val="left" w:leader="none"/>
          <w:tab w:pos="1198" w:val="left" w:leader="none"/>
        </w:tabs>
        <w:spacing w:line="240" w:lineRule="auto" w:before="64" w:after="0"/>
        <w:ind w:left="1197" w:right="0" w:hanging="360"/>
        <w:jc w:val="left"/>
        <w:rPr>
          <w:sz w:val="38"/>
        </w:rPr>
      </w:pPr>
      <w:r>
        <w:rPr>
          <w:sz w:val="38"/>
        </w:rPr>
        <w:t>ulcers</w:t>
      </w:r>
    </w:p>
    <w:p>
      <w:pPr>
        <w:pStyle w:val="ListParagraph"/>
        <w:numPr>
          <w:ilvl w:val="1"/>
          <w:numId w:val="17"/>
        </w:numPr>
        <w:tabs>
          <w:tab w:pos="1197" w:val="left" w:leader="none"/>
          <w:tab w:pos="1198" w:val="left" w:leader="none"/>
        </w:tabs>
        <w:spacing w:line="240" w:lineRule="auto" w:before="66" w:after="0"/>
        <w:ind w:left="1197" w:right="0" w:hanging="360"/>
        <w:jc w:val="left"/>
        <w:rPr>
          <w:sz w:val="38"/>
        </w:rPr>
      </w:pPr>
      <w:r>
        <w:rPr>
          <w:sz w:val="38"/>
        </w:rPr>
        <w:t>oedema</w:t>
      </w:r>
    </w:p>
    <w:p>
      <w:pPr>
        <w:pStyle w:val="ListParagraph"/>
        <w:numPr>
          <w:ilvl w:val="1"/>
          <w:numId w:val="17"/>
        </w:numPr>
        <w:tabs>
          <w:tab w:pos="1197" w:val="left" w:leader="none"/>
          <w:tab w:pos="1198" w:val="left" w:leader="none"/>
        </w:tabs>
        <w:spacing w:line="240" w:lineRule="auto" w:before="63" w:after="0"/>
        <w:ind w:left="1197" w:right="0" w:hanging="360"/>
        <w:jc w:val="left"/>
        <w:rPr>
          <w:sz w:val="38"/>
        </w:rPr>
      </w:pPr>
      <w:r>
        <w:rPr>
          <w:sz w:val="38"/>
        </w:rPr>
        <w:t>wounds</w:t>
      </w:r>
    </w:p>
    <w:p>
      <w:pPr>
        <w:pStyle w:val="ListParagraph"/>
        <w:numPr>
          <w:ilvl w:val="1"/>
          <w:numId w:val="17"/>
        </w:numPr>
        <w:tabs>
          <w:tab w:pos="1197" w:val="left" w:leader="none"/>
          <w:tab w:pos="1198" w:val="left" w:leader="none"/>
        </w:tabs>
        <w:spacing w:line="240" w:lineRule="auto" w:before="64" w:after="0"/>
        <w:ind w:left="1197" w:right="0" w:hanging="360"/>
        <w:jc w:val="left"/>
        <w:rPr>
          <w:sz w:val="38"/>
        </w:rPr>
      </w:pPr>
      <w:r>
        <w:rPr>
          <w:sz w:val="38"/>
        </w:rPr>
        <w:t>indigestion</w:t>
      </w:r>
    </w:p>
    <w:p>
      <w:pPr>
        <w:pStyle w:val="ListParagraph"/>
        <w:numPr>
          <w:ilvl w:val="1"/>
          <w:numId w:val="17"/>
        </w:numPr>
        <w:tabs>
          <w:tab w:pos="1197" w:val="left" w:leader="none"/>
          <w:tab w:pos="1198" w:val="left" w:leader="none"/>
        </w:tabs>
        <w:spacing w:line="240" w:lineRule="auto" w:before="63" w:after="0"/>
        <w:ind w:left="1197" w:right="0" w:hanging="360"/>
        <w:jc w:val="left"/>
        <w:rPr>
          <w:sz w:val="38"/>
        </w:rPr>
      </w:pPr>
      <w:r>
        <w:rPr>
          <w:sz w:val="38"/>
        </w:rPr>
        <w:t>disorders of hormone balance</w:t>
      </w:r>
    </w:p>
    <w:p>
      <w:pPr>
        <w:pStyle w:val="ListParagraph"/>
        <w:numPr>
          <w:ilvl w:val="1"/>
          <w:numId w:val="17"/>
        </w:numPr>
        <w:tabs>
          <w:tab w:pos="1197" w:val="left" w:leader="none"/>
          <w:tab w:pos="1198" w:val="left" w:leader="none"/>
        </w:tabs>
        <w:spacing w:line="240" w:lineRule="auto" w:before="65" w:after="0"/>
        <w:ind w:left="1197" w:right="0" w:hanging="360"/>
        <w:jc w:val="left"/>
        <w:rPr>
          <w:sz w:val="38"/>
        </w:rPr>
      </w:pPr>
      <w:r>
        <w:rPr>
          <w:sz w:val="38"/>
        </w:rPr>
        <w:t>deafness/paralysis of the limbs</w:t>
      </w:r>
    </w:p>
    <w:p>
      <w:pPr>
        <w:pStyle w:val="ListParagraph"/>
        <w:numPr>
          <w:ilvl w:val="1"/>
          <w:numId w:val="17"/>
        </w:numPr>
        <w:tabs>
          <w:tab w:pos="1197" w:val="left" w:leader="none"/>
          <w:tab w:pos="1198" w:val="left" w:leader="none"/>
        </w:tabs>
        <w:spacing w:line="240" w:lineRule="auto" w:before="66" w:after="0"/>
        <w:ind w:left="1197" w:right="0" w:hanging="360"/>
        <w:jc w:val="left"/>
        <w:rPr>
          <w:sz w:val="38"/>
        </w:rPr>
      </w:pPr>
      <w:r>
        <w:rPr>
          <w:sz w:val="38"/>
        </w:rPr>
        <w:t>diabetes mellitus and its long-term</w:t>
      </w:r>
      <w:r>
        <w:rPr>
          <w:spacing w:val="4"/>
          <w:sz w:val="38"/>
        </w:rPr>
        <w:t> </w:t>
      </w:r>
      <w:r>
        <w:rPr>
          <w:sz w:val="38"/>
        </w:rPr>
        <w:t>effects</w:t>
      </w:r>
    </w:p>
    <w:p>
      <w:pPr>
        <w:spacing w:after="0" w:line="240" w:lineRule="auto"/>
        <w:jc w:val="left"/>
        <w:rPr>
          <w:sz w:val="38"/>
        </w:rPr>
        <w:sectPr>
          <w:pgSz w:w="14270" w:h="16850"/>
          <w:pgMar w:header="0" w:footer="1891" w:top="1600" w:bottom="2080" w:left="800" w:right="1280"/>
        </w:sectPr>
      </w:pPr>
    </w:p>
    <w:p>
      <w:pPr>
        <w:pStyle w:val="BodyText"/>
        <w:spacing w:before="10"/>
        <w:rPr>
          <w:sz w:val="8"/>
        </w:rPr>
      </w:pPr>
    </w:p>
    <w:p>
      <w:pPr>
        <w:pStyle w:val="ListParagraph"/>
        <w:numPr>
          <w:ilvl w:val="1"/>
          <w:numId w:val="17"/>
        </w:numPr>
        <w:tabs>
          <w:tab w:pos="1197" w:val="left" w:leader="none"/>
          <w:tab w:pos="1198" w:val="left" w:leader="none"/>
        </w:tabs>
        <w:spacing w:line="240" w:lineRule="auto" w:before="83" w:after="0"/>
        <w:ind w:left="1197" w:right="0" w:hanging="360"/>
        <w:jc w:val="left"/>
        <w:rPr>
          <w:sz w:val="38"/>
        </w:rPr>
      </w:pPr>
      <w:r>
        <w:rPr>
          <w:sz w:val="38"/>
        </w:rPr>
        <w:t>chronic</w:t>
      </w:r>
      <w:r>
        <w:rPr>
          <w:spacing w:val="-2"/>
          <w:sz w:val="38"/>
        </w:rPr>
        <w:t> </w:t>
      </w:r>
      <w:r>
        <w:rPr>
          <w:sz w:val="38"/>
        </w:rPr>
        <w:t>nephritis</w:t>
      </w:r>
    </w:p>
    <w:p>
      <w:pPr>
        <w:pStyle w:val="ListParagraph"/>
        <w:numPr>
          <w:ilvl w:val="1"/>
          <w:numId w:val="17"/>
        </w:numPr>
        <w:tabs>
          <w:tab w:pos="1197" w:val="left" w:leader="none"/>
          <w:tab w:pos="1198" w:val="left" w:leader="none"/>
        </w:tabs>
        <w:spacing w:line="240" w:lineRule="auto" w:before="64" w:after="0"/>
        <w:ind w:left="1197" w:right="0" w:hanging="360"/>
        <w:jc w:val="left"/>
        <w:rPr>
          <w:sz w:val="38"/>
        </w:rPr>
      </w:pPr>
      <w:r>
        <w:rPr>
          <w:sz w:val="38"/>
        </w:rPr>
        <w:t>chronic fatigue</w:t>
      </w:r>
      <w:r>
        <w:rPr>
          <w:spacing w:val="-3"/>
          <w:sz w:val="38"/>
        </w:rPr>
        <w:t> </w:t>
      </w:r>
      <w:r>
        <w:rPr>
          <w:sz w:val="38"/>
        </w:rPr>
        <w:t>syndrome</w:t>
      </w:r>
    </w:p>
    <w:p>
      <w:pPr>
        <w:pStyle w:val="ListParagraph"/>
        <w:numPr>
          <w:ilvl w:val="1"/>
          <w:numId w:val="17"/>
        </w:numPr>
        <w:tabs>
          <w:tab w:pos="1360" w:val="left" w:leader="none"/>
          <w:tab w:pos="1361" w:val="left" w:leader="none"/>
        </w:tabs>
        <w:spacing w:line="240" w:lineRule="auto" w:before="66" w:after="0"/>
        <w:ind w:left="1360" w:right="0" w:hanging="509"/>
        <w:jc w:val="left"/>
        <w:rPr>
          <w:sz w:val="38"/>
        </w:rPr>
      </w:pPr>
      <w:r>
        <w:rPr>
          <w:sz w:val="38"/>
        </w:rPr>
        <w:t>albuminuria</w:t>
      </w:r>
    </w:p>
    <w:p>
      <w:pPr>
        <w:pStyle w:val="ListParagraph"/>
        <w:numPr>
          <w:ilvl w:val="1"/>
          <w:numId w:val="17"/>
        </w:numPr>
        <w:tabs>
          <w:tab w:pos="1252" w:val="left" w:leader="none"/>
          <w:tab w:pos="1253" w:val="left" w:leader="none"/>
        </w:tabs>
        <w:spacing w:line="240" w:lineRule="auto" w:before="63" w:after="0"/>
        <w:ind w:left="1252" w:right="0" w:hanging="415"/>
        <w:jc w:val="left"/>
        <w:rPr>
          <w:sz w:val="38"/>
        </w:rPr>
      </w:pPr>
      <w:r>
        <w:rPr>
          <w:sz w:val="38"/>
        </w:rPr>
        <w:t>ascites</w:t>
      </w:r>
    </w:p>
    <w:p>
      <w:pPr>
        <w:pStyle w:val="Heading1"/>
        <w:spacing w:before="285"/>
        <w:jc w:val="both"/>
      </w:pPr>
      <w:r>
        <w:rPr/>
        <w:t>Specific effect on heart disease</w:t>
      </w:r>
    </w:p>
    <w:p>
      <w:pPr>
        <w:pStyle w:val="BodyText"/>
        <w:spacing w:line="276" w:lineRule="auto" w:before="300"/>
        <w:ind w:left="477" w:right="135"/>
        <w:jc w:val="both"/>
      </w:pPr>
      <w:r>
        <w:rPr/>
        <w:t>As studies have shown (see point ‘Astragalus Studies’), astragalus has a</w:t>
      </w:r>
      <w:r>
        <w:rPr>
          <w:spacing w:val="-57"/>
        </w:rPr>
        <w:t> </w:t>
      </w:r>
      <w:r>
        <w:rPr/>
        <w:t>particu- larly positive effect on the following heart conditions:</w:t>
      </w:r>
    </w:p>
    <w:p>
      <w:pPr>
        <w:pStyle w:val="ListParagraph"/>
        <w:numPr>
          <w:ilvl w:val="1"/>
          <w:numId w:val="17"/>
        </w:numPr>
        <w:tabs>
          <w:tab w:pos="1271" w:val="left" w:leader="none"/>
          <w:tab w:pos="1272" w:val="left" w:leader="none"/>
        </w:tabs>
        <w:spacing w:line="240" w:lineRule="auto" w:before="242" w:after="0"/>
        <w:ind w:left="1271" w:right="0" w:hanging="360"/>
        <w:jc w:val="left"/>
        <w:rPr>
          <w:sz w:val="38"/>
        </w:rPr>
      </w:pPr>
      <w:r>
        <w:rPr>
          <w:sz w:val="38"/>
        </w:rPr>
        <w:t>heart failure</w:t>
      </w:r>
    </w:p>
    <w:p>
      <w:pPr>
        <w:pStyle w:val="ListParagraph"/>
        <w:numPr>
          <w:ilvl w:val="1"/>
          <w:numId w:val="17"/>
        </w:numPr>
        <w:tabs>
          <w:tab w:pos="1271" w:val="left" w:leader="none"/>
          <w:tab w:pos="1272" w:val="left" w:leader="none"/>
        </w:tabs>
        <w:spacing w:line="240" w:lineRule="auto" w:before="64" w:after="0"/>
        <w:ind w:left="1271" w:right="0" w:hanging="360"/>
        <w:jc w:val="left"/>
        <w:rPr>
          <w:sz w:val="38"/>
        </w:rPr>
      </w:pPr>
      <w:r>
        <w:rPr>
          <w:sz w:val="38"/>
        </w:rPr>
        <w:t>angina</w:t>
      </w:r>
      <w:r>
        <w:rPr>
          <w:spacing w:val="-1"/>
          <w:sz w:val="38"/>
        </w:rPr>
        <w:t> </w:t>
      </w:r>
      <w:r>
        <w:rPr>
          <w:sz w:val="38"/>
        </w:rPr>
        <w:t>pectoris</w:t>
      </w:r>
    </w:p>
    <w:p>
      <w:pPr>
        <w:pStyle w:val="ListParagraph"/>
        <w:numPr>
          <w:ilvl w:val="1"/>
          <w:numId w:val="17"/>
        </w:numPr>
        <w:tabs>
          <w:tab w:pos="1271" w:val="left" w:leader="none"/>
          <w:tab w:pos="1272" w:val="left" w:leader="none"/>
        </w:tabs>
        <w:spacing w:line="240" w:lineRule="auto" w:before="63" w:after="0"/>
        <w:ind w:left="1271" w:right="0" w:hanging="360"/>
        <w:jc w:val="left"/>
        <w:rPr>
          <w:sz w:val="38"/>
        </w:rPr>
      </w:pPr>
      <w:r>
        <w:rPr>
          <w:sz w:val="38"/>
        </w:rPr>
        <w:t>coronary heart</w:t>
      </w:r>
      <w:r>
        <w:rPr>
          <w:spacing w:val="-2"/>
          <w:sz w:val="38"/>
        </w:rPr>
        <w:t> </w:t>
      </w:r>
      <w:r>
        <w:rPr>
          <w:sz w:val="38"/>
        </w:rPr>
        <w:t>disease</w:t>
      </w:r>
    </w:p>
    <w:p>
      <w:pPr>
        <w:pStyle w:val="ListParagraph"/>
        <w:numPr>
          <w:ilvl w:val="1"/>
          <w:numId w:val="17"/>
        </w:numPr>
        <w:tabs>
          <w:tab w:pos="1271" w:val="left" w:leader="none"/>
          <w:tab w:pos="1272" w:val="left" w:leader="none"/>
        </w:tabs>
        <w:spacing w:line="240" w:lineRule="auto" w:before="64" w:after="0"/>
        <w:ind w:left="1271" w:right="0" w:hanging="360"/>
        <w:jc w:val="left"/>
        <w:rPr>
          <w:sz w:val="38"/>
        </w:rPr>
      </w:pPr>
      <w:r>
        <w:rPr>
          <w:sz w:val="38"/>
        </w:rPr>
        <w:t>myocarditis</w:t>
      </w:r>
    </w:p>
    <w:p>
      <w:pPr>
        <w:pStyle w:val="ListParagraph"/>
        <w:numPr>
          <w:ilvl w:val="1"/>
          <w:numId w:val="17"/>
        </w:numPr>
        <w:tabs>
          <w:tab w:pos="1271" w:val="left" w:leader="none"/>
          <w:tab w:pos="1272" w:val="left" w:leader="none"/>
        </w:tabs>
        <w:spacing w:line="240" w:lineRule="auto" w:before="64" w:after="0"/>
        <w:ind w:left="1271" w:right="0" w:hanging="360"/>
        <w:jc w:val="left"/>
        <w:rPr>
          <w:sz w:val="38"/>
        </w:rPr>
      </w:pPr>
      <w:r>
        <w:rPr>
          <w:sz w:val="38"/>
        </w:rPr>
        <w:t>myocardial</w:t>
      </w:r>
      <w:r>
        <w:rPr>
          <w:spacing w:val="-1"/>
          <w:sz w:val="38"/>
        </w:rPr>
        <w:t> </w:t>
      </w:r>
      <w:r>
        <w:rPr>
          <w:sz w:val="38"/>
        </w:rPr>
        <w:t>ischemia</w:t>
      </w:r>
    </w:p>
    <w:p>
      <w:pPr>
        <w:pStyle w:val="BodyText"/>
        <w:spacing w:line="276" w:lineRule="auto" w:before="185"/>
        <w:ind w:left="477" w:right="136"/>
        <w:jc w:val="both"/>
      </w:pPr>
      <w:r>
        <w:rPr/>
        <w:t>Furthermore,</w:t>
      </w:r>
      <w:r>
        <w:rPr>
          <w:spacing w:val="-14"/>
        </w:rPr>
        <w:t> </w:t>
      </w:r>
      <w:r>
        <w:rPr/>
        <w:t>astragalus</w:t>
      </w:r>
      <w:r>
        <w:rPr>
          <w:spacing w:val="-14"/>
        </w:rPr>
        <w:t> </w:t>
      </w:r>
      <w:r>
        <w:rPr/>
        <w:t>is</w:t>
      </w:r>
      <w:r>
        <w:rPr>
          <w:spacing w:val="-15"/>
        </w:rPr>
        <w:t> </w:t>
      </w:r>
      <w:r>
        <w:rPr/>
        <w:t>recommended</w:t>
      </w:r>
      <w:r>
        <w:rPr>
          <w:spacing w:val="-14"/>
        </w:rPr>
        <w:t> </w:t>
      </w:r>
      <w:r>
        <w:rPr/>
        <w:t>for</w:t>
      </w:r>
      <w:r>
        <w:rPr>
          <w:spacing w:val="-14"/>
        </w:rPr>
        <w:t> </w:t>
      </w:r>
      <w:r>
        <w:rPr/>
        <w:t>all</w:t>
      </w:r>
      <w:r>
        <w:rPr>
          <w:spacing w:val="-18"/>
        </w:rPr>
        <w:t> </w:t>
      </w:r>
      <w:r>
        <w:rPr/>
        <w:t>heart</w:t>
      </w:r>
      <w:r>
        <w:rPr>
          <w:spacing w:val="-14"/>
        </w:rPr>
        <w:t> </w:t>
      </w:r>
      <w:r>
        <w:rPr/>
        <w:t>diseases</w:t>
      </w:r>
      <w:r>
        <w:rPr>
          <w:spacing w:val="-15"/>
        </w:rPr>
        <w:t> </w:t>
      </w:r>
      <w:r>
        <w:rPr/>
        <w:t>and</w:t>
      </w:r>
      <w:r>
        <w:rPr>
          <w:spacing w:val="-16"/>
        </w:rPr>
        <w:t> </w:t>
      </w:r>
      <w:r>
        <w:rPr/>
        <w:t>general</w:t>
      </w:r>
      <w:r>
        <w:rPr>
          <w:spacing w:val="-19"/>
        </w:rPr>
        <w:t> </w:t>
      </w:r>
      <w:r>
        <w:rPr/>
        <w:t>heart failure, if only due to its ability to promote blood</w:t>
      </w:r>
      <w:r>
        <w:rPr>
          <w:spacing w:val="-9"/>
        </w:rPr>
        <w:t> </w:t>
      </w:r>
      <w:r>
        <w:rPr/>
        <w:t>circulation.</w:t>
      </w:r>
    </w:p>
    <w:p>
      <w:pPr>
        <w:pStyle w:val="Heading2"/>
        <w:spacing w:line="276" w:lineRule="auto" w:before="238"/>
        <w:ind w:right="143"/>
        <w:jc w:val="both"/>
      </w:pPr>
      <w:r>
        <w:rPr/>
        <w:t>Improved</w:t>
      </w:r>
      <w:r>
        <w:rPr>
          <w:spacing w:val="-11"/>
        </w:rPr>
        <w:t> </w:t>
      </w:r>
      <w:r>
        <w:rPr/>
        <w:t>heart</w:t>
      </w:r>
      <w:r>
        <w:rPr>
          <w:spacing w:val="-11"/>
        </w:rPr>
        <w:t> </w:t>
      </w:r>
      <w:r>
        <w:rPr/>
        <w:t>perfusion</w:t>
      </w:r>
      <w:r>
        <w:rPr>
          <w:spacing w:val="-11"/>
        </w:rPr>
        <w:t> </w:t>
      </w:r>
      <w:r>
        <w:rPr/>
        <w:t>from</w:t>
      </w:r>
      <w:r>
        <w:rPr>
          <w:spacing w:val="-10"/>
        </w:rPr>
        <w:t> </w:t>
      </w:r>
      <w:r>
        <w:rPr/>
        <w:t>5.09</w:t>
      </w:r>
      <w:r>
        <w:rPr>
          <w:spacing w:val="-11"/>
        </w:rPr>
        <w:t> </w:t>
      </w:r>
      <w:r>
        <w:rPr/>
        <w:t>to</w:t>
      </w:r>
      <w:r>
        <w:rPr>
          <w:spacing w:val="-11"/>
        </w:rPr>
        <w:t> </w:t>
      </w:r>
      <w:r>
        <w:rPr/>
        <w:t>5.95</w:t>
      </w:r>
      <w:r>
        <w:rPr>
          <w:spacing w:val="-10"/>
        </w:rPr>
        <w:t> </w:t>
      </w:r>
      <w:r>
        <w:rPr/>
        <w:t>l/min</w:t>
      </w:r>
      <w:r>
        <w:rPr>
          <w:spacing w:val="-11"/>
        </w:rPr>
        <w:t> </w:t>
      </w:r>
      <w:r>
        <w:rPr/>
        <w:t>in</w:t>
      </w:r>
      <w:r>
        <w:rPr>
          <w:spacing w:val="-10"/>
        </w:rPr>
        <w:t> </w:t>
      </w:r>
      <w:r>
        <w:rPr/>
        <w:t>patients</w:t>
      </w:r>
      <w:r>
        <w:rPr>
          <w:spacing w:val="-11"/>
        </w:rPr>
        <w:t> </w:t>
      </w:r>
      <w:r>
        <w:rPr/>
        <w:t>with</w:t>
      </w:r>
      <w:r>
        <w:rPr>
          <w:spacing w:val="-10"/>
        </w:rPr>
        <w:t> </w:t>
      </w:r>
      <w:r>
        <w:rPr/>
        <w:t>angina pectoris</w:t>
      </w:r>
    </w:p>
    <w:p>
      <w:pPr>
        <w:pStyle w:val="BodyText"/>
        <w:spacing w:line="276" w:lineRule="auto" w:before="241"/>
        <w:ind w:left="477" w:right="135"/>
        <w:jc w:val="both"/>
        <w:rPr>
          <w:sz w:val="25"/>
        </w:rPr>
      </w:pPr>
      <w:r>
        <w:rPr/>
        <w:t>In 20 patients treated with astragalus, it was possible to increase heart blood output</w:t>
      </w:r>
      <w:r>
        <w:rPr>
          <w:spacing w:val="-10"/>
        </w:rPr>
        <w:t> </w:t>
      </w:r>
      <w:r>
        <w:rPr/>
        <w:t>from</w:t>
      </w:r>
      <w:r>
        <w:rPr>
          <w:spacing w:val="-8"/>
        </w:rPr>
        <w:t> </w:t>
      </w:r>
      <w:r>
        <w:rPr/>
        <w:t>5.09</w:t>
      </w:r>
      <w:r>
        <w:rPr>
          <w:spacing w:val="-9"/>
        </w:rPr>
        <w:t> </w:t>
      </w:r>
      <w:r>
        <w:rPr/>
        <w:t>to</w:t>
      </w:r>
      <w:r>
        <w:rPr>
          <w:spacing w:val="-7"/>
        </w:rPr>
        <w:t> </w:t>
      </w:r>
      <w:r>
        <w:rPr/>
        <w:t>5.95</w:t>
      </w:r>
      <w:r>
        <w:rPr>
          <w:spacing w:val="-8"/>
        </w:rPr>
        <w:t> </w:t>
      </w:r>
      <w:r>
        <w:rPr/>
        <w:t>l</w:t>
      </w:r>
      <w:r>
        <w:rPr>
          <w:spacing w:val="-9"/>
        </w:rPr>
        <w:t> </w:t>
      </w:r>
      <w:r>
        <w:rPr/>
        <w:t>in</w:t>
      </w:r>
      <w:r>
        <w:rPr>
          <w:spacing w:val="-8"/>
        </w:rPr>
        <w:t> </w:t>
      </w:r>
      <w:r>
        <w:rPr/>
        <w:t>a</w:t>
      </w:r>
      <w:r>
        <w:rPr>
          <w:spacing w:val="-8"/>
        </w:rPr>
        <w:t> </w:t>
      </w:r>
      <w:r>
        <w:rPr/>
        <w:t>record</w:t>
      </w:r>
      <w:r>
        <w:rPr>
          <w:spacing w:val="-8"/>
        </w:rPr>
        <w:t> </w:t>
      </w:r>
      <w:r>
        <w:rPr/>
        <w:t>time</w:t>
      </w:r>
      <w:r>
        <w:rPr>
          <w:spacing w:val="-8"/>
        </w:rPr>
        <w:t> </w:t>
      </w:r>
      <w:r>
        <w:rPr/>
        <w:t>of</w:t>
      </w:r>
      <w:r>
        <w:rPr>
          <w:spacing w:val="-7"/>
        </w:rPr>
        <w:t> </w:t>
      </w:r>
      <w:r>
        <w:rPr/>
        <w:t>just</w:t>
      </w:r>
      <w:r>
        <w:rPr>
          <w:spacing w:val="-6"/>
        </w:rPr>
        <w:t> </w:t>
      </w:r>
      <w:r>
        <w:rPr/>
        <w:t>two</w:t>
      </w:r>
      <w:r>
        <w:rPr>
          <w:spacing w:val="-8"/>
        </w:rPr>
        <w:t> </w:t>
      </w:r>
      <w:r>
        <w:rPr/>
        <w:t>weeks.</w:t>
      </w:r>
      <w:r>
        <w:rPr>
          <w:spacing w:val="-7"/>
        </w:rPr>
        <w:t> </w:t>
      </w:r>
      <w:r>
        <w:rPr/>
        <w:t>This</w:t>
      </w:r>
      <w:r>
        <w:rPr>
          <w:spacing w:val="-5"/>
        </w:rPr>
        <w:t> </w:t>
      </w:r>
      <w:r>
        <w:rPr/>
        <w:t>was</w:t>
      </w:r>
      <w:r>
        <w:rPr>
          <w:spacing w:val="-8"/>
        </w:rPr>
        <w:t> </w:t>
      </w:r>
      <w:r>
        <w:rPr/>
        <w:t>checked with an</w:t>
      </w:r>
      <w:r>
        <w:rPr>
          <w:spacing w:val="1"/>
        </w:rPr>
        <w:t> </w:t>
      </w:r>
      <w:r>
        <w:rPr/>
        <w:t>echocardiogram.</w:t>
      </w:r>
      <w:r>
        <w:rPr>
          <w:position w:val="9"/>
          <w:sz w:val="25"/>
        </w:rPr>
        <w:t>84</w:t>
      </w:r>
    </w:p>
    <w:p>
      <w:pPr>
        <w:pStyle w:val="BodyText"/>
        <w:rPr>
          <w:sz w:val="20"/>
        </w:rPr>
      </w:pPr>
    </w:p>
    <w:p>
      <w:pPr>
        <w:pStyle w:val="BodyText"/>
        <w:rPr>
          <w:sz w:val="20"/>
        </w:rPr>
      </w:pPr>
      <w:r>
        <w:rPr/>
        <w:pict>
          <v:line style="position:absolute;mso-position-horizontal-relative:page;mso-position-vertical-relative:paragraph;z-index:440;mso-wrap-distance-left:0;mso-wrap-distance-right:0" from="63.863998pt,13.609809pt" to="207.883998pt,13.609809pt" stroked="true" strokeweight=".72003pt" strokecolor="#000000">
            <v:stroke dashstyle="solid"/>
            <w10:wrap type="topAndBottom"/>
          </v:line>
        </w:pict>
      </w:r>
    </w:p>
    <w:p>
      <w:pPr>
        <w:pStyle w:val="BodyText"/>
        <w:spacing w:before="7"/>
        <w:rPr>
          <w:sz w:val="18"/>
        </w:rPr>
      </w:pPr>
    </w:p>
    <w:p>
      <w:pPr>
        <w:spacing w:line="276" w:lineRule="auto" w:before="99"/>
        <w:ind w:left="477" w:right="244" w:firstLine="0"/>
        <w:jc w:val="left"/>
        <w:rPr>
          <w:sz w:val="20"/>
        </w:rPr>
      </w:pPr>
      <w:r>
        <w:rPr>
          <w:position w:val="5"/>
          <w:sz w:val="13"/>
        </w:rPr>
        <w:t>84 </w:t>
      </w:r>
      <w:r>
        <w:rPr>
          <w:sz w:val="20"/>
        </w:rPr>
        <w:t>Li S. Q. et al.: Clinical observation on the treatment of ischemic heart disease with Astragalus membranaceus. Chung Kuo Chung Hsi I Chieh Ho Tsa Chih 1995; 15, p. 77-80.</w:t>
      </w:r>
    </w:p>
    <w:p>
      <w:pPr>
        <w:spacing w:after="0" w:line="276" w:lineRule="auto"/>
        <w:jc w:val="left"/>
        <w:rPr>
          <w:sz w:val="20"/>
        </w:rPr>
        <w:sectPr>
          <w:pgSz w:w="14270" w:h="16850"/>
          <w:pgMar w:header="0" w:footer="1891" w:top="1600" w:bottom="2080" w:left="800" w:right="1280"/>
        </w:sectPr>
      </w:pPr>
    </w:p>
    <w:p>
      <w:pPr>
        <w:pStyle w:val="Heading1"/>
        <w:spacing w:before="164"/>
      </w:pPr>
      <w:r>
        <w:rPr/>
        <w:t>Astragalus improves ECG levels in angina pectoris by 82.6 %</w:t>
      </w:r>
    </w:p>
    <w:p>
      <w:pPr>
        <w:pStyle w:val="BodyText"/>
        <w:spacing w:line="276" w:lineRule="auto" w:before="299"/>
        <w:ind w:left="477" w:right="132"/>
        <w:jc w:val="both"/>
        <w:rPr>
          <w:sz w:val="25"/>
        </w:rPr>
      </w:pPr>
      <w:r>
        <w:rPr/>
        <w:t>In one study, 92 patients with ischemic heart disease (angina pectoris ) were treated</w:t>
      </w:r>
      <w:r>
        <w:rPr>
          <w:spacing w:val="-24"/>
        </w:rPr>
        <w:t> </w:t>
      </w:r>
      <w:r>
        <w:rPr/>
        <w:t>with</w:t>
      </w:r>
      <w:r>
        <w:rPr>
          <w:spacing w:val="-23"/>
        </w:rPr>
        <w:t> </w:t>
      </w:r>
      <w:r>
        <w:rPr/>
        <w:t>Astragalus</w:t>
      </w:r>
      <w:r>
        <w:rPr>
          <w:spacing w:val="-23"/>
        </w:rPr>
        <w:t> </w:t>
      </w:r>
      <w:r>
        <w:rPr/>
        <w:t>membranaceus.</w:t>
      </w:r>
      <w:r>
        <w:rPr>
          <w:spacing w:val="-23"/>
        </w:rPr>
        <w:t> </w:t>
      </w:r>
      <w:r>
        <w:rPr/>
        <w:t>In</w:t>
      </w:r>
      <w:r>
        <w:rPr>
          <w:spacing w:val="-23"/>
        </w:rPr>
        <w:t> </w:t>
      </w:r>
      <w:r>
        <w:rPr/>
        <w:t>addition</w:t>
      </w:r>
      <w:r>
        <w:rPr>
          <w:spacing w:val="-22"/>
        </w:rPr>
        <w:t> </w:t>
      </w:r>
      <w:r>
        <w:rPr/>
        <w:t>to</w:t>
      </w:r>
      <w:r>
        <w:rPr>
          <w:spacing w:val="-24"/>
        </w:rPr>
        <w:t> </w:t>
      </w:r>
      <w:r>
        <w:rPr/>
        <w:t>a</w:t>
      </w:r>
      <w:r>
        <w:rPr>
          <w:spacing w:val="-26"/>
        </w:rPr>
        <w:t> </w:t>
      </w:r>
      <w:r>
        <w:rPr/>
        <w:t>reduction</w:t>
      </w:r>
      <w:r>
        <w:rPr>
          <w:spacing w:val="-22"/>
        </w:rPr>
        <w:t> </w:t>
      </w:r>
      <w:r>
        <w:rPr/>
        <w:t>in</w:t>
      </w:r>
      <w:r>
        <w:rPr>
          <w:spacing w:val="-23"/>
        </w:rPr>
        <w:t> </w:t>
      </w:r>
      <w:r>
        <w:rPr/>
        <w:t>pectanginal complaints, ECG values improved by 82.6</w:t>
      </w:r>
      <w:r>
        <w:rPr>
          <w:spacing w:val="1"/>
        </w:rPr>
        <w:t> </w:t>
      </w:r>
      <w:r>
        <w:rPr/>
        <w:t>%.</w:t>
      </w:r>
      <w:r>
        <w:rPr>
          <w:position w:val="9"/>
          <w:sz w:val="25"/>
        </w:rPr>
        <w:t>85</w:t>
      </w:r>
    </w:p>
    <w:p>
      <w:pPr>
        <w:pStyle w:val="Heading1"/>
      </w:pPr>
      <w:r>
        <w:rPr/>
        <w:t>Astragalus protects heart cells from lipid peroxidation</w:t>
      </w:r>
    </w:p>
    <w:p>
      <w:pPr>
        <w:pStyle w:val="BodyText"/>
        <w:spacing w:line="276" w:lineRule="auto" w:before="298"/>
        <w:ind w:left="477" w:right="135"/>
        <w:jc w:val="both"/>
        <w:rPr>
          <w:sz w:val="25"/>
        </w:rPr>
      </w:pPr>
      <w:r>
        <w:rPr/>
        <w:t>Saponins in astragalus protect the heart muscle from dangerous lipid peroxida- tion and blood clotting.</w:t>
      </w:r>
      <w:r>
        <w:rPr>
          <w:position w:val="9"/>
          <w:sz w:val="25"/>
        </w:rPr>
        <w:t>86</w:t>
      </w:r>
    </w:p>
    <w:p>
      <w:pPr>
        <w:pStyle w:val="Heading1"/>
        <w:spacing w:line="261" w:lineRule="auto" w:before="223"/>
        <w:ind w:right="138"/>
        <w:jc w:val="both"/>
      </w:pPr>
      <w:r>
        <w:rPr/>
        <w:t>Astragalus</w:t>
      </w:r>
      <w:r>
        <w:rPr>
          <w:spacing w:val="-68"/>
        </w:rPr>
        <w:t> </w:t>
      </w:r>
      <w:r>
        <w:rPr/>
        <w:t>reduces</w:t>
      </w:r>
      <w:r>
        <w:rPr>
          <w:spacing w:val="-68"/>
        </w:rPr>
        <w:t> </w:t>
      </w:r>
      <w:r>
        <w:rPr/>
        <w:t>heart</w:t>
      </w:r>
      <w:r>
        <w:rPr>
          <w:spacing w:val="-68"/>
        </w:rPr>
        <w:t> </w:t>
      </w:r>
      <w:r>
        <w:rPr/>
        <w:t>rate</w:t>
      </w:r>
      <w:r>
        <w:rPr>
          <w:spacing w:val="-67"/>
        </w:rPr>
        <w:t> </w:t>
      </w:r>
      <w:r>
        <w:rPr/>
        <w:t>in</w:t>
      </w:r>
      <w:r>
        <w:rPr>
          <w:spacing w:val="-68"/>
        </w:rPr>
        <w:t> </w:t>
      </w:r>
      <w:r>
        <w:rPr/>
        <w:t>congestive</w:t>
      </w:r>
      <w:r>
        <w:rPr>
          <w:spacing w:val="-68"/>
        </w:rPr>
        <w:t> </w:t>
      </w:r>
      <w:r>
        <w:rPr/>
        <w:t>heart</w:t>
      </w:r>
      <w:r>
        <w:rPr>
          <w:spacing w:val="-69"/>
        </w:rPr>
        <w:t> </w:t>
      </w:r>
      <w:r>
        <w:rPr/>
        <w:t>failure</w:t>
      </w:r>
      <w:r>
        <w:rPr>
          <w:spacing w:val="-67"/>
        </w:rPr>
        <w:t> </w:t>
      </w:r>
      <w:r>
        <w:rPr/>
        <w:t>and</w:t>
      </w:r>
      <w:r>
        <w:rPr>
          <w:spacing w:val="-68"/>
        </w:rPr>
        <w:t> </w:t>
      </w:r>
      <w:r>
        <w:rPr/>
        <w:t>reduces</w:t>
      </w:r>
      <w:r>
        <w:rPr>
          <w:spacing w:val="-68"/>
        </w:rPr>
        <w:t> </w:t>
      </w:r>
      <w:r>
        <w:rPr/>
        <w:t>dis- comfort</w:t>
      </w:r>
    </w:p>
    <w:p>
      <w:pPr>
        <w:pStyle w:val="BodyText"/>
        <w:spacing w:line="276" w:lineRule="auto" w:before="260"/>
        <w:ind w:left="477" w:right="133"/>
        <w:jc w:val="both"/>
        <w:rPr>
          <w:sz w:val="25"/>
        </w:rPr>
      </w:pPr>
      <w:r>
        <w:rPr/>
        <w:t>19 patients with congestive heart failure were treated with an astragalus ingre- dient called ‘Astragaloside IV’. After two weeks, chest pain and breathing diffi- culties</w:t>
      </w:r>
      <w:r>
        <w:rPr>
          <w:spacing w:val="-14"/>
        </w:rPr>
        <w:t> </w:t>
      </w:r>
      <w:r>
        <w:rPr/>
        <w:t>significantly</w:t>
      </w:r>
      <w:r>
        <w:rPr>
          <w:spacing w:val="-15"/>
        </w:rPr>
        <w:t> </w:t>
      </w:r>
      <w:r>
        <w:rPr/>
        <w:t>improved.</w:t>
      </w:r>
      <w:r>
        <w:rPr>
          <w:spacing w:val="-15"/>
        </w:rPr>
        <w:t> </w:t>
      </w:r>
      <w:r>
        <w:rPr/>
        <w:t>At</w:t>
      </w:r>
      <w:r>
        <w:rPr>
          <w:spacing w:val="-15"/>
        </w:rPr>
        <w:t> </w:t>
      </w:r>
      <w:r>
        <w:rPr/>
        <w:t>the</w:t>
      </w:r>
      <w:r>
        <w:rPr>
          <w:spacing w:val="-15"/>
        </w:rPr>
        <w:t> </w:t>
      </w:r>
      <w:r>
        <w:rPr/>
        <w:t>same</w:t>
      </w:r>
      <w:r>
        <w:rPr>
          <w:spacing w:val="-15"/>
        </w:rPr>
        <w:t> </w:t>
      </w:r>
      <w:r>
        <w:rPr/>
        <w:t>time,</w:t>
      </w:r>
      <w:r>
        <w:rPr>
          <w:spacing w:val="-13"/>
        </w:rPr>
        <w:t> </w:t>
      </w:r>
      <w:r>
        <w:rPr/>
        <w:t>the</w:t>
      </w:r>
      <w:r>
        <w:rPr>
          <w:spacing w:val="-14"/>
        </w:rPr>
        <w:t> </w:t>
      </w:r>
      <w:r>
        <w:rPr/>
        <w:t>heart</w:t>
      </w:r>
      <w:r>
        <w:rPr>
          <w:spacing w:val="-16"/>
        </w:rPr>
        <w:t> </w:t>
      </w:r>
      <w:r>
        <w:rPr/>
        <w:t>rate</w:t>
      </w:r>
      <w:r>
        <w:rPr>
          <w:spacing w:val="-16"/>
        </w:rPr>
        <w:t> </w:t>
      </w:r>
      <w:r>
        <w:rPr/>
        <w:t>dropped</w:t>
      </w:r>
      <w:r>
        <w:rPr>
          <w:spacing w:val="-14"/>
        </w:rPr>
        <w:t> </w:t>
      </w:r>
      <w:r>
        <w:rPr/>
        <w:t>from</w:t>
      </w:r>
      <w:r>
        <w:rPr>
          <w:spacing w:val="-16"/>
        </w:rPr>
        <w:t> </w:t>
      </w:r>
      <w:r>
        <w:rPr/>
        <w:t>88 to</w:t>
      </w:r>
      <w:r>
        <w:rPr>
          <w:spacing w:val="-11"/>
        </w:rPr>
        <w:t> </w:t>
      </w:r>
      <w:r>
        <w:rPr/>
        <w:t>64</w:t>
      </w:r>
      <w:r>
        <w:rPr>
          <w:spacing w:val="-12"/>
        </w:rPr>
        <w:t> </w:t>
      </w:r>
      <w:r>
        <w:rPr/>
        <w:t>bpm</w:t>
      </w:r>
      <w:r>
        <w:rPr>
          <w:spacing w:val="-12"/>
        </w:rPr>
        <w:t> </w:t>
      </w:r>
      <w:r>
        <w:rPr/>
        <w:t>on</w:t>
      </w:r>
      <w:r>
        <w:rPr>
          <w:spacing w:val="-11"/>
        </w:rPr>
        <w:t> </w:t>
      </w:r>
      <w:r>
        <w:rPr/>
        <w:t>average,</w:t>
      </w:r>
      <w:r>
        <w:rPr>
          <w:spacing w:val="-11"/>
        </w:rPr>
        <w:t> </w:t>
      </w:r>
      <w:r>
        <w:rPr/>
        <w:t>which</w:t>
      </w:r>
      <w:r>
        <w:rPr>
          <w:spacing w:val="-10"/>
        </w:rPr>
        <w:t> </w:t>
      </w:r>
      <w:r>
        <w:rPr/>
        <w:t>is</w:t>
      </w:r>
      <w:r>
        <w:rPr>
          <w:spacing w:val="-12"/>
        </w:rPr>
        <w:t> </w:t>
      </w:r>
      <w:r>
        <w:rPr/>
        <w:t>due</w:t>
      </w:r>
      <w:r>
        <w:rPr>
          <w:spacing w:val="-13"/>
        </w:rPr>
        <w:t> </w:t>
      </w:r>
      <w:r>
        <w:rPr/>
        <w:t>to</w:t>
      </w:r>
      <w:r>
        <w:rPr>
          <w:spacing w:val="-11"/>
        </w:rPr>
        <w:t> </w:t>
      </w:r>
      <w:r>
        <w:rPr/>
        <w:t>a</w:t>
      </w:r>
      <w:r>
        <w:rPr>
          <w:spacing w:val="-13"/>
        </w:rPr>
        <w:t> </w:t>
      </w:r>
      <w:r>
        <w:rPr/>
        <w:t>vitalisation</w:t>
      </w:r>
      <w:r>
        <w:rPr>
          <w:spacing w:val="-10"/>
        </w:rPr>
        <w:t> </w:t>
      </w:r>
      <w:r>
        <w:rPr/>
        <w:t>of</w:t>
      </w:r>
      <w:r>
        <w:rPr>
          <w:spacing w:val="-11"/>
        </w:rPr>
        <w:t> </w:t>
      </w:r>
      <w:r>
        <w:rPr/>
        <w:t>and</w:t>
      </w:r>
      <w:r>
        <w:rPr>
          <w:spacing w:val="-11"/>
        </w:rPr>
        <w:t> </w:t>
      </w:r>
      <w:r>
        <w:rPr/>
        <w:t>increased</w:t>
      </w:r>
      <w:r>
        <w:rPr>
          <w:spacing w:val="-11"/>
        </w:rPr>
        <w:t> </w:t>
      </w:r>
      <w:r>
        <w:rPr/>
        <w:t>circulation to the heart</w:t>
      </w:r>
      <w:r>
        <w:rPr>
          <w:spacing w:val="2"/>
        </w:rPr>
        <w:t> </w:t>
      </w:r>
      <w:r>
        <w:rPr/>
        <w:t>muscle.</w:t>
      </w:r>
      <w:r>
        <w:rPr>
          <w:position w:val="9"/>
          <w:sz w:val="25"/>
        </w:rPr>
        <w:t>87</w:t>
      </w:r>
    </w:p>
    <w:p>
      <w:pPr>
        <w:pStyle w:val="Heading1"/>
        <w:spacing w:line="261" w:lineRule="auto" w:before="223"/>
        <w:ind w:right="145"/>
        <w:jc w:val="both"/>
      </w:pPr>
      <w:r>
        <w:rPr/>
        <w:t>Studies</w:t>
      </w:r>
      <w:r>
        <w:rPr>
          <w:spacing w:val="-61"/>
        </w:rPr>
        <w:t> </w:t>
      </w:r>
      <w:r>
        <w:rPr/>
        <w:t>have</w:t>
      </w:r>
      <w:r>
        <w:rPr>
          <w:spacing w:val="-62"/>
        </w:rPr>
        <w:t> </w:t>
      </w:r>
      <w:r>
        <w:rPr/>
        <w:t>shown</w:t>
      </w:r>
      <w:r>
        <w:rPr>
          <w:spacing w:val="-61"/>
        </w:rPr>
        <w:t> </w:t>
      </w:r>
      <w:r>
        <w:rPr/>
        <w:t>that</w:t>
      </w:r>
      <w:r>
        <w:rPr>
          <w:spacing w:val="-61"/>
        </w:rPr>
        <w:t> </w:t>
      </w:r>
      <w:r>
        <w:rPr/>
        <w:t>astragalus</w:t>
      </w:r>
      <w:r>
        <w:rPr>
          <w:spacing w:val="-61"/>
        </w:rPr>
        <w:t> </w:t>
      </w:r>
      <w:r>
        <w:rPr/>
        <w:t>has</w:t>
      </w:r>
      <w:r>
        <w:rPr>
          <w:spacing w:val="-61"/>
        </w:rPr>
        <w:t> </w:t>
      </w:r>
      <w:r>
        <w:rPr/>
        <w:t>a</w:t>
      </w:r>
      <w:r>
        <w:rPr>
          <w:spacing w:val="-61"/>
        </w:rPr>
        <w:t> </w:t>
      </w:r>
      <w:r>
        <w:rPr/>
        <w:t>cardioprotective</w:t>
      </w:r>
      <w:r>
        <w:rPr>
          <w:spacing w:val="-60"/>
        </w:rPr>
        <w:t> </w:t>
      </w:r>
      <w:r>
        <w:rPr/>
        <w:t>effect</w:t>
      </w:r>
      <w:r>
        <w:rPr>
          <w:spacing w:val="-61"/>
        </w:rPr>
        <w:t> </w:t>
      </w:r>
      <w:r>
        <w:rPr/>
        <w:t>in</w:t>
      </w:r>
      <w:r>
        <w:rPr>
          <w:spacing w:val="-61"/>
        </w:rPr>
        <w:t> </w:t>
      </w:r>
      <w:r>
        <w:rPr/>
        <w:t>cases of myocardial ischemia</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1"/>
        <w:rPr>
          <w:b/>
          <w:i/>
          <w:sz w:val="11"/>
        </w:rPr>
      </w:pPr>
      <w:r>
        <w:rPr/>
        <w:pict>
          <v:line style="position:absolute;mso-position-horizontal-relative:page;mso-position-vertical-relative:paragraph;z-index:464;mso-wrap-distance-left:0;mso-wrap-distance-right:0" from="63.863998pt,8.617485pt" to="207.883998pt,8.617485pt" stroked="true" strokeweight=".72003pt" strokecolor="#000000">
            <v:stroke dashstyle="solid"/>
            <w10:wrap type="topAndBottom"/>
          </v:line>
        </w:pict>
      </w:r>
    </w:p>
    <w:p>
      <w:pPr>
        <w:pStyle w:val="BodyText"/>
        <w:spacing w:before="7"/>
        <w:rPr>
          <w:b/>
          <w:i/>
          <w:sz w:val="18"/>
        </w:rPr>
      </w:pPr>
    </w:p>
    <w:p>
      <w:pPr>
        <w:spacing w:line="273" w:lineRule="auto" w:before="99"/>
        <w:ind w:left="477" w:right="310" w:firstLine="0"/>
        <w:jc w:val="left"/>
        <w:rPr>
          <w:sz w:val="20"/>
        </w:rPr>
      </w:pPr>
      <w:r>
        <w:rPr>
          <w:position w:val="5"/>
          <w:sz w:val="13"/>
        </w:rPr>
        <w:t>85 </w:t>
      </w:r>
      <w:r>
        <w:rPr>
          <w:sz w:val="20"/>
        </w:rPr>
        <w:t>Luo H. M. et al.: Nuclear cardiology study on effective ingredients of Astragalus membranaceus in treating heart failure. Chung Kuo Chung Hsi I Chieh Ho Tsa Chih 1995; 15, p. 707 ff.</w:t>
      </w:r>
    </w:p>
    <w:p>
      <w:pPr>
        <w:spacing w:line="276" w:lineRule="auto" w:before="63"/>
        <w:ind w:left="477" w:right="0" w:firstLine="0"/>
        <w:jc w:val="left"/>
        <w:rPr>
          <w:sz w:val="20"/>
        </w:rPr>
      </w:pPr>
      <w:r>
        <w:rPr>
          <w:position w:val="4"/>
          <w:sz w:val="10"/>
        </w:rPr>
        <w:t>86 </w:t>
      </w:r>
      <w:r>
        <w:rPr>
          <w:sz w:val="20"/>
        </w:rPr>
        <w:t>Purmova J. and Opletal L. Phytotherapeutic aspects of diseases of the cardiovascular system. 5. Saponins and possibilities of their use in prevention and therapy. Ceska Slov Farm 1995; 44, p. 246–251.</w:t>
      </w:r>
    </w:p>
    <w:p>
      <w:pPr>
        <w:spacing w:line="276" w:lineRule="auto" w:before="61"/>
        <w:ind w:left="477" w:right="0" w:firstLine="0"/>
        <w:jc w:val="left"/>
        <w:rPr>
          <w:sz w:val="20"/>
        </w:rPr>
      </w:pPr>
      <w:r>
        <w:rPr/>
        <w:drawing>
          <wp:anchor distT="0" distB="0" distL="0" distR="0" allowOverlap="1" layoutInCell="1" locked="0" behindDoc="1" simplePos="0" relativeHeight="267168263">
            <wp:simplePos x="0" y="0"/>
            <wp:positionH relativeFrom="page">
              <wp:posOffset>896463</wp:posOffset>
            </wp:positionH>
            <wp:positionV relativeFrom="paragraph">
              <wp:posOffset>82907</wp:posOffset>
            </wp:positionV>
            <wp:extent cx="6379583" cy="902106"/>
            <wp:effectExtent l="0" t="0" r="0" b="0"/>
            <wp:wrapNone/>
            <wp:docPr id="57" name="image2.jpeg" descr=""/>
            <wp:cNvGraphicFramePr>
              <a:graphicFrameLocks noChangeAspect="1"/>
            </wp:cNvGraphicFramePr>
            <a:graphic>
              <a:graphicData uri="http://schemas.openxmlformats.org/drawingml/2006/picture">
                <pic:pic>
                  <pic:nvPicPr>
                    <pic:cNvPr id="58"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87 </w:t>
      </w:r>
      <w:r>
        <w:rPr>
          <w:sz w:val="20"/>
        </w:rPr>
        <w:t>Luo H. M. et al.: Nuclear cardiology study on effective ingredients of Astragalus membranaceus in treating heart failure. Chung Kuo Chung Hsi I Chieh Ho Tsa Chih 1995; 15, p. 707 ff.</w:t>
      </w:r>
    </w:p>
    <w:p>
      <w:pPr>
        <w:spacing w:after="0" w:line="276" w:lineRule="auto"/>
        <w:jc w:val="left"/>
        <w:rPr>
          <w:sz w:val="20"/>
        </w:rPr>
        <w:sectPr>
          <w:footerReference w:type="default" r:id="rId46"/>
          <w:pgSz w:w="14270" w:h="16850"/>
          <w:pgMar w:footer="527" w:header="0" w:top="1600" w:bottom="720" w:left="800" w:right="1280"/>
        </w:sectPr>
      </w:pPr>
    </w:p>
    <w:p>
      <w:pPr>
        <w:pStyle w:val="BodyText"/>
        <w:spacing w:line="276" w:lineRule="auto" w:before="181"/>
        <w:ind w:left="477" w:right="130"/>
        <w:jc w:val="both"/>
        <w:rPr>
          <w:sz w:val="25"/>
        </w:rPr>
      </w:pPr>
      <w:r>
        <w:rPr/>
        <w:t>Astragalosides IV, found in Astragalus membranaceus, have demonstrated</w:t>
      </w:r>
      <w:r>
        <w:rPr>
          <w:spacing w:val="-46"/>
        </w:rPr>
        <w:t> </w:t>
      </w:r>
      <w:r>
        <w:rPr/>
        <w:t>car- dioprotective</w:t>
      </w:r>
      <w:r>
        <w:rPr>
          <w:spacing w:val="-25"/>
        </w:rPr>
        <w:t> </w:t>
      </w:r>
      <w:r>
        <w:rPr/>
        <w:t>activity</w:t>
      </w:r>
      <w:r>
        <w:rPr>
          <w:spacing w:val="-24"/>
        </w:rPr>
        <w:t> </w:t>
      </w:r>
      <w:r>
        <w:rPr/>
        <w:t>in</w:t>
      </w:r>
      <w:r>
        <w:rPr>
          <w:spacing w:val="-23"/>
        </w:rPr>
        <w:t> </w:t>
      </w:r>
      <w:r>
        <w:rPr/>
        <w:t>myocardial</w:t>
      </w:r>
      <w:r>
        <w:rPr>
          <w:spacing w:val="-24"/>
        </w:rPr>
        <w:t> </w:t>
      </w:r>
      <w:r>
        <w:rPr/>
        <w:t>ischemia</w:t>
      </w:r>
      <w:r>
        <w:rPr>
          <w:spacing w:val="-25"/>
        </w:rPr>
        <w:t> </w:t>
      </w:r>
      <w:r>
        <w:rPr/>
        <w:t>both</w:t>
      </w:r>
      <w:r>
        <w:rPr>
          <w:spacing w:val="-25"/>
        </w:rPr>
        <w:t> </w:t>
      </w:r>
      <w:r>
        <w:rPr/>
        <w:t>in</w:t>
      </w:r>
      <w:r>
        <w:rPr>
          <w:spacing w:val="-23"/>
        </w:rPr>
        <w:t> </w:t>
      </w:r>
      <w:r>
        <w:rPr/>
        <w:t>vivo</w:t>
      </w:r>
      <w:r>
        <w:rPr>
          <w:spacing w:val="-24"/>
        </w:rPr>
        <w:t> </w:t>
      </w:r>
      <w:r>
        <w:rPr/>
        <w:t>and</w:t>
      </w:r>
      <w:r>
        <w:rPr>
          <w:spacing w:val="-24"/>
        </w:rPr>
        <w:t> </w:t>
      </w:r>
      <w:r>
        <w:rPr/>
        <w:t>in</w:t>
      </w:r>
      <w:r>
        <w:rPr>
          <w:spacing w:val="-24"/>
        </w:rPr>
        <w:t> </w:t>
      </w:r>
      <w:r>
        <w:rPr/>
        <w:t>vitro.</w:t>
      </w:r>
      <w:r>
        <w:rPr>
          <w:position w:val="9"/>
          <w:sz w:val="25"/>
        </w:rPr>
        <w:t>88</w:t>
      </w:r>
      <w:r>
        <w:rPr>
          <w:spacing w:val="39"/>
          <w:position w:val="9"/>
          <w:sz w:val="25"/>
        </w:rPr>
        <w:t> </w:t>
      </w:r>
      <w:r>
        <w:rPr/>
        <w:t>Astrag- alus helps combat viral heart inflammation (myocarditis). Administration of Astragalus to patients with viral myocarditis resulted in an increase in T3, T4 and T4/T8 cell</w:t>
      </w:r>
      <w:r>
        <w:rPr>
          <w:spacing w:val="2"/>
        </w:rPr>
        <w:t> </w:t>
      </w:r>
      <w:r>
        <w:rPr/>
        <w:t>counts.</w:t>
      </w:r>
      <w:r>
        <w:rPr>
          <w:position w:val="9"/>
          <w:sz w:val="25"/>
        </w:rPr>
        <w:t>89</w:t>
      </w:r>
    </w:p>
    <w:p>
      <w:pPr>
        <w:pStyle w:val="Heading1"/>
        <w:spacing w:before="223"/>
      </w:pPr>
      <w:r>
        <w:rPr/>
        <w:t>Effect of astragalus on cancer</w:t>
      </w:r>
    </w:p>
    <w:p>
      <w:pPr>
        <w:pStyle w:val="BodyText"/>
        <w:spacing w:line="276" w:lineRule="auto" w:before="299"/>
        <w:ind w:left="477" w:right="131"/>
        <w:jc w:val="both"/>
      </w:pPr>
      <w:r>
        <w:rPr/>
        <w:t>Astragalus has been used against cancer for millennia. Astragalus has shown excellent effects in studies with certain cancers in particular, such as small cell lung tumours, melanoma (skin cancer) and kidney cancer (see ‘Astragalus stud- ies’).</w:t>
      </w:r>
    </w:p>
    <w:p>
      <w:pPr>
        <w:pStyle w:val="Heading1"/>
        <w:spacing w:before="225"/>
      </w:pPr>
      <w:r>
        <w:rPr/>
        <w:t>Effect of astragalus in lung cancer</w:t>
      </w:r>
    </w:p>
    <w:p>
      <w:pPr>
        <w:pStyle w:val="BodyText"/>
        <w:spacing w:line="276" w:lineRule="auto" w:before="297"/>
        <w:ind w:left="477"/>
        <w:rPr>
          <w:sz w:val="25"/>
        </w:rPr>
      </w:pPr>
      <w:r>
        <w:rPr/>
        <w:t>Ten</w:t>
      </w:r>
      <w:r>
        <w:rPr>
          <w:spacing w:val="-10"/>
        </w:rPr>
        <w:t> </w:t>
      </w:r>
      <w:r>
        <w:rPr/>
        <w:t>out</w:t>
      </w:r>
      <w:r>
        <w:rPr>
          <w:spacing w:val="-10"/>
        </w:rPr>
        <w:t> </w:t>
      </w:r>
      <w:r>
        <w:rPr/>
        <w:t>of</w:t>
      </w:r>
      <w:r>
        <w:rPr>
          <w:spacing w:val="-9"/>
        </w:rPr>
        <w:t> </w:t>
      </w:r>
      <w:r>
        <w:rPr/>
        <w:t>12</w:t>
      </w:r>
      <w:r>
        <w:rPr>
          <w:spacing w:val="-12"/>
        </w:rPr>
        <w:t> </w:t>
      </w:r>
      <w:r>
        <w:rPr/>
        <w:t>patients</w:t>
      </w:r>
      <w:r>
        <w:rPr>
          <w:spacing w:val="-8"/>
        </w:rPr>
        <w:t> </w:t>
      </w:r>
      <w:r>
        <w:rPr/>
        <w:t>with</w:t>
      </w:r>
      <w:r>
        <w:rPr>
          <w:spacing w:val="-9"/>
        </w:rPr>
        <w:t> </w:t>
      </w:r>
      <w:r>
        <w:rPr/>
        <w:t>small</w:t>
      </w:r>
      <w:r>
        <w:rPr>
          <w:spacing w:val="-11"/>
        </w:rPr>
        <w:t> </w:t>
      </w:r>
      <w:r>
        <w:rPr/>
        <w:t>cell</w:t>
      </w:r>
      <w:r>
        <w:rPr>
          <w:spacing w:val="-10"/>
        </w:rPr>
        <w:t> </w:t>
      </w:r>
      <w:r>
        <w:rPr/>
        <w:t>lung</w:t>
      </w:r>
      <w:r>
        <w:rPr>
          <w:spacing w:val="-9"/>
        </w:rPr>
        <w:t> </w:t>
      </w:r>
      <w:r>
        <w:rPr/>
        <w:t>cancer</w:t>
      </w:r>
      <w:r>
        <w:rPr>
          <w:spacing w:val="-13"/>
        </w:rPr>
        <w:t> </w:t>
      </w:r>
      <w:r>
        <w:rPr/>
        <w:t>who</w:t>
      </w:r>
      <w:r>
        <w:rPr>
          <w:spacing w:val="-8"/>
        </w:rPr>
        <w:t> </w:t>
      </w:r>
      <w:r>
        <w:rPr/>
        <w:t>were</w:t>
      </w:r>
      <w:r>
        <w:rPr>
          <w:spacing w:val="-9"/>
        </w:rPr>
        <w:t> </w:t>
      </w:r>
      <w:r>
        <w:rPr/>
        <w:t>treated</w:t>
      </w:r>
      <w:r>
        <w:rPr>
          <w:spacing w:val="-10"/>
        </w:rPr>
        <w:t> </w:t>
      </w:r>
      <w:r>
        <w:rPr/>
        <w:t>with</w:t>
      </w:r>
      <w:r>
        <w:rPr>
          <w:spacing w:val="-9"/>
        </w:rPr>
        <w:t> </w:t>
      </w:r>
      <w:r>
        <w:rPr/>
        <w:t>astrag- alus achieved survival rates of 3-17</w:t>
      </w:r>
      <w:r>
        <w:rPr>
          <w:spacing w:val="-2"/>
        </w:rPr>
        <w:t> </w:t>
      </w:r>
      <w:r>
        <w:rPr/>
        <w:t>years.</w:t>
      </w:r>
      <w:r>
        <w:rPr>
          <w:position w:val="9"/>
          <w:sz w:val="25"/>
        </w:rPr>
        <w:t>90</w:t>
      </w:r>
    </w:p>
    <w:p>
      <w:pPr>
        <w:pStyle w:val="Heading1"/>
        <w:spacing w:before="223"/>
      </w:pPr>
      <w:r>
        <w:rPr/>
        <w:t>Astragalus in studies on kidney cancer and melanoma</w:t>
      </w:r>
    </w:p>
    <w:p>
      <w:pPr>
        <w:pStyle w:val="BodyText"/>
        <w:spacing w:line="276" w:lineRule="auto" w:before="300"/>
        <w:ind w:left="477"/>
        <w:rPr>
          <w:sz w:val="25"/>
        </w:rPr>
      </w:pPr>
      <w:r>
        <w:rPr/>
        <w:t>In vitro astragalus membranaceus has proved its antitumoural effects on mela- noma and kidney cancer.</w:t>
      </w:r>
      <w:r>
        <w:rPr>
          <w:position w:val="9"/>
          <w:sz w:val="25"/>
        </w:rPr>
        <w:t>91</w:t>
      </w:r>
    </w:p>
    <w:p>
      <w:pPr>
        <w:pStyle w:val="Heading1"/>
        <w:spacing w:before="223"/>
        <w:jc w:val="both"/>
      </w:pPr>
      <w:r>
        <w:rPr/>
        <w:t>Astragalus enhances the effects of chemotherapy and prolongs life</w:t>
      </w:r>
    </w:p>
    <w:p>
      <w:pPr>
        <w:pStyle w:val="BodyText"/>
        <w:rPr>
          <w:b/>
          <w:i/>
          <w:sz w:val="20"/>
        </w:rPr>
      </w:pPr>
    </w:p>
    <w:p>
      <w:pPr>
        <w:pStyle w:val="BodyText"/>
        <w:spacing w:before="2"/>
        <w:rPr>
          <w:b/>
          <w:i/>
          <w:sz w:val="21"/>
        </w:rPr>
      </w:pPr>
      <w:r>
        <w:rPr/>
        <w:pict>
          <v:line style="position:absolute;mso-position-horizontal-relative:page;mso-position-vertical-relative:paragraph;z-index:512;mso-wrap-distance-left:0;mso-wrap-distance-right:0" from="63.863998pt,14.263765pt" to="207.883998pt,14.263765pt" stroked="true" strokeweight=".71997pt" strokecolor="#000000">
            <v:stroke dashstyle="solid"/>
            <w10:wrap type="topAndBottom"/>
          </v:line>
        </w:pict>
      </w:r>
    </w:p>
    <w:p>
      <w:pPr>
        <w:pStyle w:val="BodyText"/>
        <w:spacing w:before="7"/>
        <w:rPr>
          <w:b/>
          <w:i/>
          <w:sz w:val="18"/>
        </w:rPr>
      </w:pPr>
    </w:p>
    <w:p>
      <w:pPr>
        <w:spacing w:before="99"/>
        <w:ind w:left="477" w:right="0" w:firstLine="0"/>
        <w:jc w:val="left"/>
        <w:rPr>
          <w:sz w:val="20"/>
        </w:rPr>
      </w:pPr>
      <w:r>
        <w:rPr>
          <w:position w:val="5"/>
          <w:sz w:val="13"/>
        </w:rPr>
        <w:t>88 </w:t>
      </w:r>
      <w:r>
        <w:rPr>
          <w:sz w:val="20"/>
        </w:rPr>
        <w:t>Planta Med. 2006 Jan; 72 (1), p. 4–8.</w:t>
      </w:r>
    </w:p>
    <w:p>
      <w:pPr>
        <w:spacing w:line="273" w:lineRule="auto" w:before="94"/>
        <w:ind w:left="477" w:right="0" w:firstLine="0"/>
        <w:jc w:val="left"/>
        <w:rPr>
          <w:sz w:val="20"/>
        </w:rPr>
      </w:pPr>
      <w:r>
        <w:rPr>
          <w:position w:val="5"/>
          <w:sz w:val="13"/>
        </w:rPr>
        <w:t>89 </w:t>
      </w:r>
      <w:r>
        <w:rPr>
          <w:sz w:val="20"/>
        </w:rPr>
        <w:t>Huang Z. Q. et al.: Effect of Astragalus membranaceus on T-lymphocyte subsets in patients with viral myocarditis. Chung Kuo Chung Hsi I Chieh Ho Tsa Chih 1995; 5, p. 328–330.</w:t>
      </w:r>
    </w:p>
    <w:p>
      <w:pPr>
        <w:spacing w:line="276" w:lineRule="auto" w:before="63"/>
        <w:ind w:left="477" w:right="244" w:firstLine="0"/>
        <w:jc w:val="left"/>
        <w:rPr>
          <w:sz w:val="20"/>
        </w:rPr>
      </w:pPr>
      <w:r>
        <w:rPr>
          <w:position w:val="5"/>
          <w:sz w:val="13"/>
        </w:rPr>
        <w:t>90 </w:t>
      </w:r>
      <w:r>
        <w:rPr>
          <w:sz w:val="20"/>
        </w:rPr>
        <w:t>Cha R. J. et al.: Non-surgical treatment of small cell lung cancer with chemoradio-immunotherapy and traditional Chinese medicine. Chung Hua Nei Ko Tsa Chih 1994; 33, p. 462–466.</w:t>
      </w:r>
    </w:p>
    <w:p>
      <w:pPr>
        <w:spacing w:line="276" w:lineRule="auto" w:before="61"/>
        <w:ind w:left="477" w:right="244" w:firstLine="0"/>
        <w:jc w:val="left"/>
        <w:rPr>
          <w:sz w:val="20"/>
        </w:rPr>
      </w:pPr>
      <w:r>
        <w:rPr/>
        <w:drawing>
          <wp:anchor distT="0" distB="0" distL="0" distR="0" allowOverlap="1" layoutInCell="1" locked="0" behindDoc="1" simplePos="0" relativeHeight="267168311">
            <wp:simplePos x="0" y="0"/>
            <wp:positionH relativeFrom="page">
              <wp:posOffset>896463</wp:posOffset>
            </wp:positionH>
            <wp:positionV relativeFrom="paragraph">
              <wp:posOffset>82907</wp:posOffset>
            </wp:positionV>
            <wp:extent cx="6379583" cy="902106"/>
            <wp:effectExtent l="0" t="0" r="0" b="0"/>
            <wp:wrapNone/>
            <wp:docPr id="59" name="image2.jpeg" descr=""/>
            <wp:cNvGraphicFramePr>
              <a:graphicFrameLocks noChangeAspect="1"/>
            </wp:cNvGraphicFramePr>
            <a:graphic>
              <a:graphicData uri="http://schemas.openxmlformats.org/drawingml/2006/picture">
                <pic:pic>
                  <pic:nvPicPr>
                    <pic:cNvPr id="60"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91 </w:t>
      </w:r>
      <w:r>
        <w:rPr>
          <w:sz w:val="20"/>
        </w:rPr>
        <w:t>Wang Y. et al.: Phytochemicals potentiate interleukin-2 generated lymphokine-activated killer cell cytotoxicity against murine renal cell carcinoma. Mol Biother 1992; 4, p. 43–146.</w:t>
      </w:r>
    </w:p>
    <w:p>
      <w:pPr>
        <w:spacing w:after="0" w:line="276" w:lineRule="auto"/>
        <w:jc w:val="left"/>
        <w:rPr>
          <w:sz w:val="20"/>
        </w:rPr>
        <w:sectPr>
          <w:footerReference w:type="default" r:id="rId47"/>
          <w:pgSz w:w="14270" w:h="16850"/>
          <w:pgMar w:footer="527" w:header="0" w:top="1600" w:bottom="720" w:left="800" w:right="1280"/>
          <w:pgNumType w:start="211"/>
        </w:sectPr>
      </w:pPr>
    </w:p>
    <w:p>
      <w:pPr>
        <w:pStyle w:val="BodyText"/>
        <w:spacing w:line="276" w:lineRule="auto" w:before="181"/>
        <w:ind w:left="477" w:right="130"/>
        <w:jc w:val="both"/>
        <w:rPr>
          <w:sz w:val="25"/>
        </w:rPr>
      </w:pPr>
      <w:r>
        <w:rPr/>
        <w:t>In studies, astragalus has been shown to enhance the effects of chemotherapy and prevent relapses. In addition, lifespan was significantly increased and the toxic side effects of the chemotherapeutic agents were reduced.</w:t>
      </w:r>
      <w:r>
        <w:rPr>
          <w:position w:val="9"/>
          <w:sz w:val="25"/>
        </w:rPr>
        <w:t>92</w:t>
      </w:r>
    </w:p>
    <w:p>
      <w:pPr>
        <w:pStyle w:val="BodyText"/>
        <w:rPr>
          <w:sz w:val="42"/>
        </w:rPr>
      </w:pPr>
    </w:p>
    <w:p>
      <w:pPr>
        <w:pStyle w:val="BodyText"/>
        <w:rPr>
          <w:sz w:val="43"/>
        </w:rPr>
      </w:pPr>
    </w:p>
    <w:p>
      <w:pPr>
        <w:pStyle w:val="Heading1"/>
        <w:spacing w:before="0"/>
      </w:pPr>
      <w:r>
        <w:rPr/>
        <w:t>Effect on sperm activity, male</w:t>
      </w:r>
      <w:r>
        <w:rPr>
          <w:spacing w:val="-55"/>
        </w:rPr>
        <w:t> </w:t>
      </w:r>
      <w:r>
        <w:rPr/>
        <w:t>infertility</w:t>
      </w:r>
    </w:p>
    <w:p>
      <w:pPr>
        <w:pStyle w:val="BodyText"/>
        <w:spacing w:line="276" w:lineRule="auto" w:before="297"/>
        <w:ind w:left="477" w:right="131"/>
        <w:jc w:val="both"/>
      </w:pPr>
      <w:r>
        <w:rPr/>
        <w:t>In</w:t>
      </w:r>
      <w:r>
        <w:rPr>
          <w:spacing w:val="-27"/>
        </w:rPr>
        <w:t> </w:t>
      </w:r>
      <w:r>
        <w:rPr/>
        <w:t>studies,</w:t>
      </w:r>
      <w:r>
        <w:rPr>
          <w:spacing w:val="-25"/>
        </w:rPr>
        <w:t> </w:t>
      </w:r>
      <w:r>
        <w:rPr/>
        <w:t>astragalus</w:t>
      </w:r>
      <w:r>
        <w:rPr>
          <w:spacing w:val="-25"/>
        </w:rPr>
        <w:t> </w:t>
      </w:r>
      <w:r>
        <w:rPr/>
        <w:t>increased</w:t>
      </w:r>
      <w:r>
        <w:rPr>
          <w:spacing w:val="-25"/>
        </w:rPr>
        <w:t> </w:t>
      </w:r>
      <w:r>
        <w:rPr/>
        <w:t>sperm</w:t>
      </w:r>
      <w:r>
        <w:rPr>
          <w:spacing w:val="-26"/>
        </w:rPr>
        <w:t> </w:t>
      </w:r>
      <w:r>
        <w:rPr/>
        <w:t>activity</w:t>
      </w:r>
      <w:r>
        <w:rPr>
          <w:spacing w:val="-26"/>
        </w:rPr>
        <w:t> </w:t>
      </w:r>
      <w:r>
        <w:rPr/>
        <w:t>by</w:t>
      </w:r>
      <w:r>
        <w:rPr>
          <w:spacing w:val="-26"/>
        </w:rPr>
        <w:t> </w:t>
      </w:r>
      <w:r>
        <w:rPr/>
        <w:t>146</w:t>
      </w:r>
      <w:r>
        <w:rPr>
          <w:spacing w:val="-27"/>
        </w:rPr>
        <w:t> </w:t>
      </w:r>
      <w:r>
        <w:rPr/>
        <w:t>%,</w:t>
      </w:r>
      <w:r>
        <w:rPr>
          <w:spacing w:val="-25"/>
        </w:rPr>
        <w:t> </w:t>
      </w:r>
      <w:r>
        <w:rPr/>
        <w:t>while</w:t>
      </w:r>
      <w:r>
        <w:rPr>
          <w:spacing w:val="-26"/>
        </w:rPr>
        <w:t> </w:t>
      </w:r>
      <w:r>
        <w:rPr/>
        <w:t>the</w:t>
      </w:r>
      <w:r>
        <w:rPr>
          <w:spacing w:val="-25"/>
        </w:rPr>
        <w:t> </w:t>
      </w:r>
      <w:r>
        <w:rPr/>
        <w:t>other</w:t>
      </w:r>
      <w:r>
        <w:rPr>
          <w:spacing w:val="-25"/>
        </w:rPr>
        <w:t> </w:t>
      </w:r>
      <w:r>
        <w:rPr/>
        <w:t>17</w:t>
      </w:r>
      <w:r>
        <w:rPr>
          <w:spacing w:val="-27"/>
        </w:rPr>
        <w:t> </w:t>
      </w:r>
      <w:r>
        <w:rPr/>
        <w:t>herbs tested failed to do so. Astragalus is thus ideally suited for increasing fertility in men with an existing desire to have children.</w:t>
      </w:r>
    </w:p>
    <w:p>
      <w:pPr>
        <w:pStyle w:val="Heading1"/>
      </w:pPr>
      <w:r>
        <w:rPr/>
        <w:t>Effect on allergies</w:t>
      </w:r>
    </w:p>
    <w:p>
      <w:pPr>
        <w:pStyle w:val="BodyText"/>
        <w:spacing w:line="276" w:lineRule="auto" w:before="300"/>
        <w:ind w:left="477" w:right="136"/>
        <w:jc w:val="both"/>
      </w:pPr>
      <w:r>
        <w:rPr/>
        <w:t>In</w:t>
      </w:r>
      <w:r>
        <w:rPr>
          <w:spacing w:val="-13"/>
        </w:rPr>
        <w:t> </w:t>
      </w:r>
      <w:r>
        <w:rPr/>
        <w:t>numerous</w:t>
      </w:r>
      <w:r>
        <w:rPr>
          <w:spacing w:val="-12"/>
        </w:rPr>
        <w:t> </w:t>
      </w:r>
      <w:r>
        <w:rPr/>
        <w:t>studies,</w:t>
      </w:r>
      <w:r>
        <w:rPr>
          <w:spacing w:val="-12"/>
        </w:rPr>
        <w:t> </w:t>
      </w:r>
      <w:r>
        <w:rPr/>
        <w:t>astragalus</w:t>
      </w:r>
      <w:r>
        <w:rPr>
          <w:spacing w:val="-13"/>
        </w:rPr>
        <w:t> </w:t>
      </w:r>
      <w:r>
        <w:rPr/>
        <w:t>has</w:t>
      </w:r>
      <w:r>
        <w:rPr>
          <w:spacing w:val="-12"/>
        </w:rPr>
        <w:t> </w:t>
      </w:r>
      <w:r>
        <w:rPr/>
        <w:t>demonstrated</w:t>
      </w:r>
      <w:r>
        <w:rPr>
          <w:spacing w:val="-13"/>
        </w:rPr>
        <w:t> </w:t>
      </w:r>
      <w:r>
        <w:rPr/>
        <w:t>a</w:t>
      </w:r>
      <w:r>
        <w:rPr>
          <w:spacing w:val="-15"/>
        </w:rPr>
        <w:t> </w:t>
      </w:r>
      <w:r>
        <w:rPr/>
        <w:t>regulatory</w:t>
      </w:r>
      <w:r>
        <w:rPr>
          <w:spacing w:val="-12"/>
        </w:rPr>
        <w:t> </w:t>
      </w:r>
      <w:r>
        <w:rPr/>
        <w:t>effect</w:t>
      </w:r>
      <w:r>
        <w:rPr>
          <w:spacing w:val="-13"/>
        </w:rPr>
        <w:t> </w:t>
      </w:r>
      <w:r>
        <w:rPr/>
        <w:t>on</w:t>
      </w:r>
      <w:r>
        <w:rPr>
          <w:spacing w:val="-12"/>
        </w:rPr>
        <w:t> </w:t>
      </w:r>
      <w:r>
        <w:rPr/>
        <w:t>the</w:t>
      </w:r>
      <w:r>
        <w:rPr>
          <w:spacing w:val="-13"/>
        </w:rPr>
        <w:t> </w:t>
      </w:r>
      <w:r>
        <w:rPr/>
        <w:t>im- mune system, which is of paramount importance in allergic</w:t>
      </w:r>
      <w:r>
        <w:rPr>
          <w:spacing w:val="-9"/>
        </w:rPr>
        <w:t> </w:t>
      </w:r>
      <w:r>
        <w:rPr/>
        <w:t>diseases.</w:t>
      </w:r>
    </w:p>
    <w:p>
      <w:pPr>
        <w:pStyle w:val="BodyText"/>
        <w:spacing w:line="276" w:lineRule="auto" w:before="238"/>
        <w:ind w:left="477" w:right="130"/>
        <w:jc w:val="both"/>
      </w:pPr>
      <w:r>
        <w:rPr/>
        <w:t>Astragalus</w:t>
      </w:r>
      <w:r>
        <w:rPr>
          <w:spacing w:val="-7"/>
        </w:rPr>
        <w:t> </w:t>
      </w:r>
      <w:r>
        <w:rPr/>
        <w:t>is</w:t>
      </w:r>
      <w:r>
        <w:rPr>
          <w:spacing w:val="-7"/>
        </w:rPr>
        <w:t> </w:t>
      </w:r>
      <w:r>
        <w:rPr/>
        <w:t>used</w:t>
      </w:r>
      <w:r>
        <w:rPr>
          <w:spacing w:val="-7"/>
        </w:rPr>
        <w:t> </w:t>
      </w:r>
      <w:r>
        <w:rPr/>
        <w:t>as</w:t>
      </w:r>
      <w:r>
        <w:rPr>
          <w:spacing w:val="-7"/>
        </w:rPr>
        <w:t> </w:t>
      </w:r>
      <w:r>
        <w:rPr/>
        <w:t>a</w:t>
      </w:r>
      <w:r>
        <w:rPr>
          <w:spacing w:val="-8"/>
        </w:rPr>
        <w:t> </w:t>
      </w:r>
      <w:r>
        <w:rPr/>
        <w:t>tragacanth</w:t>
      </w:r>
      <w:r>
        <w:rPr>
          <w:spacing w:val="-6"/>
        </w:rPr>
        <w:t> </w:t>
      </w:r>
      <w:r>
        <w:rPr/>
        <w:t>extract</w:t>
      </w:r>
      <w:r>
        <w:rPr>
          <w:spacing w:val="-8"/>
        </w:rPr>
        <w:t> </w:t>
      </w:r>
      <w:r>
        <w:rPr/>
        <w:t>to</w:t>
      </w:r>
      <w:r>
        <w:rPr>
          <w:spacing w:val="-6"/>
        </w:rPr>
        <w:t> </w:t>
      </w:r>
      <w:r>
        <w:rPr/>
        <w:t>treat</w:t>
      </w:r>
      <w:r>
        <w:rPr>
          <w:spacing w:val="-7"/>
        </w:rPr>
        <w:t> </w:t>
      </w:r>
      <w:r>
        <w:rPr/>
        <w:t>allergies,</w:t>
      </w:r>
      <w:r>
        <w:rPr>
          <w:spacing w:val="-6"/>
        </w:rPr>
        <w:t> </w:t>
      </w:r>
      <w:r>
        <w:rPr/>
        <w:t>and</w:t>
      </w:r>
      <w:r>
        <w:rPr>
          <w:spacing w:val="-7"/>
        </w:rPr>
        <w:t> </w:t>
      </w:r>
      <w:r>
        <w:rPr/>
        <w:t>here</w:t>
      </w:r>
      <w:r>
        <w:rPr>
          <w:spacing w:val="-8"/>
        </w:rPr>
        <w:t> </w:t>
      </w:r>
      <w:r>
        <w:rPr/>
        <w:t>it</w:t>
      </w:r>
      <w:r>
        <w:rPr>
          <w:spacing w:val="-8"/>
        </w:rPr>
        <w:t> </w:t>
      </w:r>
      <w:r>
        <w:rPr/>
        <w:t>promotes the</w:t>
      </w:r>
      <w:r>
        <w:rPr>
          <w:spacing w:val="-7"/>
        </w:rPr>
        <w:t> </w:t>
      </w:r>
      <w:r>
        <w:rPr/>
        <w:t>synthesis</w:t>
      </w:r>
      <w:r>
        <w:rPr>
          <w:spacing w:val="-6"/>
        </w:rPr>
        <w:t> </w:t>
      </w:r>
      <w:r>
        <w:rPr/>
        <w:t>of</w:t>
      </w:r>
      <w:r>
        <w:rPr>
          <w:spacing w:val="-12"/>
        </w:rPr>
        <w:t> </w:t>
      </w:r>
      <w:r>
        <w:rPr/>
        <w:t>IgG</w:t>
      </w:r>
      <w:r>
        <w:rPr>
          <w:spacing w:val="-6"/>
        </w:rPr>
        <w:t> </w:t>
      </w:r>
      <w:r>
        <w:rPr/>
        <w:t>antibodies</w:t>
      </w:r>
      <w:r>
        <w:rPr>
          <w:spacing w:val="-8"/>
        </w:rPr>
        <w:t> </w:t>
      </w:r>
      <w:r>
        <w:rPr/>
        <w:t>and</w:t>
      </w:r>
      <w:r>
        <w:rPr>
          <w:spacing w:val="-7"/>
        </w:rPr>
        <w:t> </w:t>
      </w:r>
      <w:r>
        <w:rPr/>
        <w:t>thus</w:t>
      </w:r>
      <w:r>
        <w:rPr>
          <w:spacing w:val="-7"/>
        </w:rPr>
        <w:t> </w:t>
      </w:r>
      <w:r>
        <w:rPr/>
        <w:t>contributes</w:t>
      </w:r>
      <w:r>
        <w:rPr>
          <w:spacing w:val="-6"/>
        </w:rPr>
        <w:t> </w:t>
      </w:r>
      <w:r>
        <w:rPr/>
        <w:t>to</w:t>
      </w:r>
      <w:r>
        <w:rPr>
          <w:spacing w:val="-10"/>
        </w:rPr>
        <w:t> </w:t>
      </w:r>
      <w:r>
        <w:rPr/>
        <w:t>the</w:t>
      </w:r>
      <w:r>
        <w:rPr>
          <w:spacing w:val="-6"/>
        </w:rPr>
        <w:t> </w:t>
      </w:r>
      <w:r>
        <w:rPr/>
        <w:t>elimination</w:t>
      </w:r>
      <w:r>
        <w:rPr>
          <w:spacing w:val="-8"/>
        </w:rPr>
        <w:t> </w:t>
      </w:r>
      <w:r>
        <w:rPr/>
        <w:t>of</w:t>
      </w:r>
      <w:r>
        <w:rPr>
          <w:spacing w:val="-7"/>
        </w:rPr>
        <w:t> </w:t>
      </w:r>
      <w:r>
        <w:rPr/>
        <w:t>aller- gens.</w:t>
      </w:r>
      <w:r>
        <w:rPr>
          <w:spacing w:val="-8"/>
        </w:rPr>
        <w:t> </w:t>
      </w:r>
      <w:r>
        <w:rPr/>
        <w:t>The</w:t>
      </w:r>
      <w:r>
        <w:rPr>
          <w:spacing w:val="-5"/>
        </w:rPr>
        <w:t> </w:t>
      </w:r>
      <w:r>
        <w:rPr/>
        <w:t>expression</w:t>
      </w:r>
      <w:r>
        <w:rPr>
          <w:spacing w:val="-8"/>
        </w:rPr>
        <w:t> </w:t>
      </w:r>
      <w:r>
        <w:rPr/>
        <w:t>of</w:t>
      </w:r>
      <w:r>
        <w:rPr>
          <w:spacing w:val="-6"/>
        </w:rPr>
        <w:t> </w:t>
      </w:r>
      <w:r>
        <w:rPr/>
        <w:t>T-bet</w:t>
      </w:r>
      <w:r>
        <w:rPr>
          <w:spacing w:val="-7"/>
        </w:rPr>
        <w:t> </w:t>
      </w:r>
      <w:r>
        <w:rPr/>
        <w:t>mRNA</w:t>
      </w:r>
      <w:r>
        <w:rPr>
          <w:spacing w:val="-5"/>
        </w:rPr>
        <w:t> </w:t>
      </w:r>
      <w:r>
        <w:rPr/>
        <w:t>and</w:t>
      </w:r>
      <w:r>
        <w:rPr>
          <w:spacing w:val="-6"/>
        </w:rPr>
        <w:t> </w:t>
      </w:r>
      <w:r>
        <w:rPr/>
        <w:t>T</w:t>
      </w:r>
      <w:r>
        <w:rPr>
          <w:spacing w:val="-9"/>
        </w:rPr>
        <w:t> </w:t>
      </w:r>
      <w:r>
        <w:rPr/>
        <w:t>helper</w:t>
      </w:r>
      <w:r>
        <w:rPr>
          <w:spacing w:val="-6"/>
        </w:rPr>
        <w:t> </w:t>
      </w:r>
      <w:r>
        <w:rPr/>
        <w:t>1</w:t>
      </w:r>
      <w:r>
        <w:rPr>
          <w:spacing w:val="-9"/>
        </w:rPr>
        <w:t> </w:t>
      </w:r>
      <w:r>
        <w:rPr/>
        <w:t>cytokines,</w:t>
      </w:r>
      <w:r>
        <w:rPr>
          <w:spacing w:val="-10"/>
        </w:rPr>
        <w:t> </w:t>
      </w:r>
      <w:r>
        <w:rPr/>
        <w:t>such</w:t>
      </w:r>
      <w:r>
        <w:rPr>
          <w:spacing w:val="-5"/>
        </w:rPr>
        <w:t> </w:t>
      </w:r>
      <w:r>
        <w:rPr/>
        <w:t>as</w:t>
      </w:r>
      <w:r>
        <w:rPr>
          <w:spacing w:val="-7"/>
        </w:rPr>
        <w:t> </w:t>
      </w:r>
      <w:r>
        <w:rPr/>
        <w:t>IFN-γ, is promoted, the activity of genes involved in the inflammation process during an</w:t>
      </w:r>
      <w:r>
        <w:rPr>
          <w:spacing w:val="-5"/>
        </w:rPr>
        <w:t> </w:t>
      </w:r>
      <w:r>
        <w:rPr/>
        <w:t>allergic</w:t>
      </w:r>
      <w:r>
        <w:rPr>
          <w:spacing w:val="-6"/>
        </w:rPr>
        <w:t> </w:t>
      </w:r>
      <w:r>
        <w:rPr/>
        <w:t>reaction</w:t>
      </w:r>
      <w:r>
        <w:rPr>
          <w:spacing w:val="-5"/>
        </w:rPr>
        <w:t> </w:t>
      </w:r>
      <w:r>
        <w:rPr/>
        <w:t>is</w:t>
      </w:r>
      <w:r>
        <w:rPr>
          <w:spacing w:val="-8"/>
        </w:rPr>
        <w:t> </w:t>
      </w:r>
      <w:r>
        <w:rPr/>
        <w:t>regulated,</w:t>
      </w:r>
      <w:r>
        <w:rPr>
          <w:spacing w:val="-7"/>
        </w:rPr>
        <w:t> </w:t>
      </w:r>
      <w:r>
        <w:rPr/>
        <w:t>and</w:t>
      </w:r>
      <w:r>
        <w:rPr>
          <w:spacing w:val="-5"/>
        </w:rPr>
        <w:t> </w:t>
      </w:r>
      <w:r>
        <w:rPr/>
        <w:t>the</w:t>
      </w:r>
      <w:r>
        <w:rPr>
          <w:spacing w:val="-4"/>
        </w:rPr>
        <w:t> </w:t>
      </w:r>
      <w:r>
        <w:rPr/>
        <w:t>release</w:t>
      </w:r>
      <w:r>
        <w:rPr>
          <w:spacing w:val="-7"/>
        </w:rPr>
        <w:t> </w:t>
      </w:r>
      <w:r>
        <w:rPr/>
        <w:t>of</w:t>
      </w:r>
      <w:r>
        <w:rPr>
          <w:spacing w:val="-6"/>
        </w:rPr>
        <w:t> </w:t>
      </w:r>
      <w:r>
        <w:rPr/>
        <w:t>histamine</w:t>
      </w:r>
      <w:r>
        <w:rPr>
          <w:spacing w:val="-4"/>
        </w:rPr>
        <w:t> </w:t>
      </w:r>
      <w:r>
        <w:rPr/>
        <w:t>is</w:t>
      </w:r>
      <w:r>
        <w:rPr>
          <w:spacing w:val="-8"/>
        </w:rPr>
        <w:t> </w:t>
      </w:r>
      <w:r>
        <w:rPr/>
        <w:t>inhibited,</w:t>
      </w:r>
      <w:r>
        <w:rPr>
          <w:spacing w:val="-5"/>
        </w:rPr>
        <w:t> </w:t>
      </w:r>
      <w:r>
        <w:rPr/>
        <w:t>result- ing</w:t>
      </w:r>
      <w:r>
        <w:rPr>
          <w:spacing w:val="-15"/>
        </w:rPr>
        <w:t> </w:t>
      </w:r>
      <w:r>
        <w:rPr/>
        <w:t>in</w:t>
      </w:r>
      <w:r>
        <w:rPr>
          <w:spacing w:val="-15"/>
        </w:rPr>
        <w:t> </w:t>
      </w:r>
      <w:r>
        <w:rPr/>
        <w:t>the</w:t>
      </w:r>
      <w:r>
        <w:rPr>
          <w:spacing w:val="-14"/>
        </w:rPr>
        <w:t> </w:t>
      </w:r>
      <w:r>
        <w:rPr/>
        <w:t>prevention</w:t>
      </w:r>
      <w:r>
        <w:rPr>
          <w:spacing w:val="-13"/>
        </w:rPr>
        <w:t> </w:t>
      </w:r>
      <w:r>
        <w:rPr/>
        <w:t>of</w:t>
      </w:r>
      <w:r>
        <w:rPr>
          <w:spacing w:val="-15"/>
        </w:rPr>
        <w:t> </w:t>
      </w:r>
      <w:r>
        <w:rPr/>
        <w:t>allergy</w:t>
      </w:r>
      <w:r>
        <w:rPr>
          <w:spacing w:val="-14"/>
        </w:rPr>
        <w:t> </w:t>
      </w:r>
      <w:r>
        <w:rPr/>
        <w:t>symptoms.</w:t>
      </w:r>
      <w:r>
        <w:rPr>
          <w:spacing w:val="-14"/>
        </w:rPr>
        <w:t> </w:t>
      </w:r>
      <w:r>
        <w:rPr/>
        <w:t>Astragalus</w:t>
      </w:r>
      <w:r>
        <w:rPr>
          <w:spacing w:val="-13"/>
        </w:rPr>
        <w:t> </w:t>
      </w:r>
      <w:r>
        <w:rPr/>
        <w:t>has</w:t>
      </w:r>
      <w:r>
        <w:rPr>
          <w:spacing w:val="-14"/>
        </w:rPr>
        <w:t> </w:t>
      </w:r>
      <w:r>
        <w:rPr/>
        <w:t>proven</w:t>
      </w:r>
      <w:r>
        <w:rPr>
          <w:spacing w:val="-14"/>
        </w:rPr>
        <w:t> </w:t>
      </w:r>
      <w:r>
        <w:rPr/>
        <w:t>its</w:t>
      </w:r>
      <w:r>
        <w:rPr>
          <w:spacing w:val="-15"/>
        </w:rPr>
        <w:t> </w:t>
      </w:r>
      <w:r>
        <w:rPr/>
        <w:t>worth</w:t>
      </w:r>
      <w:r>
        <w:rPr>
          <w:spacing w:val="-13"/>
        </w:rPr>
        <w:t> </w:t>
      </w:r>
      <w:r>
        <w:rPr/>
        <w:t>here against pollen, house dust mite and animal hair</w:t>
      </w:r>
      <w:r>
        <w:rPr>
          <w:spacing w:val="-5"/>
        </w:rPr>
        <w:t> </w:t>
      </w:r>
      <w:r>
        <w:rPr/>
        <w:t>allergies.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5"/>
        </w:rPr>
      </w:pPr>
      <w:r>
        <w:rPr/>
        <w:pict>
          <v:line style="position:absolute;mso-position-horizontal-relative:page;mso-position-vertical-relative:paragraph;z-index:560;mso-wrap-distance-left:0;mso-wrap-distance-right:0" from="63.863998pt,10.808735pt" to="207.883998pt,10.808735pt" stroked="true" strokeweight=".72003pt" strokecolor="#000000">
            <v:stroke dashstyle="solid"/>
            <w10:wrap type="topAndBottom"/>
          </v:line>
        </w:pict>
      </w:r>
    </w:p>
    <w:p>
      <w:pPr>
        <w:pStyle w:val="BodyText"/>
        <w:spacing w:before="7"/>
        <w:rPr>
          <w:sz w:val="18"/>
        </w:rPr>
      </w:pPr>
    </w:p>
    <w:p>
      <w:pPr>
        <w:spacing w:line="276" w:lineRule="auto" w:before="99"/>
        <w:ind w:left="477" w:right="0" w:firstLine="0"/>
        <w:jc w:val="left"/>
        <w:rPr>
          <w:sz w:val="20"/>
        </w:rPr>
      </w:pPr>
      <w:r>
        <w:rPr>
          <w:position w:val="5"/>
          <w:sz w:val="13"/>
        </w:rPr>
        <w:t>92 </w:t>
      </w:r>
      <w:r>
        <w:rPr>
          <w:sz w:val="20"/>
        </w:rPr>
        <w:t>Zee-Cheng RK. Shi-quan-da-bu-tang (ten significant tonic decoction), SQT. A potent Chinese biological response modifier in cancer immunother- apy, potentiation and detoxification of anticancer drugs. Methods Find Exp Clin Pharmacol.</w:t>
      </w:r>
    </w:p>
    <w:p>
      <w:pPr>
        <w:spacing w:after="0" w:line="276" w:lineRule="auto"/>
        <w:jc w:val="left"/>
        <w:rPr>
          <w:sz w:val="20"/>
        </w:rPr>
        <w:sectPr>
          <w:footerReference w:type="default" r:id="rId48"/>
          <w:pgSz w:w="14270" w:h="16850"/>
          <w:pgMar w:footer="1891" w:header="0" w:top="1600" w:bottom="2080" w:left="800" w:right="1280"/>
          <w:pgNumType w:start="212"/>
        </w:sectPr>
      </w:pPr>
    </w:p>
    <w:p>
      <w:pPr>
        <w:pStyle w:val="Heading1"/>
        <w:spacing w:before="164"/>
      </w:pPr>
      <w:r>
        <w:rPr/>
        <w:t>Effect on asthma</w:t>
      </w:r>
    </w:p>
    <w:p>
      <w:pPr>
        <w:pStyle w:val="BodyText"/>
        <w:spacing w:line="276" w:lineRule="auto" w:before="299"/>
        <w:ind w:left="477"/>
      </w:pPr>
      <w:r>
        <w:rPr/>
        <w:t>Studies have shown that astragalus counteracts airway inflammation in chronic asthma.</w:t>
      </w:r>
    </w:p>
    <w:p>
      <w:pPr>
        <w:pStyle w:val="Heading1"/>
      </w:pPr>
      <w:r>
        <w:rPr/>
        <w:t>Effect of astragalus on Parkinson’s</w:t>
      </w:r>
    </w:p>
    <w:p>
      <w:pPr>
        <w:pStyle w:val="BodyText"/>
        <w:spacing w:line="276" w:lineRule="auto" w:before="299"/>
        <w:ind w:left="477"/>
      </w:pPr>
      <w:r>
        <w:rPr/>
        <w:t>Astragalus protects the dopaminergic neurons and also, in this way, helps com- bat Parkinson’s.</w:t>
      </w:r>
    </w:p>
    <w:p>
      <w:pPr>
        <w:pStyle w:val="Heading1"/>
        <w:spacing w:before="222"/>
      </w:pPr>
      <w:r>
        <w:rPr/>
        <w:t>Effect on diabetes and its long-term consequences</w:t>
      </w:r>
    </w:p>
    <w:p>
      <w:pPr>
        <w:pStyle w:val="BodyText"/>
        <w:spacing w:line="276" w:lineRule="auto" w:before="299"/>
        <w:ind w:left="477"/>
      </w:pPr>
      <w:r>
        <w:rPr/>
        <w:t>Astragalus counteracts the formation of advanced glycaemic end products (AGEs) which cause neuropathic complications in diabetes.</w:t>
      </w:r>
    </w:p>
    <w:p>
      <w:pPr>
        <w:pStyle w:val="BodyText"/>
        <w:rPr>
          <w:sz w:val="42"/>
        </w:rPr>
      </w:pPr>
    </w:p>
    <w:p>
      <w:pPr>
        <w:pStyle w:val="BodyText"/>
        <w:spacing w:before="6"/>
        <w:rPr>
          <w:sz w:val="44"/>
        </w:rPr>
      </w:pPr>
    </w:p>
    <w:p>
      <w:pPr>
        <w:pStyle w:val="Heading2"/>
      </w:pPr>
      <w:r>
        <w:rPr/>
        <w:t>Rejuvenation with astragalus</w:t>
      </w:r>
    </w:p>
    <w:p>
      <w:pPr>
        <w:spacing w:before="285"/>
        <w:ind w:left="477" w:right="0" w:firstLine="0"/>
        <w:jc w:val="left"/>
        <w:rPr>
          <w:b/>
          <w:i/>
          <w:sz w:val="40"/>
        </w:rPr>
      </w:pPr>
      <w:r>
        <w:rPr>
          <w:b/>
          <w:i/>
          <w:sz w:val="40"/>
        </w:rPr>
        <w:t>Astragalus</w:t>
      </w:r>
      <w:r>
        <w:rPr>
          <w:b/>
          <w:i/>
          <w:spacing w:val="-55"/>
          <w:sz w:val="40"/>
        </w:rPr>
        <w:t> </w:t>
      </w:r>
      <w:r>
        <w:rPr>
          <w:b/>
          <w:i/>
          <w:sz w:val="40"/>
        </w:rPr>
        <w:t>takes</w:t>
      </w:r>
      <w:r>
        <w:rPr>
          <w:b/>
          <w:i/>
          <w:spacing w:val="-53"/>
          <w:sz w:val="40"/>
        </w:rPr>
        <w:t> </w:t>
      </w:r>
      <w:r>
        <w:rPr>
          <w:b/>
          <w:i/>
          <w:sz w:val="40"/>
        </w:rPr>
        <w:t>on</w:t>
      </w:r>
      <w:r>
        <w:rPr>
          <w:b/>
          <w:i/>
          <w:spacing w:val="-55"/>
          <w:sz w:val="40"/>
        </w:rPr>
        <w:t> </w:t>
      </w:r>
      <w:r>
        <w:rPr>
          <w:b/>
          <w:i/>
          <w:sz w:val="40"/>
        </w:rPr>
        <w:t>the</w:t>
      </w:r>
      <w:r>
        <w:rPr>
          <w:b/>
          <w:i/>
          <w:spacing w:val="-55"/>
          <w:sz w:val="40"/>
        </w:rPr>
        <w:t> </w:t>
      </w:r>
      <w:r>
        <w:rPr>
          <w:b/>
          <w:i/>
          <w:sz w:val="40"/>
        </w:rPr>
        <w:t>challenge</w:t>
      </w:r>
      <w:r>
        <w:rPr>
          <w:b/>
          <w:i/>
          <w:spacing w:val="-54"/>
          <w:sz w:val="40"/>
        </w:rPr>
        <w:t> </w:t>
      </w:r>
      <w:r>
        <w:rPr>
          <w:b/>
          <w:i/>
          <w:sz w:val="40"/>
        </w:rPr>
        <w:t>of</w:t>
      </w:r>
      <w:r>
        <w:rPr>
          <w:b/>
          <w:i/>
          <w:spacing w:val="-55"/>
          <w:sz w:val="40"/>
        </w:rPr>
        <w:t> </w:t>
      </w:r>
      <w:r>
        <w:rPr>
          <w:b/>
          <w:i/>
          <w:sz w:val="40"/>
        </w:rPr>
        <w:t>rejuvenation</w:t>
      </w:r>
      <w:r>
        <w:rPr>
          <w:b/>
          <w:i/>
          <w:spacing w:val="-54"/>
          <w:sz w:val="40"/>
        </w:rPr>
        <w:t> </w:t>
      </w:r>
      <w:r>
        <w:rPr>
          <w:b/>
          <w:i/>
          <w:sz w:val="40"/>
        </w:rPr>
        <w:t>in</w:t>
      </w:r>
      <w:r>
        <w:rPr>
          <w:b/>
          <w:i/>
          <w:spacing w:val="-55"/>
          <w:sz w:val="40"/>
        </w:rPr>
        <w:t> </w:t>
      </w:r>
      <w:r>
        <w:rPr>
          <w:b/>
          <w:i/>
          <w:sz w:val="40"/>
        </w:rPr>
        <w:t>a</w:t>
      </w:r>
      <w:r>
        <w:rPr>
          <w:b/>
          <w:i/>
          <w:spacing w:val="-54"/>
          <w:sz w:val="40"/>
        </w:rPr>
        <w:t> </w:t>
      </w:r>
      <w:r>
        <w:rPr>
          <w:b/>
          <w:i/>
          <w:sz w:val="40"/>
        </w:rPr>
        <w:t>multitude</w:t>
      </w:r>
      <w:r>
        <w:rPr>
          <w:b/>
          <w:i/>
          <w:spacing w:val="-55"/>
          <w:sz w:val="40"/>
        </w:rPr>
        <w:t> </w:t>
      </w:r>
      <w:r>
        <w:rPr>
          <w:b/>
          <w:i/>
          <w:sz w:val="40"/>
        </w:rPr>
        <w:t>of</w:t>
      </w:r>
      <w:r>
        <w:rPr>
          <w:b/>
          <w:i/>
          <w:spacing w:val="-54"/>
          <w:sz w:val="40"/>
        </w:rPr>
        <w:t> </w:t>
      </w:r>
      <w:r>
        <w:rPr>
          <w:b/>
          <w:i/>
          <w:sz w:val="40"/>
        </w:rPr>
        <w:t>ways:</w:t>
      </w:r>
    </w:p>
    <w:p>
      <w:pPr>
        <w:pStyle w:val="ListParagraph"/>
        <w:numPr>
          <w:ilvl w:val="0"/>
          <w:numId w:val="17"/>
        </w:numPr>
        <w:tabs>
          <w:tab w:pos="892" w:val="left" w:leader="none"/>
          <w:tab w:pos="893" w:val="left" w:leader="none"/>
        </w:tabs>
        <w:spacing w:line="240" w:lineRule="auto" w:before="300" w:after="0"/>
        <w:ind w:left="892" w:right="0" w:hanging="415"/>
        <w:jc w:val="left"/>
        <w:rPr>
          <w:sz w:val="38"/>
        </w:rPr>
      </w:pPr>
      <w:r>
        <w:rPr>
          <w:sz w:val="38"/>
        </w:rPr>
        <w:t>antioxidant</w:t>
      </w:r>
      <w:r>
        <w:rPr>
          <w:spacing w:val="-2"/>
          <w:sz w:val="38"/>
        </w:rPr>
        <w:t> </w:t>
      </w:r>
      <w:r>
        <w:rPr>
          <w:sz w:val="38"/>
        </w:rPr>
        <w:t>effect</w:t>
      </w:r>
    </w:p>
    <w:p>
      <w:pPr>
        <w:pStyle w:val="ListParagraph"/>
        <w:numPr>
          <w:ilvl w:val="0"/>
          <w:numId w:val="17"/>
        </w:numPr>
        <w:tabs>
          <w:tab w:pos="892" w:val="left" w:leader="none"/>
          <w:tab w:pos="893" w:val="left" w:leader="none"/>
        </w:tabs>
        <w:spacing w:line="240" w:lineRule="auto" w:before="66" w:after="0"/>
        <w:ind w:left="892" w:right="0" w:hanging="415"/>
        <w:jc w:val="left"/>
        <w:rPr>
          <w:sz w:val="38"/>
        </w:rPr>
      </w:pPr>
      <w:r>
        <w:rPr>
          <w:sz w:val="38"/>
        </w:rPr>
        <w:t>immunostimulatory effect</w:t>
      </w:r>
    </w:p>
    <w:p>
      <w:pPr>
        <w:pStyle w:val="ListParagraph"/>
        <w:numPr>
          <w:ilvl w:val="0"/>
          <w:numId w:val="17"/>
        </w:numPr>
        <w:tabs>
          <w:tab w:pos="892" w:val="left" w:leader="none"/>
          <w:tab w:pos="893" w:val="left" w:leader="none"/>
        </w:tabs>
        <w:spacing w:line="240" w:lineRule="auto" w:before="64" w:after="0"/>
        <w:ind w:left="892" w:right="0" w:hanging="415"/>
        <w:jc w:val="left"/>
        <w:rPr>
          <w:sz w:val="38"/>
        </w:rPr>
      </w:pPr>
      <w:r>
        <w:rPr>
          <w:sz w:val="38"/>
        </w:rPr>
        <w:t>antiglycation</w:t>
      </w:r>
    </w:p>
    <w:p>
      <w:pPr>
        <w:pStyle w:val="ListParagraph"/>
        <w:numPr>
          <w:ilvl w:val="0"/>
          <w:numId w:val="17"/>
        </w:numPr>
        <w:tabs>
          <w:tab w:pos="892" w:val="left" w:leader="none"/>
          <w:tab w:pos="893" w:val="left" w:leader="none"/>
        </w:tabs>
        <w:spacing w:line="240" w:lineRule="auto" w:before="64" w:after="0"/>
        <w:ind w:left="892" w:right="0" w:hanging="415"/>
        <w:jc w:val="left"/>
        <w:rPr>
          <w:sz w:val="38"/>
        </w:rPr>
      </w:pPr>
      <w:r>
        <w:rPr>
          <w:sz w:val="38"/>
        </w:rPr>
        <w:t>protection of telomeres from</w:t>
      </w:r>
      <w:r>
        <w:rPr>
          <w:spacing w:val="-2"/>
          <w:sz w:val="38"/>
        </w:rPr>
        <w:t> </w:t>
      </w:r>
      <w:r>
        <w:rPr>
          <w:sz w:val="38"/>
        </w:rPr>
        <w:t>shortening</w:t>
      </w:r>
    </w:p>
    <w:p>
      <w:pPr>
        <w:pStyle w:val="ListParagraph"/>
        <w:numPr>
          <w:ilvl w:val="0"/>
          <w:numId w:val="17"/>
        </w:numPr>
        <w:tabs>
          <w:tab w:pos="892" w:val="left" w:leader="none"/>
          <w:tab w:pos="893" w:val="left" w:leader="none"/>
        </w:tabs>
        <w:spacing w:line="240" w:lineRule="auto" w:before="64" w:after="0"/>
        <w:ind w:left="892" w:right="0" w:hanging="415"/>
        <w:jc w:val="left"/>
        <w:rPr>
          <w:sz w:val="38"/>
        </w:rPr>
      </w:pPr>
      <w:r>
        <w:rPr>
          <w:sz w:val="38"/>
        </w:rPr>
        <w:t>extending effect of</w:t>
      </w:r>
      <w:r>
        <w:rPr>
          <w:spacing w:val="1"/>
          <w:sz w:val="38"/>
        </w:rPr>
        <w:t> </w:t>
      </w:r>
      <w:r>
        <w:rPr>
          <w:sz w:val="38"/>
        </w:rPr>
        <w:t>telomeres</w:t>
      </w:r>
    </w:p>
    <w:p>
      <w:pPr>
        <w:pStyle w:val="ListParagraph"/>
        <w:numPr>
          <w:ilvl w:val="0"/>
          <w:numId w:val="17"/>
        </w:numPr>
        <w:tabs>
          <w:tab w:pos="892" w:val="left" w:leader="none"/>
          <w:tab w:pos="893" w:val="left" w:leader="none"/>
        </w:tabs>
        <w:spacing w:line="240" w:lineRule="auto" w:before="64" w:after="0"/>
        <w:ind w:left="892" w:right="0" w:hanging="415"/>
        <w:jc w:val="left"/>
        <w:rPr>
          <w:sz w:val="38"/>
        </w:rPr>
      </w:pPr>
      <w:r>
        <w:rPr>
          <w:sz w:val="38"/>
        </w:rPr>
        <w:t>repair of</w:t>
      </w:r>
      <w:r>
        <w:rPr>
          <w:spacing w:val="1"/>
          <w:sz w:val="38"/>
        </w:rPr>
        <w:t> </w:t>
      </w:r>
      <w:r>
        <w:rPr>
          <w:sz w:val="38"/>
        </w:rPr>
        <w:t>DNA</w:t>
      </w:r>
    </w:p>
    <w:p>
      <w:pPr>
        <w:spacing w:after="0" w:line="240" w:lineRule="auto"/>
        <w:jc w:val="left"/>
        <w:rPr>
          <w:sz w:val="38"/>
        </w:rPr>
        <w:sectPr>
          <w:pgSz w:w="14270" w:h="16850"/>
          <w:pgMar w:header="0" w:footer="1891" w:top="1600" w:bottom="2080" w:left="800" w:right="1280"/>
        </w:sectPr>
      </w:pPr>
    </w:p>
    <w:p>
      <w:pPr>
        <w:pStyle w:val="BodyText"/>
        <w:spacing w:before="181"/>
        <w:ind w:left="477"/>
        <w:jc w:val="both"/>
      </w:pPr>
      <w:r>
        <w:rPr/>
        <w:t>Let’s take a look back:</w:t>
      </w:r>
    </w:p>
    <w:p>
      <w:pPr>
        <w:pStyle w:val="BodyText"/>
        <w:spacing w:line="276" w:lineRule="auto" w:before="305"/>
        <w:ind w:left="477" w:right="135"/>
        <w:jc w:val="both"/>
      </w:pPr>
      <w:r>
        <w:rPr/>
        <w:t>We are writing in the year 2009. Along with other highly promising projects, three</w:t>
      </w:r>
      <w:r>
        <w:rPr>
          <w:spacing w:val="-23"/>
        </w:rPr>
        <w:t> </w:t>
      </w:r>
      <w:r>
        <w:rPr/>
        <w:t>Stockholm</w:t>
      </w:r>
      <w:r>
        <w:rPr>
          <w:spacing w:val="-23"/>
        </w:rPr>
        <w:t> </w:t>
      </w:r>
      <w:r>
        <w:rPr/>
        <w:t>researchers</w:t>
      </w:r>
      <w:r>
        <w:rPr>
          <w:spacing w:val="-22"/>
        </w:rPr>
        <w:t> </w:t>
      </w:r>
      <w:r>
        <w:rPr/>
        <w:t>have</w:t>
      </w:r>
      <w:r>
        <w:rPr>
          <w:spacing w:val="-22"/>
        </w:rPr>
        <w:t> </w:t>
      </w:r>
      <w:r>
        <w:rPr/>
        <w:t>been</w:t>
      </w:r>
      <w:r>
        <w:rPr>
          <w:spacing w:val="-22"/>
        </w:rPr>
        <w:t> </w:t>
      </w:r>
      <w:r>
        <w:rPr/>
        <w:t>nominated</w:t>
      </w:r>
      <w:r>
        <w:rPr>
          <w:spacing w:val="-22"/>
        </w:rPr>
        <w:t> </w:t>
      </w:r>
      <w:r>
        <w:rPr/>
        <w:t>for</w:t>
      </w:r>
      <w:r>
        <w:rPr>
          <w:spacing w:val="-23"/>
        </w:rPr>
        <w:t> </w:t>
      </w:r>
      <w:r>
        <w:rPr/>
        <w:t>the</w:t>
      </w:r>
      <w:r>
        <w:rPr>
          <w:spacing w:val="-22"/>
        </w:rPr>
        <w:t> </w:t>
      </w:r>
      <w:r>
        <w:rPr/>
        <w:t>Nobel</w:t>
      </w:r>
      <w:r>
        <w:rPr>
          <w:spacing w:val="-26"/>
        </w:rPr>
        <w:t> </w:t>
      </w:r>
      <w:r>
        <w:rPr/>
        <w:t>Prize</w:t>
      </w:r>
      <w:r>
        <w:rPr>
          <w:spacing w:val="-22"/>
        </w:rPr>
        <w:t> </w:t>
      </w:r>
      <w:r>
        <w:rPr/>
        <w:t>for</w:t>
      </w:r>
      <w:r>
        <w:rPr>
          <w:spacing w:val="-22"/>
        </w:rPr>
        <w:t> </w:t>
      </w:r>
      <w:r>
        <w:rPr/>
        <w:t>Med- icine after making a truly sensational discovery that could play a crucial role in both cancer healing and anti-ageing.</w:t>
      </w:r>
    </w:p>
    <w:p>
      <w:pPr>
        <w:pStyle w:val="BodyText"/>
        <w:spacing w:line="276" w:lineRule="auto" w:before="239"/>
        <w:ind w:left="477" w:right="132"/>
        <w:jc w:val="both"/>
      </w:pPr>
      <w:r>
        <w:rPr/>
        <w:t>The three molecular biologists, Jack W. Szostak, Elizabeth H. Blackburn, and Carol W. Greider of the Karolinska Institute in Stockholm provide radical an- swers on the function of telomeres on our chromosomes and the associated ‘immortality</w:t>
      </w:r>
      <w:r>
        <w:rPr>
          <w:spacing w:val="-14"/>
        </w:rPr>
        <w:t> </w:t>
      </w:r>
      <w:r>
        <w:rPr/>
        <w:t>enzyme’</w:t>
      </w:r>
      <w:r>
        <w:rPr>
          <w:spacing w:val="-14"/>
        </w:rPr>
        <w:t> </w:t>
      </w:r>
      <w:r>
        <w:rPr/>
        <w:t>‘telomerase’,</w:t>
      </w:r>
      <w:r>
        <w:rPr>
          <w:spacing w:val="-14"/>
        </w:rPr>
        <w:t> </w:t>
      </w:r>
      <w:r>
        <w:rPr/>
        <w:t>and</w:t>
      </w:r>
      <w:r>
        <w:rPr>
          <w:spacing w:val="-17"/>
        </w:rPr>
        <w:t> </w:t>
      </w:r>
      <w:r>
        <w:rPr/>
        <w:t>thus</w:t>
      </w:r>
      <w:r>
        <w:rPr>
          <w:spacing w:val="-15"/>
        </w:rPr>
        <w:t> </w:t>
      </w:r>
      <w:r>
        <w:rPr/>
        <w:t>receive</w:t>
      </w:r>
      <w:r>
        <w:rPr>
          <w:spacing w:val="-16"/>
        </w:rPr>
        <w:t> </w:t>
      </w:r>
      <w:r>
        <w:rPr/>
        <w:t>the</w:t>
      </w:r>
      <w:r>
        <w:rPr>
          <w:spacing w:val="-14"/>
        </w:rPr>
        <w:t> </w:t>
      </w:r>
      <w:r>
        <w:rPr/>
        <w:t>coveted</w:t>
      </w:r>
      <w:r>
        <w:rPr>
          <w:spacing w:val="-15"/>
        </w:rPr>
        <w:t> </w:t>
      </w:r>
      <w:r>
        <w:rPr/>
        <w:t>Nobel</w:t>
      </w:r>
      <w:r>
        <w:rPr>
          <w:spacing w:val="-15"/>
        </w:rPr>
        <w:t> </w:t>
      </w:r>
      <w:r>
        <w:rPr/>
        <w:t>Prize</w:t>
      </w:r>
      <w:r>
        <w:rPr>
          <w:spacing w:val="-17"/>
        </w:rPr>
        <w:t> </w:t>
      </w:r>
      <w:r>
        <w:rPr/>
        <w:t>for Medicine for</w:t>
      </w:r>
      <w:r>
        <w:rPr>
          <w:spacing w:val="2"/>
        </w:rPr>
        <w:t> </w:t>
      </w:r>
      <w:r>
        <w:rPr/>
        <w:t>2009.</w:t>
      </w:r>
    </w:p>
    <w:p>
      <w:pPr>
        <w:pStyle w:val="BodyText"/>
        <w:spacing w:line="276" w:lineRule="auto" w:before="242"/>
        <w:ind w:left="477" w:right="128"/>
        <w:jc w:val="both"/>
      </w:pPr>
      <w:r>
        <w:rPr/>
        <w:t>To</w:t>
      </w:r>
      <w:r>
        <w:rPr>
          <w:spacing w:val="-19"/>
        </w:rPr>
        <w:t> </w:t>
      </w:r>
      <w:r>
        <w:rPr/>
        <w:t>explain</w:t>
      </w:r>
      <w:r>
        <w:rPr>
          <w:spacing w:val="-18"/>
        </w:rPr>
        <w:t> </w:t>
      </w:r>
      <w:r>
        <w:rPr/>
        <w:t>further:</w:t>
      </w:r>
      <w:r>
        <w:rPr>
          <w:spacing w:val="-18"/>
        </w:rPr>
        <w:t> </w:t>
      </w:r>
      <w:r>
        <w:rPr/>
        <w:t>With</w:t>
      </w:r>
      <w:r>
        <w:rPr>
          <w:spacing w:val="-18"/>
        </w:rPr>
        <w:t> </w:t>
      </w:r>
      <w:r>
        <w:rPr/>
        <w:t>each</w:t>
      </w:r>
      <w:r>
        <w:rPr>
          <w:spacing w:val="-19"/>
        </w:rPr>
        <w:t> </w:t>
      </w:r>
      <w:r>
        <w:rPr/>
        <w:t>cell</w:t>
      </w:r>
      <w:r>
        <w:rPr>
          <w:spacing w:val="-20"/>
        </w:rPr>
        <w:t> </w:t>
      </w:r>
      <w:r>
        <w:rPr/>
        <w:t>division,</w:t>
      </w:r>
      <w:r>
        <w:rPr>
          <w:spacing w:val="-17"/>
        </w:rPr>
        <w:t> </w:t>
      </w:r>
      <w:r>
        <w:rPr/>
        <w:t>the</w:t>
      </w:r>
      <w:r>
        <w:rPr>
          <w:spacing w:val="-17"/>
        </w:rPr>
        <w:t> </w:t>
      </w:r>
      <w:r>
        <w:rPr/>
        <w:t>ends</w:t>
      </w:r>
      <w:r>
        <w:rPr>
          <w:spacing w:val="-19"/>
        </w:rPr>
        <w:t> </w:t>
      </w:r>
      <w:r>
        <w:rPr/>
        <w:t>of</w:t>
      </w:r>
      <w:r>
        <w:rPr>
          <w:spacing w:val="-18"/>
        </w:rPr>
        <w:t> </w:t>
      </w:r>
      <w:r>
        <w:rPr/>
        <w:t>the</w:t>
      </w:r>
      <w:r>
        <w:rPr>
          <w:spacing w:val="-20"/>
        </w:rPr>
        <w:t> </w:t>
      </w:r>
      <w:r>
        <w:rPr/>
        <w:t>chromosomes,</w:t>
      </w:r>
      <w:r>
        <w:rPr>
          <w:spacing w:val="-19"/>
        </w:rPr>
        <w:t> </w:t>
      </w:r>
      <w:r>
        <w:rPr/>
        <w:t>called telomeres, become shorter. However, if an enzyme called ‘telomerase’ is added to the telomeres, the chromosome ends of this enzyme are synthesised and re- attached.</w:t>
      </w:r>
    </w:p>
    <w:p>
      <w:pPr>
        <w:pStyle w:val="BodyText"/>
        <w:spacing w:line="276" w:lineRule="auto" w:before="240"/>
        <w:ind w:left="477" w:right="131"/>
        <w:jc w:val="both"/>
      </w:pPr>
      <w:r>
        <w:rPr/>
        <w:t>This</w:t>
      </w:r>
      <w:r>
        <w:rPr>
          <w:spacing w:val="-9"/>
        </w:rPr>
        <w:t> </w:t>
      </w:r>
      <w:r>
        <w:rPr/>
        <w:t>precise</w:t>
      </w:r>
      <w:r>
        <w:rPr>
          <w:spacing w:val="-9"/>
        </w:rPr>
        <w:t> </w:t>
      </w:r>
      <w:r>
        <w:rPr/>
        <w:t>action</w:t>
      </w:r>
      <w:r>
        <w:rPr>
          <w:spacing w:val="-8"/>
        </w:rPr>
        <w:t> </w:t>
      </w:r>
      <w:r>
        <w:rPr/>
        <w:t>occurs</w:t>
      </w:r>
      <w:r>
        <w:rPr>
          <w:spacing w:val="-11"/>
        </w:rPr>
        <w:t> </w:t>
      </w:r>
      <w:r>
        <w:rPr/>
        <w:t>in</w:t>
      </w:r>
      <w:r>
        <w:rPr>
          <w:spacing w:val="-10"/>
        </w:rPr>
        <w:t> </w:t>
      </w:r>
      <w:r>
        <w:rPr/>
        <w:t>cancer</w:t>
      </w:r>
      <w:r>
        <w:rPr>
          <w:spacing w:val="-8"/>
        </w:rPr>
        <w:t> </w:t>
      </w:r>
      <w:r>
        <w:rPr/>
        <w:t>cells,</w:t>
      </w:r>
      <w:r>
        <w:rPr>
          <w:spacing w:val="-8"/>
        </w:rPr>
        <w:t> </w:t>
      </w:r>
      <w:r>
        <w:rPr/>
        <w:t>meaning</w:t>
      </w:r>
      <w:r>
        <w:rPr>
          <w:spacing w:val="-9"/>
        </w:rPr>
        <w:t> </w:t>
      </w:r>
      <w:r>
        <w:rPr/>
        <w:t>it</w:t>
      </w:r>
      <w:r>
        <w:rPr>
          <w:spacing w:val="-12"/>
        </w:rPr>
        <w:t> </w:t>
      </w:r>
      <w:r>
        <w:rPr/>
        <w:t>can</w:t>
      </w:r>
      <w:r>
        <w:rPr>
          <w:spacing w:val="-8"/>
        </w:rPr>
        <w:t> </w:t>
      </w:r>
      <w:r>
        <w:rPr/>
        <w:t>split</w:t>
      </w:r>
      <w:r>
        <w:rPr>
          <w:spacing w:val="-10"/>
        </w:rPr>
        <w:t> </w:t>
      </w:r>
      <w:r>
        <w:rPr/>
        <w:t>indefinitely.</w:t>
      </w:r>
      <w:r>
        <w:rPr>
          <w:spacing w:val="-9"/>
        </w:rPr>
        <w:t> </w:t>
      </w:r>
      <w:r>
        <w:rPr/>
        <w:t>Con- versely,</w:t>
      </w:r>
      <w:r>
        <w:rPr>
          <w:spacing w:val="-11"/>
        </w:rPr>
        <w:t> </w:t>
      </w:r>
      <w:r>
        <w:rPr/>
        <w:t>it</w:t>
      </w:r>
      <w:r>
        <w:rPr>
          <w:spacing w:val="-15"/>
        </w:rPr>
        <w:t> </w:t>
      </w:r>
      <w:r>
        <w:rPr/>
        <w:t>is</w:t>
      </w:r>
      <w:r>
        <w:rPr>
          <w:spacing w:val="-11"/>
        </w:rPr>
        <w:t> </w:t>
      </w:r>
      <w:r>
        <w:rPr/>
        <w:t>known</w:t>
      </w:r>
      <w:r>
        <w:rPr>
          <w:spacing w:val="-11"/>
        </w:rPr>
        <w:t> </w:t>
      </w:r>
      <w:r>
        <w:rPr/>
        <w:t>that</w:t>
      </w:r>
      <w:r>
        <w:rPr>
          <w:spacing w:val="-12"/>
        </w:rPr>
        <w:t> </w:t>
      </w:r>
      <w:r>
        <w:rPr/>
        <w:t>people</w:t>
      </w:r>
      <w:r>
        <w:rPr>
          <w:spacing w:val="-14"/>
        </w:rPr>
        <w:t> </w:t>
      </w:r>
      <w:r>
        <w:rPr/>
        <w:t>suffering</w:t>
      </w:r>
      <w:r>
        <w:rPr>
          <w:spacing w:val="-11"/>
        </w:rPr>
        <w:t> </w:t>
      </w:r>
      <w:r>
        <w:rPr/>
        <w:t>from</w:t>
      </w:r>
      <w:r>
        <w:rPr>
          <w:spacing w:val="-15"/>
        </w:rPr>
        <w:t> </w:t>
      </w:r>
      <w:r>
        <w:rPr/>
        <w:t>‘old-age</w:t>
      </w:r>
      <w:r>
        <w:rPr>
          <w:spacing w:val="-11"/>
        </w:rPr>
        <w:t> </w:t>
      </w:r>
      <w:r>
        <w:rPr/>
        <w:t>disease’</w:t>
      </w:r>
      <w:r>
        <w:rPr>
          <w:spacing w:val="-11"/>
        </w:rPr>
        <w:t> </w:t>
      </w:r>
      <w:r>
        <w:rPr/>
        <w:t>lack</w:t>
      </w:r>
      <w:r>
        <w:rPr>
          <w:spacing w:val="-13"/>
        </w:rPr>
        <w:t> </w:t>
      </w:r>
      <w:r>
        <w:rPr/>
        <w:t>the</w:t>
      </w:r>
      <w:r>
        <w:rPr>
          <w:spacing w:val="-11"/>
        </w:rPr>
        <w:t> </w:t>
      </w:r>
      <w:r>
        <w:rPr/>
        <w:t>enzyme ‘telomerase’.</w:t>
      </w:r>
    </w:p>
    <w:p>
      <w:pPr>
        <w:pStyle w:val="BodyText"/>
        <w:spacing w:line="276" w:lineRule="auto" w:before="241"/>
        <w:ind w:left="477" w:right="136"/>
        <w:jc w:val="both"/>
      </w:pPr>
      <w:r>
        <w:rPr/>
        <w:t>Other progeria diseases, such as ‘Werner syndrome’, confirm this. Telomere length is a reliable measure of our age and is also a trigger for the unpleasant ageing phenomena known to us all.</w:t>
      </w:r>
    </w:p>
    <w:p>
      <w:pPr>
        <w:spacing w:after="0" w:line="276" w:lineRule="auto"/>
        <w:jc w:val="both"/>
        <w:sectPr>
          <w:pgSz w:w="14270" w:h="16850"/>
          <w:pgMar w:header="0" w:footer="1891" w:top="1600" w:bottom="2080" w:left="800" w:right="1280"/>
        </w:sectPr>
      </w:pPr>
    </w:p>
    <w:p>
      <w:pPr>
        <w:pStyle w:val="BodyText"/>
        <w:spacing w:line="276" w:lineRule="auto" w:before="181"/>
        <w:ind w:left="477" w:right="138"/>
        <w:jc w:val="both"/>
      </w:pPr>
      <w:r>
        <w:rPr/>
        <w:t>Conversely, the telomerase mechanism makes the cells virtually immortal be- cause telomerase rejuvenates the cell, or at least it can prevent further shorten- ing of the telomeres, thus effectively reversing or stopping ageing.</w:t>
      </w:r>
    </w:p>
    <w:p>
      <w:pPr>
        <w:pStyle w:val="BodyText"/>
        <w:spacing w:line="276" w:lineRule="auto" w:before="242"/>
        <w:ind w:left="477" w:right="137"/>
        <w:jc w:val="both"/>
      </w:pPr>
      <w:r>
        <w:rPr/>
        <w:t>Unfortunately,</w:t>
      </w:r>
      <w:r>
        <w:rPr>
          <w:spacing w:val="-12"/>
        </w:rPr>
        <w:t> </w:t>
      </w:r>
      <w:r>
        <w:rPr/>
        <w:t>although</w:t>
      </w:r>
      <w:r>
        <w:rPr>
          <w:spacing w:val="-11"/>
        </w:rPr>
        <w:t> </w:t>
      </w:r>
      <w:r>
        <w:rPr/>
        <w:t>the</w:t>
      </w:r>
      <w:r>
        <w:rPr>
          <w:spacing w:val="-11"/>
        </w:rPr>
        <w:t> </w:t>
      </w:r>
      <w:r>
        <w:rPr/>
        <w:t>gene</w:t>
      </w:r>
      <w:r>
        <w:rPr>
          <w:spacing w:val="-13"/>
        </w:rPr>
        <w:t> </w:t>
      </w:r>
      <w:r>
        <w:rPr/>
        <w:t>capable</w:t>
      </w:r>
      <w:r>
        <w:rPr>
          <w:spacing w:val="-12"/>
        </w:rPr>
        <w:t> </w:t>
      </w:r>
      <w:r>
        <w:rPr/>
        <w:t>of</w:t>
      </w:r>
      <w:r>
        <w:rPr>
          <w:spacing w:val="-12"/>
        </w:rPr>
        <w:t> </w:t>
      </w:r>
      <w:r>
        <w:rPr/>
        <w:t>turning</w:t>
      </w:r>
      <w:r>
        <w:rPr>
          <w:spacing w:val="-11"/>
        </w:rPr>
        <w:t> </w:t>
      </w:r>
      <w:r>
        <w:rPr/>
        <w:t>on</w:t>
      </w:r>
      <w:r>
        <w:rPr>
          <w:spacing w:val="-11"/>
        </w:rPr>
        <w:t> </w:t>
      </w:r>
      <w:r>
        <w:rPr/>
        <w:t>telomerase</w:t>
      </w:r>
      <w:r>
        <w:rPr>
          <w:spacing w:val="-13"/>
        </w:rPr>
        <w:t> </w:t>
      </w:r>
      <w:r>
        <w:rPr/>
        <w:t>is</w:t>
      </w:r>
      <w:r>
        <w:rPr>
          <w:spacing w:val="-12"/>
        </w:rPr>
        <w:t> </w:t>
      </w:r>
      <w:r>
        <w:rPr/>
        <w:t>present</w:t>
      </w:r>
      <w:r>
        <w:rPr>
          <w:spacing w:val="-13"/>
        </w:rPr>
        <w:t> </w:t>
      </w:r>
      <w:r>
        <w:rPr/>
        <w:t>in every single human cell, it remains unused in all normal cells, except for germ cells, stem cells, and cancer cells, which are considered immortal because they can divide indefinitely.</w:t>
      </w:r>
    </w:p>
    <w:p>
      <w:pPr>
        <w:pStyle w:val="BodyText"/>
        <w:spacing w:line="276" w:lineRule="auto" w:before="239"/>
        <w:ind w:left="477" w:right="133"/>
        <w:jc w:val="both"/>
      </w:pPr>
      <w:r>
        <w:rPr/>
        <w:t>Certain</w:t>
      </w:r>
      <w:r>
        <w:rPr>
          <w:spacing w:val="-12"/>
        </w:rPr>
        <w:t> </w:t>
      </w:r>
      <w:r>
        <w:rPr/>
        <w:t>telomerase</w:t>
      </w:r>
      <w:r>
        <w:rPr>
          <w:spacing w:val="-10"/>
        </w:rPr>
        <w:t> </w:t>
      </w:r>
      <w:r>
        <w:rPr/>
        <w:t>activators</w:t>
      </w:r>
      <w:r>
        <w:rPr>
          <w:spacing w:val="-11"/>
        </w:rPr>
        <w:t> </w:t>
      </w:r>
      <w:r>
        <w:rPr/>
        <w:t>from</w:t>
      </w:r>
      <w:r>
        <w:rPr>
          <w:spacing w:val="-12"/>
        </w:rPr>
        <w:t> </w:t>
      </w:r>
      <w:r>
        <w:rPr/>
        <w:t>astragalus</w:t>
      </w:r>
      <w:r>
        <w:rPr>
          <w:spacing w:val="-11"/>
        </w:rPr>
        <w:t> </w:t>
      </w:r>
      <w:r>
        <w:rPr/>
        <w:t>root,</w:t>
      </w:r>
      <w:r>
        <w:rPr>
          <w:spacing w:val="-11"/>
        </w:rPr>
        <w:t> </w:t>
      </w:r>
      <w:r>
        <w:rPr/>
        <w:t>such</w:t>
      </w:r>
      <w:r>
        <w:rPr>
          <w:spacing w:val="-13"/>
        </w:rPr>
        <w:t> </w:t>
      </w:r>
      <w:r>
        <w:rPr/>
        <w:t>as</w:t>
      </w:r>
      <w:r>
        <w:rPr>
          <w:spacing w:val="-7"/>
        </w:rPr>
        <w:t> </w:t>
      </w:r>
      <w:r>
        <w:rPr/>
        <w:t>astragaloside</w:t>
      </w:r>
      <w:r>
        <w:rPr>
          <w:spacing w:val="-12"/>
        </w:rPr>
        <w:t> </w:t>
      </w:r>
      <w:r>
        <w:rPr/>
        <w:t>IV</w:t>
      </w:r>
      <w:r>
        <w:rPr>
          <w:spacing w:val="-11"/>
        </w:rPr>
        <w:t> </w:t>
      </w:r>
      <w:r>
        <w:rPr/>
        <w:t>and cycloastragenol, now have the amazing ability to activate the gene and thereby activate telomerase in normal body cells, protecting telomeres from shortening and even triggering telomere</w:t>
      </w:r>
      <w:r>
        <w:rPr>
          <w:spacing w:val="2"/>
        </w:rPr>
        <w:t> </w:t>
      </w:r>
      <w:r>
        <w:rPr/>
        <w:t>extension.</w:t>
      </w:r>
    </w:p>
    <w:p>
      <w:pPr>
        <w:spacing w:line="276" w:lineRule="auto" w:before="239"/>
        <w:ind w:left="477" w:right="132" w:firstLine="0"/>
        <w:jc w:val="both"/>
        <w:rPr>
          <w:sz w:val="38"/>
        </w:rPr>
      </w:pPr>
      <w:r>
        <w:rPr>
          <w:i/>
          <w:sz w:val="38"/>
        </w:rPr>
        <w:t>‘For the first time in the history of medicine, we have the potential to effectively reduce and </w:t>
      </w:r>
      <w:r>
        <w:rPr>
          <w:i/>
          <w:sz w:val="38"/>
        </w:rPr>
        <w:t>possibly even completely eliminate the adverse effects of the ageing and degradation process associated with insufficient telomerase and short telomeres’. </w:t>
      </w:r>
      <w:r>
        <w:rPr>
          <w:sz w:val="38"/>
        </w:rPr>
        <w:t>(Noel Thomas Patton, founder of TA Sciences)</w:t>
      </w:r>
    </w:p>
    <w:p>
      <w:pPr>
        <w:pStyle w:val="Heading2"/>
        <w:spacing w:line="276" w:lineRule="auto" w:before="242"/>
        <w:ind w:right="138"/>
        <w:jc w:val="both"/>
      </w:pPr>
      <w:r>
        <w:rPr/>
        <w:t>The</w:t>
      </w:r>
      <w:r>
        <w:rPr>
          <w:spacing w:val="-25"/>
        </w:rPr>
        <w:t> </w:t>
      </w:r>
      <w:r>
        <w:rPr/>
        <w:t>renowned</w:t>
      </w:r>
      <w:r>
        <w:rPr>
          <w:spacing w:val="-23"/>
        </w:rPr>
        <w:t> </w:t>
      </w:r>
      <w:r>
        <w:rPr/>
        <w:t>Harvard</w:t>
      </w:r>
      <w:r>
        <w:rPr>
          <w:spacing w:val="-25"/>
        </w:rPr>
        <w:t> </w:t>
      </w:r>
      <w:r>
        <w:rPr/>
        <w:t>University</w:t>
      </w:r>
      <w:r>
        <w:rPr>
          <w:spacing w:val="-25"/>
        </w:rPr>
        <w:t> </w:t>
      </w:r>
      <w:r>
        <w:rPr/>
        <w:t>confirms</w:t>
      </w:r>
      <w:r>
        <w:rPr>
          <w:spacing w:val="-24"/>
        </w:rPr>
        <w:t> </w:t>
      </w:r>
      <w:r>
        <w:rPr/>
        <w:t>the</w:t>
      </w:r>
      <w:r>
        <w:rPr>
          <w:spacing w:val="-26"/>
        </w:rPr>
        <w:t> </w:t>
      </w:r>
      <w:r>
        <w:rPr/>
        <w:t>telomerase</w:t>
      </w:r>
      <w:r>
        <w:rPr>
          <w:spacing w:val="-25"/>
        </w:rPr>
        <w:t> </w:t>
      </w:r>
      <w:r>
        <w:rPr/>
        <w:t>theory</w:t>
      </w:r>
      <w:r>
        <w:rPr>
          <w:spacing w:val="-24"/>
        </w:rPr>
        <w:t> </w:t>
      </w:r>
      <w:r>
        <w:rPr/>
        <w:t>of</w:t>
      </w:r>
      <w:r>
        <w:rPr>
          <w:spacing w:val="-25"/>
        </w:rPr>
        <w:t> </w:t>
      </w:r>
      <w:r>
        <w:rPr/>
        <w:t>age- ing</w:t>
      </w:r>
    </w:p>
    <w:p>
      <w:pPr>
        <w:pStyle w:val="BodyText"/>
        <w:spacing w:line="276" w:lineRule="auto" w:before="241"/>
        <w:ind w:left="477" w:right="138"/>
        <w:jc w:val="both"/>
      </w:pPr>
      <w:r>
        <w:rPr/>
        <w:t>In November 2010, </w:t>
      </w:r>
      <w:r>
        <w:rPr>
          <w:i/>
        </w:rPr>
        <w:t>Harvard Medical School </w:t>
      </w:r>
      <w:r>
        <w:rPr/>
        <w:t>created a sensation by publishing an article about a research experiment that not only succeeded in stopping mam- malian ageing processes, but had even reversed them!</w:t>
      </w:r>
    </w:p>
    <w:p>
      <w:pPr>
        <w:pStyle w:val="BodyText"/>
        <w:spacing w:before="239"/>
        <w:ind w:left="477"/>
        <w:jc w:val="both"/>
      </w:pPr>
      <w:r>
        <w:rPr/>
        <w:t>The telomerase activation described led to the biological rejuvenation of</w:t>
      </w:r>
      <w:r>
        <w:rPr>
          <w:spacing w:val="69"/>
        </w:rPr>
        <w:t> </w:t>
      </w:r>
      <w:r>
        <w:rPr/>
        <w:t>brain</w:t>
      </w:r>
    </w:p>
    <w:p>
      <w:pPr>
        <w:spacing w:after="0"/>
        <w:jc w:val="both"/>
        <w:sectPr>
          <w:pgSz w:w="14270" w:h="16850"/>
          <w:pgMar w:header="0" w:footer="1891" w:top="1600" w:bottom="2080" w:left="800" w:right="1280"/>
        </w:sectPr>
      </w:pPr>
    </w:p>
    <w:p>
      <w:pPr>
        <w:pStyle w:val="BodyText"/>
        <w:spacing w:line="276" w:lineRule="auto" w:before="181"/>
        <w:ind w:left="477" w:right="142"/>
        <w:jc w:val="both"/>
      </w:pPr>
      <w:r>
        <w:rPr/>
        <w:t>cells, the spleen and the reproductive organs, and the biological age of mice equivalent to an 80-year-old man could be reversed to the age of young adults.</w:t>
      </w:r>
    </w:p>
    <w:p>
      <w:pPr>
        <w:pStyle w:val="BodyText"/>
        <w:spacing w:line="276" w:lineRule="auto" w:before="241"/>
        <w:ind w:left="477" w:right="131"/>
        <w:jc w:val="both"/>
      </w:pPr>
      <w:r>
        <w:rPr/>
        <w:t>Another study by Harvard researchers confirmed that shortening telomeres</w:t>
      </w:r>
      <w:r>
        <w:rPr>
          <w:spacing w:val="-68"/>
        </w:rPr>
        <w:t> </w:t>
      </w:r>
      <w:r>
        <w:rPr/>
        <w:t>are the main cause of biological ageing.</w:t>
      </w:r>
    </w:p>
    <w:p>
      <w:pPr>
        <w:pStyle w:val="BodyText"/>
        <w:spacing w:line="276" w:lineRule="auto" w:before="241"/>
        <w:ind w:left="477" w:right="140"/>
        <w:jc w:val="both"/>
        <w:rPr>
          <w:sz w:val="25"/>
        </w:rPr>
      </w:pPr>
      <w:r>
        <w:rPr/>
        <w:t>Also, studies at the University of Toronto in Canada have clearly shown that increasing telomerase activity in normal human cells with associated telomere extension leads to the extended lifespan we all hope for.</w:t>
      </w:r>
      <w:r>
        <w:rPr>
          <w:position w:val="9"/>
          <w:sz w:val="25"/>
        </w:rPr>
        <w:t>93</w:t>
      </w:r>
    </w:p>
    <w:p>
      <w:pPr>
        <w:spacing w:line="276" w:lineRule="auto" w:before="239"/>
        <w:ind w:left="477" w:right="131" w:firstLine="0"/>
        <w:jc w:val="both"/>
        <w:rPr>
          <w:i/>
          <w:sz w:val="38"/>
        </w:rPr>
      </w:pPr>
      <w:r>
        <w:rPr>
          <w:sz w:val="38"/>
        </w:rPr>
        <w:t>What’s more, certain diseases disappeared automatically as the cells were reju- venated, such as Alzheimer's, arthritis and osteoporosis. The researchers rounded off their research with the following revolutionary conclusion: </w:t>
      </w:r>
      <w:r>
        <w:rPr>
          <w:i/>
          <w:sz w:val="38"/>
        </w:rPr>
        <w:t>‘Ageing </w:t>
      </w:r>
      <w:r>
        <w:rPr>
          <w:i/>
          <w:sz w:val="38"/>
        </w:rPr>
        <w:t>does not cause short telomeres, but short telomeres cause ageing’ </w:t>
      </w:r>
      <w:r>
        <w:rPr>
          <w:sz w:val="38"/>
        </w:rPr>
        <w:t>and </w:t>
      </w:r>
      <w:r>
        <w:rPr>
          <w:i/>
          <w:sz w:val="38"/>
        </w:rPr>
        <w:t>‘Diseases do not make </w:t>
      </w:r>
      <w:r>
        <w:rPr>
          <w:i/>
          <w:sz w:val="38"/>
        </w:rPr>
        <w:t>you old, ageing leads to various diseases’.</w:t>
      </w:r>
    </w:p>
    <w:p>
      <w:pPr>
        <w:pStyle w:val="BodyText"/>
        <w:spacing w:line="276" w:lineRule="auto" w:before="240"/>
        <w:ind w:left="477" w:right="134"/>
        <w:jc w:val="both"/>
      </w:pPr>
      <w:r>
        <w:rPr/>
        <w:t>Usually, the pharmaceutical industry reacts very quickly to current, sensational research</w:t>
      </w:r>
      <w:r>
        <w:rPr>
          <w:spacing w:val="-16"/>
        </w:rPr>
        <w:t> </w:t>
      </w:r>
      <w:r>
        <w:rPr/>
        <w:t>results,</w:t>
      </w:r>
      <w:r>
        <w:rPr>
          <w:spacing w:val="-17"/>
        </w:rPr>
        <w:t> </w:t>
      </w:r>
      <w:r>
        <w:rPr/>
        <w:t>which</w:t>
      </w:r>
      <w:r>
        <w:rPr>
          <w:spacing w:val="-15"/>
        </w:rPr>
        <w:t> </w:t>
      </w:r>
      <w:r>
        <w:rPr/>
        <w:t>it</w:t>
      </w:r>
      <w:r>
        <w:rPr>
          <w:spacing w:val="-18"/>
        </w:rPr>
        <w:t> </w:t>
      </w:r>
      <w:r>
        <w:rPr/>
        <w:t>tries</w:t>
      </w:r>
      <w:r>
        <w:rPr>
          <w:spacing w:val="-15"/>
        </w:rPr>
        <w:t> </w:t>
      </w:r>
      <w:r>
        <w:rPr/>
        <w:t>to</w:t>
      </w:r>
      <w:r>
        <w:rPr>
          <w:spacing w:val="-18"/>
        </w:rPr>
        <w:t> </w:t>
      </w:r>
      <w:r>
        <w:rPr/>
        <w:t>convert</w:t>
      </w:r>
      <w:r>
        <w:rPr>
          <w:spacing w:val="-17"/>
        </w:rPr>
        <w:t> </w:t>
      </w:r>
      <w:r>
        <w:rPr/>
        <w:t>into</w:t>
      </w:r>
      <w:r>
        <w:rPr>
          <w:spacing w:val="-16"/>
        </w:rPr>
        <w:t> </w:t>
      </w:r>
      <w:r>
        <w:rPr/>
        <w:t>cold</w:t>
      </w:r>
      <w:r>
        <w:rPr>
          <w:spacing w:val="-15"/>
        </w:rPr>
        <w:t> </w:t>
      </w:r>
      <w:r>
        <w:rPr/>
        <w:t>hard</w:t>
      </w:r>
      <w:r>
        <w:rPr>
          <w:spacing w:val="-17"/>
        </w:rPr>
        <w:t> </w:t>
      </w:r>
      <w:r>
        <w:rPr/>
        <w:t>cash.</w:t>
      </w:r>
      <w:r>
        <w:rPr>
          <w:spacing w:val="-18"/>
        </w:rPr>
        <w:t> </w:t>
      </w:r>
      <w:r>
        <w:rPr/>
        <w:t>In</w:t>
      </w:r>
      <w:r>
        <w:rPr>
          <w:spacing w:val="-16"/>
        </w:rPr>
        <w:t> </w:t>
      </w:r>
      <w:r>
        <w:rPr/>
        <w:t>fact,</w:t>
      </w:r>
      <w:r>
        <w:rPr>
          <w:spacing w:val="-15"/>
        </w:rPr>
        <w:t> </w:t>
      </w:r>
      <w:r>
        <w:rPr/>
        <w:t>it</w:t>
      </w:r>
      <w:r>
        <w:rPr>
          <w:spacing w:val="-18"/>
        </w:rPr>
        <w:t> </w:t>
      </w:r>
      <w:r>
        <w:rPr/>
        <w:t>has</w:t>
      </w:r>
      <w:r>
        <w:rPr>
          <w:spacing w:val="-16"/>
        </w:rPr>
        <w:t> </w:t>
      </w:r>
      <w:r>
        <w:rPr/>
        <w:t>since been</w:t>
      </w:r>
      <w:r>
        <w:rPr>
          <w:spacing w:val="-17"/>
        </w:rPr>
        <w:t> </w:t>
      </w:r>
      <w:r>
        <w:rPr/>
        <w:t>researching</w:t>
      </w:r>
      <w:r>
        <w:rPr>
          <w:spacing w:val="-19"/>
        </w:rPr>
        <w:t> </w:t>
      </w:r>
      <w:r>
        <w:rPr/>
        <w:t>a</w:t>
      </w:r>
      <w:r>
        <w:rPr>
          <w:spacing w:val="-18"/>
        </w:rPr>
        <w:t> </w:t>
      </w:r>
      <w:r>
        <w:rPr/>
        <w:t>new</w:t>
      </w:r>
      <w:r>
        <w:rPr>
          <w:spacing w:val="-18"/>
        </w:rPr>
        <w:t> </w:t>
      </w:r>
      <w:r>
        <w:rPr/>
        <w:t>substance</w:t>
      </w:r>
      <w:r>
        <w:rPr>
          <w:spacing w:val="-18"/>
        </w:rPr>
        <w:t> </w:t>
      </w:r>
      <w:r>
        <w:rPr/>
        <w:t>that,</w:t>
      </w:r>
      <w:r>
        <w:rPr>
          <w:spacing w:val="-16"/>
        </w:rPr>
        <w:t> </w:t>
      </w:r>
      <w:r>
        <w:rPr/>
        <w:t>according</w:t>
      </w:r>
      <w:r>
        <w:rPr>
          <w:spacing w:val="-17"/>
        </w:rPr>
        <w:t> </w:t>
      </w:r>
      <w:r>
        <w:rPr/>
        <w:t>to</w:t>
      </w:r>
      <w:r>
        <w:rPr>
          <w:spacing w:val="-16"/>
        </w:rPr>
        <w:t> </w:t>
      </w:r>
      <w:r>
        <w:rPr/>
        <w:t>the</w:t>
      </w:r>
      <w:r>
        <w:rPr>
          <w:spacing w:val="-16"/>
        </w:rPr>
        <w:t> </w:t>
      </w:r>
      <w:r>
        <w:rPr/>
        <w:t>principle</w:t>
      </w:r>
      <w:r>
        <w:rPr>
          <w:spacing w:val="-17"/>
        </w:rPr>
        <w:t> </w:t>
      </w:r>
      <w:r>
        <w:rPr/>
        <w:t>of</w:t>
      </w:r>
      <w:r>
        <w:rPr>
          <w:spacing w:val="-17"/>
        </w:rPr>
        <w:t> </w:t>
      </w:r>
      <w:r>
        <w:rPr/>
        <w:t>telomerase, can extend the telomeres again, or at the very least, protect them from further shortening and thereby rejuvenate the cell or prevent it from</w:t>
      </w:r>
      <w:r>
        <w:rPr>
          <w:spacing w:val="-11"/>
        </w:rPr>
        <w:t> </w:t>
      </w:r>
      <w:r>
        <w:rPr/>
        <w:t>ageing.</w:t>
      </w:r>
    </w:p>
    <w:p>
      <w:pPr>
        <w:pStyle w:val="Heading1"/>
        <w:spacing w:before="225"/>
        <w:jc w:val="both"/>
      </w:pPr>
      <w:r>
        <w:rPr/>
        <w:t>The Big Pharma approach always follows the same principles:</w:t>
      </w:r>
    </w:p>
    <w:p>
      <w:pPr>
        <w:pStyle w:val="ListParagraph"/>
        <w:numPr>
          <w:ilvl w:val="1"/>
          <w:numId w:val="17"/>
        </w:numPr>
        <w:tabs>
          <w:tab w:pos="1189" w:val="left" w:leader="none"/>
          <w:tab w:pos="1191" w:val="left" w:leader="none"/>
        </w:tabs>
        <w:spacing w:line="240" w:lineRule="auto" w:before="299" w:after="0"/>
        <w:ind w:left="1190" w:right="0" w:hanging="358"/>
        <w:jc w:val="left"/>
        <w:rPr>
          <w:sz w:val="38"/>
        </w:rPr>
      </w:pPr>
      <w:r>
        <w:rPr>
          <w:sz w:val="38"/>
        </w:rPr>
        <w:t>look at nature’s principle of</w:t>
      </w:r>
      <w:r>
        <w:rPr>
          <w:spacing w:val="-5"/>
          <w:sz w:val="38"/>
        </w:rPr>
        <w:t> </w:t>
      </w:r>
      <w:r>
        <w:rPr>
          <w:sz w:val="38"/>
        </w:rPr>
        <w:t>action;</w:t>
      </w:r>
    </w:p>
    <w:p>
      <w:pPr>
        <w:pStyle w:val="BodyText"/>
        <w:rPr>
          <w:sz w:val="20"/>
        </w:rPr>
      </w:pPr>
    </w:p>
    <w:p>
      <w:pPr>
        <w:pStyle w:val="BodyText"/>
        <w:rPr>
          <w:sz w:val="20"/>
        </w:rPr>
      </w:pPr>
    </w:p>
    <w:p>
      <w:pPr>
        <w:pStyle w:val="BodyText"/>
        <w:spacing w:before="7"/>
        <w:rPr>
          <w:sz w:val="12"/>
        </w:rPr>
      </w:pPr>
      <w:r>
        <w:rPr/>
        <w:pict>
          <v:line style="position:absolute;mso-position-horizontal-relative:page;mso-position-vertical-relative:paragraph;z-index:584;mso-wrap-distance-left:0;mso-wrap-distance-right:0" from="63.863998pt,9.459995pt" to="207.883998pt,9.459995pt" stroked="true" strokeweight=".71997pt" strokecolor="#000000">
            <v:stroke dashstyle="solid"/>
            <w10:wrap type="topAndBottom"/>
          </v:line>
        </w:pict>
      </w:r>
    </w:p>
    <w:p>
      <w:pPr>
        <w:pStyle w:val="BodyText"/>
        <w:spacing w:before="7"/>
        <w:rPr>
          <w:sz w:val="18"/>
        </w:rPr>
      </w:pPr>
    </w:p>
    <w:p>
      <w:pPr>
        <w:spacing w:line="276" w:lineRule="auto" w:before="99"/>
        <w:ind w:left="477" w:right="217" w:firstLine="0"/>
        <w:jc w:val="left"/>
        <w:rPr>
          <w:sz w:val="20"/>
        </w:rPr>
      </w:pPr>
      <w:r>
        <w:rPr/>
        <w:drawing>
          <wp:anchor distT="0" distB="0" distL="0" distR="0" allowOverlap="1" layoutInCell="1" locked="0" behindDoc="1" simplePos="0" relativeHeight="267168383">
            <wp:simplePos x="0" y="0"/>
            <wp:positionH relativeFrom="page">
              <wp:posOffset>896463</wp:posOffset>
            </wp:positionH>
            <wp:positionV relativeFrom="paragraph">
              <wp:posOffset>474321</wp:posOffset>
            </wp:positionV>
            <wp:extent cx="6379583" cy="902106"/>
            <wp:effectExtent l="0" t="0" r="0" b="0"/>
            <wp:wrapNone/>
            <wp:docPr id="63" name="image2.jpeg" descr=""/>
            <wp:cNvGraphicFramePr>
              <a:graphicFrameLocks noChangeAspect="1"/>
            </wp:cNvGraphicFramePr>
            <a:graphic>
              <a:graphicData uri="http://schemas.openxmlformats.org/drawingml/2006/picture">
                <pic:pic>
                  <pic:nvPicPr>
                    <pic:cNvPr id="64"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93 </w:t>
      </w:r>
      <w:r>
        <w:rPr>
          <w:sz w:val="20"/>
        </w:rPr>
        <w:t>Reconstitution of telomerase activity in normal human cells leads to elongation of telomeres and extended replicative life span; Homayoun Vaziri1 and Samuel Benchimol; Department of Medical Biophysics, Ontario Cancer Institute, University of Toronto, 610 University Avenue, Toronto, On- tario M5G 2M9, Canada</w:t>
      </w:r>
    </w:p>
    <w:p>
      <w:pPr>
        <w:spacing w:after="0" w:line="276" w:lineRule="auto"/>
        <w:jc w:val="left"/>
        <w:rPr>
          <w:sz w:val="20"/>
        </w:rPr>
        <w:sectPr>
          <w:footerReference w:type="default" r:id="rId49"/>
          <w:pgSz w:w="14270" w:h="16850"/>
          <w:pgMar w:footer="527" w:header="0" w:top="1600" w:bottom="720" w:left="800" w:right="1280"/>
          <w:pgNumType w:start="216"/>
        </w:sectPr>
      </w:pPr>
    </w:p>
    <w:p>
      <w:pPr>
        <w:pStyle w:val="BodyText"/>
        <w:spacing w:before="10"/>
        <w:rPr>
          <w:sz w:val="8"/>
        </w:rPr>
      </w:pPr>
    </w:p>
    <w:p>
      <w:pPr>
        <w:pStyle w:val="ListParagraph"/>
        <w:numPr>
          <w:ilvl w:val="1"/>
          <w:numId w:val="17"/>
        </w:numPr>
        <w:tabs>
          <w:tab w:pos="1189" w:val="left" w:leader="none"/>
          <w:tab w:pos="1191" w:val="left" w:leader="none"/>
        </w:tabs>
        <w:spacing w:line="273" w:lineRule="auto" w:before="83" w:after="0"/>
        <w:ind w:left="1190" w:right="134" w:hanging="358"/>
        <w:jc w:val="left"/>
        <w:rPr>
          <w:sz w:val="38"/>
        </w:rPr>
      </w:pPr>
      <w:r>
        <w:rPr>
          <w:sz w:val="38"/>
        </w:rPr>
        <w:t>extract individual substances which are responsible for the principle of</w:t>
      </w:r>
      <w:r>
        <w:rPr>
          <w:spacing w:val="-59"/>
          <w:sz w:val="38"/>
        </w:rPr>
        <w:t> </w:t>
      </w:r>
      <w:r>
        <w:rPr>
          <w:sz w:val="38"/>
        </w:rPr>
        <w:t>ac- tion from nature, or attempt to make them</w:t>
      </w:r>
      <w:r>
        <w:rPr>
          <w:spacing w:val="-2"/>
          <w:sz w:val="38"/>
        </w:rPr>
        <w:t> </w:t>
      </w:r>
      <w:r>
        <w:rPr>
          <w:sz w:val="38"/>
        </w:rPr>
        <w:t>synthetically;</w:t>
      </w:r>
    </w:p>
    <w:p>
      <w:pPr>
        <w:pStyle w:val="ListParagraph"/>
        <w:numPr>
          <w:ilvl w:val="1"/>
          <w:numId w:val="17"/>
        </w:numPr>
        <w:tabs>
          <w:tab w:pos="1189" w:val="left" w:leader="none"/>
          <w:tab w:pos="1191" w:val="left" w:leader="none"/>
        </w:tabs>
        <w:spacing w:line="240" w:lineRule="auto" w:before="7" w:after="0"/>
        <w:ind w:left="1190" w:right="0" w:hanging="358"/>
        <w:jc w:val="left"/>
        <w:rPr>
          <w:sz w:val="38"/>
        </w:rPr>
      </w:pPr>
      <w:r>
        <w:rPr>
          <w:sz w:val="38"/>
        </w:rPr>
        <w:t>apply for a patent for the resulting isolated</w:t>
      </w:r>
      <w:r>
        <w:rPr>
          <w:spacing w:val="-3"/>
          <w:sz w:val="38"/>
        </w:rPr>
        <w:t> </w:t>
      </w:r>
      <w:r>
        <w:rPr>
          <w:sz w:val="38"/>
        </w:rPr>
        <w:t>drug;</w:t>
      </w:r>
    </w:p>
    <w:p>
      <w:pPr>
        <w:pStyle w:val="ListParagraph"/>
        <w:numPr>
          <w:ilvl w:val="1"/>
          <w:numId w:val="17"/>
        </w:numPr>
        <w:tabs>
          <w:tab w:pos="1189" w:val="left" w:leader="none"/>
          <w:tab w:pos="1191" w:val="left" w:leader="none"/>
        </w:tabs>
        <w:spacing w:line="240" w:lineRule="auto" w:before="64" w:after="0"/>
        <w:ind w:left="1190" w:right="0" w:hanging="358"/>
        <w:jc w:val="left"/>
        <w:rPr>
          <w:sz w:val="38"/>
        </w:rPr>
      </w:pPr>
      <w:r>
        <w:rPr>
          <w:sz w:val="38"/>
        </w:rPr>
        <w:t>develop a drug from</w:t>
      </w:r>
      <w:r>
        <w:rPr>
          <w:spacing w:val="1"/>
          <w:sz w:val="38"/>
        </w:rPr>
        <w:t> </w:t>
      </w:r>
      <w:r>
        <w:rPr>
          <w:sz w:val="38"/>
        </w:rPr>
        <w:t>it;</w:t>
      </w:r>
    </w:p>
    <w:p>
      <w:pPr>
        <w:pStyle w:val="ListParagraph"/>
        <w:numPr>
          <w:ilvl w:val="1"/>
          <w:numId w:val="17"/>
        </w:numPr>
        <w:tabs>
          <w:tab w:pos="1189" w:val="left" w:leader="none"/>
          <w:tab w:pos="1191" w:val="left" w:leader="none"/>
        </w:tabs>
        <w:spacing w:line="240" w:lineRule="auto" w:before="66" w:after="0"/>
        <w:ind w:left="1190" w:right="0" w:hanging="358"/>
        <w:jc w:val="left"/>
        <w:rPr>
          <w:sz w:val="38"/>
        </w:rPr>
      </w:pPr>
      <w:r>
        <w:rPr>
          <w:sz w:val="38"/>
        </w:rPr>
        <w:t>commission (positive) studies;</w:t>
      </w:r>
    </w:p>
    <w:p>
      <w:pPr>
        <w:pStyle w:val="ListParagraph"/>
        <w:numPr>
          <w:ilvl w:val="0"/>
          <w:numId w:val="20"/>
        </w:numPr>
        <w:tabs>
          <w:tab w:pos="1189" w:val="left" w:leader="none"/>
          <w:tab w:pos="1191" w:val="left" w:leader="none"/>
        </w:tabs>
        <w:spacing w:line="240" w:lineRule="auto" w:before="63" w:after="0"/>
        <w:ind w:left="1190" w:right="0" w:hanging="430"/>
        <w:jc w:val="left"/>
        <w:rPr>
          <w:sz w:val="38"/>
        </w:rPr>
      </w:pPr>
      <w:r>
        <w:rPr>
          <w:sz w:val="38"/>
        </w:rPr>
        <w:t>launch the marketing</w:t>
      </w:r>
      <w:r>
        <w:rPr>
          <w:spacing w:val="3"/>
          <w:sz w:val="38"/>
        </w:rPr>
        <w:t> </w:t>
      </w:r>
      <w:r>
        <w:rPr>
          <w:sz w:val="38"/>
        </w:rPr>
        <w:t>machinery;</w:t>
      </w:r>
    </w:p>
    <w:p>
      <w:pPr>
        <w:pStyle w:val="ListParagraph"/>
        <w:numPr>
          <w:ilvl w:val="0"/>
          <w:numId w:val="20"/>
        </w:numPr>
        <w:tabs>
          <w:tab w:pos="1189" w:val="left" w:leader="none"/>
          <w:tab w:pos="1191" w:val="left" w:leader="none"/>
        </w:tabs>
        <w:spacing w:line="240" w:lineRule="auto" w:before="65" w:after="0"/>
        <w:ind w:left="1190" w:right="0" w:hanging="430"/>
        <w:jc w:val="left"/>
        <w:rPr>
          <w:sz w:val="38"/>
        </w:rPr>
      </w:pPr>
      <w:r>
        <w:rPr>
          <w:sz w:val="38"/>
        </w:rPr>
        <w:t>cash in to the tune of millions and</w:t>
      </w:r>
      <w:r>
        <w:rPr>
          <w:spacing w:val="3"/>
          <w:sz w:val="38"/>
        </w:rPr>
        <w:t> </w:t>
      </w:r>
      <w:r>
        <w:rPr>
          <w:sz w:val="38"/>
        </w:rPr>
        <w:t>billions.</w:t>
      </w:r>
    </w:p>
    <w:p>
      <w:pPr>
        <w:pStyle w:val="BodyText"/>
        <w:spacing w:line="276" w:lineRule="auto" w:before="182"/>
        <w:ind w:left="477" w:right="131"/>
        <w:jc w:val="both"/>
      </w:pPr>
      <w:r>
        <w:rPr/>
        <w:t>All Big Pharma drugs are based almost exclusively on mechanisms which Big Pharma has taken, or has tried to take, from complex biochemical principles that have matured over millions of years in nature!</w:t>
      </w:r>
    </w:p>
    <w:p>
      <w:pPr>
        <w:pStyle w:val="BodyText"/>
        <w:spacing w:line="276" w:lineRule="auto" w:before="241"/>
        <w:ind w:left="477" w:right="133"/>
        <w:jc w:val="both"/>
      </w:pPr>
      <w:r>
        <w:rPr/>
        <w:t>It</w:t>
      </w:r>
      <w:r>
        <w:rPr>
          <w:spacing w:val="-7"/>
        </w:rPr>
        <w:t> </w:t>
      </w:r>
      <w:r>
        <w:rPr/>
        <w:t>is</w:t>
      </w:r>
      <w:r>
        <w:rPr>
          <w:spacing w:val="-6"/>
        </w:rPr>
        <w:t> </w:t>
      </w:r>
      <w:r>
        <w:rPr/>
        <w:t>arrogant,</w:t>
      </w:r>
      <w:r>
        <w:rPr>
          <w:spacing w:val="-4"/>
        </w:rPr>
        <w:t> </w:t>
      </w:r>
      <w:r>
        <w:rPr/>
        <w:t>ignorant,</w:t>
      </w:r>
      <w:r>
        <w:rPr>
          <w:spacing w:val="-5"/>
        </w:rPr>
        <w:t> </w:t>
      </w:r>
      <w:r>
        <w:rPr/>
        <w:t>and</w:t>
      </w:r>
      <w:r>
        <w:rPr>
          <w:spacing w:val="-9"/>
        </w:rPr>
        <w:t> </w:t>
      </w:r>
      <w:r>
        <w:rPr/>
        <w:t>simply</w:t>
      </w:r>
      <w:r>
        <w:rPr>
          <w:spacing w:val="-5"/>
        </w:rPr>
        <w:t> </w:t>
      </w:r>
      <w:r>
        <w:rPr/>
        <w:t>presumptuous</w:t>
      </w:r>
      <w:r>
        <w:rPr>
          <w:spacing w:val="-7"/>
        </w:rPr>
        <w:t> </w:t>
      </w:r>
      <w:r>
        <w:rPr/>
        <w:t>(and</w:t>
      </w:r>
      <w:r>
        <w:rPr>
          <w:spacing w:val="-5"/>
        </w:rPr>
        <w:t> </w:t>
      </w:r>
      <w:r>
        <w:rPr/>
        <w:t>stupid)</w:t>
      </w:r>
      <w:r>
        <w:rPr>
          <w:spacing w:val="-5"/>
        </w:rPr>
        <w:t> </w:t>
      </w:r>
      <w:r>
        <w:rPr/>
        <w:t>to</w:t>
      </w:r>
      <w:r>
        <w:rPr>
          <w:spacing w:val="-6"/>
        </w:rPr>
        <w:t> </w:t>
      </w:r>
      <w:r>
        <w:rPr/>
        <w:t>assume</w:t>
      </w:r>
      <w:r>
        <w:rPr>
          <w:spacing w:val="-6"/>
        </w:rPr>
        <w:t> </w:t>
      </w:r>
      <w:r>
        <w:rPr/>
        <w:t>that</w:t>
      </w:r>
      <w:r>
        <w:rPr>
          <w:spacing w:val="-9"/>
        </w:rPr>
        <w:t> </w:t>
      </w:r>
      <w:r>
        <w:rPr/>
        <w:t>a team of professors and doctors would be able to understand and imitate</w:t>
      </w:r>
      <w:r>
        <w:rPr>
          <w:spacing w:val="-50"/>
        </w:rPr>
        <w:t> </w:t>
      </w:r>
      <w:r>
        <w:rPr/>
        <w:t>devel- opments</w:t>
      </w:r>
      <w:r>
        <w:rPr>
          <w:spacing w:val="-17"/>
        </w:rPr>
        <w:t> </w:t>
      </w:r>
      <w:r>
        <w:rPr/>
        <w:t>in</w:t>
      </w:r>
      <w:r>
        <w:rPr>
          <w:spacing w:val="-17"/>
        </w:rPr>
        <w:t> </w:t>
      </w:r>
      <w:r>
        <w:rPr/>
        <w:t>highly</w:t>
      </w:r>
      <w:r>
        <w:rPr>
          <w:spacing w:val="-18"/>
        </w:rPr>
        <w:t> </w:t>
      </w:r>
      <w:r>
        <w:rPr/>
        <w:t>complex</w:t>
      </w:r>
      <w:r>
        <w:rPr>
          <w:spacing w:val="-19"/>
        </w:rPr>
        <w:t> </w:t>
      </w:r>
      <w:r>
        <w:rPr/>
        <w:t>systems</w:t>
      </w:r>
      <w:r>
        <w:rPr>
          <w:spacing w:val="-17"/>
        </w:rPr>
        <w:t> </w:t>
      </w:r>
      <w:r>
        <w:rPr/>
        <w:t>of</w:t>
      </w:r>
      <w:r>
        <w:rPr>
          <w:spacing w:val="-16"/>
        </w:rPr>
        <w:t> </w:t>
      </w:r>
      <w:r>
        <w:rPr/>
        <w:t>nature,</w:t>
      </w:r>
      <w:r>
        <w:rPr>
          <w:spacing w:val="-17"/>
        </w:rPr>
        <w:t> </w:t>
      </w:r>
      <w:r>
        <w:rPr/>
        <w:t>which</w:t>
      </w:r>
      <w:r>
        <w:rPr>
          <w:spacing w:val="-17"/>
        </w:rPr>
        <w:t> </w:t>
      </w:r>
      <w:r>
        <w:rPr/>
        <w:t>have</w:t>
      </w:r>
      <w:r>
        <w:rPr>
          <w:spacing w:val="-17"/>
        </w:rPr>
        <w:t> </w:t>
      </w:r>
      <w:r>
        <w:rPr/>
        <w:t>a</w:t>
      </w:r>
      <w:r>
        <w:rPr>
          <w:spacing w:val="-19"/>
        </w:rPr>
        <w:t> </w:t>
      </w:r>
      <w:r>
        <w:rPr/>
        <w:t>biofunctional</w:t>
      </w:r>
      <w:r>
        <w:rPr>
          <w:spacing w:val="-19"/>
        </w:rPr>
        <w:t> </w:t>
      </w:r>
      <w:r>
        <w:rPr/>
        <w:t>adap- tive</w:t>
      </w:r>
      <w:r>
        <w:rPr>
          <w:spacing w:val="-22"/>
        </w:rPr>
        <w:t> </w:t>
      </w:r>
      <w:r>
        <w:rPr/>
        <w:t>evolution</w:t>
      </w:r>
      <w:r>
        <w:rPr>
          <w:spacing w:val="-19"/>
        </w:rPr>
        <w:t> </w:t>
      </w:r>
      <w:r>
        <w:rPr/>
        <w:t>of</w:t>
      </w:r>
      <w:r>
        <w:rPr>
          <w:spacing w:val="-20"/>
        </w:rPr>
        <w:t> </w:t>
      </w:r>
      <w:r>
        <w:rPr/>
        <w:t>millions</w:t>
      </w:r>
      <w:r>
        <w:rPr>
          <w:spacing w:val="-20"/>
        </w:rPr>
        <w:t> </w:t>
      </w:r>
      <w:r>
        <w:rPr/>
        <w:t>of</w:t>
      </w:r>
      <w:r>
        <w:rPr>
          <w:spacing w:val="-20"/>
        </w:rPr>
        <w:t> </w:t>
      </w:r>
      <w:r>
        <w:rPr/>
        <w:t>years,</w:t>
      </w:r>
      <w:r>
        <w:rPr>
          <w:spacing w:val="-20"/>
        </w:rPr>
        <w:t> </w:t>
      </w:r>
      <w:r>
        <w:rPr/>
        <w:t>in</w:t>
      </w:r>
      <w:r>
        <w:rPr>
          <w:spacing w:val="-20"/>
        </w:rPr>
        <w:t> </w:t>
      </w:r>
      <w:r>
        <w:rPr/>
        <w:t>a</w:t>
      </w:r>
      <w:r>
        <w:rPr>
          <w:spacing w:val="-22"/>
        </w:rPr>
        <w:t> </w:t>
      </w:r>
      <w:r>
        <w:rPr/>
        <w:t>matter</w:t>
      </w:r>
      <w:r>
        <w:rPr>
          <w:spacing w:val="-20"/>
        </w:rPr>
        <w:t> </w:t>
      </w:r>
      <w:r>
        <w:rPr/>
        <w:t>of</w:t>
      </w:r>
      <w:r>
        <w:rPr>
          <w:spacing w:val="-20"/>
        </w:rPr>
        <w:t> </w:t>
      </w:r>
      <w:r>
        <w:rPr/>
        <w:t>weeks</w:t>
      </w:r>
      <w:r>
        <w:rPr>
          <w:spacing w:val="-20"/>
        </w:rPr>
        <w:t> </w:t>
      </w:r>
      <w:r>
        <w:rPr/>
        <w:t>or</w:t>
      </w:r>
      <w:r>
        <w:rPr>
          <w:spacing w:val="-20"/>
        </w:rPr>
        <w:t> </w:t>
      </w:r>
      <w:r>
        <w:rPr/>
        <w:t>months.</w:t>
      </w:r>
      <w:r>
        <w:rPr>
          <w:spacing w:val="-22"/>
        </w:rPr>
        <w:t> </w:t>
      </w:r>
      <w:r>
        <w:rPr/>
        <w:t>At</w:t>
      </w:r>
      <w:r>
        <w:rPr>
          <w:spacing w:val="-21"/>
        </w:rPr>
        <w:t> </w:t>
      </w:r>
      <w:r>
        <w:rPr/>
        <w:t>this</w:t>
      </w:r>
      <w:r>
        <w:rPr>
          <w:spacing w:val="-19"/>
        </w:rPr>
        <w:t> </w:t>
      </w:r>
      <w:r>
        <w:rPr/>
        <w:t>point, we cite the double Nobel laureate and vitamin researcher Linus Pauling, who really got to the heart of this modern</w:t>
      </w:r>
      <w:r>
        <w:rPr>
          <w:spacing w:val="-1"/>
        </w:rPr>
        <w:t> </w:t>
      </w:r>
      <w:r>
        <w:rPr/>
        <w:t>problem:</w:t>
      </w:r>
    </w:p>
    <w:p>
      <w:pPr>
        <w:spacing w:line="276" w:lineRule="auto" w:before="240"/>
        <w:ind w:left="477" w:right="132" w:firstLine="0"/>
        <w:jc w:val="both"/>
        <w:rPr>
          <w:i/>
          <w:sz w:val="38"/>
        </w:rPr>
      </w:pPr>
      <w:r>
        <w:rPr>
          <w:i/>
          <w:sz w:val="38"/>
        </w:rPr>
        <w:t>‘... anything that is not ‘orthomolecular’ (proper molecules known to the organism) in the </w:t>
      </w:r>
      <w:r>
        <w:rPr>
          <w:i/>
          <w:sz w:val="38"/>
        </w:rPr>
        <w:t>treatment and prevention of chronic diseases will fail. The mechanism of our physical systems is reluctant, in the medium term, to react positively with non-orthomolecular (‘toximolecular’) substances. ‘Conventional medicine’ will try to compensate for the non-observance of this maxim – born of narrow-mindedness and ignorance of the laws of nature – with money, research</w:t>
      </w:r>
      <w:r>
        <w:rPr>
          <w:i/>
          <w:spacing w:val="-18"/>
          <w:sz w:val="38"/>
        </w:rPr>
        <w:t> </w:t>
      </w:r>
      <w:r>
        <w:rPr>
          <w:i/>
          <w:sz w:val="38"/>
        </w:rPr>
        <w:t>giantism</w:t>
      </w:r>
      <w:r>
        <w:rPr>
          <w:i/>
          <w:spacing w:val="-18"/>
          <w:sz w:val="38"/>
        </w:rPr>
        <w:t> </w:t>
      </w:r>
      <w:r>
        <w:rPr>
          <w:i/>
          <w:sz w:val="38"/>
        </w:rPr>
        <w:t>and</w:t>
      </w:r>
      <w:r>
        <w:rPr>
          <w:i/>
          <w:spacing w:val="-17"/>
          <w:sz w:val="38"/>
        </w:rPr>
        <w:t> </w:t>
      </w:r>
      <w:r>
        <w:rPr>
          <w:i/>
          <w:sz w:val="38"/>
        </w:rPr>
        <w:t>propaganda.</w:t>
      </w:r>
      <w:r>
        <w:rPr>
          <w:i/>
          <w:spacing w:val="-17"/>
          <w:sz w:val="38"/>
        </w:rPr>
        <w:t> </w:t>
      </w:r>
      <w:r>
        <w:rPr>
          <w:i/>
          <w:sz w:val="38"/>
        </w:rPr>
        <w:t>This</w:t>
      </w:r>
      <w:r>
        <w:rPr>
          <w:i/>
          <w:spacing w:val="-19"/>
          <w:sz w:val="38"/>
        </w:rPr>
        <w:t> </w:t>
      </w:r>
      <w:r>
        <w:rPr>
          <w:i/>
          <w:sz w:val="38"/>
        </w:rPr>
        <w:t>endeavour</w:t>
      </w:r>
      <w:r>
        <w:rPr>
          <w:i/>
          <w:spacing w:val="-17"/>
          <w:sz w:val="38"/>
        </w:rPr>
        <w:t> </w:t>
      </w:r>
      <w:r>
        <w:rPr>
          <w:i/>
          <w:sz w:val="38"/>
        </w:rPr>
        <w:t>will</w:t>
      </w:r>
      <w:r>
        <w:rPr>
          <w:i/>
          <w:spacing w:val="-17"/>
          <w:sz w:val="38"/>
        </w:rPr>
        <w:t> </w:t>
      </w:r>
      <w:r>
        <w:rPr>
          <w:i/>
          <w:sz w:val="38"/>
        </w:rPr>
        <w:t>fail</w:t>
      </w:r>
      <w:r>
        <w:rPr>
          <w:i/>
          <w:spacing w:val="-17"/>
          <w:sz w:val="38"/>
        </w:rPr>
        <w:t> </w:t>
      </w:r>
      <w:r>
        <w:rPr>
          <w:i/>
          <w:sz w:val="38"/>
        </w:rPr>
        <w:t>and</w:t>
      </w:r>
      <w:r>
        <w:rPr>
          <w:i/>
          <w:spacing w:val="-17"/>
          <w:sz w:val="38"/>
        </w:rPr>
        <w:t> </w:t>
      </w:r>
      <w:r>
        <w:rPr>
          <w:i/>
          <w:sz w:val="38"/>
        </w:rPr>
        <w:t>result</w:t>
      </w:r>
      <w:r>
        <w:rPr>
          <w:i/>
          <w:spacing w:val="-20"/>
          <w:sz w:val="38"/>
        </w:rPr>
        <w:t> </w:t>
      </w:r>
      <w:r>
        <w:rPr>
          <w:i/>
          <w:sz w:val="38"/>
        </w:rPr>
        <w:t>in</w:t>
      </w:r>
      <w:r>
        <w:rPr>
          <w:i/>
          <w:spacing w:val="-17"/>
          <w:sz w:val="38"/>
        </w:rPr>
        <w:t> </w:t>
      </w:r>
      <w:r>
        <w:rPr>
          <w:i/>
          <w:sz w:val="38"/>
        </w:rPr>
        <w:t>a</w:t>
      </w:r>
      <w:r>
        <w:rPr>
          <w:i/>
          <w:spacing w:val="-19"/>
          <w:sz w:val="38"/>
        </w:rPr>
        <w:t> </w:t>
      </w:r>
      <w:r>
        <w:rPr>
          <w:i/>
          <w:sz w:val="38"/>
        </w:rPr>
        <w:t>huge</w:t>
      </w:r>
      <w:r>
        <w:rPr>
          <w:i/>
          <w:spacing w:val="-18"/>
          <w:sz w:val="38"/>
        </w:rPr>
        <w:t> </w:t>
      </w:r>
      <w:r>
        <w:rPr>
          <w:i/>
          <w:sz w:val="38"/>
        </w:rPr>
        <w:t>cost</w:t>
      </w:r>
      <w:r>
        <w:rPr>
          <w:i/>
          <w:spacing w:val="-17"/>
          <w:sz w:val="38"/>
        </w:rPr>
        <w:t> </w:t>
      </w:r>
      <w:r>
        <w:rPr>
          <w:i/>
          <w:sz w:val="38"/>
        </w:rPr>
        <w:t>explosion</w:t>
      </w:r>
    </w:p>
    <w:p>
      <w:pPr>
        <w:spacing w:after="0" w:line="276" w:lineRule="auto"/>
        <w:jc w:val="both"/>
        <w:rPr>
          <w:sz w:val="38"/>
        </w:rPr>
        <w:sectPr>
          <w:footerReference w:type="default" r:id="rId50"/>
          <w:pgSz w:w="14270" w:h="16850"/>
          <w:pgMar w:footer="1891" w:header="0" w:top="1600" w:bottom="2080" w:left="800" w:right="1280"/>
          <w:pgNumType w:start="217"/>
        </w:sectPr>
      </w:pPr>
    </w:p>
    <w:p>
      <w:pPr>
        <w:spacing w:line="276" w:lineRule="auto" w:before="181"/>
        <w:ind w:left="477" w:right="130" w:firstLine="0"/>
        <w:jc w:val="both"/>
        <w:rPr>
          <w:i/>
          <w:sz w:val="38"/>
        </w:rPr>
      </w:pPr>
      <w:r>
        <w:rPr>
          <w:i/>
          <w:sz w:val="38"/>
        </w:rPr>
        <w:t>in</w:t>
      </w:r>
      <w:r>
        <w:rPr>
          <w:i/>
          <w:spacing w:val="-17"/>
          <w:sz w:val="38"/>
        </w:rPr>
        <w:t> </w:t>
      </w:r>
      <w:r>
        <w:rPr>
          <w:i/>
          <w:sz w:val="38"/>
        </w:rPr>
        <w:t>health</w:t>
      </w:r>
      <w:r>
        <w:rPr>
          <w:i/>
          <w:spacing w:val="-19"/>
          <w:sz w:val="38"/>
        </w:rPr>
        <w:t> </w:t>
      </w:r>
      <w:r>
        <w:rPr>
          <w:i/>
          <w:sz w:val="38"/>
        </w:rPr>
        <w:t>care,</w:t>
      </w:r>
      <w:r>
        <w:rPr>
          <w:i/>
          <w:spacing w:val="-19"/>
          <w:sz w:val="38"/>
        </w:rPr>
        <w:t> </w:t>
      </w:r>
      <w:r>
        <w:rPr>
          <w:i/>
          <w:sz w:val="38"/>
        </w:rPr>
        <w:t>resulting</w:t>
      </w:r>
      <w:r>
        <w:rPr>
          <w:i/>
          <w:spacing w:val="-16"/>
          <w:sz w:val="38"/>
        </w:rPr>
        <w:t> </w:t>
      </w:r>
      <w:r>
        <w:rPr>
          <w:i/>
          <w:sz w:val="38"/>
        </w:rPr>
        <w:t>in</w:t>
      </w:r>
      <w:r>
        <w:rPr>
          <w:i/>
          <w:spacing w:val="-19"/>
          <w:sz w:val="38"/>
        </w:rPr>
        <w:t> </w:t>
      </w:r>
      <w:r>
        <w:rPr>
          <w:i/>
          <w:sz w:val="38"/>
        </w:rPr>
        <w:t>severe</w:t>
      </w:r>
      <w:r>
        <w:rPr>
          <w:i/>
          <w:spacing w:val="-17"/>
          <w:sz w:val="38"/>
        </w:rPr>
        <w:t> </w:t>
      </w:r>
      <w:r>
        <w:rPr>
          <w:i/>
          <w:sz w:val="38"/>
        </w:rPr>
        <w:t>social</w:t>
      </w:r>
      <w:r>
        <w:rPr>
          <w:i/>
          <w:spacing w:val="-22"/>
          <w:sz w:val="38"/>
        </w:rPr>
        <w:t> </w:t>
      </w:r>
      <w:r>
        <w:rPr>
          <w:i/>
          <w:sz w:val="38"/>
        </w:rPr>
        <w:t>upheaval,</w:t>
      </w:r>
      <w:r>
        <w:rPr>
          <w:i/>
          <w:spacing w:val="-16"/>
          <w:sz w:val="38"/>
        </w:rPr>
        <w:t> </w:t>
      </w:r>
      <w:r>
        <w:rPr>
          <w:i/>
          <w:sz w:val="38"/>
        </w:rPr>
        <w:t>economic</w:t>
      </w:r>
      <w:r>
        <w:rPr>
          <w:i/>
          <w:spacing w:val="-19"/>
          <w:sz w:val="38"/>
        </w:rPr>
        <w:t> </w:t>
      </w:r>
      <w:r>
        <w:rPr>
          <w:i/>
          <w:sz w:val="38"/>
        </w:rPr>
        <w:t>and</w:t>
      </w:r>
      <w:r>
        <w:rPr>
          <w:i/>
          <w:spacing w:val="-16"/>
          <w:sz w:val="38"/>
        </w:rPr>
        <w:t> </w:t>
      </w:r>
      <w:r>
        <w:rPr>
          <w:i/>
          <w:sz w:val="38"/>
        </w:rPr>
        <w:t>political</w:t>
      </w:r>
      <w:r>
        <w:rPr>
          <w:i/>
          <w:spacing w:val="-17"/>
          <w:sz w:val="38"/>
        </w:rPr>
        <w:t> </w:t>
      </w:r>
      <w:r>
        <w:rPr>
          <w:i/>
          <w:sz w:val="38"/>
        </w:rPr>
        <w:t>crises.</w:t>
      </w:r>
      <w:r>
        <w:rPr>
          <w:i/>
          <w:spacing w:val="-15"/>
          <w:sz w:val="38"/>
        </w:rPr>
        <w:t> </w:t>
      </w:r>
      <w:r>
        <w:rPr>
          <w:i/>
          <w:sz w:val="38"/>
        </w:rPr>
        <w:t>Even</w:t>
      </w:r>
      <w:r>
        <w:rPr>
          <w:i/>
          <w:spacing w:val="-17"/>
          <w:sz w:val="38"/>
        </w:rPr>
        <w:t> </w:t>
      </w:r>
      <w:r>
        <w:rPr>
          <w:i/>
          <w:sz w:val="38"/>
        </w:rPr>
        <w:t>industries </w:t>
      </w:r>
      <w:r>
        <w:rPr>
          <w:i/>
          <w:sz w:val="38"/>
        </w:rPr>
        <w:t>that unite into huge conglomerates to cope with financing toximolecular, non-biological ‘drugs’ will fail. No money in the world would be able to reproduce or even surpass the development of drugs from hundreds of millions of years of biofunctional adaptive</w:t>
      </w:r>
      <w:r>
        <w:rPr>
          <w:i/>
          <w:spacing w:val="-4"/>
          <w:sz w:val="38"/>
        </w:rPr>
        <w:t> </w:t>
      </w:r>
      <w:r>
        <w:rPr>
          <w:i/>
          <w:sz w:val="38"/>
        </w:rPr>
        <w:t>development’.</w:t>
      </w:r>
    </w:p>
    <w:p>
      <w:pPr>
        <w:pStyle w:val="BodyText"/>
        <w:spacing w:line="276" w:lineRule="auto" w:before="242"/>
        <w:ind w:left="477" w:right="131"/>
        <w:jc w:val="both"/>
      </w:pPr>
      <w:r>
        <w:rPr/>
        <w:t>And</w:t>
      </w:r>
      <w:r>
        <w:rPr>
          <w:spacing w:val="-15"/>
        </w:rPr>
        <w:t> </w:t>
      </w:r>
      <w:r>
        <w:rPr/>
        <w:t>if</w:t>
      </w:r>
      <w:r>
        <w:rPr>
          <w:spacing w:val="-15"/>
        </w:rPr>
        <w:t> </w:t>
      </w:r>
      <w:r>
        <w:rPr/>
        <w:t>it</w:t>
      </w:r>
      <w:r>
        <w:rPr>
          <w:spacing w:val="-16"/>
        </w:rPr>
        <w:t> </w:t>
      </w:r>
      <w:r>
        <w:rPr/>
        <w:t>were</w:t>
      </w:r>
      <w:r>
        <w:rPr>
          <w:spacing w:val="-14"/>
        </w:rPr>
        <w:t> </w:t>
      </w:r>
      <w:r>
        <w:rPr/>
        <w:t>not</w:t>
      </w:r>
      <w:r>
        <w:rPr>
          <w:spacing w:val="-14"/>
        </w:rPr>
        <w:t> </w:t>
      </w:r>
      <w:r>
        <w:rPr/>
        <w:t>enough</w:t>
      </w:r>
      <w:r>
        <w:rPr>
          <w:spacing w:val="-14"/>
        </w:rPr>
        <w:t> </w:t>
      </w:r>
      <w:r>
        <w:rPr/>
        <w:t>that</w:t>
      </w:r>
      <w:r>
        <w:rPr>
          <w:spacing w:val="-14"/>
        </w:rPr>
        <w:t> </w:t>
      </w:r>
      <w:r>
        <w:rPr/>
        <w:t>this</w:t>
      </w:r>
      <w:r>
        <w:rPr>
          <w:spacing w:val="-14"/>
        </w:rPr>
        <w:t> </w:t>
      </w:r>
      <w:r>
        <w:rPr/>
        <w:t>highly</w:t>
      </w:r>
      <w:r>
        <w:rPr>
          <w:spacing w:val="-15"/>
        </w:rPr>
        <w:t> </w:t>
      </w:r>
      <w:r>
        <w:rPr/>
        <w:t>questionable</w:t>
      </w:r>
      <w:r>
        <w:rPr>
          <w:spacing w:val="-16"/>
        </w:rPr>
        <w:t> </w:t>
      </w:r>
      <w:r>
        <w:rPr/>
        <w:t>approach</w:t>
      </w:r>
      <w:r>
        <w:rPr>
          <w:spacing w:val="-12"/>
        </w:rPr>
        <w:t> </w:t>
      </w:r>
      <w:r>
        <w:rPr/>
        <w:t>of</w:t>
      </w:r>
      <w:r>
        <w:rPr>
          <w:spacing w:val="-14"/>
        </w:rPr>
        <w:t> </w:t>
      </w:r>
      <w:r>
        <w:rPr/>
        <w:t>Big</w:t>
      </w:r>
      <w:r>
        <w:rPr>
          <w:spacing w:val="-15"/>
        </w:rPr>
        <w:t> </w:t>
      </w:r>
      <w:r>
        <w:rPr/>
        <w:t>Pharma places an unnecessary burden on insurance funds, causes cost explosions, and begs patients to pay more, by far the most significant drawback of this practice is</w:t>
      </w:r>
      <w:r>
        <w:rPr>
          <w:spacing w:val="-8"/>
        </w:rPr>
        <w:t> </w:t>
      </w:r>
      <w:r>
        <w:rPr/>
        <w:t>that</w:t>
      </w:r>
      <w:r>
        <w:rPr>
          <w:spacing w:val="-8"/>
        </w:rPr>
        <w:t> </w:t>
      </w:r>
      <w:r>
        <w:rPr/>
        <w:t>many</w:t>
      </w:r>
      <w:r>
        <w:rPr>
          <w:spacing w:val="-9"/>
        </w:rPr>
        <w:t> </w:t>
      </w:r>
      <w:r>
        <w:rPr/>
        <w:t>useless</w:t>
      </w:r>
      <w:r>
        <w:rPr>
          <w:spacing w:val="-7"/>
        </w:rPr>
        <w:t> </w:t>
      </w:r>
      <w:r>
        <w:rPr/>
        <w:t>medicines</w:t>
      </w:r>
      <w:r>
        <w:rPr>
          <w:spacing w:val="-9"/>
        </w:rPr>
        <w:t> </w:t>
      </w:r>
      <w:r>
        <w:rPr/>
        <w:t>are</w:t>
      </w:r>
      <w:r>
        <w:rPr>
          <w:spacing w:val="-8"/>
        </w:rPr>
        <w:t> </w:t>
      </w:r>
      <w:r>
        <w:rPr/>
        <w:t>produced,</w:t>
      </w:r>
      <w:r>
        <w:rPr>
          <w:spacing w:val="-9"/>
        </w:rPr>
        <w:t> </w:t>
      </w:r>
      <w:r>
        <w:rPr/>
        <w:t>which</w:t>
      </w:r>
      <w:r>
        <w:rPr>
          <w:spacing w:val="-7"/>
        </w:rPr>
        <w:t> </w:t>
      </w:r>
      <w:r>
        <w:rPr/>
        <w:t>have</w:t>
      </w:r>
      <w:r>
        <w:rPr>
          <w:spacing w:val="-9"/>
        </w:rPr>
        <w:t> </w:t>
      </w:r>
      <w:r>
        <w:rPr/>
        <w:t>disproportionate</w:t>
      </w:r>
      <w:r>
        <w:rPr>
          <w:spacing w:val="-9"/>
        </w:rPr>
        <w:t> </w:t>
      </w:r>
      <w:r>
        <w:rPr/>
        <w:t>ben- efit-risk profiles, which make patients already suffering from ‘Disease A’ suffer from</w:t>
      </w:r>
      <w:r>
        <w:rPr>
          <w:spacing w:val="-5"/>
        </w:rPr>
        <w:t> </w:t>
      </w:r>
      <w:r>
        <w:rPr/>
        <w:t>‘Disease</w:t>
      </w:r>
      <w:r>
        <w:rPr>
          <w:spacing w:val="-7"/>
        </w:rPr>
        <w:t> </w:t>
      </w:r>
      <w:r>
        <w:rPr/>
        <w:t>B’</w:t>
      </w:r>
      <w:r>
        <w:rPr>
          <w:spacing w:val="-5"/>
        </w:rPr>
        <w:t> </w:t>
      </w:r>
      <w:r>
        <w:rPr/>
        <w:t>and</w:t>
      </w:r>
      <w:r>
        <w:rPr>
          <w:spacing w:val="-7"/>
        </w:rPr>
        <w:t> </w:t>
      </w:r>
      <w:r>
        <w:rPr/>
        <w:t>then</w:t>
      </w:r>
      <w:r>
        <w:rPr>
          <w:spacing w:val="-5"/>
        </w:rPr>
        <w:t> </w:t>
      </w:r>
      <w:r>
        <w:rPr/>
        <w:t>‘Disease</w:t>
      </w:r>
      <w:r>
        <w:rPr>
          <w:spacing w:val="-3"/>
        </w:rPr>
        <w:t> </w:t>
      </w:r>
      <w:r>
        <w:rPr/>
        <w:t>C’,</w:t>
      </w:r>
      <w:r>
        <w:rPr>
          <w:spacing w:val="-5"/>
        </w:rPr>
        <w:t> </w:t>
      </w:r>
      <w:r>
        <w:rPr/>
        <w:t>and</w:t>
      </w:r>
      <w:r>
        <w:rPr>
          <w:spacing w:val="-7"/>
        </w:rPr>
        <w:t> </w:t>
      </w:r>
      <w:r>
        <w:rPr/>
        <w:t>often</w:t>
      </w:r>
      <w:r>
        <w:rPr>
          <w:spacing w:val="-7"/>
        </w:rPr>
        <w:t> </w:t>
      </w:r>
      <w:r>
        <w:rPr/>
        <w:t>even</w:t>
      </w:r>
      <w:r>
        <w:rPr>
          <w:spacing w:val="-4"/>
        </w:rPr>
        <w:t> </w:t>
      </w:r>
      <w:r>
        <w:rPr/>
        <w:t>lead</w:t>
      </w:r>
      <w:r>
        <w:rPr>
          <w:spacing w:val="-6"/>
        </w:rPr>
        <w:t> </w:t>
      </w:r>
      <w:r>
        <w:rPr/>
        <w:t>to</w:t>
      </w:r>
      <w:r>
        <w:rPr>
          <w:spacing w:val="-6"/>
        </w:rPr>
        <w:t> </w:t>
      </w:r>
      <w:r>
        <w:rPr/>
        <w:t>premature</w:t>
      </w:r>
      <w:r>
        <w:rPr>
          <w:spacing w:val="-4"/>
        </w:rPr>
        <w:t> </w:t>
      </w:r>
      <w:r>
        <w:rPr/>
        <w:t>death! Now, of course, one could ask the legitimate question: why is the</w:t>
      </w:r>
      <w:r>
        <w:rPr>
          <w:spacing w:val="-58"/>
        </w:rPr>
        <w:t> </w:t>
      </w:r>
      <w:r>
        <w:rPr/>
        <w:t>pharmaceuti- cal industry not exploring the natural object as a whole, for example, to use a potentially effective, complete fruit, a complete medicinal mushroom or herb against</w:t>
      </w:r>
      <w:r>
        <w:rPr>
          <w:spacing w:val="-1"/>
        </w:rPr>
        <w:t> </w:t>
      </w:r>
      <w:r>
        <w:rPr/>
        <w:t>disease?</w:t>
      </w:r>
    </w:p>
    <w:p>
      <w:pPr>
        <w:pStyle w:val="Heading1"/>
        <w:spacing w:before="223"/>
        <w:jc w:val="both"/>
      </w:pPr>
      <w:r>
        <w:rPr/>
        <w:t>This question can be explained simply by way of the patent system:</w:t>
      </w:r>
    </w:p>
    <w:p>
      <w:pPr>
        <w:pStyle w:val="BodyText"/>
        <w:spacing w:line="276" w:lineRule="auto" w:before="299"/>
        <w:ind w:left="477" w:right="134"/>
        <w:jc w:val="both"/>
      </w:pPr>
      <w:r>
        <w:rPr/>
        <w:t>In</w:t>
      </w:r>
      <w:r>
        <w:rPr>
          <w:spacing w:val="-19"/>
        </w:rPr>
        <w:t> </w:t>
      </w:r>
      <w:r>
        <w:rPr/>
        <w:t>order</w:t>
      </w:r>
      <w:r>
        <w:rPr>
          <w:spacing w:val="-20"/>
        </w:rPr>
        <w:t> </w:t>
      </w:r>
      <w:r>
        <w:rPr/>
        <w:t>to</w:t>
      </w:r>
      <w:r>
        <w:rPr>
          <w:spacing w:val="-21"/>
        </w:rPr>
        <w:t> </w:t>
      </w:r>
      <w:r>
        <w:rPr/>
        <w:t>be</w:t>
      </w:r>
      <w:r>
        <w:rPr>
          <w:spacing w:val="-20"/>
        </w:rPr>
        <w:t> </w:t>
      </w:r>
      <w:r>
        <w:rPr/>
        <w:t>able</w:t>
      </w:r>
      <w:r>
        <w:rPr>
          <w:spacing w:val="-20"/>
        </w:rPr>
        <w:t> </w:t>
      </w:r>
      <w:r>
        <w:rPr/>
        <w:t>to</w:t>
      </w:r>
      <w:r>
        <w:rPr>
          <w:spacing w:val="-18"/>
        </w:rPr>
        <w:t> </w:t>
      </w:r>
      <w:r>
        <w:rPr/>
        <w:t>approve</w:t>
      </w:r>
      <w:r>
        <w:rPr>
          <w:spacing w:val="-18"/>
        </w:rPr>
        <w:t> </w:t>
      </w:r>
      <w:r>
        <w:rPr/>
        <w:t>a</w:t>
      </w:r>
      <w:r>
        <w:rPr>
          <w:spacing w:val="-21"/>
        </w:rPr>
        <w:t> </w:t>
      </w:r>
      <w:r>
        <w:rPr/>
        <w:t>drug,</w:t>
      </w:r>
      <w:r>
        <w:rPr>
          <w:spacing w:val="-18"/>
        </w:rPr>
        <w:t> </w:t>
      </w:r>
      <w:r>
        <w:rPr/>
        <w:t>corresponding</w:t>
      </w:r>
      <w:r>
        <w:rPr>
          <w:spacing w:val="-13"/>
        </w:rPr>
        <w:t> </w:t>
      </w:r>
      <w:r>
        <w:rPr/>
        <w:t>studies</w:t>
      </w:r>
      <w:r>
        <w:rPr>
          <w:spacing w:val="-20"/>
        </w:rPr>
        <w:t> </w:t>
      </w:r>
      <w:r>
        <w:rPr/>
        <w:t>must</w:t>
      </w:r>
      <w:r>
        <w:rPr>
          <w:spacing w:val="-22"/>
        </w:rPr>
        <w:t> </w:t>
      </w:r>
      <w:r>
        <w:rPr/>
        <w:t>be</w:t>
      </w:r>
      <w:r>
        <w:rPr>
          <w:spacing w:val="-19"/>
        </w:rPr>
        <w:t> </w:t>
      </w:r>
      <w:r>
        <w:rPr/>
        <w:t>submitted, which cost the pharmaceutical companies millions per individual approval study.</w:t>
      </w:r>
    </w:p>
    <w:p>
      <w:pPr>
        <w:pStyle w:val="BodyText"/>
        <w:spacing w:line="276" w:lineRule="auto" w:before="239"/>
        <w:ind w:left="477" w:right="132"/>
        <w:jc w:val="both"/>
      </w:pPr>
      <w:r>
        <w:rPr/>
        <w:t>But</w:t>
      </w:r>
      <w:r>
        <w:rPr>
          <w:spacing w:val="-12"/>
        </w:rPr>
        <w:t> </w:t>
      </w:r>
      <w:r>
        <w:rPr/>
        <w:t>it</w:t>
      </w:r>
      <w:r>
        <w:rPr>
          <w:spacing w:val="-12"/>
        </w:rPr>
        <w:t> </w:t>
      </w:r>
      <w:r>
        <w:rPr/>
        <w:t>is</w:t>
      </w:r>
      <w:r>
        <w:rPr>
          <w:spacing w:val="-12"/>
        </w:rPr>
        <w:t> </w:t>
      </w:r>
      <w:r>
        <w:rPr/>
        <w:t>impossible</w:t>
      </w:r>
      <w:r>
        <w:rPr>
          <w:spacing w:val="-10"/>
        </w:rPr>
        <w:t> </w:t>
      </w:r>
      <w:r>
        <w:rPr/>
        <w:t>to</w:t>
      </w:r>
      <w:r>
        <w:rPr>
          <w:spacing w:val="-10"/>
        </w:rPr>
        <w:t> </w:t>
      </w:r>
      <w:r>
        <w:rPr/>
        <w:t>patent</w:t>
      </w:r>
      <w:r>
        <w:rPr>
          <w:spacing w:val="-12"/>
        </w:rPr>
        <w:t> </w:t>
      </w:r>
      <w:r>
        <w:rPr/>
        <w:t>natural</w:t>
      </w:r>
      <w:r>
        <w:rPr>
          <w:spacing w:val="-12"/>
        </w:rPr>
        <w:t> </w:t>
      </w:r>
      <w:r>
        <w:rPr/>
        <w:t>remedies</w:t>
      </w:r>
      <w:r>
        <w:rPr>
          <w:spacing w:val="-11"/>
        </w:rPr>
        <w:t> </w:t>
      </w:r>
      <w:r>
        <w:rPr/>
        <w:t>as</w:t>
      </w:r>
      <w:r>
        <w:rPr>
          <w:spacing w:val="-9"/>
        </w:rPr>
        <w:t> </w:t>
      </w:r>
      <w:r>
        <w:rPr/>
        <w:t>a</w:t>
      </w:r>
      <w:r>
        <w:rPr>
          <w:spacing w:val="-12"/>
        </w:rPr>
        <w:t> </w:t>
      </w:r>
      <w:r>
        <w:rPr/>
        <w:t>whole</w:t>
      </w:r>
      <w:r>
        <w:rPr>
          <w:spacing w:val="-6"/>
        </w:rPr>
        <w:t> </w:t>
      </w:r>
      <w:r>
        <w:rPr/>
        <w:t>–</w:t>
      </w:r>
      <w:r>
        <w:rPr>
          <w:spacing w:val="-11"/>
        </w:rPr>
        <w:t> </w:t>
      </w:r>
      <w:r>
        <w:rPr/>
        <w:t>logically,</w:t>
      </w:r>
      <w:r>
        <w:rPr>
          <w:spacing w:val="-11"/>
        </w:rPr>
        <w:t> </w:t>
      </w:r>
      <w:r>
        <w:rPr/>
        <w:t>because</w:t>
      </w:r>
      <w:r>
        <w:rPr>
          <w:spacing w:val="-11"/>
        </w:rPr>
        <w:t> </w:t>
      </w:r>
      <w:r>
        <w:rPr/>
        <w:t>an apple</w:t>
      </w:r>
      <w:r>
        <w:rPr>
          <w:spacing w:val="-10"/>
        </w:rPr>
        <w:t> </w:t>
      </w:r>
      <w:r>
        <w:rPr/>
        <w:t>grows</w:t>
      </w:r>
      <w:r>
        <w:rPr>
          <w:spacing w:val="-11"/>
        </w:rPr>
        <w:t> </w:t>
      </w:r>
      <w:r>
        <w:rPr/>
        <w:t>on</w:t>
      </w:r>
      <w:r>
        <w:rPr>
          <w:spacing w:val="-10"/>
        </w:rPr>
        <w:t> </w:t>
      </w:r>
      <w:r>
        <w:rPr/>
        <w:t>the</w:t>
      </w:r>
      <w:r>
        <w:rPr>
          <w:spacing w:val="-9"/>
        </w:rPr>
        <w:t> </w:t>
      </w:r>
      <w:r>
        <w:rPr/>
        <w:t>tree,</w:t>
      </w:r>
      <w:r>
        <w:rPr>
          <w:spacing w:val="-11"/>
        </w:rPr>
        <w:t> </w:t>
      </w:r>
      <w:r>
        <w:rPr/>
        <w:t>a</w:t>
      </w:r>
      <w:r>
        <w:rPr>
          <w:spacing w:val="-10"/>
        </w:rPr>
        <w:t> </w:t>
      </w:r>
      <w:r>
        <w:rPr/>
        <w:t>fungus</w:t>
      </w:r>
      <w:r>
        <w:rPr>
          <w:spacing w:val="-9"/>
        </w:rPr>
        <w:t> </w:t>
      </w:r>
      <w:r>
        <w:rPr/>
        <w:t>in</w:t>
      </w:r>
      <w:r>
        <w:rPr>
          <w:spacing w:val="-12"/>
        </w:rPr>
        <w:t> </w:t>
      </w:r>
      <w:r>
        <w:rPr/>
        <w:t>the</w:t>
      </w:r>
      <w:r>
        <w:rPr>
          <w:spacing w:val="-10"/>
        </w:rPr>
        <w:t> </w:t>
      </w:r>
      <w:r>
        <w:rPr/>
        <w:t>forest.</w:t>
      </w:r>
      <w:r>
        <w:rPr>
          <w:spacing w:val="-8"/>
        </w:rPr>
        <w:t> </w:t>
      </w:r>
      <w:r>
        <w:rPr/>
        <w:t>This</w:t>
      </w:r>
      <w:r>
        <w:rPr>
          <w:spacing w:val="-9"/>
        </w:rPr>
        <w:t> </w:t>
      </w:r>
      <w:r>
        <w:rPr/>
        <w:t>state</w:t>
      </w:r>
      <w:r>
        <w:rPr>
          <w:spacing w:val="-12"/>
        </w:rPr>
        <w:t> </w:t>
      </w:r>
      <w:r>
        <w:rPr/>
        <w:t>of</w:t>
      </w:r>
      <w:r>
        <w:rPr>
          <w:spacing w:val="-9"/>
        </w:rPr>
        <w:t> </w:t>
      </w:r>
      <w:r>
        <w:rPr/>
        <w:t>affairs</w:t>
      </w:r>
      <w:r>
        <w:rPr>
          <w:spacing w:val="-11"/>
        </w:rPr>
        <w:t> </w:t>
      </w:r>
      <w:r>
        <w:rPr/>
        <w:t>is</w:t>
      </w:r>
      <w:r>
        <w:rPr>
          <w:spacing w:val="-12"/>
        </w:rPr>
        <w:t> </w:t>
      </w:r>
      <w:r>
        <w:rPr/>
        <w:t>omnipres- ent and familiar to everyone, does not correspond to any newly discovered, in- tellectual achievement that needs to be protected – and therefore is not</w:t>
      </w:r>
      <w:r>
        <w:rPr>
          <w:spacing w:val="-48"/>
        </w:rPr>
        <w:t> </w:t>
      </w:r>
      <w:r>
        <w:rPr/>
        <w:t>worthy</w:t>
      </w:r>
    </w:p>
    <w:p>
      <w:pPr>
        <w:spacing w:after="0" w:line="276" w:lineRule="auto"/>
        <w:jc w:val="both"/>
        <w:sectPr>
          <w:pgSz w:w="14270" w:h="16850"/>
          <w:pgMar w:header="0" w:footer="1891" w:top="1600" w:bottom="2080" w:left="800" w:right="1280"/>
        </w:sectPr>
      </w:pPr>
    </w:p>
    <w:p>
      <w:pPr>
        <w:pStyle w:val="BodyText"/>
        <w:spacing w:line="276" w:lineRule="auto" w:before="181"/>
        <w:ind w:left="477" w:right="133"/>
        <w:jc w:val="both"/>
      </w:pPr>
      <w:r>
        <w:rPr/>
        <w:t>of</w:t>
      </w:r>
      <w:r>
        <w:rPr>
          <w:spacing w:val="-10"/>
        </w:rPr>
        <w:t> </w:t>
      </w:r>
      <w:r>
        <w:rPr/>
        <w:t>protection</w:t>
      </w:r>
      <w:r>
        <w:rPr>
          <w:spacing w:val="-8"/>
        </w:rPr>
        <w:t> </w:t>
      </w:r>
      <w:r>
        <w:rPr/>
        <w:t>(patentable)!</w:t>
      </w:r>
      <w:r>
        <w:rPr>
          <w:spacing w:val="-8"/>
        </w:rPr>
        <w:t> </w:t>
      </w:r>
      <w:r>
        <w:rPr/>
        <w:t>However,</w:t>
      </w:r>
      <w:r>
        <w:rPr>
          <w:spacing w:val="-8"/>
        </w:rPr>
        <w:t> </w:t>
      </w:r>
      <w:r>
        <w:rPr/>
        <w:t>if</w:t>
      </w:r>
      <w:r>
        <w:rPr>
          <w:spacing w:val="-12"/>
        </w:rPr>
        <w:t> </w:t>
      </w:r>
      <w:r>
        <w:rPr/>
        <w:t>one</w:t>
      </w:r>
      <w:r>
        <w:rPr>
          <w:spacing w:val="-11"/>
        </w:rPr>
        <w:t> </w:t>
      </w:r>
      <w:r>
        <w:rPr/>
        <w:t>were</w:t>
      </w:r>
      <w:r>
        <w:rPr>
          <w:spacing w:val="-11"/>
        </w:rPr>
        <w:t> </w:t>
      </w:r>
      <w:r>
        <w:rPr/>
        <w:t>to</w:t>
      </w:r>
      <w:r>
        <w:rPr>
          <w:spacing w:val="-11"/>
        </w:rPr>
        <w:t> </w:t>
      </w:r>
      <w:r>
        <w:rPr/>
        <w:t>pursue</w:t>
      </w:r>
      <w:r>
        <w:rPr>
          <w:spacing w:val="-10"/>
        </w:rPr>
        <w:t> </w:t>
      </w:r>
      <w:r>
        <w:rPr/>
        <w:t>approval</w:t>
      </w:r>
      <w:r>
        <w:rPr>
          <w:spacing w:val="-10"/>
        </w:rPr>
        <w:t> </w:t>
      </w:r>
      <w:r>
        <w:rPr/>
        <w:t>studies</w:t>
      </w:r>
      <w:r>
        <w:rPr>
          <w:spacing w:val="-9"/>
        </w:rPr>
        <w:t> </w:t>
      </w:r>
      <w:r>
        <w:rPr/>
        <w:t>for a drug that is not patentable in advance, the expensive information gained would</w:t>
      </w:r>
      <w:r>
        <w:rPr>
          <w:spacing w:val="-8"/>
        </w:rPr>
        <w:t> </w:t>
      </w:r>
      <w:r>
        <w:rPr/>
        <w:t>be</w:t>
      </w:r>
      <w:r>
        <w:rPr>
          <w:spacing w:val="-6"/>
        </w:rPr>
        <w:t> </w:t>
      </w:r>
      <w:r>
        <w:rPr/>
        <w:t>common</w:t>
      </w:r>
      <w:r>
        <w:rPr>
          <w:spacing w:val="-7"/>
        </w:rPr>
        <w:t> </w:t>
      </w:r>
      <w:r>
        <w:rPr/>
        <w:t>knowledge</w:t>
      </w:r>
      <w:r>
        <w:rPr>
          <w:spacing w:val="-6"/>
        </w:rPr>
        <w:t> </w:t>
      </w:r>
      <w:r>
        <w:rPr/>
        <w:t>and</w:t>
      </w:r>
      <w:r>
        <w:rPr>
          <w:spacing w:val="-7"/>
        </w:rPr>
        <w:t> </w:t>
      </w:r>
      <w:r>
        <w:rPr/>
        <w:t>could</w:t>
      </w:r>
      <w:r>
        <w:rPr>
          <w:spacing w:val="-7"/>
        </w:rPr>
        <w:t> </w:t>
      </w:r>
      <w:r>
        <w:rPr/>
        <w:t>therefore</w:t>
      </w:r>
      <w:r>
        <w:rPr>
          <w:spacing w:val="-7"/>
        </w:rPr>
        <w:t> </w:t>
      </w:r>
      <w:r>
        <w:rPr/>
        <w:t>be</w:t>
      </w:r>
      <w:r>
        <w:rPr>
          <w:spacing w:val="-8"/>
        </w:rPr>
        <w:t> </w:t>
      </w:r>
      <w:r>
        <w:rPr/>
        <w:t>used</w:t>
      </w:r>
      <w:r>
        <w:rPr>
          <w:spacing w:val="-7"/>
        </w:rPr>
        <w:t> </w:t>
      </w:r>
      <w:r>
        <w:rPr/>
        <w:t>by</w:t>
      </w:r>
      <w:r>
        <w:rPr>
          <w:spacing w:val="-8"/>
        </w:rPr>
        <w:t> </w:t>
      </w:r>
      <w:r>
        <w:rPr/>
        <w:t>the</w:t>
      </w:r>
      <w:r>
        <w:rPr>
          <w:spacing w:val="-8"/>
        </w:rPr>
        <w:t> </w:t>
      </w:r>
      <w:r>
        <w:rPr/>
        <w:t>competition!</w:t>
      </w:r>
    </w:p>
    <w:p>
      <w:pPr>
        <w:pStyle w:val="BodyText"/>
        <w:spacing w:line="276" w:lineRule="auto" w:before="242"/>
        <w:ind w:left="477" w:right="138"/>
        <w:jc w:val="both"/>
      </w:pPr>
      <w:r>
        <w:rPr/>
        <w:t>The pharmaceutical company, which has commissioned the expensive studies, would be left footing the bill for the costs, while the competition would be grateful for the free insights and market the drug itself!</w:t>
      </w:r>
    </w:p>
    <w:p>
      <w:pPr>
        <w:pStyle w:val="Heading2"/>
        <w:spacing w:before="239"/>
        <w:jc w:val="both"/>
      </w:pPr>
      <w:r>
        <w:rPr/>
        <w:t>Another scenario for better understanding:</w:t>
      </w:r>
    </w:p>
    <w:p>
      <w:pPr>
        <w:pStyle w:val="BodyText"/>
        <w:spacing w:line="276" w:lineRule="auto" w:before="304"/>
        <w:ind w:left="477" w:right="138"/>
        <w:jc w:val="both"/>
      </w:pPr>
      <w:r>
        <w:rPr/>
        <w:t>Imagine you want to buy a car; instead of a car, you get a steering wheel and four wheels. Of course, such an incomplete vehicle cannot be driven and even if it could be driven, it would be anything but safe on the road...!</w:t>
      </w:r>
    </w:p>
    <w:p>
      <w:pPr>
        <w:pStyle w:val="BodyText"/>
        <w:spacing w:line="276" w:lineRule="auto" w:before="241"/>
        <w:ind w:left="477" w:right="135"/>
        <w:jc w:val="both"/>
      </w:pPr>
      <w:r>
        <w:rPr/>
        <w:t>This is exactly what Big Pharma does: It isolates certain substances from a nat- ural whole or attempts to recreate them synthetically. This is like taking an in- dividual</w:t>
      </w:r>
      <w:r>
        <w:rPr>
          <w:spacing w:val="-20"/>
        </w:rPr>
        <w:t> </w:t>
      </w:r>
      <w:r>
        <w:rPr/>
        <w:t>out</w:t>
      </w:r>
      <w:r>
        <w:rPr>
          <w:spacing w:val="-20"/>
        </w:rPr>
        <w:t> </w:t>
      </w:r>
      <w:r>
        <w:rPr/>
        <w:t>of</w:t>
      </w:r>
      <w:r>
        <w:rPr>
          <w:spacing w:val="-19"/>
        </w:rPr>
        <w:t> </w:t>
      </w:r>
      <w:r>
        <w:rPr/>
        <w:t>an</w:t>
      </w:r>
      <w:r>
        <w:rPr>
          <w:spacing w:val="-19"/>
        </w:rPr>
        <w:t> </w:t>
      </w:r>
      <w:r>
        <w:rPr/>
        <w:t>orchestra</w:t>
      </w:r>
      <w:r>
        <w:rPr>
          <w:spacing w:val="-19"/>
        </w:rPr>
        <w:t> </w:t>
      </w:r>
      <w:r>
        <w:rPr/>
        <w:t>and</w:t>
      </w:r>
      <w:r>
        <w:rPr>
          <w:spacing w:val="-21"/>
        </w:rPr>
        <w:t> </w:t>
      </w:r>
      <w:r>
        <w:rPr/>
        <w:t>demanding</w:t>
      </w:r>
      <w:r>
        <w:rPr>
          <w:spacing w:val="-18"/>
        </w:rPr>
        <w:t> </w:t>
      </w:r>
      <w:r>
        <w:rPr/>
        <w:t>the</w:t>
      </w:r>
      <w:r>
        <w:rPr>
          <w:spacing w:val="-18"/>
        </w:rPr>
        <w:t> </w:t>
      </w:r>
      <w:r>
        <w:rPr/>
        <w:t>same</w:t>
      </w:r>
      <w:r>
        <w:rPr>
          <w:spacing w:val="-18"/>
        </w:rPr>
        <w:t> </w:t>
      </w:r>
      <w:r>
        <w:rPr/>
        <w:t>piece</w:t>
      </w:r>
      <w:r>
        <w:rPr>
          <w:spacing w:val="-18"/>
        </w:rPr>
        <w:t> </w:t>
      </w:r>
      <w:r>
        <w:rPr/>
        <w:t>of</w:t>
      </w:r>
      <w:r>
        <w:rPr>
          <w:spacing w:val="-21"/>
        </w:rPr>
        <w:t> </w:t>
      </w:r>
      <w:r>
        <w:rPr/>
        <w:t>music</w:t>
      </w:r>
      <w:r>
        <w:rPr>
          <w:spacing w:val="-19"/>
        </w:rPr>
        <w:t> </w:t>
      </w:r>
      <w:r>
        <w:rPr/>
        <w:t>in</w:t>
      </w:r>
      <w:r>
        <w:rPr>
          <w:spacing w:val="-18"/>
        </w:rPr>
        <w:t> </w:t>
      </w:r>
      <w:r>
        <w:rPr/>
        <w:t>the</w:t>
      </w:r>
      <w:r>
        <w:rPr>
          <w:spacing w:val="-21"/>
        </w:rPr>
        <w:t> </w:t>
      </w:r>
      <w:r>
        <w:rPr/>
        <w:t>same quality! It goes without saying that this will only end in</w:t>
      </w:r>
      <w:r>
        <w:rPr>
          <w:spacing w:val="-5"/>
        </w:rPr>
        <w:t> </w:t>
      </w:r>
      <w:r>
        <w:rPr/>
        <w:t>failure!</w:t>
      </w:r>
    </w:p>
    <w:p>
      <w:pPr>
        <w:pStyle w:val="Heading2"/>
        <w:spacing w:before="240"/>
        <w:jc w:val="both"/>
      </w:pPr>
      <w:r>
        <w:rPr/>
        <w:t>In plain English:</w:t>
      </w:r>
    </w:p>
    <w:p>
      <w:pPr>
        <w:pStyle w:val="BodyText"/>
        <w:spacing w:line="276" w:lineRule="auto" w:before="304"/>
        <w:ind w:left="477" w:right="136"/>
        <w:jc w:val="both"/>
      </w:pPr>
      <w:r>
        <w:rPr/>
        <w:t>The vast majority of drugs are nothing but unsuitable counterfeits of natural active</w:t>
      </w:r>
      <w:r>
        <w:rPr>
          <w:spacing w:val="-18"/>
        </w:rPr>
        <w:t> </w:t>
      </w:r>
      <w:r>
        <w:rPr/>
        <w:t>ingredients</w:t>
      </w:r>
      <w:r>
        <w:rPr>
          <w:spacing w:val="-14"/>
        </w:rPr>
        <w:t> </w:t>
      </w:r>
      <w:r>
        <w:rPr/>
        <w:t>–</w:t>
      </w:r>
      <w:r>
        <w:rPr>
          <w:spacing w:val="-17"/>
        </w:rPr>
        <w:t> </w:t>
      </w:r>
      <w:r>
        <w:rPr/>
        <w:t>not</w:t>
      </w:r>
      <w:r>
        <w:rPr>
          <w:spacing w:val="-18"/>
        </w:rPr>
        <w:t> </w:t>
      </w:r>
      <w:r>
        <w:rPr/>
        <w:t>only</w:t>
      </w:r>
      <w:r>
        <w:rPr>
          <w:spacing w:val="-17"/>
        </w:rPr>
        <w:t> </w:t>
      </w:r>
      <w:r>
        <w:rPr/>
        <w:t>are</w:t>
      </w:r>
      <w:r>
        <w:rPr>
          <w:spacing w:val="-16"/>
        </w:rPr>
        <w:t> </w:t>
      </w:r>
      <w:r>
        <w:rPr/>
        <w:t>they</w:t>
      </w:r>
      <w:r>
        <w:rPr>
          <w:spacing w:val="-15"/>
        </w:rPr>
        <w:t> </w:t>
      </w:r>
      <w:r>
        <w:rPr/>
        <w:t>not</w:t>
      </w:r>
      <w:r>
        <w:rPr>
          <w:spacing w:val="-17"/>
        </w:rPr>
        <w:t> </w:t>
      </w:r>
      <w:r>
        <w:rPr/>
        <w:t>very</w:t>
      </w:r>
      <w:r>
        <w:rPr>
          <w:spacing w:val="-18"/>
        </w:rPr>
        <w:t> </w:t>
      </w:r>
      <w:r>
        <w:rPr/>
        <w:t>effective,</w:t>
      </w:r>
      <w:r>
        <w:rPr>
          <w:spacing w:val="-15"/>
        </w:rPr>
        <w:t> </w:t>
      </w:r>
      <w:r>
        <w:rPr/>
        <w:t>but</w:t>
      </w:r>
      <w:r>
        <w:rPr>
          <w:spacing w:val="-18"/>
        </w:rPr>
        <w:t> </w:t>
      </w:r>
      <w:r>
        <w:rPr/>
        <w:t>they</w:t>
      </w:r>
      <w:r>
        <w:rPr>
          <w:spacing w:val="-16"/>
        </w:rPr>
        <w:t> </w:t>
      </w:r>
      <w:r>
        <w:rPr/>
        <w:t>also</w:t>
      </w:r>
      <w:r>
        <w:rPr>
          <w:spacing w:val="-15"/>
        </w:rPr>
        <w:t> </w:t>
      </w:r>
      <w:r>
        <w:rPr/>
        <w:t>come</w:t>
      </w:r>
      <w:r>
        <w:rPr>
          <w:spacing w:val="-16"/>
        </w:rPr>
        <w:t> </w:t>
      </w:r>
      <w:r>
        <w:rPr/>
        <w:t>with numerous side</w:t>
      </w:r>
      <w:r>
        <w:rPr>
          <w:spacing w:val="1"/>
        </w:rPr>
        <w:t> </w:t>
      </w:r>
      <w:r>
        <w:rPr/>
        <w:t>effects!</w:t>
      </w:r>
    </w:p>
    <w:p>
      <w:pPr>
        <w:pStyle w:val="BodyText"/>
        <w:spacing w:line="276" w:lineRule="auto" w:before="240"/>
        <w:ind w:left="477" w:right="137"/>
        <w:jc w:val="both"/>
      </w:pPr>
      <w:r>
        <w:rPr/>
        <w:t>This little digression into the pharma industry's questionable approach to drug development</w:t>
      </w:r>
      <w:r>
        <w:rPr>
          <w:spacing w:val="-15"/>
        </w:rPr>
        <w:t> </w:t>
      </w:r>
      <w:r>
        <w:rPr/>
        <w:t>was</w:t>
      </w:r>
      <w:r>
        <w:rPr>
          <w:spacing w:val="-14"/>
        </w:rPr>
        <w:t> </w:t>
      </w:r>
      <w:r>
        <w:rPr/>
        <w:t>needed</w:t>
      </w:r>
      <w:r>
        <w:rPr>
          <w:spacing w:val="-17"/>
        </w:rPr>
        <w:t> </w:t>
      </w:r>
      <w:r>
        <w:rPr/>
        <w:t>here</w:t>
      </w:r>
      <w:r>
        <w:rPr>
          <w:spacing w:val="-15"/>
        </w:rPr>
        <w:t> </w:t>
      </w:r>
      <w:r>
        <w:rPr/>
        <w:t>to</w:t>
      </w:r>
      <w:r>
        <w:rPr>
          <w:spacing w:val="-17"/>
        </w:rPr>
        <w:t> </w:t>
      </w:r>
      <w:r>
        <w:rPr/>
        <w:t>help</w:t>
      </w:r>
      <w:r>
        <w:rPr>
          <w:spacing w:val="-16"/>
        </w:rPr>
        <w:t> </w:t>
      </w:r>
      <w:r>
        <w:rPr/>
        <w:t>you</w:t>
      </w:r>
      <w:r>
        <w:rPr>
          <w:spacing w:val="-19"/>
        </w:rPr>
        <w:t> </w:t>
      </w:r>
      <w:r>
        <w:rPr/>
        <w:t>understand</w:t>
      </w:r>
      <w:r>
        <w:rPr>
          <w:spacing w:val="-15"/>
        </w:rPr>
        <w:t> </w:t>
      </w:r>
      <w:r>
        <w:rPr/>
        <w:t>why</w:t>
      </w:r>
      <w:r>
        <w:rPr>
          <w:spacing w:val="-15"/>
        </w:rPr>
        <w:t> </w:t>
      </w:r>
      <w:r>
        <w:rPr/>
        <w:t>the</w:t>
      </w:r>
      <w:r>
        <w:rPr>
          <w:spacing w:val="-16"/>
        </w:rPr>
        <w:t> </w:t>
      </w:r>
      <w:r>
        <w:rPr/>
        <w:t>highly</w:t>
      </w:r>
      <w:r>
        <w:rPr>
          <w:spacing w:val="-15"/>
        </w:rPr>
        <w:t> </w:t>
      </w:r>
      <w:r>
        <w:rPr/>
        <w:t>acclaimed</w:t>
      </w:r>
    </w:p>
    <w:p>
      <w:pPr>
        <w:spacing w:after="0" w:line="276" w:lineRule="auto"/>
        <w:jc w:val="both"/>
        <w:sectPr>
          <w:pgSz w:w="14270" w:h="16850"/>
          <w:pgMar w:header="0" w:footer="1891" w:top="1600" w:bottom="2080" w:left="800" w:right="1280"/>
        </w:sectPr>
      </w:pPr>
    </w:p>
    <w:p>
      <w:pPr>
        <w:pStyle w:val="BodyText"/>
        <w:spacing w:line="276" w:lineRule="auto" w:before="181"/>
        <w:ind w:left="477" w:right="136"/>
        <w:jc w:val="both"/>
      </w:pPr>
      <w:r>
        <w:rPr/>
        <w:t>‘pharmaceutical research’, into which billions of dollars are pumped every</w:t>
      </w:r>
      <w:r>
        <w:rPr>
          <w:spacing w:val="-50"/>
        </w:rPr>
        <w:t> </w:t>
      </w:r>
      <w:r>
        <w:rPr/>
        <w:t>year, is in fact</w:t>
      </w:r>
      <w:r>
        <w:rPr>
          <w:spacing w:val="-1"/>
        </w:rPr>
        <w:t> </w:t>
      </w:r>
      <w:r>
        <w:rPr/>
        <w:t>failing!</w:t>
      </w:r>
    </w:p>
    <w:p>
      <w:pPr>
        <w:pStyle w:val="Heading2"/>
        <w:spacing w:before="241"/>
      </w:pPr>
      <w:r>
        <w:rPr/>
        <w:t>But what does this have to do with astragalus as a telomerase activator?</w:t>
      </w:r>
    </w:p>
    <w:p>
      <w:pPr>
        <w:pStyle w:val="BodyText"/>
        <w:spacing w:line="276" w:lineRule="auto" w:before="305"/>
        <w:ind w:left="477" w:right="131"/>
        <w:jc w:val="both"/>
      </w:pPr>
      <w:r>
        <w:rPr/>
        <w:t>On the basis on new findings on telomeres and the ‘immortality enzyme’, sev- eral drug companies are currently desperately trying to isolate telomerase in</w:t>
      </w:r>
      <w:r>
        <w:rPr>
          <w:spacing w:val="-67"/>
        </w:rPr>
        <w:t> </w:t>
      </w:r>
      <w:r>
        <w:rPr/>
        <w:t>the usual</w:t>
      </w:r>
      <w:r>
        <w:rPr>
          <w:spacing w:val="-15"/>
        </w:rPr>
        <w:t> </w:t>
      </w:r>
      <w:r>
        <w:rPr/>
        <w:t>way</w:t>
      </w:r>
      <w:r>
        <w:rPr>
          <w:spacing w:val="-15"/>
        </w:rPr>
        <w:t> </w:t>
      </w:r>
      <w:r>
        <w:rPr/>
        <w:t>by</w:t>
      </w:r>
      <w:r>
        <w:rPr>
          <w:spacing w:val="-16"/>
        </w:rPr>
        <w:t> </w:t>
      </w:r>
      <w:r>
        <w:rPr/>
        <w:t>isolating</w:t>
      </w:r>
      <w:r>
        <w:rPr>
          <w:spacing w:val="-13"/>
        </w:rPr>
        <w:t> </w:t>
      </w:r>
      <w:r>
        <w:rPr/>
        <w:t>constituents</w:t>
      </w:r>
      <w:r>
        <w:rPr>
          <w:spacing w:val="-14"/>
        </w:rPr>
        <w:t> </w:t>
      </w:r>
      <w:r>
        <w:rPr/>
        <w:t>of</w:t>
      </w:r>
      <w:r>
        <w:rPr>
          <w:spacing w:val="-16"/>
        </w:rPr>
        <w:t> </w:t>
      </w:r>
      <w:r>
        <w:rPr/>
        <w:t>Astragalus</w:t>
      </w:r>
      <w:r>
        <w:rPr>
          <w:spacing w:val="-12"/>
        </w:rPr>
        <w:t> </w:t>
      </w:r>
      <w:r>
        <w:rPr/>
        <w:t>membranaceus</w:t>
      </w:r>
      <w:r>
        <w:rPr>
          <w:spacing w:val="-16"/>
        </w:rPr>
        <w:t> </w:t>
      </w:r>
      <w:r>
        <w:rPr/>
        <w:t>and</w:t>
      </w:r>
      <w:r>
        <w:rPr>
          <w:spacing w:val="-15"/>
        </w:rPr>
        <w:t> </w:t>
      </w:r>
      <w:r>
        <w:rPr/>
        <w:t>to</w:t>
      </w:r>
      <w:r>
        <w:rPr>
          <w:spacing w:val="-15"/>
        </w:rPr>
        <w:t> </w:t>
      </w:r>
      <w:r>
        <w:rPr/>
        <w:t>develop a patented drug that enables telomerase gene activity in somatic human cells and which can stop or even partially reverse</w:t>
      </w:r>
      <w:r>
        <w:rPr>
          <w:spacing w:val="2"/>
        </w:rPr>
        <w:t> </w:t>
      </w:r>
      <w:r>
        <w:rPr/>
        <w:t>ageing.</w:t>
      </w:r>
    </w:p>
    <w:p>
      <w:pPr>
        <w:pStyle w:val="BodyText"/>
        <w:spacing w:line="276" w:lineRule="auto" w:before="240"/>
        <w:ind w:left="477" w:right="132"/>
        <w:jc w:val="both"/>
      </w:pPr>
      <w:r>
        <w:rPr/>
        <w:t>There is already a great deal of research under the name ‘TA-65’, a molecule isolated from the astragalus plant (see ‘Astragalus Studies’).</w:t>
      </w:r>
    </w:p>
    <w:p>
      <w:pPr>
        <w:pStyle w:val="BodyText"/>
        <w:spacing w:before="240"/>
        <w:ind w:left="477"/>
      </w:pPr>
      <w:r>
        <w:rPr/>
        <w:t>In their studies, Calvin B. Harley, Weimin Liu, Elsa Vera, Maria Blasco, William</w:t>
      </w:r>
    </w:p>
    <w:p>
      <w:pPr>
        <w:pStyle w:val="BodyText"/>
        <w:spacing w:line="276" w:lineRule="auto" w:before="63"/>
        <w:ind w:left="477" w:right="132"/>
        <w:jc w:val="both"/>
      </w:pPr>
      <w:r>
        <w:rPr/>
        <w:t>H. Andrews, Laura A. Briggs, and Joseph M. Raffaele (2011) also accurately identified</w:t>
      </w:r>
      <w:r>
        <w:rPr>
          <w:spacing w:val="-23"/>
        </w:rPr>
        <w:t> </w:t>
      </w:r>
      <w:r>
        <w:rPr/>
        <w:t>the</w:t>
      </w:r>
      <w:r>
        <w:rPr>
          <w:spacing w:val="-20"/>
        </w:rPr>
        <w:t> </w:t>
      </w:r>
      <w:r>
        <w:rPr/>
        <w:t>dry</w:t>
      </w:r>
      <w:r>
        <w:rPr>
          <w:spacing w:val="-21"/>
        </w:rPr>
        <w:t> </w:t>
      </w:r>
      <w:r>
        <w:rPr/>
        <w:t>extracts</w:t>
      </w:r>
      <w:r>
        <w:rPr>
          <w:spacing w:val="-21"/>
        </w:rPr>
        <w:t> </w:t>
      </w:r>
      <w:r>
        <w:rPr/>
        <w:t>of</w:t>
      </w:r>
      <w:r>
        <w:rPr>
          <w:spacing w:val="-21"/>
        </w:rPr>
        <w:t> </w:t>
      </w:r>
      <w:r>
        <w:rPr/>
        <w:t>astragalus</w:t>
      </w:r>
      <w:r>
        <w:rPr>
          <w:spacing w:val="-22"/>
        </w:rPr>
        <w:t> </w:t>
      </w:r>
      <w:r>
        <w:rPr/>
        <w:t>root</w:t>
      </w:r>
      <w:r>
        <w:rPr>
          <w:spacing w:val="-21"/>
        </w:rPr>
        <w:t> </w:t>
      </w:r>
      <w:r>
        <w:rPr/>
        <w:t>which</w:t>
      </w:r>
      <w:r>
        <w:rPr>
          <w:spacing w:val="-21"/>
        </w:rPr>
        <w:t> </w:t>
      </w:r>
      <w:r>
        <w:rPr/>
        <w:t>led</w:t>
      </w:r>
      <w:r>
        <w:rPr>
          <w:spacing w:val="-22"/>
        </w:rPr>
        <w:t> </w:t>
      </w:r>
      <w:r>
        <w:rPr/>
        <w:t>to</w:t>
      </w:r>
      <w:r>
        <w:rPr>
          <w:spacing w:val="-21"/>
        </w:rPr>
        <w:t> </w:t>
      </w:r>
      <w:r>
        <w:rPr/>
        <w:t>a</w:t>
      </w:r>
      <w:r>
        <w:rPr>
          <w:spacing w:val="-22"/>
        </w:rPr>
        <w:t> </w:t>
      </w:r>
      <w:r>
        <w:rPr/>
        <w:t>reduction</w:t>
      </w:r>
      <w:r>
        <w:rPr>
          <w:spacing w:val="-21"/>
        </w:rPr>
        <w:t> </w:t>
      </w:r>
      <w:r>
        <w:rPr/>
        <w:t>in</w:t>
      </w:r>
      <w:r>
        <w:rPr>
          <w:spacing w:val="-21"/>
        </w:rPr>
        <w:t> </w:t>
      </w:r>
      <w:r>
        <w:rPr/>
        <w:t>outdated T</w:t>
      </w:r>
      <w:r>
        <w:rPr>
          <w:spacing w:val="-17"/>
        </w:rPr>
        <w:t> </w:t>
      </w:r>
      <w:r>
        <w:rPr/>
        <w:t>cells</w:t>
      </w:r>
      <w:r>
        <w:rPr>
          <w:spacing w:val="-16"/>
        </w:rPr>
        <w:t> </w:t>
      </w:r>
      <w:r>
        <w:rPr/>
        <w:t>and</w:t>
      </w:r>
      <w:r>
        <w:rPr>
          <w:spacing w:val="-15"/>
        </w:rPr>
        <w:t> </w:t>
      </w:r>
      <w:r>
        <w:rPr/>
        <w:t>NK</w:t>
      </w:r>
      <w:r>
        <w:rPr>
          <w:spacing w:val="-19"/>
        </w:rPr>
        <w:t> </w:t>
      </w:r>
      <w:r>
        <w:rPr/>
        <w:t>cells</w:t>
      </w:r>
      <w:r>
        <w:rPr>
          <w:spacing w:val="-15"/>
        </w:rPr>
        <w:t> </w:t>
      </w:r>
      <w:r>
        <w:rPr/>
        <w:t>over</w:t>
      </w:r>
      <w:r>
        <w:rPr>
          <w:spacing w:val="-18"/>
        </w:rPr>
        <w:t> </w:t>
      </w:r>
      <w:r>
        <w:rPr/>
        <w:t>a</w:t>
      </w:r>
      <w:r>
        <w:rPr>
          <w:spacing w:val="-17"/>
        </w:rPr>
        <w:t> </w:t>
      </w:r>
      <w:r>
        <w:rPr/>
        <w:t>period</w:t>
      </w:r>
      <w:r>
        <w:rPr>
          <w:spacing w:val="-17"/>
        </w:rPr>
        <w:t> </w:t>
      </w:r>
      <w:r>
        <w:rPr/>
        <w:t>of</w:t>
      </w:r>
      <w:r>
        <w:rPr>
          <w:spacing w:val="-18"/>
        </w:rPr>
        <w:t> </w:t>
      </w:r>
      <w:r>
        <w:rPr/>
        <w:t>six</w:t>
      </w:r>
      <w:r>
        <w:rPr>
          <w:spacing w:val="-17"/>
        </w:rPr>
        <w:t> </w:t>
      </w:r>
      <w:r>
        <w:rPr/>
        <w:t>to</w:t>
      </w:r>
      <w:r>
        <w:rPr>
          <w:spacing w:val="-15"/>
        </w:rPr>
        <w:t> </w:t>
      </w:r>
      <w:r>
        <w:rPr/>
        <w:t>12</w:t>
      </w:r>
      <w:r>
        <w:rPr>
          <w:spacing w:val="-20"/>
        </w:rPr>
        <w:t> </w:t>
      </w:r>
      <w:r>
        <w:rPr/>
        <w:t>months</w:t>
      </w:r>
      <w:r>
        <w:rPr>
          <w:spacing w:val="-15"/>
        </w:rPr>
        <w:t> </w:t>
      </w:r>
      <w:r>
        <w:rPr/>
        <w:t>(see</w:t>
      </w:r>
      <w:r>
        <w:rPr>
          <w:spacing w:val="-20"/>
        </w:rPr>
        <w:t> </w:t>
      </w:r>
      <w:r>
        <w:rPr/>
        <w:t>‘Astragalus</w:t>
      </w:r>
      <w:r>
        <w:rPr>
          <w:spacing w:val="-15"/>
        </w:rPr>
        <w:t> </w:t>
      </w:r>
      <w:r>
        <w:rPr/>
        <w:t>Studies’). A veritable quantum leap in age research – and a whole new, powerful piece of knowledge that was only revealed in 2009 with the Nobel Prize for Medicine for Telomerase research, and most recently in 2011 for astragalus as a telomer- ase activator!</w:t>
      </w:r>
    </w:p>
    <w:p>
      <w:pPr>
        <w:pStyle w:val="BodyText"/>
        <w:spacing w:line="276" w:lineRule="auto" w:before="241"/>
        <w:ind w:left="477" w:right="133"/>
        <w:jc w:val="both"/>
      </w:pPr>
      <w:r>
        <w:rPr/>
        <w:t>It takes some time to understand these sensational connections and to realise the implications for our lives as we gain knowledge as to how we can extend</w:t>
      </w:r>
    </w:p>
    <w:p>
      <w:pPr>
        <w:spacing w:after="0" w:line="276" w:lineRule="auto"/>
        <w:jc w:val="both"/>
        <w:sectPr>
          <w:footerReference w:type="default" r:id="rId51"/>
          <w:pgSz w:w="14270" w:h="16850"/>
          <w:pgMar w:footer="1891" w:header="0" w:top="1600" w:bottom="2080" w:left="800" w:right="1280"/>
          <w:pgNumType w:start="220"/>
        </w:sectPr>
      </w:pPr>
    </w:p>
    <w:p>
      <w:pPr>
        <w:pStyle w:val="BodyText"/>
        <w:spacing w:line="276" w:lineRule="auto" w:before="181"/>
        <w:ind w:left="477" w:right="135"/>
        <w:jc w:val="both"/>
      </w:pPr>
      <w:r>
        <w:rPr/>
        <w:t>our telomeres, rejuvenate ourselves, and significantly extend our lives while re- maining in the best of health!</w:t>
      </w:r>
    </w:p>
    <w:p>
      <w:pPr>
        <w:pStyle w:val="BodyText"/>
        <w:spacing w:line="276" w:lineRule="auto" w:before="241"/>
        <w:ind w:left="477" w:right="131"/>
        <w:jc w:val="both"/>
      </w:pPr>
      <w:r>
        <w:rPr/>
        <w:t>Research currently uses, among other things, Astragaloside IV and cycloastra- genol (see also ‘Astragalus Ingredients’), in order to provide the right weapons against ageing. Traces of Astragaloside IV and cycloastragenol occur in astrag- alus; it is estimated that you need about 30-60 grams of Astragalus membra- naceus</w:t>
      </w:r>
      <w:r>
        <w:rPr>
          <w:spacing w:val="-12"/>
        </w:rPr>
        <w:t> </w:t>
      </w:r>
      <w:r>
        <w:rPr/>
        <w:t>per</w:t>
      </w:r>
      <w:r>
        <w:rPr>
          <w:spacing w:val="-10"/>
        </w:rPr>
        <w:t> </w:t>
      </w:r>
      <w:r>
        <w:rPr/>
        <w:t>day</w:t>
      </w:r>
      <w:r>
        <w:rPr>
          <w:spacing w:val="-11"/>
        </w:rPr>
        <w:t> </w:t>
      </w:r>
      <w:r>
        <w:rPr/>
        <w:t>to</w:t>
      </w:r>
      <w:r>
        <w:rPr>
          <w:spacing w:val="-10"/>
        </w:rPr>
        <w:t> </w:t>
      </w:r>
      <w:r>
        <w:rPr/>
        <w:t>get</w:t>
      </w:r>
      <w:r>
        <w:rPr>
          <w:spacing w:val="-10"/>
        </w:rPr>
        <w:t> </w:t>
      </w:r>
      <w:r>
        <w:rPr/>
        <w:t>the</w:t>
      </w:r>
      <w:r>
        <w:rPr>
          <w:spacing w:val="-12"/>
        </w:rPr>
        <w:t> </w:t>
      </w:r>
      <w:r>
        <w:rPr/>
        <w:t>recommended</w:t>
      </w:r>
      <w:r>
        <w:rPr>
          <w:spacing w:val="-10"/>
        </w:rPr>
        <w:t> </w:t>
      </w:r>
      <w:r>
        <w:rPr/>
        <w:t>daily</w:t>
      </w:r>
      <w:r>
        <w:rPr>
          <w:spacing w:val="-10"/>
        </w:rPr>
        <w:t> </w:t>
      </w:r>
      <w:r>
        <w:rPr/>
        <w:t>allowance</w:t>
      </w:r>
      <w:r>
        <w:rPr>
          <w:spacing w:val="-10"/>
        </w:rPr>
        <w:t> </w:t>
      </w:r>
      <w:r>
        <w:rPr/>
        <w:t>of</w:t>
      </w:r>
      <w:r>
        <w:rPr>
          <w:spacing w:val="-10"/>
        </w:rPr>
        <w:t> </w:t>
      </w:r>
      <w:r>
        <w:rPr/>
        <w:t>Astragaloside</w:t>
      </w:r>
      <w:r>
        <w:rPr>
          <w:spacing w:val="-11"/>
        </w:rPr>
        <w:t> </w:t>
      </w:r>
      <w:r>
        <w:rPr/>
        <w:t>IV,</w:t>
      </w:r>
      <w:r>
        <w:rPr>
          <w:spacing w:val="-10"/>
        </w:rPr>
        <w:t> </w:t>
      </w:r>
      <w:r>
        <w:rPr/>
        <w:t>an amount that would be hard to</w:t>
      </w:r>
      <w:r>
        <w:rPr>
          <w:spacing w:val="1"/>
        </w:rPr>
        <w:t> </w:t>
      </w:r>
      <w:r>
        <w:rPr/>
        <w:t>achieve!</w:t>
      </w:r>
    </w:p>
    <w:p>
      <w:pPr>
        <w:pStyle w:val="BodyText"/>
        <w:spacing w:line="276" w:lineRule="auto" w:before="241"/>
        <w:ind w:left="477" w:right="131"/>
        <w:jc w:val="both"/>
        <w:rPr>
          <w:i/>
        </w:rPr>
      </w:pPr>
      <w:r>
        <w:rPr/>
        <w:t>It is not surprising, however, that the astragalus root as a whole increases the bioavailability of the Astragaloside IV, which is substantiated by a correspond- ing study.</w:t>
      </w:r>
      <w:r>
        <w:rPr>
          <w:position w:val="9"/>
          <w:sz w:val="25"/>
        </w:rPr>
        <w:t>94 </w:t>
      </w:r>
      <w:r>
        <w:rPr/>
        <w:t>Consequently, half the amount is enough, namely 15-30 g of the root powder per day, to achieve an equivalent effect of 30-60 g of Astragalus membranaceus. Of course, research into these complex mechanisms around chromosomes</w:t>
      </w:r>
      <w:r>
        <w:rPr>
          <w:spacing w:val="-8"/>
        </w:rPr>
        <w:t> </w:t>
      </w:r>
      <w:r>
        <w:rPr/>
        <w:t>and</w:t>
      </w:r>
      <w:r>
        <w:rPr>
          <w:spacing w:val="-6"/>
        </w:rPr>
        <w:t> </w:t>
      </w:r>
      <w:r>
        <w:rPr/>
        <w:t>telomeres</w:t>
      </w:r>
      <w:r>
        <w:rPr>
          <w:spacing w:val="-6"/>
        </w:rPr>
        <w:t> </w:t>
      </w:r>
      <w:r>
        <w:rPr/>
        <w:t>and</w:t>
      </w:r>
      <w:r>
        <w:rPr>
          <w:spacing w:val="-6"/>
        </w:rPr>
        <w:t> </w:t>
      </w:r>
      <w:r>
        <w:rPr/>
        <w:t>the</w:t>
      </w:r>
      <w:r>
        <w:rPr>
          <w:spacing w:val="-5"/>
        </w:rPr>
        <w:t> </w:t>
      </w:r>
      <w:r>
        <w:rPr/>
        <w:t>enzyme</w:t>
      </w:r>
      <w:r>
        <w:rPr>
          <w:spacing w:val="-6"/>
        </w:rPr>
        <w:t> </w:t>
      </w:r>
      <w:r>
        <w:rPr/>
        <w:t>‘telomerase’</w:t>
      </w:r>
      <w:r>
        <w:rPr>
          <w:spacing w:val="-5"/>
        </w:rPr>
        <w:t> </w:t>
      </w:r>
      <w:r>
        <w:rPr/>
        <w:t>is</w:t>
      </w:r>
      <w:r>
        <w:rPr>
          <w:spacing w:val="-7"/>
        </w:rPr>
        <w:t> </w:t>
      </w:r>
      <w:r>
        <w:rPr/>
        <w:t>still</w:t>
      </w:r>
      <w:r>
        <w:rPr>
          <w:spacing w:val="-9"/>
        </w:rPr>
        <w:t> </w:t>
      </w:r>
      <w:r>
        <w:rPr/>
        <w:t>in</w:t>
      </w:r>
      <w:r>
        <w:rPr>
          <w:spacing w:val="-6"/>
        </w:rPr>
        <w:t> </w:t>
      </w:r>
      <w:r>
        <w:rPr/>
        <w:t>early</w:t>
      </w:r>
      <w:r>
        <w:rPr>
          <w:spacing w:val="-6"/>
        </w:rPr>
        <w:t> </w:t>
      </w:r>
      <w:r>
        <w:rPr/>
        <w:t>stages, or, to put it better, its infancy. Many scientists share the following thesis: </w:t>
      </w:r>
      <w:r>
        <w:rPr>
          <w:i/>
        </w:rPr>
        <w:t>the </w:t>
      </w:r>
      <w:r>
        <w:rPr>
          <w:i/>
        </w:rPr>
        <w:t>right amount can prolong life, but too much of a good thing can be</w:t>
      </w:r>
      <w:r>
        <w:rPr>
          <w:i/>
          <w:spacing w:val="-16"/>
        </w:rPr>
        <w:t> </w:t>
      </w:r>
      <w:r>
        <w:rPr>
          <w:i/>
        </w:rPr>
        <w:t>harmful!</w:t>
      </w:r>
    </w:p>
    <w:p>
      <w:pPr>
        <w:pStyle w:val="BodyText"/>
        <w:spacing w:line="276" w:lineRule="auto" w:before="241"/>
        <w:ind w:left="477" w:right="136"/>
        <w:jc w:val="both"/>
      </w:pPr>
      <w:r>
        <w:rPr/>
        <w:t>The</w:t>
      </w:r>
      <w:r>
        <w:rPr>
          <w:spacing w:val="-13"/>
        </w:rPr>
        <w:t> </w:t>
      </w:r>
      <w:r>
        <w:rPr/>
        <w:t>suspicion</w:t>
      </w:r>
      <w:r>
        <w:rPr>
          <w:spacing w:val="-12"/>
        </w:rPr>
        <w:t> </w:t>
      </w:r>
      <w:r>
        <w:rPr/>
        <w:t>that</w:t>
      </w:r>
      <w:r>
        <w:rPr>
          <w:spacing w:val="-14"/>
        </w:rPr>
        <w:t> </w:t>
      </w:r>
      <w:r>
        <w:rPr/>
        <w:t>astragaloside</w:t>
      </w:r>
      <w:r>
        <w:rPr>
          <w:spacing w:val="-12"/>
        </w:rPr>
        <w:t> </w:t>
      </w:r>
      <w:r>
        <w:rPr/>
        <w:t>IV</w:t>
      </w:r>
      <w:r>
        <w:rPr>
          <w:spacing w:val="-14"/>
        </w:rPr>
        <w:t> </w:t>
      </w:r>
      <w:r>
        <w:rPr/>
        <w:t>activation</w:t>
      </w:r>
      <w:r>
        <w:rPr>
          <w:spacing w:val="-12"/>
        </w:rPr>
        <w:t> </w:t>
      </w:r>
      <w:r>
        <w:rPr/>
        <w:t>of</w:t>
      </w:r>
      <w:r>
        <w:rPr>
          <w:spacing w:val="-12"/>
        </w:rPr>
        <w:t> </w:t>
      </w:r>
      <w:r>
        <w:rPr/>
        <w:t>telomerase</w:t>
      </w:r>
      <w:r>
        <w:rPr>
          <w:spacing w:val="-13"/>
        </w:rPr>
        <w:t> </w:t>
      </w:r>
      <w:r>
        <w:rPr/>
        <w:t>might</w:t>
      </w:r>
      <w:r>
        <w:rPr>
          <w:spacing w:val="-13"/>
        </w:rPr>
        <w:t> </w:t>
      </w:r>
      <w:r>
        <w:rPr/>
        <w:t>cause</w:t>
      </w:r>
      <w:r>
        <w:rPr>
          <w:spacing w:val="-13"/>
        </w:rPr>
        <w:t> </w:t>
      </w:r>
      <w:r>
        <w:rPr/>
        <w:t>cancer has not been confirmed – on the contrary: research confirms that excessively short telomerase strands can result in cell instability and in turn,</w:t>
      </w:r>
      <w:r>
        <w:rPr>
          <w:spacing w:val="-13"/>
        </w:rPr>
        <w:t> </w:t>
      </w:r>
      <w:r>
        <w:rPr/>
        <w:t>cancer.</w:t>
      </w:r>
    </w:p>
    <w:p>
      <w:pPr>
        <w:pStyle w:val="BodyText"/>
        <w:rPr>
          <w:sz w:val="20"/>
        </w:rPr>
      </w:pPr>
    </w:p>
    <w:p>
      <w:pPr>
        <w:pStyle w:val="BodyText"/>
        <w:spacing w:before="6"/>
        <w:rPr>
          <w:sz w:val="29"/>
        </w:rPr>
      </w:pPr>
      <w:r>
        <w:rPr/>
        <w:pict>
          <v:line style="position:absolute;mso-position-horizontal-relative:page;mso-position-vertical-relative:paragraph;z-index:632;mso-wrap-distance-left:0;mso-wrap-distance-right:0" from="63.863998pt,19.006266pt" to="207.883998pt,19.006266pt" stroked="true" strokeweight=".71997pt" strokecolor="#000000">
            <v:stroke dashstyle="solid"/>
            <w10:wrap type="topAndBottom"/>
          </v:line>
        </w:pict>
      </w:r>
    </w:p>
    <w:p>
      <w:pPr>
        <w:pStyle w:val="BodyText"/>
        <w:spacing w:before="8"/>
        <w:rPr>
          <w:sz w:val="20"/>
        </w:rPr>
      </w:pPr>
    </w:p>
    <w:p>
      <w:pPr>
        <w:spacing w:before="71"/>
        <w:ind w:left="477" w:right="0" w:firstLine="0"/>
        <w:jc w:val="left"/>
        <w:rPr>
          <w:sz w:val="20"/>
        </w:rPr>
      </w:pPr>
      <w:r>
        <w:rPr>
          <w:rFonts w:ascii="Calibri"/>
          <w:position w:val="8"/>
          <w:sz w:val="14"/>
        </w:rPr>
        <w:t>94 </w:t>
      </w:r>
      <w:r>
        <w:rPr>
          <w:sz w:val="20"/>
        </w:rPr>
        <w:t>Transport and Bioavailability Studies of Astragaloside IV, an Active Ingredient in Radix Astragali; Yongchuan Gu1, Guangji Wang1, Guoyu Pan1,</w:t>
      </w:r>
    </w:p>
    <w:p>
      <w:pPr>
        <w:spacing w:before="48"/>
        <w:ind w:left="477" w:right="0" w:firstLine="0"/>
        <w:jc w:val="left"/>
        <w:rPr>
          <w:sz w:val="20"/>
        </w:rPr>
      </w:pPr>
      <w:r>
        <w:rPr>
          <w:sz w:val="20"/>
        </w:rPr>
        <w:t>J. Paul Fawcett2,*, Jiye A.1, Jianguo Sun1Article first published online: 29 NOV 2004 DOI: 10.1111/j.1742–7843.2004.t01-1-pto950508.</w:t>
      </w:r>
    </w:p>
    <w:p>
      <w:pPr>
        <w:spacing w:after="0"/>
        <w:jc w:val="left"/>
        <w:rPr>
          <w:sz w:val="20"/>
        </w:rPr>
        <w:sectPr>
          <w:pgSz w:w="14270" w:h="16850"/>
          <w:pgMar w:header="0" w:footer="1891" w:top="1600" w:bottom="2080" w:left="800" w:right="1280"/>
        </w:sectPr>
      </w:pPr>
    </w:p>
    <w:p>
      <w:pPr>
        <w:pStyle w:val="BodyText"/>
        <w:spacing w:line="276" w:lineRule="auto" w:before="181"/>
        <w:ind w:left="477" w:right="137"/>
        <w:jc w:val="both"/>
      </w:pPr>
      <w:r>
        <w:rPr/>
        <w:t>Also: Astragalus membranaceus as a whole has even shown anticarcinogenic properties in studies (see ‘Astragalus Studies’). The latter should provide some reassurance</w:t>
      </w:r>
      <w:r>
        <w:rPr>
          <w:spacing w:val="-19"/>
        </w:rPr>
        <w:t> </w:t>
      </w:r>
      <w:r>
        <w:rPr/>
        <w:t>and</w:t>
      </w:r>
      <w:r>
        <w:rPr>
          <w:spacing w:val="-19"/>
        </w:rPr>
        <w:t> </w:t>
      </w:r>
      <w:r>
        <w:rPr/>
        <w:t>perhaps</w:t>
      </w:r>
      <w:r>
        <w:rPr>
          <w:spacing w:val="-18"/>
        </w:rPr>
        <w:t> </w:t>
      </w:r>
      <w:r>
        <w:rPr/>
        <w:t>lead</w:t>
      </w:r>
      <w:r>
        <w:rPr>
          <w:spacing w:val="-20"/>
        </w:rPr>
        <w:t> </w:t>
      </w:r>
      <w:r>
        <w:rPr/>
        <w:t>to</w:t>
      </w:r>
      <w:r>
        <w:rPr>
          <w:spacing w:val="-18"/>
        </w:rPr>
        <w:t> </w:t>
      </w:r>
      <w:r>
        <w:rPr/>
        <w:t>the</w:t>
      </w:r>
      <w:r>
        <w:rPr>
          <w:spacing w:val="-18"/>
        </w:rPr>
        <w:t> </w:t>
      </w:r>
      <w:r>
        <w:rPr/>
        <w:t>consumption</w:t>
      </w:r>
      <w:r>
        <w:rPr>
          <w:spacing w:val="-19"/>
        </w:rPr>
        <w:t> </w:t>
      </w:r>
      <w:r>
        <w:rPr/>
        <w:t>of</w:t>
      </w:r>
      <w:r>
        <w:rPr>
          <w:spacing w:val="-19"/>
        </w:rPr>
        <w:t> </w:t>
      </w:r>
      <w:r>
        <w:rPr/>
        <w:t>the</w:t>
      </w:r>
      <w:r>
        <w:rPr>
          <w:spacing w:val="-18"/>
        </w:rPr>
        <w:t> </w:t>
      </w:r>
      <w:r>
        <w:rPr/>
        <w:t>entire</w:t>
      </w:r>
      <w:r>
        <w:rPr>
          <w:spacing w:val="-18"/>
        </w:rPr>
        <w:t> </w:t>
      </w:r>
      <w:r>
        <w:rPr/>
        <w:t>Astragalus</w:t>
      </w:r>
      <w:r>
        <w:rPr>
          <w:spacing w:val="-18"/>
        </w:rPr>
        <w:t> </w:t>
      </w:r>
      <w:r>
        <w:rPr/>
        <w:t>mem- branaceus</w:t>
      </w:r>
      <w:r>
        <w:rPr>
          <w:spacing w:val="-25"/>
        </w:rPr>
        <w:t> </w:t>
      </w:r>
      <w:r>
        <w:rPr/>
        <w:t>rather</w:t>
      </w:r>
      <w:r>
        <w:rPr>
          <w:spacing w:val="-25"/>
        </w:rPr>
        <w:t> </w:t>
      </w:r>
      <w:r>
        <w:rPr/>
        <w:t>than</w:t>
      </w:r>
      <w:r>
        <w:rPr>
          <w:spacing w:val="-25"/>
        </w:rPr>
        <w:t> </w:t>
      </w:r>
      <w:r>
        <w:rPr/>
        <w:t>individual</w:t>
      </w:r>
      <w:r>
        <w:rPr>
          <w:spacing w:val="-25"/>
        </w:rPr>
        <w:t> </w:t>
      </w:r>
      <w:r>
        <w:rPr/>
        <w:t>isolated</w:t>
      </w:r>
      <w:r>
        <w:rPr>
          <w:spacing w:val="-26"/>
        </w:rPr>
        <w:t> </w:t>
      </w:r>
      <w:r>
        <w:rPr/>
        <w:t>components,</w:t>
      </w:r>
      <w:r>
        <w:rPr>
          <w:spacing w:val="-26"/>
        </w:rPr>
        <w:t> </w:t>
      </w:r>
      <w:r>
        <w:rPr/>
        <w:t>or</w:t>
      </w:r>
      <w:r>
        <w:rPr>
          <w:spacing w:val="-25"/>
        </w:rPr>
        <w:t> </w:t>
      </w:r>
      <w:r>
        <w:rPr/>
        <w:t>at</w:t>
      </w:r>
      <w:r>
        <w:rPr>
          <w:spacing w:val="-25"/>
        </w:rPr>
        <w:t> </w:t>
      </w:r>
      <w:r>
        <w:rPr/>
        <w:t>the</w:t>
      </w:r>
      <w:r>
        <w:rPr>
          <w:spacing w:val="-25"/>
        </w:rPr>
        <w:t> </w:t>
      </w:r>
      <w:r>
        <w:rPr/>
        <w:t>very</w:t>
      </w:r>
      <w:r>
        <w:rPr>
          <w:spacing w:val="-25"/>
        </w:rPr>
        <w:t> </w:t>
      </w:r>
      <w:r>
        <w:rPr/>
        <w:t>least</w:t>
      </w:r>
      <w:r>
        <w:rPr>
          <w:spacing w:val="-24"/>
        </w:rPr>
        <w:t> </w:t>
      </w:r>
      <w:r>
        <w:rPr/>
        <w:t>a</w:t>
      </w:r>
      <w:r>
        <w:rPr>
          <w:spacing w:val="-27"/>
        </w:rPr>
        <w:t> </w:t>
      </w:r>
      <w:r>
        <w:rPr/>
        <w:t>com- bination.</w:t>
      </w:r>
    </w:p>
    <w:p>
      <w:pPr>
        <w:pStyle w:val="Heading1"/>
        <w:spacing w:before="223"/>
      </w:pPr>
      <w:r>
        <w:rPr/>
        <w:t>How many years younger can Astragalus membranaceus make you?</w:t>
      </w:r>
    </w:p>
    <w:p>
      <w:pPr>
        <w:pStyle w:val="BodyText"/>
        <w:spacing w:line="276" w:lineRule="auto" w:before="299"/>
        <w:ind w:left="477" w:right="132"/>
        <w:jc w:val="both"/>
      </w:pPr>
      <w:r>
        <w:rPr/>
        <w:t>This is another very hypothetical and speculative issue, like all questions sur- rounding the hitherto poorly understood principle of telomerase. But if one trusts in studies that are cited (unfortunately often without a reference to the source) in US boards, by taking it regularly over one year, you could extend telomeres to the state they were in nine years ago. This would mean: one year of</w:t>
      </w:r>
      <w:r>
        <w:rPr>
          <w:spacing w:val="-8"/>
        </w:rPr>
        <w:t> </w:t>
      </w:r>
      <w:r>
        <w:rPr/>
        <w:t>intake</w:t>
      </w:r>
      <w:r>
        <w:rPr>
          <w:spacing w:val="-7"/>
        </w:rPr>
        <w:t> </w:t>
      </w:r>
      <w:r>
        <w:rPr/>
        <w:t>=</w:t>
      </w:r>
      <w:r>
        <w:rPr>
          <w:spacing w:val="-7"/>
        </w:rPr>
        <w:t> </w:t>
      </w:r>
      <w:r>
        <w:rPr/>
        <w:t>nine</w:t>
      </w:r>
      <w:r>
        <w:rPr>
          <w:spacing w:val="-9"/>
        </w:rPr>
        <w:t> </w:t>
      </w:r>
      <w:r>
        <w:rPr/>
        <w:t>years</w:t>
      </w:r>
      <w:r>
        <w:rPr>
          <w:spacing w:val="-6"/>
        </w:rPr>
        <w:t> </w:t>
      </w:r>
      <w:r>
        <w:rPr/>
        <w:t>of</w:t>
      </w:r>
      <w:r>
        <w:rPr>
          <w:spacing w:val="-8"/>
        </w:rPr>
        <w:t> </w:t>
      </w:r>
      <w:r>
        <w:rPr/>
        <w:t>biological</w:t>
      </w:r>
      <w:r>
        <w:rPr>
          <w:spacing w:val="-7"/>
        </w:rPr>
        <w:t> </w:t>
      </w:r>
      <w:r>
        <w:rPr/>
        <w:t>rejuvenation</w:t>
      </w:r>
      <w:r>
        <w:rPr>
          <w:spacing w:val="-6"/>
        </w:rPr>
        <w:t> </w:t>
      </w:r>
      <w:r>
        <w:rPr/>
        <w:t>(re-ageing).</w:t>
      </w:r>
      <w:r>
        <w:rPr>
          <w:spacing w:val="-6"/>
        </w:rPr>
        <w:t> </w:t>
      </w:r>
      <w:r>
        <w:rPr/>
        <w:t>Further</w:t>
      </w:r>
      <w:r>
        <w:rPr>
          <w:spacing w:val="-5"/>
        </w:rPr>
        <w:t> </w:t>
      </w:r>
      <w:r>
        <w:rPr/>
        <w:t>research</w:t>
      </w:r>
      <w:r>
        <w:rPr>
          <w:spacing w:val="-8"/>
        </w:rPr>
        <w:t> </w:t>
      </w:r>
      <w:r>
        <w:rPr/>
        <w:t>is needed</w:t>
      </w:r>
      <w:r>
        <w:rPr>
          <w:spacing w:val="-14"/>
        </w:rPr>
        <w:t> </w:t>
      </w:r>
      <w:r>
        <w:rPr/>
        <w:t>to</w:t>
      </w:r>
      <w:r>
        <w:rPr>
          <w:spacing w:val="-13"/>
        </w:rPr>
        <w:t> </w:t>
      </w:r>
      <w:r>
        <w:rPr/>
        <w:t>show</w:t>
      </w:r>
      <w:r>
        <w:rPr>
          <w:spacing w:val="-16"/>
        </w:rPr>
        <w:t> </w:t>
      </w:r>
      <w:r>
        <w:rPr/>
        <w:t>if</w:t>
      </w:r>
      <w:r>
        <w:rPr>
          <w:spacing w:val="-15"/>
        </w:rPr>
        <w:t> </w:t>
      </w:r>
      <w:r>
        <w:rPr/>
        <w:t>this</w:t>
      </w:r>
      <w:r>
        <w:rPr>
          <w:spacing w:val="-12"/>
        </w:rPr>
        <w:t> </w:t>
      </w:r>
      <w:r>
        <w:rPr/>
        <w:t>is</w:t>
      </w:r>
      <w:r>
        <w:rPr>
          <w:spacing w:val="-13"/>
        </w:rPr>
        <w:t> </w:t>
      </w:r>
      <w:r>
        <w:rPr/>
        <w:t>feasible,</w:t>
      </w:r>
      <w:r>
        <w:rPr>
          <w:spacing w:val="-16"/>
        </w:rPr>
        <w:t> </w:t>
      </w:r>
      <w:r>
        <w:rPr/>
        <w:t>but</w:t>
      </w:r>
      <w:r>
        <w:rPr>
          <w:spacing w:val="-14"/>
        </w:rPr>
        <w:t> </w:t>
      </w:r>
      <w:r>
        <w:rPr/>
        <w:t>the</w:t>
      </w:r>
      <w:r>
        <w:rPr>
          <w:spacing w:val="-12"/>
        </w:rPr>
        <w:t> </w:t>
      </w:r>
      <w:r>
        <w:rPr/>
        <w:t>knowledge</w:t>
      </w:r>
      <w:r>
        <w:rPr>
          <w:spacing w:val="-12"/>
        </w:rPr>
        <w:t> </w:t>
      </w:r>
      <w:r>
        <w:rPr/>
        <w:t>acquired</w:t>
      </w:r>
      <w:r>
        <w:rPr>
          <w:spacing w:val="-14"/>
        </w:rPr>
        <w:t> </w:t>
      </w:r>
      <w:r>
        <w:rPr/>
        <w:t>so</w:t>
      </w:r>
      <w:r>
        <w:rPr>
          <w:spacing w:val="-12"/>
        </w:rPr>
        <w:t> </w:t>
      </w:r>
      <w:r>
        <w:rPr/>
        <w:t>far</w:t>
      </w:r>
      <w:r>
        <w:rPr>
          <w:spacing w:val="-13"/>
        </w:rPr>
        <w:t> </w:t>
      </w:r>
      <w:r>
        <w:rPr/>
        <w:t>on</w:t>
      </w:r>
      <w:r>
        <w:rPr>
          <w:spacing w:val="-13"/>
        </w:rPr>
        <w:t> </w:t>
      </w:r>
      <w:r>
        <w:rPr/>
        <w:t>the</w:t>
      </w:r>
      <w:r>
        <w:rPr>
          <w:spacing w:val="-12"/>
        </w:rPr>
        <w:t> </w:t>
      </w:r>
      <w:r>
        <w:rPr/>
        <w:t>anti- ageing principle due to the telomerase activation is certainly very</w:t>
      </w:r>
      <w:r>
        <w:rPr>
          <w:spacing w:val="-19"/>
        </w:rPr>
        <w:t> </w:t>
      </w:r>
      <w:r>
        <w:rPr/>
        <w:t>promising.</w:t>
      </w:r>
    </w:p>
    <w:p>
      <w:pPr>
        <w:pStyle w:val="Heading1"/>
      </w:pPr>
      <w:r>
        <w:rPr/>
        <w:t>Astragalus membranaceus as natural doping in sports</w:t>
      </w:r>
    </w:p>
    <w:p>
      <w:pPr>
        <w:pStyle w:val="BodyText"/>
        <w:spacing w:line="276" w:lineRule="auto" w:before="299"/>
        <w:ind w:left="477" w:right="130"/>
        <w:jc w:val="both"/>
      </w:pPr>
      <w:r>
        <w:rPr/>
        <w:t>If one analyses the results of Astragalus membranaceus studies on cardiac per- formance</w:t>
      </w:r>
      <w:r>
        <w:rPr>
          <w:spacing w:val="-18"/>
        </w:rPr>
        <w:t> </w:t>
      </w:r>
      <w:r>
        <w:rPr/>
        <w:t>enhancement,</w:t>
      </w:r>
      <w:r>
        <w:rPr>
          <w:spacing w:val="-18"/>
        </w:rPr>
        <w:t> </w:t>
      </w:r>
      <w:r>
        <w:rPr/>
        <w:t>it</w:t>
      </w:r>
      <w:r>
        <w:rPr>
          <w:spacing w:val="-19"/>
        </w:rPr>
        <w:t> </w:t>
      </w:r>
      <w:r>
        <w:rPr/>
        <w:t>is</w:t>
      </w:r>
      <w:r>
        <w:rPr>
          <w:spacing w:val="-18"/>
        </w:rPr>
        <w:t> </w:t>
      </w:r>
      <w:r>
        <w:rPr/>
        <w:t>clear</w:t>
      </w:r>
      <w:r>
        <w:rPr>
          <w:spacing w:val="-18"/>
        </w:rPr>
        <w:t> </w:t>
      </w:r>
      <w:r>
        <w:rPr/>
        <w:t>that</w:t>
      </w:r>
      <w:r>
        <w:rPr>
          <w:spacing w:val="-18"/>
        </w:rPr>
        <w:t> </w:t>
      </w:r>
      <w:r>
        <w:rPr/>
        <w:t>few</w:t>
      </w:r>
      <w:r>
        <w:rPr>
          <w:spacing w:val="-20"/>
        </w:rPr>
        <w:t> </w:t>
      </w:r>
      <w:r>
        <w:rPr/>
        <w:t>synthetic</w:t>
      </w:r>
      <w:r>
        <w:rPr>
          <w:spacing w:val="-17"/>
        </w:rPr>
        <w:t> </w:t>
      </w:r>
      <w:r>
        <w:rPr/>
        <w:t>doping</w:t>
      </w:r>
      <w:r>
        <w:rPr>
          <w:spacing w:val="-18"/>
        </w:rPr>
        <w:t> </w:t>
      </w:r>
      <w:r>
        <w:rPr/>
        <w:t>agents</w:t>
      </w:r>
      <w:r>
        <w:rPr>
          <w:spacing w:val="-17"/>
        </w:rPr>
        <w:t> </w:t>
      </w:r>
      <w:r>
        <w:rPr/>
        <w:t>can</w:t>
      </w:r>
      <w:r>
        <w:rPr>
          <w:spacing w:val="-18"/>
        </w:rPr>
        <w:t> </w:t>
      </w:r>
      <w:r>
        <w:rPr/>
        <w:t>compete with this natural, wholesome and entirely legal substance. In a record time of two weeks, astragalus increased the average heart blood flow from 5.09 l/min to a fabulous 5.95 l/min and lowered the resting heart rate from 88 to 64</w:t>
      </w:r>
      <w:r>
        <w:rPr>
          <w:spacing w:val="40"/>
        </w:rPr>
        <w:t> </w:t>
      </w:r>
      <w:r>
        <w:rPr/>
        <w:t>bpm</w:t>
      </w:r>
    </w:p>
    <w:p>
      <w:pPr>
        <w:pStyle w:val="BodyText"/>
        <w:spacing w:before="1"/>
        <w:ind w:left="477"/>
        <w:jc w:val="both"/>
      </w:pPr>
      <w:r>
        <w:rPr/>
        <w:t>– something that no training regime in the world would be able to achieve!</w:t>
      </w:r>
    </w:p>
    <w:p>
      <w:pPr>
        <w:spacing w:after="0"/>
        <w:jc w:val="both"/>
        <w:sectPr>
          <w:pgSz w:w="14270" w:h="16850"/>
          <w:pgMar w:header="0" w:footer="1891" w:top="1600" w:bottom="2080" w:left="800" w:right="1280"/>
        </w:sectPr>
      </w:pPr>
    </w:p>
    <w:p>
      <w:pPr>
        <w:pStyle w:val="BodyText"/>
        <w:spacing w:line="276" w:lineRule="auto" w:before="181"/>
        <w:ind w:left="477" w:right="133"/>
        <w:jc w:val="both"/>
      </w:pPr>
      <w:r>
        <w:rPr/>
        <w:t>This was corroborated by an improvement of the ECG by 82.6 % in angina pectoris patients (see ‘Astragalus Studies’). Although there are no studies on healthy persons or on well-trained endurance athletes, the available studies en- courage us to give astragalus a chance in this regard!</w:t>
      </w:r>
    </w:p>
    <w:p>
      <w:pPr>
        <w:pStyle w:val="BodyText"/>
        <w:rPr>
          <w:sz w:val="42"/>
        </w:rPr>
      </w:pPr>
    </w:p>
    <w:p>
      <w:pPr>
        <w:pStyle w:val="BodyText"/>
        <w:spacing w:before="4"/>
        <w:rPr>
          <w:sz w:val="44"/>
        </w:rPr>
      </w:pPr>
    </w:p>
    <w:p>
      <w:pPr>
        <w:pStyle w:val="Heading2"/>
      </w:pPr>
      <w:r>
        <w:rPr/>
        <w:t>Studies on astragalus</w:t>
      </w:r>
    </w:p>
    <w:p>
      <w:pPr>
        <w:spacing w:before="288"/>
        <w:ind w:left="477" w:right="0" w:firstLine="0"/>
        <w:jc w:val="left"/>
        <w:rPr>
          <w:b/>
          <w:i/>
          <w:sz w:val="40"/>
        </w:rPr>
      </w:pPr>
      <w:r>
        <w:rPr>
          <w:b/>
          <w:i/>
          <w:sz w:val="40"/>
        </w:rPr>
        <w:t>Ingredients of astragalus (astragaloside IV) activates telomerase</w:t>
      </w:r>
    </w:p>
    <w:p>
      <w:pPr>
        <w:pStyle w:val="BodyText"/>
        <w:spacing w:line="276" w:lineRule="auto" w:before="299"/>
        <w:ind w:left="477" w:right="143"/>
        <w:jc w:val="both"/>
        <w:rPr>
          <w:sz w:val="25"/>
        </w:rPr>
      </w:pPr>
      <w:r>
        <w:rPr/>
        <w:t>Dry extract of astragalus root has been shown to reduce obsolete T cells and NK cells in studies lasting six to twelve months.</w:t>
      </w:r>
      <w:r>
        <w:rPr>
          <w:position w:val="9"/>
          <w:sz w:val="25"/>
        </w:rPr>
        <w:t>95</w:t>
      </w:r>
    </w:p>
    <w:p>
      <w:pPr>
        <w:pStyle w:val="Heading1"/>
        <w:spacing w:line="261" w:lineRule="auto"/>
        <w:ind w:right="139"/>
        <w:jc w:val="both"/>
      </w:pPr>
      <w:r>
        <w:rPr/>
        <w:t>In</w:t>
      </w:r>
      <w:r>
        <w:rPr>
          <w:spacing w:val="-52"/>
        </w:rPr>
        <w:t> </w:t>
      </w:r>
      <w:r>
        <w:rPr/>
        <w:t>studies,</w:t>
      </w:r>
      <w:r>
        <w:rPr>
          <w:spacing w:val="-51"/>
        </w:rPr>
        <w:t> </w:t>
      </w:r>
      <w:r>
        <w:rPr/>
        <w:t>astragalus-derived</w:t>
      </w:r>
      <w:r>
        <w:rPr>
          <w:spacing w:val="-50"/>
        </w:rPr>
        <w:t> </w:t>
      </w:r>
      <w:r>
        <w:rPr/>
        <w:t>molecules</w:t>
      </w:r>
      <w:r>
        <w:rPr>
          <w:spacing w:val="-51"/>
        </w:rPr>
        <w:t> </w:t>
      </w:r>
      <w:r>
        <w:rPr/>
        <w:t>extend</w:t>
      </w:r>
      <w:r>
        <w:rPr>
          <w:spacing w:val="-51"/>
        </w:rPr>
        <w:t> </w:t>
      </w:r>
      <w:r>
        <w:rPr/>
        <w:t>telomeres,</w:t>
      </w:r>
      <w:r>
        <w:rPr>
          <w:spacing w:val="-50"/>
        </w:rPr>
        <w:t> </w:t>
      </w:r>
      <w:r>
        <w:rPr/>
        <w:t>heal</w:t>
      </w:r>
      <w:r>
        <w:rPr>
          <w:spacing w:val="-51"/>
        </w:rPr>
        <w:t> </w:t>
      </w:r>
      <w:r>
        <w:rPr/>
        <w:t>organs and improve</w:t>
      </w:r>
      <w:r>
        <w:rPr>
          <w:spacing w:val="-13"/>
        </w:rPr>
        <w:t> </w:t>
      </w:r>
      <w:r>
        <w:rPr/>
        <w:t>health</w:t>
      </w:r>
    </w:p>
    <w:p>
      <w:pPr>
        <w:pStyle w:val="BodyText"/>
        <w:spacing w:line="276" w:lineRule="auto" w:before="258"/>
        <w:ind w:left="477" w:right="131"/>
        <w:jc w:val="both"/>
        <w:rPr>
          <w:sz w:val="25"/>
        </w:rPr>
      </w:pPr>
      <w:r>
        <w:rPr/>
        <w:t>Studies at the National Cancer Research Centre in Spain, led by Maria Blasco, have shown that TA-65, a molecule derived from the astragalus plant,</w:t>
      </w:r>
      <w:r>
        <w:rPr>
          <w:spacing w:val="-53"/>
        </w:rPr>
        <w:t> </w:t>
      </w:r>
      <w:r>
        <w:rPr/>
        <w:t>activates the</w:t>
      </w:r>
      <w:r>
        <w:rPr>
          <w:spacing w:val="-20"/>
        </w:rPr>
        <w:t> </w:t>
      </w:r>
      <w:r>
        <w:rPr/>
        <w:t>telomerase</w:t>
      </w:r>
      <w:r>
        <w:rPr>
          <w:spacing w:val="-21"/>
        </w:rPr>
        <w:t> </w:t>
      </w:r>
      <w:r>
        <w:rPr/>
        <w:t>enzyme,</w:t>
      </w:r>
      <w:r>
        <w:rPr>
          <w:spacing w:val="-19"/>
        </w:rPr>
        <w:t> </w:t>
      </w:r>
      <w:r>
        <w:rPr/>
        <w:t>re-extending</w:t>
      </w:r>
      <w:r>
        <w:rPr>
          <w:spacing w:val="-20"/>
        </w:rPr>
        <w:t> </w:t>
      </w:r>
      <w:r>
        <w:rPr/>
        <w:t>critically</w:t>
      </w:r>
      <w:r>
        <w:rPr>
          <w:spacing w:val="-21"/>
        </w:rPr>
        <w:t> </w:t>
      </w:r>
      <w:r>
        <w:rPr/>
        <w:t>short</w:t>
      </w:r>
      <w:r>
        <w:rPr>
          <w:spacing w:val="-22"/>
        </w:rPr>
        <w:t> </w:t>
      </w:r>
      <w:r>
        <w:rPr/>
        <w:t>telomeres,</w:t>
      </w:r>
      <w:r>
        <w:rPr>
          <w:spacing w:val="-19"/>
        </w:rPr>
        <w:t> </w:t>
      </w:r>
      <w:r>
        <w:rPr/>
        <w:t>heals</w:t>
      </w:r>
      <w:r>
        <w:rPr>
          <w:spacing w:val="-22"/>
        </w:rPr>
        <w:t> </w:t>
      </w:r>
      <w:r>
        <w:rPr/>
        <w:t>cells</w:t>
      </w:r>
      <w:r>
        <w:rPr>
          <w:spacing w:val="-20"/>
        </w:rPr>
        <w:t> </w:t>
      </w:r>
      <w:r>
        <w:rPr/>
        <w:t>in</w:t>
      </w:r>
      <w:r>
        <w:rPr>
          <w:spacing w:val="-21"/>
        </w:rPr>
        <w:t> </w:t>
      </w:r>
      <w:r>
        <w:rPr/>
        <w:t>var- ious organ systems and extends the health lifespan.</w:t>
      </w:r>
      <w:r>
        <w:rPr>
          <w:position w:val="9"/>
          <w:sz w:val="25"/>
        </w:rPr>
        <w:t>96</w:t>
      </w:r>
    </w:p>
    <w:p>
      <w:pPr>
        <w:pStyle w:val="Heading1"/>
        <w:spacing w:line="261" w:lineRule="auto"/>
        <w:ind w:right="141"/>
        <w:jc w:val="both"/>
      </w:pPr>
      <w:r>
        <w:rPr/>
        <w:t>The</w:t>
      </w:r>
      <w:r>
        <w:rPr>
          <w:spacing w:val="-47"/>
        </w:rPr>
        <w:t> </w:t>
      </w:r>
      <w:r>
        <w:rPr/>
        <w:t>increase</w:t>
      </w:r>
      <w:r>
        <w:rPr>
          <w:spacing w:val="-47"/>
        </w:rPr>
        <w:t> </w:t>
      </w:r>
      <w:r>
        <w:rPr/>
        <w:t>in</w:t>
      </w:r>
      <w:r>
        <w:rPr>
          <w:spacing w:val="-48"/>
        </w:rPr>
        <w:t> </w:t>
      </w:r>
      <w:r>
        <w:rPr/>
        <w:t>telomerase</w:t>
      </w:r>
      <w:r>
        <w:rPr>
          <w:spacing w:val="-46"/>
        </w:rPr>
        <w:t> </w:t>
      </w:r>
      <w:r>
        <w:rPr/>
        <w:t>activity</w:t>
      </w:r>
      <w:r>
        <w:rPr>
          <w:spacing w:val="-48"/>
        </w:rPr>
        <w:t> </w:t>
      </w:r>
      <w:r>
        <w:rPr/>
        <w:t>prolongs</w:t>
      </w:r>
      <w:r>
        <w:rPr>
          <w:spacing w:val="-47"/>
        </w:rPr>
        <w:t> </w:t>
      </w:r>
      <w:r>
        <w:rPr/>
        <w:t>the</w:t>
      </w:r>
      <w:r>
        <w:rPr>
          <w:spacing w:val="-47"/>
        </w:rPr>
        <w:t> </w:t>
      </w:r>
      <w:r>
        <w:rPr/>
        <w:t>telomeres</w:t>
      </w:r>
      <w:r>
        <w:rPr>
          <w:spacing w:val="-46"/>
        </w:rPr>
        <w:t> </w:t>
      </w:r>
      <w:r>
        <w:rPr/>
        <w:t>and</w:t>
      </w:r>
      <w:r>
        <w:rPr>
          <w:spacing w:val="-47"/>
        </w:rPr>
        <w:t> </w:t>
      </w:r>
      <w:r>
        <w:rPr/>
        <w:t>thus</w:t>
      </w:r>
      <w:r>
        <w:rPr>
          <w:spacing w:val="-48"/>
        </w:rPr>
        <w:t> </w:t>
      </w:r>
      <w:r>
        <w:rPr/>
        <w:t>the lifespan</w:t>
      </w:r>
    </w:p>
    <w:p>
      <w:pPr>
        <w:pStyle w:val="BodyText"/>
        <w:spacing w:before="261"/>
        <w:ind w:left="477"/>
        <w:jc w:val="both"/>
        <w:rPr>
          <w:sz w:val="25"/>
        </w:rPr>
      </w:pPr>
      <w:r>
        <w:rPr/>
        <w:t>Increasing telomerase activity in normal human cells could extend lifespan.</w:t>
      </w:r>
      <w:r>
        <w:rPr>
          <w:position w:val="9"/>
          <w:sz w:val="25"/>
        </w:rPr>
        <w:t>97</w:t>
      </w:r>
    </w:p>
    <w:p>
      <w:pPr>
        <w:pStyle w:val="BodyText"/>
        <w:rPr>
          <w:sz w:val="20"/>
        </w:rPr>
      </w:pPr>
    </w:p>
    <w:p>
      <w:pPr>
        <w:pStyle w:val="BodyText"/>
        <w:rPr>
          <w:sz w:val="20"/>
        </w:rPr>
      </w:pPr>
    </w:p>
    <w:p>
      <w:pPr>
        <w:pStyle w:val="BodyText"/>
        <w:spacing w:before="8"/>
        <w:rPr>
          <w:sz w:val="10"/>
        </w:rPr>
      </w:pPr>
      <w:r>
        <w:rPr/>
        <w:pict>
          <v:line style="position:absolute;mso-position-horizontal-relative:page;mso-position-vertical-relative:paragraph;z-index:656;mso-wrap-distance-left:0;mso-wrap-distance-right:0" from="63.863998pt,8.392515pt" to="207.883998pt,8.392515pt" stroked="true" strokeweight=".71997pt" strokecolor="#000000">
            <v:stroke dashstyle="solid"/>
            <w10:wrap type="topAndBottom"/>
          </v:line>
        </w:pict>
      </w:r>
    </w:p>
    <w:p>
      <w:pPr>
        <w:pStyle w:val="BodyText"/>
        <w:spacing w:before="7"/>
        <w:rPr>
          <w:sz w:val="18"/>
        </w:rPr>
      </w:pPr>
    </w:p>
    <w:p>
      <w:pPr>
        <w:spacing w:line="276" w:lineRule="auto" w:before="99"/>
        <w:ind w:left="477" w:right="0" w:firstLine="0"/>
        <w:jc w:val="left"/>
        <w:rPr>
          <w:sz w:val="20"/>
        </w:rPr>
      </w:pPr>
      <w:r>
        <w:rPr>
          <w:position w:val="5"/>
          <w:sz w:val="13"/>
        </w:rPr>
        <w:t>95 </w:t>
      </w:r>
      <w:r>
        <w:rPr>
          <w:sz w:val="20"/>
        </w:rPr>
        <w:t>Calvin B. et al.: ‘A natural product telomerase activator as part of a health maintenance program’. Rejuvenation Research, 2010, 14: in press. </w:t>
      </w:r>
      <w:r>
        <w:rPr>
          <w:color w:val="0000FF"/>
          <w:sz w:val="20"/>
          <w:u w:val="single" w:color="0000FF"/>
        </w:rPr>
        <w:t>doi</w:t>
      </w:r>
      <w:r>
        <w:rPr>
          <w:sz w:val="20"/>
        </w:rPr>
        <w:t>:10.1089/rej.2010.1085</w:t>
      </w:r>
    </w:p>
    <w:p>
      <w:pPr>
        <w:spacing w:before="61"/>
        <w:ind w:left="477" w:right="0" w:firstLine="0"/>
        <w:jc w:val="left"/>
        <w:rPr>
          <w:sz w:val="20"/>
        </w:rPr>
      </w:pPr>
      <w:r>
        <w:rPr/>
        <w:drawing>
          <wp:anchor distT="0" distB="0" distL="0" distR="0" allowOverlap="1" layoutInCell="1" locked="0" behindDoc="1" simplePos="0" relativeHeight="267168455">
            <wp:simplePos x="0" y="0"/>
            <wp:positionH relativeFrom="page">
              <wp:posOffset>896463</wp:posOffset>
            </wp:positionH>
            <wp:positionV relativeFrom="paragraph">
              <wp:posOffset>121007</wp:posOffset>
            </wp:positionV>
            <wp:extent cx="6379583" cy="902106"/>
            <wp:effectExtent l="0" t="0" r="0" b="0"/>
            <wp:wrapNone/>
            <wp:docPr id="69" name="image2.jpeg" descr=""/>
            <wp:cNvGraphicFramePr>
              <a:graphicFrameLocks noChangeAspect="1"/>
            </wp:cNvGraphicFramePr>
            <a:graphic>
              <a:graphicData uri="http://schemas.openxmlformats.org/drawingml/2006/picture">
                <pic:pic>
                  <pic:nvPicPr>
                    <pic:cNvPr id="70"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96 </w:t>
      </w:r>
      <w:hyperlink r:id="rId53">
        <w:r>
          <w:rPr>
            <w:sz w:val="20"/>
          </w:rPr>
          <w:t>http://www.bioportfolio.com</w:t>
        </w:r>
      </w:hyperlink>
    </w:p>
    <w:p>
      <w:pPr>
        <w:spacing w:before="94"/>
        <w:ind w:left="477" w:right="0" w:firstLine="0"/>
        <w:jc w:val="left"/>
        <w:rPr>
          <w:sz w:val="20"/>
        </w:rPr>
      </w:pPr>
      <w:r>
        <w:rPr>
          <w:position w:val="5"/>
          <w:sz w:val="13"/>
        </w:rPr>
        <w:t>97 </w:t>
      </w:r>
      <w:r>
        <w:rPr>
          <w:sz w:val="20"/>
        </w:rPr>
        <w:t>Department of Medical Biophysics, Ontario Cancer Institute, University of Toronto, 610 University Avenue, Toronto, Ontario M5G 2M9, Canada</w:t>
      </w:r>
    </w:p>
    <w:p>
      <w:pPr>
        <w:spacing w:after="0"/>
        <w:jc w:val="left"/>
        <w:rPr>
          <w:sz w:val="20"/>
        </w:rPr>
        <w:sectPr>
          <w:footerReference w:type="default" r:id="rId52"/>
          <w:pgSz w:w="14270" w:h="16850"/>
          <w:pgMar w:footer="527" w:header="0" w:top="1600" w:bottom="720" w:left="800" w:right="1280"/>
        </w:sectPr>
      </w:pPr>
    </w:p>
    <w:p>
      <w:pPr>
        <w:pStyle w:val="Heading1"/>
        <w:spacing w:line="261" w:lineRule="auto" w:before="164"/>
        <w:ind w:right="132"/>
      </w:pPr>
      <w:r>
        <w:rPr/>
        <w:t>The</w:t>
      </w:r>
      <w:r>
        <w:rPr>
          <w:spacing w:val="-50"/>
        </w:rPr>
        <w:t> </w:t>
      </w:r>
      <w:r>
        <w:rPr/>
        <w:t>bioavailability</w:t>
      </w:r>
      <w:r>
        <w:rPr>
          <w:spacing w:val="-51"/>
        </w:rPr>
        <w:t> </w:t>
      </w:r>
      <w:r>
        <w:rPr/>
        <w:t>of</w:t>
      </w:r>
      <w:r>
        <w:rPr>
          <w:spacing w:val="-48"/>
        </w:rPr>
        <w:t> </w:t>
      </w:r>
      <w:r>
        <w:rPr/>
        <w:t>astragaloside</w:t>
      </w:r>
      <w:r>
        <w:rPr>
          <w:spacing w:val="-50"/>
        </w:rPr>
        <w:t> </w:t>
      </w:r>
      <w:r>
        <w:rPr/>
        <w:t>IV</w:t>
      </w:r>
      <w:r>
        <w:rPr>
          <w:spacing w:val="-50"/>
        </w:rPr>
        <w:t> </w:t>
      </w:r>
      <w:r>
        <w:rPr/>
        <w:t>is</w:t>
      </w:r>
      <w:r>
        <w:rPr>
          <w:spacing w:val="-49"/>
        </w:rPr>
        <w:t> </w:t>
      </w:r>
      <w:r>
        <w:rPr/>
        <w:t>increased</w:t>
      </w:r>
      <w:r>
        <w:rPr>
          <w:spacing w:val="-50"/>
        </w:rPr>
        <w:t> </w:t>
      </w:r>
      <w:r>
        <w:rPr/>
        <w:t>when</w:t>
      </w:r>
      <w:r>
        <w:rPr>
          <w:spacing w:val="-50"/>
        </w:rPr>
        <w:t> </w:t>
      </w:r>
      <w:r>
        <w:rPr/>
        <w:t>the</w:t>
      </w:r>
      <w:r>
        <w:rPr>
          <w:spacing w:val="-50"/>
        </w:rPr>
        <w:t> </w:t>
      </w:r>
      <w:r>
        <w:rPr/>
        <w:t>whole</w:t>
      </w:r>
      <w:r>
        <w:rPr>
          <w:spacing w:val="-50"/>
        </w:rPr>
        <w:t> </w:t>
      </w:r>
      <w:r>
        <w:rPr/>
        <w:t>root is</w:t>
      </w:r>
      <w:r>
        <w:rPr>
          <w:spacing w:val="-7"/>
        </w:rPr>
        <w:t> </w:t>
      </w:r>
      <w:r>
        <w:rPr/>
        <w:t>ingested</w:t>
      </w:r>
    </w:p>
    <w:p>
      <w:pPr>
        <w:pStyle w:val="BodyText"/>
        <w:spacing w:before="260"/>
        <w:ind w:left="477"/>
        <w:rPr>
          <w:sz w:val="25"/>
        </w:rPr>
      </w:pPr>
      <w:r>
        <w:rPr/>
        <w:t>The study cited confirms this.</w:t>
      </w:r>
      <w:r>
        <w:rPr>
          <w:position w:val="9"/>
          <w:sz w:val="25"/>
        </w:rPr>
        <w:t>98</w:t>
      </w:r>
    </w:p>
    <w:p>
      <w:pPr>
        <w:pStyle w:val="Heading1"/>
        <w:spacing w:before="288"/>
      </w:pPr>
      <w:r>
        <w:rPr/>
        <w:t>Astragalus supports DNA repair and reduces oxidative stress</w:t>
      </w:r>
    </w:p>
    <w:p>
      <w:pPr>
        <w:pStyle w:val="BodyText"/>
        <w:spacing w:line="276" w:lineRule="auto" w:before="299"/>
        <w:ind w:left="477" w:right="133"/>
        <w:jc w:val="both"/>
        <w:rPr>
          <w:sz w:val="25"/>
        </w:rPr>
      </w:pPr>
      <w:r>
        <w:rPr/>
        <w:t>In studies, two isomers of the HDTIC ‘Astragli Radix’ slow down telomere shortening,</w:t>
      </w:r>
      <w:r>
        <w:rPr>
          <w:spacing w:val="-20"/>
        </w:rPr>
        <w:t> </w:t>
      </w:r>
      <w:r>
        <w:rPr/>
        <w:t>reduce</w:t>
      </w:r>
      <w:r>
        <w:rPr>
          <w:spacing w:val="-20"/>
        </w:rPr>
        <w:t> </w:t>
      </w:r>
      <w:r>
        <w:rPr/>
        <w:t>oxidative</w:t>
      </w:r>
      <w:r>
        <w:rPr>
          <w:spacing w:val="-17"/>
        </w:rPr>
        <w:t> </w:t>
      </w:r>
      <w:r>
        <w:rPr/>
        <w:t>stress,</w:t>
      </w:r>
      <w:r>
        <w:rPr>
          <w:spacing w:val="-18"/>
        </w:rPr>
        <w:t> </w:t>
      </w:r>
      <w:r>
        <w:rPr/>
        <w:t>and</w:t>
      </w:r>
      <w:r>
        <w:rPr>
          <w:spacing w:val="-19"/>
        </w:rPr>
        <w:t> </w:t>
      </w:r>
      <w:r>
        <w:rPr/>
        <w:t>increase</w:t>
      </w:r>
      <w:r>
        <w:rPr>
          <w:spacing w:val="-19"/>
        </w:rPr>
        <w:t> </w:t>
      </w:r>
      <w:r>
        <w:rPr/>
        <w:t>DNA</w:t>
      </w:r>
      <w:r>
        <w:rPr>
          <w:spacing w:val="-18"/>
        </w:rPr>
        <w:t> </w:t>
      </w:r>
      <w:r>
        <w:rPr/>
        <w:t>repair</w:t>
      </w:r>
      <w:r>
        <w:rPr>
          <w:spacing w:val="-19"/>
        </w:rPr>
        <w:t> </w:t>
      </w:r>
      <w:r>
        <w:rPr/>
        <w:t>in</w:t>
      </w:r>
      <w:r>
        <w:rPr>
          <w:spacing w:val="-18"/>
        </w:rPr>
        <w:t> </w:t>
      </w:r>
      <w:r>
        <w:rPr/>
        <w:t>foetal</w:t>
      </w:r>
      <w:r>
        <w:rPr>
          <w:spacing w:val="-20"/>
        </w:rPr>
        <w:t> </w:t>
      </w:r>
      <w:r>
        <w:rPr/>
        <w:t>fibroblast cells.</w:t>
      </w:r>
      <w:r>
        <w:rPr>
          <w:position w:val="9"/>
          <w:sz w:val="25"/>
        </w:rPr>
        <w:t>99</w:t>
      </w:r>
    </w:p>
    <w:p>
      <w:pPr>
        <w:pStyle w:val="BodyText"/>
        <w:rPr>
          <w:sz w:val="42"/>
        </w:rPr>
      </w:pPr>
    </w:p>
    <w:p>
      <w:pPr>
        <w:pStyle w:val="BodyText"/>
        <w:rPr>
          <w:sz w:val="42"/>
        </w:rPr>
      </w:pPr>
    </w:p>
    <w:p>
      <w:pPr>
        <w:pStyle w:val="BodyText"/>
        <w:rPr>
          <w:sz w:val="42"/>
        </w:rPr>
      </w:pPr>
    </w:p>
    <w:p>
      <w:pPr>
        <w:pStyle w:val="Heading1"/>
        <w:spacing w:line="261" w:lineRule="auto" w:before="268"/>
      </w:pPr>
      <w:r>
        <w:rPr/>
        <w:t>Two</w:t>
      </w:r>
      <w:r>
        <w:rPr>
          <w:spacing w:val="-45"/>
        </w:rPr>
        <w:t> </w:t>
      </w:r>
      <w:r>
        <w:rPr/>
        <w:t>isomers</w:t>
      </w:r>
      <w:r>
        <w:rPr>
          <w:spacing w:val="-45"/>
        </w:rPr>
        <w:t> </w:t>
      </w:r>
      <w:r>
        <w:rPr/>
        <w:t>in</w:t>
      </w:r>
      <w:r>
        <w:rPr>
          <w:spacing w:val="-44"/>
        </w:rPr>
        <w:t> </w:t>
      </w:r>
      <w:r>
        <w:rPr/>
        <w:t>astragalus</w:t>
      </w:r>
      <w:r>
        <w:rPr>
          <w:spacing w:val="-45"/>
        </w:rPr>
        <w:t> </w:t>
      </w:r>
      <w:r>
        <w:rPr/>
        <w:t>reduce</w:t>
      </w:r>
      <w:r>
        <w:rPr>
          <w:spacing w:val="-45"/>
        </w:rPr>
        <w:t> </w:t>
      </w:r>
      <w:r>
        <w:rPr/>
        <w:t>the</w:t>
      </w:r>
      <w:r>
        <w:rPr>
          <w:spacing w:val="-45"/>
        </w:rPr>
        <w:t> </w:t>
      </w:r>
      <w:r>
        <w:rPr/>
        <w:t>spread</w:t>
      </w:r>
      <w:r>
        <w:rPr>
          <w:spacing w:val="-45"/>
        </w:rPr>
        <w:t> </w:t>
      </w:r>
      <w:r>
        <w:rPr/>
        <w:t>of</w:t>
      </w:r>
      <w:r>
        <w:rPr>
          <w:spacing w:val="-44"/>
        </w:rPr>
        <w:t> </w:t>
      </w:r>
      <w:r>
        <w:rPr/>
        <w:t>p16</w:t>
      </w:r>
      <w:r>
        <w:rPr>
          <w:spacing w:val="-45"/>
        </w:rPr>
        <w:t> </w:t>
      </w:r>
      <w:r>
        <w:rPr/>
        <w:t>and</w:t>
      </w:r>
      <w:r>
        <w:rPr>
          <w:spacing w:val="-45"/>
        </w:rPr>
        <w:t> </w:t>
      </w:r>
      <w:r>
        <w:rPr/>
        <w:t>slow</w:t>
      </w:r>
      <w:r>
        <w:rPr>
          <w:spacing w:val="-44"/>
        </w:rPr>
        <w:t> </w:t>
      </w:r>
      <w:r>
        <w:rPr/>
        <w:t>down</w:t>
      </w:r>
      <w:r>
        <w:rPr>
          <w:spacing w:val="-45"/>
        </w:rPr>
        <w:t> </w:t>
      </w:r>
      <w:r>
        <w:rPr/>
        <w:t>age- ing</w:t>
      </w:r>
    </w:p>
    <w:p>
      <w:pPr>
        <w:pStyle w:val="BodyText"/>
        <w:spacing w:line="276" w:lineRule="auto" w:before="259"/>
        <w:ind w:left="477"/>
        <w:rPr>
          <w:sz w:val="25"/>
        </w:rPr>
      </w:pPr>
      <w:r>
        <w:rPr/>
        <w:t>Astragalus contains two isomers that reduce the spread of p16 and thus slow down ageing.</w:t>
      </w:r>
      <w:r>
        <w:rPr>
          <w:position w:val="9"/>
          <w:sz w:val="25"/>
        </w:rPr>
        <w:t>100</w:t>
      </w:r>
    </w:p>
    <w:p>
      <w:pPr>
        <w:pStyle w:val="Heading1"/>
        <w:spacing w:before="223"/>
      </w:pPr>
      <w:r>
        <w:rPr/>
        <w:t>Astragalus improves brain function</w:t>
      </w:r>
    </w:p>
    <w:p>
      <w:pPr>
        <w:pStyle w:val="BodyText"/>
        <w:spacing w:line="276" w:lineRule="auto" w:before="299"/>
        <w:ind w:left="477"/>
        <w:rPr>
          <w:sz w:val="25"/>
        </w:rPr>
      </w:pPr>
      <w:r>
        <w:rPr/>
        <w:t>In animal experiments, astragalus succeeded in improving the immune status and brain function.</w:t>
      </w:r>
      <w:r>
        <w:rPr>
          <w:position w:val="9"/>
          <w:sz w:val="25"/>
        </w:rPr>
        <w:t>101</w:t>
      </w:r>
    </w:p>
    <w:p>
      <w:pPr>
        <w:pStyle w:val="BodyText"/>
        <w:rPr>
          <w:sz w:val="20"/>
        </w:rPr>
      </w:pPr>
    </w:p>
    <w:p>
      <w:pPr>
        <w:pStyle w:val="BodyText"/>
        <w:rPr>
          <w:sz w:val="20"/>
        </w:rPr>
      </w:pPr>
    </w:p>
    <w:p>
      <w:pPr>
        <w:pStyle w:val="BodyText"/>
        <w:spacing w:before="10"/>
        <w:rPr>
          <w:sz w:val="17"/>
        </w:rPr>
      </w:pPr>
      <w:r>
        <w:rPr/>
        <w:pict>
          <v:line style="position:absolute;mso-position-horizontal-relative:page;mso-position-vertical-relative:paragraph;z-index:704;mso-wrap-distance-left:0;mso-wrap-distance-right:0" from="63.863998pt,12.461265pt" to="207.883998pt,12.461265pt" stroked="true" strokeweight=".71997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98 </w:t>
      </w:r>
      <w:r>
        <w:rPr>
          <w:sz w:val="20"/>
        </w:rPr>
        <w:t>Transport and Bioavailability Studies of Astragaloside IV, an Active Ingredient in Radix Astragali Yongchuan Gu1, Guangji Wang1, Guoyu Pan1,</w:t>
      </w:r>
    </w:p>
    <w:p>
      <w:pPr>
        <w:spacing w:before="34"/>
        <w:ind w:left="477" w:right="0" w:firstLine="0"/>
        <w:jc w:val="left"/>
        <w:rPr>
          <w:sz w:val="20"/>
        </w:rPr>
      </w:pPr>
      <w:r>
        <w:rPr>
          <w:sz w:val="20"/>
        </w:rPr>
        <w:t>J. Paul Fawcett2,*, Jiye A.1, Jianguo Sun1Article first published online: 29 NOV 2004 DOI: 10.1111/j.1742-7843.2004.t01-1-pto950508.x</w:t>
      </w:r>
    </w:p>
    <w:p>
      <w:pPr>
        <w:spacing w:before="95"/>
        <w:ind w:left="477" w:right="0" w:firstLine="0"/>
        <w:jc w:val="left"/>
        <w:rPr>
          <w:sz w:val="20"/>
        </w:rPr>
      </w:pPr>
      <w:r>
        <w:rPr>
          <w:position w:val="5"/>
          <w:sz w:val="13"/>
        </w:rPr>
        <w:t>99 </w:t>
      </w:r>
      <w:r>
        <w:rPr>
          <w:sz w:val="20"/>
        </w:rPr>
        <w:t>DNA Cell Biol. 2010 Jan; 29 (1), p. 33–39.PMID: 19839736</w:t>
      </w:r>
    </w:p>
    <w:p>
      <w:pPr>
        <w:spacing w:line="276" w:lineRule="auto" w:before="94"/>
        <w:ind w:left="477" w:right="0" w:firstLine="0"/>
        <w:jc w:val="left"/>
        <w:rPr>
          <w:sz w:val="20"/>
        </w:rPr>
      </w:pPr>
      <w:r>
        <w:rPr>
          <w:position w:val="5"/>
          <w:sz w:val="13"/>
        </w:rPr>
        <w:t>100 </w:t>
      </w:r>
      <w:r>
        <w:rPr>
          <w:sz w:val="20"/>
        </w:rPr>
        <w:t>Jian Zhang et al.: Xuanwu Hospital of Capital Medical University, Beijing 100053, China; Chin Med J (Engl.). 2008 Feb 5; 121 (3), p. 231–235. PMID: 18298915 [3]</w:t>
      </w:r>
    </w:p>
    <w:p>
      <w:pPr>
        <w:spacing w:before="56"/>
        <w:ind w:left="477" w:right="0" w:firstLine="0"/>
        <w:jc w:val="left"/>
        <w:rPr>
          <w:rFonts w:ascii="Calibri" w:hAnsi="Calibri"/>
          <w:sz w:val="20"/>
        </w:rPr>
      </w:pPr>
      <w:r>
        <w:rPr>
          <w:rFonts w:ascii="Calibri" w:hAnsi="Calibri"/>
          <w:position w:val="7"/>
          <w:sz w:val="13"/>
        </w:rPr>
        <w:t>101 </w:t>
      </w:r>
      <w:r>
        <w:rPr>
          <w:rFonts w:ascii="Calibri" w:hAnsi="Calibri"/>
          <w:sz w:val="20"/>
        </w:rPr>
        <w:t>Acta Pharmacol Sin. 2003 Mar; 24 (3), p. 230–234. PMID: 12617771 [3]</w:t>
      </w:r>
    </w:p>
    <w:p>
      <w:pPr>
        <w:spacing w:after="0"/>
        <w:jc w:val="left"/>
        <w:rPr>
          <w:rFonts w:ascii="Calibri" w:hAnsi="Calibri"/>
          <w:sz w:val="20"/>
        </w:rPr>
        <w:sectPr>
          <w:footerReference w:type="default" r:id="rId54"/>
          <w:pgSz w:w="14270" w:h="16850"/>
          <w:pgMar w:footer="1984" w:header="0" w:top="1600" w:bottom="2180" w:left="800" w:right="1280"/>
          <w:pgNumType w:start="224"/>
        </w:sectPr>
      </w:pPr>
    </w:p>
    <w:p>
      <w:pPr>
        <w:pStyle w:val="Heading1"/>
        <w:spacing w:before="164"/>
      </w:pPr>
      <w:r>
        <w:rPr/>
        <w:t>Astragalus shows an antimutagenic effect in studies</w:t>
      </w:r>
    </w:p>
    <w:p>
      <w:pPr>
        <w:pStyle w:val="BodyText"/>
        <w:spacing w:line="276" w:lineRule="auto" w:before="299"/>
        <w:ind w:left="477" w:right="124"/>
        <w:rPr>
          <w:sz w:val="25"/>
        </w:rPr>
      </w:pPr>
      <w:r>
        <w:rPr/>
        <w:t>The flavonoids present in astragalus have shown antimutagenic effects in stud- ies.</w:t>
      </w:r>
      <w:r>
        <w:rPr>
          <w:position w:val="9"/>
          <w:sz w:val="25"/>
        </w:rPr>
        <w:t>102</w:t>
      </w:r>
    </w:p>
    <w:p>
      <w:pPr>
        <w:pStyle w:val="Heading1"/>
        <w:jc w:val="both"/>
      </w:pPr>
      <w:r>
        <w:rPr/>
        <w:t>Astragalus strengthens the immune system</w:t>
      </w:r>
    </w:p>
    <w:p>
      <w:pPr>
        <w:pStyle w:val="BodyText"/>
        <w:spacing w:before="299"/>
        <w:ind w:left="477"/>
        <w:jc w:val="both"/>
      </w:pPr>
      <w:r>
        <w:rPr/>
        <w:t>In</w:t>
      </w:r>
      <w:r>
        <w:rPr>
          <w:spacing w:val="57"/>
        </w:rPr>
        <w:t> </w:t>
      </w:r>
      <w:r>
        <w:rPr/>
        <w:t>animal</w:t>
      </w:r>
      <w:r>
        <w:rPr>
          <w:spacing w:val="56"/>
        </w:rPr>
        <w:t> </w:t>
      </w:r>
      <w:r>
        <w:rPr/>
        <w:t>experiments,</w:t>
      </w:r>
      <w:r>
        <w:rPr>
          <w:spacing w:val="58"/>
        </w:rPr>
        <w:t> </w:t>
      </w:r>
      <w:r>
        <w:rPr/>
        <w:t>astragalus</w:t>
      </w:r>
      <w:r>
        <w:rPr>
          <w:spacing w:val="57"/>
        </w:rPr>
        <w:t> </w:t>
      </w:r>
      <w:r>
        <w:rPr/>
        <w:t>increased</w:t>
      </w:r>
      <w:r>
        <w:rPr>
          <w:spacing w:val="58"/>
        </w:rPr>
        <w:t> </w:t>
      </w:r>
      <w:r>
        <w:rPr/>
        <w:t>the</w:t>
      </w:r>
      <w:r>
        <w:rPr>
          <w:spacing w:val="57"/>
        </w:rPr>
        <w:t> </w:t>
      </w:r>
      <w:r>
        <w:rPr/>
        <w:t>immunoglobulin</w:t>
      </w:r>
      <w:r>
        <w:rPr>
          <w:spacing w:val="58"/>
        </w:rPr>
        <w:t> </w:t>
      </w:r>
      <w:r>
        <w:rPr/>
        <w:t>IgG</w:t>
      </w:r>
      <w:r>
        <w:rPr>
          <w:spacing w:val="57"/>
        </w:rPr>
        <w:t> </w:t>
      </w:r>
      <w:r>
        <w:rPr/>
        <w:t>by</w:t>
      </w:r>
      <w:r>
        <w:rPr>
          <w:spacing w:val="56"/>
        </w:rPr>
        <w:t> </w:t>
      </w:r>
      <w:r>
        <w:rPr>
          <w:spacing w:val="3"/>
        </w:rPr>
        <w:t>45</w:t>
      </w:r>
    </w:p>
    <w:p>
      <w:pPr>
        <w:spacing w:before="62"/>
        <w:ind w:left="477" w:right="0" w:firstLine="0"/>
        <w:jc w:val="both"/>
        <w:rPr>
          <w:sz w:val="25"/>
        </w:rPr>
      </w:pPr>
      <w:r>
        <w:rPr>
          <w:position w:val="-8"/>
          <w:sz w:val="38"/>
        </w:rPr>
        <w:t>%.</w:t>
      </w:r>
      <w:r>
        <w:rPr>
          <w:sz w:val="25"/>
        </w:rPr>
        <w:t>103</w:t>
      </w:r>
    </w:p>
    <w:p>
      <w:pPr>
        <w:pStyle w:val="Heading1"/>
        <w:spacing w:before="288"/>
        <w:jc w:val="both"/>
      </w:pPr>
      <w:r>
        <w:rPr/>
        <w:t>Antibacterial effects of astragalus proven in studies</w:t>
      </w:r>
    </w:p>
    <w:p>
      <w:pPr>
        <w:pStyle w:val="BodyText"/>
        <w:spacing w:line="276" w:lineRule="auto" w:before="299"/>
        <w:ind w:left="477" w:right="137"/>
        <w:jc w:val="both"/>
        <w:rPr>
          <w:sz w:val="25"/>
        </w:rPr>
      </w:pPr>
      <w:r>
        <w:rPr/>
        <w:t>Astragalus</w:t>
      </w:r>
      <w:r>
        <w:rPr>
          <w:spacing w:val="-8"/>
        </w:rPr>
        <w:t> </w:t>
      </w:r>
      <w:r>
        <w:rPr/>
        <w:t>has</w:t>
      </w:r>
      <w:r>
        <w:rPr>
          <w:spacing w:val="-8"/>
        </w:rPr>
        <w:t> </w:t>
      </w:r>
      <w:r>
        <w:rPr/>
        <w:t>been</w:t>
      </w:r>
      <w:r>
        <w:rPr>
          <w:spacing w:val="-7"/>
        </w:rPr>
        <w:t> </w:t>
      </w:r>
      <w:r>
        <w:rPr/>
        <w:t>shown</w:t>
      </w:r>
      <w:r>
        <w:rPr>
          <w:spacing w:val="-9"/>
        </w:rPr>
        <w:t> </w:t>
      </w:r>
      <w:r>
        <w:rPr/>
        <w:t>to</w:t>
      </w:r>
      <w:r>
        <w:rPr>
          <w:spacing w:val="-10"/>
        </w:rPr>
        <w:t> </w:t>
      </w:r>
      <w:r>
        <w:rPr/>
        <w:t>have</w:t>
      </w:r>
      <w:r>
        <w:rPr>
          <w:spacing w:val="-9"/>
        </w:rPr>
        <w:t> </w:t>
      </w:r>
      <w:r>
        <w:rPr/>
        <w:t>an</w:t>
      </w:r>
      <w:r>
        <w:rPr>
          <w:spacing w:val="-9"/>
        </w:rPr>
        <w:t> </w:t>
      </w:r>
      <w:r>
        <w:rPr/>
        <w:t>antibacterial</w:t>
      </w:r>
      <w:r>
        <w:rPr>
          <w:spacing w:val="-9"/>
        </w:rPr>
        <w:t> </w:t>
      </w:r>
      <w:r>
        <w:rPr/>
        <w:t>effect</w:t>
      </w:r>
      <w:r>
        <w:rPr>
          <w:spacing w:val="-9"/>
        </w:rPr>
        <w:t> </w:t>
      </w:r>
      <w:r>
        <w:rPr/>
        <w:t>on</w:t>
      </w:r>
      <w:r>
        <w:rPr>
          <w:spacing w:val="-7"/>
        </w:rPr>
        <w:t> </w:t>
      </w:r>
      <w:r>
        <w:rPr/>
        <w:t>intestinal</w:t>
      </w:r>
      <w:r>
        <w:rPr>
          <w:spacing w:val="-9"/>
        </w:rPr>
        <w:t> </w:t>
      </w:r>
      <w:r>
        <w:rPr/>
        <w:t>bacteria, Shigella, but also against Staphylococcus aureus, Streptococcus haemolyticus and Diplococcus</w:t>
      </w:r>
      <w:r>
        <w:rPr>
          <w:spacing w:val="1"/>
        </w:rPr>
        <w:t> </w:t>
      </w:r>
      <w:r>
        <w:rPr/>
        <w:t>pneumoniae.</w:t>
      </w:r>
      <w:r>
        <w:rPr>
          <w:position w:val="9"/>
          <w:sz w:val="25"/>
        </w:rPr>
        <w:t>104</w:t>
      </w:r>
    </w:p>
    <w:p>
      <w:pPr>
        <w:pStyle w:val="Heading1"/>
      </w:pPr>
      <w:r>
        <w:rPr/>
        <w:t>In trials, astragalus has proven successful against allergies</w:t>
      </w:r>
    </w:p>
    <w:p>
      <w:pPr>
        <w:pStyle w:val="BodyText"/>
        <w:spacing w:line="276" w:lineRule="auto" w:before="297"/>
        <w:ind w:left="477" w:right="136"/>
        <w:jc w:val="both"/>
        <w:rPr>
          <w:sz w:val="25"/>
        </w:rPr>
      </w:pPr>
      <w:r>
        <w:rPr/>
        <w:t>The use of Lectranal, a drug based on astragalus extract, led to a reduction in allergic</w:t>
      </w:r>
      <w:r>
        <w:rPr>
          <w:spacing w:val="-22"/>
        </w:rPr>
        <w:t> </w:t>
      </w:r>
      <w:r>
        <w:rPr/>
        <w:t>symptoms</w:t>
      </w:r>
      <w:r>
        <w:rPr>
          <w:spacing w:val="-22"/>
        </w:rPr>
        <w:t> </w:t>
      </w:r>
      <w:r>
        <w:rPr/>
        <w:t>in</w:t>
      </w:r>
      <w:r>
        <w:rPr>
          <w:spacing w:val="-23"/>
        </w:rPr>
        <w:t> </w:t>
      </w:r>
      <w:r>
        <w:rPr/>
        <w:t>a</w:t>
      </w:r>
      <w:r>
        <w:rPr>
          <w:spacing w:val="-23"/>
        </w:rPr>
        <w:t> </w:t>
      </w:r>
      <w:r>
        <w:rPr/>
        <w:t>Croatian</w:t>
      </w:r>
      <w:r>
        <w:rPr>
          <w:spacing w:val="-23"/>
        </w:rPr>
        <w:t> </w:t>
      </w:r>
      <w:r>
        <w:rPr/>
        <w:t>study</w:t>
      </w:r>
      <w:r>
        <w:rPr>
          <w:spacing w:val="-23"/>
        </w:rPr>
        <w:t> </w:t>
      </w:r>
      <w:r>
        <w:rPr/>
        <w:t>(nasal</w:t>
      </w:r>
      <w:r>
        <w:rPr>
          <w:spacing w:val="-21"/>
        </w:rPr>
        <w:t> </w:t>
      </w:r>
      <w:r>
        <w:rPr/>
        <w:t>discharge,</w:t>
      </w:r>
      <w:r>
        <w:rPr>
          <w:spacing w:val="-22"/>
        </w:rPr>
        <w:t> </w:t>
      </w:r>
      <w:r>
        <w:rPr/>
        <w:t>itching</w:t>
      </w:r>
      <w:r>
        <w:rPr>
          <w:spacing w:val="-24"/>
        </w:rPr>
        <w:t> </w:t>
      </w:r>
      <w:r>
        <w:rPr/>
        <w:t>of</w:t>
      </w:r>
      <w:r>
        <w:rPr>
          <w:spacing w:val="-26"/>
        </w:rPr>
        <w:t> </w:t>
      </w:r>
      <w:r>
        <w:rPr/>
        <w:t>the</w:t>
      </w:r>
      <w:r>
        <w:rPr>
          <w:spacing w:val="-21"/>
        </w:rPr>
        <w:t> </w:t>
      </w:r>
      <w:r>
        <w:rPr/>
        <w:t>nose,</w:t>
      </w:r>
      <w:r>
        <w:rPr>
          <w:spacing w:val="-22"/>
        </w:rPr>
        <w:t> </w:t>
      </w:r>
      <w:r>
        <w:rPr/>
        <w:t>itchy, painful, watery, red eyes). The quality of life was improved and the sera IgE, IgG and eosinophils were affected in a positive</w:t>
      </w:r>
      <w:r>
        <w:rPr>
          <w:spacing w:val="-4"/>
        </w:rPr>
        <w:t> </w:t>
      </w:r>
      <w:r>
        <w:rPr/>
        <w:t>manner.</w:t>
      </w:r>
      <w:r>
        <w:rPr>
          <w:position w:val="9"/>
          <w:sz w:val="25"/>
        </w:rPr>
        <w:t>105</w:t>
      </w:r>
    </w:p>
    <w:p>
      <w:pPr>
        <w:pStyle w:val="BodyText"/>
        <w:rPr>
          <w:sz w:val="20"/>
        </w:rPr>
      </w:pPr>
    </w:p>
    <w:p>
      <w:pPr>
        <w:pStyle w:val="BodyText"/>
        <w:rPr>
          <w:sz w:val="20"/>
        </w:rPr>
      </w:pPr>
    </w:p>
    <w:p>
      <w:pPr>
        <w:pStyle w:val="BodyText"/>
        <w:spacing w:before="2"/>
        <w:rPr>
          <w:sz w:val="21"/>
        </w:rPr>
      </w:pPr>
      <w:r>
        <w:rPr/>
        <w:pict>
          <v:line style="position:absolute;mso-position-horizontal-relative:page;mso-position-vertical-relative:paragraph;z-index:728;mso-wrap-distance-left:0;mso-wrap-distance-right:0" from="63.863998pt,14.268735pt" to="207.883998pt,14.268735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102 </w:t>
      </w:r>
      <w:r>
        <w:rPr>
          <w:sz w:val="20"/>
        </w:rPr>
        <w:t>Zhongguo Zhong Yao Za Zhi. 2003 Dec; 28 (12), p. 1164–1167.</w:t>
      </w:r>
    </w:p>
    <w:p>
      <w:pPr>
        <w:spacing w:line="276" w:lineRule="auto" w:before="95"/>
        <w:ind w:left="477" w:right="0" w:firstLine="0"/>
        <w:jc w:val="left"/>
        <w:rPr>
          <w:sz w:val="20"/>
        </w:rPr>
      </w:pPr>
      <w:r>
        <w:rPr>
          <w:position w:val="5"/>
          <w:sz w:val="13"/>
        </w:rPr>
        <w:t>103 </w:t>
      </w:r>
      <w:r>
        <w:rPr>
          <w:sz w:val="20"/>
        </w:rPr>
        <w:t>Chu D. T. et al.: The in vitro potentiation of LAK cell cytotoxicity in cancer and AIDS patients induced by F3-a fractionated extract of astragalus membranaceus. Chung Hua Chung Liu Tsa Chih 1994; 16, p. 167–171.</w:t>
      </w:r>
    </w:p>
    <w:p>
      <w:pPr>
        <w:spacing w:before="61"/>
        <w:ind w:left="477" w:right="0" w:firstLine="0"/>
        <w:jc w:val="left"/>
        <w:rPr>
          <w:sz w:val="20"/>
        </w:rPr>
      </w:pPr>
      <w:r>
        <w:rPr>
          <w:position w:val="5"/>
          <w:sz w:val="13"/>
        </w:rPr>
        <w:t>104 </w:t>
      </w:r>
      <w:r>
        <w:rPr>
          <w:sz w:val="20"/>
        </w:rPr>
        <w:t>Alternative Medicine Review, Volume 3, Number 5, 1998</w:t>
      </w:r>
    </w:p>
    <w:p>
      <w:pPr>
        <w:spacing w:before="183"/>
        <w:ind w:left="477" w:right="0" w:firstLine="0"/>
        <w:jc w:val="left"/>
        <w:rPr>
          <w:sz w:val="20"/>
        </w:rPr>
      </w:pPr>
      <w:r>
        <w:rPr>
          <w:rFonts w:ascii="Arial"/>
          <w:position w:val="6"/>
          <w:sz w:val="14"/>
        </w:rPr>
        <w:t>105 </w:t>
      </w:r>
      <w:r>
        <w:rPr>
          <w:sz w:val="20"/>
        </w:rPr>
        <w:t>Matkovic Z. et al., Efficacy and safety of astragalus membranaceus in the treatment of patients with seasonal allergic rhinitis, Phytother Res. 2010</w:t>
      </w:r>
    </w:p>
    <w:p>
      <w:pPr>
        <w:spacing w:line="276" w:lineRule="auto" w:before="106"/>
        <w:ind w:left="477" w:right="211" w:firstLine="0"/>
        <w:jc w:val="left"/>
        <w:rPr>
          <w:sz w:val="20"/>
        </w:rPr>
      </w:pPr>
      <w:r>
        <w:rPr>
          <w:sz w:val="20"/>
        </w:rPr>
        <w:t>Feb; 24 (2), p. 175–181. Wang G. et al., Effects of Astragalus membranaceus in promoting T-helper cell type 1 polarisation and interferon-gamma production by up-regulating T-bet expression in patients with asthma, Chin J Integr Med. 2006 Dec; 12 (4), p. 262–267. Brush, J. et al., The effect of Echinacea purpurea, astragalus membranaceus and Glycyrrhiza glabra on CD69 expression and immune cell activation in humans, Phytother Res.</w:t>
      </w:r>
    </w:p>
    <w:p>
      <w:pPr>
        <w:spacing w:before="2"/>
        <w:ind w:left="477" w:right="0" w:firstLine="0"/>
        <w:jc w:val="left"/>
        <w:rPr>
          <w:sz w:val="20"/>
        </w:rPr>
      </w:pPr>
      <w:r>
        <w:rPr>
          <w:sz w:val="20"/>
        </w:rPr>
        <w:t>2006; 20 (8), p. 687–695.</w:t>
      </w:r>
    </w:p>
    <w:p>
      <w:pPr>
        <w:spacing w:after="0"/>
        <w:jc w:val="left"/>
        <w:rPr>
          <w:sz w:val="20"/>
        </w:rPr>
        <w:sectPr>
          <w:pgSz w:w="14270" w:h="16850"/>
          <w:pgMar w:header="0" w:footer="1984" w:top="1600" w:bottom="2180" w:left="800" w:right="12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78"/>
      </w:pPr>
      <w:r>
        <w:rPr/>
        <w:t>Astragalus helps combat viral heart inflammation (myocarditis)</w:t>
      </w:r>
    </w:p>
    <w:p>
      <w:pPr>
        <w:pStyle w:val="BodyText"/>
        <w:spacing w:line="276" w:lineRule="auto" w:before="299"/>
        <w:ind w:left="477"/>
        <w:rPr>
          <w:sz w:val="25"/>
        </w:rPr>
      </w:pPr>
      <w:r>
        <w:rPr/>
        <w:t>Administration of Astragalus to patients with viral myocarditis resulted in an increase in T3, T4 and T4/T8 cell counts.</w:t>
      </w:r>
      <w:r>
        <w:rPr>
          <w:position w:val="9"/>
          <w:sz w:val="25"/>
        </w:rPr>
        <w:t>106</w:t>
      </w:r>
    </w:p>
    <w:p>
      <w:pPr>
        <w:pStyle w:val="Heading1"/>
        <w:spacing w:before="222"/>
      </w:pPr>
      <w:r>
        <w:rPr/>
        <w:t>Improved heart perfusion from 5.09 to 5.95 l/min in angina pectoris</w:t>
      </w:r>
    </w:p>
    <w:p>
      <w:pPr>
        <w:pStyle w:val="BodyText"/>
        <w:spacing w:line="276" w:lineRule="auto" w:before="299"/>
        <w:ind w:left="477" w:right="130"/>
        <w:jc w:val="both"/>
        <w:rPr>
          <w:sz w:val="25"/>
        </w:rPr>
      </w:pPr>
      <w:r>
        <w:rPr/>
        <w:t>In</w:t>
      </w:r>
      <w:r>
        <w:rPr>
          <w:spacing w:val="-11"/>
        </w:rPr>
        <w:t> </w:t>
      </w:r>
      <w:r>
        <w:rPr/>
        <w:t>20</w:t>
      </w:r>
      <w:r>
        <w:rPr>
          <w:spacing w:val="-12"/>
        </w:rPr>
        <w:t> </w:t>
      </w:r>
      <w:r>
        <w:rPr/>
        <w:t>patients</w:t>
      </w:r>
      <w:r>
        <w:rPr>
          <w:spacing w:val="-11"/>
        </w:rPr>
        <w:t> </w:t>
      </w:r>
      <w:r>
        <w:rPr/>
        <w:t>treated</w:t>
      </w:r>
      <w:r>
        <w:rPr>
          <w:spacing w:val="-11"/>
        </w:rPr>
        <w:t> </w:t>
      </w:r>
      <w:r>
        <w:rPr/>
        <w:t>with</w:t>
      </w:r>
      <w:r>
        <w:rPr>
          <w:spacing w:val="-10"/>
        </w:rPr>
        <w:t> </w:t>
      </w:r>
      <w:r>
        <w:rPr/>
        <w:t>astragalus</w:t>
      </w:r>
      <w:r>
        <w:rPr>
          <w:spacing w:val="-10"/>
        </w:rPr>
        <w:t> </w:t>
      </w:r>
      <w:r>
        <w:rPr/>
        <w:t>membranaceus,</w:t>
      </w:r>
      <w:r>
        <w:rPr>
          <w:spacing w:val="-11"/>
        </w:rPr>
        <w:t> </w:t>
      </w:r>
      <w:r>
        <w:rPr/>
        <w:t>it</w:t>
      </w:r>
      <w:r>
        <w:rPr>
          <w:spacing w:val="-12"/>
        </w:rPr>
        <w:t> </w:t>
      </w:r>
      <w:r>
        <w:rPr/>
        <w:t>was</w:t>
      </w:r>
      <w:r>
        <w:rPr>
          <w:spacing w:val="-11"/>
        </w:rPr>
        <w:t> </w:t>
      </w:r>
      <w:r>
        <w:rPr/>
        <w:t>possible</w:t>
      </w:r>
      <w:r>
        <w:rPr>
          <w:spacing w:val="-12"/>
        </w:rPr>
        <w:t> </w:t>
      </w:r>
      <w:r>
        <w:rPr/>
        <w:t>to</w:t>
      </w:r>
      <w:r>
        <w:rPr>
          <w:spacing w:val="-10"/>
        </w:rPr>
        <w:t> </w:t>
      </w:r>
      <w:r>
        <w:rPr/>
        <w:t>increase heart blood output from 5.09 to 5.95 l in only two weeks, checked with an echocardiogram.</w:t>
      </w:r>
      <w:r>
        <w:rPr>
          <w:position w:val="9"/>
          <w:sz w:val="25"/>
        </w:rPr>
        <w:t>107</w:t>
      </w:r>
    </w:p>
    <w:p>
      <w:pPr>
        <w:pStyle w:val="Heading1"/>
      </w:pPr>
      <w:r>
        <w:rPr/>
        <w:t>Astragalus</w:t>
      </w:r>
      <w:r>
        <w:rPr>
          <w:spacing w:val="-51"/>
        </w:rPr>
        <w:t> </w:t>
      </w:r>
      <w:r>
        <w:rPr/>
        <w:t>improves</w:t>
      </w:r>
      <w:r>
        <w:rPr>
          <w:spacing w:val="-51"/>
        </w:rPr>
        <w:t> </w:t>
      </w:r>
      <w:r>
        <w:rPr/>
        <w:t>ECG</w:t>
      </w:r>
      <w:r>
        <w:rPr>
          <w:spacing w:val="-49"/>
        </w:rPr>
        <w:t> </w:t>
      </w:r>
      <w:r>
        <w:rPr/>
        <w:t>levels</w:t>
      </w:r>
      <w:r>
        <w:rPr>
          <w:spacing w:val="-49"/>
        </w:rPr>
        <w:t> </w:t>
      </w:r>
      <w:r>
        <w:rPr/>
        <w:t>in</w:t>
      </w:r>
      <w:r>
        <w:rPr>
          <w:spacing w:val="-50"/>
        </w:rPr>
        <w:t> </w:t>
      </w:r>
      <w:r>
        <w:rPr/>
        <w:t>patients</w:t>
      </w:r>
      <w:r>
        <w:rPr>
          <w:spacing w:val="-50"/>
        </w:rPr>
        <w:t> </w:t>
      </w:r>
      <w:r>
        <w:rPr/>
        <w:t>with</w:t>
      </w:r>
      <w:r>
        <w:rPr>
          <w:spacing w:val="-50"/>
        </w:rPr>
        <w:t> </w:t>
      </w:r>
      <w:r>
        <w:rPr/>
        <w:t>angina</w:t>
      </w:r>
      <w:r>
        <w:rPr>
          <w:spacing w:val="-50"/>
        </w:rPr>
        <w:t> </w:t>
      </w:r>
      <w:r>
        <w:rPr/>
        <w:t>pectoris</w:t>
      </w:r>
      <w:r>
        <w:rPr>
          <w:spacing w:val="-43"/>
        </w:rPr>
        <w:t> </w:t>
      </w:r>
      <w:r>
        <w:rPr/>
        <w:t>by</w:t>
      </w:r>
      <w:r>
        <w:rPr>
          <w:spacing w:val="-50"/>
        </w:rPr>
        <w:t> </w:t>
      </w:r>
      <w:r>
        <w:rPr/>
        <w:t>82.6</w:t>
      </w:r>
    </w:p>
    <w:p>
      <w:pPr>
        <w:spacing w:before="42"/>
        <w:ind w:left="477" w:right="0" w:firstLine="0"/>
        <w:jc w:val="left"/>
        <w:rPr>
          <w:b/>
          <w:i/>
          <w:sz w:val="40"/>
        </w:rPr>
      </w:pPr>
      <w:r>
        <w:rPr>
          <w:b/>
          <w:i/>
          <w:w w:val="94"/>
          <w:sz w:val="40"/>
        </w:rPr>
        <w:t>%</w:t>
      </w:r>
    </w:p>
    <w:p>
      <w:pPr>
        <w:pStyle w:val="BodyText"/>
        <w:spacing w:line="276" w:lineRule="auto" w:before="297"/>
        <w:ind w:left="477" w:right="132"/>
        <w:jc w:val="both"/>
        <w:rPr>
          <w:sz w:val="25"/>
        </w:rPr>
      </w:pPr>
      <w:r>
        <w:rPr/>
        <w:t>In one study, 92 patients with ischemic heart disease (angina pectoris) were treated</w:t>
      </w:r>
      <w:r>
        <w:rPr>
          <w:spacing w:val="-24"/>
        </w:rPr>
        <w:t> </w:t>
      </w:r>
      <w:r>
        <w:rPr/>
        <w:t>with</w:t>
      </w:r>
      <w:r>
        <w:rPr>
          <w:spacing w:val="-23"/>
        </w:rPr>
        <w:t> </w:t>
      </w:r>
      <w:r>
        <w:rPr/>
        <w:t>Astragalus</w:t>
      </w:r>
      <w:r>
        <w:rPr>
          <w:spacing w:val="-24"/>
        </w:rPr>
        <w:t> </w:t>
      </w:r>
      <w:r>
        <w:rPr/>
        <w:t>membranaceus.</w:t>
      </w:r>
      <w:r>
        <w:rPr>
          <w:spacing w:val="-23"/>
        </w:rPr>
        <w:t> </w:t>
      </w:r>
      <w:r>
        <w:rPr/>
        <w:t>In</w:t>
      </w:r>
      <w:r>
        <w:rPr>
          <w:spacing w:val="-23"/>
        </w:rPr>
        <w:t> </w:t>
      </w:r>
      <w:r>
        <w:rPr/>
        <w:t>addition</w:t>
      </w:r>
      <w:r>
        <w:rPr>
          <w:spacing w:val="-22"/>
        </w:rPr>
        <w:t> </w:t>
      </w:r>
      <w:r>
        <w:rPr/>
        <w:t>to</w:t>
      </w:r>
      <w:r>
        <w:rPr>
          <w:spacing w:val="-24"/>
        </w:rPr>
        <w:t> </w:t>
      </w:r>
      <w:r>
        <w:rPr/>
        <w:t>a</w:t>
      </w:r>
      <w:r>
        <w:rPr>
          <w:spacing w:val="-26"/>
        </w:rPr>
        <w:t> </w:t>
      </w:r>
      <w:r>
        <w:rPr/>
        <w:t>reduction</w:t>
      </w:r>
      <w:r>
        <w:rPr>
          <w:spacing w:val="-22"/>
        </w:rPr>
        <w:t> </w:t>
      </w:r>
      <w:r>
        <w:rPr/>
        <w:t>in</w:t>
      </w:r>
      <w:r>
        <w:rPr>
          <w:spacing w:val="-23"/>
        </w:rPr>
        <w:t> </w:t>
      </w:r>
      <w:r>
        <w:rPr/>
        <w:t>pectanginal complaints, ECG values improved by 82.6</w:t>
      </w:r>
      <w:r>
        <w:rPr>
          <w:spacing w:val="1"/>
        </w:rPr>
        <w:t> </w:t>
      </w:r>
      <w:r>
        <w:rPr/>
        <w:t>%.</w:t>
      </w:r>
      <w:r>
        <w:rPr>
          <w:position w:val="9"/>
          <w:sz w:val="25"/>
        </w:rPr>
        <w:t>108</w:t>
      </w:r>
    </w:p>
    <w:p>
      <w:pPr>
        <w:pStyle w:val="Heading1"/>
        <w:jc w:val="both"/>
      </w:pPr>
      <w:r>
        <w:rPr/>
        <w:t>Astragalus protects heart cells from lipid peroxidation</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7"/>
        <w:rPr>
          <w:b/>
          <w:i/>
          <w:sz w:val="15"/>
        </w:rPr>
      </w:pPr>
      <w:r>
        <w:rPr/>
        <w:pict>
          <v:line style="position:absolute;mso-position-horizontal-relative:page;mso-position-vertical-relative:paragraph;z-index:752;mso-wrap-distance-left:0;mso-wrap-distance-right:0" from="63.863998pt,11.179985pt" to="207.883998pt,11.179985pt" stroked="true" strokeweight=".72003pt" strokecolor="#000000">
            <v:stroke dashstyle="solid"/>
            <w10:wrap type="topAndBottom"/>
          </v:line>
        </w:pict>
      </w:r>
    </w:p>
    <w:p>
      <w:pPr>
        <w:pStyle w:val="BodyText"/>
        <w:spacing w:before="7"/>
        <w:rPr>
          <w:b/>
          <w:i/>
          <w:sz w:val="18"/>
        </w:rPr>
      </w:pPr>
    </w:p>
    <w:p>
      <w:pPr>
        <w:spacing w:line="273" w:lineRule="auto" w:before="99"/>
        <w:ind w:left="477" w:right="244" w:firstLine="0"/>
        <w:jc w:val="left"/>
        <w:rPr>
          <w:sz w:val="20"/>
        </w:rPr>
      </w:pPr>
      <w:r>
        <w:rPr>
          <w:position w:val="5"/>
          <w:sz w:val="13"/>
        </w:rPr>
        <w:t>106 </w:t>
      </w:r>
      <w:r>
        <w:rPr>
          <w:sz w:val="20"/>
        </w:rPr>
        <w:t>Huang Z. Q. et al.: Effect of Astragalus membranaceus on T-lymphocyte subsets in patients with viral myocarditis. Chung Kuo Chung Hsi I Chieh Ho Tsa Chih 1995; 15, p. 328–330.</w:t>
      </w:r>
    </w:p>
    <w:p>
      <w:pPr>
        <w:spacing w:line="276" w:lineRule="auto" w:before="63"/>
        <w:ind w:left="477" w:right="0" w:firstLine="0"/>
        <w:jc w:val="left"/>
        <w:rPr>
          <w:sz w:val="20"/>
        </w:rPr>
      </w:pPr>
      <w:r>
        <w:rPr>
          <w:position w:val="5"/>
          <w:sz w:val="13"/>
        </w:rPr>
        <w:t>107 </w:t>
      </w:r>
      <w:r>
        <w:rPr>
          <w:sz w:val="20"/>
        </w:rPr>
        <w:t>Li S. Q. et al.: Clinical observation on the treatment of ischemic heart disease with Astragalus membranaceus. Chung Kuo Chung Hsi I Chieh Ho Tsa Chih 1995; 15, p. 77-80.</w:t>
      </w:r>
    </w:p>
    <w:p>
      <w:pPr>
        <w:spacing w:line="276" w:lineRule="auto" w:before="61"/>
        <w:ind w:left="477" w:right="0" w:firstLine="0"/>
        <w:jc w:val="left"/>
        <w:rPr>
          <w:sz w:val="20"/>
        </w:rPr>
      </w:pPr>
      <w:r>
        <w:rPr>
          <w:position w:val="5"/>
          <w:sz w:val="13"/>
        </w:rPr>
        <w:t>108 </w:t>
      </w:r>
      <w:r>
        <w:rPr>
          <w:sz w:val="20"/>
        </w:rPr>
        <w:t>Luo H. M. et al.: Nuclear cardiology study on effective ingredients of Astragalus membranaceus in treating heart failure. Chung Kuo Chung Hsi I Chieh Ho Tsa Chih 1995; 15, p. 707–709.</w:t>
      </w:r>
    </w:p>
    <w:p>
      <w:pPr>
        <w:spacing w:after="0" w:line="276" w:lineRule="auto"/>
        <w:jc w:val="left"/>
        <w:rPr>
          <w:sz w:val="20"/>
        </w:rPr>
        <w:sectPr>
          <w:pgSz w:w="14270" w:h="16850"/>
          <w:pgMar w:header="0" w:footer="1984" w:top="1600" w:bottom="2180" w:left="800" w:right="1280"/>
        </w:sectPr>
      </w:pPr>
    </w:p>
    <w:p>
      <w:pPr>
        <w:pStyle w:val="BodyText"/>
        <w:spacing w:line="276" w:lineRule="auto" w:before="181"/>
        <w:ind w:left="477" w:right="135"/>
        <w:jc w:val="both"/>
        <w:rPr>
          <w:sz w:val="25"/>
        </w:rPr>
      </w:pPr>
      <w:r>
        <w:rPr/>
        <w:t>Saponins in astragalus protect the heart muscle from dangerous lipid peroxida- tion and blood clotting.</w:t>
      </w:r>
      <w:r>
        <w:rPr>
          <w:position w:val="9"/>
          <w:sz w:val="25"/>
        </w:rPr>
        <w:t>109</w:t>
      </w:r>
    </w:p>
    <w:p>
      <w:pPr>
        <w:pStyle w:val="Heading1"/>
        <w:spacing w:line="261" w:lineRule="auto"/>
        <w:ind w:right="138"/>
        <w:jc w:val="both"/>
      </w:pPr>
      <w:r>
        <w:rPr/>
        <w:t>Astragalus</w:t>
      </w:r>
      <w:r>
        <w:rPr>
          <w:spacing w:val="-68"/>
        </w:rPr>
        <w:t> </w:t>
      </w:r>
      <w:r>
        <w:rPr/>
        <w:t>reduces</w:t>
      </w:r>
      <w:r>
        <w:rPr>
          <w:spacing w:val="-68"/>
        </w:rPr>
        <w:t> </w:t>
      </w:r>
      <w:r>
        <w:rPr/>
        <w:t>heart</w:t>
      </w:r>
      <w:r>
        <w:rPr>
          <w:spacing w:val="-68"/>
        </w:rPr>
        <w:t> </w:t>
      </w:r>
      <w:r>
        <w:rPr/>
        <w:t>rate</w:t>
      </w:r>
      <w:r>
        <w:rPr>
          <w:spacing w:val="-67"/>
        </w:rPr>
        <w:t> </w:t>
      </w:r>
      <w:r>
        <w:rPr/>
        <w:t>in</w:t>
      </w:r>
      <w:r>
        <w:rPr>
          <w:spacing w:val="-68"/>
        </w:rPr>
        <w:t> </w:t>
      </w:r>
      <w:r>
        <w:rPr/>
        <w:t>congestive</w:t>
      </w:r>
      <w:r>
        <w:rPr>
          <w:spacing w:val="-68"/>
        </w:rPr>
        <w:t> </w:t>
      </w:r>
      <w:r>
        <w:rPr/>
        <w:t>heart</w:t>
      </w:r>
      <w:r>
        <w:rPr>
          <w:spacing w:val="-69"/>
        </w:rPr>
        <w:t> </w:t>
      </w:r>
      <w:r>
        <w:rPr/>
        <w:t>failure</w:t>
      </w:r>
      <w:r>
        <w:rPr>
          <w:spacing w:val="-67"/>
        </w:rPr>
        <w:t> </w:t>
      </w:r>
      <w:r>
        <w:rPr/>
        <w:t>and</w:t>
      </w:r>
      <w:r>
        <w:rPr>
          <w:spacing w:val="-68"/>
        </w:rPr>
        <w:t> </w:t>
      </w:r>
      <w:r>
        <w:rPr/>
        <w:t>reduces</w:t>
      </w:r>
      <w:r>
        <w:rPr>
          <w:spacing w:val="-68"/>
        </w:rPr>
        <w:t> </w:t>
      </w:r>
      <w:r>
        <w:rPr/>
        <w:t>dis- comfort</w:t>
      </w:r>
    </w:p>
    <w:p>
      <w:pPr>
        <w:pStyle w:val="BodyText"/>
        <w:spacing w:line="276" w:lineRule="auto" w:before="260"/>
        <w:ind w:left="477" w:right="132"/>
        <w:jc w:val="both"/>
        <w:rPr>
          <w:sz w:val="25"/>
        </w:rPr>
      </w:pPr>
      <w:r>
        <w:rPr/>
        <w:t>19 patients with congestive heart failure were treated with an astragalus ingre- dient called ‘astragaloside IV’. After two weeks, chest pain and breathing diffi- culties</w:t>
      </w:r>
      <w:r>
        <w:rPr>
          <w:spacing w:val="-14"/>
        </w:rPr>
        <w:t> </w:t>
      </w:r>
      <w:r>
        <w:rPr/>
        <w:t>significantly</w:t>
      </w:r>
      <w:r>
        <w:rPr>
          <w:spacing w:val="-15"/>
        </w:rPr>
        <w:t> </w:t>
      </w:r>
      <w:r>
        <w:rPr/>
        <w:t>improved.</w:t>
      </w:r>
      <w:r>
        <w:rPr>
          <w:spacing w:val="-15"/>
        </w:rPr>
        <w:t> </w:t>
      </w:r>
      <w:r>
        <w:rPr/>
        <w:t>At</w:t>
      </w:r>
      <w:r>
        <w:rPr>
          <w:spacing w:val="-15"/>
        </w:rPr>
        <w:t> </w:t>
      </w:r>
      <w:r>
        <w:rPr/>
        <w:t>the</w:t>
      </w:r>
      <w:r>
        <w:rPr>
          <w:spacing w:val="-15"/>
        </w:rPr>
        <w:t> </w:t>
      </w:r>
      <w:r>
        <w:rPr/>
        <w:t>same</w:t>
      </w:r>
      <w:r>
        <w:rPr>
          <w:spacing w:val="-15"/>
        </w:rPr>
        <w:t> </w:t>
      </w:r>
      <w:r>
        <w:rPr/>
        <w:t>time,</w:t>
      </w:r>
      <w:r>
        <w:rPr>
          <w:spacing w:val="-13"/>
        </w:rPr>
        <w:t> </w:t>
      </w:r>
      <w:r>
        <w:rPr/>
        <w:t>the</w:t>
      </w:r>
      <w:r>
        <w:rPr>
          <w:spacing w:val="-14"/>
        </w:rPr>
        <w:t> </w:t>
      </w:r>
      <w:r>
        <w:rPr/>
        <w:t>heart</w:t>
      </w:r>
      <w:r>
        <w:rPr>
          <w:spacing w:val="-16"/>
        </w:rPr>
        <w:t> </w:t>
      </w:r>
      <w:r>
        <w:rPr/>
        <w:t>rate</w:t>
      </w:r>
      <w:r>
        <w:rPr>
          <w:spacing w:val="-16"/>
        </w:rPr>
        <w:t> </w:t>
      </w:r>
      <w:r>
        <w:rPr/>
        <w:t>dropped</w:t>
      </w:r>
      <w:r>
        <w:rPr>
          <w:spacing w:val="-14"/>
        </w:rPr>
        <w:t> </w:t>
      </w:r>
      <w:r>
        <w:rPr/>
        <w:t>from</w:t>
      </w:r>
      <w:r>
        <w:rPr>
          <w:spacing w:val="-16"/>
        </w:rPr>
        <w:t> </w:t>
      </w:r>
      <w:r>
        <w:rPr/>
        <w:t>88 to</w:t>
      </w:r>
      <w:r>
        <w:rPr>
          <w:spacing w:val="-11"/>
        </w:rPr>
        <w:t> </w:t>
      </w:r>
      <w:r>
        <w:rPr/>
        <w:t>64</w:t>
      </w:r>
      <w:r>
        <w:rPr>
          <w:spacing w:val="-12"/>
        </w:rPr>
        <w:t> </w:t>
      </w:r>
      <w:r>
        <w:rPr/>
        <w:t>bpm</w:t>
      </w:r>
      <w:r>
        <w:rPr>
          <w:spacing w:val="-12"/>
        </w:rPr>
        <w:t> </w:t>
      </w:r>
      <w:r>
        <w:rPr/>
        <w:t>on</w:t>
      </w:r>
      <w:r>
        <w:rPr>
          <w:spacing w:val="-11"/>
        </w:rPr>
        <w:t> </w:t>
      </w:r>
      <w:r>
        <w:rPr/>
        <w:t>average,</w:t>
      </w:r>
      <w:r>
        <w:rPr>
          <w:spacing w:val="-11"/>
        </w:rPr>
        <w:t> </w:t>
      </w:r>
      <w:r>
        <w:rPr/>
        <w:t>which</w:t>
      </w:r>
      <w:r>
        <w:rPr>
          <w:spacing w:val="-10"/>
        </w:rPr>
        <w:t> </w:t>
      </w:r>
      <w:r>
        <w:rPr/>
        <w:t>is</w:t>
      </w:r>
      <w:r>
        <w:rPr>
          <w:spacing w:val="-12"/>
        </w:rPr>
        <w:t> </w:t>
      </w:r>
      <w:r>
        <w:rPr/>
        <w:t>due</w:t>
      </w:r>
      <w:r>
        <w:rPr>
          <w:spacing w:val="-13"/>
        </w:rPr>
        <w:t> </w:t>
      </w:r>
      <w:r>
        <w:rPr/>
        <w:t>to</w:t>
      </w:r>
      <w:r>
        <w:rPr>
          <w:spacing w:val="-11"/>
        </w:rPr>
        <w:t> </w:t>
      </w:r>
      <w:r>
        <w:rPr/>
        <w:t>a</w:t>
      </w:r>
      <w:r>
        <w:rPr>
          <w:spacing w:val="-13"/>
        </w:rPr>
        <w:t> </w:t>
      </w:r>
      <w:r>
        <w:rPr/>
        <w:t>vitalisation</w:t>
      </w:r>
      <w:r>
        <w:rPr>
          <w:spacing w:val="-10"/>
        </w:rPr>
        <w:t> </w:t>
      </w:r>
      <w:r>
        <w:rPr/>
        <w:t>of</w:t>
      </w:r>
      <w:r>
        <w:rPr>
          <w:spacing w:val="-11"/>
        </w:rPr>
        <w:t> </w:t>
      </w:r>
      <w:r>
        <w:rPr/>
        <w:t>and</w:t>
      </w:r>
      <w:r>
        <w:rPr>
          <w:spacing w:val="-11"/>
        </w:rPr>
        <w:t> </w:t>
      </w:r>
      <w:r>
        <w:rPr/>
        <w:t>increased</w:t>
      </w:r>
      <w:r>
        <w:rPr>
          <w:spacing w:val="-11"/>
        </w:rPr>
        <w:t> </w:t>
      </w:r>
      <w:r>
        <w:rPr/>
        <w:t>circulation to the heart</w:t>
      </w:r>
      <w:r>
        <w:rPr>
          <w:spacing w:val="2"/>
        </w:rPr>
        <w:t> </w:t>
      </w:r>
      <w:r>
        <w:rPr/>
        <w:t>muscle.</w:t>
      </w:r>
      <w:r>
        <w:rPr>
          <w:position w:val="9"/>
          <w:sz w:val="25"/>
        </w:rPr>
        <w:t>110</w:t>
      </w:r>
    </w:p>
    <w:p>
      <w:pPr>
        <w:pStyle w:val="BodyText"/>
        <w:rPr>
          <w:sz w:val="42"/>
        </w:rPr>
      </w:pPr>
    </w:p>
    <w:p>
      <w:pPr>
        <w:pStyle w:val="BodyText"/>
        <w:rPr>
          <w:sz w:val="42"/>
        </w:rPr>
      </w:pPr>
    </w:p>
    <w:p>
      <w:pPr>
        <w:pStyle w:val="BodyText"/>
        <w:rPr>
          <w:sz w:val="42"/>
        </w:rPr>
      </w:pPr>
    </w:p>
    <w:p>
      <w:pPr>
        <w:pStyle w:val="Heading1"/>
        <w:spacing w:line="261" w:lineRule="auto" w:before="267"/>
        <w:ind w:right="145"/>
        <w:jc w:val="both"/>
      </w:pPr>
      <w:r>
        <w:rPr/>
        <w:t>Studies</w:t>
      </w:r>
      <w:r>
        <w:rPr>
          <w:spacing w:val="-61"/>
        </w:rPr>
        <w:t> </w:t>
      </w:r>
      <w:r>
        <w:rPr/>
        <w:t>have</w:t>
      </w:r>
      <w:r>
        <w:rPr>
          <w:spacing w:val="-62"/>
        </w:rPr>
        <w:t> </w:t>
      </w:r>
      <w:r>
        <w:rPr/>
        <w:t>shown</w:t>
      </w:r>
      <w:r>
        <w:rPr>
          <w:spacing w:val="-61"/>
        </w:rPr>
        <w:t> </w:t>
      </w:r>
      <w:r>
        <w:rPr/>
        <w:t>that</w:t>
      </w:r>
      <w:r>
        <w:rPr>
          <w:spacing w:val="-61"/>
        </w:rPr>
        <w:t> </w:t>
      </w:r>
      <w:r>
        <w:rPr/>
        <w:t>astragalus</w:t>
      </w:r>
      <w:r>
        <w:rPr>
          <w:spacing w:val="-61"/>
        </w:rPr>
        <w:t> </w:t>
      </w:r>
      <w:r>
        <w:rPr/>
        <w:t>has</w:t>
      </w:r>
      <w:r>
        <w:rPr>
          <w:spacing w:val="-61"/>
        </w:rPr>
        <w:t> </w:t>
      </w:r>
      <w:r>
        <w:rPr/>
        <w:t>a</w:t>
      </w:r>
      <w:r>
        <w:rPr>
          <w:spacing w:val="-61"/>
        </w:rPr>
        <w:t> </w:t>
      </w:r>
      <w:r>
        <w:rPr/>
        <w:t>cardioprotective</w:t>
      </w:r>
      <w:r>
        <w:rPr>
          <w:spacing w:val="-60"/>
        </w:rPr>
        <w:t> </w:t>
      </w:r>
      <w:r>
        <w:rPr/>
        <w:t>effect</w:t>
      </w:r>
      <w:r>
        <w:rPr>
          <w:spacing w:val="-61"/>
        </w:rPr>
        <w:t> </w:t>
      </w:r>
      <w:r>
        <w:rPr/>
        <w:t>in</w:t>
      </w:r>
      <w:r>
        <w:rPr>
          <w:spacing w:val="-61"/>
        </w:rPr>
        <w:t> </w:t>
      </w:r>
      <w:r>
        <w:rPr/>
        <w:t>cases of myocardial ischemia</w:t>
      </w:r>
    </w:p>
    <w:p>
      <w:pPr>
        <w:pStyle w:val="BodyText"/>
        <w:spacing w:line="276" w:lineRule="auto" w:before="261"/>
        <w:ind w:left="477" w:right="144"/>
        <w:jc w:val="both"/>
        <w:rPr>
          <w:sz w:val="25"/>
        </w:rPr>
      </w:pPr>
      <w:r>
        <w:rPr/>
        <w:t>In studies, astragaloside IV present in Astragalus membranaceus has a cardio- protective effect in myocardial ischemia, both in vivo and in vitro.</w:t>
      </w:r>
      <w:r>
        <w:rPr>
          <w:position w:val="9"/>
          <w:sz w:val="25"/>
        </w:rPr>
        <w:t>111</w:t>
      </w:r>
    </w:p>
    <w:p>
      <w:pPr>
        <w:pStyle w:val="Heading1"/>
        <w:spacing w:before="223"/>
        <w:jc w:val="both"/>
      </w:pPr>
      <w:r>
        <w:rPr/>
        <w:t>Astragalus counteracts chronic fatigue</w:t>
      </w:r>
      <w:r>
        <w:rPr>
          <w:spacing w:val="-56"/>
        </w:rPr>
        <w:t> </w:t>
      </w:r>
      <w:r>
        <w:rPr/>
        <w:t>syndrome</w:t>
      </w:r>
    </w:p>
    <w:p>
      <w:pPr>
        <w:pStyle w:val="BodyText"/>
        <w:spacing w:before="299"/>
        <w:ind w:left="477"/>
        <w:jc w:val="both"/>
      </w:pPr>
      <w:r>
        <w:rPr/>
        <w:t>In</w:t>
      </w:r>
      <w:r>
        <w:rPr>
          <w:spacing w:val="-17"/>
        </w:rPr>
        <w:t> </w:t>
      </w:r>
      <w:r>
        <w:rPr/>
        <w:t>animal</w:t>
      </w:r>
      <w:r>
        <w:rPr>
          <w:spacing w:val="-18"/>
        </w:rPr>
        <w:t> </w:t>
      </w:r>
      <w:r>
        <w:rPr/>
        <w:t>experiments,</w:t>
      </w:r>
      <w:r>
        <w:rPr>
          <w:spacing w:val="-16"/>
        </w:rPr>
        <w:t> </w:t>
      </w:r>
      <w:r>
        <w:rPr/>
        <w:t>flavonoids</w:t>
      </w:r>
      <w:r>
        <w:rPr>
          <w:spacing w:val="-17"/>
        </w:rPr>
        <w:t> </w:t>
      </w:r>
      <w:r>
        <w:rPr/>
        <w:t>from</w:t>
      </w:r>
      <w:r>
        <w:rPr>
          <w:spacing w:val="-19"/>
        </w:rPr>
        <w:t> </w:t>
      </w:r>
      <w:r>
        <w:rPr/>
        <w:t>astragalus</w:t>
      </w:r>
      <w:r>
        <w:rPr>
          <w:spacing w:val="-17"/>
        </w:rPr>
        <w:t> </w:t>
      </w:r>
      <w:r>
        <w:rPr/>
        <w:t>have</w:t>
      </w:r>
      <w:r>
        <w:rPr>
          <w:spacing w:val="-16"/>
        </w:rPr>
        <w:t> </w:t>
      </w:r>
      <w:r>
        <w:rPr/>
        <w:t>been</w:t>
      </w:r>
      <w:r>
        <w:rPr>
          <w:spacing w:val="-21"/>
        </w:rPr>
        <w:t> </w:t>
      </w:r>
      <w:r>
        <w:rPr/>
        <w:t>shown</w:t>
      </w:r>
      <w:r>
        <w:rPr>
          <w:spacing w:val="-16"/>
        </w:rPr>
        <w:t> </w:t>
      </w:r>
      <w:r>
        <w:rPr/>
        <w:t>to</w:t>
      </w:r>
      <w:r>
        <w:rPr>
          <w:spacing w:val="-20"/>
        </w:rPr>
        <w:t> </w:t>
      </w:r>
      <w:r>
        <w:rPr/>
        <w:t>improve</w:t>
      </w:r>
    </w:p>
    <w:p>
      <w:pPr>
        <w:pStyle w:val="BodyText"/>
        <w:rPr>
          <w:sz w:val="20"/>
        </w:rPr>
      </w:pPr>
    </w:p>
    <w:p>
      <w:pPr>
        <w:pStyle w:val="BodyText"/>
        <w:rPr>
          <w:sz w:val="20"/>
        </w:rPr>
      </w:pPr>
    </w:p>
    <w:p>
      <w:pPr>
        <w:pStyle w:val="BodyText"/>
        <w:spacing w:before="4"/>
        <w:rPr>
          <w:sz w:val="29"/>
        </w:rPr>
      </w:pPr>
      <w:r>
        <w:rPr/>
        <w:pict>
          <v:line style="position:absolute;mso-position-horizontal-relative:page;mso-position-vertical-relative:paragraph;z-index:776;mso-wrap-distance-left:0;mso-wrap-distance-right:0" from="63.863998pt,18.888735pt" to="207.883998pt,18.888735pt" stroked="true" strokeweight=".72003pt" strokecolor="#000000">
            <v:stroke dashstyle="solid"/>
            <w10:wrap type="topAndBottom"/>
          </v:line>
        </w:pict>
      </w:r>
    </w:p>
    <w:p>
      <w:pPr>
        <w:pStyle w:val="BodyText"/>
        <w:spacing w:before="7"/>
        <w:rPr>
          <w:sz w:val="18"/>
        </w:rPr>
      </w:pPr>
    </w:p>
    <w:p>
      <w:pPr>
        <w:spacing w:line="273" w:lineRule="auto" w:before="99"/>
        <w:ind w:left="477" w:right="244" w:firstLine="0"/>
        <w:jc w:val="left"/>
        <w:rPr>
          <w:sz w:val="20"/>
        </w:rPr>
      </w:pPr>
      <w:r>
        <w:rPr>
          <w:position w:val="5"/>
          <w:sz w:val="13"/>
        </w:rPr>
        <w:t>109 </w:t>
      </w:r>
      <w:r>
        <w:rPr>
          <w:sz w:val="20"/>
        </w:rPr>
        <w:t>Purmova J. and Opletal L.: Phytotherapeutic aspects of diseases of the cardiovascular system. 5. Saponins and possibilities of their use in preven- tion and therapy. Ceska Slov Farm 1995; 44, p. 246–251</w:t>
      </w:r>
    </w:p>
    <w:p>
      <w:pPr>
        <w:spacing w:line="283" w:lineRule="auto" w:before="82"/>
        <w:ind w:left="477" w:right="0" w:firstLine="0"/>
        <w:jc w:val="left"/>
        <w:rPr>
          <w:sz w:val="20"/>
        </w:rPr>
      </w:pPr>
      <w:r>
        <w:rPr>
          <w:position w:val="5"/>
          <w:sz w:val="14"/>
        </w:rPr>
        <w:t>110 </w:t>
      </w:r>
      <w:r>
        <w:rPr>
          <w:sz w:val="20"/>
        </w:rPr>
        <w:t>Luo H. M. et al.: Nuclear cardiology study on effective ingredients of Astragalus membranaceus in treating heart failure. Chung Kuo Chung Hsi I Chieh Ho Tsa Chih 1995; 15, p. 707</w:t>
      </w:r>
      <w:r>
        <w:rPr>
          <w:spacing w:val="-4"/>
          <w:sz w:val="20"/>
        </w:rPr>
        <w:t> </w:t>
      </w:r>
      <w:r>
        <w:rPr>
          <w:sz w:val="20"/>
        </w:rPr>
        <w:t>ff.</w:t>
      </w:r>
    </w:p>
    <w:p>
      <w:pPr>
        <w:spacing w:before="55"/>
        <w:ind w:left="477" w:right="0" w:firstLine="0"/>
        <w:jc w:val="left"/>
        <w:rPr>
          <w:sz w:val="20"/>
        </w:rPr>
      </w:pPr>
      <w:r>
        <w:rPr>
          <w:position w:val="5"/>
          <w:sz w:val="13"/>
        </w:rPr>
        <w:t>111  </w:t>
      </w:r>
      <w:r>
        <w:rPr>
          <w:sz w:val="20"/>
        </w:rPr>
        <w:t>Planta Med. 2006 Jan; 72 (1), p.</w:t>
      </w:r>
      <w:r>
        <w:rPr>
          <w:spacing w:val="-29"/>
          <w:sz w:val="20"/>
        </w:rPr>
        <w:t> </w:t>
      </w:r>
      <w:r>
        <w:rPr>
          <w:sz w:val="20"/>
        </w:rPr>
        <w:t>4–8.</w:t>
      </w:r>
    </w:p>
    <w:p>
      <w:pPr>
        <w:spacing w:after="0"/>
        <w:jc w:val="left"/>
        <w:rPr>
          <w:sz w:val="20"/>
        </w:rPr>
        <w:sectPr>
          <w:pgSz w:w="14270" w:h="16850"/>
          <w:pgMar w:header="0" w:footer="1984" w:top="1600" w:bottom="2180" w:left="800" w:right="1280"/>
        </w:sectPr>
      </w:pPr>
    </w:p>
    <w:p>
      <w:pPr>
        <w:pStyle w:val="BodyText"/>
        <w:spacing w:before="181"/>
        <w:ind w:left="477"/>
        <w:rPr>
          <w:sz w:val="25"/>
        </w:rPr>
      </w:pPr>
      <w:r>
        <w:rPr/>
        <w:t>chronic fatigue syndrome.</w:t>
      </w:r>
      <w:r>
        <w:rPr>
          <w:position w:val="9"/>
          <w:sz w:val="25"/>
        </w:rPr>
        <w:t>112</w:t>
      </w:r>
    </w:p>
    <w:p>
      <w:pPr>
        <w:pStyle w:val="Heading1"/>
        <w:spacing w:line="261" w:lineRule="auto" w:before="288"/>
        <w:ind w:right="131"/>
      </w:pPr>
      <w:r>
        <w:rPr/>
        <w:t>Male</w:t>
      </w:r>
      <w:r>
        <w:rPr>
          <w:spacing w:val="-64"/>
        </w:rPr>
        <w:t> </w:t>
      </w:r>
      <w:r>
        <w:rPr/>
        <w:t>infertility</w:t>
      </w:r>
      <w:r>
        <w:rPr>
          <w:spacing w:val="-63"/>
        </w:rPr>
        <w:t> </w:t>
      </w:r>
      <w:r>
        <w:rPr/>
        <w:t>–</w:t>
      </w:r>
      <w:r>
        <w:rPr>
          <w:spacing w:val="-63"/>
        </w:rPr>
        <w:t> </w:t>
      </w:r>
      <w:r>
        <w:rPr/>
        <w:t>Astragalus</w:t>
      </w:r>
      <w:r>
        <w:rPr>
          <w:spacing w:val="-63"/>
        </w:rPr>
        <w:t> </w:t>
      </w:r>
      <w:r>
        <w:rPr/>
        <w:t>can</w:t>
      </w:r>
      <w:r>
        <w:rPr>
          <w:spacing w:val="-64"/>
        </w:rPr>
        <w:t> </w:t>
      </w:r>
      <w:r>
        <w:rPr/>
        <w:t>increase</w:t>
      </w:r>
      <w:r>
        <w:rPr>
          <w:spacing w:val="-63"/>
        </w:rPr>
        <w:t> </w:t>
      </w:r>
      <w:r>
        <w:rPr/>
        <w:t>sperm</w:t>
      </w:r>
      <w:r>
        <w:rPr>
          <w:spacing w:val="-63"/>
        </w:rPr>
        <w:t> </w:t>
      </w:r>
      <w:r>
        <w:rPr/>
        <w:t>activity</w:t>
      </w:r>
      <w:r>
        <w:rPr>
          <w:spacing w:val="-62"/>
        </w:rPr>
        <w:t> </w:t>
      </w:r>
      <w:r>
        <w:rPr/>
        <w:t>by</w:t>
      </w:r>
      <w:r>
        <w:rPr>
          <w:spacing w:val="-64"/>
        </w:rPr>
        <w:t> </w:t>
      </w:r>
      <w:r>
        <w:rPr/>
        <w:t>146</w:t>
      </w:r>
      <w:r>
        <w:rPr>
          <w:spacing w:val="-63"/>
        </w:rPr>
        <w:t> </w:t>
      </w:r>
      <w:r>
        <w:rPr/>
        <w:t>%</w:t>
      </w:r>
      <w:r>
        <w:rPr>
          <w:spacing w:val="-63"/>
        </w:rPr>
        <w:t> </w:t>
      </w:r>
      <w:r>
        <w:rPr/>
        <w:t>in</w:t>
      </w:r>
      <w:r>
        <w:rPr>
          <w:spacing w:val="-64"/>
        </w:rPr>
        <w:t> </w:t>
      </w:r>
      <w:r>
        <w:rPr/>
        <w:t>stud- ies</w:t>
      </w:r>
    </w:p>
    <w:p>
      <w:pPr>
        <w:pStyle w:val="BodyText"/>
        <w:spacing w:line="276" w:lineRule="auto" w:before="260"/>
        <w:ind w:left="477"/>
        <w:rPr>
          <w:sz w:val="25"/>
        </w:rPr>
      </w:pPr>
      <w:r>
        <w:rPr/>
        <w:t>In one study, out of 18 herbs tested, astragalus was the only one to stimulate sperm, and did so by 146 %.</w:t>
      </w:r>
      <w:r>
        <w:rPr>
          <w:position w:val="9"/>
          <w:sz w:val="25"/>
        </w:rPr>
        <w:t>113</w:t>
      </w:r>
    </w:p>
    <w:p>
      <w:pPr>
        <w:pStyle w:val="Heading1"/>
        <w:spacing w:line="391" w:lineRule="auto" w:before="222"/>
        <w:ind w:right="2679"/>
      </w:pPr>
      <w:r>
        <w:rPr>
          <w:w w:val="95"/>
        </w:rPr>
        <w:t>Studies confirm the anticarcinogenic effect of astragalus </w:t>
      </w:r>
      <w:r>
        <w:rPr/>
        <w:t>Studies of astragalus and its effect on lung cancer</w:t>
      </w:r>
    </w:p>
    <w:p>
      <w:pPr>
        <w:pStyle w:val="BodyText"/>
        <w:spacing w:line="276" w:lineRule="auto" w:before="14"/>
        <w:ind w:left="477"/>
        <w:rPr>
          <w:sz w:val="25"/>
        </w:rPr>
      </w:pPr>
      <w:r>
        <w:rPr/>
        <w:t>Ten</w:t>
      </w:r>
      <w:r>
        <w:rPr>
          <w:spacing w:val="-10"/>
        </w:rPr>
        <w:t> </w:t>
      </w:r>
      <w:r>
        <w:rPr/>
        <w:t>out</w:t>
      </w:r>
      <w:r>
        <w:rPr>
          <w:spacing w:val="-10"/>
        </w:rPr>
        <w:t> </w:t>
      </w:r>
      <w:r>
        <w:rPr/>
        <w:t>of</w:t>
      </w:r>
      <w:r>
        <w:rPr>
          <w:spacing w:val="-9"/>
        </w:rPr>
        <w:t> </w:t>
      </w:r>
      <w:r>
        <w:rPr/>
        <w:t>12</w:t>
      </w:r>
      <w:r>
        <w:rPr>
          <w:spacing w:val="-13"/>
        </w:rPr>
        <w:t> </w:t>
      </w:r>
      <w:r>
        <w:rPr/>
        <w:t>patients</w:t>
      </w:r>
      <w:r>
        <w:rPr>
          <w:spacing w:val="-8"/>
        </w:rPr>
        <w:t> </w:t>
      </w:r>
      <w:r>
        <w:rPr/>
        <w:t>with</w:t>
      </w:r>
      <w:r>
        <w:rPr>
          <w:spacing w:val="-9"/>
        </w:rPr>
        <w:t> </w:t>
      </w:r>
      <w:r>
        <w:rPr/>
        <w:t>small</w:t>
      </w:r>
      <w:r>
        <w:rPr>
          <w:spacing w:val="-11"/>
        </w:rPr>
        <w:t> </w:t>
      </w:r>
      <w:r>
        <w:rPr/>
        <w:t>cell</w:t>
      </w:r>
      <w:r>
        <w:rPr>
          <w:spacing w:val="-10"/>
        </w:rPr>
        <w:t> </w:t>
      </w:r>
      <w:r>
        <w:rPr/>
        <w:t>lung</w:t>
      </w:r>
      <w:r>
        <w:rPr>
          <w:spacing w:val="-9"/>
        </w:rPr>
        <w:t> </w:t>
      </w:r>
      <w:r>
        <w:rPr/>
        <w:t>cancer</w:t>
      </w:r>
      <w:r>
        <w:rPr>
          <w:spacing w:val="-14"/>
        </w:rPr>
        <w:t> </w:t>
      </w:r>
      <w:r>
        <w:rPr/>
        <w:t>who</w:t>
      </w:r>
      <w:r>
        <w:rPr>
          <w:spacing w:val="-8"/>
        </w:rPr>
        <w:t> </w:t>
      </w:r>
      <w:r>
        <w:rPr/>
        <w:t>were</w:t>
      </w:r>
      <w:r>
        <w:rPr>
          <w:spacing w:val="-9"/>
        </w:rPr>
        <w:t> </w:t>
      </w:r>
      <w:r>
        <w:rPr/>
        <w:t>treated</w:t>
      </w:r>
      <w:r>
        <w:rPr>
          <w:spacing w:val="-10"/>
        </w:rPr>
        <w:t> </w:t>
      </w:r>
      <w:r>
        <w:rPr/>
        <w:t>with</w:t>
      </w:r>
      <w:r>
        <w:rPr>
          <w:spacing w:val="-9"/>
        </w:rPr>
        <w:t> </w:t>
      </w:r>
      <w:r>
        <w:rPr/>
        <w:t>astrag- alus achieved survival rates of 3-17</w:t>
      </w:r>
      <w:r>
        <w:rPr>
          <w:spacing w:val="-2"/>
        </w:rPr>
        <w:t> </w:t>
      </w:r>
      <w:r>
        <w:rPr/>
        <w:t>years.</w:t>
      </w:r>
      <w:r>
        <w:rPr>
          <w:position w:val="9"/>
          <w:sz w:val="25"/>
        </w:rPr>
        <w:t>114</w:t>
      </w:r>
    </w:p>
    <w:p>
      <w:pPr>
        <w:pStyle w:val="Heading1"/>
        <w:spacing w:before="223"/>
      </w:pPr>
      <w:r>
        <w:rPr/>
        <w:t>Astragalus effective in studies on kidney cancer and melanoma</w:t>
      </w:r>
    </w:p>
    <w:p>
      <w:pPr>
        <w:pStyle w:val="BodyText"/>
        <w:spacing w:line="276" w:lineRule="auto" w:before="300"/>
        <w:ind w:left="477"/>
        <w:rPr>
          <w:sz w:val="25"/>
        </w:rPr>
      </w:pPr>
      <w:r>
        <w:rPr/>
        <w:t>In</w:t>
      </w:r>
      <w:r>
        <w:rPr>
          <w:spacing w:val="-14"/>
        </w:rPr>
        <w:t> </w:t>
      </w:r>
      <w:r>
        <w:rPr/>
        <w:t>vitro</w:t>
      </w:r>
      <w:r>
        <w:rPr>
          <w:spacing w:val="-14"/>
        </w:rPr>
        <w:t> </w:t>
      </w:r>
      <w:r>
        <w:rPr/>
        <w:t>testing</w:t>
      </w:r>
      <w:r>
        <w:rPr>
          <w:spacing w:val="-13"/>
        </w:rPr>
        <w:t> </w:t>
      </w:r>
      <w:r>
        <w:rPr/>
        <w:t>of</w:t>
      </w:r>
      <w:r>
        <w:rPr>
          <w:spacing w:val="-15"/>
        </w:rPr>
        <w:t> </w:t>
      </w:r>
      <w:r>
        <w:rPr/>
        <w:t>astragalus</w:t>
      </w:r>
      <w:r>
        <w:rPr>
          <w:spacing w:val="-12"/>
        </w:rPr>
        <w:t> </w:t>
      </w:r>
      <w:r>
        <w:rPr/>
        <w:t>membranaceus</w:t>
      </w:r>
      <w:r>
        <w:rPr>
          <w:spacing w:val="-14"/>
        </w:rPr>
        <w:t> </w:t>
      </w:r>
      <w:r>
        <w:rPr/>
        <w:t>could</w:t>
      </w:r>
      <w:r>
        <w:rPr>
          <w:spacing w:val="-14"/>
        </w:rPr>
        <w:t> </w:t>
      </w:r>
      <w:r>
        <w:rPr/>
        <w:t>demonstrate</w:t>
      </w:r>
      <w:r>
        <w:rPr>
          <w:spacing w:val="-11"/>
        </w:rPr>
        <w:t> </w:t>
      </w:r>
      <w:r>
        <w:rPr/>
        <w:t>its</w:t>
      </w:r>
      <w:r>
        <w:rPr>
          <w:spacing w:val="-14"/>
        </w:rPr>
        <w:t> </w:t>
      </w:r>
      <w:r>
        <w:rPr/>
        <w:t>antitumoural effects on melanoma and kidney</w:t>
      </w:r>
      <w:r>
        <w:rPr>
          <w:spacing w:val="1"/>
        </w:rPr>
        <w:t> </w:t>
      </w:r>
      <w:r>
        <w:rPr/>
        <w:t>cancer.</w:t>
      </w:r>
      <w:r>
        <w:rPr>
          <w:position w:val="9"/>
          <w:sz w:val="25"/>
        </w:rPr>
        <w:t>115</w:t>
      </w:r>
    </w:p>
    <w:p>
      <w:pPr>
        <w:pStyle w:val="Heading1"/>
        <w:spacing w:line="261" w:lineRule="auto" w:before="221"/>
      </w:pPr>
      <w:r>
        <w:rPr>
          <w:w w:val="95"/>
        </w:rPr>
        <w:t>Novel anti-cancer effect due to transcriptional activation of</w:t>
      </w:r>
      <w:r>
        <w:rPr>
          <w:spacing w:val="-60"/>
          <w:w w:val="95"/>
        </w:rPr>
        <w:t> </w:t>
      </w:r>
      <w:r>
        <w:rPr>
          <w:w w:val="95"/>
        </w:rPr>
        <w:t>NSAID-acti- </w:t>
      </w:r>
      <w:r>
        <w:rPr/>
        <w:t>vated genes</w:t>
      </w:r>
    </w:p>
    <w:p>
      <w:pPr>
        <w:pStyle w:val="BodyText"/>
        <w:spacing w:before="260"/>
        <w:ind w:left="477"/>
      </w:pPr>
      <w:r>
        <w:rPr/>
        <w:t>Astragalus saponins showed a novel anti-cancer effect through the activation of</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r>
        <w:rPr/>
        <w:pict>
          <v:line style="position:absolute;mso-position-horizontal-relative:page;mso-position-vertical-relative:paragraph;z-index:800;mso-wrap-distance-left:0;mso-wrap-distance-right:0" from="63.863998pt,11.742515pt" to="207.883998pt,11.742515pt" stroked="true" strokeweight=".71997pt" strokecolor="#000000">
            <v:stroke dashstyle="solid"/>
            <w10:wrap type="topAndBottom"/>
          </v:line>
        </w:pict>
      </w:r>
    </w:p>
    <w:p>
      <w:pPr>
        <w:pStyle w:val="BodyText"/>
        <w:spacing w:before="2"/>
        <w:rPr>
          <w:sz w:val="22"/>
        </w:rPr>
      </w:pPr>
    </w:p>
    <w:p>
      <w:pPr>
        <w:spacing w:before="126"/>
        <w:ind w:left="477" w:right="0" w:firstLine="0"/>
        <w:jc w:val="left"/>
        <w:rPr>
          <w:rFonts w:ascii="Arial" w:hAnsi="Arial"/>
          <w:sz w:val="20"/>
        </w:rPr>
      </w:pPr>
      <w:r>
        <w:rPr>
          <w:position w:val="5"/>
          <w:sz w:val="13"/>
        </w:rPr>
        <w:t>112 </w:t>
      </w:r>
      <w:r>
        <w:rPr>
          <w:sz w:val="20"/>
        </w:rPr>
        <w:t>2009 Feb 25; 122 (1), p. 28–34. Epub 2008 Dec 6. PMID: 19103273 [3</w:t>
      </w:r>
      <w:r>
        <w:rPr>
          <w:rFonts w:ascii="Arial" w:hAnsi="Arial"/>
          <w:sz w:val="20"/>
        </w:rPr>
        <w:t>]</w:t>
      </w:r>
    </w:p>
    <w:p>
      <w:pPr>
        <w:spacing w:before="154"/>
        <w:ind w:left="477" w:right="0" w:firstLine="0"/>
        <w:jc w:val="left"/>
        <w:rPr>
          <w:sz w:val="20"/>
        </w:rPr>
      </w:pPr>
      <w:r>
        <w:rPr>
          <w:position w:val="5"/>
          <w:sz w:val="13"/>
        </w:rPr>
        <w:t>113 </w:t>
      </w:r>
      <w:r>
        <w:rPr>
          <w:sz w:val="20"/>
        </w:rPr>
        <w:t>Hong YH. Oriental Materia Medica: A Concise Guide. Long Beach, CA: Oriental Healing Arts Institute; 1986.</w:t>
      </w:r>
    </w:p>
    <w:p>
      <w:pPr>
        <w:spacing w:line="276" w:lineRule="auto" w:before="94"/>
        <w:ind w:left="477" w:right="244" w:firstLine="0"/>
        <w:jc w:val="left"/>
        <w:rPr>
          <w:sz w:val="20"/>
        </w:rPr>
      </w:pPr>
      <w:r>
        <w:rPr>
          <w:position w:val="5"/>
          <w:sz w:val="13"/>
        </w:rPr>
        <w:t>114 </w:t>
      </w:r>
      <w:r>
        <w:rPr>
          <w:sz w:val="20"/>
        </w:rPr>
        <w:t>Cha R. J. et al.: Non-surgical treatment of small cell lung cancer with chemoradio-immunotherapy and traditional Chinese medicine. Chung Hua Nei Ko Tsa Chih 1994; 33, p. 462–466.</w:t>
      </w:r>
    </w:p>
    <w:p>
      <w:pPr>
        <w:spacing w:line="276" w:lineRule="auto" w:before="61"/>
        <w:ind w:left="477" w:right="0" w:firstLine="0"/>
        <w:jc w:val="left"/>
        <w:rPr>
          <w:sz w:val="20"/>
        </w:rPr>
      </w:pPr>
      <w:r>
        <w:rPr>
          <w:position w:val="5"/>
          <w:sz w:val="13"/>
        </w:rPr>
        <w:t>115 </w:t>
      </w:r>
      <w:r>
        <w:rPr>
          <w:sz w:val="20"/>
        </w:rPr>
        <w:t>Wang Y. et al.: Phytochemicals potentiate interleukin-2 generated lymphokine-activated killer cell cytotoxicity against murine renal cell carcinoma. Mol Biother 1992; 4, p. 143–146.</w:t>
      </w:r>
    </w:p>
    <w:p>
      <w:pPr>
        <w:spacing w:after="0" w:line="276" w:lineRule="auto"/>
        <w:jc w:val="left"/>
        <w:rPr>
          <w:sz w:val="20"/>
        </w:rPr>
        <w:sectPr>
          <w:pgSz w:w="14270" w:h="16850"/>
          <w:pgMar w:header="0" w:footer="1984" w:top="1600" w:bottom="2180" w:left="800" w:right="1280"/>
        </w:sectPr>
      </w:pPr>
    </w:p>
    <w:p>
      <w:pPr>
        <w:pStyle w:val="BodyText"/>
        <w:spacing w:before="181"/>
        <w:ind w:left="477"/>
        <w:rPr>
          <w:sz w:val="25"/>
        </w:rPr>
      </w:pPr>
      <w:r>
        <w:rPr/>
        <w:t>NSAID-activated genes.</w:t>
      </w:r>
      <w:r>
        <w:rPr>
          <w:position w:val="9"/>
          <w:sz w:val="25"/>
        </w:rPr>
        <w:t>116</w:t>
      </w:r>
    </w:p>
    <w:p>
      <w:pPr>
        <w:pStyle w:val="Heading1"/>
        <w:spacing w:before="288"/>
      </w:pPr>
      <w:r>
        <w:rPr/>
        <w:t>Astragalus enhances the effects of chemotherapy and prolongs life</w:t>
      </w:r>
    </w:p>
    <w:p>
      <w:pPr>
        <w:pStyle w:val="BodyText"/>
        <w:spacing w:line="276" w:lineRule="auto" w:before="299"/>
        <w:ind w:left="477" w:right="136"/>
        <w:jc w:val="both"/>
        <w:rPr>
          <w:sz w:val="25"/>
        </w:rPr>
      </w:pPr>
      <w:r>
        <w:rPr/>
        <w:t>In other studies, astragalus membranaceus has been shown to enhance the ef- fects of chemotherapy and prevent relapses. In addition, lifespan was signifi- cantly increased and the toxic side effects of the chemotherapeutic agents</w:t>
      </w:r>
      <w:r>
        <w:rPr>
          <w:spacing w:val="-45"/>
        </w:rPr>
        <w:t> </w:t>
      </w:r>
      <w:r>
        <w:rPr/>
        <w:t>were reduced.</w:t>
      </w:r>
      <w:r>
        <w:rPr>
          <w:position w:val="9"/>
          <w:sz w:val="25"/>
        </w:rPr>
        <w:t>117</w:t>
      </w:r>
    </w:p>
    <w:p>
      <w:pPr>
        <w:pStyle w:val="Heading1"/>
        <w:spacing w:before="222"/>
      </w:pPr>
      <w:r>
        <w:rPr/>
        <w:t>Positive effect of astragalus on lupus erythematosus</w:t>
      </w:r>
    </w:p>
    <w:p>
      <w:pPr>
        <w:pStyle w:val="BodyText"/>
        <w:spacing w:line="276" w:lineRule="auto" w:before="300"/>
        <w:ind w:left="477" w:right="136"/>
        <w:jc w:val="both"/>
        <w:rPr>
          <w:sz w:val="25"/>
        </w:rPr>
      </w:pPr>
      <w:r>
        <w:rPr/>
        <w:t>Astragalus was tested for its effect on systematic lupus erythematosus in 28</w:t>
      </w:r>
      <w:r>
        <w:rPr>
          <w:spacing w:val="-67"/>
        </w:rPr>
        <w:t> </w:t>
      </w:r>
      <w:r>
        <w:rPr/>
        <w:t>pa- tients. NK cells were significantly lowered as a result (compared to standard values).</w:t>
      </w:r>
      <w:r>
        <w:rPr>
          <w:position w:val="9"/>
          <w:sz w:val="25"/>
        </w:rPr>
        <w:t>118</w:t>
      </w:r>
    </w:p>
    <w:p>
      <w:pPr>
        <w:pStyle w:val="Heading1"/>
        <w:spacing w:before="223"/>
      </w:pPr>
      <w:r>
        <w:rPr/>
        <w:t>Anti-inflammatory effects of astragalus proven in studies</w:t>
      </w:r>
    </w:p>
    <w:p>
      <w:pPr>
        <w:pStyle w:val="BodyText"/>
        <w:spacing w:line="276" w:lineRule="auto" w:before="298"/>
        <w:ind w:left="477" w:right="136"/>
        <w:jc w:val="both"/>
        <w:rPr>
          <w:sz w:val="25"/>
        </w:rPr>
      </w:pPr>
      <w:r>
        <w:rPr/>
        <w:t>The</w:t>
      </w:r>
      <w:r>
        <w:rPr>
          <w:spacing w:val="-13"/>
        </w:rPr>
        <w:t> </w:t>
      </w:r>
      <w:r>
        <w:rPr/>
        <w:t>inhibition</w:t>
      </w:r>
      <w:r>
        <w:rPr>
          <w:spacing w:val="-13"/>
        </w:rPr>
        <w:t> </w:t>
      </w:r>
      <w:r>
        <w:rPr/>
        <w:t>of</w:t>
      </w:r>
      <w:r>
        <w:rPr>
          <w:spacing w:val="-14"/>
        </w:rPr>
        <w:t> </w:t>
      </w:r>
      <w:r>
        <w:rPr/>
        <w:t>NF-kappB</w:t>
      </w:r>
      <w:r>
        <w:rPr>
          <w:spacing w:val="-15"/>
        </w:rPr>
        <w:t> </w:t>
      </w:r>
      <w:r>
        <w:rPr/>
        <w:t>and</w:t>
      </w:r>
      <w:r>
        <w:rPr>
          <w:spacing w:val="-11"/>
        </w:rPr>
        <w:t> </w:t>
      </w:r>
      <w:r>
        <w:rPr/>
        <w:t>the</w:t>
      </w:r>
      <w:r>
        <w:rPr>
          <w:spacing w:val="-13"/>
        </w:rPr>
        <w:t> </w:t>
      </w:r>
      <w:r>
        <w:rPr/>
        <w:t>expression</w:t>
      </w:r>
      <w:r>
        <w:rPr>
          <w:spacing w:val="-18"/>
        </w:rPr>
        <w:t> </w:t>
      </w:r>
      <w:r>
        <w:rPr/>
        <w:t>of</w:t>
      </w:r>
      <w:r>
        <w:rPr>
          <w:spacing w:val="-13"/>
        </w:rPr>
        <w:t> </w:t>
      </w:r>
      <w:r>
        <w:rPr/>
        <w:t>adhesion</w:t>
      </w:r>
      <w:r>
        <w:rPr>
          <w:spacing w:val="-13"/>
        </w:rPr>
        <w:t> </w:t>
      </w:r>
      <w:r>
        <w:rPr/>
        <w:t>molecules</w:t>
      </w:r>
      <w:r>
        <w:rPr>
          <w:spacing w:val="-13"/>
        </w:rPr>
        <w:t> </w:t>
      </w:r>
      <w:r>
        <w:rPr/>
        <w:t>result</w:t>
      </w:r>
      <w:r>
        <w:rPr>
          <w:spacing w:val="-15"/>
        </w:rPr>
        <w:t> </w:t>
      </w:r>
      <w:r>
        <w:rPr/>
        <w:t>in anti-inflammatory activity by Astragaloside IV, an ingredient of Astragalus membranaceus.</w:t>
      </w:r>
      <w:r>
        <w:rPr>
          <w:position w:val="9"/>
          <w:sz w:val="25"/>
        </w:rPr>
        <w:t>119</w:t>
      </w:r>
    </w:p>
    <w:p>
      <w:pPr>
        <w:pStyle w:val="Heading1"/>
        <w:jc w:val="both"/>
      </w:pPr>
      <w:r>
        <w:rPr/>
        <w:t>Astragalus’ effect on viral diseases has been proven in studies</w:t>
      </w:r>
    </w:p>
    <w:p>
      <w:pPr>
        <w:pStyle w:val="BodyText"/>
        <w:spacing w:before="299"/>
        <w:ind w:left="477"/>
        <w:jc w:val="both"/>
      </w:pPr>
      <w:r>
        <w:rPr/>
        <w:t>Astragalus was able to successfully inhibit the proliferation of Coxsackie virus</w:t>
      </w:r>
    </w:p>
    <w:p>
      <w:pPr>
        <w:pStyle w:val="BodyText"/>
        <w:rPr>
          <w:sz w:val="20"/>
        </w:rPr>
      </w:pPr>
    </w:p>
    <w:p>
      <w:pPr>
        <w:pStyle w:val="BodyText"/>
        <w:rPr>
          <w:sz w:val="20"/>
        </w:rPr>
      </w:pPr>
    </w:p>
    <w:p>
      <w:pPr>
        <w:pStyle w:val="BodyText"/>
        <w:rPr>
          <w:sz w:val="20"/>
        </w:rPr>
      </w:pPr>
    </w:p>
    <w:p>
      <w:pPr>
        <w:pStyle w:val="BodyText"/>
        <w:rPr>
          <w:sz w:val="27"/>
        </w:rPr>
      </w:pPr>
      <w:r>
        <w:rPr/>
        <w:pict>
          <v:line style="position:absolute;mso-position-horizontal-relative:page;mso-position-vertical-relative:paragraph;z-index:824;mso-wrap-distance-left:0;mso-wrap-distance-right:0" from="63.863998pt,17.567486pt" to="207.883998pt,17.567486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116 </w:t>
      </w:r>
      <w:r>
        <w:rPr>
          <w:sz w:val="20"/>
        </w:rPr>
        <w:t>Int J Cancer. 2009 Sep 1; 125(5):1082–91. PMID: 19384947</w:t>
      </w:r>
    </w:p>
    <w:p>
      <w:pPr>
        <w:spacing w:line="276" w:lineRule="auto" w:before="92"/>
        <w:ind w:left="477" w:right="294" w:firstLine="0"/>
        <w:jc w:val="left"/>
        <w:rPr>
          <w:sz w:val="20"/>
        </w:rPr>
      </w:pPr>
      <w:r>
        <w:rPr>
          <w:position w:val="5"/>
          <w:sz w:val="13"/>
        </w:rPr>
        <w:t>117 </w:t>
      </w:r>
      <w:r>
        <w:rPr>
          <w:sz w:val="20"/>
        </w:rPr>
        <w:t>Zee-Cheng R. K.: Shi-quan-da-bu-tang (ten significant tonic decoction), SQT. A potent Chinese biological response modifier in cancer immuno- therapy, potentiation and detoxification of anticancer drugs. Methods Find Exp Clin Pharmacol.</w:t>
      </w:r>
    </w:p>
    <w:p>
      <w:pPr>
        <w:spacing w:line="276" w:lineRule="auto" w:before="61"/>
        <w:ind w:left="477" w:right="244" w:firstLine="0"/>
        <w:jc w:val="left"/>
        <w:rPr>
          <w:sz w:val="20"/>
        </w:rPr>
      </w:pPr>
      <w:r>
        <w:rPr>
          <w:position w:val="5"/>
          <w:sz w:val="13"/>
        </w:rPr>
        <w:t>118 </w:t>
      </w:r>
      <w:r>
        <w:rPr>
          <w:sz w:val="20"/>
        </w:rPr>
        <w:t>Zhao X. Z.: Effects of Astragalus membranaceus and Tripterygium hypoglancum on natural killer cell activity of peripheral blood mononuclear cells in systemic lupus erythematous. Chung Kuo Chung Hsi I Chieh Ho Tsa Chih 1992; 12</w:t>
      </w:r>
    </w:p>
    <w:p>
      <w:pPr>
        <w:spacing w:before="61"/>
        <w:ind w:left="477" w:right="0" w:firstLine="0"/>
        <w:jc w:val="left"/>
        <w:rPr>
          <w:sz w:val="20"/>
        </w:rPr>
      </w:pPr>
      <w:r>
        <w:rPr>
          <w:position w:val="5"/>
          <w:sz w:val="13"/>
        </w:rPr>
        <w:t>119 </w:t>
      </w:r>
      <w:r>
        <w:rPr>
          <w:sz w:val="20"/>
        </w:rPr>
        <w:t>Thromb Haemost. 2003 Nov; 90 (5), p. 904–914. PMID: 14597987</w:t>
      </w:r>
    </w:p>
    <w:p>
      <w:pPr>
        <w:spacing w:after="0"/>
        <w:jc w:val="left"/>
        <w:rPr>
          <w:sz w:val="20"/>
        </w:rPr>
        <w:sectPr>
          <w:pgSz w:w="14270" w:h="16850"/>
          <w:pgMar w:header="0" w:footer="1984" w:top="1600" w:bottom="2180" w:left="800" w:right="1280"/>
        </w:sectPr>
      </w:pPr>
    </w:p>
    <w:p>
      <w:pPr>
        <w:pStyle w:val="BodyText"/>
        <w:spacing w:before="181"/>
        <w:ind w:left="477"/>
        <w:rPr>
          <w:sz w:val="25"/>
        </w:rPr>
      </w:pPr>
      <w:r>
        <w:rPr/>
        <w:t>(RNA virus) in animal testing.</w:t>
      </w:r>
      <w:r>
        <w:rPr>
          <w:position w:val="9"/>
          <w:sz w:val="25"/>
        </w:rPr>
        <w:t>120</w:t>
      </w:r>
    </w:p>
    <w:p>
      <w:pPr>
        <w:pStyle w:val="Heading2"/>
        <w:spacing w:before="305"/>
      </w:pPr>
      <w:r>
        <w:rPr/>
        <w:t>Astragalus Membranaceus tested as safe, even in high doses</w:t>
      </w:r>
    </w:p>
    <w:p>
      <w:pPr>
        <w:pStyle w:val="BodyText"/>
        <w:spacing w:line="276" w:lineRule="auto" w:before="304"/>
        <w:ind w:left="477" w:right="138"/>
        <w:jc w:val="both"/>
      </w:pPr>
      <w:r>
        <w:rPr/>
        <w:t>To test the safety of astragalus, mice were given up to 100 grams per day, with no intoxication occurring as a result.</w:t>
      </w:r>
    </w:p>
    <w:p>
      <w:pPr>
        <w:pStyle w:val="BodyText"/>
        <w:spacing w:line="276" w:lineRule="auto" w:before="241"/>
        <w:ind w:left="477" w:right="145"/>
        <w:jc w:val="both"/>
        <w:rPr>
          <w:sz w:val="25"/>
        </w:rPr>
      </w:pPr>
      <w:r>
        <w:rPr/>
        <w:t>LD 50 (50 %, one dose which causes death) in mice is approximately 40 g per kg of body weight with intraperitoneal injection.</w:t>
      </w:r>
      <w:r>
        <w:rPr>
          <w:position w:val="9"/>
          <w:sz w:val="25"/>
        </w:rPr>
        <w:t>121</w:t>
      </w:r>
    </w:p>
    <w:p>
      <w:pPr>
        <w:pStyle w:val="Heading1"/>
        <w:spacing w:before="222"/>
      </w:pPr>
      <w:r>
        <w:rPr/>
        <w:t>Does astragalus cause any side</w:t>
      </w:r>
      <w:r>
        <w:rPr>
          <w:spacing w:val="-51"/>
        </w:rPr>
        <w:t> </w:t>
      </w:r>
      <w:r>
        <w:rPr/>
        <w:t>effects?</w:t>
      </w:r>
    </w:p>
    <w:p>
      <w:pPr>
        <w:pStyle w:val="BodyText"/>
        <w:spacing w:line="276" w:lineRule="auto" w:before="299"/>
        <w:ind w:left="477" w:right="133"/>
        <w:jc w:val="both"/>
      </w:pPr>
      <w:r>
        <w:rPr/>
        <w:t>You must bear in mind that this question is self-explanatory for Astragalus membranaceus</w:t>
      </w:r>
      <w:r>
        <w:rPr>
          <w:spacing w:val="-18"/>
        </w:rPr>
        <w:t> </w:t>
      </w:r>
      <w:r>
        <w:rPr/>
        <w:t>when</w:t>
      </w:r>
      <w:r>
        <w:rPr>
          <w:spacing w:val="-17"/>
        </w:rPr>
        <w:t> </w:t>
      </w:r>
      <w:r>
        <w:rPr/>
        <w:t>you</w:t>
      </w:r>
      <w:r>
        <w:rPr>
          <w:spacing w:val="-19"/>
        </w:rPr>
        <w:t> </w:t>
      </w:r>
      <w:r>
        <w:rPr/>
        <w:t>consider</w:t>
      </w:r>
      <w:r>
        <w:rPr>
          <w:spacing w:val="-18"/>
        </w:rPr>
        <w:t> </w:t>
      </w:r>
      <w:r>
        <w:rPr/>
        <w:t>that</w:t>
      </w:r>
      <w:r>
        <w:rPr>
          <w:spacing w:val="-18"/>
        </w:rPr>
        <w:t> </w:t>
      </w:r>
      <w:r>
        <w:rPr/>
        <w:t>Astragalus</w:t>
      </w:r>
      <w:r>
        <w:rPr>
          <w:spacing w:val="-18"/>
        </w:rPr>
        <w:t> </w:t>
      </w:r>
      <w:r>
        <w:rPr/>
        <w:t>membranaceus</w:t>
      </w:r>
      <w:r>
        <w:rPr>
          <w:spacing w:val="-18"/>
        </w:rPr>
        <w:t> </w:t>
      </w:r>
      <w:r>
        <w:rPr/>
        <w:t>has</w:t>
      </w:r>
      <w:r>
        <w:rPr>
          <w:spacing w:val="-17"/>
        </w:rPr>
        <w:t> </w:t>
      </w:r>
      <w:r>
        <w:rPr/>
        <w:t>been</w:t>
      </w:r>
      <w:r>
        <w:rPr>
          <w:spacing w:val="-17"/>
        </w:rPr>
        <w:t> </w:t>
      </w:r>
      <w:r>
        <w:rPr/>
        <w:t>one of</w:t>
      </w:r>
      <w:r>
        <w:rPr>
          <w:spacing w:val="-12"/>
        </w:rPr>
        <w:t> </w:t>
      </w:r>
      <w:r>
        <w:rPr/>
        <w:t>the</w:t>
      </w:r>
      <w:r>
        <w:rPr>
          <w:spacing w:val="-12"/>
        </w:rPr>
        <w:t> </w:t>
      </w:r>
      <w:r>
        <w:rPr/>
        <w:t>most</w:t>
      </w:r>
      <w:r>
        <w:rPr>
          <w:spacing w:val="-12"/>
        </w:rPr>
        <w:t> </w:t>
      </w:r>
      <w:r>
        <w:rPr/>
        <w:t>important</w:t>
      </w:r>
      <w:r>
        <w:rPr>
          <w:spacing w:val="-13"/>
        </w:rPr>
        <w:t> </w:t>
      </w:r>
      <w:r>
        <w:rPr/>
        <w:t>medicinal</w:t>
      </w:r>
      <w:r>
        <w:rPr>
          <w:spacing w:val="-10"/>
        </w:rPr>
        <w:t> </w:t>
      </w:r>
      <w:r>
        <w:rPr/>
        <w:t>herbs</w:t>
      </w:r>
      <w:r>
        <w:rPr>
          <w:spacing w:val="-12"/>
        </w:rPr>
        <w:t> </w:t>
      </w:r>
      <w:r>
        <w:rPr/>
        <w:t>within</w:t>
      </w:r>
      <w:r>
        <w:rPr>
          <w:spacing w:val="-12"/>
        </w:rPr>
        <w:t> </w:t>
      </w:r>
      <w:r>
        <w:rPr/>
        <w:t>Traditional</w:t>
      </w:r>
      <w:r>
        <w:rPr>
          <w:spacing w:val="-12"/>
        </w:rPr>
        <w:t> </w:t>
      </w:r>
      <w:r>
        <w:rPr/>
        <w:t>Chinese</w:t>
      </w:r>
      <w:r>
        <w:rPr>
          <w:spacing w:val="-12"/>
        </w:rPr>
        <w:t> </w:t>
      </w:r>
      <w:r>
        <w:rPr/>
        <w:t>Medicine</w:t>
      </w:r>
      <w:r>
        <w:rPr>
          <w:spacing w:val="-11"/>
        </w:rPr>
        <w:t> </w:t>
      </w:r>
      <w:r>
        <w:rPr/>
        <w:t>for 4,000</w:t>
      </w:r>
      <w:r>
        <w:rPr>
          <w:spacing w:val="-1"/>
        </w:rPr>
        <w:t> </w:t>
      </w:r>
      <w:r>
        <w:rPr/>
        <w:t>years.</w:t>
      </w:r>
    </w:p>
    <w:p>
      <w:pPr>
        <w:pStyle w:val="BodyText"/>
        <w:spacing w:line="276" w:lineRule="auto" w:before="240"/>
        <w:ind w:left="477" w:right="139"/>
        <w:jc w:val="both"/>
      </w:pPr>
      <w:r>
        <w:rPr/>
        <w:t>Since even water is known to be toxic above a certain amount, it is interesting to learn of the scientific data on Astragalus membranaceus.</w:t>
      </w:r>
    </w:p>
    <w:p>
      <w:pPr>
        <w:pStyle w:val="BodyText"/>
        <w:spacing w:line="276" w:lineRule="auto" w:before="240"/>
        <w:ind w:left="477" w:right="130"/>
        <w:jc w:val="both"/>
      </w:pPr>
      <w:r>
        <w:rPr/>
        <w:t>In</w:t>
      </w:r>
      <w:r>
        <w:rPr>
          <w:spacing w:val="-9"/>
        </w:rPr>
        <w:t> </w:t>
      </w:r>
      <w:r>
        <w:rPr/>
        <w:t>animal</w:t>
      </w:r>
      <w:r>
        <w:rPr>
          <w:spacing w:val="-9"/>
        </w:rPr>
        <w:t> </w:t>
      </w:r>
      <w:r>
        <w:rPr/>
        <w:t>experiments,</w:t>
      </w:r>
      <w:r>
        <w:rPr>
          <w:spacing w:val="-8"/>
        </w:rPr>
        <w:t> </w:t>
      </w:r>
      <w:r>
        <w:rPr/>
        <w:t>mice</w:t>
      </w:r>
      <w:r>
        <w:rPr>
          <w:spacing w:val="-11"/>
        </w:rPr>
        <w:t> </w:t>
      </w:r>
      <w:r>
        <w:rPr/>
        <w:t>were</w:t>
      </w:r>
      <w:r>
        <w:rPr>
          <w:spacing w:val="-9"/>
        </w:rPr>
        <w:t> </w:t>
      </w:r>
      <w:r>
        <w:rPr/>
        <w:t>given</w:t>
      </w:r>
      <w:r>
        <w:rPr>
          <w:spacing w:val="-8"/>
        </w:rPr>
        <w:t> </w:t>
      </w:r>
      <w:r>
        <w:rPr/>
        <w:t>up</w:t>
      </w:r>
      <w:r>
        <w:rPr>
          <w:spacing w:val="-11"/>
        </w:rPr>
        <w:t> </w:t>
      </w:r>
      <w:r>
        <w:rPr/>
        <w:t>to</w:t>
      </w:r>
      <w:r>
        <w:rPr>
          <w:spacing w:val="-10"/>
        </w:rPr>
        <w:t> </w:t>
      </w:r>
      <w:r>
        <w:rPr/>
        <w:t>100</w:t>
      </w:r>
      <w:r>
        <w:rPr>
          <w:spacing w:val="-10"/>
        </w:rPr>
        <w:t> </w:t>
      </w:r>
      <w:r>
        <w:rPr/>
        <w:t>grams</w:t>
      </w:r>
      <w:r>
        <w:rPr>
          <w:spacing w:val="-10"/>
        </w:rPr>
        <w:t> </w:t>
      </w:r>
      <w:r>
        <w:rPr/>
        <w:t>per</w:t>
      </w:r>
      <w:r>
        <w:rPr>
          <w:spacing w:val="-11"/>
        </w:rPr>
        <w:t> </w:t>
      </w:r>
      <w:r>
        <w:rPr/>
        <w:t>day</w:t>
      </w:r>
      <w:r>
        <w:rPr>
          <w:spacing w:val="-11"/>
        </w:rPr>
        <w:t> </w:t>
      </w:r>
      <w:r>
        <w:rPr/>
        <w:t>with</w:t>
      </w:r>
      <w:r>
        <w:rPr>
          <w:spacing w:val="-9"/>
        </w:rPr>
        <w:t> </w:t>
      </w:r>
      <w:r>
        <w:rPr/>
        <w:t>no</w:t>
      </w:r>
      <w:r>
        <w:rPr>
          <w:spacing w:val="-4"/>
        </w:rPr>
        <w:t> </w:t>
      </w:r>
      <w:r>
        <w:rPr/>
        <w:t>intox- ication occurring as a result. LD 50 (50 %, a dose that causes death) in mice is approximately</w:t>
      </w:r>
      <w:r>
        <w:rPr>
          <w:spacing w:val="-12"/>
        </w:rPr>
        <w:t> </w:t>
      </w:r>
      <w:r>
        <w:rPr/>
        <w:t>40</w:t>
      </w:r>
      <w:r>
        <w:rPr>
          <w:spacing w:val="-11"/>
        </w:rPr>
        <w:t> </w:t>
      </w:r>
      <w:r>
        <w:rPr/>
        <w:t>g</w:t>
      </w:r>
      <w:r>
        <w:rPr>
          <w:spacing w:val="-10"/>
        </w:rPr>
        <w:t> </w:t>
      </w:r>
      <w:r>
        <w:rPr/>
        <w:t>per</w:t>
      </w:r>
      <w:r>
        <w:rPr>
          <w:spacing w:val="-11"/>
        </w:rPr>
        <w:t> </w:t>
      </w:r>
      <w:r>
        <w:rPr/>
        <w:t>kg</w:t>
      </w:r>
      <w:r>
        <w:rPr>
          <w:spacing w:val="-10"/>
        </w:rPr>
        <w:t> </w:t>
      </w:r>
      <w:r>
        <w:rPr/>
        <w:t>of</w:t>
      </w:r>
      <w:r>
        <w:rPr>
          <w:spacing w:val="-11"/>
        </w:rPr>
        <w:t> </w:t>
      </w:r>
      <w:r>
        <w:rPr/>
        <w:t>body</w:t>
      </w:r>
      <w:r>
        <w:rPr>
          <w:spacing w:val="-11"/>
        </w:rPr>
        <w:t> </w:t>
      </w:r>
      <w:r>
        <w:rPr/>
        <w:t>weight</w:t>
      </w:r>
      <w:r>
        <w:rPr>
          <w:spacing w:val="-11"/>
        </w:rPr>
        <w:t> </w:t>
      </w:r>
      <w:r>
        <w:rPr/>
        <w:t>with</w:t>
      </w:r>
      <w:r>
        <w:rPr>
          <w:spacing w:val="-7"/>
        </w:rPr>
        <w:t> </w:t>
      </w:r>
      <w:r>
        <w:rPr/>
        <w:t>intraperitoneal</w:t>
      </w:r>
      <w:r>
        <w:rPr>
          <w:spacing w:val="-9"/>
        </w:rPr>
        <w:t> </w:t>
      </w:r>
      <w:r>
        <w:rPr/>
        <w:t>injection.</w:t>
      </w:r>
      <w:r>
        <w:rPr>
          <w:position w:val="9"/>
          <w:sz w:val="25"/>
        </w:rPr>
        <w:t>122</w:t>
      </w:r>
      <w:r>
        <w:rPr>
          <w:spacing w:val="32"/>
          <w:position w:val="9"/>
          <w:sz w:val="25"/>
        </w:rPr>
        <w:t> </w:t>
      </w:r>
      <w:r>
        <w:rPr/>
        <w:t>This means</w:t>
      </w:r>
      <w:r>
        <w:rPr>
          <w:spacing w:val="-6"/>
        </w:rPr>
        <w:t> </w:t>
      </w:r>
      <w:r>
        <w:rPr/>
        <w:t>a</w:t>
      </w:r>
      <w:r>
        <w:rPr>
          <w:spacing w:val="-10"/>
        </w:rPr>
        <w:t> </w:t>
      </w:r>
      <w:r>
        <w:rPr/>
        <w:t>person</w:t>
      </w:r>
      <w:r>
        <w:rPr>
          <w:spacing w:val="-9"/>
        </w:rPr>
        <w:t> </w:t>
      </w:r>
      <w:r>
        <w:rPr/>
        <w:t>with</w:t>
      </w:r>
      <w:r>
        <w:rPr>
          <w:spacing w:val="-6"/>
        </w:rPr>
        <w:t> </w:t>
      </w:r>
      <w:r>
        <w:rPr/>
        <w:t>an</w:t>
      </w:r>
      <w:r>
        <w:rPr>
          <w:spacing w:val="-7"/>
        </w:rPr>
        <w:t> </w:t>
      </w:r>
      <w:r>
        <w:rPr/>
        <w:t>average</w:t>
      </w:r>
      <w:r>
        <w:rPr>
          <w:spacing w:val="-9"/>
        </w:rPr>
        <w:t> </w:t>
      </w:r>
      <w:r>
        <w:rPr/>
        <w:t>weight</w:t>
      </w:r>
      <w:r>
        <w:rPr>
          <w:spacing w:val="-6"/>
        </w:rPr>
        <w:t> </w:t>
      </w:r>
      <w:r>
        <w:rPr/>
        <w:t>of</w:t>
      </w:r>
      <w:r>
        <w:rPr>
          <w:spacing w:val="-7"/>
        </w:rPr>
        <w:t> </w:t>
      </w:r>
      <w:r>
        <w:rPr/>
        <w:t>75</w:t>
      </w:r>
      <w:r>
        <w:rPr>
          <w:spacing w:val="-8"/>
        </w:rPr>
        <w:t> </w:t>
      </w:r>
      <w:r>
        <w:rPr/>
        <w:t>kg</w:t>
      </w:r>
      <w:r>
        <w:rPr>
          <w:spacing w:val="-11"/>
        </w:rPr>
        <w:t> </w:t>
      </w:r>
      <w:r>
        <w:rPr/>
        <w:t>would</w:t>
      </w:r>
      <w:r>
        <w:rPr>
          <w:spacing w:val="-7"/>
        </w:rPr>
        <w:t> </w:t>
      </w:r>
      <w:r>
        <w:rPr/>
        <w:t>have</w:t>
      </w:r>
      <w:r>
        <w:rPr>
          <w:spacing w:val="-7"/>
        </w:rPr>
        <w:t> </w:t>
      </w:r>
      <w:r>
        <w:rPr/>
        <w:t>to</w:t>
      </w:r>
      <w:r>
        <w:rPr>
          <w:spacing w:val="-5"/>
        </w:rPr>
        <w:t> </w:t>
      </w:r>
      <w:r>
        <w:rPr/>
        <w:t>be</w:t>
      </w:r>
      <w:r>
        <w:rPr>
          <w:spacing w:val="-7"/>
        </w:rPr>
        <w:t> </w:t>
      </w:r>
      <w:r>
        <w:rPr/>
        <w:t>injected</w:t>
      </w:r>
      <w:r>
        <w:rPr>
          <w:spacing w:val="-7"/>
        </w:rPr>
        <w:t> </w:t>
      </w:r>
      <w:r>
        <w:rPr/>
        <w:t>with</w:t>
      </w:r>
    </w:p>
    <w:p>
      <w:pPr>
        <w:pStyle w:val="BodyText"/>
        <w:rPr>
          <w:sz w:val="20"/>
        </w:rPr>
      </w:pPr>
    </w:p>
    <w:p>
      <w:pPr>
        <w:pStyle w:val="BodyText"/>
        <w:rPr>
          <w:sz w:val="20"/>
        </w:rPr>
      </w:pPr>
    </w:p>
    <w:p>
      <w:pPr>
        <w:pStyle w:val="BodyText"/>
        <w:spacing w:before="1"/>
        <w:rPr>
          <w:sz w:val="10"/>
        </w:rPr>
      </w:pPr>
      <w:r>
        <w:rPr/>
        <w:pict>
          <v:line style="position:absolute;mso-position-horizontal-relative:page;mso-position-vertical-relative:paragraph;z-index:848;mso-wrap-distance-left:0;mso-wrap-distance-right:0" from="63.863998pt,8.052485pt" to="207.883998pt,8.052485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120 </w:t>
      </w:r>
      <w:r>
        <w:rPr>
          <w:sz w:val="20"/>
        </w:rPr>
        <w:t>Peng T. et al.: The inhibitory effect of astragalus membranaceus on coxsackie B3 virus RNA replication. Chin Med Sci J 1995; 10, p. 146–150.</w:t>
      </w:r>
    </w:p>
    <w:p>
      <w:pPr>
        <w:spacing w:before="92"/>
        <w:ind w:left="477" w:right="0" w:firstLine="0"/>
        <w:jc w:val="left"/>
        <w:rPr>
          <w:sz w:val="20"/>
        </w:rPr>
      </w:pPr>
      <w:r>
        <w:rPr>
          <w:position w:val="5"/>
          <w:sz w:val="13"/>
        </w:rPr>
        <w:t>121</w:t>
      </w:r>
      <w:r>
        <w:rPr>
          <w:spacing w:val="-2"/>
          <w:position w:val="5"/>
          <w:sz w:val="13"/>
        </w:rPr>
        <w:t> </w:t>
      </w:r>
      <w:hyperlink r:id="rId56">
        <w:r>
          <w:rPr>
            <w:sz w:val="20"/>
          </w:rPr>
          <w:t>http://astragalus-astragaloside.org/2011/08/</w:t>
        </w:r>
      </w:hyperlink>
    </w:p>
    <w:p>
      <w:pPr>
        <w:spacing w:before="94"/>
        <w:ind w:left="477" w:right="0" w:firstLine="0"/>
        <w:jc w:val="left"/>
        <w:rPr>
          <w:sz w:val="20"/>
        </w:rPr>
      </w:pPr>
      <w:r>
        <w:rPr>
          <w:position w:val="5"/>
          <w:sz w:val="13"/>
        </w:rPr>
        <w:t>122</w:t>
      </w:r>
      <w:r>
        <w:rPr>
          <w:spacing w:val="-2"/>
          <w:position w:val="5"/>
          <w:sz w:val="13"/>
        </w:rPr>
        <w:t> </w:t>
      </w:r>
      <w:hyperlink r:id="rId56">
        <w:r>
          <w:rPr>
            <w:sz w:val="20"/>
          </w:rPr>
          <w:t>http://astragalus-astragaloside.org/2011/08/</w:t>
        </w:r>
      </w:hyperlink>
    </w:p>
    <w:p>
      <w:pPr>
        <w:spacing w:after="0"/>
        <w:jc w:val="left"/>
        <w:rPr>
          <w:sz w:val="20"/>
        </w:rPr>
        <w:sectPr>
          <w:footerReference w:type="default" r:id="rId55"/>
          <w:pgSz w:w="14270" w:h="16850"/>
          <w:pgMar w:footer="1891" w:header="0" w:top="1600" w:bottom="2080" w:left="800" w:right="1280"/>
          <w:pgNumType w:start="230"/>
        </w:sectPr>
      </w:pPr>
    </w:p>
    <w:p>
      <w:pPr>
        <w:pStyle w:val="BodyText"/>
        <w:spacing w:line="276" w:lineRule="auto" w:before="181"/>
        <w:ind w:left="477" w:right="144"/>
        <w:jc w:val="both"/>
      </w:pPr>
      <w:r>
        <w:rPr/>
        <w:t>3 kg of astragalus in one go to die – which is impossible from a practical point of view!</w:t>
      </w:r>
    </w:p>
    <w:p>
      <w:pPr>
        <w:pStyle w:val="Heading2"/>
        <w:spacing w:before="241"/>
        <w:jc w:val="both"/>
      </w:pPr>
      <w:r>
        <w:rPr/>
        <w:t>Recommended intake/dose of astragalus</w:t>
      </w:r>
    </w:p>
    <w:p>
      <w:pPr>
        <w:pStyle w:val="BodyText"/>
        <w:spacing w:before="305"/>
        <w:ind w:left="477"/>
        <w:jc w:val="both"/>
      </w:pPr>
      <w:r>
        <w:rPr/>
        <w:t>What is the dose or recommended intake for Astragalus membranaceus?</w:t>
      </w:r>
    </w:p>
    <w:p>
      <w:pPr>
        <w:pStyle w:val="BodyText"/>
        <w:spacing w:line="276" w:lineRule="auto" w:before="304"/>
        <w:ind w:left="477" w:right="142"/>
        <w:jc w:val="both"/>
      </w:pPr>
      <w:r>
        <w:rPr/>
        <w:t>This question can only be answered in a differentiated and partly hypothetical way, and this also requires some explanations.</w:t>
      </w:r>
    </w:p>
    <w:p>
      <w:pPr>
        <w:pStyle w:val="BodyText"/>
        <w:spacing w:line="276" w:lineRule="auto" w:before="239"/>
        <w:ind w:left="477" w:right="136"/>
        <w:jc w:val="both"/>
      </w:pPr>
      <w:r>
        <w:rPr/>
        <w:t>For the prevention of diseases and preventive strengthening of the immune system, a daily intake of 5-10 g of Astragalus membranaceus is a good amount. 10-15 g is usually used to treat illnesses; 15-20 g daily (distributed over two to three servings a day) is suitable for athletic performance enhancement.</w:t>
      </w:r>
    </w:p>
    <w:p>
      <w:pPr>
        <w:pStyle w:val="BodyText"/>
        <w:spacing w:line="276" w:lineRule="auto" w:before="242"/>
        <w:ind w:left="477" w:right="132"/>
        <w:jc w:val="both"/>
      </w:pPr>
      <w:r>
        <w:rPr/>
        <w:t>Many will associate the use of astragalus with rejuvenation or prolonging life, which makes a recommended dosage much more difficult and entirely hypo- thetical.</w:t>
      </w:r>
    </w:p>
    <w:p>
      <w:pPr>
        <w:pStyle w:val="BodyText"/>
        <w:spacing w:line="276" w:lineRule="auto" w:before="239"/>
        <w:ind w:left="477" w:right="132"/>
        <w:jc w:val="both"/>
      </w:pPr>
      <w:r>
        <w:rPr/>
        <w:t>In</w:t>
      </w:r>
      <w:r>
        <w:rPr>
          <w:spacing w:val="-7"/>
        </w:rPr>
        <w:t> </w:t>
      </w:r>
      <w:r>
        <w:rPr/>
        <w:t>fact,</w:t>
      </w:r>
      <w:r>
        <w:rPr>
          <w:spacing w:val="-8"/>
        </w:rPr>
        <w:t> </w:t>
      </w:r>
      <w:r>
        <w:rPr/>
        <w:t>in</w:t>
      </w:r>
      <w:r>
        <w:rPr>
          <w:spacing w:val="-8"/>
        </w:rPr>
        <w:t> </w:t>
      </w:r>
      <w:r>
        <w:rPr/>
        <w:t>the</w:t>
      </w:r>
      <w:r>
        <w:rPr>
          <w:spacing w:val="-8"/>
        </w:rPr>
        <w:t> </w:t>
      </w:r>
      <w:r>
        <w:rPr/>
        <w:t>case</w:t>
      </w:r>
      <w:r>
        <w:rPr>
          <w:spacing w:val="-7"/>
        </w:rPr>
        <w:t> </w:t>
      </w:r>
      <w:r>
        <w:rPr/>
        <w:t>of</w:t>
      </w:r>
      <w:r>
        <w:rPr>
          <w:spacing w:val="-8"/>
        </w:rPr>
        <w:t> </w:t>
      </w:r>
      <w:r>
        <w:rPr/>
        <w:t>astragalus,</w:t>
      </w:r>
      <w:r>
        <w:rPr>
          <w:spacing w:val="-9"/>
        </w:rPr>
        <w:t> </w:t>
      </w:r>
      <w:r>
        <w:rPr/>
        <w:t>we</w:t>
      </w:r>
      <w:r>
        <w:rPr>
          <w:spacing w:val="-7"/>
        </w:rPr>
        <w:t> </w:t>
      </w:r>
      <w:r>
        <w:rPr/>
        <w:t>have</w:t>
      </w:r>
      <w:r>
        <w:rPr>
          <w:spacing w:val="-8"/>
        </w:rPr>
        <w:t> </w:t>
      </w:r>
      <w:r>
        <w:rPr/>
        <w:t>one</w:t>
      </w:r>
      <w:r>
        <w:rPr>
          <w:spacing w:val="-8"/>
        </w:rPr>
        <w:t> </w:t>
      </w:r>
      <w:r>
        <w:rPr/>
        <w:t>of</w:t>
      </w:r>
      <w:r>
        <w:rPr>
          <w:spacing w:val="-10"/>
        </w:rPr>
        <w:t> </w:t>
      </w:r>
      <w:r>
        <w:rPr/>
        <w:t>the</w:t>
      </w:r>
      <w:r>
        <w:rPr>
          <w:spacing w:val="-6"/>
        </w:rPr>
        <w:t> </w:t>
      </w:r>
      <w:r>
        <w:rPr/>
        <w:t>most</w:t>
      </w:r>
      <w:r>
        <w:rPr>
          <w:spacing w:val="-10"/>
        </w:rPr>
        <w:t> </w:t>
      </w:r>
      <w:r>
        <w:rPr/>
        <w:t>promising</w:t>
      </w:r>
      <w:r>
        <w:rPr>
          <w:spacing w:val="-7"/>
        </w:rPr>
        <w:t> </w:t>
      </w:r>
      <w:r>
        <w:rPr/>
        <w:t>nutritional supplements of our time, a natural substance that, according to studies, can</w:t>
      </w:r>
      <w:r>
        <w:rPr>
          <w:spacing w:val="-45"/>
        </w:rPr>
        <w:t> </w:t>
      </w:r>
      <w:r>
        <w:rPr/>
        <w:t>ex- tend life by many years and even</w:t>
      </w:r>
      <w:r>
        <w:rPr>
          <w:spacing w:val="4"/>
        </w:rPr>
        <w:t> </w:t>
      </w:r>
      <w:r>
        <w:rPr/>
        <w:t>decades!</w:t>
      </w:r>
    </w:p>
    <w:p>
      <w:pPr>
        <w:pStyle w:val="BodyText"/>
        <w:spacing w:line="276" w:lineRule="auto" w:before="241"/>
        <w:ind w:left="477" w:right="131"/>
        <w:jc w:val="both"/>
      </w:pPr>
      <w:r>
        <w:rPr/>
        <w:t>One must first become aware of the importance of research on the telomerase function, which led to the Nobel Prize in Medicine in 2009 and subsequently found Astragalus membranaceus to be a telomerase activator. This has led to a</w:t>
      </w:r>
    </w:p>
    <w:p>
      <w:pPr>
        <w:spacing w:after="0" w:line="276" w:lineRule="auto"/>
        <w:jc w:val="both"/>
        <w:sectPr>
          <w:pgSz w:w="14270" w:h="16850"/>
          <w:pgMar w:header="0" w:footer="1891" w:top="1600" w:bottom="2080" w:left="800" w:right="1280"/>
        </w:sectPr>
      </w:pPr>
    </w:p>
    <w:p>
      <w:pPr>
        <w:pStyle w:val="BodyText"/>
        <w:spacing w:line="276" w:lineRule="auto" w:before="181"/>
        <w:ind w:left="477" w:right="131"/>
        <w:jc w:val="both"/>
      </w:pPr>
      <w:r>
        <w:rPr/>
        <w:t>completely new era in gerontology. While gerontologists were previously re- searching agents that delay ageing, with astragalus, they have, for the first time, discovered</w:t>
      </w:r>
      <w:r>
        <w:rPr>
          <w:spacing w:val="-11"/>
        </w:rPr>
        <w:t> </w:t>
      </w:r>
      <w:r>
        <w:rPr/>
        <w:t>a</w:t>
      </w:r>
      <w:r>
        <w:rPr>
          <w:spacing w:val="-10"/>
        </w:rPr>
        <w:t> </w:t>
      </w:r>
      <w:r>
        <w:rPr/>
        <w:t>substance</w:t>
      </w:r>
      <w:r>
        <w:rPr>
          <w:spacing w:val="-9"/>
        </w:rPr>
        <w:t> </w:t>
      </w:r>
      <w:r>
        <w:rPr/>
        <w:t>that</w:t>
      </w:r>
      <w:r>
        <w:rPr>
          <w:spacing w:val="-10"/>
        </w:rPr>
        <w:t> </w:t>
      </w:r>
      <w:r>
        <w:rPr/>
        <w:t>not</w:t>
      </w:r>
      <w:r>
        <w:rPr>
          <w:spacing w:val="-10"/>
        </w:rPr>
        <w:t> </w:t>
      </w:r>
      <w:r>
        <w:rPr/>
        <w:t>only</w:t>
      </w:r>
      <w:r>
        <w:rPr>
          <w:spacing w:val="-10"/>
        </w:rPr>
        <w:t> </w:t>
      </w:r>
      <w:r>
        <w:rPr/>
        <w:t>slows</w:t>
      </w:r>
      <w:r>
        <w:rPr>
          <w:spacing w:val="-9"/>
        </w:rPr>
        <w:t> </w:t>
      </w:r>
      <w:r>
        <w:rPr/>
        <w:t>ageing</w:t>
      </w:r>
      <w:r>
        <w:rPr>
          <w:spacing w:val="-7"/>
        </w:rPr>
        <w:t> </w:t>
      </w:r>
      <w:r>
        <w:rPr/>
        <w:t>by</w:t>
      </w:r>
      <w:r>
        <w:rPr>
          <w:spacing w:val="-10"/>
        </w:rPr>
        <w:t> </w:t>
      </w:r>
      <w:r>
        <w:rPr/>
        <w:t>affecting</w:t>
      </w:r>
      <w:r>
        <w:rPr>
          <w:spacing w:val="-9"/>
        </w:rPr>
        <w:t> </w:t>
      </w:r>
      <w:r>
        <w:rPr/>
        <w:t>telomeres,</w:t>
      </w:r>
      <w:r>
        <w:rPr>
          <w:spacing w:val="-8"/>
        </w:rPr>
        <w:t> </w:t>
      </w:r>
      <w:r>
        <w:rPr/>
        <w:t>but</w:t>
      </w:r>
      <w:r>
        <w:rPr>
          <w:spacing w:val="-5"/>
        </w:rPr>
        <w:t> </w:t>
      </w:r>
      <w:r>
        <w:rPr/>
        <w:t>at the same time brings about a real rejuvenation – a completely new direction within gerontology. The term ‘re-ageing’ was</w:t>
      </w:r>
      <w:r>
        <w:rPr>
          <w:spacing w:val="3"/>
        </w:rPr>
        <w:t> </w:t>
      </w:r>
      <w:r>
        <w:rPr/>
        <w:t>born!</w:t>
      </w:r>
    </w:p>
    <w:p>
      <w:pPr>
        <w:pStyle w:val="BodyText"/>
        <w:spacing w:line="276" w:lineRule="auto" w:before="240"/>
        <w:ind w:left="477" w:right="134"/>
        <w:jc w:val="both"/>
      </w:pPr>
      <w:r>
        <w:rPr/>
        <w:t>On</w:t>
      </w:r>
      <w:r>
        <w:rPr>
          <w:spacing w:val="-5"/>
        </w:rPr>
        <w:t> </w:t>
      </w:r>
      <w:r>
        <w:rPr/>
        <w:t>the</w:t>
      </w:r>
      <w:r>
        <w:rPr>
          <w:spacing w:val="-6"/>
        </w:rPr>
        <w:t> </w:t>
      </w:r>
      <w:r>
        <w:rPr/>
        <w:t>other</w:t>
      </w:r>
      <w:r>
        <w:rPr>
          <w:spacing w:val="-6"/>
        </w:rPr>
        <w:t> </w:t>
      </w:r>
      <w:r>
        <w:rPr/>
        <w:t>hand,</w:t>
      </w:r>
      <w:r>
        <w:rPr>
          <w:spacing w:val="-2"/>
        </w:rPr>
        <w:t> </w:t>
      </w:r>
      <w:r>
        <w:rPr/>
        <w:t>these</w:t>
      </w:r>
      <w:r>
        <w:rPr>
          <w:spacing w:val="-6"/>
        </w:rPr>
        <w:t> </w:t>
      </w:r>
      <w:r>
        <w:rPr/>
        <w:t>aspects</w:t>
      </w:r>
      <w:r>
        <w:rPr>
          <w:spacing w:val="-3"/>
        </w:rPr>
        <w:t> </w:t>
      </w:r>
      <w:r>
        <w:rPr/>
        <w:t>are</w:t>
      </w:r>
      <w:r>
        <w:rPr>
          <w:spacing w:val="-6"/>
        </w:rPr>
        <w:t> </w:t>
      </w:r>
      <w:r>
        <w:rPr/>
        <w:t>so</w:t>
      </w:r>
      <w:r>
        <w:rPr>
          <w:spacing w:val="-5"/>
        </w:rPr>
        <w:t> </w:t>
      </w:r>
      <w:r>
        <w:rPr/>
        <w:t>new</w:t>
      </w:r>
      <w:r>
        <w:rPr>
          <w:spacing w:val="-5"/>
        </w:rPr>
        <w:t> </w:t>
      </w:r>
      <w:r>
        <w:rPr/>
        <w:t>that</w:t>
      </w:r>
      <w:r>
        <w:rPr>
          <w:spacing w:val="-4"/>
        </w:rPr>
        <w:t> </w:t>
      </w:r>
      <w:r>
        <w:rPr/>
        <w:t>science,</w:t>
      </w:r>
      <w:r>
        <w:rPr>
          <w:spacing w:val="-5"/>
        </w:rPr>
        <w:t> </w:t>
      </w:r>
      <w:r>
        <w:rPr/>
        <w:t>despite</w:t>
      </w:r>
      <w:r>
        <w:rPr>
          <w:spacing w:val="-8"/>
        </w:rPr>
        <w:t> </w:t>
      </w:r>
      <w:r>
        <w:rPr/>
        <w:t>its</w:t>
      </w:r>
      <w:r>
        <w:rPr>
          <w:spacing w:val="-4"/>
        </w:rPr>
        <w:t> </w:t>
      </w:r>
      <w:r>
        <w:rPr/>
        <w:t>best</w:t>
      </w:r>
      <w:r>
        <w:rPr>
          <w:spacing w:val="-7"/>
        </w:rPr>
        <w:t> </w:t>
      </w:r>
      <w:r>
        <w:rPr/>
        <w:t>inten- tions, is not able to provide verified facts with regard to a recommended dose, let alone a reliable intake regimen for the purpose of</w:t>
      </w:r>
      <w:r>
        <w:rPr>
          <w:spacing w:val="-18"/>
        </w:rPr>
        <w:t> </w:t>
      </w:r>
      <w:r>
        <w:rPr/>
        <w:t>re-ageing/anti-ageing.</w:t>
      </w:r>
    </w:p>
    <w:p>
      <w:pPr>
        <w:pStyle w:val="BodyText"/>
        <w:spacing w:line="276" w:lineRule="auto" w:before="242"/>
        <w:ind w:left="477" w:right="133"/>
        <w:jc w:val="both"/>
        <w:rPr>
          <w:sz w:val="25"/>
        </w:rPr>
      </w:pPr>
      <w:r>
        <w:rPr/>
        <w:t>Astragalus re-ageing studies are based on the isolated ingredients ‘astragaloside IV’</w:t>
      </w:r>
      <w:r>
        <w:rPr>
          <w:spacing w:val="-20"/>
        </w:rPr>
        <w:t> </w:t>
      </w:r>
      <w:r>
        <w:rPr/>
        <w:t>and</w:t>
      </w:r>
      <w:r>
        <w:rPr>
          <w:spacing w:val="-21"/>
        </w:rPr>
        <w:t> </w:t>
      </w:r>
      <w:r>
        <w:rPr/>
        <w:t>‘TA-65’.</w:t>
      </w:r>
      <w:r>
        <w:rPr>
          <w:spacing w:val="-20"/>
        </w:rPr>
        <w:t> </w:t>
      </w:r>
      <w:r>
        <w:rPr/>
        <w:t>According</w:t>
      </w:r>
      <w:r>
        <w:rPr>
          <w:spacing w:val="-21"/>
        </w:rPr>
        <w:t> </w:t>
      </w:r>
      <w:r>
        <w:rPr/>
        <w:t>to</w:t>
      </w:r>
      <w:r>
        <w:rPr>
          <w:spacing w:val="-20"/>
        </w:rPr>
        <w:t> </w:t>
      </w:r>
      <w:r>
        <w:rPr/>
        <w:t>various</w:t>
      </w:r>
      <w:r>
        <w:rPr>
          <w:spacing w:val="-21"/>
        </w:rPr>
        <w:t> </w:t>
      </w:r>
      <w:r>
        <w:rPr/>
        <w:t>pieces</w:t>
      </w:r>
      <w:r>
        <w:rPr>
          <w:spacing w:val="-20"/>
        </w:rPr>
        <w:t> </w:t>
      </w:r>
      <w:r>
        <w:rPr/>
        <w:t>of</w:t>
      </w:r>
      <w:r>
        <w:rPr>
          <w:spacing w:val="-21"/>
        </w:rPr>
        <w:t> </w:t>
      </w:r>
      <w:r>
        <w:rPr/>
        <w:t>information,</w:t>
      </w:r>
      <w:r>
        <w:rPr>
          <w:spacing w:val="-20"/>
        </w:rPr>
        <w:t> </w:t>
      </w:r>
      <w:r>
        <w:rPr/>
        <w:t>100</w:t>
      </w:r>
      <w:r>
        <w:rPr>
          <w:spacing w:val="-23"/>
        </w:rPr>
        <w:t> </w:t>
      </w:r>
      <w:r>
        <w:rPr/>
        <w:t>g</w:t>
      </w:r>
      <w:r>
        <w:rPr>
          <w:spacing w:val="-21"/>
        </w:rPr>
        <w:t> </w:t>
      </w:r>
      <w:r>
        <w:rPr/>
        <w:t>of</w:t>
      </w:r>
      <w:r>
        <w:rPr>
          <w:spacing w:val="-21"/>
        </w:rPr>
        <w:t> </w:t>
      </w:r>
      <w:r>
        <w:rPr/>
        <w:t>astragalus root</w:t>
      </w:r>
      <w:r>
        <w:rPr>
          <w:spacing w:val="-15"/>
        </w:rPr>
        <w:t> </w:t>
      </w:r>
      <w:r>
        <w:rPr/>
        <w:t>contains</w:t>
      </w:r>
      <w:r>
        <w:rPr>
          <w:spacing w:val="-15"/>
        </w:rPr>
        <w:t> </w:t>
      </w:r>
      <w:r>
        <w:rPr/>
        <w:t>28</w:t>
      </w:r>
      <w:r>
        <w:rPr>
          <w:spacing w:val="-15"/>
        </w:rPr>
        <w:t> </w:t>
      </w:r>
      <w:r>
        <w:rPr/>
        <w:t>mg</w:t>
      </w:r>
      <w:r>
        <w:rPr>
          <w:spacing w:val="-14"/>
        </w:rPr>
        <w:t> </w:t>
      </w:r>
      <w:r>
        <w:rPr/>
        <w:t>of</w:t>
      </w:r>
      <w:r>
        <w:rPr>
          <w:spacing w:val="-16"/>
        </w:rPr>
        <w:t> </w:t>
      </w:r>
      <w:r>
        <w:rPr/>
        <w:t>astragaloside.</w:t>
      </w:r>
      <w:r>
        <w:rPr>
          <w:spacing w:val="-13"/>
        </w:rPr>
        <w:t> </w:t>
      </w:r>
      <w:r>
        <w:rPr/>
        <w:t>If</w:t>
      </w:r>
      <w:r>
        <w:rPr>
          <w:spacing w:val="-14"/>
        </w:rPr>
        <w:t> </w:t>
      </w:r>
      <w:r>
        <w:rPr/>
        <w:t>you</w:t>
      </w:r>
      <w:r>
        <w:rPr>
          <w:spacing w:val="-15"/>
        </w:rPr>
        <w:t> </w:t>
      </w:r>
      <w:r>
        <w:rPr/>
        <w:t>want</w:t>
      </w:r>
      <w:r>
        <w:rPr>
          <w:spacing w:val="-16"/>
        </w:rPr>
        <w:t> </w:t>
      </w:r>
      <w:r>
        <w:rPr/>
        <w:t>to</w:t>
      </w:r>
      <w:r>
        <w:rPr>
          <w:spacing w:val="-14"/>
        </w:rPr>
        <w:t> </w:t>
      </w:r>
      <w:r>
        <w:rPr/>
        <w:t>get</w:t>
      </w:r>
      <w:r>
        <w:rPr>
          <w:spacing w:val="-16"/>
        </w:rPr>
        <w:t> </w:t>
      </w:r>
      <w:r>
        <w:rPr/>
        <w:t>the</w:t>
      </w:r>
      <w:r>
        <w:rPr>
          <w:spacing w:val="-15"/>
        </w:rPr>
        <w:t> </w:t>
      </w:r>
      <w:r>
        <w:rPr/>
        <w:t>recommended</w:t>
      </w:r>
      <w:r>
        <w:rPr>
          <w:spacing w:val="-14"/>
        </w:rPr>
        <w:t> </w:t>
      </w:r>
      <w:r>
        <w:rPr/>
        <w:t>5</w:t>
      </w:r>
      <w:r>
        <w:rPr>
          <w:spacing w:val="-14"/>
        </w:rPr>
        <w:t> </w:t>
      </w:r>
      <w:r>
        <w:rPr/>
        <w:t>mg astragaloside per day, you have to eat 17 g of astragalus root every</w:t>
      </w:r>
      <w:r>
        <w:rPr>
          <w:spacing w:val="-12"/>
        </w:rPr>
        <w:t> </w:t>
      </w:r>
      <w:r>
        <w:rPr/>
        <w:t>day.</w:t>
      </w:r>
      <w:r>
        <w:rPr>
          <w:position w:val="9"/>
          <w:sz w:val="25"/>
        </w:rPr>
        <w:t>123</w:t>
      </w:r>
    </w:p>
    <w:p>
      <w:pPr>
        <w:pStyle w:val="BodyText"/>
        <w:spacing w:line="276" w:lineRule="auto" w:before="239"/>
        <w:ind w:left="477" w:right="137"/>
        <w:jc w:val="both"/>
      </w:pPr>
      <w:r>
        <w:rPr/>
        <w:t>Experience has shown with almost all organic sources that the </w:t>
      </w:r>
      <w:r>
        <w:rPr>
          <w:u w:val="single"/>
        </w:rPr>
        <w:t>entire</w:t>
      </w:r>
      <w:r>
        <w:rPr/>
        <w:t> fruit, mushroom or root, in the interaction of </w:t>
      </w:r>
      <w:r>
        <w:rPr>
          <w:u w:val="single"/>
        </w:rPr>
        <w:t>ALL</w:t>
      </w:r>
      <w:r>
        <w:rPr/>
        <w:t> of its ingredients, intensifies the desired effect of the ingredients isolated from it, often exponentially.</w:t>
      </w:r>
    </w:p>
    <w:p>
      <w:pPr>
        <w:pStyle w:val="BodyText"/>
        <w:spacing w:line="276" w:lineRule="auto" w:before="241"/>
        <w:ind w:left="477" w:right="133"/>
        <w:jc w:val="both"/>
      </w:pPr>
      <w:r>
        <w:rPr/>
        <w:t>According to recent studies on the bioavailability of astragalosides IV</w:t>
      </w:r>
      <w:r>
        <w:rPr>
          <w:position w:val="9"/>
          <w:sz w:val="25"/>
        </w:rPr>
        <w:t>124</w:t>
      </w:r>
      <w:r>
        <w:rPr/>
        <w:t>, this is significantly increased by the intake of Astragalus membranaceus as a whole (tragacanth powder), which indicates the need for about 15-30 grams of</w:t>
      </w:r>
      <w:r>
        <w:rPr>
          <w:spacing w:val="-67"/>
        </w:rPr>
        <w:t> </w:t>
      </w:r>
      <w:r>
        <w:rPr/>
        <w:t>astrag- alus powder per day.</w:t>
      </w:r>
    </w:p>
    <w:p>
      <w:pPr>
        <w:pStyle w:val="BodyText"/>
        <w:spacing w:before="240"/>
        <w:ind w:left="477"/>
        <w:jc w:val="both"/>
      </w:pPr>
      <w:r>
        <w:rPr/>
        <w:t>In addition, more and more suppliers of astragalus IV will limit the duration of</w:t>
      </w:r>
    </w:p>
    <w:p>
      <w:pPr>
        <w:pStyle w:val="BodyText"/>
        <w:spacing w:before="5"/>
        <w:rPr>
          <w:sz w:val="27"/>
        </w:rPr>
      </w:pPr>
      <w:r>
        <w:rPr/>
        <w:pict>
          <v:line style="position:absolute;mso-position-horizontal-relative:page;mso-position-vertical-relative:paragraph;z-index:872;mso-wrap-distance-left:0;mso-wrap-distance-right:0" from="63.863998pt,17.811266pt" to="207.883998pt,17.811266pt" stroked="true" strokeweight=".71997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123 </w:t>
      </w:r>
      <w:hyperlink r:id="rId58">
        <w:r>
          <w:rPr>
            <w:sz w:val="20"/>
          </w:rPr>
          <w:t>http://slightimmortality.blogspot.de/</w:t>
        </w:r>
      </w:hyperlink>
    </w:p>
    <w:p>
      <w:pPr>
        <w:spacing w:before="94"/>
        <w:ind w:left="477" w:right="0" w:firstLine="0"/>
        <w:jc w:val="left"/>
        <w:rPr>
          <w:sz w:val="20"/>
        </w:rPr>
      </w:pPr>
      <w:r>
        <w:rPr>
          <w:position w:val="5"/>
          <w:sz w:val="13"/>
        </w:rPr>
        <w:t>124 </w:t>
      </w:r>
      <w:r>
        <w:rPr>
          <w:sz w:val="20"/>
        </w:rPr>
        <w:t>Transport and Bioavailability Studies of Astragaloside IV, an Active Ingredient in Radix Astragali; Yongchuan Gu1, Guangji Wang1, Guoyu Pan1,</w:t>
      </w:r>
    </w:p>
    <w:p>
      <w:pPr>
        <w:spacing w:before="35"/>
        <w:ind w:left="477" w:right="0" w:firstLine="0"/>
        <w:jc w:val="left"/>
        <w:rPr>
          <w:sz w:val="20"/>
        </w:rPr>
      </w:pPr>
      <w:r>
        <w:rPr/>
        <w:drawing>
          <wp:anchor distT="0" distB="0" distL="0" distR="0" allowOverlap="1" layoutInCell="1" locked="0" behindDoc="1" simplePos="0" relativeHeight="267168671">
            <wp:simplePos x="0" y="0"/>
            <wp:positionH relativeFrom="page">
              <wp:posOffset>896463</wp:posOffset>
            </wp:positionH>
            <wp:positionV relativeFrom="paragraph">
              <wp:posOffset>104497</wp:posOffset>
            </wp:positionV>
            <wp:extent cx="6379583" cy="902106"/>
            <wp:effectExtent l="0" t="0" r="0" b="0"/>
            <wp:wrapNone/>
            <wp:docPr id="75" name="image2.jpeg" descr=""/>
            <wp:cNvGraphicFramePr>
              <a:graphicFrameLocks noChangeAspect="1"/>
            </wp:cNvGraphicFramePr>
            <a:graphic>
              <a:graphicData uri="http://schemas.openxmlformats.org/drawingml/2006/picture">
                <pic:pic>
                  <pic:nvPicPr>
                    <pic:cNvPr id="76" name="image2.jpeg"/>
                    <pic:cNvPicPr/>
                  </pic:nvPicPr>
                  <pic:blipFill>
                    <a:blip r:embed="rId21" cstate="print"/>
                    <a:stretch>
                      <a:fillRect/>
                    </a:stretch>
                  </pic:blipFill>
                  <pic:spPr>
                    <a:xfrm>
                      <a:off x="0" y="0"/>
                      <a:ext cx="6379583" cy="902106"/>
                    </a:xfrm>
                    <a:prstGeom prst="rect">
                      <a:avLst/>
                    </a:prstGeom>
                  </pic:spPr>
                </pic:pic>
              </a:graphicData>
            </a:graphic>
          </wp:anchor>
        </w:drawing>
      </w:r>
      <w:r>
        <w:rPr>
          <w:sz w:val="20"/>
        </w:rPr>
        <w:t>J. Paul Fawcett2,*, Jiye A.1, Jianguo Sun1Article first published online: 29 NOV 2004 DOI: 10.1111/j.1742–7843.2004.t01-1-pto950508.x</w:t>
      </w:r>
    </w:p>
    <w:p>
      <w:pPr>
        <w:spacing w:after="0"/>
        <w:jc w:val="left"/>
        <w:rPr>
          <w:sz w:val="20"/>
        </w:rPr>
        <w:sectPr>
          <w:footerReference w:type="default" r:id="rId57"/>
          <w:pgSz w:w="14270" w:h="16850"/>
          <w:pgMar w:footer="527" w:header="0" w:top="1600" w:bottom="720" w:left="800" w:right="1280"/>
          <w:pgNumType w:start="232"/>
        </w:sectPr>
      </w:pPr>
    </w:p>
    <w:p>
      <w:pPr>
        <w:pStyle w:val="BodyText"/>
        <w:spacing w:line="276" w:lineRule="auto" w:before="181"/>
        <w:ind w:left="477" w:right="131"/>
        <w:jc w:val="both"/>
      </w:pPr>
      <w:r>
        <w:rPr/>
        <w:t>its use in their intake recommendation to a maximum of one year - which is certainly related to the question which is still looming: What happens if you activate your telomerase too much, too quickly?</w:t>
      </w:r>
    </w:p>
    <w:p>
      <w:pPr>
        <w:pStyle w:val="BodyText"/>
        <w:spacing w:line="276" w:lineRule="auto" w:before="242"/>
        <w:ind w:left="477" w:right="132"/>
        <w:jc w:val="both"/>
      </w:pPr>
      <w:r>
        <w:rPr/>
        <w:t>It should not be forgotten that in contrast to the very new astragalus-isolated ingredient astragalus IV or TA-65, Astragalus membranaceus has more than 4,000 years of long-term exposure to millions of people – with no significant side effects!</w:t>
      </w:r>
    </w:p>
    <w:p>
      <w:pPr>
        <w:pStyle w:val="BodyText"/>
        <w:spacing w:line="276" w:lineRule="auto" w:before="239"/>
        <w:ind w:left="477" w:right="132"/>
        <w:jc w:val="both"/>
      </w:pPr>
      <w:r>
        <w:rPr/>
        <w:t>Given the scarcity of the data at hand, it is at the discretion of each individual to decide for themselves whether to proceed ‘at full throttle’ or ‘with caution’. Those</w:t>
      </w:r>
      <w:r>
        <w:rPr>
          <w:spacing w:val="-23"/>
        </w:rPr>
        <w:t> </w:t>
      </w:r>
      <w:r>
        <w:rPr/>
        <w:t>who</w:t>
      </w:r>
      <w:r>
        <w:rPr>
          <w:spacing w:val="-22"/>
        </w:rPr>
        <w:t> </w:t>
      </w:r>
      <w:r>
        <w:rPr/>
        <w:t>have</w:t>
      </w:r>
      <w:r>
        <w:rPr>
          <w:spacing w:val="-25"/>
        </w:rPr>
        <w:t> </w:t>
      </w:r>
      <w:r>
        <w:rPr/>
        <w:t>no</w:t>
      </w:r>
      <w:r>
        <w:rPr>
          <w:spacing w:val="-23"/>
        </w:rPr>
        <w:t> </w:t>
      </w:r>
      <w:r>
        <w:rPr/>
        <w:t>time</w:t>
      </w:r>
      <w:r>
        <w:rPr>
          <w:spacing w:val="-23"/>
        </w:rPr>
        <w:t> </w:t>
      </w:r>
      <w:r>
        <w:rPr/>
        <w:t>to</w:t>
      </w:r>
      <w:r>
        <w:rPr>
          <w:spacing w:val="-25"/>
        </w:rPr>
        <w:t> </w:t>
      </w:r>
      <w:r>
        <w:rPr/>
        <w:t>lose</w:t>
      </w:r>
      <w:r>
        <w:rPr>
          <w:spacing w:val="-26"/>
        </w:rPr>
        <w:t> </w:t>
      </w:r>
      <w:r>
        <w:rPr/>
        <w:t>and</w:t>
      </w:r>
      <w:r>
        <w:rPr>
          <w:spacing w:val="-23"/>
        </w:rPr>
        <w:t> </w:t>
      </w:r>
      <w:r>
        <w:rPr/>
        <w:t>are</w:t>
      </w:r>
      <w:r>
        <w:rPr>
          <w:spacing w:val="-23"/>
        </w:rPr>
        <w:t> </w:t>
      </w:r>
      <w:r>
        <w:rPr/>
        <w:t>willing</w:t>
      </w:r>
      <w:r>
        <w:rPr>
          <w:spacing w:val="-23"/>
        </w:rPr>
        <w:t> </w:t>
      </w:r>
      <w:r>
        <w:rPr/>
        <w:t>to</w:t>
      </w:r>
      <w:r>
        <w:rPr>
          <w:spacing w:val="-24"/>
        </w:rPr>
        <w:t> </w:t>
      </w:r>
      <w:r>
        <w:rPr/>
        <w:t>take</w:t>
      </w:r>
      <w:r>
        <w:rPr>
          <w:spacing w:val="-24"/>
        </w:rPr>
        <w:t> </w:t>
      </w:r>
      <w:r>
        <w:rPr/>
        <w:t>risks</w:t>
      </w:r>
      <w:r>
        <w:rPr>
          <w:spacing w:val="-23"/>
        </w:rPr>
        <w:t> </w:t>
      </w:r>
      <w:r>
        <w:rPr/>
        <w:t>will</w:t>
      </w:r>
      <w:r>
        <w:rPr>
          <w:spacing w:val="-24"/>
        </w:rPr>
        <w:t> </w:t>
      </w:r>
      <w:r>
        <w:rPr/>
        <w:t>certainly</w:t>
      </w:r>
      <w:r>
        <w:rPr>
          <w:spacing w:val="-23"/>
        </w:rPr>
        <w:t> </w:t>
      </w:r>
      <w:r>
        <w:rPr/>
        <w:t>choose astragaloside IV and TA-65 in higher doses. Everyone else (people in their 40s or</w:t>
      </w:r>
      <w:r>
        <w:rPr>
          <w:spacing w:val="-8"/>
        </w:rPr>
        <w:t> </w:t>
      </w:r>
      <w:r>
        <w:rPr/>
        <w:t>50s)</w:t>
      </w:r>
      <w:r>
        <w:rPr>
          <w:spacing w:val="-12"/>
        </w:rPr>
        <w:t> </w:t>
      </w:r>
      <w:r>
        <w:rPr/>
        <w:t>may</w:t>
      </w:r>
      <w:r>
        <w:rPr>
          <w:spacing w:val="-8"/>
        </w:rPr>
        <w:t> </w:t>
      </w:r>
      <w:r>
        <w:rPr/>
        <w:t>be</w:t>
      </w:r>
      <w:r>
        <w:rPr>
          <w:spacing w:val="-11"/>
        </w:rPr>
        <w:t> </w:t>
      </w:r>
      <w:r>
        <w:rPr/>
        <w:t>better</w:t>
      </w:r>
      <w:r>
        <w:rPr>
          <w:spacing w:val="-9"/>
        </w:rPr>
        <w:t> </w:t>
      </w:r>
      <w:r>
        <w:rPr/>
        <w:t>advised</w:t>
      </w:r>
      <w:r>
        <w:rPr>
          <w:spacing w:val="-9"/>
        </w:rPr>
        <w:t> </w:t>
      </w:r>
      <w:r>
        <w:rPr/>
        <w:t>to</w:t>
      </w:r>
      <w:r>
        <w:rPr>
          <w:spacing w:val="-14"/>
        </w:rPr>
        <w:t> </w:t>
      </w:r>
      <w:r>
        <w:rPr/>
        <w:t>use</w:t>
      </w:r>
      <w:r>
        <w:rPr>
          <w:spacing w:val="-9"/>
        </w:rPr>
        <w:t> </w:t>
      </w:r>
      <w:r>
        <w:rPr/>
        <w:t>a</w:t>
      </w:r>
      <w:r>
        <w:rPr>
          <w:spacing w:val="-10"/>
        </w:rPr>
        <w:t> </w:t>
      </w:r>
      <w:r>
        <w:rPr/>
        <w:t>maximum</w:t>
      </w:r>
      <w:r>
        <w:rPr>
          <w:spacing w:val="-10"/>
        </w:rPr>
        <w:t> </w:t>
      </w:r>
      <w:r>
        <w:rPr/>
        <w:t>dose</w:t>
      </w:r>
      <w:r>
        <w:rPr>
          <w:spacing w:val="-8"/>
        </w:rPr>
        <w:t> </w:t>
      </w:r>
      <w:r>
        <w:rPr/>
        <w:t>of</w:t>
      </w:r>
      <w:r>
        <w:rPr>
          <w:spacing w:val="-11"/>
        </w:rPr>
        <w:t> </w:t>
      </w:r>
      <w:r>
        <w:rPr/>
        <w:t>15-30</w:t>
      </w:r>
      <w:r>
        <w:rPr>
          <w:spacing w:val="-10"/>
        </w:rPr>
        <w:t> </w:t>
      </w:r>
      <w:r>
        <w:rPr/>
        <w:t>grams</w:t>
      </w:r>
      <w:r>
        <w:rPr>
          <w:spacing w:val="-8"/>
        </w:rPr>
        <w:t> </w:t>
      </w:r>
      <w:r>
        <w:rPr/>
        <w:t>of</w:t>
      </w:r>
      <w:r>
        <w:rPr>
          <w:spacing w:val="-11"/>
        </w:rPr>
        <w:t> </w:t>
      </w:r>
      <w:r>
        <w:rPr/>
        <w:t>astrag- alus powder (equivalent to the actual intake of approximately 50-100 mg astragaloside IV) to prevent telomere shortening or slowly lengthen the telo- meres.</w:t>
      </w:r>
    </w:p>
    <w:p>
      <w:pPr>
        <w:pStyle w:val="Heading1"/>
        <w:jc w:val="both"/>
      </w:pPr>
      <w:r>
        <w:rPr/>
        <w:t>Chitosan increases the bioavailability of</w:t>
      </w:r>
      <w:r>
        <w:rPr>
          <w:spacing w:val="-75"/>
        </w:rPr>
        <w:t> </w:t>
      </w:r>
      <w:r>
        <w:rPr/>
        <w:t>astragalus</w:t>
      </w:r>
    </w:p>
    <w:p>
      <w:pPr>
        <w:pStyle w:val="BodyText"/>
        <w:spacing w:line="276" w:lineRule="auto" w:before="299"/>
        <w:ind w:left="477" w:right="139"/>
        <w:jc w:val="both"/>
      </w:pPr>
      <w:r>
        <w:rPr/>
        <w:t>Research has shown that the bioavailability of astragalus increases when chi- tosan is taken at the same time. It is therefore advisable to consume additional chitosan, especially if you only use astragaloside IV or TA-65.</w:t>
      </w:r>
    </w:p>
    <w:p>
      <w:pPr>
        <w:spacing w:after="0" w:line="276" w:lineRule="auto"/>
        <w:jc w:val="both"/>
        <w:sectPr>
          <w:footerReference w:type="default" r:id="rId59"/>
          <w:pgSz w:w="14270" w:h="16850"/>
          <w:pgMar w:footer="1891" w:header="0" w:top="1600" w:bottom="2080" w:left="800" w:right="1280"/>
          <w:pgNumType w:start="233"/>
        </w:sectPr>
      </w:pPr>
    </w:p>
    <w:p>
      <w:pPr>
        <w:pStyle w:val="Heading1"/>
        <w:spacing w:before="164"/>
      </w:pPr>
      <w:r>
        <w:rPr/>
        <w:t>Should you avoid supposed telomerase inhibitors?</w:t>
      </w:r>
    </w:p>
    <w:p>
      <w:pPr>
        <w:pStyle w:val="BodyText"/>
        <w:spacing w:line="276" w:lineRule="auto" w:before="299"/>
        <w:ind w:left="477"/>
      </w:pPr>
      <w:r>
        <w:rPr/>
        <w:t>Some polyphenols found in plants are suspected to inhibit telomerase. These include:</w:t>
      </w:r>
    </w:p>
    <w:p>
      <w:pPr>
        <w:pStyle w:val="ListParagraph"/>
        <w:numPr>
          <w:ilvl w:val="0"/>
          <w:numId w:val="17"/>
        </w:numPr>
        <w:tabs>
          <w:tab w:pos="893" w:val="left" w:leader="none"/>
        </w:tabs>
        <w:spacing w:line="240" w:lineRule="auto" w:before="243" w:after="0"/>
        <w:ind w:left="892" w:right="0" w:hanging="415"/>
        <w:jc w:val="both"/>
        <w:rPr>
          <w:sz w:val="38"/>
        </w:rPr>
      </w:pPr>
      <w:r>
        <w:rPr>
          <w:sz w:val="38"/>
        </w:rPr>
        <w:t>green tea</w:t>
      </w:r>
    </w:p>
    <w:p>
      <w:pPr>
        <w:pStyle w:val="ListParagraph"/>
        <w:numPr>
          <w:ilvl w:val="0"/>
          <w:numId w:val="17"/>
        </w:numPr>
        <w:tabs>
          <w:tab w:pos="893" w:val="left" w:leader="none"/>
        </w:tabs>
        <w:spacing w:line="240" w:lineRule="auto" w:before="63" w:after="0"/>
        <w:ind w:left="892" w:right="0" w:hanging="415"/>
        <w:jc w:val="both"/>
        <w:rPr>
          <w:sz w:val="38"/>
        </w:rPr>
      </w:pPr>
      <w:r>
        <w:rPr>
          <w:sz w:val="38"/>
        </w:rPr>
        <w:t>resveratrol</w:t>
      </w:r>
    </w:p>
    <w:p>
      <w:pPr>
        <w:pStyle w:val="ListParagraph"/>
        <w:numPr>
          <w:ilvl w:val="0"/>
          <w:numId w:val="17"/>
        </w:numPr>
        <w:tabs>
          <w:tab w:pos="893" w:val="left" w:leader="none"/>
        </w:tabs>
        <w:spacing w:line="240" w:lineRule="auto" w:before="64" w:after="0"/>
        <w:ind w:left="892" w:right="0" w:hanging="415"/>
        <w:jc w:val="both"/>
        <w:rPr>
          <w:sz w:val="38"/>
        </w:rPr>
      </w:pPr>
      <w:r>
        <w:rPr>
          <w:sz w:val="38"/>
        </w:rPr>
        <w:t>melatonin</w:t>
      </w:r>
    </w:p>
    <w:p>
      <w:pPr>
        <w:pStyle w:val="ListParagraph"/>
        <w:numPr>
          <w:ilvl w:val="0"/>
          <w:numId w:val="17"/>
        </w:numPr>
        <w:tabs>
          <w:tab w:pos="893" w:val="left" w:leader="none"/>
        </w:tabs>
        <w:spacing w:line="240" w:lineRule="auto" w:before="64" w:after="0"/>
        <w:ind w:left="892" w:right="0" w:hanging="415"/>
        <w:jc w:val="both"/>
        <w:rPr>
          <w:sz w:val="38"/>
        </w:rPr>
      </w:pPr>
      <w:r>
        <w:rPr>
          <w:sz w:val="38"/>
        </w:rPr>
        <w:t>curcumin</w:t>
      </w:r>
    </w:p>
    <w:p>
      <w:pPr>
        <w:pStyle w:val="ListParagraph"/>
        <w:numPr>
          <w:ilvl w:val="0"/>
          <w:numId w:val="17"/>
        </w:numPr>
        <w:tabs>
          <w:tab w:pos="893" w:val="left" w:leader="none"/>
        </w:tabs>
        <w:spacing w:line="240" w:lineRule="auto" w:before="66" w:after="0"/>
        <w:ind w:left="892" w:right="0" w:hanging="415"/>
        <w:jc w:val="both"/>
        <w:rPr>
          <w:sz w:val="38"/>
        </w:rPr>
      </w:pPr>
      <w:r>
        <w:rPr>
          <w:sz w:val="38"/>
        </w:rPr>
        <w:t>quercetin</w:t>
      </w:r>
    </w:p>
    <w:p>
      <w:pPr>
        <w:pStyle w:val="ListParagraph"/>
        <w:numPr>
          <w:ilvl w:val="0"/>
          <w:numId w:val="17"/>
        </w:numPr>
        <w:tabs>
          <w:tab w:pos="893" w:val="left" w:leader="none"/>
        </w:tabs>
        <w:spacing w:line="240" w:lineRule="auto" w:before="64" w:after="0"/>
        <w:ind w:left="892" w:right="0" w:hanging="415"/>
        <w:jc w:val="both"/>
        <w:rPr>
          <w:sz w:val="38"/>
        </w:rPr>
      </w:pPr>
      <w:r>
        <w:rPr>
          <w:sz w:val="38"/>
        </w:rPr>
        <w:t>allicin</w:t>
      </w:r>
    </w:p>
    <w:p>
      <w:pPr>
        <w:pStyle w:val="ListParagraph"/>
        <w:numPr>
          <w:ilvl w:val="0"/>
          <w:numId w:val="17"/>
        </w:numPr>
        <w:tabs>
          <w:tab w:pos="893" w:val="left" w:leader="none"/>
        </w:tabs>
        <w:spacing w:line="240" w:lineRule="auto" w:before="63" w:after="0"/>
        <w:ind w:left="892" w:right="0" w:hanging="415"/>
        <w:jc w:val="both"/>
        <w:rPr>
          <w:sz w:val="38"/>
        </w:rPr>
      </w:pPr>
      <w:r>
        <w:rPr>
          <w:sz w:val="38"/>
        </w:rPr>
        <w:t>silibinin</w:t>
      </w:r>
    </w:p>
    <w:p>
      <w:pPr>
        <w:pStyle w:val="BodyText"/>
        <w:spacing w:line="276" w:lineRule="auto" w:before="303"/>
        <w:ind w:left="477"/>
      </w:pPr>
      <w:r>
        <w:rPr/>
        <w:t>This</w:t>
      </w:r>
      <w:r>
        <w:rPr>
          <w:spacing w:val="-19"/>
        </w:rPr>
        <w:t> </w:t>
      </w:r>
      <w:r>
        <w:rPr/>
        <w:t>is</w:t>
      </w:r>
      <w:r>
        <w:rPr>
          <w:spacing w:val="-19"/>
        </w:rPr>
        <w:t> </w:t>
      </w:r>
      <w:r>
        <w:rPr/>
        <w:t>a</w:t>
      </w:r>
      <w:r>
        <w:rPr>
          <w:spacing w:val="-23"/>
        </w:rPr>
        <w:t> </w:t>
      </w:r>
      <w:r>
        <w:rPr/>
        <w:t>hitherto</w:t>
      </w:r>
      <w:r>
        <w:rPr>
          <w:spacing w:val="-21"/>
        </w:rPr>
        <w:t> </w:t>
      </w:r>
      <w:r>
        <w:rPr/>
        <w:t>unfounded</w:t>
      </w:r>
      <w:r>
        <w:rPr>
          <w:spacing w:val="-19"/>
        </w:rPr>
        <w:t> </w:t>
      </w:r>
      <w:r>
        <w:rPr/>
        <w:t>suspicion,</w:t>
      </w:r>
      <w:r>
        <w:rPr>
          <w:spacing w:val="-18"/>
        </w:rPr>
        <w:t> </w:t>
      </w:r>
      <w:r>
        <w:rPr/>
        <w:t>as</w:t>
      </w:r>
      <w:r>
        <w:rPr>
          <w:spacing w:val="-21"/>
        </w:rPr>
        <w:t> </w:t>
      </w:r>
      <w:r>
        <w:rPr/>
        <w:t>no</w:t>
      </w:r>
      <w:r>
        <w:rPr>
          <w:spacing w:val="-20"/>
        </w:rPr>
        <w:t> </w:t>
      </w:r>
      <w:r>
        <w:rPr/>
        <w:t>scientific</w:t>
      </w:r>
      <w:r>
        <w:rPr>
          <w:spacing w:val="-19"/>
        </w:rPr>
        <w:t> </w:t>
      </w:r>
      <w:r>
        <w:rPr/>
        <w:t>evidence</w:t>
      </w:r>
      <w:r>
        <w:rPr>
          <w:spacing w:val="-18"/>
        </w:rPr>
        <w:t> </w:t>
      </w:r>
      <w:r>
        <w:rPr/>
        <w:t>has</w:t>
      </w:r>
      <w:r>
        <w:rPr>
          <w:spacing w:val="-18"/>
        </w:rPr>
        <w:t> </w:t>
      </w:r>
      <w:r>
        <w:rPr/>
        <w:t>been</w:t>
      </w:r>
      <w:r>
        <w:rPr>
          <w:spacing w:val="-19"/>
        </w:rPr>
        <w:t> </w:t>
      </w:r>
      <w:r>
        <w:rPr/>
        <w:t>issued to date.</w:t>
      </w:r>
    </w:p>
    <w:p>
      <w:pPr>
        <w:pStyle w:val="Heading1"/>
        <w:spacing w:before="223"/>
      </w:pPr>
      <w:r>
        <w:rPr/>
        <w:t>Activity of telomerase inhibitors not confirmed in the laboratory</w:t>
      </w:r>
    </w:p>
    <w:p>
      <w:pPr>
        <w:pStyle w:val="BodyText"/>
        <w:spacing w:line="276" w:lineRule="auto" w:before="300"/>
        <w:ind w:left="477" w:right="133"/>
        <w:jc w:val="both"/>
      </w:pPr>
      <w:r>
        <w:rPr/>
        <w:t>On the contrary, Dr. Bill Andrews, founder of Sierra Science, a company di- rectly</w:t>
      </w:r>
      <w:r>
        <w:rPr>
          <w:spacing w:val="-14"/>
        </w:rPr>
        <w:t> </w:t>
      </w:r>
      <w:r>
        <w:rPr/>
        <w:t>involved</w:t>
      </w:r>
      <w:r>
        <w:rPr>
          <w:spacing w:val="-15"/>
        </w:rPr>
        <w:t> </w:t>
      </w:r>
      <w:r>
        <w:rPr/>
        <w:t>in</w:t>
      </w:r>
      <w:r>
        <w:rPr>
          <w:spacing w:val="-14"/>
        </w:rPr>
        <w:t> </w:t>
      </w:r>
      <w:r>
        <w:rPr/>
        <w:t>researching</w:t>
      </w:r>
      <w:r>
        <w:rPr>
          <w:spacing w:val="-14"/>
        </w:rPr>
        <w:t> </w:t>
      </w:r>
      <w:r>
        <w:rPr/>
        <w:t>the</w:t>
      </w:r>
      <w:r>
        <w:rPr>
          <w:spacing w:val="-13"/>
        </w:rPr>
        <w:t> </w:t>
      </w:r>
      <w:r>
        <w:rPr/>
        <w:t>extension</w:t>
      </w:r>
      <w:r>
        <w:rPr>
          <w:spacing w:val="-13"/>
        </w:rPr>
        <w:t> </w:t>
      </w:r>
      <w:r>
        <w:rPr/>
        <w:t>of</w:t>
      </w:r>
      <w:r>
        <w:rPr>
          <w:spacing w:val="-14"/>
        </w:rPr>
        <w:t> </w:t>
      </w:r>
      <w:r>
        <w:rPr/>
        <w:t>telomeres</w:t>
      </w:r>
      <w:r>
        <w:rPr>
          <w:spacing w:val="-13"/>
        </w:rPr>
        <w:t> </w:t>
      </w:r>
      <w:r>
        <w:rPr/>
        <w:t>and</w:t>
      </w:r>
      <w:r>
        <w:rPr>
          <w:spacing w:val="-14"/>
        </w:rPr>
        <w:t> </w:t>
      </w:r>
      <w:r>
        <w:rPr/>
        <w:t>the</w:t>
      </w:r>
      <w:r>
        <w:rPr>
          <w:spacing w:val="-15"/>
        </w:rPr>
        <w:t> </w:t>
      </w:r>
      <w:r>
        <w:rPr/>
        <w:t>distribution</w:t>
      </w:r>
      <w:r>
        <w:rPr>
          <w:spacing w:val="-13"/>
        </w:rPr>
        <w:t> </w:t>
      </w:r>
      <w:r>
        <w:rPr/>
        <w:t>of such substances, claims, at the </w:t>
      </w:r>
      <w:r>
        <w:rPr>
          <w:i/>
        </w:rPr>
        <w:t>Reverse Aging Conference 2011</w:t>
      </w:r>
      <w:r>
        <w:rPr/>
        <w:t>, to have tested all those substances suspected of blocking telomerase in the laboratory.</w:t>
      </w:r>
      <w:r>
        <w:rPr>
          <w:spacing w:val="-51"/>
        </w:rPr>
        <w:t> </w:t>
      </w:r>
      <w:r>
        <w:rPr/>
        <w:t>However, none of these substances resulted in a significant suppression of</w:t>
      </w:r>
      <w:r>
        <w:rPr>
          <w:spacing w:val="-15"/>
        </w:rPr>
        <w:t> </w:t>
      </w:r>
      <w:r>
        <w:rPr/>
        <w:t>telomerase!</w:t>
      </w:r>
    </w:p>
    <w:p>
      <w:pPr>
        <w:spacing w:after="0" w:line="276" w:lineRule="auto"/>
        <w:jc w:val="both"/>
        <w:sectPr>
          <w:pgSz w:w="14270" w:h="16850"/>
          <w:pgMar w:header="0" w:footer="1891" w:top="1600" w:bottom="2080" w:left="800" w:right="1280"/>
        </w:sectPr>
      </w:pPr>
    </w:p>
    <w:p>
      <w:pPr>
        <w:pStyle w:val="Heading1"/>
        <w:spacing w:before="164"/>
      </w:pPr>
      <w:r>
        <w:rPr/>
        <w:t>Alternative approach</w:t>
      </w:r>
    </w:p>
    <w:p>
      <w:pPr>
        <w:pStyle w:val="BodyText"/>
        <w:spacing w:line="276" w:lineRule="auto" w:before="299"/>
        <w:ind w:left="477" w:right="133"/>
        <w:jc w:val="both"/>
      </w:pPr>
      <w:r>
        <w:rPr/>
        <w:t>For those who prefer to be on the safe side and want to minimise the (as yet unconfirmed) cancer risk as much as possible, a procedure that provides for a cyclic</w:t>
      </w:r>
      <w:r>
        <w:rPr>
          <w:spacing w:val="-10"/>
        </w:rPr>
        <w:t> </w:t>
      </w:r>
      <w:r>
        <w:rPr/>
        <w:t>switch</w:t>
      </w:r>
      <w:r>
        <w:rPr>
          <w:spacing w:val="-10"/>
        </w:rPr>
        <w:t> </w:t>
      </w:r>
      <w:r>
        <w:rPr/>
        <w:t>between</w:t>
      </w:r>
      <w:r>
        <w:rPr>
          <w:spacing w:val="-9"/>
        </w:rPr>
        <w:t> </w:t>
      </w:r>
      <w:r>
        <w:rPr/>
        <w:t>telomerase</w:t>
      </w:r>
      <w:r>
        <w:rPr>
          <w:spacing w:val="-10"/>
        </w:rPr>
        <w:t> </w:t>
      </w:r>
      <w:r>
        <w:rPr/>
        <w:t>activators</w:t>
      </w:r>
      <w:r>
        <w:rPr>
          <w:spacing w:val="-9"/>
        </w:rPr>
        <w:t> </w:t>
      </w:r>
      <w:r>
        <w:rPr/>
        <w:t>and</w:t>
      </w:r>
      <w:r>
        <w:rPr>
          <w:spacing w:val="-9"/>
        </w:rPr>
        <w:t> </w:t>
      </w:r>
      <w:r>
        <w:rPr/>
        <w:t>telomerase</w:t>
      </w:r>
      <w:r>
        <w:rPr>
          <w:spacing w:val="-10"/>
        </w:rPr>
        <w:t> </w:t>
      </w:r>
      <w:r>
        <w:rPr/>
        <w:t>inhibitors</w:t>
      </w:r>
      <w:r>
        <w:rPr>
          <w:spacing w:val="-10"/>
        </w:rPr>
        <w:t> </w:t>
      </w:r>
      <w:r>
        <w:rPr/>
        <w:t>is</w:t>
      </w:r>
      <w:r>
        <w:rPr>
          <w:spacing w:val="-10"/>
        </w:rPr>
        <w:t> </w:t>
      </w:r>
      <w:r>
        <w:rPr/>
        <w:t>recom- mended.</w:t>
      </w:r>
    </w:p>
    <w:p>
      <w:pPr>
        <w:pStyle w:val="BodyText"/>
        <w:spacing w:line="276" w:lineRule="auto" w:before="240"/>
        <w:ind w:left="477" w:right="132"/>
        <w:jc w:val="both"/>
      </w:pPr>
      <w:r>
        <w:rPr/>
        <w:t>Specifically, this could include a two-week phase in which the telomerase is ac- tivated by telomerase activators, followed by a two-week phase in which (sup- posed) telomerase inhibitors are used. This is followed again by a two-week telomerase activation phase, etc.</w:t>
      </w:r>
    </w:p>
    <w:p>
      <w:pPr>
        <w:pStyle w:val="Heading1"/>
      </w:pPr>
      <w:r>
        <w:rPr/>
        <w:t>Telomerase activators</w:t>
      </w:r>
    </w:p>
    <w:p>
      <w:pPr>
        <w:pStyle w:val="BodyText"/>
        <w:spacing w:before="300"/>
        <w:ind w:left="477"/>
      </w:pPr>
      <w:r>
        <w:rPr/>
        <w:t>The following natural substances activate telomerase:</w:t>
      </w:r>
    </w:p>
    <w:p>
      <w:pPr>
        <w:pStyle w:val="ListParagraph"/>
        <w:numPr>
          <w:ilvl w:val="1"/>
          <w:numId w:val="17"/>
        </w:numPr>
        <w:tabs>
          <w:tab w:pos="1557" w:val="left" w:leader="none"/>
          <w:tab w:pos="1558" w:val="left" w:leader="none"/>
        </w:tabs>
        <w:spacing w:line="273" w:lineRule="auto" w:before="304" w:after="0"/>
        <w:ind w:left="1557" w:right="215" w:hanging="360"/>
        <w:jc w:val="left"/>
        <w:rPr>
          <w:sz w:val="38"/>
        </w:rPr>
      </w:pPr>
      <w:r>
        <w:rPr>
          <w:sz w:val="38"/>
        </w:rPr>
        <w:t>Astragalus membranaceus (as well as products thereof: astragloside IV, cycloastragenol,</w:t>
      </w:r>
      <w:r>
        <w:rPr>
          <w:spacing w:val="-2"/>
          <w:sz w:val="38"/>
        </w:rPr>
        <w:t> </w:t>
      </w:r>
      <w:r>
        <w:rPr>
          <w:sz w:val="38"/>
        </w:rPr>
        <w:t>TA-65)</w:t>
      </w:r>
    </w:p>
    <w:p>
      <w:pPr>
        <w:pStyle w:val="ListParagraph"/>
        <w:numPr>
          <w:ilvl w:val="1"/>
          <w:numId w:val="17"/>
        </w:numPr>
        <w:tabs>
          <w:tab w:pos="1557" w:val="left" w:leader="none"/>
          <w:tab w:pos="1558" w:val="left" w:leader="none"/>
        </w:tabs>
        <w:spacing w:line="240" w:lineRule="auto" w:before="9" w:after="0"/>
        <w:ind w:left="1557" w:right="0" w:hanging="360"/>
        <w:jc w:val="left"/>
        <w:rPr>
          <w:sz w:val="38"/>
        </w:rPr>
      </w:pPr>
      <w:r>
        <w:rPr>
          <w:sz w:val="38"/>
        </w:rPr>
        <w:t>ginkgo</w:t>
      </w:r>
      <w:r>
        <w:rPr>
          <w:spacing w:val="1"/>
          <w:sz w:val="38"/>
        </w:rPr>
        <w:t> </w:t>
      </w:r>
      <w:r>
        <w:rPr>
          <w:sz w:val="38"/>
        </w:rPr>
        <w:t>biloba</w:t>
      </w:r>
    </w:p>
    <w:p>
      <w:pPr>
        <w:pStyle w:val="ListParagraph"/>
        <w:numPr>
          <w:ilvl w:val="1"/>
          <w:numId w:val="17"/>
        </w:numPr>
        <w:tabs>
          <w:tab w:pos="1557" w:val="left" w:leader="none"/>
          <w:tab w:pos="1558" w:val="left" w:leader="none"/>
        </w:tabs>
        <w:spacing w:line="240" w:lineRule="auto" w:before="64" w:after="0"/>
        <w:ind w:left="1557" w:right="0" w:hanging="360"/>
        <w:jc w:val="left"/>
        <w:rPr>
          <w:sz w:val="38"/>
        </w:rPr>
      </w:pPr>
      <w:r>
        <w:rPr>
          <w:sz w:val="38"/>
        </w:rPr>
        <w:t>silymarin</w:t>
      </w:r>
    </w:p>
    <w:p>
      <w:pPr>
        <w:pStyle w:val="ListParagraph"/>
        <w:numPr>
          <w:ilvl w:val="1"/>
          <w:numId w:val="17"/>
        </w:numPr>
        <w:tabs>
          <w:tab w:pos="1557" w:val="left" w:leader="none"/>
          <w:tab w:pos="1558" w:val="left" w:leader="none"/>
        </w:tabs>
        <w:spacing w:line="240" w:lineRule="auto" w:before="63" w:after="0"/>
        <w:ind w:left="1557" w:right="0" w:hanging="360"/>
        <w:jc w:val="left"/>
        <w:rPr>
          <w:sz w:val="38"/>
        </w:rPr>
      </w:pPr>
      <w:r>
        <w:rPr>
          <w:sz w:val="38"/>
        </w:rPr>
        <w:t>colostrum (includes telomerase</w:t>
      </w:r>
      <w:r>
        <w:rPr>
          <w:spacing w:val="1"/>
          <w:sz w:val="38"/>
        </w:rPr>
        <w:t> </w:t>
      </w:r>
      <w:r>
        <w:rPr>
          <w:sz w:val="38"/>
        </w:rPr>
        <w:t>itself)</w:t>
      </w:r>
    </w:p>
    <w:p>
      <w:pPr>
        <w:pStyle w:val="ListParagraph"/>
        <w:numPr>
          <w:ilvl w:val="1"/>
          <w:numId w:val="17"/>
        </w:numPr>
        <w:tabs>
          <w:tab w:pos="1557" w:val="left" w:leader="none"/>
          <w:tab w:pos="1558" w:val="left" w:leader="none"/>
        </w:tabs>
        <w:spacing w:line="240" w:lineRule="auto" w:before="64" w:after="0"/>
        <w:ind w:left="1557" w:right="0" w:hanging="360"/>
        <w:jc w:val="left"/>
        <w:rPr>
          <w:sz w:val="25"/>
        </w:rPr>
      </w:pPr>
      <w:r>
        <w:rPr>
          <w:sz w:val="38"/>
        </w:rPr>
        <w:t>omega-3 fatty</w:t>
      </w:r>
      <w:r>
        <w:rPr>
          <w:spacing w:val="-1"/>
          <w:sz w:val="38"/>
        </w:rPr>
        <w:t> </w:t>
      </w:r>
      <w:r>
        <w:rPr>
          <w:sz w:val="38"/>
        </w:rPr>
        <w:t>acids</w:t>
      </w:r>
      <w:r>
        <w:rPr>
          <w:position w:val="9"/>
          <w:sz w:val="25"/>
        </w:rPr>
        <w:t>125</w:t>
      </w:r>
    </w:p>
    <w:p>
      <w:pPr>
        <w:pStyle w:val="ListParagraph"/>
        <w:numPr>
          <w:ilvl w:val="1"/>
          <w:numId w:val="17"/>
        </w:numPr>
        <w:tabs>
          <w:tab w:pos="1557" w:val="left" w:leader="none"/>
          <w:tab w:pos="1558" w:val="left" w:leader="none"/>
        </w:tabs>
        <w:spacing w:line="240" w:lineRule="auto" w:before="64" w:after="0"/>
        <w:ind w:left="1557" w:right="0" w:hanging="360"/>
        <w:jc w:val="left"/>
        <w:rPr>
          <w:sz w:val="25"/>
        </w:rPr>
      </w:pPr>
      <w:r>
        <w:rPr>
          <w:sz w:val="38"/>
        </w:rPr>
        <w:t>vitamin</w:t>
      </w:r>
      <w:r>
        <w:rPr>
          <w:spacing w:val="-2"/>
          <w:sz w:val="38"/>
        </w:rPr>
        <w:t> </w:t>
      </w:r>
      <w:r>
        <w:rPr>
          <w:sz w:val="38"/>
        </w:rPr>
        <w:t>E</w:t>
      </w:r>
      <w:r>
        <w:rPr>
          <w:position w:val="9"/>
          <w:sz w:val="25"/>
        </w:rPr>
        <w:t>126</w:t>
      </w:r>
    </w:p>
    <w:p>
      <w:pPr>
        <w:pStyle w:val="ListParagraph"/>
        <w:numPr>
          <w:ilvl w:val="1"/>
          <w:numId w:val="17"/>
        </w:numPr>
        <w:tabs>
          <w:tab w:pos="1557" w:val="left" w:leader="none"/>
          <w:tab w:pos="1558" w:val="left" w:leader="none"/>
        </w:tabs>
        <w:spacing w:line="240" w:lineRule="auto" w:before="66" w:after="0"/>
        <w:ind w:left="1557" w:right="0" w:hanging="360"/>
        <w:jc w:val="left"/>
        <w:rPr>
          <w:sz w:val="25"/>
        </w:rPr>
      </w:pPr>
      <w:r>
        <w:rPr>
          <w:sz w:val="38"/>
        </w:rPr>
        <w:t>vitamin</w:t>
      </w:r>
      <w:r>
        <w:rPr>
          <w:spacing w:val="-4"/>
          <w:sz w:val="38"/>
        </w:rPr>
        <w:t> </w:t>
      </w:r>
      <w:r>
        <w:rPr>
          <w:sz w:val="38"/>
        </w:rPr>
        <w:t>C</w:t>
      </w:r>
      <w:r>
        <w:rPr>
          <w:position w:val="9"/>
          <w:sz w:val="25"/>
        </w:rPr>
        <w:t>127</w:t>
      </w:r>
    </w:p>
    <w:p>
      <w:pPr>
        <w:pStyle w:val="BodyText"/>
        <w:rPr>
          <w:sz w:val="20"/>
        </w:rPr>
      </w:pPr>
    </w:p>
    <w:p>
      <w:pPr>
        <w:pStyle w:val="BodyText"/>
        <w:rPr>
          <w:sz w:val="20"/>
        </w:rPr>
      </w:pPr>
    </w:p>
    <w:p>
      <w:pPr>
        <w:pStyle w:val="BodyText"/>
        <w:rPr>
          <w:sz w:val="20"/>
        </w:rPr>
      </w:pPr>
    </w:p>
    <w:p>
      <w:pPr>
        <w:pStyle w:val="BodyText"/>
        <w:rPr>
          <w:sz w:val="17"/>
        </w:rPr>
      </w:pPr>
      <w:r>
        <w:rPr/>
        <w:pict>
          <v:line style="position:absolute;mso-position-horizontal-relative:page;mso-position-vertical-relative:paragraph;z-index:920;mso-wrap-distance-left:0;mso-wrap-distance-right:0" from="63.863998pt,11.917358pt" to="207.883998pt,11.917358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125 </w:t>
      </w:r>
      <w:r>
        <w:rPr>
          <w:sz w:val="20"/>
        </w:rPr>
        <w:t>Farzaneh-Far R. et al. JAMA 3 January 2010; 303 (3), p. 250–257</w:t>
      </w:r>
    </w:p>
    <w:p>
      <w:pPr>
        <w:spacing w:before="94"/>
        <w:ind w:left="477" w:right="0" w:firstLine="0"/>
        <w:jc w:val="left"/>
        <w:rPr>
          <w:sz w:val="20"/>
        </w:rPr>
      </w:pPr>
      <w:r>
        <w:rPr/>
        <w:drawing>
          <wp:anchor distT="0" distB="0" distL="0" distR="0" allowOverlap="1" layoutInCell="1" locked="0" behindDoc="1" simplePos="0" relativeHeight="267168719">
            <wp:simplePos x="0" y="0"/>
            <wp:positionH relativeFrom="page">
              <wp:posOffset>896463</wp:posOffset>
            </wp:positionH>
            <wp:positionV relativeFrom="paragraph">
              <wp:posOffset>141962</wp:posOffset>
            </wp:positionV>
            <wp:extent cx="6379583" cy="902106"/>
            <wp:effectExtent l="0" t="0" r="0" b="0"/>
            <wp:wrapNone/>
            <wp:docPr id="79" name="image2.jpeg" descr=""/>
            <wp:cNvGraphicFramePr>
              <a:graphicFrameLocks noChangeAspect="1"/>
            </wp:cNvGraphicFramePr>
            <a:graphic>
              <a:graphicData uri="http://schemas.openxmlformats.org/drawingml/2006/picture">
                <pic:pic>
                  <pic:nvPicPr>
                    <pic:cNvPr id="80"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126 </w:t>
      </w:r>
      <w:r>
        <w:rPr>
          <w:sz w:val="20"/>
        </w:rPr>
        <w:t>J Cell Biochem 2007, p. 102</w:t>
      </w:r>
    </w:p>
    <w:p>
      <w:pPr>
        <w:spacing w:before="95"/>
        <w:ind w:left="477" w:right="0" w:firstLine="0"/>
        <w:jc w:val="left"/>
        <w:rPr>
          <w:sz w:val="20"/>
        </w:rPr>
      </w:pPr>
      <w:r>
        <w:rPr>
          <w:position w:val="5"/>
          <w:sz w:val="13"/>
        </w:rPr>
        <w:t>127 </w:t>
      </w:r>
      <w:r>
        <w:rPr>
          <w:sz w:val="20"/>
        </w:rPr>
        <w:t>Lif Sci 1998, p. 63</w:t>
      </w:r>
    </w:p>
    <w:p>
      <w:pPr>
        <w:spacing w:after="0"/>
        <w:jc w:val="left"/>
        <w:rPr>
          <w:sz w:val="20"/>
        </w:rPr>
        <w:sectPr>
          <w:footerReference w:type="default" r:id="rId60"/>
          <w:pgSz w:w="14270" w:h="16850"/>
          <w:pgMar w:footer="527" w:header="0" w:top="1600" w:bottom="720" w:left="800" w:right="1280"/>
          <w:pgNumType w:start="235"/>
        </w:sectPr>
      </w:pPr>
    </w:p>
    <w:p>
      <w:pPr>
        <w:pStyle w:val="BodyText"/>
        <w:spacing w:before="10"/>
        <w:rPr>
          <w:sz w:val="8"/>
        </w:rPr>
      </w:pPr>
    </w:p>
    <w:p>
      <w:pPr>
        <w:pStyle w:val="ListParagraph"/>
        <w:numPr>
          <w:ilvl w:val="1"/>
          <w:numId w:val="17"/>
        </w:numPr>
        <w:tabs>
          <w:tab w:pos="1557" w:val="left" w:leader="none"/>
          <w:tab w:pos="1558" w:val="left" w:leader="none"/>
        </w:tabs>
        <w:spacing w:line="240" w:lineRule="auto" w:before="83" w:after="0"/>
        <w:ind w:left="1557" w:right="0" w:hanging="360"/>
        <w:jc w:val="left"/>
        <w:rPr>
          <w:sz w:val="25"/>
        </w:rPr>
      </w:pPr>
      <w:r>
        <w:rPr>
          <w:sz w:val="38"/>
        </w:rPr>
        <w:t>vitamin</w:t>
      </w:r>
      <w:r>
        <w:rPr>
          <w:spacing w:val="-2"/>
          <w:sz w:val="38"/>
        </w:rPr>
        <w:t> </w:t>
      </w:r>
      <w:r>
        <w:rPr>
          <w:sz w:val="38"/>
        </w:rPr>
        <w:t>D</w:t>
      </w:r>
      <w:r>
        <w:rPr>
          <w:position w:val="9"/>
          <w:sz w:val="25"/>
        </w:rPr>
        <w:t>128</w:t>
      </w:r>
    </w:p>
    <w:p>
      <w:pPr>
        <w:pStyle w:val="ListParagraph"/>
        <w:numPr>
          <w:ilvl w:val="1"/>
          <w:numId w:val="17"/>
        </w:numPr>
        <w:tabs>
          <w:tab w:pos="1557" w:val="left" w:leader="none"/>
          <w:tab w:pos="1558" w:val="left" w:leader="none"/>
        </w:tabs>
        <w:spacing w:line="240" w:lineRule="auto" w:before="64" w:after="0"/>
        <w:ind w:left="1557" w:right="0" w:hanging="360"/>
        <w:jc w:val="left"/>
        <w:rPr>
          <w:sz w:val="25"/>
        </w:rPr>
      </w:pPr>
      <w:r>
        <w:rPr>
          <w:sz w:val="38"/>
        </w:rPr>
        <w:t>folic</w:t>
      </w:r>
      <w:r>
        <w:rPr>
          <w:spacing w:val="-1"/>
          <w:sz w:val="38"/>
        </w:rPr>
        <w:t> </w:t>
      </w:r>
      <w:r>
        <w:rPr>
          <w:sz w:val="38"/>
        </w:rPr>
        <w:t>acid</w:t>
      </w:r>
      <w:r>
        <w:rPr>
          <w:position w:val="9"/>
          <w:sz w:val="25"/>
        </w:rPr>
        <w:t>129</w:t>
      </w:r>
    </w:p>
    <w:p>
      <w:pPr>
        <w:pStyle w:val="ListParagraph"/>
        <w:numPr>
          <w:ilvl w:val="1"/>
          <w:numId w:val="17"/>
        </w:numPr>
        <w:tabs>
          <w:tab w:pos="1557" w:val="left" w:leader="none"/>
          <w:tab w:pos="1558" w:val="left" w:leader="none"/>
        </w:tabs>
        <w:spacing w:line="240" w:lineRule="auto" w:before="66" w:after="0"/>
        <w:ind w:left="1557" w:right="0" w:hanging="360"/>
        <w:jc w:val="left"/>
        <w:rPr>
          <w:sz w:val="38"/>
        </w:rPr>
      </w:pPr>
      <w:r>
        <w:rPr>
          <w:sz w:val="38"/>
        </w:rPr>
        <w:t>dark</w:t>
      </w:r>
      <w:r>
        <w:rPr>
          <w:spacing w:val="-1"/>
          <w:sz w:val="38"/>
        </w:rPr>
        <w:t> </w:t>
      </w:r>
      <w:r>
        <w:rPr>
          <w:sz w:val="38"/>
        </w:rPr>
        <w:t>chocolate</w:t>
      </w:r>
    </w:p>
    <w:p>
      <w:pPr>
        <w:pStyle w:val="BodyText"/>
        <w:spacing w:line="276" w:lineRule="auto" w:before="302"/>
        <w:ind w:left="477" w:right="141"/>
        <w:jc w:val="both"/>
      </w:pPr>
      <w:r>
        <w:rPr/>
        <w:t>It should also be noted that milk and dairy products should suppress the inhi- bition of telomerase by polyphenols.</w:t>
      </w:r>
    </w:p>
    <w:p>
      <w:pPr>
        <w:pStyle w:val="BodyText"/>
        <w:spacing w:line="276" w:lineRule="auto" w:before="238"/>
        <w:ind w:left="477" w:right="134"/>
        <w:jc w:val="both"/>
      </w:pPr>
      <w:r>
        <w:rPr/>
        <w:t>Furthermore,</w:t>
      </w:r>
      <w:r>
        <w:rPr>
          <w:spacing w:val="-23"/>
        </w:rPr>
        <w:t> </w:t>
      </w:r>
      <w:r>
        <w:rPr/>
        <w:t>some</w:t>
      </w:r>
      <w:r>
        <w:rPr>
          <w:spacing w:val="-23"/>
        </w:rPr>
        <w:t> </w:t>
      </w:r>
      <w:r>
        <w:rPr/>
        <w:t>experienced</w:t>
      </w:r>
      <w:r>
        <w:rPr>
          <w:spacing w:val="-25"/>
        </w:rPr>
        <w:t> </w:t>
      </w:r>
      <w:r>
        <w:rPr/>
        <w:t>users</w:t>
      </w:r>
      <w:r>
        <w:rPr>
          <w:spacing w:val="-23"/>
        </w:rPr>
        <w:t> </w:t>
      </w:r>
      <w:r>
        <w:rPr/>
        <w:t>recommend</w:t>
      </w:r>
      <w:r>
        <w:rPr>
          <w:spacing w:val="-23"/>
        </w:rPr>
        <w:t> </w:t>
      </w:r>
      <w:r>
        <w:rPr/>
        <w:t>a</w:t>
      </w:r>
      <w:r>
        <w:rPr>
          <w:spacing w:val="-24"/>
        </w:rPr>
        <w:t> </w:t>
      </w:r>
      <w:r>
        <w:rPr/>
        <w:t>cyclical</w:t>
      </w:r>
      <w:r>
        <w:rPr>
          <w:spacing w:val="-24"/>
        </w:rPr>
        <w:t> </w:t>
      </w:r>
      <w:r>
        <w:rPr/>
        <w:t>intake</w:t>
      </w:r>
      <w:r>
        <w:rPr>
          <w:spacing w:val="-21"/>
        </w:rPr>
        <w:t> </w:t>
      </w:r>
      <w:r>
        <w:rPr/>
        <w:t>–</w:t>
      </w:r>
      <w:r>
        <w:rPr>
          <w:spacing w:val="-23"/>
        </w:rPr>
        <w:t> </w:t>
      </w:r>
      <w:r>
        <w:rPr/>
        <w:t>one</w:t>
      </w:r>
      <w:r>
        <w:rPr>
          <w:spacing w:val="-25"/>
        </w:rPr>
        <w:t> </w:t>
      </w:r>
      <w:r>
        <w:rPr/>
        <w:t>month of</w:t>
      </w:r>
      <w:r>
        <w:rPr>
          <w:spacing w:val="-10"/>
        </w:rPr>
        <w:t> </w:t>
      </w:r>
      <w:r>
        <w:rPr/>
        <w:t>astragaloside</w:t>
      </w:r>
      <w:r>
        <w:rPr>
          <w:spacing w:val="-12"/>
        </w:rPr>
        <w:t> </w:t>
      </w:r>
      <w:r>
        <w:rPr/>
        <w:t>IV</w:t>
      </w:r>
      <w:r>
        <w:rPr>
          <w:spacing w:val="-10"/>
        </w:rPr>
        <w:t> </w:t>
      </w:r>
      <w:r>
        <w:rPr/>
        <w:t>(according</w:t>
      </w:r>
      <w:r>
        <w:rPr>
          <w:spacing w:val="-9"/>
        </w:rPr>
        <w:t> </w:t>
      </w:r>
      <w:r>
        <w:rPr/>
        <w:t>to</w:t>
      </w:r>
      <w:r>
        <w:rPr>
          <w:spacing w:val="-11"/>
        </w:rPr>
        <w:t> </w:t>
      </w:r>
      <w:r>
        <w:rPr/>
        <w:t>the</w:t>
      </w:r>
      <w:r>
        <w:rPr>
          <w:spacing w:val="-12"/>
        </w:rPr>
        <w:t> </w:t>
      </w:r>
      <w:r>
        <w:rPr/>
        <w:t>manufacturer's</w:t>
      </w:r>
      <w:r>
        <w:rPr>
          <w:spacing w:val="-9"/>
        </w:rPr>
        <w:t> </w:t>
      </w:r>
      <w:r>
        <w:rPr/>
        <w:t>instructions),</w:t>
      </w:r>
      <w:r>
        <w:rPr>
          <w:spacing w:val="-9"/>
        </w:rPr>
        <w:t> </w:t>
      </w:r>
      <w:r>
        <w:rPr/>
        <w:t>a</w:t>
      </w:r>
      <w:r>
        <w:rPr>
          <w:spacing w:val="-13"/>
        </w:rPr>
        <w:t> </w:t>
      </w:r>
      <w:r>
        <w:rPr/>
        <w:t>five-month break, and so on. This is done to induce telomerase activation without risking the onset of cancer (which, to date, has not been confirmed to be caused in connection with telomerase</w:t>
      </w:r>
      <w:r>
        <w:rPr>
          <w:spacing w:val="2"/>
        </w:rPr>
        <w:t> </w:t>
      </w:r>
      <w:r>
        <w:rPr/>
        <w:t>activation).</w:t>
      </w:r>
    </w:p>
    <w:p>
      <w:pPr>
        <w:pStyle w:val="BodyText"/>
        <w:spacing w:line="276" w:lineRule="auto" w:before="243"/>
        <w:ind w:left="477" w:right="134"/>
        <w:jc w:val="both"/>
      </w:pPr>
      <w:r>
        <w:rPr/>
        <w:t>Of course, these are purely hypothetical, entirely speculative models of how to take</w:t>
      </w:r>
      <w:r>
        <w:rPr>
          <w:spacing w:val="-17"/>
        </w:rPr>
        <w:t> </w:t>
      </w:r>
      <w:r>
        <w:rPr/>
        <w:t>astragalus</w:t>
      </w:r>
      <w:r>
        <w:rPr>
          <w:spacing w:val="-16"/>
        </w:rPr>
        <w:t> </w:t>
      </w:r>
      <w:r>
        <w:rPr/>
        <w:t>for</w:t>
      </w:r>
      <w:r>
        <w:rPr>
          <w:spacing w:val="-16"/>
        </w:rPr>
        <w:t> </w:t>
      </w:r>
      <w:r>
        <w:rPr/>
        <w:t>telomerase</w:t>
      </w:r>
      <w:r>
        <w:rPr>
          <w:spacing w:val="-16"/>
        </w:rPr>
        <w:t> </w:t>
      </w:r>
      <w:r>
        <w:rPr/>
        <w:t>activation.</w:t>
      </w:r>
      <w:r>
        <w:rPr>
          <w:spacing w:val="-16"/>
        </w:rPr>
        <w:t> </w:t>
      </w:r>
      <w:r>
        <w:rPr/>
        <w:t>As</w:t>
      </w:r>
      <w:r>
        <w:rPr>
          <w:spacing w:val="-16"/>
        </w:rPr>
        <w:t> </w:t>
      </w:r>
      <w:r>
        <w:rPr/>
        <w:t>long</w:t>
      </w:r>
      <w:r>
        <w:rPr>
          <w:spacing w:val="-14"/>
        </w:rPr>
        <w:t> </w:t>
      </w:r>
      <w:r>
        <w:rPr/>
        <w:t>as</w:t>
      </w:r>
      <w:r>
        <w:rPr>
          <w:spacing w:val="-17"/>
        </w:rPr>
        <w:t> </w:t>
      </w:r>
      <w:r>
        <w:rPr/>
        <w:t>no</w:t>
      </w:r>
      <w:r>
        <w:rPr>
          <w:spacing w:val="-16"/>
        </w:rPr>
        <w:t> </w:t>
      </w:r>
      <w:r>
        <w:rPr/>
        <w:t>secure</w:t>
      </w:r>
      <w:r>
        <w:rPr>
          <w:spacing w:val="-16"/>
        </w:rPr>
        <w:t> </w:t>
      </w:r>
      <w:r>
        <w:rPr/>
        <w:t>long-term</w:t>
      </w:r>
      <w:r>
        <w:rPr>
          <w:spacing w:val="-15"/>
        </w:rPr>
        <w:t> </w:t>
      </w:r>
      <w:r>
        <w:rPr/>
        <w:t>studies are</w:t>
      </w:r>
      <w:r>
        <w:rPr>
          <w:spacing w:val="-8"/>
        </w:rPr>
        <w:t> </w:t>
      </w:r>
      <w:r>
        <w:rPr/>
        <w:t>at</w:t>
      </w:r>
      <w:r>
        <w:rPr>
          <w:spacing w:val="-9"/>
        </w:rPr>
        <w:t> </w:t>
      </w:r>
      <w:r>
        <w:rPr/>
        <w:t>hand,</w:t>
      </w:r>
      <w:r>
        <w:rPr>
          <w:spacing w:val="-10"/>
        </w:rPr>
        <w:t> </w:t>
      </w:r>
      <w:r>
        <w:rPr/>
        <w:t>but</w:t>
      </w:r>
      <w:r>
        <w:rPr>
          <w:spacing w:val="-13"/>
        </w:rPr>
        <w:t> </w:t>
      </w:r>
      <w:r>
        <w:rPr/>
        <w:t>experiences/findings</w:t>
      </w:r>
      <w:r>
        <w:rPr>
          <w:spacing w:val="-7"/>
        </w:rPr>
        <w:t> </w:t>
      </w:r>
      <w:r>
        <w:rPr/>
        <w:t>from</w:t>
      </w:r>
      <w:r>
        <w:rPr>
          <w:spacing w:val="-9"/>
        </w:rPr>
        <w:t> </w:t>
      </w:r>
      <w:r>
        <w:rPr/>
        <w:t>prolonged</w:t>
      </w:r>
      <w:r>
        <w:rPr>
          <w:spacing w:val="-7"/>
        </w:rPr>
        <w:t> </w:t>
      </w:r>
      <w:r>
        <w:rPr/>
        <w:t>intake</w:t>
      </w:r>
      <w:r>
        <w:rPr>
          <w:spacing w:val="-11"/>
        </w:rPr>
        <w:t> </w:t>
      </w:r>
      <w:r>
        <w:rPr/>
        <w:t>of</w:t>
      </w:r>
      <w:r>
        <w:rPr>
          <w:spacing w:val="-9"/>
        </w:rPr>
        <w:t> </w:t>
      </w:r>
      <w:r>
        <w:rPr/>
        <w:t>numerous</w:t>
      </w:r>
      <w:r>
        <w:rPr>
          <w:spacing w:val="-8"/>
        </w:rPr>
        <w:t> </w:t>
      </w:r>
      <w:r>
        <w:rPr/>
        <w:t>peo- ple are available, this will all continue to be pure</w:t>
      </w:r>
      <w:r>
        <w:rPr>
          <w:spacing w:val="-4"/>
        </w:rPr>
        <w:t> </w:t>
      </w:r>
      <w:r>
        <w:rPr/>
        <w:t>speculation.</w:t>
      </w:r>
    </w:p>
    <w:p>
      <w:pPr>
        <w:pStyle w:val="BodyText"/>
        <w:spacing w:line="276" w:lineRule="auto" w:before="239"/>
        <w:ind w:left="477" w:right="140"/>
        <w:jc w:val="both"/>
      </w:pPr>
      <w:r>
        <w:rPr/>
        <w:t>However, due to the lack of research data, no reliable facts, let alone reliable intake programmes, can be provided. On the other hand, it could take several decades – a period of time that only seems acceptable to the youngest among us.</w:t>
      </w:r>
    </w:p>
    <w:p>
      <w:pPr>
        <w:pStyle w:val="BodyText"/>
        <w:spacing w:line="276" w:lineRule="auto" w:before="240"/>
        <w:ind w:left="477" w:right="136"/>
        <w:jc w:val="both"/>
      </w:pPr>
      <w:r>
        <w:rPr/>
        <w:t>Furthermore, it remains to be seen whether the pharmaceutical companies ac- tually</w:t>
      </w:r>
      <w:r>
        <w:rPr>
          <w:spacing w:val="-11"/>
        </w:rPr>
        <w:t> </w:t>
      </w:r>
      <w:r>
        <w:rPr/>
        <w:t>have</w:t>
      </w:r>
      <w:r>
        <w:rPr>
          <w:spacing w:val="-11"/>
        </w:rPr>
        <w:t> </w:t>
      </w:r>
      <w:r>
        <w:rPr/>
        <w:t>an</w:t>
      </w:r>
      <w:r>
        <w:rPr>
          <w:spacing w:val="-9"/>
        </w:rPr>
        <w:t> </w:t>
      </w:r>
      <w:r>
        <w:rPr/>
        <w:t>interest</w:t>
      </w:r>
      <w:r>
        <w:rPr>
          <w:spacing w:val="-11"/>
        </w:rPr>
        <w:t> </w:t>
      </w:r>
      <w:r>
        <w:rPr/>
        <w:t>in</w:t>
      </w:r>
      <w:r>
        <w:rPr>
          <w:spacing w:val="-9"/>
        </w:rPr>
        <w:t> </w:t>
      </w:r>
      <w:r>
        <w:rPr/>
        <w:t>exploring</w:t>
      </w:r>
      <w:r>
        <w:rPr>
          <w:spacing w:val="-11"/>
        </w:rPr>
        <w:t> </w:t>
      </w:r>
      <w:r>
        <w:rPr/>
        <w:t>this</w:t>
      </w:r>
      <w:r>
        <w:rPr>
          <w:spacing w:val="-11"/>
        </w:rPr>
        <w:t> </w:t>
      </w:r>
      <w:r>
        <w:rPr/>
        <w:t>important</w:t>
      </w:r>
      <w:r>
        <w:rPr>
          <w:spacing w:val="-10"/>
        </w:rPr>
        <w:t> </w:t>
      </w:r>
      <w:r>
        <w:rPr/>
        <w:t>topic</w:t>
      </w:r>
      <w:r>
        <w:rPr>
          <w:spacing w:val="-12"/>
        </w:rPr>
        <w:t> </w:t>
      </w:r>
      <w:r>
        <w:rPr/>
        <w:t>further</w:t>
      </w:r>
      <w:r>
        <w:rPr>
          <w:spacing w:val="-8"/>
        </w:rPr>
        <w:t> </w:t>
      </w:r>
      <w:r>
        <w:rPr/>
        <w:t>and</w:t>
      </w:r>
      <w:r>
        <w:rPr>
          <w:spacing w:val="-11"/>
        </w:rPr>
        <w:t> </w:t>
      </w:r>
      <w:r>
        <w:rPr/>
        <w:t>whether</w:t>
      </w:r>
      <w:r>
        <w:rPr>
          <w:spacing w:val="-12"/>
        </w:rPr>
        <w:t> </w:t>
      </w:r>
      <w:r>
        <w:rPr/>
        <w:t>the</w:t>
      </w:r>
    </w:p>
    <w:p>
      <w:pPr>
        <w:pStyle w:val="BodyText"/>
        <w:spacing w:before="10"/>
        <w:rPr>
          <w:sz w:val="10"/>
        </w:rPr>
      </w:pPr>
      <w:r>
        <w:rPr/>
        <w:pict>
          <v:line style="position:absolute;mso-position-horizontal-relative:page;mso-position-vertical-relative:paragraph;z-index:968;mso-wrap-distance-left:0;mso-wrap-distance-right:0" from="63.863998pt,8.492427pt" to="207.883998pt,8.492427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128 </w:t>
      </w:r>
      <w:r>
        <w:rPr>
          <w:sz w:val="20"/>
        </w:rPr>
        <w:t>Am J Clin Nutr 2007, p. 86</w:t>
      </w:r>
    </w:p>
    <w:p>
      <w:pPr>
        <w:spacing w:before="94"/>
        <w:ind w:left="477" w:right="0" w:firstLine="0"/>
        <w:jc w:val="left"/>
        <w:rPr>
          <w:sz w:val="20"/>
        </w:rPr>
      </w:pPr>
      <w:r>
        <w:rPr>
          <w:position w:val="5"/>
          <w:sz w:val="13"/>
        </w:rPr>
        <w:t>129 </w:t>
      </w:r>
      <w:r>
        <w:rPr>
          <w:sz w:val="20"/>
        </w:rPr>
        <w:t>J Nutr 2009, p. 139</w:t>
      </w:r>
    </w:p>
    <w:p>
      <w:pPr>
        <w:spacing w:after="0"/>
        <w:jc w:val="left"/>
        <w:rPr>
          <w:sz w:val="20"/>
        </w:rPr>
        <w:sectPr>
          <w:footerReference w:type="default" r:id="rId61"/>
          <w:pgSz w:w="14270" w:h="16850"/>
          <w:pgMar w:footer="1891" w:header="0" w:top="1600" w:bottom="2080" w:left="800" w:right="1280"/>
          <w:pgNumType w:start="236"/>
        </w:sectPr>
      </w:pPr>
    </w:p>
    <w:p>
      <w:pPr>
        <w:pStyle w:val="BodyText"/>
        <w:spacing w:line="276" w:lineRule="auto" w:before="181"/>
        <w:ind w:left="477" w:right="136"/>
        <w:jc w:val="both"/>
      </w:pPr>
      <w:r>
        <w:rPr/>
        <w:t>state and the official media will one day provide detailed and truthful infor- mation. Just consider what it would mean for our pension funds if every Ger- man</w:t>
      </w:r>
      <w:r>
        <w:rPr>
          <w:spacing w:val="-9"/>
        </w:rPr>
        <w:t> </w:t>
      </w:r>
      <w:r>
        <w:rPr/>
        <w:t>citizen</w:t>
      </w:r>
      <w:r>
        <w:rPr>
          <w:spacing w:val="-8"/>
        </w:rPr>
        <w:t> </w:t>
      </w:r>
      <w:r>
        <w:rPr/>
        <w:t>lived</w:t>
      </w:r>
      <w:r>
        <w:rPr>
          <w:spacing w:val="-10"/>
        </w:rPr>
        <w:t> </w:t>
      </w:r>
      <w:r>
        <w:rPr/>
        <w:t>for</w:t>
      </w:r>
      <w:r>
        <w:rPr>
          <w:spacing w:val="-8"/>
        </w:rPr>
        <w:t> </w:t>
      </w:r>
      <w:r>
        <w:rPr/>
        <w:t>one</w:t>
      </w:r>
      <w:r>
        <w:rPr>
          <w:spacing w:val="-9"/>
        </w:rPr>
        <w:t> </w:t>
      </w:r>
      <w:r>
        <w:rPr/>
        <w:t>year</w:t>
      </w:r>
      <w:r>
        <w:rPr>
          <w:spacing w:val="-7"/>
        </w:rPr>
        <w:t> </w:t>
      </w:r>
      <w:r>
        <w:rPr/>
        <w:t>longer,</w:t>
      </w:r>
      <w:r>
        <w:rPr>
          <w:spacing w:val="-8"/>
        </w:rPr>
        <w:t> </w:t>
      </w:r>
      <w:r>
        <w:rPr/>
        <w:t>and</w:t>
      </w:r>
      <w:r>
        <w:rPr>
          <w:spacing w:val="-9"/>
        </w:rPr>
        <w:t> </w:t>
      </w:r>
      <w:r>
        <w:rPr/>
        <w:t>the</w:t>
      </w:r>
      <w:r>
        <w:rPr>
          <w:spacing w:val="-8"/>
        </w:rPr>
        <w:t> </w:t>
      </w:r>
      <w:r>
        <w:rPr/>
        <w:t>revenue</w:t>
      </w:r>
      <w:r>
        <w:rPr>
          <w:spacing w:val="-9"/>
        </w:rPr>
        <w:t> </w:t>
      </w:r>
      <w:r>
        <w:rPr/>
        <w:t>the</w:t>
      </w:r>
      <w:r>
        <w:rPr>
          <w:spacing w:val="-8"/>
        </w:rPr>
        <w:t> </w:t>
      </w:r>
      <w:r>
        <w:rPr/>
        <w:t>pharmaceutical</w:t>
      </w:r>
      <w:r>
        <w:rPr>
          <w:spacing w:val="-10"/>
        </w:rPr>
        <w:t> </w:t>
      </w:r>
      <w:r>
        <w:rPr/>
        <w:t>com- panies would lose out on if telomerase activation actually led to the healthy, long life we</w:t>
      </w:r>
      <w:r>
        <w:rPr>
          <w:spacing w:val="-1"/>
        </w:rPr>
        <w:t> </w:t>
      </w:r>
      <w:r>
        <w:rPr/>
        <w:t>desire...</w:t>
      </w:r>
    </w:p>
    <w:p>
      <w:pPr>
        <w:pStyle w:val="BodyText"/>
        <w:spacing w:line="276" w:lineRule="auto" w:before="240"/>
        <w:ind w:left="477" w:right="133"/>
        <w:jc w:val="both"/>
      </w:pPr>
      <w:r>
        <w:rPr/>
        <w:t>To prevent the industry and the state from getting in each other’s way, it is conceivable that, one day, an astragalus-based drug will be produced, but will be unaffordable for the average citizen and will be reserved for the ‘top ten thousands of the population. With the knowledge provided here you will then have</w:t>
      </w:r>
      <w:r>
        <w:rPr>
          <w:spacing w:val="-9"/>
        </w:rPr>
        <w:t> </w:t>
      </w:r>
      <w:r>
        <w:rPr/>
        <w:t>sufficient</w:t>
      </w:r>
      <w:r>
        <w:rPr>
          <w:spacing w:val="-8"/>
        </w:rPr>
        <w:t> </w:t>
      </w:r>
      <w:r>
        <w:rPr/>
        <w:t>information</w:t>
      </w:r>
      <w:r>
        <w:rPr>
          <w:spacing w:val="-8"/>
        </w:rPr>
        <w:t> </w:t>
      </w:r>
      <w:r>
        <w:rPr/>
        <w:t>to</w:t>
      </w:r>
      <w:r>
        <w:rPr>
          <w:spacing w:val="-7"/>
        </w:rPr>
        <w:t> </w:t>
      </w:r>
      <w:r>
        <w:rPr/>
        <w:t>achieve</w:t>
      </w:r>
      <w:r>
        <w:rPr>
          <w:spacing w:val="-8"/>
        </w:rPr>
        <w:t> </w:t>
      </w:r>
      <w:r>
        <w:rPr/>
        <w:t>comparable</w:t>
      </w:r>
      <w:r>
        <w:rPr>
          <w:spacing w:val="-8"/>
        </w:rPr>
        <w:t> </w:t>
      </w:r>
      <w:r>
        <w:rPr/>
        <w:t>results</w:t>
      </w:r>
      <w:r>
        <w:rPr>
          <w:spacing w:val="-8"/>
        </w:rPr>
        <w:t> </w:t>
      </w:r>
      <w:r>
        <w:rPr/>
        <w:t>in</w:t>
      </w:r>
      <w:r>
        <w:rPr>
          <w:spacing w:val="-8"/>
        </w:rPr>
        <w:t> </w:t>
      </w:r>
      <w:r>
        <w:rPr/>
        <w:t>a</w:t>
      </w:r>
      <w:r>
        <w:rPr>
          <w:spacing w:val="-9"/>
        </w:rPr>
        <w:t> </w:t>
      </w:r>
      <w:r>
        <w:rPr/>
        <w:t>completely</w:t>
      </w:r>
      <w:r>
        <w:rPr>
          <w:spacing w:val="-8"/>
        </w:rPr>
        <w:t> </w:t>
      </w:r>
      <w:r>
        <w:rPr/>
        <w:t>natu- ral and cost-effective way!</w:t>
      </w: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spacing w:before="3"/>
        <w:rPr>
          <w:sz w:val="47"/>
        </w:rPr>
      </w:pPr>
    </w:p>
    <w:p>
      <w:pPr>
        <w:spacing w:before="0"/>
        <w:ind w:left="477" w:right="0" w:firstLine="0"/>
        <w:jc w:val="left"/>
        <w:rPr>
          <w:rFonts w:ascii="Cambria"/>
          <w:b/>
          <w:sz w:val="28"/>
        </w:rPr>
      </w:pPr>
      <w:r>
        <w:rPr>
          <w:rFonts w:ascii="Cambria"/>
          <w:b/>
          <w:color w:val="365F91"/>
          <w:sz w:val="28"/>
        </w:rPr>
        <w:t>BETA-CAROTENE</w:t>
      </w:r>
    </w:p>
    <w:p>
      <w:pPr>
        <w:pStyle w:val="BodyText"/>
        <w:spacing w:before="2"/>
        <w:rPr>
          <w:rFonts w:ascii="Cambria"/>
          <w:b/>
          <w:sz w:val="45"/>
        </w:rPr>
      </w:pPr>
    </w:p>
    <w:p>
      <w:pPr>
        <w:pStyle w:val="Heading2"/>
      </w:pPr>
      <w:r>
        <w:rPr/>
        <w:t>What is it and what does it act against?</w:t>
      </w:r>
    </w:p>
    <w:p>
      <w:pPr>
        <w:pStyle w:val="BodyText"/>
        <w:spacing w:line="276" w:lineRule="auto" w:before="303"/>
        <w:ind w:left="477" w:right="133"/>
        <w:jc w:val="both"/>
      </w:pPr>
      <w:r>
        <w:rPr/>
        <w:t>Beta-carotene</w:t>
      </w:r>
      <w:r>
        <w:rPr>
          <w:spacing w:val="-12"/>
        </w:rPr>
        <w:t> </w:t>
      </w:r>
      <w:r>
        <w:rPr/>
        <w:t>is</w:t>
      </w:r>
      <w:r>
        <w:rPr>
          <w:spacing w:val="-15"/>
        </w:rPr>
        <w:t> </w:t>
      </w:r>
      <w:r>
        <w:rPr/>
        <w:t>just</w:t>
      </w:r>
      <w:r>
        <w:rPr>
          <w:spacing w:val="-11"/>
        </w:rPr>
        <w:t> </w:t>
      </w:r>
      <w:r>
        <w:rPr/>
        <w:t>one</w:t>
      </w:r>
      <w:r>
        <w:rPr>
          <w:spacing w:val="-14"/>
        </w:rPr>
        <w:t> </w:t>
      </w:r>
      <w:r>
        <w:rPr/>
        <w:t>of</w:t>
      </w:r>
      <w:r>
        <w:rPr>
          <w:spacing w:val="-14"/>
        </w:rPr>
        <w:t> </w:t>
      </w:r>
      <w:r>
        <w:rPr/>
        <w:t>more</w:t>
      </w:r>
      <w:r>
        <w:rPr>
          <w:spacing w:val="-13"/>
        </w:rPr>
        <w:t> </w:t>
      </w:r>
      <w:r>
        <w:rPr/>
        <w:t>than</w:t>
      </w:r>
      <w:r>
        <w:rPr>
          <w:spacing w:val="-13"/>
        </w:rPr>
        <w:t> </w:t>
      </w:r>
      <w:r>
        <w:rPr/>
        <w:t>400</w:t>
      </w:r>
      <w:r>
        <w:rPr>
          <w:spacing w:val="-13"/>
        </w:rPr>
        <w:t> </w:t>
      </w:r>
      <w:r>
        <w:rPr/>
        <w:t>carotenoids</w:t>
      </w:r>
      <w:r>
        <w:rPr>
          <w:spacing w:val="-12"/>
        </w:rPr>
        <w:t> </w:t>
      </w:r>
      <w:r>
        <w:rPr/>
        <w:t>which</w:t>
      </w:r>
      <w:r>
        <w:rPr>
          <w:spacing w:val="-13"/>
        </w:rPr>
        <w:t> </w:t>
      </w:r>
      <w:r>
        <w:rPr/>
        <w:t>naturally</w:t>
      </w:r>
      <w:r>
        <w:rPr>
          <w:spacing w:val="-13"/>
        </w:rPr>
        <w:t> </w:t>
      </w:r>
      <w:r>
        <w:rPr/>
        <w:t>occur</w:t>
      </w:r>
      <w:r>
        <w:rPr>
          <w:spacing w:val="-12"/>
        </w:rPr>
        <w:t> </w:t>
      </w:r>
      <w:r>
        <w:rPr/>
        <w:t>in plants</w:t>
      </w:r>
      <w:r>
        <w:rPr>
          <w:spacing w:val="-21"/>
        </w:rPr>
        <w:t> </w:t>
      </w:r>
      <w:r>
        <w:rPr/>
        <w:t>and</w:t>
      </w:r>
      <w:r>
        <w:rPr>
          <w:spacing w:val="-20"/>
        </w:rPr>
        <w:t> </w:t>
      </w:r>
      <w:r>
        <w:rPr/>
        <w:t>fruits</w:t>
      </w:r>
      <w:r>
        <w:rPr>
          <w:spacing w:val="-18"/>
        </w:rPr>
        <w:t> </w:t>
      </w:r>
      <w:r>
        <w:rPr/>
        <w:t>and</w:t>
      </w:r>
      <w:r>
        <w:rPr>
          <w:spacing w:val="-20"/>
        </w:rPr>
        <w:t> </w:t>
      </w:r>
      <w:r>
        <w:rPr/>
        <w:t>give</w:t>
      </w:r>
      <w:r>
        <w:rPr>
          <w:spacing w:val="-20"/>
        </w:rPr>
        <w:t> </w:t>
      </w:r>
      <w:r>
        <w:rPr/>
        <w:t>them</w:t>
      </w:r>
      <w:r>
        <w:rPr>
          <w:spacing w:val="-19"/>
        </w:rPr>
        <w:t> </w:t>
      </w:r>
      <w:r>
        <w:rPr/>
        <w:t>their</w:t>
      </w:r>
      <w:r>
        <w:rPr>
          <w:spacing w:val="-19"/>
        </w:rPr>
        <w:t> </w:t>
      </w:r>
      <w:r>
        <w:rPr/>
        <w:t>colour.</w:t>
      </w:r>
      <w:r>
        <w:rPr>
          <w:spacing w:val="-19"/>
        </w:rPr>
        <w:t> </w:t>
      </w:r>
      <w:r>
        <w:rPr/>
        <w:t>The</w:t>
      </w:r>
      <w:r>
        <w:rPr>
          <w:spacing w:val="-20"/>
        </w:rPr>
        <w:t> </w:t>
      </w:r>
      <w:r>
        <w:rPr/>
        <w:t>special</w:t>
      </w:r>
      <w:r>
        <w:rPr>
          <w:spacing w:val="-21"/>
        </w:rPr>
        <w:t> </w:t>
      </w:r>
      <w:r>
        <w:rPr/>
        <w:t>thing</w:t>
      </w:r>
      <w:r>
        <w:rPr>
          <w:spacing w:val="-20"/>
        </w:rPr>
        <w:t> </w:t>
      </w:r>
      <w:r>
        <w:rPr/>
        <w:t>about</w:t>
      </w:r>
      <w:r>
        <w:rPr>
          <w:spacing w:val="-22"/>
        </w:rPr>
        <w:t> </w:t>
      </w:r>
      <w:r>
        <w:rPr/>
        <w:t>it,</w:t>
      </w:r>
      <w:r>
        <w:rPr>
          <w:spacing w:val="-21"/>
        </w:rPr>
        <w:t> </w:t>
      </w:r>
      <w:r>
        <w:rPr/>
        <w:t>however, is</w:t>
      </w:r>
      <w:r>
        <w:rPr>
          <w:spacing w:val="22"/>
        </w:rPr>
        <w:t> </w:t>
      </w:r>
      <w:r>
        <w:rPr/>
        <w:t>that</w:t>
      </w:r>
      <w:r>
        <w:rPr>
          <w:spacing w:val="22"/>
        </w:rPr>
        <w:t> </w:t>
      </w:r>
      <w:r>
        <w:rPr/>
        <w:t>it</w:t>
      </w:r>
      <w:r>
        <w:rPr>
          <w:spacing w:val="21"/>
        </w:rPr>
        <w:t> </w:t>
      </w:r>
      <w:r>
        <w:rPr/>
        <w:t>is</w:t>
      </w:r>
      <w:r>
        <w:rPr>
          <w:spacing w:val="23"/>
        </w:rPr>
        <w:t> </w:t>
      </w:r>
      <w:r>
        <w:rPr/>
        <w:t>most</w:t>
      </w:r>
      <w:r>
        <w:rPr>
          <w:spacing w:val="25"/>
        </w:rPr>
        <w:t> </w:t>
      </w:r>
      <w:r>
        <w:rPr/>
        <w:t>common</w:t>
      </w:r>
      <w:r>
        <w:rPr>
          <w:spacing w:val="23"/>
        </w:rPr>
        <w:t> </w:t>
      </w:r>
      <w:r>
        <w:rPr/>
        <w:t>of</w:t>
      </w:r>
      <w:r>
        <w:rPr>
          <w:spacing w:val="23"/>
        </w:rPr>
        <w:t> </w:t>
      </w:r>
      <w:r>
        <w:rPr/>
        <w:t>all.</w:t>
      </w:r>
      <w:r>
        <w:rPr>
          <w:spacing w:val="24"/>
        </w:rPr>
        <w:t> </w:t>
      </w:r>
      <w:r>
        <w:rPr/>
        <w:t>Beta-carotene</w:t>
      </w:r>
      <w:r>
        <w:rPr>
          <w:spacing w:val="23"/>
        </w:rPr>
        <w:t> </w:t>
      </w:r>
      <w:r>
        <w:rPr/>
        <w:t>is</w:t>
      </w:r>
      <w:r>
        <w:rPr>
          <w:spacing w:val="22"/>
        </w:rPr>
        <w:t> </w:t>
      </w:r>
      <w:r>
        <w:rPr/>
        <w:t>the</w:t>
      </w:r>
      <w:r>
        <w:rPr>
          <w:spacing w:val="23"/>
        </w:rPr>
        <w:t> </w:t>
      </w:r>
      <w:r>
        <w:rPr/>
        <w:t>precursor</w:t>
      </w:r>
      <w:r>
        <w:rPr>
          <w:spacing w:val="22"/>
        </w:rPr>
        <w:t> </w:t>
      </w:r>
      <w:r>
        <w:rPr/>
        <w:t>to</w:t>
      </w:r>
      <w:r>
        <w:rPr>
          <w:spacing w:val="23"/>
        </w:rPr>
        <w:t> </w:t>
      </w:r>
      <w:r>
        <w:rPr/>
        <w:t>vitamin</w:t>
      </w:r>
      <w:r>
        <w:rPr>
          <w:spacing w:val="23"/>
        </w:rPr>
        <w:t> </w:t>
      </w:r>
      <w:r>
        <w:rPr/>
        <w:t>A,</w:t>
      </w:r>
    </w:p>
    <w:p>
      <w:pPr>
        <w:spacing w:after="0" w:line="276" w:lineRule="auto"/>
        <w:jc w:val="both"/>
        <w:sectPr>
          <w:pgSz w:w="14270" w:h="16850"/>
          <w:pgMar w:header="0" w:footer="1891" w:top="1600" w:bottom="2080" w:left="800" w:right="1280"/>
        </w:sectPr>
      </w:pPr>
    </w:p>
    <w:p>
      <w:pPr>
        <w:pStyle w:val="BodyText"/>
        <w:spacing w:line="276" w:lineRule="auto" w:before="181"/>
        <w:ind w:left="477" w:right="130"/>
        <w:jc w:val="both"/>
      </w:pPr>
      <w:r>
        <w:rPr/>
        <w:t>which is why it is often referred to as ‘provitamin A’. Theoretically, a beta-car- otene</w:t>
      </w:r>
      <w:r>
        <w:rPr>
          <w:spacing w:val="-10"/>
        </w:rPr>
        <w:t> </w:t>
      </w:r>
      <w:r>
        <w:rPr/>
        <w:t>molecule</w:t>
      </w:r>
      <w:r>
        <w:rPr>
          <w:spacing w:val="-11"/>
        </w:rPr>
        <w:t> </w:t>
      </w:r>
      <w:r>
        <w:rPr/>
        <w:t>can</w:t>
      </w:r>
      <w:r>
        <w:rPr>
          <w:spacing w:val="-8"/>
        </w:rPr>
        <w:t> </w:t>
      </w:r>
      <w:r>
        <w:rPr/>
        <w:t>be</w:t>
      </w:r>
      <w:r>
        <w:rPr>
          <w:spacing w:val="-11"/>
        </w:rPr>
        <w:t> </w:t>
      </w:r>
      <w:r>
        <w:rPr/>
        <w:t>split</w:t>
      </w:r>
      <w:r>
        <w:rPr>
          <w:spacing w:val="-11"/>
        </w:rPr>
        <w:t> </w:t>
      </w:r>
      <w:r>
        <w:rPr/>
        <w:t>into</w:t>
      </w:r>
      <w:r>
        <w:rPr>
          <w:spacing w:val="-11"/>
        </w:rPr>
        <w:t> </w:t>
      </w:r>
      <w:r>
        <w:rPr/>
        <w:t>two</w:t>
      </w:r>
      <w:r>
        <w:rPr>
          <w:spacing w:val="-9"/>
        </w:rPr>
        <w:t> </w:t>
      </w:r>
      <w:r>
        <w:rPr/>
        <w:t>vitamin</w:t>
      </w:r>
      <w:r>
        <w:rPr>
          <w:spacing w:val="-10"/>
        </w:rPr>
        <w:t> </w:t>
      </w:r>
      <w:r>
        <w:rPr/>
        <w:t>A</w:t>
      </w:r>
      <w:r>
        <w:rPr>
          <w:spacing w:val="-10"/>
        </w:rPr>
        <w:t> </w:t>
      </w:r>
      <w:r>
        <w:rPr/>
        <w:t>molecules;</w:t>
      </w:r>
      <w:r>
        <w:rPr>
          <w:spacing w:val="-8"/>
        </w:rPr>
        <w:t> </w:t>
      </w:r>
      <w:r>
        <w:rPr/>
        <w:t>in</w:t>
      </w:r>
      <w:r>
        <w:rPr>
          <w:spacing w:val="-9"/>
        </w:rPr>
        <w:t> </w:t>
      </w:r>
      <w:r>
        <w:rPr/>
        <w:t>practice,</w:t>
      </w:r>
      <w:r>
        <w:rPr>
          <w:spacing w:val="-8"/>
        </w:rPr>
        <w:t> </w:t>
      </w:r>
      <w:r>
        <w:rPr/>
        <w:t>however, only part of the beta-carotene in the human body is converted to vitamin</w:t>
      </w:r>
      <w:r>
        <w:rPr>
          <w:spacing w:val="-26"/>
        </w:rPr>
        <w:t> </w:t>
      </w:r>
      <w:r>
        <w:rPr/>
        <w:t>A.</w:t>
      </w:r>
    </w:p>
    <w:p>
      <w:pPr>
        <w:pStyle w:val="BodyText"/>
        <w:spacing w:line="276" w:lineRule="auto" w:before="242"/>
        <w:ind w:left="477" w:right="133"/>
        <w:jc w:val="both"/>
      </w:pPr>
      <w:r>
        <w:rPr/>
        <w:t>The second surprising aspect is that beta-carotene is the most active of all ca- rotenoids in terms of vitamin A effect. As insignificant as this may sound to a layperson at first, on closer examination, beta-carotene is surprising as it plays a</w:t>
      </w:r>
      <w:r>
        <w:rPr>
          <w:spacing w:val="-10"/>
        </w:rPr>
        <w:t> </w:t>
      </w:r>
      <w:r>
        <w:rPr/>
        <w:t>key</w:t>
      </w:r>
      <w:r>
        <w:rPr>
          <w:spacing w:val="-9"/>
        </w:rPr>
        <w:t> </w:t>
      </w:r>
      <w:r>
        <w:rPr/>
        <w:t>role</w:t>
      </w:r>
      <w:r>
        <w:rPr>
          <w:spacing w:val="-12"/>
        </w:rPr>
        <w:t> </w:t>
      </w:r>
      <w:r>
        <w:rPr/>
        <w:t>in</w:t>
      </w:r>
      <w:r>
        <w:rPr>
          <w:spacing w:val="-9"/>
        </w:rPr>
        <w:t> </w:t>
      </w:r>
      <w:r>
        <w:rPr/>
        <w:t>many</w:t>
      </w:r>
      <w:r>
        <w:rPr>
          <w:spacing w:val="-9"/>
        </w:rPr>
        <w:t> </w:t>
      </w:r>
      <w:r>
        <w:rPr/>
        <w:t>important</w:t>
      </w:r>
      <w:r>
        <w:rPr>
          <w:spacing w:val="-12"/>
        </w:rPr>
        <w:t> </w:t>
      </w:r>
      <w:r>
        <w:rPr/>
        <w:t>processes</w:t>
      </w:r>
      <w:r>
        <w:rPr>
          <w:spacing w:val="-10"/>
        </w:rPr>
        <w:t> </w:t>
      </w:r>
      <w:r>
        <w:rPr/>
        <w:t>within</w:t>
      </w:r>
      <w:r>
        <w:rPr>
          <w:spacing w:val="-9"/>
        </w:rPr>
        <w:t> </w:t>
      </w:r>
      <w:r>
        <w:rPr/>
        <w:t>our</w:t>
      </w:r>
      <w:r>
        <w:rPr>
          <w:spacing w:val="-10"/>
        </w:rPr>
        <w:t> </w:t>
      </w:r>
      <w:r>
        <w:rPr/>
        <w:t>bodies.</w:t>
      </w:r>
      <w:r>
        <w:rPr>
          <w:spacing w:val="-11"/>
        </w:rPr>
        <w:t> </w:t>
      </w:r>
      <w:r>
        <w:rPr/>
        <w:t>It</w:t>
      </w:r>
      <w:r>
        <w:rPr>
          <w:spacing w:val="-10"/>
        </w:rPr>
        <w:t> </w:t>
      </w:r>
      <w:r>
        <w:rPr/>
        <w:t>plays</w:t>
      </w:r>
      <w:r>
        <w:rPr>
          <w:spacing w:val="-8"/>
        </w:rPr>
        <w:t> </w:t>
      </w:r>
      <w:r>
        <w:rPr/>
        <w:t>an</w:t>
      </w:r>
      <w:r>
        <w:rPr>
          <w:spacing w:val="-9"/>
        </w:rPr>
        <w:t> </w:t>
      </w:r>
      <w:r>
        <w:rPr/>
        <w:t>important role</w:t>
      </w:r>
      <w:r>
        <w:rPr>
          <w:spacing w:val="-19"/>
        </w:rPr>
        <w:t> </w:t>
      </w:r>
      <w:r>
        <w:rPr/>
        <w:t>in</w:t>
      </w:r>
      <w:r>
        <w:rPr>
          <w:spacing w:val="-20"/>
        </w:rPr>
        <w:t> </w:t>
      </w:r>
      <w:r>
        <w:rPr/>
        <w:t>reproduction,</w:t>
      </w:r>
      <w:r>
        <w:rPr>
          <w:spacing w:val="-17"/>
        </w:rPr>
        <w:t> </w:t>
      </w:r>
      <w:r>
        <w:rPr/>
        <w:t>growth,</w:t>
      </w:r>
      <w:r>
        <w:rPr>
          <w:spacing w:val="-17"/>
        </w:rPr>
        <w:t> </w:t>
      </w:r>
      <w:r>
        <w:rPr/>
        <w:t>cell</w:t>
      </w:r>
      <w:r>
        <w:rPr>
          <w:spacing w:val="-23"/>
        </w:rPr>
        <w:t> </w:t>
      </w:r>
      <w:r>
        <w:rPr/>
        <w:t>metabolism</w:t>
      </w:r>
      <w:r>
        <w:rPr>
          <w:spacing w:val="-18"/>
        </w:rPr>
        <w:t> </w:t>
      </w:r>
      <w:r>
        <w:rPr/>
        <w:t>and</w:t>
      </w:r>
      <w:r>
        <w:rPr>
          <w:spacing w:val="-20"/>
        </w:rPr>
        <w:t> </w:t>
      </w:r>
      <w:r>
        <w:rPr/>
        <w:t>cell</w:t>
      </w:r>
      <w:r>
        <w:rPr>
          <w:spacing w:val="-18"/>
        </w:rPr>
        <w:t> </w:t>
      </w:r>
      <w:r>
        <w:rPr/>
        <w:t>protection,</w:t>
      </w:r>
      <w:r>
        <w:rPr>
          <w:spacing w:val="-19"/>
        </w:rPr>
        <w:t> </w:t>
      </w:r>
      <w:r>
        <w:rPr/>
        <w:t>immunity</w:t>
      </w:r>
      <w:r>
        <w:rPr>
          <w:spacing w:val="-18"/>
        </w:rPr>
        <w:t> </w:t>
      </w:r>
      <w:r>
        <w:rPr/>
        <w:t>and even the regulation of the fat metabolism. We need it for healthy skin and for our</w:t>
      </w:r>
      <w:r>
        <w:rPr>
          <w:spacing w:val="-14"/>
        </w:rPr>
        <w:t> </w:t>
      </w:r>
      <w:r>
        <w:rPr/>
        <w:t>eyes</w:t>
      </w:r>
      <w:r>
        <w:rPr>
          <w:spacing w:val="-13"/>
        </w:rPr>
        <w:t> </w:t>
      </w:r>
      <w:r>
        <w:rPr/>
        <w:t>and</w:t>
      </w:r>
      <w:r>
        <w:rPr>
          <w:spacing w:val="-13"/>
        </w:rPr>
        <w:t> </w:t>
      </w:r>
      <w:r>
        <w:rPr/>
        <w:t>hair,</w:t>
      </w:r>
      <w:r>
        <w:rPr>
          <w:spacing w:val="-13"/>
        </w:rPr>
        <w:t> </w:t>
      </w:r>
      <w:r>
        <w:rPr/>
        <w:t>and</w:t>
      </w:r>
      <w:r>
        <w:rPr>
          <w:spacing w:val="-13"/>
        </w:rPr>
        <w:t> </w:t>
      </w:r>
      <w:r>
        <w:rPr/>
        <w:t>our</w:t>
      </w:r>
      <w:r>
        <w:rPr>
          <w:spacing w:val="-14"/>
        </w:rPr>
        <w:t> </w:t>
      </w:r>
      <w:r>
        <w:rPr/>
        <w:t>mucous</w:t>
      </w:r>
      <w:r>
        <w:rPr>
          <w:spacing w:val="-14"/>
        </w:rPr>
        <w:t> </w:t>
      </w:r>
      <w:r>
        <w:rPr/>
        <w:t>membranes</w:t>
      </w:r>
      <w:r>
        <w:rPr>
          <w:spacing w:val="-12"/>
        </w:rPr>
        <w:t> </w:t>
      </w:r>
      <w:r>
        <w:rPr/>
        <w:t>also</w:t>
      </w:r>
      <w:r>
        <w:rPr>
          <w:spacing w:val="-13"/>
        </w:rPr>
        <w:t> </w:t>
      </w:r>
      <w:r>
        <w:rPr/>
        <w:t>rely</w:t>
      </w:r>
      <w:r>
        <w:rPr>
          <w:spacing w:val="-14"/>
        </w:rPr>
        <w:t> </w:t>
      </w:r>
      <w:r>
        <w:rPr/>
        <w:t>on</w:t>
      </w:r>
      <w:r>
        <w:rPr>
          <w:spacing w:val="-13"/>
        </w:rPr>
        <w:t> </w:t>
      </w:r>
      <w:r>
        <w:rPr/>
        <w:t>beta-carotene.</w:t>
      </w:r>
      <w:r>
        <w:rPr>
          <w:spacing w:val="-12"/>
        </w:rPr>
        <w:t> </w:t>
      </w:r>
      <w:r>
        <w:rPr/>
        <w:t>Beta- carotene</w:t>
      </w:r>
      <w:r>
        <w:rPr>
          <w:spacing w:val="-17"/>
        </w:rPr>
        <w:t> </w:t>
      </w:r>
      <w:r>
        <w:rPr/>
        <w:t>is</w:t>
      </w:r>
      <w:r>
        <w:rPr>
          <w:spacing w:val="-17"/>
        </w:rPr>
        <w:t> </w:t>
      </w:r>
      <w:r>
        <w:rPr/>
        <w:t>a</w:t>
      </w:r>
      <w:r>
        <w:rPr>
          <w:spacing w:val="-18"/>
        </w:rPr>
        <w:t> </w:t>
      </w:r>
      <w:r>
        <w:rPr/>
        <w:t>very</w:t>
      </w:r>
      <w:r>
        <w:rPr>
          <w:spacing w:val="-16"/>
        </w:rPr>
        <w:t> </w:t>
      </w:r>
      <w:r>
        <w:rPr/>
        <w:t>important</w:t>
      </w:r>
      <w:r>
        <w:rPr>
          <w:spacing w:val="-18"/>
        </w:rPr>
        <w:t> </w:t>
      </w:r>
      <w:r>
        <w:rPr/>
        <w:t>antioxidant</w:t>
      </w:r>
      <w:r>
        <w:rPr>
          <w:spacing w:val="-17"/>
        </w:rPr>
        <w:t> </w:t>
      </w:r>
      <w:r>
        <w:rPr/>
        <w:t>(radical</w:t>
      </w:r>
      <w:r>
        <w:rPr>
          <w:spacing w:val="-15"/>
        </w:rPr>
        <w:t> </w:t>
      </w:r>
      <w:r>
        <w:rPr/>
        <w:t>scavenger)</w:t>
      </w:r>
      <w:r>
        <w:rPr>
          <w:spacing w:val="-17"/>
        </w:rPr>
        <w:t> </w:t>
      </w:r>
      <w:r>
        <w:rPr/>
        <w:t>and,</w:t>
      </w:r>
      <w:r>
        <w:rPr>
          <w:spacing w:val="-17"/>
        </w:rPr>
        <w:t> </w:t>
      </w:r>
      <w:r>
        <w:rPr/>
        <w:t>in</w:t>
      </w:r>
      <w:r>
        <w:rPr>
          <w:spacing w:val="-16"/>
        </w:rPr>
        <w:t> </w:t>
      </w:r>
      <w:r>
        <w:rPr/>
        <w:t>this</w:t>
      </w:r>
      <w:r>
        <w:rPr>
          <w:spacing w:val="-15"/>
        </w:rPr>
        <w:t> </w:t>
      </w:r>
      <w:r>
        <w:rPr/>
        <w:t>capacity, is</w:t>
      </w:r>
      <w:r>
        <w:rPr>
          <w:spacing w:val="-18"/>
        </w:rPr>
        <w:t> </w:t>
      </w:r>
      <w:r>
        <w:rPr/>
        <w:t>a</w:t>
      </w:r>
      <w:r>
        <w:rPr>
          <w:spacing w:val="-18"/>
        </w:rPr>
        <w:t> </w:t>
      </w:r>
      <w:r>
        <w:rPr/>
        <w:t>very</w:t>
      </w:r>
      <w:r>
        <w:rPr>
          <w:spacing w:val="-18"/>
        </w:rPr>
        <w:t> </w:t>
      </w:r>
      <w:r>
        <w:rPr/>
        <w:t>powerful</w:t>
      </w:r>
      <w:r>
        <w:rPr>
          <w:spacing w:val="-18"/>
        </w:rPr>
        <w:t> </w:t>
      </w:r>
      <w:r>
        <w:rPr/>
        <w:t>protector</w:t>
      </w:r>
      <w:r>
        <w:rPr>
          <w:spacing w:val="-17"/>
        </w:rPr>
        <w:t> </w:t>
      </w:r>
      <w:r>
        <w:rPr/>
        <w:t>of</w:t>
      </w:r>
      <w:r>
        <w:rPr>
          <w:spacing w:val="-19"/>
        </w:rPr>
        <w:t> </w:t>
      </w:r>
      <w:r>
        <w:rPr/>
        <w:t>our</w:t>
      </w:r>
      <w:r>
        <w:rPr>
          <w:spacing w:val="-17"/>
        </w:rPr>
        <w:t> </w:t>
      </w:r>
      <w:r>
        <w:rPr/>
        <w:t>cells;</w:t>
      </w:r>
      <w:r>
        <w:rPr>
          <w:spacing w:val="-16"/>
        </w:rPr>
        <w:t> </w:t>
      </w:r>
      <w:r>
        <w:rPr/>
        <w:t>it</w:t>
      </w:r>
      <w:r>
        <w:rPr>
          <w:spacing w:val="-20"/>
        </w:rPr>
        <w:t> </w:t>
      </w:r>
      <w:r>
        <w:rPr/>
        <w:t>has</w:t>
      </w:r>
      <w:r>
        <w:rPr>
          <w:spacing w:val="-18"/>
        </w:rPr>
        <w:t> </w:t>
      </w:r>
      <w:r>
        <w:rPr/>
        <w:t>been</w:t>
      </w:r>
      <w:r>
        <w:rPr>
          <w:spacing w:val="-17"/>
        </w:rPr>
        <w:t> </w:t>
      </w:r>
      <w:r>
        <w:rPr/>
        <w:t>shown</w:t>
      </w:r>
      <w:r>
        <w:rPr>
          <w:spacing w:val="-17"/>
        </w:rPr>
        <w:t> </w:t>
      </w:r>
      <w:r>
        <w:rPr/>
        <w:t>to</w:t>
      </w:r>
      <w:r>
        <w:rPr>
          <w:spacing w:val="-19"/>
        </w:rPr>
        <w:t> </w:t>
      </w:r>
      <w:r>
        <w:rPr/>
        <w:t>protect</w:t>
      </w:r>
      <w:r>
        <w:rPr>
          <w:spacing w:val="-17"/>
        </w:rPr>
        <w:t> </w:t>
      </w:r>
      <w:r>
        <w:rPr/>
        <w:t>effectively against even serious diseases, such as cancer and cardiovascular</w:t>
      </w:r>
      <w:r>
        <w:rPr>
          <w:spacing w:val="-5"/>
        </w:rPr>
        <w:t> </w:t>
      </w:r>
      <w:r>
        <w:rPr/>
        <w:t>disease.</w:t>
      </w:r>
    </w:p>
    <w:p>
      <w:pPr>
        <w:pStyle w:val="BodyText"/>
        <w:spacing w:line="276" w:lineRule="auto" w:before="239"/>
        <w:ind w:left="477" w:right="135"/>
        <w:jc w:val="both"/>
      </w:pPr>
      <w:r>
        <w:rPr/>
        <w:t>It is not an exotic substance, or even a new one, but a natural one as old as the plants that contain it. Therefore, beta-carotene has been a significant health- giving companion of homo sapiens since time</w:t>
      </w:r>
      <w:r>
        <w:rPr>
          <w:spacing w:val="-2"/>
        </w:rPr>
        <w:t> </w:t>
      </w:r>
      <w:r>
        <w:rPr/>
        <w:t>immemorial.</w:t>
      </w:r>
    </w:p>
    <w:p>
      <w:pPr>
        <w:pStyle w:val="BodyText"/>
        <w:spacing w:line="276" w:lineRule="auto" w:before="242"/>
        <w:ind w:left="477" w:right="134"/>
        <w:jc w:val="both"/>
      </w:pPr>
      <w:r>
        <w:rPr/>
        <w:t>Unfortunately, beta-carotene has remained in the shadows over the years. As surprising as this may seem, science has only been interested in it for some 40 years,</w:t>
      </w:r>
      <w:r>
        <w:rPr>
          <w:spacing w:val="-16"/>
        </w:rPr>
        <w:t> </w:t>
      </w:r>
      <w:r>
        <w:rPr/>
        <w:t>but</w:t>
      </w:r>
      <w:r>
        <w:rPr>
          <w:spacing w:val="-17"/>
        </w:rPr>
        <w:t> </w:t>
      </w:r>
      <w:r>
        <w:rPr/>
        <w:t>has</w:t>
      </w:r>
      <w:r>
        <w:rPr>
          <w:spacing w:val="-16"/>
        </w:rPr>
        <w:t> </w:t>
      </w:r>
      <w:r>
        <w:rPr/>
        <w:t>gained</w:t>
      </w:r>
      <w:r>
        <w:rPr>
          <w:spacing w:val="-15"/>
        </w:rPr>
        <w:t> </w:t>
      </w:r>
      <w:r>
        <w:rPr/>
        <w:t>breath-taking</w:t>
      </w:r>
      <w:r>
        <w:rPr>
          <w:spacing w:val="-16"/>
        </w:rPr>
        <w:t> </w:t>
      </w:r>
      <w:r>
        <w:rPr/>
        <w:t>insights,</w:t>
      </w:r>
      <w:r>
        <w:rPr>
          <w:spacing w:val="-15"/>
        </w:rPr>
        <w:t> </w:t>
      </w:r>
      <w:r>
        <w:rPr/>
        <w:t>which</w:t>
      </w:r>
      <w:r>
        <w:rPr>
          <w:spacing w:val="-17"/>
        </w:rPr>
        <w:t> </w:t>
      </w:r>
      <w:r>
        <w:rPr/>
        <w:t>this</w:t>
      </w:r>
      <w:r>
        <w:rPr>
          <w:spacing w:val="-15"/>
        </w:rPr>
        <w:t> </w:t>
      </w:r>
      <w:r>
        <w:rPr/>
        <w:t>section</w:t>
      </w:r>
      <w:r>
        <w:rPr>
          <w:spacing w:val="-15"/>
        </w:rPr>
        <w:t> </w:t>
      </w:r>
      <w:r>
        <w:rPr/>
        <w:t>will</w:t>
      </w:r>
      <w:r>
        <w:rPr>
          <w:spacing w:val="-18"/>
        </w:rPr>
        <w:t> </w:t>
      </w:r>
      <w:r>
        <w:rPr/>
        <w:t>examine.</w:t>
      </w:r>
      <w:r>
        <w:rPr>
          <w:spacing w:val="-15"/>
        </w:rPr>
        <w:t> </w:t>
      </w:r>
      <w:r>
        <w:rPr/>
        <w:t>We see its industrial use in the form of natural dyes to give certain foods, such as margarine, butter or fruit juices, an appetising colour and preserve them in a natural way (similar to how it ‘preserves’ the human</w:t>
      </w:r>
      <w:r>
        <w:rPr>
          <w:spacing w:val="-2"/>
        </w:rPr>
        <w:t> </w:t>
      </w:r>
      <w:r>
        <w:rPr/>
        <w:t>body!).</w:t>
      </w:r>
    </w:p>
    <w:p>
      <w:pPr>
        <w:spacing w:after="0" w:line="276" w:lineRule="auto"/>
        <w:jc w:val="both"/>
        <w:sectPr>
          <w:pgSz w:w="14270" w:h="16850"/>
          <w:pgMar w:header="0" w:footer="1891" w:top="1600" w:bottom="2080" w:left="800" w:right="1280"/>
        </w:sectPr>
      </w:pPr>
    </w:p>
    <w:p>
      <w:pPr>
        <w:pStyle w:val="BodyText"/>
        <w:spacing w:line="276" w:lineRule="auto" w:before="181"/>
        <w:ind w:left="477" w:right="132"/>
        <w:jc w:val="both"/>
      </w:pPr>
      <w:r>
        <w:rPr/>
        <w:t>Beta-carotene</w:t>
      </w:r>
      <w:r>
        <w:rPr>
          <w:spacing w:val="-7"/>
        </w:rPr>
        <w:t> </w:t>
      </w:r>
      <w:r>
        <w:rPr/>
        <w:t>provides</w:t>
      </w:r>
      <w:r>
        <w:rPr>
          <w:spacing w:val="-8"/>
        </w:rPr>
        <w:t> </w:t>
      </w:r>
      <w:r>
        <w:rPr/>
        <w:t>you</w:t>
      </w:r>
      <w:r>
        <w:rPr>
          <w:spacing w:val="-8"/>
        </w:rPr>
        <w:t> </w:t>
      </w:r>
      <w:r>
        <w:rPr/>
        <w:t>with</w:t>
      </w:r>
      <w:r>
        <w:rPr>
          <w:spacing w:val="-10"/>
        </w:rPr>
        <w:t> </w:t>
      </w:r>
      <w:r>
        <w:rPr/>
        <w:t>a</w:t>
      </w:r>
      <w:r>
        <w:rPr>
          <w:spacing w:val="-8"/>
        </w:rPr>
        <w:t> </w:t>
      </w:r>
      <w:r>
        <w:rPr/>
        <w:t>natural</w:t>
      </w:r>
      <w:r>
        <w:rPr>
          <w:spacing w:val="-9"/>
        </w:rPr>
        <w:t> </w:t>
      </w:r>
      <w:r>
        <w:rPr/>
        <w:t>substance</w:t>
      </w:r>
      <w:r>
        <w:rPr>
          <w:spacing w:val="-8"/>
        </w:rPr>
        <w:t> </w:t>
      </w:r>
      <w:r>
        <w:rPr/>
        <w:t>that,</w:t>
      </w:r>
      <w:r>
        <w:rPr>
          <w:spacing w:val="-6"/>
        </w:rPr>
        <w:t> </w:t>
      </w:r>
      <w:r>
        <w:rPr/>
        <w:t>as</w:t>
      </w:r>
      <w:r>
        <w:rPr>
          <w:spacing w:val="-10"/>
        </w:rPr>
        <w:t> </w:t>
      </w:r>
      <w:r>
        <w:rPr/>
        <w:t>verified</w:t>
      </w:r>
      <w:r>
        <w:rPr>
          <w:spacing w:val="-7"/>
        </w:rPr>
        <w:t> </w:t>
      </w:r>
      <w:r>
        <w:rPr/>
        <w:t>by</w:t>
      </w:r>
      <w:r>
        <w:rPr>
          <w:spacing w:val="-3"/>
        </w:rPr>
        <w:t> </w:t>
      </w:r>
      <w:r>
        <w:rPr/>
        <w:t>studies, can reduce myocardial infarction by up to 50 %, protects against cancer and,</w:t>
      </w:r>
      <w:r>
        <w:rPr>
          <w:spacing w:val="-66"/>
        </w:rPr>
        <w:t> </w:t>
      </w:r>
      <w:r>
        <w:rPr/>
        <w:t>as a</w:t>
      </w:r>
      <w:r>
        <w:rPr>
          <w:spacing w:val="-16"/>
        </w:rPr>
        <w:t> </w:t>
      </w:r>
      <w:r>
        <w:rPr/>
        <w:t>radical</w:t>
      </w:r>
      <w:r>
        <w:rPr>
          <w:spacing w:val="-15"/>
        </w:rPr>
        <w:t> </w:t>
      </w:r>
      <w:r>
        <w:rPr/>
        <w:t>scavenger,</w:t>
      </w:r>
      <w:r>
        <w:rPr>
          <w:spacing w:val="-13"/>
        </w:rPr>
        <w:t> </w:t>
      </w:r>
      <w:r>
        <w:rPr/>
        <w:t>offers</w:t>
      </w:r>
      <w:r>
        <w:rPr>
          <w:spacing w:val="-13"/>
        </w:rPr>
        <w:t> </w:t>
      </w:r>
      <w:r>
        <w:rPr/>
        <w:t>comprehensive</w:t>
      </w:r>
      <w:r>
        <w:rPr>
          <w:spacing w:val="-13"/>
        </w:rPr>
        <w:t> </w:t>
      </w:r>
      <w:r>
        <w:rPr/>
        <w:t>protection</w:t>
      </w:r>
      <w:r>
        <w:rPr>
          <w:spacing w:val="-13"/>
        </w:rPr>
        <w:t> </w:t>
      </w:r>
      <w:r>
        <w:rPr/>
        <w:t>against</w:t>
      </w:r>
      <w:r>
        <w:rPr>
          <w:spacing w:val="-14"/>
        </w:rPr>
        <w:t> </w:t>
      </w:r>
      <w:r>
        <w:rPr/>
        <w:t>countless</w:t>
      </w:r>
      <w:r>
        <w:rPr>
          <w:spacing w:val="-14"/>
        </w:rPr>
        <w:t> </w:t>
      </w:r>
      <w:r>
        <w:rPr/>
        <w:t>other</w:t>
      </w:r>
      <w:r>
        <w:rPr>
          <w:spacing w:val="-13"/>
        </w:rPr>
        <w:t> </w:t>
      </w:r>
      <w:r>
        <w:rPr/>
        <w:t>ill- nesses and premature biological</w:t>
      </w:r>
      <w:r>
        <w:rPr>
          <w:spacing w:val="2"/>
        </w:rPr>
        <w:t> </w:t>
      </w:r>
      <w:r>
        <w:rPr/>
        <w:t>ageing.</w:t>
      </w:r>
    </w:p>
    <w:p>
      <w:pPr>
        <w:pStyle w:val="BodyText"/>
        <w:spacing w:before="9"/>
        <w:rPr>
          <w:sz w:val="42"/>
        </w:rPr>
      </w:pPr>
    </w:p>
    <w:p>
      <w:pPr>
        <w:pStyle w:val="Heading2"/>
      </w:pPr>
      <w:r>
        <w:rPr/>
        <w:t>Which foods contain beta-carotene and in what quantities?</w:t>
      </w:r>
    </w:p>
    <w:p>
      <w:pPr>
        <w:pStyle w:val="BodyText"/>
        <w:spacing w:line="276" w:lineRule="auto" w:before="303"/>
        <w:ind w:left="477" w:right="134"/>
        <w:jc w:val="both"/>
      </w:pPr>
      <w:r>
        <w:rPr/>
        <w:t>The name ‘beta-carotene’ suggests an increased occurrence in carrots, but this is not exclusively so. One of the best sources of beta-carotene is spirulina, an algae that contains as much carotene in 10 g as there is in 156 g of carrots.</w:t>
      </w:r>
    </w:p>
    <w:p>
      <w:pPr>
        <w:pStyle w:val="Heading2"/>
        <w:spacing w:before="241"/>
      </w:pPr>
      <w:r>
        <w:rPr/>
        <w:t>Where is beta-carotene most common? What are the best sources?</w:t>
      </w:r>
    </w:p>
    <w:p>
      <w:pPr>
        <w:pStyle w:val="BodyText"/>
        <w:spacing w:line="276" w:lineRule="auto" w:before="305"/>
        <w:ind w:left="477" w:right="135"/>
        <w:jc w:val="both"/>
      </w:pPr>
      <w:r>
        <w:rPr/>
        <w:t>The best sources of beta-carotene are, in addition to the spirulina algae:</w:t>
      </w:r>
      <w:r>
        <w:rPr>
          <w:spacing w:val="-63"/>
        </w:rPr>
        <w:t> </w:t>
      </w:r>
      <w:r>
        <w:rPr/>
        <w:t>yellow, orange and dark green vegetables and fruits.</w:t>
      </w:r>
    </w:p>
    <w:p>
      <w:pPr>
        <w:pStyle w:val="Heading1"/>
        <w:spacing w:before="221"/>
      </w:pPr>
      <w:r>
        <w:rPr/>
        <w:t>To be more precise, these are:</w:t>
      </w:r>
    </w:p>
    <w:p>
      <w:pPr>
        <w:pStyle w:val="ListParagraph"/>
        <w:numPr>
          <w:ilvl w:val="0"/>
          <w:numId w:val="21"/>
        </w:numPr>
        <w:tabs>
          <w:tab w:pos="1189" w:val="left" w:leader="none"/>
          <w:tab w:pos="1191" w:val="left" w:leader="none"/>
        </w:tabs>
        <w:spacing w:line="240" w:lineRule="auto" w:before="299" w:after="0"/>
        <w:ind w:left="1190" w:right="0" w:hanging="356"/>
        <w:jc w:val="left"/>
        <w:rPr>
          <w:sz w:val="38"/>
        </w:rPr>
      </w:pPr>
      <w:r>
        <w:rPr>
          <w:sz w:val="38"/>
        </w:rPr>
        <w:t>yellow/orange fruits: apricots, nectarines, peaches, mangoes,</w:t>
      </w:r>
      <w:r>
        <w:rPr>
          <w:spacing w:val="-9"/>
          <w:sz w:val="38"/>
        </w:rPr>
        <w:t> </w:t>
      </w:r>
      <w:r>
        <w:rPr>
          <w:sz w:val="38"/>
        </w:rPr>
        <w:t>papayas</w:t>
      </w:r>
    </w:p>
    <w:p>
      <w:pPr>
        <w:pStyle w:val="ListParagraph"/>
        <w:numPr>
          <w:ilvl w:val="0"/>
          <w:numId w:val="21"/>
        </w:numPr>
        <w:tabs>
          <w:tab w:pos="1189" w:val="left" w:leader="none"/>
          <w:tab w:pos="1191" w:val="left" w:leader="none"/>
        </w:tabs>
        <w:spacing w:line="240" w:lineRule="auto" w:before="185" w:after="0"/>
        <w:ind w:left="1190" w:right="0" w:hanging="356"/>
        <w:jc w:val="left"/>
        <w:rPr>
          <w:sz w:val="38"/>
        </w:rPr>
      </w:pPr>
      <w:r>
        <w:rPr>
          <w:sz w:val="38"/>
        </w:rPr>
        <w:t>yellow/orange vegetables: pumpkin, carrots, sweet</w:t>
      </w:r>
      <w:r>
        <w:rPr>
          <w:spacing w:val="-2"/>
          <w:sz w:val="38"/>
        </w:rPr>
        <w:t> </w:t>
      </w:r>
      <w:r>
        <w:rPr>
          <w:sz w:val="38"/>
        </w:rPr>
        <w:t>potatoes</w:t>
      </w:r>
    </w:p>
    <w:p>
      <w:pPr>
        <w:pStyle w:val="ListParagraph"/>
        <w:numPr>
          <w:ilvl w:val="0"/>
          <w:numId w:val="21"/>
        </w:numPr>
        <w:tabs>
          <w:tab w:pos="1189" w:val="left" w:leader="none"/>
          <w:tab w:pos="1191" w:val="left" w:leader="none"/>
        </w:tabs>
        <w:spacing w:line="276" w:lineRule="auto" w:before="184" w:after="0"/>
        <w:ind w:left="1190" w:right="142" w:hanging="356"/>
        <w:jc w:val="left"/>
        <w:rPr>
          <w:sz w:val="38"/>
        </w:rPr>
      </w:pPr>
      <w:r>
        <w:rPr>
          <w:sz w:val="38"/>
        </w:rPr>
        <w:t>dark green leafy vegetables: broccoli, spinach, chicory, cress, endive, kale, lamb's lettuce</w:t>
      </w:r>
    </w:p>
    <w:p>
      <w:pPr>
        <w:pStyle w:val="BodyText"/>
        <w:spacing w:line="276" w:lineRule="auto" w:before="242"/>
        <w:ind w:left="477" w:right="136"/>
        <w:jc w:val="both"/>
      </w:pPr>
      <w:r>
        <w:rPr/>
        <w:t>Other</w:t>
      </w:r>
      <w:r>
        <w:rPr>
          <w:spacing w:val="-25"/>
        </w:rPr>
        <w:t> </w:t>
      </w:r>
      <w:r>
        <w:rPr/>
        <w:t>proven</w:t>
      </w:r>
      <w:r>
        <w:rPr>
          <w:spacing w:val="-25"/>
        </w:rPr>
        <w:t> </w:t>
      </w:r>
      <w:r>
        <w:rPr/>
        <w:t>sources</w:t>
      </w:r>
      <w:r>
        <w:rPr>
          <w:spacing w:val="-25"/>
        </w:rPr>
        <w:t> </w:t>
      </w:r>
      <w:r>
        <w:rPr/>
        <w:t>of</w:t>
      </w:r>
      <w:r>
        <w:rPr>
          <w:spacing w:val="-24"/>
        </w:rPr>
        <w:t> </w:t>
      </w:r>
      <w:r>
        <w:rPr/>
        <w:t>beta-carotene</w:t>
      </w:r>
      <w:r>
        <w:rPr>
          <w:spacing w:val="-25"/>
        </w:rPr>
        <w:t> </w:t>
      </w:r>
      <w:r>
        <w:rPr/>
        <w:t>(provitamin</w:t>
      </w:r>
      <w:r>
        <w:rPr>
          <w:spacing w:val="-25"/>
        </w:rPr>
        <w:t> </w:t>
      </w:r>
      <w:r>
        <w:rPr/>
        <w:t>A)</w:t>
      </w:r>
      <w:r>
        <w:rPr>
          <w:spacing w:val="-26"/>
        </w:rPr>
        <w:t> </w:t>
      </w:r>
      <w:r>
        <w:rPr/>
        <w:t>are:</w:t>
      </w:r>
      <w:r>
        <w:rPr>
          <w:spacing w:val="-24"/>
        </w:rPr>
        <w:t> </w:t>
      </w:r>
      <w:r>
        <w:rPr/>
        <w:t>asparagus,</w:t>
      </w:r>
      <w:r>
        <w:rPr>
          <w:spacing w:val="-25"/>
        </w:rPr>
        <w:t> </w:t>
      </w:r>
      <w:r>
        <w:rPr/>
        <w:t>tomatoes, cabbage, peas, corn, prunes, fennel, chard and sour</w:t>
      </w:r>
      <w:r>
        <w:rPr>
          <w:spacing w:val="-4"/>
        </w:rPr>
        <w:t> </w:t>
      </w:r>
      <w:r>
        <w:rPr/>
        <w:t>cherries.</w:t>
      </w:r>
    </w:p>
    <w:p>
      <w:pPr>
        <w:spacing w:after="0" w:line="276" w:lineRule="auto"/>
        <w:jc w:val="both"/>
        <w:sectPr>
          <w:pgSz w:w="14270" w:h="16850"/>
          <w:pgMar w:header="0" w:footer="1891" w:top="1600" w:bottom="2080" w:left="800" w:right="1280"/>
        </w:sectPr>
      </w:pPr>
    </w:p>
    <w:p>
      <w:pPr>
        <w:pStyle w:val="BodyText"/>
        <w:spacing w:line="276" w:lineRule="auto" w:before="181"/>
        <w:ind w:left="477"/>
        <w:rPr>
          <w:sz w:val="25"/>
        </w:rPr>
      </w:pPr>
      <w:r>
        <w:rPr/>
        <w:t>The</w:t>
      </w:r>
      <w:r>
        <w:rPr>
          <w:spacing w:val="-14"/>
        </w:rPr>
        <w:t> </w:t>
      </w:r>
      <w:r>
        <w:rPr/>
        <w:t>following</w:t>
      </w:r>
      <w:r>
        <w:rPr>
          <w:spacing w:val="-13"/>
        </w:rPr>
        <w:t> </w:t>
      </w:r>
      <w:r>
        <w:rPr/>
        <w:t>table</w:t>
      </w:r>
      <w:r>
        <w:rPr>
          <w:spacing w:val="-14"/>
        </w:rPr>
        <w:t> </w:t>
      </w:r>
      <w:r>
        <w:rPr/>
        <w:t>describes</w:t>
      </w:r>
      <w:r>
        <w:rPr>
          <w:spacing w:val="-16"/>
        </w:rPr>
        <w:t> </w:t>
      </w:r>
      <w:r>
        <w:rPr/>
        <w:t>the</w:t>
      </w:r>
      <w:r>
        <w:rPr>
          <w:spacing w:val="-16"/>
        </w:rPr>
        <w:t> </w:t>
      </w:r>
      <w:r>
        <w:rPr/>
        <w:t>ratio</w:t>
      </w:r>
      <w:r>
        <w:rPr>
          <w:spacing w:val="-14"/>
        </w:rPr>
        <w:t> </w:t>
      </w:r>
      <w:r>
        <w:rPr/>
        <w:t>of</w:t>
      </w:r>
      <w:r>
        <w:rPr>
          <w:spacing w:val="-16"/>
        </w:rPr>
        <w:t> </w:t>
      </w:r>
      <w:r>
        <w:rPr/>
        <w:t>beta-carotene</w:t>
      </w:r>
      <w:r>
        <w:rPr>
          <w:spacing w:val="-13"/>
        </w:rPr>
        <w:t> </w:t>
      </w:r>
      <w:r>
        <w:rPr/>
        <w:t>compared</w:t>
      </w:r>
      <w:r>
        <w:rPr>
          <w:spacing w:val="-19"/>
        </w:rPr>
        <w:t> </w:t>
      </w:r>
      <w:r>
        <w:rPr/>
        <w:t>to</w:t>
      </w:r>
      <w:r>
        <w:rPr>
          <w:spacing w:val="-14"/>
        </w:rPr>
        <w:t> </w:t>
      </w:r>
      <w:r>
        <w:rPr/>
        <w:t>other</w:t>
      </w:r>
      <w:r>
        <w:rPr>
          <w:spacing w:val="-16"/>
        </w:rPr>
        <w:t> </w:t>
      </w:r>
      <w:r>
        <w:rPr/>
        <w:t>(less active) carotenoids in different foods (according to</w:t>
      </w:r>
      <w:r>
        <w:rPr>
          <w:spacing w:val="-4"/>
        </w:rPr>
        <w:t> </w:t>
      </w:r>
      <w:r>
        <w:rPr/>
        <w:t>Leung):</w:t>
      </w:r>
      <w:r>
        <w:rPr>
          <w:position w:val="9"/>
          <w:sz w:val="25"/>
        </w:rPr>
        <w:t>130</w:t>
      </w:r>
    </w:p>
    <w:p>
      <w:pPr>
        <w:pStyle w:val="BodyText"/>
        <w:rPr>
          <w:sz w:val="20"/>
        </w:rPr>
      </w:pPr>
    </w:p>
    <w:p>
      <w:pPr>
        <w:pStyle w:val="BodyText"/>
        <w:rPr>
          <w:sz w:val="20"/>
        </w:rPr>
      </w:pPr>
    </w:p>
    <w:p>
      <w:pPr>
        <w:pStyle w:val="BodyText"/>
        <w:rPr>
          <w:sz w:val="20"/>
        </w:rPr>
      </w:pPr>
    </w:p>
    <w:p>
      <w:pPr>
        <w:pStyle w:val="BodyText"/>
        <w:spacing w:before="10"/>
        <w:rPr>
          <w:sz w:val="17"/>
        </w:rPr>
      </w:pPr>
    </w:p>
    <w:p>
      <w:pPr>
        <w:spacing w:after="0"/>
        <w:rPr>
          <w:sz w:val="17"/>
        </w:rPr>
        <w:sectPr>
          <w:footerReference w:type="default" r:id="rId62"/>
          <w:pgSz w:w="14270" w:h="16850"/>
          <w:pgMar w:footer="1891" w:header="0" w:top="1600" w:bottom="2080" w:left="800" w:right="1280"/>
          <w:pgNumType w:start="240"/>
        </w:sectPr>
      </w:pPr>
    </w:p>
    <w:p>
      <w:pPr>
        <w:pStyle w:val="Heading2"/>
        <w:tabs>
          <w:tab w:pos="3278" w:val="left" w:leader="none"/>
        </w:tabs>
        <w:spacing w:before="99"/>
        <w:ind w:left="3026" w:hanging="1757"/>
      </w:pPr>
      <w:r>
        <w:rPr/>
        <w:t>Food</w:t>
        <w:tab/>
        <w:tab/>
        <w:t>Beta- </w:t>
      </w:r>
      <w:r>
        <w:rPr>
          <w:w w:val="95"/>
        </w:rPr>
        <w:t>carotene</w:t>
      </w:r>
    </w:p>
    <w:p>
      <w:pPr>
        <w:spacing w:line="427" w:lineRule="exact" w:before="0"/>
        <w:ind w:left="0" w:right="324" w:firstLine="0"/>
        <w:jc w:val="right"/>
        <w:rPr>
          <w:b/>
          <w:sz w:val="38"/>
        </w:rPr>
      </w:pPr>
      <w:r>
        <w:rPr>
          <w:b/>
          <w:sz w:val="38"/>
        </w:rPr>
        <w:t>in %</w:t>
      </w:r>
    </w:p>
    <w:p>
      <w:pPr>
        <w:spacing w:before="99"/>
        <w:ind w:left="244" w:right="5979" w:firstLine="0"/>
        <w:jc w:val="center"/>
        <w:rPr>
          <w:b/>
          <w:sz w:val="38"/>
        </w:rPr>
      </w:pPr>
      <w:r>
        <w:rPr/>
        <w:br w:type="column"/>
      </w:r>
      <w:r>
        <w:rPr>
          <w:b/>
          <w:sz w:val="38"/>
        </w:rPr>
        <w:t>Other ca- rotenoids in %</w:t>
      </w:r>
    </w:p>
    <w:p>
      <w:pPr>
        <w:spacing w:after="0"/>
        <w:jc w:val="center"/>
        <w:rPr>
          <w:sz w:val="38"/>
        </w:rPr>
        <w:sectPr>
          <w:type w:val="continuous"/>
          <w:pgSz w:w="14270" w:h="16850"/>
          <w:pgMar w:top="1340" w:bottom="280" w:left="800" w:right="1280"/>
          <w:cols w:num="2" w:equalWidth="0">
            <w:col w:w="4399" w:space="40"/>
            <w:col w:w="7751"/>
          </w:cols>
        </w:sectPr>
      </w:pPr>
    </w:p>
    <w:tbl>
      <w:tblPr>
        <w:tblW w:w="0" w:type="auto"/>
        <w:jc w:val="left"/>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67"/>
        <w:gridCol w:w="1094"/>
        <w:gridCol w:w="1038"/>
      </w:tblGrid>
      <w:tr>
        <w:trPr>
          <w:trHeight w:val="447" w:hRule="atLeast"/>
        </w:trPr>
        <w:tc>
          <w:tcPr>
            <w:tcW w:w="2367" w:type="dxa"/>
          </w:tcPr>
          <w:p>
            <w:pPr>
              <w:pStyle w:val="TableParagraph"/>
              <w:spacing w:line="427" w:lineRule="exact"/>
              <w:ind w:left="50"/>
              <w:rPr>
                <w:b/>
                <w:i/>
                <w:sz w:val="40"/>
              </w:rPr>
            </w:pPr>
            <w:r>
              <w:rPr>
                <w:b/>
                <w:i/>
                <w:sz w:val="40"/>
              </w:rPr>
              <w:t>Cereals:</w:t>
            </w:r>
          </w:p>
        </w:tc>
        <w:tc>
          <w:tcPr>
            <w:tcW w:w="2132" w:type="dxa"/>
            <w:gridSpan w:val="2"/>
          </w:tcPr>
          <w:p>
            <w:pPr>
              <w:pStyle w:val="TableParagraph"/>
              <w:rPr>
                <w:rFonts w:ascii="Times New Roman"/>
                <w:sz w:val="32"/>
              </w:rPr>
            </w:pPr>
          </w:p>
        </w:tc>
      </w:tr>
      <w:tr>
        <w:trPr>
          <w:trHeight w:val="424" w:hRule="atLeast"/>
        </w:trPr>
        <w:tc>
          <w:tcPr>
            <w:tcW w:w="2367" w:type="dxa"/>
          </w:tcPr>
          <w:p>
            <w:pPr>
              <w:pStyle w:val="TableParagraph"/>
              <w:spacing w:line="405" w:lineRule="exact"/>
              <w:ind w:left="50"/>
              <w:rPr>
                <w:sz w:val="38"/>
              </w:rPr>
            </w:pPr>
            <w:r>
              <w:rPr>
                <w:sz w:val="38"/>
              </w:rPr>
              <w:t>Maize</w:t>
            </w:r>
          </w:p>
        </w:tc>
        <w:tc>
          <w:tcPr>
            <w:tcW w:w="1094" w:type="dxa"/>
          </w:tcPr>
          <w:p>
            <w:pPr>
              <w:pStyle w:val="TableParagraph"/>
              <w:spacing w:line="405" w:lineRule="exact"/>
              <w:ind w:left="106"/>
              <w:rPr>
                <w:sz w:val="38"/>
              </w:rPr>
            </w:pPr>
            <w:r>
              <w:rPr>
                <w:sz w:val="38"/>
              </w:rPr>
              <w:t>40</w:t>
            </w:r>
          </w:p>
        </w:tc>
        <w:tc>
          <w:tcPr>
            <w:tcW w:w="1038" w:type="dxa"/>
          </w:tcPr>
          <w:p>
            <w:pPr>
              <w:pStyle w:val="TableParagraph"/>
              <w:spacing w:line="405" w:lineRule="exact"/>
              <w:ind w:right="47"/>
              <w:jc w:val="right"/>
              <w:rPr>
                <w:sz w:val="38"/>
              </w:rPr>
            </w:pPr>
            <w:r>
              <w:rPr>
                <w:w w:val="95"/>
                <w:sz w:val="38"/>
              </w:rPr>
              <w:t>60</w:t>
            </w:r>
          </w:p>
        </w:tc>
      </w:tr>
      <w:tr>
        <w:trPr>
          <w:trHeight w:val="418" w:hRule="atLeast"/>
        </w:trPr>
        <w:tc>
          <w:tcPr>
            <w:tcW w:w="2367" w:type="dxa"/>
          </w:tcPr>
          <w:p>
            <w:pPr>
              <w:pStyle w:val="TableParagraph"/>
              <w:spacing w:line="398" w:lineRule="exact"/>
              <w:ind w:left="50"/>
              <w:rPr>
                <w:sz w:val="38"/>
              </w:rPr>
            </w:pPr>
            <w:r>
              <w:rPr>
                <w:sz w:val="38"/>
              </w:rPr>
              <w:t>Others</w:t>
            </w:r>
          </w:p>
        </w:tc>
        <w:tc>
          <w:tcPr>
            <w:tcW w:w="1094" w:type="dxa"/>
          </w:tcPr>
          <w:p>
            <w:pPr>
              <w:pStyle w:val="TableParagraph"/>
              <w:spacing w:line="398" w:lineRule="exact"/>
              <w:ind w:left="106"/>
              <w:rPr>
                <w:sz w:val="38"/>
              </w:rPr>
            </w:pPr>
            <w:r>
              <w:rPr>
                <w:sz w:val="38"/>
              </w:rPr>
              <w:t>50</w:t>
            </w:r>
          </w:p>
        </w:tc>
        <w:tc>
          <w:tcPr>
            <w:tcW w:w="1038" w:type="dxa"/>
          </w:tcPr>
          <w:p>
            <w:pPr>
              <w:pStyle w:val="TableParagraph"/>
              <w:spacing w:line="398" w:lineRule="exact"/>
              <w:ind w:right="47"/>
              <w:jc w:val="right"/>
              <w:rPr>
                <w:sz w:val="38"/>
              </w:rPr>
            </w:pPr>
            <w:r>
              <w:rPr>
                <w:w w:val="95"/>
                <w:sz w:val="38"/>
              </w:rPr>
              <w:t>50</w:t>
            </w:r>
          </w:p>
        </w:tc>
      </w:tr>
      <w:tr>
        <w:trPr>
          <w:trHeight w:val="439" w:hRule="atLeast"/>
        </w:trPr>
        <w:tc>
          <w:tcPr>
            <w:tcW w:w="2367" w:type="dxa"/>
          </w:tcPr>
          <w:p>
            <w:pPr>
              <w:pStyle w:val="TableParagraph"/>
              <w:spacing w:line="420" w:lineRule="exact"/>
              <w:ind w:left="50"/>
              <w:rPr>
                <w:b/>
                <w:i/>
                <w:sz w:val="40"/>
              </w:rPr>
            </w:pPr>
            <w:r>
              <w:rPr>
                <w:b/>
                <w:i/>
                <w:sz w:val="40"/>
              </w:rPr>
              <w:t>Legumes:</w:t>
            </w:r>
          </w:p>
        </w:tc>
        <w:tc>
          <w:tcPr>
            <w:tcW w:w="1094" w:type="dxa"/>
          </w:tcPr>
          <w:p>
            <w:pPr>
              <w:pStyle w:val="TableParagraph"/>
              <w:rPr>
                <w:rFonts w:ascii="Times New Roman"/>
                <w:sz w:val="32"/>
              </w:rPr>
            </w:pPr>
          </w:p>
        </w:tc>
        <w:tc>
          <w:tcPr>
            <w:tcW w:w="1038" w:type="dxa"/>
          </w:tcPr>
          <w:p>
            <w:pPr>
              <w:pStyle w:val="TableParagraph"/>
              <w:rPr>
                <w:rFonts w:ascii="Times New Roman"/>
                <w:sz w:val="32"/>
              </w:rPr>
            </w:pPr>
          </w:p>
        </w:tc>
      </w:tr>
      <w:tr>
        <w:trPr>
          <w:trHeight w:val="425" w:hRule="atLeast"/>
        </w:trPr>
        <w:tc>
          <w:tcPr>
            <w:tcW w:w="2367" w:type="dxa"/>
          </w:tcPr>
          <w:p>
            <w:pPr>
              <w:pStyle w:val="TableParagraph"/>
              <w:tabs>
                <w:tab w:pos="1336" w:val="left" w:leader="none"/>
              </w:tabs>
              <w:spacing w:line="406" w:lineRule="exact"/>
              <w:ind w:left="50"/>
              <w:rPr>
                <w:sz w:val="38"/>
              </w:rPr>
            </w:pPr>
            <w:r>
              <w:rPr>
                <w:sz w:val="38"/>
              </w:rPr>
              <w:t>Lentils,</w:t>
              <w:tab/>
              <w:t>beans,</w:t>
            </w:r>
          </w:p>
        </w:tc>
        <w:tc>
          <w:tcPr>
            <w:tcW w:w="1094" w:type="dxa"/>
          </w:tcPr>
          <w:p>
            <w:pPr>
              <w:pStyle w:val="TableParagraph"/>
              <w:spacing w:line="406" w:lineRule="exact"/>
              <w:ind w:left="106"/>
              <w:rPr>
                <w:sz w:val="38"/>
              </w:rPr>
            </w:pPr>
            <w:r>
              <w:rPr>
                <w:sz w:val="38"/>
              </w:rPr>
              <w:t>50</w:t>
            </w:r>
          </w:p>
        </w:tc>
        <w:tc>
          <w:tcPr>
            <w:tcW w:w="1038" w:type="dxa"/>
          </w:tcPr>
          <w:p>
            <w:pPr>
              <w:pStyle w:val="TableParagraph"/>
              <w:spacing w:line="406" w:lineRule="exact"/>
              <w:ind w:right="47"/>
              <w:jc w:val="right"/>
              <w:rPr>
                <w:sz w:val="38"/>
              </w:rPr>
            </w:pPr>
            <w:r>
              <w:rPr>
                <w:w w:val="95"/>
                <w:sz w:val="38"/>
              </w:rPr>
              <w:t>50</w:t>
            </w:r>
          </w:p>
        </w:tc>
      </w:tr>
      <w:tr>
        <w:trPr>
          <w:trHeight w:val="418" w:hRule="atLeast"/>
        </w:trPr>
        <w:tc>
          <w:tcPr>
            <w:tcW w:w="2367" w:type="dxa"/>
          </w:tcPr>
          <w:p>
            <w:pPr>
              <w:pStyle w:val="TableParagraph"/>
              <w:spacing w:line="398" w:lineRule="exact"/>
              <w:ind w:left="50"/>
              <w:rPr>
                <w:sz w:val="38"/>
              </w:rPr>
            </w:pPr>
            <w:r>
              <w:rPr>
                <w:sz w:val="38"/>
              </w:rPr>
              <w:t>peas</w:t>
            </w:r>
          </w:p>
        </w:tc>
        <w:tc>
          <w:tcPr>
            <w:tcW w:w="1094" w:type="dxa"/>
          </w:tcPr>
          <w:p>
            <w:pPr>
              <w:pStyle w:val="TableParagraph"/>
              <w:rPr>
                <w:rFonts w:ascii="Times New Roman"/>
                <w:sz w:val="32"/>
              </w:rPr>
            </w:pPr>
          </w:p>
        </w:tc>
        <w:tc>
          <w:tcPr>
            <w:tcW w:w="1038" w:type="dxa"/>
          </w:tcPr>
          <w:p>
            <w:pPr>
              <w:pStyle w:val="TableParagraph"/>
              <w:rPr>
                <w:rFonts w:ascii="Times New Roman"/>
                <w:sz w:val="32"/>
              </w:rPr>
            </w:pPr>
          </w:p>
        </w:tc>
      </w:tr>
      <w:tr>
        <w:trPr>
          <w:trHeight w:val="438" w:hRule="atLeast"/>
        </w:trPr>
        <w:tc>
          <w:tcPr>
            <w:tcW w:w="2367" w:type="dxa"/>
          </w:tcPr>
          <w:p>
            <w:pPr>
              <w:pStyle w:val="TableParagraph"/>
              <w:spacing w:line="419" w:lineRule="exact"/>
              <w:ind w:left="50"/>
              <w:rPr>
                <w:b/>
                <w:i/>
                <w:sz w:val="40"/>
              </w:rPr>
            </w:pPr>
            <w:r>
              <w:rPr>
                <w:b/>
                <w:i/>
                <w:sz w:val="40"/>
              </w:rPr>
              <w:t>Vegetables:</w:t>
            </w:r>
          </w:p>
        </w:tc>
        <w:tc>
          <w:tcPr>
            <w:tcW w:w="1094" w:type="dxa"/>
          </w:tcPr>
          <w:p>
            <w:pPr>
              <w:pStyle w:val="TableParagraph"/>
              <w:rPr>
                <w:rFonts w:ascii="Times New Roman"/>
                <w:sz w:val="32"/>
              </w:rPr>
            </w:pPr>
          </w:p>
        </w:tc>
        <w:tc>
          <w:tcPr>
            <w:tcW w:w="1038" w:type="dxa"/>
          </w:tcPr>
          <w:p>
            <w:pPr>
              <w:pStyle w:val="TableParagraph"/>
              <w:rPr>
                <w:rFonts w:ascii="Times New Roman"/>
                <w:sz w:val="32"/>
              </w:rPr>
            </w:pPr>
          </w:p>
        </w:tc>
      </w:tr>
      <w:tr>
        <w:trPr>
          <w:trHeight w:val="424" w:hRule="atLeast"/>
        </w:trPr>
        <w:tc>
          <w:tcPr>
            <w:tcW w:w="2367" w:type="dxa"/>
          </w:tcPr>
          <w:p>
            <w:pPr>
              <w:pStyle w:val="TableParagraph"/>
              <w:tabs>
                <w:tab w:pos="1211" w:val="left" w:leader="none"/>
              </w:tabs>
              <w:spacing w:line="405" w:lineRule="exact"/>
              <w:ind w:left="50"/>
              <w:rPr>
                <w:sz w:val="38"/>
              </w:rPr>
            </w:pPr>
            <w:r>
              <w:rPr>
                <w:sz w:val="38"/>
              </w:rPr>
              <w:t>Green</w:t>
              <w:tab/>
              <w:t>vegeta-</w:t>
            </w:r>
          </w:p>
        </w:tc>
        <w:tc>
          <w:tcPr>
            <w:tcW w:w="1094" w:type="dxa"/>
          </w:tcPr>
          <w:p>
            <w:pPr>
              <w:pStyle w:val="TableParagraph"/>
              <w:spacing w:line="405" w:lineRule="exact"/>
              <w:ind w:left="106"/>
              <w:rPr>
                <w:sz w:val="38"/>
              </w:rPr>
            </w:pPr>
            <w:r>
              <w:rPr>
                <w:sz w:val="38"/>
              </w:rPr>
              <w:t>75</w:t>
            </w:r>
          </w:p>
        </w:tc>
        <w:tc>
          <w:tcPr>
            <w:tcW w:w="1038" w:type="dxa"/>
          </w:tcPr>
          <w:p>
            <w:pPr>
              <w:pStyle w:val="TableParagraph"/>
              <w:spacing w:line="405" w:lineRule="exact"/>
              <w:ind w:right="47"/>
              <w:jc w:val="right"/>
              <w:rPr>
                <w:sz w:val="38"/>
              </w:rPr>
            </w:pPr>
            <w:r>
              <w:rPr>
                <w:w w:val="95"/>
                <w:sz w:val="38"/>
              </w:rPr>
              <w:t>25</w:t>
            </w:r>
          </w:p>
        </w:tc>
      </w:tr>
      <w:tr>
        <w:trPr>
          <w:trHeight w:val="427" w:hRule="atLeast"/>
        </w:trPr>
        <w:tc>
          <w:tcPr>
            <w:tcW w:w="2367" w:type="dxa"/>
          </w:tcPr>
          <w:p>
            <w:pPr>
              <w:pStyle w:val="TableParagraph"/>
              <w:tabs>
                <w:tab w:pos="1488" w:val="left" w:leader="none"/>
              </w:tabs>
              <w:spacing w:line="407" w:lineRule="exact"/>
              <w:ind w:left="50"/>
              <w:rPr>
                <w:sz w:val="38"/>
              </w:rPr>
            </w:pPr>
            <w:r>
              <w:rPr>
                <w:sz w:val="38"/>
              </w:rPr>
              <w:t>bles</w:t>
              <w:tab/>
              <w:t>(kale,</w:t>
            </w:r>
          </w:p>
        </w:tc>
        <w:tc>
          <w:tcPr>
            <w:tcW w:w="1094" w:type="dxa"/>
          </w:tcPr>
          <w:p>
            <w:pPr>
              <w:pStyle w:val="TableParagraph"/>
              <w:rPr>
                <w:rFonts w:ascii="Times New Roman"/>
                <w:sz w:val="32"/>
              </w:rPr>
            </w:pPr>
          </w:p>
        </w:tc>
        <w:tc>
          <w:tcPr>
            <w:tcW w:w="1038" w:type="dxa"/>
          </w:tcPr>
          <w:p>
            <w:pPr>
              <w:pStyle w:val="TableParagraph"/>
              <w:rPr>
                <w:rFonts w:ascii="Times New Roman"/>
                <w:sz w:val="32"/>
              </w:rPr>
            </w:pPr>
          </w:p>
        </w:tc>
      </w:tr>
      <w:tr>
        <w:trPr>
          <w:trHeight w:val="427" w:hRule="atLeast"/>
        </w:trPr>
        <w:tc>
          <w:tcPr>
            <w:tcW w:w="2367" w:type="dxa"/>
          </w:tcPr>
          <w:p>
            <w:pPr>
              <w:pStyle w:val="TableParagraph"/>
              <w:tabs>
                <w:tab w:pos="1467" w:val="left" w:leader="none"/>
              </w:tabs>
              <w:spacing w:line="407" w:lineRule="exact"/>
              <w:ind w:left="50"/>
              <w:rPr>
                <w:sz w:val="38"/>
              </w:rPr>
            </w:pPr>
            <w:r>
              <w:rPr>
                <w:sz w:val="38"/>
              </w:rPr>
              <w:t>spinach,</w:t>
              <w:tab/>
              <w:t>broc-</w:t>
            </w:r>
          </w:p>
        </w:tc>
        <w:tc>
          <w:tcPr>
            <w:tcW w:w="1094" w:type="dxa"/>
          </w:tcPr>
          <w:p>
            <w:pPr>
              <w:pStyle w:val="TableParagraph"/>
              <w:rPr>
                <w:rFonts w:ascii="Times New Roman"/>
                <w:sz w:val="32"/>
              </w:rPr>
            </w:pPr>
          </w:p>
        </w:tc>
        <w:tc>
          <w:tcPr>
            <w:tcW w:w="1038" w:type="dxa"/>
          </w:tcPr>
          <w:p>
            <w:pPr>
              <w:pStyle w:val="TableParagraph"/>
              <w:rPr>
                <w:rFonts w:ascii="Times New Roman"/>
                <w:sz w:val="32"/>
              </w:rPr>
            </w:pPr>
          </w:p>
        </w:tc>
      </w:tr>
      <w:tr>
        <w:trPr>
          <w:trHeight w:val="427" w:hRule="atLeast"/>
        </w:trPr>
        <w:tc>
          <w:tcPr>
            <w:tcW w:w="2367" w:type="dxa"/>
          </w:tcPr>
          <w:p>
            <w:pPr>
              <w:pStyle w:val="TableParagraph"/>
              <w:spacing w:line="407" w:lineRule="exact"/>
              <w:ind w:left="50"/>
              <w:rPr>
                <w:sz w:val="38"/>
              </w:rPr>
            </w:pPr>
            <w:r>
              <w:rPr>
                <w:sz w:val="38"/>
              </w:rPr>
              <w:t>coli, savoy cab-</w:t>
            </w:r>
          </w:p>
        </w:tc>
        <w:tc>
          <w:tcPr>
            <w:tcW w:w="1094" w:type="dxa"/>
          </w:tcPr>
          <w:p>
            <w:pPr>
              <w:pStyle w:val="TableParagraph"/>
              <w:rPr>
                <w:rFonts w:ascii="Times New Roman"/>
                <w:sz w:val="32"/>
              </w:rPr>
            </w:pPr>
          </w:p>
        </w:tc>
        <w:tc>
          <w:tcPr>
            <w:tcW w:w="1038" w:type="dxa"/>
          </w:tcPr>
          <w:p>
            <w:pPr>
              <w:pStyle w:val="TableParagraph"/>
              <w:rPr>
                <w:rFonts w:ascii="Times New Roman"/>
                <w:sz w:val="32"/>
              </w:rPr>
            </w:pPr>
          </w:p>
        </w:tc>
      </w:tr>
      <w:tr>
        <w:trPr>
          <w:trHeight w:val="428" w:hRule="atLeast"/>
        </w:trPr>
        <w:tc>
          <w:tcPr>
            <w:tcW w:w="2367" w:type="dxa"/>
          </w:tcPr>
          <w:p>
            <w:pPr>
              <w:pStyle w:val="TableParagraph"/>
              <w:spacing w:line="408" w:lineRule="exact"/>
              <w:ind w:left="50"/>
              <w:rPr>
                <w:sz w:val="38"/>
              </w:rPr>
            </w:pPr>
            <w:r>
              <w:rPr>
                <w:sz w:val="38"/>
              </w:rPr>
              <w:t>bage)</w:t>
            </w:r>
          </w:p>
        </w:tc>
        <w:tc>
          <w:tcPr>
            <w:tcW w:w="1094" w:type="dxa"/>
          </w:tcPr>
          <w:p>
            <w:pPr>
              <w:pStyle w:val="TableParagraph"/>
              <w:rPr>
                <w:rFonts w:ascii="Times New Roman"/>
                <w:sz w:val="32"/>
              </w:rPr>
            </w:pPr>
          </w:p>
        </w:tc>
        <w:tc>
          <w:tcPr>
            <w:tcW w:w="1038" w:type="dxa"/>
          </w:tcPr>
          <w:p>
            <w:pPr>
              <w:pStyle w:val="TableParagraph"/>
              <w:rPr>
                <w:rFonts w:ascii="Times New Roman"/>
                <w:sz w:val="32"/>
              </w:rPr>
            </w:pPr>
          </w:p>
        </w:tc>
      </w:tr>
      <w:tr>
        <w:trPr>
          <w:trHeight w:val="428" w:hRule="atLeast"/>
        </w:trPr>
        <w:tc>
          <w:tcPr>
            <w:tcW w:w="2367" w:type="dxa"/>
          </w:tcPr>
          <w:p>
            <w:pPr>
              <w:pStyle w:val="TableParagraph"/>
              <w:spacing w:line="408" w:lineRule="exact"/>
              <w:ind w:left="50"/>
              <w:rPr>
                <w:sz w:val="38"/>
              </w:rPr>
            </w:pPr>
            <w:r>
              <w:rPr>
                <w:sz w:val="38"/>
              </w:rPr>
              <w:t>Deep-yellow</w:t>
            </w:r>
          </w:p>
        </w:tc>
        <w:tc>
          <w:tcPr>
            <w:tcW w:w="1094" w:type="dxa"/>
          </w:tcPr>
          <w:p>
            <w:pPr>
              <w:pStyle w:val="TableParagraph"/>
              <w:spacing w:line="408" w:lineRule="exact"/>
              <w:ind w:left="106"/>
              <w:rPr>
                <w:sz w:val="38"/>
              </w:rPr>
            </w:pPr>
            <w:r>
              <w:rPr>
                <w:sz w:val="38"/>
              </w:rPr>
              <w:t>85</w:t>
            </w:r>
          </w:p>
        </w:tc>
        <w:tc>
          <w:tcPr>
            <w:tcW w:w="1038" w:type="dxa"/>
          </w:tcPr>
          <w:p>
            <w:pPr>
              <w:pStyle w:val="TableParagraph"/>
              <w:spacing w:line="408" w:lineRule="exact"/>
              <w:ind w:right="47"/>
              <w:jc w:val="right"/>
              <w:rPr>
                <w:sz w:val="38"/>
              </w:rPr>
            </w:pPr>
            <w:r>
              <w:rPr>
                <w:w w:val="95"/>
                <w:sz w:val="38"/>
              </w:rPr>
              <w:t>15</w:t>
            </w:r>
          </w:p>
        </w:tc>
      </w:tr>
      <w:tr>
        <w:trPr>
          <w:trHeight w:val="426" w:hRule="atLeast"/>
        </w:trPr>
        <w:tc>
          <w:tcPr>
            <w:tcW w:w="2367" w:type="dxa"/>
          </w:tcPr>
          <w:p>
            <w:pPr>
              <w:pStyle w:val="TableParagraph"/>
              <w:spacing w:line="407" w:lineRule="exact"/>
              <w:ind w:left="50"/>
              <w:rPr>
                <w:sz w:val="38"/>
              </w:rPr>
            </w:pPr>
            <w:r>
              <w:rPr>
                <w:sz w:val="38"/>
              </w:rPr>
              <w:t>vegetables</w:t>
            </w:r>
          </w:p>
        </w:tc>
        <w:tc>
          <w:tcPr>
            <w:tcW w:w="1094" w:type="dxa"/>
          </w:tcPr>
          <w:p>
            <w:pPr>
              <w:pStyle w:val="TableParagraph"/>
              <w:rPr>
                <w:rFonts w:ascii="Times New Roman"/>
                <w:sz w:val="32"/>
              </w:rPr>
            </w:pPr>
          </w:p>
        </w:tc>
        <w:tc>
          <w:tcPr>
            <w:tcW w:w="1038" w:type="dxa"/>
          </w:tcPr>
          <w:p>
            <w:pPr>
              <w:pStyle w:val="TableParagraph"/>
              <w:rPr>
                <w:rFonts w:ascii="Times New Roman"/>
                <w:sz w:val="32"/>
              </w:rPr>
            </w:pPr>
          </w:p>
        </w:tc>
      </w:tr>
    </w:tbl>
    <w:p>
      <w:pPr>
        <w:pStyle w:val="BodyText"/>
        <w:tabs>
          <w:tab w:pos="2252" w:val="left" w:leader="none"/>
        </w:tabs>
        <w:spacing w:line="411" w:lineRule="exact"/>
        <w:ind w:left="585"/>
      </w:pPr>
      <w:r>
        <w:rPr/>
        <w:t>(carrots,</w:t>
        <w:tab/>
        <w:t>tur-</w:t>
      </w:r>
    </w:p>
    <w:p>
      <w:pPr>
        <w:pStyle w:val="BodyText"/>
        <w:ind w:left="585"/>
      </w:pPr>
      <w:r>
        <w:rPr/>
        <w:t>nip)</w:t>
      </w:r>
    </w:p>
    <w:p>
      <w:pPr>
        <w:pStyle w:val="BodyText"/>
        <w:spacing w:before="9"/>
        <w:rPr>
          <w:sz w:val="11"/>
        </w:rPr>
      </w:pPr>
      <w:r>
        <w:rPr/>
        <w:pict>
          <v:line style="position:absolute;mso-position-horizontal-relative:page;mso-position-vertical-relative:paragraph;z-index:992;mso-wrap-distance-left:0;mso-wrap-distance-right:0" from="63.863998pt,9.032025pt" to="207.883998pt,9.03202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130 </w:t>
      </w:r>
      <w:r>
        <w:rPr>
          <w:sz w:val="20"/>
        </w:rPr>
        <w:t>Biesalski et al.: Ernährungsmedizin (‘Nutritional Medicine’), 1995, Thieme-Verlag, Stuttgart</w:t>
      </w:r>
    </w:p>
    <w:p>
      <w:pPr>
        <w:spacing w:after="0"/>
        <w:jc w:val="left"/>
        <w:rPr>
          <w:sz w:val="20"/>
        </w:rPr>
        <w:sectPr>
          <w:type w:val="continuous"/>
          <w:pgSz w:w="14270" w:h="16850"/>
          <w:pgMar w:top="1340" w:bottom="280" w:left="800" w:right="1280"/>
        </w:sectPr>
      </w:pPr>
    </w:p>
    <w:p>
      <w:pPr>
        <w:pStyle w:val="BodyText"/>
        <w:spacing w:before="4"/>
        <w:rPr>
          <w:sz w:val="16"/>
        </w:rPr>
      </w:pPr>
    </w:p>
    <w:tbl>
      <w:tblPr>
        <w:tblW w:w="0" w:type="auto"/>
        <w:jc w:val="left"/>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67"/>
        <w:gridCol w:w="1095"/>
        <w:gridCol w:w="1038"/>
      </w:tblGrid>
      <w:tr>
        <w:trPr>
          <w:trHeight w:val="426" w:hRule="atLeast"/>
        </w:trPr>
        <w:tc>
          <w:tcPr>
            <w:tcW w:w="2367" w:type="dxa"/>
          </w:tcPr>
          <w:p>
            <w:pPr>
              <w:pStyle w:val="TableParagraph"/>
              <w:spacing w:line="407" w:lineRule="exact"/>
              <w:ind w:left="50"/>
              <w:rPr>
                <w:sz w:val="38"/>
              </w:rPr>
            </w:pPr>
            <w:r>
              <w:rPr>
                <w:sz w:val="38"/>
              </w:rPr>
              <w:t>Potatoes</w:t>
            </w:r>
          </w:p>
        </w:tc>
        <w:tc>
          <w:tcPr>
            <w:tcW w:w="1095" w:type="dxa"/>
          </w:tcPr>
          <w:p>
            <w:pPr>
              <w:pStyle w:val="TableParagraph"/>
              <w:spacing w:line="407" w:lineRule="exact"/>
              <w:ind w:left="106"/>
              <w:rPr>
                <w:sz w:val="38"/>
              </w:rPr>
            </w:pPr>
            <w:r>
              <w:rPr>
                <w:sz w:val="38"/>
              </w:rPr>
              <w:t>50</w:t>
            </w:r>
          </w:p>
        </w:tc>
        <w:tc>
          <w:tcPr>
            <w:tcW w:w="1038" w:type="dxa"/>
          </w:tcPr>
          <w:p>
            <w:pPr>
              <w:pStyle w:val="TableParagraph"/>
              <w:spacing w:line="407" w:lineRule="exact"/>
              <w:ind w:right="48"/>
              <w:jc w:val="right"/>
              <w:rPr>
                <w:sz w:val="38"/>
              </w:rPr>
            </w:pPr>
            <w:r>
              <w:rPr>
                <w:w w:val="95"/>
                <w:sz w:val="38"/>
              </w:rPr>
              <w:t>50</w:t>
            </w:r>
          </w:p>
        </w:tc>
      </w:tr>
      <w:tr>
        <w:trPr>
          <w:trHeight w:val="418" w:hRule="atLeast"/>
        </w:trPr>
        <w:tc>
          <w:tcPr>
            <w:tcW w:w="2367" w:type="dxa"/>
          </w:tcPr>
          <w:p>
            <w:pPr>
              <w:pStyle w:val="TableParagraph"/>
              <w:spacing w:line="398" w:lineRule="exact"/>
              <w:ind w:left="50"/>
              <w:rPr>
                <w:sz w:val="38"/>
              </w:rPr>
            </w:pPr>
            <w:r>
              <w:rPr>
                <w:sz w:val="38"/>
              </w:rPr>
              <w:t>Others</w:t>
            </w:r>
          </w:p>
        </w:tc>
        <w:tc>
          <w:tcPr>
            <w:tcW w:w="1095" w:type="dxa"/>
          </w:tcPr>
          <w:p>
            <w:pPr>
              <w:pStyle w:val="TableParagraph"/>
              <w:spacing w:line="398" w:lineRule="exact"/>
              <w:ind w:left="106"/>
              <w:rPr>
                <w:sz w:val="38"/>
              </w:rPr>
            </w:pPr>
            <w:r>
              <w:rPr>
                <w:sz w:val="38"/>
              </w:rPr>
              <w:t>50</w:t>
            </w:r>
          </w:p>
        </w:tc>
        <w:tc>
          <w:tcPr>
            <w:tcW w:w="1038" w:type="dxa"/>
          </w:tcPr>
          <w:p>
            <w:pPr>
              <w:pStyle w:val="TableParagraph"/>
              <w:spacing w:line="398" w:lineRule="exact"/>
              <w:ind w:right="48"/>
              <w:jc w:val="right"/>
              <w:rPr>
                <w:sz w:val="38"/>
              </w:rPr>
            </w:pPr>
            <w:r>
              <w:rPr>
                <w:w w:val="95"/>
                <w:sz w:val="38"/>
              </w:rPr>
              <w:t>50</w:t>
            </w:r>
          </w:p>
        </w:tc>
      </w:tr>
      <w:tr>
        <w:trPr>
          <w:trHeight w:val="439" w:hRule="atLeast"/>
        </w:trPr>
        <w:tc>
          <w:tcPr>
            <w:tcW w:w="2367" w:type="dxa"/>
          </w:tcPr>
          <w:p>
            <w:pPr>
              <w:pStyle w:val="TableParagraph"/>
              <w:spacing w:line="420" w:lineRule="exact"/>
              <w:ind w:left="50"/>
              <w:rPr>
                <w:b/>
                <w:i/>
                <w:sz w:val="40"/>
              </w:rPr>
            </w:pPr>
            <w:r>
              <w:rPr>
                <w:b/>
                <w:i/>
                <w:sz w:val="40"/>
              </w:rPr>
              <w:t>Fruit:</w:t>
            </w:r>
          </w:p>
        </w:tc>
        <w:tc>
          <w:tcPr>
            <w:tcW w:w="1095" w:type="dxa"/>
          </w:tcPr>
          <w:p>
            <w:pPr>
              <w:pStyle w:val="TableParagraph"/>
              <w:rPr>
                <w:rFonts w:ascii="Times New Roman"/>
                <w:sz w:val="34"/>
              </w:rPr>
            </w:pPr>
          </w:p>
        </w:tc>
        <w:tc>
          <w:tcPr>
            <w:tcW w:w="1038" w:type="dxa"/>
          </w:tcPr>
          <w:p>
            <w:pPr>
              <w:pStyle w:val="TableParagraph"/>
              <w:rPr>
                <w:rFonts w:ascii="Times New Roman"/>
                <w:sz w:val="34"/>
              </w:rPr>
            </w:pPr>
          </w:p>
        </w:tc>
      </w:tr>
      <w:tr>
        <w:trPr>
          <w:trHeight w:val="425" w:hRule="atLeast"/>
        </w:trPr>
        <w:tc>
          <w:tcPr>
            <w:tcW w:w="2367" w:type="dxa"/>
          </w:tcPr>
          <w:p>
            <w:pPr>
              <w:pStyle w:val="TableParagraph"/>
              <w:spacing w:line="406" w:lineRule="exact"/>
              <w:ind w:left="50"/>
              <w:rPr>
                <w:sz w:val="38"/>
              </w:rPr>
            </w:pPr>
            <w:r>
              <w:rPr>
                <w:sz w:val="38"/>
              </w:rPr>
              <w:t>Deep-yellow</w:t>
            </w:r>
          </w:p>
        </w:tc>
        <w:tc>
          <w:tcPr>
            <w:tcW w:w="1095" w:type="dxa"/>
          </w:tcPr>
          <w:p>
            <w:pPr>
              <w:pStyle w:val="TableParagraph"/>
              <w:rPr>
                <w:rFonts w:ascii="Times New Roman"/>
                <w:sz w:val="32"/>
              </w:rPr>
            </w:pPr>
          </w:p>
        </w:tc>
        <w:tc>
          <w:tcPr>
            <w:tcW w:w="1038" w:type="dxa"/>
          </w:tcPr>
          <w:p>
            <w:pPr>
              <w:pStyle w:val="TableParagraph"/>
              <w:rPr>
                <w:rFonts w:ascii="Times New Roman"/>
                <w:sz w:val="32"/>
              </w:rPr>
            </w:pPr>
          </w:p>
        </w:tc>
      </w:tr>
      <w:tr>
        <w:trPr>
          <w:trHeight w:val="427" w:hRule="atLeast"/>
        </w:trPr>
        <w:tc>
          <w:tcPr>
            <w:tcW w:w="2367" w:type="dxa"/>
          </w:tcPr>
          <w:p>
            <w:pPr>
              <w:pStyle w:val="TableParagraph"/>
              <w:spacing w:line="407" w:lineRule="exact"/>
              <w:ind w:left="50"/>
              <w:rPr>
                <w:sz w:val="38"/>
              </w:rPr>
            </w:pPr>
            <w:r>
              <w:rPr>
                <w:sz w:val="38"/>
              </w:rPr>
              <w:t>fruit (i.e. mel-</w:t>
            </w:r>
          </w:p>
        </w:tc>
        <w:tc>
          <w:tcPr>
            <w:tcW w:w="1095" w:type="dxa"/>
          </w:tcPr>
          <w:p>
            <w:pPr>
              <w:pStyle w:val="TableParagraph"/>
              <w:spacing w:line="407" w:lineRule="exact"/>
              <w:ind w:left="106"/>
              <w:rPr>
                <w:sz w:val="38"/>
              </w:rPr>
            </w:pPr>
            <w:r>
              <w:rPr>
                <w:sz w:val="38"/>
              </w:rPr>
              <w:t>85</w:t>
            </w:r>
          </w:p>
        </w:tc>
        <w:tc>
          <w:tcPr>
            <w:tcW w:w="1038" w:type="dxa"/>
          </w:tcPr>
          <w:p>
            <w:pPr>
              <w:pStyle w:val="TableParagraph"/>
              <w:spacing w:line="407" w:lineRule="exact"/>
              <w:ind w:right="48"/>
              <w:jc w:val="right"/>
              <w:rPr>
                <w:sz w:val="38"/>
              </w:rPr>
            </w:pPr>
            <w:r>
              <w:rPr>
                <w:w w:val="95"/>
                <w:sz w:val="38"/>
              </w:rPr>
              <w:t>15</w:t>
            </w:r>
          </w:p>
        </w:tc>
      </w:tr>
      <w:tr>
        <w:trPr>
          <w:trHeight w:val="427" w:hRule="atLeast"/>
        </w:trPr>
        <w:tc>
          <w:tcPr>
            <w:tcW w:w="2367" w:type="dxa"/>
          </w:tcPr>
          <w:p>
            <w:pPr>
              <w:pStyle w:val="TableParagraph"/>
              <w:tabs>
                <w:tab w:pos="1021" w:val="left" w:leader="none"/>
              </w:tabs>
              <w:spacing w:line="407" w:lineRule="exact"/>
              <w:ind w:left="50"/>
              <w:rPr>
                <w:sz w:val="38"/>
              </w:rPr>
            </w:pPr>
            <w:r>
              <w:rPr>
                <w:sz w:val="38"/>
              </w:rPr>
              <w:t>ons,</w:t>
              <w:tab/>
              <w:t>peaches,</w:t>
            </w:r>
          </w:p>
        </w:tc>
        <w:tc>
          <w:tcPr>
            <w:tcW w:w="1095" w:type="dxa"/>
          </w:tcPr>
          <w:p>
            <w:pPr>
              <w:pStyle w:val="TableParagraph"/>
              <w:rPr>
                <w:rFonts w:ascii="Times New Roman"/>
                <w:sz w:val="32"/>
              </w:rPr>
            </w:pPr>
          </w:p>
        </w:tc>
        <w:tc>
          <w:tcPr>
            <w:tcW w:w="1038" w:type="dxa"/>
          </w:tcPr>
          <w:p>
            <w:pPr>
              <w:pStyle w:val="TableParagraph"/>
              <w:rPr>
                <w:rFonts w:ascii="Times New Roman"/>
                <w:sz w:val="32"/>
              </w:rPr>
            </w:pPr>
          </w:p>
        </w:tc>
      </w:tr>
      <w:tr>
        <w:trPr>
          <w:trHeight w:val="427" w:hRule="atLeast"/>
        </w:trPr>
        <w:tc>
          <w:tcPr>
            <w:tcW w:w="2367" w:type="dxa"/>
          </w:tcPr>
          <w:p>
            <w:pPr>
              <w:pStyle w:val="TableParagraph"/>
              <w:spacing w:line="407" w:lineRule="exact"/>
              <w:ind w:left="50"/>
              <w:rPr>
                <w:sz w:val="38"/>
              </w:rPr>
            </w:pPr>
            <w:r>
              <w:rPr>
                <w:sz w:val="38"/>
              </w:rPr>
              <w:t>mirabelles,</w:t>
            </w:r>
          </w:p>
        </w:tc>
        <w:tc>
          <w:tcPr>
            <w:tcW w:w="1095" w:type="dxa"/>
          </w:tcPr>
          <w:p>
            <w:pPr>
              <w:pStyle w:val="TableParagraph"/>
              <w:rPr>
                <w:rFonts w:ascii="Times New Roman"/>
                <w:sz w:val="32"/>
              </w:rPr>
            </w:pPr>
          </w:p>
        </w:tc>
        <w:tc>
          <w:tcPr>
            <w:tcW w:w="1038" w:type="dxa"/>
          </w:tcPr>
          <w:p>
            <w:pPr>
              <w:pStyle w:val="TableParagraph"/>
              <w:rPr>
                <w:rFonts w:ascii="Times New Roman"/>
                <w:sz w:val="32"/>
              </w:rPr>
            </w:pPr>
          </w:p>
        </w:tc>
      </w:tr>
      <w:tr>
        <w:trPr>
          <w:trHeight w:val="427" w:hRule="atLeast"/>
        </w:trPr>
        <w:tc>
          <w:tcPr>
            <w:tcW w:w="2367" w:type="dxa"/>
          </w:tcPr>
          <w:p>
            <w:pPr>
              <w:pStyle w:val="TableParagraph"/>
              <w:spacing w:line="408" w:lineRule="exact"/>
              <w:ind w:left="50"/>
              <w:rPr>
                <w:sz w:val="38"/>
              </w:rPr>
            </w:pPr>
            <w:r>
              <w:rPr>
                <w:sz w:val="38"/>
              </w:rPr>
              <w:t>mangoes, apri-</w:t>
            </w:r>
          </w:p>
        </w:tc>
        <w:tc>
          <w:tcPr>
            <w:tcW w:w="1095" w:type="dxa"/>
          </w:tcPr>
          <w:p>
            <w:pPr>
              <w:pStyle w:val="TableParagraph"/>
              <w:rPr>
                <w:rFonts w:ascii="Times New Roman"/>
                <w:sz w:val="32"/>
              </w:rPr>
            </w:pPr>
          </w:p>
        </w:tc>
        <w:tc>
          <w:tcPr>
            <w:tcW w:w="1038" w:type="dxa"/>
          </w:tcPr>
          <w:p>
            <w:pPr>
              <w:pStyle w:val="TableParagraph"/>
              <w:rPr>
                <w:rFonts w:ascii="Times New Roman"/>
                <w:sz w:val="32"/>
              </w:rPr>
            </w:pPr>
          </w:p>
        </w:tc>
      </w:tr>
      <w:tr>
        <w:trPr>
          <w:trHeight w:val="427" w:hRule="atLeast"/>
        </w:trPr>
        <w:tc>
          <w:tcPr>
            <w:tcW w:w="2367" w:type="dxa"/>
          </w:tcPr>
          <w:p>
            <w:pPr>
              <w:pStyle w:val="TableParagraph"/>
              <w:spacing w:line="408" w:lineRule="exact"/>
              <w:ind w:left="50"/>
              <w:rPr>
                <w:sz w:val="38"/>
              </w:rPr>
            </w:pPr>
            <w:r>
              <w:rPr>
                <w:sz w:val="38"/>
              </w:rPr>
              <w:t>cots)</w:t>
            </w:r>
          </w:p>
        </w:tc>
        <w:tc>
          <w:tcPr>
            <w:tcW w:w="1095" w:type="dxa"/>
          </w:tcPr>
          <w:p>
            <w:pPr>
              <w:pStyle w:val="TableParagraph"/>
              <w:rPr>
                <w:rFonts w:ascii="Times New Roman"/>
                <w:sz w:val="32"/>
              </w:rPr>
            </w:pPr>
          </w:p>
        </w:tc>
        <w:tc>
          <w:tcPr>
            <w:tcW w:w="1038" w:type="dxa"/>
          </w:tcPr>
          <w:p>
            <w:pPr>
              <w:pStyle w:val="TableParagraph"/>
              <w:rPr>
                <w:rFonts w:ascii="Times New Roman"/>
                <w:sz w:val="32"/>
              </w:rPr>
            </w:pPr>
          </w:p>
        </w:tc>
      </w:tr>
      <w:tr>
        <w:trPr>
          <w:trHeight w:val="418" w:hRule="atLeast"/>
        </w:trPr>
        <w:tc>
          <w:tcPr>
            <w:tcW w:w="2367" w:type="dxa"/>
          </w:tcPr>
          <w:p>
            <w:pPr>
              <w:pStyle w:val="TableParagraph"/>
              <w:spacing w:line="398" w:lineRule="exact"/>
              <w:ind w:left="50"/>
              <w:rPr>
                <w:sz w:val="38"/>
              </w:rPr>
            </w:pPr>
            <w:r>
              <w:rPr>
                <w:sz w:val="38"/>
              </w:rPr>
              <w:t>Others</w:t>
            </w:r>
          </w:p>
        </w:tc>
        <w:tc>
          <w:tcPr>
            <w:tcW w:w="1095" w:type="dxa"/>
          </w:tcPr>
          <w:p>
            <w:pPr>
              <w:pStyle w:val="TableParagraph"/>
              <w:spacing w:line="398" w:lineRule="exact"/>
              <w:ind w:left="106"/>
              <w:rPr>
                <w:sz w:val="38"/>
              </w:rPr>
            </w:pPr>
            <w:r>
              <w:rPr>
                <w:sz w:val="38"/>
              </w:rPr>
              <w:t>75</w:t>
            </w:r>
          </w:p>
        </w:tc>
        <w:tc>
          <w:tcPr>
            <w:tcW w:w="1038" w:type="dxa"/>
          </w:tcPr>
          <w:p>
            <w:pPr>
              <w:pStyle w:val="TableParagraph"/>
              <w:spacing w:line="398" w:lineRule="exact"/>
              <w:ind w:right="48"/>
              <w:jc w:val="right"/>
              <w:rPr>
                <w:sz w:val="38"/>
              </w:rPr>
            </w:pPr>
            <w:r>
              <w:rPr>
                <w:w w:val="95"/>
                <w:sz w:val="38"/>
              </w:rPr>
              <w:t>25</w:t>
            </w:r>
          </w:p>
        </w:tc>
      </w:tr>
      <w:tr>
        <w:trPr>
          <w:trHeight w:val="431" w:hRule="atLeast"/>
        </w:trPr>
        <w:tc>
          <w:tcPr>
            <w:tcW w:w="2367" w:type="dxa"/>
          </w:tcPr>
          <w:p>
            <w:pPr>
              <w:pStyle w:val="TableParagraph"/>
              <w:spacing w:line="411" w:lineRule="exact"/>
              <w:ind w:left="50"/>
              <w:rPr>
                <w:b/>
                <w:i/>
                <w:sz w:val="40"/>
              </w:rPr>
            </w:pPr>
            <w:r>
              <w:rPr>
                <w:b/>
                <w:i/>
                <w:sz w:val="40"/>
              </w:rPr>
              <w:t>Vegetable</w:t>
            </w:r>
          </w:p>
        </w:tc>
        <w:tc>
          <w:tcPr>
            <w:tcW w:w="1095" w:type="dxa"/>
          </w:tcPr>
          <w:p>
            <w:pPr>
              <w:pStyle w:val="TableParagraph"/>
              <w:rPr>
                <w:rFonts w:ascii="Times New Roman"/>
                <w:sz w:val="34"/>
              </w:rPr>
            </w:pPr>
          </w:p>
        </w:tc>
        <w:tc>
          <w:tcPr>
            <w:tcW w:w="1038" w:type="dxa"/>
          </w:tcPr>
          <w:p>
            <w:pPr>
              <w:pStyle w:val="TableParagraph"/>
              <w:rPr>
                <w:rFonts w:ascii="Times New Roman"/>
                <w:sz w:val="34"/>
              </w:rPr>
            </w:pPr>
          </w:p>
        </w:tc>
      </w:tr>
      <w:tr>
        <w:trPr>
          <w:trHeight w:val="437" w:hRule="atLeast"/>
        </w:trPr>
        <w:tc>
          <w:tcPr>
            <w:tcW w:w="2367" w:type="dxa"/>
          </w:tcPr>
          <w:p>
            <w:pPr>
              <w:pStyle w:val="TableParagraph"/>
              <w:spacing w:line="417" w:lineRule="exact"/>
              <w:ind w:left="50"/>
              <w:rPr>
                <w:b/>
                <w:i/>
                <w:sz w:val="40"/>
              </w:rPr>
            </w:pPr>
            <w:r>
              <w:rPr>
                <w:b/>
                <w:i/>
                <w:sz w:val="40"/>
              </w:rPr>
              <w:t>oils:</w:t>
            </w:r>
          </w:p>
        </w:tc>
        <w:tc>
          <w:tcPr>
            <w:tcW w:w="1095" w:type="dxa"/>
          </w:tcPr>
          <w:p>
            <w:pPr>
              <w:pStyle w:val="TableParagraph"/>
              <w:rPr>
                <w:rFonts w:ascii="Times New Roman"/>
                <w:sz w:val="34"/>
              </w:rPr>
            </w:pPr>
          </w:p>
        </w:tc>
        <w:tc>
          <w:tcPr>
            <w:tcW w:w="1038" w:type="dxa"/>
          </w:tcPr>
          <w:p>
            <w:pPr>
              <w:pStyle w:val="TableParagraph"/>
              <w:rPr>
                <w:rFonts w:ascii="Times New Roman"/>
                <w:sz w:val="34"/>
              </w:rPr>
            </w:pPr>
          </w:p>
        </w:tc>
      </w:tr>
      <w:tr>
        <w:trPr>
          <w:trHeight w:val="424" w:hRule="atLeast"/>
        </w:trPr>
        <w:tc>
          <w:tcPr>
            <w:tcW w:w="2367" w:type="dxa"/>
          </w:tcPr>
          <w:p>
            <w:pPr>
              <w:pStyle w:val="TableParagraph"/>
              <w:spacing w:line="404" w:lineRule="exact"/>
              <w:ind w:left="50"/>
              <w:rPr>
                <w:sz w:val="38"/>
              </w:rPr>
            </w:pPr>
            <w:r>
              <w:rPr>
                <w:sz w:val="38"/>
              </w:rPr>
              <w:t>Red palm oil</w:t>
            </w:r>
          </w:p>
        </w:tc>
        <w:tc>
          <w:tcPr>
            <w:tcW w:w="1095" w:type="dxa"/>
          </w:tcPr>
          <w:p>
            <w:pPr>
              <w:pStyle w:val="TableParagraph"/>
              <w:spacing w:line="404" w:lineRule="exact"/>
              <w:ind w:left="106"/>
              <w:rPr>
                <w:sz w:val="38"/>
              </w:rPr>
            </w:pPr>
            <w:r>
              <w:rPr>
                <w:sz w:val="38"/>
              </w:rPr>
              <w:t>65</w:t>
            </w:r>
          </w:p>
        </w:tc>
        <w:tc>
          <w:tcPr>
            <w:tcW w:w="1038" w:type="dxa"/>
          </w:tcPr>
          <w:p>
            <w:pPr>
              <w:pStyle w:val="TableParagraph"/>
              <w:spacing w:line="404" w:lineRule="exact"/>
              <w:ind w:right="48"/>
              <w:jc w:val="right"/>
              <w:rPr>
                <w:sz w:val="38"/>
              </w:rPr>
            </w:pPr>
            <w:r>
              <w:rPr>
                <w:w w:val="95"/>
                <w:sz w:val="38"/>
              </w:rPr>
              <w:t>35</w:t>
            </w:r>
          </w:p>
        </w:tc>
      </w:tr>
    </w:tbl>
    <w:p>
      <w:pPr>
        <w:pStyle w:val="BodyText"/>
        <w:tabs>
          <w:tab w:pos="1866" w:val="left" w:leader="none"/>
          <w:tab w:pos="4266" w:val="left" w:leader="none"/>
          <w:tab w:pos="5814" w:val="left" w:leader="none"/>
          <w:tab w:pos="7363" w:val="left" w:leader="none"/>
          <w:tab w:pos="8426" w:val="left" w:leader="none"/>
          <w:tab w:pos="9765" w:val="left" w:leader="none"/>
          <w:tab w:pos="11068" w:val="left" w:leader="none"/>
        </w:tabs>
        <w:ind w:left="477" w:right="136"/>
      </w:pPr>
      <w:r>
        <w:rPr>
          <w:b/>
        </w:rPr>
        <w:t>Source:</w:t>
        <w:tab/>
      </w:r>
      <w:r>
        <w:rPr/>
        <w:t>Thieme-Verlag</w:t>
        <w:tab/>
        <w:t>Stuttgart,</w:t>
        <w:tab/>
        <w:t>Biesalski,</w:t>
        <w:tab/>
        <w:t>Fürst,</w:t>
        <w:tab/>
        <w:t>Kasper,</w:t>
        <w:tab/>
        <w:t>Kluthe,</w:t>
        <w:tab/>
        <w:t>Pölert, Puchstein, Stählein: Ernährungsmedizin (‘Nutritional Medicine’),</w:t>
      </w:r>
      <w:r>
        <w:rPr>
          <w:spacing w:val="-2"/>
        </w:rPr>
        <w:t> </w:t>
      </w:r>
      <w:r>
        <w:rPr/>
        <w:t>1995</w:t>
      </w:r>
    </w:p>
    <w:p>
      <w:pPr>
        <w:spacing w:after="0"/>
        <w:sectPr>
          <w:pgSz w:w="14270" w:h="16850"/>
          <w:pgMar w:header="0" w:footer="1891" w:top="1600" w:bottom="2080" w:left="800" w:right="1280"/>
        </w:sectPr>
      </w:pPr>
    </w:p>
    <w:p>
      <w:pPr>
        <w:pStyle w:val="BodyText"/>
        <w:spacing w:before="181"/>
        <w:ind w:left="477"/>
      </w:pPr>
      <w:r>
        <w:rPr/>
        <w:t>The following table</w:t>
      </w:r>
      <w:r>
        <w:rPr>
          <w:position w:val="9"/>
          <w:sz w:val="25"/>
        </w:rPr>
        <w:t>131 </w:t>
      </w:r>
      <w:r>
        <w:rPr/>
        <w:t>shows the carotene content of certain foods:</w:t>
      </w:r>
    </w:p>
    <w:p>
      <w:pPr>
        <w:pStyle w:val="Heading2"/>
        <w:tabs>
          <w:tab w:pos="3775" w:val="left" w:leader="none"/>
        </w:tabs>
        <w:spacing w:before="307"/>
        <w:ind w:left="4185" w:right="6169" w:hanging="3601"/>
      </w:pPr>
      <w:r>
        <w:rPr/>
        <w:t>Food</w:t>
        <w:tab/>
        <w:t>Beta-carotene content (mg/kg)</w:t>
      </w:r>
    </w:p>
    <w:p>
      <w:pPr>
        <w:spacing w:line="431" w:lineRule="exact" w:before="0"/>
        <w:ind w:left="585" w:right="0" w:firstLine="0"/>
        <w:jc w:val="left"/>
        <w:rPr>
          <w:b/>
          <w:i/>
          <w:sz w:val="40"/>
        </w:rPr>
      </w:pPr>
      <w:r>
        <w:rPr>
          <w:b/>
          <w:i/>
          <w:sz w:val="40"/>
        </w:rPr>
        <w:t>FRUITS</w:t>
      </w:r>
    </w:p>
    <w:p>
      <w:pPr>
        <w:pStyle w:val="BodyText"/>
        <w:tabs>
          <w:tab w:pos="3528" w:val="left" w:leader="none"/>
        </w:tabs>
        <w:spacing w:line="426" w:lineRule="exact"/>
        <w:ind w:left="585"/>
      </w:pPr>
      <w:r>
        <w:rPr/>
        <w:t>Apricots</w:t>
      </w:r>
      <w:r>
        <w:rPr>
          <w:spacing w:val="-1"/>
        </w:rPr>
        <w:t> </w:t>
      </w:r>
      <w:r>
        <w:rPr/>
        <w:t>(dried)</w:t>
        <w:tab/>
        <w:t>36</w:t>
      </w:r>
    </w:p>
    <w:p>
      <w:pPr>
        <w:pStyle w:val="BodyText"/>
        <w:tabs>
          <w:tab w:pos="3883" w:val="right" w:leader="none"/>
        </w:tabs>
        <w:ind w:left="585"/>
      </w:pPr>
      <w:r>
        <w:rPr/>
        <w:t>Melons</w:t>
        <w:tab/>
        <w:t>20</w:t>
      </w:r>
    </w:p>
    <w:p>
      <w:pPr>
        <w:pStyle w:val="BodyText"/>
        <w:tabs>
          <w:tab w:pos="3883" w:val="right" w:leader="none"/>
        </w:tabs>
        <w:spacing w:line="427" w:lineRule="exact"/>
        <w:ind w:left="585"/>
      </w:pPr>
      <w:r>
        <w:rPr/>
        <w:t>Apricots</w:t>
      </w:r>
      <w:r>
        <w:rPr>
          <w:spacing w:val="-1"/>
        </w:rPr>
        <w:t> </w:t>
      </w:r>
      <w:r>
        <w:rPr/>
        <w:t>(fresh)</w:t>
        <w:tab/>
        <w:t>15</w:t>
      </w:r>
    </w:p>
    <w:p>
      <w:pPr>
        <w:pStyle w:val="BodyText"/>
        <w:tabs>
          <w:tab w:pos="3883" w:val="right" w:leader="none"/>
        </w:tabs>
        <w:spacing w:line="427" w:lineRule="exact"/>
        <w:ind w:left="585"/>
      </w:pPr>
      <w:r>
        <w:rPr/>
        <w:t>Cherries</w:t>
        <w:tab/>
        <w:t>15</w:t>
      </w:r>
    </w:p>
    <w:p>
      <w:pPr>
        <w:pStyle w:val="BodyText"/>
        <w:tabs>
          <w:tab w:pos="3705" w:val="right" w:leader="none"/>
        </w:tabs>
        <w:spacing w:line="427" w:lineRule="exact"/>
        <w:ind w:left="585"/>
      </w:pPr>
      <w:r>
        <w:rPr/>
        <w:t>Fruit</w:t>
      </w:r>
      <w:r>
        <w:rPr>
          <w:spacing w:val="-1"/>
        </w:rPr>
        <w:t> </w:t>
      </w:r>
      <w:r>
        <w:rPr/>
        <w:t>juice</w:t>
        <w:tab/>
        <w:t>5</w:t>
      </w:r>
    </w:p>
    <w:p>
      <w:pPr>
        <w:pStyle w:val="BodyText"/>
        <w:tabs>
          <w:tab w:pos="3705" w:val="right" w:leader="none"/>
        </w:tabs>
        <w:spacing w:line="427" w:lineRule="exact"/>
        <w:ind w:left="585"/>
      </w:pPr>
      <w:r>
        <w:rPr/>
        <w:t>Plums,</w:t>
      </w:r>
      <w:r>
        <w:rPr>
          <w:spacing w:val="-1"/>
        </w:rPr>
        <w:t> </w:t>
      </w:r>
      <w:r>
        <w:rPr/>
        <w:t>bananas</w:t>
        <w:tab/>
        <w:t>2</w:t>
      </w:r>
    </w:p>
    <w:p>
      <w:pPr>
        <w:pStyle w:val="BodyText"/>
        <w:tabs>
          <w:tab w:pos="3966" w:val="right" w:leader="none"/>
        </w:tabs>
        <w:spacing w:line="427" w:lineRule="exact"/>
        <w:ind w:left="585"/>
      </w:pPr>
      <w:r>
        <w:rPr/>
        <w:t>Green olives</w:t>
        <w:tab/>
        <w:t>1.5</w:t>
      </w:r>
    </w:p>
    <w:p>
      <w:pPr>
        <w:pStyle w:val="BodyText"/>
        <w:tabs>
          <w:tab w:pos="3705" w:val="right" w:leader="none"/>
        </w:tabs>
        <w:ind w:left="585"/>
      </w:pPr>
      <w:r>
        <w:rPr/>
        <w:t>Avocado</w:t>
        <w:tab/>
        <w:t>1</w:t>
      </w:r>
    </w:p>
    <w:p>
      <w:pPr>
        <w:spacing w:after="0"/>
        <w:sectPr>
          <w:pgSz w:w="14270" w:h="16850"/>
          <w:pgMar w:header="0" w:footer="1891" w:top="1600" w:bottom="2080" w:left="800" w:right="1280"/>
        </w:sectPr>
      </w:pPr>
    </w:p>
    <w:p>
      <w:pPr>
        <w:pStyle w:val="BodyText"/>
        <w:tabs>
          <w:tab w:pos="2214" w:val="left" w:leader="none"/>
        </w:tabs>
        <w:spacing w:before="2"/>
        <w:ind w:left="585"/>
      </w:pPr>
      <w:r>
        <w:rPr/>
        <w:t>Rhubarb,</w:t>
        <w:tab/>
      </w:r>
      <w:r>
        <w:rPr>
          <w:spacing w:val="-1"/>
        </w:rPr>
        <w:t>pineap- </w:t>
      </w:r>
      <w:r>
        <w:rPr/>
        <w:t>ple</w:t>
      </w:r>
    </w:p>
    <w:p>
      <w:pPr>
        <w:spacing w:before="2"/>
        <w:ind w:left="177" w:right="0" w:firstLine="0"/>
        <w:jc w:val="left"/>
        <w:rPr>
          <w:sz w:val="38"/>
        </w:rPr>
      </w:pPr>
      <w:r>
        <w:rPr/>
        <w:br w:type="column"/>
      </w:r>
      <w:r>
        <w:rPr>
          <w:sz w:val="38"/>
        </w:rPr>
        <w:t>0.6</w:t>
      </w:r>
    </w:p>
    <w:p>
      <w:pPr>
        <w:spacing w:after="0"/>
        <w:jc w:val="left"/>
        <w:rPr>
          <w:sz w:val="38"/>
        </w:rPr>
        <w:sectPr>
          <w:type w:val="continuous"/>
          <w:pgSz w:w="14270" w:h="16850"/>
          <w:pgMar w:top="1340" w:bottom="280" w:left="800" w:right="1280"/>
          <w:cols w:num="2" w:equalWidth="0">
            <w:col w:w="3311" w:space="40"/>
            <w:col w:w="8839"/>
          </w:cols>
        </w:sectPr>
      </w:pPr>
    </w:p>
    <w:p>
      <w:pPr>
        <w:pStyle w:val="BodyText"/>
        <w:tabs>
          <w:tab w:pos="3966" w:val="right" w:leader="none"/>
        </w:tabs>
        <w:spacing w:line="419" w:lineRule="exact"/>
        <w:ind w:left="585"/>
      </w:pPr>
      <w:r>
        <w:rPr/>
        <w:t>Oranges</w:t>
        <w:tab/>
        <w:t>0.5</w:t>
      </w:r>
    </w:p>
    <w:p>
      <w:pPr>
        <w:pStyle w:val="Heading1"/>
        <w:spacing w:line="438" w:lineRule="exact" w:before="0"/>
        <w:ind w:left="585"/>
      </w:pPr>
      <w:r>
        <w:rPr/>
        <w:t>VEGETABLES</w:t>
      </w:r>
    </w:p>
    <w:p>
      <w:pPr>
        <w:pStyle w:val="BodyText"/>
        <w:tabs>
          <w:tab w:pos="3883" w:val="right" w:leader="none"/>
        </w:tabs>
        <w:spacing w:line="425" w:lineRule="exact"/>
        <w:ind w:left="585"/>
      </w:pPr>
      <w:r>
        <w:rPr/>
        <w:t>Carrots</w:t>
        <w:tab/>
        <w:t>70</w:t>
      </w:r>
    </w:p>
    <w:p>
      <w:pPr>
        <w:pStyle w:val="BodyText"/>
        <w:tabs>
          <w:tab w:pos="3528" w:val="left" w:leader="none"/>
        </w:tabs>
        <w:spacing w:line="427" w:lineRule="exact"/>
        <w:ind w:left="585"/>
      </w:pPr>
      <w:r>
        <w:rPr/>
        <w:t>Spinach</w:t>
      </w:r>
      <w:r>
        <w:rPr>
          <w:spacing w:val="-1"/>
        </w:rPr>
        <w:t> </w:t>
      </w:r>
      <w:r>
        <w:rPr/>
        <w:t>(cooked)</w:t>
        <w:tab/>
        <w:t>60</w:t>
      </w:r>
    </w:p>
    <w:p>
      <w:pPr>
        <w:pStyle w:val="BodyText"/>
        <w:tabs>
          <w:tab w:pos="3528" w:val="left" w:leader="none"/>
        </w:tabs>
        <w:spacing w:line="427" w:lineRule="exact"/>
        <w:ind w:left="585"/>
      </w:pPr>
      <w:r>
        <w:rPr/>
        <w:t>Beetroot</w:t>
      </w:r>
      <w:r>
        <w:rPr>
          <w:spacing w:val="-2"/>
        </w:rPr>
        <w:t> </w:t>
      </w:r>
      <w:r>
        <w:rPr/>
        <w:t>(cooked)</w:t>
        <w:tab/>
        <w:t>50</w:t>
      </w:r>
    </w:p>
    <w:p>
      <w:pPr>
        <w:pStyle w:val="BodyText"/>
        <w:tabs>
          <w:tab w:pos="3528" w:val="left" w:leader="none"/>
        </w:tabs>
        <w:ind w:left="585"/>
      </w:pPr>
      <w:r>
        <w:rPr/>
        <w:t>Kale</w:t>
      </w:r>
      <w:r>
        <w:rPr>
          <w:spacing w:val="-3"/>
        </w:rPr>
        <w:t> </w:t>
      </w:r>
      <w:r>
        <w:rPr/>
        <w:t>(cooked)</w:t>
        <w:tab/>
        <w:t>50</w:t>
      </w:r>
    </w:p>
    <w:p>
      <w:pPr>
        <w:pStyle w:val="BodyText"/>
        <w:tabs>
          <w:tab w:pos="3883" w:val="right" w:leader="none"/>
        </w:tabs>
        <w:spacing w:before="2"/>
        <w:ind w:left="585"/>
      </w:pPr>
      <w:r>
        <w:rPr/>
        <w:t>Broccoli</w:t>
      </w:r>
      <w:r>
        <w:rPr>
          <w:spacing w:val="-4"/>
        </w:rPr>
        <w:t> </w:t>
      </w:r>
      <w:r>
        <w:rPr/>
        <w:t>(cooked)</w:t>
        <w:tab/>
        <w:t>50</w:t>
      </w:r>
    </w:p>
    <w:p>
      <w:pPr>
        <w:spacing w:before="894"/>
        <w:ind w:left="477" w:right="0" w:firstLine="0"/>
        <w:jc w:val="left"/>
        <w:rPr>
          <w:sz w:val="20"/>
        </w:rPr>
      </w:pPr>
      <w:r>
        <w:rPr/>
        <w:pict>
          <v:line style="position:absolute;mso-position-horizontal-relative:page;mso-position-vertical-relative:paragraph;z-index:3064" from="63.863998pt,27.368179pt" to="207.883998pt,27.368179pt" stroked="true" strokeweight=".71997pt" strokecolor="#000000">
            <v:stroke dashstyle="solid"/>
            <w10:wrap type="none"/>
          </v:line>
        </w:pict>
      </w:r>
      <w:r>
        <w:rPr>
          <w:position w:val="5"/>
          <w:sz w:val="13"/>
        </w:rPr>
        <w:t>131 </w:t>
      </w:r>
      <w:r>
        <w:rPr>
          <w:sz w:val="20"/>
        </w:rPr>
        <w:t>Biesalski et al.: Ernährungsmedizin (‘Nutritional Medicine’), 1995, Thieme-Verlag, Stuttgart</w:t>
      </w:r>
    </w:p>
    <w:p>
      <w:pPr>
        <w:spacing w:after="0"/>
        <w:jc w:val="left"/>
        <w:rPr>
          <w:sz w:val="20"/>
        </w:rPr>
        <w:sectPr>
          <w:type w:val="continuous"/>
          <w:pgSz w:w="14270" w:h="16850"/>
          <w:pgMar w:top="1340" w:bottom="280" w:left="800" w:right="1280"/>
        </w:sectPr>
      </w:pPr>
    </w:p>
    <w:p>
      <w:pPr>
        <w:pStyle w:val="BodyText"/>
        <w:spacing w:before="4"/>
        <w:rPr>
          <w:sz w:val="16"/>
        </w:rPr>
      </w:pPr>
    </w:p>
    <w:tbl>
      <w:tblPr>
        <w:tblW w:w="0" w:type="auto"/>
        <w:jc w:val="left"/>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95"/>
        <w:gridCol w:w="902"/>
      </w:tblGrid>
      <w:tr>
        <w:trPr>
          <w:trHeight w:val="426" w:hRule="atLeast"/>
        </w:trPr>
        <w:tc>
          <w:tcPr>
            <w:tcW w:w="2495" w:type="dxa"/>
          </w:tcPr>
          <w:p>
            <w:pPr>
              <w:pStyle w:val="TableParagraph"/>
              <w:spacing w:line="407" w:lineRule="exact"/>
              <w:ind w:left="50"/>
              <w:rPr>
                <w:sz w:val="38"/>
              </w:rPr>
            </w:pPr>
            <w:r>
              <w:rPr>
                <w:sz w:val="38"/>
              </w:rPr>
              <w:t>Endives</w:t>
            </w:r>
          </w:p>
        </w:tc>
        <w:tc>
          <w:tcPr>
            <w:tcW w:w="902" w:type="dxa"/>
          </w:tcPr>
          <w:p>
            <w:pPr>
              <w:pStyle w:val="TableParagraph"/>
              <w:spacing w:line="407" w:lineRule="exact"/>
              <w:ind w:left="497"/>
              <w:rPr>
                <w:sz w:val="38"/>
              </w:rPr>
            </w:pPr>
            <w:r>
              <w:rPr>
                <w:sz w:val="38"/>
              </w:rPr>
              <w:t>20</w:t>
            </w:r>
          </w:p>
        </w:tc>
      </w:tr>
      <w:tr>
        <w:trPr>
          <w:trHeight w:val="427" w:hRule="atLeast"/>
        </w:trPr>
        <w:tc>
          <w:tcPr>
            <w:tcW w:w="2495" w:type="dxa"/>
          </w:tcPr>
          <w:p>
            <w:pPr>
              <w:pStyle w:val="TableParagraph"/>
              <w:spacing w:line="407" w:lineRule="exact"/>
              <w:ind w:left="50"/>
              <w:rPr>
                <w:sz w:val="38"/>
              </w:rPr>
            </w:pPr>
            <w:r>
              <w:rPr>
                <w:sz w:val="38"/>
              </w:rPr>
              <w:t>Tomato juice</w:t>
            </w:r>
          </w:p>
        </w:tc>
        <w:tc>
          <w:tcPr>
            <w:tcW w:w="902" w:type="dxa"/>
          </w:tcPr>
          <w:p>
            <w:pPr>
              <w:pStyle w:val="TableParagraph"/>
              <w:spacing w:line="407" w:lineRule="exact"/>
              <w:ind w:left="497"/>
              <w:rPr>
                <w:sz w:val="38"/>
              </w:rPr>
            </w:pPr>
            <w:r>
              <w:rPr>
                <w:w w:val="99"/>
                <w:sz w:val="38"/>
              </w:rPr>
              <w:t>7</w:t>
            </w:r>
          </w:p>
        </w:tc>
      </w:tr>
      <w:tr>
        <w:trPr>
          <w:trHeight w:val="428" w:hRule="atLeast"/>
        </w:trPr>
        <w:tc>
          <w:tcPr>
            <w:tcW w:w="2495" w:type="dxa"/>
          </w:tcPr>
          <w:p>
            <w:pPr>
              <w:pStyle w:val="TableParagraph"/>
              <w:spacing w:line="408" w:lineRule="exact"/>
              <w:ind w:left="50"/>
              <w:rPr>
                <w:sz w:val="38"/>
              </w:rPr>
            </w:pPr>
            <w:r>
              <w:rPr>
                <w:sz w:val="38"/>
              </w:rPr>
              <w:t>Tomatoes</w:t>
            </w:r>
          </w:p>
        </w:tc>
        <w:tc>
          <w:tcPr>
            <w:tcW w:w="902" w:type="dxa"/>
          </w:tcPr>
          <w:p>
            <w:pPr>
              <w:pStyle w:val="TableParagraph"/>
              <w:spacing w:line="408" w:lineRule="exact"/>
              <w:ind w:left="497"/>
              <w:rPr>
                <w:sz w:val="38"/>
              </w:rPr>
            </w:pPr>
            <w:r>
              <w:rPr>
                <w:w w:val="99"/>
                <w:sz w:val="38"/>
              </w:rPr>
              <w:t>5</w:t>
            </w:r>
          </w:p>
        </w:tc>
      </w:tr>
      <w:tr>
        <w:trPr>
          <w:trHeight w:val="428" w:hRule="atLeast"/>
        </w:trPr>
        <w:tc>
          <w:tcPr>
            <w:tcW w:w="2495" w:type="dxa"/>
          </w:tcPr>
          <w:p>
            <w:pPr>
              <w:pStyle w:val="TableParagraph"/>
              <w:spacing w:line="407" w:lineRule="exact" w:before="1"/>
              <w:ind w:left="50"/>
              <w:rPr>
                <w:sz w:val="38"/>
              </w:rPr>
            </w:pPr>
            <w:r>
              <w:rPr>
                <w:sz w:val="38"/>
              </w:rPr>
              <w:t>Green beans</w:t>
            </w:r>
          </w:p>
        </w:tc>
        <w:tc>
          <w:tcPr>
            <w:tcW w:w="902" w:type="dxa"/>
          </w:tcPr>
          <w:p>
            <w:pPr>
              <w:pStyle w:val="TableParagraph"/>
              <w:spacing w:line="407" w:lineRule="exact" w:before="1"/>
              <w:ind w:left="497"/>
              <w:rPr>
                <w:sz w:val="38"/>
              </w:rPr>
            </w:pPr>
            <w:r>
              <w:rPr>
                <w:w w:val="99"/>
                <w:sz w:val="38"/>
              </w:rPr>
              <w:t>3</w:t>
            </w:r>
          </w:p>
        </w:tc>
      </w:tr>
    </w:tbl>
    <w:p>
      <w:pPr>
        <w:pStyle w:val="BodyText"/>
        <w:ind w:left="477" w:right="136"/>
        <w:jc w:val="both"/>
      </w:pPr>
      <w:r>
        <w:rPr>
          <w:b/>
        </w:rPr>
        <w:t>Source: </w:t>
      </w:r>
      <w:r>
        <w:rPr/>
        <w:t>Thieme-Verlag Stuttgart, Biesalski, Fürst, Kasper, Kluthe, Pölert, Puchstein, Stählein: Ernährungsmedizin (‘Nutritional Medicine’), 1995</w:t>
      </w:r>
    </w:p>
    <w:p>
      <w:pPr>
        <w:pStyle w:val="BodyText"/>
        <w:spacing w:before="2"/>
        <w:rPr>
          <w:sz w:val="54"/>
        </w:rPr>
      </w:pPr>
    </w:p>
    <w:p>
      <w:pPr>
        <w:pStyle w:val="BodyText"/>
        <w:spacing w:line="276" w:lineRule="auto"/>
        <w:ind w:left="477" w:right="129"/>
        <w:jc w:val="both"/>
      </w:pPr>
      <w:r>
        <w:rPr/>
        <w:t>It is worth noting that the content of beta-carotene in fruits and vegetables</w:t>
      </w:r>
      <w:r>
        <w:rPr>
          <w:spacing w:val="-57"/>
        </w:rPr>
        <w:t> </w:t>
      </w:r>
      <w:r>
        <w:rPr/>
        <w:t>can vary greatly; it also depends on the harvest time and the degree of ripeness. Furthermore,</w:t>
      </w:r>
      <w:r>
        <w:rPr>
          <w:spacing w:val="-10"/>
        </w:rPr>
        <w:t> </w:t>
      </w:r>
      <w:r>
        <w:rPr/>
        <w:t>preparation</w:t>
      </w:r>
      <w:r>
        <w:rPr>
          <w:spacing w:val="-10"/>
        </w:rPr>
        <w:t> </w:t>
      </w:r>
      <w:r>
        <w:rPr/>
        <w:t>before</w:t>
      </w:r>
      <w:r>
        <w:rPr>
          <w:spacing w:val="-13"/>
        </w:rPr>
        <w:t> </w:t>
      </w:r>
      <w:r>
        <w:rPr/>
        <w:t>consumption</w:t>
      </w:r>
      <w:r>
        <w:rPr>
          <w:spacing w:val="-11"/>
        </w:rPr>
        <w:t> </w:t>
      </w:r>
      <w:r>
        <w:rPr/>
        <w:t>plays</w:t>
      </w:r>
      <w:r>
        <w:rPr>
          <w:spacing w:val="-10"/>
        </w:rPr>
        <w:t> </w:t>
      </w:r>
      <w:r>
        <w:rPr/>
        <w:t>an</w:t>
      </w:r>
      <w:r>
        <w:rPr>
          <w:spacing w:val="-11"/>
        </w:rPr>
        <w:t> </w:t>
      </w:r>
      <w:r>
        <w:rPr/>
        <w:t>important</w:t>
      </w:r>
      <w:r>
        <w:rPr>
          <w:spacing w:val="-13"/>
        </w:rPr>
        <w:t> </w:t>
      </w:r>
      <w:r>
        <w:rPr/>
        <w:t>role</w:t>
      </w:r>
      <w:r>
        <w:rPr>
          <w:spacing w:val="-11"/>
        </w:rPr>
        <w:t> </w:t>
      </w:r>
      <w:r>
        <w:rPr/>
        <w:t>in</w:t>
      </w:r>
      <w:r>
        <w:rPr>
          <w:spacing w:val="-13"/>
        </w:rPr>
        <w:t> </w:t>
      </w:r>
      <w:r>
        <w:rPr/>
        <w:t>terms of</w:t>
      </w:r>
      <w:r>
        <w:rPr>
          <w:spacing w:val="-21"/>
        </w:rPr>
        <w:t> </w:t>
      </w:r>
      <w:r>
        <w:rPr/>
        <w:t>the</w:t>
      </w:r>
      <w:r>
        <w:rPr>
          <w:spacing w:val="-19"/>
        </w:rPr>
        <w:t> </w:t>
      </w:r>
      <w:r>
        <w:rPr/>
        <w:t>bioavailability</w:t>
      </w:r>
      <w:r>
        <w:rPr>
          <w:spacing w:val="-21"/>
        </w:rPr>
        <w:t> </w:t>
      </w:r>
      <w:r>
        <w:rPr/>
        <w:t>(absorption</w:t>
      </w:r>
      <w:r>
        <w:rPr>
          <w:spacing w:val="-20"/>
        </w:rPr>
        <w:t> </w:t>
      </w:r>
      <w:r>
        <w:rPr/>
        <w:t>capacity)</w:t>
      </w:r>
      <w:r>
        <w:rPr>
          <w:spacing w:val="-20"/>
        </w:rPr>
        <w:t> </w:t>
      </w:r>
      <w:r>
        <w:rPr/>
        <w:t>of</w:t>
      </w:r>
      <w:r>
        <w:rPr>
          <w:spacing w:val="-21"/>
        </w:rPr>
        <w:t> </w:t>
      </w:r>
      <w:r>
        <w:rPr/>
        <w:t>the</w:t>
      </w:r>
      <w:r>
        <w:rPr>
          <w:spacing w:val="-19"/>
        </w:rPr>
        <w:t> </w:t>
      </w:r>
      <w:r>
        <w:rPr/>
        <w:t>body.</w:t>
      </w:r>
      <w:r>
        <w:rPr>
          <w:spacing w:val="-20"/>
        </w:rPr>
        <w:t> </w:t>
      </w:r>
      <w:r>
        <w:rPr/>
        <w:t>For</w:t>
      </w:r>
      <w:r>
        <w:rPr>
          <w:spacing w:val="-19"/>
        </w:rPr>
        <w:t> </w:t>
      </w:r>
      <w:r>
        <w:rPr/>
        <w:t>example,</w:t>
      </w:r>
      <w:r>
        <w:rPr>
          <w:spacing w:val="-21"/>
        </w:rPr>
        <w:t> </w:t>
      </w:r>
      <w:r>
        <w:rPr/>
        <w:t>it</w:t>
      </w:r>
      <w:r>
        <w:rPr>
          <w:spacing w:val="-21"/>
        </w:rPr>
        <w:t> </w:t>
      </w:r>
      <w:r>
        <w:rPr/>
        <w:t>is</w:t>
      </w:r>
      <w:r>
        <w:rPr>
          <w:spacing w:val="-21"/>
        </w:rPr>
        <w:t> </w:t>
      </w:r>
      <w:r>
        <w:rPr/>
        <w:t>known that the consumption of raw carrots does not easily lead to the desired supply of beta-carotene, since the ‘release’ of the beta-carotene from raw carrots, in which they are enclosed in crystalline form in indigestible cell membranes, re- quires a reduction of these cell membranes, such as by squeezing a carrot for carrot juice or preparing mashed</w:t>
      </w:r>
      <w:r>
        <w:rPr>
          <w:spacing w:val="-1"/>
        </w:rPr>
        <w:t> </w:t>
      </w:r>
      <w:r>
        <w:rPr/>
        <w:t>carrot.</w:t>
      </w:r>
    </w:p>
    <w:p>
      <w:pPr>
        <w:pStyle w:val="Heading1"/>
        <w:spacing w:before="221"/>
      </w:pPr>
      <w:r>
        <w:rPr/>
        <w:t>Obtaining beta-carotene</w:t>
      </w:r>
    </w:p>
    <w:p>
      <w:pPr>
        <w:pStyle w:val="BodyText"/>
        <w:spacing w:line="276" w:lineRule="auto" w:before="300"/>
        <w:ind w:left="477" w:right="129"/>
        <w:jc w:val="both"/>
      </w:pPr>
      <w:r>
        <w:rPr/>
        <w:t>To produce beta-carotene capsules, extractions from the same yellow, orange and</w:t>
      </w:r>
      <w:r>
        <w:rPr>
          <w:spacing w:val="-14"/>
        </w:rPr>
        <w:t> </w:t>
      </w:r>
      <w:r>
        <w:rPr/>
        <w:t>green</w:t>
      </w:r>
      <w:r>
        <w:rPr>
          <w:spacing w:val="-13"/>
        </w:rPr>
        <w:t> </w:t>
      </w:r>
      <w:r>
        <w:rPr/>
        <w:t>fruits</w:t>
      </w:r>
      <w:r>
        <w:rPr>
          <w:spacing w:val="-14"/>
        </w:rPr>
        <w:t> </w:t>
      </w:r>
      <w:r>
        <w:rPr/>
        <w:t>and</w:t>
      </w:r>
      <w:r>
        <w:rPr>
          <w:spacing w:val="-14"/>
        </w:rPr>
        <w:t> </w:t>
      </w:r>
      <w:r>
        <w:rPr/>
        <w:t>vegetables</w:t>
      </w:r>
      <w:r>
        <w:rPr>
          <w:spacing w:val="-13"/>
        </w:rPr>
        <w:t> </w:t>
      </w:r>
      <w:r>
        <w:rPr/>
        <w:t>are</w:t>
      </w:r>
      <w:r>
        <w:rPr>
          <w:spacing w:val="-14"/>
        </w:rPr>
        <w:t> </w:t>
      </w:r>
      <w:r>
        <w:rPr/>
        <w:t>used,</w:t>
      </w:r>
      <w:r>
        <w:rPr>
          <w:spacing w:val="-12"/>
        </w:rPr>
        <w:t> </w:t>
      </w:r>
      <w:r>
        <w:rPr/>
        <w:t>such</w:t>
      </w:r>
      <w:r>
        <w:rPr>
          <w:spacing w:val="-13"/>
        </w:rPr>
        <w:t> </w:t>
      </w:r>
      <w:r>
        <w:rPr/>
        <w:t>as</w:t>
      </w:r>
      <w:r>
        <w:rPr>
          <w:spacing w:val="-14"/>
        </w:rPr>
        <w:t> </w:t>
      </w:r>
      <w:r>
        <w:rPr/>
        <w:t>carrots,</w:t>
      </w:r>
      <w:r>
        <w:rPr>
          <w:spacing w:val="-12"/>
        </w:rPr>
        <w:t> </w:t>
      </w:r>
      <w:r>
        <w:rPr/>
        <w:t>peppers,</w:t>
      </w:r>
      <w:r>
        <w:rPr>
          <w:spacing w:val="-16"/>
        </w:rPr>
        <w:t> </w:t>
      </w:r>
      <w:r>
        <w:rPr/>
        <w:t>tomatoes</w:t>
      </w:r>
      <w:r>
        <w:rPr>
          <w:spacing w:val="-12"/>
        </w:rPr>
        <w:t> </w:t>
      </w:r>
      <w:r>
        <w:rPr/>
        <w:t>and more</w:t>
      </w:r>
      <w:r>
        <w:rPr>
          <w:spacing w:val="-10"/>
        </w:rPr>
        <w:t> </w:t>
      </w:r>
      <w:r>
        <w:rPr/>
        <w:t>recently</w:t>
      </w:r>
      <w:r>
        <w:rPr>
          <w:spacing w:val="-10"/>
        </w:rPr>
        <w:t> </w:t>
      </w:r>
      <w:r>
        <w:rPr/>
        <w:t>a</w:t>
      </w:r>
      <w:r>
        <w:rPr>
          <w:spacing w:val="-12"/>
        </w:rPr>
        <w:t> </w:t>
      </w:r>
      <w:r>
        <w:rPr/>
        <w:t>microalgal</w:t>
      </w:r>
      <w:r>
        <w:rPr>
          <w:spacing w:val="-11"/>
        </w:rPr>
        <w:t> </w:t>
      </w:r>
      <w:r>
        <w:rPr/>
        <w:t>species</w:t>
      </w:r>
      <w:r>
        <w:rPr>
          <w:spacing w:val="-9"/>
        </w:rPr>
        <w:t> </w:t>
      </w:r>
      <w:r>
        <w:rPr/>
        <w:t>called</w:t>
      </w:r>
      <w:r>
        <w:rPr>
          <w:spacing w:val="-10"/>
        </w:rPr>
        <w:t> </w:t>
      </w:r>
      <w:r>
        <w:rPr/>
        <w:t>‘Dunaliella</w:t>
      </w:r>
      <w:r>
        <w:rPr>
          <w:spacing w:val="-10"/>
        </w:rPr>
        <w:t> </w:t>
      </w:r>
      <w:r>
        <w:rPr/>
        <w:t>salina’,</w:t>
      </w:r>
      <w:r>
        <w:rPr>
          <w:spacing w:val="-9"/>
        </w:rPr>
        <w:t> </w:t>
      </w:r>
      <w:r>
        <w:rPr/>
        <w:t>which</w:t>
      </w:r>
      <w:r>
        <w:rPr>
          <w:spacing w:val="-8"/>
        </w:rPr>
        <w:t> </w:t>
      </w:r>
      <w:r>
        <w:rPr/>
        <w:t>has</w:t>
      </w:r>
      <w:r>
        <w:rPr>
          <w:spacing w:val="-12"/>
        </w:rPr>
        <w:t> </w:t>
      </w:r>
      <w:r>
        <w:rPr/>
        <w:t>the</w:t>
      </w:r>
      <w:r>
        <w:rPr>
          <w:spacing w:val="-11"/>
        </w:rPr>
        <w:t> </w:t>
      </w:r>
      <w:r>
        <w:rPr/>
        <w:t>high- est carotene content of all known plant species.</w:t>
      </w:r>
    </w:p>
    <w:p>
      <w:pPr>
        <w:pStyle w:val="BodyText"/>
        <w:spacing w:before="242"/>
        <w:ind w:left="477"/>
        <w:jc w:val="both"/>
      </w:pPr>
      <w:r>
        <w:rPr/>
        <w:t>For this purpose, the alga is subjected to increased light irradiation, a nitrogen</w:t>
      </w:r>
    </w:p>
    <w:p>
      <w:pPr>
        <w:spacing w:after="0"/>
        <w:jc w:val="both"/>
        <w:sectPr>
          <w:pgSz w:w="14270" w:h="16850"/>
          <w:pgMar w:header="0" w:footer="1891" w:top="1600" w:bottom="2080" w:left="800" w:right="1280"/>
        </w:sectPr>
      </w:pPr>
    </w:p>
    <w:p>
      <w:pPr>
        <w:pStyle w:val="BodyText"/>
        <w:spacing w:line="276" w:lineRule="auto" w:before="181"/>
        <w:ind w:left="477" w:right="140"/>
        <w:jc w:val="both"/>
      </w:pPr>
      <w:r>
        <w:rPr/>
        <w:t>deficiency and at the same time a high salt concentration; under these condi- tions, it produces high levels of carotenoid droplets that provide the raw mate- rial for beta-carotene preparations.</w:t>
      </w:r>
    </w:p>
    <w:p>
      <w:pPr>
        <w:pStyle w:val="Heading1"/>
      </w:pPr>
      <w:r>
        <w:rPr/>
        <w:t>Absorption and storage of beta-carotene in the body</w:t>
      </w:r>
    </w:p>
    <w:p>
      <w:pPr>
        <w:pStyle w:val="BodyText"/>
        <w:spacing w:line="276" w:lineRule="auto" w:before="300"/>
        <w:ind w:left="477" w:right="130"/>
        <w:jc w:val="both"/>
      </w:pPr>
      <w:r>
        <w:rPr/>
        <w:t>Upon ingestion, only 10-50 % of the total amount of beta-carotene taken is absorbed in the gastrointestinal tract. The enzymes convert the beta-carotene into</w:t>
      </w:r>
      <w:r>
        <w:rPr>
          <w:spacing w:val="-21"/>
        </w:rPr>
        <w:t> </w:t>
      </w:r>
      <w:r>
        <w:rPr/>
        <w:t>retinol</w:t>
      </w:r>
      <w:r>
        <w:rPr>
          <w:spacing w:val="-22"/>
        </w:rPr>
        <w:t> </w:t>
      </w:r>
      <w:r>
        <w:rPr/>
        <w:t>(vitamin</w:t>
      </w:r>
      <w:r>
        <w:rPr>
          <w:spacing w:val="-20"/>
        </w:rPr>
        <w:t> </w:t>
      </w:r>
      <w:r>
        <w:rPr/>
        <w:t>A)</w:t>
      </w:r>
      <w:r>
        <w:rPr>
          <w:spacing w:val="-22"/>
        </w:rPr>
        <w:t> </w:t>
      </w:r>
      <w:r>
        <w:rPr/>
        <w:t>in</w:t>
      </w:r>
      <w:r>
        <w:rPr>
          <w:spacing w:val="-21"/>
        </w:rPr>
        <w:t> </w:t>
      </w:r>
      <w:r>
        <w:rPr/>
        <w:t>the</w:t>
      </w:r>
      <w:r>
        <w:rPr>
          <w:spacing w:val="-22"/>
        </w:rPr>
        <w:t> </w:t>
      </w:r>
      <w:r>
        <w:rPr/>
        <w:t>enterocytes</w:t>
      </w:r>
      <w:r>
        <w:rPr>
          <w:spacing w:val="-20"/>
        </w:rPr>
        <w:t> </w:t>
      </w:r>
      <w:r>
        <w:rPr/>
        <w:t>of</w:t>
      </w:r>
      <w:r>
        <w:rPr>
          <w:spacing w:val="-22"/>
        </w:rPr>
        <w:t> </w:t>
      </w:r>
      <w:r>
        <w:rPr/>
        <w:t>the</w:t>
      </w:r>
      <w:r>
        <w:rPr>
          <w:spacing w:val="-23"/>
        </w:rPr>
        <w:t> </w:t>
      </w:r>
      <w:r>
        <w:rPr/>
        <w:t>intestinal</w:t>
      </w:r>
      <w:r>
        <w:rPr>
          <w:spacing w:val="-22"/>
        </w:rPr>
        <w:t> </w:t>
      </w:r>
      <w:r>
        <w:rPr/>
        <w:t>mucosa.</w:t>
      </w:r>
      <w:r>
        <w:rPr>
          <w:spacing w:val="-20"/>
        </w:rPr>
        <w:t> </w:t>
      </w:r>
      <w:r>
        <w:rPr/>
        <w:t>As</w:t>
      </w:r>
      <w:r>
        <w:rPr>
          <w:spacing w:val="-23"/>
        </w:rPr>
        <w:t> </w:t>
      </w:r>
      <w:r>
        <w:rPr/>
        <w:t>the</w:t>
      </w:r>
      <w:r>
        <w:rPr>
          <w:spacing w:val="-19"/>
        </w:rPr>
        <w:t> </w:t>
      </w:r>
      <w:r>
        <w:rPr/>
        <w:t>intake increases,</w:t>
      </w:r>
      <w:r>
        <w:rPr>
          <w:spacing w:val="-23"/>
        </w:rPr>
        <w:t> </w:t>
      </w:r>
      <w:r>
        <w:rPr/>
        <w:t>the</w:t>
      </w:r>
      <w:r>
        <w:rPr>
          <w:spacing w:val="-23"/>
        </w:rPr>
        <w:t> </w:t>
      </w:r>
      <w:r>
        <w:rPr/>
        <w:t>proportion</w:t>
      </w:r>
      <w:r>
        <w:rPr>
          <w:spacing w:val="-23"/>
        </w:rPr>
        <w:t> </w:t>
      </w:r>
      <w:r>
        <w:rPr/>
        <w:t>of</w:t>
      </w:r>
      <w:r>
        <w:rPr>
          <w:spacing w:val="-23"/>
        </w:rPr>
        <w:t> </w:t>
      </w:r>
      <w:r>
        <w:rPr/>
        <w:t>reabsorbed</w:t>
      </w:r>
      <w:r>
        <w:rPr>
          <w:spacing w:val="-23"/>
        </w:rPr>
        <w:t> </w:t>
      </w:r>
      <w:r>
        <w:rPr/>
        <w:t>beta-carotene</w:t>
      </w:r>
      <w:r>
        <w:rPr>
          <w:spacing w:val="-23"/>
        </w:rPr>
        <w:t> </w:t>
      </w:r>
      <w:r>
        <w:rPr/>
        <w:t>decreases.</w:t>
      </w:r>
      <w:r>
        <w:rPr>
          <w:spacing w:val="-25"/>
        </w:rPr>
        <w:t> </w:t>
      </w:r>
      <w:r>
        <w:rPr/>
        <w:t>Here,</w:t>
      </w:r>
      <w:r>
        <w:rPr>
          <w:spacing w:val="-23"/>
        </w:rPr>
        <w:t> </w:t>
      </w:r>
      <w:r>
        <w:rPr/>
        <w:t>the</w:t>
      </w:r>
      <w:r>
        <w:rPr>
          <w:spacing w:val="-23"/>
        </w:rPr>
        <w:t> </w:t>
      </w:r>
      <w:r>
        <w:rPr/>
        <w:t>body regulates the conversion itself and once it has absorbed enough vitamin A, it slows down the conversion of beta-carotene into vitamin A. This makes the intake of beta-carotene safe and certainly does not lead to a feared vitamin A hypervitaminosis due to an excessive intake of beta-carotene. A large surplus</w:t>
      </w:r>
      <w:r>
        <w:rPr>
          <w:spacing w:val="-52"/>
        </w:rPr>
        <w:t> </w:t>
      </w:r>
      <w:r>
        <w:rPr/>
        <w:t>is mainly stored in the fatty tissue and in the skin and the higher amount causes a yellowish</w:t>
      </w:r>
      <w:r>
        <w:rPr>
          <w:spacing w:val="-20"/>
        </w:rPr>
        <w:t> </w:t>
      </w:r>
      <w:r>
        <w:rPr/>
        <w:t>skin</w:t>
      </w:r>
      <w:r>
        <w:rPr>
          <w:spacing w:val="-21"/>
        </w:rPr>
        <w:t> </w:t>
      </w:r>
      <w:r>
        <w:rPr/>
        <w:t>colour.</w:t>
      </w:r>
      <w:r>
        <w:rPr>
          <w:spacing w:val="-20"/>
        </w:rPr>
        <w:t> </w:t>
      </w:r>
      <w:r>
        <w:rPr/>
        <w:t>When</w:t>
      </w:r>
      <w:r>
        <w:rPr>
          <w:spacing w:val="-21"/>
        </w:rPr>
        <w:t> </w:t>
      </w:r>
      <w:r>
        <w:rPr/>
        <w:t>the</w:t>
      </w:r>
      <w:r>
        <w:rPr>
          <w:spacing w:val="-23"/>
        </w:rPr>
        <w:t> </w:t>
      </w:r>
      <w:r>
        <w:rPr/>
        <w:t>intake</w:t>
      </w:r>
      <w:r>
        <w:rPr>
          <w:spacing w:val="-21"/>
        </w:rPr>
        <w:t> </w:t>
      </w:r>
      <w:r>
        <w:rPr/>
        <w:t>of</w:t>
      </w:r>
      <w:r>
        <w:rPr>
          <w:spacing w:val="-21"/>
        </w:rPr>
        <w:t> </w:t>
      </w:r>
      <w:r>
        <w:rPr/>
        <w:t>beta-carotene</w:t>
      </w:r>
      <w:r>
        <w:rPr>
          <w:spacing w:val="-21"/>
        </w:rPr>
        <w:t> </w:t>
      </w:r>
      <w:r>
        <w:rPr/>
        <w:t>decreases,</w:t>
      </w:r>
      <w:r>
        <w:rPr>
          <w:spacing w:val="-21"/>
        </w:rPr>
        <w:t> </w:t>
      </w:r>
      <w:r>
        <w:rPr/>
        <w:t>this</w:t>
      </w:r>
      <w:r>
        <w:rPr>
          <w:spacing w:val="-20"/>
        </w:rPr>
        <w:t> </w:t>
      </w:r>
      <w:r>
        <w:rPr/>
        <w:t>regulates itself</w:t>
      </w:r>
      <w:r>
        <w:rPr>
          <w:spacing w:val="-2"/>
        </w:rPr>
        <w:t> </w:t>
      </w:r>
      <w:r>
        <w:rPr/>
        <w:t>again.</w:t>
      </w:r>
    </w:p>
    <w:p>
      <w:pPr>
        <w:pStyle w:val="Heading1"/>
        <w:spacing w:before="223"/>
      </w:pPr>
      <w:r>
        <w:rPr/>
        <w:t>How does beta-carotene work and what does it act against?</w:t>
      </w:r>
    </w:p>
    <w:p>
      <w:pPr>
        <w:pStyle w:val="BodyText"/>
        <w:spacing w:line="276" w:lineRule="auto" w:before="299"/>
        <w:ind w:left="477" w:right="133"/>
        <w:jc w:val="both"/>
      </w:pPr>
      <w:r>
        <w:rPr/>
        <w:t>Before</w:t>
      </w:r>
      <w:r>
        <w:rPr>
          <w:spacing w:val="-8"/>
        </w:rPr>
        <w:t> </w:t>
      </w:r>
      <w:r>
        <w:rPr/>
        <w:t>turning</w:t>
      </w:r>
      <w:r>
        <w:rPr>
          <w:spacing w:val="-8"/>
        </w:rPr>
        <w:t> </w:t>
      </w:r>
      <w:r>
        <w:rPr/>
        <w:t>to</w:t>
      </w:r>
      <w:r>
        <w:rPr>
          <w:spacing w:val="-8"/>
        </w:rPr>
        <w:t> </w:t>
      </w:r>
      <w:r>
        <w:rPr/>
        <w:t>the</w:t>
      </w:r>
      <w:r>
        <w:rPr>
          <w:spacing w:val="-7"/>
        </w:rPr>
        <w:t> </w:t>
      </w:r>
      <w:r>
        <w:rPr/>
        <w:t>real</w:t>
      </w:r>
      <w:r>
        <w:rPr>
          <w:spacing w:val="-9"/>
        </w:rPr>
        <w:t> </w:t>
      </w:r>
      <w:r>
        <w:rPr/>
        <w:t>benefits</w:t>
      </w:r>
      <w:r>
        <w:rPr>
          <w:spacing w:val="-9"/>
        </w:rPr>
        <w:t> </w:t>
      </w:r>
      <w:r>
        <w:rPr/>
        <w:t>of</w:t>
      </w:r>
      <w:r>
        <w:rPr>
          <w:spacing w:val="-8"/>
        </w:rPr>
        <w:t> </w:t>
      </w:r>
      <w:r>
        <w:rPr/>
        <w:t>beta-carotene,</w:t>
      </w:r>
      <w:r>
        <w:rPr>
          <w:spacing w:val="-7"/>
        </w:rPr>
        <w:t> </w:t>
      </w:r>
      <w:r>
        <w:rPr/>
        <w:t>we</w:t>
      </w:r>
      <w:r>
        <w:rPr>
          <w:spacing w:val="-9"/>
        </w:rPr>
        <w:t> </w:t>
      </w:r>
      <w:r>
        <w:rPr/>
        <w:t>think</w:t>
      </w:r>
      <w:r>
        <w:rPr>
          <w:spacing w:val="-8"/>
        </w:rPr>
        <w:t> </w:t>
      </w:r>
      <w:r>
        <w:rPr/>
        <w:t>it</w:t>
      </w:r>
      <w:r>
        <w:rPr>
          <w:spacing w:val="-10"/>
        </w:rPr>
        <w:t> </w:t>
      </w:r>
      <w:r>
        <w:rPr/>
        <w:t>is</w:t>
      </w:r>
      <w:r>
        <w:rPr>
          <w:spacing w:val="-6"/>
        </w:rPr>
        <w:t> </w:t>
      </w:r>
      <w:r>
        <w:rPr/>
        <w:t>of</w:t>
      </w:r>
      <w:r>
        <w:rPr>
          <w:spacing w:val="-8"/>
        </w:rPr>
        <w:t> </w:t>
      </w:r>
      <w:r>
        <w:rPr/>
        <w:t>the</w:t>
      </w:r>
      <w:r>
        <w:rPr>
          <w:spacing w:val="-6"/>
        </w:rPr>
        <w:t> </w:t>
      </w:r>
      <w:r>
        <w:rPr/>
        <w:t>utmost importance</w:t>
      </w:r>
      <w:r>
        <w:rPr>
          <w:spacing w:val="-11"/>
        </w:rPr>
        <w:t> </w:t>
      </w:r>
      <w:r>
        <w:rPr/>
        <w:t>to</w:t>
      </w:r>
      <w:r>
        <w:rPr>
          <w:spacing w:val="-10"/>
        </w:rPr>
        <w:t> </w:t>
      </w:r>
      <w:r>
        <w:rPr/>
        <w:t>first</w:t>
      </w:r>
      <w:r>
        <w:rPr>
          <w:spacing w:val="-11"/>
        </w:rPr>
        <w:t> </w:t>
      </w:r>
      <w:r>
        <w:rPr/>
        <w:t>clarify</w:t>
      </w:r>
      <w:r>
        <w:rPr>
          <w:spacing w:val="-11"/>
        </w:rPr>
        <w:t> </w:t>
      </w:r>
      <w:r>
        <w:rPr/>
        <w:t>the</w:t>
      </w:r>
      <w:r>
        <w:rPr>
          <w:spacing w:val="-10"/>
        </w:rPr>
        <w:t> </w:t>
      </w:r>
      <w:r>
        <w:rPr/>
        <w:t>old</w:t>
      </w:r>
      <w:r>
        <w:rPr>
          <w:spacing w:val="-11"/>
        </w:rPr>
        <w:t> </w:t>
      </w:r>
      <w:r>
        <w:rPr/>
        <w:t>debate</w:t>
      </w:r>
      <w:r>
        <w:rPr>
          <w:spacing w:val="-12"/>
        </w:rPr>
        <w:t> </w:t>
      </w:r>
      <w:r>
        <w:rPr/>
        <w:t>about</w:t>
      </w:r>
      <w:r>
        <w:rPr>
          <w:spacing w:val="-12"/>
        </w:rPr>
        <w:t> </w:t>
      </w:r>
      <w:r>
        <w:rPr/>
        <w:t>the</w:t>
      </w:r>
      <w:r>
        <w:rPr>
          <w:spacing w:val="-10"/>
        </w:rPr>
        <w:t> </w:t>
      </w:r>
      <w:r>
        <w:rPr/>
        <w:t>possible</w:t>
      </w:r>
      <w:r>
        <w:rPr>
          <w:spacing w:val="-11"/>
        </w:rPr>
        <w:t> </w:t>
      </w:r>
      <w:r>
        <w:rPr/>
        <w:t>side</w:t>
      </w:r>
      <w:r>
        <w:rPr>
          <w:spacing w:val="-13"/>
        </w:rPr>
        <w:t> </w:t>
      </w:r>
      <w:r>
        <w:rPr/>
        <w:t>effects</w:t>
      </w:r>
      <w:r>
        <w:rPr>
          <w:spacing w:val="-10"/>
        </w:rPr>
        <w:t> </w:t>
      </w:r>
      <w:r>
        <w:rPr/>
        <w:t>of</w:t>
      </w:r>
      <w:r>
        <w:rPr>
          <w:spacing w:val="-10"/>
        </w:rPr>
        <w:t> </w:t>
      </w:r>
      <w:r>
        <w:rPr/>
        <w:t>beta- carotene in smokers, which continues to cause persistent and unfounded un- certainty among many consumers. This debate has unnecessarily resulted in more</w:t>
      </w:r>
      <w:r>
        <w:rPr>
          <w:spacing w:val="-12"/>
        </w:rPr>
        <w:t> </w:t>
      </w:r>
      <w:r>
        <w:rPr/>
        <w:t>people</w:t>
      </w:r>
      <w:r>
        <w:rPr>
          <w:spacing w:val="-12"/>
        </w:rPr>
        <w:t> </w:t>
      </w:r>
      <w:r>
        <w:rPr/>
        <w:t>associating</w:t>
      </w:r>
      <w:r>
        <w:rPr>
          <w:spacing w:val="-11"/>
        </w:rPr>
        <w:t> </w:t>
      </w:r>
      <w:r>
        <w:rPr/>
        <w:t>beta-carotene</w:t>
      </w:r>
      <w:r>
        <w:rPr>
          <w:spacing w:val="-11"/>
        </w:rPr>
        <w:t> </w:t>
      </w:r>
      <w:r>
        <w:rPr/>
        <w:t>with</w:t>
      </w:r>
      <w:r>
        <w:rPr>
          <w:spacing w:val="-11"/>
        </w:rPr>
        <w:t> </w:t>
      </w:r>
      <w:r>
        <w:rPr/>
        <w:t>something</w:t>
      </w:r>
      <w:r>
        <w:rPr>
          <w:spacing w:val="-11"/>
        </w:rPr>
        <w:t> </w:t>
      </w:r>
      <w:r>
        <w:rPr/>
        <w:t>dangerous</w:t>
      </w:r>
      <w:r>
        <w:rPr>
          <w:spacing w:val="-12"/>
        </w:rPr>
        <w:t> </w:t>
      </w:r>
      <w:r>
        <w:rPr/>
        <w:t>than</w:t>
      </w:r>
      <w:r>
        <w:rPr>
          <w:spacing w:val="-11"/>
        </w:rPr>
        <w:t> </w:t>
      </w:r>
      <w:r>
        <w:rPr/>
        <w:t>seeing</w:t>
      </w:r>
      <w:r>
        <w:rPr>
          <w:spacing w:val="-11"/>
        </w:rPr>
        <w:t> </w:t>
      </w:r>
      <w:r>
        <w:rPr/>
        <w:t>it for what it is: a godsend for our</w:t>
      </w:r>
      <w:r>
        <w:rPr>
          <w:spacing w:val="-2"/>
        </w:rPr>
        <w:t> </w:t>
      </w:r>
      <w:r>
        <w:rPr/>
        <w:t>health!</w:t>
      </w:r>
    </w:p>
    <w:p>
      <w:pPr>
        <w:spacing w:after="0" w:line="276" w:lineRule="auto"/>
        <w:jc w:val="both"/>
        <w:sectPr>
          <w:pgSz w:w="14270" w:h="16850"/>
          <w:pgMar w:header="0" w:footer="1891" w:top="1600" w:bottom="2080" w:left="800" w:right="1280"/>
        </w:sectPr>
      </w:pPr>
    </w:p>
    <w:p>
      <w:pPr>
        <w:pStyle w:val="Heading2"/>
        <w:spacing w:before="181"/>
      </w:pPr>
      <w:r>
        <w:rPr/>
        <w:t>Does beta-carotene harm smokers?</w:t>
      </w:r>
    </w:p>
    <w:p>
      <w:pPr>
        <w:pStyle w:val="BodyText"/>
        <w:spacing w:line="276" w:lineRule="auto" w:before="305"/>
        <w:ind w:left="477" w:right="134"/>
        <w:jc w:val="both"/>
      </w:pPr>
      <w:r>
        <w:rPr/>
        <w:t>Sadly, many people heard about beta-carotene for the first time, when, in the 1990s, the relevant media jumped at the chance to criticise it; namely stating that</w:t>
      </w:r>
      <w:r>
        <w:rPr>
          <w:spacing w:val="-13"/>
        </w:rPr>
        <w:t> </w:t>
      </w:r>
      <w:r>
        <w:rPr/>
        <w:t>beta-carotene,</w:t>
      </w:r>
      <w:r>
        <w:rPr>
          <w:spacing w:val="-12"/>
        </w:rPr>
        <w:t> </w:t>
      </w:r>
      <w:r>
        <w:rPr/>
        <w:t>which</w:t>
      </w:r>
      <w:r>
        <w:rPr>
          <w:spacing w:val="-11"/>
        </w:rPr>
        <w:t> </w:t>
      </w:r>
      <w:r>
        <w:rPr/>
        <w:t>had</w:t>
      </w:r>
      <w:r>
        <w:rPr>
          <w:spacing w:val="-12"/>
        </w:rPr>
        <w:t> </w:t>
      </w:r>
      <w:r>
        <w:rPr/>
        <w:t>made</w:t>
      </w:r>
      <w:r>
        <w:rPr>
          <w:spacing w:val="-12"/>
        </w:rPr>
        <w:t> </w:t>
      </w:r>
      <w:r>
        <w:rPr/>
        <w:t>a</w:t>
      </w:r>
      <w:r>
        <w:rPr>
          <w:spacing w:val="-14"/>
        </w:rPr>
        <w:t> </w:t>
      </w:r>
      <w:r>
        <w:rPr/>
        <w:t>name</w:t>
      </w:r>
      <w:r>
        <w:rPr>
          <w:spacing w:val="-11"/>
        </w:rPr>
        <w:t> </w:t>
      </w:r>
      <w:r>
        <w:rPr/>
        <w:t>for</w:t>
      </w:r>
      <w:r>
        <w:rPr>
          <w:spacing w:val="-11"/>
        </w:rPr>
        <w:t> </w:t>
      </w:r>
      <w:r>
        <w:rPr/>
        <w:t>itself</w:t>
      </w:r>
      <w:r>
        <w:rPr>
          <w:spacing w:val="-11"/>
        </w:rPr>
        <w:t> </w:t>
      </w:r>
      <w:r>
        <w:rPr/>
        <w:t>in</w:t>
      </w:r>
      <w:r>
        <w:rPr>
          <w:spacing w:val="-13"/>
        </w:rPr>
        <w:t> </w:t>
      </w:r>
      <w:r>
        <w:rPr/>
        <w:t>prophylaxis</w:t>
      </w:r>
      <w:r>
        <w:rPr>
          <w:spacing w:val="-12"/>
        </w:rPr>
        <w:t> </w:t>
      </w:r>
      <w:r>
        <w:rPr/>
        <w:t>and</w:t>
      </w:r>
      <w:r>
        <w:rPr>
          <w:spacing w:val="-11"/>
        </w:rPr>
        <w:t> </w:t>
      </w:r>
      <w:r>
        <w:rPr/>
        <w:t>even</w:t>
      </w:r>
      <w:r>
        <w:rPr>
          <w:spacing w:val="-12"/>
        </w:rPr>
        <w:t> </w:t>
      </w:r>
      <w:r>
        <w:rPr/>
        <w:t>in the treatment of cancer, would, on the contrary, actually promote lung cancer in smokers!</w:t>
      </w:r>
    </w:p>
    <w:p>
      <w:pPr>
        <w:pStyle w:val="BodyText"/>
        <w:rPr>
          <w:sz w:val="42"/>
        </w:rPr>
      </w:pPr>
    </w:p>
    <w:p>
      <w:pPr>
        <w:pStyle w:val="BodyText"/>
        <w:rPr>
          <w:sz w:val="42"/>
        </w:rPr>
      </w:pPr>
    </w:p>
    <w:p>
      <w:pPr>
        <w:pStyle w:val="BodyText"/>
        <w:rPr>
          <w:sz w:val="42"/>
        </w:rPr>
      </w:pPr>
    </w:p>
    <w:p>
      <w:pPr>
        <w:pStyle w:val="Heading1"/>
        <w:spacing w:before="269"/>
      </w:pPr>
      <w:r>
        <w:rPr/>
        <w:t>What is true and how can the facts actually be evaluated?</w:t>
      </w:r>
    </w:p>
    <w:p>
      <w:pPr>
        <w:pStyle w:val="BodyText"/>
        <w:spacing w:line="276" w:lineRule="auto" w:before="299"/>
        <w:ind w:left="477"/>
      </w:pPr>
      <w:r>
        <w:rPr/>
        <w:t>In two studies conducted over several years in the 1990s, beta-carotene in- creased lung cancer risk rather than decreasing it, as had been hoped.</w:t>
      </w:r>
    </w:p>
    <w:p>
      <w:pPr>
        <w:pStyle w:val="Heading1"/>
        <w:spacing w:before="222"/>
      </w:pPr>
      <w:r>
        <w:rPr/>
        <w:t>The criticism of the criticism:</w:t>
      </w:r>
    </w:p>
    <w:p>
      <w:pPr>
        <w:pStyle w:val="BodyText"/>
        <w:spacing w:line="276" w:lineRule="auto" w:before="299"/>
        <w:ind w:left="477" w:right="133"/>
        <w:jc w:val="both"/>
      </w:pPr>
      <w:r>
        <w:rPr/>
        <w:t>While</w:t>
      </w:r>
      <w:r>
        <w:rPr>
          <w:spacing w:val="-19"/>
        </w:rPr>
        <w:t> </w:t>
      </w:r>
      <w:r>
        <w:rPr/>
        <w:t>these</w:t>
      </w:r>
      <w:r>
        <w:rPr>
          <w:spacing w:val="-17"/>
        </w:rPr>
        <w:t> </w:t>
      </w:r>
      <w:r>
        <w:rPr/>
        <w:t>truly</w:t>
      </w:r>
      <w:r>
        <w:rPr>
          <w:spacing w:val="-17"/>
        </w:rPr>
        <w:t> </w:t>
      </w:r>
      <w:r>
        <w:rPr/>
        <w:t>negative</w:t>
      </w:r>
      <w:r>
        <w:rPr>
          <w:spacing w:val="-19"/>
        </w:rPr>
        <w:t> </w:t>
      </w:r>
      <w:r>
        <w:rPr/>
        <w:t>study</w:t>
      </w:r>
      <w:r>
        <w:rPr>
          <w:spacing w:val="-18"/>
        </w:rPr>
        <w:t> </w:t>
      </w:r>
      <w:r>
        <w:rPr/>
        <w:t>results</w:t>
      </w:r>
      <w:r>
        <w:rPr>
          <w:spacing w:val="-18"/>
        </w:rPr>
        <w:t> </w:t>
      </w:r>
      <w:r>
        <w:rPr/>
        <w:t>were</w:t>
      </w:r>
      <w:r>
        <w:rPr>
          <w:spacing w:val="-17"/>
        </w:rPr>
        <w:t> </w:t>
      </w:r>
      <w:r>
        <w:rPr/>
        <w:t>widely</w:t>
      </w:r>
      <w:r>
        <w:rPr>
          <w:spacing w:val="-17"/>
        </w:rPr>
        <w:t> </w:t>
      </w:r>
      <w:r>
        <w:rPr/>
        <w:t>swallowed</w:t>
      </w:r>
      <w:r>
        <w:rPr>
          <w:spacing w:val="-18"/>
        </w:rPr>
        <w:t> </w:t>
      </w:r>
      <w:r>
        <w:rPr/>
        <w:t>by</w:t>
      </w:r>
      <w:r>
        <w:rPr>
          <w:spacing w:val="-18"/>
        </w:rPr>
        <w:t> </w:t>
      </w:r>
      <w:r>
        <w:rPr/>
        <w:t>the</w:t>
      </w:r>
      <w:r>
        <w:rPr>
          <w:spacing w:val="-18"/>
        </w:rPr>
        <w:t> </w:t>
      </w:r>
      <w:r>
        <w:rPr/>
        <w:t>media</w:t>
      </w:r>
      <w:r>
        <w:rPr>
          <w:spacing w:val="-18"/>
        </w:rPr>
        <w:t> </w:t>
      </w:r>
      <w:r>
        <w:rPr/>
        <w:t>and the</w:t>
      </w:r>
      <w:r>
        <w:rPr>
          <w:spacing w:val="-12"/>
        </w:rPr>
        <w:t> </w:t>
      </w:r>
      <w:r>
        <w:rPr/>
        <w:t>population</w:t>
      </w:r>
      <w:r>
        <w:rPr>
          <w:spacing w:val="-8"/>
        </w:rPr>
        <w:t> </w:t>
      </w:r>
      <w:r>
        <w:rPr/>
        <w:t>was</w:t>
      </w:r>
      <w:r>
        <w:rPr>
          <w:spacing w:val="-12"/>
        </w:rPr>
        <w:t> </w:t>
      </w:r>
      <w:r>
        <w:rPr/>
        <w:t>told</w:t>
      </w:r>
      <w:r>
        <w:rPr>
          <w:spacing w:val="-12"/>
        </w:rPr>
        <w:t> </w:t>
      </w:r>
      <w:r>
        <w:rPr/>
        <w:t>that</w:t>
      </w:r>
      <w:r>
        <w:rPr>
          <w:spacing w:val="-13"/>
        </w:rPr>
        <w:t> </w:t>
      </w:r>
      <w:r>
        <w:rPr/>
        <w:t>the</w:t>
      </w:r>
      <w:r>
        <w:rPr>
          <w:spacing w:val="-9"/>
        </w:rPr>
        <w:t> </w:t>
      </w:r>
      <w:r>
        <w:rPr/>
        <w:t>‘highly</w:t>
      </w:r>
      <w:r>
        <w:rPr>
          <w:spacing w:val="-12"/>
        </w:rPr>
        <w:t> </w:t>
      </w:r>
      <w:r>
        <w:rPr/>
        <w:t>praised’</w:t>
      </w:r>
      <w:r>
        <w:rPr>
          <w:spacing w:val="-12"/>
        </w:rPr>
        <w:t> </w:t>
      </w:r>
      <w:r>
        <w:rPr/>
        <w:t>beta-carotene</w:t>
      </w:r>
      <w:r>
        <w:rPr>
          <w:spacing w:val="-11"/>
        </w:rPr>
        <w:t> </w:t>
      </w:r>
      <w:r>
        <w:rPr/>
        <w:t>was</w:t>
      </w:r>
      <w:r>
        <w:rPr>
          <w:spacing w:val="-13"/>
        </w:rPr>
        <w:t> </w:t>
      </w:r>
      <w:r>
        <w:rPr/>
        <w:t>anything</w:t>
      </w:r>
      <w:r>
        <w:rPr>
          <w:spacing w:val="-11"/>
        </w:rPr>
        <w:t> </w:t>
      </w:r>
      <w:r>
        <w:rPr/>
        <w:t>but healthy, the two most important factors that led to the negative study results were almost invariably left unmentioned:</w:t>
      </w:r>
    </w:p>
    <w:p>
      <w:pPr>
        <w:pStyle w:val="ListParagraph"/>
        <w:numPr>
          <w:ilvl w:val="0"/>
          <w:numId w:val="22"/>
        </w:numPr>
        <w:tabs>
          <w:tab w:pos="958" w:val="left" w:leader="none"/>
        </w:tabs>
        <w:spacing w:line="240" w:lineRule="auto" w:before="242" w:after="0"/>
        <w:ind w:left="477" w:right="0" w:firstLine="0"/>
        <w:jc w:val="left"/>
        <w:rPr>
          <w:sz w:val="38"/>
        </w:rPr>
      </w:pPr>
      <w:r>
        <w:rPr>
          <w:sz w:val="38"/>
        </w:rPr>
        <w:t>The test subjects were invariably heavy</w:t>
      </w:r>
      <w:r>
        <w:rPr>
          <w:spacing w:val="-1"/>
          <w:sz w:val="38"/>
        </w:rPr>
        <w:t> </w:t>
      </w:r>
      <w:r>
        <w:rPr>
          <w:sz w:val="38"/>
        </w:rPr>
        <w:t>smokers!</w:t>
      </w:r>
    </w:p>
    <w:p>
      <w:pPr>
        <w:pStyle w:val="ListParagraph"/>
        <w:numPr>
          <w:ilvl w:val="0"/>
          <w:numId w:val="22"/>
        </w:numPr>
        <w:tabs>
          <w:tab w:pos="958" w:val="left" w:leader="none"/>
        </w:tabs>
        <w:spacing w:line="276" w:lineRule="auto" w:before="305" w:after="0"/>
        <w:ind w:left="477" w:right="135" w:firstLine="0"/>
        <w:jc w:val="left"/>
        <w:rPr>
          <w:sz w:val="38"/>
        </w:rPr>
      </w:pPr>
      <w:r>
        <w:rPr>
          <w:sz w:val="38"/>
        </w:rPr>
        <w:t>The beta-carotene was taken in very high doses, which corresponded to</w:t>
      </w:r>
      <w:r>
        <w:rPr>
          <w:spacing w:val="-40"/>
          <w:sz w:val="38"/>
        </w:rPr>
        <w:t> </w:t>
      </w:r>
      <w:r>
        <w:rPr>
          <w:sz w:val="38"/>
        </w:rPr>
        <w:t>10- 15 times the recommended daily</w:t>
      </w:r>
      <w:r>
        <w:rPr>
          <w:spacing w:val="2"/>
          <w:sz w:val="38"/>
        </w:rPr>
        <w:t> </w:t>
      </w:r>
      <w:r>
        <w:rPr>
          <w:sz w:val="38"/>
        </w:rPr>
        <w:t>allowance!</w:t>
      </w:r>
    </w:p>
    <w:p>
      <w:pPr>
        <w:spacing w:after="0" w:line="276" w:lineRule="auto"/>
        <w:jc w:val="left"/>
        <w:rPr>
          <w:sz w:val="38"/>
        </w:rPr>
        <w:sectPr>
          <w:pgSz w:w="14270" w:h="16850"/>
          <w:pgMar w:header="0" w:footer="1891" w:top="1600" w:bottom="2080" w:left="800" w:right="1280"/>
        </w:sectPr>
      </w:pPr>
    </w:p>
    <w:p>
      <w:pPr>
        <w:pStyle w:val="Heading2"/>
        <w:spacing w:before="181"/>
      </w:pPr>
      <w:r>
        <w:rPr/>
        <w:t>Conclusion:</w:t>
      </w:r>
    </w:p>
    <w:p>
      <w:pPr>
        <w:pStyle w:val="BodyText"/>
        <w:spacing w:line="276" w:lineRule="auto" w:before="305"/>
        <w:ind w:left="477" w:right="135"/>
        <w:jc w:val="both"/>
      </w:pPr>
      <w:r>
        <w:rPr/>
        <w:t>The</w:t>
      </w:r>
      <w:r>
        <w:rPr>
          <w:spacing w:val="-6"/>
        </w:rPr>
        <w:t> </w:t>
      </w:r>
      <w:r>
        <w:rPr/>
        <w:t>use</w:t>
      </w:r>
      <w:r>
        <w:rPr>
          <w:spacing w:val="-7"/>
        </w:rPr>
        <w:t> </w:t>
      </w:r>
      <w:r>
        <w:rPr/>
        <w:t>of</w:t>
      </w:r>
      <w:r>
        <w:rPr>
          <w:spacing w:val="-7"/>
        </w:rPr>
        <w:t> </w:t>
      </w:r>
      <w:r>
        <w:rPr/>
        <w:t>beta-carotene</w:t>
      </w:r>
      <w:r>
        <w:rPr>
          <w:spacing w:val="-6"/>
        </w:rPr>
        <w:t> </w:t>
      </w:r>
      <w:r>
        <w:rPr/>
        <w:t>should</w:t>
      </w:r>
      <w:r>
        <w:rPr>
          <w:spacing w:val="-8"/>
        </w:rPr>
        <w:t> </w:t>
      </w:r>
      <w:r>
        <w:rPr/>
        <w:t>only</w:t>
      </w:r>
      <w:r>
        <w:rPr>
          <w:spacing w:val="-6"/>
        </w:rPr>
        <w:t> </w:t>
      </w:r>
      <w:r>
        <w:rPr/>
        <w:t>be</w:t>
      </w:r>
      <w:r>
        <w:rPr>
          <w:spacing w:val="-6"/>
        </w:rPr>
        <w:t> </w:t>
      </w:r>
      <w:r>
        <w:rPr/>
        <w:t>questioned</w:t>
      </w:r>
      <w:r>
        <w:rPr>
          <w:spacing w:val="-7"/>
        </w:rPr>
        <w:t> </w:t>
      </w:r>
      <w:r>
        <w:rPr/>
        <w:t>in</w:t>
      </w:r>
      <w:r>
        <w:rPr>
          <w:spacing w:val="-7"/>
        </w:rPr>
        <w:t> </w:t>
      </w:r>
      <w:r>
        <w:rPr/>
        <w:t>the</w:t>
      </w:r>
      <w:r>
        <w:rPr>
          <w:spacing w:val="-6"/>
        </w:rPr>
        <w:t> </w:t>
      </w:r>
      <w:r>
        <w:rPr/>
        <w:t>case</w:t>
      </w:r>
      <w:r>
        <w:rPr>
          <w:spacing w:val="-6"/>
        </w:rPr>
        <w:t> </w:t>
      </w:r>
      <w:r>
        <w:rPr/>
        <w:t>of</w:t>
      </w:r>
      <w:r>
        <w:rPr>
          <w:spacing w:val="-8"/>
        </w:rPr>
        <w:t> </w:t>
      </w:r>
      <w:r>
        <w:rPr/>
        <w:t>heavy</w:t>
      </w:r>
      <w:r>
        <w:rPr>
          <w:spacing w:val="-8"/>
        </w:rPr>
        <w:t> </w:t>
      </w:r>
      <w:r>
        <w:rPr/>
        <w:t>smok- ers and very high dosages; under these two conditions, the risk of getting lung cancer may increase!</w:t>
      </w:r>
    </w:p>
    <w:p>
      <w:pPr>
        <w:spacing w:line="276" w:lineRule="auto" w:before="241"/>
        <w:ind w:left="477" w:right="132" w:firstLine="0"/>
        <w:jc w:val="both"/>
        <w:rPr>
          <w:i/>
          <w:sz w:val="38"/>
        </w:rPr>
      </w:pPr>
      <w:r>
        <w:rPr>
          <w:sz w:val="38"/>
        </w:rPr>
        <w:t>According to Prof. Dr. Biesalski from the University of Hohenheim, the risk does not lie in beta-carotene itself, but in smoking – and even for heavy smok- ers, beta-carotene intake is safe in doses up to 10 mg each day.</w:t>
      </w:r>
      <w:r>
        <w:rPr>
          <w:position w:val="9"/>
          <w:sz w:val="25"/>
        </w:rPr>
        <w:t>132 </w:t>
      </w:r>
      <w:r>
        <w:rPr>
          <w:sz w:val="38"/>
        </w:rPr>
        <w:t>To sum up this controversial debate in the words of Prof. Biesalski: </w:t>
      </w:r>
      <w:r>
        <w:rPr>
          <w:i/>
          <w:sz w:val="38"/>
        </w:rPr>
        <w:t>‘We do not have to</w:t>
      </w:r>
      <w:r>
        <w:rPr>
          <w:i/>
          <w:spacing w:val="-52"/>
          <w:sz w:val="38"/>
        </w:rPr>
        <w:t> </w:t>
      </w:r>
      <w:r>
        <w:rPr>
          <w:i/>
          <w:sz w:val="38"/>
        </w:rPr>
        <w:t>protect </w:t>
      </w:r>
      <w:r>
        <w:rPr>
          <w:i/>
          <w:sz w:val="38"/>
        </w:rPr>
        <w:t>ourselves from TOO MUCH beta-carotene, rather, we need to protect ourselves from having TOO LITTLE. Beta-carotene from foods, fortified juices or supplements in the appropriate doses can be considered safe!’</w:t>
      </w:r>
    </w:p>
    <w:p>
      <w:pPr>
        <w:pStyle w:val="Heading2"/>
        <w:spacing w:before="238"/>
      </w:pPr>
      <w:r>
        <w:rPr/>
        <w:t>Summary of the effects of beta-carotene</w:t>
      </w:r>
    </w:p>
    <w:p>
      <w:pPr>
        <w:pStyle w:val="ListParagraph"/>
        <w:numPr>
          <w:ilvl w:val="0"/>
          <w:numId w:val="23"/>
        </w:numPr>
        <w:tabs>
          <w:tab w:pos="1177" w:val="left" w:leader="none"/>
          <w:tab w:pos="1179" w:val="left" w:leader="none"/>
        </w:tabs>
        <w:spacing w:line="273" w:lineRule="auto" w:before="307" w:after="0"/>
        <w:ind w:left="1178" w:right="137" w:hanging="360"/>
        <w:jc w:val="left"/>
        <w:rPr>
          <w:sz w:val="38"/>
        </w:rPr>
      </w:pPr>
      <w:r>
        <w:rPr>
          <w:sz w:val="38"/>
        </w:rPr>
        <w:t>Beta-carotene</w:t>
      </w:r>
      <w:r>
        <w:rPr>
          <w:spacing w:val="-13"/>
          <w:sz w:val="38"/>
        </w:rPr>
        <w:t> </w:t>
      </w:r>
      <w:r>
        <w:rPr>
          <w:sz w:val="38"/>
        </w:rPr>
        <w:t>binds</w:t>
      </w:r>
      <w:r>
        <w:rPr>
          <w:spacing w:val="-13"/>
          <w:sz w:val="38"/>
        </w:rPr>
        <w:t> </w:t>
      </w:r>
      <w:r>
        <w:rPr>
          <w:sz w:val="38"/>
        </w:rPr>
        <w:t>the</w:t>
      </w:r>
      <w:r>
        <w:rPr>
          <w:spacing w:val="-13"/>
          <w:sz w:val="38"/>
        </w:rPr>
        <w:t> </w:t>
      </w:r>
      <w:r>
        <w:rPr>
          <w:sz w:val="38"/>
        </w:rPr>
        <w:t>chain-breaking,</w:t>
      </w:r>
      <w:r>
        <w:rPr>
          <w:spacing w:val="-12"/>
          <w:sz w:val="38"/>
        </w:rPr>
        <w:t> </w:t>
      </w:r>
      <w:r>
        <w:rPr>
          <w:sz w:val="38"/>
        </w:rPr>
        <w:t>aggressive</w:t>
      </w:r>
      <w:r>
        <w:rPr>
          <w:spacing w:val="-13"/>
          <w:sz w:val="38"/>
        </w:rPr>
        <w:t> </w:t>
      </w:r>
      <w:r>
        <w:rPr>
          <w:sz w:val="38"/>
        </w:rPr>
        <w:t>peroxy</w:t>
      </w:r>
      <w:r>
        <w:rPr>
          <w:spacing w:val="-15"/>
          <w:sz w:val="38"/>
        </w:rPr>
        <w:t> </w:t>
      </w:r>
      <w:r>
        <w:rPr>
          <w:sz w:val="38"/>
        </w:rPr>
        <w:t>radical</w:t>
      </w:r>
      <w:r>
        <w:rPr>
          <w:spacing w:val="-17"/>
          <w:sz w:val="38"/>
        </w:rPr>
        <w:t> </w:t>
      </w:r>
      <w:r>
        <w:rPr>
          <w:sz w:val="38"/>
        </w:rPr>
        <w:t>as</w:t>
      </w:r>
      <w:r>
        <w:rPr>
          <w:spacing w:val="-13"/>
          <w:sz w:val="38"/>
        </w:rPr>
        <w:t> </w:t>
      </w:r>
      <w:r>
        <w:rPr>
          <w:sz w:val="38"/>
        </w:rPr>
        <w:t>an</w:t>
      </w:r>
      <w:r>
        <w:rPr>
          <w:spacing w:val="-13"/>
          <w:sz w:val="38"/>
        </w:rPr>
        <w:t> </w:t>
      </w:r>
      <w:r>
        <w:rPr>
          <w:sz w:val="38"/>
        </w:rPr>
        <w:t>an- tioxidant.</w:t>
      </w:r>
    </w:p>
    <w:p>
      <w:pPr>
        <w:pStyle w:val="ListParagraph"/>
        <w:numPr>
          <w:ilvl w:val="0"/>
          <w:numId w:val="23"/>
        </w:numPr>
        <w:tabs>
          <w:tab w:pos="1177" w:val="left" w:leader="none"/>
          <w:tab w:pos="1179" w:val="left" w:leader="none"/>
        </w:tabs>
        <w:spacing w:line="240" w:lineRule="auto" w:before="7" w:after="0"/>
        <w:ind w:left="1178" w:right="0" w:hanging="360"/>
        <w:jc w:val="left"/>
        <w:rPr>
          <w:sz w:val="38"/>
        </w:rPr>
      </w:pPr>
      <w:r>
        <w:rPr>
          <w:sz w:val="38"/>
        </w:rPr>
        <w:t>Beta-carotene captures the singlet oxygen and neutralises it.</w:t>
      </w:r>
    </w:p>
    <w:p>
      <w:pPr>
        <w:pStyle w:val="ListParagraph"/>
        <w:numPr>
          <w:ilvl w:val="0"/>
          <w:numId w:val="23"/>
        </w:numPr>
        <w:tabs>
          <w:tab w:pos="1177" w:val="left" w:leader="none"/>
          <w:tab w:pos="1179" w:val="left" w:leader="none"/>
        </w:tabs>
        <w:spacing w:line="273" w:lineRule="auto" w:before="66" w:after="0"/>
        <w:ind w:left="1178" w:right="141" w:hanging="360"/>
        <w:jc w:val="left"/>
        <w:rPr>
          <w:sz w:val="38"/>
        </w:rPr>
      </w:pPr>
      <w:r>
        <w:rPr>
          <w:sz w:val="38"/>
        </w:rPr>
        <w:t>Beta-carotene reliably protects against UV rays and the resulting cell dam- age, including skin</w:t>
      </w:r>
      <w:r>
        <w:rPr>
          <w:spacing w:val="1"/>
          <w:sz w:val="38"/>
        </w:rPr>
        <w:t> </w:t>
      </w:r>
      <w:r>
        <w:rPr>
          <w:sz w:val="38"/>
        </w:rPr>
        <w:t>cancer.</w:t>
      </w:r>
    </w:p>
    <w:p>
      <w:pPr>
        <w:pStyle w:val="ListParagraph"/>
        <w:numPr>
          <w:ilvl w:val="0"/>
          <w:numId w:val="23"/>
        </w:numPr>
        <w:tabs>
          <w:tab w:pos="1177" w:val="left" w:leader="none"/>
          <w:tab w:pos="1179" w:val="left" w:leader="none"/>
        </w:tabs>
        <w:spacing w:line="240" w:lineRule="auto" w:before="7" w:after="0"/>
        <w:ind w:left="1178" w:right="0" w:hanging="360"/>
        <w:jc w:val="left"/>
        <w:rPr>
          <w:sz w:val="38"/>
        </w:rPr>
      </w:pPr>
      <w:r>
        <w:rPr>
          <w:sz w:val="38"/>
        </w:rPr>
        <w:t>Beta-carotene counteracts the destructive lipid peroxidation that causes</w:t>
      </w:r>
      <w:r>
        <w:rPr>
          <w:spacing w:val="-35"/>
          <w:sz w:val="38"/>
        </w:rPr>
        <w:t> </w:t>
      </w:r>
      <w:r>
        <w:rPr>
          <w:sz w:val="38"/>
        </w:rPr>
        <w:t>us</w:t>
      </w:r>
    </w:p>
    <w:p>
      <w:pPr>
        <w:pStyle w:val="BodyText"/>
        <w:spacing w:before="6"/>
        <w:rPr>
          <w:sz w:val="25"/>
        </w:rPr>
      </w:pPr>
      <w:r>
        <w:rPr/>
        <w:pict>
          <v:line style="position:absolute;mso-position-horizontal-relative:page;mso-position-vertical-relative:paragraph;z-index:1040;mso-wrap-distance-left:0;mso-wrap-distance-right:0" from="63.863998pt,16.739956pt" to="207.883998pt,16.739956pt" stroked="true" strokeweight=".71997pt" strokecolor="#000000">
            <v:stroke dashstyle="solid"/>
            <w10:wrap type="topAndBottom"/>
          </v:line>
        </w:pict>
      </w:r>
    </w:p>
    <w:p>
      <w:pPr>
        <w:pStyle w:val="BodyText"/>
        <w:spacing w:before="10"/>
        <w:rPr>
          <w:sz w:val="18"/>
        </w:rPr>
      </w:pPr>
    </w:p>
    <w:p>
      <w:pPr>
        <w:spacing w:before="99"/>
        <w:ind w:left="477" w:right="0" w:firstLine="0"/>
        <w:jc w:val="left"/>
        <w:rPr>
          <w:sz w:val="20"/>
        </w:rPr>
      </w:pPr>
      <w:r>
        <w:rPr/>
        <w:pict>
          <v:line style="position:absolute;mso-position-horizontal-relative:page;mso-position-vertical-relative:paragraph;z-index:1064;mso-wrap-distance-left:0;mso-wrap-distance-right:0" from="62.424pt,19.208179pt" to="643.684pt,19.208179pt" stroked="true" strokeweight=".71997pt" strokecolor="#000000">
            <v:stroke dashstyle="solid"/>
            <w10:wrap type="topAndBottom"/>
          </v:line>
        </w:pict>
      </w:r>
      <w:r>
        <w:rPr>
          <w:position w:val="4"/>
          <w:sz w:val="10"/>
        </w:rPr>
        <w:t>132 </w:t>
      </w:r>
      <w:hyperlink r:id="rId63">
        <w:r>
          <w:rPr>
            <w:sz w:val="20"/>
          </w:rPr>
          <w:t>http://www.zentrum-der-gesundheit.de/beta-carotin-ia.html</w:t>
        </w:r>
      </w:hyperlink>
    </w:p>
    <w:p>
      <w:pPr>
        <w:spacing w:after="0"/>
        <w:jc w:val="left"/>
        <w:rPr>
          <w:sz w:val="20"/>
        </w:rPr>
        <w:sectPr>
          <w:pgSz w:w="14270" w:h="16850"/>
          <w:pgMar w:header="0" w:footer="1891" w:top="1600" w:bottom="2080" w:left="800" w:right="1280"/>
        </w:sectPr>
      </w:pPr>
    </w:p>
    <w:p>
      <w:pPr>
        <w:pStyle w:val="BodyText"/>
        <w:spacing w:before="181"/>
        <w:ind w:left="1178"/>
      </w:pPr>
      <w:r>
        <w:rPr/>
        <w:t>to age.</w:t>
      </w:r>
    </w:p>
    <w:p>
      <w:pPr>
        <w:pStyle w:val="ListParagraph"/>
        <w:numPr>
          <w:ilvl w:val="0"/>
          <w:numId w:val="23"/>
        </w:numPr>
        <w:tabs>
          <w:tab w:pos="1179" w:val="left" w:leader="none"/>
        </w:tabs>
        <w:spacing w:line="273" w:lineRule="auto" w:before="66" w:after="0"/>
        <w:ind w:left="1178" w:right="142" w:hanging="360"/>
        <w:jc w:val="both"/>
        <w:rPr>
          <w:sz w:val="38"/>
        </w:rPr>
      </w:pPr>
      <w:r>
        <w:rPr>
          <w:sz w:val="38"/>
        </w:rPr>
        <w:t>Beta-carotene strengthens the immune system through the activation of T and B cells.</w:t>
      </w:r>
    </w:p>
    <w:p>
      <w:pPr>
        <w:pStyle w:val="ListParagraph"/>
        <w:numPr>
          <w:ilvl w:val="0"/>
          <w:numId w:val="23"/>
        </w:numPr>
        <w:tabs>
          <w:tab w:pos="1179" w:val="left" w:leader="none"/>
        </w:tabs>
        <w:spacing w:line="273" w:lineRule="auto" w:before="8" w:after="0"/>
        <w:ind w:left="1178" w:right="139" w:hanging="360"/>
        <w:jc w:val="both"/>
        <w:rPr>
          <w:sz w:val="38"/>
        </w:rPr>
      </w:pPr>
      <w:r>
        <w:rPr>
          <w:sz w:val="38"/>
        </w:rPr>
        <w:t>Beta-carotene joins the group of key antioxidants and supports them in their work against damaging free radicals, which are considered to be the main trigger for most diseases and biological</w:t>
      </w:r>
      <w:r>
        <w:rPr>
          <w:spacing w:val="1"/>
          <w:sz w:val="38"/>
        </w:rPr>
        <w:t> </w:t>
      </w:r>
      <w:r>
        <w:rPr>
          <w:sz w:val="38"/>
        </w:rPr>
        <w:t>ageing.</w:t>
      </w:r>
    </w:p>
    <w:p>
      <w:pPr>
        <w:pStyle w:val="ListParagraph"/>
        <w:numPr>
          <w:ilvl w:val="0"/>
          <w:numId w:val="23"/>
        </w:numPr>
        <w:tabs>
          <w:tab w:pos="1179" w:val="left" w:leader="none"/>
        </w:tabs>
        <w:spacing w:line="273" w:lineRule="auto" w:before="12" w:after="0"/>
        <w:ind w:left="1178" w:right="135" w:hanging="360"/>
        <w:jc w:val="both"/>
        <w:rPr>
          <w:sz w:val="38"/>
        </w:rPr>
      </w:pPr>
      <w:r>
        <w:rPr>
          <w:sz w:val="38"/>
        </w:rPr>
        <w:t>Beta-carotene regulates lipid metabolism – a fact that should be of partic- ular interest to overweight</w:t>
      </w:r>
      <w:r>
        <w:rPr>
          <w:spacing w:val="2"/>
          <w:sz w:val="38"/>
        </w:rPr>
        <w:t> </w:t>
      </w:r>
      <w:r>
        <w:rPr>
          <w:sz w:val="38"/>
        </w:rPr>
        <w:t>people.</w:t>
      </w:r>
    </w:p>
    <w:p>
      <w:pPr>
        <w:pStyle w:val="Heading2"/>
        <w:spacing w:before="245"/>
      </w:pPr>
      <w:r>
        <w:rPr/>
        <w:t>Effect of beta-carotene as an antioxidant</w:t>
      </w:r>
    </w:p>
    <w:p>
      <w:pPr>
        <w:pStyle w:val="BodyText"/>
        <w:spacing w:line="276" w:lineRule="auto" w:before="305"/>
        <w:ind w:left="477" w:right="138"/>
        <w:jc w:val="both"/>
      </w:pPr>
      <w:r>
        <w:rPr/>
        <w:t>Oxidation is a destructive process that we all know best from rusting iron or fats becoming rancid. Similarly, destructive damage is caused by free radicals</w:t>
      </w:r>
      <w:r>
        <w:rPr>
          <w:spacing w:val="-50"/>
        </w:rPr>
        <w:t> </w:t>
      </w:r>
      <w:r>
        <w:rPr/>
        <w:t>in our body if we do not protect ourselves against</w:t>
      </w:r>
      <w:r>
        <w:rPr>
          <w:spacing w:val="-4"/>
        </w:rPr>
        <w:t> </w:t>
      </w:r>
      <w:r>
        <w:rPr/>
        <w:t>them.</w:t>
      </w:r>
    </w:p>
    <w:p>
      <w:pPr>
        <w:pStyle w:val="BodyText"/>
        <w:spacing w:line="276" w:lineRule="auto" w:before="239"/>
        <w:ind w:left="477" w:right="133"/>
        <w:jc w:val="both"/>
      </w:pPr>
      <w:r>
        <w:rPr/>
        <w:t>In addition to antioxidants such as vitamin C, OPC, Q10, vitamin E, alpha- lipoic</w:t>
      </w:r>
      <w:r>
        <w:rPr>
          <w:spacing w:val="-17"/>
        </w:rPr>
        <w:t> </w:t>
      </w:r>
      <w:r>
        <w:rPr/>
        <w:t>acid,</w:t>
      </w:r>
      <w:r>
        <w:rPr>
          <w:spacing w:val="-17"/>
        </w:rPr>
        <w:t> </w:t>
      </w:r>
      <w:r>
        <w:rPr/>
        <w:t>selenium</w:t>
      </w:r>
      <w:r>
        <w:rPr>
          <w:spacing w:val="-16"/>
        </w:rPr>
        <w:t> </w:t>
      </w:r>
      <w:r>
        <w:rPr/>
        <w:t>and</w:t>
      </w:r>
      <w:r>
        <w:rPr>
          <w:spacing w:val="-16"/>
        </w:rPr>
        <w:t> </w:t>
      </w:r>
      <w:r>
        <w:rPr/>
        <w:t>others,</w:t>
      </w:r>
      <w:r>
        <w:rPr>
          <w:spacing w:val="-17"/>
        </w:rPr>
        <w:t> </w:t>
      </w:r>
      <w:r>
        <w:rPr/>
        <w:t>beta-carotene</w:t>
      </w:r>
      <w:r>
        <w:rPr>
          <w:spacing w:val="-16"/>
        </w:rPr>
        <w:t> </w:t>
      </w:r>
      <w:r>
        <w:rPr/>
        <w:t>plays</w:t>
      </w:r>
      <w:r>
        <w:rPr>
          <w:spacing w:val="-16"/>
        </w:rPr>
        <w:t> </w:t>
      </w:r>
      <w:r>
        <w:rPr/>
        <w:t>a</w:t>
      </w:r>
      <w:r>
        <w:rPr>
          <w:spacing w:val="-17"/>
        </w:rPr>
        <w:t> </w:t>
      </w:r>
      <w:r>
        <w:rPr/>
        <w:t>central</w:t>
      </w:r>
      <w:r>
        <w:rPr>
          <w:spacing w:val="-17"/>
        </w:rPr>
        <w:t> </w:t>
      </w:r>
      <w:r>
        <w:rPr/>
        <w:t>role</w:t>
      </w:r>
      <w:r>
        <w:rPr>
          <w:spacing w:val="-19"/>
        </w:rPr>
        <w:t> </w:t>
      </w:r>
      <w:r>
        <w:rPr/>
        <w:t>as</w:t>
      </w:r>
      <w:r>
        <w:rPr>
          <w:spacing w:val="-17"/>
        </w:rPr>
        <w:t> </w:t>
      </w:r>
      <w:r>
        <w:rPr/>
        <w:t>an</w:t>
      </w:r>
      <w:r>
        <w:rPr>
          <w:spacing w:val="-15"/>
        </w:rPr>
        <w:t> </w:t>
      </w:r>
      <w:r>
        <w:rPr/>
        <w:t>efficient antioxidant</w:t>
      </w:r>
      <w:r>
        <w:rPr>
          <w:spacing w:val="-26"/>
        </w:rPr>
        <w:t> </w:t>
      </w:r>
      <w:r>
        <w:rPr/>
        <w:t>and</w:t>
      </w:r>
      <w:r>
        <w:rPr>
          <w:spacing w:val="-26"/>
        </w:rPr>
        <w:t> </w:t>
      </w:r>
      <w:r>
        <w:rPr/>
        <w:t>is</w:t>
      </w:r>
      <w:r>
        <w:rPr>
          <w:spacing w:val="-25"/>
        </w:rPr>
        <w:t> </w:t>
      </w:r>
      <w:r>
        <w:rPr/>
        <w:t>therefore</w:t>
      </w:r>
      <w:r>
        <w:rPr>
          <w:spacing w:val="-26"/>
        </w:rPr>
        <w:t> </w:t>
      </w:r>
      <w:r>
        <w:rPr/>
        <w:t>added</w:t>
      </w:r>
      <w:r>
        <w:rPr>
          <w:spacing w:val="-27"/>
        </w:rPr>
        <w:t> </w:t>
      </w:r>
      <w:r>
        <w:rPr/>
        <w:t>to</w:t>
      </w:r>
      <w:r>
        <w:rPr>
          <w:spacing w:val="-25"/>
        </w:rPr>
        <w:t> </w:t>
      </w:r>
      <w:r>
        <w:rPr/>
        <w:t>butter</w:t>
      </w:r>
      <w:r>
        <w:rPr>
          <w:spacing w:val="-26"/>
        </w:rPr>
        <w:t> </w:t>
      </w:r>
      <w:r>
        <w:rPr/>
        <w:t>and</w:t>
      </w:r>
      <w:r>
        <w:rPr>
          <w:spacing w:val="-24"/>
        </w:rPr>
        <w:t> </w:t>
      </w:r>
      <w:r>
        <w:rPr/>
        <w:t>margarine</w:t>
      </w:r>
      <w:r>
        <w:rPr>
          <w:spacing w:val="-26"/>
        </w:rPr>
        <w:t> </w:t>
      </w:r>
      <w:r>
        <w:rPr/>
        <w:t>to</w:t>
      </w:r>
      <w:r>
        <w:rPr>
          <w:spacing w:val="-25"/>
        </w:rPr>
        <w:t> </w:t>
      </w:r>
      <w:r>
        <w:rPr/>
        <w:t>make</w:t>
      </w:r>
      <w:r>
        <w:rPr>
          <w:spacing w:val="-26"/>
        </w:rPr>
        <w:t> </w:t>
      </w:r>
      <w:r>
        <w:rPr/>
        <w:t>it</w:t>
      </w:r>
      <w:r>
        <w:rPr>
          <w:spacing w:val="-27"/>
        </w:rPr>
        <w:t> </w:t>
      </w:r>
      <w:r>
        <w:rPr/>
        <w:t>last</w:t>
      </w:r>
      <w:r>
        <w:rPr>
          <w:spacing w:val="-27"/>
        </w:rPr>
        <w:t> </w:t>
      </w:r>
      <w:r>
        <w:rPr/>
        <w:t>longer.</w:t>
      </w:r>
    </w:p>
    <w:p>
      <w:pPr>
        <w:pStyle w:val="BodyText"/>
        <w:spacing w:line="276" w:lineRule="auto" w:before="241"/>
        <w:ind w:left="477" w:right="138"/>
        <w:jc w:val="both"/>
      </w:pPr>
      <w:r>
        <w:rPr/>
        <w:t>Within these important functions, beta-carotene neutralises the attacking free radicals and protects our body cells from the damage that can cause premature ageing and many diseases.</w:t>
      </w:r>
    </w:p>
    <w:p>
      <w:pPr>
        <w:pStyle w:val="Heading2"/>
        <w:spacing w:before="240"/>
        <w:jc w:val="both"/>
      </w:pPr>
      <w:r>
        <w:rPr/>
        <w:t>Effect of beta-carotene as a scavenger of singlet oxygen</w:t>
      </w:r>
    </w:p>
    <w:p>
      <w:pPr>
        <w:pStyle w:val="BodyText"/>
        <w:spacing w:before="304"/>
        <w:ind w:left="477"/>
        <w:jc w:val="both"/>
      </w:pPr>
      <w:r>
        <w:rPr/>
        <w:t>Singlet oxygen is produced beneath the skin under the influence of microwaves</w:t>
      </w:r>
    </w:p>
    <w:p>
      <w:pPr>
        <w:spacing w:after="0"/>
        <w:jc w:val="both"/>
        <w:sectPr>
          <w:pgSz w:w="14270" w:h="16850"/>
          <w:pgMar w:header="0" w:footer="1891" w:top="1600" w:bottom="2080" w:left="800" w:right="1280"/>
        </w:sectPr>
      </w:pPr>
    </w:p>
    <w:p>
      <w:pPr>
        <w:pStyle w:val="BodyText"/>
        <w:spacing w:before="181"/>
        <w:ind w:left="477"/>
        <w:jc w:val="both"/>
      </w:pPr>
      <w:r>
        <w:rPr/>
        <w:t>or ultraviolet light, as we experience it in sunlight.</w:t>
      </w:r>
    </w:p>
    <w:p>
      <w:pPr>
        <w:pStyle w:val="BodyText"/>
        <w:spacing w:line="276" w:lineRule="auto" w:before="305"/>
        <w:ind w:left="477" w:right="134"/>
        <w:jc w:val="both"/>
      </w:pPr>
      <w:r>
        <w:rPr/>
        <w:t>In the formation of harmful peroxides and hydroperoxides, the singlet oxygen reacts with many organic compounds, triggering whole chain reactions to free radical attacks and causing immense damage to the body.</w:t>
      </w:r>
    </w:p>
    <w:p>
      <w:pPr>
        <w:pStyle w:val="BodyText"/>
        <w:spacing w:line="276" w:lineRule="auto" w:before="241"/>
        <w:ind w:left="477" w:right="135"/>
        <w:jc w:val="both"/>
      </w:pPr>
      <w:r>
        <w:rPr/>
        <w:t>Here beta-carotene has the extraordinary gift of intercepting and defusing this singlet oxygen by absorbing its energy and releasing it as heat – a process also known as ‘quenching’.</w:t>
      </w:r>
    </w:p>
    <w:p>
      <w:pPr>
        <w:pStyle w:val="Heading2"/>
        <w:spacing w:before="239"/>
        <w:jc w:val="both"/>
      </w:pPr>
      <w:r>
        <w:rPr/>
        <w:t>Effect of beta-carotene on the immune system</w:t>
      </w:r>
    </w:p>
    <w:p>
      <w:pPr>
        <w:pStyle w:val="BodyText"/>
        <w:spacing w:line="276" w:lineRule="auto" w:before="305"/>
        <w:ind w:left="477" w:right="136"/>
        <w:jc w:val="both"/>
      </w:pPr>
      <w:r>
        <w:rPr/>
        <w:t>In numerous studies, beta-carotene has proven its ability to stimulate the im- mune system time and again. In this function, it activates the immune system via several mechanisms:</w:t>
      </w:r>
    </w:p>
    <w:p>
      <w:pPr>
        <w:pStyle w:val="ListParagraph"/>
        <w:numPr>
          <w:ilvl w:val="0"/>
          <w:numId w:val="17"/>
        </w:numPr>
        <w:tabs>
          <w:tab w:pos="893" w:val="left" w:leader="none"/>
        </w:tabs>
        <w:spacing w:line="240" w:lineRule="auto" w:before="241" w:after="0"/>
        <w:ind w:left="892" w:right="0" w:hanging="415"/>
        <w:jc w:val="both"/>
        <w:rPr>
          <w:sz w:val="38"/>
        </w:rPr>
      </w:pPr>
      <w:r>
        <w:rPr>
          <w:sz w:val="38"/>
        </w:rPr>
        <w:t>it activates T lymphocytes and killer</w:t>
      </w:r>
      <w:r>
        <w:rPr>
          <w:spacing w:val="-2"/>
          <w:sz w:val="38"/>
        </w:rPr>
        <w:t> </w:t>
      </w:r>
      <w:r>
        <w:rPr>
          <w:sz w:val="38"/>
        </w:rPr>
        <w:t>cells;</w:t>
      </w:r>
    </w:p>
    <w:p>
      <w:pPr>
        <w:pStyle w:val="ListParagraph"/>
        <w:numPr>
          <w:ilvl w:val="0"/>
          <w:numId w:val="17"/>
        </w:numPr>
        <w:tabs>
          <w:tab w:pos="893" w:val="left" w:leader="none"/>
        </w:tabs>
        <w:spacing w:line="240" w:lineRule="auto" w:before="186" w:after="0"/>
        <w:ind w:left="892" w:right="0" w:hanging="415"/>
        <w:jc w:val="both"/>
        <w:rPr>
          <w:sz w:val="38"/>
        </w:rPr>
      </w:pPr>
      <w:r>
        <w:rPr>
          <w:sz w:val="38"/>
        </w:rPr>
        <w:t>it promotes the growth of B and T</w:t>
      </w:r>
      <w:r>
        <w:rPr>
          <w:spacing w:val="-3"/>
          <w:sz w:val="38"/>
        </w:rPr>
        <w:t> </w:t>
      </w:r>
      <w:r>
        <w:rPr>
          <w:sz w:val="38"/>
        </w:rPr>
        <w:t>lymphocytes;</w:t>
      </w:r>
    </w:p>
    <w:p>
      <w:pPr>
        <w:pStyle w:val="ListParagraph"/>
        <w:numPr>
          <w:ilvl w:val="0"/>
          <w:numId w:val="17"/>
        </w:numPr>
        <w:tabs>
          <w:tab w:pos="893" w:val="left" w:leader="none"/>
        </w:tabs>
        <w:spacing w:line="240" w:lineRule="auto" w:before="183" w:after="0"/>
        <w:ind w:left="892" w:right="0" w:hanging="415"/>
        <w:jc w:val="both"/>
        <w:rPr>
          <w:sz w:val="38"/>
        </w:rPr>
      </w:pPr>
      <w:r>
        <w:rPr>
          <w:sz w:val="38"/>
        </w:rPr>
        <w:t>it additionally strengthens the cytotoxicity of</w:t>
      </w:r>
      <w:r>
        <w:rPr>
          <w:spacing w:val="-9"/>
          <w:sz w:val="38"/>
        </w:rPr>
        <w:t> </w:t>
      </w:r>
      <w:r>
        <w:rPr>
          <w:sz w:val="38"/>
        </w:rPr>
        <w:t>macrophages.</w:t>
      </w:r>
    </w:p>
    <w:p>
      <w:pPr>
        <w:pStyle w:val="Heading2"/>
        <w:spacing w:before="302"/>
        <w:jc w:val="both"/>
      </w:pPr>
      <w:r>
        <w:rPr/>
        <w:t>Effect of beta-carotene on diseases and conditions</w:t>
      </w:r>
    </w:p>
    <w:p>
      <w:pPr>
        <w:pStyle w:val="BodyText"/>
        <w:spacing w:line="276" w:lineRule="auto" w:before="305"/>
        <w:ind w:left="477" w:right="137"/>
        <w:jc w:val="both"/>
      </w:pPr>
      <w:r>
        <w:rPr/>
        <w:t>In its function as a highly potent antioxidant, ultimately as the protector of our cells,</w:t>
      </w:r>
      <w:r>
        <w:rPr>
          <w:spacing w:val="-12"/>
        </w:rPr>
        <w:t> </w:t>
      </w:r>
      <w:r>
        <w:rPr/>
        <w:t>beta-carotene</w:t>
      </w:r>
      <w:r>
        <w:rPr>
          <w:spacing w:val="-11"/>
        </w:rPr>
        <w:t> </w:t>
      </w:r>
      <w:r>
        <w:rPr/>
        <w:t>exerts</w:t>
      </w:r>
      <w:r>
        <w:rPr>
          <w:spacing w:val="-11"/>
        </w:rPr>
        <w:t> </w:t>
      </w:r>
      <w:r>
        <w:rPr/>
        <w:t>a</w:t>
      </w:r>
      <w:r>
        <w:rPr>
          <w:spacing w:val="-13"/>
        </w:rPr>
        <w:t> </w:t>
      </w:r>
      <w:r>
        <w:rPr/>
        <w:t>positive</w:t>
      </w:r>
      <w:r>
        <w:rPr>
          <w:spacing w:val="-13"/>
        </w:rPr>
        <w:t> </w:t>
      </w:r>
      <w:r>
        <w:rPr/>
        <w:t>influence</w:t>
      </w:r>
      <w:r>
        <w:rPr>
          <w:spacing w:val="-11"/>
        </w:rPr>
        <w:t> </w:t>
      </w:r>
      <w:r>
        <w:rPr/>
        <w:t>on</w:t>
      </w:r>
      <w:r>
        <w:rPr>
          <w:spacing w:val="-13"/>
        </w:rPr>
        <w:t> </w:t>
      </w:r>
      <w:r>
        <w:rPr/>
        <w:t>an</w:t>
      </w:r>
      <w:r>
        <w:rPr>
          <w:spacing w:val="-11"/>
        </w:rPr>
        <w:t> </w:t>
      </w:r>
      <w:r>
        <w:rPr/>
        <w:t>infinite</w:t>
      </w:r>
      <w:r>
        <w:rPr>
          <w:spacing w:val="-12"/>
        </w:rPr>
        <w:t> </w:t>
      </w:r>
      <w:r>
        <w:rPr/>
        <w:t>number</w:t>
      </w:r>
      <w:r>
        <w:rPr>
          <w:spacing w:val="-12"/>
        </w:rPr>
        <w:t> </w:t>
      </w:r>
      <w:r>
        <w:rPr/>
        <w:t>of</w:t>
      </w:r>
      <w:r>
        <w:rPr>
          <w:spacing w:val="-11"/>
        </w:rPr>
        <w:t> </w:t>
      </w:r>
      <w:r>
        <w:rPr/>
        <w:t>diseases that are impossible to list</w:t>
      </w:r>
      <w:r>
        <w:rPr>
          <w:spacing w:val="1"/>
        </w:rPr>
        <w:t> </w:t>
      </w:r>
      <w:r>
        <w:rPr/>
        <w:t>here.</w:t>
      </w:r>
    </w:p>
    <w:p>
      <w:pPr>
        <w:pStyle w:val="Heading1"/>
        <w:spacing w:before="222"/>
        <w:jc w:val="both"/>
      </w:pPr>
      <w:r>
        <w:rPr/>
        <w:t>Beta-carotene</w:t>
      </w:r>
      <w:r>
        <w:rPr>
          <w:spacing w:val="-72"/>
        </w:rPr>
        <w:t> </w:t>
      </w:r>
      <w:r>
        <w:rPr/>
        <w:t>has</w:t>
      </w:r>
      <w:r>
        <w:rPr>
          <w:spacing w:val="-72"/>
        </w:rPr>
        <w:t> </w:t>
      </w:r>
      <w:r>
        <w:rPr/>
        <w:t>shown</w:t>
      </w:r>
      <w:r>
        <w:rPr>
          <w:spacing w:val="-73"/>
        </w:rPr>
        <w:t> </w:t>
      </w:r>
      <w:r>
        <w:rPr/>
        <w:t>itself</w:t>
      </w:r>
      <w:r>
        <w:rPr>
          <w:spacing w:val="-72"/>
        </w:rPr>
        <w:t> </w:t>
      </w:r>
      <w:r>
        <w:rPr/>
        <w:t>to</w:t>
      </w:r>
      <w:r>
        <w:rPr>
          <w:spacing w:val="-72"/>
        </w:rPr>
        <w:t> </w:t>
      </w:r>
      <w:r>
        <w:rPr/>
        <w:t>be</w:t>
      </w:r>
      <w:r>
        <w:rPr>
          <w:spacing w:val="-73"/>
        </w:rPr>
        <w:t> </w:t>
      </w:r>
      <w:r>
        <w:rPr/>
        <w:t>particularly</w:t>
      </w:r>
      <w:r>
        <w:rPr>
          <w:spacing w:val="-72"/>
        </w:rPr>
        <w:t> </w:t>
      </w:r>
      <w:r>
        <w:rPr/>
        <w:t>effective</w:t>
      </w:r>
      <w:r>
        <w:rPr>
          <w:spacing w:val="-73"/>
        </w:rPr>
        <w:t> </w:t>
      </w:r>
      <w:r>
        <w:rPr/>
        <w:t>in</w:t>
      </w:r>
      <w:r>
        <w:rPr>
          <w:spacing w:val="-72"/>
        </w:rPr>
        <w:t> </w:t>
      </w:r>
      <w:r>
        <w:rPr/>
        <w:t>the</w:t>
      </w:r>
      <w:r>
        <w:rPr>
          <w:spacing w:val="-72"/>
        </w:rPr>
        <w:t> </w:t>
      </w:r>
      <w:r>
        <w:rPr/>
        <w:t>following</w:t>
      </w:r>
    </w:p>
    <w:p>
      <w:pPr>
        <w:spacing w:after="0"/>
        <w:jc w:val="both"/>
        <w:sectPr>
          <w:pgSz w:w="14270" w:h="16850"/>
          <w:pgMar w:header="0" w:footer="1891" w:top="1600" w:bottom="2080" w:left="800" w:right="1280"/>
        </w:sectPr>
      </w:pPr>
    </w:p>
    <w:p>
      <w:pPr>
        <w:spacing w:before="164"/>
        <w:ind w:left="477" w:right="0" w:firstLine="0"/>
        <w:jc w:val="both"/>
        <w:rPr>
          <w:b/>
          <w:i/>
          <w:sz w:val="40"/>
        </w:rPr>
      </w:pPr>
      <w:r>
        <w:rPr>
          <w:b/>
          <w:i/>
          <w:sz w:val="40"/>
        </w:rPr>
        <w:t>diseases and conditions:</w:t>
      </w:r>
    </w:p>
    <w:p>
      <w:pPr>
        <w:pStyle w:val="ListParagraph"/>
        <w:numPr>
          <w:ilvl w:val="1"/>
          <w:numId w:val="17"/>
        </w:numPr>
        <w:tabs>
          <w:tab w:pos="1185" w:val="left" w:leader="none"/>
          <w:tab w:pos="1186" w:val="left" w:leader="none"/>
        </w:tabs>
        <w:spacing w:line="240" w:lineRule="auto" w:before="301" w:after="0"/>
        <w:ind w:left="1185" w:right="0" w:hanging="360"/>
        <w:jc w:val="left"/>
        <w:rPr>
          <w:sz w:val="38"/>
        </w:rPr>
      </w:pPr>
      <w:r>
        <w:rPr>
          <w:sz w:val="38"/>
        </w:rPr>
        <w:t>heart disease</w:t>
      </w:r>
    </w:p>
    <w:p>
      <w:pPr>
        <w:pStyle w:val="ListParagraph"/>
        <w:numPr>
          <w:ilvl w:val="1"/>
          <w:numId w:val="17"/>
        </w:numPr>
        <w:tabs>
          <w:tab w:pos="1185" w:val="left" w:leader="none"/>
          <w:tab w:pos="1186" w:val="left" w:leader="none"/>
        </w:tabs>
        <w:spacing w:line="240" w:lineRule="auto" w:before="64" w:after="0"/>
        <w:ind w:left="1185" w:right="0" w:hanging="360"/>
        <w:jc w:val="left"/>
        <w:rPr>
          <w:sz w:val="38"/>
        </w:rPr>
      </w:pPr>
      <w:r>
        <w:rPr>
          <w:sz w:val="38"/>
        </w:rPr>
        <w:t>atherosclerosis</w:t>
      </w:r>
    </w:p>
    <w:p>
      <w:pPr>
        <w:pStyle w:val="ListParagraph"/>
        <w:numPr>
          <w:ilvl w:val="1"/>
          <w:numId w:val="17"/>
        </w:numPr>
        <w:tabs>
          <w:tab w:pos="1185" w:val="left" w:leader="none"/>
          <w:tab w:pos="1186" w:val="left" w:leader="none"/>
        </w:tabs>
        <w:spacing w:line="240" w:lineRule="auto" w:before="63" w:after="0"/>
        <w:ind w:left="1185" w:right="0" w:hanging="360"/>
        <w:jc w:val="left"/>
        <w:rPr>
          <w:sz w:val="38"/>
        </w:rPr>
      </w:pPr>
      <w:r>
        <w:rPr>
          <w:sz w:val="38"/>
        </w:rPr>
        <w:t>memory loss</w:t>
      </w:r>
    </w:p>
    <w:p>
      <w:pPr>
        <w:pStyle w:val="ListParagraph"/>
        <w:numPr>
          <w:ilvl w:val="1"/>
          <w:numId w:val="17"/>
        </w:numPr>
        <w:tabs>
          <w:tab w:pos="1185" w:val="left" w:leader="none"/>
          <w:tab w:pos="1186" w:val="left" w:leader="none"/>
        </w:tabs>
        <w:spacing w:line="240" w:lineRule="auto" w:before="66" w:after="0"/>
        <w:ind w:left="1185" w:right="0" w:hanging="360"/>
        <w:jc w:val="left"/>
        <w:rPr>
          <w:sz w:val="38"/>
        </w:rPr>
      </w:pPr>
      <w:r>
        <w:rPr>
          <w:sz w:val="38"/>
        </w:rPr>
        <w:t>cancer (especially cancers of the breathing and digestive</w:t>
      </w:r>
      <w:r>
        <w:rPr>
          <w:spacing w:val="-3"/>
          <w:sz w:val="38"/>
        </w:rPr>
        <w:t> </w:t>
      </w:r>
      <w:r>
        <w:rPr>
          <w:sz w:val="38"/>
        </w:rPr>
        <w:t>organs)</w:t>
      </w:r>
    </w:p>
    <w:p>
      <w:pPr>
        <w:pStyle w:val="ListParagraph"/>
        <w:numPr>
          <w:ilvl w:val="1"/>
          <w:numId w:val="17"/>
        </w:numPr>
        <w:tabs>
          <w:tab w:pos="1185" w:val="left" w:leader="none"/>
          <w:tab w:pos="1186" w:val="left" w:leader="none"/>
        </w:tabs>
        <w:spacing w:line="240" w:lineRule="auto" w:before="64" w:after="0"/>
        <w:ind w:left="1185" w:right="0" w:hanging="360"/>
        <w:jc w:val="left"/>
        <w:rPr>
          <w:sz w:val="38"/>
        </w:rPr>
      </w:pPr>
      <w:r>
        <w:rPr>
          <w:sz w:val="38"/>
        </w:rPr>
        <w:t>radiation protection of the</w:t>
      </w:r>
      <w:r>
        <w:rPr>
          <w:spacing w:val="1"/>
          <w:sz w:val="38"/>
        </w:rPr>
        <w:t> </w:t>
      </w:r>
      <w:r>
        <w:rPr>
          <w:sz w:val="38"/>
        </w:rPr>
        <w:t>skin</w:t>
      </w:r>
    </w:p>
    <w:p>
      <w:pPr>
        <w:pStyle w:val="ListParagraph"/>
        <w:numPr>
          <w:ilvl w:val="1"/>
          <w:numId w:val="17"/>
        </w:numPr>
        <w:tabs>
          <w:tab w:pos="1185" w:val="left" w:leader="none"/>
          <w:tab w:pos="1186" w:val="left" w:leader="none"/>
        </w:tabs>
        <w:spacing w:line="240" w:lineRule="auto" w:before="64" w:after="0"/>
        <w:ind w:left="1185" w:right="0" w:hanging="360"/>
        <w:jc w:val="left"/>
        <w:rPr>
          <w:sz w:val="38"/>
        </w:rPr>
      </w:pPr>
      <w:r>
        <w:rPr>
          <w:sz w:val="38"/>
        </w:rPr>
        <w:t>protection of the eyes (against macular</w:t>
      </w:r>
      <w:r>
        <w:rPr>
          <w:spacing w:val="2"/>
          <w:sz w:val="38"/>
        </w:rPr>
        <w:t> </w:t>
      </w:r>
      <w:r>
        <w:rPr>
          <w:sz w:val="38"/>
        </w:rPr>
        <w:t>degeneration)</w:t>
      </w:r>
    </w:p>
    <w:p>
      <w:pPr>
        <w:pStyle w:val="ListParagraph"/>
        <w:numPr>
          <w:ilvl w:val="1"/>
          <w:numId w:val="17"/>
        </w:numPr>
        <w:tabs>
          <w:tab w:pos="1185" w:val="left" w:leader="none"/>
          <w:tab w:pos="1186" w:val="left" w:leader="none"/>
        </w:tabs>
        <w:spacing w:line="240" w:lineRule="auto" w:before="64" w:after="0"/>
        <w:ind w:left="1185" w:right="0" w:hanging="360"/>
        <w:jc w:val="left"/>
        <w:rPr>
          <w:sz w:val="38"/>
        </w:rPr>
      </w:pPr>
      <w:r>
        <w:rPr>
          <w:sz w:val="38"/>
        </w:rPr>
        <w:t>protection against intestinal</w:t>
      </w:r>
      <w:r>
        <w:rPr>
          <w:spacing w:val="1"/>
          <w:sz w:val="38"/>
        </w:rPr>
        <w:t> </w:t>
      </w:r>
      <w:r>
        <w:rPr>
          <w:sz w:val="38"/>
        </w:rPr>
        <w:t>polyps</w:t>
      </w:r>
    </w:p>
    <w:p>
      <w:pPr>
        <w:pStyle w:val="ListParagraph"/>
        <w:numPr>
          <w:ilvl w:val="1"/>
          <w:numId w:val="17"/>
        </w:numPr>
        <w:tabs>
          <w:tab w:pos="1185" w:val="left" w:leader="none"/>
          <w:tab w:pos="1186" w:val="left" w:leader="none"/>
        </w:tabs>
        <w:spacing w:line="240" w:lineRule="auto" w:before="63" w:after="0"/>
        <w:ind w:left="1185" w:right="0" w:hanging="360"/>
        <w:jc w:val="left"/>
        <w:rPr>
          <w:sz w:val="38"/>
        </w:rPr>
      </w:pPr>
      <w:r>
        <w:rPr>
          <w:sz w:val="38"/>
        </w:rPr>
        <w:t>regulation of fat metabolism</w:t>
      </w:r>
    </w:p>
    <w:p>
      <w:pPr>
        <w:pStyle w:val="ListParagraph"/>
        <w:numPr>
          <w:ilvl w:val="1"/>
          <w:numId w:val="17"/>
        </w:numPr>
        <w:tabs>
          <w:tab w:pos="1185" w:val="left" w:leader="none"/>
          <w:tab w:pos="1186" w:val="left" w:leader="none"/>
        </w:tabs>
        <w:spacing w:line="240" w:lineRule="auto" w:before="66" w:after="0"/>
        <w:ind w:left="1185" w:right="0" w:hanging="360"/>
        <w:jc w:val="left"/>
        <w:rPr>
          <w:sz w:val="38"/>
        </w:rPr>
      </w:pPr>
      <w:r>
        <w:rPr>
          <w:sz w:val="38"/>
        </w:rPr>
        <w:t>mucous membrane protection</w:t>
      </w:r>
    </w:p>
    <w:p>
      <w:pPr>
        <w:pStyle w:val="ListParagraph"/>
        <w:numPr>
          <w:ilvl w:val="1"/>
          <w:numId w:val="17"/>
        </w:numPr>
        <w:tabs>
          <w:tab w:pos="1185" w:val="left" w:leader="none"/>
          <w:tab w:pos="1186" w:val="left" w:leader="none"/>
        </w:tabs>
        <w:spacing w:line="240" w:lineRule="auto" w:before="64" w:after="0"/>
        <w:ind w:left="1185" w:right="0" w:hanging="360"/>
        <w:jc w:val="left"/>
        <w:rPr>
          <w:sz w:val="38"/>
        </w:rPr>
      </w:pPr>
      <w:r>
        <w:rPr>
          <w:sz w:val="38"/>
        </w:rPr>
        <w:t>wound healing</w:t>
      </w:r>
    </w:p>
    <w:p>
      <w:pPr>
        <w:pStyle w:val="Heading1"/>
        <w:spacing w:before="285"/>
        <w:jc w:val="both"/>
      </w:pPr>
      <w:r>
        <w:rPr/>
        <w:t>Protective effect of beta-carotene against myocardial infarction</w:t>
      </w:r>
    </w:p>
    <w:p>
      <w:pPr>
        <w:pStyle w:val="BodyText"/>
        <w:spacing w:line="276" w:lineRule="auto" w:before="299"/>
        <w:ind w:left="477" w:right="136"/>
        <w:jc w:val="both"/>
      </w:pPr>
      <w:r>
        <w:rPr/>
        <w:t>According to a study on 4,800 Dutch people at the Erasmus University in</w:t>
      </w:r>
      <w:r>
        <w:rPr>
          <w:spacing w:val="-54"/>
        </w:rPr>
        <w:t> </w:t>
      </w:r>
      <w:r>
        <w:rPr/>
        <w:t>Rot- terdam, an increased intake of beta-carotene reduces the risk of a heart attack by an unbelievable 45 %!</w:t>
      </w:r>
    </w:p>
    <w:p>
      <w:pPr>
        <w:pStyle w:val="BodyText"/>
        <w:spacing w:line="276" w:lineRule="auto" w:before="239"/>
        <w:ind w:left="477" w:right="133"/>
        <w:jc w:val="both"/>
      </w:pPr>
      <w:r>
        <w:rPr/>
        <w:t>The study participants were between the ages of 55 and 95; those taking beta- carotene-rich foods in addition to beta-carotene supplements reduced their heart attack risk by as much as 50 %!</w:t>
      </w:r>
    </w:p>
    <w:p>
      <w:pPr>
        <w:pStyle w:val="BodyText"/>
        <w:spacing w:line="276" w:lineRule="auto" w:before="242"/>
        <w:ind w:left="477" w:right="130"/>
        <w:jc w:val="both"/>
      </w:pPr>
      <w:r>
        <w:rPr/>
        <w:t>Researchers</w:t>
      </w:r>
      <w:r>
        <w:rPr>
          <w:spacing w:val="-9"/>
        </w:rPr>
        <w:t> </w:t>
      </w:r>
      <w:r>
        <w:rPr/>
        <w:t>suspect</w:t>
      </w:r>
      <w:r>
        <w:rPr>
          <w:spacing w:val="-6"/>
        </w:rPr>
        <w:t> </w:t>
      </w:r>
      <w:r>
        <w:rPr/>
        <w:t>the</w:t>
      </w:r>
      <w:r>
        <w:rPr>
          <w:spacing w:val="-6"/>
        </w:rPr>
        <w:t> </w:t>
      </w:r>
      <w:r>
        <w:rPr/>
        <w:t>reasons</w:t>
      </w:r>
      <w:r>
        <w:rPr>
          <w:spacing w:val="-8"/>
        </w:rPr>
        <w:t> </w:t>
      </w:r>
      <w:r>
        <w:rPr/>
        <w:t>for</w:t>
      </w:r>
      <w:r>
        <w:rPr>
          <w:spacing w:val="-5"/>
        </w:rPr>
        <w:t> </w:t>
      </w:r>
      <w:r>
        <w:rPr/>
        <w:t>this</w:t>
      </w:r>
      <w:r>
        <w:rPr>
          <w:spacing w:val="-7"/>
        </w:rPr>
        <w:t> </w:t>
      </w:r>
      <w:r>
        <w:rPr/>
        <w:t>reduction</w:t>
      </w:r>
      <w:r>
        <w:rPr>
          <w:spacing w:val="-6"/>
        </w:rPr>
        <w:t> </w:t>
      </w:r>
      <w:r>
        <w:rPr/>
        <w:t>were</w:t>
      </w:r>
      <w:r>
        <w:rPr>
          <w:spacing w:val="-5"/>
        </w:rPr>
        <w:t> </w:t>
      </w:r>
      <w:r>
        <w:rPr/>
        <w:t>the</w:t>
      </w:r>
      <w:r>
        <w:rPr>
          <w:spacing w:val="-6"/>
        </w:rPr>
        <w:t> </w:t>
      </w:r>
      <w:r>
        <w:rPr/>
        <w:t>effect</w:t>
      </w:r>
      <w:r>
        <w:rPr>
          <w:spacing w:val="-8"/>
        </w:rPr>
        <w:t> </w:t>
      </w:r>
      <w:r>
        <w:rPr/>
        <w:t>of</w:t>
      </w:r>
      <w:r>
        <w:rPr>
          <w:spacing w:val="-7"/>
        </w:rPr>
        <w:t> </w:t>
      </w:r>
      <w:r>
        <w:rPr/>
        <w:t>beta-caro- tene as a radical scavenger and the direct influence of vitamin A</w:t>
      </w:r>
      <w:r>
        <w:rPr>
          <w:spacing w:val="-13"/>
        </w:rPr>
        <w:t> </w:t>
      </w:r>
      <w:r>
        <w:rPr/>
        <w:t>(beta-carotene</w:t>
      </w:r>
    </w:p>
    <w:p>
      <w:pPr>
        <w:spacing w:after="0" w:line="276" w:lineRule="auto"/>
        <w:jc w:val="both"/>
        <w:sectPr>
          <w:pgSz w:w="14270" w:h="16850"/>
          <w:pgMar w:header="0" w:footer="1891" w:top="1600" w:bottom="2080" w:left="800" w:right="1280"/>
        </w:sectPr>
      </w:pPr>
    </w:p>
    <w:p>
      <w:pPr>
        <w:pStyle w:val="BodyText"/>
        <w:spacing w:before="181"/>
        <w:ind w:left="477"/>
        <w:rPr>
          <w:sz w:val="25"/>
        </w:rPr>
      </w:pPr>
      <w:r>
        <w:rPr/>
        <w:t>is the precursor of vitamin A) on the fat metabolism.</w:t>
      </w:r>
      <w:r>
        <w:rPr>
          <w:position w:val="9"/>
          <w:sz w:val="25"/>
        </w:rPr>
        <w:t>133</w:t>
      </w:r>
    </w:p>
    <w:p>
      <w:pPr>
        <w:pStyle w:val="BodyText"/>
        <w:rPr>
          <w:sz w:val="42"/>
        </w:rPr>
      </w:pPr>
    </w:p>
    <w:p>
      <w:pPr>
        <w:pStyle w:val="BodyText"/>
        <w:spacing w:before="7"/>
        <w:rPr>
          <w:sz w:val="48"/>
        </w:rPr>
      </w:pPr>
    </w:p>
    <w:p>
      <w:pPr>
        <w:pStyle w:val="Heading1"/>
        <w:spacing w:before="0"/>
      </w:pPr>
      <w:r>
        <w:rPr/>
        <w:t>Protective effect of beta-carotene against atherosclerosis</w:t>
      </w:r>
    </w:p>
    <w:p>
      <w:pPr>
        <w:pStyle w:val="BodyText"/>
        <w:spacing w:line="276" w:lineRule="auto" w:before="299"/>
        <w:ind w:left="477" w:right="130"/>
        <w:jc w:val="both"/>
      </w:pPr>
      <w:r>
        <w:rPr/>
        <w:t>Atherosclerosis,</w:t>
      </w:r>
      <w:r>
        <w:rPr>
          <w:spacing w:val="-13"/>
        </w:rPr>
        <w:t> </w:t>
      </w:r>
      <w:r>
        <w:rPr/>
        <w:t>also</w:t>
      </w:r>
      <w:r>
        <w:rPr>
          <w:spacing w:val="-9"/>
        </w:rPr>
        <w:t> </w:t>
      </w:r>
      <w:r>
        <w:rPr/>
        <w:t>commonly</w:t>
      </w:r>
      <w:r>
        <w:rPr>
          <w:spacing w:val="-11"/>
        </w:rPr>
        <w:t> </w:t>
      </w:r>
      <w:r>
        <w:rPr/>
        <w:t>referred</w:t>
      </w:r>
      <w:r>
        <w:rPr>
          <w:spacing w:val="-9"/>
        </w:rPr>
        <w:t> </w:t>
      </w:r>
      <w:r>
        <w:rPr/>
        <w:t>to</w:t>
      </w:r>
      <w:r>
        <w:rPr>
          <w:spacing w:val="-11"/>
        </w:rPr>
        <w:t> </w:t>
      </w:r>
      <w:r>
        <w:rPr/>
        <w:t>as</w:t>
      </w:r>
      <w:r>
        <w:rPr>
          <w:spacing w:val="-8"/>
        </w:rPr>
        <w:t> </w:t>
      </w:r>
      <w:r>
        <w:rPr/>
        <w:t>‘arterial</w:t>
      </w:r>
      <w:r>
        <w:rPr>
          <w:spacing w:val="-11"/>
        </w:rPr>
        <w:t> </w:t>
      </w:r>
      <w:r>
        <w:rPr/>
        <w:t>calcification‘,</w:t>
      </w:r>
      <w:r>
        <w:rPr>
          <w:spacing w:val="-7"/>
        </w:rPr>
        <w:t> </w:t>
      </w:r>
      <w:r>
        <w:rPr/>
        <w:t>is</w:t>
      </w:r>
      <w:r>
        <w:rPr>
          <w:spacing w:val="-12"/>
        </w:rPr>
        <w:t> </w:t>
      </w:r>
      <w:r>
        <w:rPr/>
        <w:t>the</w:t>
      </w:r>
      <w:r>
        <w:rPr>
          <w:spacing w:val="-11"/>
        </w:rPr>
        <w:t> </w:t>
      </w:r>
      <w:r>
        <w:rPr/>
        <w:t>most common cause of cardiovascular disease. A daily dose of 15-25 mg of beta- carotene can counteract atherosclerosis and subsequent diseases such as heart attack, stroke, coronary heart disease and circulatory disorders in the</w:t>
      </w:r>
      <w:r>
        <w:rPr>
          <w:spacing w:val="-15"/>
        </w:rPr>
        <w:t> </w:t>
      </w:r>
      <w:r>
        <w:rPr/>
        <w:t>legs.</w:t>
      </w:r>
    </w:p>
    <w:p>
      <w:pPr>
        <w:pStyle w:val="Heading2"/>
        <w:spacing w:before="240"/>
      </w:pPr>
      <w:r>
        <w:rPr/>
        <w:t>Effect of beta-carotene against cancer</w:t>
      </w:r>
    </w:p>
    <w:p>
      <w:pPr>
        <w:pStyle w:val="BodyText"/>
        <w:spacing w:line="276" w:lineRule="auto" w:before="305"/>
        <w:ind w:left="477" w:right="134"/>
        <w:jc w:val="both"/>
      </w:pPr>
      <w:r>
        <w:rPr/>
        <w:t>Beta-carotene has proven its worth in cancer patients for years, both as a pre- ventive and as an adjunct therapy, and is now part of many alternative cancer therapies.</w:t>
      </w:r>
    </w:p>
    <w:p>
      <w:pPr>
        <w:pStyle w:val="BodyText"/>
        <w:spacing w:line="276" w:lineRule="auto" w:before="239"/>
        <w:ind w:left="477" w:right="132"/>
        <w:jc w:val="both"/>
      </w:pPr>
      <w:r>
        <w:rPr/>
        <w:t>Numerous studies have proven that people who have a high level of</w:t>
      </w:r>
      <w:r>
        <w:rPr>
          <w:spacing w:val="-66"/>
        </w:rPr>
        <w:t> </w:t>
      </w:r>
      <w:r>
        <w:rPr/>
        <w:t>beta-caro- tene in their blood are less likely to develop cancer. In his time, one of the biggest advocates of beta-carotene in the fight against cancer was the late Dr. Nieper,</w:t>
      </w:r>
      <w:r>
        <w:rPr>
          <w:spacing w:val="-9"/>
        </w:rPr>
        <w:t> </w:t>
      </w:r>
      <w:r>
        <w:rPr/>
        <w:t>who</w:t>
      </w:r>
      <w:r>
        <w:rPr>
          <w:spacing w:val="-8"/>
        </w:rPr>
        <w:t> </w:t>
      </w:r>
      <w:r>
        <w:rPr/>
        <w:t>made</w:t>
      </w:r>
      <w:r>
        <w:rPr>
          <w:spacing w:val="-10"/>
        </w:rPr>
        <w:t> </w:t>
      </w:r>
      <w:r>
        <w:rPr/>
        <w:t>a</w:t>
      </w:r>
      <w:r>
        <w:rPr>
          <w:spacing w:val="-10"/>
        </w:rPr>
        <w:t> </w:t>
      </w:r>
      <w:r>
        <w:rPr/>
        <w:t>name</w:t>
      </w:r>
      <w:r>
        <w:rPr>
          <w:spacing w:val="-9"/>
        </w:rPr>
        <w:t> </w:t>
      </w:r>
      <w:r>
        <w:rPr/>
        <w:t>for</w:t>
      </w:r>
      <w:r>
        <w:rPr>
          <w:spacing w:val="-8"/>
        </w:rPr>
        <w:t> </w:t>
      </w:r>
      <w:r>
        <w:rPr/>
        <w:t>himself</w:t>
      </w:r>
      <w:r>
        <w:rPr>
          <w:spacing w:val="-10"/>
        </w:rPr>
        <w:t> </w:t>
      </w:r>
      <w:r>
        <w:rPr/>
        <w:t>as</w:t>
      </w:r>
      <w:r>
        <w:rPr>
          <w:spacing w:val="-10"/>
        </w:rPr>
        <w:t> </w:t>
      </w:r>
      <w:r>
        <w:rPr/>
        <w:t>a</w:t>
      </w:r>
      <w:r>
        <w:rPr>
          <w:spacing w:val="-10"/>
        </w:rPr>
        <w:t> </w:t>
      </w:r>
      <w:r>
        <w:rPr/>
        <w:t>tireless</w:t>
      </w:r>
      <w:r>
        <w:rPr>
          <w:spacing w:val="-9"/>
        </w:rPr>
        <w:t> </w:t>
      </w:r>
      <w:r>
        <w:rPr/>
        <w:t>advocate</w:t>
      </w:r>
      <w:r>
        <w:rPr>
          <w:spacing w:val="-10"/>
        </w:rPr>
        <w:t> </w:t>
      </w:r>
      <w:r>
        <w:rPr/>
        <w:t>of</w:t>
      </w:r>
      <w:r>
        <w:rPr>
          <w:spacing w:val="-9"/>
        </w:rPr>
        <w:t> </w:t>
      </w:r>
      <w:r>
        <w:rPr/>
        <w:t>natural</w:t>
      </w:r>
      <w:r>
        <w:rPr>
          <w:spacing w:val="-11"/>
        </w:rPr>
        <w:t> </w:t>
      </w:r>
      <w:r>
        <w:rPr/>
        <w:t>medicine in</w:t>
      </w:r>
      <w:r>
        <w:rPr>
          <w:spacing w:val="-21"/>
        </w:rPr>
        <w:t> </w:t>
      </w:r>
      <w:r>
        <w:rPr/>
        <w:t>diseases</w:t>
      </w:r>
      <w:r>
        <w:rPr>
          <w:spacing w:val="-20"/>
        </w:rPr>
        <w:t> </w:t>
      </w:r>
      <w:r>
        <w:rPr/>
        <w:t>such</w:t>
      </w:r>
      <w:r>
        <w:rPr>
          <w:spacing w:val="-22"/>
        </w:rPr>
        <w:t> </w:t>
      </w:r>
      <w:r>
        <w:rPr/>
        <w:t>as</w:t>
      </w:r>
      <w:r>
        <w:rPr>
          <w:spacing w:val="-20"/>
        </w:rPr>
        <w:t> </w:t>
      </w:r>
      <w:r>
        <w:rPr/>
        <w:t>cancer</w:t>
      </w:r>
      <w:r>
        <w:rPr>
          <w:spacing w:val="-20"/>
        </w:rPr>
        <w:t> </w:t>
      </w:r>
      <w:r>
        <w:rPr/>
        <w:t>or</w:t>
      </w:r>
      <w:r>
        <w:rPr>
          <w:spacing w:val="-21"/>
        </w:rPr>
        <w:t> </w:t>
      </w:r>
      <w:r>
        <w:rPr/>
        <w:t>MS</w:t>
      </w:r>
      <w:r>
        <w:rPr>
          <w:spacing w:val="-21"/>
        </w:rPr>
        <w:t> </w:t>
      </w:r>
      <w:r>
        <w:rPr/>
        <w:t>and</w:t>
      </w:r>
      <w:r>
        <w:rPr>
          <w:spacing w:val="-21"/>
        </w:rPr>
        <w:t> </w:t>
      </w:r>
      <w:r>
        <w:rPr/>
        <w:t>was</w:t>
      </w:r>
      <w:r>
        <w:rPr>
          <w:spacing w:val="-20"/>
        </w:rPr>
        <w:t> </w:t>
      </w:r>
      <w:r>
        <w:rPr/>
        <w:t>very</w:t>
      </w:r>
      <w:r>
        <w:rPr>
          <w:spacing w:val="-20"/>
        </w:rPr>
        <w:t> </w:t>
      </w:r>
      <w:r>
        <w:rPr/>
        <w:t>successful</w:t>
      </w:r>
      <w:r>
        <w:rPr>
          <w:spacing w:val="-21"/>
        </w:rPr>
        <w:t> </w:t>
      </w:r>
      <w:r>
        <w:rPr/>
        <w:t>in</w:t>
      </w:r>
      <w:r>
        <w:rPr>
          <w:spacing w:val="-20"/>
        </w:rPr>
        <w:t> </w:t>
      </w:r>
      <w:r>
        <w:rPr/>
        <w:t>doing</w:t>
      </w:r>
      <w:r>
        <w:rPr>
          <w:spacing w:val="-22"/>
        </w:rPr>
        <w:t> </w:t>
      </w:r>
      <w:r>
        <w:rPr/>
        <w:t>so.</w:t>
      </w:r>
      <w:r>
        <w:rPr>
          <w:spacing w:val="-20"/>
        </w:rPr>
        <w:t> </w:t>
      </w:r>
      <w:r>
        <w:rPr/>
        <w:t>In</w:t>
      </w:r>
      <w:r>
        <w:rPr>
          <w:spacing w:val="-22"/>
        </w:rPr>
        <w:t> </w:t>
      </w:r>
      <w:r>
        <w:rPr/>
        <w:t>addition to</w:t>
      </w:r>
      <w:r>
        <w:rPr>
          <w:spacing w:val="-24"/>
        </w:rPr>
        <w:t> </w:t>
      </w:r>
      <w:r>
        <w:rPr/>
        <w:t>ordinary</w:t>
      </w:r>
      <w:r>
        <w:rPr>
          <w:spacing w:val="-27"/>
        </w:rPr>
        <w:t> </w:t>
      </w:r>
      <w:r>
        <w:rPr/>
        <w:t>citizens,</w:t>
      </w:r>
      <w:r>
        <w:rPr>
          <w:spacing w:val="-26"/>
        </w:rPr>
        <w:t> </w:t>
      </w:r>
      <w:r>
        <w:rPr/>
        <w:t>both</w:t>
      </w:r>
      <w:r>
        <w:rPr>
          <w:spacing w:val="-27"/>
        </w:rPr>
        <w:t> </w:t>
      </w:r>
      <w:r>
        <w:rPr/>
        <w:t>Hollywood</w:t>
      </w:r>
      <w:r>
        <w:rPr>
          <w:spacing w:val="-25"/>
        </w:rPr>
        <w:t> </w:t>
      </w:r>
      <w:r>
        <w:rPr/>
        <w:t>greats</w:t>
      </w:r>
      <w:r>
        <w:rPr>
          <w:spacing w:val="-27"/>
        </w:rPr>
        <w:t> </w:t>
      </w:r>
      <w:r>
        <w:rPr/>
        <w:t>and</w:t>
      </w:r>
      <w:r>
        <w:rPr>
          <w:spacing w:val="-27"/>
        </w:rPr>
        <w:t> </w:t>
      </w:r>
      <w:r>
        <w:rPr/>
        <w:t>nobles</w:t>
      </w:r>
      <w:r>
        <w:rPr>
          <w:spacing w:val="-24"/>
        </w:rPr>
        <w:t> </w:t>
      </w:r>
      <w:r>
        <w:rPr/>
        <w:t>were</w:t>
      </w:r>
      <w:r>
        <w:rPr>
          <w:spacing w:val="-26"/>
        </w:rPr>
        <w:t> </w:t>
      </w:r>
      <w:r>
        <w:rPr/>
        <w:t>among</w:t>
      </w:r>
      <w:r>
        <w:rPr>
          <w:spacing w:val="-25"/>
        </w:rPr>
        <w:t> </w:t>
      </w:r>
      <w:r>
        <w:rPr/>
        <w:t>his</w:t>
      </w:r>
      <w:r>
        <w:rPr>
          <w:spacing w:val="-26"/>
        </w:rPr>
        <w:t> </w:t>
      </w:r>
      <w:r>
        <w:rPr/>
        <w:t>patients.</w:t>
      </w:r>
    </w:p>
    <w:p>
      <w:pPr>
        <w:pStyle w:val="BodyText"/>
        <w:spacing w:line="276" w:lineRule="auto" w:before="243"/>
        <w:ind w:left="477" w:right="131"/>
        <w:jc w:val="both"/>
      </w:pPr>
      <w:r>
        <w:rPr/>
        <w:t>Dr. Nieper was a pioneer in the field and was one of the first complementary oncologists</w:t>
      </w:r>
      <w:r>
        <w:rPr>
          <w:spacing w:val="36"/>
        </w:rPr>
        <w:t> </w:t>
      </w:r>
      <w:r>
        <w:rPr/>
        <w:t>to</w:t>
      </w:r>
      <w:r>
        <w:rPr>
          <w:spacing w:val="34"/>
        </w:rPr>
        <w:t> </w:t>
      </w:r>
      <w:r>
        <w:rPr/>
        <w:t>recognise</w:t>
      </w:r>
      <w:r>
        <w:rPr>
          <w:spacing w:val="36"/>
        </w:rPr>
        <w:t> </w:t>
      </w:r>
      <w:r>
        <w:rPr/>
        <w:t>that</w:t>
      </w:r>
      <w:r>
        <w:rPr>
          <w:spacing w:val="36"/>
        </w:rPr>
        <w:t> </w:t>
      </w:r>
      <w:r>
        <w:rPr/>
        <w:t>beta-carotene,</w:t>
      </w:r>
      <w:r>
        <w:rPr>
          <w:spacing w:val="36"/>
        </w:rPr>
        <w:t> </w:t>
      </w:r>
      <w:r>
        <w:rPr/>
        <w:t>through</w:t>
      </w:r>
      <w:r>
        <w:rPr>
          <w:spacing w:val="36"/>
        </w:rPr>
        <w:t> </w:t>
      </w:r>
      <w:r>
        <w:rPr/>
        <w:t>the</w:t>
      </w:r>
      <w:r>
        <w:rPr>
          <w:spacing w:val="37"/>
        </w:rPr>
        <w:t> </w:t>
      </w:r>
      <w:r>
        <w:rPr/>
        <w:t>activation</w:t>
      </w:r>
      <w:r>
        <w:rPr>
          <w:spacing w:val="37"/>
        </w:rPr>
        <w:t> </w:t>
      </w:r>
      <w:r>
        <w:rPr/>
        <w:t>of</w:t>
      </w:r>
      <w:r>
        <w:rPr>
          <w:spacing w:val="36"/>
        </w:rPr>
        <w:t> </w:t>
      </w:r>
      <w:r>
        <w:rPr/>
        <w:t>T-cells</w:t>
      </w:r>
    </w:p>
    <w:p>
      <w:pPr>
        <w:pStyle w:val="BodyText"/>
        <w:rPr>
          <w:sz w:val="19"/>
        </w:rPr>
      </w:pPr>
      <w:r>
        <w:rPr/>
        <w:pict>
          <v:line style="position:absolute;mso-position-horizontal-relative:page;mso-position-vertical-relative:paragraph;z-index:1088;mso-wrap-distance-left:0;mso-wrap-distance-right:0" from="63.863998pt,13.046235pt" to="207.883998pt,13.046235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133 </w:t>
      </w:r>
      <w:r>
        <w:rPr>
          <w:sz w:val="20"/>
        </w:rPr>
        <w:t>American Journal of Nutrition</w:t>
      </w:r>
    </w:p>
    <w:p>
      <w:pPr>
        <w:spacing w:after="0"/>
        <w:jc w:val="left"/>
        <w:rPr>
          <w:sz w:val="20"/>
        </w:rPr>
        <w:sectPr>
          <w:footerReference w:type="default" r:id="rId64"/>
          <w:pgSz w:w="14270" w:h="16850"/>
          <w:pgMar w:footer="1891" w:header="0" w:top="1600" w:bottom="2080" w:left="800" w:right="1280"/>
          <w:pgNumType w:start="250"/>
        </w:sectPr>
      </w:pPr>
    </w:p>
    <w:p>
      <w:pPr>
        <w:pStyle w:val="BodyText"/>
        <w:spacing w:line="276" w:lineRule="auto" w:before="181"/>
        <w:ind w:left="477" w:right="129"/>
        <w:jc w:val="both"/>
      </w:pPr>
      <w:r>
        <w:rPr/>
        <w:t>(‘natural killer cells’) and the thymus gland, was extremely successful in stimu- lating the immune system and was tailor-made for fighting cancer. He pre- scribed his cancer patients high doses of beta-carotene and achieved above- average cure rates in conjunction with other natural remedies.</w:t>
      </w:r>
    </w:p>
    <w:p>
      <w:pPr>
        <w:pStyle w:val="BodyText"/>
        <w:spacing w:line="276" w:lineRule="auto" w:before="242"/>
        <w:ind w:left="477" w:right="134"/>
        <w:jc w:val="both"/>
      </w:pPr>
      <w:r>
        <w:rPr/>
        <w:t>Beta-carotene seems to be very helpful, especially with certain cancers; these include skin cancer, cervical cancer, lung cancer, oral cancer, gastric cancer,</w:t>
      </w:r>
      <w:r>
        <w:rPr>
          <w:spacing w:val="-48"/>
        </w:rPr>
        <w:t> </w:t>
      </w:r>
      <w:r>
        <w:rPr/>
        <w:t>oe- sophageal cancer and nasopharyngeal</w:t>
      </w:r>
      <w:r>
        <w:rPr>
          <w:spacing w:val="-1"/>
        </w:rPr>
        <w:t> </w:t>
      </w:r>
      <w:r>
        <w:rPr/>
        <w:t>cancer.</w:t>
      </w:r>
    </w:p>
    <w:p>
      <w:pPr>
        <w:pStyle w:val="BodyText"/>
        <w:spacing w:line="276" w:lineRule="auto" w:before="239"/>
        <w:ind w:left="477" w:right="138"/>
        <w:jc w:val="both"/>
      </w:pPr>
      <w:r>
        <w:rPr/>
        <w:t>For example, the </w:t>
      </w:r>
      <w:r>
        <w:rPr>
          <w:i/>
        </w:rPr>
        <w:t>Ärztezeitung </w:t>
      </w:r>
      <w:r>
        <w:rPr/>
        <w:t>(Doctor’s Journal) reported in its issue of 22 Au- gust 2000 that beta-carotene reduces the risk of developing lung, oesophageal and stomach cancer.</w:t>
      </w:r>
    </w:p>
    <w:p>
      <w:pPr>
        <w:pStyle w:val="Heading1"/>
        <w:jc w:val="both"/>
      </w:pPr>
      <w:r>
        <w:rPr/>
        <w:t>Effect of beta-carotene against cancer</w:t>
      </w:r>
    </w:p>
    <w:p>
      <w:pPr>
        <w:pStyle w:val="BodyText"/>
        <w:spacing w:before="297"/>
        <w:ind w:left="477"/>
        <w:jc w:val="both"/>
      </w:pPr>
      <w:r>
        <w:rPr/>
        <w:t>Even with cancer, beta-carotene functions using various mechanisms:</w:t>
      </w:r>
    </w:p>
    <w:p>
      <w:pPr>
        <w:pStyle w:val="ListParagraph"/>
        <w:numPr>
          <w:ilvl w:val="1"/>
          <w:numId w:val="17"/>
        </w:numPr>
        <w:tabs>
          <w:tab w:pos="1182" w:val="left" w:leader="none"/>
          <w:tab w:pos="1183" w:val="left" w:leader="none"/>
        </w:tabs>
        <w:spacing w:line="240" w:lineRule="auto" w:before="306" w:after="0"/>
        <w:ind w:left="1182" w:right="0" w:hanging="360"/>
        <w:jc w:val="left"/>
        <w:rPr>
          <w:sz w:val="38"/>
        </w:rPr>
      </w:pPr>
      <w:r>
        <w:rPr>
          <w:sz w:val="38"/>
        </w:rPr>
        <w:t>It stimulates the immune</w:t>
      </w:r>
      <w:r>
        <w:rPr>
          <w:spacing w:val="2"/>
          <w:sz w:val="38"/>
        </w:rPr>
        <w:t> </w:t>
      </w:r>
      <w:r>
        <w:rPr>
          <w:sz w:val="38"/>
        </w:rPr>
        <w:t>system,</w:t>
      </w:r>
    </w:p>
    <w:p>
      <w:pPr>
        <w:pStyle w:val="ListParagraph"/>
        <w:numPr>
          <w:ilvl w:val="1"/>
          <w:numId w:val="17"/>
        </w:numPr>
        <w:tabs>
          <w:tab w:pos="1182" w:val="left" w:leader="none"/>
          <w:tab w:pos="1183" w:val="left" w:leader="none"/>
        </w:tabs>
        <w:spacing w:line="240" w:lineRule="auto" w:before="66" w:after="0"/>
        <w:ind w:left="1182" w:right="0" w:hanging="360"/>
        <w:jc w:val="left"/>
        <w:rPr>
          <w:sz w:val="38"/>
        </w:rPr>
      </w:pPr>
      <w:r>
        <w:rPr>
          <w:sz w:val="38"/>
        </w:rPr>
        <w:t>inactivates substances harmful to</w:t>
      </w:r>
      <w:r>
        <w:rPr>
          <w:spacing w:val="1"/>
          <w:sz w:val="38"/>
        </w:rPr>
        <w:t> </w:t>
      </w:r>
      <w:r>
        <w:rPr>
          <w:sz w:val="38"/>
        </w:rPr>
        <w:t>cells,</w:t>
      </w:r>
    </w:p>
    <w:p>
      <w:pPr>
        <w:pStyle w:val="ListParagraph"/>
        <w:numPr>
          <w:ilvl w:val="1"/>
          <w:numId w:val="17"/>
        </w:numPr>
        <w:tabs>
          <w:tab w:pos="1182" w:val="left" w:leader="none"/>
          <w:tab w:pos="1183" w:val="left" w:leader="none"/>
        </w:tabs>
        <w:spacing w:line="240" w:lineRule="auto" w:before="64" w:after="0"/>
        <w:ind w:left="1182" w:right="0" w:hanging="360"/>
        <w:jc w:val="left"/>
        <w:rPr>
          <w:sz w:val="38"/>
        </w:rPr>
      </w:pPr>
      <w:r>
        <w:rPr>
          <w:sz w:val="38"/>
        </w:rPr>
        <w:t>controls cell growth and cell multiplication and</w:t>
      </w:r>
    </w:p>
    <w:p>
      <w:pPr>
        <w:pStyle w:val="ListParagraph"/>
        <w:numPr>
          <w:ilvl w:val="1"/>
          <w:numId w:val="17"/>
        </w:numPr>
        <w:tabs>
          <w:tab w:pos="1182" w:val="left" w:leader="none"/>
          <w:tab w:pos="1183" w:val="left" w:leader="none"/>
        </w:tabs>
        <w:spacing w:line="240" w:lineRule="auto" w:before="64" w:after="0"/>
        <w:ind w:left="1182" w:right="0" w:hanging="360"/>
        <w:jc w:val="left"/>
        <w:rPr>
          <w:sz w:val="38"/>
        </w:rPr>
      </w:pPr>
      <w:r>
        <w:rPr>
          <w:sz w:val="38"/>
        </w:rPr>
        <w:t>inhibits the mutation of procarcinogens in carcinogens.</w:t>
      </w:r>
    </w:p>
    <w:p>
      <w:pPr>
        <w:pStyle w:val="Heading1"/>
        <w:spacing w:before="165"/>
        <w:jc w:val="both"/>
      </w:pPr>
      <w:r>
        <w:rPr/>
        <w:t>Beta-carotene in mouth cancer</w:t>
      </w:r>
    </w:p>
    <w:p>
      <w:pPr>
        <w:pStyle w:val="BodyText"/>
        <w:spacing w:line="276" w:lineRule="auto" w:before="299"/>
        <w:ind w:left="477" w:right="136"/>
        <w:jc w:val="both"/>
      </w:pPr>
      <w:r>
        <w:rPr/>
        <w:t>In itself and in combination with vitamin E, beta-carotene has been shown to reduce degenerate damage in several studies.</w:t>
      </w:r>
    </w:p>
    <w:p>
      <w:pPr>
        <w:pStyle w:val="Heading1"/>
        <w:jc w:val="both"/>
      </w:pPr>
      <w:r>
        <w:rPr/>
        <w:t>Beta-carotene in intestinal polyps and colorectal cancer</w:t>
      </w:r>
    </w:p>
    <w:p>
      <w:pPr>
        <w:spacing w:after="0"/>
        <w:jc w:val="both"/>
        <w:sectPr>
          <w:pgSz w:w="14270" w:h="16850"/>
          <w:pgMar w:header="0" w:footer="1891" w:top="1600" w:bottom="2080" w:left="800" w:right="1280"/>
        </w:sectPr>
      </w:pPr>
    </w:p>
    <w:p>
      <w:pPr>
        <w:pStyle w:val="BodyText"/>
        <w:spacing w:line="276" w:lineRule="auto" w:before="181"/>
        <w:ind w:left="477" w:right="130"/>
        <w:jc w:val="both"/>
        <w:rPr>
          <w:sz w:val="25"/>
        </w:rPr>
      </w:pPr>
      <w:r>
        <w:rPr/>
        <w:t>In a study on 864 subjects, called the </w:t>
      </w:r>
      <w:r>
        <w:rPr>
          <w:i/>
        </w:rPr>
        <w:t>Antioxidant Polyp Prevention Study, </w:t>
      </w:r>
      <w:r>
        <w:rPr/>
        <w:t>beta- carotene</w:t>
      </w:r>
      <w:r>
        <w:rPr>
          <w:spacing w:val="-14"/>
        </w:rPr>
        <w:t> </w:t>
      </w:r>
      <w:r>
        <w:rPr/>
        <w:t>could</w:t>
      </w:r>
      <w:r>
        <w:rPr>
          <w:spacing w:val="-14"/>
        </w:rPr>
        <w:t> </w:t>
      </w:r>
      <w:r>
        <w:rPr/>
        <w:t>prove</w:t>
      </w:r>
      <w:r>
        <w:rPr>
          <w:spacing w:val="-14"/>
        </w:rPr>
        <w:t> </w:t>
      </w:r>
      <w:r>
        <w:rPr/>
        <w:t>to</w:t>
      </w:r>
      <w:r>
        <w:rPr>
          <w:spacing w:val="-14"/>
        </w:rPr>
        <w:t> </w:t>
      </w:r>
      <w:r>
        <w:rPr/>
        <w:t>reduce</w:t>
      </w:r>
      <w:r>
        <w:rPr>
          <w:spacing w:val="-12"/>
        </w:rPr>
        <w:t> </w:t>
      </w:r>
      <w:r>
        <w:rPr/>
        <w:t>the</w:t>
      </w:r>
      <w:r>
        <w:rPr>
          <w:spacing w:val="-13"/>
        </w:rPr>
        <w:t> </w:t>
      </w:r>
      <w:r>
        <w:rPr/>
        <w:t>risk</w:t>
      </w:r>
      <w:r>
        <w:rPr>
          <w:spacing w:val="-14"/>
        </w:rPr>
        <w:t> </w:t>
      </w:r>
      <w:r>
        <w:rPr/>
        <w:t>of</w:t>
      </w:r>
      <w:r>
        <w:rPr>
          <w:spacing w:val="-14"/>
        </w:rPr>
        <w:t> </w:t>
      </w:r>
      <w:r>
        <w:rPr/>
        <w:t>recurrent</w:t>
      </w:r>
      <w:r>
        <w:rPr>
          <w:spacing w:val="-14"/>
        </w:rPr>
        <w:t> </w:t>
      </w:r>
      <w:r>
        <w:rPr/>
        <w:t>bowel</w:t>
      </w:r>
      <w:r>
        <w:rPr>
          <w:spacing w:val="-15"/>
        </w:rPr>
        <w:t> </w:t>
      </w:r>
      <w:r>
        <w:rPr/>
        <w:t>polyps</w:t>
      </w:r>
      <w:r>
        <w:rPr>
          <w:spacing w:val="-10"/>
        </w:rPr>
        <w:t> </w:t>
      </w:r>
      <w:r>
        <w:rPr/>
        <w:t>by</w:t>
      </w:r>
      <w:r>
        <w:rPr>
          <w:spacing w:val="-13"/>
        </w:rPr>
        <w:t> </w:t>
      </w:r>
      <w:r>
        <w:rPr/>
        <w:t>44</w:t>
      </w:r>
      <w:r>
        <w:rPr>
          <w:spacing w:val="-14"/>
        </w:rPr>
        <w:t> </w:t>
      </w:r>
      <w:r>
        <w:rPr/>
        <w:t>%.</w:t>
      </w:r>
      <w:r>
        <w:rPr>
          <w:spacing w:val="-13"/>
        </w:rPr>
        <w:t> </w:t>
      </w:r>
      <w:r>
        <w:rPr/>
        <w:t>The prevention of intestinal cancer is also attributed to</w:t>
      </w:r>
      <w:r>
        <w:rPr>
          <w:spacing w:val="-1"/>
        </w:rPr>
        <w:t> </w:t>
      </w:r>
      <w:r>
        <w:rPr/>
        <w:t>this.</w:t>
      </w:r>
      <w:r>
        <w:rPr>
          <w:position w:val="9"/>
          <w:sz w:val="25"/>
        </w:rPr>
        <w:t>134</w:t>
      </w:r>
    </w:p>
    <w:p>
      <w:pPr>
        <w:pStyle w:val="Heading1"/>
      </w:pPr>
      <w:r>
        <w:rPr/>
        <w:t>Beta-carotene in skin cancer</w:t>
      </w:r>
    </w:p>
    <w:p>
      <w:pPr>
        <w:pStyle w:val="BodyText"/>
        <w:spacing w:line="276" w:lineRule="auto" w:before="300"/>
        <w:ind w:left="477" w:right="133"/>
        <w:jc w:val="both"/>
      </w:pPr>
      <w:r>
        <w:rPr/>
        <w:t>The effect of beta-carotene against skin cancer has been well established; for example, to prevent skin cancer, it is now recommended to take a dose of 15- 30 mg/day four to six weeks before a holiday in a sunny place.</w:t>
      </w:r>
    </w:p>
    <w:p>
      <w:pPr>
        <w:pStyle w:val="Heading1"/>
        <w:spacing w:before="222"/>
      </w:pPr>
      <w:r>
        <w:rPr/>
        <w:t>Beta-carotene for stomach cancer</w:t>
      </w:r>
    </w:p>
    <w:p>
      <w:pPr>
        <w:pStyle w:val="BodyText"/>
        <w:spacing w:line="276" w:lineRule="auto" w:before="299"/>
        <w:ind w:left="477" w:right="132"/>
        <w:jc w:val="both"/>
        <w:rPr>
          <w:sz w:val="25"/>
        </w:rPr>
      </w:pPr>
      <w:r>
        <w:rPr/>
        <w:t>In the five-year Linxian study on 30,000 Chinese people in 1993, the subjects (all</w:t>
      </w:r>
      <w:r>
        <w:rPr>
          <w:spacing w:val="-13"/>
        </w:rPr>
        <w:t> </w:t>
      </w:r>
      <w:r>
        <w:rPr/>
        <w:t>non-smokers!)</w:t>
      </w:r>
      <w:r>
        <w:rPr>
          <w:spacing w:val="-13"/>
        </w:rPr>
        <w:t> </w:t>
      </w:r>
      <w:r>
        <w:rPr/>
        <w:t>were</w:t>
      </w:r>
      <w:r>
        <w:rPr>
          <w:spacing w:val="-12"/>
        </w:rPr>
        <w:t> </w:t>
      </w:r>
      <w:r>
        <w:rPr/>
        <w:t>given</w:t>
      </w:r>
      <w:r>
        <w:rPr>
          <w:spacing w:val="-11"/>
        </w:rPr>
        <w:t> </w:t>
      </w:r>
      <w:r>
        <w:rPr/>
        <w:t>beta-carotene</w:t>
      </w:r>
      <w:r>
        <w:rPr>
          <w:spacing w:val="-12"/>
        </w:rPr>
        <w:t> </w:t>
      </w:r>
      <w:r>
        <w:rPr/>
        <w:t>in</w:t>
      </w:r>
      <w:r>
        <w:rPr>
          <w:spacing w:val="-13"/>
        </w:rPr>
        <w:t> </w:t>
      </w:r>
      <w:r>
        <w:rPr/>
        <w:t>combination</w:t>
      </w:r>
      <w:r>
        <w:rPr>
          <w:spacing w:val="-10"/>
        </w:rPr>
        <w:t> </w:t>
      </w:r>
      <w:r>
        <w:rPr/>
        <w:t>with</w:t>
      </w:r>
      <w:r>
        <w:rPr>
          <w:spacing w:val="-12"/>
        </w:rPr>
        <w:t> </w:t>
      </w:r>
      <w:r>
        <w:rPr/>
        <w:t>vitamin</w:t>
      </w:r>
      <w:r>
        <w:rPr>
          <w:spacing w:val="-12"/>
        </w:rPr>
        <w:t> </w:t>
      </w:r>
      <w:r>
        <w:rPr/>
        <w:t>E</w:t>
      </w:r>
      <w:r>
        <w:rPr>
          <w:spacing w:val="-11"/>
        </w:rPr>
        <w:t> </w:t>
      </w:r>
      <w:r>
        <w:rPr/>
        <w:t>and selenium.</w:t>
      </w:r>
      <w:r>
        <w:rPr>
          <w:spacing w:val="-17"/>
        </w:rPr>
        <w:t> </w:t>
      </w:r>
      <w:r>
        <w:rPr/>
        <w:t>Mortality</w:t>
      </w:r>
      <w:r>
        <w:rPr>
          <w:spacing w:val="-18"/>
        </w:rPr>
        <w:t> </w:t>
      </w:r>
      <w:r>
        <w:rPr/>
        <w:t>rates</w:t>
      </w:r>
      <w:r>
        <w:rPr>
          <w:spacing w:val="-16"/>
        </w:rPr>
        <w:t> </w:t>
      </w:r>
      <w:r>
        <w:rPr/>
        <w:t>were</w:t>
      </w:r>
      <w:r>
        <w:rPr>
          <w:spacing w:val="-16"/>
        </w:rPr>
        <w:t> </w:t>
      </w:r>
      <w:r>
        <w:rPr/>
        <w:t>thus</w:t>
      </w:r>
      <w:r>
        <w:rPr>
          <w:spacing w:val="-17"/>
        </w:rPr>
        <w:t> </w:t>
      </w:r>
      <w:r>
        <w:rPr/>
        <w:t>reduced</w:t>
      </w:r>
      <w:r>
        <w:rPr>
          <w:spacing w:val="-17"/>
        </w:rPr>
        <w:t> </w:t>
      </w:r>
      <w:r>
        <w:rPr/>
        <w:t>by</w:t>
      </w:r>
      <w:r>
        <w:rPr>
          <w:spacing w:val="-16"/>
        </w:rPr>
        <w:t> </w:t>
      </w:r>
      <w:r>
        <w:rPr/>
        <w:t>9</w:t>
      </w:r>
      <w:r>
        <w:rPr>
          <w:spacing w:val="-12"/>
        </w:rPr>
        <w:t> </w:t>
      </w:r>
      <w:r>
        <w:rPr/>
        <w:t>%,</w:t>
      </w:r>
      <w:r>
        <w:rPr>
          <w:spacing w:val="-16"/>
        </w:rPr>
        <w:t> </w:t>
      </w:r>
      <w:r>
        <w:rPr/>
        <w:t>cancer</w:t>
      </w:r>
      <w:r>
        <w:rPr>
          <w:spacing w:val="-16"/>
        </w:rPr>
        <w:t> </w:t>
      </w:r>
      <w:r>
        <w:rPr/>
        <w:t>deaths</w:t>
      </w:r>
      <w:r>
        <w:rPr>
          <w:spacing w:val="-18"/>
        </w:rPr>
        <w:t> </w:t>
      </w:r>
      <w:r>
        <w:rPr/>
        <w:t>were</w:t>
      </w:r>
      <w:r>
        <w:rPr>
          <w:spacing w:val="-16"/>
        </w:rPr>
        <w:t> </w:t>
      </w:r>
      <w:r>
        <w:rPr/>
        <w:t>reduced by 13 % and, with gastric cancer, significant success was achieved, with 21 % fewer deaths.</w:t>
      </w:r>
      <w:r>
        <w:rPr>
          <w:position w:val="9"/>
          <w:sz w:val="25"/>
        </w:rPr>
        <w:t>135</w:t>
      </w:r>
    </w:p>
    <w:p>
      <w:pPr>
        <w:pStyle w:val="Heading2"/>
        <w:spacing w:before="240"/>
        <w:jc w:val="both"/>
      </w:pPr>
      <w:r>
        <w:rPr/>
        <w:t>Effect of beta-carotene on the eyes</w:t>
      </w:r>
    </w:p>
    <w:p>
      <w:pPr>
        <w:pStyle w:val="BodyText"/>
        <w:spacing w:before="304"/>
        <w:ind w:left="477"/>
        <w:jc w:val="both"/>
      </w:pPr>
      <w:r>
        <w:rPr/>
        <w:t>Beta-carotene has proven itself in numerous ocular function disorders:</w:t>
      </w:r>
    </w:p>
    <w:p>
      <w:pPr>
        <w:pStyle w:val="BodyText"/>
        <w:rPr>
          <w:sz w:val="42"/>
        </w:rPr>
      </w:pPr>
    </w:p>
    <w:p>
      <w:pPr>
        <w:pStyle w:val="BodyText"/>
        <w:spacing w:before="7"/>
        <w:rPr>
          <w:sz w:val="48"/>
        </w:rPr>
      </w:pPr>
    </w:p>
    <w:p>
      <w:pPr>
        <w:pStyle w:val="Heading1"/>
        <w:spacing w:before="0"/>
        <w:jc w:val="both"/>
      </w:pPr>
      <w:r>
        <w:rPr/>
        <w:t>Beta-carotene protect eyes from macular degeneration</w:t>
      </w:r>
    </w:p>
    <w:p>
      <w:pPr>
        <w:pStyle w:val="BodyText"/>
        <w:spacing w:before="300"/>
        <w:ind w:left="477"/>
        <w:jc w:val="both"/>
      </w:pPr>
      <w:r>
        <w:rPr/>
        <w:t>A study on 356 volunteers succeeded in unequivocally certifying beta-carotene</w:t>
      </w:r>
    </w:p>
    <w:p>
      <w:pPr>
        <w:pStyle w:val="BodyText"/>
        <w:spacing w:before="8"/>
        <w:rPr>
          <w:sz w:val="25"/>
        </w:rPr>
      </w:pPr>
      <w:r>
        <w:rPr/>
        <w:pict>
          <v:line style="position:absolute;mso-position-horizontal-relative:page;mso-position-vertical-relative:paragraph;z-index:1112;mso-wrap-distance-left:0;mso-wrap-distance-right:0" from="63.863998pt,16.846235pt" to="207.883998pt,16.846235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134 </w:t>
      </w:r>
      <w:r>
        <w:rPr>
          <w:sz w:val="20"/>
        </w:rPr>
        <w:t>Journal of the National Cancer Institute 2003; 95, p. 717–722</w:t>
      </w:r>
    </w:p>
    <w:p>
      <w:pPr>
        <w:spacing w:before="94"/>
        <w:ind w:left="477" w:right="0" w:firstLine="0"/>
        <w:jc w:val="left"/>
        <w:rPr>
          <w:sz w:val="20"/>
        </w:rPr>
      </w:pPr>
      <w:r>
        <w:rPr>
          <w:position w:val="5"/>
          <w:sz w:val="13"/>
        </w:rPr>
        <w:t>135 </w:t>
      </w:r>
      <w:r>
        <w:rPr>
          <w:sz w:val="20"/>
        </w:rPr>
        <w:t>J Natl Cancer Inst 85, 1993, p. 1483</w:t>
      </w:r>
    </w:p>
    <w:p>
      <w:pPr>
        <w:spacing w:after="0"/>
        <w:jc w:val="left"/>
        <w:rPr>
          <w:sz w:val="20"/>
        </w:rPr>
        <w:sectPr>
          <w:pgSz w:w="14270" w:h="16850"/>
          <w:pgMar w:header="0" w:footer="1891" w:top="1600" w:bottom="2080" w:left="800" w:right="1280"/>
        </w:sectPr>
      </w:pPr>
    </w:p>
    <w:p>
      <w:pPr>
        <w:pStyle w:val="BodyText"/>
        <w:spacing w:before="181"/>
        <w:ind w:left="477"/>
      </w:pPr>
      <w:r>
        <w:rPr/>
        <w:t>as a significant protecting factor against age-related macular degeneration.</w:t>
      </w:r>
    </w:p>
    <w:p>
      <w:pPr>
        <w:pStyle w:val="Heading1"/>
        <w:spacing w:before="288"/>
      </w:pPr>
      <w:r>
        <w:rPr/>
        <w:t>Beta-carotene and dry conjunctiva</w:t>
      </w:r>
    </w:p>
    <w:p>
      <w:pPr>
        <w:pStyle w:val="BodyText"/>
        <w:spacing w:line="276" w:lineRule="auto" w:before="299"/>
        <w:ind w:left="477" w:right="132"/>
        <w:jc w:val="both"/>
      </w:pPr>
      <w:r>
        <w:rPr/>
        <w:t>Beta-carotene,</w:t>
      </w:r>
      <w:r>
        <w:rPr>
          <w:spacing w:val="-12"/>
        </w:rPr>
        <w:t> </w:t>
      </w:r>
      <w:r>
        <w:rPr/>
        <w:t>or</w:t>
      </w:r>
      <w:r>
        <w:rPr>
          <w:spacing w:val="-12"/>
        </w:rPr>
        <w:t> </w:t>
      </w:r>
      <w:r>
        <w:rPr/>
        <w:t>vitamin</w:t>
      </w:r>
      <w:r>
        <w:rPr>
          <w:spacing w:val="-11"/>
        </w:rPr>
        <w:t> </w:t>
      </w:r>
      <w:r>
        <w:rPr/>
        <w:t>A</w:t>
      </w:r>
      <w:r>
        <w:rPr>
          <w:spacing w:val="-12"/>
        </w:rPr>
        <w:t> </w:t>
      </w:r>
      <w:r>
        <w:rPr/>
        <w:t>converted</w:t>
      </w:r>
      <w:r>
        <w:rPr>
          <w:spacing w:val="-12"/>
        </w:rPr>
        <w:t> </w:t>
      </w:r>
      <w:r>
        <w:rPr/>
        <w:t>from</w:t>
      </w:r>
      <w:r>
        <w:rPr>
          <w:spacing w:val="-14"/>
        </w:rPr>
        <w:t> </w:t>
      </w:r>
      <w:r>
        <w:rPr/>
        <w:t>it,</w:t>
      </w:r>
      <w:r>
        <w:rPr>
          <w:spacing w:val="-12"/>
        </w:rPr>
        <w:t> </w:t>
      </w:r>
      <w:r>
        <w:rPr/>
        <w:t>proves</w:t>
      </w:r>
      <w:r>
        <w:rPr>
          <w:spacing w:val="-12"/>
        </w:rPr>
        <w:t> </w:t>
      </w:r>
      <w:r>
        <w:rPr/>
        <w:t>to</w:t>
      </w:r>
      <w:r>
        <w:rPr>
          <w:spacing w:val="-14"/>
        </w:rPr>
        <w:t> </w:t>
      </w:r>
      <w:r>
        <w:rPr/>
        <w:t>be</w:t>
      </w:r>
      <w:r>
        <w:rPr>
          <w:spacing w:val="-13"/>
        </w:rPr>
        <w:t> </w:t>
      </w:r>
      <w:r>
        <w:rPr/>
        <w:t>very</w:t>
      </w:r>
      <w:r>
        <w:rPr>
          <w:spacing w:val="-15"/>
        </w:rPr>
        <w:t> </w:t>
      </w:r>
      <w:r>
        <w:rPr/>
        <w:t>helpful</w:t>
      </w:r>
      <w:r>
        <w:rPr>
          <w:spacing w:val="-13"/>
        </w:rPr>
        <w:t> </w:t>
      </w:r>
      <w:r>
        <w:rPr/>
        <w:t>in</w:t>
      </w:r>
      <w:r>
        <w:rPr>
          <w:spacing w:val="-12"/>
        </w:rPr>
        <w:t> </w:t>
      </w:r>
      <w:r>
        <w:rPr/>
        <w:t>case of excessively dry conjunctiva, when it comes about, for example, due to irrita- tion caused by contact lenses. Here, beta-carotene (most efficiently in</w:t>
      </w:r>
      <w:r>
        <w:rPr>
          <w:spacing w:val="-38"/>
        </w:rPr>
        <w:t> </w:t>
      </w:r>
      <w:r>
        <w:rPr/>
        <w:t>conjunc- tion with omega-3 fatty acids) can replace the eye drops that would otherwise be necessary.</w:t>
      </w:r>
    </w:p>
    <w:p>
      <w:pPr>
        <w:pStyle w:val="Heading1"/>
        <w:spacing w:before="223"/>
      </w:pPr>
      <w:r>
        <w:rPr/>
        <w:t>Beta-carotene and night blindness</w:t>
      </w:r>
    </w:p>
    <w:p>
      <w:pPr>
        <w:pStyle w:val="BodyText"/>
        <w:spacing w:before="299"/>
        <w:ind w:left="477"/>
      </w:pPr>
      <w:r>
        <w:rPr/>
        <w:t>Beta-carotene (or vitamin A) can counteract night and twilight vision disorders.</w:t>
      </w:r>
    </w:p>
    <w:p>
      <w:pPr>
        <w:pStyle w:val="Heading1"/>
        <w:spacing w:before="287"/>
      </w:pPr>
      <w:r>
        <w:rPr/>
        <w:t>Beta-carotene is important for healthy skin and eyes</w:t>
      </w:r>
    </w:p>
    <w:p>
      <w:pPr>
        <w:pStyle w:val="BodyText"/>
        <w:spacing w:line="276" w:lineRule="auto" w:before="299"/>
        <w:ind w:left="477" w:right="135"/>
        <w:jc w:val="both"/>
      </w:pPr>
      <w:r>
        <w:rPr/>
        <w:t>Beta-carotene is of paramount importance for the ability of healthy skin and eyes to function (beta-carotene is a component of the visual pigment!). If</w:t>
      </w:r>
      <w:r>
        <w:rPr>
          <w:spacing w:val="-58"/>
        </w:rPr>
        <w:t> </w:t>
      </w:r>
      <w:r>
        <w:rPr/>
        <w:t>more beta-carotene is taken than is needed for vitamin A production, it will be de- posited</w:t>
      </w:r>
      <w:r>
        <w:rPr>
          <w:spacing w:val="-9"/>
        </w:rPr>
        <w:t> </w:t>
      </w:r>
      <w:r>
        <w:rPr/>
        <w:t>in</w:t>
      </w:r>
      <w:r>
        <w:rPr>
          <w:spacing w:val="-11"/>
        </w:rPr>
        <w:t> </w:t>
      </w:r>
      <w:r>
        <w:rPr/>
        <w:t>the</w:t>
      </w:r>
      <w:r>
        <w:rPr>
          <w:spacing w:val="-10"/>
        </w:rPr>
        <w:t> </w:t>
      </w:r>
      <w:r>
        <w:rPr/>
        <w:t>cells</w:t>
      </w:r>
      <w:r>
        <w:rPr>
          <w:spacing w:val="-9"/>
        </w:rPr>
        <w:t> </w:t>
      </w:r>
      <w:r>
        <w:rPr/>
        <w:t>of</w:t>
      </w:r>
      <w:r>
        <w:rPr>
          <w:spacing w:val="-11"/>
        </w:rPr>
        <w:t> </w:t>
      </w:r>
      <w:r>
        <w:rPr/>
        <w:t>the</w:t>
      </w:r>
      <w:r>
        <w:rPr>
          <w:spacing w:val="-10"/>
        </w:rPr>
        <w:t> </w:t>
      </w:r>
      <w:r>
        <w:rPr/>
        <w:t>epidermis,</w:t>
      </w:r>
      <w:r>
        <w:rPr>
          <w:spacing w:val="-7"/>
        </w:rPr>
        <w:t> </w:t>
      </w:r>
      <w:r>
        <w:rPr/>
        <w:t>where</w:t>
      </w:r>
      <w:r>
        <w:rPr>
          <w:spacing w:val="-11"/>
        </w:rPr>
        <w:t> </w:t>
      </w:r>
      <w:r>
        <w:rPr/>
        <w:t>it</w:t>
      </w:r>
      <w:r>
        <w:rPr>
          <w:spacing w:val="-10"/>
        </w:rPr>
        <w:t> </w:t>
      </w:r>
      <w:r>
        <w:rPr/>
        <w:t>will</w:t>
      </w:r>
      <w:r>
        <w:rPr>
          <w:spacing w:val="-10"/>
        </w:rPr>
        <w:t> </w:t>
      </w:r>
      <w:r>
        <w:rPr/>
        <w:t>have</w:t>
      </w:r>
      <w:r>
        <w:rPr>
          <w:spacing w:val="-8"/>
        </w:rPr>
        <w:t> </w:t>
      </w:r>
      <w:r>
        <w:rPr/>
        <w:t>a</w:t>
      </w:r>
      <w:r>
        <w:rPr>
          <w:spacing w:val="-12"/>
        </w:rPr>
        <w:t> </w:t>
      </w:r>
      <w:r>
        <w:rPr/>
        <w:t>further</w:t>
      </w:r>
      <w:r>
        <w:rPr>
          <w:spacing w:val="-9"/>
        </w:rPr>
        <w:t> </w:t>
      </w:r>
      <w:r>
        <w:rPr/>
        <w:t>positive</w:t>
      </w:r>
      <w:r>
        <w:rPr>
          <w:spacing w:val="-10"/>
        </w:rPr>
        <w:t> </w:t>
      </w:r>
      <w:r>
        <w:rPr/>
        <w:t>impact on the health and protection of our</w:t>
      </w:r>
      <w:r>
        <w:rPr>
          <w:spacing w:val="-1"/>
        </w:rPr>
        <w:t> </w:t>
      </w:r>
      <w:r>
        <w:rPr/>
        <w:t>skin.</w:t>
      </w:r>
    </w:p>
    <w:p>
      <w:pPr>
        <w:pStyle w:val="BodyText"/>
        <w:rPr>
          <w:sz w:val="42"/>
        </w:rPr>
      </w:pPr>
    </w:p>
    <w:p>
      <w:pPr>
        <w:pStyle w:val="BodyText"/>
        <w:rPr>
          <w:sz w:val="42"/>
        </w:rPr>
      </w:pPr>
    </w:p>
    <w:p>
      <w:pPr>
        <w:pStyle w:val="BodyText"/>
        <w:rPr>
          <w:sz w:val="42"/>
        </w:rPr>
      </w:pPr>
    </w:p>
    <w:p>
      <w:pPr>
        <w:pStyle w:val="Heading2"/>
        <w:spacing w:before="287"/>
        <w:jc w:val="both"/>
      </w:pPr>
      <w:r>
        <w:rPr/>
        <w:t>Beta-carotene effect as mucosal protection</w:t>
      </w:r>
    </w:p>
    <w:p>
      <w:pPr>
        <w:spacing w:after="0"/>
        <w:jc w:val="both"/>
        <w:sectPr>
          <w:pgSz w:w="14270" w:h="16850"/>
          <w:pgMar w:header="0" w:footer="1891" w:top="1600" w:bottom="2080" w:left="800" w:right="1280"/>
        </w:sectPr>
      </w:pPr>
    </w:p>
    <w:p>
      <w:pPr>
        <w:pStyle w:val="BodyText"/>
        <w:spacing w:line="276" w:lineRule="auto" w:before="181"/>
        <w:ind w:left="477" w:right="134"/>
        <w:jc w:val="both"/>
      </w:pPr>
      <w:r>
        <w:rPr/>
        <w:t>Since beta-carotene also affects the moisture balance, it has a pronounced mu- cosal protection and can be very helpful in this regard for diseases of the</w:t>
      </w:r>
      <w:r>
        <w:rPr>
          <w:spacing w:val="-50"/>
        </w:rPr>
        <w:t> </w:t>
      </w:r>
      <w:r>
        <w:rPr/>
        <w:t>bron- chi, the gastrointestinal tract and all kinds of</w:t>
      </w:r>
      <w:r>
        <w:rPr>
          <w:spacing w:val="1"/>
        </w:rPr>
        <w:t> </w:t>
      </w:r>
      <w:r>
        <w:rPr/>
        <w:t>allergies.</w:t>
      </w:r>
    </w:p>
    <w:p>
      <w:pPr>
        <w:pStyle w:val="Heading2"/>
        <w:spacing w:before="242"/>
      </w:pPr>
      <w:r>
        <w:rPr/>
        <w:t>Beta-carotene accelerates wound healing and relieves burns</w:t>
      </w:r>
    </w:p>
    <w:p>
      <w:pPr>
        <w:pStyle w:val="BodyText"/>
        <w:spacing w:line="276" w:lineRule="auto" w:before="304"/>
        <w:ind w:left="477" w:right="132"/>
        <w:jc w:val="both"/>
      </w:pPr>
      <w:r>
        <w:rPr/>
        <w:t>Beta-carotene</w:t>
      </w:r>
      <w:r>
        <w:rPr>
          <w:spacing w:val="-10"/>
        </w:rPr>
        <w:t> </w:t>
      </w:r>
      <w:r>
        <w:rPr/>
        <w:t>also</w:t>
      </w:r>
      <w:r>
        <w:rPr>
          <w:spacing w:val="-9"/>
        </w:rPr>
        <w:t> </w:t>
      </w:r>
      <w:r>
        <w:rPr/>
        <w:t>exerts</w:t>
      </w:r>
      <w:r>
        <w:rPr>
          <w:spacing w:val="-8"/>
        </w:rPr>
        <w:t> </w:t>
      </w:r>
      <w:r>
        <w:rPr/>
        <w:t>an</w:t>
      </w:r>
      <w:r>
        <w:rPr>
          <w:spacing w:val="-9"/>
        </w:rPr>
        <w:t> </w:t>
      </w:r>
      <w:r>
        <w:rPr/>
        <w:t>influence</w:t>
      </w:r>
      <w:r>
        <w:rPr>
          <w:spacing w:val="-10"/>
        </w:rPr>
        <w:t> </w:t>
      </w:r>
      <w:r>
        <w:rPr/>
        <w:t>on</w:t>
      </w:r>
      <w:r>
        <w:rPr>
          <w:spacing w:val="-8"/>
        </w:rPr>
        <w:t> </w:t>
      </w:r>
      <w:r>
        <w:rPr/>
        <w:t>the</w:t>
      </w:r>
      <w:r>
        <w:rPr>
          <w:spacing w:val="-8"/>
        </w:rPr>
        <w:t> </w:t>
      </w:r>
      <w:r>
        <w:rPr/>
        <w:t>cell</w:t>
      </w:r>
      <w:r>
        <w:rPr>
          <w:spacing w:val="-10"/>
        </w:rPr>
        <w:t> </w:t>
      </w:r>
      <w:r>
        <w:rPr/>
        <w:t>metabolism</w:t>
      </w:r>
      <w:r>
        <w:rPr>
          <w:spacing w:val="-10"/>
        </w:rPr>
        <w:t> </w:t>
      </w:r>
      <w:r>
        <w:rPr/>
        <w:t>of</w:t>
      </w:r>
      <w:r>
        <w:rPr>
          <w:spacing w:val="-9"/>
        </w:rPr>
        <w:t> </w:t>
      </w:r>
      <w:r>
        <w:rPr/>
        <w:t>the</w:t>
      </w:r>
      <w:r>
        <w:rPr>
          <w:spacing w:val="-8"/>
        </w:rPr>
        <w:t> </w:t>
      </w:r>
      <w:r>
        <w:rPr/>
        <w:t>skin,</w:t>
      </w:r>
      <w:r>
        <w:rPr>
          <w:spacing w:val="-8"/>
        </w:rPr>
        <w:t> </w:t>
      </w:r>
      <w:r>
        <w:rPr/>
        <w:t>accel- erating wound healing and relieving</w:t>
      </w:r>
      <w:r>
        <w:rPr>
          <w:spacing w:val="1"/>
        </w:rPr>
        <w:t> </w:t>
      </w:r>
      <w:r>
        <w:rPr/>
        <w:t>burns.</w:t>
      </w:r>
    </w:p>
    <w:p>
      <w:pPr>
        <w:pStyle w:val="Heading2"/>
        <w:spacing w:before="239"/>
      </w:pPr>
      <w:r>
        <w:rPr/>
        <w:t>Effect of beta-carotene on fat metabolism</w:t>
      </w:r>
    </w:p>
    <w:p>
      <w:pPr>
        <w:pStyle w:val="BodyText"/>
        <w:spacing w:line="276" w:lineRule="auto" w:before="304"/>
        <w:ind w:left="477" w:right="134"/>
        <w:jc w:val="both"/>
        <w:rPr>
          <w:sz w:val="25"/>
        </w:rPr>
      </w:pPr>
      <w:r>
        <w:rPr/>
        <w:t>As a Spanish study has shown, it is clear that vitamin A (beta-carotene is the precursor)</w:t>
      </w:r>
      <w:r>
        <w:rPr>
          <w:spacing w:val="-15"/>
        </w:rPr>
        <w:t> </w:t>
      </w:r>
      <w:r>
        <w:rPr/>
        <w:t>not</w:t>
      </w:r>
      <w:r>
        <w:rPr>
          <w:spacing w:val="-17"/>
        </w:rPr>
        <w:t> </w:t>
      </w:r>
      <w:r>
        <w:rPr/>
        <w:t>only</w:t>
      </w:r>
      <w:r>
        <w:rPr>
          <w:spacing w:val="-14"/>
        </w:rPr>
        <w:t> </w:t>
      </w:r>
      <w:r>
        <w:rPr/>
        <w:t>has</w:t>
      </w:r>
      <w:r>
        <w:rPr>
          <w:spacing w:val="-13"/>
        </w:rPr>
        <w:t> </w:t>
      </w:r>
      <w:r>
        <w:rPr/>
        <w:t>a</w:t>
      </w:r>
      <w:r>
        <w:rPr>
          <w:spacing w:val="-15"/>
        </w:rPr>
        <w:t> </w:t>
      </w:r>
      <w:r>
        <w:rPr/>
        <w:t>significant</w:t>
      </w:r>
      <w:r>
        <w:rPr>
          <w:spacing w:val="-14"/>
        </w:rPr>
        <w:t> </w:t>
      </w:r>
      <w:r>
        <w:rPr/>
        <w:t>influence</w:t>
      </w:r>
      <w:r>
        <w:rPr>
          <w:spacing w:val="-11"/>
        </w:rPr>
        <w:t> </w:t>
      </w:r>
      <w:r>
        <w:rPr/>
        <w:t>on</w:t>
      </w:r>
      <w:r>
        <w:rPr>
          <w:spacing w:val="-16"/>
        </w:rPr>
        <w:t> </w:t>
      </w:r>
      <w:r>
        <w:rPr/>
        <w:t>the</w:t>
      </w:r>
      <w:r>
        <w:rPr>
          <w:spacing w:val="-13"/>
        </w:rPr>
        <w:t> </w:t>
      </w:r>
      <w:r>
        <w:rPr/>
        <w:t>protein</w:t>
      </w:r>
      <w:r>
        <w:rPr>
          <w:spacing w:val="-16"/>
        </w:rPr>
        <w:t> </w:t>
      </w:r>
      <w:r>
        <w:rPr/>
        <w:t>but</w:t>
      </w:r>
      <w:r>
        <w:rPr>
          <w:spacing w:val="-15"/>
        </w:rPr>
        <w:t> </w:t>
      </w:r>
      <w:r>
        <w:rPr/>
        <w:t>also</w:t>
      </w:r>
      <w:r>
        <w:rPr>
          <w:spacing w:val="-14"/>
        </w:rPr>
        <w:t> </w:t>
      </w:r>
      <w:r>
        <w:rPr/>
        <w:t>on</w:t>
      </w:r>
      <w:r>
        <w:rPr>
          <w:spacing w:val="-16"/>
        </w:rPr>
        <w:t> </w:t>
      </w:r>
      <w:r>
        <w:rPr/>
        <w:t>our</w:t>
      </w:r>
      <w:r>
        <w:rPr>
          <w:spacing w:val="-15"/>
        </w:rPr>
        <w:t> </w:t>
      </w:r>
      <w:r>
        <w:rPr/>
        <w:t>fat metabolism and thus on our body fat percentage. Inadequate vitamin A distri- bution</w:t>
      </w:r>
      <w:r>
        <w:rPr>
          <w:spacing w:val="-10"/>
        </w:rPr>
        <w:t> </w:t>
      </w:r>
      <w:r>
        <w:rPr/>
        <w:t>resulted</w:t>
      </w:r>
      <w:r>
        <w:rPr>
          <w:spacing w:val="-10"/>
        </w:rPr>
        <w:t> </w:t>
      </w:r>
      <w:r>
        <w:rPr/>
        <w:t>in</w:t>
      </w:r>
      <w:r>
        <w:rPr>
          <w:spacing w:val="-9"/>
        </w:rPr>
        <w:t> </w:t>
      </w:r>
      <w:r>
        <w:rPr/>
        <w:t>an</w:t>
      </w:r>
      <w:r>
        <w:rPr>
          <w:spacing w:val="-12"/>
        </w:rPr>
        <w:t> </w:t>
      </w:r>
      <w:r>
        <w:rPr/>
        <w:t>increase</w:t>
      </w:r>
      <w:r>
        <w:rPr>
          <w:spacing w:val="-11"/>
        </w:rPr>
        <w:t> </w:t>
      </w:r>
      <w:r>
        <w:rPr/>
        <w:t>in</w:t>
      </w:r>
      <w:r>
        <w:rPr>
          <w:spacing w:val="-12"/>
        </w:rPr>
        <w:t> </w:t>
      </w:r>
      <w:r>
        <w:rPr/>
        <w:t>adipose</w:t>
      </w:r>
      <w:r>
        <w:rPr>
          <w:spacing w:val="-8"/>
        </w:rPr>
        <w:t> </w:t>
      </w:r>
      <w:r>
        <w:rPr/>
        <w:t>tissue;</w:t>
      </w:r>
      <w:r>
        <w:rPr>
          <w:spacing w:val="-8"/>
        </w:rPr>
        <w:t> </w:t>
      </w:r>
      <w:r>
        <w:rPr/>
        <w:t>a</w:t>
      </w:r>
      <w:r>
        <w:rPr>
          <w:spacing w:val="-15"/>
        </w:rPr>
        <w:t> </w:t>
      </w:r>
      <w:r>
        <w:rPr/>
        <w:t>rich</w:t>
      </w:r>
      <w:r>
        <w:rPr>
          <w:spacing w:val="-8"/>
        </w:rPr>
        <w:t> </w:t>
      </w:r>
      <w:r>
        <w:rPr/>
        <w:t>intake</w:t>
      </w:r>
      <w:r>
        <w:rPr>
          <w:spacing w:val="-10"/>
        </w:rPr>
        <w:t> </w:t>
      </w:r>
      <w:r>
        <w:rPr/>
        <w:t>of</w:t>
      </w:r>
      <w:r>
        <w:rPr>
          <w:spacing w:val="-11"/>
        </w:rPr>
        <w:t> </w:t>
      </w:r>
      <w:r>
        <w:rPr/>
        <w:t>vitamin</w:t>
      </w:r>
      <w:r>
        <w:rPr>
          <w:spacing w:val="-9"/>
        </w:rPr>
        <w:t> </w:t>
      </w:r>
      <w:r>
        <w:rPr/>
        <w:t>A,</w:t>
      </w:r>
      <w:r>
        <w:rPr>
          <w:spacing w:val="-9"/>
        </w:rPr>
        <w:t> </w:t>
      </w:r>
      <w:r>
        <w:rPr/>
        <w:t>how- ever, caused the pounds to melt away</w:t>
      </w:r>
      <w:r>
        <w:rPr>
          <w:spacing w:val="-2"/>
        </w:rPr>
        <w:t> </w:t>
      </w:r>
      <w:r>
        <w:rPr/>
        <w:t>again.</w:t>
      </w:r>
      <w:r>
        <w:rPr>
          <w:position w:val="9"/>
          <w:sz w:val="25"/>
        </w:rPr>
        <w:t>136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r>
        <w:rPr/>
        <w:pict>
          <v:line style="position:absolute;mso-position-horizontal-relative:page;mso-position-vertical-relative:paragraph;z-index:1136;mso-wrap-distance-left:0;mso-wrap-distance-right:0" from="63.863998pt,12.627515pt" to="207.883998pt,12.62751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136 </w:t>
      </w:r>
      <w:r>
        <w:rPr>
          <w:sz w:val="20"/>
        </w:rPr>
        <w:t>Cellular and Molecular Life Sciences, 2003, 60 (7), p. 1311–1321</w:t>
      </w:r>
    </w:p>
    <w:p>
      <w:pPr>
        <w:spacing w:after="0"/>
        <w:jc w:val="left"/>
        <w:rPr>
          <w:sz w:val="20"/>
        </w:rPr>
        <w:sectPr>
          <w:pgSz w:w="14270" w:h="16850"/>
          <w:pgMar w:header="0" w:footer="1891" w:top="1600" w:bottom="2080" w:left="800" w:right="1280"/>
        </w:sectPr>
      </w:pPr>
    </w:p>
    <w:p>
      <w:pPr>
        <w:pStyle w:val="Heading1"/>
        <w:spacing w:before="164"/>
      </w:pPr>
      <w:r>
        <w:rPr/>
        <w:t>Beta-carotene as an excellent UV</w:t>
      </w:r>
      <w:r>
        <w:rPr>
          <w:spacing w:val="-56"/>
        </w:rPr>
        <w:t> </w:t>
      </w:r>
      <w:r>
        <w:rPr/>
        <w:t>protection</w:t>
      </w:r>
    </w:p>
    <w:p>
      <w:pPr>
        <w:spacing w:line="276" w:lineRule="auto" w:before="299"/>
        <w:ind w:left="477" w:right="140" w:firstLine="0"/>
        <w:jc w:val="both"/>
        <w:rPr>
          <w:i/>
          <w:sz w:val="38"/>
        </w:rPr>
      </w:pPr>
      <w:r>
        <w:rPr>
          <w:i/>
          <w:sz w:val="38"/>
        </w:rPr>
        <w:t>The negative development of the dwindling ozone layer is alarming. According to the World </w:t>
      </w:r>
      <w:r>
        <w:rPr>
          <w:i/>
          <w:sz w:val="38"/>
        </w:rPr>
        <w:t>Meteorological Organisation (WMO), the destruction of the ozone layer over the Arctic has never been observed to this extent; it reduced by a further 40 % during the winter.</w:t>
      </w:r>
    </w:p>
    <w:p>
      <w:pPr>
        <w:spacing w:line="276" w:lineRule="auto" w:before="242"/>
        <w:ind w:left="477" w:right="149" w:firstLine="0"/>
        <w:jc w:val="both"/>
        <w:rPr>
          <w:i/>
          <w:sz w:val="38"/>
        </w:rPr>
      </w:pPr>
      <w:r>
        <w:rPr>
          <w:i/>
          <w:sz w:val="38"/>
        </w:rPr>
        <w:t>However, it is far from just the Arctic or Australia that are affected by it, but also Europe </w:t>
      </w:r>
      <w:r>
        <w:rPr>
          <w:i/>
          <w:sz w:val="38"/>
        </w:rPr>
        <w:t>and thus us directly!</w:t>
      </w:r>
    </w:p>
    <w:p>
      <w:pPr>
        <w:pStyle w:val="Heading2"/>
        <w:spacing w:line="276" w:lineRule="auto" w:before="238"/>
        <w:ind w:right="139"/>
        <w:jc w:val="both"/>
      </w:pPr>
      <w:r>
        <w:rPr/>
        <w:t>For example, doctors are already recommending applying sunscreen in April, since UV radiation is comparable to levels in midsummer. You should protect yourself from it accordingly!</w:t>
      </w:r>
    </w:p>
    <w:p>
      <w:pPr>
        <w:pStyle w:val="BodyText"/>
        <w:spacing w:line="276" w:lineRule="auto" w:before="242"/>
        <w:ind w:left="477" w:right="138"/>
        <w:jc w:val="both"/>
      </w:pPr>
      <w:r>
        <w:rPr/>
        <w:t>It is precisely at this point that the beta-carotene plays its role as a natural UV protector masterfully.</w:t>
      </w:r>
    </w:p>
    <w:p>
      <w:pPr>
        <w:pStyle w:val="Heading1"/>
        <w:spacing w:before="221"/>
      </w:pPr>
      <w:r>
        <w:rPr/>
        <w:t>Beta-carotene has a multifactorial effect</w:t>
      </w:r>
      <w:r>
        <w:rPr>
          <w:spacing w:val="-62"/>
        </w:rPr>
        <w:t> </w:t>
      </w:r>
      <w:r>
        <w:rPr/>
        <w:t>here:</w:t>
      </w:r>
    </w:p>
    <w:p>
      <w:pPr>
        <w:pStyle w:val="ListParagraph"/>
        <w:numPr>
          <w:ilvl w:val="0"/>
          <w:numId w:val="17"/>
        </w:numPr>
        <w:tabs>
          <w:tab w:pos="1043" w:val="left" w:leader="none"/>
          <w:tab w:pos="1044" w:val="left" w:leader="none"/>
        </w:tabs>
        <w:spacing w:line="273" w:lineRule="auto" w:before="301" w:after="0"/>
        <w:ind w:left="1043" w:right="142" w:hanging="566"/>
        <w:jc w:val="left"/>
        <w:rPr>
          <w:sz w:val="38"/>
        </w:rPr>
      </w:pPr>
      <w:r>
        <w:rPr>
          <w:sz w:val="38"/>
        </w:rPr>
        <w:t>It absorbs the UV rays and protects against the cell destruction caused by photooxidation.</w:t>
      </w:r>
    </w:p>
    <w:p>
      <w:pPr>
        <w:pStyle w:val="ListParagraph"/>
        <w:numPr>
          <w:ilvl w:val="0"/>
          <w:numId w:val="17"/>
        </w:numPr>
        <w:tabs>
          <w:tab w:pos="1043" w:val="left" w:leader="none"/>
          <w:tab w:pos="1044" w:val="left" w:leader="none"/>
        </w:tabs>
        <w:spacing w:line="273" w:lineRule="auto" w:before="7" w:after="0"/>
        <w:ind w:left="1043" w:right="142" w:hanging="566"/>
        <w:jc w:val="left"/>
        <w:rPr>
          <w:sz w:val="38"/>
        </w:rPr>
      </w:pPr>
      <w:r>
        <w:rPr>
          <w:sz w:val="38"/>
        </w:rPr>
        <w:t>It prevents the formation of singlet oxygen and other energetic substances in the skin</w:t>
      </w:r>
      <w:r>
        <w:rPr>
          <w:spacing w:val="2"/>
          <w:sz w:val="38"/>
        </w:rPr>
        <w:t> </w:t>
      </w:r>
      <w:r>
        <w:rPr>
          <w:sz w:val="38"/>
        </w:rPr>
        <w:t>cells.</w:t>
      </w:r>
    </w:p>
    <w:p>
      <w:pPr>
        <w:pStyle w:val="ListParagraph"/>
        <w:numPr>
          <w:ilvl w:val="0"/>
          <w:numId w:val="17"/>
        </w:numPr>
        <w:tabs>
          <w:tab w:pos="1043" w:val="left" w:leader="none"/>
          <w:tab w:pos="1044" w:val="left" w:leader="none"/>
        </w:tabs>
        <w:spacing w:line="240" w:lineRule="auto" w:before="7" w:after="0"/>
        <w:ind w:left="1043" w:right="0" w:hanging="566"/>
        <w:jc w:val="left"/>
        <w:rPr>
          <w:sz w:val="38"/>
        </w:rPr>
      </w:pPr>
      <w:r>
        <w:rPr>
          <w:sz w:val="38"/>
        </w:rPr>
        <w:t>It can, to some extent, revise already existing</w:t>
      </w:r>
      <w:r>
        <w:rPr>
          <w:spacing w:val="-4"/>
          <w:sz w:val="38"/>
        </w:rPr>
        <w:t> </w:t>
      </w:r>
      <w:r>
        <w:rPr>
          <w:sz w:val="38"/>
        </w:rPr>
        <w:t>processes.</w:t>
      </w:r>
    </w:p>
    <w:p>
      <w:pPr>
        <w:pStyle w:val="BodyText"/>
        <w:spacing w:line="276" w:lineRule="auto" w:before="305"/>
        <w:ind w:left="477" w:right="132"/>
        <w:jc w:val="both"/>
      </w:pPr>
      <w:r>
        <w:rPr/>
        <w:t>In various studies (see also ‘Beta-carotene studies’), beta-carotene impressively showed that it can reliably protect the skin from sunburn.</w:t>
      </w:r>
    </w:p>
    <w:p>
      <w:pPr>
        <w:spacing w:after="0" w:line="276" w:lineRule="auto"/>
        <w:jc w:val="both"/>
        <w:sectPr>
          <w:pgSz w:w="14270" w:h="16850"/>
          <w:pgMar w:header="0" w:footer="1891" w:top="1600" w:bottom="2080" w:left="800" w:right="1280"/>
        </w:sectPr>
      </w:pPr>
    </w:p>
    <w:p>
      <w:pPr>
        <w:pStyle w:val="BodyText"/>
        <w:spacing w:line="276" w:lineRule="auto" w:before="181"/>
        <w:ind w:left="477" w:right="137"/>
        <w:jc w:val="both"/>
      </w:pPr>
      <w:r>
        <w:rPr/>
        <w:t>In the Berlin-Eilath study by Professor Gollnick and his staff, holidaymakers were divided into two groups before they left: while one group received a pla- cebo, the other group took 30 mg of beta-carotene ten weeks before they left.</w:t>
      </w:r>
    </w:p>
    <w:p>
      <w:pPr>
        <w:pStyle w:val="BodyText"/>
        <w:spacing w:line="276" w:lineRule="auto" w:before="242"/>
        <w:ind w:left="477" w:right="133"/>
        <w:jc w:val="both"/>
      </w:pPr>
      <w:r>
        <w:rPr/>
        <w:t>In the course of the study, participants did not apply cream to their skin at a particular spot. Furthermore, both groups consumed no other beta-carotene- containing</w:t>
      </w:r>
      <w:r>
        <w:rPr>
          <w:spacing w:val="-19"/>
        </w:rPr>
        <w:t> </w:t>
      </w:r>
      <w:r>
        <w:rPr/>
        <w:t>foods</w:t>
      </w:r>
      <w:r>
        <w:rPr>
          <w:spacing w:val="-17"/>
        </w:rPr>
        <w:t> </w:t>
      </w:r>
      <w:r>
        <w:rPr/>
        <w:t>in</w:t>
      </w:r>
      <w:r>
        <w:rPr>
          <w:spacing w:val="-18"/>
        </w:rPr>
        <w:t> </w:t>
      </w:r>
      <w:r>
        <w:rPr/>
        <w:t>order</w:t>
      </w:r>
      <w:r>
        <w:rPr>
          <w:spacing w:val="-17"/>
        </w:rPr>
        <w:t> </w:t>
      </w:r>
      <w:r>
        <w:rPr/>
        <w:t>not</w:t>
      </w:r>
      <w:r>
        <w:rPr>
          <w:spacing w:val="-18"/>
        </w:rPr>
        <w:t> </w:t>
      </w:r>
      <w:r>
        <w:rPr/>
        <w:t>to</w:t>
      </w:r>
      <w:r>
        <w:rPr>
          <w:spacing w:val="-21"/>
        </w:rPr>
        <w:t> </w:t>
      </w:r>
      <w:r>
        <w:rPr/>
        <w:t>falsify</w:t>
      </w:r>
      <w:r>
        <w:rPr>
          <w:spacing w:val="-18"/>
        </w:rPr>
        <w:t> </w:t>
      </w:r>
      <w:r>
        <w:rPr/>
        <w:t>the</w:t>
      </w:r>
      <w:r>
        <w:rPr>
          <w:spacing w:val="-17"/>
        </w:rPr>
        <w:t> </w:t>
      </w:r>
      <w:r>
        <w:rPr/>
        <w:t>study</w:t>
      </w:r>
      <w:r>
        <w:rPr>
          <w:spacing w:val="-16"/>
        </w:rPr>
        <w:t> </w:t>
      </w:r>
      <w:r>
        <w:rPr/>
        <w:t>results.</w:t>
      </w:r>
      <w:r>
        <w:rPr>
          <w:spacing w:val="-18"/>
        </w:rPr>
        <w:t> </w:t>
      </w:r>
      <w:r>
        <w:rPr/>
        <w:t>After</w:t>
      </w:r>
      <w:r>
        <w:rPr>
          <w:spacing w:val="-18"/>
        </w:rPr>
        <w:t> </w:t>
      </w:r>
      <w:r>
        <w:rPr/>
        <w:t>two</w:t>
      </w:r>
      <w:r>
        <w:rPr>
          <w:spacing w:val="-17"/>
        </w:rPr>
        <w:t> </w:t>
      </w:r>
      <w:r>
        <w:rPr/>
        <w:t>weeks,</w:t>
      </w:r>
      <w:r>
        <w:rPr>
          <w:spacing w:val="-17"/>
        </w:rPr>
        <w:t> </w:t>
      </w:r>
      <w:r>
        <w:rPr/>
        <w:t>it</w:t>
      </w:r>
      <w:r>
        <w:rPr>
          <w:spacing w:val="-19"/>
        </w:rPr>
        <w:t> </w:t>
      </w:r>
      <w:r>
        <w:rPr/>
        <w:t>was clear</w:t>
      </w:r>
      <w:r>
        <w:rPr>
          <w:spacing w:val="-15"/>
        </w:rPr>
        <w:t> </w:t>
      </w:r>
      <w:r>
        <w:rPr/>
        <w:t>that</w:t>
      </w:r>
      <w:r>
        <w:rPr>
          <w:spacing w:val="-14"/>
        </w:rPr>
        <w:t> </w:t>
      </w:r>
      <w:r>
        <w:rPr/>
        <w:t>the</w:t>
      </w:r>
      <w:r>
        <w:rPr>
          <w:spacing w:val="-16"/>
        </w:rPr>
        <w:t> </w:t>
      </w:r>
      <w:r>
        <w:rPr/>
        <w:t>group</w:t>
      </w:r>
      <w:r>
        <w:rPr>
          <w:spacing w:val="-14"/>
        </w:rPr>
        <w:t> </w:t>
      </w:r>
      <w:r>
        <w:rPr/>
        <w:t>that</w:t>
      </w:r>
      <w:r>
        <w:rPr>
          <w:spacing w:val="-14"/>
        </w:rPr>
        <w:t> </w:t>
      </w:r>
      <w:r>
        <w:rPr/>
        <w:t>consumed</w:t>
      </w:r>
      <w:r>
        <w:rPr>
          <w:spacing w:val="-14"/>
        </w:rPr>
        <w:t> </w:t>
      </w:r>
      <w:r>
        <w:rPr/>
        <w:t>beta-carotene</w:t>
      </w:r>
      <w:r>
        <w:rPr>
          <w:spacing w:val="-16"/>
        </w:rPr>
        <w:t> </w:t>
      </w:r>
      <w:r>
        <w:rPr/>
        <w:t>had</w:t>
      </w:r>
      <w:r>
        <w:rPr>
          <w:spacing w:val="-14"/>
        </w:rPr>
        <w:t> </w:t>
      </w:r>
      <w:r>
        <w:rPr/>
        <w:t>significantly</w:t>
      </w:r>
      <w:r>
        <w:rPr>
          <w:spacing w:val="-15"/>
        </w:rPr>
        <w:t> </w:t>
      </w:r>
      <w:r>
        <w:rPr/>
        <w:t>less</w:t>
      </w:r>
      <w:r>
        <w:rPr>
          <w:spacing w:val="-13"/>
        </w:rPr>
        <w:t> </w:t>
      </w:r>
      <w:r>
        <w:rPr/>
        <w:t>skin</w:t>
      </w:r>
      <w:r>
        <w:rPr>
          <w:spacing w:val="-15"/>
        </w:rPr>
        <w:t> </w:t>
      </w:r>
      <w:r>
        <w:rPr/>
        <w:t>red- ness than the control group. The result was scientifically confirmed by special dermatological test methods using a chronometer. Prof. Helmut Sies from the University</w:t>
      </w:r>
      <w:r>
        <w:rPr>
          <w:spacing w:val="-12"/>
        </w:rPr>
        <w:t> </w:t>
      </w:r>
      <w:r>
        <w:rPr/>
        <w:t>Hospital</w:t>
      </w:r>
      <w:r>
        <w:rPr>
          <w:spacing w:val="-13"/>
        </w:rPr>
        <w:t> </w:t>
      </w:r>
      <w:r>
        <w:rPr/>
        <w:t>of</w:t>
      </w:r>
      <w:r>
        <w:rPr>
          <w:spacing w:val="-11"/>
        </w:rPr>
        <w:t> </w:t>
      </w:r>
      <w:r>
        <w:rPr/>
        <w:t>Düsseldorf</w:t>
      </w:r>
      <w:r>
        <w:rPr>
          <w:spacing w:val="-12"/>
        </w:rPr>
        <w:t> </w:t>
      </w:r>
      <w:r>
        <w:rPr/>
        <w:t>confirms</w:t>
      </w:r>
      <w:r>
        <w:rPr>
          <w:spacing w:val="-11"/>
        </w:rPr>
        <w:t> </w:t>
      </w:r>
      <w:r>
        <w:rPr/>
        <w:t>this</w:t>
      </w:r>
      <w:r>
        <w:rPr>
          <w:spacing w:val="-13"/>
        </w:rPr>
        <w:t> </w:t>
      </w:r>
      <w:r>
        <w:rPr/>
        <w:t>with</w:t>
      </w:r>
      <w:r>
        <w:rPr>
          <w:spacing w:val="-11"/>
        </w:rPr>
        <w:t> </w:t>
      </w:r>
      <w:r>
        <w:rPr/>
        <w:t>his</w:t>
      </w:r>
      <w:r>
        <w:rPr>
          <w:spacing w:val="-11"/>
        </w:rPr>
        <w:t> </w:t>
      </w:r>
      <w:r>
        <w:rPr/>
        <w:t>opinion</w:t>
      </w:r>
      <w:r>
        <w:rPr>
          <w:spacing w:val="-14"/>
        </w:rPr>
        <w:t> </w:t>
      </w:r>
      <w:r>
        <w:rPr/>
        <w:t>that</w:t>
      </w:r>
      <w:r>
        <w:rPr>
          <w:spacing w:val="-12"/>
        </w:rPr>
        <w:t> </w:t>
      </w:r>
      <w:r>
        <w:rPr/>
        <w:t>photoox- idative stress can be neutralized by</w:t>
      </w:r>
      <w:r>
        <w:rPr>
          <w:spacing w:val="5"/>
        </w:rPr>
        <w:t> </w:t>
      </w:r>
      <w:r>
        <w:rPr/>
        <w:t>beta-carotene.</w:t>
      </w:r>
    </w:p>
    <w:p>
      <w:pPr>
        <w:pStyle w:val="Heading2"/>
        <w:spacing w:before="238"/>
        <w:jc w:val="both"/>
      </w:pPr>
      <w:r>
        <w:rPr/>
        <w:t>The conclusion of the experts:</w:t>
      </w:r>
    </w:p>
    <w:p>
      <w:pPr>
        <w:pStyle w:val="BodyText"/>
        <w:spacing w:line="276" w:lineRule="auto" w:before="305"/>
        <w:ind w:left="477" w:right="140"/>
        <w:jc w:val="both"/>
      </w:pPr>
      <w:r>
        <w:rPr/>
        <w:t>External UV protection in the form of sun creams is no longer sufficient. Ra- ther, you should take double protection and protect yourself from the inside (with the use of beta-carotene) as well as from the outside with sunscreen.</w:t>
      </w:r>
    </w:p>
    <w:p>
      <w:pPr>
        <w:pStyle w:val="Heading1"/>
        <w:jc w:val="both"/>
      </w:pPr>
      <w:r>
        <w:rPr/>
        <w:t>Recommended intake of beta-carotene as UV protection:</w:t>
      </w:r>
    </w:p>
    <w:p>
      <w:pPr>
        <w:pStyle w:val="BodyText"/>
        <w:spacing w:line="276" w:lineRule="auto" w:before="299"/>
        <w:ind w:left="477" w:right="132"/>
        <w:jc w:val="both"/>
      </w:pPr>
      <w:r>
        <w:rPr/>
        <w:t>According to the study, it is recommended to take 30 mg of beta-carotene for several</w:t>
      </w:r>
      <w:r>
        <w:rPr>
          <w:spacing w:val="-12"/>
        </w:rPr>
        <w:t> </w:t>
      </w:r>
      <w:r>
        <w:rPr/>
        <w:t>weeks</w:t>
      </w:r>
      <w:r>
        <w:rPr>
          <w:spacing w:val="-10"/>
        </w:rPr>
        <w:t> </w:t>
      </w:r>
      <w:r>
        <w:rPr/>
        <w:t>before</w:t>
      </w:r>
      <w:r>
        <w:rPr>
          <w:spacing w:val="-9"/>
        </w:rPr>
        <w:t> </w:t>
      </w:r>
      <w:r>
        <w:rPr/>
        <w:t>your</w:t>
      </w:r>
      <w:r>
        <w:rPr>
          <w:spacing w:val="-13"/>
        </w:rPr>
        <w:t> </w:t>
      </w:r>
      <w:r>
        <w:rPr/>
        <w:t>holiday</w:t>
      </w:r>
      <w:r>
        <w:rPr>
          <w:spacing w:val="-9"/>
        </w:rPr>
        <w:t> </w:t>
      </w:r>
      <w:r>
        <w:rPr/>
        <w:t>(preferably</w:t>
      </w:r>
      <w:r>
        <w:rPr>
          <w:spacing w:val="-13"/>
        </w:rPr>
        <w:t> </w:t>
      </w:r>
      <w:r>
        <w:rPr/>
        <w:t>four)</w:t>
      </w:r>
      <w:r>
        <w:rPr>
          <w:spacing w:val="-10"/>
        </w:rPr>
        <w:t> </w:t>
      </w:r>
      <w:r>
        <w:rPr/>
        <w:t>to</w:t>
      </w:r>
      <w:r>
        <w:rPr>
          <w:spacing w:val="-11"/>
        </w:rPr>
        <w:t> </w:t>
      </w:r>
      <w:r>
        <w:rPr/>
        <w:t>build</w:t>
      </w:r>
      <w:r>
        <w:rPr>
          <w:spacing w:val="-12"/>
        </w:rPr>
        <w:t> </w:t>
      </w:r>
      <w:r>
        <w:rPr/>
        <w:t>up</w:t>
      </w:r>
      <w:r>
        <w:rPr>
          <w:spacing w:val="-10"/>
        </w:rPr>
        <w:t> </w:t>
      </w:r>
      <w:r>
        <w:rPr/>
        <w:t>a</w:t>
      </w:r>
      <w:r>
        <w:rPr>
          <w:spacing w:val="-11"/>
        </w:rPr>
        <w:t> </w:t>
      </w:r>
      <w:r>
        <w:rPr/>
        <w:t>corresponding plasma level in the body and to be able to start the holiday with adequate pro- tection.</w:t>
      </w:r>
    </w:p>
    <w:p>
      <w:pPr>
        <w:pStyle w:val="Heading1"/>
        <w:spacing w:before="223"/>
        <w:jc w:val="both"/>
      </w:pPr>
      <w:r>
        <w:rPr/>
        <w:t>Recommended intake for beta-carotene</w:t>
      </w:r>
    </w:p>
    <w:p>
      <w:pPr>
        <w:spacing w:after="0"/>
        <w:jc w:val="both"/>
        <w:sectPr>
          <w:pgSz w:w="14270" w:h="16850"/>
          <w:pgMar w:header="0" w:footer="1891" w:top="1600" w:bottom="2080" w:left="800" w:right="1280"/>
        </w:sectPr>
      </w:pPr>
    </w:p>
    <w:p>
      <w:pPr>
        <w:pStyle w:val="BodyText"/>
        <w:spacing w:line="276" w:lineRule="auto" w:before="181"/>
        <w:ind w:left="477" w:right="133"/>
        <w:jc w:val="both"/>
      </w:pPr>
      <w:r>
        <w:rPr/>
        <w:t>While the German Nutrition Society is silent on this topic and does not give a separate recommendation for beta-carotene, in the Netherlands, for example,</w:t>
      </w:r>
    </w:p>
    <w:p>
      <w:pPr>
        <w:pStyle w:val="BodyText"/>
        <w:spacing w:line="276" w:lineRule="auto" w:before="1"/>
        <w:ind w:left="477" w:right="135"/>
        <w:jc w:val="both"/>
      </w:pPr>
      <w:r>
        <w:rPr/>
        <w:t>2.4</w:t>
      </w:r>
      <w:r>
        <w:rPr>
          <w:spacing w:val="-7"/>
        </w:rPr>
        <w:t> </w:t>
      </w:r>
      <w:r>
        <w:rPr/>
        <w:t>mg</w:t>
      </w:r>
      <w:r>
        <w:rPr>
          <w:spacing w:val="-5"/>
        </w:rPr>
        <w:t> </w:t>
      </w:r>
      <w:r>
        <w:rPr/>
        <w:t>of</w:t>
      </w:r>
      <w:r>
        <w:rPr>
          <w:spacing w:val="-6"/>
        </w:rPr>
        <w:t> </w:t>
      </w:r>
      <w:r>
        <w:rPr/>
        <w:t>beta-carotene</w:t>
      </w:r>
      <w:r>
        <w:rPr>
          <w:spacing w:val="-5"/>
        </w:rPr>
        <w:t> </w:t>
      </w:r>
      <w:r>
        <w:rPr/>
        <w:t>per</w:t>
      </w:r>
      <w:r>
        <w:rPr>
          <w:spacing w:val="-6"/>
        </w:rPr>
        <w:t> </w:t>
      </w:r>
      <w:r>
        <w:rPr/>
        <w:t>day</w:t>
      </w:r>
      <w:r>
        <w:rPr>
          <w:spacing w:val="-6"/>
        </w:rPr>
        <w:t> </w:t>
      </w:r>
      <w:r>
        <w:rPr/>
        <w:t>is</w:t>
      </w:r>
      <w:r>
        <w:rPr>
          <w:spacing w:val="-6"/>
        </w:rPr>
        <w:t> </w:t>
      </w:r>
      <w:r>
        <w:rPr/>
        <w:t>recommended.</w:t>
      </w:r>
      <w:r>
        <w:rPr>
          <w:spacing w:val="-8"/>
        </w:rPr>
        <w:t> </w:t>
      </w:r>
      <w:r>
        <w:rPr/>
        <w:t>In</w:t>
      </w:r>
      <w:r>
        <w:rPr>
          <w:spacing w:val="-5"/>
        </w:rPr>
        <w:t> </w:t>
      </w:r>
      <w:r>
        <w:rPr/>
        <w:t>the</w:t>
      </w:r>
      <w:r>
        <w:rPr>
          <w:spacing w:val="-5"/>
        </w:rPr>
        <w:t> </w:t>
      </w:r>
      <w:r>
        <w:rPr/>
        <w:t>US,</w:t>
      </w:r>
      <w:r>
        <w:rPr>
          <w:spacing w:val="-5"/>
        </w:rPr>
        <w:t> </w:t>
      </w:r>
      <w:r>
        <w:rPr/>
        <w:t>the</w:t>
      </w:r>
      <w:r>
        <w:rPr>
          <w:spacing w:val="-8"/>
        </w:rPr>
        <w:t> </w:t>
      </w:r>
      <w:r>
        <w:rPr/>
        <w:t>National</w:t>
      </w:r>
      <w:r>
        <w:rPr>
          <w:spacing w:val="-8"/>
        </w:rPr>
        <w:t> </w:t>
      </w:r>
      <w:r>
        <w:rPr/>
        <w:t>Can- cer Institute (NCI) recommends 6 mg a day. Most vitamin researchers,</w:t>
      </w:r>
      <w:r>
        <w:rPr>
          <w:spacing w:val="-53"/>
        </w:rPr>
        <w:t> </w:t>
      </w:r>
      <w:r>
        <w:rPr/>
        <w:t>accord- ing to Prof. Diplock, recommend a daily amount of carotenoids of 15 mg or at least 20-30 mg of beta-carotene every other</w:t>
      </w:r>
      <w:r>
        <w:rPr>
          <w:spacing w:val="1"/>
        </w:rPr>
        <w:t> </w:t>
      </w:r>
      <w:r>
        <w:rPr/>
        <w:t>day.</w:t>
      </w:r>
    </w:p>
    <w:p>
      <w:pPr>
        <w:pStyle w:val="BodyText"/>
        <w:spacing w:line="276" w:lineRule="auto" w:before="240"/>
        <w:ind w:left="477" w:right="132"/>
        <w:jc w:val="both"/>
      </w:pPr>
      <w:r>
        <w:rPr/>
        <w:t>The preventive effect of beta-carotene, according to Prof. Biesalski, is best at plasma levels of 0.5 μmol/l or higher.</w:t>
      </w:r>
      <w:r>
        <w:rPr>
          <w:position w:val="9"/>
          <w:sz w:val="25"/>
        </w:rPr>
        <w:t>137 </w:t>
      </w:r>
      <w:r>
        <w:rPr/>
        <w:t>To achieve such a value, a daily intake of 2 to 5 mg beta-carotene is needed.</w:t>
      </w:r>
    </w:p>
    <w:p>
      <w:pPr>
        <w:pStyle w:val="BodyText"/>
        <w:rPr>
          <w:sz w:val="42"/>
        </w:rPr>
      </w:pPr>
    </w:p>
    <w:p>
      <w:pPr>
        <w:pStyle w:val="BodyText"/>
        <w:spacing w:before="11"/>
        <w:rPr>
          <w:sz w:val="42"/>
        </w:rPr>
      </w:pPr>
    </w:p>
    <w:p>
      <w:pPr>
        <w:pStyle w:val="Heading1"/>
        <w:spacing w:before="0"/>
      </w:pPr>
      <w:r>
        <w:rPr/>
        <w:t>Beta-carotene deficiency</w:t>
      </w:r>
    </w:p>
    <w:p>
      <w:pPr>
        <w:pStyle w:val="Heading2"/>
        <w:spacing w:before="297"/>
      </w:pPr>
      <w:r>
        <w:rPr/>
        <w:t>When is beta-carotene deficiency present?</w:t>
      </w:r>
    </w:p>
    <w:p>
      <w:pPr>
        <w:pStyle w:val="BodyText"/>
        <w:spacing w:line="276" w:lineRule="auto" w:before="304"/>
        <w:ind w:left="477" w:right="134"/>
        <w:jc w:val="both"/>
      </w:pPr>
      <w:r>
        <w:rPr/>
        <w:t>A</w:t>
      </w:r>
      <w:r>
        <w:rPr>
          <w:spacing w:val="-22"/>
        </w:rPr>
        <w:t> </w:t>
      </w:r>
      <w:r>
        <w:rPr/>
        <w:t>beta-carotene</w:t>
      </w:r>
      <w:r>
        <w:rPr>
          <w:spacing w:val="-23"/>
        </w:rPr>
        <w:t> </w:t>
      </w:r>
      <w:r>
        <w:rPr/>
        <w:t>deficiency</w:t>
      </w:r>
      <w:r>
        <w:rPr>
          <w:spacing w:val="-20"/>
        </w:rPr>
        <w:t> </w:t>
      </w:r>
      <w:r>
        <w:rPr/>
        <w:t>is</w:t>
      </w:r>
      <w:r>
        <w:rPr>
          <w:spacing w:val="-24"/>
        </w:rPr>
        <w:t> </w:t>
      </w:r>
      <w:r>
        <w:rPr/>
        <w:t>rare,</w:t>
      </w:r>
      <w:r>
        <w:rPr>
          <w:spacing w:val="-21"/>
        </w:rPr>
        <w:t> </w:t>
      </w:r>
      <w:r>
        <w:rPr/>
        <w:t>but</w:t>
      </w:r>
      <w:r>
        <w:rPr>
          <w:spacing w:val="-23"/>
        </w:rPr>
        <w:t> </w:t>
      </w:r>
      <w:r>
        <w:rPr/>
        <w:t>vitamin</w:t>
      </w:r>
      <w:r>
        <w:rPr>
          <w:spacing w:val="-21"/>
        </w:rPr>
        <w:t> </w:t>
      </w:r>
      <w:r>
        <w:rPr/>
        <w:t>A</w:t>
      </w:r>
      <w:r>
        <w:rPr>
          <w:spacing w:val="-21"/>
        </w:rPr>
        <w:t> </w:t>
      </w:r>
      <w:r>
        <w:rPr/>
        <w:t>deficiency</w:t>
      </w:r>
      <w:r>
        <w:rPr>
          <w:spacing w:val="-21"/>
        </w:rPr>
        <w:t> </w:t>
      </w:r>
      <w:r>
        <w:rPr/>
        <w:t>is</w:t>
      </w:r>
      <w:r>
        <w:rPr>
          <w:spacing w:val="-23"/>
        </w:rPr>
        <w:t> </w:t>
      </w:r>
      <w:r>
        <w:rPr/>
        <w:t>the</w:t>
      </w:r>
      <w:r>
        <w:rPr>
          <w:spacing w:val="-24"/>
        </w:rPr>
        <w:t> </w:t>
      </w:r>
      <w:r>
        <w:rPr/>
        <w:t>most</w:t>
      </w:r>
      <w:r>
        <w:rPr>
          <w:spacing w:val="-21"/>
        </w:rPr>
        <w:t> </w:t>
      </w:r>
      <w:r>
        <w:rPr/>
        <w:t>common vitamin deficiency worldwide. Since beta-carotene is a precursor to vitamin A (retinol), vitamin A deficiency can be equated with beta-carotene</w:t>
      </w:r>
      <w:r>
        <w:rPr>
          <w:spacing w:val="-11"/>
        </w:rPr>
        <w:t> </w:t>
      </w:r>
      <w:r>
        <w:rPr/>
        <w:t>deficiency.</w:t>
      </w:r>
    </w:p>
    <w:p>
      <w:pPr>
        <w:pStyle w:val="Heading1"/>
        <w:jc w:val="both"/>
      </w:pPr>
      <w:r>
        <w:rPr/>
        <w:t>Symptoms</w:t>
      </w:r>
      <w:r>
        <w:rPr>
          <w:spacing w:val="-53"/>
        </w:rPr>
        <w:t> </w:t>
      </w:r>
      <w:r>
        <w:rPr/>
        <w:t>of</w:t>
      </w:r>
      <w:r>
        <w:rPr>
          <w:spacing w:val="-52"/>
        </w:rPr>
        <w:t> </w:t>
      </w:r>
      <w:r>
        <w:rPr/>
        <w:t>vitamin</w:t>
      </w:r>
      <w:r>
        <w:rPr>
          <w:spacing w:val="-53"/>
        </w:rPr>
        <w:t> </w:t>
      </w:r>
      <w:r>
        <w:rPr/>
        <w:t>A</w:t>
      </w:r>
      <w:r>
        <w:rPr>
          <w:spacing w:val="-52"/>
        </w:rPr>
        <w:t> </w:t>
      </w:r>
      <w:r>
        <w:rPr/>
        <w:t>deficiency</w:t>
      </w:r>
      <w:r>
        <w:rPr>
          <w:spacing w:val="-52"/>
        </w:rPr>
        <w:t> </w:t>
      </w:r>
      <w:r>
        <w:rPr/>
        <w:t>(based</w:t>
      </w:r>
      <w:r>
        <w:rPr>
          <w:spacing w:val="-53"/>
        </w:rPr>
        <w:t> </w:t>
      </w:r>
      <w:r>
        <w:rPr/>
        <w:t>on</w:t>
      </w:r>
      <w:r>
        <w:rPr>
          <w:spacing w:val="-51"/>
        </w:rPr>
        <w:t> </w:t>
      </w:r>
      <w:r>
        <w:rPr/>
        <w:t>beta-carotene</w:t>
      </w:r>
      <w:r>
        <w:rPr>
          <w:spacing w:val="-52"/>
        </w:rPr>
        <w:t> </w:t>
      </w:r>
      <w:r>
        <w:rPr/>
        <w:t>deficiency)</w:t>
      </w:r>
    </w:p>
    <w:p>
      <w:pPr>
        <w:pStyle w:val="BodyText"/>
        <w:spacing w:before="300"/>
        <w:ind w:left="477"/>
        <w:jc w:val="both"/>
      </w:pPr>
      <w:r>
        <w:rPr/>
        <w:t>Symptoms of vitamin A deficiency/beta-carotene deficiency include:</w:t>
      </w:r>
    </w:p>
    <w:p>
      <w:pPr>
        <w:pStyle w:val="BodyText"/>
        <w:rPr>
          <w:sz w:val="20"/>
        </w:rPr>
      </w:pPr>
    </w:p>
    <w:p>
      <w:pPr>
        <w:pStyle w:val="BodyText"/>
        <w:rPr>
          <w:sz w:val="20"/>
        </w:rPr>
      </w:pPr>
    </w:p>
    <w:p>
      <w:pPr>
        <w:pStyle w:val="BodyText"/>
        <w:spacing w:before="3"/>
        <w:rPr>
          <w:sz w:val="26"/>
        </w:rPr>
      </w:pPr>
      <w:r>
        <w:rPr/>
        <w:pict>
          <v:line style="position:absolute;mso-position-horizontal-relative:page;mso-position-vertical-relative:paragraph;z-index:1160;mso-wrap-distance-left:0;mso-wrap-distance-right:0" from="63.863998pt,17.164986pt" to="207.883998pt,17.164986pt" stroked="true" strokeweight=".72003pt" strokecolor="#000000">
            <v:stroke dashstyle="solid"/>
            <w10:wrap type="topAndBottom"/>
          </v:line>
        </w:pict>
      </w:r>
    </w:p>
    <w:p>
      <w:pPr>
        <w:pStyle w:val="BodyText"/>
        <w:spacing w:before="7"/>
        <w:rPr>
          <w:sz w:val="18"/>
        </w:rPr>
      </w:pPr>
    </w:p>
    <w:p>
      <w:pPr>
        <w:spacing w:line="273" w:lineRule="auto" w:before="99"/>
        <w:ind w:left="477" w:right="0" w:firstLine="0"/>
        <w:jc w:val="left"/>
        <w:rPr>
          <w:sz w:val="20"/>
        </w:rPr>
      </w:pPr>
      <w:r>
        <w:rPr>
          <w:position w:val="5"/>
          <w:sz w:val="13"/>
        </w:rPr>
        <w:t>137 </w:t>
      </w:r>
      <w:r>
        <w:rPr>
          <w:sz w:val="20"/>
        </w:rPr>
        <w:t>Maria-Elisabeth Lange-Ernst: Einfach gesund bleiben – warum L-Carnitin für Frauen so wichtig ist (‘Just Stay Healthy - Why L-Carnitine is So Important for Women’), 2nd Edition, 2005, p. 30 f.</w:t>
      </w:r>
    </w:p>
    <w:p>
      <w:pPr>
        <w:spacing w:after="0" w:line="273" w:lineRule="auto"/>
        <w:jc w:val="left"/>
        <w:rPr>
          <w:sz w:val="20"/>
        </w:rPr>
        <w:sectPr>
          <w:pgSz w:w="14270" w:h="16850"/>
          <w:pgMar w:header="0" w:footer="1891" w:top="1600" w:bottom="2080" w:left="800" w:right="1280"/>
        </w:sectPr>
      </w:pPr>
    </w:p>
    <w:p>
      <w:pPr>
        <w:pStyle w:val="BodyText"/>
        <w:spacing w:before="10"/>
        <w:rPr>
          <w:sz w:val="8"/>
        </w:rPr>
      </w:pPr>
    </w:p>
    <w:p>
      <w:pPr>
        <w:pStyle w:val="ListParagraph"/>
        <w:numPr>
          <w:ilvl w:val="0"/>
          <w:numId w:val="24"/>
        </w:numPr>
        <w:tabs>
          <w:tab w:pos="1156" w:val="left" w:leader="none"/>
          <w:tab w:pos="1157" w:val="left" w:leader="none"/>
        </w:tabs>
        <w:spacing w:line="240" w:lineRule="auto" w:before="83" w:after="0"/>
        <w:ind w:left="1156" w:right="0" w:hanging="360"/>
        <w:jc w:val="left"/>
        <w:rPr>
          <w:sz w:val="38"/>
        </w:rPr>
      </w:pPr>
      <w:r>
        <w:rPr>
          <w:sz w:val="38"/>
        </w:rPr>
        <w:t>growth defects</w:t>
      </w:r>
    </w:p>
    <w:p>
      <w:pPr>
        <w:pStyle w:val="ListParagraph"/>
        <w:numPr>
          <w:ilvl w:val="0"/>
          <w:numId w:val="24"/>
        </w:numPr>
        <w:tabs>
          <w:tab w:pos="1156" w:val="left" w:leader="none"/>
          <w:tab w:pos="1157" w:val="left" w:leader="none"/>
        </w:tabs>
        <w:spacing w:line="240" w:lineRule="auto" w:before="64" w:after="0"/>
        <w:ind w:left="1156" w:right="0" w:hanging="360"/>
        <w:jc w:val="left"/>
        <w:rPr>
          <w:sz w:val="38"/>
        </w:rPr>
      </w:pPr>
      <w:r>
        <w:rPr>
          <w:sz w:val="38"/>
        </w:rPr>
        <w:t>susceptibility to</w:t>
      </w:r>
      <w:r>
        <w:rPr>
          <w:spacing w:val="1"/>
          <w:sz w:val="38"/>
        </w:rPr>
        <w:t> </w:t>
      </w:r>
      <w:r>
        <w:rPr>
          <w:sz w:val="38"/>
        </w:rPr>
        <w:t>infection</w:t>
      </w:r>
    </w:p>
    <w:p>
      <w:pPr>
        <w:pStyle w:val="ListParagraph"/>
        <w:numPr>
          <w:ilvl w:val="0"/>
          <w:numId w:val="24"/>
        </w:numPr>
        <w:tabs>
          <w:tab w:pos="1156" w:val="left" w:leader="none"/>
          <w:tab w:pos="1157" w:val="left" w:leader="none"/>
        </w:tabs>
        <w:spacing w:line="240" w:lineRule="auto" w:before="66" w:after="0"/>
        <w:ind w:left="1156" w:right="0" w:hanging="360"/>
        <w:jc w:val="left"/>
        <w:rPr>
          <w:sz w:val="38"/>
        </w:rPr>
      </w:pPr>
      <w:r>
        <w:rPr>
          <w:sz w:val="38"/>
        </w:rPr>
        <w:t>dry skin</w:t>
      </w:r>
    </w:p>
    <w:p>
      <w:pPr>
        <w:pStyle w:val="ListParagraph"/>
        <w:numPr>
          <w:ilvl w:val="0"/>
          <w:numId w:val="24"/>
        </w:numPr>
        <w:tabs>
          <w:tab w:pos="1156" w:val="left" w:leader="none"/>
          <w:tab w:pos="1157" w:val="left" w:leader="none"/>
        </w:tabs>
        <w:spacing w:line="240" w:lineRule="auto" w:before="63" w:after="0"/>
        <w:ind w:left="1156" w:right="0" w:hanging="360"/>
        <w:jc w:val="left"/>
        <w:rPr>
          <w:sz w:val="38"/>
        </w:rPr>
      </w:pPr>
      <w:r>
        <w:rPr>
          <w:sz w:val="38"/>
        </w:rPr>
        <w:t>acne</w:t>
      </w:r>
    </w:p>
    <w:p>
      <w:pPr>
        <w:pStyle w:val="ListParagraph"/>
        <w:numPr>
          <w:ilvl w:val="0"/>
          <w:numId w:val="24"/>
        </w:numPr>
        <w:tabs>
          <w:tab w:pos="1156" w:val="left" w:leader="none"/>
          <w:tab w:pos="1157" w:val="left" w:leader="none"/>
        </w:tabs>
        <w:spacing w:line="240" w:lineRule="auto" w:before="64" w:after="0"/>
        <w:ind w:left="1156" w:right="0" w:hanging="360"/>
        <w:jc w:val="left"/>
        <w:rPr>
          <w:sz w:val="38"/>
        </w:rPr>
      </w:pPr>
      <w:r>
        <w:rPr>
          <w:sz w:val="38"/>
        </w:rPr>
        <w:t>poor eyesight</w:t>
      </w:r>
    </w:p>
    <w:p>
      <w:pPr>
        <w:pStyle w:val="ListParagraph"/>
        <w:numPr>
          <w:ilvl w:val="0"/>
          <w:numId w:val="24"/>
        </w:numPr>
        <w:tabs>
          <w:tab w:pos="1156" w:val="left" w:leader="none"/>
          <w:tab w:pos="1157" w:val="left" w:leader="none"/>
        </w:tabs>
        <w:spacing w:line="240" w:lineRule="auto" w:before="63" w:after="0"/>
        <w:ind w:left="1156" w:right="0" w:hanging="360"/>
        <w:jc w:val="left"/>
        <w:rPr>
          <w:sz w:val="38"/>
        </w:rPr>
      </w:pPr>
      <w:r>
        <w:rPr>
          <w:sz w:val="38"/>
        </w:rPr>
        <w:t>night blindness</w:t>
      </w:r>
    </w:p>
    <w:p>
      <w:pPr>
        <w:pStyle w:val="ListParagraph"/>
        <w:numPr>
          <w:ilvl w:val="0"/>
          <w:numId w:val="24"/>
        </w:numPr>
        <w:tabs>
          <w:tab w:pos="1156" w:val="left" w:leader="none"/>
          <w:tab w:pos="1157" w:val="left" w:leader="none"/>
        </w:tabs>
        <w:spacing w:line="240" w:lineRule="auto" w:before="65" w:after="0"/>
        <w:ind w:left="1156" w:right="0" w:hanging="360"/>
        <w:jc w:val="left"/>
        <w:rPr>
          <w:sz w:val="38"/>
        </w:rPr>
      </w:pPr>
      <w:r>
        <w:rPr>
          <w:sz w:val="38"/>
        </w:rPr>
        <w:t>cataracts</w:t>
      </w:r>
    </w:p>
    <w:p>
      <w:pPr>
        <w:pStyle w:val="ListParagraph"/>
        <w:numPr>
          <w:ilvl w:val="0"/>
          <w:numId w:val="24"/>
        </w:numPr>
        <w:tabs>
          <w:tab w:pos="1156" w:val="left" w:leader="none"/>
          <w:tab w:pos="1157" w:val="left" w:leader="none"/>
        </w:tabs>
        <w:spacing w:line="240" w:lineRule="auto" w:before="66" w:after="0"/>
        <w:ind w:left="1156" w:right="0" w:hanging="360"/>
        <w:jc w:val="left"/>
        <w:rPr>
          <w:sz w:val="38"/>
        </w:rPr>
      </w:pPr>
      <w:r>
        <w:rPr>
          <w:sz w:val="38"/>
        </w:rPr>
        <w:t>disruption of senses (hearing, smell,</w:t>
      </w:r>
      <w:r>
        <w:rPr>
          <w:spacing w:val="4"/>
          <w:sz w:val="38"/>
        </w:rPr>
        <w:t> </w:t>
      </w:r>
      <w:r>
        <w:rPr>
          <w:sz w:val="38"/>
        </w:rPr>
        <w:t>taste)</w:t>
      </w:r>
    </w:p>
    <w:p>
      <w:pPr>
        <w:pStyle w:val="ListParagraph"/>
        <w:numPr>
          <w:ilvl w:val="0"/>
          <w:numId w:val="24"/>
        </w:numPr>
        <w:tabs>
          <w:tab w:pos="1156" w:val="left" w:leader="none"/>
          <w:tab w:pos="1157" w:val="left" w:leader="none"/>
        </w:tabs>
        <w:spacing w:line="273" w:lineRule="auto" w:before="63" w:after="0"/>
        <w:ind w:left="1156" w:right="158" w:hanging="360"/>
        <w:jc w:val="left"/>
        <w:rPr>
          <w:sz w:val="38"/>
        </w:rPr>
      </w:pPr>
      <w:r>
        <w:rPr>
          <w:sz w:val="38"/>
        </w:rPr>
        <w:t>higher risk of cancer especially breast cancer, prostate cancer, lung cancer, uterine cancer, colon</w:t>
      </w:r>
      <w:r>
        <w:rPr>
          <w:spacing w:val="2"/>
          <w:sz w:val="38"/>
        </w:rPr>
        <w:t> </w:t>
      </w:r>
      <w:r>
        <w:rPr>
          <w:sz w:val="38"/>
        </w:rPr>
        <w:t>carcinoma</w:t>
      </w:r>
    </w:p>
    <w:p>
      <w:pPr>
        <w:pStyle w:val="ListParagraph"/>
        <w:numPr>
          <w:ilvl w:val="0"/>
          <w:numId w:val="24"/>
        </w:numPr>
        <w:tabs>
          <w:tab w:pos="1156" w:val="left" w:leader="none"/>
          <w:tab w:pos="1157" w:val="left" w:leader="none"/>
        </w:tabs>
        <w:spacing w:line="240" w:lineRule="auto" w:before="7" w:after="0"/>
        <w:ind w:left="1156" w:right="0" w:hanging="360"/>
        <w:jc w:val="left"/>
        <w:rPr>
          <w:sz w:val="38"/>
        </w:rPr>
      </w:pPr>
      <w:r>
        <w:rPr>
          <w:sz w:val="38"/>
        </w:rPr>
        <w:t>possibly higher risk of cardiovascular</w:t>
      </w:r>
      <w:r>
        <w:rPr>
          <w:spacing w:val="-5"/>
          <w:sz w:val="38"/>
        </w:rPr>
        <w:t> </w:t>
      </w:r>
      <w:r>
        <w:rPr>
          <w:sz w:val="38"/>
        </w:rPr>
        <w:t>disease</w:t>
      </w:r>
    </w:p>
    <w:p>
      <w:pPr>
        <w:pStyle w:val="BodyText"/>
        <w:spacing w:line="276" w:lineRule="auto" w:before="262"/>
        <w:ind w:left="477" w:right="133"/>
        <w:jc w:val="both"/>
      </w:pPr>
      <w:r>
        <w:rPr/>
        <w:t>To measure the beta-carotene level in the body, high pressure liquid chroma- tography,</w:t>
      </w:r>
      <w:r>
        <w:rPr>
          <w:spacing w:val="-12"/>
        </w:rPr>
        <w:t> </w:t>
      </w:r>
      <w:r>
        <w:rPr/>
        <w:t>so-called</w:t>
      </w:r>
      <w:r>
        <w:rPr>
          <w:spacing w:val="-11"/>
        </w:rPr>
        <w:t> </w:t>
      </w:r>
      <w:r>
        <w:rPr/>
        <w:t>HPLC,</w:t>
      </w:r>
      <w:r>
        <w:rPr>
          <w:spacing w:val="-12"/>
        </w:rPr>
        <w:t> </w:t>
      </w:r>
      <w:r>
        <w:rPr/>
        <w:t>is</w:t>
      </w:r>
      <w:r>
        <w:rPr>
          <w:spacing w:val="-12"/>
        </w:rPr>
        <w:t> </w:t>
      </w:r>
      <w:r>
        <w:rPr/>
        <w:t>used.</w:t>
      </w:r>
      <w:r>
        <w:rPr>
          <w:spacing w:val="-12"/>
        </w:rPr>
        <w:t> </w:t>
      </w:r>
      <w:r>
        <w:rPr/>
        <w:t>According</w:t>
      </w:r>
      <w:r>
        <w:rPr>
          <w:spacing w:val="-9"/>
        </w:rPr>
        <w:t> </w:t>
      </w:r>
      <w:r>
        <w:rPr/>
        <w:t>to</w:t>
      </w:r>
      <w:r>
        <w:rPr>
          <w:spacing w:val="-14"/>
        </w:rPr>
        <w:t> </w:t>
      </w:r>
      <w:r>
        <w:rPr/>
        <w:t>Prof.</w:t>
      </w:r>
      <w:r>
        <w:rPr>
          <w:spacing w:val="-12"/>
        </w:rPr>
        <w:t> </w:t>
      </w:r>
      <w:r>
        <w:rPr/>
        <w:t>H.K.</w:t>
      </w:r>
      <w:r>
        <w:rPr>
          <w:spacing w:val="-11"/>
        </w:rPr>
        <w:t> </w:t>
      </w:r>
      <w:r>
        <w:rPr/>
        <w:t>Biesalski,</w:t>
      </w:r>
      <w:r>
        <w:rPr>
          <w:spacing w:val="-12"/>
        </w:rPr>
        <w:t> </w:t>
      </w:r>
      <w:r>
        <w:rPr/>
        <w:t>the</w:t>
      </w:r>
      <w:r>
        <w:rPr>
          <w:spacing w:val="-11"/>
        </w:rPr>
        <w:t> </w:t>
      </w:r>
      <w:r>
        <w:rPr/>
        <w:t>mean beta-carotene plasma level is 0.3 to 0.6 μmol/l. It is a value that is subject to seasonal</w:t>
      </w:r>
      <w:r>
        <w:rPr>
          <w:spacing w:val="-2"/>
        </w:rPr>
        <w:t> </w:t>
      </w:r>
      <w:r>
        <w:rPr/>
        <w:t>fluctuations.</w:t>
      </w: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7"/>
        </w:rPr>
      </w:pPr>
    </w:p>
    <w:p>
      <w:pPr>
        <w:pStyle w:val="Heading1"/>
        <w:spacing w:before="0"/>
        <w:jc w:val="both"/>
      </w:pPr>
      <w:r>
        <w:rPr/>
        <w:t>How much beta-carotene must be taken to achieve this value?</w:t>
      </w:r>
    </w:p>
    <w:p>
      <w:pPr>
        <w:pStyle w:val="BodyText"/>
        <w:spacing w:before="299"/>
        <w:ind w:left="477"/>
        <w:jc w:val="both"/>
      </w:pPr>
      <w:r>
        <w:rPr/>
        <w:t>To achieve a value of 0.5 μmol/l, a daily intake of 2 to 5 mg of beta-carotene is</w:t>
      </w:r>
    </w:p>
    <w:p>
      <w:pPr>
        <w:spacing w:after="0"/>
        <w:jc w:val="both"/>
        <w:sectPr>
          <w:pgSz w:w="14270" w:h="16850"/>
          <w:pgMar w:header="0" w:footer="1891" w:top="1600" w:bottom="2080" w:left="800" w:right="1280"/>
        </w:sectPr>
      </w:pPr>
    </w:p>
    <w:p>
      <w:pPr>
        <w:pStyle w:val="BodyText"/>
        <w:spacing w:line="276" w:lineRule="auto" w:before="181"/>
        <w:ind w:left="477" w:right="133"/>
        <w:jc w:val="both"/>
      </w:pPr>
      <w:r>
        <w:rPr/>
        <w:t>necessary. In practice, it is far from easy to reach these levels with the help of natural</w:t>
      </w:r>
      <w:r>
        <w:rPr>
          <w:spacing w:val="-19"/>
        </w:rPr>
        <w:t> </w:t>
      </w:r>
      <w:r>
        <w:rPr/>
        <w:t>food,</w:t>
      </w:r>
      <w:r>
        <w:rPr>
          <w:spacing w:val="-18"/>
        </w:rPr>
        <w:t> </w:t>
      </w:r>
      <w:r>
        <w:rPr/>
        <w:t>because</w:t>
      </w:r>
      <w:r>
        <w:rPr>
          <w:spacing w:val="-18"/>
        </w:rPr>
        <w:t> </w:t>
      </w:r>
      <w:r>
        <w:rPr/>
        <w:t>starting</w:t>
      </w:r>
      <w:r>
        <w:rPr>
          <w:spacing w:val="-18"/>
        </w:rPr>
        <w:t> </w:t>
      </w:r>
      <w:r>
        <w:rPr/>
        <w:t>from</w:t>
      </w:r>
      <w:r>
        <w:rPr>
          <w:spacing w:val="-18"/>
        </w:rPr>
        <w:t> </w:t>
      </w:r>
      <w:r>
        <w:rPr/>
        <w:t>75</w:t>
      </w:r>
      <w:r>
        <w:rPr>
          <w:spacing w:val="-18"/>
        </w:rPr>
        <w:t> </w:t>
      </w:r>
      <w:r>
        <w:rPr/>
        <w:t>kg</w:t>
      </w:r>
      <w:r>
        <w:rPr>
          <w:spacing w:val="-18"/>
        </w:rPr>
        <w:t> </w:t>
      </w:r>
      <w:r>
        <w:rPr/>
        <w:t>of</w:t>
      </w:r>
      <w:r>
        <w:rPr>
          <w:spacing w:val="-18"/>
        </w:rPr>
        <w:t> </w:t>
      </w:r>
      <w:r>
        <w:rPr/>
        <w:t>vegetables</w:t>
      </w:r>
      <w:r>
        <w:rPr>
          <w:spacing w:val="-17"/>
        </w:rPr>
        <w:t> </w:t>
      </w:r>
      <w:r>
        <w:rPr/>
        <w:t>and</w:t>
      </w:r>
      <w:r>
        <w:rPr>
          <w:spacing w:val="-18"/>
        </w:rPr>
        <w:t> </w:t>
      </w:r>
      <w:r>
        <w:rPr/>
        <w:t>85</w:t>
      </w:r>
      <w:r>
        <w:rPr>
          <w:spacing w:val="-18"/>
        </w:rPr>
        <w:t> </w:t>
      </w:r>
      <w:r>
        <w:rPr/>
        <w:t>kg</w:t>
      </w:r>
      <w:r>
        <w:rPr>
          <w:spacing w:val="-18"/>
        </w:rPr>
        <w:t> </w:t>
      </w:r>
      <w:r>
        <w:rPr/>
        <w:t>of</w:t>
      </w:r>
      <w:r>
        <w:rPr>
          <w:spacing w:val="-18"/>
        </w:rPr>
        <w:t> </w:t>
      </w:r>
      <w:r>
        <w:rPr/>
        <w:t>fruit,</w:t>
      </w:r>
      <w:r>
        <w:rPr>
          <w:spacing w:val="-18"/>
        </w:rPr>
        <w:t> </w:t>
      </w:r>
      <w:r>
        <w:rPr/>
        <w:t>which for example Germans consume on average every year, a maximum of 1 mg of beta-carotene is obtained from the vegetable intake and to 0.5 mg in the form of consumed fruit. In addition, vitamin losses due to long periods of storage and</w:t>
      </w:r>
      <w:r>
        <w:rPr>
          <w:spacing w:val="-16"/>
        </w:rPr>
        <w:t> </w:t>
      </w:r>
      <w:r>
        <w:rPr/>
        <w:t>transportation,</w:t>
      </w:r>
      <w:r>
        <w:rPr>
          <w:spacing w:val="-17"/>
        </w:rPr>
        <w:t> </w:t>
      </w:r>
      <w:r>
        <w:rPr/>
        <w:t>growth</w:t>
      </w:r>
      <w:r>
        <w:rPr>
          <w:spacing w:val="-18"/>
        </w:rPr>
        <w:t> </w:t>
      </w:r>
      <w:r>
        <w:rPr/>
        <w:t>promoters,</w:t>
      </w:r>
      <w:r>
        <w:rPr>
          <w:spacing w:val="-14"/>
        </w:rPr>
        <w:t> </w:t>
      </w:r>
      <w:r>
        <w:rPr/>
        <w:t>food</w:t>
      </w:r>
      <w:r>
        <w:rPr>
          <w:spacing w:val="-19"/>
        </w:rPr>
        <w:t> </w:t>
      </w:r>
      <w:r>
        <w:rPr/>
        <w:t>preparation</w:t>
      </w:r>
      <w:r>
        <w:rPr>
          <w:spacing w:val="-15"/>
        </w:rPr>
        <w:t> </w:t>
      </w:r>
      <w:r>
        <w:rPr/>
        <w:t>and</w:t>
      </w:r>
      <w:r>
        <w:rPr>
          <w:spacing w:val="-16"/>
        </w:rPr>
        <w:t> </w:t>
      </w:r>
      <w:r>
        <w:rPr/>
        <w:t>other</w:t>
      </w:r>
      <w:r>
        <w:rPr>
          <w:spacing w:val="-15"/>
        </w:rPr>
        <w:t> </w:t>
      </w:r>
      <w:r>
        <w:rPr/>
        <w:t>factors</w:t>
      </w:r>
      <w:r>
        <w:rPr>
          <w:spacing w:val="-18"/>
        </w:rPr>
        <w:t> </w:t>
      </w:r>
      <w:r>
        <w:rPr/>
        <w:t>must be taken into account, which further reduces beta-carotene intake. In fact, the average German consumes only 0.8 mg of beta-carotene daily. According to Prof. Biesalksi, it can be assumed that plasma levels below 0.3 μmol/l are to</w:t>
      </w:r>
      <w:r>
        <w:rPr>
          <w:spacing w:val="-60"/>
        </w:rPr>
        <w:t> </w:t>
      </w:r>
      <w:r>
        <w:rPr/>
        <w:t>be regarded as a beta-carotene</w:t>
      </w:r>
      <w:r>
        <w:rPr>
          <w:spacing w:val="-1"/>
        </w:rPr>
        <w:t> </w:t>
      </w:r>
      <w:r>
        <w:rPr/>
        <w:t>deficiency.</w:t>
      </w:r>
    </w:p>
    <w:p>
      <w:pPr>
        <w:pStyle w:val="BodyText"/>
        <w:spacing w:line="276" w:lineRule="auto" w:before="242"/>
        <w:ind w:left="477" w:right="133"/>
        <w:jc w:val="both"/>
      </w:pPr>
      <w:r>
        <w:rPr/>
        <w:t>Although it is clear that by far the largest share of the population suffers from beta-carotene</w:t>
      </w:r>
      <w:r>
        <w:rPr>
          <w:spacing w:val="-14"/>
        </w:rPr>
        <w:t> </w:t>
      </w:r>
      <w:r>
        <w:rPr/>
        <w:t>deficiency,</w:t>
      </w:r>
      <w:r>
        <w:rPr>
          <w:spacing w:val="-14"/>
        </w:rPr>
        <w:t> </w:t>
      </w:r>
      <w:r>
        <w:rPr/>
        <w:t>there</w:t>
      </w:r>
      <w:r>
        <w:rPr>
          <w:spacing w:val="-16"/>
        </w:rPr>
        <w:t> </w:t>
      </w:r>
      <w:r>
        <w:rPr/>
        <w:t>are</w:t>
      </w:r>
      <w:r>
        <w:rPr>
          <w:spacing w:val="-15"/>
        </w:rPr>
        <w:t> </w:t>
      </w:r>
      <w:r>
        <w:rPr/>
        <w:t>certain</w:t>
      </w:r>
      <w:r>
        <w:rPr>
          <w:spacing w:val="-15"/>
        </w:rPr>
        <w:t> </w:t>
      </w:r>
      <w:r>
        <w:rPr/>
        <w:t>groups</w:t>
      </w:r>
      <w:r>
        <w:rPr>
          <w:spacing w:val="-16"/>
        </w:rPr>
        <w:t> </w:t>
      </w:r>
      <w:r>
        <w:rPr/>
        <w:t>of</w:t>
      </w:r>
      <w:r>
        <w:rPr>
          <w:spacing w:val="-15"/>
        </w:rPr>
        <w:t> </w:t>
      </w:r>
      <w:r>
        <w:rPr/>
        <w:t>people</w:t>
      </w:r>
      <w:r>
        <w:rPr>
          <w:spacing w:val="-14"/>
        </w:rPr>
        <w:t> </w:t>
      </w:r>
      <w:r>
        <w:rPr/>
        <w:t>who</w:t>
      </w:r>
      <w:r>
        <w:rPr>
          <w:spacing w:val="-16"/>
        </w:rPr>
        <w:t> </w:t>
      </w:r>
      <w:r>
        <w:rPr/>
        <w:t>are</w:t>
      </w:r>
      <w:r>
        <w:rPr>
          <w:spacing w:val="-15"/>
        </w:rPr>
        <w:t> </w:t>
      </w:r>
      <w:r>
        <w:rPr/>
        <w:t>particularly at</w:t>
      </w:r>
      <w:r>
        <w:rPr>
          <w:spacing w:val="-2"/>
        </w:rPr>
        <w:t> </w:t>
      </w:r>
      <w:r>
        <w:rPr/>
        <w:t>risk:</w:t>
      </w:r>
    </w:p>
    <w:p>
      <w:pPr>
        <w:pStyle w:val="Heading1"/>
        <w:spacing w:before="222"/>
        <w:jc w:val="both"/>
      </w:pPr>
      <w:r>
        <w:rPr/>
        <w:t>Risk groups in which beta-carotene deficiency is common</w:t>
      </w:r>
    </w:p>
    <w:p>
      <w:pPr>
        <w:pStyle w:val="ListParagraph"/>
        <w:numPr>
          <w:ilvl w:val="0"/>
          <w:numId w:val="25"/>
        </w:numPr>
        <w:tabs>
          <w:tab w:pos="691" w:val="left" w:leader="none"/>
        </w:tabs>
        <w:spacing w:line="240" w:lineRule="auto" w:before="299" w:after="0"/>
        <w:ind w:left="690" w:right="0" w:hanging="213"/>
        <w:jc w:val="both"/>
        <w:rPr>
          <w:sz w:val="38"/>
        </w:rPr>
      </w:pPr>
      <w:r>
        <w:rPr>
          <w:sz w:val="38"/>
        </w:rPr>
        <w:t>pregnant and breastfeeding women</w:t>
      </w:r>
    </w:p>
    <w:p>
      <w:pPr>
        <w:pStyle w:val="ListParagraph"/>
        <w:numPr>
          <w:ilvl w:val="0"/>
          <w:numId w:val="25"/>
        </w:numPr>
        <w:tabs>
          <w:tab w:pos="691" w:val="left" w:leader="none"/>
        </w:tabs>
        <w:spacing w:line="240" w:lineRule="auto" w:before="185" w:after="0"/>
        <w:ind w:left="690" w:right="0" w:hanging="213"/>
        <w:jc w:val="both"/>
        <w:rPr>
          <w:sz w:val="38"/>
        </w:rPr>
      </w:pPr>
      <w:r>
        <w:rPr>
          <w:sz w:val="38"/>
        </w:rPr>
        <w:t>smokers</w:t>
      </w:r>
    </w:p>
    <w:p>
      <w:pPr>
        <w:pStyle w:val="ListParagraph"/>
        <w:numPr>
          <w:ilvl w:val="0"/>
          <w:numId w:val="25"/>
        </w:numPr>
        <w:tabs>
          <w:tab w:pos="691" w:val="left" w:leader="none"/>
        </w:tabs>
        <w:spacing w:line="240" w:lineRule="auto" w:before="184" w:after="0"/>
        <w:ind w:left="690" w:right="0" w:hanging="213"/>
        <w:jc w:val="both"/>
        <w:rPr>
          <w:sz w:val="38"/>
        </w:rPr>
      </w:pPr>
      <w:r>
        <w:rPr>
          <w:sz w:val="38"/>
        </w:rPr>
        <w:t>people who consume</w:t>
      </w:r>
      <w:r>
        <w:rPr>
          <w:spacing w:val="3"/>
          <w:sz w:val="38"/>
        </w:rPr>
        <w:t> </w:t>
      </w:r>
      <w:r>
        <w:rPr>
          <w:sz w:val="38"/>
        </w:rPr>
        <w:t>alcohol</w:t>
      </w:r>
    </w:p>
    <w:p>
      <w:pPr>
        <w:pStyle w:val="ListParagraph"/>
        <w:numPr>
          <w:ilvl w:val="0"/>
          <w:numId w:val="25"/>
        </w:numPr>
        <w:tabs>
          <w:tab w:pos="691" w:val="left" w:leader="none"/>
        </w:tabs>
        <w:spacing w:line="240" w:lineRule="auto" w:before="185" w:after="0"/>
        <w:ind w:left="690" w:right="0" w:hanging="213"/>
        <w:jc w:val="both"/>
        <w:rPr>
          <w:sz w:val="38"/>
        </w:rPr>
      </w:pPr>
      <w:r>
        <w:rPr>
          <w:sz w:val="38"/>
        </w:rPr>
        <w:t>groups of people with fat resorption</w:t>
      </w:r>
      <w:r>
        <w:rPr>
          <w:spacing w:val="1"/>
          <w:sz w:val="38"/>
        </w:rPr>
        <w:t> </w:t>
      </w:r>
      <w:r>
        <w:rPr>
          <w:sz w:val="38"/>
        </w:rPr>
        <w:t>difficulties</w:t>
      </w:r>
    </w:p>
    <w:p>
      <w:pPr>
        <w:pStyle w:val="ListParagraph"/>
        <w:numPr>
          <w:ilvl w:val="0"/>
          <w:numId w:val="25"/>
        </w:numPr>
        <w:tabs>
          <w:tab w:pos="691" w:val="left" w:leader="none"/>
        </w:tabs>
        <w:spacing w:line="240" w:lineRule="auto" w:before="183" w:after="0"/>
        <w:ind w:left="690" w:right="0" w:hanging="213"/>
        <w:jc w:val="both"/>
        <w:rPr>
          <w:sz w:val="38"/>
        </w:rPr>
      </w:pPr>
      <w:r>
        <w:rPr>
          <w:sz w:val="38"/>
        </w:rPr>
        <w:t>rheumatics</w:t>
      </w:r>
    </w:p>
    <w:p>
      <w:pPr>
        <w:pStyle w:val="ListParagraph"/>
        <w:numPr>
          <w:ilvl w:val="0"/>
          <w:numId w:val="25"/>
        </w:numPr>
        <w:tabs>
          <w:tab w:pos="691" w:val="left" w:leader="none"/>
        </w:tabs>
        <w:spacing w:line="240" w:lineRule="auto" w:before="184" w:after="0"/>
        <w:ind w:left="690" w:right="0" w:hanging="213"/>
        <w:jc w:val="both"/>
        <w:rPr>
          <w:sz w:val="38"/>
        </w:rPr>
      </w:pPr>
      <w:r>
        <w:rPr>
          <w:sz w:val="38"/>
        </w:rPr>
        <w:t>patients with liver</w:t>
      </w:r>
      <w:r>
        <w:rPr>
          <w:spacing w:val="2"/>
          <w:sz w:val="38"/>
        </w:rPr>
        <w:t> </w:t>
      </w:r>
      <w:r>
        <w:rPr>
          <w:sz w:val="38"/>
        </w:rPr>
        <w:t>cirrhosis</w:t>
      </w:r>
    </w:p>
    <w:p>
      <w:pPr>
        <w:spacing w:after="0" w:line="240" w:lineRule="auto"/>
        <w:jc w:val="both"/>
        <w:rPr>
          <w:sz w:val="38"/>
        </w:rPr>
        <w:sectPr>
          <w:pgSz w:w="14270" w:h="16850"/>
          <w:pgMar w:header="0" w:footer="1891" w:top="1600" w:bottom="2080" w:left="800" w:right="1280"/>
        </w:sectPr>
      </w:pPr>
    </w:p>
    <w:p>
      <w:pPr>
        <w:pStyle w:val="Heading1"/>
        <w:spacing w:before="164"/>
      </w:pPr>
      <w:r>
        <w:rPr/>
        <w:t>Beta-carotene studies</w:t>
      </w:r>
    </w:p>
    <w:p>
      <w:pPr>
        <w:pStyle w:val="BodyText"/>
        <w:spacing w:line="276" w:lineRule="auto" w:before="299"/>
        <w:ind w:left="477" w:right="135"/>
        <w:jc w:val="both"/>
      </w:pPr>
      <w:r>
        <w:rPr/>
        <w:t>The health-promoting effects of beta-carotene have been clearly demonstrated in numerous representative studies.</w:t>
      </w:r>
    </w:p>
    <w:p>
      <w:pPr>
        <w:pStyle w:val="Heading1"/>
        <w:spacing w:line="261" w:lineRule="auto"/>
        <w:ind w:right="135"/>
        <w:jc w:val="both"/>
      </w:pPr>
      <w:r>
        <w:rPr/>
        <w:t>Beta-carotene</w:t>
      </w:r>
      <w:r>
        <w:rPr>
          <w:spacing w:val="-48"/>
        </w:rPr>
        <w:t> </w:t>
      </w:r>
      <w:r>
        <w:rPr/>
        <w:t>reduces</w:t>
      </w:r>
      <w:r>
        <w:rPr>
          <w:spacing w:val="-48"/>
        </w:rPr>
        <w:t> </w:t>
      </w:r>
      <w:r>
        <w:rPr/>
        <w:t>the</w:t>
      </w:r>
      <w:r>
        <w:rPr>
          <w:spacing w:val="-49"/>
        </w:rPr>
        <w:t> </w:t>
      </w:r>
      <w:r>
        <w:rPr/>
        <w:t>risk</w:t>
      </w:r>
      <w:r>
        <w:rPr>
          <w:spacing w:val="-48"/>
        </w:rPr>
        <w:t> </w:t>
      </w:r>
      <w:r>
        <w:rPr/>
        <w:t>of</w:t>
      </w:r>
      <w:r>
        <w:rPr>
          <w:spacing w:val="-49"/>
        </w:rPr>
        <w:t> </w:t>
      </w:r>
      <w:r>
        <w:rPr/>
        <w:t>myocardial</w:t>
      </w:r>
      <w:r>
        <w:rPr>
          <w:spacing w:val="-48"/>
        </w:rPr>
        <w:t> </w:t>
      </w:r>
      <w:r>
        <w:rPr/>
        <w:t>infarction</w:t>
      </w:r>
      <w:r>
        <w:rPr>
          <w:spacing w:val="-49"/>
        </w:rPr>
        <w:t> </w:t>
      </w:r>
      <w:r>
        <w:rPr/>
        <w:t>by</w:t>
      </w:r>
      <w:r>
        <w:rPr>
          <w:spacing w:val="-48"/>
        </w:rPr>
        <w:t> </w:t>
      </w:r>
      <w:r>
        <w:rPr/>
        <w:t>50</w:t>
      </w:r>
      <w:r>
        <w:rPr>
          <w:spacing w:val="-45"/>
        </w:rPr>
        <w:t> </w:t>
      </w:r>
      <w:r>
        <w:rPr/>
        <w:t>%</w:t>
      </w:r>
      <w:r>
        <w:rPr>
          <w:spacing w:val="-48"/>
        </w:rPr>
        <w:t> </w:t>
      </w:r>
      <w:r>
        <w:rPr/>
        <w:t>in</w:t>
      </w:r>
      <w:r>
        <w:rPr>
          <w:spacing w:val="-49"/>
        </w:rPr>
        <w:t> </w:t>
      </w:r>
      <w:r>
        <w:rPr/>
        <w:t>stud- ies!</w:t>
      </w:r>
    </w:p>
    <w:p>
      <w:pPr>
        <w:pStyle w:val="BodyText"/>
        <w:spacing w:line="276" w:lineRule="auto" w:before="258"/>
        <w:ind w:left="477" w:right="132"/>
        <w:jc w:val="both"/>
      </w:pPr>
      <w:r>
        <w:rPr/>
        <w:t>In a Dutch study by Erasmus University in Rotterdam with 4,800 participants between</w:t>
      </w:r>
      <w:r>
        <w:rPr>
          <w:spacing w:val="-13"/>
        </w:rPr>
        <w:t> </w:t>
      </w:r>
      <w:r>
        <w:rPr/>
        <w:t>the</w:t>
      </w:r>
      <w:r>
        <w:rPr>
          <w:spacing w:val="-13"/>
        </w:rPr>
        <w:t> </w:t>
      </w:r>
      <w:r>
        <w:rPr/>
        <w:t>ages</w:t>
      </w:r>
      <w:r>
        <w:rPr>
          <w:spacing w:val="-12"/>
        </w:rPr>
        <w:t> </w:t>
      </w:r>
      <w:r>
        <w:rPr/>
        <w:t>of</w:t>
      </w:r>
      <w:r>
        <w:rPr>
          <w:spacing w:val="-16"/>
        </w:rPr>
        <w:t> </w:t>
      </w:r>
      <w:r>
        <w:rPr/>
        <w:t>55</w:t>
      </w:r>
      <w:r>
        <w:rPr>
          <w:spacing w:val="-15"/>
        </w:rPr>
        <w:t> </w:t>
      </w:r>
      <w:r>
        <w:rPr/>
        <w:t>and</w:t>
      </w:r>
      <w:r>
        <w:rPr>
          <w:spacing w:val="-13"/>
        </w:rPr>
        <w:t> </w:t>
      </w:r>
      <w:r>
        <w:rPr/>
        <w:t>95,</w:t>
      </w:r>
      <w:r>
        <w:rPr>
          <w:spacing w:val="-16"/>
        </w:rPr>
        <w:t> </w:t>
      </w:r>
      <w:r>
        <w:rPr/>
        <w:t>an</w:t>
      </w:r>
      <w:r>
        <w:rPr>
          <w:spacing w:val="-13"/>
        </w:rPr>
        <w:t> </w:t>
      </w:r>
      <w:r>
        <w:rPr/>
        <w:t>increased</w:t>
      </w:r>
      <w:r>
        <w:rPr>
          <w:spacing w:val="-16"/>
        </w:rPr>
        <w:t> </w:t>
      </w:r>
      <w:r>
        <w:rPr/>
        <w:t>intake</w:t>
      </w:r>
      <w:r>
        <w:rPr>
          <w:spacing w:val="-15"/>
        </w:rPr>
        <w:t> </w:t>
      </w:r>
      <w:r>
        <w:rPr/>
        <w:t>of</w:t>
      </w:r>
      <w:r>
        <w:rPr>
          <w:spacing w:val="-15"/>
        </w:rPr>
        <w:t> </w:t>
      </w:r>
      <w:r>
        <w:rPr/>
        <w:t>beta-carotene</w:t>
      </w:r>
      <w:r>
        <w:rPr>
          <w:spacing w:val="-13"/>
        </w:rPr>
        <w:t> </w:t>
      </w:r>
      <w:r>
        <w:rPr/>
        <w:t>reduced</w:t>
      </w:r>
      <w:r>
        <w:rPr>
          <w:spacing w:val="-15"/>
        </w:rPr>
        <w:t> </w:t>
      </w:r>
      <w:r>
        <w:rPr/>
        <w:t>the risk of heart attack by 45</w:t>
      </w:r>
      <w:r>
        <w:rPr>
          <w:spacing w:val="2"/>
        </w:rPr>
        <w:t> </w:t>
      </w:r>
      <w:r>
        <w:rPr/>
        <w:t>%!</w:t>
      </w:r>
    </w:p>
    <w:p>
      <w:pPr>
        <w:pStyle w:val="BodyText"/>
        <w:spacing w:line="276" w:lineRule="auto" w:before="241"/>
        <w:ind w:left="477" w:right="132"/>
        <w:jc w:val="both"/>
        <w:rPr>
          <w:sz w:val="25"/>
        </w:rPr>
      </w:pPr>
      <w:r>
        <w:rPr/>
        <w:t>Those who took beta-carotene pills in addition to eating a beta-carotene-rich diet</w:t>
      </w:r>
      <w:r>
        <w:rPr>
          <w:spacing w:val="-15"/>
        </w:rPr>
        <w:t> </w:t>
      </w:r>
      <w:r>
        <w:rPr/>
        <w:t>even</w:t>
      </w:r>
      <w:r>
        <w:rPr>
          <w:spacing w:val="-13"/>
        </w:rPr>
        <w:t> </w:t>
      </w:r>
      <w:r>
        <w:rPr/>
        <w:t>reduced</w:t>
      </w:r>
      <w:r>
        <w:rPr>
          <w:spacing w:val="-14"/>
        </w:rPr>
        <w:t> </w:t>
      </w:r>
      <w:r>
        <w:rPr/>
        <w:t>their</w:t>
      </w:r>
      <w:r>
        <w:rPr>
          <w:spacing w:val="-13"/>
        </w:rPr>
        <w:t> </w:t>
      </w:r>
      <w:r>
        <w:rPr/>
        <w:t>risk</w:t>
      </w:r>
      <w:r>
        <w:rPr>
          <w:spacing w:val="-16"/>
        </w:rPr>
        <w:t> </w:t>
      </w:r>
      <w:r>
        <w:rPr/>
        <w:t>of</w:t>
      </w:r>
      <w:r>
        <w:rPr>
          <w:spacing w:val="-16"/>
        </w:rPr>
        <w:t> </w:t>
      </w:r>
      <w:r>
        <w:rPr/>
        <w:t>heart</w:t>
      </w:r>
      <w:r>
        <w:rPr>
          <w:spacing w:val="-14"/>
        </w:rPr>
        <w:t> </w:t>
      </w:r>
      <w:r>
        <w:rPr/>
        <w:t>attack</w:t>
      </w:r>
      <w:r>
        <w:rPr>
          <w:spacing w:val="-14"/>
        </w:rPr>
        <w:t> </w:t>
      </w:r>
      <w:r>
        <w:rPr/>
        <w:t>by</w:t>
      </w:r>
      <w:r>
        <w:rPr>
          <w:spacing w:val="-13"/>
        </w:rPr>
        <w:t> </w:t>
      </w:r>
      <w:r>
        <w:rPr/>
        <w:t>50</w:t>
      </w:r>
      <w:r>
        <w:rPr>
          <w:spacing w:val="-13"/>
        </w:rPr>
        <w:t> </w:t>
      </w:r>
      <w:r>
        <w:rPr/>
        <w:t>%!</w:t>
      </w:r>
      <w:r>
        <w:rPr>
          <w:spacing w:val="-14"/>
        </w:rPr>
        <w:t> </w:t>
      </w:r>
      <w:r>
        <w:rPr/>
        <w:t>The</w:t>
      </w:r>
      <w:r>
        <w:rPr>
          <w:spacing w:val="-16"/>
        </w:rPr>
        <w:t> </w:t>
      </w:r>
      <w:r>
        <w:rPr/>
        <w:t>researchers</w:t>
      </w:r>
      <w:r>
        <w:rPr>
          <w:spacing w:val="-12"/>
        </w:rPr>
        <w:t> </w:t>
      </w:r>
      <w:r>
        <w:rPr/>
        <w:t>suspect</w:t>
      </w:r>
      <w:r>
        <w:rPr>
          <w:spacing w:val="-16"/>
        </w:rPr>
        <w:t> </w:t>
      </w:r>
      <w:r>
        <w:rPr/>
        <w:t>the reason for this in beta-carotene’s function as a radical scavenger and in the di- rect</w:t>
      </w:r>
      <w:r>
        <w:rPr>
          <w:spacing w:val="-9"/>
        </w:rPr>
        <w:t> </w:t>
      </w:r>
      <w:r>
        <w:rPr/>
        <w:t>influence</w:t>
      </w:r>
      <w:r>
        <w:rPr>
          <w:spacing w:val="-8"/>
        </w:rPr>
        <w:t> </w:t>
      </w:r>
      <w:r>
        <w:rPr/>
        <w:t>of</w:t>
      </w:r>
      <w:r>
        <w:rPr>
          <w:spacing w:val="-8"/>
        </w:rPr>
        <w:t> </w:t>
      </w:r>
      <w:r>
        <w:rPr/>
        <w:t>vitamin</w:t>
      </w:r>
      <w:r>
        <w:rPr>
          <w:spacing w:val="-8"/>
        </w:rPr>
        <w:t> </w:t>
      </w:r>
      <w:r>
        <w:rPr/>
        <w:t>A</w:t>
      </w:r>
      <w:r>
        <w:rPr>
          <w:spacing w:val="-9"/>
        </w:rPr>
        <w:t> </w:t>
      </w:r>
      <w:r>
        <w:rPr/>
        <w:t>(beta-carotene</w:t>
      </w:r>
      <w:r>
        <w:rPr>
          <w:spacing w:val="-8"/>
        </w:rPr>
        <w:t> </w:t>
      </w:r>
      <w:r>
        <w:rPr/>
        <w:t>is</w:t>
      </w:r>
      <w:r>
        <w:rPr>
          <w:spacing w:val="-8"/>
        </w:rPr>
        <w:t> </w:t>
      </w:r>
      <w:r>
        <w:rPr/>
        <w:t>the</w:t>
      </w:r>
      <w:r>
        <w:rPr>
          <w:spacing w:val="-7"/>
        </w:rPr>
        <w:t> </w:t>
      </w:r>
      <w:r>
        <w:rPr/>
        <w:t>precursor</w:t>
      </w:r>
      <w:r>
        <w:rPr>
          <w:spacing w:val="-7"/>
        </w:rPr>
        <w:t> </w:t>
      </w:r>
      <w:r>
        <w:rPr/>
        <w:t>of</w:t>
      </w:r>
      <w:r>
        <w:rPr>
          <w:spacing w:val="-8"/>
        </w:rPr>
        <w:t> </w:t>
      </w:r>
      <w:r>
        <w:rPr/>
        <w:t>vitamin</w:t>
      </w:r>
      <w:r>
        <w:rPr>
          <w:spacing w:val="-8"/>
        </w:rPr>
        <w:t> </w:t>
      </w:r>
      <w:r>
        <w:rPr/>
        <w:t>A)</w:t>
      </w:r>
      <w:r>
        <w:rPr>
          <w:spacing w:val="-10"/>
        </w:rPr>
        <w:t> </w:t>
      </w:r>
      <w:r>
        <w:rPr/>
        <w:t>on</w:t>
      </w:r>
      <w:r>
        <w:rPr>
          <w:spacing w:val="-7"/>
        </w:rPr>
        <w:t> </w:t>
      </w:r>
      <w:r>
        <w:rPr/>
        <w:t>the fat</w:t>
      </w:r>
      <w:r>
        <w:rPr>
          <w:spacing w:val="-2"/>
        </w:rPr>
        <w:t> </w:t>
      </w:r>
      <w:r>
        <w:rPr/>
        <w:t>metabolism.</w:t>
      </w:r>
      <w:r>
        <w:rPr>
          <w:position w:val="9"/>
          <w:sz w:val="25"/>
        </w:rPr>
        <w:t>138</w:t>
      </w:r>
    </w:p>
    <w:p>
      <w:pPr>
        <w:pStyle w:val="Heading1"/>
        <w:spacing w:before="223"/>
      </w:pPr>
      <w:r>
        <w:rPr/>
        <w:t>Beta-carotene as UV protection</w:t>
      </w:r>
    </w:p>
    <w:p>
      <w:pPr>
        <w:pStyle w:val="BodyText"/>
        <w:spacing w:line="276" w:lineRule="auto" w:before="299"/>
        <w:ind w:left="477" w:right="137"/>
        <w:jc w:val="both"/>
      </w:pPr>
      <w:r>
        <w:rPr/>
        <w:t>As</w:t>
      </w:r>
      <w:r>
        <w:rPr>
          <w:spacing w:val="-22"/>
        </w:rPr>
        <w:t> </w:t>
      </w:r>
      <w:r>
        <w:rPr/>
        <w:t>already</w:t>
      </w:r>
      <w:r>
        <w:rPr>
          <w:spacing w:val="-22"/>
        </w:rPr>
        <w:t> </w:t>
      </w:r>
      <w:r>
        <w:rPr/>
        <w:t>mentioned,</w:t>
      </w:r>
      <w:r>
        <w:rPr>
          <w:spacing w:val="-21"/>
        </w:rPr>
        <w:t> </w:t>
      </w:r>
      <w:r>
        <w:rPr/>
        <w:t>in</w:t>
      </w:r>
      <w:r>
        <w:rPr>
          <w:spacing w:val="-21"/>
        </w:rPr>
        <w:t> </w:t>
      </w:r>
      <w:r>
        <w:rPr/>
        <w:t>the</w:t>
      </w:r>
      <w:r>
        <w:rPr>
          <w:spacing w:val="-23"/>
        </w:rPr>
        <w:t> </w:t>
      </w:r>
      <w:r>
        <w:rPr/>
        <w:t>‘Berlin-Eilath</w:t>
      </w:r>
      <w:r>
        <w:rPr>
          <w:spacing w:val="-22"/>
        </w:rPr>
        <w:t> </w:t>
      </w:r>
      <w:r>
        <w:rPr/>
        <w:t>Study’</w:t>
      </w:r>
      <w:r>
        <w:rPr>
          <w:spacing w:val="-21"/>
        </w:rPr>
        <w:t> </w:t>
      </w:r>
      <w:r>
        <w:rPr/>
        <w:t>led</w:t>
      </w:r>
      <w:r>
        <w:rPr>
          <w:spacing w:val="-22"/>
        </w:rPr>
        <w:t> </w:t>
      </w:r>
      <w:r>
        <w:rPr/>
        <w:t>by</w:t>
      </w:r>
      <w:r>
        <w:rPr>
          <w:spacing w:val="-21"/>
        </w:rPr>
        <w:t> </w:t>
      </w:r>
      <w:r>
        <w:rPr/>
        <w:t>Professor</w:t>
      </w:r>
      <w:r>
        <w:rPr>
          <w:spacing w:val="-23"/>
        </w:rPr>
        <w:t> </w:t>
      </w:r>
      <w:r>
        <w:rPr/>
        <w:t>Gollnick</w:t>
      </w:r>
      <w:r>
        <w:rPr>
          <w:spacing w:val="-22"/>
        </w:rPr>
        <w:t> </w:t>
      </w:r>
      <w:r>
        <w:rPr/>
        <w:t>and his staff, holidaymakers were divided into two groups before they left. While one</w:t>
      </w:r>
      <w:r>
        <w:rPr>
          <w:spacing w:val="23"/>
        </w:rPr>
        <w:t> </w:t>
      </w:r>
      <w:r>
        <w:rPr/>
        <w:t>group</w:t>
      </w:r>
      <w:r>
        <w:rPr>
          <w:spacing w:val="23"/>
        </w:rPr>
        <w:t> </w:t>
      </w:r>
      <w:r>
        <w:rPr/>
        <w:t>only</w:t>
      </w:r>
      <w:r>
        <w:rPr>
          <w:spacing w:val="18"/>
        </w:rPr>
        <w:t> </w:t>
      </w:r>
      <w:r>
        <w:rPr/>
        <w:t>took</w:t>
      </w:r>
      <w:r>
        <w:rPr>
          <w:spacing w:val="22"/>
        </w:rPr>
        <w:t> </w:t>
      </w:r>
      <w:r>
        <w:rPr/>
        <w:t>a</w:t>
      </w:r>
      <w:r>
        <w:rPr>
          <w:spacing w:val="23"/>
        </w:rPr>
        <w:t> </w:t>
      </w:r>
      <w:r>
        <w:rPr/>
        <w:t>placebo,</w:t>
      </w:r>
      <w:r>
        <w:rPr>
          <w:spacing w:val="19"/>
        </w:rPr>
        <w:t> </w:t>
      </w:r>
      <w:r>
        <w:rPr/>
        <w:t>the</w:t>
      </w:r>
      <w:r>
        <w:rPr>
          <w:spacing w:val="23"/>
        </w:rPr>
        <w:t> </w:t>
      </w:r>
      <w:r>
        <w:rPr/>
        <w:t>other</w:t>
      </w:r>
      <w:r>
        <w:rPr>
          <w:spacing w:val="22"/>
        </w:rPr>
        <w:t> </w:t>
      </w:r>
      <w:r>
        <w:rPr/>
        <w:t>group</w:t>
      </w:r>
      <w:r>
        <w:rPr>
          <w:spacing w:val="20"/>
        </w:rPr>
        <w:t> </w:t>
      </w:r>
      <w:r>
        <w:rPr/>
        <w:t>took</w:t>
      </w:r>
      <w:r>
        <w:rPr>
          <w:spacing w:val="23"/>
        </w:rPr>
        <w:t> </w:t>
      </w:r>
      <w:r>
        <w:rPr/>
        <w:t>30</w:t>
      </w:r>
      <w:r>
        <w:rPr>
          <w:spacing w:val="22"/>
        </w:rPr>
        <w:t> </w:t>
      </w:r>
      <w:r>
        <w:rPr/>
        <w:t>mg</w:t>
      </w:r>
      <w:r>
        <w:rPr>
          <w:spacing w:val="20"/>
        </w:rPr>
        <w:t> </w:t>
      </w:r>
      <w:r>
        <w:rPr/>
        <w:t>of</w:t>
      </w:r>
      <w:r>
        <w:rPr>
          <w:spacing w:val="19"/>
        </w:rPr>
        <w:t> </w:t>
      </w:r>
      <w:r>
        <w:rPr/>
        <w:t>beta-carotene</w:t>
      </w:r>
    </w:p>
    <w:p>
      <w:pPr>
        <w:pStyle w:val="BodyText"/>
        <w:rPr>
          <w:sz w:val="20"/>
        </w:rPr>
      </w:pPr>
    </w:p>
    <w:p>
      <w:pPr>
        <w:pStyle w:val="BodyText"/>
        <w:spacing w:before="3"/>
        <w:rPr>
          <w:sz w:val="12"/>
        </w:rPr>
      </w:pPr>
      <w:r>
        <w:rPr/>
        <w:pict>
          <v:line style="position:absolute;mso-position-horizontal-relative:page;mso-position-vertical-relative:paragraph;z-index:1184;mso-wrap-distance-left:0;mso-wrap-distance-right:0" from="63.863998pt,9.293735pt" to="207.883998pt,9.293735pt" stroked="true" strokeweight=".72003pt" strokecolor="#000000">
            <v:stroke dashstyle="solid"/>
            <w10:wrap type="topAndBottom"/>
          </v:line>
        </w:pict>
      </w:r>
    </w:p>
    <w:p>
      <w:pPr>
        <w:pStyle w:val="BodyText"/>
        <w:spacing w:before="4"/>
        <w:rPr>
          <w:sz w:val="20"/>
        </w:rPr>
      </w:pPr>
    </w:p>
    <w:p>
      <w:pPr>
        <w:spacing w:before="100"/>
        <w:ind w:left="477" w:right="0" w:firstLine="0"/>
        <w:jc w:val="left"/>
        <w:rPr>
          <w:sz w:val="20"/>
        </w:rPr>
      </w:pPr>
      <w:r>
        <w:rPr>
          <w:position w:val="5"/>
          <w:sz w:val="14"/>
        </w:rPr>
        <w:t>138 </w:t>
      </w:r>
      <w:r>
        <w:rPr>
          <w:sz w:val="20"/>
        </w:rPr>
        <w:t>American Journal of Nutrition</w:t>
      </w:r>
    </w:p>
    <w:p>
      <w:pPr>
        <w:spacing w:after="0"/>
        <w:jc w:val="left"/>
        <w:rPr>
          <w:sz w:val="20"/>
        </w:rPr>
        <w:sectPr>
          <w:footerReference w:type="default" r:id="rId65"/>
          <w:pgSz w:w="14270" w:h="16850"/>
          <w:pgMar w:footer="1891" w:header="0" w:top="1600" w:bottom="2080" w:left="800" w:right="1280"/>
          <w:pgNumType w:start="260"/>
        </w:sectPr>
      </w:pPr>
    </w:p>
    <w:p>
      <w:pPr>
        <w:pStyle w:val="BodyText"/>
        <w:spacing w:before="181"/>
        <w:ind w:left="477"/>
      </w:pPr>
      <w:r>
        <w:rPr/>
        <w:t>ten weeks before they left.</w:t>
      </w:r>
    </w:p>
    <w:p>
      <w:pPr>
        <w:pStyle w:val="BodyText"/>
        <w:spacing w:line="276" w:lineRule="auto" w:before="305"/>
        <w:ind w:left="477" w:right="133"/>
        <w:jc w:val="both"/>
      </w:pPr>
      <w:r>
        <w:rPr/>
        <w:t>In the course of the study, participants did not apply cream to their skin at a particular spot. Furthermore, both groups did not consume any other</w:t>
      </w:r>
      <w:r>
        <w:rPr>
          <w:spacing w:val="-57"/>
        </w:rPr>
        <w:t> </w:t>
      </w:r>
      <w:r>
        <w:rPr/>
        <w:t>beta-car- otene-containing foods to prevent any falsification of the study results.</w:t>
      </w:r>
    </w:p>
    <w:p>
      <w:pPr>
        <w:pStyle w:val="BodyText"/>
        <w:spacing w:line="276" w:lineRule="auto" w:before="241"/>
        <w:ind w:left="477" w:right="132"/>
        <w:jc w:val="both"/>
      </w:pPr>
      <w:r>
        <w:rPr/>
        <w:t>After two weeks, it was clear that the group that consumed beta-carotene had significantly less redness than the peer group. The result was scientifically con- firmed by special dermatological test methods using a chronometer.</w:t>
      </w:r>
    </w:p>
    <w:p>
      <w:pPr>
        <w:pStyle w:val="Heading1"/>
        <w:spacing w:before="222"/>
      </w:pPr>
      <w:r>
        <w:rPr/>
        <w:t>Beta-carotene protects the eye from macular degeneration</w:t>
      </w:r>
    </w:p>
    <w:p>
      <w:pPr>
        <w:pStyle w:val="BodyText"/>
        <w:spacing w:line="276" w:lineRule="auto" w:before="299"/>
        <w:ind w:left="477" w:right="136"/>
        <w:jc w:val="both"/>
        <w:rPr>
          <w:sz w:val="25"/>
        </w:rPr>
      </w:pPr>
      <w:r>
        <w:rPr/>
        <w:t>A study on 356 volunteers unequivocally certified beta-carotene as a</w:t>
      </w:r>
      <w:r>
        <w:rPr>
          <w:spacing w:val="-59"/>
        </w:rPr>
        <w:t> </w:t>
      </w:r>
      <w:r>
        <w:rPr/>
        <w:t>significant protector against age-related macular degeneration.</w:t>
      </w:r>
      <w:r>
        <w:rPr>
          <w:position w:val="9"/>
          <w:sz w:val="25"/>
        </w:rPr>
        <w:t>139</w:t>
      </w:r>
    </w:p>
    <w:p>
      <w:pPr>
        <w:pStyle w:val="Heading1"/>
        <w:spacing w:line="261" w:lineRule="auto"/>
        <w:ind w:right="140"/>
        <w:jc w:val="both"/>
      </w:pPr>
      <w:r>
        <w:rPr/>
        <w:t>Beta-carotene</w:t>
      </w:r>
      <w:r>
        <w:rPr>
          <w:spacing w:val="-63"/>
        </w:rPr>
        <w:t> </w:t>
      </w:r>
      <w:r>
        <w:rPr/>
        <w:t>protects</w:t>
      </w:r>
      <w:r>
        <w:rPr>
          <w:spacing w:val="-62"/>
        </w:rPr>
        <w:t> </w:t>
      </w:r>
      <w:r>
        <w:rPr/>
        <w:t>against</w:t>
      </w:r>
      <w:r>
        <w:rPr>
          <w:spacing w:val="-63"/>
        </w:rPr>
        <w:t> </w:t>
      </w:r>
      <w:r>
        <w:rPr/>
        <w:t>intestinal</w:t>
      </w:r>
      <w:r>
        <w:rPr>
          <w:spacing w:val="-62"/>
        </w:rPr>
        <w:t> </w:t>
      </w:r>
      <w:r>
        <w:rPr/>
        <w:t>polyps</w:t>
      </w:r>
      <w:r>
        <w:rPr>
          <w:spacing w:val="-61"/>
        </w:rPr>
        <w:t> </w:t>
      </w:r>
      <w:r>
        <w:rPr/>
        <w:t>and</w:t>
      </w:r>
      <w:r>
        <w:rPr>
          <w:spacing w:val="-62"/>
        </w:rPr>
        <w:t> </w:t>
      </w:r>
      <w:r>
        <w:rPr/>
        <w:t>intestinal</w:t>
      </w:r>
      <w:r>
        <w:rPr>
          <w:spacing w:val="-63"/>
        </w:rPr>
        <w:t> </w:t>
      </w:r>
      <w:r>
        <w:rPr/>
        <w:t>cancer</w:t>
      </w:r>
      <w:r>
        <w:rPr>
          <w:spacing w:val="-63"/>
        </w:rPr>
        <w:t> </w:t>
      </w:r>
      <w:r>
        <w:rPr/>
        <w:t>in studies</w:t>
      </w:r>
    </w:p>
    <w:p>
      <w:pPr>
        <w:pStyle w:val="BodyText"/>
        <w:spacing w:line="276" w:lineRule="auto" w:before="258"/>
        <w:ind w:left="477" w:right="130"/>
        <w:jc w:val="both"/>
        <w:rPr>
          <w:sz w:val="25"/>
        </w:rPr>
      </w:pPr>
      <w:r>
        <w:rPr/>
        <w:t>In the study on 864 subjects, called the </w:t>
      </w:r>
      <w:r>
        <w:rPr>
          <w:i/>
        </w:rPr>
        <w:t>Antioxidant Polyp Prevention Study, </w:t>
      </w:r>
      <w:r>
        <w:rPr/>
        <w:t>beta- carotene reduced the risk of recurrent bowel polyps by 44 %. The prevention of intestinal cancer is also attributed to this.</w:t>
      </w:r>
      <w:r>
        <w:rPr>
          <w:position w:val="9"/>
          <w:sz w:val="25"/>
        </w:rPr>
        <w:t>140</w:t>
      </w:r>
    </w:p>
    <w:p>
      <w:pPr>
        <w:pStyle w:val="Heading1"/>
        <w:jc w:val="both"/>
      </w:pPr>
      <w:r>
        <w:rPr/>
        <w:t>Beta-carotene reduces deaths from stomach cancer by 21 %</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7"/>
        <w:rPr>
          <w:b/>
          <w:i/>
          <w:sz w:val="29"/>
        </w:rPr>
      </w:pPr>
      <w:r>
        <w:rPr/>
        <w:pict>
          <v:line style="position:absolute;mso-position-horizontal-relative:page;mso-position-vertical-relative:paragraph;z-index:1208;mso-wrap-distance-left:0;mso-wrap-distance-right:0" from="63.863998pt,19.021235pt" to="207.883998pt,19.021235pt" stroked="true" strokeweight=".72003pt" strokecolor="#000000">
            <v:stroke dashstyle="solid"/>
            <w10:wrap type="topAndBottom"/>
          </v:line>
        </w:pict>
      </w:r>
    </w:p>
    <w:p>
      <w:pPr>
        <w:pStyle w:val="BodyText"/>
        <w:spacing w:before="7"/>
        <w:rPr>
          <w:b/>
          <w:i/>
          <w:sz w:val="18"/>
        </w:rPr>
      </w:pPr>
    </w:p>
    <w:p>
      <w:pPr>
        <w:spacing w:line="273" w:lineRule="auto" w:before="99"/>
        <w:ind w:left="477" w:right="0" w:firstLine="0"/>
        <w:jc w:val="left"/>
        <w:rPr>
          <w:sz w:val="20"/>
        </w:rPr>
      </w:pPr>
      <w:r>
        <w:rPr>
          <w:position w:val="5"/>
          <w:sz w:val="13"/>
        </w:rPr>
        <w:t>139 </w:t>
      </w:r>
      <w:r>
        <w:rPr>
          <w:sz w:val="20"/>
        </w:rPr>
        <w:t>Maria-Elisabeth Lange-Ernst: Einfach gesund bleiben – warum L-Carnitin für Frauen so wichtig ist (‘Just Stay Healthy - Why L-Carnitine is So Important for Women’), 2nd Edition, 2005, p. 173</w:t>
      </w:r>
    </w:p>
    <w:p>
      <w:pPr>
        <w:spacing w:before="63"/>
        <w:ind w:left="477" w:right="0" w:firstLine="0"/>
        <w:jc w:val="left"/>
        <w:rPr>
          <w:sz w:val="20"/>
        </w:rPr>
      </w:pPr>
      <w:r>
        <w:rPr>
          <w:position w:val="5"/>
          <w:sz w:val="13"/>
        </w:rPr>
        <w:t>140 </w:t>
      </w:r>
      <w:r>
        <w:rPr>
          <w:sz w:val="20"/>
        </w:rPr>
        <w:t>Journal of the National Cancer Institute 2003, 95, p. 717–722</w:t>
      </w:r>
    </w:p>
    <w:p>
      <w:pPr>
        <w:spacing w:after="0"/>
        <w:jc w:val="left"/>
        <w:rPr>
          <w:sz w:val="20"/>
        </w:rPr>
        <w:sectPr>
          <w:pgSz w:w="14270" w:h="16850"/>
          <w:pgMar w:header="0" w:footer="1891" w:top="1600" w:bottom="2080" w:left="800" w:right="1280"/>
        </w:sectPr>
      </w:pPr>
    </w:p>
    <w:p>
      <w:pPr>
        <w:pStyle w:val="BodyText"/>
        <w:spacing w:line="276" w:lineRule="auto" w:before="181"/>
        <w:ind w:left="477" w:right="131"/>
        <w:jc w:val="both"/>
        <w:rPr>
          <w:sz w:val="25"/>
        </w:rPr>
      </w:pPr>
      <w:r>
        <w:rPr/>
        <w:t>In the five-year Linxian study from 1993, 30,000 Chinese subjects (non-smok- ers!) were given beta-carotene in combination with vitamin E and selenium. Mortality rates were thus reduced by 9 %, cancer deaths were reduced by 13 % and, with gastric cancer, significant success was achieved, with 21 % fewer deaths.</w:t>
      </w:r>
      <w:r>
        <w:rPr>
          <w:position w:val="9"/>
          <w:sz w:val="25"/>
        </w:rPr>
        <w:t>141</w:t>
      </w:r>
    </w:p>
    <w:p>
      <w:pPr>
        <w:pStyle w:val="Heading1"/>
        <w:spacing w:before="223"/>
        <w:jc w:val="both"/>
      </w:pPr>
      <w:r>
        <w:rPr/>
        <w:t>Beta-carotene makes the pounds melt</w:t>
      </w:r>
      <w:r>
        <w:rPr>
          <w:spacing w:val="-55"/>
        </w:rPr>
        <w:t> </w:t>
      </w:r>
      <w:r>
        <w:rPr/>
        <w:t>away</w:t>
      </w:r>
    </w:p>
    <w:p>
      <w:pPr>
        <w:pStyle w:val="BodyText"/>
        <w:spacing w:line="276" w:lineRule="auto" w:before="299"/>
        <w:ind w:left="477" w:right="134"/>
        <w:jc w:val="both"/>
      </w:pPr>
      <w:r>
        <w:rPr/>
        <w:t>According to a Spanish study, vitamin A (beta-carotene is its precursor) clearly has a significant effect on our fat metabolism and therefore on our body fat percentage.</w:t>
      </w:r>
    </w:p>
    <w:p>
      <w:pPr>
        <w:pStyle w:val="BodyText"/>
        <w:spacing w:line="276" w:lineRule="auto" w:before="242"/>
        <w:ind w:left="477" w:right="138"/>
        <w:jc w:val="both"/>
        <w:rPr>
          <w:sz w:val="25"/>
        </w:rPr>
      </w:pPr>
      <w:r>
        <w:rPr/>
        <w:t>If insufficient vitamin A was administered in animal experiments, there was an increase in fatty tissue; a richer intake of vitamin A, however, made even more pounds melt away.</w:t>
      </w:r>
      <w:r>
        <w:rPr>
          <w:position w:val="9"/>
          <w:sz w:val="25"/>
        </w:rPr>
        <w:t>142</w:t>
      </w:r>
    </w:p>
    <w:p>
      <w:pPr>
        <w:pStyle w:val="Heading1"/>
        <w:spacing w:before="221"/>
        <w:jc w:val="both"/>
      </w:pPr>
      <w:r>
        <w:rPr/>
        <w:t>Are there any side effects when taking beta-carotene?</w:t>
      </w:r>
    </w:p>
    <w:p>
      <w:pPr>
        <w:pStyle w:val="BodyText"/>
        <w:spacing w:line="276" w:lineRule="auto" w:before="300"/>
        <w:ind w:left="477" w:right="134"/>
        <w:jc w:val="both"/>
      </w:pPr>
      <w:r>
        <w:rPr/>
        <w:t>As already discussed in the section ‘Beta-carotene effect’, beta-carotene made negative</w:t>
      </w:r>
      <w:r>
        <w:rPr>
          <w:spacing w:val="-17"/>
        </w:rPr>
        <w:t> </w:t>
      </w:r>
      <w:r>
        <w:rPr/>
        <w:t>headlines</w:t>
      </w:r>
      <w:r>
        <w:rPr>
          <w:spacing w:val="-15"/>
        </w:rPr>
        <w:t> </w:t>
      </w:r>
      <w:r>
        <w:rPr/>
        <w:t>when</w:t>
      </w:r>
      <w:r>
        <w:rPr>
          <w:spacing w:val="-16"/>
        </w:rPr>
        <w:t> </w:t>
      </w:r>
      <w:r>
        <w:rPr/>
        <w:t>two</w:t>
      </w:r>
      <w:r>
        <w:rPr>
          <w:spacing w:val="-16"/>
        </w:rPr>
        <w:t> </w:t>
      </w:r>
      <w:r>
        <w:rPr/>
        <w:t>studies</w:t>
      </w:r>
      <w:r>
        <w:rPr>
          <w:spacing w:val="-17"/>
        </w:rPr>
        <w:t> </w:t>
      </w:r>
      <w:r>
        <w:rPr/>
        <w:t>suggested</w:t>
      </w:r>
      <w:r>
        <w:rPr>
          <w:spacing w:val="-16"/>
        </w:rPr>
        <w:t> </w:t>
      </w:r>
      <w:r>
        <w:rPr/>
        <w:t>it</w:t>
      </w:r>
      <w:r>
        <w:rPr>
          <w:spacing w:val="-18"/>
        </w:rPr>
        <w:t> </w:t>
      </w:r>
      <w:r>
        <w:rPr/>
        <w:t>would</w:t>
      </w:r>
      <w:r>
        <w:rPr>
          <w:spacing w:val="-17"/>
        </w:rPr>
        <w:t> </w:t>
      </w:r>
      <w:r>
        <w:rPr/>
        <w:t>increase</w:t>
      </w:r>
      <w:r>
        <w:rPr>
          <w:spacing w:val="-15"/>
        </w:rPr>
        <w:t> </w:t>
      </w:r>
      <w:r>
        <w:rPr/>
        <w:t>the</w:t>
      </w:r>
      <w:r>
        <w:rPr>
          <w:spacing w:val="-16"/>
        </w:rPr>
        <w:t> </w:t>
      </w:r>
      <w:r>
        <w:rPr/>
        <w:t>risk</w:t>
      </w:r>
      <w:r>
        <w:rPr>
          <w:spacing w:val="-16"/>
        </w:rPr>
        <w:t> </w:t>
      </w:r>
      <w:r>
        <w:rPr/>
        <w:t>of</w:t>
      </w:r>
      <w:r>
        <w:rPr>
          <w:spacing w:val="-16"/>
        </w:rPr>
        <w:t> </w:t>
      </w:r>
      <w:r>
        <w:rPr/>
        <w:t>lung cancer</w:t>
      </w:r>
      <w:r>
        <w:rPr>
          <w:spacing w:val="-12"/>
        </w:rPr>
        <w:t> </w:t>
      </w:r>
      <w:r>
        <w:rPr/>
        <w:t>in</w:t>
      </w:r>
      <w:r>
        <w:rPr>
          <w:spacing w:val="-13"/>
        </w:rPr>
        <w:t> </w:t>
      </w:r>
      <w:r>
        <w:rPr/>
        <w:t>smokers</w:t>
      </w:r>
      <w:r>
        <w:rPr>
          <w:spacing w:val="-12"/>
        </w:rPr>
        <w:t> </w:t>
      </w:r>
      <w:r>
        <w:rPr/>
        <w:t>instead</w:t>
      </w:r>
      <w:r>
        <w:rPr>
          <w:spacing w:val="-13"/>
        </w:rPr>
        <w:t> </w:t>
      </w:r>
      <w:r>
        <w:rPr/>
        <w:t>of</w:t>
      </w:r>
      <w:r>
        <w:rPr>
          <w:spacing w:val="-11"/>
        </w:rPr>
        <w:t> </w:t>
      </w:r>
      <w:r>
        <w:rPr/>
        <w:t>protecting</w:t>
      </w:r>
      <w:r>
        <w:rPr>
          <w:spacing w:val="-13"/>
        </w:rPr>
        <w:t> </w:t>
      </w:r>
      <w:r>
        <w:rPr/>
        <w:t>them</w:t>
      </w:r>
      <w:r>
        <w:rPr>
          <w:spacing w:val="-12"/>
        </w:rPr>
        <w:t> </w:t>
      </w:r>
      <w:r>
        <w:rPr/>
        <w:t>against</w:t>
      </w:r>
      <w:r>
        <w:rPr>
          <w:spacing w:val="-13"/>
        </w:rPr>
        <w:t> </w:t>
      </w:r>
      <w:r>
        <w:rPr/>
        <w:t>it.</w:t>
      </w:r>
      <w:r>
        <w:rPr>
          <w:spacing w:val="-12"/>
        </w:rPr>
        <w:t> </w:t>
      </w:r>
      <w:r>
        <w:rPr/>
        <w:t>What</w:t>
      </w:r>
      <w:r>
        <w:rPr>
          <w:spacing w:val="-14"/>
        </w:rPr>
        <w:t> </w:t>
      </w:r>
      <w:r>
        <w:rPr/>
        <w:t>was</w:t>
      </w:r>
      <w:r>
        <w:rPr>
          <w:spacing w:val="-12"/>
        </w:rPr>
        <w:t> </w:t>
      </w:r>
      <w:r>
        <w:rPr/>
        <w:t>not</w:t>
      </w:r>
      <w:r>
        <w:rPr>
          <w:spacing w:val="-13"/>
        </w:rPr>
        <w:t> </w:t>
      </w:r>
      <w:r>
        <w:rPr/>
        <w:t>reported, however, is that, firstly, those involved were very heavy smokers and secondly, the intake of beta-carotene was in very high doses, which corresponded to 10 to 15 times the usual</w:t>
      </w:r>
      <w:r>
        <w:rPr>
          <w:spacing w:val="-1"/>
        </w:rPr>
        <w:t> </w:t>
      </w:r>
      <w:r>
        <w:rPr/>
        <w:t>recommendation.</w:t>
      </w:r>
    </w:p>
    <w:p>
      <w:pPr>
        <w:pStyle w:val="BodyText"/>
        <w:rPr>
          <w:sz w:val="20"/>
        </w:rPr>
      </w:pPr>
    </w:p>
    <w:p>
      <w:pPr>
        <w:pStyle w:val="BodyText"/>
        <w:rPr>
          <w:sz w:val="20"/>
        </w:rPr>
      </w:pPr>
    </w:p>
    <w:p>
      <w:pPr>
        <w:pStyle w:val="BodyText"/>
        <w:spacing w:before="9"/>
        <w:rPr>
          <w:sz w:val="21"/>
        </w:rPr>
      </w:pPr>
      <w:r>
        <w:rPr/>
        <w:pict>
          <v:line style="position:absolute;mso-position-horizontal-relative:page;mso-position-vertical-relative:paragraph;z-index:1232;mso-wrap-distance-left:0;mso-wrap-distance-right:0" from="63.863998pt,14.658735pt" to="207.883998pt,14.658735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141 </w:t>
      </w:r>
      <w:r>
        <w:rPr>
          <w:sz w:val="20"/>
        </w:rPr>
        <w:t>J Natl Cancer Inst 1993; 85, p. 1483</w:t>
      </w:r>
    </w:p>
    <w:p>
      <w:pPr>
        <w:spacing w:before="94"/>
        <w:ind w:left="477" w:right="0" w:firstLine="0"/>
        <w:jc w:val="left"/>
        <w:rPr>
          <w:sz w:val="20"/>
        </w:rPr>
      </w:pPr>
      <w:r>
        <w:rPr>
          <w:position w:val="5"/>
          <w:sz w:val="13"/>
        </w:rPr>
        <w:t>142 </w:t>
      </w:r>
      <w:r>
        <w:rPr>
          <w:sz w:val="20"/>
        </w:rPr>
        <w:t>Cellular and Molecular Life Sciences, 2003, 60 (7), p. 1311–1321</w:t>
      </w:r>
    </w:p>
    <w:p>
      <w:pPr>
        <w:spacing w:after="0"/>
        <w:jc w:val="left"/>
        <w:rPr>
          <w:sz w:val="20"/>
        </w:rPr>
        <w:sectPr>
          <w:pgSz w:w="14270" w:h="16850"/>
          <w:pgMar w:header="0" w:footer="1891" w:top="1600" w:bottom="2080" w:left="800" w:right="1280"/>
        </w:sectPr>
      </w:pPr>
    </w:p>
    <w:p>
      <w:pPr>
        <w:pStyle w:val="BodyText"/>
        <w:spacing w:line="276" w:lineRule="auto" w:before="181"/>
        <w:ind w:left="477" w:right="131"/>
        <w:jc w:val="both"/>
      </w:pPr>
      <w:r>
        <w:rPr/>
        <w:t>Even a high intake of beta-carotene cannot lead to oversupply, because the body,</w:t>
      </w:r>
      <w:r>
        <w:rPr>
          <w:spacing w:val="-7"/>
        </w:rPr>
        <w:t> </w:t>
      </w:r>
      <w:r>
        <w:rPr/>
        <w:t>as</w:t>
      </w:r>
      <w:r>
        <w:rPr>
          <w:spacing w:val="-9"/>
        </w:rPr>
        <w:t> </w:t>
      </w:r>
      <w:r>
        <w:rPr/>
        <w:t>already</w:t>
      </w:r>
      <w:r>
        <w:rPr>
          <w:spacing w:val="-10"/>
        </w:rPr>
        <w:t> </w:t>
      </w:r>
      <w:r>
        <w:rPr/>
        <w:t>described,</w:t>
      </w:r>
      <w:r>
        <w:rPr>
          <w:spacing w:val="-6"/>
        </w:rPr>
        <w:t> </w:t>
      </w:r>
      <w:r>
        <w:rPr/>
        <w:t>only</w:t>
      </w:r>
      <w:r>
        <w:rPr>
          <w:spacing w:val="-8"/>
        </w:rPr>
        <w:t> </w:t>
      </w:r>
      <w:r>
        <w:rPr/>
        <w:t>converts</w:t>
      </w:r>
      <w:r>
        <w:rPr>
          <w:spacing w:val="-6"/>
        </w:rPr>
        <w:t> </w:t>
      </w:r>
      <w:r>
        <w:rPr/>
        <w:t>as</w:t>
      </w:r>
      <w:r>
        <w:rPr>
          <w:spacing w:val="-9"/>
        </w:rPr>
        <w:t> </w:t>
      </w:r>
      <w:r>
        <w:rPr/>
        <w:t>much</w:t>
      </w:r>
      <w:r>
        <w:rPr>
          <w:spacing w:val="-7"/>
        </w:rPr>
        <w:t> </w:t>
      </w:r>
      <w:r>
        <w:rPr/>
        <w:t>beta-carotene</w:t>
      </w:r>
      <w:r>
        <w:rPr>
          <w:spacing w:val="-7"/>
        </w:rPr>
        <w:t> </w:t>
      </w:r>
      <w:r>
        <w:rPr/>
        <w:t>into</w:t>
      </w:r>
      <w:r>
        <w:rPr>
          <w:spacing w:val="-6"/>
        </w:rPr>
        <w:t> </w:t>
      </w:r>
      <w:r>
        <w:rPr/>
        <w:t>vitamin</w:t>
      </w:r>
      <w:r>
        <w:rPr>
          <w:spacing w:val="-6"/>
        </w:rPr>
        <w:t> </w:t>
      </w:r>
      <w:r>
        <w:rPr/>
        <w:t>A as it requires at that moment. It stores the rest in the skin. The only side effect which can occur due to high amounts of natural beta-carotene is of a visual nature.</w:t>
      </w:r>
      <w:r>
        <w:rPr>
          <w:spacing w:val="-6"/>
        </w:rPr>
        <w:t> </w:t>
      </w:r>
      <w:r>
        <w:rPr/>
        <w:t>This</w:t>
      </w:r>
      <w:r>
        <w:rPr>
          <w:spacing w:val="-5"/>
        </w:rPr>
        <w:t> </w:t>
      </w:r>
      <w:r>
        <w:rPr/>
        <w:t>is</w:t>
      </w:r>
      <w:r>
        <w:rPr>
          <w:spacing w:val="-7"/>
        </w:rPr>
        <w:t> </w:t>
      </w:r>
      <w:r>
        <w:rPr/>
        <w:t>a</w:t>
      </w:r>
      <w:r>
        <w:rPr>
          <w:spacing w:val="-4"/>
        </w:rPr>
        <w:t> </w:t>
      </w:r>
      <w:r>
        <w:rPr/>
        <w:t>yellowing</w:t>
      </w:r>
      <w:r>
        <w:rPr>
          <w:spacing w:val="-5"/>
        </w:rPr>
        <w:t> </w:t>
      </w:r>
      <w:r>
        <w:rPr/>
        <w:t>on</w:t>
      </w:r>
      <w:r>
        <w:rPr>
          <w:spacing w:val="-6"/>
        </w:rPr>
        <w:t> </w:t>
      </w:r>
      <w:r>
        <w:rPr/>
        <w:t>the</w:t>
      </w:r>
      <w:r>
        <w:rPr>
          <w:spacing w:val="-5"/>
        </w:rPr>
        <w:t> </w:t>
      </w:r>
      <w:r>
        <w:rPr/>
        <w:t>palms</w:t>
      </w:r>
      <w:r>
        <w:rPr>
          <w:spacing w:val="-5"/>
        </w:rPr>
        <w:t> </w:t>
      </w:r>
      <w:r>
        <w:rPr/>
        <w:t>and</w:t>
      </w:r>
      <w:r>
        <w:rPr>
          <w:spacing w:val="-7"/>
        </w:rPr>
        <w:t> </w:t>
      </w:r>
      <w:r>
        <w:rPr/>
        <w:t>soles</w:t>
      </w:r>
      <w:r>
        <w:rPr>
          <w:spacing w:val="-6"/>
        </w:rPr>
        <w:t> </w:t>
      </w:r>
      <w:r>
        <w:rPr/>
        <w:t>of</w:t>
      </w:r>
      <w:r>
        <w:rPr>
          <w:spacing w:val="-6"/>
        </w:rPr>
        <w:t> </w:t>
      </w:r>
      <w:r>
        <w:rPr/>
        <w:t>our</w:t>
      </w:r>
      <w:r>
        <w:rPr>
          <w:spacing w:val="-7"/>
        </w:rPr>
        <w:t> </w:t>
      </w:r>
      <w:r>
        <w:rPr/>
        <w:t>feet.</w:t>
      </w:r>
      <w:r>
        <w:rPr>
          <w:spacing w:val="-5"/>
        </w:rPr>
        <w:t> </w:t>
      </w:r>
      <w:r>
        <w:rPr/>
        <w:t>This</w:t>
      </w:r>
      <w:r>
        <w:rPr>
          <w:spacing w:val="-6"/>
        </w:rPr>
        <w:t> </w:t>
      </w:r>
      <w:r>
        <w:rPr/>
        <w:t>results</w:t>
      </w:r>
      <w:r>
        <w:rPr>
          <w:spacing w:val="-5"/>
        </w:rPr>
        <w:t> </w:t>
      </w:r>
      <w:r>
        <w:rPr/>
        <w:t>from taking more than 20 mg of beta-carotene daily, which accumulates under the skin and leads to so-called hypercarotinemia, which is completely harmless. If the intake of beta-carotene is stopped, or if the dosage is lowered, the hyperca- rotinemia disappears completely by</w:t>
      </w:r>
      <w:r>
        <w:rPr>
          <w:spacing w:val="2"/>
        </w:rPr>
        <w:t> </w:t>
      </w:r>
      <w:r>
        <w:rPr/>
        <w:t>itself.</w:t>
      </w:r>
    </w:p>
    <w:p>
      <w:pPr>
        <w:pStyle w:val="BodyText"/>
        <w:spacing w:line="276" w:lineRule="auto" w:before="242"/>
        <w:ind w:left="477"/>
      </w:pPr>
      <w:r>
        <w:rPr/>
        <w:t>Incidentally,</w:t>
      </w:r>
      <w:r>
        <w:rPr>
          <w:spacing w:val="-18"/>
        </w:rPr>
        <w:t> </w:t>
      </w:r>
      <w:r>
        <w:rPr/>
        <w:t>naturopaths</w:t>
      </w:r>
      <w:r>
        <w:rPr>
          <w:spacing w:val="-18"/>
        </w:rPr>
        <w:t> </w:t>
      </w:r>
      <w:r>
        <w:rPr/>
        <w:t>and</w:t>
      </w:r>
      <w:r>
        <w:rPr>
          <w:spacing w:val="-17"/>
        </w:rPr>
        <w:t> </w:t>
      </w:r>
      <w:r>
        <w:rPr/>
        <w:t>alternative</w:t>
      </w:r>
      <w:r>
        <w:rPr>
          <w:spacing w:val="-19"/>
        </w:rPr>
        <w:t> </w:t>
      </w:r>
      <w:r>
        <w:rPr/>
        <w:t>practitioners</w:t>
      </w:r>
      <w:r>
        <w:rPr>
          <w:spacing w:val="-19"/>
        </w:rPr>
        <w:t> </w:t>
      </w:r>
      <w:r>
        <w:rPr/>
        <w:t>prescribe</w:t>
      </w:r>
      <w:r>
        <w:rPr>
          <w:spacing w:val="-23"/>
        </w:rPr>
        <w:t> </w:t>
      </w:r>
      <w:r>
        <w:rPr/>
        <w:t>180</w:t>
      </w:r>
      <w:r>
        <w:rPr>
          <w:spacing w:val="-19"/>
        </w:rPr>
        <w:t> </w:t>
      </w:r>
      <w:r>
        <w:rPr/>
        <w:t>mg</w:t>
      </w:r>
      <w:r>
        <w:rPr>
          <w:spacing w:val="-18"/>
        </w:rPr>
        <w:t> </w:t>
      </w:r>
      <w:r>
        <w:rPr/>
        <w:t>of</w:t>
      </w:r>
      <w:r>
        <w:rPr>
          <w:spacing w:val="-17"/>
        </w:rPr>
        <w:t> </w:t>
      </w:r>
      <w:r>
        <w:rPr/>
        <w:t>beta- carotene and more for certain diseases, without any significant side</w:t>
      </w:r>
      <w:r>
        <w:rPr>
          <w:spacing w:val="-17"/>
        </w:rPr>
        <w:t> </w:t>
      </w:r>
      <w:r>
        <w:rPr/>
        <w:t>effects.</w:t>
      </w:r>
    </w:p>
    <w:p>
      <w:pPr>
        <w:pStyle w:val="BodyText"/>
        <w:rPr>
          <w:sz w:val="42"/>
        </w:rPr>
      </w:pPr>
    </w:p>
    <w:p>
      <w:pPr>
        <w:pStyle w:val="BodyText"/>
        <w:spacing w:before="3"/>
        <w:rPr>
          <w:sz w:val="44"/>
        </w:rPr>
      </w:pPr>
    </w:p>
    <w:p>
      <w:pPr>
        <w:pStyle w:val="Heading2"/>
      </w:pPr>
      <w:r>
        <w:rPr/>
        <w:t>Interactions of beta-carotene</w:t>
      </w:r>
    </w:p>
    <w:p>
      <w:pPr>
        <w:spacing w:before="287"/>
        <w:ind w:left="477" w:right="0" w:firstLine="0"/>
        <w:jc w:val="left"/>
        <w:rPr>
          <w:b/>
          <w:i/>
          <w:sz w:val="40"/>
        </w:rPr>
      </w:pPr>
      <w:r>
        <w:rPr>
          <w:b/>
          <w:i/>
          <w:sz w:val="40"/>
        </w:rPr>
        <w:t>Does beta-carotene interact with other substances?</w:t>
      </w:r>
    </w:p>
    <w:p>
      <w:pPr>
        <w:pStyle w:val="BodyText"/>
        <w:spacing w:line="276" w:lineRule="auto" w:before="300"/>
        <w:ind w:left="477" w:right="69"/>
      </w:pPr>
      <w:r>
        <w:rPr/>
        <w:t>Beta-carotene levels may decrease with regular cigarette consumption and alco- hol consumption.</w:t>
      </w:r>
    </w:p>
    <w:p>
      <w:pPr>
        <w:spacing w:after="0" w:line="276" w:lineRule="auto"/>
        <w:sectPr>
          <w:pgSz w:w="14270" w:h="16850"/>
          <w:pgMar w:header="0" w:footer="1891" w:top="1600" w:bottom="2080" w:left="800" w:right="1280"/>
        </w:sectPr>
      </w:pPr>
    </w:p>
    <w:p>
      <w:pPr>
        <w:spacing w:before="183"/>
        <w:ind w:left="477" w:right="0" w:firstLine="0"/>
        <w:jc w:val="left"/>
        <w:rPr>
          <w:rFonts w:ascii="Cambria"/>
          <w:b/>
          <w:sz w:val="28"/>
        </w:rPr>
      </w:pPr>
      <w:r>
        <w:rPr>
          <w:rFonts w:ascii="Cambria"/>
          <w:b/>
          <w:color w:val="365F91"/>
          <w:sz w:val="28"/>
        </w:rPr>
        <w:t>COLOSTRUM</w:t>
      </w:r>
    </w:p>
    <w:p>
      <w:pPr>
        <w:pStyle w:val="BodyText"/>
        <w:spacing w:before="11"/>
        <w:rPr>
          <w:rFonts w:ascii="Cambria"/>
          <w:b/>
          <w:sz w:val="44"/>
        </w:rPr>
      </w:pPr>
    </w:p>
    <w:p>
      <w:pPr>
        <w:pStyle w:val="Heading2"/>
      </w:pPr>
      <w:r>
        <w:rPr/>
        <w:t>Things to know in advance</w:t>
      </w:r>
    </w:p>
    <w:p>
      <w:pPr>
        <w:pStyle w:val="BodyText"/>
        <w:spacing w:line="276" w:lineRule="auto" w:before="305"/>
        <w:ind w:left="477" w:right="134"/>
        <w:jc w:val="both"/>
      </w:pPr>
      <w:r>
        <w:rPr/>
        <w:t>Colostrum is more than a wonderful gift from Mother Nature. It is nature’s greatest</w:t>
      </w:r>
      <w:r>
        <w:rPr>
          <w:spacing w:val="-17"/>
        </w:rPr>
        <w:t> </w:t>
      </w:r>
      <w:r>
        <w:rPr/>
        <w:t>possible</w:t>
      </w:r>
      <w:r>
        <w:rPr>
          <w:spacing w:val="-19"/>
        </w:rPr>
        <w:t> </w:t>
      </w:r>
      <w:r>
        <w:rPr/>
        <w:t>reassurance</w:t>
      </w:r>
      <w:r>
        <w:rPr>
          <w:spacing w:val="-16"/>
        </w:rPr>
        <w:t> </w:t>
      </w:r>
      <w:r>
        <w:rPr/>
        <w:t>of</w:t>
      </w:r>
      <w:r>
        <w:rPr>
          <w:spacing w:val="-16"/>
        </w:rPr>
        <w:t> </w:t>
      </w:r>
      <w:r>
        <w:rPr/>
        <w:t>newborn</w:t>
      </w:r>
      <w:r>
        <w:rPr>
          <w:spacing w:val="-16"/>
        </w:rPr>
        <w:t> </w:t>
      </w:r>
      <w:r>
        <w:rPr/>
        <w:t>babies’</w:t>
      </w:r>
      <w:r>
        <w:rPr>
          <w:spacing w:val="-18"/>
        </w:rPr>
        <w:t> </w:t>
      </w:r>
      <w:r>
        <w:rPr/>
        <w:t>survival</w:t>
      </w:r>
      <w:r>
        <w:rPr>
          <w:spacing w:val="-16"/>
        </w:rPr>
        <w:t> </w:t>
      </w:r>
      <w:r>
        <w:rPr/>
        <w:t>chances,</w:t>
      </w:r>
      <w:r>
        <w:rPr>
          <w:spacing w:val="-18"/>
        </w:rPr>
        <w:t> </w:t>
      </w:r>
      <w:r>
        <w:rPr/>
        <w:t>to</w:t>
      </w:r>
      <w:r>
        <w:rPr>
          <w:spacing w:val="-16"/>
        </w:rPr>
        <w:t> </w:t>
      </w:r>
      <w:r>
        <w:rPr/>
        <w:t>ensure</w:t>
      </w:r>
      <w:r>
        <w:rPr>
          <w:spacing w:val="-17"/>
        </w:rPr>
        <w:t> </w:t>
      </w:r>
      <w:r>
        <w:rPr/>
        <w:t>the survival of both the human and the animal race. Among the gifts of Mother Nature, colostrum plays a very special role, because it is not just a nutrient, but THE</w:t>
      </w:r>
      <w:r>
        <w:rPr>
          <w:spacing w:val="-6"/>
        </w:rPr>
        <w:t> </w:t>
      </w:r>
      <w:r>
        <w:rPr/>
        <w:t>‘Number</w:t>
      </w:r>
      <w:r>
        <w:rPr>
          <w:spacing w:val="-8"/>
        </w:rPr>
        <w:t> </w:t>
      </w:r>
      <w:r>
        <w:rPr/>
        <w:t>One’</w:t>
      </w:r>
      <w:r>
        <w:rPr>
          <w:spacing w:val="-4"/>
        </w:rPr>
        <w:t> </w:t>
      </w:r>
      <w:r>
        <w:rPr/>
        <w:t>nutrient,</w:t>
      </w:r>
      <w:r>
        <w:rPr>
          <w:spacing w:val="-8"/>
        </w:rPr>
        <w:t> </w:t>
      </w:r>
      <w:r>
        <w:rPr/>
        <w:t>with</w:t>
      </w:r>
      <w:r>
        <w:rPr>
          <w:spacing w:val="-3"/>
        </w:rPr>
        <w:t> </w:t>
      </w:r>
      <w:r>
        <w:rPr/>
        <w:t>the</w:t>
      </w:r>
      <w:r>
        <w:rPr>
          <w:spacing w:val="-8"/>
        </w:rPr>
        <w:t> </w:t>
      </w:r>
      <w:r>
        <w:rPr/>
        <w:t>longest</w:t>
      </w:r>
      <w:r>
        <w:rPr>
          <w:spacing w:val="-7"/>
        </w:rPr>
        <w:t> </w:t>
      </w:r>
      <w:r>
        <w:rPr/>
        <w:t>tradition</w:t>
      </w:r>
      <w:r>
        <w:rPr>
          <w:spacing w:val="-4"/>
        </w:rPr>
        <w:t> </w:t>
      </w:r>
      <w:r>
        <w:rPr/>
        <w:t>of</w:t>
      </w:r>
      <w:r>
        <w:rPr>
          <w:spacing w:val="-4"/>
        </w:rPr>
        <w:t> </w:t>
      </w:r>
      <w:r>
        <w:rPr/>
        <w:t>intake</w:t>
      </w:r>
      <w:r>
        <w:rPr>
          <w:spacing w:val="-6"/>
        </w:rPr>
        <w:t> </w:t>
      </w:r>
      <w:r>
        <w:rPr/>
        <w:t>and</w:t>
      </w:r>
      <w:r>
        <w:rPr>
          <w:spacing w:val="-4"/>
        </w:rPr>
        <w:t> </w:t>
      </w:r>
      <w:r>
        <w:rPr/>
        <w:t>the</w:t>
      </w:r>
      <w:r>
        <w:rPr>
          <w:spacing w:val="-8"/>
        </w:rPr>
        <w:t> </w:t>
      </w:r>
      <w:r>
        <w:rPr/>
        <w:t>high- est</w:t>
      </w:r>
      <w:r>
        <w:rPr>
          <w:spacing w:val="-17"/>
        </w:rPr>
        <w:t> </w:t>
      </w:r>
      <w:r>
        <w:rPr/>
        <w:t>conceivable</w:t>
      </w:r>
      <w:r>
        <w:rPr>
          <w:spacing w:val="-18"/>
        </w:rPr>
        <w:t> </w:t>
      </w:r>
      <w:r>
        <w:rPr/>
        <w:t>possibility</w:t>
      </w:r>
      <w:r>
        <w:rPr>
          <w:spacing w:val="-18"/>
        </w:rPr>
        <w:t> </w:t>
      </w:r>
      <w:r>
        <w:rPr/>
        <w:t>of</w:t>
      </w:r>
      <w:r>
        <w:rPr>
          <w:spacing w:val="-16"/>
        </w:rPr>
        <w:t> </w:t>
      </w:r>
      <w:r>
        <w:rPr/>
        <w:t>intake</w:t>
      </w:r>
      <w:r>
        <w:rPr>
          <w:spacing w:val="-16"/>
        </w:rPr>
        <w:t> </w:t>
      </w:r>
      <w:r>
        <w:rPr/>
        <w:t>–</w:t>
      </w:r>
      <w:r>
        <w:rPr>
          <w:spacing w:val="-17"/>
        </w:rPr>
        <w:t> </w:t>
      </w:r>
      <w:r>
        <w:rPr/>
        <w:t>namely</w:t>
      </w:r>
      <w:r>
        <w:rPr>
          <w:spacing w:val="-16"/>
        </w:rPr>
        <w:t> </w:t>
      </w:r>
      <w:r>
        <w:rPr/>
        <w:t>from</w:t>
      </w:r>
      <w:r>
        <w:rPr>
          <w:spacing w:val="-17"/>
        </w:rPr>
        <w:t> </w:t>
      </w:r>
      <w:r>
        <w:rPr/>
        <w:t>when</w:t>
      </w:r>
      <w:r>
        <w:rPr>
          <w:spacing w:val="-17"/>
        </w:rPr>
        <w:t> </w:t>
      </w:r>
      <w:r>
        <w:rPr/>
        <w:t>the</w:t>
      </w:r>
      <w:r>
        <w:rPr>
          <w:spacing w:val="-17"/>
        </w:rPr>
        <w:t> </w:t>
      </w:r>
      <w:r>
        <w:rPr/>
        <w:t>first</w:t>
      </w:r>
      <w:r>
        <w:rPr>
          <w:spacing w:val="-19"/>
        </w:rPr>
        <w:t> </w:t>
      </w:r>
      <w:r>
        <w:rPr/>
        <w:t>living</w:t>
      </w:r>
      <w:r>
        <w:rPr>
          <w:spacing w:val="-16"/>
        </w:rPr>
        <w:t> </w:t>
      </w:r>
      <w:r>
        <w:rPr/>
        <w:t>creature was born and</w:t>
      </w:r>
      <w:r>
        <w:rPr>
          <w:spacing w:val="2"/>
        </w:rPr>
        <w:t> </w:t>
      </w:r>
      <w:r>
        <w:rPr/>
        <w:t>suckled.</w:t>
      </w:r>
    </w:p>
    <w:p>
      <w:pPr>
        <w:pStyle w:val="BodyText"/>
        <w:spacing w:line="276" w:lineRule="auto" w:before="240"/>
        <w:ind w:left="477" w:right="134"/>
        <w:jc w:val="both"/>
      </w:pPr>
      <w:r>
        <w:rPr/>
        <w:t>To protect the newborn body by strengthening its defences against numerous viruses and bacteria, such as the typical form of blood poisoning, known as neonatal sepsis, and to give it the power to breathe, to communicate through sounds and to approach the maternal breast, to give it muscular power (in the case of animals) to move on with the mother and herd in search of food and water, just a few hours after birth, without being left alone, starving and dying of thirst, or being eaten by predators, Mother Nature had to come up with a very special strategy in order to quickly provide the newborn with a concen- trated load of nutrients and vital substances which is second to none and en- sures the survival of the newborn in the critical first days.</w:t>
      </w:r>
    </w:p>
    <w:p>
      <w:pPr>
        <w:pStyle w:val="BodyText"/>
        <w:spacing w:line="276" w:lineRule="auto" w:before="243"/>
        <w:ind w:left="477" w:right="142"/>
        <w:jc w:val="both"/>
      </w:pPr>
      <w:r>
        <w:rPr/>
        <w:t>Logically, this reinsurance from Mother Nature cannot be done in any other way than through breast milk, because, apart from oxygen and heat, it is the</w:t>
      </w:r>
    </w:p>
    <w:p>
      <w:pPr>
        <w:spacing w:after="0" w:line="276" w:lineRule="auto"/>
        <w:jc w:val="both"/>
        <w:sectPr>
          <w:pgSz w:w="14270" w:h="16850"/>
          <w:pgMar w:header="0" w:footer="1891" w:top="1600" w:bottom="2080" w:left="800" w:right="1280"/>
        </w:sectPr>
      </w:pPr>
    </w:p>
    <w:p>
      <w:pPr>
        <w:pStyle w:val="BodyText"/>
        <w:spacing w:before="181"/>
        <w:ind w:left="477"/>
      </w:pPr>
      <w:r>
        <w:rPr/>
        <w:t>only factor that gives the newborn everything it needs to survive.</w:t>
      </w:r>
    </w:p>
    <w:p>
      <w:pPr>
        <w:pStyle w:val="BodyText"/>
        <w:spacing w:line="276" w:lineRule="auto" w:before="305"/>
        <w:ind w:left="477" w:right="131"/>
        <w:jc w:val="both"/>
      </w:pPr>
      <w:r>
        <w:rPr/>
        <w:t>Colostrum is nothing but a first milk secretion that is produced in the breast glands of the mother during the first 24 to 72 hours after delivery. It contains over 80 different micronutrients which provide the life-sustaining immune and growth factors and give the newborn the immunity and strength to survive the most difficult phase of its life without coming to harm. In addition, newborns are</w:t>
      </w:r>
      <w:r>
        <w:rPr>
          <w:spacing w:val="-22"/>
        </w:rPr>
        <w:t> </w:t>
      </w:r>
      <w:r>
        <w:rPr/>
        <w:t>given</w:t>
      </w:r>
      <w:r>
        <w:rPr>
          <w:spacing w:val="-21"/>
        </w:rPr>
        <w:t> </w:t>
      </w:r>
      <w:r>
        <w:rPr/>
        <w:t>digestive</w:t>
      </w:r>
      <w:r>
        <w:rPr>
          <w:spacing w:val="-22"/>
        </w:rPr>
        <w:t> </w:t>
      </w:r>
      <w:r>
        <w:rPr/>
        <w:t>control</w:t>
      </w:r>
      <w:r>
        <w:rPr>
          <w:spacing w:val="-24"/>
        </w:rPr>
        <w:t> </w:t>
      </w:r>
      <w:r>
        <w:rPr/>
        <w:t>signals</w:t>
      </w:r>
      <w:r>
        <w:rPr>
          <w:spacing w:val="-22"/>
        </w:rPr>
        <w:t> </w:t>
      </w:r>
      <w:r>
        <w:rPr/>
        <w:t>which</w:t>
      </w:r>
      <w:r>
        <w:rPr>
          <w:spacing w:val="-24"/>
        </w:rPr>
        <w:t> </w:t>
      </w:r>
      <w:r>
        <w:rPr/>
        <w:t>help</w:t>
      </w:r>
      <w:r>
        <w:rPr>
          <w:spacing w:val="-21"/>
        </w:rPr>
        <w:t> </w:t>
      </w:r>
      <w:r>
        <w:rPr/>
        <w:t>the</w:t>
      </w:r>
      <w:r>
        <w:rPr>
          <w:spacing w:val="-25"/>
        </w:rPr>
        <w:t> </w:t>
      </w:r>
      <w:r>
        <w:rPr/>
        <w:t>gastrointestinal</w:t>
      </w:r>
      <w:r>
        <w:rPr>
          <w:spacing w:val="-21"/>
        </w:rPr>
        <w:t> </w:t>
      </w:r>
      <w:r>
        <w:rPr/>
        <w:t>tract</w:t>
      </w:r>
      <w:r>
        <w:rPr>
          <w:spacing w:val="-22"/>
        </w:rPr>
        <w:t> </w:t>
      </w:r>
      <w:r>
        <w:rPr/>
        <w:t>adapt</w:t>
      </w:r>
      <w:r>
        <w:rPr>
          <w:spacing w:val="-22"/>
        </w:rPr>
        <w:t> </w:t>
      </w:r>
      <w:r>
        <w:rPr/>
        <w:t>and mature. Colostrum contains nutrients and the necessary calories to ensure the development of the brain and nervous system.</w:t>
      </w:r>
    </w:p>
    <w:p>
      <w:pPr>
        <w:pStyle w:val="BodyText"/>
        <w:spacing w:line="276" w:lineRule="auto" w:before="241"/>
        <w:ind w:left="477" w:right="137"/>
        <w:jc w:val="both"/>
      </w:pPr>
      <w:r>
        <w:rPr/>
        <w:t>The intention and desire here are to make it possible to not only benefit from the</w:t>
      </w:r>
      <w:r>
        <w:rPr>
          <w:spacing w:val="-4"/>
        </w:rPr>
        <w:t> </w:t>
      </w:r>
      <w:r>
        <w:rPr/>
        <w:t>fabulous</w:t>
      </w:r>
      <w:r>
        <w:rPr>
          <w:spacing w:val="-5"/>
        </w:rPr>
        <w:t> </w:t>
      </w:r>
      <w:r>
        <w:rPr/>
        <w:t>health</w:t>
      </w:r>
      <w:r>
        <w:rPr>
          <w:spacing w:val="-5"/>
        </w:rPr>
        <w:t> </w:t>
      </w:r>
      <w:r>
        <w:rPr/>
        <w:t>benefits</w:t>
      </w:r>
      <w:r>
        <w:rPr>
          <w:spacing w:val="-5"/>
        </w:rPr>
        <w:t> </w:t>
      </w:r>
      <w:r>
        <w:rPr/>
        <w:t>in</w:t>
      </w:r>
      <w:r>
        <w:rPr>
          <w:spacing w:val="-7"/>
        </w:rPr>
        <w:t> </w:t>
      </w:r>
      <w:r>
        <w:rPr/>
        <w:t>the</w:t>
      </w:r>
      <w:r>
        <w:rPr>
          <w:spacing w:val="-3"/>
        </w:rPr>
        <w:t> </w:t>
      </w:r>
      <w:r>
        <w:rPr/>
        <w:t>first</w:t>
      </w:r>
      <w:r>
        <w:rPr>
          <w:spacing w:val="-5"/>
        </w:rPr>
        <w:t> </w:t>
      </w:r>
      <w:r>
        <w:rPr/>
        <w:t>24</w:t>
      </w:r>
      <w:r>
        <w:rPr>
          <w:spacing w:val="-8"/>
        </w:rPr>
        <w:t> </w:t>
      </w:r>
      <w:r>
        <w:rPr/>
        <w:t>to</w:t>
      </w:r>
      <w:r>
        <w:rPr>
          <w:spacing w:val="-3"/>
        </w:rPr>
        <w:t> </w:t>
      </w:r>
      <w:r>
        <w:rPr/>
        <w:t>28</w:t>
      </w:r>
      <w:r>
        <w:rPr>
          <w:spacing w:val="-8"/>
        </w:rPr>
        <w:t> </w:t>
      </w:r>
      <w:r>
        <w:rPr/>
        <w:t>hours,</w:t>
      </w:r>
      <w:r>
        <w:rPr>
          <w:spacing w:val="-4"/>
        </w:rPr>
        <w:t> </w:t>
      </w:r>
      <w:r>
        <w:rPr/>
        <w:t>but</w:t>
      </w:r>
      <w:r>
        <w:rPr>
          <w:spacing w:val="-6"/>
        </w:rPr>
        <w:t> </w:t>
      </w:r>
      <w:r>
        <w:rPr/>
        <w:t>also</w:t>
      </w:r>
      <w:r>
        <w:rPr>
          <w:spacing w:val="-6"/>
        </w:rPr>
        <w:t> </w:t>
      </w:r>
      <w:r>
        <w:rPr/>
        <w:t>to</w:t>
      </w:r>
      <w:r>
        <w:rPr>
          <w:spacing w:val="-6"/>
        </w:rPr>
        <w:t> </w:t>
      </w:r>
      <w:r>
        <w:rPr/>
        <w:t>benefit</w:t>
      </w:r>
      <w:r>
        <w:rPr>
          <w:spacing w:val="-6"/>
        </w:rPr>
        <w:t> </w:t>
      </w:r>
      <w:r>
        <w:rPr/>
        <w:t>from the immune-building and fortifying properties of colostrum in</w:t>
      </w:r>
      <w:r>
        <w:rPr>
          <w:spacing w:val="-15"/>
        </w:rPr>
        <w:t> </w:t>
      </w:r>
      <w:r>
        <w:rPr/>
        <w:t>adulthood.</w:t>
      </w:r>
    </w:p>
    <w:p>
      <w:pPr>
        <w:pStyle w:val="BodyText"/>
        <w:spacing w:line="276" w:lineRule="auto" w:before="239"/>
        <w:ind w:left="477" w:right="231"/>
      </w:pPr>
      <w:r>
        <w:rPr/>
        <w:t>The DNA sequences of various human and animal colostrum constituents were found to be nearly identical, and there was nothing to prevent colostrum extracted from the first milk of cows and goats (also called ‘beestings’) for hu- man use in the form of a dietary supplement.</w:t>
      </w:r>
    </w:p>
    <w:p>
      <w:pPr>
        <w:pStyle w:val="BodyText"/>
        <w:spacing w:line="276" w:lineRule="auto" w:before="242"/>
        <w:ind w:left="477" w:right="133"/>
        <w:jc w:val="both"/>
      </w:pPr>
      <w:r>
        <w:rPr/>
        <w:t>Now,</w:t>
      </w:r>
      <w:r>
        <w:rPr>
          <w:spacing w:val="-12"/>
        </w:rPr>
        <w:t> </w:t>
      </w:r>
      <w:r>
        <w:rPr/>
        <w:t>it</w:t>
      </w:r>
      <w:r>
        <w:rPr>
          <w:spacing w:val="-13"/>
        </w:rPr>
        <w:t> </w:t>
      </w:r>
      <w:r>
        <w:rPr/>
        <w:t>would</w:t>
      </w:r>
      <w:r>
        <w:rPr>
          <w:spacing w:val="-12"/>
        </w:rPr>
        <w:t> </w:t>
      </w:r>
      <w:r>
        <w:rPr/>
        <w:t>be</w:t>
      </w:r>
      <w:r>
        <w:rPr>
          <w:spacing w:val="-11"/>
        </w:rPr>
        <w:t> </w:t>
      </w:r>
      <w:r>
        <w:rPr/>
        <w:t>morally</w:t>
      </w:r>
      <w:r>
        <w:rPr>
          <w:spacing w:val="-12"/>
        </w:rPr>
        <w:t> </w:t>
      </w:r>
      <w:r>
        <w:rPr/>
        <w:t>questionable</w:t>
      </w:r>
      <w:r>
        <w:rPr>
          <w:spacing w:val="-12"/>
        </w:rPr>
        <w:t> </w:t>
      </w:r>
      <w:r>
        <w:rPr/>
        <w:t>to</w:t>
      </w:r>
      <w:r>
        <w:rPr>
          <w:spacing w:val="-11"/>
        </w:rPr>
        <w:t> </w:t>
      </w:r>
      <w:r>
        <w:rPr/>
        <w:t>take</w:t>
      </w:r>
      <w:r>
        <w:rPr>
          <w:spacing w:val="-15"/>
        </w:rPr>
        <w:t> </w:t>
      </w:r>
      <w:r>
        <w:rPr/>
        <w:t>something</w:t>
      </w:r>
      <w:r>
        <w:rPr>
          <w:spacing w:val="-11"/>
        </w:rPr>
        <w:t> </w:t>
      </w:r>
      <w:r>
        <w:rPr/>
        <w:t>away</w:t>
      </w:r>
      <w:r>
        <w:rPr>
          <w:spacing w:val="-12"/>
        </w:rPr>
        <w:t> </w:t>
      </w:r>
      <w:r>
        <w:rPr/>
        <w:t>from</w:t>
      </w:r>
      <w:r>
        <w:rPr>
          <w:spacing w:val="-12"/>
        </w:rPr>
        <w:t> </w:t>
      </w:r>
      <w:r>
        <w:rPr/>
        <w:t>calves</w:t>
      </w:r>
      <w:r>
        <w:rPr>
          <w:spacing w:val="-11"/>
        </w:rPr>
        <w:t> </w:t>
      </w:r>
      <w:r>
        <w:rPr/>
        <w:t>and kids, which they urgently need for their own lives. But it is reassuring to learn that the dams produce colostrum in excess and that humans only claim this excess for themselves. And so it is no coincidence that millions of people around the world are taking advantage of this gift from Mother Nature and</w:t>
      </w:r>
      <w:r>
        <w:rPr>
          <w:spacing w:val="-61"/>
        </w:rPr>
        <w:t> </w:t>
      </w:r>
      <w:r>
        <w:rPr/>
        <w:t>the number</w:t>
      </w:r>
      <w:r>
        <w:rPr>
          <w:spacing w:val="20"/>
        </w:rPr>
        <w:t> </w:t>
      </w:r>
      <w:r>
        <w:rPr/>
        <w:t>of</w:t>
      </w:r>
      <w:r>
        <w:rPr>
          <w:spacing w:val="20"/>
        </w:rPr>
        <w:t> </w:t>
      </w:r>
      <w:r>
        <w:rPr/>
        <w:t>physicians</w:t>
      </w:r>
      <w:r>
        <w:rPr>
          <w:spacing w:val="19"/>
        </w:rPr>
        <w:t> </w:t>
      </w:r>
      <w:r>
        <w:rPr/>
        <w:t>who</w:t>
      </w:r>
      <w:r>
        <w:rPr>
          <w:spacing w:val="20"/>
        </w:rPr>
        <w:t> </w:t>
      </w:r>
      <w:r>
        <w:rPr/>
        <w:t>use</w:t>
      </w:r>
      <w:r>
        <w:rPr>
          <w:spacing w:val="19"/>
        </w:rPr>
        <w:t> </w:t>
      </w:r>
      <w:r>
        <w:rPr/>
        <w:t>colostrum</w:t>
      </w:r>
      <w:r>
        <w:rPr>
          <w:spacing w:val="19"/>
        </w:rPr>
        <w:t> </w:t>
      </w:r>
      <w:r>
        <w:rPr/>
        <w:t>in</w:t>
      </w:r>
      <w:r>
        <w:rPr>
          <w:spacing w:val="19"/>
        </w:rPr>
        <w:t> </w:t>
      </w:r>
      <w:r>
        <w:rPr/>
        <w:t>their</w:t>
      </w:r>
      <w:r>
        <w:rPr>
          <w:spacing w:val="20"/>
        </w:rPr>
        <w:t> </w:t>
      </w:r>
      <w:r>
        <w:rPr/>
        <w:t>practice,</w:t>
      </w:r>
      <w:r>
        <w:rPr>
          <w:spacing w:val="19"/>
        </w:rPr>
        <w:t> </w:t>
      </w:r>
      <w:r>
        <w:rPr/>
        <w:t>not</w:t>
      </w:r>
      <w:r>
        <w:rPr>
          <w:spacing w:val="16"/>
        </w:rPr>
        <w:t> </w:t>
      </w:r>
      <w:r>
        <w:rPr/>
        <w:t>only</w:t>
      </w:r>
      <w:r>
        <w:rPr>
          <w:spacing w:val="19"/>
        </w:rPr>
        <w:t> </w:t>
      </w:r>
      <w:r>
        <w:rPr/>
        <w:t>to</w:t>
      </w:r>
      <w:r>
        <w:rPr>
          <w:spacing w:val="20"/>
        </w:rPr>
        <w:t> </w:t>
      </w:r>
      <w:r>
        <w:rPr/>
        <w:t>relieve</w:t>
      </w:r>
    </w:p>
    <w:p>
      <w:pPr>
        <w:spacing w:after="0" w:line="276" w:lineRule="auto"/>
        <w:jc w:val="both"/>
        <w:sectPr>
          <w:pgSz w:w="14270" w:h="16850"/>
          <w:pgMar w:header="0" w:footer="1891" w:top="1600" w:bottom="2080" w:left="800" w:right="1280"/>
        </w:sectPr>
      </w:pPr>
    </w:p>
    <w:p>
      <w:pPr>
        <w:pStyle w:val="BodyText"/>
        <w:spacing w:line="276" w:lineRule="auto" w:before="181"/>
        <w:ind w:left="477" w:right="133"/>
        <w:jc w:val="both"/>
      </w:pPr>
      <w:r>
        <w:rPr/>
        <w:t>symptoms</w:t>
      </w:r>
      <w:r>
        <w:rPr>
          <w:spacing w:val="-19"/>
        </w:rPr>
        <w:t> </w:t>
      </w:r>
      <w:r>
        <w:rPr/>
        <w:t>of</w:t>
      </w:r>
      <w:r>
        <w:rPr>
          <w:spacing w:val="-17"/>
        </w:rPr>
        <w:t> </w:t>
      </w:r>
      <w:r>
        <w:rPr/>
        <w:t>allergies,</w:t>
      </w:r>
      <w:r>
        <w:rPr>
          <w:spacing w:val="-16"/>
        </w:rPr>
        <w:t> </w:t>
      </w:r>
      <w:r>
        <w:rPr/>
        <w:t>inflammation,</w:t>
      </w:r>
      <w:r>
        <w:rPr>
          <w:spacing w:val="-17"/>
        </w:rPr>
        <w:t> </w:t>
      </w:r>
      <w:r>
        <w:rPr/>
        <w:t>infections</w:t>
      </w:r>
      <w:r>
        <w:rPr>
          <w:spacing w:val="-18"/>
        </w:rPr>
        <w:t> </w:t>
      </w:r>
      <w:r>
        <w:rPr/>
        <w:t>(MS,</w:t>
      </w:r>
      <w:r>
        <w:rPr>
          <w:spacing w:val="-17"/>
        </w:rPr>
        <w:t> </w:t>
      </w:r>
      <w:r>
        <w:rPr/>
        <w:t>AIDS,</w:t>
      </w:r>
      <w:r>
        <w:rPr>
          <w:spacing w:val="-19"/>
        </w:rPr>
        <w:t> </w:t>
      </w:r>
      <w:r>
        <w:rPr/>
        <w:t>cancer)</w:t>
      </w:r>
      <w:r>
        <w:rPr>
          <w:spacing w:val="-17"/>
        </w:rPr>
        <w:t> </w:t>
      </w:r>
      <w:r>
        <w:rPr/>
        <w:t>and</w:t>
      </w:r>
      <w:r>
        <w:rPr>
          <w:spacing w:val="-17"/>
        </w:rPr>
        <w:t> </w:t>
      </w:r>
      <w:r>
        <w:rPr/>
        <w:t>muscle breakdown, but often even to heal them, is</w:t>
      </w:r>
      <w:r>
        <w:rPr>
          <w:spacing w:val="-4"/>
        </w:rPr>
        <w:t> </w:t>
      </w:r>
      <w:r>
        <w:rPr/>
        <w:t>increasing.</w:t>
      </w:r>
    </w:p>
    <w:p>
      <w:pPr>
        <w:pStyle w:val="BodyText"/>
        <w:spacing w:line="276" w:lineRule="auto" w:before="241"/>
        <w:ind w:left="477" w:right="133"/>
        <w:jc w:val="both"/>
      </w:pPr>
      <w:r>
        <w:rPr/>
        <w:t>Legend has it, however, that colostrum has been used for thousands of years, such as in ancient Egypt or ancient Greece, where it was specifically used by athletes; in India, it was even valued as a divine gift.</w:t>
      </w:r>
    </w:p>
    <w:p>
      <w:pPr>
        <w:pStyle w:val="BodyText"/>
        <w:spacing w:line="276" w:lineRule="auto" w:before="239"/>
        <w:ind w:left="477" w:right="138"/>
        <w:jc w:val="both"/>
      </w:pPr>
      <w:r>
        <w:rPr/>
        <w:t>The first scientific investigations go back to Dr. Christoph W. Hufeland, who experimented with colostrum at the end of the 18th century.</w:t>
      </w:r>
    </w:p>
    <w:p>
      <w:pPr>
        <w:pStyle w:val="BodyText"/>
        <w:spacing w:line="276" w:lineRule="auto" w:before="241"/>
        <w:ind w:left="477" w:right="134"/>
        <w:jc w:val="both"/>
      </w:pPr>
      <w:r>
        <w:rPr/>
        <w:t>The discovery of the antibiotic sidelined colostrum and it was forgotten. How- ever,</w:t>
      </w:r>
      <w:r>
        <w:rPr>
          <w:spacing w:val="-19"/>
        </w:rPr>
        <w:t> </w:t>
      </w:r>
      <w:r>
        <w:rPr/>
        <w:t>it</w:t>
      </w:r>
      <w:r>
        <w:rPr>
          <w:spacing w:val="-20"/>
        </w:rPr>
        <w:t> </w:t>
      </w:r>
      <w:r>
        <w:rPr/>
        <w:t>enjoyed</w:t>
      </w:r>
      <w:r>
        <w:rPr>
          <w:spacing w:val="-18"/>
        </w:rPr>
        <w:t> </w:t>
      </w:r>
      <w:r>
        <w:rPr/>
        <w:t>a</w:t>
      </w:r>
      <w:r>
        <w:rPr>
          <w:spacing w:val="-23"/>
        </w:rPr>
        <w:t> </w:t>
      </w:r>
      <w:r>
        <w:rPr/>
        <w:t>remarkable</w:t>
      </w:r>
      <w:r>
        <w:rPr>
          <w:spacing w:val="-20"/>
        </w:rPr>
        <w:t> </w:t>
      </w:r>
      <w:r>
        <w:rPr/>
        <w:t>renaissance</w:t>
      </w:r>
      <w:r>
        <w:rPr>
          <w:spacing w:val="-19"/>
        </w:rPr>
        <w:t> </w:t>
      </w:r>
      <w:r>
        <w:rPr/>
        <w:t>thanks</w:t>
      </w:r>
      <w:r>
        <w:rPr>
          <w:spacing w:val="-20"/>
        </w:rPr>
        <w:t> </w:t>
      </w:r>
      <w:r>
        <w:rPr/>
        <w:t>to</w:t>
      </w:r>
      <w:r>
        <w:rPr>
          <w:spacing w:val="-18"/>
        </w:rPr>
        <w:t> </w:t>
      </w:r>
      <w:r>
        <w:rPr/>
        <w:t>a</w:t>
      </w:r>
      <w:r>
        <w:rPr>
          <w:spacing w:val="-20"/>
        </w:rPr>
        <w:t> </w:t>
      </w:r>
      <w:r>
        <w:rPr/>
        <w:t>US</w:t>
      </w:r>
      <w:r>
        <w:rPr>
          <w:spacing w:val="-19"/>
        </w:rPr>
        <w:t> </w:t>
      </w:r>
      <w:r>
        <w:rPr/>
        <w:t>publication</w:t>
      </w:r>
      <w:r>
        <w:rPr>
          <w:spacing w:val="-19"/>
        </w:rPr>
        <w:t> </w:t>
      </w:r>
      <w:r>
        <w:rPr/>
        <w:t>in</w:t>
      </w:r>
      <w:r>
        <w:rPr>
          <w:spacing w:val="-19"/>
        </w:rPr>
        <w:t> </w:t>
      </w:r>
      <w:r>
        <w:rPr/>
        <w:t>1955</w:t>
      </w:r>
      <w:r>
        <w:rPr>
          <w:spacing w:val="-21"/>
        </w:rPr>
        <w:t> </w:t>
      </w:r>
      <w:r>
        <w:rPr/>
        <w:t>and has been intensively researched ever since. While colostrum, for example, is classified as a health food in Finland and can be found in every grocery store processed as cheese, it is not considered milk in most countries under the Milk Ordinance and therefore cannot be processed in</w:t>
      </w:r>
      <w:r>
        <w:rPr>
          <w:spacing w:val="-1"/>
        </w:rPr>
        <w:t> </w:t>
      </w:r>
      <w:r>
        <w:rPr/>
        <w:t>food.</w:t>
      </w:r>
    </w:p>
    <w:p>
      <w:pPr>
        <w:pStyle w:val="BodyText"/>
        <w:spacing w:line="276" w:lineRule="auto" w:before="240"/>
        <w:ind w:left="477" w:right="133"/>
        <w:jc w:val="both"/>
      </w:pPr>
      <w:r>
        <w:rPr/>
        <w:t>Discover some of the benefits which this nutrient offers to our health and strength and what well-known experts around the world think of colostrum. Read about the individual effects that colostrum has on diseases, backed up by specific studies.</w:t>
      </w:r>
    </w:p>
    <w:p>
      <w:pPr>
        <w:pStyle w:val="Heading2"/>
        <w:spacing w:before="242"/>
        <w:jc w:val="both"/>
      </w:pPr>
      <w:r>
        <w:rPr/>
        <w:t>Expert statements on colostrum</w:t>
      </w:r>
    </w:p>
    <w:p>
      <w:pPr>
        <w:spacing w:line="276" w:lineRule="auto" w:before="303"/>
        <w:ind w:left="477" w:right="136" w:firstLine="0"/>
        <w:jc w:val="both"/>
        <w:rPr>
          <w:sz w:val="38"/>
        </w:rPr>
      </w:pPr>
      <w:r>
        <w:rPr>
          <w:sz w:val="38"/>
        </w:rPr>
        <w:t>‘</w:t>
      </w:r>
      <w:r>
        <w:rPr>
          <w:i/>
          <w:sz w:val="38"/>
        </w:rPr>
        <w:t>Colostrum contains a viral antibody that attacks viral invaders. </w:t>
      </w:r>
      <w:r>
        <w:rPr>
          <w:sz w:val="38"/>
        </w:rPr>
        <w:t>A </w:t>
      </w:r>
      <w:r>
        <w:rPr>
          <w:i/>
          <w:sz w:val="38"/>
        </w:rPr>
        <w:t>wide range of antiviral </w:t>
      </w:r>
      <w:r>
        <w:rPr>
          <w:i/>
          <w:sz w:val="38"/>
        </w:rPr>
        <w:t>factors has been found in colostrum’. </w:t>
      </w:r>
      <w:r>
        <w:rPr>
          <w:sz w:val="38"/>
        </w:rPr>
        <w:t>(Dr. E. L. Palmer et al.; Journal of Medical Vi- rology)</w:t>
      </w:r>
    </w:p>
    <w:p>
      <w:pPr>
        <w:spacing w:after="0" w:line="276" w:lineRule="auto"/>
        <w:jc w:val="both"/>
        <w:rPr>
          <w:sz w:val="38"/>
        </w:rPr>
        <w:sectPr>
          <w:pgSz w:w="14270" w:h="16850"/>
          <w:pgMar w:header="0" w:footer="1891" w:top="1600" w:bottom="2080" w:left="800" w:right="1280"/>
        </w:sectPr>
      </w:pPr>
    </w:p>
    <w:p>
      <w:pPr>
        <w:spacing w:line="276" w:lineRule="auto" w:before="181"/>
        <w:ind w:left="477" w:right="135" w:firstLine="0"/>
        <w:jc w:val="both"/>
        <w:rPr>
          <w:sz w:val="38"/>
        </w:rPr>
      </w:pPr>
      <w:r>
        <w:rPr>
          <w:i/>
          <w:sz w:val="38"/>
        </w:rPr>
        <w:t>‘Bovine</w:t>
      </w:r>
      <w:r>
        <w:rPr>
          <w:i/>
          <w:spacing w:val="-14"/>
          <w:sz w:val="38"/>
        </w:rPr>
        <w:t> </w:t>
      </w:r>
      <w:r>
        <w:rPr>
          <w:i/>
          <w:sz w:val="38"/>
        </w:rPr>
        <w:t>colostrum</w:t>
      </w:r>
      <w:r>
        <w:rPr>
          <w:i/>
          <w:spacing w:val="-16"/>
          <w:sz w:val="38"/>
        </w:rPr>
        <w:t> </w:t>
      </w:r>
      <w:r>
        <w:rPr>
          <w:i/>
          <w:sz w:val="38"/>
        </w:rPr>
        <w:t>immunoglobulins</w:t>
      </w:r>
      <w:r>
        <w:rPr>
          <w:i/>
          <w:spacing w:val="-15"/>
          <w:sz w:val="38"/>
        </w:rPr>
        <w:t> </w:t>
      </w:r>
      <w:r>
        <w:rPr>
          <w:i/>
          <w:sz w:val="38"/>
        </w:rPr>
        <w:t>reduce</w:t>
      </w:r>
      <w:r>
        <w:rPr>
          <w:i/>
          <w:spacing w:val="-13"/>
          <w:sz w:val="38"/>
        </w:rPr>
        <w:t> </w:t>
      </w:r>
      <w:r>
        <w:rPr>
          <w:i/>
          <w:sz w:val="38"/>
        </w:rPr>
        <w:t>and</w:t>
      </w:r>
      <w:r>
        <w:rPr>
          <w:i/>
          <w:spacing w:val="-13"/>
          <w:sz w:val="38"/>
        </w:rPr>
        <w:t> </w:t>
      </w:r>
      <w:r>
        <w:rPr>
          <w:i/>
          <w:sz w:val="38"/>
        </w:rPr>
        <w:t>prevent</w:t>
      </w:r>
      <w:r>
        <w:rPr>
          <w:i/>
          <w:spacing w:val="-12"/>
          <w:sz w:val="38"/>
        </w:rPr>
        <w:t> </w:t>
      </w:r>
      <w:r>
        <w:rPr>
          <w:i/>
          <w:sz w:val="38"/>
        </w:rPr>
        <w:t>viral</w:t>
      </w:r>
      <w:r>
        <w:rPr>
          <w:i/>
          <w:spacing w:val="-12"/>
          <w:sz w:val="38"/>
        </w:rPr>
        <w:t> </w:t>
      </w:r>
      <w:r>
        <w:rPr>
          <w:i/>
          <w:sz w:val="38"/>
        </w:rPr>
        <w:t>and</w:t>
      </w:r>
      <w:r>
        <w:rPr>
          <w:i/>
          <w:spacing w:val="-13"/>
          <w:sz w:val="38"/>
        </w:rPr>
        <w:t> </w:t>
      </w:r>
      <w:r>
        <w:rPr>
          <w:i/>
          <w:sz w:val="38"/>
        </w:rPr>
        <w:t>bacterial</w:t>
      </w:r>
      <w:r>
        <w:rPr>
          <w:i/>
          <w:spacing w:val="-13"/>
          <w:sz w:val="38"/>
        </w:rPr>
        <w:t> </w:t>
      </w:r>
      <w:r>
        <w:rPr>
          <w:i/>
          <w:sz w:val="38"/>
        </w:rPr>
        <w:t>infections</w:t>
      </w:r>
      <w:r>
        <w:rPr>
          <w:i/>
          <w:spacing w:val="-12"/>
          <w:sz w:val="38"/>
        </w:rPr>
        <w:t> </w:t>
      </w:r>
      <w:r>
        <w:rPr>
          <w:i/>
          <w:sz w:val="38"/>
        </w:rPr>
        <w:t>in</w:t>
      </w:r>
      <w:r>
        <w:rPr>
          <w:i/>
          <w:spacing w:val="-15"/>
          <w:sz w:val="38"/>
        </w:rPr>
        <w:t> </w:t>
      </w:r>
      <w:r>
        <w:rPr>
          <w:i/>
          <w:sz w:val="38"/>
        </w:rPr>
        <w:t>immu- </w:t>
      </w:r>
      <w:r>
        <w:rPr>
          <w:i/>
          <w:sz w:val="38"/>
        </w:rPr>
        <w:t>nodeficient patients: bone marrow recipients, preterm infants, AIDS, etc</w:t>
      </w:r>
      <w:r>
        <w:rPr>
          <w:sz w:val="38"/>
        </w:rPr>
        <w:t>.’ (New England Journal of</w:t>
      </w:r>
      <w:r>
        <w:rPr>
          <w:spacing w:val="1"/>
          <w:sz w:val="38"/>
        </w:rPr>
        <w:t> </w:t>
      </w:r>
      <w:r>
        <w:rPr>
          <w:sz w:val="38"/>
        </w:rPr>
        <w:t>Medicine)</w:t>
      </w:r>
    </w:p>
    <w:p>
      <w:pPr>
        <w:spacing w:line="276" w:lineRule="auto" w:before="242"/>
        <w:ind w:left="477" w:right="135" w:firstLine="0"/>
        <w:jc w:val="both"/>
        <w:rPr>
          <w:sz w:val="38"/>
        </w:rPr>
      </w:pPr>
      <w:r>
        <w:rPr>
          <w:i/>
          <w:sz w:val="38"/>
        </w:rPr>
        <w:t>‘Colostrum is a highly concentrated mix of natural nutrients enriched with vital building </w:t>
      </w:r>
      <w:r>
        <w:rPr>
          <w:i/>
          <w:sz w:val="38"/>
        </w:rPr>
        <w:t>blocks. Colostrum supports the immune system and gives people and animals the necessary strength for a good start to the day’. </w:t>
      </w:r>
      <w:r>
        <w:rPr>
          <w:sz w:val="38"/>
        </w:rPr>
        <w:t>(Dr. Nico Prümmer)</w:t>
      </w:r>
    </w:p>
    <w:p>
      <w:pPr>
        <w:spacing w:line="276" w:lineRule="auto" w:before="239"/>
        <w:ind w:left="477" w:right="133" w:firstLine="0"/>
        <w:jc w:val="both"/>
        <w:rPr>
          <w:sz w:val="38"/>
        </w:rPr>
      </w:pPr>
      <w:r>
        <w:rPr>
          <w:i/>
          <w:sz w:val="38"/>
        </w:rPr>
        <w:t>‘I prescribe colostrum to about one third of my patients. According to their own reports, these </w:t>
      </w:r>
      <w:r>
        <w:rPr>
          <w:i/>
          <w:sz w:val="38"/>
        </w:rPr>
        <w:t>patients are flourishing after taking this dietary supplement, and their condition usually im- proves considerably. If we can help the patient feel better without the usual medicines, then we will.</w:t>
      </w:r>
      <w:r>
        <w:rPr>
          <w:i/>
          <w:spacing w:val="-14"/>
          <w:sz w:val="38"/>
        </w:rPr>
        <w:t> </w:t>
      </w:r>
      <w:r>
        <w:rPr>
          <w:i/>
          <w:sz w:val="38"/>
        </w:rPr>
        <w:t>In</w:t>
      </w:r>
      <w:r>
        <w:rPr>
          <w:i/>
          <w:spacing w:val="-14"/>
          <w:sz w:val="38"/>
        </w:rPr>
        <w:t> </w:t>
      </w:r>
      <w:r>
        <w:rPr>
          <w:i/>
          <w:sz w:val="38"/>
        </w:rPr>
        <w:t>my</w:t>
      </w:r>
      <w:r>
        <w:rPr>
          <w:i/>
          <w:spacing w:val="-14"/>
          <w:sz w:val="38"/>
        </w:rPr>
        <w:t> </w:t>
      </w:r>
      <w:r>
        <w:rPr>
          <w:i/>
          <w:sz w:val="38"/>
        </w:rPr>
        <w:t>opinion,</w:t>
      </w:r>
      <w:r>
        <w:rPr>
          <w:i/>
          <w:spacing w:val="-16"/>
          <w:sz w:val="38"/>
        </w:rPr>
        <w:t> </w:t>
      </w:r>
      <w:r>
        <w:rPr>
          <w:i/>
          <w:sz w:val="38"/>
        </w:rPr>
        <w:t>modern</w:t>
      </w:r>
      <w:r>
        <w:rPr>
          <w:i/>
          <w:spacing w:val="-15"/>
          <w:sz w:val="38"/>
        </w:rPr>
        <w:t> </w:t>
      </w:r>
      <w:r>
        <w:rPr>
          <w:i/>
          <w:sz w:val="38"/>
        </w:rPr>
        <w:t>nutritional</w:t>
      </w:r>
      <w:r>
        <w:rPr>
          <w:i/>
          <w:spacing w:val="-15"/>
          <w:sz w:val="38"/>
        </w:rPr>
        <w:t> </w:t>
      </w:r>
      <w:r>
        <w:rPr>
          <w:i/>
          <w:sz w:val="38"/>
        </w:rPr>
        <w:t>biochemistry</w:t>
      </w:r>
      <w:r>
        <w:rPr>
          <w:i/>
          <w:spacing w:val="-14"/>
          <w:sz w:val="38"/>
        </w:rPr>
        <w:t> </w:t>
      </w:r>
      <w:r>
        <w:rPr>
          <w:i/>
          <w:sz w:val="38"/>
        </w:rPr>
        <w:t>is</w:t>
      </w:r>
      <w:r>
        <w:rPr>
          <w:i/>
          <w:spacing w:val="-15"/>
          <w:sz w:val="38"/>
        </w:rPr>
        <w:t> </w:t>
      </w:r>
      <w:r>
        <w:rPr>
          <w:i/>
          <w:sz w:val="38"/>
        </w:rPr>
        <w:t>a</w:t>
      </w:r>
      <w:r>
        <w:rPr>
          <w:i/>
          <w:spacing w:val="-17"/>
          <w:sz w:val="38"/>
        </w:rPr>
        <w:t> </w:t>
      </w:r>
      <w:r>
        <w:rPr>
          <w:i/>
          <w:sz w:val="38"/>
        </w:rPr>
        <w:t>very</w:t>
      </w:r>
      <w:r>
        <w:rPr>
          <w:i/>
          <w:spacing w:val="-13"/>
          <w:sz w:val="38"/>
        </w:rPr>
        <w:t> </w:t>
      </w:r>
      <w:r>
        <w:rPr>
          <w:i/>
          <w:sz w:val="38"/>
        </w:rPr>
        <w:t>interesting</w:t>
      </w:r>
      <w:r>
        <w:rPr>
          <w:i/>
          <w:spacing w:val="-17"/>
          <w:sz w:val="38"/>
        </w:rPr>
        <w:t> </w:t>
      </w:r>
      <w:r>
        <w:rPr>
          <w:i/>
          <w:sz w:val="38"/>
        </w:rPr>
        <w:t>field</w:t>
      </w:r>
      <w:r>
        <w:rPr>
          <w:i/>
          <w:spacing w:val="-14"/>
          <w:sz w:val="38"/>
        </w:rPr>
        <w:t> </w:t>
      </w:r>
      <w:r>
        <w:rPr>
          <w:i/>
          <w:sz w:val="38"/>
        </w:rPr>
        <w:t>–</w:t>
      </w:r>
      <w:r>
        <w:rPr>
          <w:i/>
          <w:spacing w:val="-17"/>
          <w:sz w:val="38"/>
        </w:rPr>
        <w:t> </w:t>
      </w:r>
      <w:r>
        <w:rPr>
          <w:i/>
          <w:sz w:val="38"/>
        </w:rPr>
        <w:t>and</w:t>
      </w:r>
      <w:r>
        <w:rPr>
          <w:i/>
          <w:spacing w:val="-14"/>
          <w:sz w:val="38"/>
        </w:rPr>
        <w:t> </w:t>
      </w:r>
      <w:r>
        <w:rPr>
          <w:i/>
          <w:sz w:val="38"/>
        </w:rPr>
        <w:t>colostrum is part of it’. </w:t>
      </w:r>
      <w:r>
        <w:rPr>
          <w:sz w:val="38"/>
        </w:rPr>
        <w:t>(Dr. Nikki Marie</w:t>
      </w:r>
      <w:r>
        <w:rPr>
          <w:spacing w:val="-3"/>
          <w:sz w:val="38"/>
        </w:rPr>
        <w:t> </w:t>
      </w:r>
      <w:r>
        <w:rPr>
          <w:sz w:val="38"/>
        </w:rPr>
        <w:t>Welch)</w:t>
      </w:r>
    </w:p>
    <w:p>
      <w:pPr>
        <w:spacing w:line="276" w:lineRule="auto" w:before="239"/>
        <w:ind w:left="477" w:right="135" w:firstLine="0"/>
        <w:jc w:val="both"/>
        <w:rPr>
          <w:sz w:val="38"/>
        </w:rPr>
      </w:pPr>
      <w:r>
        <w:rPr>
          <w:i/>
          <w:sz w:val="38"/>
        </w:rPr>
        <w:t>‘Colostrum contains nonspecific inhibitors which inhibit a wide range of respiratory diseases, </w:t>
      </w:r>
      <w:r>
        <w:rPr>
          <w:i/>
          <w:sz w:val="38"/>
        </w:rPr>
        <w:t>especially influenza viruses. Colostrum is particularly known for its unique power against potentially fatal outbreaks of the Asian flu virus’. </w:t>
      </w:r>
      <w:r>
        <w:rPr>
          <w:sz w:val="38"/>
        </w:rPr>
        <w:t>(Drs. Shortridge et al.; Journal of Tropical Pediatrics)</w:t>
      </w:r>
    </w:p>
    <w:p>
      <w:pPr>
        <w:spacing w:line="276" w:lineRule="auto" w:before="242"/>
        <w:ind w:left="477" w:right="128" w:firstLine="0"/>
        <w:jc w:val="both"/>
        <w:rPr>
          <w:sz w:val="38"/>
        </w:rPr>
      </w:pPr>
      <w:r>
        <w:rPr>
          <w:i/>
          <w:sz w:val="38"/>
        </w:rPr>
        <w:t>‘PRP</w:t>
      </w:r>
      <w:r>
        <w:rPr>
          <w:i/>
          <w:spacing w:val="-17"/>
          <w:sz w:val="38"/>
        </w:rPr>
        <w:t> </w:t>
      </w:r>
      <w:r>
        <w:rPr>
          <w:i/>
          <w:sz w:val="38"/>
        </w:rPr>
        <w:t>(proline-rich</w:t>
      </w:r>
      <w:r>
        <w:rPr>
          <w:i/>
          <w:spacing w:val="-20"/>
          <w:sz w:val="38"/>
        </w:rPr>
        <w:t> </w:t>
      </w:r>
      <w:r>
        <w:rPr>
          <w:i/>
          <w:sz w:val="38"/>
        </w:rPr>
        <w:t>polypeptide)</w:t>
      </w:r>
      <w:r>
        <w:rPr>
          <w:i/>
          <w:spacing w:val="-19"/>
          <w:sz w:val="38"/>
        </w:rPr>
        <w:t> </w:t>
      </w:r>
      <w:r>
        <w:rPr>
          <w:i/>
          <w:sz w:val="38"/>
        </w:rPr>
        <w:t>in</w:t>
      </w:r>
      <w:r>
        <w:rPr>
          <w:i/>
          <w:spacing w:val="-17"/>
          <w:sz w:val="38"/>
        </w:rPr>
        <w:t> </w:t>
      </w:r>
      <w:r>
        <w:rPr>
          <w:i/>
          <w:sz w:val="38"/>
        </w:rPr>
        <w:t>bovine</w:t>
      </w:r>
      <w:r>
        <w:rPr>
          <w:i/>
          <w:spacing w:val="-18"/>
          <w:sz w:val="38"/>
        </w:rPr>
        <w:t> </w:t>
      </w:r>
      <w:r>
        <w:rPr>
          <w:i/>
          <w:sz w:val="38"/>
        </w:rPr>
        <w:t>colostrum</w:t>
      </w:r>
      <w:r>
        <w:rPr>
          <w:i/>
          <w:spacing w:val="-20"/>
          <w:sz w:val="38"/>
        </w:rPr>
        <w:t> </w:t>
      </w:r>
      <w:r>
        <w:rPr>
          <w:i/>
          <w:sz w:val="38"/>
        </w:rPr>
        <w:t>has</w:t>
      </w:r>
      <w:r>
        <w:rPr>
          <w:i/>
          <w:spacing w:val="-18"/>
          <w:sz w:val="38"/>
        </w:rPr>
        <w:t> </w:t>
      </w:r>
      <w:r>
        <w:rPr>
          <w:i/>
          <w:sz w:val="38"/>
        </w:rPr>
        <w:t>the</w:t>
      </w:r>
      <w:r>
        <w:rPr>
          <w:i/>
          <w:spacing w:val="-18"/>
          <w:sz w:val="38"/>
        </w:rPr>
        <w:t> </w:t>
      </w:r>
      <w:r>
        <w:rPr>
          <w:i/>
          <w:sz w:val="38"/>
        </w:rPr>
        <w:t>same</w:t>
      </w:r>
      <w:r>
        <w:rPr>
          <w:i/>
          <w:spacing w:val="-18"/>
          <w:sz w:val="38"/>
        </w:rPr>
        <w:t> </w:t>
      </w:r>
      <w:r>
        <w:rPr>
          <w:i/>
          <w:sz w:val="38"/>
        </w:rPr>
        <w:t>ability</w:t>
      </w:r>
      <w:r>
        <w:rPr>
          <w:i/>
          <w:spacing w:val="-17"/>
          <w:sz w:val="38"/>
        </w:rPr>
        <w:t> </w:t>
      </w:r>
      <w:r>
        <w:rPr>
          <w:i/>
          <w:sz w:val="38"/>
        </w:rPr>
        <w:t>to</w:t>
      </w:r>
      <w:r>
        <w:rPr>
          <w:i/>
          <w:spacing w:val="-20"/>
          <w:sz w:val="38"/>
        </w:rPr>
        <w:t> </w:t>
      </w:r>
      <w:r>
        <w:rPr>
          <w:i/>
          <w:sz w:val="38"/>
        </w:rPr>
        <w:t>regulate</w:t>
      </w:r>
      <w:r>
        <w:rPr>
          <w:i/>
          <w:spacing w:val="-19"/>
          <w:sz w:val="38"/>
        </w:rPr>
        <w:t> </w:t>
      </w:r>
      <w:r>
        <w:rPr>
          <w:i/>
          <w:sz w:val="38"/>
        </w:rPr>
        <w:t>the</w:t>
      </w:r>
      <w:r>
        <w:rPr>
          <w:i/>
          <w:spacing w:val="-18"/>
          <w:sz w:val="38"/>
        </w:rPr>
        <w:t> </w:t>
      </w:r>
      <w:r>
        <w:rPr>
          <w:i/>
          <w:sz w:val="38"/>
        </w:rPr>
        <w:t>activity </w:t>
      </w:r>
      <w:r>
        <w:rPr>
          <w:i/>
          <w:sz w:val="38"/>
        </w:rPr>
        <w:t>of the immune system activity as the hormones in the thymus gland. It activates an inactive immune system by helping it to fight against pathogenic organisms. PRP also suppresses an overactive immune system, as often occurs with autoimmune diseases. PRP is highly anti- inflammatory and it also appears to act on T cell precursors to produce helper T cells and suppressor T cells’. </w:t>
      </w:r>
      <w:r>
        <w:rPr>
          <w:sz w:val="38"/>
        </w:rPr>
        <w:t>(Drs. Staroscik et al., Molecular</w:t>
      </w:r>
      <w:r>
        <w:rPr>
          <w:spacing w:val="-2"/>
          <w:sz w:val="38"/>
        </w:rPr>
        <w:t> </w:t>
      </w:r>
      <w:r>
        <w:rPr>
          <w:sz w:val="38"/>
        </w:rPr>
        <w:t>Immunology)</w:t>
      </w:r>
    </w:p>
    <w:p>
      <w:pPr>
        <w:spacing w:after="0" w:line="276" w:lineRule="auto"/>
        <w:jc w:val="both"/>
        <w:rPr>
          <w:sz w:val="38"/>
        </w:rPr>
        <w:sectPr>
          <w:pgSz w:w="14270" w:h="16850"/>
          <w:pgMar w:header="0" w:footer="1891" w:top="1600" w:bottom="2080" w:left="800" w:right="1280"/>
        </w:sectPr>
      </w:pPr>
    </w:p>
    <w:p>
      <w:pPr>
        <w:spacing w:line="276" w:lineRule="auto" w:before="181"/>
        <w:ind w:left="477" w:right="137" w:firstLine="0"/>
        <w:jc w:val="both"/>
        <w:rPr>
          <w:sz w:val="38"/>
        </w:rPr>
      </w:pPr>
      <w:r>
        <w:rPr>
          <w:i/>
          <w:sz w:val="38"/>
        </w:rPr>
        <w:t>‘Colostrum and breast milk (from cows and humans) stimulates the immune system of the </w:t>
      </w:r>
      <w:r>
        <w:rPr>
          <w:i/>
          <w:sz w:val="38"/>
        </w:rPr>
        <w:t>newborn; Unidentified proteins accelerate the maturation of cultured B lymphocytes (a type of white blood cell) and prepare them for the production of antibodies.’ </w:t>
      </w:r>
      <w:r>
        <w:rPr>
          <w:sz w:val="38"/>
        </w:rPr>
        <w:t>(Dr. Michael Julius, McGill University, Montreal, Science News)</w:t>
      </w:r>
    </w:p>
    <w:p>
      <w:pPr>
        <w:spacing w:line="276" w:lineRule="auto" w:before="242"/>
        <w:ind w:left="477" w:right="134" w:firstLine="0"/>
        <w:jc w:val="both"/>
        <w:rPr>
          <w:sz w:val="38"/>
        </w:rPr>
      </w:pPr>
      <w:r>
        <w:rPr>
          <w:i/>
          <w:sz w:val="38"/>
        </w:rPr>
        <w:t>‘Glycoproteins</w:t>
      </w:r>
      <w:r>
        <w:rPr>
          <w:i/>
          <w:spacing w:val="-18"/>
          <w:sz w:val="38"/>
        </w:rPr>
        <w:t> </w:t>
      </w:r>
      <w:r>
        <w:rPr>
          <w:i/>
          <w:sz w:val="38"/>
        </w:rPr>
        <w:t>in</w:t>
      </w:r>
      <w:r>
        <w:rPr>
          <w:i/>
          <w:spacing w:val="-19"/>
          <w:sz w:val="38"/>
        </w:rPr>
        <w:t> </w:t>
      </w:r>
      <w:r>
        <w:rPr>
          <w:i/>
          <w:sz w:val="38"/>
        </w:rPr>
        <w:t>bovine</w:t>
      </w:r>
      <w:r>
        <w:rPr>
          <w:i/>
          <w:spacing w:val="-19"/>
          <w:sz w:val="38"/>
        </w:rPr>
        <w:t> </w:t>
      </w:r>
      <w:r>
        <w:rPr>
          <w:i/>
          <w:sz w:val="38"/>
        </w:rPr>
        <w:t>colostrum</w:t>
      </w:r>
      <w:r>
        <w:rPr>
          <w:i/>
          <w:spacing w:val="-17"/>
          <w:sz w:val="38"/>
        </w:rPr>
        <w:t> </w:t>
      </w:r>
      <w:r>
        <w:rPr>
          <w:i/>
          <w:sz w:val="38"/>
        </w:rPr>
        <w:t>inhibit</w:t>
      </w:r>
      <w:r>
        <w:rPr>
          <w:i/>
          <w:spacing w:val="-18"/>
          <w:sz w:val="38"/>
        </w:rPr>
        <w:t> </w:t>
      </w:r>
      <w:r>
        <w:rPr>
          <w:i/>
          <w:sz w:val="38"/>
        </w:rPr>
        <w:t>the</w:t>
      </w:r>
      <w:r>
        <w:rPr>
          <w:i/>
          <w:spacing w:val="-18"/>
          <w:sz w:val="38"/>
        </w:rPr>
        <w:t> </w:t>
      </w:r>
      <w:r>
        <w:rPr>
          <w:i/>
          <w:sz w:val="38"/>
        </w:rPr>
        <w:t>attachment</w:t>
      </w:r>
      <w:r>
        <w:rPr>
          <w:i/>
          <w:spacing w:val="-21"/>
          <w:sz w:val="38"/>
        </w:rPr>
        <w:t> </w:t>
      </w:r>
      <w:r>
        <w:rPr>
          <w:i/>
          <w:sz w:val="38"/>
        </w:rPr>
        <w:t>of</w:t>
      </w:r>
      <w:r>
        <w:rPr>
          <w:i/>
          <w:spacing w:val="-15"/>
          <w:sz w:val="38"/>
        </w:rPr>
        <w:t> </w:t>
      </w:r>
      <w:r>
        <w:rPr>
          <w:i/>
          <w:sz w:val="38"/>
        </w:rPr>
        <w:t>Helicobacter</w:t>
      </w:r>
      <w:r>
        <w:rPr>
          <w:i/>
          <w:spacing w:val="-16"/>
          <w:sz w:val="38"/>
        </w:rPr>
        <w:t> </w:t>
      </w:r>
      <w:r>
        <w:rPr>
          <w:i/>
          <w:sz w:val="38"/>
        </w:rPr>
        <w:t>pylori</w:t>
      </w:r>
      <w:r>
        <w:rPr>
          <w:i/>
          <w:spacing w:val="-18"/>
          <w:sz w:val="38"/>
        </w:rPr>
        <w:t> </w:t>
      </w:r>
      <w:r>
        <w:rPr>
          <w:i/>
          <w:sz w:val="38"/>
        </w:rPr>
        <w:t>bacteria</w:t>
      </w:r>
      <w:r>
        <w:rPr>
          <w:i/>
          <w:spacing w:val="-20"/>
          <w:sz w:val="38"/>
        </w:rPr>
        <w:t> </w:t>
      </w:r>
      <w:r>
        <w:rPr>
          <w:i/>
          <w:sz w:val="38"/>
        </w:rPr>
        <w:t>which </w:t>
      </w:r>
      <w:r>
        <w:rPr>
          <w:i/>
          <w:sz w:val="38"/>
        </w:rPr>
        <w:t>cause gastric ulcers. Colostrum contains large amounts of interleukin-10 (a potent anti-in- flammatory agent) which is of great importance in reducing inflammation in arthritic joints and injured areas’. </w:t>
      </w:r>
      <w:r>
        <w:rPr>
          <w:sz w:val="38"/>
        </w:rPr>
        <w:t>(Dr. Olle Hernell, University of Umeå, Sweden,</w:t>
      </w:r>
      <w:r>
        <w:rPr>
          <w:spacing w:val="-20"/>
          <w:sz w:val="38"/>
        </w:rPr>
        <w:t> </w:t>
      </w:r>
      <w:r>
        <w:rPr>
          <w:sz w:val="38"/>
        </w:rPr>
        <w:t>Science)</w:t>
      </w:r>
    </w:p>
    <w:p>
      <w:pPr>
        <w:spacing w:line="276" w:lineRule="auto" w:before="240"/>
        <w:ind w:left="477" w:right="132" w:firstLine="0"/>
        <w:jc w:val="both"/>
        <w:rPr>
          <w:sz w:val="38"/>
        </w:rPr>
      </w:pPr>
      <w:r>
        <w:rPr>
          <w:i/>
          <w:sz w:val="38"/>
        </w:rPr>
        <w:t>‘Based on the fact that colostrum is natural and the feedback from my clients, I believe that </w:t>
      </w:r>
      <w:r>
        <w:rPr>
          <w:i/>
          <w:sz w:val="38"/>
        </w:rPr>
        <w:t>colostrum helps people with weak or unstable immune systems in a very effective and natural way. Just as it gives immunity to a newborn baby, colostrum helps every human develop a balanced, strong immune system over time. Thus, I often recommend colostrum when people are experiencing chronic infections or inflammations of any kind or other symptoms of signifi- cant weakness or immune system disturbance, such as hypertension. chronic fatigue</w:t>
      </w:r>
      <w:r>
        <w:rPr>
          <w:sz w:val="38"/>
        </w:rPr>
        <w:t>, </w:t>
      </w:r>
      <w:r>
        <w:rPr>
          <w:i/>
          <w:sz w:val="38"/>
        </w:rPr>
        <w:t>cancer, </w:t>
      </w:r>
      <w:r>
        <w:rPr>
          <w:i/>
          <w:sz w:val="38"/>
        </w:rPr>
        <w:t>ulcers, irritable bowel syndrome, colitis etc. Clients who test the efficacy of colostrum by sus- pending ingestion report a clear, significant benefit that cannot be described in detail here’. </w:t>
      </w:r>
      <w:r>
        <w:rPr>
          <w:sz w:val="38"/>
        </w:rPr>
        <w:t>(Dr. Horton Tatadan)</w:t>
      </w:r>
    </w:p>
    <w:p>
      <w:pPr>
        <w:spacing w:line="276" w:lineRule="auto" w:before="241"/>
        <w:ind w:left="477" w:right="137" w:firstLine="0"/>
        <w:jc w:val="both"/>
        <w:rPr>
          <w:sz w:val="38"/>
        </w:rPr>
      </w:pPr>
      <w:r>
        <w:rPr>
          <w:sz w:val="38"/>
        </w:rPr>
        <w:t>‘</w:t>
      </w:r>
      <w:r>
        <w:rPr>
          <w:i/>
          <w:sz w:val="38"/>
        </w:rPr>
        <w:t>Human clinical study: bovine colostrum immune factors, taken orally, work against patho- </w:t>
      </w:r>
      <w:r>
        <w:rPr>
          <w:i/>
          <w:sz w:val="38"/>
        </w:rPr>
        <w:t>genic organisms in the digestive tract. The consumption of bovine colostrum immunoglobulins could be a novel method of providing passive immune protection against a host of intestinal disorders causing antigens (viral and bacterial)’</w:t>
      </w:r>
      <w:r>
        <w:rPr>
          <w:sz w:val="38"/>
        </w:rPr>
        <w:t>. (Dr. R. McClead et al., Pediatrics Re- search)</w:t>
      </w:r>
    </w:p>
    <w:p>
      <w:pPr>
        <w:spacing w:after="0" w:line="276" w:lineRule="auto"/>
        <w:jc w:val="both"/>
        <w:rPr>
          <w:sz w:val="38"/>
        </w:rPr>
        <w:sectPr>
          <w:pgSz w:w="14270" w:h="16850"/>
          <w:pgMar w:header="0" w:footer="1891" w:top="1600" w:bottom="2080" w:left="800" w:right="1280"/>
        </w:sectPr>
      </w:pPr>
    </w:p>
    <w:p>
      <w:pPr>
        <w:spacing w:line="276" w:lineRule="auto" w:before="181"/>
        <w:ind w:left="477" w:right="138" w:firstLine="0"/>
        <w:jc w:val="both"/>
        <w:rPr>
          <w:sz w:val="38"/>
        </w:rPr>
      </w:pPr>
      <w:r>
        <w:rPr>
          <w:sz w:val="38"/>
        </w:rPr>
        <w:t>‘</w:t>
      </w:r>
      <w:r>
        <w:rPr>
          <w:i/>
          <w:sz w:val="38"/>
        </w:rPr>
        <w:t>The high efficiency of the ingredients in our colostrum preparations does not result from the </w:t>
      </w:r>
      <w:r>
        <w:rPr>
          <w:i/>
          <w:sz w:val="38"/>
        </w:rPr>
        <w:t>amount used, but from their natural relationship to each other. The beneficial effects of colos- trum, in terms of its multiple functions in the body, must be considered from the point of view of BIO-logical harmony’. </w:t>
      </w:r>
      <w:r>
        <w:rPr>
          <w:sz w:val="38"/>
        </w:rPr>
        <w:t>(Dagmara Mandalka, Dip. Chem.)</w:t>
      </w:r>
    </w:p>
    <w:p>
      <w:pPr>
        <w:spacing w:line="276" w:lineRule="auto" w:before="242"/>
        <w:ind w:left="477" w:right="130" w:firstLine="0"/>
        <w:jc w:val="both"/>
        <w:rPr>
          <w:sz w:val="38"/>
        </w:rPr>
      </w:pPr>
      <w:r>
        <w:rPr>
          <w:sz w:val="38"/>
        </w:rPr>
        <w:t>‘</w:t>
      </w:r>
      <w:r>
        <w:rPr>
          <w:i/>
          <w:sz w:val="38"/>
        </w:rPr>
        <w:t>Because modern foods are getting poorer in essential nutrients and also contain some poisons </w:t>
      </w:r>
      <w:r>
        <w:rPr>
          <w:i/>
          <w:sz w:val="38"/>
        </w:rPr>
        <w:t>or preservatives, we need extra power nutrition to maintain the balance of our bodies. Main- taining your health and improving your quality of life with colostrum’s vital nutrients are our most important task’. </w:t>
      </w:r>
      <w:r>
        <w:rPr>
          <w:sz w:val="38"/>
        </w:rPr>
        <w:t>(Dr. Marco Prümmer, scientific consultancy Medsportiv GmbH,</w:t>
      </w:r>
      <w:r>
        <w:rPr>
          <w:spacing w:val="-25"/>
          <w:sz w:val="38"/>
        </w:rPr>
        <w:t> </w:t>
      </w:r>
      <w:r>
        <w:rPr>
          <w:sz w:val="38"/>
        </w:rPr>
        <w:t>author</w:t>
      </w:r>
      <w:r>
        <w:rPr>
          <w:spacing w:val="-27"/>
          <w:sz w:val="38"/>
        </w:rPr>
        <w:t> </w:t>
      </w:r>
      <w:r>
        <w:rPr>
          <w:sz w:val="38"/>
        </w:rPr>
        <w:t>of</w:t>
      </w:r>
      <w:r>
        <w:rPr>
          <w:spacing w:val="-24"/>
          <w:sz w:val="38"/>
        </w:rPr>
        <w:t> </w:t>
      </w:r>
      <w:r>
        <w:rPr>
          <w:sz w:val="38"/>
        </w:rPr>
        <w:t>the</w:t>
      </w:r>
      <w:r>
        <w:rPr>
          <w:spacing w:val="-23"/>
          <w:sz w:val="38"/>
        </w:rPr>
        <w:t> </w:t>
      </w:r>
      <w:r>
        <w:rPr>
          <w:sz w:val="38"/>
        </w:rPr>
        <w:t>book</w:t>
      </w:r>
      <w:r>
        <w:rPr>
          <w:spacing w:val="-26"/>
          <w:sz w:val="38"/>
        </w:rPr>
        <w:t> </w:t>
      </w:r>
      <w:r>
        <w:rPr>
          <w:sz w:val="38"/>
        </w:rPr>
        <w:t>‘Kolostrum,</w:t>
      </w:r>
      <w:r>
        <w:rPr>
          <w:spacing w:val="-24"/>
          <w:sz w:val="38"/>
        </w:rPr>
        <w:t> </w:t>
      </w:r>
      <w:r>
        <w:rPr>
          <w:sz w:val="38"/>
        </w:rPr>
        <w:t>Geschenk</w:t>
      </w:r>
      <w:r>
        <w:rPr>
          <w:spacing w:val="-25"/>
          <w:sz w:val="38"/>
        </w:rPr>
        <w:t> </w:t>
      </w:r>
      <w:r>
        <w:rPr>
          <w:sz w:val="38"/>
        </w:rPr>
        <w:t>der</w:t>
      </w:r>
      <w:r>
        <w:rPr>
          <w:spacing w:val="-24"/>
          <w:sz w:val="38"/>
        </w:rPr>
        <w:t> </w:t>
      </w:r>
      <w:r>
        <w:rPr>
          <w:sz w:val="38"/>
        </w:rPr>
        <w:t>Schöpfung’</w:t>
      </w:r>
      <w:r>
        <w:rPr>
          <w:spacing w:val="-23"/>
          <w:sz w:val="38"/>
        </w:rPr>
        <w:t> </w:t>
      </w:r>
      <w:r>
        <w:rPr>
          <w:sz w:val="38"/>
        </w:rPr>
        <w:t>(‘Colostrum, the Gift of</w:t>
      </w:r>
      <w:r>
        <w:rPr>
          <w:spacing w:val="-1"/>
          <w:sz w:val="38"/>
        </w:rPr>
        <w:t> </w:t>
      </w:r>
      <w:r>
        <w:rPr>
          <w:sz w:val="38"/>
        </w:rPr>
        <w:t>Conception’)</w:t>
      </w:r>
    </w:p>
    <w:p>
      <w:pPr>
        <w:spacing w:line="276" w:lineRule="auto" w:before="240"/>
        <w:ind w:left="477" w:right="140" w:firstLine="0"/>
        <w:jc w:val="both"/>
        <w:rPr>
          <w:sz w:val="38"/>
        </w:rPr>
      </w:pPr>
      <w:r>
        <w:rPr>
          <w:sz w:val="38"/>
        </w:rPr>
        <w:t>‘</w:t>
      </w:r>
      <w:r>
        <w:rPr>
          <w:i/>
          <w:sz w:val="38"/>
        </w:rPr>
        <w:t>Studies with human volunteers have shown that maintaining the biological activity of IgG </w:t>
      </w:r>
      <w:r>
        <w:rPr>
          <w:i/>
          <w:sz w:val="38"/>
        </w:rPr>
        <w:t>(immunoglobulin G) in the digestive juices of adults who have been given bovine colostrum orally suggests passive enteric (intestinal) immunisation for the prevention and treatment of acute bowel disease’. </w:t>
      </w:r>
      <w:r>
        <w:rPr>
          <w:sz w:val="38"/>
        </w:rPr>
        <w:t>(Dr. L.B. Khazenson; Microbial &amp; Epidemial Immunobiol- ogy)</w:t>
      </w:r>
    </w:p>
    <w:p>
      <w:pPr>
        <w:spacing w:line="276" w:lineRule="auto" w:before="240"/>
        <w:ind w:left="477" w:right="132" w:firstLine="0"/>
        <w:jc w:val="both"/>
        <w:rPr>
          <w:sz w:val="38"/>
        </w:rPr>
      </w:pPr>
      <w:r>
        <w:rPr>
          <w:sz w:val="38"/>
        </w:rPr>
        <w:t>‘</w:t>
      </w:r>
      <w:r>
        <w:rPr>
          <w:i/>
          <w:sz w:val="38"/>
        </w:rPr>
        <w:t>Colostrum stimulates the lymphatic tissue and thus provides support in aged or immunodefi- </w:t>
      </w:r>
      <w:r>
        <w:rPr>
          <w:i/>
          <w:sz w:val="38"/>
        </w:rPr>
        <w:t>cient people. Nature has used the oral route for the development of the immune system since the origin of mammals (it is safe and effective). The oral administration of immune factors is simple,</w:t>
      </w:r>
      <w:r>
        <w:rPr>
          <w:i/>
          <w:spacing w:val="-13"/>
          <w:sz w:val="38"/>
        </w:rPr>
        <w:t> </w:t>
      </w:r>
      <w:r>
        <w:rPr>
          <w:i/>
          <w:sz w:val="38"/>
        </w:rPr>
        <w:t>cheap,</w:t>
      </w:r>
      <w:r>
        <w:rPr>
          <w:i/>
          <w:spacing w:val="-14"/>
          <w:sz w:val="38"/>
        </w:rPr>
        <w:t> </w:t>
      </w:r>
      <w:r>
        <w:rPr>
          <w:i/>
          <w:sz w:val="38"/>
        </w:rPr>
        <w:t>free</w:t>
      </w:r>
      <w:r>
        <w:rPr>
          <w:i/>
          <w:spacing w:val="-16"/>
          <w:sz w:val="38"/>
        </w:rPr>
        <w:t> </w:t>
      </w:r>
      <w:r>
        <w:rPr>
          <w:i/>
          <w:sz w:val="38"/>
        </w:rPr>
        <w:t>of</w:t>
      </w:r>
      <w:r>
        <w:rPr>
          <w:i/>
          <w:spacing w:val="-13"/>
          <w:sz w:val="38"/>
        </w:rPr>
        <w:t> </w:t>
      </w:r>
      <w:r>
        <w:rPr>
          <w:i/>
          <w:sz w:val="38"/>
        </w:rPr>
        <w:t>side</w:t>
      </w:r>
      <w:r>
        <w:rPr>
          <w:i/>
          <w:spacing w:val="-15"/>
          <w:sz w:val="38"/>
        </w:rPr>
        <w:t> </w:t>
      </w:r>
      <w:r>
        <w:rPr>
          <w:i/>
          <w:sz w:val="38"/>
        </w:rPr>
        <w:t>effects</w:t>
      </w:r>
      <w:r>
        <w:rPr>
          <w:i/>
          <w:spacing w:val="-14"/>
          <w:sz w:val="38"/>
        </w:rPr>
        <w:t> </w:t>
      </w:r>
      <w:r>
        <w:rPr>
          <w:i/>
          <w:sz w:val="38"/>
        </w:rPr>
        <w:t>and</w:t>
      </w:r>
      <w:r>
        <w:rPr>
          <w:i/>
          <w:spacing w:val="-15"/>
          <w:sz w:val="38"/>
        </w:rPr>
        <w:t> </w:t>
      </w:r>
      <w:r>
        <w:rPr>
          <w:i/>
          <w:sz w:val="38"/>
        </w:rPr>
        <w:t>can</w:t>
      </w:r>
      <w:r>
        <w:rPr>
          <w:i/>
          <w:spacing w:val="-13"/>
          <w:sz w:val="38"/>
        </w:rPr>
        <w:t> </w:t>
      </w:r>
      <w:r>
        <w:rPr>
          <w:i/>
          <w:sz w:val="38"/>
        </w:rPr>
        <w:t>be</w:t>
      </w:r>
      <w:r>
        <w:rPr>
          <w:i/>
          <w:spacing w:val="-14"/>
          <w:sz w:val="38"/>
        </w:rPr>
        <w:t> </w:t>
      </w:r>
      <w:r>
        <w:rPr>
          <w:i/>
          <w:sz w:val="38"/>
        </w:rPr>
        <w:t>extremely</w:t>
      </w:r>
      <w:r>
        <w:rPr>
          <w:i/>
          <w:spacing w:val="-15"/>
          <w:sz w:val="38"/>
        </w:rPr>
        <w:t> </w:t>
      </w:r>
      <w:r>
        <w:rPr>
          <w:i/>
          <w:sz w:val="38"/>
        </w:rPr>
        <w:t>useful</w:t>
      </w:r>
      <w:r>
        <w:rPr>
          <w:i/>
          <w:spacing w:val="-12"/>
          <w:sz w:val="38"/>
        </w:rPr>
        <w:t> </w:t>
      </w:r>
      <w:r>
        <w:rPr>
          <w:i/>
          <w:sz w:val="38"/>
        </w:rPr>
        <w:t>in</w:t>
      </w:r>
      <w:r>
        <w:rPr>
          <w:i/>
          <w:spacing w:val="-16"/>
          <w:sz w:val="38"/>
        </w:rPr>
        <w:t> </w:t>
      </w:r>
      <w:r>
        <w:rPr>
          <w:i/>
          <w:sz w:val="38"/>
        </w:rPr>
        <w:t>veterinary</w:t>
      </w:r>
      <w:r>
        <w:rPr>
          <w:i/>
          <w:spacing w:val="-15"/>
          <w:sz w:val="38"/>
        </w:rPr>
        <w:t> </w:t>
      </w:r>
      <w:r>
        <w:rPr>
          <w:i/>
          <w:sz w:val="38"/>
        </w:rPr>
        <w:t>and</w:t>
      </w:r>
      <w:r>
        <w:rPr>
          <w:i/>
          <w:spacing w:val="-14"/>
          <w:sz w:val="38"/>
        </w:rPr>
        <w:t> </w:t>
      </w:r>
      <w:r>
        <w:rPr>
          <w:i/>
          <w:sz w:val="38"/>
        </w:rPr>
        <w:t>human</w:t>
      </w:r>
      <w:r>
        <w:rPr>
          <w:i/>
          <w:spacing w:val="-14"/>
          <w:sz w:val="38"/>
        </w:rPr>
        <w:t> </w:t>
      </w:r>
      <w:r>
        <w:rPr>
          <w:i/>
          <w:sz w:val="38"/>
        </w:rPr>
        <w:t>medicine for</w:t>
      </w:r>
      <w:r>
        <w:rPr>
          <w:i/>
          <w:spacing w:val="-10"/>
          <w:sz w:val="38"/>
        </w:rPr>
        <w:t> </w:t>
      </w:r>
      <w:r>
        <w:rPr>
          <w:i/>
          <w:sz w:val="38"/>
        </w:rPr>
        <w:t>correcting</w:t>
      </w:r>
      <w:r>
        <w:rPr>
          <w:i/>
          <w:spacing w:val="-11"/>
          <w:sz w:val="38"/>
        </w:rPr>
        <w:t> </w:t>
      </w:r>
      <w:r>
        <w:rPr>
          <w:i/>
          <w:sz w:val="38"/>
        </w:rPr>
        <w:t>immunodeficiencies’.</w:t>
      </w:r>
      <w:r>
        <w:rPr>
          <w:i/>
          <w:spacing w:val="-11"/>
          <w:sz w:val="38"/>
        </w:rPr>
        <w:t> </w:t>
      </w:r>
      <w:r>
        <w:rPr>
          <w:sz w:val="38"/>
        </w:rPr>
        <w:t>(Drs.</w:t>
      </w:r>
      <w:r>
        <w:rPr>
          <w:spacing w:val="-9"/>
          <w:sz w:val="38"/>
        </w:rPr>
        <w:t> </w:t>
      </w:r>
      <w:r>
        <w:rPr>
          <w:sz w:val="38"/>
        </w:rPr>
        <w:t>Bocci,</w:t>
      </w:r>
      <w:r>
        <w:rPr>
          <w:spacing w:val="-11"/>
          <w:sz w:val="38"/>
        </w:rPr>
        <w:t> </w:t>
      </w:r>
      <w:r>
        <w:rPr>
          <w:sz w:val="38"/>
        </w:rPr>
        <w:t>Bremen,</w:t>
      </w:r>
      <w:r>
        <w:rPr>
          <w:spacing w:val="-10"/>
          <w:sz w:val="38"/>
        </w:rPr>
        <w:t> </w:t>
      </w:r>
      <w:r>
        <w:rPr>
          <w:sz w:val="38"/>
        </w:rPr>
        <w:t>Corradeschi,</w:t>
      </w:r>
      <w:r>
        <w:rPr>
          <w:spacing w:val="-13"/>
          <w:sz w:val="38"/>
        </w:rPr>
        <w:t> </w:t>
      </w:r>
      <w:r>
        <w:rPr>
          <w:sz w:val="38"/>
        </w:rPr>
        <w:t>Luzzi</w:t>
      </w:r>
      <w:r>
        <w:rPr>
          <w:spacing w:val="-12"/>
          <w:sz w:val="38"/>
        </w:rPr>
        <w:t> </w:t>
      </w:r>
      <w:r>
        <w:rPr>
          <w:sz w:val="38"/>
        </w:rPr>
        <w:t>and</w:t>
      </w:r>
      <w:r>
        <w:rPr>
          <w:spacing w:val="-10"/>
          <w:sz w:val="38"/>
        </w:rPr>
        <w:t> </w:t>
      </w:r>
      <w:r>
        <w:rPr>
          <w:sz w:val="38"/>
        </w:rPr>
        <w:t>Pau- lesu, Journal</w:t>
      </w:r>
      <w:r>
        <w:rPr>
          <w:spacing w:val="1"/>
          <w:sz w:val="38"/>
        </w:rPr>
        <w:t> </w:t>
      </w:r>
      <w:r>
        <w:rPr>
          <w:sz w:val="38"/>
        </w:rPr>
        <w:t>Biology)</w:t>
      </w:r>
    </w:p>
    <w:p>
      <w:pPr>
        <w:spacing w:before="241"/>
        <w:ind w:left="477" w:right="0" w:firstLine="0"/>
        <w:jc w:val="both"/>
        <w:rPr>
          <w:i/>
          <w:sz w:val="38"/>
        </w:rPr>
      </w:pPr>
      <w:r>
        <w:rPr>
          <w:i/>
          <w:sz w:val="38"/>
        </w:rPr>
        <w:t>‘Immunoglobulins</w:t>
      </w:r>
      <w:r>
        <w:rPr>
          <w:i/>
          <w:spacing w:val="-25"/>
          <w:sz w:val="38"/>
        </w:rPr>
        <w:t> </w:t>
      </w:r>
      <w:r>
        <w:rPr>
          <w:i/>
          <w:sz w:val="38"/>
        </w:rPr>
        <w:t>in</w:t>
      </w:r>
      <w:r>
        <w:rPr>
          <w:i/>
          <w:spacing w:val="-24"/>
          <w:sz w:val="38"/>
        </w:rPr>
        <w:t> </w:t>
      </w:r>
      <w:r>
        <w:rPr>
          <w:i/>
          <w:sz w:val="38"/>
        </w:rPr>
        <w:t>colostrum</w:t>
      </w:r>
      <w:r>
        <w:rPr>
          <w:i/>
          <w:spacing w:val="-23"/>
          <w:sz w:val="38"/>
        </w:rPr>
        <w:t> </w:t>
      </w:r>
      <w:r>
        <w:rPr>
          <w:i/>
          <w:sz w:val="38"/>
        </w:rPr>
        <w:t>have</w:t>
      </w:r>
      <w:r>
        <w:rPr>
          <w:i/>
          <w:spacing w:val="-25"/>
          <w:sz w:val="38"/>
        </w:rPr>
        <w:t> </w:t>
      </w:r>
      <w:r>
        <w:rPr>
          <w:i/>
          <w:sz w:val="38"/>
        </w:rPr>
        <w:t>been</w:t>
      </w:r>
      <w:r>
        <w:rPr>
          <w:i/>
          <w:spacing w:val="-24"/>
          <w:sz w:val="38"/>
        </w:rPr>
        <w:t> </w:t>
      </w:r>
      <w:r>
        <w:rPr>
          <w:i/>
          <w:sz w:val="38"/>
        </w:rPr>
        <w:t>used</w:t>
      </w:r>
      <w:r>
        <w:rPr>
          <w:i/>
          <w:spacing w:val="-25"/>
          <w:sz w:val="38"/>
        </w:rPr>
        <w:t> </w:t>
      </w:r>
      <w:r>
        <w:rPr>
          <w:i/>
          <w:sz w:val="38"/>
        </w:rPr>
        <w:t>successfully</w:t>
      </w:r>
      <w:r>
        <w:rPr>
          <w:i/>
          <w:spacing w:val="-25"/>
          <w:sz w:val="38"/>
        </w:rPr>
        <w:t> </w:t>
      </w:r>
      <w:r>
        <w:rPr>
          <w:i/>
          <w:sz w:val="38"/>
        </w:rPr>
        <w:t>to</w:t>
      </w:r>
      <w:r>
        <w:rPr>
          <w:i/>
          <w:spacing w:val="-24"/>
          <w:sz w:val="38"/>
        </w:rPr>
        <w:t> </w:t>
      </w:r>
      <w:r>
        <w:rPr>
          <w:i/>
          <w:sz w:val="38"/>
        </w:rPr>
        <w:t>treat</w:t>
      </w:r>
      <w:r>
        <w:rPr>
          <w:i/>
          <w:spacing w:val="-26"/>
          <w:sz w:val="38"/>
        </w:rPr>
        <w:t> </w:t>
      </w:r>
      <w:r>
        <w:rPr>
          <w:i/>
          <w:sz w:val="38"/>
        </w:rPr>
        <w:t>thrombocytopenia,</w:t>
      </w:r>
      <w:r>
        <w:rPr>
          <w:i/>
          <w:spacing w:val="-24"/>
          <w:sz w:val="38"/>
        </w:rPr>
        <w:t> </w:t>
      </w:r>
      <w:r>
        <w:rPr>
          <w:i/>
          <w:sz w:val="38"/>
        </w:rPr>
        <w:t>anaemia,</w:t>
      </w:r>
    </w:p>
    <w:p>
      <w:pPr>
        <w:spacing w:after="0"/>
        <w:jc w:val="both"/>
        <w:rPr>
          <w:sz w:val="38"/>
        </w:rPr>
        <w:sectPr>
          <w:pgSz w:w="14270" w:h="16850"/>
          <w:pgMar w:header="0" w:footer="1891" w:top="1600" w:bottom="2080" w:left="800" w:right="1280"/>
        </w:sectPr>
      </w:pPr>
    </w:p>
    <w:p>
      <w:pPr>
        <w:spacing w:line="276" w:lineRule="auto" w:before="181"/>
        <w:ind w:left="477" w:right="133" w:firstLine="0"/>
        <w:jc w:val="both"/>
        <w:rPr>
          <w:sz w:val="38"/>
        </w:rPr>
      </w:pPr>
      <w:r>
        <w:rPr>
          <w:i/>
          <w:sz w:val="38"/>
        </w:rPr>
        <w:t>neutropenia, myasthenia gravis, Guilain Barre syndrome, multiple sclerosis systemic lupus, </w:t>
      </w:r>
      <w:r>
        <w:rPr>
          <w:i/>
          <w:sz w:val="38"/>
        </w:rPr>
        <w:t>rheumatoid</w:t>
      </w:r>
      <w:r>
        <w:rPr>
          <w:i/>
          <w:spacing w:val="-11"/>
          <w:sz w:val="38"/>
        </w:rPr>
        <w:t> </w:t>
      </w:r>
      <w:r>
        <w:rPr>
          <w:i/>
          <w:sz w:val="38"/>
        </w:rPr>
        <w:t>arthritis,</w:t>
      </w:r>
      <w:r>
        <w:rPr>
          <w:i/>
          <w:spacing w:val="-9"/>
          <w:sz w:val="38"/>
        </w:rPr>
        <w:t> </w:t>
      </w:r>
      <w:r>
        <w:rPr>
          <w:i/>
          <w:sz w:val="38"/>
        </w:rPr>
        <w:t>bullus</w:t>
      </w:r>
      <w:r>
        <w:rPr>
          <w:i/>
          <w:spacing w:val="-10"/>
          <w:sz w:val="38"/>
        </w:rPr>
        <w:t> </w:t>
      </w:r>
      <w:r>
        <w:rPr>
          <w:i/>
          <w:sz w:val="38"/>
        </w:rPr>
        <w:t>pemphigoid,</w:t>
      </w:r>
      <w:r>
        <w:rPr>
          <w:i/>
          <w:spacing w:val="-9"/>
          <w:sz w:val="38"/>
        </w:rPr>
        <w:t> </w:t>
      </w:r>
      <w:r>
        <w:rPr>
          <w:i/>
          <w:sz w:val="38"/>
        </w:rPr>
        <w:t>Kawasaki's</w:t>
      </w:r>
      <w:r>
        <w:rPr>
          <w:i/>
          <w:spacing w:val="-10"/>
          <w:sz w:val="38"/>
        </w:rPr>
        <w:t> </w:t>
      </w:r>
      <w:r>
        <w:rPr>
          <w:i/>
          <w:sz w:val="38"/>
        </w:rPr>
        <w:t>syndrome,</w:t>
      </w:r>
      <w:r>
        <w:rPr>
          <w:i/>
          <w:spacing w:val="-10"/>
          <w:sz w:val="38"/>
        </w:rPr>
        <w:t> </w:t>
      </w:r>
      <w:r>
        <w:rPr>
          <w:i/>
          <w:sz w:val="38"/>
        </w:rPr>
        <w:t>chronic</w:t>
      </w:r>
      <w:r>
        <w:rPr>
          <w:i/>
          <w:spacing w:val="-11"/>
          <w:sz w:val="38"/>
        </w:rPr>
        <w:t> </w:t>
      </w:r>
      <w:r>
        <w:rPr>
          <w:i/>
          <w:sz w:val="38"/>
        </w:rPr>
        <w:t>fatigue</w:t>
      </w:r>
      <w:r>
        <w:rPr>
          <w:i/>
          <w:spacing w:val="-11"/>
          <w:sz w:val="38"/>
        </w:rPr>
        <w:t> </w:t>
      </w:r>
      <w:r>
        <w:rPr>
          <w:i/>
          <w:sz w:val="38"/>
        </w:rPr>
        <w:t>syndrome</w:t>
      </w:r>
      <w:r>
        <w:rPr>
          <w:i/>
          <w:spacing w:val="-10"/>
          <w:sz w:val="38"/>
        </w:rPr>
        <w:t> </w:t>
      </w:r>
      <w:r>
        <w:rPr>
          <w:i/>
          <w:sz w:val="38"/>
        </w:rPr>
        <w:t>and Crohn's disease, along with other conditions’. </w:t>
      </w:r>
      <w:r>
        <w:rPr>
          <w:sz w:val="38"/>
        </w:rPr>
        <w:t>(Dr. Dwyer; New England Journal of Medicine)</w:t>
      </w:r>
    </w:p>
    <w:p>
      <w:pPr>
        <w:spacing w:line="276" w:lineRule="auto" w:before="242"/>
        <w:ind w:left="477" w:right="266" w:firstLine="0"/>
        <w:jc w:val="left"/>
        <w:rPr>
          <w:i/>
          <w:sz w:val="38"/>
        </w:rPr>
      </w:pPr>
      <w:r>
        <w:rPr>
          <w:i/>
          <w:sz w:val="38"/>
        </w:rPr>
        <w:t>‘Scientists have reported that colostrum stimulates the maturation of B lymphocytes and pre- </w:t>
      </w:r>
      <w:r>
        <w:rPr>
          <w:i/>
          <w:sz w:val="38"/>
        </w:rPr>
        <w:t>pares them for the production of antibodies that promote the growth and differentiation of white blood cells. Similar activities in cow and human colostrum can also activate macro- phages.</w:t>
      </w:r>
    </w:p>
    <w:p>
      <w:pPr>
        <w:pStyle w:val="BodyText"/>
        <w:spacing w:line="427" w:lineRule="exact"/>
        <w:ind w:left="477"/>
      </w:pPr>
      <w:r>
        <w:rPr/>
        <w:t>(Dr. M. Julius, McGill University, Montreal; Science News)</w:t>
      </w:r>
    </w:p>
    <w:p>
      <w:pPr>
        <w:spacing w:line="276" w:lineRule="auto" w:before="304"/>
        <w:ind w:left="477" w:right="136" w:firstLine="0"/>
        <w:jc w:val="both"/>
        <w:rPr>
          <w:sz w:val="38"/>
        </w:rPr>
      </w:pPr>
      <w:r>
        <w:rPr>
          <w:i/>
          <w:sz w:val="38"/>
        </w:rPr>
        <w:t>‘It has been found that PRP is not species-specific (transferable for human use). It changes </w:t>
      </w:r>
      <w:r>
        <w:rPr>
          <w:i/>
          <w:sz w:val="38"/>
        </w:rPr>
        <w:t>white</w:t>
      </w:r>
      <w:r>
        <w:rPr>
          <w:i/>
          <w:spacing w:val="-5"/>
          <w:sz w:val="38"/>
        </w:rPr>
        <w:t> </w:t>
      </w:r>
      <w:r>
        <w:rPr>
          <w:i/>
          <w:sz w:val="38"/>
        </w:rPr>
        <w:t>blood</w:t>
      </w:r>
      <w:r>
        <w:rPr>
          <w:i/>
          <w:spacing w:val="-4"/>
          <w:sz w:val="38"/>
        </w:rPr>
        <w:t> </w:t>
      </w:r>
      <w:r>
        <w:rPr>
          <w:i/>
          <w:sz w:val="38"/>
        </w:rPr>
        <w:t>cells</w:t>
      </w:r>
      <w:r>
        <w:rPr>
          <w:i/>
          <w:spacing w:val="-6"/>
          <w:sz w:val="38"/>
        </w:rPr>
        <w:t> </w:t>
      </w:r>
      <w:r>
        <w:rPr>
          <w:i/>
          <w:sz w:val="38"/>
        </w:rPr>
        <w:t>to</w:t>
      </w:r>
      <w:r>
        <w:rPr>
          <w:i/>
          <w:spacing w:val="-7"/>
          <w:sz w:val="38"/>
        </w:rPr>
        <w:t> </w:t>
      </w:r>
      <w:r>
        <w:rPr>
          <w:i/>
          <w:sz w:val="38"/>
        </w:rPr>
        <w:t>functionally</w:t>
      </w:r>
      <w:r>
        <w:rPr>
          <w:i/>
          <w:spacing w:val="-5"/>
          <w:sz w:val="38"/>
        </w:rPr>
        <w:t> </w:t>
      </w:r>
      <w:r>
        <w:rPr>
          <w:i/>
          <w:sz w:val="38"/>
        </w:rPr>
        <w:t>active</w:t>
      </w:r>
      <w:r>
        <w:rPr>
          <w:i/>
          <w:spacing w:val="-6"/>
          <w:sz w:val="38"/>
        </w:rPr>
        <w:t> </w:t>
      </w:r>
      <w:r>
        <w:rPr>
          <w:i/>
          <w:sz w:val="38"/>
        </w:rPr>
        <w:t>T</w:t>
      </w:r>
      <w:r>
        <w:rPr>
          <w:i/>
          <w:spacing w:val="-6"/>
          <w:sz w:val="38"/>
        </w:rPr>
        <w:t> </w:t>
      </w:r>
      <w:r>
        <w:rPr>
          <w:i/>
          <w:sz w:val="38"/>
        </w:rPr>
        <w:t>cells.</w:t>
      </w:r>
      <w:r>
        <w:rPr>
          <w:i/>
          <w:spacing w:val="-2"/>
          <w:sz w:val="38"/>
        </w:rPr>
        <w:t> </w:t>
      </w:r>
      <w:r>
        <w:rPr>
          <w:i/>
          <w:sz w:val="38"/>
        </w:rPr>
        <w:t>The</w:t>
      </w:r>
      <w:r>
        <w:rPr>
          <w:i/>
          <w:spacing w:val="-6"/>
          <w:sz w:val="38"/>
        </w:rPr>
        <w:t> </w:t>
      </w:r>
      <w:r>
        <w:rPr>
          <w:i/>
          <w:sz w:val="38"/>
        </w:rPr>
        <w:t>results</w:t>
      </w:r>
      <w:r>
        <w:rPr>
          <w:i/>
          <w:spacing w:val="-7"/>
          <w:sz w:val="38"/>
        </w:rPr>
        <w:t> </w:t>
      </w:r>
      <w:r>
        <w:rPr>
          <w:i/>
          <w:sz w:val="38"/>
        </w:rPr>
        <w:t>have</w:t>
      </w:r>
      <w:r>
        <w:rPr>
          <w:i/>
          <w:spacing w:val="-5"/>
          <w:sz w:val="38"/>
        </w:rPr>
        <w:t> </w:t>
      </w:r>
      <w:r>
        <w:rPr>
          <w:i/>
          <w:sz w:val="38"/>
        </w:rPr>
        <w:t>been</w:t>
      </w:r>
      <w:r>
        <w:rPr>
          <w:i/>
          <w:spacing w:val="-4"/>
          <w:sz w:val="38"/>
        </w:rPr>
        <w:t> </w:t>
      </w:r>
      <w:r>
        <w:rPr>
          <w:i/>
          <w:sz w:val="38"/>
        </w:rPr>
        <w:t>shown</w:t>
      </w:r>
      <w:r>
        <w:rPr>
          <w:i/>
          <w:spacing w:val="-3"/>
          <w:sz w:val="38"/>
        </w:rPr>
        <w:t> </w:t>
      </w:r>
      <w:r>
        <w:rPr>
          <w:i/>
          <w:sz w:val="38"/>
        </w:rPr>
        <w:t>in</w:t>
      </w:r>
      <w:r>
        <w:rPr>
          <w:i/>
          <w:spacing w:val="-5"/>
          <w:sz w:val="38"/>
        </w:rPr>
        <w:t> </w:t>
      </w:r>
      <w:r>
        <w:rPr>
          <w:i/>
          <w:sz w:val="38"/>
        </w:rPr>
        <w:t>the</w:t>
      </w:r>
      <w:r>
        <w:rPr>
          <w:i/>
          <w:spacing w:val="-7"/>
          <w:sz w:val="38"/>
        </w:rPr>
        <w:t> </w:t>
      </w:r>
      <w:r>
        <w:rPr>
          <w:i/>
          <w:sz w:val="38"/>
        </w:rPr>
        <w:t>treatment</w:t>
      </w:r>
      <w:r>
        <w:rPr>
          <w:i/>
          <w:spacing w:val="-6"/>
          <w:sz w:val="38"/>
        </w:rPr>
        <w:t> </w:t>
      </w:r>
      <w:r>
        <w:rPr>
          <w:i/>
          <w:sz w:val="38"/>
        </w:rPr>
        <w:t>of autoimmune</w:t>
      </w:r>
      <w:r>
        <w:rPr>
          <w:i/>
          <w:spacing w:val="-13"/>
          <w:sz w:val="38"/>
        </w:rPr>
        <w:t> </w:t>
      </w:r>
      <w:r>
        <w:rPr>
          <w:i/>
          <w:sz w:val="38"/>
        </w:rPr>
        <w:t>diseases</w:t>
      </w:r>
      <w:r>
        <w:rPr>
          <w:i/>
          <w:spacing w:val="-11"/>
          <w:sz w:val="38"/>
        </w:rPr>
        <w:t> </w:t>
      </w:r>
      <w:r>
        <w:rPr>
          <w:i/>
          <w:sz w:val="38"/>
        </w:rPr>
        <w:t>and</w:t>
      </w:r>
      <w:r>
        <w:rPr>
          <w:i/>
          <w:spacing w:val="-10"/>
          <w:sz w:val="38"/>
        </w:rPr>
        <w:t> </w:t>
      </w:r>
      <w:r>
        <w:rPr>
          <w:i/>
          <w:sz w:val="38"/>
        </w:rPr>
        <w:t>cancer</w:t>
      </w:r>
      <w:r>
        <w:rPr>
          <w:sz w:val="38"/>
        </w:rPr>
        <w:t>.</w:t>
      </w:r>
      <w:r>
        <w:rPr>
          <w:spacing w:val="-12"/>
          <w:sz w:val="38"/>
        </w:rPr>
        <w:t> </w:t>
      </w:r>
      <w:r>
        <w:rPr>
          <w:i/>
          <w:sz w:val="38"/>
        </w:rPr>
        <w:t>An</w:t>
      </w:r>
      <w:r>
        <w:rPr>
          <w:i/>
          <w:spacing w:val="-9"/>
          <w:sz w:val="38"/>
        </w:rPr>
        <w:t> </w:t>
      </w:r>
      <w:r>
        <w:rPr>
          <w:i/>
          <w:sz w:val="38"/>
        </w:rPr>
        <w:t>important</w:t>
      </w:r>
      <w:r>
        <w:rPr>
          <w:i/>
          <w:spacing w:val="-11"/>
          <w:sz w:val="38"/>
        </w:rPr>
        <w:t> </w:t>
      </w:r>
      <w:r>
        <w:rPr>
          <w:i/>
          <w:sz w:val="38"/>
        </w:rPr>
        <w:t>immune</w:t>
      </w:r>
      <w:r>
        <w:rPr>
          <w:i/>
          <w:spacing w:val="-15"/>
          <w:sz w:val="38"/>
        </w:rPr>
        <w:t> </w:t>
      </w:r>
      <w:r>
        <w:rPr>
          <w:i/>
          <w:sz w:val="38"/>
        </w:rPr>
        <w:t>modulator</w:t>
      </w:r>
      <w:r>
        <w:rPr>
          <w:i/>
          <w:spacing w:val="-10"/>
          <w:sz w:val="38"/>
        </w:rPr>
        <w:t> </w:t>
      </w:r>
      <w:r>
        <w:rPr>
          <w:i/>
          <w:sz w:val="38"/>
        </w:rPr>
        <w:t>stimulates</w:t>
      </w:r>
      <w:r>
        <w:rPr>
          <w:i/>
          <w:spacing w:val="-11"/>
          <w:sz w:val="38"/>
        </w:rPr>
        <w:t> </w:t>
      </w:r>
      <w:r>
        <w:rPr>
          <w:i/>
          <w:sz w:val="38"/>
        </w:rPr>
        <w:t>an</w:t>
      </w:r>
      <w:r>
        <w:rPr>
          <w:i/>
          <w:spacing w:val="-12"/>
          <w:sz w:val="38"/>
        </w:rPr>
        <w:t> </w:t>
      </w:r>
      <w:r>
        <w:rPr>
          <w:i/>
          <w:sz w:val="38"/>
        </w:rPr>
        <w:t>underactive </w:t>
      </w:r>
      <w:r>
        <w:rPr>
          <w:i/>
          <w:sz w:val="38"/>
        </w:rPr>
        <w:t>immune system and calms an overactive one’. </w:t>
      </w:r>
      <w:r>
        <w:rPr>
          <w:sz w:val="38"/>
        </w:rPr>
        <w:t>(Drs. Janusz &amp; Lisowski; Archives of Immunology)</w:t>
      </w:r>
    </w:p>
    <w:p>
      <w:pPr>
        <w:spacing w:line="276" w:lineRule="auto" w:before="240"/>
        <w:ind w:left="477" w:right="131" w:firstLine="0"/>
        <w:jc w:val="both"/>
        <w:rPr>
          <w:sz w:val="38"/>
        </w:rPr>
      </w:pPr>
      <w:r>
        <w:rPr>
          <w:i/>
          <w:sz w:val="38"/>
        </w:rPr>
        <w:t>‘Bovine colostrum contains TGF-1, which has an important suppressive effect (anti-inflam- </w:t>
      </w:r>
      <w:r>
        <w:rPr>
          <w:i/>
          <w:sz w:val="38"/>
        </w:rPr>
        <w:t>matory) on cytotoxic substances. It prevents the cell growth of human osteosarcoma (cancer) cells (75 % prevention). It is a mediator of fibrosis and angiogenesis (healing of the heart muscle and blood vessels), (Roberts et al., 1986), accelerates wound healing (Sporn et al., 1983) and bone formation (Centrella et al., 1987)’. </w:t>
      </w:r>
      <w:r>
        <w:rPr>
          <w:sz w:val="38"/>
        </w:rPr>
        <w:t>(Drs. Tokuyama and Tokuyama, Cancer Research Inst. Kanazawa Univ., Japan)</w:t>
      </w:r>
    </w:p>
    <w:p>
      <w:pPr>
        <w:spacing w:line="276" w:lineRule="auto" w:before="241"/>
        <w:ind w:left="477" w:right="142" w:firstLine="0"/>
        <w:jc w:val="both"/>
        <w:rPr>
          <w:i/>
          <w:sz w:val="38"/>
        </w:rPr>
      </w:pPr>
      <w:r>
        <w:rPr>
          <w:i/>
          <w:sz w:val="38"/>
        </w:rPr>
        <w:t>‘Only the retinoic acid found in colostrum showed protection and reduced colonisation of the </w:t>
      </w:r>
      <w:r>
        <w:rPr>
          <w:i/>
          <w:sz w:val="38"/>
        </w:rPr>
        <w:t>herpes virus. Although not a cure, retinoic acid effectively reduces levels of the herpes virus</w:t>
      </w:r>
    </w:p>
    <w:p>
      <w:pPr>
        <w:spacing w:after="0" w:line="276" w:lineRule="auto"/>
        <w:jc w:val="both"/>
        <w:rPr>
          <w:sz w:val="38"/>
        </w:rPr>
        <w:sectPr>
          <w:footerReference w:type="default" r:id="rId66"/>
          <w:pgSz w:w="14270" w:h="16850"/>
          <w:pgMar w:footer="1891" w:header="0" w:top="1600" w:bottom="2080" w:left="800" w:right="1280"/>
          <w:pgNumType w:start="270"/>
        </w:sectPr>
      </w:pPr>
    </w:p>
    <w:p>
      <w:pPr>
        <w:spacing w:line="276" w:lineRule="auto" w:before="181"/>
        <w:ind w:left="477" w:right="139" w:firstLine="0"/>
        <w:jc w:val="both"/>
        <w:rPr>
          <w:sz w:val="38"/>
        </w:rPr>
      </w:pPr>
      <w:r>
        <w:rPr>
          <w:i/>
          <w:sz w:val="38"/>
        </w:rPr>
        <w:t>(1/100 to 1/10 000 viruses remained active after treatment), which allowed the body's im- </w:t>
      </w:r>
      <w:r>
        <w:rPr>
          <w:i/>
          <w:sz w:val="38"/>
        </w:rPr>
        <w:t>mune system to prevent an outbreak’. </w:t>
      </w:r>
      <w:r>
        <w:rPr>
          <w:sz w:val="38"/>
        </w:rPr>
        <w:t>(Drs. Charles Isaacs et al.; Experimental Biol- ogy, Science)</w:t>
      </w:r>
    </w:p>
    <w:p>
      <w:pPr>
        <w:spacing w:line="276" w:lineRule="auto" w:before="242"/>
        <w:ind w:left="477" w:right="133" w:firstLine="0"/>
        <w:jc w:val="both"/>
        <w:rPr>
          <w:sz w:val="38"/>
        </w:rPr>
      </w:pPr>
      <w:r>
        <w:rPr>
          <w:i/>
          <w:sz w:val="38"/>
        </w:rPr>
        <w:t>‘It has been discovered that growth factors in bovine colostrum are extremely effective in pro- </w:t>
      </w:r>
      <w:r>
        <w:rPr>
          <w:i/>
          <w:sz w:val="38"/>
        </w:rPr>
        <w:t>moting wound healing. It is recommended for trauma and healing after surgery, both for ex- ternal and internal use’. </w:t>
      </w:r>
      <w:r>
        <w:rPr>
          <w:sz w:val="38"/>
        </w:rPr>
        <w:t>(Drs. Sporn et al.; Science)</w:t>
      </w:r>
    </w:p>
    <w:p>
      <w:pPr>
        <w:spacing w:line="276" w:lineRule="auto" w:before="239"/>
        <w:ind w:left="477" w:right="144" w:firstLine="0"/>
        <w:jc w:val="both"/>
        <w:rPr>
          <w:sz w:val="38"/>
        </w:rPr>
      </w:pPr>
      <w:r>
        <w:rPr>
          <w:i/>
          <w:sz w:val="38"/>
        </w:rPr>
        <w:t>‘Immunoglobulins in colostrum are able to neutralise the most harmful bacteria, viruses and </w:t>
      </w:r>
      <w:r>
        <w:rPr>
          <w:i/>
          <w:sz w:val="38"/>
        </w:rPr>
        <w:t>yeasts’. </w:t>
      </w:r>
      <w:r>
        <w:rPr>
          <w:sz w:val="38"/>
        </w:rPr>
        <w:t>(Dr. Per Brandtzaeg, Annals of the New York Academy of Sciences)</w:t>
      </w:r>
    </w:p>
    <w:p>
      <w:pPr>
        <w:spacing w:line="276" w:lineRule="auto" w:before="241"/>
        <w:ind w:left="477" w:right="133" w:firstLine="0"/>
        <w:jc w:val="both"/>
        <w:rPr>
          <w:sz w:val="38"/>
        </w:rPr>
      </w:pPr>
      <w:r>
        <w:rPr>
          <w:i/>
          <w:sz w:val="38"/>
        </w:rPr>
        <w:t>‘IGF-1, discovered in colostrum, stimulates bone and muscle growth and the regeneration of </w:t>
      </w:r>
      <w:r>
        <w:rPr>
          <w:i/>
          <w:sz w:val="38"/>
        </w:rPr>
        <w:t>nerve</w:t>
      </w:r>
      <w:r>
        <w:rPr>
          <w:i/>
          <w:spacing w:val="-12"/>
          <w:sz w:val="38"/>
        </w:rPr>
        <w:t> </w:t>
      </w:r>
      <w:r>
        <w:rPr>
          <w:i/>
          <w:sz w:val="38"/>
        </w:rPr>
        <w:t>cells.</w:t>
      </w:r>
      <w:r>
        <w:rPr>
          <w:i/>
          <w:spacing w:val="-10"/>
          <w:sz w:val="38"/>
        </w:rPr>
        <w:t> </w:t>
      </w:r>
      <w:r>
        <w:rPr>
          <w:i/>
          <w:sz w:val="38"/>
        </w:rPr>
        <w:t>It</w:t>
      </w:r>
      <w:r>
        <w:rPr>
          <w:i/>
          <w:spacing w:val="-10"/>
          <w:sz w:val="38"/>
        </w:rPr>
        <w:t> </w:t>
      </w:r>
      <w:r>
        <w:rPr>
          <w:i/>
          <w:sz w:val="38"/>
        </w:rPr>
        <w:t>was</w:t>
      </w:r>
      <w:r>
        <w:rPr>
          <w:i/>
          <w:spacing w:val="-11"/>
          <w:sz w:val="38"/>
        </w:rPr>
        <w:t> </w:t>
      </w:r>
      <w:r>
        <w:rPr>
          <w:i/>
          <w:sz w:val="38"/>
        </w:rPr>
        <w:t>also</w:t>
      </w:r>
      <w:r>
        <w:rPr>
          <w:i/>
          <w:spacing w:val="-11"/>
          <w:sz w:val="38"/>
        </w:rPr>
        <w:t> </w:t>
      </w:r>
      <w:r>
        <w:rPr>
          <w:i/>
          <w:sz w:val="38"/>
        </w:rPr>
        <w:t>discovered</w:t>
      </w:r>
      <w:r>
        <w:rPr>
          <w:i/>
          <w:spacing w:val="-11"/>
          <w:sz w:val="38"/>
        </w:rPr>
        <w:t> </w:t>
      </w:r>
      <w:r>
        <w:rPr>
          <w:i/>
          <w:sz w:val="38"/>
        </w:rPr>
        <w:t>that</w:t>
      </w:r>
      <w:r>
        <w:rPr>
          <w:i/>
          <w:spacing w:val="-9"/>
          <w:sz w:val="38"/>
        </w:rPr>
        <w:t> </w:t>
      </w:r>
      <w:r>
        <w:rPr>
          <w:i/>
          <w:sz w:val="38"/>
        </w:rPr>
        <w:t>external</w:t>
      </w:r>
      <w:r>
        <w:rPr>
          <w:i/>
          <w:spacing w:val="-10"/>
          <w:sz w:val="38"/>
        </w:rPr>
        <w:t> </w:t>
      </w:r>
      <w:r>
        <w:rPr>
          <w:i/>
          <w:sz w:val="38"/>
        </w:rPr>
        <w:t>application</w:t>
      </w:r>
      <w:r>
        <w:rPr>
          <w:i/>
          <w:spacing w:val="-12"/>
          <w:sz w:val="38"/>
        </w:rPr>
        <w:t> </w:t>
      </w:r>
      <w:r>
        <w:rPr>
          <w:i/>
          <w:sz w:val="38"/>
        </w:rPr>
        <w:t>to</w:t>
      </w:r>
      <w:r>
        <w:rPr>
          <w:i/>
          <w:spacing w:val="-10"/>
          <w:sz w:val="38"/>
        </w:rPr>
        <w:t> </w:t>
      </w:r>
      <w:r>
        <w:rPr>
          <w:i/>
          <w:sz w:val="38"/>
        </w:rPr>
        <w:t>wounds</w:t>
      </w:r>
      <w:r>
        <w:rPr>
          <w:i/>
          <w:spacing w:val="-5"/>
          <w:sz w:val="38"/>
        </w:rPr>
        <w:t> </w:t>
      </w:r>
      <w:r>
        <w:rPr>
          <w:i/>
          <w:sz w:val="38"/>
        </w:rPr>
        <w:t>resulted</w:t>
      </w:r>
      <w:r>
        <w:rPr>
          <w:i/>
          <w:spacing w:val="-11"/>
          <w:sz w:val="38"/>
        </w:rPr>
        <w:t> </w:t>
      </w:r>
      <w:r>
        <w:rPr>
          <w:i/>
          <w:sz w:val="38"/>
        </w:rPr>
        <w:t>in</w:t>
      </w:r>
      <w:r>
        <w:rPr>
          <w:i/>
          <w:spacing w:val="-10"/>
          <w:sz w:val="38"/>
        </w:rPr>
        <w:t> </w:t>
      </w:r>
      <w:r>
        <w:rPr>
          <w:i/>
          <w:sz w:val="38"/>
        </w:rPr>
        <w:t>more</w:t>
      </w:r>
      <w:r>
        <w:rPr>
          <w:i/>
          <w:spacing w:val="-11"/>
          <w:sz w:val="38"/>
        </w:rPr>
        <w:t> </w:t>
      </w:r>
      <w:r>
        <w:rPr>
          <w:i/>
          <w:sz w:val="38"/>
        </w:rPr>
        <w:t>effective healing’</w:t>
      </w:r>
      <w:r>
        <w:rPr>
          <w:sz w:val="38"/>
        </w:rPr>
        <w:t>. (Drs. Skottner, Arrhenius-Nyberg, Kanje and Fyklund, Acta. Paediatric Scandinavia,</w:t>
      </w:r>
      <w:r>
        <w:rPr>
          <w:spacing w:val="-1"/>
          <w:sz w:val="38"/>
        </w:rPr>
        <w:t> </w:t>
      </w:r>
      <w:r>
        <w:rPr>
          <w:sz w:val="38"/>
        </w:rPr>
        <w:t>Sweden)</w:t>
      </w:r>
    </w:p>
    <w:p>
      <w:pPr>
        <w:spacing w:line="276" w:lineRule="auto" w:before="239"/>
        <w:ind w:left="477" w:right="133" w:firstLine="0"/>
        <w:jc w:val="both"/>
        <w:rPr>
          <w:sz w:val="38"/>
        </w:rPr>
      </w:pPr>
      <w:r>
        <w:rPr>
          <w:i/>
          <w:sz w:val="38"/>
        </w:rPr>
        <w:t>‘IGF-1 (contained in colostrum) has anabolic and tissue-repairing properties. IGF-1 is the </w:t>
      </w:r>
      <w:r>
        <w:rPr>
          <w:i/>
          <w:sz w:val="38"/>
        </w:rPr>
        <w:t>only growth factor that provides muscle growth while repairing tissue’. </w:t>
      </w:r>
      <w:r>
        <w:rPr>
          <w:sz w:val="38"/>
        </w:rPr>
        <w:t>(Tollefsen, 1989)</w:t>
      </w:r>
    </w:p>
    <w:p>
      <w:pPr>
        <w:spacing w:line="276" w:lineRule="auto" w:before="241"/>
        <w:ind w:left="477" w:right="132" w:firstLine="0"/>
        <w:jc w:val="both"/>
        <w:rPr>
          <w:sz w:val="38"/>
        </w:rPr>
      </w:pPr>
      <w:r>
        <w:rPr>
          <w:i/>
          <w:sz w:val="38"/>
        </w:rPr>
        <w:t>‘Old age is associated with reduced levels of growth hormone: GH and IGF-1. The onset of </w:t>
      </w:r>
      <w:r>
        <w:rPr>
          <w:i/>
          <w:sz w:val="38"/>
        </w:rPr>
        <w:t>GH and IGF-1 increases the body weight and muscle growth of elderly people’. </w:t>
      </w:r>
      <w:r>
        <w:rPr>
          <w:sz w:val="38"/>
        </w:rPr>
        <w:t>(Drs. Ullman,</w:t>
      </w:r>
      <w:r>
        <w:rPr>
          <w:spacing w:val="-14"/>
          <w:sz w:val="38"/>
        </w:rPr>
        <w:t> </w:t>
      </w:r>
      <w:r>
        <w:rPr>
          <w:sz w:val="38"/>
        </w:rPr>
        <w:t>Sommerland</w:t>
      </w:r>
      <w:r>
        <w:rPr>
          <w:spacing w:val="-14"/>
          <w:sz w:val="38"/>
        </w:rPr>
        <w:t> </w:t>
      </w:r>
      <w:r>
        <w:rPr>
          <w:sz w:val="38"/>
        </w:rPr>
        <w:t>&amp;</w:t>
      </w:r>
      <w:r>
        <w:rPr>
          <w:spacing w:val="-16"/>
          <w:sz w:val="38"/>
        </w:rPr>
        <w:t> </w:t>
      </w:r>
      <w:r>
        <w:rPr>
          <w:sz w:val="38"/>
        </w:rPr>
        <w:t>Skottner,</w:t>
      </w:r>
      <w:r>
        <w:rPr>
          <w:spacing w:val="-10"/>
          <w:sz w:val="38"/>
        </w:rPr>
        <w:t> </w:t>
      </w:r>
      <w:r>
        <w:rPr>
          <w:sz w:val="38"/>
        </w:rPr>
        <w:t>Dept.</w:t>
      </w:r>
      <w:r>
        <w:rPr>
          <w:spacing w:val="-16"/>
          <w:sz w:val="38"/>
        </w:rPr>
        <w:t> </w:t>
      </w:r>
      <w:r>
        <w:rPr>
          <w:sz w:val="38"/>
        </w:rPr>
        <w:t>of</w:t>
      </w:r>
      <w:r>
        <w:rPr>
          <w:spacing w:val="-15"/>
          <w:sz w:val="38"/>
        </w:rPr>
        <w:t> </w:t>
      </w:r>
      <w:r>
        <w:rPr>
          <w:sz w:val="38"/>
        </w:rPr>
        <w:t>Pathology</w:t>
      </w:r>
      <w:r>
        <w:rPr>
          <w:spacing w:val="-13"/>
          <w:sz w:val="38"/>
        </w:rPr>
        <w:t> </w:t>
      </w:r>
      <w:r>
        <w:rPr>
          <w:sz w:val="38"/>
        </w:rPr>
        <w:t>and</w:t>
      </w:r>
      <w:r>
        <w:rPr>
          <w:spacing w:val="-14"/>
          <w:sz w:val="38"/>
        </w:rPr>
        <w:t> </w:t>
      </w:r>
      <w:r>
        <w:rPr>
          <w:sz w:val="38"/>
        </w:rPr>
        <w:t>Pharmacology,</w:t>
      </w:r>
      <w:r>
        <w:rPr>
          <w:spacing w:val="-14"/>
          <w:sz w:val="38"/>
        </w:rPr>
        <w:t> </w:t>
      </w:r>
      <w:r>
        <w:rPr>
          <w:sz w:val="38"/>
        </w:rPr>
        <w:t>Univ. of Gothenburg, Sahlgren Hospital &amp; HabiVitrum AB, Stockholm,</w:t>
      </w:r>
      <w:r>
        <w:rPr>
          <w:spacing w:val="-20"/>
          <w:sz w:val="38"/>
        </w:rPr>
        <w:t> </w:t>
      </w:r>
      <w:r>
        <w:rPr>
          <w:sz w:val="38"/>
        </w:rPr>
        <w:t>Sweden)</w:t>
      </w:r>
    </w:p>
    <w:p>
      <w:pPr>
        <w:spacing w:line="276" w:lineRule="auto" w:before="240"/>
        <w:ind w:left="477" w:right="133" w:firstLine="0"/>
        <w:jc w:val="both"/>
        <w:rPr>
          <w:sz w:val="38"/>
        </w:rPr>
      </w:pPr>
      <w:r>
        <w:rPr>
          <w:i/>
          <w:sz w:val="38"/>
        </w:rPr>
        <w:t>‘Bovine colostrum contains high levels of growth factors that promote normal cell growth and </w:t>
      </w:r>
      <w:r>
        <w:rPr>
          <w:i/>
          <w:sz w:val="38"/>
        </w:rPr>
        <w:t>DNA synthesis’. </w:t>
      </w:r>
      <w:r>
        <w:rPr>
          <w:sz w:val="38"/>
        </w:rPr>
        <w:t>(Drs. Oda, Shinnichi et al.; Comparative Biochemical Physiol- ogy)</w:t>
      </w:r>
    </w:p>
    <w:p>
      <w:pPr>
        <w:spacing w:after="0" w:line="276" w:lineRule="auto"/>
        <w:jc w:val="both"/>
        <w:rPr>
          <w:sz w:val="38"/>
        </w:rPr>
        <w:sectPr>
          <w:pgSz w:w="14270" w:h="16850"/>
          <w:pgMar w:header="0" w:footer="1891" w:top="1600" w:bottom="2080" w:left="800" w:right="1280"/>
        </w:sectPr>
      </w:pPr>
    </w:p>
    <w:p>
      <w:pPr>
        <w:spacing w:line="276" w:lineRule="auto" w:before="181"/>
        <w:ind w:left="477" w:right="147" w:firstLine="0"/>
        <w:jc w:val="both"/>
        <w:rPr>
          <w:sz w:val="38"/>
        </w:rPr>
      </w:pPr>
      <w:r>
        <w:rPr>
          <w:sz w:val="38"/>
        </w:rPr>
        <w:t>‘</w:t>
      </w:r>
      <w:r>
        <w:rPr>
          <w:i/>
          <w:sz w:val="38"/>
        </w:rPr>
        <w:t>I have found that colostrum helps with ailments that other treatments have not remedied, or </w:t>
      </w:r>
      <w:r>
        <w:rPr>
          <w:i/>
          <w:sz w:val="38"/>
        </w:rPr>
        <w:t>cannot remedy’. </w:t>
      </w:r>
      <w:r>
        <w:rPr>
          <w:sz w:val="38"/>
        </w:rPr>
        <w:t>(Carl Hawkins, chiropractor)</w:t>
      </w:r>
    </w:p>
    <w:p>
      <w:pPr>
        <w:spacing w:line="276" w:lineRule="auto" w:before="241"/>
        <w:ind w:left="477" w:right="135" w:firstLine="0"/>
        <w:jc w:val="both"/>
        <w:rPr>
          <w:sz w:val="38"/>
        </w:rPr>
      </w:pPr>
      <w:r>
        <w:rPr>
          <w:i/>
          <w:sz w:val="38"/>
        </w:rPr>
        <w:t>‘Concentrations of lactoferrin and transferrin in bovine colostrum were considered necessary to </w:t>
      </w:r>
      <w:r>
        <w:rPr>
          <w:i/>
          <w:sz w:val="38"/>
        </w:rPr>
        <w:t>deliver</w:t>
      </w:r>
      <w:r>
        <w:rPr>
          <w:i/>
          <w:spacing w:val="-14"/>
          <w:sz w:val="38"/>
        </w:rPr>
        <w:t> </w:t>
      </w:r>
      <w:r>
        <w:rPr>
          <w:i/>
          <w:sz w:val="38"/>
        </w:rPr>
        <w:t>iron</w:t>
      </w:r>
      <w:r>
        <w:rPr>
          <w:i/>
          <w:spacing w:val="-13"/>
          <w:sz w:val="38"/>
        </w:rPr>
        <w:t> </w:t>
      </w:r>
      <w:r>
        <w:rPr>
          <w:i/>
          <w:sz w:val="38"/>
        </w:rPr>
        <w:t>into</w:t>
      </w:r>
      <w:r>
        <w:rPr>
          <w:i/>
          <w:spacing w:val="-14"/>
          <w:sz w:val="38"/>
        </w:rPr>
        <w:t> </w:t>
      </w:r>
      <w:r>
        <w:rPr>
          <w:i/>
          <w:sz w:val="38"/>
        </w:rPr>
        <w:t>the</w:t>
      </w:r>
      <w:r>
        <w:rPr>
          <w:i/>
          <w:spacing w:val="-16"/>
          <w:sz w:val="38"/>
        </w:rPr>
        <w:t> </w:t>
      </w:r>
      <w:r>
        <w:rPr>
          <w:i/>
          <w:sz w:val="38"/>
        </w:rPr>
        <w:t>blood.</w:t>
      </w:r>
      <w:r>
        <w:rPr>
          <w:i/>
          <w:spacing w:val="-13"/>
          <w:sz w:val="38"/>
        </w:rPr>
        <w:t> </w:t>
      </w:r>
      <w:r>
        <w:rPr>
          <w:i/>
          <w:sz w:val="38"/>
        </w:rPr>
        <w:t>The</w:t>
      </w:r>
      <w:r>
        <w:rPr>
          <w:i/>
          <w:spacing w:val="-15"/>
          <w:sz w:val="38"/>
        </w:rPr>
        <w:t> </w:t>
      </w:r>
      <w:r>
        <w:rPr>
          <w:i/>
          <w:sz w:val="38"/>
        </w:rPr>
        <w:t>highest</w:t>
      </w:r>
      <w:r>
        <w:rPr>
          <w:i/>
          <w:spacing w:val="-14"/>
          <w:sz w:val="38"/>
        </w:rPr>
        <w:t> </w:t>
      </w:r>
      <w:r>
        <w:rPr>
          <w:i/>
          <w:sz w:val="38"/>
        </w:rPr>
        <w:t>concentrations</w:t>
      </w:r>
      <w:r>
        <w:rPr>
          <w:i/>
          <w:spacing w:val="-13"/>
          <w:sz w:val="38"/>
        </w:rPr>
        <w:t> </w:t>
      </w:r>
      <w:r>
        <w:rPr>
          <w:i/>
          <w:sz w:val="38"/>
        </w:rPr>
        <w:t>of</w:t>
      </w:r>
      <w:r>
        <w:rPr>
          <w:i/>
          <w:spacing w:val="-13"/>
          <w:sz w:val="38"/>
        </w:rPr>
        <w:t> </w:t>
      </w:r>
      <w:r>
        <w:rPr>
          <w:i/>
          <w:sz w:val="38"/>
        </w:rPr>
        <w:t>both</w:t>
      </w:r>
      <w:r>
        <w:rPr>
          <w:i/>
          <w:spacing w:val="-14"/>
          <w:sz w:val="38"/>
        </w:rPr>
        <w:t> </w:t>
      </w:r>
      <w:r>
        <w:rPr>
          <w:i/>
          <w:sz w:val="38"/>
        </w:rPr>
        <w:t>substances</w:t>
      </w:r>
      <w:r>
        <w:rPr>
          <w:i/>
          <w:spacing w:val="-15"/>
          <w:sz w:val="38"/>
        </w:rPr>
        <w:t> </w:t>
      </w:r>
      <w:r>
        <w:rPr>
          <w:i/>
          <w:sz w:val="38"/>
        </w:rPr>
        <w:t>were</w:t>
      </w:r>
      <w:r>
        <w:rPr>
          <w:i/>
          <w:spacing w:val="-14"/>
          <w:sz w:val="38"/>
        </w:rPr>
        <w:t> </w:t>
      </w:r>
      <w:r>
        <w:rPr>
          <w:i/>
          <w:sz w:val="38"/>
        </w:rPr>
        <w:t>found</w:t>
      </w:r>
      <w:r>
        <w:rPr>
          <w:i/>
          <w:spacing w:val="-15"/>
          <w:sz w:val="38"/>
        </w:rPr>
        <w:t> </w:t>
      </w:r>
      <w:r>
        <w:rPr>
          <w:i/>
          <w:sz w:val="38"/>
        </w:rPr>
        <w:t>in</w:t>
      </w:r>
      <w:r>
        <w:rPr>
          <w:i/>
          <w:spacing w:val="-14"/>
          <w:sz w:val="38"/>
        </w:rPr>
        <w:t> </w:t>
      </w:r>
      <w:r>
        <w:rPr>
          <w:i/>
          <w:sz w:val="38"/>
        </w:rPr>
        <w:t>the</w:t>
      </w:r>
      <w:r>
        <w:rPr>
          <w:i/>
          <w:spacing w:val="-16"/>
          <w:sz w:val="38"/>
        </w:rPr>
        <w:t> </w:t>
      </w:r>
      <w:r>
        <w:rPr>
          <w:i/>
          <w:sz w:val="38"/>
        </w:rPr>
        <w:t>first milking postpartum’. </w:t>
      </w:r>
      <w:r>
        <w:rPr>
          <w:sz w:val="38"/>
        </w:rPr>
        <w:t>(Drs. Sanchez et al., Biological</w:t>
      </w:r>
      <w:r>
        <w:rPr>
          <w:spacing w:val="-4"/>
          <w:sz w:val="38"/>
        </w:rPr>
        <w:t> </w:t>
      </w:r>
      <w:r>
        <w:rPr>
          <w:sz w:val="38"/>
        </w:rPr>
        <w:t>Chemistry)</w:t>
      </w:r>
    </w:p>
    <w:p>
      <w:pPr>
        <w:spacing w:line="276" w:lineRule="auto" w:before="239"/>
        <w:ind w:left="477" w:right="133" w:firstLine="0"/>
        <w:jc w:val="both"/>
        <w:rPr>
          <w:sz w:val="38"/>
        </w:rPr>
      </w:pPr>
      <w:r>
        <w:rPr>
          <w:i/>
          <w:sz w:val="38"/>
        </w:rPr>
        <w:t>‘Colostrum contains retinoic acid, which helps fight the herpes virus. It also contains</w:t>
      </w:r>
      <w:r>
        <w:rPr>
          <w:i/>
          <w:spacing w:val="-49"/>
          <w:sz w:val="38"/>
        </w:rPr>
        <w:t> </w:t>
      </w:r>
      <w:r>
        <w:rPr>
          <w:i/>
          <w:sz w:val="38"/>
        </w:rPr>
        <w:t>glycopro- </w:t>
      </w:r>
      <w:r>
        <w:rPr>
          <w:i/>
          <w:sz w:val="38"/>
        </w:rPr>
        <w:t>teins (kappa casein) that protect against bacteria that cause gastric ulcers’. </w:t>
      </w:r>
      <w:r>
        <w:rPr>
          <w:sz w:val="38"/>
        </w:rPr>
        <w:t>(Dr. Raloff, Science News)</w:t>
      </w:r>
    </w:p>
    <w:p>
      <w:pPr>
        <w:spacing w:line="276" w:lineRule="auto" w:before="242"/>
        <w:ind w:left="477" w:right="132" w:firstLine="0"/>
        <w:jc w:val="both"/>
        <w:rPr>
          <w:sz w:val="38"/>
        </w:rPr>
      </w:pPr>
      <w:r>
        <w:rPr>
          <w:i/>
          <w:sz w:val="38"/>
        </w:rPr>
        <w:t>‘Cartilage</w:t>
      </w:r>
      <w:r>
        <w:rPr>
          <w:i/>
          <w:spacing w:val="-17"/>
          <w:sz w:val="38"/>
        </w:rPr>
        <w:t> </w:t>
      </w:r>
      <w:r>
        <w:rPr>
          <w:i/>
          <w:sz w:val="38"/>
        </w:rPr>
        <w:t>Inducing</w:t>
      </w:r>
      <w:r>
        <w:rPr>
          <w:i/>
          <w:spacing w:val="-17"/>
          <w:sz w:val="38"/>
        </w:rPr>
        <w:t> </w:t>
      </w:r>
      <w:r>
        <w:rPr>
          <w:i/>
          <w:sz w:val="38"/>
        </w:rPr>
        <w:t>Factor-A</w:t>
      </w:r>
      <w:r>
        <w:rPr>
          <w:i/>
          <w:spacing w:val="-16"/>
          <w:sz w:val="38"/>
        </w:rPr>
        <w:t> </w:t>
      </w:r>
      <w:r>
        <w:rPr>
          <w:i/>
          <w:sz w:val="38"/>
        </w:rPr>
        <w:t>(CIF-A)</w:t>
      </w:r>
      <w:r>
        <w:rPr>
          <w:i/>
          <w:spacing w:val="-15"/>
          <w:sz w:val="38"/>
        </w:rPr>
        <w:t> </w:t>
      </w:r>
      <w:r>
        <w:rPr>
          <w:i/>
          <w:sz w:val="38"/>
        </w:rPr>
        <w:t>found</w:t>
      </w:r>
      <w:r>
        <w:rPr>
          <w:i/>
          <w:spacing w:val="-16"/>
          <w:sz w:val="38"/>
        </w:rPr>
        <w:t> </w:t>
      </w:r>
      <w:r>
        <w:rPr>
          <w:i/>
          <w:sz w:val="38"/>
        </w:rPr>
        <w:t>in</w:t>
      </w:r>
      <w:r>
        <w:rPr>
          <w:i/>
          <w:spacing w:val="-15"/>
          <w:sz w:val="38"/>
        </w:rPr>
        <w:t> </w:t>
      </w:r>
      <w:r>
        <w:rPr>
          <w:i/>
          <w:sz w:val="38"/>
        </w:rPr>
        <w:t>colostrum</w:t>
      </w:r>
      <w:r>
        <w:rPr>
          <w:i/>
          <w:spacing w:val="-15"/>
          <w:sz w:val="38"/>
        </w:rPr>
        <w:t> </w:t>
      </w:r>
      <w:r>
        <w:rPr>
          <w:i/>
          <w:sz w:val="38"/>
        </w:rPr>
        <w:t>stimulates</w:t>
      </w:r>
      <w:r>
        <w:rPr>
          <w:i/>
          <w:spacing w:val="-17"/>
          <w:sz w:val="38"/>
        </w:rPr>
        <w:t> </w:t>
      </w:r>
      <w:r>
        <w:rPr>
          <w:i/>
          <w:sz w:val="38"/>
        </w:rPr>
        <w:t>cartilage</w:t>
      </w:r>
      <w:r>
        <w:rPr>
          <w:i/>
          <w:spacing w:val="-16"/>
          <w:sz w:val="38"/>
        </w:rPr>
        <w:t> </w:t>
      </w:r>
      <w:r>
        <w:rPr>
          <w:i/>
          <w:sz w:val="38"/>
        </w:rPr>
        <w:t>repair’.</w:t>
      </w:r>
      <w:r>
        <w:rPr>
          <w:i/>
          <w:spacing w:val="-14"/>
          <w:sz w:val="38"/>
        </w:rPr>
        <w:t> </w:t>
      </w:r>
      <w:r>
        <w:rPr>
          <w:sz w:val="38"/>
        </w:rPr>
        <w:t>(Drs. Seyedin, Thompson, Bentz et al.; Journal of Biological</w:t>
      </w:r>
      <w:r>
        <w:rPr>
          <w:spacing w:val="-1"/>
          <w:sz w:val="38"/>
        </w:rPr>
        <w:t> </w:t>
      </w:r>
      <w:r>
        <w:rPr>
          <w:sz w:val="38"/>
        </w:rPr>
        <w:t>Chemistry)</w:t>
      </w:r>
    </w:p>
    <w:p>
      <w:pPr>
        <w:spacing w:line="276" w:lineRule="auto" w:before="240"/>
        <w:ind w:left="477" w:right="137" w:firstLine="0"/>
        <w:jc w:val="both"/>
        <w:rPr>
          <w:sz w:val="38"/>
        </w:rPr>
      </w:pPr>
      <w:r>
        <w:rPr>
          <w:i/>
          <w:sz w:val="38"/>
        </w:rPr>
        <w:t>‘Clinical studies have shown that IgE (immunoglobulin E) in bovine colostrum might be </w:t>
      </w:r>
      <w:r>
        <w:rPr>
          <w:i/>
          <w:sz w:val="38"/>
        </w:rPr>
        <w:t>responsible</w:t>
      </w:r>
      <w:r>
        <w:rPr>
          <w:i/>
          <w:spacing w:val="-8"/>
          <w:sz w:val="38"/>
        </w:rPr>
        <w:t> </w:t>
      </w:r>
      <w:r>
        <w:rPr>
          <w:i/>
          <w:sz w:val="38"/>
        </w:rPr>
        <w:t>for</w:t>
      </w:r>
      <w:r>
        <w:rPr>
          <w:i/>
          <w:spacing w:val="-5"/>
          <w:sz w:val="38"/>
        </w:rPr>
        <w:t> </w:t>
      </w:r>
      <w:r>
        <w:rPr>
          <w:i/>
          <w:sz w:val="38"/>
        </w:rPr>
        <w:t>the</w:t>
      </w:r>
      <w:r>
        <w:rPr>
          <w:i/>
          <w:spacing w:val="-10"/>
          <w:sz w:val="38"/>
        </w:rPr>
        <w:t> </w:t>
      </w:r>
      <w:r>
        <w:rPr>
          <w:i/>
          <w:sz w:val="38"/>
        </w:rPr>
        <w:t>regulation</w:t>
      </w:r>
      <w:r>
        <w:rPr>
          <w:i/>
          <w:spacing w:val="-6"/>
          <w:sz w:val="38"/>
        </w:rPr>
        <w:t> </w:t>
      </w:r>
      <w:r>
        <w:rPr>
          <w:i/>
          <w:sz w:val="38"/>
        </w:rPr>
        <w:t>of</w:t>
      </w:r>
      <w:r>
        <w:rPr>
          <w:i/>
          <w:spacing w:val="-8"/>
          <w:sz w:val="38"/>
        </w:rPr>
        <w:t> </w:t>
      </w:r>
      <w:r>
        <w:rPr>
          <w:i/>
          <w:sz w:val="38"/>
        </w:rPr>
        <w:t>allergic</w:t>
      </w:r>
      <w:r>
        <w:rPr>
          <w:i/>
          <w:spacing w:val="-10"/>
          <w:sz w:val="38"/>
        </w:rPr>
        <w:t> </w:t>
      </w:r>
      <w:r>
        <w:rPr>
          <w:i/>
          <w:sz w:val="38"/>
        </w:rPr>
        <w:t>reactions’.</w:t>
      </w:r>
      <w:r>
        <w:rPr>
          <w:i/>
          <w:spacing w:val="-9"/>
          <w:sz w:val="38"/>
        </w:rPr>
        <w:t> </w:t>
      </w:r>
      <w:r>
        <w:rPr>
          <w:sz w:val="38"/>
        </w:rPr>
        <w:t>(Drs.</w:t>
      </w:r>
      <w:r>
        <w:rPr>
          <w:spacing w:val="-10"/>
          <w:sz w:val="38"/>
        </w:rPr>
        <w:t> </w:t>
      </w:r>
      <w:r>
        <w:rPr>
          <w:sz w:val="38"/>
        </w:rPr>
        <w:t>Tortora,</w:t>
      </w:r>
      <w:r>
        <w:rPr>
          <w:spacing w:val="-8"/>
          <w:sz w:val="38"/>
        </w:rPr>
        <w:t> </w:t>
      </w:r>
      <w:r>
        <w:rPr>
          <w:sz w:val="38"/>
        </w:rPr>
        <w:t>Funke</w:t>
      </w:r>
      <w:r>
        <w:rPr>
          <w:spacing w:val="-9"/>
          <w:sz w:val="38"/>
        </w:rPr>
        <w:t> </w:t>
      </w:r>
      <w:r>
        <w:rPr>
          <w:sz w:val="38"/>
        </w:rPr>
        <w:t>&amp;</w:t>
      </w:r>
      <w:r>
        <w:rPr>
          <w:spacing w:val="-8"/>
          <w:sz w:val="38"/>
        </w:rPr>
        <w:t> </w:t>
      </w:r>
      <w:r>
        <w:rPr>
          <w:sz w:val="38"/>
        </w:rPr>
        <w:t>Cast,</w:t>
      </w:r>
      <w:r>
        <w:rPr>
          <w:spacing w:val="-7"/>
          <w:sz w:val="38"/>
        </w:rPr>
        <w:t> </w:t>
      </w:r>
      <w:r>
        <w:rPr>
          <w:sz w:val="38"/>
        </w:rPr>
        <w:t>Micro- biology)</w:t>
      </w:r>
    </w:p>
    <w:p>
      <w:pPr>
        <w:spacing w:line="276" w:lineRule="auto" w:before="239"/>
        <w:ind w:left="477" w:right="133" w:firstLine="0"/>
        <w:jc w:val="both"/>
        <w:rPr>
          <w:sz w:val="38"/>
        </w:rPr>
      </w:pPr>
      <w:r>
        <w:rPr>
          <w:i/>
          <w:sz w:val="38"/>
        </w:rPr>
        <w:t>‘Reducing</w:t>
      </w:r>
      <w:r>
        <w:rPr>
          <w:i/>
          <w:spacing w:val="-15"/>
          <w:sz w:val="38"/>
        </w:rPr>
        <w:t> </w:t>
      </w:r>
      <w:r>
        <w:rPr>
          <w:i/>
          <w:sz w:val="38"/>
        </w:rPr>
        <w:t>viral</w:t>
      </w:r>
      <w:r>
        <w:rPr>
          <w:i/>
          <w:spacing w:val="-14"/>
          <w:sz w:val="38"/>
        </w:rPr>
        <w:t> </w:t>
      </w:r>
      <w:r>
        <w:rPr>
          <w:i/>
          <w:sz w:val="38"/>
        </w:rPr>
        <w:t>levels</w:t>
      </w:r>
      <w:r>
        <w:rPr>
          <w:i/>
          <w:spacing w:val="-14"/>
          <w:sz w:val="38"/>
        </w:rPr>
        <w:t> </w:t>
      </w:r>
      <w:r>
        <w:rPr>
          <w:i/>
          <w:sz w:val="38"/>
        </w:rPr>
        <w:t>in</w:t>
      </w:r>
      <w:r>
        <w:rPr>
          <w:i/>
          <w:spacing w:val="-16"/>
          <w:sz w:val="38"/>
        </w:rPr>
        <w:t> </w:t>
      </w:r>
      <w:r>
        <w:rPr>
          <w:i/>
          <w:sz w:val="38"/>
        </w:rPr>
        <w:t>the</w:t>
      </w:r>
      <w:r>
        <w:rPr>
          <w:i/>
          <w:spacing w:val="-13"/>
          <w:sz w:val="38"/>
        </w:rPr>
        <w:t> </w:t>
      </w:r>
      <w:r>
        <w:rPr>
          <w:i/>
          <w:sz w:val="38"/>
        </w:rPr>
        <w:t>body</w:t>
      </w:r>
      <w:r>
        <w:rPr>
          <w:i/>
          <w:spacing w:val="-14"/>
          <w:sz w:val="38"/>
        </w:rPr>
        <w:t> </w:t>
      </w:r>
      <w:r>
        <w:rPr>
          <w:i/>
          <w:sz w:val="38"/>
        </w:rPr>
        <w:t>and</w:t>
      </w:r>
      <w:r>
        <w:rPr>
          <w:i/>
          <w:spacing w:val="-14"/>
          <w:sz w:val="38"/>
        </w:rPr>
        <w:t> </w:t>
      </w:r>
      <w:r>
        <w:rPr>
          <w:i/>
          <w:sz w:val="38"/>
        </w:rPr>
        <w:t>stimulating</w:t>
      </w:r>
      <w:r>
        <w:rPr>
          <w:i/>
          <w:spacing w:val="-16"/>
          <w:sz w:val="38"/>
        </w:rPr>
        <w:t> </w:t>
      </w:r>
      <w:r>
        <w:rPr>
          <w:i/>
          <w:sz w:val="38"/>
        </w:rPr>
        <w:t>the</w:t>
      </w:r>
      <w:r>
        <w:rPr>
          <w:i/>
          <w:spacing w:val="-16"/>
          <w:sz w:val="38"/>
        </w:rPr>
        <w:t> </w:t>
      </w:r>
      <w:r>
        <w:rPr>
          <w:i/>
          <w:sz w:val="38"/>
        </w:rPr>
        <w:t>natural</w:t>
      </w:r>
      <w:r>
        <w:rPr>
          <w:i/>
          <w:spacing w:val="-14"/>
          <w:sz w:val="38"/>
        </w:rPr>
        <w:t> </w:t>
      </w:r>
      <w:r>
        <w:rPr>
          <w:i/>
          <w:sz w:val="38"/>
        </w:rPr>
        <w:t>immune</w:t>
      </w:r>
      <w:r>
        <w:rPr>
          <w:i/>
          <w:spacing w:val="-14"/>
          <w:sz w:val="38"/>
        </w:rPr>
        <w:t> </w:t>
      </w:r>
      <w:r>
        <w:rPr>
          <w:i/>
          <w:sz w:val="38"/>
        </w:rPr>
        <w:t>defence</w:t>
      </w:r>
      <w:r>
        <w:rPr>
          <w:i/>
          <w:spacing w:val="-17"/>
          <w:sz w:val="38"/>
        </w:rPr>
        <w:t> </w:t>
      </w:r>
      <w:r>
        <w:rPr>
          <w:i/>
          <w:sz w:val="38"/>
        </w:rPr>
        <w:t>hold</w:t>
      </w:r>
      <w:r>
        <w:rPr>
          <w:i/>
          <w:spacing w:val="-15"/>
          <w:sz w:val="38"/>
        </w:rPr>
        <w:t> </w:t>
      </w:r>
      <w:r>
        <w:rPr>
          <w:i/>
          <w:sz w:val="38"/>
        </w:rPr>
        <w:t>the</w:t>
      </w:r>
      <w:r>
        <w:rPr>
          <w:i/>
          <w:spacing w:val="-14"/>
          <w:sz w:val="38"/>
        </w:rPr>
        <w:t> </w:t>
      </w:r>
      <w:r>
        <w:rPr>
          <w:i/>
          <w:sz w:val="38"/>
        </w:rPr>
        <w:t>greatest </w:t>
      </w:r>
      <w:r>
        <w:rPr>
          <w:i/>
          <w:sz w:val="38"/>
        </w:rPr>
        <w:t>promise</w:t>
      </w:r>
      <w:r>
        <w:rPr>
          <w:i/>
          <w:spacing w:val="-12"/>
          <w:sz w:val="38"/>
        </w:rPr>
        <w:t> </w:t>
      </w:r>
      <w:r>
        <w:rPr>
          <w:i/>
          <w:sz w:val="38"/>
        </w:rPr>
        <w:t>of</w:t>
      </w:r>
      <w:r>
        <w:rPr>
          <w:i/>
          <w:spacing w:val="-10"/>
          <w:sz w:val="38"/>
        </w:rPr>
        <w:t> </w:t>
      </w:r>
      <w:r>
        <w:rPr>
          <w:i/>
          <w:sz w:val="38"/>
        </w:rPr>
        <w:t>helping</w:t>
      </w:r>
      <w:r>
        <w:rPr>
          <w:i/>
          <w:spacing w:val="-12"/>
          <w:sz w:val="38"/>
        </w:rPr>
        <w:t> </w:t>
      </w:r>
      <w:r>
        <w:rPr>
          <w:i/>
          <w:sz w:val="38"/>
        </w:rPr>
        <w:t>our</w:t>
      </w:r>
      <w:r>
        <w:rPr>
          <w:i/>
          <w:spacing w:val="-10"/>
          <w:sz w:val="38"/>
        </w:rPr>
        <w:t> </w:t>
      </w:r>
      <w:r>
        <w:rPr>
          <w:i/>
          <w:sz w:val="38"/>
        </w:rPr>
        <w:t>immune</w:t>
      </w:r>
      <w:r>
        <w:rPr>
          <w:i/>
          <w:spacing w:val="-14"/>
          <w:sz w:val="38"/>
        </w:rPr>
        <w:t> </w:t>
      </w:r>
      <w:r>
        <w:rPr>
          <w:i/>
          <w:sz w:val="38"/>
        </w:rPr>
        <w:t>system</w:t>
      </w:r>
      <w:r>
        <w:rPr>
          <w:i/>
          <w:spacing w:val="-13"/>
          <w:sz w:val="38"/>
        </w:rPr>
        <w:t> </w:t>
      </w:r>
      <w:r>
        <w:rPr>
          <w:i/>
          <w:sz w:val="38"/>
        </w:rPr>
        <w:t>keep</w:t>
      </w:r>
      <w:r>
        <w:rPr>
          <w:i/>
          <w:spacing w:val="-12"/>
          <w:sz w:val="38"/>
        </w:rPr>
        <w:t> </w:t>
      </w:r>
      <w:r>
        <w:rPr>
          <w:i/>
          <w:sz w:val="38"/>
        </w:rPr>
        <w:t>the</w:t>
      </w:r>
      <w:r>
        <w:rPr>
          <w:i/>
          <w:spacing w:val="-12"/>
          <w:sz w:val="38"/>
        </w:rPr>
        <w:t> </w:t>
      </w:r>
      <w:r>
        <w:rPr>
          <w:i/>
          <w:sz w:val="38"/>
        </w:rPr>
        <w:t>HIV</w:t>
      </w:r>
      <w:r>
        <w:rPr>
          <w:i/>
          <w:spacing w:val="-8"/>
          <w:sz w:val="38"/>
        </w:rPr>
        <w:t> </w:t>
      </w:r>
      <w:r>
        <w:rPr>
          <w:i/>
          <w:sz w:val="38"/>
        </w:rPr>
        <w:t>virus</w:t>
      </w:r>
      <w:r>
        <w:rPr>
          <w:i/>
          <w:spacing w:val="-12"/>
          <w:sz w:val="38"/>
        </w:rPr>
        <w:t> </w:t>
      </w:r>
      <w:r>
        <w:rPr>
          <w:i/>
          <w:sz w:val="38"/>
        </w:rPr>
        <w:t>at</w:t>
      </w:r>
      <w:r>
        <w:rPr>
          <w:i/>
          <w:spacing w:val="-10"/>
          <w:sz w:val="38"/>
        </w:rPr>
        <w:t> </w:t>
      </w:r>
      <w:r>
        <w:rPr>
          <w:i/>
          <w:sz w:val="38"/>
        </w:rPr>
        <w:t>bay’.</w:t>
      </w:r>
      <w:r>
        <w:rPr>
          <w:i/>
          <w:spacing w:val="-11"/>
          <w:sz w:val="38"/>
        </w:rPr>
        <w:t> </w:t>
      </w:r>
      <w:r>
        <w:rPr>
          <w:sz w:val="38"/>
        </w:rPr>
        <w:t>(Drs.</w:t>
      </w:r>
      <w:r>
        <w:rPr>
          <w:spacing w:val="-10"/>
          <w:sz w:val="38"/>
        </w:rPr>
        <w:t> </w:t>
      </w:r>
      <w:r>
        <w:rPr>
          <w:sz w:val="38"/>
        </w:rPr>
        <w:t>Nowa</w:t>
      </w:r>
      <w:r>
        <w:rPr>
          <w:spacing w:val="-13"/>
          <w:sz w:val="38"/>
        </w:rPr>
        <w:t> </w:t>
      </w:r>
      <w:r>
        <w:rPr>
          <w:sz w:val="38"/>
        </w:rPr>
        <w:t>&amp;</w:t>
      </w:r>
      <w:r>
        <w:rPr>
          <w:spacing w:val="-11"/>
          <w:sz w:val="38"/>
        </w:rPr>
        <w:t> </w:t>
      </w:r>
      <w:r>
        <w:rPr>
          <w:sz w:val="38"/>
        </w:rPr>
        <w:t>McMi- chael; Scientific American)</w:t>
      </w:r>
    </w:p>
    <w:p>
      <w:pPr>
        <w:spacing w:line="276" w:lineRule="auto" w:before="242"/>
        <w:ind w:left="477" w:right="132" w:firstLine="0"/>
        <w:jc w:val="both"/>
        <w:rPr>
          <w:sz w:val="38"/>
        </w:rPr>
      </w:pPr>
      <w:r>
        <w:rPr>
          <w:i/>
          <w:sz w:val="38"/>
        </w:rPr>
        <w:t>‘In patients with high blood pressure, the blood pressure usually normalises after 3-4 months </w:t>
      </w:r>
      <w:r>
        <w:rPr>
          <w:i/>
          <w:sz w:val="38"/>
        </w:rPr>
        <w:t>and patients with diabetes also regularly report to me that the blood sugar levels normalise’. </w:t>
      </w:r>
      <w:r>
        <w:rPr>
          <w:sz w:val="38"/>
        </w:rPr>
        <w:t>(Dr. Marco Prümmer, general practitioner and sports medicine specialist)</w:t>
      </w:r>
    </w:p>
    <w:p>
      <w:pPr>
        <w:pStyle w:val="BodyText"/>
        <w:spacing w:before="6"/>
        <w:rPr>
          <w:sz w:val="42"/>
        </w:rPr>
      </w:pPr>
    </w:p>
    <w:p>
      <w:pPr>
        <w:pStyle w:val="Heading2"/>
        <w:jc w:val="both"/>
      </w:pPr>
      <w:r>
        <w:rPr/>
        <w:t>Production and processing of colostrum</w:t>
      </w:r>
    </w:p>
    <w:p>
      <w:pPr>
        <w:spacing w:after="0"/>
        <w:jc w:val="both"/>
        <w:sectPr>
          <w:pgSz w:w="14270" w:h="16850"/>
          <w:pgMar w:header="0" w:footer="1891" w:top="1600" w:bottom="2080" w:left="800" w:right="1280"/>
        </w:sectPr>
      </w:pPr>
    </w:p>
    <w:p>
      <w:pPr>
        <w:pStyle w:val="BodyText"/>
        <w:spacing w:line="276" w:lineRule="auto" w:before="181"/>
        <w:ind w:left="477" w:right="135"/>
        <w:jc w:val="both"/>
      </w:pPr>
      <w:r>
        <w:rPr/>
        <w:t>The gentle processing of colostrum is the immediate guarantee for the highest possible preservation of its fascinating nutrients. Ideally, colostrum is obtained from</w:t>
      </w:r>
      <w:r>
        <w:rPr>
          <w:spacing w:val="-16"/>
        </w:rPr>
        <w:t> </w:t>
      </w:r>
      <w:r>
        <w:rPr/>
        <w:t>organic</w:t>
      </w:r>
      <w:r>
        <w:rPr>
          <w:spacing w:val="-16"/>
        </w:rPr>
        <w:t> </w:t>
      </w:r>
      <w:r>
        <w:rPr/>
        <w:t>cattle,</w:t>
      </w:r>
      <w:r>
        <w:rPr>
          <w:spacing w:val="-14"/>
        </w:rPr>
        <w:t> </w:t>
      </w:r>
      <w:r>
        <w:rPr/>
        <w:t>which</w:t>
      </w:r>
      <w:r>
        <w:rPr>
          <w:spacing w:val="-15"/>
        </w:rPr>
        <w:t> </w:t>
      </w:r>
      <w:r>
        <w:rPr/>
        <w:t>rules</w:t>
      </w:r>
      <w:r>
        <w:rPr>
          <w:spacing w:val="-15"/>
        </w:rPr>
        <w:t> </w:t>
      </w:r>
      <w:r>
        <w:rPr/>
        <w:t>out</w:t>
      </w:r>
      <w:r>
        <w:rPr>
          <w:spacing w:val="-16"/>
        </w:rPr>
        <w:t> </w:t>
      </w:r>
      <w:r>
        <w:rPr/>
        <w:t>contamination</w:t>
      </w:r>
      <w:r>
        <w:rPr>
          <w:spacing w:val="-15"/>
        </w:rPr>
        <w:t> </w:t>
      </w:r>
      <w:r>
        <w:rPr/>
        <w:t>with</w:t>
      </w:r>
      <w:r>
        <w:rPr>
          <w:spacing w:val="-10"/>
        </w:rPr>
        <w:t> </w:t>
      </w:r>
      <w:r>
        <w:rPr/>
        <w:t>rearing</w:t>
      </w:r>
      <w:r>
        <w:rPr>
          <w:spacing w:val="-15"/>
        </w:rPr>
        <w:t> </w:t>
      </w:r>
      <w:r>
        <w:rPr/>
        <w:t>hormones,</w:t>
      </w:r>
      <w:r>
        <w:rPr>
          <w:spacing w:val="-15"/>
        </w:rPr>
        <w:t> </w:t>
      </w:r>
      <w:r>
        <w:rPr/>
        <w:t>pes- ticides and</w:t>
      </w:r>
      <w:r>
        <w:rPr>
          <w:spacing w:val="1"/>
        </w:rPr>
        <w:t> </w:t>
      </w:r>
      <w:r>
        <w:rPr/>
        <w:t>herbicides.</w:t>
      </w:r>
    </w:p>
    <w:p>
      <w:pPr>
        <w:pStyle w:val="BodyText"/>
        <w:spacing w:line="276" w:lineRule="auto" w:before="242"/>
        <w:ind w:left="477" w:right="132"/>
        <w:jc w:val="both"/>
      </w:pPr>
      <w:r>
        <w:rPr/>
        <w:t>Colostrum</w:t>
      </w:r>
      <w:r>
        <w:rPr>
          <w:spacing w:val="-22"/>
        </w:rPr>
        <w:t> </w:t>
      </w:r>
      <w:r>
        <w:rPr/>
        <w:t>for</w:t>
      </w:r>
      <w:r>
        <w:rPr>
          <w:spacing w:val="-21"/>
        </w:rPr>
        <w:t> </w:t>
      </w:r>
      <w:r>
        <w:rPr/>
        <w:t>food</w:t>
      </w:r>
      <w:r>
        <w:rPr>
          <w:spacing w:val="-23"/>
        </w:rPr>
        <w:t> </w:t>
      </w:r>
      <w:r>
        <w:rPr/>
        <w:t>supplement</w:t>
      </w:r>
      <w:r>
        <w:rPr>
          <w:spacing w:val="-27"/>
        </w:rPr>
        <w:t> </w:t>
      </w:r>
      <w:r>
        <w:rPr/>
        <w:t>production</w:t>
      </w:r>
      <w:r>
        <w:rPr>
          <w:spacing w:val="-21"/>
        </w:rPr>
        <w:t> </w:t>
      </w:r>
      <w:r>
        <w:rPr/>
        <w:t>is</w:t>
      </w:r>
      <w:r>
        <w:rPr>
          <w:spacing w:val="-24"/>
        </w:rPr>
        <w:t> </w:t>
      </w:r>
      <w:r>
        <w:rPr/>
        <w:t>obtained</w:t>
      </w:r>
      <w:r>
        <w:rPr>
          <w:spacing w:val="-23"/>
        </w:rPr>
        <w:t> </w:t>
      </w:r>
      <w:r>
        <w:rPr/>
        <w:t>within</w:t>
      </w:r>
      <w:r>
        <w:rPr>
          <w:spacing w:val="-22"/>
        </w:rPr>
        <w:t> </w:t>
      </w:r>
      <w:r>
        <w:rPr/>
        <w:t>the</w:t>
      </w:r>
      <w:r>
        <w:rPr>
          <w:spacing w:val="-21"/>
        </w:rPr>
        <w:t> </w:t>
      </w:r>
      <w:r>
        <w:rPr/>
        <w:t>first</w:t>
      </w:r>
      <w:r>
        <w:rPr>
          <w:spacing w:val="-22"/>
        </w:rPr>
        <w:t> </w:t>
      </w:r>
      <w:r>
        <w:rPr/>
        <w:t>36</w:t>
      </w:r>
      <w:r>
        <w:rPr>
          <w:spacing w:val="-25"/>
        </w:rPr>
        <w:t> </w:t>
      </w:r>
      <w:r>
        <w:rPr/>
        <w:t>hours after</w:t>
      </w:r>
      <w:r>
        <w:rPr>
          <w:spacing w:val="-14"/>
        </w:rPr>
        <w:t> </w:t>
      </w:r>
      <w:r>
        <w:rPr/>
        <w:t>the</w:t>
      </w:r>
      <w:r>
        <w:rPr>
          <w:spacing w:val="-12"/>
        </w:rPr>
        <w:t> </w:t>
      </w:r>
      <w:r>
        <w:rPr/>
        <w:t>birth</w:t>
      </w:r>
      <w:r>
        <w:rPr>
          <w:spacing w:val="-14"/>
        </w:rPr>
        <w:t> </w:t>
      </w:r>
      <w:r>
        <w:rPr/>
        <w:t>of</w:t>
      </w:r>
      <w:r>
        <w:rPr>
          <w:spacing w:val="-15"/>
        </w:rPr>
        <w:t> </w:t>
      </w:r>
      <w:r>
        <w:rPr/>
        <w:t>calves</w:t>
      </w:r>
      <w:r>
        <w:rPr>
          <w:spacing w:val="-13"/>
        </w:rPr>
        <w:t> </w:t>
      </w:r>
      <w:r>
        <w:rPr/>
        <w:t>(bovine</w:t>
      </w:r>
      <w:r>
        <w:rPr>
          <w:spacing w:val="-14"/>
        </w:rPr>
        <w:t> </w:t>
      </w:r>
      <w:r>
        <w:rPr/>
        <w:t>colostrum)</w:t>
      </w:r>
      <w:r>
        <w:rPr>
          <w:spacing w:val="-13"/>
        </w:rPr>
        <w:t> </w:t>
      </w:r>
      <w:r>
        <w:rPr/>
        <w:t>or</w:t>
      </w:r>
      <w:r>
        <w:rPr>
          <w:spacing w:val="-12"/>
        </w:rPr>
        <w:t> </w:t>
      </w:r>
      <w:r>
        <w:rPr/>
        <w:t>goats</w:t>
      </w:r>
      <w:r>
        <w:rPr>
          <w:spacing w:val="-14"/>
        </w:rPr>
        <w:t> </w:t>
      </w:r>
      <w:r>
        <w:rPr/>
        <w:t>(goat</w:t>
      </w:r>
      <w:r>
        <w:rPr>
          <w:spacing w:val="-14"/>
        </w:rPr>
        <w:t> </w:t>
      </w:r>
      <w:r>
        <w:rPr/>
        <w:t>colostrum).</w:t>
      </w:r>
      <w:r>
        <w:rPr>
          <w:spacing w:val="-13"/>
        </w:rPr>
        <w:t> </w:t>
      </w:r>
      <w:r>
        <w:rPr/>
        <w:t>About</w:t>
      </w:r>
      <w:r>
        <w:rPr>
          <w:spacing w:val="-16"/>
        </w:rPr>
        <w:t> </w:t>
      </w:r>
      <w:r>
        <w:rPr/>
        <w:t>19 of the approximately 34 litres that a cow produces during this time otherwise remains unused; the calf only uses the</w:t>
      </w:r>
      <w:r>
        <w:rPr>
          <w:spacing w:val="6"/>
        </w:rPr>
        <w:t> </w:t>
      </w:r>
      <w:r>
        <w:rPr/>
        <w:t>remainder.</w:t>
      </w:r>
    </w:p>
    <w:p>
      <w:pPr>
        <w:pStyle w:val="BodyText"/>
        <w:spacing w:line="276" w:lineRule="auto" w:before="240"/>
        <w:ind w:left="477" w:right="138"/>
        <w:jc w:val="both"/>
      </w:pPr>
      <w:r>
        <w:rPr/>
        <w:t>In the next step, the colostrum is cooled and then dried. At this point, it is important to note that the temperature must not exceed the limit of 28 °C, so that the valuable immune components are not destroyed.</w:t>
      </w:r>
    </w:p>
    <w:p>
      <w:pPr>
        <w:pStyle w:val="BodyText"/>
        <w:spacing w:line="276" w:lineRule="auto" w:before="238"/>
        <w:ind w:left="477" w:right="136"/>
        <w:jc w:val="both"/>
      </w:pPr>
      <w:r>
        <w:rPr/>
        <w:t>Very</w:t>
      </w:r>
      <w:r>
        <w:rPr>
          <w:spacing w:val="-19"/>
        </w:rPr>
        <w:t> </w:t>
      </w:r>
      <w:r>
        <w:rPr/>
        <w:t>often,</w:t>
      </w:r>
      <w:r>
        <w:rPr>
          <w:spacing w:val="-22"/>
        </w:rPr>
        <w:t> </w:t>
      </w:r>
      <w:r>
        <w:rPr/>
        <w:t>casein</w:t>
      </w:r>
      <w:r>
        <w:rPr>
          <w:spacing w:val="-18"/>
        </w:rPr>
        <w:t> </w:t>
      </w:r>
      <w:r>
        <w:rPr/>
        <w:t>is</w:t>
      </w:r>
      <w:r>
        <w:rPr>
          <w:spacing w:val="-20"/>
        </w:rPr>
        <w:t> </w:t>
      </w:r>
      <w:r>
        <w:rPr/>
        <w:t>first</w:t>
      </w:r>
      <w:r>
        <w:rPr>
          <w:spacing w:val="-22"/>
        </w:rPr>
        <w:t> </w:t>
      </w:r>
      <w:r>
        <w:rPr/>
        <w:t>removed</w:t>
      </w:r>
      <w:r>
        <w:rPr>
          <w:spacing w:val="-20"/>
        </w:rPr>
        <w:t> </w:t>
      </w:r>
      <w:r>
        <w:rPr/>
        <w:t>to</w:t>
      </w:r>
      <w:r>
        <w:rPr>
          <w:spacing w:val="-19"/>
        </w:rPr>
        <w:t> </w:t>
      </w:r>
      <w:r>
        <w:rPr/>
        <w:t>ensure</w:t>
      </w:r>
      <w:r>
        <w:rPr>
          <w:spacing w:val="-21"/>
        </w:rPr>
        <w:t> </w:t>
      </w:r>
      <w:r>
        <w:rPr/>
        <w:t>better</w:t>
      </w:r>
      <w:r>
        <w:rPr>
          <w:spacing w:val="-20"/>
        </w:rPr>
        <w:t> </w:t>
      </w:r>
      <w:r>
        <w:rPr/>
        <w:t>digestibility.</w:t>
      </w:r>
      <w:r>
        <w:rPr>
          <w:spacing w:val="-18"/>
        </w:rPr>
        <w:t> </w:t>
      </w:r>
      <w:r>
        <w:rPr/>
        <w:t>Large</w:t>
      </w:r>
      <w:r>
        <w:rPr>
          <w:spacing w:val="-19"/>
        </w:rPr>
        <w:t> </w:t>
      </w:r>
      <w:r>
        <w:rPr/>
        <w:t>molecular proteins,</w:t>
      </w:r>
      <w:r>
        <w:rPr>
          <w:spacing w:val="-17"/>
        </w:rPr>
        <w:t> </w:t>
      </w:r>
      <w:r>
        <w:rPr/>
        <w:t>fats,</w:t>
      </w:r>
      <w:r>
        <w:rPr>
          <w:spacing w:val="-17"/>
        </w:rPr>
        <w:t> </w:t>
      </w:r>
      <w:r>
        <w:rPr/>
        <w:t>impurities</w:t>
      </w:r>
      <w:r>
        <w:rPr>
          <w:spacing w:val="-17"/>
        </w:rPr>
        <w:t> </w:t>
      </w:r>
      <w:r>
        <w:rPr/>
        <w:t>and</w:t>
      </w:r>
      <w:r>
        <w:rPr>
          <w:spacing w:val="-17"/>
        </w:rPr>
        <w:t> </w:t>
      </w:r>
      <w:r>
        <w:rPr/>
        <w:t>germs</w:t>
      </w:r>
      <w:r>
        <w:rPr>
          <w:spacing w:val="-17"/>
        </w:rPr>
        <w:t> </w:t>
      </w:r>
      <w:r>
        <w:rPr/>
        <w:t>are</w:t>
      </w:r>
      <w:r>
        <w:rPr>
          <w:spacing w:val="-17"/>
        </w:rPr>
        <w:t> </w:t>
      </w:r>
      <w:r>
        <w:rPr/>
        <w:t>carefully</w:t>
      </w:r>
      <w:r>
        <w:rPr>
          <w:spacing w:val="-17"/>
        </w:rPr>
        <w:t> </w:t>
      </w:r>
      <w:r>
        <w:rPr/>
        <w:t>separated;</w:t>
      </w:r>
      <w:r>
        <w:rPr>
          <w:spacing w:val="-17"/>
        </w:rPr>
        <w:t> </w:t>
      </w:r>
      <w:r>
        <w:rPr/>
        <w:t>also,</w:t>
      </w:r>
      <w:r>
        <w:rPr>
          <w:spacing w:val="-17"/>
        </w:rPr>
        <w:t> </w:t>
      </w:r>
      <w:r>
        <w:rPr/>
        <w:t>the</w:t>
      </w:r>
      <w:r>
        <w:rPr>
          <w:spacing w:val="-16"/>
        </w:rPr>
        <w:t> </w:t>
      </w:r>
      <w:r>
        <w:rPr/>
        <w:t>use</w:t>
      </w:r>
      <w:r>
        <w:rPr>
          <w:spacing w:val="-18"/>
        </w:rPr>
        <w:t> </w:t>
      </w:r>
      <w:r>
        <w:rPr/>
        <w:t>of</w:t>
      </w:r>
      <w:r>
        <w:rPr>
          <w:spacing w:val="-17"/>
        </w:rPr>
        <w:t> </w:t>
      </w:r>
      <w:r>
        <w:rPr/>
        <w:t>heat- ing</w:t>
      </w:r>
      <w:r>
        <w:rPr>
          <w:spacing w:val="-8"/>
        </w:rPr>
        <w:t> </w:t>
      </w:r>
      <w:r>
        <w:rPr/>
        <w:t>and</w:t>
      </w:r>
      <w:r>
        <w:rPr>
          <w:spacing w:val="-8"/>
        </w:rPr>
        <w:t> </w:t>
      </w:r>
      <w:r>
        <w:rPr/>
        <w:t>preservatives</w:t>
      </w:r>
      <w:r>
        <w:rPr>
          <w:spacing w:val="-9"/>
        </w:rPr>
        <w:t> </w:t>
      </w:r>
      <w:r>
        <w:rPr/>
        <w:t>is</w:t>
      </w:r>
      <w:r>
        <w:rPr>
          <w:spacing w:val="-8"/>
        </w:rPr>
        <w:t> </w:t>
      </w:r>
      <w:r>
        <w:rPr/>
        <w:t>largely</w:t>
      </w:r>
      <w:r>
        <w:rPr>
          <w:spacing w:val="-8"/>
        </w:rPr>
        <w:t> </w:t>
      </w:r>
      <w:r>
        <w:rPr/>
        <w:t>avoided</w:t>
      </w:r>
      <w:r>
        <w:rPr>
          <w:spacing w:val="-8"/>
        </w:rPr>
        <w:t> </w:t>
      </w:r>
      <w:r>
        <w:rPr/>
        <w:t>for</w:t>
      </w:r>
      <w:r>
        <w:rPr>
          <w:spacing w:val="-6"/>
        </w:rPr>
        <w:t> </w:t>
      </w:r>
      <w:r>
        <w:rPr/>
        <w:t>the</w:t>
      </w:r>
      <w:r>
        <w:rPr>
          <w:spacing w:val="-11"/>
        </w:rPr>
        <w:t> </w:t>
      </w:r>
      <w:r>
        <w:rPr/>
        <w:t>purposes</w:t>
      </w:r>
      <w:r>
        <w:rPr>
          <w:spacing w:val="-9"/>
        </w:rPr>
        <w:t> </w:t>
      </w:r>
      <w:r>
        <w:rPr/>
        <w:t>of</w:t>
      </w:r>
      <w:r>
        <w:rPr>
          <w:spacing w:val="-10"/>
        </w:rPr>
        <w:t> </w:t>
      </w:r>
      <w:r>
        <w:rPr/>
        <w:t>preserving</w:t>
      </w:r>
      <w:r>
        <w:rPr>
          <w:spacing w:val="-8"/>
        </w:rPr>
        <w:t> </w:t>
      </w:r>
      <w:r>
        <w:rPr/>
        <w:t>bioactiv- ity.</w:t>
      </w:r>
    </w:p>
    <w:p>
      <w:pPr>
        <w:pStyle w:val="BodyText"/>
        <w:spacing w:line="276" w:lineRule="auto" w:before="242"/>
        <w:ind w:left="477" w:right="134"/>
        <w:jc w:val="both"/>
      </w:pPr>
      <w:r>
        <w:rPr/>
        <w:t>Colostrum</w:t>
      </w:r>
      <w:r>
        <w:rPr>
          <w:spacing w:val="-22"/>
        </w:rPr>
        <w:t> </w:t>
      </w:r>
      <w:r>
        <w:rPr/>
        <w:t>is</w:t>
      </w:r>
      <w:r>
        <w:rPr>
          <w:spacing w:val="-23"/>
        </w:rPr>
        <w:t> </w:t>
      </w:r>
      <w:r>
        <w:rPr/>
        <w:t>available</w:t>
      </w:r>
      <w:r>
        <w:rPr>
          <w:spacing w:val="-23"/>
        </w:rPr>
        <w:t> </w:t>
      </w:r>
      <w:r>
        <w:rPr/>
        <w:t>in</w:t>
      </w:r>
      <w:r>
        <w:rPr>
          <w:spacing w:val="-21"/>
        </w:rPr>
        <w:t> </w:t>
      </w:r>
      <w:r>
        <w:rPr/>
        <w:t>powder</w:t>
      </w:r>
      <w:r>
        <w:rPr>
          <w:spacing w:val="-27"/>
        </w:rPr>
        <w:t> </w:t>
      </w:r>
      <w:r>
        <w:rPr/>
        <w:t>form,</w:t>
      </w:r>
      <w:r>
        <w:rPr>
          <w:spacing w:val="-21"/>
        </w:rPr>
        <w:t> </w:t>
      </w:r>
      <w:r>
        <w:rPr/>
        <w:t>as</w:t>
      </w:r>
      <w:r>
        <w:rPr>
          <w:spacing w:val="-24"/>
        </w:rPr>
        <w:t> </w:t>
      </w:r>
      <w:r>
        <w:rPr/>
        <w:t>capsules,</w:t>
      </w:r>
      <w:r>
        <w:rPr>
          <w:spacing w:val="-23"/>
        </w:rPr>
        <w:t> </w:t>
      </w:r>
      <w:r>
        <w:rPr/>
        <w:t>tablets</w:t>
      </w:r>
      <w:r>
        <w:rPr>
          <w:spacing w:val="-22"/>
        </w:rPr>
        <w:t> </w:t>
      </w:r>
      <w:r>
        <w:rPr/>
        <w:t>and</w:t>
      </w:r>
      <w:r>
        <w:rPr>
          <w:spacing w:val="-24"/>
        </w:rPr>
        <w:t> </w:t>
      </w:r>
      <w:r>
        <w:rPr/>
        <w:t>chewable</w:t>
      </w:r>
      <w:r>
        <w:rPr>
          <w:spacing w:val="-22"/>
        </w:rPr>
        <w:t> </w:t>
      </w:r>
      <w:r>
        <w:rPr/>
        <w:t>tablets, but also in liquid</w:t>
      </w:r>
      <w:r>
        <w:rPr>
          <w:spacing w:val="3"/>
        </w:rPr>
        <w:t> </w:t>
      </w:r>
      <w:r>
        <w:rPr/>
        <w:t>form.</w:t>
      </w:r>
    </w:p>
    <w:p>
      <w:pPr>
        <w:spacing w:before="241"/>
        <w:ind w:left="477" w:right="0" w:firstLine="0"/>
        <w:jc w:val="both"/>
        <w:rPr>
          <w:i/>
          <w:sz w:val="38"/>
        </w:rPr>
      </w:pPr>
      <w:r>
        <w:rPr>
          <w:i/>
          <w:sz w:val="38"/>
        </w:rPr>
        <w:t>Active ingredients and effect</w:t>
      </w:r>
    </w:p>
    <w:p>
      <w:pPr>
        <w:pStyle w:val="BodyText"/>
        <w:spacing w:line="276" w:lineRule="auto" w:before="303"/>
        <w:ind w:left="477" w:right="135"/>
        <w:jc w:val="both"/>
      </w:pPr>
      <w:r>
        <w:rPr/>
        <w:t>The operating principle of colostrum is enormous. As an open-minded person interested in naturopathic treatments and disease prevention, you may wonder how the operating principles of natural plants and natural herbs fundamentally</w:t>
      </w:r>
    </w:p>
    <w:p>
      <w:pPr>
        <w:spacing w:after="0" w:line="276" w:lineRule="auto"/>
        <w:jc w:val="both"/>
        <w:sectPr>
          <w:pgSz w:w="14270" w:h="16850"/>
          <w:pgMar w:header="0" w:footer="1891" w:top="1600" w:bottom="2080" w:left="800" w:right="1280"/>
        </w:sectPr>
      </w:pPr>
    </w:p>
    <w:p>
      <w:pPr>
        <w:pStyle w:val="BodyText"/>
        <w:spacing w:before="181"/>
        <w:ind w:left="477"/>
      </w:pPr>
      <w:r>
        <w:rPr/>
        <w:t>differ from colostrum.</w:t>
      </w:r>
    </w:p>
    <w:p>
      <w:pPr>
        <w:pStyle w:val="BodyText"/>
        <w:spacing w:line="276" w:lineRule="auto" w:before="305"/>
        <w:ind w:left="477" w:right="133"/>
        <w:jc w:val="both"/>
      </w:pPr>
      <w:r>
        <w:rPr/>
        <w:t>While medicinal plants promote healing within the body, colostrum not only promotes healing, but also provides the body with immunoglobulins and growth factors.</w:t>
      </w:r>
    </w:p>
    <w:p>
      <w:pPr>
        <w:pStyle w:val="BodyText"/>
        <w:spacing w:before="2"/>
        <w:rPr>
          <w:sz w:val="41"/>
        </w:rPr>
      </w:pPr>
    </w:p>
    <w:p>
      <w:pPr>
        <w:pStyle w:val="Heading1"/>
        <w:spacing w:before="1"/>
      </w:pPr>
      <w:r>
        <w:rPr/>
        <w:t>Active ingredients in colostrum</w:t>
      </w:r>
    </w:p>
    <w:p>
      <w:pPr>
        <w:pStyle w:val="BodyText"/>
        <w:spacing w:line="276" w:lineRule="auto" w:before="297"/>
        <w:ind w:left="477" w:right="130"/>
        <w:jc w:val="both"/>
      </w:pPr>
      <w:r>
        <w:rPr/>
        <w:t>This natural product contains about 80 different micronutrients, which are re- sponsible</w:t>
      </w:r>
      <w:r>
        <w:rPr>
          <w:spacing w:val="-10"/>
        </w:rPr>
        <w:t> </w:t>
      </w:r>
      <w:r>
        <w:rPr/>
        <w:t>for</w:t>
      </w:r>
      <w:r>
        <w:rPr>
          <w:spacing w:val="-8"/>
        </w:rPr>
        <w:t> </w:t>
      </w:r>
      <w:r>
        <w:rPr/>
        <w:t>the</w:t>
      </w:r>
      <w:r>
        <w:rPr>
          <w:spacing w:val="-7"/>
        </w:rPr>
        <w:t> </w:t>
      </w:r>
      <w:r>
        <w:rPr/>
        <w:t>extremely</w:t>
      </w:r>
      <w:r>
        <w:rPr>
          <w:spacing w:val="-6"/>
        </w:rPr>
        <w:t> </w:t>
      </w:r>
      <w:r>
        <w:rPr/>
        <w:t>potent</w:t>
      </w:r>
      <w:r>
        <w:rPr>
          <w:spacing w:val="-7"/>
        </w:rPr>
        <w:t> </w:t>
      </w:r>
      <w:r>
        <w:rPr/>
        <w:t>effects</w:t>
      </w:r>
      <w:r>
        <w:rPr>
          <w:spacing w:val="-8"/>
        </w:rPr>
        <w:t> </w:t>
      </w:r>
      <w:r>
        <w:rPr/>
        <w:t>of</w:t>
      </w:r>
      <w:r>
        <w:rPr>
          <w:spacing w:val="-7"/>
        </w:rPr>
        <w:t> </w:t>
      </w:r>
      <w:r>
        <w:rPr/>
        <w:t>colostrum.</w:t>
      </w:r>
      <w:r>
        <w:rPr>
          <w:spacing w:val="-8"/>
        </w:rPr>
        <w:t> </w:t>
      </w:r>
      <w:r>
        <w:rPr/>
        <w:t>It</w:t>
      </w:r>
      <w:r>
        <w:rPr>
          <w:spacing w:val="-7"/>
        </w:rPr>
        <w:t> </w:t>
      </w:r>
      <w:r>
        <w:rPr/>
        <w:t>is</w:t>
      </w:r>
      <w:r>
        <w:rPr>
          <w:spacing w:val="-8"/>
        </w:rPr>
        <w:t> </w:t>
      </w:r>
      <w:r>
        <w:rPr/>
        <w:t>therefore</w:t>
      </w:r>
      <w:r>
        <w:rPr>
          <w:spacing w:val="-7"/>
        </w:rPr>
        <w:t> </w:t>
      </w:r>
      <w:r>
        <w:rPr/>
        <w:t>essential to breastfeed your child, as various studies</w:t>
      </w:r>
      <w:r>
        <w:rPr>
          <w:position w:val="9"/>
          <w:sz w:val="25"/>
        </w:rPr>
        <w:t>143 </w:t>
      </w:r>
      <w:r>
        <w:rPr/>
        <w:t>indicate that children who have not</w:t>
      </w:r>
      <w:r>
        <w:rPr>
          <w:spacing w:val="-8"/>
        </w:rPr>
        <w:t> </w:t>
      </w:r>
      <w:r>
        <w:rPr/>
        <w:t>been</w:t>
      </w:r>
      <w:r>
        <w:rPr>
          <w:spacing w:val="-8"/>
        </w:rPr>
        <w:t> </w:t>
      </w:r>
      <w:r>
        <w:rPr/>
        <w:t>breastfed</w:t>
      </w:r>
      <w:r>
        <w:rPr>
          <w:spacing w:val="-7"/>
        </w:rPr>
        <w:t> </w:t>
      </w:r>
      <w:r>
        <w:rPr/>
        <w:t>are</w:t>
      </w:r>
      <w:r>
        <w:rPr>
          <w:spacing w:val="-7"/>
        </w:rPr>
        <w:t> </w:t>
      </w:r>
      <w:r>
        <w:rPr/>
        <w:t>more</w:t>
      </w:r>
      <w:r>
        <w:rPr>
          <w:spacing w:val="-8"/>
        </w:rPr>
        <w:t> </w:t>
      </w:r>
      <w:r>
        <w:rPr/>
        <w:t>likely</w:t>
      </w:r>
      <w:r>
        <w:rPr>
          <w:spacing w:val="-7"/>
        </w:rPr>
        <w:t> </w:t>
      </w:r>
      <w:r>
        <w:rPr/>
        <w:t>to</w:t>
      </w:r>
      <w:r>
        <w:rPr>
          <w:spacing w:val="-6"/>
        </w:rPr>
        <w:t> </w:t>
      </w:r>
      <w:r>
        <w:rPr/>
        <w:t>suffer</w:t>
      </w:r>
      <w:r>
        <w:rPr>
          <w:spacing w:val="-9"/>
        </w:rPr>
        <w:t> </w:t>
      </w:r>
      <w:r>
        <w:rPr/>
        <w:t>from</w:t>
      </w:r>
      <w:r>
        <w:rPr>
          <w:spacing w:val="-9"/>
        </w:rPr>
        <w:t> </w:t>
      </w:r>
      <w:r>
        <w:rPr/>
        <w:t>food</w:t>
      </w:r>
      <w:r>
        <w:rPr>
          <w:spacing w:val="-7"/>
        </w:rPr>
        <w:t> </w:t>
      </w:r>
      <w:r>
        <w:rPr/>
        <w:t>allergies,</w:t>
      </w:r>
      <w:r>
        <w:rPr>
          <w:spacing w:val="-6"/>
        </w:rPr>
        <w:t> </w:t>
      </w:r>
      <w:r>
        <w:rPr/>
        <w:t>eczema,</w:t>
      </w:r>
      <w:r>
        <w:rPr>
          <w:spacing w:val="-6"/>
        </w:rPr>
        <w:t> </w:t>
      </w:r>
      <w:r>
        <w:rPr/>
        <w:t>respir- atory allergies and digestive</w:t>
      </w:r>
      <w:r>
        <w:rPr>
          <w:spacing w:val="1"/>
        </w:rPr>
        <w:t> </w:t>
      </w:r>
      <w:r>
        <w:rPr/>
        <w:t>problems.</w:t>
      </w:r>
    </w:p>
    <w:p>
      <w:pPr>
        <w:pStyle w:val="BodyText"/>
        <w:spacing w:line="276" w:lineRule="auto" w:before="242"/>
        <w:ind w:left="477" w:right="133"/>
        <w:jc w:val="both"/>
      </w:pPr>
      <w:r>
        <w:rPr/>
        <w:t>Researchers agree that they are a long way from having identified all the sub- stance groups, let alone individual active ingredients, that provide the fantastic health</w:t>
      </w:r>
      <w:r>
        <w:rPr>
          <w:spacing w:val="-17"/>
        </w:rPr>
        <w:t> </w:t>
      </w:r>
      <w:r>
        <w:rPr/>
        <w:t>benefits</w:t>
      </w:r>
      <w:r>
        <w:rPr>
          <w:spacing w:val="-16"/>
        </w:rPr>
        <w:t> </w:t>
      </w:r>
      <w:r>
        <w:rPr/>
        <w:t>of</w:t>
      </w:r>
      <w:r>
        <w:rPr>
          <w:spacing w:val="-16"/>
        </w:rPr>
        <w:t> </w:t>
      </w:r>
      <w:r>
        <w:rPr/>
        <w:t>colostrum,</w:t>
      </w:r>
      <w:r>
        <w:rPr>
          <w:spacing w:val="-14"/>
        </w:rPr>
        <w:t> </w:t>
      </w:r>
      <w:r>
        <w:rPr/>
        <w:t>which</w:t>
      </w:r>
      <w:r>
        <w:rPr>
          <w:spacing w:val="-16"/>
        </w:rPr>
        <w:t> </w:t>
      </w:r>
      <w:r>
        <w:rPr/>
        <w:t>adults</w:t>
      </w:r>
      <w:r>
        <w:rPr>
          <w:spacing w:val="-16"/>
        </w:rPr>
        <w:t> </w:t>
      </w:r>
      <w:r>
        <w:rPr/>
        <w:t>can</w:t>
      </w:r>
      <w:r>
        <w:rPr>
          <w:spacing w:val="-13"/>
        </w:rPr>
        <w:t> </w:t>
      </w:r>
      <w:r>
        <w:rPr/>
        <w:t>use</w:t>
      </w:r>
      <w:r>
        <w:rPr>
          <w:spacing w:val="-16"/>
        </w:rPr>
        <w:t> </w:t>
      </w:r>
      <w:r>
        <w:rPr/>
        <w:t>to</w:t>
      </w:r>
      <w:r>
        <w:rPr>
          <w:spacing w:val="-15"/>
        </w:rPr>
        <w:t> </w:t>
      </w:r>
      <w:r>
        <w:rPr/>
        <w:t>make</w:t>
      </w:r>
      <w:r>
        <w:rPr>
          <w:spacing w:val="-17"/>
        </w:rPr>
        <w:t> </w:t>
      </w:r>
      <w:r>
        <w:rPr/>
        <w:t>their</w:t>
      </w:r>
      <w:r>
        <w:rPr>
          <w:spacing w:val="-15"/>
        </w:rPr>
        <w:t> </w:t>
      </w:r>
      <w:r>
        <w:rPr/>
        <w:t>own</w:t>
      </w:r>
      <w:r>
        <w:rPr>
          <w:spacing w:val="-16"/>
        </w:rPr>
        <w:t> </w:t>
      </w:r>
      <w:r>
        <w:rPr/>
        <w:t>colostrum supplements.</w:t>
      </w:r>
    </w:p>
    <w:p>
      <w:pPr>
        <w:pStyle w:val="Heading1"/>
        <w:spacing w:before="222"/>
        <w:jc w:val="both"/>
      </w:pPr>
      <w:r>
        <w:rPr/>
        <w:t>Among the most important active ingredients in colostrum are:</w:t>
      </w:r>
    </w:p>
    <w:p>
      <w:pPr>
        <w:pStyle w:val="ListParagraph"/>
        <w:numPr>
          <w:ilvl w:val="0"/>
          <w:numId w:val="26"/>
        </w:numPr>
        <w:tabs>
          <w:tab w:pos="1198" w:val="left" w:leader="none"/>
        </w:tabs>
        <w:spacing w:line="240" w:lineRule="auto" w:before="301" w:after="0"/>
        <w:ind w:left="1048" w:right="0" w:hanging="571"/>
        <w:jc w:val="both"/>
        <w:rPr>
          <w:sz w:val="38"/>
        </w:rPr>
      </w:pPr>
      <w:r>
        <w:rPr>
          <w:sz w:val="38"/>
        </w:rPr>
        <w:t>antibodies/immunoglobulins</w:t>
      </w:r>
    </w:p>
    <w:p>
      <w:pPr>
        <w:pStyle w:val="BodyText"/>
        <w:rPr>
          <w:sz w:val="20"/>
        </w:rPr>
      </w:pPr>
    </w:p>
    <w:p>
      <w:pPr>
        <w:pStyle w:val="BodyText"/>
        <w:rPr>
          <w:sz w:val="20"/>
        </w:rPr>
      </w:pPr>
    </w:p>
    <w:p>
      <w:pPr>
        <w:pStyle w:val="BodyText"/>
        <w:spacing w:before="5"/>
        <w:rPr>
          <w:sz w:val="22"/>
        </w:rPr>
      </w:pPr>
      <w:r>
        <w:rPr/>
        <w:pict>
          <v:line style="position:absolute;mso-position-horizontal-relative:page;mso-position-vertical-relative:paragraph;z-index:1256;mso-wrap-distance-left:0;mso-wrap-distance-right:0" from="63.863998pt,14.988746pt" to="207.883998pt,14.988746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143 </w:t>
      </w:r>
      <w:r>
        <w:rPr>
          <w:sz w:val="20"/>
        </w:rPr>
        <w:t>Juto 1985</w:t>
      </w:r>
    </w:p>
    <w:p>
      <w:pPr>
        <w:spacing w:after="0"/>
        <w:jc w:val="left"/>
        <w:rPr>
          <w:sz w:val="20"/>
        </w:rPr>
        <w:sectPr>
          <w:pgSz w:w="14270" w:h="16850"/>
          <w:pgMar w:header="0" w:footer="1891" w:top="1600" w:bottom="2080" w:left="800" w:right="1280"/>
        </w:sectPr>
      </w:pPr>
    </w:p>
    <w:p>
      <w:pPr>
        <w:pStyle w:val="BodyText"/>
        <w:spacing w:before="10"/>
        <w:rPr>
          <w:sz w:val="8"/>
        </w:rPr>
      </w:pPr>
    </w:p>
    <w:p>
      <w:pPr>
        <w:pStyle w:val="ListParagraph"/>
        <w:numPr>
          <w:ilvl w:val="0"/>
          <w:numId w:val="26"/>
        </w:numPr>
        <w:tabs>
          <w:tab w:pos="1198" w:val="left" w:leader="none"/>
        </w:tabs>
        <w:spacing w:line="240" w:lineRule="auto" w:before="83" w:after="0"/>
        <w:ind w:left="1048" w:right="0" w:hanging="571"/>
        <w:jc w:val="both"/>
        <w:rPr>
          <w:sz w:val="38"/>
        </w:rPr>
      </w:pPr>
      <w:r>
        <w:rPr>
          <w:sz w:val="38"/>
        </w:rPr>
        <w:t>leukocytes</w:t>
      </w:r>
    </w:p>
    <w:p>
      <w:pPr>
        <w:pStyle w:val="ListParagraph"/>
        <w:numPr>
          <w:ilvl w:val="0"/>
          <w:numId w:val="26"/>
        </w:numPr>
        <w:tabs>
          <w:tab w:pos="1198" w:val="left" w:leader="none"/>
        </w:tabs>
        <w:spacing w:line="240" w:lineRule="auto" w:before="184" w:after="0"/>
        <w:ind w:left="1048" w:right="0" w:hanging="571"/>
        <w:jc w:val="both"/>
        <w:rPr>
          <w:sz w:val="38"/>
        </w:rPr>
      </w:pPr>
      <w:r>
        <w:rPr>
          <w:sz w:val="38"/>
        </w:rPr>
        <w:t>accessory factors</w:t>
      </w:r>
    </w:p>
    <w:p>
      <w:pPr>
        <w:pStyle w:val="ListParagraph"/>
        <w:numPr>
          <w:ilvl w:val="0"/>
          <w:numId w:val="26"/>
        </w:numPr>
        <w:tabs>
          <w:tab w:pos="1198" w:val="left" w:leader="none"/>
        </w:tabs>
        <w:spacing w:line="240" w:lineRule="auto" w:before="186" w:after="0"/>
        <w:ind w:left="1048" w:right="0" w:hanging="571"/>
        <w:jc w:val="both"/>
        <w:rPr>
          <w:sz w:val="38"/>
        </w:rPr>
      </w:pPr>
      <w:r>
        <w:rPr>
          <w:sz w:val="38"/>
        </w:rPr>
        <w:t>proteins</w:t>
      </w:r>
    </w:p>
    <w:p>
      <w:pPr>
        <w:pStyle w:val="ListParagraph"/>
        <w:numPr>
          <w:ilvl w:val="0"/>
          <w:numId w:val="26"/>
        </w:numPr>
        <w:tabs>
          <w:tab w:pos="1198" w:val="left" w:leader="none"/>
        </w:tabs>
        <w:spacing w:line="240" w:lineRule="auto" w:before="183" w:after="0"/>
        <w:ind w:left="1048" w:right="0" w:hanging="571"/>
        <w:jc w:val="both"/>
        <w:rPr>
          <w:sz w:val="38"/>
        </w:rPr>
      </w:pPr>
      <w:r>
        <w:rPr>
          <w:sz w:val="38"/>
        </w:rPr>
        <w:t>amino</w:t>
      </w:r>
      <w:r>
        <w:rPr>
          <w:spacing w:val="1"/>
          <w:sz w:val="38"/>
        </w:rPr>
        <w:t> </w:t>
      </w:r>
      <w:r>
        <w:rPr>
          <w:sz w:val="38"/>
        </w:rPr>
        <w:t>acids</w:t>
      </w:r>
    </w:p>
    <w:p>
      <w:pPr>
        <w:pStyle w:val="ListParagraph"/>
        <w:numPr>
          <w:ilvl w:val="0"/>
          <w:numId w:val="26"/>
        </w:numPr>
        <w:tabs>
          <w:tab w:pos="1198" w:val="left" w:leader="none"/>
        </w:tabs>
        <w:spacing w:line="240" w:lineRule="auto" w:before="184" w:after="0"/>
        <w:ind w:left="1048" w:right="0" w:hanging="571"/>
        <w:jc w:val="both"/>
        <w:rPr>
          <w:sz w:val="38"/>
        </w:rPr>
      </w:pPr>
      <w:r>
        <w:rPr>
          <w:sz w:val="38"/>
        </w:rPr>
        <w:t>growth factors</w:t>
      </w:r>
    </w:p>
    <w:p>
      <w:pPr>
        <w:pStyle w:val="ListParagraph"/>
        <w:numPr>
          <w:ilvl w:val="0"/>
          <w:numId w:val="26"/>
        </w:numPr>
        <w:tabs>
          <w:tab w:pos="1198" w:val="left" w:leader="none"/>
        </w:tabs>
        <w:spacing w:line="240" w:lineRule="auto" w:before="184" w:after="0"/>
        <w:ind w:left="1048" w:right="0" w:hanging="571"/>
        <w:jc w:val="both"/>
        <w:rPr>
          <w:sz w:val="38"/>
        </w:rPr>
      </w:pPr>
      <w:r>
        <w:rPr>
          <w:sz w:val="38"/>
        </w:rPr>
        <w:t>nucleotides</w:t>
      </w:r>
    </w:p>
    <w:p>
      <w:pPr>
        <w:pStyle w:val="ListParagraph"/>
        <w:numPr>
          <w:ilvl w:val="0"/>
          <w:numId w:val="26"/>
        </w:numPr>
        <w:tabs>
          <w:tab w:pos="1198" w:val="left" w:leader="none"/>
        </w:tabs>
        <w:spacing w:line="240" w:lineRule="auto" w:before="184" w:after="0"/>
        <w:ind w:left="1048" w:right="0" w:hanging="571"/>
        <w:jc w:val="both"/>
        <w:rPr>
          <w:sz w:val="38"/>
        </w:rPr>
      </w:pPr>
      <w:r>
        <w:rPr>
          <w:sz w:val="38"/>
        </w:rPr>
        <w:t>vitamins</w:t>
      </w:r>
    </w:p>
    <w:p>
      <w:pPr>
        <w:pStyle w:val="ListParagraph"/>
        <w:numPr>
          <w:ilvl w:val="0"/>
          <w:numId w:val="26"/>
        </w:numPr>
        <w:tabs>
          <w:tab w:pos="1198" w:val="left" w:leader="none"/>
        </w:tabs>
        <w:spacing w:line="240" w:lineRule="auto" w:before="186" w:after="0"/>
        <w:ind w:left="1048" w:right="0" w:hanging="571"/>
        <w:jc w:val="both"/>
        <w:rPr>
          <w:sz w:val="38"/>
        </w:rPr>
      </w:pPr>
      <w:r>
        <w:rPr>
          <w:sz w:val="38"/>
        </w:rPr>
        <w:t>minerals</w:t>
      </w:r>
    </w:p>
    <w:p>
      <w:pPr>
        <w:pStyle w:val="Heading1"/>
        <w:spacing w:before="285"/>
        <w:jc w:val="both"/>
      </w:pPr>
      <w:r>
        <w:rPr/>
        <w:t>Antibodies in colostrum</w:t>
      </w:r>
    </w:p>
    <w:p>
      <w:pPr>
        <w:pStyle w:val="BodyText"/>
        <w:spacing w:line="276" w:lineRule="auto" w:before="299"/>
        <w:ind w:left="477" w:right="135"/>
        <w:jc w:val="both"/>
      </w:pPr>
      <w:r>
        <w:rPr/>
        <w:t>The antibodies in breast milk (37 have been identified so far) have a doubly important function: They are intended to protect the child from viruses and bacteria from the outside and, at the same time, kill infections that the mother may</w:t>
      </w:r>
      <w:r>
        <w:rPr>
          <w:spacing w:val="-18"/>
        </w:rPr>
        <w:t> </w:t>
      </w:r>
      <w:r>
        <w:rPr/>
        <w:t>carry.</w:t>
      </w:r>
      <w:r>
        <w:rPr>
          <w:spacing w:val="-16"/>
        </w:rPr>
        <w:t> </w:t>
      </w:r>
      <w:r>
        <w:rPr/>
        <w:t>The</w:t>
      </w:r>
      <w:r>
        <w:rPr>
          <w:spacing w:val="-16"/>
        </w:rPr>
        <w:t> </w:t>
      </w:r>
      <w:r>
        <w:rPr/>
        <w:t>phagocytes</w:t>
      </w:r>
      <w:r>
        <w:rPr>
          <w:spacing w:val="-16"/>
        </w:rPr>
        <w:t> </w:t>
      </w:r>
      <w:r>
        <w:rPr/>
        <w:t>(white</w:t>
      </w:r>
      <w:r>
        <w:rPr>
          <w:spacing w:val="-16"/>
        </w:rPr>
        <w:t> </w:t>
      </w:r>
      <w:r>
        <w:rPr/>
        <w:t>blood</w:t>
      </w:r>
      <w:r>
        <w:rPr>
          <w:spacing w:val="-16"/>
        </w:rPr>
        <w:t> </w:t>
      </w:r>
      <w:r>
        <w:rPr/>
        <w:t>cells)</w:t>
      </w:r>
      <w:r>
        <w:rPr>
          <w:spacing w:val="-17"/>
        </w:rPr>
        <w:t> </w:t>
      </w:r>
      <w:r>
        <w:rPr/>
        <w:t>thus</w:t>
      </w:r>
      <w:r>
        <w:rPr>
          <w:spacing w:val="-16"/>
        </w:rPr>
        <w:t> </w:t>
      </w:r>
      <w:r>
        <w:rPr/>
        <w:t>protect</w:t>
      </w:r>
      <w:r>
        <w:rPr>
          <w:spacing w:val="-17"/>
        </w:rPr>
        <w:t> </w:t>
      </w:r>
      <w:r>
        <w:rPr/>
        <w:t>the</w:t>
      </w:r>
      <w:r>
        <w:rPr>
          <w:spacing w:val="-18"/>
        </w:rPr>
        <w:t> </w:t>
      </w:r>
      <w:r>
        <w:rPr/>
        <w:t>child</w:t>
      </w:r>
      <w:r>
        <w:rPr>
          <w:spacing w:val="-18"/>
        </w:rPr>
        <w:t> </w:t>
      </w:r>
      <w:r>
        <w:rPr/>
        <w:t>from</w:t>
      </w:r>
      <w:r>
        <w:rPr>
          <w:spacing w:val="-17"/>
        </w:rPr>
        <w:t> </w:t>
      </w:r>
      <w:r>
        <w:rPr/>
        <w:t>bacilli attacking from both the inside and the outside.</w:t>
      </w:r>
    </w:p>
    <w:p>
      <w:pPr>
        <w:spacing w:after="0" w:line="276" w:lineRule="auto"/>
        <w:jc w:val="both"/>
        <w:sectPr>
          <w:pgSz w:w="14270" w:h="16850"/>
          <w:pgMar w:header="0" w:footer="1891" w:top="1600" w:bottom="2080" w:left="800" w:right="1280"/>
        </w:sectPr>
      </w:pPr>
    </w:p>
    <w:p>
      <w:pPr>
        <w:pStyle w:val="Heading1"/>
        <w:spacing w:before="164"/>
        <w:jc w:val="both"/>
        <w:rPr>
          <w:b w:val="0"/>
          <w:i w:val="0"/>
          <w:sz w:val="25"/>
        </w:rPr>
      </w:pPr>
      <w:r>
        <w:rPr/>
        <w:t>The antibodies contained in colostrum protect the body:</w:t>
      </w:r>
      <w:r>
        <w:rPr>
          <w:b w:val="0"/>
          <w:i w:val="0"/>
          <w:position w:val="9"/>
          <w:sz w:val="25"/>
        </w:rPr>
        <w:t>144</w:t>
      </w:r>
    </w:p>
    <w:p>
      <w:pPr>
        <w:pStyle w:val="ListParagraph"/>
        <w:numPr>
          <w:ilvl w:val="0"/>
          <w:numId w:val="26"/>
        </w:numPr>
        <w:tabs>
          <w:tab w:pos="1198" w:val="left" w:leader="none"/>
        </w:tabs>
        <w:spacing w:line="240" w:lineRule="auto" w:before="301" w:after="0"/>
        <w:ind w:left="1048" w:right="0" w:hanging="571"/>
        <w:jc w:val="both"/>
        <w:rPr>
          <w:sz w:val="38"/>
        </w:rPr>
      </w:pPr>
      <w:r>
        <w:rPr>
          <w:sz w:val="38"/>
        </w:rPr>
        <w:t>Salmonella</w:t>
      </w:r>
    </w:p>
    <w:p>
      <w:pPr>
        <w:pStyle w:val="ListParagraph"/>
        <w:numPr>
          <w:ilvl w:val="0"/>
          <w:numId w:val="26"/>
        </w:numPr>
        <w:tabs>
          <w:tab w:pos="1198" w:val="left" w:leader="none"/>
        </w:tabs>
        <w:spacing w:line="240" w:lineRule="auto" w:before="184" w:after="0"/>
        <w:ind w:left="1048" w:right="0" w:hanging="571"/>
        <w:jc w:val="both"/>
        <w:rPr>
          <w:sz w:val="38"/>
        </w:rPr>
      </w:pPr>
      <w:r>
        <w:rPr>
          <w:sz w:val="38"/>
        </w:rPr>
        <w:t>E. coli</w:t>
      </w:r>
    </w:p>
    <w:p>
      <w:pPr>
        <w:pStyle w:val="ListParagraph"/>
        <w:numPr>
          <w:ilvl w:val="0"/>
          <w:numId w:val="26"/>
        </w:numPr>
        <w:tabs>
          <w:tab w:pos="1198" w:val="left" w:leader="none"/>
        </w:tabs>
        <w:spacing w:line="240" w:lineRule="auto" w:before="183" w:after="0"/>
        <w:ind w:left="1048" w:right="0" w:hanging="571"/>
        <w:jc w:val="both"/>
        <w:rPr>
          <w:sz w:val="38"/>
        </w:rPr>
      </w:pPr>
      <w:r>
        <w:rPr>
          <w:sz w:val="38"/>
        </w:rPr>
        <w:t>Bacteroides fragilis (colon</w:t>
      </w:r>
      <w:r>
        <w:rPr>
          <w:spacing w:val="2"/>
          <w:sz w:val="38"/>
        </w:rPr>
        <w:t> </w:t>
      </w:r>
      <w:r>
        <w:rPr>
          <w:sz w:val="38"/>
        </w:rPr>
        <w:t>bacteria)</w:t>
      </w:r>
    </w:p>
    <w:p>
      <w:pPr>
        <w:pStyle w:val="ListParagraph"/>
        <w:numPr>
          <w:ilvl w:val="0"/>
          <w:numId w:val="26"/>
        </w:numPr>
        <w:tabs>
          <w:tab w:pos="1198" w:val="left" w:leader="none"/>
        </w:tabs>
        <w:spacing w:line="240" w:lineRule="auto" w:before="186" w:after="0"/>
        <w:ind w:left="1048" w:right="0" w:hanging="571"/>
        <w:jc w:val="both"/>
        <w:rPr>
          <w:sz w:val="38"/>
        </w:rPr>
      </w:pPr>
      <w:r>
        <w:rPr>
          <w:sz w:val="38"/>
        </w:rPr>
        <w:t>Shigella</w:t>
      </w:r>
    </w:p>
    <w:p>
      <w:pPr>
        <w:pStyle w:val="ListParagraph"/>
        <w:numPr>
          <w:ilvl w:val="0"/>
          <w:numId w:val="26"/>
        </w:numPr>
        <w:tabs>
          <w:tab w:pos="1198" w:val="left" w:leader="none"/>
        </w:tabs>
        <w:spacing w:line="240" w:lineRule="auto" w:before="184" w:after="0"/>
        <w:ind w:left="1048" w:right="0" w:hanging="571"/>
        <w:jc w:val="both"/>
        <w:rPr>
          <w:sz w:val="38"/>
        </w:rPr>
      </w:pPr>
      <w:r>
        <w:rPr>
          <w:sz w:val="38"/>
        </w:rPr>
        <w:t>Bordetella pertussis (whooping cough bacteria)</w:t>
      </w:r>
    </w:p>
    <w:p>
      <w:pPr>
        <w:pStyle w:val="ListParagraph"/>
        <w:numPr>
          <w:ilvl w:val="0"/>
          <w:numId w:val="26"/>
        </w:numPr>
        <w:tabs>
          <w:tab w:pos="1198" w:val="left" w:leader="none"/>
        </w:tabs>
        <w:spacing w:line="240" w:lineRule="auto" w:before="184" w:after="0"/>
        <w:ind w:left="1048" w:right="0" w:hanging="571"/>
        <w:jc w:val="both"/>
        <w:rPr>
          <w:sz w:val="38"/>
        </w:rPr>
      </w:pPr>
      <w:r>
        <w:rPr>
          <w:sz w:val="38"/>
        </w:rPr>
        <w:t>Vibrio cholerae</w:t>
      </w:r>
    </w:p>
    <w:p>
      <w:pPr>
        <w:pStyle w:val="ListParagraph"/>
        <w:numPr>
          <w:ilvl w:val="0"/>
          <w:numId w:val="26"/>
        </w:numPr>
        <w:tabs>
          <w:tab w:pos="1198" w:val="left" w:leader="none"/>
        </w:tabs>
        <w:spacing w:line="240" w:lineRule="auto" w:before="184" w:after="0"/>
        <w:ind w:left="1048" w:right="0" w:hanging="571"/>
        <w:jc w:val="both"/>
        <w:rPr>
          <w:sz w:val="38"/>
        </w:rPr>
      </w:pPr>
      <w:r>
        <w:rPr>
          <w:sz w:val="38"/>
        </w:rPr>
        <w:t>Candida</w:t>
      </w:r>
      <w:r>
        <w:rPr>
          <w:spacing w:val="-2"/>
          <w:sz w:val="38"/>
        </w:rPr>
        <w:t> </w:t>
      </w:r>
      <w:r>
        <w:rPr>
          <w:sz w:val="38"/>
        </w:rPr>
        <w:t>albicans</w:t>
      </w:r>
    </w:p>
    <w:p>
      <w:pPr>
        <w:pStyle w:val="ListParagraph"/>
        <w:numPr>
          <w:ilvl w:val="0"/>
          <w:numId w:val="26"/>
        </w:numPr>
        <w:tabs>
          <w:tab w:pos="1198" w:val="left" w:leader="none"/>
        </w:tabs>
        <w:spacing w:line="240" w:lineRule="auto" w:before="183" w:after="0"/>
        <w:ind w:left="1048" w:right="0" w:hanging="571"/>
        <w:jc w:val="both"/>
        <w:rPr>
          <w:sz w:val="38"/>
        </w:rPr>
      </w:pPr>
      <w:r>
        <w:rPr>
          <w:sz w:val="38"/>
        </w:rPr>
        <w:t>Clostridium</w:t>
      </w:r>
      <w:r>
        <w:rPr>
          <w:spacing w:val="-1"/>
          <w:sz w:val="38"/>
        </w:rPr>
        <w:t> </w:t>
      </w:r>
      <w:r>
        <w:rPr>
          <w:sz w:val="38"/>
        </w:rPr>
        <w:t>tetani</w:t>
      </w:r>
    </w:p>
    <w:p>
      <w:pPr>
        <w:pStyle w:val="ListParagraph"/>
        <w:numPr>
          <w:ilvl w:val="0"/>
          <w:numId w:val="26"/>
        </w:numPr>
        <w:tabs>
          <w:tab w:pos="1198" w:val="left" w:leader="none"/>
        </w:tabs>
        <w:spacing w:line="240" w:lineRule="auto" w:before="186" w:after="0"/>
        <w:ind w:left="1048" w:right="0" w:hanging="571"/>
        <w:jc w:val="both"/>
        <w:rPr>
          <w:sz w:val="38"/>
        </w:rPr>
      </w:pPr>
      <w:r>
        <w:rPr>
          <w:sz w:val="38"/>
        </w:rPr>
        <w:t>Steptococcus mutans</w:t>
      </w:r>
    </w:p>
    <w:p>
      <w:pPr>
        <w:pStyle w:val="ListParagraph"/>
        <w:numPr>
          <w:ilvl w:val="0"/>
          <w:numId w:val="26"/>
        </w:numPr>
        <w:tabs>
          <w:tab w:pos="1198" w:val="left" w:leader="none"/>
        </w:tabs>
        <w:spacing w:line="240" w:lineRule="auto" w:before="184" w:after="0"/>
        <w:ind w:left="1048" w:right="0" w:hanging="571"/>
        <w:jc w:val="both"/>
        <w:rPr>
          <w:sz w:val="38"/>
        </w:rPr>
      </w:pPr>
      <w:r>
        <w:rPr>
          <w:sz w:val="38"/>
        </w:rPr>
        <w:t>Steptococcus pneumoniae</w:t>
      </w:r>
    </w:p>
    <w:p>
      <w:pPr>
        <w:pStyle w:val="ListParagraph"/>
        <w:numPr>
          <w:ilvl w:val="0"/>
          <w:numId w:val="26"/>
        </w:numPr>
        <w:tabs>
          <w:tab w:pos="1198" w:val="left" w:leader="none"/>
        </w:tabs>
        <w:spacing w:line="240" w:lineRule="auto" w:before="184" w:after="0"/>
        <w:ind w:left="1048" w:right="0" w:hanging="571"/>
        <w:jc w:val="both"/>
        <w:rPr>
          <w:sz w:val="38"/>
        </w:rPr>
      </w:pPr>
      <w:r>
        <w:rPr>
          <w:sz w:val="38"/>
        </w:rPr>
        <w:t>Clostridium</w:t>
      </w:r>
      <w:r>
        <w:rPr>
          <w:spacing w:val="-1"/>
          <w:sz w:val="38"/>
        </w:rPr>
        <w:t> </w:t>
      </w:r>
      <w:r>
        <w:rPr>
          <w:sz w:val="38"/>
        </w:rPr>
        <w:t>diphtheria</w:t>
      </w:r>
    </w:p>
    <w:p>
      <w:pPr>
        <w:pStyle w:val="BodyText"/>
        <w:spacing w:line="276" w:lineRule="auto" w:before="302"/>
        <w:ind w:left="477"/>
      </w:pPr>
      <w:r>
        <w:rPr/>
        <w:t>All four important immunoglobulins are found in colostrum; these include: IgM, IgG, IgA and secretory IgA.</w:t>
      </w:r>
    </w:p>
    <w:p>
      <w:pPr>
        <w:pStyle w:val="BodyText"/>
        <w:spacing w:line="276" w:lineRule="auto" w:before="241"/>
        <w:ind w:left="477" w:right="130"/>
        <w:jc w:val="both"/>
      </w:pPr>
      <w:r>
        <w:rPr/>
        <w:t>Studies have shown that bovine colostrum contains up to 40 times the amount of IgG as human colostrum.</w:t>
      </w:r>
      <w:r>
        <w:rPr>
          <w:position w:val="9"/>
          <w:sz w:val="25"/>
        </w:rPr>
        <w:t>145 </w:t>
      </w:r>
      <w:r>
        <w:rPr/>
        <w:t>In addition, studies have shown that the immu- noglobulins contained in colostrum have special traps that neutralise many vi- ruses, bacteria and fungi.</w:t>
      </w:r>
      <w:r>
        <w:rPr>
          <w:position w:val="9"/>
          <w:sz w:val="25"/>
        </w:rPr>
        <w:t>146 </w:t>
      </w:r>
      <w:r>
        <w:rPr/>
        <w:t>Colostrum has special antibodies that fight</w:t>
      </w:r>
      <w:r>
        <w:rPr>
          <w:spacing w:val="-49"/>
        </w:rPr>
        <w:t> </w:t>
      </w:r>
      <w:r>
        <w:rPr/>
        <w:t>harmful</w:t>
      </w:r>
    </w:p>
    <w:p>
      <w:pPr>
        <w:pStyle w:val="BodyText"/>
        <w:rPr>
          <w:sz w:val="20"/>
        </w:rPr>
      </w:pPr>
    </w:p>
    <w:p>
      <w:pPr>
        <w:pStyle w:val="BodyText"/>
        <w:spacing w:before="6"/>
        <w:rPr>
          <w:sz w:val="21"/>
        </w:rPr>
      </w:pPr>
      <w:r>
        <w:rPr/>
        <w:pict>
          <v:line style="position:absolute;mso-position-horizontal-relative:page;mso-position-vertical-relative:paragraph;z-index:1280;mso-wrap-distance-left:0;mso-wrap-distance-right:0" from="63.863998pt,14.47602pt" to="207.883998pt,14.47602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144 </w:t>
      </w:r>
      <w:r>
        <w:rPr>
          <w:sz w:val="20"/>
        </w:rPr>
        <w:t>Ogra 1983</w:t>
      </w:r>
    </w:p>
    <w:p>
      <w:pPr>
        <w:spacing w:before="94"/>
        <w:ind w:left="477" w:right="0" w:firstLine="0"/>
        <w:jc w:val="left"/>
        <w:rPr>
          <w:sz w:val="20"/>
        </w:rPr>
      </w:pPr>
      <w:r>
        <w:rPr/>
        <w:drawing>
          <wp:anchor distT="0" distB="0" distL="0" distR="0" allowOverlap="1" layoutInCell="1" locked="0" behindDoc="1" simplePos="0" relativeHeight="267169079">
            <wp:simplePos x="0" y="0"/>
            <wp:positionH relativeFrom="page">
              <wp:posOffset>896463</wp:posOffset>
            </wp:positionH>
            <wp:positionV relativeFrom="paragraph">
              <wp:posOffset>141962</wp:posOffset>
            </wp:positionV>
            <wp:extent cx="6379583" cy="902106"/>
            <wp:effectExtent l="0" t="0" r="0" b="0"/>
            <wp:wrapNone/>
            <wp:docPr id="91" name="image2.jpeg" descr=""/>
            <wp:cNvGraphicFramePr>
              <a:graphicFrameLocks noChangeAspect="1"/>
            </wp:cNvGraphicFramePr>
            <a:graphic>
              <a:graphicData uri="http://schemas.openxmlformats.org/drawingml/2006/picture">
                <pic:pic>
                  <pic:nvPicPr>
                    <pic:cNvPr id="92"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145 </w:t>
      </w:r>
      <w:r>
        <w:rPr>
          <w:sz w:val="20"/>
        </w:rPr>
        <w:t>Bruce, C. E., Natural History, Feb. 1969</w:t>
      </w:r>
    </w:p>
    <w:p>
      <w:pPr>
        <w:spacing w:before="95"/>
        <w:ind w:left="477" w:right="0" w:firstLine="0"/>
        <w:jc w:val="left"/>
        <w:rPr>
          <w:sz w:val="20"/>
        </w:rPr>
      </w:pPr>
      <w:r>
        <w:rPr>
          <w:position w:val="5"/>
          <w:sz w:val="13"/>
        </w:rPr>
        <w:t>146 </w:t>
      </w:r>
      <w:r>
        <w:rPr>
          <w:sz w:val="20"/>
        </w:rPr>
        <w:t>Brandt-zaeg 1983</w:t>
      </w:r>
    </w:p>
    <w:p>
      <w:pPr>
        <w:spacing w:after="0"/>
        <w:jc w:val="left"/>
        <w:rPr>
          <w:sz w:val="20"/>
        </w:rPr>
        <w:sectPr>
          <w:footerReference w:type="default" r:id="rId67"/>
          <w:pgSz w:w="14270" w:h="16850"/>
          <w:pgMar w:footer="527" w:header="0" w:top="1600" w:bottom="720" w:left="800" w:right="1280"/>
          <w:pgNumType w:start="276"/>
        </w:sectPr>
      </w:pPr>
    </w:p>
    <w:p>
      <w:pPr>
        <w:pStyle w:val="BodyText"/>
        <w:spacing w:before="181"/>
        <w:ind w:left="477"/>
        <w:rPr>
          <w:sz w:val="25"/>
        </w:rPr>
      </w:pPr>
      <w:r>
        <w:rPr/>
        <w:t>microorganisms and stimulate the antibodies to react to them.</w:t>
      </w:r>
      <w:r>
        <w:rPr>
          <w:position w:val="9"/>
          <w:sz w:val="25"/>
        </w:rPr>
        <w:t>147</w:t>
      </w:r>
    </w:p>
    <w:p>
      <w:pPr>
        <w:pStyle w:val="BodyText"/>
        <w:spacing w:line="276" w:lineRule="auto" w:before="305"/>
        <w:ind w:left="477" w:right="132"/>
        <w:jc w:val="both"/>
      </w:pPr>
      <w:r>
        <w:rPr/>
        <w:t>Colostrum contains a high proportion of immunoglobulins and other antibod- ies, some of which have yet to be researched in full, which ensure immunity against harmful intestinal bacteria, viruses and fungi. It has also been shown that colostrum exhibits its immune factors less in the tissue itself, but rather,</w:t>
      </w:r>
      <w:r>
        <w:rPr>
          <w:spacing w:val="-42"/>
        </w:rPr>
        <w:t> </w:t>
      </w:r>
      <w:r>
        <w:rPr/>
        <w:t>in the stomach, intestine and bronchi.</w:t>
      </w:r>
      <w:r>
        <w:rPr>
          <w:position w:val="9"/>
          <w:sz w:val="25"/>
        </w:rPr>
        <w:t>148 </w:t>
      </w:r>
      <w:r>
        <w:rPr/>
        <w:t>A very important finding that underlines the effect of colostrum at any age. In order to avoid being destroyed in the stomach, colostrum immunoglobulin protein molecules have specific protease inhibitors that prevent the breakdown and destruction of immune factors.</w:t>
      </w:r>
      <w:r>
        <w:rPr>
          <w:position w:val="9"/>
          <w:sz w:val="25"/>
        </w:rPr>
        <w:t>149 </w:t>
      </w:r>
      <w:r>
        <w:rPr/>
        <w:t>The numerous leucocytes (white blood cells) and lymphocytes (T cells) in co- lostrum protect the organism from other pathogens and</w:t>
      </w:r>
      <w:r>
        <w:rPr>
          <w:spacing w:val="-7"/>
        </w:rPr>
        <w:t> </w:t>
      </w:r>
      <w:r>
        <w:rPr/>
        <w:t>pathogens.</w:t>
      </w:r>
    </w:p>
    <w:p>
      <w:pPr>
        <w:pStyle w:val="Heading2"/>
        <w:spacing w:before="239"/>
      </w:pPr>
      <w:r>
        <w:rPr/>
        <w:t>Leukocytes (white blood cells) in colostrum</w:t>
      </w:r>
    </w:p>
    <w:p>
      <w:pPr>
        <w:pStyle w:val="BodyText"/>
        <w:spacing w:line="276" w:lineRule="auto" w:before="305"/>
        <w:ind w:left="477" w:right="135"/>
        <w:jc w:val="both"/>
      </w:pPr>
      <w:r>
        <w:rPr/>
        <w:t>Contrary to what, for example, medicinal plants can offer us, colostrum con- tains living white blood cells that can protect us from many pathogens; among the most important are macrophages, neutrophils and lymphocytes (predomi- nantly T cells).</w:t>
      </w:r>
    </w:p>
    <w:p>
      <w:pPr>
        <w:pStyle w:val="Heading2"/>
        <w:spacing w:before="242"/>
        <w:jc w:val="both"/>
      </w:pPr>
      <w:r>
        <w:rPr/>
        <w:t>Accessory factors in colostrum</w:t>
      </w:r>
    </w:p>
    <w:p>
      <w:pPr>
        <w:pStyle w:val="BodyText"/>
        <w:spacing w:before="304"/>
        <w:ind w:left="477"/>
        <w:jc w:val="both"/>
      </w:pPr>
      <w:r>
        <w:rPr/>
        <w:t>While the peroxidase enzymes contained in colostrum destroy pathogens by</w:t>
      </w:r>
    </w:p>
    <w:p>
      <w:pPr>
        <w:pStyle w:val="BodyText"/>
        <w:rPr>
          <w:sz w:val="20"/>
        </w:rPr>
      </w:pPr>
    </w:p>
    <w:p>
      <w:pPr>
        <w:pStyle w:val="BodyText"/>
        <w:rPr>
          <w:sz w:val="20"/>
        </w:rPr>
      </w:pPr>
    </w:p>
    <w:p>
      <w:pPr>
        <w:pStyle w:val="BodyText"/>
        <w:spacing w:before="7"/>
        <w:rPr>
          <w:sz w:val="14"/>
        </w:rPr>
      </w:pPr>
      <w:r>
        <w:rPr/>
        <w:pict>
          <v:line style="position:absolute;mso-position-horizontal-relative:page;mso-position-vertical-relative:paragraph;z-index:1328;mso-wrap-distance-left:0;mso-wrap-distance-right:0" from="63.863998pt,10.602485pt" to="207.883998pt,10.602485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147 </w:t>
      </w:r>
      <w:r>
        <w:rPr>
          <w:sz w:val="20"/>
        </w:rPr>
        <w:t>Ogra 1983</w:t>
      </w:r>
    </w:p>
    <w:p>
      <w:pPr>
        <w:spacing w:before="92"/>
        <w:ind w:left="477" w:right="0" w:firstLine="0"/>
        <w:jc w:val="left"/>
        <w:rPr>
          <w:sz w:val="20"/>
        </w:rPr>
      </w:pPr>
      <w:r>
        <w:rPr>
          <w:position w:val="5"/>
          <w:sz w:val="13"/>
        </w:rPr>
        <w:t>148 </w:t>
      </w:r>
      <w:r>
        <w:rPr>
          <w:sz w:val="20"/>
        </w:rPr>
        <w:t>Tyrell 1980</w:t>
      </w:r>
    </w:p>
    <w:p>
      <w:pPr>
        <w:spacing w:before="94"/>
        <w:ind w:left="477" w:right="0" w:firstLine="0"/>
        <w:jc w:val="left"/>
        <w:rPr>
          <w:sz w:val="20"/>
        </w:rPr>
      </w:pPr>
      <w:r>
        <w:rPr>
          <w:position w:val="5"/>
          <w:sz w:val="13"/>
        </w:rPr>
        <w:t>149 </w:t>
      </w:r>
      <w:r>
        <w:rPr>
          <w:sz w:val="20"/>
        </w:rPr>
        <w:t>von Fellenberg 1980</w:t>
      </w:r>
    </w:p>
    <w:p>
      <w:pPr>
        <w:spacing w:after="0"/>
        <w:jc w:val="left"/>
        <w:rPr>
          <w:sz w:val="20"/>
        </w:rPr>
        <w:sectPr>
          <w:footerReference w:type="default" r:id="rId68"/>
          <w:pgSz w:w="14270" w:h="16850"/>
          <w:pgMar w:footer="1891" w:header="0" w:top="1600" w:bottom="2080" w:left="800" w:right="1280"/>
          <w:pgNumType w:start="277"/>
        </w:sectPr>
      </w:pPr>
    </w:p>
    <w:p>
      <w:pPr>
        <w:pStyle w:val="BodyText"/>
        <w:spacing w:line="276" w:lineRule="auto" w:before="181"/>
        <w:ind w:left="477" w:right="133"/>
        <w:jc w:val="both"/>
      </w:pPr>
      <w:r>
        <w:rPr/>
        <w:t>oxidation, the carbohydrates ‘oligosaccharides’ and ‘polysaccharides’ and the protein ‘lactoferrin’ contained in colostrum neutralise some bacteria strands.</w:t>
      </w:r>
    </w:p>
    <w:p>
      <w:pPr>
        <w:pStyle w:val="Heading2"/>
        <w:spacing w:before="241"/>
      </w:pPr>
      <w:r>
        <w:rPr/>
        <w:t>Proteins/amino acids in colostrum</w:t>
      </w:r>
    </w:p>
    <w:p>
      <w:pPr>
        <w:pStyle w:val="BodyText"/>
        <w:spacing w:line="276" w:lineRule="auto" w:before="305"/>
        <w:ind w:left="477" w:right="132"/>
        <w:jc w:val="both"/>
        <w:rPr>
          <w:sz w:val="25"/>
        </w:rPr>
      </w:pPr>
      <w:r>
        <w:rPr/>
        <w:t>The symptoms of iron deficiency include headache, brittle nails and tingling in the hands and feet. The lactoferrin contained in colostrum has the property to bind iron. People who suffer from iron deficiency can experience better iron transport</w:t>
      </w:r>
      <w:r>
        <w:rPr>
          <w:spacing w:val="-8"/>
        </w:rPr>
        <w:t> </w:t>
      </w:r>
      <w:r>
        <w:rPr/>
        <w:t>in</w:t>
      </w:r>
      <w:r>
        <w:rPr>
          <w:spacing w:val="-7"/>
        </w:rPr>
        <w:t> </w:t>
      </w:r>
      <w:r>
        <w:rPr/>
        <w:t>the</w:t>
      </w:r>
      <w:r>
        <w:rPr>
          <w:spacing w:val="-8"/>
        </w:rPr>
        <w:t> </w:t>
      </w:r>
      <w:r>
        <w:rPr/>
        <w:t>body</w:t>
      </w:r>
      <w:r>
        <w:rPr>
          <w:spacing w:val="-7"/>
        </w:rPr>
        <w:t> </w:t>
      </w:r>
      <w:r>
        <w:rPr/>
        <w:t>due</w:t>
      </w:r>
      <w:r>
        <w:rPr>
          <w:spacing w:val="-8"/>
        </w:rPr>
        <w:t> </w:t>
      </w:r>
      <w:r>
        <w:rPr/>
        <w:t>to</w:t>
      </w:r>
      <w:r>
        <w:rPr>
          <w:spacing w:val="-7"/>
        </w:rPr>
        <w:t> </w:t>
      </w:r>
      <w:r>
        <w:rPr/>
        <w:t>iron</w:t>
      </w:r>
      <w:r>
        <w:rPr>
          <w:spacing w:val="-8"/>
        </w:rPr>
        <w:t> </w:t>
      </w:r>
      <w:r>
        <w:rPr/>
        <w:t>binding.</w:t>
      </w:r>
      <w:r>
        <w:rPr>
          <w:spacing w:val="-7"/>
        </w:rPr>
        <w:t> </w:t>
      </w:r>
      <w:r>
        <w:rPr/>
        <w:t>According</w:t>
      </w:r>
      <w:r>
        <w:rPr>
          <w:spacing w:val="-6"/>
        </w:rPr>
        <w:t> </w:t>
      </w:r>
      <w:r>
        <w:rPr/>
        <w:t>to</w:t>
      </w:r>
      <w:r>
        <w:rPr>
          <w:spacing w:val="-6"/>
        </w:rPr>
        <w:t> </w:t>
      </w:r>
      <w:r>
        <w:rPr/>
        <w:t>a</w:t>
      </w:r>
      <w:r>
        <w:rPr>
          <w:spacing w:val="-8"/>
        </w:rPr>
        <w:t> </w:t>
      </w:r>
      <w:r>
        <w:rPr/>
        <w:t>study,</w:t>
      </w:r>
      <w:r>
        <w:rPr>
          <w:spacing w:val="-7"/>
        </w:rPr>
        <w:t> </w:t>
      </w:r>
      <w:r>
        <w:rPr/>
        <w:t>the</w:t>
      </w:r>
      <w:r>
        <w:rPr>
          <w:spacing w:val="-3"/>
        </w:rPr>
        <w:t> </w:t>
      </w:r>
      <w:r>
        <w:rPr/>
        <w:t>amino</w:t>
      </w:r>
      <w:r>
        <w:rPr>
          <w:spacing w:val="-6"/>
        </w:rPr>
        <w:t> </w:t>
      </w:r>
      <w:r>
        <w:rPr/>
        <w:t>acid </w:t>
      </w:r>
      <w:r>
        <w:rPr>
          <w:i/>
        </w:rPr>
        <w:t>proline </w:t>
      </w:r>
      <w:r>
        <w:rPr/>
        <w:t>present in colostrum can increase the permeability of the dermal vessels and stimulate or restrict immune responses as</w:t>
      </w:r>
      <w:r>
        <w:rPr>
          <w:spacing w:val="1"/>
        </w:rPr>
        <w:t> </w:t>
      </w:r>
      <w:r>
        <w:rPr/>
        <w:t>needed.</w:t>
      </w:r>
      <w:r>
        <w:rPr>
          <w:position w:val="9"/>
          <w:sz w:val="25"/>
        </w:rPr>
        <w:t>150</w:t>
      </w:r>
    </w:p>
    <w:p>
      <w:pPr>
        <w:pStyle w:val="Heading2"/>
        <w:spacing w:before="240"/>
      </w:pPr>
      <w:r>
        <w:rPr/>
        <w:t>Growth factors in colostrum</w:t>
      </w:r>
    </w:p>
    <w:p>
      <w:pPr>
        <w:pStyle w:val="BodyText"/>
        <w:spacing w:line="276" w:lineRule="auto" w:before="305"/>
        <w:ind w:left="477" w:right="139"/>
        <w:jc w:val="both"/>
      </w:pPr>
      <w:r>
        <w:rPr/>
        <w:t>The growth factors contained in colostrum (TGF = transforming growth fac- tors) are polypeptides that promote, among other things, the cell growth and thus the ability of our tissue to repair itself.</w:t>
      </w:r>
    </w:p>
    <w:p>
      <w:pPr>
        <w:pStyle w:val="BodyText"/>
        <w:spacing w:line="276" w:lineRule="auto" w:before="239"/>
        <w:ind w:left="477" w:right="133"/>
        <w:jc w:val="both"/>
        <w:rPr>
          <w:sz w:val="25"/>
        </w:rPr>
      </w:pPr>
      <w:r>
        <w:rPr/>
        <w:t>According to one study, the promotion of cell division in bovine colostrum is 100 times greater than in human colostrum.</w:t>
      </w:r>
      <w:r>
        <w:rPr>
          <w:position w:val="9"/>
          <w:sz w:val="25"/>
        </w:rPr>
        <w:t>151</w:t>
      </w:r>
    </w:p>
    <w:p>
      <w:pPr>
        <w:pStyle w:val="Heading1"/>
        <w:spacing w:line="261" w:lineRule="auto" w:before="223"/>
        <w:ind w:right="142"/>
        <w:jc w:val="both"/>
      </w:pPr>
      <w:r>
        <w:rPr/>
        <w:t>The</w:t>
      </w:r>
      <w:r>
        <w:rPr>
          <w:spacing w:val="-18"/>
        </w:rPr>
        <w:t> </w:t>
      </w:r>
      <w:r>
        <w:rPr/>
        <w:t>growth</w:t>
      </w:r>
      <w:r>
        <w:rPr>
          <w:spacing w:val="-19"/>
        </w:rPr>
        <w:t> </w:t>
      </w:r>
      <w:r>
        <w:rPr/>
        <w:t>factors</w:t>
      </w:r>
      <w:r>
        <w:rPr>
          <w:spacing w:val="-18"/>
        </w:rPr>
        <w:t> </w:t>
      </w:r>
      <w:r>
        <w:rPr/>
        <w:t>contained</w:t>
      </w:r>
      <w:r>
        <w:rPr>
          <w:spacing w:val="-19"/>
        </w:rPr>
        <w:t> </w:t>
      </w:r>
      <w:r>
        <w:rPr/>
        <w:t>in</w:t>
      </w:r>
      <w:r>
        <w:rPr>
          <w:spacing w:val="-18"/>
        </w:rPr>
        <w:t> </w:t>
      </w:r>
      <w:r>
        <w:rPr/>
        <w:t>colostrum</w:t>
      </w:r>
      <w:r>
        <w:rPr>
          <w:spacing w:val="-18"/>
        </w:rPr>
        <w:t> </w:t>
      </w:r>
      <w:r>
        <w:rPr/>
        <w:t>have</w:t>
      </w:r>
      <w:r>
        <w:rPr>
          <w:spacing w:val="-19"/>
        </w:rPr>
        <w:t> </w:t>
      </w:r>
      <w:r>
        <w:rPr/>
        <w:t>the</w:t>
      </w:r>
      <w:r>
        <w:rPr>
          <w:spacing w:val="-19"/>
        </w:rPr>
        <w:t> </w:t>
      </w:r>
      <w:r>
        <w:rPr/>
        <w:t>following</w:t>
      </w:r>
      <w:r>
        <w:rPr>
          <w:spacing w:val="-17"/>
        </w:rPr>
        <w:t> </w:t>
      </w:r>
      <w:r>
        <w:rPr/>
        <w:t>effects, among</w:t>
      </w:r>
      <w:r>
        <w:rPr>
          <w:spacing w:val="-6"/>
        </w:rPr>
        <w:t> </w:t>
      </w:r>
      <w:r>
        <w:rPr/>
        <w:t>others:</w:t>
      </w:r>
    </w:p>
    <w:p>
      <w:pPr>
        <w:pStyle w:val="ListParagraph"/>
        <w:numPr>
          <w:ilvl w:val="1"/>
          <w:numId w:val="26"/>
        </w:numPr>
        <w:tabs>
          <w:tab w:pos="1189" w:val="left" w:leader="none"/>
          <w:tab w:pos="1191" w:val="left" w:leader="none"/>
        </w:tabs>
        <w:spacing w:line="240" w:lineRule="auto" w:before="263" w:after="0"/>
        <w:ind w:left="1163" w:right="0" w:hanging="329"/>
        <w:jc w:val="left"/>
        <w:rPr>
          <w:sz w:val="38"/>
        </w:rPr>
      </w:pPr>
      <w:r>
        <w:rPr>
          <w:sz w:val="38"/>
        </w:rPr>
        <w:t>acceleration of growth and thus regeneration of injured muscles,</w:t>
      </w:r>
      <w:r>
        <w:rPr>
          <w:spacing w:val="18"/>
          <w:sz w:val="38"/>
        </w:rPr>
        <w:t> </w:t>
      </w:r>
      <w:r>
        <w:rPr>
          <w:sz w:val="38"/>
        </w:rPr>
        <w:t>tendons,</w:t>
      </w:r>
    </w:p>
    <w:p>
      <w:pPr>
        <w:pStyle w:val="BodyText"/>
        <w:rPr>
          <w:sz w:val="20"/>
        </w:rPr>
      </w:pPr>
    </w:p>
    <w:p>
      <w:pPr>
        <w:pStyle w:val="BodyText"/>
        <w:rPr>
          <w:sz w:val="20"/>
        </w:rPr>
      </w:pPr>
    </w:p>
    <w:p>
      <w:pPr>
        <w:pStyle w:val="BodyText"/>
        <w:spacing w:before="9"/>
        <w:rPr>
          <w:sz w:val="25"/>
        </w:rPr>
      </w:pPr>
      <w:r>
        <w:rPr/>
        <w:pict>
          <v:line style="position:absolute;mso-position-horizontal-relative:page;mso-position-vertical-relative:paragraph;z-index:1352;mso-wrap-distance-left:0;mso-wrap-distance-right:0" from="63.863998pt,16.894966pt" to="207.883998pt,16.894966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150 </w:t>
      </w:r>
      <w:r>
        <w:rPr>
          <w:sz w:val="20"/>
        </w:rPr>
        <w:t>Staroscik 1983</w:t>
      </w:r>
    </w:p>
    <w:p>
      <w:pPr>
        <w:spacing w:before="94"/>
        <w:ind w:left="477" w:right="0" w:firstLine="0"/>
        <w:jc w:val="left"/>
        <w:rPr>
          <w:sz w:val="20"/>
        </w:rPr>
      </w:pPr>
      <w:r>
        <w:rPr>
          <w:position w:val="5"/>
          <w:sz w:val="13"/>
        </w:rPr>
        <w:t>151 </w:t>
      </w:r>
      <w:r>
        <w:rPr>
          <w:sz w:val="20"/>
        </w:rPr>
        <w:t>Ballard 1981</w:t>
      </w:r>
    </w:p>
    <w:p>
      <w:pPr>
        <w:spacing w:after="0"/>
        <w:jc w:val="left"/>
        <w:rPr>
          <w:sz w:val="20"/>
        </w:rPr>
        <w:sectPr>
          <w:pgSz w:w="14270" w:h="16850"/>
          <w:pgMar w:header="0" w:footer="1891" w:top="1600" w:bottom="2080" w:left="800" w:right="1280"/>
        </w:sectPr>
      </w:pPr>
    </w:p>
    <w:p>
      <w:pPr>
        <w:pStyle w:val="BodyText"/>
        <w:spacing w:before="181"/>
        <w:ind w:left="1190"/>
      </w:pPr>
      <w:r>
        <w:rPr/>
        <w:t>ligaments, bones, cartilages, skin collagen and nerve tissue;</w:t>
      </w:r>
    </w:p>
    <w:p>
      <w:pPr>
        <w:pStyle w:val="ListParagraph"/>
        <w:numPr>
          <w:ilvl w:val="1"/>
          <w:numId w:val="26"/>
        </w:numPr>
        <w:tabs>
          <w:tab w:pos="1189" w:val="left" w:leader="none"/>
          <w:tab w:pos="1191" w:val="left" w:leader="none"/>
        </w:tabs>
        <w:spacing w:line="240" w:lineRule="auto" w:before="186" w:after="0"/>
        <w:ind w:left="1163" w:right="0" w:hanging="329"/>
        <w:jc w:val="left"/>
        <w:rPr>
          <w:sz w:val="38"/>
        </w:rPr>
      </w:pPr>
      <w:r>
        <w:rPr>
          <w:sz w:val="38"/>
        </w:rPr>
        <w:t>encouragement of fat burning and protection of muscle tissue in</w:t>
      </w:r>
      <w:r>
        <w:rPr>
          <w:spacing w:val="-16"/>
          <w:sz w:val="38"/>
        </w:rPr>
        <w:t> </w:t>
      </w:r>
      <w:r>
        <w:rPr>
          <w:sz w:val="38"/>
        </w:rPr>
        <w:t>diets;</w:t>
      </w:r>
    </w:p>
    <w:p>
      <w:pPr>
        <w:pStyle w:val="ListParagraph"/>
        <w:numPr>
          <w:ilvl w:val="1"/>
          <w:numId w:val="26"/>
        </w:numPr>
        <w:tabs>
          <w:tab w:pos="1189" w:val="left" w:leader="none"/>
          <w:tab w:pos="1191" w:val="left" w:leader="none"/>
        </w:tabs>
        <w:spacing w:line="240" w:lineRule="auto" w:before="64" w:after="0"/>
        <w:ind w:left="1163" w:right="0" w:hanging="329"/>
        <w:jc w:val="left"/>
        <w:rPr>
          <w:sz w:val="38"/>
        </w:rPr>
      </w:pPr>
      <w:r>
        <w:rPr>
          <w:sz w:val="38"/>
        </w:rPr>
        <w:t>invigorating and constructive effect of the musculature in weight</w:t>
      </w:r>
      <w:r>
        <w:rPr>
          <w:spacing w:val="-22"/>
          <w:sz w:val="38"/>
        </w:rPr>
        <w:t> </w:t>
      </w:r>
      <w:r>
        <w:rPr>
          <w:sz w:val="38"/>
        </w:rPr>
        <w:t>training;</w:t>
      </w:r>
    </w:p>
    <w:p>
      <w:pPr>
        <w:pStyle w:val="ListParagraph"/>
        <w:numPr>
          <w:ilvl w:val="1"/>
          <w:numId w:val="26"/>
        </w:numPr>
        <w:tabs>
          <w:tab w:pos="1189" w:val="left" w:leader="none"/>
          <w:tab w:pos="1191" w:val="left" w:leader="none"/>
        </w:tabs>
        <w:spacing w:line="240" w:lineRule="auto" w:before="64" w:after="0"/>
        <w:ind w:left="1163" w:right="0" w:hanging="329"/>
        <w:jc w:val="left"/>
        <w:rPr>
          <w:sz w:val="38"/>
        </w:rPr>
      </w:pPr>
      <w:r>
        <w:rPr>
          <w:sz w:val="38"/>
        </w:rPr>
        <w:t>faster</w:t>
      </w:r>
      <w:r>
        <w:rPr>
          <w:spacing w:val="-17"/>
          <w:sz w:val="38"/>
        </w:rPr>
        <w:t> </w:t>
      </w:r>
      <w:r>
        <w:rPr>
          <w:sz w:val="38"/>
        </w:rPr>
        <w:t>healing</w:t>
      </w:r>
      <w:r>
        <w:rPr>
          <w:spacing w:val="-16"/>
          <w:sz w:val="38"/>
        </w:rPr>
        <w:t> </w:t>
      </w:r>
      <w:r>
        <w:rPr>
          <w:sz w:val="38"/>
        </w:rPr>
        <w:t>for</w:t>
      </w:r>
      <w:r>
        <w:rPr>
          <w:spacing w:val="-16"/>
          <w:sz w:val="38"/>
        </w:rPr>
        <w:t> </w:t>
      </w:r>
      <w:r>
        <w:rPr>
          <w:sz w:val="38"/>
        </w:rPr>
        <w:t>burns,</w:t>
      </w:r>
      <w:r>
        <w:rPr>
          <w:spacing w:val="-18"/>
          <w:sz w:val="38"/>
        </w:rPr>
        <w:t> </w:t>
      </w:r>
      <w:r>
        <w:rPr>
          <w:sz w:val="38"/>
        </w:rPr>
        <w:t>cuts,</w:t>
      </w:r>
      <w:r>
        <w:rPr>
          <w:spacing w:val="-19"/>
          <w:sz w:val="38"/>
        </w:rPr>
        <w:t> </w:t>
      </w:r>
      <w:r>
        <w:rPr>
          <w:sz w:val="38"/>
        </w:rPr>
        <w:t>surgical</w:t>
      </w:r>
      <w:r>
        <w:rPr>
          <w:spacing w:val="-18"/>
          <w:sz w:val="38"/>
        </w:rPr>
        <w:t> </w:t>
      </w:r>
      <w:r>
        <w:rPr>
          <w:sz w:val="38"/>
        </w:rPr>
        <w:t>wounds,</w:t>
      </w:r>
      <w:r>
        <w:rPr>
          <w:spacing w:val="-15"/>
          <w:sz w:val="38"/>
        </w:rPr>
        <w:t> </w:t>
      </w:r>
      <w:r>
        <w:rPr>
          <w:sz w:val="38"/>
        </w:rPr>
        <w:t>skin</w:t>
      </w:r>
      <w:r>
        <w:rPr>
          <w:spacing w:val="-16"/>
          <w:sz w:val="38"/>
        </w:rPr>
        <w:t> </w:t>
      </w:r>
      <w:r>
        <w:rPr>
          <w:sz w:val="38"/>
        </w:rPr>
        <w:t>abrasions</w:t>
      </w:r>
      <w:r>
        <w:rPr>
          <w:spacing w:val="-17"/>
          <w:sz w:val="38"/>
        </w:rPr>
        <w:t> </w:t>
      </w:r>
      <w:r>
        <w:rPr>
          <w:sz w:val="38"/>
        </w:rPr>
        <w:t>and</w:t>
      </w:r>
      <w:r>
        <w:rPr>
          <w:spacing w:val="-19"/>
          <w:sz w:val="38"/>
        </w:rPr>
        <w:t> </w:t>
      </w:r>
      <w:r>
        <w:rPr>
          <w:sz w:val="38"/>
        </w:rPr>
        <w:t>sore</w:t>
      </w:r>
      <w:r>
        <w:rPr>
          <w:spacing w:val="-16"/>
          <w:sz w:val="38"/>
        </w:rPr>
        <w:t> </w:t>
      </w:r>
      <w:r>
        <w:rPr>
          <w:sz w:val="38"/>
        </w:rPr>
        <w:t>lips;</w:t>
      </w:r>
    </w:p>
    <w:p>
      <w:pPr>
        <w:pStyle w:val="ListParagraph"/>
        <w:numPr>
          <w:ilvl w:val="1"/>
          <w:numId w:val="26"/>
        </w:numPr>
        <w:tabs>
          <w:tab w:pos="1189" w:val="left" w:leader="none"/>
          <w:tab w:pos="1191" w:val="left" w:leader="none"/>
        </w:tabs>
        <w:spacing w:line="240" w:lineRule="auto" w:before="66" w:after="0"/>
        <w:ind w:left="1163" w:right="0" w:hanging="329"/>
        <w:jc w:val="left"/>
        <w:rPr>
          <w:sz w:val="38"/>
        </w:rPr>
      </w:pPr>
      <w:r>
        <w:rPr>
          <w:sz w:val="38"/>
        </w:rPr>
        <w:t>regulation of blood sugar</w:t>
      </w:r>
      <w:r>
        <w:rPr>
          <w:spacing w:val="3"/>
          <w:sz w:val="38"/>
        </w:rPr>
        <w:t> </w:t>
      </w:r>
      <w:r>
        <w:rPr>
          <w:sz w:val="38"/>
        </w:rPr>
        <w:t>levels;</w:t>
      </w:r>
    </w:p>
    <w:p>
      <w:pPr>
        <w:pStyle w:val="ListParagraph"/>
        <w:numPr>
          <w:ilvl w:val="1"/>
          <w:numId w:val="26"/>
        </w:numPr>
        <w:tabs>
          <w:tab w:pos="1189" w:val="left" w:leader="none"/>
          <w:tab w:pos="1191" w:val="left" w:leader="none"/>
        </w:tabs>
        <w:spacing w:line="240" w:lineRule="auto" w:before="63" w:after="0"/>
        <w:ind w:left="1163" w:right="0" w:hanging="329"/>
        <w:jc w:val="left"/>
        <w:rPr>
          <w:sz w:val="38"/>
        </w:rPr>
      </w:pPr>
      <w:r>
        <w:rPr>
          <w:sz w:val="38"/>
        </w:rPr>
        <w:t>repair of DNA and RNA in our</w:t>
      </w:r>
      <w:r>
        <w:rPr>
          <w:spacing w:val="1"/>
          <w:sz w:val="38"/>
        </w:rPr>
        <w:t> </w:t>
      </w:r>
      <w:r>
        <w:rPr>
          <w:sz w:val="38"/>
        </w:rPr>
        <w:t>body;</w:t>
      </w:r>
    </w:p>
    <w:p>
      <w:pPr>
        <w:pStyle w:val="ListParagraph"/>
        <w:numPr>
          <w:ilvl w:val="1"/>
          <w:numId w:val="26"/>
        </w:numPr>
        <w:tabs>
          <w:tab w:pos="1189" w:val="left" w:leader="none"/>
          <w:tab w:pos="1191" w:val="left" w:leader="none"/>
        </w:tabs>
        <w:spacing w:line="240" w:lineRule="auto" w:before="65" w:after="0"/>
        <w:ind w:left="1163" w:right="0" w:hanging="329"/>
        <w:jc w:val="left"/>
        <w:rPr>
          <w:sz w:val="38"/>
        </w:rPr>
      </w:pPr>
      <w:r>
        <w:rPr>
          <w:sz w:val="38"/>
        </w:rPr>
        <w:t>increase in general well-being.</w:t>
      </w:r>
    </w:p>
    <w:p>
      <w:pPr>
        <w:pStyle w:val="Heading2"/>
        <w:spacing w:before="182"/>
        <w:jc w:val="both"/>
      </w:pPr>
      <w:r>
        <w:rPr/>
        <w:t>Nucleotides in colostrum</w:t>
      </w:r>
    </w:p>
    <w:p>
      <w:pPr>
        <w:pStyle w:val="BodyText"/>
        <w:spacing w:line="276" w:lineRule="auto" w:before="304"/>
        <w:ind w:left="477" w:right="135"/>
        <w:jc w:val="both"/>
        <w:rPr>
          <w:sz w:val="25"/>
        </w:rPr>
      </w:pPr>
      <w:r>
        <w:rPr/>
        <w:t>Colostrum contains adenosine monophosphoric acid, which regulates the cell metabolism and controls hormones, as well as substances that trigger enzyme reactions. It has been proven that bovine colostrum has seven different nucle- otides</w:t>
      </w:r>
      <w:r>
        <w:rPr>
          <w:spacing w:val="-12"/>
        </w:rPr>
        <w:t> </w:t>
      </w:r>
      <w:r>
        <w:rPr/>
        <w:t>that</w:t>
      </w:r>
      <w:r>
        <w:rPr>
          <w:spacing w:val="-12"/>
        </w:rPr>
        <w:t> </w:t>
      </w:r>
      <w:r>
        <w:rPr/>
        <w:t>are</w:t>
      </w:r>
      <w:r>
        <w:rPr>
          <w:spacing w:val="-12"/>
        </w:rPr>
        <w:t> </w:t>
      </w:r>
      <w:r>
        <w:rPr/>
        <w:t>important</w:t>
      </w:r>
      <w:r>
        <w:rPr>
          <w:spacing w:val="-13"/>
        </w:rPr>
        <w:t> </w:t>
      </w:r>
      <w:r>
        <w:rPr/>
        <w:t>for</w:t>
      </w:r>
      <w:r>
        <w:rPr>
          <w:spacing w:val="-10"/>
        </w:rPr>
        <w:t> </w:t>
      </w:r>
      <w:r>
        <w:rPr/>
        <w:t>cell</w:t>
      </w:r>
      <w:r>
        <w:rPr>
          <w:spacing w:val="-13"/>
        </w:rPr>
        <w:t> </w:t>
      </w:r>
      <w:r>
        <w:rPr/>
        <w:t>repair</w:t>
      </w:r>
      <w:r>
        <w:rPr>
          <w:spacing w:val="-11"/>
        </w:rPr>
        <w:t> </w:t>
      </w:r>
      <w:r>
        <w:rPr/>
        <w:t>and</w:t>
      </w:r>
      <w:r>
        <w:rPr>
          <w:spacing w:val="-12"/>
        </w:rPr>
        <w:t> </w:t>
      </w:r>
      <w:r>
        <w:rPr/>
        <w:t>maintaining</w:t>
      </w:r>
      <w:r>
        <w:rPr>
          <w:spacing w:val="-11"/>
        </w:rPr>
        <w:t> </w:t>
      </w:r>
      <w:r>
        <w:rPr/>
        <w:t>healthy</w:t>
      </w:r>
      <w:r>
        <w:rPr>
          <w:spacing w:val="-13"/>
        </w:rPr>
        <w:t> </w:t>
      </w:r>
      <w:r>
        <w:rPr/>
        <w:t>cell</w:t>
      </w:r>
      <w:r>
        <w:rPr>
          <w:spacing w:val="-12"/>
        </w:rPr>
        <w:t> </w:t>
      </w:r>
      <w:r>
        <w:rPr/>
        <w:t>function.</w:t>
      </w:r>
      <w:r>
        <w:rPr>
          <w:position w:val="9"/>
          <w:sz w:val="25"/>
        </w:rPr>
        <w:t>152</w:t>
      </w:r>
    </w:p>
    <w:p>
      <w:pPr>
        <w:pStyle w:val="Heading2"/>
        <w:spacing w:before="240"/>
      </w:pPr>
      <w:r>
        <w:rPr/>
        <w:t>Vitamins and minerals in colostrum</w:t>
      </w:r>
    </w:p>
    <w:p>
      <w:pPr>
        <w:pStyle w:val="BodyText"/>
        <w:spacing w:line="276" w:lineRule="auto" w:before="304"/>
        <w:ind w:left="477" w:right="137"/>
        <w:jc w:val="both"/>
      </w:pPr>
      <w:r>
        <w:rPr/>
        <w:t>Among the most important vitamins and minerals found in colostrum, which play important roles in our body, are vitamins A, B12 and E, as well as the minerals iron, copper, magnesium, selenium and phosphorus.</w:t>
      </w:r>
    </w:p>
    <w:p>
      <w:pPr>
        <w:pStyle w:val="Heading2"/>
        <w:spacing w:before="241"/>
        <w:jc w:val="both"/>
      </w:pPr>
      <w:r>
        <w:rPr/>
        <w:t>General observed effect of colostrum</w:t>
      </w:r>
    </w:p>
    <w:p>
      <w:pPr>
        <w:pStyle w:val="BodyText"/>
        <w:rPr>
          <w:b/>
          <w:sz w:val="20"/>
        </w:rPr>
      </w:pPr>
    </w:p>
    <w:p>
      <w:pPr>
        <w:pStyle w:val="BodyText"/>
        <w:spacing w:before="5"/>
        <w:rPr>
          <w:b/>
          <w:sz w:val="29"/>
        </w:rPr>
      </w:pPr>
      <w:r>
        <w:rPr/>
        <w:pict>
          <v:line style="position:absolute;mso-position-horizontal-relative:page;mso-position-vertical-relative:paragraph;z-index:1376;mso-wrap-distance-left:0;mso-wrap-distance-right:0" from="63.863998pt,18.938648pt" to="207.883998pt,18.938648pt" stroked="true" strokeweight=".71997pt" strokecolor="#000000">
            <v:stroke dashstyle="solid"/>
            <w10:wrap type="topAndBottom"/>
          </v:line>
        </w:pict>
      </w:r>
    </w:p>
    <w:p>
      <w:pPr>
        <w:pStyle w:val="BodyText"/>
        <w:spacing w:before="7"/>
        <w:rPr>
          <w:b/>
          <w:sz w:val="18"/>
        </w:rPr>
      </w:pPr>
    </w:p>
    <w:p>
      <w:pPr>
        <w:spacing w:before="100"/>
        <w:ind w:left="477" w:right="0" w:firstLine="0"/>
        <w:jc w:val="left"/>
        <w:rPr>
          <w:sz w:val="20"/>
        </w:rPr>
      </w:pPr>
      <w:r>
        <w:rPr>
          <w:position w:val="5"/>
          <w:sz w:val="13"/>
        </w:rPr>
        <w:t>152 </w:t>
      </w:r>
      <w:r>
        <w:rPr>
          <w:sz w:val="20"/>
        </w:rPr>
        <w:t>Gil, Angel, Sanchez-Medina, Journal of Dairy Research, 1981, Vol 48, p. 35–44</w:t>
      </w:r>
    </w:p>
    <w:p>
      <w:pPr>
        <w:spacing w:after="0"/>
        <w:jc w:val="left"/>
        <w:rPr>
          <w:sz w:val="20"/>
        </w:rPr>
        <w:sectPr>
          <w:pgSz w:w="14270" w:h="16850"/>
          <w:pgMar w:header="0" w:footer="1891" w:top="1600" w:bottom="2080" w:left="800" w:right="1280"/>
        </w:sectPr>
      </w:pPr>
    </w:p>
    <w:p>
      <w:pPr>
        <w:pStyle w:val="BodyText"/>
        <w:spacing w:line="276" w:lineRule="auto" w:before="181"/>
        <w:ind w:left="477"/>
      </w:pPr>
      <w:r>
        <w:rPr/>
        <w:t>The</w:t>
      </w:r>
      <w:r>
        <w:rPr>
          <w:spacing w:val="-17"/>
        </w:rPr>
        <w:t> </w:t>
      </w:r>
      <w:r>
        <w:rPr/>
        <w:t>following</w:t>
      </w:r>
      <w:r>
        <w:rPr>
          <w:spacing w:val="-16"/>
        </w:rPr>
        <w:t> </w:t>
      </w:r>
      <w:r>
        <w:rPr/>
        <w:t>listed</w:t>
      </w:r>
      <w:r>
        <w:rPr>
          <w:spacing w:val="-17"/>
        </w:rPr>
        <w:t> </w:t>
      </w:r>
      <w:r>
        <w:rPr/>
        <w:t>effects</w:t>
      </w:r>
      <w:r>
        <w:rPr>
          <w:spacing w:val="-15"/>
        </w:rPr>
        <w:t> </w:t>
      </w:r>
      <w:r>
        <w:rPr/>
        <w:t>have</w:t>
      </w:r>
      <w:r>
        <w:rPr>
          <w:spacing w:val="-22"/>
        </w:rPr>
        <w:t> </w:t>
      </w:r>
      <w:r>
        <w:rPr/>
        <w:t>been</w:t>
      </w:r>
      <w:r>
        <w:rPr>
          <w:spacing w:val="-16"/>
        </w:rPr>
        <w:t> </w:t>
      </w:r>
      <w:r>
        <w:rPr/>
        <w:t>observed</w:t>
      </w:r>
      <w:r>
        <w:rPr>
          <w:spacing w:val="-19"/>
        </w:rPr>
        <w:t> </w:t>
      </w:r>
      <w:r>
        <w:rPr/>
        <w:t>in</w:t>
      </w:r>
      <w:r>
        <w:rPr>
          <w:spacing w:val="-16"/>
        </w:rPr>
        <w:t> </w:t>
      </w:r>
      <w:r>
        <w:rPr/>
        <w:t>colostrum</w:t>
      </w:r>
      <w:r>
        <w:rPr>
          <w:spacing w:val="-19"/>
        </w:rPr>
        <w:t> </w:t>
      </w:r>
      <w:r>
        <w:rPr/>
        <w:t>and</w:t>
      </w:r>
      <w:r>
        <w:rPr>
          <w:spacing w:val="-16"/>
        </w:rPr>
        <w:t> </w:t>
      </w:r>
      <w:r>
        <w:rPr/>
        <w:t>demonstrated in numerous</w:t>
      </w:r>
      <w:r>
        <w:rPr>
          <w:spacing w:val="1"/>
        </w:rPr>
        <w:t> </w:t>
      </w:r>
      <w:r>
        <w:rPr/>
        <w:t>studies:</w:t>
      </w:r>
    </w:p>
    <w:p>
      <w:pPr>
        <w:pStyle w:val="ListParagraph"/>
        <w:numPr>
          <w:ilvl w:val="1"/>
          <w:numId w:val="26"/>
        </w:numPr>
        <w:tabs>
          <w:tab w:pos="1163" w:val="left" w:leader="none"/>
          <w:tab w:pos="1164" w:val="left" w:leader="none"/>
        </w:tabs>
        <w:spacing w:line="240" w:lineRule="auto" w:before="243" w:after="0"/>
        <w:ind w:left="1163" w:right="0" w:hanging="360"/>
        <w:jc w:val="left"/>
        <w:rPr>
          <w:sz w:val="38"/>
        </w:rPr>
      </w:pPr>
      <w:r>
        <w:rPr>
          <w:sz w:val="38"/>
        </w:rPr>
        <w:t>strengthening defences by building the immune</w:t>
      </w:r>
      <w:r>
        <w:rPr>
          <w:spacing w:val="-1"/>
          <w:sz w:val="38"/>
        </w:rPr>
        <w:t> </w:t>
      </w:r>
      <w:r>
        <w:rPr>
          <w:sz w:val="38"/>
        </w:rPr>
        <w:t>system;</w:t>
      </w:r>
    </w:p>
    <w:p>
      <w:pPr>
        <w:pStyle w:val="ListParagraph"/>
        <w:numPr>
          <w:ilvl w:val="1"/>
          <w:numId w:val="26"/>
        </w:numPr>
        <w:tabs>
          <w:tab w:pos="1163" w:val="left" w:leader="none"/>
          <w:tab w:pos="1164" w:val="left" w:leader="none"/>
        </w:tabs>
        <w:spacing w:line="240" w:lineRule="auto" w:before="303" w:after="0"/>
        <w:ind w:left="1163" w:right="0" w:hanging="360"/>
        <w:jc w:val="left"/>
        <w:rPr>
          <w:sz w:val="38"/>
        </w:rPr>
      </w:pPr>
      <w:r>
        <w:rPr>
          <w:sz w:val="38"/>
        </w:rPr>
        <w:t>protection against bacteria and viruses</w:t>
      </w:r>
    </w:p>
    <w:p>
      <w:pPr>
        <w:pStyle w:val="ListParagraph"/>
        <w:numPr>
          <w:ilvl w:val="1"/>
          <w:numId w:val="26"/>
        </w:numPr>
        <w:tabs>
          <w:tab w:pos="1163" w:val="left" w:leader="none"/>
          <w:tab w:pos="1164" w:val="left" w:leader="none"/>
        </w:tabs>
        <w:spacing w:line="240" w:lineRule="auto" w:before="304" w:after="0"/>
        <w:ind w:left="1163" w:right="0" w:hanging="360"/>
        <w:jc w:val="left"/>
        <w:rPr>
          <w:sz w:val="38"/>
        </w:rPr>
      </w:pPr>
      <w:r>
        <w:rPr>
          <w:sz w:val="38"/>
        </w:rPr>
        <w:t>repair of DNA and</w:t>
      </w:r>
      <w:r>
        <w:rPr>
          <w:spacing w:val="-12"/>
          <w:sz w:val="38"/>
        </w:rPr>
        <w:t> </w:t>
      </w:r>
      <w:r>
        <w:rPr>
          <w:sz w:val="38"/>
        </w:rPr>
        <w:t>RNA</w:t>
      </w:r>
    </w:p>
    <w:p>
      <w:pPr>
        <w:pStyle w:val="ListParagraph"/>
        <w:numPr>
          <w:ilvl w:val="1"/>
          <w:numId w:val="26"/>
        </w:numPr>
        <w:tabs>
          <w:tab w:pos="1163" w:val="left" w:leader="none"/>
          <w:tab w:pos="1164" w:val="left" w:leader="none"/>
        </w:tabs>
        <w:spacing w:line="240" w:lineRule="auto" w:before="304" w:after="0"/>
        <w:ind w:left="1163" w:right="0" w:hanging="360"/>
        <w:jc w:val="left"/>
        <w:rPr>
          <w:sz w:val="38"/>
        </w:rPr>
      </w:pPr>
      <w:r>
        <w:rPr>
          <w:sz w:val="38"/>
        </w:rPr>
        <w:t>anti-inflammatory</w:t>
      </w:r>
      <w:r>
        <w:rPr>
          <w:spacing w:val="-14"/>
          <w:sz w:val="38"/>
        </w:rPr>
        <w:t> </w:t>
      </w:r>
      <w:r>
        <w:rPr>
          <w:sz w:val="38"/>
        </w:rPr>
        <w:t>effects</w:t>
      </w:r>
    </w:p>
    <w:p>
      <w:pPr>
        <w:pStyle w:val="ListParagraph"/>
        <w:numPr>
          <w:ilvl w:val="1"/>
          <w:numId w:val="26"/>
        </w:numPr>
        <w:tabs>
          <w:tab w:pos="1163" w:val="left" w:leader="none"/>
          <w:tab w:pos="1164" w:val="left" w:leader="none"/>
        </w:tabs>
        <w:spacing w:line="240" w:lineRule="auto" w:before="306" w:after="0"/>
        <w:ind w:left="1163" w:right="0" w:hanging="360"/>
        <w:jc w:val="left"/>
        <w:rPr>
          <w:sz w:val="38"/>
        </w:rPr>
      </w:pPr>
      <w:r>
        <w:rPr>
          <w:sz w:val="38"/>
        </w:rPr>
        <w:t>blood sugar regulating</w:t>
      </w:r>
      <w:r>
        <w:rPr>
          <w:spacing w:val="1"/>
          <w:sz w:val="38"/>
        </w:rPr>
        <w:t> </w:t>
      </w:r>
      <w:r>
        <w:rPr>
          <w:sz w:val="38"/>
        </w:rPr>
        <w:t>mechanisms</w:t>
      </w:r>
    </w:p>
    <w:p>
      <w:pPr>
        <w:pStyle w:val="ListParagraph"/>
        <w:numPr>
          <w:ilvl w:val="1"/>
          <w:numId w:val="26"/>
        </w:numPr>
        <w:tabs>
          <w:tab w:pos="1163" w:val="left" w:leader="none"/>
          <w:tab w:pos="1164" w:val="left" w:leader="none"/>
        </w:tabs>
        <w:spacing w:line="273" w:lineRule="auto" w:before="304" w:after="0"/>
        <w:ind w:left="1163" w:right="135" w:hanging="360"/>
        <w:jc w:val="left"/>
        <w:rPr>
          <w:sz w:val="38"/>
        </w:rPr>
      </w:pPr>
      <w:r>
        <w:rPr>
          <w:sz w:val="38"/>
        </w:rPr>
        <w:t>protection against autoimmune diseases such as asthma, allergy, arthritis, lupus, multiple sclerosis and</w:t>
      </w:r>
      <w:r>
        <w:rPr>
          <w:spacing w:val="3"/>
          <w:sz w:val="38"/>
        </w:rPr>
        <w:t> </w:t>
      </w:r>
      <w:r>
        <w:rPr>
          <w:sz w:val="38"/>
        </w:rPr>
        <w:t>others</w:t>
      </w:r>
    </w:p>
    <w:p>
      <w:pPr>
        <w:pStyle w:val="ListParagraph"/>
        <w:numPr>
          <w:ilvl w:val="1"/>
          <w:numId w:val="26"/>
        </w:numPr>
        <w:tabs>
          <w:tab w:pos="1163" w:val="left" w:leader="none"/>
          <w:tab w:pos="1164" w:val="left" w:leader="none"/>
        </w:tabs>
        <w:spacing w:line="240" w:lineRule="auto" w:before="247" w:after="0"/>
        <w:ind w:left="1163" w:right="0" w:hanging="360"/>
        <w:jc w:val="left"/>
        <w:rPr>
          <w:sz w:val="38"/>
        </w:rPr>
      </w:pPr>
      <w:r>
        <w:rPr>
          <w:sz w:val="38"/>
        </w:rPr>
        <w:t>muscle strengthening and building</w:t>
      </w:r>
      <w:r>
        <w:rPr>
          <w:spacing w:val="1"/>
          <w:sz w:val="38"/>
        </w:rPr>
        <w:t> </w:t>
      </w:r>
      <w:r>
        <w:rPr>
          <w:sz w:val="38"/>
        </w:rPr>
        <w:t>effect</w:t>
      </w:r>
    </w:p>
    <w:p>
      <w:pPr>
        <w:pStyle w:val="ListParagraph"/>
        <w:numPr>
          <w:ilvl w:val="1"/>
          <w:numId w:val="26"/>
        </w:numPr>
        <w:tabs>
          <w:tab w:pos="1163" w:val="left" w:leader="none"/>
          <w:tab w:pos="1164" w:val="left" w:leader="none"/>
        </w:tabs>
        <w:spacing w:line="240" w:lineRule="auto" w:before="304" w:after="0"/>
        <w:ind w:left="1163" w:right="0" w:hanging="360"/>
        <w:jc w:val="left"/>
        <w:rPr>
          <w:sz w:val="38"/>
        </w:rPr>
      </w:pPr>
      <w:r>
        <w:rPr>
          <w:sz w:val="38"/>
        </w:rPr>
        <w:t>protection against muscle loss and promotion of fat loss when</w:t>
      </w:r>
      <w:r>
        <w:rPr>
          <w:spacing w:val="-14"/>
          <w:sz w:val="38"/>
        </w:rPr>
        <w:t> </w:t>
      </w:r>
      <w:r>
        <w:rPr>
          <w:sz w:val="38"/>
        </w:rPr>
        <w:t>dieting</w:t>
      </w:r>
    </w:p>
    <w:p>
      <w:pPr>
        <w:pStyle w:val="ListParagraph"/>
        <w:numPr>
          <w:ilvl w:val="1"/>
          <w:numId w:val="26"/>
        </w:numPr>
        <w:tabs>
          <w:tab w:pos="1163" w:val="left" w:leader="none"/>
          <w:tab w:pos="1164" w:val="left" w:leader="none"/>
        </w:tabs>
        <w:spacing w:line="240" w:lineRule="auto" w:before="304" w:after="0"/>
        <w:ind w:left="1163" w:right="0" w:hanging="360"/>
        <w:jc w:val="left"/>
        <w:rPr>
          <w:sz w:val="38"/>
        </w:rPr>
      </w:pPr>
      <w:r>
        <w:rPr>
          <w:sz w:val="38"/>
        </w:rPr>
        <w:t>protection against cancer</w:t>
      </w:r>
    </w:p>
    <w:p>
      <w:pPr>
        <w:pStyle w:val="ListParagraph"/>
        <w:numPr>
          <w:ilvl w:val="1"/>
          <w:numId w:val="26"/>
        </w:numPr>
        <w:tabs>
          <w:tab w:pos="1163" w:val="left" w:leader="none"/>
          <w:tab w:pos="1164" w:val="left" w:leader="none"/>
        </w:tabs>
        <w:spacing w:line="273" w:lineRule="auto" w:before="306" w:after="0"/>
        <w:ind w:left="1163" w:right="132" w:hanging="360"/>
        <w:jc w:val="left"/>
        <w:rPr>
          <w:sz w:val="38"/>
        </w:rPr>
      </w:pPr>
      <w:r>
        <w:rPr>
          <w:sz w:val="38"/>
        </w:rPr>
        <w:t>when</w:t>
      </w:r>
      <w:r>
        <w:rPr>
          <w:spacing w:val="-11"/>
          <w:sz w:val="38"/>
        </w:rPr>
        <w:t> </w:t>
      </w:r>
      <w:r>
        <w:rPr>
          <w:sz w:val="38"/>
        </w:rPr>
        <w:t>used</w:t>
      </w:r>
      <w:r>
        <w:rPr>
          <w:spacing w:val="-11"/>
          <w:sz w:val="38"/>
        </w:rPr>
        <w:t> </w:t>
      </w:r>
      <w:r>
        <w:rPr>
          <w:sz w:val="38"/>
        </w:rPr>
        <w:t>locally</w:t>
      </w:r>
      <w:r>
        <w:rPr>
          <w:spacing w:val="-12"/>
          <w:sz w:val="38"/>
        </w:rPr>
        <w:t> </w:t>
      </w:r>
      <w:r>
        <w:rPr>
          <w:sz w:val="38"/>
        </w:rPr>
        <w:t>in</w:t>
      </w:r>
      <w:r>
        <w:rPr>
          <w:spacing w:val="-13"/>
          <w:sz w:val="38"/>
        </w:rPr>
        <w:t> </w:t>
      </w:r>
      <w:r>
        <w:rPr>
          <w:sz w:val="38"/>
        </w:rPr>
        <w:t>the</w:t>
      </w:r>
      <w:r>
        <w:rPr>
          <w:spacing w:val="-13"/>
          <w:sz w:val="38"/>
        </w:rPr>
        <w:t> </w:t>
      </w:r>
      <w:r>
        <w:rPr>
          <w:sz w:val="38"/>
        </w:rPr>
        <w:t>form</w:t>
      </w:r>
      <w:r>
        <w:rPr>
          <w:spacing w:val="-13"/>
          <w:sz w:val="38"/>
        </w:rPr>
        <w:t> </w:t>
      </w:r>
      <w:r>
        <w:rPr>
          <w:sz w:val="38"/>
        </w:rPr>
        <w:t>of</w:t>
      </w:r>
      <w:r>
        <w:rPr>
          <w:spacing w:val="-15"/>
          <w:sz w:val="38"/>
        </w:rPr>
        <w:t> </w:t>
      </w:r>
      <w:r>
        <w:rPr>
          <w:sz w:val="38"/>
        </w:rPr>
        <w:t>creams</w:t>
      </w:r>
      <w:r>
        <w:rPr>
          <w:spacing w:val="-11"/>
          <w:sz w:val="38"/>
        </w:rPr>
        <w:t> </w:t>
      </w:r>
      <w:r>
        <w:rPr>
          <w:sz w:val="38"/>
        </w:rPr>
        <w:t>and</w:t>
      </w:r>
      <w:r>
        <w:rPr>
          <w:spacing w:val="-13"/>
          <w:sz w:val="38"/>
        </w:rPr>
        <w:t> </w:t>
      </w:r>
      <w:r>
        <w:rPr>
          <w:sz w:val="38"/>
        </w:rPr>
        <w:t>ointments,</w:t>
      </w:r>
      <w:r>
        <w:rPr>
          <w:spacing w:val="-10"/>
          <w:sz w:val="38"/>
        </w:rPr>
        <w:t> </w:t>
      </w:r>
      <w:r>
        <w:rPr>
          <w:sz w:val="38"/>
        </w:rPr>
        <w:t>faster</w:t>
      </w:r>
      <w:r>
        <w:rPr>
          <w:spacing w:val="-13"/>
          <w:sz w:val="38"/>
        </w:rPr>
        <w:t> </w:t>
      </w:r>
      <w:r>
        <w:rPr>
          <w:sz w:val="38"/>
        </w:rPr>
        <w:t>wound</w:t>
      </w:r>
      <w:r>
        <w:rPr>
          <w:spacing w:val="-11"/>
          <w:sz w:val="38"/>
        </w:rPr>
        <w:t> </w:t>
      </w:r>
      <w:r>
        <w:rPr>
          <w:sz w:val="38"/>
        </w:rPr>
        <w:t>heal- ing (cuts, surgical wounds, skin abrasions, etc.), relieving</w:t>
      </w:r>
      <w:r>
        <w:rPr>
          <w:spacing w:val="-3"/>
          <w:sz w:val="38"/>
        </w:rPr>
        <w:t> </w:t>
      </w:r>
      <w:r>
        <w:rPr>
          <w:sz w:val="38"/>
        </w:rPr>
        <w:t>burns;</w:t>
      </w:r>
    </w:p>
    <w:p>
      <w:pPr>
        <w:pStyle w:val="ListParagraph"/>
        <w:numPr>
          <w:ilvl w:val="1"/>
          <w:numId w:val="26"/>
        </w:numPr>
        <w:tabs>
          <w:tab w:pos="1163" w:val="left" w:leader="none"/>
          <w:tab w:pos="1164" w:val="left" w:leader="none"/>
        </w:tabs>
        <w:spacing w:line="240" w:lineRule="auto" w:before="247" w:after="0"/>
        <w:ind w:left="1163" w:right="0" w:hanging="360"/>
        <w:jc w:val="left"/>
        <w:rPr>
          <w:sz w:val="38"/>
        </w:rPr>
      </w:pPr>
      <w:r>
        <w:rPr>
          <w:sz w:val="38"/>
        </w:rPr>
        <w:t>a sense of well-being via stimulation of the appropriate</w:t>
      </w:r>
      <w:r>
        <w:rPr>
          <w:spacing w:val="-8"/>
          <w:sz w:val="38"/>
        </w:rPr>
        <w:t> </w:t>
      </w:r>
      <w:r>
        <w:rPr>
          <w:sz w:val="38"/>
        </w:rPr>
        <w:t>substances.</w:t>
      </w:r>
    </w:p>
    <w:p>
      <w:pPr>
        <w:spacing w:after="0" w:line="240" w:lineRule="auto"/>
        <w:jc w:val="left"/>
        <w:rPr>
          <w:sz w:val="38"/>
        </w:rPr>
        <w:sectPr>
          <w:footerReference w:type="default" r:id="rId69"/>
          <w:pgSz w:w="14270" w:h="16850"/>
          <w:pgMar w:footer="1891" w:header="0" w:top="1600" w:bottom="2080" w:left="800" w:right="1280"/>
          <w:pgNumType w:start="280"/>
        </w:sectPr>
      </w:pPr>
    </w:p>
    <w:p>
      <w:pPr>
        <w:pStyle w:val="Heading2"/>
        <w:spacing w:before="181"/>
        <w:jc w:val="both"/>
      </w:pPr>
      <w:r>
        <w:rPr/>
        <w:t>Human colostrum vs animal colostrum</w:t>
      </w:r>
    </w:p>
    <w:p>
      <w:pPr>
        <w:pStyle w:val="BodyText"/>
        <w:spacing w:line="276" w:lineRule="auto" w:before="305"/>
        <w:ind w:left="477" w:right="139"/>
        <w:jc w:val="both"/>
      </w:pPr>
      <w:r>
        <w:rPr/>
        <w:t>Of course, the question arises as to whether the animal colostrum used in die- tary supplements is just as effective for humans as colostrum from cattle and goats.</w:t>
      </w:r>
    </w:p>
    <w:p>
      <w:pPr>
        <w:pStyle w:val="BodyText"/>
        <w:spacing w:line="276" w:lineRule="auto" w:before="241"/>
        <w:ind w:left="477" w:right="133"/>
        <w:jc w:val="both"/>
      </w:pPr>
      <w:r>
        <w:rPr/>
        <w:t>Scientific studies have shown that the colostrum from cattle and goats is not only digestible for humans, but even up to 40 times richer in immune factors than</w:t>
      </w:r>
      <w:r>
        <w:rPr>
          <w:spacing w:val="-9"/>
        </w:rPr>
        <w:t> </w:t>
      </w:r>
      <w:r>
        <w:rPr/>
        <w:t>human</w:t>
      </w:r>
      <w:r>
        <w:rPr>
          <w:spacing w:val="-9"/>
        </w:rPr>
        <w:t> </w:t>
      </w:r>
      <w:r>
        <w:rPr/>
        <w:t>colostrum</w:t>
      </w:r>
      <w:r>
        <w:rPr>
          <w:spacing w:val="-10"/>
        </w:rPr>
        <w:t> </w:t>
      </w:r>
      <w:r>
        <w:rPr/>
        <w:t>and</w:t>
      </w:r>
      <w:r>
        <w:rPr>
          <w:spacing w:val="-9"/>
        </w:rPr>
        <w:t> </w:t>
      </w:r>
      <w:r>
        <w:rPr/>
        <w:t>that</w:t>
      </w:r>
      <w:r>
        <w:rPr>
          <w:spacing w:val="-13"/>
        </w:rPr>
        <w:t> </w:t>
      </w:r>
      <w:r>
        <w:rPr/>
        <w:t>the</w:t>
      </w:r>
      <w:r>
        <w:rPr>
          <w:spacing w:val="-8"/>
        </w:rPr>
        <w:t> </w:t>
      </w:r>
      <w:r>
        <w:rPr/>
        <w:t>composition</w:t>
      </w:r>
      <w:r>
        <w:rPr>
          <w:spacing w:val="-11"/>
        </w:rPr>
        <w:t> </w:t>
      </w:r>
      <w:r>
        <w:rPr/>
        <w:t>corresponds</w:t>
      </w:r>
      <w:r>
        <w:rPr>
          <w:spacing w:val="-10"/>
        </w:rPr>
        <w:t> </w:t>
      </w:r>
      <w:r>
        <w:rPr/>
        <w:t>to</w:t>
      </w:r>
      <w:r>
        <w:rPr>
          <w:spacing w:val="-11"/>
        </w:rPr>
        <w:t> </w:t>
      </w:r>
      <w:r>
        <w:rPr/>
        <w:t>that</w:t>
      </w:r>
      <w:r>
        <w:rPr>
          <w:spacing w:val="-10"/>
        </w:rPr>
        <w:t> </w:t>
      </w:r>
      <w:r>
        <w:rPr/>
        <w:t>of</w:t>
      </w:r>
      <w:r>
        <w:rPr>
          <w:spacing w:val="-9"/>
        </w:rPr>
        <w:t> </w:t>
      </w:r>
      <w:r>
        <w:rPr/>
        <w:t>human colostrum by as much as 99</w:t>
      </w:r>
      <w:r>
        <w:rPr>
          <w:spacing w:val="-1"/>
        </w:rPr>
        <w:t> </w:t>
      </w:r>
      <w:r>
        <w:rPr/>
        <w:t>%.</w:t>
      </w:r>
    </w:p>
    <w:p>
      <w:pPr>
        <w:pStyle w:val="BodyText"/>
        <w:spacing w:line="276" w:lineRule="auto" w:before="240"/>
        <w:ind w:left="477" w:right="132"/>
        <w:jc w:val="both"/>
      </w:pPr>
      <w:r>
        <w:rPr/>
        <w:t>Furthermore, the studies indicate that, in contrast to human colostrum, colos- trum from cattle and goats has appropriate protease inhibitors and glycopro- teins</w:t>
      </w:r>
      <w:r>
        <w:rPr>
          <w:spacing w:val="-14"/>
        </w:rPr>
        <w:t> </w:t>
      </w:r>
      <w:r>
        <w:rPr/>
        <w:t>that</w:t>
      </w:r>
      <w:r>
        <w:rPr>
          <w:spacing w:val="-14"/>
        </w:rPr>
        <w:t> </w:t>
      </w:r>
      <w:r>
        <w:rPr/>
        <w:t>protect</w:t>
      </w:r>
      <w:r>
        <w:rPr>
          <w:spacing w:val="-15"/>
        </w:rPr>
        <w:t> </w:t>
      </w:r>
      <w:r>
        <w:rPr/>
        <w:t>colostrum's</w:t>
      </w:r>
      <w:r>
        <w:rPr>
          <w:spacing w:val="-13"/>
        </w:rPr>
        <w:t> </w:t>
      </w:r>
      <w:r>
        <w:rPr/>
        <w:t>active</w:t>
      </w:r>
      <w:r>
        <w:rPr>
          <w:spacing w:val="-17"/>
        </w:rPr>
        <w:t> </w:t>
      </w:r>
      <w:r>
        <w:rPr/>
        <w:t>ingredients</w:t>
      </w:r>
      <w:r>
        <w:rPr>
          <w:spacing w:val="-13"/>
        </w:rPr>
        <w:t> </w:t>
      </w:r>
      <w:r>
        <w:rPr/>
        <w:t>from</w:t>
      </w:r>
      <w:r>
        <w:rPr>
          <w:spacing w:val="-15"/>
        </w:rPr>
        <w:t> </w:t>
      </w:r>
      <w:r>
        <w:rPr/>
        <w:t>being</w:t>
      </w:r>
      <w:r>
        <w:rPr>
          <w:spacing w:val="-14"/>
        </w:rPr>
        <w:t> </w:t>
      </w:r>
      <w:r>
        <w:rPr/>
        <w:t>destroyed</w:t>
      </w:r>
      <w:r>
        <w:rPr>
          <w:spacing w:val="-15"/>
        </w:rPr>
        <w:t> </w:t>
      </w:r>
      <w:r>
        <w:rPr/>
        <w:t>by</w:t>
      </w:r>
      <w:r>
        <w:rPr>
          <w:spacing w:val="-14"/>
        </w:rPr>
        <w:t> </w:t>
      </w:r>
      <w:r>
        <w:rPr/>
        <w:t>adults’ gastric acid. It can therefore be assumed that human colostrum is actually in- tended for the relatively gentle digestive juices of a newborn, while we adults can probably only benefit from animal</w:t>
      </w:r>
      <w:r>
        <w:rPr>
          <w:spacing w:val="-2"/>
        </w:rPr>
        <w:t> </w:t>
      </w:r>
      <w:r>
        <w:rPr/>
        <w:t>colostrum.</w:t>
      </w:r>
    </w:p>
    <w:p>
      <w:pPr>
        <w:pStyle w:val="Heading2"/>
        <w:spacing w:before="240"/>
        <w:jc w:val="both"/>
      </w:pPr>
      <w:r>
        <w:rPr/>
        <w:t>Studies on the bioavailability of colostrum ingredients</w:t>
      </w:r>
    </w:p>
    <w:p>
      <w:pPr>
        <w:pStyle w:val="BodyText"/>
        <w:spacing w:line="276" w:lineRule="auto" w:before="304"/>
        <w:ind w:left="477" w:right="135"/>
        <w:jc w:val="both"/>
      </w:pPr>
      <w:r>
        <w:rPr/>
        <w:t>Again and again, it is falsely argued that the immunoglobulins and the growth factors in colostrum are destroyed by gastric acid and therefore cannot be uti- lised by the body.</w:t>
      </w:r>
    </w:p>
    <w:p>
      <w:pPr>
        <w:pStyle w:val="BodyText"/>
        <w:spacing w:before="240"/>
        <w:ind w:left="477"/>
        <w:jc w:val="both"/>
      </w:pPr>
      <w:r>
        <w:rPr/>
        <w:t>As Dr. Pineo and his colleagues managed to prove in 1975, bovine colostrum</w:t>
      </w:r>
    </w:p>
    <w:p>
      <w:pPr>
        <w:spacing w:after="0"/>
        <w:jc w:val="both"/>
        <w:sectPr>
          <w:pgSz w:w="14270" w:h="16850"/>
          <w:pgMar w:header="0" w:footer="1891" w:top="1600" w:bottom="2080" w:left="800" w:right="1280"/>
        </w:sectPr>
      </w:pPr>
    </w:p>
    <w:p>
      <w:pPr>
        <w:pStyle w:val="BodyText"/>
        <w:spacing w:line="276" w:lineRule="auto" w:before="181"/>
        <w:ind w:left="477" w:right="135"/>
        <w:jc w:val="both"/>
        <w:rPr>
          <w:sz w:val="25"/>
        </w:rPr>
      </w:pPr>
      <w:r>
        <w:rPr/>
        <w:t>contains a so-called glycoprotein, which in turn has protease inhibitors, which ensure that the immunoglobulin protease and the growth factors are not de- stroyed by gastric acids, even in the stomach of an adult.</w:t>
      </w:r>
      <w:r>
        <w:rPr>
          <w:position w:val="9"/>
          <w:sz w:val="25"/>
        </w:rPr>
        <w:t>153</w:t>
      </w:r>
    </w:p>
    <w:p>
      <w:pPr>
        <w:pStyle w:val="BodyText"/>
        <w:spacing w:line="276" w:lineRule="auto" w:before="242"/>
        <w:ind w:left="477" w:right="135"/>
        <w:jc w:val="both"/>
        <w:rPr>
          <w:sz w:val="25"/>
        </w:rPr>
      </w:pPr>
      <w:r>
        <w:rPr/>
        <w:t>Furthermore, Dr. Sandholm and his team of scientists demonstrated that bo- vine colostrum has a very potent trypsin inhibitor that protects the immuno- globulins in colostrum from gastric acid breakdown.</w:t>
      </w:r>
      <w:r>
        <w:rPr>
          <w:position w:val="9"/>
          <w:sz w:val="25"/>
        </w:rPr>
        <w:t>154</w:t>
      </w:r>
    </w:p>
    <w:p>
      <w:pPr>
        <w:pStyle w:val="Heading1"/>
        <w:spacing w:line="261" w:lineRule="auto" w:before="222"/>
        <w:ind w:right="141"/>
        <w:jc w:val="both"/>
      </w:pPr>
      <w:r>
        <w:rPr>
          <w:w w:val="95"/>
        </w:rPr>
        <w:t>Bovine</w:t>
      </w:r>
      <w:r>
        <w:rPr>
          <w:spacing w:val="-13"/>
          <w:w w:val="95"/>
        </w:rPr>
        <w:t> </w:t>
      </w:r>
      <w:r>
        <w:rPr>
          <w:w w:val="95"/>
        </w:rPr>
        <w:t>colostrum</w:t>
      </w:r>
      <w:r>
        <w:rPr>
          <w:spacing w:val="-15"/>
          <w:w w:val="95"/>
        </w:rPr>
        <w:t> </w:t>
      </w:r>
      <w:r>
        <w:rPr>
          <w:w w:val="95"/>
        </w:rPr>
        <w:t>contains</w:t>
      </w:r>
      <w:r>
        <w:rPr>
          <w:spacing w:val="-13"/>
          <w:w w:val="95"/>
        </w:rPr>
        <w:t> </w:t>
      </w:r>
      <w:r>
        <w:rPr>
          <w:w w:val="95"/>
        </w:rPr>
        <w:t>40</w:t>
      </w:r>
      <w:r>
        <w:rPr>
          <w:spacing w:val="-12"/>
          <w:w w:val="95"/>
        </w:rPr>
        <w:t> </w:t>
      </w:r>
      <w:r>
        <w:rPr>
          <w:w w:val="95"/>
        </w:rPr>
        <w:t>times</w:t>
      </w:r>
      <w:r>
        <w:rPr>
          <w:spacing w:val="-13"/>
          <w:w w:val="95"/>
        </w:rPr>
        <w:t> </w:t>
      </w:r>
      <w:r>
        <w:rPr>
          <w:w w:val="95"/>
        </w:rPr>
        <w:t>more</w:t>
      </w:r>
      <w:r>
        <w:rPr>
          <w:spacing w:val="-11"/>
          <w:w w:val="95"/>
        </w:rPr>
        <w:t> </w:t>
      </w:r>
      <w:r>
        <w:rPr>
          <w:w w:val="95"/>
        </w:rPr>
        <w:t>immunoglobulins</w:t>
      </w:r>
      <w:r>
        <w:rPr>
          <w:spacing w:val="-14"/>
          <w:w w:val="95"/>
        </w:rPr>
        <w:t> </w:t>
      </w:r>
      <w:r>
        <w:rPr>
          <w:w w:val="95"/>
        </w:rPr>
        <w:t>than</w:t>
      </w:r>
      <w:r>
        <w:rPr>
          <w:spacing w:val="-13"/>
          <w:w w:val="95"/>
        </w:rPr>
        <w:t> </w:t>
      </w:r>
      <w:r>
        <w:rPr>
          <w:w w:val="95"/>
        </w:rPr>
        <w:t>human </w:t>
      </w:r>
      <w:r>
        <w:rPr/>
        <w:t>colostrum</w:t>
      </w:r>
    </w:p>
    <w:p>
      <w:pPr>
        <w:pStyle w:val="BodyText"/>
        <w:spacing w:line="276" w:lineRule="auto" w:before="260"/>
        <w:ind w:left="477" w:right="132"/>
        <w:jc w:val="both"/>
        <w:rPr>
          <w:sz w:val="25"/>
        </w:rPr>
      </w:pPr>
      <w:r>
        <w:rPr/>
        <w:t>Studies have shown that bovine colostrum contains up to 40 times the amount of IgG as human colostrum.</w:t>
      </w:r>
      <w:r>
        <w:rPr>
          <w:position w:val="9"/>
          <w:sz w:val="25"/>
        </w:rPr>
        <w:t>155</w:t>
      </w:r>
    </w:p>
    <w:p>
      <w:pPr>
        <w:pStyle w:val="Heading1"/>
        <w:spacing w:before="223"/>
      </w:pPr>
      <w:r>
        <w:rPr/>
        <w:t>Nucleotides in colostrum repair body cells and keep them healthy</w:t>
      </w:r>
    </w:p>
    <w:p>
      <w:pPr>
        <w:pStyle w:val="BodyText"/>
        <w:spacing w:line="276" w:lineRule="auto" w:before="298"/>
        <w:ind w:left="477" w:right="134"/>
        <w:jc w:val="both"/>
        <w:rPr>
          <w:sz w:val="25"/>
        </w:rPr>
      </w:pPr>
      <w:r>
        <w:rPr/>
        <w:t>It</w:t>
      </w:r>
      <w:r>
        <w:rPr>
          <w:spacing w:val="-11"/>
        </w:rPr>
        <w:t> </w:t>
      </w:r>
      <w:r>
        <w:rPr/>
        <w:t>has</w:t>
      </w:r>
      <w:r>
        <w:rPr>
          <w:spacing w:val="-9"/>
        </w:rPr>
        <w:t> </w:t>
      </w:r>
      <w:r>
        <w:rPr/>
        <w:t>been</w:t>
      </w:r>
      <w:r>
        <w:rPr>
          <w:spacing w:val="-12"/>
        </w:rPr>
        <w:t> </w:t>
      </w:r>
      <w:r>
        <w:rPr/>
        <w:t>shown</w:t>
      </w:r>
      <w:r>
        <w:rPr>
          <w:spacing w:val="-9"/>
        </w:rPr>
        <w:t> </w:t>
      </w:r>
      <w:r>
        <w:rPr/>
        <w:t>that</w:t>
      </w:r>
      <w:r>
        <w:rPr>
          <w:spacing w:val="-10"/>
        </w:rPr>
        <w:t> </w:t>
      </w:r>
      <w:r>
        <w:rPr/>
        <w:t>bovine</w:t>
      </w:r>
      <w:r>
        <w:rPr>
          <w:spacing w:val="-9"/>
        </w:rPr>
        <w:t> </w:t>
      </w:r>
      <w:r>
        <w:rPr/>
        <w:t>colostrum</w:t>
      </w:r>
      <w:r>
        <w:rPr>
          <w:spacing w:val="-11"/>
        </w:rPr>
        <w:t> </w:t>
      </w:r>
      <w:r>
        <w:rPr/>
        <w:t>has</w:t>
      </w:r>
      <w:r>
        <w:rPr>
          <w:spacing w:val="-9"/>
        </w:rPr>
        <w:t> </w:t>
      </w:r>
      <w:r>
        <w:rPr/>
        <w:t>seven</w:t>
      </w:r>
      <w:r>
        <w:rPr>
          <w:spacing w:val="-9"/>
        </w:rPr>
        <w:t> </w:t>
      </w:r>
      <w:r>
        <w:rPr/>
        <w:t>different</w:t>
      </w:r>
      <w:r>
        <w:rPr>
          <w:spacing w:val="-10"/>
        </w:rPr>
        <w:t> </w:t>
      </w:r>
      <w:r>
        <w:rPr/>
        <w:t>nucleotides</w:t>
      </w:r>
      <w:r>
        <w:rPr>
          <w:spacing w:val="-8"/>
        </w:rPr>
        <w:t> </w:t>
      </w:r>
      <w:r>
        <w:rPr/>
        <w:t>which are important for cell repair and maintaining healthy cell</w:t>
      </w:r>
      <w:r>
        <w:rPr>
          <w:spacing w:val="-5"/>
        </w:rPr>
        <w:t> </w:t>
      </w:r>
      <w:r>
        <w:rPr/>
        <w:t>function.</w:t>
      </w:r>
      <w:r>
        <w:rPr>
          <w:position w:val="9"/>
          <w:sz w:val="25"/>
        </w:rPr>
        <w:t>156</w:t>
      </w:r>
    </w:p>
    <w:p>
      <w:pPr>
        <w:pStyle w:val="BodyText"/>
        <w:spacing w:before="8"/>
        <w:rPr>
          <w:sz w:val="42"/>
        </w:rPr>
      </w:pPr>
    </w:p>
    <w:p>
      <w:pPr>
        <w:pStyle w:val="Heading2"/>
      </w:pPr>
      <w:r>
        <w:rPr/>
        <w:t>Studies on colostrum in HIV/AIDS</w:t>
      </w:r>
    </w:p>
    <w:p>
      <w:pPr>
        <w:pStyle w:val="BodyText"/>
        <w:spacing w:line="276" w:lineRule="auto" w:before="304"/>
        <w:ind w:left="477" w:right="132"/>
        <w:jc w:val="both"/>
      </w:pPr>
      <w:r>
        <w:rPr/>
        <w:t>In laboratory studies, the effects of lactoferrin, alpha-lactalbumin, beta-lacto- globulin</w:t>
      </w:r>
      <w:r>
        <w:rPr>
          <w:spacing w:val="-20"/>
        </w:rPr>
        <w:t> </w:t>
      </w:r>
      <w:r>
        <w:rPr/>
        <w:t>A,</w:t>
      </w:r>
      <w:r>
        <w:rPr>
          <w:spacing w:val="-19"/>
        </w:rPr>
        <w:t> </w:t>
      </w:r>
      <w:r>
        <w:rPr/>
        <w:t>and</w:t>
      </w:r>
      <w:r>
        <w:rPr>
          <w:spacing w:val="-24"/>
        </w:rPr>
        <w:t> </w:t>
      </w:r>
      <w:r>
        <w:rPr/>
        <w:t>beta-lactoglobulin</w:t>
      </w:r>
      <w:r>
        <w:rPr>
          <w:spacing w:val="-19"/>
        </w:rPr>
        <w:t> </w:t>
      </w:r>
      <w:r>
        <w:rPr/>
        <w:t>B</w:t>
      </w:r>
      <w:r>
        <w:rPr>
          <w:spacing w:val="-22"/>
        </w:rPr>
        <w:t> </w:t>
      </w:r>
      <w:r>
        <w:rPr/>
        <w:t>on</w:t>
      </w:r>
      <w:r>
        <w:rPr>
          <w:spacing w:val="-21"/>
        </w:rPr>
        <w:t> </w:t>
      </w:r>
      <w:r>
        <w:rPr/>
        <w:t>HIV-positive</w:t>
      </w:r>
      <w:r>
        <w:rPr>
          <w:spacing w:val="-19"/>
        </w:rPr>
        <w:t> </w:t>
      </w:r>
      <w:r>
        <w:rPr/>
        <w:t>HIV-1</w:t>
      </w:r>
      <w:r>
        <w:rPr>
          <w:spacing w:val="-20"/>
        </w:rPr>
        <w:t> </w:t>
      </w:r>
      <w:r>
        <w:rPr/>
        <w:t>and</w:t>
      </w:r>
      <w:r>
        <w:rPr>
          <w:spacing w:val="-20"/>
        </w:rPr>
        <w:t> </w:t>
      </w:r>
      <w:r>
        <w:rPr/>
        <w:t>HIV-2</w:t>
      </w:r>
      <w:r>
        <w:rPr>
          <w:spacing w:val="-19"/>
        </w:rPr>
        <w:t> </w:t>
      </w:r>
      <w:r>
        <w:rPr/>
        <w:t>viruses was examined. Strong antiviral activity against HIV-1 and HIV-2 has been demonstrated. This mechanism is probably due to the prevention of</w:t>
      </w:r>
      <w:r>
        <w:rPr>
          <w:spacing w:val="5"/>
        </w:rPr>
        <w:t> </w:t>
      </w:r>
      <w:r>
        <w:rPr/>
        <w:t>virus-cell</w:t>
      </w:r>
    </w:p>
    <w:p>
      <w:pPr>
        <w:pStyle w:val="BodyText"/>
        <w:rPr>
          <w:sz w:val="20"/>
        </w:rPr>
      </w:pPr>
    </w:p>
    <w:p>
      <w:pPr>
        <w:pStyle w:val="BodyText"/>
        <w:spacing w:before="10"/>
        <w:rPr>
          <w:sz w:val="19"/>
        </w:rPr>
      </w:pPr>
      <w:r>
        <w:rPr/>
        <w:pict>
          <v:line style="position:absolute;mso-position-horizontal-relative:page;mso-position-vertical-relative:paragraph;z-index:1400;mso-wrap-distance-left:0;mso-wrap-distance-right:0" from="63.863998pt,13.542515pt" to="207.883998pt,13.542515pt" stroked="true" strokeweight=".71997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153 </w:t>
      </w:r>
      <w:r>
        <w:rPr>
          <w:sz w:val="20"/>
        </w:rPr>
        <w:t>Pineo et al. Biochemical Biophysiology Acta (Amsterdam.) 1975, 379, p. 201–206</w:t>
      </w:r>
    </w:p>
    <w:p>
      <w:pPr>
        <w:spacing w:before="94"/>
        <w:ind w:left="477" w:right="0" w:firstLine="0"/>
        <w:jc w:val="left"/>
        <w:rPr>
          <w:sz w:val="20"/>
        </w:rPr>
      </w:pPr>
      <w:r>
        <w:rPr>
          <w:position w:val="5"/>
          <w:sz w:val="13"/>
        </w:rPr>
        <w:t>154 </w:t>
      </w:r>
      <w:r>
        <w:rPr>
          <w:sz w:val="20"/>
        </w:rPr>
        <w:t>Sandholm et al., Acta Veterinaria Scandinavia, 1980, Vol. 20, No. 4, p. 469–476.</w:t>
      </w:r>
    </w:p>
    <w:p>
      <w:pPr>
        <w:spacing w:before="95"/>
        <w:ind w:left="477" w:right="0" w:firstLine="0"/>
        <w:jc w:val="left"/>
        <w:rPr>
          <w:sz w:val="20"/>
        </w:rPr>
      </w:pPr>
      <w:r>
        <w:rPr/>
        <w:drawing>
          <wp:anchor distT="0" distB="0" distL="0" distR="0" allowOverlap="1" layoutInCell="1" locked="0" behindDoc="1" simplePos="0" relativeHeight="267169199">
            <wp:simplePos x="0" y="0"/>
            <wp:positionH relativeFrom="page">
              <wp:posOffset>896463</wp:posOffset>
            </wp:positionH>
            <wp:positionV relativeFrom="paragraph">
              <wp:posOffset>142597</wp:posOffset>
            </wp:positionV>
            <wp:extent cx="6379583" cy="902106"/>
            <wp:effectExtent l="0" t="0" r="0" b="0"/>
            <wp:wrapNone/>
            <wp:docPr id="97" name="image2.jpeg" descr=""/>
            <wp:cNvGraphicFramePr>
              <a:graphicFrameLocks noChangeAspect="1"/>
            </wp:cNvGraphicFramePr>
            <a:graphic>
              <a:graphicData uri="http://schemas.openxmlformats.org/drawingml/2006/picture">
                <pic:pic>
                  <pic:nvPicPr>
                    <pic:cNvPr id="98"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155 </w:t>
      </w:r>
      <w:r>
        <w:rPr>
          <w:sz w:val="20"/>
        </w:rPr>
        <w:t>Bruce, C. E., Natural History, Feb. 1969</w:t>
      </w:r>
    </w:p>
    <w:p>
      <w:pPr>
        <w:spacing w:before="94"/>
        <w:ind w:left="477" w:right="0" w:firstLine="0"/>
        <w:jc w:val="left"/>
        <w:rPr>
          <w:sz w:val="20"/>
        </w:rPr>
      </w:pPr>
      <w:r>
        <w:rPr>
          <w:position w:val="5"/>
          <w:sz w:val="13"/>
        </w:rPr>
        <w:t>156 </w:t>
      </w:r>
      <w:r>
        <w:rPr>
          <w:sz w:val="20"/>
        </w:rPr>
        <w:t>Gil, Angel, Sanchez-Medina, Journal of Dairy Research, 1981, Vol 48, p. 35–44</w:t>
      </w:r>
    </w:p>
    <w:p>
      <w:pPr>
        <w:spacing w:after="0"/>
        <w:jc w:val="left"/>
        <w:rPr>
          <w:sz w:val="20"/>
        </w:rPr>
        <w:sectPr>
          <w:footerReference w:type="default" r:id="rId70"/>
          <w:pgSz w:w="14270" w:h="16850"/>
          <w:pgMar w:footer="527" w:header="0" w:top="1600" w:bottom="720" w:left="800" w:right="1280"/>
          <w:pgNumType w:start="282"/>
        </w:sectPr>
      </w:pPr>
    </w:p>
    <w:p>
      <w:pPr>
        <w:pStyle w:val="BodyText"/>
        <w:spacing w:line="276" w:lineRule="auto" w:before="181"/>
        <w:ind w:left="477" w:right="137"/>
        <w:jc w:val="both"/>
        <w:rPr>
          <w:sz w:val="25"/>
        </w:rPr>
      </w:pPr>
      <w:r>
        <w:rPr/>
        <w:t>fusion and virus entry into MT4 cells.</w:t>
      </w:r>
      <w:r>
        <w:rPr>
          <w:position w:val="9"/>
          <w:sz w:val="25"/>
        </w:rPr>
        <w:t>157 </w:t>
      </w:r>
      <w:r>
        <w:rPr/>
        <w:t>In another study, lactoferrin has been shown to inhibit HIV-1-induced cell diseases; here, lactoferrin is likely to act</w:t>
      </w:r>
      <w:r>
        <w:rPr>
          <w:spacing w:val="-43"/>
        </w:rPr>
        <w:t> </w:t>
      </w:r>
      <w:r>
        <w:rPr/>
        <w:t>at the adsorption or penetration stage of the virus or at both</w:t>
      </w:r>
      <w:r>
        <w:rPr>
          <w:spacing w:val="-6"/>
        </w:rPr>
        <w:t> </w:t>
      </w:r>
      <w:r>
        <w:rPr/>
        <w:t>stages.</w:t>
      </w:r>
      <w:r>
        <w:rPr>
          <w:position w:val="9"/>
          <w:sz w:val="25"/>
        </w:rPr>
        <w:t>158</w:t>
      </w:r>
    </w:p>
    <w:p>
      <w:pPr>
        <w:pStyle w:val="BodyText"/>
        <w:spacing w:before="9"/>
        <w:rPr>
          <w:sz w:val="42"/>
        </w:rPr>
      </w:pPr>
    </w:p>
    <w:p>
      <w:pPr>
        <w:pStyle w:val="Heading2"/>
      </w:pPr>
      <w:r>
        <w:rPr/>
        <w:t>Studies on colostrum and comorbidities of HIV</w:t>
      </w:r>
    </w:p>
    <w:p>
      <w:pPr>
        <w:spacing w:before="287"/>
        <w:ind w:left="477" w:right="0" w:firstLine="0"/>
        <w:jc w:val="left"/>
        <w:rPr>
          <w:b/>
          <w:i/>
          <w:sz w:val="40"/>
        </w:rPr>
      </w:pPr>
      <w:r>
        <w:rPr>
          <w:b/>
          <w:i/>
          <w:sz w:val="40"/>
        </w:rPr>
        <w:t>Candidiasis</w:t>
      </w:r>
    </w:p>
    <w:p>
      <w:pPr>
        <w:pStyle w:val="BodyText"/>
        <w:spacing w:line="276" w:lineRule="auto" w:before="298"/>
        <w:ind w:left="477" w:right="128"/>
        <w:jc w:val="both"/>
      </w:pPr>
      <w:r>
        <w:rPr/>
        <w:t>A very common concomitant disease of HIV patients is candidiasis of the oral mucosa, a disease of the skin or mucous membranes caused by fungi of the </w:t>
      </w:r>
      <w:r>
        <w:rPr>
          <w:i/>
        </w:rPr>
        <w:t>Candida </w:t>
      </w:r>
      <w:r>
        <w:rPr/>
        <w:t>genus.</w:t>
      </w:r>
    </w:p>
    <w:p>
      <w:pPr>
        <w:pStyle w:val="BodyText"/>
        <w:spacing w:line="276" w:lineRule="auto" w:before="241"/>
        <w:ind w:left="477" w:right="133"/>
        <w:jc w:val="both"/>
        <w:rPr>
          <w:sz w:val="25"/>
        </w:rPr>
      </w:pPr>
      <w:r>
        <w:rPr/>
        <w:t>In 1987, at the European conference on the clinical aspects of HIV infections, Danish researchers reported that a 10-day dose of colostrum pills (10 pts/day) is a treatment option for oral candidosis.</w:t>
      </w:r>
      <w:r>
        <w:rPr>
          <w:position w:val="9"/>
          <w:sz w:val="25"/>
        </w:rPr>
        <w:t>159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4"/>
        </w:rPr>
      </w:pPr>
      <w:r>
        <w:rPr/>
        <w:pict>
          <v:line style="position:absolute;mso-position-horizontal-relative:page;mso-position-vertical-relative:paragraph;z-index:1448;mso-wrap-distance-left:0;mso-wrap-distance-right:0" from="63.863998pt,10.758735pt" to="207.883998pt,10.758735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157 </w:t>
      </w:r>
      <w:r>
        <w:rPr>
          <w:sz w:val="20"/>
        </w:rPr>
        <w:t>Swart 1996</w:t>
      </w:r>
    </w:p>
    <w:p>
      <w:pPr>
        <w:spacing w:before="92"/>
        <w:ind w:left="477" w:right="0" w:firstLine="0"/>
        <w:jc w:val="left"/>
        <w:rPr>
          <w:sz w:val="20"/>
        </w:rPr>
      </w:pPr>
      <w:r>
        <w:rPr>
          <w:position w:val="5"/>
          <w:sz w:val="13"/>
        </w:rPr>
        <w:t>158 </w:t>
      </w:r>
      <w:r>
        <w:rPr>
          <w:sz w:val="20"/>
        </w:rPr>
        <w:t>Harmsen 1995</w:t>
      </w:r>
    </w:p>
    <w:p>
      <w:pPr>
        <w:spacing w:before="94"/>
        <w:ind w:left="477" w:right="0" w:firstLine="0"/>
        <w:jc w:val="left"/>
        <w:rPr>
          <w:sz w:val="20"/>
        </w:rPr>
      </w:pPr>
      <w:r>
        <w:rPr>
          <w:position w:val="5"/>
          <w:sz w:val="13"/>
        </w:rPr>
        <w:t>159 </w:t>
      </w:r>
      <w:r>
        <w:rPr>
          <w:sz w:val="20"/>
        </w:rPr>
        <w:t>Christensen 1987</w:t>
      </w:r>
    </w:p>
    <w:p>
      <w:pPr>
        <w:spacing w:after="0"/>
        <w:jc w:val="left"/>
        <w:rPr>
          <w:sz w:val="20"/>
        </w:rPr>
        <w:sectPr>
          <w:footerReference w:type="default" r:id="rId71"/>
          <w:pgSz w:w="14270" w:h="16850"/>
          <w:pgMar w:footer="1891" w:header="0" w:top="1600" w:bottom="2080" w:left="800" w:right="1280"/>
          <w:pgNumType w:start="283"/>
        </w:sectPr>
      </w:pPr>
    </w:p>
    <w:p>
      <w:pPr>
        <w:pStyle w:val="Heading1"/>
        <w:spacing w:before="164"/>
      </w:pPr>
      <w:r>
        <w:rPr/>
        <w:t>Cryptosporidiosis</w:t>
      </w:r>
    </w:p>
    <w:p>
      <w:pPr>
        <w:pStyle w:val="BodyText"/>
        <w:spacing w:line="276" w:lineRule="auto" w:before="299"/>
        <w:ind w:left="477" w:right="134"/>
        <w:jc w:val="both"/>
      </w:pPr>
      <w:r>
        <w:rPr/>
        <w:t>Another very serious concomitant disease of HIV is cryptosporidiosis. It is a parasite infestation that leads to recurrent diarrhoea. Cryptosporidiosis is one of the main reasons why AIDS patients lose weight quickly, because the para- sites deprive the affected body of nutrients, leading to malnutrition and the re- sulting weight loss.</w:t>
      </w:r>
    </w:p>
    <w:p>
      <w:pPr>
        <w:pStyle w:val="BodyText"/>
        <w:spacing w:line="276" w:lineRule="auto" w:before="120"/>
        <w:ind w:left="477" w:right="135"/>
        <w:jc w:val="both"/>
      </w:pPr>
      <w:r>
        <w:rPr/>
        <w:t>In a study on 37 AIDS patients, 10 mg of the colostrum immunoglobulin ‘lac- tobin’</w:t>
      </w:r>
      <w:r>
        <w:rPr>
          <w:spacing w:val="-10"/>
        </w:rPr>
        <w:t> </w:t>
      </w:r>
      <w:r>
        <w:rPr/>
        <w:t>was</w:t>
      </w:r>
      <w:r>
        <w:rPr>
          <w:spacing w:val="-9"/>
        </w:rPr>
        <w:t> </w:t>
      </w:r>
      <w:r>
        <w:rPr/>
        <w:t>orally</w:t>
      </w:r>
      <w:r>
        <w:rPr>
          <w:spacing w:val="-9"/>
        </w:rPr>
        <w:t> </w:t>
      </w:r>
      <w:r>
        <w:rPr/>
        <w:t>administered</w:t>
      </w:r>
      <w:r>
        <w:rPr>
          <w:spacing w:val="-9"/>
        </w:rPr>
        <w:t> </w:t>
      </w:r>
      <w:r>
        <w:rPr/>
        <w:t>to</w:t>
      </w:r>
      <w:r>
        <w:rPr>
          <w:spacing w:val="-7"/>
        </w:rPr>
        <w:t> </w:t>
      </w:r>
      <w:r>
        <w:rPr/>
        <w:t>these</w:t>
      </w:r>
      <w:r>
        <w:rPr>
          <w:spacing w:val="-9"/>
        </w:rPr>
        <w:t> </w:t>
      </w:r>
      <w:r>
        <w:rPr/>
        <w:t>subjects</w:t>
      </w:r>
      <w:r>
        <w:rPr>
          <w:spacing w:val="-9"/>
        </w:rPr>
        <w:t> </w:t>
      </w:r>
      <w:r>
        <w:rPr/>
        <w:t>for</w:t>
      </w:r>
      <w:r>
        <w:rPr>
          <w:spacing w:val="-8"/>
        </w:rPr>
        <w:t> </w:t>
      </w:r>
      <w:r>
        <w:rPr/>
        <w:t>ten</w:t>
      </w:r>
      <w:r>
        <w:rPr>
          <w:spacing w:val="-8"/>
        </w:rPr>
        <w:t> </w:t>
      </w:r>
      <w:r>
        <w:rPr/>
        <w:t>days,</w:t>
      </w:r>
      <w:r>
        <w:rPr>
          <w:spacing w:val="-9"/>
        </w:rPr>
        <w:t> </w:t>
      </w:r>
      <w:r>
        <w:rPr/>
        <w:t>resulting</w:t>
      </w:r>
      <w:r>
        <w:rPr>
          <w:spacing w:val="-9"/>
        </w:rPr>
        <w:t> </w:t>
      </w:r>
      <w:r>
        <w:rPr/>
        <w:t>in</w:t>
      </w:r>
      <w:r>
        <w:rPr>
          <w:spacing w:val="-9"/>
        </w:rPr>
        <w:t> </w:t>
      </w:r>
      <w:r>
        <w:rPr/>
        <w:t>a</w:t>
      </w:r>
      <w:r>
        <w:rPr>
          <w:spacing w:val="-10"/>
        </w:rPr>
        <w:t> </w:t>
      </w:r>
      <w:r>
        <w:rPr/>
        <w:t>good therapeutic</w:t>
      </w:r>
      <w:r>
        <w:rPr>
          <w:spacing w:val="-2"/>
        </w:rPr>
        <w:t> </w:t>
      </w:r>
      <w:r>
        <w:rPr/>
        <w:t>effect.</w:t>
      </w:r>
    </w:p>
    <w:p>
      <w:pPr>
        <w:pStyle w:val="BodyText"/>
        <w:spacing w:line="276" w:lineRule="auto" w:before="242"/>
        <w:ind w:left="477" w:right="130"/>
        <w:jc w:val="both"/>
      </w:pPr>
      <w:r>
        <w:rPr/>
        <w:t>In 31 treatment periods with 29 HIV patients, 21 resulted in a transient (ten- day) or long-term (&gt; four weeks) normalisation of bowel movement; the fre- quency of bowel movements decreased from the previous average of 7.4 per day to 2.2 per day.</w:t>
      </w:r>
    </w:p>
    <w:p>
      <w:pPr>
        <w:pStyle w:val="BodyText"/>
        <w:spacing w:line="276" w:lineRule="auto" w:before="239"/>
        <w:ind w:left="477" w:right="132"/>
        <w:jc w:val="both"/>
        <w:rPr>
          <w:sz w:val="25"/>
        </w:rPr>
      </w:pPr>
      <w:r>
        <w:rPr/>
        <w:t>19 of the patients had no diarrhoea for four weeks, in five patients the</w:t>
      </w:r>
      <w:r>
        <w:rPr>
          <w:spacing w:val="-64"/>
        </w:rPr>
        <w:t> </w:t>
      </w:r>
      <w:r>
        <w:rPr/>
        <w:t>cryptos- poridiosis completely disappeared after taking lactobin.</w:t>
      </w:r>
      <w:r>
        <w:rPr>
          <w:position w:val="9"/>
          <w:sz w:val="25"/>
        </w:rPr>
        <w:t>160</w:t>
      </w:r>
    </w:p>
    <w:p>
      <w:pPr>
        <w:pStyle w:val="BodyText"/>
        <w:rPr>
          <w:sz w:val="42"/>
        </w:rPr>
      </w:pPr>
    </w:p>
    <w:p>
      <w:pPr>
        <w:pStyle w:val="BodyText"/>
        <w:rPr>
          <w:sz w:val="42"/>
        </w:rPr>
      </w:pPr>
    </w:p>
    <w:p>
      <w:pPr>
        <w:pStyle w:val="Heading1"/>
        <w:spacing w:before="251"/>
        <w:jc w:val="both"/>
      </w:pPr>
      <w:r>
        <w:rPr/>
        <w:t>Studies on colostrum in inflammations</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8"/>
        <w:rPr>
          <w:b/>
          <w:i/>
          <w:sz w:val="10"/>
        </w:rPr>
      </w:pPr>
      <w:r>
        <w:rPr/>
        <w:pict>
          <v:line style="position:absolute;mso-position-horizontal-relative:page;mso-position-vertical-relative:paragraph;z-index:1472;mso-wrap-distance-left:0;mso-wrap-distance-right:0" from="63.863998pt,8.412515pt" to="207.883998pt,8.412515pt" stroked="true" strokeweight=".71997pt" strokecolor="#000000">
            <v:stroke dashstyle="solid"/>
            <w10:wrap type="topAndBottom"/>
          </v:line>
        </w:pict>
      </w:r>
    </w:p>
    <w:p>
      <w:pPr>
        <w:pStyle w:val="BodyText"/>
        <w:spacing w:before="7"/>
        <w:rPr>
          <w:b/>
          <w:i/>
          <w:sz w:val="18"/>
        </w:rPr>
      </w:pPr>
    </w:p>
    <w:p>
      <w:pPr>
        <w:spacing w:before="99"/>
        <w:ind w:left="477" w:right="0" w:firstLine="0"/>
        <w:jc w:val="left"/>
        <w:rPr>
          <w:sz w:val="20"/>
        </w:rPr>
      </w:pPr>
      <w:r>
        <w:rPr>
          <w:position w:val="5"/>
          <w:sz w:val="13"/>
        </w:rPr>
        <w:t>160 </w:t>
      </w:r>
      <w:r>
        <w:rPr>
          <w:sz w:val="20"/>
        </w:rPr>
        <w:t>Beth M. Ley: Kolostrum – die natürliche Nahrungsergänzung (‘Colostrum – The Natural Food Supplement’), 1997, p. 69</w:t>
      </w:r>
    </w:p>
    <w:p>
      <w:pPr>
        <w:spacing w:after="0"/>
        <w:jc w:val="left"/>
        <w:rPr>
          <w:sz w:val="20"/>
        </w:rPr>
        <w:sectPr>
          <w:pgSz w:w="14270" w:h="16850"/>
          <w:pgMar w:header="0" w:footer="1891" w:top="1600" w:bottom="2080" w:left="800" w:right="1280"/>
        </w:sectPr>
      </w:pPr>
    </w:p>
    <w:p>
      <w:pPr>
        <w:pStyle w:val="BodyText"/>
        <w:spacing w:line="276" w:lineRule="auto" w:before="181"/>
        <w:ind w:left="477" w:right="139"/>
        <w:jc w:val="both"/>
        <w:rPr>
          <w:sz w:val="25"/>
        </w:rPr>
      </w:pPr>
      <w:r>
        <w:rPr/>
        <w:t>It</w:t>
      </w:r>
      <w:r>
        <w:rPr>
          <w:spacing w:val="-8"/>
        </w:rPr>
        <w:t> </w:t>
      </w:r>
      <w:r>
        <w:rPr/>
        <w:t>has</w:t>
      </w:r>
      <w:r>
        <w:rPr>
          <w:spacing w:val="-6"/>
        </w:rPr>
        <w:t> </w:t>
      </w:r>
      <w:r>
        <w:rPr/>
        <w:t>been</w:t>
      </w:r>
      <w:r>
        <w:rPr>
          <w:spacing w:val="-6"/>
        </w:rPr>
        <w:t> </w:t>
      </w:r>
      <w:r>
        <w:rPr/>
        <w:t>proven</w:t>
      </w:r>
      <w:r>
        <w:rPr>
          <w:spacing w:val="-6"/>
        </w:rPr>
        <w:t> </w:t>
      </w:r>
      <w:r>
        <w:rPr/>
        <w:t>that</w:t>
      </w:r>
      <w:r>
        <w:rPr>
          <w:spacing w:val="-8"/>
        </w:rPr>
        <w:t> </w:t>
      </w:r>
      <w:r>
        <w:rPr/>
        <w:t>the</w:t>
      </w:r>
      <w:r>
        <w:rPr>
          <w:spacing w:val="-6"/>
        </w:rPr>
        <w:t> </w:t>
      </w:r>
      <w:r>
        <w:rPr/>
        <w:t>ingredients</w:t>
      </w:r>
      <w:r>
        <w:rPr>
          <w:spacing w:val="-6"/>
        </w:rPr>
        <w:t> </w:t>
      </w:r>
      <w:r>
        <w:rPr/>
        <w:t>contained</w:t>
      </w:r>
      <w:r>
        <w:rPr>
          <w:spacing w:val="-7"/>
        </w:rPr>
        <w:t> </w:t>
      </w:r>
      <w:r>
        <w:rPr/>
        <w:t>in</w:t>
      </w:r>
      <w:r>
        <w:rPr>
          <w:spacing w:val="-8"/>
        </w:rPr>
        <w:t> </w:t>
      </w:r>
      <w:r>
        <w:rPr/>
        <w:t>colostrum</w:t>
      </w:r>
      <w:r>
        <w:rPr>
          <w:spacing w:val="-7"/>
        </w:rPr>
        <w:t> </w:t>
      </w:r>
      <w:r>
        <w:rPr/>
        <w:t>prevent</w:t>
      </w:r>
      <w:r>
        <w:rPr>
          <w:spacing w:val="-7"/>
        </w:rPr>
        <w:t> </w:t>
      </w:r>
      <w:r>
        <w:rPr/>
        <w:t>a</w:t>
      </w:r>
      <w:r>
        <w:rPr>
          <w:spacing w:val="-8"/>
        </w:rPr>
        <w:t> </w:t>
      </w:r>
      <w:r>
        <w:rPr/>
        <w:t>previ- ously provoked inflammation.</w:t>
      </w:r>
      <w:r>
        <w:rPr>
          <w:position w:val="9"/>
          <w:sz w:val="25"/>
        </w:rPr>
        <w:t>161</w:t>
      </w:r>
    </w:p>
    <w:p>
      <w:pPr>
        <w:pStyle w:val="Heading1"/>
      </w:pPr>
      <w:r>
        <w:rPr/>
        <w:t>Individual effect in autoimmune diseases</w:t>
      </w:r>
    </w:p>
    <w:p>
      <w:pPr>
        <w:pStyle w:val="BodyText"/>
        <w:spacing w:line="276" w:lineRule="auto" w:before="299"/>
        <w:ind w:left="477" w:right="135"/>
        <w:jc w:val="both"/>
        <w:rPr>
          <w:sz w:val="25"/>
        </w:rPr>
      </w:pPr>
      <w:r>
        <w:rPr/>
        <w:t>In</w:t>
      </w:r>
      <w:r>
        <w:rPr>
          <w:spacing w:val="-9"/>
        </w:rPr>
        <w:t> </w:t>
      </w:r>
      <w:r>
        <w:rPr/>
        <w:t>the</w:t>
      </w:r>
      <w:r>
        <w:rPr>
          <w:spacing w:val="-8"/>
        </w:rPr>
        <w:t> </w:t>
      </w:r>
      <w:r>
        <w:rPr/>
        <w:t>case</w:t>
      </w:r>
      <w:r>
        <w:rPr>
          <w:spacing w:val="-11"/>
        </w:rPr>
        <w:t> </w:t>
      </w:r>
      <w:r>
        <w:rPr/>
        <w:t>of</w:t>
      </w:r>
      <w:r>
        <w:rPr>
          <w:spacing w:val="-11"/>
        </w:rPr>
        <w:t> </w:t>
      </w:r>
      <w:r>
        <w:rPr/>
        <w:t>autoimmune</w:t>
      </w:r>
      <w:r>
        <w:rPr>
          <w:spacing w:val="-8"/>
        </w:rPr>
        <w:t> </w:t>
      </w:r>
      <w:r>
        <w:rPr/>
        <w:t>diseases,</w:t>
      </w:r>
      <w:r>
        <w:rPr>
          <w:spacing w:val="-8"/>
        </w:rPr>
        <w:t> </w:t>
      </w:r>
      <w:r>
        <w:rPr/>
        <w:t>it</w:t>
      </w:r>
      <w:r>
        <w:rPr>
          <w:spacing w:val="-12"/>
        </w:rPr>
        <w:t> </w:t>
      </w:r>
      <w:r>
        <w:rPr/>
        <w:t>is</w:t>
      </w:r>
      <w:r>
        <w:rPr>
          <w:spacing w:val="-9"/>
        </w:rPr>
        <w:t> </w:t>
      </w:r>
      <w:r>
        <w:rPr/>
        <w:t>important</w:t>
      </w:r>
      <w:r>
        <w:rPr>
          <w:spacing w:val="-9"/>
        </w:rPr>
        <w:t> </w:t>
      </w:r>
      <w:r>
        <w:rPr/>
        <w:t>that</w:t>
      </w:r>
      <w:r>
        <w:rPr>
          <w:spacing w:val="-9"/>
        </w:rPr>
        <w:t> </w:t>
      </w:r>
      <w:r>
        <w:rPr/>
        <w:t>they</w:t>
      </w:r>
      <w:r>
        <w:rPr>
          <w:spacing w:val="-9"/>
        </w:rPr>
        <w:t> </w:t>
      </w:r>
      <w:r>
        <w:rPr/>
        <w:t>are</w:t>
      </w:r>
      <w:r>
        <w:rPr>
          <w:spacing w:val="-10"/>
        </w:rPr>
        <w:t> </w:t>
      </w:r>
      <w:r>
        <w:rPr/>
        <w:t>treated</w:t>
      </w:r>
      <w:r>
        <w:rPr>
          <w:spacing w:val="-10"/>
        </w:rPr>
        <w:t> </w:t>
      </w:r>
      <w:r>
        <w:rPr/>
        <w:t>with</w:t>
      </w:r>
      <w:r>
        <w:rPr>
          <w:spacing w:val="-9"/>
        </w:rPr>
        <w:t> </w:t>
      </w:r>
      <w:r>
        <w:rPr/>
        <w:t>an immune regulator that calms or stimulates the immune system when needed. This is exactly what a peptide in colostrum called ‘Proline Rich Polypeptide’ (PRP) can accomplish, thus providing relief to the patients</w:t>
      </w:r>
      <w:r>
        <w:rPr>
          <w:spacing w:val="-6"/>
        </w:rPr>
        <w:t> </w:t>
      </w:r>
      <w:r>
        <w:rPr/>
        <w:t>individually.</w:t>
      </w:r>
      <w:r>
        <w:rPr>
          <w:position w:val="9"/>
          <w:sz w:val="25"/>
        </w:rPr>
        <w:t>162</w:t>
      </w:r>
    </w:p>
    <w:p>
      <w:pPr>
        <w:pStyle w:val="Heading2"/>
        <w:spacing w:before="240"/>
      </w:pPr>
      <w:r>
        <w:rPr/>
        <w:t>Studies on colostrum in diabetes</w:t>
      </w:r>
    </w:p>
    <w:p>
      <w:pPr>
        <w:pStyle w:val="BodyText"/>
        <w:spacing w:line="276" w:lineRule="auto" w:before="304"/>
        <w:ind w:left="477" w:right="133"/>
        <w:jc w:val="both"/>
        <w:rPr>
          <w:sz w:val="25"/>
        </w:rPr>
      </w:pPr>
      <w:r>
        <w:rPr/>
        <w:t>IGF-1 found in colostrum stimulates glucose utilisation and has proven suc- cessful</w:t>
      </w:r>
      <w:r>
        <w:rPr>
          <w:spacing w:val="-15"/>
        </w:rPr>
        <w:t> </w:t>
      </w:r>
      <w:r>
        <w:rPr/>
        <w:t>in</w:t>
      </w:r>
      <w:r>
        <w:rPr>
          <w:spacing w:val="-13"/>
        </w:rPr>
        <w:t> </w:t>
      </w:r>
      <w:r>
        <w:rPr/>
        <w:t>the</w:t>
      </w:r>
      <w:r>
        <w:rPr>
          <w:spacing w:val="-12"/>
        </w:rPr>
        <w:t> </w:t>
      </w:r>
      <w:r>
        <w:rPr/>
        <w:t>treatment</w:t>
      </w:r>
      <w:r>
        <w:rPr>
          <w:spacing w:val="-14"/>
        </w:rPr>
        <w:t> </w:t>
      </w:r>
      <w:r>
        <w:rPr/>
        <w:t>of</w:t>
      </w:r>
      <w:r>
        <w:rPr>
          <w:spacing w:val="-13"/>
        </w:rPr>
        <w:t> </w:t>
      </w:r>
      <w:r>
        <w:rPr/>
        <w:t>diabetes</w:t>
      </w:r>
      <w:r>
        <w:rPr>
          <w:spacing w:val="-13"/>
        </w:rPr>
        <w:t> </w:t>
      </w:r>
      <w:r>
        <w:rPr/>
        <w:t>as</w:t>
      </w:r>
      <w:r>
        <w:rPr>
          <w:spacing w:val="-13"/>
        </w:rPr>
        <w:t> </w:t>
      </w:r>
      <w:r>
        <w:rPr/>
        <w:t>it</w:t>
      </w:r>
      <w:r>
        <w:rPr>
          <w:spacing w:val="-15"/>
        </w:rPr>
        <w:t> </w:t>
      </w:r>
      <w:r>
        <w:rPr/>
        <w:t>is</w:t>
      </w:r>
      <w:r>
        <w:rPr>
          <w:spacing w:val="-13"/>
        </w:rPr>
        <w:t> </w:t>
      </w:r>
      <w:r>
        <w:rPr/>
        <w:t>an</w:t>
      </w:r>
      <w:r>
        <w:rPr>
          <w:spacing w:val="-13"/>
        </w:rPr>
        <w:t> </w:t>
      </w:r>
      <w:r>
        <w:rPr/>
        <w:t>effective</w:t>
      </w:r>
      <w:r>
        <w:rPr>
          <w:spacing w:val="-13"/>
        </w:rPr>
        <w:t> </w:t>
      </w:r>
      <w:r>
        <w:rPr/>
        <w:t>alternative</w:t>
      </w:r>
      <w:r>
        <w:rPr>
          <w:spacing w:val="-14"/>
        </w:rPr>
        <w:t> </w:t>
      </w:r>
      <w:r>
        <w:rPr/>
        <w:t>to</w:t>
      </w:r>
      <w:r>
        <w:rPr>
          <w:spacing w:val="-13"/>
        </w:rPr>
        <w:t> </w:t>
      </w:r>
      <w:r>
        <w:rPr/>
        <w:t>insulin</w:t>
      </w:r>
      <w:r>
        <w:rPr>
          <w:spacing w:val="-13"/>
        </w:rPr>
        <w:t> </w:t>
      </w:r>
      <w:r>
        <w:rPr/>
        <w:t>and, at the same time, identical to human IGF-1. The IGF level is naturally lower</w:t>
      </w:r>
      <w:r>
        <w:rPr>
          <w:spacing w:val="-40"/>
        </w:rPr>
        <w:t> </w:t>
      </w:r>
      <w:r>
        <w:rPr/>
        <w:t>in diabetics than in healthy</w:t>
      </w:r>
      <w:r>
        <w:rPr>
          <w:spacing w:val="2"/>
        </w:rPr>
        <w:t> </w:t>
      </w:r>
      <w:r>
        <w:rPr/>
        <w:t>people.</w:t>
      </w:r>
      <w:r>
        <w:rPr>
          <w:position w:val="9"/>
          <w:sz w:val="25"/>
        </w:rPr>
        <w:t>163</w:t>
      </w:r>
    </w:p>
    <w:p>
      <w:pPr>
        <w:pStyle w:val="BodyText"/>
        <w:rPr>
          <w:sz w:val="42"/>
        </w:rPr>
      </w:pPr>
    </w:p>
    <w:p>
      <w:pPr>
        <w:pStyle w:val="BodyText"/>
        <w:rPr>
          <w:sz w:val="42"/>
        </w:rPr>
      </w:pPr>
    </w:p>
    <w:p>
      <w:pPr>
        <w:pStyle w:val="Heading2"/>
        <w:spacing w:before="267"/>
      </w:pPr>
      <w:r>
        <w:rPr/>
        <w:t>Studies on colostrum in</w:t>
      </w:r>
      <w:r>
        <w:rPr>
          <w:spacing w:val="-18"/>
        </w:rPr>
        <w:t> </w:t>
      </w:r>
      <w:r>
        <w:rPr/>
        <w:t>arthritis</w:t>
      </w:r>
    </w:p>
    <w:p>
      <w:pPr>
        <w:pStyle w:val="BodyText"/>
        <w:spacing w:line="276" w:lineRule="auto" w:before="304"/>
        <w:ind w:left="477" w:right="131"/>
        <w:jc w:val="both"/>
      </w:pPr>
      <w:r>
        <w:rPr/>
        <w:t>Arthritis, the most common form of inflammatory joint disease, is a</w:t>
      </w:r>
      <w:r>
        <w:rPr>
          <w:spacing w:val="-56"/>
        </w:rPr>
        <w:t> </w:t>
      </w:r>
      <w:r>
        <w:rPr/>
        <w:t>degenera- tive disease that not only affects the joint itself, but also the surrounding tissue throughout the body. In most cases, hand, knee, shoulder, foot and hip joints</w:t>
      </w:r>
    </w:p>
    <w:p>
      <w:pPr>
        <w:pStyle w:val="BodyText"/>
        <w:spacing w:before="8"/>
        <w:rPr>
          <w:sz w:val="28"/>
        </w:rPr>
      </w:pPr>
      <w:r>
        <w:rPr/>
        <w:pict>
          <v:line style="position:absolute;mso-position-horizontal-relative:page;mso-position-vertical-relative:paragraph;z-index:1496;mso-wrap-distance-left:0;mso-wrap-distance-right:0" from="63.863998pt,18.533735pt" to="207.883998pt,18.533735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161 </w:t>
      </w:r>
      <w:r>
        <w:rPr>
          <w:sz w:val="20"/>
        </w:rPr>
        <w:t>Murphey 1993</w:t>
      </w:r>
    </w:p>
    <w:p>
      <w:pPr>
        <w:spacing w:before="92"/>
        <w:ind w:left="477" w:right="0" w:firstLine="0"/>
        <w:jc w:val="left"/>
        <w:rPr>
          <w:sz w:val="20"/>
        </w:rPr>
      </w:pPr>
      <w:r>
        <w:rPr>
          <w:position w:val="5"/>
          <w:sz w:val="13"/>
        </w:rPr>
        <w:t>162 </w:t>
      </w:r>
      <w:r>
        <w:rPr>
          <w:sz w:val="20"/>
        </w:rPr>
        <w:t>Janusz, Lisowski 1993, Arch. Immunol. Ther. Exp. Warz. Vol. 41 (5–6), p. 275–279</w:t>
      </w:r>
    </w:p>
    <w:p>
      <w:pPr>
        <w:spacing w:before="94"/>
        <w:ind w:left="477" w:right="0" w:firstLine="0"/>
        <w:jc w:val="left"/>
        <w:rPr>
          <w:sz w:val="20"/>
        </w:rPr>
      </w:pPr>
      <w:r>
        <w:rPr>
          <w:position w:val="5"/>
          <w:sz w:val="13"/>
        </w:rPr>
        <w:t>163 </w:t>
      </w:r>
      <w:r>
        <w:rPr>
          <w:sz w:val="20"/>
        </w:rPr>
        <w:t>Dohm, Elton et al.: Diabetes, 30 Sept. 1990, p. 1028–1032</w:t>
      </w:r>
    </w:p>
    <w:p>
      <w:pPr>
        <w:spacing w:after="0"/>
        <w:jc w:val="left"/>
        <w:rPr>
          <w:sz w:val="20"/>
        </w:rPr>
        <w:sectPr>
          <w:pgSz w:w="14270" w:h="16850"/>
          <w:pgMar w:header="0" w:footer="1891" w:top="1600" w:bottom="2080" w:left="800" w:right="1280"/>
        </w:sectPr>
      </w:pPr>
    </w:p>
    <w:p>
      <w:pPr>
        <w:pStyle w:val="BodyText"/>
        <w:spacing w:before="181"/>
        <w:ind w:left="477"/>
      </w:pPr>
      <w:r>
        <w:rPr/>
        <w:t>are affected.</w:t>
      </w:r>
    </w:p>
    <w:p>
      <w:pPr>
        <w:pStyle w:val="BodyText"/>
        <w:spacing w:line="276" w:lineRule="auto" w:before="305"/>
        <w:ind w:left="477" w:right="135"/>
        <w:jc w:val="both"/>
      </w:pPr>
      <w:r>
        <w:rPr/>
        <w:t>The joint is inflamed and thickens. This process usually causes bursts of severe pain. Arthritis can occur gradually, but also suddenly, it can affect one or more joints (polyarthritis).</w:t>
      </w:r>
    </w:p>
    <w:p>
      <w:pPr>
        <w:pStyle w:val="BodyText"/>
        <w:spacing w:line="276" w:lineRule="auto" w:before="241"/>
        <w:ind w:left="477" w:right="134"/>
        <w:jc w:val="both"/>
        <w:rPr>
          <w:sz w:val="25"/>
        </w:rPr>
      </w:pPr>
      <w:r>
        <w:rPr/>
        <w:t>Colostrum has a high proportion of interleukin 10, which studies have shown to be an extremely potent anti-inflammatory drug, especially for arthritic joints.</w:t>
      </w:r>
      <w:r>
        <w:rPr>
          <w:position w:val="9"/>
          <w:sz w:val="25"/>
        </w:rPr>
        <w:t>164</w:t>
      </w:r>
    </w:p>
    <w:p>
      <w:pPr>
        <w:pStyle w:val="Heading1"/>
        <w:spacing w:before="222"/>
      </w:pPr>
      <w:r>
        <w:rPr/>
        <w:t>Immunoglobulins are successful in treating many diseases</w:t>
      </w:r>
    </w:p>
    <w:p>
      <w:pPr>
        <w:pStyle w:val="BodyText"/>
        <w:spacing w:line="276" w:lineRule="auto" w:before="299"/>
        <w:ind w:left="477" w:right="131"/>
        <w:jc w:val="both"/>
        <w:rPr>
          <w:sz w:val="25"/>
        </w:rPr>
      </w:pPr>
      <w:r>
        <w:rPr/>
        <w:t>Anaemia, chronic fatigue syndrome, multiple sclerosis, arthritis, thrombocyto- penia,</w:t>
      </w:r>
      <w:r>
        <w:rPr>
          <w:spacing w:val="-25"/>
        </w:rPr>
        <w:t> </w:t>
      </w:r>
      <w:r>
        <w:rPr/>
        <w:t>neutropaenia,</w:t>
      </w:r>
      <w:r>
        <w:rPr>
          <w:spacing w:val="-24"/>
        </w:rPr>
        <w:t> </w:t>
      </w:r>
      <w:r>
        <w:rPr/>
        <w:t>Guillain</w:t>
      </w:r>
      <w:r>
        <w:rPr>
          <w:spacing w:val="-24"/>
        </w:rPr>
        <w:t> </w:t>
      </w:r>
      <w:r>
        <w:rPr/>
        <w:t>Barre</w:t>
      </w:r>
      <w:r>
        <w:rPr>
          <w:spacing w:val="-24"/>
        </w:rPr>
        <w:t> </w:t>
      </w:r>
      <w:r>
        <w:rPr/>
        <w:t>syndrome,</w:t>
      </w:r>
      <w:r>
        <w:rPr>
          <w:spacing w:val="-25"/>
        </w:rPr>
        <w:t> </w:t>
      </w:r>
      <w:r>
        <w:rPr/>
        <w:t>myasthenia</w:t>
      </w:r>
      <w:r>
        <w:rPr>
          <w:spacing w:val="-24"/>
        </w:rPr>
        <w:t> </w:t>
      </w:r>
      <w:r>
        <w:rPr/>
        <w:t>gravis,</w:t>
      </w:r>
      <w:r>
        <w:rPr>
          <w:spacing w:val="-27"/>
        </w:rPr>
        <w:t> </w:t>
      </w:r>
      <w:r>
        <w:rPr/>
        <w:t>Kawasaki</w:t>
      </w:r>
      <w:r>
        <w:rPr>
          <w:spacing w:val="-25"/>
        </w:rPr>
        <w:t> </w:t>
      </w:r>
      <w:r>
        <w:rPr/>
        <w:t>syn- drome,</w:t>
      </w:r>
      <w:r>
        <w:rPr>
          <w:spacing w:val="-18"/>
        </w:rPr>
        <w:t> </w:t>
      </w:r>
      <w:r>
        <w:rPr/>
        <w:t>Crohn's</w:t>
      </w:r>
      <w:r>
        <w:rPr>
          <w:spacing w:val="-22"/>
        </w:rPr>
        <w:t> </w:t>
      </w:r>
      <w:r>
        <w:rPr/>
        <w:t>disease</w:t>
      </w:r>
      <w:r>
        <w:rPr>
          <w:spacing w:val="-15"/>
        </w:rPr>
        <w:t> </w:t>
      </w:r>
      <w:r>
        <w:rPr/>
        <w:t>and</w:t>
      </w:r>
      <w:r>
        <w:rPr>
          <w:spacing w:val="-17"/>
        </w:rPr>
        <w:t> </w:t>
      </w:r>
      <w:r>
        <w:rPr/>
        <w:t>many</w:t>
      </w:r>
      <w:r>
        <w:rPr>
          <w:spacing w:val="-18"/>
        </w:rPr>
        <w:t> </w:t>
      </w:r>
      <w:r>
        <w:rPr/>
        <w:t>other</w:t>
      </w:r>
      <w:r>
        <w:rPr>
          <w:spacing w:val="-17"/>
        </w:rPr>
        <w:t> </w:t>
      </w:r>
      <w:r>
        <w:rPr/>
        <w:t>conditions</w:t>
      </w:r>
      <w:r>
        <w:rPr>
          <w:spacing w:val="-18"/>
        </w:rPr>
        <w:t> </w:t>
      </w:r>
      <w:r>
        <w:rPr/>
        <w:t>have</w:t>
      </w:r>
      <w:r>
        <w:rPr>
          <w:spacing w:val="-17"/>
        </w:rPr>
        <w:t> </w:t>
      </w:r>
      <w:r>
        <w:rPr/>
        <w:t>responded</w:t>
      </w:r>
      <w:r>
        <w:rPr>
          <w:spacing w:val="-18"/>
        </w:rPr>
        <w:t> </w:t>
      </w:r>
      <w:r>
        <w:rPr/>
        <w:t>successfully to treatment with</w:t>
      </w:r>
      <w:r>
        <w:rPr>
          <w:spacing w:val="1"/>
        </w:rPr>
        <w:t> </w:t>
      </w:r>
      <w:r>
        <w:rPr/>
        <w:t>immunoglobulins.</w:t>
      </w:r>
      <w:r>
        <w:rPr>
          <w:position w:val="9"/>
          <w:sz w:val="25"/>
        </w:rPr>
        <w:t>165</w:t>
      </w:r>
    </w:p>
    <w:p>
      <w:pPr>
        <w:pStyle w:val="BodyText"/>
        <w:rPr>
          <w:sz w:val="42"/>
        </w:rPr>
      </w:pPr>
    </w:p>
    <w:p>
      <w:pPr>
        <w:pStyle w:val="BodyText"/>
        <w:spacing w:before="9"/>
        <w:rPr>
          <w:sz w:val="42"/>
        </w:rPr>
      </w:pPr>
    </w:p>
    <w:p>
      <w:pPr>
        <w:pStyle w:val="Heading1"/>
        <w:spacing w:before="1"/>
      </w:pPr>
      <w:r>
        <w:rPr/>
        <w:t>Studies on colostrum in multiple sclerosis (MS)</w:t>
      </w:r>
    </w:p>
    <w:p>
      <w:pPr>
        <w:pStyle w:val="BodyText"/>
        <w:spacing w:line="276" w:lineRule="auto" w:before="299"/>
        <w:ind w:left="477" w:right="134"/>
        <w:jc w:val="both"/>
      </w:pPr>
      <w:r>
        <w:rPr/>
        <w:t>In a study on MS patients, bovine colostrum containing anti-measles -lactoglo- bulin was administered; fifteen of the MS patients were given 100 ml of colos- trum with measles antibodies every day for 30 days, and five others were given colostrum without anti-measles lactoglobulin.</w:t>
      </w:r>
    </w:p>
    <w:p>
      <w:pPr>
        <w:pStyle w:val="BodyText"/>
        <w:rPr>
          <w:sz w:val="20"/>
        </w:rPr>
      </w:pPr>
    </w:p>
    <w:p>
      <w:pPr>
        <w:pStyle w:val="BodyText"/>
        <w:rPr>
          <w:sz w:val="20"/>
        </w:rPr>
      </w:pPr>
    </w:p>
    <w:p>
      <w:pPr>
        <w:pStyle w:val="BodyText"/>
        <w:spacing w:before="10"/>
        <w:rPr>
          <w:sz w:val="22"/>
        </w:rPr>
      </w:pPr>
      <w:r>
        <w:rPr/>
        <w:pict>
          <v:line style="position:absolute;mso-position-horizontal-relative:page;mso-position-vertical-relative:paragraph;z-index:1520;mso-wrap-distance-left:0;mso-wrap-distance-right:0" from="63.863998pt,15.227485pt" to="207.883998pt,15.227485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164 </w:t>
      </w:r>
      <w:r>
        <w:rPr>
          <w:sz w:val="20"/>
        </w:rPr>
        <w:t>Hernell, Olle, University of Umeå, Sweden 1995, Science Apr., p. 231 f.</w:t>
      </w:r>
    </w:p>
    <w:p>
      <w:pPr>
        <w:spacing w:before="94"/>
        <w:ind w:left="477" w:right="0" w:firstLine="0"/>
        <w:jc w:val="left"/>
        <w:rPr>
          <w:sz w:val="20"/>
        </w:rPr>
      </w:pPr>
      <w:r>
        <w:rPr>
          <w:position w:val="5"/>
          <w:sz w:val="13"/>
        </w:rPr>
        <w:t>165 </w:t>
      </w:r>
      <w:r>
        <w:rPr>
          <w:sz w:val="20"/>
        </w:rPr>
        <w:t>Dwyer, New England Journal of Medicine, Jan. 1992, 9, V 326</w:t>
      </w:r>
    </w:p>
    <w:p>
      <w:pPr>
        <w:spacing w:after="0"/>
        <w:jc w:val="left"/>
        <w:rPr>
          <w:sz w:val="20"/>
        </w:rPr>
        <w:sectPr>
          <w:pgSz w:w="14270" w:h="16850"/>
          <w:pgMar w:header="0" w:footer="1891" w:top="1600" w:bottom="2080" w:left="800" w:right="1280"/>
        </w:sectPr>
      </w:pPr>
    </w:p>
    <w:p>
      <w:pPr>
        <w:pStyle w:val="BodyText"/>
        <w:spacing w:line="276" w:lineRule="auto" w:before="181"/>
        <w:ind w:left="477" w:right="132"/>
        <w:jc w:val="both"/>
      </w:pPr>
      <w:r>
        <w:rPr/>
        <w:t>Of the seven patients who received the colostrum with high levels of the mea- sles antibody (NT titer 512-5120), five patients recovered (two showed no change). In the eight patients receiving colostrum with fewer antibodies (NT titre 8-32), improvement was observed in five subjects and no change was ob- served in three subjects. Among the five patients who received non-antibody colostrum,</w:t>
      </w:r>
      <w:r>
        <w:rPr>
          <w:spacing w:val="-14"/>
        </w:rPr>
        <w:t> </w:t>
      </w:r>
      <w:r>
        <w:rPr/>
        <w:t>the</w:t>
      </w:r>
      <w:r>
        <w:rPr>
          <w:spacing w:val="-13"/>
        </w:rPr>
        <w:t> </w:t>
      </w:r>
      <w:r>
        <w:rPr/>
        <w:t>condition</w:t>
      </w:r>
      <w:r>
        <w:rPr>
          <w:spacing w:val="-13"/>
        </w:rPr>
        <w:t> </w:t>
      </w:r>
      <w:r>
        <w:rPr/>
        <w:t>of</w:t>
      </w:r>
      <w:r>
        <w:rPr>
          <w:spacing w:val="-14"/>
        </w:rPr>
        <w:t> </w:t>
      </w:r>
      <w:r>
        <w:rPr/>
        <w:t>two</w:t>
      </w:r>
      <w:r>
        <w:rPr>
          <w:spacing w:val="-16"/>
        </w:rPr>
        <w:t> </w:t>
      </w:r>
      <w:r>
        <w:rPr/>
        <w:t>subjects</w:t>
      </w:r>
      <w:r>
        <w:rPr>
          <w:spacing w:val="-13"/>
        </w:rPr>
        <w:t> </w:t>
      </w:r>
      <w:r>
        <w:rPr/>
        <w:t>remained</w:t>
      </w:r>
      <w:r>
        <w:rPr>
          <w:spacing w:val="-14"/>
        </w:rPr>
        <w:t> </w:t>
      </w:r>
      <w:r>
        <w:rPr/>
        <w:t>constant,</w:t>
      </w:r>
      <w:r>
        <w:rPr>
          <w:spacing w:val="-13"/>
        </w:rPr>
        <w:t> </w:t>
      </w:r>
      <w:r>
        <w:rPr/>
        <w:t>with</w:t>
      </w:r>
      <w:r>
        <w:rPr>
          <w:spacing w:val="-16"/>
        </w:rPr>
        <w:t> </w:t>
      </w:r>
      <w:r>
        <w:rPr/>
        <w:t>three</w:t>
      </w:r>
      <w:r>
        <w:rPr>
          <w:spacing w:val="-14"/>
        </w:rPr>
        <w:t> </w:t>
      </w:r>
      <w:r>
        <w:rPr/>
        <w:t>of</w:t>
      </w:r>
      <w:r>
        <w:rPr>
          <w:spacing w:val="-14"/>
        </w:rPr>
        <w:t> </w:t>
      </w:r>
      <w:r>
        <w:rPr/>
        <w:t>them suffering worsening symptoms. The changes were determined using the table of the </w:t>
      </w:r>
      <w:r>
        <w:rPr>
          <w:i/>
        </w:rPr>
        <w:t>International Federation of Multiple Sclerosis</w:t>
      </w:r>
      <w:r>
        <w:rPr>
          <w:i/>
          <w:spacing w:val="-1"/>
        </w:rPr>
        <w:t> </w:t>
      </w:r>
      <w:r>
        <w:rPr>
          <w:i/>
        </w:rPr>
        <w:t>Societies</w:t>
      </w:r>
      <w:r>
        <w:rPr/>
        <w:t>.</w:t>
      </w:r>
    </w:p>
    <w:p>
      <w:pPr>
        <w:pStyle w:val="BodyText"/>
        <w:spacing w:line="276" w:lineRule="auto" w:before="242"/>
        <w:ind w:left="477" w:right="135"/>
        <w:jc w:val="both"/>
        <w:rPr>
          <w:sz w:val="25"/>
        </w:rPr>
      </w:pPr>
      <w:r>
        <w:rPr/>
        <w:t>The</w:t>
      </w:r>
      <w:r>
        <w:rPr>
          <w:spacing w:val="-24"/>
        </w:rPr>
        <w:t> </w:t>
      </w:r>
      <w:r>
        <w:rPr/>
        <w:t>results</w:t>
      </w:r>
      <w:r>
        <w:rPr>
          <w:spacing w:val="-24"/>
        </w:rPr>
        <w:t> </w:t>
      </w:r>
      <w:r>
        <w:rPr/>
        <w:t>of</w:t>
      </w:r>
      <w:r>
        <w:rPr>
          <w:spacing w:val="-23"/>
        </w:rPr>
        <w:t> </w:t>
      </w:r>
      <w:r>
        <w:rPr/>
        <w:t>this</w:t>
      </w:r>
      <w:r>
        <w:rPr>
          <w:spacing w:val="-25"/>
        </w:rPr>
        <w:t> </w:t>
      </w:r>
      <w:r>
        <w:rPr/>
        <w:t>study</w:t>
      </w:r>
      <w:r>
        <w:rPr>
          <w:spacing w:val="-24"/>
        </w:rPr>
        <w:t> </w:t>
      </w:r>
      <w:r>
        <w:rPr/>
        <w:t>suggest</w:t>
      </w:r>
      <w:r>
        <w:rPr>
          <w:spacing w:val="-24"/>
        </w:rPr>
        <w:t> </w:t>
      </w:r>
      <w:r>
        <w:rPr/>
        <w:t>that</w:t>
      </w:r>
      <w:r>
        <w:rPr>
          <w:spacing w:val="-24"/>
        </w:rPr>
        <w:t> </w:t>
      </w:r>
      <w:r>
        <w:rPr/>
        <w:t>orally</w:t>
      </w:r>
      <w:r>
        <w:rPr>
          <w:spacing w:val="-24"/>
        </w:rPr>
        <w:t> </w:t>
      </w:r>
      <w:r>
        <w:rPr/>
        <w:t>administered</w:t>
      </w:r>
      <w:r>
        <w:rPr>
          <w:spacing w:val="-23"/>
        </w:rPr>
        <w:t> </w:t>
      </w:r>
      <w:r>
        <w:rPr/>
        <w:t>colostrum</w:t>
      </w:r>
      <w:r>
        <w:rPr>
          <w:spacing w:val="-26"/>
        </w:rPr>
        <w:t> </w:t>
      </w:r>
      <w:r>
        <w:rPr/>
        <w:t>with</w:t>
      </w:r>
      <w:r>
        <w:rPr>
          <w:spacing w:val="-24"/>
        </w:rPr>
        <w:t> </w:t>
      </w:r>
      <w:r>
        <w:rPr/>
        <w:t>measles antibodies improves the condition of patients with multiple</w:t>
      </w:r>
      <w:r>
        <w:rPr>
          <w:spacing w:val="-8"/>
        </w:rPr>
        <w:t> </w:t>
      </w:r>
      <w:r>
        <w:rPr/>
        <w:t>sclerosis.</w:t>
      </w:r>
      <w:r>
        <w:rPr>
          <w:position w:val="9"/>
          <w:sz w:val="25"/>
        </w:rPr>
        <w:t>166</w:t>
      </w:r>
    </w:p>
    <w:p>
      <w:pPr>
        <w:pStyle w:val="BodyText"/>
        <w:rPr>
          <w:sz w:val="42"/>
        </w:rPr>
      </w:pPr>
    </w:p>
    <w:p>
      <w:pPr>
        <w:pStyle w:val="BodyText"/>
        <w:rPr>
          <w:sz w:val="42"/>
        </w:rPr>
      </w:pPr>
    </w:p>
    <w:p>
      <w:pPr>
        <w:pStyle w:val="BodyText"/>
        <w:rPr>
          <w:sz w:val="42"/>
        </w:rPr>
      </w:pPr>
    </w:p>
    <w:p>
      <w:pPr>
        <w:pStyle w:val="BodyText"/>
        <w:rPr>
          <w:sz w:val="42"/>
        </w:rPr>
      </w:pPr>
    </w:p>
    <w:p>
      <w:pPr>
        <w:pStyle w:val="BodyText"/>
        <w:spacing w:before="9"/>
        <w:rPr>
          <w:sz w:val="46"/>
        </w:rPr>
      </w:pPr>
    </w:p>
    <w:p>
      <w:pPr>
        <w:pStyle w:val="Heading1"/>
        <w:spacing w:before="1"/>
      </w:pPr>
      <w:r>
        <w:rPr/>
        <w:t>Studies on colostrum in cancer</w:t>
      </w:r>
    </w:p>
    <w:p>
      <w:pPr>
        <w:pStyle w:val="BodyText"/>
        <w:spacing w:line="276" w:lineRule="auto" w:before="299"/>
        <w:ind w:left="477" w:right="134"/>
        <w:jc w:val="both"/>
        <w:rPr>
          <w:sz w:val="25"/>
        </w:rPr>
      </w:pPr>
      <w:r>
        <w:rPr/>
        <w:t>In Japanese studies, it has been shown that the peptide TGF (BC-1) present in colostrum suppressed the growth of osteosarcoma cells (MG-6 3) and had a significant effect on the size of the tumour.</w:t>
      </w:r>
      <w:r>
        <w:rPr>
          <w:position w:val="9"/>
          <w:sz w:val="25"/>
        </w:rPr>
        <w:t>167</w:t>
      </w:r>
    </w:p>
    <w:p>
      <w:pPr>
        <w:pStyle w:val="BodyText"/>
        <w:spacing w:before="242"/>
        <w:ind w:left="477"/>
        <w:jc w:val="both"/>
      </w:pPr>
      <w:r>
        <w:rPr/>
        <w:t>Further</w:t>
      </w:r>
      <w:r>
        <w:rPr>
          <w:spacing w:val="-19"/>
        </w:rPr>
        <w:t> </w:t>
      </w:r>
      <w:r>
        <w:rPr/>
        <w:t>studies</w:t>
      </w:r>
      <w:r>
        <w:rPr>
          <w:spacing w:val="-19"/>
        </w:rPr>
        <w:t> </w:t>
      </w:r>
      <w:r>
        <w:rPr/>
        <w:t>have</w:t>
      </w:r>
      <w:r>
        <w:rPr>
          <w:spacing w:val="-19"/>
        </w:rPr>
        <w:t> </w:t>
      </w:r>
      <w:r>
        <w:rPr/>
        <w:t>shown</w:t>
      </w:r>
      <w:r>
        <w:rPr>
          <w:spacing w:val="-18"/>
        </w:rPr>
        <w:t> </w:t>
      </w:r>
      <w:r>
        <w:rPr/>
        <w:t>that</w:t>
      </w:r>
      <w:r>
        <w:rPr>
          <w:spacing w:val="-20"/>
        </w:rPr>
        <w:t> </w:t>
      </w:r>
      <w:r>
        <w:rPr/>
        <w:t>colostrum</w:t>
      </w:r>
      <w:r>
        <w:rPr>
          <w:spacing w:val="-19"/>
        </w:rPr>
        <w:t> </w:t>
      </w:r>
      <w:r>
        <w:rPr/>
        <w:t>inhibited</w:t>
      </w:r>
      <w:r>
        <w:rPr>
          <w:spacing w:val="-19"/>
        </w:rPr>
        <w:t> </w:t>
      </w:r>
      <w:r>
        <w:rPr/>
        <w:t>the</w:t>
      </w:r>
      <w:r>
        <w:rPr>
          <w:spacing w:val="-18"/>
        </w:rPr>
        <w:t> </w:t>
      </w:r>
      <w:r>
        <w:rPr/>
        <w:t>proliferation</w:t>
      </w:r>
      <w:r>
        <w:rPr>
          <w:spacing w:val="-20"/>
        </w:rPr>
        <w:t> </w:t>
      </w:r>
      <w:r>
        <w:rPr/>
        <w:t>of</w:t>
      </w:r>
      <w:r>
        <w:rPr>
          <w:spacing w:val="-19"/>
        </w:rPr>
        <w:t> </w:t>
      </w:r>
      <w:r>
        <w:rPr/>
        <w:t>human</w:t>
      </w:r>
    </w:p>
    <w:p>
      <w:pPr>
        <w:pStyle w:val="BodyText"/>
        <w:rPr>
          <w:sz w:val="20"/>
        </w:rPr>
      </w:pPr>
    </w:p>
    <w:p>
      <w:pPr>
        <w:pStyle w:val="BodyText"/>
        <w:rPr>
          <w:sz w:val="20"/>
        </w:rPr>
      </w:pPr>
    </w:p>
    <w:p>
      <w:pPr>
        <w:pStyle w:val="BodyText"/>
        <w:spacing w:before="4"/>
        <w:rPr>
          <w:sz w:val="28"/>
        </w:rPr>
      </w:pPr>
      <w:r>
        <w:rPr/>
        <w:pict>
          <v:line style="position:absolute;mso-position-horizontal-relative:page;mso-position-vertical-relative:paragraph;z-index:1544;mso-wrap-distance-left:0;mso-wrap-distance-right:0" from="63.863998pt,18.333735pt" to="207.883998pt,18.333735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166 </w:t>
      </w:r>
      <w:r>
        <w:rPr>
          <w:sz w:val="20"/>
        </w:rPr>
        <w:t>Ebina 1985</w:t>
      </w:r>
    </w:p>
    <w:p>
      <w:pPr>
        <w:spacing w:before="94"/>
        <w:ind w:left="477" w:right="0" w:firstLine="0"/>
        <w:jc w:val="left"/>
        <w:rPr>
          <w:sz w:val="20"/>
        </w:rPr>
      </w:pPr>
      <w:r>
        <w:rPr>
          <w:position w:val="5"/>
          <w:sz w:val="13"/>
        </w:rPr>
        <w:t>167 </w:t>
      </w:r>
      <w:r>
        <w:rPr>
          <w:sz w:val="20"/>
        </w:rPr>
        <w:t>Tokuyama 1989</w:t>
      </w:r>
    </w:p>
    <w:p>
      <w:pPr>
        <w:spacing w:after="0"/>
        <w:jc w:val="left"/>
        <w:rPr>
          <w:sz w:val="20"/>
        </w:rPr>
        <w:sectPr>
          <w:pgSz w:w="14270" w:h="16850"/>
          <w:pgMar w:header="0" w:footer="1891" w:top="1600" w:bottom="2080" w:left="800" w:right="1280"/>
        </w:sectPr>
      </w:pPr>
    </w:p>
    <w:p>
      <w:pPr>
        <w:pStyle w:val="BodyText"/>
        <w:spacing w:line="276" w:lineRule="auto" w:before="181"/>
        <w:ind w:left="477" w:right="137"/>
        <w:jc w:val="both"/>
      </w:pPr>
      <w:r>
        <w:rPr/>
        <w:t>T</w:t>
      </w:r>
      <w:r>
        <w:rPr>
          <w:spacing w:val="-11"/>
        </w:rPr>
        <w:t> </w:t>
      </w:r>
      <w:r>
        <w:rPr/>
        <w:t>cells</w:t>
      </w:r>
      <w:r>
        <w:rPr>
          <w:spacing w:val="-9"/>
        </w:rPr>
        <w:t> </w:t>
      </w:r>
      <w:r>
        <w:rPr/>
        <w:t>by</w:t>
      </w:r>
      <w:r>
        <w:rPr>
          <w:spacing w:val="-9"/>
        </w:rPr>
        <w:t> </w:t>
      </w:r>
      <w:r>
        <w:rPr/>
        <w:t>suppressing</w:t>
      </w:r>
      <w:r>
        <w:rPr>
          <w:spacing w:val="-10"/>
        </w:rPr>
        <w:t> </w:t>
      </w:r>
      <w:r>
        <w:rPr/>
        <w:t>interleukin-2</w:t>
      </w:r>
      <w:r>
        <w:rPr>
          <w:spacing w:val="-10"/>
        </w:rPr>
        <w:t> </w:t>
      </w:r>
      <w:r>
        <w:rPr/>
        <w:t>production.</w:t>
      </w:r>
      <w:r>
        <w:rPr>
          <w:spacing w:val="-8"/>
        </w:rPr>
        <w:t> </w:t>
      </w:r>
      <w:r>
        <w:rPr/>
        <w:t>Scientists</w:t>
      </w:r>
      <w:r>
        <w:rPr>
          <w:spacing w:val="-9"/>
        </w:rPr>
        <w:t> </w:t>
      </w:r>
      <w:r>
        <w:rPr/>
        <w:t>suspect</w:t>
      </w:r>
      <w:r>
        <w:rPr>
          <w:spacing w:val="-11"/>
        </w:rPr>
        <w:t> </w:t>
      </w:r>
      <w:r>
        <w:rPr/>
        <w:t>that</w:t>
      </w:r>
      <w:r>
        <w:rPr>
          <w:spacing w:val="-9"/>
        </w:rPr>
        <w:t> </w:t>
      </w:r>
      <w:r>
        <w:rPr/>
        <w:t>lactofer- rin contained in colostrum is capable of binding iron ions needed for tumour growth.</w:t>
      </w:r>
    </w:p>
    <w:p>
      <w:pPr>
        <w:pStyle w:val="BodyText"/>
        <w:spacing w:line="276" w:lineRule="auto" w:before="242"/>
        <w:ind w:left="477" w:right="133"/>
        <w:jc w:val="both"/>
        <w:rPr>
          <w:sz w:val="25"/>
        </w:rPr>
      </w:pPr>
      <w:r>
        <w:rPr/>
        <w:t>Lactoferrin</w:t>
      </w:r>
      <w:r>
        <w:rPr>
          <w:spacing w:val="-14"/>
        </w:rPr>
        <w:t> </w:t>
      </w:r>
      <w:r>
        <w:rPr/>
        <w:t>appears</w:t>
      </w:r>
      <w:r>
        <w:rPr>
          <w:spacing w:val="-14"/>
        </w:rPr>
        <w:t> </w:t>
      </w:r>
      <w:r>
        <w:rPr/>
        <w:t>to</w:t>
      </w:r>
      <w:r>
        <w:rPr>
          <w:spacing w:val="-15"/>
        </w:rPr>
        <w:t> </w:t>
      </w:r>
      <w:r>
        <w:rPr/>
        <w:t>play</w:t>
      </w:r>
      <w:r>
        <w:rPr>
          <w:spacing w:val="-15"/>
        </w:rPr>
        <w:t> </w:t>
      </w:r>
      <w:r>
        <w:rPr/>
        <w:t>additional</w:t>
      </w:r>
      <w:r>
        <w:rPr>
          <w:spacing w:val="-18"/>
        </w:rPr>
        <w:t> </w:t>
      </w:r>
      <w:r>
        <w:rPr/>
        <w:t>roles</w:t>
      </w:r>
      <w:r>
        <w:rPr>
          <w:spacing w:val="-15"/>
        </w:rPr>
        <w:t> </w:t>
      </w:r>
      <w:r>
        <w:rPr/>
        <w:t>in</w:t>
      </w:r>
      <w:r>
        <w:rPr>
          <w:spacing w:val="-15"/>
        </w:rPr>
        <w:t> </w:t>
      </w:r>
      <w:r>
        <w:rPr/>
        <w:t>the</w:t>
      </w:r>
      <w:r>
        <w:rPr>
          <w:spacing w:val="-14"/>
        </w:rPr>
        <w:t> </w:t>
      </w:r>
      <w:r>
        <w:rPr/>
        <w:t>fight</w:t>
      </w:r>
      <w:r>
        <w:rPr>
          <w:spacing w:val="-15"/>
        </w:rPr>
        <w:t> </w:t>
      </w:r>
      <w:r>
        <w:rPr/>
        <w:t>against</w:t>
      </w:r>
      <w:r>
        <w:rPr>
          <w:spacing w:val="-16"/>
        </w:rPr>
        <w:t> </w:t>
      </w:r>
      <w:r>
        <w:rPr/>
        <w:t>cancer</w:t>
      </w:r>
      <w:r>
        <w:rPr>
          <w:spacing w:val="-9"/>
        </w:rPr>
        <w:t> </w:t>
      </w:r>
      <w:r>
        <w:rPr/>
        <w:t>according to scientific studies: thus, the molecular form of lactoferrin with ribonuclease activity might also be beneficial against breast</w:t>
      </w:r>
      <w:r>
        <w:rPr>
          <w:spacing w:val="-4"/>
        </w:rPr>
        <w:t> </w:t>
      </w:r>
      <w:r>
        <w:rPr/>
        <w:t>cancer.</w:t>
      </w:r>
      <w:r>
        <w:rPr>
          <w:position w:val="9"/>
          <w:sz w:val="25"/>
        </w:rPr>
        <w:t>168</w:t>
      </w:r>
    </w:p>
    <w:p>
      <w:pPr>
        <w:pStyle w:val="BodyText"/>
        <w:spacing w:line="276" w:lineRule="auto" w:before="239"/>
        <w:ind w:left="477" w:right="133"/>
        <w:jc w:val="both"/>
        <w:rPr>
          <w:sz w:val="25"/>
        </w:rPr>
      </w:pPr>
      <w:r>
        <w:rPr/>
        <w:t>Other studies have shown that the growth factors TGF (transforming growth factors) contained in colostrum have a cancer-inhibiting effect.</w:t>
      </w:r>
      <w:r>
        <w:rPr>
          <w:position w:val="9"/>
          <w:sz w:val="25"/>
        </w:rPr>
        <w:t>169 </w:t>
      </w:r>
      <w:r>
        <w:rPr/>
        <w:t>In another study, scientists were able to prove in animal experiments on mice that the lac- toferrin in colostrum inhibits the growth of transplanted tumours by v-ras- transformed fibroblasts and the methylcholanthrene-induced fibrosarcoma. In addition, lactoferrin reduced colonisation of the lung of B16-F10 melanoma cells in genetically identical mice.</w:t>
      </w:r>
      <w:r>
        <w:rPr>
          <w:position w:val="9"/>
          <w:sz w:val="25"/>
        </w:rPr>
        <w:t>170 </w:t>
      </w:r>
      <w:r>
        <w:rPr/>
        <w:t>The researchers believe that lactoferrin might play a role in the fight against tumour formation and tumour growth.</w:t>
      </w:r>
      <w:r>
        <w:rPr>
          <w:position w:val="9"/>
          <w:sz w:val="25"/>
        </w:rPr>
        <w:t>171</w:t>
      </w:r>
    </w:p>
    <w:p>
      <w:pPr>
        <w:pStyle w:val="BodyText"/>
        <w:spacing w:line="276" w:lineRule="auto" w:before="241"/>
        <w:ind w:left="477" w:right="132"/>
        <w:jc w:val="both"/>
        <w:rPr>
          <w:sz w:val="25"/>
        </w:rPr>
      </w:pPr>
      <w:r>
        <w:rPr/>
        <w:t>The</w:t>
      </w:r>
      <w:r>
        <w:rPr>
          <w:spacing w:val="-9"/>
        </w:rPr>
        <w:t> </w:t>
      </w:r>
      <w:r>
        <w:rPr/>
        <w:t>glycoproteins</w:t>
      </w:r>
      <w:r>
        <w:rPr>
          <w:spacing w:val="-9"/>
        </w:rPr>
        <w:t> </w:t>
      </w:r>
      <w:r>
        <w:rPr/>
        <w:t>contained</w:t>
      </w:r>
      <w:r>
        <w:rPr>
          <w:spacing w:val="-10"/>
        </w:rPr>
        <w:t> </w:t>
      </w:r>
      <w:r>
        <w:rPr/>
        <w:t>in</w:t>
      </w:r>
      <w:r>
        <w:rPr>
          <w:spacing w:val="-9"/>
        </w:rPr>
        <w:t> </w:t>
      </w:r>
      <w:r>
        <w:rPr/>
        <w:t>bovine</w:t>
      </w:r>
      <w:r>
        <w:rPr>
          <w:spacing w:val="-9"/>
        </w:rPr>
        <w:t> </w:t>
      </w:r>
      <w:r>
        <w:rPr/>
        <w:t>colostrum</w:t>
      </w:r>
      <w:r>
        <w:rPr>
          <w:spacing w:val="-9"/>
        </w:rPr>
        <w:t> </w:t>
      </w:r>
      <w:r>
        <w:rPr/>
        <w:t>inhibit</w:t>
      </w:r>
      <w:r>
        <w:rPr>
          <w:spacing w:val="-10"/>
        </w:rPr>
        <w:t> </w:t>
      </w:r>
      <w:r>
        <w:rPr/>
        <w:t>the</w:t>
      </w:r>
      <w:r>
        <w:rPr>
          <w:spacing w:val="-8"/>
        </w:rPr>
        <w:t> </w:t>
      </w:r>
      <w:r>
        <w:rPr/>
        <w:t>settlement</w:t>
      </w:r>
      <w:r>
        <w:rPr>
          <w:spacing w:val="-10"/>
        </w:rPr>
        <w:t> </w:t>
      </w:r>
      <w:r>
        <w:rPr/>
        <w:t>of</w:t>
      </w:r>
      <w:r>
        <w:rPr>
          <w:spacing w:val="-6"/>
        </w:rPr>
        <w:t> </w:t>
      </w:r>
      <w:r>
        <w:rPr/>
        <w:t>Hel- icobacter pylori bacteria, which are thought to cause gastric cancer.</w:t>
      </w:r>
      <w:r>
        <w:rPr>
          <w:position w:val="9"/>
          <w:sz w:val="25"/>
        </w:rPr>
        <w:t>172 </w:t>
      </w:r>
      <w:r>
        <w:rPr/>
        <w:t>Colos- trum also shows results in sarcoma</w:t>
      </w:r>
      <w:r>
        <w:rPr>
          <w:spacing w:val="3"/>
        </w:rPr>
        <w:t> </w:t>
      </w:r>
      <w:r>
        <w:rPr/>
        <w:t>S-180.</w:t>
      </w:r>
      <w:r>
        <w:rPr>
          <w:position w:val="9"/>
          <w:sz w:val="25"/>
        </w:rPr>
        <w:t>173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3"/>
        </w:rPr>
      </w:pPr>
      <w:r>
        <w:rPr/>
        <w:pict>
          <v:line style="position:absolute;mso-position-horizontal-relative:page;mso-position-vertical-relative:paragraph;z-index:1568;mso-wrap-distance-left:0;mso-wrap-distance-right:0" from="63.863998pt,10.048735pt" to="207.883998pt,10.048735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168 </w:t>
      </w:r>
      <w:r>
        <w:rPr>
          <w:sz w:val="20"/>
        </w:rPr>
        <w:t>Adamik 1996</w:t>
      </w:r>
    </w:p>
    <w:p>
      <w:pPr>
        <w:spacing w:before="92"/>
        <w:ind w:left="477" w:right="0" w:firstLine="0"/>
        <w:jc w:val="left"/>
        <w:rPr>
          <w:sz w:val="20"/>
        </w:rPr>
      </w:pPr>
      <w:r>
        <w:rPr>
          <w:position w:val="5"/>
          <w:sz w:val="13"/>
        </w:rPr>
        <w:t>169 </w:t>
      </w:r>
      <w:r>
        <w:rPr>
          <w:sz w:val="20"/>
        </w:rPr>
        <w:t>Tokuyama 1989</w:t>
      </w:r>
    </w:p>
    <w:p>
      <w:pPr>
        <w:spacing w:before="94"/>
        <w:ind w:left="477" w:right="0" w:firstLine="0"/>
        <w:jc w:val="left"/>
        <w:rPr>
          <w:sz w:val="20"/>
        </w:rPr>
      </w:pPr>
      <w:r>
        <w:rPr>
          <w:position w:val="5"/>
          <w:sz w:val="13"/>
        </w:rPr>
        <w:t>170 </w:t>
      </w:r>
      <w:r>
        <w:rPr>
          <w:sz w:val="20"/>
        </w:rPr>
        <w:t>Beth M. Ley: Kolostrum – die natürliche Nahrungsergänzung (‘Colostrum – The Natural Food Supplement’), 1997, p. 83</w:t>
      </w:r>
    </w:p>
    <w:p>
      <w:pPr>
        <w:spacing w:before="94"/>
        <w:ind w:left="477" w:right="0" w:firstLine="0"/>
        <w:jc w:val="left"/>
        <w:rPr>
          <w:sz w:val="20"/>
        </w:rPr>
      </w:pPr>
      <w:r>
        <w:rPr>
          <w:position w:val="5"/>
          <w:sz w:val="13"/>
        </w:rPr>
        <w:t>171 </w:t>
      </w:r>
      <w:r>
        <w:rPr>
          <w:sz w:val="20"/>
        </w:rPr>
        <w:t>Bezault 1994</w:t>
      </w:r>
    </w:p>
    <w:p>
      <w:pPr>
        <w:spacing w:before="95"/>
        <w:ind w:left="477" w:right="0" w:firstLine="0"/>
        <w:jc w:val="left"/>
        <w:rPr>
          <w:sz w:val="20"/>
        </w:rPr>
      </w:pPr>
      <w:r>
        <w:rPr/>
        <w:drawing>
          <wp:anchor distT="0" distB="0" distL="0" distR="0" allowOverlap="1" layoutInCell="1" locked="0" behindDoc="1" simplePos="0" relativeHeight="267169367">
            <wp:simplePos x="0" y="0"/>
            <wp:positionH relativeFrom="page">
              <wp:posOffset>896463</wp:posOffset>
            </wp:positionH>
            <wp:positionV relativeFrom="paragraph">
              <wp:posOffset>142597</wp:posOffset>
            </wp:positionV>
            <wp:extent cx="6379583" cy="902106"/>
            <wp:effectExtent l="0" t="0" r="0" b="0"/>
            <wp:wrapNone/>
            <wp:docPr id="101" name="image2.jpeg" descr=""/>
            <wp:cNvGraphicFramePr>
              <a:graphicFrameLocks noChangeAspect="1"/>
            </wp:cNvGraphicFramePr>
            <a:graphic>
              <a:graphicData uri="http://schemas.openxmlformats.org/drawingml/2006/picture">
                <pic:pic>
                  <pic:nvPicPr>
                    <pic:cNvPr id="102"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172 </w:t>
      </w:r>
      <w:r>
        <w:rPr>
          <w:sz w:val="20"/>
        </w:rPr>
        <w:t>Hernell, Olle, University of Umeå, Sweden, Science Apr. 1995, p. 231 f.</w:t>
      </w:r>
    </w:p>
    <w:p>
      <w:pPr>
        <w:spacing w:before="94"/>
        <w:ind w:left="477" w:right="0" w:firstLine="0"/>
        <w:jc w:val="left"/>
        <w:rPr>
          <w:sz w:val="20"/>
        </w:rPr>
      </w:pPr>
      <w:r>
        <w:rPr>
          <w:position w:val="5"/>
          <w:sz w:val="13"/>
        </w:rPr>
        <w:t>173 </w:t>
      </w:r>
      <w:r>
        <w:rPr>
          <w:sz w:val="20"/>
        </w:rPr>
        <w:t>Janusz, Lisowski, Arch. Immunol. Ther. Exp. Warz. 1993, Vol. 41 (5–6), p. 275–279</w:t>
      </w:r>
    </w:p>
    <w:p>
      <w:pPr>
        <w:spacing w:after="0"/>
        <w:jc w:val="left"/>
        <w:rPr>
          <w:sz w:val="20"/>
        </w:rPr>
        <w:sectPr>
          <w:footerReference w:type="default" r:id="rId72"/>
          <w:pgSz w:w="14270" w:h="16850"/>
          <w:pgMar w:footer="527" w:header="0" w:top="1600" w:bottom="720" w:left="800" w:right="1280"/>
          <w:pgNumType w:start="288"/>
        </w:sectPr>
      </w:pPr>
    </w:p>
    <w:p>
      <w:pPr>
        <w:pStyle w:val="Heading2"/>
        <w:spacing w:before="181"/>
      </w:pPr>
      <w:r>
        <w:rPr/>
        <w:t>Studies on colostrum in muscle building</w:t>
      </w:r>
    </w:p>
    <w:p>
      <w:pPr>
        <w:spacing w:line="261" w:lineRule="auto" w:before="288"/>
        <w:ind w:left="477" w:right="132" w:firstLine="0"/>
        <w:jc w:val="both"/>
        <w:rPr>
          <w:b/>
          <w:i/>
          <w:sz w:val="40"/>
        </w:rPr>
      </w:pPr>
      <w:r>
        <w:rPr>
          <w:b/>
          <w:i/>
          <w:sz w:val="40"/>
        </w:rPr>
        <w:t>Studies</w:t>
      </w:r>
      <w:r>
        <w:rPr>
          <w:b/>
          <w:i/>
          <w:spacing w:val="-30"/>
          <w:sz w:val="40"/>
        </w:rPr>
        <w:t> </w:t>
      </w:r>
      <w:r>
        <w:rPr>
          <w:b/>
          <w:i/>
          <w:sz w:val="40"/>
        </w:rPr>
        <w:t>on</w:t>
      </w:r>
      <w:r>
        <w:rPr>
          <w:b/>
          <w:i/>
          <w:spacing w:val="-31"/>
          <w:sz w:val="40"/>
        </w:rPr>
        <w:t> </w:t>
      </w:r>
      <w:r>
        <w:rPr>
          <w:b/>
          <w:i/>
          <w:sz w:val="40"/>
        </w:rPr>
        <w:t>growth</w:t>
      </w:r>
      <w:r>
        <w:rPr>
          <w:b/>
          <w:i/>
          <w:spacing w:val="-30"/>
          <w:sz w:val="40"/>
        </w:rPr>
        <w:t> </w:t>
      </w:r>
      <w:r>
        <w:rPr>
          <w:b/>
          <w:i/>
          <w:sz w:val="40"/>
        </w:rPr>
        <w:t>factors</w:t>
      </w:r>
      <w:r>
        <w:rPr>
          <w:b/>
          <w:i/>
          <w:spacing w:val="-29"/>
          <w:sz w:val="40"/>
        </w:rPr>
        <w:t> </w:t>
      </w:r>
      <w:r>
        <w:rPr>
          <w:b/>
          <w:i/>
          <w:sz w:val="40"/>
        </w:rPr>
        <w:t>in</w:t>
      </w:r>
      <w:r>
        <w:rPr>
          <w:b/>
          <w:i/>
          <w:spacing w:val="-29"/>
          <w:sz w:val="40"/>
        </w:rPr>
        <w:t> </w:t>
      </w:r>
      <w:r>
        <w:rPr>
          <w:b/>
          <w:i/>
          <w:sz w:val="40"/>
        </w:rPr>
        <w:t>colostrum</w:t>
      </w:r>
      <w:r>
        <w:rPr>
          <w:b/>
          <w:i/>
          <w:spacing w:val="-30"/>
          <w:sz w:val="40"/>
        </w:rPr>
        <w:t> </w:t>
      </w:r>
      <w:r>
        <w:rPr>
          <w:b/>
          <w:i/>
          <w:sz w:val="40"/>
        </w:rPr>
        <w:t>(IFG-1,</w:t>
      </w:r>
      <w:r>
        <w:rPr>
          <w:b/>
          <w:i/>
          <w:spacing w:val="-28"/>
          <w:sz w:val="40"/>
        </w:rPr>
        <w:t> </w:t>
      </w:r>
      <w:r>
        <w:rPr>
          <w:b/>
          <w:i/>
          <w:sz w:val="40"/>
        </w:rPr>
        <w:t>PDGF,</w:t>
      </w:r>
      <w:r>
        <w:rPr>
          <w:b/>
          <w:i/>
          <w:spacing w:val="-30"/>
          <w:sz w:val="40"/>
        </w:rPr>
        <w:t> </w:t>
      </w:r>
      <w:r>
        <w:rPr>
          <w:b/>
          <w:i/>
          <w:sz w:val="40"/>
        </w:rPr>
        <w:t>EGF</w:t>
      </w:r>
      <w:r>
        <w:rPr>
          <w:b/>
          <w:i/>
          <w:spacing w:val="-30"/>
          <w:sz w:val="40"/>
        </w:rPr>
        <w:t> </w:t>
      </w:r>
      <w:r>
        <w:rPr>
          <w:b/>
          <w:i/>
          <w:sz w:val="40"/>
        </w:rPr>
        <w:t>and</w:t>
      </w:r>
      <w:r>
        <w:rPr>
          <w:b/>
          <w:i/>
          <w:spacing w:val="-29"/>
          <w:sz w:val="40"/>
        </w:rPr>
        <w:t> </w:t>
      </w:r>
      <w:r>
        <w:rPr>
          <w:b/>
          <w:i/>
          <w:sz w:val="40"/>
        </w:rPr>
        <w:t>TGF- beta)</w:t>
      </w:r>
    </w:p>
    <w:p>
      <w:pPr>
        <w:pStyle w:val="BodyText"/>
        <w:spacing w:line="276" w:lineRule="auto" w:before="260"/>
        <w:ind w:left="477" w:right="133"/>
        <w:jc w:val="both"/>
      </w:pPr>
      <w:r>
        <w:rPr/>
        <w:t>Colostrum has the most important growth factors that play a role in muscle building. These include IGF-1, platelet derived growth factor (PDGF), epider- mal</w:t>
      </w:r>
      <w:r>
        <w:rPr>
          <w:spacing w:val="-27"/>
        </w:rPr>
        <w:t> </w:t>
      </w:r>
      <w:r>
        <w:rPr/>
        <w:t>growth</w:t>
      </w:r>
      <w:r>
        <w:rPr>
          <w:spacing w:val="-26"/>
        </w:rPr>
        <w:t> </w:t>
      </w:r>
      <w:r>
        <w:rPr/>
        <w:t>factor</w:t>
      </w:r>
      <w:r>
        <w:rPr>
          <w:spacing w:val="-24"/>
        </w:rPr>
        <w:t> </w:t>
      </w:r>
      <w:r>
        <w:rPr/>
        <w:t>(EGF),</w:t>
      </w:r>
      <w:r>
        <w:rPr>
          <w:spacing w:val="-25"/>
        </w:rPr>
        <w:t> </w:t>
      </w:r>
      <w:r>
        <w:rPr/>
        <w:t>and</w:t>
      </w:r>
      <w:r>
        <w:rPr>
          <w:spacing w:val="-25"/>
        </w:rPr>
        <w:t> </w:t>
      </w:r>
      <w:r>
        <w:rPr/>
        <w:t>TGF-beta</w:t>
      </w:r>
      <w:r>
        <w:rPr>
          <w:spacing w:val="-27"/>
        </w:rPr>
        <w:t> </w:t>
      </w:r>
      <w:r>
        <w:rPr/>
        <w:t>(transforming</w:t>
      </w:r>
      <w:r>
        <w:rPr>
          <w:spacing w:val="-24"/>
        </w:rPr>
        <w:t> </w:t>
      </w:r>
      <w:r>
        <w:rPr/>
        <w:t>growth</w:t>
      </w:r>
      <w:r>
        <w:rPr>
          <w:spacing w:val="-26"/>
        </w:rPr>
        <w:t> </w:t>
      </w:r>
      <w:r>
        <w:rPr/>
        <w:t>factor).</w:t>
      </w:r>
      <w:r>
        <w:rPr>
          <w:spacing w:val="-25"/>
        </w:rPr>
        <w:t> </w:t>
      </w:r>
      <w:r>
        <w:rPr/>
        <w:t>All</w:t>
      </w:r>
      <w:r>
        <w:rPr>
          <w:spacing w:val="-26"/>
        </w:rPr>
        <w:t> </w:t>
      </w:r>
      <w:r>
        <w:rPr/>
        <w:t>these factors stimulate cell division and tissue building.</w:t>
      </w:r>
      <w:r>
        <w:rPr>
          <w:position w:val="9"/>
          <w:sz w:val="25"/>
        </w:rPr>
        <w:t>174 </w:t>
      </w:r>
      <w:r>
        <w:rPr/>
        <w:t>In many bodybuilding fo- rums, one repeatedly sees the argument that the immunoglobulins and the growth factors in colostrum are destroyed by gastric acid and therefore cannot be utilised by the</w:t>
      </w:r>
      <w:r>
        <w:rPr>
          <w:spacing w:val="4"/>
        </w:rPr>
        <w:t> </w:t>
      </w:r>
      <w:r>
        <w:rPr/>
        <w:t>body.</w:t>
      </w:r>
    </w:p>
    <w:p>
      <w:pPr>
        <w:pStyle w:val="BodyText"/>
        <w:spacing w:line="276" w:lineRule="auto" w:before="241"/>
        <w:ind w:left="477" w:right="131"/>
        <w:jc w:val="both"/>
        <w:rPr>
          <w:sz w:val="25"/>
        </w:rPr>
      </w:pPr>
      <w:r>
        <w:rPr/>
        <w:t>But as already mentioned before, Dr. Pineo and his colleagues managed to prove in 1975, bovine colostrum contains a so-called glycoprotein, which in turn has protease inhibitors, which ensure that the immunoglobulins and the growth factors are not destroyed by gastric acids, even in the stomach of an adult.</w:t>
      </w:r>
      <w:r>
        <w:rPr>
          <w:position w:val="9"/>
          <w:sz w:val="25"/>
        </w:rPr>
        <w:t>175</w:t>
      </w:r>
    </w:p>
    <w:p>
      <w:pPr>
        <w:pStyle w:val="Heading1"/>
        <w:spacing w:before="222"/>
      </w:pPr>
      <w:r>
        <w:rPr/>
        <w:t>Studies on IGF-1 as a muscle regenerator in colostrum</w:t>
      </w:r>
    </w:p>
    <w:p>
      <w:pPr>
        <w:pStyle w:val="BodyText"/>
        <w:spacing w:line="276" w:lineRule="auto" w:before="300"/>
        <w:ind w:left="477" w:right="135"/>
        <w:jc w:val="both"/>
      </w:pPr>
      <w:r>
        <w:rPr/>
        <w:t>In addition to its growth-stimulating properties, IGF-1 can accelerate the re- generation of the muscle cell, which is very important for athletes and allows for harder and more frequent training sessions.</w:t>
      </w:r>
    </w:p>
    <w:p>
      <w:pPr>
        <w:pStyle w:val="BodyText"/>
        <w:rPr>
          <w:sz w:val="20"/>
        </w:rPr>
      </w:pPr>
    </w:p>
    <w:p>
      <w:pPr>
        <w:pStyle w:val="BodyText"/>
        <w:rPr>
          <w:sz w:val="20"/>
        </w:rPr>
      </w:pPr>
    </w:p>
    <w:p>
      <w:pPr>
        <w:pStyle w:val="BodyText"/>
        <w:spacing w:before="8"/>
        <w:rPr>
          <w:sz w:val="21"/>
        </w:rPr>
      </w:pPr>
      <w:r>
        <w:rPr/>
        <w:pict>
          <v:line style="position:absolute;mso-position-horizontal-relative:page;mso-position-vertical-relative:paragraph;z-index:1616;mso-wrap-distance-left:0;mso-wrap-distance-right:0" from="63.863998pt,14.596235pt" to="207.883998pt,14.596235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174 </w:t>
      </w:r>
      <w:r>
        <w:rPr>
          <w:sz w:val="20"/>
        </w:rPr>
        <w:t>Burke 1996</w:t>
      </w:r>
    </w:p>
    <w:p>
      <w:pPr>
        <w:spacing w:before="94"/>
        <w:ind w:left="477" w:right="0" w:firstLine="0"/>
        <w:jc w:val="left"/>
        <w:rPr>
          <w:sz w:val="20"/>
        </w:rPr>
      </w:pPr>
      <w:r>
        <w:rPr>
          <w:position w:val="5"/>
          <w:sz w:val="13"/>
        </w:rPr>
        <w:t>175 </w:t>
      </w:r>
      <w:r>
        <w:rPr>
          <w:sz w:val="20"/>
        </w:rPr>
        <w:t>Pineo, A. et al.: Biochemical Biophysiology Acta, Amsterdam,1975, 379: p. 201–206</w:t>
      </w:r>
    </w:p>
    <w:p>
      <w:pPr>
        <w:pStyle w:val="BodyText"/>
        <w:rPr>
          <w:sz w:val="20"/>
        </w:rPr>
      </w:pPr>
    </w:p>
    <w:p>
      <w:pPr>
        <w:pStyle w:val="BodyText"/>
        <w:rPr>
          <w:sz w:val="20"/>
        </w:rPr>
      </w:pPr>
    </w:p>
    <w:p>
      <w:pPr>
        <w:pStyle w:val="BodyText"/>
        <w:spacing w:before="10"/>
        <w:rPr>
          <w:sz w:val="19"/>
        </w:rPr>
      </w:pPr>
      <w:r>
        <w:rPr/>
        <w:drawing>
          <wp:anchor distT="0" distB="0" distL="0" distR="0" allowOverlap="1" layoutInCell="1" locked="0" behindDoc="0" simplePos="0" relativeHeight="1640">
            <wp:simplePos x="0" y="0"/>
            <wp:positionH relativeFrom="page">
              <wp:posOffset>896463</wp:posOffset>
            </wp:positionH>
            <wp:positionV relativeFrom="paragraph">
              <wp:posOffset>166865</wp:posOffset>
            </wp:positionV>
            <wp:extent cx="6340974" cy="896874"/>
            <wp:effectExtent l="0" t="0" r="0" b="0"/>
            <wp:wrapTopAndBottom/>
            <wp:docPr id="103" name="image2.jpeg" descr=""/>
            <wp:cNvGraphicFramePr>
              <a:graphicFrameLocks noChangeAspect="1"/>
            </wp:cNvGraphicFramePr>
            <a:graphic>
              <a:graphicData uri="http://schemas.openxmlformats.org/drawingml/2006/picture">
                <pic:pic>
                  <pic:nvPicPr>
                    <pic:cNvPr id="104" name="image2.jpeg"/>
                    <pic:cNvPicPr/>
                  </pic:nvPicPr>
                  <pic:blipFill>
                    <a:blip r:embed="rId21" cstate="print"/>
                    <a:stretch>
                      <a:fillRect/>
                    </a:stretch>
                  </pic:blipFill>
                  <pic:spPr>
                    <a:xfrm>
                      <a:off x="0" y="0"/>
                      <a:ext cx="6340974" cy="896874"/>
                    </a:xfrm>
                    <a:prstGeom prst="rect">
                      <a:avLst/>
                    </a:prstGeom>
                  </pic:spPr>
                </pic:pic>
              </a:graphicData>
            </a:graphic>
          </wp:anchor>
        </w:drawing>
      </w:r>
    </w:p>
    <w:p>
      <w:pPr>
        <w:spacing w:after="0"/>
        <w:rPr>
          <w:sz w:val="19"/>
        </w:rPr>
        <w:sectPr>
          <w:pgSz w:w="14270" w:h="16850"/>
          <w:pgMar w:header="0" w:footer="527" w:top="1600" w:bottom="720" w:left="800" w:right="1280"/>
        </w:sectPr>
      </w:pPr>
    </w:p>
    <w:p>
      <w:pPr>
        <w:pStyle w:val="BodyText"/>
        <w:spacing w:line="276" w:lineRule="auto" w:before="181"/>
        <w:ind w:left="477" w:right="136"/>
        <w:jc w:val="both"/>
        <w:rPr>
          <w:sz w:val="25"/>
        </w:rPr>
      </w:pPr>
      <w:r>
        <w:rPr/>
        <w:t>Investigations on Finnish Olympic skiers revealed that creatine levels lowered by</w:t>
      </w:r>
      <w:r>
        <w:rPr>
          <w:spacing w:val="-9"/>
        </w:rPr>
        <w:t> </w:t>
      </w:r>
      <w:r>
        <w:rPr/>
        <w:t>half</w:t>
      </w:r>
      <w:r>
        <w:rPr>
          <w:spacing w:val="-10"/>
        </w:rPr>
        <w:t> </w:t>
      </w:r>
      <w:r>
        <w:rPr/>
        <w:t>after</w:t>
      </w:r>
      <w:r>
        <w:rPr>
          <w:spacing w:val="-10"/>
        </w:rPr>
        <w:t> </w:t>
      </w:r>
      <w:r>
        <w:rPr/>
        <w:t>four</w:t>
      </w:r>
      <w:r>
        <w:rPr>
          <w:spacing w:val="-8"/>
        </w:rPr>
        <w:t> </w:t>
      </w:r>
      <w:r>
        <w:rPr/>
        <w:t>days</w:t>
      </w:r>
      <w:r>
        <w:rPr>
          <w:spacing w:val="-9"/>
        </w:rPr>
        <w:t> </w:t>
      </w:r>
      <w:r>
        <w:rPr/>
        <w:t>of</w:t>
      </w:r>
      <w:r>
        <w:rPr>
          <w:spacing w:val="-9"/>
        </w:rPr>
        <w:t> </w:t>
      </w:r>
      <w:r>
        <w:rPr/>
        <w:t>liquid</w:t>
      </w:r>
      <w:r>
        <w:rPr>
          <w:spacing w:val="-10"/>
        </w:rPr>
        <w:t> </w:t>
      </w:r>
      <w:r>
        <w:rPr/>
        <w:t>colostrum</w:t>
      </w:r>
      <w:r>
        <w:rPr>
          <w:spacing w:val="-9"/>
        </w:rPr>
        <w:t> </w:t>
      </w:r>
      <w:r>
        <w:rPr/>
        <w:t>intake,</w:t>
      </w:r>
      <w:r>
        <w:rPr>
          <w:spacing w:val="-9"/>
        </w:rPr>
        <w:t> </w:t>
      </w:r>
      <w:r>
        <w:rPr/>
        <w:t>which</w:t>
      </w:r>
      <w:r>
        <w:rPr>
          <w:spacing w:val="-8"/>
        </w:rPr>
        <w:t> </w:t>
      </w:r>
      <w:r>
        <w:rPr/>
        <w:t>is</w:t>
      </w:r>
      <w:r>
        <w:rPr>
          <w:spacing w:val="-9"/>
        </w:rPr>
        <w:t> </w:t>
      </w:r>
      <w:r>
        <w:rPr/>
        <w:t>generally</w:t>
      </w:r>
      <w:r>
        <w:rPr>
          <w:spacing w:val="-9"/>
        </w:rPr>
        <w:t> </w:t>
      </w:r>
      <w:r>
        <w:rPr/>
        <w:t>regarded</w:t>
      </w:r>
      <w:r>
        <w:rPr>
          <w:spacing w:val="-10"/>
        </w:rPr>
        <w:t> </w:t>
      </w:r>
      <w:r>
        <w:rPr/>
        <w:t>as an indicator of faster regeneration. The athletes reported that they felt more comfortable and their performance improved. Scientists believe that the</w:t>
      </w:r>
      <w:r>
        <w:rPr>
          <w:spacing w:val="-66"/>
        </w:rPr>
        <w:t> </w:t>
      </w:r>
      <w:r>
        <w:rPr/>
        <w:t>IGF-1 contained in colostrum can regenerate muscle cells more</w:t>
      </w:r>
      <w:r>
        <w:rPr>
          <w:spacing w:val="-1"/>
        </w:rPr>
        <w:t> </w:t>
      </w:r>
      <w:r>
        <w:rPr/>
        <w:t>quickly.</w:t>
      </w:r>
      <w:r>
        <w:rPr>
          <w:position w:val="9"/>
          <w:sz w:val="25"/>
        </w:rPr>
        <w:t>176</w:t>
      </w:r>
    </w:p>
    <w:p>
      <w:pPr>
        <w:pStyle w:val="Heading1"/>
        <w:spacing w:line="261" w:lineRule="auto" w:before="223"/>
        <w:ind w:right="135"/>
        <w:jc w:val="both"/>
      </w:pPr>
      <w:r>
        <w:rPr/>
        <w:t>Studies</w:t>
      </w:r>
      <w:r>
        <w:rPr>
          <w:spacing w:val="-56"/>
        </w:rPr>
        <w:t> </w:t>
      </w:r>
      <w:r>
        <w:rPr/>
        <w:t>on</w:t>
      </w:r>
      <w:r>
        <w:rPr>
          <w:spacing w:val="-57"/>
        </w:rPr>
        <w:t> </w:t>
      </w:r>
      <w:r>
        <w:rPr/>
        <w:t>IGF-1</w:t>
      </w:r>
      <w:r>
        <w:rPr>
          <w:spacing w:val="-56"/>
        </w:rPr>
        <w:t> </w:t>
      </w:r>
      <w:r>
        <w:rPr/>
        <w:t>show</w:t>
      </w:r>
      <w:r>
        <w:rPr>
          <w:spacing w:val="-56"/>
        </w:rPr>
        <w:t> </w:t>
      </w:r>
      <w:r>
        <w:rPr/>
        <w:t>that</w:t>
      </w:r>
      <w:r>
        <w:rPr>
          <w:spacing w:val="-56"/>
        </w:rPr>
        <w:t> </w:t>
      </w:r>
      <w:r>
        <w:rPr/>
        <w:t>colostrum</w:t>
      </w:r>
      <w:r>
        <w:rPr>
          <w:spacing w:val="-57"/>
        </w:rPr>
        <w:t> </w:t>
      </w:r>
      <w:r>
        <w:rPr/>
        <w:t>enhances</w:t>
      </w:r>
      <w:r>
        <w:rPr>
          <w:spacing w:val="-56"/>
        </w:rPr>
        <w:t> </w:t>
      </w:r>
      <w:r>
        <w:rPr/>
        <w:t>the</w:t>
      </w:r>
      <w:r>
        <w:rPr>
          <w:spacing w:val="-56"/>
        </w:rPr>
        <w:t> </w:t>
      </w:r>
      <w:r>
        <w:rPr/>
        <w:t>uptake</w:t>
      </w:r>
      <w:r>
        <w:rPr>
          <w:spacing w:val="-55"/>
        </w:rPr>
        <w:t> </w:t>
      </w:r>
      <w:r>
        <w:rPr/>
        <w:t>efficiency</w:t>
      </w:r>
      <w:r>
        <w:rPr>
          <w:spacing w:val="-55"/>
        </w:rPr>
        <w:t> </w:t>
      </w:r>
      <w:r>
        <w:rPr/>
        <w:t>of amino acids and carbohydrates</w:t>
      </w:r>
    </w:p>
    <w:p>
      <w:pPr>
        <w:pStyle w:val="BodyText"/>
        <w:spacing w:line="276" w:lineRule="auto" w:before="260"/>
        <w:ind w:left="477" w:right="131"/>
        <w:jc w:val="both"/>
        <w:rPr>
          <w:sz w:val="25"/>
        </w:rPr>
      </w:pPr>
      <w:r>
        <w:rPr/>
        <w:t>According</w:t>
      </w:r>
      <w:r>
        <w:rPr>
          <w:spacing w:val="-10"/>
        </w:rPr>
        <w:t> </w:t>
      </w:r>
      <w:r>
        <w:rPr/>
        <w:t>to</w:t>
      </w:r>
      <w:r>
        <w:rPr>
          <w:spacing w:val="-11"/>
        </w:rPr>
        <w:t> </w:t>
      </w:r>
      <w:r>
        <w:rPr/>
        <w:t>Dr.</w:t>
      </w:r>
      <w:r>
        <w:rPr>
          <w:spacing w:val="-11"/>
        </w:rPr>
        <w:t> </w:t>
      </w:r>
      <w:r>
        <w:rPr/>
        <w:t>Edmund</w:t>
      </w:r>
      <w:r>
        <w:rPr>
          <w:spacing w:val="-11"/>
        </w:rPr>
        <w:t> </w:t>
      </w:r>
      <w:r>
        <w:rPr/>
        <w:t>Burke,</w:t>
      </w:r>
      <w:r>
        <w:rPr>
          <w:spacing w:val="-9"/>
        </w:rPr>
        <w:t> </w:t>
      </w:r>
      <w:r>
        <w:rPr/>
        <w:t>a</w:t>
      </w:r>
      <w:r>
        <w:rPr>
          <w:spacing w:val="-14"/>
        </w:rPr>
        <w:t> </w:t>
      </w:r>
      <w:r>
        <w:rPr/>
        <w:t>lecturer</w:t>
      </w:r>
      <w:r>
        <w:rPr>
          <w:spacing w:val="-10"/>
        </w:rPr>
        <w:t> </w:t>
      </w:r>
      <w:r>
        <w:rPr/>
        <w:t>in</w:t>
      </w:r>
      <w:r>
        <w:rPr>
          <w:spacing w:val="-13"/>
        </w:rPr>
        <w:t> </w:t>
      </w:r>
      <w:r>
        <w:rPr/>
        <w:t>biology</w:t>
      </w:r>
      <w:r>
        <w:rPr>
          <w:spacing w:val="-10"/>
        </w:rPr>
        <w:t> </w:t>
      </w:r>
      <w:r>
        <w:rPr/>
        <w:t>at</w:t>
      </w:r>
      <w:r>
        <w:rPr>
          <w:spacing w:val="-11"/>
        </w:rPr>
        <w:t> </w:t>
      </w:r>
      <w:r>
        <w:rPr/>
        <w:t>the</w:t>
      </w:r>
      <w:r>
        <w:rPr>
          <w:spacing w:val="-12"/>
        </w:rPr>
        <w:t> </w:t>
      </w:r>
      <w:r>
        <w:rPr/>
        <w:t>University</w:t>
      </w:r>
      <w:r>
        <w:rPr>
          <w:spacing w:val="-10"/>
        </w:rPr>
        <w:t> </w:t>
      </w:r>
      <w:r>
        <w:rPr/>
        <w:t>of</w:t>
      </w:r>
      <w:r>
        <w:rPr>
          <w:spacing w:val="-12"/>
        </w:rPr>
        <w:t> </w:t>
      </w:r>
      <w:r>
        <w:rPr/>
        <w:t>Col- orado, colostrum probably helps athletes because it promotes the effective ab- sorption of amino acids and carbohydrates in the digestive tract. IGF-1 and other factors seal the intestine to ulcers, which can reduce the effectiveness of nutrient</w:t>
      </w:r>
      <w:r>
        <w:rPr>
          <w:spacing w:val="-1"/>
        </w:rPr>
        <w:t> </w:t>
      </w:r>
      <w:r>
        <w:rPr/>
        <w:t>uptake.</w:t>
      </w:r>
      <w:r>
        <w:rPr>
          <w:position w:val="9"/>
          <w:sz w:val="25"/>
        </w:rPr>
        <w:t>177</w:t>
      </w:r>
    </w:p>
    <w:p>
      <w:pPr>
        <w:pStyle w:val="Heading1"/>
        <w:spacing w:before="223"/>
      </w:pPr>
      <w:r>
        <w:rPr/>
        <w:t>Colostrum protects against shigellosis</w:t>
      </w:r>
    </w:p>
    <w:p>
      <w:pPr>
        <w:pStyle w:val="BodyText"/>
        <w:spacing w:line="276" w:lineRule="auto" w:before="299"/>
        <w:ind w:left="477" w:right="142"/>
        <w:jc w:val="both"/>
        <w:rPr>
          <w:sz w:val="25"/>
        </w:rPr>
      </w:pPr>
      <w:r>
        <w:rPr/>
        <w:t>Bovine immunoglobulin, taken orally, protects against the bacterial bowel dis- ease shigellosis.</w:t>
      </w:r>
      <w:r>
        <w:rPr>
          <w:position w:val="9"/>
          <w:sz w:val="25"/>
        </w:rPr>
        <w:t>178</w:t>
      </w:r>
    </w:p>
    <w:p>
      <w:pPr>
        <w:pStyle w:val="Heading1"/>
      </w:pPr>
      <w:r>
        <w:rPr/>
        <w:t>Colostrum has an antibacterial effect</w:t>
      </w:r>
    </w:p>
    <w:p>
      <w:pPr>
        <w:pStyle w:val="BodyText"/>
        <w:spacing w:line="276" w:lineRule="auto" w:before="299"/>
        <w:ind w:left="477" w:right="148"/>
        <w:jc w:val="both"/>
        <w:rPr>
          <w:sz w:val="25"/>
        </w:rPr>
      </w:pPr>
      <w:r>
        <w:rPr/>
        <w:t>Oligosaccharides and polysaccharides in colostrum have the ability to bind</w:t>
      </w:r>
      <w:r>
        <w:rPr>
          <w:spacing w:val="-56"/>
        </w:rPr>
        <w:t> </w:t>
      </w:r>
      <w:r>
        <w:rPr/>
        <w:t>and inhibit many bacteria.</w:t>
      </w:r>
      <w:r>
        <w:rPr>
          <w:position w:val="9"/>
          <w:sz w:val="25"/>
        </w:rPr>
        <w:t>179 </w:t>
      </w:r>
      <w:r>
        <w:rPr/>
        <w:t>Lactoferrin in colostrum is highly antibacterial.</w:t>
      </w:r>
      <w:r>
        <w:rPr>
          <w:position w:val="9"/>
          <w:sz w:val="25"/>
        </w:rPr>
        <w:t>180</w:t>
      </w:r>
    </w:p>
    <w:p>
      <w:pPr>
        <w:pStyle w:val="BodyText"/>
        <w:rPr>
          <w:sz w:val="20"/>
        </w:rPr>
      </w:pPr>
    </w:p>
    <w:p>
      <w:pPr>
        <w:pStyle w:val="BodyText"/>
        <w:rPr>
          <w:sz w:val="20"/>
        </w:rPr>
      </w:pPr>
    </w:p>
    <w:p>
      <w:pPr>
        <w:pStyle w:val="BodyText"/>
        <w:spacing w:before="1"/>
        <w:rPr>
          <w:sz w:val="14"/>
        </w:rPr>
      </w:pPr>
      <w:r>
        <w:rPr/>
        <w:pict>
          <v:line style="position:absolute;mso-position-horizontal-relative:page;mso-position-vertical-relative:paragraph;z-index:1664;mso-wrap-distance-left:0;mso-wrap-distance-right:0" from="63.863998pt,10.282515pt" to="207.883998pt,10.282515pt" stroked="true" strokeweight=".71997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176 </w:t>
      </w:r>
      <w:r>
        <w:rPr>
          <w:sz w:val="20"/>
        </w:rPr>
        <w:t>Anderson 1994</w:t>
      </w:r>
    </w:p>
    <w:p>
      <w:pPr>
        <w:spacing w:before="94"/>
        <w:ind w:left="477" w:right="0" w:firstLine="0"/>
        <w:jc w:val="left"/>
        <w:rPr>
          <w:sz w:val="20"/>
        </w:rPr>
      </w:pPr>
      <w:r>
        <w:rPr>
          <w:position w:val="5"/>
          <w:sz w:val="13"/>
        </w:rPr>
        <w:t>177 </w:t>
      </w:r>
      <w:r>
        <w:rPr>
          <w:sz w:val="20"/>
        </w:rPr>
        <w:t>Burke 1996</w:t>
      </w:r>
    </w:p>
    <w:p>
      <w:pPr>
        <w:spacing w:before="95"/>
        <w:ind w:left="477" w:right="0" w:firstLine="0"/>
        <w:jc w:val="left"/>
        <w:rPr>
          <w:sz w:val="20"/>
        </w:rPr>
      </w:pPr>
      <w:r>
        <w:rPr>
          <w:position w:val="5"/>
          <w:sz w:val="13"/>
        </w:rPr>
        <w:t>178 </w:t>
      </w:r>
      <w:r>
        <w:rPr>
          <w:sz w:val="20"/>
        </w:rPr>
        <w:t>Tacket, Binion, Bostwick et al.</w:t>
      </w:r>
    </w:p>
    <w:p>
      <w:pPr>
        <w:spacing w:before="94"/>
        <w:ind w:left="477" w:right="0" w:firstLine="0"/>
        <w:jc w:val="left"/>
        <w:rPr>
          <w:sz w:val="20"/>
        </w:rPr>
      </w:pPr>
      <w:r>
        <w:rPr/>
        <w:drawing>
          <wp:anchor distT="0" distB="0" distL="0" distR="0" allowOverlap="1" layoutInCell="1" locked="0" behindDoc="1" simplePos="0" relativeHeight="267169463">
            <wp:simplePos x="0" y="0"/>
            <wp:positionH relativeFrom="page">
              <wp:posOffset>896463</wp:posOffset>
            </wp:positionH>
            <wp:positionV relativeFrom="paragraph">
              <wp:posOffset>141962</wp:posOffset>
            </wp:positionV>
            <wp:extent cx="6379583" cy="902106"/>
            <wp:effectExtent l="0" t="0" r="0" b="0"/>
            <wp:wrapNone/>
            <wp:docPr id="105" name="image2.jpeg" descr=""/>
            <wp:cNvGraphicFramePr>
              <a:graphicFrameLocks noChangeAspect="1"/>
            </wp:cNvGraphicFramePr>
            <a:graphic>
              <a:graphicData uri="http://schemas.openxmlformats.org/drawingml/2006/picture">
                <pic:pic>
                  <pic:nvPicPr>
                    <pic:cNvPr id="106"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179 </w:t>
      </w:r>
      <w:r>
        <w:rPr>
          <w:sz w:val="20"/>
        </w:rPr>
        <w:t>Klapper, D. G. et al.</w:t>
      </w:r>
    </w:p>
    <w:p>
      <w:pPr>
        <w:spacing w:before="94"/>
        <w:ind w:left="477" w:right="0" w:firstLine="0"/>
        <w:jc w:val="left"/>
        <w:rPr>
          <w:sz w:val="20"/>
        </w:rPr>
      </w:pPr>
      <w:r>
        <w:rPr>
          <w:position w:val="5"/>
          <w:sz w:val="13"/>
        </w:rPr>
        <w:t>180 </w:t>
      </w:r>
      <w:r>
        <w:rPr>
          <w:sz w:val="20"/>
        </w:rPr>
        <w:t>Spik, G. et al.</w:t>
      </w:r>
    </w:p>
    <w:p>
      <w:pPr>
        <w:spacing w:after="0"/>
        <w:jc w:val="left"/>
        <w:rPr>
          <w:sz w:val="20"/>
        </w:rPr>
        <w:sectPr>
          <w:footerReference w:type="default" r:id="rId73"/>
          <w:pgSz w:w="14270" w:h="16850"/>
          <w:pgMar w:footer="527" w:header="0" w:top="1600" w:bottom="720" w:left="800" w:right="1280"/>
          <w:pgNumType w:start="290"/>
        </w:sectPr>
      </w:pPr>
    </w:p>
    <w:p>
      <w:pPr>
        <w:pStyle w:val="Heading1"/>
        <w:spacing w:before="164"/>
      </w:pPr>
      <w:r>
        <w:rPr/>
        <w:t>Colostrum accelerates wound healing</w:t>
      </w:r>
    </w:p>
    <w:p>
      <w:pPr>
        <w:pStyle w:val="BodyText"/>
        <w:spacing w:line="276" w:lineRule="auto" w:before="299"/>
        <w:ind w:left="477"/>
        <w:rPr>
          <w:sz w:val="25"/>
        </w:rPr>
      </w:pPr>
      <w:r>
        <w:rPr/>
        <w:t>Whether taken externally or internally, the growth factors in colostrum can ac- celerate wound healing</w:t>
      </w:r>
      <w:r>
        <w:rPr>
          <w:position w:val="9"/>
          <w:sz w:val="25"/>
        </w:rPr>
        <w:t>181</w:t>
      </w:r>
    </w:p>
    <w:p>
      <w:pPr>
        <w:pStyle w:val="Heading1"/>
      </w:pPr>
      <w:r>
        <w:rPr/>
        <w:t>Protection of colostrum against bacteria and fungi</w:t>
      </w:r>
    </w:p>
    <w:p>
      <w:pPr>
        <w:pStyle w:val="BodyText"/>
        <w:spacing w:line="276" w:lineRule="auto" w:before="299"/>
        <w:ind w:left="477" w:right="136"/>
        <w:jc w:val="both"/>
        <w:rPr>
          <w:sz w:val="25"/>
        </w:rPr>
      </w:pPr>
      <w:r>
        <w:rPr/>
        <w:t>Colostrum</w:t>
      </w:r>
      <w:r>
        <w:rPr>
          <w:spacing w:val="-16"/>
        </w:rPr>
        <w:t> </w:t>
      </w:r>
      <w:r>
        <w:rPr/>
        <w:t>contains</w:t>
      </w:r>
      <w:r>
        <w:rPr>
          <w:spacing w:val="-14"/>
        </w:rPr>
        <w:t> </w:t>
      </w:r>
      <w:r>
        <w:rPr/>
        <w:t>antibodies</w:t>
      </w:r>
      <w:r>
        <w:rPr>
          <w:spacing w:val="-14"/>
        </w:rPr>
        <w:t> </w:t>
      </w:r>
      <w:r>
        <w:rPr/>
        <w:t>which</w:t>
      </w:r>
      <w:r>
        <w:rPr>
          <w:spacing w:val="-14"/>
        </w:rPr>
        <w:t> </w:t>
      </w:r>
      <w:r>
        <w:rPr/>
        <w:t>have</w:t>
      </w:r>
      <w:r>
        <w:rPr>
          <w:spacing w:val="-14"/>
        </w:rPr>
        <w:t> </w:t>
      </w:r>
      <w:r>
        <w:rPr/>
        <w:t>an</w:t>
      </w:r>
      <w:r>
        <w:rPr>
          <w:spacing w:val="-15"/>
        </w:rPr>
        <w:t> </w:t>
      </w:r>
      <w:r>
        <w:rPr/>
        <w:t>effect</w:t>
      </w:r>
      <w:r>
        <w:rPr>
          <w:spacing w:val="-15"/>
        </w:rPr>
        <w:t> </w:t>
      </w:r>
      <w:r>
        <w:rPr/>
        <w:t>on</w:t>
      </w:r>
      <w:r>
        <w:rPr>
          <w:spacing w:val="-13"/>
        </w:rPr>
        <w:t> </w:t>
      </w:r>
      <w:r>
        <w:rPr/>
        <w:t>Salmonella,</w:t>
      </w:r>
      <w:r>
        <w:rPr>
          <w:spacing w:val="-14"/>
        </w:rPr>
        <w:t> </w:t>
      </w:r>
      <w:r>
        <w:rPr/>
        <w:t>E.</w:t>
      </w:r>
      <w:r>
        <w:rPr>
          <w:spacing w:val="-13"/>
        </w:rPr>
        <w:t> </w:t>
      </w:r>
      <w:r>
        <w:rPr/>
        <w:t>coli,</w:t>
      </w:r>
      <w:r>
        <w:rPr>
          <w:spacing w:val="-15"/>
        </w:rPr>
        <w:t> </w:t>
      </w:r>
      <w:r>
        <w:rPr/>
        <w:t>Shi- gella,</w:t>
      </w:r>
      <w:r>
        <w:rPr>
          <w:spacing w:val="-20"/>
        </w:rPr>
        <w:t> </w:t>
      </w:r>
      <w:r>
        <w:rPr/>
        <w:t>V.</w:t>
      </w:r>
      <w:r>
        <w:rPr>
          <w:spacing w:val="-19"/>
        </w:rPr>
        <w:t> </w:t>
      </w:r>
      <w:r>
        <w:rPr/>
        <w:t>cholea,</w:t>
      </w:r>
      <w:r>
        <w:rPr>
          <w:spacing w:val="-21"/>
        </w:rPr>
        <w:t> </w:t>
      </w:r>
      <w:r>
        <w:rPr/>
        <w:t>Bacteriodes</w:t>
      </w:r>
      <w:r>
        <w:rPr>
          <w:spacing w:val="-19"/>
        </w:rPr>
        <w:t> </w:t>
      </w:r>
      <w:r>
        <w:rPr/>
        <w:t>fragilis,</w:t>
      </w:r>
      <w:r>
        <w:rPr>
          <w:spacing w:val="-18"/>
        </w:rPr>
        <w:t> </w:t>
      </w:r>
      <w:r>
        <w:rPr/>
        <w:t>Streptococcus</w:t>
      </w:r>
      <w:r>
        <w:rPr>
          <w:spacing w:val="-19"/>
        </w:rPr>
        <w:t> </w:t>
      </w:r>
      <w:r>
        <w:rPr/>
        <w:t>pneumoniae,</w:t>
      </w:r>
      <w:r>
        <w:rPr>
          <w:spacing w:val="-20"/>
        </w:rPr>
        <w:t> </w:t>
      </w:r>
      <w:r>
        <w:rPr/>
        <w:t>Bordetella</w:t>
      </w:r>
      <w:r>
        <w:rPr>
          <w:spacing w:val="-21"/>
        </w:rPr>
        <w:t> </w:t>
      </w:r>
      <w:r>
        <w:rPr/>
        <w:t>per- tussis, Clostridium diphteria, Clostridium tetani, Streptococcus mutans and Candida</w:t>
      </w:r>
      <w:r>
        <w:rPr>
          <w:spacing w:val="-2"/>
        </w:rPr>
        <w:t> </w:t>
      </w:r>
      <w:r>
        <w:rPr/>
        <w:t>albicans.</w:t>
      </w:r>
      <w:r>
        <w:rPr>
          <w:position w:val="9"/>
          <w:sz w:val="25"/>
        </w:rPr>
        <w:t>182</w:t>
      </w:r>
    </w:p>
    <w:p>
      <w:pPr>
        <w:pStyle w:val="Heading1"/>
        <w:spacing w:before="223"/>
      </w:pPr>
      <w:r>
        <w:rPr/>
        <w:t>The IGF-1 in bovine colostrum is identical to human IGF-1</w:t>
      </w:r>
    </w:p>
    <w:p>
      <w:pPr>
        <w:pStyle w:val="BodyText"/>
        <w:spacing w:line="276" w:lineRule="auto" w:before="299"/>
        <w:ind w:left="477" w:right="140"/>
        <w:rPr>
          <w:sz w:val="25"/>
        </w:rPr>
      </w:pPr>
      <w:r>
        <w:rPr/>
        <w:t>In studies, the sequence of IGF-1 has been shown to be identical to human IGF-1.</w:t>
      </w:r>
      <w:r>
        <w:rPr>
          <w:position w:val="9"/>
          <w:sz w:val="25"/>
        </w:rPr>
        <w:t>183</w:t>
      </w:r>
    </w:p>
    <w:p>
      <w:pPr>
        <w:pStyle w:val="Heading1"/>
        <w:spacing w:line="261" w:lineRule="auto" w:before="221"/>
        <w:ind w:right="138"/>
      </w:pPr>
      <w:r>
        <w:rPr/>
        <w:t>Colostrum</w:t>
      </w:r>
      <w:r>
        <w:rPr>
          <w:spacing w:val="-62"/>
        </w:rPr>
        <w:t> </w:t>
      </w:r>
      <w:r>
        <w:rPr/>
        <w:t>contains</w:t>
      </w:r>
      <w:r>
        <w:rPr>
          <w:spacing w:val="-60"/>
        </w:rPr>
        <w:t> </w:t>
      </w:r>
      <w:r>
        <w:rPr/>
        <w:t>antibodies</w:t>
      </w:r>
      <w:r>
        <w:rPr>
          <w:spacing w:val="-61"/>
        </w:rPr>
        <w:t> </w:t>
      </w:r>
      <w:r>
        <w:rPr/>
        <w:t>against</w:t>
      </w:r>
      <w:r>
        <w:rPr>
          <w:spacing w:val="-61"/>
        </w:rPr>
        <w:t> </w:t>
      </w:r>
      <w:r>
        <w:rPr/>
        <w:t>the</w:t>
      </w:r>
      <w:r>
        <w:rPr>
          <w:spacing w:val="-61"/>
        </w:rPr>
        <w:t> </w:t>
      </w:r>
      <w:r>
        <w:rPr/>
        <w:t>following</w:t>
      </w:r>
      <w:r>
        <w:rPr>
          <w:spacing w:val="-61"/>
        </w:rPr>
        <w:t> </w:t>
      </w:r>
      <w:r>
        <w:rPr/>
        <w:t>bacterial,</w:t>
      </w:r>
      <w:r>
        <w:rPr>
          <w:spacing w:val="-60"/>
        </w:rPr>
        <w:t> </w:t>
      </w:r>
      <w:r>
        <w:rPr/>
        <w:t>viral</w:t>
      </w:r>
      <w:r>
        <w:rPr>
          <w:spacing w:val="-61"/>
        </w:rPr>
        <w:t> </w:t>
      </w:r>
      <w:r>
        <w:rPr/>
        <w:t>and fungal diseases</w:t>
      </w:r>
    </w:p>
    <w:p>
      <w:pPr>
        <w:pStyle w:val="BodyText"/>
        <w:spacing w:line="276" w:lineRule="auto" w:before="261"/>
        <w:ind w:left="477" w:right="135"/>
        <w:jc w:val="both"/>
        <w:rPr>
          <w:sz w:val="25"/>
        </w:rPr>
      </w:pPr>
      <w:r>
        <w:rPr/>
        <w:t>Appendicitis, aseptic or viral meningitis, bronchitis, bronchial and viral pneu- monia, Candida albicans, cholera, diphtheria, gastroenteritis, polio, tetanus and typhoid.</w:t>
      </w:r>
      <w:r>
        <w:rPr>
          <w:position w:val="9"/>
          <w:sz w:val="25"/>
        </w:rPr>
        <w:t>184</w:t>
      </w:r>
    </w:p>
    <w:p>
      <w:pPr>
        <w:pStyle w:val="Heading1"/>
        <w:spacing w:before="223"/>
        <w:jc w:val="both"/>
      </w:pPr>
      <w:r>
        <w:rPr/>
        <w:t>Passive immunisation</w:t>
      </w:r>
      <w:r>
        <w:rPr>
          <w:spacing w:val="-51"/>
        </w:rPr>
        <w:t> </w:t>
      </w:r>
      <w:r>
        <w:rPr/>
        <w:t>and</w:t>
      </w:r>
      <w:r>
        <w:rPr>
          <w:spacing w:val="-51"/>
        </w:rPr>
        <w:t> </w:t>
      </w:r>
      <w:r>
        <w:rPr/>
        <w:t>prevention</w:t>
      </w:r>
      <w:r>
        <w:rPr>
          <w:spacing w:val="-51"/>
        </w:rPr>
        <w:t> </w:t>
      </w:r>
      <w:r>
        <w:rPr/>
        <w:t>of bowel</w:t>
      </w:r>
      <w:r>
        <w:rPr>
          <w:spacing w:val="-51"/>
        </w:rPr>
        <w:t> </w:t>
      </w:r>
      <w:r>
        <w:rPr/>
        <w:t>disease </w:t>
      </w:r>
      <w:r>
        <w:rPr>
          <w:spacing w:val="2"/>
        </w:rPr>
        <w:t>with</w:t>
      </w:r>
      <w:r>
        <w:rPr>
          <w:spacing w:val="-50"/>
        </w:rPr>
        <w:t> </w:t>
      </w:r>
      <w:r>
        <w:rPr/>
        <w:t>colostrum</w:t>
      </w:r>
    </w:p>
    <w:p>
      <w:pPr>
        <w:pStyle w:val="BodyText"/>
        <w:spacing w:before="300"/>
        <w:ind w:left="477"/>
        <w:jc w:val="both"/>
      </w:pPr>
      <w:r>
        <w:rPr/>
        <w:t>Orally consumed colostrum was able to maintain its activity despite the</w:t>
      </w:r>
      <w:r>
        <w:rPr>
          <w:spacing w:val="51"/>
        </w:rPr>
        <w:t> </w:t>
      </w:r>
      <w:r>
        <w:rPr/>
        <w:t>adult's</w:t>
      </w:r>
    </w:p>
    <w:p>
      <w:pPr>
        <w:pStyle w:val="BodyText"/>
        <w:spacing w:before="1"/>
        <w:rPr>
          <w:sz w:val="24"/>
        </w:rPr>
      </w:pPr>
      <w:r>
        <w:rPr/>
        <w:pict>
          <v:line style="position:absolute;mso-position-horizontal-relative:page;mso-position-vertical-relative:paragraph;z-index:1712;mso-wrap-distance-left:0;mso-wrap-distance-right:0" from="63.863998pt,15.911265pt" to="207.883998pt,15.911265pt" stroked="true" strokeweight=".71997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181 </w:t>
      </w:r>
      <w:r>
        <w:rPr>
          <w:sz w:val="20"/>
        </w:rPr>
        <w:t>Sporn et al., 1983 Science, 219, p. 1329 ff.</w:t>
      </w:r>
    </w:p>
    <w:p>
      <w:pPr>
        <w:spacing w:before="94"/>
        <w:ind w:left="477" w:right="0" w:firstLine="0"/>
        <w:jc w:val="left"/>
        <w:rPr>
          <w:sz w:val="20"/>
        </w:rPr>
      </w:pPr>
      <w:r>
        <w:rPr>
          <w:position w:val="5"/>
          <w:sz w:val="13"/>
        </w:rPr>
        <w:t>182 </w:t>
      </w:r>
      <w:r>
        <w:rPr>
          <w:sz w:val="20"/>
        </w:rPr>
        <w:t>Ogram Pearay et al.</w:t>
      </w:r>
    </w:p>
    <w:p>
      <w:pPr>
        <w:spacing w:before="95"/>
        <w:ind w:left="477" w:right="0" w:firstLine="0"/>
        <w:jc w:val="left"/>
        <w:rPr>
          <w:sz w:val="20"/>
        </w:rPr>
      </w:pPr>
      <w:r>
        <w:rPr>
          <w:position w:val="5"/>
          <w:sz w:val="13"/>
        </w:rPr>
        <w:t>183 </w:t>
      </w:r>
      <w:r>
        <w:rPr>
          <w:sz w:val="20"/>
        </w:rPr>
        <w:t>Francis, G.L. et al., Biochem J., 1988, 251, pp. 95-103</w:t>
      </w:r>
    </w:p>
    <w:p>
      <w:pPr>
        <w:spacing w:before="94"/>
        <w:ind w:left="477" w:right="0" w:firstLine="0"/>
        <w:jc w:val="left"/>
        <w:rPr>
          <w:sz w:val="20"/>
        </w:rPr>
      </w:pPr>
      <w:r>
        <w:rPr>
          <w:position w:val="5"/>
          <w:sz w:val="13"/>
        </w:rPr>
        <w:t>184 </w:t>
      </w:r>
      <w:r>
        <w:rPr>
          <w:sz w:val="20"/>
        </w:rPr>
        <w:t>Ogra, Lesonsky, Fishout, Research, 1983, Buffalo University NY</w:t>
      </w:r>
    </w:p>
    <w:p>
      <w:pPr>
        <w:spacing w:after="0"/>
        <w:jc w:val="left"/>
        <w:rPr>
          <w:sz w:val="20"/>
        </w:rPr>
        <w:sectPr>
          <w:footerReference w:type="default" r:id="rId74"/>
          <w:pgSz w:w="14270" w:h="16850"/>
          <w:pgMar w:footer="1984" w:header="0" w:top="1600" w:bottom="2180" w:left="800" w:right="1280"/>
        </w:sectPr>
      </w:pPr>
    </w:p>
    <w:p>
      <w:pPr>
        <w:pStyle w:val="BodyText"/>
        <w:spacing w:line="276" w:lineRule="auto" w:before="181"/>
        <w:ind w:left="477" w:right="128"/>
        <w:rPr>
          <w:sz w:val="25"/>
        </w:rPr>
      </w:pPr>
      <w:r>
        <w:rPr/>
        <w:t>digestive juices and can be used for passive immunisation as well as prophylac- tically and therapeutically against bowel disease.</w:t>
      </w:r>
      <w:r>
        <w:rPr>
          <w:position w:val="9"/>
          <w:sz w:val="25"/>
        </w:rPr>
        <w:t>185</w:t>
      </w:r>
    </w:p>
    <w:p>
      <w:pPr>
        <w:pStyle w:val="Heading2"/>
        <w:spacing w:before="241"/>
      </w:pPr>
      <w:r>
        <w:rPr/>
        <w:t>Colostrum heals/improves cryptosporidiosis in AIDS patients</w:t>
      </w:r>
    </w:p>
    <w:p>
      <w:pPr>
        <w:pStyle w:val="BodyText"/>
        <w:spacing w:line="276" w:lineRule="auto" w:before="305"/>
        <w:ind w:left="477" w:right="133"/>
        <w:jc w:val="both"/>
        <w:rPr>
          <w:sz w:val="25"/>
        </w:rPr>
      </w:pPr>
      <w:r>
        <w:rPr/>
        <w:t>25 AIDS patients suffering from cryptosporidiosis were each given 10g of bo- vine</w:t>
      </w:r>
      <w:r>
        <w:rPr>
          <w:spacing w:val="-8"/>
        </w:rPr>
        <w:t> </w:t>
      </w:r>
      <w:r>
        <w:rPr/>
        <w:t>colostrum</w:t>
      </w:r>
      <w:r>
        <w:rPr>
          <w:spacing w:val="-7"/>
        </w:rPr>
        <w:t> </w:t>
      </w:r>
      <w:r>
        <w:rPr/>
        <w:t>three</w:t>
      </w:r>
      <w:r>
        <w:rPr>
          <w:spacing w:val="-7"/>
        </w:rPr>
        <w:t> </w:t>
      </w:r>
      <w:r>
        <w:rPr/>
        <w:t>times</w:t>
      </w:r>
      <w:r>
        <w:rPr>
          <w:spacing w:val="-8"/>
        </w:rPr>
        <w:t> </w:t>
      </w:r>
      <w:r>
        <w:rPr/>
        <w:t>a</w:t>
      </w:r>
      <w:r>
        <w:rPr>
          <w:spacing w:val="-8"/>
        </w:rPr>
        <w:t> </w:t>
      </w:r>
      <w:r>
        <w:rPr/>
        <w:t>day</w:t>
      </w:r>
      <w:r>
        <w:rPr>
          <w:spacing w:val="-8"/>
        </w:rPr>
        <w:t> </w:t>
      </w:r>
      <w:r>
        <w:rPr/>
        <w:t>for</w:t>
      </w:r>
      <w:r>
        <w:rPr>
          <w:spacing w:val="-7"/>
        </w:rPr>
        <w:t> </w:t>
      </w:r>
      <w:r>
        <w:rPr/>
        <w:t>10</w:t>
      </w:r>
      <w:r>
        <w:rPr>
          <w:spacing w:val="-8"/>
        </w:rPr>
        <w:t> </w:t>
      </w:r>
      <w:r>
        <w:rPr/>
        <w:t>days.</w:t>
      </w:r>
      <w:r>
        <w:rPr>
          <w:spacing w:val="-7"/>
        </w:rPr>
        <w:t> </w:t>
      </w:r>
      <w:r>
        <w:rPr/>
        <w:t>A</w:t>
      </w:r>
      <w:r>
        <w:rPr>
          <w:spacing w:val="-9"/>
        </w:rPr>
        <w:t> </w:t>
      </w:r>
      <w:r>
        <w:rPr/>
        <w:t>complete</w:t>
      </w:r>
      <w:r>
        <w:rPr>
          <w:spacing w:val="-8"/>
        </w:rPr>
        <w:t> </w:t>
      </w:r>
      <w:r>
        <w:rPr/>
        <w:t>remission</w:t>
      </w:r>
      <w:r>
        <w:rPr>
          <w:spacing w:val="-7"/>
        </w:rPr>
        <w:t> </w:t>
      </w:r>
      <w:r>
        <w:rPr/>
        <w:t>was</w:t>
      </w:r>
      <w:r>
        <w:rPr>
          <w:spacing w:val="-8"/>
        </w:rPr>
        <w:t> </w:t>
      </w:r>
      <w:r>
        <w:rPr/>
        <w:t>seen</w:t>
      </w:r>
      <w:r>
        <w:rPr>
          <w:spacing w:val="-7"/>
        </w:rPr>
        <w:t> </w:t>
      </w:r>
      <w:r>
        <w:rPr/>
        <w:t>in 40 % of the subjects and a partial remission was observed in a further 24</w:t>
      </w:r>
      <w:r>
        <w:rPr>
          <w:spacing w:val="-25"/>
        </w:rPr>
        <w:t> </w:t>
      </w:r>
      <w:r>
        <w:rPr/>
        <w:t>%.</w:t>
      </w:r>
      <w:r>
        <w:rPr>
          <w:position w:val="9"/>
          <w:sz w:val="25"/>
        </w:rPr>
        <w:t>186</w:t>
      </w:r>
    </w:p>
    <w:p>
      <w:pPr>
        <w:pStyle w:val="Heading1"/>
        <w:spacing w:line="261" w:lineRule="auto" w:before="222"/>
        <w:ind w:right="132"/>
      </w:pPr>
      <w:r>
        <w:rPr/>
        <w:t>Colostrum</w:t>
      </w:r>
      <w:r>
        <w:rPr>
          <w:spacing w:val="-62"/>
        </w:rPr>
        <w:t> </w:t>
      </w:r>
      <w:r>
        <w:rPr/>
        <w:t>has</w:t>
      </w:r>
      <w:r>
        <w:rPr>
          <w:spacing w:val="-61"/>
        </w:rPr>
        <w:t> </w:t>
      </w:r>
      <w:r>
        <w:rPr/>
        <w:t>an</w:t>
      </w:r>
      <w:r>
        <w:rPr>
          <w:spacing w:val="-61"/>
        </w:rPr>
        <w:t> </w:t>
      </w:r>
      <w:r>
        <w:rPr/>
        <w:t>effect</w:t>
      </w:r>
      <w:r>
        <w:rPr>
          <w:spacing w:val="-62"/>
        </w:rPr>
        <w:t> </w:t>
      </w:r>
      <w:r>
        <w:rPr/>
        <w:t>on</w:t>
      </w:r>
      <w:r>
        <w:rPr>
          <w:spacing w:val="-62"/>
        </w:rPr>
        <w:t> </w:t>
      </w:r>
      <w:r>
        <w:rPr/>
        <w:t>hyperglycaemia/high</w:t>
      </w:r>
      <w:r>
        <w:rPr>
          <w:spacing w:val="-61"/>
        </w:rPr>
        <w:t> </w:t>
      </w:r>
      <w:r>
        <w:rPr/>
        <w:t>blood</w:t>
      </w:r>
      <w:r>
        <w:rPr>
          <w:spacing w:val="-61"/>
        </w:rPr>
        <w:t> </w:t>
      </w:r>
      <w:r>
        <w:rPr/>
        <w:t>sugar</w:t>
      </w:r>
      <w:r>
        <w:rPr>
          <w:spacing w:val="-61"/>
        </w:rPr>
        <w:t> </w:t>
      </w:r>
      <w:r>
        <w:rPr/>
        <w:t>in</w:t>
      </w:r>
      <w:r>
        <w:rPr>
          <w:spacing w:val="-62"/>
        </w:rPr>
        <w:t> </w:t>
      </w:r>
      <w:r>
        <w:rPr/>
        <w:t>diabet- ics</w:t>
      </w:r>
    </w:p>
    <w:p>
      <w:pPr>
        <w:pStyle w:val="BodyText"/>
        <w:spacing w:line="276" w:lineRule="auto" w:before="260"/>
        <w:ind w:left="477"/>
        <w:rPr>
          <w:sz w:val="25"/>
        </w:rPr>
      </w:pPr>
      <w:r>
        <w:rPr/>
        <w:t>Colostrum IGF-1 stimulates glucose utilisation and may provide an alternative to insulin.</w:t>
      </w:r>
      <w:r>
        <w:rPr>
          <w:position w:val="9"/>
          <w:sz w:val="25"/>
        </w:rPr>
        <w:t>187</w:t>
      </w:r>
    </w:p>
    <w:p>
      <w:pPr>
        <w:pStyle w:val="Heading1"/>
        <w:spacing w:before="223"/>
        <w:jc w:val="both"/>
      </w:pPr>
      <w:r>
        <w:rPr/>
        <w:t>Colostrum counteracts any allergies</w:t>
      </w:r>
    </w:p>
    <w:p>
      <w:pPr>
        <w:pStyle w:val="BodyText"/>
        <w:spacing w:before="298"/>
        <w:ind w:left="477"/>
        <w:jc w:val="both"/>
        <w:rPr>
          <w:sz w:val="25"/>
        </w:rPr>
      </w:pPr>
      <w:r>
        <w:rPr/>
        <w:t>The IGE in colostrum regulates allergic reactions and can help prevent them.</w:t>
      </w:r>
      <w:r>
        <w:rPr>
          <w:position w:val="9"/>
          <w:sz w:val="25"/>
        </w:rPr>
        <w:t>188</w:t>
      </w:r>
    </w:p>
    <w:p>
      <w:pPr>
        <w:pStyle w:val="Heading1"/>
        <w:spacing w:before="287"/>
        <w:jc w:val="both"/>
      </w:pPr>
      <w:r>
        <w:rPr/>
        <w:t>Colostrum kills herpes viruses</w:t>
      </w:r>
    </w:p>
    <w:p>
      <w:pPr>
        <w:pStyle w:val="BodyText"/>
        <w:spacing w:before="299"/>
        <w:ind w:left="477"/>
        <w:jc w:val="both"/>
        <w:rPr>
          <w:sz w:val="25"/>
        </w:rPr>
      </w:pPr>
      <w:r>
        <w:rPr/>
        <w:t>The antibodies of colostrum were able to kill herpes simplex viruses.</w:t>
      </w:r>
      <w:r>
        <w:rPr>
          <w:position w:val="9"/>
          <w:sz w:val="25"/>
        </w:rPr>
        <w:t>189</w:t>
      </w:r>
    </w:p>
    <w:p>
      <w:pPr>
        <w:pStyle w:val="Heading2"/>
        <w:spacing w:before="305"/>
        <w:jc w:val="both"/>
      </w:pPr>
      <w:r>
        <w:rPr/>
        <w:t>Study on the effectiveness and safety of colostrum</w:t>
      </w:r>
    </w:p>
    <w:p>
      <w:pPr>
        <w:pStyle w:val="BodyText"/>
        <w:spacing w:before="304"/>
        <w:ind w:left="477"/>
        <w:jc w:val="both"/>
      </w:pPr>
      <w:r>
        <w:rPr/>
        <w:t>The oral intake of colostrum has been classified as effective and safe; there are</w:t>
      </w:r>
    </w:p>
    <w:p>
      <w:pPr>
        <w:pStyle w:val="BodyText"/>
        <w:rPr>
          <w:sz w:val="20"/>
        </w:rPr>
      </w:pPr>
    </w:p>
    <w:p>
      <w:pPr>
        <w:pStyle w:val="BodyText"/>
        <w:rPr>
          <w:sz w:val="20"/>
        </w:rPr>
      </w:pPr>
    </w:p>
    <w:p>
      <w:pPr>
        <w:pStyle w:val="BodyText"/>
        <w:spacing w:before="10"/>
        <w:rPr>
          <w:sz w:val="21"/>
        </w:rPr>
      </w:pPr>
      <w:r>
        <w:rPr/>
        <w:pict>
          <v:line style="position:absolute;mso-position-horizontal-relative:page;mso-position-vertical-relative:paragraph;z-index:1736;mso-wrap-distance-left:0;mso-wrap-distance-right:0" from="63.863998pt,14.676265pt" to="207.883998pt,14.676265pt" stroked="true" strokeweight=".71997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185 </w:t>
      </w:r>
      <w:r>
        <w:rPr>
          <w:sz w:val="20"/>
        </w:rPr>
        <w:t>Khazenson, L.B., 1980</w:t>
      </w:r>
    </w:p>
    <w:p>
      <w:pPr>
        <w:spacing w:before="94"/>
        <w:ind w:left="477" w:right="0" w:firstLine="0"/>
        <w:jc w:val="left"/>
        <w:rPr>
          <w:sz w:val="20"/>
        </w:rPr>
      </w:pPr>
      <w:r>
        <w:rPr>
          <w:position w:val="5"/>
          <w:sz w:val="13"/>
        </w:rPr>
        <w:t>186 </w:t>
      </w:r>
      <w:r>
        <w:rPr>
          <w:sz w:val="20"/>
        </w:rPr>
        <w:t>Plettenberg, et al., 1993, Clinical Investigator, Vol. 71, p. 42–45</w:t>
      </w:r>
    </w:p>
    <w:p>
      <w:pPr>
        <w:spacing w:before="95"/>
        <w:ind w:left="477" w:right="0" w:firstLine="0"/>
        <w:jc w:val="left"/>
        <w:rPr>
          <w:sz w:val="20"/>
        </w:rPr>
      </w:pPr>
      <w:r>
        <w:rPr>
          <w:position w:val="5"/>
          <w:sz w:val="13"/>
        </w:rPr>
        <w:t>187 </w:t>
      </w:r>
      <w:r>
        <w:rPr>
          <w:sz w:val="20"/>
        </w:rPr>
        <w:t>Dohm, Elton, et al., Diabetes, 30 Sept. 1990, p. 1028–32</w:t>
      </w:r>
    </w:p>
    <w:p>
      <w:pPr>
        <w:spacing w:before="94"/>
        <w:ind w:left="477" w:right="0" w:firstLine="0"/>
        <w:jc w:val="left"/>
        <w:rPr>
          <w:sz w:val="20"/>
        </w:rPr>
      </w:pPr>
      <w:r>
        <w:rPr>
          <w:position w:val="5"/>
          <w:sz w:val="13"/>
        </w:rPr>
        <w:t>188 </w:t>
      </w:r>
      <w:r>
        <w:rPr>
          <w:sz w:val="20"/>
        </w:rPr>
        <w:t>Tortora, Funke, Cast, 1982 Microbiology</w:t>
      </w:r>
    </w:p>
    <w:p>
      <w:pPr>
        <w:spacing w:before="94"/>
        <w:ind w:left="477" w:right="0" w:firstLine="0"/>
        <w:jc w:val="left"/>
        <w:rPr>
          <w:sz w:val="20"/>
        </w:rPr>
      </w:pPr>
      <w:r>
        <w:rPr>
          <w:position w:val="5"/>
          <w:sz w:val="13"/>
        </w:rPr>
        <w:t>189 </w:t>
      </w:r>
      <w:r>
        <w:rPr>
          <w:sz w:val="20"/>
        </w:rPr>
        <w:t>Rouse, B. T. et al., 1976 Infection and Immunity, 13, p. 1433 f.</w:t>
      </w:r>
    </w:p>
    <w:p>
      <w:pPr>
        <w:spacing w:after="0"/>
        <w:jc w:val="left"/>
        <w:rPr>
          <w:sz w:val="20"/>
        </w:rPr>
        <w:sectPr>
          <w:footerReference w:type="default" r:id="rId75"/>
          <w:pgSz w:w="14270" w:h="16850"/>
          <w:pgMar w:footer="1984" w:header="0" w:top="1600" w:bottom="2180" w:left="800" w:right="1280"/>
          <w:pgNumType w:start="292"/>
        </w:sectPr>
      </w:pPr>
    </w:p>
    <w:p>
      <w:pPr>
        <w:pStyle w:val="BodyText"/>
        <w:spacing w:before="181"/>
        <w:ind w:left="477"/>
        <w:rPr>
          <w:sz w:val="25"/>
        </w:rPr>
      </w:pPr>
      <w:r>
        <w:rPr/>
        <w:t>no known contraindications or overdoses.</w:t>
      </w:r>
      <w:r>
        <w:rPr>
          <w:position w:val="9"/>
          <w:sz w:val="25"/>
        </w:rPr>
        <w:t>190</w:t>
      </w:r>
    </w:p>
    <w:p>
      <w:pPr>
        <w:pStyle w:val="BodyText"/>
        <w:spacing w:before="10"/>
        <w:rPr>
          <w:sz w:val="46"/>
        </w:rPr>
      </w:pPr>
    </w:p>
    <w:p>
      <w:pPr>
        <w:pStyle w:val="Heading1"/>
        <w:spacing w:before="0"/>
      </w:pPr>
      <w:r>
        <w:rPr/>
        <w:t>Colostrum in diseases</w:t>
      </w:r>
    </w:p>
    <w:p>
      <w:pPr>
        <w:pStyle w:val="BodyText"/>
        <w:spacing w:line="276" w:lineRule="auto" w:before="299"/>
        <w:ind w:left="477" w:right="135"/>
        <w:jc w:val="both"/>
      </w:pPr>
      <w:r>
        <w:rPr/>
        <w:t>Proponents of the pharmaceutical industry and opponents of naturopathy</w:t>
      </w:r>
      <w:r>
        <w:rPr>
          <w:spacing w:val="-63"/>
        </w:rPr>
        <w:t> </w:t>
      </w:r>
      <w:r>
        <w:rPr/>
        <w:t>very often bring up the supposedly low bioavailability of colostrum. It is therefore wrongly argued that the immunoglobulins and growth factors contained in co- lostrum</w:t>
      </w:r>
      <w:r>
        <w:rPr>
          <w:spacing w:val="-11"/>
        </w:rPr>
        <w:t> </w:t>
      </w:r>
      <w:r>
        <w:rPr/>
        <w:t>would</w:t>
      </w:r>
      <w:r>
        <w:rPr>
          <w:spacing w:val="-10"/>
        </w:rPr>
        <w:t> </w:t>
      </w:r>
      <w:r>
        <w:rPr/>
        <w:t>not</w:t>
      </w:r>
      <w:r>
        <w:rPr>
          <w:spacing w:val="-11"/>
        </w:rPr>
        <w:t> </w:t>
      </w:r>
      <w:r>
        <w:rPr/>
        <w:t>survive</w:t>
      </w:r>
      <w:r>
        <w:rPr>
          <w:spacing w:val="-11"/>
        </w:rPr>
        <w:t> </w:t>
      </w:r>
      <w:r>
        <w:rPr/>
        <w:t>the</w:t>
      </w:r>
      <w:r>
        <w:rPr>
          <w:spacing w:val="-10"/>
        </w:rPr>
        <w:t> </w:t>
      </w:r>
      <w:r>
        <w:rPr/>
        <w:t>gastric</w:t>
      </w:r>
      <w:r>
        <w:rPr>
          <w:spacing w:val="-11"/>
        </w:rPr>
        <w:t> </w:t>
      </w:r>
      <w:r>
        <w:rPr/>
        <w:t>passage</w:t>
      </w:r>
      <w:r>
        <w:rPr>
          <w:spacing w:val="-10"/>
        </w:rPr>
        <w:t> </w:t>
      </w:r>
      <w:r>
        <w:rPr/>
        <w:t>and</w:t>
      </w:r>
      <w:r>
        <w:rPr>
          <w:spacing w:val="-10"/>
        </w:rPr>
        <w:t> </w:t>
      </w:r>
      <w:r>
        <w:rPr/>
        <w:t>be</w:t>
      </w:r>
      <w:r>
        <w:rPr>
          <w:spacing w:val="-10"/>
        </w:rPr>
        <w:t> </w:t>
      </w:r>
      <w:r>
        <w:rPr/>
        <w:t>destroyed</w:t>
      </w:r>
      <w:r>
        <w:rPr>
          <w:spacing w:val="-10"/>
        </w:rPr>
        <w:t> </w:t>
      </w:r>
      <w:r>
        <w:rPr/>
        <w:t>by</w:t>
      </w:r>
      <w:r>
        <w:rPr>
          <w:spacing w:val="-12"/>
        </w:rPr>
        <w:t> </w:t>
      </w:r>
      <w:r>
        <w:rPr/>
        <w:t>our</w:t>
      </w:r>
      <w:r>
        <w:rPr>
          <w:spacing w:val="-10"/>
        </w:rPr>
        <w:t> </w:t>
      </w:r>
      <w:r>
        <w:rPr/>
        <w:t>stomach acid.</w:t>
      </w:r>
    </w:p>
    <w:p>
      <w:pPr>
        <w:pStyle w:val="BodyText"/>
        <w:spacing w:line="276" w:lineRule="auto" w:before="240"/>
        <w:ind w:left="477" w:right="135"/>
        <w:jc w:val="both"/>
        <w:rPr>
          <w:sz w:val="25"/>
        </w:rPr>
      </w:pPr>
      <w:r>
        <w:rPr/>
        <w:t>As Dr. Pineo and his colleagues managed to prove in 1975, bovine colostrum contains a so-called glycoprotein, which in turn contains protease inhibitors, which ensure that the immunoglobulins and the growth factors are not de- stroyed by gastric acids, even in the stomach of an adult.</w:t>
      </w:r>
      <w:r>
        <w:rPr>
          <w:position w:val="9"/>
          <w:sz w:val="25"/>
        </w:rPr>
        <w:t>191</w:t>
      </w:r>
    </w:p>
    <w:p>
      <w:pPr>
        <w:pStyle w:val="BodyText"/>
        <w:spacing w:line="276" w:lineRule="auto" w:before="240"/>
        <w:ind w:left="477" w:right="132"/>
        <w:jc w:val="both"/>
        <w:rPr>
          <w:sz w:val="25"/>
        </w:rPr>
      </w:pPr>
      <w:r>
        <w:rPr/>
        <w:t>Furthermore, Dr. Sandholm and his team of scientists demonstrated that bo- vine colostrum has a very potent trypsin inhibitor that protects the immuno- globulins in colostrum from gastric acid breakdown.</w:t>
      </w:r>
      <w:r>
        <w:rPr>
          <w:position w:val="9"/>
          <w:sz w:val="25"/>
        </w:rPr>
        <w:t>192</w:t>
      </w:r>
    </w:p>
    <w:p>
      <w:pPr>
        <w:pStyle w:val="BodyText"/>
        <w:spacing w:line="276" w:lineRule="auto" w:before="241"/>
        <w:ind w:left="477" w:right="138"/>
        <w:jc w:val="both"/>
      </w:pPr>
      <w:r>
        <w:rPr/>
        <w:t>Colostrum</w:t>
      </w:r>
      <w:r>
        <w:rPr>
          <w:spacing w:val="-21"/>
        </w:rPr>
        <w:t> </w:t>
      </w:r>
      <w:r>
        <w:rPr/>
        <w:t>has</w:t>
      </w:r>
      <w:r>
        <w:rPr>
          <w:spacing w:val="-20"/>
        </w:rPr>
        <w:t> </w:t>
      </w:r>
      <w:r>
        <w:rPr/>
        <w:t>proven</w:t>
      </w:r>
      <w:r>
        <w:rPr>
          <w:spacing w:val="-20"/>
        </w:rPr>
        <w:t> </w:t>
      </w:r>
      <w:r>
        <w:rPr/>
        <w:t>itself</w:t>
      </w:r>
      <w:r>
        <w:rPr>
          <w:spacing w:val="-22"/>
        </w:rPr>
        <w:t> </w:t>
      </w:r>
      <w:r>
        <w:rPr/>
        <w:t>for</w:t>
      </w:r>
      <w:r>
        <w:rPr>
          <w:spacing w:val="-23"/>
        </w:rPr>
        <w:t> </w:t>
      </w:r>
      <w:r>
        <w:rPr/>
        <w:t>many</w:t>
      </w:r>
      <w:r>
        <w:rPr>
          <w:spacing w:val="-20"/>
        </w:rPr>
        <w:t> </w:t>
      </w:r>
      <w:r>
        <w:rPr/>
        <w:t>centuries</w:t>
      </w:r>
      <w:r>
        <w:rPr>
          <w:spacing w:val="-21"/>
        </w:rPr>
        <w:t> </w:t>
      </w:r>
      <w:r>
        <w:rPr/>
        <w:t>in</w:t>
      </w:r>
      <w:r>
        <w:rPr>
          <w:spacing w:val="-21"/>
        </w:rPr>
        <w:t> </w:t>
      </w:r>
      <w:r>
        <w:rPr/>
        <w:t>the</w:t>
      </w:r>
      <w:r>
        <w:rPr>
          <w:spacing w:val="-20"/>
        </w:rPr>
        <w:t> </w:t>
      </w:r>
      <w:r>
        <w:rPr/>
        <w:t>diseases</w:t>
      </w:r>
      <w:r>
        <w:rPr>
          <w:spacing w:val="-21"/>
        </w:rPr>
        <w:t> </w:t>
      </w:r>
      <w:r>
        <w:rPr/>
        <w:t>and</w:t>
      </w:r>
      <w:r>
        <w:rPr>
          <w:spacing w:val="-22"/>
        </w:rPr>
        <w:t> </w:t>
      </w:r>
      <w:r>
        <w:rPr/>
        <w:t>disease</w:t>
      </w:r>
      <w:r>
        <w:rPr>
          <w:spacing w:val="-20"/>
        </w:rPr>
        <w:t> </w:t>
      </w:r>
      <w:r>
        <w:rPr/>
        <w:t>states listed</w:t>
      </w:r>
      <w:r>
        <w:rPr>
          <w:spacing w:val="-2"/>
        </w:rPr>
        <w:t> </w:t>
      </w:r>
      <w:r>
        <w:rPr/>
        <w:t>below:</w:t>
      </w:r>
    </w:p>
    <w:p>
      <w:pPr>
        <w:pStyle w:val="BodyText"/>
        <w:spacing w:before="8"/>
        <w:rPr>
          <w:sz w:val="42"/>
        </w:rPr>
      </w:pPr>
    </w:p>
    <w:p>
      <w:pPr>
        <w:pStyle w:val="Heading2"/>
        <w:jc w:val="both"/>
      </w:pPr>
      <w:r>
        <w:rPr/>
        <w:t>Colostrum and its effect on autoimmune diseases/weak immune</w:t>
      </w:r>
      <w:r>
        <w:rPr>
          <w:spacing w:val="-60"/>
        </w:rPr>
        <w:t> </w:t>
      </w:r>
      <w:r>
        <w:rPr/>
        <w:t>system</w:t>
      </w:r>
    </w:p>
    <w:p>
      <w:pPr>
        <w:pStyle w:val="BodyText"/>
        <w:rPr>
          <w:b/>
          <w:sz w:val="20"/>
        </w:rPr>
      </w:pPr>
    </w:p>
    <w:p>
      <w:pPr>
        <w:pStyle w:val="BodyText"/>
        <w:rPr>
          <w:b/>
          <w:sz w:val="20"/>
        </w:rPr>
      </w:pPr>
    </w:p>
    <w:p>
      <w:pPr>
        <w:pStyle w:val="BodyText"/>
        <w:rPr>
          <w:b/>
          <w:sz w:val="20"/>
        </w:rPr>
      </w:pPr>
    </w:p>
    <w:p>
      <w:pPr>
        <w:pStyle w:val="BodyText"/>
        <w:spacing w:before="3"/>
        <w:rPr>
          <w:b/>
          <w:sz w:val="27"/>
        </w:rPr>
      </w:pPr>
      <w:r>
        <w:rPr/>
        <w:pict>
          <v:line style="position:absolute;mso-position-horizontal-relative:page;mso-position-vertical-relative:paragraph;z-index:1760;mso-wrap-distance-left:0;mso-wrap-distance-right:0" from="63.863998pt,17.712515pt" to="207.883998pt,17.712515pt" stroked="true" strokeweight=".71997pt" strokecolor="#000000">
            <v:stroke dashstyle="solid"/>
            <w10:wrap type="topAndBottom"/>
          </v:line>
        </w:pict>
      </w:r>
    </w:p>
    <w:p>
      <w:pPr>
        <w:pStyle w:val="BodyText"/>
        <w:spacing w:before="7"/>
        <w:rPr>
          <w:b/>
          <w:sz w:val="18"/>
        </w:rPr>
      </w:pPr>
    </w:p>
    <w:p>
      <w:pPr>
        <w:spacing w:before="99"/>
        <w:ind w:left="477" w:right="0" w:firstLine="0"/>
        <w:jc w:val="left"/>
        <w:rPr>
          <w:sz w:val="20"/>
        </w:rPr>
      </w:pPr>
      <w:r>
        <w:rPr>
          <w:position w:val="5"/>
          <w:sz w:val="13"/>
        </w:rPr>
        <w:t>190 </w:t>
      </w:r>
      <w:r>
        <w:rPr>
          <w:sz w:val="20"/>
        </w:rPr>
        <w:t>Preston, R. 1987, International Institute of Nutritional Research</w:t>
      </w:r>
    </w:p>
    <w:p>
      <w:pPr>
        <w:spacing w:before="94"/>
        <w:ind w:left="477" w:right="0" w:firstLine="0"/>
        <w:jc w:val="left"/>
        <w:rPr>
          <w:sz w:val="20"/>
        </w:rPr>
      </w:pPr>
      <w:r>
        <w:rPr>
          <w:position w:val="5"/>
          <w:sz w:val="13"/>
        </w:rPr>
        <w:t>191 </w:t>
      </w:r>
      <w:r>
        <w:rPr>
          <w:sz w:val="20"/>
        </w:rPr>
        <w:t>Pineo, A. et al. Biochemical Biophysiology Acta (Amsterdam, 1975) 379, p.</w:t>
      </w:r>
      <w:r>
        <w:rPr>
          <w:spacing w:val="-17"/>
          <w:sz w:val="20"/>
        </w:rPr>
        <w:t> </w:t>
      </w:r>
      <w:r>
        <w:rPr>
          <w:sz w:val="20"/>
        </w:rPr>
        <w:t>201–206</w:t>
      </w:r>
    </w:p>
    <w:p>
      <w:pPr>
        <w:spacing w:before="92"/>
        <w:ind w:left="477" w:right="0" w:firstLine="0"/>
        <w:jc w:val="left"/>
        <w:rPr>
          <w:rFonts w:ascii="Calibri" w:hAnsi="Calibri"/>
          <w:sz w:val="20"/>
        </w:rPr>
      </w:pPr>
      <w:r>
        <w:rPr>
          <w:rFonts w:ascii="Calibri" w:hAnsi="Calibri"/>
          <w:position w:val="7"/>
          <w:sz w:val="13"/>
        </w:rPr>
        <w:t>192 </w:t>
      </w:r>
      <w:r>
        <w:rPr>
          <w:rFonts w:ascii="Calibri" w:hAnsi="Calibri"/>
          <w:sz w:val="20"/>
        </w:rPr>
        <w:t>Sandholm et al.: Acta Veterinaria Scandinavia, 1980, Vol. 20 No. 4, p. 469–476</w:t>
      </w:r>
      <w:r>
        <w:rPr>
          <w:rFonts w:ascii="Calibri" w:hAnsi="Calibri"/>
          <w:spacing w:val="-16"/>
          <w:sz w:val="20"/>
        </w:rPr>
        <w:t> </w:t>
      </w:r>
      <w:r>
        <w:rPr>
          <w:rFonts w:ascii="Calibri" w:hAnsi="Calibri"/>
          <w:sz w:val="20"/>
        </w:rPr>
        <w:t>f.</w:t>
      </w:r>
    </w:p>
    <w:p>
      <w:pPr>
        <w:spacing w:after="0"/>
        <w:jc w:val="left"/>
        <w:rPr>
          <w:rFonts w:ascii="Calibri" w:hAnsi="Calibri"/>
          <w:sz w:val="20"/>
        </w:rPr>
        <w:sectPr>
          <w:pgSz w:w="14270" w:h="16850"/>
          <w:pgMar w:header="0" w:footer="1984" w:top="1600" w:bottom="2500" w:left="800" w:right="1280"/>
        </w:sectPr>
      </w:pPr>
    </w:p>
    <w:p>
      <w:pPr>
        <w:pStyle w:val="BodyText"/>
        <w:spacing w:line="276" w:lineRule="auto" w:before="181"/>
        <w:ind w:left="477" w:right="136"/>
        <w:jc w:val="both"/>
      </w:pPr>
      <w:r>
        <w:rPr/>
        <w:t>Our</w:t>
      </w:r>
      <w:r>
        <w:rPr>
          <w:spacing w:val="-9"/>
        </w:rPr>
        <w:t> </w:t>
      </w:r>
      <w:r>
        <w:rPr/>
        <w:t>immune</w:t>
      </w:r>
      <w:r>
        <w:rPr>
          <w:spacing w:val="-9"/>
        </w:rPr>
        <w:t> </w:t>
      </w:r>
      <w:r>
        <w:rPr/>
        <w:t>system</w:t>
      </w:r>
      <w:r>
        <w:rPr>
          <w:spacing w:val="-9"/>
        </w:rPr>
        <w:t> </w:t>
      </w:r>
      <w:r>
        <w:rPr/>
        <w:t>controls</w:t>
      </w:r>
      <w:r>
        <w:rPr>
          <w:spacing w:val="-9"/>
        </w:rPr>
        <w:t> </w:t>
      </w:r>
      <w:r>
        <w:rPr/>
        <w:t>the</w:t>
      </w:r>
      <w:r>
        <w:rPr>
          <w:spacing w:val="-11"/>
        </w:rPr>
        <w:t> </w:t>
      </w:r>
      <w:r>
        <w:rPr/>
        <w:t>body's</w:t>
      </w:r>
      <w:r>
        <w:rPr>
          <w:spacing w:val="-8"/>
        </w:rPr>
        <w:t> </w:t>
      </w:r>
      <w:r>
        <w:rPr/>
        <w:t>defences,</w:t>
      </w:r>
      <w:r>
        <w:rPr>
          <w:spacing w:val="-9"/>
        </w:rPr>
        <w:t> </w:t>
      </w:r>
      <w:r>
        <w:rPr/>
        <w:t>which</w:t>
      </w:r>
      <w:r>
        <w:rPr>
          <w:spacing w:val="-8"/>
        </w:rPr>
        <w:t> </w:t>
      </w:r>
      <w:r>
        <w:rPr/>
        <w:t>protect</w:t>
      </w:r>
      <w:r>
        <w:rPr>
          <w:spacing w:val="-12"/>
        </w:rPr>
        <w:t> </w:t>
      </w:r>
      <w:r>
        <w:rPr/>
        <w:t>us</w:t>
      </w:r>
      <w:r>
        <w:rPr>
          <w:spacing w:val="-10"/>
        </w:rPr>
        <w:t> </w:t>
      </w:r>
      <w:r>
        <w:rPr/>
        <w:t>against</w:t>
      </w:r>
      <w:r>
        <w:rPr>
          <w:spacing w:val="-10"/>
        </w:rPr>
        <w:t> </w:t>
      </w:r>
      <w:r>
        <w:rPr/>
        <w:t>dis- eases such as influenza, cold, bacterial and viral diseases. Our immune system shows natural weaknesses in old age, but external circumstances such as smok- ing, alcohol consumption, stress, environmental pollution and unhealthy diet can also weaken</w:t>
      </w:r>
      <w:r>
        <w:rPr>
          <w:spacing w:val="3"/>
        </w:rPr>
        <w:t> </w:t>
      </w:r>
      <w:r>
        <w:rPr/>
        <w:t>it.</w:t>
      </w:r>
    </w:p>
    <w:p>
      <w:pPr>
        <w:pStyle w:val="Heading2"/>
        <w:spacing w:line="276" w:lineRule="auto" w:before="240"/>
      </w:pPr>
      <w:r>
        <w:rPr/>
        <w:t>A weakened immune system expresses itself for example by symptoms like:</w:t>
      </w:r>
    </w:p>
    <w:p>
      <w:pPr>
        <w:pStyle w:val="ListParagraph"/>
        <w:numPr>
          <w:ilvl w:val="0"/>
          <w:numId w:val="26"/>
        </w:numPr>
        <w:tabs>
          <w:tab w:pos="1198" w:val="left" w:leader="none"/>
        </w:tabs>
        <w:spacing w:line="240" w:lineRule="auto" w:before="243" w:after="0"/>
        <w:ind w:left="1048" w:right="0" w:hanging="571"/>
        <w:jc w:val="both"/>
        <w:rPr>
          <w:sz w:val="38"/>
        </w:rPr>
      </w:pPr>
      <w:r>
        <w:rPr>
          <w:sz w:val="38"/>
        </w:rPr>
        <w:t>lethargy/lack of energy</w:t>
      </w:r>
    </w:p>
    <w:p>
      <w:pPr>
        <w:pStyle w:val="ListParagraph"/>
        <w:numPr>
          <w:ilvl w:val="0"/>
          <w:numId w:val="26"/>
        </w:numPr>
        <w:tabs>
          <w:tab w:pos="1198" w:val="left" w:leader="none"/>
        </w:tabs>
        <w:spacing w:line="240" w:lineRule="auto" w:before="183" w:after="0"/>
        <w:ind w:left="1048" w:right="0" w:hanging="571"/>
        <w:jc w:val="both"/>
        <w:rPr>
          <w:sz w:val="38"/>
        </w:rPr>
      </w:pPr>
      <w:r>
        <w:rPr>
          <w:sz w:val="38"/>
        </w:rPr>
        <w:t>fatigue</w:t>
      </w:r>
    </w:p>
    <w:p>
      <w:pPr>
        <w:pStyle w:val="ListParagraph"/>
        <w:numPr>
          <w:ilvl w:val="0"/>
          <w:numId w:val="26"/>
        </w:numPr>
        <w:tabs>
          <w:tab w:pos="1198" w:val="left" w:leader="none"/>
        </w:tabs>
        <w:spacing w:line="240" w:lineRule="auto" w:before="184" w:after="0"/>
        <w:ind w:left="1048" w:right="0" w:hanging="571"/>
        <w:jc w:val="both"/>
        <w:rPr>
          <w:sz w:val="38"/>
        </w:rPr>
      </w:pPr>
      <w:r>
        <w:rPr>
          <w:sz w:val="38"/>
        </w:rPr>
        <w:t>tendency to colds and</w:t>
      </w:r>
      <w:r>
        <w:rPr>
          <w:spacing w:val="3"/>
          <w:sz w:val="38"/>
        </w:rPr>
        <w:t> </w:t>
      </w:r>
      <w:r>
        <w:rPr>
          <w:sz w:val="38"/>
        </w:rPr>
        <w:t>infections</w:t>
      </w:r>
    </w:p>
    <w:p>
      <w:pPr>
        <w:pStyle w:val="ListParagraph"/>
        <w:numPr>
          <w:ilvl w:val="0"/>
          <w:numId w:val="26"/>
        </w:numPr>
        <w:tabs>
          <w:tab w:pos="1198" w:val="left" w:leader="none"/>
        </w:tabs>
        <w:spacing w:line="240" w:lineRule="auto" w:before="186" w:after="0"/>
        <w:ind w:left="1048" w:right="0" w:hanging="571"/>
        <w:jc w:val="both"/>
        <w:rPr>
          <w:sz w:val="38"/>
        </w:rPr>
      </w:pPr>
      <w:r>
        <w:rPr>
          <w:sz w:val="38"/>
        </w:rPr>
        <w:t>loss of</w:t>
      </w:r>
      <w:r>
        <w:rPr>
          <w:spacing w:val="1"/>
          <w:sz w:val="38"/>
        </w:rPr>
        <w:t> </w:t>
      </w:r>
      <w:r>
        <w:rPr>
          <w:sz w:val="38"/>
        </w:rPr>
        <w:t>appetite</w:t>
      </w:r>
    </w:p>
    <w:p>
      <w:pPr>
        <w:pStyle w:val="ListParagraph"/>
        <w:numPr>
          <w:ilvl w:val="0"/>
          <w:numId w:val="26"/>
        </w:numPr>
        <w:tabs>
          <w:tab w:pos="1198" w:val="left" w:leader="none"/>
        </w:tabs>
        <w:spacing w:line="240" w:lineRule="auto" w:before="184" w:after="0"/>
        <w:ind w:left="1048" w:right="0" w:hanging="571"/>
        <w:jc w:val="both"/>
        <w:rPr>
          <w:sz w:val="38"/>
        </w:rPr>
      </w:pPr>
      <w:r>
        <w:rPr>
          <w:sz w:val="38"/>
        </w:rPr>
        <w:t>weight</w:t>
      </w:r>
      <w:r>
        <w:rPr>
          <w:spacing w:val="-1"/>
          <w:sz w:val="38"/>
        </w:rPr>
        <w:t> </w:t>
      </w:r>
      <w:r>
        <w:rPr>
          <w:sz w:val="38"/>
        </w:rPr>
        <w:t>loss</w:t>
      </w:r>
    </w:p>
    <w:p>
      <w:pPr>
        <w:pStyle w:val="ListParagraph"/>
        <w:numPr>
          <w:ilvl w:val="0"/>
          <w:numId w:val="26"/>
        </w:numPr>
        <w:tabs>
          <w:tab w:pos="1198" w:val="left" w:leader="none"/>
        </w:tabs>
        <w:spacing w:line="240" w:lineRule="auto" w:before="184" w:after="0"/>
        <w:ind w:left="1048" w:right="0" w:hanging="571"/>
        <w:jc w:val="both"/>
        <w:rPr>
          <w:sz w:val="38"/>
        </w:rPr>
      </w:pPr>
      <w:r>
        <w:rPr>
          <w:sz w:val="38"/>
        </w:rPr>
        <w:t>swollen lymph</w:t>
      </w:r>
      <w:r>
        <w:rPr>
          <w:spacing w:val="1"/>
          <w:sz w:val="38"/>
        </w:rPr>
        <w:t> </w:t>
      </w:r>
      <w:r>
        <w:rPr>
          <w:sz w:val="38"/>
        </w:rPr>
        <w:t>nodes</w:t>
      </w:r>
    </w:p>
    <w:p>
      <w:pPr>
        <w:pStyle w:val="ListParagraph"/>
        <w:numPr>
          <w:ilvl w:val="0"/>
          <w:numId w:val="26"/>
        </w:numPr>
        <w:tabs>
          <w:tab w:pos="1198" w:val="left" w:leader="none"/>
        </w:tabs>
        <w:spacing w:line="240" w:lineRule="auto" w:before="183" w:after="0"/>
        <w:ind w:left="1048" w:right="0" w:hanging="571"/>
        <w:jc w:val="both"/>
        <w:rPr>
          <w:sz w:val="38"/>
        </w:rPr>
      </w:pPr>
      <w:r>
        <w:rPr>
          <w:sz w:val="38"/>
        </w:rPr>
        <w:t>fever</w:t>
      </w:r>
    </w:p>
    <w:p>
      <w:pPr>
        <w:pStyle w:val="ListParagraph"/>
        <w:numPr>
          <w:ilvl w:val="0"/>
          <w:numId w:val="26"/>
        </w:numPr>
        <w:tabs>
          <w:tab w:pos="1198" w:val="left" w:leader="none"/>
        </w:tabs>
        <w:spacing w:line="240" w:lineRule="auto" w:before="186" w:after="0"/>
        <w:ind w:left="1048" w:right="0" w:hanging="571"/>
        <w:jc w:val="both"/>
        <w:rPr>
          <w:sz w:val="38"/>
        </w:rPr>
      </w:pPr>
      <w:r>
        <w:rPr>
          <w:sz w:val="38"/>
        </w:rPr>
        <w:t>sweats</w:t>
      </w:r>
    </w:p>
    <w:p>
      <w:pPr>
        <w:pStyle w:val="ListParagraph"/>
        <w:numPr>
          <w:ilvl w:val="0"/>
          <w:numId w:val="26"/>
        </w:numPr>
        <w:tabs>
          <w:tab w:pos="1198" w:val="left" w:leader="none"/>
        </w:tabs>
        <w:spacing w:line="240" w:lineRule="auto" w:before="184" w:after="0"/>
        <w:ind w:left="1048" w:right="0" w:hanging="571"/>
        <w:jc w:val="both"/>
        <w:rPr>
          <w:sz w:val="38"/>
        </w:rPr>
      </w:pPr>
      <w:r>
        <w:rPr>
          <w:sz w:val="38"/>
        </w:rPr>
        <w:t>diarrhoea</w:t>
      </w:r>
    </w:p>
    <w:p>
      <w:pPr>
        <w:pStyle w:val="ListParagraph"/>
        <w:numPr>
          <w:ilvl w:val="0"/>
          <w:numId w:val="26"/>
        </w:numPr>
        <w:tabs>
          <w:tab w:pos="1198" w:val="left" w:leader="none"/>
        </w:tabs>
        <w:spacing w:line="240" w:lineRule="auto" w:before="184" w:after="0"/>
        <w:ind w:left="1048" w:right="0" w:hanging="571"/>
        <w:jc w:val="both"/>
        <w:rPr>
          <w:sz w:val="38"/>
        </w:rPr>
      </w:pPr>
      <w:r>
        <w:rPr>
          <w:sz w:val="38"/>
        </w:rPr>
        <w:t>skin rashes</w:t>
      </w:r>
    </w:p>
    <w:p>
      <w:pPr>
        <w:pStyle w:val="BodyText"/>
        <w:spacing w:before="2"/>
        <w:rPr>
          <w:sz w:val="48"/>
        </w:rPr>
      </w:pPr>
    </w:p>
    <w:p>
      <w:pPr>
        <w:pStyle w:val="Heading2"/>
        <w:jc w:val="both"/>
      </w:pPr>
      <w:r>
        <w:rPr/>
        <w:t>Autoimmune diseases</w:t>
      </w:r>
    </w:p>
    <w:p>
      <w:pPr>
        <w:spacing w:after="0"/>
        <w:jc w:val="both"/>
        <w:sectPr>
          <w:footerReference w:type="default" r:id="rId76"/>
          <w:pgSz w:w="14270" w:h="16850"/>
          <w:pgMar w:footer="1891" w:header="0" w:top="1600" w:bottom="2080" w:left="800" w:right="1280"/>
          <w:pgNumType w:start="294"/>
        </w:sectPr>
      </w:pPr>
    </w:p>
    <w:p>
      <w:pPr>
        <w:pStyle w:val="BodyText"/>
        <w:spacing w:line="276" w:lineRule="auto" w:before="181"/>
        <w:ind w:left="477" w:right="133"/>
        <w:jc w:val="both"/>
      </w:pPr>
      <w:r>
        <w:rPr/>
        <w:t>Autoimmune diseases manifest themselves by the fact that our immune</w:t>
      </w:r>
      <w:r>
        <w:rPr>
          <w:spacing w:val="-48"/>
        </w:rPr>
        <w:t> </w:t>
      </w:r>
      <w:r>
        <w:rPr/>
        <w:t>system is either too weak to protect us from external pathogens (flu viruses, bacteria, etc.), or it fails to recognise healthy body cells as such and attacks them. These autoimmune diseases</w:t>
      </w:r>
      <w:r>
        <w:rPr>
          <w:spacing w:val="1"/>
        </w:rPr>
        <w:t> </w:t>
      </w:r>
      <w:r>
        <w:rPr/>
        <w:t>include:</w:t>
      </w:r>
    </w:p>
    <w:p>
      <w:pPr>
        <w:pStyle w:val="ListParagraph"/>
        <w:numPr>
          <w:ilvl w:val="0"/>
          <w:numId w:val="26"/>
        </w:numPr>
        <w:tabs>
          <w:tab w:pos="1198" w:val="left" w:leader="none"/>
        </w:tabs>
        <w:spacing w:line="240" w:lineRule="auto" w:before="243" w:after="0"/>
        <w:ind w:left="1048" w:right="0" w:hanging="571"/>
        <w:jc w:val="both"/>
        <w:rPr>
          <w:sz w:val="38"/>
        </w:rPr>
      </w:pPr>
      <w:r>
        <w:rPr>
          <w:sz w:val="38"/>
        </w:rPr>
        <w:t>HIV/AIDS</w:t>
      </w:r>
    </w:p>
    <w:p>
      <w:pPr>
        <w:pStyle w:val="ListParagraph"/>
        <w:numPr>
          <w:ilvl w:val="0"/>
          <w:numId w:val="26"/>
        </w:numPr>
        <w:tabs>
          <w:tab w:pos="1198" w:val="left" w:leader="none"/>
        </w:tabs>
        <w:spacing w:line="240" w:lineRule="auto" w:before="184" w:after="0"/>
        <w:ind w:left="1048" w:right="0" w:hanging="571"/>
        <w:jc w:val="both"/>
        <w:rPr>
          <w:sz w:val="38"/>
        </w:rPr>
      </w:pPr>
      <w:r>
        <w:rPr>
          <w:sz w:val="38"/>
        </w:rPr>
        <w:t>inflammation</w:t>
      </w:r>
    </w:p>
    <w:p>
      <w:pPr>
        <w:pStyle w:val="ListParagraph"/>
        <w:numPr>
          <w:ilvl w:val="0"/>
          <w:numId w:val="26"/>
        </w:numPr>
        <w:tabs>
          <w:tab w:pos="1198" w:val="left" w:leader="none"/>
        </w:tabs>
        <w:spacing w:line="240" w:lineRule="auto" w:before="184" w:after="0"/>
        <w:ind w:left="1048" w:right="0" w:hanging="571"/>
        <w:jc w:val="both"/>
        <w:rPr>
          <w:sz w:val="38"/>
        </w:rPr>
      </w:pPr>
      <w:r>
        <w:rPr>
          <w:sz w:val="38"/>
        </w:rPr>
        <w:t>arthritis</w:t>
      </w:r>
    </w:p>
    <w:p>
      <w:pPr>
        <w:pStyle w:val="ListParagraph"/>
        <w:numPr>
          <w:ilvl w:val="0"/>
          <w:numId w:val="26"/>
        </w:numPr>
        <w:tabs>
          <w:tab w:pos="1198" w:val="left" w:leader="none"/>
        </w:tabs>
        <w:spacing w:line="240" w:lineRule="auto" w:before="184" w:after="0"/>
        <w:ind w:left="1048" w:right="0" w:hanging="571"/>
        <w:jc w:val="both"/>
        <w:rPr>
          <w:sz w:val="38"/>
        </w:rPr>
      </w:pPr>
      <w:r>
        <w:rPr>
          <w:sz w:val="38"/>
        </w:rPr>
        <w:t>allergies</w:t>
      </w:r>
    </w:p>
    <w:p>
      <w:pPr>
        <w:pStyle w:val="ListParagraph"/>
        <w:numPr>
          <w:ilvl w:val="0"/>
          <w:numId w:val="26"/>
        </w:numPr>
        <w:tabs>
          <w:tab w:pos="1198" w:val="left" w:leader="none"/>
        </w:tabs>
        <w:spacing w:line="240" w:lineRule="auto" w:before="184" w:after="0"/>
        <w:ind w:left="1048" w:right="0" w:hanging="571"/>
        <w:jc w:val="both"/>
        <w:rPr>
          <w:sz w:val="38"/>
        </w:rPr>
      </w:pPr>
      <w:r>
        <w:rPr>
          <w:sz w:val="38"/>
        </w:rPr>
        <w:t>multiple</w:t>
      </w:r>
      <w:r>
        <w:rPr>
          <w:spacing w:val="-1"/>
          <w:sz w:val="38"/>
        </w:rPr>
        <w:t> </w:t>
      </w:r>
      <w:r>
        <w:rPr>
          <w:sz w:val="38"/>
        </w:rPr>
        <w:t>sclerosis</w:t>
      </w:r>
    </w:p>
    <w:p>
      <w:pPr>
        <w:pStyle w:val="ListParagraph"/>
        <w:numPr>
          <w:ilvl w:val="0"/>
          <w:numId w:val="26"/>
        </w:numPr>
        <w:tabs>
          <w:tab w:pos="1198" w:val="left" w:leader="none"/>
        </w:tabs>
        <w:spacing w:line="240" w:lineRule="auto" w:before="186" w:after="0"/>
        <w:ind w:left="1048" w:right="0" w:hanging="571"/>
        <w:jc w:val="both"/>
        <w:rPr>
          <w:sz w:val="38"/>
        </w:rPr>
      </w:pPr>
      <w:r>
        <w:rPr>
          <w:sz w:val="38"/>
        </w:rPr>
        <w:t>asthma</w:t>
      </w:r>
    </w:p>
    <w:p>
      <w:pPr>
        <w:pStyle w:val="ListParagraph"/>
        <w:numPr>
          <w:ilvl w:val="0"/>
          <w:numId w:val="26"/>
        </w:numPr>
        <w:tabs>
          <w:tab w:pos="1198" w:val="left" w:leader="none"/>
        </w:tabs>
        <w:spacing w:line="240" w:lineRule="auto" w:before="183" w:after="0"/>
        <w:ind w:left="1048" w:right="0" w:hanging="571"/>
        <w:jc w:val="both"/>
        <w:rPr>
          <w:sz w:val="38"/>
        </w:rPr>
      </w:pPr>
      <w:r>
        <w:rPr>
          <w:sz w:val="38"/>
        </w:rPr>
        <w:t>cancer</w:t>
      </w:r>
    </w:p>
    <w:p>
      <w:pPr>
        <w:pStyle w:val="ListParagraph"/>
        <w:numPr>
          <w:ilvl w:val="0"/>
          <w:numId w:val="26"/>
        </w:numPr>
        <w:tabs>
          <w:tab w:pos="1198" w:val="left" w:leader="none"/>
        </w:tabs>
        <w:spacing w:line="240" w:lineRule="auto" w:before="184" w:after="0"/>
        <w:ind w:left="1048" w:right="0" w:hanging="571"/>
        <w:jc w:val="both"/>
        <w:rPr>
          <w:sz w:val="38"/>
        </w:rPr>
      </w:pPr>
      <w:r>
        <w:rPr>
          <w:sz w:val="38"/>
        </w:rPr>
        <w:t>type 2 diabetes</w:t>
      </w:r>
      <w:r>
        <w:rPr>
          <w:spacing w:val="1"/>
          <w:sz w:val="38"/>
        </w:rPr>
        <w:t> </w:t>
      </w:r>
      <w:r>
        <w:rPr>
          <w:sz w:val="38"/>
        </w:rPr>
        <w:t>mellitus</w:t>
      </w:r>
    </w:p>
    <w:p>
      <w:pPr>
        <w:pStyle w:val="ListParagraph"/>
        <w:numPr>
          <w:ilvl w:val="0"/>
          <w:numId w:val="26"/>
        </w:numPr>
        <w:tabs>
          <w:tab w:pos="1198" w:val="left" w:leader="none"/>
        </w:tabs>
        <w:spacing w:line="240" w:lineRule="auto" w:before="184" w:after="0"/>
        <w:ind w:left="1048" w:right="0" w:hanging="571"/>
        <w:jc w:val="both"/>
        <w:rPr>
          <w:sz w:val="38"/>
        </w:rPr>
      </w:pPr>
      <w:r>
        <w:rPr>
          <w:sz w:val="38"/>
        </w:rPr>
        <w:t>high blood</w:t>
      </w:r>
      <w:r>
        <w:rPr>
          <w:spacing w:val="1"/>
          <w:sz w:val="38"/>
        </w:rPr>
        <w:t> </w:t>
      </w:r>
      <w:r>
        <w:rPr>
          <w:sz w:val="38"/>
        </w:rPr>
        <w:t>pressure</w:t>
      </w:r>
    </w:p>
    <w:p>
      <w:pPr>
        <w:pStyle w:val="ListParagraph"/>
        <w:numPr>
          <w:ilvl w:val="0"/>
          <w:numId w:val="26"/>
        </w:numPr>
        <w:tabs>
          <w:tab w:pos="1198" w:val="left" w:leader="none"/>
        </w:tabs>
        <w:spacing w:line="240" w:lineRule="auto" w:before="183" w:after="0"/>
        <w:ind w:left="1048" w:right="0" w:hanging="571"/>
        <w:jc w:val="both"/>
        <w:rPr>
          <w:sz w:val="38"/>
        </w:rPr>
      </w:pPr>
      <w:r>
        <w:rPr>
          <w:sz w:val="38"/>
        </w:rPr>
        <w:t>rheuma (e.g.</w:t>
      </w:r>
      <w:r>
        <w:rPr>
          <w:spacing w:val="2"/>
          <w:sz w:val="38"/>
        </w:rPr>
        <w:t> </w:t>
      </w:r>
      <w:r>
        <w:rPr>
          <w:sz w:val="38"/>
        </w:rPr>
        <w:t>arthritis)</w:t>
      </w:r>
    </w:p>
    <w:p>
      <w:pPr>
        <w:pStyle w:val="ListParagraph"/>
        <w:numPr>
          <w:ilvl w:val="0"/>
          <w:numId w:val="26"/>
        </w:numPr>
        <w:tabs>
          <w:tab w:pos="1198" w:val="left" w:leader="none"/>
        </w:tabs>
        <w:spacing w:line="240" w:lineRule="auto" w:before="186" w:after="0"/>
        <w:ind w:left="1048" w:right="0" w:hanging="571"/>
        <w:jc w:val="both"/>
        <w:rPr>
          <w:sz w:val="38"/>
        </w:rPr>
      </w:pPr>
      <w:r>
        <w:rPr>
          <w:sz w:val="38"/>
        </w:rPr>
        <w:t>anaemia</w:t>
      </w:r>
    </w:p>
    <w:p>
      <w:pPr>
        <w:pStyle w:val="ListParagraph"/>
        <w:numPr>
          <w:ilvl w:val="0"/>
          <w:numId w:val="26"/>
        </w:numPr>
        <w:tabs>
          <w:tab w:pos="1198" w:val="left" w:leader="none"/>
        </w:tabs>
        <w:spacing w:line="240" w:lineRule="auto" w:before="184" w:after="0"/>
        <w:ind w:left="1048" w:right="0" w:hanging="571"/>
        <w:jc w:val="both"/>
        <w:rPr>
          <w:sz w:val="38"/>
        </w:rPr>
      </w:pPr>
      <w:r>
        <w:rPr>
          <w:sz w:val="38"/>
        </w:rPr>
        <w:t>muscle weakness (myasthenia</w:t>
      </w:r>
      <w:r>
        <w:rPr>
          <w:spacing w:val="-1"/>
          <w:sz w:val="38"/>
        </w:rPr>
        <w:t> </w:t>
      </w:r>
      <w:r>
        <w:rPr>
          <w:sz w:val="38"/>
        </w:rPr>
        <w:t>gravis)</w:t>
      </w:r>
    </w:p>
    <w:p>
      <w:pPr>
        <w:pStyle w:val="ListParagraph"/>
        <w:numPr>
          <w:ilvl w:val="0"/>
          <w:numId w:val="26"/>
        </w:numPr>
        <w:tabs>
          <w:tab w:pos="1198" w:val="left" w:leader="none"/>
        </w:tabs>
        <w:spacing w:line="240" w:lineRule="auto" w:before="184" w:after="0"/>
        <w:ind w:left="1048" w:right="0" w:hanging="571"/>
        <w:jc w:val="both"/>
        <w:rPr>
          <w:sz w:val="38"/>
        </w:rPr>
      </w:pPr>
      <w:r>
        <w:rPr>
          <w:sz w:val="38"/>
        </w:rPr>
        <w:t>lupus</w:t>
      </w:r>
      <w:r>
        <w:rPr>
          <w:spacing w:val="-1"/>
          <w:sz w:val="38"/>
        </w:rPr>
        <w:t> </w:t>
      </w:r>
      <w:r>
        <w:rPr>
          <w:sz w:val="38"/>
        </w:rPr>
        <w:t>erythematosus</w:t>
      </w:r>
    </w:p>
    <w:p>
      <w:pPr>
        <w:spacing w:after="0" w:line="240" w:lineRule="auto"/>
        <w:jc w:val="both"/>
        <w:rPr>
          <w:sz w:val="38"/>
        </w:rPr>
        <w:sectPr>
          <w:pgSz w:w="14270" w:h="16850"/>
          <w:pgMar w:header="0" w:footer="1891" w:top="1600" w:bottom="2080" w:left="800" w:right="1280"/>
        </w:sectPr>
      </w:pPr>
    </w:p>
    <w:p>
      <w:pPr>
        <w:pStyle w:val="Heading1"/>
        <w:spacing w:line="261" w:lineRule="auto" w:before="164"/>
        <w:ind w:right="391"/>
      </w:pPr>
      <w:r>
        <w:rPr>
          <w:w w:val="95"/>
        </w:rPr>
        <w:t>How colostrum helps with autoimmune diseases/a weak immune sys- </w:t>
      </w:r>
      <w:r>
        <w:rPr/>
        <w:t>tem</w:t>
      </w:r>
    </w:p>
    <w:p>
      <w:pPr>
        <w:pStyle w:val="BodyText"/>
        <w:spacing w:line="276" w:lineRule="auto" w:before="260"/>
        <w:ind w:left="477" w:right="131"/>
        <w:jc w:val="both"/>
      </w:pPr>
      <w:r>
        <w:rPr/>
        <w:t>The proline-containing polypeptides (PRPs) in colostrum regulate the immune system</w:t>
      </w:r>
      <w:r>
        <w:rPr>
          <w:spacing w:val="-14"/>
        </w:rPr>
        <w:t> </w:t>
      </w:r>
      <w:r>
        <w:rPr/>
        <w:t>by</w:t>
      </w:r>
      <w:r>
        <w:rPr>
          <w:spacing w:val="-13"/>
        </w:rPr>
        <w:t> </w:t>
      </w:r>
      <w:r>
        <w:rPr/>
        <w:t>stimulating</w:t>
      </w:r>
      <w:r>
        <w:rPr>
          <w:spacing w:val="-13"/>
        </w:rPr>
        <w:t> </w:t>
      </w:r>
      <w:r>
        <w:rPr/>
        <w:t>or</w:t>
      </w:r>
      <w:r>
        <w:rPr>
          <w:spacing w:val="-12"/>
        </w:rPr>
        <w:t> </w:t>
      </w:r>
      <w:r>
        <w:rPr/>
        <w:t>inhibiting</w:t>
      </w:r>
      <w:r>
        <w:rPr>
          <w:spacing w:val="-13"/>
        </w:rPr>
        <w:t> </w:t>
      </w:r>
      <w:r>
        <w:rPr/>
        <w:t>immune</w:t>
      </w:r>
      <w:r>
        <w:rPr>
          <w:spacing w:val="-13"/>
        </w:rPr>
        <w:t> </w:t>
      </w:r>
      <w:r>
        <w:rPr/>
        <w:t>responses</w:t>
      </w:r>
      <w:r>
        <w:rPr>
          <w:spacing w:val="-12"/>
        </w:rPr>
        <w:t> </w:t>
      </w:r>
      <w:r>
        <w:rPr/>
        <w:t>as</w:t>
      </w:r>
      <w:r>
        <w:rPr>
          <w:spacing w:val="-13"/>
        </w:rPr>
        <w:t> </w:t>
      </w:r>
      <w:r>
        <w:rPr/>
        <w:t>needed.</w:t>
      </w:r>
      <w:r>
        <w:rPr>
          <w:position w:val="9"/>
          <w:sz w:val="25"/>
        </w:rPr>
        <w:t>193</w:t>
      </w:r>
      <w:r>
        <w:rPr>
          <w:spacing w:val="31"/>
          <w:position w:val="9"/>
          <w:sz w:val="25"/>
        </w:rPr>
        <w:t> </w:t>
      </w:r>
      <w:r>
        <w:rPr/>
        <w:t>In</w:t>
      </w:r>
      <w:r>
        <w:rPr>
          <w:spacing w:val="-13"/>
        </w:rPr>
        <w:t> </w:t>
      </w:r>
      <w:r>
        <w:rPr/>
        <w:t>this</w:t>
      </w:r>
      <w:r>
        <w:rPr>
          <w:spacing w:val="-12"/>
        </w:rPr>
        <w:t> </w:t>
      </w:r>
      <w:r>
        <w:rPr/>
        <w:t>way, the</w:t>
      </w:r>
      <w:r>
        <w:rPr>
          <w:spacing w:val="-9"/>
        </w:rPr>
        <w:t> </w:t>
      </w:r>
      <w:r>
        <w:rPr/>
        <w:t>prolactin-containing</w:t>
      </w:r>
      <w:r>
        <w:rPr>
          <w:spacing w:val="-10"/>
        </w:rPr>
        <w:t> </w:t>
      </w:r>
      <w:r>
        <w:rPr/>
        <w:t>polypeptides</w:t>
      </w:r>
      <w:r>
        <w:rPr>
          <w:spacing w:val="-9"/>
        </w:rPr>
        <w:t> </w:t>
      </w:r>
      <w:r>
        <w:rPr/>
        <w:t>in</w:t>
      </w:r>
      <w:r>
        <w:rPr>
          <w:spacing w:val="-10"/>
        </w:rPr>
        <w:t> </w:t>
      </w:r>
      <w:r>
        <w:rPr/>
        <w:t>colostrum</w:t>
      </w:r>
      <w:r>
        <w:rPr>
          <w:spacing w:val="-10"/>
        </w:rPr>
        <w:t> </w:t>
      </w:r>
      <w:r>
        <w:rPr/>
        <w:t>prevent</w:t>
      </w:r>
      <w:r>
        <w:rPr>
          <w:spacing w:val="-10"/>
        </w:rPr>
        <w:t> </w:t>
      </w:r>
      <w:r>
        <w:rPr/>
        <w:t>the</w:t>
      </w:r>
      <w:r>
        <w:rPr>
          <w:spacing w:val="-9"/>
        </w:rPr>
        <w:t> </w:t>
      </w:r>
      <w:r>
        <w:rPr/>
        <w:t>immune</w:t>
      </w:r>
      <w:r>
        <w:rPr>
          <w:spacing w:val="-10"/>
        </w:rPr>
        <w:t> </w:t>
      </w:r>
      <w:r>
        <w:rPr/>
        <w:t>system from</w:t>
      </w:r>
      <w:r>
        <w:rPr>
          <w:spacing w:val="-7"/>
        </w:rPr>
        <w:t> </w:t>
      </w:r>
      <w:r>
        <w:rPr/>
        <w:t>attacking</w:t>
      </w:r>
      <w:r>
        <w:rPr>
          <w:spacing w:val="-5"/>
        </w:rPr>
        <w:t> </w:t>
      </w:r>
      <w:r>
        <w:rPr/>
        <w:t>the</w:t>
      </w:r>
      <w:r>
        <w:rPr>
          <w:spacing w:val="-5"/>
        </w:rPr>
        <w:t> </w:t>
      </w:r>
      <w:r>
        <w:rPr/>
        <w:t>normal</w:t>
      </w:r>
      <w:r>
        <w:rPr>
          <w:spacing w:val="-7"/>
        </w:rPr>
        <w:t> </w:t>
      </w:r>
      <w:r>
        <w:rPr/>
        <w:t>body</w:t>
      </w:r>
      <w:r>
        <w:rPr>
          <w:spacing w:val="-8"/>
        </w:rPr>
        <w:t> </w:t>
      </w:r>
      <w:r>
        <w:rPr/>
        <w:t>cells,</w:t>
      </w:r>
      <w:r>
        <w:rPr>
          <w:spacing w:val="-5"/>
        </w:rPr>
        <w:t> </w:t>
      </w:r>
      <w:r>
        <w:rPr/>
        <w:t>as</w:t>
      </w:r>
      <w:r>
        <w:rPr>
          <w:spacing w:val="-6"/>
        </w:rPr>
        <w:t> </w:t>
      </w:r>
      <w:r>
        <w:rPr/>
        <w:t>is</w:t>
      </w:r>
      <w:r>
        <w:rPr>
          <w:spacing w:val="-6"/>
        </w:rPr>
        <w:t> </w:t>
      </w:r>
      <w:r>
        <w:rPr/>
        <w:t>the</w:t>
      </w:r>
      <w:r>
        <w:rPr>
          <w:spacing w:val="-6"/>
        </w:rPr>
        <w:t> </w:t>
      </w:r>
      <w:r>
        <w:rPr/>
        <w:t>case</w:t>
      </w:r>
      <w:r>
        <w:rPr>
          <w:spacing w:val="-5"/>
        </w:rPr>
        <w:t> </w:t>
      </w:r>
      <w:r>
        <w:rPr/>
        <w:t>with</w:t>
      </w:r>
      <w:r>
        <w:rPr>
          <w:spacing w:val="-5"/>
        </w:rPr>
        <w:t> </w:t>
      </w:r>
      <w:r>
        <w:rPr/>
        <w:t>the</w:t>
      </w:r>
      <w:r>
        <w:rPr>
          <w:spacing w:val="-5"/>
        </w:rPr>
        <w:t> </w:t>
      </w:r>
      <w:r>
        <w:rPr/>
        <w:t>above</w:t>
      </w:r>
      <w:r>
        <w:rPr>
          <w:spacing w:val="-6"/>
        </w:rPr>
        <w:t> </w:t>
      </w:r>
      <w:r>
        <w:rPr/>
        <w:t>diseases</w:t>
      </w:r>
      <w:r>
        <w:rPr>
          <w:spacing w:val="-5"/>
        </w:rPr>
        <w:t> </w:t>
      </w:r>
      <w:r>
        <w:rPr/>
        <w:t>due to defective regulation.</w:t>
      </w:r>
    </w:p>
    <w:p>
      <w:pPr>
        <w:pStyle w:val="BodyText"/>
        <w:spacing w:before="2"/>
        <w:rPr>
          <w:sz w:val="41"/>
        </w:rPr>
      </w:pPr>
    </w:p>
    <w:p>
      <w:pPr>
        <w:pStyle w:val="Heading1"/>
        <w:spacing w:before="0"/>
      </w:pPr>
      <w:r>
        <w:rPr/>
        <w:t>Studies on colostrum and its effect on HIV/AIDS</w:t>
      </w:r>
    </w:p>
    <w:p>
      <w:pPr>
        <w:pStyle w:val="BodyText"/>
        <w:spacing w:line="276" w:lineRule="auto" w:before="299"/>
        <w:ind w:left="477" w:right="133"/>
        <w:jc w:val="both"/>
      </w:pPr>
      <w:r>
        <w:rPr/>
        <w:t>One</w:t>
      </w:r>
      <w:r>
        <w:rPr>
          <w:spacing w:val="-26"/>
        </w:rPr>
        <w:t> </w:t>
      </w:r>
      <w:r>
        <w:rPr/>
        <w:t>of</w:t>
      </w:r>
      <w:r>
        <w:rPr>
          <w:spacing w:val="-25"/>
        </w:rPr>
        <w:t> </w:t>
      </w:r>
      <w:r>
        <w:rPr/>
        <w:t>the</w:t>
      </w:r>
      <w:r>
        <w:rPr>
          <w:spacing w:val="-24"/>
        </w:rPr>
        <w:t> </w:t>
      </w:r>
      <w:r>
        <w:rPr/>
        <w:t>key</w:t>
      </w:r>
      <w:r>
        <w:rPr>
          <w:spacing w:val="-26"/>
        </w:rPr>
        <w:t> </w:t>
      </w:r>
      <w:r>
        <w:rPr/>
        <w:t>components</w:t>
      </w:r>
      <w:r>
        <w:rPr>
          <w:spacing w:val="-25"/>
        </w:rPr>
        <w:t> </w:t>
      </w:r>
      <w:r>
        <w:rPr/>
        <w:t>of</w:t>
      </w:r>
      <w:r>
        <w:rPr>
          <w:spacing w:val="-25"/>
        </w:rPr>
        <w:t> </w:t>
      </w:r>
      <w:r>
        <w:rPr/>
        <w:t>colostrum</w:t>
      </w:r>
      <w:r>
        <w:rPr>
          <w:spacing w:val="-27"/>
        </w:rPr>
        <w:t> </w:t>
      </w:r>
      <w:r>
        <w:rPr/>
        <w:t>is</w:t>
      </w:r>
      <w:r>
        <w:rPr>
          <w:spacing w:val="-25"/>
        </w:rPr>
        <w:t> </w:t>
      </w:r>
      <w:r>
        <w:rPr/>
        <w:t>lactoferrin,</w:t>
      </w:r>
      <w:r>
        <w:rPr>
          <w:spacing w:val="-24"/>
        </w:rPr>
        <w:t> </w:t>
      </w:r>
      <w:r>
        <w:rPr/>
        <w:t>which</w:t>
      </w:r>
      <w:r>
        <w:rPr>
          <w:spacing w:val="-25"/>
        </w:rPr>
        <w:t> </w:t>
      </w:r>
      <w:r>
        <w:rPr/>
        <w:t>has</w:t>
      </w:r>
      <w:r>
        <w:rPr>
          <w:spacing w:val="-27"/>
        </w:rPr>
        <w:t> </w:t>
      </w:r>
      <w:r>
        <w:rPr/>
        <w:t>demonstrated the powerful ability to act as a natural broad-spectrum antibiotic and antiviral in numerous scientific studies. While normal antibiotics only work against bac- teria, not against viruses, colostrum can kill both bacteria and</w:t>
      </w:r>
      <w:r>
        <w:rPr>
          <w:spacing w:val="-8"/>
        </w:rPr>
        <w:t> </w:t>
      </w:r>
      <w:r>
        <w:rPr/>
        <w:t>viruses.</w:t>
      </w:r>
    </w:p>
    <w:p>
      <w:pPr>
        <w:pStyle w:val="BodyText"/>
        <w:spacing w:line="276" w:lineRule="auto" w:before="240"/>
        <w:ind w:left="477" w:right="132"/>
        <w:jc w:val="both"/>
        <w:rPr>
          <w:sz w:val="25"/>
        </w:rPr>
      </w:pPr>
      <w:r>
        <w:rPr/>
        <w:t>Studies</w:t>
      </w:r>
      <w:r>
        <w:rPr>
          <w:spacing w:val="-22"/>
        </w:rPr>
        <w:t> </w:t>
      </w:r>
      <w:r>
        <w:rPr/>
        <w:t>of</w:t>
      </w:r>
      <w:r>
        <w:rPr>
          <w:spacing w:val="-20"/>
        </w:rPr>
        <w:t> </w:t>
      </w:r>
      <w:r>
        <w:rPr/>
        <w:t>HIV-1</w:t>
      </w:r>
      <w:r>
        <w:rPr>
          <w:spacing w:val="-21"/>
        </w:rPr>
        <w:t> </w:t>
      </w:r>
      <w:r>
        <w:rPr/>
        <w:t>and</w:t>
      </w:r>
      <w:r>
        <w:rPr>
          <w:spacing w:val="-21"/>
        </w:rPr>
        <w:t> </w:t>
      </w:r>
      <w:r>
        <w:rPr/>
        <w:t>HIV-2</w:t>
      </w:r>
      <w:r>
        <w:rPr>
          <w:spacing w:val="-21"/>
        </w:rPr>
        <w:t> </w:t>
      </w:r>
      <w:r>
        <w:rPr/>
        <w:t>viruses</w:t>
      </w:r>
      <w:r>
        <w:rPr>
          <w:spacing w:val="-20"/>
        </w:rPr>
        <w:t> </w:t>
      </w:r>
      <w:r>
        <w:rPr/>
        <w:t>in</w:t>
      </w:r>
      <w:r>
        <w:rPr>
          <w:spacing w:val="-20"/>
        </w:rPr>
        <w:t> </w:t>
      </w:r>
      <w:r>
        <w:rPr/>
        <w:t>the</w:t>
      </w:r>
      <w:r>
        <w:rPr>
          <w:spacing w:val="-20"/>
        </w:rPr>
        <w:t> </w:t>
      </w:r>
      <w:r>
        <w:rPr/>
        <w:t>laboratory</w:t>
      </w:r>
      <w:r>
        <w:rPr>
          <w:spacing w:val="-20"/>
        </w:rPr>
        <w:t> </w:t>
      </w:r>
      <w:r>
        <w:rPr/>
        <w:t>have</w:t>
      </w:r>
      <w:r>
        <w:rPr>
          <w:spacing w:val="-20"/>
        </w:rPr>
        <w:t> </w:t>
      </w:r>
      <w:r>
        <w:rPr/>
        <w:t>examined</w:t>
      </w:r>
      <w:r>
        <w:rPr>
          <w:spacing w:val="-21"/>
        </w:rPr>
        <w:t> </w:t>
      </w:r>
      <w:r>
        <w:rPr/>
        <w:t>the</w:t>
      </w:r>
      <w:r>
        <w:rPr>
          <w:spacing w:val="-20"/>
        </w:rPr>
        <w:t> </w:t>
      </w:r>
      <w:r>
        <w:rPr/>
        <w:t>effects of</w:t>
      </w:r>
      <w:r>
        <w:rPr>
          <w:spacing w:val="-5"/>
        </w:rPr>
        <w:t> </w:t>
      </w:r>
      <w:r>
        <w:rPr/>
        <w:t>lactoferrin</w:t>
      </w:r>
      <w:r>
        <w:rPr>
          <w:spacing w:val="-5"/>
        </w:rPr>
        <w:t> </w:t>
      </w:r>
      <w:r>
        <w:rPr/>
        <w:t>and</w:t>
      </w:r>
      <w:r>
        <w:rPr>
          <w:spacing w:val="-5"/>
        </w:rPr>
        <w:t> </w:t>
      </w:r>
      <w:r>
        <w:rPr/>
        <w:t>other</w:t>
      </w:r>
      <w:r>
        <w:rPr>
          <w:spacing w:val="-7"/>
        </w:rPr>
        <w:t> </w:t>
      </w:r>
      <w:r>
        <w:rPr/>
        <w:t>proteins</w:t>
      </w:r>
      <w:r>
        <w:rPr>
          <w:spacing w:val="-9"/>
        </w:rPr>
        <w:t> </w:t>
      </w:r>
      <w:r>
        <w:rPr/>
        <w:t>that</w:t>
      </w:r>
      <w:r>
        <w:rPr>
          <w:spacing w:val="-5"/>
        </w:rPr>
        <w:t> </w:t>
      </w:r>
      <w:r>
        <w:rPr/>
        <w:t>are</w:t>
      </w:r>
      <w:r>
        <w:rPr>
          <w:spacing w:val="-5"/>
        </w:rPr>
        <w:t> </w:t>
      </w:r>
      <w:r>
        <w:rPr/>
        <w:t>also</w:t>
      </w:r>
      <w:r>
        <w:rPr>
          <w:spacing w:val="-5"/>
        </w:rPr>
        <w:t> </w:t>
      </w:r>
      <w:r>
        <w:rPr/>
        <w:t>naturally</w:t>
      </w:r>
      <w:r>
        <w:rPr>
          <w:spacing w:val="-7"/>
        </w:rPr>
        <w:t> </w:t>
      </w:r>
      <w:r>
        <w:rPr/>
        <w:t>present</w:t>
      </w:r>
      <w:r>
        <w:rPr>
          <w:spacing w:val="-5"/>
        </w:rPr>
        <w:t> </w:t>
      </w:r>
      <w:r>
        <w:rPr/>
        <w:t>in</w:t>
      </w:r>
      <w:r>
        <w:rPr>
          <w:spacing w:val="-9"/>
        </w:rPr>
        <w:t> </w:t>
      </w:r>
      <w:r>
        <w:rPr/>
        <w:t>colostrum.</w:t>
      </w:r>
      <w:r>
        <w:rPr>
          <w:spacing w:val="-4"/>
        </w:rPr>
        <w:t> </w:t>
      </w:r>
      <w:r>
        <w:rPr/>
        <w:t>In addition to lactoferrin, these include alpha-lactalbumin, beta-lactoglobulin A and</w:t>
      </w:r>
      <w:r>
        <w:rPr>
          <w:spacing w:val="-11"/>
        </w:rPr>
        <w:t> </w:t>
      </w:r>
      <w:r>
        <w:rPr/>
        <w:t>beta-lactoglobulin</w:t>
      </w:r>
      <w:r>
        <w:rPr>
          <w:spacing w:val="-10"/>
        </w:rPr>
        <w:t> </w:t>
      </w:r>
      <w:r>
        <w:rPr/>
        <w:t>B.</w:t>
      </w:r>
      <w:r>
        <w:rPr>
          <w:spacing w:val="-10"/>
        </w:rPr>
        <w:t> </w:t>
      </w:r>
      <w:r>
        <w:rPr/>
        <w:t>Strong</w:t>
      </w:r>
      <w:r>
        <w:rPr>
          <w:spacing w:val="-13"/>
        </w:rPr>
        <w:t> </w:t>
      </w:r>
      <w:r>
        <w:rPr/>
        <w:t>antiviral</w:t>
      </w:r>
      <w:r>
        <w:rPr>
          <w:spacing w:val="-12"/>
        </w:rPr>
        <w:t> </w:t>
      </w:r>
      <w:r>
        <w:rPr/>
        <w:t>activity</w:t>
      </w:r>
      <w:r>
        <w:rPr>
          <w:spacing w:val="-8"/>
        </w:rPr>
        <w:t> </w:t>
      </w:r>
      <w:r>
        <w:rPr/>
        <w:t>against</w:t>
      </w:r>
      <w:r>
        <w:rPr>
          <w:spacing w:val="-11"/>
        </w:rPr>
        <w:t> </w:t>
      </w:r>
      <w:r>
        <w:rPr/>
        <w:t>HIV-1</w:t>
      </w:r>
      <w:r>
        <w:rPr>
          <w:spacing w:val="-11"/>
        </w:rPr>
        <w:t> </w:t>
      </w:r>
      <w:r>
        <w:rPr/>
        <w:t>and</w:t>
      </w:r>
      <w:r>
        <w:rPr>
          <w:spacing w:val="-10"/>
        </w:rPr>
        <w:t> </w:t>
      </w:r>
      <w:r>
        <w:rPr/>
        <w:t>HIV-2</w:t>
      </w:r>
      <w:r>
        <w:rPr>
          <w:spacing w:val="-11"/>
        </w:rPr>
        <w:t> </w:t>
      </w:r>
      <w:r>
        <w:rPr/>
        <w:t>has been</w:t>
      </w:r>
      <w:r>
        <w:rPr>
          <w:spacing w:val="-18"/>
        </w:rPr>
        <w:t> </w:t>
      </w:r>
      <w:r>
        <w:rPr/>
        <w:t>demonstrated.</w:t>
      </w:r>
      <w:r>
        <w:rPr>
          <w:spacing w:val="-18"/>
        </w:rPr>
        <w:t> </w:t>
      </w:r>
      <w:r>
        <w:rPr/>
        <w:t>This</w:t>
      </w:r>
      <w:r>
        <w:rPr>
          <w:spacing w:val="-18"/>
        </w:rPr>
        <w:t> </w:t>
      </w:r>
      <w:r>
        <w:rPr/>
        <w:t>mechanism</w:t>
      </w:r>
      <w:r>
        <w:rPr>
          <w:spacing w:val="-18"/>
        </w:rPr>
        <w:t> </w:t>
      </w:r>
      <w:r>
        <w:rPr/>
        <w:t>is</w:t>
      </w:r>
      <w:r>
        <w:rPr>
          <w:spacing w:val="-19"/>
        </w:rPr>
        <w:t> </w:t>
      </w:r>
      <w:r>
        <w:rPr/>
        <w:t>probably</w:t>
      </w:r>
      <w:r>
        <w:rPr>
          <w:spacing w:val="-22"/>
        </w:rPr>
        <w:t> </w:t>
      </w:r>
      <w:r>
        <w:rPr/>
        <w:t>due</w:t>
      </w:r>
      <w:r>
        <w:rPr>
          <w:spacing w:val="-19"/>
        </w:rPr>
        <w:t> </w:t>
      </w:r>
      <w:r>
        <w:rPr/>
        <w:t>to</w:t>
      </w:r>
      <w:r>
        <w:rPr>
          <w:spacing w:val="-18"/>
        </w:rPr>
        <w:t> </w:t>
      </w:r>
      <w:r>
        <w:rPr/>
        <w:t>the</w:t>
      </w:r>
      <w:r>
        <w:rPr>
          <w:spacing w:val="-18"/>
        </w:rPr>
        <w:t> </w:t>
      </w:r>
      <w:r>
        <w:rPr/>
        <w:t>prevention</w:t>
      </w:r>
      <w:r>
        <w:rPr>
          <w:spacing w:val="-18"/>
        </w:rPr>
        <w:t> </w:t>
      </w:r>
      <w:r>
        <w:rPr/>
        <w:t>of</w:t>
      </w:r>
      <w:r>
        <w:rPr>
          <w:spacing w:val="-19"/>
        </w:rPr>
        <w:t> </w:t>
      </w:r>
      <w:r>
        <w:rPr/>
        <w:t>virus- cell fusion and virus entry into MT4 cells.</w:t>
      </w:r>
      <w:r>
        <w:rPr>
          <w:position w:val="9"/>
          <w:sz w:val="25"/>
        </w:rPr>
        <w:t>194</w:t>
      </w:r>
    </w:p>
    <w:p>
      <w:pPr>
        <w:pStyle w:val="BodyText"/>
        <w:rPr>
          <w:sz w:val="20"/>
        </w:rPr>
      </w:pPr>
    </w:p>
    <w:p>
      <w:pPr>
        <w:pStyle w:val="BodyText"/>
        <w:rPr>
          <w:sz w:val="20"/>
        </w:rPr>
      </w:pPr>
    </w:p>
    <w:p>
      <w:pPr>
        <w:pStyle w:val="BodyText"/>
        <w:rPr>
          <w:sz w:val="20"/>
        </w:rPr>
      </w:pPr>
    </w:p>
    <w:p>
      <w:pPr>
        <w:pStyle w:val="BodyText"/>
        <w:spacing w:before="2"/>
        <w:rPr>
          <w:sz w:val="17"/>
        </w:rPr>
      </w:pPr>
      <w:r>
        <w:rPr/>
        <w:pict>
          <v:line style="position:absolute;mso-position-horizontal-relative:page;mso-position-vertical-relative:paragraph;z-index:1784;mso-wrap-distance-left:0;mso-wrap-distance-right:0" from="63.863998pt,12.048765pt" to="207.883998pt,12.048765pt" stroked="true" strokeweight=".71997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193 </w:t>
      </w:r>
      <w:r>
        <w:rPr>
          <w:sz w:val="20"/>
        </w:rPr>
        <w:t>Staroscik 1983</w:t>
      </w:r>
    </w:p>
    <w:p>
      <w:pPr>
        <w:spacing w:before="94"/>
        <w:ind w:left="477" w:right="0" w:firstLine="0"/>
        <w:jc w:val="left"/>
        <w:rPr>
          <w:sz w:val="20"/>
        </w:rPr>
      </w:pPr>
      <w:r>
        <w:rPr>
          <w:position w:val="5"/>
          <w:sz w:val="13"/>
        </w:rPr>
        <w:t>194 </w:t>
      </w:r>
      <w:r>
        <w:rPr>
          <w:sz w:val="20"/>
        </w:rPr>
        <w:t>Swart 1996</w:t>
      </w:r>
    </w:p>
    <w:p>
      <w:pPr>
        <w:spacing w:after="0"/>
        <w:jc w:val="left"/>
        <w:rPr>
          <w:sz w:val="20"/>
        </w:rPr>
        <w:sectPr>
          <w:pgSz w:w="14270" w:h="16850"/>
          <w:pgMar w:header="0" w:footer="1891" w:top="1600" w:bottom="2080" w:left="800" w:right="1280"/>
        </w:sectPr>
      </w:pPr>
    </w:p>
    <w:p>
      <w:pPr>
        <w:pStyle w:val="BodyText"/>
        <w:spacing w:line="276" w:lineRule="auto" w:before="181"/>
        <w:ind w:left="477" w:right="134"/>
        <w:jc w:val="both"/>
        <w:rPr>
          <w:sz w:val="25"/>
        </w:rPr>
      </w:pPr>
      <w:r>
        <w:rPr/>
        <w:t>In</w:t>
      </w:r>
      <w:r>
        <w:rPr>
          <w:spacing w:val="-11"/>
        </w:rPr>
        <w:t> </w:t>
      </w:r>
      <w:r>
        <w:rPr/>
        <w:t>another</w:t>
      </w:r>
      <w:r>
        <w:rPr>
          <w:spacing w:val="-13"/>
        </w:rPr>
        <w:t> </w:t>
      </w:r>
      <w:r>
        <w:rPr/>
        <w:t>study,</w:t>
      </w:r>
      <w:r>
        <w:rPr>
          <w:spacing w:val="-11"/>
        </w:rPr>
        <w:t> </w:t>
      </w:r>
      <w:r>
        <w:rPr/>
        <w:t>lactoferrin</w:t>
      </w:r>
      <w:r>
        <w:rPr>
          <w:spacing w:val="-11"/>
        </w:rPr>
        <w:t> </w:t>
      </w:r>
      <w:r>
        <w:rPr/>
        <w:t>inhibited</w:t>
      </w:r>
      <w:r>
        <w:rPr>
          <w:spacing w:val="-12"/>
        </w:rPr>
        <w:t> </w:t>
      </w:r>
      <w:r>
        <w:rPr/>
        <w:t>HIV</w:t>
      </w:r>
      <w:r>
        <w:rPr>
          <w:spacing w:val="-9"/>
        </w:rPr>
        <w:t> </w:t>
      </w:r>
      <w:r>
        <w:rPr/>
        <w:t>-1-induced</w:t>
      </w:r>
      <w:r>
        <w:rPr>
          <w:spacing w:val="-12"/>
        </w:rPr>
        <w:t> </w:t>
      </w:r>
      <w:r>
        <w:rPr/>
        <w:t>cell</w:t>
      </w:r>
      <w:r>
        <w:rPr>
          <w:spacing w:val="-12"/>
        </w:rPr>
        <w:t> </w:t>
      </w:r>
      <w:r>
        <w:rPr/>
        <w:t>disease;</w:t>
      </w:r>
      <w:r>
        <w:rPr>
          <w:spacing w:val="-11"/>
        </w:rPr>
        <w:t> </w:t>
      </w:r>
      <w:r>
        <w:rPr/>
        <w:t>here</w:t>
      </w:r>
      <w:r>
        <w:rPr>
          <w:spacing w:val="-13"/>
        </w:rPr>
        <w:t> </w:t>
      </w:r>
      <w:r>
        <w:rPr/>
        <w:t>the</w:t>
      </w:r>
      <w:r>
        <w:rPr>
          <w:spacing w:val="-11"/>
        </w:rPr>
        <w:t> </w:t>
      </w:r>
      <w:r>
        <w:rPr/>
        <w:t>lac- toferrin is likely to act at the level of adsorption or penetration of the virus, or at both</w:t>
      </w:r>
      <w:r>
        <w:rPr>
          <w:spacing w:val="-1"/>
        </w:rPr>
        <w:t> </w:t>
      </w:r>
      <w:r>
        <w:rPr/>
        <w:t>levels.</w:t>
      </w:r>
      <w:r>
        <w:rPr>
          <w:position w:val="9"/>
          <w:sz w:val="25"/>
        </w:rPr>
        <w:t>195</w:t>
      </w:r>
    </w:p>
    <w:p>
      <w:pPr>
        <w:pStyle w:val="BodyText"/>
        <w:rPr>
          <w:sz w:val="42"/>
        </w:rPr>
      </w:pPr>
    </w:p>
    <w:p>
      <w:pPr>
        <w:pStyle w:val="BodyText"/>
        <w:rPr>
          <w:sz w:val="42"/>
        </w:rPr>
      </w:pPr>
    </w:p>
    <w:p>
      <w:pPr>
        <w:pStyle w:val="BodyText"/>
        <w:spacing w:before="7"/>
        <w:rPr>
          <w:sz w:val="43"/>
        </w:rPr>
      </w:pPr>
    </w:p>
    <w:p>
      <w:pPr>
        <w:pStyle w:val="Heading1"/>
        <w:spacing w:before="1"/>
        <w:jc w:val="both"/>
      </w:pPr>
      <w:r>
        <w:rPr/>
        <w:t>Effect of colostrum on secondary diseases of HIV</w:t>
      </w:r>
    </w:p>
    <w:p>
      <w:pPr>
        <w:pStyle w:val="BodyText"/>
        <w:spacing w:line="276" w:lineRule="auto" w:before="297"/>
        <w:ind w:left="477" w:right="128"/>
        <w:jc w:val="both"/>
      </w:pPr>
      <w:r>
        <w:rPr/>
        <w:t>A very common concomitant disease of HIV patients is candidiasis of the oral mucosa.</w:t>
      </w:r>
      <w:r>
        <w:rPr>
          <w:spacing w:val="-19"/>
        </w:rPr>
        <w:t> </w:t>
      </w:r>
      <w:r>
        <w:rPr/>
        <w:t>It</w:t>
      </w:r>
      <w:r>
        <w:rPr>
          <w:spacing w:val="-19"/>
        </w:rPr>
        <w:t> </w:t>
      </w:r>
      <w:r>
        <w:rPr/>
        <w:t>is</w:t>
      </w:r>
      <w:r>
        <w:rPr>
          <w:spacing w:val="-20"/>
        </w:rPr>
        <w:t> </w:t>
      </w:r>
      <w:r>
        <w:rPr/>
        <w:t>a</w:t>
      </w:r>
      <w:r>
        <w:rPr>
          <w:spacing w:val="-19"/>
        </w:rPr>
        <w:t> </w:t>
      </w:r>
      <w:r>
        <w:rPr/>
        <w:t>disease</w:t>
      </w:r>
      <w:r>
        <w:rPr>
          <w:spacing w:val="-17"/>
        </w:rPr>
        <w:t> </w:t>
      </w:r>
      <w:r>
        <w:rPr/>
        <w:t>of</w:t>
      </w:r>
      <w:r>
        <w:rPr>
          <w:spacing w:val="-20"/>
        </w:rPr>
        <w:t> </w:t>
      </w:r>
      <w:r>
        <w:rPr/>
        <w:t>the</w:t>
      </w:r>
      <w:r>
        <w:rPr>
          <w:spacing w:val="-20"/>
        </w:rPr>
        <w:t> </w:t>
      </w:r>
      <w:r>
        <w:rPr/>
        <w:t>skin</w:t>
      </w:r>
      <w:r>
        <w:rPr>
          <w:spacing w:val="-21"/>
        </w:rPr>
        <w:t> </w:t>
      </w:r>
      <w:r>
        <w:rPr/>
        <w:t>or</w:t>
      </w:r>
      <w:r>
        <w:rPr>
          <w:spacing w:val="-17"/>
        </w:rPr>
        <w:t> </w:t>
      </w:r>
      <w:r>
        <w:rPr/>
        <w:t>mucous</w:t>
      </w:r>
      <w:r>
        <w:rPr>
          <w:spacing w:val="-18"/>
        </w:rPr>
        <w:t> </w:t>
      </w:r>
      <w:r>
        <w:rPr/>
        <w:t>membranes</w:t>
      </w:r>
      <w:r>
        <w:rPr>
          <w:spacing w:val="-17"/>
        </w:rPr>
        <w:t> </w:t>
      </w:r>
      <w:r>
        <w:rPr/>
        <w:t>due</w:t>
      </w:r>
      <w:r>
        <w:rPr>
          <w:spacing w:val="-19"/>
        </w:rPr>
        <w:t> </w:t>
      </w:r>
      <w:r>
        <w:rPr/>
        <w:t>to</w:t>
      </w:r>
      <w:r>
        <w:rPr>
          <w:spacing w:val="-20"/>
        </w:rPr>
        <w:t> </w:t>
      </w:r>
      <w:r>
        <w:rPr/>
        <w:t>fungal</w:t>
      </w:r>
      <w:r>
        <w:rPr>
          <w:spacing w:val="-19"/>
        </w:rPr>
        <w:t> </w:t>
      </w:r>
      <w:r>
        <w:rPr/>
        <w:t>infection caused by fungi of the ‘Candida’</w:t>
      </w:r>
      <w:r>
        <w:rPr>
          <w:spacing w:val="1"/>
        </w:rPr>
        <w:t> </w:t>
      </w:r>
      <w:r>
        <w:rPr/>
        <w:t>genus.</w:t>
      </w:r>
    </w:p>
    <w:p>
      <w:pPr>
        <w:pStyle w:val="BodyText"/>
        <w:spacing w:line="276" w:lineRule="auto" w:before="241"/>
        <w:ind w:left="477" w:right="133"/>
        <w:jc w:val="both"/>
        <w:rPr>
          <w:sz w:val="25"/>
        </w:rPr>
      </w:pPr>
      <w:r>
        <w:rPr/>
        <w:t>In the year 1987, at the European conference on the clinical aspects of HIV- infections, Danish researchers reported that a 10-day dose of colostrum pills (10 pts/day) is a treatment option for oral candidosis.</w:t>
      </w:r>
      <w:r>
        <w:rPr>
          <w:position w:val="9"/>
          <w:sz w:val="25"/>
        </w:rPr>
        <w:t>196</w:t>
      </w:r>
    </w:p>
    <w:p>
      <w:pPr>
        <w:pStyle w:val="BodyText"/>
        <w:spacing w:before="1"/>
        <w:rPr>
          <w:sz w:val="41"/>
        </w:rPr>
      </w:pPr>
    </w:p>
    <w:p>
      <w:pPr>
        <w:pStyle w:val="Heading1"/>
        <w:spacing w:before="0"/>
        <w:jc w:val="both"/>
      </w:pPr>
      <w:r>
        <w:rPr/>
        <w:t>Effect of colostrum on cryptosporidiosis</w:t>
      </w:r>
    </w:p>
    <w:p>
      <w:pPr>
        <w:pStyle w:val="BodyText"/>
        <w:spacing w:line="276" w:lineRule="auto" w:before="299"/>
        <w:ind w:left="477" w:right="140"/>
        <w:jc w:val="both"/>
      </w:pPr>
      <w:r>
        <w:rPr/>
        <w:t>Another sequelae of HIV is cryptosporidiosis, a parasitic infection that causes recurrent diarrhoea. Cryptosporidiosis is one of the main reasons why AIDS patients lose weight quickly, because the parasites deprive the affected body of nutrients, leading to malnutrition and the resulting weight loss.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7"/>
        </w:rPr>
      </w:pPr>
      <w:r>
        <w:rPr/>
        <w:pict>
          <v:line style="position:absolute;mso-position-horizontal-relative:page;mso-position-vertical-relative:paragraph;z-index:1808;mso-wrap-distance-left:0;mso-wrap-distance-right:0" from="63.863998pt,17.933735pt" to="207.883998pt,17.933735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195 </w:t>
      </w:r>
      <w:r>
        <w:rPr>
          <w:sz w:val="20"/>
        </w:rPr>
        <w:t>Harmsen 1995</w:t>
      </w:r>
    </w:p>
    <w:p>
      <w:pPr>
        <w:spacing w:before="94"/>
        <w:ind w:left="477" w:right="0" w:firstLine="0"/>
        <w:jc w:val="left"/>
        <w:rPr>
          <w:sz w:val="20"/>
        </w:rPr>
      </w:pPr>
      <w:r>
        <w:rPr>
          <w:position w:val="5"/>
          <w:sz w:val="13"/>
        </w:rPr>
        <w:t>196 </w:t>
      </w:r>
      <w:r>
        <w:rPr>
          <w:sz w:val="20"/>
        </w:rPr>
        <w:t>Christensen 1987</w:t>
      </w:r>
    </w:p>
    <w:p>
      <w:pPr>
        <w:spacing w:after="0"/>
        <w:jc w:val="left"/>
        <w:rPr>
          <w:sz w:val="20"/>
        </w:rPr>
        <w:sectPr>
          <w:pgSz w:w="14270" w:h="16850"/>
          <w:pgMar w:header="0" w:footer="1891" w:top="1600" w:bottom="2080" w:left="800" w:right="1280"/>
        </w:sectPr>
      </w:pPr>
    </w:p>
    <w:p>
      <w:pPr>
        <w:pStyle w:val="BodyText"/>
        <w:spacing w:line="276" w:lineRule="auto" w:before="181"/>
        <w:ind w:left="477" w:right="135"/>
        <w:jc w:val="both"/>
      </w:pPr>
      <w:r>
        <w:rPr/>
        <w:t>In a study on 37 AIDS patients, 10 mg of the colostrum immunoglobulin ‘lac- tobin’</w:t>
      </w:r>
      <w:r>
        <w:rPr>
          <w:spacing w:val="-10"/>
        </w:rPr>
        <w:t> </w:t>
      </w:r>
      <w:r>
        <w:rPr/>
        <w:t>was</w:t>
      </w:r>
      <w:r>
        <w:rPr>
          <w:spacing w:val="-9"/>
        </w:rPr>
        <w:t> </w:t>
      </w:r>
      <w:r>
        <w:rPr/>
        <w:t>orally</w:t>
      </w:r>
      <w:r>
        <w:rPr>
          <w:spacing w:val="-9"/>
        </w:rPr>
        <w:t> </w:t>
      </w:r>
      <w:r>
        <w:rPr/>
        <w:t>administered</w:t>
      </w:r>
      <w:r>
        <w:rPr>
          <w:spacing w:val="-9"/>
        </w:rPr>
        <w:t> </w:t>
      </w:r>
      <w:r>
        <w:rPr/>
        <w:t>to</w:t>
      </w:r>
      <w:r>
        <w:rPr>
          <w:spacing w:val="-7"/>
        </w:rPr>
        <w:t> </w:t>
      </w:r>
      <w:r>
        <w:rPr/>
        <w:t>these</w:t>
      </w:r>
      <w:r>
        <w:rPr>
          <w:spacing w:val="-9"/>
        </w:rPr>
        <w:t> </w:t>
      </w:r>
      <w:r>
        <w:rPr/>
        <w:t>subjects</w:t>
      </w:r>
      <w:r>
        <w:rPr>
          <w:spacing w:val="-9"/>
        </w:rPr>
        <w:t> </w:t>
      </w:r>
      <w:r>
        <w:rPr/>
        <w:t>for</w:t>
      </w:r>
      <w:r>
        <w:rPr>
          <w:spacing w:val="-8"/>
        </w:rPr>
        <w:t> </w:t>
      </w:r>
      <w:r>
        <w:rPr/>
        <w:t>ten</w:t>
      </w:r>
      <w:r>
        <w:rPr>
          <w:spacing w:val="-8"/>
        </w:rPr>
        <w:t> </w:t>
      </w:r>
      <w:r>
        <w:rPr/>
        <w:t>days,</w:t>
      </w:r>
      <w:r>
        <w:rPr>
          <w:spacing w:val="-9"/>
        </w:rPr>
        <w:t> </w:t>
      </w:r>
      <w:r>
        <w:rPr/>
        <w:t>resulting</w:t>
      </w:r>
      <w:r>
        <w:rPr>
          <w:spacing w:val="-9"/>
        </w:rPr>
        <w:t> </w:t>
      </w:r>
      <w:r>
        <w:rPr/>
        <w:t>in</w:t>
      </w:r>
      <w:r>
        <w:rPr>
          <w:spacing w:val="-9"/>
        </w:rPr>
        <w:t> </w:t>
      </w:r>
      <w:r>
        <w:rPr/>
        <w:t>a</w:t>
      </w:r>
      <w:r>
        <w:rPr>
          <w:spacing w:val="-10"/>
        </w:rPr>
        <w:t> </w:t>
      </w:r>
      <w:r>
        <w:rPr/>
        <w:t>good therapeutic</w:t>
      </w:r>
      <w:r>
        <w:rPr>
          <w:spacing w:val="-2"/>
        </w:rPr>
        <w:t> </w:t>
      </w:r>
      <w:r>
        <w:rPr/>
        <w:t>effect.</w:t>
      </w:r>
    </w:p>
    <w:p>
      <w:pPr>
        <w:pStyle w:val="BodyText"/>
        <w:spacing w:line="276" w:lineRule="auto" w:before="242"/>
        <w:ind w:left="477" w:right="130"/>
        <w:jc w:val="both"/>
      </w:pPr>
      <w:r>
        <w:rPr/>
        <w:t>In 31 treatment periods with 29 HIV patients, 21 resulted in a transient (ten- day) or long-term (&gt; four weeks) normalisation of bowel movement; the fre- quency</w:t>
      </w:r>
      <w:r>
        <w:rPr>
          <w:spacing w:val="-17"/>
        </w:rPr>
        <w:t> </w:t>
      </w:r>
      <w:r>
        <w:rPr/>
        <w:t>of</w:t>
      </w:r>
      <w:r>
        <w:rPr>
          <w:spacing w:val="-16"/>
        </w:rPr>
        <w:t> </w:t>
      </w:r>
      <w:r>
        <w:rPr/>
        <w:t>bowel</w:t>
      </w:r>
      <w:r>
        <w:rPr>
          <w:spacing w:val="-19"/>
        </w:rPr>
        <w:t> </w:t>
      </w:r>
      <w:r>
        <w:rPr/>
        <w:t>movements</w:t>
      </w:r>
      <w:r>
        <w:rPr>
          <w:spacing w:val="-19"/>
        </w:rPr>
        <w:t> </w:t>
      </w:r>
      <w:r>
        <w:rPr/>
        <w:t>decreased</w:t>
      </w:r>
      <w:r>
        <w:rPr>
          <w:spacing w:val="-16"/>
        </w:rPr>
        <w:t> </w:t>
      </w:r>
      <w:r>
        <w:rPr/>
        <w:t>from</w:t>
      </w:r>
      <w:r>
        <w:rPr>
          <w:spacing w:val="-19"/>
        </w:rPr>
        <w:t> </w:t>
      </w:r>
      <w:r>
        <w:rPr/>
        <w:t>the</w:t>
      </w:r>
      <w:r>
        <w:rPr>
          <w:spacing w:val="-21"/>
        </w:rPr>
        <w:t> </w:t>
      </w:r>
      <w:r>
        <w:rPr/>
        <w:t>previous</w:t>
      </w:r>
      <w:r>
        <w:rPr>
          <w:spacing w:val="-16"/>
        </w:rPr>
        <w:t> </w:t>
      </w:r>
      <w:r>
        <w:rPr/>
        <w:t>average</w:t>
      </w:r>
      <w:r>
        <w:rPr>
          <w:spacing w:val="-16"/>
        </w:rPr>
        <w:t> </w:t>
      </w:r>
      <w:r>
        <w:rPr/>
        <w:t>of</w:t>
      </w:r>
      <w:r>
        <w:rPr>
          <w:spacing w:val="-19"/>
        </w:rPr>
        <w:t> </w:t>
      </w:r>
      <w:r>
        <w:rPr/>
        <w:t>10</w:t>
      </w:r>
      <w:r>
        <w:rPr>
          <w:spacing w:val="-17"/>
        </w:rPr>
        <w:t> </w:t>
      </w:r>
      <w:r>
        <w:rPr/>
        <w:t>per</w:t>
      </w:r>
      <w:r>
        <w:rPr>
          <w:spacing w:val="-17"/>
        </w:rPr>
        <w:t> </w:t>
      </w:r>
      <w:r>
        <w:rPr/>
        <w:t>day to 7.4 per</w:t>
      </w:r>
      <w:r>
        <w:rPr>
          <w:spacing w:val="-1"/>
        </w:rPr>
        <w:t> </w:t>
      </w:r>
      <w:r>
        <w:rPr/>
        <w:t>day.</w:t>
      </w:r>
    </w:p>
    <w:p>
      <w:pPr>
        <w:pStyle w:val="BodyText"/>
        <w:spacing w:line="276" w:lineRule="auto" w:before="239"/>
        <w:ind w:left="477" w:right="132"/>
        <w:jc w:val="both"/>
        <w:rPr>
          <w:sz w:val="25"/>
        </w:rPr>
      </w:pPr>
      <w:r>
        <w:rPr/>
        <w:t>19 of the patients had no diarrhoea for four weeks; in five patients the</w:t>
      </w:r>
      <w:r>
        <w:rPr>
          <w:spacing w:val="-64"/>
        </w:rPr>
        <w:t> </w:t>
      </w:r>
      <w:r>
        <w:rPr/>
        <w:t>cryptos- poridiosis disappeared after taking lactobin.</w:t>
      </w:r>
      <w:r>
        <w:rPr>
          <w:position w:val="9"/>
          <w:sz w:val="25"/>
        </w:rPr>
        <w:t>197</w:t>
      </w:r>
    </w:p>
    <w:p>
      <w:pPr>
        <w:pStyle w:val="BodyText"/>
        <w:spacing w:before="2"/>
        <w:rPr>
          <w:sz w:val="41"/>
        </w:rPr>
      </w:pPr>
    </w:p>
    <w:p>
      <w:pPr>
        <w:pStyle w:val="Heading1"/>
        <w:spacing w:before="0"/>
      </w:pPr>
      <w:r>
        <w:rPr/>
        <w:t>Effect of colostrum on inflammations</w:t>
      </w:r>
    </w:p>
    <w:p>
      <w:pPr>
        <w:pStyle w:val="BodyText"/>
        <w:spacing w:line="276" w:lineRule="auto" w:before="300"/>
        <w:ind w:left="477" w:right="144"/>
        <w:jc w:val="both"/>
      </w:pPr>
      <w:r>
        <w:rPr/>
        <w:t>Inflammation is a natural mechanism of the body in response to mechanical, physical, chemical or bacterial, viral and fungal stimuli.</w:t>
      </w:r>
    </w:p>
    <w:p>
      <w:pPr>
        <w:pStyle w:val="BodyText"/>
        <w:spacing w:line="276" w:lineRule="auto" w:before="238"/>
        <w:ind w:left="477" w:right="129"/>
        <w:jc w:val="both"/>
      </w:pPr>
      <w:r>
        <w:rPr/>
        <w:t>Any</w:t>
      </w:r>
      <w:r>
        <w:rPr>
          <w:spacing w:val="-6"/>
        </w:rPr>
        <w:t> </w:t>
      </w:r>
      <w:r>
        <w:rPr/>
        <w:t>inflammation</w:t>
      </w:r>
      <w:r>
        <w:rPr>
          <w:spacing w:val="-5"/>
        </w:rPr>
        <w:t> </w:t>
      </w:r>
      <w:r>
        <w:rPr/>
        <w:t>(as</w:t>
      </w:r>
      <w:r>
        <w:rPr>
          <w:spacing w:val="-6"/>
        </w:rPr>
        <w:t> </w:t>
      </w:r>
      <w:r>
        <w:rPr/>
        <w:t>in</w:t>
      </w:r>
      <w:r>
        <w:rPr>
          <w:spacing w:val="-6"/>
        </w:rPr>
        <w:t> </w:t>
      </w:r>
      <w:r>
        <w:rPr/>
        <w:t>the</w:t>
      </w:r>
      <w:r>
        <w:rPr>
          <w:spacing w:val="-5"/>
        </w:rPr>
        <w:t> </w:t>
      </w:r>
      <w:r>
        <w:rPr/>
        <w:t>case</w:t>
      </w:r>
      <w:r>
        <w:rPr>
          <w:spacing w:val="-6"/>
        </w:rPr>
        <w:t> </w:t>
      </w:r>
      <w:r>
        <w:rPr/>
        <w:t>of</w:t>
      </w:r>
      <w:r>
        <w:rPr>
          <w:spacing w:val="-5"/>
        </w:rPr>
        <w:t> </w:t>
      </w:r>
      <w:r>
        <w:rPr/>
        <w:t>alopecia</w:t>
      </w:r>
      <w:r>
        <w:rPr>
          <w:spacing w:val="-7"/>
        </w:rPr>
        <w:t> </w:t>
      </w:r>
      <w:r>
        <w:rPr/>
        <w:t>areata</w:t>
      </w:r>
      <w:r>
        <w:rPr>
          <w:spacing w:val="-6"/>
        </w:rPr>
        <w:t> </w:t>
      </w:r>
      <w:r>
        <w:rPr/>
        <w:t>–</w:t>
      </w:r>
      <w:r>
        <w:rPr>
          <w:spacing w:val="-6"/>
        </w:rPr>
        <w:t> </w:t>
      </w:r>
      <w:r>
        <w:rPr/>
        <w:t>circular</w:t>
      </w:r>
      <w:r>
        <w:rPr>
          <w:spacing w:val="-6"/>
        </w:rPr>
        <w:t> </w:t>
      </w:r>
      <w:r>
        <w:rPr/>
        <w:t>hair</w:t>
      </w:r>
      <w:r>
        <w:rPr>
          <w:spacing w:val="-6"/>
        </w:rPr>
        <w:t> </w:t>
      </w:r>
      <w:r>
        <w:rPr/>
        <w:t>loss)</w:t>
      </w:r>
      <w:r>
        <w:rPr>
          <w:spacing w:val="-6"/>
        </w:rPr>
        <w:t> </w:t>
      </w:r>
      <w:r>
        <w:rPr/>
        <w:t>causes</w:t>
      </w:r>
      <w:r>
        <w:rPr>
          <w:spacing w:val="-5"/>
        </w:rPr>
        <w:t> </w:t>
      </w:r>
      <w:r>
        <w:rPr/>
        <w:t>a defence</w:t>
      </w:r>
      <w:r>
        <w:rPr>
          <w:spacing w:val="-11"/>
        </w:rPr>
        <w:t> </w:t>
      </w:r>
      <w:r>
        <w:rPr/>
        <w:t>reaction</w:t>
      </w:r>
      <w:r>
        <w:rPr>
          <w:spacing w:val="-13"/>
        </w:rPr>
        <w:t> </w:t>
      </w:r>
      <w:r>
        <w:rPr/>
        <w:t>of</w:t>
      </w:r>
      <w:r>
        <w:rPr>
          <w:spacing w:val="-11"/>
        </w:rPr>
        <w:t> </w:t>
      </w:r>
      <w:r>
        <w:rPr/>
        <w:t>the</w:t>
      </w:r>
      <w:r>
        <w:rPr>
          <w:spacing w:val="-13"/>
        </w:rPr>
        <w:t> </w:t>
      </w:r>
      <w:r>
        <w:rPr/>
        <w:t>immune</w:t>
      </w:r>
      <w:r>
        <w:rPr>
          <w:spacing w:val="-14"/>
        </w:rPr>
        <w:t> </w:t>
      </w:r>
      <w:r>
        <w:rPr/>
        <w:t>system,</w:t>
      </w:r>
      <w:r>
        <w:rPr>
          <w:spacing w:val="-10"/>
        </w:rPr>
        <w:t> </w:t>
      </w:r>
      <w:r>
        <w:rPr/>
        <w:t>by</w:t>
      </w:r>
      <w:r>
        <w:rPr>
          <w:spacing w:val="-13"/>
        </w:rPr>
        <w:t> </w:t>
      </w:r>
      <w:r>
        <w:rPr/>
        <w:t>leukocytes</w:t>
      </w:r>
      <w:r>
        <w:rPr>
          <w:spacing w:val="-11"/>
        </w:rPr>
        <w:t> </w:t>
      </w:r>
      <w:r>
        <w:rPr/>
        <w:t>being</w:t>
      </w:r>
      <w:r>
        <w:rPr>
          <w:spacing w:val="-13"/>
        </w:rPr>
        <w:t> </w:t>
      </w:r>
      <w:r>
        <w:rPr/>
        <w:t>released</w:t>
      </w:r>
      <w:r>
        <w:rPr>
          <w:spacing w:val="-12"/>
        </w:rPr>
        <w:t> </w:t>
      </w:r>
      <w:r>
        <w:rPr/>
        <w:t>to</w:t>
      </w:r>
      <w:r>
        <w:rPr>
          <w:spacing w:val="-11"/>
        </w:rPr>
        <w:t> </w:t>
      </w:r>
      <w:r>
        <w:rPr/>
        <w:t>destroy the invaders. This is conducive to our health insofar as not too many of the leukocytes are released because then they also attack healthy</w:t>
      </w:r>
      <w:r>
        <w:rPr>
          <w:spacing w:val="-8"/>
        </w:rPr>
        <w:t> </w:t>
      </w:r>
      <w:r>
        <w:rPr/>
        <w:t>tissue.</w:t>
      </w:r>
    </w:p>
    <w:p>
      <w:pPr>
        <w:pStyle w:val="BodyText"/>
        <w:spacing w:before="242"/>
        <w:ind w:left="477"/>
        <w:jc w:val="both"/>
      </w:pPr>
      <w:r>
        <w:rPr/>
        <w:t>Colostrum contains numerous ingredients that directly prevent</w:t>
      </w:r>
      <w:r>
        <w:rPr>
          <w:spacing w:val="52"/>
        </w:rPr>
        <w:t> </w:t>
      </w:r>
      <w:r>
        <w:rPr/>
        <w:t>inflammatory</w:t>
      </w:r>
    </w:p>
    <w:p>
      <w:pPr>
        <w:pStyle w:val="BodyText"/>
        <w:spacing w:before="3"/>
        <w:rPr>
          <w:sz w:val="21"/>
        </w:rPr>
      </w:pPr>
      <w:r>
        <w:rPr/>
        <w:pict>
          <v:line style="position:absolute;mso-position-horizontal-relative:page;mso-position-vertical-relative:paragraph;z-index:1832;mso-wrap-distance-left:0;mso-wrap-distance-right:0" from="63.863998pt,14.333765pt" to="207.883998pt,14.33376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197 </w:t>
      </w:r>
      <w:r>
        <w:rPr>
          <w:sz w:val="20"/>
        </w:rPr>
        <w:t>Beth M. Ley: Kolostrum – die natürliche Nahrungsergänzung (‘Colostrum – The Natural Food Supplement’), 1997, p. 69</w:t>
      </w:r>
    </w:p>
    <w:p>
      <w:pPr>
        <w:spacing w:after="0"/>
        <w:jc w:val="left"/>
        <w:rPr>
          <w:sz w:val="20"/>
        </w:rPr>
        <w:sectPr>
          <w:pgSz w:w="14270" w:h="16850"/>
          <w:pgMar w:header="0" w:footer="1891" w:top="1600" w:bottom="2080" w:left="800" w:right="1280"/>
        </w:sectPr>
      </w:pPr>
    </w:p>
    <w:p>
      <w:pPr>
        <w:pStyle w:val="BodyText"/>
        <w:spacing w:before="181"/>
        <w:ind w:left="477"/>
        <w:jc w:val="both"/>
      </w:pPr>
      <w:r>
        <w:rPr/>
        <w:t>conditions, including:</w:t>
      </w:r>
    </w:p>
    <w:p>
      <w:pPr>
        <w:pStyle w:val="ListParagraph"/>
        <w:numPr>
          <w:ilvl w:val="0"/>
          <w:numId w:val="26"/>
        </w:numPr>
        <w:tabs>
          <w:tab w:pos="1198" w:val="left" w:leader="none"/>
        </w:tabs>
        <w:spacing w:line="240" w:lineRule="auto" w:before="186" w:after="0"/>
        <w:ind w:left="1048" w:right="0" w:hanging="571"/>
        <w:jc w:val="both"/>
        <w:rPr>
          <w:sz w:val="38"/>
        </w:rPr>
      </w:pPr>
      <w:r>
        <w:rPr>
          <w:sz w:val="38"/>
        </w:rPr>
        <w:t>antioxidants</w:t>
      </w:r>
    </w:p>
    <w:p>
      <w:pPr>
        <w:pStyle w:val="ListParagraph"/>
        <w:numPr>
          <w:ilvl w:val="0"/>
          <w:numId w:val="26"/>
        </w:numPr>
        <w:tabs>
          <w:tab w:pos="1198" w:val="left" w:leader="none"/>
        </w:tabs>
        <w:spacing w:line="240" w:lineRule="auto" w:before="184" w:after="0"/>
        <w:ind w:left="1048" w:right="0" w:hanging="571"/>
        <w:jc w:val="both"/>
        <w:rPr>
          <w:sz w:val="38"/>
        </w:rPr>
      </w:pPr>
      <w:r>
        <w:rPr>
          <w:sz w:val="38"/>
        </w:rPr>
        <w:t>anti-inflammatory and degradative enzymes</w:t>
      </w:r>
    </w:p>
    <w:p>
      <w:pPr>
        <w:pStyle w:val="ListParagraph"/>
        <w:numPr>
          <w:ilvl w:val="0"/>
          <w:numId w:val="26"/>
        </w:numPr>
        <w:tabs>
          <w:tab w:pos="1198" w:val="left" w:leader="none"/>
        </w:tabs>
        <w:spacing w:line="240" w:lineRule="auto" w:before="184" w:after="0"/>
        <w:ind w:left="1048" w:right="0" w:hanging="571"/>
        <w:jc w:val="both"/>
        <w:rPr>
          <w:sz w:val="38"/>
        </w:rPr>
      </w:pPr>
      <w:r>
        <w:rPr>
          <w:sz w:val="38"/>
        </w:rPr>
        <w:t>activators of</w:t>
      </w:r>
      <w:r>
        <w:rPr>
          <w:spacing w:val="1"/>
          <w:sz w:val="38"/>
        </w:rPr>
        <w:t> </w:t>
      </w:r>
      <w:r>
        <w:rPr>
          <w:sz w:val="38"/>
        </w:rPr>
        <w:t>leukocytes</w:t>
      </w:r>
    </w:p>
    <w:p>
      <w:pPr>
        <w:pStyle w:val="ListParagraph"/>
        <w:numPr>
          <w:ilvl w:val="0"/>
          <w:numId w:val="26"/>
        </w:numPr>
        <w:tabs>
          <w:tab w:pos="1198" w:val="left" w:leader="none"/>
        </w:tabs>
        <w:spacing w:line="240" w:lineRule="auto" w:before="186" w:after="0"/>
        <w:ind w:left="1048" w:right="0" w:hanging="571"/>
        <w:jc w:val="both"/>
        <w:rPr>
          <w:sz w:val="38"/>
        </w:rPr>
      </w:pPr>
      <w:r>
        <w:rPr>
          <w:sz w:val="38"/>
        </w:rPr>
        <w:t>anti-enzymes</w:t>
      </w:r>
    </w:p>
    <w:p>
      <w:pPr>
        <w:pStyle w:val="ListParagraph"/>
        <w:numPr>
          <w:ilvl w:val="0"/>
          <w:numId w:val="26"/>
        </w:numPr>
        <w:tabs>
          <w:tab w:pos="1186" w:val="left" w:leader="none"/>
        </w:tabs>
        <w:spacing w:line="240" w:lineRule="auto" w:before="184" w:after="0"/>
        <w:ind w:left="1185" w:right="0" w:hanging="708"/>
        <w:jc w:val="both"/>
        <w:rPr>
          <w:sz w:val="38"/>
        </w:rPr>
      </w:pPr>
      <w:r>
        <w:rPr>
          <w:sz w:val="38"/>
        </w:rPr>
        <w:t>agents such as lysozyme, lactoferrin, secretory</w:t>
      </w:r>
      <w:r>
        <w:rPr>
          <w:spacing w:val="2"/>
          <w:sz w:val="38"/>
        </w:rPr>
        <w:t> </w:t>
      </w:r>
      <w:r>
        <w:rPr>
          <w:sz w:val="38"/>
        </w:rPr>
        <w:t>IgA</w:t>
      </w:r>
    </w:p>
    <w:p>
      <w:pPr>
        <w:pStyle w:val="BodyText"/>
        <w:spacing w:line="276" w:lineRule="auto" w:before="302"/>
        <w:ind w:left="477"/>
        <w:rPr>
          <w:sz w:val="25"/>
        </w:rPr>
      </w:pPr>
      <w:r>
        <w:rPr/>
        <w:t>For example, studies have shown that ingredients contained in colostrum pre- vented previously provoked inflammation.</w:t>
      </w:r>
      <w:r>
        <w:rPr>
          <w:position w:val="9"/>
          <w:sz w:val="25"/>
        </w:rPr>
        <w:t>198</w:t>
      </w:r>
    </w:p>
    <w:p>
      <w:pPr>
        <w:pStyle w:val="BodyText"/>
        <w:spacing w:before="2"/>
        <w:rPr>
          <w:sz w:val="41"/>
        </w:rPr>
      </w:pPr>
    </w:p>
    <w:p>
      <w:pPr>
        <w:pStyle w:val="Heading1"/>
        <w:spacing w:before="0"/>
      </w:pPr>
      <w:r>
        <w:rPr/>
        <w:t>Studies on colostrum and its effect on arthritis</w:t>
      </w:r>
    </w:p>
    <w:p>
      <w:pPr>
        <w:pStyle w:val="BodyText"/>
        <w:spacing w:line="276" w:lineRule="auto" w:before="300"/>
        <w:ind w:left="477" w:right="136"/>
        <w:jc w:val="both"/>
      </w:pPr>
      <w:r>
        <w:rPr/>
        <w:t>Arthritis is a degenerative joint disease that not only affects the joint itself, but the surrounding tissue throughout the body. Most hand, knee, shoulder, foot or</w:t>
      </w:r>
      <w:r>
        <w:rPr>
          <w:spacing w:val="-21"/>
        </w:rPr>
        <w:t> </w:t>
      </w:r>
      <w:r>
        <w:rPr/>
        <w:t>hip</w:t>
      </w:r>
      <w:r>
        <w:rPr>
          <w:spacing w:val="-23"/>
        </w:rPr>
        <w:t> </w:t>
      </w:r>
      <w:r>
        <w:rPr/>
        <w:t>joints</w:t>
      </w:r>
      <w:r>
        <w:rPr>
          <w:spacing w:val="-21"/>
        </w:rPr>
        <w:t> </w:t>
      </w:r>
      <w:r>
        <w:rPr/>
        <w:t>are</w:t>
      </w:r>
      <w:r>
        <w:rPr>
          <w:spacing w:val="-26"/>
        </w:rPr>
        <w:t> </w:t>
      </w:r>
      <w:r>
        <w:rPr/>
        <w:t>affected.</w:t>
      </w:r>
      <w:r>
        <w:rPr>
          <w:spacing w:val="-21"/>
        </w:rPr>
        <w:t> </w:t>
      </w:r>
      <w:r>
        <w:rPr/>
        <w:t>The</w:t>
      </w:r>
      <w:r>
        <w:rPr>
          <w:spacing w:val="-22"/>
        </w:rPr>
        <w:t> </w:t>
      </w:r>
      <w:r>
        <w:rPr/>
        <w:t>joint</w:t>
      </w:r>
      <w:r>
        <w:rPr>
          <w:spacing w:val="-22"/>
        </w:rPr>
        <w:t> </w:t>
      </w:r>
      <w:r>
        <w:rPr/>
        <w:t>is</w:t>
      </w:r>
      <w:r>
        <w:rPr>
          <w:spacing w:val="-22"/>
        </w:rPr>
        <w:t> </w:t>
      </w:r>
      <w:r>
        <w:rPr/>
        <w:t>inflamed</w:t>
      </w:r>
      <w:r>
        <w:rPr>
          <w:spacing w:val="-21"/>
        </w:rPr>
        <w:t> </w:t>
      </w:r>
      <w:r>
        <w:rPr/>
        <w:t>and</w:t>
      </w:r>
      <w:r>
        <w:rPr>
          <w:spacing w:val="-22"/>
        </w:rPr>
        <w:t> </w:t>
      </w:r>
      <w:r>
        <w:rPr/>
        <w:t>thickened;</w:t>
      </w:r>
      <w:r>
        <w:rPr>
          <w:spacing w:val="-22"/>
        </w:rPr>
        <w:t> </w:t>
      </w:r>
      <w:r>
        <w:rPr/>
        <w:t>this</w:t>
      </w:r>
      <w:r>
        <w:rPr>
          <w:spacing w:val="-23"/>
        </w:rPr>
        <w:t> </w:t>
      </w:r>
      <w:r>
        <w:rPr/>
        <w:t>usually</w:t>
      </w:r>
      <w:r>
        <w:rPr>
          <w:spacing w:val="-21"/>
        </w:rPr>
        <w:t> </w:t>
      </w:r>
      <w:r>
        <w:rPr/>
        <w:t>causes bursts of severe pain. Arthritis can occur gradually, but also suddenly, it can affect one or more joints (polyarthritis).</w:t>
      </w:r>
    </w:p>
    <w:p>
      <w:pPr>
        <w:pStyle w:val="BodyText"/>
        <w:spacing w:line="276" w:lineRule="auto" w:before="239"/>
        <w:ind w:left="477" w:right="134"/>
        <w:jc w:val="both"/>
      </w:pPr>
      <w:r>
        <w:rPr/>
        <w:t>Colostrum has a high proportion of interleukin 10, which has been shown to be an extremely potent anti-inflammatory agent in studies, especially in arthri- tis.</w:t>
      </w:r>
      <w:r>
        <w:rPr>
          <w:position w:val="9"/>
          <w:sz w:val="25"/>
        </w:rPr>
        <w:t>199 </w:t>
      </w:r>
      <w:r>
        <w:rPr/>
        <w:t>Furthermore, in the case of rheumatoid arthritis and all other immune disorders, it is important that it is treated with an immune regulator that</w:t>
      </w:r>
      <w:r>
        <w:rPr>
          <w:spacing w:val="68"/>
        </w:rPr>
        <w:t> </w:t>
      </w:r>
      <w:r>
        <w:rPr/>
        <w:t>calms</w:t>
      </w:r>
    </w:p>
    <w:p>
      <w:pPr>
        <w:pStyle w:val="BodyText"/>
        <w:rPr>
          <w:sz w:val="20"/>
        </w:rPr>
      </w:pPr>
    </w:p>
    <w:p>
      <w:pPr>
        <w:pStyle w:val="BodyText"/>
        <w:spacing w:before="1"/>
        <w:rPr>
          <w:sz w:val="20"/>
        </w:rPr>
      </w:pPr>
      <w:r>
        <w:rPr/>
        <w:pict>
          <v:line style="position:absolute;mso-position-horizontal-relative:page;mso-position-vertical-relative:paragraph;z-index:1856;mso-wrap-distance-left:0;mso-wrap-distance-right:0" from="63.863998pt,13.664887pt" to="207.883998pt,13.664887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198 </w:t>
      </w:r>
      <w:r>
        <w:rPr>
          <w:sz w:val="20"/>
        </w:rPr>
        <w:t>Murphey 1993</w:t>
      </w:r>
    </w:p>
    <w:p>
      <w:pPr>
        <w:spacing w:before="94"/>
        <w:ind w:left="477" w:right="0" w:firstLine="0"/>
        <w:jc w:val="left"/>
        <w:rPr>
          <w:sz w:val="20"/>
        </w:rPr>
      </w:pPr>
      <w:r>
        <w:rPr>
          <w:position w:val="5"/>
          <w:sz w:val="13"/>
        </w:rPr>
        <w:t>199 </w:t>
      </w:r>
      <w:r>
        <w:rPr>
          <w:sz w:val="20"/>
        </w:rPr>
        <w:t>Hernell, Olle, University of Umeå, Sweden, Science Apr. 1995, p. 231 f.</w:t>
      </w:r>
    </w:p>
    <w:p>
      <w:pPr>
        <w:spacing w:after="0"/>
        <w:jc w:val="left"/>
        <w:rPr>
          <w:sz w:val="20"/>
        </w:rPr>
        <w:sectPr>
          <w:pgSz w:w="14270" w:h="16850"/>
          <w:pgMar w:header="0" w:footer="1891" w:top="1600" w:bottom="2080" w:left="800" w:right="1280"/>
        </w:sectPr>
      </w:pPr>
    </w:p>
    <w:p>
      <w:pPr>
        <w:pStyle w:val="BodyText"/>
        <w:spacing w:line="276" w:lineRule="auto" w:before="181"/>
        <w:ind w:left="477" w:right="133"/>
        <w:jc w:val="both"/>
        <w:rPr>
          <w:sz w:val="25"/>
        </w:rPr>
      </w:pPr>
      <w:r>
        <w:rPr/>
        <w:t>or stimulates the immune system when needed. This is exactly what a peptide in colostrum called ‘proline-rich polypeptide’ (PRP) can accomplish, thus providing relief to the patients individually.</w:t>
      </w:r>
      <w:r>
        <w:rPr>
          <w:position w:val="9"/>
          <w:sz w:val="25"/>
        </w:rPr>
        <w:t>200</w:t>
      </w:r>
    </w:p>
    <w:p>
      <w:pPr>
        <w:pStyle w:val="BodyText"/>
        <w:spacing w:before="3"/>
        <w:rPr>
          <w:sz w:val="41"/>
        </w:rPr>
      </w:pPr>
    </w:p>
    <w:p>
      <w:pPr>
        <w:pStyle w:val="Heading1"/>
        <w:spacing w:before="0"/>
      </w:pPr>
      <w:r>
        <w:rPr/>
        <w:t>Effect of colostrum on arthritis</w:t>
      </w:r>
    </w:p>
    <w:p>
      <w:pPr>
        <w:pStyle w:val="BodyText"/>
        <w:spacing w:line="276" w:lineRule="auto" w:before="299"/>
        <w:ind w:left="477"/>
      </w:pPr>
      <w:r>
        <w:rPr/>
        <w:t>Allergies are caused by a hypersensitivity of the body to certain substances and substances, so-called allergens.</w:t>
      </w:r>
    </w:p>
    <w:p>
      <w:pPr>
        <w:pStyle w:val="Heading1"/>
        <w:spacing w:before="222"/>
        <w:jc w:val="both"/>
      </w:pPr>
      <w:r>
        <w:rPr/>
        <w:t>The most common allergies include:</w:t>
      </w:r>
    </w:p>
    <w:p>
      <w:pPr>
        <w:pStyle w:val="ListParagraph"/>
        <w:numPr>
          <w:ilvl w:val="0"/>
          <w:numId w:val="26"/>
        </w:numPr>
        <w:tabs>
          <w:tab w:pos="1198" w:val="left" w:leader="none"/>
        </w:tabs>
        <w:spacing w:line="240" w:lineRule="auto" w:before="301" w:after="0"/>
        <w:ind w:left="1048" w:right="0" w:hanging="571"/>
        <w:jc w:val="both"/>
        <w:rPr>
          <w:sz w:val="38"/>
        </w:rPr>
      </w:pPr>
      <w:r>
        <w:rPr>
          <w:sz w:val="38"/>
        </w:rPr>
        <w:t>house dust</w:t>
      </w:r>
      <w:r>
        <w:rPr>
          <w:spacing w:val="-1"/>
          <w:sz w:val="38"/>
        </w:rPr>
        <w:t> </w:t>
      </w:r>
      <w:r>
        <w:rPr>
          <w:sz w:val="38"/>
        </w:rPr>
        <w:t>allergy</w:t>
      </w:r>
    </w:p>
    <w:p>
      <w:pPr>
        <w:pStyle w:val="ListParagraph"/>
        <w:numPr>
          <w:ilvl w:val="0"/>
          <w:numId w:val="26"/>
        </w:numPr>
        <w:tabs>
          <w:tab w:pos="1198" w:val="left" w:leader="none"/>
        </w:tabs>
        <w:spacing w:line="240" w:lineRule="auto" w:before="183" w:after="0"/>
        <w:ind w:left="1048" w:right="0" w:hanging="571"/>
        <w:jc w:val="both"/>
        <w:rPr>
          <w:sz w:val="38"/>
        </w:rPr>
      </w:pPr>
      <w:r>
        <w:rPr>
          <w:sz w:val="38"/>
        </w:rPr>
        <w:t>hay fever/pollen allergy</w:t>
      </w:r>
    </w:p>
    <w:p>
      <w:pPr>
        <w:pStyle w:val="ListParagraph"/>
        <w:numPr>
          <w:ilvl w:val="0"/>
          <w:numId w:val="26"/>
        </w:numPr>
        <w:tabs>
          <w:tab w:pos="1198" w:val="left" w:leader="none"/>
        </w:tabs>
        <w:spacing w:line="240" w:lineRule="auto" w:before="184" w:after="0"/>
        <w:ind w:left="1048" w:right="0" w:hanging="571"/>
        <w:jc w:val="both"/>
        <w:rPr>
          <w:sz w:val="38"/>
        </w:rPr>
      </w:pPr>
      <w:r>
        <w:rPr>
          <w:sz w:val="38"/>
        </w:rPr>
        <w:t>latex</w:t>
      </w:r>
      <w:r>
        <w:rPr>
          <w:spacing w:val="-9"/>
          <w:sz w:val="38"/>
        </w:rPr>
        <w:t> </w:t>
      </w:r>
      <w:r>
        <w:rPr>
          <w:sz w:val="38"/>
        </w:rPr>
        <w:t>allergy</w:t>
      </w:r>
    </w:p>
    <w:p>
      <w:pPr>
        <w:pStyle w:val="ListParagraph"/>
        <w:numPr>
          <w:ilvl w:val="0"/>
          <w:numId w:val="26"/>
        </w:numPr>
        <w:tabs>
          <w:tab w:pos="1198" w:val="left" w:leader="none"/>
        </w:tabs>
        <w:spacing w:line="240" w:lineRule="auto" w:before="186" w:after="0"/>
        <w:ind w:left="1048" w:right="0" w:hanging="571"/>
        <w:jc w:val="both"/>
        <w:rPr>
          <w:sz w:val="38"/>
        </w:rPr>
      </w:pPr>
      <w:r>
        <w:rPr>
          <w:sz w:val="38"/>
        </w:rPr>
        <w:t>food</w:t>
      </w:r>
      <w:r>
        <w:rPr>
          <w:spacing w:val="-9"/>
          <w:sz w:val="38"/>
        </w:rPr>
        <w:t> </w:t>
      </w:r>
      <w:r>
        <w:rPr>
          <w:sz w:val="38"/>
        </w:rPr>
        <w:t>allergy</w:t>
      </w:r>
    </w:p>
    <w:p>
      <w:pPr>
        <w:pStyle w:val="ListParagraph"/>
        <w:numPr>
          <w:ilvl w:val="0"/>
          <w:numId w:val="26"/>
        </w:numPr>
        <w:tabs>
          <w:tab w:pos="1198" w:val="left" w:leader="none"/>
        </w:tabs>
        <w:spacing w:line="240" w:lineRule="auto" w:before="184" w:after="0"/>
        <w:ind w:left="1048" w:right="0" w:hanging="571"/>
        <w:jc w:val="both"/>
        <w:rPr>
          <w:sz w:val="38"/>
        </w:rPr>
      </w:pPr>
      <w:r>
        <w:rPr>
          <w:sz w:val="38"/>
        </w:rPr>
        <w:t>animal hair</w:t>
      </w:r>
      <w:r>
        <w:rPr>
          <w:spacing w:val="2"/>
          <w:sz w:val="38"/>
        </w:rPr>
        <w:t> </w:t>
      </w:r>
      <w:r>
        <w:rPr>
          <w:sz w:val="38"/>
        </w:rPr>
        <w:t>allergy</w:t>
      </w:r>
    </w:p>
    <w:p>
      <w:pPr>
        <w:pStyle w:val="ListParagraph"/>
        <w:numPr>
          <w:ilvl w:val="0"/>
          <w:numId w:val="26"/>
        </w:numPr>
        <w:tabs>
          <w:tab w:pos="1198" w:val="left" w:leader="none"/>
        </w:tabs>
        <w:spacing w:line="240" w:lineRule="auto" w:before="184" w:after="0"/>
        <w:ind w:left="1048" w:right="0" w:hanging="571"/>
        <w:jc w:val="both"/>
        <w:rPr>
          <w:sz w:val="38"/>
        </w:rPr>
      </w:pPr>
      <w:r>
        <w:rPr>
          <w:sz w:val="38"/>
        </w:rPr>
        <w:t>sun</w:t>
      </w:r>
      <w:r>
        <w:rPr>
          <w:spacing w:val="-1"/>
          <w:sz w:val="38"/>
        </w:rPr>
        <w:t> </w:t>
      </w:r>
      <w:r>
        <w:rPr>
          <w:sz w:val="38"/>
        </w:rPr>
        <w:t>allergy</w:t>
      </w:r>
    </w:p>
    <w:p>
      <w:pPr>
        <w:pStyle w:val="Heading1"/>
        <w:spacing w:before="285"/>
        <w:jc w:val="both"/>
      </w:pPr>
      <w:r>
        <w:rPr/>
        <w:t>The most common symptoms of allergies</w:t>
      </w:r>
      <w:r>
        <w:rPr>
          <w:spacing w:val="-70"/>
        </w:rPr>
        <w:t> </w:t>
      </w:r>
      <w:r>
        <w:rPr/>
        <w:t>are:</w:t>
      </w:r>
    </w:p>
    <w:p>
      <w:pPr>
        <w:pStyle w:val="ListParagraph"/>
        <w:numPr>
          <w:ilvl w:val="0"/>
          <w:numId w:val="26"/>
        </w:numPr>
        <w:tabs>
          <w:tab w:pos="1198" w:val="left" w:leader="none"/>
        </w:tabs>
        <w:spacing w:line="240" w:lineRule="auto" w:before="300" w:after="0"/>
        <w:ind w:left="1048" w:right="0" w:hanging="571"/>
        <w:jc w:val="both"/>
        <w:rPr>
          <w:sz w:val="38"/>
        </w:rPr>
      </w:pPr>
      <w:r>
        <w:rPr>
          <w:sz w:val="38"/>
        </w:rPr>
        <w:t>itchy skin</w:t>
      </w:r>
    </w:p>
    <w:p>
      <w:pPr>
        <w:pStyle w:val="BodyText"/>
        <w:rPr>
          <w:sz w:val="20"/>
        </w:rPr>
      </w:pPr>
    </w:p>
    <w:p>
      <w:pPr>
        <w:pStyle w:val="BodyText"/>
        <w:spacing w:before="4"/>
        <w:rPr>
          <w:sz w:val="18"/>
        </w:rPr>
      </w:pPr>
      <w:r>
        <w:rPr/>
        <w:pict>
          <v:line style="position:absolute;mso-position-horizontal-relative:page;mso-position-vertical-relative:paragraph;z-index:1880;mso-wrap-distance-left:0;mso-wrap-distance-right:0" from="63.863998pt,12.699879pt" to="207.883998pt,12.699879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200 </w:t>
      </w:r>
      <w:r>
        <w:rPr>
          <w:sz w:val="20"/>
        </w:rPr>
        <w:t>Janusz, Lisowski 1993, Arch. Immunol. Ther. Exp. Warz. Vol. 41 (5–6), p. 275–9</w:t>
      </w:r>
    </w:p>
    <w:p>
      <w:pPr>
        <w:spacing w:after="0"/>
        <w:jc w:val="left"/>
        <w:rPr>
          <w:sz w:val="20"/>
        </w:rPr>
        <w:sectPr>
          <w:footerReference w:type="default" r:id="rId77"/>
          <w:pgSz w:w="14270" w:h="16850"/>
          <w:pgMar w:footer="1891" w:header="0" w:top="1600" w:bottom="2080" w:left="800" w:right="1280"/>
          <w:pgNumType w:start="300"/>
        </w:sectPr>
      </w:pPr>
    </w:p>
    <w:p>
      <w:pPr>
        <w:pStyle w:val="BodyText"/>
        <w:spacing w:before="10"/>
        <w:rPr>
          <w:sz w:val="8"/>
        </w:rPr>
      </w:pPr>
    </w:p>
    <w:p>
      <w:pPr>
        <w:pStyle w:val="ListParagraph"/>
        <w:numPr>
          <w:ilvl w:val="0"/>
          <w:numId w:val="26"/>
        </w:numPr>
        <w:tabs>
          <w:tab w:pos="1197" w:val="left" w:leader="none"/>
          <w:tab w:pos="1198" w:val="left" w:leader="none"/>
        </w:tabs>
        <w:spacing w:line="240" w:lineRule="auto" w:before="83" w:after="0"/>
        <w:ind w:left="1048" w:right="0" w:hanging="571"/>
        <w:jc w:val="left"/>
        <w:rPr>
          <w:sz w:val="38"/>
        </w:rPr>
      </w:pPr>
      <w:r>
        <w:rPr>
          <w:sz w:val="38"/>
        </w:rPr>
        <w:t>watery</w:t>
      </w:r>
      <w:r>
        <w:rPr>
          <w:spacing w:val="-8"/>
          <w:sz w:val="38"/>
        </w:rPr>
        <w:t> </w:t>
      </w:r>
      <w:r>
        <w:rPr>
          <w:sz w:val="38"/>
        </w:rPr>
        <w:t>eyes</w:t>
      </w:r>
    </w:p>
    <w:p>
      <w:pPr>
        <w:pStyle w:val="ListParagraph"/>
        <w:numPr>
          <w:ilvl w:val="0"/>
          <w:numId w:val="26"/>
        </w:numPr>
        <w:tabs>
          <w:tab w:pos="1197" w:val="left" w:leader="none"/>
          <w:tab w:pos="1198" w:val="left" w:leader="none"/>
        </w:tabs>
        <w:spacing w:line="240" w:lineRule="auto" w:before="184" w:after="0"/>
        <w:ind w:left="1048" w:right="0" w:hanging="571"/>
        <w:jc w:val="left"/>
        <w:rPr>
          <w:sz w:val="38"/>
        </w:rPr>
      </w:pPr>
      <w:r>
        <w:rPr>
          <w:sz w:val="38"/>
        </w:rPr>
        <w:t>runny</w:t>
      </w:r>
      <w:r>
        <w:rPr>
          <w:spacing w:val="-3"/>
          <w:sz w:val="38"/>
        </w:rPr>
        <w:t> </w:t>
      </w:r>
      <w:r>
        <w:rPr>
          <w:sz w:val="38"/>
        </w:rPr>
        <w:t>nose</w:t>
      </w:r>
    </w:p>
    <w:p>
      <w:pPr>
        <w:pStyle w:val="ListParagraph"/>
        <w:numPr>
          <w:ilvl w:val="0"/>
          <w:numId w:val="26"/>
        </w:numPr>
        <w:tabs>
          <w:tab w:pos="1197" w:val="left" w:leader="none"/>
          <w:tab w:pos="1198" w:val="left" w:leader="none"/>
        </w:tabs>
        <w:spacing w:line="240" w:lineRule="auto" w:before="186" w:after="0"/>
        <w:ind w:left="1048" w:right="0" w:hanging="571"/>
        <w:jc w:val="left"/>
        <w:rPr>
          <w:sz w:val="38"/>
        </w:rPr>
      </w:pPr>
      <w:r>
        <w:rPr>
          <w:sz w:val="38"/>
        </w:rPr>
        <w:t>clogged</w:t>
      </w:r>
      <w:r>
        <w:rPr>
          <w:spacing w:val="-2"/>
          <w:sz w:val="38"/>
        </w:rPr>
        <w:t> </w:t>
      </w:r>
      <w:r>
        <w:rPr>
          <w:sz w:val="38"/>
        </w:rPr>
        <w:t>sinuses</w:t>
      </w:r>
    </w:p>
    <w:p>
      <w:pPr>
        <w:pStyle w:val="ListParagraph"/>
        <w:numPr>
          <w:ilvl w:val="0"/>
          <w:numId w:val="26"/>
        </w:numPr>
        <w:tabs>
          <w:tab w:pos="1197" w:val="left" w:leader="none"/>
          <w:tab w:pos="1198" w:val="left" w:leader="none"/>
        </w:tabs>
        <w:spacing w:line="240" w:lineRule="auto" w:before="183" w:after="0"/>
        <w:ind w:left="1048" w:right="0" w:hanging="571"/>
        <w:jc w:val="left"/>
        <w:rPr>
          <w:sz w:val="38"/>
        </w:rPr>
      </w:pPr>
      <w:r>
        <w:rPr>
          <w:sz w:val="38"/>
        </w:rPr>
        <w:t>daytime</w:t>
      </w:r>
      <w:r>
        <w:rPr>
          <w:spacing w:val="-10"/>
          <w:sz w:val="38"/>
        </w:rPr>
        <w:t> </w:t>
      </w:r>
      <w:r>
        <w:rPr>
          <w:sz w:val="38"/>
        </w:rPr>
        <w:t>fatigue</w:t>
      </w:r>
    </w:p>
    <w:p>
      <w:pPr>
        <w:pStyle w:val="ListParagraph"/>
        <w:numPr>
          <w:ilvl w:val="0"/>
          <w:numId w:val="26"/>
        </w:numPr>
        <w:tabs>
          <w:tab w:pos="1197" w:val="left" w:leader="none"/>
          <w:tab w:pos="1198" w:val="left" w:leader="none"/>
        </w:tabs>
        <w:spacing w:line="240" w:lineRule="auto" w:before="184" w:after="0"/>
        <w:ind w:left="1048" w:right="0" w:hanging="571"/>
        <w:jc w:val="left"/>
        <w:rPr>
          <w:sz w:val="38"/>
        </w:rPr>
      </w:pPr>
      <w:r>
        <w:rPr>
          <w:sz w:val="38"/>
        </w:rPr>
        <w:t>asthma</w:t>
      </w:r>
    </w:p>
    <w:p>
      <w:pPr>
        <w:pStyle w:val="ListParagraph"/>
        <w:numPr>
          <w:ilvl w:val="0"/>
          <w:numId w:val="26"/>
        </w:numPr>
        <w:tabs>
          <w:tab w:pos="1197" w:val="left" w:leader="none"/>
          <w:tab w:pos="1198" w:val="left" w:leader="none"/>
        </w:tabs>
        <w:spacing w:line="240" w:lineRule="auto" w:before="184" w:after="0"/>
        <w:ind w:left="1048" w:right="0" w:hanging="571"/>
        <w:jc w:val="left"/>
        <w:rPr>
          <w:sz w:val="38"/>
        </w:rPr>
      </w:pPr>
      <w:r>
        <w:rPr>
          <w:sz w:val="38"/>
        </w:rPr>
        <w:t>food</w:t>
      </w:r>
      <w:r>
        <w:rPr>
          <w:spacing w:val="-1"/>
          <w:sz w:val="38"/>
        </w:rPr>
        <w:t> </w:t>
      </w:r>
      <w:r>
        <w:rPr>
          <w:sz w:val="38"/>
        </w:rPr>
        <w:t>cravings</w:t>
      </w:r>
    </w:p>
    <w:p>
      <w:pPr>
        <w:pStyle w:val="ListParagraph"/>
        <w:numPr>
          <w:ilvl w:val="0"/>
          <w:numId w:val="26"/>
        </w:numPr>
        <w:tabs>
          <w:tab w:pos="1197" w:val="left" w:leader="none"/>
          <w:tab w:pos="1198" w:val="left" w:leader="none"/>
        </w:tabs>
        <w:spacing w:line="240" w:lineRule="auto" w:before="184" w:after="0"/>
        <w:ind w:left="1048" w:right="0" w:hanging="571"/>
        <w:jc w:val="left"/>
        <w:rPr>
          <w:sz w:val="38"/>
        </w:rPr>
      </w:pPr>
      <w:r>
        <w:rPr>
          <w:sz w:val="38"/>
        </w:rPr>
        <w:t>hypertension (high blood</w:t>
      </w:r>
      <w:r>
        <w:rPr>
          <w:spacing w:val="-2"/>
          <w:sz w:val="38"/>
        </w:rPr>
        <w:t> </w:t>
      </w:r>
      <w:r>
        <w:rPr>
          <w:sz w:val="38"/>
        </w:rPr>
        <w:t>pressure)</w:t>
      </w:r>
    </w:p>
    <w:p>
      <w:pPr>
        <w:pStyle w:val="ListParagraph"/>
        <w:numPr>
          <w:ilvl w:val="0"/>
          <w:numId w:val="26"/>
        </w:numPr>
        <w:tabs>
          <w:tab w:pos="1197" w:val="left" w:leader="none"/>
          <w:tab w:pos="1198" w:val="left" w:leader="none"/>
        </w:tabs>
        <w:spacing w:line="240" w:lineRule="auto" w:before="186" w:after="0"/>
        <w:ind w:left="1048" w:right="0" w:hanging="571"/>
        <w:jc w:val="left"/>
        <w:rPr>
          <w:sz w:val="38"/>
        </w:rPr>
      </w:pPr>
      <w:r>
        <w:rPr>
          <w:sz w:val="38"/>
        </w:rPr>
        <w:t>depressive</w:t>
      </w:r>
      <w:r>
        <w:rPr>
          <w:spacing w:val="-2"/>
          <w:sz w:val="38"/>
        </w:rPr>
        <w:t> </w:t>
      </w:r>
      <w:r>
        <w:rPr>
          <w:sz w:val="38"/>
        </w:rPr>
        <w:t>states</w:t>
      </w:r>
    </w:p>
    <w:p>
      <w:pPr>
        <w:pStyle w:val="ListParagraph"/>
        <w:numPr>
          <w:ilvl w:val="0"/>
          <w:numId w:val="26"/>
        </w:numPr>
        <w:tabs>
          <w:tab w:pos="1197" w:val="left" w:leader="none"/>
          <w:tab w:pos="1198" w:val="left" w:leader="none"/>
        </w:tabs>
        <w:spacing w:line="240" w:lineRule="auto" w:before="183" w:after="0"/>
        <w:ind w:left="1048" w:right="0" w:hanging="571"/>
        <w:jc w:val="left"/>
        <w:rPr>
          <w:sz w:val="38"/>
        </w:rPr>
      </w:pPr>
      <w:r>
        <w:rPr>
          <w:sz w:val="38"/>
        </w:rPr>
        <w:t>depression</w:t>
      </w:r>
    </w:p>
    <w:p>
      <w:pPr>
        <w:pStyle w:val="ListParagraph"/>
        <w:numPr>
          <w:ilvl w:val="0"/>
          <w:numId w:val="26"/>
        </w:numPr>
        <w:tabs>
          <w:tab w:pos="1197" w:val="left" w:leader="none"/>
          <w:tab w:pos="1198" w:val="left" w:leader="none"/>
        </w:tabs>
        <w:spacing w:line="240" w:lineRule="auto" w:before="184" w:after="0"/>
        <w:ind w:left="1048" w:right="0" w:hanging="571"/>
        <w:jc w:val="left"/>
        <w:rPr>
          <w:sz w:val="38"/>
        </w:rPr>
      </w:pPr>
      <w:r>
        <w:rPr>
          <w:sz w:val="38"/>
        </w:rPr>
        <w:t>eczema</w:t>
      </w:r>
    </w:p>
    <w:p>
      <w:pPr>
        <w:pStyle w:val="ListParagraph"/>
        <w:numPr>
          <w:ilvl w:val="0"/>
          <w:numId w:val="26"/>
        </w:numPr>
        <w:tabs>
          <w:tab w:pos="1197" w:val="left" w:leader="none"/>
          <w:tab w:pos="1198" w:val="left" w:leader="none"/>
        </w:tabs>
        <w:spacing w:line="240" w:lineRule="auto" w:before="184" w:after="0"/>
        <w:ind w:left="1048" w:right="0" w:hanging="571"/>
        <w:jc w:val="left"/>
        <w:rPr>
          <w:sz w:val="38"/>
        </w:rPr>
      </w:pPr>
      <w:r>
        <w:rPr>
          <w:sz w:val="38"/>
        </w:rPr>
        <w:t>constipation</w:t>
      </w:r>
    </w:p>
    <w:p>
      <w:pPr>
        <w:pStyle w:val="ListParagraph"/>
        <w:numPr>
          <w:ilvl w:val="0"/>
          <w:numId w:val="26"/>
        </w:numPr>
        <w:tabs>
          <w:tab w:pos="1197" w:val="left" w:leader="none"/>
          <w:tab w:pos="1198" w:val="left" w:leader="none"/>
        </w:tabs>
        <w:spacing w:line="240" w:lineRule="auto" w:before="184" w:after="0"/>
        <w:ind w:left="1048" w:right="0" w:hanging="571"/>
        <w:jc w:val="left"/>
        <w:rPr>
          <w:sz w:val="38"/>
        </w:rPr>
      </w:pPr>
      <w:r>
        <w:rPr>
          <w:sz w:val="38"/>
        </w:rPr>
        <w:t>dizziness</w:t>
      </w:r>
    </w:p>
    <w:p>
      <w:pPr>
        <w:pStyle w:val="ListParagraph"/>
        <w:numPr>
          <w:ilvl w:val="0"/>
          <w:numId w:val="26"/>
        </w:numPr>
        <w:tabs>
          <w:tab w:pos="1197" w:val="left" w:leader="none"/>
          <w:tab w:pos="1198" w:val="left" w:leader="none"/>
        </w:tabs>
        <w:spacing w:line="240" w:lineRule="auto" w:before="186" w:after="0"/>
        <w:ind w:left="1048" w:right="0" w:hanging="571"/>
        <w:jc w:val="left"/>
        <w:rPr>
          <w:sz w:val="38"/>
        </w:rPr>
      </w:pPr>
      <w:r>
        <w:rPr>
          <w:sz w:val="38"/>
        </w:rPr>
        <w:t>headaches</w:t>
      </w:r>
    </w:p>
    <w:p>
      <w:pPr>
        <w:pStyle w:val="ListParagraph"/>
        <w:numPr>
          <w:ilvl w:val="0"/>
          <w:numId w:val="26"/>
        </w:numPr>
        <w:tabs>
          <w:tab w:pos="1197" w:val="left" w:leader="none"/>
          <w:tab w:pos="1198" w:val="left" w:leader="none"/>
        </w:tabs>
        <w:spacing w:line="240" w:lineRule="auto" w:before="183" w:after="0"/>
        <w:ind w:left="1048" w:right="0" w:hanging="571"/>
        <w:jc w:val="left"/>
        <w:rPr>
          <w:sz w:val="38"/>
        </w:rPr>
      </w:pPr>
      <w:r>
        <w:rPr>
          <w:sz w:val="38"/>
        </w:rPr>
        <w:t>insomnia</w:t>
      </w:r>
    </w:p>
    <w:p>
      <w:pPr>
        <w:pStyle w:val="ListParagraph"/>
        <w:numPr>
          <w:ilvl w:val="0"/>
          <w:numId w:val="26"/>
        </w:numPr>
        <w:tabs>
          <w:tab w:pos="1197" w:val="left" w:leader="none"/>
          <w:tab w:pos="1198" w:val="left" w:leader="none"/>
        </w:tabs>
        <w:spacing w:line="240" w:lineRule="auto" w:before="184" w:after="0"/>
        <w:ind w:left="1048" w:right="0" w:hanging="571"/>
        <w:jc w:val="left"/>
        <w:rPr>
          <w:sz w:val="38"/>
        </w:rPr>
      </w:pPr>
      <w:r>
        <w:rPr>
          <w:sz w:val="38"/>
        </w:rPr>
        <w:t>hyperactivity</w:t>
      </w:r>
    </w:p>
    <w:p>
      <w:pPr>
        <w:pStyle w:val="ListParagraph"/>
        <w:numPr>
          <w:ilvl w:val="0"/>
          <w:numId w:val="26"/>
        </w:numPr>
        <w:tabs>
          <w:tab w:pos="1197" w:val="left" w:leader="none"/>
          <w:tab w:pos="1198" w:val="left" w:leader="none"/>
        </w:tabs>
        <w:spacing w:line="240" w:lineRule="auto" w:before="184" w:after="0"/>
        <w:ind w:left="1048" w:right="0" w:hanging="571"/>
        <w:jc w:val="left"/>
        <w:rPr>
          <w:sz w:val="38"/>
        </w:rPr>
      </w:pPr>
      <w:r>
        <w:rPr>
          <w:sz w:val="38"/>
        </w:rPr>
        <w:t>stomach</w:t>
      </w:r>
      <w:r>
        <w:rPr>
          <w:spacing w:val="1"/>
          <w:sz w:val="38"/>
        </w:rPr>
        <w:t> </w:t>
      </w:r>
      <w:r>
        <w:rPr>
          <w:sz w:val="38"/>
        </w:rPr>
        <w:t>cramps</w:t>
      </w:r>
    </w:p>
    <w:p>
      <w:pPr>
        <w:pStyle w:val="ListParagraph"/>
        <w:numPr>
          <w:ilvl w:val="0"/>
          <w:numId w:val="26"/>
        </w:numPr>
        <w:tabs>
          <w:tab w:pos="1197" w:val="left" w:leader="none"/>
          <w:tab w:pos="1198" w:val="left" w:leader="none"/>
        </w:tabs>
        <w:spacing w:line="240" w:lineRule="auto" w:before="186" w:after="0"/>
        <w:ind w:left="1048" w:right="0" w:hanging="571"/>
        <w:jc w:val="left"/>
        <w:rPr>
          <w:sz w:val="38"/>
        </w:rPr>
      </w:pPr>
      <w:r>
        <w:rPr>
          <w:sz w:val="38"/>
        </w:rPr>
        <w:t>hypoglycaemia</w:t>
      </w:r>
    </w:p>
    <w:p>
      <w:pPr>
        <w:spacing w:after="0" w:line="240" w:lineRule="auto"/>
        <w:jc w:val="left"/>
        <w:rPr>
          <w:sz w:val="38"/>
        </w:rPr>
        <w:sectPr>
          <w:pgSz w:w="14270" w:h="16850"/>
          <w:pgMar w:header="0" w:footer="1891" w:top="1600" w:bottom="2080" w:left="800" w:right="1280"/>
        </w:sectPr>
      </w:pPr>
    </w:p>
    <w:p>
      <w:pPr>
        <w:pStyle w:val="Heading1"/>
        <w:spacing w:before="164"/>
      </w:pPr>
      <w:r>
        <w:rPr/>
        <w:t>How colostrum works in general against allergies</w:t>
      </w:r>
    </w:p>
    <w:p>
      <w:pPr>
        <w:pStyle w:val="BodyText"/>
        <w:spacing w:line="276" w:lineRule="auto" w:before="299"/>
        <w:ind w:left="477" w:right="132"/>
        <w:jc w:val="both"/>
      </w:pPr>
      <w:r>
        <w:rPr/>
        <w:t>According to studies, children who have been breastfed are much less likely to suffer from allergies than children who have not been breastfed.</w:t>
      </w:r>
      <w:r>
        <w:rPr>
          <w:position w:val="9"/>
          <w:sz w:val="25"/>
        </w:rPr>
        <w:t>201 </w:t>
      </w:r>
      <w:r>
        <w:rPr/>
        <w:t>Colostrum has corresponding autoantibodies, such as the polymorphonuclear leukocytes which regulate immune responses in the body that lead to allergies.</w:t>
      </w:r>
    </w:p>
    <w:p>
      <w:pPr>
        <w:pStyle w:val="Heading1"/>
        <w:spacing w:before="222"/>
      </w:pPr>
      <w:r>
        <w:rPr/>
        <w:t>Effect of colostrum on diabetes</w:t>
      </w:r>
    </w:p>
    <w:p>
      <w:pPr>
        <w:pStyle w:val="BodyText"/>
        <w:spacing w:line="276" w:lineRule="auto" w:before="300"/>
        <w:ind w:left="477" w:right="135"/>
        <w:jc w:val="both"/>
        <w:rPr>
          <w:sz w:val="25"/>
        </w:rPr>
      </w:pPr>
      <w:r>
        <w:rPr/>
        <w:t>IGF-1 found in colostrum stimulates glucose utilisation and proves successful in the treatment of diabetes, as it is an effective alternative to insulin and at the same</w:t>
      </w:r>
      <w:r>
        <w:rPr>
          <w:spacing w:val="-11"/>
        </w:rPr>
        <w:t> </w:t>
      </w:r>
      <w:r>
        <w:rPr/>
        <w:t>time</w:t>
      </w:r>
      <w:r>
        <w:rPr>
          <w:spacing w:val="-12"/>
        </w:rPr>
        <w:t> </w:t>
      </w:r>
      <w:r>
        <w:rPr/>
        <w:t>identical</w:t>
      </w:r>
      <w:r>
        <w:rPr>
          <w:spacing w:val="-12"/>
        </w:rPr>
        <w:t> </w:t>
      </w:r>
      <w:r>
        <w:rPr/>
        <w:t>to</w:t>
      </w:r>
      <w:r>
        <w:rPr>
          <w:spacing w:val="-11"/>
        </w:rPr>
        <w:t> </w:t>
      </w:r>
      <w:r>
        <w:rPr/>
        <w:t>human</w:t>
      </w:r>
      <w:r>
        <w:rPr>
          <w:spacing w:val="-11"/>
        </w:rPr>
        <w:t> </w:t>
      </w:r>
      <w:r>
        <w:rPr/>
        <w:t>IGF-1.</w:t>
      </w:r>
      <w:r>
        <w:rPr>
          <w:spacing w:val="-11"/>
        </w:rPr>
        <w:t> </w:t>
      </w:r>
      <w:r>
        <w:rPr/>
        <w:t>The</w:t>
      </w:r>
      <w:r>
        <w:rPr>
          <w:spacing w:val="-10"/>
        </w:rPr>
        <w:t> </w:t>
      </w:r>
      <w:r>
        <w:rPr/>
        <w:t>IGF</w:t>
      </w:r>
      <w:r>
        <w:rPr>
          <w:spacing w:val="-11"/>
        </w:rPr>
        <w:t> </w:t>
      </w:r>
      <w:r>
        <w:rPr/>
        <w:t>level</w:t>
      </w:r>
      <w:r>
        <w:rPr>
          <w:spacing w:val="-12"/>
        </w:rPr>
        <w:t> </w:t>
      </w:r>
      <w:r>
        <w:rPr/>
        <w:t>is</w:t>
      </w:r>
      <w:r>
        <w:rPr>
          <w:spacing w:val="-12"/>
        </w:rPr>
        <w:t> </w:t>
      </w:r>
      <w:r>
        <w:rPr/>
        <w:t>naturally</w:t>
      </w:r>
      <w:r>
        <w:rPr>
          <w:spacing w:val="-13"/>
        </w:rPr>
        <w:t> </w:t>
      </w:r>
      <w:r>
        <w:rPr/>
        <w:t>lower</w:t>
      </w:r>
      <w:r>
        <w:rPr>
          <w:spacing w:val="-11"/>
        </w:rPr>
        <w:t> </w:t>
      </w:r>
      <w:r>
        <w:rPr/>
        <w:t>in</w:t>
      </w:r>
      <w:r>
        <w:rPr>
          <w:spacing w:val="-12"/>
        </w:rPr>
        <w:t> </w:t>
      </w:r>
      <w:r>
        <w:rPr/>
        <w:t>diabet- ics than in healthy</w:t>
      </w:r>
      <w:r>
        <w:rPr>
          <w:spacing w:val="3"/>
        </w:rPr>
        <w:t> </w:t>
      </w:r>
      <w:r>
        <w:rPr/>
        <w:t>people.</w:t>
      </w:r>
      <w:r>
        <w:rPr>
          <w:position w:val="9"/>
          <w:sz w:val="25"/>
        </w:rPr>
        <w:t>202</w:t>
      </w:r>
    </w:p>
    <w:p>
      <w:pPr>
        <w:pStyle w:val="Heading1"/>
      </w:pPr>
      <w:r>
        <w:rPr/>
        <w:t>Effect of colostrum on Alzheimer’s</w:t>
      </w:r>
    </w:p>
    <w:p>
      <w:pPr>
        <w:pStyle w:val="BodyText"/>
        <w:spacing w:line="276" w:lineRule="auto" w:before="298"/>
        <w:ind w:left="477" w:right="136"/>
        <w:jc w:val="both"/>
      </w:pPr>
      <w:r>
        <w:rPr/>
        <w:t>Several</w:t>
      </w:r>
      <w:r>
        <w:rPr>
          <w:spacing w:val="-9"/>
        </w:rPr>
        <w:t> </w:t>
      </w:r>
      <w:r>
        <w:rPr/>
        <w:t>studies</w:t>
      </w:r>
      <w:r>
        <w:rPr>
          <w:spacing w:val="-8"/>
        </w:rPr>
        <w:t> </w:t>
      </w:r>
      <w:r>
        <w:rPr/>
        <w:t>have</w:t>
      </w:r>
      <w:r>
        <w:rPr>
          <w:spacing w:val="-8"/>
        </w:rPr>
        <w:t> </w:t>
      </w:r>
      <w:r>
        <w:rPr/>
        <w:t>shown</w:t>
      </w:r>
      <w:r>
        <w:rPr>
          <w:spacing w:val="-7"/>
        </w:rPr>
        <w:t> </w:t>
      </w:r>
      <w:r>
        <w:rPr/>
        <w:t>the</w:t>
      </w:r>
      <w:r>
        <w:rPr>
          <w:spacing w:val="-9"/>
        </w:rPr>
        <w:t> </w:t>
      </w:r>
      <w:r>
        <w:rPr/>
        <w:t>beneficial</w:t>
      </w:r>
      <w:r>
        <w:rPr>
          <w:spacing w:val="-9"/>
        </w:rPr>
        <w:t> </w:t>
      </w:r>
      <w:r>
        <w:rPr/>
        <w:t>effect</w:t>
      </w:r>
      <w:r>
        <w:rPr>
          <w:spacing w:val="-7"/>
        </w:rPr>
        <w:t> </w:t>
      </w:r>
      <w:r>
        <w:rPr/>
        <w:t>of</w:t>
      </w:r>
      <w:r>
        <w:rPr>
          <w:spacing w:val="-8"/>
        </w:rPr>
        <w:t> </w:t>
      </w:r>
      <w:r>
        <w:rPr/>
        <w:t>colostrum</w:t>
      </w:r>
      <w:r>
        <w:rPr>
          <w:spacing w:val="-8"/>
        </w:rPr>
        <w:t> </w:t>
      </w:r>
      <w:r>
        <w:rPr/>
        <w:t>on</w:t>
      </w:r>
      <w:r>
        <w:rPr>
          <w:spacing w:val="-8"/>
        </w:rPr>
        <w:t> </w:t>
      </w:r>
      <w:r>
        <w:rPr/>
        <w:t>cognitive</w:t>
      </w:r>
      <w:r>
        <w:rPr>
          <w:spacing w:val="-9"/>
        </w:rPr>
        <w:t> </w:t>
      </w:r>
      <w:r>
        <w:rPr/>
        <w:t>abil- ities, making it a promising treatment for</w:t>
      </w:r>
      <w:r>
        <w:rPr>
          <w:spacing w:val="1"/>
        </w:rPr>
        <w:t> </w:t>
      </w:r>
      <w:r>
        <w:rPr/>
        <w:t>Alzheimer's.</w:t>
      </w:r>
    </w:p>
    <w:p>
      <w:pPr>
        <w:pStyle w:val="Heading1"/>
        <w:spacing w:before="223"/>
      </w:pPr>
      <w:r>
        <w:rPr/>
        <w:t>Studies on colostrum and its effect on multiple sclerosis</w:t>
      </w:r>
    </w:p>
    <w:p>
      <w:pPr>
        <w:pStyle w:val="BodyText"/>
        <w:spacing w:line="276" w:lineRule="auto" w:before="299"/>
        <w:ind w:left="477" w:right="133"/>
        <w:jc w:val="both"/>
      </w:pPr>
      <w:r>
        <w:rPr/>
        <w:t>Multiple</w:t>
      </w:r>
      <w:r>
        <w:rPr>
          <w:spacing w:val="-6"/>
        </w:rPr>
        <w:t> </w:t>
      </w:r>
      <w:r>
        <w:rPr/>
        <w:t>sclerosis,</w:t>
      </w:r>
      <w:r>
        <w:rPr>
          <w:spacing w:val="-6"/>
        </w:rPr>
        <w:t> </w:t>
      </w:r>
      <w:r>
        <w:rPr/>
        <w:t>abbreviated</w:t>
      </w:r>
      <w:r>
        <w:rPr>
          <w:spacing w:val="-8"/>
        </w:rPr>
        <w:t> </w:t>
      </w:r>
      <w:r>
        <w:rPr/>
        <w:t>as</w:t>
      </w:r>
      <w:r>
        <w:rPr>
          <w:spacing w:val="-2"/>
        </w:rPr>
        <w:t> </w:t>
      </w:r>
      <w:r>
        <w:rPr/>
        <w:t>‘MS‘,</w:t>
      </w:r>
      <w:r>
        <w:rPr>
          <w:spacing w:val="-7"/>
        </w:rPr>
        <w:t> </w:t>
      </w:r>
      <w:r>
        <w:rPr/>
        <w:t>is</w:t>
      </w:r>
      <w:r>
        <w:rPr>
          <w:spacing w:val="-6"/>
        </w:rPr>
        <w:t> </w:t>
      </w:r>
      <w:r>
        <w:rPr/>
        <w:t>a</w:t>
      </w:r>
      <w:r>
        <w:rPr>
          <w:spacing w:val="-10"/>
        </w:rPr>
        <w:t> </w:t>
      </w:r>
      <w:r>
        <w:rPr/>
        <w:t>chronic</w:t>
      </w:r>
      <w:r>
        <w:rPr>
          <w:spacing w:val="-6"/>
        </w:rPr>
        <w:t> </w:t>
      </w:r>
      <w:r>
        <w:rPr/>
        <w:t>inflammatory</w:t>
      </w:r>
      <w:r>
        <w:rPr>
          <w:spacing w:val="-9"/>
        </w:rPr>
        <w:t> </w:t>
      </w:r>
      <w:r>
        <w:rPr/>
        <w:t>disease</w:t>
      </w:r>
      <w:r>
        <w:rPr>
          <w:spacing w:val="-6"/>
        </w:rPr>
        <w:t> </w:t>
      </w:r>
      <w:r>
        <w:rPr/>
        <w:t>of</w:t>
      </w:r>
      <w:r>
        <w:rPr>
          <w:spacing w:val="-6"/>
        </w:rPr>
        <w:t> </w:t>
      </w:r>
      <w:r>
        <w:rPr/>
        <w:t>the central nervous system (CNS). In addition to epilepsy, multiple sclerosis is one of the most common neurological diseases in young people; the disease is usu- ally</w:t>
      </w:r>
      <w:r>
        <w:rPr>
          <w:spacing w:val="36"/>
        </w:rPr>
        <w:t> </w:t>
      </w:r>
      <w:r>
        <w:rPr/>
        <w:t>diagnosed</w:t>
      </w:r>
      <w:r>
        <w:rPr>
          <w:spacing w:val="38"/>
        </w:rPr>
        <w:t> </w:t>
      </w:r>
      <w:r>
        <w:rPr/>
        <w:t>between</w:t>
      </w:r>
      <w:r>
        <w:rPr>
          <w:spacing w:val="38"/>
        </w:rPr>
        <w:t> </w:t>
      </w:r>
      <w:r>
        <w:rPr/>
        <w:t>the</w:t>
      </w:r>
      <w:r>
        <w:rPr>
          <w:spacing w:val="37"/>
        </w:rPr>
        <w:t> </w:t>
      </w:r>
      <w:r>
        <w:rPr/>
        <w:t>ages</w:t>
      </w:r>
      <w:r>
        <w:rPr>
          <w:spacing w:val="37"/>
        </w:rPr>
        <w:t> </w:t>
      </w:r>
      <w:r>
        <w:rPr/>
        <w:t>of</w:t>
      </w:r>
      <w:r>
        <w:rPr>
          <w:spacing w:val="37"/>
        </w:rPr>
        <w:t> </w:t>
      </w:r>
      <w:r>
        <w:rPr/>
        <w:t>20</w:t>
      </w:r>
      <w:r>
        <w:rPr>
          <w:spacing w:val="36"/>
        </w:rPr>
        <w:t> </w:t>
      </w:r>
      <w:r>
        <w:rPr/>
        <w:t>and</w:t>
      </w:r>
      <w:r>
        <w:rPr>
          <w:spacing w:val="36"/>
        </w:rPr>
        <w:t> </w:t>
      </w:r>
      <w:r>
        <w:rPr/>
        <w:t>40</w:t>
      </w:r>
      <w:r>
        <w:rPr>
          <w:spacing w:val="36"/>
        </w:rPr>
        <w:t> </w:t>
      </w:r>
      <w:r>
        <w:rPr/>
        <w:t>.</w:t>
      </w:r>
      <w:r>
        <w:rPr>
          <w:spacing w:val="38"/>
        </w:rPr>
        <w:t> </w:t>
      </w:r>
      <w:r>
        <w:rPr/>
        <w:t>There</w:t>
      </w:r>
      <w:r>
        <w:rPr>
          <w:spacing w:val="37"/>
        </w:rPr>
        <w:t> </w:t>
      </w:r>
      <w:r>
        <w:rPr/>
        <w:t>are</w:t>
      </w:r>
      <w:r>
        <w:rPr>
          <w:spacing w:val="36"/>
        </w:rPr>
        <w:t> </w:t>
      </w:r>
      <w:r>
        <w:rPr/>
        <w:t>2.5</w:t>
      </w:r>
      <w:r>
        <w:rPr>
          <w:spacing w:val="37"/>
        </w:rPr>
        <w:t> </w:t>
      </w:r>
      <w:r>
        <w:rPr/>
        <w:t>million</w:t>
      </w:r>
      <w:r>
        <w:rPr>
          <w:spacing w:val="38"/>
        </w:rPr>
        <w:t> </w:t>
      </w:r>
      <w:r>
        <w:rPr/>
        <w:t>people</w:t>
      </w:r>
    </w:p>
    <w:p>
      <w:pPr>
        <w:pStyle w:val="BodyText"/>
        <w:rPr>
          <w:sz w:val="20"/>
        </w:rPr>
      </w:pPr>
    </w:p>
    <w:p>
      <w:pPr>
        <w:pStyle w:val="BodyText"/>
        <w:spacing w:before="6"/>
        <w:rPr>
          <w:sz w:val="14"/>
        </w:rPr>
      </w:pPr>
      <w:r>
        <w:rPr/>
        <w:pict>
          <v:line style="position:absolute;mso-position-horizontal-relative:page;mso-position-vertical-relative:paragraph;z-index:1904;mso-wrap-distance-left:0;mso-wrap-distance-right:0" from="63.863998pt,10.542515pt" to="207.883998pt,10.542515pt" stroked="true" strokeweight=".71997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201 </w:t>
      </w:r>
      <w:r>
        <w:rPr>
          <w:sz w:val="20"/>
        </w:rPr>
        <w:t>Vassilev 1996</w:t>
      </w:r>
    </w:p>
    <w:p>
      <w:pPr>
        <w:spacing w:before="94"/>
        <w:ind w:left="477" w:right="0" w:firstLine="0"/>
        <w:jc w:val="left"/>
        <w:rPr>
          <w:sz w:val="20"/>
        </w:rPr>
      </w:pPr>
      <w:r>
        <w:rPr>
          <w:position w:val="5"/>
          <w:sz w:val="13"/>
        </w:rPr>
        <w:t>202 </w:t>
      </w:r>
      <w:r>
        <w:rPr>
          <w:sz w:val="20"/>
        </w:rPr>
        <w:t>Dohm, Elton, et al., Diabetes, 30 Sept. 1990, p. 1028–1032</w:t>
      </w:r>
    </w:p>
    <w:p>
      <w:pPr>
        <w:spacing w:after="0"/>
        <w:jc w:val="left"/>
        <w:rPr>
          <w:sz w:val="20"/>
        </w:rPr>
        <w:sectPr>
          <w:pgSz w:w="14270" w:h="16850"/>
          <w:pgMar w:header="0" w:footer="1891" w:top="1600" w:bottom="2080" w:left="800" w:right="1280"/>
        </w:sectPr>
      </w:pPr>
    </w:p>
    <w:p>
      <w:pPr>
        <w:pStyle w:val="BodyText"/>
        <w:spacing w:line="276" w:lineRule="auto" w:before="181"/>
        <w:ind w:left="477" w:right="134"/>
        <w:jc w:val="both"/>
      </w:pPr>
      <w:r>
        <w:rPr/>
        <w:t>affected worldwide and more than 400 000 alone in the USA, and each week about 200 new cases in the USA are diagnosed</w:t>
      </w:r>
      <w:r>
        <w:rPr>
          <w:position w:val="9"/>
          <w:sz w:val="25"/>
        </w:rPr>
        <w:t>203</w:t>
      </w:r>
      <w:r>
        <w:rPr/>
        <w:t>.</w:t>
      </w:r>
    </w:p>
    <w:p>
      <w:pPr>
        <w:pStyle w:val="BodyText"/>
        <w:spacing w:line="276" w:lineRule="auto" w:before="241"/>
        <w:ind w:left="477" w:right="134"/>
        <w:jc w:val="both"/>
      </w:pPr>
      <w:r>
        <w:rPr/>
        <w:t>In the case of multiple sclerosis, inflammatory foci, which are probably caused by misguided attacks of endogenous defence cells on the myelin sheaths of nerve cell processes, play a key role.</w:t>
      </w:r>
    </w:p>
    <w:p>
      <w:pPr>
        <w:pStyle w:val="BodyText"/>
        <w:spacing w:line="276" w:lineRule="auto" w:before="239"/>
        <w:ind w:left="477" w:right="132"/>
        <w:jc w:val="both"/>
      </w:pPr>
      <w:r>
        <w:rPr/>
        <w:t>These inflammation foci have the unpleasant property of causing almost any neurological symptom, as they occur throughout the central nervous system. Because of this depressing fact, not so long ago, multiple sclerosis was</w:t>
      </w:r>
      <w:r>
        <w:rPr>
          <w:spacing w:val="-39"/>
        </w:rPr>
        <w:t> </w:t>
      </w:r>
      <w:r>
        <w:rPr/>
        <w:t>referred to</w:t>
      </w:r>
      <w:r>
        <w:rPr>
          <w:spacing w:val="-8"/>
        </w:rPr>
        <w:t> </w:t>
      </w:r>
      <w:r>
        <w:rPr/>
        <w:t>as</w:t>
      </w:r>
      <w:r>
        <w:rPr>
          <w:spacing w:val="-9"/>
        </w:rPr>
        <w:t> </w:t>
      </w:r>
      <w:r>
        <w:rPr/>
        <w:t>the</w:t>
      </w:r>
      <w:r>
        <w:rPr>
          <w:spacing w:val="-10"/>
        </w:rPr>
        <w:t> </w:t>
      </w:r>
      <w:r>
        <w:rPr/>
        <w:t>‘disease</w:t>
      </w:r>
      <w:r>
        <w:rPr>
          <w:spacing w:val="-10"/>
        </w:rPr>
        <w:t> </w:t>
      </w:r>
      <w:r>
        <w:rPr/>
        <w:t>with</w:t>
      </w:r>
      <w:r>
        <w:rPr>
          <w:spacing w:val="-8"/>
        </w:rPr>
        <w:t> </w:t>
      </w:r>
      <w:r>
        <w:rPr/>
        <w:t>a</w:t>
      </w:r>
      <w:r>
        <w:rPr>
          <w:spacing w:val="-9"/>
        </w:rPr>
        <w:t> </w:t>
      </w:r>
      <w:r>
        <w:rPr/>
        <w:t>thousand</w:t>
      </w:r>
      <w:r>
        <w:rPr>
          <w:spacing w:val="-9"/>
        </w:rPr>
        <w:t> </w:t>
      </w:r>
      <w:r>
        <w:rPr/>
        <w:t>faces’.</w:t>
      </w:r>
      <w:r>
        <w:rPr>
          <w:spacing w:val="-10"/>
        </w:rPr>
        <w:t> </w:t>
      </w:r>
      <w:r>
        <w:rPr/>
        <w:t>If</w:t>
      </w:r>
      <w:r>
        <w:rPr>
          <w:spacing w:val="-9"/>
        </w:rPr>
        <w:t> </w:t>
      </w:r>
      <w:r>
        <w:rPr/>
        <w:t>you</w:t>
      </w:r>
      <w:r>
        <w:rPr>
          <w:spacing w:val="-9"/>
        </w:rPr>
        <w:t> </w:t>
      </w:r>
      <w:r>
        <w:rPr/>
        <w:t>look</w:t>
      </w:r>
      <w:r>
        <w:rPr>
          <w:spacing w:val="-8"/>
        </w:rPr>
        <w:t> </w:t>
      </w:r>
      <w:r>
        <w:rPr/>
        <w:t>at</w:t>
      </w:r>
      <w:r>
        <w:rPr>
          <w:spacing w:val="-10"/>
        </w:rPr>
        <w:t> </w:t>
      </w:r>
      <w:r>
        <w:rPr/>
        <w:t>the</w:t>
      </w:r>
      <w:r>
        <w:rPr>
          <w:spacing w:val="-9"/>
        </w:rPr>
        <w:t> </w:t>
      </w:r>
      <w:r>
        <w:rPr/>
        <w:t>symptoms</w:t>
      </w:r>
      <w:r>
        <w:rPr>
          <w:spacing w:val="-8"/>
        </w:rPr>
        <w:t> </w:t>
      </w:r>
      <w:r>
        <w:rPr/>
        <w:t>that</w:t>
      </w:r>
      <w:r>
        <w:rPr>
          <w:spacing w:val="-8"/>
        </w:rPr>
        <w:t> </w:t>
      </w:r>
      <w:r>
        <w:rPr/>
        <w:t>grad- ually</w:t>
      </w:r>
      <w:r>
        <w:rPr>
          <w:spacing w:val="-13"/>
        </w:rPr>
        <w:t> </w:t>
      </w:r>
      <w:r>
        <w:rPr/>
        <w:t>occur</w:t>
      </w:r>
      <w:r>
        <w:rPr>
          <w:spacing w:val="-12"/>
        </w:rPr>
        <w:t> </w:t>
      </w:r>
      <w:r>
        <w:rPr/>
        <w:t>in</w:t>
      </w:r>
      <w:r>
        <w:rPr>
          <w:spacing w:val="-11"/>
        </w:rPr>
        <w:t> </w:t>
      </w:r>
      <w:r>
        <w:rPr/>
        <w:t>the</w:t>
      </w:r>
      <w:r>
        <w:rPr>
          <w:spacing w:val="-11"/>
        </w:rPr>
        <w:t> </w:t>
      </w:r>
      <w:r>
        <w:rPr/>
        <w:t>course</w:t>
      </w:r>
      <w:r>
        <w:rPr>
          <w:spacing w:val="-13"/>
        </w:rPr>
        <w:t> </w:t>
      </w:r>
      <w:r>
        <w:rPr/>
        <w:t>of</w:t>
      </w:r>
      <w:r>
        <w:rPr>
          <w:spacing w:val="-13"/>
        </w:rPr>
        <w:t> </w:t>
      </w:r>
      <w:r>
        <w:rPr/>
        <w:t>the</w:t>
      </w:r>
      <w:r>
        <w:rPr>
          <w:spacing w:val="-13"/>
        </w:rPr>
        <w:t> </w:t>
      </w:r>
      <w:r>
        <w:rPr/>
        <w:t>illness,</w:t>
      </w:r>
      <w:r>
        <w:rPr>
          <w:spacing w:val="-12"/>
        </w:rPr>
        <w:t> </w:t>
      </w:r>
      <w:r>
        <w:rPr/>
        <w:t>you</w:t>
      </w:r>
      <w:r>
        <w:rPr>
          <w:spacing w:val="-13"/>
        </w:rPr>
        <w:t> </w:t>
      </w:r>
      <w:r>
        <w:rPr/>
        <w:t>realise</w:t>
      </w:r>
      <w:r>
        <w:rPr>
          <w:spacing w:val="-13"/>
        </w:rPr>
        <w:t> </w:t>
      </w:r>
      <w:r>
        <w:rPr/>
        <w:t>the</w:t>
      </w:r>
      <w:r>
        <w:rPr>
          <w:spacing w:val="-12"/>
        </w:rPr>
        <w:t> </w:t>
      </w:r>
      <w:r>
        <w:rPr/>
        <w:t>importance</w:t>
      </w:r>
      <w:r>
        <w:rPr>
          <w:spacing w:val="-16"/>
        </w:rPr>
        <w:t> </w:t>
      </w:r>
      <w:r>
        <w:rPr/>
        <w:t>of</w:t>
      </w:r>
      <w:r>
        <w:rPr>
          <w:spacing w:val="-10"/>
        </w:rPr>
        <w:t> </w:t>
      </w:r>
      <w:r>
        <w:rPr/>
        <w:t>getting</w:t>
      </w:r>
      <w:r>
        <w:rPr>
          <w:spacing w:val="-13"/>
        </w:rPr>
        <w:t> </w:t>
      </w:r>
      <w:r>
        <w:rPr/>
        <w:t>this disease under control as soon as</w:t>
      </w:r>
      <w:r>
        <w:rPr>
          <w:spacing w:val="-3"/>
        </w:rPr>
        <w:t> </w:t>
      </w:r>
      <w:r>
        <w:rPr/>
        <w:t>possible.</w:t>
      </w:r>
    </w:p>
    <w:p>
      <w:pPr>
        <w:pStyle w:val="BodyText"/>
        <w:rPr>
          <w:sz w:val="42"/>
        </w:rPr>
      </w:pPr>
    </w:p>
    <w:p>
      <w:pPr>
        <w:pStyle w:val="BodyText"/>
        <w:spacing w:before="5"/>
        <w:rPr>
          <w:sz w:val="44"/>
        </w:rPr>
      </w:pPr>
    </w:p>
    <w:p>
      <w:pPr>
        <w:pStyle w:val="BodyText"/>
        <w:spacing w:line="276" w:lineRule="auto"/>
        <w:ind w:left="477" w:right="140"/>
        <w:jc w:val="both"/>
      </w:pPr>
      <w:r>
        <w:rPr/>
        <w:t>The following symptoms occur in multiple sclerosis in the following aggrega- tion:</w:t>
      </w:r>
    </w:p>
    <w:p>
      <w:pPr>
        <w:pStyle w:val="BodyText"/>
        <w:spacing w:before="9"/>
        <w:rPr>
          <w:sz w:val="12"/>
        </w:rPr>
      </w:pPr>
    </w:p>
    <w:p>
      <w:pPr>
        <w:pStyle w:val="Heading2"/>
        <w:tabs>
          <w:tab w:pos="5244" w:val="left" w:leader="none"/>
        </w:tabs>
        <w:spacing w:before="99"/>
        <w:ind w:left="4997" w:right="6021" w:hanging="3294"/>
      </w:pPr>
      <w:r>
        <w:rPr/>
        <w:t>Complaints</w:t>
        <w:tab/>
        <w:tab/>
        <w:t>Fre- quency</w:t>
      </w:r>
    </w:p>
    <w:p>
      <w:pPr>
        <w:pStyle w:val="BodyText"/>
        <w:tabs>
          <w:tab w:pos="4900" w:val="left" w:leader="none"/>
        </w:tabs>
        <w:ind w:left="585" w:right="6922"/>
      </w:pPr>
      <w:r>
        <w:rPr/>
        <w:t>Loss of sensation in</w:t>
      </w:r>
      <w:r>
        <w:rPr>
          <w:spacing w:val="-42"/>
        </w:rPr>
        <w:t> </w:t>
      </w:r>
      <w:r>
        <w:rPr/>
        <w:t>the</w:t>
      </w:r>
      <w:r>
        <w:rPr>
          <w:spacing w:val="-13"/>
        </w:rPr>
        <w:t> </w:t>
      </w:r>
      <w:r>
        <w:rPr/>
        <w:t>legs</w:t>
        <w:tab/>
        <w:t>30 Abnormal</w:t>
      </w:r>
      <w:r>
        <w:rPr>
          <w:spacing w:val="-4"/>
        </w:rPr>
        <w:t> </w:t>
      </w:r>
      <w:r>
        <w:rPr/>
        <w:t>fatigue/tiredness</w:t>
        <w:tab/>
        <w:t>20</w:t>
      </w:r>
    </w:p>
    <w:p>
      <w:pPr>
        <w:pStyle w:val="BodyText"/>
        <w:rPr>
          <w:sz w:val="20"/>
        </w:rPr>
      </w:pPr>
    </w:p>
    <w:p>
      <w:pPr>
        <w:pStyle w:val="BodyText"/>
        <w:spacing w:before="2"/>
        <w:rPr>
          <w:sz w:val="17"/>
        </w:rPr>
      </w:pPr>
      <w:r>
        <w:rPr/>
        <w:pict>
          <v:line style="position:absolute;mso-position-horizontal-relative:page;mso-position-vertical-relative:paragraph;z-index:1928;mso-wrap-distance-left:0;mso-wrap-distance-right:0" from="63.863998pt,12.058765pt" to="207.883998pt,12.05876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203 </w:t>
      </w:r>
      <w:r>
        <w:rPr>
          <w:sz w:val="20"/>
        </w:rPr>
        <w:t>https://</w:t>
      </w:r>
      <w:hyperlink r:id="rId78">
        <w:r>
          <w:rPr>
            <w:sz w:val="20"/>
          </w:rPr>
          <w:t>www.healthline.com/health/multiple-sclerosis/facts-statistics-infographic</w:t>
        </w:r>
      </w:hyperlink>
    </w:p>
    <w:p>
      <w:pPr>
        <w:spacing w:after="0"/>
        <w:jc w:val="left"/>
        <w:rPr>
          <w:sz w:val="20"/>
        </w:rPr>
        <w:sectPr>
          <w:pgSz w:w="14270" w:h="16850"/>
          <w:pgMar w:header="0" w:footer="1891" w:top="1600" w:bottom="2080" w:left="800" w:right="1280"/>
        </w:sectPr>
      </w:pPr>
    </w:p>
    <w:p>
      <w:pPr>
        <w:pStyle w:val="BodyText"/>
        <w:tabs>
          <w:tab w:pos="5256" w:val="right" w:leader="none"/>
        </w:tabs>
        <w:spacing w:before="184"/>
        <w:ind w:left="585"/>
      </w:pPr>
      <w:r>
        <w:rPr/>
        <w:t>Defecation</w:t>
      </w:r>
      <w:r>
        <w:rPr>
          <w:spacing w:val="-1"/>
        </w:rPr>
        <w:t> </w:t>
      </w:r>
      <w:r>
        <w:rPr/>
        <w:t>disorders</w:t>
        <w:tab/>
        <w:t>20</w:t>
      </w:r>
    </w:p>
    <w:p>
      <w:pPr>
        <w:pStyle w:val="BodyText"/>
        <w:tabs>
          <w:tab w:pos="2400" w:val="left" w:leader="none"/>
          <w:tab w:pos="3561" w:val="left" w:leader="none"/>
          <w:tab w:pos="4900" w:val="left" w:leader="none"/>
        </w:tabs>
        <w:ind w:left="585" w:right="6922"/>
      </w:pPr>
      <w:r>
        <w:rPr/>
        <w:t>Instability</w:t>
        <w:tab/>
        <w:t>when</w:t>
        <w:tab/>
        <w:t>walking</w:t>
        <w:tab/>
        <w:t>18 and standing</w:t>
      </w:r>
    </w:p>
    <w:p>
      <w:pPr>
        <w:pStyle w:val="BodyText"/>
        <w:tabs>
          <w:tab w:pos="4900" w:val="left" w:leader="none"/>
        </w:tabs>
        <w:spacing w:before="1"/>
        <w:ind w:left="585"/>
      </w:pPr>
      <w:r>
        <w:rPr/>
        <w:t>Vision problems in</w:t>
      </w:r>
      <w:r>
        <w:rPr>
          <w:spacing w:val="-6"/>
        </w:rPr>
        <w:t> </w:t>
      </w:r>
      <w:r>
        <w:rPr/>
        <w:t>one</w:t>
      </w:r>
      <w:r>
        <w:rPr>
          <w:spacing w:val="-4"/>
        </w:rPr>
        <w:t> </w:t>
      </w:r>
      <w:r>
        <w:rPr/>
        <w:t>eye</w:t>
        <w:tab/>
        <w:t>16</w:t>
      </w:r>
    </w:p>
    <w:p>
      <w:pPr>
        <w:pStyle w:val="BodyText"/>
        <w:tabs>
          <w:tab w:pos="1520" w:val="left" w:leader="none"/>
          <w:tab w:pos="2081" w:val="left" w:leader="none"/>
          <w:tab w:pos="3696" w:val="left" w:leader="none"/>
          <w:tab w:pos="4222" w:val="left" w:leader="none"/>
          <w:tab w:pos="4900" w:val="left" w:leader="none"/>
        </w:tabs>
        <w:ind w:left="585" w:right="6922"/>
      </w:pPr>
      <w:r>
        <w:rPr/>
        <w:t>Loss</w:t>
        <w:tab/>
        <w:t>of</w:t>
        <w:tab/>
        <w:t>sensation</w:t>
        <w:tab/>
        <w:t>in</w:t>
        <w:tab/>
        <w:t>the</w:t>
        <w:tab/>
        <w:t>10 arms</w:t>
      </w:r>
    </w:p>
    <w:p>
      <w:pPr>
        <w:pStyle w:val="BodyText"/>
        <w:tabs>
          <w:tab w:pos="4900" w:val="left" w:leader="none"/>
        </w:tabs>
        <w:ind w:left="585" w:right="6922"/>
      </w:pPr>
      <w:r>
        <w:rPr/>
        <w:t>Gait disorders due </w:t>
      </w:r>
      <w:r>
        <w:rPr>
          <w:spacing w:val="5"/>
        </w:rPr>
        <w:t> </w:t>
      </w:r>
      <w:r>
        <w:rPr/>
        <w:t>to</w:t>
      </w:r>
      <w:r>
        <w:rPr>
          <w:spacing w:val="38"/>
        </w:rPr>
        <w:t> </w:t>
      </w:r>
      <w:r>
        <w:rPr/>
        <w:t>spas-</w:t>
        <w:tab/>
        <w:t>10 ticity (muscle</w:t>
      </w:r>
      <w:r>
        <w:rPr>
          <w:spacing w:val="-1"/>
        </w:rPr>
        <w:t> </w:t>
      </w:r>
      <w:r>
        <w:rPr/>
        <w:t>spasm)</w:t>
      </w:r>
    </w:p>
    <w:p>
      <w:pPr>
        <w:pStyle w:val="BodyText"/>
        <w:tabs>
          <w:tab w:pos="5256" w:val="right" w:leader="none"/>
        </w:tabs>
        <w:spacing w:line="427" w:lineRule="exact"/>
        <w:ind w:left="585"/>
      </w:pPr>
      <w:r>
        <w:rPr/>
        <w:t>Loss of leg</w:t>
      </w:r>
      <w:r>
        <w:rPr>
          <w:spacing w:val="-1"/>
        </w:rPr>
        <w:t> </w:t>
      </w:r>
      <w:r>
        <w:rPr/>
        <w:t>strength</w:t>
        <w:tab/>
        <w:t>10</w:t>
      </w:r>
    </w:p>
    <w:p>
      <w:pPr>
        <w:pStyle w:val="BodyText"/>
        <w:tabs>
          <w:tab w:pos="5078" w:val="right" w:leader="none"/>
        </w:tabs>
        <w:spacing w:line="427" w:lineRule="exact"/>
        <w:ind w:left="585"/>
      </w:pPr>
      <w:r>
        <w:rPr/>
        <w:t>Bladder dysfunction</w:t>
        <w:tab/>
        <w:t>6</w:t>
      </w:r>
    </w:p>
    <w:p>
      <w:pPr>
        <w:pStyle w:val="BodyText"/>
        <w:tabs>
          <w:tab w:pos="5078" w:val="right" w:leader="none"/>
        </w:tabs>
        <w:ind w:left="585"/>
      </w:pPr>
      <w:r>
        <w:rPr/>
        <w:t>Loss of arm strength</w:t>
        <w:tab/>
        <w:t>5</w:t>
      </w:r>
    </w:p>
    <w:p>
      <w:pPr>
        <w:pStyle w:val="BodyText"/>
        <w:tabs>
          <w:tab w:pos="4900" w:val="left" w:leader="none"/>
        </w:tabs>
        <w:spacing w:before="2"/>
        <w:ind w:left="585" w:right="7100"/>
      </w:pPr>
      <w:r>
        <w:rPr/>
        <w:t>Paralysis of the</w:t>
      </w:r>
      <w:r>
        <w:rPr>
          <w:spacing w:val="-67"/>
        </w:rPr>
        <w:t> </w:t>
      </w:r>
      <w:r>
        <w:rPr/>
        <w:t>face</w:t>
      </w:r>
      <w:r>
        <w:rPr>
          <w:spacing w:val="-23"/>
        </w:rPr>
        <w:t> </w:t>
      </w:r>
      <w:r>
        <w:rPr/>
        <w:t>(trigem-</w:t>
        <w:tab/>
        <w:t>5 inal</w:t>
      </w:r>
      <w:r>
        <w:rPr>
          <w:spacing w:val="-2"/>
        </w:rPr>
        <w:t> </w:t>
      </w:r>
      <w:r>
        <w:rPr/>
        <w:t>neuralgia)</w:t>
      </w:r>
    </w:p>
    <w:p>
      <w:pPr>
        <w:pStyle w:val="BodyText"/>
        <w:tabs>
          <w:tab w:pos="4900" w:val="left" w:leader="none"/>
        </w:tabs>
        <w:spacing w:line="427" w:lineRule="exact"/>
        <w:ind w:left="585"/>
      </w:pPr>
      <w:r>
        <w:rPr/>
        <w:t>Loss of sensation in</w:t>
      </w:r>
      <w:r>
        <w:rPr>
          <w:spacing w:val="-73"/>
        </w:rPr>
        <w:t> </w:t>
      </w:r>
      <w:r>
        <w:rPr/>
        <w:t>the</w:t>
      </w:r>
      <w:r>
        <w:rPr>
          <w:spacing w:val="-16"/>
        </w:rPr>
        <w:t> </w:t>
      </w:r>
      <w:r>
        <w:rPr/>
        <w:t>face</w:t>
        <w:tab/>
        <w:t>3</w:t>
      </w:r>
    </w:p>
    <w:p>
      <w:pPr>
        <w:pStyle w:val="BodyText"/>
        <w:tabs>
          <w:tab w:pos="1259" w:val="left" w:leader="none"/>
          <w:tab w:pos="2159" w:val="left" w:leader="none"/>
          <w:tab w:pos="3168" w:val="left" w:leader="none"/>
          <w:tab w:pos="4225" w:val="left" w:leader="none"/>
          <w:tab w:pos="4900" w:val="left" w:leader="none"/>
        </w:tabs>
        <w:ind w:left="585" w:right="7100"/>
      </w:pPr>
      <w:r>
        <w:rPr/>
        <w:t>Lhermitte's sign</w:t>
      </w:r>
      <w:r>
        <w:rPr>
          <w:spacing w:val="45"/>
        </w:rPr>
        <w:t> </w:t>
      </w:r>
      <w:r>
        <w:rPr/>
        <w:t>(tingling</w:t>
      </w:r>
      <w:r>
        <w:rPr>
          <w:spacing w:val="22"/>
        </w:rPr>
        <w:t> </w:t>
      </w:r>
      <w:r>
        <w:rPr/>
        <w:t>in</w:t>
        <w:tab/>
        <w:t>3 the</w:t>
        <w:tab/>
        <w:t>neck</w:t>
        <w:tab/>
        <w:t>when</w:t>
        <w:tab/>
        <w:t>tilting</w:t>
        <w:tab/>
        <w:t>the head)</w:t>
      </w:r>
    </w:p>
    <w:p>
      <w:pPr>
        <w:pStyle w:val="BodyText"/>
        <w:tabs>
          <w:tab w:pos="5078" w:val="right" w:leader="none"/>
        </w:tabs>
        <w:spacing w:line="427" w:lineRule="exact"/>
        <w:ind w:left="585"/>
      </w:pPr>
      <w:r>
        <w:rPr/>
        <w:t>Speech</w:t>
      </w:r>
      <w:r>
        <w:rPr>
          <w:spacing w:val="1"/>
        </w:rPr>
        <w:t> </w:t>
      </w:r>
      <w:r>
        <w:rPr/>
        <w:t>difficulties</w:t>
        <w:tab/>
        <w:t>2</w:t>
      </w:r>
    </w:p>
    <w:p>
      <w:pPr>
        <w:pStyle w:val="BodyText"/>
        <w:tabs>
          <w:tab w:pos="4900" w:val="left" w:leader="none"/>
        </w:tabs>
        <w:ind w:left="585"/>
      </w:pPr>
      <w:r>
        <w:rPr/>
        <w:t>Pain</w:t>
        <w:tab/>
        <w:t>2</w:t>
      </w:r>
    </w:p>
    <w:p>
      <w:pPr>
        <w:pStyle w:val="BodyText"/>
        <w:tabs>
          <w:tab w:pos="2047" w:val="left" w:leader="none"/>
          <w:tab w:pos="2567" w:val="left" w:leader="none"/>
          <w:tab w:pos="2924" w:val="left" w:leader="none"/>
          <w:tab w:pos="3702" w:val="left" w:leader="none"/>
          <w:tab w:pos="4222" w:val="left" w:leader="none"/>
          <w:tab w:pos="4900" w:val="left" w:leader="none"/>
        </w:tabs>
        <w:spacing w:before="2"/>
        <w:ind w:left="585" w:right="7100"/>
      </w:pPr>
      <w:r>
        <w:rPr/>
        <w:t>Paralysis</w:t>
        <w:tab/>
        <w:t>of</w:t>
        <w:tab/>
        <w:t>a</w:t>
        <w:tab/>
        <w:t>side</w:t>
        <w:tab/>
        <w:t>of</w:t>
        <w:tab/>
        <w:t>the</w:t>
        <w:tab/>
        <w:t>2 body</w:t>
      </w:r>
      <w:r>
        <w:rPr>
          <w:spacing w:val="-1"/>
        </w:rPr>
        <w:t> </w:t>
      </w:r>
      <w:r>
        <w:rPr/>
        <w:t>(hemiplegia)</w:t>
      </w:r>
    </w:p>
    <w:p>
      <w:pPr>
        <w:pStyle w:val="Heading2"/>
        <w:spacing w:line="427" w:lineRule="exact"/>
      </w:pPr>
      <w:r>
        <w:rPr/>
        <w:t>Source: Kremer &amp; Besser</w:t>
      </w:r>
    </w:p>
    <w:p>
      <w:pPr>
        <w:pStyle w:val="BodyText"/>
        <w:spacing w:line="276" w:lineRule="auto" w:before="610"/>
        <w:ind w:left="477"/>
      </w:pPr>
      <w:r>
        <w:rPr/>
        <w:t>Throughout the illness, the symptoms and their frequency have the following effects.</w:t>
      </w:r>
    </w:p>
    <w:p>
      <w:pPr>
        <w:pStyle w:val="Heading2"/>
        <w:spacing w:before="238"/>
      </w:pPr>
      <w:r>
        <w:rPr/>
        <w:t>Symptoms of multiple sclerosis and their frequency in the course of the</w:t>
      </w:r>
    </w:p>
    <w:p>
      <w:pPr>
        <w:spacing w:after="0"/>
        <w:sectPr>
          <w:pgSz w:w="14270" w:h="16850"/>
          <w:pgMar w:header="0" w:footer="1891" w:top="1600" w:bottom="2080" w:left="800" w:right="1280"/>
        </w:sectPr>
      </w:pPr>
    </w:p>
    <w:p>
      <w:pPr>
        <w:spacing w:before="184"/>
        <w:ind w:left="477" w:right="0" w:firstLine="0"/>
        <w:jc w:val="both"/>
        <w:rPr>
          <w:b/>
          <w:sz w:val="38"/>
        </w:rPr>
      </w:pPr>
      <w:r>
        <w:rPr>
          <w:b/>
          <w:sz w:val="38"/>
        </w:rPr>
        <w:t>disease</w:t>
      </w:r>
    </w:p>
    <w:p>
      <w:pPr>
        <w:pStyle w:val="BodyText"/>
        <w:spacing w:line="276" w:lineRule="auto" w:before="261"/>
        <w:ind w:left="477" w:right="133"/>
        <w:jc w:val="both"/>
      </w:pPr>
      <w:r>
        <w:rPr/>
        <w:t>Virological and immunological studies indicate that multiple sclerosis is trig- gered by a viral infection, although the cause has not been fully clarified to this day.</w:t>
      </w:r>
    </w:p>
    <w:p>
      <w:pPr>
        <w:pStyle w:val="Heading1"/>
        <w:jc w:val="both"/>
      </w:pPr>
      <w:r>
        <w:rPr/>
        <w:t>The effect of colostrum on multiple</w:t>
      </w:r>
      <w:r>
        <w:rPr>
          <w:spacing w:val="-72"/>
        </w:rPr>
        <w:t> </w:t>
      </w:r>
      <w:r>
        <w:rPr/>
        <w:t>sclerosis</w:t>
      </w:r>
    </w:p>
    <w:p>
      <w:pPr>
        <w:pStyle w:val="BodyText"/>
        <w:spacing w:line="276" w:lineRule="auto" w:before="300"/>
        <w:ind w:left="477" w:right="137"/>
        <w:jc w:val="both"/>
      </w:pPr>
      <w:r>
        <w:rPr/>
        <w:t>In</w:t>
      </w:r>
      <w:r>
        <w:rPr>
          <w:spacing w:val="-9"/>
        </w:rPr>
        <w:t> </w:t>
      </w:r>
      <w:r>
        <w:rPr/>
        <w:t>a</w:t>
      </w:r>
      <w:r>
        <w:rPr>
          <w:spacing w:val="-10"/>
        </w:rPr>
        <w:t> </w:t>
      </w:r>
      <w:r>
        <w:rPr/>
        <w:t>study</w:t>
      </w:r>
      <w:r>
        <w:rPr>
          <w:spacing w:val="-10"/>
        </w:rPr>
        <w:t> </w:t>
      </w:r>
      <w:r>
        <w:rPr/>
        <w:t>on</w:t>
      </w:r>
      <w:r>
        <w:rPr>
          <w:spacing w:val="-8"/>
        </w:rPr>
        <w:t> </w:t>
      </w:r>
      <w:r>
        <w:rPr/>
        <w:t>MS</w:t>
      </w:r>
      <w:r>
        <w:rPr>
          <w:spacing w:val="-7"/>
        </w:rPr>
        <w:t> </w:t>
      </w:r>
      <w:r>
        <w:rPr/>
        <w:t>patients,</w:t>
      </w:r>
      <w:r>
        <w:rPr>
          <w:spacing w:val="-8"/>
        </w:rPr>
        <w:t> </w:t>
      </w:r>
      <w:r>
        <w:rPr/>
        <w:t>these</w:t>
      </w:r>
      <w:r>
        <w:rPr>
          <w:spacing w:val="-10"/>
        </w:rPr>
        <w:t> </w:t>
      </w:r>
      <w:r>
        <w:rPr/>
        <w:t>subjects</w:t>
      </w:r>
      <w:r>
        <w:rPr>
          <w:spacing w:val="-9"/>
        </w:rPr>
        <w:t> </w:t>
      </w:r>
      <w:r>
        <w:rPr/>
        <w:t>were</w:t>
      </w:r>
      <w:r>
        <w:rPr>
          <w:spacing w:val="-9"/>
        </w:rPr>
        <w:t> </w:t>
      </w:r>
      <w:r>
        <w:rPr/>
        <w:t>given</w:t>
      </w:r>
      <w:r>
        <w:rPr>
          <w:spacing w:val="-8"/>
        </w:rPr>
        <w:t> </w:t>
      </w:r>
      <w:r>
        <w:rPr/>
        <w:t>bovine</w:t>
      </w:r>
      <w:r>
        <w:rPr>
          <w:spacing w:val="-9"/>
        </w:rPr>
        <w:t> </w:t>
      </w:r>
      <w:r>
        <w:rPr/>
        <w:t>colostrum</w:t>
      </w:r>
      <w:r>
        <w:rPr>
          <w:spacing w:val="-9"/>
        </w:rPr>
        <w:t> </w:t>
      </w:r>
      <w:r>
        <w:rPr/>
        <w:t>contain- ing anti-measles lactoglobulin. Fifteen of the MS patients were given 100ml of measles antibody colostrum daily for 30 days, and five others were given the colostrum without anti-measles</w:t>
      </w:r>
      <w:r>
        <w:rPr>
          <w:spacing w:val="-2"/>
        </w:rPr>
        <w:t> </w:t>
      </w:r>
      <w:r>
        <w:rPr/>
        <w:t>lactoglobulin.</w:t>
      </w:r>
    </w:p>
    <w:p>
      <w:pPr>
        <w:pStyle w:val="BodyText"/>
        <w:spacing w:line="276" w:lineRule="auto" w:before="239"/>
        <w:ind w:left="477" w:right="132"/>
        <w:jc w:val="both"/>
      </w:pPr>
      <w:r>
        <w:rPr/>
        <w:t>Of the seven patients who received the high measles antibody colostrum (NT titre 512-5120), five showed improvement (two showed no change). In eight patients receiving colostrum with fewer antibodies (NT titre 8-32), improve- ment was seen in five patients and no change was observed in three subjects.</w:t>
      </w:r>
    </w:p>
    <w:p>
      <w:pPr>
        <w:pStyle w:val="BodyText"/>
        <w:spacing w:line="276" w:lineRule="auto" w:before="239"/>
        <w:ind w:left="477" w:right="135"/>
        <w:jc w:val="both"/>
      </w:pPr>
      <w:r>
        <w:rPr/>
        <w:t>In the five patients who received colostrum without antibodies, the condition of two subjects remained constant, in three it worsened. The changes were de- termined using the table of the International Federation of Multiple Sclerosis Societies.</w:t>
      </w:r>
    </w:p>
    <w:p>
      <w:pPr>
        <w:pStyle w:val="BodyText"/>
        <w:spacing w:before="242"/>
        <w:ind w:left="477"/>
        <w:jc w:val="both"/>
      </w:pPr>
      <w:r>
        <w:rPr/>
        <w:t>The</w:t>
      </w:r>
      <w:r>
        <w:rPr>
          <w:spacing w:val="-23"/>
        </w:rPr>
        <w:t> </w:t>
      </w:r>
      <w:r>
        <w:rPr/>
        <w:t>results</w:t>
      </w:r>
      <w:r>
        <w:rPr>
          <w:spacing w:val="-24"/>
        </w:rPr>
        <w:t> </w:t>
      </w:r>
      <w:r>
        <w:rPr/>
        <w:t>of</w:t>
      </w:r>
      <w:r>
        <w:rPr>
          <w:spacing w:val="-23"/>
        </w:rPr>
        <w:t> </w:t>
      </w:r>
      <w:r>
        <w:rPr/>
        <w:t>this</w:t>
      </w:r>
      <w:r>
        <w:rPr>
          <w:spacing w:val="-24"/>
        </w:rPr>
        <w:t> </w:t>
      </w:r>
      <w:r>
        <w:rPr/>
        <w:t>study</w:t>
      </w:r>
      <w:r>
        <w:rPr>
          <w:spacing w:val="-24"/>
        </w:rPr>
        <w:t> </w:t>
      </w:r>
      <w:r>
        <w:rPr/>
        <w:t>suggest</w:t>
      </w:r>
      <w:r>
        <w:rPr>
          <w:spacing w:val="-23"/>
        </w:rPr>
        <w:t> </w:t>
      </w:r>
      <w:r>
        <w:rPr/>
        <w:t>that</w:t>
      </w:r>
      <w:r>
        <w:rPr>
          <w:spacing w:val="-24"/>
        </w:rPr>
        <w:t> </w:t>
      </w:r>
      <w:r>
        <w:rPr/>
        <w:t>orally</w:t>
      </w:r>
      <w:r>
        <w:rPr>
          <w:spacing w:val="-23"/>
        </w:rPr>
        <w:t> </w:t>
      </w:r>
      <w:r>
        <w:rPr/>
        <w:t>administered</w:t>
      </w:r>
      <w:r>
        <w:rPr>
          <w:spacing w:val="-23"/>
        </w:rPr>
        <w:t> </w:t>
      </w:r>
      <w:r>
        <w:rPr/>
        <w:t>colostrum</w:t>
      </w:r>
      <w:r>
        <w:rPr>
          <w:spacing w:val="-26"/>
        </w:rPr>
        <w:t> </w:t>
      </w:r>
      <w:r>
        <w:rPr/>
        <w:t>with</w:t>
      </w:r>
      <w:r>
        <w:rPr>
          <w:spacing w:val="-23"/>
        </w:rPr>
        <w:t> </w:t>
      </w:r>
      <w:r>
        <w:rPr/>
        <w:t>measles</w:t>
      </w:r>
    </w:p>
    <w:p>
      <w:pPr>
        <w:spacing w:after="0"/>
        <w:jc w:val="both"/>
        <w:sectPr>
          <w:pgSz w:w="14270" w:h="16850"/>
          <w:pgMar w:header="0" w:footer="1891" w:top="1600" w:bottom="2080" w:left="800" w:right="1280"/>
        </w:sectPr>
      </w:pPr>
    </w:p>
    <w:p>
      <w:pPr>
        <w:pStyle w:val="BodyText"/>
        <w:spacing w:before="181"/>
        <w:ind w:left="477"/>
        <w:rPr>
          <w:sz w:val="25"/>
        </w:rPr>
      </w:pPr>
      <w:r>
        <w:rPr/>
        <w:t>antibodies improves the condition of patients with multiple sclerosis.</w:t>
      </w:r>
      <w:r>
        <w:rPr>
          <w:position w:val="9"/>
          <w:sz w:val="25"/>
        </w:rPr>
        <w:t>204</w:t>
      </w:r>
    </w:p>
    <w:p>
      <w:pPr>
        <w:pStyle w:val="Heading1"/>
        <w:spacing w:before="288"/>
      </w:pPr>
      <w:r>
        <w:rPr/>
        <w:t>The effect of colostrum on asthma</w:t>
      </w:r>
    </w:p>
    <w:p>
      <w:pPr>
        <w:pStyle w:val="BodyText"/>
        <w:spacing w:line="276" w:lineRule="auto" w:before="299"/>
        <w:ind w:left="477" w:right="135"/>
        <w:jc w:val="both"/>
      </w:pPr>
      <w:r>
        <w:rPr/>
        <w:t>The vast majority of asthma symptoms are directly related to inflammatory re- actions that are considered to be an allergen or irritant defence.</w:t>
      </w:r>
    </w:p>
    <w:p>
      <w:pPr>
        <w:pStyle w:val="BodyText"/>
        <w:spacing w:line="276" w:lineRule="auto" w:before="241"/>
        <w:ind w:left="477" w:right="138"/>
        <w:jc w:val="both"/>
      </w:pPr>
      <w:r>
        <w:rPr/>
        <w:t>The polymorphonuclear leucocytes contained in colostrum can help regulate the overreaction of the immune system and prevent or contain the allergy.</w:t>
      </w:r>
    </w:p>
    <w:p>
      <w:pPr>
        <w:pStyle w:val="BodyText"/>
        <w:spacing w:before="2"/>
        <w:rPr>
          <w:sz w:val="41"/>
        </w:rPr>
      </w:pPr>
    </w:p>
    <w:p>
      <w:pPr>
        <w:pStyle w:val="Heading1"/>
        <w:spacing w:before="1"/>
      </w:pPr>
      <w:r>
        <w:rPr/>
        <w:t>Effect of colostrum on cancer</w:t>
      </w:r>
    </w:p>
    <w:p>
      <w:pPr>
        <w:pStyle w:val="BodyText"/>
        <w:spacing w:line="276" w:lineRule="auto" w:before="296"/>
        <w:ind w:left="477" w:right="133"/>
        <w:jc w:val="both"/>
      </w:pPr>
      <w:r>
        <w:rPr/>
        <w:t>One</w:t>
      </w:r>
      <w:r>
        <w:rPr>
          <w:spacing w:val="-19"/>
        </w:rPr>
        <w:t> </w:t>
      </w:r>
      <w:r>
        <w:rPr/>
        <w:t>in</w:t>
      </w:r>
      <w:r>
        <w:rPr>
          <w:spacing w:val="-19"/>
        </w:rPr>
        <w:t> </w:t>
      </w:r>
      <w:r>
        <w:rPr/>
        <w:t>three</w:t>
      </w:r>
      <w:r>
        <w:rPr>
          <w:spacing w:val="-21"/>
        </w:rPr>
        <w:t> </w:t>
      </w:r>
      <w:r>
        <w:rPr/>
        <w:t>People</w:t>
      </w:r>
      <w:r>
        <w:rPr>
          <w:spacing w:val="-19"/>
        </w:rPr>
        <w:t> </w:t>
      </w:r>
      <w:r>
        <w:rPr/>
        <w:t>in</w:t>
      </w:r>
      <w:r>
        <w:rPr>
          <w:spacing w:val="-21"/>
        </w:rPr>
        <w:t> </w:t>
      </w:r>
      <w:r>
        <w:rPr/>
        <w:t>industrialized</w:t>
      </w:r>
      <w:r>
        <w:rPr>
          <w:spacing w:val="-18"/>
        </w:rPr>
        <w:t> </w:t>
      </w:r>
      <w:r>
        <w:rPr/>
        <w:t>countries</w:t>
      </w:r>
      <w:r>
        <w:rPr>
          <w:spacing w:val="-15"/>
        </w:rPr>
        <w:t> </w:t>
      </w:r>
      <w:r>
        <w:rPr/>
        <w:t>develops</w:t>
      </w:r>
      <w:r>
        <w:rPr>
          <w:spacing w:val="-18"/>
        </w:rPr>
        <w:t> </w:t>
      </w:r>
      <w:r>
        <w:rPr/>
        <w:t>cancer,</w:t>
      </w:r>
      <w:r>
        <w:rPr>
          <w:spacing w:val="-21"/>
        </w:rPr>
        <w:t> </w:t>
      </w:r>
      <w:r>
        <w:rPr/>
        <w:t>one</w:t>
      </w:r>
      <w:r>
        <w:rPr>
          <w:spacing w:val="-19"/>
        </w:rPr>
        <w:t> </w:t>
      </w:r>
      <w:r>
        <w:rPr/>
        <w:t>in</w:t>
      </w:r>
      <w:r>
        <w:rPr>
          <w:spacing w:val="-20"/>
        </w:rPr>
        <w:t> </w:t>
      </w:r>
      <w:r>
        <w:rPr/>
        <w:t>four</w:t>
      </w:r>
      <w:r>
        <w:rPr>
          <w:spacing w:val="-18"/>
        </w:rPr>
        <w:t> </w:t>
      </w:r>
      <w:r>
        <w:rPr/>
        <w:t>dies of it. Despite billions of dollars of research and the fact we have been able to fly to the moon since the 1960s, there is no scientific advancement that could defy this terrible scourge on humanity.</w:t>
      </w:r>
    </w:p>
    <w:p>
      <w:pPr>
        <w:pStyle w:val="BodyText"/>
        <w:spacing w:line="276" w:lineRule="auto" w:before="240"/>
        <w:ind w:left="477" w:right="135"/>
        <w:jc w:val="both"/>
      </w:pPr>
      <w:r>
        <w:rPr/>
        <w:t>Prevention and, in the case of a disease, a therapy that consists at least in part of</w:t>
      </w:r>
      <w:r>
        <w:rPr>
          <w:spacing w:val="-24"/>
        </w:rPr>
        <w:t> </w:t>
      </w:r>
      <w:r>
        <w:rPr/>
        <w:t>natural</w:t>
      </w:r>
      <w:r>
        <w:rPr>
          <w:spacing w:val="-26"/>
        </w:rPr>
        <w:t> </w:t>
      </w:r>
      <w:r>
        <w:rPr/>
        <w:t>remedies,</w:t>
      </w:r>
      <w:r>
        <w:rPr>
          <w:spacing w:val="-24"/>
        </w:rPr>
        <w:t> </w:t>
      </w:r>
      <w:r>
        <w:rPr/>
        <w:t>such</w:t>
      </w:r>
      <w:r>
        <w:rPr>
          <w:spacing w:val="-27"/>
        </w:rPr>
        <w:t> </w:t>
      </w:r>
      <w:r>
        <w:rPr/>
        <w:t>as</w:t>
      </w:r>
      <w:r>
        <w:rPr>
          <w:spacing w:val="-27"/>
        </w:rPr>
        <w:t> </w:t>
      </w:r>
      <w:r>
        <w:rPr/>
        <w:t>bitter</w:t>
      </w:r>
      <w:r>
        <w:rPr>
          <w:spacing w:val="-24"/>
        </w:rPr>
        <w:t> </w:t>
      </w:r>
      <w:r>
        <w:rPr/>
        <w:t>apricot</w:t>
      </w:r>
      <w:r>
        <w:rPr>
          <w:spacing w:val="-24"/>
        </w:rPr>
        <w:t> </w:t>
      </w:r>
      <w:r>
        <w:rPr/>
        <w:t>kernels,</w:t>
      </w:r>
      <w:r>
        <w:rPr>
          <w:spacing w:val="-29"/>
        </w:rPr>
        <w:t> </w:t>
      </w:r>
      <w:r>
        <w:rPr/>
        <w:t>as</w:t>
      </w:r>
      <w:r>
        <w:rPr>
          <w:spacing w:val="-25"/>
        </w:rPr>
        <w:t> </w:t>
      </w:r>
      <w:r>
        <w:rPr/>
        <w:t>well</w:t>
      </w:r>
      <w:r>
        <w:rPr>
          <w:spacing w:val="-25"/>
        </w:rPr>
        <w:t> </w:t>
      </w:r>
      <w:r>
        <w:rPr/>
        <w:t>as</w:t>
      </w:r>
      <w:r>
        <w:rPr>
          <w:spacing w:val="-25"/>
        </w:rPr>
        <w:t> </w:t>
      </w:r>
      <w:r>
        <w:rPr/>
        <w:t>colostrum</w:t>
      </w:r>
      <w:r>
        <w:rPr>
          <w:spacing w:val="-25"/>
        </w:rPr>
        <w:t> </w:t>
      </w:r>
      <w:r>
        <w:rPr/>
        <w:t>or</w:t>
      </w:r>
      <w:r>
        <w:rPr>
          <w:spacing w:val="-26"/>
        </w:rPr>
        <w:t> </w:t>
      </w:r>
      <w:r>
        <w:rPr/>
        <w:t>natural vitamin C, are all the more</w:t>
      </w:r>
      <w:r>
        <w:rPr>
          <w:spacing w:val="1"/>
        </w:rPr>
        <w:t> </w:t>
      </w:r>
      <w:r>
        <w:rPr/>
        <w:t>important.</w:t>
      </w:r>
    </w:p>
    <w:p>
      <w:pPr>
        <w:pStyle w:val="Heading1"/>
      </w:pPr>
      <w:r>
        <w:rPr/>
        <w:t>TGF in colostrum inhibits cancer</w:t>
      </w:r>
      <w:r>
        <w:rPr>
          <w:spacing w:val="-58"/>
        </w:rPr>
        <w:t> </w:t>
      </w:r>
      <w:r>
        <w:rPr/>
        <w:t>growth</w:t>
      </w:r>
    </w:p>
    <w:p>
      <w:pPr>
        <w:pStyle w:val="BodyText"/>
        <w:spacing w:line="276" w:lineRule="auto" w:before="299"/>
        <w:ind w:left="477" w:right="133"/>
        <w:jc w:val="both"/>
      </w:pPr>
      <w:r>
        <w:rPr/>
        <w:t>In studies in Japan, it has been shown that the peptide TGF (BC-1) present in colostrum suppressed the growth of osteosarcoma cells (MG-6 3) and had a significant effect on the size of the tumour.</w:t>
      </w:r>
      <w:r>
        <w:rPr>
          <w:position w:val="9"/>
          <w:sz w:val="25"/>
        </w:rPr>
        <w:t>205 </w:t>
      </w:r>
      <w:r>
        <w:rPr/>
        <w:t>Further studies have shown that</w:t>
      </w:r>
    </w:p>
    <w:p>
      <w:pPr>
        <w:pStyle w:val="BodyText"/>
        <w:spacing w:before="2"/>
        <w:rPr>
          <w:sz w:val="20"/>
        </w:rPr>
      </w:pPr>
      <w:r>
        <w:rPr/>
        <w:pict>
          <v:line style="position:absolute;mso-position-horizontal-relative:page;mso-position-vertical-relative:paragraph;z-index:1952;mso-wrap-distance-left:0;mso-wrap-distance-right:0" from="63.863998pt,13.714985pt" to="207.883998pt,13.714985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204 </w:t>
      </w:r>
      <w:r>
        <w:rPr>
          <w:sz w:val="20"/>
        </w:rPr>
        <w:t>Ebina 1985</w:t>
      </w:r>
    </w:p>
    <w:p>
      <w:pPr>
        <w:spacing w:before="94"/>
        <w:ind w:left="477" w:right="0" w:firstLine="0"/>
        <w:jc w:val="left"/>
        <w:rPr>
          <w:sz w:val="20"/>
        </w:rPr>
      </w:pPr>
      <w:r>
        <w:rPr>
          <w:position w:val="5"/>
          <w:sz w:val="13"/>
        </w:rPr>
        <w:t>205 </w:t>
      </w:r>
      <w:r>
        <w:rPr>
          <w:sz w:val="20"/>
        </w:rPr>
        <w:t>Tokuyama 1989</w:t>
      </w:r>
    </w:p>
    <w:p>
      <w:pPr>
        <w:spacing w:after="0"/>
        <w:jc w:val="left"/>
        <w:rPr>
          <w:sz w:val="20"/>
        </w:rPr>
        <w:sectPr>
          <w:pgSz w:w="14270" w:h="16850"/>
          <w:pgMar w:header="0" w:footer="1891" w:top="1600" w:bottom="2080" w:left="800" w:right="1280"/>
        </w:sectPr>
      </w:pPr>
    </w:p>
    <w:p>
      <w:pPr>
        <w:pStyle w:val="BodyText"/>
        <w:spacing w:line="276" w:lineRule="auto" w:before="181"/>
        <w:ind w:left="477" w:right="130"/>
        <w:jc w:val="both"/>
      </w:pPr>
      <w:r>
        <w:rPr/>
        <w:t>colostrum</w:t>
      </w:r>
      <w:r>
        <w:rPr>
          <w:spacing w:val="-26"/>
        </w:rPr>
        <w:t> </w:t>
      </w:r>
      <w:r>
        <w:rPr/>
        <w:t>inhibits</w:t>
      </w:r>
      <w:r>
        <w:rPr>
          <w:spacing w:val="-24"/>
        </w:rPr>
        <w:t> </w:t>
      </w:r>
      <w:r>
        <w:rPr/>
        <w:t>the</w:t>
      </w:r>
      <w:r>
        <w:rPr>
          <w:spacing w:val="-26"/>
        </w:rPr>
        <w:t> </w:t>
      </w:r>
      <w:r>
        <w:rPr/>
        <w:t>proliferation</w:t>
      </w:r>
      <w:r>
        <w:rPr>
          <w:spacing w:val="-26"/>
        </w:rPr>
        <w:t> </w:t>
      </w:r>
      <w:r>
        <w:rPr/>
        <w:t>of</w:t>
      </w:r>
      <w:r>
        <w:rPr>
          <w:spacing w:val="-28"/>
        </w:rPr>
        <w:t> </w:t>
      </w:r>
      <w:r>
        <w:rPr/>
        <w:t>human</w:t>
      </w:r>
      <w:r>
        <w:rPr>
          <w:spacing w:val="-24"/>
        </w:rPr>
        <w:t> </w:t>
      </w:r>
      <w:r>
        <w:rPr/>
        <w:t>T</w:t>
      </w:r>
      <w:r>
        <w:rPr>
          <w:spacing w:val="-25"/>
        </w:rPr>
        <w:t> </w:t>
      </w:r>
      <w:r>
        <w:rPr/>
        <w:t>cells</w:t>
      </w:r>
      <w:r>
        <w:rPr>
          <w:spacing w:val="-24"/>
        </w:rPr>
        <w:t> </w:t>
      </w:r>
      <w:r>
        <w:rPr/>
        <w:t>by</w:t>
      </w:r>
      <w:r>
        <w:rPr>
          <w:spacing w:val="-27"/>
        </w:rPr>
        <w:t> </w:t>
      </w:r>
      <w:r>
        <w:rPr/>
        <w:t>suppressing</w:t>
      </w:r>
      <w:r>
        <w:rPr>
          <w:spacing w:val="-24"/>
        </w:rPr>
        <w:t> </w:t>
      </w:r>
      <w:r>
        <w:rPr/>
        <w:t>interleukin- 2</w:t>
      </w:r>
      <w:r>
        <w:rPr>
          <w:spacing w:val="-2"/>
        </w:rPr>
        <w:t> </w:t>
      </w:r>
      <w:r>
        <w:rPr/>
        <w:t>production.</w:t>
      </w:r>
    </w:p>
    <w:p>
      <w:pPr>
        <w:pStyle w:val="BodyText"/>
        <w:spacing w:line="276" w:lineRule="auto" w:before="241"/>
        <w:ind w:left="477" w:right="134"/>
        <w:jc w:val="both"/>
        <w:rPr>
          <w:sz w:val="25"/>
        </w:rPr>
      </w:pPr>
      <w:r>
        <w:rPr/>
        <w:t>Scientists suspect that lactoferrin contained in colostrum is capable of binding iron</w:t>
      </w:r>
      <w:r>
        <w:rPr>
          <w:spacing w:val="-22"/>
        </w:rPr>
        <w:t> </w:t>
      </w:r>
      <w:r>
        <w:rPr/>
        <w:t>ions</w:t>
      </w:r>
      <w:r>
        <w:rPr>
          <w:spacing w:val="-22"/>
        </w:rPr>
        <w:t> </w:t>
      </w:r>
      <w:r>
        <w:rPr/>
        <w:t>needed</w:t>
      </w:r>
      <w:r>
        <w:rPr>
          <w:spacing w:val="-24"/>
        </w:rPr>
        <w:t> </w:t>
      </w:r>
      <w:r>
        <w:rPr/>
        <w:t>for</w:t>
      </w:r>
      <w:r>
        <w:rPr>
          <w:spacing w:val="-21"/>
        </w:rPr>
        <w:t> </w:t>
      </w:r>
      <w:r>
        <w:rPr/>
        <w:t>tumour</w:t>
      </w:r>
      <w:r>
        <w:rPr>
          <w:spacing w:val="-23"/>
        </w:rPr>
        <w:t> </w:t>
      </w:r>
      <w:r>
        <w:rPr/>
        <w:t>growth.</w:t>
      </w:r>
      <w:r>
        <w:rPr>
          <w:spacing w:val="-20"/>
        </w:rPr>
        <w:t> </w:t>
      </w:r>
      <w:r>
        <w:rPr/>
        <w:t>Lactoferrin,</w:t>
      </w:r>
      <w:r>
        <w:rPr>
          <w:spacing w:val="-22"/>
        </w:rPr>
        <w:t> </w:t>
      </w:r>
      <w:r>
        <w:rPr/>
        <w:t>according</w:t>
      </w:r>
      <w:r>
        <w:rPr>
          <w:spacing w:val="-22"/>
        </w:rPr>
        <w:t> </w:t>
      </w:r>
      <w:r>
        <w:rPr/>
        <w:t>to</w:t>
      </w:r>
      <w:r>
        <w:rPr>
          <w:spacing w:val="-22"/>
        </w:rPr>
        <w:t> </w:t>
      </w:r>
      <w:r>
        <w:rPr/>
        <w:t>scientific</w:t>
      </w:r>
      <w:r>
        <w:rPr>
          <w:spacing w:val="-22"/>
        </w:rPr>
        <w:t> </w:t>
      </w:r>
      <w:r>
        <w:rPr/>
        <w:t>studies, seems to play additional roles in the fight against cancer: thus, the molecular form of lactoferrin with ribonuclease activity might also be beneficial against breast cancer.</w:t>
      </w:r>
      <w:r>
        <w:rPr>
          <w:position w:val="9"/>
          <w:sz w:val="25"/>
        </w:rPr>
        <w:t>206</w:t>
      </w:r>
    </w:p>
    <w:p>
      <w:pPr>
        <w:pStyle w:val="BodyText"/>
        <w:spacing w:line="276" w:lineRule="auto" w:before="240"/>
        <w:ind w:left="477" w:right="133"/>
        <w:jc w:val="both"/>
        <w:rPr>
          <w:sz w:val="25"/>
        </w:rPr>
      </w:pPr>
      <w:r>
        <w:rPr/>
        <w:t>Other studies have shown that the growth factors TGF (transforming growth factors) contained in colostrum have a cancer-inhibiting effect.</w:t>
      </w:r>
      <w:r>
        <w:rPr>
          <w:position w:val="9"/>
          <w:sz w:val="25"/>
        </w:rPr>
        <w:t>207 </w:t>
      </w:r>
      <w:r>
        <w:rPr/>
        <w:t>The glyco- proteins contained in bovine colostrum inhibit the settlement of Helicobacter pylori bacteria, which is believed to be the causative agent of gastric cancer.</w:t>
      </w:r>
      <w:r>
        <w:rPr>
          <w:position w:val="9"/>
          <w:sz w:val="25"/>
        </w:rPr>
        <w:t>208</w:t>
      </w:r>
    </w:p>
    <w:p>
      <w:pPr>
        <w:pStyle w:val="Heading1"/>
        <w:spacing w:before="222"/>
      </w:pPr>
      <w:r>
        <w:rPr/>
        <w:t>Colostrum inhibits cancer growth and metastasis development</w:t>
      </w:r>
    </w:p>
    <w:p>
      <w:pPr>
        <w:pStyle w:val="BodyText"/>
        <w:spacing w:line="276" w:lineRule="auto" w:before="300"/>
        <w:ind w:left="477" w:right="133"/>
        <w:jc w:val="both"/>
        <w:rPr>
          <w:sz w:val="25"/>
        </w:rPr>
      </w:pPr>
      <w:r>
        <w:rPr/>
        <w:t>In</w:t>
      </w:r>
      <w:r>
        <w:rPr>
          <w:spacing w:val="-19"/>
        </w:rPr>
        <w:t> </w:t>
      </w:r>
      <w:r>
        <w:rPr/>
        <w:t>colostrum,</w:t>
      </w:r>
      <w:r>
        <w:rPr>
          <w:spacing w:val="-18"/>
        </w:rPr>
        <w:t> </w:t>
      </w:r>
      <w:r>
        <w:rPr/>
        <w:t>lactoferrin</w:t>
      </w:r>
      <w:r>
        <w:rPr>
          <w:spacing w:val="-19"/>
        </w:rPr>
        <w:t> </w:t>
      </w:r>
      <w:r>
        <w:rPr/>
        <w:t>inhibited</w:t>
      </w:r>
      <w:r>
        <w:rPr>
          <w:spacing w:val="-19"/>
        </w:rPr>
        <w:t> </w:t>
      </w:r>
      <w:r>
        <w:rPr/>
        <w:t>the</w:t>
      </w:r>
      <w:r>
        <w:rPr>
          <w:spacing w:val="-19"/>
        </w:rPr>
        <w:t> </w:t>
      </w:r>
      <w:r>
        <w:rPr/>
        <w:t>growth</w:t>
      </w:r>
      <w:r>
        <w:rPr>
          <w:spacing w:val="-19"/>
        </w:rPr>
        <w:t> </w:t>
      </w:r>
      <w:r>
        <w:rPr/>
        <w:t>of</w:t>
      </w:r>
      <w:r>
        <w:rPr>
          <w:spacing w:val="-21"/>
        </w:rPr>
        <w:t> </w:t>
      </w:r>
      <w:r>
        <w:rPr/>
        <w:t>transplanted</w:t>
      </w:r>
      <w:r>
        <w:rPr>
          <w:spacing w:val="-19"/>
        </w:rPr>
        <w:t> </w:t>
      </w:r>
      <w:r>
        <w:rPr/>
        <w:t>tumours</w:t>
      </w:r>
      <w:r>
        <w:rPr>
          <w:spacing w:val="-19"/>
        </w:rPr>
        <w:t> </w:t>
      </w:r>
      <w:r>
        <w:rPr/>
        <w:t>by</w:t>
      </w:r>
      <w:r>
        <w:rPr>
          <w:spacing w:val="-19"/>
        </w:rPr>
        <w:t> </w:t>
      </w:r>
      <w:r>
        <w:rPr/>
        <w:t>v-ras- transformed fibroblasts and fibrosarcoma induced by methylcholanthrene in mice.</w:t>
      </w:r>
      <w:r>
        <w:rPr>
          <w:spacing w:val="-6"/>
        </w:rPr>
        <w:t> </w:t>
      </w:r>
      <w:r>
        <w:rPr/>
        <w:t>In</w:t>
      </w:r>
      <w:r>
        <w:rPr>
          <w:spacing w:val="-8"/>
        </w:rPr>
        <w:t> </w:t>
      </w:r>
      <w:r>
        <w:rPr/>
        <w:t>addition,</w:t>
      </w:r>
      <w:r>
        <w:rPr>
          <w:spacing w:val="-6"/>
        </w:rPr>
        <w:t> </w:t>
      </w:r>
      <w:r>
        <w:rPr/>
        <w:t>lactoferrin</w:t>
      </w:r>
      <w:r>
        <w:rPr>
          <w:spacing w:val="-9"/>
        </w:rPr>
        <w:t> </w:t>
      </w:r>
      <w:r>
        <w:rPr/>
        <w:t>reduced</w:t>
      </w:r>
      <w:r>
        <w:rPr>
          <w:spacing w:val="-8"/>
        </w:rPr>
        <w:t> </w:t>
      </w:r>
      <w:r>
        <w:rPr/>
        <w:t>colonisation</w:t>
      </w:r>
      <w:r>
        <w:rPr>
          <w:spacing w:val="-6"/>
        </w:rPr>
        <w:t> </w:t>
      </w:r>
      <w:r>
        <w:rPr/>
        <w:t>of</w:t>
      </w:r>
      <w:r>
        <w:rPr>
          <w:spacing w:val="-9"/>
        </w:rPr>
        <w:t> </w:t>
      </w:r>
      <w:r>
        <w:rPr/>
        <w:t>the</w:t>
      </w:r>
      <w:r>
        <w:rPr>
          <w:spacing w:val="-8"/>
        </w:rPr>
        <w:t> </w:t>
      </w:r>
      <w:r>
        <w:rPr/>
        <w:t>lung</w:t>
      </w:r>
      <w:r>
        <w:rPr>
          <w:spacing w:val="-6"/>
        </w:rPr>
        <w:t> </w:t>
      </w:r>
      <w:r>
        <w:rPr/>
        <w:t>by</w:t>
      </w:r>
      <w:r>
        <w:rPr>
          <w:spacing w:val="-11"/>
        </w:rPr>
        <w:t> </w:t>
      </w:r>
      <w:r>
        <w:rPr/>
        <w:t>B16-F10</w:t>
      </w:r>
      <w:r>
        <w:rPr>
          <w:spacing w:val="-8"/>
        </w:rPr>
        <w:t> </w:t>
      </w:r>
      <w:r>
        <w:rPr/>
        <w:t>mel- anoma</w:t>
      </w:r>
      <w:r>
        <w:rPr>
          <w:spacing w:val="-26"/>
        </w:rPr>
        <w:t> </w:t>
      </w:r>
      <w:r>
        <w:rPr/>
        <w:t>cells</w:t>
      </w:r>
      <w:r>
        <w:rPr>
          <w:spacing w:val="-26"/>
        </w:rPr>
        <w:t> </w:t>
      </w:r>
      <w:r>
        <w:rPr/>
        <w:t>in</w:t>
      </w:r>
      <w:r>
        <w:rPr>
          <w:spacing w:val="-26"/>
        </w:rPr>
        <w:t> </w:t>
      </w:r>
      <w:r>
        <w:rPr/>
        <w:t>genetically</w:t>
      </w:r>
      <w:r>
        <w:rPr>
          <w:spacing w:val="-25"/>
        </w:rPr>
        <w:t> </w:t>
      </w:r>
      <w:r>
        <w:rPr/>
        <w:t>identical</w:t>
      </w:r>
      <w:r>
        <w:rPr>
          <w:spacing w:val="-27"/>
        </w:rPr>
        <w:t> </w:t>
      </w:r>
      <w:r>
        <w:rPr/>
        <w:t>mice.</w:t>
      </w:r>
      <w:r>
        <w:rPr>
          <w:position w:val="9"/>
          <w:sz w:val="25"/>
        </w:rPr>
        <w:t>209</w:t>
      </w:r>
      <w:r>
        <w:rPr>
          <w:spacing w:val="30"/>
          <w:position w:val="9"/>
          <w:sz w:val="25"/>
        </w:rPr>
        <w:t> </w:t>
      </w:r>
      <w:r>
        <w:rPr/>
        <w:t>The</w:t>
      </w:r>
      <w:r>
        <w:rPr>
          <w:spacing w:val="-25"/>
        </w:rPr>
        <w:t> </w:t>
      </w:r>
      <w:r>
        <w:rPr/>
        <w:t>researchers</w:t>
      </w:r>
      <w:r>
        <w:rPr>
          <w:spacing w:val="-25"/>
        </w:rPr>
        <w:t> </w:t>
      </w:r>
      <w:r>
        <w:rPr/>
        <w:t>believe</w:t>
      </w:r>
      <w:r>
        <w:rPr>
          <w:spacing w:val="-26"/>
        </w:rPr>
        <w:t> </w:t>
      </w:r>
      <w:r>
        <w:rPr/>
        <w:t>that</w:t>
      </w:r>
      <w:r>
        <w:rPr>
          <w:spacing w:val="-27"/>
        </w:rPr>
        <w:t> </w:t>
      </w:r>
      <w:r>
        <w:rPr/>
        <w:t>lactofer- rin might play a role in the fight against tumour formation and tumour growth.</w:t>
      </w:r>
      <w:r>
        <w:rPr>
          <w:position w:val="9"/>
          <w:sz w:val="25"/>
        </w:rPr>
        <w:t>210</w:t>
      </w:r>
    </w:p>
    <w:p>
      <w:pPr>
        <w:pStyle w:val="Heading1"/>
        <w:spacing w:before="223"/>
        <w:jc w:val="both"/>
      </w:pPr>
      <w:r>
        <w:rPr/>
        <w:t>Effect of colostrum for the prevention and treatment of bowel disease</w:t>
      </w:r>
    </w:p>
    <w:p>
      <w:pPr>
        <w:pStyle w:val="BodyText"/>
        <w:rPr>
          <w:b/>
          <w:i/>
          <w:sz w:val="20"/>
        </w:rPr>
      </w:pPr>
    </w:p>
    <w:p>
      <w:pPr>
        <w:pStyle w:val="BodyText"/>
        <w:rPr>
          <w:b/>
          <w:i/>
          <w:sz w:val="17"/>
        </w:rPr>
      </w:pPr>
      <w:r>
        <w:rPr/>
        <w:pict>
          <v:line style="position:absolute;mso-position-horizontal-relative:page;mso-position-vertical-relative:paragraph;z-index:1976;mso-wrap-distance-left:0;mso-wrap-distance-right:0" from="63.863998pt,11.938765pt" to="207.883998pt,11.938765pt" stroked="true" strokeweight=".71997pt" strokecolor="#000000">
            <v:stroke dashstyle="solid"/>
            <w10:wrap type="topAndBottom"/>
          </v:line>
        </w:pict>
      </w:r>
    </w:p>
    <w:p>
      <w:pPr>
        <w:pStyle w:val="BodyText"/>
        <w:spacing w:before="7"/>
        <w:rPr>
          <w:b/>
          <w:i/>
          <w:sz w:val="18"/>
        </w:rPr>
      </w:pPr>
    </w:p>
    <w:p>
      <w:pPr>
        <w:spacing w:before="99"/>
        <w:ind w:left="477" w:right="0" w:firstLine="0"/>
        <w:jc w:val="left"/>
        <w:rPr>
          <w:sz w:val="20"/>
        </w:rPr>
      </w:pPr>
      <w:r>
        <w:rPr>
          <w:position w:val="5"/>
          <w:sz w:val="13"/>
        </w:rPr>
        <w:t>206 </w:t>
      </w:r>
      <w:r>
        <w:rPr>
          <w:sz w:val="20"/>
        </w:rPr>
        <w:t>Adamik 1996</w:t>
      </w:r>
    </w:p>
    <w:p>
      <w:pPr>
        <w:spacing w:before="94"/>
        <w:ind w:left="477" w:right="0" w:firstLine="0"/>
        <w:jc w:val="left"/>
        <w:rPr>
          <w:sz w:val="20"/>
        </w:rPr>
      </w:pPr>
      <w:r>
        <w:rPr>
          <w:position w:val="5"/>
          <w:sz w:val="13"/>
        </w:rPr>
        <w:t>207 </w:t>
      </w:r>
      <w:r>
        <w:rPr>
          <w:sz w:val="20"/>
        </w:rPr>
        <w:t>Tokuyama 1989</w:t>
      </w:r>
    </w:p>
    <w:p>
      <w:pPr>
        <w:spacing w:before="95"/>
        <w:ind w:left="477" w:right="0" w:firstLine="0"/>
        <w:jc w:val="left"/>
        <w:rPr>
          <w:sz w:val="20"/>
        </w:rPr>
      </w:pPr>
      <w:r>
        <w:rPr>
          <w:position w:val="5"/>
          <w:sz w:val="13"/>
        </w:rPr>
        <w:t>208 </w:t>
      </w:r>
      <w:r>
        <w:rPr>
          <w:sz w:val="20"/>
        </w:rPr>
        <w:t>Hernell, Olle, University of Umeå, Sweden, Science Apr. 1995, p. 231 f.</w:t>
      </w:r>
    </w:p>
    <w:p>
      <w:pPr>
        <w:spacing w:before="94"/>
        <w:ind w:left="477" w:right="0" w:firstLine="0"/>
        <w:jc w:val="left"/>
        <w:rPr>
          <w:sz w:val="20"/>
        </w:rPr>
      </w:pPr>
      <w:r>
        <w:rPr/>
        <w:drawing>
          <wp:anchor distT="0" distB="0" distL="0" distR="0" allowOverlap="1" layoutInCell="1" locked="0" behindDoc="1" simplePos="0" relativeHeight="267169775">
            <wp:simplePos x="0" y="0"/>
            <wp:positionH relativeFrom="page">
              <wp:posOffset>896463</wp:posOffset>
            </wp:positionH>
            <wp:positionV relativeFrom="paragraph">
              <wp:posOffset>141962</wp:posOffset>
            </wp:positionV>
            <wp:extent cx="6379583" cy="902106"/>
            <wp:effectExtent l="0" t="0" r="0" b="0"/>
            <wp:wrapNone/>
            <wp:docPr id="115" name="image2.jpeg" descr=""/>
            <wp:cNvGraphicFramePr>
              <a:graphicFrameLocks noChangeAspect="1"/>
            </wp:cNvGraphicFramePr>
            <a:graphic>
              <a:graphicData uri="http://schemas.openxmlformats.org/drawingml/2006/picture">
                <pic:pic>
                  <pic:nvPicPr>
                    <pic:cNvPr id="116"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209 </w:t>
      </w:r>
      <w:r>
        <w:rPr>
          <w:sz w:val="20"/>
        </w:rPr>
        <w:t>Beth M. Ley: Kolostrum – die natürliche Nahrungsergänzung (‘Colostrum – The Natural Food Supplement’), 1997, p. 83</w:t>
      </w:r>
    </w:p>
    <w:p>
      <w:pPr>
        <w:spacing w:before="94"/>
        <w:ind w:left="477" w:right="0" w:firstLine="0"/>
        <w:jc w:val="left"/>
        <w:rPr>
          <w:sz w:val="20"/>
        </w:rPr>
      </w:pPr>
      <w:r>
        <w:rPr>
          <w:position w:val="5"/>
          <w:sz w:val="13"/>
        </w:rPr>
        <w:t>210 </w:t>
      </w:r>
      <w:r>
        <w:rPr>
          <w:sz w:val="20"/>
        </w:rPr>
        <w:t>Bezault 1994</w:t>
      </w:r>
    </w:p>
    <w:p>
      <w:pPr>
        <w:spacing w:after="0"/>
        <w:jc w:val="left"/>
        <w:rPr>
          <w:sz w:val="20"/>
        </w:rPr>
        <w:sectPr>
          <w:footerReference w:type="default" r:id="rId79"/>
          <w:pgSz w:w="14270" w:h="16850"/>
          <w:pgMar w:footer="527" w:header="0" w:top="1600" w:bottom="720" w:left="800" w:right="1280"/>
          <w:pgNumType w:start="307"/>
        </w:sectPr>
      </w:pPr>
    </w:p>
    <w:p>
      <w:pPr>
        <w:pStyle w:val="BodyText"/>
        <w:spacing w:line="276" w:lineRule="auto" w:before="181"/>
        <w:ind w:left="477" w:right="134"/>
        <w:jc w:val="both"/>
        <w:rPr>
          <w:sz w:val="25"/>
        </w:rPr>
      </w:pPr>
      <w:r>
        <w:rPr/>
        <w:t>Dr. L.B. Khazenson and his team have been able to detect the maintenance of IgG biological activity in adult human digestive fluids after oral administration of colostrum, which suggests passive immunisation could be used to prevent and treat acute bowel disease.</w:t>
      </w:r>
      <w:r>
        <w:rPr>
          <w:position w:val="9"/>
          <w:sz w:val="25"/>
        </w:rPr>
        <w:t>211</w:t>
      </w:r>
    </w:p>
    <w:p>
      <w:pPr>
        <w:pStyle w:val="BodyText"/>
        <w:rPr>
          <w:sz w:val="42"/>
        </w:rPr>
      </w:pPr>
    </w:p>
    <w:p>
      <w:pPr>
        <w:pStyle w:val="BodyText"/>
        <w:rPr>
          <w:sz w:val="42"/>
        </w:rPr>
      </w:pPr>
    </w:p>
    <w:p>
      <w:pPr>
        <w:pStyle w:val="BodyText"/>
        <w:rPr>
          <w:sz w:val="42"/>
        </w:rPr>
      </w:pPr>
    </w:p>
    <w:p>
      <w:pPr>
        <w:pStyle w:val="Heading1"/>
        <w:spacing w:before="269"/>
      </w:pPr>
      <w:r>
        <w:rPr/>
        <w:t>Colostrum – natural doping without side effects</w:t>
      </w:r>
    </w:p>
    <w:p>
      <w:pPr>
        <w:pStyle w:val="BodyText"/>
        <w:spacing w:line="276" w:lineRule="auto" w:before="300"/>
        <w:ind w:left="477" w:right="131"/>
        <w:jc w:val="both"/>
      </w:pPr>
      <w:r>
        <w:rPr/>
        <w:t>Colostrum has shown amazing performance improvements in numerous stud- ies in both aerobic and anaerobic training (see ‘Building muscle with colos- trum’).</w:t>
      </w:r>
    </w:p>
    <w:p>
      <w:pPr>
        <w:pStyle w:val="BodyText"/>
        <w:spacing w:line="276" w:lineRule="auto" w:before="241"/>
        <w:ind w:left="477" w:right="140"/>
        <w:jc w:val="both"/>
      </w:pPr>
      <w:r>
        <w:rPr/>
        <w:t>During stage tests, the relative oxygen uptake was improved, the heart rate dropped and lactate formation was significantly suppressed.</w:t>
      </w:r>
    </w:p>
    <w:p>
      <w:pPr>
        <w:pStyle w:val="Heading2"/>
        <w:spacing w:before="238"/>
      </w:pPr>
      <w:r>
        <w:rPr/>
        <w:t>Colostrum as a healthy alternative to antibiotics</w:t>
      </w:r>
    </w:p>
    <w:p>
      <w:pPr>
        <w:pStyle w:val="BodyText"/>
        <w:spacing w:line="276" w:lineRule="auto" w:before="305"/>
        <w:ind w:left="477" w:right="133"/>
        <w:jc w:val="both"/>
      </w:pPr>
      <w:r>
        <w:rPr/>
        <w:t>It is frightening to hear that 80 % of all bacteria are resistant to the antibiotic ‘penicillin’ – i.e. it has no effect on them.</w:t>
      </w:r>
    </w:p>
    <w:p>
      <w:pPr>
        <w:pStyle w:val="BodyText"/>
        <w:spacing w:before="241"/>
        <w:ind w:left="477"/>
        <w:jc w:val="both"/>
      </w:pPr>
      <w:r>
        <w:rPr/>
        <w:t>Big Pharma knows how to react in its own way – by constantly producing new</w:t>
      </w:r>
    </w:p>
    <w:p>
      <w:pPr>
        <w:pStyle w:val="BodyText"/>
        <w:rPr>
          <w:sz w:val="20"/>
        </w:rPr>
      </w:pPr>
    </w:p>
    <w:p>
      <w:pPr>
        <w:pStyle w:val="BodyText"/>
        <w:spacing w:before="7"/>
        <w:rPr>
          <w:sz w:val="23"/>
        </w:rPr>
      </w:pPr>
      <w:r>
        <w:rPr/>
        <w:pict>
          <v:line style="position:absolute;mso-position-horizontal-relative:page;mso-position-vertical-relative:paragraph;z-index:2024;mso-wrap-distance-left:0;mso-wrap-distance-right:0" from="63.863998pt,15.671265pt" to="207.883998pt,15.67126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211 </w:t>
      </w:r>
      <w:r>
        <w:rPr>
          <w:sz w:val="20"/>
        </w:rPr>
        <w:t>Khazenson, L. B., Microbial &amp; Epidemical Immunobiology, 1980, No. 9, p. 101–106</w:t>
      </w:r>
    </w:p>
    <w:p>
      <w:pPr>
        <w:spacing w:after="0"/>
        <w:jc w:val="left"/>
        <w:rPr>
          <w:sz w:val="20"/>
        </w:rPr>
        <w:sectPr>
          <w:footerReference w:type="default" r:id="rId80"/>
          <w:pgSz w:w="14270" w:h="16850"/>
          <w:pgMar w:footer="1891" w:header="0" w:top="1600" w:bottom="2080" w:left="800" w:right="1280"/>
          <w:pgNumType w:start="308"/>
        </w:sectPr>
      </w:pPr>
    </w:p>
    <w:p>
      <w:pPr>
        <w:pStyle w:val="BodyText"/>
        <w:spacing w:line="276" w:lineRule="auto" w:before="181"/>
        <w:ind w:left="477" w:right="137"/>
        <w:jc w:val="both"/>
      </w:pPr>
      <w:r>
        <w:rPr/>
        <w:t>antibiotics. However, it continues to market penicillin and other antibiotics, against which the bacteria have long been resistant, earning a pretty penny in the process.</w:t>
      </w:r>
    </w:p>
    <w:p>
      <w:pPr>
        <w:pStyle w:val="BodyText"/>
        <w:spacing w:line="276" w:lineRule="auto" w:before="242"/>
        <w:ind w:left="477" w:right="136"/>
        <w:jc w:val="both"/>
      </w:pPr>
      <w:r>
        <w:rPr/>
        <w:t>And so, 8000 different (really different?) antibiotics with very questionable ef- fect and with even more questionable side effects are currently in use.</w:t>
      </w:r>
    </w:p>
    <w:p>
      <w:pPr>
        <w:pStyle w:val="BodyText"/>
        <w:spacing w:line="276" w:lineRule="auto" w:before="238"/>
        <w:ind w:left="477" w:right="133"/>
        <w:jc w:val="both"/>
        <w:rPr>
          <w:sz w:val="25"/>
        </w:rPr>
      </w:pPr>
      <w:r>
        <w:rPr/>
        <w:t>In spite of all supposed ‘efforts’, patients acquired in the year 2011 721 800 infections at hospitals. According to the US Centers of Disease Control and Prevention 75 000 of them died.</w:t>
      </w:r>
      <w:r>
        <w:rPr>
          <w:position w:val="9"/>
          <w:sz w:val="25"/>
        </w:rPr>
        <w:t>212</w:t>
      </w:r>
    </w:p>
    <w:p>
      <w:pPr>
        <w:pStyle w:val="BodyText"/>
        <w:spacing w:line="278" w:lineRule="auto" w:before="201"/>
        <w:ind w:left="477" w:right="139"/>
        <w:jc w:val="both"/>
      </w:pPr>
      <w:r>
        <w:rPr/>
        <w:t>60 to 80 % of all patients no longer respond to antibiotic treatment, or only slightly.</w:t>
      </w:r>
    </w:p>
    <w:p>
      <w:pPr>
        <w:pStyle w:val="Heading2"/>
        <w:spacing w:before="191"/>
        <w:jc w:val="both"/>
      </w:pPr>
      <w:r>
        <w:rPr/>
        <w:t>Reasons for antibiotic resistance</w:t>
      </w:r>
    </w:p>
    <w:p>
      <w:pPr>
        <w:pStyle w:val="BodyText"/>
        <w:spacing w:line="276" w:lineRule="auto" w:before="305"/>
        <w:ind w:left="477" w:right="132"/>
        <w:jc w:val="both"/>
      </w:pPr>
      <w:r>
        <w:rPr/>
        <w:t>The</w:t>
      </w:r>
      <w:r>
        <w:rPr>
          <w:spacing w:val="-10"/>
        </w:rPr>
        <w:t> </w:t>
      </w:r>
      <w:r>
        <w:rPr/>
        <w:t>reasons</w:t>
      </w:r>
      <w:r>
        <w:rPr>
          <w:spacing w:val="-10"/>
        </w:rPr>
        <w:t> </w:t>
      </w:r>
      <w:r>
        <w:rPr/>
        <w:t>for</w:t>
      </w:r>
      <w:r>
        <w:rPr>
          <w:spacing w:val="-13"/>
        </w:rPr>
        <w:t> </w:t>
      </w:r>
      <w:r>
        <w:rPr/>
        <w:t>increasing</w:t>
      </w:r>
      <w:r>
        <w:rPr>
          <w:spacing w:val="-9"/>
        </w:rPr>
        <w:t> </w:t>
      </w:r>
      <w:r>
        <w:rPr/>
        <w:t>antibiotic</w:t>
      </w:r>
      <w:r>
        <w:rPr>
          <w:spacing w:val="-11"/>
        </w:rPr>
        <w:t> </w:t>
      </w:r>
      <w:r>
        <w:rPr/>
        <w:t>resistance,</w:t>
      </w:r>
      <w:r>
        <w:rPr>
          <w:spacing w:val="-11"/>
        </w:rPr>
        <w:t> </w:t>
      </w:r>
      <w:r>
        <w:rPr/>
        <w:t>i.e.</w:t>
      </w:r>
      <w:r>
        <w:rPr>
          <w:spacing w:val="-9"/>
        </w:rPr>
        <w:t> </w:t>
      </w:r>
      <w:r>
        <w:rPr/>
        <w:t>the</w:t>
      </w:r>
      <w:r>
        <w:rPr>
          <w:spacing w:val="-12"/>
        </w:rPr>
        <w:t> </w:t>
      </w:r>
      <w:r>
        <w:rPr/>
        <w:t>non-response</w:t>
      </w:r>
      <w:r>
        <w:rPr>
          <w:spacing w:val="-10"/>
        </w:rPr>
        <w:t> </w:t>
      </w:r>
      <w:r>
        <w:rPr/>
        <w:t>of</w:t>
      </w:r>
      <w:r>
        <w:rPr>
          <w:spacing w:val="-11"/>
        </w:rPr>
        <w:t> </w:t>
      </w:r>
      <w:r>
        <w:rPr/>
        <w:t>the</w:t>
      </w:r>
      <w:r>
        <w:rPr>
          <w:spacing w:val="-12"/>
        </w:rPr>
        <w:t> </w:t>
      </w:r>
      <w:r>
        <w:rPr/>
        <w:t>an- tibiotic to bacteria and viruses, are manifold. Among other things, antibiotics have lost their effect on us humans due to our unconscious daily consumption of meat contaminated with antibiotics and the body reacting with a kind of ha- bituation.</w:t>
      </w:r>
    </w:p>
    <w:p>
      <w:pPr>
        <w:pStyle w:val="BodyText"/>
        <w:spacing w:line="276" w:lineRule="auto" w:before="240"/>
        <w:ind w:left="477" w:right="135"/>
        <w:jc w:val="both"/>
      </w:pPr>
      <w:r>
        <w:rPr/>
        <w:t>Well, officially, giving antibiotics to animals destined for slaughter is intended to be a ‘good’ thing for us consumers. This is explained by the wish to protect consumers against BSE and other diseases; but in reality this absurd action is caused by baser motives, namely the use of antibiotics as a fattening aid and</w:t>
      </w:r>
    </w:p>
    <w:p>
      <w:pPr>
        <w:pStyle w:val="BodyText"/>
        <w:rPr>
          <w:sz w:val="20"/>
        </w:rPr>
      </w:pPr>
    </w:p>
    <w:p>
      <w:pPr>
        <w:pStyle w:val="BodyText"/>
        <w:spacing w:before="4"/>
        <w:rPr>
          <w:sz w:val="12"/>
        </w:rPr>
      </w:pPr>
      <w:r>
        <w:rPr/>
        <w:pict>
          <v:line style="position:absolute;mso-position-horizontal-relative:page;mso-position-vertical-relative:paragraph;z-index:2048;mso-wrap-distance-left:0;mso-wrap-distance-right:0" from="63.863998pt,9.303765pt" to="207.883998pt,9.303765pt" stroked="true" strokeweight=".71997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212 </w:t>
      </w:r>
      <w:r>
        <w:rPr>
          <w:sz w:val="20"/>
        </w:rPr>
        <w:t>https://edition.cnn.com/2014/03/26/health/hospital-infections/index.html</w:t>
      </w:r>
    </w:p>
    <w:p>
      <w:pPr>
        <w:spacing w:after="0"/>
        <w:jc w:val="left"/>
        <w:rPr>
          <w:sz w:val="20"/>
        </w:rPr>
        <w:sectPr>
          <w:pgSz w:w="14270" w:h="16850"/>
          <w:pgMar w:header="0" w:footer="1891" w:top="1600" w:bottom="2080" w:left="800" w:right="1280"/>
        </w:sectPr>
      </w:pPr>
    </w:p>
    <w:p>
      <w:pPr>
        <w:pStyle w:val="BodyText"/>
        <w:spacing w:line="276" w:lineRule="auto" w:before="181"/>
        <w:ind w:left="477" w:right="135"/>
        <w:jc w:val="both"/>
      </w:pPr>
      <w:r>
        <w:rPr/>
        <w:t>thus the maximisation of profits from livestock.</w:t>
      </w:r>
      <w:r>
        <w:rPr>
          <w:position w:val="9"/>
          <w:sz w:val="25"/>
        </w:rPr>
        <w:t>213 </w:t>
      </w:r>
      <w:r>
        <w:rPr/>
        <w:t>The consequences of this very commercial and ruthless act for humans, including the endangerment of countless lives, were well known to and factored in by the people responsible from the very beginning.</w:t>
      </w:r>
    </w:p>
    <w:p>
      <w:pPr>
        <w:pStyle w:val="BodyText"/>
        <w:spacing w:line="276" w:lineRule="auto" w:before="242"/>
        <w:ind w:left="477" w:right="135"/>
        <w:jc w:val="both"/>
        <w:rPr>
          <w:sz w:val="25"/>
        </w:rPr>
      </w:pPr>
      <w:r>
        <w:rPr/>
        <w:t>While countries such as Sweden have a general ban on the use of antibiotics in animal</w:t>
      </w:r>
      <w:r>
        <w:rPr>
          <w:spacing w:val="-16"/>
        </w:rPr>
        <w:t> </w:t>
      </w:r>
      <w:r>
        <w:rPr/>
        <w:t>feed,</w:t>
      </w:r>
      <w:r>
        <w:rPr>
          <w:spacing w:val="-14"/>
        </w:rPr>
        <w:t> </w:t>
      </w:r>
      <w:r>
        <w:rPr/>
        <w:t>18</w:t>
      </w:r>
      <w:r>
        <w:rPr>
          <w:spacing w:val="-12"/>
        </w:rPr>
        <w:t> </w:t>
      </w:r>
      <w:r>
        <w:rPr/>
        <w:t>million</w:t>
      </w:r>
      <w:r>
        <w:rPr>
          <w:spacing w:val="-14"/>
        </w:rPr>
        <w:t> </w:t>
      </w:r>
      <w:r>
        <w:rPr/>
        <w:t>euros</w:t>
      </w:r>
      <w:r>
        <w:rPr>
          <w:spacing w:val="-14"/>
        </w:rPr>
        <w:t> </w:t>
      </w:r>
      <w:r>
        <w:rPr/>
        <w:t>is</w:t>
      </w:r>
      <w:r>
        <w:rPr>
          <w:spacing w:val="-13"/>
        </w:rPr>
        <w:t> </w:t>
      </w:r>
      <w:r>
        <w:rPr/>
        <w:t>spent</w:t>
      </w:r>
      <w:r>
        <w:rPr>
          <w:spacing w:val="-15"/>
        </w:rPr>
        <w:t> </w:t>
      </w:r>
      <w:r>
        <w:rPr/>
        <w:t>every</w:t>
      </w:r>
      <w:r>
        <w:rPr>
          <w:spacing w:val="-14"/>
        </w:rPr>
        <w:t> </w:t>
      </w:r>
      <w:r>
        <w:rPr/>
        <w:t>year</w:t>
      </w:r>
      <w:r>
        <w:rPr>
          <w:spacing w:val="-16"/>
        </w:rPr>
        <w:t> </w:t>
      </w:r>
      <w:r>
        <w:rPr/>
        <w:t>on</w:t>
      </w:r>
      <w:r>
        <w:rPr>
          <w:spacing w:val="-13"/>
        </w:rPr>
        <w:t> </w:t>
      </w:r>
      <w:r>
        <w:rPr/>
        <w:t>animal-fattening</w:t>
      </w:r>
      <w:r>
        <w:rPr>
          <w:spacing w:val="-15"/>
        </w:rPr>
        <w:t> </w:t>
      </w:r>
      <w:r>
        <w:rPr/>
        <w:t>antibiotics. In</w:t>
      </w:r>
      <w:r>
        <w:rPr>
          <w:spacing w:val="-15"/>
        </w:rPr>
        <w:t> </w:t>
      </w:r>
      <w:r>
        <w:rPr/>
        <w:t>the</w:t>
      </w:r>
      <w:r>
        <w:rPr>
          <w:spacing w:val="-17"/>
        </w:rPr>
        <w:t> </w:t>
      </w:r>
      <w:r>
        <w:rPr/>
        <w:t>US,</w:t>
      </w:r>
      <w:r>
        <w:rPr>
          <w:spacing w:val="-15"/>
        </w:rPr>
        <w:t> </w:t>
      </w:r>
      <w:r>
        <w:rPr/>
        <w:t>about</w:t>
      </w:r>
      <w:r>
        <w:rPr>
          <w:spacing w:val="-17"/>
        </w:rPr>
        <w:t> </w:t>
      </w:r>
      <w:r>
        <w:rPr/>
        <w:t>half</w:t>
      </w:r>
      <w:r>
        <w:rPr>
          <w:spacing w:val="-15"/>
        </w:rPr>
        <w:t> </w:t>
      </w:r>
      <w:r>
        <w:rPr/>
        <w:t>of</w:t>
      </w:r>
      <w:r>
        <w:rPr>
          <w:spacing w:val="-17"/>
        </w:rPr>
        <w:t> </w:t>
      </w:r>
      <w:r>
        <w:rPr/>
        <w:t>the</w:t>
      </w:r>
      <w:r>
        <w:rPr>
          <w:spacing w:val="-16"/>
        </w:rPr>
        <w:t> </w:t>
      </w:r>
      <w:r>
        <w:rPr/>
        <w:t>antibiotics</w:t>
      </w:r>
      <w:r>
        <w:rPr>
          <w:spacing w:val="-15"/>
        </w:rPr>
        <w:t> </w:t>
      </w:r>
      <w:r>
        <w:rPr/>
        <w:t>produced</w:t>
      </w:r>
      <w:r>
        <w:rPr>
          <w:spacing w:val="-16"/>
        </w:rPr>
        <w:t> </w:t>
      </w:r>
      <w:r>
        <w:rPr/>
        <w:t>are</w:t>
      </w:r>
      <w:r>
        <w:rPr>
          <w:spacing w:val="-15"/>
        </w:rPr>
        <w:t> </w:t>
      </w:r>
      <w:r>
        <w:rPr/>
        <w:t>fed</w:t>
      </w:r>
      <w:r>
        <w:rPr>
          <w:spacing w:val="-14"/>
        </w:rPr>
        <w:t> </w:t>
      </w:r>
      <w:r>
        <w:rPr/>
        <w:t>to</w:t>
      </w:r>
      <w:r>
        <w:rPr>
          <w:spacing w:val="-17"/>
        </w:rPr>
        <w:t> </w:t>
      </w:r>
      <w:r>
        <w:rPr/>
        <w:t>slaughter</w:t>
      </w:r>
      <w:r>
        <w:rPr>
          <w:spacing w:val="-13"/>
        </w:rPr>
        <w:t> </w:t>
      </w:r>
      <w:r>
        <w:rPr/>
        <w:t>animals.</w:t>
      </w:r>
      <w:r>
        <w:rPr>
          <w:position w:val="9"/>
          <w:sz w:val="25"/>
        </w:rPr>
        <w:t>214</w:t>
      </w:r>
    </w:p>
    <w:p>
      <w:pPr>
        <w:pStyle w:val="BodyText"/>
        <w:spacing w:line="276" w:lineRule="auto" w:before="239"/>
        <w:ind w:left="477" w:right="137"/>
        <w:jc w:val="both"/>
      </w:pPr>
      <w:r>
        <w:rPr/>
        <w:t>Other reasons for antibiotic resistance exist in the incorrect administration of the antibiotics within medical therapy. And so antibiotics are deliberately ad- ministered too often or in larger quantities, which results in familiarisation.</w:t>
      </w:r>
    </w:p>
    <w:p>
      <w:pPr>
        <w:pStyle w:val="BodyText"/>
        <w:spacing w:line="276" w:lineRule="auto" w:before="241"/>
        <w:ind w:left="477" w:right="131"/>
        <w:jc w:val="both"/>
      </w:pPr>
      <w:r>
        <w:rPr/>
        <w:t>Whether it is a sore throat, earache or runny nose, hey presto, an antibiotic is prescribed. The fact that 80 to 90 % of these complaints are viral infections where antibiotics basically do not help is completely ignored. The danger of resistance/familiarisation</w:t>
      </w:r>
      <w:r>
        <w:rPr>
          <w:spacing w:val="-9"/>
        </w:rPr>
        <w:t> </w:t>
      </w:r>
      <w:r>
        <w:rPr/>
        <w:t>manifests</w:t>
      </w:r>
      <w:r>
        <w:rPr>
          <w:spacing w:val="-9"/>
        </w:rPr>
        <w:t> </w:t>
      </w:r>
      <w:r>
        <w:rPr/>
        <w:t>itself</w:t>
      </w:r>
      <w:r>
        <w:rPr>
          <w:spacing w:val="-10"/>
        </w:rPr>
        <w:t> </w:t>
      </w:r>
      <w:r>
        <w:rPr/>
        <w:t>exactly</w:t>
      </w:r>
      <w:r>
        <w:rPr>
          <w:spacing w:val="-11"/>
        </w:rPr>
        <w:t> </w:t>
      </w:r>
      <w:r>
        <w:rPr/>
        <w:t>at</w:t>
      </w:r>
      <w:r>
        <w:rPr>
          <w:spacing w:val="-11"/>
        </w:rPr>
        <w:t> </w:t>
      </w:r>
      <w:r>
        <w:rPr/>
        <w:t>the</w:t>
      </w:r>
      <w:r>
        <w:rPr>
          <w:spacing w:val="-8"/>
        </w:rPr>
        <w:t> </w:t>
      </w:r>
      <w:r>
        <w:rPr/>
        <w:t>moment</w:t>
      </w:r>
      <w:r>
        <w:rPr>
          <w:spacing w:val="-14"/>
        </w:rPr>
        <w:t> </w:t>
      </w:r>
      <w:r>
        <w:rPr/>
        <w:t>when,</w:t>
      </w:r>
      <w:r>
        <w:rPr>
          <w:spacing w:val="-9"/>
        </w:rPr>
        <w:t> </w:t>
      </w:r>
      <w:r>
        <w:rPr/>
        <w:t>one</w:t>
      </w:r>
      <w:r>
        <w:rPr>
          <w:spacing w:val="-12"/>
        </w:rPr>
        <w:t> </w:t>
      </w:r>
      <w:r>
        <w:rPr/>
        <w:t>day, we really need to get rid of bacteria, viruses or fungi in the event of illness – a resistance then leads, in many cases, to</w:t>
      </w:r>
      <w:r>
        <w:rPr>
          <w:spacing w:val="2"/>
        </w:rPr>
        <w:t> </w:t>
      </w:r>
      <w:r>
        <w:rPr/>
        <w:t>death.</w:t>
      </w:r>
    </w:p>
    <w:p>
      <w:pPr>
        <w:pStyle w:val="BodyText"/>
        <w:spacing w:before="8"/>
        <w:rPr>
          <w:sz w:val="42"/>
        </w:rPr>
      </w:pPr>
    </w:p>
    <w:p>
      <w:pPr>
        <w:pStyle w:val="Heading2"/>
        <w:jc w:val="both"/>
      </w:pPr>
      <w:r>
        <w:rPr/>
        <w:t>Side effects of antibiotics</w:t>
      </w:r>
    </w:p>
    <w:p>
      <w:pPr>
        <w:pStyle w:val="BodyText"/>
        <w:spacing w:before="305"/>
        <w:ind w:left="477"/>
        <w:jc w:val="both"/>
      </w:pPr>
      <w:r>
        <w:rPr/>
        <w:t>While stomach and intestinal problems are commonly named as typical side</w:t>
      </w:r>
    </w:p>
    <w:p>
      <w:pPr>
        <w:pStyle w:val="BodyText"/>
        <w:rPr>
          <w:sz w:val="20"/>
        </w:rPr>
      </w:pPr>
    </w:p>
    <w:p>
      <w:pPr>
        <w:pStyle w:val="BodyText"/>
        <w:rPr>
          <w:sz w:val="20"/>
        </w:rPr>
      </w:pPr>
    </w:p>
    <w:p>
      <w:pPr>
        <w:pStyle w:val="BodyText"/>
        <w:rPr>
          <w:sz w:val="20"/>
        </w:rPr>
      </w:pPr>
    </w:p>
    <w:p>
      <w:pPr>
        <w:pStyle w:val="BodyText"/>
        <w:spacing w:before="9"/>
        <w:rPr>
          <w:sz w:val="29"/>
        </w:rPr>
      </w:pPr>
      <w:r>
        <w:rPr/>
        <w:pict>
          <v:line style="position:absolute;mso-position-horizontal-relative:page;mso-position-vertical-relative:paragraph;z-index:2072;mso-wrap-distance-left:0;mso-wrap-distance-right:0" from="63.863998pt,19.114985pt" to="207.883998pt,19.114985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213 </w:t>
      </w:r>
      <w:hyperlink r:id="rId82">
        <w:r>
          <w:rPr>
            <w:sz w:val="20"/>
          </w:rPr>
          <w:t>http://www.vetcontact.com/de/art.php?a=2141&amp;t=</w:t>
        </w:r>
      </w:hyperlink>
    </w:p>
    <w:p>
      <w:pPr>
        <w:spacing w:before="94"/>
        <w:ind w:left="477" w:right="0" w:firstLine="0"/>
        <w:jc w:val="left"/>
        <w:rPr>
          <w:sz w:val="20"/>
        </w:rPr>
      </w:pPr>
      <w:r>
        <w:rPr>
          <w:position w:val="5"/>
          <w:sz w:val="13"/>
        </w:rPr>
        <w:t>214 </w:t>
      </w:r>
      <w:r>
        <w:rPr>
          <w:sz w:val="20"/>
        </w:rPr>
        <w:t>Beth M. Ley: Kolostrum – die natürliche Nahrungsergänzung (‘Colostrum – The Natural Food Supplement’), 1997, p. 74</w:t>
      </w:r>
    </w:p>
    <w:p>
      <w:pPr>
        <w:spacing w:after="0"/>
        <w:jc w:val="left"/>
        <w:rPr>
          <w:sz w:val="20"/>
        </w:rPr>
        <w:sectPr>
          <w:footerReference w:type="default" r:id="rId81"/>
          <w:pgSz w:w="14270" w:h="16850"/>
          <w:pgMar w:footer="1891" w:header="0" w:top="1600" w:bottom="2080" w:left="800" w:right="1280"/>
          <w:pgNumType w:start="310"/>
        </w:sectPr>
      </w:pPr>
    </w:p>
    <w:p>
      <w:pPr>
        <w:pStyle w:val="BodyText"/>
        <w:spacing w:line="276" w:lineRule="auto" w:before="181"/>
        <w:ind w:left="477" w:right="132"/>
        <w:jc w:val="both"/>
      </w:pPr>
      <w:r>
        <w:rPr/>
        <w:t>effects of antibiotics, relevant studies point to much more dangerous side ef- fects. The antibiotic ‘neomycin’ leads to liver dysfunction, ‘tetracyclines’ leads to yellowing of children’s teeth, and ‘chloramphenicol’ causes bone marrow suppression, known as ‘anaemic intake’.</w:t>
      </w:r>
    </w:p>
    <w:p>
      <w:pPr>
        <w:pStyle w:val="BodyText"/>
        <w:spacing w:line="276" w:lineRule="auto" w:before="242"/>
        <w:ind w:left="477" w:right="132"/>
        <w:jc w:val="both"/>
      </w:pPr>
      <w:r>
        <w:rPr/>
        <w:t>Furthermore,</w:t>
      </w:r>
      <w:r>
        <w:rPr>
          <w:spacing w:val="-8"/>
        </w:rPr>
        <w:t> </w:t>
      </w:r>
      <w:r>
        <w:rPr/>
        <w:t>antibiotics</w:t>
      </w:r>
      <w:r>
        <w:rPr>
          <w:spacing w:val="-8"/>
        </w:rPr>
        <w:t> </w:t>
      </w:r>
      <w:r>
        <w:rPr/>
        <w:t>have</w:t>
      </w:r>
      <w:r>
        <w:rPr>
          <w:spacing w:val="-8"/>
        </w:rPr>
        <w:t> </w:t>
      </w:r>
      <w:r>
        <w:rPr/>
        <w:t>been</w:t>
      </w:r>
      <w:r>
        <w:rPr>
          <w:spacing w:val="-9"/>
        </w:rPr>
        <w:t> </w:t>
      </w:r>
      <w:r>
        <w:rPr/>
        <w:t>linked</w:t>
      </w:r>
      <w:r>
        <w:rPr>
          <w:spacing w:val="-8"/>
        </w:rPr>
        <w:t> </w:t>
      </w:r>
      <w:r>
        <w:rPr/>
        <w:t>to</w:t>
      </w:r>
      <w:r>
        <w:rPr>
          <w:spacing w:val="-10"/>
        </w:rPr>
        <w:t> </w:t>
      </w:r>
      <w:r>
        <w:rPr/>
        <w:t>hyperactivity</w:t>
      </w:r>
      <w:r>
        <w:rPr>
          <w:spacing w:val="-9"/>
        </w:rPr>
        <w:t> </w:t>
      </w:r>
      <w:r>
        <w:rPr/>
        <w:t>in</w:t>
      </w:r>
      <w:r>
        <w:rPr>
          <w:spacing w:val="-8"/>
        </w:rPr>
        <w:t> </w:t>
      </w:r>
      <w:r>
        <w:rPr/>
        <w:t>children,</w:t>
      </w:r>
      <w:r>
        <w:rPr>
          <w:spacing w:val="-8"/>
        </w:rPr>
        <w:t> </w:t>
      </w:r>
      <w:r>
        <w:rPr/>
        <w:t>allergies, hormonal disorders, psoriasis, Crohn's disease, ulcerative colitis, irritable</w:t>
      </w:r>
      <w:r>
        <w:rPr>
          <w:spacing w:val="-66"/>
        </w:rPr>
        <w:t> </w:t>
      </w:r>
      <w:r>
        <w:rPr/>
        <w:t>bowel syndrome,</w:t>
      </w:r>
      <w:r>
        <w:rPr>
          <w:spacing w:val="-26"/>
        </w:rPr>
        <w:t> </w:t>
      </w:r>
      <w:r>
        <w:rPr/>
        <w:t>multiple</w:t>
      </w:r>
      <w:r>
        <w:rPr>
          <w:spacing w:val="-24"/>
        </w:rPr>
        <w:t> </w:t>
      </w:r>
      <w:r>
        <w:rPr/>
        <w:t>sclerosis</w:t>
      </w:r>
      <w:r>
        <w:rPr>
          <w:spacing w:val="-26"/>
        </w:rPr>
        <w:t> </w:t>
      </w:r>
      <w:r>
        <w:rPr/>
        <w:t>and</w:t>
      </w:r>
      <w:r>
        <w:rPr>
          <w:spacing w:val="-26"/>
        </w:rPr>
        <w:t> </w:t>
      </w:r>
      <w:r>
        <w:rPr/>
        <w:t>cancer.</w:t>
      </w:r>
      <w:r>
        <w:rPr>
          <w:position w:val="9"/>
          <w:sz w:val="25"/>
        </w:rPr>
        <w:t>215</w:t>
      </w:r>
      <w:r>
        <w:rPr>
          <w:spacing w:val="30"/>
          <w:position w:val="9"/>
          <w:sz w:val="25"/>
        </w:rPr>
        <w:t> </w:t>
      </w:r>
      <w:r>
        <w:rPr/>
        <w:t>Furthermore,</w:t>
      </w:r>
      <w:r>
        <w:rPr>
          <w:spacing w:val="-23"/>
        </w:rPr>
        <w:t> </w:t>
      </w:r>
      <w:r>
        <w:rPr/>
        <w:t>antibiotics</w:t>
      </w:r>
      <w:r>
        <w:rPr>
          <w:spacing w:val="-26"/>
        </w:rPr>
        <w:t> </w:t>
      </w:r>
      <w:r>
        <w:rPr/>
        <w:t>can</w:t>
      </w:r>
      <w:r>
        <w:rPr>
          <w:spacing w:val="-23"/>
        </w:rPr>
        <w:t> </w:t>
      </w:r>
      <w:r>
        <w:rPr/>
        <w:t>destroy the vital intestinal bacteria and thus paralyse our intestinal</w:t>
      </w:r>
      <w:r>
        <w:rPr>
          <w:spacing w:val="-5"/>
        </w:rPr>
        <w:t> </w:t>
      </w:r>
      <w:r>
        <w:rPr/>
        <w:t>flora.</w:t>
      </w:r>
    </w:p>
    <w:p>
      <w:pPr>
        <w:pStyle w:val="BodyText"/>
        <w:spacing w:before="7"/>
        <w:rPr>
          <w:sz w:val="42"/>
        </w:rPr>
      </w:pPr>
    </w:p>
    <w:p>
      <w:pPr>
        <w:pStyle w:val="Heading2"/>
      </w:pPr>
      <w:r>
        <w:rPr/>
        <w:t>Colostrum as a healthy alternative to antibiotics</w:t>
      </w:r>
    </w:p>
    <w:p>
      <w:pPr>
        <w:pStyle w:val="BodyText"/>
        <w:spacing w:line="276" w:lineRule="auto" w:before="305"/>
        <w:ind w:left="477" w:right="133"/>
        <w:jc w:val="both"/>
      </w:pPr>
      <w:r>
        <w:rPr/>
        <w:t>It</w:t>
      </w:r>
      <w:r>
        <w:rPr>
          <w:spacing w:val="-8"/>
        </w:rPr>
        <w:t> </w:t>
      </w:r>
      <w:r>
        <w:rPr/>
        <w:t>is</w:t>
      </w:r>
      <w:r>
        <w:rPr>
          <w:spacing w:val="-9"/>
        </w:rPr>
        <w:t> </w:t>
      </w:r>
      <w:r>
        <w:rPr/>
        <w:t>precisely</w:t>
      </w:r>
      <w:r>
        <w:rPr>
          <w:spacing w:val="-10"/>
        </w:rPr>
        <w:t> </w:t>
      </w:r>
      <w:r>
        <w:rPr/>
        <w:t>at</w:t>
      </w:r>
      <w:r>
        <w:rPr>
          <w:spacing w:val="-10"/>
        </w:rPr>
        <w:t> </w:t>
      </w:r>
      <w:r>
        <w:rPr/>
        <w:t>this</w:t>
      </w:r>
      <w:r>
        <w:rPr>
          <w:spacing w:val="-9"/>
        </w:rPr>
        <w:t> </w:t>
      </w:r>
      <w:r>
        <w:rPr/>
        <w:t>point</w:t>
      </w:r>
      <w:r>
        <w:rPr>
          <w:spacing w:val="-9"/>
        </w:rPr>
        <w:t> </w:t>
      </w:r>
      <w:r>
        <w:rPr/>
        <w:t>that</w:t>
      </w:r>
      <w:r>
        <w:rPr>
          <w:spacing w:val="-7"/>
        </w:rPr>
        <w:t> </w:t>
      </w:r>
      <w:r>
        <w:rPr/>
        <w:t>natural</w:t>
      </w:r>
      <w:r>
        <w:rPr>
          <w:spacing w:val="-8"/>
        </w:rPr>
        <w:t> </w:t>
      </w:r>
      <w:r>
        <w:rPr/>
        <w:t>products</w:t>
      </w:r>
      <w:r>
        <w:rPr>
          <w:spacing w:val="-9"/>
        </w:rPr>
        <w:t> </w:t>
      </w:r>
      <w:r>
        <w:rPr/>
        <w:t>such</w:t>
      </w:r>
      <w:r>
        <w:rPr>
          <w:spacing w:val="-6"/>
        </w:rPr>
        <w:t> </w:t>
      </w:r>
      <w:r>
        <w:rPr/>
        <w:t>as</w:t>
      </w:r>
      <w:r>
        <w:rPr>
          <w:spacing w:val="-10"/>
        </w:rPr>
        <w:t> </w:t>
      </w:r>
      <w:r>
        <w:rPr/>
        <w:t>colostrum</w:t>
      </w:r>
      <w:r>
        <w:rPr>
          <w:spacing w:val="-9"/>
        </w:rPr>
        <w:t> </w:t>
      </w:r>
      <w:r>
        <w:rPr/>
        <w:t>or</w:t>
      </w:r>
      <w:r>
        <w:rPr>
          <w:spacing w:val="-8"/>
        </w:rPr>
        <w:t> </w:t>
      </w:r>
      <w:r>
        <w:rPr/>
        <w:t>grapefruit seed</w:t>
      </w:r>
      <w:r>
        <w:rPr>
          <w:spacing w:val="-10"/>
        </w:rPr>
        <w:t> </w:t>
      </w:r>
      <w:r>
        <w:rPr/>
        <w:t>extract</w:t>
      </w:r>
      <w:r>
        <w:rPr>
          <w:spacing w:val="-11"/>
        </w:rPr>
        <w:t> </w:t>
      </w:r>
      <w:r>
        <w:rPr/>
        <w:t>gain</w:t>
      </w:r>
      <w:r>
        <w:rPr>
          <w:spacing w:val="-8"/>
        </w:rPr>
        <w:t> </w:t>
      </w:r>
      <w:r>
        <w:rPr/>
        <w:t>in</w:t>
      </w:r>
      <w:r>
        <w:rPr>
          <w:spacing w:val="-8"/>
        </w:rPr>
        <w:t> </w:t>
      </w:r>
      <w:r>
        <w:rPr/>
        <w:t>importance,</w:t>
      </w:r>
      <w:r>
        <w:rPr>
          <w:spacing w:val="-9"/>
        </w:rPr>
        <w:t> </w:t>
      </w:r>
      <w:r>
        <w:rPr/>
        <w:t>as</w:t>
      </w:r>
      <w:r>
        <w:rPr>
          <w:spacing w:val="-9"/>
        </w:rPr>
        <w:t> </w:t>
      </w:r>
      <w:r>
        <w:rPr/>
        <w:t>these</w:t>
      </w:r>
      <w:r>
        <w:rPr>
          <w:spacing w:val="-10"/>
        </w:rPr>
        <w:t> </w:t>
      </w:r>
      <w:r>
        <w:rPr/>
        <w:t>have</w:t>
      </w:r>
      <w:r>
        <w:rPr>
          <w:spacing w:val="-8"/>
        </w:rPr>
        <w:t> </w:t>
      </w:r>
      <w:r>
        <w:rPr/>
        <w:t>no</w:t>
      </w:r>
      <w:r>
        <w:rPr>
          <w:spacing w:val="-10"/>
        </w:rPr>
        <w:t> </w:t>
      </w:r>
      <w:r>
        <w:rPr/>
        <w:t>known</w:t>
      </w:r>
      <w:r>
        <w:rPr>
          <w:spacing w:val="-8"/>
        </w:rPr>
        <w:t> </w:t>
      </w:r>
      <w:r>
        <w:rPr/>
        <w:t>side</w:t>
      </w:r>
      <w:r>
        <w:rPr>
          <w:spacing w:val="-8"/>
        </w:rPr>
        <w:t> </w:t>
      </w:r>
      <w:r>
        <w:rPr/>
        <w:t>effects,</w:t>
      </w:r>
      <w:r>
        <w:rPr>
          <w:spacing w:val="-8"/>
        </w:rPr>
        <w:t> </w:t>
      </w:r>
      <w:r>
        <w:rPr/>
        <w:t>but</w:t>
      </w:r>
      <w:r>
        <w:rPr>
          <w:spacing w:val="-9"/>
        </w:rPr>
        <w:t> </w:t>
      </w:r>
      <w:r>
        <w:rPr/>
        <w:t>unlike antibiotics are very successful and not only fight bacteria, but all imaginable pathogens.</w:t>
      </w:r>
    </w:p>
    <w:p>
      <w:pPr>
        <w:pStyle w:val="BodyText"/>
        <w:spacing w:line="276" w:lineRule="auto" w:before="239"/>
        <w:ind w:left="477" w:right="137"/>
        <w:jc w:val="both"/>
      </w:pPr>
      <w:r>
        <w:rPr/>
        <w:t>The numerous antibodies present in colostrum (scientists have found 37) pro- tect our bodies from</w:t>
      </w:r>
    </w:p>
    <w:p>
      <w:pPr>
        <w:pStyle w:val="ListParagraph"/>
        <w:numPr>
          <w:ilvl w:val="0"/>
          <w:numId w:val="26"/>
        </w:numPr>
        <w:tabs>
          <w:tab w:pos="1198" w:val="left" w:leader="none"/>
        </w:tabs>
        <w:spacing w:line="240" w:lineRule="auto" w:before="242" w:after="0"/>
        <w:ind w:left="1048" w:right="0" w:hanging="571"/>
        <w:jc w:val="both"/>
        <w:rPr>
          <w:sz w:val="38"/>
        </w:rPr>
      </w:pPr>
      <w:r>
        <w:rPr>
          <w:sz w:val="38"/>
        </w:rPr>
        <w:t>Salmonella</w:t>
      </w:r>
    </w:p>
    <w:p>
      <w:pPr>
        <w:pStyle w:val="ListParagraph"/>
        <w:numPr>
          <w:ilvl w:val="0"/>
          <w:numId w:val="26"/>
        </w:numPr>
        <w:tabs>
          <w:tab w:pos="1198" w:val="left" w:leader="none"/>
        </w:tabs>
        <w:spacing w:line="240" w:lineRule="auto" w:before="184" w:after="0"/>
        <w:ind w:left="1048" w:right="0" w:hanging="571"/>
        <w:jc w:val="both"/>
        <w:rPr>
          <w:sz w:val="38"/>
        </w:rPr>
      </w:pPr>
      <w:r>
        <w:rPr>
          <w:sz w:val="38"/>
        </w:rPr>
        <w:t>E. coli</w:t>
      </w:r>
    </w:p>
    <w:p>
      <w:pPr>
        <w:pStyle w:val="BodyText"/>
        <w:rPr>
          <w:sz w:val="27"/>
        </w:rPr>
      </w:pPr>
      <w:r>
        <w:rPr/>
        <w:pict>
          <v:line style="position:absolute;mso-position-horizontal-relative:page;mso-position-vertical-relative:paragraph;z-index:2096;mso-wrap-distance-left:0;mso-wrap-distance-right:0" from="63.863998pt,17.574976pt" to="207.883998pt,17.574976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215 </w:t>
      </w:r>
      <w:hyperlink r:id="rId83">
        <w:r>
          <w:rPr>
            <w:sz w:val="20"/>
          </w:rPr>
          <w:t>http://www.naturheilt.com/Inhalt/Antibio.htm</w:t>
        </w:r>
      </w:hyperlink>
    </w:p>
    <w:p>
      <w:pPr>
        <w:spacing w:after="0"/>
        <w:jc w:val="left"/>
        <w:rPr>
          <w:sz w:val="20"/>
        </w:rPr>
        <w:sectPr>
          <w:pgSz w:w="14270" w:h="16850"/>
          <w:pgMar w:header="0" w:footer="1891" w:top="1600" w:bottom="2080" w:left="800" w:right="1280"/>
        </w:sectPr>
      </w:pPr>
    </w:p>
    <w:p>
      <w:pPr>
        <w:pStyle w:val="BodyText"/>
        <w:spacing w:before="10"/>
        <w:rPr>
          <w:sz w:val="8"/>
        </w:rPr>
      </w:pPr>
    </w:p>
    <w:p>
      <w:pPr>
        <w:pStyle w:val="ListParagraph"/>
        <w:numPr>
          <w:ilvl w:val="0"/>
          <w:numId w:val="26"/>
        </w:numPr>
        <w:tabs>
          <w:tab w:pos="1197" w:val="left" w:leader="none"/>
          <w:tab w:pos="1198" w:val="left" w:leader="none"/>
        </w:tabs>
        <w:spacing w:line="240" w:lineRule="auto" w:before="83" w:after="0"/>
        <w:ind w:left="1048" w:right="0" w:hanging="571"/>
        <w:jc w:val="left"/>
        <w:rPr>
          <w:sz w:val="38"/>
        </w:rPr>
      </w:pPr>
      <w:r>
        <w:rPr>
          <w:sz w:val="38"/>
        </w:rPr>
        <w:t>Bacteroides fragilis (colon</w:t>
      </w:r>
      <w:r>
        <w:rPr>
          <w:spacing w:val="2"/>
          <w:sz w:val="38"/>
        </w:rPr>
        <w:t> </w:t>
      </w:r>
      <w:r>
        <w:rPr>
          <w:sz w:val="38"/>
        </w:rPr>
        <w:t>bacteria)</w:t>
      </w:r>
    </w:p>
    <w:p>
      <w:pPr>
        <w:pStyle w:val="ListParagraph"/>
        <w:numPr>
          <w:ilvl w:val="0"/>
          <w:numId w:val="26"/>
        </w:numPr>
        <w:tabs>
          <w:tab w:pos="1197" w:val="left" w:leader="none"/>
          <w:tab w:pos="1198" w:val="left" w:leader="none"/>
        </w:tabs>
        <w:spacing w:line="240" w:lineRule="auto" w:before="184" w:after="0"/>
        <w:ind w:left="1048" w:right="0" w:hanging="571"/>
        <w:jc w:val="left"/>
        <w:rPr>
          <w:sz w:val="38"/>
        </w:rPr>
      </w:pPr>
      <w:r>
        <w:rPr>
          <w:sz w:val="38"/>
        </w:rPr>
        <w:t>Shigella</w:t>
      </w:r>
    </w:p>
    <w:p>
      <w:pPr>
        <w:pStyle w:val="ListParagraph"/>
        <w:numPr>
          <w:ilvl w:val="0"/>
          <w:numId w:val="26"/>
        </w:numPr>
        <w:tabs>
          <w:tab w:pos="1197" w:val="left" w:leader="none"/>
          <w:tab w:pos="1198" w:val="left" w:leader="none"/>
        </w:tabs>
        <w:spacing w:line="240" w:lineRule="auto" w:before="186" w:after="0"/>
        <w:ind w:left="1048" w:right="0" w:hanging="571"/>
        <w:jc w:val="left"/>
        <w:rPr>
          <w:sz w:val="38"/>
        </w:rPr>
      </w:pPr>
      <w:r>
        <w:rPr>
          <w:sz w:val="38"/>
        </w:rPr>
        <w:t>Enteroviruses</w:t>
      </w:r>
    </w:p>
    <w:p>
      <w:pPr>
        <w:pStyle w:val="ListParagraph"/>
        <w:numPr>
          <w:ilvl w:val="0"/>
          <w:numId w:val="26"/>
        </w:numPr>
        <w:tabs>
          <w:tab w:pos="1197" w:val="left" w:leader="none"/>
          <w:tab w:pos="1198" w:val="left" w:leader="none"/>
        </w:tabs>
        <w:spacing w:line="240" w:lineRule="auto" w:before="183" w:after="0"/>
        <w:ind w:left="1048" w:right="0" w:hanging="571"/>
        <w:jc w:val="left"/>
        <w:rPr>
          <w:sz w:val="38"/>
        </w:rPr>
      </w:pPr>
      <w:r>
        <w:rPr>
          <w:sz w:val="38"/>
        </w:rPr>
        <w:t>E. coli</w:t>
      </w:r>
    </w:p>
    <w:p>
      <w:pPr>
        <w:pStyle w:val="ListParagraph"/>
        <w:numPr>
          <w:ilvl w:val="0"/>
          <w:numId w:val="26"/>
        </w:numPr>
        <w:tabs>
          <w:tab w:pos="1197" w:val="left" w:leader="none"/>
          <w:tab w:pos="1198" w:val="left" w:leader="none"/>
        </w:tabs>
        <w:spacing w:line="240" w:lineRule="auto" w:before="184" w:after="0"/>
        <w:ind w:left="1048" w:right="0" w:hanging="571"/>
        <w:jc w:val="left"/>
        <w:rPr>
          <w:sz w:val="38"/>
        </w:rPr>
      </w:pPr>
      <w:r>
        <w:rPr>
          <w:sz w:val="38"/>
        </w:rPr>
        <w:t>Rotavirus</w:t>
      </w:r>
    </w:p>
    <w:p>
      <w:pPr>
        <w:pStyle w:val="ListParagraph"/>
        <w:numPr>
          <w:ilvl w:val="0"/>
          <w:numId w:val="26"/>
        </w:numPr>
        <w:tabs>
          <w:tab w:pos="1197" w:val="left" w:leader="none"/>
          <w:tab w:pos="1198" w:val="left" w:leader="none"/>
        </w:tabs>
        <w:spacing w:line="240" w:lineRule="auto" w:before="184" w:after="0"/>
        <w:ind w:left="1048" w:right="0" w:hanging="571"/>
        <w:jc w:val="left"/>
        <w:rPr>
          <w:sz w:val="38"/>
        </w:rPr>
      </w:pPr>
      <w:r>
        <w:rPr>
          <w:sz w:val="38"/>
        </w:rPr>
        <w:t>Poliomyelitis</w:t>
      </w:r>
    </w:p>
    <w:p>
      <w:pPr>
        <w:pStyle w:val="ListParagraph"/>
        <w:numPr>
          <w:ilvl w:val="0"/>
          <w:numId w:val="26"/>
        </w:numPr>
        <w:tabs>
          <w:tab w:pos="1197" w:val="left" w:leader="none"/>
          <w:tab w:pos="1198" w:val="left" w:leader="none"/>
        </w:tabs>
        <w:spacing w:line="240" w:lineRule="auto" w:before="184" w:after="0"/>
        <w:ind w:left="1048" w:right="0" w:hanging="571"/>
        <w:jc w:val="left"/>
        <w:rPr>
          <w:sz w:val="38"/>
        </w:rPr>
      </w:pPr>
      <w:r>
        <w:rPr>
          <w:sz w:val="38"/>
        </w:rPr>
        <w:t>Herpes</w:t>
      </w:r>
      <w:r>
        <w:rPr>
          <w:spacing w:val="1"/>
          <w:sz w:val="38"/>
        </w:rPr>
        <w:t> </w:t>
      </w:r>
      <w:r>
        <w:rPr>
          <w:sz w:val="38"/>
        </w:rPr>
        <w:t>simplex</w:t>
      </w:r>
    </w:p>
    <w:p>
      <w:pPr>
        <w:pStyle w:val="ListParagraph"/>
        <w:numPr>
          <w:ilvl w:val="0"/>
          <w:numId w:val="26"/>
        </w:numPr>
        <w:tabs>
          <w:tab w:pos="1197" w:val="left" w:leader="none"/>
          <w:tab w:pos="1198" w:val="left" w:leader="none"/>
        </w:tabs>
        <w:spacing w:line="240" w:lineRule="auto" w:before="186" w:after="0"/>
        <w:ind w:left="1048" w:right="0" w:hanging="571"/>
        <w:jc w:val="left"/>
        <w:rPr>
          <w:sz w:val="38"/>
        </w:rPr>
      </w:pPr>
      <w:r>
        <w:rPr>
          <w:sz w:val="38"/>
        </w:rPr>
        <w:t>Bordetella pertussis (whooping cough</w:t>
      </w:r>
      <w:r>
        <w:rPr>
          <w:spacing w:val="-2"/>
          <w:sz w:val="38"/>
        </w:rPr>
        <w:t> </w:t>
      </w:r>
      <w:r>
        <w:rPr>
          <w:sz w:val="38"/>
        </w:rPr>
        <w:t>bacteria)</w:t>
      </w:r>
    </w:p>
    <w:p>
      <w:pPr>
        <w:pStyle w:val="ListParagraph"/>
        <w:numPr>
          <w:ilvl w:val="0"/>
          <w:numId w:val="26"/>
        </w:numPr>
        <w:tabs>
          <w:tab w:pos="1197" w:val="left" w:leader="none"/>
          <w:tab w:pos="1198" w:val="left" w:leader="none"/>
        </w:tabs>
        <w:spacing w:line="240" w:lineRule="auto" w:before="183" w:after="0"/>
        <w:ind w:left="1048" w:right="0" w:hanging="571"/>
        <w:jc w:val="left"/>
        <w:rPr>
          <w:sz w:val="38"/>
        </w:rPr>
      </w:pPr>
      <w:r>
        <w:rPr>
          <w:sz w:val="38"/>
        </w:rPr>
        <w:t>Vibrio cholerae</w:t>
      </w:r>
    </w:p>
    <w:p>
      <w:pPr>
        <w:pStyle w:val="ListParagraph"/>
        <w:numPr>
          <w:ilvl w:val="0"/>
          <w:numId w:val="26"/>
        </w:numPr>
        <w:tabs>
          <w:tab w:pos="1197" w:val="left" w:leader="none"/>
          <w:tab w:pos="1198" w:val="left" w:leader="none"/>
        </w:tabs>
        <w:spacing w:line="240" w:lineRule="auto" w:before="184" w:after="0"/>
        <w:ind w:left="1048" w:right="0" w:hanging="571"/>
        <w:jc w:val="left"/>
        <w:rPr>
          <w:sz w:val="38"/>
        </w:rPr>
      </w:pPr>
      <w:r>
        <w:rPr>
          <w:sz w:val="38"/>
        </w:rPr>
        <w:t>RS-Virus (Respiratory syncytial</w:t>
      </w:r>
      <w:r>
        <w:rPr>
          <w:spacing w:val="-3"/>
          <w:sz w:val="38"/>
        </w:rPr>
        <w:t> </w:t>
      </w:r>
      <w:r>
        <w:rPr>
          <w:sz w:val="38"/>
        </w:rPr>
        <w:t>virus)</w:t>
      </w:r>
    </w:p>
    <w:p>
      <w:pPr>
        <w:pStyle w:val="ListParagraph"/>
        <w:numPr>
          <w:ilvl w:val="0"/>
          <w:numId w:val="26"/>
        </w:numPr>
        <w:tabs>
          <w:tab w:pos="1197" w:val="left" w:leader="none"/>
          <w:tab w:pos="1198" w:val="left" w:leader="none"/>
        </w:tabs>
        <w:spacing w:line="240" w:lineRule="auto" w:before="184" w:after="0"/>
        <w:ind w:left="1048" w:right="0" w:hanging="571"/>
        <w:jc w:val="left"/>
        <w:rPr>
          <w:sz w:val="38"/>
        </w:rPr>
      </w:pPr>
      <w:r>
        <w:rPr>
          <w:sz w:val="38"/>
        </w:rPr>
        <w:t>Candida albicans and other</w:t>
      </w:r>
      <w:r>
        <w:rPr>
          <w:spacing w:val="2"/>
          <w:sz w:val="38"/>
        </w:rPr>
        <w:t> </w:t>
      </w:r>
      <w:r>
        <w:rPr>
          <w:sz w:val="38"/>
        </w:rPr>
        <w:t>yeasts</w:t>
      </w:r>
    </w:p>
    <w:p>
      <w:pPr>
        <w:pStyle w:val="ListParagraph"/>
        <w:numPr>
          <w:ilvl w:val="0"/>
          <w:numId w:val="26"/>
        </w:numPr>
        <w:tabs>
          <w:tab w:pos="1197" w:val="left" w:leader="none"/>
          <w:tab w:pos="1198" w:val="left" w:leader="none"/>
        </w:tabs>
        <w:spacing w:line="240" w:lineRule="auto" w:before="184" w:after="0"/>
        <w:ind w:left="1048" w:right="0" w:hanging="571"/>
        <w:jc w:val="left"/>
        <w:rPr>
          <w:sz w:val="38"/>
        </w:rPr>
      </w:pPr>
      <w:r>
        <w:rPr>
          <w:sz w:val="38"/>
        </w:rPr>
        <w:t>Clostridium</w:t>
      </w:r>
      <w:r>
        <w:rPr>
          <w:spacing w:val="-1"/>
          <w:sz w:val="38"/>
        </w:rPr>
        <w:t> </w:t>
      </w:r>
      <w:r>
        <w:rPr>
          <w:sz w:val="38"/>
        </w:rPr>
        <w:t>tetani</w:t>
      </w:r>
    </w:p>
    <w:p>
      <w:pPr>
        <w:pStyle w:val="ListParagraph"/>
        <w:numPr>
          <w:ilvl w:val="0"/>
          <w:numId w:val="26"/>
        </w:numPr>
        <w:tabs>
          <w:tab w:pos="1197" w:val="left" w:leader="none"/>
          <w:tab w:pos="1198" w:val="left" w:leader="none"/>
        </w:tabs>
        <w:spacing w:line="240" w:lineRule="auto" w:before="186" w:after="0"/>
        <w:ind w:left="1048" w:right="0" w:hanging="571"/>
        <w:jc w:val="left"/>
        <w:rPr>
          <w:sz w:val="38"/>
        </w:rPr>
      </w:pPr>
      <w:r>
        <w:rPr>
          <w:sz w:val="38"/>
        </w:rPr>
        <w:t>Coxsackie</w:t>
      </w:r>
      <w:r>
        <w:rPr>
          <w:spacing w:val="-2"/>
          <w:sz w:val="38"/>
        </w:rPr>
        <w:t> </w:t>
      </w:r>
      <w:r>
        <w:rPr>
          <w:sz w:val="38"/>
        </w:rPr>
        <w:t>viruses</w:t>
      </w:r>
    </w:p>
    <w:p>
      <w:pPr>
        <w:pStyle w:val="ListParagraph"/>
        <w:numPr>
          <w:ilvl w:val="0"/>
          <w:numId w:val="26"/>
        </w:numPr>
        <w:tabs>
          <w:tab w:pos="1197" w:val="left" w:leader="none"/>
          <w:tab w:pos="1198" w:val="left" w:leader="none"/>
        </w:tabs>
        <w:spacing w:line="240" w:lineRule="auto" w:before="183" w:after="0"/>
        <w:ind w:left="1048" w:right="0" w:hanging="571"/>
        <w:jc w:val="left"/>
        <w:rPr>
          <w:sz w:val="38"/>
        </w:rPr>
      </w:pPr>
      <w:r>
        <w:rPr>
          <w:sz w:val="38"/>
        </w:rPr>
        <w:t>Steptococcus mutans</w:t>
      </w:r>
    </w:p>
    <w:p>
      <w:pPr>
        <w:pStyle w:val="ListParagraph"/>
        <w:numPr>
          <w:ilvl w:val="0"/>
          <w:numId w:val="26"/>
        </w:numPr>
        <w:tabs>
          <w:tab w:pos="1197" w:val="left" w:leader="none"/>
          <w:tab w:pos="1198" w:val="left" w:leader="none"/>
        </w:tabs>
        <w:spacing w:line="240" w:lineRule="auto" w:before="184" w:after="0"/>
        <w:ind w:left="1048" w:right="0" w:hanging="571"/>
        <w:jc w:val="left"/>
        <w:rPr>
          <w:sz w:val="38"/>
        </w:rPr>
      </w:pPr>
      <w:r>
        <w:rPr>
          <w:sz w:val="38"/>
        </w:rPr>
        <w:t>ECHO and alpha</w:t>
      </w:r>
      <w:r>
        <w:rPr>
          <w:spacing w:val="-2"/>
          <w:sz w:val="38"/>
        </w:rPr>
        <w:t> </w:t>
      </w:r>
      <w:r>
        <w:rPr>
          <w:sz w:val="38"/>
        </w:rPr>
        <w:t>viruses</w:t>
      </w:r>
    </w:p>
    <w:p>
      <w:pPr>
        <w:pStyle w:val="ListParagraph"/>
        <w:numPr>
          <w:ilvl w:val="0"/>
          <w:numId w:val="26"/>
        </w:numPr>
        <w:tabs>
          <w:tab w:pos="1197" w:val="left" w:leader="none"/>
          <w:tab w:pos="1198" w:val="left" w:leader="none"/>
        </w:tabs>
        <w:spacing w:line="240" w:lineRule="auto" w:before="184" w:after="0"/>
        <w:ind w:left="1048" w:right="0" w:hanging="571"/>
        <w:jc w:val="left"/>
        <w:rPr>
          <w:sz w:val="38"/>
        </w:rPr>
      </w:pPr>
      <w:r>
        <w:rPr>
          <w:sz w:val="38"/>
        </w:rPr>
        <w:t>Steptococcus pneumoniae</w:t>
      </w:r>
    </w:p>
    <w:p>
      <w:pPr>
        <w:pStyle w:val="ListParagraph"/>
        <w:numPr>
          <w:ilvl w:val="0"/>
          <w:numId w:val="26"/>
        </w:numPr>
        <w:tabs>
          <w:tab w:pos="1197" w:val="left" w:leader="none"/>
          <w:tab w:pos="1198" w:val="left" w:leader="none"/>
        </w:tabs>
        <w:spacing w:line="240" w:lineRule="auto" w:before="186" w:after="0"/>
        <w:ind w:left="1048" w:right="0" w:hanging="571"/>
        <w:jc w:val="left"/>
        <w:rPr>
          <w:sz w:val="38"/>
        </w:rPr>
      </w:pPr>
      <w:r>
        <w:rPr>
          <w:sz w:val="38"/>
        </w:rPr>
        <w:t>Clostridium</w:t>
      </w:r>
      <w:r>
        <w:rPr>
          <w:spacing w:val="-1"/>
          <w:sz w:val="38"/>
        </w:rPr>
        <w:t> </w:t>
      </w:r>
      <w:r>
        <w:rPr>
          <w:sz w:val="38"/>
        </w:rPr>
        <w:t>diphtheria</w:t>
      </w:r>
    </w:p>
    <w:p>
      <w:pPr>
        <w:pStyle w:val="ListParagraph"/>
        <w:numPr>
          <w:ilvl w:val="0"/>
          <w:numId w:val="26"/>
        </w:numPr>
        <w:tabs>
          <w:tab w:pos="1197" w:val="left" w:leader="none"/>
          <w:tab w:pos="1198" w:val="left" w:leader="none"/>
        </w:tabs>
        <w:spacing w:line="240" w:lineRule="auto" w:before="184" w:after="0"/>
        <w:ind w:left="1048" w:right="0" w:hanging="571"/>
        <w:jc w:val="left"/>
        <w:rPr>
          <w:sz w:val="38"/>
        </w:rPr>
      </w:pPr>
      <w:r>
        <w:rPr>
          <w:sz w:val="38"/>
        </w:rPr>
        <w:t>Clostridium difficile toxins A and B</w:t>
      </w:r>
    </w:p>
    <w:p>
      <w:pPr>
        <w:spacing w:after="0" w:line="240" w:lineRule="auto"/>
        <w:jc w:val="left"/>
        <w:rPr>
          <w:sz w:val="38"/>
        </w:rPr>
        <w:sectPr>
          <w:pgSz w:w="14270" w:h="16850"/>
          <w:pgMar w:header="0" w:footer="1891" w:top="1600" w:bottom="2080" w:left="800" w:right="1280"/>
        </w:sectPr>
      </w:pPr>
    </w:p>
    <w:p>
      <w:pPr>
        <w:pStyle w:val="BodyText"/>
        <w:spacing w:line="276" w:lineRule="auto" w:before="181"/>
        <w:ind w:left="477" w:right="133"/>
        <w:jc w:val="both"/>
      </w:pPr>
      <w:r>
        <w:rPr/>
        <w:t>This</w:t>
      </w:r>
      <w:r>
        <w:rPr>
          <w:spacing w:val="-7"/>
        </w:rPr>
        <w:t> </w:t>
      </w:r>
      <w:r>
        <w:rPr/>
        <w:t>is</w:t>
      </w:r>
      <w:r>
        <w:rPr>
          <w:spacing w:val="-7"/>
        </w:rPr>
        <w:t> </w:t>
      </w:r>
      <w:r>
        <w:rPr/>
        <w:t>a</w:t>
      </w:r>
      <w:r>
        <w:rPr>
          <w:spacing w:val="-9"/>
        </w:rPr>
        <w:t> </w:t>
      </w:r>
      <w:r>
        <w:rPr/>
        <w:t>formidable</w:t>
      </w:r>
      <w:r>
        <w:rPr>
          <w:spacing w:val="-7"/>
        </w:rPr>
        <w:t> </w:t>
      </w:r>
      <w:r>
        <w:rPr/>
        <w:t>range</w:t>
      </w:r>
      <w:r>
        <w:rPr>
          <w:spacing w:val="-7"/>
        </w:rPr>
        <w:t> </w:t>
      </w:r>
      <w:r>
        <w:rPr/>
        <w:t>of</w:t>
      </w:r>
      <w:r>
        <w:rPr>
          <w:spacing w:val="-9"/>
        </w:rPr>
        <w:t> </w:t>
      </w:r>
      <w:r>
        <w:rPr/>
        <w:t>viruses,</w:t>
      </w:r>
      <w:r>
        <w:rPr>
          <w:spacing w:val="-4"/>
        </w:rPr>
        <w:t> </w:t>
      </w:r>
      <w:r>
        <w:rPr/>
        <w:t>bacteria</w:t>
      </w:r>
      <w:r>
        <w:rPr>
          <w:spacing w:val="-9"/>
        </w:rPr>
        <w:t> </w:t>
      </w:r>
      <w:r>
        <w:rPr/>
        <w:t>and</w:t>
      </w:r>
      <w:r>
        <w:rPr>
          <w:spacing w:val="-7"/>
        </w:rPr>
        <w:t> </w:t>
      </w:r>
      <w:r>
        <w:rPr/>
        <w:t>fungi.</w:t>
      </w:r>
      <w:r>
        <w:rPr>
          <w:spacing w:val="-7"/>
        </w:rPr>
        <w:t> </w:t>
      </w:r>
      <w:r>
        <w:rPr/>
        <w:t>In</w:t>
      </w:r>
      <w:r>
        <w:rPr>
          <w:spacing w:val="-6"/>
        </w:rPr>
        <w:t> </w:t>
      </w:r>
      <w:r>
        <w:rPr/>
        <w:t>contrast</w:t>
      </w:r>
      <w:r>
        <w:rPr>
          <w:spacing w:val="-7"/>
        </w:rPr>
        <w:t> </w:t>
      </w:r>
      <w:r>
        <w:rPr/>
        <w:t>to</w:t>
      </w:r>
      <w:r>
        <w:rPr>
          <w:spacing w:val="-7"/>
        </w:rPr>
        <w:t> </w:t>
      </w:r>
      <w:r>
        <w:rPr/>
        <w:t>conven- tional antibiotics, colostrum protects us against numerous parasite species that make life difficult for us and lead to numerous</w:t>
      </w:r>
      <w:r>
        <w:rPr>
          <w:spacing w:val="-4"/>
        </w:rPr>
        <w:t> </w:t>
      </w:r>
      <w:r>
        <w:rPr/>
        <w:t>diseases.</w:t>
      </w:r>
    </w:p>
    <w:p>
      <w:pPr>
        <w:pStyle w:val="BodyText"/>
        <w:spacing w:line="276" w:lineRule="auto" w:before="242"/>
        <w:ind w:left="477" w:right="133"/>
        <w:jc w:val="both"/>
      </w:pPr>
      <w:r>
        <w:rPr/>
        <w:t>As is well known, antibiotics also attack the bacteria of our intestinal flora, i.e. bacteria</w:t>
      </w:r>
      <w:r>
        <w:rPr>
          <w:spacing w:val="-23"/>
        </w:rPr>
        <w:t> </w:t>
      </w:r>
      <w:r>
        <w:rPr/>
        <w:t>that</w:t>
      </w:r>
      <w:r>
        <w:rPr>
          <w:spacing w:val="-21"/>
        </w:rPr>
        <w:t> </w:t>
      </w:r>
      <w:r>
        <w:rPr/>
        <w:t>are</w:t>
      </w:r>
      <w:r>
        <w:rPr>
          <w:spacing w:val="-24"/>
        </w:rPr>
        <w:t> </w:t>
      </w:r>
      <w:r>
        <w:rPr/>
        <w:t>of</w:t>
      </w:r>
      <w:r>
        <w:rPr>
          <w:spacing w:val="-21"/>
        </w:rPr>
        <w:t> </w:t>
      </w:r>
      <w:r>
        <w:rPr/>
        <w:t>immense</w:t>
      </w:r>
      <w:r>
        <w:rPr>
          <w:spacing w:val="-21"/>
        </w:rPr>
        <w:t> </w:t>
      </w:r>
      <w:r>
        <w:rPr/>
        <w:t>importance</w:t>
      </w:r>
      <w:r>
        <w:rPr>
          <w:spacing w:val="-20"/>
        </w:rPr>
        <w:t> </w:t>
      </w:r>
      <w:r>
        <w:rPr/>
        <w:t>for</w:t>
      </w:r>
      <w:r>
        <w:rPr>
          <w:spacing w:val="-22"/>
        </w:rPr>
        <w:t> </w:t>
      </w:r>
      <w:r>
        <w:rPr/>
        <w:t>our</w:t>
      </w:r>
      <w:r>
        <w:rPr>
          <w:spacing w:val="-23"/>
        </w:rPr>
        <w:t> </w:t>
      </w:r>
      <w:r>
        <w:rPr/>
        <w:t>digestion.</w:t>
      </w:r>
      <w:r>
        <w:rPr>
          <w:spacing w:val="-21"/>
        </w:rPr>
        <w:t> </w:t>
      </w:r>
      <w:r>
        <w:rPr/>
        <w:t>This</w:t>
      </w:r>
      <w:r>
        <w:rPr>
          <w:spacing w:val="-21"/>
        </w:rPr>
        <w:t> </w:t>
      </w:r>
      <w:r>
        <w:rPr/>
        <w:t>is</w:t>
      </w:r>
      <w:r>
        <w:rPr>
          <w:spacing w:val="-23"/>
        </w:rPr>
        <w:t> </w:t>
      </w:r>
      <w:r>
        <w:rPr/>
        <w:t>ruled</w:t>
      </w:r>
      <w:r>
        <w:rPr>
          <w:spacing w:val="-22"/>
        </w:rPr>
        <w:t> </w:t>
      </w:r>
      <w:r>
        <w:rPr/>
        <w:t>out</w:t>
      </w:r>
      <w:r>
        <w:rPr>
          <w:spacing w:val="-22"/>
        </w:rPr>
        <w:t> </w:t>
      </w:r>
      <w:r>
        <w:rPr/>
        <w:t>with colostrum.</w:t>
      </w:r>
    </w:p>
    <w:p>
      <w:pPr>
        <w:pStyle w:val="BodyText"/>
        <w:spacing w:before="6"/>
        <w:rPr>
          <w:sz w:val="42"/>
        </w:rPr>
      </w:pPr>
    </w:p>
    <w:p>
      <w:pPr>
        <w:pStyle w:val="BodyText"/>
        <w:spacing w:line="276" w:lineRule="auto"/>
        <w:ind w:left="477" w:right="138"/>
        <w:jc w:val="both"/>
      </w:pPr>
      <w:r>
        <w:rPr/>
        <w:t>While</w:t>
      </w:r>
      <w:r>
        <w:rPr>
          <w:spacing w:val="-12"/>
        </w:rPr>
        <w:t> </w:t>
      </w:r>
      <w:r>
        <w:rPr/>
        <w:t>many</w:t>
      </w:r>
      <w:r>
        <w:rPr>
          <w:spacing w:val="-10"/>
        </w:rPr>
        <w:t> </w:t>
      </w:r>
      <w:r>
        <w:rPr/>
        <w:t>people</w:t>
      </w:r>
      <w:r>
        <w:rPr>
          <w:spacing w:val="-11"/>
        </w:rPr>
        <w:t> </w:t>
      </w:r>
      <w:r>
        <w:rPr/>
        <w:t>are</w:t>
      </w:r>
      <w:r>
        <w:rPr>
          <w:spacing w:val="-10"/>
        </w:rPr>
        <w:t> </w:t>
      </w:r>
      <w:r>
        <w:rPr/>
        <w:t>allergic</w:t>
      </w:r>
      <w:r>
        <w:rPr>
          <w:spacing w:val="-10"/>
        </w:rPr>
        <w:t> </w:t>
      </w:r>
      <w:r>
        <w:rPr/>
        <w:t>to</w:t>
      </w:r>
      <w:r>
        <w:rPr>
          <w:spacing w:val="-11"/>
        </w:rPr>
        <w:t> </w:t>
      </w:r>
      <w:r>
        <w:rPr/>
        <w:t>antibiotics,</w:t>
      </w:r>
      <w:r>
        <w:rPr>
          <w:spacing w:val="-10"/>
        </w:rPr>
        <w:t> </w:t>
      </w:r>
      <w:r>
        <w:rPr/>
        <w:t>allergic</w:t>
      </w:r>
      <w:r>
        <w:rPr>
          <w:spacing w:val="-10"/>
        </w:rPr>
        <w:t> </w:t>
      </w:r>
      <w:r>
        <w:rPr/>
        <w:t>reactions</w:t>
      </w:r>
      <w:r>
        <w:rPr>
          <w:spacing w:val="-11"/>
        </w:rPr>
        <w:t> </w:t>
      </w:r>
      <w:r>
        <w:rPr/>
        <w:t>to</w:t>
      </w:r>
      <w:r>
        <w:rPr>
          <w:spacing w:val="-15"/>
        </w:rPr>
        <w:t> </w:t>
      </w:r>
      <w:r>
        <w:rPr/>
        <w:t>colostrum</w:t>
      </w:r>
      <w:r>
        <w:rPr>
          <w:spacing w:val="-10"/>
        </w:rPr>
        <w:t> </w:t>
      </w:r>
      <w:r>
        <w:rPr/>
        <w:t>are unknown.</w:t>
      </w:r>
    </w:p>
    <w:p>
      <w:pPr>
        <w:pStyle w:val="BodyText"/>
        <w:spacing w:before="8"/>
        <w:rPr>
          <w:sz w:val="42"/>
        </w:rPr>
      </w:pPr>
    </w:p>
    <w:p>
      <w:pPr>
        <w:pStyle w:val="Heading2"/>
        <w:spacing w:before="1"/>
        <w:jc w:val="both"/>
      </w:pPr>
      <w:r>
        <w:rPr/>
        <w:t>Colostrum to counteract ageing</w:t>
      </w:r>
    </w:p>
    <w:p>
      <w:pPr>
        <w:pStyle w:val="BodyText"/>
        <w:spacing w:before="4"/>
        <w:rPr>
          <w:b/>
          <w:sz w:val="48"/>
        </w:rPr>
      </w:pPr>
    </w:p>
    <w:p>
      <w:pPr>
        <w:pStyle w:val="BodyText"/>
        <w:spacing w:line="276" w:lineRule="auto"/>
        <w:ind w:left="477" w:right="133"/>
        <w:jc w:val="both"/>
      </w:pPr>
      <w:r>
        <w:rPr/>
        <w:t>The preventive effect of colostrum against ageing leads to visible and invisible rejuvenation</w:t>
      </w:r>
      <w:r>
        <w:rPr>
          <w:spacing w:val="-19"/>
        </w:rPr>
        <w:t> </w:t>
      </w:r>
      <w:r>
        <w:rPr/>
        <w:t>of</w:t>
      </w:r>
      <w:r>
        <w:rPr>
          <w:spacing w:val="-20"/>
        </w:rPr>
        <w:t> </w:t>
      </w:r>
      <w:r>
        <w:rPr/>
        <w:t>the</w:t>
      </w:r>
      <w:r>
        <w:rPr>
          <w:spacing w:val="-18"/>
        </w:rPr>
        <w:t> </w:t>
      </w:r>
      <w:r>
        <w:rPr/>
        <w:t>organism.</w:t>
      </w:r>
      <w:r>
        <w:rPr>
          <w:spacing w:val="-21"/>
        </w:rPr>
        <w:t> </w:t>
      </w:r>
      <w:r>
        <w:rPr/>
        <w:t>Externally,</w:t>
      </w:r>
      <w:r>
        <w:rPr>
          <w:spacing w:val="-18"/>
        </w:rPr>
        <w:t> </w:t>
      </w:r>
      <w:r>
        <w:rPr/>
        <w:t>rejuvenation</w:t>
      </w:r>
      <w:r>
        <w:rPr>
          <w:spacing w:val="-19"/>
        </w:rPr>
        <w:t> </w:t>
      </w:r>
      <w:r>
        <w:rPr/>
        <w:t>is</w:t>
      </w:r>
      <w:r>
        <w:rPr>
          <w:spacing w:val="-19"/>
        </w:rPr>
        <w:t> </w:t>
      </w:r>
      <w:r>
        <w:rPr/>
        <w:t>evident</w:t>
      </w:r>
      <w:r>
        <w:rPr>
          <w:spacing w:val="-22"/>
        </w:rPr>
        <w:t> </w:t>
      </w:r>
      <w:r>
        <w:rPr/>
        <w:t>due</w:t>
      </w:r>
      <w:r>
        <w:rPr>
          <w:spacing w:val="-20"/>
        </w:rPr>
        <w:t> </w:t>
      </w:r>
      <w:r>
        <w:rPr/>
        <w:t>to</w:t>
      </w:r>
      <w:r>
        <w:rPr>
          <w:spacing w:val="-19"/>
        </w:rPr>
        <w:t> </w:t>
      </w:r>
      <w:r>
        <w:rPr/>
        <w:t>younger skin and the disappearance of wrinkles and age spots; internally, the decreased muscle mass increases, the body fat percentage decreases, and the bone</w:t>
      </w:r>
      <w:r>
        <w:rPr>
          <w:spacing w:val="-61"/>
        </w:rPr>
        <w:t> </w:t>
      </w:r>
      <w:r>
        <w:rPr/>
        <w:t>density increases.</w:t>
      </w:r>
    </w:p>
    <w:p>
      <w:pPr>
        <w:pStyle w:val="BodyText"/>
        <w:spacing w:before="1"/>
        <w:rPr>
          <w:sz w:val="41"/>
        </w:rPr>
      </w:pPr>
    </w:p>
    <w:p>
      <w:pPr>
        <w:pStyle w:val="Heading1"/>
        <w:spacing w:before="0"/>
        <w:jc w:val="both"/>
      </w:pPr>
      <w:r>
        <w:rPr/>
        <w:t>How does colostrum work against</w:t>
      </w:r>
      <w:r>
        <w:rPr>
          <w:spacing w:val="-57"/>
        </w:rPr>
        <w:t> </w:t>
      </w:r>
      <w:r>
        <w:rPr/>
        <w:t>ageing?</w:t>
      </w:r>
    </w:p>
    <w:p>
      <w:pPr>
        <w:pStyle w:val="BodyText"/>
        <w:spacing w:line="276" w:lineRule="auto" w:before="300"/>
        <w:ind w:left="477" w:right="135"/>
        <w:jc w:val="both"/>
      </w:pPr>
      <w:r>
        <w:rPr/>
        <w:t>Colostrum has many ingredients and properties which counteract the physio- logical ageing of our body. The antioxidant properties protect our cells from degeneration and the growth factors (e.g. IGF-1) accelerate the regeneration</w:t>
      </w:r>
      <w:r>
        <w:rPr>
          <w:spacing w:val="-57"/>
        </w:rPr>
        <w:t> </w:t>
      </w:r>
      <w:r>
        <w:rPr/>
        <w:t>of our tissue.</w:t>
      </w:r>
    </w:p>
    <w:p>
      <w:pPr>
        <w:spacing w:after="0" w:line="276" w:lineRule="auto"/>
        <w:jc w:val="both"/>
        <w:sectPr>
          <w:pgSz w:w="14270" w:h="16850"/>
          <w:pgMar w:header="0" w:footer="1891" w:top="1600" w:bottom="2080" w:left="800" w:right="1280"/>
        </w:sectPr>
      </w:pPr>
    </w:p>
    <w:p>
      <w:pPr>
        <w:pStyle w:val="Heading1"/>
        <w:spacing w:before="164"/>
      </w:pPr>
      <w:r>
        <w:rPr/>
        <w:t>Age enzyme ‘telomerase’</w:t>
      </w:r>
    </w:p>
    <w:p>
      <w:pPr>
        <w:pStyle w:val="BodyText"/>
        <w:spacing w:line="276" w:lineRule="auto" w:before="299"/>
        <w:ind w:left="477" w:right="132"/>
        <w:jc w:val="both"/>
      </w:pPr>
      <w:r>
        <w:rPr/>
        <w:t>Colostrum contains an enzyme called ‘telomerase’ which anti-ageing scientists believe may slow the ageing process. This enzyme is produced by the body in the</w:t>
      </w:r>
      <w:r>
        <w:rPr>
          <w:spacing w:val="-10"/>
        </w:rPr>
        <w:t> </w:t>
      </w:r>
      <w:r>
        <w:rPr/>
        <w:t>smallest</w:t>
      </w:r>
      <w:r>
        <w:rPr>
          <w:spacing w:val="-10"/>
        </w:rPr>
        <w:t> </w:t>
      </w:r>
      <w:r>
        <w:rPr/>
        <w:t>amounts</w:t>
      </w:r>
      <w:r>
        <w:rPr>
          <w:spacing w:val="-11"/>
        </w:rPr>
        <w:t> </w:t>
      </w:r>
      <w:r>
        <w:rPr/>
        <w:t>and</w:t>
      </w:r>
      <w:r>
        <w:rPr>
          <w:spacing w:val="-10"/>
        </w:rPr>
        <w:t> </w:t>
      </w:r>
      <w:r>
        <w:rPr/>
        <w:t>prevents</w:t>
      </w:r>
      <w:r>
        <w:rPr>
          <w:spacing w:val="-11"/>
        </w:rPr>
        <w:t> </w:t>
      </w:r>
      <w:r>
        <w:rPr/>
        <w:t>inter</w:t>
      </w:r>
      <w:r>
        <w:rPr>
          <w:spacing w:val="-12"/>
        </w:rPr>
        <w:t> </w:t>
      </w:r>
      <w:r>
        <w:rPr/>
        <w:t>alia</w:t>
      </w:r>
      <w:r>
        <w:rPr>
          <w:spacing w:val="-11"/>
        </w:rPr>
        <w:t> </w:t>
      </w:r>
      <w:r>
        <w:rPr/>
        <w:t>the</w:t>
      </w:r>
      <w:r>
        <w:rPr>
          <w:spacing w:val="-10"/>
        </w:rPr>
        <w:t> </w:t>
      </w:r>
      <w:r>
        <w:rPr/>
        <w:t>shortening</w:t>
      </w:r>
      <w:r>
        <w:rPr>
          <w:spacing w:val="-12"/>
        </w:rPr>
        <w:t> </w:t>
      </w:r>
      <w:r>
        <w:rPr/>
        <w:t>of</w:t>
      </w:r>
      <w:r>
        <w:rPr>
          <w:spacing w:val="-10"/>
        </w:rPr>
        <w:t> </w:t>
      </w:r>
      <w:r>
        <w:rPr/>
        <w:t>the</w:t>
      </w:r>
      <w:r>
        <w:rPr>
          <w:spacing w:val="-14"/>
        </w:rPr>
        <w:t> </w:t>
      </w:r>
      <w:r>
        <w:rPr/>
        <w:t>chromosome strands</w:t>
      </w:r>
      <w:r>
        <w:rPr>
          <w:spacing w:val="-10"/>
        </w:rPr>
        <w:t> </w:t>
      </w:r>
      <w:r>
        <w:rPr/>
        <w:t>during</w:t>
      </w:r>
      <w:r>
        <w:rPr>
          <w:spacing w:val="-9"/>
        </w:rPr>
        <w:t> </w:t>
      </w:r>
      <w:r>
        <w:rPr/>
        <w:t>cell</w:t>
      </w:r>
      <w:r>
        <w:rPr>
          <w:spacing w:val="-11"/>
        </w:rPr>
        <w:t> </w:t>
      </w:r>
      <w:r>
        <w:rPr/>
        <w:t>division.</w:t>
      </w:r>
      <w:r>
        <w:rPr>
          <w:spacing w:val="-8"/>
        </w:rPr>
        <w:t> </w:t>
      </w:r>
      <w:r>
        <w:rPr/>
        <w:t>This</w:t>
      </w:r>
      <w:r>
        <w:rPr>
          <w:spacing w:val="-9"/>
        </w:rPr>
        <w:t> </w:t>
      </w:r>
      <w:r>
        <w:rPr/>
        <w:t>process</w:t>
      </w:r>
      <w:r>
        <w:rPr>
          <w:spacing w:val="-10"/>
        </w:rPr>
        <w:t> </w:t>
      </w:r>
      <w:r>
        <w:rPr/>
        <w:t>promotes</w:t>
      </w:r>
      <w:r>
        <w:rPr>
          <w:spacing w:val="-9"/>
        </w:rPr>
        <w:t> </w:t>
      </w:r>
      <w:r>
        <w:rPr/>
        <w:t>the</w:t>
      </w:r>
      <w:r>
        <w:rPr>
          <w:spacing w:val="-9"/>
        </w:rPr>
        <w:t> </w:t>
      </w:r>
      <w:r>
        <w:rPr/>
        <w:t>healing</w:t>
      </w:r>
      <w:r>
        <w:rPr>
          <w:spacing w:val="-9"/>
        </w:rPr>
        <w:t> </w:t>
      </w:r>
      <w:r>
        <w:rPr/>
        <w:t>process</w:t>
      </w:r>
      <w:r>
        <w:rPr>
          <w:spacing w:val="-10"/>
        </w:rPr>
        <w:t> </w:t>
      </w:r>
      <w:r>
        <w:rPr/>
        <w:t>of</w:t>
      </w:r>
      <w:r>
        <w:rPr>
          <w:spacing w:val="-9"/>
        </w:rPr>
        <w:t> </w:t>
      </w:r>
      <w:r>
        <w:rPr/>
        <w:t>dam- aged cells, and many scientists cite the ageing of cells as having the ability to restore</w:t>
      </w:r>
      <w:r>
        <w:rPr>
          <w:spacing w:val="-17"/>
        </w:rPr>
        <w:t> </w:t>
      </w:r>
      <w:r>
        <w:rPr/>
        <w:t>them,</w:t>
      </w:r>
      <w:r>
        <w:rPr>
          <w:spacing w:val="-17"/>
        </w:rPr>
        <w:t> </w:t>
      </w:r>
      <w:r>
        <w:rPr/>
        <w:t>as</w:t>
      </w:r>
      <w:r>
        <w:rPr>
          <w:spacing w:val="-22"/>
        </w:rPr>
        <w:t> </w:t>
      </w:r>
      <w:r>
        <w:rPr/>
        <w:t>evidenced</w:t>
      </w:r>
      <w:r>
        <w:rPr>
          <w:spacing w:val="-17"/>
        </w:rPr>
        <w:t> </w:t>
      </w:r>
      <w:r>
        <w:rPr/>
        <w:t>by</w:t>
      </w:r>
      <w:r>
        <w:rPr>
          <w:spacing w:val="-17"/>
        </w:rPr>
        <w:t> </w:t>
      </w:r>
      <w:r>
        <w:rPr/>
        <w:t>experiments</w:t>
      </w:r>
      <w:r>
        <w:rPr>
          <w:spacing w:val="-17"/>
        </w:rPr>
        <w:t> </w:t>
      </w:r>
      <w:r>
        <w:rPr/>
        <w:t>on</w:t>
      </w:r>
      <w:r>
        <w:rPr>
          <w:spacing w:val="-19"/>
        </w:rPr>
        <w:t> </w:t>
      </w:r>
      <w:r>
        <w:rPr/>
        <w:t>people</w:t>
      </w:r>
      <w:r>
        <w:rPr>
          <w:spacing w:val="-17"/>
        </w:rPr>
        <w:t> </w:t>
      </w:r>
      <w:r>
        <w:rPr/>
        <w:t>with</w:t>
      </w:r>
      <w:r>
        <w:rPr>
          <w:spacing w:val="-10"/>
        </w:rPr>
        <w:t> </w:t>
      </w:r>
      <w:r>
        <w:rPr/>
        <w:t>‘old-age</w:t>
      </w:r>
      <w:r>
        <w:rPr>
          <w:spacing w:val="-18"/>
        </w:rPr>
        <w:t> </w:t>
      </w:r>
      <w:r>
        <w:rPr/>
        <w:t>disease’</w:t>
      </w:r>
      <w:r>
        <w:rPr>
          <w:spacing w:val="-19"/>
        </w:rPr>
        <w:t> </w:t>
      </w:r>
      <w:r>
        <w:rPr/>
        <w:t>who lack the enzyme ‘telomerase’ altogether.</w:t>
      </w:r>
    </w:p>
    <w:p>
      <w:pPr>
        <w:pStyle w:val="Heading1"/>
      </w:pPr>
      <w:r>
        <w:rPr/>
        <w:t>Colostrum repairs our genetic material DNA and RNA</w:t>
      </w:r>
    </w:p>
    <w:p>
      <w:pPr>
        <w:pStyle w:val="BodyText"/>
        <w:spacing w:line="276" w:lineRule="auto" w:before="299"/>
        <w:ind w:left="477" w:right="131"/>
        <w:jc w:val="both"/>
      </w:pPr>
      <w:r>
        <w:rPr/>
        <w:t>In</w:t>
      </w:r>
      <w:r>
        <w:rPr>
          <w:spacing w:val="-7"/>
        </w:rPr>
        <w:t> </w:t>
      </w:r>
      <w:r>
        <w:rPr/>
        <w:t>addition</w:t>
      </w:r>
      <w:r>
        <w:rPr>
          <w:spacing w:val="-7"/>
        </w:rPr>
        <w:t> </w:t>
      </w:r>
      <w:r>
        <w:rPr/>
        <w:t>to</w:t>
      </w:r>
      <w:r>
        <w:rPr>
          <w:spacing w:val="-7"/>
        </w:rPr>
        <w:t> </w:t>
      </w:r>
      <w:r>
        <w:rPr/>
        <w:t>these</w:t>
      </w:r>
      <w:r>
        <w:rPr>
          <w:spacing w:val="-8"/>
        </w:rPr>
        <w:t> </w:t>
      </w:r>
      <w:r>
        <w:rPr/>
        <w:t>factors,</w:t>
      </w:r>
      <w:r>
        <w:rPr>
          <w:spacing w:val="-6"/>
        </w:rPr>
        <w:t> </w:t>
      </w:r>
      <w:r>
        <w:rPr/>
        <w:t>colostrum</w:t>
      </w:r>
      <w:r>
        <w:rPr>
          <w:spacing w:val="-8"/>
        </w:rPr>
        <w:t> </w:t>
      </w:r>
      <w:r>
        <w:rPr/>
        <w:t>has</w:t>
      </w:r>
      <w:r>
        <w:rPr>
          <w:spacing w:val="-7"/>
        </w:rPr>
        <w:t> </w:t>
      </w:r>
      <w:r>
        <w:rPr/>
        <w:t>the</w:t>
      </w:r>
      <w:r>
        <w:rPr>
          <w:spacing w:val="-6"/>
        </w:rPr>
        <w:t> </w:t>
      </w:r>
      <w:r>
        <w:rPr/>
        <w:t>so-called</w:t>
      </w:r>
      <w:r>
        <w:rPr>
          <w:spacing w:val="-8"/>
        </w:rPr>
        <w:t> </w:t>
      </w:r>
      <w:r>
        <w:rPr/>
        <w:t>transformation</w:t>
      </w:r>
      <w:r>
        <w:rPr>
          <w:spacing w:val="-7"/>
        </w:rPr>
        <w:t> </w:t>
      </w:r>
      <w:r>
        <w:rPr/>
        <w:t>growth factors ‘TgF-a’ and ‘TgF-b’. These growth factors have the ability to repair the DNA and RNA, our genetic</w:t>
      </w:r>
      <w:r>
        <w:rPr>
          <w:spacing w:val="3"/>
        </w:rPr>
        <w:t> </w:t>
      </w:r>
      <w:r>
        <w:rPr/>
        <w:t>material.</w:t>
      </w:r>
    </w:p>
    <w:p>
      <w:pPr>
        <w:pStyle w:val="Heading1"/>
        <w:spacing w:before="222"/>
      </w:pPr>
      <w:r>
        <w:rPr/>
        <w:t>Epithelial growth factor EGF stimulates skin growth and renewal</w:t>
      </w:r>
    </w:p>
    <w:p>
      <w:pPr>
        <w:pStyle w:val="BodyText"/>
        <w:spacing w:line="276" w:lineRule="auto" w:before="299"/>
        <w:ind w:left="477" w:right="137"/>
        <w:jc w:val="both"/>
      </w:pPr>
      <w:r>
        <w:rPr/>
        <w:t>The epithelial growth factor EGF contained in colostrum stimulates skin cells and</w:t>
      </w:r>
      <w:r>
        <w:rPr>
          <w:spacing w:val="-12"/>
        </w:rPr>
        <w:t> </w:t>
      </w:r>
      <w:r>
        <w:rPr/>
        <w:t>thus</w:t>
      </w:r>
      <w:r>
        <w:rPr>
          <w:spacing w:val="-12"/>
        </w:rPr>
        <w:t> </w:t>
      </w:r>
      <w:r>
        <w:rPr/>
        <w:t>skin</w:t>
      </w:r>
      <w:r>
        <w:rPr>
          <w:spacing w:val="-11"/>
        </w:rPr>
        <w:t> </w:t>
      </w:r>
      <w:r>
        <w:rPr/>
        <w:t>renewal.</w:t>
      </w:r>
      <w:r>
        <w:rPr>
          <w:spacing w:val="-13"/>
        </w:rPr>
        <w:t> </w:t>
      </w:r>
      <w:r>
        <w:rPr/>
        <w:t>The</w:t>
      </w:r>
      <w:r>
        <w:rPr>
          <w:spacing w:val="-12"/>
        </w:rPr>
        <w:t> </w:t>
      </w:r>
      <w:r>
        <w:rPr/>
        <w:t>skin</w:t>
      </w:r>
      <w:r>
        <w:rPr>
          <w:spacing w:val="-13"/>
        </w:rPr>
        <w:t> </w:t>
      </w:r>
      <w:r>
        <w:rPr/>
        <w:t>becomes</w:t>
      </w:r>
      <w:r>
        <w:rPr>
          <w:spacing w:val="-12"/>
        </w:rPr>
        <w:t> </w:t>
      </w:r>
      <w:r>
        <w:rPr/>
        <w:t>noticeably</w:t>
      </w:r>
      <w:r>
        <w:rPr>
          <w:spacing w:val="-13"/>
        </w:rPr>
        <w:t> </w:t>
      </w:r>
      <w:r>
        <w:rPr/>
        <w:t>smoother</w:t>
      </w:r>
      <w:r>
        <w:rPr>
          <w:spacing w:val="-12"/>
        </w:rPr>
        <w:t> </w:t>
      </w:r>
      <w:r>
        <w:rPr/>
        <w:t>and</w:t>
      </w:r>
      <w:r>
        <w:rPr>
          <w:spacing w:val="-13"/>
        </w:rPr>
        <w:t> </w:t>
      </w:r>
      <w:r>
        <w:rPr/>
        <w:t>more</w:t>
      </w:r>
      <w:r>
        <w:rPr>
          <w:spacing w:val="-14"/>
        </w:rPr>
        <w:t> </w:t>
      </w:r>
      <w:r>
        <w:rPr/>
        <w:t>supple in no time and wrinkles</w:t>
      </w:r>
      <w:r>
        <w:rPr>
          <w:spacing w:val="2"/>
        </w:rPr>
        <w:t> </w:t>
      </w:r>
      <w:r>
        <w:rPr/>
        <w:t>disappear.</w:t>
      </w:r>
    </w:p>
    <w:p>
      <w:pPr>
        <w:pStyle w:val="BodyText"/>
        <w:spacing w:before="9"/>
        <w:rPr>
          <w:sz w:val="42"/>
        </w:rPr>
      </w:pPr>
    </w:p>
    <w:p>
      <w:pPr>
        <w:pStyle w:val="Heading2"/>
      </w:pPr>
      <w:r>
        <w:rPr/>
        <w:t>Building muscle with colostrum</w:t>
      </w:r>
    </w:p>
    <w:p>
      <w:pPr>
        <w:pStyle w:val="BodyText"/>
        <w:spacing w:line="276" w:lineRule="auto" w:before="305"/>
        <w:ind w:left="477" w:right="136"/>
        <w:jc w:val="both"/>
      </w:pPr>
      <w:r>
        <w:rPr/>
        <w:t>Last but not least, colostrum enjoys a strong fanbase among bodybuilders and strength athletes as well as athletes who want to improve their power output and have discovered the positive properties of colostrum for muscle growth</w:t>
      </w:r>
    </w:p>
    <w:p>
      <w:pPr>
        <w:spacing w:after="0" w:line="276" w:lineRule="auto"/>
        <w:jc w:val="both"/>
        <w:sectPr>
          <w:pgSz w:w="14270" w:h="16850"/>
          <w:pgMar w:header="0" w:footer="1891" w:top="1600" w:bottom="2080" w:left="800" w:right="1280"/>
        </w:sectPr>
      </w:pPr>
    </w:p>
    <w:p>
      <w:pPr>
        <w:pStyle w:val="BodyText"/>
        <w:spacing w:before="181"/>
        <w:ind w:left="477"/>
      </w:pPr>
      <w:r>
        <w:rPr/>
        <w:t>and strength enhancement.</w:t>
      </w:r>
    </w:p>
    <w:p>
      <w:pPr>
        <w:pStyle w:val="BodyText"/>
        <w:spacing w:line="276" w:lineRule="auto" w:before="305"/>
        <w:ind w:left="477" w:right="132"/>
        <w:jc w:val="both"/>
      </w:pPr>
      <w:r>
        <w:rPr/>
        <w:t>Colostrum's popularity in bodybuilding has been fuelled by expert articles in </w:t>
      </w:r>
      <w:r>
        <w:rPr>
          <w:i/>
        </w:rPr>
        <w:t>Iron Man </w:t>
      </w:r>
      <w:r>
        <w:rPr/>
        <w:t>and </w:t>
      </w:r>
      <w:r>
        <w:rPr>
          <w:i/>
        </w:rPr>
        <w:t>Muscle &amp; Fitness</w:t>
      </w:r>
      <w:r>
        <w:rPr/>
        <w:t>, publications which are considered reputable in the scene (see below). The benefits are obvious, as the use of anabolic steroids and</w:t>
      </w:r>
      <w:r>
        <w:rPr>
          <w:spacing w:val="-12"/>
        </w:rPr>
        <w:t> </w:t>
      </w:r>
      <w:r>
        <w:rPr/>
        <w:t>growth</w:t>
      </w:r>
      <w:r>
        <w:rPr>
          <w:spacing w:val="-11"/>
        </w:rPr>
        <w:t> </w:t>
      </w:r>
      <w:r>
        <w:rPr/>
        <w:t>hormones</w:t>
      </w:r>
      <w:r>
        <w:rPr>
          <w:spacing w:val="-11"/>
        </w:rPr>
        <w:t> </w:t>
      </w:r>
      <w:r>
        <w:rPr/>
        <w:t>can</w:t>
      </w:r>
      <w:r>
        <w:rPr>
          <w:spacing w:val="-13"/>
        </w:rPr>
        <w:t> </w:t>
      </w:r>
      <w:r>
        <w:rPr/>
        <w:t>lead</w:t>
      </w:r>
      <w:r>
        <w:rPr>
          <w:spacing w:val="-13"/>
        </w:rPr>
        <w:t> </w:t>
      </w:r>
      <w:r>
        <w:rPr/>
        <w:t>to</w:t>
      </w:r>
      <w:r>
        <w:rPr>
          <w:spacing w:val="-11"/>
        </w:rPr>
        <w:t> </w:t>
      </w:r>
      <w:r>
        <w:rPr/>
        <w:t>irreversible</w:t>
      </w:r>
      <w:r>
        <w:rPr>
          <w:spacing w:val="-15"/>
        </w:rPr>
        <w:t> </w:t>
      </w:r>
      <w:r>
        <w:rPr/>
        <w:t>damage</w:t>
      </w:r>
      <w:r>
        <w:rPr>
          <w:spacing w:val="-13"/>
        </w:rPr>
        <w:t> </w:t>
      </w:r>
      <w:r>
        <w:rPr/>
        <w:t>to</w:t>
      </w:r>
      <w:r>
        <w:rPr>
          <w:spacing w:val="-11"/>
        </w:rPr>
        <w:t> </w:t>
      </w:r>
      <w:r>
        <w:rPr/>
        <w:t>health</w:t>
      </w:r>
      <w:r>
        <w:rPr>
          <w:spacing w:val="-12"/>
        </w:rPr>
        <w:t> </w:t>
      </w:r>
      <w:r>
        <w:rPr/>
        <w:t>and</w:t>
      </w:r>
      <w:r>
        <w:rPr>
          <w:spacing w:val="-11"/>
        </w:rPr>
        <w:t> </w:t>
      </w:r>
      <w:r>
        <w:rPr/>
        <w:t>even</w:t>
      </w:r>
      <w:r>
        <w:rPr>
          <w:spacing w:val="-13"/>
        </w:rPr>
        <w:t> </w:t>
      </w:r>
      <w:r>
        <w:rPr/>
        <w:t>prem- ature death. The excessive consumption of anabolic steroids has a particularly serious effect on our cardiovascular system, the liver, our endocrine gland sys- tem and our reproductive organs. For a manageable period of five or ten</w:t>
      </w:r>
      <w:r>
        <w:rPr>
          <w:spacing w:val="-54"/>
        </w:rPr>
        <w:t> </w:t>
      </w:r>
      <w:r>
        <w:rPr/>
        <w:t>years, in</w:t>
      </w:r>
      <w:r>
        <w:rPr>
          <w:spacing w:val="-16"/>
        </w:rPr>
        <w:t> </w:t>
      </w:r>
      <w:r>
        <w:rPr/>
        <w:t>which</w:t>
      </w:r>
      <w:r>
        <w:rPr>
          <w:spacing w:val="-15"/>
        </w:rPr>
        <w:t> </w:t>
      </w:r>
      <w:r>
        <w:rPr/>
        <w:t>one</w:t>
      </w:r>
      <w:r>
        <w:rPr>
          <w:spacing w:val="-19"/>
        </w:rPr>
        <w:t> </w:t>
      </w:r>
      <w:r>
        <w:rPr/>
        <w:t>strides,</w:t>
      </w:r>
      <w:r>
        <w:rPr>
          <w:spacing w:val="-15"/>
        </w:rPr>
        <w:t> </w:t>
      </w:r>
      <w:r>
        <w:rPr/>
        <w:t>massive</w:t>
      </w:r>
      <w:r>
        <w:rPr>
          <w:spacing w:val="-17"/>
        </w:rPr>
        <w:t> </w:t>
      </w:r>
      <w:r>
        <w:rPr/>
        <w:t>and</w:t>
      </w:r>
      <w:r>
        <w:rPr>
          <w:spacing w:val="-19"/>
        </w:rPr>
        <w:t> </w:t>
      </w:r>
      <w:r>
        <w:rPr/>
        <w:t>defined,</w:t>
      </w:r>
      <w:r>
        <w:rPr>
          <w:spacing w:val="-15"/>
        </w:rPr>
        <w:t> </w:t>
      </w:r>
      <w:r>
        <w:rPr/>
        <w:t>through</w:t>
      </w:r>
      <w:r>
        <w:rPr>
          <w:spacing w:val="-16"/>
        </w:rPr>
        <w:t> </w:t>
      </w:r>
      <w:r>
        <w:rPr/>
        <w:t>the</w:t>
      </w:r>
      <w:r>
        <w:rPr>
          <w:spacing w:val="-18"/>
        </w:rPr>
        <w:t> </w:t>
      </w:r>
      <w:r>
        <w:rPr/>
        <w:t>area,</w:t>
      </w:r>
      <w:r>
        <w:rPr>
          <w:spacing w:val="-16"/>
        </w:rPr>
        <w:t> </w:t>
      </w:r>
      <w:r>
        <w:rPr/>
        <w:t>many</w:t>
      </w:r>
      <w:r>
        <w:rPr>
          <w:spacing w:val="-20"/>
        </w:rPr>
        <w:t> </w:t>
      </w:r>
      <w:r>
        <w:rPr/>
        <w:t>anabolic</w:t>
      </w:r>
      <w:r>
        <w:rPr>
          <w:spacing w:val="-17"/>
        </w:rPr>
        <w:t> </w:t>
      </w:r>
      <w:r>
        <w:rPr/>
        <w:t>ster- oids bear the price of a heart attack, liver damage, endocrine disruption and impotence and infertility. Cosmetic problems, such as acne and hair loss, are given tertiary importance in the light of the reported side effects of regular or excessive steroid</w:t>
      </w:r>
      <w:r>
        <w:rPr>
          <w:spacing w:val="-3"/>
        </w:rPr>
        <w:t> </w:t>
      </w:r>
      <w:r>
        <w:rPr/>
        <w:t>abuse.</w:t>
      </w:r>
    </w:p>
    <w:p>
      <w:pPr>
        <w:pStyle w:val="BodyText"/>
        <w:spacing w:line="276" w:lineRule="auto" w:before="241"/>
        <w:ind w:left="477" w:right="131"/>
        <w:jc w:val="both"/>
      </w:pPr>
      <w:r>
        <w:rPr/>
        <w:t>And so, natural bodybuilders or strength athletes, as well as steroid users look- ing for a healthy alternative to anabolic steroids and growth hormones, will be pleased to hear that the colostrum of cattle and goats seems, like no other nat- ural dietary supplement, to achieve the effects of steroids and, according to</w:t>
      </w:r>
      <w:r>
        <w:rPr>
          <w:spacing w:val="-41"/>
        </w:rPr>
        <w:t> </w:t>
      </w:r>
      <w:r>
        <w:rPr/>
        <w:t>the statement</w:t>
      </w:r>
      <w:r>
        <w:rPr>
          <w:spacing w:val="-8"/>
        </w:rPr>
        <w:t> </w:t>
      </w:r>
      <w:r>
        <w:rPr/>
        <w:t>of</w:t>
      </w:r>
      <w:r>
        <w:rPr>
          <w:spacing w:val="-9"/>
        </w:rPr>
        <w:t> </w:t>
      </w:r>
      <w:r>
        <w:rPr/>
        <w:t>some</w:t>
      </w:r>
      <w:r>
        <w:rPr>
          <w:spacing w:val="-7"/>
        </w:rPr>
        <w:t> </w:t>
      </w:r>
      <w:r>
        <w:rPr/>
        <w:t>weight-gain</w:t>
      </w:r>
      <w:r>
        <w:rPr>
          <w:spacing w:val="-7"/>
        </w:rPr>
        <w:t> </w:t>
      </w:r>
      <w:r>
        <w:rPr/>
        <w:t>experts,</w:t>
      </w:r>
      <w:r>
        <w:rPr>
          <w:spacing w:val="-6"/>
        </w:rPr>
        <w:t> </w:t>
      </w:r>
      <w:r>
        <w:rPr/>
        <w:t>can</w:t>
      </w:r>
      <w:r>
        <w:rPr>
          <w:spacing w:val="-8"/>
        </w:rPr>
        <w:t> </w:t>
      </w:r>
      <w:r>
        <w:rPr/>
        <w:t>even</w:t>
      </w:r>
      <w:r>
        <w:rPr>
          <w:spacing w:val="-7"/>
        </w:rPr>
        <w:t> </w:t>
      </w:r>
      <w:r>
        <w:rPr/>
        <w:t>surpass</w:t>
      </w:r>
      <w:r>
        <w:rPr>
          <w:spacing w:val="-8"/>
        </w:rPr>
        <w:t> </w:t>
      </w:r>
      <w:r>
        <w:rPr/>
        <w:t>them</w:t>
      </w:r>
      <w:r>
        <w:rPr>
          <w:spacing w:val="-8"/>
        </w:rPr>
        <w:t> </w:t>
      </w:r>
      <w:r>
        <w:rPr/>
        <w:t>(see</w:t>
      </w:r>
      <w:r>
        <w:rPr>
          <w:spacing w:val="-6"/>
        </w:rPr>
        <w:t> </w:t>
      </w:r>
      <w:r>
        <w:rPr/>
        <w:t>article</w:t>
      </w:r>
      <w:r>
        <w:rPr>
          <w:spacing w:val="-9"/>
        </w:rPr>
        <w:t> </w:t>
      </w:r>
      <w:r>
        <w:rPr/>
        <w:t>from </w:t>
      </w:r>
      <w:r>
        <w:rPr>
          <w:i/>
        </w:rPr>
        <w:t>Iron Man</w:t>
      </w:r>
      <w:r>
        <w:rPr>
          <w:i/>
          <w:spacing w:val="2"/>
        </w:rPr>
        <w:t> </w:t>
      </w:r>
      <w:r>
        <w:rPr/>
        <w:t>below).</w:t>
      </w:r>
    </w:p>
    <w:p>
      <w:pPr>
        <w:spacing w:before="240"/>
        <w:ind w:left="477" w:right="0" w:firstLine="0"/>
        <w:jc w:val="left"/>
        <w:rPr>
          <w:i/>
          <w:sz w:val="38"/>
        </w:rPr>
      </w:pPr>
      <w:r>
        <w:rPr>
          <w:i/>
          <w:sz w:val="38"/>
        </w:rPr>
        <w:t>Growth factors in colostrum</w:t>
      </w:r>
    </w:p>
    <w:p>
      <w:pPr>
        <w:pStyle w:val="BodyText"/>
        <w:spacing w:line="276" w:lineRule="auto" w:before="305"/>
        <w:ind w:left="477" w:right="138"/>
        <w:jc w:val="both"/>
      </w:pPr>
      <w:r>
        <w:rPr/>
        <w:t>The growth factors contained in colostrum allow an increase in performance and strength and muscle pains without side effects.</w:t>
      </w:r>
    </w:p>
    <w:p>
      <w:pPr>
        <w:spacing w:after="0" w:line="276" w:lineRule="auto"/>
        <w:jc w:val="both"/>
        <w:sectPr>
          <w:pgSz w:w="14270" w:h="16850"/>
          <w:pgMar w:header="0" w:footer="1891" w:top="1600" w:bottom="2080" w:left="800" w:right="1280"/>
        </w:sectPr>
      </w:pPr>
    </w:p>
    <w:p>
      <w:pPr>
        <w:pStyle w:val="Heading1"/>
        <w:spacing w:before="164"/>
      </w:pPr>
      <w:r>
        <w:rPr/>
        <w:t>IGF-1 as a growth stimulator in</w:t>
      </w:r>
      <w:r>
        <w:rPr>
          <w:spacing w:val="-66"/>
        </w:rPr>
        <w:t> </w:t>
      </w:r>
      <w:r>
        <w:rPr/>
        <w:t>colostrum</w:t>
      </w:r>
    </w:p>
    <w:p>
      <w:pPr>
        <w:pStyle w:val="BodyText"/>
        <w:spacing w:line="276" w:lineRule="auto" w:before="299"/>
        <w:ind w:left="477" w:right="131"/>
        <w:jc w:val="both"/>
      </w:pPr>
      <w:r>
        <w:rPr/>
        <w:t>This is mainly due to insulin-like growth factors I and II, abbreviated as IGF-1 and IGF-2, which belong to the pro-insulin hormones and have the effect of anabolic steroids.</w:t>
      </w:r>
    </w:p>
    <w:p>
      <w:pPr>
        <w:pStyle w:val="Heading1"/>
      </w:pPr>
      <w:r>
        <w:rPr/>
        <w:t>The IGF-1 in bovine colostrum is identical to human IGF-1</w:t>
      </w:r>
    </w:p>
    <w:p>
      <w:pPr>
        <w:pStyle w:val="BodyText"/>
        <w:spacing w:line="276" w:lineRule="auto" w:before="298"/>
        <w:ind w:left="477" w:right="136"/>
        <w:rPr>
          <w:sz w:val="25"/>
        </w:rPr>
      </w:pPr>
      <w:r>
        <w:rPr/>
        <w:t>The sequence of IGF-1 has been shown in studies to be identical to human IGF-1.</w:t>
      </w:r>
      <w:r>
        <w:rPr>
          <w:position w:val="9"/>
          <w:sz w:val="25"/>
        </w:rPr>
        <w:t>216</w:t>
      </w:r>
    </w:p>
    <w:p>
      <w:pPr>
        <w:pStyle w:val="BodyText"/>
        <w:spacing w:line="276" w:lineRule="auto" w:before="240"/>
        <w:ind w:left="477"/>
      </w:pPr>
      <w:r>
        <w:rPr/>
        <w:t>IGF-1 is the most important catalyst for muscle cell division and performs the following tasks:</w:t>
      </w:r>
    </w:p>
    <w:p>
      <w:pPr>
        <w:spacing w:before="241"/>
        <w:ind w:left="477" w:right="0" w:firstLine="0"/>
        <w:jc w:val="left"/>
        <w:rPr>
          <w:i/>
          <w:sz w:val="38"/>
        </w:rPr>
      </w:pPr>
      <w:r>
        <w:rPr>
          <w:i/>
          <w:sz w:val="38"/>
        </w:rPr>
        <w:t>IGF-1:</w:t>
      </w:r>
    </w:p>
    <w:p>
      <w:pPr>
        <w:pStyle w:val="ListParagraph"/>
        <w:numPr>
          <w:ilvl w:val="0"/>
          <w:numId w:val="27"/>
        </w:numPr>
        <w:tabs>
          <w:tab w:pos="1197" w:val="left" w:leader="none"/>
          <w:tab w:pos="1198" w:val="left" w:leader="none"/>
        </w:tabs>
        <w:spacing w:line="240" w:lineRule="auto" w:before="305" w:after="0"/>
        <w:ind w:left="1185" w:right="0" w:hanging="708"/>
        <w:jc w:val="left"/>
        <w:rPr>
          <w:sz w:val="38"/>
        </w:rPr>
      </w:pPr>
      <w:r>
        <w:rPr>
          <w:sz w:val="38"/>
        </w:rPr>
        <w:t>activates protein synthesis in</w:t>
      </w:r>
      <w:r>
        <w:rPr>
          <w:spacing w:val="-1"/>
          <w:sz w:val="38"/>
        </w:rPr>
        <w:t> </w:t>
      </w:r>
      <w:r>
        <w:rPr>
          <w:sz w:val="38"/>
        </w:rPr>
        <w:t>muscle;</w:t>
      </w:r>
    </w:p>
    <w:p>
      <w:pPr>
        <w:pStyle w:val="ListParagraph"/>
        <w:numPr>
          <w:ilvl w:val="0"/>
          <w:numId w:val="27"/>
        </w:numPr>
        <w:tabs>
          <w:tab w:pos="1197" w:val="left" w:leader="none"/>
          <w:tab w:pos="1198" w:val="left" w:leader="none"/>
        </w:tabs>
        <w:spacing w:line="240" w:lineRule="auto" w:before="182" w:after="0"/>
        <w:ind w:left="1185" w:right="0" w:hanging="708"/>
        <w:jc w:val="left"/>
        <w:rPr>
          <w:sz w:val="38"/>
        </w:rPr>
      </w:pPr>
      <w:r>
        <w:rPr>
          <w:sz w:val="38"/>
        </w:rPr>
        <w:t>reduces muscle</w:t>
      </w:r>
      <w:r>
        <w:rPr>
          <w:spacing w:val="-1"/>
          <w:sz w:val="38"/>
        </w:rPr>
        <w:t> </w:t>
      </w:r>
      <w:r>
        <w:rPr>
          <w:sz w:val="38"/>
        </w:rPr>
        <w:t>breakdown;</w:t>
      </w:r>
    </w:p>
    <w:p>
      <w:pPr>
        <w:pStyle w:val="ListParagraph"/>
        <w:numPr>
          <w:ilvl w:val="0"/>
          <w:numId w:val="27"/>
        </w:numPr>
        <w:tabs>
          <w:tab w:pos="1185" w:val="left" w:leader="none"/>
          <w:tab w:pos="1186" w:val="left" w:leader="none"/>
        </w:tabs>
        <w:spacing w:line="276" w:lineRule="auto" w:before="185" w:after="0"/>
        <w:ind w:left="1185" w:right="139" w:hanging="708"/>
        <w:jc w:val="left"/>
        <w:rPr>
          <w:sz w:val="38"/>
        </w:rPr>
      </w:pPr>
      <w:r>
        <w:rPr>
          <w:sz w:val="38"/>
        </w:rPr>
        <w:t>causes the muscle cell to absorb more amino acids (muscle fibre thicken- ing);</w:t>
      </w:r>
    </w:p>
    <w:p>
      <w:pPr>
        <w:pStyle w:val="ListParagraph"/>
        <w:numPr>
          <w:ilvl w:val="0"/>
          <w:numId w:val="27"/>
        </w:numPr>
        <w:tabs>
          <w:tab w:pos="1185" w:val="left" w:leader="none"/>
          <w:tab w:pos="1186" w:val="left" w:leader="none"/>
        </w:tabs>
        <w:spacing w:line="240" w:lineRule="auto" w:before="120" w:after="0"/>
        <w:ind w:left="1185" w:right="0" w:hanging="708"/>
        <w:jc w:val="left"/>
        <w:rPr>
          <w:sz w:val="38"/>
        </w:rPr>
      </w:pPr>
      <w:r>
        <w:rPr>
          <w:sz w:val="38"/>
        </w:rPr>
        <w:t>activates muscle cell division (more muscle</w:t>
      </w:r>
      <w:r>
        <w:rPr>
          <w:spacing w:val="4"/>
          <w:sz w:val="38"/>
        </w:rPr>
        <w:t> </w:t>
      </w:r>
      <w:r>
        <w:rPr>
          <w:sz w:val="38"/>
        </w:rPr>
        <w:t>fibres).</w:t>
      </w:r>
    </w:p>
    <w:p>
      <w:pPr>
        <w:pStyle w:val="Heading1"/>
        <w:spacing w:before="288"/>
      </w:pPr>
      <w:r>
        <w:rPr/>
        <w:t>IGF-1 as a regenerator in colostrum:</w:t>
      </w:r>
    </w:p>
    <w:p>
      <w:pPr>
        <w:pStyle w:val="BodyText"/>
        <w:rPr>
          <w:b/>
          <w:i/>
          <w:sz w:val="20"/>
        </w:rPr>
      </w:pPr>
    </w:p>
    <w:p>
      <w:pPr>
        <w:pStyle w:val="BodyText"/>
        <w:spacing w:before="6"/>
        <w:rPr>
          <w:b/>
          <w:i/>
          <w:sz w:val="12"/>
        </w:rPr>
      </w:pPr>
      <w:r>
        <w:rPr/>
        <w:pict>
          <v:line style="position:absolute;mso-position-horizontal-relative:page;mso-position-vertical-relative:paragraph;z-index:2120;mso-wrap-distance-left:0;mso-wrap-distance-right:0" from="63.863998pt,9.408765pt" to="207.883998pt,9.408765pt" stroked="true" strokeweight=".71997pt" strokecolor="#000000">
            <v:stroke dashstyle="solid"/>
            <w10:wrap type="topAndBottom"/>
          </v:line>
        </w:pict>
      </w:r>
    </w:p>
    <w:p>
      <w:pPr>
        <w:pStyle w:val="BodyText"/>
        <w:spacing w:before="7"/>
        <w:rPr>
          <w:b/>
          <w:i/>
          <w:sz w:val="18"/>
        </w:rPr>
      </w:pPr>
    </w:p>
    <w:p>
      <w:pPr>
        <w:spacing w:before="100"/>
        <w:ind w:left="477" w:right="0" w:firstLine="0"/>
        <w:jc w:val="left"/>
        <w:rPr>
          <w:sz w:val="20"/>
        </w:rPr>
      </w:pPr>
      <w:r>
        <w:rPr>
          <w:position w:val="5"/>
          <w:sz w:val="13"/>
        </w:rPr>
        <w:t>216 </w:t>
      </w:r>
      <w:r>
        <w:rPr>
          <w:sz w:val="20"/>
        </w:rPr>
        <w:t>Francis, G. L. et al., Biochem J. 1988, 251, p. 95–103</w:t>
      </w:r>
    </w:p>
    <w:p>
      <w:pPr>
        <w:spacing w:after="0"/>
        <w:jc w:val="left"/>
        <w:rPr>
          <w:sz w:val="20"/>
        </w:rPr>
        <w:sectPr>
          <w:pgSz w:w="14270" w:h="16850"/>
          <w:pgMar w:header="0" w:footer="1891" w:top="1600" w:bottom="2080" w:left="800" w:right="1280"/>
        </w:sectPr>
      </w:pPr>
    </w:p>
    <w:p>
      <w:pPr>
        <w:pStyle w:val="BodyText"/>
        <w:spacing w:line="276" w:lineRule="auto" w:before="181"/>
        <w:ind w:left="477" w:right="135"/>
        <w:jc w:val="both"/>
      </w:pPr>
      <w:r>
        <w:rPr/>
        <w:t>In addition to its growth-stimulating properties, IGF-1 can accelerate the re- generation of the muscle cell, which is very important for athletes and allows for harder and more frequent training sessions.</w:t>
      </w:r>
    </w:p>
    <w:p>
      <w:pPr>
        <w:pStyle w:val="BodyText"/>
        <w:spacing w:line="276" w:lineRule="auto" w:before="122"/>
        <w:ind w:left="477" w:right="140"/>
        <w:jc w:val="both"/>
      </w:pPr>
      <w:r>
        <w:rPr/>
        <w:t>Studies on Finnish Olympic skiers revealed that creatine levels lowered by half after four days of liquid colostrum intake, which is generally regarded as an in- dicator of faster regeneration. The athletes reported that they felt more com- fortable and their performance improved.</w:t>
      </w:r>
    </w:p>
    <w:p>
      <w:pPr>
        <w:pStyle w:val="BodyText"/>
        <w:spacing w:line="276" w:lineRule="auto" w:before="239"/>
        <w:ind w:left="477" w:right="140"/>
        <w:jc w:val="both"/>
        <w:rPr>
          <w:sz w:val="25"/>
        </w:rPr>
      </w:pPr>
      <w:r>
        <w:rPr/>
        <w:t>Scientists believe that the IGF-1 contained in colostrum can regenerate muscle cells more quickly.</w:t>
      </w:r>
      <w:r>
        <w:rPr>
          <w:position w:val="9"/>
          <w:sz w:val="25"/>
        </w:rPr>
        <w:t>217</w:t>
      </w:r>
    </w:p>
    <w:p>
      <w:pPr>
        <w:pStyle w:val="Heading1"/>
        <w:spacing w:line="261" w:lineRule="auto"/>
        <w:ind w:right="140"/>
        <w:jc w:val="both"/>
      </w:pPr>
      <w:r>
        <w:rPr/>
        <w:t>IGF-1</w:t>
      </w:r>
      <w:r>
        <w:rPr>
          <w:spacing w:val="-29"/>
        </w:rPr>
        <w:t> </w:t>
      </w:r>
      <w:r>
        <w:rPr/>
        <w:t>increases</w:t>
      </w:r>
      <w:r>
        <w:rPr>
          <w:spacing w:val="-28"/>
        </w:rPr>
        <w:t> </w:t>
      </w:r>
      <w:r>
        <w:rPr/>
        <w:t>the</w:t>
      </w:r>
      <w:r>
        <w:rPr>
          <w:spacing w:val="-29"/>
        </w:rPr>
        <w:t> </w:t>
      </w:r>
      <w:r>
        <w:rPr/>
        <w:t>absorption</w:t>
      </w:r>
      <w:r>
        <w:rPr>
          <w:spacing w:val="-29"/>
        </w:rPr>
        <w:t> </w:t>
      </w:r>
      <w:r>
        <w:rPr/>
        <w:t>efficiency</w:t>
      </w:r>
      <w:r>
        <w:rPr>
          <w:spacing w:val="-29"/>
        </w:rPr>
        <w:t> </w:t>
      </w:r>
      <w:r>
        <w:rPr/>
        <w:t>of</w:t>
      </w:r>
      <w:r>
        <w:rPr>
          <w:spacing w:val="-28"/>
        </w:rPr>
        <w:t> </w:t>
      </w:r>
      <w:r>
        <w:rPr/>
        <w:t>amino</w:t>
      </w:r>
      <w:r>
        <w:rPr>
          <w:spacing w:val="-29"/>
        </w:rPr>
        <w:t> </w:t>
      </w:r>
      <w:r>
        <w:rPr/>
        <w:t>acids</w:t>
      </w:r>
      <w:r>
        <w:rPr>
          <w:spacing w:val="-29"/>
        </w:rPr>
        <w:t> </w:t>
      </w:r>
      <w:r>
        <w:rPr/>
        <w:t>and</w:t>
      </w:r>
      <w:r>
        <w:rPr>
          <w:spacing w:val="-29"/>
        </w:rPr>
        <w:t> </w:t>
      </w:r>
      <w:r>
        <w:rPr/>
        <w:t>carbohy- drates:</w:t>
      </w:r>
    </w:p>
    <w:p>
      <w:pPr>
        <w:pStyle w:val="BodyText"/>
        <w:spacing w:line="276" w:lineRule="auto" w:before="258"/>
        <w:ind w:left="477" w:right="131"/>
        <w:jc w:val="both"/>
        <w:rPr>
          <w:sz w:val="25"/>
        </w:rPr>
      </w:pPr>
      <w:r>
        <w:rPr/>
        <w:t>According</w:t>
      </w:r>
      <w:r>
        <w:rPr>
          <w:spacing w:val="-10"/>
        </w:rPr>
        <w:t> </w:t>
      </w:r>
      <w:r>
        <w:rPr/>
        <w:t>to</w:t>
      </w:r>
      <w:r>
        <w:rPr>
          <w:spacing w:val="-11"/>
        </w:rPr>
        <w:t> </w:t>
      </w:r>
      <w:r>
        <w:rPr/>
        <w:t>Dr.</w:t>
      </w:r>
      <w:r>
        <w:rPr>
          <w:spacing w:val="-11"/>
        </w:rPr>
        <w:t> </w:t>
      </w:r>
      <w:r>
        <w:rPr/>
        <w:t>Edmund</w:t>
      </w:r>
      <w:r>
        <w:rPr>
          <w:spacing w:val="-11"/>
        </w:rPr>
        <w:t> </w:t>
      </w:r>
      <w:r>
        <w:rPr/>
        <w:t>Burke,</w:t>
      </w:r>
      <w:r>
        <w:rPr>
          <w:spacing w:val="-9"/>
        </w:rPr>
        <w:t> </w:t>
      </w:r>
      <w:r>
        <w:rPr/>
        <w:t>a</w:t>
      </w:r>
      <w:r>
        <w:rPr>
          <w:spacing w:val="-14"/>
        </w:rPr>
        <w:t> </w:t>
      </w:r>
      <w:r>
        <w:rPr/>
        <w:t>lecturer</w:t>
      </w:r>
      <w:r>
        <w:rPr>
          <w:spacing w:val="-10"/>
        </w:rPr>
        <w:t> </w:t>
      </w:r>
      <w:r>
        <w:rPr/>
        <w:t>in</w:t>
      </w:r>
      <w:r>
        <w:rPr>
          <w:spacing w:val="-13"/>
        </w:rPr>
        <w:t> </w:t>
      </w:r>
      <w:r>
        <w:rPr/>
        <w:t>biology</w:t>
      </w:r>
      <w:r>
        <w:rPr>
          <w:spacing w:val="-10"/>
        </w:rPr>
        <w:t> </w:t>
      </w:r>
      <w:r>
        <w:rPr/>
        <w:t>at</w:t>
      </w:r>
      <w:r>
        <w:rPr>
          <w:spacing w:val="-11"/>
        </w:rPr>
        <w:t> </w:t>
      </w:r>
      <w:r>
        <w:rPr/>
        <w:t>the</w:t>
      </w:r>
      <w:r>
        <w:rPr>
          <w:spacing w:val="-12"/>
        </w:rPr>
        <w:t> </w:t>
      </w:r>
      <w:r>
        <w:rPr/>
        <w:t>University</w:t>
      </w:r>
      <w:r>
        <w:rPr>
          <w:spacing w:val="-10"/>
        </w:rPr>
        <w:t> </w:t>
      </w:r>
      <w:r>
        <w:rPr/>
        <w:t>of</w:t>
      </w:r>
      <w:r>
        <w:rPr>
          <w:spacing w:val="-12"/>
        </w:rPr>
        <w:t> </w:t>
      </w:r>
      <w:r>
        <w:rPr/>
        <w:t>Col- orado, colostrum probably helps athletes because it promotes the effective ab- sorption of amino acids and carbohydrates in the digestive tract. IGF-1 and other factors seal the intestine to ulcers, which can reduce the efficiency of nu- trient</w:t>
      </w:r>
      <w:r>
        <w:rPr>
          <w:spacing w:val="-1"/>
        </w:rPr>
        <w:t> </w:t>
      </w:r>
      <w:r>
        <w:rPr/>
        <w:t>uptake.</w:t>
      </w:r>
      <w:r>
        <w:rPr>
          <w:position w:val="9"/>
          <w:sz w:val="25"/>
        </w:rPr>
        <w:t>218</w:t>
      </w:r>
    </w:p>
    <w:p>
      <w:pPr>
        <w:pStyle w:val="BodyText"/>
        <w:spacing w:line="276" w:lineRule="auto" w:before="242"/>
        <w:ind w:left="477" w:right="134"/>
        <w:jc w:val="both"/>
      </w:pPr>
      <w:r>
        <w:rPr/>
        <w:t>In summary, the IGF-1 contained in colostrum supports muscle fibre prolifer- ation</w:t>
      </w:r>
      <w:r>
        <w:rPr>
          <w:spacing w:val="-25"/>
        </w:rPr>
        <w:t> </w:t>
      </w:r>
      <w:r>
        <w:rPr/>
        <w:t>and</w:t>
      </w:r>
      <w:r>
        <w:rPr>
          <w:spacing w:val="-25"/>
        </w:rPr>
        <w:t> </w:t>
      </w:r>
      <w:r>
        <w:rPr/>
        <w:t>thickening,</w:t>
      </w:r>
      <w:r>
        <w:rPr>
          <w:spacing w:val="-25"/>
        </w:rPr>
        <w:t> </w:t>
      </w:r>
      <w:r>
        <w:rPr/>
        <w:t>which</w:t>
      </w:r>
      <w:r>
        <w:rPr>
          <w:spacing w:val="-24"/>
        </w:rPr>
        <w:t> </w:t>
      </w:r>
      <w:r>
        <w:rPr/>
        <w:t>anabolic</w:t>
      </w:r>
      <w:r>
        <w:rPr>
          <w:spacing w:val="-27"/>
        </w:rPr>
        <w:t> </w:t>
      </w:r>
      <w:r>
        <w:rPr/>
        <w:t>steroids</w:t>
      </w:r>
      <w:r>
        <w:rPr>
          <w:spacing w:val="-26"/>
        </w:rPr>
        <w:t> </w:t>
      </w:r>
      <w:r>
        <w:rPr/>
        <w:t>only</w:t>
      </w:r>
      <w:r>
        <w:rPr>
          <w:spacing w:val="-26"/>
        </w:rPr>
        <w:t> </w:t>
      </w:r>
      <w:r>
        <w:rPr/>
        <w:t>cause</w:t>
      </w:r>
      <w:r>
        <w:rPr>
          <w:spacing w:val="-26"/>
        </w:rPr>
        <w:t> </w:t>
      </w:r>
      <w:r>
        <w:rPr/>
        <w:t>conditionally</w:t>
      </w:r>
      <w:r>
        <w:rPr>
          <w:spacing w:val="-24"/>
        </w:rPr>
        <w:t> </w:t>
      </w:r>
      <w:r>
        <w:rPr/>
        <w:t>(they</w:t>
      </w:r>
      <w:r>
        <w:rPr>
          <w:spacing w:val="-24"/>
        </w:rPr>
        <w:t> </w:t>
      </w:r>
      <w:r>
        <w:rPr/>
        <w:t>only thicken</w:t>
      </w:r>
      <w:r>
        <w:rPr>
          <w:spacing w:val="-17"/>
        </w:rPr>
        <w:t> </w:t>
      </w:r>
      <w:r>
        <w:rPr/>
        <w:t>muscle</w:t>
      </w:r>
      <w:r>
        <w:rPr>
          <w:spacing w:val="-18"/>
        </w:rPr>
        <w:t> </w:t>
      </w:r>
      <w:r>
        <w:rPr/>
        <w:t>fibres)</w:t>
      </w:r>
      <w:r>
        <w:rPr>
          <w:spacing w:val="-17"/>
        </w:rPr>
        <w:t> </w:t>
      </w:r>
      <w:r>
        <w:rPr/>
        <w:t>and</w:t>
      </w:r>
      <w:r>
        <w:rPr>
          <w:spacing w:val="-20"/>
        </w:rPr>
        <w:t> </w:t>
      </w:r>
      <w:r>
        <w:rPr/>
        <w:t>synthetic</w:t>
      </w:r>
      <w:r>
        <w:rPr>
          <w:spacing w:val="-17"/>
        </w:rPr>
        <w:t> </w:t>
      </w:r>
      <w:r>
        <w:rPr/>
        <w:t>growth</w:t>
      </w:r>
      <w:r>
        <w:rPr>
          <w:spacing w:val="-17"/>
        </w:rPr>
        <w:t> </w:t>
      </w:r>
      <w:r>
        <w:rPr/>
        <w:t>hormones</w:t>
      </w:r>
      <w:r>
        <w:rPr>
          <w:spacing w:val="-19"/>
        </w:rPr>
        <w:t> </w:t>
      </w:r>
      <w:r>
        <w:rPr/>
        <w:t>only</w:t>
      </w:r>
      <w:r>
        <w:rPr>
          <w:spacing w:val="-18"/>
        </w:rPr>
        <w:t> </w:t>
      </w:r>
      <w:r>
        <w:rPr/>
        <w:t>with</w:t>
      </w:r>
      <w:r>
        <w:rPr>
          <w:spacing w:val="-19"/>
        </w:rPr>
        <w:t> </w:t>
      </w:r>
      <w:r>
        <w:rPr/>
        <w:t>the</w:t>
      </w:r>
      <w:r>
        <w:rPr>
          <w:spacing w:val="-19"/>
        </w:rPr>
        <w:t> </w:t>
      </w:r>
      <w:r>
        <w:rPr/>
        <w:t>acceptance of extreme side effects (growth not only of muscles, but also of internal</w:t>
      </w:r>
      <w:r>
        <w:rPr>
          <w:spacing w:val="-60"/>
        </w:rPr>
        <w:t> </w:t>
      </w:r>
      <w:r>
        <w:rPr/>
        <w:t>organs</w:t>
      </w:r>
    </w:p>
    <w:p>
      <w:pPr>
        <w:pStyle w:val="BodyText"/>
        <w:spacing w:before="8"/>
        <w:rPr>
          <w:sz w:val="28"/>
        </w:rPr>
      </w:pPr>
      <w:r>
        <w:rPr/>
        <w:pict>
          <v:line style="position:absolute;mso-position-horizontal-relative:page;mso-position-vertical-relative:paragraph;z-index:2144;mso-wrap-distance-left:0;mso-wrap-distance-right:0" from="63.863998pt,18.527485pt" to="207.883998pt,18.527485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217 </w:t>
      </w:r>
      <w:r>
        <w:rPr>
          <w:sz w:val="20"/>
        </w:rPr>
        <w:t>Anderson 1994</w:t>
      </w:r>
    </w:p>
    <w:p>
      <w:pPr>
        <w:spacing w:before="94"/>
        <w:ind w:left="477" w:right="0" w:firstLine="0"/>
        <w:jc w:val="left"/>
        <w:rPr>
          <w:sz w:val="20"/>
        </w:rPr>
      </w:pPr>
      <w:r>
        <w:rPr>
          <w:position w:val="5"/>
          <w:sz w:val="13"/>
        </w:rPr>
        <w:t>218 </w:t>
      </w:r>
      <w:r>
        <w:rPr>
          <w:sz w:val="20"/>
        </w:rPr>
        <w:t>Burke 1996</w:t>
      </w:r>
    </w:p>
    <w:p>
      <w:pPr>
        <w:spacing w:after="0"/>
        <w:jc w:val="left"/>
        <w:rPr>
          <w:sz w:val="20"/>
        </w:rPr>
        <w:sectPr>
          <w:pgSz w:w="14270" w:h="16850"/>
          <w:pgMar w:header="0" w:footer="1891" w:top="1600" w:bottom="2080" w:left="800" w:right="1280"/>
        </w:sectPr>
      </w:pPr>
    </w:p>
    <w:p>
      <w:pPr>
        <w:pStyle w:val="BodyText"/>
        <w:spacing w:before="181"/>
        <w:ind w:left="477"/>
      </w:pPr>
      <w:r>
        <w:rPr/>
        <w:t>with the expected side effects).</w:t>
      </w:r>
    </w:p>
    <w:p>
      <w:pPr>
        <w:pStyle w:val="BodyText"/>
        <w:spacing w:line="276" w:lineRule="auto" w:before="305"/>
        <w:ind w:left="477" w:right="139"/>
        <w:jc w:val="both"/>
      </w:pPr>
      <w:r>
        <w:rPr/>
        <w:t>Furthermore,</w:t>
      </w:r>
      <w:r>
        <w:rPr>
          <w:spacing w:val="-12"/>
        </w:rPr>
        <w:t> </w:t>
      </w:r>
      <w:r>
        <w:rPr/>
        <w:t>it</w:t>
      </w:r>
      <w:r>
        <w:rPr>
          <w:spacing w:val="-18"/>
        </w:rPr>
        <w:t> </w:t>
      </w:r>
      <w:r>
        <w:rPr/>
        <w:t>promotes</w:t>
      </w:r>
      <w:r>
        <w:rPr>
          <w:spacing w:val="-14"/>
        </w:rPr>
        <w:t> </w:t>
      </w:r>
      <w:r>
        <w:rPr/>
        <w:t>the</w:t>
      </w:r>
      <w:r>
        <w:rPr>
          <w:spacing w:val="-14"/>
        </w:rPr>
        <w:t> </w:t>
      </w:r>
      <w:r>
        <w:rPr/>
        <w:t>absorption</w:t>
      </w:r>
      <w:r>
        <w:rPr>
          <w:spacing w:val="-15"/>
        </w:rPr>
        <w:t> </w:t>
      </w:r>
      <w:r>
        <w:rPr/>
        <w:t>of</w:t>
      </w:r>
      <w:r>
        <w:rPr>
          <w:spacing w:val="-15"/>
        </w:rPr>
        <w:t> </w:t>
      </w:r>
      <w:r>
        <w:rPr/>
        <w:t>crucial</w:t>
      </w:r>
      <w:r>
        <w:rPr>
          <w:spacing w:val="-13"/>
        </w:rPr>
        <w:t> </w:t>
      </w:r>
      <w:r>
        <w:rPr/>
        <w:t>nutrients</w:t>
      </w:r>
      <w:r>
        <w:rPr>
          <w:spacing w:val="-12"/>
        </w:rPr>
        <w:t> </w:t>
      </w:r>
      <w:r>
        <w:rPr/>
        <w:t>for</w:t>
      </w:r>
      <w:r>
        <w:rPr>
          <w:spacing w:val="-16"/>
        </w:rPr>
        <w:t> </w:t>
      </w:r>
      <w:r>
        <w:rPr/>
        <w:t>muscle</w:t>
      </w:r>
      <w:r>
        <w:rPr>
          <w:spacing w:val="-13"/>
        </w:rPr>
        <w:t> </w:t>
      </w:r>
      <w:r>
        <w:rPr/>
        <w:t>growth and power development, and also supports the regeneration of muscle</w:t>
      </w:r>
      <w:r>
        <w:rPr>
          <w:spacing w:val="-18"/>
        </w:rPr>
        <w:t> </w:t>
      </w:r>
      <w:r>
        <w:rPr/>
        <w:t>cells.</w:t>
      </w:r>
    </w:p>
    <w:p>
      <w:pPr>
        <w:pStyle w:val="BodyText"/>
        <w:spacing w:line="276" w:lineRule="auto" w:before="241"/>
        <w:ind w:left="477" w:right="131"/>
        <w:jc w:val="both"/>
      </w:pPr>
      <w:r>
        <w:rPr/>
        <w:t>Importantly, bovine colostrum has the identical amino acid sequence to IGF-1 produced in the liver, except for a 26-amino acid segment on the front of the molecule, which, after digestion in our stomach, is identical to human IGF-1.</w:t>
      </w:r>
    </w:p>
    <w:p>
      <w:pPr>
        <w:pStyle w:val="Heading1"/>
        <w:spacing w:before="222"/>
      </w:pPr>
      <w:r>
        <w:rPr/>
        <w:t>PDGF, EGF and TGF-beta in</w:t>
      </w:r>
      <w:r>
        <w:rPr>
          <w:spacing w:val="-54"/>
        </w:rPr>
        <w:t> </w:t>
      </w:r>
      <w:r>
        <w:rPr/>
        <w:t>colostrum</w:t>
      </w:r>
    </w:p>
    <w:p>
      <w:pPr>
        <w:pStyle w:val="BodyText"/>
        <w:spacing w:line="276" w:lineRule="auto" w:before="299"/>
        <w:ind w:left="477" w:right="138"/>
        <w:jc w:val="both"/>
        <w:rPr>
          <w:sz w:val="25"/>
        </w:rPr>
      </w:pPr>
      <w:r>
        <w:rPr/>
        <w:t>In colostrum, however, other growth factors are included, which promote cell division and thus muscle growth. These include platelet derived growth factor (PDGF), epidermal growth factor (EGF), and transforming growth factor (TGF) beta. All these factors stimulate cell division and tissue building.</w:t>
      </w:r>
      <w:r>
        <w:rPr>
          <w:position w:val="9"/>
          <w:sz w:val="25"/>
        </w:rPr>
        <w:t>219</w:t>
      </w:r>
    </w:p>
    <w:p>
      <w:pPr>
        <w:pStyle w:val="Heading2"/>
        <w:spacing w:line="266" w:lineRule="auto" w:before="239"/>
        <w:ind w:right="150"/>
        <w:jc w:val="both"/>
        <w:rPr>
          <w:i/>
          <w:sz w:val="40"/>
        </w:rPr>
      </w:pPr>
      <w:r>
        <w:rPr/>
        <w:t>Expert article on colostrum and muscle building by Daniel Shawn, pub- lished in ‘</w:t>
      </w:r>
      <w:r>
        <w:rPr>
          <w:i/>
          <w:sz w:val="40"/>
        </w:rPr>
        <w:t>Iron Man’</w:t>
      </w:r>
    </w:p>
    <w:p>
      <w:pPr>
        <w:pStyle w:val="BodyText"/>
        <w:spacing w:before="250"/>
        <w:ind w:left="477"/>
        <w:jc w:val="both"/>
      </w:pPr>
      <w:r>
        <w:rPr/>
        <w:t>Excerpt:</w:t>
      </w:r>
    </w:p>
    <w:p>
      <w:pPr>
        <w:spacing w:before="305"/>
        <w:ind w:left="477" w:right="0" w:firstLine="0"/>
        <w:jc w:val="both"/>
        <w:rPr>
          <w:i/>
          <w:sz w:val="38"/>
        </w:rPr>
      </w:pPr>
      <w:r>
        <w:rPr>
          <w:i/>
          <w:sz w:val="38"/>
        </w:rPr>
        <w:t>Daniel Shawn from the magazine ‘Iron Man’:</w:t>
      </w:r>
    </w:p>
    <w:p>
      <w:pPr>
        <w:spacing w:before="304"/>
        <w:ind w:left="477" w:right="0" w:firstLine="0"/>
        <w:jc w:val="both"/>
        <w:rPr>
          <w:i/>
          <w:sz w:val="38"/>
        </w:rPr>
      </w:pPr>
      <w:r>
        <w:rPr>
          <w:i/>
          <w:sz w:val="38"/>
        </w:rPr>
        <w:t>‘Plain and simple, IGF-1 is the be-all and end-all of anabolic peptide growth factors. Where</w:t>
      </w:r>
    </w:p>
    <w:p>
      <w:pPr>
        <w:pStyle w:val="BodyText"/>
        <w:rPr>
          <w:i/>
          <w:sz w:val="20"/>
        </w:rPr>
      </w:pPr>
    </w:p>
    <w:p>
      <w:pPr>
        <w:pStyle w:val="BodyText"/>
        <w:spacing w:before="8"/>
        <w:rPr>
          <w:i/>
          <w:sz w:val="23"/>
        </w:rPr>
      </w:pPr>
      <w:r>
        <w:rPr/>
        <w:pict>
          <v:line style="position:absolute;mso-position-horizontal-relative:page;mso-position-vertical-relative:paragraph;z-index:2168;mso-wrap-distance-left:0;mso-wrap-distance-right:0" from="63.863998pt,15.707515pt" to="207.883998pt,15.707515pt" stroked="true" strokeweight=".71997pt" strokecolor="#000000">
            <v:stroke dashstyle="solid"/>
            <w10:wrap type="topAndBottom"/>
          </v:line>
        </w:pict>
      </w:r>
    </w:p>
    <w:p>
      <w:pPr>
        <w:pStyle w:val="BodyText"/>
        <w:spacing w:before="7"/>
        <w:rPr>
          <w:i/>
          <w:sz w:val="18"/>
        </w:rPr>
      </w:pPr>
    </w:p>
    <w:p>
      <w:pPr>
        <w:spacing w:before="100"/>
        <w:ind w:left="477" w:right="0" w:firstLine="0"/>
        <w:jc w:val="left"/>
        <w:rPr>
          <w:sz w:val="20"/>
        </w:rPr>
      </w:pPr>
      <w:r>
        <w:rPr>
          <w:position w:val="5"/>
          <w:sz w:val="13"/>
        </w:rPr>
        <w:t>219 </w:t>
      </w:r>
      <w:r>
        <w:rPr>
          <w:sz w:val="20"/>
        </w:rPr>
        <w:t>Burke 1996</w:t>
      </w:r>
    </w:p>
    <w:p>
      <w:pPr>
        <w:spacing w:after="0"/>
        <w:jc w:val="left"/>
        <w:rPr>
          <w:sz w:val="20"/>
        </w:rPr>
        <w:sectPr>
          <w:pgSz w:w="14270" w:h="16850"/>
          <w:pgMar w:header="0" w:footer="1891" w:top="1600" w:bottom="2080" w:left="800" w:right="1280"/>
        </w:sectPr>
      </w:pPr>
    </w:p>
    <w:p>
      <w:pPr>
        <w:spacing w:before="181"/>
        <w:ind w:left="477" w:right="0" w:firstLine="0"/>
        <w:jc w:val="left"/>
        <w:rPr>
          <w:i/>
          <w:sz w:val="38"/>
        </w:rPr>
      </w:pPr>
      <w:r>
        <w:rPr>
          <w:i/>
          <w:sz w:val="38"/>
        </w:rPr>
        <w:t>can you get it? COLOSTRUM’.</w:t>
      </w:r>
    </w:p>
    <w:p>
      <w:pPr>
        <w:spacing w:line="276" w:lineRule="auto" w:before="305"/>
        <w:ind w:left="477" w:right="131" w:firstLine="0"/>
        <w:jc w:val="both"/>
        <w:rPr>
          <w:i/>
          <w:sz w:val="38"/>
        </w:rPr>
      </w:pPr>
      <w:r>
        <w:rPr>
          <w:i/>
          <w:sz w:val="38"/>
        </w:rPr>
        <w:t>‘I</w:t>
      </w:r>
      <w:r>
        <w:rPr>
          <w:i/>
          <w:spacing w:val="-11"/>
          <w:sz w:val="38"/>
        </w:rPr>
        <w:t> </w:t>
      </w:r>
      <w:r>
        <w:rPr>
          <w:i/>
          <w:sz w:val="38"/>
        </w:rPr>
        <w:t>train</w:t>
      </w:r>
      <w:r>
        <w:rPr>
          <w:i/>
          <w:spacing w:val="-9"/>
          <w:sz w:val="38"/>
        </w:rPr>
        <w:t> </w:t>
      </w:r>
      <w:r>
        <w:rPr>
          <w:i/>
          <w:sz w:val="38"/>
        </w:rPr>
        <w:t>regularly</w:t>
      </w:r>
      <w:r>
        <w:rPr>
          <w:i/>
          <w:spacing w:val="-9"/>
          <w:sz w:val="38"/>
        </w:rPr>
        <w:t> </w:t>
      </w:r>
      <w:r>
        <w:rPr>
          <w:i/>
          <w:sz w:val="38"/>
        </w:rPr>
        <w:t>with</w:t>
      </w:r>
      <w:r>
        <w:rPr>
          <w:i/>
          <w:spacing w:val="-9"/>
          <w:sz w:val="38"/>
        </w:rPr>
        <w:t> </w:t>
      </w:r>
      <w:r>
        <w:rPr>
          <w:i/>
          <w:sz w:val="38"/>
        </w:rPr>
        <w:t>weights</w:t>
      </w:r>
      <w:r>
        <w:rPr>
          <w:i/>
          <w:spacing w:val="-9"/>
          <w:sz w:val="38"/>
        </w:rPr>
        <w:t> </w:t>
      </w:r>
      <w:r>
        <w:rPr>
          <w:i/>
          <w:sz w:val="38"/>
        </w:rPr>
        <w:t>myself</w:t>
      </w:r>
      <w:r>
        <w:rPr>
          <w:i/>
          <w:spacing w:val="-11"/>
          <w:sz w:val="38"/>
        </w:rPr>
        <w:t> </w:t>
      </w:r>
      <w:r>
        <w:rPr>
          <w:i/>
          <w:sz w:val="38"/>
        </w:rPr>
        <w:t>and</w:t>
      </w:r>
      <w:r>
        <w:rPr>
          <w:i/>
          <w:spacing w:val="-9"/>
          <w:sz w:val="38"/>
        </w:rPr>
        <w:t> </w:t>
      </w:r>
      <w:r>
        <w:rPr>
          <w:i/>
          <w:sz w:val="38"/>
        </w:rPr>
        <w:t>since</w:t>
      </w:r>
      <w:r>
        <w:rPr>
          <w:i/>
          <w:spacing w:val="-9"/>
          <w:sz w:val="38"/>
        </w:rPr>
        <w:t> </w:t>
      </w:r>
      <w:r>
        <w:rPr>
          <w:i/>
          <w:sz w:val="38"/>
        </w:rPr>
        <w:t>I</w:t>
      </w:r>
      <w:r>
        <w:rPr>
          <w:i/>
          <w:spacing w:val="-10"/>
          <w:sz w:val="38"/>
        </w:rPr>
        <w:t> </w:t>
      </w:r>
      <w:r>
        <w:rPr>
          <w:i/>
          <w:sz w:val="38"/>
        </w:rPr>
        <w:t>started</w:t>
      </w:r>
      <w:r>
        <w:rPr>
          <w:i/>
          <w:spacing w:val="-10"/>
          <w:sz w:val="38"/>
        </w:rPr>
        <w:t> </w:t>
      </w:r>
      <w:r>
        <w:rPr>
          <w:i/>
          <w:sz w:val="38"/>
        </w:rPr>
        <w:t>taking</w:t>
      </w:r>
      <w:r>
        <w:rPr>
          <w:i/>
          <w:spacing w:val="-10"/>
          <w:sz w:val="38"/>
        </w:rPr>
        <w:t> </w:t>
      </w:r>
      <w:r>
        <w:rPr>
          <w:i/>
          <w:sz w:val="38"/>
        </w:rPr>
        <w:t>colostrum,</w:t>
      </w:r>
      <w:r>
        <w:rPr>
          <w:i/>
          <w:spacing w:val="-9"/>
          <w:sz w:val="38"/>
        </w:rPr>
        <w:t> </w:t>
      </w:r>
      <w:r>
        <w:rPr>
          <w:i/>
          <w:sz w:val="38"/>
        </w:rPr>
        <w:t>I</w:t>
      </w:r>
      <w:r>
        <w:rPr>
          <w:i/>
          <w:spacing w:val="-12"/>
          <w:sz w:val="38"/>
        </w:rPr>
        <w:t> </w:t>
      </w:r>
      <w:r>
        <w:rPr>
          <w:i/>
          <w:sz w:val="38"/>
        </w:rPr>
        <w:t>have</w:t>
      </w:r>
      <w:r>
        <w:rPr>
          <w:i/>
          <w:spacing w:val="-10"/>
          <w:sz w:val="38"/>
        </w:rPr>
        <w:t> </w:t>
      </w:r>
      <w:r>
        <w:rPr>
          <w:i/>
          <w:sz w:val="38"/>
        </w:rPr>
        <w:t>noticed</w:t>
      </w:r>
      <w:r>
        <w:rPr>
          <w:i/>
          <w:spacing w:val="-11"/>
          <w:sz w:val="38"/>
        </w:rPr>
        <w:t> </w:t>
      </w:r>
      <w:r>
        <w:rPr>
          <w:i/>
          <w:sz w:val="38"/>
        </w:rPr>
        <w:t>clear </w:t>
      </w:r>
      <w:r>
        <w:rPr>
          <w:i/>
          <w:sz w:val="38"/>
        </w:rPr>
        <w:t>improvements in my form. I can lift bigger weights than before and increase weights at shorter intervals. I recover more quickly after sets and have shorter breaks before going on to the</w:t>
      </w:r>
      <w:r>
        <w:rPr>
          <w:i/>
          <w:spacing w:val="-61"/>
          <w:sz w:val="38"/>
        </w:rPr>
        <w:t> </w:t>
      </w:r>
      <w:r>
        <w:rPr>
          <w:i/>
          <w:sz w:val="38"/>
        </w:rPr>
        <w:t>next exercise.</w:t>
      </w:r>
      <w:r>
        <w:rPr>
          <w:i/>
          <w:spacing w:val="-10"/>
          <w:sz w:val="38"/>
        </w:rPr>
        <w:t> </w:t>
      </w:r>
      <w:r>
        <w:rPr>
          <w:i/>
          <w:sz w:val="38"/>
        </w:rPr>
        <w:t>I</w:t>
      </w:r>
      <w:r>
        <w:rPr>
          <w:i/>
          <w:spacing w:val="-10"/>
          <w:sz w:val="38"/>
        </w:rPr>
        <w:t> </w:t>
      </w:r>
      <w:r>
        <w:rPr>
          <w:i/>
          <w:sz w:val="38"/>
        </w:rPr>
        <w:t>feel</w:t>
      </w:r>
      <w:r>
        <w:rPr>
          <w:i/>
          <w:spacing w:val="-11"/>
          <w:sz w:val="38"/>
        </w:rPr>
        <w:t> </w:t>
      </w:r>
      <w:r>
        <w:rPr>
          <w:i/>
          <w:sz w:val="38"/>
        </w:rPr>
        <w:t>full</w:t>
      </w:r>
      <w:r>
        <w:rPr>
          <w:i/>
          <w:spacing w:val="-8"/>
          <w:sz w:val="38"/>
        </w:rPr>
        <w:t> </w:t>
      </w:r>
      <w:r>
        <w:rPr>
          <w:i/>
          <w:sz w:val="38"/>
        </w:rPr>
        <w:t>of</w:t>
      </w:r>
      <w:r>
        <w:rPr>
          <w:i/>
          <w:spacing w:val="-8"/>
          <w:sz w:val="38"/>
        </w:rPr>
        <w:t> </w:t>
      </w:r>
      <w:r>
        <w:rPr>
          <w:i/>
          <w:sz w:val="38"/>
        </w:rPr>
        <w:t>energy</w:t>
      </w:r>
      <w:r>
        <w:rPr>
          <w:i/>
          <w:spacing w:val="-11"/>
          <w:sz w:val="38"/>
        </w:rPr>
        <w:t> </w:t>
      </w:r>
      <w:r>
        <w:rPr>
          <w:i/>
          <w:sz w:val="38"/>
        </w:rPr>
        <w:t>after</w:t>
      </w:r>
      <w:r>
        <w:rPr>
          <w:i/>
          <w:spacing w:val="-11"/>
          <w:sz w:val="38"/>
        </w:rPr>
        <w:t> </w:t>
      </w:r>
      <w:r>
        <w:rPr>
          <w:i/>
          <w:sz w:val="38"/>
        </w:rPr>
        <w:t>weight</w:t>
      </w:r>
      <w:r>
        <w:rPr>
          <w:i/>
          <w:spacing w:val="-9"/>
          <w:sz w:val="38"/>
        </w:rPr>
        <w:t> </w:t>
      </w:r>
      <w:r>
        <w:rPr>
          <w:i/>
          <w:sz w:val="38"/>
        </w:rPr>
        <w:t>training,</w:t>
      </w:r>
      <w:r>
        <w:rPr>
          <w:i/>
          <w:spacing w:val="-11"/>
          <w:sz w:val="38"/>
        </w:rPr>
        <w:t> </w:t>
      </w:r>
      <w:r>
        <w:rPr>
          <w:i/>
          <w:sz w:val="38"/>
        </w:rPr>
        <w:t>whereas,</w:t>
      </w:r>
      <w:r>
        <w:rPr>
          <w:i/>
          <w:spacing w:val="-11"/>
          <w:sz w:val="38"/>
        </w:rPr>
        <w:t> </w:t>
      </w:r>
      <w:r>
        <w:rPr>
          <w:i/>
          <w:sz w:val="38"/>
        </w:rPr>
        <w:t>before,</w:t>
      </w:r>
      <w:r>
        <w:rPr>
          <w:i/>
          <w:spacing w:val="-8"/>
          <w:sz w:val="38"/>
        </w:rPr>
        <w:t> </w:t>
      </w:r>
      <w:r>
        <w:rPr>
          <w:i/>
          <w:sz w:val="38"/>
        </w:rPr>
        <w:t>I</w:t>
      </w:r>
      <w:r>
        <w:rPr>
          <w:i/>
          <w:spacing w:val="-10"/>
          <w:sz w:val="38"/>
        </w:rPr>
        <w:t> </w:t>
      </w:r>
      <w:r>
        <w:rPr>
          <w:i/>
          <w:sz w:val="38"/>
        </w:rPr>
        <w:t>was</w:t>
      </w:r>
      <w:r>
        <w:rPr>
          <w:i/>
          <w:spacing w:val="-10"/>
          <w:sz w:val="38"/>
        </w:rPr>
        <w:t> </w:t>
      </w:r>
      <w:r>
        <w:rPr>
          <w:i/>
          <w:sz w:val="38"/>
        </w:rPr>
        <w:t>tired</w:t>
      </w:r>
      <w:r>
        <w:rPr>
          <w:i/>
          <w:spacing w:val="-12"/>
          <w:sz w:val="38"/>
        </w:rPr>
        <w:t> </w:t>
      </w:r>
      <w:r>
        <w:rPr>
          <w:i/>
          <w:sz w:val="38"/>
        </w:rPr>
        <w:t>for</w:t>
      </w:r>
      <w:r>
        <w:rPr>
          <w:i/>
          <w:spacing w:val="-9"/>
          <w:sz w:val="38"/>
        </w:rPr>
        <w:t> </w:t>
      </w:r>
      <w:r>
        <w:rPr>
          <w:i/>
          <w:sz w:val="38"/>
        </w:rPr>
        <w:t>an</w:t>
      </w:r>
      <w:r>
        <w:rPr>
          <w:i/>
          <w:spacing w:val="-10"/>
          <w:sz w:val="38"/>
        </w:rPr>
        <w:t> </w:t>
      </w:r>
      <w:r>
        <w:rPr>
          <w:i/>
          <w:sz w:val="38"/>
        </w:rPr>
        <w:t>hour</w:t>
      </w:r>
      <w:r>
        <w:rPr>
          <w:i/>
          <w:spacing w:val="-9"/>
          <w:sz w:val="38"/>
        </w:rPr>
        <w:t> </w:t>
      </w:r>
      <w:r>
        <w:rPr>
          <w:i/>
          <w:sz w:val="38"/>
        </w:rPr>
        <w:t>after training. The success can be seen for itself - my trousers are baggier and my shirts and jackets are</w:t>
      </w:r>
      <w:r>
        <w:rPr>
          <w:i/>
          <w:spacing w:val="-14"/>
          <w:sz w:val="38"/>
        </w:rPr>
        <w:t> </w:t>
      </w:r>
      <w:r>
        <w:rPr>
          <w:i/>
          <w:sz w:val="38"/>
        </w:rPr>
        <w:t>tighter.</w:t>
      </w:r>
      <w:r>
        <w:rPr>
          <w:i/>
          <w:spacing w:val="-15"/>
          <w:sz w:val="38"/>
        </w:rPr>
        <w:t> </w:t>
      </w:r>
      <w:r>
        <w:rPr>
          <w:i/>
          <w:sz w:val="38"/>
        </w:rPr>
        <w:t>And</w:t>
      </w:r>
      <w:r>
        <w:rPr>
          <w:i/>
          <w:spacing w:val="-14"/>
          <w:sz w:val="38"/>
        </w:rPr>
        <w:t> </w:t>
      </w:r>
      <w:r>
        <w:rPr>
          <w:i/>
          <w:sz w:val="38"/>
        </w:rPr>
        <w:t>all</w:t>
      </w:r>
      <w:r>
        <w:rPr>
          <w:i/>
          <w:spacing w:val="-15"/>
          <w:sz w:val="38"/>
        </w:rPr>
        <w:t> </w:t>
      </w:r>
      <w:r>
        <w:rPr>
          <w:i/>
          <w:sz w:val="38"/>
        </w:rPr>
        <w:t>of</w:t>
      </w:r>
      <w:r>
        <w:rPr>
          <w:i/>
          <w:spacing w:val="-15"/>
          <w:sz w:val="38"/>
        </w:rPr>
        <w:t> </w:t>
      </w:r>
      <w:r>
        <w:rPr>
          <w:i/>
          <w:sz w:val="38"/>
        </w:rPr>
        <w:t>this</w:t>
      </w:r>
      <w:r>
        <w:rPr>
          <w:i/>
          <w:spacing w:val="-14"/>
          <w:sz w:val="38"/>
        </w:rPr>
        <w:t> </w:t>
      </w:r>
      <w:r>
        <w:rPr>
          <w:i/>
          <w:sz w:val="38"/>
        </w:rPr>
        <w:t>without</w:t>
      </w:r>
      <w:r>
        <w:rPr>
          <w:i/>
          <w:spacing w:val="-14"/>
          <w:sz w:val="38"/>
        </w:rPr>
        <w:t> </w:t>
      </w:r>
      <w:r>
        <w:rPr>
          <w:i/>
          <w:sz w:val="38"/>
        </w:rPr>
        <w:t>big</w:t>
      </w:r>
      <w:r>
        <w:rPr>
          <w:i/>
          <w:spacing w:val="-18"/>
          <w:sz w:val="38"/>
        </w:rPr>
        <w:t> </w:t>
      </w:r>
      <w:r>
        <w:rPr>
          <w:i/>
          <w:sz w:val="38"/>
        </w:rPr>
        <w:t>adjustments</w:t>
      </w:r>
      <w:r>
        <w:rPr>
          <w:i/>
          <w:spacing w:val="-13"/>
          <w:sz w:val="38"/>
        </w:rPr>
        <w:t> </w:t>
      </w:r>
      <w:r>
        <w:rPr>
          <w:i/>
          <w:sz w:val="38"/>
        </w:rPr>
        <w:t>to</w:t>
      </w:r>
      <w:r>
        <w:rPr>
          <w:i/>
          <w:spacing w:val="-16"/>
          <w:sz w:val="38"/>
        </w:rPr>
        <w:t> </w:t>
      </w:r>
      <w:r>
        <w:rPr>
          <w:i/>
          <w:sz w:val="38"/>
        </w:rPr>
        <w:t>my</w:t>
      </w:r>
      <w:r>
        <w:rPr>
          <w:i/>
          <w:spacing w:val="-18"/>
          <w:sz w:val="38"/>
        </w:rPr>
        <w:t> </w:t>
      </w:r>
      <w:r>
        <w:rPr>
          <w:i/>
          <w:sz w:val="38"/>
        </w:rPr>
        <w:t>diet</w:t>
      </w:r>
      <w:r>
        <w:rPr>
          <w:i/>
          <w:spacing w:val="-13"/>
          <w:sz w:val="38"/>
        </w:rPr>
        <w:t> </w:t>
      </w:r>
      <w:r>
        <w:rPr>
          <w:i/>
          <w:sz w:val="38"/>
        </w:rPr>
        <w:t>(I</w:t>
      </w:r>
      <w:r>
        <w:rPr>
          <w:i/>
          <w:spacing w:val="-14"/>
          <w:sz w:val="38"/>
        </w:rPr>
        <w:t> </w:t>
      </w:r>
      <w:r>
        <w:rPr>
          <w:i/>
          <w:sz w:val="38"/>
        </w:rPr>
        <w:t>still</w:t>
      </w:r>
      <w:r>
        <w:rPr>
          <w:i/>
          <w:spacing w:val="-13"/>
          <w:sz w:val="38"/>
        </w:rPr>
        <w:t> </w:t>
      </w:r>
      <w:r>
        <w:rPr>
          <w:i/>
          <w:sz w:val="38"/>
        </w:rPr>
        <w:t>have</w:t>
      </w:r>
      <w:r>
        <w:rPr>
          <w:i/>
          <w:spacing w:val="-15"/>
          <w:sz w:val="38"/>
        </w:rPr>
        <w:t> </w:t>
      </w:r>
      <w:r>
        <w:rPr>
          <w:i/>
          <w:sz w:val="38"/>
        </w:rPr>
        <w:t>a</w:t>
      </w:r>
      <w:r>
        <w:rPr>
          <w:i/>
          <w:spacing w:val="-14"/>
          <w:sz w:val="38"/>
        </w:rPr>
        <w:t> </w:t>
      </w:r>
      <w:r>
        <w:rPr>
          <w:i/>
          <w:sz w:val="38"/>
        </w:rPr>
        <w:t>healthy</w:t>
      </w:r>
      <w:r>
        <w:rPr>
          <w:i/>
          <w:spacing w:val="-12"/>
          <w:sz w:val="38"/>
        </w:rPr>
        <w:t> </w:t>
      </w:r>
      <w:r>
        <w:rPr>
          <w:i/>
          <w:sz w:val="38"/>
        </w:rPr>
        <w:t>appetite)’.</w:t>
      </w:r>
    </w:p>
    <w:p>
      <w:pPr>
        <w:pStyle w:val="BodyText"/>
        <w:rPr>
          <w:i/>
          <w:sz w:val="42"/>
        </w:rPr>
      </w:pPr>
    </w:p>
    <w:p>
      <w:pPr>
        <w:pStyle w:val="BodyText"/>
        <w:spacing w:before="10"/>
        <w:rPr>
          <w:i/>
          <w:sz w:val="42"/>
        </w:rPr>
      </w:pPr>
    </w:p>
    <w:p>
      <w:pPr>
        <w:pStyle w:val="Heading1"/>
        <w:spacing w:before="0"/>
      </w:pPr>
      <w:r>
        <w:rPr/>
        <w:t>The original article from Daniel Shawn in Iron Man magazine:</w:t>
      </w:r>
    </w:p>
    <w:p>
      <w:pPr>
        <w:pStyle w:val="BodyText"/>
        <w:spacing w:line="276" w:lineRule="auto" w:before="299"/>
        <w:ind w:left="477" w:right="3523"/>
      </w:pPr>
      <w:r>
        <w:rPr/>
        <w:t>COLOSTRUM: BIOTECHNOLOGY’S NEXT STEP DANIEL SHAWN, B. S.</w:t>
      </w:r>
    </w:p>
    <w:p>
      <w:pPr>
        <w:pStyle w:val="BodyText"/>
        <w:spacing w:line="426" w:lineRule="exact"/>
        <w:ind w:left="477"/>
      </w:pPr>
      <w:r>
        <w:rPr/>
        <w:t>IRON MAN MAGAZINE</w:t>
      </w:r>
    </w:p>
    <w:p>
      <w:pPr>
        <w:spacing w:before="65"/>
        <w:ind w:left="477" w:right="0" w:firstLine="0"/>
        <w:jc w:val="left"/>
        <w:rPr>
          <w:i/>
          <w:sz w:val="38"/>
        </w:rPr>
      </w:pPr>
      <w:r>
        <w:rPr>
          <w:i/>
          <w:sz w:val="38"/>
        </w:rPr>
        <w:t>Introduction</w:t>
      </w:r>
    </w:p>
    <w:p>
      <w:pPr>
        <w:pStyle w:val="BodyText"/>
        <w:spacing w:line="276" w:lineRule="auto" w:before="305"/>
        <w:ind w:left="477" w:right="134"/>
        <w:jc w:val="both"/>
      </w:pPr>
      <w:r>
        <w:rPr/>
        <w:t>You thought you have seen it all. The fads. The forays into shaman medi- cine. For the past twenty years you have waded through the hype and hooplah of advertising that promises you ‘mega-gains for almost no effort’. Just buy</w:t>
      </w:r>
      <w:r>
        <w:rPr>
          <w:spacing w:val="-50"/>
        </w:rPr>
        <w:t> </w:t>
      </w:r>
      <w:r>
        <w:rPr/>
        <w:t>the pill and you’ll</w:t>
      </w:r>
      <w:r>
        <w:rPr>
          <w:spacing w:val="-2"/>
        </w:rPr>
        <w:t> </w:t>
      </w:r>
      <w:r>
        <w:rPr/>
        <w:t>see.</w:t>
      </w:r>
    </w:p>
    <w:p>
      <w:pPr>
        <w:pStyle w:val="BodyText"/>
        <w:spacing w:line="276" w:lineRule="auto" w:before="241"/>
        <w:ind w:left="477" w:right="131"/>
        <w:jc w:val="both"/>
      </w:pPr>
      <w:r>
        <w:rPr/>
        <w:t>No doubt you have tried it all as well. You survived the earliest steroids. You lived</w:t>
      </w:r>
      <w:r>
        <w:rPr>
          <w:spacing w:val="-12"/>
        </w:rPr>
        <w:t> </w:t>
      </w:r>
      <w:r>
        <w:rPr/>
        <w:t>through</w:t>
      </w:r>
      <w:r>
        <w:rPr>
          <w:spacing w:val="-9"/>
        </w:rPr>
        <w:t> </w:t>
      </w:r>
      <w:r>
        <w:rPr/>
        <w:t>the</w:t>
      </w:r>
      <w:r>
        <w:rPr>
          <w:spacing w:val="-8"/>
        </w:rPr>
        <w:t> </w:t>
      </w:r>
      <w:r>
        <w:rPr/>
        <w:t>free-form</w:t>
      </w:r>
      <w:r>
        <w:rPr>
          <w:spacing w:val="-9"/>
        </w:rPr>
        <w:t> </w:t>
      </w:r>
      <w:r>
        <w:rPr/>
        <w:t>vs.</w:t>
      </w:r>
      <w:r>
        <w:rPr>
          <w:spacing w:val="-11"/>
        </w:rPr>
        <w:t> </w:t>
      </w:r>
      <w:r>
        <w:rPr/>
        <w:t>tri-peptides</w:t>
      </w:r>
      <w:r>
        <w:rPr>
          <w:spacing w:val="-9"/>
        </w:rPr>
        <w:t> </w:t>
      </w:r>
      <w:r>
        <w:rPr/>
        <w:t>in</w:t>
      </w:r>
      <w:r>
        <w:rPr>
          <w:spacing w:val="-9"/>
        </w:rPr>
        <w:t> </w:t>
      </w:r>
      <w:r>
        <w:rPr/>
        <w:t>the</w:t>
      </w:r>
      <w:r>
        <w:rPr>
          <w:spacing w:val="-8"/>
        </w:rPr>
        <w:t> </w:t>
      </w:r>
      <w:r>
        <w:rPr/>
        <w:t>amino</w:t>
      </w:r>
      <w:r>
        <w:rPr>
          <w:spacing w:val="-10"/>
        </w:rPr>
        <w:t> </w:t>
      </w:r>
      <w:r>
        <w:rPr/>
        <w:t>acids</w:t>
      </w:r>
      <w:r>
        <w:rPr>
          <w:spacing w:val="-10"/>
        </w:rPr>
        <w:t> </w:t>
      </w:r>
      <w:r>
        <w:rPr/>
        <w:t>war.</w:t>
      </w:r>
      <w:r>
        <w:rPr>
          <w:spacing w:val="3"/>
        </w:rPr>
        <w:t> </w:t>
      </w:r>
      <w:r>
        <w:rPr/>
        <w:t>You</w:t>
      </w:r>
      <w:r>
        <w:rPr>
          <w:spacing w:val="-11"/>
        </w:rPr>
        <w:t> </w:t>
      </w:r>
      <w:r>
        <w:rPr/>
        <w:t>sat</w:t>
      </w:r>
      <w:r>
        <w:rPr>
          <w:spacing w:val="-10"/>
        </w:rPr>
        <w:t> </w:t>
      </w:r>
      <w:r>
        <w:rPr/>
        <w:t>and weighed the words of ‘experts’ who casually referred you to little-known-sel- dom-used</w:t>
      </w:r>
      <w:r>
        <w:rPr>
          <w:spacing w:val="28"/>
        </w:rPr>
        <w:t> </w:t>
      </w:r>
      <w:r>
        <w:rPr/>
        <w:t>literature</w:t>
      </w:r>
      <w:r>
        <w:rPr>
          <w:spacing w:val="29"/>
        </w:rPr>
        <w:t> </w:t>
      </w:r>
      <w:r>
        <w:rPr/>
        <w:t>to</w:t>
      </w:r>
      <w:r>
        <w:rPr>
          <w:spacing w:val="29"/>
        </w:rPr>
        <w:t> </w:t>
      </w:r>
      <w:r>
        <w:rPr/>
        <w:t>back</w:t>
      </w:r>
      <w:r>
        <w:rPr>
          <w:spacing w:val="29"/>
        </w:rPr>
        <w:t> </w:t>
      </w:r>
      <w:r>
        <w:rPr/>
        <w:t>their</w:t>
      </w:r>
      <w:r>
        <w:rPr>
          <w:spacing w:val="29"/>
        </w:rPr>
        <w:t> </w:t>
      </w:r>
      <w:r>
        <w:rPr/>
        <w:t>claims.</w:t>
      </w:r>
      <w:r>
        <w:rPr>
          <w:spacing w:val="2"/>
        </w:rPr>
        <w:t> </w:t>
      </w:r>
      <w:r>
        <w:rPr/>
        <w:t>And</w:t>
      </w:r>
      <w:r>
        <w:rPr>
          <w:spacing w:val="29"/>
        </w:rPr>
        <w:t> </w:t>
      </w:r>
      <w:r>
        <w:rPr/>
        <w:t>through</w:t>
      </w:r>
      <w:r>
        <w:rPr>
          <w:spacing w:val="29"/>
        </w:rPr>
        <w:t> </w:t>
      </w:r>
      <w:r>
        <w:rPr/>
        <w:t>it</w:t>
      </w:r>
      <w:r>
        <w:rPr>
          <w:spacing w:val="27"/>
        </w:rPr>
        <w:t> </w:t>
      </w:r>
      <w:r>
        <w:rPr/>
        <w:t>all,</w:t>
      </w:r>
      <w:r>
        <w:rPr>
          <w:spacing w:val="29"/>
        </w:rPr>
        <w:t> </w:t>
      </w:r>
      <w:r>
        <w:rPr/>
        <w:t>they</w:t>
      </w:r>
      <w:r>
        <w:rPr>
          <w:spacing w:val="28"/>
        </w:rPr>
        <w:t> </w:t>
      </w:r>
      <w:r>
        <w:rPr/>
        <w:t>never</w:t>
      </w:r>
      <w:r>
        <w:rPr>
          <w:spacing w:val="29"/>
        </w:rPr>
        <w:t> </w:t>
      </w:r>
      <w:r>
        <w:rPr/>
        <w:t>really</w:t>
      </w:r>
    </w:p>
    <w:p>
      <w:pPr>
        <w:spacing w:after="0" w:line="276" w:lineRule="auto"/>
        <w:jc w:val="both"/>
        <w:sectPr>
          <w:pgSz w:w="14270" w:h="16850"/>
          <w:pgMar w:header="0" w:footer="1891" w:top="1600" w:bottom="2080" w:left="800" w:right="1280"/>
        </w:sectPr>
      </w:pPr>
    </w:p>
    <w:p>
      <w:pPr>
        <w:pStyle w:val="BodyText"/>
        <w:spacing w:before="181"/>
        <w:ind w:left="477"/>
        <w:jc w:val="both"/>
      </w:pPr>
      <w:r>
        <w:rPr/>
        <w:t>told you what it means or why it is important to ‘trigger a release’.</w:t>
      </w:r>
    </w:p>
    <w:p>
      <w:pPr>
        <w:pStyle w:val="BodyText"/>
        <w:spacing w:line="276" w:lineRule="auto" w:before="305"/>
        <w:ind w:left="477" w:right="133"/>
        <w:jc w:val="both"/>
      </w:pPr>
      <w:r>
        <w:rPr/>
        <w:t>To gain like the big boys, you have tried every esoteric metal and metalloid known to man, except for maybe arsenic and mercury. (Better check: maybe you have taken them too.) You have been forced to contend with an incessant barrage</w:t>
      </w:r>
      <w:r>
        <w:rPr>
          <w:spacing w:val="-12"/>
        </w:rPr>
        <w:t> </w:t>
      </w:r>
      <w:r>
        <w:rPr/>
        <w:t>of</w:t>
      </w:r>
      <w:r>
        <w:rPr>
          <w:spacing w:val="-12"/>
        </w:rPr>
        <w:t> </w:t>
      </w:r>
      <w:r>
        <w:rPr/>
        <w:t>dressed-up</w:t>
      </w:r>
      <w:r>
        <w:rPr>
          <w:spacing w:val="-13"/>
        </w:rPr>
        <w:t> </w:t>
      </w:r>
      <w:r>
        <w:rPr/>
        <w:t>vitamins</w:t>
      </w:r>
      <w:r>
        <w:rPr>
          <w:spacing w:val="-9"/>
        </w:rPr>
        <w:t> </w:t>
      </w:r>
      <w:r>
        <w:rPr/>
        <w:t>with</w:t>
      </w:r>
      <w:r>
        <w:rPr>
          <w:spacing w:val="-12"/>
        </w:rPr>
        <w:t> </w:t>
      </w:r>
      <w:r>
        <w:rPr/>
        <w:t>new,</w:t>
      </w:r>
      <w:r>
        <w:rPr>
          <w:spacing w:val="-13"/>
        </w:rPr>
        <w:t> </w:t>
      </w:r>
      <w:r>
        <w:rPr/>
        <w:t>fancy</w:t>
      </w:r>
      <w:r>
        <w:rPr>
          <w:spacing w:val="-9"/>
        </w:rPr>
        <w:t> </w:t>
      </w:r>
      <w:r>
        <w:rPr/>
        <w:t>names</w:t>
      </w:r>
      <w:r>
        <w:rPr>
          <w:spacing w:val="-12"/>
        </w:rPr>
        <w:t> </w:t>
      </w:r>
      <w:r>
        <w:rPr/>
        <w:t>and</w:t>
      </w:r>
      <w:r>
        <w:rPr>
          <w:spacing w:val="-12"/>
        </w:rPr>
        <w:t> </w:t>
      </w:r>
      <w:r>
        <w:rPr/>
        <w:t>never-before-heard- of substances from herbs and small countries.</w:t>
      </w:r>
    </w:p>
    <w:p>
      <w:pPr>
        <w:pStyle w:val="BodyText"/>
        <w:spacing w:line="276" w:lineRule="auto" w:before="240"/>
        <w:ind w:left="477" w:right="132"/>
        <w:jc w:val="both"/>
      </w:pPr>
      <w:r>
        <w:rPr/>
        <w:t>All you ever have been able to go buy is the one with the most likely story and the one the salesman happened to like that week. Getting tired of it all? Well it is high time. Because the rules of this game have just changed.</w:t>
      </w:r>
    </w:p>
    <w:p>
      <w:pPr>
        <w:pStyle w:val="BodyText"/>
        <w:spacing w:line="276" w:lineRule="auto" w:before="241"/>
        <w:ind w:left="477" w:right="131"/>
        <w:jc w:val="both"/>
      </w:pPr>
      <w:r>
        <w:rPr/>
        <w:t>Now you are on the verge of riding a wave provided by big business, a high technology</w:t>
      </w:r>
      <w:r>
        <w:rPr>
          <w:spacing w:val="-18"/>
        </w:rPr>
        <w:t> </w:t>
      </w:r>
      <w:r>
        <w:rPr/>
        <w:t>wave</w:t>
      </w:r>
      <w:r>
        <w:rPr>
          <w:spacing w:val="-19"/>
        </w:rPr>
        <w:t> </w:t>
      </w:r>
      <w:r>
        <w:rPr/>
        <w:t>that</w:t>
      </w:r>
      <w:r>
        <w:rPr>
          <w:spacing w:val="-19"/>
        </w:rPr>
        <w:t> </w:t>
      </w:r>
      <w:r>
        <w:rPr/>
        <w:t>will</w:t>
      </w:r>
      <w:r>
        <w:rPr>
          <w:spacing w:val="-20"/>
        </w:rPr>
        <w:t> </w:t>
      </w:r>
      <w:r>
        <w:rPr/>
        <w:t>take</w:t>
      </w:r>
      <w:r>
        <w:rPr>
          <w:spacing w:val="-19"/>
        </w:rPr>
        <w:t> </w:t>
      </w:r>
      <w:r>
        <w:rPr/>
        <w:t>you</w:t>
      </w:r>
      <w:r>
        <w:rPr>
          <w:spacing w:val="-21"/>
        </w:rPr>
        <w:t> </w:t>
      </w:r>
      <w:r>
        <w:rPr/>
        <w:t>into</w:t>
      </w:r>
      <w:r>
        <w:rPr>
          <w:spacing w:val="-18"/>
        </w:rPr>
        <w:t> </w:t>
      </w:r>
      <w:r>
        <w:rPr/>
        <w:t>the</w:t>
      </w:r>
      <w:r>
        <w:rPr>
          <w:spacing w:val="-21"/>
        </w:rPr>
        <w:t> </w:t>
      </w:r>
      <w:r>
        <w:rPr/>
        <w:t>next</w:t>
      </w:r>
      <w:r>
        <w:rPr>
          <w:spacing w:val="-20"/>
        </w:rPr>
        <w:t> </w:t>
      </w:r>
      <w:r>
        <w:rPr/>
        <w:t>century.</w:t>
      </w:r>
      <w:r>
        <w:rPr>
          <w:spacing w:val="-1"/>
        </w:rPr>
        <w:t> </w:t>
      </w:r>
      <w:r>
        <w:rPr/>
        <w:t>No</w:t>
      </w:r>
      <w:r>
        <w:rPr>
          <w:spacing w:val="-20"/>
        </w:rPr>
        <w:t> </w:t>
      </w:r>
      <w:r>
        <w:rPr/>
        <w:t>hype.</w:t>
      </w:r>
      <w:r>
        <w:rPr>
          <w:spacing w:val="-1"/>
        </w:rPr>
        <w:t> </w:t>
      </w:r>
      <w:r>
        <w:rPr/>
        <w:t>No</w:t>
      </w:r>
      <w:r>
        <w:rPr>
          <w:spacing w:val="-20"/>
        </w:rPr>
        <w:t> </w:t>
      </w:r>
      <w:r>
        <w:rPr/>
        <w:t>bull.</w:t>
      </w:r>
      <w:r>
        <w:rPr>
          <w:spacing w:val="-2"/>
        </w:rPr>
        <w:t> </w:t>
      </w:r>
      <w:r>
        <w:rPr/>
        <w:t>The products are peptide growth factors and wave has a name: genetic</w:t>
      </w:r>
      <w:r>
        <w:rPr>
          <w:spacing w:val="-40"/>
        </w:rPr>
        <w:t> </w:t>
      </w:r>
      <w:r>
        <w:rPr/>
        <w:t>engineering.</w:t>
      </w:r>
    </w:p>
    <w:p>
      <w:pPr>
        <w:pStyle w:val="BodyText"/>
        <w:spacing w:line="276" w:lineRule="auto" w:before="239"/>
        <w:ind w:left="477" w:right="130"/>
        <w:jc w:val="both"/>
      </w:pPr>
      <w:r>
        <w:rPr/>
        <w:t>The</w:t>
      </w:r>
      <w:r>
        <w:rPr>
          <w:spacing w:val="-12"/>
        </w:rPr>
        <w:t> </w:t>
      </w:r>
      <w:r>
        <w:rPr/>
        <w:t>compounds</w:t>
      </w:r>
      <w:r>
        <w:rPr>
          <w:spacing w:val="-13"/>
        </w:rPr>
        <w:t> </w:t>
      </w:r>
      <w:r>
        <w:rPr/>
        <w:t>that</w:t>
      </w:r>
      <w:r>
        <w:rPr>
          <w:spacing w:val="-13"/>
        </w:rPr>
        <w:t> </w:t>
      </w:r>
      <w:r>
        <w:rPr/>
        <w:t>are</w:t>
      </w:r>
      <w:r>
        <w:rPr>
          <w:spacing w:val="-14"/>
        </w:rPr>
        <w:t> </w:t>
      </w:r>
      <w:r>
        <w:rPr/>
        <w:t>bound</w:t>
      </w:r>
      <w:r>
        <w:rPr>
          <w:spacing w:val="-14"/>
        </w:rPr>
        <w:t> </w:t>
      </w:r>
      <w:r>
        <w:rPr/>
        <w:t>to</w:t>
      </w:r>
      <w:r>
        <w:rPr>
          <w:spacing w:val="-11"/>
        </w:rPr>
        <w:t> </w:t>
      </w:r>
      <w:r>
        <w:rPr/>
        <w:t>radically</w:t>
      </w:r>
      <w:r>
        <w:rPr>
          <w:spacing w:val="-11"/>
        </w:rPr>
        <w:t> </w:t>
      </w:r>
      <w:r>
        <w:rPr/>
        <w:t>change</w:t>
      </w:r>
      <w:r>
        <w:rPr>
          <w:spacing w:val="-11"/>
        </w:rPr>
        <w:t> </w:t>
      </w:r>
      <w:r>
        <w:rPr/>
        <w:t>your</w:t>
      </w:r>
      <w:r>
        <w:rPr>
          <w:spacing w:val="-15"/>
        </w:rPr>
        <w:t> </w:t>
      </w:r>
      <w:r>
        <w:rPr/>
        <w:t>life</w:t>
      </w:r>
      <w:r>
        <w:rPr>
          <w:spacing w:val="-14"/>
        </w:rPr>
        <w:t> </w:t>
      </w:r>
      <w:r>
        <w:rPr/>
        <w:t>have</w:t>
      </w:r>
      <w:r>
        <w:rPr>
          <w:spacing w:val="-14"/>
        </w:rPr>
        <w:t> </w:t>
      </w:r>
      <w:r>
        <w:rPr/>
        <w:t>nothing</w:t>
      </w:r>
      <w:r>
        <w:rPr>
          <w:spacing w:val="-11"/>
        </w:rPr>
        <w:t> </w:t>
      </w:r>
      <w:r>
        <w:rPr/>
        <w:t>to</w:t>
      </w:r>
      <w:r>
        <w:rPr>
          <w:spacing w:val="-15"/>
        </w:rPr>
        <w:t> </w:t>
      </w:r>
      <w:r>
        <w:rPr/>
        <w:t>do with ‘enhancing your body’s natural development capacity’. Today, that</w:t>
      </w:r>
      <w:r>
        <w:rPr>
          <w:spacing w:val="-59"/>
        </w:rPr>
        <w:t> </w:t>
      </w:r>
      <w:r>
        <w:rPr/>
        <w:t>sounds pretty anaemic and passe’. These factors do not need to ‘trigger releases’ be- cause they are themselves the anabolic hormones of</w:t>
      </w:r>
      <w:r>
        <w:rPr>
          <w:spacing w:val="-4"/>
        </w:rPr>
        <w:t> </w:t>
      </w:r>
      <w:r>
        <w:rPr/>
        <w:t>interest.</w:t>
      </w:r>
    </w:p>
    <w:p>
      <w:pPr>
        <w:pStyle w:val="BodyText"/>
        <w:spacing w:line="276" w:lineRule="auto" w:before="242"/>
        <w:ind w:left="477" w:right="133"/>
        <w:jc w:val="both"/>
      </w:pPr>
      <w:r>
        <w:rPr/>
        <w:t>The revolutionary peptides are insulin-like Growth Factor one (IGF-1) and Growth</w:t>
      </w:r>
      <w:r>
        <w:rPr>
          <w:spacing w:val="-16"/>
        </w:rPr>
        <w:t> </w:t>
      </w:r>
      <w:r>
        <w:rPr/>
        <w:t>Hormone</w:t>
      </w:r>
      <w:r>
        <w:rPr>
          <w:spacing w:val="-16"/>
        </w:rPr>
        <w:t> </w:t>
      </w:r>
      <w:r>
        <w:rPr/>
        <w:t>(GH),</w:t>
      </w:r>
      <w:r>
        <w:rPr>
          <w:spacing w:val="-15"/>
        </w:rPr>
        <w:t> </w:t>
      </w:r>
      <w:r>
        <w:rPr/>
        <w:t>as</w:t>
      </w:r>
      <w:r>
        <w:rPr>
          <w:spacing w:val="-17"/>
        </w:rPr>
        <w:t> </w:t>
      </w:r>
      <w:r>
        <w:rPr/>
        <w:t>you</w:t>
      </w:r>
      <w:r>
        <w:rPr>
          <w:spacing w:val="-15"/>
        </w:rPr>
        <w:t> </w:t>
      </w:r>
      <w:r>
        <w:rPr/>
        <w:t>may</w:t>
      </w:r>
      <w:r>
        <w:rPr>
          <w:spacing w:val="-16"/>
        </w:rPr>
        <w:t> </w:t>
      </w:r>
      <w:r>
        <w:rPr/>
        <w:t>already</w:t>
      </w:r>
      <w:r>
        <w:rPr>
          <w:spacing w:val="-17"/>
        </w:rPr>
        <w:t> </w:t>
      </w:r>
      <w:r>
        <w:rPr/>
        <w:t>know.</w:t>
      </w:r>
      <w:r>
        <w:rPr>
          <w:spacing w:val="1"/>
        </w:rPr>
        <w:t> </w:t>
      </w:r>
      <w:r>
        <w:rPr/>
        <w:t>The</w:t>
      </w:r>
      <w:r>
        <w:rPr>
          <w:spacing w:val="-16"/>
        </w:rPr>
        <w:t> </w:t>
      </w:r>
      <w:r>
        <w:rPr/>
        <w:t>revolution</w:t>
      </w:r>
      <w:r>
        <w:rPr>
          <w:spacing w:val="-15"/>
        </w:rPr>
        <w:t> </w:t>
      </w:r>
      <w:r>
        <w:rPr/>
        <w:t>comes</w:t>
      </w:r>
      <w:r>
        <w:rPr>
          <w:spacing w:val="-16"/>
        </w:rPr>
        <w:t> </w:t>
      </w:r>
      <w:r>
        <w:rPr/>
        <w:t>from biotechnologists who have tricked bacteria into producing kilograms of this stuff at a</w:t>
      </w:r>
      <w:r>
        <w:rPr>
          <w:spacing w:val="-1"/>
        </w:rPr>
        <w:t> </w:t>
      </w:r>
      <w:r>
        <w:rPr/>
        <w:t>time.</w:t>
      </w:r>
    </w:p>
    <w:p>
      <w:pPr>
        <w:pStyle w:val="BodyText"/>
        <w:spacing w:before="239"/>
        <w:ind w:left="477"/>
        <w:jc w:val="both"/>
      </w:pPr>
      <w:r>
        <w:rPr/>
        <w:t>What is more, the newest and latest information from highly credible</w:t>
      </w:r>
      <w:r>
        <w:rPr>
          <w:spacing w:val="85"/>
        </w:rPr>
        <w:t> </w:t>
      </w:r>
      <w:r>
        <w:rPr/>
        <w:t>research</w:t>
      </w:r>
    </w:p>
    <w:p>
      <w:pPr>
        <w:spacing w:after="0"/>
        <w:jc w:val="both"/>
        <w:sectPr>
          <w:footerReference w:type="default" r:id="rId84"/>
          <w:pgSz w:w="14270" w:h="16850"/>
          <w:pgMar w:footer="1891" w:header="0" w:top="1600" w:bottom="2080" w:left="800" w:right="1280"/>
          <w:pgNumType w:start="320"/>
        </w:sectPr>
      </w:pPr>
    </w:p>
    <w:p>
      <w:pPr>
        <w:pStyle w:val="BodyText"/>
        <w:spacing w:line="276" w:lineRule="auto" w:before="181"/>
        <w:ind w:left="477" w:right="132"/>
        <w:jc w:val="both"/>
      </w:pPr>
      <w:r>
        <w:rPr/>
        <w:t>journals is that credit to GH for all anabolism is simply not true. These are not enquirer articles that are saying this. The last three years of research are defini- tive and have made IGF-1 the clear and obvious anabolic peptide of choice.</w:t>
      </w:r>
    </w:p>
    <w:p>
      <w:pPr>
        <w:pStyle w:val="BodyText"/>
        <w:spacing w:line="276" w:lineRule="auto" w:before="242"/>
        <w:ind w:left="477" w:right="131"/>
        <w:jc w:val="both"/>
      </w:pPr>
      <w:r>
        <w:rPr/>
        <w:t>But wait, you say. Genetically engineered peptides like IGF-1 are drugs. How can this revolution overtake the sport of bodybuilding if we are talking about controlled substances, more expensive and as tightly regulated as steroids? The answer, and the beauty of the argument, is that orally bioavailable IGF-1, and its</w:t>
      </w:r>
      <w:r>
        <w:rPr>
          <w:spacing w:val="-18"/>
        </w:rPr>
        <w:t> </w:t>
      </w:r>
      <w:r>
        <w:rPr/>
        <w:t>growth</w:t>
      </w:r>
      <w:r>
        <w:rPr>
          <w:spacing w:val="-18"/>
        </w:rPr>
        <w:t> </w:t>
      </w:r>
      <w:r>
        <w:rPr/>
        <w:t>factor</w:t>
      </w:r>
      <w:r>
        <w:rPr>
          <w:spacing w:val="-19"/>
        </w:rPr>
        <w:t> </w:t>
      </w:r>
      <w:r>
        <w:rPr/>
        <w:t>friends,</w:t>
      </w:r>
      <w:r>
        <w:rPr>
          <w:spacing w:val="-19"/>
        </w:rPr>
        <w:t> </w:t>
      </w:r>
      <w:r>
        <w:rPr/>
        <w:t>have</w:t>
      </w:r>
      <w:r>
        <w:rPr>
          <w:spacing w:val="-18"/>
        </w:rPr>
        <w:t> </w:t>
      </w:r>
      <w:r>
        <w:rPr/>
        <w:t>been</w:t>
      </w:r>
      <w:r>
        <w:rPr>
          <w:spacing w:val="-18"/>
        </w:rPr>
        <w:t> </w:t>
      </w:r>
      <w:r>
        <w:rPr/>
        <w:t>with</w:t>
      </w:r>
      <w:r>
        <w:rPr>
          <w:spacing w:val="-18"/>
        </w:rPr>
        <w:t> </w:t>
      </w:r>
      <w:r>
        <w:rPr/>
        <w:t>us</w:t>
      </w:r>
      <w:r>
        <w:rPr>
          <w:spacing w:val="-18"/>
        </w:rPr>
        <w:t> </w:t>
      </w:r>
      <w:r>
        <w:rPr/>
        <w:t>for</w:t>
      </w:r>
      <w:r>
        <w:rPr>
          <w:spacing w:val="-17"/>
        </w:rPr>
        <w:t> </w:t>
      </w:r>
      <w:r>
        <w:rPr/>
        <w:t>a</w:t>
      </w:r>
      <w:r>
        <w:rPr>
          <w:spacing w:val="-21"/>
        </w:rPr>
        <w:t> </w:t>
      </w:r>
      <w:r>
        <w:rPr/>
        <w:t>very</w:t>
      </w:r>
      <w:r>
        <w:rPr>
          <w:spacing w:val="-17"/>
        </w:rPr>
        <w:t> </w:t>
      </w:r>
      <w:r>
        <w:rPr/>
        <w:t>long</w:t>
      </w:r>
      <w:r>
        <w:rPr>
          <w:spacing w:val="-18"/>
        </w:rPr>
        <w:t> </w:t>
      </w:r>
      <w:r>
        <w:rPr/>
        <w:t>time.</w:t>
      </w:r>
      <w:r>
        <w:rPr>
          <w:spacing w:val="-4"/>
        </w:rPr>
        <w:t> </w:t>
      </w:r>
      <w:r>
        <w:rPr/>
        <w:t>They</w:t>
      </w:r>
      <w:r>
        <w:rPr>
          <w:spacing w:val="-17"/>
        </w:rPr>
        <w:t> </w:t>
      </w:r>
      <w:r>
        <w:rPr/>
        <w:t>are</w:t>
      </w:r>
      <w:r>
        <w:rPr>
          <w:spacing w:val="-18"/>
        </w:rPr>
        <w:t> </w:t>
      </w:r>
      <w:r>
        <w:rPr/>
        <w:t>found naturally and in exceptionally high concentrations in a special kind of milk, a substance called</w:t>
      </w:r>
      <w:r>
        <w:rPr>
          <w:spacing w:val="1"/>
        </w:rPr>
        <w:t> </w:t>
      </w:r>
      <w:r>
        <w:rPr/>
        <w:t>COLOSTRUM.</w:t>
      </w:r>
    </w:p>
    <w:p>
      <w:pPr>
        <w:pStyle w:val="BodyText"/>
        <w:spacing w:line="410" w:lineRule="auto" w:before="240"/>
        <w:ind w:left="477" w:right="6824"/>
      </w:pPr>
      <w:r>
        <w:rPr/>
        <w:t>Colostrum and the role of IGF-1 Q: How long is a very long</w:t>
      </w:r>
      <w:r>
        <w:rPr>
          <w:spacing w:val="-11"/>
        </w:rPr>
        <w:t> </w:t>
      </w:r>
      <w:r>
        <w:rPr/>
        <w:t>time?</w:t>
      </w:r>
    </w:p>
    <w:p>
      <w:pPr>
        <w:pStyle w:val="BodyText"/>
        <w:spacing w:line="276" w:lineRule="auto"/>
        <w:ind w:left="477" w:right="134"/>
        <w:jc w:val="both"/>
      </w:pPr>
      <w:r>
        <w:rPr/>
        <w:t>A: Ever since mammals have walked the earth. As you know, even before a mammalian baby is born, the mother is capable of producing milk. However, just after the birth event, there comes a signal from the body of the mother to principally include a boatload of growth factors in the mammary fluid, mostly IGF-1.</w:t>
      </w:r>
      <w:r>
        <w:rPr>
          <w:spacing w:val="-2"/>
        </w:rPr>
        <w:t> </w:t>
      </w:r>
      <w:r>
        <w:rPr/>
        <w:t>This</w:t>
      </w:r>
      <w:r>
        <w:rPr>
          <w:spacing w:val="-21"/>
        </w:rPr>
        <w:t> </w:t>
      </w:r>
      <w:r>
        <w:rPr/>
        <w:t>signal</w:t>
      </w:r>
      <w:r>
        <w:rPr>
          <w:spacing w:val="-23"/>
        </w:rPr>
        <w:t> </w:t>
      </w:r>
      <w:r>
        <w:rPr/>
        <w:t>lasts</w:t>
      </w:r>
      <w:r>
        <w:rPr>
          <w:spacing w:val="-21"/>
        </w:rPr>
        <w:t> </w:t>
      </w:r>
      <w:r>
        <w:rPr/>
        <w:t>and</w:t>
      </w:r>
      <w:r>
        <w:rPr>
          <w:spacing w:val="-21"/>
        </w:rPr>
        <w:t> </w:t>
      </w:r>
      <w:r>
        <w:rPr/>
        <w:t>the</w:t>
      </w:r>
      <w:r>
        <w:rPr>
          <w:spacing w:val="-20"/>
        </w:rPr>
        <w:t> </w:t>
      </w:r>
      <w:r>
        <w:rPr/>
        <w:t>growth</w:t>
      </w:r>
      <w:r>
        <w:rPr>
          <w:spacing w:val="-21"/>
        </w:rPr>
        <w:t> </w:t>
      </w:r>
      <w:r>
        <w:rPr/>
        <w:t>factor</w:t>
      </w:r>
      <w:r>
        <w:rPr>
          <w:spacing w:val="-20"/>
        </w:rPr>
        <w:t> </w:t>
      </w:r>
      <w:r>
        <w:rPr/>
        <w:t>content</w:t>
      </w:r>
      <w:r>
        <w:rPr>
          <w:spacing w:val="-21"/>
        </w:rPr>
        <w:t> </w:t>
      </w:r>
      <w:r>
        <w:rPr/>
        <w:t>remains</w:t>
      </w:r>
      <w:r>
        <w:rPr>
          <w:spacing w:val="-21"/>
        </w:rPr>
        <w:t> </w:t>
      </w:r>
      <w:r>
        <w:rPr/>
        <w:t>high</w:t>
      </w:r>
      <w:r>
        <w:rPr>
          <w:spacing w:val="-21"/>
        </w:rPr>
        <w:t> </w:t>
      </w:r>
      <w:r>
        <w:rPr/>
        <w:t>for</w:t>
      </w:r>
      <w:r>
        <w:rPr>
          <w:spacing w:val="-23"/>
        </w:rPr>
        <w:t> </w:t>
      </w:r>
      <w:r>
        <w:rPr/>
        <w:t>between 24</w:t>
      </w:r>
      <w:r>
        <w:rPr>
          <w:spacing w:val="-19"/>
        </w:rPr>
        <w:t> </w:t>
      </w:r>
      <w:r>
        <w:rPr/>
        <w:t>hours</w:t>
      </w:r>
      <w:r>
        <w:rPr>
          <w:spacing w:val="-18"/>
        </w:rPr>
        <w:t> </w:t>
      </w:r>
      <w:r>
        <w:rPr/>
        <w:t>to</w:t>
      </w:r>
      <w:r>
        <w:rPr>
          <w:spacing w:val="-18"/>
        </w:rPr>
        <w:t> </w:t>
      </w:r>
      <w:r>
        <w:rPr/>
        <w:t>at</w:t>
      </w:r>
      <w:r>
        <w:rPr>
          <w:spacing w:val="-20"/>
        </w:rPr>
        <w:t> </w:t>
      </w:r>
      <w:r>
        <w:rPr/>
        <w:t>most</w:t>
      </w:r>
      <w:r>
        <w:rPr>
          <w:spacing w:val="-19"/>
        </w:rPr>
        <w:t> </w:t>
      </w:r>
      <w:r>
        <w:rPr/>
        <w:t>48</w:t>
      </w:r>
      <w:r>
        <w:rPr>
          <w:spacing w:val="-19"/>
        </w:rPr>
        <w:t> </w:t>
      </w:r>
      <w:r>
        <w:rPr/>
        <w:t>hours</w:t>
      </w:r>
      <w:r>
        <w:rPr>
          <w:spacing w:val="-18"/>
        </w:rPr>
        <w:t> </w:t>
      </w:r>
      <w:r>
        <w:rPr/>
        <w:t>after</w:t>
      </w:r>
      <w:r>
        <w:rPr>
          <w:spacing w:val="-19"/>
        </w:rPr>
        <w:t> </w:t>
      </w:r>
      <w:r>
        <w:rPr/>
        <w:t>birth.</w:t>
      </w:r>
      <w:r>
        <w:rPr>
          <w:spacing w:val="-1"/>
        </w:rPr>
        <w:t> </w:t>
      </w:r>
      <w:r>
        <w:rPr/>
        <w:t>After</w:t>
      </w:r>
      <w:r>
        <w:rPr>
          <w:spacing w:val="-19"/>
        </w:rPr>
        <w:t> </w:t>
      </w:r>
      <w:r>
        <w:rPr/>
        <w:t>this</w:t>
      </w:r>
      <w:r>
        <w:rPr>
          <w:spacing w:val="-18"/>
        </w:rPr>
        <w:t> </w:t>
      </w:r>
      <w:r>
        <w:rPr/>
        <w:t>time</w:t>
      </w:r>
      <w:r>
        <w:rPr>
          <w:spacing w:val="-19"/>
        </w:rPr>
        <w:t> </w:t>
      </w:r>
      <w:r>
        <w:rPr/>
        <w:t>normal</w:t>
      </w:r>
      <w:r>
        <w:rPr>
          <w:spacing w:val="-20"/>
        </w:rPr>
        <w:t> </w:t>
      </w:r>
      <w:r>
        <w:rPr/>
        <w:t>milk</w:t>
      </w:r>
      <w:r>
        <w:rPr>
          <w:spacing w:val="-20"/>
        </w:rPr>
        <w:t> </w:t>
      </w:r>
      <w:r>
        <w:rPr/>
        <w:t>production begins.</w:t>
      </w:r>
    </w:p>
    <w:p>
      <w:pPr>
        <w:pStyle w:val="BodyText"/>
        <w:spacing w:line="276" w:lineRule="auto" w:before="241"/>
        <w:ind w:left="477" w:right="133"/>
        <w:jc w:val="both"/>
      </w:pPr>
      <w:r>
        <w:rPr/>
        <w:t>The added punch for Colostrum is that these growth factors, for reasons un- clear, enter the bloodstream intact.</w:t>
      </w:r>
      <w:r>
        <w:rPr>
          <w:spacing w:val="77"/>
        </w:rPr>
        <w:t> </w:t>
      </w:r>
      <w:r>
        <w:rPr/>
        <w:t>Why is it not degraded like steak? Perhaps</w:t>
      </w:r>
    </w:p>
    <w:p>
      <w:pPr>
        <w:spacing w:after="0" w:line="276" w:lineRule="auto"/>
        <w:jc w:val="both"/>
        <w:sectPr>
          <w:pgSz w:w="14270" w:h="16850"/>
          <w:pgMar w:header="0" w:footer="1891" w:top="1600" w:bottom="2080" w:left="800" w:right="1280"/>
        </w:sectPr>
      </w:pPr>
    </w:p>
    <w:p>
      <w:pPr>
        <w:pStyle w:val="BodyText"/>
        <w:spacing w:line="276" w:lineRule="auto" w:before="181"/>
        <w:ind w:left="477" w:right="130"/>
        <w:jc w:val="both"/>
      </w:pPr>
      <w:r>
        <w:rPr/>
        <w:t>due to the high concentration of other large proteins present which are much more</w:t>
      </w:r>
      <w:r>
        <w:rPr>
          <w:spacing w:val="-8"/>
        </w:rPr>
        <w:t> </w:t>
      </w:r>
      <w:r>
        <w:rPr/>
        <w:t>likely</w:t>
      </w:r>
      <w:r>
        <w:rPr>
          <w:spacing w:val="-8"/>
        </w:rPr>
        <w:t> </w:t>
      </w:r>
      <w:r>
        <w:rPr/>
        <w:t>to</w:t>
      </w:r>
      <w:r>
        <w:rPr>
          <w:spacing w:val="-8"/>
        </w:rPr>
        <w:t> </w:t>
      </w:r>
      <w:r>
        <w:rPr/>
        <w:t>get</w:t>
      </w:r>
      <w:r>
        <w:rPr>
          <w:spacing w:val="-8"/>
        </w:rPr>
        <w:t> </w:t>
      </w:r>
      <w:r>
        <w:rPr/>
        <w:t>worked</w:t>
      </w:r>
      <w:r>
        <w:rPr>
          <w:spacing w:val="-6"/>
        </w:rPr>
        <w:t> </w:t>
      </w:r>
      <w:r>
        <w:rPr/>
        <w:t>on</w:t>
      </w:r>
      <w:r>
        <w:rPr>
          <w:spacing w:val="-7"/>
        </w:rPr>
        <w:t> </w:t>
      </w:r>
      <w:r>
        <w:rPr/>
        <w:t>first.</w:t>
      </w:r>
      <w:r>
        <w:rPr>
          <w:spacing w:val="-1"/>
        </w:rPr>
        <w:t> </w:t>
      </w:r>
      <w:r>
        <w:rPr/>
        <w:t>Some</w:t>
      </w:r>
      <w:r>
        <w:rPr>
          <w:spacing w:val="-8"/>
        </w:rPr>
        <w:t> </w:t>
      </w:r>
      <w:r>
        <w:rPr/>
        <w:t>think</w:t>
      </w:r>
      <w:r>
        <w:rPr>
          <w:spacing w:val="-9"/>
        </w:rPr>
        <w:t> </w:t>
      </w:r>
      <w:r>
        <w:rPr/>
        <w:t>there</w:t>
      </w:r>
      <w:r>
        <w:rPr>
          <w:spacing w:val="-7"/>
        </w:rPr>
        <w:t> </w:t>
      </w:r>
      <w:r>
        <w:rPr/>
        <w:t>is</w:t>
      </w:r>
      <w:r>
        <w:rPr>
          <w:spacing w:val="-8"/>
        </w:rPr>
        <w:t> </w:t>
      </w:r>
      <w:r>
        <w:rPr/>
        <w:t>an</w:t>
      </w:r>
      <w:r>
        <w:rPr>
          <w:spacing w:val="-8"/>
        </w:rPr>
        <w:t> </w:t>
      </w:r>
      <w:r>
        <w:rPr/>
        <w:t>elusive</w:t>
      </w:r>
      <w:r>
        <w:rPr>
          <w:spacing w:val="-8"/>
        </w:rPr>
        <w:t> </w:t>
      </w:r>
      <w:r>
        <w:rPr/>
        <w:t>‘transport</w:t>
      </w:r>
      <w:r>
        <w:rPr>
          <w:spacing w:val="-9"/>
        </w:rPr>
        <w:t> </w:t>
      </w:r>
      <w:r>
        <w:rPr/>
        <w:t>fac- tor’</w:t>
      </w:r>
      <w:r>
        <w:rPr>
          <w:spacing w:val="-7"/>
        </w:rPr>
        <w:t> </w:t>
      </w:r>
      <w:r>
        <w:rPr/>
        <w:t>which</w:t>
      </w:r>
      <w:r>
        <w:rPr>
          <w:spacing w:val="-9"/>
        </w:rPr>
        <w:t> </w:t>
      </w:r>
      <w:r>
        <w:rPr/>
        <w:t>guides</w:t>
      </w:r>
      <w:r>
        <w:rPr>
          <w:spacing w:val="-7"/>
        </w:rPr>
        <w:t> </w:t>
      </w:r>
      <w:r>
        <w:rPr/>
        <w:t>the</w:t>
      </w:r>
      <w:r>
        <w:rPr>
          <w:spacing w:val="-9"/>
        </w:rPr>
        <w:t> </w:t>
      </w:r>
      <w:r>
        <w:rPr/>
        <w:t>peptides</w:t>
      </w:r>
      <w:r>
        <w:rPr>
          <w:spacing w:val="-8"/>
        </w:rPr>
        <w:t> </w:t>
      </w:r>
      <w:r>
        <w:rPr/>
        <w:t>to</w:t>
      </w:r>
      <w:r>
        <w:rPr>
          <w:spacing w:val="-10"/>
        </w:rPr>
        <w:t> </w:t>
      </w:r>
      <w:r>
        <w:rPr/>
        <w:t>the</w:t>
      </w:r>
      <w:r>
        <w:rPr>
          <w:spacing w:val="-8"/>
        </w:rPr>
        <w:t> </w:t>
      </w:r>
      <w:r>
        <w:rPr/>
        <w:t>bloodstream.</w:t>
      </w:r>
      <w:r>
        <w:rPr>
          <w:spacing w:val="-1"/>
        </w:rPr>
        <w:t> </w:t>
      </w:r>
      <w:r>
        <w:rPr/>
        <w:t>Other</w:t>
      </w:r>
      <w:r>
        <w:rPr>
          <w:spacing w:val="-8"/>
        </w:rPr>
        <w:t> </w:t>
      </w:r>
      <w:r>
        <w:rPr/>
        <w:t>more</w:t>
      </w:r>
      <w:r>
        <w:rPr>
          <w:spacing w:val="-8"/>
        </w:rPr>
        <w:t> </w:t>
      </w:r>
      <w:r>
        <w:rPr/>
        <w:t>reasonable</w:t>
      </w:r>
      <w:r>
        <w:rPr>
          <w:spacing w:val="-8"/>
        </w:rPr>
        <w:t> </w:t>
      </w:r>
      <w:r>
        <w:rPr/>
        <w:t>pos- sibilities include the well-understood peptide transport vessels present in the small intestines, of which there exist several kinds. Aside from the scientific data,</w:t>
      </w:r>
      <w:r>
        <w:rPr>
          <w:spacing w:val="-10"/>
        </w:rPr>
        <w:t> </w:t>
      </w:r>
      <w:r>
        <w:rPr/>
        <w:t>you</w:t>
      </w:r>
      <w:r>
        <w:rPr>
          <w:spacing w:val="-10"/>
        </w:rPr>
        <w:t> </w:t>
      </w:r>
      <w:r>
        <w:rPr/>
        <w:t>should</w:t>
      </w:r>
      <w:r>
        <w:rPr>
          <w:spacing w:val="-7"/>
        </w:rPr>
        <w:t> </w:t>
      </w:r>
      <w:r>
        <w:rPr/>
        <w:t>ask</w:t>
      </w:r>
      <w:r>
        <w:rPr>
          <w:spacing w:val="-10"/>
        </w:rPr>
        <w:t> </w:t>
      </w:r>
      <w:r>
        <w:rPr/>
        <w:t>yourself,</w:t>
      </w:r>
      <w:r>
        <w:rPr>
          <w:spacing w:val="-9"/>
        </w:rPr>
        <w:t> </w:t>
      </w:r>
      <w:r>
        <w:rPr/>
        <w:t>‘Why</w:t>
      </w:r>
      <w:r>
        <w:rPr>
          <w:spacing w:val="-8"/>
        </w:rPr>
        <w:t> </w:t>
      </w:r>
      <w:r>
        <w:rPr/>
        <w:t>would</w:t>
      </w:r>
      <w:r>
        <w:rPr>
          <w:spacing w:val="-10"/>
        </w:rPr>
        <w:t> </w:t>
      </w:r>
      <w:r>
        <w:rPr/>
        <w:t>nature</w:t>
      </w:r>
      <w:r>
        <w:rPr>
          <w:spacing w:val="-7"/>
        </w:rPr>
        <w:t> </w:t>
      </w:r>
      <w:r>
        <w:rPr/>
        <w:t>include</w:t>
      </w:r>
      <w:r>
        <w:rPr>
          <w:spacing w:val="-9"/>
        </w:rPr>
        <w:t> </w:t>
      </w:r>
      <w:r>
        <w:rPr/>
        <w:t>such</w:t>
      </w:r>
      <w:r>
        <w:rPr>
          <w:spacing w:val="-8"/>
        </w:rPr>
        <w:t> </w:t>
      </w:r>
      <w:r>
        <w:rPr/>
        <w:t>precious</w:t>
      </w:r>
      <w:r>
        <w:rPr>
          <w:spacing w:val="-7"/>
        </w:rPr>
        <w:t> </w:t>
      </w:r>
      <w:r>
        <w:rPr/>
        <w:t>growth factors</w:t>
      </w:r>
      <w:r>
        <w:rPr>
          <w:spacing w:val="-23"/>
        </w:rPr>
        <w:t> </w:t>
      </w:r>
      <w:r>
        <w:rPr/>
        <w:t>as</w:t>
      </w:r>
      <w:r>
        <w:rPr>
          <w:spacing w:val="-24"/>
        </w:rPr>
        <w:t> </w:t>
      </w:r>
      <w:r>
        <w:rPr/>
        <w:t>are</w:t>
      </w:r>
      <w:r>
        <w:rPr>
          <w:spacing w:val="-24"/>
        </w:rPr>
        <w:t> </w:t>
      </w:r>
      <w:r>
        <w:rPr/>
        <w:t>found</w:t>
      </w:r>
      <w:r>
        <w:rPr>
          <w:spacing w:val="-22"/>
        </w:rPr>
        <w:t> </w:t>
      </w:r>
      <w:r>
        <w:rPr/>
        <w:t>in</w:t>
      </w:r>
      <w:r>
        <w:rPr>
          <w:spacing w:val="-23"/>
        </w:rPr>
        <w:t> </w:t>
      </w:r>
      <w:r>
        <w:rPr/>
        <w:t>Colostrum</w:t>
      </w:r>
      <w:r>
        <w:rPr>
          <w:spacing w:val="-24"/>
        </w:rPr>
        <w:t> </w:t>
      </w:r>
      <w:r>
        <w:rPr/>
        <w:t>to</w:t>
      </w:r>
      <w:r>
        <w:rPr>
          <w:spacing w:val="-23"/>
        </w:rPr>
        <w:t> </w:t>
      </w:r>
      <w:r>
        <w:rPr/>
        <w:t>have</w:t>
      </w:r>
      <w:r>
        <w:rPr>
          <w:spacing w:val="-23"/>
        </w:rPr>
        <w:t> </w:t>
      </w:r>
      <w:r>
        <w:rPr/>
        <w:t>them</w:t>
      </w:r>
      <w:r>
        <w:rPr>
          <w:spacing w:val="-23"/>
        </w:rPr>
        <w:t> </w:t>
      </w:r>
      <w:r>
        <w:rPr/>
        <w:t>simply</w:t>
      </w:r>
      <w:r>
        <w:rPr>
          <w:spacing w:val="-24"/>
        </w:rPr>
        <w:t> </w:t>
      </w:r>
      <w:r>
        <w:rPr/>
        <w:t>converted</w:t>
      </w:r>
      <w:r>
        <w:rPr>
          <w:spacing w:val="-24"/>
        </w:rPr>
        <w:t> </w:t>
      </w:r>
      <w:r>
        <w:rPr/>
        <w:t>to</w:t>
      </w:r>
      <w:r>
        <w:rPr>
          <w:spacing w:val="-22"/>
        </w:rPr>
        <w:t> </w:t>
      </w:r>
      <w:r>
        <w:rPr/>
        <w:t>amino</w:t>
      </w:r>
      <w:r>
        <w:rPr>
          <w:spacing w:val="-23"/>
        </w:rPr>
        <w:t> </w:t>
      </w:r>
      <w:r>
        <w:rPr/>
        <w:t>acids with no overt benefit to the newborn’? Nature would</w:t>
      </w:r>
      <w:r>
        <w:rPr>
          <w:spacing w:val="2"/>
        </w:rPr>
        <w:t> </w:t>
      </w:r>
      <w:r>
        <w:rPr/>
        <w:t>not.</w:t>
      </w:r>
    </w:p>
    <w:p>
      <w:pPr>
        <w:pStyle w:val="BodyText"/>
        <w:spacing w:line="276" w:lineRule="auto" w:before="242"/>
        <w:ind w:left="477" w:right="130"/>
        <w:jc w:val="both"/>
      </w:pPr>
      <w:r>
        <w:rPr/>
        <w:t>It is best to discuss the functional properties of IGF-1 to explain exactly why</w:t>
      </w:r>
      <w:r>
        <w:rPr>
          <w:spacing w:val="-51"/>
        </w:rPr>
        <w:t> </w:t>
      </w:r>
      <w:r>
        <w:rPr/>
        <w:t>it is so anabolic. In former times, IGF-1 was called ‘Somatomedin C’ and some- times still is. IGF-1 is a small peptide related to insulin, thus the name ‘Insulin- like</w:t>
      </w:r>
      <w:r>
        <w:rPr>
          <w:spacing w:val="-13"/>
        </w:rPr>
        <w:t> </w:t>
      </w:r>
      <w:r>
        <w:rPr/>
        <w:t>Growth</w:t>
      </w:r>
      <w:r>
        <w:rPr>
          <w:spacing w:val="-11"/>
        </w:rPr>
        <w:t> </w:t>
      </w:r>
      <w:r>
        <w:rPr/>
        <w:t>Factor’. However,</w:t>
      </w:r>
      <w:r>
        <w:rPr>
          <w:spacing w:val="-13"/>
        </w:rPr>
        <w:t> </w:t>
      </w:r>
      <w:r>
        <w:rPr/>
        <w:t>it</w:t>
      </w:r>
      <w:r>
        <w:rPr>
          <w:spacing w:val="-13"/>
        </w:rPr>
        <w:t> </w:t>
      </w:r>
      <w:r>
        <w:rPr/>
        <w:t>has</w:t>
      </w:r>
      <w:r>
        <w:rPr>
          <w:spacing w:val="-11"/>
        </w:rPr>
        <w:t> </w:t>
      </w:r>
      <w:r>
        <w:rPr/>
        <w:t>a</w:t>
      </w:r>
      <w:r>
        <w:rPr>
          <w:spacing w:val="-15"/>
        </w:rPr>
        <w:t> </w:t>
      </w:r>
      <w:r>
        <w:rPr/>
        <w:t>strikingly</w:t>
      </w:r>
      <w:r>
        <w:rPr>
          <w:spacing w:val="-13"/>
        </w:rPr>
        <w:t> </w:t>
      </w:r>
      <w:r>
        <w:rPr/>
        <w:t>more</w:t>
      </w:r>
      <w:r>
        <w:rPr>
          <w:spacing w:val="-11"/>
        </w:rPr>
        <w:t> </w:t>
      </w:r>
      <w:r>
        <w:rPr/>
        <w:t>potent</w:t>
      </w:r>
      <w:r>
        <w:rPr>
          <w:spacing w:val="-11"/>
        </w:rPr>
        <w:t> </w:t>
      </w:r>
      <w:r>
        <w:rPr/>
        <w:t>anabolic</w:t>
      </w:r>
      <w:r>
        <w:rPr>
          <w:spacing w:val="-13"/>
        </w:rPr>
        <w:t> </w:t>
      </w:r>
      <w:r>
        <w:rPr/>
        <w:t>than</w:t>
      </w:r>
      <w:r>
        <w:rPr>
          <w:spacing w:val="-11"/>
        </w:rPr>
        <w:t> </w:t>
      </w:r>
      <w:r>
        <w:rPr/>
        <w:t>any known compound, even steroids. This is because steroids do not necessarily direct new muscle protein synthesis or differentiation, they merely force the muscle cells to retain nutrient building blocks (amino acids), enhance glycogen synthesis and occasionally divide. GH does the same type of thing but with</w:t>
      </w:r>
      <w:r>
        <w:rPr>
          <w:spacing w:val="-50"/>
        </w:rPr>
        <w:t> </w:t>
      </w:r>
      <w:r>
        <w:rPr/>
        <w:t>the added step of early cellular differentiation. The most important fact and one that is often overlooked is that GH tells the muscle cell to make localised</w:t>
      </w:r>
      <w:r>
        <w:rPr>
          <w:spacing w:val="-56"/>
        </w:rPr>
        <w:t> </w:t>
      </w:r>
      <w:r>
        <w:rPr/>
        <w:t>IGF- 1</w:t>
      </w:r>
      <w:r>
        <w:rPr>
          <w:spacing w:val="-27"/>
        </w:rPr>
        <w:t> </w:t>
      </w:r>
      <w:r>
        <w:rPr/>
        <w:t>which</w:t>
      </w:r>
      <w:r>
        <w:rPr>
          <w:spacing w:val="-25"/>
        </w:rPr>
        <w:t> </w:t>
      </w:r>
      <w:r>
        <w:rPr/>
        <w:t>readily</w:t>
      </w:r>
      <w:r>
        <w:rPr>
          <w:spacing w:val="-25"/>
        </w:rPr>
        <w:t> </w:t>
      </w:r>
      <w:r>
        <w:rPr/>
        <w:t>takes</w:t>
      </w:r>
      <w:r>
        <w:rPr>
          <w:spacing w:val="-25"/>
        </w:rPr>
        <w:t> </w:t>
      </w:r>
      <w:r>
        <w:rPr/>
        <w:t>over</w:t>
      </w:r>
      <w:r>
        <w:rPr>
          <w:spacing w:val="-26"/>
        </w:rPr>
        <w:t> </w:t>
      </w:r>
      <w:r>
        <w:rPr/>
        <w:t>the</w:t>
      </w:r>
      <w:r>
        <w:rPr>
          <w:spacing w:val="-27"/>
        </w:rPr>
        <w:t> </w:t>
      </w:r>
      <w:r>
        <w:rPr/>
        <w:t>anabolic</w:t>
      </w:r>
      <w:r>
        <w:rPr>
          <w:spacing w:val="-27"/>
        </w:rPr>
        <w:t> </w:t>
      </w:r>
      <w:r>
        <w:rPr/>
        <w:t>activities</w:t>
      </w:r>
      <w:r>
        <w:rPr>
          <w:spacing w:val="-25"/>
        </w:rPr>
        <w:t> </w:t>
      </w:r>
      <w:r>
        <w:rPr/>
        <w:t>of</w:t>
      </w:r>
      <w:r>
        <w:rPr>
          <w:spacing w:val="-25"/>
        </w:rPr>
        <w:t> </w:t>
      </w:r>
      <w:r>
        <w:rPr/>
        <w:t>nutrient</w:t>
      </w:r>
      <w:r>
        <w:rPr>
          <w:spacing w:val="-27"/>
        </w:rPr>
        <w:t> </w:t>
      </w:r>
      <w:r>
        <w:rPr/>
        <w:t>uptake,</w:t>
      </w:r>
      <w:r>
        <w:rPr>
          <w:spacing w:val="-26"/>
        </w:rPr>
        <w:t> </w:t>
      </w:r>
      <w:r>
        <w:rPr/>
        <w:t>proliferation and differentiation.</w:t>
      </w:r>
    </w:p>
    <w:p>
      <w:pPr>
        <w:pStyle w:val="BodyText"/>
        <w:spacing w:line="276" w:lineRule="auto" w:before="240"/>
        <w:ind w:left="477" w:right="134"/>
        <w:jc w:val="both"/>
      </w:pPr>
      <w:r>
        <w:rPr/>
        <w:t>After GH brings specific muscle cells, the ones which are getting the workout, to the stage where they are ready to differentiate, IGF-1 is synthesised to draw in more nutrients than they could ever use. It is now known that only</w:t>
      </w:r>
      <w:r>
        <w:rPr>
          <w:spacing w:val="72"/>
        </w:rPr>
        <w:t> </w:t>
      </w:r>
      <w:r>
        <w:rPr/>
        <w:t>through</w:t>
      </w:r>
    </w:p>
    <w:p>
      <w:pPr>
        <w:spacing w:after="0" w:line="276" w:lineRule="auto"/>
        <w:jc w:val="both"/>
        <w:sectPr>
          <w:pgSz w:w="14270" w:h="16850"/>
          <w:pgMar w:header="0" w:footer="1891" w:top="1600" w:bottom="2080" w:left="800" w:right="1280"/>
        </w:sectPr>
      </w:pPr>
    </w:p>
    <w:p>
      <w:pPr>
        <w:pStyle w:val="BodyText"/>
        <w:spacing w:line="276" w:lineRule="auto" w:before="181"/>
        <w:ind w:left="477" w:right="132"/>
        <w:jc w:val="both"/>
      </w:pPr>
      <w:r>
        <w:rPr/>
        <w:t>action</w:t>
      </w:r>
      <w:r>
        <w:rPr>
          <w:spacing w:val="-11"/>
        </w:rPr>
        <w:t> </w:t>
      </w:r>
      <w:r>
        <w:rPr/>
        <w:t>via</w:t>
      </w:r>
      <w:r>
        <w:rPr>
          <w:spacing w:val="-13"/>
        </w:rPr>
        <w:t> </w:t>
      </w:r>
      <w:r>
        <w:rPr/>
        <w:t>the</w:t>
      </w:r>
      <w:r>
        <w:rPr>
          <w:spacing w:val="-11"/>
        </w:rPr>
        <w:t> </w:t>
      </w:r>
      <w:r>
        <w:rPr/>
        <w:t>IGF-1</w:t>
      </w:r>
      <w:r>
        <w:rPr>
          <w:spacing w:val="-12"/>
        </w:rPr>
        <w:t> </w:t>
      </w:r>
      <w:r>
        <w:rPr/>
        <w:t>receptor</w:t>
      </w:r>
      <w:r>
        <w:rPr>
          <w:spacing w:val="-11"/>
        </w:rPr>
        <w:t> </w:t>
      </w:r>
      <w:r>
        <w:rPr/>
        <w:t>can</w:t>
      </w:r>
      <w:r>
        <w:rPr>
          <w:spacing w:val="-11"/>
        </w:rPr>
        <w:t> </w:t>
      </w:r>
      <w:r>
        <w:rPr/>
        <w:t>there</w:t>
      </w:r>
      <w:r>
        <w:rPr>
          <w:spacing w:val="-14"/>
        </w:rPr>
        <w:t> </w:t>
      </w:r>
      <w:r>
        <w:rPr/>
        <w:t>be</w:t>
      </w:r>
      <w:r>
        <w:rPr>
          <w:spacing w:val="-11"/>
        </w:rPr>
        <w:t> </w:t>
      </w:r>
      <w:r>
        <w:rPr/>
        <w:t>a</w:t>
      </w:r>
      <w:r>
        <w:rPr>
          <w:spacing w:val="-14"/>
        </w:rPr>
        <w:t> </w:t>
      </w:r>
      <w:r>
        <w:rPr/>
        <w:t>loud</w:t>
      </w:r>
      <w:r>
        <w:rPr>
          <w:spacing w:val="-12"/>
        </w:rPr>
        <w:t> </w:t>
      </w:r>
      <w:r>
        <w:rPr/>
        <w:t>and</w:t>
      </w:r>
      <w:r>
        <w:rPr>
          <w:spacing w:val="-11"/>
        </w:rPr>
        <w:t> </w:t>
      </w:r>
      <w:r>
        <w:rPr/>
        <w:t>clear</w:t>
      </w:r>
      <w:r>
        <w:rPr>
          <w:spacing w:val="-11"/>
        </w:rPr>
        <w:t> </w:t>
      </w:r>
      <w:r>
        <w:rPr/>
        <w:t>signal</w:t>
      </w:r>
      <w:r>
        <w:rPr>
          <w:spacing w:val="-12"/>
        </w:rPr>
        <w:t> </w:t>
      </w:r>
      <w:r>
        <w:rPr/>
        <w:t>to</w:t>
      </w:r>
      <w:r>
        <w:rPr>
          <w:spacing w:val="-11"/>
        </w:rPr>
        <w:t> </w:t>
      </w:r>
      <w:r>
        <w:rPr/>
        <w:t>the</w:t>
      </w:r>
      <w:r>
        <w:rPr>
          <w:spacing w:val="-13"/>
        </w:rPr>
        <w:t> </w:t>
      </w:r>
      <w:r>
        <w:rPr/>
        <w:t>nucleus of the muscle cell, a direct instruction to make more muscle cells and make more muscle protein.</w:t>
      </w:r>
    </w:p>
    <w:p>
      <w:pPr>
        <w:pStyle w:val="BodyText"/>
        <w:spacing w:line="276" w:lineRule="auto" w:before="242"/>
        <w:ind w:left="477" w:right="132"/>
        <w:jc w:val="both"/>
      </w:pPr>
      <w:r>
        <w:rPr/>
        <w:t>Just a few years ago, growth hormone was sometimes called ‘somatotropin’ from ‘somato’, related to the body, and ‘tropin’, having to do with nutrition or in this case anabolism and growth. And so the old name for GH meant ‘body nutrient factor’ or ‘body growth factor.’ In this context it is easy to see why IGF-1 was called ‘somatomedin’, from ‘somato’, given above and ‘medin’ meaning between. Thus the role of IGF-1 comes between the bodily effects of GH and actual anabolism. That is, without the intervening effects of IGF-1, GH would be much less significant as a growth enhancer, and the only reason why it works so well is because of your body’s own IGF-1 production. AS you have</w:t>
      </w:r>
      <w:r>
        <w:rPr>
          <w:spacing w:val="-15"/>
        </w:rPr>
        <w:t> </w:t>
      </w:r>
      <w:r>
        <w:rPr/>
        <w:t>been</w:t>
      </w:r>
      <w:r>
        <w:rPr>
          <w:spacing w:val="-13"/>
        </w:rPr>
        <w:t> </w:t>
      </w:r>
      <w:r>
        <w:rPr/>
        <w:t>made</w:t>
      </w:r>
      <w:r>
        <w:rPr>
          <w:spacing w:val="-17"/>
        </w:rPr>
        <w:t> </w:t>
      </w:r>
      <w:r>
        <w:rPr/>
        <w:t>well</w:t>
      </w:r>
      <w:r>
        <w:rPr>
          <w:spacing w:val="-17"/>
        </w:rPr>
        <w:t> </w:t>
      </w:r>
      <w:r>
        <w:rPr/>
        <w:t>aware,</w:t>
      </w:r>
      <w:r>
        <w:rPr>
          <w:spacing w:val="-13"/>
        </w:rPr>
        <w:t> </w:t>
      </w:r>
      <w:r>
        <w:rPr/>
        <w:t>one</w:t>
      </w:r>
      <w:r>
        <w:rPr>
          <w:spacing w:val="-19"/>
        </w:rPr>
        <w:t> </w:t>
      </w:r>
      <w:r>
        <w:rPr/>
        <w:t>of</w:t>
      </w:r>
      <w:r>
        <w:rPr>
          <w:spacing w:val="-15"/>
        </w:rPr>
        <w:t> </w:t>
      </w:r>
      <w:r>
        <w:rPr/>
        <w:t>the</w:t>
      </w:r>
      <w:r>
        <w:rPr>
          <w:spacing w:val="-13"/>
        </w:rPr>
        <w:t> </w:t>
      </w:r>
      <w:r>
        <w:rPr/>
        <w:t>real</w:t>
      </w:r>
      <w:r>
        <w:rPr>
          <w:spacing w:val="-15"/>
        </w:rPr>
        <w:t> </w:t>
      </w:r>
      <w:r>
        <w:rPr/>
        <w:t>problems</w:t>
      </w:r>
      <w:r>
        <w:rPr>
          <w:spacing w:val="-14"/>
        </w:rPr>
        <w:t> </w:t>
      </w:r>
      <w:r>
        <w:rPr/>
        <w:t>with</w:t>
      </w:r>
      <w:r>
        <w:rPr>
          <w:spacing w:val="-14"/>
        </w:rPr>
        <w:t> </w:t>
      </w:r>
      <w:r>
        <w:rPr/>
        <w:t>achieving</w:t>
      </w:r>
      <w:r>
        <w:rPr>
          <w:spacing w:val="-13"/>
        </w:rPr>
        <w:t> </w:t>
      </w:r>
      <w:r>
        <w:rPr/>
        <w:t>an</w:t>
      </w:r>
      <w:r>
        <w:rPr>
          <w:spacing w:val="-15"/>
        </w:rPr>
        <w:t> </w:t>
      </w:r>
      <w:r>
        <w:rPr/>
        <w:t>extreme muscular development lies not just in harnessing anabolism but in preventing catabolism.</w:t>
      </w:r>
      <w:r>
        <w:rPr>
          <w:spacing w:val="-3"/>
        </w:rPr>
        <w:t> </w:t>
      </w:r>
      <w:r>
        <w:rPr/>
        <w:t>It</w:t>
      </w:r>
      <w:r>
        <w:rPr>
          <w:spacing w:val="-23"/>
        </w:rPr>
        <w:t> </w:t>
      </w:r>
      <w:r>
        <w:rPr/>
        <w:t>is</w:t>
      </w:r>
      <w:r>
        <w:rPr>
          <w:spacing w:val="-23"/>
        </w:rPr>
        <w:t> </w:t>
      </w:r>
      <w:r>
        <w:rPr/>
        <w:t>worthwhile</w:t>
      </w:r>
      <w:r>
        <w:rPr>
          <w:spacing w:val="-24"/>
        </w:rPr>
        <w:t> </w:t>
      </w:r>
      <w:r>
        <w:rPr/>
        <w:t>to</w:t>
      </w:r>
      <w:r>
        <w:rPr>
          <w:spacing w:val="-22"/>
        </w:rPr>
        <w:t> </w:t>
      </w:r>
      <w:r>
        <w:rPr/>
        <w:t>bring</w:t>
      </w:r>
      <w:r>
        <w:rPr>
          <w:spacing w:val="-23"/>
        </w:rPr>
        <w:t> </w:t>
      </w:r>
      <w:r>
        <w:rPr/>
        <w:t>up</w:t>
      </w:r>
      <w:r>
        <w:rPr>
          <w:spacing w:val="-23"/>
        </w:rPr>
        <w:t> </w:t>
      </w:r>
      <w:r>
        <w:rPr/>
        <w:t>this</w:t>
      </w:r>
      <w:r>
        <w:rPr>
          <w:spacing w:val="-22"/>
        </w:rPr>
        <w:t> </w:t>
      </w:r>
      <w:r>
        <w:rPr/>
        <w:t>point</w:t>
      </w:r>
      <w:r>
        <w:rPr>
          <w:spacing w:val="-24"/>
        </w:rPr>
        <w:t> </w:t>
      </w:r>
      <w:r>
        <w:rPr/>
        <w:t>because</w:t>
      </w:r>
      <w:r>
        <w:rPr>
          <w:spacing w:val="-23"/>
        </w:rPr>
        <w:t> </w:t>
      </w:r>
      <w:r>
        <w:rPr/>
        <w:t>it</w:t>
      </w:r>
      <w:r>
        <w:rPr>
          <w:spacing w:val="-25"/>
        </w:rPr>
        <w:t> </w:t>
      </w:r>
      <w:r>
        <w:rPr/>
        <w:t>has</w:t>
      </w:r>
      <w:r>
        <w:rPr>
          <w:spacing w:val="-22"/>
        </w:rPr>
        <w:t> </w:t>
      </w:r>
      <w:r>
        <w:rPr/>
        <w:t>been</w:t>
      </w:r>
      <w:r>
        <w:rPr>
          <w:spacing w:val="-22"/>
        </w:rPr>
        <w:t> </w:t>
      </w:r>
      <w:r>
        <w:rPr/>
        <w:t>repeatedly demonstrated that even in old age and starvation conditions, IGF-1 acts pri- marily to prevent weight loss. In a protein-rich diet with sufficient IGF-1 the cell can therefore be expected to devote all biochemical energy to anabolism, focusing on</w:t>
      </w:r>
      <w:r>
        <w:rPr>
          <w:spacing w:val="1"/>
        </w:rPr>
        <w:t> </w:t>
      </w:r>
      <w:r>
        <w:rPr/>
        <w:t>growth.</w:t>
      </w:r>
    </w:p>
    <w:p>
      <w:pPr>
        <w:pStyle w:val="BodyText"/>
        <w:spacing w:line="276" w:lineRule="auto" w:before="239"/>
        <w:ind w:left="477" w:right="134"/>
        <w:jc w:val="both"/>
      </w:pPr>
      <w:r>
        <w:rPr/>
        <w:t>Luckily for every newborn that has ever existed, nature has been aware of this fact</w:t>
      </w:r>
      <w:r>
        <w:rPr>
          <w:spacing w:val="-23"/>
        </w:rPr>
        <w:t> </w:t>
      </w:r>
      <w:r>
        <w:rPr/>
        <w:t>and</w:t>
      </w:r>
      <w:r>
        <w:rPr>
          <w:spacing w:val="-21"/>
        </w:rPr>
        <w:t> </w:t>
      </w:r>
      <w:r>
        <w:rPr/>
        <w:t>has</w:t>
      </w:r>
      <w:r>
        <w:rPr>
          <w:spacing w:val="-20"/>
        </w:rPr>
        <w:t> </w:t>
      </w:r>
      <w:r>
        <w:rPr/>
        <w:t>included</w:t>
      </w:r>
      <w:r>
        <w:rPr>
          <w:spacing w:val="-22"/>
        </w:rPr>
        <w:t> </w:t>
      </w:r>
      <w:r>
        <w:rPr/>
        <w:t>IGF-1</w:t>
      </w:r>
      <w:r>
        <w:rPr>
          <w:spacing w:val="-22"/>
        </w:rPr>
        <w:t> </w:t>
      </w:r>
      <w:r>
        <w:rPr/>
        <w:t>in</w:t>
      </w:r>
      <w:r>
        <w:rPr>
          <w:spacing w:val="-21"/>
        </w:rPr>
        <w:t> </w:t>
      </w:r>
      <w:r>
        <w:rPr/>
        <w:t>high</w:t>
      </w:r>
      <w:r>
        <w:rPr>
          <w:spacing w:val="-20"/>
        </w:rPr>
        <w:t> </w:t>
      </w:r>
      <w:r>
        <w:rPr/>
        <w:t>concentration</w:t>
      </w:r>
      <w:r>
        <w:rPr>
          <w:spacing w:val="-20"/>
        </w:rPr>
        <w:t> </w:t>
      </w:r>
      <w:r>
        <w:rPr/>
        <w:t>in</w:t>
      </w:r>
      <w:r>
        <w:rPr>
          <w:spacing w:val="-21"/>
        </w:rPr>
        <w:t> </w:t>
      </w:r>
      <w:r>
        <w:rPr/>
        <w:t>Colostrum.</w:t>
      </w:r>
      <w:r>
        <w:rPr>
          <w:spacing w:val="-4"/>
        </w:rPr>
        <w:t> </w:t>
      </w:r>
      <w:r>
        <w:rPr/>
        <w:t>Colostrum</w:t>
      </w:r>
      <w:r>
        <w:rPr>
          <w:spacing w:val="-23"/>
        </w:rPr>
        <w:t> </w:t>
      </w:r>
      <w:r>
        <w:rPr/>
        <w:t>has the responsibility of jump-starting the newborn growth and immune systems with</w:t>
      </w:r>
      <w:r>
        <w:rPr>
          <w:spacing w:val="-18"/>
        </w:rPr>
        <w:t> </w:t>
      </w:r>
      <w:r>
        <w:rPr/>
        <w:t>lots</w:t>
      </w:r>
      <w:r>
        <w:rPr>
          <w:spacing w:val="-17"/>
        </w:rPr>
        <w:t> </w:t>
      </w:r>
      <w:r>
        <w:rPr/>
        <w:t>of</w:t>
      </w:r>
      <w:r>
        <w:rPr>
          <w:spacing w:val="-19"/>
        </w:rPr>
        <w:t> </w:t>
      </w:r>
      <w:r>
        <w:rPr/>
        <w:t>factors</w:t>
      </w:r>
      <w:r>
        <w:rPr>
          <w:spacing w:val="-17"/>
        </w:rPr>
        <w:t> </w:t>
      </w:r>
      <w:r>
        <w:rPr/>
        <w:t>which</w:t>
      </w:r>
      <w:r>
        <w:rPr>
          <w:spacing w:val="-18"/>
        </w:rPr>
        <w:t> </w:t>
      </w:r>
      <w:r>
        <w:rPr/>
        <w:t>help</w:t>
      </w:r>
      <w:r>
        <w:rPr>
          <w:spacing w:val="-18"/>
        </w:rPr>
        <w:t> </w:t>
      </w:r>
      <w:r>
        <w:rPr/>
        <w:t>elongate</w:t>
      </w:r>
      <w:r>
        <w:rPr>
          <w:spacing w:val="-18"/>
        </w:rPr>
        <w:t> </w:t>
      </w:r>
      <w:r>
        <w:rPr/>
        <w:t>bone</w:t>
      </w:r>
      <w:r>
        <w:rPr>
          <w:spacing w:val="-19"/>
        </w:rPr>
        <w:t> </w:t>
      </w:r>
      <w:r>
        <w:rPr/>
        <w:t>and</w:t>
      </w:r>
      <w:r>
        <w:rPr>
          <w:spacing w:val="-18"/>
        </w:rPr>
        <w:t> </w:t>
      </w:r>
      <w:r>
        <w:rPr/>
        <w:t>cartilage,</w:t>
      </w:r>
      <w:r>
        <w:rPr>
          <w:spacing w:val="-18"/>
        </w:rPr>
        <w:t> </w:t>
      </w:r>
      <w:r>
        <w:rPr/>
        <w:t>develop</w:t>
      </w:r>
      <w:r>
        <w:rPr>
          <w:spacing w:val="-17"/>
        </w:rPr>
        <w:t> </w:t>
      </w:r>
      <w:r>
        <w:rPr/>
        <w:t>muscle,</w:t>
      </w:r>
      <w:r>
        <w:rPr>
          <w:spacing w:val="-18"/>
        </w:rPr>
        <w:t> </w:t>
      </w:r>
      <w:r>
        <w:rPr/>
        <w:t>and</w:t>
      </w:r>
    </w:p>
    <w:p>
      <w:pPr>
        <w:spacing w:after="0" w:line="276" w:lineRule="auto"/>
        <w:jc w:val="both"/>
        <w:sectPr>
          <w:pgSz w:w="14270" w:h="16850"/>
          <w:pgMar w:header="0" w:footer="1891" w:top="1600" w:bottom="2080" w:left="800" w:right="1280"/>
        </w:sectPr>
      </w:pPr>
    </w:p>
    <w:p>
      <w:pPr>
        <w:pStyle w:val="BodyText"/>
        <w:spacing w:line="276" w:lineRule="auto" w:before="181"/>
        <w:ind w:left="477" w:right="132"/>
        <w:jc w:val="both"/>
      </w:pPr>
      <w:r>
        <w:rPr/>
        <w:t>ward off infections of all types. What follows is a brief list of some of the im- portant compounds, which contribute to the anabolic effects of Colostrum.</w:t>
      </w:r>
    </w:p>
    <w:p>
      <w:pPr>
        <w:pStyle w:val="BodyText"/>
        <w:spacing w:before="241"/>
        <w:ind w:left="477"/>
      </w:pPr>
      <w:r>
        <w:rPr/>
        <w:t>The Factors</w:t>
      </w:r>
    </w:p>
    <w:p>
      <w:pPr>
        <w:pStyle w:val="BodyText"/>
        <w:spacing w:line="276" w:lineRule="auto" w:before="305"/>
        <w:ind w:left="477" w:right="131"/>
        <w:jc w:val="both"/>
      </w:pPr>
      <w:r>
        <w:rPr/>
        <w:t>Colostrum contains other protein factors besides IGF-1, which have very im- portant anabolic properties, these are: Interleukin One (IL-1), a factor called FGF, and EGF. Apart from those, there exist other growth factors and nutri- ents of value to the serious lifter, but none are even near the concentration or possess</w:t>
      </w:r>
      <w:r>
        <w:rPr>
          <w:spacing w:val="-23"/>
        </w:rPr>
        <w:t> </w:t>
      </w:r>
      <w:r>
        <w:rPr/>
        <w:t>the</w:t>
      </w:r>
      <w:r>
        <w:rPr>
          <w:spacing w:val="-23"/>
        </w:rPr>
        <w:t> </w:t>
      </w:r>
      <w:r>
        <w:rPr/>
        <w:t>directly</w:t>
      </w:r>
      <w:r>
        <w:rPr>
          <w:spacing w:val="-23"/>
        </w:rPr>
        <w:t> </w:t>
      </w:r>
      <w:r>
        <w:rPr/>
        <w:t>anabolic</w:t>
      </w:r>
      <w:r>
        <w:rPr>
          <w:spacing w:val="-21"/>
        </w:rPr>
        <w:t> </w:t>
      </w:r>
      <w:r>
        <w:rPr/>
        <w:t>effects</w:t>
      </w:r>
      <w:r>
        <w:rPr>
          <w:spacing w:val="-20"/>
        </w:rPr>
        <w:t> </w:t>
      </w:r>
      <w:r>
        <w:rPr/>
        <w:t>of</w:t>
      </w:r>
      <w:r>
        <w:rPr>
          <w:spacing w:val="-22"/>
        </w:rPr>
        <w:t> </w:t>
      </w:r>
      <w:r>
        <w:rPr/>
        <w:t>IGF-1</w:t>
      </w:r>
      <w:r>
        <w:rPr>
          <w:spacing w:val="-22"/>
        </w:rPr>
        <w:t> </w:t>
      </w:r>
      <w:r>
        <w:rPr/>
        <w:t>on</w:t>
      </w:r>
      <w:r>
        <w:rPr>
          <w:spacing w:val="-25"/>
        </w:rPr>
        <w:t> </w:t>
      </w:r>
      <w:r>
        <w:rPr/>
        <w:t>muscle.</w:t>
      </w:r>
      <w:r>
        <w:rPr>
          <w:spacing w:val="-22"/>
        </w:rPr>
        <w:t> </w:t>
      </w:r>
      <w:r>
        <w:rPr/>
        <w:t>The</w:t>
      </w:r>
      <w:r>
        <w:rPr>
          <w:spacing w:val="-21"/>
        </w:rPr>
        <w:t> </w:t>
      </w:r>
      <w:r>
        <w:rPr/>
        <w:t>role</w:t>
      </w:r>
      <w:r>
        <w:rPr>
          <w:spacing w:val="-24"/>
        </w:rPr>
        <w:t> </w:t>
      </w:r>
      <w:r>
        <w:rPr/>
        <w:t>of</w:t>
      </w:r>
      <w:r>
        <w:rPr>
          <w:spacing w:val="-22"/>
        </w:rPr>
        <w:t> </w:t>
      </w:r>
      <w:r>
        <w:rPr/>
        <w:t>Interleukin One (IL-1) in Colostrum is obviously that of an immune modulator, but it also has the effect of producing basic fibroblast growth factor (bFGF). You might say</w:t>
      </w:r>
      <w:r>
        <w:rPr>
          <w:spacing w:val="-12"/>
        </w:rPr>
        <w:t> </w:t>
      </w:r>
      <w:r>
        <w:rPr/>
        <w:t>‘so</w:t>
      </w:r>
      <w:r>
        <w:rPr>
          <w:spacing w:val="-14"/>
        </w:rPr>
        <w:t> </w:t>
      </w:r>
      <w:r>
        <w:rPr/>
        <w:t>what,</w:t>
      </w:r>
      <w:r>
        <w:rPr>
          <w:spacing w:val="-11"/>
        </w:rPr>
        <w:t> </w:t>
      </w:r>
      <w:r>
        <w:rPr/>
        <w:t>who</w:t>
      </w:r>
      <w:r>
        <w:rPr>
          <w:spacing w:val="-11"/>
        </w:rPr>
        <w:t> </w:t>
      </w:r>
      <w:r>
        <w:rPr/>
        <w:t>wants</w:t>
      </w:r>
      <w:r>
        <w:rPr>
          <w:spacing w:val="-11"/>
        </w:rPr>
        <w:t> </w:t>
      </w:r>
      <w:r>
        <w:rPr/>
        <w:t>more</w:t>
      </w:r>
      <w:r>
        <w:rPr>
          <w:spacing w:val="-13"/>
        </w:rPr>
        <w:t> </w:t>
      </w:r>
      <w:r>
        <w:rPr/>
        <w:t>fibroblasts?’</w:t>
      </w:r>
      <w:r>
        <w:rPr>
          <w:spacing w:val="-3"/>
        </w:rPr>
        <w:t> </w:t>
      </w:r>
      <w:r>
        <w:rPr/>
        <w:t>Good</w:t>
      </w:r>
      <w:r>
        <w:rPr>
          <w:spacing w:val="-12"/>
        </w:rPr>
        <w:t> </w:t>
      </w:r>
      <w:r>
        <w:rPr/>
        <w:t>question. Consider</w:t>
      </w:r>
      <w:r>
        <w:rPr>
          <w:spacing w:val="-12"/>
        </w:rPr>
        <w:t> </w:t>
      </w:r>
      <w:r>
        <w:rPr/>
        <w:t>what</w:t>
      </w:r>
      <w:r>
        <w:rPr>
          <w:spacing w:val="-12"/>
        </w:rPr>
        <w:t> </w:t>
      </w:r>
      <w:r>
        <w:rPr/>
        <w:t>ben- efits can be had by Colostrum growth factors in a difficult muscle or tendon injury, where fibroblasts are the first line of repair. But more importantly and apart from that, both acidic and basic FGF have been long known to stimulate proliferation of muscle cells, and acidic FGF is known to be present in Colos- trum. But clearly, the single most important effect of bFGF is its induction of more IGF-1 receptors in muscle, thus paving the way for that tissue to go ana- bolic.</w:t>
      </w:r>
    </w:p>
    <w:p>
      <w:pPr>
        <w:pStyle w:val="BodyText"/>
        <w:spacing w:line="276" w:lineRule="auto" w:before="239"/>
        <w:ind w:left="477" w:right="137"/>
        <w:jc w:val="both"/>
      </w:pPr>
      <w:r>
        <w:rPr/>
        <w:t>Remember, all that a muscle tissue with IGF-1 receptors needs is just a bit of IGF-1 and away it goes, increasing cellular division, changing the structure of the</w:t>
      </w:r>
      <w:r>
        <w:rPr>
          <w:spacing w:val="-8"/>
        </w:rPr>
        <w:t> </w:t>
      </w:r>
      <w:r>
        <w:rPr/>
        <w:t>dividing</w:t>
      </w:r>
      <w:r>
        <w:rPr>
          <w:spacing w:val="-7"/>
        </w:rPr>
        <w:t> </w:t>
      </w:r>
      <w:r>
        <w:rPr/>
        <w:t>cells,</w:t>
      </w:r>
      <w:r>
        <w:rPr>
          <w:spacing w:val="-7"/>
        </w:rPr>
        <w:t> </w:t>
      </w:r>
      <w:r>
        <w:rPr/>
        <w:t>synthesising</w:t>
      </w:r>
      <w:r>
        <w:rPr>
          <w:spacing w:val="-7"/>
        </w:rPr>
        <w:t> </w:t>
      </w:r>
      <w:r>
        <w:rPr/>
        <w:t>more</w:t>
      </w:r>
      <w:r>
        <w:rPr>
          <w:spacing w:val="-8"/>
        </w:rPr>
        <w:t> </w:t>
      </w:r>
      <w:r>
        <w:rPr/>
        <w:t>new</w:t>
      </w:r>
      <w:r>
        <w:rPr>
          <w:spacing w:val="-9"/>
        </w:rPr>
        <w:t> </w:t>
      </w:r>
      <w:r>
        <w:rPr/>
        <w:t>protein,</w:t>
      </w:r>
      <w:r>
        <w:rPr>
          <w:spacing w:val="-9"/>
        </w:rPr>
        <w:t> </w:t>
      </w:r>
      <w:r>
        <w:rPr/>
        <w:t>increasing</w:t>
      </w:r>
      <w:r>
        <w:rPr>
          <w:spacing w:val="-8"/>
        </w:rPr>
        <w:t> </w:t>
      </w:r>
      <w:r>
        <w:rPr/>
        <w:t>efficiency</w:t>
      </w:r>
      <w:r>
        <w:rPr>
          <w:spacing w:val="-7"/>
        </w:rPr>
        <w:t> </w:t>
      </w:r>
      <w:r>
        <w:rPr/>
        <w:t>of</w:t>
      </w:r>
      <w:r>
        <w:rPr>
          <w:spacing w:val="-10"/>
        </w:rPr>
        <w:t> </w:t>
      </w:r>
      <w:r>
        <w:rPr/>
        <w:t>nutri- ent uptake. What this means is anabolism: and anabolism means</w:t>
      </w:r>
      <w:r>
        <w:rPr>
          <w:spacing w:val="-11"/>
        </w:rPr>
        <w:t> </w:t>
      </w:r>
      <w:r>
        <w:rPr/>
        <w:t>mass.</w:t>
      </w:r>
    </w:p>
    <w:p>
      <w:pPr>
        <w:spacing w:after="0" w:line="276" w:lineRule="auto"/>
        <w:jc w:val="both"/>
        <w:sectPr>
          <w:pgSz w:w="14270" w:h="16850"/>
          <w:pgMar w:header="0" w:footer="1891" w:top="1600" w:bottom="2080" w:left="800" w:right="1280"/>
        </w:sectPr>
      </w:pPr>
    </w:p>
    <w:p>
      <w:pPr>
        <w:pStyle w:val="BodyText"/>
        <w:spacing w:line="276" w:lineRule="auto" w:before="181"/>
        <w:ind w:left="477" w:right="131"/>
        <w:jc w:val="both"/>
      </w:pPr>
      <w:r>
        <w:rPr/>
        <w:t>EGF is another characterised growth factor known to be present in Colos- trum. To say the very least about EGF, it has potent anabolic activity in many tissues,</w:t>
      </w:r>
      <w:r>
        <w:rPr>
          <w:spacing w:val="-20"/>
        </w:rPr>
        <w:t> </w:t>
      </w:r>
      <w:r>
        <w:rPr/>
        <w:t>including</w:t>
      </w:r>
      <w:r>
        <w:rPr>
          <w:spacing w:val="-21"/>
        </w:rPr>
        <w:t> </w:t>
      </w:r>
      <w:r>
        <w:rPr/>
        <w:t>muscle.</w:t>
      </w:r>
      <w:r>
        <w:rPr>
          <w:spacing w:val="-1"/>
        </w:rPr>
        <w:t> </w:t>
      </w:r>
      <w:r>
        <w:rPr/>
        <w:t>Several</w:t>
      </w:r>
      <w:r>
        <w:rPr>
          <w:spacing w:val="-22"/>
        </w:rPr>
        <w:t> </w:t>
      </w:r>
      <w:r>
        <w:rPr/>
        <w:t>experiments</w:t>
      </w:r>
      <w:r>
        <w:rPr>
          <w:spacing w:val="-20"/>
        </w:rPr>
        <w:t> </w:t>
      </w:r>
      <w:r>
        <w:rPr/>
        <w:t>show</w:t>
      </w:r>
      <w:r>
        <w:rPr>
          <w:spacing w:val="-22"/>
        </w:rPr>
        <w:t> </w:t>
      </w:r>
      <w:r>
        <w:rPr/>
        <w:t>that</w:t>
      </w:r>
      <w:r>
        <w:rPr>
          <w:spacing w:val="-21"/>
        </w:rPr>
        <w:t> </w:t>
      </w:r>
      <w:r>
        <w:rPr/>
        <w:t>GH</w:t>
      </w:r>
      <w:r>
        <w:rPr>
          <w:spacing w:val="-22"/>
        </w:rPr>
        <w:t> </w:t>
      </w:r>
      <w:r>
        <w:rPr/>
        <w:t>is</w:t>
      </w:r>
      <w:r>
        <w:rPr>
          <w:spacing w:val="-22"/>
        </w:rPr>
        <w:t> </w:t>
      </w:r>
      <w:r>
        <w:rPr/>
        <w:t>responsible</w:t>
      </w:r>
      <w:r>
        <w:rPr>
          <w:spacing w:val="-24"/>
        </w:rPr>
        <w:t> </w:t>
      </w:r>
      <w:r>
        <w:rPr/>
        <w:t>only up to a point in muscle development, at which time factors such as EGF be- come increasingly important for continued anabolism. However, it is reasona- ble to conclude that the primary effect of EGF in Colostrum is to radically enhance the gross uptake of many nutrients, perhaps including the peptide growth</w:t>
      </w:r>
      <w:r>
        <w:rPr>
          <w:spacing w:val="-24"/>
        </w:rPr>
        <w:t> </w:t>
      </w:r>
      <w:r>
        <w:rPr/>
        <w:t>factors</w:t>
      </w:r>
      <w:r>
        <w:rPr>
          <w:spacing w:val="-22"/>
        </w:rPr>
        <w:t> </w:t>
      </w:r>
      <w:r>
        <w:rPr/>
        <w:t>by</w:t>
      </w:r>
      <w:r>
        <w:rPr>
          <w:spacing w:val="-23"/>
        </w:rPr>
        <w:t> </w:t>
      </w:r>
      <w:r>
        <w:rPr/>
        <w:t>intestinal</w:t>
      </w:r>
      <w:r>
        <w:rPr>
          <w:spacing w:val="-23"/>
        </w:rPr>
        <w:t> </w:t>
      </w:r>
      <w:r>
        <w:rPr/>
        <w:t>cells.</w:t>
      </w:r>
      <w:r>
        <w:rPr>
          <w:spacing w:val="-23"/>
        </w:rPr>
        <w:t> </w:t>
      </w:r>
      <w:r>
        <w:rPr/>
        <w:t>There</w:t>
      </w:r>
      <w:r>
        <w:rPr>
          <w:spacing w:val="-22"/>
        </w:rPr>
        <w:t> </w:t>
      </w:r>
      <w:r>
        <w:rPr/>
        <w:t>exist</w:t>
      </w:r>
      <w:r>
        <w:rPr>
          <w:spacing w:val="-24"/>
        </w:rPr>
        <w:t> </w:t>
      </w:r>
      <w:r>
        <w:rPr/>
        <w:t>other</w:t>
      </w:r>
      <w:r>
        <w:rPr>
          <w:spacing w:val="-22"/>
        </w:rPr>
        <w:t> </w:t>
      </w:r>
      <w:r>
        <w:rPr/>
        <w:t>growth</w:t>
      </w:r>
      <w:r>
        <w:rPr>
          <w:spacing w:val="-24"/>
        </w:rPr>
        <w:t> </w:t>
      </w:r>
      <w:r>
        <w:rPr/>
        <w:t>factors</w:t>
      </w:r>
      <w:r>
        <w:rPr>
          <w:spacing w:val="-24"/>
        </w:rPr>
        <w:t> </w:t>
      </w:r>
      <w:r>
        <w:rPr/>
        <w:t>in</w:t>
      </w:r>
      <w:r>
        <w:rPr>
          <w:spacing w:val="-24"/>
        </w:rPr>
        <w:t> </w:t>
      </w:r>
      <w:r>
        <w:rPr/>
        <w:t>Colostrum, which are not even characterised as yet. The Harvard study which is being re- ferred to has found a compound similar to a small protein growth factor called PDGF.</w:t>
      </w:r>
      <w:r>
        <w:rPr>
          <w:spacing w:val="-2"/>
        </w:rPr>
        <w:t> </w:t>
      </w:r>
      <w:r>
        <w:rPr/>
        <w:t>The</w:t>
      </w:r>
      <w:r>
        <w:rPr>
          <w:spacing w:val="-16"/>
        </w:rPr>
        <w:t> </w:t>
      </w:r>
      <w:r>
        <w:rPr/>
        <w:t>other</w:t>
      </w:r>
      <w:r>
        <w:rPr>
          <w:spacing w:val="-18"/>
        </w:rPr>
        <w:t> </w:t>
      </w:r>
      <w:r>
        <w:rPr/>
        <w:t>study</w:t>
      </w:r>
      <w:r>
        <w:rPr>
          <w:spacing w:val="-17"/>
        </w:rPr>
        <w:t> </w:t>
      </w:r>
      <w:r>
        <w:rPr/>
        <w:t>reveals</w:t>
      </w:r>
      <w:r>
        <w:rPr>
          <w:spacing w:val="-15"/>
        </w:rPr>
        <w:t> </w:t>
      </w:r>
      <w:r>
        <w:rPr/>
        <w:t>two</w:t>
      </w:r>
      <w:r>
        <w:rPr>
          <w:spacing w:val="-17"/>
        </w:rPr>
        <w:t> </w:t>
      </w:r>
      <w:r>
        <w:rPr/>
        <w:t>brand</w:t>
      </w:r>
      <w:r>
        <w:rPr>
          <w:spacing w:val="-16"/>
        </w:rPr>
        <w:t> </w:t>
      </w:r>
      <w:r>
        <w:rPr/>
        <w:t>new</w:t>
      </w:r>
      <w:r>
        <w:rPr>
          <w:spacing w:val="-18"/>
        </w:rPr>
        <w:t> </w:t>
      </w:r>
      <w:r>
        <w:rPr/>
        <w:t>compounds</w:t>
      </w:r>
      <w:r>
        <w:rPr>
          <w:spacing w:val="-16"/>
        </w:rPr>
        <w:t> </w:t>
      </w:r>
      <w:r>
        <w:rPr/>
        <w:t>similar</w:t>
      </w:r>
      <w:r>
        <w:rPr>
          <w:spacing w:val="-16"/>
        </w:rPr>
        <w:t> </w:t>
      </w:r>
      <w:r>
        <w:rPr/>
        <w:t>to</w:t>
      </w:r>
      <w:r>
        <w:rPr>
          <w:spacing w:val="-16"/>
        </w:rPr>
        <w:t> </w:t>
      </w:r>
      <w:r>
        <w:rPr/>
        <w:t>EGF</w:t>
      </w:r>
      <w:r>
        <w:rPr>
          <w:spacing w:val="-17"/>
        </w:rPr>
        <w:t> </w:t>
      </w:r>
      <w:r>
        <w:rPr/>
        <w:t>and other compounds called TGF-A &amp; B. The role of these compounds coupled with IGF-1 have been found to be biochemically unsurpassed in their role in cartilage and muscle</w:t>
      </w:r>
      <w:r>
        <w:rPr>
          <w:spacing w:val="1"/>
        </w:rPr>
        <w:t> </w:t>
      </w:r>
      <w:r>
        <w:rPr/>
        <w:t>repair.</w:t>
      </w:r>
    </w:p>
    <w:p>
      <w:pPr>
        <w:pStyle w:val="BodyText"/>
        <w:spacing w:before="242"/>
        <w:ind w:left="477"/>
      </w:pPr>
      <w:r>
        <w:rPr/>
        <w:t>Conclusion</w:t>
      </w:r>
    </w:p>
    <w:p>
      <w:pPr>
        <w:pStyle w:val="BodyText"/>
        <w:spacing w:line="276" w:lineRule="auto" w:before="304"/>
        <w:ind w:left="477" w:right="132"/>
        <w:jc w:val="both"/>
      </w:pPr>
      <w:r>
        <w:rPr/>
        <w:t>You know what you want because you know what you need. What you are in- terested in is satellite muscle cell division and differentiation. There is no other compound</w:t>
      </w:r>
      <w:r>
        <w:rPr>
          <w:spacing w:val="-18"/>
        </w:rPr>
        <w:t> </w:t>
      </w:r>
      <w:r>
        <w:rPr/>
        <w:t>in</w:t>
      </w:r>
      <w:r>
        <w:rPr>
          <w:spacing w:val="-18"/>
        </w:rPr>
        <w:t> </w:t>
      </w:r>
      <w:r>
        <w:rPr/>
        <w:t>the</w:t>
      </w:r>
      <w:r>
        <w:rPr>
          <w:spacing w:val="-17"/>
        </w:rPr>
        <w:t> </w:t>
      </w:r>
      <w:r>
        <w:rPr/>
        <w:t>universe,</w:t>
      </w:r>
      <w:r>
        <w:rPr>
          <w:spacing w:val="-18"/>
        </w:rPr>
        <w:t> </w:t>
      </w:r>
      <w:r>
        <w:rPr/>
        <w:t>to</w:t>
      </w:r>
      <w:r>
        <w:rPr>
          <w:spacing w:val="-17"/>
        </w:rPr>
        <w:t> </w:t>
      </w:r>
      <w:r>
        <w:rPr/>
        <w:t>date,</w:t>
      </w:r>
      <w:r>
        <w:rPr>
          <w:spacing w:val="-18"/>
        </w:rPr>
        <w:t> </w:t>
      </w:r>
      <w:r>
        <w:rPr/>
        <w:t>which</w:t>
      </w:r>
      <w:r>
        <w:rPr>
          <w:spacing w:val="-18"/>
        </w:rPr>
        <w:t> </w:t>
      </w:r>
      <w:r>
        <w:rPr/>
        <w:t>can</w:t>
      </w:r>
      <w:r>
        <w:rPr>
          <w:spacing w:val="-17"/>
        </w:rPr>
        <w:t> </w:t>
      </w:r>
      <w:r>
        <w:rPr/>
        <w:t>help</w:t>
      </w:r>
      <w:r>
        <w:rPr>
          <w:spacing w:val="-18"/>
        </w:rPr>
        <w:t> </w:t>
      </w:r>
      <w:r>
        <w:rPr/>
        <w:t>you</w:t>
      </w:r>
      <w:r>
        <w:rPr>
          <w:spacing w:val="-20"/>
        </w:rPr>
        <w:t> </w:t>
      </w:r>
      <w:r>
        <w:rPr/>
        <w:t>with</w:t>
      </w:r>
      <w:r>
        <w:rPr>
          <w:spacing w:val="-17"/>
        </w:rPr>
        <w:t> </w:t>
      </w:r>
      <w:r>
        <w:rPr/>
        <w:t>that</w:t>
      </w:r>
      <w:r>
        <w:rPr>
          <w:spacing w:val="-18"/>
        </w:rPr>
        <w:t> </w:t>
      </w:r>
      <w:r>
        <w:rPr/>
        <w:t>problem</w:t>
      </w:r>
      <w:r>
        <w:rPr>
          <w:spacing w:val="-19"/>
        </w:rPr>
        <w:t> </w:t>
      </w:r>
      <w:r>
        <w:rPr/>
        <w:t>better than IGF-1.</w:t>
      </w:r>
    </w:p>
    <w:p>
      <w:pPr>
        <w:pStyle w:val="BodyText"/>
        <w:spacing w:line="276" w:lineRule="auto" w:before="240"/>
        <w:ind w:left="477" w:right="131"/>
        <w:jc w:val="both"/>
      </w:pPr>
      <w:r>
        <w:rPr/>
        <w:t>NOT STEROIDS. Not biotechnology and it’s genetically engineered GH.</w:t>
      </w:r>
      <w:r>
        <w:rPr>
          <w:spacing w:val="-49"/>
        </w:rPr>
        <w:t> </w:t>
      </w:r>
      <w:r>
        <w:rPr/>
        <w:t>Not ‘releasing</w:t>
      </w:r>
      <w:r>
        <w:rPr>
          <w:spacing w:val="21"/>
        </w:rPr>
        <w:t> </w:t>
      </w:r>
      <w:r>
        <w:rPr/>
        <w:t>factors’. Not</w:t>
      </w:r>
      <w:r>
        <w:rPr>
          <w:spacing w:val="22"/>
        </w:rPr>
        <w:t> </w:t>
      </w:r>
      <w:r>
        <w:rPr/>
        <w:t>even</w:t>
      </w:r>
      <w:r>
        <w:rPr>
          <w:spacing w:val="22"/>
        </w:rPr>
        <w:t> </w:t>
      </w:r>
      <w:r>
        <w:rPr/>
        <w:t>a</w:t>
      </w:r>
      <w:r>
        <w:rPr>
          <w:spacing w:val="20"/>
        </w:rPr>
        <w:t> </w:t>
      </w:r>
      <w:r>
        <w:rPr/>
        <w:t>strict,</w:t>
      </w:r>
      <w:r>
        <w:rPr>
          <w:spacing w:val="22"/>
        </w:rPr>
        <w:t> </w:t>
      </w:r>
      <w:r>
        <w:rPr/>
        <w:t>pure</w:t>
      </w:r>
      <w:r>
        <w:rPr>
          <w:spacing w:val="22"/>
        </w:rPr>
        <w:t> </w:t>
      </w:r>
      <w:r>
        <w:rPr/>
        <w:t>amino</w:t>
      </w:r>
      <w:r>
        <w:rPr>
          <w:spacing w:val="22"/>
        </w:rPr>
        <w:t> </w:t>
      </w:r>
      <w:r>
        <w:rPr/>
        <w:t>acid</w:t>
      </w:r>
      <w:r>
        <w:rPr>
          <w:spacing w:val="20"/>
        </w:rPr>
        <w:t> </w:t>
      </w:r>
      <w:r>
        <w:rPr/>
        <w:t>and</w:t>
      </w:r>
      <w:r>
        <w:rPr>
          <w:spacing w:val="22"/>
        </w:rPr>
        <w:t> </w:t>
      </w:r>
      <w:r>
        <w:rPr/>
        <w:t>glycogen</w:t>
      </w:r>
      <w:r>
        <w:rPr>
          <w:spacing w:val="23"/>
        </w:rPr>
        <w:t> </w:t>
      </w:r>
      <w:r>
        <w:rPr/>
        <w:t>diet.</w:t>
      </w:r>
      <w:r>
        <w:rPr>
          <w:spacing w:val="21"/>
        </w:rPr>
        <w:t> </w:t>
      </w:r>
      <w:r>
        <w:rPr/>
        <w:t>Plain</w:t>
      </w:r>
    </w:p>
    <w:p>
      <w:pPr>
        <w:spacing w:after="0" w:line="276" w:lineRule="auto"/>
        <w:jc w:val="both"/>
        <w:sectPr>
          <w:pgSz w:w="14270" w:h="16850"/>
          <w:pgMar w:header="0" w:footer="1891" w:top="1600" w:bottom="2080" w:left="800" w:right="1280"/>
        </w:sectPr>
      </w:pPr>
    </w:p>
    <w:p>
      <w:pPr>
        <w:pStyle w:val="BodyText"/>
        <w:spacing w:line="276" w:lineRule="auto" w:before="181"/>
        <w:ind w:left="477" w:right="140"/>
        <w:jc w:val="both"/>
      </w:pPr>
      <w:r>
        <w:rPr/>
        <w:t>and simple, IGF-1 is the end-all and the be-all of anabolic peptide growth fac- tors.</w:t>
      </w:r>
    </w:p>
    <w:p>
      <w:pPr>
        <w:pStyle w:val="BodyText"/>
        <w:spacing w:before="241"/>
        <w:ind w:left="477"/>
      </w:pPr>
      <w:r>
        <w:rPr/>
        <w:t>Where can you get it?</w:t>
      </w:r>
    </w:p>
    <w:p>
      <w:pPr>
        <w:pStyle w:val="BodyText"/>
        <w:spacing w:line="276" w:lineRule="auto" w:before="305"/>
        <w:ind w:left="477" w:right="133"/>
        <w:jc w:val="both"/>
      </w:pPr>
      <w:r>
        <w:rPr/>
        <w:t>COLOSTRUM. That is, you can only get IGF-1 in Colostrum unless the FDA approves a genetically engineered form for over-the-counter sale. And we all know</w:t>
      </w:r>
      <w:r>
        <w:rPr>
          <w:spacing w:val="-15"/>
        </w:rPr>
        <w:t> </w:t>
      </w:r>
      <w:r>
        <w:rPr/>
        <w:t>this</w:t>
      </w:r>
      <w:r>
        <w:rPr>
          <w:spacing w:val="-12"/>
        </w:rPr>
        <w:t> </w:t>
      </w:r>
      <w:r>
        <w:rPr/>
        <w:t>is</w:t>
      </w:r>
      <w:r>
        <w:rPr>
          <w:spacing w:val="-14"/>
        </w:rPr>
        <w:t> </w:t>
      </w:r>
      <w:r>
        <w:rPr/>
        <w:t>something</w:t>
      </w:r>
      <w:r>
        <w:rPr>
          <w:spacing w:val="-13"/>
        </w:rPr>
        <w:t> </w:t>
      </w:r>
      <w:r>
        <w:rPr/>
        <w:t>they</w:t>
      </w:r>
      <w:r>
        <w:rPr>
          <w:spacing w:val="-13"/>
        </w:rPr>
        <w:t> </w:t>
      </w:r>
      <w:r>
        <w:rPr/>
        <w:t>are</w:t>
      </w:r>
      <w:r>
        <w:rPr>
          <w:spacing w:val="-15"/>
        </w:rPr>
        <w:t> </w:t>
      </w:r>
      <w:r>
        <w:rPr/>
        <w:t>not</w:t>
      </w:r>
      <w:r>
        <w:rPr>
          <w:spacing w:val="-14"/>
        </w:rPr>
        <w:t> </w:t>
      </w:r>
      <w:r>
        <w:rPr/>
        <w:t>likely</w:t>
      </w:r>
      <w:r>
        <w:rPr>
          <w:spacing w:val="-13"/>
        </w:rPr>
        <w:t> </w:t>
      </w:r>
      <w:r>
        <w:rPr/>
        <w:t>to</w:t>
      </w:r>
      <w:r>
        <w:rPr>
          <w:spacing w:val="-14"/>
        </w:rPr>
        <w:t> </w:t>
      </w:r>
      <w:r>
        <w:rPr/>
        <w:t>do</w:t>
      </w:r>
      <w:r>
        <w:rPr>
          <w:spacing w:val="-13"/>
        </w:rPr>
        <w:t> </w:t>
      </w:r>
      <w:r>
        <w:rPr/>
        <w:t>with</w:t>
      </w:r>
      <w:r>
        <w:rPr>
          <w:spacing w:val="-14"/>
        </w:rPr>
        <w:t> </w:t>
      </w:r>
      <w:r>
        <w:rPr/>
        <w:t>the</w:t>
      </w:r>
      <w:r>
        <w:rPr>
          <w:spacing w:val="-12"/>
        </w:rPr>
        <w:t> </w:t>
      </w:r>
      <w:r>
        <w:rPr/>
        <w:t>millions</w:t>
      </w:r>
      <w:r>
        <w:rPr>
          <w:spacing w:val="-13"/>
        </w:rPr>
        <w:t> </w:t>
      </w:r>
      <w:r>
        <w:rPr/>
        <w:t>biotechnology has riding on keeping this product controlled and</w:t>
      </w:r>
      <w:r>
        <w:rPr>
          <w:spacing w:val="-3"/>
        </w:rPr>
        <w:t> </w:t>
      </w:r>
      <w:r>
        <w:rPr/>
        <w:t>expensive.</w:t>
      </w:r>
    </w:p>
    <w:p>
      <w:pPr>
        <w:pStyle w:val="BodyText"/>
        <w:spacing w:line="276" w:lineRule="auto" w:before="239"/>
        <w:ind w:left="477" w:right="7623"/>
      </w:pPr>
      <w:r>
        <w:rPr/>
        <w:t>IRON MAN MAGAZINE REPRINT OF ARTICLE</w:t>
      </w:r>
    </w:p>
    <w:p>
      <w:pPr>
        <w:pStyle w:val="BodyText"/>
        <w:rPr>
          <w:sz w:val="42"/>
        </w:rPr>
      </w:pPr>
    </w:p>
    <w:p>
      <w:pPr>
        <w:pStyle w:val="Heading2"/>
        <w:spacing w:before="261"/>
      </w:pPr>
      <w:r>
        <w:rPr/>
        <w:t>Does colostrum cause any side effects?</w:t>
      </w:r>
    </w:p>
    <w:p>
      <w:pPr>
        <w:pStyle w:val="BodyText"/>
        <w:spacing w:line="276" w:lineRule="auto" w:before="302"/>
        <w:ind w:left="477" w:right="138"/>
        <w:jc w:val="both"/>
      </w:pPr>
      <w:r>
        <w:rPr/>
        <w:t>With so many advantages and benefits, the naturally sceptical person tends to ask for the catch - or else to voice the question: does colostrum have any side effects?</w:t>
      </w:r>
    </w:p>
    <w:p>
      <w:pPr>
        <w:pStyle w:val="BodyText"/>
        <w:spacing w:line="276" w:lineRule="auto" w:before="241"/>
        <w:ind w:left="477" w:right="136"/>
        <w:jc w:val="both"/>
      </w:pPr>
      <w:r>
        <w:rPr/>
        <w:t>Colostrum</w:t>
      </w:r>
      <w:r>
        <w:rPr>
          <w:spacing w:val="-18"/>
        </w:rPr>
        <w:t> </w:t>
      </w:r>
      <w:r>
        <w:rPr/>
        <w:t>has</w:t>
      </w:r>
      <w:r>
        <w:rPr>
          <w:spacing w:val="-16"/>
        </w:rPr>
        <w:t> </w:t>
      </w:r>
      <w:r>
        <w:rPr/>
        <w:t>been</w:t>
      </w:r>
      <w:r>
        <w:rPr>
          <w:spacing w:val="-17"/>
        </w:rPr>
        <w:t> </w:t>
      </w:r>
      <w:r>
        <w:rPr/>
        <w:t>used</w:t>
      </w:r>
      <w:r>
        <w:rPr>
          <w:spacing w:val="-17"/>
        </w:rPr>
        <w:t> </w:t>
      </w:r>
      <w:r>
        <w:rPr/>
        <w:t>by</w:t>
      </w:r>
      <w:r>
        <w:rPr>
          <w:spacing w:val="-17"/>
        </w:rPr>
        <w:t> </w:t>
      </w:r>
      <w:r>
        <w:rPr/>
        <w:t>humans</w:t>
      </w:r>
      <w:r>
        <w:rPr>
          <w:spacing w:val="-16"/>
        </w:rPr>
        <w:t> </w:t>
      </w:r>
      <w:r>
        <w:rPr/>
        <w:t>for</w:t>
      </w:r>
      <w:r>
        <w:rPr>
          <w:spacing w:val="-16"/>
        </w:rPr>
        <w:t> </w:t>
      </w:r>
      <w:r>
        <w:rPr/>
        <w:t>thousands</w:t>
      </w:r>
      <w:r>
        <w:rPr>
          <w:spacing w:val="-16"/>
        </w:rPr>
        <w:t> </w:t>
      </w:r>
      <w:r>
        <w:rPr/>
        <w:t>of</w:t>
      </w:r>
      <w:r>
        <w:rPr>
          <w:spacing w:val="-17"/>
        </w:rPr>
        <w:t> </w:t>
      </w:r>
      <w:r>
        <w:rPr/>
        <w:t>years,</w:t>
      </w:r>
      <w:r>
        <w:rPr>
          <w:spacing w:val="-16"/>
        </w:rPr>
        <w:t> </w:t>
      </w:r>
      <w:r>
        <w:rPr/>
        <w:t>but</w:t>
      </w:r>
      <w:r>
        <w:rPr>
          <w:spacing w:val="-19"/>
        </w:rPr>
        <w:t> </w:t>
      </w:r>
      <w:r>
        <w:rPr/>
        <w:t>was</w:t>
      </w:r>
      <w:r>
        <w:rPr>
          <w:spacing w:val="-16"/>
        </w:rPr>
        <w:t> </w:t>
      </w:r>
      <w:r>
        <w:rPr/>
        <w:t>apparently forgotten until a few decades ago and has only been rediscovered for several years.</w:t>
      </w:r>
    </w:p>
    <w:p>
      <w:pPr>
        <w:pStyle w:val="BodyText"/>
        <w:spacing w:line="276" w:lineRule="auto" w:before="242"/>
        <w:ind w:left="477" w:right="138"/>
        <w:jc w:val="both"/>
      </w:pPr>
      <w:r>
        <w:rPr/>
        <w:t>During</w:t>
      </w:r>
      <w:r>
        <w:rPr>
          <w:spacing w:val="-25"/>
        </w:rPr>
        <w:t> </w:t>
      </w:r>
      <w:r>
        <w:rPr/>
        <w:t>the</w:t>
      </w:r>
      <w:r>
        <w:rPr>
          <w:spacing w:val="-24"/>
        </w:rPr>
        <w:t> </w:t>
      </w:r>
      <w:r>
        <w:rPr/>
        <w:t>entire</w:t>
      </w:r>
      <w:r>
        <w:rPr>
          <w:spacing w:val="-26"/>
        </w:rPr>
        <w:t> </w:t>
      </w:r>
      <w:r>
        <w:rPr/>
        <w:t>time,</w:t>
      </w:r>
      <w:r>
        <w:rPr>
          <w:spacing w:val="-24"/>
        </w:rPr>
        <w:t> </w:t>
      </w:r>
      <w:r>
        <w:rPr/>
        <w:t>there</w:t>
      </w:r>
      <w:r>
        <w:rPr>
          <w:spacing w:val="-25"/>
        </w:rPr>
        <w:t> </w:t>
      </w:r>
      <w:r>
        <w:rPr/>
        <w:t>have</w:t>
      </w:r>
      <w:r>
        <w:rPr>
          <w:spacing w:val="-26"/>
        </w:rPr>
        <w:t> </w:t>
      </w:r>
      <w:r>
        <w:rPr/>
        <w:t>been</w:t>
      </w:r>
      <w:r>
        <w:rPr>
          <w:spacing w:val="-24"/>
        </w:rPr>
        <w:t> </w:t>
      </w:r>
      <w:r>
        <w:rPr/>
        <w:t>no</w:t>
      </w:r>
      <w:r>
        <w:rPr>
          <w:spacing w:val="-24"/>
        </w:rPr>
        <w:t> </w:t>
      </w:r>
      <w:r>
        <w:rPr/>
        <w:t>reports</w:t>
      </w:r>
      <w:r>
        <w:rPr>
          <w:spacing w:val="-25"/>
        </w:rPr>
        <w:t> </w:t>
      </w:r>
      <w:r>
        <w:rPr/>
        <w:t>of</w:t>
      </w:r>
      <w:r>
        <w:rPr>
          <w:spacing w:val="-25"/>
        </w:rPr>
        <w:t> </w:t>
      </w:r>
      <w:r>
        <w:rPr/>
        <w:t>side</w:t>
      </w:r>
      <w:r>
        <w:rPr>
          <w:spacing w:val="-25"/>
        </w:rPr>
        <w:t> </w:t>
      </w:r>
      <w:r>
        <w:rPr/>
        <w:t>effects;</w:t>
      </w:r>
      <w:r>
        <w:rPr>
          <w:spacing w:val="-26"/>
        </w:rPr>
        <w:t> </w:t>
      </w:r>
      <w:r>
        <w:rPr/>
        <w:t>even</w:t>
      </w:r>
      <w:r>
        <w:rPr>
          <w:spacing w:val="-24"/>
        </w:rPr>
        <w:t> </w:t>
      </w:r>
      <w:r>
        <w:rPr/>
        <w:t>in</w:t>
      </w:r>
      <w:r>
        <w:rPr>
          <w:spacing w:val="-26"/>
        </w:rPr>
        <w:t> </w:t>
      </w:r>
      <w:r>
        <w:rPr/>
        <w:t>people with lactose hypersensitivity colostrum should cause no problems. Dr.</w:t>
      </w:r>
      <w:r>
        <w:rPr>
          <w:spacing w:val="7"/>
        </w:rPr>
        <w:t> </w:t>
      </w:r>
      <w:r>
        <w:rPr/>
        <w:t>Robert</w:t>
      </w:r>
    </w:p>
    <w:p>
      <w:pPr>
        <w:spacing w:after="0" w:line="276" w:lineRule="auto"/>
        <w:jc w:val="both"/>
        <w:sectPr>
          <w:pgSz w:w="14270" w:h="16850"/>
          <w:pgMar w:header="0" w:footer="1891" w:top="1600" w:bottom="2080" w:left="800" w:right="1280"/>
        </w:sectPr>
      </w:pPr>
    </w:p>
    <w:p>
      <w:pPr>
        <w:pStyle w:val="BodyText"/>
        <w:spacing w:line="276" w:lineRule="auto" w:before="181"/>
        <w:ind w:left="477" w:right="134"/>
        <w:jc w:val="both"/>
      </w:pPr>
      <w:r>
        <w:rPr/>
        <w:t>Preston of the International Institute of Nutritional Research believes that co- lostrum is completely safe and it is hard to imagine another food that is more natural and beneficial.</w:t>
      </w:r>
    </w:p>
    <w:p>
      <w:pPr>
        <w:pStyle w:val="BodyText"/>
        <w:spacing w:line="276" w:lineRule="auto" w:before="242"/>
        <w:ind w:left="477" w:right="139"/>
        <w:jc w:val="both"/>
      </w:pPr>
      <w:r>
        <w:rPr/>
        <w:t>Other doctors also issue colostrum with an unrestricted Certificate of Good Standing:</w:t>
      </w:r>
    </w:p>
    <w:p>
      <w:pPr>
        <w:spacing w:line="276" w:lineRule="auto" w:before="238"/>
        <w:ind w:left="477" w:right="132" w:firstLine="0"/>
        <w:jc w:val="both"/>
        <w:rPr>
          <w:sz w:val="38"/>
        </w:rPr>
      </w:pPr>
      <w:r>
        <w:rPr>
          <w:i/>
          <w:sz w:val="38"/>
        </w:rPr>
        <w:t>‘When</w:t>
      </w:r>
      <w:r>
        <w:rPr>
          <w:i/>
          <w:spacing w:val="-6"/>
          <w:sz w:val="38"/>
        </w:rPr>
        <w:t> </w:t>
      </w:r>
      <w:r>
        <w:rPr>
          <w:i/>
          <w:sz w:val="38"/>
        </w:rPr>
        <w:t>I</w:t>
      </w:r>
      <w:r>
        <w:rPr>
          <w:i/>
          <w:spacing w:val="-8"/>
          <w:sz w:val="38"/>
        </w:rPr>
        <w:t> </w:t>
      </w:r>
      <w:r>
        <w:rPr>
          <w:i/>
          <w:sz w:val="38"/>
        </w:rPr>
        <w:t>discovered</w:t>
      </w:r>
      <w:r>
        <w:rPr>
          <w:i/>
          <w:spacing w:val="-4"/>
          <w:sz w:val="38"/>
        </w:rPr>
        <w:t> </w:t>
      </w:r>
      <w:r>
        <w:rPr>
          <w:i/>
          <w:sz w:val="38"/>
        </w:rPr>
        <w:t>colostrum,</w:t>
      </w:r>
      <w:r>
        <w:rPr>
          <w:i/>
          <w:spacing w:val="-7"/>
          <w:sz w:val="38"/>
        </w:rPr>
        <w:t> </w:t>
      </w:r>
      <w:r>
        <w:rPr>
          <w:i/>
          <w:sz w:val="38"/>
        </w:rPr>
        <w:t>I</w:t>
      </w:r>
      <w:r>
        <w:rPr>
          <w:i/>
          <w:spacing w:val="-8"/>
          <w:sz w:val="38"/>
        </w:rPr>
        <w:t> </w:t>
      </w:r>
      <w:r>
        <w:rPr>
          <w:i/>
          <w:sz w:val="38"/>
        </w:rPr>
        <w:t>discovered</w:t>
      </w:r>
      <w:r>
        <w:rPr>
          <w:i/>
          <w:spacing w:val="-6"/>
          <w:sz w:val="38"/>
        </w:rPr>
        <w:t> </w:t>
      </w:r>
      <w:r>
        <w:rPr>
          <w:i/>
          <w:sz w:val="38"/>
        </w:rPr>
        <w:t>that</w:t>
      </w:r>
      <w:r>
        <w:rPr>
          <w:i/>
          <w:spacing w:val="-7"/>
          <w:sz w:val="38"/>
        </w:rPr>
        <w:t> </w:t>
      </w:r>
      <w:r>
        <w:rPr>
          <w:i/>
          <w:sz w:val="38"/>
        </w:rPr>
        <w:t>it</w:t>
      </w:r>
      <w:r>
        <w:rPr>
          <w:i/>
          <w:spacing w:val="-7"/>
          <w:sz w:val="38"/>
        </w:rPr>
        <w:t> </w:t>
      </w:r>
      <w:r>
        <w:rPr>
          <w:i/>
          <w:sz w:val="38"/>
        </w:rPr>
        <w:t>had</w:t>
      </w:r>
      <w:r>
        <w:rPr>
          <w:i/>
          <w:spacing w:val="-6"/>
          <w:sz w:val="38"/>
        </w:rPr>
        <w:t> </w:t>
      </w:r>
      <w:r>
        <w:rPr>
          <w:i/>
          <w:sz w:val="38"/>
        </w:rPr>
        <w:t>been</w:t>
      </w:r>
      <w:r>
        <w:rPr>
          <w:i/>
          <w:spacing w:val="-6"/>
          <w:sz w:val="38"/>
        </w:rPr>
        <w:t> </w:t>
      </w:r>
      <w:r>
        <w:rPr>
          <w:i/>
          <w:sz w:val="38"/>
        </w:rPr>
        <w:t>extensively</w:t>
      </w:r>
      <w:r>
        <w:rPr>
          <w:i/>
          <w:spacing w:val="-5"/>
          <w:sz w:val="38"/>
        </w:rPr>
        <w:t> </w:t>
      </w:r>
      <w:r>
        <w:rPr>
          <w:i/>
          <w:sz w:val="38"/>
        </w:rPr>
        <w:t>studied</w:t>
      </w:r>
      <w:r>
        <w:rPr>
          <w:i/>
          <w:spacing w:val="-7"/>
          <w:sz w:val="38"/>
        </w:rPr>
        <w:t> </w:t>
      </w:r>
      <w:r>
        <w:rPr>
          <w:i/>
          <w:sz w:val="38"/>
        </w:rPr>
        <w:t>by</w:t>
      </w:r>
      <w:r>
        <w:rPr>
          <w:i/>
          <w:spacing w:val="-5"/>
          <w:sz w:val="38"/>
        </w:rPr>
        <w:t> </w:t>
      </w:r>
      <w:r>
        <w:rPr>
          <w:i/>
          <w:sz w:val="38"/>
        </w:rPr>
        <w:t>well-known </w:t>
      </w:r>
      <w:r>
        <w:rPr>
          <w:i/>
          <w:sz w:val="38"/>
        </w:rPr>
        <w:t>physicians,</w:t>
      </w:r>
      <w:r>
        <w:rPr>
          <w:i/>
          <w:spacing w:val="-13"/>
          <w:sz w:val="38"/>
        </w:rPr>
        <w:t> </w:t>
      </w:r>
      <w:r>
        <w:rPr>
          <w:i/>
          <w:sz w:val="38"/>
        </w:rPr>
        <w:t>scientists,</w:t>
      </w:r>
      <w:r>
        <w:rPr>
          <w:i/>
          <w:spacing w:val="-14"/>
          <w:sz w:val="38"/>
        </w:rPr>
        <w:t> </w:t>
      </w:r>
      <w:r>
        <w:rPr>
          <w:i/>
          <w:sz w:val="38"/>
        </w:rPr>
        <w:t>and</w:t>
      </w:r>
      <w:r>
        <w:rPr>
          <w:i/>
          <w:spacing w:val="-14"/>
          <w:sz w:val="38"/>
        </w:rPr>
        <w:t> </w:t>
      </w:r>
      <w:r>
        <w:rPr>
          <w:i/>
          <w:sz w:val="38"/>
        </w:rPr>
        <w:t>organisations.</w:t>
      </w:r>
      <w:r>
        <w:rPr>
          <w:i/>
          <w:spacing w:val="-14"/>
          <w:sz w:val="38"/>
        </w:rPr>
        <w:t> </w:t>
      </w:r>
      <w:r>
        <w:rPr>
          <w:i/>
          <w:sz w:val="38"/>
        </w:rPr>
        <w:t>This</w:t>
      </w:r>
      <w:r>
        <w:rPr>
          <w:i/>
          <w:spacing w:val="-15"/>
          <w:sz w:val="38"/>
        </w:rPr>
        <w:t> </w:t>
      </w:r>
      <w:r>
        <w:rPr>
          <w:i/>
          <w:sz w:val="38"/>
        </w:rPr>
        <w:t>gave</w:t>
      </w:r>
      <w:r>
        <w:rPr>
          <w:i/>
          <w:spacing w:val="-14"/>
          <w:sz w:val="38"/>
        </w:rPr>
        <w:t> </w:t>
      </w:r>
      <w:r>
        <w:rPr>
          <w:i/>
          <w:sz w:val="38"/>
        </w:rPr>
        <w:t>me</w:t>
      </w:r>
      <w:r>
        <w:rPr>
          <w:i/>
          <w:spacing w:val="-14"/>
          <w:sz w:val="38"/>
        </w:rPr>
        <w:t> </w:t>
      </w:r>
      <w:r>
        <w:rPr>
          <w:i/>
          <w:sz w:val="38"/>
        </w:rPr>
        <w:t>a</w:t>
      </w:r>
      <w:r>
        <w:rPr>
          <w:i/>
          <w:spacing w:val="-15"/>
          <w:sz w:val="38"/>
        </w:rPr>
        <w:t> </w:t>
      </w:r>
      <w:r>
        <w:rPr>
          <w:i/>
          <w:sz w:val="38"/>
        </w:rPr>
        <w:t>far</w:t>
      </w:r>
      <w:r>
        <w:rPr>
          <w:i/>
          <w:spacing w:val="-13"/>
          <w:sz w:val="38"/>
        </w:rPr>
        <w:t> </w:t>
      </w:r>
      <w:r>
        <w:rPr>
          <w:i/>
          <w:sz w:val="38"/>
        </w:rPr>
        <w:t>more</w:t>
      </w:r>
      <w:r>
        <w:rPr>
          <w:i/>
          <w:spacing w:val="-14"/>
          <w:sz w:val="38"/>
        </w:rPr>
        <w:t> </w:t>
      </w:r>
      <w:r>
        <w:rPr>
          <w:i/>
          <w:sz w:val="38"/>
        </w:rPr>
        <w:t>reassuring</w:t>
      </w:r>
      <w:r>
        <w:rPr>
          <w:i/>
          <w:spacing w:val="-15"/>
          <w:sz w:val="38"/>
        </w:rPr>
        <w:t> </w:t>
      </w:r>
      <w:r>
        <w:rPr>
          <w:i/>
          <w:sz w:val="38"/>
        </w:rPr>
        <w:t>feeling</w:t>
      </w:r>
      <w:r>
        <w:rPr>
          <w:i/>
          <w:spacing w:val="-14"/>
          <w:sz w:val="38"/>
        </w:rPr>
        <w:t> </w:t>
      </w:r>
      <w:r>
        <w:rPr>
          <w:i/>
          <w:sz w:val="38"/>
        </w:rPr>
        <w:t>than</w:t>
      </w:r>
      <w:r>
        <w:rPr>
          <w:i/>
          <w:spacing w:val="-15"/>
          <w:sz w:val="38"/>
        </w:rPr>
        <w:t> </w:t>
      </w:r>
      <w:r>
        <w:rPr>
          <w:i/>
          <w:sz w:val="38"/>
        </w:rPr>
        <w:t>many other untested remedies’. </w:t>
      </w:r>
      <w:r>
        <w:rPr>
          <w:sz w:val="38"/>
        </w:rPr>
        <w:t>(Dr. Nikki Marie Welch)</w:t>
      </w:r>
    </w:p>
    <w:p>
      <w:pPr>
        <w:spacing w:line="276" w:lineRule="auto" w:before="242"/>
        <w:ind w:left="477" w:right="135" w:firstLine="0"/>
        <w:jc w:val="both"/>
        <w:rPr>
          <w:sz w:val="38"/>
        </w:rPr>
      </w:pPr>
      <w:r>
        <w:rPr>
          <w:i/>
          <w:sz w:val="38"/>
        </w:rPr>
        <w:t>‘The</w:t>
      </w:r>
      <w:r>
        <w:rPr>
          <w:i/>
          <w:spacing w:val="-22"/>
          <w:sz w:val="38"/>
        </w:rPr>
        <w:t> </w:t>
      </w:r>
      <w:r>
        <w:rPr>
          <w:i/>
          <w:sz w:val="38"/>
        </w:rPr>
        <w:t>beauty</w:t>
      </w:r>
      <w:r>
        <w:rPr>
          <w:i/>
          <w:spacing w:val="-21"/>
          <w:sz w:val="38"/>
        </w:rPr>
        <w:t> </w:t>
      </w:r>
      <w:r>
        <w:rPr>
          <w:i/>
          <w:sz w:val="38"/>
        </w:rPr>
        <w:t>of</w:t>
      </w:r>
      <w:r>
        <w:rPr>
          <w:i/>
          <w:spacing w:val="-21"/>
          <w:sz w:val="38"/>
        </w:rPr>
        <w:t> </w:t>
      </w:r>
      <w:r>
        <w:rPr>
          <w:i/>
          <w:sz w:val="38"/>
        </w:rPr>
        <w:t>it</w:t>
      </w:r>
      <w:r>
        <w:rPr>
          <w:i/>
          <w:spacing w:val="-22"/>
          <w:sz w:val="38"/>
        </w:rPr>
        <w:t> </w:t>
      </w:r>
      <w:r>
        <w:rPr>
          <w:i/>
          <w:sz w:val="38"/>
        </w:rPr>
        <w:t>is</w:t>
      </w:r>
      <w:r>
        <w:rPr>
          <w:i/>
          <w:spacing w:val="-22"/>
          <w:sz w:val="38"/>
        </w:rPr>
        <w:t> </w:t>
      </w:r>
      <w:r>
        <w:rPr>
          <w:i/>
          <w:sz w:val="38"/>
        </w:rPr>
        <w:t>that</w:t>
      </w:r>
      <w:r>
        <w:rPr>
          <w:i/>
          <w:spacing w:val="-20"/>
          <w:sz w:val="38"/>
        </w:rPr>
        <w:t> </w:t>
      </w:r>
      <w:r>
        <w:rPr>
          <w:i/>
          <w:sz w:val="38"/>
        </w:rPr>
        <w:t>patients</w:t>
      </w:r>
      <w:r>
        <w:rPr>
          <w:i/>
          <w:spacing w:val="-22"/>
          <w:sz w:val="38"/>
        </w:rPr>
        <w:t> </w:t>
      </w:r>
      <w:r>
        <w:rPr>
          <w:i/>
          <w:sz w:val="38"/>
        </w:rPr>
        <w:t>can</w:t>
      </w:r>
      <w:r>
        <w:rPr>
          <w:i/>
          <w:spacing w:val="-20"/>
          <w:sz w:val="38"/>
        </w:rPr>
        <w:t> </w:t>
      </w:r>
      <w:r>
        <w:rPr>
          <w:i/>
          <w:sz w:val="38"/>
        </w:rPr>
        <w:t>try</w:t>
      </w:r>
      <w:r>
        <w:rPr>
          <w:i/>
          <w:spacing w:val="-22"/>
          <w:sz w:val="38"/>
        </w:rPr>
        <w:t> </w:t>
      </w:r>
      <w:r>
        <w:rPr>
          <w:i/>
          <w:sz w:val="38"/>
        </w:rPr>
        <w:t>it</w:t>
      </w:r>
      <w:r>
        <w:rPr>
          <w:i/>
          <w:spacing w:val="-21"/>
          <w:sz w:val="38"/>
        </w:rPr>
        <w:t> </w:t>
      </w:r>
      <w:r>
        <w:rPr>
          <w:i/>
          <w:sz w:val="38"/>
        </w:rPr>
        <w:t>without</w:t>
      </w:r>
      <w:r>
        <w:rPr>
          <w:i/>
          <w:spacing w:val="-23"/>
          <w:sz w:val="38"/>
        </w:rPr>
        <w:t> </w:t>
      </w:r>
      <w:r>
        <w:rPr>
          <w:i/>
          <w:sz w:val="38"/>
        </w:rPr>
        <w:t>fear</w:t>
      </w:r>
      <w:r>
        <w:rPr>
          <w:i/>
          <w:spacing w:val="-20"/>
          <w:sz w:val="38"/>
        </w:rPr>
        <w:t> </w:t>
      </w:r>
      <w:r>
        <w:rPr>
          <w:i/>
          <w:sz w:val="38"/>
        </w:rPr>
        <w:t>of</w:t>
      </w:r>
      <w:r>
        <w:rPr>
          <w:i/>
          <w:spacing w:val="-21"/>
          <w:sz w:val="38"/>
        </w:rPr>
        <w:t> </w:t>
      </w:r>
      <w:r>
        <w:rPr>
          <w:i/>
          <w:sz w:val="38"/>
        </w:rPr>
        <w:t>adverse</w:t>
      </w:r>
      <w:r>
        <w:rPr>
          <w:i/>
          <w:spacing w:val="-22"/>
          <w:sz w:val="38"/>
        </w:rPr>
        <w:t> </w:t>
      </w:r>
      <w:r>
        <w:rPr>
          <w:i/>
          <w:sz w:val="38"/>
        </w:rPr>
        <w:t>effects.</w:t>
      </w:r>
      <w:r>
        <w:rPr>
          <w:i/>
          <w:spacing w:val="-21"/>
          <w:sz w:val="38"/>
        </w:rPr>
        <w:t> </w:t>
      </w:r>
      <w:r>
        <w:rPr>
          <w:i/>
          <w:sz w:val="38"/>
        </w:rPr>
        <w:t>Because</w:t>
      </w:r>
      <w:r>
        <w:rPr>
          <w:i/>
          <w:spacing w:val="-21"/>
          <w:sz w:val="38"/>
        </w:rPr>
        <w:t> </w:t>
      </w:r>
      <w:r>
        <w:rPr>
          <w:i/>
          <w:sz w:val="38"/>
        </w:rPr>
        <w:t>it's</w:t>
      </w:r>
      <w:r>
        <w:rPr>
          <w:i/>
          <w:spacing w:val="-22"/>
          <w:sz w:val="38"/>
        </w:rPr>
        <w:t> </w:t>
      </w:r>
      <w:r>
        <w:rPr>
          <w:i/>
          <w:sz w:val="38"/>
        </w:rPr>
        <w:t>a</w:t>
      </w:r>
      <w:r>
        <w:rPr>
          <w:i/>
          <w:spacing w:val="-22"/>
          <w:sz w:val="38"/>
        </w:rPr>
        <w:t> </w:t>
      </w:r>
      <w:r>
        <w:rPr>
          <w:i/>
          <w:sz w:val="38"/>
        </w:rPr>
        <w:t>valuable </w:t>
      </w:r>
      <w:r>
        <w:rPr>
          <w:i/>
          <w:sz w:val="38"/>
        </w:rPr>
        <w:t>natural substance, there are no problems with potential side effects’. </w:t>
      </w:r>
      <w:r>
        <w:rPr>
          <w:sz w:val="38"/>
        </w:rPr>
        <w:t>(Carl Hawkins, Chi- ropractor)</w:t>
      </w:r>
    </w:p>
    <w:p>
      <w:pPr>
        <w:pStyle w:val="Heading2"/>
        <w:spacing w:before="238"/>
      </w:pPr>
      <w:r>
        <w:rPr/>
        <w:t>Study on the safety of colostrum</w:t>
      </w:r>
    </w:p>
    <w:p>
      <w:pPr>
        <w:pStyle w:val="BodyText"/>
        <w:spacing w:line="276" w:lineRule="auto" w:before="305"/>
        <w:ind w:left="477" w:right="135"/>
        <w:jc w:val="both"/>
        <w:rPr>
          <w:sz w:val="25"/>
        </w:rPr>
      </w:pPr>
      <w:r>
        <w:rPr/>
        <w:t>The oral intake of colostrum is classified as effective and safe; there are no known contraindications or overdoses.</w:t>
      </w:r>
      <w:r>
        <w:rPr>
          <w:position w:val="9"/>
          <w:sz w:val="25"/>
        </w:rPr>
        <w:t>220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r>
        <w:rPr/>
        <w:pict>
          <v:line style="position:absolute;mso-position-horizontal-relative:page;mso-position-vertical-relative:paragraph;z-index:2192;mso-wrap-distance-left:0;mso-wrap-distance-right:0" from="63.863998pt,18.958765pt" to="207.883998pt,18.95876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220 </w:t>
      </w:r>
      <w:r>
        <w:rPr>
          <w:sz w:val="20"/>
        </w:rPr>
        <w:t>Preston, R. 1987, International Institute of Nutritional Research</w:t>
      </w:r>
    </w:p>
    <w:p>
      <w:pPr>
        <w:spacing w:after="0"/>
        <w:jc w:val="left"/>
        <w:rPr>
          <w:sz w:val="20"/>
        </w:rPr>
        <w:sectPr>
          <w:pgSz w:w="14270" w:h="16850"/>
          <w:pgMar w:header="0" w:footer="1891" w:top="1600" w:bottom="2080" w:left="800" w:right="1280"/>
        </w:sectPr>
      </w:pPr>
    </w:p>
    <w:p>
      <w:pPr>
        <w:pStyle w:val="BodyText"/>
        <w:spacing w:before="181"/>
        <w:ind w:left="477"/>
      </w:pPr>
      <w:r>
        <w:rPr>
          <w:color w:val="365F91"/>
        </w:rPr>
        <w:t>TURMERIC (CURCUMIN)</w:t>
      </w:r>
    </w:p>
    <w:p>
      <w:pPr>
        <w:pStyle w:val="BodyText"/>
        <w:spacing w:before="5"/>
        <w:rPr>
          <w:sz w:val="48"/>
        </w:rPr>
      </w:pPr>
    </w:p>
    <w:p>
      <w:pPr>
        <w:pStyle w:val="Heading2"/>
      </w:pPr>
      <w:r>
        <w:rPr/>
        <w:t>What is it and what does it help counteract?</w:t>
      </w:r>
    </w:p>
    <w:p>
      <w:pPr>
        <w:pStyle w:val="BodyText"/>
        <w:spacing w:line="276" w:lineRule="auto" w:before="304"/>
        <w:ind w:left="477" w:right="132"/>
        <w:jc w:val="both"/>
      </w:pPr>
      <w:r>
        <w:rPr/>
        <w:t>Turmeric is known to many cooking enthusiasts as part of curry powder under the synonym ‘Indian saffron’ and in addition to taste, gives the dish its yellow colour,</w:t>
      </w:r>
      <w:r>
        <w:rPr>
          <w:spacing w:val="-23"/>
        </w:rPr>
        <w:t> </w:t>
      </w:r>
      <w:r>
        <w:rPr/>
        <w:t>which</w:t>
      </w:r>
      <w:r>
        <w:rPr>
          <w:spacing w:val="-22"/>
        </w:rPr>
        <w:t> </w:t>
      </w:r>
      <w:r>
        <w:rPr/>
        <w:t>is</w:t>
      </w:r>
      <w:r>
        <w:rPr>
          <w:spacing w:val="-26"/>
        </w:rPr>
        <w:t> </w:t>
      </w:r>
      <w:r>
        <w:rPr/>
        <w:t>why</w:t>
      </w:r>
      <w:r>
        <w:rPr>
          <w:spacing w:val="-22"/>
        </w:rPr>
        <w:t> </w:t>
      </w:r>
      <w:r>
        <w:rPr/>
        <w:t>turmeric</w:t>
      </w:r>
      <w:r>
        <w:rPr>
          <w:spacing w:val="-24"/>
        </w:rPr>
        <w:t> </w:t>
      </w:r>
      <w:r>
        <w:rPr/>
        <w:t>is</w:t>
      </w:r>
      <w:r>
        <w:rPr>
          <w:spacing w:val="-23"/>
        </w:rPr>
        <w:t> </w:t>
      </w:r>
      <w:r>
        <w:rPr/>
        <w:t>known</w:t>
      </w:r>
      <w:r>
        <w:rPr>
          <w:spacing w:val="-24"/>
        </w:rPr>
        <w:t> </w:t>
      </w:r>
      <w:r>
        <w:rPr/>
        <w:t>as</w:t>
      </w:r>
      <w:r>
        <w:rPr>
          <w:spacing w:val="-23"/>
        </w:rPr>
        <w:t> </w:t>
      </w:r>
      <w:r>
        <w:rPr/>
        <w:t>‘Gelbwurz’</w:t>
      </w:r>
      <w:r>
        <w:rPr>
          <w:spacing w:val="-23"/>
        </w:rPr>
        <w:t> </w:t>
      </w:r>
      <w:r>
        <w:rPr/>
        <w:t>(‘yellow</w:t>
      </w:r>
      <w:r>
        <w:rPr>
          <w:spacing w:val="-23"/>
        </w:rPr>
        <w:t> </w:t>
      </w:r>
      <w:r>
        <w:rPr/>
        <w:t>root’)</w:t>
      </w:r>
      <w:r>
        <w:rPr>
          <w:spacing w:val="-23"/>
        </w:rPr>
        <w:t> </w:t>
      </w:r>
      <w:r>
        <w:rPr/>
        <w:t>in</w:t>
      </w:r>
      <w:r>
        <w:rPr>
          <w:spacing w:val="-23"/>
        </w:rPr>
        <w:t> </w:t>
      </w:r>
      <w:r>
        <w:rPr/>
        <w:t>German. Whether in curry or Worcester sauce, you can be sure to find turmeric playing its part. Revered in India as a ‘sacred plant’ since time immemorial, turmeric is much more than a spice; it is an excellent medicinal plant that positively influ- ences many an ailment and can have a positive effect on some serious</w:t>
      </w:r>
      <w:r>
        <w:rPr>
          <w:spacing w:val="-43"/>
        </w:rPr>
        <w:t> </w:t>
      </w:r>
      <w:r>
        <w:rPr/>
        <w:t>diseases, often healing them completely Curcumin, which is found in turmeric, is once again causing a sensation in research circles; its effect cannot be compared to any other natural substance!</w:t>
      </w:r>
    </w:p>
    <w:p>
      <w:pPr>
        <w:pStyle w:val="Heading1"/>
        <w:spacing w:before="223"/>
      </w:pPr>
      <w:r>
        <w:rPr/>
        <w:t>Turmeric – the botanical information</w:t>
      </w:r>
    </w:p>
    <w:p>
      <w:pPr>
        <w:pStyle w:val="BodyText"/>
        <w:spacing w:line="276" w:lineRule="auto" w:before="299"/>
        <w:ind w:left="477" w:right="134"/>
        <w:jc w:val="both"/>
      </w:pPr>
      <w:r>
        <w:rPr/>
        <w:t>Turmeric, with the botanical name ‘curcuma longa’, belongs to the plant</w:t>
      </w:r>
      <w:r>
        <w:rPr>
          <w:spacing w:val="-58"/>
        </w:rPr>
        <w:t> </w:t>
      </w:r>
      <w:r>
        <w:rPr/>
        <w:t>family Zinigiberaceae, the ginger family. The plant itself grows reed-like in the upper part, and the leaves have a light green colour and reach a length of up to one metre. It has strong rhizomes, and it is this precise root that we use in the kitchen and in natural medicine.</w:t>
      </w:r>
    </w:p>
    <w:p>
      <w:pPr>
        <w:pStyle w:val="Heading1"/>
        <w:spacing w:before="223"/>
        <w:jc w:val="both"/>
      </w:pPr>
      <w:r>
        <w:rPr/>
        <w:t>Turmeric – the origin</w:t>
      </w:r>
    </w:p>
    <w:p>
      <w:pPr>
        <w:pStyle w:val="BodyText"/>
        <w:spacing w:before="299"/>
        <w:ind w:left="477"/>
        <w:jc w:val="both"/>
      </w:pPr>
      <w:r>
        <w:rPr/>
        <w:t>The turmeric plant has been around in India, Southeast Asia, Java and Vietnam</w:t>
      </w:r>
    </w:p>
    <w:p>
      <w:pPr>
        <w:spacing w:after="0"/>
        <w:jc w:val="both"/>
        <w:sectPr>
          <w:pgSz w:w="14270" w:h="16850"/>
          <w:pgMar w:header="0" w:footer="1891" w:top="1600" w:bottom="2080" w:left="800" w:right="1280"/>
        </w:sectPr>
      </w:pPr>
    </w:p>
    <w:p>
      <w:pPr>
        <w:pStyle w:val="BodyText"/>
        <w:spacing w:before="181"/>
        <w:ind w:left="477"/>
      </w:pPr>
      <w:r>
        <w:rPr/>
        <w:t>for about 5,000 years.</w:t>
      </w:r>
    </w:p>
    <w:p>
      <w:pPr>
        <w:pStyle w:val="Heading1"/>
        <w:spacing w:before="288"/>
      </w:pPr>
      <w:r>
        <w:rPr/>
        <w:t>Industrial use of curcumin</w:t>
      </w:r>
    </w:p>
    <w:p>
      <w:pPr>
        <w:pStyle w:val="BodyText"/>
        <w:spacing w:line="276" w:lineRule="auto" w:before="299"/>
        <w:ind w:left="477" w:right="130"/>
        <w:jc w:val="both"/>
      </w:pPr>
      <w:r>
        <w:rPr/>
        <w:t>In</w:t>
      </w:r>
      <w:r>
        <w:rPr>
          <w:spacing w:val="-21"/>
        </w:rPr>
        <w:t> </w:t>
      </w:r>
      <w:r>
        <w:rPr/>
        <w:t>the</w:t>
      </w:r>
      <w:r>
        <w:rPr>
          <w:spacing w:val="-20"/>
        </w:rPr>
        <w:t> </w:t>
      </w:r>
      <w:r>
        <w:rPr/>
        <w:t>food</w:t>
      </w:r>
      <w:r>
        <w:rPr>
          <w:spacing w:val="-21"/>
        </w:rPr>
        <w:t> </w:t>
      </w:r>
      <w:r>
        <w:rPr/>
        <w:t>industry,</w:t>
      </w:r>
      <w:r>
        <w:rPr>
          <w:spacing w:val="-21"/>
        </w:rPr>
        <w:t> </w:t>
      </w:r>
      <w:r>
        <w:rPr/>
        <w:t>the</w:t>
      </w:r>
      <w:r>
        <w:rPr>
          <w:spacing w:val="-23"/>
        </w:rPr>
        <w:t> </w:t>
      </w:r>
      <w:r>
        <w:rPr/>
        <w:t>intense</w:t>
      </w:r>
      <w:r>
        <w:rPr>
          <w:spacing w:val="-25"/>
        </w:rPr>
        <w:t> </w:t>
      </w:r>
      <w:r>
        <w:rPr/>
        <w:t>orange-yellow</w:t>
      </w:r>
      <w:r>
        <w:rPr>
          <w:spacing w:val="-22"/>
        </w:rPr>
        <w:t> </w:t>
      </w:r>
      <w:r>
        <w:rPr/>
        <w:t>curcumin</w:t>
      </w:r>
      <w:r>
        <w:rPr>
          <w:spacing w:val="-20"/>
        </w:rPr>
        <w:t> </w:t>
      </w:r>
      <w:r>
        <w:rPr/>
        <w:t>is</w:t>
      </w:r>
      <w:r>
        <w:rPr>
          <w:spacing w:val="-22"/>
        </w:rPr>
        <w:t> </w:t>
      </w:r>
      <w:r>
        <w:rPr/>
        <w:t>recognised</w:t>
      </w:r>
      <w:r>
        <w:rPr>
          <w:spacing w:val="-20"/>
        </w:rPr>
        <w:t> </w:t>
      </w:r>
      <w:r>
        <w:rPr/>
        <w:t>as</w:t>
      </w:r>
      <w:r>
        <w:rPr>
          <w:spacing w:val="-21"/>
        </w:rPr>
        <w:t> </w:t>
      </w:r>
      <w:r>
        <w:rPr/>
        <w:t>a</w:t>
      </w:r>
      <w:r>
        <w:rPr>
          <w:spacing w:val="-22"/>
        </w:rPr>
        <w:t> </w:t>
      </w:r>
      <w:r>
        <w:rPr/>
        <w:t>food additive</w:t>
      </w:r>
      <w:r>
        <w:rPr>
          <w:spacing w:val="-8"/>
        </w:rPr>
        <w:t> </w:t>
      </w:r>
      <w:r>
        <w:rPr/>
        <w:t>and</w:t>
      </w:r>
      <w:r>
        <w:rPr>
          <w:spacing w:val="-7"/>
        </w:rPr>
        <w:t> </w:t>
      </w:r>
      <w:r>
        <w:rPr/>
        <w:t>bears</w:t>
      </w:r>
      <w:r>
        <w:rPr>
          <w:spacing w:val="-6"/>
        </w:rPr>
        <w:t> </w:t>
      </w:r>
      <w:r>
        <w:rPr/>
        <w:t>the</w:t>
      </w:r>
      <w:r>
        <w:rPr>
          <w:spacing w:val="-7"/>
        </w:rPr>
        <w:t> </w:t>
      </w:r>
      <w:r>
        <w:rPr/>
        <w:t>number</w:t>
      </w:r>
      <w:r>
        <w:rPr>
          <w:spacing w:val="-9"/>
        </w:rPr>
        <w:t> </w:t>
      </w:r>
      <w:r>
        <w:rPr/>
        <w:t>E</w:t>
      </w:r>
      <w:r>
        <w:rPr>
          <w:spacing w:val="-9"/>
        </w:rPr>
        <w:t> </w:t>
      </w:r>
      <w:r>
        <w:rPr/>
        <w:t>100.</w:t>
      </w:r>
      <w:r>
        <w:rPr>
          <w:spacing w:val="-8"/>
        </w:rPr>
        <w:t> </w:t>
      </w:r>
      <w:r>
        <w:rPr/>
        <w:t>This</w:t>
      </w:r>
      <w:r>
        <w:rPr>
          <w:spacing w:val="-6"/>
        </w:rPr>
        <w:t> </w:t>
      </w:r>
      <w:r>
        <w:rPr/>
        <w:t>is</w:t>
      </w:r>
      <w:r>
        <w:rPr>
          <w:spacing w:val="-7"/>
        </w:rPr>
        <w:t> </w:t>
      </w:r>
      <w:r>
        <w:rPr/>
        <w:t>mainly</w:t>
      </w:r>
      <w:r>
        <w:rPr>
          <w:spacing w:val="-7"/>
        </w:rPr>
        <w:t> </w:t>
      </w:r>
      <w:r>
        <w:rPr/>
        <w:t>used</w:t>
      </w:r>
      <w:r>
        <w:rPr>
          <w:spacing w:val="-8"/>
        </w:rPr>
        <w:t> </w:t>
      </w:r>
      <w:r>
        <w:rPr/>
        <w:t>for</w:t>
      </w:r>
      <w:r>
        <w:rPr>
          <w:spacing w:val="-5"/>
        </w:rPr>
        <w:t> </w:t>
      </w:r>
      <w:r>
        <w:rPr/>
        <w:t>colouring</w:t>
      </w:r>
      <w:r>
        <w:rPr>
          <w:spacing w:val="-7"/>
        </w:rPr>
        <w:t> </w:t>
      </w:r>
      <w:r>
        <w:rPr/>
        <w:t>numer- ous foods, as we know from</w:t>
      </w:r>
      <w:r>
        <w:rPr>
          <w:spacing w:val="-1"/>
        </w:rPr>
        <w:t> </w:t>
      </w:r>
      <w:r>
        <w:rPr/>
        <w:t>beta-carotene.</w:t>
      </w:r>
    </w:p>
    <w:p>
      <w:pPr>
        <w:pStyle w:val="BodyText"/>
        <w:spacing w:line="276" w:lineRule="auto" w:before="239"/>
        <w:ind w:left="477" w:right="133"/>
        <w:jc w:val="both"/>
      </w:pPr>
      <w:r>
        <w:rPr/>
        <w:t>For</w:t>
      </w:r>
      <w:r>
        <w:rPr>
          <w:spacing w:val="-6"/>
        </w:rPr>
        <w:t> </w:t>
      </w:r>
      <w:r>
        <w:rPr/>
        <w:t>products</w:t>
      </w:r>
      <w:r>
        <w:rPr>
          <w:spacing w:val="-9"/>
        </w:rPr>
        <w:t> </w:t>
      </w:r>
      <w:r>
        <w:rPr/>
        <w:t>ranging</w:t>
      </w:r>
      <w:r>
        <w:rPr>
          <w:spacing w:val="-6"/>
        </w:rPr>
        <w:t> </w:t>
      </w:r>
      <w:r>
        <w:rPr/>
        <w:t>from</w:t>
      </w:r>
      <w:r>
        <w:rPr>
          <w:spacing w:val="-9"/>
        </w:rPr>
        <w:t> </w:t>
      </w:r>
      <w:r>
        <w:rPr/>
        <w:t>margarine</w:t>
      </w:r>
      <w:r>
        <w:rPr>
          <w:spacing w:val="-7"/>
        </w:rPr>
        <w:t> </w:t>
      </w:r>
      <w:r>
        <w:rPr/>
        <w:t>to</w:t>
      </w:r>
      <w:r>
        <w:rPr>
          <w:spacing w:val="-6"/>
        </w:rPr>
        <w:t> </w:t>
      </w:r>
      <w:r>
        <w:rPr/>
        <w:t>jam</w:t>
      </w:r>
      <w:r>
        <w:rPr>
          <w:spacing w:val="-7"/>
        </w:rPr>
        <w:t> </w:t>
      </w:r>
      <w:r>
        <w:rPr/>
        <w:t>and</w:t>
      </w:r>
      <w:r>
        <w:rPr>
          <w:spacing w:val="-7"/>
        </w:rPr>
        <w:t> </w:t>
      </w:r>
      <w:r>
        <w:rPr/>
        <w:t>mustard,</w:t>
      </w:r>
      <w:r>
        <w:rPr>
          <w:spacing w:val="-6"/>
        </w:rPr>
        <w:t> </w:t>
      </w:r>
      <w:r>
        <w:rPr/>
        <w:t>curcumin</w:t>
      </w:r>
      <w:r>
        <w:rPr>
          <w:spacing w:val="-6"/>
        </w:rPr>
        <w:t> </w:t>
      </w:r>
      <w:r>
        <w:rPr/>
        <w:t>is</w:t>
      </w:r>
      <w:r>
        <w:rPr>
          <w:spacing w:val="-8"/>
        </w:rPr>
        <w:t> </w:t>
      </w:r>
      <w:r>
        <w:rPr/>
        <w:t>blended to achieve a brownish hue. But it also serves as a flavour carrier and flavouring and is used, for example, in curry</w:t>
      </w:r>
      <w:r>
        <w:rPr>
          <w:spacing w:val="1"/>
        </w:rPr>
        <w:t> </w:t>
      </w:r>
      <w:r>
        <w:rPr/>
        <w:t>powder.</w:t>
      </w:r>
    </w:p>
    <w:p>
      <w:pPr>
        <w:pStyle w:val="BodyText"/>
        <w:spacing w:line="276" w:lineRule="auto" w:before="241"/>
        <w:ind w:left="477" w:right="132"/>
        <w:jc w:val="both"/>
      </w:pPr>
      <w:r>
        <w:rPr/>
        <w:t>Furthermore,</w:t>
      </w:r>
      <w:r>
        <w:rPr>
          <w:spacing w:val="-7"/>
        </w:rPr>
        <w:t> </w:t>
      </w:r>
      <w:r>
        <w:rPr/>
        <w:t>the</w:t>
      </w:r>
      <w:r>
        <w:rPr>
          <w:spacing w:val="-8"/>
        </w:rPr>
        <w:t> </w:t>
      </w:r>
      <w:r>
        <w:rPr/>
        <w:t>intense</w:t>
      </w:r>
      <w:r>
        <w:rPr>
          <w:spacing w:val="-6"/>
        </w:rPr>
        <w:t> </w:t>
      </w:r>
      <w:r>
        <w:rPr/>
        <w:t>yellow</w:t>
      </w:r>
      <w:r>
        <w:rPr>
          <w:spacing w:val="-8"/>
        </w:rPr>
        <w:t> </w:t>
      </w:r>
      <w:r>
        <w:rPr/>
        <w:t>colour</w:t>
      </w:r>
      <w:r>
        <w:rPr>
          <w:spacing w:val="-8"/>
        </w:rPr>
        <w:t> </w:t>
      </w:r>
      <w:r>
        <w:rPr/>
        <w:t>of</w:t>
      </w:r>
      <w:r>
        <w:rPr>
          <w:spacing w:val="-7"/>
        </w:rPr>
        <w:t> </w:t>
      </w:r>
      <w:r>
        <w:rPr/>
        <w:t>curcuminoids</w:t>
      </w:r>
      <w:r>
        <w:rPr>
          <w:spacing w:val="-8"/>
        </w:rPr>
        <w:t> </w:t>
      </w:r>
      <w:r>
        <w:rPr/>
        <w:t>is</w:t>
      </w:r>
      <w:r>
        <w:rPr>
          <w:spacing w:val="-8"/>
        </w:rPr>
        <w:t> </w:t>
      </w:r>
      <w:r>
        <w:rPr/>
        <w:t>used</w:t>
      </w:r>
      <w:r>
        <w:rPr>
          <w:spacing w:val="-8"/>
        </w:rPr>
        <w:t> </w:t>
      </w:r>
      <w:r>
        <w:rPr/>
        <w:t>as</w:t>
      </w:r>
      <w:r>
        <w:rPr>
          <w:spacing w:val="-9"/>
        </w:rPr>
        <w:t> </w:t>
      </w:r>
      <w:r>
        <w:rPr/>
        <w:t>a</w:t>
      </w:r>
      <w:r>
        <w:rPr>
          <w:spacing w:val="-9"/>
        </w:rPr>
        <w:t> </w:t>
      </w:r>
      <w:r>
        <w:rPr/>
        <w:t>dye</w:t>
      </w:r>
      <w:r>
        <w:rPr>
          <w:spacing w:val="-7"/>
        </w:rPr>
        <w:t> </w:t>
      </w:r>
      <w:r>
        <w:rPr/>
        <w:t>in</w:t>
      </w:r>
      <w:r>
        <w:rPr>
          <w:spacing w:val="-8"/>
        </w:rPr>
        <w:t> </w:t>
      </w:r>
      <w:r>
        <w:rPr/>
        <w:t>cos- metics as well as within the clothing</w:t>
      </w:r>
      <w:r>
        <w:rPr>
          <w:spacing w:val="1"/>
        </w:rPr>
        <w:t> </w:t>
      </w:r>
      <w:r>
        <w:rPr/>
        <w:t>industry.</w:t>
      </w:r>
    </w:p>
    <w:p>
      <w:pPr>
        <w:pStyle w:val="Heading1"/>
        <w:spacing w:before="226"/>
      </w:pPr>
      <w:r>
        <w:rPr/>
        <w:t>Medical importance of turmeric</w:t>
      </w:r>
      <w:r>
        <w:rPr>
          <w:spacing w:val="-52"/>
        </w:rPr>
        <w:t> </w:t>
      </w:r>
      <w:r>
        <w:rPr/>
        <w:t>(curcumin)</w:t>
      </w:r>
    </w:p>
    <w:p>
      <w:pPr>
        <w:pStyle w:val="BodyText"/>
        <w:spacing w:line="276" w:lineRule="auto" w:before="257"/>
        <w:ind w:left="477" w:right="132"/>
        <w:jc w:val="both"/>
      </w:pPr>
      <w:r>
        <w:rPr/>
        <w:t>Not</w:t>
      </w:r>
      <w:r>
        <w:rPr>
          <w:spacing w:val="-26"/>
        </w:rPr>
        <w:t> </w:t>
      </w:r>
      <w:r>
        <w:rPr/>
        <w:t>only</w:t>
      </w:r>
      <w:r>
        <w:rPr>
          <w:spacing w:val="-26"/>
        </w:rPr>
        <w:t> </w:t>
      </w:r>
      <w:r>
        <w:rPr/>
        <w:t>is</w:t>
      </w:r>
      <w:r>
        <w:rPr>
          <w:spacing w:val="-25"/>
        </w:rPr>
        <w:t> </w:t>
      </w:r>
      <w:r>
        <w:rPr/>
        <w:t>turmeric</w:t>
      </w:r>
      <w:r>
        <w:rPr>
          <w:spacing w:val="-26"/>
        </w:rPr>
        <w:t> </w:t>
      </w:r>
      <w:r>
        <w:rPr/>
        <w:t>a</w:t>
      </w:r>
      <w:r>
        <w:rPr>
          <w:spacing w:val="-26"/>
        </w:rPr>
        <w:t> </w:t>
      </w:r>
      <w:r>
        <w:rPr/>
        <w:t>spice,</w:t>
      </w:r>
      <w:r>
        <w:rPr>
          <w:spacing w:val="-24"/>
        </w:rPr>
        <w:t> </w:t>
      </w:r>
      <w:r>
        <w:rPr/>
        <w:t>but</w:t>
      </w:r>
      <w:r>
        <w:rPr>
          <w:spacing w:val="-26"/>
        </w:rPr>
        <w:t> </w:t>
      </w:r>
      <w:r>
        <w:rPr/>
        <w:t>with</w:t>
      </w:r>
      <w:r>
        <w:rPr>
          <w:spacing w:val="-24"/>
        </w:rPr>
        <w:t> </w:t>
      </w:r>
      <w:r>
        <w:rPr/>
        <w:t>the</w:t>
      </w:r>
      <w:r>
        <w:rPr>
          <w:spacing w:val="-24"/>
        </w:rPr>
        <w:t> </w:t>
      </w:r>
      <w:r>
        <w:rPr/>
        <w:t>important</w:t>
      </w:r>
      <w:r>
        <w:rPr>
          <w:spacing w:val="-25"/>
        </w:rPr>
        <w:t> </w:t>
      </w:r>
      <w:r>
        <w:rPr/>
        <w:t>active</w:t>
      </w:r>
      <w:r>
        <w:rPr>
          <w:spacing w:val="-26"/>
        </w:rPr>
        <w:t> </w:t>
      </w:r>
      <w:r>
        <w:rPr/>
        <w:t>ingredient</w:t>
      </w:r>
      <w:r>
        <w:rPr>
          <w:spacing w:val="-19"/>
        </w:rPr>
        <w:t> </w:t>
      </w:r>
      <w:r>
        <w:rPr/>
        <w:t>‘curcumin’, it is an important medicinal plant within Traditional Chinese Medicine (TCM) and Indian medicine</w:t>
      </w:r>
      <w:r>
        <w:rPr>
          <w:spacing w:val="1"/>
        </w:rPr>
        <w:t> </w:t>
      </w:r>
      <w:r>
        <w:rPr/>
        <w:t>(Ayurveda).</w:t>
      </w:r>
    </w:p>
    <w:p>
      <w:pPr>
        <w:pStyle w:val="BodyText"/>
        <w:spacing w:line="276" w:lineRule="auto" w:before="238"/>
        <w:ind w:left="477" w:right="135"/>
        <w:jc w:val="both"/>
      </w:pPr>
      <w:r>
        <w:rPr/>
        <w:t>The</w:t>
      </w:r>
      <w:r>
        <w:rPr>
          <w:spacing w:val="-11"/>
        </w:rPr>
        <w:t> </w:t>
      </w:r>
      <w:r>
        <w:rPr/>
        <w:t>first</w:t>
      </w:r>
      <w:r>
        <w:rPr>
          <w:spacing w:val="-12"/>
        </w:rPr>
        <w:t> </w:t>
      </w:r>
      <w:r>
        <w:rPr/>
        <w:t>written</w:t>
      </w:r>
      <w:r>
        <w:rPr>
          <w:spacing w:val="-12"/>
        </w:rPr>
        <w:t> </w:t>
      </w:r>
      <w:r>
        <w:rPr/>
        <w:t>records</w:t>
      </w:r>
      <w:r>
        <w:rPr>
          <w:spacing w:val="-12"/>
        </w:rPr>
        <w:t> </w:t>
      </w:r>
      <w:r>
        <w:rPr/>
        <w:t>of</w:t>
      </w:r>
      <w:r>
        <w:rPr>
          <w:spacing w:val="-11"/>
        </w:rPr>
        <w:t> </w:t>
      </w:r>
      <w:r>
        <w:rPr/>
        <w:t>its</w:t>
      </w:r>
      <w:r>
        <w:rPr>
          <w:spacing w:val="-14"/>
        </w:rPr>
        <w:t> </w:t>
      </w:r>
      <w:r>
        <w:rPr/>
        <w:t>medical</w:t>
      </w:r>
      <w:r>
        <w:rPr>
          <w:spacing w:val="-11"/>
        </w:rPr>
        <w:t> </w:t>
      </w:r>
      <w:r>
        <w:rPr/>
        <w:t>application</w:t>
      </w:r>
      <w:r>
        <w:rPr>
          <w:spacing w:val="-11"/>
        </w:rPr>
        <w:t> </w:t>
      </w:r>
      <w:r>
        <w:rPr/>
        <w:t>date</w:t>
      </w:r>
      <w:r>
        <w:rPr>
          <w:spacing w:val="-12"/>
        </w:rPr>
        <w:t> </w:t>
      </w:r>
      <w:r>
        <w:rPr/>
        <w:t>from</w:t>
      </w:r>
      <w:r>
        <w:rPr>
          <w:spacing w:val="-11"/>
        </w:rPr>
        <w:t> </w:t>
      </w:r>
      <w:r>
        <w:rPr/>
        <w:t>around</w:t>
      </w:r>
      <w:r>
        <w:rPr>
          <w:spacing w:val="-11"/>
        </w:rPr>
        <w:t> </w:t>
      </w:r>
      <w:r>
        <w:rPr/>
        <w:t>5000</w:t>
      </w:r>
      <w:r>
        <w:rPr>
          <w:spacing w:val="-13"/>
        </w:rPr>
        <w:t> </w:t>
      </w:r>
      <w:r>
        <w:rPr/>
        <w:t>years ago. Curcumin was first mentioned as a remedy in the scriptures of Hinduism. Curcumin has been extensively researched in modern Western medicine for about 50</w:t>
      </w:r>
      <w:r>
        <w:rPr>
          <w:spacing w:val="-3"/>
        </w:rPr>
        <w:t> </w:t>
      </w:r>
      <w:r>
        <w:rPr/>
        <w:t>years.</w:t>
      </w:r>
    </w:p>
    <w:p>
      <w:pPr>
        <w:pStyle w:val="BodyText"/>
        <w:spacing w:line="276" w:lineRule="auto" w:before="243"/>
        <w:ind w:left="477" w:right="135"/>
        <w:jc w:val="both"/>
      </w:pPr>
      <w:r>
        <w:rPr/>
        <w:t>The</w:t>
      </w:r>
      <w:r>
        <w:rPr>
          <w:spacing w:val="-7"/>
        </w:rPr>
        <w:t> </w:t>
      </w:r>
      <w:r>
        <w:rPr/>
        <w:t>medical</w:t>
      </w:r>
      <w:r>
        <w:rPr>
          <w:spacing w:val="-8"/>
        </w:rPr>
        <w:t> </w:t>
      </w:r>
      <w:r>
        <w:rPr/>
        <w:t>application</w:t>
      </w:r>
      <w:r>
        <w:rPr>
          <w:spacing w:val="-7"/>
        </w:rPr>
        <w:t> </w:t>
      </w:r>
      <w:r>
        <w:rPr/>
        <w:t>is</w:t>
      </w:r>
      <w:r>
        <w:rPr>
          <w:spacing w:val="-8"/>
        </w:rPr>
        <w:t> </w:t>
      </w:r>
      <w:r>
        <w:rPr/>
        <w:t>quite</w:t>
      </w:r>
      <w:r>
        <w:rPr>
          <w:spacing w:val="-9"/>
        </w:rPr>
        <w:t> </w:t>
      </w:r>
      <w:r>
        <w:rPr/>
        <w:t>broad</w:t>
      </w:r>
      <w:r>
        <w:rPr>
          <w:spacing w:val="-8"/>
        </w:rPr>
        <w:t> </w:t>
      </w:r>
      <w:r>
        <w:rPr/>
        <w:t>and</w:t>
      </w:r>
      <w:r>
        <w:rPr>
          <w:spacing w:val="-10"/>
        </w:rPr>
        <w:t> </w:t>
      </w:r>
      <w:r>
        <w:rPr/>
        <w:t>ranges</w:t>
      </w:r>
      <w:r>
        <w:rPr>
          <w:spacing w:val="-7"/>
        </w:rPr>
        <w:t> </w:t>
      </w:r>
      <w:r>
        <w:rPr/>
        <w:t>from</w:t>
      </w:r>
      <w:r>
        <w:rPr>
          <w:spacing w:val="-10"/>
        </w:rPr>
        <w:t> </w:t>
      </w:r>
      <w:r>
        <w:rPr/>
        <w:t>Alzheimer's</w:t>
      </w:r>
      <w:r>
        <w:rPr>
          <w:spacing w:val="-3"/>
        </w:rPr>
        <w:t> </w:t>
      </w:r>
      <w:r>
        <w:rPr/>
        <w:t>to</w:t>
      </w:r>
      <w:r>
        <w:rPr>
          <w:spacing w:val="-10"/>
        </w:rPr>
        <w:t> </w:t>
      </w:r>
      <w:r>
        <w:rPr/>
        <w:t>diabetes and</w:t>
      </w:r>
      <w:r>
        <w:rPr>
          <w:spacing w:val="22"/>
        </w:rPr>
        <w:t> </w:t>
      </w:r>
      <w:r>
        <w:rPr/>
        <w:t>cancer;</w:t>
      </w:r>
      <w:r>
        <w:rPr>
          <w:spacing w:val="21"/>
        </w:rPr>
        <w:t> </w:t>
      </w:r>
      <w:r>
        <w:rPr/>
        <w:t>the</w:t>
      </w:r>
      <w:r>
        <w:rPr>
          <w:spacing w:val="17"/>
        </w:rPr>
        <w:t> </w:t>
      </w:r>
      <w:r>
        <w:rPr/>
        <w:t>rhizome</w:t>
      </w:r>
      <w:r>
        <w:rPr>
          <w:spacing w:val="20"/>
        </w:rPr>
        <w:t> </w:t>
      </w:r>
      <w:r>
        <w:rPr/>
        <w:t>(root),</w:t>
      </w:r>
      <w:r>
        <w:rPr>
          <w:spacing w:val="17"/>
        </w:rPr>
        <w:t> </w:t>
      </w:r>
      <w:r>
        <w:rPr/>
        <w:t>first</w:t>
      </w:r>
      <w:r>
        <w:rPr>
          <w:spacing w:val="22"/>
        </w:rPr>
        <w:t> </w:t>
      </w:r>
      <w:r>
        <w:rPr/>
        <w:t>ground</w:t>
      </w:r>
      <w:r>
        <w:rPr>
          <w:spacing w:val="19"/>
        </w:rPr>
        <w:t> </w:t>
      </w:r>
      <w:r>
        <w:rPr/>
        <w:t>and</w:t>
      </w:r>
      <w:r>
        <w:rPr>
          <w:spacing w:val="23"/>
        </w:rPr>
        <w:t> </w:t>
      </w:r>
      <w:r>
        <w:rPr/>
        <w:t>then</w:t>
      </w:r>
      <w:r>
        <w:rPr>
          <w:spacing w:val="21"/>
        </w:rPr>
        <w:t> </w:t>
      </w:r>
      <w:r>
        <w:rPr/>
        <w:t>dried,</w:t>
      </w:r>
      <w:r>
        <w:rPr>
          <w:spacing w:val="22"/>
        </w:rPr>
        <w:t> </w:t>
      </w:r>
      <w:r>
        <w:rPr/>
        <w:t>is</w:t>
      </w:r>
      <w:r>
        <w:rPr>
          <w:spacing w:val="19"/>
        </w:rPr>
        <w:t> </w:t>
      </w:r>
      <w:r>
        <w:rPr/>
        <w:t>usually</w:t>
      </w:r>
      <w:r>
        <w:rPr>
          <w:spacing w:val="23"/>
        </w:rPr>
        <w:t> </w:t>
      </w:r>
      <w:r>
        <w:rPr/>
        <w:t>used</w:t>
      </w:r>
      <w:r>
        <w:rPr>
          <w:spacing w:val="22"/>
        </w:rPr>
        <w:t> </w:t>
      </w:r>
      <w:r>
        <w:rPr/>
        <w:t>in</w:t>
      </w:r>
    </w:p>
    <w:p>
      <w:pPr>
        <w:spacing w:after="0" w:line="276" w:lineRule="auto"/>
        <w:jc w:val="both"/>
        <w:sectPr>
          <w:pgSz w:w="14270" w:h="16850"/>
          <w:pgMar w:header="0" w:footer="1891" w:top="1600" w:bottom="2080" w:left="800" w:right="1280"/>
        </w:sectPr>
      </w:pPr>
    </w:p>
    <w:p>
      <w:pPr>
        <w:pStyle w:val="BodyText"/>
        <w:spacing w:line="276" w:lineRule="auto" w:before="181"/>
        <w:ind w:left="477" w:right="126"/>
        <w:jc w:val="both"/>
      </w:pPr>
      <w:r>
        <w:rPr/>
        <w:t>powdered</w:t>
      </w:r>
      <w:r>
        <w:rPr>
          <w:spacing w:val="-21"/>
        </w:rPr>
        <w:t> </w:t>
      </w:r>
      <w:r>
        <w:rPr/>
        <w:t>form.</w:t>
      </w:r>
      <w:r>
        <w:rPr>
          <w:spacing w:val="-19"/>
        </w:rPr>
        <w:t> </w:t>
      </w:r>
      <w:r>
        <w:rPr/>
        <w:t>The</w:t>
      </w:r>
      <w:r>
        <w:rPr>
          <w:spacing w:val="-20"/>
        </w:rPr>
        <w:t> </w:t>
      </w:r>
      <w:r>
        <w:rPr/>
        <w:t>example</w:t>
      </w:r>
      <w:r>
        <w:rPr>
          <w:spacing w:val="-20"/>
        </w:rPr>
        <w:t> </w:t>
      </w:r>
      <w:r>
        <w:rPr/>
        <w:t>of</w:t>
      </w:r>
      <w:r>
        <w:rPr>
          <w:spacing w:val="-18"/>
        </w:rPr>
        <w:t> </w:t>
      </w:r>
      <w:r>
        <w:rPr/>
        <w:t>cancer</w:t>
      </w:r>
      <w:r>
        <w:rPr>
          <w:spacing w:val="-20"/>
        </w:rPr>
        <w:t> </w:t>
      </w:r>
      <w:r>
        <w:rPr/>
        <w:t>illustrates</w:t>
      </w:r>
      <w:r>
        <w:rPr>
          <w:spacing w:val="-18"/>
        </w:rPr>
        <w:t> </w:t>
      </w:r>
      <w:r>
        <w:rPr/>
        <w:t>how</w:t>
      </w:r>
      <w:r>
        <w:rPr>
          <w:spacing w:val="-21"/>
        </w:rPr>
        <w:t> </w:t>
      </w:r>
      <w:r>
        <w:rPr/>
        <w:t>effective</w:t>
      </w:r>
      <w:r>
        <w:rPr>
          <w:spacing w:val="-21"/>
        </w:rPr>
        <w:t> </w:t>
      </w:r>
      <w:r>
        <w:rPr/>
        <w:t>it</w:t>
      </w:r>
      <w:r>
        <w:rPr>
          <w:spacing w:val="-19"/>
        </w:rPr>
        <w:t> </w:t>
      </w:r>
      <w:r>
        <w:rPr/>
        <w:t>can</w:t>
      </w:r>
      <w:r>
        <w:rPr>
          <w:spacing w:val="-19"/>
        </w:rPr>
        <w:t> </w:t>
      </w:r>
      <w:r>
        <w:rPr/>
        <w:t>be.</w:t>
      </w:r>
      <w:r>
        <w:rPr>
          <w:spacing w:val="-20"/>
        </w:rPr>
        <w:t> </w:t>
      </w:r>
      <w:r>
        <w:rPr/>
        <w:t>There are</w:t>
      </w:r>
      <w:r>
        <w:rPr>
          <w:spacing w:val="-6"/>
        </w:rPr>
        <w:t> </w:t>
      </w:r>
      <w:r>
        <w:rPr/>
        <w:t>experts</w:t>
      </w:r>
      <w:r>
        <w:rPr>
          <w:spacing w:val="-5"/>
        </w:rPr>
        <w:t> </w:t>
      </w:r>
      <w:r>
        <w:rPr/>
        <w:t>who</w:t>
      </w:r>
      <w:r>
        <w:rPr>
          <w:spacing w:val="-7"/>
        </w:rPr>
        <w:t> </w:t>
      </w:r>
      <w:r>
        <w:rPr/>
        <w:t>believe</w:t>
      </w:r>
      <w:r>
        <w:rPr>
          <w:spacing w:val="-7"/>
        </w:rPr>
        <w:t> </w:t>
      </w:r>
      <w:r>
        <w:rPr/>
        <w:t>that</w:t>
      </w:r>
      <w:r>
        <w:rPr>
          <w:spacing w:val="-6"/>
        </w:rPr>
        <w:t> </w:t>
      </w:r>
      <w:r>
        <w:rPr/>
        <w:t>there</w:t>
      </w:r>
      <w:r>
        <w:rPr>
          <w:spacing w:val="-6"/>
        </w:rPr>
        <w:t> </w:t>
      </w:r>
      <w:r>
        <w:rPr/>
        <w:t>is</w:t>
      </w:r>
      <w:r>
        <w:rPr>
          <w:spacing w:val="-6"/>
        </w:rPr>
        <w:t> </w:t>
      </w:r>
      <w:r>
        <w:rPr/>
        <w:t>no</w:t>
      </w:r>
      <w:r>
        <w:rPr>
          <w:spacing w:val="-7"/>
        </w:rPr>
        <w:t> </w:t>
      </w:r>
      <w:r>
        <w:rPr/>
        <w:t>cancer</w:t>
      </w:r>
      <w:r>
        <w:rPr>
          <w:spacing w:val="-5"/>
        </w:rPr>
        <w:t> </w:t>
      </w:r>
      <w:r>
        <w:rPr/>
        <w:t>that</w:t>
      </w:r>
      <w:r>
        <w:rPr>
          <w:spacing w:val="-7"/>
        </w:rPr>
        <w:t> </w:t>
      </w:r>
      <w:r>
        <w:rPr/>
        <w:t>would</w:t>
      </w:r>
      <w:r>
        <w:rPr>
          <w:spacing w:val="-6"/>
        </w:rPr>
        <w:t> </w:t>
      </w:r>
      <w:r>
        <w:rPr/>
        <w:t>not</w:t>
      </w:r>
      <w:r>
        <w:rPr>
          <w:spacing w:val="-6"/>
        </w:rPr>
        <w:t> </w:t>
      </w:r>
      <w:r>
        <w:rPr/>
        <w:t>respond</w:t>
      </w:r>
      <w:r>
        <w:rPr>
          <w:spacing w:val="-6"/>
        </w:rPr>
        <w:t> </w:t>
      </w:r>
      <w:r>
        <w:rPr/>
        <w:t>to</w:t>
      </w:r>
      <w:r>
        <w:rPr>
          <w:spacing w:val="-5"/>
        </w:rPr>
        <w:t> </w:t>
      </w:r>
      <w:r>
        <w:rPr/>
        <w:t>treat- ment with curcumin!</w:t>
      </w:r>
    </w:p>
    <w:p>
      <w:pPr>
        <w:pStyle w:val="BodyText"/>
        <w:spacing w:line="276" w:lineRule="auto" w:before="242"/>
        <w:ind w:left="477" w:right="137"/>
        <w:jc w:val="both"/>
      </w:pPr>
      <w:r>
        <w:rPr/>
        <w:t>Furthermore, curcumin protects the heart from heart attacks, the brain from strokes and the liver from cirrhosis; it lowers blood sugar levels and also pro- tects against the dreaded consequences of diabetes.</w:t>
      </w:r>
    </w:p>
    <w:p>
      <w:pPr>
        <w:pStyle w:val="BodyText"/>
        <w:spacing w:line="276" w:lineRule="auto" w:before="239"/>
        <w:ind w:left="477" w:right="137"/>
        <w:jc w:val="both"/>
      </w:pPr>
      <w:r>
        <w:rPr/>
        <w:t>These following sections are dedicated to the objective evaluation of the me- dicinal effects of curcumin and turmeric, respectively.</w:t>
      </w:r>
    </w:p>
    <w:p>
      <w:pPr>
        <w:pStyle w:val="BodyText"/>
        <w:rPr>
          <w:sz w:val="42"/>
        </w:rPr>
      </w:pPr>
    </w:p>
    <w:p>
      <w:pPr>
        <w:pStyle w:val="BodyText"/>
        <w:spacing w:before="10"/>
        <w:rPr>
          <w:sz w:val="42"/>
        </w:rPr>
      </w:pPr>
    </w:p>
    <w:p>
      <w:pPr>
        <w:pStyle w:val="Heading1"/>
        <w:spacing w:before="0"/>
      </w:pPr>
      <w:r>
        <w:rPr/>
        <w:t>Active ingredients in turmeric</w:t>
      </w:r>
    </w:p>
    <w:p>
      <w:pPr>
        <w:spacing w:before="282"/>
        <w:ind w:left="477" w:right="0" w:firstLine="0"/>
        <w:jc w:val="left"/>
        <w:rPr>
          <w:b/>
          <w:i/>
          <w:sz w:val="40"/>
        </w:rPr>
      </w:pPr>
      <w:r>
        <w:rPr>
          <w:b/>
          <w:i/>
          <w:sz w:val="40"/>
        </w:rPr>
        <w:t>Which active ingredients are found in turmeric?</w:t>
      </w:r>
    </w:p>
    <w:p>
      <w:pPr>
        <w:pStyle w:val="BodyText"/>
        <w:spacing w:line="276" w:lineRule="auto" w:before="298"/>
        <w:ind w:left="477" w:right="137"/>
        <w:jc w:val="both"/>
      </w:pPr>
      <w:r>
        <w:rPr/>
        <w:t>Naturalists agree that not all active ingredients from turmeric can be identified; many are still missing names and definitions. Of the approximately 400 active ingredients identified, curcumin stands out as one of 90 different curcumoids, including turmeric.</w:t>
      </w:r>
    </w:p>
    <w:p>
      <w:pPr>
        <w:pStyle w:val="Heading1"/>
        <w:jc w:val="both"/>
      </w:pPr>
      <w:r>
        <w:rPr/>
        <w:t>Active ingredient groups in turmeric</w:t>
      </w:r>
    </w:p>
    <w:p>
      <w:pPr>
        <w:pStyle w:val="BodyText"/>
        <w:spacing w:before="299"/>
        <w:ind w:left="477"/>
        <w:jc w:val="both"/>
      </w:pPr>
      <w:r>
        <w:rPr/>
        <w:t>The following groups of active ingredients are found in turmeric:</w:t>
      </w:r>
    </w:p>
    <w:p>
      <w:pPr>
        <w:pStyle w:val="ListParagraph"/>
        <w:numPr>
          <w:ilvl w:val="0"/>
          <w:numId w:val="26"/>
        </w:numPr>
        <w:tabs>
          <w:tab w:pos="893" w:val="left" w:leader="none"/>
        </w:tabs>
        <w:spacing w:line="240" w:lineRule="auto" w:before="187" w:after="0"/>
        <w:ind w:left="892" w:right="0" w:hanging="415"/>
        <w:jc w:val="both"/>
        <w:rPr>
          <w:sz w:val="38"/>
        </w:rPr>
      </w:pPr>
      <w:r>
        <w:rPr>
          <w:sz w:val="38"/>
        </w:rPr>
        <w:t>vitamins</w:t>
      </w:r>
    </w:p>
    <w:p>
      <w:pPr>
        <w:pStyle w:val="ListParagraph"/>
        <w:numPr>
          <w:ilvl w:val="0"/>
          <w:numId w:val="26"/>
        </w:numPr>
        <w:tabs>
          <w:tab w:pos="893" w:val="left" w:leader="none"/>
        </w:tabs>
        <w:spacing w:line="240" w:lineRule="auto" w:before="63" w:after="0"/>
        <w:ind w:left="892" w:right="0" w:hanging="415"/>
        <w:jc w:val="both"/>
        <w:rPr>
          <w:sz w:val="38"/>
        </w:rPr>
      </w:pPr>
      <w:r>
        <w:rPr>
          <w:sz w:val="38"/>
        </w:rPr>
        <w:t>minerals</w:t>
      </w:r>
    </w:p>
    <w:p>
      <w:pPr>
        <w:spacing w:after="0" w:line="240" w:lineRule="auto"/>
        <w:jc w:val="both"/>
        <w:rPr>
          <w:sz w:val="38"/>
        </w:rPr>
        <w:sectPr>
          <w:footerReference w:type="default" r:id="rId85"/>
          <w:pgSz w:w="14270" w:h="16850"/>
          <w:pgMar w:footer="1891" w:header="0" w:top="1600" w:bottom="2080" w:left="800" w:right="1280"/>
          <w:pgNumType w:start="330"/>
        </w:sectPr>
      </w:pPr>
    </w:p>
    <w:p>
      <w:pPr>
        <w:pStyle w:val="BodyText"/>
        <w:spacing w:before="10"/>
        <w:rPr>
          <w:sz w:val="8"/>
        </w:rPr>
      </w:pPr>
    </w:p>
    <w:p>
      <w:pPr>
        <w:pStyle w:val="ListParagraph"/>
        <w:numPr>
          <w:ilvl w:val="0"/>
          <w:numId w:val="26"/>
        </w:numPr>
        <w:tabs>
          <w:tab w:pos="892" w:val="left" w:leader="none"/>
          <w:tab w:pos="893" w:val="left" w:leader="none"/>
        </w:tabs>
        <w:spacing w:line="240" w:lineRule="auto" w:before="83" w:after="0"/>
        <w:ind w:left="892" w:right="0" w:hanging="415"/>
        <w:jc w:val="left"/>
        <w:rPr>
          <w:sz w:val="38"/>
        </w:rPr>
      </w:pPr>
      <w:r>
        <w:rPr>
          <w:sz w:val="38"/>
        </w:rPr>
        <w:t>trace</w:t>
      </w:r>
      <w:r>
        <w:rPr>
          <w:spacing w:val="-2"/>
          <w:sz w:val="38"/>
        </w:rPr>
        <w:t> </w:t>
      </w:r>
      <w:r>
        <w:rPr>
          <w:sz w:val="38"/>
        </w:rPr>
        <w:t>elements</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carbohydrates</w:t>
      </w:r>
    </w:p>
    <w:p>
      <w:pPr>
        <w:pStyle w:val="ListParagraph"/>
        <w:numPr>
          <w:ilvl w:val="0"/>
          <w:numId w:val="26"/>
        </w:numPr>
        <w:tabs>
          <w:tab w:pos="892" w:val="left" w:leader="none"/>
          <w:tab w:pos="893" w:val="left" w:leader="none"/>
        </w:tabs>
        <w:spacing w:line="240" w:lineRule="auto" w:before="66" w:after="0"/>
        <w:ind w:left="892" w:right="0" w:hanging="415"/>
        <w:jc w:val="left"/>
        <w:rPr>
          <w:sz w:val="38"/>
        </w:rPr>
      </w:pPr>
      <w:r>
        <w:rPr>
          <w:sz w:val="38"/>
        </w:rPr>
        <w:t>protein</w:t>
      </w:r>
    </w:p>
    <w:p>
      <w:pPr>
        <w:pStyle w:val="ListParagraph"/>
        <w:numPr>
          <w:ilvl w:val="0"/>
          <w:numId w:val="26"/>
        </w:numPr>
        <w:tabs>
          <w:tab w:pos="892" w:val="left" w:leader="none"/>
          <w:tab w:pos="893" w:val="left" w:leader="none"/>
        </w:tabs>
        <w:spacing w:line="240" w:lineRule="auto" w:before="63" w:after="0"/>
        <w:ind w:left="892" w:right="0" w:hanging="415"/>
        <w:jc w:val="left"/>
        <w:rPr>
          <w:sz w:val="38"/>
        </w:rPr>
      </w:pPr>
      <w:r>
        <w:rPr>
          <w:sz w:val="38"/>
        </w:rPr>
        <w:t>fatty</w:t>
      </w:r>
      <w:r>
        <w:rPr>
          <w:spacing w:val="-2"/>
          <w:sz w:val="38"/>
        </w:rPr>
        <w:t> </w:t>
      </w:r>
      <w:r>
        <w:rPr>
          <w:sz w:val="38"/>
        </w:rPr>
        <w:t>acids</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secondary plant</w:t>
      </w:r>
      <w:r>
        <w:rPr>
          <w:spacing w:val="1"/>
          <w:sz w:val="38"/>
        </w:rPr>
        <w:t> </w:t>
      </w:r>
      <w:r>
        <w:rPr>
          <w:sz w:val="38"/>
        </w:rPr>
        <w:t>substances</w:t>
      </w:r>
    </w:p>
    <w:p>
      <w:pPr>
        <w:pStyle w:val="ListParagraph"/>
        <w:numPr>
          <w:ilvl w:val="0"/>
          <w:numId w:val="26"/>
        </w:numPr>
        <w:tabs>
          <w:tab w:pos="892" w:val="left" w:leader="none"/>
          <w:tab w:pos="893" w:val="left" w:leader="none"/>
        </w:tabs>
        <w:spacing w:line="240" w:lineRule="auto" w:before="63" w:after="0"/>
        <w:ind w:left="892" w:right="0" w:hanging="415"/>
        <w:jc w:val="left"/>
        <w:rPr>
          <w:sz w:val="38"/>
        </w:rPr>
      </w:pPr>
      <w:r>
        <w:rPr>
          <w:sz w:val="38"/>
        </w:rPr>
        <w:t>enzymes</w:t>
      </w:r>
    </w:p>
    <w:p>
      <w:pPr>
        <w:pStyle w:val="ListParagraph"/>
        <w:numPr>
          <w:ilvl w:val="0"/>
          <w:numId w:val="26"/>
        </w:numPr>
        <w:tabs>
          <w:tab w:pos="892" w:val="left" w:leader="none"/>
          <w:tab w:pos="893" w:val="left" w:leader="none"/>
        </w:tabs>
        <w:spacing w:line="240" w:lineRule="auto" w:before="65" w:after="0"/>
        <w:ind w:left="892" w:right="0" w:hanging="415"/>
        <w:jc w:val="left"/>
        <w:rPr>
          <w:sz w:val="38"/>
        </w:rPr>
      </w:pPr>
      <w:r>
        <w:rPr>
          <w:sz w:val="38"/>
        </w:rPr>
        <w:t>hormones</w:t>
      </w:r>
    </w:p>
    <w:p>
      <w:pPr>
        <w:pStyle w:val="ListParagraph"/>
        <w:numPr>
          <w:ilvl w:val="0"/>
          <w:numId w:val="26"/>
        </w:numPr>
        <w:tabs>
          <w:tab w:pos="892" w:val="left" w:leader="none"/>
          <w:tab w:pos="893" w:val="left" w:leader="none"/>
        </w:tabs>
        <w:spacing w:line="240" w:lineRule="auto" w:before="66" w:after="0"/>
        <w:ind w:left="892" w:right="0" w:hanging="415"/>
        <w:jc w:val="left"/>
        <w:rPr>
          <w:sz w:val="38"/>
        </w:rPr>
      </w:pPr>
      <w:r>
        <w:rPr>
          <w:sz w:val="38"/>
        </w:rPr>
        <w:t>essential</w:t>
      </w:r>
      <w:r>
        <w:rPr>
          <w:spacing w:val="-2"/>
          <w:sz w:val="38"/>
        </w:rPr>
        <w:t> </w:t>
      </w:r>
      <w:r>
        <w:rPr>
          <w:sz w:val="38"/>
        </w:rPr>
        <w:t>oils</w:t>
      </w:r>
    </w:p>
    <w:p>
      <w:pPr>
        <w:pStyle w:val="ListParagraph"/>
        <w:numPr>
          <w:ilvl w:val="0"/>
          <w:numId w:val="26"/>
        </w:numPr>
        <w:tabs>
          <w:tab w:pos="892" w:val="left" w:leader="none"/>
          <w:tab w:pos="893" w:val="left" w:leader="none"/>
        </w:tabs>
        <w:spacing w:line="240" w:lineRule="auto" w:before="63" w:after="0"/>
        <w:ind w:left="892" w:right="0" w:hanging="415"/>
        <w:jc w:val="left"/>
        <w:rPr>
          <w:sz w:val="38"/>
        </w:rPr>
      </w:pPr>
      <w:r>
        <w:rPr>
          <w:sz w:val="38"/>
        </w:rPr>
        <w:t>bitter</w:t>
      </w:r>
      <w:r>
        <w:rPr>
          <w:spacing w:val="-3"/>
          <w:sz w:val="38"/>
        </w:rPr>
        <w:t> </w:t>
      </w:r>
      <w:r>
        <w:rPr>
          <w:sz w:val="38"/>
        </w:rPr>
        <w:t>substances</w:t>
      </w:r>
    </w:p>
    <w:p>
      <w:pPr>
        <w:pStyle w:val="BodyText"/>
        <w:rPr>
          <w:sz w:val="44"/>
        </w:rPr>
      </w:pPr>
    </w:p>
    <w:p>
      <w:pPr>
        <w:pStyle w:val="BodyText"/>
        <w:spacing w:before="1"/>
        <w:rPr>
          <w:sz w:val="57"/>
        </w:rPr>
      </w:pPr>
    </w:p>
    <w:p>
      <w:pPr>
        <w:pStyle w:val="Heading1"/>
        <w:spacing w:before="0"/>
      </w:pPr>
      <w:r>
        <w:rPr/>
        <w:t>The macronutrients of turmeric per 100g</w:t>
      </w:r>
      <w:r>
        <w:rPr>
          <w:spacing w:val="-71"/>
        </w:rPr>
        <w:t> </w:t>
      </w:r>
      <w:r>
        <w:rPr/>
        <w:t>are:</w:t>
      </w:r>
    </w:p>
    <w:p>
      <w:pPr>
        <w:pStyle w:val="BodyText"/>
        <w:spacing w:before="299"/>
        <w:ind w:left="477"/>
      </w:pPr>
      <w:r>
        <w:rPr/>
        <w:t>36 g protein</w:t>
      </w:r>
    </w:p>
    <w:p>
      <w:pPr>
        <w:pStyle w:val="BodyText"/>
        <w:spacing w:before="185"/>
        <w:ind w:left="477"/>
      </w:pPr>
      <w:r>
        <w:rPr/>
        <w:t>28 g carbohydrate</w:t>
      </w:r>
    </w:p>
    <w:p>
      <w:pPr>
        <w:pStyle w:val="BodyText"/>
        <w:spacing w:before="182"/>
        <w:ind w:left="477"/>
      </w:pPr>
      <w:r>
        <w:rPr/>
        <w:t>14 g fat</w:t>
      </w:r>
    </w:p>
    <w:p>
      <w:pPr>
        <w:pStyle w:val="BodyText"/>
        <w:spacing w:before="185"/>
        <w:ind w:left="477"/>
      </w:pPr>
      <w:r>
        <w:rPr/>
        <w:t>This makes up about 350 kilocalories.</w:t>
      </w:r>
    </w:p>
    <w:p>
      <w:pPr>
        <w:pStyle w:val="Heading1"/>
        <w:spacing w:line="391" w:lineRule="auto" w:before="287"/>
        <w:ind w:right="4721"/>
      </w:pPr>
      <w:r>
        <w:rPr/>
        <w:t>One</w:t>
      </w:r>
      <w:r>
        <w:rPr>
          <w:spacing w:val="-62"/>
        </w:rPr>
        <w:t> </w:t>
      </w:r>
      <w:r>
        <w:rPr/>
        <w:t>teaspoon</w:t>
      </w:r>
      <w:r>
        <w:rPr>
          <w:spacing w:val="-60"/>
        </w:rPr>
        <w:t> </w:t>
      </w:r>
      <w:r>
        <w:rPr/>
        <w:t>of</w:t>
      </w:r>
      <w:r>
        <w:rPr>
          <w:spacing w:val="-61"/>
        </w:rPr>
        <w:t> </w:t>
      </w:r>
      <w:r>
        <w:rPr/>
        <w:t>turmeric</w:t>
      </w:r>
      <w:r>
        <w:rPr>
          <w:spacing w:val="-62"/>
        </w:rPr>
        <w:t> </w:t>
      </w:r>
      <w:r>
        <w:rPr/>
        <w:t>contains</w:t>
      </w:r>
      <w:r>
        <w:rPr>
          <w:spacing w:val="-61"/>
        </w:rPr>
        <w:t> </w:t>
      </w:r>
      <w:r>
        <w:rPr/>
        <w:t>(in</w:t>
      </w:r>
      <w:r>
        <w:rPr>
          <w:spacing w:val="-60"/>
        </w:rPr>
        <w:t> </w:t>
      </w:r>
      <w:r>
        <w:rPr/>
        <w:t>mg): Vitamins</w:t>
      </w:r>
    </w:p>
    <w:p>
      <w:pPr>
        <w:pStyle w:val="BodyText"/>
        <w:tabs>
          <w:tab w:pos="3217" w:val="right" w:leader="none"/>
        </w:tabs>
        <w:spacing w:before="15"/>
        <w:ind w:left="477"/>
      </w:pPr>
      <w:r>
        <w:rPr/>
        <w:t>Vitamin</w:t>
      </w:r>
      <w:r>
        <w:rPr>
          <w:spacing w:val="-2"/>
        </w:rPr>
        <w:t> </w:t>
      </w:r>
      <w:r>
        <w:rPr/>
        <w:t>E</w:t>
        <w:tab/>
        <w:t>62</w:t>
      </w:r>
    </w:p>
    <w:p>
      <w:pPr>
        <w:pStyle w:val="BodyText"/>
        <w:tabs>
          <w:tab w:pos="3318" w:val="right" w:leader="none"/>
        </w:tabs>
        <w:spacing w:before="184"/>
        <w:ind w:left="477"/>
      </w:pPr>
      <w:r>
        <w:rPr/>
        <w:t>Choline</w:t>
        <w:tab/>
        <w:t>44</w:t>
      </w:r>
    </w:p>
    <w:p>
      <w:pPr>
        <w:spacing w:after="0"/>
        <w:sectPr>
          <w:pgSz w:w="14270" w:h="16850"/>
          <w:pgMar w:header="0" w:footer="1891" w:top="1600" w:bottom="2080" w:left="800" w:right="1280"/>
        </w:sectPr>
      </w:pPr>
    </w:p>
    <w:p>
      <w:pPr>
        <w:pStyle w:val="BodyText"/>
        <w:spacing w:before="9" w:after="1"/>
        <w:rPr>
          <w:rFonts w:ascii="Times New Roman"/>
          <w:sz w:val="15"/>
        </w:rPr>
      </w:pPr>
    </w:p>
    <w:tbl>
      <w:tblPr>
        <w:tblW w:w="0" w:type="auto"/>
        <w:jc w:val="left"/>
        <w:tblInd w:w="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55"/>
        <w:gridCol w:w="1023"/>
      </w:tblGrid>
      <w:tr>
        <w:trPr>
          <w:trHeight w:val="519" w:hRule="atLeast"/>
        </w:trPr>
        <w:tc>
          <w:tcPr>
            <w:tcW w:w="1855" w:type="dxa"/>
          </w:tcPr>
          <w:p>
            <w:pPr>
              <w:pStyle w:val="TableParagraph"/>
              <w:spacing w:line="427" w:lineRule="exact"/>
              <w:ind w:left="50"/>
              <w:rPr>
                <w:sz w:val="38"/>
              </w:rPr>
            </w:pPr>
            <w:r>
              <w:rPr>
                <w:sz w:val="38"/>
              </w:rPr>
              <w:t>Vitamin A</w:t>
            </w:r>
          </w:p>
        </w:tc>
        <w:tc>
          <w:tcPr>
            <w:tcW w:w="1023" w:type="dxa"/>
          </w:tcPr>
          <w:p>
            <w:pPr>
              <w:pStyle w:val="TableParagraph"/>
              <w:spacing w:line="427" w:lineRule="exact"/>
              <w:ind w:left="494"/>
              <w:rPr>
                <w:sz w:val="38"/>
              </w:rPr>
            </w:pPr>
            <w:r>
              <w:rPr>
                <w:sz w:val="38"/>
              </w:rPr>
              <w:t>32</w:t>
            </w:r>
          </w:p>
        </w:tc>
      </w:tr>
      <w:tr>
        <w:trPr>
          <w:trHeight w:val="611" w:hRule="atLeast"/>
        </w:trPr>
        <w:tc>
          <w:tcPr>
            <w:tcW w:w="1855" w:type="dxa"/>
          </w:tcPr>
          <w:p>
            <w:pPr>
              <w:pStyle w:val="TableParagraph"/>
              <w:spacing w:before="92"/>
              <w:ind w:left="50"/>
              <w:rPr>
                <w:sz w:val="38"/>
              </w:rPr>
            </w:pPr>
            <w:r>
              <w:rPr>
                <w:sz w:val="38"/>
              </w:rPr>
              <w:t>Folic acid</w:t>
            </w:r>
          </w:p>
        </w:tc>
        <w:tc>
          <w:tcPr>
            <w:tcW w:w="1023" w:type="dxa"/>
          </w:tcPr>
          <w:p>
            <w:pPr>
              <w:pStyle w:val="TableParagraph"/>
              <w:spacing w:before="92"/>
              <w:ind w:left="477"/>
              <w:rPr>
                <w:sz w:val="38"/>
              </w:rPr>
            </w:pPr>
            <w:r>
              <w:rPr>
                <w:sz w:val="38"/>
              </w:rPr>
              <w:t>17</w:t>
            </w:r>
          </w:p>
        </w:tc>
      </w:tr>
      <w:tr>
        <w:trPr>
          <w:trHeight w:val="612" w:hRule="atLeast"/>
        </w:trPr>
        <w:tc>
          <w:tcPr>
            <w:tcW w:w="1855" w:type="dxa"/>
          </w:tcPr>
          <w:p>
            <w:pPr>
              <w:pStyle w:val="TableParagraph"/>
              <w:spacing w:before="92"/>
              <w:ind w:left="50"/>
              <w:rPr>
                <w:sz w:val="38"/>
              </w:rPr>
            </w:pPr>
            <w:r>
              <w:rPr>
                <w:sz w:val="38"/>
              </w:rPr>
              <w:t>Niacin</w:t>
            </w:r>
          </w:p>
        </w:tc>
        <w:tc>
          <w:tcPr>
            <w:tcW w:w="1023" w:type="dxa"/>
          </w:tcPr>
          <w:p>
            <w:pPr>
              <w:pStyle w:val="TableParagraph"/>
              <w:spacing w:before="92"/>
              <w:ind w:left="119"/>
              <w:rPr>
                <w:sz w:val="38"/>
              </w:rPr>
            </w:pPr>
            <w:r>
              <w:rPr>
                <w:sz w:val="38"/>
              </w:rPr>
              <w:t>9.12</w:t>
            </w:r>
          </w:p>
        </w:tc>
      </w:tr>
      <w:tr>
        <w:trPr>
          <w:trHeight w:val="611" w:hRule="atLeast"/>
        </w:trPr>
        <w:tc>
          <w:tcPr>
            <w:tcW w:w="1855" w:type="dxa"/>
          </w:tcPr>
          <w:p>
            <w:pPr>
              <w:pStyle w:val="TableParagraph"/>
              <w:spacing w:before="92"/>
              <w:ind w:left="50"/>
              <w:rPr>
                <w:sz w:val="38"/>
              </w:rPr>
            </w:pPr>
            <w:r>
              <w:rPr>
                <w:sz w:val="38"/>
              </w:rPr>
              <w:t>Vitamin C</w:t>
            </w:r>
          </w:p>
        </w:tc>
        <w:tc>
          <w:tcPr>
            <w:tcW w:w="1023" w:type="dxa"/>
          </w:tcPr>
          <w:p>
            <w:pPr>
              <w:pStyle w:val="TableParagraph"/>
              <w:spacing w:before="92"/>
              <w:ind w:left="287"/>
              <w:rPr>
                <w:sz w:val="38"/>
              </w:rPr>
            </w:pPr>
            <w:r>
              <w:rPr>
                <w:sz w:val="38"/>
              </w:rPr>
              <w:t>1.1</w:t>
            </w:r>
          </w:p>
        </w:tc>
      </w:tr>
      <w:tr>
        <w:trPr>
          <w:trHeight w:val="611" w:hRule="atLeast"/>
        </w:trPr>
        <w:tc>
          <w:tcPr>
            <w:tcW w:w="1855" w:type="dxa"/>
          </w:tcPr>
          <w:p>
            <w:pPr>
              <w:pStyle w:val="TableParagraph"/>
              <w:spacing w:before="92"/>
              <w:ind w:left="50"/>
              <w:rPr>
                <w:sz w:val="38"/>
              </w:rPr>
            </w:pPr>
            <w:r>
              <w:rPr>
                <w:sz w:val="38"/>
              </w:rPr>
              <w:t>Vitamin K</w:t>
            </w:r>
          </w:p>
        </w:tc>
        <w:tc>
          <w:tcPr>
            <w:tcW w:w="1023" w:type="dxa"/>
          </w:tcPr>
          <w:p>
            <w:pPr>
              <w:pStyle w:val="TableParagraph"/>
              <w:spacing w:before="92"/>
              <w:ind w:left="611"/>
              <w:rPr>
                <w:sz w:val="38"/>
              </w:rPr>
            </w:pPr>
            <w:r>
              <w:rPr>
                <w:w w:val="99"/>
                <w:sz w:val="38"/>
              </w:rPr>
              <w:t>1</w:t>
            </w:r>
          </w:p>
        </w:tc>
      </w:tr>
      <w:tr>
        <w:trPr>
          <w:trHeight w:val="611" w:hRule="atLeast"/>
        </w:trPr>
        <w:tc>
          <w:tcPr>
            <w:tcW w:w="1855" w:type="dxa"/>
          </w:tcPr>
          <w:p>
            <w:pPr>
              <w:pStyle w:val="TableParagraph"/>
              <w:spacing w:before="91"/>
              <w:ind w:left="50"/>
              <w:rPr>
                <w:sz w:val="38"/>
              </w:rPr>
            </w:pPr>
            <w:r>
              <w:rPr>
                <w:sz w:val="38"/>
              </w:rPr>
              <w:t>Vitamin B6</w:t>
            </w:r>
          </w:p>
        </w:tc>
        <w:tc>
          <w:tcPr>
            <w:tcW w:w="1023" w:type="dxa"/>
          </w:tcPr>
          <w:p>
            <w:pPr>
              <w:pStyle w:val="TableParagraph"/>
              <w:spacing w:before="91"/>
              <w:ind w:right="138"/>
              <w:jc w:val="right"/>
              <w:rPr>
                <w:sz w:val="38"/>
              </w:rPr>
            </w:pPr>
            <w:r>
              <w:rPr>
                <w:w w:val="95"/>
                <w:sz w:val="38"/>
              </w:rPr>
              <w:t>0.68</w:t>
            </w:r>
          </w:p>
        </w:tc>
      </w:tr>
      <w:tr>
        <w:trPr>
          <w:trHeight w:val="611" w:hRule="atLeast"/>
        </w:trPr>
        <w:tc>
          <w:tcPr>
            <w:tcW w:w="1855" w:type="dxa"/>
          </w:tcPr>
          <w:p>
            <w:pPr>
              <w:pStyle w:val="TableParagraph"/>
              <w:spacing w:before="92"/>
              <w:ind w:left="50"/>
              <w:rPr>
                <w:sz w:val="38"/>
              </w:rPr>
            </w:pPr>
            <w:r>
              <w:rPr>
                <w:sz w:val="38"/>
              </w:rPr>
              <w:t>Vitamin B5</w:t>
            </w:r>
          </w:p>
        </w:tc>
        <w:tc>
          <w:tcPr>
            <w:tcW w:w="1023" w:type="dxa"/>
          </w:tcPr>
          <w:p>
            <w:pPr>
              <w:pStyle w:val="TableParagraph"/>
              <w:spacing w:before="92"/>
              <w:ind w:right="138"/>
              <w:jc w:val="right"/>
              <w:rPr>
                <w:sz w:val="38"/>
              </w:rPr>
            </w:pPr>
            <w:r>
              <w:rPr>
                <w:w w:val="95"/>
                <w:sz w:val="38"/>
              </w:rPr>
              <w:t>0.46</w:t>
            </w:r>
          </w:p>
        </w:tc>
      </w:tr>
      <w:tr>
        <w:trPr>
          <w:trHeight w:val="612" w:hRule="atLeast"/>
        </w:trPr>
        <w:tc>
          <w:tcPr>
            <w:tcW w:w="1855" w:type="dxa"/>
          </w:tcPr>
          <w:p>
            <w:pPr>
              <w:pStyle w:val="TableParagraph"/>
              <w:spacing w:before="92"/>
              <w:ind w:left="50"/>
              <w:rPr>
                <w:sz w:val="38"/>
              </w:rPr>
            </w:pPr>
            <w:r>
              <w:rPr>
                <w:sz w:val="38"/>
              </w:rPr>
              <w:t>Riboflavin</w:t>
            </w:r>
          </w:p>
        </w:tc>
        <w:tc>
          <w:tcPr>
            <w:tcW w:w="1023" w:type="dxa"/>
          </w:tcPr>
          <w:p>
            <w:pPr>
              <w:pStyle w:val="TableParagraph"/>
              <w:spacing w:before="92"/>
              <w:ind w:right="88"/>
              <w:jc w:val="right"/>
              <w:rPr>
                <w:sz w:val="38"/>
              </w:rPr>
            </w:pPr>
            <w:r>
              <w:rPr>
                <w:w w:val="95"/>
                <w:sz w:val="38"/>
              </w:rPr>
              <w:t>0.2</w:t>
            </w:r>
          </w:p>
        </w:tc>
      </w:tr>
      <w:tr>
        <w:trPr>
          <w:trHeight w:val="519" w:hRule="atLeast"/>
        </w:trPr>
        <w:tc>
          <w:tcPr>
            <w:tcW w:w="1855" w:type="dxa"/>
          </w:tcPr>
          <w:p>
            <w:pPr>
              <w:pStyle w:val="TableParagraph"/>
              <w:spacing w:line="407" w:lineRule="exact" w:before="92"/>
              <w:ind w:left="50"/>
              <w:rPr>
                <w:sz w:val="38"/>
              </w:rPr>
            </w:pPr>
            <w:r>
              <w:rPr>
                <w:sz w:val="38"/>
              </w:rPr>
              <w:t>Thiamine</w:t>
            </w:r>
          </w:p>
        </w:tc>
        <w:tc>
          <w:tcPr>
            <w:tcW w:w="1023" w:type="dxa"/>
          </w:tcPr>
          <w:p>
            <w:pPr>
              <w:pStyle w:val="TableParagraph"/>
              <w:spacing w:line="407" w:lineRule="exact" w:before="92"/>
              <w:ind w:right="46"/>
              <w:jc w:val="right"/>
              <w:rPr>
                <w:sz w:val="38"/>
              </w:rPr>
            </w:pPr>
            <w:r>
              <w:rPr>
                <w:w w:val="95"/>
                <w:sz w:val="38"/>
              </w:rPr>
              <w:t>0.05</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after="1"/>
        <w:rPr>
          <w:rFonts w:ascii="Times New Roman"/>
          <w:sz w:val="12"/>
        </w:rPr>
      </w:pPr>
    </w:p>
    <w:tbl>
      <w:tblPr>
        <w:tblW w:w="0" w:type="auto"/>
        <w:jc w:val="left"/>
        <w:tblInd w:w="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72"/>
        <w:gridCol w:w="1152"/>
      </w:tblGrid>
      <w:tr>
        <w:trPr>
          <w:trHeight w:val="599" w:hRule="atLeast"/>
        </w:trPr>
        <w:tc>
          <w:tcPr>
            <w:tcW w:w="2172" w:type="dxa"/>
          </w:tcPr>
          <w:p>
            <w:pPr>
              <w:pStyle w:val="TableParagraph"/>
              <w:spacing w:line="450" w:lineRule="exact"/>
              <w:ind w:left="50"/>
              <w:rPr>
                <w:b/>
                <w:i/>
                <w:sz w:val="40"/>
              </w:rPr>
            </w:pPr>
            <w:r>
              <w:rPr>
                <w:b/>
                <w:i/>
                <w:sz w:val="40"/>
              </w:rPr>
              <w:t>Minerals</w:t>
            </w:r>
          </w:p>
        </w:tc>
        <w:tc>
          <w:tcPr>
            <w:tcW w:w="1152" w:type="dxa"/>
          </w:tcPr>
          <w:p>
            <w:pPr>
              <w:pStyle w:val="TableParagraph"/>
              <w:rPr>
                <w:rFonts w:ascii="Times New Roman"/>
                <w:sz w:val="36"/>
              </w:rPr>
            </w:pPr>
          </w:p>
        </w:tc>
      </w:tr>
      <w:tr>
        <w:trPr>
          <w:trHeight w:val="669" w:hRule="atLeast"/>
        </w:trPr>
        <w:tc>
          <w:tcPr>
            <w:tcW w:w="2172" w:type="dxa"/>
          </w:tcPr>
          <w:p>
            <w:pPr>
              <w:pStyle w:val="TableParagraph"/>
              <w:spacing w:before="149"/>
              <w:ind w:left="50"/>
              <w:rPr>
                <w:sz w:val="38"/>
              </w:rPr>
            </w:pPr>
            <w:r>
              <w:rPr>
                <w:sz w:val="38"/>
              </w:rPr>
              <w:t>Potassium</w:t>
            </w:r>
          </w:p>
        </w:tc>
        <w:tc>
          <w:tcPr>
            <w:tcW w:w="1152" w:type="dxa"/>
          </w:tcPr>
          <w:p>
            <w:pPr>
              <w:pStyle w:val="TableParagraph"/>
              <w:spacing w:before="149"/>
              <w:ind w:right="92"/>
              <w:jc w:val="right"/>
              <w:rPr>
                <w:sz w:val="38"/>
              </w:rPr>
            </w:pPr>
            <w:r>
              <w:rPr>
                <w:w w:val="95"/>
                <w:sz w:val="38"/>
              </w:rPr>
              <w:t>1260</w:t>
            </w:r>
          </w:p>
        </w:tc>
      </w:tr>
      <w:tr>
        <w:trPr>
          <w:trHeight w:val="612" w:hRule="atLeast"/>
        </w:trPr>
        <w:tc>
          <w:tcPr>
            <w:tcW w:w="2172" w:type="dxa"/>
          </w:tcPr>
          <w:p>
            <w:pPr>
              <w:pStyle w:val="TableParagraph"/>
              <w:spacing w:before="92"/>
              <w:ind w:left="50"/>
              <w:rPr>
                <w:sz w:val="38"/>
              </w:rPr>
            </w:pPr>
            <w:r>
              <w:rPr>
                <w:sz w:val="38"/>
              </w:rPr>
              <w:t>Magnesium</w:t>
            </w:r>
          </w:p>
        </w:tc>
        <w:tc>
          <w:tcPr>
            <w:tcW w:w="1152" w:type="dxa"/>
          </w:tcPr>
          <w:p>
            <w:pPr>
              <w:pStyle w:val="TableParagraph"/>
              <w:spacing w:before="92"/>
              <w:ind w:right="86"/>
              <w:jc w:val="right"/>
              <w:rPr>
                <w:sz w:val="38"/>
              </w:rPr>
            </w:pPr>
            <w:r>
              <w:rPr>
                <w:w w:val="95"/>
                <w:sz w:val="38"/>
              </w:rPr>
              <w:t>208</w:t>
            </w:r>
          </w:p>
        </w:tc>
      </w:tr>
      <w:tr>
        <w:trPr>
          <w:trHeight w:val="612" w:hRule="atLeast"/>
        </w:trPr>
        <w:tc>
          <w:tcPr>
            <w:tcW w:w="2172" w:type="dxa"/>
          </w:tcPr>
          <w:p>
            <w:pPr>
              <w:pStyle w:val="TableParagraph"/>
              <w:spacing w:before="92"/>
              <w:ind w:left="50"/>
              <w:rPr>
                <w:sz w:val="38"/>
              </w:rPr>
            </w:pPr>
            <w:r>
              <w:rPr>
                <w:sz w:val="38"/>
              </w:rPr>
              <w:t>Phosphorus</w:t>
            </w:r>
          </w:p>
        </w:tc>
        <w:tc>
          <w:tcPr>
            <w:tcW w:w="1152" w:type="dxa"/>
          </w:tcPr>
          <w:p>
            <w:pPr>
              <w:pStyle w:val="TableParagraph"/>
              <w:spacing w:before="92"/>
              <w:ind w:right="108"/>
              <w:jc w:val="right"/>
              <w:rPr>
                <w:sz w:val="38"/>
              </w:rPr>
            </w:pPr>
            <w:r>
              <w:rPr>
                <w:w w:val="95"/>
                <w:sz w:val="38"/>
              </w:rPr>
              <w:t>172</w:t>
            </w:r>
          </w:p>
        </w:tc>
      </w:tr>
      <w:tr>
        <w:trPr>
          <w:trHeight w:val="612" w:hRule="atLeast"/>
        </w:trPr>
        <w:tc>
          <w:tcPr>
            <w:tcW w:w="2172" w:type="dxa"/>
          </w:tcPr>
          <w:p>
            <w:pPr>
              <w:pStyle w:val="TableParagraph"/>
              <w:spacing w:before="92"/>
              <w:ind w:left="50"/>
              <w:rPr>
                <w:sz w:val="38"/>
              </w:rPr>
            </w:pPr>
            <w:r>
              <w:rPr>
                <w:sz w:val="38"/>
              </w:rPr>
              <w:t>Calcium</w:t>
            </w:r>
          </w:p>
        </w:tc>
        <w:tc>
          <w:tcPr>
            <w:tcW w:w="1152" w:type="dxa"/>
          </w:tcPr>
          <w:p>
            <w:pPr>
              <w:pStyle w:val="TableParagraph"/>
              <w:spacing w:before="92"/>
              <w:ind w:right="103"/>
              <w:jc w:val="right"/>
              <w:rPr>
                <w:sz w:val="38"/>
              </w:rPr>
            </w:pPr>
            <w:r>
              <w:rPr>
                <w:w w:val="95"/>
                <w:sz w:val="38"/>
              </w:rPr>
              <w:t>120</w:t>
            </w:r>
          </w:p>
        </w:tc>
      </w:tr>
      <w:tr>
        <w:trPr>
          <w:trHeight w:val="612" w:hRule="atLeast"/>
        </w:trPr>
        <w:tc>
          <w:tcPr>
            <w:tcW w:w="2172" w:type="dxa"/>
          </w:tcPr>
          <w:p>
            <w:pPr>
              <w:pStyle w:val="TableParagraph"/>
              <w:spacing w:before="92"/>
              <w:ind w:left="50"/>
              <w:rPr>
                <w:sz w:val="38"/>
              </w:rPr>
            </w:pPr>
            <w:r>
              <w:rPr>
                <w:sz w:val="38"/>
              </w:rPr>
              <w:t>Selenium</w:t>
            </w:r>
          </w:p>
        </w:tc>
        <w:tc>
          <w:tcPr>
            <w:tcW w:w="1152" w:type="dxa"/>
          </w:tcPr>
          <w:p>
            <w:pPr>
              <w:pStyle w:val="TableParagraph"/>
              <w:spacing w:before="92"/>
              <w:ind w:right="48"/>
              <w:jc w:val="right"/>
              <w:rPr>
                <w:sz w:val="38"/>
              </w:rPr>
            </w:pPr>
            <w:r>
              <w:rPr>
                <w:w w:val="95"/>
                <w:sz w:val="38"/>
              </w:rPr>
              <w:t>60</w:t>
            </w:r>
          </w:p>
        </w:tc>
      </w:tr>
      <w:tr>
        <w:trPr>
          <w:trHeight w:val="519" w:hRule="atLeast"/>
        </w:trPr>
        <w:tc>
          <w:tcPr>
            <w:tcW w:w="2172" w:type="dxa"/>
          </w:tcPr>
          <w:p>
            <w:pPr>
              <w:pStyle w:val="TableParagraph"/>
              <w:spacing w:line="407" w:lineRule="exact" w:before="92"/>
              <w:ind w:left="50"/>
              <w:rPr>
                <w:sz w:val="38"/>
              </w:rPr>
            </w:pPr>
            <w:r>
              <w:rPr>
                <w:sz w:val="38"/>
              </w:rPr>
              <w:t>Manganese</w:t>
            </w:r>
          </w:p>
        </w:tc>
        <w:tc>
          <w:tcPr>
            <w:tcW w:w="1152" w:type="dxa"/>
          </w:tcPr>
          <w:p>
            <w:pPr>
              <w:pStyle w:val="TableParagraph"/>
              <w:spacing w:line="407" w:lineRule="exact" w:before="92"/>
              <w:ind w:left="373"/>
              <w:rPr>
                <w:sz w:val="38"/>
              </w:rPr>
            </w:pPr>
            <w:r>
              <w:rPr>
                <w:sz w:val="38"/>
              </w:rPr>
              <w:t>36.4</w:t>
            </w:r>
          </w:p>
        </w:tc>
      </w:tr>
    </w:tbl>
    <w:p>
      <w:pPr>
        <w:spacing w:after="0" w:line="407" w:lineRule="exact"/>
        <w:rPr>
          <w:sz w:val="38"/>
        </w:rPr>
        <w:sectPr>
          <w:pgSz w:w="14270" w:h="16850"/>
          <w:pgMar w:header="0" w:footer="1891" w:top="1600" w:bottom="2080" w:left="800" w:right="1280"/>
        </w:sectPr>
      </w:pPr>
    </w:p>
    <w:p>
      <w:pPr>
        <w:pStyle w:val="BodyText"/>
        <w:spacing w:before="3"/>
        <w:rPr>
          <w:rFonts w:ascii="Times New Roman"/>
          <w:sz w:val="14"/>
        </w:rPr>
      </w:pPr>
    </w:p>
    <w:tbl>
      <w:tblPr>
        <w:tblW w:w="0" w:type="auto"/>
        <w:jc w:val="left"/>
        <w:tblInd w:w="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66"/>
        <w:gridCol w:w="1042"/>
      </w:tblGrid>
      <w:tr>
        <w:trPr>
          <w:trHeight w:val="599" w:hRule="atLeast"/>
        </w:trPr>
        <w:tc>
          <w:tcPr>
            <w:tcW w:w="4566" w:type="dxa"/>
          </w:tcPr>
          <w:p>
            <w:pPr>
              <w:pStyle w:val="TableParagraph"/>
              <w:spacing w:line="450" w:lineRule="exact"/>
              <w:ind w:left="50"/>
              <w:rPr>
                <w:b/>
                <w:i/>
                <w:sz w:val="40"/>
              </w:rPr>
            </w:pPr>
            <w:r>
              <w:rPr>
                <w:b/>
                <w:i/>
                <w:sz w:val="40"/>
              </w:rPr>
              <w:t>Fatty acids</w:t>
            </w:r>
          </w:p>
        </w:tc>
        <w:tc>
          <w:tcPr>
            <w:tcW w:w="1042" w:type="dxa"/>
          </w:tcPr>
          <w:p>
            <w:pPr>
              <w:pStyle w:val="TableParagraph"/>
              <w:rPr>
                <w:rFonts w:ascii="Times New Roman"/>
                <w:sz w:val="34"/>
              </w:rPr>
            </w:pPr>
          </w:p>
        </w:tc>
      </w:tr>
      <w:tr>
        <w:trPr>
          <w:trHeight w:val="669" w:hRule="atLeast"/>
        </w:trPr>
        <w:tc>
          <w:tcPr>
            <w:tcW w:w="4566" w:type="dxa"/>
          </w:tcPr>
          <w:p>
            <w:pPr>
              <w:pStyle w:val="TableParagraph"/>
              <w:spacing w:before="149"/>
              <w:ind w:left="50"/>
              <w:rPr>
                <w:sz w:val="38"/>
              </w:rPr>
            </w:pPr>
            <w:r>
              <w:rPr>
                <w:sz w:val="38"/>
              </w:rPr>
              <w:t>Saturated fatty acids</w:t>
            </w:r>
          </w:p>
        </w:tc>
        <w:tc>
          <w:tcPr>
            <w:tcW w:w="1042" w:type="dxa"/>
          </w:tcPr>
          <w:p>
            <w:pPr>
              <w:pStyle w:val="TableParagraph"/>
              <w:spacing w:before="149"/>
              <w:ind w:right="88"/>
              <w:jc w:val="right"/>
              <w:rPr>
                <w:sz w:val="38"/>
              </w:rPr>
            </w:pPr>
            <w:r>
              <w:rPr>
                <w:sz w:val="38"/>
              </w:rPr>
              <w:t>1.98</w:t>
            </w:r>
          </w:p>
        </w:tc>
      </w:tr>
      <w:tr>
        <w:trPr>
          <w:trHeight w:val="612" w:hRule="atLeast"/>
        </w:trPr>
        <w:tc>
          <w:tcPr>
            <w:tcW w:w="4566" w:type="dxa"/>
          </w:tcPr>
          <w:p>
            <w:pPr>
              <w:pStyle w:val="TableParagraph"/>
              <w:spacing w:before="92"/>
              <w:ind w:left="50"/>
              <w:rPr>
                <w:sz w:val="38"/>
              </w:rPr>
            </w:pPr>
            <w:r>
              <w:rPr>
                <w:sz w:val="38"/>
              </w:rPr>
              <w:t>Polyunsaturated fatty acids</w:t>
            </w:r>
          </w:p>
        </w:tc>
        <w:tc>
          <w:tcPr>
            <w:tcW w:w="1042" w:type="dxa"/>
          </w:tcPr>
          <w:p>
            <w:pPr>
              <w:pStyle w:val="TableParagraph"/>
              <w:spacing w:before="92"/>
              <w:ind w:right="47"/>
              <w:jc w:val="right"/>
              <w:rPr>
                <w:sz w:val="38"/>
              </w:rPr>
            </w:pPr>
            <w:r>
              <w:rPr>
                <w:w w:val="95"/>
                <w:sz w:val="38"/>
              </w:rPr>
              <w:t>0.52</w:t>
            </w:r>
          </w:p>
        </w:tc>
      </w:tr>
      <w:tr>
        <w:trPr>
          <w:trHeight w:val="519" w:hRule="atLeast"/>
        </w:trPr>
        <w:tc>
          <w:tcPr>
            <w:tcW w:w="4566" w:type="dxa"/>
          </w:tcPr>
          <w:p>
            <w:pPr>
              <w:pStyle w:val="TableParagraph"/>
              <w:spacing w:line="407" w:lineRule="exact" w:before="92"/>
              <w:ind w:left="50"/>
              <w:rPr>
                <w:sz w:val="38"/>
              </w:rPr>
            </w:pPr>
            <w:r>
              <w:rPr>
                <w:sz w:val="38"/>
              </w:rPr>
              <w:t>Monounsaturated fatty acids</w:t>
            </w:r>
          </w:p>
        </w:tc>
        <w:tc>
          <w:tcPr>
            <w:tcW w:w="1042" w:type="dxa"/>
          </w:tcPr>
          <w:p>
            <w:pPr>
              <w:pStyle w:val="TableParagraph"/>
              <w:spacing w:line="407" w:lineRule="exact" w:before="92"/>
              <w:ind w:right="88"/>
              <w:jc w:val="right"/>
              <w:rPr>
                <w:sz w:val="38"/>
              </w:rPr>
            </w:pPr>
            <w:r>
              <w:rPr>
                <w:w w:val="95"/>
                <w:sz w:val="38"/>
              </w:rPr>
              <w:t>0.36</w:t>
            </w:r>
          </w:p>
        </w:tc>
      </w:tr>
    </w:tbl>
    <w:p>
      <w:pPr>
        <w:pStyle w:val="BodyText"/>
        <w:spacing w:before="9"/>
        <w:rPr>
          <w:rFonts w:ascii="Times New Roman"/>
          <w:sz w:val="17"/>
        </w:rPr>
      </w:pPr>
    </w:p>
    <w:p>
      <w:pPr>
        <w:pStyle w:val="Heading2"/>
        <w:spacing w:before="100"/>
      </w:pPr>
      <w:r>
        <w:rPr/>
        <w:t>How does the curcumin in turmeric work, and what does it counteract?</w:t>
      </w:r>
    </w:p>
    <w:p>
      <w:pPr>
        <w:pStyle w:val="BodyText"/>
        <w:spacing w:line="276" w:lineRule="auto" w:before="303"/>
        <w:ind w:left="477" w:right="134"/>
        <w:jc w:val="both"/>
        <w:rPr>
          <w:sz w:val="25"/>
        </w:rPr>
      </w:pPr>
      <w:r>
        <w:rPr/>
        <w:t>Turmeric is impressive as it is extremely effective against numerous diseases. This</w:t>
      </w:r>
      <w:r>
        <w:rPr>
          <w:spacing w:val="-13"/>
        </w:rPr>
        <w:t> </w:t>
      </w:r>
      <w:r>
        <w:rPr/>
        <w:t>is</w:t>
      </w:r>
      <w:r>
        <w:rPr>
          <w:spacing w:val="-14"/>
        </w:rPr>
        <w:t> </w:t>
      </w:r>
      <w:r>
        <w:rPr/>
        <w:t>due</w:t>
      </w:r>
      <w:r>
        <w:rPr>
          <w:spacing w:val="-15"/>
        </w:rPr>
        <w:t> </w:t>
      </w:r>
      <w:r>
        <w:rPr/>
        <w:t>to</w:t>
      </w:r>
      <w:r>
        <w:rPr>
          <w:spacing w:val="-14"/>
        </w:rPr>
        <w:t> </w:t>
      </w:r>
      <w:r>
        <w:rPr/>
        <w:t>the</w:t>
      </w:r>
      <w:r>
        <w:rPr>
          <w:spacing w:val="-14"/>
        </w:rPr>
        <w:t> </w:t>
      </w:r>
      <w:r>
        <w:rPr/>
        <w:t>synergetic</w:t>
      </w:r>
      <w:r>
        <w:rPr>
          <w:spacing w:val="-14"/>
        </w:rPr>
        <w:t> </w:t>
      </w:r>
      <w:r>
        <w:rPr/>
        <w:t>interaction</w:t>
      </w:r>
      <w:r>
        <w:rPr>
          <w:spacing w:val="-12"/>
        </w:rPr>
        <w:t> </w:t>
      </w:r>
      <w:r>
        <w:rPr/>
        <w:t>of</w:t>
      </w:r>
      <w:r>
        <w:rPr>
          <w:spacing w:val="-14"/>
        </w:rPr>
        <w:t> </w:t>
      </w:r>
      <w:r>
        <w:rPr/>
        <w:t>the</w:t>
      </w:r>
      <w:r>
        <w:rPr>
          <w:spacing w:val="-13"/>
        </w:rPr>
        <w:t> </w:t>
      </w:r>
      <w:r>
        <w:rPr/>
        <w:t>individual</w:t>
      </w:r>
      <w:r>
        <w:rPr>
          <w:spacing w:val="-15"/>
        </w:rPr>
        <w:t> </w:t>
      </w:r>
      <w:r>
        <w:rPr/>
        <w:t>active</w:t>
      </w:r>
      <w:r>
        <w:rPr>
          <w:spacing w:val="-15"/>
        </w:rPr>
        <w:t> </w:t>
      </w:r>
      <w:r>
        <w:rPr/>
        <w:t>ingredients:</w:t>
      </w:r>
      <w:r>
        <w:rPr>
          <w:spacing w:val="-13"/>
        </w:rPr>
        <w:t> </w:t>
      </w:r>
      <w:r>
        <w:rPr/>
        <w:t>cur- cumin, xanthohriziol, calcium, potassium, magnesium, iron and phosphorus. Curcumin</w:t>
      </w:r>
      <w:r>
        <w:rPr>
          <w:spacing w:val="-8"/>
        </w:rPr>
        <w:t> </w:t>
      </w:r>
      <w:r>
        <w:rPr/>
        <w:t>has</w:t>
      </w:r>
      <w:r>
        <w:rPr>
          <w:spacing w:val="-8"/>
        </w:rPr>
        <w:t> </w:t>
      </w:r>
      <w:r>
        <w:rPr/>
        <w:t>particularly</w:t>
      </w:r>
      <w:r>
        <w:rPr>
          <w:spacing w:val="-9"/>
        </w:rPr>
        <w:t> </w:t>
      </w:r>
      <w:r>
        <w:rPr/>
        <w:t>proven</w:t>
      </w:r>
      <w:r>
        <w:rPr>
          <w:spacing w:val="-7"/>
        </w:rPr>
        <w:t> </w:t>
      </w:r>
      <w:r>
        <w:rPr/>
        <w:t>itself</w:t>
      </w:r>
      <w:r>
        <w:rPr>
          <w:spacing w:val="-9"/>
        </w:rPr>
        <w:t> </w:t>
      </w:r>
      <w:r>
        <w:rPr/>
        <w:t>as</w:t>
      </w:r>
      <w:r>
        <w:rPr>
          <w:spacing w:val="-9"/>
        </w:rPr>
        <w:t> </w:t>
      </w:r>
      <w:r>
        <w:rPr/>
        <w:t>a</w:t>
      </w:r>
      <w:r>
        <w:rPr>
          <w:spacing w:val="-11"/>
        </w:rPr>
        <w:t> </w:t>
      </w:r>
      <w:r>
        <w:rPr/>
        <w:t>potent</w:t>
      </w:r>
      <w:r>
        <w:rPr>
          <w:spacing w:val="-9"/>
        </w:rPr>
        <w:t> </w:t>
      </w:r>
      <w:r>
        <w:rPr/>
        <w:t>aid</w:t>
      </w:r>
      <w:r>
        <w:rPr>
          <w:spacing w:val="-10"/>
        </w:rPr>
        <w:t> </w:t>
      </w:r>
      <w:r>
        <w:rPr/>
        <w:t>against</w:t>
      </w:r>
      <w:r>
        <w:rPr>
          <w:spacing w:val="-8"/>
        </w:rPr>
        <w:t> </w:t>
      </w:r>
      <w:r>
        <w:rPr/>
        <w:t>autoimmune</w:t>
      </w:r>
      <w:r>
        <w:rPr>
          <w:spacing w:val="-8"/>
        </w:rPr>
        <w:t> </w:t>
      </w:r>
      <w:r>
        <w:rPr/>
        <w:t>dis- eases, such as arthritis, multiple sclerosis, diabetes mellitus (type 1) or inflam- matory bowel disease. Its range of action is also worthy of note. This is how curcumin actually works in virtually every one of our 37,2 trillion body</w:t>
      </w:r>
      <w:r>
        <w:rPr>
          <w:spacing w:val="-20"/>
        </w:rPr>
        <w:t> </w:t>
      </w:r>
      <w:r>
        <w:rPr/>
        <w:t>cells!</w:t>
      </w:r>
      <w:r>
        <w:rPr>
          <w:position w:val="9"/>
          <w:sz w:val="25"/>
        </w:rPr>
        <w:t>221</w:t>
      </w:r>
    </w:p>
    <w:p>
      <w:pPr>
        <w:pStyle w:val="BodyText"/>
        <w:spacing w:line="276" w:lineRule="auto" w:before="240"/>
        <w:ind w:left="477" w:right="137"/>
        <w:jc w:val="both"/>
      </w:pPr>
      <w:r>
        <w:rPr/>
        <w:t>Before we take a closer look at the specific effect of curcumin, the main points regarding its general effects are described below:</w:t>
      </w:r>
    </w:p>
    <w:p>
      <w:pPr>
        <w:pStyle w:val="Heading1"/>
        <w:jc w:val="both"/>
      </w:pPr>
      <w:r>
        <w:rPr/>
        <w:t>General effect of curcumin</w:t>
      </w:r>
    </w:p>
    <w:p>
      <w:pPr>
        <w:pStyle w:val="ListParagraph"/>
        <w:numPr>
          <w:ilvl w:val="0"/>
          <w:numId w:val="28"/>
        </w:numPr>
        <w:tabs>
          <w:tab w:pos="1189" w:val="left" w:leader="none"/>
          <w:tab w:pos="1191" w:val="left" w:leader="none"/>
        </w:tabs>
        <w:spacing w:line="240" w:lineRule="auto" w:before="301" w:after="0"/>
        <w:ind w:left="1190" w:right="0" w:hanging="360"/>
        <w:jc w:val="left"/>
        <w:rPr>
          <w:sz w:val="38"/>
        </w:rPr>
      </w:pPr>
      <w:r>
        <w:rPr>
          <w:sz w:val="38"/>
        </w:rPr>
        <w:t>Curcumin has an antioxidant (cell-protecting)</w:t>
      </w:r>
      <w:r>
        <w:rPr>
          <w:spacing w:val="-1"/>
          <w:sz w:val="38"/>
        </w:rPr>
        <w:t> </w:t>
      </w:r>
      <w:r>
        <w:rPr>
          <w:sz w:val="38"/>
        </w:rPr>
        <w:t>effect.</w:t>
      </w:r>
    </w:p>
    <w:p>
      <w:pPr>
        <w:pStyle w:val="ListParagraph"/>
        <w:numPr>
          <w:ilvl w:val="0"/>
          <w:numId w:val="28"/>
        </w:numPr>
        <w:tabs>
          <w:tab w:pos="1189" w:val="left" w:leader="none"/>
          <w:tab w:pos="1191" w:val="left" w:leader="none"/>
        </w:tabs>
        <w:spacing w:line="240" w:lineRule="auto" w:before="63" w:after="0"/>
        <w:ind w:left="1190" w:right="0" w:hanging="360"/>
        <w:jc w:val="left"/>
        <w:rPr>
          <w:sz w:val="38"/>
        </w:rPr>
      </w:pPr>
      <w:r>
        <w:rPr>
          <w:sz w:val="38"/>
        </w:rPr>
        <w:t>Curcumin has an anti-inflammatory</w:t>
      </w:r>
      <w:r>
        <w:rPr>
          <w:spacing w:val="2"/>
          <w:sz w:val="38"/>
        </w:rPr>
        <w:t> </w:t>
      </w:r>
      <w:r>
        <w:rPr>
          <w:sz w:val="38"/>
        </w:rPr>
        <w:t>effect.</w:t>
      </w:r>
    </w:p>
    <w:p>
      <w:pPr>
        <w:pStyle w:val="BodyText"/>
        <w:spacing w:before="4"/>
        <w:rPr>
          <w:sz w:val="16"/>
        </w:rPr>
      </w:pPr>
      <w:r>
        <w:rPr/>
        <w:pict>
          <v:line style="position:absolute;mso-position-horizontal-relative:page;mso-position-vertical-relative:paragraph;z-index:2216;mso-wrap-distance-left:0;mso-wrap-distance-right:0" from="63.863998pt,11.582095pt" to="207.883998pt,11.58209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221 </w:t>
      </w:r>
      <w:r>
        <w:rPr>
          <w:sz w:val="20"/>
        </w:rPr>
        <w:t>Klaus Oberbeil: Kurkuma – die heilende Kraft der Zauberknolle (‘Turmeric – The Healing Power of the Magic Tuber’), 6/2012 p. 68</w:t>
      </w:r>
    </w:p>
    <w:p>
      <w:pPr>
        <w:spacing w:after="0"/>
        <w:jc w:val="left"/>
        <w:rPr>
          <w:sz w:val="20"/>
        </w:rPr>
        <w:sectPr>
          <w:pgSz w:w="14270" w:h="16850"/>
          <w:pgMar w:header="0" w:footer="1891" w:top="1600" w:bottom="2080" w:left="800" w:right="1280"/>
        </w:sectPr>
      </w:pPr>
    </w:p>
    <w:p>
      <w:pPr>
        <w:pStyle w:val="BodyText"/>
        <w:spacing w:before="10"/>
        <w:rPr>
          <w:sz w:val="8"/>
        </w:rPr>
      </w:pPr>
    </w:p>
    <w:p>
      <w:pPr>
        <w:pStyle w:val="ListParagraph"/>
        <w:numPr>
          <w:ilvl w:val="0"/>
          <w:numId w:val="28"/>
        </w:numPr>
        <w:tabs>
          <w:tab w:pos="1189" w:val="left" w:leader="none"/>
          <w:tab w:pos="1191" w:val="left" w:leader="none"/>
        </w:tabs>
        <w:spacing w:line="240" w:lineRule="auto" w:before="83" w:after="0"/>
        <w:ind w:left="1190" w:right="0" w:hanging="360"/>
        <w:jc w:val="left"/>
        <w:rPr>
          <w:sz w:val="38"/>
        </w:rPr>
      </w:pPr>
      <w:r>
        <w:rPr>
          <w:sz w:val="38"/>
        </w:rPr>
        <w:t>It shows an immunomodulatory (immune system-building)</w:t>
      </w:r>
      <w:r>
        <w:rPr>
          <w:spacing w:val="-4"/>
          <w:sz w:val="38"/>
        </w:rPr>
        <w:t> </w:t>
      </w:r>
      <w:r>
        <w:rPr>
          <w:sz w:val="38"/>
        </w:rPr>
        <w:t>effect.</w:t>
      </w:r>
    </w:p>
    <w:p>
      <w:pPr>
        <w:pStyle w:val="ListParagraph"/>
        <w:numPr>
          <w:ilvl w:val="0"/>
          <w:numId w:val="28"/>
        </w:numPr>
        <w:tabs>
          <w:tab w:pos="1189" w:val="left" w:leader="none"/>
          <w:tab w:pos="1191" w:val="left" w:leader="none"/>
        </w:tabs>
        <w:spacing w:line="240" w:lineRule="auto" w:before="64" w:after="0"/>
        <w:ind w:left="1190" w:right="0" w:hanging="360"/>
        <w:jc w:val="left"/>
        <w:rPr>
          <w:sz w:val="38"/>
        </w:rPr>
      </w:pPr>
      <w:r>
        <w:rPr>
          <w:sz w:val="38"/>
        </w:rPr>
        <w:t>It has an antibacterial</w:t>
      </w:r>
      <w:r>
        <w:rPr>
          <w:spacing w:val="-2"/>
          <w:sz w:val="38"/>
        </w:rPr>
        <w:t> </w:t>
      </w:r>
      <w:r>
        <w:rPr>
          <w:sz w:val="38"/>
        </w:rPr>
        <w:t>effect.</w:t>
      </w:r>
    </w:p>
    <w:p>
      <w:pPr>
        <w:pStyle w:val="ListParagraph"/>
        <w:numPr>
          <w:ilvl w:val="0"/>
          <w:numId w:val="28"/>
        </w:numPr>
        <w:tabs>
          <w:tab w:pos="1189" w:val="left" w:leader="none"/>
          <w:tab w:pos="1191" w:val="left" w:leader="none"/>
        </w:tabs>
        <w:spacing w:line="240" w:lineRule="auto" w:before="66" w:after="0"/>
        <w:ind w:left="1190" w:right="0" w:hanging="360"/>
        <w:jc w:val="left"/>
        <w:rPr>
          <w:sz w:val="38"/>
        </w:rPr>
      </w:pPr>
      <w:r>
        <w:rPr>
          <w:sz w:val="38"/>
        </w:rPr>
        <w:t>Curcumin shows antifungal (antifungal)</w:t>
      </w:r>
      <w:r>
        <w:rPr>
          <w:spacing w:val="-3"/>
          <w:sz w:val="38"/>
        </w:rPr>
        <w:t> </w:t>
      </w:r>
      <w:r>
        <w:rPr>
          <w:sz w:val="38"/>
        </w:rPr>
        <w:t>effects.</w:t>
      </w:r>
    </w:p>
    <w:p>
      <w:pPr>
        <w:pStyle w:val="ListParagraph"/>
        <w:numPr>
          <w:ilvl w:val="0"/>
          <w:numId w:val="28"/>
        </w:numPr>
        <w:tabs>
          <w:tab w:pos="1189" w:val="left" w:leader="none"/>
          <w:tab w:pos="1191" w:val="left" w:leader="none"/>
        </w:tabs>
        <w:spacing w:line="240" w:lineRule="auto" w:before="63" w:after="0"/>
        <w:ind w:left="1190" w:right="0" w:hanging="360"/>
        <w:jc w:val="left"/>
        <w:rPr>
          <w:sz w:val="38"/>
        </w:rPr>
      </w:pPr>
      <w:r>
        <w:rPr>
          <w:sz w:val="38"/>
        </w:rPr>
        <w:t>It firms cell</w:t>
      </w:r>
      <w:r>
        <w:rPr>
          <w:spacing w:val="-1"/>
          <w:sz w:val="38"/>
        </w:rPr>
        <w:t> </w:t>
      </w:r>
      <w:r>
        <w:rPr>
          <w:sz w:val="38"/>
        </w:rPr>
        <w:t>membranes.</w:t>
      </w:r>
    </w:p>
    <w:p>
      <w:pPr>
        <w:pStyle w:val="ListParagraph"/>
        <w:numPr>
          <w:ilvl w:val="0"/>
          <w:numId w:val="28"/>
        </w:numPr>
        <w:tabs>
          <w:tab w:pos="1189" w:val="left" w:leader="none"/>
          <w:tab w:pos="1191" w:val="left" w:leader="none"/>
        </w:tabs>
        <w:spacing w:line="240" w:lineRule="auto" w:before="64" w:after="0"/>
        <w:ind w:left="1190" w:right="0" w:hanging="360"/>
        <w:jc w:val="left"/>
        <w:rPr>
          <w:sz w:val="38"/>
        </w:rPr>
      </w:pPr>
      <w:r>
        <w:rPr>
          <w:sz w:val="38"/>
        </w:rPr>
        <w:t>It regulates genes.</w:t>
      </w:r>
    </w:p>
    <w:p>
      <w:pPr>
        <w:pStyle w:val="ListParagraph"/>
        <w:numPr>
          <w:ilvl w:val="0"/>
          <w:numId w:val="28"/>
        </w:numPr>
        <w:tabs>
          <w:tab w:pos="1189" w:val="left" w:leader="none"/>
          <w:tab w:pos="1191" w:val="left" w:leader="none"/>
        </w:tabs>
        <w:spacing w:line="240" w:lineRule="auto" w:before="63" w:after="0"/>
        <w:ind w:left="1190" w:right="0" w:hanging="360"/>
        <w:jc w:val="left"/>
        <w:rPr>
          <w:sz w:val="38"/>
        </w:rPr>
      </w:pPr>
      <w:r>
        <w:rPr>
          <w:sz w:val="38"/>
        </w:rPr>
        <w:t>It is</w:t>
      </w:r>
      <w:r>
        <w:rPr>
          <w:spacing w:val="-1"/>
          <w:sz w:val="38"/>
        </w:rPr>
        <w:t> </w:t>
      </w:r>
      <w:r>
        <w:rPr>
          <w:sz w:val="38"/>
        </w:rPr>
        <w:t>neuroprotective.</w:t>
      </w:r>
    </w:p>
    <w:p>
      <w:pPr>
        <w:pStyle w:val="ListParagraph"/>
        <w:numPr>
          <w:ilvl w:val="0"/>
          <w:numId w:val="28"/>
        </w:numPr>
        <w:tabs>
          <w:tab w:pos="1189" w:val="left" w:leader="none"/>
          <w:tab w:pos="1191" w:val="left" w:leader="none"/>
        </w:tabs>
        <w:spacing w:line="240" w:lineRule="auto" w:before="65" w:after="0"/>
        <w:ind w:left="1190" w:right="0" w:hanging="360"/>
        <w:jc w:val="left"/>
        <w:rPr>
          <w:sz w:val="38"/>
        </w:rPr>
      </w:pPr>
      <w:r>
        <w:rPr>
          <w:sz w:val="38"/>
        </w:rPr>
        <w:t>It is</w:t>
      </w:r>
      <w:r>
        <w:rPr>
          <w:spacing w:val="-1"/>
          <w:sz w:val="38"/>
        </w:rPr>
        <w:t> </w:t>
      </w:r>
      <w:r>
        <w:rPr>
          <w:sz w:val="38"/>
        </w:rPr>
        <w:t>chemopreventive.</w:t>
      </w:r>
    </w:p>
    <w:p>
      <w:pPr>
        <w:pStyle w:val="ListParagraph"/>
        <w:numPr>
          <w:ilvl w:val="0"/>
          <w:numId w:val="28"/>
        </w:numPr>
        <w:tabs>
          <w:tab w:pos="1189" w:val="left" w:leader="none"/>
          <w:tab w:pos="1191" w:val="left" w:leader="none"/>
        </w:tabs>
        <w:spacing w:line="240" w:lineRule="auto" w:before="66" w:after="0"/>
        <w:ind w:left="1190" w:right="0" w:hanging="360"/>
        <w:jc w:val="left"/>
        <w:rPr>
          <w:sz w:val="38"/>
        </w:rPr>
      </w:pPr>
      <w:r>
        <w:rPr>
          <w:sz w:val="38"/>
        </w:rPr>
        <w:t>It is</w:t>
      </w:r>
      <w:r>
        <w:rPr>
          <w:spacing w:val="-1"/>
          <w:sz w:val="38"/>
        </w:rPr>
        <w:t> </w:t>
      </w:r>
      <w:r>
        <w:rPr>
          <w:sz w:val="38"/>
        </w:rPr>
        <w:t>choleretic.</w:t>
      </w:r>
    </w:p>
    <w:p>
      <w:pPr>
        <w:pStyle w:val="ListParagraph"/>
        <w:numPr>
          <w:ilvl w:val="0"/>
          <w:numId w:val="28"/>
        </w:numPr>
        <w:tabs>
          <w:tab w:pos="1189" w:val="left" w:leader="none"/>
          <w:tab w:pos="1191" w:val="left" w:leader="none"/>
        </w:tabs>
        <w:spacing w:line="240" w:lineRule="auto" w:before="63" w:after="0"/>
        <w:ind w:left="1190" w:right="0" w:hanging="360"/>
        <w:jc w:val="left"/>
        <w:rPr>
          <w:sz w:val="38"/>
        </w:rPr>
      </w:pPr>
      <w:r>
        <w:rPr>
          <w:sz w:val="38"/>
        </w:rPr>
        <w:t>It is</w:t>
      </w:r>
      <w:r>
        <w:rPr>
          <w:spacing w:val="-1"/>
          <w:sz w:val="38"/>
        </w:rPr>
        <w:t> </w:t>
      </w:r>
      <w:r>
        <w:rPr>
          <w:sz w:val="38"/>
        </w:rPr>
        <w:t>anti-inflammatory.</w:t>
      </w:r>
    </w:p>
    <w:p>
      <w:pPr>
        <w:pStyle w:val="ListParagraph"/>
        <w:numPr>
          <w:ilvl w:val="0"/>
          <w:numId w:val="28"/>
        </w:numPr>
        <w:tabs>
          <w:tab w:pos="1189" w:val="left" w:leader="none"/>
          <w:tab w:pos="1191" w:val="left" w:leader="none"/>
        </w:tabs>
        <w:spacing w:line="240" w:lineRule="auto" w:before="64" w:after="0"/>
        <w:ind w:left="1190" w:right="0" w:hanging="360"/>
        <w:jc w:val="left"/>
        <w:rPr>
          <w:sz w:val="38"/>
        </w:rPr>
      </w:pPr>
      <w:r>
        <w:rPr>
          <w:sz w:val="38"/>
        </w:rPr>
        <w:t>It</w:t>
      </w:r>
      <w:r>
        <w:rPr>
          <w:spacing w:val="-2"/>
          <w:sz w:val="38"/>
        </w:rPr>
        <w:t> </w:t>
      </w:r>
      <w:r>
        <w:rPr>
          <w:sz w:val="38"/>
        </w:rPr>
        <w:t>oxygenates.</w:t>
      </w:r>
    </w:p>
    <w:p>
      <w:pPr>
        <w:pStyle w:val="ListParagraph"/>
        <w:numPr>
          <w:ilvl w:val="0"/>
          <w:numId w:val="28"/>
        </w:numPr>
        <w:tabs>
          <w:tab w:pos="1189" w:val="left" w:leader="none"/>
          <w:tab w:pos="1191" w:val="left" w:leader="none"/>
        </w:tabs>
        <w:spacing w:line="240" w:lineRule="auto" w:before="64" w:after="0"/>
        <w:ind w:left="1190" w:right="0" w:hanging="360"/>
        <w:jc w:val="left"/>
        <w:rPr>
          <w:sz w:val="38"/>
        </w:rPr>
      </w:pPr>
      <w:r>
        <w:rPr>
          <w:sz w:val="38"/>
        </w:rPr>
        <w:t>It is</w:t>
      </w:r>
      <w:r>
        <w:rPr>
          <w:spacing w:val="-1"/>
          <w:sz w:val="38"/>
        </w:rPr>
        <w:t> </w:t>
      </w:r>
      <w:r>
        <w:rPr>
          <w:sz w:val="38"/>
        </w:rPr>
        <w:t>cholekinetic.</w:t>
      </w:r>
    </w:p>
    <w:p>
      <w:pPr>
        <w:pStyle w:val="ListParagraph"/>
        <w:numPr>
          <w:ilvl w:val="0"/>
          <w:numId w:val="28"/>
        </w:numPr>
        <w:tabs>
          <w:tab w:pos="1189" w:val="left" w:leader="none"/>
          <w:tab w:pos="1191" w:val="left" w:leader="none"/>
        </w:tabs>
        <w:spacing w:line="240" w:lineRule="auto" w:before="63" w:after="0"/>
        <w:ind w:left="1190" w:right="0" w:hanging="360"/>
        <w:jc w:val="left"/>
        <w:rPr>
          <w:sz w:val="38"/>
        </w:rPr>
      </w:pPr>
      <w:r>
        <w:rPr>
          <w:sz w:val="38"/>
        </w:rPr>
        <w:t>It is</w:t>
      </w:r>
      <w:r>
        <w:rPr>
          <w:spacing w:val="-1"/>
          <w:sz w:val="38"/>
        </w:rPr>
        <w:t> </w:t>
      </w:r>
      <w:r>
        <w:rPr>
          <w:sz w:val="38"/>
        </w:rPr>
        <w:t>anti-ischemic.</w:t>
      </w:r>
    </w:p>
    <w:p>
      <w:pPr>
        <w:pStyle w:val="ListParagraph"/>
        <w:numPr>
          <w:ilvl w:val="0"/>
          <w:numId w:val="28"/>
        </w:numPr>
        <w:tabs>
          <w:tab w:pos="1189" w:val="left" w:leader="none"/>
          <w:tab w:pos="1191" w:val="left" w:leader="none"/>
        </w:tabs>
        <w:spacing w:line="240" w:lineRule="auto" w:before="66" w:after="0"/>
        <w:ind w:left="1190" w:right="0" w:hanging="360"/>
        <w:jc w:val="left"/>
        <w:rPr>
          <w:sz w:val="38"/>
        </w:rPr>
      </w:pPr>
      <w:r>
        <w:rPr>
          <w:sz w:val="38"/>
        </w:rPr>
        <w:t>It promotes</w:t>
      </w:r>
      <w:r>
        <w:rPr>
          <w:spacing w:val="-2"/>
          <w:sz w:val="38"/>
        </w:rPr>
        <w:t> </w:t>
      </w:r>
      <w:r>
        <w:rPr>
          <w:sz w:val="38"/>
        </w:rPr>
        <w:t>healing.</w:t>
      </w:r>
    </w:p>
    <w:p>
      <w:pPr>
        <w:pStyle w:val="ListParagraph"/>
        <w:numPr>
          <w:ilvl w:val="0"/>
          <w:numId w:val="28"/>
        </w:numPr>
        <w:tabs>
          <w:tab w:pos="1189" w:val="left" w:leader="none"/>
          <w:tab w:pos="1191" w:val="left" w:leader="none"/>
        </w:tabs>
        <w:spacing w:line="240" w:lineRule="auto" w:before="64" w:after="0"/>
        <w:ind w:left="1190" w:right="0" w:hanging="360"/>
        <w:jc w:val="left"/>
        <w:rPr>
          <w:sz w:val="38"/>
        </w:rPr>
      </w:pPr>
      <w:r>
        <w:rPr>
          <w:sz w:val="38"/>
        </w:rPr>
        <w:t>It is a</w:t>
      </w:r>
      <w:r>
        <w:rPr>
          <w:spacing w:val="-2"/>
          <w:sz w:val="38"/>
        </w:rPr>
        <w:t> </w:t>
      </w:r>
      <w:r>
        <w:rPr>
          <w:sz w:val="38"/>
        </w:rPr>
        <w:t>chloretic.</w:t>
      </w:r>
    </w:p>
    <w:p>
      <w:pPr>
        <w:pStyle w:val="ListParagraph"/>
        <w:numPr>
          <w:ilvl w:val="0"/>
          <w:numId w:val="28"/>
        </w:numPr>
        <w:tabs>
          <w:tab w:pos="1189" w:val="left" w:leader="none"/>
          <w:tab w:pos="1191" w:val="left" w:leader="none"/>
        </w:tabs>
        <w:spacing w:line="240" w:lineRule="auto" w:before="64" w:after="0"/>
        <w:ind w:left="1190" w:right="0" w:hanging="360"/>
        <w:jc w:val="left"/>
        <w:rPr>
          <w:sz w:val="38"/>
        </w:rPr>
      </w:pPr>
      <w:r>
        <w:rPr>
          <w:sz w:val="38"/>
        </w:rPr>
        <w:t>It is an insecticide.</w:t>
      </w:r>
    </w:p>
    <w:p>
      <w:pPr>
        <w:pStyle w:val="ListParagraph"/>
        <w:numPr>
          <w:ilvl w:val="0"/>
          <w:numId w:val="28"/>
        </w:numPr>
        <w:tabs>
          <w:tab w:pos="1189" w:val="left" w:leader="none"/>
          <w:tab w:pos="1191" w:val="left" w:leader="none"/>
        </w:tabs>
        <w:spacing w:line="240" w:lineRule="auto" w:before="64" w:after="0"/>
        <w:ind w:left="1190" w:right="0" w:hanging="360"/>
        <w:jc w:val="left"/>
        <w:rPr>
          <w:sz w:val="38"/>
        </w:rPr>
      </w:pPr>
      <w:r>
        <w:rPr>
          <w:sz w:val="38"/>
        </w:rPr>
        <w:t>It has a detoxifying effect on the</w:t>
      </w:r>
      <w:r>
        <w:rPr>
          <w:spacing w:val="-4"/>
          <w:sz w:val="38"/>
        </w:rPr>
        <w:t> </w:t>
      </w:r>
      <w:r>
        <w:rPr>
          <w:sz w:val="38"/>
        </w:rPr>
        <w:t>organism.</w:t>
      </w:r>
    </w:p>
    <w:p>
      <w:pPr>
        <w:pStyle w:val="ListParagraph"/>
        <w:numPr>
          <w:ilvl w:val="0"/>
          <w:numId w:val="28"/>
        </w:numPr>
        <w:tabs>
          <w:tab w:pos="1189" w:val="left" w:leader="none"/>
          <w:tab w:pos="1191" w:val="left" w:leader="none"/>
        </w:tabs>
        <w:spacing w:line="240" w:lineRule="auto" w:before="66" w:after="0"/>
        <w:ind w:left="1190" w:right="0" w:hanging="360"/>
        <w:jc w:val="left"/>
        <w:rPr>
          <w:sz w:val="38"/>
        </w:rPr>
      </w:pPr>
      <w:r>
        <w:rPr>
          <w:sz w:val="38"/>
        </w:rPr>
        <w:t>Curcumin has an anti-carcinogenic (anti-cancer) effect.</w:t>
      </w:r>
    </w:p>
    <w:p>
      <w:pPr>
        <w:pStyle w:val="ListParagraph"/>
        <w:numPr>
          <w:ilvl w:val="0"/>
          <w:numId w:val="28"/>
        </w:numPr>
        <w:tabs>
          <w:tab w:pos="1189" w:val="left" w:leader="none"/>
          <w:tab w:pos="1191" w:val="left" w:leader="none"/>
        </w:tabs>
        <w:spacing w:line="240" w:lineRule="auto" w:before="63" w:after="0"/>
        <w:ind w:left="1190" w:right="0" w:hanging="360"/>
        <w:jc w:val="left"/>
        <w:rPr>
          <w:sz w:val="38"/>
        </w:rPr>
      </w:pPr>
      <w:r>
        <w:rPr>
          <w:sz w:val="38"/>
        </w:rPr>
        <w:t>It lowers cholesterol/lipids.</w:t>
      </w:r>
    </w:p>
    <w:p>
      <w:pPr>
        <w:pStyle w:val="ListParagraph"/>
        <w:numPr>
          <w:ilvl w:val="0"/>
          <w:numId w:val="28"/>
        </w:numPr>
        <w:tabs>
          <w:tab w:pos="1189" w:val="left" w:leader="none"/>
          <w:tab w:pos="1191" w:val="left" w:leader="none"/>
        </w:tabs>
        <w:spacing w:line="240" w:lineRule="auto" w:before="64" w:after="0"/>
        <w:ind w:left="1190" w:right="0" w:hanging="360"/>
        <w:jc w:val="left"/>
        <w:rPr>
          <w:sz w:val="38"/>
        </w:rPr>
      </w:pPr>
      <w:r>
        <w:rPr>
          <w:sz w:val="38"/>
        </w:rPr>
        <w:t>Curcumin has a hepatoprotective (liver-protecting)</w:t>
      </w:r>
      <w:r>
        <w:rPr>
          <w:spacing w:val="-1"/>
          <w:sz w:val="38"/>
        </w:rPr>
        <w:t> </w:t>
      </w:r>
      <w:r>
        <w:rPr>
          <w:sz w:val="38"/>
        </w:rPr>
        <w:t>effect.</w:t>
      </w:r>
    </w:p>
    <w:p>
      <w:pPr>
        <w:pStyle w:val="ListParagraph"/>
        <w:numPr>
          <w:ilvl w:val="0"/>
          <w:numId w:val="28"/>
        </w:numPr>
        <w:tabs>
          <w:tab w:pos="1189" w:val="left" w:leader="none"/>
          <w:tab w:pos="1191" w:val="left" w:leader="none"/>
        </w:tabs>
        <w:spacing w:line="240" w:lineRule="auto" w:before="63" w:after="0"/>
        <w:ind w:left="1190" w:right="0" w:hanging="360"/>
        <w:jc w:val="left"/>
        <w:rPr>
          <w:sz w:val="38"/>
        </w:rPr>
      </w:pPr>
      <w:r>
        <w:rPr>
          <w:sz w:val="38"/>
        </w:rPr>
        <w:t>Curcumin has an antihypertensive</w:t>
      </w:r>
      <w:r>
        <w:rPr>
          <w:spacing w:val="1"/>
          <w:sz w:val="38"/>
        </w:rPr>
        <w:t> </w:t>
      </w:r>
      <w:r>
        <w:rPr>
          <w:sz w:val="38"/>
        </w:rPr>
        <w:t>effect.</w:t>
      </w:r>
    </w:p>
    <w:p>
      <w:pPr>
        <w:pStyle w:val="Heading1"/>
        <w:spacing w:before="286"/>
      </w:pPr>
      <w:r>
        <w:rPr/>
        <w:t>Antioxidant (cell protecting) effect of</w:t>
      </w:r>
      <w:r>
        <w:rPr>
          <w:spacing w:val="-66"/>
        </w:rPr>
        <w:t> </w:t>
      </w:r>
      <w:r>
        <w:rPr/>
        <w:t>curcumin</w:t>
      </w:r>
    </w:p>
    <w:p>
      <w:pPr>
        <w:spacing w:after="0"/>
        <w:sectPr>
          <w:pgSz w:w="14270" w:h="16850"/>
          <w:pgMar w:header="0" w:footer="1891" w:top="1600" w:bottom="2080" w:left="800" w:right="1280"/>
        </w:sectPr>
      </w:pPr>
    </w:p>
    <w:p>
      <w:pPr>
        <w:pStyle w:val="BodyText"/>
        <w:spacing w:line="276" w:lineRule="auto" w:before="181"/>
        <w:ind w:left="477" w:right="130"/>
        <w:jc w:val="both"/>
      </w:pPr>
      <w:r>
        <w:rPr/>
        <w:t>The</w:t>
      </w:r>
      <w:r>
        <w:rPr>
          <w:spacing w:val="-12"/>
        </w:rPr>
        <w:t> </w:t>
      </w:r>
      <w:r>
        <w:rPr/>
        <w:t>best</w:t>
      </w:r>
      <w:r>
        <w:rPr>
          <w:spacing w:val="-13"/>
        </w:rPr>
        <w:t> </w:t>
      </w:r>
      <w:r>
        <w:rPr/>
        <w:t>possible</w:t>
      </w:r>
      <w:r>
        <w:rPr>
          <w:spacing w:val="-12"/>
        </w:rPr>
        <w:t> </w:t>
      </w:r>
      <w:r>
        <w:rPr/>
        <w:t>way</w:t>
      </w:r>
      <w:r>
        <w:rPr>
          <w:spacing w:val="-11"/>
        </w:rPr>
        <w:t> </w:t>
      </w:r>
      <w:r>
        <w:rPr/>
        <w:t>to</w:t>
      </w:r>
      <w:r>
        <w:rPr>
          <w:spacing w:val="-14"/>
        </w:rPr>
        <w:t> </w:t>
      </w:r>
      <w:r>
        <w:rPr/>
        <w:t>prevent</w:t>
      </w:r>
      <w:r>
        <w:rPr>
          <w:spacing w:val="-14"/>
        </w:rPr>
        <w:t> </w:t>
      </w:r>
      <w:r>
        <w:rPr/>
        <w:t>disease</w:t>
      </w:r>
      <w:r>
        <w:rPr>
          <w:spacing w:val="-11"/>
        </w:rPr>
        <w:t> </w:t>
      </w:r>
      <w:r>
        <w:rPr/>
        <w:t>and</w:t>
      </w:r>
      <w:r>
        <w:rPr>
          <w:spacing w:val="-14"/>
        </w:rPr>
        <w:t> </w:t>
      </w:r>
      <w:r>
        <w:rPr/>
        <w:t>ageing</w:t>
      </w:r>
      <w:r>
        <w:rPr>
          <w:spacing w:val="-8"/>
        </w:rPr>
        <w:t> </w:t>
      </w:r>
      <w:r>
        <w:rPr/>
        <w:t>continues</w:t>
      </w:r>
      <w:r>
        <w:rPr>
          <w:spacing w:val="-12"/>
        </w:rPr>
        <w:t> </w:t>
      </w:r>
      <w:r>
        <w:rPr/>
        <w:t>to</w:t>
      </w:r>
      <w:r>
        <w:rPr>
          <w:spacing w:val="-16"/>
        </w:rPr>
        <w:t> </w:t>
      </w:r>
      <w:r>
        <w:rPr/>
        <w:t>be</w:t>
      </w:r>
      <w:r>
        <w:rPr>
          <w:spacing w:val="-11"/>
        </w:rPr>
        <w:t> </w:t>
      </w:r>
      <w:r>
        <w:rPr/>
        <w:t>the</w:t>
      </w:r>
      <w:r>
        <w:rPr>
          <w:spacing w:val="-13"/>
        </w:rPr>
        <w:t> </w:t>
      </w:r>
      <w:r>
        <w:rPr/>
        <w:t>protec- tion of our cells against free radical attacks resulting from the metabolism, res- piratory air, air pollution, tobacco smoke and other factors, which aggressively attack</w:t>
      </w:r>
      <w:r>
        <w:rPr>
          <w:spacing w:val="-12"/>
        </w:rPr>
        <w:t> </w:t>
      </w:r>
      <w:r>
        <w:rPr/>
        <w:t>each</w:t>
      </w:r>
      <w:r>
        <w:rPr>
          <w:spacing w:val="-11"/>
        </w:rPr>
        <w:t> </w:t>
      </w:r>
      <w:r>
        <w:rPr/>
        <w:t>of</w:t>
      </w:r>
      <w:r>
        <w:rPr>
          <w:spacing w:val="-11"/>
        </w:rPr>
        <w:t> </w:t>
      </w:r>
      <w:r>
        <w:rPr/>
        <w:t>our</w:t>
      </w:r>
      <w:r>
        <w:rPr>
          <w:spacing w:val="-12"/>
        </w:rPr>
        <w:t> </w:t>
      </w:r>
      <w:r>
        <w:rPr/>
        <w:t>cells,</w:t>
      </w:r>
      <w:r>
        <w:rPr>
          <w:spacing w:val="-11"/>
        </w:rPr>
        <w:t> </w:t>
      </w:r>
      <w:r>
        <w:rPr/>
        <w:t>leading</w:t>
      </w:r>
      <w:r>
        <w:rPr>
          <w:spacing w:val="-12"/>
        </w:rPr>
        <w:t> </w:t>
      </w:r>
      <w:r>
        <w:rPr/>
        <w:t>to</w:t>
      </w:r>
      <w:r>
        <w:rPr>
          <w:spacing w:val="-11"/>
        </w:rPr>
        <w:t> </w:t>
      </w:r>
      <w:r>
        <w:rPr/>
        <w:t>loss</w:t>
      </w:r>
      <w:r>
        <w:rPr>
          <w:spacing w:val="-13"/>
        </w:rPr>
        <w:t> </w:t>
      </w:r>
      <w:r>
        <w:rPr/>
        <w:t>of</w:t>
      </w:r>
      <w:r>
        <w:rPr>
          <w:spacing w:val="-11"/>
        </w:rPr>
        <w:t> </w:t>
      </w:r>
      <w:r>
        <w:rPr/>
        <w:t>function,</w:t>
      </w:r>
      <w:r>
        <w:rPr>
          <w:spacing w:val="-11"/>
        </w:rPr>
        <w:t> </w:t>
      </w:r>
      <w:r>
        <w:rPr/>
        <w:t>mutations,</w:t>
      </w:r>
      <w:r>
        <w:rPr>
          <w:spacing w:val="-10"/>
        </w:rPr>
        <w:t> </w:t>
      </w:r>
      <w:r>
        <w:rPr/>
        <w:t>and</w:t>
      </w:r>
      <w:r>
        <w:rPr>
          <w:spacing w:val="-12"/>
        </w:rPr>
        <w:t> </w:t>
      </w:r>
      <w:r>
        <w:rPr/>
        <w:t>other</w:t>
      </w:r>
      <w:r>
        <w:rPr>
          <w:spacing w:val="-11"/>
        </w:rPr>
        <w:t> </w:t>
      </w:r>
      <w:r>
        <w:rPr/>
        <w:t>effects that manifest in countless illnesses, including</w:t>
      </w:r>
      <w:r>
        <w:rPr>
          <w:spacing w:val="2"/>
        </w:rPr>
        <w:t> </w:t>
      </w:r>
      <w:r>
        <w:rPr/>
        <w:t>cancer.</w:t>
      </w:r>
    </w:p>
    <w:p>
      <w:pPr>
        <w:pStyle w:val="BodyText"/>
        <w:spacing w:line="276" w:lineRule="auto" w:before="240"/>
        <w:ind w:left="477" w:right="133"/>
        <w:jc w:val="both"/>
      </w:pPr>
      <w:r>
        <w:rPr/>
        <w:t>The only way to protect yourself is by modifying your behaviour and taking antioxidants.</w:t>
      </w:r>
      <w:r>
        <w:rPr>
          <w:spacing w:val="-10"/>
        </w:rPr>
        <w:t> </w:t>
      </w:r>
      <w:r>
        <w:rPr/>
        <w:t>These</w:t>
      </w:r>
      <w:r>
        <w:rPr>
          <w:spacing w:val="-11"/>
        </w:rPr>
        <w:t> </w:t>
      </w:r>
      <w:r>
        <w:rPr/>
        <w:t>antioxidants</w:t>
      </w:r>
      <w:r>
        <w:rPr>
          <w:spacing w:val="-9"/>
        </w:rPr>
        <w:t> </w:t>
      </w:r>
      <w:r>
        <w:rPr/>
        <w:t>include</w:t>
      </w:r>
      <w:r>
        <w:rPr>
          <w:spacing w:val="-12"/>
        </w:rPr>
        <w:t> </w:t>
      </w:r>
      <w:r>
        <w:rPr/>
        <w:t>the</w:t>
      </w:r>
      <w:r>
        <w:rPr>
          <w:spacing w:val="-9"/>
        </w:rPr>
        <w:t> </w:t>
      </w:r>
      <w:r>
        <w:rPr/>
        <w:t>classics</w:t>
      </w:r>
      <w:r>
        <w:rPr>
          <w:spacing w:val="-11"/>
        </w:rPr>
        <w:t> </w:t>
      </w:r>
      <w:r>
        <w:rPr/>
        <w:t>vitamin</w:t>
      </w:r>
      <w:r>
        <w:rPr>
          <w:spacing w:val="-8"/>
        </w:rPr>
        <w:t> </w:t>
      </w:r>
      <w:r>
        <w:rPr/>
        <w:t>C,</w:t>
      </w:r>
      <w:r>
        <w:rPr>
          <w:spacing w:val="-12"/>
        </w:rPr>
        <w:t> </w:t>
      </w:r>
      <w:r>
        <w:rPr/>
        <w:t>coenzyme</w:t>
      </w:r>
      <w:r>
        <w:rPr>
          <w:spacing w:val="-9"/>
        </w:rPr>
        <w:t> </w:t>
      </w:r>
      <w:r>
        <w:rPr/>
        <w:t>Q10, beta-carotene, selenium, vitamin E and less efficient substances, including cur- cumin from turmeric.</w:t>
      </w:r>
    </w:p>
    <w:p>
      <w:pPr>
        <w:pStyle w:val="Heading1"/>
        <w:spacing w:before="225"/>
      </w:pPr>
      <w:r>
        <w:rPr/>
        <w:t>How does curcumin have an antioxidant effect?</w:t>
      </w:r>
    </w:p>
    <w:p>
      <w:pPr>
        <w:pStyle w:val="BodyText"/>
        <w:spacing w:line="276" w:lineRule="auto" w:before="299"/>
        <w:ind w:left="477" w:right="134"/>
        <w:jc w:val="both"/>
      </w:pPr>
      <w:r>
        <w:rPr/>
        <w:t>By inhibiting lipoxygenase (LOX) and cyclooxygenase-2 (COX-2), curcumin strongly counteracts the attacking free radicals!</w:t>
      </w:r>
    </w:p>
    <w:p>
      <w:pPr>
        <w:pStyle w:val="Heading1"/>
        <w:spacing w:before="221"/>
      </w:pPr>
      <w:r>
        <w:rPr/>
        <w:t>Gene-regulating effect of turmeric</w:t>
      </w:r>
    </w:p>
    <w:p>
      <w:pPr>
        <w:pStyle w:val="BodyText"/>
        <w:spacing w:line="276" w:lineRule="auto" w:before="300"/>
        <w:ind w:left="477" w:right="137"/>
        <w:jc w:val="both"/>
      </w:pPr>
      <w:r>
        <w:rPr/>
        <w:t>Tests</w:t>
      </w:r>
      <w:r>
        <w:rPr>
          <w:spacing w:val="-17"/>
        </w:rPr>
        <w:t> </w:t>
      </w:r>
      <w:r>
        <w:rPr/>
        <w:t>known</w:t>
      </w:r>
      <w:r>
        <w:rPr>
          <w:spacing w:val="-17"/>
        </w:rPr>
        <w:t> </w:t>
      </w:r>
      <w:r>
        <w:rPr/>
        <w:t>as</w:t>
      </w:r>
      <w:r>
        <w:rPr>
          <w:spacing w:val="-19"/>
        </w:rPr>
        <w:t> </w:t>
      </w:r>
      <w:r>
        <w:rPr/>
        <w:t>microarray</w:t>
      </w:r>
      <w:r>
        <w:rPr>
          <w:spacing w:val="-18"/>
        </w:rPr>
        <w:t> </w:t>
      </w:r>
      <w:r>
        <w:rPr/>
        <w:t>analyses</w:t>
      </w:r>
      <w:r>
        <w:rPr>
          <w:spacing w:val="-16"/>
        </w:rPr>
        <w:t> </w:t>
      </w:r>
      <w:r>
        <w:rPr/>
        <w:t>have</w:t>
      </w:r>
      <w:r>
        <w:rPr>
          <w:spacing w:val="-16"/>
        </w:rPr>
        <w:t> </w:t>
      </w:r>
      <w:r>
        <w:rPr/>
        <w:t>identified</w:t>
      </w:r>
      <w:r>
        <w:rPr>
          <w:spacing w:val="-18"/>
        </w:rPr>
        <w:t> </w:t>
      </w:r>
      <w:r>
        <w:rPr/>
        <w:t>a</w:t>
      </w:r>
      <w:r>
        <w:rPr>
          <w:spacing w:val="-18"/>
        </w:rPr>
        <w:t> </w:t>
      </w:r>
      <w:r>
        <w:rPr/>
        <w:t>large</w:t>
      </w:r>
      <w:r>
        <w:rPr>
          <w:spacing w:val="-16"/>
        </w:rPr>
        <w:t> </w:t>
      </w:r>
      <w:r>
        <w:rPr/>
        <w:t>number</w:t>
      </w:r>
      <w:r>
        <w:rPr>
          <w:spacing w:val="-18"/>
        </w:rPr>
        <w:t> </w:t>
      </w:r>
      <w:r>
        <w:rPr/>
        <w:t>of</w:t>
      </w:r>
      <w:r>
        <w:rPr>
          <w:spacing w:val="-19"/>
        </w:rPr>
        <w:t> </w:t>
      </w:r>
      <w:r>
        <w:rPr/>
        <w:t>genes,</w:t>
      </w:r>
      <w:r>
        <w:rPr>
          <w:spacing w:val="-17"/>
        </w:rPr>
        <w:t> </w:t>
      </w:r>
      <w:r>
        <w:rPr/>
        <w:t>the activation</w:t>
      </w:r>
      <w:r>
        <w:rPr>
          <w:spacing w:val="-7"/>
        </w:rPr>
        <w:t> </w:t>
      </w:r>
      <w:r>
        <w:rPr/>
        <w:t>of</w:t>
      </w:r>
      <w:r>
        <w:rPr>
          <w:spacing w:val="-8"/>
        </w:rPr>
        <w:t> </w:t>
      </w:r>
      <w:r>
        <w:rPr/>
        <w:t>which</w:t>
      </w:r>
      <w:r>
        <w:rPr>
          <w:spacing w:val="-6"/>
        </w:rPr>
        <w:t> </w:t>
      </w:r>
      <w:r>
        <w:rPr/>
        <w:t>is</w:t>
      </w:r>
      <w:r>
        <w:rPr>
          <w:spacing w:val="-8"/>
        </w:rPr>
        <w:t> </w:t>
      </w:r>
      <w:r>
        <w:rPr/>
        <w:t>influenced</w:t>
      </w:r>
      <w:r>
        <w:rPr>
          <w:spacing w:val="-10"/>
        </w:rPr>
        <w:t> </w:t>
      </w:r>
      <w:r>
        <w:rPr/>
        <w:t>by</w:t>
      </w:r>
      <w:r>
        <w:rPr>
          <w:spacing w:val="-8"/>
        </w:rPr>
        <w:t> </w:t>
      </w:r>
      <w:r>
        <w:rPr/>
        <w:t>curcumin.</w:t>
      </w:r>
      <w:r>
        <w:rPr>
          <w:spacing w:val="-7"/>
        </w:rPr>
        <w:t> </w:t>
      </w:r>
      <w:r>
        <w:rPr/>
        <w:t>These</w:t>
      </w:r>
      <w:r>
        <w:rPr>
          <w:spacing w:val="-8"/>
        </w:rPr>
        <w:t> </w:t>
      </w:r>
      <w:r>
        <w:rPr/>
        <w:t>are</w:t>
      </w:r>
      <w:r>
        <w:rPr>
          <w:spacing w:val="-9"/>
        </w:rPr>
        <w:t> </w:t>
      </w:r>
      <w:r>
        <w:rPr/>
        <w:t>genes</w:t>
      </w:r>
      <w:r>
        <w:rPr>
          <w:spacing w:val="-9"/>
        </w:rPr>
        <w:t> </w:t>
      </w:r>
      <w:r>
        <w:rPr/>
        <w:t>that</w:t>
      </w:r>
      <w:r>
        <w:rPr>
          <w:spacing w:val="-7"/>
        </w:rPr>
        <w:t> </w:t>
      </w:r>
      <w:r>
        <w:rPr/>
        <w:t>are</w:t>
      </w:r>
      <w:r>
        <w:rPr>
          <w:spacing w:val="-8"/>
        </w:rPr>
        <w:t> </w:t>
      </w:r>
      <w:r>
        <w:rPr/>
        <w:t>respon- sible for apoptosis (programme cell death of the cancer cells), but also respon- sible for cell division and cell</w:t>
      </w:r>
      <w:r>
        <w:rPr>
          <w:spacing w:val="1"/>
        </w:rPr>
        <w:t> </w:t>
      </w:r>
      <w:r>
        <w:rPr/>
        <w:t>differentiation.</w:t>
      </w:r>
    </w:p>
    <w:p>
      <w:pPr>
        <w:pStyle w:val="Heading1"/>
        <w:jc w:val="both"/>
      </w:pPr>
      <w:r>
        <w:rPr/>
        <w:t>Anti-inflammatory (anti-inflammatory) effect</w:t>
      </w:r>
    </w:p>
    <w:p>
      <w:pPr>
        <w:pStyle w:val="BodyText"/>
        <w:spacing w:before="297"/>
        <w:ind w:left="477"/>
        <w:jc w:val="both"/>
      </w:pPr>
      <w:r>
        <w:rPr/>
        <w:t>The</w:t>
      </w:r>
      <w:r>
        <w:rPr>
          <w:spacing w:val="-16"/>
        </w:rPr>
        <w:t> </w:t>
      </w:r>
      <w:r>
        <w:rPr/>
        <w:t>anti-inflammatory</w:t>
      </w:r>
      <w:r>
        <w:rPr>
          <w:spacing w:val="-15"/>
        </w:rPr>
        <w:t> </w:t>
      </w:r>
      <w:r>
        <w:rPr/>
        <w:t>effect</w:t>
      </w:r>
      <w:r>
        <w:rPr>
          <w:spacing w:val="-15"/>
        </w:rPr>
        <w:t> </w:t>
      </w:r>
      <w:r>
        <w:rPr/>
        <w:t>of</w:t>
      </w:r>
      <w:r>
        <w:rPr>
          <w:spacing w:val="-19"/>
        </w:rPr>
        <w:t> </w:t>
      </w:r>
      <w:r>
        <w:rPr/>
        <w:t>curcumin</w:t>
      </w:r>
      <w:r>
        <w:rPr>
          <w:spacing w:val="-15"/>
        </w:rPr>
        <w:t> </w:t>
      </w:r>
      <w:r>
        <w:rPr/>
        <w:t>is</w:t>
      </w:r>
      <w:r>
        <w:rPr>
          <w:spacing w:val="-16"/>
        </w:rPr>
        <w:t> </w:t>
      </w:r>
      <w:r>
        <w:rPr/>
        <w:t>due</w:t>
      </w:r>
      <w:r>
        <w:rPr>
          <w:spacing w:val="-14"/>
        </w:rPr>
        <w:t> </w:t>
      </w:r>
      <w:r>
        <w:rPr/>
        <w:t>to</w:t>
      </w:r>
      <w:r>
        <w:rPr>
          <w:spacing w:val="-16"/>
        </w:rPr>
        <w:t> </w:t>
      </w:r>
      <w:r>
        <w:rPr/>
        <w:t>a</w:t>
      </w:r>
      <w:r>
        <w:rPr>
          <w:spacing w:val="-17"/>
        </w:rPr>
        <w:t> </w:t>
      </w:r>
      <w:r>
        <w:rPr/>
        <w:t>reduction</w:t>
      </w:r>
      <w:r>
        <w:rPr>
          <w:spacing w:val="-15"/>
        </w:rPr>
        <w:t> </w:t>
      </w:r>
      <w:r>
        <w:rPr/>
        <w:t>of</w:t>
      </w:r>
      <w:r>
        <w:rPr>
          <w:spacing w:val="-15"/>
        </w:rPr>
        <w:t> </w:t>
      </w:r>
      <w:r>
        <w:rPr/>
        <w:t>inflammatory</w:t>
      </w:r>
    </w:p>
    <w:p>
      <w:pPr>
        <w:spacing w:after="0"/>
        <w:jc w:val="both"/>
        <w:sectPr>
          <w:pgSz w:w="14270" w:h="16850"/>
          <w:pgMar w:header="0" w:footer="1891" w:top="1600" w:bottom="2080" w:left="800" w:right="1280"/>
        </w:sectPr>
      </w:pPr>
    </w:p>
    <w:p>
      <w:pPr>
        <w:pStyle w:val="BodyText"/>
        <w:spacing w:line="276" w:lineRule="auto" w:before="181"/>
        <w:ind w:left="477" w:right="135"/>
        <w:jc w:val="both"/>
      </w:pPr>
      <w:r>
        <w:rPr/>
        <w:t>parameters, such as kappaB, interleukin 1 and 6, TNF, COX-2 and LOX. Fur- thermore, curcumin inhibits the synthesis of prostaglandin E2, which also causes inflammatory reactions in the</w:t>
      </w:r>
      <w:r>
        <w:rPr>
          <w:spacing w:val="1"/>
        </w:rPr>
        <w:t> </w:t>
      </w:r>
      <w:r>
        <w:rPr/>
        <w:t>body.</w:t>
      </w:r>
    </w:p>
    <w:p>
      <w:pPr>
        <w:pStyle w:val="Heading1"/>
      </w:pPr>
      <w:r>
        <w:rPr>
          <w:w w:val="95"/>
        </w:rPr>
        <w:t>Immunomodulatory effect of</w:t>
      </w:r>
      <w:r>
        <w:rPr>
          <w:spacing w:val="-20"/>
          <w:w w:val="95"/>
        </w:rPr>
        <w:t> </w:t>
      </w:r>
      <w:r>
        <w:rPr>
          <w:w w:val="95"/>
        </w:rPr>
        <w:t>curcumin</w:t>
      </w:r>
    </w:p>
    <w:p>
      <w:pPr>
        <w:pStyle w:val="BodyText"/>
        <w:spacing w:line="276" w:lineRule="auto" w:before="300"/>
        <w:ind w:left="477" w:right="136"/>
        <w:jc w:val="both"/>
      </w:pPr>
      <w:r>
        <w:rPr/>
        <w:t>Curcumin also increases the activity of T lymphocytes and B lymphocytes and stimulates</w:t>
      </w:r>
      <w:r>
        <w:rPr>
          <w:spacing w:val="-8"/>
        </w:rPr>
        <w:t> </w:t>
      </w:r>
      <w:r>
        <w:rPr/>
        <w:t>macrophages</w:t>
      </w:r>
      <w:r>
        <w:rPr>
          <w:spacing w:val="-8"/>
        </w:rPr>
        <w:t> </w:t>
      </w:r>
      <w:r>
        <w:rPr/>
        <w:t>and</w:t>
      </w:r>
      <w:r>
        <w:rPr>
          <w:spacing w:val="-12"/>
        </w:rPr>
        <w:t> </w:t>
      </w:r>
      <w:r>
        <w:rPr/>
        <w:t>other</w:t>
      </w:r>
      <w:r>
        <w:rPr>
          <w:spacing w:val="-9"/>
        </w:rPr>
        <w:t> </w:t>
      </w:r>
      <w:r>
        <w:rPr/>
        <w:t>immune</w:t>
      </w:r>
      <w:r>
        <w:rPr>
          <w:spacing w:val="-9"/>
        </w:rPr>
        <w:t> </w:t>
      </w:r>
      <w:r>
        <w:rPr/>
        <w:t>cells.</w:t>
      </w:r>
      <w:r>
        <w:rPr>
          <w:spacing w:val="-10"/>
        </w:rPr>
        <w:t> </w:t>
      </w:r>
      <w:r>
        <w:rPr/>
        <w:t>It</w:t>
      </w:r>
      <w:r>
        <w:rPr>
          <w:spacing w:val="-9"/>
        </w:rPr>
        <w:t> </w:t>
      </w:r>
      <w:r>
        <w:rPr/>
        <w:t>is</w:t>
      </w:r>
      <w:r>
        <w:rPr>
          <w:spacing w:val="-12"/>
        </w:rPr>
        <w:t> </w:t>
      </w:r>
      <w:r>
        <w:rPr/>
        <w:t>considered</w:t>
      </w:r>
      <w:r>
        <w:rPr>
          <w:spacing w:val="-14"/>
        </w:rPr>
        <w:t> </w:t>
      </w:r>
      <w:r>
        <w:rPr/>
        <w:t>by</w:t>
      </w:r>
      <w:r>
        <w:rPr>
          <w:spacing w:val="-8"/>
        </w:rPr>
        <w:t> </w:t>
      </w:r>
      <w:r>
        <w:rPr/>
        <w:t>many</w:t>
      </w:r>
      <w:r>
        <w:rPr>
          <w:spacing w:val="-9"/>
        </w:rPr>
        <w:t> </w:t>
      </w:r>
      <w:r>
        <w:rPr/>
        <w:t>to</w:t>
      </w:r>
      <w:r>
        <w:rPr>
          <w:spacing w:val="-11"/>
        </w:rPr>
        <w:t> </w:t>
      </w:r>
      <w:r>
        <w:rPr/>
        <w:t>be the most potent immunomodulatory herbal agent. This makes curcumin the drug</w:t>
      </w:r>
      <w:r>
        <w:rPr>
          <w:spacing w:val="-10"/>
        </w:rPr>
        <w:t> </w:t>
      </w:r>
      <w:r>
        <w:rPr/>
        <w:t>of</w:t>
      </w:r>
      <w:r>
        <w:rPr>
          <w:spacing w:val="-10"/>
        </w:rPr>
        <w:t> </w:t>
      </w:r>
      <w:r>
        <w:rPr/>
        <w:t>choice</w:t>
      </w:r>
      <w:r>
        <w:rPr>
          <w:spacing w:val="-11"/>
        </w:rPr>
        <w:t> </w:t>
      </w:r>
      <w:r>
        <w:rPr/>
        <w:t>not</w:t>
      </w:r>
      <w:r>
        <w:rPr>
          <w:spacing w:val="-9"/>
        </w:rPr>
        <w:t> </w:t>
      </w:r>
      <w:r>
        <w:rPr/>
        <w:t>least</w:t>
      </w:r>
      <w:r>
        <w:rPr>
          <w:spacing w:val="-11"/>
        </w:rPr>
        <w:t> </w:t>
      </w:r>
      <w:r>
        <w:rPr/>
        <w:t>in</w:t>
      </w:r>
      <w:r>
        <w:rPr>
          <w:spacing w:val="-12"/>
        </w:rPr>
        <w:t> </w:t>
      </w:r>
      <w:r>
        <w:rPr/>
        <w:t>the</w:t>
      </w:r>
      <w:r>
        <w:rPr>
          <w:spacing w:val="-9"/>
        </w:rPr>
        <w:t> </w:t>
      </w:r>
      <w:r>
        <w:rPr/>
        <w:t>fight</w:t>
      </w:r>
      <w:r>
        <w:rPr>
          <w:spacing w:val="-9"/>
        </w:rPr>
        <w:t> </w:t>
      </w:r>
      <w:r>
        <w:rPr/>
        <w:t>against</w:t>
      </w:r>
      <w:r>
        <w:rPr>
          <w:spacing w:val="-11"/>
        </w:rPr>
        <w:t> </w:t>
      </w:r>
      <w:r>
        <w:rPr/>
        <w:t>autoimmune</w:t>
      </w:r>
      <w:r>
        <w:rPr>
          <w:spacing w:val="-8"/>
        </w:rPr>
        <w:t> </w:t>
      </w:r>
      <w:r>
        <w:rPr/>
        <w:t>diseases</w:t>
      </w:r>
      <w:r>
        <w:rPr>
          <w:spacing w:val="-10"/>
        </w:rPr>
        <w:t> </w:t>
      </w:r>
      <w:r>
        <w:rPr/>
        <w:t>such</w:t>
      </w:r>
      <w:r>
        <w:rPr>
          <w:spacing w:val="-8"/>
        </w:rPr>
        <w:t> </w:t>
      </w:r>
      <w:r>
        <w:rPr/>
        <w:t>as</w:t>
      </w:r>
      <w:r>
        <w:rPr>
          <w:spacing w:val="-13"/>
        </w:rPr>
        <w:t> </w:t>
      </w:r>
      <w:r>
        <w:rPr/>
        <w:t>arthri- tis, MS, psoriasis and</w:t>
      </w:r>
      <w:r>
        <w:rPr>
          <w:spacing w:val="-1"/>
        </w:rPr>
        <w:t> </w:t>
      </w:r>
      <w:r>
        <w:rPr/>
        <w:t>others.</w:t>
      </w:r>
    </w:p>
    <w:p>
      <w:pPr>
        <w:pStyle w:val="Heading1"/>
        <w:spacing w:before="222"/>
      </w:pPr>
      <w:r>
        <w:rPr/>
        <w:t>Anticarcinogenic (anti-cancer) effect</w:t>
      </w:r>
    </w:p>
    <w:p>
      <w:pPr>
        <w:pStyle w:val="BodyText"/>
        <w:spacing w:line="276" w:lineRule="auto" w:before="300"/>
        <w:ind w:left="477" w:right="140"/>
        <w:jc w:val="both"/>
      </w:pPr>
      <w:r>
        <w:rPr/>
        <w:t>The way in which curcumin influences cancer can accurately be described as holistic</w:t>
      </w:r>
      <w:r>
        <w:rPr>
          <w:spacing w:val="-13"/>
        </w:rPr>
        <w:t> </w:t>
      </w:r>
      <w:r>
        <w:rPr/>
        <w:t>and</w:t>
      </w:r>
      <w:r>
        <w:rPr>
          <w:spacing w:val="-11"/>
        </w:rPr>
        <w:t> </w:t>
      </w:r>
      <w:r>
        <w:rPr/>
        <w:t>multifactorial.</w:t>
      </w:r>
      <w:r>
        <w:rPr>
          <w:spacing w:val="-11"/>
        </w:rPr>
        <w:t> </w:t>
      </w:r>
      <w:r>
        <w:rPr/>
        <w:t>A</w:t>
      </w:r>
      <w:r>
        <w:rPr>
          <w:spacing w:val="-12"/>
        </w:rPr>
        <w:t> </w:t>
      </w:r>
      <w:r>
        <w:rPr/>
        <w:t>separate</w:t>
      </w:r>
      <w:r>
        <w:rPr>
          <w:spacing w:val="-12"/>
        </w:rPr>
        <w:t> </w:t>
      </w:r>
      <w:r>
        <w:rPr/>
        <w:t>point</w:t>
      </w:r>
      <w:r>
        <w:rPr>
          <w:spacing w:val="-11"/>
        </w:rPr>
        <w:t> </w:t>
      </w:r>
      <w:r>
        <w:rPr/>
        <w:t>is</w:t>
      </w:r>
      <w:r>
        <w:rPr>
          <w:spacing w:val="-12"/>
        </w:rPr>
        <w:t> </w:t>
      </w:r>
      <w:r>
        <w:rPr/>
        <w:t>dedicated</w:t>
      </w:r>
      <w:r>
        <w:rPr>
          <w:spacing w:val="-12"/>
        </w:rPr>
        <w:t> </w:t>
      </w:r>
      <w:r>
        <w:rPr/>
        <w:t>to</w:t>
      </w:r>
      <w:r>
        <w:rPr>
          <w:spacing w:val="-10"/>
        </w:rPr>
        <w:t> </w:t>
      </w:r>
      <w:r>
        <w:rPr/>
        <w:t>this</w:t>
      </w:r>
      <w:r>
        <w:rPr>
          <w:spacing w:val="-11"/>
        </w:rPr>
        <w:t> </w:t>
      </w:r>
      <w:r>
        <w:rPr/>
        <w:t>important</w:t>
      </w:r>
      <w:r>
        <w:rPr>
          <w:spacing w:val="-12"/>
        </w:rPr>
        <w:t> </w:t>
      </w:r>
      <w:r>
        <w:rPr/>
        <w:t>topic: ‘Curcumin and its effect on</w:t>
      </w:r>
      <w:r>
        <w:rPr>
          <w:spacing w:val="3"/>
        </w:rPr>
        <w:t> </w:t>
      </w:r>
      <w:r>
        <w:rPr/>
        <w:t>cancer‘</w:t>
      </w:r>
    </w:p>
    <w:p>
      <w:pPr>
        <w:pStyle w:val="Heading1"/>
        <w:spacing w:before="221"/>
      </w:pPr>
      <w:r>
        <w:rPr/>
        <w:t>Oxygenating effect of curcumin</w:t>
      </w:r>
    </w:p>
    <w:p>
      <w:pPr>
        <w:pStyle w:val="BodyText"/>
        <w:spacing w:line="276" w:lineRule="auto" w:before="300"/>
        <w:ind w:left="477" w:right="132"/>
        <w:jc w:val="both"/>
      </w:pPr>
      <w:r>
        <w:rPr/>
        <w:t>Due to its influence on iron utilisation and its blood-thinning properties, cur- cumin is able to increase the oxygen content in the blood just one hour after intake.</w:t>
      </w:r>
    </w:p>
    <w:p>
      <w:pPr>
        <w:pStyle w:val="Heading1"/>
      </w:pPr>
      <w:r>
        <w:rPr/>
        <w:t>Neuroprotective effect of curcumin</w:t>
      </w:r>
    </w:p>
    <w:p>
      <w:pPr>
        <w:pStyle w:val="BodyText"/>
        <w:spacing w:line="276" w:lineRule="auto" w:before="297"/>
        <w:ind w:left="477" w:right="136"/>
        <w:jc w:val="both"/>
      </w:pPr>
      <w:r>
        <w:rPr/>
        <w:t>Curcumin</w:t>
      </w:r>
      <w:r>
        <w:rPr>
          <w:spacing w:val="-12"/>
        </w:rPr>
        <w:t> </w:t>
      </w:r>
      <w:r>
        <w:rPr/>
        <w:t>promotes</w:t>
      </w:r>
      <w:r>
        <w:rPr>
          <w:spacing w:val="-11"/>
        </w:rPr>
        <w:t> </w:t>
      </w:r>
      <w:r>
        <w:rPr/>
        <w:t>the</w:t>
      </w:r>
      <w:r>
        <w:rPr>
          <w:spacing w:val="-11"/>
        </w:rPr>
        <w:t> </w:t>
      </w:r>
      <w:r>
        <w:rPr/>
        <w:t>proliferation</w:t>
      </w:r>
      <w:r>
        <w:rPr>
          <w:spacing w:val="-12"/>
        </w:rPr>
        <w:t> </w:t>
      </w:r>
      <w:r>
        <w:rPr/>
        <w:t>of</w:t>
      </w:r>
      <w:r>
        <w:rPr>
          <w:spacing w:val="-12"/>
        </w:rPr>
        <w:t> </w:t>
      </w:r>
      <w:r>
        <w:rPr/>
        <w:t>embryonic,</w:t>
      </w:r>
      <w:r>
        <w:rPr>
          <w:spacing w:val="-11"/>
        </w:rPr>
        <w:t> </w:t>
      </w:r>
      <w:r>
        <w:rPr/>
        <w:t>neural</w:t>
      </w:r>
      <w:r>
        <w:rPr>
          <w:spacing w:val="-13"/>
        </w:rPr>
        <w:t> </w:t>
      </w:r>
      <w:r>
        <w:rPr/>
        <w:t>progenitor</w:t>
      </w:r>
      <w:r>
        <w:rPr>
          <w:spacing w:val="-12"/>
        </w:rPr>
        <w:t> </w:t>
      </w:r>
      <w:r>
        <w:rPr/>
        <w:t>cells</w:t>
      </w:r>
      <w:r>
        <w:rPr>
          <w:spacing w:val="-11"/>
        </w:rPr>
        <w:t> </w:t>
      </w:r>
      <w:r>
        <w:rPr/>
        <w:t>and thus</w:t>
      </w:r>
      <w:r>
        <w:rPr>
          <w:spacing w:val="11"/>
        </w:rPr>
        <w:t> </w:t>
      </w:r>
      <w:r>
        <w:rPr/>
        <w:t>the</w:t>
      </w:r>
      <w:r>
        <w:rPr>
          <w:spacing w:val="13"/>
        </w:rPr>
        <w:t> </w:t>
      </w:r>
      <w:r>
        <w:rPr/>
        <w:t>neurogenesis</w:t>
      </w:r>
      <w:r>
        <w:rPr>
          <w:spacing w:val="11"/>
        </w:rPr>
        <w:t> </w:t>
      </w:r>
      <w:r>
        <w:rPr/>
        <w:t>in</w:t>
      </w:r>
      <w:r>
        <w:rPr>
          <w:spacing w:val="12"/>
        </w:rPr>
        <w:t> </w:t>
      </w:r>
      <w:r>
        <w:rPr/>
        <w:t>the</w:t>
      </w:r>
      <w:r>
        <w:rPr>
          <w:spacing w:val="12"/>
        </w:rPr>
        <w:t> </w:t>
      </w:r>
      <w:r>
        <w:rPr/>
        <w:t>hippocampus</w:t>
      </w:r>
      <w:r>
        <w:rPr>
          <w:spacing w:val="11"/>
        </w:rPr>
        <w:t> </w:t>
      </w:r>
      <w:r>
        <w:rPr/>
        <w:t>and</w:t>
      </w:r>
      <w:r>
        <w:rPr>
          <w:spacing w:val="10"/>
        </w:rPr>
        <w:t> </w:t>
      </w:r>
      <w:r>
        <w:rPr/>
        <w:t>has</w:t>
      </w:r>
      <w:r>
        <w:rPr>
          <w:spacing w:val="13"/>
        </w:rPr>
        <w:t> </w:t>
      </w:r>
      <w:r>
        <w:rPr/>
        <w:t>a</w:t>
      </w:r>
      <w:r>
        <w:rPr>
          <w:spacing w:val="11"/>
        </w:rPr>
        <w:t> </w:t>
      </w:r>
      <w:r>
        <w:rPr/>
        <w:t>neuroprotective</w:t>
      </w:r>
      <w:r>
        <w:rPr>
          <w:spacing w:val="11"/>
        </w:rPr>
        <w:t> </w:t>
      </w:r>
      <w:r>
        <w:rPr/>
        <w:t>effect</w:t>
      </w:r>
      <w:r>
        <w:rPr>
          <w:spacing w:val="12"/>
        </w:rPr>
        <w:t> </w:t>
      </w:r>
      <w:r>
        <w:rPr/>
        <w:t>as</w:t>
      </w:r>
    </w:p>
    <w:p>
      <w:pPr>
        <w:spacing w:after="0" w:line="276" w:lineRule="auto"/>
        <w:jc w:val="both"/>
        <w:sectPr>
          <w:pgSz w:w="14270" w:h="16850"/>
          <w:pgMar w:header="0" w:footer="1891" w:top="1600" w:bottom="2080" w:left="800" w:right="1280"/>
        </w:sectPr>
      </w:pPr>
    </w:p>
    <w:p>
      <w:pPr>
        <w:pStyle w:val="BodyText"/>
        <w:spacing w:line="276" w:lineRule="auto" w:before="181"/>
        <w:ind w:left="477" w:right="135"/>
        <w:jc w:val="both"/>
      </w:pPr>
      <w:r>
        <w:rPr/>
        <w:t>a result of this. Furthermore, curcumin protects against adverse effects of col- chicine and phenotoin and also prevents abeta deposits, which can lead to</w:t>
      </w:r>
      <w:r>
        <w:rPr>
          <w:spacing w:val="-57"/>
        </w:rPr>
        <w:t> </w:t>
      </w:r>
      <w:r>
        <w:rPr/>
        <w:t>Alz- heimer’s.</w:t>
      </w:r>
    </w:p>
    <w:p>
      <w:pPr>
        <w:pStyle w:val="Heading1"/>
      </w:pPr>
      <w:r>
        <w:rPr/>
        <w:t>Detoxifying effect of turmeric</w:t>
      </w:r>
    </w:p>
    <w:p>
      <w:pPr>
        <w:pStyle w:val="BodyText"/>
        <w:spacing w:line="276" w:lineRule="auto" w:before="300"/>
        <w:ind w:left="477" w:right="133"/>
        <w:jc w:val="both"/>
      </w:pPr>
      <w:r>
        <w:rPr/>
        <w:t>The curcuminoids contained in turmeric stimulate the production of bile as a cholagogue.</w:t>
      </w:r>
      <w:r>
        <w:rPr>
          <w:spacing w:val="-13"/>
        </w:rPr>
        <w:t> </w:t>
      </w:r>
      <w:r>
        <w:rPr/>
        <w:t>Because</w:t>
      </w:r>
      <w:r>
        <w:rPr>
          <w:spacing w:val="-12"/>
        </w:rPr>
        <w:t> </w:t>
      </w:r>
      <w:r>
        <w:rPr/>
        <w:t>turmeric</w:t>
      </w:r>
      <w:r>
        <w:rPr>
          <w:spacing w:val="-14"/>
        </w:rPr>
        <w:t> </w:t>
      </w:r>
      <w:r>
        <w:rPr/>
        <w:t>improves</w:t>
      </w:r>
      <w:r>
        <w:rPr>
          <w:spacing w:val="-12"/>
        </w:rPr>
        <w:t> </w:t>
      </w:r>
      <w:r>
        <w:rPr/>
        <w:t>the</w:t>
      </w:r>
      <w:r>
        <w:rPr>
          <w:spacing w:val="-14"/>
        </w:rPr>
        <w:t> </w:t>
      </w:r>
      <w:r>
        <w:rPr/>
        <w:t>bile</w:t>
      </w:r>
      <w:r>
        <w:rPr>
          <w:spacing w:val="-14"/>
        </w:rPr>
        <w:t> </w:t>
      </w:r>
      <w:r>
        <w:rPr/>
        <w:t>flow,</w:t>
      </w:r>
      <w:r>
        <w:rPr>
          <w:spacing w:val="-12"/>
        </w:rPr>
        <w:t> </w:t>
      </w:r>
      <w:r>
        <w:rPr/>
        <w:t>it</w:t>
      </w:r>
      <w:r>
        <w:rPr>
          <w:spacing w:val="-15"/>
        </w:rPr>
        <w:t> </w:t>
      </w:r>
      <w:r>
        <w:rPr/>
        <w:t>transports</w:t>
      </w:r>
      <w:r>
        <w:rPr>
          <w:spacing w:val="-14"/>
        </w:rPr>
        <w:t> </w:t>
      </w:r>
      <w:r>
        <w:rPr/>
        <w:t>innumerable toxins</w:t>
      </w:r>
      <w:r>
        <w:rPr>
          <w:spacing w:val="-13"/>
        </w:rPr>
        <w:t> </w:t>
      </w:r>
      <w:r>
        <w:rPr/>
        <w:t>and</w:t>
      </w:r>
      <w:r>
        <w:rPr>
          <w:spacing w:val="-13"/>
        </w:rPr>
        <w:t> </w:t>
      </w:r>
      <w:r>
        <w:rPr/>
        <w:t>pollutants</w:t>
      </w:r>
      <w:r>
        <w:rPr>
          <w:spacing w:val="-13"/>
        </w:rPr>
        <w:t> </w:t>
      </w:r>
      <w:r>
        <w:rPr/>
        <w:t>directly</w:t>
      </w:r>
      <w:r>
        <w:rPr>
          <w:spacing w:val="-14"/>
        </w:rPr>
        <w:t> </w:t>
      </w:r>
      <w:r>
        <w:rPr/>
        <w:t>into</w:t>
      </w:r>
      <w:r>
        <w:rPr>
          <w:spacing w:val="-13"/>
        </w:rPr>
        <w:t> </w:t>
      </w:r>
      <w:r>
        <w:rPr/>
        <w:t>the</w:t>
      </w:r>
      <w:r>
        <w:rPr>
          <w:spacing w:val="-12"/>
        </w:rPr>
        <w:t> </w:t>
      </w:r>
      <w:r>
        <w:rPr/>
        <w:t>intestine.</w:t>
      </w:r>
      <w:r>
        <w:rPr>
          <w:spacing w:val="-16"/>
        </w:rPr>
        <w:t> </w:t>
      </w:r>
      <w:r>
        <w:rPr/>
        <w:t>Turmeric</w:t>
      </w:r>
      <w:r>
        <w:rPr>
          <w:spacing w:val="-14"/>
        </w:rPr>
        <w:t> </w:t>
      </w:r>
      <w:r>
        <w:rPr/>
        <w:t>also</w:t>
      </w:r>
      <w:r>
        <w:rPr>
          <w:spacing w:val="-13"/>
        </w:rPr>
        <w:t> </w:t>
      </w:r>
      <w:r>
        <w:rPr/>
        <w:t>contains</w:t>
      </w:r>
      <w:r>
        <w:rPr>
          <w:spacing w:val="-13"/>
        </w:rPr>
        <w:t> </w:t>
      </w:r>
      <w:r>
        <w:rPr/>
        <w:t>a</w:t>
      </w:r>
      <w:r>
        <w:rPr>
          <w:spacing w:val="-15"/>
        </w:rPr>
        <w:t> </w:t>
      </w:r>
      <w:r>
        <w:rPr/>
        <w:t>variety of curcumoids that activate glutathione S-transferase, an enzyme that breaks down toxic substances.</w:t>
      </w:r>
    </w:p>
    <w:p>
      <w:pPr>
        <w:pStyle w:val="Heading1"/>
        <w:spacing w:line="261" w:lineRule="auto" w:before="263"/>
        <w:ind w:right="143"/>
        <w:jc w:val="both"/>
      </w:pPr>
      <w:r>
        <w:rPr/>
        <w:t>Turmeric/curcumin</w:t>
      </w:r>
      <w:r>
        <w:rPr>
          <w:spacing w:val="-37"/>
        </w:rPr>
        <w:t> </w:t>
      </w:r>
      <w:r>
        <w:rPr/>
        <w:t>has</w:t>
      </w:r>
      <w:r>
        <w:rPr>
          <w:spacing w:val="-38"/>
        </w:rPr>
        <w:t> </w:t>
      </w:r>
      <w:r>
        <w:rPr/>
        <w:t>a</w:t>
      </w:r>
      <w:r>
        <w:rPr>
          <w:spacing w:val="-38"/>
        </w:rPr>
        <w:t> </w:t>
      </w:r>
      <w:r>
        <w:rPr/>
        <w:t>positive</w:t>
      </w:r>
      <w:r>
        <w:rPr>
          <w:spacing w:val="-38"/>
        </w:rPr>
        <w:t> </w:t>
      </w:r>
      <w:r>
        <w:rPr/>
        <w:t>influence</w:t>
      </w:r>
      <w:r>
        <w:rPr>
          <w:spacing w:val="-38"/>
        </w:rPr>
        <w:t> </w:t>
      </w:r>
      <w:r>
        <w:rPr/>
        <w:t>on</w:t>
      </w:r>
      <w:r>
        <w:rPr>
          <w:spacing w:val="-39"/>
        </w:rPr>
        <w:t> </w:t>
      </w:r>
      <w:r>
        <w:rPr/>
        <w:t>the</w:t>
      </w:r>
      <w:r>
        <w:rPr>
          <w:spacing w:val="-37"/>
        </w:rPr>
        <w:t> </w:t>
      </w:r>
      <w:r>
        <w:rPr/>
        <w:t>following</w:t>
      </w:r>
      <w:r>
        <w:rPr>
          <w:spacing w:val="-38"/>
        </w:rPr>
        <w:t> </w:t>
      </w:r>
      <w:r>
        <w:rPr/>
        <w:t>illnesses and</w:t>
      </w:r>
      <w:r>
        <w:rPr>
          <w:spacing w:val="-8"/>
        </w:rPr>
        <w:t> </w:t>
      </w:r>
      <w:r>
        <w:rPr/>
        <w:t>conditions:</w:t>
      </w:r>
    </w:p>
    <w:p>
      <w:pPr>
        <w:pStyle w:val="ListParagraph"/>
        <w:numPr>
          <w:ilvl w:val="0"/>
          <w:numId w:val="28"/>
        </w:numPr>
        <w:tabs>
          <w:tab w:pos="1197" w:val="left" w:leader="none"/>
          <w:tab w:pos="1198" w:val="left" w:leader="none"/>
        </w:tabs>
        <w:spacing w:line="240" w:lineRule="auto" w:before="300" w:after="0"/>
        <w:ind w:left="1197" w:right="0" w:hanging="360"/>
        <w:jc w:val="left"/>
        <w:rPr>
          <w:sz w:val="38"/>
        </w:rPr>
      </w:pPr>
      <w:r>
        <w:rPr>
          <w:sz w:val="38"/>
        </w:rPr>
        <w:t>cardiovascular disease</w:t>
      </w:r>
    </w:p>
    <w:p>
      <w:pPr>
        <w:pStyle w:val="ListParagraph"/>
        <w:numPr>
          <w:ilvl w:val="0"/>
          <w:numId w:val="28"/>
        </w:numPr>
        <w:tabs>
          <w:tab w:pos="1197" w:val="left" w:leader="none"/>
          <w:tab w:pos="1198" w:val="left" w:leader="none"/>
        </w:tabs>
        <w:spacing w:line="240" w:lineRule="auto" w:before="64" w:after="0"/>
        <w:ind w:left="1197" w:right="0" w:hanging="360"/>
        <w:jc w:val="left"/>
        <w:rPr>
          <w:sz w:val="38"/>
        </w:rPr>
      </w:pPr>
      <w:r>
        <w:rPr>
          <w:sz w:val="38"/>
        </w:rPr>
        <w:t>protection against heart</w:t>
      </w:r>
      <w:r>
        <w:rPr>
          <w:spacing w:val="1"/>
          <w:sz w:val="38"/>
        </w:rPr>
        <w:t> </w:t>
      </w:r>
      <w:r>
        <w:rPr>
          <w:sz w:val="38"/>
        </w:rPr>
        <w:t>attack</w:t>
      </w:r>
    </w:p>
    <w:p>
      <w:pPr>
        <w:pStyle w:val="ListParagraph"/>
        <w:numPr>
          <w:ilvl w:val="0"/>
          <w:numId w:val="28"/>
        </w:numPr>
        <w:tabs>
          <w:tab w:pos="1197" w:val="left" w:leader="none"/>
          <w:tab w:pos="1198" w:val="left" w:leader="none"/>
        </w:tabs>
        <w:spacing w:line="240" w:lineRule="auto" w:before="64" w:after="0"/>
        <w:ind w:left="1197" w:right="0" w:hanging="360"/>
        <w:jc w:val="left"/>
        <w:rPr>
          <w:sz w:val="38"/>
        </w:rPr>
      </w:pPr>
      <w:r>
        <w:rPr>
          <w:sz w:val="38"/>
        </w:rPr>
        <w:t>protection against stroke</w:t>
      </w:r>
    </w:p>
    <w:p>
      <w:pPr>
        <w:pStyle w:val="ListParagraph"/>
        <w:numPr>
          <w:ilvl w:val="0"/>
          <w:numId w:val="28"/>
        </w:numPr>
        <w:tabs>
          <w:tab w:pos="1197" w:val="left" w:leader="none"/>
          <w:tab w:pos="1198" w:val="left" w:leader="none"/>
        </w:tabs>
        <w:spacing w:line="240" w:lineRule="auto" w:before="64" w:after="0"/>
        <w:ind w:left="1197" w:right="0" w:hanging="360"/>
        <w:jc w:val="left"/>
        <w:rPr>
          <w:sz w:val="38"/>
        </w:rPr>
      </w:pPr>
      <w:r>
        <w:rPr>
          <w:sz w:val="38"/>
        </w:rPr>
        <w:t>protection against thrombosis</w:t>
      </w:r>
    </w:p>
    <w:p>
      <w:pPr>
        <w:pStyle w:val="ListParagraph"/>
        <w:numPr>
          <w:ilvl w:val="0"/>
          <w:numId w:val="28"/>
        </w:numPr>
        <w:tabs>
          <w:tab w:pos="1197" w:val="left" w:leader="none"/>
          <w:tab w:pos="1198" w:val="left" w:leader="none"/>
        </w:tabs>
        <w:spacing w:line="240" w:lineRule="auto" w:before="66" w:after="0"/>
        <w:ind w:left="1197" w:right="0" w:hanging="360"/>
        <w:jc w:val="left"/>
        <w:rPr>
          <w:sz w:val="38"/>
        </w:rPr>
      </w:pPr>
      <w:r>
        <w:rPr>
          <w:sz w:val="38"/>
        </w:rPr>
        <w:t>varicose veins</w:t>
      </w:r>
    </w:p>
    <w:p>
      <w:pPr>
        <w:pStyle w:val="ListParagraph"/>
        <w:numPr>
          <w:ilvl w:val="0"/>
          <w:numId w:val="28"/>
        </w:numPr>
        <w:tabs>
          <w:tab w:pos="1197" w:val="left" w:leader="none"/>
          <w:tab w:pos="1198" w:val="left" w:leader="none"/>
        </w:tabs>
        <w:spacing w:line="240" w:lineRule="auto" w:before="63" w:after="0"/>
        <w:ind w:left="1197" w:right="0" w:hanging="360"/>
        <w:jc w:val="left"/>
        <w:rPr>
          <w:sz w:val="38"/>
        </w:rPr>
      </w:pPr>
      <w:r>
        <w:rPr>
          <w:sz w:val="38"/>
        </w:rPr>
        <w:t>protection against viral</w:t>
      </w:r>
      <w:r>
        <w:rPr>
          <w:spacing w:val="1"/>
          <w:sz w:val="38"/>
        </w:rPr>
        <w:t> </w:t>
      </w:r>
      <w:r>
        <w:rPr>
          <w:sz w:val="38"/>
        </w:rPr>
        <w:t>infections</w:t>
      </w:r>
    </w:p>
    <w:p>
      <w:pPr>
        <w:pStyle w:val="ListParagraph"/>
        <w:numPr>
          <w:ilvl w:val="0"/>
          <w:numId w:val="28"/>
        </w:numPr>
        <w:tabs>
          <w:tab w:pos="1197" w:val="left" w:leader="none"/>
          <w:tab w:pos="1198" w:val="left" w:leader="none"/>
        </w:tabs>
        <w:spacing w:line="240" w:lineRule="auto" w:before="64" w:after="0"/>
        <w:ind w:left="1197" w:right="0" w:hanging="360"/>
        <w:jc w:val="left"/>
        <w:rPr>
          <w:sz w:val="38"/>
        </w:rPr>
      </w:pPr>
      <w:r>
        <w:rPr>
          <w:sz w:val="38"/>
        </w:rPr>
        <w:t>protection from</w:t>
      </w:r>
      <w:r>
        <w:rPr>
          <w:spacing w:val="-4"/>
          <w:sz w:val="38"/>
        </w:rPr>
        <w:t> </w:t>
      </w:r>
      <w:r>
        <w:rPr>
          <w:sz w:val="38"/>
        </w:rPr>
        <w:t>fungi</w:t>
      </w:r>
    </w:p>
    <w:p>
      <w:pPr>
        <w:pStyle w:val="ListParagraph"/>
        <w:numPr>
          <w:ilvl w:val="0"/>
          <w:numId w:val="28"/>
        </w:numPr>
        <w:tabs>
          <w:tab w:pos="1197" w:val="left" w:leader="none"/>
          <w:tab w:pos="1198" w:val="left" w:leader="none"/>
        </w:tabs>
        <w:spacing w:line="240" w:lineRule="auto" w:before="64" w:after="0"/>
        <w:ind w:left="1197" w:right="0" w:hanging="360"/>
        <w:jc w:val="left"/>
        <w:rPr>
          <w:sz w:val="38"/>
        </w:rPr>
      </w:pPr>
      <w:r>
        <w:rPr>
          <w:sz w:val="38"/>
        </w:rPr>
        <w:t>herpes virus</w:t>
      </w:r>
      <w:r>
        <w:rPr>
          <w:spacing w:val="1"/>
          <w:sz w:val="38"/>
        </w:rPr>
        <w:t> </w:t>
      </w:r>
      <w:r>
        <w:rPr>
          <w:sz w:val="38"/>
        </w:rPr>
        <w:t>1</w:t>
      </w:r>
    </w:p>
    <w:p>
      <w:pPr>
        <w:pStyle w:val="ListParagraph"/>
        <w:numPr>
          <w:ilvl w:val="0"/>
          <w:numId w:val="28"/>
        </w:numPr>
        <w:tabs>
          <w:tab w:pos="1197" w:val="left" w:leader="none"/>
          <w:tab w:pos="1198" w:val="left" w:leader="none"/>
        </w:tabs>
        <w:spacing w:line="240" w:lineRule="auto" w:before="64" w:after="0"/>
        <w:ind w:left="1197" w:right="0" w:hanging="360"/>
        <w:jc w:val="left"/>
        <w:rPr>
          <w:sz w:val="38"/>
        </w:rPr>
      </w:pPr>
      <w:r>
        <w:rPr>
          <w:sz w:val="38"/>
        </w:rPr>
        <w:t>intestinal</w:t>
      </w:r>
      <w:r>
        <w:rPr>
          <w:spacing w:val="-1"/>
          <w:sz w:val="38"/>
        </w:rPr>
        <w:t> </w:t>
      </w:r>
      <w:r>
        <w:rPr>
          <w:sz w:val="38"/>
        </w:rPr>
        <w:t>polyps</w:t>
      </w:r>
    </w:p>
    <w:p>
      <w:pPr>
        <w:pStyle w:val="ListParagraph"/>
        <w:numPr>
          <w:ilvl w:val="0"/>
          <w:numId w:val="28"/>
        </w:numPr>
        <w:tabs>
          <w:tab w:pos="1197" w:val="left" w:leader="none"/>
          <w:tab w:pos="1198" w:val="left" w:leader="none"/>
        </w:tabs>
        <w:spacing w:line="240" w:lineRule="auto" w:before="66" w:after="0"/>
        <w:ind w:left="1197" w:right="0" w:hanging="360"/>
        <w:jc w:val="left"/>
        <w:rPr>
          <w:sz w:val="38"/>
        </w:rPr>
      </w:pPr>
      <w:r>
        <w:rPr>
          <w:sz w:val="38"/>
        </w:rPr>
        <w:t>Alzheimer’s</w:t>
      </w:r>
    </w:p>
    <w:p>
      <w:pPr>
        <w:spacing w:after="0" w:line="240" w:lineRule="auto"/>
        <w:jc w:val="left"/>
        <w:rPr>
          <w:sz w:val="38"/>
        </w:rPr>
        <w:sectPr>
          <w:pgSz w:w="14270" w:h="16850"/>
          <w:pgMar w:header="0" w:footer="1891" w:top="1600" w:bottom="2080" w:left="800" w:right="1280"/>
        </w:sectPr>
      </w:pPr>
    </w:p>
    <w:p>
      <w:pPr>
        <w:pStyle w:val="BodyText"/>
        <w:spacing w:before="10"/>
        <w:rPr>
          <w:sz w:val="8"/>
        </w:rPr>
      </w:pPr>
    </w:p>
    <w:p>
      <w:pPr>
        <w:pStyle w:val="ListParagraph"/>
        <w:numPr>
          <w:ilvl w:val="0"/>
          <w:numId w:val="28"/>
        </w:numPr>
        <w:tabs>
          <w:tab w:pos="1197" w:val="left" w:leader="none"/>
          <w:tab w:pos="1198" w:val="left" w:leader="none"/>
        </w:tabs>
        <w:spacing w:line="240" w:lineRule="auto" w:before="83" w:after="0"/>
        <w:ind w:left="1197" w:right="0" w:hanging="360"/>
        <w:jc w:val="left"/>
        <w:rPr>
          <w:sz w:val="38"/>
        </w:rPr>
      </w:pPr>
      <w:r>
        <w:rPr>
          <w:sz w:val="38"/>
        </w:rPr>
        <w:t>poor concentration</w:t>
      </w:r>
    </w:p>
    <w:p>
      <w:pPr>
        <w:pStyle w:val="ListParagraph"/>
        <w:numPr>
          <w:ilvl w:val="0"/>
          <w:numId w:val="28"/>
        </w:numPr>
        <w:tabs>
          <w:tab w:pos="1197" w:val="left" w:leader="none"/>
          <w:tab w:pos="1198" w:val="left" w:leader="none"/>
        </w:tabs>
        <w:spacing w:line="240" w:lineRule="auto" w:before="64" w:after="0"/>
        <w:ind w:left="1197" w:right="0" w:hanging="360"/>
        <w:jc w:val="left"/>
        <w:rPr>
          <w:sz w:val="38"/>
        </w:rPr>
      </w:pPr>
      <w:r>
        <w:rPr>
          <w:sz w:val="38"/>
        </w:rPr>
        <w:t>tumorigenesis/Cancer</w:t>
      </w:r>
    </w:p>
    <w:p>
      <w:pPr>
        <w:pStyle w:val="ListParagraph"/>
        <w:numPr>
          <w:ilvl w:val="0"/>
          <w:numId w:val="28"/>
        </w:numPr>
        <w:tabs>
          <w:tab w:pos="1197" w:val="left" w:leader="none"/>
          <w:tab w:pos="1198" w:val="left" w:leader="none"/>
        </w:tabs>
        <w:spacing w:line="240" w:lineRule="auto" w:before="66" w:after="0"/>
        <w:ind w:left="1197" w:right="0" w:hanging="360"/>
        <w:jc w:val="left"/>
        <w:rPr>
          <w:sz w:val="38"/>
        </w:rPr>
      </w:pPr>
      <w:r>
        <w:rPr>
          <w:sz w:val="38"/>
        </w:rPr>
        <w:t>inflammatory</w:t>
      </w:r>
      <w:r>
        <w:rPr>
          <w:spacing w:val="-13"/>
          <w:sz w:val="38"/>
        </w:rPr>
        <w:t> </w:t>
      </w:r>
      <w:r>
        <w:rPr>
          <w:sz w:val="38"/>
        </w:rPr>
        <w:t>diseases</w:t>
      </w:r>
    </w:p>
    <w:p>
      <w:pPr>
        <w:pStyle w:val="ListParagraph"/>
        <w:numPr>
          <w:ilvl w:val="0"/>
          <w:numId w:val="28"/>
        </w:numPr>
        <w:tabs>
          <w:tab w:pos="1197" w:val="left" w:leader="none"/>
          <w:tab w:pos="1198" w:val="left" w:leader="none"/>
        </w:tabs>
        <w:spacing w:line="240" w:lineRule="auto" w:before="63" w:after="0"/>
        <w:ind w:left="1197" w:right="0" w:hanging="360"/>
        <w:jc w:val="left"/>
        <w:rPr>
          <w:sz w:val="38"/>
        </w:rPr>
      </w:pPr>
      <w:r>
        <w:rPr>
          <w:sz w:val="38"/>
        </w:rPr>
        <w:t>arthritis</w:t>
      </w:r>
    </w:p>
    <w:p>
      <w:pPr>
        <w:pStyle w:val="ListParagraph"/>
        <w:numPr>
          <w:ilvl w:val="0"/>
          <w:numId w:val="28"/>
        </w:numPr>
        <w:tabs>
          <w:tab w:pos="1197" w:val="left" w:leader="none"/>
          <w:tab w:pos="1198" w:val="left" w:leader="none"/>
        </w:tabs>
        <w:spacing w:line="240" w:lineRule="auto" w:before="64" w:after="0"/>
        <w:ind w:left="1197" w:right="0" w:hanging="360"/>
        <w:jc w:val="left"/>
        <w:rPr>
          <w:sz w:val="38"/>
        </w:rPr>
      </w:pPr>
      <w:r>
        <w:rPr>
          <w:sz w:val="38"/>
        </w:rPr>
        <w:t>arthrosis</w:t>
      </w:r>
    </w:p>
    <w:p>
      <w:pPr>
        <w:pStyle w:val="ListParagraph"/>
        <w:numPr>
          <w:ilvl w:val="0"/>
          <w:numId w:val="28"/>
        </w:numPr>
        <w:tabs>
          <w:tab w:pos="1197" w:val="left" w:leader="none"/>
          <w:tab w:pos="1198" w:val="left" w:leader="none"/>
        </w:tabs>
        <w:spacing w:line="240" w:lineRule="auto" w:before="63" w:after="0"/>
        <w:ind w:left="1197" w:right="0" w:hanging="360"/>
        <w:jc w:val="left"/>
        <w:rPr>
          <w:sz w:val="38"/>
        </w:rPr>
      </w:pPr>
      <w:r>
        <w:rPr>
          <w:sz w:val="38"/>
        </w:rPr>
        <w:t>psoriasis</w:t>
      </w:r>
    </w:p>
    <w:p>
      <w:pPr>
        <w:pStyle w:val="ListParagraph"/>
        <w:numPr>
          <w:ilvl w:val="0"/>
          <w:numId w:val="28"/>
        </w:numPr>
        <w:tabs>
          <w:tab w:pos="1197" w:val="left" w:leader="none"/>
          <w:tab w:pos="1198" w:val="left" w:leader="none"/>
        </w:tabs>
        <w:spacing w:line="240" w:lineRule="auto" w:before="65" w:after="0"/>
        <w:ind w:left="1197" w:right="0" w:hanging="360"/>
        <w:jc w:val="left"/>
        <w:rPr>
          <w:sz w:val="38"/>
        </w:rPr>
      </w:pPr>
      <w:r>
        <w:rPr>
          <w:sz w:val="38"/>
        </w:rPr>
        <w:t>infections</w:t>
      </w:r>
    </w:p>
    <w:p>
      <w:pPr>
        <w:pStyle w:val="ListParagraph"/>
        <w:numPr>
          <w:ilvl w:val="0"/>
          <w:numId w:val="28"/>
        </w:numPr>
        <w:tabs>
          <w:tab w:pos="1197" w:val="left" w:leader="none"/>
          <w:tab w:pos="1198" w:val="left" w:leader="none"/>
        </w:tabs>
        <w:spacing w:line="240" w:lineRule="auto" w:before="66" w:after="0"/>
        <w:ind w:left="1197" w:right="0" w:hanging="360"/>
        <w:jc w:val="left"/>
        <w:rPr>
          <w:sz w:val="38"/>
        </w:rPr>
      </w:pPr>
      <w:r>
        <w:rPr>
          <w:sz w:val="38"/>
        </w:rPr>
        <w:t>skin diseases</w:t>
      </w:r>
    </w:p>
    <w:p>
      <w:pPr>
        <w:pStyle w:val="ListParagraph"/>
        <w:numPr>
          <w:ilvl w:val="0"/>
          <w:numId w:val="28"/>
        </w:numPr>
        <w:tabs>
          <w:tab w:pos="1197" w:val="left" w:leader="none"/>
          <w:tab w:pos="1198" w:val="left" w:leader="none"/>
        </w:tabs>
        <w:spacing w:line="240" w:lineRule="auto" w:before="63" w:after="0"/>
        <w:ind w:left="1197" w:right="0" w:hanging="360"/>
        <w:jc w:val="left"/>
        <w:rPr>
          <w:sz w:val="38"/>
        </w:rPr>
      </w:pPr>
      <w:r>
        <w:rPr>
          <w:sz w:val="38"/>
        </w:rPr>
        <w:t>acne</w:t>
      </w:r>
    </w:p>
    <w:p>
      <w:pPr>
        <w:pStyle w:val="ListParagraph"/>
        <w:numPr>
          <w:ilvl w:val="0"/>
          <w:numId w:val="28"/>
        </w:numPr>
        <w:tabs>
          <w:tab w:pos="1197" w:val="left" w:leader="none"/>
          <w:tab w:pos="1198" w:val="left" w:leader="none"/>
        </w:tabs>
        <w:spacing w:line="240" w:lineRule="auto" w:before="64" w:after="0"/>
        <w:ind w:left="1197" w:right="0" w:hanging="360"/>
        <w:jc w:val="left"/>
        <w:rPr>
          <w:sz w:val="38"/>
        </w:rPr>
      </w:pPr>
      <w:r>
        <w:rPr>
          <w:sz w:val="38"/>
        </w:rPr>
        <w:t>itching</w:t>
      </w:r>
    </w:p>
    <w:p>
      <w:pPr>
        <w:pStyle w:val="ListParagraph"/>
        <w:numPr>
          <w:ilvl w:val="0"/>
          <w:numId w:val="28"/>
        </w:numPr>
        <w:tabs>
          <w:tab w:pos="1197" w:val="left" w:leader="none"/>
          <w:tab w:pos="1198" w:val="left" w:leader="none"/>
        </w:tabs>
        <w:spacing w:line="240" w:lineRule="auto" w:before="64" w:after="0"/>
        <w:ind w:left="1197" w:right="0" w:hanging="360"/>
        <w:jc w:val="left"/>
        <w:rPr>
          <w:sz w:val="38"/>
        </w:rPr>
      </w:pPr>
      <w:r>
        <w:rPr>
          <w:sz w:val="38"/>
        </w:rPr>
        <w:t>hives</w:t>
      </w:r>
    </w:p>
    <w:p>
      <w:pPr>
        <w:pStyle w:val="ListParagraph"/>
        <w:numPr>
          <w:ilvl w:val="0"/>
          <w:numId w:val="28"/>
        </w:numPr>
        <w:tabs>
          <w:tab w:pos="1197" w:val="left" w:leader="none"/>
          <w:tab w:pos="1198" w:val="left" w:leader="none"/>
        </w:tabs>
        <w:spacing w:line="240" w:lineRule="auto" w:before="63" w:after="0"/>
        <w:ind w:left="1197" w:right="0" w:hanging="360"/>
        <w:jc w:val="left"/>
        <w:rPr>
          <w:sz w:val="38"/>
        </w:rPr>
      </w:pPr>
      <w:r>
        <w:rPr>
          <w:sz w:val="38"/>
        </w:rPr>
        <w:t>multiple</w:t>
      </w:r>
      <w:r>
        <w:rPr>
          <w:spacing w:val="-1"/>
          <w:sz w:val="38"/>
        </w:rPr>
        <w:t> </w:t>
      </w:r>
      <w:r>
        <w:rPr>
          <w:sz w:val="38"/>
        </w:rPr>
        <w:t>sclerosis</w:t>
      </w:r>
    </w:p>
    <w:p>
      <w:pPr>
        <w:pStyle w:val="ListParagraph"/>
        <w:numPr>
          <w:ilvl w:val="0"/>
          <w:numId w:val="28"/>
        </w:numPr>
        <w:tabs>
          <w:tab w:pos="1197" w:val="left" w:leader="none"/>
          <w:tab w:pos="1198" w:val="left" w:leader="none"/>
        </w:tabs>
        <w:spacing w:line="240" w:lineRule="auto" w:before="66" w:after="0"/>
        <w:ind w:left="1197" w:right="0" w:hanging="360"/>
        <w:jc w:val="left"/>
        <w:rPr>
          <w:sz w:val="38"/>
        </w:rPr>
      </w:pPr>
      <w:r>
        <w:rPr>
          <w:sz w:val="38"/>
        </w:rPr>
        <w:t>depression</w:t>
      </w:r>
    </w:p>
    <w:p>
      <w:pPr>
        <w:pStyle w:val="ListParagraph"/>
        <w:numPr>
          <w:ilvl w:val="0"/>
          <w:numId w:val="28"/>
        </w:numPr>
        <w:tabs>
          <w:tab w:pos="1197" w:val="left" w:leader="none"/>
          <w:tab w:pos="1198" w:val="left" w:leader="none"/>
        </w:tabs>
        <w:spacing w:line="240" w:lineRule="auto" w:before="64" w:after="0"/>
        <w:ind w:left="1197" w:right="0" w:hanging="360"/>
        <w:jc w:val="left"/>
        <w:rPr>
          <w:sz w:val="38"/>
        </w:rPr>
      </w:pPr>
      <w:r>
        <w:rPr>
          <w:sz w:val="38"/>
        </w:rPr>
        <w:t>impotence</w:t>
      </w:r>
    </w:p>
    <w:p>
      <w:pPr>
        <w:pStyle w:val="ListParagraph"/>
        <w:numPr>
          <w:ilvl w:val="0"/>
          <w:numId w:val="28"/>
        </w:numPr>
        <w:tabs>
          <w:tab w:pos="1197" w:val="left" w:leader="none"/>
          <w:tab w:pos="1198" w:val="left" w:leader="none"/>
        </w:tabs>
        <w:spacing w:line="240" w:lineRule="auto" w:before="64" w:after="0"/>
        <w:ind w:left="1197" w:right="0" w:hanging="360"/>
        <w:jc w:val="left"/>
        <w:rPr>
          <w:sz w:val="38"/>
        </w:rPr>
      </w:pPr>
      <w:r>
        <w:rPr>
          <w:sz w:val="38"/>
        </w:rPr>
        <w:t>menstrual cramps</w:t>
      </w:r>
      <w:r>
        <w:rPr>
          <w:spacing w:val="2"/>
          <w:sz w:val="38"/>
        </w:rPr>
        <w:t> </w:t>
      </w:r>
      <w:r>
        <w:rPr>
          <w:sz w:val="38"/>
        </w:rPr>
        <w:t>(PMS)</w:t>
      </w:r>
    </w:p>
    <w:p>
      <w:pPr>
        <w:pStyle w:val="ListParagraph"/>
        <w:numPr>
          <w:ilvl w:val="0"/>
          <w:numId w:val="28"/>
        </w:numPr>
        <w:tabs>
          <w:tab w:pos="1197" w:val="left" w:leader="none"/>
          <w:tab w:pos="1198" w:val="left" w:leader="none"/>
        </w:tabs>
        <w:spacing w:line="240" w:lineRule="auto" w:before="64" w:after="0"/>
        <w:ind w:left="1197" w:right="0" w:hanging="360"/>
        <w:jc w:val="left"/>
        <w:rPr>
          <w:sz w:val="38"/>
        </w:rPr>
      </w:pPr>
      <w:r>
        <w:rPr>
          <w:sz w:val="38"/>
        </w:rPr>
        <w:t>gallstones</w:t>
      </w:r>
    </w:p>
    <w:p>
      <w:pPr>
        <w:pStyle w:val="ListParagraph"/>
        <w:numPr>
          <w:ilvl w:val="0"/>
          <w:numId w:val="28"/>
        </w:numPr>
        <w:tabs>
          <w:tab w:pos="1197" w:val="left" w:leader="none"/>
          <w:tab w:pos="1198" w:val="left" w:leader="none"/>
        </w:tabs>
        <w:spacing w:line="240" w:lineRule="auto" w:before="66" w:after="0"/>
        <w:ind w:left="1197" w:right="0" w:hanging="360"/>
        <w:jc w:val="left"/>
        <w:rPr>
          <w:sz w:val="38"/>
        </w:rPr>
      </w:pPr>
      <w:r>
        <w:rPr>
          <w:sz w:val="38"/>
        </w:rPr>
        <w:t>kidney stones</w:t>
      </w:r>
    </w:p>
    <w:p>
      <w:pPr>
        <w:pStyle w:val="ListParagraph"/>
        <w:numPr>
          <w:ilvl w:val="0"/>
          <w:numId w:val="28"/>
        </w:numPr>
        <w:tabs>
          <w:tab w:pos="1197" w:val="left" w:leader="none"/>
          <w:tab w:pos="1198" w:val="left" w:leader="none"/>
        </w:tabs>
        <w:spacing w:line="240" w:lineRule="auto" w:before="63" w:after="0"/>
        <w:ind w:left="1197" w:right="0" w:hanging="360"/>
        <w:jc w:val="left"/>
        <w:rPr>
          <w:sz w:val="38"/>
        </w:rPr>
      </w:pPr>
      <w:r>
        <w:rPr>
          <w:sz w:val="38"/>
        </w:rPr>
        <w:t>irritable bladder</w:t>
      </w:r>
    </w:p>
    <w:p>
      <w:pPr>
        <w:pStyle w:val="ListParagraph"/>
        <w:numPr>
          <w:ilvl w:val="0"/>
          <w:numId w:val="28"/>
        </w:numPr>
        <w:tabs>
          <w:tab w:pos="1197" w:val="left" w:leader="none"/>
          <w:tab w:pos="1198" w:val="left" w:leader="none"/>
        </w:tabs>
        <w:spacing w:line="240" w:lineRule="auto" w:before="64" w:after="0"/>
        <w:ind w:left="1197" w:right="0" w:hanging="360"/>
        <w:jc w:val="left"/>
        <w:rPr>
          <w:sz w:val="38"/>
        </w:rPr>
      </w:pPr>
      <w:r>
        <w:rPr>
          <w:sz w:val="38"/>
        </w:rPr>
        <w:t>flatulence</w:t>
      </w:r>
    </w:p>
    <w:p>
      <w:pPr>
        <w:pStyle w:val="ListParagraph"/>
        <w:numPr>
          <w:ilvl w:val="0"/>
          <w:numId w:val="28"/>
        </w:numPr>
        <w:tabs>
          <w:tab w:pos="1197" w:val="left" w:leader="none"/>
          <w:tab w:pos="1198" w:val="left" w:leader="none"/>
        </w:tabs>
        <w:spacing w:line="240" w:lineRule="auto" w:before="63" w:after="0"/>
        <w:ind w:left="1197" w:right="0" w:hanging="360"/>
        <w:jc w:val="left"/>
        <w:rPr>
          <w:sz w:val="38"/>
        </w:rPr>
      </w:pPr>
      <w:r>
        <w:rPr>
          <w:sz w:val="38"/>
        </w:rPr>
        <w:t>gastrointestinal</w:t>
      </w:r>
      <w:r>
        <w:rPr>
          <w:spacing w:val="-1"/>
          <w:sz w:val="38"/>
        </w:rPr>
        <w:t> </w:t>
      </w:r>
      <w:r>
        <w:rPr>
          <w:sz w:val="38"/>
        </w:rPr>
        <w:t>problems</w:t>
      </w:r>
    </w:p>
    <w:p>
      <w:pPr>
        <w:pStyle w:val="ListParagraph"/>
        <w:numPr>
          <w:ilvl w:val="0"/>
          <w:numId w:val="28"/>
        </w:numPr>
        <w:tabs>
          <w:tab w:pos="1197" w:val="left" w:leader="none"/>
          <w:tab w:pos="1198" w:val="left" w:leader="none"/>
        </w:tabs>
        <w:spacing w:line="240" w:lineRule="auto" w:before="65" w:after="0"/>
        <w:ind w:left="1197" w:right="0" w:hanging="360"/>
        <w:jc w:val="left"/>
        <w:rPr>
          <w:sz w:val="38"/>
        </w:rPr>
      </w:pPr>
      <w:r>
        <w:rPr>
          <w:sz w:val="38"/>
        </w:rPr>
        <w:t>chronic</w:t>
      </w:r>
      <w:r>
        <w:rPr>
          <w:spacing w:val="-2"/>
          <w:sz w:val="38"/>
        </w:rPr>
        <w:t> </w:t>
      </w:r>
      <w:r>
        <w:rPr>
          <w:sz w:val="38"/>
        </w:rPr>
        <w:t>fatigue</w:t>
      </w:r>
    </w:p>
    <w:p>
      <w:pPr>
        <w:pStyle w:val="ListParagraph"/>
        <w:numPr>
          <w:ilvl w:val="0"/>
          <w:numId w:val="28"/>
        </w:numPr>
        <w:tabs>
          <w:tab w:pos="1197" w:val="left" w:leader="none"/>
          <w:tab w:pos="1198" w:val="left" w:leader="none"/>
        </w:tabs>
        <w:spacing w:line="240" w:lineRule="auto" w:before="66" w:after="0"/>
        <w:ind w:left="1197" w:right="0" w:hanging="360"/>
        <w:jc w:val="left"/>
        <w:rPr>
          <w:sz w:val="38"/>
        </w:rPr>
      </w:pPr>
      <w:r>
        <w:rPr>
          <w:sz w:val="38"/>
        </w:rPr>
        <w:t>psoriasis</w:t>
      </w:r>
    </w:p>
    <w:p>
      <w:pPr>
        <w:spacing w:after="0" w:line="240" w:lineRule="auto"/>
        <w:jc w:val="left"/>
        <w:rPr>
          <w:sz w:val="38"/>
        </w:rPr>
        <w:sectPr>
          <w:pgSz w:w="14270" w:h="16850"/>
          <w:pgMar w:header="0" w:footer="1891" w:top="1600" w:bottom="2080" w:left="800" w:right="1280"/>
        </w:sectPr>
      </w:pPr>
    </w:p>
    <w:p>
      <w:pPr>
        <w:pStyle w:val="BodyText"/>
        <w:spacing w:before="10"/>
        <w:rPr>
          <w:sz w:val="8"/>
        </w:rPr>
      </w:pPr>
    </w:p>
    <w:p>
      <w:pPr>
        <w:pStyle w:val="ListParagraph"/>
        <w:numPr>
          <w:ilvl w:val="0"/>
          <w:numId w:val="28"/>
        </w:numPr>
        <w:tabs>
          <w:tab w:pos="1197" w:val="left" w:leader="none"/>
          <w:tab w:pos="1198" w:val="left" w:leader="none"/>
        </w:tabs>
        <w:spacing w:line="240" w:lineRule="auto" w:before="83" w:after="0"/>
        <w:ind w:left="1197" w:right="0" w:hanging="360"/>
        <w:jc w:val="left"/>
        <w:rPr>
          <w:sz w:val="38"/>
        </w:rPr>
      </w:pPr>
      <w:r>
        <w:rPr>
          <w:sz w:val="38"/>
        </w:rPr>
        <w:t>allergies</w:t>
      </w:r>
    </w:p>
    <w:p>
      <w:pPr>
        <w:pStyle w:val="ListParagraph"/>
        <w:numPr>
          <w:ilvl w:val="0"/>
          <w:numId w:val="28"/>
        </w:numPr>
        <w:tabs>
          <w:tab w:pos="1197" w:val="left" w:leader="none"/>
          <w:tab w:pos="1198" w:val="left" w:leader="none"/>
        </w:tabs>
        <w:spacing w:line="240" w:lineRule="auto" w:before="64" w:after="0"/>
        <w:ind w:left="1197" w:right="0" w:hanging="360"/>
        <w:jc w:val="left"/>
        <w:rPr>
          <w:sz w:val="38"/>
        </w:rPr>
      </w:pPr>
      <w:r>
        <w:rPr>
          <w:sz w:val="38"/>
        </w:rPr>
        <w:t>insect bites</w:t>
      </w:r>
    </w:p>
    <w:p>
      <w:pPr>
        <w:pStyle w:val="ListParagraph"/>
        <w:numPr>
          <w:ilvl w:val="0"/>
          <w:numId w:val="28"/>
        </w:numPr>
        <w:tabs>
          <w:tab w:pos="1197" w:val="left" w:leader="none"/>
          <w:tab w:pos="1198" w:val="left" w:leader="none"/>
        </w:tabs>
        <w:spacing w:line="240" w:lineRule="auto" w:before="66" w:after="0"/>
        <w:ind w:left="1197" w:right="0" w:hanging="360"/>
        <w:jc w:val="left"/>
        <w:rPr>
          <w:sz w:val="38"/>
        </w:rPr>
      </w:pPr>
      <w:r>
        <w:rPr>
          <w:sz w:val="38"/>
        </w:rPr>
        <w:t>respiratory diseases</w:t>
      </w:r>
    </w:p>
    <w:p>
      <w:pPr>
        <w:pStyle w:val="ListParagraph"/>
        <w:numPr>
          <w:ilvl w:val="0"/>
          <w:numId w:val="28"/>
        </w:numPr>
        <w:tabs>
          <w:tab w:pos="1197" w:val="left" w:leader="none"/>
          <w:tab w:pos="1198" w:val="left" w:leader="none"/>
        </w:tabs>
        <w:spacing w:line="240" w:lineRule="auto" w:before="63" w:after="0"/>
        <w:ind w:left="1197" w:right="0" w:hanging="360"/>
        <w:jc w:val="left"/>
        <w:rPr>
          <w:sz w:val="38"/>
        </w:rPr>
      </w:pPr>
      <w:r>
        <w:rPr>
          <w:sz w:val="38"/>
        </w:rPr>
        <w:t>sleep disorders</w:t>
      </w:r>
    </w:p>
    <w:p>
      <w:pPr>
        <w:pStyle w:val="ListParagraph"/>
        <w:numPr>
          <w:ilvl w:val="0"/>
          <w:numId w:val="28"/>
        </w:numPr>
        <w:tabs>
          <w:tab w:pos="1197" w:val="left" w:leader="none"/>
          <w:tab w:pos="1198" w:val="left" w:leader="none"/>
        </w:tabs>
        <w:spacing w:line="240" w:lineRule="auto" w:before="64" w:after="0"/>
        <w:ind w:left="1197" w:right="0" w:hanging="360"/>
        <w:jc w:val="left"/>
        <w:rPr>
          <w:sz w:val="38"/>
        </w:rPr>
      </w:pPr>
      <w:r>
        <w:rPr>
          <w:sz w:val="38"/>
        </w:rPr>
        <w:t>asthma</w:t>
      </w:r>
    </w:p>
    <w:p>
      <w:pPr>
        <w:pStyle w:val="ListParagraph"/>
        <w:numPr>
          <w:ilvl w:val="0"/>
          <w:numId w:val="28"/>
        </w:numPr>
        <w:tabs>
          <w:tab w:pos="1197" w:val="left" w:leader="none"/>
          <w:tab w:pos="1198" w:val="left" w:leader="none"/>
        </w:tabs>
        <w:spacing w:line="240" w:lineRule="auto" w:before="63" w:after="0"/>
        <w:ind w:left="1197" w:right="0" w:hanging="360"/>
        <w:jc w:val="left"/>
        <w:rPr>
          <w:sz w:val="38"/>
        </w:rPr>
      </w:pPr>
      <w:r>
        <w:rPr>
          <w:sz w:val="38"/>
        </w:rPr>
        <w:t>bronchitis</w:t>
      </w:r>
    </w:p>
    <w:p>
      <w:pPr>
        <w:pStyle w:val="ListParagraph"/>
        <w:numPr>
          <w:ilvl w:val="0"/>
          <w:numId w:val="28"/>
        </w:numPr>
        <w:tabs>
          <w:tab w:pos="1197" w:val="left" w:leader="none"/>
          <w:tab w:pos="1198" w:val="left" w:leader="none"/>
        </w:tabs>
        <w:spacing w:line="240" w:lineRule="auto" w:before="65" w:after="0"/>
        <w:ind w:left="1197" w:right="0" w:hanging="360"/>
        <w:jc w:val="left"/>
        <w:rPr>
          <w:sz w:val="38"/>
        </w:rPr>
      </w:pPr>
      <w:r>
        <w:rPr>
          <w:sz w:val="38"/>
        </w:rPr>
        <w:t>pulmonary fibrosis</w:t>
      </w:r>
    </w:p>
    <w:p>
      <w:pPr>
        <w:pStyle w:val="ListParagraph"/>
        <w:numPr>
          <w:ilvl w:val="0"/>
          <w:numId w:val="28"/>
        </w:numPr>
        <w:tabs>
          <w:tab w:pos="1197" w:val="left" w:leader="none"/>
          <w:tab w:pos="1198" w:val="left" w:leader="none"/>
        </w:tabs>
        <w:spacing w:line="240" w:lineRule="auto" w:before="66" w:after="0"/>
        <w:ind w:left="1197" w:right="0" w:hanging="360"/>
        <w:jc w:val="left"/>
        <w:rPr>
          <w:sz w:val="38"/>
        </w:rPr>
      </w:pPr>
      <w:r>
        <w:rPr>
          <w:sz w:val="38"/>
        </w:rPr>
        <w:t>cystic fibrosis</w:t>
      </w:r>
    </w:p>
    <w:p>
      <w:pPr>
        <w:pStyle w:val="ListParagraph"/>
        <w:numPr>
          <w:ilvl w:val="0"/>
          <w:numId w:val="28"/>
        </w:numPr>
        <w:tabs>
          <w:tab w:pos="1197" w:val="left" w:leader="none"/>
          <w:tab w:pos="1198" w:val="left" w:leader="none"/>
        </w:tabs>
        <w:spacing w:line="240" w:lineRule="auto" w:before="63" w:after="0"/>
        <w:ind w:left="1197" w:right="0" w:hanging="360"/>
        <w:jc w:val="left"/>
        <w:rPr>
          <w:sz w:val="38"/>
        </w:rPr>
      </w:pPr>
      <w:r>
        <w:rPr>
          <w:sz w:val="38"/>
        </w:rPr>
        <w:t>Bowel disease (Crohn's disease, ulcerative colitis)</w:t>
      </w:r>
    </w:p>
    <w:p>
      <w:pPr>
        <w:pStyle w:val="ListParagraph"/>
        <w:numPr>
          <w:ilvl w:val="0"/>
          <w:numId w:val="28"/>
        </w:numPr>
        <w:tabs>
          <w:tab w:pos="1197" w:val="left" w:leader="none"/>
          <w:tab w:pos="1198" w:val="left" w:leader="none"/>
        </w:tabs>
        <w:spacing w:line="240" w:lineRule="auto" w:before="64" w:after="0"/>
        <w:ind w:left="1197" w:right="0" w:hanging="360"/>
        <w:jc w:val="left"/>
        <w:rPr>
          <w:sz w:val="38"/>
        </w:rPr>
      </w:pPr>
      <w:r>
        <w:rPr>
          <w:sz w:val="38"/>
        </w:rPr>
        <w:t>diarrhoea</w:t>
      </w:r>
    </w:p>
    <w:p>
      <w:pPr>
        <w:pStyle w:val="ListParagraph"/>
        <w:numPr>
          <w:ilvl w:val="0"/>
          <w:numId w:val="28"/>
        </w:numPr>
        <w:tabs>
          <w:tab w:pos="1197" w:val="left" w:leader="none"/>
          <w:tab w:pos="1198" w:val="left" w:leader="none"/>
        </w:tabs>
        <w:spacing w:line="240" w:lineRule="auto" w:before="64" w:after="0"/>
        <w:ind w:left="1197" w:right="0" w:hanging="360"/>
        <w:jc w:val="left"/>
        <w:rPr>
          <w:sz w:val="38"/>
        </w:rPr>
      </w:pPr>
      <w:r>
        <w:rPr>
          <w:sz w:val="38"/>
        </w:rPr>
        <w:t>cough</w:t>
      </w:r>
    </w:p>
    <w:p>
      <w:pPr>
        <w:pStyle w:val="ListParagraph"/>
        <w:numPr>
          <w:ilvl w:val="0"/>
          <w:numId w:val="28"/>
        </w:numPr>
        <w:tabs>
          <w:tab w:pos="1197" w:val="left" w:leader="none"/>
          <w:tab w:pos="1198" w:val="left" w:leader="none"/>
        </w:tabs>
        <w:spacing w:line="240" w:lineRule="auto" w:before="63" w:after="0"/>
        <w:ind w:left="1197" w:right="0" w:hanging="360"/>
        <w:jc w:val="left"/>
        <w:rPr>
          <w:sz w:val="38"/>
        </w:rPr>
      </w:pPr>
      <w:r>
        <w:rPr>
          <w:sz w:val="38"/>
        </w:rPr>
        <w:t>epilepsy</w:t>
      </w:r>
    </w:p>
    <w:p>
      <w:pPr>
        <w:pStyle w:val="ListParagraph"/>
        <w:numPr>
          <w:ilvl w:val="0"/>
          <w:numId w:val="28"/>
        </w:numPr>
        <w:tabs>
          <w:tab w:pos="1197" w:val="left" w:leader="none"/>
          <w:tab w:pos="1198" w:val="left" w:leader="none"/>
        </w:tabs>
        <w:spacing w:line="240" w:lineRule="auto" w:before="66" w:after="0"/>
        <w:ind w:left="1197" w:right="0" w:hanging="360"/>
        <w:jc w:val="left"/>
        <w:rPr>
          <w:sz w:val="38"/>
        </w:rPr>
      </w:pPr>
      <w:r>
        <w:rPr>
          <w:sz w:val="38"/>
        </w:rPr>
        <w:t>liver disease</w:t>
      </w:r>
    </w:p>
    <w:p>
      <w:pPr>
        <w:pStyle w:val="ListParagraph"/>
        <w:numPr>
          <w:ilvl w:val="0"/>
          <w:numId w:val="28"/>
        </w:numPr>
        <w:tabs>
          <w:tab w:pos="1197" w:val="left" w:leader="none"/>
          <w:tab w:pos="1198" w:val="left" w:leader="none"/>
        </w:tabs>
        <w:spacing w:line="240" w:lineRule="auto" w:before="64" w:after="0"/>
        <w:ind w:left="1197" w:right="0" w:hanging="360"/>
        <w:jc w:val="left"/>
        <w:rPr>
          <w:sz w:val="38"/>
        </w:rPr>
      </w:pPr>
      <w:r>
        <w:rPr>
          <w:sz w:val="38"/>
        </w:rPr>
        <w:t>glaucoma</w:t>
      </w:r>
    </w:p>
    <w:p>
      <w:pPr>
        <w:pStyle w:val="ListParagraph"/>
        <w:numPr>
          <w:ilvl w:val="0"/>
          <w:numId w:val="28"/>
        </w:numPr>
        <w:tabs>
          <w:tab w:pos="1197" w:val="left" w:leader="none"/>
          <w:tab w:pos="1198" w:val="left" w:leader="none"/>
        </w:tabs>
        <w:spacing w:line="240" w:lineRule="auto" w:before="64" w:after="0"/>
        <w:ind w:left="1197" w:right="0" w:hanging="360"/>
        <w:jc w:val="left"/>
        <w:rPr>
          <w:sz w:val="38"/>
        </w:rPr>
      </w:pPr>
      <w:r>
        <w:rPr>
          <w:sz w:val="38"/>
        </w:rPr>
        <w:t>Kennedy's disease (spinal muscular</w:t>
      </w:r>
      <w:r>
        <w:rPr>
          <w:spacing w:val="4"/>
          <w:sz w:val="38"/>
        </w:rPr>
        <w:t> </w:t>
      </w:r>
      <w:r>
        <w:rPr>
          <w:sz w:val="38"/>
        </w:rPr>
        <w:t>atrophy)</w:t>
      </w:r>
    </w:p>
    <w:p>
      <w:pPr>
        <w:pStyle w:val="ListParagraph"/>
        <w:numPr>
          <w:ilvl w:val="0"/>
          <w:numId w:val="28"/>
        </w:numPr>
        <w:tabs>
          <w:tab w:pos="1197" w:val="left" w:leader="none"/>
          <w:tab w:pos="1198" w:val="left" w:leader="none"/>
        </w:tabs>
        <w:spacing w:line="240" w:lineRule="auto" w:before="64" w:after="0"/>
        <w:ind w:left="1197" w:right="0" w:hanging="360"/>
        <w:jc w:val="left"/>
        <w:rPr>
          <w:sz w:val="38"/>
        </w:rPr>
      </w:pPr>
      <w:r>
        <w:rPr>
          <w:sz w:val="38"/>
        </w:rPr>
        <w:t>premature ageing</w:t>
      </w:r>
    </w:p>
    <w:p>
      <w:pPr>
        <w:pStyle w:val="ListParagraph"/>
        <w:numPr>
          <w:ilvl w:val="0"/>
          <w:numId w:val="28"/>
        </w:numPr>
        <w:tabs>
          <w:tab w:pos="1197" w:val="left" w:leader="none"/>
          <w:tab w:pos="1198" w:val="left" w:leader="none"/>
        </w:tabs>
        <w:spacing w:line="240" w:lineRule="auto" w:before="66" w:after="0"/>
        <w:ind w:left="1197" w:right="0" w:hanging="360"/>
        <w:jc w:val="left"/>
        <w:rPr>
          <w:sz w:val="38"/>
        </w:rPr>
      </w:pPr>
      <w:r>
        <w:rPr>
          <w:sz w:val="38"/>
        </w:rPr>
        <w:t>gum</w:t>
      </w:r>
      <w:r>
        <w:rPr>
          <w:spacing w:val="-1"/>
          <w:sz w:val="38"/>
        </w:rPr>
        <w:t> </w:t>
      </w:r>
      <w:r>
        <w:rPr>
          <w:sz w:val="38"/>
        </w:rPr>
        <w:t>inflammation</w:t>
      </w:r>
    </w:p>
    <w:p>
      <w:pPr>
        <w:pStyle w:val="ListParagraph"/>
        <w:numPr>
          <w:ilvl w:val="0"/>
          <w:numId w:val="28"/>
        </w:numPr>
        <w:tabs>
          <w:tab w:pos="1197" w:val="left" w:leader="none"/>
          <w:tab w:pos="1198" w:val="left" w:leader="none"/>
        </w:tabs>
        <w:spacing w:line="240" w:lineRule="auto" w:before="63" w:after="0"/>
        <w:ind w:left="1197" w:right="0" w:hanging="360"/>
        <w:jc w:val="left"/>
        <w:rPr>
          <w:sz w:val="38"/>
        </w:rPr>
      </w:pPr>
      <w:r>
        <w:rPr>
          <w:sz w:val="38"/>
        </w:rPr>
        <w:t>uveitis (inflammation of the middle layer of eye</w:t>
      </w:r>
      <w:r>
        <w:rPr>
          <w:spacing w:val="2"/>
          <w:sz w:val="38"/>
        </w:rPr>
        <w:t> </w:t>
      </w:r>
      <w:r>
        <w:rPr>
          <w:sz w:val="38"/>
        </w:rPr>
        <w:t>skin)</w:t>
      </w:r>
    </w:p>
    <w:p>
      <w:pPr>
        <w:pStyle w:val="ListParagraph"/>
        <w:numPr>
          <w:ilvl w:val="0"/>
          <w:numId w:val="28"/>
        </w:numPr>
        <w:tabs>
          <w:tab w:pos="1197" w:val="left" w:leader="none"/>
          <w:tab w:pos="1198" w:val="left" w:leader="none"/>
        </w:tabs>
        <w:spacing w:line="240" w:lineRule="auto" w:before="64" w:after="0"/>
        <w:ind w:left="1197" w:right="0" w:hanging="360"/>
        <w:jc w:val="left"/>
        <w:rPr>
          <w:sz w:val="38"/>
        </w:rPr>
      </w:pPr>
      <w:r>
        <w:rPr>
          <w:sz w:val="38"/>
        </w:rPr>
        <w:t>excess weight</w:t>
      </w:r>
    </w:p>
    <w:p>
      <w:pPr>
        <w:pStyle w:val="ListParagraph"/>
        <w:numPr>
          <w:ilvl w:val="0"/>
          <w:numId w:val="28"/>
        </w:numPr>
        <w:tabs>
          <w:tab w:pos="1197" w:val="left" w:leader="none"/>
          <w:tab w:pos="1198" w:val="left" w:leader="none"/>
        </w:tabs>
        <w:spacing w:line="240" w:lineRule="auto" w:before="63" w:after="0"/>
        <w:ind w:left="1197" w:right="0" w:hanging="360"/>
        <w:jc w:val="left"/>
        <w:rPr>
          <w:sz w:val="38"/>
        </w:rPr>
      </w:pPr>
      <w:r>
        <w:rPr>
          <w:sz w:val="38"/>
        </w:rPr>
        <w:t>post-menopausal</w:t>
      </w:r>
      <w:r>
        <w:rPr>
          <w:spacing w:val="-1"/>
          <w:sz w:val="38"/>
        </w:rPr>
        <w:t> </w:t>
      </w:r>
      <w:r>
        <w:rPr>
          <w:sz w:val="38"/>
        </w:rPr>
        <w:t>symptoms</w:t>
      </w:r>
    </w:p>
    <w:p>
      <w:pPr>
        <w:pStyle w:val="ListParagraph"/>
        <w:numPr>
          <w:ilvl w:val="0"/>
          <w:numId w:val="28"/>
        </w:numPr>
        <w:tabs>
          <w:tab w:pos="1197" w:val="left" w:leader="none"/>
          <w:tab w:pos="1198" w:val="left" w:leader="none"/>
        </w:tabs>
        <w:spacing w:line="240" w:lineRule="auto" w:before="65" w:after="0"/>
        <w:ind w:left="1197" w:right="0" w:hanging="360"/>
        <w:jc w:val="left"/>
        <w:rPr>
          <w:sz w:val="38"/>
        </w:rPr>
      </w:pPr>
      <w:r>
        <w:rPr>
          <w:sz w:val="38"/>
        </w:rPr>
        <w:t>HIV/AIDS</w:t>
      </w:r>
    </w:p>
    <w:p>
      <w:pPr>
        <w:spacing w:after="0" w:line="240" w:lineRule="auto"/>
        <w:jc w:val="left"/>
        <w:rPr>
          <w:sz w:val="38"/>
        </w:rPr>
        <w:sectPr>
          <w:pgSz w:w="14270" w:h="16850"/>
          <w:pgMar w:header="0" w:footer="1891" w:top="1600" w:bottom="2080" w:left="800" w:right="1280"/>
        </w:sectPr>
      </w:pPr>
    </w:p>
    <w:p>
      <w:pPr>
        <w:pStyle w:val="Heading2"/>
        <w:spacing w:before="181"/>
      </w:pPr>
      <w:r>
        <w:rPr/>
        <w:t>Effect of curcumin on cardiovascular diseases</w:t>
      </w:r>
    </w:p>
    <w:p>
      <w:pPr>
        <w:pStyle w:val="BodyText"/>
        <w:spacing w:line="276" w:lineRule="auto" w:before="305"/>
        <w:ind w:left="477" w:right="133"/>
        <w:jc w:val="both"/>
      </w:pPr>
      <w:r>
        <w:rPr/>
        <w:t>Atherosclerosis poses the highest risk of heart attacks and strokes. However, this can only occur when food cholesterol oxidises in the blood vessels and forms</w:t>
      </w:r>
      <w:r>
        <w:rPr>
          <w:spacing w:val="-9"/>
        </w:rPr>
        <w:t> </w:t>
      </w:r>
      <w:r>
        <w:rPr/>
        <w:t>plaques</w:t>
      </w:r>
      <w:r>
        <w:rPr>
          <w:spacing w:val="-8"/>
        </w:rPr>
        <w:t> </w:t>
      </w:r>
      <w:r>
        <w:rPr/>
        <w:t>that</w:t>
      </w:r>
      <w:r>
        <w:rPr>
          <w:spacing w:val="-9"/>
        </w:rPr>
        <w:t> </w:t>
      </w:r>
      <w:r>
        <w:rPr/>
        <w:t>damage</w:t>
      </w:r>
      <w:r>
        <w:rPr>
          <w:spacing w:val="-9"/>
        </w:rPr>
        <w:t> </w:t>
      </w:r>
      <w:r>
        <w:rPr/>
        <w:t>and</w:t>
      </w:r>
      <w:r>
        <w:rPr>
          <w:spacing w:val="-8"/>
        </w:rPr>
        <w:t> </w:t>
      </w:r>
      <w:r>
        <w:rPr/>
        <w:t>constrict</w:t>
      </w:r>
      <w:r>
        <w:rPr>
          <w:spacing w:val="-9"/>
        </w:rPr>
        <w:t> </w:t>
      </w:r>
      <w:r>
        <w:rPr/>
        <w:t>the</w:t>
      </w:r>
      <w:r>
        <w:rPr>
          <w:spacing w:val="-11"/>
        </w:rPr>
        <w:t> </w:t>
      </w:r>
      <w:r>
        <w:rPr/>
        <w:t>blood</w:t>
      </w:r>
      <w:r>
        <w:rPr>
          <w:spacing w:val="-10"/>
        </w:rPr>
        <w:t> </w:t>
      </w:r>
      <w:r>
        <w:rPr/>
        <w:t>vessels.</w:t>
      </w:r>
      <w:r>
        <w:rPr>
          <w:spacing w:val="-9"/>
        </w:rPr>
        <w:t> </w:t>
      </w:r>
      <w:r>
        <w:rPr/>
        <w:t>If</w:t>
      </w:r>
      <w:r>
        <w:rPr>
          <w:spacing w:val="-10"/>
        </w:rPr>
        <w:t> </w:t>
      </w:r>
      <w:r>
        <w:rPr/>
        <w:t>the</w:t>
      </w:r>
      <w:r>
        <w:rPr>
          <w:spacing w:val="-11"/>
        </w:rPr>
        <w:t> </w:t>
      </w:r>
      <w:r>
        <w:rPr/>
        <w:t>blood</w:t>
      </w:r>
      <w:r>
        <w:rPr>
          <w:spacing w:val="-9"/>
        </w:rPr>
        <w:t> </w:t>
      </w:r>
      <w:r>
        <w:rPr/>
        <w:t>flow</w:t>
      </w:r>
      <w:r>
        <w:rPr>
          <w:spacing w:val="-9"/>
        </w:rPr>
        <w:t> </w:t>
      </w:r>
      <w:r>
        <w:rPr/>
        <w:t>to the</w:t>
      </w:r>
      <w:r>
        <w:rPr>
          <w:spacing w:val="-6"/>
        </w:rPr>
        <w:t> </w:t>
      </w:r>
      <w:r>
        <w:rPr/>
        <w:t>heart</w:t>
      </w:r>
      <w:r>
        <w:rPr>
          <w:spacing w:val="-7"/>
        </w:rPr>
        <w:t> </w:t>
      </w:r>
      <w:r>
        <w:rPr/>
        <w:t>is</w:t>
      </w:r>
      <w:r>
        <w:rPr>
          <w:spacing w:val="-7"/>
        </w:rPr>
        <w:t> </w:t>
      </w:r>
      <w:r>
        <w:rPr/>
        <w:t>obstructed,</w:t>
      </w:r>
      <w:r>
        <w:rPr>
          <w:spacing w:val="-6"/>
        </w:rPr>
        <w:t> </w:t>
      </w:r>
      <w:r>
        <w:rPr/>
        <w:t>it</w:t>
      </w:r>
      <w:r>
        <w:rPr>
          <w:spacing w:val="-8"/>
        </w:rPr>
        <w:t> </w:t>
      </w:r>
      <w:r>
        <w:rPr/>
        <w:t>may</w:t>
      </w:r>
      <w:r>
        <w:rPr>
          <w:spacing w:val="-6"/>
        </w:rPr>
        <w:t> </w:t>
      </w:r>
      <w:r>
        <w:rPr/>
        <w:t>result</w:t>
      </w:r>
      <w:r>
        <w:rPr>
          <w:spacing w:val="-7"/>
        </w:rPr>
        <w:t> </w:t>
      </w:r>
      <w:r>
        <w:rPr/>
        <w:t>in</w:t>
      </w:r>
      <w:r>
        <w:rPr>
          <w:spacing w:val="-7"/>
        </w:rPr>
        <w:t> </w:t>
      </w:r>
      <w:r>
        <w:rPr/>
        <w:t>a</w:t>
      </w:r>
      <w:r>
        <w:rPr>
          <w:spacing w:val="-7"/>
        </w:rPr>
        <w:t> </w:t>
      </w:r>
      <w:r>
        <w:rPr/>
        <w:t>heart</w:t>
      </w:r>
      <w:r>
        <w:rPr>
          <w:spacing w:val="-7"/>
        </w:rPr>
        <w:t> </w:t>
      </w:r>
      <w:r>
        <w:rPr/>
        <w:t>attack.</w:t>
      </w:r>
      <w:r>
        <w:rPr>
          <w:spacing w:val="-7"/>
        </w:rPr>
        <w:t> </w:t>
      </w:r>
      <w:r>
        <w:rPr/>
        <w:t>The</w:t>
      </w:r>
      <w:r>
        <w:rPr>
          <w:spacing w:val="-5"/>
        </w:rPr>
        <w:t> </w:t>
      </w:r>
      <w:r>
        <w:rPr/>
        <w:t>blockage</w:t>
      </w:r>
      <w:r>
        <w:rPr>
          <w:spacing w:val="-6"/>
        </w:rPr>
        <w:t> </w:t>
      </w:r>
      <w:r>
        <w:rPr/>
        <w:t>of</w:t>
      </w:r>
      <w:r>
        <w:rPr>
          <w:spacing w:val="-7"/>
        </w:rPr>
        <w:t> </w:t>
      </w:r>
      <w:r>
        <w:rPr/>
        <w:t>an</w:t>
      </w:r>
      <w:r>
        <w:rPr>
          <w:spacing w:val="-6"/>
        </w:rPr>
        <w:t> </w:t>
      </w:r>
      <w:r>
        <w:rPr/>
        <w:t>artery to the brain causes a</w:t>
      </w:r>
      <w:r>
        <w:rPr>
          <w:spacing w:val="3"/>
        </w:rPr>
        <w:t> </w:t>
      </w:r>
      <w:r>
        <w:rPr/>
        <w:t>stroke.</w:t>
      </w:r>
    </w:p>
    <w:p>
      <w:pPr>
        <w:pStyle w:val="Heading1"/>
        <w:spacing w:before="223"/>
      </w:pPr>
      <w:r>
        <w:rPr/>
        <w:t>Curcumin prevents cholesterol oxidation</w:t>
      </w:r>
    </w:p>
    <w:p>
      <w:pPr>
        <w:pStyle w:val="BodyText"/>
        <w:spacing w:line="276" w:lineRule="auto" w:before="299"/>
        <w:ind w:left="477" w:right="135"/>
        <w:jc w:val="both"/>
      </w:pPr>
      <w:r>
        <w:rPr/>
        <w:t>The curcumin in turmeric prevents this process by stopping the oxidation of cholesterol. It also reduces the amount of blood cholesterol circulating in the blood by reduction of cholesterol levels. Just 2600 mg turmeric powder or 3 x 2 turmeric capsules a day can normalise the cholesterol level in many people in a relatively short time.</w:t>
      </w:r>
    </w:p>
    <w:p>
      <w:pPr>
        <w:pStyle w:val="BodyText"/>
        <w:spacing w:line="276" w:lineRule="auto" w:before="240"/>
        <w:ind w:left="477" w:right="134"/>
        <w:jc w:val="both"/>
      </w:pPr>
      <w:r>
        <w:rPr/>
        <w:t>In one study, the level of LDL cholesterol was reduced by 10.9 % after twelve weeks of treatment with alcoholic turmeric extract. Triglyceride levels fell 6.1</w:t>
      </w:r>
    </w:p>
    <w:p>
      <w:pPr>
        <w:spacing w:line="427" w:lineRule="exact" w:before="0"/>
        <w:ind w:left="477" w:right="0" w:firstLine="0"/>
        <w:jc w:val="left"/>
        <w:rPr>
          <w:sz w:val="25"/>
        </w:rPr>
      </w:pPr>
      <w:r>
        <w:rPr>
          <w:position w:val="-8"/>
          <w:sz w:val="38"/>
        </w:rPr>
        <w:t>%.</w:t>
      </w:r>
      <w:r>
        <w:rPr>
          <w:sz w:val="25"/>
        </w:rPr>
        <w:t>222</w:t>
      </w:r>
    </w:p>
    <w:p>
      <w:pPr>
        <w:pStyle w:val="Heading1"/>
        <w:spacing w:before="288"/>
      </w:pPr>
      <w:r>
        <w:rPr/>
        <w:t>Curcumin lowers homocysteine levels</w:t>
      </w:r>
    </w:p>
    <w:p>
      <w:pPr>
        <w:pStyle w:val="BodyText"/>
        <w:spacing w:line="276" w:lineRule="auto" w:before="300"/>
        <w:ind w:left="477" w:right="139"/>
        <w:jc w:val="both"/>
      </w:pPr>
      <w:r>
        <w:rPr/>
        <w:t>The vitamin B6 contained in curcumin also reduces the level of homocysteine, which is considered to be another major factor in the development of athero- sclerosis, with the associated risks of a heart attack or stroke.</w:t>
      </w:r>
    </w:p>
    <w:p>
      <w:pPr>
        <w:pStyle w:val="BodyText"/>
        <w:rPr>
          <w:sz w:val="20"/>
        </w:rPr>
      </w:pPr>
    </w:p>
    <w:p>
      <w:pPr>
        <w:pStyle w:val="BodyText"/>
        <w:rPr>
          <w:sz w:val="20"/>
        </w:rPr>
      </w:pPr>
    </w:p>
    <w:p>
      <w:pPr>
        <w:pStyle w:val="BodyText"/>
        <w:spacing w:before="1"/>
        <w:rPr>
          <w:sz w:val="11"/>
        </w:rPr>
      </w:pPr>
      <w:r>
        <w:rPr/>
        <w:pict>
          <v:line style="position:absolute;mso-position-horizontal-relative:page;mso-position-vertical-relative:paragraph;z-index:2240;mso-wrap-distance-left:0;mso-wrap-distance-right:0" from="63.863998pt,8.593751pt" to="207.883998pt,8.593751pt" stroked="true" strokeweight=".72003pt" strokecolor="#000000">
            <v:stroke dashstyle="solid"/>
            <w10:wrap type="topAndBottom"/>
          </v:line>
        </w:pict>
      </w:r>
    </w:p>
    <w:p>
      <w:pPr>
        <w:pStyle w:val="BodyText"/>
        <w:spacing w:before="7"/>
        <w:rPr>
          <w:sz w:val="18"/>
        </w:rPr>
      </w:pPr>
    </w:p>
    <w:p>
      <w:pPr>
        <w:spacing w:line="276" w:lineRule="auto" w:before="99"/>
        <w:ind w:left="477" w:right="170" w:firstLine="0"/>
        <w:jc w:val="left"/>
        <w:rPr>
          <w:sz w:val="20"/>
        </w:rPr>
      </w:pPr>
      <w:r>
        <w:rPr>
          <w:position w:val="5"/>
          <w:sz w:val="13"/>
        </w:rPr>
        <w:t>222 </w:t>
      </w:r>
      <w:r>
        <w:rPr>
          <w:sz w:val="20"/>
        </w:rPr>
        <w:t>Häringer, E.: Curcuma longa L. reduces functional dyspepsia and regulates elevated lipid levels, Pharm. Ztg. (Pharmaceutical Magazine) 2003; 148, p. 3396.</w:t>
      </w:r>
    </w:p>
    <w:p>
      <w:pPr>
        <w:spacing w:after="0" w:line="276" w:lineRule="auto"/>
        <w:jc w:val="left"/>
        <w:rPr>
          <w:sz w:val="20"/>
        </w:rPr>
        <w:sectPr>
          <w:footerReference w:type="default" r:id="rId86"/>
          <w:pgSz w:w="14270" w:h="16850"/>
          <w:pgMar w:footer="1891" w:header="0" w:top="1600" w:bottom="2080" w:left="800" w:right="1280"/>
          <w:pgNumType w:start="340"/>
        </w:sectPr>
      </w:pPr>
    </w:p>
    <w:p>
      <w:pPr>
        <w:pStyle w:val="Heading1"/>
        <w:spacing w:line="228" w:lineRule="auto" w:before="184"/>
        <w:ind w:right="533"/>
      </w:pPr>
      <w:r>
        <w:rPr>
          <w:w w:val="95"/>
        </w:rPr>
        <w:t>Curcumin counteracts destructive inflammation within the blood ves- </w:t>
      </w:r>
      <w:r>
        <w:rPr/>
        <w:t>sels</w:t>
      </w:r>
    </w:p>
    <w:p>
      <w:pPr>
        <w:pStyle w:val="BodyText"/>
        <w:spacing w:line="276" w:lineRule="auto"/>
        <w:ind w:left="477" w:right="135"/>
        <w:jc w:val="both"/>
      </w:pPr>
      <w:r>
        <w:rPr/>
        <w:t>Inflammation in blood vessels is another negative aspect which leads to their gradual</w:t>
      </w:r>
      <w:r>
        <w:rPr>
          <w:spacing w:val="-18"/>
        </w:rPr>
        <w:t> </w:t>
      </w:r>
      <w:r>
        <w:rPr/>
        <w:t>destruction.</w:t>
      </w:r>
      <w:r>
        <w:rPr>
          <w:spacing w:val="-15"/>
        </w:rPr>
        <w:t> </w:t>
      </w:r>
      <w:r>
        <w:rPr/>
        <w:t>As</w:t>
      </w:r>
      <w:r>
        <w:rPr>
          <w:spacing w:val="-17"/>
        </w:rPr>
        <w:t> </w:t>
      </w:r>
      <w:r>
        <w:rPr/>
        <w:t>an</w:t>
      </w:r>
      <w:r>
        <w:rPr>
          <w:spacing w:val="-18"/>
        </w:rPr>
        <w:t> </w:t>
      </w:r>
      <w:r>
        <w:rPr/>
        <w:t>antagonist</w:t>
      </w:r>
      <w:r>
        <w:rPr>
          <w:spacing w:val="-16"/>
        </w:rPr>
        <w:t> </w:t>
      </w:r>
      <w:r>
        <w:rPr/>
        <w:t>of</w:t>
      </w:r>
      <w:r>
        <w:rPr>
          <w:spacing w:val="-16"/>
        </w:rPr>
        <w:t> </w:t>
      </w:r>
      <w:r>
        <w:rPr/>
        <w:t>arachidonic</w:t>
      </w:r>
      <w:r>
        <w:rPr>
          <w:spacing w:val="-15"/>
        </w:rPr>
        <w:t> </w:t>
      </w:r>
      <w:r>
        <w:rPr/>
        <w:t>acid,</w:t>
      </w:r>
      <w:r>
        <w:rPr>
          <w:spacing w:val="-16"/>
        </w:rPr>
        <w:t> </w:t>
      </w:r>
      <w:r>
        <w:rPr/>
        <w:t>curcumin</w:t>
      </w:r>
      <w:r>
        <w:rPr>
          <w:spacing w:val="-16"/>
        </w:rPr>
        <w:t> </w:t>
      </w:r>
      <w:r>
        <w:rPr/>
        <w:t>counteracts the inflammation in the blood</w:t>
      </w:r>
      <w:r>
        <w:rPr>
          <w:spacing w:val="4"/>
        </w:rPr>
        <w:t> </w:t>
      </w:r>
      <w:r>
        <w:rPr/>
        <w:t>vessels.</w:t>
      </w:r>
    </w:p>
    <w:p>
      <w:pPr>
        <w:pStyle w:val="Heading1"/>
        <w:spacing w:before="221"/>
      </w:pPr>
      <w:r>
        <w:rPr/>
        <w:t>Curcumin</w:t>
      </w:r>
      <w:r>
        <w:rPr>
          <w:spacing w:val="-46"/>
        </w:rPr>
        <w:t> </w:t>
      </w:r>
      <w:r>
        <w:rPr/>
        <w:t>increases</w:t>
      </w:r>
      <w:r>
        <w:rPr>
          <w:spacing w:val="-44"/>
        </w:rPr>
        <w:t> </w:t>
      </w:r>
      <w:r>
        <w:rPr/>
        <w:t>blood</w:t>
      </w:r>
      <w:r>
        <w:rPr>
          <w:spacing w:val="-46"/>
        </w:rPr>
        <w:t> </w:t>
      </w:r>
      <w:r>
        <w:rPr/>
        <w:t>circulation</w:t>
      </w:r>
      <w:r>
        <w:rPr>
          <w:spacing w:val="-45"/>
        </w:rPr>
        <w:t> </w:t>
      </w:r>
      <w:r>
        <w:rPr/>
        <w:t>and</w:t>
      </w:r>
      <w:r>
        <w:rPr>
          <w:spacing w:val="-46"/>
        </w:rPr>
        <w:t> </w:t>
      </w:r>
      <w:r>
        <w:rPr/>
        <w:t>lowers</w:t>
      </w:r>
      <w:r>
        <w:rPr>
          <w:spacing w:val="-45"/>
        </w:rPr>
        <w:t> </w:t>
      </w:r>
      <w:r>
        <w:rPr/>
        <w:t>high</w:t>
      </w:r>
      <w:r>
        <w:rPr>
          <w:spacing w:val="-46"/>
        </w:rPr>
        <w:t> </w:t>
      </w:r>
      <w:r>
        <w:rPr/>
        <w:t>blood</w:t>
      </w:r>
      <w:r>
        <w:rPr>
          <w:spacing w:val="-45"/>
        </w:rPr>
        <w:t> </w:t>
      </w:r>
      <w:r>
        <w:rPr/>
        <w:t>pressure</w:t>
      </w:r>
    </w:p>
    <w:p>
      <w:pPr>
        <w:pStyle w:val="BodyText"/>
        <w:spacing w:before="300"/>
        <w:ind w:left="477"/>
      </w:pPr>
      <w:r>
        <w:rPr/>
        <w:t>Curcumin has antihypertensive properties; it dilutes our blood.</w:t>
      </w:r>
    </w:p>
    <w:p>
      <w:pPr>
        <w:pStyle w:val="Heading1"/>
        <w:spacing w:before="287"/>
      </w:pPr>
      <w:r>
        <w:rPr/>
        <w:t>Curcumin prevents ischemia</w:t>
      </w:r>
    </w:p>
    <w:p>
      <w:pPr>
        <w:pStyle w:val="BodyText"/>
        <w:spacing w:line="276" w:lineRule="auto" w:before="297"/>
        <w:ind w:left="477"/>
      </w:pPr>
      <w:r>
        <w:rPr/>
        <w:t>Its anti-ischemic properties protect against deficient circulation, which is the cause of heart attacks, strokes and thrombosis.</w:t>
      </w:r>
    </w:p>
    <w:p>
      <w:pPr>
        <w:pStyle w:val="Heading1"/>
        <w:spacing w:line="261" w:lineRule="auto" w:before="223"/>
      </w:pPr>
      <w:r>
        <w:rPr>
          <w:w w:val="95"/>
        </w:rPr>
        <w:t>Curcumin</w:t>
      </w:r>
      <w:r>
        <w:rPr>
          <w:spacing w:val="-26"/>
          <w:w w:val="95"/>
        </w:rPr>
        <w:t> </w:t>
      </w:r>
      <w:r>
        <w:rPr>
          <w:w w:val="95"/>
        </w:rPr>
        <w:t>protects</w:t>
      </w:r>
      <w:r>
        <w:rPr>
          <w:spacing w:val="-24"/>
          <w:w w:val="95"/>
        </w:rPr>
        <w:t> </w:t>
      </w:r>
      <w:r>
        <w:rPr>
          <w:w w:val="95"/>
        </w:rPr>
        <w:t>against</w:t>
      </w:r>
      <w:r>
        <w:rPr>
          <w:spacing w:val="-26"/>
          <w:w w:val="95"/>
        </w:rPr>
        <w:t> </w:t>
      </w:r>
      <w:r>
        <w:rPr>
          <w:w w:val="95"/>
        </w:rPr>
        <w:t>myocardial</w:t>
      </w:r>
      <w:r>
        <w:rPr>
          <w:spacing w:val="-25"/>
          <w:w w:val="95"/>
        </w:rPr>
        <w:t> </w:t>
      </w:r>
      <w:r>
        <w:rPr>
          <w:w w:val="95"/>
        </w:rPr>
        <w:t>hypertrophy,</w:t>
      </w:r>
      <w:r>
        <w:rPr>
          <w:spacing w:val="-25"/>
          <w:w w:val="95"/>
        </w:rPr>
        <w:t> </w:t>
      </w:r>
      <w:r>
        <w:rPr>
          <w:w w:val="95"/>
        </w:rPr>
        <w:t>heart</w:t>
      </w:r>
      <w:r>
        <w:rPr>
          <w:spacing w:val="-27"/>
          <w:w w:val="95"/>
        </w:rPr>
        <w:t> </w:t>
      </w:r>
      <w:r>
        <w:rPr>
          <w:w w:val="95"/>
        </w:rPr>
        <w:t>attacks</w:t>
      </w:r>
      <w:r>
        <w:rPr>
          <w:spacing w:val="-24"/>
          <w:w w:val="95"/>
        </w:rPr>
        <w:t> </w:t>
      </w:r>
      <w:r>
        <w:rPr>
          <w:w w:val="95"/>
        </w:rPr>
        <w:t>and</w:t>
      </w:r>
      <w:r>
        <w:rPr>
          <w:spacing w:val="-26"/>
          <w:w w:val="95"/>
        </w:rPr>
        <w:t> </w:t>
      </w:r>
      <w:r>
        <w:rPr>
          <w:w w:val="95"/>
        </w:rPr>
        <w:t>the </w:t>
      </w:r>
      <w:r>
        <w:rPr/>
        <w:t>effects of diabetes on the</w:t>
      </w:r>
      <w:r>
        <w:rPr>
          <w:spacing w:val="-43"/>
        </w:rPr>
        <w:t> </w:t>
      </w:r>
      <w:r>
        <w:rPr/>
        <w:t>heart</w:t>
      </w:r>
    </w:p>
    <w:p>
      <w:pPr>
        <w:pStyle w:val="BodyText"/>
        <w:spacing w:line="276" w:lineRule="auto" w:before="261"/>
        <w:ind w:left="477"/>
      </w:pPr>
      <w:r>
        <w:rPr/>
        <w:t>In</w:t>
      </w:r>
      <w:r>
        <w:rPr>
          <w:spacing w:val="-17"/>
        </w:rPr>
        <w:t> </w:t>
      </w:r>
      <w:r>
        <w:rPr/>
        <w:t>studies,</w:t>
      </w:r>
      <w:r>
        <w:rPr>
          <w:spacing w:val="-16"/>
        </w:rPr>
        <w:t> </w:t>
      </w:r>
      <w:r>
        <w:rPr/>
        <w:t>curcumin</w:t>
      </w:r>
      <w:r>
        <w:rPr>
          <w:spacing w:val="-16"/>
        </w:rPr>
        <w:t> </w:t>
      </w:r>
      <w:r>
        <w:rPr/>
        <w:t>has</w:t>
      </w:r>
      <w:r>
        <w:rPr>
          <w:spacing w:val="-16"/>
        </w:rPr>
        <w:t> </w:t>
      </w:r>
      <w:r>
        <w:rPr/>
        <w:t>been</w:t>
      </w:r>
      <w:r>
        <w:rPr>
          <w:spacing w:val="-16"/>
        </w:rPr>
        <w:t> </w:t>
      </w:r>
      <w:r>
        <w:rPr/>
        <w:t>shown</w:t>
      </w:r>
      <w:r>
        <w:rPr>
          <w:spacing w:val="-16"/>
        </w:rPr>
        <w:t> </w:t>
      </w:r>
      <w:r>
        <w:rPr/>
        <w:t>to</w:t>
      </w:r>
      <w:r>
        <w:rPr>
          <w:spacing w:val="-16"/>
        </w:rPr>
        <w:t> </w:t>
      </w:r>
      <w:r>
        <w:rPr/>
        <w:t>protect</w:t>
      </w:r>
      <w:r>
        <w:rPr>
          <w:spacing w:val="-17"/>
        </w:rPr>
        <w:t> </w:t>
      </w:r>
      <w:r>
        <w:rPr/>
        <w:t>against</w:t>
      </w:r>
      <w:r>
        <w:rPr>
          <w:spacing w:val="-17"/>
        </w:rPr>
        <w:t> </w:t>
      </w:r>
      <w:r>
        <w:rPr/>
        <w:t>myocardial</w:t>
      </w:r>
      <w:r>
        <w:rPr>
          <w:spacing w:val="-17"/>
        </w:rPr>
        <w:t> </w:t>
      </w:r>
      <w:r>
        <w:rPr/>
        <w:t>growth</w:t>
      </w:r>
      <w:r>
        <w:rPr>
          <w:spacing w:val="-17"/>
        </w:rPr>
        <w:t> </w:t>
      </w:r>
      <w:r>
        <w:rPr/>
        <w:t>(my- ocardial hypertrophy), myocardial infarction and diabetes</w:t>
      </w:r>
      <w:r>
        <w:rPr>
          <w:spacing w:val="-6"/>
        </w:rPr>
        <w:t> </w:t>
      </w:r>
      <w:r>
        <w:rPr/>
        <w:t>complications.</w:t>
      </w:r>
    </w:p>
    <w:p>
      <w:pPr>
        <w:pStyle w:val="Heading1"/>
        <w:spacing w:before="223"/>
      </w:pPr>
      <w:r>
        <w:rPr/>
        <w:t>Effect against thrombosis</w:t>
      </w:r>
    </w:p>
    <w:p>
      <w:pPr>
        <w:pStyle w:val="BodyText"/>
        <w:spacing w:before="297"/>
        <w:ind w:left="477"/>
      </w:pPr>
      <w:r>
        <w:rPr/>
        <w:t>The blood-thinning properties of curcumin can counteract thrombosis.</w:t>
      </w:r>
    </w:p>
    <w:p>
      <w:pPr>
        <w:pStyle w:val="BodyText"/>
        <w:rPr>
          <w:sz w:val="42"/>
        </w:rPr>
      </w:pPr>
    </w:p>
    <w:p>
      <w:pPr>
        <w:pStyle w:val="BodyText"/>
        <w:spacing w:before="2"/>
        <w:rPr>
          <w:sz w:val="50"/>
        </w:rPr>
      </w:pPr>
    </w:p>
    <w:p>
      <w:pPr>
        <w:pStyle w:val="Heading2"/>
        <w:spacing w:line="276" w:lineRule="auto"/>
      </w:pPr>
      <w:r>
        <w:rPr/>
        <w:t>General effect of curcumin on brain performance and protection of the brain</w:t>
      </w:r>
    </w:p>
    <w:p>
      <w:pPr>
        <w:spacing w:after="0" w:line="276" w:lineRule="auto"/>
        <w:sectPr>
          <w:pgSz w:w="14270" w:h="16850"/>
          <w:pgMar w:header="0" w:footer="1891" w:top="1600" w:bottom="2080" w:left="800" w:right="1280"/>
        </w:sectPr>
      </w:pPr>
    </w:p>
    <w:p>
      <w:pPr>
        <w:pStyle w:val="BodyText"/>
        <w:spacing w:line="276" w:lineRule="auto" w:before="181"/>
        <w:ind w:left="477" w:right="139"/>
        <w:jc w:val="both"/>
        <w:rPr>
          <w:sz w:val="25"/>
        </w:rPr>
      </w:pPr>
      <w:r>
        <w:rPr/>
        <w:t>Curcumin promotes the production of embryonic, neural progenitor cells and thus neurogenesis. In addition, curcumin can both prevent protein deposits in the brain and dissolve existing deposits, even at very low doses, according to Gregory Cole of the University of California (LA).</w:t>
      </w:r>
      <w:r>
        <w:rPr>
          <w:position w:val="9"/>
          <w:sz w:val="25"/>
        </w:rPr>
        <w:t>223</w:t>
      </w:r>
    </w:p>
    <w:p>
      <w:pPr>
        <w:pStyle w:val="BodyText"/>
        <w:spacing w:line="276" w:lineRule="auto" w:before="242"/>
        <w:ind w:left="477" w:right="141"/>
        <w:jc w:val="both"/>
      </w:pPr>
      <w:r>
        <w:rPr/>
        <w:t>In summary, curcumin reduces neurodegenerative processes, counteracts pro- tein</w:t>
      </w:r>
      <w:r>
        <w:rPr>
          <w:spacing w:val="-9"/>
        </w:rPr>
        <w:t> </w:t>
      </w:r>
      <w:r>
        <w:rPr/>
        <w:t>deposits</w:t>
      </w:r>
      <w:r>
        <w:rPr>
          <w:spacing w:val="-10"/>
        </w:rPr>
        <w:t> </w:t>
      </w:r>
      <w:r>
        <w:rPr/>
        <w:t>in</w:t>
      </w:r>
      <w:r>
        <w:rPr>
          <w:spacing w:val="-9"/>
        </w:rPr>
        <w:t> </w:t>
      </w:r>
      <w:r>
        <w:rPr/>
        <w:t>the</w:t>
      </w:r>
      <w:r>
        <w:rPr>
          <w:spacing w:val="-8"/>
        </w:rPr>
        <w:t> </w:t>
      </w:r>
      <w:r>
        <w:rPr/>
        <w:t>brain</w:t>
      </w:r>
      <w:r>
        <w:rPr>
          <w:spacing w:val="-10"/>
        </w:rPr>
        <w:t> </w:t>
      </w:r>
      <w:r>
        <w:rPr/>
        <w:t>and</w:t>
      </w:r>
      <w:r>
        <w:rPr>
          <w:spacing w:val="-9"/>
        </w:rPr>
        <w:t> </w:t>
      </w:r>
      <w:r>
        <w:rPr/>
        <w:t>even</w:t>
      </w:r>
      <w:r>
        <w:rPr>
          <w:spacing w:val="-9"/>
        </w:rPr>
        <w:t> </w:t>
      </w:r>
      <w:r>
        <w:rPr/>
        <w:t>dissolves</w:t>
      </w:r>
      <w:r>
        <w:rPr>
          <w:spacing w:val="-9"/>
        </w:rPr>
        <w:t> </w:t>
      </w:r>
      <w:r>
        <w:rPr/>
        <w:t>them.</w:t>
      </w:r>
      <w:r>
        <w:rPr>
          <w:spacing w:val="-8"/>
        </w:rPr>
        <w:t> </w:t>
      </w:r>
      <w:r>
        <w:rPr/>
        <w:t>It</w:t>
      </w:r>
      <w:r>
        <w:rPr>
          <w:spacing w:val="-10"/>
        </w:rPr>
        <w:t> </w:t>
      </w:r>
      <w:r>
        <w:rPr/>
        <w:t>also</w:t>
      </w:r>
      <w:r>
        <w:rPr>
          <w:spacing w:val="-9"/>
        </w:rPr>
        <w:t> </w:t>
      </w:r>
      <w:r>
        <w:rPr/>
        <w:t>neutralises</w:t>
      </w:r>
      <w:r>
        <w:rPr>
          <w:spacing w:val="-8"/>
        </w:rPr>
        <w:t> </w:t>
      </w:r>
      <w:r>
        <w:rPr/>
        <w:t>inflamma- tory processes and efficiently counteracts free radical</w:t>
      </w:r>
      <w:r>
        <w:rPr>
          <w:spacing w:val="-4"/>
        </w:rPr>
        <w:t> </w:t>
      </w:r>
      <w:r>
        <w:rPr/>
        <w:t>attacks.</w:t>
      </w:r>
    </w:p>
    <w:p>
      <w:pPr>
        <w:pStyle w:val="BodyText"/>
        <w:spacing w:line="276" w:lineRule="auto" w:before="239"/>
        <w:ind w:left="477" w:right="134"/>
        <w:jc w:val="both"/>
      </w:pPr>
      <w:r>
        <w:rPr/>
        <w:t>These</w:t>
      </w:r>
      <w:r>
        <w:rPr>
          <w:spacing w:val="-15"/>
        </w:rPr>
        <w:t> </w:t>
      </w:r>
      <w:r>
        <w:rPr/>
        <w:t>mechanisms</w:t>
      </w:r>
      <w:r>
        <w:rPr>
          <w:spacing w:val="-13"/>
        </w:rPr>
        <w:t> </w:t>
      </w:r>
      <w:r>
        <w:rPr/>
        <w:t>are</w:t>
      </w:r>
      <w:r>
        <w:rPr>
          <w:spacing w:val="-14"/>
        </w:rPr>
        <w:t> </w:t>
      </w:r>
      <w:r>
        <w:rPr/>
        <w:t>also</w:t>
      </w:r>
      <w:r>
        <w:rPr>
          <w:spacing w:val="-11"/>
        </w:rPr>
        <w:t> </w:t>
      </w:r>
      <w:r>
        <w:rPr/>
        <w:t>confirmed</w:t>
      </w:r>
      <w:r>
        <w:rPr>
          <w:spacing w:val="-14"/>
        </w:rPr>
        <w:t> </w:t>
      </w:r>
      <w:r>
        <w:rPr/>
        <w:t>by</w:t>
      </w:r>
      <w:r>
        <w:rPr>
          <w:spacing w:val="-14"/>
        </w:rPr>
        <w:t> </w:t>
      </w:r>
      <w:r>
        <w:rPr/>
        <w:t>a</w:t>
      </w:r>
      <w:r>
        <w:rPr>
          <w:spacing w:val="-16"/>
        </w:rPr>
        <w:t> </w:t>
      </w:r>
      <w:r>
        <w:rPr/>
        <w:t>study</w:t>
      </w:r>
      <w:r>
        <w:rPr>
          <w:spacing w:val="-14"/>
        </w:rPr>
        <w:t> </w:t>
      </w:r>
      <w:r>
        <w:rPr/>
        <w:t>by</w:t>
      </w:r>
      <w:r>
        <w:rPr>
          <w:spacing w:val="-14"/>
        </w:rPr>
        <w:t> </w:t>
      </w:r>
      <w:r>
        <w:rPr/>
        <w:t>Harvard</w:t>
      </w:r>
      <w:r>
        <w:rPr>
          <w:spacing w:val="-14"/>
        </w:rPr>
        <w:t> </w:t>
      </w:r>
      <w:r>
        <w:rPr/>
        <w:t>University</w:t>
      </w:r>
      <w:r>
        <w:rPr>
          <w:spacing w:val="-15"/>
        </w:rPr>
        <w:t> </w:t>
      </w:r>
      <w:r>
        <w:rPr/>
        <w:t>in</w:t>
      </w:r>
      <w:r>
        <w:rPr>
          <w:spacing w:val="-14"/>
        </w:rPr>
        <w:t> </w:t>
      </w:r>
      <w:r>
        <w:rPr/>
        <w:t>Bos- ton. The researchers also came to the conclusion that curcumin inhibits the death of</w:t>
      </w:r>
      <w:r>
        <w:rPr>
          <w:spacing w:val="1"/>
        </w:rPr>
        <w:t> </w:t>
      </w:r>
      <w:r>
        <w:rPr/>
        <w:t>neurites.</w:t>
      </w:r>
    </w:p>
    <w:p>
      <w:pPr>
        <w:pStyle w:val="Heading1"/>
        <w:jc w:val="both"/>
      </w:pPr>
      <w:r>
        <w:rPr/>
        <w:t>Effect on poor concentration – learning difficulties</w:t>
      </w:r>
    </w:p>
    <w:p>
      <w:pPr>
        <w:pStyle w:val="BodyText"/>
        <w:spacing w:line="276" w:lineRule="auto" w:before="297"/>
        <w:ind w:left="477" w:right="130"/>
        <w:jc w:val="both"/>
        <w:rPr>
          <w:sz w:val="25"/>
        </w:rPr>
      </w:pPr>
      <w:r>
        <w:rPr/>
        <w:t>In a study on 1010 persons aged between 60 and 93 years, the intake of curcu- min rich curry resulted in higher MMSE values. This mini-mental state exami- nation provides information about and is also the indicator of the mental ca- pacity of humans.</w:t>
      </w:r>
      <w:r>
        <w:rPr>
          <w:position w:val="9"/>
          <w:sz w:val="25"/>
        </w:rPr>
        <w:t>224</w:t>
      </w:r>
    </w:p>
    <w:p>
      <w:pPr>
        <w:pStyle w:val="Heading1"/>
        <w:spacing w:before="225"/>
        <w:jc w:val="both"/>
      </w:pPr>
      <w:r>
        <w:rPr/>
        <w:t>Effect of curcumin on Alzheimer's</w:t>
      </w:r>
    </w:p>
    <w:p>
      <w:pPr>
        <w:pStyle w:val="BodyText"/>
        <w:spacing w:line="276" w:lineRule="auto" w:before="299"/>
        <w:ind w:left="477" w:right="132"/>
        <w:jc w:val="both"/>
      </w:pPr>
      <w:r>
        <w:rPr/>
        <w:t>Curcumin has been proven to protect the brain from neurodegenerative dis- eases in many studies. Similar to atherosclerosis, Alzheimer's disease is</w:t>
      </w:r>
      <w:r>
        <w:rPr>
          <w:spacing w:val="-34"/>
        </w:rPr>
        <w:t> </w:t>
      </w:r>
      <w:r>
        <w:rPr/>
        <w:t>thought</w:t>
      </w:r>
    </w:p>
    <w:p>
      <w:pPr>
        <w:pStyle w:val="BodyText"/>
        <w:spacing w:before="7"/>
        <w:rPr>
          <w:sz w:val="27"/>
        </w:rPr>
      </w:pPr>
      <w:r>
        <w:rPr/>
        <w:pict>
          <v:line style="position:absolute;mso-position-horizontal-relative:page;mso-position-vertical-relative:paragraph;z-index:2264;mso-wrap-distance-left:0;mso-wrap-distance-right:0" from="63.863998pt,17.889984pt" to="207.883998pt,17.889984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223 </w:t>
      </w:r>
      <w:r>
        <w:rPr>
          <w:sz w:val="20"/>
        </w:rPr>
        <w:t>Journal of Biological Chemistry</w:t>
      </w:r>
    </w:p>
    <w:p>
      <w:pPr>
        <w:spacing w:before="92"/>
        <w:ind w:left="477" w:right="0" w:firstLine="0"/>
        <w:jc w:val="left"/>
        <w:rPr>
          <w:sz w:val="20"/>
        </w:rPr>
      </w:pPr>
      <w:r>
        <w:rPr>
          <w:position w:val="5"/>
          <w:sz w:val="13"/>
        </w:rPr>
        <w:t>224 </w:t>
      </w:r>
      <w:r>
        <w:rPr>
          <w:sz w:val="20"/>
        </w:rPr>
        <w:t>Klaus Oberbeil: Kurkuma – die heilende Kraft der Zauberknolle (‘Turmeric - The Healing Power of the Magic Tuber’), 6/2012 p. 49</w:t>
      </w:r>
    </w:p>
    <w:p>
      <w:pPr>
        <w:spacing w:after="0"/>
        <w:jc w:val="left"/>
        <w:rPr>
          <w:sz w:val="20"/>
        </w:rPr>
        <w:sectPr>
          <w:pgSz w:w="14270" w:h="16850"/>
          <w:pgMar w:header="0" w:footer="1891" w:top="1600" w:bottom="2080" w:left="800" w:right="1280"/>
        </w:sectPr>
      </w:pPr>
    </w:p>
    <w:p>
      <w:pPr>
        <w:pStyle w:val="BodyText"/>
        <w:spacing w:line="276" w:lineRule="auto" w:before="181"/>
        <w:ind w:left="477" w:right="135"/>
        <w:jc w:val="both"/>
      </w:pPr>
      <w:r>
        <w:rPr/>
        <w:t>to be caused by the deposit of plaques (amyloid plaques) in the area where the nerve cells are located. This leads to the interruption of the neurological con- duction of signals with corresponding loss of function.</w:t>
      </w:r>
    </w:p>
    <w:p>
      <w:pPr>
        <w:pStyle w:val="BodyText"/>
        <w:spacing w:line="276" w:lineRule="auto" w:before="242"/>
        <w:ind w:left="477" w:right="136"/>
        <w:jc w:val="both"/>
      </w:pPr>
      <w:r>
        <w:rPr/>
        <w:t>Since this deposition is only possible under oxidation and curcumin is able to prevent it as a powerful antioxidant, it can effectively protect against Alzhei- mer's.</w:t>
      </w:r>
    </w:p>
    <w:p>
      <w:pPr>
        <w:pStyle w:val="BodyText"/>
        <w:spacing w:line="276" w:lineRule="auto" w:before="239"/>
        <w:ind w:left="477" w:right="130"/>
        <w:jc w:val="both"/>
      </w:pPr>
      <w:r>
        <w:rPr/>
        <w:t>Interestingly, it can also positively affect pre-existing Alzheimer's by passing through the blood-brain barrier and can dissolve the existing deposits in the brain,</w:t>
      </w:r>
      <w:r>
        <w:rPr>
          <w:spacing w:val="-20"/>
        </w:rPr>
        <w:t> </w:t>
      </w:r>
      <w:r>
        <w:rPr/>
        <w:t>as</w:t>
      </w:r>
      <w:r>
        <w:rPr>
          <w:spacing w:val="-19"/>
        </w:rPr>
        <w:t> </w:t>
      </w:r>
      <w:r>
        <w:rPr/>
        <w:t>Gregory</w:t>
      </w:r>
      <w:r>
        <w:rPr>
          <w:spacing w:val="-18"/>
        </w:rPr>
        <w:t> </w:t>
      </w:r>
      <w:r>
        <w:rPr/>
        <w:t>Cole</w:t>
      </w:r>
      <w:r>
        <w:rPr>
          <w:spacing w:val="-19"/>
        </w:rPr>
        <w:t> </w:t>
      </w:r>
      <w:r>
        <w:rPr/>
        <w:t>of</w:t>
      </w:r>
      <w:r>
        <w:rPr>
          <w:spacing w:val="-19"/>
        </w:rPr>
        <w:t> </w:t>
      </w:r>
      <w:r>
        <w:rPr/>
        <w:t>the</w:t>
      </w:r>
      <w:r>
        <w:rPr>
          <w:spacing w:val="-17"/>
        </w:rPr>
        <w:t> </w:t>
      </w:r>
      <w:r>
        <w:rPr/>
        <w:t>University</w:t>
      </w:r>
      <w:r>
        <w:rPr>
          <w:spacing w:val="-20"/>
        </w:rPr>
        <w:t> </w:t>
      </w:r>
      <w:r>
        <w:rPr/>
        <w:t>of</w:t>
      </w:r>
      <w:r>
        <w:rPr>
          <w:spacing w:val="-20"/>
        </w:rPr>
        <w:t> </w:t>
      </w:r>
      <w:r>
        <w:rPr/>
        <w:t>California</w:t>
      </w:r>
      <w:r>
        <w:rPr>
          <w:spacing w:val="-20"/>
        </w:rPr>
        <w:t> </w:t>
      </w:r>
      <w:r>
        <w:rPr/>
        <w:t>has</w:t>
      </w:r>
      <w:r>
        <w:rPr>
          <w:spacing w:val="-18"/>
        </w:rPr>
        <w:t> </w:t>
      </w:r>
      <w:r>
        <w:rPr/>
        <w:t>found.</w:t>
      </w:r>
      <w:r>
        <w:rPr>
          <w:spacing w:val="-20"/>
        </w:rPr>
        <w:t> </w:t>
      </w:r>
      <w:r>
        <w:rPr/>
        <w:t>This</w:t>
      </w:r>
      <w:r>
        <w:rPr>
          <w:spacing w:val="-18"/>
        </w:rPr>
        <w:t> </w:t>
      </w:r>
      <w:r>
        <w:rPr/>
        <w:t>extremely important</w:t>
      </w:r>
      <w:r>
        <w:rPr>
          <w:spacing w:val="-8"/>
        </w:rPr>
        <w:t> </w:t>
      </w:r>
      <w:r>
        <w:rPr/>
        <w:t>aspect</w:t>
      </w:r>
      <w:r>
        <w:rPr>
          <w:spacing w:val="-8"/>
        </w:rPr>
        <w:t> </w:t>
      </w:r>
      <w:r>
        <w:rPr/>
        <w:t>of</w:t>
      </w:r>
      <w:r>
        <w:rPr>
          <w:spacing w:val="-7"/>
        </w:rPr>
        <w:t> </w:t>
      </w:r>
      <w:r>
        <w:rPr/>
        <w:t>Alzheimer's</w:t>
      </w:r>
      <w:r>
        <w:rPr>
          <w:spacing w:val="-12"/>
        </w:rPr>
        <w:t> </w:t>
      </w:r>
      <w:r>
        <w:rPr/>
        <w:t>treatment</w:t>
      </w:r>
      <w:r>
        <w:rPr>
          <w:spacing w:val="-7"/>
        </w:rPr>
        <w:t> </w:t>
      </w:r>
      <w:r>
        <w:rPr/>
        <w:t>was</w:t>
      </w:r>
      <w:r>
        <w:rPr>
          <w:spacing w:val="-7"/>
        </w:rPr>
        <w:t> </w:t>
      </w:r>
      <w:r>
        <w:rPr/>
        <w:t>published</w:t>
      </w:r>
      <w:r>
        <w:rPr>
          <w:spacing w:val="-8"/>
        </w:rPr>
        <w:t> </w:t>
      </w:r>
      <w:r>
        <w:rPr/>
        <w:t>in</w:t>
      </w:r>
      <w:r>
        <w:rPr>
          <w:spacing w:val="-7"/>
        </w:rPr>
        <w:t> </w:t>
      </w:r>
      <w:r>
        <w:rPr/>
        <w:t>the</w:t>
      </w:r>
      <w:r>
        <w:rPr>
          <w:spacing w:val="-8"/>
        </w:rPr>
        <w:t> </w:t>
      </w:r>
      <w:r>
        <w:rPr/>
        <w:t>Journal</w:t>
      </w:r>
      <w:r>
        <w:rPr>
          <w:spacing w:val="-8"/>
        </w:rPr>
        <w:t> </w:t>
      </w:r>
      <w:r>
        <w:rPr/>
        <w:t>of</w:t>
      </w:r>
      <w:r>
        <w:rPr>
          <w:spacing w:val="-8"/>
        </w:rPr>
        <w:t> </w:t>
      </w:r>
      <w:r>
        <w:rPr/>
        <w:t>Bio- logical</w:t>
      </w:r>
      <w:r>
        <w:rPr>
          <w:spacing w:val="-1"/>
        </w:rPr>
        <w:t> </w:t>
      </w:r>
      <w:r>
        <w:rPr/>
        <w:t>Chemistry.</w:t>
      </w:r>
    </w:p>
    <w:p>
      <w:pPr>
        <w:pStyle w:val="BodyText"/>
        <w:spacing w:line="276" w:lineRule="auto" w:before="239"/>
        <w:ind w:left="477" w:right="130"/>
        <w:jc w:val="both"/>
      </w:pPr>
      <w:r>
        <w:rPr/>
        <w:t>According to a study at the Chinese University of Hong Kong, curcumin is likely</w:t>
      </w:r>
      <w:r>
        <w:rPr>
          <w:spacing w:val="-13"/>
        </w:rPr>
        <w:t> </w:t>
      </w:r>
      <w:r>
        <w:rPr/>
        <w:t>to</w:t>
      </w:r>
      <w:r>
        <w:rPr>
          <w:spacing w:val="-11"/>
        </w:rPr>
        <w:t> </w:t>
      </w:r>
      <w:r>
        <w:rPr/>
        <w:t>dissolve</w:t>
      </w:r>
      <w:r>
        <w:rPr>
          <w:spacing w:val="-13"/>
        </w:rPr>
        <w:t> </w:t>
      </w:r>
      <w:r>
        <w:rPr/>
        <w:t>β-amyloid</w:t>
      </w:r>
      <w:r>
        <w:rPr>
          <w:spacing w:val="-12"/>
        </w:rPr>
        <w:t> </w:t>
      </w:r>
      <w:r>
        <w:rPr/>
        <w:t>deposits</w:t>
      </w:r>
      <w:r>
        <w:rPr>
          <w:spacing w:val="-12"/>
        </w:rPr>
        <w:t> </w:t>
      </w:r>
      <w:r>
        <w:rPr/>
        <w:t>in</w:t>
      </w:r>
      <w:r>
        <w:rPr>
          <w:spacing w:val="-13"/>
        </w:rPr>
        <w:t> </w:t>
      </w:r>
      <w:r>
        <w:rPr/>
        <w:t>the</w:t>
      </w:r>
      <w:r>
        <w:rPr>
          <w:spacing w:val="-11"/>
        </w:rPr>
        <w:t> </w:t>
      </w:r>
      <w:r>
        <w:rPr/>
        <w:t>brain.</w:t>
      </w:r>
      <w:r>
        <w:rPr>
          <w:spacing w:val="-16"/>
        </w:rPr>
        <w:t> </w:t>
      </w:r>
      <w:r>
        <w:rPr/>
        <w:t>It</w:t>
      </w:r>
      <w:r>
        <w:rPr>
          <w:spacing w:val="-13"/>
        </w:rPr>
        <w:t> </w:t>
      </w:r>
      <w:r>
        <w:rPr/>
        <w:t>also</w:t>
      </w:r>
      <w:r>
        <w:rPr>
          <w:spacing w:val="-11"/>
        </w:rPr>
        <w:t> </w:t>
      </w:r>
      <w:r>
        <w:rPr/>
        <w:t>activates</w:t>
      </w:r>
      <w:r>
        <w:rPr>
          <w:spacing w:val="-12"/>
        </w:rPr>
        <w:t> </w:t>
      </w:r>
      <w:r>
        <w:rPr/>
        <w:t>the</w:t>
      </w:r>
      <w:r>
        <w:rPr>
          <w:spacing w:val="-11"/>
        </w:rPr>
        <w:t> </w:t>
      </w:r>
      <w:r>
        <w:rPr/>
        <w:t>Nrf2</w:t>
      </w:r>
      <w:r>
        <w:rPr>
          <w:spacing w:val="-12"/>
        </w:rPr>
        <w:t> </w:t>
      </w:r>
      <w:r>
        <w:rPr/>
        <w:t>tran- scription factor, thereby enhancing the spread and activity of heme oxygenase- 1 in cell cultures of neurons and</w:t>
      </w:r>
      <w:r>
        <w:rPr>
          <w:spacing w:val="-3"/>
        </w:rPr>
        <w:t> </w:t>
      </w:r>
      <w:r>
        <w:rPr/>
        <w:t>astrocytes.</w:t>
      </w:r>
    </w:p>
    <w:p>
      <w:pPr>
        <w:pStyle w:val="Heading1"/>
        <w:spacing w:before="225"/>
        <w:jc w:val="both"/>
        <w:rPr>
          <w:b w:val="0"/>
          <w:i w:val="0"/>
          <w:sz w:val="38"/>
        </w:rPr>
      </w:pPr>
      <w:r>
        <w:rPr/>
        <w:t>Effect against inflammatory diseases, including arthritis</w:t>
      </w:r>
      <w:r>
        <w:rPr>
          <w:b w:val="0"/>
          <w:i w:val="0"/>
          <w:sz w:val="38"/>
        </w:rPr>
        <w:t>.</w:t>
      </w:r>
    </w:p>
    <w:p>
      <w:pPr>
        <w:pStyle w:val="BodyText"/>
        <w:spacing w:line="276" w:lineRule="auto" w:before="299"/>
        <w:ind w:left="477" w:right="137"/>
        <w:jc w:val="both"/>
      </w:pPr>
      <w:r>
        <w:rPr/>
        <w:t>Arthritis is an autoimmune disease. Due to its proven immunomodulating ef- fect, curcumin can condition the immune system to prevent the inflammatory reactions. In a double-blind study, the intake of curcumin in had the following effects on</w:t>
      </w:r>
    </w:p>
    <w:p>
      <w:pPr>
        <w:pStyle w:val="ListParagraph"/>
        <w:numPr>
          <w:ilvl w:val="0"/>
          <w:numId w:val="26"/>
        </w:numPr>
        <w:tabs>
          <w:tab w:pos="987" w:val="left" w:leader="none"/>
        </w:tabs>
        <w:spacing w:line="240" w:lineRule="auto" w:before="241" w:after="0"/>
        <w:ind w:left="986" w:right="0" w:hanging="509"/>
        <w:jc w:val="both"/>
        <w:rPr>
          <w:sz w:val="38"/>
        </w:rPr>
      </w:pPr>
      <w:r>
        <w:rPr>
          <w:sz w:val="38"/>
        </w:rPr>
        <w:t>decreasing joint</w:t>
      </w:r>
      <w:r>
        <w:rPr>
          <w:spacing w:val="1"/>
          <w:sz w:val="38"/>
        </w:rPr>
        <w:t> </w:t>
      </w:r>
      <w:r>
        <w:rPr>
          <w:sz w:val="38"/>
        </w:rPr>
        <w:t>swelling</w:t>
      </w:r>
    </w:p>
    <w:p>
      <w:pPr>
        <w:spacing w:after="0" w:line="240" w:lineRule="auto"/>
        <w:jc w:val="both"/>
        <w:rPr>
          <w:sz w:val="38"/>
        </w:rPr>
        <w:sectPr>
          <w:pgSz w:w="14270" w:h="16850"/>
          <w:pgMar w:header="0" w:footer="1891" w:top="1600" w:bottom="2080" w:left="800" w:right="1280"/>
        </w:sectPr>
      </w:pPr>
    </w:p>
    <w:p>
      <w:pPr>
        <w:pStyle w:val="BodyText"/>
        <w:spacing w:before="10"/>
        <w:rPr>
          <w:sz w:val="8"/>
        </w:rPr>
      </w:pPr>
    </w:p>
    <w:p>
      <w:pPr>
        <w:pStyle w:val="ListParagraph"/>
        <w:numPr>
          <w:ilvl w:val="0"/>
          <w:numId w:val="26"/>
        </w:numPr>
        <w:tabs>
          <w:tab w:pos="985" w:val="left" w:leader="none"/>
          <w:tab w:pos="987" w:val="left" w:leader="none"/>
        </w:tabs>
        <w:spacing w:line="240" w:lineRule="auto" w:before="83" w:after="0"/>
        <w:ind w:left="986" w:right="0" w:hanging="509"/>
        <w:jc w:val="left"/>
        <w:rPr>
          <w:sz w:val="38"/>
        </w:rPr>
      </w:pPr>
      <w:r>
        <w:rPr>
          <w:sz w:val="38"/>
        </w:rPr>
        <w:t>decreasing morning</w:t>
      </w:r>
      <w:r>
        <w:rPr>
          <w:spacing w:val="1"/>
          <w:sz w:val="38"/>
        </w:rPr>
        <w:t> </w:t>
      </w:r>
      <w:r>
        <w:rPr>
          <w:sz w:val="38"/>
        </w:rPr>
        <w:t>stiffness</w:t>
      </w:r>
    </w:p>
    <w:p>
      <w:pPr>
        <w:pStyle w:val="ListParagraph"/>
        <w:numPr>
          <w:ilvl w:val="0"/>
          <w:numId w:val="26"/>
        </w:numPr>
        <w:tabs>
          <w:tab w:pos="985" w:val="left" w:leader="none"/>
          <w:tab w:pos="987" w:val="left" w:leader="none"/>
        </w:tabs>
        <w:spacing w:line="240" w:lineRule="auto" w:before="64" w:after="0"/>
        <w:ind w:left="986" w:right="0" w:hanging="509"/>
        <w:jc w:val="left"/>
        <w:rPr>
          <w:sz w:val="38"/>
        </w:rPr>
      </w:pPr>
      <w:r>
        <w:rPr>
          <w:sz w:val="38"/>
        </w:rPr>
        <w:t>improved</w:t>
      </w:r>
      <w:r>
        <w:rPr>
          <w:spacing w:val="-1"/>
          <w:sz w:val="38"/>
        </w:rPr>
        <w:t> </w:t>
      </w:r>
      <w:r>
        <w:rPr>
          <w:sz w:val="38"/>
        </w:rPr>
        <w:t>mobility</w:t>
      </w:r>
    </w:p>
    <w:p>
      <w:pPr>
        <w:pStyle w:val="BodyText"/>
        <w:spacing w:line="276" w:lineRule="auto" w:before="304"/>
        <w:ind w:left="477"/>
      </w:pPr>
      <w:r>
        <w:rPr/>
        <w:t>Specifically, inflammatory reactions are suppressed via the following mecha- nisms:</w:t>
      </w:r>
    </w:p>
    <w:p>
      <w:pPr>
        <w:pStyle w:val="ListParagraph"/>
        <w:numPr>
          <w:ilvl w:val="0"/>
          <w:numId w:val="26"/>
        </w:numPr>
        <w:tabs>
          <w:tab w:pos="987" w:val="left" w:leader="none"/>
        </w:tabs>
        <w:spacing w:line="240" w:lineRule="auto" w:before="120" w:after="0"/>
        <w:ind w:left="986" w:right="0" w:hanging="509"/>
        <w:jc w:val="both"/>
        <w:rPr>
          <w:sz w:val="38"/>
        </w:rPr>
      </w:pPr>
      <w:r>
        <w:rPr>
          <w:sz w:val="38"/>
        </w:rPr>
        <w:t>COX-2</w:t>
      </w:r>
      <w:r>
        <w:rPr>
          <w:spacing w:val="-2"/>
          <w:sz w:val="38"/>
        </w:rPr>
        <w:t> </w:t>
      </w:r>
      <w:r>
        <w:rPr>
          <w:sz w:val="38"/>
        </w:rPr>
        <w:t>inhibition</w:t>
      </w:r>
    </w:p>
    <w:p>
      <w:pPr>
        <w:pStyle w:val="ListParagraph"/>
        <w:numPr>
          <w:ilvl w:val="0"/>
          <w:numId w:val="26"/>
        </w:numPr>
        <w:tabs>
          <w:tab w:pos="987" w:val="left" w:leader="none"/>
        </w:tabs>
        <w:spacing w:line="240" w:lineRule="auto" w:before="64" w:after="0"/>
        <w:ind w:left="986" w:right="0" w:hanging="509"/>
        <w:jc w:val="both"/>
        <w:rPr>
          <w:sz w:val="38"/>
        </w:rPr>
      </w:pPr>
      <w:r>
        <w:rPr>
          <w:sz w:val="38"/>
        </w:rPr>
        <w:t>inhibition of lipoxygenase</w:t>
      </w:r>
      <w:r>
        <w:rPr>
          <w:spacing w:val="2"/>
          <w:sz w:val="38"/>
        </w:rPr>
        <w:t> </w:t>
      </w:r>
      <w:r>
        <w:rPr>
          <w:sz w:val="38"/>
        </w:rPr>
        <w:t>(LOX)</w:t>
      </w:r>
    </w:p>
    <w:p>
      <w:pPr>
        <w:pStyle w:val="ListParagraph"/>
        <w:numPr>
          <w:ilvl w:val="0"/>
          <w:numId w:val="26"/>
        </w:numPr>
        <w:tabs>
          <w:tab w:pos="987" w:val="left" w:leader="none"/>
        </w:tabs>
        <w:spacing w:line="240" w:lineRule="auto" w:before="66" w:after="0"/>
        <w:ind w:left="986" w:right="0" w:hanging="509"/>
        <w:jc w:val="both"/>
        <w:rPr>
          <w:sz w:val="38"/>
        </w:rPr>
      </w:pPr>
      <w:r>
        <w:rPr>
          <w:sz w:val="38"/>
        </w:rPr>
        <w:t>inhibition of</w:t>
      </w:r>
      <w:r>
        <w:rPr>
          <w:spacing w:val="-1"/>
          <w:sz w:val="38"/>
        </w:rPr>
        <w:t> </w:t>
      </w:r>
      <w:r>
        <w:rPr>
          <w:sz w:val="38"/>
        </w:rPr>
        <w:t>NF-kb</w:t>
      </w:r>
    </w:p>
    <w:p>
      <w:pPr>
        <w:pStyle w:val="ListParagraph"/>
        <w:numPr>
          <w:ilvl w:val="0"/>
          <w:numId w:val="26"/>
        </w:numPr>
        <w:tabs>
          <w:tab w:pos="987" w:val="left" w:leader="none"/>
        </w:tabs>
        <w:spacing w:line="240" w:lineRule="auto" w:before="64" w:after="0"/>
        <w:ind w:left="986" w:right="0" w:hanging="509"/>
        <w:jc w:val="both"/>
        <w:rPr>
          <w:sz w:val="38"/>
        </w:rPr>
      </w:pPr>
      <w:r>
        <w:rPr>
          <w:sz w:val="38"/>
        </w:rPr>
        <w:t>inhibition of prostaglandin E2</w:t>
      </w:r>
      <w:r>
        <w:rPr>
          <w:spacing w:val="1"/>
          <w:sz w:val="38"/>
        </w:rPr>
        <w:t> </w:t>
      </w:r>
      <w:r>
        <w:rPr>
          <w:sz w:val="38"/>
        </w:rPr>
        <w:t>synthesis</w:t>
      </w:r>
    </w:p>
    <w:p>
      <w:pPr>
        <w:pStyle w:val="ListParagraph"/>
        <w:numPr>
          <w:ilvl w:val="0"/>
          <w:numId w:val="26"/>
        </w:numPr>
        <w:tabs>
          <w:tab w:pos="987" w:val="left" w:leader="none"/>
        </w:tabs>
        <w:spacing w:line="240" w:lineRule="auto" w:before="63" w:after="0"/>
        <w:ind w:left="986" w:right="0" w:hanging="509"/>
        <w:jc w:val="both"/>
        <w:rPr>
          <w:sz w:val="38"/>
        </w:rPr>
      </w:pPr>
      <w:r>
        <w:rPr>
          <w:sz w:val="38"/>
        </w:rPr>
        <w:t>formation of inducible NO synthase (iNOS)</w:t>
      </w:r>
    </w:p>
    <w:p>
      <w:pPr>
        <w:pStyle w:val="BodyText"/>
        <w:spacing w:line="276" w:lineRule="auto" w:before="303"/>
        <w:ind w:left="477" w:right="133"/>
        <w:jc w:val="both"/>
      </w:pPr>
      <w:r>
        <w:rPr/>
        <w:t>Furthermore,</w:t>
      </w:r>
      <w:r>
        <w:rPr>
          <w:spacing w:val="-22"/>
        </w:rPr>
        <w:t> </w:t>
      </w:r>
      <w:r>
        <w:rPr/>
        <w:t>curcumin</w:t>
      </w:r>
      <w:r>
        <w:rPr>
          <w:spacing w:val="-22"/>
        </w:rPr>
        <w:t> </w:t>
      </w:r>
      <w:r>
        <w:rPr/>
        <w:t>inhibits</w:t>
      </w:r>
      <w:r>
        <w:rPr>
          <w:spacing w:val="-21"/>
        </w:rPr>
        <w:t> </w:t>
      </w:r>
      <w:r>
        <w:rPr/>
        <w:t>the</w:t>
      </w:r>
      <w:r>
        <w:rPr>
          <w:spacing w:val="-21"/>
        </w:rPr>
        <w:t> </w:t>
      </w:r>
      <w:r>
        <w:rPr/>
        <w:t>production</w:t>
      </w:r>
      <w:r>
        <w:rPr>
          <w:spacing w:val="-21"/>
        </w:rPr>
        <w:t> </w:t>
      </w:r>
      <w:r>
        <w:rPr/>
        <w:t>of</w:t>
      </w:r>
      <w:r>
        <w:rPr>
          <w:spacing w:val="-23"/>
        </w:rPr>
        <w:t> </w:t>
      </w:r>
      <w:r>
        <w:rPr/>
        <w:t>proinflammatory</w:t>
      </w:r>
      <w:r>
        <w:rPr>
          <w:spacing w:val="-22"/>
        </w:rPr>
        <w:t> </w:t>
      </w:r>
      <w:r>
        <w:rPr/>
        <w:t>messengers such as interleukins 1, 2, 6, 8 and 12, interferon-gamma and tumour necrosis factor-alpha.</w:t>
      </w:r>
    </w:p>
    <w:p>
      <w:pPr>
        <w:pStyle w:val="BodyText"/>
        <w:spacing w:line="276" w:lineRule="auto" w:before="241"/>
        <w:ind w:left="477" w:right="133"/>
        <w:jc w:val="both"/>
      </w:pPr>
      <w:r>
        <w:rPr/>
        <w:t>Inflammatory diseases are also significantly caused by free radicals. Curcumin has extremely strong antioxidant properties and can efficiently counteract this formation</w:t>
      </w:r>
      <w:r>
        <w:rPr>
          <w:spacing w:val="-16"/>
        </w:rPr>
        <w:t> </w:t>
      </w:r>
      <w:r>
        <w:rPr/>
        <w:t>mechanism.</w:t>
      </w:r>
      <w:r>
        <w:rPr>
          <w:spacing w:val="-15"/>
        </w:rPr>
        <w:t> </w:t>
      </w:r>
      <w:r>
        <w:rPr/>
        <w:t>Another</w:t>
      </w:r>
      <w:r>
        <w:rPr>
          <w:spacing w:val="-19"/>
        </w:rPr>
        <w:t> </w:t>
      </w:r>
      <w:r>
        <w:rPr/>
        <w:t>mechanism</w:t>
      </w:r>
      <w:r>
        <w:rPr>
          <w:spacing w:val="-15"/>
        </w:rPr>
        <w:t> </w:t>
      </w:r>
      <w:r>
        <w:rPr/>
        <w:t>within</w:t>
      </w:r>
      <w:r>
        <w:rPr>
          <w:spacing w:val="-15"/>
        </w:rPr>
        <w:t> </w:t>
      </w:r>
      <w:r>
        <w:rPr/>
        <w:t>arthritis</w:t>
      </w:r>
      <w:r>
        <w:rPr>
          <w:spacing w:val="-16"/>
        </w:rPr>
        <w:t> </w:t>
      </w:r>
      <w:r>
        <w:rPr/>
        <w:t>is</w:t>
      </w:r>
      <w:r>
        <w:rPr>
          <w:spacing w:val="-16"/>
        </w:rPr>
        <w:t> </w:t>
      </w:r>
      <w:r>
        <w:rPr/>
        <w:t>histamine</w:t>
      </w:r>
      <w:r>
        <w:rPr>
          <w:spacing w:val="-17"/>
        </w:rPr>
        <w:t> </w:t>
      </w:r>
      <w:r>
        <w:rPr/>
        <w:t>release, which curcumin can also affect. Numerous studies have shown curcumin to</w:t>
      </w:r>
      <w:r>
        <w:rPr>
          <w:spacing w:val="-56"/>
        </w:rPr>
        <w:t> </w:t>
      </w:r>
      <w:r>
        <w:rPr/>
        <w:t>be just as effective or even more effective against inflammation in the body than the traditional inflammation blockers of conventional medicine (ibuprofen, as- pirin, etc.), and without any side</w:t>
      </w:r>
      <w:r>
        <w:rPr>
          <w:spacing w:val="-1"/>
        </w:rPr>
        <w:t> </w:t>
      </w:r>
      <w:r>
        <w:rPr/>
        <w:t>effects!</w:t>
      </w:r>
    </w:p>
    <w:p>
      <w:pPr>
        <w:pStyle w:val="BodyText"/>
        <w:spacing w:line="276" w:lineRule="auto" w:before="241"/>
        <w:ind w:left="477"/>
      </w:pPr>
      <w:r>
        <w:rPr/>
        <w:t>The</w:t>
      </w:r>
      <w:r>
        <w:rPr>
          <w:spacing w:val="-17"/>
        </w:rPr>
        <w:t> </w:t>
      </w:r>
      <w:r>
        <w:rPr/>
        <w:t>effect</w:t>
      </w:r>
      <w:r>
        <w:rPr>
          <w:spacing w:val="-16"/>
        </w:rPr>
        <w:t> </w:t>
      </w:r>
      <w:r>
        <w:rPr/>
        <w:t>of</w:t>
      </w:r>
      <w:r>
        <w:rPr>
          <w:spacing w:val="-16"/>
        </w:rPr>
        <w:t> </w:t>
      </w:r>
      <w:r>
        <w:rPr/>
        <w:t>curcumin</w:t>
      </w:r>
      <w:r>
        <w:rPr>
          <w:spacing w:val="-16"/>
        </w:rPr>
        <w:t> </w:t>
      </w:r>
      <w:r>
        <w:rPr/>
        <w:t>on</w:t>
      </w:r>
      <w:r>
        <w:rPr>
          <w:spacing w:val="-16"/>
        </w:rPr>
        <w:t> </w:t>
      </w:r>
      <w:r>
        <w:rPr/>
        <w:t>arthritis</w:t>
      </w:r>
      <w:r>
        <w:rPr>
          <w:spacing w:val="-16"/>
        </w:rPr>
        <w:t> </w:t>
      </w:r>
      <w:r>
        <w:rPr/>
        <w:t>is</w:t>
      </w:r>
      <w:r>
        <w:rPr>
          <w:spacing w:val="-17"/>
        </w:rPr>
        <w:t> </w:t>
      </w:r>
      <w:r>
        <w:rPr/>
        <w:t>so</w:t>
      </w:r>
      <w:r>
        <w:rPr>
          <w:spacing w:val="-15"/>
        </w:rPr>
        <w:t> </w:t>
      </w:r>
      <w:r>
        <w:rPr/>
        <w:t>convincing</w:t>
      </w:r>
      <w:r>
        <w:rPr>
          <w:spacing w:val="-16"/>
        </w:rPr>
        <w:t> </w:t>
      </w:r>
      <w:r>
        <w:rPr/>
        <w:t>that</w:t>
      </w:r>
      <w:r>
        <w:rPr>
          <w:spacing w:val="-17"/>
        </w:rPr>
        <w:t> </w:t>
      </w:r>
      <w:r>
        <w:rPr/>
        <w:t>even</w:t>
      </w:r>
      <w:r>
        <w:rPr>
          <w:spacing w:val="-16"/>
        </w:rPr>
        <w:t> </w:t>
      </w:r>
      <w:r>
        <w:rPr/>
        <w:t>the</w:t>
      </w:r>
      <w:r>
        <w:rPr>
          <w:spacing w:val="-15"/>
        </w:rPr>
        <w:t> </w:t>
      </w:r>
      <w:r>
        <w:rPr/>
        <w:t>WHO</w:t>
      </w:r>
      <w:r>
        <w:rPr>
          <w:spacing w:val="-18"/>
        </w:rPr>
        <w:t> </w:t>
      </w:r>
      <w:r>
        <w:rPr/>
        <w:t>(World Health</w:t>
      </w:r>
      <w:r>
        <w:rPr>
          <w:spacing w:val="29"/>
        </w:rPr>
        <w:t> </w:t>
      </w:r>
      <w:r>
        <w:rPr/>
        <w:t>Organization)</w:t>
      </w:r>
      <w:r>
        <w:rPr>
          <w:spacing w:val="29"/>
        </w:rPr>
        <w:t> </w:t>
      </w:r>
      <w:r>
        <w:rPr/>
        <w:t>recommends</w:t>
      </w:r>
      <w:r>
        <w:rPr>
          <w:spacing w:val="30"/>
        </w:rPr>
        <w:t> </w:t>
      </w:r>
      <w:r>
        <w:rPr/>
        <w:t>its</w:t>
      </w:r>
      <w:r>
        <w:rPr>
          <w:spacing w:val="29"/>
        </w:rPr>
        <w:t> </w:t>
      </w:r>
      <w:r>
        <w:rPr/>
        <w:t>use</w:t>
      </w:r>
      <w:r>
        <w:rPr>
          <w:spacing w:val="29"/>
        </w:rPr>
        <w:t> </w:t>
      </w:r>
      <w:r>
        <w:rPr/>
        <w:t>to</w:t>
      </w:r>
      <w:r>
        <w:rPr>
          <w:spacing w:val="27"/>
        </w:rPr>
        <w:t> </w:t>
      </w:r>
      <w:r>
        <w:rPr/>
        <w:t>tackle</w:t>
      </w:r>
      <w:r>
        <w:rPr>
          <w:spacing w:val="28"/>
        </w:rPr>
        <w:t> </w:t>
      </w:r>
      <w:r>
        <w:rPr/>
        <w:t>arthritis</w:t>
      </w:r>
      <w:r>
        <w:rPr>
          <w:spacing w:val="29"/>
        </w:rPr>
        <w:t> </w:t>
      </w:r>
      <w:r>
        <w:rPr/>
        <w:t>and</w:t>
      </w:r>
      <w:r>
        <w:rPr>
          <w:spacing w:val="30"/>
        </w:rPr>
        <w:t> </w:t>
      </w:r>
      <w:r>
        <w:rPr/>
        <w:t>rheumatism.</w:t>
      </w:r>
    </w:p>
    <w:p>
      <w:pPr>
        <w:spacing w:after="0" w:line="276" w:lineRule="auto"/>
        <w:sectPr>
          <w:pgSz w:w="14270" w:h="16850"/>
          <w:pgMar w:header="0" w:footer="1891" w:top="1600" w:bottom="2080" w:left="800" w:right="1280"/>
        </w:sectPr>
      </w:pPr>
    </w:p>
    <w:p>
      <w:pPr>
        <w:pStyle w:val="BodyText"/>
        <w:spacing w:line="276" w:lineRule="auto" w:before="181"/>
        <w:ind w:left="477" w:right="131"/>
        <w:jc w:val="both"/>
      </w:pPr>
      <w:r>
        <w:rPr/>
        <w:t>Here, curcumin can replace side-effect-producing NSAIDs whose long-term use often leads to gastrointestinal problems and even heart disease.</w:t>
      </w:r>
    </w:p>
    <w:p>
      <w:pPr>
        <w:pStyle w:val="Heading1"/>
      </w:pPr>
      <w:r>
        <w:rPr/>
        <w:t>Curcumin combats uveitis (inflammation of the middle eye skin)</w:t>
      </w:r>
    </w:p>
    <w:p>
      <w:pPr>
        <w:pStyle w:val="BodyText"/>
        <w:spacing w:line="276" w:lineRule="auto" w:before="299"/>
        <w:ind w:left="477" w:right="137"/>
        <w:jc w:val="both"/>
      </w:pPr>
      <w:r>
        <w:rPr/>
        <w:t>In a study on 32 patients given 375 mg of curcumin 3 times a day for three months,</w:t>
      </w:r>
      <w:r>
        <w:rPr>
          <w:spacing w:val="-24"/>
        </w:rPr>
        <w:t> </w:t>
      </w:r>
      <w:r>
        <w:rPr/>
        <w:t>13</w:t>
      </w:r>
      <w:r>
        <w:rPr>
          <w:spacing w:val="-25"/>
        </w:rPr>
        <w:t> </w:t>
      </w:r>
      <w:r>
        <w:rPr/>
        <w:t>of</w:t>
      </w:r>
      <w:r>
        <w:rPr>
          <w:spacing w:val="-24"/>
        </w:rPr>
        <w:t> </w:t>
      </w:r>
      <w:r>
        <w:rPr/>
        <w:t>the</w:t>
      </w:r>
      <w:r>
        <w:rPr>
          <w:spacing w:val="-24"/>
        </w:rPr>
        <w:t> </w:t>
      </w:r>
      <w:r>
        <w:rPr/>
        <w:t>patients</w:t>
      </w:r>
      <w:r>
        <w:rPr>
          <w:spacing w:val="-24"/>
        </w:rPr>
        <w:t> </w:t>
      </w:r>
      <w:r>
        <w:rPr/>
        <w:t>were</w:t>
      </w:r>
      <w:r>
        <w:rPr>
          <w:spacing w:val="-24"/>
        </w:rPr>
        <w:t> </w:t>
      </w:r>
      <w:r>
        <w:rPr/>
        <w:t>permanently</w:t>
      </w:r>
      <w:r>
        <w:rPr>
          <w:spacing w:val="-25"/>
        </w:rPr>
        <w:t> </w:t>
      </w:r>
      <w:r>
        <w:rPr/>
        <w:t>cured,</w:t>
      </w:r>
      <w:r>
        <w:rPr>
          <w:spacing w:val="-24"/>
        </w:rPr>
        <w:t> </w:t>
      </w:r>
      <w:r>
        <w:rPr/>
        <w:t>and</w:t>
      </w:r>
      <w:r>
        <w:rPr>
          <w:spacing w:val="-25"/>
        </w:rPr>
        <w:t> </w:t>
      </w:r>
      <w:r>
        <w:rPr/>
        <w:t>the</w:t>
      </w:r>
      <w:r>
        <w:rPr>
          <w:spacing w:val="-24"/>
        </w:rPr>
        <w:t> </w:t>
      </w:r>
      <w:r>
        <w:rPr/>
        <w:t>condition</w:t>
      </w:r>
      <w:r>
        <w:rPr>
          <w:spacing w:val="-24"/>
        </w:rPr>
        <w:t> </w:t>
      </w:r>
      <w:r>
        <w:rPr/>
        <w:t>improved in 30</w:t>
      </w:r>
      <w:r>
        <w:rPr>
          <w:spacing w:val="-1"/>
        </w:rPr>
        <w:t> </w:t>
      </w:r>
      <w:r>
        <w:rPr/>
        <w:t>overall.</w:t>
      </w:r>
    </w:p>
    <w:p>
      <w:pPr>
        <w:pStyle w:val="Heading1"/>
        <w:spacing w:before="222"/>
      </w:pPr>
      <w:r>
        <w:rPr/>
        <w:t>Effect of curcumin on arthrosis</w:t>
      </w:r>
    </w:p>
    <w:p>
      <w:pPr>
        <w:pStyle w:val="BodyText"/>
        <w:spacing w:line="276" w:lineRule="auto" w:before="299"/>
        <w:ind w:left="477" w:right="131"/>
        <w:jc w:val="both"/>
      </w:pPr>
      <w:r>
        <w:rPr/>
        <w:t>The</w:t>
      </w:r>
      <w:r>
        <w:rPr>
          <w:spacing w:val="-17"/>
        </w:rPr>
        <w:t> </w:t>
      </w:r>
      <w:r>
        <w:rPr/>
        <w:t>advanced</w:t>
      </w:r>
      <w:r>
        <w:rPr>
          <w:spacing w:val="-16"/>
        </w:rPr>
        <w:t> </w:t>
      </w:r>
      <w:r>
        <w:rPr/>
        <w:t>stage</w:t>
      </w:r>
      <w:r>
        <w:rPr>
          <w:spacing w:val="-17"/>
        </w:rPr>
        <w:t> </w:t>
      </w:r>
      <w:r>
        <w:rPr/>
        <w:t>of</w:t>
      </w:r>
      <w:r>
        <w:rPr>
          <w:spacing w:val="-17"/>
        </w:rPr>
        <w:t> </w:t>
      </w:r>
      <w:r>
        <w:rPr/>
        <w:t>arthrosis</w:t>
      </w:r>
      <w:r>
        <w:rPr>
          <w:spacing w:val="-11"/>
        </w:rPr>
        <w:t> </w:t>
      </w:r>
      <w:r>
        <w:rPr/>
        <w:t>is</w:t>
      </w:r>
      <w:r>
        <w:rPr>
          <w:spacing w:val="-17"/>
        </w:rPr>
        <w:t> </w:t>
      </w:r>
      <w:r>
        <w:rPr/>
        <w:t>characterised</w:t>
      </w:r>
      <w:r>
        <w:rPr>
          <w:spacing w:val="-17"/>
        </w:rPr>
        <w:t> </w:t>
      </w:r>
      <w:r>
        <w:rPr/>
        <w:t>by</w:t>
      </w:r>
      <w:r>
        <w:rPr>
          <w:spacing w:val="-16"/>
        </w:rPr>
        <w:t> </w:t>
      </w:r>
      <w:r>
        <w:rPr/>
        <w:t>joint</w:t>
      </w:r>
      <w:r>
        <w:rPr>
          <w:spacing w:val="-17"/>
        </w:rPr>
        <w:t> </w:t>
      </w:r>
      <w:r>
        <w:rPr/>
        <w:t>pain</w:t>
      </w:r>
      <w:r>
        <w:rPr>
          <w:spacing w:val="-16"/>
        </w:rPr>
        <w:t> </w:t>
      </w:r>
      <w:r>
        <w:rPr/>
        <w:t>and</w:t>
      </w:r>
      <w:r>
        <w:rPr>
          <w:spacing w:val="-17"/>
        </w:rPr>
        <w:t> </w:t>
      </w:r>
      <w:r>
        <w:rPr/>
        <w:t>restricted</w:t>
      </w:r>
      <w:r>
        <w:rPr>
          <w:spacing w:val="-17"/>
        </w:rPr>
        <w:t> </w:t>
      </w:r>
      <w:r>
        <w:rPr/>
        <w:t>mo- bility. In a double-blind study, a curcumin-phospholide complex demonstrated a significant improvement in the pain symptoms and mobility of arthrosis pa- tients.</w:t>
      </w:r>
      <w:r>
        <w:rPr>
          <w:position w:val="9"/>
          <w:sz w:val="25"/>
        </w:rPr>
        <w:t>225 </w:t>
      </w:r>
      <w:r>
        <w:rPr/>
        <w:t>Among other things, this can be explained by the anti-inflammatory properties</w:t>
      </w:r>
      <w:r>
        <w:rPr>
          <w:spacing w:val="-10"/>
        </w:rPr>
        <w:t> </w:t>
      </w:r>
      <w:r>
        <w:rPr/>
        <w:t>of</w:t>
      </w:r>
      <w:r>
        <w:rPr>
          <w:spacing w:val="-7"/>
        </w:rPr>
        <w:t> </w:t>
      </w:r>
      <w:r>
        <w:rPr/>
        <w:t>curcumin,</w:t>
      </w:r>
      <w:r>
        <w:rPr>
          <w:spacing w:val="-6"/>
        </w:rPr>
        <w:t> </w:t>
      </w:r>
      <w:r>
        <w:rPr/>
        <w:t>which</w:t>
      </w:r>
      <w:r>
        <w:rPr>
          <w:spacing w:val="-7"/>
        </w:rPr>
        <w:t> </w:t>
      </w:r>
      <w:r>
        <w:rPr/>
        <w:t>alleviate</w:t>
      </w:r>
      <w:r>
        <w:rPr>
          <w:spacing w:val="-8"/>
        </w:rPr>
        <w:t> </w:t>
      </w:r>
      <w:r>
        <w:rPr/>
        <w:t>the</w:t>
      </w:r>
      <w:r>
        <w:rPr>
          <w:spacing w:val="-6"/>
        </w:rPr>
        <w:t> </w:t>
      </w:r>
      <w:r>
        <w:rPr/>
        <w:t>symptoms</w:t>
      </w:r>
      <w:r>
        <w:rPr>
          <w:spacing w:val="-7"/>
        </w:rPr>
        <w:t> </w:t>
      </w:r>
      <w:r>
        <w:rPr/>
        <w:t>of</w:t>
      </w:r>
      <w:r>
        <w:rPr>
          <w:spacing w:val="-9"/>
        </w:rPr>
        <w:t> </w:t>
      </w:r>
      <w:r>
        <w:rPr/>
        <w:t>swelling,</w:t>
      </w:r>
      <w:r>
        <w:rPr>
          <w:spacing w:val="-6"/>
        </w:rPr>
        <w:t> </w:t>
      </w:r>
      <w:r>
        <w:rPr/>
        <w:t>pain,</w:t>
      </w:r>
      <w:r>
        <w:rPr>
          <w:spacing w:val="-7"/>
        </w:rPr>
        <w:t> </w:t>
      </w:r>
      <w:r>
        <w:rPr/>
        <w:t>inflam- mation and redness and allow the tissue to regenerate. Here, curcumin can re- place side-effect-producing</w:t>
      </w:r>
      <w:r>
        <w:rPr>
          <w:spacing w:val="1"/>
        </w:rPr>
        <w:t> </w:t>
      </w:r>
      <w:r>
        <w:rPr/>
        <w:t>NSAIDs.</w:t>
      </w:r>
    </w:p>
    <w:p>
      <w:pPr>
        <w:pStyle w:val="Heading1"/>
      </w:pPr>
      <w:r>
        <w:rPr/>
        <w:t>Effect against cirrhosis of the liver and liver fibrosis</w:t>
      </w:r>
    </w:p>
    <w:p>
      <w:pPr>
        <w:pStyle w:val="BodyText"/>
        <w:spacing w:line="276" w:lineRule="auto" w:before="299"/>
        <w:ind w:left="477" w:right="132"/>
        <w:jc w:val="both"/>
      </w:pPr>
      <w:r>
        <w:rPr/>
        <w:t>Curcumin has been shown to protect against liver fibrosis and cirrhosis due to fatty liver by activating PPAR gamma.</w:t>
      </w:r>
      <w:r>
        <w:rPr>
          <w:position w:val="9"/>
          <w:sz w:val="25"/>
        </w:rPr>
        <w:t>226 </w:t>
      </w:r>
      <w:r>
        <w:rPr/>
        <w:t>It also protects the liver from alcohol damage.</w:t>
      </w:r>
    </w:p>
    <w:p>
      <w:pPr>
        <w:pStyle w:val="BodyText"/>
        <w:rPr>
          <w:sz w:val="20"/>
        </w:rPr>
      </w:pPr>
    </w:p>
    <w:p>
      <w:pPr>
        <w:pStyle w:val="BodyText"/>
        <w:spacing w:before="3"/>
        <w:rPr>
          <w:sz w:val="18"/>
        </w:rPr>
      </w:pPr>
      <w:r>
        <w:rPr/>
        <w:pict>
          <v:line style="position:absolute;mso-position-horizontal-relative:page;mso-position-vertical-relative:paragraph;z-index:2288;mso-wrap-distance-left:0;mso-wrap-distance-right:0" from="63.863998pt,12.671235pt" to="207.883998pt,12.671235pt" stroked="true" strokeweight=".72003pt" strokecolor="#000000">
            <v:stroke dashstyle="solid"/>
            <w10:wrap type="topAndBottom"/>
          </v:line>
        </w:pict>
      </w:r>
    </w:p>
    <w:p>
      <w:pPr>
        <w:pStyle w:val="BodyText"/>
        <w:spacing w:before="7"/>
        <w:rPr>
          <w:sz w:val="18"/>
        </w:rPr>
      </w:pPr>
    </w:p>
    <w:p>
      <w:pPr>
        <w:spacing w:line="273" w:lineRule="auto" w:before="99"/>
        <w:ind w:left="477" w:right="329" w:firstLine="0"/>
        <w:jc w:val="left"/>
        <w:rPr>
          <w:sz w:val="20"/>
        </w:rPr>
      </w:pPr>
      <w:r>
        <w:rPr>
          <w:position w:val="5"/>
          <w:sz w:val="13"/>
        </w:rPr>
        <w:t>225 </w:t>
      </w:r>
      <w:r>
        <w:rPr>
          <w:sz w:val="20"/>
        </w:rPr>
        <w:t>Belcaro et al.: Product-evaluation registry of Meriva®, a curcumin-phosphatidylcholine complex, for the complementary management of arthro- sis. Panminerva Med. (2010) Jun; 52 (2 Suppl 1), pp. 55-62, </w:t>
      </w:r>
      <w:r>
        <w:rPr>
          <w:color w:val="663366"/>
          <w:sz w:val="20"/>
          <w:u w:val="single" w:color="663366"/>
        </w:rPr>
        <w:t>PMID 20657536</w:t>
      </w:r>
    </w:p>
    <w:p>
      <w:pPr>
        <w:spacing w:before="63"/>
        <w:ind w:left="477" w:right="0" w:firstLine="0"/>
        <w:jc w:val="left"/>
        <w:rPr>
          <w:sz w:val="20"/>
        </w:rPr>
      </w:pPr>
      <w:r>
        <w:rPr>
          <w:position w:val="5"/>
          <w:sz w:val="13"/>
        </w:rPr>
        <w:t>226 </w:t>
      </w:r>
      <w:r>
        <w:rPr>
          <w:sz w:val="20"/>
        </w:rPr>
        <w:t>Br J Pharmacol. August 2009; 157 (8), p. 1352 f.</w:t>
      </w:r>
    </w:p>
    <w:p>
      <w:pPr>
        <w:spacing w:after="0"/>
        <w:jc w:val="left"/>
        <w:rPr>
          <w:sz w:val="20"/>
        </w:rPr>
        <w:sectPr>
          <w:pgSz w:w="14270" w:h="16850"/>
          <w:pgMar w:header="0" w:footer="1891" w:top="1600" w:bottom="2080" w:left="800" w:right="1280"/>
        </w:sectPr>
      </w:pPr>
    </w:p>
    <w:p>
      <w:pPr>
        <w:pStyle w:val="Heading1"/>
        <w:spacing w:before="164"/>
      </w:pPr>
      <w:r>
        <w:rPr/>
        <w:t>Effect of curcumin against cancer and tumorigenesis</w:t>
      </w:r>
    </w:p>
    <w:p>
      <w:pPr>
        <w:pStyle w:val="BodyText"/>
        <w:spacing w:line="276" w:lineRule="auto" w:before="299"/>
        <w:ind w:left="477"/>
      </w:pPr>
      <w:r>
        <w:rPr/>
        <w:t>The effect of curcumin on carcinogenesis is very comprehensive and therefore deserves its own section, ‘Curcumin and its effect on cancer‘.</w:t>
      </w:r>
    </w:p>
    <w:p>
      <w:pPr>
        <w:pStyle w:val="BodyText"/>
        <w:rPr>
          <w:sz w:val="42"/>
        </w:rPr>
      </w:pPr>
    </w:p>
    <w:p>
      <w:pPr>
        <w:pStyle w:val="BodyText"/>
        <w:rPr>
          <w:sz w:val="42"/>
        </w:rPr>
      </w:pPr>
    </w:p>
    <w:p>
      <w:pPr>
        <w:pStyle w:val="BodyText"/>
        <w:rPr>
          <w:sz w:val="42"/>
        </w:rPr>
      </w:pPr>
    </w:p>
    <w:p>
      <w:pPr>
        <w:pStyle w:val="Heading1"/>
        <w:spacing w:before="269"/>
      </w:pPr>
      <w:r>
        <w:rPr/>
        <w:t>Effect of curcumin against allergies</w:t>
      </w:r>
    </w:p>
    <w:p>
      <w:pPr>
        <w:pStyle w:val="BodyText"/>
        <w:spacing w:line="276" w:lineRule="auto" w:before="299"/>
        <w:ind w:left="477" w:right="132"/>
        <w:jc w:val="both"/>
      </w:pPr>
      <w:r>
        <w:rPr/>
        <w:t>Allergies</w:t>
      </w:r>
      <w:r>
        <w:rPr>
          <w:spacing w:val="-18"/>
        </w:rPr>
        <w:t> </w:t>
      </w:r>
      <w:r>
        <w:rPr/>
        <w:t>are</w:t>
      </w:r>
      <w:r>
        <w:rPr>
          <w:spacing w:val="-20"/>
        </w:rPr>
        <w:t> </w:t>
      </w:r>
      <w:r>
        <w:rPr/>
        <w:t>caused</w:t>
      </w:r>
      <w:r>
        <w:rPr>
          <w:spacing w:val="-20"/>
        </w:rPr>
        <w:t> </w:t>
      </w:r>
      <w:r>
        <w:rPr/>
        <w:t>by</w:t>
      </w:r>
      <w:r>
        <w:rPr>
          <w:spacing w:val="-22"/>
        </w:rPr>
        <w:t> </w:t>
      </w:r>
      <w:r>
        <w:rPr/>
        <w:t>release</w:t>
      </w:r>
      <w:r>
        <w:rPr>
          <w:spacing w:val="-22"/>
        </w:rPr>
        <w:t> </w:t>
      </w:r>
      <w:r>
        <w:rPr/>
        <w:t>of</w:t>
      </w:r>
      <w:r>
        <w:rPr>
          <w:spacing w:val="-23"/>
        </w:rPr>
        <w:t> </w:t>
      </w:r>
      <w:r>
        <w:rPr/>
        <w:t>histamine.</w:t>
      </w:r>
      <w:r>
        <w:rPr>
          <w:spacing w:val="-19"/>
        </w:rPr>
        <w:t> </w:t>
      </w:r>
      <w:r>
        <w:rPr/>
        <w:t>Curcumin</w:t>
      </w:r>
      <w:r>
        <w:rPr>
          <w:spacing w:val="-20"/>
        </w:rPr>
        <w:t> </w:t>
      </w:r>
      <w:r>
        <w:rPr/>
        <w:t>has</w:t>
      </w:r>
      <w:r>
        <w:rPr>
          <w:spacing w:val="-19"/>
        </w:rPr>
        <w:t> </w:t>
      </w:r>
      <w:r>
        <w:rPr/>
        <w:t>been</w:t>
      </w:r>
      <w:r>
        <w:rPr>
          <w:spacing w:val="-22"/>
        </w:rPr>
        <w:t> </w:t>
      </w:r>
      <w:r>
        <w:rPr/>
        <w:t>shown</w:t>
      </w:r>
      <w:r>
        <w:rPr>
          <w:spacing w:val="-20"/>
        </w:rPr>
        <w:t> </w:t>
      </w:r>
      <w:r>
        <w:rPr/>
        <w:t>to</w:t>
      </w:r>
      <w:r>
        <w:rPr>
          <w:spacing w:val="-21"/>
        </w:rPr>
        <w:t> </w:t>
      </w:r>
      <w:r>
        <w:rPr/>
        <w:t>coun- teract histamine release and can thus prevent, or at least alleviate, allergies. The anti-inflammatory, antioxidant effect enhances the anti-allergic effect of curcu- min.</w:t>
      </w:r>
    </w:p>
    <w:p>
      <w:pPr>
        <w:pStyle w:val="Heading1"/>
      </w:pPr>
      <w:r>
        <w:rPr/>
        <w:t>Effect of curcumin on post-menopausal symptoms</w:t>
      </w:r>
    </w:p>
    <w:p>
      <w:pPr>
        <w:pStyle w:val="BodyText"/>
        <w:spacing w:line="276" w:lineRule="auto" w:before="297"/>
        <w:ind w:left="477" w:right="134"/>
        <w:jc w:val="both"/>
        <w:rPr>
          <w:sz w:val="25"/>
        </w:rPr>
      </w:pPr>
      <w:r>
        <w:rPr/>
        <w:t>A</w:t>
      </w:r>
      <w:r>
        <w:rPr>
          <w:spacing w:val="-17"/>
        </w:rPr>
        <w:t> </w:t>
      </w:r>
      <w:r>
        <w:rPr/>
        <w:t>study</w:t>
      </w:r>
      <w:r>
        <w:rPr>
          <w:spacing w:val="-17"/>
        </w:rPr>
        <w:t> </w:t>
      </w:r>
      <w:r>
        <w:rPr/>
        <w:t>by</w:t>
      </w:r>
      <w:r>
        <w:rPr>
          <w:spacing w:val="-17"/>
        </w:rPr>
        <w:t> </w:t>
      </w:r>
      <w:r>
        <w:rPr/>
        <w:t>Dr.</w:t>
      </w:r>
      <w:r>
        <w:rPr>
          <w:spacing w:val="-18"/>
        </w:rPr>
        <w:t> </w:t>
      </w:r>
      <w:r>
        <w:rPr/>
        <w:t>Beatrice</w:t>
      </w:r>
      <w:r>
        <w:rPr>
          <w:spacing w:val="-15"/>
        </w:rPr>
        <w:t> </w:t>
      </w:r>
      <w:r>
        <w:rPr/>
        <w:t>E.</w:t>
      </w:r>
      <w:r>
        <w:rPr>
          <w:spacing w:val="-18"/>
        </w:rPr>
        <w:t> </w:t>
      </w:r>
      <w:r>
        <w:rPr/>
        <w:t>Bachmeier</w:t>
      </w:r>
      <w:r>
        <w:rPr>
          <w:spacing w:val="-15"/>
        </w:rPr>
        <w:t> </w:t>
      </w:r>
      <w:r>
        <w:rPr/>
        <w:t>suggests</w:t>
      </w:r>
      <w:r>
        <w:rPr>
          <w:spacing w:val="-19"/>
        </w:rPr>
        <w:t> </w:t>
      </w:r>
      <w:r>
        <w:rPr/>
        <w:t>that</w:t>
      </w:r>
      <w:r>
        <w:rPr>
          <w:spacing w:val="-16"/>
        </w:rPr>
        <w:t> </w:t>
      </w:r>
      <w:r>
        <w:rPr/>
        <w:t>curcumin</w:t>
      </w:r>
      <w:r>
        <w:rPr>
          <w:spacing w:val="-16"/>
        </w:rPr>
        <w:t> </w:t>
      </w:r>
      <w:r>
        <w:rPr/>
        <w:t>acts</w:t>
      </w:r>
      <w:r>
        <w:rPr>
          <w:spacing w:val="-17"/>
        </w:rPr>
        <w:t> </w:t>
      </w:r>
      <w:r>
        <w:rPr/>
        <w:t>as</w:t>
      </w:r>
      <w:r>
        <w:rPr>
          <w:spacing w:val="-18"/>
        </w:rPr>
        <w:t> </w:t>
      </w:r>
      <w:r>
        <w:rPr/>
        <w:t>a</w:t>
      </w:r>
      <w:r>
        <w:rPr>
          <w:spacing w:val="-18"/>
        </w:rPr>
        <w:t> </w:t>
      </w:r>
      <w:r>
        <w:rPr/>
        <w:t>vegetable oestrogen, can compensate for natural oestrogen losses after menopause and relieve the associated</w:t>
      </w:r>
      <w:r>
        <w:rPr>
          <w:spacing w:val="-2"/>
        </w:rPr>
        <w:t> </w:t>
      </w:r>
      <w:r>
        <w:rPr/>
        <w:t>symptoms.</w:t>
      </w:r>
      <w:r>
        <w:rPr>
          <w:position w:val="9"/>
          <w:sz w:val="25"/>
        </w:rPr>
        <w:t>227</w:t>
      </w:r>
    </w:p>
    <w:p>
      <w:pPr>
        <w:pStyle w:val="Heading1"/>
        <w:jc w:val="both"/>
      </w:pPr>
      <w:r>
        <w:rPr/>
        <w:t>Liver-strengthening effect of curcumin</w:t>
      </w:r>
    </w:p>
    <w:p>
      <w:pPr>
        <w:pStyle w:val="BodyText"/>
        <w:spacing w:before="299"/>
        <w:ind w:left="477"/>
        <w:jc w:val="both"/>
      </w:pPr>
      <w:r>
        <w:rPr/>
        <w:t>Curcumin has pronounced hepatoprotective properties. The bitter substances</w:t>
      </w:r>
    </w:p>
    <w:p>
      <w:pPr>
        <w:pStyle w:val="BodyText"/>
        <w:spacing w:before="4"/>
        <w:rPr>
          <w:sz w:val="22"/>
        </w:rPr>
      </w:pPr>
      <w:r>
        <w:rPr/>
        <w:pict>
          <v:line style="position:absolute;mso-position-horizontal-relative:page;mso-position-vertical-relative:paragraph;z-index:2312;mso-wrap-distance-left:0;mso-wrap-distance-right:0" from="63.863998pt,14.958765pt" to="207.883998pt,14.95876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227 </w:t>
      </w:r>
      <w:r>
        <w:rPr>
          <w:sz w:val="20"/>
        </w:rPr>
        <w:t>Klaus Oberbeil: Kurkuma – die heilende Kraft der Zauberknolle (‘Turmeric – The Healing Power of the Magic Tuber’), 6/2012 p. 52</w:t>
      </w:r>
    </w:p>
    <w:p>
      <w:pPr>
        <w:spacing w:after="0"/>
        <w:jc w:val="left"/>
        <w:rPr>
          <w:sz w:val="20"/>
        </w:rPr>
        <w:sectPr>
          <w:pgSz w:w="14270" w:h="16850"/>
          <w:pgMar w:header="0" w:footer="1891" w:top="1600" w:bottom="2080" w:left="800" w:right="1280"/>
        </w:sectPr>
      </w:pPr>
    </w:p>
    <w:p>
      <w:pPr>
        <w:pStyle w:val="BodyText"/>
        <w:spacing w:line="276" w:lineRule="auto" w:before="181"/>
        <w:ind w:left="477"/>
      </w:pPr>
      <w:r>
        <w:rPr/>
        <w:t>contained in it promote bile production, meaning that fatty acids can be split more easily, which relieves the liver significantly.</w:t>
      </w:r>
    </w:p>
    <w:p>
      <w:pPr>
        <w:pStyle w:val="BodyText"/>
        <w:rPr>
          <w:sz w:val="42"/>
        </w:rPr>
      </w:pPr>
    </w:p>
    <w:p>
      <w:pPr>
        <w:pStyle w:val="BodyText"/>
        <w:rPr>
          <w:sz w:val="42"/>
        </w:rPr>
      </w:pPr>
    </w:p>
    <w:p>
      <w:pPr>
        <w:pStyle w:val="BodyText"/>
        <w:rPr>
          <w:sz w:val="42"/>
        </w:rPr>
      </w:pPr>
    </w:p>
    <w:p>
      <w:pPr>
        <w:pStyle w:val="Heading1"/>
        <w:spacing w:before="270"/>
      </w:pPr>
      <w:r>
        <w:rPr/>
        <w:t>Effect of curcumin against herpes virus</w:t>
      </w:r>
    </w:p>
    <w:p>
      <w:pPr>
        <w:pStyle w:val="BodyText"/>
        <w:spacing w:line="276" w:lineRule="auto" w:before="298"/>
        <w:ind w:left="477"/>
      </w:pPr>
      <w:r>
        <w:rPr/>
        <w:t>In a 2008 Michigan State University study, even low levels of curcumin were shown to disrupt the spread of herpes virus-1.</w:t>
      </w:r>
    </w:p>
    <w:p>
      <w:pPr>
        <w:pStyle w:val="Heading1"/>
        <w:spacing w:before="223"/>
      </w:pPr>
      <w:r>
        <w:rPr/>
        <w:t>Effect of curcumin on asthma and general respiratory diseases</w:t>
      </w:r>
    </w:p>
    <w:p>
      <w:pPr>
        <w:pStyle w:val="BodyText"/>
        <w:spacing w:line="276" w:lineRule="auto" w:before="300"/>
        <w:ind w:left="477" w:right="132"/>
        <w:jc w:val="both"/>
      </w:pPr>
      <w:r>
        <w:rPr/>
        <w:t>The</w:t>
      </w:r>
      <w:r>
        <w:rPr>
          <w:spacing w:val="-15"/>
        </w:rPr>
        <w:t> </w:t>
      </w:r>
      <w:r>
        <w:rPr/>
        <w:t>anti-inflammatory,</w:t>
      </w:r>
      <w:r>
        <w:rPr>
          <w:spacing w:val="-14"/>
        </w:rPr>
        <w:t> </w:t>
      </w:r>
      <w:r>
        <w:rPr/>
        <w:t>antioxidant</w:t>
      </w:r>
      <w:r>
        <w:rPr>
          <w:spacing w:val="-15"/>
        </w:rPr>
        <w:t> </w:t>
      </w:r>
      <w:r>
        <w:rPr/>
        <w:t>and</w:t>
      </w:r>
      <w:r>
        <w:rPr>
          <w:spacing w:val="-16"/>
        </w:rPr>
        <w:t> </w:t>
      </w:r>
      <w:r>
        <w:rPr/>
        <w:t>histamine-releasing</w:t>
      </w:r>
      <w:r>
        <w:rPr>
          <w:spacing w:val="-15"/>
        </w:rPr>
        <w:t> </w:t>
      </w:r>
      <w:r>
        <w:rPr/>
        <w:t>effects</w:t>
      </w:r>
      <w:r>
        <w:rPr>
          <w:spacing w:val="-15"/>
        </w:rPr>
        <w:t> </w:t>
      </w:r>
      <w:r>
        <w:rPr/>
        <w:t>of</w:t>
      </w:r>
      <w:r>
        <w:rPr>
          <w:spacing w:val="-16"/>
        </w:rPr>
        <w:t> </w:t>
      </w:r>
      <w:r>
        <w:rPr/>
        <w:t>curcumin may counteract allergic asthma and numerous respiratory diseases (including respiratory distress syndrome, allergic asthma, ALI, COPD). In contrast to standard cortisone-based drugs, treatment with curcumin is completely free of side effects.</w:t>
      </w:r>
    </w:p>
    <w:p>
      <w:pPr>
        <w:pStyle w:val="Heading1"/>
        <w:spacing w:before="222"/>
      </w:pPr>
      <w:r>
        <w:rPr/>
        <w:t>Effect of turmeric on diabetes mellitus</w:t>
      </w:r>
    </w:p>
    <w:p>
      <w:pPr>
        <w:pStyle w:val="BodyText"/>
        <w:spacing w:line="276" w:lineRule="auto" w:before="299"/>
        <w:ind w:left="477"/>
      </w:pPr>
      <w:r>
        <w:rPr/>
        <w:t>Curcuma</w:t>
      </w:r>
      <w:r>
        <w:rPr>
          <w:spacing w:val="-21"/>
        </w:rPr>
        <w:t> </w:t>
      </w:r>
      <w:r>
        <w:rPr/>
        <w:t>has</w:t>
      </w:r>
      <w:r>
        <w:rPr>
          <w:spacing w:val="-20"/>
        </w:rPr>
        <w:t> </w:t>
      </w:r>
      <w:r>
        <w:rPr/>
        <w:t>hypoglycaemic</w:t>
      </w:r>
      <w:r>
        <w:rPr>
          <w:spacing w:val="-21"/>
        </w:rPr>
        <w:t> </w:t>
      </w:r>
      <w:r>
        <w:rPr/>
        <w:t>properties</w:t>
      </w:r>
      <w:r>
        <w:rPr>
          <w:spacing w:val="-21"/>
        </w:rPr>
        <w:t> </w:t>
      </w:r>
      <w:r>
        <w:rPr/>
        <w:t>and</w:t>
      </w:r>
      <w:r>
        <w:rPr>
          <w:spacing w:val="-21"/>
        </w:rPr>
        <w:t> </w:t>
      </w:r>
      <w:r>
        <w:rPr/>
        <w:t>can</w:t>
      </w:r>
      <w:r>
        <w:rPr>
          <w:spacing w:val="-23"/>
        </w:rPr>
        <w:t> </w:t>
      </w:r>
      <w:r>
        <w:rPr/>
        <w:t>therefore</w:t>
      </w:r>
      <w:r>
        <w:rPr>
          <w:spacing w:val="-23"/>
        </w:rPr>
        <w:t> </w:t>
      </w:r>
      <w:r>
        <w:rPr/>
        <w:t>successfully</w:t>
      </w:r>
      <w:r>
        <w:rPr>
          <w:spacing w:val="-22"/>
        </w:rPr>
        <w:t> </w:t>
      </w:r>
      <w:r>
        <w:rPr/>
        <w:t>influence diabetes causally – and without side</w:t>
      </w:r>
      <w:r>
        <w:rPr>
          <w:spacing w:val="5"/>
        </w:rPr>
        <w:t> </w:t>
      </w:r>
      <w:r>
        <w:rPr/>
        <w:t>effects!</w:t>
      </w:r>
    </w:p>
    <w:p>
      <w:pPr>
        <w:pStyle w:val="Heading1"/>
        <w:spacing w:before="225"/>
      </w:pPr>
      <w:r>
        <w:rPr/>
        <w:t>Curcumin prevents negative consequences of diabetes mellitus</w:t>
      </w:r>
    </w:p>
    <w:p>
      <w:pPr>
        <w:pStyle w:val="BodyText"/>
        <w:spacing w:before="299"/>
        <w:ind w:left="477"/>
      </w:pPr>
      <w:r>
        <w:rPr/>
        <w:t>Advanced-stage diabetes is associated with many unpleasant sequelae, can en-</w:t>
      </w:r>
    </w:p>
    <w:p>
      <w:pPr>
        <w:spacing w:after="0"/>
        <w:sectPr>
          <w:pgSz w:w="14270" w:h="16850"/>
          <w:pgMar w:header="0" w:footer="1891" w:top="1600" w:bottom="2080" w:left="800" w:right="1280"/>
        </w:sectPr>
      </w:pPr>
    </w:p>
    <w:p>
      <w:pPr>
        <w:pStyle w:val="BodyText"/>
        <w:spacing w:line="276" w:lineRule="auto" w:before="181"/>
        <w:ind w:left="477" w:right="134"/>
        <w:jc w:val="both"/>
      </w:pPr>
      <w:r>
        <w:rPr/>
        <w:t>courage heart attacks, and lead to leg amputations, as it promotes the destruc- tion of the blood vessels. In particular, the small blood vessels in the retina are at risk, and so advanced diabetes often leads to blindness.</w:t>
      </w:r>
    </w:p>
    <w:p>
      <w:pPr>
        <w:pStyle w:val="BodyText"/>
        <w:spacing w:line="276" w:lineRule="auto" w:before="242"/>
        <w:ind w:left="477" w:right="130"/>
        <w:jc w:val="both"/>
      </w:pPr>
      <w:r>
        <w:rPr/>
        <w:t>In experiments, curcumin has been shown to reduce oxidative stress and to induce anti-inflammatory processes in the retina that protect it from destruc- tion.</w:t>
      </w:r>
      <w:r>
        <w:rPr>
          <w:position w:val="9"/>
          <w:sz w:val="25"/>
        </w:rPr>
        <w:t>228 </w:t>
      </w:r>
      <w:r>
        <w:rPr/>
        <w:t>At the same time, curcumin counteracts diabetes-2 complications, such as neuropathy, retinopathy, liver fibrosis, and nephropathy, by increasing PPARgamma activity.</w:t>
      </w:r>
      <w:r>
        <w:rPr>
          <w:position w:val="9"/>
          <w:sz w:val="25"/>
        </w:rPr>
        <w:t>229 </w:t>
      </w:r>
      <w:r>
        <w:rPr/>
        <w:t>According to a 2005 study, curcumin delays the</w:t>
      </w:r>
      <w:r>
        <w:rPr>
          <w:spacing w:val="-43"/>
        </w:rPr>
        <w:t> </w:t>
      </w:r>
      <w:r>
        <w:rPr/>
        <w:t>devel- opment of cataracts resulting from hyperglycaemia in</w:t>
      </w:r>
      <w:r>
        <w:rPr>
          <w:spacing w:val="-7"/>
        </w:rPr>
        <w:t> </w:t>
      </w:r>
      <w:r>
        <w:rPr/>
        <w:t>rats.</w:t>
      </w:r>
    </w:p>
    <w:p>
      <w:pPr>
        <w:pStyle w:val="Heading1"/>
        <w:spacing w:line="261" w:lineRule="auto" w:before="223"/>
        <w:ind w:right="136"/>
        <w:jc w:val="both"/>
      </w:pPr>
      <w:r>
        <w:rPr/>
        <w:t>How</w:t>
      </w:r>
      <w:r>
        <w:rPr>
          <w:spacing w:val="-47"/>
        </w:rPr>
        <w:t> </w:t>
      </w:r>
      <w:r>
        <w:rPr/>
        <w:t>curcumin</w:t>
      </w:r>
      <w:r>
        <w:rPr>
          <w:spacing w:val="-47"/>
        </w:rPr>
        <w:t> </w:t>
      </w:r>
      <w:r>
        <w:rPr/>
        <w:t>works</w:t>
      </w:r>
      <w:r>
        <w:rPr>
          <w:spacing w:val="-47"/>
        </w:rPr>
        <w:t> </w:t>
      </w:r>
      <w:r>
        <w:rPr/>
        <w:t>in</w:t>
      </w:r>
      <w:r>
        <w:rPr>
          <w:spacing w:val="-47"/>
        </w:rPr>
        <w:t> </w:t>
      </w:r>
      <w:r>
        <w:rPr/>
        <w:t>inflammatory</w:t>
      </w:r>
      <w:r>
        <w:rPr>
          <w:spacing w:val="-46"/>
        </w:rPr>
        <w:t> </w:t>
      </w:r>
      <w:r>
        <w:rPr/>
        <w:t>bowel</w:t>
      </w:r>
      <w:r>
        <w:rPr>
          <w:spacing w:val="-47"/>
        </w:rPr>
        <w:t> </w:t>
      </w:r>
      <w:r>
        <w:rPr/>
        <w:t>disease</w:t>
      </w:r>
      <w:r>
        <w:rPr>
          <w:spacing w:val="-46"/>
        </w:rPr>
        <w:t> </w:t>
      </w:r>
      <w:r>
        <w:rPr/>
        <w:t>(Crohn's</w:t>
      </w:r>
      <w:r>
        <w:rPr>
          <w:spacing w:val="-47"/>
        </w:rPr>
        <w:t> </w:t>
      </w:r>
      <w:r>
        <w:rPr/>
        <w:t>disease, ulcerative</w:t>
      </w:r>
      <w:r>
        <w:rPr>
          <w:spacing w:val="-7"/>
        </w:rPr>
        <w:t> </w:t>
      </w:r>
      <w:r>
        <w:rPr/>
        <w:t>colitis)</w:t>
      </w:r>
    </w:p>
    <w:p>
      <w:pPr>
        <w:pStyle w:val="BodyText"/>
        <w:spacing w:line="276" w:lineRule="auto" w:before="258"/>
        <w:ind w:left="477" w:right="132"/>
        <w:jc w:val="both"/>
        <w:rPr>
          <w:sz w:val="25"/>
        </w:rPr>
      </w:pPr>
      <w:r>
        <w:rPr/>
        <w:t>By preventing the inflammatory response to toxins in the gut, curcumin has a beneficial effect on inflammatory bowel diseases such as Crohn's disease and ulcerative colitis.</w:t>
      </w:r>
      <w:r>
        <w:rPr>
          <w:position w:val="9"/>
          <w:sz w:val="25"/>
        </w:rPr>
        <w:t>230</w:t>
      </w:r>
    </w:p>
    <w:p>
      <w:pPr>
        <w:pStyle w:val="Heading1"/>
        <w:jc w:val="both"/>
      </w:pPr>
      <w:r>
        <w:rPr/>
        <w:t>Effect of curcumin on pulmonary</w:t>
      </w:r>
      <w:r>
        <w:rPr>
          <w:spacing w:val="-58"/>
        </w:rPr>
        <w:t> </w:t>
      </w:r>
      <w:r>
        <w:rPr/>
        <w:t>fibrosis</w:t>
      </w:r>
    </w:p>
    <w:p>
      <w:pPr>
        <w:pStyle w:val="BodyText"/>
        <w:spacing w:line="276" w:lineRule="auto" w:before="299"/>
        <w:ind w:left="477" w:right="138"/>
        <w:jc w:val="both"/>
      </w:pPr>
      <w:r>
        <w:rPr/>
        <w:t>Nicotine, fumes, chemotherapy and radiation can cause lung damage and pul- monary fibrosis. Here, curcumin has shown in various experiments that it can provide protections against these.</w:t>
      </w:r>
    </w:p>
    <w:p>
      <w:pPr>
        <w:pStyle w:val="BodyText"/>
        <w:rPr>
          <w:sz w:val="20"/>
        </w:rPr>
      </w:pPr>
    </w:p>
    <w:p>
      <w:pPr>
        <w:pStyle w:val="BodyText"/>
        <w:rPr>
          <w:sz w:val="20"/>
        </w:rPr>
      </w:pPr>
    </w:p>
    <w:p>
      <w:pPr>
        <w:pStyle w:val="BodyText"/>
        <w:rPr>
          <w:sz w:val="20"/>
        </w:rPr>
      </w:pPr>
    </w:p>
    <w:p>
      <w:pPr>
        <w:pStyle w:val="BodyText"/>
        <w:spacing w:before="9"/>
        <w:rPr>
          <w:sz w:val="20"/>
        </w:rPr>
      </w:pPr>
      <w:r>
        <w:rPr/>
        <w:pict>
          <v:line style="position:absolute;mso-position-horizontal-relative:page;mso-position-vertical-relative:paragraph;z-index:2336;mso-wrap-distance-left:0;mso-wrap-distance-right:0" from="63.863998pt,14.051265pt" to="207.883998pt,14.051265pt" stroked="true" strokeweight=".71997pt" strokecolor="#000000">
            <v:stroke dashstyle="solid"/>
            <w10:wrap type="topAndBottom"/>
          </v:line>
        </w:pict>
      </w:r>
    </w:p>
    <w:p>
      <w:pPr>
        <w:pStyle w:val="BodyText"/>
        <w:spacing w:before="7"/>
        <w:rPr>
          <w:sz w:val="18"/>
        </w:rPr>
      </w:pPr>
    </w:p>
    <w:p>
      <w:pPr>
        <w:spacing w:line="276" w:lineRule="auto" w:before="99"/>
        <w:ind w:left="477" w:right="0" w:firstLine="0"/>
        <w:jc w:val="left"/>
        <w:rPr>
          <w:sz w:val="20"/>
        </w:rPr>
      </w:pPr>
      <w:r>
        <w:rPr>
          <w:position w:val="5"/>
          <w:sz w:val="13"/>
        </w:rPr>
        <w:t>228 </w:t>
      </w:r>
      <w:r>
        <w:rPr>
          <w:sz w:val="20"/>
        </w:rPr>
        <w:t>Kowluru et al.: Effects of curcumin on retinal oxidative stress and inflammation in diabetes Nutr Metab (Lond). (2007) Apr 16; 4, p. 8, </w:t>
      </w:r>
      <w:r>
        <w:rPr>
          <w:color w:val="663366"/>
          <w:sz w:val="20"/>
          <w:u w:val="single" w:color="663366"/>
        </w:rPr>
        <w:t>PMID</w:t>
      </w:r>
      <w:r>
        <w:rPr>
          <w:color w:val="663366"/>
          <w:sz w:val="20"/>
        </w:rPr>
        <w:t> </w:t>
      </w:r>
      <w:r>
        <w:rPr>
          <w:color w:val="663366"/>
          <w:sz w:val="20"/>
          <w:u w:val="single" w:color="663366"/>
        </w:rPr>
        <w:t>17437639</w:t>
      </w:r>
    </w:p>
    <w:p>
      <w:pPr>
        <w:spacing w:before="61"/>
        <w:ind w:left="477" w:right="0" w:firstLine="0"/>
        <w:jc w:val="left"/>
        <w:rPr>
          <w:sz w:val="20"/>
        </w:rPr>
      </w:pPr>
      <w:r>
        <w:rPr>
          <w:position w:val="5"/>
          <w:sz w:val="13"/>
        </w:rPr>
        <w:t>229 </w:t>
      </w:r>
      <w:r>
        <w:rPr>
          <w:sz w:val="20"/>
        </w:rPr>
        <w:t>Stefanska B.: Br J Pharmacol. 2012 Mar 27</w:t>
      </w:r>
    </w:p>
    <w:p>
      <w:pPr>
        <w:spacing w:before="94"/>
        <w:ind w:left="477" w:right="0" w:firstLine="0"/>
        <w:jc w:val="left"/>
        <w:rPr>
          <w:sz w:val="20"/>
        </w:rPr>
      </w:pPr>
      <w:r>
        <w:rPr/>
        <w:drawing>
          <wp:anchor distT="0" distB="0" distL="0" distR="0" allowOverlap="1" layoutInCell="1" locked="0" behindDoc="1" simplePos="0" relativeHeight="267170135">
            <wp:simplePos x="0" y="0"/>
            <wp:positionH relativeFrom="page">
              <wp:posOffset>896463</wp:posOffset>
            </wp:positionH>
            <wp:positionV relativeFrom="paragraph">
              <wp:posOffset>141962</wp:posOffset>
            </wp:positionV>
            <wp:extent cx="6379583" cy="902106"/>
            <wp:effectExtent l="0" t="0" r="0" b="0"/>
            <wp:wrapNone/>
            <wp:docPr id="127" name="image2.jpeg" descr=""/>
            <wp:cNvGraphicFramePr>
              <a:graphicFrameLocks noChangeAspect="1"/>
            </wp:cNvGraphicFramePr>
            <a:graphic>
              <a:graphicData uri="http://schemas.openxmlformats.org/drawingml/2006/picture">
                <pic:pic>
                  <pic:nvPicPr>
                    <pic:cNvPr id="128"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230 </w:t>
      </w:r>
      <w:r>
        <w:rPr>
          <w:sz w:val="20"/>
        </w:rPr>
        <w:t>Curr Pharm Des. 2009; 15 (18), p. 2087-2094</w:t>
      </w:r>
    </w:p>
    <w:p>
      <w:pPr>
        <w:spacing w:after="0"/>
        <w:jc w:val="left"/>
        <w:rPr>
          <w:sz w:val="20"/>
        </w:rPr>
        <w:sectPr>
          <w:footerReference w:type="default" r:id="rId87"/>
          <w:pgSz w:w="14270" w:h="16850"/>
          <w:pgMar w:footer="527" w:header="0" w:top="1600" w:bottom="720" w:left="800" w:right="1280"/>
          <w:pgNumType w:start="348"/>
        </w:sectPr>
      </w:pPr>
    </w:p>
    <w:p>
      <w:pPr>
        <w:pStyle w:val="Heading1"/>
        <w:spacing w:before="164"/>
      </w:pPr>
      <w:r>
        <w:rPr/>
        <w:t>Effect of curcumin on cystic</w:t>
      </w:r>
      <w:r>
        <w:rPr>
          <w:spacing w:val="-51"/>
        </w:rPr>
        <w:t> </w:t>
      </w:r>
      <w:r>
        <w:rPr/>
        <w:t>fibrosis</w:t>
      </w:r>
    </w:p>
    <w:p>
      <w:pPr>
        <w:pStyle w:val="BodyText"/>
        <w:spacing w:line="276" w:lineRule="auto" w:before="299"/>
        <w:ind w:left="477" w:right="133"/>
        <w:jc w:val="both"/>
      </w:pPr>
      <w:r>
        <w:rPr/>
        <w:t>According</w:t>
      </w:r>
      <w:r>
        <w:rPr>
          <w:spacing w:val="-7"/>
        </w:rPr>
        <w:t> </w:t>
      </w:r>
      <w:r>
        <w:rPr/>
        <w:t>to</w:t>
      </w:r>
      <w:r>
        <w:rPr>
          <w:spacing w:val="-6"/>
        </w:rPr>
        <w:t> </w:t>
      </w:r>
      <w:r>
        <w:rPr/>
        <w:t>a</w:t>
      </w:r>
      <w:r>
        <w:rPr>
          <w:spacing w:val="-7"/>
        </w:rPr>
        <w:t> </w:t>
      </w:r>
      <w:r>
        <w:rPr/>
        <w:t>report</w:t>
      </w:r>
      <w:r>
        <w:rPr>
          <w:spacing w:val="-7"/>
        </w:rPr>
        <w:t> </w:t>
      </w:r>
      <w:r>
        <w:rPr/>
        <w:t>in</w:t>
      </w:r>
      <w:r>
        <w:rPr>
          <w:spacing w:val="-6"/>
        </w:rPr>
        <w:t> </w:t>
      </w:r>
      <w:r>
        <w:rPr/>
        <w:t>the</w:t>
      </w:r>
      <w:r>
        <w:rPr>
          <w:spacing w:val="-6"/>
        </w:rPr>
        <w:t> </w:t>
      </w:r>
      <w:r>
        <w:rPr/>
        <w:t>journal</w:t>
      </w:r>
      <w:r>
        <w:rPr>
          <w:spacing w:val="-5"/>
        </w:rPr>
        <w:t> </w:t>
      </w:r>
      <w:r>
        <w:rPr>
          <w:i/>
        </w:rPr>
        <w:t>Science</w:t>
      </w:r>
      <w:r>
        <w:rPr/>
        <w:t>,</w:t>
      </w:r>
      <w:r>
        <w:rPr>
          <w:spacing w:val="-6"/>
        </w:rPr>
        <w:t> </w:t>
      </w:r>
      <w:r>
        <w:rPr/>
        <w:t>curcumin</w:t>
      </w:r>
      <w:r>
        <w:rPr>
          <w:spacing w:val="-5"/>
        </w:rPr>
        <w:t> </w:t>
      </w:r>
      <w:r>
        <w:rPr/>
        <w:t>was</w:t>
      </w:r>
      <w:r>
        <w:rPr>
          <w:spacing w:val="-6"/>
        </w:rPr>
        <w:t> </w:t>
      </w:r>
      <w:r>
        <w:rPr/>
        <w:t>able</w:t>
      </w:r>
      <w:r>
        <w:rPr>
          <w:spacing w:val="-7"/>
        </w:rPr>
        <w:t> </w:t>
      </w:r>
      <w:r>
        <w:rPr/>
        <w:t>to</w:t>
      </w:r>
      <w:r>
        <w:rPr>
          <w:spacing w:val="-5"/>
        </w:rPr>
        <w:t> </w:t>
      </w:r>
      <w:r>
        <w:rPr/>
        <w:t>prove</w:t>
      </w:r>
      <w:r>
        <w:rPr>
          <w:spacing w:val="-7"/>
        </w:rPr>
        <w:t> </w:t>
      </w:r>
      <w:r>
        <w:rPr/>
        <w:t>itself</w:t>
      </w:r>
      <w:r>
        <w:rPr>
          <w:spacing w:val="-6"/>
        </w:rPr>
        <w:t> </w:t>
      </w:r>
      <w:r>
        <w:rPr/>
        <w:t>in the treatment of cystic fibrosis. In animal experiments, a promising effect on this life-threatening disease has been</w:t>
      </w:r>
      <w:r>
        <w:rPr>
          <w:spacing w:val="3"/>
        </w:rPr>
        <w:t> </w:t>
      </w:r>
      <w:r>
        <w:rPr/>
        <w:t>revealed.</w:t>
      </w:r>
    </w:p>
    <w:p>
      <w:pPr>
        <w:pStyle w:val="Heading1"/>
      </w:pPr>
      <w:r>
        <w:rPr/>
        <w:t>Effect of curcumin on gallstones</w:t>
      </w:r>
    </w:p>
    <w:p>
      <w:pPr>
        <w:pStyle w:val="BodyText"/>
        <w:spacing w:line="276" w:lineRule="auto" w:before="298"/>
        <w:ind w:left="477" w:right="136"/>
        <w:jc w:val="both"/>
      </w:pPr>
      <w:r>
        <w:rPr/>
        <w:t>Curcumin optimises the work of the gallbladder and improves the bile flow – both have been shown to counteract the formation of gallstones.</w:t>
      </w:r>
    </w:p>
    <w:p>
      <w:pPr>
        <w:pStyle w:val="Heading1"/>
        <w:spacing w:before="223"/>
      </w:pPr>
      <w:r>
        <w:rPr/>
        <w:t>Curcumin</w:t>
      </w:r>
      <w:r>
        <w:rPr>
          <w:spacing w:val="-60"/>
        </w:rPr>
        <w:t> </w:t>
      </w:r>
      <w:r>
        <w:rPr/>
        <w:t>has</w:t>
      </w:r>
      <w:r>
        <w:rPr>
          <w:spacing w:val="-59"/>
        </w:rPr>
        <w:t> </w:t>
      </w:r>
      <w:r>
        <w:rPr/>
        <w:t>an</w:t>
      </w:r>
      <w:r>
        <w:rPr>
          <w:spacing w:val="-59"/>
        </w:rPr>
        <w:t> </w:t>
      </w:r>
      <w:r>
        <w:rPr/>
        <w:t>effect</w:t>
      </w:r>
      <w:r>
        <w:rPr>
          <w:spacing w:val="-60"/>
        </w:rPr>
        <w:t> </w:t>
      </w:r>
      <w:r>
        <w:rPr/>
        <w:t>on</w:t>
      </w:r>
      <w:r>
        <w:rPr>
          <w:spacing w:val="-59"/>
        </w:rPr>
        <w:t> </w:t>
      </w:r>
      <w:r>
        <w:rPr/>
        <w:t>Kennedy's</w:t>
      </w:r>
      <w:r>
        <w:rPr>
          <w:spacing w:val="-60"/>
        </w:rPr>
        <w:t> </w:t>
      </w:r>
      <w:r>
        <w:rPr/>
        <w:t>disease</w:t>
      </w:r>
      <w:r>
        <w:rPr>
          <w:spacing w:val="-58"/>
        </w:rPr>
        <w:t> </w:t>
      </w:r>
      <w:r>
        <w:rPr/>
        <w:t>(spinal</w:t>
      </w:r>
      <w:r>
        <w:rPr>
          <w:spacing w:val="-60"/>
        </w:rPr>
        <w:t> </w:t>
      </w:r>
      <w:r>
        <w:rPr/>
        <w:t>muscular</w:t>
      </w:r>
      <w:r>
        <w:rPr>
          <w:spacing w:val="-59"/>
        </w:rPr>
        <w:t> </w:t>
      </w:r>
      <w:r>
        <w:rPr/>
        <w:t>atrophy)</w:t>
      </w:r>
    </w:p>
    <w:p>
      <w:pPr>
        <w:pStyle w:val="BodyText"/>
        <w:spacing w:line="276" w:lineRule="auto" w:before="299"/>
        <w:ind w:left="477" w:right="132"/>
        <w:jc w:val="both"/>
      </w:pPr>
      <w:r>
        <w:rPr/>
        <w:t>Kennedy’s disease only affects men. Symptoms include muscle weakness and difficulty</w:t>
      </w:r>
      <w:r>
        <w:rPr>
          <w:spacing w:val="-25"/>
        </w:rPr>
        <w:t> </w:t>
      </w:r>
      <w:r>
        <w:rPr/>
        <w:t>swallowing;</w:t>
      </w:r>
      <w:r>
        <w:rPr>
          <w:spacing w:val="-23"/>
        </w:rPr>
        <w:t> </w:t>
      </w:r>
      <w:r>
        <w:rPr/>
        <w:t>even</w:t>
      </w:r>
      <w:r>
        <w:rPr>
          <w:spacing w:val="-23"/>
        </w:rPr>
        <w:t> </w:t>
      </w:r>
      <w:r>
        <w:rPr/>
        <w:t>speaking</w:t>
      </w:r>
      <w:r>
        <w:rPr>
          <w:spacing w:val="-23"/>
        </w:rPr>
        <w:t> </w:t>
      </w:r>
      <w:r>
        <w:rPr/>
        <w:t>is</w:t>
      </w:r>
      <w:r>
        <w:rPr>
          <w:spacing w:val="-24"/>
        </w:rPr>
        <w:t> </w:t>
      </w:r>
      <w:r>
        <w:rPr/>
        <w:t>difficult</w:t>
      </w:r>
      <w:r>
        <w:rPr>
          <w:spacing w:val="-25"/>
        </w:rPr>
        <w:t> </w:t>
      </w:r>
      <w:r>
        <w:rPr/>
        <w:t>for</w:t>
      </w:r>
      <w:r>
        <w:rPr>
          <w:spacing w:val="-23"/>
        </w:rPr>
        <w:t> </w:t>
      </w:r>
      <w:r>
        <w:rPr/>
        <w:t>those</w:t>
      </w:r>
      <w:r>
        <w:rPr>
          <w:spacing w:val="-23"/>
        </w:rPr>
        <w:t> </w:t>
      </w:r>
      <w:r>
        <w:rPr/>
        <w:t>affected</w:t>
      </w:r>
      <w:r>
        <w:rPr>
          <w:spacing w:val="-27"/>
        </w:rPr>
        <w:t> </w:t>
      </w:r>
      <w:r>
        <w:rPr/>
        <w:t>at</w:t>
      </w:r>
      <w:r>
        <w:rPr>
          <w:spacing w:val="-25"/>
        </w:rPr>
        <w:t> </w:t>
      </w:r>
      <w:r>
        <w:rPr/>
        <w:t>an</w:t>
      </w:r>
      <w:r>
        <w:rPr>
          <w:spacing w:val="-24"/>
        </w:rPr>
        <w:t> </w:t>
      </w:r>
      <w:r>
        <w:rPr/>
        <w:t>advanced stage. At the University of Rochester, a substance called ASC-J9, which is sim- ilar to a component of curcumin, was recently tested in animal</w:t>
      </w:r>
      <w:r>
        <w:rPr>
          <w:spacing w:val="-19"/>
        </w:rPr>
        <w:t> </w:t>
      </w:r>
      <w:r>
        <w:rPr/>
        <w:t>experiments.</w:t>
      </w:r>
    </w:p>
    <w:p>
      <w:pPr>
        <w:pStyle w:val="Heading1"/>
        <w:spacing w:before="223"/>
      </w:pPr>
      <w:r>
        <w:rPr/>
        <w:t>Curcumin works against depression and low mood</w:t>
      </w:r>
    </w:p>
    <w:p>
      <w:pPr>
        <w:pStyle w:val="BodyText"/>
        <w:spacing w:line="276" w:lineRule="auto" w:before="299"/>
        <w:ind w:left="477" w:right="133"/>
        <w:jc w:val="both"/>
      </w:pPr>
      <w:r>
        <w:rPr/>
        <w:t>Since curcumin interferes with serotonin synthesis and produces so-called</w:t>
      </w:r>
      <w:r>
        <w:rPr>
          <w:spacing w:val="-47"/>
        </w:rPr>
        <w:t> </w:t>
      </w:r>
      <w:r>
        <w:rPr/>
        <w:t>neu- rotrophins in the brain, substances that protect against depression, low mood and anxiety, it effectively counteracts depression, anxiety and low</w:t>
      </w:r>
      <w:r>
        <w:rPr>
          <w:spacing w:val="-15"/>
        </w:rPr>
        <w:t> </w:t>
      </w:r>
      <w:r>
        <w:rPr/>
        <w:t>mood!</w:t>
      </w:r>
    </w:p>
    <w:p>
      <w:pPr>
        <w:pStyle w:val="BodyText"/>
        <w:spacing w:before="241"/>
        <w:ind w:left="477"/>
        <w:jc w:val="both"/>
      </w:pPr>
      <w:r>
        <w:rPr/>
        <w:t>Curcumoids in turmeric act as monoamine oxidase inhibitors (MAO inhibitors)</w:t>
      </w:r>
    </w:p>
    <w:p>
      <w:pPr>
        <w:spacing w:after="0"/>
        <w:jc w:val="both"/>
        <w:sectPr>
          <w:footerReference w:type="default" r:id="rId88"/>
          <w:pgSz w:w="14270" w:h="16850"/>
          <w:pgMar w:footer="1891" w:header="0" w:top="1600" w:bottom="2080" w:left="800" w:right="1280"/>
          <w:pgNumType w:start="34"/>
        </w:sectPr>
      </w:pPr>
    </w:p>
    <w:p>
      <w:pPr>
        <w:pStyle w:val="BodyText"/>
        <w:spacing w:line="276" w:lineRule="auto" w:before="181"/>
        <w:ind w:left="477" w:right="128"/>
        <w:jc w:val="both"/>
      </w:pPr>
      <w:r>
        <w:rPr/>
        <w:t>and</w:t>
      </w:r>
      <w:r>
        <w:rPr>
          <w:spacing w:val="-7"/>
        </w:rPr>
        <w:t> </w:t>
      </w:r>
      <w:r>
        <w:rPr/>
        <w:t>are</w:t>
      </w:r>
      <w:r>
        <w:rPr>
          <w:spacing w:val="-6"/>
        </w:rPr>
        <w:t> </w:t>
      </w:r>
      <w:r>
        <w:rPr/>
        <w:t>far</w:t>
      </w:r>
      <w:r>
        <w:rPr>
          <w:spacing w:val="-7"/>
        </w:rPr>
        <w:t> </w:t>
      </w:r>
      <w:r>
        <w:rPr/>
        <w:t>superior</w:t>
      </w:r>
      <w:r>
        <w:rPr>
          <w:spacing w:val="-5"/>
        </w:rPr>
        <w:t> </w:t>
      </w:r>
      <w:r>
        <w:rPr/>
        <w:t>in</w:t>
      </w:r>
      <w:r>
        <w:rPr>
          <w:spacing w:val="-6"/>
        </w:rPr>
        <w:t> </w:t>
      </w:r>
      <w:r>
        <w:rPr/>
        <w:t>their</w:t>
      </w:r>
      <w:r>
        <w:rPr>
          <w:spacing w:val="-8"/>
        </w:rPr>
        <w:t> </w:t>
      </w:r>
      <w:r>
        <w:rPr/>
        <w:t>effect</w:t>
      </w:r>
      <w:r>
        <w:rPr>
          <w:spacing w:val="-6"/>
        </w:rPr>
        <w:t> </w:t>
      </w:r>
      <w:r>
        <w:rPr/>
        <w:t>to</w:t>
      </w:r>
      <w:r>
        <w:rPr>
          <w:spacing w:val="-5"/>
        </w:rPr>
        <w:t> </w:t>
      </w:r>
      <w:r>
        <w:rPr/>
        <w:t>the</w:t>
      </w:r>
      <w:r>
        <w:rPr>
          <w:spacing w:val="-8"/>
        </w:rPr>
        <w:t> </w:t>
      </w:r>
      <w:r>
        <w:rPr/>
        <w:t>synthetic</w:t>
      </w:r>
      <w:r>
        <w:rPr>
          <w:spacing w:val="-6"/>
        </w:rPr>
        <w:t> </w:t>
      </w:r>
      <w:r>
        <w:rPr/>
        <w:t>MAO</w:t>
      </w:r>
      <w:r>
        <w:rPr>
          <w:spacing w:val="-6"/>
        </w:rPr>
        <w:t> </w:t>
      </w:r>
      <w:r>
        <w:rPr/>
        <w:t>inhibitors</w:t>
      </w:r>
      <w:r>
        <w:rPr>
          <w:spacing w:val="-6"/>
        </w:rPr>
        <w:t> </w:t>
      </w:r>
      <w:r>
        <w:rPr/>
        <w:t>of</w:t>
      </w:r>
      <w:r>
        <w:rPr>
          <w:spacing w:val="-8"/>
        </w:rPr>
        <w:t> </w:t>
      </w:r>
      <w:r>
        <w:rPr/>
        <w:t>the</w:t>
      </w:r>
      <w:r>
        <w:rPr>
          <w:spacing w:val="-7"/>
        </w:rPr>
        <w:t> </w:t>
      </w:r>
      <w:r>
        <w:rPr/>
        <w:t>phar- maceutical</w:t>
      </w:r>
      <w:r>
        <w:rPr>
          <w:spacing w:val="-23"/>
        </w:rPr>
        <w:t> </w:t>
      </w:r>
      <w:r>
        <w:rPr/>
        <w:t>industry</w:t>
      </w:r>
      <w:r>
        <w:rPr>
          <w:spacing w:val="-21"/>
        </w:rPr>
        <w:t> </w:t>
      </w:r>
      <w:r>
        <w:rPr/>
        <w:t>in</w:t>
      </w:r>
      <w:r>
        <w:rPr>
          <w:spacing w:val="-21"/>
        </w:rPr>
        <w:t> </w:t>
      </w:r>
      <w:r>
        <w:rPr/>
        <w:t>treating</w:t>
      </w:r>
      <w:r>
        <w:rPr>
          <w:spacing w:val="-21"/>
        </w:rPr>
        <w:t> </w:t>
      </w:r>
      <w:r>
        <w:rPr/>
        <w:t>depression</w:t>
      </w:r>
      <w:r>
        <w:rPr>
          <w:spacing w:val="-18"/>
        </w:rPr>
        <w:t> </w:t>
      </w:r>
      <w:r>
        <w:rPr/>
        <w:t>–</w:t>
      </w:r>
      <w:r>
        <w:rPr>
          <w:spacing w:val="-22"/>
        </w:rPr>
        <w:t> </w:t>
      </w:r>
      <w:r>
        <w:rPr/>
        <w:t>and</w:t>
      </w:r>
      <w:r>
        <w:rPr>
          <w:spacing w:val="-21"/>
        </w:rPr>
        <w:t> </w:t>
      </w:r>
      <w:r>
        <w:rPr/>
        <w:t>completely</w:t>
      </w:r>
      <w:r>
        <w:rPr>
          <w:spacing w:val="-21"/>
        </w:rPr>
        <w:t> </w:t>
      </w:r>
      <w:r>
        <w:rPr/>
        <w:t>without</w:t>
      </w:r>
      <w:r>
        <w:rPr>
          <w:spacing w:val="-22"/>
        </w:rPr>
        <w:t> </w:t>
      </w:r>
      <w:r>
        <w:rPr/>
        <w:t>side</w:t>
      </w:r>
      <w:r>
        <w:rPr>
          <w:spacing w:val="-21"/>
        </w:rPr>
        <w:t> </w:t>
      </w:r>
      <w:r>
        <w:rPr/>
        <w:t>effects!</w:t>
      </w:r>
    </w:p>
    <w:p>
      <w:pPr>
        <w:spacing w:line="276" w:lineRule="auto" w:before="241"/>
        <w:ind w:left="477" w:right="140" w:firstLine="0"/>
        <w:jc w:val="both"/>
        <w:rPr>
          <w:sz w:val="25"/>
        </w:rPr>
      </w:pPr>
      <w:r>
        <w:rPr>
          <w:i/>
          <w:sz w:val="38"/>
        </w:rPr>
        <w:t>‘Curcumin</w:t>
      </w:r>
      <w:r>
        <w:rPr>
          <w:i/>
          <w:spacing w:val="-13"/>
          <w:sz w:val="38"/>
        </w:rPr>
        <w:t> </w:t>
      </w:r>
      <w:r>
        <w:rPr>
          <w:i/>
          <w:sz w:val="38"/>
        </w:rPr>
        <w:t>and</w:t>
      </w:r>
      <w:r>
        <w:rPr>
          <w:i/>
          <w:spacing w:val="-13"/>
          <w:sz w:val="38"/>
        </w:rPr>
        <w:t> </w:t>
      </w:r>
      <w:r>
        <w:rPr>
          <w:i/>
          <w:sz w:val="38"/>
        </w:rPr>
        <w:t>piperine,</w:t>
      </w:r>
      <w:r>
        <w:rPr>
          <w:i/>
          <w:spacing w:val="-10"/>
          <w:sz w:val="38"/>
        </w:rPr>
        <w:t> </w:t>
      </w:r>
      <w:r>
        <w:rPr>
          <w:i/>
          <w:sz w:val="38"/>
        </w:rPr>
        <w:t>combined</w:t>
      </w:r>
      <w:r>
        <w:rPr>
          <w:i/>
          <w:spacing w:val="-12"/>
          <w:sz w:val="38"/>
        </w:rPr>
        <w:t> </w:t>
      </w:r>
      <w:r>
        <w:rPr>
          <w:i/>
          <w:sz w:val="38"/>
        </w:rPr>
        <w:t>as</w:t>
      </w:r>
      <w:r>
        <w:rPr>
          <w:i/>
          <w:spacing w:val="-16"/>
          <w:sz w:val="38"/>
        </w:rPr>
        <w:t> </w:t>
      </w:r>
      <w:r>
        <w:rPr>
          <w:i/>
          <w:sz w:val="38"/>
        </w:rPr>
        <w:t>psychodrugs,</w:t>
      </w:r>
      <w:r>
        <w:rPr>
          <w:i/>
          <w:spacing w:val="-10"/>
          <w:sz w:val="38"/>
        </w:rPr>
        <w:t> </w:t>
      </w:r>
      <w:r>
        <w:rPr>
          <w:i/>
          <w:sz w:val="38"/>
        </w:rPr>
        <w:t>are</w:t>
      </w:r>
      <w:r>
        <w:rPr>
          <w:i/>
          <w:spacing w:val="-11"/>
          <w:sz w:val="38"/>
        </w:rPr>
        <w:t> </w:t>
      </w:r>
      <w:r>
        <w:rPr>
          <w:i/>
          <w:sz w:val="38"/>
        </w:rPr>
        <w:t>a</w:t>
      </w:r>
      <w:r>
        <w:rPr>
          <w:i/>
          <w:spacing w:val="-17"/>
          <w:sz w:val="38"/>
        </w:rPr>
        <w:t> </w:t>
      </w:r>
      <w:r>
        <w:rPr>
          <w:i/>
          <w:sz w:val="38"/>
        </w:rPr>
        <w:t>useful</w:t>
      </w:r>
      <w:r>
        <w:rPr>
          <w:i/>
          <w:spacing w:val="-12"/>
          <w:sz w:val="38"/>
        </w:rPr>
        <w:t> </w:t>
      </w:r>
      <w:r>
        <w:rPr>
          <w:i/>
          <w:sz w:val="38"/>
        </w:rPr>
        <w:t>and</w:t>
      </w:r>
      <w:r>
        <w:rPr>
          <w:i/>
          <w:spacing w:val="-13"/>
          <w:sz w:val="38"/>
        </w:rPr>
        <w:t> </w:t>
      </w:r>
      <w:r>
        <w:rPr>
          <w:i/>
          <w:sz w:val="38"/>
        </w:rPr>
        <w:t>potent</w:t>
      </w:r>
      <w:r>
        <w:rPr>
          <w:i/>
          <w:spacing w:val="-12"/>
          <w:sz w:val="38"/>
        </w:rPr>
        <w:t> </w:t>
      </w:r>
      <w:r>
        <w:rPr>
          <w:i/>
          <w:sz w:val="38"/>
        </w:rPr>
        <w:t>natural</w:t>
      </w:r>
      <w:r>
        <w:rPr>
          <w:i/>
          <w:spacing w:val="-11"/>
          <w:sz w:val="38"/>
        </w:rPr>
        <w:t> </w:t>
      </w:r>
      <w:r>
        <w:rPr>
          <w:i/>
          <w:sz w:val="38"/>
        </w:rPr>
        <w:t>alternative </w:t>
      </w:r>
      <w:r>
        <w:rPr>
          <w:i/>
          <w:sz w:val="38"/>
        </w:rPr>
        <w:t>in the treatment of depression</w:t>
      </w:r>
      <w:r>
        <w:rPr>
          <w:sz w:val="38"/>
        </w:rPr>
        <w:t>‘. (Dr. Kulkarni of Panjab</w:t>
      </w:r>
      <w:r>
        <w:rPr>
          <w:spacing w:val="-9"/>
          <w:sz w:val="38"/>
        </w:rPr>
        <w:t> </w:t>
      </w:r>
      <w:r>
        <w:rPr>
          <w:sz w:val="38"/>
        </w:rPr>
        <w:t>University.)</w:t>
      </w:r>
      <w:r>
        <w:rPr>
          <w:position w:val="9"/>
          <w:sz w:val="25"/>
        </w:rPr>
        <w:t>231</w:t>
      </w:r>
    </w:p>
    <w:p>
      <w:pPr>
        <w:pStyle w:val="Heading1"/>
      </w:pPr>
      <w:r>
        <w:rPr/>
        <w:t>Effect of curcumin against ageing</w:t>
      </w:r>
    </w:p>
    <w:p>
      <w:pPr>
        <w:pStyle w:val="BodyText"/>
        <w:spacing w:line="276" w:lineRule="auto" w:before="297"/>
        <w:ind w:left="477" w:right="139"/>
        <w:jc w:val="both"/>
      </w:pPr>
      <w:r>
        <w:rPr/>
        <w:t>Curcumin activates genes responsible for cell division and differentiation. Cell division is a prerequisite for the rejuvenation of all tissue forms. Furthermore, it promotes collagen synthesis and thus the rebuilding of collagens, which lead to skin renewal and the disappearance of wrinkles.</w:t>
      </w:r>
    </w:p>
    <w:p>
      <w:pPr>
        <w:pStyle w:val="BodyText"/>
        <w:spacing w:line="276" w:lineRule="auto" w:before="242"/>
        <w:ind w:left="477" w:right="136"/>
        <w:jc w:val="both"/>
      </w:pPr>
      <w:r>
        <w:rPr/>
        <w:t>With</w:t>
      </w:r>
      <w:r>
        <w:rPr>
          <w:spacing w:val="-11"/>
        </w:rPr>
        <w:t> </w:t>
      </w:r>
      <w:r>
        <w:rPr/>
        <w:t>its</w:t>
      </w:r>
      <w:r>
        <w:rPr>
          <w:spacing w:val="-11"/>
        </w:rPr>
        <w:t> </w:t>
      </w:r>
      <w:r>
        <w:rPr/>
        <w:t>neuroprotective</w:t>
      </w:r>
      <w:r>
        <w:rPr>
          <w:spacing w:val="-12"/>
        </w:rPr>
        <w:t> </w:t>
      </w:r>
      <w:r>
        <w:rPr/>
        <w:t>effect</w:t>
      </w:r>
      <w:r>
        <w:rPr>
          <w:spacing w:val="-10"/>
        </w:rPr>
        <w:t> </w:t>
      </w:r>
      <w:r>
        <w:rPr/>
        <w:t>and</w:t>
      </w:r>
      <w:r>
        <w:rPr>
          <w:spacing w:val="-11"/>
        </w:rPr>
        <w:t> </w:t>
      </w:r>
      <w:r>
        <w:rPr/>
        <w:t>the</w:t>
      </w:r>
      <w:r>
        <w:rPr>
          <w:spacing w:val="-9"/>
        </w:rPr>
        <w:t> </w:t>
      </w:r>
      <w:r>
        <w:rPr/>
        <w:t>resulting</w:t>
      </w:r>
      <w:r>
        <w:rPr>
          <w:spacing w:val="-11"/>
        </w:rPr>
        <w:t> </w:t>
      </w:r>
      <w:r>
        <w:rPr/>
        <w:t>protection</w:t>
      </w:r>
      <w:r>
        <w:rPr>
          <w:spacing w:val="-10"/>
        </w:rPr>
        <w:t> </w:t>
      </w:r>
      <w:r>
        <w:rPr/>
        <w:t>against</w:t>
      </w:r>
      <w:r>
        <w:rPr>
          <w:spacing w:val="-12"/>
        </w:rPr>
        <w:t> </w:t>
      </w:r>
      <w:r>
        <w:rPr/>
        <w:t>Alzheimer’s and dementia, curcumin is a true, functional anti-ageing</w:t>
      </w:r>
      <w:r>
        <w:rPr>
          <w:spacing w:val="-4"/>
        </w:rPr>
        <w:t> </w:t>
      </w:r>
      <w:r>
        <w:rPr/>
        <w:t>agent.</w:t>
      </w:r>
    </w:p>
    <w:p>
      <w:pPr>
        <w:pStyle w:val="BodyText"/>
        <w:spacing w:line="276" w:lineRule="auto" w:before="238"/>
        <w:ind w:left="477" w:right="130"/>
        <w:jc w:val="both"/>
      </w:pPr>
      <w:r>
        <w:rPr/>
        <w:t>With its arterioprotective effect, curcumin completely lives up to the motto ‘</w:t>
      </w:r>
      <w:r>
        <w:rPr>
          <w:i/>
        </w:rPr>
        <w:t>A </w:t>
      </w:r>
      <w:r>
        <w:rPr>
          <w:i/>
        </w:rPr>
        <w:t>person is as old as their blood vessels</w:t>
      </w:r>
      <w:r>
        <w:rPr/>
        <w:t>’. As a potent blocker of NF-κB, it eliminates age-related inflammation in the body (‘inflammageing’), which can cause nu- merous neurodegenerative diseases in old age.</w:t>
      </w:r>
    </w:p>
    <w:p>
      <w:pPr>
        <w:pStyle w:val="Heading1"/>
        <w:spacing w:before="225"/>
        <w:jc w:val="both"/>
      </w:pPr>
      <w:r>
        <w:rPr/>
        <w:t>Effect of curcumin against bacterial</w:t>
      </w:r>
      <w:r>
        <w:rPr>
          <w:spacing w:val="-68"/>
        </w:rPr>
        <w:t> </w:t>
      </w:r>
      <w:r>
        <w:rPr/>
        <w:t>infections</w:t>
      </w:r>
    </w:p>
    <w:p>
      <w:pPr>
        <w:pStyle w:val="BodyText"/>
        <w:rPr>
          <w:b/>
          <w:i/>
          <w:sz w:val="20"/>
        </w:rPr>
      </w:pPr>
    </w:p>
    <w:p>
      <w:pPr>
        <w:pStyle w:val="BodyText"/>
        <w:rPr>
          <w:b/>
          <w:i/>
          <w:sz w:val="20"/>
        </w:rPr>
      </w:pPr>
    </w:p>
    <w:p>
      <w:pPr>
        <w:pStyle w:val="BodyText"/>
        <w:rPr>
          <w:b/>
          <w:i/>
          <w:sz w:val="20"/>
        </w:rPr>
      </w:pPr>
    </w:p>
    <w:p>
      <w:pPr>
        <w:pStyle w:val="BodyText"/>
        <w:spacing w:before="9"/>
        <w:rPr>
          <w:b/>
          <w:i/>
          <w:sz w:val="25"/>
        </w:rPr>
      </w:pPr>
      <w:r>
        <w:rPr/>
        <w:pict>
          <v:line style="position:absolute;mso-position-horizontal-relative:page;mso-position-vertical-relative:paragraph;z-index:2384;mso-wrap-distance-left:0;mso-wrap-distance-right:0" from="63.863998pt,16.902515pt" to="207.883998pt,16.902515pt" stroked="true" strokeweight=".71997pt" strokecolor="#000000">
            <v:stroke dashstyle="solid"/>
            <w10:wrap type="topAndBottom"/>
          </v:line>
        </w:pict>
      </w:r>
    </w:p>
    <w:p>
      <w:pPr>
        <w:pStyle w:val="BodyText"/>
        <w:spacing w:before="7"/>
        <w:rPr>
          <w:b/>
          <w:i/>
          <w:sz w:val="18"/>
        </w:rPr>
      </w:pPr>
    </w:p>
    <w:p>
      <w:pPr>
        <w:spacing w:before="100"/>
        <w:ind w:left="477" w:right="0" w:firstLine="0"/>
        <w:jc w:val="left"/>
        <w:rPr>
          <w:sz w:val="20"/>
        </w:rPr>
      </w:pPr>
      <w:r>
        <w:rPr>
          <w:position w:val="5"/>
          <w:sz w:val="13"/>
        </w:rPr>
        <w:t>231 </w:t>
      </w:r>
      <w:r>
        <w:rPr>
          <w:sz w:val="20"/>
        </w:rPr>
        <w:t>Klaus Oberbeil: Kurkuma – die heilende Kraft der Zauberknolle (‘Turmeric – The Healing Power of the Magic Tuber’), 6/2012 p. 132</w:t>
      </w:r>
    </w:p>
    <w:p>
      <w:pPr>
        <w:spacing w:after="0"/>
        <w:jc w:val="left"/>
        <w:rPr>
          <w:sz w:val="20"/>
        </w:rPr>
        <w:sectPr>
          <w:footerReference w:type="default" r:id="rId89"/>
          <w:pgSz w:w="14270" w:h="16850"/>
          <w:pgMar w:footer="1891" w:header="0" w:top="1600" w:bottom="2080" w:left="800" w:right="1280"/>
          <w:pgNumType w:start="35"/>
        </w:sectPr>
      </w:pPr>
    </w:p>
    <w:p>
      <w:pPr>
        <w:pStyle w:val="BodyText"/>
        <w:spacing w:line="276" w:lineRule="auto" w:before="181"/>
        <w:ind w:left="477" w:right="133"/>
        <w:jc w:val="both"/>
      </w:pPr>
      <w:r>
        <w:rPr/>
        <w:t>In in vitro studies, curcumin prevented infection-related symptoms and adher- ence of the Neisseria gonorrhoea bacterium; this is due to its high essential oil content.</w:t>
      </w:r>
    </w:p>
    <w:p>
      <w:pPr>
        <w:pStyle w:val="Heading1"/>
      </w:pPr>
      <w:r>
        <w:rPr/>
        <w:t>Effect of curcumin on HIV/AIDS</w:t>
      </w:r>
    </w:p>
    <w:p>
      <w:pPr>
        <w:pStyle w:val="BodyText"/>
        <w:spacing w:line="276" w:lineRule="auto" w:before="300"/>
        <w:ind w:left="477" w:right="134"/>
        <w:jc w:val="both"/>
      </w:pPr>
      <w:r>
        <w:rPr/>
        <w:t>Not even the HIV virus escapes the antiviral, immune-strengthening effect of curcumin. Curcumin interferes with the CBP (P300/CREB-binding protein) and thus the proliferation of HIV.</w:t>
      </w:r>
    </w:p>
    <w:p>
      <w:pPr>
        <w:pStyle w:val="Heading1"/>
        <w:spacing w:before="222"/>
      </w:pPr>
      <w:r>
        <w:rPr/>
        <w:t>Curcumin and its effect on cancer</w:t>
      </w:r>
    </w:p>
    <w:p>
      <w:pPr>
        <w:pStyle w:val="BodyText"/>
        <w:spacing w:line="276" w:lineRule="auto" w:before="299"/>
        <w:ind w:left="477" w:right="131"/>
        <w:jc w:val="both"/>
      </w:pPr>
      <w:r>
        <w:rPr/>
        <w:t>The</w:t>
      </w:r>
      <w:r>
        <w:rPr>
          <w:spacing w:val="-24"/>
        </w:rPr>
        <w:t> </w:t>
      </w:r>
      <w:r>
        <w:rPr/>
        <w:t>effect</w:t>
      </w:r>
      <w:r>
        <w:rPr>
          <w:spacing w:val="-23"/>
        </w:rPr>
        <w:t> </w:t>
      </w:r>
      <w:r>
        <w:rPr/>
        <w:t>of</w:t>
      </w:r>
      <w:r>
        <w:rPr>
          <w:spacing w:val="-23"/>
        </w:rPr>
        <w:t> </w:t>
      </w:r>
      <w:r>
        <w:rPr/>
        <w:t>curcumin</w:t>
      </w:r>
      <w:r>
        <w:rPr>
          <w:spacing w:val="-23"/>
        </w:rPr>
        <w:t> </w:t>
      </w:r>
      <w:r>
        <w:rPr/>
        <w:t>on</w:t>
      </w:r>
      <w:r>
        <w:rPr>
          <w:spacing w:val="-23"/>
        </w:rPr>
        <w:t> </w:t>
      </w:r>
      <w:r>
        <w:rPr/>
        <w:t>cancer</w:t>
      </w:r>
      <w:r>
        <w:rPr>
          <w:spacing w:val="-28"/>
        </w:rPr>
        <w:t> </w:t>
      </w:r>
      <w:r>
        <w:rPr/>
        <w:t>is</w:t>
      </w:r>
      <w:r>
        <w:rPr>
          <w:spacing w:val="-24"/>
        </w:rPr>
        <w:t> </w:t>
      </w:r>
      <w:r>
        <w:rPr/>
        <w:t>clearly</w:t>
      </w:r>
      <w:r>
        <w:rPr>
          <w:spacing w:val="-23"/>
        </w:rPr>
        <w:t> </w:t>
      </w:r>
      <w:r>
        <w:rPr/>
        <w:t>demonstrated</w:t>
      </w:r>
      <w:r>
        <w:rPr>
          <w:spacing w:val="-25"/>
        </w:rPr>
        <w:t> </w:t>
      </w:r>
      <w:r>
        <w:rPr/>
        <w:t>by</w:t>
      </w:r>
      <w:r>
        <w:rPr>
          <w:spacing w:val="-24"/>
        </w:rPr>
        <w:t> </w:t>
      </w:r>
      <w:r>
        <w:rPr/>
        <w:t>an</w:t>
      </w:r>
      <w:r>
        <w:rPr>
          <w:spacing w:val="-24"/>
        </w:rPr>
        <w:t> </w:t>
      </w:r>
      <w:r>
        <w:rPr/>
        <w:t>impressive</w:t>
      </w:r>
      <w:r>
        <w:rPr>
          <w:spacing w:val="-25"/>
        </w:rPr>
        <w:t> </w:t>
      </w:r>
      <w:r>
        <w:rPr/>
        <w:t>num- ber of studies (over 3000) covering almost all cancers; the German, Austrian and</w:t>
      </w:r>
      <w:r>
        <w:rPr>
          <w:spacing w:val="-10"/>
        </w:rPr>
        <w:t> </w:t>
      </w:r>
      <w:r>
        <w:rPr/>
        <w:t>US</w:t>
      </w:r>
      <w:r>
        <w:rPr>
          <w:spacing w:val="-10"/>
        </w:rPr>
        <w:t> </w:t>
      </w:r>
      <w:r>
        <w:rPr/>
        <w:t>Oncology</w:t>
      </w:r>
      <w:r>
        <w:rPr>
          <w:spacing w:val="-9"/>
        </w:rPr>
        <w:t> </w:t>
      </w:r>
      <w:r>
        <w:rPr/>
        <w:t>Association</w:t>
      </w:r>
      <w:r>
        <w:rPr>
          <w:spacing w:val="-9"/>
        </w:rPr>
        <w:t> </w:t>
      </w:r>
      <w:r>
        <w:rPr/>
        <w:t>recommend</w:t>
      </w:r>
      <w:r>
        <w:rPr>
          <w:spacing w:val="-10"/>
        </w:rPr>
        <w:t> </w:t>
      </w:r>
      <w:r>
        <w:rPr/>
        <w:t>curcuma</w:t>
      </w:r>
      <w:r>
        <w:rPr>
          <w:spacing w:val="-10"/>
        </w:rPr>
        <w:t> </w:t>
      </w:r>
      <w:r>
        <w:rPr/>
        <w:t>as</w:t>
      </w:r>
      <w:r>
        <w:rPr>
          <w:spacing w:val="-11"/>
        </w:rPr>
        <w:t> </w:t>
      </w:r>
      <w:r>
        <w:rPr/>
        <w:t>adjunctive</w:t>
      </w:r>
      <w:r>
        <w:rPr>
          <w:spacing w:val="-10"/>
        </w:rPr>
        <w:t> </w:t>
      </w:r>
      <w:r>
        <w:rPr/>
        <w:t>therapy.</w:t>
      </w:r>
      <w:r>
        <w:rPr>
          <w:spacing w:val="-8"/>
        </w:rPr>
        <w:t> </w:t>
      </w:r>
      <w:r>
        <w:rPr/>
        <w:t>At</w:t>
      </w:r>
      <w:r>
        <w:rPr>
          <w:spacing w:val="-11"/>
        </w:rPr>
        <w:t> </w:t>
      </w:r>
      <w:r>
        <w:rPr/>
        <w:t>a medical congress in the USA in 2005, curcuma was recognised as the only nat- ural remedy that can be used for the preventive and therapeutic treatment of cancer – irrespective of the type of cancer! This should be given in as high a dose as possible and under medical supervision.</w:t>
      </w:r>
      <w:r>
        <w:rPr>
          <w:position w:val="9"/>
          <w:sz w:val="25"/>
        </w:rPr>
        <w:t>232 </w:t>
      </w:r>
      <w:r>
        <w:rPr/>
        <w:t>In an international compar- ison, the morbidity rate of breast, prostate, large intestine and lung cancer in India is ten times less than in the USA from a statistical point of view. This is attributed to the daily amount of curcumin in the traditional Indian</w:t>
      </w:r>
      <w:r>
        <w:rPr>
          <w:spacing w:val="-8"/>
        </w:rPr>
        <w:t> </w:t>
      </w:r>
      <w:r>
        <w:rPr/>
        <w:t>diet!</w:t>
      </w:r>
    </w:p>
    <w:p>
      <w:pPr>
        <w:pStyle w:val="BodyText"/>
        <w:rPr>
          <w:sz w:val="20"/>
        </w:rPr>
      </w:pPr>
    </w:p>
    <w:p>
      <w:pPr>
        <w:pStyle w:val="BodyText"/>
        <w:spacing w:before="11"/>
        <w:rPr>
          <w:sz w:val="15"/>
        </w:rPr>
      </w:pPr>
      <w:r>
        <w:rPr/>
        <w:pict>
          <v:line style="position:absolute;mso-position-horizontal-relative:page;mso-position-vertical-relative:paragraph;z-index:2408;mso-wrap-distance-left:0;mso-wrap-distance-right:0" from="63.863998pt,11.340015pt" to="207.883998pt,11.34001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232 </w:t>
      </w:r>
      <w:hyperlink r:id="rId91">
        <w:r>
          <w:rPr>
            <w:sz w:val="20"/>
          </w:rPr>
          <w:t>http://www.bankhofer-gesundheitstipps.de/artikel/98-Curcuma-als-Heilmittel-Staerkt-die-Leber,-schuetzt-vor-Diabetes-und-Cholesterin.html</w:t>
        </w:r>
      </w:hyperlink>
    </w:p>
    <w:p>
      <w:pPr>
        <w:spacing w:after="0"/>
        <w:jc w:val="left"/>
        <w:rPr>
          <w:sz w:val="20"/>
        </w:rPr>
        <w:sectPr>
          <w:footerReference w:type="default" r:id="rId90"/>
          <w:pgSz w:w="14270" w:h="16850"/>
          <w:pgMar w:footer="1891" w:header="0" w:top="1600" w:bottom="2080" w:left="800" w:right="1280"/>
          <w:pgNumType w:start="351"/>
        </w:sectPr>
      </w:pPr>
    </w:p>
    <w:p>
      <w:pPr>
        <w:spacing w:line="276" w:lineRule="auto" w:before="181"/>
        <w:ind w:left="477" w:right="131" w:firstLine="0"/>
        <w:jc w:val="both"/>
        <w:rPr>
          <w:i/>
          <w:sz w:val="38"/>
        </w:rPr>
      </w:pPr>
      <w:r>
        <w:rPr>
          <w:sz w:val="38"/>
        </w:rPr>
        <w:t>‘</w:t>
      </w:r>
      <w:r>
        <w:rPr>
          <w:i/>
          <w:sz w:val="38"/>
        </w:rPr>
        <w:t>No cancer has been found, to my knowledge, which is not affected by curcumin!’</w:t>
      </w:r>
      <w:r>
        <w:rPr>
          <w:i/>
          <w:spacing w:val="-50"/>
          <w:sz w:val="38"/>
        </w:rPr>
        <w:t> </w:t>
      </w:r>
      <w:r>
        <w:rPr>
          <w:sz w:val="38"/>
        </w:rPr>
        <w:t>(Professor Bharat</w:t>
      </w:r>
      <w:r>
        <w:rPr>
          <w:spacing w:val="-19"/>
          <w:sz w:val="38"/>
        </w:rPr>
        <w:t> </w:t>
      </w:r>
      <w:r>
        <w:rPr>
          <w:sz w:val="38"/>
        </w:rPr>
        <w:t>Aggarwal</w:t>
      </w:r>
      <w:r>
        <w:rPr>
          <w:spacing w:val="-15"/>
          <w:sz w:val="38"/>
        </w:rPr>
        <w:t> </w:t>
      </w:r>
      <w:r>
        <w:rPr>
          <w:sz w:val="38"/>
        </w:rPr>
        <w:t>Ph.</w:t>
      </w:r>
      <w:r>
        <w:rPr>
          <w:spacing w:val="-15"/>
          <w:sz w:val="38"/>
        </w:rPr>
        <w:t> </w:t>
      </w:r>
      <w:r>
        <w:rPr>
          <w:sz w:val="38"/>
        </w:rPr>
        <w:t>D.</w:t>
      </w:r>
      <w:r>
        <w:rPr>
          <w:spacing w:val="-17"/>
          <w:sz w:val="38"/>
        </w:rPr>
        <w:t> </w:t>
      </w:r>
      <w:r>
        <w:rPr>
          <w:sz w:val="38"/>
        </w:rPr>
        <w:t>Anderson's</w:t>
      </w:r>
      <w:r>
        <w:rPr>
          <w:spacing w:val="-16"/>
          <w:sz w:val="38"/>
        </w:rPr>
        <w:t> </w:t>
      </w:r>
      <w:r>
        <w:rPr>
          <w:sz w:val="38"/>
        </w:rPr>
        <w:t>Department</w:t>
      </w:r>
      <w:r>
        <w:rPr>
          <w:spacing w:val="-19"/>
          <w:sz w:val="38"/>
        </w:rPr>
        <w:t> </w:t>
      </w:r>
      <w:r>
        <w:rPr>
          <w:sz w:val="38"/>
        </w:rPr>
        <w:t>of</w:t>
      </w:r>
      <w:r>
        <w:rPr>
          <w:spacing w:val="-17"/>
          <w:sz w:val="38"/>
        </w:rPr>
        <w:t> </w:t>
      </w:r>
      <w:r>
        <w:rPr>
          <w:sz w:val="38"/>
        </w:rPr>
        <w:t>Therapeutics).</w:t>
      </w:r>
      <w:r>
        <w:rPr>
          <w:spacing w:val="-17"/>
          <w:sz w:val="38"/>
        </w:rPr>
        <w:t> </w:t>
      </w:r>
      <w:r>
        <w:rPr>
          <w:sz w:val="38"/>
        </w:rPr>
        <w:t>‘</w:t>
      </w:r>
      <w:r>
        <w:rPr>
          <w:i/>
          <w:sz w:val="38"/>
        </w:rPr>
        <w:t>No</w:t>
      </w:r>
      <w:r>
        <w:rPr>
          <w:i/>
          <w:spacing w:val="-18"/>
          <w:sz w:val="38"/>
        </w:rPr>
        <w:t> </w:t>
      </w:r>
      <w:r>
        <w:rPr>
          <w:i/>
          <w:sz w:val="38"/>
        </w:rPr>
        <w:t>cancer</w:t>
      </w:r>
      <w:r>
        <w:rPr>
          <w:i/>
          <w:spacing w:val="-18"/>
          <w:sz w:val="38"/>
        </w:rPr>
        <w:t> </w:t>
      </w:r>
      <w:r>
        <w:rPr>
          <w:i/>
          <w:sz w:val="38"/>
        </w:rPr>
        <w:t>has </w:t>
      </w:r>
      <w:r>
        <w:rPr>
          <w:i/>
          <w:sz w:val="38"/>
        </w:rPr>
        <w:t>been found, to my knowledge, which curcumin does not</w:t>
      </w:r>
      <w:r>
        <w:rPr>
          <w:i/>
          <w:spacing w:val="-6"/>
          <w:sz w:val="38"/>
        </w:rPr>
        <w:t> </w:t>
      </w:r>
      <w:r>
        <w:rPr>
          <w:i/>
          <w:sz w:val="38"/>
        </w:rPr>
        <w:t>effect!’</w:t>
      </w:r>
    </w:p>
    <w:p>
      <w:pPr>
        <w:pStyle w:val="BodyText"/>
        <w:spacing w:before="242"/>
        <w:ind w:left="477"/>
      </w:pPr>
      <w:r>
        <w:rPr/>
        <w:t>Let's take a closer look ...</w:t>
      </w:r>
    </w:p>
    <w:p>
      <w:pPr>
        <w:pStyle w:val="Heading1"/>
        <w:spacing w:line="261" w:lineRule="auto" w:before="287"/>
        <w:ind w:right="145"/>
        <w:jc w:val="both"/>
      </w:pPr>
      <w:r>
        <w:rPr/>
        <w:t>How</w:t>
      </w:r>
      <w:r>
        <w:rPr>
          <w:spacing w:val="-37"/>
        </w:rPr>
        <w:t> </w:t>
      </w:r>
      <w:r>
        <w:rPr/>
        <w:t>and</w:t>
      </w:r>
      <w:r>
        <w:rPr>
          <w:spacing w:val="-36"/>
        </w:rPr>
        <w:t> </w:t>
      </w:r>
      <w:r>
        <w:rPr/>
        <w:t>for</w:t>
      </w:r>
      <w:r>
        <w:rPr>
          <w:spacing w:val="-37"/>
        </w:rPr>
        <w:t> </w:t>
      </w:r>
      <w:r>
        <w:rPr/>
        <w:t>which</w:t>
      </w:r>
      <w:r>
        <w:rPr>
          <w:spacing w:val="-37"/>
        </w:rPr>
        <w:t> </w:t>
      </w:r>
      <w:r>
        <w:rPr/>
        <w:t>types</w:t>
      </w:r>
      <w:r>
        <w:rPr>
          <w:spacing w:val="-36"/>
        </w:rPr>
        <w:t> </w:t>
      </w:r>
      <w:r>
        <w:rPr/>
        <w:t>of</w:t>
      </w:r>
      <w:r>
        <w:rPr>
          <w:spacing w:val="-37"/>
        </w:rPr>
        <w:t> </w:t>
      </w:r>
      <w:r>
        <w:rPr/>
        <w:t>cancer</w:t>
      </w:r>
      <w:r>
        <w:rPr>
          <w:spacing w:val="-35"/>
        </w:rPr>
        <w:t> </w:t>
      </w:r>
      <w:r>
        <w:rPr/>
        <w:t>has</w:t>
      </w:r>
      <w:r>
        <w:rPr>
          <w:spacing w:val="-36"/>
        </w:rPr>
        <w:t> </w:t>
      </w:r>
      <w:r>
        <w:rPr/>
        <w:t>the</w:t>
      </w:r>
      <w:r>
        <w:rPr>
          <w:spacing w:val="-35"/>
        </w:rPr>
        <w:t> </w:t>
      </w:r>
      <w:r>
        <w:rPr/>
        <w:t>use</w:t>
      </w:r>
      <w:r>
        <w:rPr>
          <w:spacing w:val="-36"/>
        </w:rPr>
        <w:t> </w:t>
      </w:r>
      <w:r>
        <w:rPr/>
        <w:t>of</w:t>
      </w:r>
      <w:r>
        <w:rPr>
          <w:spacing w:val="-37"/>
        </w:rPr>
        <w:t> </w:t>
      </w:r>
      <w:r>
        <w:rPr/>
        <w:t>turmeric</w:t>
      </w:r>
      <w:r>
        <w:rPr>
          <w:spacing w:val="-36"/>
        </w:rPr>
        <w:t> </w:t>
      </w:r>
      <w:r>
        <w:rPr/>
        <w:t>proven</w:t>
      </w:r>
      <w:r>
        <w:rPr>
          <w:spacing w:val="-37"/>
        </w:rPr>
        <w:t> </w:t>
      </w:r>
      <w:r>
        <w:rPr/>
        <w:t>to</w:t>
      </w:r>
      <w:r>
        <w:rPr>
          <w:spacing w:val="-36"/>
        </w:rPr>
        <w:t> </w:t>
      </w:r>
      <w:r>
        <w:rPr/>
        <w:t>be effective?</w:t>
      </w:r>
    </w:p>
    <w:p>
      <w:pPr>
        <w:pStyle w:val="BodyText"/>
        <w:spacing w:line="276" w:lineRule="auto" w:before="138"/>
        <w:ind w:left="477" w:right="136"/>
        <w:jc w:val="both"/>
      </w:pPr>
      <w:r>
        <w:rPr/>
        <w:t>Curcumin</w:t>
      </w:r>
      <w:r>
        <w:rPr>
          <w:spacing w:val="-14"/>
        </w:rPr>
        <w:t> </w:t>
      </w:r>
      <w:r>
        <w:rPr/>
        <w:t>takes</w:t>
      </w:r>
      <w:r>
        <w:rPr>
          <w:spacing w:val="-12"/>
        </w:rPr>
        <w:t> </w:t>
      </w:r>
      <w:r>
        <w:rPr/>
        <w:t>up</w:t>
      </w:r>
      <w:r>
        <w:rPr>
          <w:spacing w:val="-14"/>
        </w:rPr>
        <w:t> </w:t>
      </w:r>
      <w:r>
        <w:rPr/>
        <w:t>the</w:t>
      </w:r>
      <w:r>
        <w:rPr>
          <w:spacing w:val="-13"/>
        </w:rPr>
        <w:t> </w:t>
      </w:r>
      <w:r>
        <w:rPr/>
        <w:t>fight</w:t>
      </w:r>
      <w:r>
        <w:rPr>
          <w:spacing w:val="-14"/>
        </w:rPr>
        <w:t> </w:t>
      </w:r>
      <w:r>
        <w:rPr/>
        <w:t>against</w:t>
      </w:r>
      <w:r>
        <w:rPr>
          <w:spacing w:val="-14"/>
        </w:rPr>
        <w:t> </w:t>
      </w:r>
      <w:r>
        <w:rPr/>
        <w:t>cancer</w:t>
      </w:r>
      <w:r>
        <w:rPr>
          <w:spacing w:val="-13"/>
        </w:rPr>
        <w:t> </w:t>
      </w:r>
      <w:r>
        <w:rPr/>
        <w:t>through</w:t>
      </w:r>
      <w:r>
        <w:rPr>
          <w:spacing w:val="-13"/>
        </w:rPr>
        <w:t> </w:t>
      </w:r>
      <w:r>
        <w:rPr/>
        <w:t>several</w:t>
      </w:r>
      <w:r>
        <w:rPr>
          <w:spacing w:val="-16"/>
        </w:rPr>
        <w:t> </w:t>
      </w:r>
      <w:r>
        <w:rPr/>
        <w:t>simultaneous</w:t>
      </w:r>
      <w:r>
        <w:rPr>
          <w:spacing w:val="-14"/>
        </w:rPr>
        <w:t> </w:t>
      </w:r>
      <w:r>
        <w:rPr/>
        <w:t>mech- anisms:</w:t>
      </w:r>
    </w:p>
    <w:p>
      <w:pPr>
        <w:pStyle w:val="ListParagraph"/>
        <w:numPr>
          <w:ilvl w:val="1"/>
          <w:numId w:val="26"/>
        </w:numPr>
        <w:tabs>
          <w:tab w:pos="1197" w:val="left" w:leader="none"/>
          <w:tab w:pos="1198" w:val="left" w:leader="none"/>
        </w:tabs>
        <w:spacing w:line="240" w:lineRule="auto" w:before="123" w:after="0"/>
        <w:ind w:left="1197" w:right="0" w:hanging="360"/>
        <w:jc w:val="left"/>
        <w:rPr>
          <w:sz w:val="38"/>
        </w:rPr>
      </w:pPr>
      <w:r>
        <w:rPr>
          <w:sz w:val="38"/>
        </w:rPr>
        <w:t>It stimulates the immune</w:t>
      </w:r>
      <w:r>
        <w:rPr>
          <w:spacing w:val="2"/>
          <w:sz w:val="38"/>
        </w:rPr>
        <w:t> </w:t>
      </w:r>
      <w:r>
        <w:rPr>
          <w:sz w:val="38"/>
        </w:rPr>
        <w:t>system.</w:t>
      </w:r>
    </w:p>
    <w:p>
      <w:pPr>
        <w:pStyle w:val="ListParagraph"/>
        <w:numPr>
          <w:ilvl w:val="1"/>
          <w:numId w:val="26"/>
        </w:numPr>
        <w:tabs>
          <w:tab w:pos="1197" w:val="left" w:leader="none"/>
          <w:tab w:pos="1198" w:val="left" w:leader="none"/>
        </w:tabs>
        <w:spacing w:line="240" w:lineRule="auto" w:before="63" w:after="0"/>
        <w:ind w:left="1197" w:right="0" w:hanging="360"/>
        <w:jc w:val="left"/>
        <w:rPr>
          <w:sz w:val="38"/>
        </w:rPr>
      </w:pPr>
      <w:r>
        <w:rPr>
          <w:sz w:val="38"/>
        </w:rPr>
        <w:t>As a transcription factor, it inhibits the formation and</w:t>
      </w:r>
    </w:p>
    <w:p>
      <w:pPr>
        <w:pStyle w:val="ListParagraph"/>
        <w:numPr>
          <w:ilvl w:val="1"/>
          <w:numId w:val="26"/>
        </w:numPr>
        <w:tabs>
          <w:tab w:pos="1197" w:val="left" w:leader="none"/>
          <w:tab w:pos="1198" w:val="left" w:leader="none"/>
        </w:tabs>
        <w:spacing w:line="240" w:lineRule="auto" w:before="64" w:after="0"/>
        <w:ind w:left="1197" w:right="0" w:hanging="360"/>
        <w:jc w:val="left"/>
        <w:rPr>
          <w:sz w:val="38"/>
        </w:rPr>
      </w:pPr>
      <w:r>
        <w:rPr>
          <w:sz w:val="38"/>
        </w:rPr>
        <w:t>propagation of metastases (proliferation) at the genetic</w:t>
      </w:r>
      <w:r>
        <w:rPr>
          <w:spacing w:val="-6"/>
          <w:sz w:val="38"/>
        </w:rPr>
        <w:t> </w:t>
      </w:r>
      <w:r>
        <w:rPr>
          <w:sz w:val="38"/>
        </w:rPr>
        <w:t>level.</w:t>
      </w:r>
    </w:p>
    <w:p>
      <w:pPr>
        <w:pStyle w:val="ListParagraph"/>
        <w:numPr>
          <w:ilvl w:val="1"/>
          <w:numId w:val="26"/>
        </w:numPr>
        <w:tabs>
          <w:tab w:pos="1197" w:val="left" w:leader="none"/>
          <w:tab w:pos="1198" w:val="left" w:leader="none"/>
        </w:tabs>
        <w:spacing w:line="273" w:lineRule="auto" w:before="66" w:after="0"/>
        <w:ind w:left="1197" w:right="789" w:hanging="360"/>
        <w:jc w:val="left"/>
        <w:rPr>
          <w:sz w:val="38"/>
        </w:rPr>
      </w:pPr>
      <w:r>
        <w:rPr>
          <w:sz w:val="38"/>
        </w:rPr>
        <w:t>It activates genes that are responsible for apoptosis (programmed cell death of the cancer</w:t>
      </w:r>
      <w:r>
        <w:rPr>
          <w:spacing w:val="4"/>
          <w:sz w:val="38"/>
        </w:rPr>
        <w:t> </w:t>
      </w:r>
      <w:r>
        <w:rPr>
          <w:sz w:val="38"/>
        </w:rPr>
        <w:t>cells).</w:t>
      </w:r>
    </w:p>
    <w:p>
      <w:pPr>
        <w:pStyle w:val="ListParagraph"/>
        <w:numPr>
          <w:ilvl w:val="1"/>
          <w:numId w:val="26"/>
        </w:numPr>
        <w:tabs>
          <w:tab w:pos="1197" w:val="left" w:leader="none"/>
          <w:tab w:pos="1198" w:val="left" w:leader="none"/>
        </w:tabs>
        <w:spacing w:line="273" w:lineRule="auto" w:before="7" w:after="0"/>
        <w:ind w:left="1197" w:right="390" w:hanging="360"/>
        <w:jc w:val="left"/>
        <w:rPr>
          <w:sz w:val="38"/>
        </w:rPr>
      </w:pPr>
      <w:r>
        <w:rPr>
          <w:sz w:val="38"/>
        </w:rPr>
        <w:t>It has antiangiogenic effects (prevents the development of blood vessels in tumour tissue).</w:t>
      </w:r>
    </w:p>
    <w:p>
      <w:pPr>
        <w:pStyle w:val="ListParagraph"/>
        <w:numPr>
          <w:ilvl w:val="1"/>
          <w:numId w:val="26"/>
        </w:numPr>
        <w:tabs>
          <w:tab w:pos="1197" w:val="left" w:leader="none"/>
          <w:tab w:pos="1198" w:val="left" w:leader="none"/>
        </w:tabs>
        <w:spacing w:line="273" w:lineRule="auto" w:before="7" w:after="0"/>
        <w:ind w:left="1197" w:right="167" w:hanging="360"/>
        <w:jc w:val="left"/>
        <w:rPr>
          <w:sz w:val="38"/>
        </w:rPr>
      </w:pPr>
      <w:r>
        <w:rPr>
          <w:sz w:val="38"/>
        </w:rPr>
        <w:t>It makes the cell membrane of cancer cells more permeable and therefore more vulnerable to the immune system, chemotherapy, radiotherapy</w:t>
      </w:r>
      <w:r>
        <w:rPr>
          <w:spacing w:val="-24"/>
          <w:sz w:val="38"/>
        </w:rPr>
        <w:t> </w:t>
      </w:r>
      <w:r>
        <w:rPr>
          <w:sz w:val="38"/>
        </w:rPr>
        <w:t>etc.</w:t>
      </w:r>
    </w:p>
    <w:p>
      <w:pPr>
        <w:pStyle w:val="ListParagraph"/>
        <w:numPr>
          <w:ilvl w:val="1"/>
          <w:numId w:val="26"/>
        </w:numPr>
        <w:tabs>
          <w:tab w:pos="1197" w:val="left" w:leader="none"/>
          <w:tab w:pos="1198" w:val="left" w:leader="none"/>
        </w:tabs>
        <w:spacing w:line="240" w:lineRule="auto" w:before="7" w:after="0"/>
        <w:ind w:left="1197" w:right="0" w:hanging="360"/>
        <w:jc w:val="left"/>
        <w:rPr>
          <w:sz w:val="38"/>
        </w:rPr>
      </w:pPr>
      <w:r>
        <w:rPr>
          <w:sz w:val="38"/>
        </w:rPr>
        <w:t>It acts as a proteasome</w:t>
      </w:r>
      <w:r>
        <w:rPr>
          <w:spacing w:val="-1"/>
          <w:sz w:val="38"/>
        </w:rPr>
        <w:t> </w:t>
      </w:r>
      <w:r>
        <w:rPr>
          <w:sz w:val="38"/>
        </w:rPr>
        <w:t>inhibitor.</w:t>
      </w:r>
    </w:p>
    <w:p>
      <w:pPr>
        <w:pStyle w:val="ListParagraph"/>
        <w:numPr>
          <w:ilvl w:val="1"/>
          <w:numId w:val="26"/>
        </w:numPr>
        <w:tabs>
          <w:tab w:pos="1197" w:val="left" w:leader="none"/>
          <w:tab w:pos="1198" w:val="left" w:leader="none"/>
        </w:tabs>
        <w:spacing w:line="240" w:lineRule="auto" w:before="64" w:after="0"/>
        <w:ind w:left="1197" w:right="0" w:hanging="360"/>
        <w:jc w:val="left"/>
        <w:rPr>
          <w:sz w:val="38"/>
        </w:rPr>
      </w:pPr>
      <w:r>
        <w:rPr>
          <w:sz w:val="38"/>
        </w:rPr>
        <w:t>It counteracts inflammation by deactivating the protein NF-kB.</w:t>
      </w:r>
    </w:p>
    <w:p>
      <w:pPr>
        <w:pStyle w:val="ListParagraph"/>
        <w:numPr>
          <w:ilvl w:val="1"/>
          <w:numId w:val="26"/>
        </w:numPr>
        <w:tabs>
          <w:tab w:pos="1197" w:val="left" w:leader="none"/>
          <w:tab w:pos="1198" w:val="left" w:leader="none"/>
        </w:tabs>
        <w:spacing w:line="273" w:lineRule="auto" w:before="64" w:after="0"/>
        <w:ind w:left="1197" w:right="142" w:hanging="360"/>
        <w:jc w:val="left"/>
        <w:rPr>
          <w:sz w:val="38"/>
        </w:rPr>
      </w:pPr>
      <w:r>
        <w:rPr>
          <w:sz w:val="38"/>
        </w:rPr>
        <w:t>It promotes apoptosis (programmed cell death of the cancer cell) by shut- ting off two proteins that block it, driving the cancer cells to</w:t>
      </w:r>
      <w:r>
        <w:rPr>
          <w:spacing w:val="-11"/>
          <w:sz w:val="38"/>
        </w:rPr>
        <w:t> </w:t>
      </w:r>
      <w:r>
        <w:rPr>
          <w:sz w:val="38"/>
        </w:rPr>
        <w:t>suicide.</w:t>
      </w:r>
    </w:p>
    <w:p>
      <w:pPr>
        <w:spacing w:after="0" w:line="273" w:lineRule="auto"/>
        <w:jc w:val="left"/>
        <w:rPr>
          <w:sz w:val="38"/>
        </w:rPr>
        <w:sectPr>
          <w:pgSz w:w="14270" w:h="16850"/>
          <w:pgMar w:header="0" w:footer="1891" w:top="1600" w:bottom="2080" w:left="800" w:right="1280"/>
        </w:sectPr>
      </w:pPr>
    </w:p>
    <w:p>
      <w:pPr>
        <w:pStyle w:val="BodyText"/>
        <w:spacing w:before="10"/>
        <w:rPr>
          <w:sz w:val="8"/>
        </w:rPr>
      </w:pPr>
    </w:p>
    <w:p>
      <w:pPr>
        <w:pStyle w:val="ListParagraph"/>
        <w:numPr>
          <w:ilvl w:val="1"/>
          <w:numId w:val="26"/>
        </w:numPr>
        <w:tabs>
          <w:tab w:pos="1197" w:val="left" w:leader="none"/>
          <w:tab w:pos="1198" w:val="left" w:leader="none"/>
        </w:tabs>
        <w:spacing w:line="273" w:lineRule="auto" w:before="83" w:after="0"/>
        <w:ind w:left="1197" w:right="368" w:hanging="360"/>
        <w:jc w:val="left"/>
        <w:rPr>
          <w:sz w:val="38"/>
        </w:rPr>
      </w:pPr>
      <w:r>
        <w:rPr>
          <w:sz w:val="38"/>
        </w:rPr>
        <w:t>Because it interferes with the ubiquitin-proteasome system of the cancer cells, these can no longer produce pollutants and</w:t>
      </w:r>
      <w:r>
        <w:rPr>
          <w:spacing w:val="-5"/>
          <w:sz w:val="38"/>
        </w:rPr>
        <w:t> </w:t>
      </w:r>
      <w:r>
        <w:rPr>
          <w:sz w:val="38"/>
        </w:rPr>
        <w:t>perish.</w:t>
      </w:r>
    </w:p>
    <w:p>
      <w:pPr>
        <w:pStyle w:val="ListParagraph"/>
        <w:numPr>
          <w:ilvl w:val="1"/>
          <w:numId w:val="26"/>
        </w:numPr>
        <w:tabs>
          <w:tab w:pos="1197" w:val="left" w:leader="none"/>
          <w:tab w:pos="1198" w:val="left" w:leader="none"/>
        </w:tabs>
        <w:spacing w:line="240" w:lineRule="auto" w:before="7" w:after="0"/>
        <w:ind w:left="1197" w:right="0" w:hanging="360"/>
        <w:jc w:val="left"/>
        <w:rPr>
          <w:sz w:val="38"/>
        </w:rPr>
      </w:pPr>
      <w:r>
        <w:rPr>
          <w:sz w:val="38"/>
        </w:rPr>
        <w:t>It prevents the mutation of pre-loaded cells into cancer</w:t>
      </w:r>
      <w:r>
        <w:rPr>
          <w:spacing w:val="-4"/>
          <w:sz w:val="38"/>
        </w:rPr>
        <w:t> </w:t>
      </w:r>
      <w:r>
        <w:rPr>
          <w:sz w:val="38"/>
        </w:rPr>
        <w:t>cells.</w:t>
      </w:r>
    </w:p>
    <w:p>
      <w:pPr>
        <w:pStyle w:val="ListParagraph"/>
        <w:numPr>
          <w:ilvl w:val="1"/>
          <w:numId w:val="26"/>
        </w:numPr>
        <w:tabs>
          <w:tab w:pos="1197" w:val="left" w:leader="none"/>
          <w:tab w:pos="1198" w:val="left" w:leader="none"/>
        </w:tabs>
        <w:spacing w:line="276" w:lineRule="auto" w:before="64" w:after="0"/>
        <w:ind w:left="1197" w:right="333" w:hanging="360"/>
        <w:jc w:val="left"/>
        <w:rPr>
          <w:sz w:val="38"/>
        </w:rPr>
      </w:pPr>
      <w:r>
        <w:rPr>
          <w:sz w:val="38"/>
        </w:rPr>
        <w:t>As a powerful antioxidant, it has a positive effect in all stages of carcino- genesis.</w:t>
      </w:r>
    </w:p>
    <w:p>
      <w:pPr>
        <w:pStyle w:val="Heading1"/>
        <w:spacing w:before="181"/>
      </w:pPr>
      <w:r>
        <w:rPr/>
        <w:t>Which types of cancer does turmeric or curcumin have an effect on?</w:t>
      </w:r>
    </w:p>
    <w:p>
      <w:pPr>
        <w:pStyle w:val="BodyText"/>
        <w:spacing w:line="276" w:lineRule="auto" w:before="300"/>
        <w:ind w:left="477" w:right="138"/>
        <w:jc w:val="both"/>
      </w:pPr>
      <w:r>
        <w:rPr/>
        <w:t>Numerous</w:t>
      </w:r>
      <w:r>
        <w:rPr>
          <w:spacing w:val="-10"/>
        </w:rPr>
        <w:t> </w:t>
      </w:r>
      <w:r>
        <w:rPr/>
        <w:t>oncologists</w:t>
      </w:r>
      <w:r>
        <w:rPr>
          <w:spacing w:val="-8"/>
        </w:rPr>
        <w:t> </w:t>
      </w:r>
      <w:r>
        <w:rPr/>
        <w:t>from</w:t>
      </w:r>
      <w:r>
        <w:rPr>
          <w:spacing w:val="-8"/>
        </w:rPr>
        <w:t> </w:t>
      </w:r>
      <w:r>
        <w:rPr/>
        <w:t>all</w:t>
      </w:r>
      <w:r>
        <w:rPr>
          <w:spacing w:val="-10"/>
        </w:rPr>
        <w:t> </w:t>
      </w:r>
      <w:r>
        <w:rPr/>
        <w:t>over</w:t>
      </w:r>
      <w:r>
        <w:rPr>
          <w:spacing w:val="-7"/>
        </w:rPr>
        <w:t> </w:t>
      </w:r>
      <w:r>
        <w:rPr/>
        <w:t>the</w:t>
      </w:r>
      <w:r>
        <w:rPr>
          <w:spacing w:val="-8"/>
        </w:rPr>
        <w:t> </w:t>
      </w:r>
      <w:r>
        <w:rPr/>
        <w:t>world</w:t>
      </w:r>
      <w:r>
        <w:rPr>
          <w:spacing w:val="-8"/>
        </w:rPr>
        <w:t> </w:t>
      </w:r>
      <w:r>
        <w:rPr/>
        <w:t>believe</w:t>
      </w:r>
      <w:r>
        <w:rPr>
          <w:spacing w:val="-9"/>
        </w:rPr>
        <w:t> </w:t>
      </w:r>
      <w:r>
        <w:rPr/>
        <w:t>that</w:t>
      </w:r>
      <w:r>
        <w:rPr>
          <w:spacing w:val="-8"/>
        </w:rPr>
        <w:t> </w:t>
      </w:r>
      <w:r>
        <w:rPr/>
        <w:t>curcumin</w:t>
      </w:r>
      <w:r>
        <w:rPr>
          <w:spacing w:val="-8"/>
        </w:rPr>
        <w:t> </w:t>
      </w:r>
      <w:r>
        <w:rPr/>
        <w:t>invariably produces positive effects on every type of cancer. The literature discusses the following types of cancers that respond positively to the use of turmeric/cur- cumin:</w:t>
      </w:r>
    </w:p>
    <w:p>
      <w:pPr>
        <w:pStyle w:val="ListParagraph"/>
        <w:numPr>
          <w:ilvl w:val="0"/>
          <w:numId w:val="26"/>
        </w:numPr>
        <w:tabs>
          <w:tab w:pos="1176" w:val="left" w:leader="none"/>
        </w:tabs>
        <w:spacing w:line="240" w:lineRule="auto" w:before="240" w:after="0"/>
        <w:ind w:left="1175" w:right="0" w:hanging="698"/>
        <w:jc w:val="both"/>
        <w:rPr>
          <w:sz w:val="38"/>
        </w:rPr>
      </w:pPr>
      <w:r>
        <w:rPr>
          <w:sz w:val="38"/>
        </w:rPr>
        <w:t>colon cancer</w:t>
      </w:r>
    </w:p>
    <w:p>
      <w:pPr>
        <w:pStyle w:val="ListParagraph"/>
        <w:numPr>
          <w:ilvl w:val="0"/>
          <w:numId w:val="26"/>
        </w:numPr>
        <w:tabs>
          <w:tab w:pos="1176" w:val="left" w:leader="none"/>
        </w:tabs>
        <w:spacing w:line="240" w:lineRule="auto" w:before="64" w:after="0"/>
        <w:ind w:left="1175" w:right="0" w:hanging="698"/>
        <w:jc w:val="both"/>
        <w:rPr>
          <w:sz w:val="38"/>
        </w:rPr>
      </w:pPr>
      <w:r>
        <w:rPr>
          <w:sz w:val="38"/>
        </w:rPr>
        <w:t>breast</w:t>
      </w:r>
      <w:r>
        <w:rPr>
          <w:spacing w:val="-1"/>
          <w:sz w:val="38"/>
        </w:rPr>
        <w:t> </w:t>
      </w:r>
      <w:r>
        <w:rPr>
          <w:sz w:val="38"/>
        </w:rPr>
        <w:t>cancer</w:t>
      </w:r>
    </w:p>
    <w:p>
      <w:pPr>
        <w:pStyle w:val="ListParagraph"/>
        <w:numPr>
          <w:ilvl w:val="0"/>
          <w:numId w:val="26"/>
        </w:numPr>
        <w:tabs>
          <w:tab w:pos="1176" w:val="left" w:leader="none"/>
        </w:tabs>
        <w:spacing w:line="240" w:lineRule="auto" w:before="64" w:after="0"/>
        <w:ind w:left="1175" w:right="0" w:hanging="698"/>
        <w:jc w:val="both"/>
        <w:rPr>
          <w:sz w:val="38"/>
        </w:rPr>
      </w:pPr>
      <w:r>
        <w:rPr>
          <w:sz w:val="38"/>
        </w:rPr>
        <w:t>prostate</w:t>
      </w:r>
      <w:r>
        <w:rPr>
          <w:spacing w:val="-1"/>
          <w:sz w:val="38"/>
        </w:rPr>
        <w:t> </w:t>
      </w:r>
      <w:r>
        <w:rPr>
          <w:sz w:val="38"/>
        </w:rPr>
        <w:t>cancer</w:t>
      </w:r>
    </w:p>
    <w:p>
      <w:pPr>
        <w:pStyle w:val="ListParagraph"/>
        <w:numPr>
          <w:ilvl w:val="0"/>
          <w:numId w:val="26"/>
        </w:numPr>
        <w:tabs>
          <w:tab w:pos="1179" w:val="left" w:leader="none"/>
        </w:tabs>
        <w:spacing w:line="240" w:lineRule="auto" w:before="66" w:after="0"/>
        <w:ind w:left="1178" w:right="0" w:hanging="701"/>
        <w:jc w:val="both"/>
        <w:rPr>
          <w:sz w:val="38"/>
        </w:rPr>
      </w:pPr>
      <w:r>
        <w:rPr>
          <w:sz w:val="38"/>
        </w:rPr>
        <w:t>lung cancer</w:t>
      </w:r>
    </w:p>
    <w:p>
      <w:pPr>
        <w:pStyle w:val="ListParagraph"/>
        <w:numPr>
          <w:ilvl w:val="0"/>
          <w:numId w:val="26"/>
        </w:numPr>
        <w:tabs>
          <w:tab w:pos="1176" w:val="left" w:leader="none"/>
        </w:tabs>
        <w:spacing w:line="240" w:lineRule="auto" w:before="64" w:after="0"/>
        <w:ind w:left="1175" w:right="0" w:hanging="698"/>
        <w:jc w:val="both"/>
        <w:rPr>
          <w:sz w:val="38"/>
        </w:rPr>
      </w:pPr>
      <w:r>
        <w:rPr>
          <w:sz w:val="38"/>
        </w:rPr>
        <w:t>skin cancer</w:t>
      </w:r>
    </w:p>
    <w:p>
      <w:pPr>
        <w:pStyle w:val="ListParagraph"/>
        <w:numPr>
          <w:ilvl w:val="0"/>
          <w:numId w:val="26"/>
        </w:numPr>
        <w:tabs>
          <w:tab w:pos="1176" w:val="left" w:leader="none"/>
        </w:tabs>
        <w:spacing w:line="240" w:lineRule="auto" w:before="63" w:after="0"/>
        <w:ind w:left="1175" w:right="0" w:hanging="698"/>
        <w:jc w:val="both"/>
        <w:rPr>
          <w:sz w:val="38"/>
        </w:rPr>
      </w:pPr>
      <w:r>
        <w:rPr>
          <w:sz w:val="38"/>
        </w:rPr>
        <w:t>cervical</w:t>
      </w:r>
      <w:r>
        <w:rPr>
          <w:spacing w:val="-2"/>
          <w:sz w:val="38"/>
        </w:rPr>
        <w:t> </w:t>
      </w:r>
      <w:r>
        <w:rPr>
          <w:sz w:val="38"/>
        </w:rPr>
        <w:t>cancer</w:t>
      </w:r>
    </w:p>
    <w:p>
      <w:pPr>
        <w:pStyle w:val="Heading1"/>
        <w:spacing w:before="285"/>
        <w:jc w:val="both"/>
      </w:pPr>
      <w:r>
        <w:rPr/>
        <w:t>Effect on colon cancer</w:t>
      </w:r>
    </w:p>
    <w:p>
      <w:pPr>
        <w:pStyle w:val="BodyText"/>
        <w:spacing w:line="276" w:lineRule="auto" w:before="299"/>
        <w:ind w:left="477" w:right="132"/>
        <w:jc w:val="both"/>
      </w:pPr>
      <w:r>
        <w:rPr/>
        <w:t>Curcumin</w:t>
      </w:r>
      <w:r>
        <w:rPr>
          <w:spacing w:val="-22"/>
        </w:rPr>
        <w:t> </w:t>
      </w:r>
      <w:r>
        <w:rPr/>
        <w:t>counteracts</w:t>
      </w:r>
      <w:r>
        <w:rPr>
          <w:spacing w:val="-21"/>
        </w:rPr>
        <w:t> </w:t>
      </w:r>
      <w:r>
        <w:rPr/>
        <w:t>colon</w:t>
      </w:r>
      <w:r>
        <w:rPr>
          <w:spacing w:val="-21"/>
        </w:rPr>
        <w:t> </w:t>
      </w:r>
      <w:r>
        <w:rPr/>
        <w:t>cancer</w:t>
      </w:r>
      <w:r>
        <w:rPr>
          <w:spacing w:val="-20"/>
        </w:rPr>
        <w:t> </w:t>
      </w:r>
      <w:r>
        <w:rPr/>
        <w:t>by</w:t>
      </w:r>
      <w:r>
        <w:rPr>
          <w:spacing w:val="-18"/>
        </w:rPr>
        <w:t> </w:t>
      </w:r>
      <w:r>
        <w:rPr/>
        <w:t>preventing</w:t>
      </w:r>
      <w:r>
        <w:rPr>
          <w:spacing w:val="-21"/>
        </w:rPr>
        <w:t> </w:t>
      </w:r>
      <w:r>
        <w:rPr/>
        <w:t>the</w:t>
      </w:r>
      <w:r>
        <w:rPr>
          <w:spacing w:val="-21"/>
        </w:rPr>
        <w:t> </w:t>
      </w:r>
      <w:r>
        <w:rPr/>
        <w:t>development</w:t>
      </w:r>
      <w:r>
        <w:rPr>
          <w:spacing w:val="-22"/>
        </w:rPr>
        <w:t> </w:t>
      </w:r>
      <w:r>
        <w:rPr/>
        <w:t>of</w:t>
      </w:r>
      <w:r>
        <w:rPr>
          <w:spacing w:val="-22"/>
        </w:rPr>
        <w:t> </w:t>
      </w:r>
      <w:r>
        <w:rPr/>
        <w:t>intestinal polyps and promoting the redevelopment of existing ones. This effect is con- sidered</w:t>
      </w:r>
      <w:r>
        <w:rPr>
          <w:spacing w:val="15"/>
        </w:rPr>
        <w:t> </w:t>
      </w:r>
      <w:r>
        <w:rPr/>
        <w:t>significant</w:t>
      </w:r>
      <w:r>
        <w:rPr>
          <w:spacing w:val="15"/>
        </w:rPr>
        <w:t> </w:t>
      </w:r>
      <w:r>
        <w:rPr/>
        <w:t>as</w:t>
      </w:r>
      <w:r>
        <w:rPr>
          <w:spacing w:val="15"/>
        </w:rPr>
        <w:t> </w:t>
      </w:r>
      <w:r>
        <w:rPr/>
        <w:t>the</w:t>
      </w:r>
      <w:r>
        <w:rPr>
          <w:spacing w:val="13"/>
        </w:rPr>
        <w:t> </w:t>
      </w:r>
      <w:r>
        <w:rPr/>
        <w:t>number</w:t>
      </w:r>
      <w:r>
        <w:rPr>
          <w:spacing w:val="15"/>
        </w:rPr>
        <w:t> </w:t>
      </w:r>
      <w:r>
        <w:rPr/>
        <w:t>of</w:t>
      </w:r>
      <w:r>
        <w:rPr>
          <w:spacing w:val="13"/>
        </w:rPr>
        <w:t> </w:t>
      </w:r>
      <w:r>
        <w:rPr/>
        <w:t>polyps</w:t>
      </w:r>
      <w:r>
        <w:rPr>
          <w:spacing w:val="20"/>
        </w:rPr>
        <w:t> </w:t>
      </w:r>
      <w:r>
        <w:rPr/>
        <w:t>decreases</w:t>
      </w:r>
      <w:r>
        <w:rPr>
          <w:spacing w:val="15"/>
        </w:rPr>
        <w:t> </w:t>
      </w:r>
      <w:r>
        <w:rPr/>
        <w:t>by</w:t>
      </w:r>
      <w:r>
        <w:rPr>
          <w:spacing w:val="14"/>
        </w:rPr>
        <w:t> </w:t>
      </w:r>
      <w:r>
        <w:rPr/>
        <w:t>60</w:t>
      </w:r>
      <w:r>
        <w:rPr>
          <w:spacing w:val="17"/>
        </w:rPr>
        <w:t> </w:t>
      </w:r>
      <w:r>
        <w:rPr/>
        <w:t>%</w:t>
      </w:r>
      <w:r>
        <w:rPr>
          <w:spacing w:val="15"/>
        </w:rPr>
        <w:t> </w:t>
      </w:r>
      <w:r>
        <w:rPr/>
        <w:t>and</w:t>
      </w:r>
      <w:r>
        <w:rPr>
          <w:spacing w:val="15"/>
        </w:rPr>
        <w:t> </w:t>
      </w:r>
      <w:r>
        <w:rPr/>
        <w:t>the</w:t>
      </w:r>
      <w:r>
        <w:rPr>
          <w:spacing w:val="14"/>
        </w:rPr>
        <w:t> </w:t>
      </w:r>
      <w:r>
        <w:rPr/>
        <w:t>size</w:t>
      </w:r>
      <w:r>
        <w:rPr>
          <w:spacing w:val="13"/>
        </w:rPr>
        <w:t> </w:t>
      </w:r>
      <w:r>
        <w:rPr/>
        <w:t>of</w:t>
      </w:r>
    </w:p>
    <w:p>
      <w:pPr>
        <w:spacing w:after="0" w:line="276" w:lineRule="auto"/>
        <w:jc w:val="both"/>
        <w:sectPr>
          <w:pgSz w:w="14270" w:h="16850"/>
          <w:pgMar w:header="0" w:footer="1891" w:top="1600" w:bottom="2080" w:left="800" w:right="1280"/>
        </w:sectPr>
      </w:pPr>
    </w:p>
    <w:p>
      <w:pPr>
        <w:pStyle w:val="BodyText"/>
        <w:spacing w:before="181"/>
        <w:ind w:left="477"/>
        <w:rPr>
          <w:sz w:val="25"/>
        </w:rPr>
      </w:pPr>
      <w:r>
        <w:rPr/>
        <w:t>each polyp reduces by half!</w:t>
      </w:r>
      <w:r>
        <w:rPr>
          <w:position w:val="9"/>
          <w:sz w:val="25"/>
        </w:rPr>
        <w:t>233</w:t>
      </w:r>
    </w:p>
    <w:p>
      <w:pPr>
        <w:pStyle w:val="Heading1"/>
        <w:spacing w:before="288"/>
      </w:pPr>
      <w:r>
        <w:rPr/>
        <w:t>Effect of curcumin on breast cancer</w:t>
      </w:r>
    </w:p>
    <w:p>
      <w:pPr>
        <w:pStyle w:val="BodyText"/>
        <w:spacing w:line="276" w:lineRule="auto" w:before="299"/>
        <w:ind w:left="477" w:right="132"/>
        <w:jc w:val="both"/>
      </w:pPr>
      <w:r>
        <w:rPr/>
        <w:t>In</w:t>
      </w:r>
      <w:r>
        <w:rPr>
          <w:spacing w:val="-11"/>
        </w:rPr>
        <w:t> </w:t>
      </w:r>
      <w:r>
        <w:rPr/>
        <w:t>animal</w:t>
      </w:r>
      <w:r>
        <w:rPr>
          <w:spacing w:val="-13"/>
        </w:rPr>
        <w:t> </w:t>
      </w:r>
      <w:r>
        <w:rPr/>
        <w:t>studies,</w:t>
      </w:r>
      <w:r>
        <w:rPr>
          <w:spacing w:val="-10"/>
        </w:rPr>
        <w:t> </w:t>
      </w:r>
      <w:r>
        <w:rPr/>
        <w:t>curcumin</w:t>
      </w:r>
      <w:r>
        <w:rPr>
          <w:spacing w:val="-11"/>
        </w:rPr>
        <w:t> </w:t>
      </w:r>
      <w:r>
        <w:rPr/>
        <w:t>has</w:t>
      </w:r>
      <w:r>
        <w:rPr>
          <w:spacing w:val="-13"/>
        </w:rPr>
        <w:t> </w:t>
      </w:r>
      <w:r>
        <w:rPr/>
        <w:t>been</w:t>
      </w:r>
      <w:r>
        <w:rPr>
          <w:spacing w:val="-10"/>
        </w:rPr>
        <w:t> </w:t>
      </w:r>
      <w:r>
        <w:rPr/>
        <w:t>shown</w:t>
      </w:r>
      <w:r>
        <w:rPr>
          <w:spacing w:val="-11"/>
        </w:rPr>
        <w:t> </w:t>
      </w:r>
      <w:r>
        <w:rPr/>
        <w:t>to</w:t>
      </w:r>
      <w:r>
        <w:rPr>
          <w:spacing w:val="-11"/>
        </w:rPr>
        <w:t> </w:t>
      </w:r>
      <w:r>
        <w:rPr/>
        <w:t>inhibit</w:t>
      </w:r>
      <w:r>
        <w:rPr>
          <w:spacing w:val="-12"/>
        </w:rPr>
        <w:t> </w:t>
      </w:r>
      <w:r>
        <w:rPr/>
        <w:t>metastasis</w:t>
      </w:r>
      <w:r>
        <w:rPr>
          <w:spacing w:val="-11"/>
        </w:rPr>
        <w:t> </w:t>
      </w:r>
      <w:r>
        <w:rPr/>
        <w:t>and</w:t>
      </w:r>
      <w:r>
        <w:rPr>
          <w:spacing w:val="-11"/>
        </w:rPr>
        <w:t> </w:t>
      </w:r>
      <w:r>
        <w:rPr/>
        <w:t>reduce</w:t>
      </w:r>
      <w:r>
        <w:rPr>
          <w:spacing w:val="-11"/>
        </w:rPr>
        <w:t> </w:t>
      </w:r>
      <w:r>
        <w:rPr/>
        <w:t>its spread to the lungs.</w:t>
      </w:r>
      <w:r>
        <w:rPr>
          <w:position w:val="9"/>
          <w:sz w:val="25"/>
        </w:rPr>
        <w:t>234 </w:t>
      </w:r>
      <w:r>
        <w:rPr/>
        <w:t>Here, curcumin acts as a transcription factor</w:t>
      </w:r>
      <w:r>
        <w:rPr>
          <w:spacing w:val="-41"/>
        </w:rPr>
        <w:t> </w:t>
      </w:r>
      <w:r>
        <w:rPr/>
        <w:t>responsible for the regulation of all genes necessary for carcinogenesis. It shuts them off, preventing the growth and spread of breast</w:t>
      </w:r>
      <w:r>
        <w:rPr>
          <w:spacing w:val="3"/>
        </w:rPr>
        <w:t> </w:t>
      </w:r>
      <w:r>
        <w:rPr/>
        <w:t>cancer.</w:t>
      </w:r>
    </w:p>
    <w:p>
      <w:pPr>
        <w:pStyle w:val="BodyText"/>
        <w:spacing w:line="276" w:lineRule="auto" w:before="240"/>
        <w:ind w:left="477" w:right="133"/>
        <w:jc w:val="both"/>
        <w:rPr>
          <w:sz w:val="25"/>
        </w:rPr>
      </w:pPr>
      <w:r>
        <w:rPr/>
        <w:t>An interesting synergy of effects arises between the conventional medicine ‘paclitaxel’</w:t>
      </w:r>
      <w:r>
        <w:rPr>
          <w:spacing w:val="-20"/>
        </w:rPr>
        <w:t> </w:t>
      </w:r>
      <w:r>
        <w:rPr/>
        <w:t>and</w:t>
      </w:r>
      <w:r>
        <w:rPr>
          <w:spacing w:val="-21"/>
        </w:rPr>
        <w:t> </w:t>
      </w:r>
      <w:r>
        <w:rPr/>
        <w:t>curcumin.</w:t>
      </w:r>
      <w:r>
        <w:rPr>
          <w:spacing w:val="-20"/>
        </w:rPr>
        <w:t> </w:t>
      </w:r>
      <w:r>
        <w:rPr/>
        <w:t>This</w:t>
      </w:r>
      <w:r>
        <w:rPr>
          <w:spacing w:val="-20"/>
        </w:rPr>
        <w:t> </w:t>
      </w:r>
      <w:r>
        <w:rPr/>
        <w:t>combination</w:t>
      </w:r>
      <w:r>
        <w:rPr>
          <w:spacing w:val="-21"/>
        </w:rPr>
        <w:t> </w:t>
      </w:r>
      <w:r>
        <w:rPr/>
        <w:t>is</w:t>
      </w:r>
      <w:r>
        <w:rPr>
          <w:spacing w:val="-21"/>
        </w:rPr>
        <w:t> </w:t>
      </w:r>
      <w:r>
        <w:rPr/>
        <w:t>expected</w:t>
      </w:r>
      <w:r>
        <w:rPr>
          <w:spacing w:val="-21"/>
        </w:rPr>
        <w:t> </w:t>
      </w:r>
      <w:r>
        <w:rPr/>
        <w:t>to</w:t>
      </w:r>
      <w:r>
        <w:rPr>
          <w:spacing w:val="-23"/>
        </w:rPr>
        <w:t> </w:t>
      </w:r>
      <w:r>
        <w:rPr/>
        <w:t>significantly</w:t>
      </w:r>
      <w:r>
        <w:rPr>
          <w:spacing w:val="-21"/>
        </w:rPr>
        <w:t> </w:t>
      </w:r>
      <w:r>
        <w:rPr/>
        <w:t>improve the treatment of breast cancer with paclitaxel. In animal studies, Bharat Ag- garwal and his colleagues from the University of Houston (Texas) in the direct test of curcumin with the chemotherapeutic drug ‘paclitaxel’ could prove that curcumin was even more successful in breast cancer with regard to the spread of metastases to the lungs than the chemotherapeutic agent. Paclitaxel could only improve its effects in combination with</w:t>
      </w:r>
      <w:r>
        <w:rPr>
          <w:spacing w:val="-2"/>
        </w:rPr>
        <w:t> </w:t>
      </w:r>
      <w:r>
        <w:rPr/>
        <w:t>curcumin.</w:t>
      </w:r>
      <w:r>
        <w:rPr>
          <w:position w:val="9"/>
          <w:sz w:val="25"/>
        </w:rPr>
        <w:t>235</w:t>
      </w:r>
    </w:p>
    <w:p>
      <w:pPr>
        <w:pStyle w:val="Heading1"/>
        <w:spacing w:before="223"/>
      </w:pPr>
      <w:r>
        <w:rPr/>
        <w:t>This is how curcumin works on skin cancer</w:t>
      </w:r>
    </w:p>
    <w:p>
      <w:pPr>
        <w:pStyle w:val="BodyText"/>
        <w:spacing w:line="276" w:lineRule="auto" w:before="300"/>
        <w:ind w:left="477" w:right="137"/>
        <w:jc w:val="both"/>
      </w:pPr>
      <w:r>
        <w:rPr/>
        <w:t>In in vitro studies on cancer cells, curcumin was able to activate apoptosis (the cell suicide programme) by suppressing two proteins whose purpose is to pre- vent suicide of cancer cells.</w:t>
      </w:r>
    </w:p>
    <w:p>
      <w:pPr>
        <w:pStyle w:val="BodyText"/>
        <w:rPr>
          <w:sz w:val="20"/>
        </w:rPr>
      </w:pPr>
    </w:p>
    <w:p>
      <w:pPr>
        <w:pStyle w:val="BodyText"/>
        <w:rPr>
          <w:sz w:val="20"/>
        </w:rPr>
      </w:pPr>
    </w:p>
    <w:p>
      <w:pPr>
        <w:pStyle w:val="BodyText"/>
        <w:spacing w:before="2"/>
        <w:rPr>
          <w:sz w:val="23"/>
        </w:rPr>
      </w:pPr>
      <w:r>
        <w:rPr/>
        <w:pict>
          <v:line style="position:absolute;mso-position-horizontal-relative:page;mso-position-vertical-relative:paragraph;z-index:2432;mso-wrap-distance-left:0;mso-wrap-distance-right:0" from="63.863998pt,15.436235pt" to="207.883998pt,15.436235pt" stroked="true" strokeweight=".72003pt" strokecolor="#000000">
            <v:stroke dashstyle="solid"/>
            <w10:wrap type="topAndBottom"/>
          </v:line>
        </w:pict>
      </w:r>
    </w:p>
    <w:p>
      <w:pPr>
        <w:pStyle w:val="BodyText"/>
        <w:spacing w:before="7"/>
        <w:rPr>
          <w:sz w:val="18"/>
        </w:rPr>
      </w:pPr>
    </w:p>
    <w:p>
      <w:pPr>
        <w:spacing w:line="273" w:lineRule="auto" w:before="99"/>
        <w:ind w:left="477" w:right="660" w:firstLine="0"/>
        <w:jc w:val="left"/>
        <w:rPr>
          <w:sz w:val="20"/>
        </w:rPr>
      </w:pPr>
      <w:r>
        <w:rPr>
          <w:position w:val="5"/>
          <w:sz w:val="13"/>
        </w:rPr>
        <w:t>233 </w:t>
      </w:r>
      <w:r>
        <w:rPr>
          <w:sz w:val="20"/>
        </w:rPr>
        <w:t>Cruz-Corres et al.: Combination treatment with curcumin and quercetin of adenomas in familial adenomatous polyposis, Clin Gastroenterol Hepatol. August; 4 (8), p. 1035-1038 (2006), PMID 16757216</w:t>
      </w:r>
    </w:p>
    <w:p>
      <w:pPr>
        <w:spacing w:line="276" w:lineRule="auto" w:before="63"/>
        <w:ind w:left="477" w:right="0" w:firstLine="0"/>
        <w:jc w:val="left"/>
        <w:rPr>
          <w:sz w:val="20"/>
        </w:rPr>
      </w:pPr>
      <w:r>
        <w:rPr>
          <w:position w:val="5"/>
          <w:sz w:val="13"/>
        </w:rPr>
        <w:t>234 </w:t>
      </w:r>
      <w:r>
        <w:rPr>
          <w:sz w:val="20"/>
        </w:rPr>
        <w:t>Aggarwal et al .: Curcumin suppresses the paclitaxel-induced nuclear factor-kappaB pathway in breast cancer cells and inhibits lung metastasis of human breast cancer in nude mice, Clin Cancer Res. Oct. 15; 11 (20), p. 7490-7498 (2005), PMID 16243823</w:t>
      </w:r>
    </w:p>
    <w:p>
      <w:pPr>
        <w:spacing w:line="276" w:lineRule="auto" w:before="61"/>
        <w:ind w:left="477" w:right="588" w:firstLine="0"/>
        <w:jc w:val="left"/>
        <w:rPr>
          <w:sz w:val="20"/>
        </w:rPr>
      </w:pPr>
      <w:r>
        <w:rPr/>
        <w:drawing>
          <wp:anchor distT="0" distB="0" distL="0" distR="0" allowOverlap="1" layoutInCell="1" locked="0" behindDoc="1" simplePos="0" relativeHeight="267170231">
            <wp:simplePos x="0" y="0"/>
            <wp:positionH relativeFrom="page">
              <wp:posOffset>896463</wp:posOffset>
            </wp:positionH>
            <wp:positionV relativeFrom="paragraph">
              <wp:posOffset>82907</wp:posOffset>
            </wp:positionV>
            <wp:extent cx="6379583" cy="902106"/>
            <wp:effectExtent l="0" t="0" r="0" b="0"/>
            <wp:wrapNone/>
            <wp:docPr id="135" name="image2.jpeg" descr=""/>
            <wp:cNvGraphicFramePr>
              <a:graphicFrameLocks noChangeAspect="1"/>
            </wp:cNvGraphicFramePr>
            <a:graphic>
              <a:graphicData uri="http://schemas.openxmlformats.org/drawingml/2006/picture">
                <pic:pic>
                  <pic:nvPicPr>
                    <pic:cNvPr id="136"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235</w:t>
      </w:r>
      <w:r>
        <w:rPr>
          <w:color w:val="660066"/>
          <w:sz w:val="20"/>
          <w:u w:val="single" w:color="660066"/>
        </w:rPr>
        <w:t>ClinCancerRes.</w:t>
      </w:r>
      <w:r>
        <w:rPr>
          <w:color w:val="660066"/>
          <w:sz w:val="20"/>
        </w:rPr>
        <w:t> </w:t>
      </w:r>
      <w:r>
        <w:rPr>
          <w:sz w:val="20"/>
        </w:rPr>
        <w:t>2005 Oct 15; 11 (20) p. 7490-7498. Curcumin suppresses the paclitaxel-induced nuclear factor-kappaB pathway in breast can- cer cells and inhibits lung metastasis of human breast cancer in nude mice.</w:t>
      </w:r>
    </w:p>
    <w:p>
      <w:pPr>
        <w:spacing w:after="0" w:line="276" w:lineRule="auto"/>
        <w:jc w:val="left"/>
        <w:rPr>
          <w:sz w:val="20"/>
        </w:rPr>
        <w:sectPr>
          <w:footerReference w:type="default" r:id="rId92"/>
          <w:pgSz w:w="14270" w:h="16850"/>
          <w:pgMar w:footer="527" w:header="0" w:top="1600" w:bottom="720" w:left="800" w:right="1280"/>
          <w:pgNumType w:start="354"/>
        </w:sectPr>
      </w:pPr>
    </w:p>
    <w:p>
      <w:pPr>
        <w:pStyle w:val="Heading1"/>
        <w:spacing w:before="164"/>
      </w:pPr>
      <w:r>
        <w:rPr/>
        <w:t>Curcumin inhibits the spread of</w:t>
      </w:r>
      <w:r>
        <w:rPr>
          <w:spacing w:val="-52"/>
        </w:rPr>
        <w:t> </w:t>
      </w:r>
      <w:r>
        <w:rPr/>
        <w:t>cancer</w:t>
      </w:r>
    </w:p>
    <w:p>
      <w:pPr>
        <w:pStyle w:val="BodyText"/>
        <w:spacing w:line="276" w:lineRule="auto" w:before="299"/>
        <w:ind w:left="477"/>
      </w:pPr>
      <w:r>
        <w:rPr/>
        <w:t>Curcumin</w:t>
      </w:r>
      <w:r>
        <w:rPr>
          <w:spacing w:val="-18"/>
        </w:rPr>
        <w:t> </w:t>
      </w:r>
      <w:r>
        <w:rPr/>
        <w:t>can</w:t>
      </w:r>
      <w:r>
        <w:rPr>
          <w:spacing w:val="-18"/>
        </w:rPr>
        <w:t> </w:t>
      </w:r>
      <w:r>
        <w:rPr/>
        <w:t>prevent</w:t>
      </w:r>
      <w:r>
        <w:rPr>
          <w:spacing w:val="-18"/>
        </w:rPr>
        <w:t> </w:t>
      </w:r>
      <w:r>
        <w:rPr/>
        <w:t>any</w:t>
      </w:r>
      <w:r>
        <w:rPr>
          <w:spacing w:val="-19"/>
        </w:rPr>
        <w:t> </w:t>
      </w:r>
      <w:r>
        <w:rPr/>
        <w:t>further</w:t>
      </w:r>
      <w:r>
        <w:rPr>
          <w:spacing w:val="-17"/>
        </w:rPr>
        <w:t> </w:t>
      </w:r>
      <w:r>
        <w:rPr/>
        <w:t>spread</w:t>
      </w:r>
      <w:r>
        <w:rPr>
          <w:spacing w:val="-20"/>
        </w:rPr>
        <w:t> </w:t>
      </w:r>
      <w:r>
        <w:rPr/>
        <w:t>of</w:t>
      </w:r>
      <w:r>
        <w:rPr>
          <w:spacing w:val="-18"/>
        </w:rPr>
        <w:t> </w:t>
      </w:r>
      <w:r>
        <w:rPr/>
        <w:t>about</w:t>
      </w:r>
      <w:r>
        <w:rPr>
          <w:spacing w:val="-19"/>
        </w:rPr>
        <w:t> </w:t>
      </w:r>
      <w:r>
        <w:rPr/>
        <w:t>40</w:t>
      </w:r>
      <w:r>
        <w:rPr>
          <w:spacing w:val="-16"/>
        </w:rPr>
        <w:t> </w:t>
      </w:r>
      <w:r>
        <w:rPr/>
        <w:t>%</w:t>
      </w:r>
      <w:r>
        <w:rPr>
          <w:spacing w:val="-18"/>
        </w:rPr>
        <w:t> </w:t>
      </w:r>
      <w:r>
        <w:rPr/>
        <w:t>of</w:t>
      </w:r>
      <w:r>
        <w:rPr>
          <w:spacing w:val="-19"/>
        </w:rPr>
        <w:t> </w:t>
      </w:r>
      <w:r>
        <w:rPr/>
        <w:t>all</w:t>
      </w:r>
      <w:r>
        <w:rPr>
          <w:spacing w:val="-19"/>
        </w:rPr>
        <w:t> </w:t>
      </w:r>
      <w:r>
        <w:rPr/>
        <w:t>lung,</w:t>
      </w:r>
      <w:r>
        <w:rPr>
          <w:spacing w:val="-18"/>
        </w:rPr>
        <w:t> </w:t>
      </w:r>
      <w:r>
        <w:rPr/>
        <w:t>colon,</w:t>
      </w:r>
      <w:r>
        <w:rPr>
          <w:spacing w:val="-18"/>
        </w:rPr>
        <w:t> </w:t>
      </w:r>
      <w:r>
        <w:rPr/>
        <w:t>pros- tate and skin</w:t>
      </w:r>
      <w:r>
        <w:rPr>
          <w:spacing w:val="1"/>
        </w:rPr>
        <w:t> </w:t>
      </w:r>
      <w:r>
        <w:rPr/>
        <w:t>tumours.</w:t>
      </w:r>
    </w:p>
    <w:p>
      <w:pPr>
        <w:pStyle w:val="Heading1"/>
      </w:pPr>
      <w:r>
        <w:rPr/>
        <w:t>Curcumin supports chemotherapy</w:t>
      </w:r>
    </w:p>
    <w:p>
      <w:pPr>
        <w:pStyle w:val="BodyText"/>
        <w:spacing w:line="276" w:lineRule="auto" w:before="299"/>
        <w:ind w:left="477" w:right="131"/>
        <w:jc w:val="both"/>
        <w:rPr>
          <w:sz w:val="25"/>
        </w:rPr>
      </w:pPr>
      <w:r>
        <w:rPr/>
        <w:t>In general, it is common for cancer cells to develop resistance during chemo- therapy, with no effect remaining. Curcumin counteracts the resistance of can- cer cells to chemotherapy. Furthermore, curcumin acts synergistically with chemotherapeutic agents and improves their effect as a so-called chemosensi- tiser. As previously described, curcumin potentiates the effects of paclitaxel in breast cancer therapy. In summary, a synergistic effect-enhancement was ob- served in the following chemotherapies:</w:t>
      </w:r>
      <w:r>
        <w:rPr>
          <w:position w:val="9"/>
          <w:sz w:val="25"/>
        </w:rPr>
        <w:t>236</w:t>
      </w:r>
    </w:p>
    <w:p>
      <w:pPr>
        <w:pStyle w:val="ListParagraph"/>
        <w:numPr>
          <w:ilvl w:val="0"/>
          <w:numId w:val="26"/>
        </w:numPr>
        <w:tabs>
          <w:tab w:pos="1330" w:val="left" w:leader="none"/>
        </w:tabs>
        <w:spacing w:line="240" w:lineRule="auto" w:before="240" w:after="0"/>
        <w:ind w:left="1329" w:right="0" w:hanging="852"/>
        <w:jc w:val="both"/>
        <w:rPr>
          <w:sz w:val="38"/>
        </w:rPr>
      </w:pPr>
      <w:r>
        <w:rPr>
          <w:sz w:val="38"/>
        </w:rPr>
        <w:t>Paclitaxel</w:t>
      </w:r>
    </w:p>
    <w:p>
      <w:pPr>
        <w:pStyle w:val="ListParagraph"/>
        <w:numPr>
          <w:ilvl w:val="0"/>
          <w:numId w:val="26"/>
        </w:numPr>
        <w:tabs>
          <w:tab w:pos="1330" w:val="left" w:leader="none"/>
        </w:tabs>
        <w:spacing w:line="240" w:lineRule="auto" w:before="67" w:after="0"/>
        <w:ind w:left="1329" w:right="0" w:hanging="852"/>
        <w:jc w:val="both"/>
        <w:rPr>
          <w:sz w:val="38"/>
        </w:rPr>
      </w:pPr>
      <w:r>
        <w:rPr>
          <w:sz w:val="38"/>
        </w:rPr>
        <w:t>Taxol</w:t>
      </w:r>
    </w:p>
    <w:p>
      <w:pPr>
        <w:pStyle w:val="ListParagraph"/>
        <w:numPr>
          <w:ilvl w:val="0"/>
          <w:numId w:val="26"/>
        </w:numPr>
        <w:tabs>
          <w:tab w:pos="1330" w:val="left" w:leader="none"/>
        </w:tabs>
        <w:spacing w:line="240" w:lineRule="auto" w:before="63" w:after="0"/>
        <w:ind w:left="1329" w:right="0" w:hanging="852"/>
        <w:jc w:val="both"/>
        <w:rPr>
          <w:sz w:val="38"/>
        </w:rPr>
      </w:pPr>
      <w:r>
        <w:rPr>
          <w:sz w:val="38"/>
        </w:rPr>
        <w:t>Doxorubicin</w:t>
      </w:r>
    </w:p>
    <w:p>
      <w:pPr>
        <w:pStyle w:val="ListParagraph"/>
        <w:numPr>
          <w:ilvl w:val="0"/>
          <w:numId w:val="26"/>
        </w:numPr>
        <w:tabs>
          <w:tab w:pos="1330" w:val="left" w:leader="none"/>
        </w:tabs>
        <w:spacing w:line="240" w:lineRule="auto" w:before="64" w:after="0"/>
        <w:ind w:left="1329" w:right="0" w:hanging="852"/>
        <w:jc w:val="both"/>
        <w:rPr>
          <w:sz w:val="38"/>
        </w:rPr>
      </w:pPr>
      <w:r>
        <w:rPr>
          <w:sz w:val="38"/>
        </w:rPr>
        <w:t>5-FU</w:t>
      </w:r>
    </w:p>
    <w:p>
      <w:pPr>
        <w:pStyle w:val="ListParagraph"/>
        <w:numPr>
          <w:ilvl w:val="0"/>
          <w:numId w:val="26"/>
        </w:numPr>
        <w:tabs>
          <w:tab w:pos="1330" w:val="left" w:leader="none"/>
        </w:tabs>
        <w:spacing w:line="240" w:lineRule="auto" w:before="63" w:after="0"/>
        <w:ind w:left="1329" w:right="0" w:hanging="852"/>
        <w:jc w:val="both"/>
        <w:rPr>
          <w:sz w:val="38"/>
        </w:rPr>
      </w:pPr>
      <w:r>
        <w:rPr>
          <w:sz w:val="38"/>
        </w:rPr>
        <w:t>Vincristine</w:t>
      </w:r>
    </w:p>
    <w:p>
      <w:pPr>
        <w:pStyle w:val="ListParagraph"/>
        <w:numPr>
          <w:ilvl w:val="0"/>
          <w:numId w:val="26"/>
        </w:numPr>
        <w:tabs>
          <w:tab w:pos="1330" w:val="left" w:leader="none"/>
        </w:tabs>
        <w:spacing w:line="240" w:lineRule="auto" w:before="64" w:after="0"/>
        <w:ind w:left="1329" w:right="0" w:hanging="852"/>
        <w:jc w:val="both"/>
        <w:rPr>
          <w:sz w:val="38"/>
        </w:rPr>
      </w:pPr>
      <w:r>
        <w:rPr>
          <w:sz w:val="38"/>
        </w:rPr>
        <w:t>Melphalan</w:t>
      </w:r>
    </w:p>
    <w:p>
      <w:pPr>
        <w:pStyle w:val="ListParagraph"/>
        <w:numPr>
          <w:ilvl w:val="0"/>
          <w:numId w:val="26"/>
        </w:numPr>
        <w:tabs>
          <w:tab w:pos="1330" w:val="left" w:leader="none"/>
        </w:tabs>
        <w:spacing w:line="240" w:lineRule="auto" w:before="66" w:after="0"/>
        <w:ind w:left="1329" w:right="0" w:hanging="852"/>
        <w:jc w:val="both"/>
        <w:rPr>
          <w:sz w:val="38"/>
        </w:rPr>
      </w:pPr>
      <w:r>
        <w:rPr>
          <w:sz w:val="38"/>
        </w:rPr>
        <w:t>Butyrate</w:t>
      </w:r>
    </w:p>
    <w:p>
      <w:pPr>
        <w:pStyle w:val="ListParagraph"/>
        <w:numPr>
          <w:ilvl w:val="0"/>
          <w:numId w:val="26"/>
        </w:numPr>
        <w:tabs>
          <w:tab w:pos="1330" w:val="left" w:leader="none"/>
        </w:tabs>
        <w:spacing w:line="240" w:lineRule="auto" w:before="64" w:after="0"/>
        <w:ind w:left="1329" w:right="0" w:hanging="852"/>
        <w:jc w:val="both"/>
        <w:rPr>
          <w:sz w:val="38"/>
        </w:rPr>
      </w:pPr>
      <w:r>
        <w:rPr>
          <w:sz w:val="38"/>
        </w:rPr>
        <w:t>Cisplatin</w:t>
      </w:r>
    </w:p>
    <w:p>
      <w:pPr>
        <w:pStyle w:val="BodyText"/>
        <w:spacing w:before="4"/>
        <w:rPr>
          <w:sz w:val="29"/>
        </w:rPr>
      </w:pPr>
      <w:r>
        <w:rPr/>
        <w:pict>
          <v:line style="position:absolute;mso-position-horizontal-relative:page;mso-position-vertical-relative:paragraph;z-index:2480;mso-wrap-distance-left:0;mso-wrap-distance-right:0" from="63.863998pt,18.908579pt" to="207.883998pt,18.908579pt" stroked="true" strokeweight=".72003pt" strokecolor="#000000">
            <v:stroke dashstyle="solid"/>
            <w10:wrap type="topAndBottom"/>
          </v:line>
        </w:pict>
      </w:r>
    </w:p>
    <w:p>
      <w:pPr>
        <w:pStyle w:val="BodyText"/>
        <w:spacing w:before="3"/>
        <w:rPr>
          <w:sz w:val="20"/>
        </w:rPr>
      </w:pPr>
    </w:p>
    <w:p>
      <w:pPr>
        <w:spacing w:line="280" w:lineRule="auto" w:before="100"/>
        <w:ind w:left="477" w:right="295" w:firstLine="0"/>
        <w:jc w:val="both"/>
        <w:rPr>
          <w:sz w:val="20"/>
        </w:rPr>
      </w:pPr>
      <w:r>
        <w:rPr>
          <w:position w:val="5"/>
          <w:sz w:val="14"/>
        </w:rPr>
        <w:t>236 </w:t>
      </w:r>
      <w:r>
        <w:rPr>
          <w:sz w:val="20"/>
        </w:rPr>
        <w:t>Nutr</w:t>
      </w:r>
      <w:r>
        <w:rPr>
          <w:color w:val="660066"/>
          <w:sz w:val="20"/>
          <w:u w:val="single" w:color="660066"/>
        </w:rPr>
        <w:t> Cancer</w:t>
      </w:r>
      <w:r>
        <w:rPr>
          <w:sz w:val="20"/>
        </w:rPr>
        <w:t>. 2010; 62 (7), p. 919–930. Curcumin, the golden spice from Indian saffron, is a chemosensitiser and radiosensitiser for tumours and chemoprotector and radioprotector for normal organs. Goel A, Aggarwal BB. Source: Department of Internal Medicine, Baylor University Medical Center, Dallas, Texas, USA.</w:t>
      </w:r>
    </w:p>
    <w:p>
      <w:pPr>
        <w:spacing w:after="0" w:line="280" w:lineRule="auto"/>
        <w:jc w:val="both"/>
        <w:rPr>
          <w:sz w:val="20"/>
        </w:rPr>
        <w:sectPr>
          <w:footerReference w:type="default" r:id="rId93"/>
          <w:pgSz w:w="14270" w:h="16850"/>
          <w:pgMar w:footer="1891" w:header="0" w:top="1600" w:bottom="2080" w:left="800" w:right="1280"/>
          <w:pgNumType w:start="355"/>
        </w:sectPr>
      </w:pPr>
    </w:p>
    <w:p>
      <w:pPr>
        <w:pStyle w:val="BodyText"/>
        <w:spacing w:before="10"/>
        <w:rPr>
          <w:sz w:val="8"/>
        </w:rPr>
      </w:pPr>
    </w:p>
    <w:p>
      <w:pPr>
        <w:pStyle w:val="ListParagraph"/>
        <w:numPr>
          <w:ilvl w:val="0"/>
          <w:numId w:val="26"/>
        </w:numPr>
        <w:tabs>
          <w:tab w:pos="1330" w:val="left" w:leader="none"/>
        </w:tabs>
        <w:spacing w:line="240" w:lineRule="auto" w:before="83" w:after="0"/>
        <w:ind w:left="1329" w:right="0" w:hanging="852"/>
        <w:jc w:val="both"/>
        <w:rPr>
          <w:sz w:val="38"/>
        </w:rPr>
      </w:pPr>
      <w:r>
        <w:rPr>
          <w:sz w:val="38"/>
        </w:rPr>
        <w:t>Celecoxib</w:t>
      </w:r>
    </w:p>
    <w:p>
      <w:pPr>
        <w:pStyle w:val="ListParagraph"/>
        <w:numPr>
          <w:ilvl w:val="0"/>
          <w:numId w:val="26"/>
        </w:numPr>
        <w:tabs>
          <w:tab w:pos="1330" w:val="left" w:leader="none"/>
        </w:tabs>
        <w:spacing w:line="240" w:lineRule="auto" w:before="64" w:after="0"/>
        <w:ind w:left="1329" w:right="0" w:hanging="852"/>
        <w:jc w:val="both"/>
        <w:rPr>
          <w:sz w:val="38"/>
        </w:rPr>
      </w:pPr>
      <w:r>
        <w:rPr>
          <w:sz w:val="38"/>
        </w:rPr>
        <w:t>Vinorelbine</w:t>
      </w:r>
    </w:p>
    <w:p>
      <w:pPr>
        <w:pStyle w:val="ListParagraph"/>
        <w:numPr>
          <w:ilvl w:val="0"/>
          <w:numId w:val="26"/>
        </w:numPr>
        <w:tabs>
          <w:tab w:pos="1330" w:val="left" w:leader="none"/>
        </w:tabs>
        <w:spacing w:line="240" w:lineRule="auto" w:before="66" w:after="0"/>
        <w:ind w:left="1329" w:right="0" w:hanging="852"/>
        <w:jc w:val="both"/>
        <w:rPr>
          <w:sz w:val="38"/>
        </w:rPr>
      </w:pPr>
      <w:r>
        <w:rPr>
          <w:sz w:val="38"/>
        </w:rPr>
        <w:t>Gemcitabine</w:t>
      </w:r>
    </w:p>
    <w:p>
      <w:pPr>
        <w:pStyle w:val="ListParagraph"/>
        <w:numPr>
          <w:ilvl w:val="0"/>
          <w:numId w:val="26"/>
        </w:numPr>
        <w:tabs>
          <w:tab w:pos="1330" w:val="left" w:leader="none"/>
        </w:tabs>
        <w:spacing w:line="240" w:lineRule="auto" w:before="63" w:after="0"/>
        <w:ind w:left="1329" w:right="0" w:hanging="852"/>
        <w:jc w:val="both"/>
        <w:rPr>
          <w:sz w:val="38"/>
        </w:rPr>
      </w:pPr>
      <w:r>
        <w:rPr>
          <w:sz w:val="38"/>
        </w:rPr>
        <w:t>Oxaliplatin</w:t>
      </w:r>
    </w:p>
    <w:p>
      <w:pPr>
        <w:pStyle w:val="ListParagraph"/>
        <w:numPr>
          <w:ilvl w:val="0"/>
          <w:numId w:val="26"/>
        </w:numPr>
        <w:tabs>
          <w:tab w:pos="1330" w:val="left" w:leader="none"/>
        </w:tabs>
        <w:spacing w:line="240" w:lineRule="auto" w:before="64" w:after="0"/>
        <w:ind w:left="1329" w:right="0" w:hanging="852"/>
        <w:jc w:val="both"/>
        <w:rPr>
          <w:sz w:val="38"/>
        </w:rPr>
      </w:pPr>
      <w:r>
        <w:rPr>
          <w:sz w:val="38"/>
        </w:rPr>
        <w:t>Etoposide</w:t>
      </w:r>
    </w:p>
    <w:p>
      <w:pPr>
        <w:pStyle w:val="ListParagraph"/>
        <w:numPr>
          <w:ilvl w:val="0"/>
          <w:numId w:val="26"/>
        </w:numPr>
        <w:tabs>
          <w:tab w:pos="1330" w:val="left" w:leader="none"/>
        </w:tabs>
        <w:spacing w:line="240" w:lineRule="auto" w:before="63" w:after="0"/>
        <w:ind w:left="1329" w:right="0" w:hanging="852"/>
        <w:jc w:val="both"/>
        <w:rPr>
          <w:sz w:val="38"/>
        </w:rPr>
      </w:pPr>
      <w:r>
        <w:rPr>
          <w:sz w:val="38"/>
        </w:rPr>
        <w:t>Sulfinosine</w:t>
      </w:r>
    </w:p>
    <w:p>
      <w:pPr>
        <w:pStyle w:val="ListParagraph"/>
        <w:numPr>
          <w:ilvl w:val="0"/>
          <w:numId w:val="26"/>
        </w:numPr>
        <w:tabs>
          <w:tab w:pos="1330" w:val="left" w:leader="none"/>
        </w:tabs>
        <w:spacing w:line="240" w:lineRule="auto" w:before="65" w:after="0"/>
        <w:ind w:left="1329" w:right="0" w:hanging="852"/>
        <w:jc w:val="both"/>
        <w:rPr>
          <w:sz w:val="38"/>
        </w:rPr>
      </w:pPr>
      <w:r>
        <w:rPr>
          <w:sz w:val="38"/>
        </w:rPr>
        <w:t>Thalidomide</w:t>
      </w:r>
    </w:p>
    <w:p>
      <w:pPr>
        <w:pStyle w:val="ListParagraph"/>
        <w:numPr>
          <w:ilvl w:val="0"/>
          <w:numId w:val="26"/>
        </w:numPr>
        <w:tabs>
          <w:tab w:pos="1330" w:val="left" w:leader="none"/>
        </w:tabs>
        <w:spacing w:line="240" w:lineRule="auto" w:before="66" w:after="0"/>
        <w:ind w:left="1329" w:right="0" w:hanging="852"/>
        <w:jc w:val="both"/>
        <w:rPr>
          <w:sz w:val="38"/>
        </w:rPr>
      </w:pPr>
      <w:r>
        <w:rPr>
          <w:sz w:val="38"/>
        </w:rPr>
        <w:t>Bortezomib</w:t>
      </w:r>
    </w:p>
    <w:p>
      <w:pPr>
        <w:pStyle w:val="BodyText"/>
        <w:rPr>
          <w:sz w:val="44"/>
        </w:rPr>
      </w:pPr>
    </w:p>
    <w:p>
      <w:pPr>
        <w:pStyle w:val="BodyText"/>
        <w:rPr>
          <w:sz w:val="44"/>
        </w:rPr>
      </w:pPr>
    </w:p>
    <w:p>
      <w:pPr>
        <w:pStyle w:val="BodyText"/>
        <w:rPr>
          <w:sz w:val="44"/>
        </w:rPr>
      </w:pPr>
    </w:p>
    <w:p>
      <w:pPr>
        <w:pStyle w:val="BodyText"/>
        <w:rPr>
          <w:sz w:val="44"/>
        </w:rPr>
      </w:pPr>
    </w:p>
    <w:p>
      <w:pPr>
        <w:pStyle w:val="Heading1"/>
        <w:spacing w:before="270"/>
        <w:jc w:val="both"/>
      </w:pPr>
      <w:r>
        <w:rPr/>
        <w:t>Curcumin optimises the effect of</w:t>
      </w:r>
      <w:r>
        <w:rPr>
          <w:spacing w:val="-65"/>
        </w:rPr>
        <w:t> </w:t>
      </w:r>
      <w:r>
        <w:rPr/>
        <w:t>radiotherapy</w:t>
      </w:r>
    </w:p>
    <w:p>
      <w:pPr>
        <w:pStyle w:val="BodyText"/>
        <w:spacing w:line="276" w:lineRule="auto" w:before="300"/>
        <w:ind w:left="477"/>
        <w:rPr>
          <w:sz w:val="25"/>
        </w:rPr>
      </w:pPr>
      <w:r>
        <w:rPr/>
        <w:t>As a so-called radiosensitiser, curcumin improves the response rate of radio- therapy in studies. </w:t>
      </w:r>
      <w:r>
        <w:rPr>
          <w:position w:val="9"/>
          <w:sz w:val="25"/>
        </w:rPr>
        <w:t>237, 238</w:t>
      </w:r>
    </w:p>
    <w:p>
      <w:pPr>
        <w:pStyle w:val="BodyText"/>
        <w:spacing w:line="276" w:lineRule="auto" w:before="241"/>
        <w:ind w:left="477" w:right="132"/>
        <w:jc w:val="both"/>
      </w:pPr>
      <w:r>
        <w:rPr/>
        <w:t>In the online edition of 29 April 2010, the magazine </w:t>
      </w:r>
      <w:r>
        <w:rPr>
          <w:i/>
        </w:rPr>
        <w:t>Focus </w:t>
      </w:r>
      <w:r>
        <w:rPr/>
        <w:t>confirmed these ef- fects</w:t>
      </w:r>
      <w:r>
        <w:rPr>
          <w:spacing w:val="-25"/>
        </w:rPr>
        <w:t> </w:t>
      </w:r>
      <w:r>
        <w:rPr/>
        <w:t>and</w:t>
      </w:r>
      <w:r>
        <w:rPr>
          <w:spacing w:val="-26"/>
        </w:rPr>
        <w:t> </w:t>
      </w:r>
      <w:r>
        <w:rPr/>
        <w:t>described</w:t>
      </w:r>
      <w:r>
        <w:rPr>
          <w:spacing w:val="-27"/>
        </w:rPr>
        <w:t> </w:t>
      </w:r>
      <w:r>
        <w:rPr/>
        <w:t>the</w:t>
      </w:r>
      <w:r>
        <w:rPr>
          <w:spacing w:val="-25"/>
        </w:rPr>
        <w:t> </w:t>
      </w:r>
      <w:r>
        <w:rPr/>
        <w:t>successful</w:t>
      </w:r>
      <w:r>
        <w:rPr>
          <w:spacing w:val="-27"/>
        </w:rPr>
        <w:t> </w:t>
      </w:r>
      <w:r>
        <w:rPr/>
        <w:t>efforts</w:t>
      </w:r>
      <w:r>
        <w:rPr>
          <w:spacing w:val="-25"/>
        </w:rPr>
        <w:t> </w:t>
      </w:r>
      <w:r>
        <w:rPr/>
        <w:t>of</w:t>
      </w:r>
      <w:r>
        <w:rPr>
          <w:spacing w:val="-26"/>
        </w:rPr>
        <w:t> </w:t>
      </w:r>
      <w:r>
        <w:rPr/>
        <w:t>cancer</w:t>
      </w:r>
      <w:r>
        <w:rPr>
          <w:spacing w:val="-27"/>
        </w:rPr>
        <w:t> </w:t>
      </w:r>
      <w:r>
        <w:rPr/>
        <w:t>researchers</w:t>
      </w:r>
      <w:r>
        <w:rPr>
          <w:spacing w:val="-27"/>
        </w:rPr>
        <w:t> </w:t>
      </w:r>
      <w:r>
        <w:rPr/>
        <w:t>to</w:t>
      </w:r>
      <w:r>
        <w:rPr>
          <w:spacing w:val="-25"/>
        </w:rPr>
        <w:t> </w:t>
      </w:r>
      <w:r>
        <w:rPr/>
        <w:t>prepare</w:t>
      </w:r>
      <w:r>
        <w:rPr>
          <w:spacing w:val="-26"/>
        </w:rPr>
        <w:t> </w:t>
      </w:r>
      <w:r>
        <w:rPr/>
        <w:t>chem- otherapy or radiotherapy with nanoparticles of curcumin. The ovarian cancer cells previously treated with curcumin responded much better to both chemo- therapy and</w:t>
      </w:r>
      <w:r>
        <w:rPr>
          <w:spacing w:val="1"/>
        </w:rPr>
        <w:t> </w:t>
      </w:r>
      <w:r>
        <w:rPr/>
        <w:t>radiation!</w:t>
      </w:r>
    </w:p>
    <w:p>
      <w:pPr>
        <w:pStyle w:val="BodyText"/>
        <w:rPr>
          <w:sz w:val="20"/>
        </w:rPr>
      </w:pPr>
    </w:p>
    <w:p>
      <w:pPr>
        <w:pStyle w:val="BodyText"/>
        <w:spacing w:before="9"/>
        <w:rPr>
          <w:sz w:val="16"/>
        </w:rPr>
      </w:pPr>
      <w:r>
        <w:rPr/>
        <w:pict>
          <v:line style="position:absolute;mso-position-horizontal-relative:page;mso-position-vertical-relative:paragraph;z-index:2504;mso-wrap-distance-left:0;mso-wrap-distance-right:0" from="63.863998pt,11.841108pt" to="207.883998pt,11.841108pt" stroked="true" strokeweight=".71997pt" strokecolor="#000000">
            <v:stroke dashstyle="solid"/>
            <w10:wrap type="topAndBottom"/>
          </v:line>
        </w:pict>
      </w:r>
    </w:p>
    <w:p>
      <w:pPr>
        <w:pStyle w:val="BodyText"/>
        <w:spacing w:before="3"/>
        <w:rPr>
          <w:sz w:val="20"/>
        </w:rPr>
      </w:pPr>
    </w:p>
    <w:p>
      <w:pPr>
        <w:spacing w:before="100"/>
        <w:ind w:left="477" w:right="0" w:firstLine="0"/>
        <w:jc w:val="left"/>
        <w:rPr>
          <w:sz w:val="20"/>
        </w:rPr>
      </w:pPr>
      <w:r>
        <w:rPr>
          <w:position w:val="5"/>
          <w:sz w:val="14"/>
        </w:rPr>
        <w:t>237 </w:t>
      </w:r>
      <w:r>
        <w:rPr>
          <w:sz w:val="20"/>
        </w:rPr>
        <w:t>Int J Radiat Oncol Biol Phys. 2009 Oct 1; 75 (2), p. 534-542</w:t>
      </w:r>
    </w:p>
    <w:p>
      <w:pPr>
        <w:spacing w:before="99"/>
        <w:ind w:left="477" w:right="0" w:firstLine="0"/>
        <w:jc w:val="left"/>
        <w:rPr>
          <w:sz w:val="20"/>
        </w:rPr>
      </w:pPr>
      <w:r>
        <w:rPr>
          <w:position w:val="5"/>
          <w:sz w:val="13"/>
        </w:rPr>
        <w:t>238 </w:t>
      </w:r>
      <w:r>
        <w:rPr>
          <w:sz w:val="20"/>
        </w:rPr>
        <w:t>Clin Cancer Res. 2008 Apr 1; 14 (7), p. 2128-2136</w:t>
      </w:r>
    </w:p>
    <w:p>
      <w:pPr>
        <w:spacing w:after="0"/>
        <w:jc w:val="left"/>
        <w:rPr>
          <w:sz w:val="20"/>
        </w:rPr>
        <w:sectPr>
          <w:pgSz w:w="14270" w:h="16850"/>
          <w:pgMar w:header="0" w:footer="1891" w:top="1600" w:bottom="2080" w:left="800" w:right="1280"/>
        </w:sectPr>
      </w:pPr>
    </w:p>
    <w:p>
      <w:pPr>
        <w:pStyle w:val="Heading2"/>
        <w:spacing w:before="181"/>
      </w:pPr>
      <w:r>
        <w:rPr/>
        <w:t>Curcumin helps with weight loss.</w:t>
      </w:r>
    </w:p>
    <w:p>
      <w:pPr>
        <w:pStyle w:val="ListParagraph"/>
        <w:numPr>
          <w:ilvl w:val="1"/>
          <w:numId w:val="26"/>
        </w:numPr>
        <w:tabs>
          <w:tab w:pos="1192" w:val="left" w:leader="none"/>
          <w:tab w:pos="1193" w:val="left" w:leader="none"/>
        </w:tabs>
        <w:spacing w:line="240" w:lineRule="auto" w:before="306" w:after="0"/>
        <w:ind w:left="1192" w:right="0" w:hanging="360"/>
        <w:jc w:val="left"/>
        <w:rPr>
          <w:sz w:val="38"/>
        </w:rPr>
      </w:pPr>
      <w:r>
        <w:rPr>
          <w:sz w:val="38"/>
        </w:rPr>
        <w:t>It activates the bile flow and promotes fat</w:t>
      </w:r>
      <w:r>
        <w:rPr>
          <w:spacing w:val="-6"/>
          <w:sz w:val="38"/>
        </w:rPr>
        <w:t> </w:t>
      </w:r>
      <w:r>
        <w:rPr>
          <w:sz w:val="38"/>
        </w:rPr>
        <w:t>digestion.</w:t>
      </w:r>
    </w:p>
    <w:p>
      <w:pPr>
        <w:pStyle w:val="ListParagraph"/>
        <w:numPr>
          <w:ilvl w:val="1"/>
          <w:numId w:val="26"/>
        </w:numPr>
        <w:tabs>
          <w:tab w:pos="1192" w:val="left" w:leader="none"/>
          <w:tab w:pos="1193" w:val="left" w:leader="none"/>
        </w:tabs>
        <w:spacing w:line="240" w:lineRule="auto" w:before="64" w:after="0"/>
        <w:ind w:left="1192" w:right="0" w:hanging="360"/>
        <w:jc w:val="left"/>
        <w:rPr>
          <w:sz w:val="38"/>
        </w:rPr>
      </w:pPr>
      <w:r>
        <w:rPr>
          <w:sz w:val="38"/>
        </w:rPr>
        <w:t>It increases blood circulation and fat</w:t>
      </w:r>
      <w:r>
        <w:rPr>
          <w:spacing w:val="-2"/>
          <w:sz w:val="38"/>
        </w:rPr>
        <w:t> </w:t>
      </w:r>
      <w:r>
        <w:rPr>
          <w:sz w:val="38"/>
        </w:rPr>
        <w:t>metabolism.</w:t>
      </w:r>
    </w:p>
    <w:p>
      <w:pPr>
        <w:pStyle w:val="ListParagraph"/>
        <w:numPr>
          <w:ilvl w:val="1"/>
          <w:numId w:val="26"/>
        </w:numPr>
        <w:tabs>
          <w:tab w:pos="1192" w:val="left" w:leader="none"/>
          <w:tab w:pos="1193" w:val="left" w:leader="none"/>
        </w:tabs>
        <w:spacing w:line="240" w:lineRule="auto" w:before="64" w:after="0"/>
        <w:ind w:left="1192" w:right="0" w:hanging="360"/>
        <w:jc w:val="left"/>
        <w:rPr>
          <w:sz w:val="38"/>
        </w:rPr>
      </w:pPr>
      <w:r>
        <w:rPr>
          <w:sz w:val="38"/>
        </w:rPr>
        <w:t>It breaks the insulin resistance of the</w:t>
      </w:r>
      <w:r>
        <w:rPr>
          <w:spacing w:val="5"/>
          <w:sz w:val="38"/>
        </w:rPr>
        <w:t> </w:t>
      </w:r>
      <w:r>
        <w:rPr>
          <w:sz w:val="38"/>
        </w:rPr>
        <w:t>cell.</w:t>
      </w:r>
    </w:p>
    <w:p>
      <w:pPr>
        <w:pStyle w:val="ListParagraph"/>
        <w:numPr>
          <w:ilvl w:val="1"/>
          <w:numId w:val="26"/>
        </w:numPr>
        <w:tabs>
          <w:tab w:pos="1192" w:val="left" w:leader="none"/>
          <w:tab w:pos="1193" w:val="left" w:leader="none"/>
        </w:tabs>
        <w:spacing w:line="273" w:lineRule="auto" w:before="66" w:after="0"/>
        <w:ind w:left="1192" w:right="134" w:hanging="360"/>
        <w:jc w:val="left"/>
        <w:rPr>
          <w:sz w:val="38"/>
        </w:rPr>
      </w:pPr>
      <w:r>
        <w:rPr>
          <w:sz w:val="38"/>
        </w:rPr>
        <w:t>It</w:t>
      </w:r>
      <w:r>
        <w:rPr>
          <w:spacing w:val="-17"/>
          <w:sz w:val="38"/>
        </w:rPr>
        <w:t> </w:t>
      </w:r>
      <w:r>
        <w:rPr>
          <w:sz w:val="38"/>
        </w:rPr>
        <w:t>speeds</w:t>
      </w:r>
      <w:r>
        <w:rPr>
          <w:spacing w:val="-15"/>
          <w:sz w:val="38"/>
        </w:rPr>
        <w:t> </w:t>
      </w:r>
      <w:r>
        <w:rPr>
          <w:sz w:val="38"/>
        </w:rPr>
        <w:t>up</w:t>
      </w:r>
      <w:r>
        <w:rPr>
          <w:spacing w:val="-16"/>
          <w:sz w:val="38"/>
        </w:rPr>
        <w:t> </w:t>
      </w:r>
      <w:r>
        <w:rPr>
          <w:sz w:val="38"/>
        </w:rPr>
        <w:t>the</w:t>
      </w:r>
      <w:r>
        <w:rPr>
          <w:spacing w:val="-14"/>
          <w:sz w:val="38"/>
        </w:rPr>
        <w:t> </w:t>
      </w:r>
      <w:r>
        <w:rPr>
          <w:sz w:val="38"/>
        </w:rPr>
        <w:t>digestive</w:t>
      </w:r>
      <w:r>
        <w:rPr>
          <w:spacing w:val="-16"/>
          <w:sz w:val="38"/>
        </w:rPr>
        <w:t> </w:t>
      </w:r>
      <w:r>
        <w:rPr>
          <w:sz w:val="38"/>
        </w:rPr>
        <w:t>process;</w:t>
      </w:r>
      <w:r>
        <w:rPr>
          <w:spacing w:val="-15"/>
          <w:sz w:val="38"/>
        </w:rPr>
        <w:t> </w:t>
      </w:r>
      <w:r>
        <w:rPr>
          <w:sz w:val="38"/>
        </w:rPr>
        <w:t>the</w:t>
      </w:r>
      <w:r>
        <w:rPr>
          <w:spacing w:val="-14"/>
          <w:sz w:val="38"/>
        </w:rPr>
        <w:t> </w:t>
      </w:r>
      <w:r>
        <w:rPr>
          <w:sz w:val="38"/>
        </w:rPr>
        <w:t>fatty</w:t>
      </w:r>
      <w:r>
        <w:rPr>
          <w:spacing w:val="-17"/>
          <w:sz w:val="38"/>
        </w:rPr>
        <w:t> </w:t>
      </w:r>
      <w:r>
        <w:rPr>
          <w:sz w:val="38"/>
        </w:rPr>
        <w:t>acids</w:t>
      </w:r>
      <w:r>
        <w:rPr>
          <w:spacing w:val="-16"/>
          <w:sz w:val="38"/>
        </w:rPr>
        <w:t> </w:t>
      </w:r>
      <w:r>
        <w:rPr>
          <w:sz w:val="38"/>
        </w:rPr>
        <w:t>are</w:t>
      </w:r>
      <w:r>
        <w:rPr>
          <w:spacing w:val="-15"/>
          <w:sz w:val="38"/>
        </w:rPr>
        <w:t> </w:t>
      </w:r>
      <w:r>
        <w:rPr>
          <w:sz w:val="38"/>
        </w:rPr>
        <w:t>transported</w:t>
      </w:r>
      <w:r>
        <w:rPr>
          <w:spacing w:val="-16"/>
          <w:sz w:val="38"/>
        </w:rPr>
        <w:t> </w:t>
      </w:r>
      <w:r>
        <w:rPr>
          <w:sz w:val="38"/>
        </w:rPr>
        <w:t>out</w:t>
      </w:r>
      <w:r>
        <w:rPr>
          <w:spacing w:val="-17"/>
          <w:sz w:val="38"/>
        </w:rPr>
        <w:t> </w:t>
      </w:r>
      <w:r>
        <w:rPr>
          <w:sz w:val="38"/>
        </w:rPr>
        <w:t>of</w:t>
      </w:r>
      <w:r>
        <w:rPr>
          <w:spacing w:val="-15"/>
          <w:sz w:val="38"/>
        </w:rPr>
        <w:t> </w:t>
      </w:r>
      <w:r>
        <w:rPr>
          <w:sz w:val="38"/>
        </w:rPr>
        <w:t>the intestine faster, before they can be stored as body</w:t>
      </w:r>
      <w:r>
        <w:rPr>
          <w:spacing w:val="-5"/>
          <w:sz w:val="38"/>
        </w:rPr>
        <w:t> </w:t>
      </w:r>
      <w:r>
        <w:rPr>
          <w:sz w:val="38"/>
        </w:rPr>
        <w:t>fat.</w:t>
      </w:r>
    </w:p>
    <w:p>
      <w:pPr>
        <w:pStyle w:val="ListParagraph"/>
        <w:numPr>
          <w:ilvl w:val="1"/>
          <w:numId w:val="26"/>
        </w:numPr>
        <w:tabs>
          <w:tab w:pos="1192" w:val="left" w:leader="none"/>
          <w:tab w:pos="1193" w:val="left" w:leader="none"/>
        </w:tabs>
        <w:spacing w:line="273" w:lineRule="auto" w:before="7" w:after="0"/>
        <w:ind w:left="1192" w:right="143" w:hanging="360"/>
        <w:jc w:val="left"/>
        <w:rPr>
          <w:sz w:val="38"/>
        </w:rPr>
      </w:pPr>
      <w:r>
        <w:rPr>
          <w:sz w:val="38"/>
        </w:rPr>
        <w:t>It counteracts hyperlipidaemia, hyperglycemia and other symptoms that may interfere with weight</w:t>
      </w:r>
      <w:r>
        <w:rPr>
          <w:spacing w:val="1"/>
          <w:sz w:val="38"/>
        </w:rPr>
        <w:t> </w:t>
      </w:r>
      <w:r>
        <w:rPr>
          <w:sz w:val="38"/>
        </w:rPr>
        <w:t>loss.</w:t>
      </w:r>
    </w:p>
    <w:p>
      <w:pPr>
        <w:pStyle w:val="ListParagraph"/>
        <w:numPr>
          <w:ilvl w:val="1"/>
          <w:numId w:val="26"/>
        </w:numPr>
        <w:tabs>
          <w:tab w:pos="1192" w:val="left" w:leader="none"/>
          <w:tab w:pos="1193" w:val="left" w:leader="none"/>
        </w:tabs>
        <w:spacing w:line="273" w:lineRule="auto" w:before="8" w:after="0"/>
        <w:ind w:left="1192" w:right="144" w:hanging="360"/>
        <w:jc w:val="left"/>
        <w:rPr>
          <w:sz w:val="38"/>
        </w:rPr>
      </w:pPr>
      <w:r>
        <w:rPr>
          <w:sz w:val="38"/>
        </w:rPr>
        <w:t>It stimulates the body's synthesis of hormone neurotransmitters that have a positive effect on weight loss.</w:t>
      </w:r>
    </w:p>
    <w:p>
      <w:pPr>
        <w:pStyle w:val="ListParagraph"/>
        <w:numPr>
          <w:ilvl w:val="1"/>
          <w:numId w:val="26"/>
        </w:numPr>
        <w:tabs>
          <w:tab w:pos="1192" w:val="left" w:leader="none"/>
          <w:tab w:pos="1193" w:val="left" w:leader="none"/>
        </w:tabs>
        <w:spacing w:line="273" w:lineRule="auto" w:before="7" w:after="0"/>
        <w:ind w:left="1192" w:right="133" w:hanging="360"/>
        <w:jc w:val="left"/>
        <w:rPr>
          <w:sz w:val="38"/>
        </w:rPr>
      </w:pPr>
      <w:r>
        <w:rPr>
          <w:sz w:val="38"/>
        </w:rPr>
        <w:t>It</w:t>
      </w:r>
      <w:r>
        <w:rPr>
          <w:spacing w:val="-22"/>
          <w:sz w:val="38"/>
        </w:rPr>
        <w:t> </w:t>
      </w:r>
      <w:r>
        <w:rPr>
          <w:sz w:val="38"/>
        </w:rPr>
        <w:t>inhibits</w:t>
      </w:r>
      <w:r>
        <w:rPr>
          <w:spacing w:val="-20"/>
          <w:sz w:val="38"/>
        </w:rPr>
        <w:t> </w:t>
      </w:r>
      <w:r>
        <w:rPr>
          <w:sz w:val="38"/>
        </w:rPr>
        <w:t>the</w:t>
      </w:r>
      <w:r>
        <w:rPr>
          <w:spacing w:val="-22"/>
          <w:sz w:val="38"/>
        </w:rPr>
        <w:t> </w:t>
      </w:r>
      <w:r>
        <w:rPr>
          <w:sz w:val="38"/>
        </w:rPr>
        <w:t>development</w:t>
      </w:r>
      <w:r>
        <w:rPr>
          <w:spacing w:val="-22"/>
          <w:sz w:val="38"/>
        </w:rPr>
        <w:t> </w:t>
      </w:r>
      <w:r>
        <w:rPr>
          <w:sz w:val="38"/>
        </w:rPr>
        <w:t>of</w:t>
      </w:r>
      <w:r>
        <w:rPr>
          <w:spacing w:val="-22"/>
          <w:sz w:val="38"/>
        </w:rPr>
        <w:t> </w:t>
      </w:r>
      <w:r>
        <w:rPr>
          <w:sz w:val="38"/>
        </w:rPr>
        <w:t>blood</w:t>
      </w:r>
      <w:r>
        <w:rPr>
          <w:spacing w:val="-20"/>
          <w:sz w:val="38"/>
        </w:rPr>
        <w:t> </w:t>
      </w:r>
      <w:r>
        <w:rPr>
          <w:sz w:val="38"/>
        </w:rPr>
        <w:t>vessels</w:t>
      </w:r>
      <w:r>
        <w:rPr>
          <w:spacing w:val="-23"/>
          <w:sz w:val="38"/>
        </w:rPr>
        <w:t> </w:t>
      </w:r>
      <w:r>
        <w:rPr>
          <w:sz w:val="38"/>
        </w:rPr>
        <w:t>in</w:t>
      </w:r>
      <w:r>
        <w:rPr>
          <w:spacing w:val="-22"/>
          <w:sz w:val="38"/>
        </w:rPr>
        <w:t> </w:t>
      </w:r>
      <w:r>
        <w:rPr>
          <w:sz w:val="38"/>
        </w:rPr>
        <w:t>adipose</w:t>
      </w:r>
      <w:r>
        <w:rPr>
          <w:spacing w:val="-20"/>
          <w:sz w:val="38"/>
        </w:rPr>
        <w:t> </w:t>
      </w:r>
      <w:r>
        <w:rPr>
          <w:sz w:val="38"/>
        </w:rPr>
        <w:t>tissue</w:t>
      </w:r>
      <w:r>
        <w:rPr>
          <w:spacing w:val="-21"/>
          <w:sz w:val="38"/>
        </w:rPr>
        <w:t> </w:t>
      </w:r>
      <w:r>
        <w:rPr>
          <w:sz w:val="38"/>
        </w:rPr>
        <w:t>and</w:t>
      </w:r>
      <w:r>
        <w:rPr>
          <w:spacing w:val="-25"/>
          <w:sz w:val="38"/>
        </w:rPr>
        <w:t> </w:t>
      </w:r>
      <w:r>
        <w:rPr>
          <w:sz w:val="38"/>
        </w:rPr>
        <w:t>thus</w:t>
      </w:r>
      <w:r>
        <w:rPr>
          <w:spacing w:val="-20"/>
          <w:sz w:val="38"/>
        </w:rPr>
        <w:t> </w:t>
      </w:r>
      <w:r>
        <w:rPr>
          <w:sz w:val="38"/>
        </w:rPr>
        <w:t>their growth and</w:t>
      </w:r>
      <w:r>
        <w:rPr>
          <w:spacing w:val="1"/>
          <w:sz w:val="38"/>
        </w:rPr>
        <w:t> </w:t>
      </w:r>
      <w:r>
        <w:rPr>
          <w:sz w:val="38"/>
        </w:rPr>
        <w:t>spread.</w:t>
      </w:r>
    </w:p>
    <w:p>
      <w:pPr>
        <w:pStyle w:val="ListParagraph"/>
        <w:numPr>
          <w:ilvl w:val="1"/>
          <w:numId w:val="26"/>
        </w:numPr>
        <w:tabs>
          <w:tab w:pos="1192" w:val="left" w:leader="none"/>
          <w:tab w:pos="1193" w:val="left" w:leader="none"/>
        </w:tabs>
        <w:spacing w:line="273" w:lineRule="auto" w:before="7" w:after="0"/>
        <w:ind w:left="1192" w:right="529" w:hanging="360"/>
        <w:jc w:val="left"/>
        <w:rPr>
          <w:sz w:val="38"/>
        </w:rPr>
      </w:pPr>
      <w:r>
        <w:rPr>
          <w:sz w:val="38"/>
        </w:rPr>
        <w:t>It interferes with the synthesis of fatty acids and increases the fatty acid breakdown processes</w:t>
      </w:r>
      <w:r>
        <w:rPr>
          <w:spacing w:val="1"/>
          <w:sz w:val="38"/>
        </w:rPr>
        <w:t> </w:t>
      </w:r>
      <w:r>
        <w:rPr>
          <w:sz w:val="38"/>
        </w:rPr>
        <w:t>(beta-oxidation).</w:t>
      </w:r>
    </w:p>
    <w:p>
      <w:pPr>
        <w:pStyle w:val="ListParagraph"/>
        <w:numPr>
          <w:ilvl w:val="1"/>
          <w:numId w:val="26"/>
        </w:numPr>
        <w:tabs>
          <w:tab w:pos="1192" w:val="left" w:leader="none"/>
          <w:tab w:pos="1193" w:val="left" w:leader="none"/>
        </w:tabs>
        <w:spacing w:line="240" w:lineRule="auto" w:before="7" w:after="0"/>
        <w:ind w:left="1192" w:right="0" w:hanging="360"/>
        <w:jc w:val="left"/>
        <w:rPr>
          <w:sz w:val="25"/>
        </w:rPr>
      </w:pPr>
      <w:r>
        <w:rPr>
          <w:sz w:val="38"/>
        </w:rPr>
        <w:t>It promotes the cell death of fat cells, the so-called</w:t>
      </w:r>
      <w:r>
        <w:rPr>
          <w:spacing w:val="-7"/>
          <w:sz w:val="38"/>
        </w:rPr>
        <w:t> </w:t>
      </w:r>
      <w:r>
        <w:rPr>
          <w:sz w:val="38"/>
        </w:rPr>
        <w:t>adipocytes.</w:t>
      </w:r>
      <w:r>
        <w:rPr>
          <w:position w:val="9"/>
          <w:sz w:val="25"/>
        </w:rPr>
        <w:t>239</w:t>
      </w:r>
    </w:p>
    <w:p>
      <w:pPr>
        <w:pStyle w:val="BodyText"/>
        <w:spacing w:line="276" w:lineRule="auto" w:before="302"/>
        <w:ind w:left="477"/>
      </w:pPr>
      <w:r>
        <w:rPr/>
        <w:t>An</w:t>
      </w:r>
      <w:r>
        <w:rPr>
          <w:spacing w:val="-16"/>
        </w:rPr>
        <w:t> </w:t>
      </w:r>
      <w:r>
        <w:rPr/>
        <w:t>investigation</w:t>
      </w:r>
      <w:r>
        <w:rPr>
          <w:spacing w:val="-14"/>
        </w:rPr>
        <w:t> </w:t>
      </w:r>
      <w:r>
        <w:rPr/>
        <w:t>of</w:t>
      </w:r>
      <w:r>
        <w:rPr>
          <w:spacing w:val="-17"/>
        </w:rPr>
        <w:t> </w:t>
      </w:r>
      <w:r>
        <w:rPr/>
        <w:t>the</w:t>
      </w:r>
      <w:r>
        <w:rPr>
          <w:spacing w:val="-16"/>
        </w:rPr>
        <w:t> </w:t>
      </w:r>
      <w:r>
        <w:rPr/>
        <w:t>European</w:t>
      </w:r>
      <w:r>
        <w:rPr>
          <w:spacing w:val="-16"/>
        </w:rPr>
        <w:t> </w:t>
      </w:r>
      <w:r>
        <w:rPr/>
        <w:t>Journal</w:t>
      </w:r>
      <w:r>
        <w:rPr>
          <w:spacing w:val="-17"/>
        </w:rPr>
        <w:t> </w:t>
      </w:r>
      <w:r>
        <w:rPr/>
        <w:t>of</w:t>
      </w:r>
      <w:r>
        <w:rPr>
          <w:spacing w:val="-15"/>
        </w:rPr>
        <w:t> </w:t>
      </w:r>
      <w:r>
        <w:rPr/>
        <w:t>Nutrition</w:t>
      </w:r>
      <w:r>
        <w:rPr>
          <w:spacing w:val="-11"/>
        </w:rPr>
        <w:t> </w:t>
      </w:r>
      <w:r>
        <w:rPr/>
        <w:t>led</w:t>
      </w:r>
      <w:r>
        <w:rPr>
          <w:spacing w:val="-16"/>
        </w:rPr>
        <w:t> </w:t>
      </w:r>
      <w:r>
        <w:rPr/>
        <w:t>to</w:t>
      </w:r>
      <w:r>
        <w:rPr>
          <w:spacing w:val="-17"/>
        </w:rPr>
        <w:t> </w:t>
      </w:r>
      <w:r>
        <w:rPr/>
        <w:t>the</w:t>
      </w:r>
      <w:r>
        <w:rPr>
          <w:spacing w:val="-17"/>
        </w:rPr>
        <w:t> </w:t>
      </w:r>
      <w:r>
        <w:rPr/>
        <w:t>following</w:t>
      </w:r>
      <w:r>
        <w:rPr>
          <w:spacing w:val="-15"/>
        </w:rPr>
        <w:t> </w:t>
      </w:r>
      <w:r>
        <w:rPr/>
        <w:t>con- clusion:</w:t>
      </w:r>
    </w:p>
    <w:p>
      <w:pPr>
        <w:spacing w:before="241"/>
        <w:ind w:left="477" w:right="0" w:firstLine="0"/>
        <w:jc w:val="left"/>
        <w:rPr>
          <w:i/>
          <w:sz w:val="38"/>
        </w:rPr>
      </w:pPr>
      <w:r>
        <w:rPr>
          <w:sz w:val="38"/>
        </w:rPr>
        <w:t>‘</w:t>
      </w:r>
      <w:r>
        <w:rPr>
          <w:i/>
          <w:sz w:val="38"/>
        </w:rPr>
        <w:t>Implementing the use of curcumin in clinical practice for the treatment and prevention of</w:t>
      </w:r>
    </w:p>
    <w:p>
      <w:pPr>
        <w:pStyle w:val="BodyText"/>
        <w:rPr>
          <w:i/>
          <w:sz w:val="20"/>
        </w:rPr>
      </w:pPr>
    </w:p>
    <w:p>
      <w:pPr>
        <w:pStyle w:val="BodyText"/>
        <w:spacing w:before="1"/>
        <w:rPr>
          <w:i/>
          <w:sz w:val="21"/>
        </w:rPr>
      </w:pPr>
      <w:r>
        <w:rPr/>
        <w:pict>
          <v:line style="position:absolute;mso-position-horizontal-relative:page;mso-position-vertical-relative:paragraph;z-index:2528;mso-wrap-distance-left:0;mso-wrap-distance-right:0" from="63.863998pt,14.247388pt" to="207.883998pt,14.247388pt" stroked="true" strokeweight=".71997pt" strokecolor="#000000">
            <v:stroke dashstyle="solid"/>
            <w10:wrap type="topAndBottom"/>
          </v:line>
        </w:pict>
      </w:r>
    </w:p>
    <w:p>
      <w:pPr>
        <w:pStyle w:val="BodyText"/>
        <w:spacing w:before="7"/>
        <w:rPr>
          <w:i/>
          <w:sz w:val="18"/>
        </w:rPr>
      </w:pPr>
    </w:p>
    <w:p>
      <w:pPr>
        <w:spacing w:before="100"/>
        <w:ind w:left="477" w:right="0" w:firstLine="0"/>
        <w:jc w:val="left"/>
        <w:rPr>
          <w:sz w:val="20"/>
        </w:rPr>
      </w:pPr>
      <w:r>
        <w:rPr>
          <w:position w:val="5"/>
          <w:sz w:val="13"/>
        </w:rPr>
        <w:t>239 </w:t>
      </w:r>
      <w:r>
        <w:rPr>
          <w:sz w:val="20"/>
        </w:rPr>
        <w:t>Klaus Oberbeil: Kurkuma – die heilende Kraft der Zauberknolle (‘Turmeric – The Healing Power of the Magic Tuber’), 6/2012 p. 88</w:t>
      </w:r>
    </w:p>
    <w:p>
      <w:pPr>
        <w:spacing w:after="0"/>
        <w:jc w:val="left"/>
        <w:rPr>
          <w:sz w:val="20"/>
        </w:rPr>
        <w:sectPr>
          <w:pgSz w:w="14270" w:h="16850"/>
          <w:pgMar w:header="0" w:footer="1891" w:top="1600" w:bottom="2080" w:left="800" w:right="1280"/>
        </w:sectPr>
      </w:pPr>
    </w:p>
    <w:p>
      <w:pPr>
        <w:spacing w:line="276" w:lineRule="auto" w:before="181"/>
        <w:ind w:left="477" w:right="139" w:firstLine="0"/>
        <w:jc w:val="both"/>
        <w:rPr>
          <w:i/>
          <w:sz w:val="38"/>
        </w:rPr>
      </w:pPr>
      <w:r>
        <w:rPr>
          <w:i/>
          <w:sz w:val="38"/>
        </w:rPr>
        <w:t>chronic</w:t>
      </w:r>
      <w:r>
        <w:rPr>
          <w:i/>
          <w:spacing w:val="-9"/>
          <w:sz w:val="38"/>
        </w:rPr>
        <w:t> </w:t>
      </w:r>
      <w:r>
        <w:rPr>
          <w:i/>
          <w:sz w:val="38"/>
        </w:rPr>
        <w:t>diseases</w:t>
      </w:r>
      <w:r>
        <w:rPr>
          <w:i/>
          <w:spacing w:val="-10"/>
          <w:sz w:val="38"/>
        </w:rPr>
        <w:t> </w:t>
      </w:r>
      <w:r>
        <w:rPr>
          <w:i/>
          <w:sz w:val="38"/>
        </w:rPr>
        <w:t>associated</w:t>
      </w:r>
      <w:r>
        <w:rPr>
          <w:i/>
          <w:spacing w:val="-8"/>
          <w:sz w:val="38"/>
        </w:rPr>
        <w:t> </w:t>
      </w:r>
      <w:r>
        <w:rPr>
          <w:i/>
          <w:sz w:val="38"/>
        </w:rPr>
        <w:t>with</w:t>
      </w:r>
      <w:r>
        <w:rPr>
          <w:i/>
          <w:spacing w:val="-7"/>
          <w:sz w:val="38"/>
        </w:rPr>
        <w:t> </w:t>
      </w:r>
      <w:r>
        <w:rPr>
          <w:i/>
          <w:sz w:val="38"/>
        </w:rPr>
        <w:t>obesity</w:t>
      </w:r>
      <w:r>
        <w:rPr>
          <w:i/>
          <w:spacing w:val="-8"/>
          <w:sz w:val="38"/>
        </w:rPr>
        <w:t> </w:t>
      </w:r>
      <w:r>
        <w:rPr>
          <w:i/>
          <w:sz w:val="38"/>
        </w:rPr>
        <w:t>is</w:t>
      </w:r>
      <w:r>
        <w:rPr>
          <w:i/>
          <w:spacing w:val="-9"/>
          <w:sz w:val="38"/>
        </w:rPr>
        <w:t> </w:t>
      </w:r>
      <w:r>
        <w:rPr>
          <w:i/>
          <w:sz w:val="38"/>
        </w:rPr>
        <w:t>possible.</w:t>
      </w:r>
      <w:r>
        <w:rPr>
          <w:i/>
          <w:spacing w:val="-7"/>
          <w:sz w:val="38"/>
        </w:rPr>
        <w:t> </w:t>
      </w:r>
      <w:r>
        <w:rPr>
          <w:i/>
          <w:sz w:val="38"/>
        </w:rPr>
        <w:t>In</w:t>
      </w:r>
      <w:r>
        <w:rPr>
          <w:i/>
          <w:spacing w:val="-8"/>
          <w:sz w:val="38"/>
        </w:rPr>
        <w:t> </w:t>
      </w:r>
      <w:r>
        <w:rPr>
          <w:i/>
          <w:sz w:val="38"/>
        </w:rPr>
        <w:t>addition,</w:t>
      </w:r>
      <w:r>
        <w:rPr>
          <w:i/>
          <w:spacing w:val="-7"/>
          <w:sz w:val="38"/>
        </w:rPr>
        <w:t> </w:t>
      </w:r>
      <w:r>
        <w:rPr>
          <w:i/>
          <w:sz w:val="38"/>
        </w:rPr>
        <w:t>the</w:t>
      </w:r>
      <w:r>
        <w:rPr>
          <w:i/>
          <w:spacing w:val="-8"/>
          <w:sz w:val="38"/>
        </w:rPr>
        <w:t> </w:t>
      </w:r>
      <w:r>
        <w:rPr>
          <w:i/>
          <w:sz w:val="38"/>
        </w:rPr>
        <w:t>relatively</w:t>
      </w:r>
      <w:r>
        <w:rPr>
          <w:i/>
          <w:spacing w:val="-8"/>
          <w:sz w:val="38"/>
        </w:rPr>
        <w:t> </w:t>
      </w:r>
      <w:r>
        <w:rPr>
          <w:i/>
          <w:sz w:val="38"/>
        </w:rPr>
        <w:t>low</w:t>
      </w:r>
      <w:r>
        <w:rPr>
          <w:i/>
          <w:spacing w:val="-8"/>
          <w:sz w:val="38"/>
        </w:rPr>
        <w:t> </w:t>
      </w:r>
      <w:r>
        <w:rPr>
          <w:i/>
          <w:sz w:val="38"/>
        </w:rPr>
        <w:t>cost</w:t>
      </w:r>
      <w:r>
        <w:rPr>
          <w:i/>
          <w:spacing w:val="-7"/>
          <w:sz w:val="38"/>
        </w:rPr>
        <w:t> </w:t>
      </w:r>
      <w:r>
        <w:rPr>
          <w:i/>
          <w:sz w:val="38"/>
        </w:rPr>
        <w:t>of</w:t>
      </w:r>
      <w:r>
        <w:rPr>
          <w:i/>
          <w:spacing w:val="-8"/>
          <w:sz w:val="38"/>
        </w:rPr>
        <w:t> </w:t>
      </w:r>
      <w:r>
        <w:rPr>
          <w:i/>
          <w:sz w:val="38"/>
        </w:rPr>
        <w:t>curcu- </w:t>
      </w:r>
      <w:r>
        <w:rPr>
          <w:i/>
          <w:sz w:val="38"/>
        </w:rPr>
        <w:t>min makes it possible to make this part of your regular diet. Curcumin is safe and proven to be</w:t>
      </w:r>
      <w:r>
        <w:rPr>
          <w:i/>
          <w:spacing w:val="-2"/>
          <w:sz w:val="38"/>
        </w:rPr>
        <w:t> </w:t>
      </w:r>
      <w:r>
        <w:rPr>
          <w:i/>
          <w:sz w:val="38"/>
        </w:rPr>
        <w:t>effective’.</w:t>
      </w:r>
    </w:p>
    <w:p>
      <w:pPr>
        <w:pStyle w:val="Heading2"/>
        <w:spacing w:before="242"/>
        <w:jc w:val="both"/>
      </w:pPr>
      <w:r>
        <w:rPr/>
        <w:t>Furthermore, the researchers conclude:</w:t>
      </w:r>
    </w:p>
    <w:p>
      <w:pPr>
        <w:spacing w:line="276" w:lineRule="auto" w:before="304"/>
        <w:ind w:left="477" w:right="137" w:firstLine="0"/>
        <w:jc w:val="both"/>
        <w:rPr>
          <w:i/>
          <w:sz w:val="38"/>
        </w:rPr>
      </w:pPr>
      <w:r>
        <w:rPr>
          <w:i/>
          <w:sz w:val="38"/>
        </w:rPr>
        <w:t>‘Our results clearly show that curcumin has a remarkable health benefit at the cellular level </w:t>
      </w:r>
      <w:r>
        <w:rPr>
          <w:i/>
          <w:sz w:val="38"/>
        </w:rPr>
        <w:t>and in the whole organism for the prevention of obesity and the associated metabolic disturb- ances’.</w:t>
      </w:r>
    </w:p>
    <w:p>
      <w:pPr>
        <w:spacing w:line="276" w:lineRule="auto" w:before="239"/>
        <w:ind w:left="477" w:right="131" w:firstLine="0"/>
        <w:jc w:val="both"/>
        <w:rPr>
          <w:sz w:val="25"/>
        </w:rPr>
      </w:pPr>
      <w:r>
        <w:rPr>
          <w:i/>
          <w:sz w:val="38"/>
        </w:rPr>
        <w:t>‘Our</w:t>
      </w:r>
      <w:r>
        <w:rPr>
          <w:i/>
          <w:spacing w:val="-14"/>
          <w:sz w:val="38"/>
        </w:rPr>
        <w:t> </w:t>
      </w:r>
      <w:r>
        <w:rPr>
          <w:i/>
          <w:sz w:val="38"/>
        </w:rPr>
        <w:t>results</w:t>
      </w:r>
      <w:r>
        <w:rPr>
          <w:i/>
          <w:spacing w:val="-14"/>
          <w:sz w:val="38"/>
        </w:rPr>
        <w:t> </w:t>
      </w:r>
      <w:r>
        <w:rPr>
          <w:i/>
          <w:sz w:val="38"/>
        </w:rPr>
        <w:t>convey</w:t>
      </w:r>
      <w:r>
        <w:rPr>
          <w:i/>
          <w:spacing w:val="-14"/>
          <w:sz w:val="38"/>
        </w:rPr>
        <w:t> </w:t>
      </w:r>
      <w:r>
        <w:rPr>
          <w:i/>
          <w:sz w:val="38"/>
        </w:rPr>
        <w:t>the</w:t>
      </w:r>
      <w:r>
        <w:rPr>
          <w:i/>
          <w:spacing w:val="-12"/>
          <w:sz w:val="38"/>
        </w:rPr>
        <w:t> </w:t>
      </w:r>
      <w:r>
        <w:rPr>
          <w:i/>
          <w:sz w:val="38"/>
        </w:rPr>
        <w:t>hope</w:t>
      </w:r>
      <w:r>
        <w:rPr>
          <w:i/>
          <w:spacing w:val="-14"/>
          <w:sz w:val="38"/>
        </w:rPr>
        <w:t> </w:t>
      </w:r>
      <w:r>
        <w:rPr>
          <w:i/>
          <w:sz w:val="38"/>
        </w:rPr>
        <w:t>that</w:t>
      </w:r>
      <w:r>
        <w:rPr>
          <w:i/>
          <w:spacing w:val="-13"/>
          <w:sz w:val="38"/>
        </w:rPr>
        <w:t> </w:t>
      </w:r>
      <w:r>
        <w:rPr>
          <w:i/>
          <w:sz w:val="38"/>
        </w:rPr>
        <w:t>curcumin</w:t>
      </w:r>
      <w:r>
        <w:rPr>
          <w:i/>
          <w:spacing w:val="-11"/>
          <w:sz w:val="38"/>
        </w:rPr>
        <w:t> </w:t>
      </w:r>
      <w:r>
        <w:rPr>
          <w:i/>
          <w:sz w:val="38"/>
        </w:rPr>
        <w:t>can</w:t>
      </w:r>
      <w:r>
        <w:rPr>
          <w:i/>
          <w:spacing w:val="-12"/>
          <w:sz w:val="38"/>
        </w:rPr>
        <w:t> </w:t>
      </w:r>
      <w:r>
        <w:rPr>
          <w:i/>
          <w:sz w:val="38"/>
        </w:rPr>
        <w:t>prevent</w:t>
      </w:r>
      <w:r>
        <w:rPr>
          <w:i/>
          <w:spacing w:val="-13"/>
          <w:sz w:val="38"/>
        </w:rPr>
        <w:t> </w:t>
      </w:r>
      <w:r>
        <w:rPr>
          <w:i/>
          <w:sz w:val="38"/>
        </w:rPr>
        <w:t>excess</w:t>
      </w:r>
      <w:r>
        <w:rPr>
          <w:i/>
          <w:spacing w:val="-12"/>
          <w:sz w:val="38"/>
        </w:rPr>
        <w:t> </w:t>
      </w:r>
      <w:r>
        <w:rPr>
          <w:i/>
          <w:sz w:val="38"/>
        </w:rPr>
        <w:t>weight</w:t>
      </w:r>
      <w:r>
        <w:rPr>
          <w:i/>
          <w:spacing w:val="-8"/>
          <w:sz w:val="38"/>
        </w:rPr>
        <w:t> </w:t>
      </w:r>
      <w:r>
        <w:rPr>
          <w:i/>
          <w:sz w:val="38"/>
        </w:rPr>
        <w:t>and</w:t>
      </w:r>
      <w:r>
        <w:rPr>
          <w:i/>
          <w:spacing w:val="-14"/>
          <w:sz w:val="38"/>
        </w:rPr>
        <w:t> </w:t>
      </w:r>
      <w:r>
        <w:rPr>
          <w:i/>
          <w:sz w:val="38"/>
        </w:rPr>
        <w:t>obesity’.</w:t>
      </w:r>
      <w:r>
        <w:rPr>
          <w:i/>
          <w:spacing w:val="-13"/>
          <w:sz w:val="38"/>
        </w:rPr>
        <w:t> </w:t>
      </w:r>
      <w:r>
        <w:rPr>
          <w:sz w:val="38"/>
        </w:rPr>
        <w:t>Ejaz</w:t>
      </w:r>
      <w:r>
        <w:rPr>
          <w:spacing w:val="-13"/>
          <w:sz w:val="38"/>
        </w:rPr>
        <w:t> </w:t>
      </w:r>
      <w:r>
        <w:rPr>
          <w:sz w:val="38"/>
        </w:rPr>
        <w:t>from Tufts University in Medford, after her studies showed that mice fed high</w:t>
      </w:r>
      <w:r>
        <w:rPr>
          <w:spacing w:val="-53"/>
          <w:sz w:val="38"/>
        </w:rPr>
        <w:t> </w:t>
      </w:r>
      <w:r>
        <w:rPr>
          <w:sz w:val="38"/>
        </w:rPr>
        <w:t>levels of fat and supplemented with curcumin were able to reduce their body weight.</w:t>
      </w:r>
      <w:r>
        <w:rPr>
          <w:position w:val="9"/>
          <w:sz w:val="25"/>
        </w:rPr>
        <w:t>240</w:t>
      </w:r>
    </w:p>
    <w:p>
      <w:pPr>
        <w:spacing w:line="276" w:lineRule="auto" w:before="239"/>
        <w:ind w:left="477" w:right="132" w:firstLine="0"/>
        <w:jc w:val="both"/>
        <w:rPr>
          <w:sz w:val="25"/>
        </w:rPr>
      </w:pPr>
      <w:r>
        <w:rPr>
          <w:sz w:val="38"/>
        </w:rPr>
        <w:t>‘</w:t>
      </w:r>
      <w:r>
        <w:rPr>
          <w:i/>
          <w:sz w:val="38"/>
        </w:rPr>
        <w:t>These results show that curcumin clearly has fat-lowering propertie</w:t>
      </w:r>
      <w:r>
        <w:rPr>
          <w:sz w:val="38"/>
        </w:rPr>
        <w:t>s’, says Dr. E.M. Jang from Sunchon National University in Jeonnam, South Korea, after learning from studies that curcumin increases fat-burning enzymes.</w:t>
      </w:r>
      <w:r>
        <w:rPr>
          <w:position w:val="9"/>
          <w:sz w:val="25"/>
        </w:rPr>
        <w:t>241</w:t>
      </w:r>
    </w:p>
    <w:p>
      <w:pPr>
        <w:pStyle w:val="Heading1"/>
        <w:spacing w:before="225"/>
        <w:jc w:val="both"/>
      </w:pPr>
      <w:r>
        <w:rPr/>
        <w:t>Studies and scientific work on curcumin from the turmeric plant</w:t>
      </w:r>
    </w:p>
    <w:p>
      <w:pPr>
        <w:pStyle w:val="BodyText"/>
        <w:spacing w:line="276" w:lineRule="auto" w:before="299"/>
        <w:ind w:left="477" w:right="133"/>
        <w:jc w:val="both"/>
      </w:pPr>
      <w:r>
        <w:rPr/>
        <w:t>The turmeric plant and its active ingredient ‘curcumin’ have been intensively researched for around 50 years. There are now more than 3,700 studies on this remarkable spice.</w:t>
      </w:r>
    </w:p>
    <w:p>
      <w:pPr>
        <w:pStyle w:val="BodyText"/>
        <w:rPr>
          <w:sz w:val="20"/>
        </w:rPr>
      </w:pPr>
    </w:p>
    <w:p>
      <w:pPr>
        <w:pStyle w:val="BodyText"/>
        <w:rPr>
          <w:sz w:val="20"/>
        </w:rPr>
      </w:pPr>
    </w:p>
    <w:p>
      <w:pPr>
        <w:pStyle w:val="BodyText"/>
        <w:spacing w:before="9"/>
        <w:rPr>
          <w:sz w:val="15"/>
        </w:rPr>
      </w:pPr>
      <w:r>
        <w:rPr/>
        <w:pict>
          <v:line style="position:absolute;mso-position-horizontal-relative:page;mso-position-vertical-relative:paragraph;z-index:2552;mso-wrap-distance-left:0;mso-wrap-distance-right:0" from="63.863998pt,11.255015pt" to="207.883998pt,11.255015pt" stroked="true" strokeweight=".71997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240 </w:t>
      </w:r>
      <w:r>
        <w:rPr>
          <w:sz w:val="20"/>
        </w:rPr>
        <w:t>Klaus Oberbeil: Kurkuma – die heilende Kraft der Zauberknolle (‘Turmeric - The Healing Power of the Magic Tuber’), 6/2012 p.</w:t>
      </w:r>
      <w:r>
        <w:rPr>
          <w:spacing w:val="-27"/>
          <w:sz w:val="20"/>
        </w:rPr>
        <w:t> </w:t>
      </w:r>
      <w:r>
        <w:rPr>
          <w:sz w:val="20"/>
        </w:rPr>
        <w:t>49</w:t>
      </w:r>
    </w:p>
    <w:p>
      <w:pPr>
        <w:spacing w:before="94"/>
        <w:ind w:left="477" w:right="0" w:firstLine="0"/>
        <w:jc w:val="left"/>
        <w:rPr>
          <w:sz w:val="20"/>
        </w:rPr>
      </w:pPr>
      <w:r>
        <w:rPr>
          <w:position w:val="5"/>
          <w:sz w:val="13"/>
        </w:rPr>
        <w:t>241 </w:t>
      </w:r>
      <w:r>
        <w:rPr>
          <w:sz w:val="20"/>
        </w:rPr>
        <w:t>Klaus Oberbeil: Kurkuma – die heilende Kraft der Zauberknolle (‘Turmeric – The Healing Power of the Magic Tuber’), 6/2012 p.</w:t>
      </w:r>
      <w:r>
        <w:rPr>
          <w:spacing w:val="-25"/>
          <w:sz w:val="20"/>
        </w:rPr>
        <w:t> </w:t>
      </w:r>
      <w:r>
        <w:rPr>
          <w:sz w:val="20"/>
        </w:rPr>
        <w:t>91</w:t>
      </w:r>
    </w:p>
    <w:p>
      <w:pPr>
        <w:spacing w:after="0"/>
        <w:jc w:val="left"/>
        <w:rPr>
          <w:sz w:val="20"/>
        </w:rPr>
        <w:sectPr>
          <w:pgSz w:w="14270" w:h="16850"/>
          <w:pgMar w:header="0" w:footer="1891" w:top="1600" w:bottom="2080" w:left="800" w:right="1280"/>
        </w:sectPr>
      </w:pPr>
    </w:p>
    <w:p>
      <w:pPr>
        <w:pStyle w:val="Heading1"/>
        <w:spacing w:before="164"/>
      </w:pPr>
      <w:r>
        <w:rPr/>
        <w:t>Studies on the brain-protecting effect of curcumin</w:t>
      </w:r>
    </w:p>
    <w:p>
      <w:pPr>
        <w:pStyle w:val="ListParagraph"/>
        <w:numPr>
          <w:ilvl w:val="1"/>
          <w:numId w:val="26"/>
        </w:numPr>
        <w:tabs>
          <w:tab w:pos="1189" w:val="left" w:leader="none"/>
          <w:tab w:pos="1191" w:val="left" w:leader="none"/>
        </w:tabs>
        <w:spacing w:line="273" w:lineRule="auto" w:before="301" w:after="0"/>
        <w:ind w:left="1190" w:right="145" w:hanging="360"/>
        <w:jc w:val="left"/>
        <w:rPr>
          <w:sz w:val="25"/>
        </w:rPr>
      </w:pPr>
      <w:r>
        <w:rPr>
          <w:sz w:val="38"/>
        </w:rPr>
        <w:t>Curcumin promotes neurogenesis in the hippocampus by promoting the proliferation of neural progenitor cells (nerve</w:t>
      </w:r>
      <w:r>
        <w:rPr>
          <w:spacing w:val="-3"/>
          <w:sz w:val="38"/>
        </w:rPr>
        <w:t> </w:t>
      </w:r>
      <w:r>
        <w:rPr>
          <w:sz w:val="38"/>
        </w:rPr>
        <w:t>cells).</w:t>
      </w:r>
      <w:r>
        <w:rPr>
          <w:position w:val="9"/>
          <w:sz w:val="25"/>
        </w:rPr>
        <w:t>242</w:t>
      </w:r>
    </w:p>
    <w:p>
      <w:pPr>
        <w:pStyle w:val="ListParagraph"/>
        <w:numPr>
          <w:ilvl w:val="1"/>
          <w:numId w:val="26"/>
        </w:numPr>
        <w:tabs>
          <w:tab w:pos="1189" w:val="left" w:leader="none"/>
          <w:tab w:pos="1191" w:val="left" w:leader="none"/>
        </w:tabs>
        <w:spacing w:line="273" w:lineRule="auto" w:before="7" w:after="0"/>
        <w:ind w:left="1190" w:right="135" w:hanging="360"/>
        <w:jc w:val="left"/>
        <w:rPr>
          <w:sz w:val="25"/>
        </w:rPr>
      </w:pPr>
      <w:r>
        <w:rPr>
          <w:sz w:val="38"/>
        </w:rPr>
        <w:t>Curcumin protects against abeta deposits in the brain, which are thought to cause Alzheimer's.</w:t>
      </w:r>
      <w:r>
        <w:rPr>
          <w:position w:val="9"/>
          <w:sz w:val="25"/>
        </w:rPr>
        <w:t>243</w:t>
      </w:r>
    </w:p>
    <w:p>
      <w:pPr>
        <w:pStyle w:val="ListParagraph"/>
        <w:numPr>
          <w:ilvl w:val="1"/>
          <w:numId w:val="26"/>
        </w:numPr>
        <w:tabs>
          <w:tab w:pos="1189" w:val="left" w:leader="none"/>
          <w:tab w:pos="1191" w:val="left" w:leader="none"/>
        </w:tabs>
        <w:spacing w:line="273" w:lineRule="auto" w:before="7" w:after="0"/>
        <w:ind w:left="1190" w:right="134" w:hanging="360"/>
        <w:jc w:val="left"/>
        <w:rPr>
          <w:sz w:val="25"/>
        </w:rPr>
      </w:pPr>
      <w:r>
        <w:rPr>
          <w:sz w:val="38"/>
        </w:rPr>
        <w:t>Curcumin</w:t>
      </w:r>
      <w:r>
        <w:rPr>
          <w:spacing w:val="-22"/>
          <w:sz w:val="38"/>
        </w:rPr>
        <w:t> </w:t>
      </w:r>
      <w:r>
        <w:rPr>
          <w:sz w:val="38"/>
        </w:rPr>
        <w:t>protects</w:t>
      </w:r>
      <w:r>
        <w:rPr>
          <w:spacing w:val="-22"/>
          <w:sz w:val="38"/>
        </w:rPr>
        <w:t> </w:t>
      </w:r>
      <w:r>
        <w:rPr>
          <w:sz w:val="38"/>
        </w:rPr>
        <w:t>against</w:t>
      </w:r>
      <w:r>
        <w:rPr>
          <w:spacing w:val="-23"/>
          <w:sz w:val="38"/>
        </w:rPr>
        <w:t> </w:t>
      </w:r>
      <w:r>
        <w:rPr>
          <w:sz w:val="38"/>
        </w:rPr>
        <w:t>the</w:t>
      </w:r>
      <w:r>
        <w:rPr>
          <w:spacing w:val="-24"/>
          <w:sz w:val="38"/>
        </w:rPr>
        <w:t> </w:t>
      </w:r>
      <w:r>
        <w:rPr>
          <w:sz w:val="38"/>
        </w:rPr>
        <w:t>negative</w:t>
      </w:r>
      <w:r>
        <w:rPr>
          <w:spacing w:val="-23"/>
          <w:sz w:val="38"/>
        </w:rPr>
        <w:t> </w:t>
      </w:r>
      <w:r>
        <w:rPr>
          <w:sz w:val="38"/>
        </w:rPr>
        <w:t>effects</w:t>
      </w:r>
      <w:r>
        <w:rPr>
          <w:spacing w:val="-20"/>
          <w:sz w:val="38"/>
        </w:rPr>
        <w:t> </w:t>
      </w:r>
      <w:r>
        <w:rPr>
          <w:sz w:val="38"/>
        </w:rPr>
        <w:t>of</w:t>
      </w:r>
      <w:r>
        <w:rPr>
          <w:spacing w:val="-24"/>
          <w:sz w:val="38"/>
        </w:rPr>
        <w:t> </w:t>
      </w:r>
      <w:r>
        <w:rPr>
          <w:sz w:val="38"/>
        </w:rPr>
        <w:t>phenotoin</w:t>
      </w:r>
      <w:r>
        <w:rPr>
          <w:spacing w:val="-24"/>
          <w:sz w:val="38"/>
        </w:rPr>
        <w:t> </w:t>
      </w:r>
      <w:r>
        <w:rPr>
          <w:sz w:val="38"/>
        </w:rPr>
        <w:t>therapy</w:t>
      </w:r>
      <w:r>
        <w:rPr>
          <w:spacing w:val="-22"/>
          <w:sz w:val="38"/>
        </w:rPr>
        <w:t> </w:t>
      </w:r>
      <w:r>
        <w:rPr>
          <w:sz w:val="38"/>
        </w:rPr>
        <w:t>on</w:t>
      </w:r>
      <w:r>
        <w:rPr>
          <w:spacing w:val="-23"/>
          <w:sz w:val="38"/>
        </w:rPr>
        <w:t> </w:t>
      </w:r>
      <w:r>
        <w:rPr>
          <w:sz w:val="38"/>
        </w:rPr>
        <w:t>the brain.</w:t>
      </w:r>
      <w:r>
        <w:rPr>
          <w:position w:val="9"/>
          <w:sz w:val="25"/>
        </w:rPr>
        <w:t>244</w:t>
      </w:r>
    </w:p>
    <w:p>
      <w:pPr>
        <w:pStyle w:val="Heading1"/>
        <w:spacing w:before="229"/>
      </w:pPr>
      <w:r>
        <w:rPr/>
        <w:t>Studies on the effects of curcumin on Alzheimer's and Parkinson's</w:t>
      </w:r>
    </w:p>
    <w:p>
      <w:pPr>
        <w:pStyle w:val="BodyText"/>
        <w:spacing w:line="276" w:lineRule="auto" w:before="299"/>
        <w:ind w:left="477"/>
        <w:rPr>
          <w:sz w:val="25"/>
        </w:rPr>
      </w:pPr>
      <w:r>
        <w:rPr/>
        <w:t>Promising</w:t>
      </w:r>
      <w:r>
        <w:rPr>
          <w:spacing w:val="-15"/>
        </w:rPr>
        <w:t> </w:t>
      </w:r>
      <w:r>
        <w:rPr/>
        <w:t>results</w:t>
      </w:r>
      <w:r>
        <w:rPr>
          <w:spacing w:val="-15"/>
        </w:rPr>
        <w:t> </w:t>
      </w:r>
      <w:r>
        <w:rPr/>
        <w:t>from</w:t>
      </w:r>
      <w:r>
        <w:rPr>
          <w:spacing w:val="-17"/>
        </w:rPr>
        <w:t> </w:t>
      </w:r>
      <w:r>
        <w:rPr/>
        <w:t>studies</w:t>
      </w:r>
      <w:r>
        <w:rPr>
          <w:spacing w:val="-14"/>
        </w:rPr>
        <w:t> </w:t>
      </w:r>
      <w:r>
        <w:rPr/>
        <w:t>are</w:t>
      </w:r>
      <w:r>
        <w:rPr>
          <w:spacing w:val="-15"/>
        </w:rPr>
        <w:t> </w:t>
      </w:r>
      <w:r>
        <w:rPr/>
        <w:t>encouraging</w:t>
      </w:r>
      <w:r>
        <w:rPr>
          <w:spacing w:val="-14"/>
        </w:rPr>
        <w:t> </w:t>
      </w:r>
      <w:r>
        <w:rPr/>
        <w:t>for</w:t>
      </w:r>
      <w:r>
        <w:rPr>
          <w:spacing w:val="-14"/>
        </w:rPr>
        <w:t> </w:t>
      </w:r>
      <w:r>
        <w:rPr/>
        <w:t>Alzheimer's</w:t>
      </w:r>
      <w:r>
        <w:rPr>
          <w:spacing w:val="-16"/>
        </w:rPr>
        <w:t> </w:t>
      </w:r>
      <w:r>
        <w:rPr/>
        <w:t>and</w:t>
      </w:r>
      <w:r>
        <w:rPr>
          <w:spacing w:val="-15"/>
        </w:rPr>
        <w:t> </w:t>
      </w:r>
      <w:r>
        <w:rPr/>
        <w:t>Parkinson's patients.</w:t>
      </w:r>
      <w:r>
        <w:rPr>
          <w:position w:val="9"/>
          <w:sz w:val="25"/>
        </w:rPr>
        <w:t>245</w:t>
      </w:r>
    </w:p>
    <w:p>
      <w:pPr>
        <w:pStyle w:val="Heading1"/>
      </w:pPr>
      <w:r>
        <w:rPr/>
        <w:t>Studies on the antitumour effect of</w:t>
      </w:r>
      <w:r>
        <w:rPr>
          <w:spacing w:val="-73"/>
        </w:rPr>
        <w:t> </w:t>
      </w:r>
      <w:r>
        <w:rPr/>
        <w:t>curcumin</w:t>
      </w:r>
    </w:p>
    <w:p>
      <w:pPr>
        <w:pStyle w:val="ListParagraph"/>
        <w:numPr>
          <w:ilvl w:val="1"/>
          <w:numId w:val="26"/>
        </w:numPr>
        <w:tabs>
          <w:tab w:pos="1197" w:val="left" w:leader="none"/>
          <w:tab w:pos="1198" w:val="left" w:leader="none"/>
        </w:tabs>
        <w:spacing w:line="273" w:lineRule="auto" w:before="301" w:after="0"/>
        <w:ind w:left="1197" w:right="143" w:hanging="360"/>
        <w:jc w:val="left"/>
        <w:rPr>
          <w:sz w:val="25"/>
        </w:rPr>
      </w:pPr>
      <w:r>
        <w:rPr>
          <w:sz w:val="38"/>
        </w:rPr>
        <w:t>Curcumin has an effect on the androgen receptor and thus counteracts prostate</w:t>
      </w:r>
      <w:r>
        <w:rPr>
          <w:spacing w:val="-1"/>
          <w:sz w:val="38"/>
        </w:rPr>
        <w:t> </w:t>
      </w:r>
      <w:r>
        <w:rPr>
          <w:sz w:val="38"/>
        </w:rPr>
        <w:t>cancer.</w:t>
      </w:r>
      <w:r>
        <w:rPr>
          <w:position w:val="9"/>
          <w:sz w:val="25"/>
        </w:rPr>
        <w:t>246</w:t>
      </w:r>
    </w:p>
    <w:p>
      <w:pPr>
        <w:pStyle w:val="ListParagraph"/>
        <w:numPr>
          <w:ilvl w:val="1"/>
          <w:numId w:val="26"/>
        </w:numPr>
        <w:tabs>
          <w:tab w:pos="1197" w:val="left" w:leader="none"/>
          <w:tab w:pos="1198" w:val="left" w:leader="none"/>
        </w:tabs>
        <w:spacing w:line="273" w:lineRule="auto" w:before="7" w:after="0"/>
        <w:ind w:left="1197" w:right="134" w:hanging="360"/>
        <w:jc w:val="left"/>
        <w:rPr>
          <w:sz w:val="25"/>
        </w:rPr>
      </w:pPr>
      <w:r>
        <w:rPr>
          <w:sz w:val="38"/>
        </w:rPr>
        <w:t>In ovarian cancer, curcumin causes apoptosis of the cancer cells and can thus improve the effects of</w:t>
      </w:r>
      <w:r>
        <w:rPr>
          <w:spacing w:val="4"/>
          <w:sz w:val="38"/>
        </w:rPr>
        <w:t> </w:t>
      </w:r>
      <w:r>
        <w:rPr>
          <w:sz w:val="38"/>
        </w:rPr>
        <w:t>therapy.</w:t>
      </w:r>
      <w:r>
        <w:rPr>
          <w:position w:val="9"/>
          <w:sz w:val="25"/>
        </w:rPr>
        <w:t>247</w:t>
      </w:r>
    </w:p>
    <w:p>
      <w:pPr>
        <w:pStyle w:val="ListParagraph"/>
        <w:numPr>
          <w:ilvl w:val="1"/>
          <w:numId w:val="26"/>
        </w:numPr>
        <w:tabs>
          <w:tab w:pos="1197" w:val="left" w:leader="none"/>
          <w:tab w:pos="1198" w:val="left" w:leader="none"/>
        </w:tabs>
        <w:spacing w:line="273" w:lineRule="auto" w:before="7" w:after="0"/>
        <w:ind w:left="1197" w:right="509" w:hanging="360"/>
        <w:jc w:val="left"/>
        <w:rPr>
          <w:sz w:val="25"/>
        </w:rPr>
      </w:pPr>
      <w:r>
        <w:rPr>
          <w:sz w:val="38"/>
        </w:rPr>
        <w:t>In lung cancer, curcumin also initiates the programmed death of cancer cells.</w:t>
      </w:r>
      <w:r>
        <w:rPr>
          <w:position w:val="9"/>
          <w:sz w:val="25"/>
        </w:rPr>
        <w:t>248</w:t>
      </w:r>
    </w:p>
    <w:p>
      <w:pPr>
        <w:pStyle w:val="BodyText"/>
        <w:rPr>
          <w:sz w:val="20"/>
        </w:rPr>
      </w:pPr>
    </w:p>
    <w:p>
      <w:pPr>
        <w:pStyle w:val="BodyText"/>
        <w:spacing w:before="5"/>
        <w:rPr>
          <w:sz w:val="28"/>
        </w:rPr>
      </w:pPr>
      <w:r>
        <w:rPr/>
        <w:pict>
          <v:line style="position:absolute;mso-position-horizontal-relative:page;mso-position-vertical-relative:paragraph;z-index:2576;mso-wrap-distance-left:0;mso-wrap-distance-right:0" from="63.863998pt,18.387457pt" to="207.883998pt,18.387457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242 </w:t>
      </w:r>
      <w:r>
        <w:rPr>
          <w:sz w:val="20"/>
        </w:rPr>
        <w:t>Biol Chem. May 2008 23; 283 (21), p. 14497-14505</w:t>
      </w:r>
    </w:p>
    <w:p>
      <w:pPr>
        <w:spacing w:before="94"/>
        <w:ind w:left="477" w:right="0" w:firstLine="0"/>
        <w:jc w:val="left"/>
        <w:rPr>
          <w:sz w:val="20"/>
        </w:rPr>
      </w:pPr>
      <w:r>
        <w:rPr>
          <w:position w:val="5"/>
          <w:sz w:val="13"/>
        </w:rPr>
        <w:t>243 </w:t>
      </w:r>
      <w:r>
        <w:rPr>
          <w:sz w:val="20"/>
        </w:rPr>
        <w:t>Exp Neurol. September 2009</w:t>
      </w:r>
    </w:p>
    <w:p>
      <w:pPr>
        <w:spacing w:before="92"/>
        <w:ind w:left="477" w:right="0" w:firstLine="0"/>
        <w:jc w:val="left"/>
        <w:rPr>
          <w:sz w:val="20"/>
        </w:rPr>
      </w:pPr>
      <w:r>
        <w:rPr>
          <w:position w:val="5"/>
          <w:sz w:val="13"/>
        </w:rPr>
        <w:t>244 </w:t>
      </w:r>
      <w:r>
        <w:rPr>
          <w:sz w:val="20"/>
        </w:rPr>
        <w:t>Brain Res. September 2009</w:t>
      </w:r>
    </w:p>
    <w:p>
      <w:pPr>
        <w:spacing w:before="94"/>
        <w:ind w:left="477" w:right="0" w:firstLine="0"/>
        <w:jc w:val="left"/>
        <w:rPr>
          <w:sz w:val="20"/>
        </w:rPr>
      </w:pPr>
      <w:r>
        <w:rPr>
          <w:position w:val="5"/>
          <w:sz w:val="13"/>
        </w:rPr>
        <w:t>245 </w:t>
      </w:r>
      <w:r>
        <w:rPr>
          <w:sz w:val="20"/>
        </w:rPr>
        <w:t>Doggui S.J. Alzheimers Dis. March 2012</w:t>
      </w:r>
    </w:p>
    <w:p>
      <w:pPr>
        <w:spacing w:before="94"/>
        <w:ind w:left="477" w:right="0" w:firstLine="0"/>
        <w:jc w:val="left"/>
        <w:rPr>
          <w:sz w:val="20"/>
        </w:rPr>
      </w:pPr>
      <w:r>
        <w:rPr>
          <w:position w:val="5"/>
          <w:sz w:val="13"/>
        </w:rPr>
        <w:t>246 </w:t>
      </w:r>
      <w:r>
        <w:rPr>
          <w:sz w:val="20"/>
        </w:rPr>
        <w:t>Anticancer Agents Med Chem. September 2009</w:t>
      </w:r>
    </w:p>
    <w:p>
      <w:pPr>
        <w:spacing w:before="94"/>
        <w:ind w:left="477" w:right="0" w:firstLine="0"/>
        <w:jc w:val="left"/>
        <w:rPr>
          <w:sz w:val="20"/>
        </w:rPr>
      </w:pPr>
      <w:r>
        <w:rPr/>
        <w:drawing>
          <wp:anchor distT="0" distB="0" distL="0" distR="0" allowOverlap="1" layoutInCell="1" locked="0" behindDoc="1" simplePos="0" relativeHeight="267170375">
            <wp:simplePos x="0" y="0"/>
            <wp:positionH relativeFrom="page">
              <wp:posOffset>896463</wp:posOffset>
            </wp:positionH>
            <wp:positionV relativeFrom="paragraph">
              <wp:posOffset>141962</wp:posOffset>
            </wp:positionV>
            <wp:extent cx="6379583" cy="902106"/>
            <wp:effectExtent l="0" t="0" r="0" b="0"/>
            <wp:wrapNone/>
            <wp:docPr id="139" name="image2.jpeg" descr=""/>
            <wp:cNvGraphicFramePr>
              <a:graphicFrameLocks noChangeAspect="1"/>
            </wp:cNvGraphicFramePr>
            <a:graphic>
              <a:graphicData uri="http://schemas.openxmlformats.org/drawingml/2006/picture">
                <pic:pic>
                  <pic:nvPicPr>
                    <pic:cNvPr id="140"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247 </w:t>
      </w:r>
      <w:r>
        <w:rPr>
          <w:sz w:val="20"/>
        </w:rPr>
        <w:t>Mol Carcinog, August 2009</w:t>
      </w:r>
    </w:p>
    <w:p>
      <w:pPr>
        <w:spacing w:before="95"/>
        <w:ind w:left="477" w:right="0" w:firstLine="0"/>
        <w:jc w:val="left"/>
        <w:rPr>
          <w:sz w:val="20"/>
        </w:rPr>
      </w:pPr>
      <w:r>
        <w:rPr>
          <w:position w:val="5"/>
          <w:sz w:val="13"/>
        </w:rPr>
        <w:t>248 </w:t>
      </w:r>
      <w:r>
        <w:rPr>
          <w:sz w:val="20"/>
        </w:rPr>
        <w:t>Yang CL et al.: DNA Cell Biol. June 2011</w:t>
      </w:r>
    </w:p>
    <w:p>
      <w:pPr>
        <w:spacing w:after="0"/>
        <w:jc w:val="left"/>
        <w:rPr>
          <w:sz w:val="20"/>
        </w:rPr>
        <w:sectPr>
          <w:footerReference w:type="default" r:id="rId94"/>
          <w:pgSz w:w="14270" w:h="16850"/>
          <w:pgMar w:footer="527" w:header="0" w:top="1600" w:bottom="720" w:left="800" w:right="1280"/>
        </w:sectPr>
      </w:pPr>
    </w:p>
    <w:p>
      <w:pPr>
        <w:pStyle w:val="BodyText"/>
        <w:spacing w:before="10"/>
        <w:rPr>
          <w:sz w:val="8"/>
        </w:rPr>
      </w:pPr>
    </w:p>
    <w:p>
      <w:pPr>
        <w:pStyle w:val="ListParagraph"/>
        <w:numPr>
          <w:ilvl w:val="1"/>
          <w:numId w:val="26"/>
        </w:numPr>
        <w:tabs>
          <w:tab w:pos="1197" w:val="left" w:leader="none"/>
          <w:tab w:pos="1198" w:val="left" w:leader="none"/>
        </w:tabs>
        <w:spacing w:line="273" w:lineRule="auto" w:before="83" w:after="0"/>
        <w:ind w:left="1197" w:right="136" w:hanging="360"/>
        <w:jc w:val="left"/>
        <w:rPr>
          <w:sz w:val="25"/>
        </w:rPr>
      </w:pPr>
      <w:r>
        <w:rPr>
          <w:sz w:val="38"/>
        </w:rPr>
        <w:t>In pituitary tumours, curcumin has a hormonal effect on the cancer cells and thus leads to antitumoural</w:t>
      </w:r>
      <w:r>
        <w:rPr>
          <w:spacing w:val="1"/>
          <w:sz w:val="38"/>
        </w:rPr>
        <w:t> </w:t>
      </w:r>
      <w:r>
        <w:rPr>
          <w:sz w:val="38"/>
        </w:rPr>
        <w:t>effects.</w:t>
      </w:r>
      <w:r>
        <w:rPr>
          <w:position w:val="9"/>
          <w:sz w:val="25"/>
        </w:rPr>
        <w:t>249</w:t>
      </w:r>
    </w:p>
    <w:p>
      <w:pPr>
        <w:pStyle w:val="ListParagraph"/>
        <w:numPr>
          <w:ilvl w:val="1"/>
          <w:numId w:val="26"/>
        </w:numPr>
        <w:tabs>
          <w:tab w:pos="1197" w:val="left" w:leader="none"/>
          <w:tab w:pos="1198" w:val="left" w:leader="none"/>
        </w:tabs>
        <w:spacing w:line="240" w:lineRule="auto" w:before="7" w:after="0"/>
        <w:ind w:left="1197" w:right="0" w:hanging="360"/>
        <w:jc w:val="left"/>
        <w:rPr>
          <w:sz w:val="25"/>
        </w:rPr>
      </w:pPr>
      <w:r>
        <w:rPr>
          <w:sz w:val="38"/>
        </w:rPr>
        <w:t>Curcumin inhibits</w:t>
      </w:r>
      <w:r>
        <w:rPr>
          <w:spacing w:val="1"/>
          <w:sz w:val="38"/>
        </w:rPr>
        <w:t> </w:t>
      </w:r>
      <w:r>
        <w:rPr>
          <w:sz w:val="38"/>
        </w:rPr>
        <w:t>metastasis.</w:t>
      </w:r>
      <w:r>
        <w:rPr>
          <w:position w:val="9"/>
          <w:sz w:val="25"/>
        </w:rPr>
        <w:t>250</w:t>
      </w:r>
    </w:p>
    <w:p>
      <w:pPr>
        <w:pStyle w:val="ListParagraph"/>
        <w:numPr>
          <w:ilvl w:val="1"/>
          <w:numId w:val="26"/>
        </w:numPr>
        <w:tabs>
          <w:tab w:pos="1197" w:val="left" w:leader="none"/>
          <w:tab w:pos="1198" w:val="left" w:leader="none"/>
        </w:tabs>
        <w:spacing w:line="273" w:lineRule="auto" w:before="64" w:after="0"/>
        <w:ind w:left="1197" w:right="141" w:hanging="360"/>
        <w:jc w:val="left"/>
        <w:rPr>
          <w:sz w:val="25"/>
        </w:rPr>
      </w:pPr>
      <w:r>
        <w:rPr>
          <w:sz w:val="38"/>
        </w:rPr>
        <w:t>Curcumin prevents the growth of cancer cells in malignant melanoma in vitro.</w:t>
      </w:r>
      <w:r>
        <w:rPr>
          <w:position w:val="9"/>
          <w:sz w:val="25"/>
        </w:rPr>
        <w:t>251</w:t>
      </w:r>
    </w:p>
    <w:p>
      <w:pPr>
        <w:pStyle w:val="ListParagraph"/>
        <w:numPr>
          <w:ilvl w:val="1"/>
          <w:numId w:val="26"/>
        </w:numPr>
        <w:tabs>
          <w:tab w:pos="1197" w:val="left" w:leader="none"/>
          <w:tab w:pos="1198" w:val="left" w:leader="none"/>
        </w:tabs>
        <w:spacing w:line="273" w:lineRule="auto" w:before="7" w:after="0"/>
        <w:ind w:left="1197" w:right="135" w:hanging="360"/>
        <w:jc w:val="left"/>
        <w:rPr>
          <w:sz w:val="38"/>
        </w:rPr>
      </w:pPr>
      <w:r>
        <w:rPr>
          <w:sz w:val="38"/>
        </w:rPr>
        <w:t>Curcumin</w:t>
      </w:r>
      <w:r>
        <w:rPr>
          <w:spacing w:val="-9"/>
          <w:sz w:val="38"/>
        </w:rPr>
        <w:t> </w:t>
      </w:r>
      <w:r>
        <w:rPr>
          <w:sz w:val="38"/>
        </w:rPr>
        <w:t>can</w:t>
      </w:r>
      <w:r>
        <w:rPr>
          <w:spacing w:val="-7"/>
          <w:sz w:val="38"/>
        </w:rPr>
        <w:t> </w:t>
      </w:r>
      <w:r>
        <w:rPr>
          <w:sz w:val="38"/>
        </w:rPr>
        <w:t>prevent</w:t>
      </w:r>
      <w:r>
        <w:rPr>
          <w:spacing w:val="-10"/>
          <w:sz w:val="38"/>
        </w:rPr>
        <w:t> </w:t>
      </w:r>
      <w:r>
        <w:rPr>
          <w:sz w:val="38"/>
        </w:rPr>
        <w:t>any</w:t>
      </w:r>
      <w:r>
        <w:rPr>
          <w:spacing w:val="-8"/>
          <w:sz w:val="38"/>
        </w:rPr>
        <w:t> </w:t>
      </w:r>
      <w:r>
        <w:rPr>
          <w:sz w:val="38"/>
        </w:rPr>
        <w:t>further</w:t>
      </w:r>
      <w:r>
        <w:rPr>
          <w:spacing w:val="-8"/>
          <w:sz w:val="38"/>
        </w:rPr>
        <w:t> </w:t>
      </w:r>
      <w:r>
        <w:rPr>
          <w:sz w:val="38"/>
        </w:rPr>
        <w:t>spread</w:t>
      </w:r>
      <w:r>
        <w:rPr>
          <w:spacing w:val="-9"/>
          <w:sz w:val="38"/>
        </w:rPr>
        <w:t> </w:t>
      </w:r>
      <w:r>
        <w:rPr>
          <w:sz w:val="38"/>
        </w:rPr>
        <w:t>of</w:t>
      </w:r>
      <w:r>
        <w:rPr>
          <w:spacing w:val="-8"/>
          <w:sz w:val="38"/>
        </w:rPr>
        <w:t> </w:t>
      </w:r>
      <w:r>
        <w:rPr>
          <w:sz w:val="38"/>
        </w:rPr>
        <w:t>about</w:t>
      </w:r>
      <w:r>
        <w:rPr>
          <w:spacing w:val="-10"/>
          <w:sz w:val="38"/>
        </w:rPr>
        <w:t> </w:t>
      </w:r>
      <w:r>
        <w:rPr>
          <w:sz w:val="38"/>
        </w:rPr>
        <w:t>40</w:t>
      </w:r>
      <w:r>
        <w:rPr>
          <w:spacing w:val="-5"/>
          <w:sz w:val="38"/>
        </w:rPr>
        <w:t> </w:t>
      </w:r>
      <w:r>
        <w:rPr>
          <w:sz w:val="38"/>
        </w:rPr>
        <w:t>%</w:t>
      </w:r>
      <w:r>
        <w:rPr>
          <w:spacing w:val="-10"/>
          <w:sz w:val="38"/>
        </w:rPr>
        <w:t> </w:t>
      </w:r>
      <w:r>
        <w:rPr>
          <w:sz w:val="38"/>
        </w:rPr>
        <w:t>of</w:t>
      </w:r>
      <w:r>
        <w:rPr>
          <w:spacing w:val="-6"/>
          <w:sz w:val="38"/>
        </w:rPr>
        <w:t> </w:t>
      </w:r>
      <w:r>
        <w:rPr>
          <w:sz w:val="38"/>
        </w:rPr>
        <w:t>all</w:t>
      </w:r>
      <w:r>
        <w:rPr>
          <w:spacing w:val="-10"/>
          <w:sz w:val="38"/>
        </w:rPr>
        <w:t> </w:t>
      </w:r>
      <w:r>
        <w:rPr>
          <w:sz w:val="38"/>
        </w:rPr>
        <w:t>lung,</w:t>
      </w:r>
      <w:r>
        <w:rPr>
          <w:spacing w:val="-8"/>
          <w:sz w:val="38"/>
        </w:rPr>
        <w:t> </w:t>
      </w:r>
      <w:r>
        <w:rPr>
          <w:sz w:val="38"/>
        </w:rPr>
        <w:t>colon, prostate and skin</w:t>
      </w:r>
      <w:r>
        <w:rPr>
          <w:spacing w:val="1"/>
          <w:sz w:val="38"/>
        </w:rPr>
        <w:t> </w:t>
      </w:r>
      <w:r>
        <w:rPr>
          <w:sz w:val="38"/>
        </w:rPr>
        <w:t>tumours.</w:t>
      </w:r>
    </w:p>
    <w:p>
      <w:pPr>
        <w:pStyle w:val="Heading1"/>
        <w:spacing w:before="231"/>
      </w:pPr>
      <w:r>
        <w:rPr/>
        <w:t>Curcumin optimises the effect of</w:t>
      </w:r>
      <w:r>
        <w:rPr>
          <w:spacing w:val="-64"/>
        </w:rPr>
        <w:t> </w:t>
      </w:r>
      <w:r>
        <w:rPr/>
        <w:t>radiotherapy</w:t>
      </w:r>
    </w:p>
    <w:p>
      <w:pPr>
        <w:pStyle w:val="BodyText"/>
        <w:spacing w:line="276" w:lineRule="auto" w:before="297"/>
        <w:ind w:left="477"/>
        <w:rPr>
          <w:sz w:val="25"/>
        </w:rPr>
      </w:pPr>
      <w:r>
        <w:rPr/>
        <w:t>As a radiosensitiser, curcumin improves the response rate of radiotherapy in studies.</w:t>
      </w:r>
      <w:r>
        <w:rPr>
          <w:position w:val="9"/>
          <w:sz w:val="25"/>
        </w:rPr>
        <w:t>252 253</w:t>
      </w:r>
    </w:p>
    <w:p>
      <w:pPr>
        <w:pStyle w:val="Heading1"/>
        <w:spacing w:before="223"/>
      </w:pPr>
      <w:r>
        <w:rPr/>
        <w:t>Curcumin potentiates the effects of</w:t>
      </w:r>
      <w:r>
        <w:rPr>
          <w:spacing w:val="-72"/>
        </w:rPr>
        <w:t> </w:t>
      </w:r>
      <w:r>
        <w:rPr/>
        <w:t>chemotherapy</w:t>
      </w:r>
    </w:p>
    <w:p>
      <w:pPr>
        <w:pStyle w:val="BodyText"/>
        <w:spacing w:line="276" w:lineRule="auto" w:before="300"/>
        <w:ind w:left="477" w:right="133"/>
        <w:jc w:val="both"/>
      </w:pPr>
      <w:r>
        <w:rPr/>
        <w:t>Curcumin potentiates the effect of the chemotherapeutic agent gemcitabine, which is used, for example, in pancreatic carcinomas.</w:t>
      </w:r>
      <w:r>
        <w:rPr>
          <w:position w:val="9"/>
          <w:sz w:val="25"/>
        </w:rPr>
        <w:t>254 </w:t>
      </w:r>
      <w:r>
        <w:rPr/>
        <w:t>It works synergistically with chemotherapeutic agents and improves their effect as a so-called chemo- sensitiser.</w:t>
      </w:r>
    </w:p>
    <w:p>
      <w:pPr>
        <w:pStyle w:val="BodyText"/>
        <w:spacing w:before="239"/>
        <w:ind w:left="477"/>
        <w:jc w:val="both"/>
      </w:pPr>
      <w:r>
        <w:rPr/>
        <w:t>In summary, synergistic enhancement has been observed in the chemotherapies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0"/>
        </w:rPr>
      </w:pPr>
      <w:r>
        <w:rPr/>
        <w:pict>
          <v:line style="position:absolute;mso-position-horizontal-relative:page;mso-position-vertical-relative:paragraph;z-index:2624;mso-wrap-distance-left:0;mso-wrap-distance-right:0" from="63.863998pt,8.433686pt" to="207.883998pt,8.433686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249 </w:t>
      </w:r>
      <w:r>
        <w:rPr>
          <w:sz w:val="20"/>
        </w:rPr>
        <w:t>Endocrinology. August 2008; 149 (8), p. 4158-4167</w:t>
      </w:r>
    </w:p>
    <w:p>
      <w:pPr>
        <w:spacing w:before="92"/>
        <w:ind w:left="477" w:right="0" w:firstLine="0"/>
        <w:jc w:val="left"/>
        <w:rPr>
          <w:sz w:val="20"/>
        </w:rPr>
      </w:pPr>
      <w:r>
        <w:rPr>
          <w:position w:val="5"/>
          <w:sz w:val="13"/>
        </w:rPr>
        <w:t>250 </w:t>
      </w:r>
      <w:r>
        <w:rPr>
          <w:sz w:val="20"/>
        </w:rPr>
        <w:t>2005, 11, 7490-7498</w:t>
      </w:r>
    </w:p>
    <w:p>
      <w:pPr>
        <w:spacing w:before="94"/>
        <w:ind w:left="477" w:right="0" w:firstLine="0"/>
        <w:jc w:val="left"/>
        <w:rPr>
          <w:sz w:val="20"/>
        </w:rPr>
      </w:pPr>
      <w:r>
        <w:rPr>
          <w:position w:val="5"/>
          <w:sz w:val="13"/>
        </w:rPr>
        <w:t>251 </w:t>
      </w:r>
      <w:r>
        <w:rPr>
          <w:sz w:val="20"/>
        </w:rPr>
        <w:t>Cancer 2005, Online Edition, DOI: 10.1002/cncr.21216</w:t>
      </w:r>
    </w:p>
    <w:p>
      <w:pPr>
        <w:spacing w:before="94"/>
        <w:ind w:left="477" w:right="0" w:firstLine="0"/>
        <w:jc w:val="left"/>
        <w:rPr>
          <w:sz w:val="20"/>
        </w:rPr>
      </w:pPr>
      <w:r>
        <w:rPr>
          <w:position w:val="5"/>
          <w:sz w:val="13"/>
        </w:rPr>
        <w:t>252 </w:t>
      </w:r>
      <w:r>
        <w:rPr>
          <w:sz w:val="20"/>
        </w:rPr>
        <w:t>Int J Radiat Oncol Biol Phys. 2009 Oct 1; 75 (2), p. 534-542</w:t>
      </w:r>
    </w:p>
    <w:p>
      <w:pPr>
        <w:spacing w:before="95"/>
        <w:ind w:left="477" w:right="0" w:firstLine="0"/>
        <w:jc w:val="left"/>
        <w:rPr>
          <w:sz w:val="20"/>
        </w:rPr>
      </w:pPr>
      <w:r>
        <w:rPr/>
        <w:drawing>
          <wp:anchor distT="0" distB="0" distL="0" distR="0" allowOverlap="1" layoutInCell="1" locked="0" behindDoc="1" simplePos="0" relativeHeight="267170423">
            <wp:simplePos x="0" y="0"/>
            <wp:positionH relativeFrom="page">
              <wp:posOffset>896463</wp:posOffset>
            </wp:positionH>
            <wp:positionV relativeFrom="paragraph">
              <wp:posOffset>142597</wp:posOffset>
            </wp:positionV>
            <wp:extent cx="6379583" cy="902106"/>
            <wp:effectExtent l="0" t="0" r="0" b="0"/>
            <wp:wrapNone/>
            <wp:docPr id="141" name="image2.jpeg" descr=""/>
            <wp:cNvGraphicFramePr>
              <a:graphicFrameLocks noChangeAspect="1"/>
            </wp:cNvGraphicFramePr>
            <a:graphic>
              <a:graphicData uri="http://schemas.openxmlformats.org/drawingml/2006/picture">
                <pic:pic>
                  <pic:nvPicPr>
                    <pic:cNvPr id="142"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253 </w:t>
      </w:r>
      <w:r>
        <w:rPr>
          <w:sz w:val="20"/>
        </w:rPr>
        <w:t>Clin Cancer Res. 2008 Apr 1; 14 (7), p. 2128-2136</w:t>
      </w:r>
    </w:p>
    <w:p>
      <w:pPr>
        <w:spacing w:before="94"/>
        <w:ind w:left="477" w:right="0" w:firstLine="0"/>
        <w:jc w:val="left"/>
        <w:rPr>
          <w:sz w:val="20"/>
        </w:rPr>
      </w:pPr>
      <w:r>
        <w:rPr>
          <w:position w:val="5"/>
          <w:sz w:val="13"/>
        </w:rPr>
        <w:t>254 </w:t>
      </w:r>
      <w:r>
        <w:rPr>
          <w:sz w:val="20"/>
        </w:rPr>
        <w:t>Cancer Res. 2007 Apr 15; 67 (8), p. 3853-3861</w:t>
      </w:r>
    </w:p>
    <w:p>
      <w:pPr>
        <w:spacing w:after="0"/>
        <w:jc w:val="left"/>
        <w:rPr>
          <w:sz w:val="20"/>
        </w:rPr>
        <w:sectPr>
          <w:footerReference w:type="default" r:id="rId95"/>
          <w:pgSz w:w="14270" w:h="16850"/>
          <w:pgMar w:footer="527" w:header="0" w:top="1600" w:bottom="720" w:left="800" w:right="1280"/>
          <w:pgNumType w:start="360"/>
        </w:sectPr>
      </w:pPr>
    </w:p>
    <w:p>
      <w:pPr>
        <w:pStyle w:val="BodyText"/>
        <w:spacing w:before="181"/>
        <w:ind w:left="477"/>
        <w:rPr>
          <w:sz w:val="25"/>
        </w:rPr>
      </w:pPr>
      <w:r>
        <w:rPr/>
        <w:t>listed below:</w:t>
      </w:r>
      <w:r>
        <w:rPr>
          <w:position w:val="9"/>
          <w:sz w:val="25"/>
        </w:rPr>
        <w:t>255</w:t>
      </w:r>
    </w:p>
    <w:p>
      <w:pPr>
        <w:pStyle w:val="ListParagraph"/>
        <w:numPr>
          <w:ilvl w:val="0"/>
          <w:numId w:val="26"/>
        </w:numPr>
        <w:tabs>
          <w:tab w:pos="2461" w:val="left" w:leader="none"/>
          <w:tab w:pos="2462" w:val="left" w:leader="none"/>
        </w:tabs>
        <w:spacing w:line="240" w:lineRule="auto" w:before="306" w:after="0"/>
        <w:ind w:left="2462" w:right="0" w:hanging="1985"/>
        <w:jc w:val="left"/>
        <w:rPr>
          <w:sz w:val="38"/>
        </w:rPr>
      </w:pPr>
      <w:r>
        <w:rPr>
          <w:sz w:val="38"/>
        </w:rPr>
        <w:t>Paclitaxel</w:t>
      </w:r>
    </w:p>
    <w:p>
      <w:pPr>
        <w:pStyle w:val="ListParagraph"/>
        <w:numPr>
          <w:ilvl w:val="0"/>
          <w:numId w:val="26"/>
        </w:numPr>
        <w:tabs>
          <w:tab w:pos="2461" w:val="left" w:leader="none"/>
          <w:tab w:pos="2462" w:val="left" w:leader="none"/>
        </w:tabs>
        <w:spacing w:line="240" w:lineRule="auto" w:before="64" w:after="0"/>
        <w:ind w:left="2462" w:right="0" w:hanging="1985"/>
        <w:jc w:val="left"/>
        <w:rPr>
          <w:sz w:val="38"/>
        </w:rPr>
      </w:pPr>
      <w:r>
        <w:rPr>
          <w:sz w:val="38"/>
        </w:rPr>
        <w:t>Taxol</w:t>
      </w:r>
    </w:p>
    <w:p>
      <w:pPr>
        <w:pStyle w:val="ListParagraph"/>
        <w:numPr>
          <w:ilvl w:val="0"/>
          <w:numId w:val="26"/>
        </w:numPr>
        <w:tabs>
          <w:tab w:pos="2461" w:val="left" w:leader="none"/>
          <w:tab w:pos="2462" w:val="left" w:leader="none"/>
        </w:tabs>
        <w:spacing w:line="240" w:lineRule="auto" w:before="64" w:after="0"/>
        <w:ind w:left="2462" w:right="0" w:hanging="1985"/>
        <w:jc w:val="left"/>
        <w:rPr>
          <w:sz w:val="38"/>
        </w:rPr>
      </w:pPr>
      <w:r>
        <w:rPr>
          <w:sz w:val="38"/>
        </w:rPr>
        <w:t>Doxorubicin</w:t>
      </w:r>
    </w:p>
    <w:p>
      <w:pPr>
        <w:pStyle w:val="ListParagraph"/>
        <w:numPr>
          <w:ilvl w:val="0"/>
          <w:numId w:val="26"/>
        </w:numPr>
        <w:tabs>
          <w:tab w:pos="2461" w:val="left" w:leader="none"/>
          <w:tab w:pos="2462" w:val="left" w:leader="none"/>
        </w:tabs>
        <w:spacing w:line="240" w:lineRule="auto" w:before="66" w:after="0"/>
        <w:ind w:left="2462" w:right="0" w:hanging="1985"/>
        <w:jc w:val="left"/>
        <w:rPr>
          <w:sz w:val="38"/>
        </w:rPr>
      </w:pPr>
      <w:r>
        <w:rPr>
          <w:sz w:val="38"/>
        </w:rPr>
        <w:t>5-FU</w:t>
      </w:r>
    </w:p>
    <w:p>
      <w:pPr>
        <w:pStyle w:val="ListParagraph"/>
        <w:numPr>
          <w:ilvl w:val="0"/>
          <w:numId w:val="26"/>
        </w:numPr>
        <w:tabs>
          <w:tab w:pos="2461" w:val="left" w:leader="none"/>
          <w:tab w:pos="2462" w:val="left" w:leader="none"/>
        </w:tabs>
        <w:spacing w:line="240" w:lineRule="auto" w:before="63" w:after="0"/>
        <w:ind w:left="2462" w:right="0" w:hanging="1985"/>
        <w:jc w:val="left"/>
        <w:rPr>
          <w:sz w:val="38"/>
        </w:rPr>
      </w:pPr>
      <w:r>
        <w:rPr>
          <w:sz w:val="38"/>
        </w:rPr>
        <w:t>Vincristine</w:t>
      </w:r>
    </w:p>
    <w:p>
      <w:pPr>
        <w:pStyle w:val="ListParagraph"/>
        <w:numPr>
          <w:ilvl w:val="0"/>
          <w:numId w:val="26"/>
        </w:numPr>
        <w:tabs>
          <w:tab w:pos="2461" w:val="left" w:leader="none"/>
          <w:tab w:pos="2462" w:val="left" w:leader="none"/>
        </w:tabs>
        <w:spacing w:line="240" w:lineRule="auto" w:before="65" w:after="0"/>
        <w:ind w:left="2462" w:right="0" w:hanging="1985"/>
        <w:jc w:val="left"/>
        <w:rPr>
          <w:sz w:val="38"/>
        </w:rPr>
      </w:pPr>
      <w:r>
        <w:rPr>
          <w:sz w:val="38"/>
        </w:rPr>
        <w:t>Melphalan</w:t>
      </w:r>
    </w:p>
    <w:p>
      <w:pPr>
        <w:pStyle w:val="ListParagraph"/>
        <w:numPr>
          <w:ilvl w:val="0"/>
          <w:numId w:val="26"/>
        </w:numPr>
        <w:tabs>
          <w:tab w:pos="2461" w:val="left" w:leader="none"/>
          <w:tab w:pos="2462" w:val="left" w:leader="none"/>
        </w:tabs>
        <w:spacing w:line="240" w:lineRule="auto" w:before="63" w:after="0"/>
        <w:ind w:left="2462" w:right="0" w:hanging="1985"/>
        <w:jc w:val="left"/>
        <w:rPr>
          <w:sz w:val="38"/>
        </w:rPr>
      </w:pPr>
      <w:r>
        <w:rPr>
          <w:sz w:val="38"/>
        </w:rPr>
        <w:t>Butyrate</w:t>
      </w:r>
    </w:p>
    <w:p>
      <w:pPr>
        <w:pStyle w:val="ListParagraph"/>
        <w:numPr>
          <w:ilvl w:val="0"/>
          <w:numId w:val="26"/>
        </w:numPr>
        <w:tabs>
          <w:tab w:pos="2461" w:val="left" w:leader="none"/>
          <w:tab w:pos="2462" w:val="left" w:leader="none"/>
        </w:tabs>
        <w:spacing w:line="240" w:lineRule="auto" w:before="64" w:after="0"/>
        <w:ind w:left="2462" w:right="0" w:hanging="1985"/>
        <w:jc w:val="left"/>
        <w:rPr>
          <w:sz w:val="38"/>
        </w:rPr>
      </w:pPr>
      <w:r>
        <w:rPr>
          <w:sz w:val="38"/>
        </w:rPr>
        <w:t>Cisplatin</w:t>
      </w:r>
    </w:p>
    <w:p>
      <w:pPr>
        <w:pStyle w:val="ListParagraph"/>
        <w:numPr>
          <w:ilvl w:val="0"/>
          <w:numId w:val="26"/>
        </w:numPr>
        <w:tabs>
          <w:tab w:pos="2461" w:val="left" w:leader="none"/>
          <w:tab w:pos="2462" w:val="left" w:leader="none"/>
        </w:tabs>
        <w:spacing w:line="240" w:lineRule="auto" w:before="66" w:after="0"/>
        <w:ind w:left="2462" w:right="0" w:hanging="1985"/>
        <w:jc w:val="left"/>
        <w:rPr>
          <w:sz w:val="38"/>
        </w:rPr>
      </w:pPr>
      <w:r>
        <w:rPr>
          <w:sz w:val="38"/>
        </w:rPr>
        <w:t>Celecoxib</w:t>
      </w:r>
    </w:p>
    <w:p>
      <w:pPr>
        <w:pStyle w:val="ListParagraph"/>
        <w:numPr>
          <w:ilvl w:val="0"/>
          <w:numId w:val="26"/>
        </w:numPr>
        <w:tabs>
          <w:tab w:pos="2512" w:val="left" w:leader="none"/>
          <w:tab w:pos="2513" w:val="left" w:leader="none"/>
        </w:tabs>
        <w:spacing w:line="240" w:lineRule="auto" w:before="63" w:after="0"/>
        <w:ind w:left="2512" w:right="0" w:hanging="2035"/>
        <w:jc w:val="left"/>
        <w:rPr>
          <w:sz w:val="38"/>
        </w:rPr>
      </w:pPr>
      <w:r>
        <w:rPr>
          <w:sz w:val="38"/>
        </w:rPr>
        <w:t>Vinorelbine</w:t>
      </w:r>
    </w:p>
    <w:p>
      <w:pPr>
        <w:pStyle w:val="ListParagraph"/>
        <w:numPr>
          <w:ilvl w:val="0"/>
          <w:numId w:val="26"/>
        </w:numPr>
        <w:tabs>
          <w:tab w:pos="2512" w:val="left" w:leader="none"/>
          <w:tab w:pos="2513" w:val="left" w:leader="none"/>
        </w:tabs>
        <w:spacing w:line="240" w:lineRule="auto" w:before="64" w:after="0"/>
        <w:ind w:left="2512" w:right="0" w:hanging="2035"/>
        <w:jc w:val="left"/>
        <w:rPr>
          <w:sz w:val="38"/>
        </w:rPr>
      </w:pPr>
      <w:r>
        <w:rPr>
          <w:sz w:val="38"/>
        </w:rPr>
        <w:t>Gemcitabine</w:t>
      </w:r>
    </w:p>
    <w:p>
      <w:pPr>
        <w:pStyle w:val="ListParagraph"/>
        <w:numPr>
          <w:ilvl w:val="0"/>
          <w:numId w:val="26"/>
        </w:numPr>
        <w:tabs>
          <w:tab w:pos="2512" w:val="left" w:leader="none"/>
          <w:tab w:pos="2513" w:val="left" w:leader="none"/>
        </w:tabs>
        <w:spacing w:line="240" w:lineRule="auto" w:before="64" w:after="0"/>
        <w:ind w:left="2512" w:right="0" w:hanging="2035"/>
        <w:jc w:val="left"/>
        <w:rPr>
          <w:sz w:val="38"/>
        </w:rPr>
      </w:pPr>
      <w:r>
        <w:rPr>
          <w:sz w:val="38"/>
        </w:rPr>
        <w:t>Oxaliplatin</w:t>
      </w:r>
    </w:p>
    <w:p>
      <w:pPr>
        <w:pStyle w:val="ListParagraph"/>
        <w:numPr>
          <w:ilvl w:val="0"/>
          <w:numId w:val="26"/>
        </w:numPr>
        <w:tabs>
          <w:tab w:pos="2512" w:val="left" w:leader="none"/>
          <w:tab w:pos="2513" w:val="left" w:leader="none"/>
        </w:tabs>
        <w:spacing w:line="240" w:lineRule="auto" w:before="66" w:after="0"/>
        <w:ind w:left="2512" w:right="0" w:hanging="2035"/>
        <w:jc w:val="left"/>
        <w:rPr>
          <w:sz w:val="38"/>
        </w:rPr>
      </w:pPr>
      <w:r>
        <w:rPr>
          <w:sz w:val="38"/>
        </w:rPr>
        <w:t>Etoposide</w:t>
      </w:r>
    </w:p>
    <w:p>
      <w:pPr>
        <w:pStyle w:val="ListParagraph"/>
        <w:numPr>
          <w:ilvl w:val="0"/>
          <w:numId w:val="26"/>
        </w:numPr>
        <w:tabs>
          <w:tab w:pos="2512" w:val="left" w:leader="none"/>
          <w:tab w:pos="2513" w:val="left" w:leader="none"/>
        </w:tabs>
        <w:spacing w:line="240" w:lineRule="auto" w:before="64" w:after="0"/>
        <w:ind w:left="2512" w:right="0" w:hanging="2035"/>
        <w:jc w:val="left"/>
        <w:rPr>
          <w:sz w:val="38"/>
        </w:rPr>
      </w:pPr>
      <w:r>
        <w:rPr>
          <w:sz w:val="38"/>
        </w:rPr>
        <w:t>Sulfinosine</w:t>
      </w:r>
    </w:p>
    <w:p>
      <w:pPr>
        <w:pStyle w:val="ListParagraph"/>
        <w:numPr>
          <w:ilvl w:val="0"/>
          <w:numId w:val="26"/>
        </w:numPr>
        <w:tabs>
          <w:tab w:pos="2512" w:val="left" w:leader="none"/>
          <w:tab w:pos="2513" w:val="left" w:leader="none"/>
        </w:tabs>
        <w:spacing w:line="240" w:lineRule="auto" w:before="63" w:after="0"/>
        <w:ind w:left="2512" w:right="0" w:hanging="2035"/>
        <w:jc w:val="left"/>
        <w:rPr>
          <w:sz w:val="38"/>
        </w:rPr>
      </w:pPr>
      <w:r>
        <w:rPr>
          <w:sz w:val="38"/>
        </w:rPr>
        <w:t>Thalidomide</w:t>
      </w:r>
    </w:p>
    <w:p>
      <w:pPr>
        <w:pStyle w:val="ListParagraph"/>
        <w:numPr>
          <w:ilvl w:val="0"/>
          <w:numId w:val="26"/>
        </w:numPr>
        <w:tabs>
          <w:tab w:pos="2512" w:val="left" w:leader="none"/>
          <w:tab w:pos="2513" w:val="left" w:leader="none"/>
        </w:tabs>
        <w:spacing w:line="240" w:lineRule="auto" w:before="64" w:after="0"/>
        <w:ind w:left="2512" w:right="0" w:hanging="2035"/>
        <w:jc w:val="left"/>
        <w:rPr>
          <w:sz w:val="38"/>
        </w:rPr>
      </w:pPr>
      <w:r>
        <w:rPr>
          <w:sz w:val="38"/>
        </w:rPr>
        <w:t>Bortezomib</w:t>
      </w:r>
    </w:p>
    <w:p>
      <w:pPr>
        <w:pStyle w:val="Heading1"/>
        <w:spacing w:before="285"/>
      </w:pPr>
      <w:r>
        <w:rPr/>
        <w:t>Curcumin more successful than chemotherapy alone</w:t>
      </w:r>
    </w:p>
    <w:p>
      <w:pPr>
        <w:pStyle w:val="BodyText"/>
        <w:spacing w:before="179"/>
        <w:ind w:left="477"/>
      </w:pPr>
      <w:r>
        <w:rPr/>
        <w:t>In an animal study, Bharat Aggarwal and his colleagues from the University</w:t>
      </w:r>
      <w:r>
        <w:rPr>
          <w:spacing w:val="59"/>
        </w:rPr>
        <w:t> </w:t>
      </w:r>
      <w:r>
        <w:rPr/>
        <w:t>of</w:t>
      </w:r>
    </w:p>
    <w:p>
      <w:pPr>
        <w:pStyle w:val="BodyText"/>
        <w:rPr>
          <w:sz w:val="20"/>
        </w:rPr>
      </w:pPr>
    </w:p>
    <w:p>
      <w:pPr>
        <w:pStyle w:val="BodyText"/>
        <w:spacing w:before="10"/>
        <w:rPr>
          <w:sz w:val="26"/>
        </w:rPr>
      </w:pPr>
      <w:r>
        <w:rPr/>
        <w:pict>
          <v:line style="position:absolute;mso-position-horizontal-relative:page;mso-position-vertical-relative:paragraph;z-index:2672;mso-wrap-distance-left:0;mso-wrap-distance-right:0" from="63.863998pt,17.519672pt" to="207.883998pt,17.519672pt" stroked="true" strokeweight=".72003pt" strokecolor="#000000">
            <v:stroke dashstyle="solid"/>
            <w10:wrap type="topAndBottom"/>
          </v:line>
        </w:pict>
      </w:r>
    </w:p>
    <w:p>
      <w:pPr>
        <w:pStyle w:val="BodyText"/>
        <w:spacing w:before="7"/>
        <w:rPr>
          <w:sz w:val="18"/>
        </w:rPr>
      </w:pPr>
    </w:p>
    <w:p>
      <w:pPr>
        <w:spacing w:line="276" w:lineRule="auto" w:before="99"/>
        <w:ind w:left="477" w:right="255" w:firstLine="0"/>
        <w:jc w:val="left"/>
        <w:rPr>
          <w:sz w:val="20"/>
        </w:rPr>
      </w:pPr>
      <w:r>
        <w:rPr>
          <w:position w:val="5"/>
          <w:sz w:val="13"/>
        </w:rPr>
        <w:t>255 </w:t>
      </w:r>
      <w:r>
        <w:rPr>
          <w:sz w:val="20"/>
        </w:rPr>
        <w:t>Nutr</w:t>
      </w:r>
      <w:r>
        <w:rPr>
          <w:color w:val="660066"/>
          <w:sz w:val="20"/>
          <w:u w:val="single" w:color="660066"/>
        </w:rPr>
        <w:t> Cancer</w:t>
      </w:r>
      <w:r>
        <w:rPr>
          <w:sz w:val="20"/>
        </w:rPr>
        <w:t>. 2010; 62 (7), p. 919-1930. Curcumin, the golden spice from Indian saffron, is a chemosensitiser and radiosensitiser for tumours and chemoprotector and radioprotector for normal organs. Goel A, Aggarwal BB. Source: Department of Internal Medicine, Baylor University Medical Center, Dallas, Texas, USA.</w:t>
      </w:r>
    </w:p>
    <w:p>
      <w:pPr>
        <w:spacing w:after="0" w:line="276" w:lineRule="auto"/>
        <w:jc w:val="left"/>
        <w:rPr>
          <w:sz w:val="20"/>
        </w:rPr>
        <w:sectPr>
          <w:footerReference w:type="default" r:id="rId96"/>
          <w:pgSz w:w="14270" w:h="16850"/>
          <w:pgMar w:footer="1891" w:header="0" w:top="1600" w:bottom="2080" w:left="800" w:right="1280"/>
          <w:pgNumType w:start="361"/>
        </w:sectPr>
      </w:pPr>
    </w:p>
    <w:p>
      <w:pPr>
        <w:pStyle w:val="BodyText"/>
        <w:spacing w:line="276" w:lineRule="auto" w:before="181"/>
        <w:ind w:left="477" w:right="130"/>
        <w:jc w:val="both"/>
      </w:pPr>
      <w:r>
        <w:rPr/>
        <w:t>Houston</w:t>
      </w:r>
      <w:r>
        <w:rPr>
          <w:spacing w:val="-21"/>
        </w:rPr>
        <w:t> </w:t>
      </w:r>
      <w:r>
        <w:rPr/>
        <w:t>(TX)</w:t>
      </w:r>
      <w:r>
        <w:rPr>
          <w:spacing w:val="-18"/>
        </w:rPr>
        <w:t> </w:t>
      </w:r>
      <w:r>
        <w:rPr/>
        <w:t>were</w:t>
      </w:r>
      <w:r>
        <w:rPr>
          <w:spacing w:val="-21"/>
        </w:rPr>
        <w:t> </w:t>
      </w:r>
      <w:r>
        <w:rPr/>
        <w:t>able</w:t>
      </w:r>
      <w:r>
        <w:rPr>
          <w:spacing w:val="-20"/>
        </w:rPr>
        <w:t> </w:t>
      </w:r>
      <w:r>
        <w:rPr/>
        <w:t>to</w:t>
      </w:r>
      <w:r>
        <w:rPr>
          <w:spacing w:val="-20"/>
        </w:rPr>
        <w:t> </w:t>
      </w:r>
      <w:r>
        <w:rPr/>
        <w:t>prove</w:t>
      </w:r>
      <w:r>
        <w:rPr>
          <w:spacing w:val="-23"/>
        </w:rPr>
        <w:t> </w:t>
      </w:r>
      <w:r>
        <w:rPr/>
        <w:t>in</w:t>
      </w:r>
      <w:r>
        <w:rPr>
          <w:spacing w:val="-20"/>
        </w:rPr>
        <w:t> </w:t>
      </w:r>
      <w:r>
        <w:rPr/>
        <w:t>the</w:t>
      </w:r>
      <w:r>
        <w:rPr>
          <w:spacing w:val="-19"/>
        </w:rPr>
        <w:t> </w:t>
      </w:r>
      <w:r>
        <w:rPr/>
        <w:t>direct</w:t>
      </w:r>
      <w:r>
        <w:rPr>
          <w:spacing w:val="-21"/>
        </w:rPr>
        <w:t> </w:t>
      </w:r>
      <w:r>
        <w:rPr/>
        <w:t>test</w:t>
      </w:r>
      <w:r>
        <w:rPr>
          <w:spacing w:val="-20"/>
        </w:rPr>
        <w:t> </w:t>
      </w:r>
      <w:r>
        <w:rPr/>
        <w:t>of</w:t>
      </w:r>
      <w:r>
        <w:rPr>
          <w:spacing w:val="-20"/>
        </w:rPr>
        <w:t> </w:t>
      </w:r>
      <w:r>
        <w:rPr/>
        <w:t>curcumin</w:t>
      </w:r>
      <w:r>
        <w:rPr>
          <w:spacing w:val="-21"/>
        </w:rPr>
        <w:t> </w:t>
      </w:r>
      <w:r>
        <w:rPr/>
        <w:t>with</w:t>
      </w:r>
      <w:r>
        <w:rPr>
          <w:spacing w:val="-20"/>
        </w:rPr>
        <w:t> </w:t>
      </w:r>
      <w:r>
        <w:rPr/>
        <w:t>the</w:t>
      </w:r>
      <w:r>
        <w:rPr>
          <w:spacing w:val="-19"/>
        </w:rPr>
        <w:t> </w:t>
      </w:r>
      <w:r>
        <w:rPr/>
        <w:t>chemo- therapeutic drug </w:t>
      </w:r>
      <w:r>
        <w:rPr>
          <w:i/>
        </w:rPr>
        <w:t>paclitaxel </w:t>
      </w:r>
      <w:r>
        <w:rPr/>
        <w:t>that curcumin alone was more successful in breast cancer than the chemotherapeutic agent. In combination with curcumin, paclitaxel was able to improve its</w:t>
      </w:r>
      <w:r>
        <w:rPr>
          <w:spacing w:val="-3"/>
        </w:rPr>
        <w:t> </w:t>
      </w:r>
      <w:r>
        <w:rPr/>
        <w:t>effect.</w:t>
      </w:r>
    </w:p>
    <w:p>
      <w:pPr>
        <w:pStyle w:val="BodyText"/>
        <w:rPr>
          <w:sz w:val="42"/>
        </w:rPr>
      </w:pPr>
    </w:p>
    <w:p>
      <w:pPr>
        <w:pStyle w:val="BodyText"/>
        <w:spacing w:before="9"/>
        <w:rPr>
          <w:sz w:val="42"/>
        </w:rPr>
      </w:pPr>
    </w:p>
    <w:p>
      <w:pPr>
        <w:pStyle w:val="Heading1"/>
        <w:spacing w:before="0"/>
      </w:pPr>
      <w:r>
        <w:rPr/>
        <w:t>Studies on the cardioprotective properties of curcumin</w:t>
      </w:r>
    </w:p>
    <w:p>
      <w:pPr>
        <w:pStyle w:val="BodyText"/>
        <w:spacing w:line="276" w:lineRule="auto" w:before="300"/>
        <w:ind w:left="477" w:right="144"/>
        <w:jc w:val="both"/>
        <w:rPr>
          <w:sz w:val="25"/>
        </w:rPr>
      </w:pPr>
      <w:r>
        <w:rPr/>
        <w:t>Curcumin was able to minimise the risk of heart attack and the consequences of a heart attack in an animal study.</w:t>
      </w:r>
      <w:r>
        <w:rPr>
          <w:position w:val="9"/>
          <w:sz w:val="25"/>
        </w:rPr>
        <w:t>256</w:t>
      </w:r>
    </w:p>
    <w:p>
      <w:pPr>
        <w:pStyle w:val="Heading1"/>
      </w:pPr>
      <w:r>
        <w:rPr/>
        <w:t>Curcumin protects against liver cirrhosis and liver fibrosis in studies</w:t>
      </w:r>
    </w:p>
    <w:p>
      <w:pPr>
        <w:pStyle w:val="BodyText"/>
        <w:spacing w:line="276" w:lineRule="auto" w:before="299"/>
        <w:ind w:left="477" w:right="143"/>
        <w:jc w:val="both"/>
        <w:rPr>
          <w:sz w:val="25"/>
        </w:rPr>
      </w:pPr>
      <w:r>
        <w:rPr/>
        <w:t>Curcumin has been shown to protect against liver fibrosis and cirrhosis in the case of fatty liver by activating PPAR gamma.</w:t>
      </w:r>
      <w:r>
        <w:rPr>
          <w:position w:val="9"/>
          <w:sz w:val="25"/>
        </w:rPr>
        <w:t>257</w:t>
      </w:r>
    </w:p>
    <w:p>
      <w:pPr>
        <w:pStyle w:val="Heading1"/>
        <w:spacing w:line="261" w:lineRule="auto" w:before="221"/>
        <w:ind w:right="137"/>
        <w:jc w:val="both"/>
      </w:pPr>
      <w:r>
        <w:rPr>
          <w:w w:val="95"/>
        </w:rPr>
        <w:t>Curcumin</w:t>
      </w:r>
      <w:r>
        <w:rPr>
          <w:spacing w:val="-22"/>
          <w:w w:val="95"/>
        </w:rPr>
        <w:t> </w:t>
      </w:r>
      <w:r>
        <w:rPr>
          <w:w w:val="95"/>
        </w:rPr>
        <w:t>protects</w:t>
      </w:r>
      <w:r>
        <w:rPr>
          <w:spacing w:val="-20"/>
          <w:w w:val="95"/>
        </w:rPr>
        <w:t> </w:t>
      </w:r>
      <w:r>
        <w:rPr>
          <w:w w:val="95"/>
        </w:rPr>
        <w:t>against</w:t>
      </w:r>
      <w:r>
        <w:rPr>
          <w:spacing w:val="-20"/>
          <w:w w:val="95"/>
        </w:rPr>
        <w:t> </w:t>
      </w:r>
      <w:r>
        <w:rPr>
          <w:w w:val="95"/>
        </w:rPr>
        <w:t>inflammatory</w:t>
      </w:r>
      <w:r>
        <w:rPr>
          <w:spacing w:val="-22"/>
          <w:w w:val="95"/>
        </w:rPr>
        <w:t> </w:t>
      </w:r>
      <w:r>
        <w:rPr>
          <w:w w:val="95"/>
        </w:rPr>
        <w:t>bowel</w:t>
      </w:r>
      <w:r>
        <w:rPr>
          <w:spacing w:val="-21"/>
          <w:w w:val="95"/>
        </w:rPr>
        <w:t> </w:t>
      </w:r>
      <w:r>
        <w:rPr>
          <w:w w:val="95"/>
        </w:rPr>
        <w:t>disease</w:t>
      </w:r>
      <w:r>
        <w:rPr>
          <w:spacing w:val="-19"/>
          <w:w w:val="95"/>
        </w:rPr>
        <w:t> </w:t>
      </w:r>
      <w:r>
        <w:rPr>
          <w:w w:val="95"/>
        </w:rPr>
        <w:t>(Crohn's</w:t>
      </w:r>
      <w:r>
        <w:rPr>
          <w:spacing w:val="-22"/>
          <w:w w:val="95"/>
        </w:rPr>
        <w:t> </w:t>
      </w:r>
      <w:r>
        <w:rPr>
          <w:w w:val="95"/>
        </w:rPr>
        <w:t>disease</w:t>
      </w:r>
      <w:r>
        <w:rPr>
          <w:b w:val="0"/>
          <w:i w:val="0"/>
          <w:w w:val="95"/>
          <w:sz w:val="38"/>
        </w:rPr>
        <w:t>, </w:t>
      </w:r>
      <w:r>
        <w:rPr/>
        <w:t>ulcerative</w:t>
      </w:r>
      <w:r>
        <w:rPr>
          <w:spacing w:val="-7"/>
        </w:rPr>
        <w:t> </w:t>
      </w:r>
      <w:r>
        <w:rPr/>
        <w:t>colitis)</w:t>
      </w:r>
    </w:p>
    <w:p>
      <w:pPr>
        <w:pStyle w:val="BodyText"/>
        <w:spacing w:line="276" w:lineRule="auto" w:before="261"/>
        <w:ind w:left="477" w:right="132"/>
        <w:jc w:val="both"/>
      </w:pPr>
      <w:r>
        <w:rPr/>
        <w:t>By preventing the inflammatory response to toxins in the gut, curcumin has a positive effect against inflammatory bowel diseases such as Crohn's disease,</w:t>
      </w:r>
      <w:r>
        <w:rPr>
          <w:spacing w:val="-41"/>
        </w:rPr>
        <w:t> </w:t>
      </w:r>
      <w:r>
        <w:rPr/>
        <w:t>ul- cerative</w:t>
      </w:r>
      <w:r>
        <w:rPr>
          <w:spacing w:val="1"/>
        </w:rPr>
        <w:t> </w:t>
      </w:r>
      <w:r>
        <w:rPr/>
        <w:t>colitis</w:t>
      </w:r>
      <w:r>
        <w:rPr>
          <w:position w:val="9"/>
          <w:sz w:val="25"/>
        </w:rPr>
        <w:t>258</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3"/>
        </w:rPr>
      </w:pPr>
      <w:r>
        <w:rPr/>
        <w:pict>
          <v:line style="position:absolute;mso-position-horizontal-relative:page;mso-position-vertical-relative:paragraph;z-index:2696;mso-wrap-distance-left:0;mso-wrap-distance-right:0" from="63.863998pt,10.096235pt" to="207.883998pt,10.096235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256 </w:t>
      </w:r>
      <w:r>
        <w:rPr>
          <w:sz w:val="20"/>
        </w:rPr>
        <w:t>Adv Exp Med Biol. 2007; 595, p. 359-377</w:t>
      </w:r>
    </w:p>
    <w:p>
      <w:pPr>
        <w:spacing w:before="92"/>
        <w:ind w:left="477" w:right="0" w:firstLine="0"/>
        <w:jc w:val="left"/>
        <w:rPr>
          <w:sz w:val="20"/>
        </w:rPr>
      </w:pPr>
      <w:r>
        <w:rPr>
          <w:position w:val="5"/>
          <w:sz w:val="13"/>
        </w:rPr>
        <w:t>257 </w:t>
      </w:r>
      <w:r>
        <w:rPr>
          <w:sz w:val="20"/>
        </w:rPr>
        <w:t>Br J Pharmacol. August 2009; 157 (8), p. 1352 f.</w:t>
      </w:r>
    </w:p>
    <w:p>
      <w:pPr>
        <w:spacing w:before="94"/>
        <w:ind w:left="477" w:right="0" w:firstLine="0"/>
        <w:jc w:val="left"/>
        <w:rPr>
          <w:sz w:val="20"/>
        </w:rPr>
      </w:pPr>
      <w:r>
        <w:rPr>
          <w:position w:val="4"/>
          <w:sz w:val="10"/>
        </w:rPr>
        <w:t>258 </w:t>
      </w:r>
      <w:r>
        <w:rPr>
          <w:sz w:val="20"/>
        </w:rPr>
        <w:t>Curr Pharm Des. 2009;15(18), p. 2087–2094</w:t>
      </w:r>
    </w:p>
    <w:p>
      <w:pPr>
        <w:spacing w:after="0"/>
        <w:jc w:val="left"/>
        <w:rPr>
          <w:sz w:val="20"/>
        </w:rPr>
        <w:sectPr>
          <w:pgSz w:w="14270" w:h="16850"/>
          <w:pgMar w:header="0" w:footer="1891" w:top="1600" w:bottom="2080" w:left="800" w:right="1280"/>
        </w:sectPr>
      </w:pPr>
    </w:p>
    <w:p>
      <w:pPr>
        <w:pStyle w:val="Heading1"/>
        <w:spacing w:before="164"/>
      </w:pPr>
      <w:r>
        <w:rPr>
          <w:w w:val="95"/>
        </w:rPr>
        <w:t>Curcumin</w:t>
      </w:r>
      <w:r>
        <w:rPr>
          <w:spacing w:val="-27"/>
          <w:w w:val="95"/>
        </w:rPr>
        <w:t> </w:t>
      </w:r>
      <w:r>
        <w:rPr>
          <w:w w:val="95"/>
        </w:rPr>
        <w:t>prevents</w:t>
      </w:r>
      <w:r>
        <w:rPr>
          <w:spacing w:val="-25"/>
          <w:w w:val="95"/>
        </w:rPr>
        <w:t> </w:t>
      </w:r>
      <w:r>
        <w:rPr>
          <w:w w:val="95"/>
        </w:rPr>
        <w:t>negative</w:t>
      </w:r>
      <w:r>
        <w:rPr>
          <w:spacing w:val="-25"/>
          <w:w w:val="95"/>
        </w:rPr>
        <w:t> </w:t>
      </w:r>
      <w:r>
        <w:rPr>
          <w:w w:val="95"/>
        </w:rPr>
        <w:t>consequences</w:t>
      </w:r>
      <w:r>
        <w:rPr>
          <w:spacing w:val="-26"/>
          <w:w w:val="95"/>
        </w:rPr>
        <w:t> </w:t>
      </w:r>
      <w:r>
        <w:rPr>
          <w:w w:val="95"/>
        </w:rPr>
        <w:t>of</w:t>
      </w:r>
      <w:r>
        <w:rPr>
          <w:spacing w:val="-23"/>
          <w:w w:val="95"/>
        </w:rPr>
        <w:t> </w:t>
      </w:r>
      <w:r>
        <w:rPr>
          <w:w w:val="95"/>
        </w:rPr>
        <w:t>diabetes</w:t>
      </w:r>
      <w:r>
        <w:rPr>
          <w:spacing w:val="-18"/>
          <w:w w:val="95"/>
        </w:rPr>
        <w:t> </w:t>
      </w:r>
      <w:r>
        <w:rPr>
          <w:w w:val="95"/>
        </w:rPr>
        <w:t>mellitus</w:t>
      </w:r>
      <w:r>
        <w:rPr>
          <w:spacing w:val="-26"/>
          <w:w w:val="95"/>
        </w:rPr>
        <w:t> </w:t>
      </w:r>
      <w:r>
        <w:rPr>
          <w:w w:val="95"/>
        </w:rPr>
        <w:t>in</w:t>
      </w:r>
      <w:r>
        <w:rPr>
          <w:spacing w:val="-27"/>
          <w:w w:val="95"/>
        </w:rPr>
        <w:t> </w:t>
      </w:r>
      <w:r>
        <w:rPr>
          <w:w w:val="95"/>
        </w:rPr>
        <w:t>studies</w:t>
      </w:r>
    </w:p>
    <w:p>
      <w:pPr>
        <w:pStyle w:val="BodyText"/>
        <w:spacing w:line="276" w:lineRule="auto" w:before="299"/>
        <w:ind w:left="477" w:right="132"/>
        <w:jc w:val="both"/>
      </w:pPr>
      <w:r>
        <w:rPr/>
        <w:t>In experiments, curcumin has been shown to reduce oxidative stress and to detect</w:t>
      </w:r>
      <w:r>
        <w:rPr>
          <w:spacing w:val="-18"/>
        </w:rPr>
        <w:t> </w:t>
      </w:r>
      <w:r>
        <w:rPr/>
        <w:t>retinal</w:t>
      </w:r>
      <w:r>
        <w:rPr>
          <w:spacing w:val="-18"/>
        </w:rPr>
        <w:t> </w:t>
      </w:r>
      <w:r>
        <w:rPr/>
        <w:t>anti-inflammatory</w:t>
      </w:r>
      <w:r>
        <w:rPr>
          <w:spacing w:val="-16"/>
        </w:rPr>
        <w:t> </w:t>
      </w:r>
      <w:r>
        <w:rPr/>
        <w:t>processes</w:t>
      </w:r>
      <w:r>
        <w:rPr>
          <w:spacing w:val="-19"/>
        </w:rPr>
        <w:t> </w:t>
      </w:r>
      <w:r>
        <w:rPr/>
        <w:t>that</w:t>
      </w:r>
      <w:r>
        <w:rPr>
          <w:spacing w:val="-17"/>
        </w:rPr>
        <w:t> </w:t>
      </w:r>
      <w:r>
        <w:rPr/>
        <w:t>cause</w:t>
      </w:r>
      <w:r>
        <w:rPr>
          <w:spacing w:val="-18"/>
        </w:rPr>
        <w:t> </w:t>
      </w:r>
      <w:r>
        <w:rPr/>
        <w:t>them</w:t>
      </w:r>
      <w:r>
        <w:rPr>
          <w:spacing w:val="-18"/>
        </w:rPr>
        <w:t> </w:t>
      </w:r>
      <w:r>
        <w:rPr/>
        <w:t>to</w:t>
      </w:r>
      <w:r>
        <w:rPr>
          <w:spacing w:val="-16"/>
        </w:rPr>
        <w:t> </w:t>
      </w:r>
      <w:r>
        <w:rPr/>
        <w:t>be</w:t>
      </w:r>
      <w:r>
        <w:rPr>
          <w:spacing w:val="-19"/>
        </w:rPr>
        <w:t> </w:t>
      </w:r>
      <w:r>
        <w:rPr/>
        <w:t>protected</w:t>
      </w:r>
      <w:r>
        <w:rPr>
          <w:spacing w:val="-16"/>
        </w:rPr>
        <w:t> </w:t>
      </w:r>
      <w:r>
        <w:rPr/>
        <w:t>from destruction.</w:t>
      </w:r>
      <w:r>
        <w:rPr>
          <w:position w:val="9"/>
          <w:sz w:val="25"/>
        </w:rPr>
        <w:t>259</w:t>
      </w:r>
      <w:r>
        <w:rPr>
          <w:spacing w:val="29"/>
          <w:position w:val="9"/>
          <w:sz w:val="25"/>
        </w:rPr>
        <w:t> </w:t>
      </w:r>
      <w:r>
        <w:rPr/>
        <w:t>In</w:t>
      </w:r>
      <w:r>
        <w:rPr>
          <w:spacing w:val="-23"/>
        </w:rPr>
        <w:t> </w:t>
      </w:r>
      <w:r>
        <w:rPr/>
        <w:t>addition,</w:t>
      </w:r>
      <w:r>
        <w:rPr>
          <w:spacing w:val="-23"/>
        </w:rPr>
        <w:t> </w:t>
      </w:r>
      <w:r>
        <w:rPr/>
        <w:t>curcumin</w:t>
      </w:r>
      <w:r>
        <w:rPr>
          <w:spacing w:val="-24"/>
        </w:rPr>
        <w:t> </w:t>
      </w:r>
      <w:r>
        <w:rPr/>
        <w:t>counteracts</w:t>
      </w:r>
      <w:r>
        <w:rPr>
          <w:spacing w:val="-23"/>
        </w:rPr>
        <w:t> </w:t>
      </w:r>
      <w:r>
        <w:rPr/>
        <w:t>Type</w:t>
      </w:r>
      <w:r>
        <w:rPr>
          <w:spacing w:val="-23"/>
        </w:rPr>
        <w:t> </w:t>
      </w:r>
      <w:r>
        <w:rPr/>
        <w:t>2</w:t>
      </w:r>
      <w:r>
        <w:rPr>
          <w:spacing w:val="-24"/>
        </w:rPr>
        <w:t> </w:t>
      </w:r>
      <w:r>
        <w:rPr/>
        <w:t>diabetes</w:t>
      </w:r>
      <w:r>
        <w:rPr>
          <w:spacing w:val="-19"/>
        </w:rPr>
        <w:t> </w:t>
      </w:r>
      <w:r>
        <w:rPr/>
        <w:t>complications such as neuropathy, retinopathy, liver fibrosis, and nephropathy by increasing PPARgamma activity.</w:t>
      </w:r>
      <w:r>
        <w:rPr>
          <w:position w:val="9"/>
          <w:sz w:val="25"/>
        </w:rPr>
        <w:t>260 </w:t>
      </w:r>
      <w:r>
        <w:rPr/>
        <w:t>According to a 2005 study, curcumin in rats delays</w:t>
      </w:r>
      <w:r>
        <w:rPr>
          <w:spacing w:val="-62"/>
        </w:rPr>
        <w:t> </w:t>
      </w:r>
      <w:r>
        <w:rPr/>
        <w:t>the development of cataracts resulting from</w:t>
      </w:r>
      <w:r>
        <w:rPr>
          <w:spacing w:val="-3"/>
        </w:rPr>
        <w:t> </w:t>
      </w:r>
      <w:r>
        <w:rPr/>
        <w:t>hyperglycemia.</w:t>
      </w:r>
    </w:p>
    <w:p>
      <w:pPr>
        <w:pStyle w:val="Heading1"/>
        <w:spacing w:line="264" w:lineRule="auto"/>
        <w:ind w:right="138"/>
        <w:jc w:val="both"/>
      </w:pPr>
      <w:r>
        <w:rPr/>
        <w:t>Curcumin</w:t>
      </w:r>
      <w:r>
        <w:rPr>
          <w:spacing w:val="-30"/>
        </w:rPr>
        <w:t> </w:t>
      </w:r>
      <w:r>
        <w:rPr/>
        <w:t>is</w:t>
      </w:r>
      <w:r>
        <w:rPr>
          <w:spacing w:val="-32"/>
        </w:rPr>
        <w:t> </w:t>
      </w:r>
      <w:r>
        <w:rPr/>
        <w:t>used</w:t>
      </w:r>
      <w:r>
        <w:rPr>
          <w:spacing w:val="-31"/>
        </w:rPr>
        <w:t> </w:t>
      </w:r>
      <w:r>
        <w:rPr/>
        <w:t>in</w:t>
      </w:r>
      <w:r>
        <w:rPr>
          <w:spacing w:val="-32"/>
        </w:rPr>
        <w:t> </w:t>
      </w:r>
      <w:r>
        <w:rPr/>
        <w:t>studies</w:t>
      </w:r>
      <w:r>
        <w:rPr>
          <w:spacing w:val="-29"/>
        </w:rPr>
        <w:t> </w:t>
      </w:r>
      <w:r>
        <w:rPr/>
        <w:t>of</w:t>
      </w:r>
      <w:r>
        <w:rPr>
          <w:spacing w:val="-31"/>
        </w:rPr>
        <w:t> </w:t>
      </w:r>
      <w:r>
        <w:rPr/>
        <w:t>uveitis</w:t>
      </w:r>
      <w:r>
        <w:rPr>
          <w:spacing w:val="-31"/>
        </w:rPr>
        <w:t> </w:t>
      </w:r>
      <w:r>
        <w:rPr/>
        <w:t>(inflammation</w:t>
      </w:r>
      <w:r>
        <w:rPr>
          <w:spacing w:val="-30"/>
        </w:rPr>
        <w:t> </w:t>
      </w:r>
      <w:r>
        <w:rPr/>
        <w:t>of</w:t>
      </w:r>
      <w:r>
        <w:rPr>
          <w:spacing w:val="-30"/>
        </w:rPr>
        <w:t> </w:t>
      </w:r>
      <w:r>
        <w:rPr/>
        <w:t>the</w:t>
      </w:r>
      <w:r>
        <w:rPr>
          <w:spacing w:val="-30"/>
        </w:rPr>
        <w:t> </w:t>
      </w:r>
      <w:r>
        <w:rPr/>
        <w:t>middle</w:t>
      </w:r>
      <w:r>
        <w:rPr>
          <w:spacing w:val="-31"/>
        </w:rPr>
        <w:t> </w:t>
      </w:r>
      <w:r>
        <w:rPr/>
        <w:t>eye skin)</w:t>
      </w:r>
    </w:p>
    <w:p>
      <w:pPr>
        <w:pStyle w:val="BodyText"/>
        <w:spacing w:line="276" w:lineRule="auto" w:before="210"/>
        <w:ind w:left="477" w:right="130"/>
        <w:jc w:val="both"/>
      </w:pPr>
      <w:r>
        <w:rPr/>
        <w:t>In a very interesting study on 32 patients given 375 mg curcumin 3 times a day for</w:t>
      </w:r>
      <w:r>
        <w:rPr>
          <w:spacing w:val="-7"/>
        </w:rPr>
        <w:t> </w:t>
      </w:r>
      <w:r>
        <w:rPr/>
        <w:t>only</w:t>
      </w:r>
      <w:r>
        <w:rPr>
          <w:spacing w:val="-6"/>
        </w:rPr>
        <w:t> </w:t>
      </w:r>
      <w:r>
        <w:rPr/>
        <w:t>three</w:t>
      </w:r>
      <w:r>
        <w:rPr>
          <w:spacing w:val="-8"/>
        </w:rPr>
        <w:t> </w:t>
      </w:r>
      <w:r>
        <w:rPr/>
        <w:t>months,</w:t>
      </w:r>
      <w:r>
        <w:rPr>
          <w:spacing w:val="-9"/>
        </w:rPr>
        <w:t> </w:t>
      </w:r>
      <w:r>
        <w:rPr/>
        <w:t>13</w:t>
      </w:r>
      <w:r>
        <w:rPr>
          <w:spacing w:val="-11"/>
        </w:rPr>
        <w:t> </w:t>
      </w:r>
      <w:r>
        <w:rPr/>
        <w:t>of</w:t>
      </w:r>
      <w:r>
        <w:rPr>
          <w:spacing w:val="-7"/>
        </w:rPr>
        <w:t> </w:t>
      </w:r>
      <w:r>
        <w:rPr/>
        <w:t>the</w:t>
      </w:r>
      <w:r>
        <w:rPr>
          <w:spacing w:val="-11"/>
        </w:rPr>
        <w:t> </w:t>
      </w:r>
      <w:r>
        <w:rPr/>
        <w:t>patients</w:t>
      </w:r>
      <w:r>
        <w:rPr>
          <w:spacing w:val="-7"/>
        </w:rPr>
        <w:t> </w:t>
      </w:r>
      <w:r>
        <w:rPr/>
        <w:t>were</w:t>
      </w:r>
      <w:r>
        <w:rPr>
          <w:spacing w:val="-9"/>
        </w:rPr>
        <w:t> </w:t>
      </w:r>
      <w:r>
        <w:rPr/>
        <w:t>permanently</w:t>
      </w:r>
      <w:r>
        <w:rPr>
          <w:spacing w:val="-7"/>
        </w:rPr>
        <w:t> </w:t>
      </w:r>
      <w:r>
        <w:rPr/>
        <w:t>cured,</w:t>
      </w:r>
      <w:r>
        <w:rPr>
          <w:spacing w:val="-7"/>
        </w:rPr>
        <w:t> </w:t>
      </w:r>
      <w:r>
        <w:rPr/>
        <w:t>and</w:t>
      </w:r>
      <w:r>
        <w:rPr>
          <w:spacing w:val="-9"/>
        </w:rPr>
        <w:t> </w:t>
      </w:r>
      <w:r>
        <w:rPr/>
        <w:t>the</w:t>
      </w:r>
      <w:r>
        <w:rPr>
          <w:spacing w:val="-9"/>
        </w:rPr>
        <w:t> </w:t>
      </w:r>
      <w:r>
        <w:rPr/>
        <w:t>con- dition improved in 30</w:t>
      </w:r>
      <w:r>
        <w:rPr>
          <w:spacing w:val="1"/>
        </w:rPr>
        <w:t> </w:t>
      </w:r>
      <w:r>
        <w:rPr/>
        <w:t>overall</w:t>
      </w:r>
    </w:p>
    <w:p>
      <w:pPr>
        <w:pStyle w:val="Heading1"/>
        <w:spacing w:before="184"/>
      </w:pPr>
      <w:r>
        <w:rPr/>
        <w:t>Curcumin usage</w:t>
      </w:r>
    </w:p>
    <w:p>
      <w:pPr>
        <w:pStyle w:val="BodyText"/>
        <w:spacing w:before="299"/>
        <w:ind w:left="477"/>
      </w:pPr>
      <w:r>
        <w:rPr/>
        <w:t>What should you know about using curcumin?</w:t>
      </w:r>
    </w:p>
    <w:p>
      <w:pPr>
        <w:pStyle w:val="BodyText"/>
        <w:spacing w:line="276" w:lineRule="auto" w:before="304"/>
        <w:ind w:left="477" w:right="137"/>
        <w:jc w:val="both"/>
      </w:pPr>
      <w:r>
        <w:rPr/>
        <w:t>Always opt for organic curcumin! You can buy turmeric/curcumin in powder form in almost any grocery store. Organic certification is an important aspect of the buying decision, to ensure you get radiation-free turmeric, for example.</w:t>
      </w:r>
    </w:p>
    <w:p>
      <w:pPr>
        <w:pStyle w:val="Heading1"/>
        <w:spacing w:before="222"/>
        <w:jc w:val="both"/>
      </w:pPr>
      <w:r>
        <w:rPr/>
        <w:t>Dosage</w:t>
      </w:r>
    </w:p>
    <w:p>
      <w:pPr>
        <w:pStyle w:val="BodyText"/>
        <w:rPr>
          <w:b/>
          <w:i/>
          <w:sz w:val="20"/>
        </w:rPr>
      </w:pPr>
    </w:p>
    <w:p>
      <w:pPr>
        <w:pStyle w:val="BodyText"/>
        <w:rPr>
          <w:b/>
          <w:i/>
          <w:sz w:val="20"/>
        </w:rPr>
      </w:pPr>
    </w:p>
    <w:p>
      <w:pPr>
        <w:pStyle w:val="BodyText"/>
        <w:rPr>
          <w:b/>
          <w:i/>
          <w:sz w:val="20"/>
        </w:rPr>
      </w:pPr>
    </w:p>
    <w:p>
      <w:pPr>
        <w:pStyle w:val="BodyText"/>
        <w:spacing w:before="10"/>
        <w:rPr>
          <w:b/>
          <w:i/>
          <w:sz w:val="18"/>
        </w:rPr>
      </w:pPr>
      <w:r>
        <w:rPr/>
        <w:pict>
          <v:line style="position:absolute;mso-position-horizontal-relative:page;mso-position-vertical-relative:paragraph;z-index:2720;mso-wrap-distance-left:0;mso-wrap-distance-right:0" from="63.863998pt,12.980015pt" to="207.883998pt,12.980015pt" stroked="true" strokeweight=".71997pt" strokecolor="#000000">
            <v:stroke dashstyle="solid"/>
            <w10:wrap type="topAndBottom"/>
          </v:line>
        </w:pict>
      </w:r>
    </w:p>
    <w:p>
      <w:pPr>
        <w:pStyle w:val="BodyText"/>
        <w:spacing w:before="7"/>
        <w:rPr>
          <w:b/>
          <w:i/>
          <w:sz w:val="18"/>
        </w:rPr>
      </w:pPr>
    </w:p>
    <w:p>
      <w:pPr>
        <w:spacing w:line="276" w:lineRule="auto" w:before="99"/>
        <w:ind w:left="477" w:right="0" w:firstLine="0"/>
        <w:jc w:val="left"/>
        <w:rPr>
          <w:sz w:val="20"/>
        </w:rPr>
      </w:pPr>
      <w:r>
        <w:rPr>
          <w:position w:val="5"/>
          <w:sz w:val="13"/>
        </w:rPr>
        <w:t>259 </w:t>
      </w:r>
      <w:r>
        <w:rPr>
          <w:sz w:val="20"/>
        </w:rPr>
        <w:t>Kowluru et al.: Effects of curcumin on retinal oxidative stress and inflammation in diabetes Nutr Metab (Lond). (2007) Apr 16; 4, p. 8, </w:t>
      </w:r>
      <w:r>
        <w:rPr>
          <w:color w:val="663366"/>
          <w:sz w:val="20"/>
          <w:u w:val="single" w:color="663366"/>
        </w:rPr>
        <w:t>PMID</w:t>
      </w:r>
      <w:r>
        <w:rPr>
          <w:color w:val="663366"/>
          <w:sz w:val="20"/>
        </w:rPr>
        <w:t> </w:t>
      </w:r>
      <w:r>
        <w:rPr>
          <w:color w:val="663366"/>
          <w:sz w:val="20"/>
          <w:u w:val="single" w:color="663366"/>
        </w:rPr>
        <w:t>17437639</w:t>
      </w:r>
    </w:p>
    <w:p>
      <w:pPr>
        <w:spacing w:before="61"/>
        <w:ind w:left="477" w:right="0" w:firstLine="0"/>
        <w:jc w:val="left"/>
        <w:rPr>
          <w:sz w:val="20"/>
        </w:rPr>
      </w:pPr>
      <w:r>
        <w:rPr/>
        <w:drawing>
          <wp:anchor distT="0" distB="0" distL="0" distR="0" allowOverlap="1" layoutInCell="1" locked="0" behindDoc="1" simplePos="0" relativeHeight="267170519">
            <wp:simplePos x="0" y="0"/>
            <wp:positionH relativeFrom="page">
              <wp:posOffset>896463</wp:posOffset>
            </wp:positionH>
            <wp:positionV relativeFrom="paragraph">
              <wp:posOffset>121007</wp:posOffset>
            </wp:positionV>
            <wp:extent cx="6379583" cy="902106"/>
            <wp:effectExtent l="0" t="0" r="0" b="0"/>
            <wp:wrapNone/>
            <wp:docPr id="145" name="image2.jpeg" descr=""/>
            <wp:cNvGraphicFramePr>
              <a:graphicFrameLocks noChangeAspect="1"/>
            </wp:cNvGraphicFramePr>
            <a:graphic>
              <a:graphicData uri="http://schemas.openxmlformats.org/drawingml/2006/picture">
                <pic:pic>
                  <pic:nvPicPr>
                    <pic:cNvPr id="146"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260 </w:t>
      </w:r>
      <w:r>
        <w:rPr>
          <w:sz w:val="20"/>
        </w:rPr>
        <w:t>Stefanska B.: Br J Pharmacol. 2012 Mar 27</w:t>
      </w:r>
    </w:p>
    <w:p>
      <w:pPr>
        <w:spacing w:after="0"/>
        <w:jc w:val="left"/>
        <w:rPr>
          <w:sz w:val="20"/>
        </w:rPr>
        <w:sectPr>
          <w:footerReference w:type="default" r:id="rId97"/>
          <w:pgSz w:w="14270" w:h="16850"/>
          <w:pgMar w:footer="527" w:header="0" w:top="1600" w:bottom="720" w:left="800" w:right="1280"/>
          <w:pgNumType w:start="363"/>
        </w:sectPr>
      </w:pPr>
    </w:p>
    <w:p>
      <w:pPr>
        <w:pStyle w:val="BodyText"/>
        <w:spacing w:line="276" w:lineRule="auto" w:before="181"/>
        <w:ind w:left="477" w:right="134"/>
        <w:jc w:val="both"/>
      </w:pPr>
      <w:r>
        <w:rPr/>
        <w:t>In most cases, 1-3 g is recommended for prevention purposes, 2-3 times a day. Therapeutic doses can be many times higher and should only be taken under the supervision of a doctor or alternative practitioner!</w:t>
      </w:r>
    </w:p>
    <w:p>
      <w:pPr>
        <w:pStyle w:val="Heading1"/>
      </w:pPr>
      <w:r>
        <w:rPr/>
        <w:t>Turmeric in capsule form</w:t>
      </w:r>
    </w:p>
    <w:p>
      <w:pPr>
        <w:pStyle w:val="BodyText"/>
        <w:spacing w:line="276" w:lineRule="auto" w:before="300"/>
        <w:ind w:left="477" w:right="135"/>
        <w:jc w:val="both"/>
      </w:pPr>
      <w:r>
        <w:rPr/>
        <w:t>Turmeric in capsule form offers several advantages: the active ingredients are released only in the intestine, without burdening the stomach unnecessarily be- forehand. At the same time, taking capsules does not affect the taste buds.</w:t>
      </w:r>
    </w:p>
    <w:p>
      <w:pPr>
        <w:pStyle w:val="Heading1"/>
        <w:spacing w:before="222"/>
      </w:pPr>
      <w:r>
        <w:rPr/>
        <w:t>Storage</w:t>
      </w:r>
    </w:p>
    <w:p>
      <w:pPr>
        <w:pStyle w:val="BodyText"/>
        <w:spacing w:line="276" w:lineRule="auto" w:before="299"/>
        <w:ind w:left="477" w:right="133"/>
        <w:jc w:val="both"/>
      </w:pPr>
      <w:r>
        <w:rPr/>
        <w:t>As</w:t>
      </w:r>
      <w:r>
        <w:rPr>
          <w:spacing w:val="-19"/>
        </w:rPr>
        <w:t> </w:t>
      </w:r>
      <w:r>
        <w:rPr/>
        <w:t>with</w:t>
      </w:r>
      <w:r>
        <w:rPr>
          <w:spacing w:val="-18"/>
        </w:rPr>
        <w:t> </w:t>
      </w:r>
      <w:r>
        <w:rPr/>
        <w:t>all</w:t>
      </w:r>
      <w:r>
        <w:rPr>
          <w:spacing w:val="-20"/>
        </w:rPr>
        <w:t> </w:t>
      </w:r>
      <w:r>
        <w:rPr/>
        <w:t>foods</w:t>
      </w:r>
      <w:r>
        <w:rPr>
          <w:spacing w:val="-21"/>
        </w:rPr>
        <w:t> </w:t>
      </w:r>
      <w:r>
        <w:rPr/>
        <w:t>whose</w:t>
      </w:r>
      <w:r>
        <w:rPr>
          <w:spacing w:val="-20"/>
        </w:rPr>
        <w:t> </w:t>
      </w:r>
      <w:r>
        <w:rPr/>
        <w:t>vital</w:t>
      </w:r>
      <w:r>
        <w:rPr>
          <w:spacing w:val="-20"/>
        </w:rPr>
        <w:t> </w:t>
      </w:r>
      <w:r>
        <w:rPr/>
        <w:t>substances</w:t>
      </w:r>
      <w:r>
        <w:rPr>
          <w:spacing w:val="-18"/>
        </w:rPr>
        <w:t> </w:t>
      </w:r>
      <w:r>
        <w:rPr/>
        <w:t>you</w:t>
      </w:r>
      <w:r>
        <w:rPr>
          <w:spacing w:val="-20"/>
        </w:rPr>
        <w:t> </w:t>
      </w:r>
      <w:r>
        <w:rPr/>
        <w:t>want</w:t>
      </w:r>
      <w:r>
        <w:rPr>
          <w:spacing w:val="-20"/>
        </w:rPr>
        <w:t> </w:t>
      </w:r>
      <w:r>
        <w:rPr/>
        <w:t>to</w:t>
      </w:r>
      <w:r>
        <w:rPr>
          <w:spacing w:val="-18"/>
        </w:rPr>
        <w:t> </w:t>
      </w:r>
      <w:r>
        <w:rPr/>
        <w:t>protect,</w:t>
      </w:r>
      <w:r>
        <w:rPr>
          <w:spacing w:val="-18"/>
        </w:rPr>
        <w:t> </w:t>
      </w:r>
      <w:r>
        <w:rPr/>
        <w:t>it</w:t>
      </w:r>
      <w:r>
        <w:rPr>
          <w:spacing w:val="-22"/>
        </w:rPr>
        <w:t> </w:t>
      </w:r>
      <w:r>
        <w:rPr/>
        <w:t>should</w:t>
      </w:r>
      <w:r>
        <w:rPr>
          <w:spacing w:val="-19"/>
        </w:rPr>
        <w:t> </w:t>
      </w:r>
      <w:r>
        <w:rPr/>
        <w:t>be</w:t>
      </w:r>
      <w:r>
        <w:rPr>
          <w:spacing w:val="-19"/>
        </w:rPr>
        <w:t> </w:t>
      </w:r>
      <w:r>
        <w:rPr/>
        <w:t>stored in a cool place, in a closed container and in the</w:t>
      </w:r>
      <w:r>
        <w:rPr>
          <w:spacing w:val="-2"/>
        </w:rPr>
        <w:t> </w:t>
      </w:r>
      <w:r>
        <w:rPr/>
        <w:t>dark.</w:t>
      </w:r>
    </w:p>
    <w:p>
      <w:pPr>
        <w:pStyle w:val="Heading2"/>
        <w:spacing w:before="241"/>
      </w:pPr>
      <w:r>
        <w:rPr/>
        <w:t>Is taking curcumin associated with any side effects?</w:t>
      </w:r>
    </w:p>
    <w:p>
      <w:pPr>
        <w:pStyle w:val="BodyText"/>
        <w:spacing w:line="276" w:lineRule="auto" w:before="302"/>
        <w:ind w:left="477" w:right="133"/>
        <w:jc w:val="both"/>
      </w:pPr>
      <w:r>
        <w:rPr/>
        <w:t>As</w:t>
      </w:r>
      <w:r>
        <w:rPr>
          <w:spacing w:val="-9"/>
        </w:rPr>
        <w:t> </w:t>
      </w:r>
      <w:r>
        <w:rPr/>
        <w:t>always,</w:t>
      </w:r>
      <w:r>
        <w:rPr>
          <w:spacing w:val="-8"/>
        </w:rPr>
        <w:t> </w:t>
      </w:r>
      <w:r>
        <w:rPr/>
        <w:t>it</w:t>
      </w:r>
      <w:r>
        <w:rPr>
          <w:spacing w:val="-9"/>
        </w:rPr>
        <w:t> </w:t>
      </w:r>
      <w:r>
        <w:rPr/>
        <w:t>is</w:t>
      </w:r>
      <w:r>
        <w:rPr>
          <w:spacing w:val="-8"/>
        </w:rPr>
        <w:t> </w:t>
      </w:r>
      <w:r>
        <w:rPr/>
        <w:t>the</w:t>
      </w:r>
      <w:r>
        <w:rPr>
          <w:spacing w:val="-8"/>
        </w:rPr>
        <w:t> </w:t>
      </w:r>
      <w:r>
        <w:rPr/>
        <w:t>dose</w:t>
      </w:r>
      <w:r>
        <w:rPr>
          <w:spacing w:val="-9"/>
        </w:rPr>
        <w:t> </w:t>
      </w:r>
      <w:r>
        <w:rPr/>
        <w:t>that</w:t>
      </w:r>
      <w:r>
        <w:rPr>
          <w:spacing w:val="-8"/>
        </w:rPr>
        <w:t> </w:t>
      </w:r>
      <w:r>
        <w:rPr/>
        <w:t>makes</w:t>
      </w:r>
      <w:r>
        <w:rPr>
          <w:spacing w:val="-8"/>
        </w:rPr>
        <w:t> </w:t>
      </w:r>
      <w:r>
        <w:rPr/>
        <w:t>the</w:t>
      </w:r>
      <w:r>
        <w:rPr>
          <w:spacing w:val="-7"/>
        </w:rPr>
        <w:t> </w:t>
      </w:r>
      <w:r>
        <w:rPr/>
        <w:t>poison!</w:t>
      </w:r>
      <w:r>
        <w:rPr>
          <w:spacing w:val="-7"/>
        </w:rPr>
        <w:t> </w:t>
      </w:r>
      <w:r>
        <w:rPr/>
        <w:t>Isolated</w:t>
      </w:r>
      <w:r>
        <w:rPr>
          <w:spacing w:val="-10"/>
        </w:rPr>
        <w:t> </w:t>
      </w:r>
      <w:r>
        <w:rPr/>
        <w:t>curcumin</w:t>
      </w:r>
      <w:r>
        <w:rPr>
          <w:spacing w:val="-8"/>
        </w:rPr>
        <w:t> </w:t>
      </w:r>
      <w:r>
        <w:rPr/>
        <w:t>derived</w:t>
      </w:r>
      <w:r>
        <w:rPr>
          <w:spacing w:val="-9"/>
        </w:rPr>
        <w:t> </w:t>
      </w:r>
      <w:r>
        <w:rPr/>
        <w:t>from turmeric and synthetic Big Pharma plagiarisms can cause diarrhoea, nausea</w:t>
      </w:r>
      <w:r>
        <w:rPr>
          <w:spacing w:val="-64"/>
        </w:rPr>
        <w:t> </w:t>
      </w:r>
      <w:r>
        <w:rPr/>
        <w:t>and irregular</w:t>
      </w:r>
      <w:r>
        <w:rPr>
          <w:spacing w:val="-12"/>
        </w:rPr>
        <w:t> </w:t>
      </w:r>
      <w:r>
        <w:rPr/>
        <w:t>blood</w:t>
      </w:r>
      <w:r>
        <w:rPr>
          <w:spacing w:val="-11"/>
        </w:rPr>
        <w:t> </w:t>
      </w:r>
      <w:r>
        <w:rPr/>
        <w:t>pressure</w:t>
      </w:r>
      <w:r>
        <w:rPr>
          <w:spacing w:val="-11"/>
        </w:rPr>
        <w:t> </w:t>
      </w:r>
      <w:r>
        <w:rPr/>
        <w:t>at</w:t>
      </w:r>
      <w:r>
        <w:rPr>
          <w:spacing w:val="-13"/>
        </w:rPr>
        <w:t> </w:t>
      </w:r>
      <w:r>
        <w:rPr/>
        <w:t>high</w:t>
      </w:r>
      <w:r>
        <w:rPr>
          <w:spacing w:val="-9"/>
        </w:rPr>
        <w:t> </w:t>
      </w:r>
      <w:r>
        <w:rPr/>
        <w:t>doses</w:t>
      </w:r>
      <w:r>
        <w:rPr>
          <w:spacing w:val="-11"/>
        </w:rPr>
        <w:t> </w:t>
      </w:r>
      <w:r>
        <w:rPr/>
        <w:t>(between</w:t>
      </w:r>
      <w:r>
        <w:rPr>
          <w:spacing w:val="-10"/>
        </w:rPr>
        <w:t> </w:t>
      </w:r>
      <w:r>
        <w:rPr/>
        <w:t>2</w:t>
      </w:r>
      <w:r>
        <w:rPr>
          <w:spacing w:val="-14"/>
        </w:rPr>
        <w:t> </w:t>
      </w:r>
      <w:r>
        <w:rPr/>
        <w:t>and</w:t>
      </w:r>
      <w:r>
        <w:rPr>
          <w:spacing w:val="-10"/>
        </w:rPr>
        <w:t> </w:t>
      </w:r>
      <w:r>
        <w:rPr/>
        <w:t>12</w:t>
      </w:r>
      <w:r>
        <w:rPr>
          <w:spacing w:val="-12"/>
        </w:rPr>
        <w:t> </w:t>
      </w:r>
      <w:r>
        <w:rPr/>
        <w:t>g).</w:t>
      </w:r>
      <w:r>
        <w:rPr>
          <w:spacing w:val="-10"/>
        </w:rPr>
        <w:t> </w:t>
      </w:r>
      <w:r>
        <w:rPr/>
        <w:t>On</w:t>
      </w:r>
      <w:r>
        <w:rPr>
          <w:spacing w:val="-12"/>
        </w:rPr>
        <w:t> </w:t>
      </w:r>
      <w:r>
        <w:rPr/>
        <w:t>the</w:t>
      </w:r>
      <w:r>
        <w:rPr>
          <w:spacing w:val="-11"/>
        </w:rPr>
        <w:t> </w:t>
      </w:r>
      <w:r>
        <w:rPr/>
        <w:t>other</w:t>
      </w:r>
      <w:r>
        <w:rPr>
          <w:spacing w:val="-10"/>
        </w:rPr>
        <w:t> </w:t>
      </w:r>
      <w:r>
        <w:rPr/>
        <w:t>hand, taking turmeric is relatively harmless on the whole.</w:t>
      </w:r>
      <w:r>
        <w:rPr>
          <w:position w:val="9"/>
          <w:sz w:val="25"/>
        </w:rPr>
        <w:t>261 </w:t>
      </w:r>
      <w:r>
        <w:rPr/>
        <w:t>Pregnant and breastfeed- ing mothers should, as a precaution, refrain from taking</w:t>
      </w:r>
      <w:r>
        <w:rPr>
          <w:spacing w:val="-7"/>
        </w:rPr>
        <w:t> </w:t>
      </w:r>
      <w:r>
        <w:rPr/>
        <w:t>curcumin.</w:t>
      </w:r>
    </w:p>
    <w:p>
      <w:pPr>
        <w:pStyle w:val="BodyText"/>
        <w:rPr>
          <w:sz w:val="20"/>
        </w:rPr>
      </w:pPr>
    </w:p>
    <w:p>
      <w:pPr>
        <w:pStyle w:val="BodyText"/>
        <w:rPr>
          <w:sz w:val="20"/>
        </w:rPr>
      </w:pPr>
    </w:p>
    <w:p>
      <w:pPr>
        <w:pStyle w:val="BodyText"/>
        <w:rPr>
          <w:sz w:val="20"/>
        </w:rPr>
      </w:pPr>
    </w:p>
    <w:p>
      <w:pPr>
        <w:pStyle w:val="BodyText"/>
        <w:spacing w:before="9"/>
        <w:rPr>
          <w:sz w:val="20"/>
        </w:rPr>
      </w:pPr>
      <w:r>
        <w:rPr/>
        <w:pict>
          <v:line style="position:absolute;mso-position-horizontal-relative:page;mso-position-vertical-relative:paragraph;z-index:2768;mso-wrap-distance-left:0;mso-wrap-distance-right:0" from="63.863998pt,14.058765pt" to="207.883998pt,14.05876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261 </w:t>
      </w:r>
      <w:r>
        <w:rPr>
          <w:sz w:val="20"/>
        </w:rPr>
        <w:t>Klaus Oberbeil: Kurkuma – die heilende Kraft der Zauberknolle (‘Turmeric – The Healing Power of the Magic Tuber’), 6/2012 p. 71</w:t>
      </w:r>
    </w:p>
    <w:p>
      <w:pPr>
        <w:spacing w:after="0"/>
        <w:jc w:val="left"/>
        <w:rPr>
          <w:sz w:val="20"/>
        </w:rPr>
        <w:sectPr>
          <w:footerReference w:type="default" r:id="rId98"/>
          <w:pgSz w:w="14270" w:h="16850"/>
          <w:pgMar w:footer="1891" w:header="0" w:top="1600" w:bottom="2080" w:left="800" w:right="1280"/>
          <w:pgNumType w:start="364"/>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p>
    <w:p>
      <w:pPr>
        <w:spacing w:before="101"/>
        <w:ind w:left="477" w:right="0" w:firstLine="0"/>
        <w:jc w:val="left"/>
        <w:rPr>
          <w:rFonts w:ascii="Cambria" w:hAnsi="Cambria"/>
          <w:b/>
          <w:sz w:val="28"/>
        </w:rPr>
      </w:pPr>
      <w:r>
        <w:rPr>
          <w:rFonts w:ascii="Cambria" w:hAnsi="Cambria"/>
          <w:b/>
          <w:color w:val="365F91"/>
          <w:sz w:val="28"/>
        </w:rPr>
        <w:t>DHEA – DEHYDROEPIANDROSTERONE</w:t>
      </w:r>
    </w:p>
    <w:p>
      <w:pPr>
        <w:spacing w:line="276" w:lineRule="auto" w:before="47"/>
        <w:ind w:left="477" w:right="136" w:firstLine="0"/>
        <w:jc w:val="both"/>
        <w:rPr>
          <w:sz w:val="38"/>
        </w:rPr>
      </w:pPr>
      <w:r>
        <w:rPr>
          <w:i/>
          <w:sz w:val="38"/>
        </w:rPr>
        <w:t>‘The number of areas where supplementing with DHEA can be helpful is just stunning be- </w:t>
      </w:r>
      <w:r>
        <w:rPr>
          <w:i/>
          <w:sz w:val="38"/>
        </w:rPr>
        <w:t>cause it can help treat such a wide range of disorders</w:t>
      </w:r>
      <w:r>
        <w:rPr>
          <w:sz w:val="38"/>
        </w:rPr>
        <w:t>’. (Dr. Julian Whitaker, Editor of </w:t>
      </w:r>
      <w:r>
        <w:rPr>
          <w:i/>
          <w:sz w:val="38"/>
        </w:rPr>
        <w:t>Health and Healing</w:t>
      </w:r>
      <w:r>
        <w:rPr>
          <w:sz w:val="38"/>
        </w:rPr>
        <w:t>)</w:t>
      </w:r>
    </w:p>
    <w:p>
      <w:pPr>
        <w:pStyle w:val="BodyText"/>
        <w:spacing w:line="276" w:lineRule="auto" w:before="242"/>
        <w:ind w:left="477" w:right="131"/>
        <w:jc w:val="both"/>
      </w:pPr>
      <w:r>
        <w:rPr/>
        <w:t>DHEA (short for dehydroepiandrosterone) is a hormone produced in the ad- renal gland, which is thought to play the role of a so-called buffer hormone which affects other hormones. Furthermore, DHEA is the precursor for both male and female sex hormones. As recent studies suggest, however, it is much more than ‘just’ a prohormone, because it is clearly a natural substance with completely independent, diverse effects in both humans and animals.</w:t>
      </w:r>
    </w:p>
    <w:p>
      <w:pPr>
        <w:pStyle w:val="BodyText"/>
        <w:spacing w:line="276" w:lineRule="auto" w:before="240"/>
        <w:ind w:left="477" w:right="132"/>
        <w:jc w:val="both"/>
      </w:pPr>
      <w:r>
        <w:rPr/>
        <w:t>In</w:t>
      </w:r>
      <w:r>
        <w:rPr>
          <w:spacing w:val="-21"/>
        </w:rPr>
        <w:t> </w:t>
      </w:r>
      <w:r>
        <w:rPr/>
        <w:t>men,</w:t>
      </w:r>
      <w:r>
        <w:rPr>
          <w:spacing w:val="-23"/>
        </w:rPr>
        <w:t> </w:t>
      </w:r>
      <w:r>
        <w:rPr/>
        <w:t>DHEA</w:t>
      </w:r>
      <w:r>
        <w:rPr>
          <w:spacing w:val="-22"/>
        </w:rPr>
        <w:t> </w:t>
      </w:r>
      <w:r>
        <w:rPr/>
        <w:t>is</w:t>
      </w:r>
      <w:r>
        <w:rPr>
          <w:spacing w:val="-22"/>
        </w:rPr>
        <w:t> </w:t>
      </w:r>
      <w:r>
        <w:rPr/>
        <w:t>produced</w:t>
      </w:r>
      <w:r>
        <w:rPr>
          <w:spacing w:val="-21"/>
        </w:rPr>
        <w:t> </w:t>
      </w:r>
      <w:r>
        <w:rPr/>
        <w:t>exclusively</w:t>
      </w:r>
      <w:r>
        <w:rPr>
          <w:spacing w:val="-21"/>
        </w:rPr>
        <w:t> </w:t>
      </w:r>
      <w:r>
        <w:rPr/>
        <w:t>in</w:t>
      </w:r>
      <w:r>
        <w:rPr>
          <w:spacing w:val="-20"/>
        </w:rPr>
        <w:t> </w:t>
      </w:r>
      <w:r>
        <w:rPr/>
        <w:t>the</w:t>
      </w:r>
      <w:r>
        <w:rPr>
          <w:spacing w:val="-20"/>
        </w:rPr>
        <w:t> </w:t>
      </w:r>
      <w:r>
        <w:rPr/>
        <w:t>adrenal</w:t>
      </w:r>
      <w:r>
        <w:rPr>
          <w:spacing w:val="-23"/>
        </w:rPr>
        <w:t> </w:t>
      </w:r>
      <w:r>
        <w:rPr/>
        <w:t>cortex;</w:t>
      </w:r>
      <w:r>
        <w:rPr>
          <w:spacing w:val="-20"/>
        </w:rPr>
        <w:t> </w:t>
      </w:r>
      <w:r>
        <w:rPr/>
        <w:t>in</w:t>
      </w:r>
      <w:r>
        <w:rPr>
          <w:spacing w:val="-18"/>
        </w:rPr>
        <w:t> </w:t>
      </w:r>
      <w:r>
        <w:rPr/>
        <w:t>women,</w:t>
      </w:r>
      <w:r>
        <w:rPr>
          <w:spacing w:val="-21"/>
        </w:rPr>
        <w:t> </w:t>
      </w:r>
      <w:r>
        <w:rPr/>
        <w:t>a</w:t>
      </w:r>
      <w:r>
        <w:rPr>
          <w:spacing w:val="-24"/>
        </w:rPr>
        <w:t> </w:t>
      </w:r>
      <w:r>
        <w:rPr/>
        <w:t>larger part</w:t>
      </w:r>
      <w:r>
        <w:rPr>
          <w:spacing w:val="-19"/>
        </w:rPr>
        <w:t> </w:t>
      </w:r>
      <w:r>
        <w:rPr/>
        <w:t>(30</w:t>
      </w:r>
      <w:r>
        <w:rPr>
          <w:spacing w:val="-19"/>
        </w:rPr>
        <w:t> </w:t>
      </w:r>
      <w:r>
        <w:rPr/>
        <w:t>%)</w:t>
      </w:r>
      <w:r>
        <w:rPr>
          <w:spacing w:val="-19"/>
        </w:rPr>
        <w:t> </w:t>
      </w:r>
      <w:r>
        <w:rPr/>
        <w:t>is</w:t>
      </w:r>
      <w:r>
        <w:rPr>
          <w:spacing w:val="-18"/>
        </w:rPr>
        <w:t> </w:t>
      </w:r>
      <w:r>
        <w:rPr/>
        <w:t>formed</w:t>
      </w:r>
      <w:r>
        <w:rPr>
          <w:spacing w:val="-18"/>
        </w:rPr>
        <w:t> </w:t>
      </w:r>
      <w:r>
        <w:rPr/>
        <w:t>in</w:t>
      </w:r>
      <w:r>
        <w:rPr>
          <w:spacing w:val="-18"/>
        </w:rPr>
        <w:t> </w:t>
      </w:r>
      <w:r>
        <w:rPr/>
        <w:t>the</w:t>
      </w:r>
      <w:r>
        <w:rPr>
          <w:spacing w:val="-20"/>
        </w:rPr>
        <w:t> </w:t>
      </w:r>
      <w:r>
        <w:rPr/>
        <w:t>ovaries;</w:t>
      </w:r>
      <w:r>
        <w:rPr>
          <w:spacing w:val="-17"/>
        </w:rPr>
        <w:t> </w:t>
      </w:r>
      <w:r>
        <w:rPr/>
        <w:t>men</w:t>
      </w:r>
      <w:r>
        <w:rPr>
          <w:spacing w:val="-18"/>
        </w:rPr>
        <w:t> </w:t>
      </w:r>
      <w:r>
        <w:rPr/>
        <w:t>always</w:t>
      </w:r>
      <w:r>
        <w:rPr>
          <w:spacing w:val="-20"/>
        </w:rPr>
        <w:t> </w:t>
      </w:r>
      <w:r>
        <w:rPr/>
        <w:t>have</w:t>
      </w:r>
      <w:r>
        <w:rPr>
          <w:spacing w:val="-19"/>
        </w:rPr>
        <w:t> </w:t>
      </w:r>
      <w:r>
        <w:rPr/>
        <w:t>slightly</w:t>
      </w:r>
      <w:r>
        <w:rPr>
          <w:spacing w:val="-18"/>
        </w:rPr>
        <w:t> </w:t>
      </w:r>
      <w:r>
        <w:rPr/>
        <w:t>more</w:t>
      </w:r>
      <w:r>
        <w:rPr>
          <w:spacing w:val="-19"/>
        </w:rPr>
        <w:t> </w:t>
      </w:r>
      <w:r>
        <w:rPr/>
        <w:t>DHEA</w:t>
      </w:r>
      <w:r>
        <w:rPr>
          <w:spacing w:val="-17"/>
        </w:rPr>
        <w:t> </w:t>
      </w:r>
      <w:r>
        <w:rPr/>
        <w:t>than women.</w:t>
      </w:r>
      <w:r>
        <w:rPr>
          <w:spacing w:val="-18"/>
        </w:rPr>
        <w:t> </w:t>
      </w:r>
      <w:r>
        <w:rPr/>
        <w:t>DHEA</w:t>
      </w:r>
      <w:r>
        <w:rPr>
          <w:spacing w:val="-18"/>
        </w:rPr>
        <w:t> </w:t>
      </w:r>
      <w:r>
        <w:rPr/>
        <w:t>production</w:t>
      </w:r>
      <w:r>
        <w:rPr>
          <w:spacing w:val="-18"/>
        </w:rPr>
        <w:t> </w:t>
      </w:r>
      <w:r>
        <w:rPr/>
        <w:t>in</w:t>
      </w:r>
      <w:r>
        <w:rPr>
          <w:spacing w:val="-19"/>
        </w:rPr>
        <w:t> </w:t>
      </w:r>
      <w:r>
        <w:rPr/>
        <w:t>the</w:t>
      </w:r>
      <w:r>
        <w:rPr>
          <w:spacing w:val="-17"/>
        </w:rPr>
        <w:t> </w:t>
      </w:r>
      <w:r>
        <w:rPr/>
        <w:t>body</w:t>
      </w:r>
      <w:r>
        <w:rPr>
          <w:spacing w:val="-19"/>
        </w:rPr>
        <w:t> </w:t>
      </w:r>
      <w:r>
        <w:rPr/>
        <w:t>is</w:t>
      </w:r>
      <w:r>
        <w:rPr>
          <w:spacing w:val="-19"/>
        </w:rPr>
        <w:t> </w:t>
      </w:r>
      <w:r>
        <w:rPr/>
        <w:t>not</w:t>
      </w:r>
      <w:r>
        <w:rPr>
          <w:spacing w:val="-21"/>
        </w:rPr>
        <w:t> </w:t>
      </w:r>
      <w:r>
        <w:rPr/>
        <w:t>only</w:t>
      </w:r>
      <w:r>
        <w:rPr>
          <w:spacing w:val="-18"/>
        </w:rPr>
        <w:t> </w:t>
      </w:r>
      <w:r>
        <w:rPr/>
        <w:t>sex-dependent,</w:t>
      </w:r>
      <w:r>
        <w:rPr>
          <w:spacing w:val="-18"/>
        </w:rPr>
        <w:t> </w:t>
      </w:r>
      <w:r>
        <w:rPr/>
        <w:t>but</w:t>
      </w:r>
      <w:r>
        <w:rPr>
          <w:spacing w:val="-20"/>
        </w:rPr>
        <w:t> </w:t>
      </w:r>
      <w:r>
        <w:rPr/>
        <w:t>also</w:t>
      </w:r>
      <w:r>
        <w:rPr>
          <w:spacing w:val="-17"/>
        </w:rPr>
        <w:t> </w:t>
      </w:r>
      <w:r>
        <w:rPr/>
        <w:t>age- dependent. The level of DHEA is also subject to a daily rhythm. In the first years of life, only small amounts of DHEA are produced, and at the age of six to seven larger amounts are detectable; the highest level is reached at 25 years of</w:t>
      </w:r>
      <w:r>
        <w:rPr>
          <w:spacing w:val="-6"/>
        </w:rPr>
        <w:t> </w:t>
      </w:r>
      <w:r>
        <w:rPr/>
        <w:t>age;</w:t>
      </w:r>
      <w:r>
        <w:rPr>
          <w:spacing w:val="-5"/>
        </w:rPr>
        <w:t> </w:t>
      </w:r>
      <w:r>
        <w:rPr/>
        <w:t>then,</w:t>
      </w:r>
      <w:r>
        <w:rPr>
          <w:spacing w:val="-5"/>
        </w:rPr>
        <w:t> </w:t>
      </w:r>
      <w:r>
        <w:rPr/>
        <w:t>the</w:t>
      </w:r>
      <w:r>
        <w:rPr>
          <w:spacing w:val="-9"/>
        </w:rPr>
        <w:t> </w:t>
      </w:r>
      <w:r>
        <w:rPr/>
        <w:t>level</w:t>
      </w:r>
      <w:r>
        <w:rPr>
          <w:spacing w:val="-7"/>
        </w:rPr>
        <w:t> </w:t>
      </w:r>
      <w:r>
        <w:rPr/>
        <w:t>drops</w:t>
      </w:r>
      <w:r>
        <w:rPr>
          <w:spacing w:val="-5"/>
        </w:rPr>
        <w:t> </w:t>
      </w:r>
      <w:r>
        <w:rPr/>
        <w:t>steadily</w:t>
      </w:r>
      <w:r>
        <w:rPr>
          <w:spacing w:val="-6"/>
        </w:rPr>
        <w:t> </w:t>
      </w:r>
      <w:r>
        <w:rPr/>
        <w:t>from</w:t>
      </w:r>
      <w:r>
        <w:rPr>
          <w:spacing w:val="-5"/>
        </w:rPr>
        <w:t> </w:t>
      </w:r>
      <w:r>
        <w:rPr/>
        <w:t>there</w:t>
      </w:r>
      <w:r>
        <w:rPr>
          <w:spacing w:val="-6"/>
        </w:rPr>
        <w:t> </w:t>
      </w:r>
      <w:r>
        <w:rPr/>
        <w:t>–</w:t>
      </w:r>
      <w:r>
        <w:rPr>
          <w:spacing w:val="-6"/>
        </w:rPr>
        <w:t> </w:t>
      </w:r>
      <w:r>
        <w:rPr/>
        <w:t>it</w:t>
      </w:r>
      <w:r>
        <w:rPr>
          <w:spacing w:val="-6"/>
        </w:rPr>
        <w:t> </w:t>
      </w:r>
      <w:r>
        <w:rPr/>
        <w:t>stands</w:t>
      </w:r>
      <w:r>
        <w:rPr>
          <w:spacing w:val="-3"/>
        </w:rPr>
        <w:t> </w:t>
      </w:r>
      <w:r>
        <w:rPr/>
        <w:t>at</w:t>
      </w:r>
      <w:r>
        <w:rPr>
          <w:spacing w:val="-7"/>
        </w:rPr>
        <w:t> </w:t>
      </w:r>
      <w:r>
        <w:rPr/>
        <w:t>10</w:t>
      </w:r>
      <w:r>
        <w:rPr>
          <w:spacing w:val="-6"/>
        </w:rPr>
        <w:t> </w:t>
      </w:r>
      <w:r>
        <w:rPr/>
        <w:t>%</w:t>
      </w:r>
      <w:r>
        <w:rPr>
          <w:spacing w:val="-9"/>
        </w:rPr>
        <w:t> </w:t>
      </w:r>
      <w:r>
        <w:rPr/>
        <w:t>at</w:t>
      </w:r>
      <w:r>
        <w:rPr>
          <w:spacing w:val="-6"/>
        </w:rPr>
        <w:t> </w:t>
      </w:r>
      <w:r>
        <w:rPr/>
        <w:t>the</w:t>
      </w:r>
      <w:r>
        <w:rPr>
          <w:spacing w:val="-5"/>
        </w:rPr>
        <w:t> </w:t>
      </w:r>
      <w:r>
        <w:rPr/>
        <w:t>age</w:t>
      </w:r>
      <w:r>
        <w:rPr>
          <w:spacing w:val="-6"/>
        </w:rPr>
        <w:t> </w:t>
      </w:r>
      <w:r>
        <w:rPr/>
        <w:t>of 75 and at 5 % at the age of</w:t>
      </w:r>
      <w:r>
        <w:rPr>
          <w:spacing w:val="-2"/>
        </w:rPr>
        <w:t> </w:t>
      </w:r>
      <w:r>
        <w:rPr/>
        <w:t>85.</w:t>
      </w:r>
    </w:p>
    <w:p>
      <w:pPr>
        <w:spacing w:after="0" w:line="276" w:lineRule="auto"/>
        <w:jc w:val="both"/>
        <w:sectPr>
          <w:pgSz w:w="14270" w:h="16850"/>
          <w:pgMar w:header="0" w:footer="1891" w:top="1600" w:bottom="2080" w:left="800" w:right="1280"/>
        </w:sectPr>
      </w:pPr>
    </w:p>
    <w:p>
      <w:pPr>
        <w:pStyle w:val="BodyText"/>
        <w:spacing w:line="276" w:lineRule="auto" w:before="181"/>
        <w:ind w:left="477" w:right="138"/>
        <w:jc w:val="both"/>
      </w:pPr>
      <w:r>
        <w:rPr/>
        <w:t>Within</w:t>
      </w:r>
      <w:r>
        <w:rPr>
          <w:spacing w:val="-20"/>
        </w:rPr>
        <w:t> </w:t>
      </w:r>
      <w:r>
        <w:rPr/>
        <w:t>the</w:t>
      </w:r>
      <w:r>
        <w:rPr>
          <w:spacing w:val="-18"/>
        </w:rPr>
        <w:t> </w:t>
      </w:r>
      <w:r>
        <w:rPr/>
        <w:t>cell,</w:t>
      </w:r>
      <w:r>
        <w:rPr>
          <w:spacing w:val="-21"/>
        </w:rPr>
        <w:t> </w:t>
      </w:r>
      <w:r>
        <w:rPr/>
        <w:t>dehydroepiandrosterone</w:t>
      </w:r>
      <w:r>
        <w:rPr>
          <w:spacing w:val="-18"/>
        </w:rPr>
        <w:t> </w:t>
      </w:r>
      <w:r>
        <w:rPr/>
        <w:t>is</w:t>
      </w:r>
      <w:r>
        <w:rPr>
          <w:spacing w:val="-21"/>
        </w:rPr>
        <w:t> </w:t>
      </w:r>
      <w:r>
        <w:rPr/>
        <w:t>split</w:t>
      </w:r>
      <w:r>
        <w:rPr>
          <w:spacing w:val="-23"/>
        </w:rPr>
        <w:t> </w:t>
      </w:r>
      <w:r>
        <w:rPr/>
        <w:t>as</w:t>
      </w:r>
      <w:r>
        <w:rPr>
          <w:spacing w:val="-20"/>
        </w:rPr>
        <w:t> </w:t>
      </w:r>
      <w:r>
        <w:rPr/>
        <w:t>a</w:t>
      </w:r>
      <w:r>
        <w:rPr>
          <w:spacing w:val="-20"/>
        </w:rPr>
        <w:t> </w:t>
      </w:r>
      <w:r>
        <w:rPr/>
        <w:t>prohormone</w:t>
      </w:r>
      <w:r>
        <w:rPr>
          <w:spacing w:val="-19"/>
        </w:rPr>
        <w:t> </w:t>
      </w:r>
      <w:r>
        <w:rPr/>
        <w:t>into</w:t>
      </w:r>
      <w:r>
        <w:rPr>
          <w:spacing w:val="-18"/>
        </w:rPr>
        <w:t> </w:t>
      </w:r>
      <w:r>
        <w:rPr/>
        <w:t>male</w:t>
      </w:r>
      <w:r>
        <w:rPr>
          <w:spacing w:val="-19"/>
        </w:rPr>
        <w:t> </w:t>
      </w:r>
      <w:r>
        <w:rPr/>
        <w:t>hor- mones (androgens) and female hormones</w:t>
      </w:r>
      <w:r>
        <w:rPr>
          <w:spacing w:val="-1"/>
        </w:rPr>
        <w:t> </w:t>
      </w:r>
      <w:r>
        <w:rPr/>
        <w:t>(oestrogens).</w:t>
      </w:r>
    </w:p>
    <w:p>
      <w:pPr>
        <w:pStyle w:val="BodyText"/>
        <w:spacing w:line="276" w:lineRule="auto" w:before="241"/>
        <w:ind w:left="477" w:right="133"/>
        <w:jc w:val="both"/>
      </w:pPr>
      <w:r>
        <w:rPr/>
        <w:t>The importance of just one substance that benefits our hormones specifically becomes clear when you realise the actual, very wide-ranging effects and regu- latory functions of hormones on our body cells. From controlling our egg and sperm cells and aiding fertilisation to the growth of an unborn child in the womb,</w:t>
      </w:r>
      <w:r>
        <w:rPr>
          <w:spacing w:val="-19"/>
        </w:rPr>
        <w:t> </w:t>
      </w:r>
      <w:r>
        <w:rPr/>
        <w:t>the</w:t>
      </w:r>
      <w:r>
        <w:rPr>
          <w:spacing w:val="-18"/>
        </w:rPr>
        <w:t> </w:t>
      </w:r>
      <w:r>
        <w:rPr/>
        <w:t>regulation</w:t>
      </w:r>
      <w:r>
        <w:rPr>
          <w:spacing w:val="-19"/>
        </w:rPr>
        <w:t> </w:t>
      </w:r>
      <w:r>
        <w:rPr/>
        <w:t>of</w:t>
      </w:r>
      <w:r>
        <w:rPr>
          <w:spacing w:val="-19"/>
        </w:rPr>
        <w:t> </w:t>
      </w:r>
      <w:r>
        <w:rPr/>
        <w:t>the</w:t>
      </w:r>
      <w:r>
        <w:rPr>
          <w:spacing w:val="-20"/>
        </w:rPr>
        <w:t> </w:t>
      </w:r>
      <w:r>
        <w:rPr/>
        <w:t>birth</w:t>
      </w:r>
      <w:r>
        <w:rPr>
          <w:spacing w:val="-19"/>
        </w:rPr>
        <w:t> </w:t>
      </w:r>
      <w:r>
        <w:rPr/>
        <w:t>process,</w:t>
      </w:r>
      <w:r>
        <w:rPr>
          <w:spacing w:val="-21"/>
        </w:rPr>
        <w:t> </w:t>
      </w:r>
      <w:r>
        <w:rPr/>
        <w:t>the</w:t>
      </w:r>
      <w:r>
        <w:rPr>
          <w:spacing w:val="-19"/>
        </w:rPr>
        <w:t> </w:t>
      </w:r>
      <w:r>
        <w:rPr/>
        <w:t>development</w:t>
      </w:r>
      <w:r>
        <w:rPr>
          <w:spacing w:val="-19"/>
        </w:rPr>
        <w:t> </w:t>
      </w:r>
      <w:r>
        <w:rPr/>
        <w:t>of</w:t>
      </w:r>
      <w:r>
        <w:rPr>
          <w:spacing w:val="-17"/>
        </w:rPr>
        <w:t> </w:t>
      </w:r>
      <w:r>
        <w:rPr/>
        <w:t>the</w:t>
      </w:r>
      <w:r>
        <w:rPr>
          <w:spacing w:val="-19"/>
        </w:rPr>
        <w:t> </w:t>
      </w:r>
      <w:r>
        <w:rPr/>
        <w:t>human</w:t>
      </w:r>
      <w:r>
        <w:rPr>
          <w:spacing w:val="-18"/>
        </w:rPr>
        <w:t> </w:t>
      </w:r>
      <w:r>
        <w:rPr/>
        <w:t>body, the regulation of the immune system, the utilisation of nutrients and so on... hormones control our bodies’ vital</w:t>
      </w:r>
      <w:r>
        <w:rPr>
          <w:spacing w:val="-6"/>
        </w:rPr>
        <w:t> </w:t>
      </w:r>
      <w:r>
        <w:rPr/>
        <w:t>functions.</w:t>
      </w:r>
    </w:p>
    <w:p>
      <w:pPr>
        <w:pStyle w:val="BodyText"/>
        <w:spacing w:line="276" w:lineRule="auto" w:before="241"/>
        <w:ind w:left="477" w:right="136"/>
        <w:jc w:val="both"/>
      </w:pPr>
      <w:r>
        <w:rPr/>
        <w:t>DHEA was first discovered in urine by Butenandt and Dannenbaum in 1934; it was first isolated from the blood in 1954 and DHEA has been considered a so-called anti-ageing hormone since the 1980s.</w:t>
      </w:r>
    </w:p>
    <w:p>
      <w:pPr>
        <w:pStyle w:val="BodyText"/>
        <w:spacing w:line="276" w:lineRule="auto" w:before="239"/>
        <w:ind w:left="477" w:right="135"/>
        <w:jc w:val="both"/>
      </w:pPr>
      <w:r>
        <w:rPr/>
        <w:t>As dry and complex as this may sound at first, taking DHEA as a nutritional supplement seems to have a positive effect on the above mechanisms in the body. DHEA is sold as a supplement in the big health stores in the US and</w:t>
      </w:r>
      <w:r>
        <w:rPr>
          <w:spacing w:val="-62"/>
        </w:rPr>
        <w:t> </w:t>
      </w:r>
      <w:r>
        <w:rPr/>
        <w:t>has been taken by millions of Americans, without side effects, for many years.</w:t>
      </w:r>
    </w:p>
    <w:p>
      <w:pPr>
        <w:pStyle w:val="BodyText"/>
        <w:spacing w:line="276" w:lineRule="auto" w:before="242"/>
        <w:ind w:left="477" w:right="133"/>
        <w:jc w:val="both"/>
      </w:pPr>
      <w:r>
        <w:rPr/>
        <w:t>The fact that this obviously makes sense is illustrated by around 4,000 publica- tions from studies and other scientific research that attests to significant effec- tiveness</w:t>
      </w:r>
      <w:r>
        <w:rPr>
          <w:spacing w:val="-25"/>
        </w:rPr>
        <w:t> </w:t>
      </w:r>
      <w:r>
        <w:rPr/>
        <w:t>of</w:t>
      </w:r>
      <w:r>
        <w:rPr>
          <w:spacing w:val="-26"/>
        </w:rPr>
        <w:t> </w:t>
      </w:r>
      <w:r>
        <w:rPr/>
        <w:t>DHEA</w:t>
      </w:r>
      <w:r>
        <w:rPr>
          <w:spacing w:val="-26"/>
        </w:rPr>
        <w:t> </w:t>
      </w:r>
      <w:r>
        <w:rPr/>
        <w:t>in</w:t>
      </w:r>
      <w:r>
        <w:rPr>
          <w:spacing w:val="-26"/>
        </w:rPr>
        <w:t> </w:t>
      </w:r>
      <w:r>
        <w:rPr/>
        <w:t>preventing</w:t>
      </w:r>
      <w:r>
        <w:rPr>
          <w:spacing w:val="-25"/>
        </w:rPr>
        <w:t> </w:t>
      </w:r>
      <w:r>
        <w:rPr/>
        <w:t>and</w:t>
      </w:r>
      <w:r>
        <w:rPr>
          <w:spacing w:val="-25"/>
        </w:rPr>
        <w:t> </w:t>
      </w:r>
      <w:r>
        <w:rPr/>
        <w:t>treating</w:t>
      </w:r>
      <w:r>
        <w:rPr>
          <w:spacing w:val="-25"/>
        </w:rPr>
        <w:t> </w:t>
      </w:r>
      <w:r>
        <w:rPr/>
        <w:t>numerous</w:t>
      </w:r>
      <w:r>
        <w:rPr>
          <w:spacing w:val="-26"/>
        </w:rPr>
        <w:t> </w:t>
      </w:r>
      <w:r>
        <w:rPr/>
        <w:t>diseases</w:t>
      </w:r>
      <w:r>
        <w:rPr>
          <w:spacing w:val="-25"/>
        </w:rPr>
        <w:t> </w:t>
      </w:r>
      <w:r>
        <w:rPr/>
        <w:t>and,</w:t>
      </w:r>
      <w:r>
        <w:rPr>
          <w:spacing w:val="-25"/>
        </w:rPr>
        <w:t> </w:t>
      </w:r>
      <w:r>
        <w:rPr/>
        <w:t>moreover, in delaying ageing. In particular, two statements by renowned DHEA</w:t>
      </w:r>
      <w:r>
        <w:rPr>
          <w:spacing w:val="-65"/>
        </w:rPr>
        <w:t> </w:t>
      </w:r>
      <w:r>
        <w:rPr/>
        <w:t>research- ers listed below have made people sit up and take</w:t>
      </w:r>
      <w:r>
        <w:rPr>
          <w:spacing w:val="-4"/>
        </w:rPr>
        <w:t> </w:t>
      </w:r>
      <w:r>
        <w:rPr/>
        <w:t>note:</w:t>
      </w:r>
    </w:p>
    <w:p>
      <w:pPr>
        <w:spacing w:after="0" w:line="276" w:lineRule="auto"/>
        <w:jc w:val="both"/>
        <w:sectPr>
          <w:pgSz w:w="14270" w:h="16850"/>
          <w:pgMar w:header="0" w:footer="1891" w:top="1600" w:bottom="2080" w:left="800" w:right="1280"/>
        </w:sectPr>
      </w:pPr>
    </w:p>
    <w:p>
      <w:pPr>
        <w:spacing w:line="276" w:lineRule="auto" w:before="181"/>
        <w:ind w:left="477" w:right="131" w:firstLine="0"/>
        <w:jc w:val="both"/>
        <w:rPr>
          <w:sz w:val="38"/>
        </w:rPr>
      </w:pPr>
      <w:r>
        <w:rPr>
          <w:i/>
          <w:sz w:val="38"/>
        </w:rPr>
        <w:t>‘DHEA prolongs life and increases the quality of life over the extra years’. </w:t>
      </w:r>
      <w:r>
        <w:rPr>
          <w:sz w:val="38"/>
        </w:rPr>
        <w:t>(Dr. Arthur Schwartz, Temple University, Philadelphia, USA)</w:t>
      </w:r>
    </w:p>
    <w:p>
      <w:pPr>
        <w:spacing w:line="276" w:lineRule="auto" w:before="241"/>
        <w:ind w:left="477" w:right="136" w:firstLine="0"/>
        <w:jc w:val="both"/>
        <w:rPr>
          <w:sz w:val="38"/>
        </w:rPr>
      </w:pPr>
      <w:r>
        <w:rPr>
          <w:i/>
          <w:sz w:val="38"/>
        </w:rPr>
        <w:t>‘The number of areas where supplementing with DHEA can be helpful is just stunning be- </w:t>
      </w:r>
      <w:r>
        <w:rPr>
          <w:i/>
          <w:sz w:val="38"/>
        </w:rPr>
        <w:t>cause it can help treat such a wide range of disorders’</w:t>
      </w:r>
      <w:r>
        <w:rPr>
          <w:sz w:val="38"/>
        </w:rPr>
        <w:t>. (Dr. Julian Whitaker, Editor of </w:t>
      </w:r>
      <w:r>
        <w:rPr>
          <w:i/>
          <w:sz w:val="38"/>
        </w:rPr>
        <w:t>Health and Healing</w:t>
      </w:r>
      <w:r>
        <w:rPr>
          <w:sz w:val="38"/>
        </w:rPr>
        <w:t>)</w:t>
      </w:r>
    </w:p>
    <w:p>
      <w:pPr>
        <w:pStyle w:val="BodyText"/>
        <w:spacing w:line="276" w:lineRule="auto" w:before="239"/>
        <w:ind w:left="477" w:right="132"/>
        <w:jc w:val="both"/>
      </w:pPr>
      <w:r>
        <w:rPr/>
        <w:t>The following chapters have been devoted in full to this remarkable</w:t>
      </w:r>
      <w:r>
        <w:rPr>
          <w:spacing w:val="-42"/>
        </w:rPr>
        <w:t> </w:t>
      </w:r>
      <w:r>
        <w:rPr/>
        <w:t>messenger and</w:t>
      </w:r>
      <w:r>
        <w:rPr>
          <w:spacing w:val="-16"/>
        </w:rPr>
        <w:t> </w:t>
      </w:r>
      <w:r>
        <w:rPr/>
        <w:t>will</w:t>
      </w:r>
      <w:r>
        <w:rPr>
          <w:spacing w:val="-18"/>
        </w:rPr>
        <w:t> </w:t>
      </w:r>
      <w:r>
        <w:rPr/>
        <w:t>systematically</w:t>
      </w:r>
      <w:r>
        <w:rPr>
          <w:spacing w:val="-17"/>
        </w:rPr>
        <w:t> </w:t>
      </w:r>
      <w:r>
        <w:rPr/>
        <w:t>introduce</w:t>
      </w:r>
      <w:r>
        <w:rPr>
          <w:spacing w:val="-17"/>
        </w:rPr>
        <w:t> </w:t>
      </w:r>
      <w:r>
        <w:rPr/>
        <w:t>you</w:t>
      </w:r>
      <w:r>
        <w:rPr>
          <w:spacing w:val="-18"/>
        </w:rPr>
        <w:t> </w:t>
      </w:r>
      <w:r>
        <w:rPr/>
        <w:t>to</w:t>
      </w:r>
      <w:r>
        <w:rPr>
          <w:spacing w:val="-16"/>
        </w:rPr>
        <w:t> </w:t>
      </w:r>
      <w:r>
        <w:rPr/>
        <w:t>interesting</w:t>
      </w:r>
      <w:r>
        <w:rPr>
          <w:spacing w:val="-16"/>
        </w:rPr>
        <w:t> </w:t>
      </w:r>
      <w:r>
        <w:rPr/>
        <w:t>interrelationships</w:t>
      </w:r>
      <w:r>
        <w:rPr>
          <w:spacing w:val="-16"/>
        </w:rPr>
        <w:t> </w:t>
      </w:r>
      <w:r>
        <w:rPr/>
        <w:t>and</w:t>
      </w:r>
      <w:r>
        <w:rPr>
          <w:spacing w:val="-16"/>
        </w:rPr>
        <w:t> </w:t>
      </w:r>
      <w:r>
        <w:rPr/>
        <w:t>details relating to</w:t>
      </w:r>
      <w:r>
        <w:rPr>
          <w:spacing w:val="1"/>
        </w:rPr>
        <w:t> </w:t>
      </w:r>
      <w:r>
        <w:rPr/>
        <w:t>dehydroepiandrosterone.</w:t>
      </w:r>
    </w:p>
    <w:p>
      <w:pPr>
        <w:pStyle w:val="BodyText"/>
        <w:rPr>
          <w:sz w:val="42"/>
        </w:rPr>
      </w:pPr>
    </w:p>
    <w:p>
      <w:pPr>
        <w:pStyle w:val="BodyText"/>
        <w:rPr>
          <w:sz w:val="42"/>
        </w:rPr>
      </w:pPr>
    </w:p>
    <w:p>
      <w:pPr>
        <w:pStyle w:val="BodyText"/>
        <w:rPr>
          <w:sz w:val="42"/>
        </w:rPr>
      </w:pPr>
    </w:p>
    <w:p>
      <w:pPr>
        <w:pStyle w:val="Heading1"/>
        <w:spacing w:before="271"/>
        <w:jc w:val="both"/>
      </w:pPr>
      <w:r>
        <w:rPr/>
        <w:t>Expert testimonies</w:t>
      </w:r>
    </w:p>
    <w:p>
      <w:pPr>
        <w:pStyle w:val="BodyText"/>
        <w:spacing w:line="276" w:lineRule="auto" w:before="297"/>
        <w:ind w:left="477" w:right="130"/>
        <w:jc w:val="both"/>
      </w:pPr>
      <w:r>
        <w:rPr/>
        <w:t>In the case of DHEA, the positive statements of a growing body of experts from</w:t>
      </w:r>
      <w:r>
        <w:rPr>
          <w:spacing w:val="-23"/>
        </w:rPr>
        <w:t> </w:t>
      </w:r>
      <w:r>
        <w:rPr/>
        <w:t>around</w:t>
      </w:r>
      <w:r>
        <w:rPr>
          <w:spacing w:val="-23"/>
        </w:rPr>
        <w:t> </w:t>
      </w:r>
      <w:r>
        <w:rPr/>
        <w:t>the</w:t>
      </w:r>
      <w:r>
        <w:rPr>
          <w:spacing w:val="-24"/>
        </w:rPr>
        <w:t> </w:t>
      </w:r>
      <w:r>
        <w:rPr/>
        <w:t>world</w:t>
      </w:r>
      <w:r>
        <w:rPr>
          <w:spacing w:val="-22"/>
        </w:rPr>
        <w:t> </w:t>
      </w:r>
      <w:r>
        <w:rPr/>
        <w:t>point</w:t>
      </w:r>
      <w:r>
        <w:rPr>
          <w:spacing w:val="-23"/>
        </w:rPr>
        <w:t> </w:t>
      </w:r>
      <w:r>
        <w:rPr/>
        <w:t>to</w:t>
      </w:r>
      <w:r>
        <w:rPr>
          <w:spacing w:val="-22"/>
        </w:rPr>
        <w:t> </w:t>
      </w:r>
      <w:r>
        <w:rPr/>
        <w:t>an</w:t>
      </w:r>
      <w:r>
        <w:rPr>
          <w:spacing w:val="-22"/>
        </w:rPr>
        <w:t> </w:t>
      </w:r>
      <w:r>
        <w:rPr/>
        <w:t>extremely</w:t>
      </w:r>
      <w:r>
        <w:rPr>
          <w:spacing w:val="-22"/>
        </w:rPr>
        <w:t> </w:t>
      </w:r>
      <w:r>
        <w:rPr/>
        <w:t>interesting</w:t>
      </w:r>
      <w:r>
        <w:rPr>
          <w:spacing w:val="-22"/>
        </w:rPr>
        <w:t> </w:t>
      </w:r>
      <w:r>
        <w:rPr/>
        <w:t>dietary</w:t>
      </w:r>
      <w:r>
        <w:rPr>
          <w:spacing w:val="-23"/>
        </w:rPr>
        <w:t> </w:t>
      </w:r>
      <w:r>
        <w:rPr/>
        <w:t>supplement</w:t>
      </w:r>
      <w:r>
        <w:rPr>
          <w:spacing w:val="-23"/>
        </w:rPr>
        <w:t> </w:t>
      </w:r>
      <w:r>
        <w:rPr/>
        <w:t>that can protect us from a number of diseases, have a positive effect on them and even delay biological</w:t>
      </w:r>
      <w:r>
        <w:rPr>
          <w:spacing w:val="-2"/>
        </w:rPr>
        <w:t> </w:t>
      </w:r>
      <w:r>
        <w:rPr/>
        <w:t>ageing:</w:t>
      </w:r>
    </w:p>
    <w:p>
      <w:pPr>
        <w:spacing w:line="276" w:lineRule="auto" w:before="242"/>
        <w:ind w:left="477" w:right="134" w:firstLine="0"/>
        <w:jc w:val="both"/>
        <w:rPr>
          <w:sz w:val="38"/>
        </w:rPr>
      </w:pPr>
      <w:r>
        <w:rPr>
          <w:i/>
          <w:sz w:val="38"/>
        </w:rPr>
        <w:t>‘DHEA prolongs life and increases the quality of life over the extra years’. </w:t>
      </w:r>
      <w:r>
        <w:rPr>
          <w:sz w:val="38"/>
        </w:rPr>
        <w:t>Dr. Arthur Schwartz (Temple University, Philadelphia, USA)</w:t>
      </w:r>
    </w:p>
    <w:p>
      <w:pPr>
        <w:spacing w:line="276" w:lineRule="auto" w:before="241"/>
        <w:ind w:left="477" w:right="136" w:firstLine="0"/>
        <w:jc w:val="both"/>
        <w:rPr>
          <w:sz w:val="38"/>
        </w:rPr>
      </w:pPr>
      <w:r>
        <w:rPr>
          <w:i/>
          <w:sz w:val="38"/>
        </w:rPr>
        <w:t>‘The number of areas where supplementing with DHEA can be helpful is just stunning be- </w:t>
      </w:r>
      <w:r>
        <w:rPr>
          <w:i/>
          <w:sz w:val="38"/>
        </w:rPr>
        <w:t>cause it can help treat such a wide range of disorders’. </w:t>
      </w:r>
      <w:r>
        <w:rPr>
          <w:sz w:val="38"/>
        </w:rPr>
        <w:t>(Dr. Julian Whitaker, Editor of </w:t>
      </w:r>
      <w:r>
        <w:rPr>
          <w:i/>
          <w:sz w:val="38"/>
        </w:rPr>
        <w:t>Health and Healing</w:t>
      </w:r>
      <w:r>
        <w:rPr>
          <w:sz w:val="38"/>
        </w:rPr>
        <w:t>)</w:t>
      </w:r>
    </w:p>
    <w:p>
      <w:pPr>
        <w:spacing w:after="0" w:line="276" w:lineRule="auto"/>
        <w:jc w:val="both"/>
        <w:rPr>
          <w:sz w:val="38"/>
        </w:rPr>
        <w:sectPr>
          <w:pgSz w:w="14270" w:h="16850"/>
          <w:pgMar w:header="0" w:footer="1891" w:top="1600" w:bottom="2080" w:left="800" w:right="1280"/>
        </w:sectPr>
      </w:pPr>
    </w:p>
    <w:p>
      <w:pPr>
        <w:spacing w:line="276" w:lineRule="auto" w:before="181"/>
        <w:ind w:left="477" w:right="134" w:firstLine="0"/>
        <w:jc w:val="both"/>
        <w:rPr>
          <w:sz w:val="38"/>
        </w:rPr>
      </w:pPr>
      <w:r>
        <w:rPr>
          <w:i/>
          <w:sz w:val="38"/>
        </w:rPr>
        <w:t>‘Whenever</w:t>
      </w:r>
      <w:r>
        <w:rPr>
          <w:i/>
          <w:spacing w:val="-14"/>
          <w:sz w:val="38"/>
        </w:rPr>
        <w:t> </w:t>
      </w:r>
      <w:r>
        <w:rPr>
          <w:i/>
          <w:sz w:val="38"/>
        </w:rPr>
        <w:t>DHEA</w:t>
      </w:r>
      <w:r>
        <w:rPr>
          <w:i/>
          <w:spacing w:val="-14"/>
          <w:sz w:val="38"/>
        </w:rPr>
        <w:t> </w:t>
      </w:r>
      <w:r>
        <w:rPr>
          <w:i/>
          <w:sz w:val="38"/>
        </w:rPr>
        <w:t>has</w:t>
      </w:r>
      <w:r>
        <w:rPr>
          <w:i/>
          <w:spacing w:val="-14"/>
          <w:sz w:val="38"/>
        </w:rPr>
        <w:t> </w:t>
      </w:r>
      <w:r>
        <w:rPr>
          <w:i/>
          <w:sz w:val="38"/>
        </w:rPr>
        <w:t>been</w:t>
      </w:r>
      <w:r>
        <w:rPr>
          <w:i/>
          <w:spacing w:val="-14"/>
          <w:sz w:val="38"/>
        </w:rPr>
        <w:t> </w:t>
      </w:r>
      <w:r>
        <w:rPr>
          <w:i/>
          <w:sz w:val="38"/>
        </w:rPr>
        <w:t>tested</w:t>
      </w:r>
      <w:r>
        <w:rPr>
          <w:i/>
          <w:spacing w:val="-13"/>
          <w:sz w:val="38"/>
        </w:rPr>
        <w:t> </w:t>
      </w:r>
      <w:r>
        <w:rPr>
          <w:i/>
          <w:sz w:val="38"/>
        </w:rPr>
        <w:t>in</w:t>
      </w:r>
      <w:r>
        <w:rPr>
          <w:i/>
          <w:spacing w:val="-14"/>
          <w:sz w:val="38"/>
        </w:rPr>
        <w:t> </w:t>
      </w:r>
      <w:r>
        <w:rPr>
          <w:i/>
          <w:sz w:val="38"/>
        </w:rPr>
        <w:t>a</w:t>
      </w:r>
      <w:r>
        <w:rPr>
          <w:i/>
          <w:spacing w:val="-15"/>
          <w:sz w:val="38"/>
        </w:rPr>
        <w:t> </w:t>
      </w:r>
      <w:r>
        <w:rPr>
          <w:i/>
          <w:sz w:val="38"/>
        </w:rPr>
        <w:t>simulated</w:t>
      </w:r>
      <w:r>
        <w:rPr>
          <w:i/>
          <w:spacing w:val="-13"/>
          <w:sz w:val="38"/>
        </w:rPr>
        <w:t> </w:t>
      </w:r>
      <w:r>
        <w:rPr>
          <w:i/>
          <w:sz w:val="38"/>
        </w:rPr>
        <w:t>environment</w:t>
      </w:r>
      <w:r>
        <w:rPr>
          <w:i/>
          <w:spacing w:val="-16"/>
          <w:sz w:val="38"/>
        </w:rPr>
        <w:t> </w:t>
      </w:r>
      <w:r>
        <w:rPr>
          <w:i/>
          <w:sz w:val="38"/>
        </w:rPr>
        <w:t>for</w:t>
      </w:r>
      <w:r>
        <w:rPr>
          <w:i/>
          <w:spacing w:val="-12"/>
          <w:sz w:val="38"/>
        </w:rPr>
        <w:t> </w:t>
      </w:r>
      <w:r>
        <w:rPr>
          <w:i/>
          <w:sz w:val="38"/>
        </w:rPr>
        <w:t>carcinogenesis</w:t>
      </w:r>
      <w:r>
        <w:rPr>
          <w:i/>
          <w:spacing w:val="-15"/>
          <w:sz w:val="38"/>
        </w:rPr>
        <w:t> </w:t>
      </w:r>
      <w:r>
        <w:rPr>
          <w:i/>
          <w:sz w:val="38"/>
        </w:rPr>
        <w:t>and</w:t>
      </w:r>
      <w:r>
        <w:rPr>
          <w:i/>
          <w:spacing w:val="-14"/>
          <w:sz w:val="38"/>
        </w:rPr>
        <w:t> </w:t>
      </w:r>
      <w:r>
        <w:rPr>
          <w:i/>
          <w:sz w:val="38"/>
        </w:rPr>
        <w:t>tumour </w:t>
      </w:r>
      <w:r>
        <w:rPr>
          <w:i/>
          <w:sz w:val="38"/>
        </w:rPr>
        <w:t>induction, it has had preventive effects’. </w:t>
      </w:r>
      <w:r>
        <w:rPr>
          <w:sz w:val="38"/>
        </w:rPr>
        <w:t>(Dr. W. Regelson, </w:t>
      </w:r>
      <w:r>
        <w:rPr>
          <w:i/>
          <w:sz w:val="38"/>
        </w:rPr>
        <w:t>Medical College,</w:t>
      </w:r>
      <w:r>
        <w:rPr>
          <w:i/>
          <w:spacing w:val="-13"/>
          <w:sz w:val="38"/>
        </w:rPr>
        <w:t> </w:t>
      </w:r>
      <w:r>
        <w:rPr>
          <w:i/>
          <w:sz w:val="38"/>
        </w:rPr>
        <w:t>Virginia</w:t>
      </w:r>
      <w:r>
        <w:rPr>
          <w:sz w:val="38"/>
        </w:rPr>
        <w:t>)</w:t>
      </w:r>
    </w:p>
    <w:p>
      <w:pPr>
        <w:spacing w:line="276" w:lineRule="auto" w:before="241"/>
        <w:ind w:left="477" w:right="132" w:firstLine="0"/>
        <w:jc w:val="both"/>
        <w:rPr>
          <w:sz w:val="38"/>
        </w:rPr>
      </w:pPr>
      <w:r>
        <w:rPr>
          <w:i/>
          <w:sz w:val="38"/>
        </w:rPr>
        <w:t>‘When you give people DHEA, they actually feel more efficient and can concentrate better. </w:t>
      </w:r>
      <w:r>
        <w:rPr>
          <w:i/>
          <w:sz w:val="38"/>
        </w:rPr>
        <w:t>Initial</w:t>
      </w:r>
      <w:r>
        <w:rPr>
          <w:i/>
          <w:spacing w:val="-15"/>
          <w:sz w:val="38"/>
        </w:rPr>
        <w:t> </w:t>
      </w:r>
      <w:r>
        <w:rPr>
          <w:i/>
          <w:sz w:val="38"/>
        </w:rPr>
        <w:t>indications</w:t>
      </w:r>
      <w:r>
        <w:rPr>
          <w:i/>
          <w:spacing w:val="-14"/>
          <w:sz w:val="38"/>
        </w:rPr>
        <w:t> </w:t>
      </w:r>
      <w:r>
        <w:rPr>
          <w:i/>
          <w:sz w:val="38"/>
        </w:rPr>
        <w:t>even</w:t>
      </w:r>
      <w:r>
        <w:rPr>
          <w:i/>
          <w:spacing w:val="-15"/>
          <w:sz w:val="38"/>
        </w:rPr>
        <w:t> </w:t>
      </w:r>
      <w:r>
        <w:rPr>
          <w:i/>
          <w:sz w:val="38"/>
        </w:rPr>
        <w:t>suggest</w:t>
      </w:r>
      <w:r>
        <w:rPr>
          <w:i/>
          <w:spacing w:val="-15"/>
          <w:sz w:val="38"/>
        </w:rPr>
        <w:t> </w:t>
      </w:r>
      <w:r>
        <w:rPr>
          <w:i/>
          <w:sz w:val="38"/>
        </w:rPr>
        <w:t>that</w:t>
      </w:r>
      <w:r>
        <w:rPr>
          <w:i/>
          <w:spacing w:val="-16"/>
          <w:sz w:val="38"/>
        </w:rPr>
        <w:t> </w:t>
      </w:r>
      <w:r>
        <w:rPr>
          <w:i/>
          <w:sz w:val="38"/>
        </w:rPr>
        <w:t>DHEA</w:t>
      </w:r>
      <w:r>
        <w:rPr>
          <w:i/>
          <w:spacing w:val="-14"/>
          <w:sz w:val="38"/>
        </w:rPr>
        <w:t> </w:t>
      </w:r>
      <w:r>
        <w:rPr>
          <w:i/>
          <w:sz w:val="38"/>
        </w:rPr>
        <w:t>can</w:t>
      </w:r>
      <w:r>
        <w:rPr>
          <w:i/>
          <w:spacing w:val="-14"/>
          <w:sz w:val="38"/>
        </w:rPr>
        <w:t> </w:t>
      </w:r>
      <w:r>
        <w:rPr>
          <w:i/>
          <w:sz w:val="38"/>
        </w:rPr>
        <w:t>inhibit</w:t>
      </w:r>
      <w:r>
        <w:rPr>
          <w:i/>
          <w:spacing w:val="-14"/>
          <w:sz w:val="38"/>
        </w:rPr>
        <w:t> </w:t>
      </w:r>
      <w:r>
        <w:rPr>
          <w:i/>
          <w:sz w:val="38"/>
        </w:rPr>
        <w:t>cancer</w:t>
      </w:r>
      <w:r>
        <w:rPr>
          <w:i/>
          <w:spacing w:val="-14"/>
          <w:sz w:val="38"/>
        </w:rPr>
        <w:t> </w:t>
      </w:r>
      <w:r>
        <w:rPr>
          <w:i/>
          <w:sz w:val="38"/>
        </w:rPr>
        <w:t>growth</w:t>
      </w:r>
      <w:r>
        <w:rPr>
          <w:i/>
          <w:spacing w:val="-17"/>
          <w:sz w:val="38"/>
        </w:rPr>
        <w:t> </w:t>
      </w:r>
      <w:r>
        <w:rPr>
          <w:i/>
          <w:sz w:val="38"/>
        </w:rPr>
        <w:t>and</w:t>
      </w:r>
      <w:r>
        <w:rPr>
          <w:i/>
          <w:spacing w:val="-16"/>
          <w:sz w:val="38"/>
        </w:rPr>
        <w:t> </w:t>
      </w:r>
      <w:r>
        <w:rPr>
          <w:i/>
          <w:sz w:val="38"/>
        </w:rPr>
        <w:t>bone</w:t>
      </w:r>
      <w:r>
        <w:rPr>
          <w:i/>
          <w:spacing w:val="-15"/>
          <w:sz w:val="38"/>
        </w:rPr>
        <w:t> </w:t>
      </w:r>
      <w:r>
        <w:rPr>
          <w:i/>
          <w:sz w:val="38"/>
        </w:rPr>
        <w:t>ageing’.</w:t>
      </w:r>
      <w:r>
        <w:rPr>
          <w:i/>
          <w:spacing w:val="-16"/>
          <w:sz w:val="38"/>
        </w:rPr>
        <w:t> </w:t>
      </w:r>
      <w:r>
        <w:rPr>
          <w:sz w:val="38"/>
        </w:rPr>
        <w:t>(Dr. Wiebke Arlt, University Hospital</w:t>
      </w:r>
      <w:r>
        <w:rPr>
          <w:spacing w:val="-1"/>
          <w:sz w:val="38"/>
        </w:rPr>
        <w:t> </w:t>
      </w:r>
      <w:r>
        <w:rPr>
          <w:sz w:val="38"/>
        </w:rPr>
        <w:t>Würzburg)</w:t>
      </w:r>
    </w:p>
    <w:p>
      <w:pPr>
        <w:spacing w:line="276" w:lineRule="auto" w:before="239"/>
        <w:ind w:left="477" w:right="133" w:firstLine="0"/>
        <w:jc w:val="both"/>
        <w:rPr>
          <w:sz w:val="38"/>
        </w:rPr>
      </w:pPr>
      <w:r>
        <w:rPr>
          <w:i/>
          <w:sz w:val="38"/>
        </w:rPr>
        <w:t>‘Dehydroepiandrosterone,</w:t>
      </w:r>
      <w:r>
        <w:rPr>
          <w:i/>
          <w:spacing w:val="-22"/>
          <w:sz w:val="38"/>
        </w:rPr>
        <w:t> </w:t>
      </w:r>
      <w:r>
        <w:rPr>
          <w:i/>
          <w:sz w:val="38"/>
        </w:rPr>
        <w:t>like</w:t>
      </w:r>
      <w:r>
        <w:rPr>
          <w:i/>
          <w:spacing w:val="-23"/>
          <w:sz w:val="38"/>
        </w:rPr>
        <w:t> </w:t>
      </w:r>
      <w:r>
        <w:rPr>
          <w:i/>
          <w:sz w:val="38"/>
        </w:rPr>
        <w:t>melatonin,</w:t>
      </w:r>
      <w:r>
        <w:rPr>
          <w:i/>
          <w:spacing w:val="-21"/>
          <w:sz w:val="38"/>
        </w:rPr>
        <w:t> </w:t>
      </w:r>
      <w:r>
        <w:rPr>
          <w:i/>
          <w:sz w:val="38"/>
        </w:rPr>
        <w:t>also</w:t>
      </w:r>
      <w:r>
        <w:rPr>
          <w:i/>
          <w:spacing w:val="-24"/>
          <w:sz w:val="38"/>
        </w:rPr>
        <w:t> </w:t>
      </w:r>
      <w:r>
        <w:rPr>
          <w:i/>
          <w:sz w:val="38"/>
        </w:rPr>
        <w:t>appears</w:t>
      </w:r>
      <w:r>
        <w:rPr>
          <w:i/>
          <w:spacing w:val="-23"/>
          <w:sz w:val="38"/>
        </w:rPr>
        <w:t> </w:t>
      </w:r>
      <w:r>
        <w:rPr>
          <w:i/>
          <w:sz w:val="38"/>
        </w:rPr>
        <w:t>to</w:t>
      </w:r>
      <w:r>
        <w:rPr>
          <w:i/>
          <w:spacing w:val="-22"/>
          <w:sz w:val="38"/>
        </w:rPr>
        <w:t> </w:t>
      </w:r>
      <w:r>
        <w:rPr>
          <w:i/>
          <w:sz w:val="38"/>
        </w:rPr>
        <w:t>be</w:t>
      </w:r>
      <w:r>
        <w:rPr>
          <w:i/>
          <w:spacing w:val="-22"/>
          <w:sz w:val="38"/>
        </w:rPr>
        <w:t> </w:t>
      </w:r>
      <w:r>
        <w:rPr>
          <w:i/>
          <w:sz w:val="38"/>
        </w:rPr>
        <w:t>an</w:t>
      </w:r>
      <w:r>
        <w:rPr>
          <w:i/>
          <w:spacing w:val="-22"/>
          <w:sz w:val="38"/>
        </w:rPr>
        <w:t> </w:t>
      </w:r>
      <w:r>
        <w:rPr>
          <w:i/>
          <w:sz w:val="38"/>
        </w:rPr>
        <w:t>economic</w:t>
      </w:r>
      <w:r>
        <w:rPr>
          <w:i/>
          <w:spacing w:val="-23"/>
          <w:sz w:val="38"/>
        </w:rPr>
        <w:t> </w:t>
      </w:r>
      <w:r>
        <w:rPr>
          <w:i/>
          <w:sz w:val="38"/>
        </w:rPr>
        <w:t>hormone</w:t>
      </w:r>
      <w:r>
        <w:rPr>
          <w:i/>
          <w:spacing w:val="-21"/>
          <w:sz w:val="38"/>
        </w:rPr>
        <w:t> </w:t>
      </w:r>
      <w:r>
        <w:rPr>
          <w:i/>
          <w:sz w:val="38"/>
        </w:rPr>
        <w:t>that</w:t>
      </w:r>
      <w:r>
        <w:rPr>
          <w:i/>
          <w:spacing w:val="-22"/>
          <w:sz w:val="38"/>
        </w:rPr>
        <w:t> </w:t>
      </w:r>
      <w:r>
        <w:rPr>
          <w:i/>
          <w:sz w:val="38"/>
        </w:rPr>
        <w:t>protects </w:t>
      </w:r>
      <w:r>
        <w:rPr>
          <w:i/>
          <w:sz w:val="38"/>
        </w:rPr>
        <w:t>the body from unnecessarily wasting energy and thus prolongs its life’. </w:t>
      </w:r>
      <w:r>
        <w:rPr>
          <w:sz w:val="38"/>
        </w:rPr>
        <w:t>(Prof. Dr.</w:t>
      </w:r>
      <w:r>
        <w:rPr>
          <w:spacing w:val="-32"/>
          <w:sz w:val="38"/>
        </w:rPr>
        <w:t> </w:t>
      </w:r>
      <w:r>
        <w:rPr>
          <w:sz w:val="38"/>
        </w:rPr>
        <w:t>Huber)</w:t>
      </w:r>
    </w:p>
    <w:p>
      <w:pPr>
        <w:spacing w:line="276" w:lineRule="auto" w:before="241"/>
        <w:ind w:left="477" w:right="132" w:firstLine="0"/>
        <w:jc w:val="both"/>
        <w:rPr>
          <w:sz w:val="38"/>
        </w:rPr>
      </w:pPr>
      <w:r>
        <w:rPr>
          <w:sz w:val="38"/>
        </w:rPr>
        <w:t>‘DHEA </w:t>
      </w:r>
      <w:r>
        <w:rPr>
          <w:i/>
          <w:sz w:val="38"/>
        </w:rPr>
        <w:t>affects diabetes, cancer, tumourigenesis, skin condition, fatigue, depression, memory </w:t>
      </w:r>
      <w:r>
        <w:rPr>
          <w:i/>
          <w:sz w:val="38"/>
        </w:rPr>
        <w:t>and immune responses. With this broad spectrum of clinical applications, it's amazing that more books have not been written about </w:t>
      </w:r>
      <w:r>
        <w:rPr>
          <w:sz w:val="38"/>
        </w:rPr>
        <w:t>DHEA</w:t>
      </w:r>
      <w:r>
        <w:rPr>
          <w:i/>
          <w:sz w:val="38"/>
        </w:rPr>
        <w:t>!’ </w:t>
      </w:r>
      <w:r>
        <w:rPr>
          <w:sz w:val="38"/>
        </w:rPr>
        <w:t>(Mohammed Kalimi and Dr. W. Regelson)</w:t>
      </w:r>
    </w:p>
    <w:p>
      <w:pPr>
        <w:pStyle w:val="Heading1"/>
        <w:spacing w:before="222"/>
      </w:pPr>
      <w:r>
        <w:rPr/>
        <w:t>Effect of dehydroepiandrosterone</w:t>
      </w:r>
    </w:p>
    <w:p>
      <w:pPr>
        <w:pStyle w:val="BodyText"/>
        <w:spacing w:before="60"/>
        <w:ind w:left="477"/>
      </w:pPr>
      <w:r>
        <w:rPr/>
        <w:t>The quote by Dr. Julian Whitaker, editor of the renowned US health magazine</w:t>
      </w:r>
    </w:p>
    <w:p>
      <w:pPr>
        <w:spacing w:before="64"/>
        <w:ind w:left="477" w:right="0" w:firstLine="0"/>
        <w:jc w:val="left"/>
        <w:rPr>
          <w:sz w:val="38"/>
        </w:rPr>
      </w:pPr>
      <w:r>
        <w:rPr>
          <w:i/>
          <w:sz w:val="38"/>
        </w:rPr>
        <w:t>Health and Healing</w:t>
      </w:r>
      <w:r>
        <w:rPr>
          <w:sz w:val="38"/>
        </w:rPr>
        <w:t>, describes the effect of DHEA perfectly.</w:t>
      </w:r>
    </w:p>
    <w:p>
      <w:pPr>
        <w:spacing w:line="276" w:lineRule="auto" w:before="305"/>
        <w:ind w:left="477" w:right="136" w:firstLine="0"/>
        <w:jc w:val="both"/>
        <w:rPr>
          <w:sz w:val="38"/>
        </w:rPr>
      </w:pPr>
      <w:r>
        <w:rPr>
          <w:i/>
          <w:sz w:val="38"/>
        </w:rPr>
        <w:t>‘The number of areas where supplementing with DHEA can be helpful is just stunning be- </w:t>
      </w:r>
      <w:r>
        <w:rPr>
          <w:i/>
          <w:sz w:val="38"/>
        </w:rPr>
        <w:t>cause it can help treat such a wide range of disorders</w:t>
      </w:r>
      <w:r>
        <w:rPr>
          <w:sz w:val="38"/>
        </w:rPr>
        <w:t>’. (Dr. Julian Whitaker, Editor of </w:t>
      </w:r>
      <w:r>
        <w:rPr>
          <w:i/>
          <w:sz w:val="38"/>
        </w:rPr>
        <w:t>Health and Healing</w:t>
      </w:r>
      <w:r>
        <w:rPr>
          <w:sz w:val="38"/>
        </w:rPr>
        <w:t>)</w:t>
      </w:r>
    </w:p>
    <w:p>
      <w:pPr>
        <w:pStyle w:val="BodyText"/>
        <w:spacing w:line="276" w:lineRule="auto" w:before="241"/>
        <w:ind w:left="477" w:right="132"/>
        <w:jc w:val="both"/>
      </w:pPr>
      <w:r>
        <w:rPr/>
        <w:t>DHEA works in many ways: it regulates the release of various hormones and can counteract age-related or disease-related hormone deficiency. It is</w:t>
      </w:r>
      <w:r>
        <w:rPr>
          <w:spacing w:val="-50"/>
        </w:rPr>
        <w:t> </w:t>
      </w:r>
      <w:r>
        <w:rPr/>
        <w:t>precisely this hormone deficiency that plays a primary role in numerous diseases and in physiological ageing, and DHEA tackles the root of this</w:t>
      </w:r>
      <w:r>
        <w:rPr>
          <w:spacing w:val="-5"/>
        </w:rPr>
        <w:t> </w:t>
      </w:r>
      <w:r>
        <w:rPr/>
        <w:t>problem.</w:t>
      </w:r>
    </w:p>
    <w:p>
      <w:pPr>
        <w:spacing w:after="0" w:line="276" w:lineRule="auto"/>
        <w:jc w:val="both"/>
        <w:sectPr>
          <w:pgSz w:w="14270" w:h="16850"/>
          <w:pgMar w:header="0" w:footer="1891" w:top="1600" w:bottom="2080" w:left="800" w:right="1280"/>
        </w:sectPr>
      </w:pPr>
    </w:p>
    <w:p>
      <w:pPr>
        <w:pStyle w:val="BodyText"/>
        <w:spacing w:line="276" w:lineRule="auto" w:before="181"/>
        <w:ind w:left="477" w:right="130"/>
        <w:jc w:val="both"/>
      </w:pPr>
      <w:r>
        <w:rPr/>
        <w:t>An</w:t>
      </w:r>
      <w:r>
        <w:rPr>
          <w:spacing w:val="-22"/>
        </w:rPr>
        <w:t> </w:t>
      </w:r>
      <w:r>
        <w:rPr/>
        <w:t>aged</w:t>
      </w:r>
      <w:r>
        <w:rPr>
          <w:spacing w:val="-23"/>
        </w:rPr>
        <w:t> </w:t>
      </w:r>
      <w:r>
        <w:rPr/>
        <w:t>immune</w:t>
      </w:r>
      <w:r>
        <w:rPr>
          <w:spacing w:val="-22"/>
        </w:rPr>
        <w:t> </w:t>
      </w:r>
      <w:r>
        <w:rPr/>
        <w:t>system</w:t>
      </w:r>
      <w:r>
        <w:rPr>
          <w:spacing w:val="-22"/>
        </w:rPr>
        <w:t> </w:t>
      </w:r>
      <w:r>
        <w:rPr/>
        <w:t>is</w:t>
      </w:r>
      <w:r>
        <w:rPr>
          <w:spacing w:val="-25"/>
        </w:rPr>
        <w:t> </w:t>
      </w:r>
      <w:r>
        <w:rPr/>
        <w:t>frail</w:t>
      </w:r>
      <w:r>
        <w:rPr>
          <w:spacing w:val="-23"/>
        </w:rPr>
        <w:t> </w:t>
      </w:r>
      <w:r>
        <w:rPr/>
        <w:t>and</w:t>
      </w:r>
      <w:r>
        <w:rPr>
          <w:spacing w:val="-23"/>
        </w:rPr>
        <w:t> </w:t>
      </w:r>
      <w:r>
        <w:rPr/>
        <w:t>no</w:t>
      </w:r>
      <w:r>
        <w:rPr>
          <w:spacing w:val="-22"/>
        </w:rPr>
        <w:t> </w:t>
      </w:r>
      <w:r>
        <w:rPr/>
        <w:t>longer</w:t>
      </w:r>
      <w:r>
        <w:rPr>
          <w:spacing w:val="-22"/>
        </w:rPr>
        <w:t> </w:t>
      </w:r>
      <w:r>
        <w:rPr/>
        <w:t>comparable</w:t>
      </w:r>
      <w:r>
        <w:rPr>
          <w:spacing w:val="-23"/>
        </w:rPr>
        <w:t> </w:t>
      </w:r>
      <w:r>
        <w:rPr/>
        <w:t>to</w:t>
      </w:r>
      <w:r>
        <w:rPr>
          <w:spacing w:val="-22"/>
        </w:rPr>
        <w:t> </w:t>
      </w:r>
      <w:r>
        <w:rPr/>
        <w:t>the</w:t>
      </w:r>
      <w:r>
        <w:rPr>
          <w:spacing w:val="-24"/>
        </w:rPr>
        <w:t> </w:t>
      </w:r>
      <w:r>
        <w:rPr/>
        <w:t>defence</w:t>
      </w:r>
      <w:r>
        <w:rPr>
          <w:spacing w:val="-22"/>
        </w:rPr>
        <w:t> </w:t>
      </w:r>
      <w:r>
        <w:rPr/>
        <w:t>system of</w:t>
      </w:r>
      <w:r>
        <w:rPr>
          <w:spacing w:val="-10"/>
        </w:rPr>
        <w:t> </w:t>
      </w:r>
      <w:r>
        <w:rPr/>
        <w:t>a</w:t>
      </w:r>
      <w:r>
        <w:rPr>
          <w:spacing w:val="-11"/>
        </w:rPr>
        <w:t> </w:t>
      </w:r>
      <w:r>
        <w:rPr/>
        <w:t>young</w:t>
      </w:r>
      <w:r>
        <w:rPr>
          <w:spacing w:val="-10"/>
        </w:rPr>
        <w:t> </w:t>
      </w:r>
      <w:r>
        <w:rPr/>
        <w:t>organism.</w:t>
      </w:r>
      <w:r>
        <w:rPr>
          <w:spacing w:val="-9"/>
        </w:rPr>
        <w:t> </w:t>
      </w:r>
      <w:r>
        <w:rPr/>
        <w:t>According</w:t>
      </w:r>
      <w:r>
        <w:rPr>
          <w:spacing w:val="-9"/>
        </w:rPr>
        <w:t> </w:t>
      </w:r>
      <w:r>
        <w:rPr/>
        <w:t>to</w:t>
      </w:r>
      <w:r>
        <w:rPr>
          <w:spacing w:val="-10"/>
        </w:rPr>
        <w:t> </w:t>
      </w:r>
      <w:r>
        <w:rPr/>
        <w:t>Dr.</w:t>
      </w:r>
      <w:r>
        <w:rPr>
          <w:spacing w:val="-12"/>
        </w:rPr>
        <w:t> </w:t>
      </w:r>
      <w:r>
        <w:rPr/>
        <w:t>Daynes,</w:t>
      </w:r>
      <w:r>
        <w:rPr>
          <w:spacing w:val="-13"/>
        </w:rPr>
        <w:t> </w:t>
      </w:r>
      <w:r>
        <w:rPr/>
        <w:t>DHEA</w:t>
      </w:r>
      <w:r>
        <w:rPr>
          <w:spacing w:val="-9"/>
        </w:rPr>
        <w:t> </w:t>
      </w:r>
      <w:r>
        <w:rPr/>
        <w:t>can</w:t>
      </w:r>
      <w:r>
        <w:rPr>
          <w:spacing w:val="-10"/>
        </w:rPr>
        <w:t> </w:t>
      </w:r>
      <w:r>
        <w:rPr/>
        <w:t>‘re-format’</w:t>
      </w:r>
      <w:r>
        <w:rPr>
          <w:spacing w:val="-10"/>
        </w:rPr>
        <w:t> </w:t>
      </w:r>
      <w:r>
        <w:rPr/>
        <w:t>an</w:t>
      </w:r>
      <w:r>
        <w:rPr>
          <w:spacing w:val="-13"/>
        </w:rPr>
        <w:t> </w:t>
      </w:r>
      <w:r>
        <w:rPr/>
        <w:t>aged immune</w:t>
      </w:r>
      <w:r>
        <w:rPr>
          <w:spacing w:val="-21"/>
        </w:rPr>
        <w:t> </w:t>
      </w:r>
      <w:r>
        <w:rPr/>
        <w:t>system</w:t>
      </w:r>
      <w:r>
        <w:rPr>
          <w:spacing w:val="-22"/>
        </w:rPr>
        <w:t> </w:t>
      </w:r>
      <w:r>
        <w:rPr/>
        <w:t>so</w:t>
      </w:r>
      <w:r>
        <w:rPr>
          <w:spacing w:val="-20"/>
        </w:rPr>
        <w:t> </w:t>
      </w:r>
      <w:r>
        <w:rPr/>
        <w:t>that</w:t>
      </w:r>
      <w:r>
        <w:rPr>
          <w:spacing w:val="-20"/>
        </w:rPr>
        <w:t> </w:t>
      </w:r>
      <w:r>
        <w:rPr/>
        <w:t>it</w:t>
      </w:r>
      <w:r>
        <w:rPr>
          <w:spacing w:val="-21"/>
        </w:rPr>
        <w:t> </w:t>
      </w:r>
      <w:r>
        <w:rPr/>
        <w:t>can</w:t>
      </w:r>
      <w:r>
        <w:rPr>
          <w:spacing w:val="-23"/>
        </w:rPr>
        <w:t> </w:t>
      </w:r>
      <w:r>
        <w:rPr/>
        <w:t>work</w:t>
      </w:r>
      <w:r>
        <w:rPr>
          <w:spacing w:val="-21"/>
        </w:rPr>
        <w:t> </w:t>
      </w:r>
      <w:r>
        <w:rPr/>
        <w:t>efficiently</w:t>
      </w:r>
      <w:r>
        <w:rPr>
          <w:spacing w:val="-20"/>
        </w:rPr>
        <w:t> </w:t>
      </w:r>
      <w:r>
        <w:rPr/>
        <w:t>again.</w:t>
      </w:r>
      <w:r>
        <w:rPr>
          <w:spacing w:val="-20"/>
        </w:rPr>
        <w:t> </w:t>
      </w:r>
      <w:r>
        <w:rPr/>
        <w:t>The</w:t>
      </w:r>
      <w:r>
        <w:rPr>
          <w:spacing w:val="-22"/>
        </w:rPr>
        <w:t> </w:t>
      </w:r>
      <w:r>
        <w:rPr/>
        <w:t>refresh</w:t>
      </w:r>
      <w:r>
        <w:rPr>
          <w:spacing w:val="-22"/>
        </w:rPr>
        <w:t> </w:t>
      </w:r>
      <w:r>
        <w:rPr/>
        <w:t>effect</w:t>
      </w:r>
      <w:r>
        <w:rPr>
          <w:spacing w:val="-21"/>
        </w:rPr>
        <w:t> </w:t>
      </w:r>
      <w:r>
        <w:rPr/>
        <w:t>of</w:t>
      </w:r>
      <w:r>
        <w:rPr>
          <w:spacing w:val="-20"/>
        </w:rPr>
        <w:t> </w:t>
      </w:r>
      <w:r>
        <w:rPr/>
        <w:t>a</w:t>
      </w:r>
      <w:r>
        <w:rPr>
          <w:spacing w:val="-22"/>
        </w:rPr>
        <w:t> </w:t>
      </w:r>
      <w:r>
        <w:rPr/>
        <w:t>weak and/or aged immune system can be so powerful that many researchers speak of a veritable immune system rocket. DHEA does much more than this; it clearly functions as a biologically potent substance in its own right and has a comprehensive effect on our</w:t>
      </w:r>
      <w:r>
        <w:rPr>
          <w:spacing w:val="-1"/>
        </w:rPr>
        <w:t> </w:t>
      </w:r>
      <w:r>
        <w:rPr/>
        <w:t>physique.</w:t>
      </w:r>
    </w:p>
    <w:p>
      <w:pPr>
        <w:pStyle w:val="Heading1"/>
        <w:jc w:val="both"/>
      </w:pPr>
      <w:r>
        <w:rPr/>
        <w:t>General effect of DHEA</w:t>
      </w:r>
    </w:p>
    <w:p>
      <w:pPr>
        <w:pStyle w:val="BodyText"/>
        <w:spacing w:before="299"/>
        <w:ind w:left="477"/>
        <w:jc w:val="both"/>
      </w:pPr>
      <w:r>
        <w:rPr/>
        <w:t>The general effect of DHEA is described as follows:</w:t>
      </w:r>
    </w:p>
    <w:p>
      <w:pPr>
        <w:pStyle w:val="ListParagraph"/>
        <w:numPr>
          <w:ilvl w:val="0"/>
          <w:numId w:val="26"/>
        </w:numPr>
        <w:tabs>
          <w:tab w:pos="893" w:val="left" w:leader="none"/>
        </w:tabs>
        <w:spacing w:line="240" w:lineRule="auto" w:before="306" w:after="0"/>
        <w:ind w:left="892" w:right="0" w:hanging="415"/>
        <w:jc w:val="both"/>
        <w:rPr>
          <w:sz w:val="38"/>
        </w:rPr>
      </w:pPr>
      <w:r>
        <w:rPr>
          <w:sz w:val="38"/>
        </w:rPr>
        <w:t>It strengthens the immune</w:t>
      </w:r>
      <w:r>
        <w:rPr>
          <w:spacing w:val="-12"/>
          <w:sz w:val="38"/>
        </w:rPr>
        <w:t> </w:t>
      </w:r>
      <w:r>
        <w:rPr>
          <w:sz w:val="38"/>
        </w:rPr>
        <w:t>system,</w:t>
      </w:r>
    </w:p>
    <w:p>
      <w:pPr>
        <w:pStyle w:val="ListParagraph"/>
        <w:numPr>
          <w:ilvl w:val="0"/>
          <w:numId w:val="26"/>
        </w:numPr>
        <w:tabs>
          <w:tab w:pos="893" w:val="left" w:leader="none"/>
        </w:tabs>
        <w:spacing w:line="240" w:lineRule="auto" w:before="64" w:after="0"/>
        <w:ind w:left="892" w:right="0" w:hanging="415"/>
        <w:jc w:val="both"/>
        <w:rPr>
          <w:sz w:val="38"/>
        </w:rPr>
      </w:pPr>
      <w:r>
        <w:rPr>
          <w:sz w:val="38"/>
        </w:rPr>
        <w:t>protects the cardiovascular</w:t>
      </w:r>
      <w:r>
        <w:rPr>
          <w:spacing w:val="-19"/>
          <w:sz w:val="38"/>
        </w:rPr>
        <w:t> </w:t>
      </w:r>
      <w:r>
        <w:rPr>
          <w:sz w:val="38"/>
        </w:rPr>
        <w:t>system,</w:t>
      </w:r>
    </w:p>
    <w:p>
      <w:pPr>
        <w:pStyle w:val="ListParagraph"/>
        <w:numPr>
          <w:ilvl w:val="0"/>
          <w:numId w:val="26"/>
        </w:numPr>
        <w:tabs>
          <w:tab w:pos="893" w:val="left" w:leader="none"/>
        </w:tabs>
        <w:spacing w:line="240" w:lineRule="auto" w:before="64" w:after="0"/>
        <w:ind w:left="892" w:right="0" w:hanging="415"/>
        <w:jc w:val="both"/>
        <w:rPr>
          <w:sz w:val="38"/>
        </w:rPr>
      </w:pPr>
      <w:r>
        <w:rPr>
          <w:sz w:val="38"/>
        </w:rPr>
        <w:t>has an antioxidant</w:t>
      </w:r>
      <w:r>
        <w:rPr>
          <w:spacing w:val="-2"/>
          <w:sz w:val="38"/>
        </w:rPr>
        <w:t> </w:t>
      </w:r>
      <w:r>
        <w:rPr>
          <w:sz w:val="38"/>
        </w:rPr>
        <w:t>effect,</w:t>
      </w:r>
    </w:p>
    <w:p>
      <w:pPr>
        <w:pStyle w:val="ListParagraph"/>
        <w:numPr>
          <w:ilvl w:val="0"/>
          <w:numId w:val="26"/>
        </w:numPr>
        <w:tabs>
          <w:tab w:pos="893" w:val="left" w:leader="none"/>
        </w:tabs>
        <w:spacing w:line="240" w:lineRule="auto" w:before="64" w:after="0"/>
        <w:ind w:left="892" w:right="0" w:hanging="415"/>
        <w:jc w:val="both"/>
        <w:rPr>
          <w:sz w:val="38"/>
        </w:rPr>
      </w:pPr>
      <w:r>
        <w:rPr>
          <w:sz w:val="38"/>
        </w:rPr>
        <w:t>is</w:t>
      </w:r>
      <w:r>
        <w:rPr>
          <w:spacing w:val="-3"/>
          <w:sz w:val="38"/>
        </w:rPr>
        <w:t> </w:t>
      </w:r>
      <w:r>
        <w:rPr>
          <w:sz w:val="38"/>
        </w:rPr>
        <w:t>antiviral,</w:t>
      </w:r>
    </w:p>
    <w:p>
      <w:pPr>
        <w:pStyle w:val="ListParagraph"/>
        <w:numPr>
          <w:ilvl w:val="0"/>
          <w:numId w:val="26"/>
        </w:numPr>
        <w:tabs>
          <w:tab w:pos="893" w:val="left" w:leader="none"/>
        </w:tabs>
        <w:spacing w:line="240" w:lineRule="auto" w:before="66" w:after="0"/>
        <w:ind w:left="892" w:right="0" w:hanging="415"/>
        <w:jc w:val="both"/>
        <w:rPr>
          <w:sz w:val="38"/>
        </w:rPr>
      </w:pPr>
      <w:r>
        <w:rPr>
          <w:sz w:val="38"/>
        </w:rPr>
        <w:t>mood-lifting,</w:t>
      </w:r>
    </w:p>
    <w:p>
      <w:pPr>
        <w:pStyle w:val="ListParagraph"/>
        <w:numPr>
          <w:ilvl w:val="0"/>
          <w:numId w:val="26"/>
        </w:numPr>
        <w:tabs>
          <w:tab w:pos="893" w:val="left" w:leader="none"/>
        </w:tabs>
        <w:spacing w:line="240" w:lineRule="auto" w:before="63" w:after="0"/>
        <w:ind w:left="892" w:right="0" w:hanging="415"/>
        <w:jc w:val="both"/>
        <w:rPr>
          <w:sz w:val="38"/>
        </w:rPr>
      </w:pPr>
      <w:r>
        <w:rPr>
          <w:sz w:val="38"/>
        </w:rPr>
        <w:t>stress-reducing,</w:t>
      </w:r>
    </w:p>
    <w:p>
      <w:pPr>
        <w:pStyle w:val="ListParagraph"/>
        <w:numPr>
          <w:ilvl w:val="0"/>
          <w:numId w:val="26"/>
        </w:numPr>
        <w:tabs>
          <w:tab w:pos="893" w:val="left" w:leader="none"/>
        </w:tabs>
        <w:spacing w:line="240" w:lineRule="auto" w:before="64" w:after="0"/>
        <w:ind w:left="892" w:right="0" w:hanging="415"/>
        <w:jc w:val="both"/>
        <w:rPr>
          <w:sz w:val="38"/>
        </w:rPr>
      </w:pPr>
      <w:r>
        <w:rPr>
          <w:sz w:val="38"/>
        </w:rPr>
        <w:t>regulates the</w:t>
      </w:r>
      <w:r>
        <w:rPr>
          <w:spacing w:val="2"/>
          <w:sz w:val="38"/>
        </w:rPr>
        <w:t> </w:t>
      </w:r>
      <w:r>
        <w:rPr>
          <w:sz w:val="38"/>
        </w:rPr>
        <w:t>metabolism,</w:t>
      </w:r>
    </w:p>
    <w:p>
      <w:pPr>
        <w:pStyle w:val="ListParagraph"/>
        <w:numPr>
          <w:ilvl w:val="0"/>
          <w:numId w:val="26"/>
        </w:numPr>
        <w:tabs>
          <w:tab w:pos="893" w:val="left" w:leader="none"/>
        </w:tabs>
        <w:spacing w:line="240" w:lineRule="auto" w:before="63" w:after="0"/>
        <w:ind w:left="892" w:right="0" w:hanging="415"/>
        <w:jc w:val="both"/>
        <w:rPr>
          <w:sz w:val="38"/>
        </w:rPr>
      </w:pPr>
      <w:r>
        <w:rPr>
          <w:sz w:val="38"/>
        </w:rPr>
        <w:t>strengthens</w:t>
      </w:r>
      <w:r>
        <w:rPr>
          <w:spacing w:val="-2"/>
          <w:sz w:val="38"/>
        </w:rPr>
        <w:t> </w:t>
      </w:r>
      <w:r>
        <w:rPr>
          <w:sz w:val="38"/>
        </w:rPr>
        <w:t>muscles,</w:t>
      </w:r>
    </w:p>
    <w:p>
      <w:pPr>
        <w:pStyle w:val="ListParagraph"/>
        <w:numPr>
          <w:ilvl w:val="0"/>
          <w:numId w:val="26"/>
        </w:numPr>
        <w:tabs>
          <w:tab w:pos="893" w:val="left" w:leader="none"/>
        </w:tabs>
        <w:spacing w:line="240" w:lineRule="auto" w:before="64" w:after="0"/>
        <w:ind w:left="892" w:right="0" w:hanging="415"/>
        <w:jc w:val="both"/>
        <w:rPr>
          <w:sz w:val="38"/>
        </w:rPr>
      </w:pPr>
      <w:r>
        <w:rPr>
          <w:sz w:val="38"/>
        </w:rPr>
        <w:t>is anticarcinogenic (counteracts the development of</w:t>
      </w:r>
      <w:r>
        <w:rPr>
          <w:spacing w:val="-3"/>
          <w:sz w:val="38"/>
        </w:rPr>
        <w:t> </w:t>
      </w:r>
      <w:r>
        <w:rPr>
          <w:sz w:val="38"/>
        </w:rPr>
        <w:t>cancer)</w:t>
      </w:r>
    </w:p>
    <w:p>
      <w:pPr>
        <w:pStyle w:val="ListParagraph"/>
        <w:numPr>
          <w:ilvl w:val="0"/>
          <w:numId w:val="26"/>
        </w:numPr>
        <w:tabs>
          <w:tab w:pos="893" w:val="left" w:leader="none"/>
        </w:tabs>
        <w:spacing w:line="240" w:lineRule="auto" w:before="66" w:after="0"/>
        <w:ind w:left="892" w:right="0" w:hanging="415"/>
        <w:jc w:val="both"/>
        <w:rPr>
          <w:sz w:val="38"/>
        </w:rPr>
      </w:pPr>
      <w:r>
        <w:rPr>
          <w:sz w:val="38"/>
        </w:rPr>
        <w:t>increases libido (sexual desire is increased),</w:t>
      </w:r>
    </w:p>
    <w:p>
      <w:pPr>
        <w:pStyle w:val="ListParagraph"/>
        <w:numPr>
          <w:ilvl w:val="0"/>
          <w:numId w:val="26"/>
        </w:numPr>
        <w:tabs>
          <w:tab w:pos="893" w:val="left" w:leader="none"/>
        </w:tabs>
        <w:spacing w:line="240" w:lineRule="auto" w:before="64" w:after="0"/>
        <w:ind w:left="892" w:right="0" w:hanging="415"/>
        <w:jc w:val="both"/>
        <w:rPr>
          <w:sz w:val="38"/>
        </w:rPr>
      </w:pPr>
      <w:r>
        <w:rPr>
          <w:sz w:val="38"/>
        </w:rPr>
        <w:t>lowers insulin and increases insulin</w:t>
      </w:r>
      <w:r>
        <w:rPr>
          <w:spacing w:val="1"/>
          <w:sz w:val="38"/>
        </w:rPr>
        <w:t> </w:t>
      </w:r>
      <w:r>
        <w:rPr>
          <w:sz w:val="38"/>
        </w:rPr>
        <w:t>sensitivity.</w:t>
      </w:r>
    </w:p>
    <w:p>
      <w:pPr>
        <w:pStyle w:val="Heading1"/>
        <w:spacing w:before="285"/>
        <w:jc w:val="both"/>
      </w:pPr>
      <w:r>
        <w:rPr/>
        <w:t>Disease-specific and age-specific effects</w:t>
      </w:r>
    </w:p>
    <w:p>
      <w:pPr>
        <w:spacing w:after="0"/>
        <w:jc w:val="both"/>
        <w:sectPr>
          <w:pgSz w:w="14270" w:h="16850"/>
          <w:pgMar w:header="0" w:footer="1891" w:top="1600" w:bottom="2080" w:left="800" w:right="1280"/>
        </w:sectPr>
      </w:pPr>
    </w:p>
    <w:p>
      <w:pPr>
        <w:pStyle w:val="BodyText"/>
        <w:spacing w:before="181"/>
        <w:ind w:left="477"/>
      </w:pPr>
      <w:r>
        <w:rPr/>
        <w:t>Specifically, DHEA can influence the following illnesses and conditions:</w:t>
      </w:r>
    </w:p>
    <w:p>
      <w:pPr>
        <w:pStyle w:val="ListParagraph"/>
        <w:numPr>
          <w:ilvl w:val="0"/>
          <w:numId w:val="26"/>
        </w:numPr>
        <w:tabs>
          <w:tab w:pos="985" w:val="left" w:leader="none"/>
          <w:tab w:pos="987" w:val="left" w:leader="none"/>
        </w:tabs>
        <w:spacing w:line="240" w:lineRule="auto" w:before="306" w:after="0"/>
        <w:ind w:left="986" w:right="0" w:hanging="509"/>
        <w:jc w:val="left"/>
        <w:rPr>
          <w:sz w:val="38"/>
        </w:rPr>
      </w:pPr>
      <w:r>
        <w:rPr>
          <w:sz w:val="38"/>
        </w:rPr>
        <w:t>diabetes</w:t>
      </w:r>
    </w:p>
    <w:p>
      <w:pPr>
        <w:pStyle w:val="ListParagraph"/>
        <w:numPr>
          <w:ilvl w:val="0"/>
          <w:numId w:val="26"/>
        </w:numPr>
        <w:tabs>
          <w:tab w:pos="985" w:val="left" w:leader="none"/>
          <w:tab w:pos="987" w:val="left" w:leader="none"/>
        </w:tabs>
        <w:spacing w:line="273" w:lineRule="auto" w:before="64" w:after="0"/>
        <w:ind w:left="1048" w:right="2572" w:hanging="571"/>
        <w:jc w:val="left"/>
        <w:rPr>
          <w:sz w:val="38"/>
        </w:rPr>
      </w:pPr>
      <w:r>
        <w:rPr>
          <w:sz w:val="38"/>
        </w:rPr>
        <w:t>cardiovascular diseases (protection against heart attack and stroke)</w:t>
      </w:r>
    </w:p>
    <w:p>
      <w:pPr>
        <w:pStyle w:val="ListParagraph"/>
        <w:numPr>
          <w:ilvl w:val="0"/>
          <w:numId w:val="26"/>
        </w:numPr>
        <w:tabs>
          <w:tab w:pos="985" w:val="left" w:leader="none"/>
          <w:tab w:pos="987" w:val="left" w:leader="none"/>
        </w:tabs>
        <w:spacing w:line="240" w:lineRule="auto" w:before="7" w:after="0"/>
        <w:ind w:left="986" w:right="0" w:hanging="509"/>
        <w:jc w:val="left"/>
        <w:rPr>
          <w:sz w:val="38"/>
        </w:rPr>
      </w:pPr>
      <w:r>
        <w:rPr>
          <w:sz w:val="38"/>
        </w:rPr>
        <w:t>atherosclerosis</w:t>
      </w:r>
    </w:p>
    <w:p>
      <w:pPr>
        <w:pStyle w:val="ListParagraph"/>
        <w:numPr>
          <w:ilvl w:val="0"/>
          <w:numId w:val="26"/>
        </w:numPr>
        <w:tabs>
          <w:tab w:pos="985" w:val="left" w:leader="none"/>
          <w:tab w:pos="987" w:val="left" w:leader="none"/>
        </w:tabs>
        <w:spacing w:line="240" w:lineRule="auto" w:before="64" w:after="0"/>
        <w:ind w:left="986" w:right="0" w:hanging="509"/>
        <w:jc w:val="left"/>
        <w:rPr>
          <w:sz w:val="38"/>
        </w:rPr>
      </w:pPr>
      <w:r>
        <w:rPr>
          <w:sz w:val="38"/>
        </w:rPr>
        <w:t>cancer</w:t>
      </w:r>
    </w:p>
    <w:p>
      <w:pPr>
        <w:pStyle w:val="ListParagraph"/>
        <w:numPr>
          <w:ilvl w:val="0"/>
          <w:numId w:val="26"/>
        </w:numPr>
        <w:tabs>
          <w:tab w:pos="985" w:val="left" w:leader="none"/>
          <w:tab w:pos="987" w:val="left" w:leader="none"/>
        </w:tabs>
        <w:spacing w:line="240" w:lineRule="auto" w:before="66" w:after="0"/>
        <w:ind w:left="986" w:right="0" w:hanging="509"/>
        <w:jc w:val="left"/>
        <w:rPr>
          <w:sz w:val="38"/>
        </w:rPr>
      </w:pPr>
      <w:r>
        <w:rPr>
          <w:sz w:val="38"/>
        </w:rPr>
        <w:t>depression</w:t>
      </w:r>
    </w:p>
    <w:p>
      <w:pPr>
        <w:pStyle w:val="ListParagraph"/>
        <w:numPr>
          <w:ilvl w:val="0"/>
          <w:numId w:val="26"/>
        </w:numPr>
        <w:tabs>
          <w:tab w:pos="985" w:val="left" w:leader="none"/>
          <w:tab w:pos="987" w:val="left" w:leader="none"/>
        </w:tabs>
        <w:spacing w:line="240" w:lineRule="auto" w:before="64" w:after="0"/>
        <w:ind w:left="986" w:right="0" w:hanging="509"/>
        <w:jc w:val="left"/>
        <w:rPr>
          <w:sz w:val="38"/>
        </w:rPr>
      </w:pPr>
      <w:r>
        <w:rPr>
          <w:sz w:val="38"/>
        </w:rPr>
        <w:t>schizophrenia</w:t>
      </w:r>
    </w:p>
    <w:p>
      <w:pPr>
        <w:pStyle w:val="ListParagraph"/>
        <w:numPr>
          <w:ilvl w:val="0"/>
          <w:numId w:val="26"/>
        </w:numPr>
        <w:tabs>
          <w:tab w:pos="985" w:val="left" w:leader="none"/>
          <w:tab w:pos="987" w:val="left" w:leader="none"/>
        </w:tabs>
        <w:spacing w:line="240" w:lineRule="auto" w:before="64" w:after="0"/>
        <w:ind w:left="986" w:right="0" w:hanging="509"/>
        <w:jc w:val="left"/>
        <w:rPr>
          <w:sz w:val="38"/>
        </w:rPr>
      </w:pPr>
      <w:r>
        <w:rPr>
          <w:sz w:val="38"/>
        </w:rPr>
        <w:t>depressive</w:t>
      </w:r>
      <w:r>
        <w:rPr>
          <w:spacing w:val="-3"/>
          <w:sz w:val="38"/>
        </w:rPr>
        <w:t> </w:t>
      </w:r>
      <w:r>
        <w:rPr>
          <w:sz w:val="38"/>
        </w:rPr>
        <w:t>states</w:t>
      </w:r>
    </w:p>
    <w:p>
      <w:pPr>
        <w:pStyle w:val="ListParagraph"/>
        <w:numPr>
          <w:ilvl w:val="0"/>
          <w:numId w:val="26"/>
        </w:numPr>
        <w:tabs>
          <w:tab w:pos="985" w:val="left" w:leader="none"/>
          <w:tab w:pos="987" w:val="left" w:leader="none"/>
        </w:tabs>
        <w:spacing w:line="240" w:lineRule="auto" w:before="63" w:after="0"/>
        <w:ind w:left="986" w:right="0" w:hanging="509"/>
        <w:jc w:val="left"/>
        <w:rPr>
          <w:sz w:val="38"/>
        </w:rPr>
      </w:pPr>
      <w:r>
        <w:rPr>
          <w:sz w:val="38"/>
        </w:rPr>
        <w:t>stress</w:t>
      </w:r>
    </w:p>
    <w:p>
      <w:pPr>
        <w:pStyle w:val="ListParagraph"/>
        <w:numPr>
          <w:ilvl w:val="0"/>
          <w:numId w:val="26"/>
        </w:numPr>
        <w:tabs>
          <w:tab w:pos="985" w:val="left" w:leader="none"/>
          <w:tab w:pos="987" w:val="left" w:leader="none"/>
        </w:tabs>
        <w:spacing w:line="240" w:lineRule="auto" w:before="66" w:after="0"/>
        <w:ind w:left="986" w:right="0" w:hanging="509"/>
        <w:jc w:val="left"/>
        <w:rPr>
          <w:sz w:val="38"/>
        </w:rPr>
      </w:pPr>
      <w:r>
        <w:rPr>
          <w:sz w:val="38"/>
        </w:rPr>
        <w:t>chronic fatigue</w:t>
      </w:r>
    </w:p>
    <w:p>
      <w:pPr>
        <w:pStyle w:val="ListParagraph"/>
        <w:numPr>
          <w:ilvl w:val="0"/>
          <w:numId w:val="26"/>
        </w:numPr>
        <w:tabs>
          <w:tab w:pos="985" w:val="left" w:leader="none"/>
          <w:tab w:pos="987" w:val="left" w:leader="none"/>
        </w:tabs>
        <w:spacing w:line="240" w:lineRule="auto" w:before="64" w:after="0"/>
        <w:ind w:left="986" w:right="0" w:hanging="509"/>
        <w:jc w:val="left"/>
        <w:rPr>
          <w:sz w:val="38"/>
        </w:rPr>
      </w:pPr>
      <w:r>
        <w:rPr>
          <w:sz w:val="38"/>
        </w:rPr>
        <w:t>Alzheimer’s</w:t>
      </w:r>
    </w:p>
    <w:p>
      <w:pPr>
        <w:pStyle w:val="ListParagraph"/>
        <w:numPr>
          <w:ilvl w:val="0"/>
          <w:numId w:val="26"/>
        </w:numPr>
        <w:tabs>
          <w:tab w:pos="985" w:val="left" w:leader="none"/>
          <w:tab w:pos="987" w:val="left" w:leader="none"/>
        </w:tabs>
        <w:spacing w:line="240" w:lineRule="auto" w:before="64" w:after="0"/>
        <w:ind w:left="986" w:right="0" w:hanging="509"/>
        <w:jc w:val="left"/>
        <w:rPr>
          <w:sz w:val="38"/>
        </w:rPr>
      </w:pPr>
      <w:r>
        <w:rPr>
          <w:sz w:val="38"/>
        </w:rPr>
        <w:t>Parkinson’s</w:t>
      </w:r>
    </w:p>
    <w:p>
      <w:pPr>
        <w:pStyle w:val="ListParagraph"/>
        <w:numPr>
          <w:ilvl w:val="0"/>
          <w:numId w:val="26"/>
        </w:numPr>
        <w:tabs>
          <w:tab w:pos="985" w:val="left" w:leader="none"/>
          <w:tab w:pos="987" w:val="left" w:leader="none"/>
        </w:tabs>
        <w:spacing w:line="240" w:lineRule="auto" w:before="64" w:after="0"/>
        <w:ind w:left="986" w:right="0" w:hanging="509"/>
        <w:jc w:val="left"/>
        <w:rPr>
          <w:sz w:val="38"/>
        </w:rPr>
      </w:pPr>
      <w:r>
        <w:rPr>
          <w:sz w:val="38"/>
        </w:rPr>
        <w:t>skin problems</w:t>
      </w:r>
    </w:p>
    <w:p>
      <w:pPr>
        <w:pStyle w:val="ListParagraph"/>
        <w:numPr>
          <w:ilvl w:val="0"/>
          <w:numId w:val="26"/>
        </w:numPr>
        <w:tabs>
          <w:tab w:pos="985" w:val="left" w:leader="none"/>
          <w:tab w:pos="987" w:val="left" w:leader="none"/>
        </w:tabs>
        <w:spacing w:line="240" w:lineRule="auto" w:before="63" w:after="0"/>
        <w:ind w:left="986" w:right="0" w:hanging="509"/>
        <w:jc w:val="left"/>
        <w:rPr>
          <w:sz w:val="38"/>
        </w:rPr>
      </w:pPr>
      <w:r>
        <w:rPr>
          <w:sz w:val="38"/>
        </w:rPr>
        <w:t>excess</w:t>
      </w:r>
      <w:r>
        <w:rPr>
          <w:spacing w:val="2"/>
          <w:sz w:val="38"/>
        </w:rPr>
        <w:t> </w:t>
      </w:r>
      <w:r>
        <w:rPr>
          <w:sz w:val="38"/>
        </w:rPr>
        <w:t>weight/obesity</w:t>
      </w:r>
    </w:p>
    <w:p>
      <w:pPr>
        <w:pStyle w:val="ListParagraph"/>
        <w:numPr>
          <w:ilvl w:val="0"/>
          <w:numId w:val="26"/>
        </w:numPr>
        <w:tabs>
          <w:tab w:pos="985" w:val="left" w:leader="none"/>
          <w:tab w:pos="987" w:val="left" w:leader="none"/>
        </w:tabs>
        <w:spacing w:line="240" w:lineRule="auto" w:before="66" w:after="0"/>
        <w:ind w:left="986" w:right="0" w:hanging="509"/>
        <w:jc w:val="left"/>
        <w:rPr>
          <w:sz w:val="38"/>
        </w:rPr>
      </w:pPr>
      <w:r>
        <w:rPr>
          <w:sz w:val="38"/>
        </w:rPr>
        <w:t>osteoporosis</w:t>
      </w:r>
    </w:p>
    <w:p>
      <w:pPr>
        <w:pStyle w:val="ListParagraph"/>
        <w:numPr>
          <w:ilvl w:val="0"/>
          <w:numId w:val="26"/>
        </w:numPr>
        <w:tabs>
          <w:tab w:pos="985" w:val="left" w:leader="none"/>
          <w:tab w:pos="987" w:val="left" w:leader="none"/>
        </w:tabs>
        <w:spacing w:line="240" w:lineRule="auto" w:before="64" w:after="0"/>
        <w:ind w:left="986" w:right="0" w:hanging="509"/>
        <w:jc w:val="left"/>
        <w:rPr>
          <w:sz w:val="38"/>
        </w:rPr>
      </w:pPr>
      <w:r>
        <w:rPr>
          <w:sz w:val="38"/>
        </w:rPr>
        <w:t>multiple sclerosis (MS)</w:t>
      </w:r>
    </w:p>
    <w:p>
      <w:pPr>
        <w:pStyle w:val="ListParagraph"/>
        <w:numPr>
          <w:ilvl w:val="0"/>
          <w:numId w:val="26"/>
        </w:numPr>
        <w:tabs>
          <w:tab w:pos="985" w:val="left" w:leader="none"/>
          <w:tab w:pos="987" w:val="left" w:leader="none"/>
        </w:tabs>
        <w:spacing w:line="240" w:lineRule="auto" w:before="63" w:after="0"/>
        <w:ind w:left="986" w:right="0" w:hanging="509"/>
        <w:jc w:val="left"/>
        <w:rPr>
          <w:sz w:val="38"/>
        </w:rPr>
      </w:pPr>
      <w:r>
        <w:rPr>
          <w:sz w:val="38"/>
        </w:rPr>
        <w:t>biological ageing</w:t>
      </w:r>
      <w:r>
        <w:rPr>
          <w:spacing w:val="-1"/>
          <w:sz w:val="38"/>
        </w:rPr>
        <w:t> </w:t>
      </w:r>
      <w:r>
        <w:rPr>
          <w:sz w:val="38"/>
        </w:rPr>
        <w:t>phenomena</w:t>
      </w:r>
    </w:p>
    <w:p>
      <w:pPr>
        <w:pStyle w:val="ListParagraph"/>
        <w:numPr>
          <w:ilvl w:val="0"/>
          <w:numId w:val="26"/>
        </w:numPr>
        <w:tabs>
          <w:tab w:pos="985" w:val="left" w:leader="none"/>
          <w:tab w:pos="987" w:val="left" w:leader="none"/>
        </w:tabs>
        <w:spacing w:line="240" w:lineRule="auto" w:before="64" w:after="0"/>
        <w:ind w:left="986" w:right="0" w:hanging="509"/>
        <w:jc w:val="left"/>
        <w:rPr>
          <w:sz w:val="38"/>
        </w:rPr>
      </w:pPr>
      <w:r>
        <w:rPr>
          <w:sz w:val="38"/>
        </w:rPr>
        <w:t>menopausal</w:t>
      </w:r>
      <w:r>
        <w:rPr>
          <w:spacing w:val="-1"/>
          <w:sz w:val="38"/>
        </w:rPr>
        <w:t> </w:t>
      </w:r>
      <w:r>
        <w:rPr>
          <w:sz w:val="38"/>
        </w:rPr>
        <w:t>complaints</w:t>
      </w:r>
    </w:p>
    <w:p>
      <w:pPr>
        <w:pStyle w:val="ListParagraph"/>
        <w:numPr>
          <w:ilvl w:val="0"/>
          <w:numId w:val="26"/>
        </w:numPr>
        <w:tabs>
          <w:tab w:pos="985" w:val="left" w:leader="none"/>
          <w:tab w:pos="987" w:val="left" w:leader="none"/>
        </w:tabs>
        <w:spacing w:line="240" w:lineRule="auto" w:before="64" w:after="0"/>
        <w:ind w:left="986" w:right="0" w:hanging="509"/>
        <w:jc w:val="left"/>
        <w:rPr>
          <w:sz w:val="38"/>
        </w:rPr>
      </w:pPr>
      <w:r>
        <w:rPr>
          <w:sz w:val="38"/>
        </w:rPr>
        <w:t>weak immune</w:t>
      </w:r>
      <w:r>
        <w:rPr>
          <w:spacing w:val="1"/>
          <w:sz w:val="38"/>
        </w:rPr>
        <w:t> </w:t>
      </w:r>
      <w:r>
        <w:rPr>
          <w:sz w:val="38"/>
        </w:rPr>
        <w:t>system</w:t>
      </w:r>
    </w:p>
    <w:p>
      <w:pPr>
        <w:pStyle w:val="ListParagraph"/>
        <w:numPr>
          <w:ilvl w:val="0"/>
          <w:numId w:val="26"/>
        </w:numPr>
        <w:tabs>
          <w:tab w:pos="985" w:val="left" w:leader="none"/>
          <w:tab w:pos="987" w:val="left" w:leader="none"/>
        </w:tabs>
        <w:spacing w:line="273" w:lineRule="auto" w:before="66" w:after="0"/>
        <w:ind w:left="954" w:right="5801" w:hanging="477"/>
        <w:jc w:val="left"/>
        <w:rPr>
          <w:sz w:val="38"/>
        </w:rPr>
      </w:pPr>
      <w:r>
        <w:rPr>
          <w:sz w:val="38"/>
        </w:rPr>
        <w:t>declining brain power (forgetfulness, concentration problems, etc.)</w:t>
      </w:r>
    </w:p>
    <w:p>
      <w:pPr>
        <w:spacing w:after="0" w:line="273" w:lineRule="auto"/>
        <w:jc w:val="left"/>
        <w:rPr>
          <w:sz w:val="38"/>
        </w:rPr>
        <w:sectPr>
          <w:footerReference w:type="default" r:id="rId99"/>
          <w:pgSz w:w="14270" w:h="16850"/>
          <w:pgMar w:footer="1891" w:header="0" w:top="1600" w:bottom="2080" w:left="800" w:right="1280"/>
          <w:pgNumType w:start="370"/>
        </w:sectPr>
      </w:pPr>
    </w:p>
    <w:p>
      <w:pPr>
        <w:pStyle w:val="BodyText"/>
        <w:spacing w:before="10"/>
        <w:rPr>
          <w:sz w:val="8"/>
        </w:rPr>
      </w:pPr>
    </w:p>
    <w:p>
      <w:pPr>
        <w:pStyle w:val="ListParagraph"/>
        <w:numPr>
          <w:ilvl w:val="0"/>
          <w:numId w:val="26"/>
        </w:numPr>
        <w:tabs>
          <w:tab w:pos="985" w:val="left" w:leader="none"/>
          <w:tab w:pos="987" w:val="left" w:leader="none"/>
        </w:tabs>
        <w:spacing w:line="240" w:lineRule="auto" w:before="83" w:after="0"/>
        <w:ind w:left="986" w:right="0" w:hanging="509"/>
        <w:jc w:val="left"/>
        <w:rPr>
          <w:sz w:val="38"/>
        </w:rPr>
      </w:pPr>
      <w:r>
        <w:rPr>
          <w:sz w:val="38"/>
        </w:rPr>
        <w:t>HIV/AIDS</w:t>
      </w:r>
    </w:p>
    <w:p>
      <w:pPr>
        <w:pStyle w:val="ListParagraph"/>
        <w:numPr>
          <w:ilvl w:val="0"/>
          <w:numId w:val="26"/>
        </w:numPr>
        <w:tabs>
          <w:tab w:pos="985" w:val="left" w:leader="none"/>
          <w:tab w:pos="987" w:val="left" w:leader="none"/>
        </w:tabs>
        <w:spacing w:line="240" w:lineRule="auto" w:before="64" w:after="0"/>
        <w:ind w:left="986" w:right="0" w:hanging="509"/>
        <w:jc w:val="left"/>
        <w:rPr>
          <w:sz w:val="38"/>
        </w:rPr>
      </w:pPr>
      <w:r>
        <w:rPr>
          <w:sz w:val="38"/>
        </w:rPr>
        <w:t>lupus</w:t>
      </w:r>
    </w:p>
    <w:p>
      <w:pPr>
        <w:pStyle w:val="Heading2"/>
        <w:spacing w:before="304"/>
      </w:pPr>
      <w:r>
        <w:rPr/>
        <w:t>Effect of DHEA on diabetes</w:t>
      </w:r>
    </w:p>
    <w:p>
      <w:pPr>
        <w:pStyle w:val="BodyText"/>
        <w:spacing w:line="276" w:lineRule="auto" w:before="302"/>
        <w:ind w:left="477" w:right="132"/>
        <w:jc w:val="both"/>
      </w:pPr>
      <w:r>
        <w:rPr/>
        <w:t>DHEA can clearly stabilise the sugar metabolism by increasing IGF1 (insulin- like</w:t>
      </w:r>
      <w:r>
        <w:rPr>
          <w:spacing w:val="-25"/>
        </w:rPr>
        <w:t> </w:t>
      </w:r>
      <w:r>
        <w:rPr/>
        <w:t>growth</w:t>
      </w:r>
      <w:r>
        <w:rPr>
          <w:spacing w:val="-23"/>
        </w:rPr>
        <w:t> </w:t>
      </w:r>
      <w:r>
        <w:rPr/>
        <w:t>factor)</w:t>
      </w:r>
      <w:r>
        <w:rPr>
          <w:spacing w:val="-24"/>
        </w:rPr>
        <w:t> </w:t>
      </w:r>
      <w:r>
        <w:rPr/>
        <w:t>production</w:t>
      </w:r>
      <w:r>
        <w:rPr>
          <w:spacing w:val="-23"/>
        </w:rPr>
        <w:t> </w:t>
      </w:r>
      <w:r>
        <w:rPr/>
        <w:t>and</w:t>
      </w:r>
      <w:r>
        <w:rPr>
          <w:spacing w:val="-24"/>
        </w:rPr>
        <w:t> </w:t>
      </w:r>
      <w:r>
        <w:rPr/>
        <w:t>can</w:t>
      </w:r>
      <w:r>
        <w:rPr>
          <w:spacing w:val="-23"/>
        </w:rPr>
        <w:t> </w:t>
      </w:r>
      <w:r>
        <w:rPr/>
        <w:t>have</w:t>
      </w:r>
      <w:r>
        <w:rPr>
          <w:spacing w:val="-24"/>
        </w:rPr>
        <w:t> </w:t>
      </w:r>
      <w:r>
        <w:rPr/>
        <w:t>a</w:t>
      </w:r>
      <w:r>
        <w:rPr>
          <w:spacing w:val="-27"/>
        </w:rPr>
        <w:t> </w:t>
      </w:r>
      <w:r>
        <w:rPr/>
        <w:t>positive</w:t>
      </w:r>
      <w:r>
        <w:rPr>
          <w:spacing w:val="-25"/>
        </w:rPr>
        <w:t> </w:t>
      </w:r>
      <w:r>
        <w:rPr/>
        <w:t>effect</w:t>
      </w:r>
      <w:r>
        <w:rPr>
          <w:spacing w:val="-23"/>
        </w:rPr>
        <w:t> </w:t>
      </w:r>
      <w:r>
        <w:rPr/>
        <w:t>on</w:t>
      </w:r>
      <w:r>
        <w:rPr>
          <w:spacing w:val="-23"/>
        </w:rPr>
        <w:t> </w:t>
      </w:r>
      <w:r>
        <w:rPr/>
        <w:t>Type</w:t>
      </w:r>
      <w:r>
        <w:rPr>
          <w:spacing w:val="-24"/>
        </w:rPr>
        <w:t> </w:t>
      </w:r>
      <w:r>
        <w:rPr/>
        <w:t>2</w:t>
      </w:r>
      <w:r>
        <w:rPr>
          <w:spacing w:val="-24"/>
        </w:rPr>
        <w:t> </w:t>
      </w:r>
      <w:r>
        <w:rPr/>
        <w:t>diabetes. In</w:t>
      </w:r>
      <w:r>
        <w:rPr>
          <w:spacing w:val="-9"/>
        </w:rPr>
        <w:t> </w:t>
      </w:r>
      <w:r>
        <w:rPr/>
        <w:t>studies,</w:t>
      </w:r>
      <w:r>
        <w:rPr>
          <w:spacing w:val="-7"/>
        </w:rPr>
        <w:t> </w:t>
      </w:r>
      <w:r>
        <w:rPr/>
        <w:t>DHEA</w:t>
      </w:r>
      <w:r>
        <w:rPr>
          <w:spacing w:val="-9"/>
        </w:rPr>
        <w:t> </w:t>
      </w:r>
      <w:r>
        <w:rPr/>
        <w:t>has</w:t>
      </w:r>
      <w:r>
        <w:rPr>
          <w:spacing w:val="-8"/>
        </w:rPr>
        <w:t> </w:t>
      </w:r>
      <w:r>
        <w:rPr/>
        <w:t>been</w:t>
      </w:r>
      <w:r>
        <w:rPr>
          <w:spacing w:val="-9"/>
        </w:rPr>
        <w:t> </w:t>
      </w:r>
      <w:r>
        <w:rPr/>
        <w:t>shown</w:t>
      </w:r>
      <w:r>
        <w:rPr>
          <w:spacing w:val="-8"/>
        </w:rPr>
        <w:t> </w:t>
      </w:r>
      <w:r>
        <w:rPr/>
        <w:t>to</w:t>
      </w:r>
      <w:r>
        <w:rPr>
          <w:spacing w:val="-9"/>
        </w:rPr>
        <w:t> </w:t>
      </w:r>
      <w:r>
        <w:rPr/>
        <w:t>increase</w:t>
      </w:r>
      <w:r>
        <w:rPr>
          <w:spacing w:val="-7"/>
        </w:rPr>
        <w:t> </w:t>
      </w:r>
      <w:r>
        <w:rPr/>
        <w:t>insulin</w:t>
      </w:r>
      <w:r>
        <w:rPr>
          <w:spacing w:val="-9"/>
        </w:rPr>
        <w:t> </w:t>
      </w:r>
      <w:r>
        <w:rPr/>
        <w:t>sensitivity</w:t>
      </w:r>
      <w:r>
        <w:rPr>
          <w:spacing w:val="-6"/>
        </w:rPr>
        <w:t> </w:t>
      </w:r>
      <w:r>
        <w:rPr/>
        <w:t>while</w:t>
      </w:r>
      <w:r>
        <w:rPr>
          <w:spacing w:val="-10"/>
        </w:rPr>
        <w:t> </w:t>
      </w:r>
      <w:r>
        <w:rPr/>
        <w:t>prevent- ing most typical secondary diseases among diabetics. This occurs through the production of insulin-producing cells, which is promoted by</w:t>
      </w:r>
      <w:r>
        <w:rPr>
          <w:spacing w:val="-7"/>
        </w:rPr>
        <w:t> </w:t>
      </w:r>
      <w:r>
        <w:rPr/>
        <w:t>DHEA.</w:t>
      </w:r>
    </w:p>
    <w:p>
      <w:pPr>
        <w:pStyle w:val="Heading2"/>
        <w:spacing w:before="243"/>
      </w:pPr>
      <w:r>
        <w:rPr/>
        <w:t>Effect of DHEA on cancer</w:t>
      </w:r>
    </w:p>
    <w:p>
      <w:pPr>
        <w:pStyle w:val="BodyText"/>
        <w:spacing w:line="276" w:lineRule="auto" w:before="302"/>
        <w:ind w:left="477" w:right="133"/>
        <w:jc w:val="both"/>
      </w:pPr>
      <w:r>
        <w:rPr/>
        <w:t>DHEA</w:t>
      </w:r>
      <w:r>
        <w:rPr>
          <w:spacing w:val="-17"/>
        </w:rPr>
        <w:t> </w:t>
      </w:r>
      <w:r>
        <w:rPr/>
        <w:t>has</w:t>
      </w:r>
      <w:r>
        <w:rPr>
          <w:spacing w:val="-16"/>
        </w:rPr>
        <w:t> </w:t>
      </w:r>
      <w:r>
        <w:rPr/>
        <w:t>been</w:t>
      </w:r>
      <w:r>
        <w:rPr>
          <w:spacing w:val="-19"/>
        </w:rPr>
        <w:t> </w:t>
      </w:r>
      <w:r>
        <w:rPr/>
        <w:t>shown</w:t>
      </w:r>
      <w:r>
        <w:rPr>
          <w:spacing w:val="-18"/>
        </w:rPr>
        <w:t> </w:t>
      </w:r>
      <w:r>
        <w:rPr/>
        <w:t>to</w:t>
      </w:r>
      <w:r>
        <w:rPr>
          <w:spacing w:val="-19"/>
        </w:rPr>
        <w:t> </w:t>
      </w:r>
      <w:r>
        <w:rPr/>
        <w:t>be</w:t>
      </w:r>
      <w:r>
        <w:rPr>
          <w:spacing w:val="-19"/>
        </w:rPr>
        <w:t> </w:t>
      </w:r>
      <w:r>
        <w:rPr/>
        <w:t>one</w:t>
      </w:r>
      <w:r>
        <w:rPr>
          <w:spacing w:val="-17"/>
        </w:rPr>
        <w:t> </w:t>
      </w:r>
      <w:r>
        <w:rPr/>
        <w:t>of</w:t>
      </w:r>
      <w:r>
        <w:rPr>
          <w:spacing w:val="-19"/>
        </w:rPr>
        <w:t> </w:t>
      </w:r>
      <w:r>
        <w:rPr/>
        <w:t>the</w:t>
      </w:r>
      <w:r>
        <w:rPr>
          <w:spacing w:val="-18"/>
        </w:rPr>
        <w:t> </w:t>
      </w:r>
      <w:r>
        <w:rPr/>
        <w:t>most</w:t>
      </w:r>
      <w:r>
        <w:rPr>
          <w:spacing w:val="-19"/>
        </w:rPr>
        <w:t> </w:t>
      </w:r>
      <w:r>
        <w:rPr/>
        <w:t>efficient</w:t>
      </w:r>
      <w:r>
        <w:rPr>
          <w:spacing w:val="-17"/>
        </w:rPr>
        <w:t> </w:t>
      </w:r>
      <w:r>
        <w:rPr/>
        <w:t>anticarcinogens</w:t>
      </w:r>
      <w:r>
        <w:rPr>
          <w:spacing w:val="-19"/>
        </w:rPr>
        <w:t> </w:t>
      </w:r>
      <w:r>
        <w:rPr/>
        <w:t>in</w:t>
      </w:r>
      <w:r>
        <w:rPr>
          <w:spacing w:val="-16"/>
        </w:rPr>
        <w:t> </w:t>
      </w:r>
      <w:r>
        <w:rPr/>
        <w:t>many studies, both in vitro and in vivo; it is particularly effective against breast, lung, colon</w:t>
      </w:r>
      <w:r>
        <w:rPr>
          <w:spacing w:val="-10"/>
        </w:rPr>
        <w:t> </w:t>
      </w:r>
      <w:r>
        <w:rPr/>
        <w:t>and</w:t>
      </w:r>
      <w:r>
        <w:rPr>
          <w:spacing w:val="-9"/>
        </w:rPr>
        <w:t> </w:t>
      </w:r>
      <w:r>
        <w:rPr/>
        <w:t>skin</w:t>
      </w:r>
      <w:r>
        <w:rPr>
          <w:spacing w:val="-9"/>
        </w:rPr>
        <w:t> </w:t>
      </w:r>
      <w:r>
        <w:rPr/>
        <w:t>cancer.</w:t>
      </w:r>
      <w:r>
        <w:rPr>
          <w:spacing w:val="-8"/>
        </w:rPr>
        <w:t> </w:t>
      </w:r>
      <w:r>
        <w:rPr/>
        <w:t>In</w:t>
      </w:r>
      <w:r>
        <w:rPr>
          <w:spacing w:val="-9"/>
        </w:rPr>
        <w:t> </w:t>
      </w:r>
      <w:r>
        <w:rPr/>
        <w:t>his</w:t>
      </w:r>
      <w:r>
        <w:rPr>
          <w:spacing w:val="-12"/>
        </w:rPr>
        <w:t> </w:t>
      </w:r>
      <w:r>
        <w:rPr/>
        <w:t>studies,</w:t>
      </w:r>
      <w:r>
        <w:rPr>
          <w:spacing w:val="-5"/>
        </w:rPr>
        <w:t> </w:t>
      </w:r>
      <w:r>
        <w:rPr/>
        <w:t>Dr.</w:t>
      </w:r>
      <w:r>
        <w:rPr>
          <w:spacing w:val="-10"/>
        </w:rPr>
        <w:t> </w:t>
      </w:r>
      <w:r>
        <w:rPr/>
        <w:t>Schwartz</w:t>
      </w:r>
      <w:r>
        <w:rPr>
          <w:spacing w:val="-7"/>
        </w:rPr>
        <w:t> </w:t>
      </w:r>
      <w:r>
        <w:rPr/>
        <w:t>from</w:t>
      </w:r>
      <w:r>
        <w:rPr>
          <w:spacing w:val="-9"/>
        </w:rPr>
        <w:t> </w:t>
      </w:r>
      <w:r>
        <w:rPr>
          <w:i/>
        </w:rPr>
        <w:t>Temple</w:t>
      </w:r>
      <w:r>
        <w:rPr>
          <w:i/>
          <w:spacing w:val="-13"/>
        </w:rPr>
        <w:t> </w:t>
      </w:r>
      <w:r>
        <w:rPr>
          <w:i/>
        </w:rPr>
        <w:t>University</w:t>
      </w:r>
      <w:r>
        <w:rPr/>
        <w:t>,</w:t>
      </w:r>
      <w:r>
        <w:rPr>
          <w:spacing w:val="-8"/>
        </w:rPr>
        <w:t> </w:t>
      </w:r>
      <w:r>
        <w:rPr/>
        <w:t>USA, observed a reduction in cancer rates of up to 80</w:t>
      </w:r>
      <w:r>
        <w:rPr>
          <w:spacing w:val="-2"/>
        </w:rPr>
        <w:t> </w:t>
      </w:r>
      <w:r>
        <w:rPr/>
        <w:t>%.</w:t>
      </w:r>
    </w:p>
    <w:p>
      <w:pPr>
        <w:pStyle w:val="BodyText"/>
        <w:spacing w:line="276" w:lineRule="auto" w:before="242"/>
        <w:ind w:left="477" w:right="130"/>
        <w:jc w:val="both"/>
      </w:pPr>
      <w:r>
        <w:rPr/>
        <w:t>In a British study</w:t>
      </w:r>
      <w:r>
        <w:rPr>
          <w:position w:val="9"/>
          <w:sz w:val="25"/>
        </w:rPr>
        <w:t>262</w:t>
      </w:r>
      <w:r>
        <w:rPr/>
        <w:t>, 5,000 women were monitored and it was found that most of the 27 women who developed breast cancer had abnormally low levels of DHEA, some as early as nine years before the onset of cancer. Other studies, including</w:t>
      </w:r>
      <w:r>
        <w:rPr>
          <w:spacing w:val="53"/>
        </w:rPr>
        <w:t> </w:t>
      </w:r>
      <w:r>
        <w:rPr/>
        <w:t>those</w:t>
      </w:r>
      <w:r>
        <w:rPr>
          <w:spacing w:val="52"/>
        </w:rPr>
        <w:t> </w:t>
      </w:r>
      <w:r>
        <w:rPr/>
        <w:t>at</w:t>
      </w:r>
      <w:r>
        <w:rPr>
          <w:spacing w:val="52"/>
        </w:rPr>
        <w:t> </w:t>
      </w:r>
      <w:r>
        <w:rPr/>
        <w:t>Temple</w:t>
      </w:r>
      <w:r>
        <w:rPr>
          <w:spacing w:val="53"/>
        </w:rPr>
        <w:t> </w:t>
      </w:r>
      <w:r>
        <w:rPr/>
        <w:t>University,</w:t>
      </w:r>
      <w:r>
        <w:rPr>
          <w:spacing w:val="54"/>
        </w:rPr>
        <w:t> </w:t>
      </w:r>
      <w:r>
        <w:rPr/>
        <w:t>have shown</w:t>
      </w:r>
      <w:r>
        <w:rPr>
          <w:spacing w:val="54"/>
        </w:rPr>
        <w:t> </w:t>
      </w:r>
      <w:r>
        <w:rPr/>
        <w:t>that</w:t>
      </w:r>
      <w:r>
        <w:rPr>
          <w:spacing w:val="54"/>
        </w:rPr>
        <w:t> </w:t>
      </w:r>
      <w:r>
        <w:rPr/>
        <w:t>DHEA</w:t>
      </w:r>
      <w:r>
        <w:rPr>
          <w:spacing w:val="54"/>
        </w:rPr>
        <w:t> </w:t>
      </w:r>
      <w:r>
        <w:rPr/>
        <w:t>can</w:t>
      </w:r>
      <w:r>
        <w:rPr>
          <w:spacing w:val="52"/>
        </w:rPr>
        <w:t> </w:t>
      </w:r>
      <w:r>
        <w:rPr/>
        <w:t>prevent</w:t>
      </w:r>
    </w:p>
    <w:p>
      <w:pPr>
        <w:pStyle w:val="BodyText"/>
        <w:rPr>
          <w:sz w:val="20"/>
        </w:rPr>
      </w:pPr>
    </w:p>
    <w:p>
      <w:pPr>
        <w:pStyle w:val="BodyText"/>
        <w:rPr>
          <w:sz w:val="20"/>
        </w:rPr>
      </w:pPr>
    </w:p>
    <w:p>
      <w:pPr>
        <w:pStyle w:val="BodyText"/>
        <w:spacing w:before="4"/>
        <w:rPr>
          <w:sz w:val="13"/>
        </w:rPr>
      </w:pPr>
      <w:r>
        <w:rPr/>
        <w:pict>
          <v:line style="position:absolute;mso-position-horizontal-relative:page;mso-position-vertical-relative:paragraph;z-index:2792;mso-wrap-distance-left:0;mso-wrap-distance-right:0" from="63.863998pt,9.906226pt" to="207.883998pt,9.906226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262 </w:t>
      </w:r>
      <w:r>
        <w:rPr>
          <w:sz w:val="20"/>
        </w:rPr>
        <w:t>Bulbrook, 1962, 1971</w:t>
      </w:r>
    </w:p>
    <w:p>
      <w:pPr>
        <w:spacing w:after="0"/>
        <w:jc w:val="left"/>
        <w:rPr>
          <w:sz w:val="20"/>
        </w:rPr>
        <w:sectPr>
          <w:pgSz w:w="14270" w:h="16850"/>
          <w:pgMar w:header="0" w:footer="1891" w:top="1600" w:bottom="2080" w:left="800" w:right="1280"/>
        </w:sectPr>
      </w:pPr>
    </w:p>
    <w:p>
      <w:pPr>
        <w:spacing w:line="276" w:lineRule="auto" w:before="181"/>
        <w:ind w:left="477" w:right="132" w:firstLine="0"/>
        <w:jc w:val="both"/>
        <w:rPr>
          <w:i/>
          <w:sz w:val="38"/>
        </w:rPr>
      </w:pPr>
      <w:r>
        <w:rPr>
          <w:sz w:val="38"/>
        </w:rPr>
        <w:t>breast, lung and colorectal cancer. Dr. W. Regelsen of the Medical College in Virginia, who has been researching DHEA for many years, says: ‘</w:t>
      </w:r>
      <w:r>
        <w:rPr>
          <w:i/>
          <w:sz w:val="38"/>
        </w:rPr>
        <w:t>Whenever </w:t>
      </w:r>
      <w:r>
        <w:rPr>
          <w:i/>
          <w:sz w:val="38"/>
        </w:rPr>
        <w:t>DHEA</w:t>
      </w:r>
      <w:r>
        <w:rPr>
          <w:i/>
          <w:spacing w:val="-16"/>
          <w:sz w:val="38"/>
        </w:rPr>
        <w:t> </w:t>
      </w:r>
      <w:r>
        <w:rPr>
          <w:i/>
          <w:sz w:val="38"/>
        </w:rPr>
        <w:t>has</w:t>
      </w:r>
      <w:r>
        <w:rPr>
          <w:i/>
          <w:spacing w:val="-17"/>
          <w:sz w:val="38"/>
        </w:rPr>
        <w:t> </w:t>
      </w:r>
      <w:r>
        <w:rPr>
          <w:i/>
          <w:sz w:val="38"/>
        </w:rPr>
        <w:t>been</w:t>
      </w:r>
      <w:r>
        <w:rPr>
          <w:i/>
          <w:spacing w:val="-16"/>
          <w:sz w:val="38"/>
        </w:rPr>
        <w:t> </w:t>
      </w:r>
      <w:r>
        <w:rPr>
          <w:i/>
          <w:sz w:val="38"/>
        </w:rPr>
        <w:t>tested</w:t>
      </w:r>
      <w:r>
        <w:rPr>
          <w:i/>
          <w:spacing w:val="-17"/>
          <w:sz w:val="38"/>
        </w:rPr>
        <w:t> </w:t>
      </w:r>
      <w:r>
        <w:rPr>
          <w:i/>
          <w:sz w:val="38"/>
        </w:rPr>
        <w:t>in</w:t>
      </w:r>
      <w:r>
        <w:rPr>
          <w:i/>
          <w:spacing w:val="-15"/>
          <w:sz w:val="38"/>
        </w:rPr>
        <w:t> </w:t>
      </w:r>
      <w:r>
        <w:rPr>
          <w:i/>
          <w:sz w:val="38"/>
        </w:rPr>
        <w:t>a</w:t>
      </w:r>
      <w:r>
        <w:rPr>
          <w:i/>
          <w:spacing w:val="-18"/>
          <w:sz w:val="38"/>
        </w:rPr>
        <w:t> </w:t>
      </w:r>
      <w:r>
        <w:rPr>
          <w:i/>
          <w:sz w:val="38"/>
        </w:rPr>
        <w:t>simulation</w:t>
      </w:r>
      <w:r>
        <w:rPr>
          <w:i/>
          <w:spacing w:val="-16"/>
          <w:sz w:val="38"/>
        </w:rPr>
        <w:t> </w:t>
      </w:r>
      <w:r>
        <w:rPr>
          <w:i/>
          <w:sz w:val="38"/>
        </w:rPr>
        <w:t>environment</w:t>
      </w:r>
      <w:r>
        <w:rPr>
          <w:i/>
          <w:spacing w:val="-17"/>
          <w:sz w:val="38"/>
        </w:rPr>
        <w:t> </w:t>
      </w:r>
      <w:r>
        <w:rPr>
          <w:i/>
          <w:sz w:val="38"/>
        </w:rPr>
        <w:t>for</w:t>
      </w:r>
      <w:r>
        <w:rPr>
          <w:i/>
          <w:spacing w:val="-17"/>
          <w:sz w:val="38"/>
        </w:rPr>
        <w:t> </w:t>
      </w:r>
      <w:r>
        <w:rPr>
          <w:i/>
          <w:sz w:val="38"/>
        </w:rPr>
        <w:t>carcinogenesis</w:t>
      </w:r>
      <w:r>
        <w:rPr>
          <w:i/>
          <w:spacing w:val="-16"/>
          <w:sz w:val="38"/>
        </w:rPr>
        <w:t> </w:t>
      </w:r>
      <w:r>
        <w:rPr>
          <w:i/>
          <w:sz w:val="38"/>
        </w:rPr>
        <w:t>and</w:t>
      </w:r>
      <w:r>
        <w:rPr>
          <w:i/>
          <w:spacing w:val="-16"/>
          <w:sz w:val="38"/>
        </w:rPr>
        <w:t> </w:t>
      </w:r>
      <w:r>
        <w:rPr>
          <w:i/>
          <w:sz w:val="38"/>
        </w:rPr>
        <w:t>tumour</w:t>
      </w:r>
      <w:r>
        <w:rPr>
          <w:i/>
          <w:spacing w:val="-16"/>
          <w:sz w:val="38"/>
        </w:rPr>
        <w:t> </w:t>
      </w:r>
      <w:r>
        <w:rPr>
          <w:i/>
          <w:sz w:val="38"/>
        </w:rPr>
        <w:t>induction, DHEA has preventive effects’.</w:t>
      </w:r>
    </w:p>
    <w:p>
      <w:pPr>
        <w:pStyle w:val="Heading1"/>
        <w:spacing w:before="225"/>
        <w:jc w:val="both"/>
      </w:pPr>
      <w:r>
        <w:rPr/>
        <w:t>How does DHEA work against cancer?</w:t>
      </w:r>
    </w:p>
    <w:p>
      <w:pPr>
        <w:pStyle w:val="BodyText"/>
        <w:spacing w:line="276" w:lineRule="auto" w:before="297"/>
        <w:ind w:left="477" w:right="131"/>
        <w:jc w:val="both"/>
      </w:pPr>
      <w:r>
        <w:rPr/>
        <w:t>Dr. Schwartz found in his research that the addition of DHEA to cancer-in- fected cells makes them markedly resistant to the DNA mutation that would typically occur otherwise, keeps them more consistent and alive for longer. In animal tests at Temple University, mice treated with the same carcinogens and with DHEA at the same time did not develop breast cancer.</w:t>
      </w:r>
    </w:p>
    <w:p>
      <w:pPr>
        <w:pStyle w:val="BodyText"/>
        <w:spacing w:line="276" w:lineRule="auto" w:before="242"/>
        <w:ind w:left="477" w:right="139"/>
        <w:jc w:val="both"/>
      </w:pPr>
      <w:r>
        <w:rPr/>
        <w:t>In general, the addition of DHEA protected cell cultures from toxic carcino- genic factors. However, here it is important to differentiate, since if oestrogen levels are low, DHEA may play the role of oestrogen and stimulate tumour growth.</w:t>
      </w:r>
    </w:p>
    <w:p>
      <w:pPr>
        <w:pStyle w:val="BodyText"/>
        <w:spacing w:line="276" w:lineRule="auto" w:before="239"/>
        <w:ind w:left="477" w:right="134"/>
        <w:jc w:val="both"/>
      </w:pPr>
      <w:r>
        <w:rPr/>
        <w:t>Preventive use of DHEA can protect against uterine cancer by preventing the unwanted build-up of the uterus lining. According to Dr. Schwartz, who has been conducting this intensive research for many years, DHEA can suppress G6PDH enzyme (glucose-6-phosphate dehydrogenase). This is certainly desir- able during cancer therapy, as G6PDH stimulates a chemical called NADPH, which activates carcinogenic (i.e. cancer-causing) substances.</w:t>
      </w:r>
    </w:p>
    <w:p>
      <w:pPr>
        <w:pStyle w:val="Heading1"/>
        <w:jc w:val="both"/>
      </w:pPr>
      <w:r>
        <w:rPr/>
        <w:t>Effect of DHEA on the heart</w:t>
      </w:r>
    </w:p>
    <w:p>
      <w:pPr>
        <w:spacing w:after="0"/>
        <w:jc w:val="both"/>
        <w:sectPr>
          <w:pgSz w:w="14270" w:h="16850"/>
          <w:pgMar w:header="0" w:footer="1891" w:top="1600" w:bottom="2080" w:left="800" w:right="1280"/>
        </w:sectPr>
      </w:pPr>
    </w:p>
    <w:p>
      <w:pPr>
        <w:pStyle w:val="BodyText"/>
        <w:spacing w:line="276" w:lineRule="auto" w:before="181"/>
        <w:ind w:left="477" w:right="136"/>
        <w:jc w:val="both"/>
      </w:pPr>
      <w:r>
        <w:rPr/>
        <w:t>DHEA counteracts both stress and depression and physiologically reduces the tendency of platelets to aggregate, which is known to cause heart attacks and strokes, and lowers high blood pressure.</w:t>
      </w:r>
    </w:p>
    <w:p>
      <w:pPr>
        <w:pStyle w:val="BodyText"/>
        <w:spacing w:line="276" w:lineRule="auto" w:before="242"/>
        <w:ind w:left="477" w:right="133"/>
        <w:jc w:val="both"/>
      </w:pPr>
      <w:r>
        <w:rPr/>
        <w:t>A 12-year study on 240 men aged 50 to 79 studied the impact of DHEA on lifespan.</w:t>
      </w:r>
      <w:r>
        <w:rPr>
          <w:spacing w:val="-8"/>
        </w:rPr>
        <w:t> </w:t>
      </w:r>
      <w:r>
        <w:rPr/>
        <w:t>An</w:t>
      </w:r>
      <w:r>
        <w:rPr>
          <w:spacing w:val="-9"/>
        </w:rPr>
        <w:t> </w:t>
      </w:r>
      <w:r>
        <w:rPr/>
        <w:t>increase</w:t>
      </w:r>
      <w:r>
        <w:rPr>
          <w:spacing w:val="-8"/>
        </w:rPr>
        <w:t> </w:t>
      </w:r>
      <w:r>
        <w:rPr/>
        <w:t>in</w:t>
      </w:r>
      <w:r>
        <w:rPr>
          <w:spacing w:val="-9"/>
        </w:rPr>
        <w:t> </w:t>
      </w:r>
      <w:r>
        <w:rPr/>
        <w:t>the</w:t>
      </w:r>
      <w:r>
        <w:rPr>
          <w:spacing w:val="-7"/>
        </w:rPr>
        <w:t> </w:t>
      </w:r>
      <w:r>
        <w:rPr/>
        <w:t>DHEA</w:t>
      </w:r>
      <w:r>
        <w:rPr>
          <w:spacing w:val="-10"/>
        </w:rPr>
        <w:t> </w:t>
      </w:r>
      <w:r>
        <w:rPr/>
        <w:t>concentration</w:t>
      </w:r>
      <w:r>
        <w:rPr>
          <w:spacing w:val="-10"/>
        </w:rPr>
        <w:t> </w:t>
      </w:r>
      <w:r>
        <w:rPr/>
        <w:t>by</w:t>
      </w:r>
      <w:r>
        <w:rPr>
          <w:spacing w:val="-8"/>
        </w:rPr>
        <w:t> </w:t>
      </w:r>
      <w:r>
        <w:rPr/>
        <w:t>1</w:t>
      </w:r>
      <w:r>
        <w:rPr>
          <w:spacing w:val="-10"/>
        </w:rPr>
        <w:t> </w:t>
      </w:r>
      <w:r>
        <w:rPr/>
        <w:t>mg/litre</w:t>
      </w:r>
      <w:r>
        <w:rPr>
          <w:spacing w:val="-8"/>
        </w:rPr>
        <w:t> </w:t>
      </w:r>
      <w:r>
        <w:rPr/>
        <w:t>greatly</w:t>
      </w:r>
      <w:r>
        <w:rPr>
          <w:spacing w:val="-10"/>
        </w:rPr>
        <w:t> </w:t>
      </w:r>
      <w:r>
        <w:rPr/>
        <w:t>reduced the</w:t>
      </w:r>
      <w:r>
        <w:rPr>
          <w:spacing w:val="-13"/>
        </w:rPr>
        <w:t> </w:t>
      </w:r>
      <w:r>
        <w:rPr/>
        <w:t>risk</w:t>
      </w:r>
      <w:r>
        <w:rPr>
          <w:spacing w:val="-13"/>
        </w:rPr>
        <w:t> </w:t>
      </w:r>
      <w:r>
        <w:rPr/>
        <w:t>of</w:t>
      </w:r>
      <w:r>
        <w:rPr>
          <w:spacing w:val="-14"/>
        </w:rPr>
        <w:t> </w:t>
      </w:r>
      <w:r>
        <w:rPr/>
        <w:t>heart</w:t>
      </w:r>
      <w:r>
        <w:rPr>
          <w:spacing w:val="-16"/>
        </w:rPr>
        <w:t> </w:t>
      </w:r>
      <w:r>
        <w:rPr/>
        <w:t>attacks</w:t>
      </w:r>
      <w:r>
        <w:rPr>
          <w:spacing w:val="-12"/>
        </w:rPr>
        <w:t> </w:t>
      </w:r>
      <w:r>
        <w:rPr/>
        <w:t>and</w:t>
      </w:r>
      <w:r>
        <w:rPr>
          <w:spacing w:val="-14"/>
        </w:rPr>
        <w:t> </w:t>
      </w:r>
      <w:r>
        <w:rPr/>
        <w:t>reduce</w:t>
      </w:r>
      <w:r>
        <w:rPr>
          <w:spacing w:val="-13"/>
        </w:rPr>
        <w:t> </w:t>
      </w:r>
      <w:r>
        <w:rPr/>
        <w:t>the</w:t>
      </w:r>
      <w:r>
        <w:rPr>
          <w:spacing w:val="-13"/>
        </w:rPr>
        <w:t> </w:t>
      </w:r>
      <w:r>
        <w:rPr/>
        <w:t>incidence</w:t>
      </w:r>
      <w:r>
        <w:rPr>
          <w:spacing w:val="-15"/>
        </w:rPr>
        <w:t> </w:t>
      </w:r>
      <w:r>
        <w:rPr/>
        <w:t>of</w:t>
      </w:r>
      <w:r>
        <w:rPr>
          <w:spacing w:val="-13"/>
        </w:rPr>
        <w:t> </w:t>
      </w:r>
      <w:r>
        <w:rPr/>
        <w:t>myocardial</w:t>
      </w:r>
      <w:r>
        <w:rPr>
          <w:spacing w:val="-14"/>
        </w:rPr>
        <w:t> </w:t>
      </w:r>
      <w:r>
        <w:rPr/>
        <w:t>infarction</w:t>
      </w:r>
      <w:r>
        <w:rPr>
          <w:spacing w:val="-12"/>
        </w:rPr>
        <w:t> </w:t>
      </w:r>
      <w:r>
        <w:rPr/>
        <w:t>by</w:t>
      </w:r>
      <w:r>
        <w:rPr>
          <w:spacing w:val="-13"/>
        </w:rPr>
        <w:t> </w:t>
      </w:r>
      <w:r>
        <w:rPr/>
        <w:t>48</w:t>
      </w:r>
    </w:p>
    <w:p>
      <w:pPr>
        <w:pStyle w:val="BodyText"/>
        <w:spacing w:line="427" w:lineRule="exact"/>
        <w:ind w:left="477"/>
        <w:jc w:val="both"/>
      </w:pPr>
      <w:r>
        <w:rPr/>
        <w:t>%.</w:t>
      </w:r>
    </w:p>
    <w:p>
      <w:pPr>
        <w:pStyle w:val="BodyText"/>
        <w:spacing w:line="276" w:lineRule="auto" w:before="304"/>
        <w:ind w:left="477" w:right="137"/>
        <w:jc w:val="both"/>
      </w:pPr>
      <w:r>
        <w:rPr/>
        <w:t>DHEA attaches to specific receptors of the intima (vessel wall) and releases nitric</w:t>
      </w:r>
      <w:r>
        <w:rPr>
          <w:spacing w:val="-22"/>
        </w:rPr>
        <w:t> </w:t>
      </w:r>
      <w:r>
        <w:rPr/>
        <w:t>oxide</w:t>
      </w:r>
      <w:r>
        <w:rPr>
          <w:spacing w:val="-20"/>
        </w:rPr>
        <w:t> </w:t>
      </w:r>
      <w:r>
        <w:rPr/>
        <w:t>(NO).</w:t>
      </w:r>
      <w:r>
        <w:rPr>
          <w:spacing w:val="-19"/>
        </w:rPr>
        <w:t> </w:t>
      </w:r>
      <w:r>
        <w:rPr/>
        <w:t>This</w:t>
      </w:r>
      <w:r>
        <w:rPr>
          <w:spacing w:val="-22"/>
        </w:rPr>
        <w:t> </w:t>
      </w:r>
      <w:r>
        <w:rPr/>
        <w:t>nitric</w:t>
      </w:r>
      <w:r>
        <w:rPr>
          <w:spacing w:val="-22"/>
        </w:rPr>
        <w:t> </w:t>
      </w:r>
      <w:r>
        <w:rPr/>
        <w:t>oxide</w:t>
      </w:r>
      <w:r>
        <w:rPr>
          <w:spacing w:val="-20"/>
        </w:rPr>
        <w:t> </w:t>
      </w:r>
      <w:r>
        <w:rPr/>
        <w:t>has</w:t>
      </w:r>
      <w:r>
        <w:rPr>
          <w:spacing w:val="-22"/>
        </w:rPr>
        <w:t> </w:t>
      </w:r>
      <w:r>
        <w:rPr/>
        <w:t>a</w:t>
      </w:r>
      <w:r>
        <w:rPr>
          <w:spacing w:val="-21"/>
        </w:rPr>
        <w:t> </w:t>
      </w:r>
      <w:r>
        <w:rPr/>
        <w:t>vasodilatory</w:t>
      </w:r>
      <w:r>
        <w:rPr>
          <w:spacing w:val="-20"/>
        </w:rPr>
        <w:t> </w:t>
      </w:r>
      <w:r>
        <w:rPr/>
        <w:t>effect</w:t>
      </w:r>
      <w:r>
        <w:rPr>
          <w:spacing w:val="-22"/>
        </w:rPr>
        <w:t> </w:t>
      </w:r>
      <w:r>
        <w:rPr/>
        <w:t>and</w:t>
      </w:r>
      <w:r>
        <w:rPr>
          <w:spacing w:val="-20"/>
        </w:rPr>
        <w:t> </w:t>
      </w:r>
      <w:r>
        <w:rPr/>
        <w:t>increases</w:t>
      </w:r>
      <w:r>
        <w:rPr>
          <w:spacing w:val="-21"/>
        </w:rPr>
        <w:t> </w:t>
      </w:r>
      <w:r>
        <w:rPr/>
        <w:t>blood circulation.</w:t>
      </w:r>
    </w:p>
    <w:p>
      <w:pPr>
        <w:pStyle w:val="BodyText"/>
        <w:spacing w:line="276" w:lineRule="auto" w:before="241"/>
        <w:ind w:left="477" w:right="141"/>
        <w:jc w:val="both"/>
      </w:pPr>
      <w:r>
        <w:rPr/>
        <w:t>DHEA has also been shown in studies to increase blood flow to the blood vessels by optimising the endothelial function and thus the ability to dilate.</w:t>
      </w:r>
    </w:p>
    <w:p>
      <w:pPr>
        <w:pStyle w:val="BodyText"/>
        <w:spacing w:line="276" w:lineRule="auto" w:before="239"/>
        <w:ind w:left="477" w:right="142"/>
        <w:jc w:val="both"/>
      </w:pPr>
      <w:r>
        <w:rPr/>
        <w:t>As it also promotes lipid breakdown in the liver, it actively lowers cholesterol levels as ‘bad’ LDL cholesterol is excreted more.</w:t>
      </w:r>
    </w:p>
    <w:p>
      <w:pPr>
        <w:pStyle w:val="BodyText"/>
        <w:spacing w:line="276" w:lineRule="auto" w:before="241"/>
        <w:ind w:left="477" w:right="132"/>
        <w:jc w:val="both"/>
      </w:pPr>
      <w:r>
        <w:rPr/>
        <w:t>DHEA intake sensationally reduced arterial calcification in rabbits by 50 % in the John Hopkins Department of Medicine in 1988; it is assumed that it would have similar effects on humans.</w:t>
      </w:r>
    </w:p>
    <w:p>
      <w:pPr>
        <w:pStyle w:val="Heading1"/>
        <w:jc w:val="both"/>
      </w:pPr>
      <w:r>
        <w:rPr/>
        <w:t>Protection against stroke</w:t>
      </w:r>
    </w:p>
    <w:p>
      <w:pPr>
        <w:pStyle w:val="BodyText"/>
        <w:spacing w:line="276" w:lineRule="auto" w:before="297"/>
        <w:ind w:left="477" w:right="136"/>
        <w:jc w:val="both"/>
      </w:pPr>
      <w:r>
        <w:rPr/>
        <w:t>Stroke is often caused by stress, high blood pressure, and platelet clumping. DHEA reduces platelets' sensitivity to stress and tendency to form clumps and</w:t>
      </w:r>
    </w:p>
    <w:p>
      <w:pPr>
        <w:spacing w:after="0" w:line="276" w:lineRule="auto"/>
        <w:jc w:val="both"/>
        <w:sectPr>
          <w:pgSz w:w="14270" w:h="16850"/>
          <w:pgMar w:header="0" w:footer="1891" w:top="1600" w:bottom="2080" w:left="800" w:right="1280"/>
        </w:sectPr>
      </w:pPr>
    </w:p>
    <w:p>
      <w:pPr>
        <w:pStyle w:val="BodyText"/>
        <w:spacing w:line="276" w:lineRule="auto" w:before="181"/>
        <w:ind w:left="477"/>
      </w:pPr>
      <w:r>
        <w:rPr/>
        <w:t>also significantly lowers high blood pressure and can prevent strokes through these mechanisms.</w:t>
      </w:r>
    </w:p>
    <w:p>
      <w:pPr>
        <w:pStyle w:val="BodyText"/>
        <w:spacing w:line="276" w:lineRule="auto" w:before="241"/>
        <w:ind w:left="477" w:right="134"/>
        <w:jc w:val="both"/>
      </w:pPr>
      <w:r>
        <w:rPr/>
        <w:t>Furthermore, the DHEA attaches to specific receptors of the intima (vessel wall) and releases nitric oxide (NO). This nitric oxide has a vasodilatory effect and increases blood circulation. It protects against blood vessel deposits, the dreaded</w:t>
      </w:r>
      <w:r>
        <w:rPr>
          <w:spacing w:val="-16"/>
        </w:rPr>
        <w:t> </w:t>
      </w:r>
      <w:r>
        <w:rPr/>
        <w:t>atherosclerosis,</w:t>
      </w:r>
      <w:r>
        <w:rPr>
          <w:spacing w:val="-16"/>
        </w:rPr>
        <w:t> </w:t>
      </w:r>
      <w:r>
        <w:rPr/>
        <w:t>and</w:t>
      </w:r>
      <w:r>
        <w:rPr>
          <w:spacing w:val="-15"/>
        </w:rPr>
        <w:t> </w:t>
      </w:r>
      <w:r>
        <w:rPr/>
        <w:t>even</w:t>
      </w:r>
      <w:r>
        <w:rPr>
          <w:spacing w:val="-14"/>
        </w:rPr>
        <w:t> </w:t>
      </w:r>
      <w:r>
        <w:rPr/>
        <w:t>reduces</w:t>
      </w:r>
      <w:r>
        <w:rPr>
          <w:spacing w:val="-17"/>
        </w:rPr>
        <w:t> </w:t>
      </w:r>
      <w:r>
        <w:rPr/>
        <w:t>them</w:t>
      </w:r>
      <w:r>
        <w:rPr>
          <w:spacing w:val="-16"/>
        </w:rPr>
        <w:t> </w:t>
      </w:r>
      <w:r>
        <w:rPr/>
        <w:t>by</w:t>
      </w:r>
      <w:r>
        <w:rPr>
          <w:spacing w:val="-14"/>
        </w:rPr>
        <w:t> </w:t>
      </w:r>
      <w:r>
        <w:rPr/>
        <w:t>50</w:t>
      </w:r>
      <w:r>
        <w:rPr>
          <w:spacing w:val="-13"/>
        </w:rPr>
        <w:t> </w:t>
      </w:r>
      <w:r>
        <w:rPr/>
        <w:t>%</w:t>
      </w:r>
      <w:r>
        <w:rPr>
          <w:spacing w:val="-17"/>
        </w:rPr>
        <w:t> </w:t>
      </w:r>
      <w:r>
        <w:rPr/>
        <w:t>in</w:t>
      </w:r>
      <w:r>
        <w:rPr>
          <w:spacing w:val="-17"/>
        </w:rPr>
        <w:t> </w:t>
      </w:r>
      <w:r>
        <w:rPr/>
        <w:t>animal</w:t>
      </w:r>
      <w:r>
        <w:rPr>
          <w:spacing w:val="-15"/>
        </w:rPr>
        <w:t> </w:t>
      </w:r>
      <w:r>
        <w:rPr/>
        <w:t>experiments.</w:t>
      </w:r>
    </w:p>
    <w:p>
      <w:pPr>
        <w:pStyle w:val="BodyText"/>
        <w:spacing w:before="240"/>
        <w:ind w:left="477"/>
      </w:pPr>
      <w:r>
        <w:rPr/>
        <w:t>Overall, it is all the mechanisms together that can safely prevent a stroke.</w:t>
      </w:r>
    </w:p>
    <w:p>
      <w:pPr>
        <w:pStyle w:val="Heading1"/>
        <w:spacing w:before="287"/>
      </w:pPr>
      <w:r>
        <w:rPr/>
        <w:t>Effect of DHEA on stress</w:t>
      </w:r>
    </w:p>
    <w:p>
      <w:pPr>
        <w:pStyle w:val="BodyText"/>
        <w:spacing w:line="276" w:lineRule="auto" w:before="299"/>
        <w:ind w:left="477"/>
      </w:pPr>
      <w:r>
        <w:rPr/>
        <w:t>In its capacity as a strong antiglucocorticoid, DHEA counteracts the stress- causing corticosteroid and thus the physiological side of stress development.</w:t>
      </w:r>
    </w:p>
    <w:p>
      <w:pPr>
        <w:pStyle w:val="Heading1"/>
      </w:pPr>
      <w:r>
        <w:rPr/>
        <w:t>Effect on the skin texture</w:t>
      </w:r>
    </w:p>
    <w:p>
      <w:pPr>
        <w:pStyle w:val="BodyText"/>
        <w:spacing w:line="276" w:lineRule="auto" w:before="297"/>
        <w:ind w:left="477"/>
      </w:pPr>
      <w:r>
        <w:rPr/>
        <w:t>DHEA improves sebum production and prevents age spots; men also experi- ence smoother, wrinkle-free skin after a short time.</w:t>
      </w:r>
    </w:p>
    <w:p>
      <w:pPr>
        <w:pStyle w:val="Heading1"/>
      </w:pPr>
      <w:r>
        <w:rPr/>
        <w:t>Effect on excess weight</w:t>
      </w:r>
    </w:p>
    <w:p>
      <w:pPr>
        <w:pStyle w:val="BodyText"/>
        <w:spacing w:line="276" w:lineRule="auto" w:before="299"/>
        <w:ind w:left="477" w:right="136"/>
        <w:jc w:val="both"/>
      </w:pPr>
      <w:r>
        <w:rPr/>
        <w:t>In parallel with research on the anti-cancer effects of DHEA, it has also been tested on genetically obese mice, with the result that the group of obese mice receiving DHEA did not put on weight, despite their higher caloric intake, and also lived longer. In further experiments on rats, feeding DHEA to obese rats led to weight loss; the tendency to develop diabetes was significantly reduced.</w:t>
      </w:r>
    </w:p>
    <w:p>
      <w:pPr>
        <w:spacing w:after="0" w:line="276" w:lineRule="auto"/>
        <w:jc w:val="both"/>
        <w:sectPr>
          <w:pgSz w:w="14270" w:h="16850"/>
          <w:pgMar w:header="0" w:footer="1891" w:top="1600" w:bottom="2080" w:left="800" w:right="1280"/>
        </w:sectPr>
      </w:pPr>
    </w:p>
    <w:p>
      <w:pPr>
        <w:pStyle w:val="Heading1"/>
        <w:spacing w:before="164"/>
      </w:pPr>
      <w:r>
        <w:rPr/>
        <w:t>How does DHEA counteract obesity?</w:t>
      </w:r>
    </w:p>
    <w:p>
      <w:pPr>
        <w:pStyle w:val="BodyText"/>
        <w:spacing w:line="276" w:lineRule="auto" w:before="299"/>
        <w:ind w:left="477" w:right="133"/>
        <w:jc w:val="both"/>
      </w:pPr>
      <w:r>
        <w:rPr/>
        <w:t>In men, taking DHEA beyond the age of 40 leads to a regeneration in testos- terone</w:t>
      </w:r>
      <w:r>
        <w:rPr>
          <w:spacing w:val="-10"/>
        </w:rPr>
        <w:t> </w:t>
      </w:r>
      <w:r>
        <w:rPr/>
        <w:t>synthesis,</w:t>
      </w:r>
      <w:r>
        <w:rPr>
          <w:spacing w:val="-11"/>
        </w:rPr>
        <w:t> </w:t>
      </w:r>
      <w:r>
        <w:rPr/>
        <w:t>which</w:t>
      </w:r>
      <w:r>
        <w:rPr>
          <w:spacing w:val="-8"/>
        </w:rPr>
        <w:t> </w:t>
      </w:r>
      <w:r>
        <w:rPr/>
        <w:t>in</w:t>
      </w:r>
      <w:r>
        <w:rPr>
          <w:spacing w:val="-12"/>
        </w:rPr>
        <w:t> </w:t>
      </w:r>
      <w:r>
        <w:rPr/>
        <w:t>turn</w:t>
      </w:r>
      <w:r>
        <w:rPr>
          <w:spacing w:val="-8"/>
        </w:rPr>
        <w:t> </w:t>
      </w:r>
      <w:r>
        <w:rPr/>
        <w:t>leads</w:t>
      </w:r>
      <w:r>
        <w:rPr>
          <w:spacing w:val="-10"/>
        </w:rPr>
        <w:t> </w:t>
      </w:r>
      <w:r>
        <w:rPr/>
        <w:t>to</w:t>
      </w:r>
      <w:r>
        <w:rPr>
          <w:spacing w:val="-9"/>
        </w:rPr>
        <w:t> </w:t>
      </w:r>
      <w:r>
        <w:rPr/>
        <w:t>a</w:t>
      </w:r>
      <w:r>
        <w:rPr>
          <w:spacing w:val="-10"/>
        </w:rPr>
        <w:t> </w:t>
      </w:r>
      <w:r>
        <w:rPr/>
        <w:t>more</w:t>
      </w:r>
      <w:r>
        <w:rPr>
          <w:spacing w:val="-9"/>
        </w:rPr>
        <w:t> </w:t>
      </w:r>
      <w:r>
        <w:rPr/>
        <w:t>favourable</w:t>
      </w:r>
      <w:r>
        <w:rPr>
          <w:spacing w:val="-10"/>
        </w:rPr>
        <w:t> </w:t>
      </w:r>
      <w:r>
        <w:rPr/>
        <w:t>ratio</w:t>
      </w:r>
      <w:r>
        <w:rPr>
          <w:spacing w:val="-9"/>
        </w:rPr>
        <w:t> </w:t>
      </w:r>
      <w:r>
        <w:rPr/>
        <w:t>of</w:t>
      </w:r>
      <w:r>
        <w:rPr>
          <w:spacing w:val="-9"/>
        </w:rPr>
        <w:t> </w:t>
      </w:r>
      <w:r>
        <w:rPr/>
        <w:t>muscle</w:t>
      </w:r>
      <w:r>
        <w:rPr>
          <w:spacing w:val="-9"/>
        </w:rPr>
        <w:t> </w:t>
      </w:r>
      <w:r>
        <w:rPr/>
        <w:t>to</w:t>
      </w:r>
      <w:r>
        <w:rPr>
          <w:spacing w:val="-9"/>
        </w:rPr>
        <w:t> </w:t>
      </w:r>
      <w:r>
        <w:rPr/>
        <w:t>fat mass.</w:t>
      </w:r>
      <w:r>
        <w:rPr>
          <w:spacing w:val="-22"/>
        </w:rPr>
        <w:t> </w:t>
      </w:r>
      <w:r>
        <w:rPr/>
        <w:t>DHEA</w:t>
      </w:r>
      <w:r>
        <w:rPr>
          <w:spacing w:val="-22"/>
        </w:rPr>
        <w:t> </w:t>
      </w:r>
      <w:r>
        <w:rPr/>
        <w:t>also</w:t>
      </w:r>
      <w:r>
        <w:rPr>
          <w:spacing w:val="-22"/>
        </w:rPr>
        <w:t> </w:t>
      </w:r>
      <w:r>
        <w:rPr/>
        <w:t>inhibits</w:t>
      </w:r>
      <w:r>
        <w:rPr>
          <w:spacing w:val="-22"/>
        </w:rPr>
        <w:t> </w:t>
      </w:r>
      <w:r>
        <w:rPr/>
        <w:t>fat</w:t>
      </w:r>
      <w:r>
        <w:rPr>
          <w:spacing w:val="-24"/>
        </w:rPr>
        <w:t> </w:t>
      </w:r>
      <w:r>
        <w:rPr/>
        <w:t>synthesis</w:t>
      </w:r>
      <w:r>
        <w:rPr>
          <w:spacing w:val="-23"/>
        </w:rPr>
        <w:t> </w:t>
      </w:r>
      <w:r>
        <w:rPr/>
        <w:t>in</w:t>
      </w:r>
      <w:r>
        <w:rPr>
          <w:spacing w:val="-22"/>
        </w:rPr>
        <w:t> </w:t>
      </w:r>
      <w:r>
        <w:rPr/>
        <w:t>both</w:t>
      </w:r>
      <w:r>
        <w:rPr>
          <w:spacing w:val="-22"/>
        </w:rPr>
        <w:t> </w:t>
      </w:r>
      <w:r>
        <w:rPr/>
        <w:t>sexes</w:t>
      </w:r>
      <w:r>
        <w:rPr>
          <w:spacing w:val="-22"/>
        </w:rPr>
        <w:t> </w:t>
      </w:r>
      <w:r>
        <w:rPr/>
        <w:t>by</w:t>
      </w:r>
      <w:r>
        <w:rPr>
          <w:spacing w:val="-23"/>
        </w:rPr>
        <w:t> </w:t>
      </w:r>
      <w:r>
        <w:rPr/>
        <w:t>suppressing</w:t>
      </w:r>
      <w:r>
        <w:rPr>
          <w:spacing w:val="-22"/>
        </w:rPr>
        <w:t> </w:t>
      </w:r>
      <w:r>
        <w:rPr/>
        <w:t>the</w:t>
      </w:r>
      <w:r>
        <w:rPr>
          <w:spacing w:val="-22"/>
        </w:rPr>
        <w:t> </w:t>
      </w:r>
      <w:r>
        <w:rPr/>
        <w:t>enzyme glucose-6-phosphate</w:t>
      </w:r>
      <w:r>
        <w:rPr>
          <w:spacing w:val="-20"/>
        </w:rPr>
        <w:t> </w:t>
      </w:r>
      <w:r>
        <w:rPr/>
        <w:t>dehydrogenase</w:t>
      </w:r>
      <w:r>
        <w:rPr>
          <w:spacing w:val="-17"/>
        </w:rPr>
        <w:t> </w:t>
      </w:r>
      <w:r>
        <w:rPr/>
        <w:t>(G6PDH),</w:t>
      </w:r>
      <w:r>
        <w:rPr>
          <w:spacing w:val="-17"/>
        </w:rPr>
        <w:t> </w:t>
      </w:r>
      <w:r>
        <w:rPr/>
        <w:t>which</w:t>
      </w:r>
      <w:r>
        <w:rPr>
          <w:spacing w:val="-17"/>
        </w:rPr>
        <w:t> </w:t>
      </w:r>
      <w:r>
        <w:rPr/>
        <w:t>in</w:t>
      </w:r>
      <w:r>
        <w:rPr>
          <w:spacing w:val="-17"/>
        </w:rPr>
        <w:t> </w:t>
      </w:r>
      <w:r>
        <w:rPr/>
        <w:t>turn</w:t>
      </w:r>
      <w:r>
        <w:rPr>
          <w:spacing w:val="-19"/>
        </w:rPr>
        <w:t> </w:t>
      </w:r>
      <w:r>
        <w:rPr/>
        <w:t>breaks</w:t>
      </w:r>
      <w:r>
        <w:rPr>
          <w:spacing w:val="-17"/>
        </w:rPr>
        <w:t> </w:t>
      </w:r>
      <w:r>
        <w:rPr/>
        <w:t>down</w:t>
      </w:r>
      <w:r>
        <w:rPr>
          <w:spacing w:val="-17"/>
        </w:rPr>
        <w:t> </w:t>
      </w:r>
      <w:r>
        <w:rPr/>
        <w:t>glu- cose (carbohydrates).</w:t>
      </w:r>
    </w:p>
    <w:p>
      <w:pPr>
        <w:pStyle w:val="Heading1"/>
        <w:spacing w:before="223"/>
      </w:pPr>
      <w:r>
        <w:rPr/>
        <w:t>Building muscle with DHEA – the anabolic effect</w:t>
      </w:r>
    </w:p>
    <w:p>
      <w:pPr>
        <w:pStyle w:val="BodyText"/>
        <w:spacing w:line="276" w:lineRule="auto" w:before="299"/>
        <w:ind w:left="477" w:right="135"/>
        <w:jc w:val="both"/>
      </w:pPr>
      <w:r>
        <w:rPr/>
        <w:t>DHEA has an anabolic – and therefore a muscle-building – effect. In a study that</w:t>
      </w:r>
      <w:r>
        <w:rPr>
          <w:spacing w:val="-14"/>
        </w:rPr>
        <w:t> </w:t>
      </w:r>
      <w:r>
        <w:rPr/>
        <w:t>examined</w:t>
      </w:r>
      <w:r>
        <w:rPr>
          <w:spacing w:val="-14"/>
        </w:rPr>
        <w:t> </w:t>
      </w:r>
      <w:r>
        <w:rPr/>
        <w:t>the</w:t>
      </w:r>
      <w:r>
        <w:rPr>
          <w:spacing w:val="-13"/>
        </w:rPr>
        <w:t> </w:t>
      </w:r>
      <w:r>
        <w:rPr/>
        <w:t>anabolic</w:t>
      </w:r>
      <w:r>
        <w:rPr>
          <w:spacing w:val="-14"/>
        </w:rPr>
        <w:t> </w:t>
      </w:r>
      <w:r>
        <w:rPr/>
        <w:t>effect</w:t>
      </w:r>
      <w:r>
        <w:rPr>
          <w:spacing w:val="-14"/>
        </w:rPr>
        <w:t> </w:t>
      </w:r>
      <w:r>
        <w:rPr/>
        <w:t>of</w:t>
      </w:r>
      <w:r>
        <w:rPr>
          <w:spacing w:val="-14"/>
        </w:rPr>
        <w:t> </w:t>
      </w:r>
      <w:r>
        <w:rPr/>
        <w:t>DHEA,</w:t>
      </w:r>
      <w:r>
        <w:rPr>
          <w:spacing w:val="-13"/>
        </w:rPr>
        <w:t> </w:t>
      </w:r>
      <w:r>
        <w:rPr/>
        <w:t>young</w:t>
      </w:r>
      <w:r>
        <w:rPr>
          <w:spacing w:val="-14"/>
        </w:rPr>
        <w:t> </w:t>
      </w:r>
      <w:r>
        <w:rPr/>
        <w:t>men</w:t>
      </w:r>
      <w:r>
        <w:rPr>
          <w:spacing w:val="-13"/>
        </w:rPr>
        <w:t> </w:t>
      </w:r>
      <w:r>
        <w:rPr/>
        <w:t>increased</w:t>
      </w:r>
      <w:r>
        <w:rPr>
          <w:spacing w:val="-14"/>
        </w:rPr>
        <w:t> </w:t>
      </w:r>
      <w:r>
        <w:rPr/>
        <w:t>their</w:t>
      </w:r>
      <w:r>
        <w:rPr>
          <w:spacing w:val="-13"/>
        </w:rPr>
        <w:t> </w:t>
      </w:r>
      <w:r>
        <w:rPr/>
        <w:t>fat-free body mass by a whopping 4.5 kg over a four-week period. The high dose of 1600 mg DHEA/day that was used is also noteworthy here (see also ‘DHEA studies’).</w:t>
      </w:r>
    </w:p>
    <w:p>
      <w:pPr>
        <w:pStyle w:val="Heading1"/>
        <w:spacing w:before="223"/>
      </w:pPr>
      <w:r>
        <w:rPr/>
        <w:t>Effect against osteoporosis</w:t>
      </w:r>
    </w:p>
    <w:p>
      <w:pPr>
        <w:pStyle w:val="BodyText"/>
        <w:spacing w:line="276" w:lineRule="auto" w:before="299"/>
        <w:ind w:left="477" w:right="134"/>
        <w:jc w:val="both"/>
      </w:pPr>
      <w:r>
        <w:rPr/>
        <w:t>Postmenopausal women become particularly susceptible to pathological bone loss, known as osteoporosis. By balancing hormone levels and bringing them back to those of a young person, DHEA successfully prevents osteoporosis. Here, DHEA lowers the IL-6 level, which is responsible, among other things, for the production of osteoclasts known to break down the bone substance.</w:t>
      </w:r>
    </w:p>
    <w:p>
      <w:pPr>
        <w:pStyle w:val="Heading1"/>
        <w:spacing w:before="223"/>
        <w:jc w:val="both"/>
      </w:pPr>
      <w:r>
        <w:rPr/>
        <w:t>Effect on brain performance</w:t>
      </w:r>
    </w:p>
    <w:p>
      <w:pPr>
        <w:pStyle w:val="BodyText"/>
        <w:spacing w:before="299"/>
        <w:ind w:left="477"/>
        <w:jc w:val="both"/>
      </w:pPr>
      <w:r>
        <w:rPr/>
        <w:t>Research by Dr. E. Roberts indicates that even a small amount of DHEA is</w:t>
      </w:r>
    </w:p>
    <w:p>
      <w:pPr>
        <w:spacing w:after="0"/>
        <w:jc w:val="both"/>
        <w:sectPr>
          <w:pgSz w:w="14270" w:h="16850"/>
          <w:pgMar w:header="0" w:footer="1891" w:top="1600" w:bottom="2080" w:left="800" w:right="1280"/>
        </w:sectPr>
      </w:pPr>
    </w:p>
    <w:p>
      <w:pPr>
        <w:pStyle w:val="BodyText"/>
        <w:spacing w:line="276" w:lineRule="auto" w:before="181"/>
        <w:ind w:left="477" w:right="131"/>
        <w:jc w:val="both"/>
      </w:pPr>
      <w:r>
        <w:rPr/>
        <w:t>sufficient to duplicate the number of nerve cells (neurons) in the brain. In ad- dition, DHEA increases nerve cell cooperation and protects it from degenerat- ing, which can lead to Alzheimer's, Parkinson's and other brain diseases. In an- imal experiments, long-term memory has been increased, and researchers as- sume it would have a similar effect on humans. In animal experiments, DHEA was able to significantly improve cognitive functions (see ‘DHEA studies’).</w:t>
      </w:r>
    </w:p>
    <w:p>
      <w:pPr>
        <w:pStyle w:val="Heading1"/>
        <w:jc w:val="both"/>
      </w:pPr>
      <w:r>
        <w:rPr/>
        <w:t>Effect of DHEA on Alzheimer's</w:t>
      </w:r>
    </w:p>
    <w:p>
      <w:pPr>
        <w:pStyle w:val="BodyText"/>
        <w:spacing w:line="276" w:lineRule="auto" w:before="299"/>
        <w:ind w:left="477" w:right="131"/>
        <w:jc w:val="both"/>
      </w:pPr>
      <w:r>
        <w:rPr/>
        <w:t>DHEA’s</w:t>
      </w:r>
      <w:r>
        <w:rPr>
          <w:spacing w:val="-21"/>
        </w:rPr>
        <w:t> </w:t>
      </w:r>
      <w:r>
        <w:rPr/>
        <w:t>protection</w:t>
      </w:r>
      <w:r>
        <w:rPr>
          <w:spacing w:val="-20"/>
        </w:rPr>
        <w:t> </w:t>
      </w:r>
      <w:r>
        <w:rPr/>
        <w:t>against</w:t>
      </w:r>
      <w:r>
        <w:rPr>
          <w:spacing w:val="-21"/>
        </w:rPr>
        <w:t> </w:t>
      </w:r>
      <w:r>
        <w:rPr/>
        <w:t>degenerative</w:t>
      </w:r>
      <w:r>
        <w:rPr>
          <w:spacing w:val="-22"/>
        </w:rPr>
        <w:t> </w:t>
      </w:r>
      <w:r>
        <w:rPr/>
        <w:t>processes</w:t>
      </w:r>
      <w:r>
        <w:rPr>
          <w:spacing w:val="-20"/>
        </w:rPr>
        <w:t> </w:t>
      </w:r>
      <w:r>
        <w:rPr/>
        <w:t>in</w:t>
      </w:r>
      <w:r>
        <w:rPr>
          <w:spacing w:val="-23"/>
        </w:rPr>
        <w:t> </w:t>
      </w:r>
      <w:r>
        <w:rPr/>
        <w:t>the</w:t>
      </w:r>
      <w:r>
        <w:rPr>
          <w:spacing w:val="-23"/>
        </w:rPr>
        <w:t> </w:t>
      </w:r>
      <w:r>
        <w:rPr/>
        <w:t>brain,</w:t>
      </w:r>
      <w:r>
        <w:rPr>
          <w:spacing w:val="-22"/>
        </w:rPr>
        <w:t> </w:t>
      </w:r>
      <w:r>
        <w:rPr/>
        <w:t>increase</w:t>
      </w:r>
      <w:r>
        <w:rPr>
          <w:spacing w:val="-21"/>
        </w:rPr>
        <w:t> </w:t>
      </w:r>
      <w:r>
        <w:rPr/>
        <w:t>in</w:t>
      </w:r>
      <w:r>
        <w:rPr>
          <w:spacing w:val="-23"/>
        </w:rPr>
        <w:t> </w:t>
      </w:r>
      <w:r>
        <w:rPr/>
        <w:t>neu- rons,</w:t>
      </w:r>
      <w:r>
        <w:rPr>
          <w:spacing w:val="-19"/>
        </w:rPr>
        <w:t> </w:t>
      </w:r>
      <w:r>
        <w:rPr/>
        <w:t>and</w:t>
      </w:r>
      <w:r>
        <w:rPr>
          <w:spacing w:val="-20"/>
        </w:rPr>
        <w:t> </w:t>
      </w:r>
      <w:r>
        <w:rPr/>
        <w:t>the</w:t>
      </w:r>
      <w:r>
        <w:rPr>
          <w:spacing w:val="-19"/>
        </w:rPr>
        <w:t> </w:t>
      </w:r>
      <w:r>
        <w:rPr/>
        <w:t>transmission</w:t>
      </w:r>
      <w:r>
        <w:rPr>
          <w:spacing w:val="-19"/>
        </w:rPr>
        <w:t> </w:t>
      </w:r>
      <w:r>
        <w:rPr/>
        <w:t>of</w:t>
      </w:r>
      <w:r>
        <w:rPr>
          <w:spacing w:val="-21"/>
        </w:rPr>
        <w:t> </w:t>
      </w:r>
      <w:r>
        <w:rPr/>
        <w:t>signals</w:t>
      </w:r>
      <w:r>
        <w:rPr>
          <w:spacing w:val="-16"/>
        </w:rPr>
        <w:t> </w:t>
      </w:r>
      <w:r>
        <w:rPr/>
        <w:t>between</w:t>
      </w:r>
      <w:r>
        <w:rPr>
          <w:spacing w:val="-19"/>
        </w:rPr>
        <w:t> </w:t>
      </w:r>
      <w:r>
        <w:rPr/>
        <w:t>them,</w:t>
      </w:r>
      <w:r>
        <w:rPr>
          <w:spacing w:val="-18"/>
        </w:rPr>
        <w:t> </w:t>
      </w:r>
      <w:r>
        <w:rPr/>
        <w:t>counteract</w:t>
      </w:r>
      <w:r>
        <w:rPr>
          <w:spacing w:val="-20"/>
        </w:rPr>
        <w:t> </w:t>
      </w:r>
      <w:r>
        <w:rPr/>
        <w:t>Alzheimer’s</w:t>
      </w:r>
      <w:r>
        <w:rPr>
          <w:spacing w:val="-17"/>
        </w:rPr>
        <w:t> </w:t>
      </w:r>
      <w:r>
        <w:rPr/>
        <w:t>and other brain diseases.</w:t>
      </w:r>
    </w:p>
    <w:p>
      <w:pPr>
        <w:pStyle w:val="Heading1"/>
        <w:jc w:val="both"/>
      </w:pPr>
      <w:r>
        <w:rPr/>
        <w:t>Effect of DHEA against ageing</w:t>
      </w:r>
    </w:p>
    <w:p>
      <w:pPr>
        <w:pStyle w:val="BodyText"/>
        <w:spacing w:line="276" w:lineRule="auto" w:before="297"/>
        <w:ind w:left="477" w:right="132"/>
        <w:jc w:val="both"/>
      </w:pPr>
      <w:r>
        <w:rPr/>
        <w:t>DHEA</w:t>
      </w:r>
      <w:r>
        <w:rPr>
          <w:spacing w:val="-21"/>
        </w:rPr>
        <w:t> </w:t>
      </w:r>
      <w:r>
        <w:rPr/>
        <w:t>is</w:t>
      </w:r>
      <w:r>
        <w:rPr>
          <w:spacing w:val="-22"/>
        </w:rPr>
        <w:t> </w:t>
      </w:r>
      <w:r>
        <w:rPr/>
        <w:t>considered</w:t>
      </w:r>
      <w:r>
        <w:rPr>
          <w:spacing w:val="-21"/>
        </w:rPr>
        <w:t> </w:t>
      </w:r>
      <w:r>
        <w:rPr/>
        <w:t>to</w:t>
      </w:r>
      <w:r>
        <w:rPr>
          <w:spacing w:val="-23"/>
        </w:rPr>
        <w:t> </w:t>
      </w:r>
      <w:r>
        <w:rPr/>
        <w:t>be</w:t>
      </w:r>
      <w:r>
        <w:rPr>
          <w:spacing w:val="-20"/>
        </w:rPr>
        <w:t> </w:t>
      </w:r>
      <w:r>
        <w:rPr/>
        <w:t>one</w:t>
      </w:r>
      <w:r>
        <w:rPr>
          <w:spacing w:val="-24"/>
        </w:rPr>
        <w:t> </w:t>
      </w:r>
      <w:r>
        <w:rPr/>
        <w:t>of</w:t>
      </w:r>
      <w:r>
        <w:rPr>
          <w:spacing w:val="-21"/>
        </w:rPr>
        <w:t> </w:t>
      </w:r>
      <w:r>
        <w:rPr/>
        <w:t>the</w:t>
      </w:r>
      <w:r>
        <w:rPr>
          <w:spacing w:val="-20"/>
        </w:rPr>
        <w:t> </w:t>
      </w:r>
      <w:r>
        <w:rPr/>
        <w:t>most</w:t>
      </w:r>
      <w:r>
        <w:rPr>
          <w:spacing w:val="-21"/>
        </w:rPr>
        <w:t> </w:t>
      </w:r>
      <w:r>
        <w:rPr/>
        <w:t>reliable</w:t>
      </w:r>
      <w:r>
        <w:rPr>
          <w:spacing w:val="-21"/>
        </w:rPr>
        <w:t> </w:t>
      </w:r>
      <w:r>
        <w:rPr/>
        <w:t>bio-markers</w:t>
      </w:r>
      <w:r>
        <w:rPr>
          <w:spacing w:val="-21"/>
        </w:rPr>
        <w:t> </w:t>
      </w:r>
      <w:r>
        <w:rPr/>
        <w:t>for</w:t>
      </w:r>
      <w:r>
        <w:rPr>
          <w:spacing w:val="-21"/>
        </w:rPr>
        <w:t> </w:t>
      </w:r>
      <w:r>
        <w:rPr/>
        <w:t>determining age status and has impressively managed to extend life by 50 % in animal stud- ies.</w:t>
      </w:r>
      <w:r>
        <w:rPr>
          <w:spacing w:val="-9"/>
        </w:rPr>
        <w:t> </w:t>
      </w:r>
      <w:r>
        <w:rPr/>
        <w:t>Animals</w:t>
      </w:r>
      <w:r>
        <w:rPr>
          <w:spacing w:val="-8"/>
        </w:rPr>
        <w:t> </w:t>
      </w:r>
      <w:r>
        <w:rPr/>
        <w:t>fed</w:t>
      </w:r>
      <w:r>
        <w:rPr>
          <w:spacing w:val="-12"/>
        </w:rPr>
        <w:t> </w:t>
      </w:r>
      <w:r>
        <w:rPr/>
        <w:t>with</w:t>
      </w:r>
      <w:r>
        <w:rPr>
          <w:spacing w:val="-8"/>
        </w:rPr>
        <w:t> </w:t>
      </w:r>
      <w:r>
        <w:rPr/>
        <w:t>DHEA</w:t>
      </w:r>
      <w:r>
        <w:rPr>
          <w:spacing w:val="-9"/>
        </w:rPr>
        <w:t> </w:t>
      </w:r>
      <w:r>
        <w:rPr/>
        <w:t>not</w:t>
      </w:r>
      <w:r>
        <w:rPr>
          <w:spacing w:val="-9"/>
        </w:rPr>
        <w:t> </w:t>
      </w:r>
      <w:r>
        <w:rPr/>
        <w:t>only</w:t>
      </w:r>
      <w:r>
        <w:rPr>
          <w:spacing w:val="-9"/>
        </w:rPr>
        <w:t> </w:t>
      </w:r>
      <w:r>
        <w:rPr/>
        <w:t>lived</w:t>
      </w:r>
      <w:r>
        <w:rPr>
          <w:spacing w:val="-11"/>
        </w:rPr>
        <w:t> </w:t>
      </w:r>
      <w:r>
        <w:rPr/>
        <w:t>about</w:t>
      </w:r>
      <w:r>
        <w:rPr>
          <w:spacing w:val="-10"/>
        </w:rPr>
        <w:t> </w:t>
      </w:r>
      <w:r>
        <w:rPr/>
        <w:t>50</w:t>
      </w:r>
      <w:r>
        <w:rPr>
          <w:spacing w:val="-6"/>
        </w:rPr>
        <w:t> </w:t>
      </w:r>
      <w:r>
        <w:rPr/>
        <w:t>%</w:t>
      </w:r>
      <w:r>
        <w:rPr>
          <w:spacing w:val="-9"/>
        </w:rPr>
        <w:t> </w:t>
      </w:r>
      <w:r>
        <w:rPr/>
        <w:t>longer</w:t>
      </w:r>
      <w:r>
        <w:rPr>
          <w:spacing w:val="-9"/>
        </w:rPr>
        <w:t> </w:t>
      </w:r>
      <w:r>
        <w:rPr/>
        <w:t>than</w:t>
      </w:r>
      <w:r>
        <w:rPr>
          <w:spacing w:val="-9"/>
        </w:rPr>
        <w:t> </w:t>
      </w:r>
      <w:r>
        <w:rPr/>
        <w:t>their</w:t>
      </w:r>
      <w:r>
        <w:rPr>
          <w:spacing w:val="-10"/>
        </w:rPr>
        <w:t> </w:t>
      </w:r>
      <w:r>
        <w:rPr/>
        <w:t>peers, they also looked significantly</w:t>
      </w:r>
      <w:r>
        <w:rPr>
          <w:spacing w:val="-2"/>
        </w:rPr>
        <w:t> </w:t>
      </w:r>
      <w:r>
        <w:rPr/>
        <w:t>younger.</w:t>
      </w:r>
    </w:p>
    <w:p>
      <w:pPr>
        <w:pStyle w:val="BodyText"/>
        <w:spacing w:line="276" w:lineRule="auto" w:before="241"/>
        <w:ind w:left="477" w:right="135"/>
        <w:jc w:val="both"/>
      </w:pPr>
      <w:r>
        <w:rPr/>
        <w:t>A twelve-year study on 240 men between the ages of 50 and 79 revealed</w:t>
      </w:r>
      <w:r>
        <w:rPr>
          <w:spacing w:val="-50"/>
        </w:rPr>
        <w:t> </w:t>
      </w:r>
      <w:r>
        <w:rPr/>
        <w:t>some- thing</w:t>
      </w:r>
      <w:r>
        <w:rPr>
          <w:spacing w:val="-23"/>
        </w:rPr>
        <w:t> </w:t>
      </w:r>
      <w:r>
        <w:rPr/>
        <w:t>astonishing.</w:t>
      </w:r>
      <w:r>
        <w:rPr>
          <w:spacing w:val="-21"/>
        </w:rPr>
        <w:t> </w:t>
      </w:r>
      <w:r>
        <w:rPr/>
        <w:t>According</w:t>
      </w:r>
      <w:r>
        <w:rPr>
          <w:spacing w:val="-23"/>
        </w:rPr>
        <w:t> </w:t>
      </w:r>
      <w:r>
        <w:rPr/>
        <w:t>to</w:t>
      </w:r>
      <w:r>
        <w:rPr>
          <w:spacing w:val="-22"/>
        </w:rPr>
        <w:t> </w:t>
      </w:r>
      <w:r>
        <w:rPr/>
        <w:t>this</w:t>
      </w:r>
      <w:r>
        <w:rPr>
          <w:spacing w:val="-22"/>
        </w:rPr>
        <w:t> </w:t>
      </w:r>
      <w:r>
        <w:rPr/>
        <w:t>study,</w:t>
      </w:r>
      <w:r>
        <w:rPr>
          <w:spacing w:val="-22"/>
        </w:rPr>
        <w:t> </w:t>
      </w:r>
      <w:r>
        <w:rPr/>
        <w:t>there</w:t>
      </w:r>
      <w:r>
        <w:rPr>
          <w:spacing w:val="-21"/>
        </w:rPr>
        <w:t> </w:t>
      </w:r>
      <w:r>
        <w:rPr/>
        <w:t>is</w:t>
      </w:r>
      <w:r>
        <w:rPr>
          <w:spacing w:val="-22"/>
        </w:rPr>
        <w:t> </w:t>
      </w:r>
      <w:r>
        <w:rPr/>
        <w:t>a</w:t>
      </w:r>
      <w:r>
        <w:rPr>
          <w:spacing w:val="-23"/>
        </w:rPr>
        <w:t> </w:t>
      </w:r>
      <w:r>
        <w:rPr/>
        <w:t>reverse</w:t>
      </w:r>
      <w:r>
        <w:rPr>
          <w:spacing w:val="-23"/>
        </w:rPr>
        <w:t> </w:t>
      </w:r>
      <w:r>
        <w:rPr/>
        <w:t>correlation</w:t>
      </w:r>
      <w:r>
        <w:rPr>
          <w:spacing w:val="-22"/>
        </w:rPr>
        <w:t> </w:t>
      </w:r>
      <w:r>
        <w:rPr/>
        <w:t>between DHEA levels and mortality; in other words, the higher the DHEA level, the longer the subjects lived, and the lower the level, the sooner they died. Here, a 1 mg/litre increase in DHEA concentration corresponded to a full 48 % de- crease</w:t>
      </w:r>
      <w:r>
        <w:rPr>
          <w:spacing w:val="-7"/>
        </w:rPr>
        <w:t> </w:t>
      </w:r>
      <w:r>
        <w:rPr/>
        <w:t>in</w:t>
      </w:r>
      <w:r>
        <w:rPr>
          <w:spacing w:val="-8"/>
        </w:rPr>
        <w:t> </w:t>
      </w:r>
      <w:r>
        <w:rPr/>
        <w:t>heart</w:t>
      </w:r>
      <w:r>
        <w:rPr>
          <w:spacing w:val="-8"/>
        </w:rPr>
        <w:t> </w:t>
      </w:r>
      <w:r>
        <w:rPr/>
        <w:t>attack</w:t>
      </w:r>
      <w:r>
        <w:rPr>
          <w:spacing w:val="-8"/>
        </w:rPr>
        <w:t> </w:t>
      </w:r>
      <w:r>
        <w:rPr/>
        <w:t>mortality,</w:t>
      </w:r>
      <w:r>
        <w:rPr>
          <w:spacing w:val="-8"/>
        </w:rPr>
        <w:t> </w:t>
      </w:r>
      <w:r>
        <w:rPr/>
        <w:t>which</w:t>
      </w:r>
      <w:r>
        <w:rPr>
          <w:spacing w:val="-7"/>
        </w:rPr>
        <w:t> </w:t>
      </w:r>
      <w:r>
        <w:rPr/>
        <w:t>cannot</w:t>
      </w:r>
      <w:r>
        <w:rPr>
          <w:spacing w:val="-7"/>
        </w:rPr>
        <w:t> </w:t>
      </w:r>
      <w:r>
        <w:rPr/>
        <w:t>be</w:t>
      </w:r>
      <w:r>
        <w:rPr>
          <w:spacing w:val="-10"/>
        </w:rPr>
        <w:t> </w:t>
      </w:r>
      <w:r>
        <w:rPr/>
        <w:t>emphasised</w:t>
      </w:r>
      <w:r>
        <w:rPr>
          <w:spacing w:val="-8"/>
        </w:rPr>
        <w:t> </w:t>
      </w:r>
      <w:r>
        <w:rPr/>
        <w:t>enough,</w:t>
      </w:r>
      <w:r>
        <w:rPr>
          <w:spacing w:val="-7"/>
        </w:rPr>
        <w:t> </w:t>
      </w:r>
      <w:r>
        <w:rPr/>
        <w:t>given</w:t>
      </w:r>
      <w:r>
        <w:rPr>
          <w:spacing w:val="-7"/>
        </w:rPr>
        <w:t> </w:t>
      </w:r>
      <w:r>
        <w:rPr/>
        <w:t>the</w:t>
      </w:r>
    </w:p>
    <w:p>
      <w:pPr>
        <w:spacing w:after="0" w:line="276" w:lineRule="auto"/>
        <w:jc w:val="both"/>
        <w:sectPr>
          <w:pgSz w:w="14270" w:h="16850"/>
          <w:pgMar w:header="0" w:footer="1891" w:top="1600" w:bottom="2080" w:left="800" w:right="1280"/>
        </w:sectPr>
      </w:pPr>
    </w:p>
    <w:p>
      <w:pPr>
        <w:pStyle w:val="BodyText"/>
        <w:spacing w:before="181"/>
        <w:ind w:left="477"/>
        <w:jc w:val="both"/>
      </w:pPr>
      <w:r>
        <w:rPr/>
        <w:t>sad fact that one in two people dies of cardiovascular disease.</w:t>
      </w:r>
    </w:p>
    <w:p>
      <w:pPr>
        <w:pStyle w:val="BodyText"/>
        <w:spacing w:line="276" w:lineRule="auto" w:before="305"/>
        <w:ind w:left="477" w:right="134"/>
        <w:jc w:val="both"/>
      </w:pPr>
      <w:r>
        <w:rPr/>
        <w:t>Further studies showed that taking DHEA leads to an improvement in skin texture,</w:t>
      </w:r>
      <w:r>
        <w:rPr>
          <w:spacing w:val="-18"/>
        </w:rPr>
        <w:t> </w:t>
      </w:r>
      <w:r>
        <w:rPr/>
        <w:t>an</w:t>
      </w:r>
      <w:r>
        <w:rPr>
          <w:spacing w:val="-18"/>
        </w:rPr>
        <w:t> </w:t>
      </w:r>
      <w:r>
        <w:rPr/>
        <w:t>increase</w:t>
      </w:r>
      <w:r>
        <w:rPr>
          <w:spacing w:val="-18"/>
        </w:rPr>
        <w:t> </w:t>
      </w:r>
      <w:r>
        <w:rPr/>
        <w:t>in</w:t>
      </w:r>
      <w:r>
        <w:rPr>
          <w:spacing w:val="-18"/>
        </w:rPr>
        <w:t> </w:t>
      </w:r>
      <w:r>
        <w:rPr/>
        <w:t>libido</w:t>
      </w:r>
      <w:r>
        <w:rPr>
          <w:spacing w:val="-17"/>
        </w:rPr>
        <w:t> </w:t>
      </w:r>
      <w:r>
        <w:rPr/>
        <w:t>and</w:t>
      </w:r>
      <w:r>
        <w:rPr>
          <w:spacing w:val="-15"/>
        </w:rPr>
        <w:t> </w:t>
      </w:r>
      <w:r>
        <w:rPr/>
        <w:t>well-being</w:t>
      </w:r>
      <w:r>
        <w:rPr>
          <w:spacing w:val="-17"/>
        </w:rPr>
        <w:t> </w:t>
      </w:r>
      <w:r>
        <w:rPr/>
        <w:t>as</w:t>
      </w:r>
      <w:r>
        <w:rPr>
          <w:spacing w:val="-18"/>
        </w:rPr>
        <w:t> </w:t>
      </w:r>
      <w:r>
        <w:rPr/>
        <w:t>well</w:t>
      </w:r>
      <w:r>
        <w:rPr>
          <w:spacing w:val="-19"/>
        </w:rPr>
        <w:t> </w:t>
      </w:r>
      <w:r>
        <w:rPr/>
        <w:t>as</w:t>
      </w:r>
      <w:r>
        <w:rPr>
          <w:spacing w:val="-18"/>
        </w:rPr>
        <w:t> </w:t>
      </w:r>
      <w:r>
        <w:rPr/>
        <w:t>increased</w:t>
      </w:r>
      <w:r>
        <w:rPr>
          <w:spacing w:val="-17"/>
        </w:rPr>
        <w:t> </w:t>
      </w:r>
      <w:r>
        <w:rPr/>
        <w:t>fat</w:t>
      </w:r>
      <w:r>
        <w:rPr>
          <w:spacing w:val="-18"/>
        </w:rPr>
        <w:t> </w:t>
      </w:r>
      <w:r>
        <w:rPr/>
        <w:t>loss.</w:t>
      </w:r>
      <w:r>
        <w:rPr>
          <w:spacing w:val="-17"/>
        </w:rPr>
        <w:t> </w:t>
      </w:r>
      <w:r>
        <w:rPr/>
        <w:t>Women experience normal vaginal and prostatic secretion again and sexual intercourse can take place without additional</w:t>
      </w:r>
      <w:r>
        <w:rPr>
          <w:spacing w:val="-2"/>
        </w:rPr>
        <w:t> </w:t>
      </w:r>
      <w:r>
        <w:rPr/>
        <w:t>aids.</w:t>
      </w:r>
    </w:p>
    <w:p>
      <w:pPr>
        <w:pStyle w:val="BodyText"/>
        <w:spacing w:line="276" w:lineRule="auto" w:before="239"/>
        <w:ind w:left="477" w:right="132"/>
        <w:jc w:val="both"/>
      </w:pPr>
      <w:r>
        <w:rPr/>
        <w:t>Incidentally, DHEA, which is supplied from outside as a dietary</w:t>
      </w:r>
      <w:r>
        <w:rPr>
          <w:spacing w:val="-69"/>
        </w:rPr>
        <w:t> </w:t>
      </w:r>
      <w:r>
        <w:rPr/>
        <w:t>supplement, is accepted as the body's own and can compensate well for age-related loss as a result of the decline in the body's production of the substance.</w:t>
      </w:r>
    </w:p>
    <w:p>
      <w:pPr>
        <w:pStyle w:val="Heading1"/>
        <w:jc w:val="both"/>
      </w:pPr>
      <w:r>
        <w:rPr/>
        <w:t>Possible explanation of how it works</w:t>
      </w:r>
    </w:p>
    <w:p>
      <w:pPr>
        <w:pStyle w:val="BodyText"/>
        <w:spacing w:line="276" w:lineRule="auto" w:before="300"/>
        <w:ind w:left="477" w:right="135"/>
        <w:jc w:val="both"/>
      </w:pPr>
      <w:r>
        <w:rPr/>
        <w:t>In the course of our life, our production of sex hormones decreases steadily from</w:t>
      </w:r>
      <w:r>
        <w:rPr>
          <w:spacing w:val="-5"/>
        </w:rPr>
        <w:t> </w:t>
      </w:r>
      <w:r>
        <w:rPr/>
        <w:t>the</w:t>
      </w:r>
      <w:r>
        <w:rPr>
          <w:spacing w:val="-7"/>
        </w:rPr>
        <w:t> </w:t>
      </w:r>
      <w:r>
        <w:rPr/>
        <w:t>age</w:t>
      </w:r>
      <w:r>
        <w:rPr>
          <w:spacing w:val="-7"/>
        </w:rPr>
        <w:t> </w:t>
      </w:r>
      <w:r>
        <w:rPr/>
        <w:t>of</w:t>
      </w:r>
      <w:r>
        <w:rPr>
          <w:spacing w:val="-9"/>
        </w:rPr>
        <w:t> </w:t>
      </w:r>
      <w:r>
        <w:rPr/>
        <w:t>35,</w:t>
      </w:r>
      <w:r>
        <w:rPr>
          <w:spacing w:val="-4"/>
        </w:rPr>
        <w:t> </w:t>
      </w:r>
      <w:r>
        <w:rPr/>
        <w:t>which</w:t>
      </w:r>
      <w:r>
        <w:rPr>
          <w:spacing w:val="-3"/>
        </w:rPr>
        <w:t> </w:t>
      </w:r>
      <w:r>
        <w:rPr/>
        <w:t>is</w:t>
      </w:r>
      <w:r>
        <w:rPr>
          <w:spacing w:val="-7"/>
        </w:rPr>
        <w:t> </w:t>
      </w:r>
      <w:r>
        <w:rPr/>
        <w:t>considered</w:t>
      </w:r>
      <w:r>
        <w:rPr>
          <w:spacing w:val="-4"/>
        </w:rPr>
        <w:t> </w:t>
      </w:r>
      <w:r>
        <w:rPr/>
        <w:t>an</w:t>
      </w:r>
      <w:r>
        <w:rPr>
          <w:spacing w:val="-6"/>
        </w:rPr>
        <w:t> </w:t>
      </w:r>
      <w:r>
        <w:rPr/>
        <w:t>important</w:t>
      </w:r>
      <w:r>
        <w:rPr>
          <w:spacing w:val="-4"/>
        </w:rPr>
        <w:t> </w:t>
      </w:r>
      <w:r>
        <w:rPr/>
        <w:t>aspect</w:t>
      </w:r>
      <w:r>
        <w:rPr>
          <w:spacing w:val="-7"/>
        </w:rPr>
        <w:t> </w:t>
      </w:r>
      <w:r>
        <w:rPr/>
        <w:t>of</w:t>
      </w:r>
      <w:r>
        <w:rPr>
          <w:spacing w:val="-6"/>
        </w:rPr>
        <w:t> </w:t>
      </w:r>
      <w:r>
        <w:rPr/>
        <w:t>physical</w:t>
      </w:r>
      <w:r>
        <w:rPr>
          <w:spacing w:val="-5"/>
        </w:rPr>
        <w:t> </w:t>
      </w:r>
      <w:r>
        <w:rPr/>
        <w:t>ageing.</w:t>
      </w:r>
    </w:p>
    <w:p>
      <w:pPr>
        <w:pStyle w:val="BodyText"/>
        <w:spacing w:line="276" w:lineRule="auto" w:before="238"/>
        <w:ind w:left="477" w:right="132"/>
        <w:jc w:val="both"/>
      </w:pPr>
      <w:r>
        <w:rPr/>
        <w:t>DHEA has the ability to restore male (testosterone) and female (oestrogen) hormones to their youthful levels, which has a profound effect on our entire body,</w:t>
      </w:r>
      <w:r>
        <w:rPr>
          <w:spacing w:val="-17"/>
        </w:rPr>
        <w:t> </w:t>
      </w:r>
      <w:r>
        <w:rPr/>
        <w:t>from</w:t>
      </w:r>
      <w:r>
        <w:rPr>
          <w:spacing w:val="-16"/>
        </w:rPr>
        <w:t> </w:t>
      </w:r>
      <w:r>
        <w:rPr/>
        <w:t>skin</w:t>
      </w:r>
      <w:r>
        <w:rPr>
          <w:spacing w:val="-20"/>
        </w:rPr>
        <w:t> </w:t>
      </w:r>
      <w:r>
        <w:rPr/>
        <w:t>texture</w:t>
      </w:r>
      <w:r>
        <w:rPr>
          <w:spacing w:val="-16"/>
        </w:rPr>
        <w:t> </w:t>
      </w:r>
      <w:r>
        <w:rPr/>
        <w:t>and</w:t>
      </w:r>
      <w:r>
        <w:rPr>
          <w:spacing w:val="-17"/>
        </w:rPr>
        <w:t> </w:t>
      </w:r>
      <w:r>
        <w:rPr/>
        <w:t>muscle</w:t>
      </w:r>
      <w:r>
        <w:rPr>
          <w:spacing w:val="-17"/>
        </w:rPr>
        <w:t> </w:t>
      </w:r>
      <w:r>
        <w:rPr/>
        <w:t>condition</w:t>
      </w:r>
      <w:r>
        <w:rPr>
          <w:spacing w:val="-16"/>
        </w:rPr>
        <w:t> </w:t>
      </w:r>
      <w:r>
        <w:rPr/>
        <w:t>to</w:t>
      </w:r>
      <w:r>
        <w:rPr>
          <w:spacing w:val="-21"/>
        </w:rPr>
        <w:t> </w:t>
      </w:r>
      <w:r>
        <w:rPr/>
        <w:t>sexual</w:t>
      </w:r>
      <w:r>
        <w:rPr>
          <w:spacing w:val="-17"/>
        </w:rPr>
        <w:t> </w:t>
      </w:r>
      <w:r>
        <w:rPr/>
        <w:t>desire</w:t>
      </w:r>
      <w:r>
        <w:rPr>
          <w:spacing w:val="-16"/>
        </w:rPr>
        <w:t> </w:t>
      </w:r>
      <w:r>
        <w:rPr/>
        <w:t>and</w:t>
      </w:r>
      <w:r>
        <w:rPr>
          <w:spacing w:val="-17"/>
        </w:rPr>
        <w:t> </w:t>
      </w:r>
      <w:r>
        <w:rPr/>
        <w:t>bone</w:t>
      </w:r>
      <w:r>
        <w:rPr>
          <w:spacing w:val="-18"/>
        </w:rPr>
        <w:t> </w:t>
      </w:r>
      <w:r>
        <w:rPr/>
        <w:t>density.</w:t>
      </w:r>
    </w:p>
    <w:p>
      <w:pPr>
        <w:pStyle w:val="BodyText"/>
        <w:spacing w:line="276" w:lineRule="auto" w:before="242"/>
        <w:ind w:left="477" w:right="132"/>
        <w:jc w:val="both"/>
      </w:pPr>
      <w:r>
        <w:rPr/>
        <w:t>DHEA acts as a buffer hormone and buffers stress-related hormones in this function.</w:t>
      </w:r>
      <w:r>
        <w:rPr>
          <w:spacing w:val="-11"/>
        </w:rPr>
        <w:t> </w:t>
      </w:r>
      <w:r>
        <w:rPr/>
        <w:t>Stress</w:t>
      </w:r>
      <w:r>
        <w:rPr>
          <w:spacing w:val="-9"/>
        </w:rPr>
        <w:t> </w:t>
      </w:r>
      <w:r>
        <w:rPr/>
        <w:t>is</w:t>
      </w:r>
      <w:r>
        <w:rPr>
          <w:spacing w:val="-11"/>
        </w:rPr>
        <w:t> </w:t>
      </w:r>
      <w:r>
        <w:rPr/>
        <w:t>commonly</w:t>
      </w:r>
      <w:r>
        <w:rPr>
          <w:spacing w:val="-10"/>
        </w:rPr>
        <w:t> </w:t>
      </w:r>
      <w:r>
        <w:rPr/>
        <w:t>known</w:t>
      </w:r>
      <w:r>
        <w:rPr>
          <w:spacing w:val="-11"/>
        </w:rPr>
        <w:t> </w:t>
      </w:r>
      <w:r>
        <w:rPr/>
        <w:t>as</w:t>
      </w:r>
      <w:r>
        <w:rPr>
          <w:spacing w:val="-11"/>
        </w:rPr>
        <w:t> </w:t>
      </w:r>
      <w:r>
        <w:rPr/>
        <w:t>Killer</w:t>
      </w:r>
      <w:r>
        <w:rPr>
          <w:spacing w:val="-12"/>
        </w:rPr>
        <w:t> </w:t>
      </w:r>
      <w:r>
        <w:rPr/>
        <w:t>Number</w:t>
      </w:r>
      <w:r>
        <w:rPr>
          <w:spacing w:val="-10"/>
        </w:rPr>
        <w:t> </w:t>
      </w:r>
      <w:r>
        <w:rPr/>
        <w:t>1.</w:t>
      </w:r>
      <w:r>
        <w:rPr>
          <w:spacing w:val="-10"/>
        </w:rPr>
        <w:t> </w:t>
      </w:r>
      <w:r>
        <w:rPr/>
        <w:t>The</w:t>
      </w:r>
      <w:r>
        <w:rPr>
          <w:spacing w:val="-11"/>
        </w:rPr>
        <w:t> </w:t>
      </w:r>
      <w:r>
        <w:rPr/>
        <w:t>DHEA</w:t>
      </w:r>
      <w:r>
        <w:rPr>
          <w:spacing w:val="-10"/>
        </w:rPr>
        <w:t> </w:t>
      </w:r>
      <w:r>
        <w:rPr/>
        <w:t>level</w:t>
      </w:r>
      <w:r>
        <w:rPr>
          <w:spacing w:val="-13"/>
        </w:rPr>
        <w:t> </w:t>
      </w:r>
      <w:r>
        <w:rPr/>
        <w:t>acts in the opposite way to the production of the stress hormone ‘corticoid’ in the body.</w:t>
      </w:r>
    </w:p>
    <w:p>
      <w:pPr>
        <w:pStyle w:val="BodyText"/>
        <w:spacing w:line="276" w:lineRule="auto" w:before="239"/>
        <w:ind w:left="477" w:right="136"/>
        <w:jc w:val="both"/>
      </w:pPr>
      <w:r>
        <w:rPr/>
        <w:t>Furthermore, DHEA helps cells work more efficiently; this energy saving also has</w:t>
      </w:r>
      <w:r>
        <w:rPr>
          <w:spacing w:val="-17"/>
        </w:rPr>
        <w:t> </w:t>
      </w:r>
      <w:r>
        <w:rPr/>
        <w:t>a</w:t>
      </w:r>
      <w:r>
        <w:rPr>
          <w:spacing w:val="-18"/>
        </w:rPr>
        <w:t> </w:t>
      </w:r>
      <w:r>
        <w:rPr/>
        <w:t>life-prolonging</w:t>
      </w:r>
      <w:r>
        <w:rPr>
          <w:spacing w:val="-17"/>
        </w:rPr>
        <w:t> </w:t>
      </w:r>
      <w:r>
        <w:rPr/>
        <w:t>effect.</w:t>
      </w:r>
      <w:r>
        <w:rPr>
          <w:spacing w:val="-17"/>
        </w:rPr>
        <w:t> </w:t>
      </w:r>
      <w:r>
        <w:rPr/>
        <w:t>The</w:t>
      </w:r>
      <w:r>
        <w:rPr>
          <w:spacing w:val="-19"/>
        </w:rPr>
        <w:t> </w:t>
      </w:r>
      <w:r>
        <w:rPr/>
        <w:t>antioxidant</w:t>
      </w:r>
      <w:r>
        <w:rPr>
          <w:spacing w:val="-18"/>
        </w:rPr>
        <w:t> </w:t>
      </w:r>
      <w:r>
        <w:rPr/>
        <w:t>action</w:t>
      </w:r>
      <w:r>
        <w:rPr>
          <w:spacing w:val="-17"/>
        </w:rPr>
        <w:t> </w:t>
      </w:r>
      <w:r>
        <w:rPr/>
        <w:t>protects</w:t>
      </w:r>
      <w:r>
        <w:rPr>
          <w:spacing w:val="-17"/>
        </w:rPr>
        <w:t> </w:t>
      </w:r>
      <w:r>
        <w:rPr/>
        <w:t>our</w:t>
      </w:r>
      <w:r>
        <w:rPr>
          <w:spacing w:val="-17"/>
        </w:rPr>
        <w:t> </w:t>
      </w:r>
      <w:r>
        <w:rPr/>
        <w:t>body</w:t>
      </w:r>
      <w:r>
        <w:rPr>
          <w:spacing w:val="-17"/>
        </w:rPr>
        <w:t> </w:t>
      </w:r>
      <w:r>
        <w:rPr/>
        <w:t>cells</w:t>
      </w:r>
      <w:r>
        <w:rPr>
          <w:spacing w:val="-17"/>
        </w:rPr>
        <w:t> </w:t>
      </w:r>
      <w:r>
        <w:rPr/>
        <w:t>from</w:t>
      </w:r>
    </w:p>
    <w:p>
      <w:pPr>
        <w:spacing w:after="0" w:line="276" w:lineRule="auto"/>
        <w:jc w:val="both"/>
        <w:sectPr>
          <w:pgSz w:w="14270" w:h="16850"/>
          <w:pgMar w:header="0" w:footer="1891" w:top="1600" w:bottom="2080" w:left="800" w:right="1280"/>
        </w:sectPr>
      </w:pPr>
    </w:p>
    <w:p>
      <w:pPr>
        <w:pStyle w:val="BodyText"/>
        <w:spacing w:line="276" w:lineRule="auto" w:before="181"/>
        <w:ind w:left="477" w:right="146"/>
        <w:jc w:val="both"/>
      </w:pPr>
      <w:r>
        <w:rPr/>
        <w:t>attack by voracious free radicals, which are primarily responsible for biological ageing.</w:t>
      </w:r>
    </w:p>
    <w:p>
      <w:pPr>
        <w:pStyle w:val="BodyText"/>
        <w:rPr>
          <w:sz w:val="42"/>
        </w:rPr>
      </w:pPr>
    </w:p>
    <w:p>
      <w:pPr>
        <w:pStyle w:val="BodyText"/>
        <w:rPr>
          <w:sz w:val="42"/>
        </w:rPr>
      </w:pPr>
    </w:p>
    <w:p>
      <w:pPr>
        <w:pStyle w:val="BodyText"/>
        <w:rPr>
          <w:sz w:val="42"/>
        </w:rPr>
      </w:pPr>
    </w:p>
    <w:p>
      <w:pPr>
        <w:pStyle w:val="Heading1"/>
        <w:spacing w:before="270"/>
      </w:pPr>
      <w:r>
        <w:rPr/>
        <w:t>Strengthening effect on libido and</w:t>
      </w:r>
      <w:r>
        <w:rPr>
          <w:spacing w:val="-58"/>
        </w:rPr>
        <w:t> </w:t>
      </w:r>
      <w:r>
        <w:rPr/>
        <w:t>potency</w:t>
      </w:r>
    </w:p>
    <w:p>
      <w:pPr>
        <w:pStyle w:val="BodyText"/>
        <w:spacing w:line="276" w:lineRule="auto" w:before="298"/>
        <w:ind w:left="477" w:right="132"/>
        <w:jc w:val="both"/>
      </w:pPr>
      <w:r>
        <w:rPr/>
        <w:t>DHEA plays a role in sexual function. By virtually reconditioning male and fe- male hormone production in men and women respectively and compensating for</w:t>
      </w:r>
      <w:r>
        <w:rPr>
          <w:spacing w:val="-19"/>
        </w:rPr>
        <w:t> </w:t>
      </w:r>
      <w:r>
        <w:rPr/>
        <w:t>age-related</w:t>
      </w:r>
      <w:r>
        <w:rPr>
          <w:spacing w:val="-21"/>
        </w:rPr>
        <w:t> </w:t>
      </w:r>
      <w:r>
        <w:rPr/>
        <w:t>production</w:t>
      </w:r>
      <w:r>
        <w:rPr>
          <w:spacing w:val="-19"/>
        </w:rPr>
        <w:t> </w:t>
      </w:r>
      <w:r>
        <w:rPr/>
        <w:t>decreases,</w:t>
      </w:r>
      <w:r>
        <w:rPr>
          <w:spacing w:val="-19"/>
        </w:rPr>
        <w:t> </w:t>
      </w:r>
      <w:r>
        <w:rPr/>
        <w:t>it</w:t>
      </w:r>
      <w:r>
        <w:rPr>
          <w:spacing w:val="-21"/>
        </w:rPr>
        <w:t> </w:t>
      </w:r>
      <w:r>
        <w:rPr/>
        <w:t>has</w:t>
      </w:r>
      <w:r>
        <w:rPr>
          <w:spacing w:val="-21"/>
        </w:rPr>
        <w:t> </w:t>
      </w:r>
      <w:r>
        <w:rPr/>
        <w:t>a</w:t>
      </w:r>
      <w:r>
        <w:rPr>
          <w:spacing w:val="-21"/>
        </w:rPr>
        <w:t> </w:t>
      </w:r>
      <w:r>
        <w:rPr/>
        <w:t>positive</w:t>
      </w:r>
      <w:r>
        <w:rPr>
          <w:spacing w:val="-21"/>
        </w:rPr>
        <w:t> </w:t>
      </w:r>
      <w:r>
        <w:rPr/>
        <w:t>effect</w:t>
      </w:r>
      <w:r>
        <w:rPr>
          <w:spacing w:val="-19"/>
        </w:rPr>
        <w:t> </w:t>
      </w:r>
      <w:r>
        <w:rPr/>
        <w:t>on</w:t>
      </w:r>
      <w:r>
        <w:rPr>
          <w:spacing w:val="-19"/>
        </w:rPr>
        <w:t> </w:t>
      </w:r>
      <w:r>
        <w:rPr/>
        <w:t>sexual</w:t>
      </w:r>
      <w:r>
        <w:rPr>
          <w:spacing w:val="-21"/>
        </w:rPr>
        <w:t> </w:t>
      </w:r>
      <w:r>
        <w:rPr/>
        <w:t>desire</w:t>
      </w:r>
      <w:r>
        <w:rPr>
          <w:spacing w:val="-18"/>
        </w:rPr>
        <w:t> </w:t>
      </w:r>
      <w:r>
        <w:rPr/>
        <w:t>and virility</w:t>
      </w:r>
      <w:r>
        <w:rPr>
          <w:spacing w:val="-18"/>
        </w:rPr>
        <w:t> </w:t>
      </w:r>
      <w:r>
        <w:rPr/>
        <w:t>in</w:t>
      </w:r>
      <w:r>
        <w:rPr>
          <w:spacing w:val="-18"/>
        </w:rPr>
        <w:t> </w:t>
      </w:r>
      <w:r>
        <w:rPr/>
        <w:t>both</w:t>
      </w:r>
      <w:r>
        <w:rPr>
          <w:spacing w:val="-17"/>
        </w:rPr>
        <w:t> </w:t>
      </w:r>
      <w:r>
        <w:rPr/>
        <w:t>sexes.</w:t>
      </w:r>
      <w:r>
        <w:rPr>
          <w:spacing w:val="-17"/>
        </w:rPr>
        <w:t> </w:t>
      </w:r>
      <w:r>
        <w:rPr/>
        <w:t>This</w:t>
      </w:r>
      <w:r>
        <w:rPr>
          <w:spacing w:val="-17"/>
        </w:rPr>
        <w:t> </w:t>
      </w:r>
      <w:r>
        <w:rPr/>
        <w:t>has</w:t>
      </w:r>
      <w:r>
        <w:rPr>
          <w:spacing w:val="-18"/>
        </w:rPr>
        <w:t> </w:t>
      </w:r>
      <w:r>
        <w:rPr/>
        <w:t>also</w:t>
      </w:r>
      <w:r>
        <w:rPr>
          <w:spacing w:val="-17"/>
        </w:rPr>
        <w:t> </w:t>
      </w:r>
      <w:r>
        <w:rPr/>
        <w:t>been</w:t>
      </w:r>
      <w:r>
        <w:rPr>
          <w:spacing w:val="-17"/>
        </w:rPr>
        <w:t> </w:t>
      </w:r>
      <w:r>
        <w:rPr/>
        <w:t>confirmed</w:t>
      </w:r>
      <w:r>
        <w:rPr>
          <w:spacing w:val="-17"/>
        </w:rPr>
        <w:t> </w:t>
      </w:r>
      <w:r>
        <w:rPr/>
        <w:t>in</w:t>
      </w:r>
      <w:r>
        <w:rPr>
          <w:spacing w:val="-18"/>
        </w:rPr>
        <w:t> </w:t>
      </w:r>
      <w:r>
        <w:rPr/>
        <w:t>studies.</w:t>
      </w:r>
      <w:r>
        <w:rPr>
          <w:spacing w:val="-18"/>
        </w:rPr>
        <w:t> </w:t>
      </w:r>
      <w:r>
        <w:rPr/>
        <w:t>(see</w:t>
      </w:r>
      <w:r>
        <w:rPr>
          <w:spacing w:val="-20"/>
        </w:rPr>
        <w:t> </w:t>
      </w:r>
      <w:r>
        <w:rPr/>
        <w:t>‘DHEA</w:t>
      </w:r>
      <w:r>
        <w:rPr>
          <w:spacing w:val="-17"/>
        </w:rPr>
        <w:t> </w:t>
      </w:r>
      <w:r>
        <w:rPr/>
        <w:t>stud- ies’).</w:t>
      </w:r>
    </w:p>
    <w:p>
      <w:pPr>
        <w:pStyle w:val="Heading1"/>
      </w:pPr>
      <w:r>
        <w:rPr/>
        <w:t>Effect on menopausal symptoms</w:t>
      </w:r>
    </w:p>
    <w:p>
      <w:pPr>
        <w:pStyle w:val="BodyText"/>
        <w:spacing w:line="276" w:lineRule="auto" w:before="298"/>
        <w:ind w:left="477" w:right="132"/>
        <w:jc w:val="both"/>
      </w:pPr>
      <w:r>
        <w:rPr/>
        <w:t>The regulation of the hormonal balance reduces or completely eliminates the menopausal symptoms of hot flushes, sweats, migraines and digestive prob- lems, and even bone loss.</w:t>
      </w:r>
    </w:p>
    <w:p>
      <w:pPr>
        <w:pStyle w:val="BodyText"/>
        <w:spacing w:line="276" w:lineRule="auto" w:before="241"/>
        <w:ind w:left="477" w:right="136"/>
        <w:jc w:val="both"/>
      </w:pPr>
      <w:r>
        <w:rPr/>
        <w:t>Typical postmenopausal oestrogen deficiency can be avoided by taking</w:t>
      </w:r>
      <w:r>
        <w:rPr>
          <w:spacing w:val="-44"/>
        </w:rPr>
        <w:t> </w:t>
      </w:r>
      <w:r>
        <w:rPr/>
        <w:t>DHEA orally, because DHEA has the ability to bring oestrogen synthesis in the wom- an's adrenal glands back to normal after menopause, thereby rendering oestro- genic replacement therapy superfluous after a short</w:t>
      </w:r>
      <w:r>
        <w:rPr>
          <w:spacing w:val="-4"/>
        </w:rPr>
        <w:t> </w:t>
      </w:r>
      <w:r>
        <w:rPr/>
        <w:t>time.</w:t>
      </w:r>
    </w:p>
    <w:p>
      <w:pPr>
        <w:spacing w:line="276" w:lineRule="auto" w:before="240"/>
        <w:ind w:left="477" w:right="136" w:firstLine="0"/>
        <w:jc w:val="both"/>
        <w:rPr>
          <w:sz w:val="38"/>
        </w:rPr>
      </w:pPr>
      <w:r>
        <w:rPr>
          <w:sz w:val="38"/>
        </w:rPr>
        <w:t>These astonishing insights, completely ignored by German medicine, were</w:t>
      </w:r>
      <w:r>
        <w:rPr>
          <w:spacing w:val="-56"/>
          <w:sz w:val="38"/>
        </w:rPr>
        <w:t> </w:t>
      </w:r>
      <w:r>
        <w:rPr>
          <w:sz w:val="38"/>
        </w:rPr>
        <w:t>pre- sented by Dr. Pierre Diamond from the </w:t>
      </w:r>
      <w:r>
        <w:rPr>
          <w:i/>
          <w:sz w:val="38"/>
        </w:rPr>
        <w:t>Centre Hospitalier de l'Université Laval </w:t>
      </w:r>
      <w:r>
        <w:rPr>
          <w:sz w:val="38"/>
        </w:rPr>
        <w:t>at</w:t>
      </w:r>
    </w:p>
    <w:p>
      <w:pPr>
        <w:spacing w:after="0" w:line="276" w:lineRule="auto"/>
        <w:jc w:val="both"/>
        <w:rPr>
          <w:sz w:val="38"/>
        </w:rPr>
        <w:sectPr>
          <w:pgSz w:w="14270" w:h="16850"/>
          <w:pgMar w:header="0" w:footer="1891" w:top="1600" w:bottom="2080" w:left="800" w:right="1280"/>
        </w:sectPr>
      </w:pPr>
    </w:p>
    <w:p>
      <w:pPr>
        <w:pStyle w:val="BodyText"/>
        <w:spacing w:before="181"/>
        <w:ind w:left="477"/>
      </w:pPr>
      <w:r>
        <w:rPr/>
        <w:t>a congress in Quebec,</w:t>
      </w:r>
      <w:r>
        <w:rPr>
          <w:spacing w:val="-16"/>
        </w:rPr>
        <w:t> </w:t>
      </w:r>
      <w:r>
        <w:rPr/>
        <w:t>Canada.</w:t>
      </w:r>
    </w:p>
    <w:p>
      <w:pPr>
        <w:pStyle w:val="BodyText"/>
        <w:rPr>
          <w:sz w:val="42"/>
        </w:rPr>
      </w:pPr>
    </w:p>
    <w:p>
      <w:pPr>
        <w:pStyle w:val="BodyText"/>
        <w:spacing w:before="7"/>
        <w:rPr>
          <w:sz w:val="48"/>
        </w:rPr>
      </w:pPr>
    </w:p>
    <w:p>
      <w:pPr>
        <w:pStyle w:val="Heading1"/>
        <w:spacing w:before="0"/>
      </w:pPr>
      <w:r>
        <w:rPr/>
        <w:t>Effect</w:t>
      </w:r>
      <w:r>
        <w:rPr>
          <w:spacing w:val="-65"/>
        </w:rPr>
        <w:t> </w:t>
      </w:r>
      <w:r>
        <w:rPr/>
        <w:t>on</w:t>
      </w:r>
      <w:r>
        <w:rPr>
          <w:spacing w:val="-65"/>
        </w:rPr>
        <w:t> </w:t>
      </w:r>
      <w:r>
        <w:rPr/>
        <w:t>energy</w:t>
      </w:r>
      <w:r>
        <w:rPr>
          <w:spacing w:val="-64"/>
        </w:rPr>
        <w:t> </w:t>
      </w:r>
      <w:r>
        <w:rPr/>
        <w:t>and</w:t>
      </w:r>
      <w:r>
        <w:rPr>
          <w:spacing w:val="-65"/>
        </w:rPr>
        <w:t> </w:t>
      </w:r>
      <w:r>
        <w:rPr/>
        <w:t>vitality</w:t>
      </w:r>
    </w:p>
    <w:p>
      <w:pPr>
        <w:pStyle w:val="BodyText"/>
        <w:spacing w:line="276" w:lineRule="auto" w:before="299"/>
        <w:ind w:left="477" w:right="131"/>
        <w:jc w:val="both"/>
      </w:pPr>
      <w:r>
        <w:rPr/>
        <w:t>In a study at the University of San Diego, California, vitality and energy were increased</w:t>
      </w:r>
      <w:r>
        <w:rPr>
          <w:spacing w:val="-10"/>
        </w:rPr>
        <w:t> </w:t>
      </w:r>
      <w:r>
        <w:rPr/>
        <w:t>by</w:t>
      </w:r>
      <w:r>
        <w:rPr>
          <w:spacing w:val="-10"/>
        </w:rPr>
        <w:t> </w:t>
      </w:r>
      <w:r>
        <w:rPr/>
        <w:t>82</w:t>
      </w:r>
      <w:r>
        <w:rPr>
          <w:spacing w:val="-14"/>
        </w:rPr>
        <w:t> </w:t>
      </w:r>
      <w:r>
        <w:rPr/>
        <w:t>%</w:t>
      </w:r>
      <w:r>
        <w:rPr>
          <w:spacing w:val="-10"/>
        </w:rPr>
        <w:t> </w:t>
      </w:r>
      <w:r>
        <w:rPr/>
        <w:t>in</w:t>
      </w:r>
      <w:r>
        <w:rPr>
          <w:spacing w:val="-11"/>
        </w:rPr>
        <w:t> </w:t>
      </w:r>
      <w:r>
        <w:rPr/>
        <w:t>women</w:t>
      </w:r>
      <w:r>
        <w:rPr>
          <w:spacing w:val="-9"/>
        </w:rPr>
        <w:t> </w:t>
      </w:r>
      <w:r>
        <w:rPr/>
        <w:t>and</w:t>
      </w:r>
      <w:r>
        <w:rPr>
          <w:spacing w:val="-10"/>
        </w:rPr>
        <w:t> </w:t>
      </w:r>
      <w:r>
        <w:rPr/>
        <w:t>67</w:t>
      </w:r>
      <w:r>
        <w:rPr>
          <w:spacing w:val="-11"/>
        </w:rPr>
        <w:t> </w:t>
      </w:r>
      <w:r>
        <w:rPr/>
        <w:t>%</w:t>
      </w:r>
      <w:r>
        <w:rPr>
          <w:spacing w:val="-11"/>
        </w:rPr>
        <w:t> </w:t>
      </w:r>
      <w:r>
        <w:rPr/>
        <w:t>in</w:t>
      </w:r>
      <w:r>
        <w:rPr>
          <w:spacing w:val="-10"/>
        </w:rPr>
        <w:t> </w:t>
      </w:r>
      <w:r>
        <w:rPr/>
        <w:t>men</w:t>
      </w:r>
      <w:r>
        <w:rPr>
          <w:spacing w:val="-10"/>
        </w:rPr>
        <w:t> </w:t>
      </w:r>
      <w:r>
        <w:rPr/>
        <w:t>after</w:t>
      </w:r>
      <w:r>
        <w:rPr>
          <w:spacing w:val="-10"/>
        </w:rPr>
        <w:t> </w:t>
      </w:r>
      <w:r>
        <w:rPr/>
        <w:t>just</w:t>
      </w:r>
      <w:r>
        <w:rPr>
          <w:spacing w:val="-10"/>
        </w:rPr>
        <w:t> </w:t>
      </w:r>
      <w:r>
        <w:rPr/>
        <w:t>a</w:t>
      </w:r>
      <w:r>
        <w:rPr>
          <w:spacing w:val="-11"/>
        </w:rPr>
        <w:t> </w:t>
      </w:r>
      <w:r>
        <w:rPr/>
        <w:t>few</w:t>
      </w:r>
      <w:r>
        <w:rPr>
          <w:spacing w:val="-12"/>
        </w:rPr>
        <w:t> </w:t>
      </w:r>
      <w:r>
        <w:rPr/>
        <w:t>weeks</w:t>
      </w:r>
      <w:r>
        <w:rPr>
          <w:spacing w:val="-10"/>
        </w:rPr>
        <w:t> </w:t>
      </w:r>
      <w:r>
        <w:rPr/>
        <w:t>of</w:t>
      </w:r>
      <w:r>
        <w:rPr>
          <w:spacing w:val="-9"/>
        </w:rPr>
        <w:t> </w:t>
      </w:r>
      <w:r>
        <w:rPr/>
        <w:t>use</w:t>
      </w:r>
      <w:r>
        <w:rPr>
          <w:spacing w:val="-11"/>
        </w:rPr>
        <w:t> </w:t>
      </w:r>
      <w:r>
        <w:rPr/>
        <w:t>(see chapter “studies”)</w:t>
      </w:r>
    </w:p>
    <w:p>
      <w:pPr>
        <w:pStyle w:val="Heading1"/>
        <w:spacing w:before="222"/>
      </w:pPr>
      <w:r>
        <w:rPr/>
        <w:t>Effect against HIV virus and AIDS</w:t>
      </w:r>
    </w:p>
    <w:p>
      <w:pPr>
        <w:pStyle w:val="BodyText"/>
        <w:spacing w:line="276" w:lineRule="auto" w:before="300"/>
        <w:ind w:left="477" w:right="139"/>
        <w:jc w:val="both"/>
      </w:pPr>
      <w:r>
        <w:rPr/>
        <w:t>Similar to patients with breast cancer, significantly lower DHEA levels have been observed in the blood of HIV patients.</w:t>
      </w:r>
    </w:p>
    <w:p>
      <w:pPr>
        <w:pStyle w:val="BodyText"/>
        <w:spacing w:line="276" w:lineRule="auto" w:before="240"/>
        <w:ind w:left="477" w:right="130"/>
        <w:jc w:val="both"/>
      </w:pPr>
      <w:r>
        <w:rPr/>
        <w:t>DHEA exerts its antiviral activity via the stimulation of white blood cells, ca- toxinin</w:t>
      </w:r>
      <w:r>
        <w:rPr>
          <w:spacing w:val="-15"/>
        </w:rPr>
        <w:t> </w:t>
      </w:r>
      <w:r>
        <w:rPr/>
        <w:t>and</w:t>
      </w:r>
      <w:r>
        <w:rPr>
          <w:spacing w:val="-16"/>
        </w:rPr>
        <w:t> </w:t>
      </w:r>
      <w:r>
        <w:rPr/>
        <w:t>lymphoid</w:t>
      </w:r>
      <w:r>
        <w:rPr>
          <w:spacing w:val="-17"/>
        </w:rPr>
        <w:t> </w:t>
      </w:r>
      <w:r>
        <w:rPr/>
        <w:t>organs,</w:t>
      </w:r>
      <w:r>
        <w:rPr>
          <w:spacing w:val="-18"/>
        </w:rPr>
        <w:t> </w:t>
      </w:r>
      <w:r>
        <w:rPr/>
        <w:t>and</w:t>
      </w:r>
      <w:r>
        <w:rPr>
          <w:spacing w:val="-15"/>
        </w:rPr>
        <w:t> </w:t>
      </w:r>
      <w:r>
        <w:rPr/>
        <w:t>has</w:t>
      </w:r>
      <w:r>
        <w:rPr>
          <w:spacing w:val="-18"/>
        </w:rPr>
        <w:t> </w:t>
      </w:r>
      <w:r>
        <w:rPr/>
        <w:t>been</w:t>
      </w:r>
      <w:r>
        <w:rPr>
          <w:spacing w:val="-18"/>
        </w:rPr>
        <w:t> </w:t>
      </w:r>
      <w:r>
        <w:rPr/>
        <w:t>shown</w:t>
      </w:r>
      <w:r>
        <w:rPr>
          <w:spacing w:val="-16"/>
        </w:rPr>
        <w:t> </w:t>
      </w:r>
      <w:r>
        <w:rPr/>
        <w:t>to</w:t>
      </w:r>
      <w:r>
        <w:rPr>
          <w:spacing w:val="-18"/>
        </w:rPr>
        <w:t> </w:t>
      </w:r>
      <w:r>
        <w:rPr/>
        <w:t>prevent</w:t>
      </w:r>
      <w:r>
        <w:rPr>
          <w:spacing w:val="-19"/>
        </w:rPr>
        <w:t> </w:t>
      </w:r>
      <w:r>
        <w:rPr/>
        <w:t>the</w:t>
      </w:r>
      <w:r>
        <w:rPr>
          <w:spacing w:val="-18"/>
        </w:rPr>
        <w:t> </w:t>
      </w:r>
      <w:r>
        <w:rPr/>
        <w:t>spread</w:t>
      </w:r>
      <w:r>
        <w:rPr>
          <w:spacing w:val="-17"/>
        </w:rPr>
        <w:t> </w:t>
      </w:r>
      <w:r>
        <w:rPr/>
        <w:t>of</w:t>
      </w:r>
      <w:r>
        <w:rPr>
          <w:spacing w:val="-15"/>
        </w:rPr>
        <w:t> </w:t>
      </w:r>
      <w:r>
        <w:rPr/>
        <w:t>type 1 HIV in the human body (see ‘DHEA</w:t>
      </w:r>
      <w:r>
        <w:rPr>
          <w:spacing w:val="3"/>
        </w:rPr>
        <w:t> </w:t>
      </w:r>
      <w:r>
        <w:rPr/>
        <w:t>studies’).</w:t>
      </w:r>
    </w:p>
    <w:p>
      <w:pPr>
        <w:pStyle w:val="Heading1"/>
        <w:spacing w:before="222"/>
      </w:pPr>
      <w:r>
        <w:rPr/>
        <w:t>Study and research outcomes regarding</w:t>
      </w:r>
      <w:r>
        <w:rPr>
          <w:spacing w:val="-69"/>
        </w:rPr>
        <w:t> </w:t>
      </w:r>
      <w:r>
        <w:rPr/>
        <w:t>DHEA</w:t>
      </w:r>
    </w:p>
    <w:p>
      <w:pPr>
        <w:pStyle w:val="BodyText"/>
        <w:spacing w:line="276" w:lineRule="auto" w:before="300"/>
        <w:ind w:left="477" w:right="132"/>
        <w:jc w:val="both"/>
      </w:pPr>
      <w:r>
        <w:rPr/>
        <w:t>With more than 4,000 scientific publications, DHEA has been well-researched and has shown positive results in both humans and animals in atherosclerosis, cancer, weight loss, and longer lifespan.</w:t>
      </w:r>
    </w:p>
    <w:p>
      <w:pPr>
        <w:pStyle w:val="BodyText"/>
        <w:spacing w:before="241"/>
        <w:ind w:left="477"/>
        <w:jc w:val="both"/>
      </w:pPr>
      <w:r>
        <w:rPr/>
        <w:t>DHEA shows antioxidant (cell-protecting) properties in studies, protecting our</w:t>
      </w:r>
    </w:p>
    <w:p>
      <w:pPr>
        <w:spacing w:after="0"/>
        <w:jc w:val="both"/>
        <w:sectPr>
          <w:pgSz w:w="14270" w:h="16850"/>
          <w:pgMar w:header="0" w:footer="1891" w:top="1600" w:bottom="2080" w:left="800" w:right="1280"/>
        </w:sectPr>
      </w:pPr>
    </w:p>
    <w:p>
      <w:pPr>
        <w:pStyle w:val="BodyText"/>
        <w:spacing w:before="181"/>
        <w:ind w:left="477"/>
        <w:rPr>
          <w:sz w:val="25"/>
        </w:rPr>
      </w:pPr>
      <w:r>
        <w:rPr/>
        <w:t>cells from destructive free radicals.</w:t>
      </w:r>
      <w:r>
        <w:rPr>
          <w:position w:val="9"/>
          <w:sz w:val="25"/>
        </w:rPr>
        <w:t>263</w:t>
      </w:r>
    </w:p>
    <w:p>
      <w:pPr>
        <w:pStyle w:val="Heading1"/>
        <w:spacing w:before="288"/>
      </w:pPr>
      <w:r>
        <w:rPr/>
        <w:t>Excellent effect against stress confirmed in studies</w:t>
      </w:r>
    </w:p>
    <w:p>
      <w:pPr>
        <w:pStyle w:val="BodyText"/>
        <w:spacing w:line="276" w:lineRule="auto" w:before="299"/>
        <w:ind w:left="477"/>
        <w:rPr>
          <w:sz w:val="25"/>
        </w:rPr>
      </w:pPr>
      <w:r>
        <w:rPr/>
        <w:t>In studies, DHEA shows stress-reducing properties by acting as a strong an- tiglucocorticoid to counteract the stressor ‘corticosteroid’.</w:t>
      </w:r>
      <w:r>
        <w:rPr>
          <w:position w:val="9"/>
          <w:sz w:val="25"/>
        </w:rPr>
        <w:t>264</w:t>
      </w:r>
    </w:p>
    <w:p>
      <w:pPr>
        <w:pStyle w:val="Heading2"/>
        <w:spacing w:before="241"/>
      </w:pPr>
      <w:r>
        <w:rPr/>
        <w:t>Studies on the effects of DHEA on anxiety</w:t>
      </w:r>
    </w:p>
    <w:p>
      <w:pPr>
        <w:pStyle w:val="BodyText"/>
        <w:spacing w:line="276" w:lineRule="auto" w:before="302"/>
        <w:ind w:left="477"/>
        <w:rPr>
          <w:sz w:val="25"/>
        </w:rPr>
      </w:pPr>
      <w:r>
        <w:rPr/>
        <w:t>As</w:t>
      </w:r>
      <w:r>
        <w:rPr>
          <w:spacing w:val="-14"/>
        </w:rPr>
        <w:t> </w:t>
      </w:r>
      <w:r>
        <w:rPr/>
        <w:t>a</w:t>
      </w:r>
      <w:r>
        <w:rPr>
          <w:spacing w:val="-18"/>
        </w:rPr>
        <w:t> </w:t>
      </w:r>
      <w:r>
        <w:rPr/>
        <w:t>neurosteroid,</w:t>
      </w:r>
      <w:r>
        <w:rPr>
          <w:spacing w:val="-14"/>
        </w:rPr>
        <w:t> </w:t>
      </w:r>
      <w:r>
        <w:rPr/>
        <w:t>DHEA</w:t>
      </w:r>
      <w:r>
        <w:rPr>
          <w:spacing w:val="-16"/>
        </w:rPr>
        <w:t> </w:t>
      </w:r>
      <w:r>
        <w:rPr/>
        <w:t>has</w:t>
      </w:r>
      <w:r>
        <w:rPr>
          <w:spacing w:val="-13"/>
        </w:rPr>
        <w:t> </w:t>
      </w:r>
      <w:r>
        <w:rPr/>
        <w:t>a</w:t>
      </w:r>
      <w:r>
        <w:rPr>
          <w:spacing w:val="-20"/>
        </w:rPr>
        <w:t> </w:t>
      </w:r>
      <w:r>
        <w:rPr/>
        <w:t>regulating</w:t>
      </w:r>
      <w:r>
        <w:rPr>
          <w:spacing w:val="-13"/>
        </w:rPr>
        <w:t> </w:t>
      </w:r>
      <w:r>
        <w:rPr/>
        <w:t>effect</w:t>
      </w:r>
      <w:r>
        <w:rPr>
          <w:spacing w:val="-16"/>
        </w:rPr>
        <w:t> </w:t>
      </w:r>
      <w:r>
        <w:rPr/>
        <w:t>on</w:t>
      </w:r>
      <w:r>
        <w:rPr>
          <w:spacing w:val="-13"/>
        </w:rPr>
        <w:t> </w:t>
      </w:r>
      <w:r>
        <w:rPr/>
        <w:t>the</w:t>
      </w:r>
      <w:r>
        <w:rPr>
          <w:spacing w:val="-16"/>
        </w:rPr>
        <w:t> </w:t>
      </w:r>
      <w:r>
        <w:rPr/>
        <w:t>psyche</w:t>
      </w:r>
      <w:r>
        <w:rPr>
          <w:spacing w:val="-16"/>
        </w:rPr>
        <w:t> </w:t>
      </w:r>
      <w:r>
        <w:rPr/>
        <w:t>and</w:t>
      </w:r>
      <w:r>
        <w:rPr>
          <w:spacing w:val="-14"/>
        </w:rPr>
        <w:t> </w:t>
      </w:r>
      <w:r>
        <w:rPr/>
        <w:t>counteracts anxiety.</w:t>
      </w:r>
      <w:r>
        <w:rPr>
          <w:position w:val="9"/>
          <w:sz w:val="25"/>
        </w:rPr>
        <w:t>265</w:t>
      </w:r>
    </w:p>
    <w:p>
      <w:pPr>
        <w:pStyle w:val="Heading1"/>
      </w:pPr>
      <w:r>
        <w:rPr/>
        <w:t>In studies DHEA prevents cancer by 80</w:t>
      </w:r>
      <w:r>
        <w:rPr>
          <w:spacing w:val="-71"/>
        </w:rPr>
        <w:t> </w:t>
      </w:r>
      <w:r>
        <w:rPr/>
        <w:t>%</w:t>
      </w:r>
    </w:p>
    <w:p>
      <w:pPr>
        <w:pStyle w:val="BodyText"/>
        <w:spacing w:line="276" w:lineRule="auto" w:before="299"/>
        <w:ind w:left="477" w:right="64"/>
        <w:rPr>
          <w:sz w:val="25"/>
        </w:rPr>
      </w:pPr>
      <w:r>
        <w:rPr/>
        <w:t>Studies by Dr. Schwartz showed an impressive reduction in tumour rates by up to 80 %. </w:t>
      </w:r>
      <w:r>
        <w:rPr>
          <w:position w:val="9"/>
          <w:sz w:val="25"/>
        </w:rPr>
        <w:t>266</w:t>
      </w:r>
    </w:p>
    <w:p>
      <w:pPr>
        <w:pStyle w:val="Heading1"/>
      </w:pPr>
      <w:r>
        <w:rPr/>
        <w:t>Studies on DHEA levels in breast</w:t>
      </w:r>
      <w:r>
        <w:rPr>
          <w:spacing w:val="-63"/>
        </w:rPr>
        <w:t> </w:t>
      </w:r>
      <w:r>
        <w:rPr/>
        <w:t>cancer</w:t>
      </w:r>
    </w:p>
    <w:p>
      <w:pPr>
        <w:pStyle w:val="BodyText"/>
        <w:spacing w:line="276" w:lineRule="auto" w:before="297"/>
        <w:ind w:left="477" w:right="138"/>
        <w:jc w:val="both"/>
        <w:rPr>
          <w:sz w:val="25"/>
        </w:rPr>
      </w:pPr>
      <w:r>
        <w:rPr/>
        <w:t>In British studies on more than 5,000 women from 1962 and 1971, amazing findings came to light. The studies showed that women with breast cancer had abnormally low DHEA levels.</w:t>
      </w:r>
      <w:r>
        <w:rPr>
          <w:position w:val="9"/>
          <w:sz w:val="25"/>
        </w:rPr>
        <w:t>267</w:t>
      </w:r>
    </w:p>
    <w:p>
      <w:pPr>
        <w:pStyle w:val="Heading1"/>
      </w:pPr>
      <w:r>
        <w:rPr/>
        <w:t>In</w:t>
      </w:r>
      <w:r>
        <w:rPr>
          <w:spacing w:val="-53"/>
        </w:rPr>
        <w:t> </w:t>
      </w:r>
      <w:r>
        <w:rPr/>
        <w:t>studies,</w:t>
      </w:r>
      <w:r>
        <w:rPr>
          <w:spacing w:val="-52"/>
        </w:rPr>
        <w:t> </w:t>
      </w:r>
      <w:r>
        <w:rPr/>
        <w:t>DHEA</w:t>
      </w:r>
      <w:r>
        <w:rPr>
          <w:spacing w:val="-52"/>
        </w:rPr>
        <w:t> </w:t>
      </w:r>
      <w:r>
        <w:rPr/>
        <w:t>increases</w:t>
      </w:r>
      <w:r>
        <w:rPr>
          <w:spacing w:val="-52"/>
        </w:rPr>
        <w:t> </w:t>
      </w:r>
      <w:r>
        <w:rPr/>
        <w:t>insulin</w:t>
      </w:r>
      <w:r>
        <w:rPr>
          <w:spacing w:val="-54"/>
        </w:rPr>
        <w:t> </w:t>
      </w:r>
      <w:r>
        <w:rPr/>
        <w:t>sensitivity</w:t>
      </w:r>
      <w:r>
        <w:rPr>
          <w:spacing w:val="-53"/>
        </w:rPr>
        <w:t> </w:t>
      </w:r>
      <w:r>
        <w:rPr/>
        <w:t>and</w:t>
      </w:r>
      <w:r>
        <w:rPr>
          <w:spacing w:val="-53"/>
        </w:rPr>
        <w:t> </w:t>
      </w:r>
      <w:r>
        <w:rPr/>
        <w:t>lowers</w:t>
      </w:r>
      <w:r>
        <w:rPr>
          <w:spacing w:val="-53"/>
        </w:rPr>
        <w:t> </w:t>
      </w:r>
      <w:r>
        <w:rPr/>
        <w:t>insulin</w:t>
      </w:r>
      <w:r>
        <w:rPr>
          <w:spacing w:val="-54"/>
        </w:rPr>
        <w:t> </w:t>
      </w:r>
      <w:r>
        <w:rPr/>
        <w:t>levels</w:t>
      </w:r>
    </w:p>
    <w:p>
      <w:pPr>
        <w:pStyle w:val="BodyText"/>
        <w:spacing w:before="299"/>
        <w:ind w:left="477"/>
      </w:pPr>
      <w:r>
        <w:rPr/>
        <w:t>By promoting the production of insulin-producing cells, DHEA has been</w:t>
      </w:r>
    </w:p>
    <w:p>
      <w:pPr>
        <w:pStyle w:val="BodyText"/>
        <w:rPr>
          <w:sz w:val="20"/>
        </w:rPr>
      </w:pPr>
    </w:p>
    <w:p>
      <w:pPr>
        <w:pStyle w:val="BodyText"/>
        <w:rPr>
          <w:sz w:val="20"/>
        </w:rPr>
      </w:pPr>
    </w:p>
    <w:p>
      <w:pPr>
        <w:pStyle w:val="BodyText"/>
        <w:spacing w:before="10"/>
        <w:rPr>
          <w:sz w:val="21"/>
        </w:rPr>
      </w:pPr>
      <w:r>
        <w:rPr/>
        <w:pict>
          <v:line style="position:absolute;mso-position-horizontal-relative:page;mso-position-vertical-relative:paragraph;z-index:2816;mso-wrap-distance-left:0;mso-wrap-distance-right:0" from="63.863998pt,14.663765pt" to="207.883998pt,14.663765pt" stroked="true" strokeweight=".71997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263 </w:t>
      </w:r>
      <w:r>
        <w:rPr>
          <w:sz w:val="20"/>
        </w:rPr>
        <w:t>Biochem. J. 301, 1994, p. 753-758</w:t>
      </w:r>
    </w:p>
    <w:p>
      <w:pPr>
        <w:spacing w:before="94"/>
        <w:ind w:left="477" w:right="0" w:firstLine="0"/>
        <w:jc w:val="left"/>
        <w:rPr>
          <w:sz w:val="20"/>
        </w:rPr>
      </w:pPr>
      <w:r>
        <w:rPr>
          <w:position w:val="5"/>
          <w:sz w:val="13"/>
        </w:rPr>
        <w:t>264 </w:t>
      </w:r>
      <w:r>
        <w:rPr>
          <w:sz w:val="20"/>
        </w:rPr>
        <w:t>Loria R. M.: Antiglucocorticoid function of androstenetriol. Psychoneuroendocrinology 1997; 22 Suppl 1, p. 103-108</w:t>
      </w:r>
    </w:p>
    <w:p>
      <w:pPr>
        <w:spacing w:before="95"/>
        <w:ind w:left="477" w:right="0" w:firstLine="0"/>
        <w:jc w:val="left"/>
        <w:rPr>
          <w:sz w:val="20"/>
        </w:rPr>
      </w:pPr>
      <w:r>
        <w:rPr>
          <w:position w:val="5"/>
          <w:sz w:val="13"/>
        </w:rPr>
        <w:t>265 </w:t>
      </w:r>
      <w:r>
        <w:rPr>
          <w:sz w:val="20"/>
        </w:rPr>
        <w:t>Dubrovsky B., 1997, 49, p. 51-55.</w:t>
      </w:r>
    </w:p>
    <w:p>
      <w:pPr>
        <w:spacing w:before="94"/>
        <w:ind w:left="477" w:right="0" w:firstLine="0"/>
        <w:jc w:val="left"/>
        <w:rPr>
          <w:sz w:val="20"/>
        </w:rPr>
      </w:pPr>
      <w:r>
        <w:rPr>
          <w:position w:val="5"/>
          <w:sz w:val="13"/>
        </w:rPr>
        <w:t>266 </w:t>
      </w:r>
      <w:r>
        <w:rPr>
          <w:sz w:val="20"/>
        </w:rPr>
        <w:t>Schwartz 1981, 1984</w:t>
      </w:r>
    </w:p>
    <w:p>
      <w:pPr>
        <w:spacing w:before="94"/>
        <w:ind w:left="477" w:right="0" w:firstLine="0"/>
        <w:jc w:val="left"/>
        <w:rPr>
          <w:sz w:val="20"/>
        </w:rPr>
      </w:pPr>
      <w:r>
        <w:rPr>
          <w:position w:val="5"/>
          <w:sz w:val="13"/>
        </w:rPr>
        <w:t>267 </w:t>
      </w:r>
      <w:r>
        <w:rPr>
          <w:sz w:val="20"/>
        </w:rPr>
        <w:t>Bulbrook et al., 1962, 1972</w:t>
      </w:r>
    </w:p>
    <w:p>
      <w:pPr>
        <w:spacing w:after="0"/>
        <w:jc w:val="left"/>
        <w:rPr>
          <w:sz w:val="20"/>
        </w:rPr>
        <w:sectPr>
          <w:footerReference w:type="default" r:id="rId100"/>
          <w:pgSz w:w="14270" w:h="16850"/>
          <w:pgMar w:footer="1984" w:header="0" w:top="1600" w:bottom="2180" w:left="800" w:right="1280"/>
          <w:pgNumType w:start="380"/>
        </w:sectPr>
      </w:pPr>
    </w:p>
    <w:p>
      <w:pPr>
        <w:pStyle w:val="BodyText"/>
        <w:spacing w:line="276" w:lineRule="auto" w:before="181"/>
        <w:ind w:left="477" w:right="132"/>
        <w:jc w:val="both"/>
        <w:rPr>
          <w:sz w:val="25"/>
        </w:rPr>
      </w:pPr>
      <w:r>
        <w:rPr/>
        <w:t>shown to increase insulin sensitivity and lower insulin levels in studies. De- creased insulin sensitivity is equivalent to insulin resistance, which is the causa- tive and central disorder in diabetes.</w:t>
      </w:r>
      <w:r>
        <w:rPr>
          <w:position w:val="9"/>
          <w:sz w:val="25"/>
        </w:rPr>
        <w:t>268</w:t>
      </w:r>
    </w:p>
    <w:p>
      <w:pPr>
        <w:pStyle w:val="Heading1"/>
      </w:pPr>
      <w:r>
        <w:rPr/>
        <w:t>In studies, DHEA significantly reduces the risk of heart attack</w:t>
      </w:r>
    </w:p>
    <w:p>
      <w:pPr>
        <w:pStyle w:val="BodyText"/>
        <w:spacing w:line="276" w:lineRule="auto" w:before="300"/>
        <w:ind w:left="477" w:right="142"/>
        <w:jc w:val="both"/>
        <w:rPr>
          <w:sz w:val="25"/>
        </w:rPr>
      </w:pPr>
      <w:r>
        <w:rPr/>
        <w:t>In trials, DHEA has demonstrated the ability to significantly reduce the risk of heart attack.</w:t>
      </w:r>
      <w:r>
        <w:rPr>
          <w:position w:val="9"/>
          <w:sz w:val="25"/>
        </w:rPr>
        <w:t>269</w:t>
      </w:r>
    </w:p>
    <w:p>
      <w:pPr>
        <w:pStyle w:val="Heading1"/>
        <w:spacing w:before="221"/>
      </w:pPr>
      <w:r>
        <w:rPr>
          <w:w w:val="95"/>
        </w:rPr>
        <w:t>Lower DHEA scores measured in heart</w:t>
      </w:r>
      <w:r>
        <w:rPr>
          <w:spacing w:val="-21"/>
          <w:w w:val="95"/>
        </w:rPr>
        <w:t> </w:t>
      </w:r>
      <w:r>
        <w:rPr>
          <w:w w:val="95"/>
        </w:rPr>
        <w:t>disease</w:t>
      </w:r>
    </w:p>
    <w:p>
      <w:pPr>
        <w:pStyle w:val="BodyText"/>
        <w:spacing w:line="276" w:lineRule="auto" w:before="299"/>
        <w:ind w:left="477" w:right="135"/>
        <w:jc w:val="both"/>
        <w:rPr>
          <w:sz w:val="25"/>
        </w:rPr>
      </w:pPr>
      <w:r>
        <w:rPr/>
        <w:t>Another</w:t>
      </w:r>
      <w:r>
        <w:rPr>
          <w:spacing w:val="-13"/>
        </w:rPr>
        <w:t> </w:t>
      </w:r>
      <w:r>
        <w:rPr/>
        <w:t>study</w:t>
      </w:r>
      <w:r>
        <w:rPr>
          <w:spacing w:val="-13"/>
        </w:rPr>
        <w:t> </w:t>
      </w:r>
      <w:r>
        <w:rPr/>
        <w:t>on</w:t>
      </w:r>
      <w:r>
        <w:rPr>
          <w:spacing w:val="-13"/>
        </w:rPr>
        <w:t> </w:t>
      </w:r>
      <w:r>
        <w:rPr/>
        <w:t>242</w:t>
      </w:r>
      <w:r>
        <w:rPr>
          <w:spacing w:val="-14"/>
        </w:rPr>
        <w:t> </w:t>
      </w:r>
      <w:r>
        <w:rPr/>
        <w:t>men</w:t>
      </w:r>
      <w:r>
        <w:rPr>
          <w:spacing w:val="-13"/>
        </w:rPr>
        <w:t> </w:t>
      </w:r>
      <w:r>
        <w:rPr/>
        <w:t>between</w:t>
      </w:r>
      <w:r>
        <w:rPr>
          <w:spacing w:val="-12"/>
        </w:rPr>
        <w:t> </w:t>
      </w:r>
      <w:r>
        <w:rPr/>
        <w:t>the</w:t>
      </w:r>
      <w:r>
        <w:rPr>
          <w:spacing w:val="-13"/>
        </w:rPr>
        <w:t> </w:t>
      </w:r>
      <w:r>
        <w:rPr/>
        <w:t>ages</w:t>
      </w:r>
      <w:r>
        <w:rPr>
          <w:spacing w:val="-13"/>
        </w:rPr>
        <w:t> </w:t>
      </w:r>
      <w:r>
        <w:rPr/>
        <w:t>of</w:t>
      </w:r>
      <w:r>
        <w:rPr>
          <w:spacing w:val="-14"/>
        </w:rPr>
        <w:t> </w:t>
      </w:r>
      <w:r>
        <w:rPr/>
        <w:t>50</w:t>
      </w:r>
      <w:r>
        <w:rPr>
          <w:spacing w:val="-13"/>
        </w:rPr>
        <w:t> </w:t>
      </w:r>
      <w:r>
        <w:rPr/>
        <w:t>and</w:t>
      </w:r>
      <w:r>
        <w:rPr>
          <w:spacing w:val="-13"/>
        </w:rPr>
        <w:t> </w:t>
      </w:r>
      <w:r>
        <w:rPr/>
        <w:t>79</w:t>
      </w:r>
      <w:r>
        <w:rPr>
          <w:spacing w:val="-15"/>
        </w:rPr>
        <w:t> </w:t>
      </w:r>
      <w:r>
        <w:rPr/>
        <w:t>has</w:t>
      </w:r>
      <w:r>
        <w:rPr>
          <w:spacing w:val="-12"/>
        </w:rPr>
        <w:t> </w:t>
      </w:r>
      <w:r>
        <w:rPr/>
        <w:t>shown</w:t>
      </w:r>
      <w:r>
        <w:rPr>
          <w:spacing w:val="-14"/>
        </w:rPr>
        <w:t> </w:t>
      </w:r>
      <w:r>
        <w:rPr/>
        <w:t>that</w:t>
      </w:r>
      <w:r>
        <w:rPr>
          <w:spacing w:val="-13"/>
        </w:rPr>
        <w:t> </w:t>
      </w:r>
      <w:r>
        <w:rPr/>
        <w:t>lower levels of DHEA are measurable in heart</w:t>
      </w:r>
      <w:r>
        <w:rPr>
          <w:spacing w:val="2"/>
        </w:rPr>
        <w:t> </w:t>
      </w:r>
      <w:r>
        <w:rPr/>
        <w:t>patients.</w:t>
      </w:r>
      <w:r>
        <w:rPr>
          <w:position w:val="9"/>
          <w:sz w:val="25"/>
        </w:rPr>
        <w:t>270</w:t>
      </w:r>
    </w:p>
    <w:p>
      <w:pPr>
        <w:pStyle w:val="BodyText"/>
        <w:spacing w:line="276" w:lineRule="auto" w:before="241"/>
        <w:ind w:left="477" w:right="136"/>
        <w:jc w:val="both"/>
        <w:rPr>
          <w:sz w:val="25"/>
        </w:rPr>
      </w:pPr>
      <w:r>
        <w:rPr/>
        <w:t>Within</w:t>
      </w:r>
      <w:r>
        <w:rPr>
          <w:spacing w:val="-14"/>
        </w:rPr>
        <w:t> </w:t>
      </w:r>
      <w:r>
        <w:rPr/>
        <w:t>an</w:t>
      </w:r>
      <w:r>
        <w:rPr>
          <w:spacing w:val="-14"/>
        </w:rPr>
        <w:t> </w:t>
      </w:r>
      <w:r>
        <w:rPr/>
        <w:t>observation</w:t>
      </w:r>
      <w:r>
        <w:rPr>
          <w:spacing w:val="-13"/>
        </w:rPr>
        <w:t> </w:t>
      </w:r>
      <w:r>
        <w:rPr/>
        <w:t>period</w:t>
      </w:r>
      <w:r>
        <w:rPr>
          <w:spacing w:val="-13"/>
        </w:rPr>
        <w:t> </w:t>
      </w:r>
      <w:r>
        <w:rPr/>
        <w:t>of</w:t>
      </w:r>
      <w:r>
        <w:rPr>
          <w:spacing w:val="-14"/>
        </w:rPr>
        <w:t> </w:t>
      </w:r>
      <w:r>
        <w:rPr/>
        <w:t>two</w:t>
      </w:r>
      <w:r>
        <w:rPr>
          <w:spacing w:val="-14"/>
        </w:rPr>
        <w:t> </w:t>
      </w:r>
      <w:r>
        <w:rPr/>
        <w:t>and</w:t>
      </w:r>
      <w:r>
        <w:rPr>
          <w:spacing w:val="-13"/>
        </w:rPr>
        <w:t> </w:t>
      </w:r>
      <w:r>
        <w:rPr/>
        <w:t>four</w:t>
      </w:r>
      <w:r>
        <w:rPr>
          <w:spacing w:val="-13"/>
        </w:rPr>
        <w:t> </w:t>
      </w:r>
      <w:r>
        <w:rPr/>
        <w:t>years,</w:t>
      </w:r>
      <w:r>
        <w:rPr>
          <w:spacing w:val="-13"/>
        </w:rPr>
        <w:t> </w:t>
      </w:r>
      <w:r>
        <w:rPr/>
        <w:t>it</w:t>
      </w:r>
      <w:r>
        <w:rPr>
          <w:spacing w:val="-14"/>
        </w:rPr>
        <w:t> </w:t>
      </w:r>
      <w:r>
        <w:rPr/>
        <w:t>was</w:t>
      </w:r>
      <w:r>
        <w:rPr>
          <w:spacing w:val="-13"/>
        </w:rPr>
        <w:t> </w:t>
      </w:r>
      <w:r>
        <w:rPr/>
        <w:t>found</w:t>
      </w:r>
      <w:r>
        <w:rPr>
          <w:spacing w:val="-13"/>
        </w:rPr>
        <w:t> </w:t>
      </w:r>
      <w:r>
        <w:rPr/>
        <w:t>that</w:t>
      </w:r>
      <w:r>
        <w:rPr>
          <w:spacing w:val="-14"/>
        </w:rPr>
        <w:t> </w:t>
      </w:r>
      <w:r>
        <w:rPr/>
        <w:t>men</w:t>
      </w:r>
      <w:r>
        <w:rPr>
          <w:spacing w:val="-7"/>
        </w:rPr>
        <w:t> </w:t>
      </w:r>
      <w:r>
        <w:rPr/>
        <w:t>with low DHEA levels have significantly higher mortality due to cardiovascular fail- ure.</w:t>
      </w:r>
      <w:r>
        <w:rPr>
          <w:position w:val="9"/>
          <w:sz w:val="25"/>
        </w:rPr>
        <w:t>271</w:t>
      </w:r>
    </w:p>
    <w:p>
      <w:pPr>
        <w:pStyle w:val="Heading1"/>
        <w:spacing w:before="222"/>
      </w:pPr>
      <w:r>
        <w:rPr/>
        <w:t>Studies show that DHEA improves circulation in blood vessels</w:t>
      </w:r>
    </w:p>
    <w:p>
      <w:pPr>
        <w:pStyle w:val="BodyText"/>
        <w:spacing w:line="276" w:lineRule="auto" w:before="299"/>
        <w:ind w:left="477" w:right="131"/>
        <w:jc w:val="both"/>
        <w:rPr>
          <w:sz w:val="25"/>
        </w:rPr>
      </w:pPr>
      <w:r>
        <w:rPr/>
        <w:t>In</w:t>
      </w:r>
      <w:r>
        <w:rPr>
          <w:spacing w:val="-21"/>
        </w:rPr>
        <w:t> </w:t>
      </w:r>
      <w:r>
        <w:rPr/>
        <w:t>trials,</w:t>
      </w:r>
      <w:r>
        <w:rPr>
          <w:spacing w:val="-20"/>
        </w:rPr>
        <w:t> </w:t>
      </w:r>
      <w:r>
        <w:rPr/>
        <w:t>DHEA</w:t>
      </w:r>
      <w:r>
        <w:rPr>
          <w:spacing w:val="-23"/>
        </w:rPr>
        <w:t> </w:t>
      </w:r>
      <w:r>
        <w:rPr/>
        <w:t>has</w:t>
      </w:r>
      <w:r>
        <w:rPr>
          <w:spacing w:val="-20"/>
        </w:rPr>
        <w:t> </w:t>
      </w:r>
      <w:r>
        <w:rPr/>
        <w:t>been</w:t>
      </w:r>
      <w:r>
        <w:rPr>
          <w:spacing w:val="-21"/>
        </w:rPr>
        <w:t> </w:t>
      </w:r>
      <w:r>
        <w:rPr/>
        <w:t>shown</w:t>
      </w:r>
      <w:r>
        <w:rPr>
          <w:spacing w:val="-25"/>
        </w:rPr>
        <w:t> </w:t>
      </w:r>
      <w:r>
        <w:rPr/>
        <w:t>to</w:t>
      </w:r>
      <w:r>
        <w:rPr>
          <w:spacing w:val="-21"/>
        </w:rPr>
        <w:t> </w:t>
      </w:r>
      <w:r>
        <w:rPr/>
        <w:t>significantly</w:t>
      </w:r>
      <w:r>
        <w:rPr>
          <w:spacing w:val="-22"/>
        </w:rPr>
        <w:t> </w:t>
      </w:r>
      <w:r>
        <w:rPr/>
        <w:t>improve</w:t>
      </w:r>
      <w:r>
        <w:rPr>
          <w:spacing w:val="-20"/>
        </w:rPr>
        <w:t> </w:t>
      </w:r>
      <w:r>
        <w:rPr/>
        <w:t>dilatation</w:t>
      </w:r>
      <w:r>
        <w:rPr>
          <w:spacing w:val="-21"/>
        </w:rPr>
        <w:t> </w:t>
      </w:r>
      <w:r>
        <w:rPr/>
        <w:t>capacity</w:t>
      </w:r>
      <w:r>
        <w:rPr>
          <w:spacing w:val="-21"/>
        </w:rPr>
        <w:t> </w:t>
      </w:r>
      <w:r>
        <w:rPr/>
        <w:t>and perfusion in arteries by optimising endothelial</w:t>
      </w:r>
      <w:r>
        <w:rPr>
          <w:spacing w:val="4"/>
        </w:rPr>
        <w:t> </w:t>
      </w:r>
      <w:r>
        <w:rPr/>
        <w:t>function.</w:t>
      </w:r>
      <w:r>
        <w:rPr>
          <w:position w:val="9"/>
          <w:sz w:val="25"/>
        </w:rPr>
        <w:t>272</w:t>
      </w:r>
    </w:p>
    <w:p>
      <w:pPr>
        <w:pStyle w:val="Heading1"/>
        <w:spacing w:line="261" w:lineRule="auto"/>
        <w:ind w:right="138"/>
        <w:jc w:val="both"/>
      </w:pPr>
      <w:r>
        <w:rPr/>
        <w:t>DHEA</w:t>
      </w:r>
      <w:r>
        <w:rPr>
          <w:spacing w:val="-40"/>
        </w:rPr>
        <w:t> </w:t>
      </w:r>
      <w:r>
        <w:rPr/>
        <w:t>reduces</w:t>
      </w:r>
      <w:r>
        <w:rPr>
          <w:spacing w:val="-40"/>
        </w:rPr>
        <w:t> </w:t>
      </w:r>
      <w:r>
        <w:rPr/>
        <w:t>vascular</w:t>
      </w:r>
      <w:r>
        <w:rPr>
          <w:spacing w:val="-40"/>
        </w:rPr>
        <w:t> </w:t>
      </w:r>
      <w:r>
        <w:rPr/>
        <w:t>calcification</w:t>
      </w:r>
      <w:r>
        <w:rPr>
          <w:spacing w:val="-41"/>
        </w:rPr>
        <w:t> </w:t>
      </w:r>
      <w:r>
        <w:rPr/>
        <w:t>(atherosclerosis</w:t>
      </w:r>
      <w:r>
        <w:rPr>
          <w:spacing w:val="-37"/>
        </w:rPr>
        <w:t> </w:t>
      </w:r>
      <w:r>
        <w:rPr/>
        <w:t>)</w:t>
      </w:r>
      <w:r>
        <w:rPr>
          <w:spacing w:val="-40"/>
        </w:rPr>
        <w:t> </w:t>
      </w:r>
      <w:r>
        <w:rPr/>
        <w:t>in</w:t>
      </w:r>
      <w:r>
        <w:rPr>
          <w:spacing w:val="-41"/>
        </w:rPr>
        <w:t> </w:t>
      </w:r>
      <w:r>
        <w:rPr/>
        <w:t>animal</w:t>
      </w:r>
      <w:r>
        <w:rPr>
          <w:spacing w:val="-40"/>
        </w:rPr>
        <w:t> </w:t>
      </w:r>
      <w:r>
        <w:rPr/>
        <w:t>trials by 50</w:t>
      </w:r>
      <w:r>
        <w:rPr>
          <w:spacing w:val="-12"/>
        </w:rPr>
        <w:t> </w:t>
      </w:r>
      <w:r>
        <w:rPr/>
        <w:t>%</w:t>
      </w:r>
    </w:p>
    <w:p>
      <w:pPr>
        <w:pStyle w:val="BodyText"/>
        <w:rPr>
          <w:b/>
          <w:i/>
          <w:sz w:val="20"/>
        </w:rPr>
      </w:pPr>
    </w:p>
    <w:p>
      <w:pPr>
        <w:pStyle w:val="BodyText"/>
        <w:rPr>
          <w:b/>
          <w:i/>
          <w:sz w:val="14"/>
        </w:rPr>
      </w:pPr>
      <w:r>
        <w:rPr/>
        <w:pict>
          <v:line style="position:absolute;mso-position-horizontal-relative:page;mso-position-vertical-relative:paragraph;z-index:2840;mso-wrap-distance-left:0;mso-wrap-distance-right:0" from="63.863998pt,10.254985pt" to="207.883998pt,10.254985pt" stroked="true" strokeweight=".72003pt" strokecolor="#000000">
            <v:stroke dashstyle="solid"/>
            <w10:wrap type="topAndBottom"/>
          </v:line>
        </w:pict>
      </w:r>
    </w:p>
    <w:p>
      <w:pPr>
        <w:pStyle w:val="BodyText"/>
        <w:spacing w:before="7"/>
        <w:rPr>
          <w:b/>
          <w:i/>
          <w:sz w:val="18"/>
        </w:rPr>
      </w:pPr>
    </w:p>
    <w:p>
      <w:pPr>
        <w:spacing w:before="99"/>
        <w:ind w:left="477" w:right="0" w:firstLine="0"/>
        <w:jc w:val="left"/>
        <w:rPr>
          <w:sz w:val="20"/>
        </w:rPr>
      </w:pPr>
      <w:r>
        <w:rPr>
          <w:position w:val="5"/>
          <w:sz w:val="13"/>
        </w:rPr>
        <w:t>268 </w:t>
      </w:r>
      <w:r>
        <w:rPr>
          <w:sz w:val="20"/>
        </w:rPr>
        <w:t>Am. J. Med. Sci. 1993, 306, p. 320-324; Villareal, D.T. et al.: JAMA 2004, 292, p. 2243-2248</w:t>
      </w:r>
    </w:p>
    <w:p>
      <w:pPr>
        <w:spacing w:before="92"/>
        <w:ind w:left="477" w:right="0" w:firstLine="0"/>
        <w:jc w:val="left"/>
        <w:rPr>
          <w:sz w:val="20"/>
        </w:rPr>
      </w:pPr>
      <w:r>
        <w:rPr>
          <w:position w:val="5"/>
          <w:sz w:val="13"/>
        </w:rPr>
        <w:t>269 </w:t>
      </w:r>
      <w:r>
        <w:rPr>
          <w:sz w:val="20"/>
        </w:rPr>
        <w:t>Am. J. Med. Sci., 1996, 311, p. 205-210</w:t>
      </w:r>
    </w:p>
    <w:p>
      <w:pPr>
        <w:spacing w:before="94"/>
        <w:ind w:left="477" w:right="0" w:firstLine="0"/>
        <w:jc w:val="left"/>
        <w:rPr>
          <w:sz w:val="20"/>
        </w:rPr>
      </w:pPr>
      <w:r>
        <w:rPr>
          <w:position w:val="5"/>
          <w:sz w:val="13"/>
        </w:rPr>
        <w:t>270 </w:t>
      </w:r>
      <w:r>
        <w:rPr>
          <w:sz w:val="20"/>
        </w:rPr>
        <w:t>Barrett-Connor, E. et al.: NEJM, 1986, 315, p. 1519-1524</w:t>
      </w:r>
    </w:p>
    <w:p>
      <w:pPr>
        <w:spacing w:before="94"/>
        <w:ind w:left="477" w:right="0" w:firstLine="0"/>
        <w:jc w:val="left"/>
        <w:rPr>
          <w:sz w:val="20"/>
        </w:rPr>
      </w:pPr>
      <w:r>
        <w:rPr>
          <w:position w:val="5"/>
          <w:sz w:val="13"/>
        </w:rPr>
        <w:t>271 </w:t>
      </w:r>
      <w:r>
        <w:rPr>
          <w:sz w:val="20"/>
        </w:rPr>
        <w:t>Berr, C.: Proc Natl Acad Sci USA 1996, 93, p. 13410-13415</w:t>
      </w:r>
    </w:p>
    <w:p>
      <w:pPr>
        <w:spacing w:line="276" w:lineRule="auto" w:before="95"/>
        <w:ind w:left="477" w:right="244" w:firstLine="0"/>
        <w:jc w:val="left"/>
        <w:rPr>
          <w:sz w:val="20"/>
        </w:rPr>
      </w:pPr>
      <w:r>
        <w:rPr>
          <w:position w:val="5"/>
          <w:sz w:val="13"/>
        </w:rPr>
        <w:t>272 </w:t>
      </w:r>
      <w:r>
        <w:rPr>
          <w:sz w:val="20"/>
        </w:rPr>
        <w:t>Kawano H. et al.: Dehydroepiandrosterone supplementation improves endothelial function and insulin sensitivity in men. J Clin Endocrinol Metab 2003, 88, p. 3190-3195.</w:t>
      </w:r>
    </w:p>
    <w:p>
      <w:pPr>
        <w:spacing w:after="0" w:line="276" w:lineRule="auto"/>
        <w:jc w:val="left"/>
        <w:rPr>
          <w:sz w:val="20"/>
        </w:rPr>
        <w:sectPr>
          <w:pgSz w:w="14270" w:h="16850"/>
          <w:pgMar w:header="0" w:footer="1984" w:top="1600" w:bottom="2180" w:left="800" w:right="1280"/>
        </w:sectPr>
      </w:pPr>
    </w:p>
    <w:p>
      <w:pPr>
        <w:pStyle w:val="BodyText"/>
        <w:spacing w:line="276" w:lineRule="auto" w:before="181"/>
        <w:ind w:left="477" w:right="131"/>
        <w:jc w:val="both"/>
      </w:pPr>
      <w:r>
        <w:rPr/>
        <w:t>At the John Hopkins Department of Medicine in 1988, taking DHEA reduced arterial calcification (atherosclerosis) in rabbits by 50 %, which should be con- sidered a sensational result.</w:t>
      </w:r>
    </w:p>
    <w:p>
      <w:pPr>
        <w:pStyle w:val="Heading1"/>
      </w:pPr>
      <w:r>
        <w:rPr/>
        <w:t>DHEA protects against viral infections in studies</w:t>
      </w:r>
    </w:p>
    <w:p>
      <w:pPr>
        <w:pStyle w:val="BodyText"/>
        <w:spacing w:line="276" w:lineRule="auto" w:before="300"/>
        <w:ind w:left="477" w:right="137"/>
        <w:jc w:val="both"/>
        <w:rPr>
          <w:sz w:val="25"/>
        </w:rPr>
      </w:pPr>
      <w:r>
        <w:rPr/>
        <w:t>By boosting interferon production, DHEA has been shown to protect against viral</w:t>
      </w:r>
      <w:r>
        <w:rPr>
          <w:spacing w:val="-9"/>
        </w:rPr>
        <w:t> </w:t>
      </w:r>
      <w:r>
        <w:rPr/>
        <w:t>infections.</w:t>
      </w:r>
      <w:r>
        <w:rPr>
          <w:spacing w:val="-8"/>
        </w:rPr>
        <w:t> </w:t>
      </w:r>
      <w:r>
        <w:rPr/>
        <w:t>Both</w:t>
      </w:r>
      <w:r>
        <w:rPr>
          <w:spacing w:val="-6"/>
        </w:rPr>
        <w:t> </w:t>
      </w:r>
      <w:r>
        <w:rPr/>
        <w:t>oral</w:t>
      </w:r>
      <w:r>
        <w:rPr>
          <w:spacing w:val="-7"/>
        </w:rPr>
        <w:t> </w:t>
      </w:r>
      <w:r>
        <w:rPr/>
        <w:t>and</w:t>
      </w:r>
      <w:r>
        <w:rPr>
          <w:spacing w:val="-9"/>
        </w:rPr>
        <w:t> </w:t>
      </w:r>
      <w:r>
        <w:rPr/>
        <w:t>subcutaneous</w:t>
      </w:r>
      <w:r>
        <w:rPr>
          <w:spacing w:val="-7"/>
        </w:rPr>
        <w:t> </w:t>
      </w:r>
      <w:r>
        <w:rPr/>
        <w:t>doses</w:t>
      </w:r>
      <w:r>
        <w:rPr>
          <w:spacing w:val="-6"/>
        </w:rPr>
        <w:t> </w:t>
      </w:r>
      <w:r>
        <w:rPr/>
        <w:t>of</w:t>
      </w:r>
      <w:r>
        <w:rPr>
          <w:spacing w:val="-8"/>
        </w:rPr>
        <w:t> </w:t>
      </w:r>
      <w:r>
        <w:rPr/>
        <w:t>DHEA</w:t>
      </w:r>
      <w:r>
        <w:rPr>
          <w:spacing w:val="-6"/>
        </w:rPr>
        <w:t> </w:t>
      </w:r>
      <w:r>
        <w:rPr/>
        <w:t>have</w:t>
      </w:r>
      <w:r>
        <w:rPr>
          <w:spacing w:val="-7"/>
        </w:rPr>
        <w:t> </w:t>
      </w:r>
      <w:r>
        <w:rPr/>
        <w:t>been</w:t>
      </w:r>
      <w:r>
        <w:rPr>
          <w:spacing w:val="-8"/>
        </w:rPr>
        <w:t> </w:t>
      </w:r>
      <w:r>
        <w:rPr/>
        <w:t>shown to protect mice and rats from fatal infections in animal</w:t>
      </w:r>
      <w:r>
        <w:rPr>
          <w:spacing w:val="-11"/>
        </w:rPr>
        <w:t> </w:t>
      </w:r>
      <w:r>
        <w:rPr/>
        <w:t>experiments.</w:t>
      </w:r>
      <w:r>
        <w:rPr>
          <w:position w:val="9"/>
          <w:sz w:val="25"/>
        </w:rPr>
        <w:t>273</w:t>
      </w:r>
    </w:p>
    <w:p>
      <w:pPr>
        <w:pStyle w:val="BodyText"/>
        <w:rPr>
          <w:sz w:val="42"/>
        </w:rPr>
      </w:pPr>
    </w:p>
    <w:p>
      <w:pPr>
        <w:pStyle w:val="BodyText"/>
        <w:rPr>
          <w:sz w:val="42"/>
        </w:rPr>
      </w:pPr>
    </w:p>
    <w:p>
      <w:pPr>
        <w:pStyle w:val="BodyText"/>
        <w:rPr>
          <w:sz w:val="42"/>
        </w:rPr>
      </w:pPr>
    </w:p>
    <w:p>
      <w:pPr>
        <w:pStyle w:val="Heading1"/>
        <w:spacing w:before="268"/>
      </w:pPr>
      <w:r>
        <w:rPr/>
        <w:t>DHEA counteracts lupus in studies</w:t>
      </w:r>
    </w:p>
    <w:p>
      <w:pPr>
        <w:pStyle w:val="BodyText"/>
        <w:spacing w:line="276" w:lineRule="auto" w:before="299"/>
        <w:ind w:left="477"/>
        <w:rPr>
          <w:sz w:val="25"/>
        </w:rPr>
      </w:pPr>
      <w:r>
        <w:rPr/>
        <w:t>In one study, DHEA was able to demonstrate its effectiveness against system- atic lupus erythematosus.</w:t>
      </w:r>
      <w:r>
        <w:rPr>
          <w:position w:val="9"/>
          <w:sz w:val="25"/>
        </w:rPr>
        <w:t>274</w:t>
      </w:r>
    </w:p>
    <w:p>
      <w:pPr>
        <w:pStyle w:val="Heading2"/>
        <w:spacing w:before="239"/>
      </w:pPr>
      <w:r>
        <w:rPr/>
        <w:t>Studies aimed at optimising brain performance</w:t>
      </w:r>
    </w:p>
    <w:p>
      <w:pPr>
        <w:pStyle w:val="BodyText"/>
        <w:spacing w:line="276" w:lineRule="auto" w:before="305"/>
        <w:ind w:left="477"/>
        <w:rPr>
          <w:sz w:val="25"/>
        </w:rPr>
      </w:pPr>
      <w:r>
        <w:rPr/>
        <w:t>DHEA</w:t>
      </w:r>
      <w:r>
        <w:rPr>
          <w:spacing w:val="-24"/>
        </w:rPr>
        <w:t> </w:t>
      </w:r>
      <w:r>
        <w:rPr/>
        <w:t>activates</w:t>
      </w:r>
      <w:r>
        <w:rPr>
          <w:spacing w:val="-24"/>
        </w:rPr>
        <w:t> </w:t>
      </w:r>
      <w:r>
        <w:rPr/>
        <w:t>the</w:t>
      </w:r>
      <w:r>
        <w:rPr>
          <w:spacing w:val="-23"/>
        </w:rPr>
        <w:t> </w:t>
      </w:r>
      <w:r>
        <w:rPr/>
        <w:t>metabolism</w:t>
      </w:r>
      <w:r>
        <w:rPr>
          <w:spacing w:val="-27"/>
        </w:rPr>
        <w:t> </w:t>
      </w:r>
      <w:r>
        <w:rPr/>
        <w:t>of</w:t>
      </w:r>
      <w:r>
        <w:rPr>
          <w:spacing w:val="-23"/>
        </w:rPr>
        <w:t> </w:t>
      </w:r>
      <w:r>
        <w:rPr/>
        <w:t>the</w:t>
      </w:r>
      <w:r>
        <w:rPr>
          <w:spacing w:val="-24"/>
        </w:rPr>
        <w:t> </w:t>
      </w:r>
      <w:r>
        <w:rPr/>
        <w:t>forebrain</w:t>
      </w:r>
      <w:r>
        <w:rPr>
          <w:spacing w:val="-27"/>
        </w:rPr>
        <w:t> </w:t>
      </w:r>
      <w:r>
        <w:rPr/>
        <w:t>and</w:t>
      </w:r>
      <w:r>
        <w:rPr>
          <w:spacing w:val="-25"/>
        </w:rPr>
        <w:t> </w:t>
      </w:r>
      <w:r>
        <w:rPr/>
        <w:t>other</w:t>
      </w:r>
      <w:r>
        <w:rPr>
          <w:spacing w:val="-23"/>
        </w:rPr>
        <w:t> </w:t>
      </w:r>
      <w:r>
        <w:rPr/>
        <w:t>sections</w:t>
      </w:r>
      <w:r>
        <w:rPr>
          <w:spacing w:val="-24"/>
        </w:rPr>
        <w:t> </w:t>
      </w:r>
      <w:r>
        <w:rPr/>
        <w:t>of</w:t>
      </w:r>
      <w:r>
        <w:rPr>
          <w:spacing w:val="-23"/>
        </w:rPr>
        <w:t> </w:t>
      </w:r>
      <w:r>
        <w:rPr/>
        <w:t>the</w:t>
      </w:r>
      <w:r>
        <w:rPr>
          <w:spacing w:val="-26"/>
        </w:rPr>
        <w:t> </w:t>
      </w:r>
      <w:r>
        <w:rPr/>
        <w:t>brain and can optimise nerve cell</w:t>
      </w:r>
      <w:r>
        <w:rPr>
          <w:spacing w:val="3"/>
        </w:rPr>
        <w:t> </w:t>
      </w:r>
      <w:r>
        <w:rPr/>
        <w:t>activity.</w:t>
      </w:r>
      <w:r>
        <w:rPr>
          <w:position w:val="9"/>
          <w:sz w:val="25"/>
        </w:rPr>
        <w:t>275</w:t>
      </w:r>
    </w:p>
    <w:p>
      <w:pPr>
        <w:pStyle w:val="Heading1"/>
        <w:spacing w:before="223"/>
        <w:jc w:val="both"/>
      </w:pPr>
      <w:r>
        <w:rPr/>
        <w:t>DHEA increases cognitive properties</w:t>
      </w:r>
    </w:p>
    <w:p>
      <w:pPr>
        <w:pStyle w:val="BodyText"/>
        <w:spacing w:before="300"/>
        <w:ind w:left="477"/>
        <w:jc w:val="both"/>
        <w:rPr>
          <w:sz w:val="25"/>
        </w:rPr>
      </w:pPr>
      <w:r>
        <w:rPr/>
        <w:t>In animal experiments, DHEA significantly improved cognitive properties.</w:t>
      </w:r>
      <w:r>
        <w:rPr>
          <w:position w:val="9"/>
          <w:sz w:val="25"/>
        </w:rPr>
        <w:t>276</w:t>
      </w:r>
    </w:p>
    <w:p>
      <w:pPr>
        <w:pStyle w:val="BodyText"/>
        <w:rPr>
          <w:sz w:val="20"/>
        </w:rPr>
      </w:pPr>
    </w:p>
    <w:p>
      <w:pPr>
        <w:pStyle w:val="BodyText"/>
        <w:spacing w:before="5"/>
        <w:rPr>
          <w:sz w:val="26"/>
        </w:rPr>
      </w:pPr>
      <w:r>
        <w:rPr/>
        <w:pict>
          <v:line style="position:absolute;mso-position-horizontal-relative:page;mso-position-vertical-relative:paragraph;z-index:2864;mso-wrap-distance-left:0;mso-wrap-distance-right:0" from="63.863998pt,17.242516pt" to="207.883998pt,17.242516pt" stroked="true" strokeweight=".71997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273 </w:t>
      </w:r>
      <w:r>
        <w:rPr>
          <w:sz w:val="20"/>
        </w:rPr>
        <w:t>J. Endocrinol. 1996, 150, p. 209-220</w:t>
      </w:r>
    </w:p>
    <w:p>
      <w:pPr>
        <w:spacing w:before="94"/>
        <w:ind w:left="477" w:right="0" w:firstLine="0"/>
        <w:jc w:val="left"/>
        <w:rPr>
          <w:sz w:val="20"/>
        </w:rPr>
      </w:pPr>
      <w:r>
        <w:rPr>
          <w:position w:val="5"/>
          <w:sz w:val="13"/>
        </w:rPr>
        <w:t>274 </w:t>
      </w:r>
      <w:r>
        <w:rPr>
          <w:sz w:val="20"/>
        </w:rPr>
        <w:t>Derksen R. H .: Semin Arthritis Rheum. 1998, 27, p. 335-347</w:t>
      </w:r>
    </w:p>
    <w:p>
      <w:pPr>
        <w:spacing w:before="95"/>
        <w:ind w:left="477" w:right="0" w:firstLine="0"/>
        <w:jc w:val="left"/>
        <w:rPr>
          <w:sz w:val="20"/>
        </w:rPr>
      </w:pPr>
      <w:r>
        <w:rPr>
          <w:position w:val="5"/>
          <w:sz w:val="13"/>
        </w:rPr>
        <w:t>275 </w:t>
      </w:r>
      <w:r>
        <w:rPr>
          <w:sz w:val="20"/>
        </w:rPr>
        <w:t>J. Neurosci. 1996, 16, p. 1193-1202</w:t>
      </w:r>
    </w:p>
    <w:p>
      <w:pPr>
        <w:spacing w:before="94"/>
        <w:ind w:left="477" w:right="0" w:firstLine="0"/>
        <w:jc w:val="left"/>
        <w:rPr>
          <w:sz w:val="20"/>
        </w:rPr>
      </w:pPr>
      <w:r>
        <w:rPr>
          <w:position w:val="5"/>
          <w:sz w:val="13"/>
        </w:rPr>
        <w:t>276 </w:t>
      </w:r>
      <w:r>
        <w:rPr>
          <w:sz w:val="20"/>
        </w:rPr>
        <w:t>Wolf, T. and Kirschbaum, C.: Brain Research Reviews 1999, 30, 264-288, 1999</w:t>
      </w:r>
    </w:p>
    <w:p>
      <w:pPr>
        <w:spacing w:after="0"/>
        <w:jc w:val="left"/>
        <w:rPr>
          <w:sz w:val="20"/>
        </w:rPr>
        <w:sectPr>
          <w:pgSz w:w="14270" w:h="16850"/>
          <w:pgMar w:header="0" w:footer="1984" w:top="1600" w:bottom="2180" w:left="800" w:right="1280"/>
        </w:sectPr>
      </w:pPr>
    </w:p>
    <w:p>
      <w:pPr>
        <w:pStyle w:val="Heading1"/>
        <w:spacing w:before="164"/>
      </w:pPr>
      <w:r>
        <w:rPr/>
        <w:t>DHEA improves skin texture in</w:t>
      </w:r>
      <w:r>
        <w:rPr>
          <w:spacing w:val="-51"/>
        </w:rPr>
        <w:t> </w:t>
      </w:r>
      <w:r>
        <w:rPr/>
        <w:t>studies</w:t>
      </w:r>
    </w:p>
    <w:p>
      <w:pPr>
        <w:pStyle w:val="BodyText"/>
        <w:spacing w:before="299"/>
        <w:ind w:left="477"/>
        <w:rPr>
          <w:sz w:val="25"/>
        </w:rPr>
      </w:pPr>
      <w:r>
        <w:rPr/>
        <w:t>In one study, DHEA was shown to lead to improvements in skin texture.</w:t>
      </w:r>
      <w:r>
        <w:rPr>
          <w:position w:val="9"/>
          <w:sz w:val="25"/>
        </w:rPr>
        <w:t>277</w:t>
      </w:r>
    </w:p>
    <w:p>
      <w:pPr>
        <w:pStyle w:val="BodyText"/>
        <w:rPr>
          <w:sz w:val="42"/>
        </w:rPr>
      </w:pPr>
    </w:p>
    <w:p>
      <w:pPr>
        <w:pStyle w:val="BodyText"/>
        <w:rPr>
          <w:sz w:val="42"/>
        </w:rPr>
      </w:pPr>
    </w:p>
    <w:p>
      <w:pPr>
        <w:pStyle w:val="BodyText"/>
        <w:rPr>
          <w:sz w:val="42"/>
        </w:rPr>
      </w:pPr>
    </w:p>
    <w:p>
      <w:pPr>
        <w:pStyle w:val="Heading1"/>
        <w:spacing w:before="334"/>
      </w:pPr>
      <w:r>
        <w:rPr/>
        <w:t>In studies, DHEA suppresses the human HIV virus</w:t>
      </w:r>
    </w:p>
    <w:p>
      <w:pPr>
        <w:pStyle w:val="BodyText"/>
        <w:spacing w:line="276" w:lineRule="auto" w:before="298"/>
        <w:ind w:left="477"/>
        <w:rPr>
          <w:sz w:val="25"/>
        </w:rPr>
      </w:pPr>
      <w:r>
        <w:rPr/>
        <w:t>In one study, DHEA was able to suppress the spread of type 1 HIV in hu- mans.</w:t>
      </w:r>
      <w:r>
        <w:rPr>
          <w:position w:val="9"/>
          <w:sz w:val="25"/>
        </w:rPr>
        <w:t>278</w:t>
      </w:r>
    </w:p>
    <w:p>
      <w:pPr>
        <w:pStyle w:val="BodyText"/>
        <w:spacing w:line="276" w:lineRule="auto" w:before="240"/>
        <w:ind w:left="477"/>
        <w:rPr>
          <w:sz w:val="25"/>
        </w:rPr>
      </w:pPr>
      <w:r>
        <w:rPr/>
        <w:t>In</w:t>
      </w:r>
      <w:r>
        <w:rPr>
          <w:spacing w:val="-18"/>
        </w:rPr>
        <w:t> </w:t>
      </w:r>
      <w:r>
        <w:rPr/>
        <w:t>another</w:t>
      </w:r>
      <w:r>
        <w:rPr>
          <w:spacing w:val="-17"/>
        </w:rPr>
        <w:t> </w:t>
      </w:r>
      <w:r>
        <w:rPr/>
        <w:t>study,</w:t>
      </w:r>
      <w:r>
        <w:rPr>
          <w:spacing w:val="-18"/>
        </w:rPr>
        <w:t> </w:t>
      </w:r>
      <w:r>
        <w:rPr/>
        <w:t>DHEA</w:t>
      </w:r>
      <w:r>
        <w:rPr>
          <w:spacing w:val="-17"/>
        </w:rPr>
        <w:t> </w:t>
      </w:r>
      <w:r>
        <w:rPr/>
        <w:t>was</w:t>
      </w:r>
      <w:r>
        <w:rPr>
          <w:spacing w:val="-18"/>
        </w:rPr>
        <w:t> </w:t>
      </w:r>
      <w:r>
        <w:rPr/>
        <w:t>able</w:t>
      </w:r>
      <w:r>
        <w:rPr>
          <w:spacing w:val="-17"/>
        </w:rPr>
        <w:t> </w:t>
      </w:r>
      <w:r>
        <w:rPr/>
        <w:t>to</w:t>
      </w:r>
      <w:r>
        <w:rPr>
          <w:spacing w:val="-17"/>
        </w:rPr>
        <w:t> </w:t>
      </w:r>
      <w:r>
        <w:rPr/>
        <w:t>show</w:t>
      </w:r>
      <w:r>
        <w:rPr>
          <w:spacing w:val="-19"/>
        </w:rPr>
        <w:t> </w:t>
      </w:r>
      <w:r>
        <w:rPr/>
        <w:t>positive</w:t>
      </w:r>
      <w:r>
        <w:rPr>
          <w:spacing w:val="-18"/>
        </w:rPr>
        <w:t> </w:t>
      </w:r>
      <w:r>
        <w:rPr/>
        <w:t>effects</w:t>
      </w:r>
      <w:r>
        <w:rPr>
          <w:spacing w:val="-18"/>
        </w:rPr>
        <w:t> </w:t>
      </w:r>
      <w:r>
        <w:rPr/>
        <w:t>on</w:t>
      </w:r>
      <w:r>
        <w:rPr>
          <w:spacing w:val="-17"/>
        </w:rPr>
        <w:t> </w:t>
      </w:r>
      <w:r>
        <w:rPr/>
        <w:t>mood</w:t>
      </w:r>
      <w:r>
        <w:rPr>
          <w:spacing w:val="-18"/>
        </w:rPr>
        <w:t> </w:t>
      </w:r>
      <w:r>
        <w:rPr/>
        <w:t>and</w:t>
      </w:r>
      <w:r>
        <w:rPr>
          <w:spacing w:val="-19"/>
        </w:rPr>
        <w:t> </w:t>
      </w:r>
      <w:r>
        <w:rPr/>
        <w:t>fatigue in 45 AIDS</w:t>
      </w:r>
      <w:r>
        <w:rPr>
          <w:spacing w:val="1"/>
        </w:rPr>
        <w:t> </w:t>
      </w:r>
      <w:r>
        <w:rPr/>
        <w:t>patients.</w:t>
      </w:r>
      <w:r>
        <w:rPr>
          <w:position w:val="9"/>
          <w:sz w:val="25"/>
        </w:rPr>
        <w:t>279</w:t>
      </w:r>
    </w:p>
    <w:p>
      <w:pPr>
        <w:pStyle w:val="Heading1"/>
      </w:pPr>
      <w:r>
        <w:rPr/>
        <w:t>DHEA boosts sexual desire in women</w:t>
      </w:r>
    </w:p>
    <w:p>
      <w:pPr>
        <w:pStyle w:val="BodyText"/>
        <w:spacing w:line="276" w:lineRule="auto" w:before="300"/>
        <w:ind w:left="477" w:right="137"/>
        <w:jc w:val="both"/>
      </w:pPr>
      <w:r>
        <w:rPr/>
        <w:t>In a double-blind study, one group of women received 50 mg daily of DHEA over</w:t>
      </w:r>
      <w:r>
        <w:rPr>
          <w:spacing w:val="-21"/>
        </w:rPr>
        <w:t> </w:t>
      </w:r>
      <w:r>
        <w:rPr/>
        <w:t>a</w:t>
      </w:r>
      <w:r>
        <w:rPr>
          <w:spacing w:val="-22"/>
        </w:rPr>
        <w:t> </w:t>
      </w:r>
      <w:r>
        <w:rPr/>
        <w:t>four-month</w:t>
      </w:r>
      <w:r>
        <w:rPr>
          <w:spacing w:val="-20"/>
        </w:rPr>
        <w:t> </w:t>
      </w:r>
      <w:r>
        <w:rPr/>
        <w:t>period,</w:t>
      </w:r>
      <w:r>
        <w:rPr>
          <w:spacing w:val="-21"/>
        </w:rPr>
        <w:t> </w:t>
      </w:r>
      <w:r>
        <w:rPr/>
        <w:t>while</w:t>
      </w:r>
      <w:r>
        <w:rPr>
          <w:spacing w:val="-23"/>
        </w:rPr>
        <w:t> </w:t>
      </w:r>
      <w:r>
        <w:rPr/>
        <w:t>the</w:t>
      </w:r>
      <w:r>
        <w:rPr>
          <w:spacing w:val="-20"/>
        </w:rPr>
        <w:t> </w:t>
      </w:r>
      <w:r>
        <w:rPr/>
        <w:t>control</w:t>
      </w:r>
      <w:r>
        <w:rPr>
          <w:spacing w:val="-21"/>
        </w:rPr>
        <w:t> </w:t>
      </w:r>
      <w:r>
        <w:rPr/>
        <w:t>group</w:t>
      </w:r>
      <w:r>
        <w:rPr>
          <w:spacing w:val="-21"/>
        </w:rPr>
        <w:t> </w:t>
      </w:r>
      <w:r>
        <w:rPr/>
        <w:t>received</w:t>
      </w:r>
      <w:r>
        <w:rPr>
          <w:spacing w:val="-22"/>
        </w:rPr>
        <w:t> </w:t>
      </w:r>
      <w:r>
        <w:rPr/>
        <w:t>a</w:t>
      </w:r>
      <w:r>
        <w:rPr>
          <w:spacing w:val="-22"/>
        </w:rPr>
        <w:t> </w:t>
      </w:r>
      <w:r>
        <w:rPr/>
        <w:t>placebo</w:t>
      </w:r>
      <w:r>
        <w:rPr>
          <w:spacing w:val="-21"/>
        </w:rPr>
        <w:t> </w:t>
      </w:r>
      <w:r>
        <w:rPr/>
        <w:t>(a</w:t>
      </w:r>
      <w:r>
        <w:rPr>
          <w:spacing w:val="-22"/>
        </w:rPr>
        <w:t> </w:t>
      </w:r>
      <w:r>
        <w:rPr/>
        <w:t>dummy treatment).</w:t>
      </w:r>
    </w:p>
    <w:p>
      <w:pPr>
        <w:pStyle w:val="BodyText"/>
        <w:spacing w:line="276" w:lineRule="auto" w:before="238"/>
        <w:ind w:left="477" w:right="137"/>
        <w:jc w:val="both"/>
        <w:rPr>
          <w:sz w:val="25"/>
        </w:rPr>
      </w:pPr>
      <w:r>
        <w:rPr/>
        <w:t>Through psychological questionnaires, a total increase of 5 times as much pro- pensity for sexual thoughts and sexual interest was observed throughout the study. As a result of the study, it could be stated that those women who took DHEA developed an increasing interest in sex while taking DHEA.</w:t>
      </w:r>
      <w:r>
        <w:rPr>
          <w:position w:val="9"/>
          <w:sz w:val="25"/>
        </w:rPr>
        <w:t>280</w:t>
      </w:r>
    </w:p>
    <w:p>
      <w:pPr>
        <w:pStyle w:val="BodyText"/>
        <w:rPr>
          <w:sz w:val="20"/>
        </w:rPr>
      </w:pPr>
    </w:p>
    <w:p>
      <w:pPr>
        <w:pStyle w:val="BodyText"/>
        <w:rPr>
          <w:sz w:val="20"/>
        </w:rPr>
      </w:pPr>
    </w:p>
    <w:p>
      <w:pPr>
        <w:pStyle w:val="BodyText"/>
        <w:spacing w:before="3"/>
        <w:rPr>
          <w:sz w:val="22"/>
        </w:rPr>
      </w:pPr>
      <w:r>
        <w:rPr/>
        <w:pict>
          <v:line style="position:absolute;mso-position-horizontal-relative:page;mso-position-vertical-relative:paragraph;z-index:2888;mso-wrap-distance-left:0;mso-wrap-distance-right:0" from="63.863998pt,14.886265pt" to="207.883998pt,14.886265pt" stroked="true" strokeweight=".71997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277 </w:t>
      </w:r>
      <w:r>
        <w:rPr>
          <w:sz w:val="20"/>
        </w:rPr>
        <w:t>Baulieu, E.-E., et al.: DHEA sulphate, and ageing: Contribution of the DHEAge Study to a sociobiomedical issue, PNAS 2002, 97, 4279–4284.</w:t>
      </w:r>
    </w:p>
    <w:p>
      <w:pPr>
        <w:spacing w:before="94"/>
        <w:ind w:left="477" w:right="0" w:firstLine="0"/>
        <w:jc w:val="left"/>
        <w:rPr>
          <w:sz w:val="20"/>
        </w:rPr>
      </w:pPr>
      <w:r>
        <w:rPr>
          <w:position w:val="5"/>
          <w:sz w:val="13"/>
        </w:rPr>
        <w:t>278 </w:t>
      </w:r>
      <w:r>
        <w:rPr>
          <w:sz w:val="20"/>
        </w:rPr>
        <w:t>J. INfect. Dis 1992; 165, p. 413</w:t>
      </w:r>
    </w:p>
    <w:p>
      <w:pPr>
        <w:spacing w:before="95"/>
        <w:ind w:left="477" w:right="0" w:firstLine="0"/>
        <w:jc w:val="left"/>
        <w:rPr>
          <w:sz w:val="20"/>
        </w:rPr>
      </w:pPr>
      <w:r>
        <w:rPr>
          <w:position w:val="5"/>
          <w:sz w:val="13"/>
        </w:rPr>
        <w:t>279 </w:t>
      </w:r>
      <w:r>
        <w:rPr>
          <w:sz w:val="20"/>
        </w:rPr>
        <w:t>Rabkin J.G. et al.: Psychoneuroendocrinology 2000, 25, p. 53-68</w:t>
      </w:r>
    </w:p>
    <w:p>
      <w:pPr>
        <w:spacing w:before="94"/>
        <w:ind w:left="477" w:right="0" w:firstLine="0"/>
        <w:jc w:val="left"/>
        <w:rPr>
          <w:sz w:val="20"/>
        </w:rPr>
      </w:pPr>
      <w:r>
        <w:rPr>
          <w:position w:val="5"/>
          <w:sz w:val="13"/>
        </w:rPr>
        <w:t>280 </w:t>
      </w:r>
      <w:r>
        <w:rPr>
          <w:sz w:val="20"/>
        </w:rPr>
        <w:t>Fc N. Engl. J. Med. 1999; 341, p. 1013-1020</w:t>
      </w:r>
    </w:p>
    <w:p>
      <w:pPr>
        <w:spacing w:after="0"/>
        <w:jc w:val="left"/>
        <w:rPr>
          <w:sz w:val="20"/>
        </w:rPr>
        <w:sectPr>
          <w:footerReference w:type="default" r:id="rId101"/>
          <w:pgSz w:w="14270" w:h="16850"/>
          <w:pgMar w:footer="527" w:header="0" w:top="1600" w:bottom="720" w:left="800" w:right="12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78"/>
      </w:pPr>
      <w:r>
        <w:rPr/>
        <w:t>DHEA causes increased bone density in studies</w:t>
      </w:r>
    </w:p>
    <w:p>
      <w:pPr>
        <w:pStyle w:val="BodyText"/>
        <w:spacing w:before="299"/>
        <w:ind w:left="477"/>
        <w:rPr>
          <w:sz w:val="25"/>
        </w:rPr>
      </w:pPr>
      <w:r>
        <w:rPr/>
        <w:t>In women over the age of 70, one study found that bone density increased.</w:t>
      </w:r>
      <w:r>
        <w:rPr>
          <w:position w:val="9"/>
          <w:sz w:val="25"/>
        </w:rPr>
        <w:t>281</w:t>
      </w:r>
    </w:p>
    <w:p>
      <w:pPr>
        <w:pStyle w:val="Heading2"/>
        <w:spacing w:line="276" w:lineRule="auto" w:before="305"/>
      </w:pPr>
      <w:r>
        <w:rPr/>
        <w:t>Improvement in physical and mental well-being from DHEA proven in studies</w:t>
      </w:r>
    </w:p>
    <w:p>
      <w:pPr>
        <w:pStyle w:val="BodyText"/>
        <w:spacing w:line="276" w:lineRule="auto" w:before="239"/>
        <w:ind w:left="477"/>
        <w:rPr>
          <w:sz w:val="25"/>
        </w:rPr>
      </w:pPr>
      <w:r>
        <w:rPr/>
        <w:t>Within</w:t>
      </w:r>
      <w:r>
        <w:rPr>
          <w:spacing w:val="-12"/>
        </w:rPr>
        <w:t> </w:t>
      </w:r>
      <w:r>
        <w:rPr/>
        <w:t>a</w:t>
      </w:r>
      <w:r>
        <w:rPr>
          <w:spacing w:val="-13"/>
        </w:rPr>
        <w:t> </w:t>
      </w:r>
      <w:r>
        <w:rPr/>
        <w:t>three-month</w:t>
      </w:r>
      <w:r>
        <w:rPr>
          <w:spacing w:val="-12"/>
        </w:rPr>
        <w:t> </w:t>
      </w:r>
      <w:r>
        <w:rPr/>
        <w:t>study,</w:t>
      </w:r>
      <w:r>
        <w:rPr>
          <w:spacing w:val="-11"/>
        </w:rPr>
        <w:t> </w:t>
      </w:r>
      <w:r>
        <w:rPr/>
        <w:t>an</w:t>
      </w:r>
      <w:r>
        <w:rPr>
          <w:spacing w:val="-14"/>
        </w:rPr>
        <w:t> </w:t>
      </w:r>
      <w:r>
        <w:rPr/>
        <w:t>improvement</w:t>
      </w:r>
      <w:r>
        <w:rPr>
          <w:spacing w:val="-13"/>
        </w:rPr>
        <w:t> </w:t>
      </w:r>
      <w:r>
        <w:rPr/>
        <w:t>in</w:t>
      </w:r>
      <w:r>
        <w:rPr>
          <w:spacing w:val="-14"/>
        </w:rPr>
        <w:t> </w:t>
      </w:r>
      <w:r>
        <w:rPr/>
        <w:t>physical</w:t>
      </w:r>
      <w:r>
        <w:rPr>
          <w:spacing w:val="-13"/>
        </w:rPr>
        <w:t> </w:t>
      </w:r>
      <w:r>
        <w:rPr/>
        <w:t>and</w:t>
      </w:r>
      <w:r>
        <w:rPr>
          <w:spacing w:val="-11"/>
        </w:rPr>
        <w:t> </w:t>
      </w:r>
      <w:r>
        <w:rPr/>
        <w:t>mental</w:t>
      </w:r>
      <w:r>
        <w:rPr>
          <w:spacing w:val="-12"/>
        </w:rPr>
        <w:t> </w:t>
      </w:r>
      <w:r>
        <w:rPr/>
        <w:t>well-being was noted.</w:t>
      </w:r>
      <w:r>
        <w:rPr>
          <w:position w:val="9"/>
          <w:sz w:val="25"/>
        </w:rPr>
        <w:t>282</w:t>
      </w:r>
    </w:p>
    <w:p>
      <w:pPr>
        <w:pStyle w:val="Heading1"/>
        <w:spacing w:before="223"/>
      </w:pPr>
      <w:r>
        <w:rPr/>
        <w:t>Low level of DHEA detected in the blood of HIV patients</w:t>
      </w:r>
    </w:p>
    <w:p>
      <w:pPr>
        <w:pStyle w:val="BodyText"/>
        <w:spacing w:line="276" w:lineRule="auto" w:before="300"/>
        <w:ind w:left="477"/>
        <w:rPr>
          <w:sz w:val="25"/>
        </w:rPr>
      </w:pPr>
      <w:r>
        <w:rPr/>
        <w:t>Studies indicate that most HIV sufferers have significantly lower levels of DHEA in their blood than non-infected people.</w:t>
      </w:r>
      <w:r>
        <w:rPr>
          <w:position w:val="9"/>
          <w:sz w:val="25"/>
        </w:rPr>
        <w:t>283</w:t>
      </w:r>
    </w:p>
    <w:p>
      <w:pPr>
        <w:pStyle w:val="Heading1"/>
        <w:spacing w:before="221"/>
      </w:pPr>
      <w:r>
        <w:rPr/>
        <w:t>Increase in vitality by up to 82 % in studies</w:t>
      </w:r>
    </w:p>
    <w:p>
      <w:pPr>
        <w:pStyle w:val="BodyText"/>
        <w:spacing w:line="276" w:lineRule="auto" w:before="299"/>
        <w:ind w:left="477" w:right="136"/>
        <w:jc w:val="both"/>
      </w:pPr>
      <w:r>
        <w:rPr/>
        <w:t>In a study at the University of San Diego, California, vitality and energy in- creased by 82 % in women and 67 % in men after just a few weeks of taking DHEA.</w:t>
      </w:r>
    </w:p>
    <w:p>
      <w:pPr>
        <w:pStyle w:val="Heading1"/>
      </w:pPr>
      <w:r>
        <w:rPr/>
        <w:t>Anabolic effects of DHEA confirmed in studies</w:t>
      </w:r>
    </w:p>
    <w:p>
      <w:pPr>
        <w:pStyle w:val="BodyText"/>
        <w:spacing w:before="300"/>
        <w:ind w:left="477"/>
      </w:pPr>
      <w:r>
        <w:rPr/>
        <w:t>In a study examining the anabolic effect of DHEA, young men were able to</w:t>
      </w:r>
    </w:p>
    <w:p>
      <w:pPr>
        <w:pStyle w:val="BodyText"/>
        <w:rPr>
          <w:sz w:val="20"/>
        </w:rPr>
      </w:pPr>
    </w:p>
    <w:p>
      <w:pPr>
        <w:pStyle w:val="BodyText"/>
        <w:spacing w:before="5"/>
        <w:rPr>
          <w:sz w:val="10"/>
        </w:rPr>
      </w:pPr>
      <w:r>
        <w:rPr/>
        <w:pict>
          <v:line style="position:absolute;mso-position-horizontal-relative:page;mso-position-vertical-relative:paragraph;z-index:2912;mso-wrap-distance-left:0;mso-wrap-distance-right:0" from="63.863998pt,8.248765pt" to="207.883998pt,8.248765pt" stroked="true" strokeweight=".71997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281 </w:t>
      </w:r>
      <w:r>
        <w:rPr>
          <w:sz w:val="20"/>
        </w:rPr>
        <w:t>Baulieu E.-E. et al.: Proc Natl Acad Sci U S A. 2000 Apr 11; 97 (8), p. 4279-4284.</w:t>
      </w:r>
    </w:p>
    <w:p>
      <w:pPr>
        <w:spacing w:line="276" w:lineRule="auto" w:before="94"/>
        <w:ind w:left="477" w:right="244" w:firstLine="0"/>
        <w:jc w:val="left"/>
        <w:rPr>
          <w:sz w:val="20"/>
        </w:rPr>
      </w:pPr>
      <w:r>
        <w:rPr/>
        <w:drawing>
          <wp:anchor distT="0" distB="0" distL="0" distR="0" allowOverlap="1" layoutInCell="1" locked="0" behindDoc="1" simplePos="0" relativeHeight="267170711">
            <wp:simplePos x="0" y="0"/>
            <wp:positionH relativeFrom="page">
              <wp:posOffset>896463</wp:posOffset>
            </wp:positionH>
            <wp:positionV relativeFrom="paragraph">
              <wp:posOffset>306554</wp:posOffset>
            </wp:positionV>
            <wp:extent cx="6379583" cy="902106"/>
            <wp:effectExtent l="0" t="0" r="0" b="0"/>
            <wp:wrapNone/>
            <wp:docPr id="155" name="image2.jpeg" descr=""/>
            <wp:cNvGraphicFramePr>
              <a:graphicFrameLocks noChangeAspect="1"/>
            </wp:cNvGraphicFramePr>
            <a:graphic>
              <a:graphicData uri="http://schemas.openxmlformats.org/drawingml/2006/picture">
                <pic:pic>
                  <pic:nvPicPr>
                    <pic:cNvPr id="156"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4"/>
          <w:sz w:val="10"/>
        </w:rPr>
        <w:t>282 </w:t>
      </w:r>
      <w:r>
        <w:rPr>
          <w:sz w:val="20"/>
        </w:rPr>
        <w:t>Huppert FA, Van Niekerk JK., Herbert J. (2003) Dehydroepiandrosterone (DHEA) supplementation for cognitive function (Cochrane Review). In: The Cochrane Library, Issue 1 2003. Oxford: Update Software.</w:t>
      </w:r>
    </w:p>
    <w:p>
      <w:pPr>
        <w:spacing w:before="61"/>
        <w:ind w:left="477" w:right="0" w:firstLine="0"/>
        <w:jc w:val="left"/>
        <w:rPr>
          <w:sz w:val="20"/>
        </w:rPr>
      </w:pPr>
      <w:r>
        <w:rPr>
          <w:position w:val="5"/>
          <w:sz w:val="13"/>
        </w:rPr>
        <w:t>283 </w:t>
      </w:r>
      <w:r>
        <w:rPr>
          <w:sz w:val="20"/>
        </w:rPr>
        <w:t>J. of the American Medical Association 1989, 261, p. 1149</w:t>
      </w:r>
    </w:p>
    <w:p>
      <w:pPr>
        <w:spacing w:after="0"/>
        <w:jc w:val="left"/>
        <w:rPr>
          <w:sz w:val="20"/>
        </w:rPr>
        <w:sectPr>
          <w:footerReference w:type="default" r:id="rId102"/>
          <w:pgSz w:w="14270" w:h="16850"/>
          <w:pgMar w:footer="527" w:header="0" w:top="1600" w:bottom="720" w:left="800" w:right="1280"/>
          <w:pgNumType w:start="384"/>
        </w:sectPr>
      </w:pPr>
    </w:p>
    <w:p>
      <w:pPr>
        <w:pStyle w:val="BodyText"/>
        <w:spacing w:line="276" w:lineRule="auto" w:before="181"/>
        <w:ind w:left="477" w:right="130"/>
        <w:jc w:val="both"/>
        <w:rPr>
          <w:sz w:val="25"/>
        </w:rPr>
      </w:pPr>
      <w:r>
        <w:rPr/>
        <w:t>increase their fat-free body mass (= muscle) by a whopping 4.5 kg over a </w:t>
      </w:r>
      <w:r>
        <w:rPr>
          <w:spacing w:val="2"/>
        </w:rPr>
        <w:t>four- </w:t>
      </w:r>
      <w:r>
        <w:rPr/>
        <w:t>week period; this was, however, achieved with a high dose of 1600 mg DHEA/day.</w:t>
      </w:r>
      <w:r>
        <w:rPr>
          <w:position w:val="9"/>
          <w:sz w:val="25"/>
        </w:rPr>
        <w:t>284</w:t>
      </w:r>
    </w:p>
    <w:p>
      <w:pPr>
        <w:pStyle w:val="Heading1"/>
      </w:pPr>
      <w:r>
        <w:rPr>
          <w:w w:val="95"/>
        </w:rPr>
        <w:t>DHEA</w:t>
      </w:r>
      <w:r>
        <w:rPr>
          <w:spacing w:val="-13"/>
          <w:w w:val="95"/>
        </w:rPr>
        <w:t> </w:t>
      </w:r>
      <w:r>
        <w:rPr>
          <w:w w:val="95"/>
        </w:rPr>
        <w:t>intake</w:t>
      </w:r>
    </w:p>
    <w:p>
      <w:pPr>
        <w:pStyle w:val="BodyText"/>
        <w:spacing w:before="300"/>
        <w:ind w:left="477"/>
      </w:pPr>
      <w:r>
        <w:rPr/>
        <w:t>Which groups of people should consider taking DHEA?</w:t>
      </w:r>
    </w:p>
    <w:p>
      <w:pPr>
        <w:pStyle w:val="BodyText"/>
        <w:spacing w:line="276" w:lineRule="auto" w:before="302"/>
        <w:ind w:left="477" w:right="137"/>
        <w:jc w:val="both"/>
      </w:pPr>
      <w:r>
        <w:rPr/>
        <w:t>DHEA</w:t>
      </w:r>
      <w:r>
        <w:rPr>
          <w:spacing w:val="-11"/>
        </w:rPr>
        <w:t> </w:t>
      </w:r>
      <w:r>
        <w:rPr/>
        <w:t>is</w:t>
      </w:r>
      <w:r>
        <w:rPr>
          <w:spacing w:val="-12"/>
        </w:rPr>
        <w:t> </w:t>
      </w:r>
      <w:r>
        <w:rPr/>
        <w:t>one</w:t>
      </w:r>
      <w:r>
        <w:rPr>
          <w:spacing w:val="-10"/>
        </w:rPr>
        <w:t> </w:t>
      </w:r>
      <w:r>
        <w:rPr/>
        <w:t>of</w:t>
      </w:r>
      <w:r>
        <w:rPr>
          <w:spacing w:val="-14"/>
        </w:rPr>
        <w:t> </w:t>
      </w:r>
      <w:r>
        <w:rPr/>
        <w:t>the</w:t>
      </w:r>
      <w:r>
        <w:rPr>
          <w:spacing w:val="-11"/>
        </w:rPr>
        <w:t> </w:t>
      </w:r>
      <w:r>
        <w:rPr/>
        <w:t>hormones</w:t>
      </w:r>
      <w:r>
        <w:rPr>
          <w:spacing w:val="-10"/>
        </w:rPr>
        <w:t> </w:t>
      </w:r>
      <w:r>
        <w:rPr/>
        <w:t>that</w:t>
      </w:r>
      <w:r>
        <w:rPr>
          <w:spacing w:val="-12"/>
        </w:rPr>
        <w:t> </w:t>
      </w:r>
      <w:r>
        <w:rPr/>
        <w:t>declines</w:t>
      </w:r>
      <w:r>
        <w:rPr>
          <w:spacing w:val="-10"/>
        </w:rPr>
        <w:t> </w:t>
      </w:r>
      <w:r>
        <w:rPr/>
        <w:t>greatly</w:t>
      </w:r>
      <w:r>
        <w:rPr>
          <w:spacing w:val="-12"/>
        </w:rPr>
        <w:t> </w:t>
      </w:r>
      <w:r>
        <w:rPr/>
        <w:t>in</w:t>
      </w:r>
      <w:r>
        <w:rPr>
          <w:spacing w:val="-12"/>
        </w:rPr>
        <w:t> </w:t>
      </w:r>
      <w:r>
        <w:rPr/>
        <w:t>old</w:t>
      </w:r>
      <w:r>
        <w:rPr>
          <w:spacing w:val="-11"/>
        </w:rPr>
        <w:t> </w:t>
      </w:r>
      <w:r>
        <w:rPr/>
        <w:t>age;</w:t>
      </w:r>
      <w:r>
        <w:rPr>
          <w:spacing w:val="-11"/>
        </w:rPr>
        <w:t> </w:t>
      </w:r>
      <w:r>
        <w:rPr/>
        <w:t>for</w:t>
      </w:r>
      <w:r>
        <w:rPr>
          <w:spacing w:val="-12"/>
        </w:rPr>
        <w:t> </w:t>
      </w:r>
      <w:r>
        <w:rPr/>
        <w:t>example,</w:t>
      </w:r>
      <w:r>
        <w:rPr>
          <w:spacing w:val="-10"/>
        </w:rPr>
        <w:t> </w:t>
      </w:r>
      <w:r>
        <w:rPr/>
        <w:t>the proportion</w:t>
      </w:r>
      <w:r>
        <w:rPr>
          <w:spacing w:val="-17"/>
        </w:rPr>
        <w:t> </w:t>
      </w:r>
      <w:r>
        <w:rPr/>
        <w:t>of</w:t>
      </w:r>
      <w:r>
        <w:rPr>
          <w:spacing w:val="-16"/>
        </w:rPr>
        <w:t> </w:t>
      </w:r>
      <w:r>
        <w:rPr/>
        <w:t>DHEA</w:t>
      </w:r>
      <w:r>
        <w:rPr>
          <w:spacing w:val="-17"/>
        </w:rPr>
        <w:t> </w:t>
      </w:r>
      <w:r>
        <w:rPr/>
        <w:t>among</w:t>
      </w:r>
      <w:r>
        <w:rPr>
          <w:spacing w:val="-16"/>
        </w:rPr>
        <w:t> </w:t>
      </w:r>
      <w:r>
        <w:rPr/>
        <w:t>30-year-olds</w:t>
      </w:r>
      <w:r>
        <w:rPr>
          <w:spacing w:val="-17"/>
        </w:rPr>
        <w:t> </w:t>
      </w:r>
      <w:r>
        <w:rPr/>
        <w:t>is</w:t>
      </w:r>
      <w:r>
        <w:rPr>
          <w:spacing w:val="-17"/>
        </w:rPr>
        <w:t> </w:t>
      </w:r>
      <w:r>
        <w:rPr/>
        <w:t>already</w:t>
      </w:r>
      <w:r>
        <w:rPr>
          <w:spacing w:val="-18"/>
        </w:rPr>
        <w:t> </w:t>
      </w:r>
      <w:r>
        <w:rPr/>
        <w:t>dropping</w:t>
      </w:r>
      <w:r>
        <w:rPr>
          <w:spacing w:val="-16"/>
        </w:rPr>
        <w:t> </w:t>
      </w:r>
      <w:r>
        <w:rPr/>
        <w:t>markedly,</w:t>
      </w:r>
      <w:r>
        <w:rPr>
          <w:spacing w:val="-16"/>
        </w:rPr>
        <w:t> </w:t>
      </w:r>
      <w:r>
        <w:rPr/>
        <w:t>and</w:t>
      </w:r>
      <w:r>
        <w:rPr>
          <w:spacing w:val="-16"/>
        </w:rPr>
        <w:t> </w:t>
      </w:r>
      <w:r>
        <w:rPr/>
        <w:t>by up to as much as 80-90 % at the age of 75 and</w:t>
      </w:r>
      <w:r>
        <w:rPr>
          <w:spacing w:val="-2"/>
        </w:rPr>
        <w:t> </w:t>
      </w:r>
      <w:r>
        <w:rPr/>
        <w:t>over.</w:t>
      </w:r>
    </w:p>
    <w:p>
      <w:pPr>
        <w:pStyle w:val="BodyText"/>
        <w:spacing w:line="276" w:lineRule="auto" w:before="241"/>
        <w:ind w:left="477" w:right="133"/>
        <w:jc w:val="both"/>
      </w:pPr>
      <w:r>
        <w:rPr/>
        <w:t>Fortunately,</w:t>
      </w:r>
      <w:r>
        <w:rPr>
          <w:spacing w:val="-21"/>
        </w:rPr>
        <w:t> </w:t>
      </w:r>
      <w:r>
        <w:rPr/>
        <w:t>DHEA,</w:t>
      </w:r>
      <w:r>
        <w:rPr>
          <w:spacing w:val="-21"/>
        </w:rPr>
        <w:t> </w:t>
      </w:r>
      <w:r>
        <w:rPr/>
        <w:t>taken</w:t>
      </w:r>
      <w:r>
        <w:rPr>
          <w:spacing w:val="-21"/>
        </w:rPr>
        <w:t> </w:t>
      </w:r>
      <w:r>
        <w:rPr/>
        <w:t>as</w:t>
      </w:r>
      <w:r>
        <w:rPr>
          <w:spacing w:val="-24"/>
        </w:rPr>
        <w:t> </w:t>
      </w:r>
      <w:r>
        <w:rPr/>
        <w:t>a</w:t>
      </w:r>
      <w:r>
        <w:rPr>
          <w:spacing w:val="-22"/>
        </w:rPr>
        <w:t> </w:t>
      </w:r>
      <w:r>
        <w:rPr/>
        <w:t>dietary</w:t>
      </w:r>
      <w:r>
        <w:rPr>
          <w:spacing w:val="-20"/>
        </w:rPr>
        <w:t> </w:t>
      </w:r>
      <w:r>
        <w:rPr/>
        <w:t>supplement,</w:t>
      </w:r>
      <w:r>
        <w:rPr>
          <w:spacing w:val="-21"/>
        </w:rPr>
        <w:t> </w:t>
      </w:r>
      <w:r>
        <w:rPr/>
        <w:t>can</w:t>
      </w:r>
      <w:r>
        <w:rPr>
          <w:spacing w:val="-23"/>
        </w:rPr>
        <w:t> </w:t>
      </w:r>
      <w:r>
        <w:rPr/>
        <w:t>compensate</w:t>
      </w:r>
      <w:r>
        <w:rPr>
          <w:spacing w:val="-23"/>
        </w:rPr>
        <w:t> </w:t>
      </w:r>
      <w:r>
        <w:rPr/>
        <w:t>for</w:t>
      </w:r>
      <w:r>
        <w:rPr>
          <w:spacing w:val="-25"/>
        </w:rPr>
        <w:t> </w:t>
      </w:r>
      <w:r>
        <w:rPr/>
        <w:t>the</w:t>
      </w:r>
      <w:r>
        <w:rPr>
          <w:spacing w:val="-23"/>
        </w:rPr>
        <w:t> </w:t>
      </w:r>
      <w:r>
        <w:rPr/>
        <w:t>age- related decline in the body and contribute to the benefits described. Thus, for those who have already passed their thirties, many age researchers recommend an additional intake of DHEA to</w:t>
      </w:r>
      <w:r>
        <w:rPr>
          <w:spacing w:val="-3"/>
        </w:rPr>
        <w:t> </w:t>
      </w:r>
      <w:r>
        <w:rPr/>
        <w:t>compensate.</w:t>
      </w:r>
    </w:p>
    <w:p>
      <w:pPr>
        <w:pStyle w:val="BodyText"/>
        <w:rPr>
          <w:sz w:val="42"/>
        </w:rPr>
      </w:pPr>
    </w:p>
    <w:p>
      <w:pPr>
        <w:pStyle w:val="BodyText"/>
        <w:rPr>
          <w:sz w:val="42"/>
        </w:rPr>
      </w:pPr>
    </w:p>
    <w:p>
      <w:pPr>
        <w:pStyle w:val="BodyText"/>
        <w:rPr>
          <w:sz w:val="42"/>
        </w:rPr>
      </w:pPr>
    </w:p>
    <w:p>
      <w:pPr>
        <w:pStyle w:val="Heading2"/>
        <w:spacing w:before="286"/>
        <w:jc w:val="both"/>
      </w:pPr>
      <w:r>
        <w:rPr/>
        <w:t>Ingestion and dosage</w:t>
      </w:r>
    </w:p>
    <w:p>
      <w:pPr>
        <w:pStyle w:val="BodyText"/>
        <w:spacing w:before="305"/>
        <w:ind w:left="477"/>
        <w:jc w:val="both"/>
      </w:pPr>
      <w:r>
        <w:rPr/>
        <w:t>While DHEA has been sold over the counter in every US health store since</w:t>
      </w:r>
    </w:p>
    <w:p>
      <w:pPr>
        <w:pStyle w:val="BodyText"/>
        <w:rPr>
          <w:sz w:val="20"/>
        </w:rPr>
      </w:pPr>
    </w:p>
    <w:p>
      <w:pPr>
        <w:pStyle w:val="BodyText"/>
        <w:spacing w:before="7"/>
        <w:rPr>
          <w:sz w:val="23"/>
        </w:rPr>
      </w:pPr>
      <w:r>
        <w:rPr/>
        <w:pict>
          <v:line style="position:absolute;mso-position-horizontal-relative:page;mso-position-vertical-relative:paragraph;z-index:2960;mso-wrap-distance-left:0;mso-wrap-distance-right:0" from="63.863998pt,15.677515pt" to="207.883998pt,15.67751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284 </w:t>
      </w:r>
      <w:r>
        <w:rPr>
          <w:sz w:val="20"/>
        </w:rPr>
        <w:t>J Clin Endocrinol Metab 1988, 66, p. 57-61</w:t>
      </w:r>
    </w:p>
    <w:p>
      <w:pPr>
        <w:spacing w:after="0"/>
        <w:jc w:val="left"/>
        <w:rPr>
          <w:sz w:val="20"/>
        </w:rPr>
        <w:sectPr>
          <w:footerReference w:type="default" r:id="rId103"/>
          <w:pgSz w:w="14270" w:h="16850"/>
          <w:pgMar w:footer="1891" w:header="0" w:top="1600" w:bottom="2080" w:left="800" w:right="1280"/>
          <w:pgNumType w:start="385"/>
        </w:sectPr>
      </w:pPr>
    </w:p>
    <w:p>
      <w:pPr>
        <w:pStyle w:val="BodyText"/>
        <w:spacing w:line="276" w:lineRule="auto" w:before="181"/>
        <w:ind w:left="477" w:right="138"/>
        <w:jc w:val="both"/>
      </w:pPr>
      <w:r>
        <w:rPr/>
        <w:t>1994 (mostly in a dosage of 25-50 mg) and has been taken daily by millions of Americans without significant side effects, it is not officially authorised in the EU as a (non-prescription) dietary supplement.</w:t>
      </w:r>
    </w:p>
    <w:p>
      <w:pPr>
        <w:pStyle w:val="BodyText"/>
        <w:spacing w:line="276" w:lineRule="auto" w:before="242"/>
        <w:ind w:left="477" w:right="131"/>
        <w:jc w:val="both"/>
      </w:pPr>
      <w:r>
        <w:rPr/>
        <w:t>The dose of 25-50 mg a day is perfect for preventive purposes. In one study, a dose of 50 mg DHEA a day in people of both sexes aged 40 and 70 doubled the level of DHEA after two weeks, with the subjects feeling more stress-free, more</w:t>
      </w:r>
      <w:r>
        <w:rPr>
          <w:spacing w:val="-18"/>
        </w:rPr>
        <w:t> </w:t>
      </w:r>
      <w:r>
        <w:rPr/>
        <w:t>energetic,</w:t>
      </w:r>
      <w:r>
        <w:rPr>
          <w:spacing w:val="-20"/>
        </w:rPr>
        <w:t> </w:t>
      </w:r>
      <w:r>
        <w:rPr/>
        <w:t>and</w:t>
      </w:r>
      <w:r>
        <w:rPr>
          <w:spacing w:val="-18"/>
        </w:rPr>
        <w:t> </w:t>
      </w:r>
      <w:r>
        <w:rPr/>
        <w:t>sleeping</w:t>
      </w:r>
      <w:r>
        <w:rPr>
          <w:spacing w:val="-16"/>
        </w:rPr>
        <w:t> </w:t>
      </w:r>
      <w:r>
        <w:rPr/>
        <w:t>better</w:t>
      </w:r>
      <w:r>
        <w:rPr>
          <w:spacing w:val="-17"/>
        </w:rPr>
        <w:t> </w:t>
      </w:r>
      <w:r>
        <w:rPr/>
        <w:t>as</w:t>
      </w:r>
      <w:r>
        <w:rPr>
          <w:spacing w:val="-18"/>
        </w:rPr>
        <w:t> </w:t>
      </w:r>
      <w:r>
        <w:rPr/>
        <w:t>a</w:t>
      </w:r>
      <w:r>
        <w:rPr>
          <w:spacing w:val="-19"/>
        </w:rPr>
        <w:t> </w:t>
      </w:r>
      <w:r>
        <w:rPr/>
        <w:t>result.</w:t>
      </w:r>
      <w:r>
        <w:rPr>
          <w:spacing w:val="-17"/>
        </w:rPr>
        <w:t> </w:t>
      </w:r>
      <w:r>
        <w:rPr/>
        <w:t>In</w:t>
      </w:r>
      <w:r>
        <w:rPr>
          <w:spacing w:val="-17"/>
        </w:rPr>
        <w:t> </w:t>
      </w:r>
      <w:r>
        <w:rPr/>
        <w:t>the</w:t>
      </w:r>
      <w:r>
        <w:rPr>
          <w:spacing w:val="-17"/>
        </w:rPr>
        <w:t> </w:t>
      </w:r>
      <w:r>
        <w:rPr/>
        <w:t>case</w:t>
      </w:r>
      <w:r>
        <w:rPr>
          <w:spacing w:val="-16"/>
        </w:rPr>
        <w:t> </w:t>
      </w:r>
      <w:r>
        <w:rPr/>
        <w:t>of</w:t>
      </w:r>
      <w:r>
        <w:rPr>
          <w:spacing w:val="-18"/>
        </w:rPr>
        <w:t> </w:t>
      </w:r>
      <w:r>
        <w:rPr/>
        <w:t>medical</w:t>
      </w:r>
      <w:r>
        <w:rPr>
          <w:spacing w:val="-19"/>
        </w:rPr>
        <w:t> </w:t>
      </w:r>
      <w:r>
        <w:rPr/>
        <w:t>indications (diseases), substitution by appropriately qualified personnel (alternative practi- tioners,</w:t>
      </w:r>
      <w:r>
        <w:rPr>
          <w:spacing w:val="-20"/>
        </w:rPr>
        <w:t> </w:t>
      </w:r>
      <w:r>
        <w:rPr/>
        <w:t>naturopaths,</w:t>
      </w:r>
      <w:r>
        <w:rPr>
          <w:spacing w:val="-17"/>
        </w:rPr>
        <w:t> </w:t>
      </w:r>
      <w:r>
        <w:rPr/>
        <w:t>complementary</w:t>
      </w:r>
      <w:r>
        <w:rPr>
          <w:spacing w:val="-18"/>
        </w:rPr>
        <w:t> </w:t>
      </w:r>
      <w:r>
        <w:rPr/>
        <w:t>oncologists</w:t>
      </w:r>
      <w:r>
        <w:rPr>
          <w:spacing w:val="-18"/>
        </w:rPr>
        <w:t> </w:t>
      </w:r>
      <w:r>
        <w:rPr/>
        <w:t>and</w:t>
      </w:r>
      <w:r>
        <w:rPr>
          <w:spacing w:val="-17"/>
        </w:rPr>
        <w:t> </w:t>
      </w:r>
      <w:r>
        <w:rPr/>
        <w:t>the</w:t>
      </w:r>
      <w:r>
        <w:rPr>
          <w:spacing w:val="-20"/>
        </w:rPr>
        <w:t> </w:t>
      </w:r>
      <w:r>
        <w:rPr/>
        <w:t>like)</w:t>
      </w:r>
      <w:r>
        <w:rPr>
          <w:spacing w:val="-20"/>
        </w:rPr>
        <w:t> </w:t>
      </w:r>
      <w:r>
        <w:rPr/>
        <w:t>is</w:t>
      </w:r>
      <w:r>
        <w:rPr>
          <w:spacing w:val="-20"/>
        </w:rPr>
        <w:t> </w:t>
      </w:r>
      <w:r>
        <w:rPr/>
        <w:t>recommended.</w:t>
      </w:r>
    </w:p>
    <w:p>
      <w:pPr>
        <w:pStyle w:val="Heading1"/>
        <w:spacing w:before="223"/>
      </w:pPr>
      <w:r>
        <w:rPr/>
        <w:t>DHEA – side effects and</w:t>
      </w:r>
      <w:r>
        <w:rPr>
          <w:spacing w:val="-56"/>
        </w:rPr>
        <w:t> </w:t>
      </w:r>
      <w:r>
        <w:rPr/>
        <w:t>contraindications</w:t>
      </w:r>
    </w:p>
    <w:p>
      <w:pPr>
        <w:pStyle w:val="BodyText"/>
        <w:spacing w:line="276" w:lineRule="auto" w:before="299"/>
        <w:ind w:left="477" w:right="137"/>
        <w:jc w:val="both"/>
      </w:pPr>
      <w:r>
        <w:rPr/>
        <w:t>Does dehydroepiandrosterone cause any side effects and are there contraindi- cations?</w:t>
      </w:r>
    </w:p>
    <w:p>
      <w:pPr>
        <w:pStyle w:val="BodyText"/>
        <w:spacing w:line="276" w:lineRule="auto" w:before="239"/>
        <w:ind w:left="477" w:right="135"/>
        <w:jc w:val="both"/>
      </w:pPr>
      <w:r>
        <w:rPr/>
        <w:t>In clinical trials, 6-8 grams of DHEA were administered to humans in the United States with no indications of poisoning. In the event of overdose, DHEA may cause androgenic effects in women in the form of increased hair growth and mild acne in individual cases.</w:t>
      </w:r>
    </w:p>
    <w:p>
      <w:pPr>
        <w:pStyle w:val="BodyText"/>
        <w:spacing w:line="276" w:lineRule="auto" w:before="241"/>
        <w:ind w:left="477" w:right="137"/>
        <w:jc w:val="both"/>
      </w:pPr>
      <w:r>
        <w:rPr/>
        <w:t>Women</w:t>
      </w:r>
      <w:r>
        <w:rPr>
          <w:spacing w:val="-20"/>
        </w:rPr>
        <w:t> </w:t>
      </w:r>
      <w:r>
        <w:rPr/>
        <w:t>who</w:t>
      </w:r>
      <w:r>
        <w:rPr>
          <w:spacing w:val="-19"/>
        </w:rPr>
        <w:t> </w:t>
      </w:r>
      <w:r>
        <w:rPr/>
        <w:t>want</w:t>
      </w:r>
      <w:r>
        <w:rPr>
          <w:spacing w:val="-20"/>
        </w:rPr>
        <w:t> </w:t>
      </w:r>
      <w:r>
        <w:rPr/>
        <w:t>to</w:t>
      </w:r>
      <w:r>
        <w:rPr>
          <w:spacing w:val="-19"/>
        </w:rPr>
        <w:t> </w:t>
      </w:r>
      <w:r>
        <w:rPr/>
        <w:t>have</w:t>
      </w:r>
      <w:r>
        <w:rPr>
          <w:spacing w:val="-20"/>
        </w:rPr>
        <w:t> </w:t>
      </w:r>
      <w:r>
        <w:rPr/>
        <w:t>children,</w:t>
      </w:r>
      <w:r>
        <w:rPr>
          <w:spacing w:val="-19"/>
        </w:rPr>
        <w:t> </w:t>
      </w:r>
      <w:r>
        <w:rPr/>
        <w:t>pregnant</w:t>
      </w:r>
      <w:r>
        <w:rPr>
          <w:spacing w:val="-20"/>
        </w:rPr>
        <w:t> </w:t>
      </w:r>
      <w:r>
        <w:rPr/>
        <w:t>women</w:t>
      </w:r>
      <w:r>
        <w:rPr>
          <w:spacing w:val="-19"/>
        </w:rPr>
        <w:t> </w:t>
      </w:r>
      <w:r>
        <w:rPr/>
        <w:t>and</w:t>
      </w:r>
      <w:r>
        <w:rPr>
          <w:spacing w:val="-20"/>
        </w:rPr>
        <w:t> </w:t>
      </w:r>
      <w:r>
        <w:rPr/>
        <w:t>breastfeeding</w:t>
      </w:r>
      <w:r>
        <w:rPr>
          <w:spacing w:val="-19"/>
        </w:rPr>
        <w:t> </w:t>
      </w:r>
      <w:r>
        <w:rPr/>
        <w:t>women should therefore refrain from taking</w:t>
      </w:r>
      <w:r>
        <w:rPr>
          <w:spacing w:val="1"/>
        </w:rPr>
        <w:t> </w:t>
      </w:r>
      <w:r>
        <w:rPr/>
        <w:t>DHEA.</w:t>
      </w:r>
    </w:p>
    <w:p>
      <w:pPr>
        <w:pStyle w:val="Heading1"/>
        <w:spacing w:before="222"/>
        <w:jc w:val="both"/>
      </w:pPr>
      <w:r>
        <w:rPr/>
        <w:t>Interactions with other drugs</w:t>
      </w:r>
    </w:p>
    <w:p>
      <w:pPr>
        <w:pStyle w:val="BodyText"/>
        <w:spacing w:before="299"/>
        <w:ind w:left="477"/>
        <w:jc w:val="both"/>
      </w:pPr>
      <w:r>
        <w:rPr/>
        <w:t>When taking medicines which interfere with the hormonal system</w:t>
      </w:r>
      <w:r>
        <w:rPr>
          <w:spacing w:val="-52"/>
        </w:rPr>
        <w:t> </w:t>
      </w:r>
      <w:r>
        <w:rPr/>
        <w:t>(cholesterol-</w:t>
      </w:r>
    </w:p>
    <w:p>
      <w:pPr>
        <w:spacing w:after="0"/>
        <w:jc w:val="both"/>
        <w:sectPr>
          <w:pgSz w:w="14270" w:h="16850"/>
          <w:pgMar w:header="0" w:footer="1891" w:top="1600" w:bottom="2080" w:left="800" w:right="1280"/>
        </w:sectPr>
      </w:pPr>
    </w:p>
    <w:p>
      <w:pPr>
        <w:pStyle w:val="BodyText"/>
        <w:spacing w:line="276" w:lineRule="auto" w:before="181"/>
        <w:ind w:left="477" w:right="133"/>
        <w:jc w:val="both"/>
      </w:pPr>
      <w:r>
        <w:rPr/>
        <w:t>reducers, cortisol, serotonin and dopamine, etc.) or which affect the function of the adrenals or the hypothalamus, one should also refrain from taking DHEA, or consult a professional therapist.</w:t>
      </w:r>
    </w:p>
    <w:p>
      <w:pPr>
        <w:pStyle w:val="BodyText"/>
        <w:spacing w:before="242"/>
        <w:ind w:left="477"/>
      </w:pPr>
      <w:r>
        <w:rPr/>
        <w:t>In principle, healthy persons under the age of 30 are advised against taking it.</w:t>
      </w:r>
    </w:p>
    <w:p>
      <w:pPr>
        <w:pStyle w:val="BodyText"/>
        <w:rPr>
          <w:sz w:val="42"/>
        </w:rPr>
      </w:pPr>
    </w:p>
    <w:p>
      <w:pPr>
        <w:pStyle w:val="BodyText"/>
        <w:rPr>
          <w:sz w:val="42"/>
        </w:rPr>
      </w:pPr>
    </w:p>
    <w:p>
      <w:pPr>
        <w:spacing w:before="321"/>
        <w:ind w:left="477" w:right="0" w:firstLine="0"/>
        <w:jc w:val="left"/>
        <w:rPr>
          <w:rFonts w:ascii="Cambria" w:hAnsi="Cambria"/>
          <w:b/>
          <w:sz w:val="28"/>
        </w:rPr>
      </w:pPr>
      <w:r>
        <w:rPr>
          <w:rFonts w:ascii="Cambria" w:hAnsi="Cambria"/>
          <w:b/>
          <w:color w:val="365F91"/>
          <w:sz w:val="28"/>
        </w:rPr>
        <w:t>DMAE – DIMETHYLAMINOETHANOL</w:t>
      </w:r>
    </w:p>
    <w:p>
      <w:pPr>
        <w:spacing w:before="249"/>
        <w:ind w:left="477" w:right="0" w:firstLine="0"/>
        <w:jc w:val="left"/>
        <w:rPr>
          <w:i/>
          <w:sz w:val="38"/>
        </w:rPr>
      </w:pPr>
      <w:r>
        <w:rPr>
          <w:i/>
          <w:sz w:val="38"/>
        </w:rPr>
        <w:t>DMAE – What is it?</w:t>
      </w:r>
    </w:p>
    <w:p>
      <w:pPr>
        <w:pStyle w:val="BodyText"/>
        <w:spacing w:line="276" w:lineRule="auto" w:before="302"/>
        <w:ind w:left="477" w:right="134"/>
        <w:jc w:val="both"/>
      </w:pPr>
      <w:r>
        <w:rPr/>
        <w:t>A very chemical-sounding name for a natural substance produced by the body which</w:t>
      </w:r>
      <w:r>
        <w:rPr>
          <w:spacing w:val="-13"/>
        </w:rPr>
        <w:t> </w:t>
      </w:r>
      <w:r>
        <w:rPr/>
        <w:t>can</w:t>
      </w:r>
      <w:r>
        <w:rPr>
          <w:spacing w:val="-13"/>
        </w:rPr>
        <w:t> </w:t>
      </w:r>
      <w:r>
        <w:rPr/>
        <w:t>do</w:t>
      </w:r>
      <w:r>
        <w:rPr>
          <w:spacing w:val="-13"/>
        </w:rPr>
        <w:t> </w:t>
      </w:r>
      <w:r>
        <w:rPr/>
        <w:t>more</w:t>
      </w:r>
      <w:r>
        <w:rPr>
          <w:spacing w:val="-14"/>
        </w:rPr>
        <w:t> </w:t>
      </w:r>
      <w:r>
        <w:rPr/>
        <w:t>for</w:t>
      </w:r>
      <w:r>
        <w:rPr>
          <w:spacing w:val="-13"/>
        </w:rPr>
        <w:t> </w:t>
      </w:r>
      <w:r>
        <w:rPr/>
        <w:t>our</w:t>
      </w:r>
      <w:r>
        <w:rPr>
          <w:spacing w:val="-13"/>
        </w:rPr>
        <w:t> </w:t>
      </w:r>
      <w:r>
        <w:rPr/>
        <w:t>health</w:t>
      </w:r>
      <w:r>
        <w:rPr>
          <w:spacing w:val="-15"/>
        </w:rPr>
        <w:t> </w:t>
      </w:r>
      <w:r>
        <w:rPr/>
        <w:t>and</w:t>
      </w:r>
      <w:r>
        <w:rPr>
          <w:spacing w:val="-13"/>
        </w:rPr>
        <w:t> </w:t>
      </w:r>
      <w:r>
        <w:rPr/>
        <w:t>ageing</w:t>
      </w:r>
      <w:r>
        <w:rPr>
          <w:spacing w:val="-11"/>
        </w:rPr>
        <w:t> </w:t>
      </w:r>
      <w:r>
        <w:rPr/>
        <w:t>than</w:t>
      </w:r>
      <w:r>
        <w:rPr>
          <w:spacing w:val="-13"/>
        </w:rPr>
        <w:t> </w:t>
      </w:r>
      <w:r>
        <w:rPr/>
        <w:t>the</w:t>
      </w:r>
      <w:r>
        <w:rPr>
          <w:spacing w:val="-12"/>
        </w:rPr>
        <w:t> </w:t>
      </w:r>
      <w:r>
        <w:rPr/>
        <w:t>layperson</w:t>
      </w:r>
      <w:r>
        <w:rPr>
          <w:spacing w:val="-14"/>
        </w:rPr>
        <w:t> </w:t>
      </w:r>
      <w:r>
        <w:rPr/>
        <w:t>(and</w:t>
      </w:r>
      <w:r>
        <w:rPr>
          <w:spacing w:val="-14"/>
        </w:rPr>
        <w:t> </w:t>
      </w:r>
      <w:r>
        <w:rPr/>
        <w:t>even</w:t>
      </w:r>
      <w:r>
        <w:rPr>
          <w:spacing w:val="-12"/>
        </w:rPr>
        <w:t> </w:t>
      </w:r>
      <w:r>
        <w:rPr/>
        <w:t>your doctor!) would suspect at first glance...</w:t>
      </w:r>
    </w:p>
    <w:p>
      <w:pPr>
        <w:pStyle w:val="BodyText"/>
        <w:spacing w:line="276" w:lineRule="auto" w:before="241"/>
        <w:ind w:left="477" w:right="135"/>
        <w:jc w:val="both"/>
      </w:pPr>
      <w:r>
        <w:rPr/>
        <w:t>But what is this substance called ‘dimethylaminoethanol’ with the acronym DMAE, and what exactly can DMAE do for us?</w:t>
      </w:r>
    </w:p>
    <w:p>
      <w:pPr>
        <w:pStyle w:val="BodyText"/>
        <w:spacing w:line="276" w:lineRule="auto" w:before="239"/>
        <w:ind w:left="477" w:right="135"/>
        <w:jc w:val="both"/>
      </w:pPr>
      <w:r>
        <w:rPr/>
        <w:t>Dimethylaminoethanol is a substance that is always naturally present in small amounts</w:t>
      </w:r>
      <w:r>
        <w:rPr>
          <w:spacing w:val="-21"/>
        </w:rPr>
        <w:t> </w:t>
      </w:r>
      <w:r>
        <w:rPr/>
        <w:t>in</w:t>
      </w:r>
      <w:r>
        <w:rPr>
          <w:spacing w:val="-21"/>
        </w:rPr>
        <w:t> </w:t>
      </w:r>
      <w:r>
        <w:rPr/>
        <w:t>the</w:t>
      </w:r>
      <w:r>
        <w:rPr>
          <w:spacing w:val="-24"/>
        </w:rPr>
        <w:t> </w:t>
      </w:r>
      <w:r>
        <w:rPr/>
        <w:t>brain</w:t>
      </w:r>
      <w:r>
        <w:rPr>
          <w:spacing w:val="-21"/>
        </w:rPr>
        <w:t> </w:t>
      </w:r>
      <w:r>
        <w:rPr/>
        <w:t>and</w:t>
      </w:r>
      <w:r>
        <w:rPr>
          <w:spacing w:val="-22"/>
        </w:rPr>
        <w:t> </w:t>
      </w:r>
      <w:r>
        <w:rPr/>
        <w:t>can</w:t>
      </w:r>
      <w:r>
        <w:rPr>
          <w:spacing w:val="-23"/>
        </w:rPr>
        <w:t> </w:t>
      </w:r>
      <w:r>
        <w:rPr/>
        <w:t>be</w:t>
      </w:r>
      <w:r>
        <w:rPr>
          <w:spacing w:val="-23"/>
        </w:rPr>
        <w:t> </w:t>
      </w:r>
      <w:r>
        <w:rPr/>
        <w:t>proven</w:t>
      </w:r>
      <w:r>
        <w:rPr>
          <w:spacing w:val="-22"/>
        </w:rPr>
        <w:t> </w:t>
      </w:r>
      <w:r>
        <w:rPr/>
        <w:t>to</w:t>
      </w:r>
      <w:r>
        <w:rPr>
          <w:spacing w:val="-23"/>
        </w:rPr>
        <w:t> </w:t>
      </w:r>
      <w:r>
        <w:rPr/>
        <w:t>improve</w:t>
      </w:r>
      <w:r>
        <w:rPr>
          <w:spacing w:val="-22"/>
        </w:rPr>
        <w:t> </w:t>
      </w:r>
      <w:r>
        <w:rPr/>
        <w:t>brain</w:t>
      </w:r>
      <w:r>
        <w:rPr>
          <w:spacing w:val="-24"/>
        </w:rPr>
        <w:t> </w:t>
      </w:r>
      <w:r>
        <w:rPr/>
        <w:t>function</w:t>
      </w:r>
      <w:r>
        <w:rPr>
          <w:spacing w:val="-23"/>
        </w:rPr>
        <w:t> </w:t>
      </w:r>
      <w:r>
        <w:rPr/>
        <w:t>and</w:t>
      </w:r>
      <w:r>
        <w:rPr>
          <w:spacing w:val="-22"/>
        </w:rPr>
        <w:t> </w:t>
      </w:r>
      <w:r>
        <w:rPr/>
        <w:t>physique via additional supplementation. It joins the category of nootropic substances and is known as a so-called nootropic. These are substances that can optimise brain</w:t>
      </w:r>
      <w:r>
        <w:rPr>
          <w:spacing w:val="-13"/>
        </w:rPr>
        <w:t> </w:t>
      </w:r>
      <w:r>
        <w:rPr/>
        <w:t>functions.</w:t>
      </w:r>
      <w:r>
        <w:rPr>
          <w:spacing w:val="-10"/>
        </w:rPr>
        <w:t> </w:t>
      </w:r>
      <w:r>
        <w:rPr/>
        <w:t>They</w:t>
      </w:r>
      <w:r>
        <w:rPr>
          <w:spacing w:val="-11"/>
        </w:rPr>
        <w:t> </w:t>
      </w:r>
      <w:r>
        <w:rPr/>
        <w:t>can</w:t>
      </w:r>
      <w:r>
        <w:rPr>
          <w:spacing w:val="-11"/>
        </w:rPr>
        <w:t> </w:t>
      </w:r>
      <w:r>
        <w:rPr/>
        <w:t>restore</w:t>
      </w:r>
      <w:r>
        <w:rPr>
          <w:spacing w:val="-13"/>
        </w:rPr>
        <w:t> </w:t>
      </w:r>
      <w:r>
        <w:rPr/>
        <w:t>certain</w:t>
      </w:r>
      <w:r>
        <w:rPr>
          <w:spacing w:val="-12"/>
        </w:rPr>
        <w:t> </w:t>
      </w:r>
      <w:r>
        <w:rPr/>
        <w:t>areas</w:t>
      </w:r>
      <w:r>
        <w:rPr>
          <w:spacing w:val="-11"/>
        </w:rPr>
        <w:t> </w:t>
      </w:r>
      <w:r>
        <w:rPr/>
        <w:t>of</w:t>
      </w:r>
      <w:r>
        <w:rPr>
          <w:spacing w:val="-9"/>
        </w:rPr>
        <w:t> </w:t>
      </w:r>
      <w:r>
        <w:rPr/>
        <w:t>the</w:t>
      </w:r>
      <w:r>
        <w:rPr>
          <w:spacing w:val="-11"/>
        </w:rPr>
        <w:t> </w:t>
      </w:r>
      <w:r>
        <w:rPr/>
        <w:t>nervous</w:t>
      </w:r>
      <w:r>
        <w:rPr>
          <w:spacing w:val="-12"/>
        </w:rPr>
        <w:t> </w:t>
      </w:r>
      <w:r>
        <w:rPr/>
        <w:t>system</w:t>
      </w:r>
      <w:r>
        <w:rPr>
          <w:spacing w:val="-11"/>
        </w:rPr>
        <w:t> </w:t>
      </w:r>
      <w:r>
        <w:rPr/>
        <w:t>and</w:t>
      </w:r>
      <w:r>
        <w:rPr>
          <w:spacing w:val="-11"/>
        </w:rPr>
        <w:t> </w:t>
      </w:r>
      <w:r>
        <w:rPr/>
        <w:t>affect consciousness.</w:t>
      </w:r>
    </w:p>
    <w:p>
      <w:pPr>
        <w:spacing w:after="0" w:line="276" w:lineRule="auto"/>
        <w:jc w:val="both"/>
        <w:sectPr>
          <w:pgSz w:w="14270" w:h="16850"/>
          <w:pgMar w:header="0" w:footer="1891" w:top="1600" w:bottom="2080" w:left="800" w:right="1280"/>
        </w:sectPr>
      </w:pPr>
    </w:p>
    <w:p>
      <w:pPr>
        <w:pStyle w:val="BodyText"/>
        <w:spacing w:line="276" w:lineRule="auto" w:before="181"/>
        <w:ind w:left="477" w:right="139"/>
        <w:jc w:val="both"/>
      </w:pPr>
      <w:r>
        <w:rPr/>
        <w:t>As a nootropic substance, DMAE does not interfere with the subcortical pro- cesses known from the reticular or limbic system, but instead acts directly on the cortical system.</w:t>
      </w:r>
    </w:p>
    <w:p>
      <w:pPr>
        <w:pStyle w:val="BodyText"/>
        <w:spacing w:line="276" w:lineRule="auto" w:before="242"/>
        <w:ind w:left="477" w:right="140"/>
        <w:jc w:val="both"/>
      </w:pPr>
      <w:r>
        <w:rPr/>
        <w:t>The positive influence of serotonin production has the effect of improving mood, which impacts the cell membranes in the brain:</w:t>
      </w:r>
    </w:p>
    <w:p>
      <w:pPr>
        <w:pStyle w:val="ListParagraph"/>
        <w:numPr>
          <w:ilvl w:val="1"/>
          <w:numId w:val="26"/>
        </w:numPr>
        <w:tabs>
          <w:tab w:pos="1189" w:val="left" w:leader="none"/>
          <w:tab w:pos="1191" w:val="left" w:leader="none"/>
        </w:tabs>
        <w:spacing w:line="240" w:lineRule="auto" w:before="239" w:after="0"/>
        <w:ind w:left="1192" w:right="0" w:hanging="362"/>
        <w:jc w:val="left"/>
        <w:rPr>
          <w:sz w:val="38"/>
        </w:rPr>
      </w:pPr>
      <w:r>
        <w:rPr>
          <w:sz w:val="38"/>
        </w:rPr>
        <w:t>It counteracts</w:t>
      </w:r>
      <w:r>
        <w:rPr>
          <w:spacing w:val="-2"/>
          <w:sz w:val="38"/>
        </w:rPr>
        <w:t> </w:t>
      </w:r>
      <w:r>
        <w:rPr>
          <w:sz w:val="38"/>
        </w:rPr>
        <w:t>stress,</w:t>
      </w:r>
    </w:p>
    <w:p>
      <w:pPr>
        <w:pStyle w:val="ListParagraph"/>
        <w:numPr>
          <w:ilvl w:val="1"/>
          <w:numId w:val="26"/>
        </w:numPr>
        <w:tabs>
          <w:tab w:pos="1189" w:val="left" w:leader="none"/>
          <w:tab w:pos="1191" w:val="left" w:leader="none"/>
        </w:tabs>
        <w:spacing w:line="240" w:lineRule="auto" w:before="67" w:after="0"/>
        <w:ind w:left="1192" w:right="0" w:hanging="362"/>
        <w:jc w:val="left"/>
        <w:rPr>
          <w:sz w:val="38"/>
        </w:rPr>
      </w:pPr>
      <w:r>
        <w:rPr>
          <w:sz w:val="38"/>
        </w:rPr>
        <w:t>improves brain</w:t>
      </w:r>
      <w:r>
        <w:rPr>
          <w:spacing w:val="-1"/>
          <w:sz w:val="38"/>
        </w:rPr>
        <w:t> </w:t>
      </w:r>
      <w:r>
        <w:rPr>
          <w:sz w:val="38"/>
        </w:rPr>
        <w:t>performance,</w:t>
      </w:r>
    </w:p>
    <w:p>
      <w:pPr>
        <w:pStyle w:val="ListParagraph"/>
        <w:numPr>
          <w:ilvl w:val="1"/>
          <w:numId w:val="26"/>
        </w:numPr>
        <w:tabs>
          <w:tab w:pos="1189" w:val="left" w:leader="none"/>
          <w:tab w:pos="1191" w:val="left" w:leader="none"/>
        </w:tabs>
        <w:spacing w:line="240" w:lineRule="auto" w:before="64" w:after="0"/>
        <w:ind w:left="1192" w:right="0" w:hanging="362"/>
        <w:jc w:val="left"/>
        <w:rPr>
          <w:sz w:val="38"/>
        </w:rPr>
      </w:pPr>
      <w:r>
        <w:rPr>
          <w:sz w:val="38"/>
        </w:rPr>
        <w:t>increases memory</w:t>
      </w:r>
      <w:r>
        <w:rPr>
          <w:spacing w:val="2"/>
          <w:sz w:val="38"/>
        </w:rPr>
        <w:t> </w:t>
      </w:r>
      <w:r>
        <w:rPr>
          <w:sz w:val="38"/>
        </w:rPr>
        <w:t>efficiency,</w:t>
      </w:r>
    </w:p>
    <w:p>
      <w:pPr>
        <w:pStyle w:val="ListParagraph"/>
        <w:numPr>
          <w:ilvl w:val="1"/>
          <w:numId w:val="26"/>
        </w:numPr>
        <w:tabs>
          <w:tab w:pos="1189" w:val="left" w:leader="none"/>
          <w:tab w:pos="1191" w:val="left" w:leader="none"/>
        </w:tabs>
        <w:spacing w:line="240" w:lineRule="auto" w:before="63" w:after="0"/>
        <w:ind w:left="1192" w:right="0" w:hanging="362"/>
        <w:jc w:val="left"/>
        <w:rPr>
          <w:sz w:val="38"/>
        </w:rPr>
      </w:pPr>
      <w:r>
        <w:rPr>
          <w:sz w:val="38"/>
        </w:rPr>
        <w:t>optimises powers of</w:t>
      </w:r>
      <w:r>
        <w:rPr>
          <w:spacing w:val="3"/>
          <w:sz w:val="38"/>
        </w:rPr>
        <w:t> </w:t>
      </w:r>
      <w:r>
        <w:rPr>
          <w:sz w:val="38"/>
        </w:rPr>
        <w:t>concentration</w:t>
      </w:r>
    </w:p>
    <w:p>
      <w:pPr>
        <w:pStyle w:val="ListParagraph"/>
        <w:numPr>
          <w:ilvl w:val="1"/>
          <w:numId w:val="26"/>
        </w:numPr>
        <w:tabs>
          <w:tab w:pos="1189" w:val="left" w:leader="none"/>
          <w:tab w:pos="1191" w:val="left" w:leader="none"/>
        </w:tabs>
        <w:spacing w:line="240" w:lineRule="auto" w:before="64" w:after="0"/>
        <w:ind w:left="1192" w:right="0" w:hanging="362"/>
        <w:jc w:val="left"/>
        <w:rPr>
          <w:sz w:val="38"/>
        </w:rPr>
      </w:pPr>
      <w:r>
        <w:rPr>
          <w:sz w:val="38"/>
        </w:rPr>
        <w:t>and counteracts fatigue, apathy and</w:t>
      </w:r>
      <w:r>
        <w:rPr>
          <w:spacing w:val="2"/>
          <w:sz w:val="38"/>
        </w:rPr>
        <w:t> </w:t>
      </w:r>
      <w:r>
        <w:rPr>
          <w:sz w:val="38"/>
        </w:rPr>
        <w:t>anxiety.</w:t>
      </w:r>
    </w:p>
    <w:p>
      <w:pPr>
        <w:pStyle w:val="BodyText"/>
        <w:spacing w:before="3"/>
        <w:rPr>
          <w:sz w:val="49"/>
        </w:rPr>
      </w:pPr>
    </w:p>
    <w:p>
      <w:pPr>
        <w:pStyle w:val="BodyText"/>
        <w:spacing w:line="276" w:lineRule="auto"/>
        <w:ind w:left="477" w:right="138"/>
        <w:jc w:val="both"/>
      </w:pPr>
      <w:r>
        <w:rPr/>
        <w:t>It is not surprising that DMAE is a central focus of research into neurodegen- erative diseases such as Alzheimer's disease.</w:t>
      </w:r>
    </w:p>
    <w:p>
      <w:pPr>
        <w:pStyle w:val="BodyText"/>
        <w:spacing w:line="276" w:lineRule="auto" w:before="241"/>
        <w:ind w:left="477" w:right="135"/>
        <w:jc w:val="both"/>
      </w:pPr>
      <w:r>
        <w:rPr/>
        <w:t>In</w:t>
      </w:r>
      <w:r>
        <w:rPr>
          <w:spacing w:val="-16"/>
        </w:rPr>
        <w:t> </w:t>
      </w:r>
      <w:r>
        <w:rPr/>
        <w:t>addition,</w:t>
      </w:r>
      <w:r>
        <w:rPr>
          <w:spacing w:val="-16"/>
        </w:rPr>
        <w:t> </w:t>
      </w:r>
      <w:r>
        <w:rPr/>
        <w:t>DMAE</w:t>
      </w:r>
      <w:r>
        <w:rPr>
          <w:spacing w:val="-15"/>
        </w:rPr>
        <w:t> </w:t>
      </w:r>
      <w:r>
        <w:rPr/>
        <w:t>has</w:t>
      </w:r>
      <w:r>
        <w:rPr>
          <w:spacing w:val="-16"/>
        </w:rPr>
        <w:t> </w:t>
      </w:r>
      <w:r>
        <w:rPr/>
        <w:t>made</w:t>
      </w:r>
      <w:r>
        <w:rPr>
          <w:spacing w:val="-17"/>
        </w:rPr>
        <w:t> </w:t>
      </w:r>
      <w:r>
        <w:rPr/>
        <w:t>a</w:t>
      </w:r>
      <w:r>
        <w:rPr>
          <w:spacing w:val="-17"/>
        </w:rPr>
        <w:t> </w:t>
      </w:r>
      <w:r>
        <w:rPr/>
        <w:t>name</w:t>
      </w:r>
      <w:r>
        <w:rPr>
          <w:spacing w:val="-16"/>
        </w:rPr>
        <w:t> </w:t>
      </w:r>
      <w:r>
        <w:rPr/>
        <w:t>for</w:t>
      </w:r>
      <w:r>
        <w:rPr>
          <w:spacing w:val="-14"/>
        </w:rPr>
        <w:t> </w:t>
      </w:r>
      <w:r>
        <w:rPr/>
        <w:t>itself</w:t>
      </w:r>
      <w:r>
        <w:rPr>
          <w:spacing w:val="-17"/>
        </w:rPr>
        <w:t> </w:t>
      </w:r>
      <w:r>
        <w:rPr/>
        <w:t>as</w:t>
      </w:r>
      <w:r>
        <w:rPr>
          <w:spacing w:val="-17"/>
        </w:rPr>
        <w:t> </w:t>
      </w:r>
      <w:r>
        <w:rPr/>
        <w:t>a</w:t>
      </w:r>
      <w:r>
        <w:rPr>
          <w:spacing w:val="-17"/>
        </w:rPr>
        <w:t> </w:t>
      </w:r>
      <w:r>
        <w:rPr/>
        <w:t>fountain</w:t>
      </w:r>
      <w:r>
        <w:rPr>
          <w:spacing w:val="-16"/>
        </w:rPr>
        <w:t> </w:t>
      </w:r>
      <w:r>
        <w:rPr/>
        <w:t>of</w:t>
      </w:r>
      <w:r>
        <w:rPr>
          <w:spacing w:val="-16"/>
        </w:rPr>
        <w:t> </w:t>
      </w:r>
      <w:r>
        <w:rPr/>
        <w:t>youth,</w:t>
      </w:r>
      <w:r>
        <w:rPr>
          <w:spacing w:val="-15"/>
        </w:rPr>
        <w:t> </w:t>
      </w:r>
      <w:r>
        <w:rPr/>
        <w:t>especially in the field of anti-ageing, with its ability to extend the life of our</w:t>
      </w:r>
      <w:r>
        <w:rPr>
          <w:spacing w:val="-14"/>
        </w:rPr>
        <w:t> </w:t>
      </w:r>
      <w:r>
        <w:rPr/>
        <w:t>cells.</w:t>
      </w:r>
    </w:p>
    <w:p>
      <w:pPr>
        <w:pStyle w:val="BodyText"/>
        <w:spacing w:line="276" w:lineRule="auto" w:before="241"/>
        <w:ind w:left="477" w:right="137"/>
        <w:jc w:val="both"/>
      </w:pPr>
      <w:r>
        <w:rPr/>
        <w:t>Find</w:t>
      </w:r>
      <w:r>
        <w:rPr>
          <w:spacing w:val="-19"/>
        </w:rPr>
        <w:t> </w:t>
      </w:r>
      <w:r>
        <w:rPr/>
        <w:t>out</w:t>
      </w:r>
      <w:r>
        <w:rPr>
          <w:spacing w:val="-21"/>
        </w:rPr>
        <w:t> </w:t>
      </w:r>
      <w:r>
        <w:rPr/>
        <w:t>more</w:t>
      </w:r>
      <w:r>
        <w:rPr>
          <w:spacing w:val="-20"/>
        </w:rPr>
        <w:t> </w:t>
      </w:r>
      <w:r>
        <w:rPr/>
        <w:t>interesting</w:t>
      </w:r>
      <w:r>
        <w:rPr>
          <w:spacing w:val="-19"/>
        </w:rPr>
        <w:t> </w:t>
      </w:r>
      <w:r>
        <w:rPr/>
        <w:t>details</w:t>
      </w:r>
      <w:r>
        <w:rPr>
          <w:spacing w:val="-19"/>
        </w:rPr>
        <w:t> </w:t>
      </w:r>
      <w:r>
        <w:rPr/>
        <w:t>about</w:t>
      </w:r>
      <w:r>
        <w:rPr>
          <w:spacing w:val="-22"/>
        </w:rPr>
        <w:t> </w:t>
      </w:r>
      <w:r>
        <w:rPr/>
        <w:t>this</w:t>
      </w:r>
      <w:r>
        <w:rPr>
          <w:spacing w:val="-18"/>
        </w:rPr>
        <w:t> </w:t>
      </w:r>
      <w:r>
        <w:rPr/>
        <w:t>remarkable</w:t>
      </w:r>
      <w:r>
        <w:rPr>
          <w:spacing w:val="-21"/>
        </w:rPr>
        <w:t> </w:t>
      </w:r>
      <w:r>
        <w:rPr/>
        <w:t>natural</w:t>
      </w:r>
      <w:r>
        <w:rPr>
          <w:spacing w:val="-21"/>
        </w:rPr>
        <w:t> </w:t>
      </w:r>
      <w:r>
        <w:rPr/>
        <w:t>substance</w:t>
      </w:r>
      <w:r>
        <w:rPr>
          <w:spacing w:val="-18"/>
        </w:rPr>
        <w:t> </w:t>
      </w:r>
      <w:r>
        <w:rPr/>
        <w:t>on</w:t>
      </w:r>
      <w:r>
        <w:rPr>
          <w:spacing w:val="-19"/>
        </w:rPr>
        <w:t> </w:t>
      </w:r>
      <w:r>
        <w:rPr/>
        <w:t>the following pages.</w:t>
      </w:r>
    </w:p>
    <w:p>
      <w:pPr>
        <w:pStyle w:val="Heading2"/>
        <w:spacing w:before="238"/>
        <w:jc w:val="both"/>
      </w:pPr>
      <w:r>
        <w:rPr/>
        <w:t>DMAE content</w:t>
      </w:r>
    </w:p>
    <w:p>
      <w:pPr>
        <w:pStyle w:val="BodyText"/>
        <w:spacing w:before="305"/>
        <w:ind w:left="477"/>
        <w:jc w:val="both"/>
      </w:pPr>
      <w:r>
        <w:rPr/>
        <w:t>Which foods contain dimethylaminoethanol?</w:t>
      </w:r>
    </w:p>
    <w:p>
      <w:pPr>
        <w:spacing w:after="0"/>
        <w:jc w:val="both"/>
        <w:sectPr>
          <w:pgSz w:w="14270" w:h="16850"/>
          <w:pgMar w:header="0" w:footer="1891" w:top="1600" w:bottom="2080" w:left="800" w:right="1280"/>
        </w:sectPr>
      </w:pPr>
    </w:p>
    <w:p>
      <w:pPr>
        <w:pStyle w:val="BodyText"/>
        <w:spacing w:line="276" w:lineRule="auto" w:before="181"/>
        <w:ind w:left="477" w:right="140"/>
        <w:jc w:val="both"/>
      </w:pPr>
      <w:r>
        <w:rPr/>
        <w:t>Oily fish contains high amounts of DMAE; the highest levels are found in sar- dines, anchovies, salmon and anchovies. These animals are also the sources</w:t>
      </w:r>
      <w:r>
        <w:rPr>
          <w:spacing w:val="-55"/>
        </w:rPr>
        <w:t> </w:t>
      </w:r>
      <w:r>
        <w:rPr/>
        <w:t>for the raw material extraction of DMAE.</w:t>
      </w:r>
    </w:p>
    <w:p>
      <w:pPr>
        <w:pStyle w:val="Heading2"/>
        <w:spacing w:before="242"/>
      </w:pPr>
      <w:r>
        <w:rPr/>
        <w:t>Effects of DMAE</w:t>
      </w:r>
    </w:p>
    <w:p>
      <w:pPr>
        <w:pStyle w:val="BodyText"/>
        <w:spacing w:line="276" w:lineRule="auto" w:before="304"/>
        <w:ind w:left="477" w:right="132"/>
        <w:jc w:val="both"/>
      </w:pPr>
      <w:r>
        <w:rPr/>
        <w:t>Before we come to the things DMAE works ‘against’, i.e. to the specific effect of DMAE against illnesses and physical ailments, we first of all examine the ‘how’, i.e. the way DMAE works.</w:t>
      </w:r>
    </w:p>
    <w:p>
      <w:pPr>
        <w:pStyle w:val="BodyText"/>
        <w:spacing w:line="276" w:lineRule="auto" w:before="239"/>
        <w:ind w:left="477" w:right="134"/>
        <w:jc w:val="both"/>
      </w:pPr>
      <w:r>
        <w:rPr/>
        <w:t>Its mode of action is very complex; it encompasses, but is not limited to, the following mechanisms:</w:t>
      </w:r>
    </w:p>
    <w:p>
      <w:pPr>
        <w:pStyle w:val="ListParagraph"/>
        <w:numPr>
          <w:ilvl w:val="1"/>
          <w:numId w:val="26"/>
        </w:numPr>
        <w:tabs>
          <w:tab w:pos="1192" w:val="left" w:leader="none"/>
          <w:tab w:pos="1193" w:val="left" w:leader="none"/>
        </w:tabs>
        <w:spacing w:line="240" w:lineRule="auto" w:before="243" w:after="0"/>
        <w:ind w:left="1192" w:right="0" w:hanging="360"/>
        <w:jc w:val="left"/>
        <w:rPr>
          <w:sz w:val="38"/>
        </w:rPr>
      </w:pPr>
      <w:r>
        <w:rPr>
          <w:sz w:val="38"/>
        </w:rPr>
        <w:t>It protects cell membranes from</w:t>
      </w:r>
      <w:r>
        <w:rPr>
          <w:spacing w:val="-4"/>
          <w:sz w:val="38"/>
        </w:rPr>
        <w:t> </w:t>
      </w:r>
      <w:r>
        <w:rPr>
          <w:sz w:val="38"/>
        </w:rPr>
        <w:t>destruction.</w:t>
      </w:r>
    </w:p>
    <w:p>
      <w:pPr>
        <w:pStyle w:val="ListParagraph"/>
        <w:numPr>
          <w:ilvl w:val="1"/>
          <w:numId w:val="26"/>
        </w:numPr>
        <w:tabs>
          <w:tab w:pos="1192" w:val="left" w:leader="none"/>
          <w:tab w:pos="1193" w:val="left" w:leader="none"/>
        </w:tabs>
        <w:spacing w:line="240" w:lineRule="auto" w:before="63" w:after="0"/>
        <w:ind w:left="1192" w:right="0" w:hanging="360"/>
        <w:jc w:val="left"/>
        <w:rPr>
          <w:sz w:val="38"/>
        </w:rPr>
      </w:pPr>
      <w:r>
        <w:rPr>
          <w:sz w:val="38"/>
        </w:rPr>
        <w:t>It promotes resilience and elasticity in the body</w:t>
      </w:r>
      <w:r>
        <w:rPr>
          <w:spacing w:val="-3"/>
          <w:sz w:val="38"/>
        </w:rPr>
        <w:t> </w:t>
      </w:r>
      <w:r>
        <w:rPr>
          <w:sz w:val="38"/>
        </w:rPr>
        <w:t>cells.</w:t>
      </w:r>
    </w:p>
    <w:p>
      <w:pPr>
        <w:pStyle w:val="ListParagraph"/>
        <w:numPr>
          <w:ilvl w:val="1"/>
          <w:numId w:val="26"/>
        </w:numPr>
        <w:tabs>
          <w:tab w:pos="1192" w:val="left" w:leader="none"/>
          <w:tab w:pos="1193" w:val="left" w:leader="none"/>
        </w:tabs>
        <w:spacing w:line="273" w:lineRule="auto" w:before="64" w:after="0"/>
        <w:ind w:left="1192" w:right="137" w:hanging="360"/>
        <w:jc w:val="left"/>
        <w:rPr>
          <w:sz w:val="38"/>
        </w:rPr>
      </w:pPr>
      <w:r>
        <w:rPr>
          <w:sz w:val="38"/>
        </w:rPr>
        <w:t>It stimulates certain areas of the brain and helps them manage tasks more efficiently.</w:t>
      </w:r>
    </w:p>
    <w:p>
      <w:pPr>
        <w:pStyle w:val="ListParagraph"/>
        <w:numPr>
          <w:ilvl w:val="1"/>
          <w:numId w:val="26"/>
        </w:numPr>
        <w:tabs>
          <w:tab w:pos="1193" w:val="left" w:leader="none"/>
        </w:tabs>
        <w:spacing w:line="273" w:lineRule="auto" w:before="7" w:after="0"/>
        <w:ind w:left="1192" w:right="135" w:hanging="360"/>
        <w:jc w:val="both"/>
        <w:rPr>
          <w:sz w:val="38"/>
        </w:rPr>
      </w:pPr>
      <w:r>
        <w:rPr>
          <w:sz w:val="38"/>
        </w:rPr>
        <w:t>It increases the concentration of the neurotransmitters ‘actylcholine’ and ‘choline’, thereby improving the transmission of nerve impulses and in- creasing the efficiency of the</w:t>
      </w:r>
      <w:r>
        <w:rPr>
          <w:spacing w:val="2"/>
          <w:sz w:val="38"/>
        </w:rPr>
        <w:t> </w:t>
      </w:r>
      <w:r>
        <w:rPr>
          <w:sz w:val="38"/>
        </w:rPr>
        <w:t>brain.</w:t>
      </w:r>
    </w:p>
    <w:p>
      <w:pPr>
        <w:pStyle w:val="ListParagraph"/>
        <w:numPr>
          <w:ilvl w:val="1"/>
          <w:numId w:val="26"/>
        </w:numPr>
        <w:tabs>
          <w:tab w:pos="1192" w:val="left" w:leader="none"/>
          <w:tab w:pos="1193" w:val="left" w:leader="none"/>
        </w:tabs>
        <w:spacing w:line="240" w:lineRule="auto" w:before="12" w:after="0"/>
        <w:ind w:left="1192" w:right="0" w:hanging="360"/>
        <w:jc w:val="left"/>
        <w:rPr>
          <w:sz w:val="38"/>
        </w:rPr>
      </w:pPr>
      <w:r>
        <w:rPr>
          <w:sz w:val="38"/>
        </w:rPr>
        <w:t>It generally increases the number of messenger substances in the</w:t>
      </w:r>
      <w:r>
        <w:rPr>
          <w:spacing w:val="-19"/>
          <w:sz w:val="38"/>
        </w:rPr>
        <w:t> </w:t>
      </w:r>
      <w:r>
        <w:rPr>
          <w:sz w:val="38"/>
        </w:rPr>
        <w:t>brain.</w:t>
      </w:r>
    </w:p>
    <w:p>
      <w:pPr>
        <w:pStyle w:val="ListParagraph"/>
        <w:numPr>
          <w:ilvl w:val="1"/>
          <w:numId w:val="26"/>
        </w:numPr>
        <w:tabs>
          <w:tab w:pos="1192" w:val="left" w:leader="none"/>
          <w:tab w:pos="1193" w:val="left" w:leader="none"/>
        </w:tabs>
        <w:spacing w:line="240" w:lineRule="auto" w:before="64" w:after="0"/>
        <w:ind w:left="1192" w:right="0" w:hanging="360"/>
        <w:jc w:val="left"/>
        <w:rPr>
          <w:sz w:val="38"/>
        </w:rPr>
      </w:pPr>
      <w:r>
        <w:rPr>
          <w:sz w:val="38"/>
        </w:rPr>
        <w:t>It promotes the production of</w:t>
      </w:r>
      <w:r>
        <w:rPr>
          <w:spacing w:val="1"/>
          <w:sz w:val="38"/>
        </w:rPr>
        <w:t> </w:t>
      </w:r>
      <w:r>
        <w:rPr>
          <w:sz w:val="38"/>
        </w:rPr>
        <w:t>serotonin.</w:t>
      </w:r>
    </w:p>
    <w:p>
      <w:pPr>
        <w:pStyle w:val="ListParagraph"/>
        <w:numPr>
          <w:ilvl w:val="1"/>
          <w:numId w:val="26"/>
        </w:numPr>
        <w:tabs>
          <w:tab w:pos="1192" w:val="left" w:leader="none"/>
          <w:tab w:pos="1193" w:val="left" w:leader="none"/>
        </w:tabs>
        <w:spacing w:line="240" w:lineRule="auto" w:before="66" w:after="0"/>
        <w:ind w:left="1192" w:right="0" w:hanging="360"/>
        <w:jc w:val="left"/>
        <w:rPr>
          <w:sz w:val="38"/>
        </w:rPr>
      </w:pPr>
      <w:r>
        <w:rPr>
          <w:sz w:val="38"/>
        </w:rPr>
        <w:t>It increases attentiveness and lifts a person’s</w:t>
      </w:r>
      <w:r>
        <w:rPr>
          <w:spacing w:val="-3"/>
          <w:sz w:val="38"/>
        </w:rPr>
        <w:t> </w:t>
      </w:r>
      <w:r>
        <w:rPr>
          <w:sz w:val="38"/>
        </w:rPr>
        <w:t>mood.</w:t>
      </w:r>
    </w:p>
    <w:p>
      <w:pPr>
        <w:pStyle w:val="ListParagraph"/>
        <w:numPr>
          <w:ilvl w:val="1"/>
          <w:numId w:val="26"/>
        </w:numPr>
        <w:tabs>
          <w:tab w:pos="1192" w:val="left" w:leader="none"/>
          <w:tab w:pos="1193" w:val="left" w:leader="none"/>
        </w:tabs>
        <w:spacing w:line="240" w:lineRule="auto" w:before="64" w:after="0"/>
        <w:ind w:left="1192" w:right="0" w:hanging="360"/>
        <w:jc w:val="left"/>
        <w:rPr>
          <w:sz w:val="38"/>
        </w:rPr>
      </w:pPr>
      <w:r>
        <w:rPr>
          <w:sz w:val="38"/>
        </w:rPr>
        <w:t>It boosts neuromotor</w:t>
      </w:r>
      <w:r>
        <w:rPr>
          <w:spacing w:val="-2"/>
          <w:sz w:val="38"/>
        </w:rPr>
        <w:t> </w:t>
      </w:r>
      <w:r>
        <w:rPr>
          <w:sz w:val="38"/>
        </w:rPr>
        <w:t>control.</w:t>
      </w:r>
    </w:p>
    <w:p>
      <w:pPr>
        <w:spacing w:after="0" w:line="240" w:lineRule="auto"/>
        <w:jc w:val="left"/>
        <w:rPr>
          <w:sz w:val="38"/>
        </w:rPr>
        <w:sectPr>
          <w:pgSz w:w="14270" w:h="16850"/>
          <w:pgMar w:header="0" w:footer="1891" w:top="1600" w:bottom="2080" w:left="800" w:right="1280"/>
        </w:sectPr>
      </w:pPr>
    </w:p>
    <w:p>
      <w:pPr>
        <w:pStyle w:val="BodyText"/>
        <w:spacing w:before="10"/>
        <w:rPr>
          <w:sz w:val="8"/>
        </w:rPr>
      </w:pPr>
    </w:p>
    <w:p>
      <w:pPr>
        <w:pStyle w:val="ListParagraph"/>
        <w:numPr>
          <w:ilvl w:val="1"/>
          <w:numId w:val="26"/>
        </w:numPr>
        <w:tabs>
          <w:tab w:pos="1192" w:val="left" w:leader="none"/>
          <w:tab w:pos="1193" w:val="left" w:leader="none"/>
        </w:tabs>
        <w:spacing w:line="273" w:lineRule="auto" w:before="83" w:after="0"/>
        <w:ind w:left="1192" w:right="137" w:hanging="360"/>
        <w:jc w:val="left"/>
        <w:rPr>
          <w:sz w:val="38"/>
        </w:rPr>
      </w:pPr>
      <w:r>
        <w:rPr>
          <w:sz w:val="38"/>
        </w:rPr>
        <w:t>It increases the interaction between the two halves of the brain, synchro- nising their work more</w:t>
      </w:r>
      <w:r>
        <w:rPr>
          <w:spacing w:val="1"/>
          <w:sz w:val="38"/>
        </w:rPr>
        <w:t> </w:t>
      </w:r>
      <w:r>
        <w:rPr>
          <w:sz w:val="38"/>
        </w:rPr>
        <w:t>efficiently.</w:t>
      </w:r>
    </w:p>
    <w:p>
      <w:pPr>
        <w:pStyle w:val="ListParagraph"/>
        <w:numPr>
          <w:ilvl w:val="1"/>
          <w:numId w:val="26"/>
        </w:numPr>
        <w:tabs>
          <w:tab w:pos="1193" w:val="left" w:leader="none"/>
        </w:tabs>
        <w:spacing w:line="273" w:lineRule="auto" w:before="7" w:after="0"/>
        <w:ind w:left="1192" w:right="136" w:hanging="360"/>
        <w:jc w:val="both"/>
        <w:rPr>
          <w:sz w:val="38"/>
        </w:rPr>
      </w:pPr>
      <w:r>
        <w:rPr>
          <w:sz w:val="38"/>
        </w:rPr>
        <w:t>By activating antioxidative enzymes, it prevents the accumulation of lipofuscin</w:t>
      </w:r>
      <w:r>
        <w:rPr>
          <w:spacing w:val="-23"/>
          <w:sz w:val="38"/>
        </w:rPr>
        <w:t> </w:t>
      </w:r>
      <w:r>
        <w:rPr>
          <w:sz w:val="38"/>
        </w:rPr>
        <w:t>and</w:t>
      </w:r>
      <w:r>
        <w:rPr>
          <w:spacing w:val="-22"/>
          <w:sz w:val="38"/>
        </w:rPr>
        <w:t> </w:t>
      </w:r>
      <w:r>
        <w:rPr>
          <w:sz w:val="38"/>
        </w:rPr>
        <w:t>age-related</w:t>
      </w:r>
      <w:r>
        <w:rPr>
          <w:spacing w:val="-24"/>
          <w:sz w:val="38"/>
        </w:rPr>
        <w:t> </w:t>
      </w:r>
      <w:r>
        <w:rPr>
          <w:sz w:val="38"/>
        </w:rPr>
        <w:t>pigment</w:t>
      </w:r>
      <w:r>
        <w:rPr>
          <w:spacing w:val="-23"/>
          <w:sz w:val="38"/>
        </w:rPr>
        <w:t> </w:t>
      </w:r>
      <w:r>
        <w:rPr>
          <w:sz w:val="38"/>
        </w:rPr>
        <w:t>which</w:t>
      </w:r>
      <w:r>
        <w:rPr>
          <w:spacing w:val="-21"/>
          <w:sz w:val="38"/>
        </w:rPr>
        <w:t> </w:t>
      </w:r>
      <w:r>
        <w:rPr>
          <w:sz w:val="38"/>
        </w:rPr>
        <w:t>accumulate</w:t>
      </w:r>
      <w:r>
        <w:rPr>
          <w:spacing w:val="-24"/>
          <w:sz w:val="38"/>
        </w:rPr>
        <w:t> </w:t>
      </w:r>
      <w:r>
        <w:rPr>
          <w:sz w:val="38"/>
        </w:rPr>
        <w:t>in</w:t>
      </w:r>
      <w:r>
        <w:rPr>
          <w:spacing w:val="-22"/>
          <w:sz w:val="38"/>
        </w:rPr>
        <w:t> </w:t>
      </w:r>
      <w:r>
        <w:rPr>
          <w:sz w:val="38"/>
        </w:rPr>
        <w:t>the</w:t>
      </w:r>
      <w:r>
        <w:rPr>
          <w:spacing w:val="-21"/>
          <w:sz w:val="38"/>
        </w:rPr>
        <w:t> </w:t>
      </w:r>
      <w:r>
        <w:rPr>
          <w:sz w:val="38"/>
        </w:rPr>
        <w:t>brain</w:t>
      </w:r>
      <w:r>
        <w:rPr>
          <w:spacing w:val="-23"/>
          <w:sz w:val="38"/>
        </w:rPr>
        <w:t> </w:t>
      </w:r>
      <w:r>
        <w:rPr>
          <w:sz w:val="38"/>
        </w:rPr>
        <w:t>and</w:t>
      </w:r>
      <w:r>
        <w:rPr>
          <w:spacing w:val="-22"/>
          <w:sz w:val="38"/>
        </w:rPr>
        <w:t> </w:t>
      </w:r>
      <w:r>
        <w:rPr>
          <w:sz w:val="38"/>
        </w:rPr>
        <w:t>heart muscle.</w:t>
      </w:r>
    </w:p>
    <w:p>
      <w:pPr>
        <w:pStyle w:val="ListParagraph"/>
        <w:numPr>
          <w:ilvl w:val="1"/>
          <w:numId w:val="26"/>
        </w:numPr>
        <w:tabs>
          <w:tab w:pos="1192" w:val="left" w:leader="none"/>
          <w:tab w:pos="1193" w:val="left" w:leader="none"/>
        </w:tabs>
        <w:spacing w:line="273" w:lineRule="auto" w:before="12" w:after="0"/>
        <w:ind w:left="1192" w:right="245" w:hanging="360"/>
        <w:jc w:val="left"/>
        <w:rPr>
          <w:sz w:val="38"/>
        </w:rPr>
      </w:pPr>
      <w:r>
        <w:rPr>
          <w:sz w:val="38"/>
        </w:rPr>
        <w:t>As an antioxidant, it protects the nerve cells from attacks and</w:t>
      </w:r>
      <w:r>
        <w:rPr>
          <w:spacing w:val="-43"/>
          <w:sz w:val="38"/>
        </w:rPr>
        <w:t> </w:t>
      </w:r>
      <w:r>
        <w:rPr>
          <w:sz w:val="38"/>
        </w:rPr>
        <w:t>destruction caused by free</w:t>
      </w:r>
      <w:r>
        <w:rPr>
          <w:spacing w:val="1"/>
          <w:sz w:val="38"/>
        </w:rPr>
        <w:t> </w:t>
      </w:r>
      <w:r>
        <w:rPr>
          <w:sz w:val="38"/>
        </w:rPr>
        <w:t>radicals.</w:t>
      </w:r>
    </w:p>
    <w:p>
      <w:pPr>
        <w:pStyle w:val="ListParagraph"/>
        <w:numPr>
          <w:ilvl w:val="1"/>
          <w:numId w:val="26"/>
        </w:numPr>
        <w:tabs>
          <w:tab w:pos="1192" w:val="left" w:leader="none"/>
          <w:tab w:pos="1193" w:val="left" w:leader="none"/>
        </w:tabs>
        <w:spacing w:line="240" w:lineRule="auto" w:before="7" w:after="0"/>
        <w:ind w:left="1192" w:right="0" w:hanging="360"/>
        <w:jc w:val="left"/>
        <w:rPr>
          <w:sz w:val="38"/>
        </w:rPr>
      </w:pPr>
      <w:r>
        <w:rPr>
          <w:sz w:val="38"/>
        </w:rPr>
        <w:t>It removes protein deposits in the brain which</w:t>
      </w:r>
      <w:r>
        <w:rPr>
          <w:spacing w:val="-2"/>
          <w:sz w:val="38"/>
        </w:rPr>
        <w:t> </w:t>
      </w:r>
      <w:r>
        <w:rPr>
          <w:sz w:val="38"/>
        </w:rPr>
        <w:t>have</w:t>
      </w:r>
    </w:p>
    <w:p>
      <w:pPr>
        <w:pStyle w:val="ListParagraph"/>
        <w:numPr>
          <w:ilvl w:val="1"/>
          <w:numId w:val="26"/>
        </w:numPr>
        <w:tabs>
          <w:tab w:pos="1192" w:val="left" w:leader="none"/>
          <w:tab w:pos="1193" w:val="left" w:leader="none"/>
        </w:tabs>
        <w:spacing w:line="273" w:lineRule="auto" w:before="64" w:after="0"/>
        <w:ind w:left="1192" w:right="136" w:hanging="360"/>
        <w:jc w:val="left"/>
        <w:rPr>
          <w:sz w:val="38"/>
        </w:rPr>
      </w:pPr>
      <w:r>
        <w:rPr>
          <w:sz w:val="38"/>
        </w:rPr>
        <w:t>accumulated</w:t>
      </w:r>
      <w:r>
        <w:rPr>
          <w:spacing w:val="-8"/>
          <w:sz w:val="38"/>
        </w:rPr>
        <w:t> </w:t>
      </w:r>
      <w:r>
        <w:rPr>
          <w:sz w:val="38"/>
        </w:rPr>
        <w:t>over</w:t>
      </w:r>
      <w:r>
        <w:rPr>
          <w:spacing w:val="-7"/>
          <w:sz w:val="38"/>
        </w:rPr>
        <w:t> </w:t>
      </w:r>
      <w:r>
        <w:rPr>
          <w:sz w:val="38"/>
        </w:rPr>
        <w:t>time</w:t>
      </w:r>
      <w:r>
        <w:rPr>
          <w:spacing w:val="-8"/>
          <w:sz w:val="38"/>
        </w:rPr>
        <w:t> </w:t>
      </w:r>
      <w:r>
        <w:rPr>
          <w:sz w:val="38"/>
        </w:rPr>
        <w:t>and</w:t>
      </w:r>
      <w:r>
        <w:rPr>
          <w:spacing w:val="-10"/>
          <w:sz w:val="38"/>
        </w:rPr>
        <w:t> </w:t>
      </w:r>
      <w:r>
        <w:rPr>
          <w:sz w:val="38"/>
        </w:rPr>
        <w:t>which</w:t>
      </w:r>
      <w:r>
        <w:rPr>
          <w:spacing w:val="-7"/>
          <w:sz w:val="38"/>
        </w:rPr>
        <w:t> </w:t>
      </w:r>
      <w:r>
        <w:rPr>
          <w:sz w:val="38"/>
        </w:rPr>
        <w:t>lead</w:t>
      </w:r>
      <w:r>
        <w:rPr>
          <w:spacing w:val="-9"/>
          <w:sz w:val="38"/>
        </w:rPr>
        <w:t> </w:t>
      </w:r>
      <w:r>
        <w:rPr>
          <w:sz w:val="38"/>
        </w:rPr>
        <w:t>brain</w:t>
      </w:r>
      <w:r>
        <w:rPr>
          <w:spacing w:val="-10"/>
          <w:sz w:val="38"/>
        </w:rPr>
        <w:t> </w:t>
      </w:r>
      <w:r>
        <w:rPr>
          <w:sz w:val="38"/>
        </w:rPr>
        <w:t>disorders</w:t>
      </w:r>
      <w:r>
        <w:rPr>
          <w:spacing w:val="-7"/>
          <w:sz w:val="38"/>
        </w:rPr>
        <w:t> </w:t>
      </w:r>
      <w:r>
        <w:rPr>
          <w:sz w:val="38"/>
        </w:rPr>
        <w:t>that</w:t>
      </w:r>
      <w:r>
        <w:rPr>
          <w:spacing w:val="-8"/>
          <w:sz w:val="38"/>
        </w:rPr>
        <w:t> </w:t>
      </w:r>
      <w:r>
        <w:rPr>
          <w:sz w:val="38"/>
        </w:rPr>
        <w:t>are</w:t>
      </w:r>
      <w:r>
        <w:rPr>
          <w:spacing w:val="-10"/>
          <w:sz w:val="38"/>
        </w:rPr>
        <w:t> </w:t>
      </w:r>
      <w:r>
        <w:rPr>
          <w:sz w:val="38"/>
        </w:rPr>
        <w:t>typical</w:t>
      </w:r>
      <w:r>
        <w:rPr>
          <w:spacing w:val="-7"/>
          <w:sz w:val="38"/>
        </w:rPr>
        <w:t> </w:t>
      </w:r>
      <w:r>
        <w:rPr>
          <w:sz w:val="38"/>
        </w:rPr>
        <w:t>with age.</w:t>
      </w:r>
    </w:p>
    <w:p>
      <w:pPr>
        <w:pStyle w:val="ListParagraph"/>
        <w:numPr>
          <w:ilvl w:val="1"/>
          <w:numId w:val="26"/>
        </w:numPr>
        <w:tabs>
          <w:tab w:pos="1192" w:val="left" w:leader="none"/>
          <w:tab w:pos="1193" w:val="left" w:leader="none"/>
        </w:tabs>
        <w:spacing w:line="240" w:lineRule="auto" w:before="7" w:after="0"/>
        <w:ind w:left="1192" w:right="0" w:hanging="360"/>
        <w:jc w:val="left"/>
        <w:rPr>
          <w:sz w:val="38"/>
        </w:rPr>
      </w:pPr>
      <w:r>
        <w:rPr>
          <w:sz w:val="38"/>
        </w:rPr>
        <w:t>It increases the life span of brain</w:t>
      </w:r>
      <w:r>
        <w:rPr>
          <w:spacing w:val="-3"/>
          <w:sz w:val="38"/>
        </w:rPr>
        <w:t> </w:t>
      </w:r>
      <w:r>
        <w:rPr>
          <w:sz w:val="38"/>
        </w:rPr>
        <w:t>cells.</w:t>
      </w:r>
    </w:p>
    <w:p>
      <w:pPr>
        <w:pStyle w:val="ListParagraph"/>
        <w:numPr>
          <w:ilvl w:val="1"/>
          <w:numId w:val="26"/>
        </w:numPr>
        <w:tabs>
          <w:tab w:pos="1192" w:val="left" w:leader="none"/>
          <w:tab w:pos="1193" w:val="left" w:leader="none"/>
        </w:tabs>
        <w:spacing w:line="240" w:lineRule="auto" w:before="66" w:after="0"/>
        <w:ind w:left="1192" w:right="0" w:hanging="360"/>
        <w:jc w:val="left"/>
        <w:rPr>
          <w:sz w:val="38"/>
        </w:rPr>
      </w:pPr>
      <w:r>
        <w:rPr>
          <w:sz w:val="38"/>
        </w:rPr>
        <w:t>It strengthens internal organs, especially the heart, kidneys and</w:t>
      </w:r>
      <w:r>
        <w:rPr>
          <w:spacing w:val="-15"/>
          <w:sz w:val="38"/>
        </w:rPr>
        <w:t> </w:t>
      </w:r>
      <w:r>
        <w:rPr>
          <w:sz w:val="38"/>
        </w:rPr>
        <w:t>liver.</w:t>
      </w:r>
    </w:p>
    <w:p>
      <w:pPr>
        <w:pStyle w:val="ListParagraph"/>
        <w:numPr>
          <w:ilvl w:val="1"/>
          <w:numId w:val="26"/>
        </w:numPr>
        <w:tabs>
          <w:tab w:pos="1192" w:val="left" w:leader="none"/>
          <w:tab w:pos="1193" w:val="left" w:leader="none"/>
        </w:tabs>
        <w:spacing w:line="273" w:lineRule="auto" w:before="64" w:after="0"/>
        <w:ind w:left="1192" w:right="135" w:hanging="360"/>
        <w:jc w:val="left"/>
        <w:rPr>
          <w:sz w:val="38"/>
        </w:rPr>
      </w:pPr>
      <w:r>
        <w:rPr>
          <w:sz w:val="38"/>
        </w:rPr>
        <w:t>It</w:t>
      </w:r>
      <w:r>
        <w:rPr>
          <w:spacing w:val="-21"/>
          <w:sz w:val="38"/>
        </w:rPr>
        <w:t> </w:t>
      </w:r>
      <w:r>
        <w:rPr>
          <w:sz w:val="38"/>
        </w:rPr>
        <w:t>strengthens</w:t>
      </w:r>
      <w:r>
        <w:rPr>
          <w:spacing w:val="-18"/>
          <w:sz w:val="38"/>
        </w:rPr>
        <w:t> </w:t>
      </w:r>
      <w:r>
        <w:rPr>
          <w:sz w:val="38"/>
        </w:rPr>
        <w:t>the</w:t>
      </w:r>
      <w:r>
        <w:rPr>
          <w:spacing w:val="-18"/>
          <w:sz w:val="38"/>
        </w:rPr>
        <w:t> </w:t>
      </w:r>
      <w:r>
        <w:rPr>
          <w:sz w:val="38"/>
        </w:rPr>
        <w:t>entire</w:t>
      </w:r>
      <w:r>
        <w:rPr>
          <w:spacing w:val="-19"/>
          <w:sz w:val="38"/>
        </w:rPr>
        <w:t> </w:t>
      </w:r>
      <w:r>
        <w:rPr>
          <w:sz w:val="38"/>
        </w:rPr>
        <w:t>connective</w:t>
      </w:r>
      <w:r>
        <w:rPr>
          <w:spacing w:val="-19"/>
          <w:sz w:val="38"/>
        </w:rPr>
        <w:t> </w:t>
      </w:r>
      <w:r>
        <w:rPr>
          <w:sz w:val="38"/>
        </w:rPr>
        <w:t>tissue,</w:t>
      </w:r>
      <w:r>
        <w:rPr>
          <w:spacing w:val="-18"/>
          <w:sz w:val="38"/>
        </w:rPr>
        <w:t> </w:t>
      </w:r>
      <w:r>
        <w:rPr>
          <w:sz w:val="38"/>
        </w:rPr>
        <w:t>smoothens</w:t>
      </w:r>
      <w:r>
        <w:rPr>
          <w:spacing w:val="-18"/>
          <w:sz w:val="38"/>
        </w:rPr>
        <w:t> </w:t>
      </w:r>
      <w:r>
        <w:rPr>
          <w:sz w:val="38"/>
        </w:rPr>
        <w:t>skin</w:t>
      </w:r>
      <w:r>
        <w:rPr>
          <w:spacing w:val="-19"/>
          <w:sz w:val="38"/>
        </w:rPr>
        <w:t> </w:t>
      </w:r>
      <w:r>
        <w:rPr>
          <w:sz w:val="38"/>
        </w:rPr>
        <w:t>folds</w:t>
      </w:r>
      <w:r>
        <w:rPr>
          <w:spacing w:val="-18"/>
          <w:sz w:val="38"/>
        </w:rPr>
        <w:t> </w:t>
      </w:r>
      <w:r>
        <w:rPr>
          <w:sz w:val="38"/>
        </w:rPr>
        <w:t>and</w:t>
      </w:r>
      <w:r>
        <w:rPr>
          <w:spacing w:val="-18"/>
          <w:sz w:val="38"/>
        </w:rPr>
        <w:t> </w:t>
      </w:r>
      <w:r>
        <w:rPr>
          <w:sz w:val="38"/>
        </w:rPr>
        <w:t>coun- teracts new wrinkle</w:t>
      </w:r>
      <w:r>
        <w:rPr>
          <w:spacing w:val="1"/>
          <w:sz w:val="38"/>
        </w:rPr>
        <w:t> </w:t>
      </w:r>
      <w:r>
        <w:rPr>
          <w:sz w:val="38"/>
        </w:rPr>
        <w:t>formation.</w:t>
      </w:r>
    </w:p>
    <w:p>
      <w:pPr>
        <w:pStyle w:val="ListParagraph"/>
        <w:numPr>
          <w:ilvl w:val="1"/>
          <w:numId w:val="26"/>
        </w:numPr>
        <w:tabs>
          <w:tab w:pos="1192" w:val="left" w:leader="none"/>
          <w:tab w:pos="1193" w:val="left" w:leader="none"/>
        </w:tabs>
        <w:spacing w:line="240" w:lineRule="auto" w:before="7" w:after="0"/>
        <w:ind w:left="1192" w:right="0" w:hanging="360"/>
        <w:jc w:val="left"/>
        <w:rPr>
          <w:sz w:val="38"/>
        </w:rPr>
      </w:pPr>
      <w:r>
        <w:rPr>
          <w:sz w:val="38"/>
        </w:rPr>
        <w:t>It contributes to muscle</w:t>
      </w:r>
      <w:r>
        <w:rPr>
          <w:spacing w:val="-2"/>
          <w:sz w:val="38"/>
        </w:rPr>
        <w:t> </w:t>
      </w:r>
      <w:r>
        <w:rPr>
          <w:sz w:val="38"/>
        </w:rPr>
        <w:t>strengthening.</w:t>
      </w:r>
    </w:p>
    <w:p>
      <w:pPr>
        <w:pStyle w:val="ListParagraph"/>
        <w:numPr>
          <w:ilvl w:val="1"/>
          <w:numId w:val="26"/>
        </w:numPr>
        <w:tabs>
          <w:tab w:pos="1192" w:val="left" w:leader="none"/>
          <w:tab w:pos="1193" w:val="left" w:leader="none"/>
        </w:tabs>
        <w:spacing w:line="240" w:lineRule="auto" w:before="64" w:after="0"/>
        <w:ind w:left="1192" w:right="0" w:hanging="360"/>
        <w:jc w:val="left"/>
        <w:rPr>
          <w:sz w:val="38"/>
        </w:rPr>
      </w:pPr>
      <w:r>
        <w:rPr>
          <w:sz w:val="38"/>
        </w:rPr>
        <w:t>It promotes a healthy sleep</w:t>
      </w:r>
      <w:r>
        <w:rPr>
          <w:spacing w:val="-1"/>
          <w:sz w:val="38"/>
        </w:rPr>
        <w:t> </w:t>
      </w:r>
      <w:r>
        <w:rPr>
          <w:sz w:val="38"/>
        </w:rPr>
        <w:t>cycle.</w:t>
      </w:r>
    </w:p>
    <w:p>
      <w:pPr>
        <w:pStyle w:val="BodyText"/>
        <w:spacing w:line="276" w:lineRule="auto" w:before="302"/>
        <w:ind w:left="477" w:right="133"/>
        <w:jc w:val="both"/>
      </w:pPr>
      <w:r>
        <w:rPr/>
        <w:t>The protection of cells and cell membranes by DMAE cannot be overstated because it has a direct effect on all our organs and their functions. Dimethyla- minoethanol is able to increase the vitality of every body cell and increase its lifespan and thus </w:t>
      </w:r>
      <w:r>
        <w:rPr>
          <w:u w:val="single"/>
        </w:rPr>
        <w:t>our own lifespan</w:t>
      </w:r>
      <w:r>
        <w:rPr/>
        <w:t>.</w:t>
      </w:r>
    </w:p>
    <w:p>
      <w:pPr>
        <w:pStyle w:val="BodyText"/>
        <w:spacing w:line="276" w:lineRule="auto" w:before="242"/>
        <w:ind w:left="477" w:right="135"/>
        <w:jc w:val="both"/>
      </w:pPr>
      <w:r>
        <w:rPr/>
        <w:t>A</w:t>
      </w:r>
      <w:r>
        <w:rPr>
          <w:spacing w:val="-15"/>
        </w:rPr>
        <w:t> </w:t>
      </w:r>
      <w:r>
        <w:rPr/>
        <w:t>special</w:t>
      </w:r>
      <w:r>
        <w:rPr>
          <w:spacing w:val="-15"/>
        </w:rPr>
        <w:t> </w:t>
      </w:r>
      <w:r>
        <w:rPr/>
        <w:t>role</w:t>
      </w:r>
      <w:r>
        <w:rPr>
          <w:spacing w:val="-17"/>
        </w:rPr>
        <w:t> </w:t>
      </w:r>
      <w:r>
        <w:rPr/>
        <w:t>is</w:t>
      </w:r>
      <w:r>
        <w:rPr>
          <w:spacing w:val="-18"/>
        </w:rPr>
        <w:t> </w:t>
      </w:r>
      <w:r>
        <w:rPr/>
        <w:t>played</w:t>
      </w:r>
      <w:r>
        <w:rPr>
          <w:spacing w:val="-14"/>
        </w:rPr>
        <w:t> </w:t>
      </w:r>
      <w:r>
        <w:rPr/>
        <w:t>by</w:t>
      </w:r>
      <w:r>
        <w:rPr>
          <w:spacing w:val="-15"/>
        </w:rPr>
        <w:t> </w:t>
      </w:r>
      <w:r>
        <w:rPr/>
        <w:t>the</w:t>
      </w:r>
      <w:r>
        <w:rPr>
          <w:spacing w:val="-16"/>
        </w:rPr>
        <w:t> </w:t>
      </w:r>
      <w:r>
        <w:rPr/>
        <w:t>DMAE</w:t>
      </w:r>
      <w:r>
        <w:rPr>
          <w:spacing w:val="-13"/>
        </w:rPr>
        <w:t> </w:t>
      </w:r>
      <w:r>
        <w:rPr/>
        <w:t>within</w:t>
      </w:r>
      <w:r>
        <w:rPr>
          <w:spacing w:val="-13"/>
        </w:rPr>
        <w:t> </w:t>
      </w:r>
      <w:r>
        <w:rPr/>
        <w:t>our</w:t>
      </w:r>
      <w:r>
        <w:rPr>
          <w:spacing w:val="-14"/>
        </w:rPr>
        <w:t> </w:t>
      </w:r>
      <w:r>
        <w:rPr/>
        <w:t>main</w:t>
      </w:r>
      <w:r>
        <w:rPr>
          <w:spacing w:val="-14"/>
        </w:rPr>
        <w:t> </w:t>
      </w:r>
      <w:r>
        <w:rPr/>
        <w:t>control</w:t>
      </w:r>
      <w:r>
        <w:rPr>
          <w:spacing w:val="-15"/>
        </w:rPr>
        <w:t> </w:t>
      </w:r>
      <w:r>
        <w:rPr/>
        <w:t>centre,</w:t>
      </w:r>
      <w:r>
        <w:rPr>
          <w:spacing w:val="-13"/>
        </w:rPr>
        <w:t> </w:t>
      </w:r>
      <w:r>
        <w:rPr/>
        <w:t>the</w:t>
      </w:r>
      <w:r>
        <w:rPr>
          <w:spacing w:val="-16"/>
        </w:rPr>
        <w:t> </w:t>
      </w:r>
      <w:r>
        <w:rPr/>
        <w:t>brain. The protection of the brain from free radicals, the blocking of ageing</w:t>
      </w:r>
      <w:r>
        <w:rPr>
          <w:spacing w:val="-61"/>
        </w:rPr>
        <w:t> </w:t>
      </w:r>
      <w:r>
        <w:rPr/>
        <w:t>pigments</w:t>
      </w:r>
    </w:p>
    <w:p>
      <w:pPr>
        <w:spacing w:after="0" w:line="276" w:lineRule="auto"/>
        <w:jc w:val="both"/>
        <w:sectPr>
          <w:footerReference w:type="default" r:id="rId104"/>
          <w:pgSz w:w="14270" w:h="16850"/>
          <w:pgMar w:footer="1891" w:header="0" w:top="1600" w:bottom="2080" w:left="800" w:right="1280"/>
          <w:pgNumType w:start="390"/>
        </w:sectPr>
      </w:pPr>
    </w:p>
    <w:p>
      <w:pPr>
        <w:pStyle w:val="BodyText"/>
        <w:spacing w:line="276" w:lineRule="auto" w:before="181"/>
        <w:ind w:left="477" w:right="136"/>
        <w:jc w:val="both"/>
      </w:pPr>
      <w:r>
        <w:rPr/>
        <w:t>in</w:t>
      </w:r>
      <w:r>
        <w:rPr>
          <w:spacing w:val="-22"/>
        </w:rPr>
        <w:t> </w:t>
      </w:r>
      <w:r>
        <w:rPr/>
        <w:t>the</w:t>
      </w:r>
      <w:r>
        <w:rPr>
          <w:spacing w:val="-20"/>
        </w:rPr>
        <w:t> </w:t>
      </w:r>
      <w:r>
        <w:rPr/>
        <w:t>brain,</w:t>
      </w:r>
      <w:r>
        <w:rPr>
          <w:spacing w:val="-21"/>
        </w:rPr>
        <w:t> </w:t>
      </w:r>
      <w:r>
        <w:rPr/>
        <w:t>the</w:t>
      </w:r>
      <w:r>
        <w:rPr>
          <w:spacing w:val="-20"/>
        </w:rPr>
        <w:t> </w:t>
      </w:r>
      <w:r>
        <w:rPr/>
        <w:t>removal</w:t>
      </w:r>
      <w:r>
        <w:rPr>
          <w:spacing w:val="-22"/>
        </w:rPr>
        <w:t> </w:t>
      </w:r>
      <w:r>
        <w:rPr/>
        <w:t>of</w:t>
      </w:r>
      <w:r>
        <w:rPr>
          <w:spacing w:val="-21"/>
        </w:rPr>
        <w:t> </w:t>
      </w:r>
      <w:r>
        <w:rPr/>
        <w:t>water-insoluble</w:t>
      </w:r>
      <w:r>
        <w:rPr>
          <w:spacing w:val="-21"/>
        </w:rPr>
        <w:t> </w:t>
      </w:r>
      <w:r>
        <w:rPr/>
        <w:t>protein</w:t>
      </w:r>
      <w:r>
        <w:rPr>
          <w:spacing w:val="-20"/>
        </w:rPr>
        <w:t> </w:t>
      </w:r>
      <w:r>
        <w:rPr/>
        <w:t>deposits,</w:t>
      </w:r>
      <w:r>
        <w:rPr>
          <w:spacing w:val="-21"/>
        </w:rPr>
        <w:t> </w:t>
      </w:r>
      <w:r>
        <w:rPr/>
        <w:t>the</w:t>
      </w:r>
      <w:r>
        <w:rPr>
          <w:spacing w:val="-20"/>
        </w:rPr>
        <w:t> </w:t>
      </w:r>
      <w:r>
        <w:rPr/>
        <w:t>functional</w:t>
      </w:r>
      <w:r>
        <w:rPr>
          <w:spacing w:val="-23"/>
        </w:rPr>
        <w:t> </w:t>
      </w:r>
      <w:r>
        <w:rPr/>
        <w:t>syn- chronisation of both halves of the brain, the increase in neuromotor control and the increase of the neurotransmitters ‘acetylcholine’ and ‘choline’ lead to a remarkable</w:t>
      </w:r>
      <w:r>
        <w:rPr>
          <w:spacing w:val="-26"/>
        </w:rPr>
        <w:t> </w:t>
      </w:r>
      <w:r>
        <w:rPr/>
        <w:t>protection</w:t>
      </w:r>
      <w:r>
        <w:rPr>
          <w:spacing w:val="-24"/>
        </w:rPr>
        <w:t> </w:t>
      </w:r>
      <w:r>
        <w:rPr/>
        <w:t>and</w:t>
      </w:r>
      <w:r>
        <w:rPr>
          <w:spacing w:val="-28"/>
        </w:rPr>
        <w:t> </w:t>
      </w:r>
      <w:r>
        <w:rPr/>
        <w:t>optimisation</w:t>
      </w:r>
      <w:r>
        <w:rPr>
          <w:spacing w:val="-24"/>
        </w:rPr>
        <w:t> </w:t>
      </w:r>
      <w:r>
        <w:rPr/>
        <w:t>of</w:t>
      </w:r>
      <w:r>
        <w:rPr>
          <w:spacing w:val="-25"/>
        </w:rPr>
        <w:t> </w:t>
      </w:r>
      <w:r>
        <w:rPr/>
        <w:t>all</w:t>
      </w:r>
      <w:r>
        <w:rPr>
          <w:spacing w:val="-27"/>
        </w:rPr>
        <w:t> </w:t>
      </w:r>
      <w:r>
        <w:rPr/>
        <w:t>motor</w:t>
      </w:r>
      <w:r>
        <w:rPr>
          <w:spacing w:val="-25"/>
        </w:rPr>
        <w:t> </w:t>
      </w:r>
      <w:r>
        <w:rPr/>
        <w:t>and</w:t>
      </w:r>
      <w:r>
        <w:rPr>
          <w:spacing w:val="-27"/>
        </w:rPr>
        <w:t> </w:t>
      </w:r>
      <w:r>
        <w:rPr/>
        <w:t>cognitive</w:t>
      </w:r>
      <w:r>
        <w:rPr>
          <w:spacing w:val="-26"/>
        </w:rPr>
        <w:t> </w:t>
      </w:r>
      <w:r>
        <w:rPr/>
        <w:t>abilities,</w:t>
      </w:r>
      <w:r>
        <w:rPr>
          <w:spacing w:val="-24"/>
        </w:rPr>
        <w:t> </w:t>
      </w:r>
      <w:r>
        <w:rPr/>
        <w:t>such as</w:t>
      </w:r>
      <w:r>
        <w:rPr>
          <w:spacing w:val="-8"/>
        </w:rPr>
        <w:t> </w:t>
      </w:r>
      <w:r>
        <w:rPr/>
        <w:t>the</w:t>
      </w:r>
      <w:r>
        <w:rPr>
          <w:spacing w:val="-7"/>
        </w:rPr>
        <w:t> </w:t>
      </w:r>
      <w:r>
        <w:rPr/>
        <w:t>ability</w:t>
      </w:r>
      <w:r>
        <w:rPr>
          <w:spacing w:val="-9"/>
        </w:rPr>
        <w:t> </w:t>
      </w:r>
      <w:r>
        <w:rPr/>
        <w:t>to</w:t>
      </w:r>
      <w:r>
        <w:rPr>
          <w:spacing w:val="-7"/>
        </w:rPr>
        <w:t> </w:t>
      </w:r>
      <w:r>
        <w:rPr/>
        <w:t>learn,</w:t>
      </w:r>
      <w:r>
        <w:rPr>
          <w:spacing w:val="-6"/>
        </w:rPr>
        <w:t> </w:t>
      </w:r>
      <w:r>
        <w:rPr/>
        <w:t>memory,</w:t>
      </w:r>
      <w:r>
        <w:rPr>
          <w:spacing w:val="-7"/>
        </w:rPr>
        <w:t> </w:t>
      </w:r>
      <w:r>
        <w:rPr/>
        <w:t>the</w:t>
      </w:r>
      <w:r>
        <w:rPr>
          <w:spacing w:val="-7"/>
        </w:rPr>
        <w:t> </w:t>
      </w:r>
      <w:r>
        <w:rPr/>
        <w:t>ability</w:t>
      </w:r>
      <w:r>
        <w:rPr>
          <w:spacing w:val="-9"/>
        </w:rPr>
        <w:t> </w:t>
      </w:r>
      <w:r>
        <w:rPr/>
        <w:t>to</w:t>
      </w:r>
      <w:r>
        <w:rPr>
          <w:spacing w:val="-7"/>
        </w:rPr>
        <w:t> </w:t>
      </w:r>
      <w:r>
        <w:rPr/>
        <w:t>pay</w:t>
      </w:r>
      <w:r>
        <w:rPr>
          <w:spacing w:val="-9"/>
        </w:rPr>
        <w:t> </w:t>
      </w:r>
      <w:r>
        <w:rPr/>
        <w:t>attention,</w:t>
      </w:r>
      <w:r>
        <w:rPr>
          <w:spacing w:val="-7"/>
        </w:rPr>
        <w:t> </w:t>
      </w:r>
      <w:r>
        <w:rPr/>
        <w:t>sense</w:t>
      </w:r>
      <w:r>
        <w:rPr>
          <w:spacing w:val="-12"/>
        </w:rPr>
        <w:t> </w:t>
      </w:r>
      <w:r>
        <w:rPr/>
        <w:t>of</w:t>
      </w:r>
      <w:r>
        <w:rPr>
          <w:spacing w:val="-7"/>
        </w:rPr>
        <w:t> </w:t>
      </w:r>
      <w:r>
        <w:rPr/>
        <w:t>orientation, creativity, reasoning and imagination as well as</w:t>
      </w:r>
      <w:r>
        <w:rPr>
          <w:spacing w:val="-3"/>
        </w:rPr>
        <w:t> </w:t>
      </w:r>
      <w:r>
        <w:rPr/>
        <w:t>articulation.</w:t>
      </w:r>
    </w:p>
    <w:p>
      <w:pPr>
        <w:pStyle w:val="BodyText"/>
        <w:spacing w:line="276" w:lineRule="auto" w:before="241"/>
        <w:ind w:left="477" w:right="136"/>
        <w:jc w:val="both"/>
      </w:pPr>
      <w:r>
        <w:rPr/>
        <w:t>Furthermore, DMAE improves mood; it also counteracts depression, apathy and anxiety.</w:t>
      </w:r>
    </w:p>
    <w:p>
      <w:pPr>
        <w:pStyle w:val="Heading1"/>
        <w:spacing w:before="223"/>
      </w:pPr>
      <w:r>
        <w:rPr/>
        <w:t>Specific effect on diseases and</w:t>
      </w:r>
      <w:r>
        <w:rPr>
          <w:spacing w:val="-51"/>
        </w:rPr>
        <w:t> </w:t>
      </w:r>
      <w:r>
        <w:rPr/>
        <w:t>conditions</w:t>
      </w:r>
    </w:p>
    <w:p>
      <w:pPr>
        <w:pStyle w:val="BodyText"/>
        <w:spacing w:line="276" w:lineRule="auto" w:before="300"/>
        <w:ind w:left="477" w:right="133"/>
        <w:jc w:val="both"/>
      </w:pPr>
      <w:r>
        <w:rPr/>
        <w:t>The main indications include the improvement of brain functions and the in- crease of brain performance and mood. In addition, DMAE is used for anti- ageing purposes.</w:t>
      </w:r>
    </w:p>
    <w:p>
      <w:pPr>
        <w:pStyle w:val="Heading1"/>
        <w:spacing w:before="221"/>
        <w:jc w:val="both"/>
      </w:pPr>
      <w:r>
        <w:rPr/>
        <w:t>In summary, DMAE is proven to demonstrate the following abilities:</w:t>
      </w:r>
    </w:p>
    <w:p>
      <w:pPr>
        <w:pStyle w:val="ListParagraph"/>
        <w:numPr>
          <w:ilvl w:val="1"/>
          <w:numId w:val="26"/>
        </w:numPr>
        <w:tabs>
          <w:tab w:pos="1192" w:val="left" w:leader="none"/>
          <w:tab w:pos="1193" w:val="left" w:leader="none"/>
        </w:tabs>
        <w:spacing w:line="240" w:lineRule="auto" w:before="301" w:after="0"/>
        <w:ind w:left="1192" w:right="0" w:hanging="360"/>
        <w:jc w:val="left"/>
        <w:rPr>
          <w:sz w:val="38"/>
        </w:rPr>
      </w:pPr>
      <w:r>
        <w:rPr>
          <w:sz w:val="38"/>
        </w:rPr>
        <w:t>Increase in brain</w:t>
      </w:r>
      <w:r>
        <w:rPr>
          <w:spacing w:val="2"/>
          <w:sz w:val="38"/>
        </w:rPr>
        <w:t> </w:t>
      </w:r>
      <w:r>
        <w:rPr>
          <w:sz w:val="38"/>
        </w:rPr>
        <w:t>power,</w:t>
      </w:r>
    </w:p>
    <w:p>
      <w:pPr>
        <w:pStyle w:val="ListParagraph"/>
        <w:numPr>
          <w:ilvl w:val="1"/>
          <w:numId w:val="26"/>
        </w:numPr>
        <w:tabs>
          <w:tab w:pos="1192" w:val="left" w:leader="none"/>
          <w:tab w:pos="1193" w:val="left" w:leader="none"/>
        </w:tabs>
        <w:spacing w:line="240" w:lineRule="auto" w:before="64" w:after="0"/>
        <w:ind w:left="1192" w:right="0" w:hanging="360"/>
        <w:jc w:val="left"/>
        <w:rPr>
          <w:sz w:val="38"/>
        </w:rPr>
      </w:pPr>
      <w:r>
        <w:rPr>
          <w:sz w:val="38"/>
        </w:rPr>
        <w:t>improved learning and willingness to</w:t>
      </w:r>
      <w:r>
        <w:rPr>
          <w:spacing w:val="3"/>
          <w:sz w:val="38"/>
        </w:rPr>
        <w:t> </w:t>
      </w:r>
      <w:r>
        <w:rPr>
          <w:sz w:val="38"/>
        </w:rPr>
        <w:t>learn,</w:t>
      </w:r>
    </w:p>
    <w:p>
      <w:pPr>
        <w:pStyle w:val="ListParagraph"/>
        <w:numPr>
          <w:ilvl w:val="1"/>
          <w:numId w:val="26"/>
        </w:numPr>
        <w:tabs>
          <w:tab w:pos="1192" w:val="left" w:leader="none"/>
          <w:tab w:pos="1193" w:val="left" w:leader="none"/>
        </w:tabs>
        <w:spacing w:line="240" w:lineRule="auto" w:before="66" w:after="0"/>
        <w:ind w:left="1192" w:right="0" w:hanging="360"/>
        <w:jc w:val="left"/>
        <w:rPr>
          <w:sz w:val="38"/>
        </w:rPr>
      </w:pPr>
      <w:r>
        <w:rPr>
          <w:sz w:val="38"/>
        </w:rPr>
        <w:t>improved memory capability (memory</w:t>
      </w:r>
      <w:r>
        <w:rPr>
          <w:spacing w:val="1"/>
          <w:sz w:val="38"/>
        </w:rPr>
        <w:t> </w:t>
      </w:r>
      <w:r>
        <w:rPr>
          <w:sz w:val="38"/>
        </w:rPr>
        <w:t>optimisation),</w:t>
      </w:r>
    </w:p>
    <w:p>
      <w:pPr>
        <w:pStyle w:val="ListParagraph"/>
        <w:numPr>
          <w:ilvl w:val="1"/>
          <w:numId w:val="26"/>
        </w:numPr>
        <w:tabs>
          <w:tab w:pos="1192" w:val="left" w:leader="none"/>
          <w:tab w:pos="1193" w:val="left" w:leader="none"/>
        </w:tabs>
        <w:spacing w:line="240" w:lineRule="auto" w:before="64" w:after="0"/>
        <w:ind w:left="1192" w:right="0" w:hanging="360"/>
        <w:jc w:val="left"/>
        <w:rPr>
          <w:sz w:val="38"/>
        </w:rPr>
      </w:pPr>
      <w:r>
        <w:rPr>
          <w:sz w:val="38"/>
        </w:rPr>
        <w:t>improved ability to</w:t>
      </w:r>
      <w:r>
        <w:rPr>
          <w:spacing w:val="1"/>
          <w:sz w:val="38"/>
        </w:rPr>
        <w:t> </w:t>
      </w:r>
      <w:r>
        <w:rPr>
          <w:sz w:val="38"/>
        </w:rPr>
        <w:t>concentrate,</w:t>
      </w:r>
    </w:p>
    <w:p>
      <w:pPr>
        <w:pStyle w:val="ListParagraph"/>
        <w:numPr>
          <w:ilvl w:val="1"/>
          <w:numId w:val="26"/>
        </w:numPr>
        <w:tabs>
          <w:tab w:pos="1192" w:val="left" w:leader="none"/>
          <w:tab w:pos="1193" w:val="left" w:leader="none"/>
        </w:tabs>
        <w:spacing w:line="240" w:lineRule="auto" w:before="63" w:after="0"/>
        <w:ind w:left="1192" w:right="0" w:hanging="360"/>
        <w:jc w:val="left"/>
        <w:rPr>
          <w:sz w:val="38"/>
        </w:rPr>
      </w:pPr>
      <w:r>
        <w:rPr>
          <w:sz w:val="38"/>
        </w:rPr>
        <w:t>counteracting apathy,</w:t>
      </w:r>
    </w:p>
    <w:p>
      <w:pPr>
        <w:pStyle w:val="ListParagraph"/>
        <w:numPr>
          <w:ilvl w:val="1"/>
          <w:numId w:val="26"/>
        </w:numPr>
        <w:tabs>
          <w:tab w:pos="1192" w:val="left" w:leader="none"/>
          <w:tab w:pos="1193" w:val="left" w:leader="none"/>
        </w:tabs>
        <w:spacing w:line="240" w:lineRule="auto" w:before="64" w:after="0"/>
        <w:ind w:left="1192" w:right="0" w:hanging="360"/>
        <w:jc w:val="left"/>
        <w:rPr>
          <w:sz w:val="38"/>
        </w:rPr>
      </w:pPr>
      <w:r>
        <w:rPr>
          <w:sz w:val="38"/>
        </w:rPr>
        <w:t>improving mood,</w:t>
      </w:r>
    </w:p>
    <w:p>
      <w:pPr>
        <w:pStyle w:val="ListParagraph"/>
        <w:numPr>
          <w:ilvl w:val="1"/>
          <w:numId w:val="26"/>
        </w:numPr>
        <w:tabs>
          <w:tab w:pos="1192" w:val="left" w:leader="none"/>
          <w:tab w:pos="1193" w:val="left" w:leader="none"/>
        </w:tabs>
        <w:spacing w:line="240" w:lineRule="auto" w:before="64" w:after="0"/>
        <w:ind w:left="1192" w:right="0" w:hanging="360"/>
        <w:jc w:val="left"/>
        <w:rPr>
          <w:sz w:val="38"/>
        </w:rPr>
      </w:pPr>
      <w:r>
        <w:rPr>
          <w:sz w:val="38"/>
        </w:rPr>
        <w:t>optimisation of sleeping and waking</w:t>
      </w:r>
      <w:r>
        <w:rPr>
          <w:spacing w:val="4"/>
          <w:sz w:val="38"/>
        </w:rPr>
        <w:t> </w:t>
      </w:r>
      <w:r>
        <w:rPr>
          <w:sz w:val="38"/>
        </w:rPr>
        <w:t>phases,</w:t>
      </w:r>
    </w:p>
    <w:p>
      <w:pPr>
        <w:pStyle w:val="ListParagraph"/>
        <w:numPr>
          <w:ilvl w:val="1"/>
          <w:numId w:val="26"/>
        </w:numPr>
        <w:tabs>
          <w:tab w:pos="1192" w:val="left" w:leader="none"/>
          <w:tab w:pos="1193" w:val="left" w:leader="none"/>
        </w:tabs>
        <w:spacing w:line="240" w:lineRule="auto" w:before="66" w:after="0"/>
        <w:ind w:left="1192" w:right="0" w:hanging="360"/>
        <w:jc w:val="left"/>
        <w:rPr>
          <w:sz w:val="38"/>
        </w:rPr>
      </w:pPr>
      <w:r>
        <w:rPr>
          <w:sz w:val="38"/>
        </w:rPr>
        <w:t>increase in physical and mental</w:t>
      </w:r>
      <w:r>
        <w:rPr>
          <w:spacing w:val="1"/>
          <w:sz w:val="38"/>
        </w:rPr>
        <w:t> </w:t>
      </w:r>
      <w:r>
        <w:rPr>
          <w:sz w:val="38"/>
        </w:rPr>
        <w:t>energy,</w:t>
      </w:r>
    </w:p>
    <w:p>
      <w:pPr>
        <w:spacing w:after="0" w:line="240" w:lineRule="auto"/>
        <w:jc w:val="left"/>
        <w:rPr>
          <w:sz w:val="38"/>
        </w:rPr>
        <w:sectPr>
          <w:pgSz w:w="14270" w:h="16850"/>
          <w:pgMar w:header="0" w:footer="1891" w:top="1600" w:bottom="2080" w:left="800" w:right="1280"/>
        </w:sectPr>
      </w:pPr>
    </w:p>
    <w:p>
      <w:pPr>
        <w:pStyle w:val="BodyText"/>
        <w:spacing w:before="10"/>
        <w:rPr>
          <w:sz w:val="8"/>
        </w:rPr>
      </w:pPr>
    </w:p>
    <w:p>
      <w:pPr>
        <w:pStyle w:val="ListParagraph"/>
        <w:numPr>
          <w:ilvl w:val="1"/>
          <w:numId w:val="26"/>
        </w:numPr>
        <w:tabs>
          <w:tab w:pos="1192" w:val="left" w:leader="none"/>
          <w:tab w:pos="1193" w:val="left" w:leader="none"/>
        </w:tabs>
        <w:spacing w:line="240" w:lineRule="auto" w:before="83" w:after="0"/>
        <w:ind w:left="1192" w:right="0" w:hanging="360"/>
        <w:jc w:val="left"/>
        <w:rPr>
          <w:sz w:val="38"/>
        </w:rPr>
      </w:pPr>
      <w:r>
        <w:rPr>
          <w:sz w:val="38"/>
        </w:rPr>
        <w:t>partial reversal of existing ageing processes, especially in the</w:t>
      </w:r>
      <w:r>
        <w:rPr>
          <w:spacing w:val="-13"/>
          <w:sz w:val="38"/>
        </w:rPr>
        <w:t> </w:t>
      </w:r>
      <w:r>
        <w:rPr>
          <w:sz w:val="38"/>
        </w:rPr>
        <w:t>brain,</w:t>
      </w:r>
    </w:p>
    <w:p>
      <w:pPr>
        <w:pStyle w:val="ListParagraph"/>
        <w:numPr>
          <w:ilvl w:val="1"/>
          <w:numId w:val="26"/>
        </w:numPr>
        <w:tabs>
          <w:tab w:pos="1192" w:val="left" w:leader="none"/>
          <w:tab w:pos="1193" w:val="left" w:leader="none"/>
        </w:tabs>
        <w:spacing w:line="240" w:lineRule="auto" w:before="64" w:after="0"/>
        <w:ind w:left="1192" w:right="0" w:hanging="360"/>
        <w:jc w:val="left"/>
        <w:rPr>
          <w:sz w:val="38"/>
        </w:rPr>
      </w:pPr>
      <w:r>
        <w:rPr>
          <w:sz w:val="38"/>
        </w:rPr>
        <w:t>protection against new ageing processes (especially in the</w:t>
      </w:r>
      <w:r>
        <w:rPr>
          <w:spacing w:val="-6"/>
          <w:sz w:val="38"/>
        </w:rPr>
        <w:t> </w:t>
      </w:r>
      <w:r>
        <w:rPr>
          <w:sz w:val="38"/>
        </w:rPr>
        <w:t>brain),</w:t>
      </w:r>
    </w:p>
    <w:p>
      <w:pPr>
        <w:pStyle w:val="ListParagraph"/>
        <w:numPr>
          <w:ilvl w:val="1"/>
          <w:numId w:val="26"/>
        </w:numPr>
        <w:tabs>
          <w:tab w:pos="1192" w:val="left" w:leader="none"/>
          <w:tab w:pos="1193" w:val="left" w:leader="none"/>
        </w:tabs>
        <w:spacing w:line="240" w:lineRule="auto" w:before="66" w:after="0"/>
        <w:ind w:left="1192" w:right="0" w:hanging="360"/>
        <w:jc w:val="left"/>
        <w:rPr>
          <w:sz w:val="38"/>
        </w:rPr>
      </w:pPr>
      <w:r>
        <w:rPr>
          <w:sz w:val="38"/>
        </w:rPr>
        <w:t>strengthening of the entire connective tissue and skin</w:t>
      </w:r>
      <w:r>
        <w:rPr>
          <w:spacing w:val="-3"/>
          <w:sz w:val="38"/>
        </w:rPr>
        <w:t> </w:t>
      </w:r>
      <w:r>
        <w:rPr>
          <w:sz w:val="38"/>
        </w:rPr>
        <w:t>tightening.</w:t>
      </w:r>
    </w:p>
    <w:p>
      <w:pPr>
        <w:pStyle w:val="Heading1"/>
        <w:spacing w:before="164"/>
      </w:pPr>
      <w:r>
        <w:rPr/>
        <w:t>This is reflected positively in the following illnesses and pathologies:</w:t>
      </w:r>
    </w:p>
    <w:p>
      <w:pPr>
        <w:pStyle w:val="ListParagraph"/>
        <w:numPr>
          <w:ilvl w:val="0"/>
          <w:numId w:val="26"/>
        </w:numPr>
        <w:tabs>
          <w:tab w:pos="892" w:val="left" w:leader="none"/>
          <w:tab w:pos="893" w:val="left" w:leader="none"/>
        </w:tabs>
        <w:spacing w:line="240" w:lineRule="auto" w:before="301" w:after="0"/>
        <w:ind w:left="892" w:right="0" w:hanging="415"/>
        <w:jc w:val="left"/>
        <w:rPr>
          <w:sz w:val="38"/>
        </w:rPr>
      </w:pPr>
      <w:r>
        <w:rPr>
          <w:sz w:val="38"/>
        </w:rPr>
        <w:t>learning</w:t>
      </w:r>
      <w:r>
        <w:rPr>
          <w:spacing w:val="-11"/>
          <w:sz w:val="38"/>
        </w:rPr>
        <w:t> </w:t>
      </w:r>
      <w:r>
        <w:rPr>
          <w:sz w:val="38"/>
        </w:rPr>
        <w:t>difficulties</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poor</w:t>
      </w:r>
      <w:r>
        <w:rPr>
          <w:spacing w:val="-14"/>
          <w:sz w:val="38"/>
        </w:rPr>
        <w:t> </w:t>
      </w:r>
      <w:r>
        <w:rPr>
          <w:sz w:val="38"/>
        </w:rPr>
        <w:t>concentration</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memory impairment</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Alzheimer's</w:t>
      </w:r>
      <w:r>
        <w:rPr>
          <w:spacing w:val="-3"/>
          <w:sz w:val="38"/>
        </w:rPr>
        <w:t> </w:t>
      </w:r>
      <w:r>
        <w:rPr>
          <w:sz w:val="38"/>
        </w:rPr>
        <w:t>disease</w:t>
      </w:r>
    </w:p>
    <w:p>
      <w:pPr>
        <w:pStyle w:val="ListParagraph"/>
        <w:numPr>
          <w:ilvl w:val="0"/>
          <w:numId w:val="26"/>
        </w:numPr>
        <w:tabs>
          <w:tab w:pos="892" w:val="left" w:leader="none"/>
          <w:tab w:pos="893" w:val="left" w:leader="none"/>
        </w:tabs>
        <w:spacing w:line="240" w:lineRule="auto" w:before="63" w:after="0"/>
        <w:ind w:left="892" w:right="0" w:hanging="415"/>
        <w:jc w:val="left"/>
        <w:rPr>
          <w:sz w:val="38"/>
        </w:rPr>
      </w:pPr>
      <w:r>
        <w:rPr>
          <w:sz w:val="38"/>
        </w:rPr>
        <w:t>dementia/senile</w:t>
      </w:r>
      <w:r>
        <w:rPr>
          <w:spacing w:val="-2"/>
          <w:sz w:val="38"/>
        </w:rPr>
        <w:t> </w:t>
      </w:r>
      <w:r>
        <w:rPr>
          <w:sz w:val="38"/>
        </w:rPr>
        <w:t>dementia</w:t>
      </w:r>
    </w:p>
    <w:p>
      <w:pPr>
        <w:pStyle w:val="ListParagraph"/>
        <w:numPr>
          <w:ilvl w:val="0"/>
          <w:numId w:val="26"/>
        </w:numPr>
        <w:tabs>
          <w:tab w:pos="892" w:val="left" w:leader="none"/>
          <w:tab w:pos="893" w:val="left" w:leader="none"/>
        </w:tabs>
        <w:spacing w:line="240" w:lineRule="auto" w:before="66" w:after="0"/>
        <w:ind w:left="892" w:right="0" w:hanging="415"/>
        <w:jc w:val="left"/>
        <w:rPr>
          <w:sz w:val="38"/>
        </w:rPr>
      </w:pPr>
      <w:r>
        <w:rPr>
          <w:sz w:val="38"/>
        </w:rPr>
        <w:t>apathy</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depression</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insomnia</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chronic fatigue</w:t>
      </w:r>
    </w:p>
    <w:p>
      <w:pPr>
        <w:pStyle w:val="ListParagraph"/>
        <w:numPr>
          <w:ilvl w:val="0"/>
          <w:numId w:val="26"/>
        </w:numPr>
        <w:tabs>
          <w:tab w:pos="892" w:val="left" w:leader="none"/>
          <w:tab w:pos="893" w:val="left" w:leader="none"/>
        </w:tabs>
        <w:spacing w:line="240" w:lineRule="auto" w:before="66" w:after="0"/>
        <w:ind w:left="892" w:right="0" w:hanging="415"/>
        <w:jc w:val="left"/>
        <w:rPr>
          <w:sz w:val="38"/>
        </w:rPr>
      </w:pPr>
      <w:r>
        <w:rPr>
          <w:sz w:val="38"/>
        </w:rPr>
        <w:t>late dyskinesia (dyskinesia</w:t>
      </w:r>
      <w:r>
        <w:rPr>
          <w:spacing w:val="-4"/>
          <w:sz w:val="38"/>
        </w:rPr>
        <w:t> </w:t>
      </w:r>
      <w:r>
        <w:rPr>
          <w:sz w:val="38"/>
        </w:rPr>
        <w:t>tarda)</w:t>
      </w:r>
    </w:p>
    <w:p>
      <w:pPr>
        <w:pStyle w:val="ListParagraph"/>
        <w:numPr>
          <w:ilvl w:val="0"/>
          <w:numId w:val="26"/>
        </w:numPr>
        <w:tabs>
          <w:tab w:pos="892" w:val="left" w:leader="none"/>
          <w:tab w:pos="893" w:val="left" w:leader="none"/>
        </w:tabs>
        <w:spacing w:line="240" w:lineRule="auto" w:before="63" w:after="0"/>
        <w:ind w:left="892" w:right="0" w:hanging="415"/>
        <w:jc w:val="left"/>
        <w:rPr>
          <w:sz w:val="38"/>
        </w:rPr>
      </w:pPr>
      <w:r>
        <w:rPr>
          <w:sz w:val="38"/>
        </w:rPr>
        <w:t>akathisia</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brain ageing</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depressive</w:t>
      </w:r>
      <w:r>
        <w:rPr>
          <w:spacing w:val="-2"/>
          <w:sz w:val="38"/>
        </w:rPr>
        <w:t> </w:t>
      </w:r>
      <w:r>
        <w:rPr>
          <w:sz w:val="38"/>
        </w:rPr>
        <w:t>states</w:t>
      </w:r>
    </w:p>
    <w:p>
      <w:pPr>
        <w:pStyle w:val="ListParagraph"/>
        <w:numPr>
          <w:ilvl w:val="0"/>
          <w:numId w:val="26"/>
        </w:numPr>
        <w:tabs>
          <w:tab w:pos="892" w:val="left" w:leader="none"/>
          <w:tab w:pos="893" w:val="left" w:leader="none"/>
        </w:tabs>
        <w:spacing w:line="240" w:lineRule="auto" w:before="63" w:after="0"/>
        <w:ind w:left="892" w:right="0" w:hanging="415"/>
        <w:jc w:val="left"/>
        <w:rPr>
          <w:sz w:val="38"/>
        </w:rPr>
      </w:pPr>
      <w:r>
        <w:rPr>
          <w:sz w:val="38"/>
        </w:rPr>
        <w:t>ADHD/attention deficit</w:t>
      </w:r>
    </w:p>
    <w:p>
      <w:pPr>
        <w:pStyle w:val="ListParagraph"/>
        <w:numPr>
          <w:ilvl w:val="0"/>
          <w:numId w:val="26"/>
        </w:numPr>
        <w:tabs>
          <w:tab w:pos="892" w:val="left" w:leader="none"/>
          <w:tab w:pos="893" w:val="left" w:leader="none"/>
        </w:tabs>
        <w:spacing w:line="240" w:lineRule="auto" w:before="66" w:after="0"/>
        <w:ind w:left="892" w:right="0" w:hanging="415"/>
        <w:jc w:val="left"/>
        <w:rPr>
          <w:sz w:val="38"/>
        </w:rPr>
      </w:pPr>
      <w:r>
        <w:rPr>
          <w:sz w:val="38"/>
        </w:rPr>
        <w:t>hyperactivity</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hyperkinesis</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skin</w:t>
      </w:r>
      <w:r>
        <w:rPr>
          <w:spacing w:val="-3"/>
          <w:sz w:val="38"/>
        </w:rPr>
        <w:t> </w:t>
      </w:r>
      <w:r>
        <w:rPr>
          <w:sz w:val="38"/>
        </w:rPr>
        <w:t>ageing</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ageing</w:t>
      </w:r>
      <w:r>
        <w:rPr>
          <w:spacing w:val="-3"/>
          <w:sz w:val="38"/>
        </w:rPr>
        <w:t> </w:t>
      </w:r>
      <w:r>
        <w:rPr>
          <w:sz w:val="38"/>
        </w:rPr>
        <w:t>spots</w:t>
      </w:r>
    </w:p>
    <w:p>
      <w:pPr>
        <w:spacing w:after="0" w:line="240" w:lineRule="auto"/>
        <w:jc w:val="left"/>
        <w:rPr>
          <w:sz w:val="38"/>
        </w:rPr>
        <w:sectPr>
          <w:pgSz w:w="14270" w:h="16850"/>
          <w:pgMar w:header="0" w:footer="1891" w:top="1600" w:bottom="2080" w:left="800" w:right="1280"/>
        </w:sectPr>
      </w:pPr>
    </w:p>
    <w:p>
      <w:pPr>
        <w:pStyle w:val="BodyText"/>
        <w:spacing w:before="10"/>
        <w:rPr>
          <w:sz w:val="8"/>
        </w:rPr>
      </w:pPr>
    </w:p>
    <w:p>
      <w:pPr>
        <w:pStyle w:val="ListParagraph"/>
        <w:numPr>
          <w:ilvl w:val="0"/>
          <w:numId w:val="26"/>
        </w:numPr>
        <w:tabs>
          <w:tab w:pos="892" w:val="left" w:leader="none"/>
          <w:tab w:pos="893" w:val="left" w:leader="none"/>
        </w:tabs>
        <w:spacing w:line="240" w:lineRule="auto" w:before="83" w:after="0"/>
        <w:ind w:left="892" w:right="0" w:hanging="415"/>
        <w:jc w:val="left"/>
        <w:rPr>
          <w:sz w:val="38"/>
        </w:rPr>
      </w:pPr>
      <w:r>
        <w:rPr>
          <w:sz w:val="38"/>
        </w:rPr>
        <w:t>connective tissue weakness</w:t>
      </w:r>
    </w:p>
    <w:p>
      <w:pPr>
        <w:pStyle w:val="BodyText"/>
        <w:rPr>
          <w:sz w:val="44"/>
        </w:rPr>
      </w:pPr>
    </w:p>
    <w:p>
      <w:pPr>
        <w:pStyle w:val="BodyText"/>
        <w:spacing w:before="4"/>
        <w:rPr>
          <w:sz w:val="46"/>
        </w:rPr>
      </w:pPr>
    </w:p>
    <w:p>
      <w:pPr>
        <w:pStyle w:val="Heading1"/>
        <w:spacing w:before="0"/>
      </w:pPr>
      <w:r>
        <w:rPr/>
        <w:t>Performance enhancing effect of DMAE on the brain</w:t>
      </w:r>
    </w:p>
    <w:p>
      <w:pPr>
        <w:pStyle w:val="BodyText"/>
        <w:spacing w:line="276" w:lineRule="auto" w:before="300"/>
        <w:ind w:left="477" w:right="133"/>
        <w:jc w:val="both"/>
      </w:pPr>
      <w:r>
        <w:rPr/>
        <w:t>By increasing the messenger substances in the brain, especially neurotransmit- ters such as acetylcholine, the transmission of nerve impulses is improved. DMAE also improves the interaction and thus the synchronisation of the two halves of the brain, which can thus accomplish their tasks more efficiently in harmony.</w:t>
      </w:r>
      <w:r>
        <w:rPr>
          <w:spacing w:val="-10"/>
        </w:rPr>
        <w:t> </w:t>
      </w:r>
      <w:r>
        <w:rPr/>
        <w:t>The</w:t>
      </w:r>
      <w:r>
        <w:rPr>
          <w:spacing w:val="-9"/>
        </w:rPr>
        <w:t> </w:t>
      </w:r>
      <w:r>
        <w:rPr/>
        <w:t>neuromotor</w:t>
      </w:r>
      <w:r>
        <w:rPr>
          <w:spacing w:val="-6"/>
        </w:rPr>
        <w:t> </w:t>
      </w:r>
      <w:r>
        <w:rPr/>
        <w:t>control</w:t>
      </w:r>
      <w:r>
        <w:rPr>
          <w:spacing w:val="-8"/>
        </w:rPr>
        <w:t> </w:t>
      </w:r>
      <w:r>
        <w:rPr/>
        <w:t>is</w:t>
      </w:r>
      <w:r>
        <w:rPr>
          <w:spacing w:val="-9"/>
        </w:rPr>
        <w:t> </w:t>
      </w:r>
      <w:r>
        <w:rPr/>
        <w:t>increased,</w:t>
      </w:r>
      <w:r>
        <w:rPr>
          <w:spacing w:val="-7"/>
        </w:rPr>
        <w:t> </w:t>
      </w:r>
      <w:r>
        <w:rPr/>
        <w:t>and</w:t>
      </w:r>
      <w:r>
        <w:rPr>
          <w:spacing w:val="-8"/>
        </w:rPr>
        <w:t> </w:t>
      </w:r>
      <w:r>
        <w:rPr/>
        <w:t>the</w:t>
      </w:r>
      <w:r>
        <w:rPr>
          <w:spacing w:val="-8"/>
        </w:rPr>
        <w:t> </w:t>
      </w:r>
      <w:r>
        <w:rPr/>
        <w:t>brain</w:t>
      </w:r>
      <w:r>
        <w:rPr>
          <w:spacing w:val="-9"/>
        </w:rPr>
        <w:t> </w:t>
      </w:r>
      <w:r>
        <w:rPr/>
        <w:t>performance</w:t>
      </w:r>
      <w:r>
        <w:rPr>
          <w:spacing w:val="-8"/>
        </w:rPr>
        <w:t> </w:t>
      </w:r>
      <w:r>
        <w:rPr/>
        <w:t>and brain functions are</w:t>
      </w:r>
      <w:r>
        <w:rPr>
          <w:spacing w:val="-1"/>
        </w:rPr>
        <w:t> </w:t>
      </w:r>
      <w:r>
        <w:rPr/>
        <w:t>optimised.</w:t>
      </w:r>
    </w:p>
    <w:p>
      <w:pPr>
        <w:pStyle w:val="BodyText"/>
        <w:rPr>
          <w:sz w:val="42"/>
        </w:rPr>
      </w:pPr>
    </w:p>
    <w:p>
      <w:pPr>
        <w:pStyle w:val="BodyText"/>
        <w:spacing w:before="10"/>
        <w:rPr>
          <w:sz w:val="42"/>
        </w:rPr>
      </w:pPr>
    </w:p>
    <w:p>
      <w:pPr>
        <w:pStyle w:val="Heading1"/>
        <w:spacing w:before="0"/>
        <w:jc w:val="both"/>
      </w:pPr>
      <w:r>
        <w:rPr/>
        <w:t>Consequences of the performance-enhancing effect on the brain</w:t>
      </w:r>
    </w:p>
    <w:p>
      <w:pPr>
        <w:pStyle w:val="BodyText"/>
        <w:spacing w:before="299"/>
        <w:ind w:left="477"/>
        <w:jc w:val="both"/>
      </w:pPr>
      <w:r>
        <w:rPr/>
        <w:t>The increase in brain performance has a positive effect on:</w:t>
      </w:r>
    </w:p>
    <w:p>
      <w:pPr>
        <w:pStyle w:val="ListParagraph"/>
        <w:numPr>
          <w:ilvl w:val="1"/>
          <w:numId w:val="26"/>
        </w:numPr>
        <w:tabs>
          <w:tab w:pos="1197" w:val="left" w:leader="none"/>
          <w:tab w:pos="1198" w:val="left" w:leader="none"/>
        </w:tabs>
        <w:spacing w:line="240" w:lineRule="auto" w:before="306" w:after="0"/>
        <w:ind w:left="1197" w:right="0" w:hanging="360"/>
        <w:jc w:val="left"/>
        <w:rPr>
          <w:sz w:val="38"/>
        </w:rPr>
      </w:pPr>
      <w:r>
        <w:rPr>
          <w:sz w:val="38"/>
        </w:rPr>
        <w:t>the</w:t>
      </w:r>
      <w:r>
        <w:rPr>
          <w:spacing w:val="1"/>
          <w:sz w:val="38"/>
        </w:rPr>
        <w:t> </w:t>
      </w:r>
      <w:r>
        <w:rPr>
          <w:sz w:val="38"/>
        </w:rPr>
        <w:t>memory,</w:t>
      </w:r>
    </w:p>
    <w:p>
      <w:pPr>
        <w:pStyle w:val="ListParagraph"/>
        <w:numPr>
          <w:ilvl w:val="1"/>
          <w:numId w:val="26"/>
        </w:numPr>
        <w:tabs>
          <w:tab w:pos="1197" w:val="left" w:leader="none"/>
          <w:tab w:pos="1198" w:val="left" w:leader="none"/>
        </w:tabs>
        <w:spacing w:line="240" w:lineRule="auto" w:before="64" w:after="0"/>
        <w:ind w:left="1197" w:right="0" w:hanging="360"/>
        <w:jc w:val="left"/>
        <w:rPr>
          <w:sz w:val="38"/>
        </w:rPr>
      </w:pPr>
      <w:r>
        <w:rPr>
          <w:sz w:val="38"/>
        </w:rPr>
        <w:t>general thinking</w:t>
      </w:r>
      <w:r>
        <w:rPr>
          <w:spacing w:val="-3"/>
          <w:sz w:val="38"/>
        </w:rPr>
        <w:t> </w:t>
      </w:r>
      <w:r>
        <w:rPr>
          <w:sz w:val="38"/>
        </w:rPr>
        <w:t>ability,</w:t>
      </w:r>
    </w:p>
    <w:p>
      <w:pPr>
        <w:pStyle w:val="ListParagraph"/>
        <w:numPr>
          <w:ilvl w:val="1"/>
          <w:numId w:val="26"/>
        </w:numPr>
        <w:tabs>
          <w:tab w:pos="1197" w:val="left" w:leader="none"/>
          <w:tab w:pos="1198" w:val="left" w:leader="none"/>
        </w:tabs>
        <w:spacing w:line="240" w:lineRule="auto" w:before="64" w:after="0"/>
        <w:ind w:left="1197" w:right="0" w:hanging="360"/>
        <w:jc w:val="left"/>
        <w:rPr>
          <w:sz w:val="38"/>
        </w:rPr>
      </w:pPr>
      <w:r>
        <w:rPr>
          <w:sz w:val="38"/>
        </w:rPr>
        <w:t>the ability to learn (for example, learning vocabulary is</w:t>
      </w:r>
      <w:r>
        <w:rPr>
          <w:spacing w:val="-2"/>
          <w:sz w:val="38"/>
        </w:rPr>
        <w:t> </w:t>
      </w:r>
      <w:r>
        <w:rPr>
          <w:sz w:val="38"/>
        </w:rPr>
        <w:t>easier),</w:t>
      </w:r>
    </w:p>
    <w:p>
      <w:pPr>
        <w:pStyle w:val="ListParagraph"/>
        <w:numPr>
          <w:ilvl w:val="1"/>
          <w:numId w:val="26"/>
        </w:numPr>
        <w:tabs>
          <w:tab w:pos="1197" w:val="left" w:leader="none"/>
          <w:tab w:pos="1198" w:val="left" w:leader="none"/>
        </w:tabs>
        <w:spacing w:line="240" w:lineRule="auto" w:before="63" w:after="0"/>
        <w:ind w:left="1197" w:right="0" w:hanging="360"/>
        <w:jc w:val="left"/>
        <w:rPr>
          <w:sz w:val="38"/>
        </w:rPr>
      </w:pPr>
      <w:r>
        <w:rPr>
          <w:sz w:val="38"/>
        </w:rPr>
        <w:t>the willingness to learn (is</w:t>
      </w:r>
      <w:r>
        <w:rPr>
          <w:spacing w:val="3"/>
          <w:sz w:val="38"/>
        </w:rPr>
        <w:t> </w:t>
      </w:r>
      <w:r>
        <w:rPr>
          <w:sz w:val="38"/>
        </w:rPr>
        <w:t>increased)</w:t>
      </w:r>
    </w:p>
    <w:p>
      <w:pPr>
        <w:pStyle w:val="ListParagraph"/>
        <w:numPr>
          <w:ilvl w:val="1"/>
          <w:numId w:val="26"/>
        </w:numPr>
        <w:tabs>
          <w:tab w:pos="1197" w:val="left" w:leader="none"/>
          <w:tab w:pos="1198" w:val="left" w:leader="none"/>
        </w:tabs>
        <w:spacing w:line="240" w:lineRule="auto" w:before="64" w:after="0"/>
        <w:ind w:left="1197" w:right="0" w:hanging="360"/>
        <w:jc w:val="left"/>
        <w:rPr>
          <w:sz w:val="38"/>
        </w:rPr>
      </w:pPr>
      <w:r>
        <w:rPr>
          <w:sz w:val="38"/>
        </w:rPr>
        <w:t>and the ability to</w:t>
      </w:r>
      <w:r>
        <w:rPr>
          <w:spacing w:val="2"/>
          <w:sz w:val="38"/>
        </w:rPr>
        <w:t> </w:t>
      </w:r>
      <w:r>
        <w:rPr>
          <w:sz w:val="38"/>
        </w:rPr>
        <w:t>concentrate.</w:t>
      </w:r>
    </w:p>
    <w:p>
      <w:pPr>
        <w:pStyle w:val="Heading1"/>
        <w:spacing w:before="288"/>
        <w:jc w:val="both"/>
      </w:pPr>
      <w:r>
        <w:rPr/>
        <w:t>Effect on sleep disorders</w:t>
      </w:r>
    </w:p>
    <w:p>
      <w:pPr>
        <w:pStyle w:val="BodyText"/>
        <w:spacing w:before="299"/>
        <w:ind w:left="477"/>
        <w:jc w:val="both"/>
      </w:pPr>
      <w:r>
        <w:rPr/>
        <w:t>DMAE ensures a healthy, deep sleep in the medium term by normalising the</w:t>
      </w:r>
    </w:p>
    <w:p>
      <w:pPr>
        <w:spacing w:after="0"/>
        <w:jc w:val="both"/>
        <w:sectPr>
          <w:pgSz w:w="14270" w:h="16850"/>
          <w:pgMar w:header="0" w:footer="1891" w:top="1600" w:bottom="2080" w:left="800" w:right="1280"/>
        </w:sectPr>
      </w:pPr>
    </w:p>
    <w:p>
      <w:pPr>
        <w:pStyle w:val="BodyText"/>
        <w:spacing w:line="276" w:lineRule="auto" w:before="181"/>
        <w:ind w:left="477" w:right="146"/>
        <w:jc w:val="both"/>
      </w:pPr>
      <w:r>
        <w:rPr/>
        <w:t>sleeping pattern. During the night your sleep is deep and relaxed, during the day, you are well-rested and rarely tired.</w:t>
      </w:r>
    </w:p>
    <w:p>
      <w:pPr>
        <w:pStyle w:val="Heading1"/>
      </w:pPr>
      <w:r>
        <w:rPr/>
        <w:t>Effect against depression</w:t>
      </w:r>
    </w:p>
    <w:p>
      <w:pPr>
        <w:pStyle w:val="BodyText"/>
        <w:spacing w:line="276" w:lineRule="auto" w:before="299"/>
        <w:ind w:left="477" w:right="139"/>
        <w:jc w:val="both"/>
      </w:pPr>
      <w:r>
        <w:rPr/>
        <w:t>Dimethylaminoethanol promotes the production of serotonin, which is also popularly known as the ‘happiness hormone’, and can help with depression.</w:t>
      </w:r>
    </w:p>
    <w:p>
      <w:pPr>
        <w:pStyle w:val="Heading1"/>
        <w:spacing w:before="222"/>
      </w:pPr>
      <w:r>
        <w:rPr/>
        <w:t>Effect on connective tissue and the</w:t>
      </w:r>
      <w:r>
        <w:rPr>
          <w:spacing w:val="-67"/>
        </w:rPr>
        <w:t> </w:t>
      </w:r>
      <w:r>
        <w:rPr/>
        <w:t>skin</w:t>
      </w:r>
    </w:p>
    <w:p>
      <w:pPr>
        <w:pStyle w:val="BodyText"/>
        <w:spacing w:line="276" w:lineRule="auto" w:before="299"/>
        <w:ind w:left="477" w:right="135"/>
        <w:jc w:val="both"/>
      </w:pPr>
      <w:r>
        <w:rPr/>
        <w:t>DMAE</w:t>
      </w:r>
      <w:r>
        <w:rPr>
          <w:spacing w:val="-17"/>
        </w:rPr>
        <w:t> </w:t>
      </w:r>
      <w:r>
        <w:rPr/>
        <w:t>has</w:t>
      </w:r>
      <w:r>
        <w:rPr>
          <w:spacing w:val="-16"/>
        </w:rPr>
        <w:t> </w:t>
      </w:r>
      <w:r>
        <w:rPr/>
        <w:t>a</w:t>
      </w:r>
      <w:r>
        <w:rPr>
          <w:spacing w:val="-18"/>
        </w:rPr>
        <w:t> </w:t>
      </w:r>
      <w:r>
        <w:rPr/>
        <w:t>positive</w:t>
      </w:r>
      <w:r>
        <w:rPr>
          <w:spacing w:val="-18"/>
        </w:rPr>
        <w:t> </w:t>
      </w:r>
      <w:r>
        <w:rPr/>
        <w:t>effect</w:t>
      </w:r>
      <w:r>
        <w:rPr>
          <w:spacing w:val="-16"/>
        </w:rPr>
        <w:t> </w:t>
      </w:r>
      <w:r>
        <w:rPr/>
        <w:t>on</w:t>
      </w:r>
      <w:r>
        <w:rPr>
          <w:spacing w:val="-16"/>
        </w:rPr>
        <w:t> </w:t>
      </w:r>
      <w:r>
        <w:rPr/>
        <w:t>the</w:t>
      </w:r>
      <w:r>
        <w:rPr>
          <w:spacing w:val="-15"/>
        </w:rPr>
        <w:t> </w:t>
      </w:r>
      <w:r>
        <w:rPr/>
        <w:t>connective</w:t>
      </w:r>
      <w:r>
        <w:rPr>
          <w:spacing w:val="-18"/>
        </w:rPr>
        <w:t> </w:t>
      </w:r>
      <w:r>
        <w:rPr/>
        <w:t>tissue's</w:t>
      </w:r>
      <w:r>
        <w:rPr>
          <w:spacing w:val="-16"/>
        </w:rPr>
        <w:t> </w:t>
      </w:r>
      <w:r>
        <w:rPr/>
        <w:t>cellular</w:t>
      </w:r>
      <w:r>
        <w:rPr>
          <w:spacing w:val="-17"/>
        </w:rPr>
        <w:t> </w:t>
      </w:r>
      <w:r>
        <w:rPr/>
        <w:t>structure</w:t>
      </w:r>
      <w:r>
        <w:rPr>
          <w:spacing w:val="-16"/>
        </w:rPr>
        <w:t> </w:t>
      </w:r>
      <w:r>
        <w:rPr/>
        <w:t>and</w:t>
      </w:r>
      <w:r>
        <w:rPr>
          <w:spacing w:val="-16"/>
        </w:rPr>
        <w:t> </w:t>
      </w:r>
      <w:r>
        <w:rPr/>
        <w:t>can thus keep our connective tissue, skin, tendons and ligaments taut, healthy and youthful, even in old age. The cosmetics industry has also got wind of this and now offers skin creams based on</w:t>
      </w:r>
      <w:r>
        <w:rPr>
          <w:spacing w:val="-1"/>
        </w:rPr>
        <w:t> </w:t>
      </w:r>
      <w:r>
        <w:rPr/>
        <w:t>DMAE.</w:t>
      </w:r>
    </w:p>
    <w:p>
      <w:pPr>
        <w:pStyle w:val="Heading1"/>
      </w:pPr>
      <w:r>
        <w:rPr/>
        <w:t>Effect as a natural anti-ageing</w:t>
      </w:r>
      <w:r>
        <w:rPr>
          <w:spacing w:val="-53"/>
        </w:rPr>
        <w:t> </w:t>
      </w:r>
      <w:r>
        <w:rPr/>
        <w:t>substance</w:t>
      </w:r>
    </w:p>
    <w:p>
      <w:pPr>
        <w:pStyle w:val="BodyText"/>
        <w:spacing w:line="276" w:lineRule="auto" w:before="298"/>
        <w:ind w:left="477" w:right="129"/>
        <w:jc w:val="both"/>
      </w:pPr>
      <w:r>
        <w:rPr/>
        <w:t>DMAE</w:t>
      </w:r>
      <w:r>
        <w:rPr>
          <w:spacing w:val="-11"/>
        </w:rPr>
        <w:t> </w:t>
      </w:r>
      <w:r>
        <w:rPr/>
        <w:t>can</w:t>
      </w:r>
      <w:r>
        <w:rPr>
          <w:spacing w:val="-10"/>
        </w:rPr>
        <w:t> </w:t>
      </w:r>
      <w:r>
        <w:rPr/>
        <w:t>confidently</w:t>
      </w:r>
      <w:r>
        <w:rPr>
          <w:spacing w:val="-11"/>
        </w:rPr>
        <w:t> </w:t>
      </w:r>
      <w:r>
        <w:rPr/>
        <w:t>be</w:t>
      </w:r>
      <w:r>
        <w:rPr>
          <w:spacing w:val="-10"/>
        </w:rPr>
        <w:t> </w:t>
      </w:r>
      <w:r>
        <w:rPr/>
        <w:t>described</w:t>
      </w:r>
      <w:r>
        <w:rPr>
          <w:spacing w:val="-11"/>
        </w:rPr>
        <w:t> </w:t>
      </w:r>
      <w:r>
        <w:rPr/>
        <w:t>as</w:t>
      </w:r>
      <w:r>
        <w:rPr>
          <w:spacing w:val="-11"/>
        </w:rPr>
        <w:t> </w:t>
      </w:r>
      <w:r>
        <w:rPr/>
        <w:t>a</w:t>
      </w:r>
      <w:r>
        <w:rPr>
          <w:spacing w:val="-11"/>
        </w:rPr>
        <w:t> </w:t>
      </w:r>
      <w:r>
        <w:rPr/>
        <w:t>‘fountain</w:t>
      </w:r>
      <w:r>
        <w:rPr>
          <w:spacing w:val="-10"/>
        </w:rPr>
        <w:t> </w:t>
      </w:r>
      <w:r>
        <w:rPr/>
        <w:t>of</w:t>
      </w:r>
      <w:r>
        <w:rPr>
          <w:spacing w:val="-11"/>
        </w:rPr>
        <w:t> </w:t>
      </w:r>
      <w:r>
        <w:rPr/>
        <w:t>youth</w:t>
      </w:r>
      <w:r>
        <w:rPr>
          <w:spacing w:val="-10"/>
        </w:rPr>
        <w:t> </w:t>
      </w:r>
      <w:r>
        <w:rPr/>
        <w:t>for</w:t>
      </w:r>
      <w:r>
        <w:rPr>
          <w:spacing w:val="-10"/>
        </w:rPr>
        <w:t> </w:t>
      </w:r>
      <w:r>
        <w:rPr/>
        <w:t>body</w:t>
      </w:r>
      <w:r>
        <w:rPr>
          <w:spacing w:val="-10"/>
        </w:rPr>
        <w:t> </w:t>
      </w:r>
      <w:r>
        <w:rPr/>
        <w:t>and</w:t>
      </w:r>
      <w:r>
        <w:rPr>
          <w:spacing w:val="-11"/>
        </w:rPr>
        <w:t> </w:t>
      </w:r>
      <w:r>
        <w:rPr/>
        <w:t>soul’. At a young age, the body produces enough DMAE itself. Unfortunately, with advancing</w:t>
      </w:r>
      <w:r>
        <w:rPr>
          <w:spacing w:val="-16"/>
        </w:rPr>
        <w:t> </w:t>
      </w:r>
      <w:r>
        <w:rPr/>
        <w:t>age,</w:t>
      </w:r>
      <w:r>
        <w:rPr>
          <w:spacing w:val="-15"/>
        </w:rPr>
        <w:t> </w:t>
      </w:r>
      <w:r>
        <w:rPr/>
        <w:t>this</w:t>
      </w:r>
      <w:r>
        <w:rPr>
          <w:spacing w:val="-16"/>
        </w:rPr>
        <w:t> </w:t>
      </w:r>
      <w:r>
        <w:rPr/>
        <w:t>production</w:t>
      </w:r>
      <w:r>
        <w:rPr>
          <w:spacing w:val="-16"/>
        </w:rPr>
        <w:t> </w:t>
      </w:r>
      <w:r>
        <w:rPr/>
        <w:t>diminishes,</w:t>
      </w:r>
      <w:r>
        <w:rPr>
          <w:spacing w:val="-15"/>
        </w:rPr>
        <w:t> </w:t>
      </w:r>
      <w:r>
        <w:rPr/>
        <w:t>resulting</w:t>
      </w:r>
      <w:r>
        <w:rPr>
          <w:spacing w:val="-16"/>
        </w:rPr>
        <w:t> </w:t>
      </w:r>
      <w:r>
        <w:rPr/>
        <w:t>in</w:t>
      </w:r>
      <w:r>
        <w:rPr>
          <w:spacing w:val="-18"/>
        </w:rPr>
        <w:t> </w:t>
      </w:r>
      <w:r>
        <w:rPr/>
        <w:t>membrane</w:t>
      </w:r>
      <w:r>
        <w:rPr>
          <w:spacing w:val="-18"/>
        </w:rPr>
        <w:t> </w:t>
      </w:r>
      <w:r>
        <w:rPr/>
        <w:t>damage.</w:t>
      </w:r>
      <w:r>
        <w:rPr>
          <w:spacing w:val="-15"/>
        </w:rPr>
        <w:t> </w:t>
      </w:r>
      <w:r>
        <w:rPr/>
        <w:t>This in</w:t>
      </w:r>
      <w:r>
        <w:rPr>
          <w:spacing w:val="-16"/>
        </w:rPr>
        <w:t> </w:t>
      </w:r>
      <w:r>
        <w:rPr/>
        <w:t>turn</w:t>
      </w:r>
      <w:r>
        <w:rPr>
          <w:spacing w:val="-16"/>
        </w:rPr>
        <w:t> </w:t>
      </w:r>
      <w:r>
        <w:rPr/>
        <w:t>means</w:t>
      </w:r>
      <w:r>
        <w:rPr>
          <w:spacing w:val="-16"/>
        </w:rPr>
        <w:t> </w:t>
      </w:r>
      <w:r>
        <w:rPr/>
        <w:t>that</w:t>
      </w:r>
      <w:r>
        <w:rPr>
          <w:spacing w:val="-17"/>
        </w:rPr>
        <w:t> </w:t>
      </w:r>
      <w:r>
        <w:rPr/>
        <w:t>cell</w:t>
      </w:r>
      <w:r>
        <w:rPr>
          <w:spacing w:val="-17"/>
        </w:rPr>
        <w:t> </w:t>
      </w:r>
      <w:r>
        <w:rPr/>
        <w:t>toxins</w:t>
      </w:r>
      <w:r>
        <w:rPr>
          <w:spacing w:val="-16"/>
        </w:rPr>
        <w:t> </w:t>
      </w:r>
      <w:r>
        <w:rPr/>
        <w:t>and</w:t>
      </w:r>
      <w:r>
        <w:rPr>
          <w:spacing w:val="-15"/>
        </w:rPr>
        <w:t> </w:t>
      </w:r>
      <w:r>
        <w:rPr/>
        <w:t>waste</w:t>
      </w:r>
      <w:r>
        <w:rPr>
          <w:spacing w:val="-16"/>
        </w:rPr>
        <w:t> </w:t>
      </w:r>
      <w:r>
        <w:rPr/>
        <w:t>can</w:t>
      </w:r>
      <w:r>
        <w:rPr>
          <w:spacing w:val="-15"/>
        </w:rPr>
        <w:t> </w:t>
      </w:r>
      <w:r>
        <w:rPr/>
        <w:t>no</w:t>
      </w:r>
      <w:r>
        <w:rPr>
          <w:spacing w:val="-17"/>
        </w:rPr>
        <w:t> </w:t>
      </w:r>
      <w:r>
        <w:rPr/>
        <w:t>longer</w:t>
      </w:r>
      <w:r>
        <w:rPr>
          <w:spacing w:val="-16"/>
        </w:rPr>
        <w:t> </w:t>
      </w:r>
      <w:r>
        <w:rPr/>
        <w:t>be</w:t>
      </w:r>
      <w:r>
        <w:rPr>
          <w:spacing w:val="-18"/>
        </w:rPr>
        <w:t> </w:t>
      </w:r>
      <w:r>
        <w:rPr/>
        <w:t>effectively</w:t>
      </w:r>
      <w:r>
        <w:rPr>
          <w:spacing w:val="-16"/>
        </w:rPr>
        <w:t> </w:t>
      </w:r>
      <w:r>
        <w:rPr/>
        <w:t>transported out of the body, which leads to cell</w:t>
      </w:r>
      <w:r>
        <w:rPr>
          <w:spacing w:val="-3"/>
        </w:rPr>
        <w:t> </w:t>
      </w:r>
      <w:r>
        <w:rPr/>
        <w:t>ageing.</w:t>
      </w:r>
    </w:p>
    <w:p>
      <w:pPr>
        <w:pStyle w:val="BodyText"/>
        <w:spacing w:line="276" w:lineRule="auto" w:before="241"/>
        <w:ind w:left="477" w:right="136"/>
        <w:jc w:val="both"/>
      </w:pPr>
      <w:r>
        <w:rPr/>
        <w:t>In the end, this also evokes the much-despised signs of ageing: brain perfor- mance diminishes, connective tissue relaxes, wrinkles set in, and the ratio of muscle to fat changes in favour of the latter.</w:t>
      </w:r>
    </w:p>
    <w:p>
      <w:pPr>
        <w:pStyle w:val="BodyText"/>
        <w:spacing w:before="240"/>
        <w:ind w:left="477"/>
        <w:jc w:val="both"/>
      </w:pPr>
      <w:r>
        <w:rPr/>
        <w:t>This ageing process, considered unavoidable until recently, can be counteracted</w:t>
      </w:r>
    </w:p>
    <w:p>
      <w:pPr>
        <w:spacing w:after="0"/>
        <w:jc w:val="both"/>
        <w:sectPr>
          <w:pgSz w:w="14270" w:h="16850"/>
          <w:pgMar w:header="0" w:footer="1891" w:top="1600" w:bottom="2080" w:left="800" w:right="1280"/>
        </w:sectPr>
      </w:pPr>
    </w:p>
    <w:p>
      <w:pPr>
        <w:pStyle w:val="BodyText"/>
        <w:spacing w:before="181"/>
        <w:ind w:left="477"/>
      </w:pPr>
      <w:r>
        <w:rPr/>
        <w:t>by targeted use of DMAE.</w:t>
      </w:r>
    </w:p>
    <w:p>
      <w:pPr>
        <w:pStyle w:val="BodyText"/>
        <w:spacing w:line="276" w:lineRule="auto" w:before="305"/>
        <w:ind w:left="477" w:right="135"/>
        <w:jc w:val="both"/>
      </w:pPr>
      <w:r>
        <w:rPr/>
        <w:t>The protection of cells and cell membranes (DMAE increases the resistance and the elasticity of the cells) prolongs their lifespan, which is soon reflected externally in the form of a firmer and wrinkle-free skin.</w:t>
      </w:r>
    </w:p>
    <w:p>
      <w:pPr>
        <w:pStyle w:val="BodyText"/>
        <w:spacing w:line="276" w:lineRule="auto" w:before="241"/>
        <w:ind w:left="477" w:right="133"/>
        <w:jc w:val="both"/>
      </w:pPr>
      <w:r>
        <w:rPr/>
        <w:t>But</w:t>
      </w:r>
      <w:r>
        <w:rPr>
          <w:spacing w:val="-23"/>
        </w:rPr>
        <w:t> </w:t>
      </w:r>
      <w:r>
        <w:rPr/>
        <w:t>the</w:t>
      </w:r>
      <w:r>
        <w:rPr>
          <w:spacing w:val="-20"/>
        </w:rPr>
        <w:t> </w:t>
      </w:r>
      <w:r>
        <w:rPr/>
        <w:t>internal</w:t>
      </w:r>
      <w:r>
        <w:rPr>
          <w:spacing w:val="-24"/>
        </w:rPr>
        <w:t> </w:t>
      </w:r>
      <w:r>
        <w:rPr/>
        <w:t>aspects</w:t>
      </w:r>
      <w:r>
        <w:rPr>
          <w:spacing w:val="-21"/>
        </w:rPr>
        <w:t> </w:t>
      </w:r>
      <w:r>
        <w:rPr/>
        <w:t>are</w:t>
      </w:r>
      <w:r>
        <w:rPr>
          <w:spacing w:val="-21"/>
        </w:rPr>
        <w:t> </w:t>
      </w:r>
      <w:r>
        <w:rPr/>
        <w:t>much</w:t>
      </w:r>
      <w:r>
        <w:rPr>
          <w:spacing w:val="-21"/>
        </w:rPr>
        <w:t> </w:t>
      </w:r>
      <w:r>
        <w:rPr/>
        <w:t>more</w:t>
      </w:r>
      <w:r>
        <w:rPr>
          <w:spacing w:val="-23"/>
        </w:rPr>
        <w:t> </w:t>
      </w:r>
      <w:r>
        <w:rPr/>
        <w:t>important,</w:t>
      </w:r>
      <w:r>
        <w:rPr>
          <w:spacing w:val="-21"/>
        </w:rPr>
        <w:t> </w:t>
      </w:r>
      <w:r>
        <w:rPr/>
        <w:t>such</w:t>
      </w:r>
      <w:r>
        <w:rPr>
          <w:spacing w:val="-23"/>
        </w:rPr>
        <w:t> </w:t>
      </w:r>
      <w:r>
        <w:rPr/>
        <w:t>as</w:t>
      </w:r>
      <w:r>
        <w:rPr>
          <w:spacing w:val="-21"/>
        </w:rPr>
        <w:t> </w:t>
      </w:r>
      <w:r>
        <w:rPr/>
        <w:t>our</w:t>
      </w:r>
      <w:r>
        <w:rPr>
          <w:spacing w:val="-23"/>
        </w:rPr>
        <w:t> </w:t>
      </w:r>
      <w:r>
        <w:rPr/>
        <w:t>organs,</w:t>
      </w:r>
      <w:r>
        <w:rPr>
          <w:spacing w:val="-22"/>
        </w:rPr>
        <w:t> </w:t>
      </w:r>
      <w:r>
        <w:rPr/>
        <w:t>the</w:t>
      </w:r>
      <w:r>
        <w:rPr>
          <w:spacing w:val="-21"/>
        </w:rPr>
        <w:t> </w:t>
      </w:r>
      <w:r>
        <w:rPr/>
        <w:t>brain, blood vessels and nerve cells, all of which benefit from DMAE and whose bi- ological</w:t>
      </w:r>
      <w:r>
        <w:rPr>
          <w:spacing w:val="-18"/>
        </w:rPr>
        <w:t> </w:t>
      </w:r>
      <w:r>
        <w:rPr/>
        <w:t>ageing</w:t>
      </w:r>
      <w:r>
        <w:rPr>
          <w:spacing w:val="-15"/>
        </w:rPr>
        <w:t> </w:t>
      </w:r>
      <w:r>
        <w:rPr/>
        <w:t>is</w:t>
      </w:r>
      <w:r>
        <w:rPr>
          <w:spacing w:val="-18"/>
        </w:rPr>
        <w:t> </w:t>
      </w:r>
      <w:r>
        <w:rPr/>
        <w:t>delayed.</w:t>
      </w:r>
      <w:r>
        <w:rPr>
          <w:spacing w:val="-16"/>
        </w:rPr>
        <w:t> </w:t>
      </w:r>
      <w:r>
        <w:rPr/>
        <w:t>In</w:t>
      </w:r>
      <w:r>
        <w:rPr>
          <w:spacing w:val="-16"/>
        </w:rPr>
        <w:t> </w:t>
      </w:r>
      <w:r>
        <w:rPr/>
        <w:t>particular,</w:t>
      </w:r>
      <w:r>
        <w:rPr>
          <w:spacing w:val="-17"/>
        </w:rPr>
        <w:t> </w:t>
      </w:r>
      <w:r>
        <w:rPr/>
        <w:t>the</w:t>
      </w:r>
      <w:r>
        <w:rPr>
          <w:spacing w:val="-15"/>
        </w:rPr>
        <w:t> </w:t>
      </w:r>
      <w:r>
        <w:rPr/>
        <w:t>heart,</w:t>
      </w:r>
      <w:r>
        <w:rPr>
          <w:spacing w:val="-20"/>
        </w:rPr>
        <w:t> </w:t>
      </w:r>
      <w:r>
        <w:rPr/>
        <w:t>kidneys</w:t>
      </w:r>
      <w:r>
        <w:rPr>
          <w:spacing w:val="-16"/>
        </w:rPr>
        <w:t> </w:t>
      </w:r>
      <w:r>
        <w:rPr/>
        <w:t>and</w:t>
      </w:r>
      <w:r>
        <w:rPr>
          <w:spacing w:val="-16"/>
        </w:rPr>
        <w:t> </w:t>
      </w:r>
      <w:r>
        <w:rPr/>
        <w:t>liver</w:t>
      </w:r>
      <w:r>
        <w:rPr>
          <w:spacing w:val="-18"/>
        </w:rPr>
        <w:t> </w:t>
      </w:r>
      <w:r>
        <w:rPr/>
        <w:t>are</w:t>
      </w:r>
      <w:r>
        <w:rPr>
          <w:spacing w:val="-16"/>
        </w:rPr>
        <w:t> </w:t>
      </w:r>
      <w:r>
        <w:rPr/>
        <w:t>strength- ened, which on its own, according to statistics, results in significant life exten- sion. Apathy, senile dementia and Alzheimer's are counteracted.</w:t>
      </w:r>
    </w:p>
    <w:p>
      <w:pPr>
        <w:pStyle w:val="Heading1"/>
        <w:spacing w:before="223"/>
      </w:pPr>
      <w:r>
        <w:rPr/>
        <w:t>Effect of DMAE on age spots</w:t>
      </w:r>
    </w:p>
    <w:p>
      <w:pPr>
        <w:pStyle w:val="BodyText"/>
        <w:spacing w:line="276" w:lineRule="auto" w:before="299"/>
        <w:ind w:left="477" w:right="140"/>
        <w:jc w:val="both"/>
      </w:pPr>
      <w:r>
        <w:rPr/>
        <w:t>While age spots on the skin damage appearance, age spots also occur in the heart and brain. DMAE knows how to stop these mechanisms, both in our internal organs and on the skin!</w:t>
      </w:r>
    </w:p>
    <w:p>
      <w:pPr>
        <w:pStyle w:val="BodyText"/>
        <w:rPr>
          <w:sz w:val="42"/>
        </w:rPr>
      </w:pPr>
    </w:p>
    <w:p>
      <w:pPr>
        <w:pStyle w:val="BodyText"/>
        <w:spacing w:before="4"/>
        <w:rPr>
          <w:sz w:val="44"/>
        </w:rPr>
      </w:pPr>
    </w:p>
    <w:p>
      <w:pPr>
        <w:pStyle w:val="Heading2"/>
      </w:pPr>
      <w:r>
        <w:rPr/>
        <w:t>DMAE studies</w:t>
      </w:r>
    </w:p>
    <w:p>
      <w:pPr>
        <w:spacing w:before="287"/>
        <w:ind w:left="477" w:right="0" w:firstLine="0"/>
        <w:jc w:val="left"/>
        <w:rPr>
          <w:b/>
          <w:i/>
          <w:sz w:val="40"/>
        </w:rPr>
      </w:pPr>
      <w:r>
        <w:rPr>
          <w:b/>
          <w:i/>
          <w:sz w:val="40"/>
        </w:rPr>
        <w:t>Study on the effects of DMAE on depression and fatigue</w:t>
      </w:r>
    </w:p>
    <w:p>
      <w:pPr>
        <w:pStyle w:val="BodyText"/>
        <w:spacing w:line="276" w:lineRule="auto" w:before="299"/>
        <w:ind w:left="477" w:right="137"/>
        <w:jc w:val="both"/>
      </w:pPr>
      <w:r>
        <w:rPr/>
        <w:t>A</w:t>
      </w:r>
      <w:r>
        <w:rPr>
          <w:spacing w:val="-19"/>
        </w:rPr>
        <w:t> </w:t>
      </w:r>
      <w:r>
        <w:rPr/>
        <w:t>study</w:t>
      </w:r>
      <w:r>
        <w:rPr>
          <w:spacing w:val="-18"/>
        </w:rPr>
        <w:t> </w:t>
      </w:r>
      <w:r>
        <w:rPr/>
        <w:t>on</w:t>
      </w:r>
      <w:r>
        <w:rPr>
          <w:spacing w:val="-18"/>
        </w:rPr>
        <w:t> </w:t>
      </w:r>
      <w:r>
        <w:rPr/>
        <w:t>100</w:t>
      </w:r>
      <w:r>
        <w:rPr>
          <w:spacing w:val="-19"/>
        </w:rPr>
        <w:t> </w:t>
      </w:r>
      <w:r>
        <w:rPr/>
        <w:t>subjects</w:t>
      </w:r>
      <w:r>
        <w:rPr>
          <w:spacing w:val="-17"/>
        </w:rPr>
        <w:t> </w:t>
      </w:r>
      <w:r>
        <w:rPr/>
        <w:t>showed</w:t>
      </w:r>
      <w:r>
        <w:rPr>
          <w:spacing w:val="-19"/>
        </w:rPr>
        <w:t> </w:t>
      </w:r>
      <w:r>
        <w:rPr/>
        <w:t>that</w:t>
      </w:r>
      <w:r>
        <w:rPr>
          <w:spacing w:val="-18"/>
        </w:rPr>
        <w:t> </w:t>
      </w:r>
      <w:r>
        <w:rPr/>
        <w:t>DMAE</w:t>
      </w:r>
      <w:r>
        <w:rPr>
          <w:spacing w:val="-18"/>
        </w:rPr>
        <w:t> </w:t>
      </w:r>
      <w:r>
        <w:rPr/>
        <w:t>fights</w:t>
      </w:r>
      <w:r>
        <w:rPr>
          <w:spacing w:val="-18"/>
        </w:rPr>
        <w:t> </w:t>
      </w:r>
      <w:r>
        <w:rPr/>
        <w:t>mild</w:t>
      </w:r>
      <w:r>
        <w:rPr>
          <w:spacing w:val="-19"/>
        </w:rPr>
        <w:t> </w:t>
      </w:r>
      <w:r>
        <w:rPr/>
        <w:t>depression</w:t>
      </w:r>
      <w:r>
        <w:rPr>
          <w:spacing w:val="-14"/>
        </w:rPr>
        <w:t> </w:t>
      </w:r>
      <w:r>
        <w:rPr/>
        <w:t>and</w:t>
      </w:r>
      <w:r>
        <w:rPr>
          <w:spacing w:val="-18"/>
        </w:rPr>
        <w:t> </w:t>
      </w:r>
      <w:r>
        <w:rPr/>
        <w:t>fatigue; sleep also</w:t>
      </w:r>
      <w:r>
        <w:rPr>
          <w:spacing w:val="2"/>
        </w:rPr>
        <w:t> </w:t>
      </w:r>
      <w:r>
        <w:rPr/>
        <w:t>improved.</w:t>
      </w:r>
    </w:p>
    <w:p>
      <w:pPr>
        <w:pStyle w:val="Heading1"/>
        <w:spacing w:before="222"/>
        <w:jc w:val="both"/>
      </w:pPr>
      <w:r>
        <w:rPr/>
        <w:t>DMAE dissolves harmful protein deposits in the brain in studies</w:t>
      </w:r>
    </w:p>
    <w:p>
      <w:pPr>
        <w:spacing w:after="0"/>
        <w:jc w:val="both"/>
        <w:sectPr>
          <w:pgSz w:w="14270" w:h="16850"/>
          <w:pgMar w:header="0" w:footer="1891" w:top="1600" w:bottom="2080" w:left="800" w:right="1280"/>
        </w:sectPr>
      </w:pPr>
    </w:p>
    <w:p>
      <w:pPr>
        <w:pStyle w:val="BodyText"/>
        <w:spacing w:line="276" w:lineRule="auto" w:before="181"/>
        <w:ind w:left="477" w:right="140"/>
        <w:jc w:val="both"/>
      </w:pPr>
      <w:r>
        <w:rPr/>
        <w:t>In</w:t>
      </w:r>
      <w:r>
        <w:rPr>
          <w:spacing w:val="-11"/>
        </w:rPr>
        <w:t> </w:t>
      </w:r>
      <w:r>
        <w:rPr/>
        <w:t>an</w:t>
      </w:r>
      <w:r>
        <w:rPr>
          <w:spacing w:val="-11"/>
        </w:rPr>
        <w:t> </w:t>
      </w:r>
      <w:r>
        <w:rPr/>
        <w:t>animal</w:t>
      </w:r>
      <w:r>
        <w:rPr>
          <w:spacing w:val="-13"/>
        </w:rPr>
        <w:t> </w:t>
      </w:r>
      <w:r>
        <w:rPr/>
        <w:t>study,</w:t>
      </w:r>
      <w:r>
        <w:rPr>
          <w:spacing w:val="-11"/>
        </w:rPr>
        <w:t> </w:t>
      </w:r>
      <w:r>
        <w:rPr/>
        <w:t>it</w:t>
      </w:r>
      <w:r>
        <w:rPr>
          <w:spacing w:val="-13"/>
        </w:rPr>
        <w:t> </w:t>
      </w:r>
      <w:r>
        <w:rPr/>
        <w:t>has</w:t>
      </w:r>
      <w:r>
        <w:rPr>
          <w:spacing w:val="-11"/>
        </w:rPr>
        <w:t> </w:t>
      </w:r>
      <w:r>
        <w:rPr/>
        <w:t>been</w:t>
      </w:r>
      <w:r>
        <w:rPr>
          <w:spacing w:val="-11"/>
        </w:rPr>
        <w:t> </w:t>
      </w:r>
      <w:r>
        <w:rPr/>
        <w:t>demonstrated</w:t>
      </w:r>
      <w:r>
        <w:rPr>
          <w:spacing w:val="-12"/>
        </w:rPr>
        <w:t> </w:t>
      </w:r>
      <w:r>
        <w:rPr/>
        <w:t>that</w:t>
      </w:r>
      <w:r>
        <w:rPr>
          <w:spacing w:val="-12"/>
        </w:rPr>
        <w:t> </w:t>
      </w:r>
      <w:r>
        <w:rPr/>
        <w:t>DMAE</w:t>
      </w:r>
      <w:r>
        <w:rPr>
          <w:spacing w:val="-11"/>
        </w:rPr>
        <w:t> </w:t>
      </w:r>
      <w:r>
        <w:rPr/>
        <w:t>can</w:t>
      </w:r>
      <w:r>
        <w:rPr>
          <w:spacing w:val="-10"/>
        </w:rPr>
        <w:t> </w:t>
      </w:r>
      <w:r>
        <w:rPr/>
        <w:t>dissolve</w:t>
      </w:r>
      <w:r>
        <w:rPr>
          <w:spacing w:val="-12"/>
        </w:rPr>
        <w:t> </w:t>
      </w:r>
      <w:r>
        <w:rPr/>
        <w:t>harmful, water-insoluble protein deposits that are caused by free radicals and increase with age.</w:t>
      </w:r>
    </w:p>
    <w:p>
      <w:pPr>
        <w:pStyle w:val="BodyText"/>
        <w:rPr>
          <w:sz w:val="42"/>
        </w:rPr>
      </w:pPr>
    </w:p>
    <w:p>
      <w:pPr>
        <w:pStyle w:val="BodyText"/>
        <w:rPr>
          <w:sz w:val="43"/>
        </w:rPr>
      </w:pPr>
    </w:p>
    <w:p>
      <w:pPr>
        <w:pStyle w:val="Heading1"/>
        <w:spacing w:before="0"/>
      </w:pPr>
      <w:r>
        <w:rPr/>
        <w:t>Anxiety has been reduced in studies</w:t>
      </w:r>
    </w:p>
    <w:p>
      <w:pPr>
        <w:pStyle w:val="BodyText"/>
        <w:spacing w:line="276" w:lineRule="auto" w:before="297"/>
        <w:ind w:left="477" w:right="140"/>
        <w:jc w:val="both"/>
      </w:pPr>
      <w:r>
        <w:rPr/>
        <w:t>Patients suffering from anxiety were able to reduce it using DMAE as medica- tion. Neuromotor coordination was improved and the vocabulary memory in- creased.</w:t>
      </w:r>
    </w:p>
    <w:p>
      <w:pPr>
        <w:pStyle w:val="Heading1"/>
        <w:spacing w:line="261" w:lineRule="auto"/>
        <w:ind w:right="143"/>
        <w:jc w:val="both"/>
      </w:pPr>
      <w:r>
        <w:rPr/>
        <w:t>DMAE</w:t>
      </w:r>
      <w:r>
        <w:rPr>
          <w:spacing w:val="-37"/>
        </w:rPr>
        <w:t> </w:t>
      </w:r>
      <w:r>
        <w:rPr/>
        <w:t>prevent</w:t>
      </w:r>
      <w:r>
        <w:rPr>
          <w:spacing w:val="-37"/>
        </w:rPr>
        <w:t> </w:t>
      </w:r>
      <w:r>
        <w:rPr/>
        <w:t>signs</w:t>
      </w:r>
      <w:r>
        <w:rPr>
          <w:spacing w:val="-35"/>
        </w:rPr>
        <w:t> </w:t>
      </w:r>
      <w:r>
        <w:rPr/>
        <w:t>of</w:t>
      </w:r>
      <w:r>
        <w:rPr>
          <w:spacing w:val="-37"/>
        </w:rPr>
        <w:t> </w:t>
      </w:r>
      <w:r>
        <w:rPr/>
        <w:t>ageing</w:t>
      </w:r>
      <w:r>
        <w:rPr>
          <w:spacing w:val="-36"/>
        </w:rPr>
        <w:t> </w:t>
      </w:r>
      <w:r>
        <w:rPr/>
        <w:t>and</w:t>
      </w:r>
      <w:r>
        <w:rPr>
          <w:spacing w:val="-33"/>
        </w:rPr>
        <w:t> </w:t>
      </w:r>
      <w:r>
        <w:rPr/>
        <w:t>-pigments</w:t>
      </w:r>
      <w:r>
        <w:rPr>
          <w:spacing w:val="-36"/>
        </w:rPr>
        <w:t> </w:t>
      </w:r>
      <w:r>
        <w:rPr/>
        <w:t>in</w:t>
      </w:r>
      <w:r>
        <w:rPr>
          <w:spacing w:val="-37"/>
        </w:rPr>
        <w:t> </w:t>
      </w:r>
      <w:r>
        <w:rPr/>
        <w:t>the</w:t>
      </w:r>
      <w:r>
        <w:rPr>
          <w:spacing w:val="-36"/>
        </w:rPr>
        <w:t> </w:t>
      </w:r>
      <w:r>
        <w:rPr/>
        <w:t>brain</w:t>
      </w:r>
      <w:r>
        <w:rPr>
          <w:spacing w:val="-37"/>
        </w:rPr>
        <w:t> </w:t>
      </w:r>
      <w:r>
        <w:rPr/>
        <w:t>and</w:t>
      </w:r>
      <w:r>
        <w:rPr>
          <w:spacing w:val="-35"/>
        </w:rPr>
        <w:t> </w:t>
      </w:r>
      <w:r>
        <w:rPr/>
        <w:t>heart</w:t>
      </w:r>
      <w:r>
        <w:rPr>
          <w:spacing w:val="-37"/>
        </w:rPr>
        <w:t> </w:t>
      </w:r>
      <w:r>
        <w:rPr/>
        <w:t>in studies</w:t>
      </w:r>
    </w:p>
    <w:p>
      <w:pPr>
        <w:pStyle w:val="BodyText"/>
        <w:spacing w:line="276" w:lineRule="auto" w:before="261"/>
        <w:ind w:left="477" w:right="134"/>
        <w:jc w:val="both"/>
      </w:pPr>
      <w:r>
        <w:rPr/>
        <w:t>In studies, DMAE was able to limit the production of lipofuscin, the so-called age pigments in the brain and the heart muscle.</w:t>
      </w:r>
    </w:p>
    <w:p>
      <w:pPr>
        <w:pStyle w:val="Heading1"/>
        <w:spacing w:line="261" w:lineRule="auto" w:before="221"/>
        <w:ind w:right="144"/>
        <w:jc w:val="both"/>
      </w:pPr>
      <w:r>
        <w:rPr/>
        <w:t>DMAE</w:t>
      </w:r>
      <w:r>
        <w:rPr>
          <w:spacing w:val="-21"/>
        </w:rPr>
        <w:t> </w:t>
      </w:r>
      <w:r>
        <w:rPr/>
        <w:t>inhibits</w:t>
      </w:r>
      <w:r>
        <w:rPr>
          <w:spacing w:val="-21"/>
        </w:rPr>
        <w:t> </w:t>
      </w:r>
      <w:r>
        <w:rPr/>
        <w:t>the</w:t>
      </w:r>
      <w:r>
        <w:rPr>
          <w:spacing w:val="-21"/>
        </w:rPr>
        <w:t> </w:t>
      </w:r>
      <w:r>
        <w:rPr/>
        <w:t>progression</w:t>
      </w:r>
      <w:r>
        <w:rPr>
          <w:spacing w:val="-22"/>
        </w:rPr>
        <w:t> </w:t>
      </w:r>
      <w:r>
        <w:rPr/>
        <w:t>of</w:t>
      </w:r>
      <w:r>
        <w:rPr>
          <w:spacing w:val="-20"/>
        </w:rPr>
        <w:t> </w:t>
      </w:r>
      <w:r>
        <w:rPr/>
        <w:t>late</w:t>
      </w:r>
      <w:r>
        <w:rPr>
          <w:spacing w:val="-22"/>
        </w:rPr>
        <w:t> </w:t>
      </w:r>
      <w:r>
        <w:rPr/>
        <w:t>dyskinesia</w:t>
      </w:r>
      <w:r>
        <w:rPr>
          <w:spacing w:val="-21"/>
        </w:rPr>
        <w:t> </w:t>
      </w:r>
      <w:r>
        <w:rPr/>
        <w:t>and</w:t>
      </w:r>
      <w:r>
        <w:rPr>
          <w:spacing w:val="-21"/>
        </w:rPr>
        <w:t> </w:t>
      </w:r>
      <w:r>
        <w:rPr/>
        <w:t>helps</w:t>
      </w:r>
      <w:r>
        <w:rPr>
          <w:spacing w:val="-22"/>
        </w:rPr>
        <w:t> </w:t>
      </w:r>
      <w:r>
        <w:rPr/>
        <w:t>with</w:t>
      </w:r>
      <w:r>
        <w:rPr>
          <w:spacing w:val="-21"/>
        </w:rPr>
        <w:t> </w:t>
      </w:r>
      <w:r>
        <w:rPr/>
        <w:t>aka- thisia</w:t>
      </w:r>
    </w:p>
    <w:p>
      <w:pPr>
        <w:pStyle w:val="BodyText"/>
        <w:spacing w:line="276" w:lineRule="auto" w:before="260"/>
        <w:ind w:left="477" w:right="138"/>
        <w:jc w:val="both"/>
      </w:pPr>
      <w:r>
        <w:rPr/>
        <w:t>In studies, DMAE was able to inhibit the disease progression of tardive dyski- nesia (movement disorders) and alleviate the typical symptoms of akathisia (restlessness and convulsive movement).</w:t>
      </w:r>
    </w:p>
    <w:p>
      <w:pPr>
        <w:spacing w:after="0" w:line="276" w:lineRule="auto"/>
        <w:jc w:val="both"/>
        <w:sectPr>
          <w:pgSz w:w="14270" w:h="16850"/>
          <w:pgMar w:header="0" w:footer="1891" w:top="1600" w:bottom="2080" w:left="800" w:right="1280"/>
        </w:sectPr>
      </w:pPr>
    </w:p>
    <w:p>
      <w:pPr>
        <w:pStyle w:val="Heading2"/>
        <w:spacing w:before="181"/>
      </w:pPr>
      <w:r>
        <w:rPr/>
        <w:t>Taking DMAE</w:t>
      </w:r>
    </w:p>
    <w:p>
      <w:pPr>
        <w:spacing w:before="288"/>
        <w:ind w:left="477" w:right="0" w:firstLine="0"/>
        <w:jc w:val="left"/>
        <w:rPr>
          <w:b/>
          <w:i/>
          <w:sz w:val="40"/>
        </w:rPr>
      </w:pPr>
      <w:r>
        <w:rPr>
          <w:b/>
          <w:i/>
          <w:sz w:val="40"/>
        </w:rPr>
        <w:t>Dosage and intake</w:t>
      </w:r>
    </w:p>
    <w:p>
      <w:pPr>
        <w:pStyle w:val="BodyText"/>
        <w:spacing w:line="276" w:lineRule="auto" w:before="299"/>
        <w:ind w:left="477" w:right="135"/>
        <w:jc w:val="both"/>
      </w:pPr>
      <w:r>
        <w:rPr/>
        <w:t>Starting with 150 mg of pure DMAE capsules, take 1 to 4 capsules approxi- mately half an hour before breakfast with plenty of fluids. This dose should be reduced if unpleasant side effects occur in the form of headache, insomnia or muscle tension/pain.</w:t>
      </w:r>
    </w:p>
    <w:p>
      <w:pPr>
        <w:pStyle w:val="Heading2"/>
        <w:spacing w:before="240"/>
      </w:pPr>
      <w:r>
        <w:rPr/>
        <w:t>Side effects</w:t>
      </w:r>
    </w:p>
    <w:p>
      <w:pPr>
        <w:pStyle w:val="BodyText"/>
        <w:spacing w:before="304"/>
        <w:ind w:left="477"/>
      </w:pPr>
      <w:r>
        <w:rPr/>
        <w:t>Are there any side effects or contraindications in the case of DMAE?</w:t>
      </w:r>
    </w:p>
    <w:p>
      <w:pPr>
        <w:pStyle w:val="BodyText"/>
        <w:spacing w:line="276" w:lineRule="auto" w:before="305"/>
        <w:ind w:left="477" w:right="132"/>
        <w:jc w:val="both"/>
      </w:pPr>
      <w:r>
        <w:rPr/>
        <w:t>Normally, no side effects should be expected from DMAE as an endogenous substance. Overdose may cause symptoms such as headache, joint tension and insomnia, but will disappear if the dose is reduced.</w:t>
      </w:r>
    </w:p>
    <w:p>
      <w:pPr>
        <w:pStyle w:val="BodyText"/>
        <w:spacing w:line="276" w:lineRule="auto" w:before="239"/>
        <w:ind w:left="477" w:right="57"/>
      </w:pPr>
      <w:r>
        <w:rPr/>
        <w:t>Manic-depressive and epileptic patients should ask their therapist before</w:t>
      </w:r>
      <w:r>
        <w:rPr>
          <w:spacing w:val="-61"/>
        </w:rPr>
        <w:t> </w:t>
      </w:r>
      <w:r>
        <w:rPr/>
        <w:t>taking it because DMAE may increase depressive episodes in individual cases.</w:t>
      </w:r>
    </w:p>
    <w:p>
      <w:pPr>
        <w:spacing w:after="0" w:line="276" w:lineRule="auto"/>
        <w:sectPr>
          <w:pgSz w:w="14270" w:h="16850"/>
          <w:pgMar w:header="0" w:footer="1891" w:top="1600" w:bottom="2080" w:left="800" w:right="1280"/>
        </w:sectPr>
      </w:pPr>
    </w:p>
    <w:p>
      <w:pPr>
        <w:pStyle w:val="BodyText"/>
        <w:rPr>
          <w:sz w:val="20"/>
        </w:rPr>
      </w:pPr>
    </w:p>
    <w:p>
      <w:pPr>
        <w:pStyle w:val="BodyText"/>
        <w:rPr>
          <w:sz w:val="20"/>
        </w:rPr>
      </w:pPr>
    </w:p>
    <w:p>
      <w:pPr>
        <w:pStyle w:val="BodyText"/>
        <w:rPr>
          <w:sz w:val="20"/>
        </w:rPr>
      </w:pPr>
    </w:p>
    <w:p>
      <w:pPr>
        <w:pStyle w:val="BodyText"/>
        <w:spacing w:before="10"/>
        <w:rPr>
          <w:sz w:val="27"/>
        </w:rPr>
      </w:pPr>
    </w:p>
    <w:p>
      <w:pPr>
        <w:spacing w:before="101"/>
        <w:ind w:left="477" w:right="0" w:firstLine="0"/>
        <w:jc w:val="left"/>
        <w:rPr>
          <w:rFonts w:ascii="Cambria"/>
          <w:b/>
          <w:sz w:val="28"/>
        </w:rPr>
      </w:pPr>
      <w:r>
        <w:rPr>
          <w:rFonts w:ascii="Cambria"/>
          <w:b/>
          <w:color w:val="365F91"/>
          <w:sz w:val="28"/>
        </w:rPr>
        <w:t>GINKGO</w:t>
      </w:r>
    </w:p>
    <w:p>
      <w:pPr>
        <w:spacing w:before="50"/>
        <w:ind w:left="477" w:right="0" w:firstLine="0"/>
        <w:jc w:val="left"/>
        <w:rPr>
          <w:i/>
          <w:sz w:val="38"/>
        </w:rPr>
      </w:pPr>
      <w:r>
        <w:rPr>
          <w:i/>
          <w:sz w:val="38"/>
        </w:rPr>
        <w:t>What is ginkgo?</w:t>
      </w:r>
    </w:p>
    <w:p>
      <w:pPr>
        <w:pStyle w:val="BodyText"/>
        <w:spacing w:line="276" w:lineRule="auto" w:before="302"/>
        <w:ind w:left="477" w:right="140"/>
        <w:jc w:val="both"/>
      </w:pPr>
      <w:r>
        <w:rPr/>
        <w:t>Ginkgo</w:t>
      </w:r>
      <w:r>
        <w:rPr>
          <w:spacing w:val="-6"/>
        </w:rPr>
        <w:t> </w:t>
      </w:r>
      <w:r>
        <w:rPr/>
        <w:t>is</w:t>
      </w:r>
      <w:r>
        <w:rPr>
          <w:spacing w:val="-6"/>
        </w:rPr>
        <w:t> </w:t>
      </w:r>
      <w:r>
        <w:rPr/>
        <w:t>probably</w:t>
      </w:r>
      <w:r>
        <w:rPr>
          <w:spacing w:val="-5"/>
        </w:rPr>
        <w:t> </w:t>
      </w:r>
      <w:r>
        <w:rPr/>
        <w:t>the</w:t>
      </w:r>
      <w:r>
        <w:rPr>
          <w:spacing w:val="-5"/>
        </w:rPr>
        <w:t> </w:t>
      </w:r>
      <w:r>
        <w:rPr/>
        <w:t>oldest</w:t>
      </w:r>
      <w:r>
        <w:rPr>
          <w:spacing w:val="-9"/>
        </w:rPr>
        <w:t> </w:t>
      </w:r>
      <w:r>
        <w:rPr/>
        <w:t>plant</w:t>
      </w:r>
      <w:r>
        <w:rPr>
          <w:spacing w:val="-6"/>
        </w:rPr>
        <w:t> </w:t>
      </w:r>
      <w:r>
        <w:rPr/>
        <w:t>our</w:t>
      </w:r>
      <w:r>
        <w:rPr>
          <w:spacing w:val="-6"/>
        </w:rPr>
        <w:t> </w:t>
      </w:r>
      <w:r>
        <w:rPr/>
        <w:t>planet</w:t>
      </w:r>
      <w:r>
        <w:rPr>
          <w:spacing w:val="-6"/>
        </w:rPr>
        <w:t> </w:t>
      </w:r>
      <w:r>
        <w:rPr/>
        <w:t>has</w:t>
      </w:r>
      <w:r>
        <w:rPr>
          <w:spacing w:val="-6"/>
        </w:rPr>
        <w:t> </w:t>
      </w:r>
      <w:r>
        <w:rPr/>
        <w:t>ever</w:t>
      </w:r>
      <w:r>
        <w:rPr>
          <w:spacing w:val="-5"/>
        </w:rPr>
        <w:t> </w:t>
      </w:r>
      <w:r>
        <w:rPr/>
        <w:t>produced</w:t>
      </w:r>
      <w:r>
        <w:rPr>
          <w:spacing w:val="-5"/>
        </w:rPr>
        <w:t> </w:t>
      </w:r>
      <w:r>
        <w:rPr/>
        <w:t>and</w:t>
      </w:r>
      <w:r>
        <w:rPr>
          <w:spacing w:val="-7"/>
        </w:rPr>
        <w:t> </w:t>
      </w:r>
      <w:r>
        <w:rPr/>
        <w:t>has</w:t>
      </w:r>
      <w:r>
        <w:rPr>
          <w:spacing w:val="-6"/>
        </w:rPr>
        <w:t> </w:t>
      </w:r>
      <w:r>
        <w:rPr/>
        <w:t>been on our planet for about 200 million</w:t>
      </w:r>
      <w:r>
        <w:rPr>
          <w:spacing w:val="-1"/>
        </w:rPr>
        <w:t> </w:t>
      </w:r>
      <w:r>
        <w:rPr/>
        <w:t>years.</w:t>
      </w:r>
    </w:p>
    <w:p>
      <w:pPr>
        <w:pStyle w:val="BodyText"/>
        <w:spacing w:line="276" w:lineRule="auto" w:before="241"/>
        <w:ind w:left="477" w:right="134"/>
        <w:jc w:val="both"/>
      </w:pPr>
      <w:r>
        <w:rPr/>
        <w:t>Ginkgo</w:t>
      </w:r>
      <w:r>
        <w:rPr>
          <w:spacing w:val="-9"/>
        </w:rPr>
        <w:t> </w:t>
      </w:r>
      <w:r>
        <w:rPr/>
        <w:t>biloba</w:t>
      </w:r>
      <w:r>
        <w:rPr>
          <w:spacing w:val="-9"/>
        </w:rPr>
        <w:t> </w:t>
      </w:r>
      <w:r>
        <w:rPr/>
        <w:t>is</w:t>
      </w:r>
      <w:r>
        <w:rPr>
          <w:spacing w:val="-9"/>
        </w:rPr>
        <w:t> </w:t>
      </w:r>
      <w:r>
        <w:rPr/>
        <w:t>the</w:t>
      </w:r>
      <w:r>
        <w:rPr>
          <w:spacing w:val="-7"/>
        </w:rPr>
        <w:t> </w:t>
      </w:r>
      <w:r>
        <w:rPr/>
        <w:t>last</w:t>
      </w:r>
      <w:r>
        <w:rPr>
          <w:spacing w:val="-10"/>
        </w:rPr>
        <w:t> </w:t>
      </w:r>
      <w:r>
        <w:rPr/>
        <w:t>survivor</w:t>
      </w:r>
      <w:r>
        <w:rPr>
          <w:spacing w:val="-6"/>
        </w:rPr>
        <w:t> </w:t>
      </w:r>
      <w:r>
        <w:rPr/>
        <w:t>of</w:t>
      </w:r>
      <w:r>
        <w:rPr>
          <w:spacing w:val="-9"/>
        </w:rPr>
        <w:t> </w:t>
      </w:r>
      <w:r>
        <w:rPr/>
        <w:t>the</w:t>
      </w:r>
      <w:r>
        <w:rPr>
          <w:spacing w:val="-7"/>
        </w:rPr>
        <w:t> </w:t>
      </w:r>
      <w:r>
        <w:rPr/>
        <w:t>ginkgoaceous</w:t>
      </w:r>
      <w:r>
        <w:rPr>
          <w:spacing w:val="-9"/>
        </w:rPr>
        <w:t> </w:t>
      </w:r>
      <w:r>
        <w:rPr/>
        <w:t>plant</w:t>
      </w:r>
      <w:r>
        <w:rPr>
          <w:spacing w:val="-10"/>
        </w:rPr>
        <w:t> </w:t>
      </w:r>
      <w:r>
        <w:rPr/>
        <w:t>family</w:t>
      </w:r>
      <w:r>
        <w:rPr>
          <w:spacing w:val="-9"/>
        </w:rPr>
        <w:t> </w:t>
      </w:r>
      <w:r>
        <w:rPr/>
        <w:t>and</w:t>
      </w:r>
      <w:r>
        <w:rPr>
          <w:spacing w:val="-8"/>
        </w:rPr>
        <w:t> </w:t>
      </w:r>
      <w:r>
        <w:rPr/>
        <w:t>belongs to neither the coniferous nor deciduous tree groups. It stands somewhere in between, and is therefore a modern botanical</w:t>
      </w:r>
      <w:r>
        <w:rPr>
          <w:spacing w:val="-3"/>
        </w:rPr>
        <w:t> </w:t>
      </w:r>
      <w:r>
        <w:rPr/>
        <w:t>phenomenon.</w:t>
      </w:r>
    </w:p>
    <w:p>
      <w:pPr>
        <w:pStyle w:val="BodyText"/>
        <w:spacing w:line="276" w:lineRule="auto" w:before="241"/>
        <w:ind w:left="477" w:right="140"/>
        <w:jc w:val="both"/>
      </w:pPr>
      <w:r>
        <w:rPr/>
        <w:t>Its longevity (often 4000 years!) and resilience is legendary, and the ginkgo tree has</w:t>
      </w:r>
      <w:r>
        <w:rPr>
          <w:spacing w:val="-9"/>
        </w:rPr>
        <w:t> </w:t>
      </w:r>
      <w:r>
        <w:rPr/>
        <w:t>an</w:t>
      </w:r>
      <w:r>
        <w:rPr>
          <w:spacing w:val="-9"/>
        </w:rPr>
        <w:t> </w:t>
      </w:r>
      <w:r>
        <w:rPr/>
        <w:t>absolutely</w:t>
      </w:r>
      <w:r>
        <w:rPr>
          <w:spacing w:val="-10"/>
        </w:rPr>
        <w:t> </w:t>
      </w:r>
      <w:r>
        <w:rPr/>
        <w:t>incredible</w:t>
      </w:r>
      <w:r>
        <w:rPr>
          <w:spacing w:val="-8"/>
        </w:rPr>
        <w:t> </w:t>
      </w:r>
      <w:r>
        <w:rPr/>
        <w:t>resistance</w:t>
      </w:r>
      <w:r>
        <w:rPr>
          <w:spacing w:val="-8"/>
        </w:rPr>
        <w:t> </w:t>
      </w:r>
      <w:r>
        <w:rPr/>
        <w:t>to</w:t>
      </w:r>
      <w:r>
        <w:rPr>
          <w:spacing w:val="-9"/>
        </w:rPr>
        <w:t> </w:t>
      </w:r>
      <w:r>
        <w:rPr/>
        <w:t>heat,</w:t>
      </w:r>
      <w:r>
        <w:rPr>
          <w:spacing w:val="-9"/>
        </w:rPr>
        <w:t> </w:t>
      </w:r>
      <w:r>
        <w:rPr/>
        <w:t>cold,</w:t>
      </w:r>
      <w:r>
        <w:rPr>
          <w:spacing w:val="-9"/>
        </w:rPr>
        <w:t> </w:t>
      </w:r>
      <w:r>
        <w:rPr/>
        <w:t>pollution,</w:t>
      </w:r>
      <w:r>
        <w:rPr>
          <w:spacing w:val="-8"/>
        </w:rPr>
        <w:t> </w:t>
      </w:r>
      <w:r>
        <w:rPr/>
        <w:t>toxins,</w:t>
      </w:r>
      <w:r>
        <w:rPr>
          <w:spacing w:val="-8"/>
        </w:rPr>
        <w:t> </w:t>
      </w:r>
      <w:r>
        <w:rPr/>
        <w:t>radiation, viruses, bacteria, fungi and all kinds of diseases. It not only survived the dino- saurs, but also the displacement of the continents and many other disasters, including the Hiroshima bomb.</w:t>
      </w:r>
    </w:p>
    <w:p>
      <w:pPr>
        <w:pStyle w:val="BodyText"/>
        <w:spacing w:line="276" w:lineRule="auto" w:before="240"/>
        <w:ind w:left="477" w:right="131"/>
        <w:jc w:val="both"/>
      </w:pPr>
      <w:r>
        <w:rPr/>
        <w:t>While</w:t>
      </w:r>
      <w:r>
        <w:rPr>
          <w:spacing w:val="-6"/>
        </w:rPr>
        <w:t> </w:t>
      </w:r>
      <w:r>
        <w:rPr/>
        <w:t>all</w:t>
      </w:r>
      <w:r>
        <w:rPr>
          <w:spacing w:val="-6"/>
        </w:rPr>
        <w:t> </w:t>
      </w:r>
      <w:r>
        <w:rPr/>
        <w:t>the</w:t>
      </w:r>
      <w:r>
        <w:rPr>
          <w:spacing w:val="-2"/>
        </w:rPr>
        <w:t> </w:t>
      </w:r>
      <w:r>
        <w:rPr/>
        <w:t>other</w:t>
      </w:r>
      <w:r>
        <w:rPr>
          <w:spacing w:val="-4"/>
        </w:rPr>
        <w:t> </w:t>
      </w:r>
      <w:r>
        <w:rPr/>
        <w:t>plants</w:t>
      </w:r>
      <w:r>
        <w:rPr>
          <w:spacing w:val="-3"/>
        </w:rPr>
        <w:t> </w:t>
      </w:r>
      <w:r>
        <w:rPr/>
        <w:t>died</w:t>
      </w:r>
      <w:r>
        <w:rPr>
          <w:spacing w:val="-8"/>
        </w:rPr>
        <w:t> </w:t>
      </w:r>
      <w:r>
        <w:rPr/>
        <w:t>in</w:t>
      </w:r>
      <w:r>
        <w:rPr>
          <w:spacing w:val="-6"/>
        </w:rPr>
        <w:t> </w:t>
      </w:r>
      <w:r>
        <w:rPr/>
        <w:t>the</w:t>
      </w:r>
      <w:r>
        <w:rPr>
          <w:spacing w:val="-3"/>
        </w:rPr>
        <w:t> </w:t>
      </w:r>
      <w:r>
        <w:rPr/>
        <w:t>affected</w:t>
      </w:r>
      <w:r>
        <w:rPr>
          <w:spacing w:val="-4"/>
        </w:rPr>
        <w:t> </w:t>
      </w:r>
      <w:r>
        <w:rPr/>
        <w:t>area,</w:t>
      </w:r>
      <w:r>
        <w:rPr>
          <w:spacing w:val="-4"/>
        </w:rPr>
        <w:t> </w:t>
      </w:r>
      <w:r>
        <w:rPr/>
        <w:t>this</w:t>
      </w:r>
      <w:r>
        <w:rPr>
          <w:spacing w:val="-6"/>
        </w:rPr>
        <w:t> </w:t>
      </w:r>
      <w:r>
        <w:rPr/>
        <w:t>tree</w:t>
      </w:r>
      <w:r>
        <w:rPr>
          <w:spacing w:val="-5"/>
        </w:rPr>
        <w:t> </w:t>
      </w:r>
      <w:r>
        <w:rPr/>
        <w:t>survived</w:t>
      </w:r>
      <w:r>
        <w:rPr>
          <w:spacing w:val="-5"/>
        </w:rPr>
        <w:t> </w:t>
      </w:r>
      <w:r>
        <w:rPr/>
        <w:t>only</w:t>
      </w:r>
      <w:r>
        <w:rPr>
          <w:spacing w:val="-4"/>
        </w:rPr>
        <w:t> </w:t>
      </w:r>
      <w:r>
        <w:rPr/>
        <w:t>a</w:t>
      </w:r>
      <w:r>
        <w:rPr>
          <w:spacing w:val="-8"/>
        </w:rPr>
        <w:t> </w:t>
      </w:r>
      <w:r>
        <w:rPr/>
        <w:t>few hundred metres from the bomb site. The following spring, it produced many fresh</w:t>
      </w:r>
      <w:r>
        <w:rPr>
          <w:spacing w:val="-15"/>
        </w:rPr>
        <w:t> </w:t>
      </w:r>
      <w:r>
        <w:rPr/>
        <w:t>shoots</w:t>
      </w:r>
      <w:r>
        <w:rPr>
          <w:spacing w:val="-15"/>
        </w:rPr>
        <w:t> </w:t>
      </w:r>
      <w:r>
        <w:rPr/>
        <w:t>and</w:t>
      </w:r>
      <w:r>
        <w:rPr>
          <w:spacing w:val="-15"/>
        </w:rPr>
        <w:t> </w:t>
      </w:r>
      <w:r>
        <w:rPr/>
        <w:t>flowers,</w:t>
      </w:r>
      <w:r>
        <w:rPr>
          <w:spacing w:val="-15"/>
        </w:rPr>
        <w:t> </w:t>
      </w:r>
      <w:r>
        <w:rPr/>
        <w:t>which</w:t>
      </w:r>
      <w:r>
        <w:rPr>
          <w:spacing w:val="-14"/>
        </w:rPr>
        <w:t> </w:t>
      </w:r>
      <w:r>
        <w:rPr/>
        <w:t>made</w:t>
      </w:r>
      <w:r>
        <w:rPr>
          <w:spacing w:val="-16"/>
        </w:rPr>
        <w:t> </w:t>
      </w:r>
      <w:r>
        <w:rPr/>
        <w:t>it</w:t>
      </w:r>
      <w:r>
        <w:rPr>
          <w:spacing w:val="-17"/>
        </w:rPr>
        <w:t> </w:t>
      </w:r>
      <w:r>
        <w:rPr/>
        <w:t>a</w:t>
      </w:r>
      <w:r>
        <w:rPr>
          <w:spacing w:val="-17"/>
        </w:rPr>
        <w:t> </w:t>
      </w:r>
      <w:r>
        <w:rPr/>
        <w:t>symbol</w:t>
      </w:r>
      <w:r>
        <w:rPr>
          <w:spacing w:val="-16"/>
        </w:rPr>
        <w:t> </w:t>
      </w:r>
      <w:r>
        <w:rPr/>
        <w:t>of</w:t>
      </w:r>
      <w:r>
        <w:rPr>
          <w:spacing w:val="-15"/>
        </w:rPr>
        <w:t> </w:t>
      </w:r>
      <w:r>
        <w:rPr/>
        <w:t>hope</w:t>
      </w:r>
      <w:r>
        <w:rPr>
          <w:spacing w:val="-15"/>
        </w:rPr>
        <w:t> </w:t>
      </w:r>
      <w:r>
        <w:rPr/>
        <w:t>and</w:t>
      </w:r>
      <w:r>
        <w:rPr>
          <w:spacing w:val="-15"/>
        </w:rPr>
        <w:t> </w:t>
      </w:r>
      <w:r>
        <w:rPr/>
        <w:t>the</w:t>
      </w:r>
      <w:r>
        <w:rPr>
          <w:spacing w:val="-11"/>
        </w:rPr>
        <w:t> </w:t>
      </w:r>
      <w:r>
        <w:rPr/>
        <w:t>‘tree</w:t>
      </w:r>
      <w:r>
        <w:rPr>
          <w:spacing w:val="-15"/>
        </w:rPr>
        <w:t> </w:t>
      </w:r>
      <w:r>
        <w:rPr/>
        <w:t>of</w:t>
      </w:r>
      <w:r>
        <w:rPr>
          <w:spacing w:val="-15"/>
        </w:rPr>
        <w:t> </w:t>
      </w:r>
      <w:r>
        <w:rPr/>
        <w:t>hope’ in Japan. It is certain that no other creature has survived so many epochs and disasters as the ginkgo tree. All of this quickly made the tree legendary in Asia; one</w:t>
      </w:r>
      <w:r>
        <w:rPr>
          <w:spacing w:val="-18"/>
        </w:rPr>
        <w:t> </w:t>
      </w:r>
      <w:r>
        <w:rPr/>
        <w:t>could</w:t>
      </w:r>
      <w:r>
        <w:rPr>
          <w:spacing w:val="-19"/>
        </w:rPr>
        <w:t> </w:t>
      </w:r>
      <w:r>
        <w:rPr/>
        <w:t>say</w:t>
      </w:r>
      <w:r>
        <w:rPr>
          <w:spacing w:val="-17"/>
        </w:rPr>
        <w:t> </w:t>
      </w:r>
      <w:r>
        <w:rPr/>
        <w:t>it</w:t>
      </w:r>
      <w:r>
        <w:rPr>
          <w:spacing w:val="-20"/>
        </w:rPr>
        <w:t> </w:t>
      </w:r>
      <w:r>
        <w:rPr/>
        <w:t>has</w:t>
      </w:r>
      <w:r>
        <w:rPr>
          <w:spacing w:val="-18"/>
        </w:rPr>
        <w:t> </w:t>
      </w:r>
      <w:r>
        <w:rPr/>
        <w:t>become</w:t>
      </w:r>
      <w:r>
        <w:rPr>
          <w:spacing w:val="-17"/>
        </w:rPr>
        <w:t> </w:t>
      </w:r>
      <w:r>
        <w:rPr/>
        <w:t>a</w:t>
      </w:r>
      <w:r>
        <w:rPr>
          <w:spacing w:val="-20"/>
        </w:rPr>
        <w:t> </w:t>
      </w:r>
      <w:r>
        <w:rPr/>
        <w:t>temple</w:t>
      </w:r>
      <w:r>
        <w:rPr>
          <w:spacing w:val="-19"/>
        </w:rPr>
        <w:t> </w:t>
      </w:r>
      <w:r>
        <w:rPr/>
        <w:t>tree</w:t>
      </w:r>
      <w:r>
        <w:rPr>
          <w:spacing w:val="-18"/>
        </w:rPr>
        <w:t> </w:t>
      </w:r>
      <w:r>
        <w:rPr/>
        <w:t>that</w:t>
      </w:r>
      <w:r>
        <w:rPr>
          <w:spacing w:val="-19"/>
        </w:rPr>
        <w:t> </w:t>
      </w:r>
      <w:r>
        <w:rPr/>
        <w:t>Asians</w:t>
      </w:r>
      <w:r>
        <w:rPr>
          <w:spacing w:val="-17"/>
        </w:rPr>
        <w:t> </w:t>
      </w:r>
      <w:r>
        <w:rPr/>
        <w:t>worship.</w:t>
      </w:r>
      <w:r>
        <w:rPr>
          <w:spacing w:val="-18"/>
        </w:rPr>
        <w:t> </w:t>
      </w:r>
      <w:r>
        <w:rPr/>
        <w:t>But</w:t>
      </w:r>
      <w:r>
        <w:rPr>
          <w:spacing w:val="-20"/>
        </w:rPr>
        <w:t> </w:t>
      </w:r>
      <w:r>
        <w:rPr/>
        <w:t>its</w:t>
      </w:r>
      <w:r>
        <w:rPr>
          <w:spacing w:val="-19"/>
        </w:rPr>
        <w:t> </w:t>
      </w:r>
      <w:r>
        <w:rPr/>
        <w:t>resistance to</w:t>
      </w:r>
      <w:r>
        <w:rPr>
          <w:spacing w:val="-17"/>
        </w:rPr>
        <w:t> </w:t>
      </w:r>
      <w:r>
        <w:rPr/>
        <w:t>ageing</w:t>
      </w:r>
      <w:r>
        <w:rPr>
          <w:spacing w:val="-15"/>
        </w:rPr>
        <w:t> </w:t>
      </w:r>
      <w:r>
        <w:rPr/>
        <w:t>and</w:t>
      </w:r>
      <w:r>
        <w:rPr>
          <w:spacing w:val="-16"/>
        </w:rPr>
        <w:t> </w:t>
      </w:r>
      <w:r>
        <w:rPr/>
        <w:t>all</w:t>
      </w:r>
      <w:r>
        <w:rPr>
          <w:spacing w:val="-18"/>
        </w:rPr>
        <w:t> </w:t>
      </w:r>
      <w:r>
        <w:rPr/>
        <w:t>sorts</w:t>
      </w:r>
      <w:r>
        <w:rPr>
          <w:spacing w:val="-16"/>
        </w:rPr>
        <w:t> </w:t>
      </w:r>
      <w:r>
        <w:rPr/>
        <w:t>of</w:t>
      </w:r>
      <w:r>
        <w:rPr>
          <w:spacing w:val="-19"/>
        </w:rPr>
        <w:t> </w:t>
      </w:r>
      <w:r>
        <w:rPr/>
        <w:t>natural</w:t>
      </w:r>
      <w:r>
        <w:rPr>
          <w:spacing w:val="-18"/>
        </w:rPr>
        <w:t> </w:t>
      </w:r>
      <w:r>
        <w:rPr/>
        <w:t>enemies</w:t>
      </w:r>
      <w:r>
        <w:rPr>
          <w:spacing w:val="-17"/>
        </w:rPr>
        <w:t> </w:t>
      </w:r>
      <w:r>
        <w:rPr/>
        <w:t>has</w:t>
      </w:r>
      <w:r>
        <w:rPr>
          <w:spacing w:val="-16"/>
        </w:rPr>
        <w:t> </w:t>
      </w:r>
      <w:r>
        <w:rPr/>
        <w:t>made</w:t>
      </w:r>
      <w:r>
        <w:rPr>
          <w:spacing w:val="-16"/>
        </w:rPr>
        <w:t> </w:t>
      </w:r>
      <w:r>
        <w:rPr/>
        <w:t>people</w:t>
      </w:r>
      <w:r>
        <w:rPr>
          <w:spacing w:val="-20"/>
        </w:rPr>
        <w:t> </w:t>
      </w:r>
      <w:r>
        <w:rPr/>
        <w:t>sit</w:t>
      </w:r>
      <w:r>
        <w:rPr>
          <w:spacing w:val="-17"/>
        </w:rPr>
        <w:t> </w:t>
      </w:r>
      <w:r>
        <w:rPr/>
        <w:t>up</w:t>
      </w:r>
      <w:r>
        <w:rPr>
          <w:spacing w:val="-17"/>
        </w:rPr>
        <w:t> </w:t>
      </w:r>
      <w:r>
        <w:rPr/>
        <w:t>and</w:t>
      </w:r>
      <w:r>
        <w:rPr>
          <w:spacing w:val="-16"/>
        </w:rPr>
        <w:t> </w:t>
      </w:r>
      <w:r>
        <w:rPr/>
        <w:t>take</w:t>
      </w:r>
      <w:r>
        <w:rPr>
          <w:spacing w:val="-17"/>
        </w:rPr>
        <w:t> </w:t>
      </w:r>
      <w:r>
        <w:rPr/>
        <w:t>notice</w:t>
      </w:r>
    </w:p>
    <w:p>
      <w:pPr>
        <w:pStyle w:val="BodyText"/>
        <w:spacing w:before="1"/>
        <w:ind w:left="477"/>
        <w:jc w:val="both"/>
      </w:pPr>
      <w:r>
        <w:rPr/>
        <w:t>–</w:t>
      </w:r>
      <w:r>
        <w:rPr>
          <w:spacing w:val="-15"/>
        </w:rPr>
        <w:t> </w:t>
      </w:r>
      <w:r>
        <w:rPr/>
        <w:t>if</w:t>
      </w:r>
      <w:r>
        <w:rPr>
          <w:spacing w:val="-16"/>
        </w:rPr>
        <w:t> </w:t>
      </w:r>
      <w:r>
        <w:rPr/>
        <w:t>these</w:t>
      </w:r>
      <w:r>
        <w:rPr>
          <w:spacing w:val="-17"/>
        </w:rPr>
        <w:t> </w:t>
      </w:r>
      <w:r>
        <w:rPr/>
        <w:t>amazing</w:t>
      </w:r>
      <w:r>
        <w:rPr>
          <w:spacing w:val="-16"/>
        </w:rPr>
        <w:t> </w:t>
      </w:r>
      <w:r>
        <w:rPr/>
        <w:t>qualities</w:t>
      </w:r>
      <w:r>
        <w:rPr>
          <w:spacing w:val="-15"/>
        </w:rPr>
        <w:t> </w:t>
      </w:r>
      <w:r>
        <w:rPr/>
        <w:t>could</w:t>
      </w:r>
      <w:r>
        <w:rPr>
          <w:spacing w:val="-15"/>
        </w:rPr>
        <w:t> </w:t>
      </w:r>
      <w:r>
        <w:rPr/>
        <w:t>be</w:t>
      </w:r>
      <w:r>
        <w:rPr>
          <w:spacing w:val="-15"/>
        </w:rPr>
        <w:t> </w:t>
      </w:r>
      <w:r>
        <w:rPr/>
        <w:t>transferred</w:t>
      </w:r>
      <w:r>
        <w:rPr>
          <w:spacing w:val="-14"/>
        </w:rPr>
        <w:t> </w:t>
      </w:r>
      <w:r>
        <w:rPr/>
        <w:t>to</w:t>
      </w:r>
      <w:r>
        <w:rPr>
          <w:spacing w:val="-17"/>
        </w:rPr>
        <w:t> </w:t>
      </w:r>
      <w:r>
        <w:rPr/>
        <w:t>humans,</w:t>
      </w:r>
      <w:r>
        <w:rPr>
          <w:spacing w:val="-17"/>
        </w:rPr>
        <w:t> </w:t>
      </w:r>
      <w:r>
        <w:rPr/>
        <w:t>would</w:t>
      </w:r>
      <w:r>
        <w:rPr>
          <w:spacing w:val="-15"/>
        </w:rPr>
        <w:t> </w:t>
      </w:r>
      <w:r>
        <w:rPr/>
        <w:t>people</w:t>
      </w:r>
      <w:r>
        <w:rPr>
          <w:spacing w:val="-16"/>
        </w:rPr>
        <w:t> </w:t>
      </w:r>
      <w:r>
        <w:rPr/>
        <w:t>enjoy</w:t>
      </w:r>
    </w:p>
    <w:p>
      <w:pPr>
        <w:spacing w:after="0"/>
        <w:jc w:val="both"/>
        <w:sectPr>
          <w:pgSz w:w="14270" w:h="16850"/>
          <w:pgMar w:header="0" w:footer="1891" w:top="1600" w:bottom="2080" w:left="800" w:right="1280"/>
        </w:sectPr>
      </w:pPr>
    </w:p>
    <w:p>
      <w:pPr>
        <w:pStyle w:val="BodyText"/>
        <w:spacing w:before="181"/>
        <w:ind w:left="477"/>
      </w:pPr>
      <w:r>
        <w:rPr/>
        <w:t>its fruits?</w:t>
      </w:r>
    </w:p>
    <w:p>
      <w:pPr>
        <w:pStyle w:val="BodyText"/>
        <w:spacing w:line="276" w:lineRule="auto" w:before="305"/>
        <w:ind w:left="477" w:right="137"/>
        <w:jc w:val="both"/>
      </w:pPr>
      <w:r>
        <w:rPr/>
        <w:t>Ginkgo has been regarded as a ‘sacred tree’ in Asia for more than 2,000 years and</w:t>
      </w:r>
      <w:r>
        <w:rPr>
          <w:spacing w:val="-24"/>
        </w:rPr>
        <w:t> </w:t>
      </w:r>
      <w:r>
        <w:rPr/>
        <w:t>has</w:t>
      </w:r>
      <w:r>
        <w:rPr>
          <w:spacing w:val="-22"/>
        </w:rPr>
        <w:t> </w:t>
      </w:r>
      <w:r>
        <w:rPr/>
        <w:t>been</w:t>
      </w:r>
      <w:r>
        <w:rPr>
          <w:spacing w:val="-23"/>
        </w:rPr>
        <w:t> </w:t>
      </w:r>
      <w:r>
        <w:rPr/>
        <w:t>used</w:t>
      </w:r>
      <w:r>
        <w:rPr>
          <w:spacing w:val="-23"/>
        </w:rPr>
        <w:t> </w:t>
      </w:r>
      <w:r>
        <w:rPr/>
        <w:t>in</w:t>
      </w:r>
      <w:r>
        <w:rPr>
          <w:spacing w:val="-23"/>
        </w:rPr>
        <w:t> </w:t>
      </w:r>
      <w:r>
        <w:rPr/>
        <w:t>the</w:t>
      </w:r>
      <w:r>
        <w:rPr>
          <w:spacing w:val="-22"/>
        </w:rPr>
        <w:t> </w:t>
      </w:r>
      <w:r>
        <w:rPr/>
        <w:t>field</w:t>
      </w:r>
      <w:r>
        <w:rPr>
          <w:spacing w:val="-25"/>
        </w:rPr>
        <w:t> </w:t>
      </w:r>
      <w:r>
        <w:rPr/>
        <w:t>of</w:t>
      </w:r>
      <w:r>
        <w:rPr>
          <w:spacing w:val="-25"/>
        </w:rPr>
        <w:t> </w:t>
      </w:r>
      <w:r>
        <w:rPr/>
        <w:t>natural</w:t>
      </w:r>
      <w:r>
        <w:rPr>
          <w:spacing w:val="-25"/>
        </w:rPr>
        <w:t> </w:t>
      </w:r>
      <w:r>
        <w:rPr/>
        <w:t>medicine</w:t>
      </w:r>
      <w:r>
        <w:rPr>
          <w:spacing w:val="-22"/>
        </w:rPr>
        <w:t> </w:t>
      </w:r>
      <w:r>
        <w:rPr/>
        <w:t>to</w:t>
      </w:r>
      <w:r>
        <w:rPr>
          <w:spacing w:val="-23"/>
        </w:rPr>
        <w:t> </w:t>
      </w:r>
      <w:r>
        <w:rPr/>
        <w:t>combat</w:t>
      </w:r>
      <w:r>
        <w:rPr>
          <w:spacing w:val="-24"/>
        </w:rPr>
        <w:t> </w:t>
      </w:r>
      <w:r>
        <w:rPr/>
        <w:t>a</w:t>
      </w:r>
      <w:r>
        <w:rPr>
          <w:spacing w:val="-24"/>
        </w:rPr>
        <w:t> </w:t>
      </w:r>
      <w:r>
        <w:rPr/>
        <w:t>variety</w:t>
      </w:r>
      <w:r>
        <w:rPr>
          <w:spacing w:val="-23"/>
        </w:rPr>
        <w:t> </w:t>
      </w:r>
      <w:r>
        <w:rPr/>
        <w:t>of</w:t>
      </w:r>
      <w:r>
        <w:rPr>
          <w:spacing w:val="-22"/>
        </w:rPr>
        <w:t> </w:t>
      </w:r>
      <w:r>
        <w:rPr/>
        <w:t>diseases and ailments for around 5000 years, and that’s certainly no</w:t>
      </w:r>
      <w:r>
        <w:rPr>
          <w:spacing w:val="-10"/>
        </w:rPr>
        <w:t> </w:t>
      </w:r>
      <w:r>
        <w:rPr/>
        <w:t>coincidence!</w:t>
      </w:r>
    </w:p>
    <w:p>
      <w:pPr>
        <w:pStyle w:val="Heading1"/>
        <w:spacing w:before="183"/>
      </w:pPr>
      <w:r>
        <w:rPr/>
        <w:t>Ginkgo biloba – the naming</w:t>
      </w:r>
    </w:p>
    <w:p>
      <w:pPr>
        <w:pStyle w:val="BodyText"/>
        <w:spacing w:line="278" w:lineRule="auto" w:before="300"/>
        <w:ind w:left="477" w:right="130"/>
        <w:jc w:val="both"/>
      </w:pPr>
      <w:r>
        <w:rPr/>
        <w:t>The name ‘ginkgo’ is Japanese and is made up of the words ‘gin’, which means silver, and ‘kyo’, which means apricot: ‘silver apricot’.</w:t>
      </w:r>
    </w:p>
    <w:p>
      <w:pPr>
        <w:pStyle w:val="BodyText"/>
        <w:spacing w:line="276" w:lineRule="auto" w:before="191"/>
        <w:ind w:left="477" w:right="135"/>
        <w:jc w:val="both"/>
      </w:pPr>
      <w:r>
        <w:rPr/>
        <w:t>The fact that we call the plant ‘gingko’ and not ‘gingkyo’, as it should be, is probably due to a small spelling error by ginkgo discoverer Engelbert Kaempfer.</w:t>
      </w:r>
    </w:p>
    <w:p>
      <w:pPr>
        <w:pStyle w:val="BodyText"/>
        <w:spacing w:line="276" w:lineRule="auto" w:before="239"/>
        <w:ind w:left="477" w:right="134"/>
        <w:jc w:val="both"/>
      </w:pPr>
      <w:r>
        <w:rPr/>
        <w:t>‘Biloba’,</w:t>
      </w:r>
      <w:r>
        <w:rPr>
          <w:spacing w:val="-8"/>
        </w:rPr>
        <w:t> </w:t>
      </w:r>
      <w:r>
        <w:rPr/>
        <w:t>in</w:t>
      </w:r>
      <w:r>
        <w:rPr>
          <w:spacing w:val="-8"/>
        </w:rPr>
        <w:t> </w:t>
      </w:r>
      <w:r>
        <w:rPr/>
        <w:t>turn,</w:t>
      </w:r>
      <w:r>
        <w:rPr>
          <w:spacing w:val="-7"/>
        </w:rPr>
        <w:t> </w:t>
      </w:r>
      <w:r>
        <w:rPr/>
        <w:t>stands</w:t>
      </w:r>
      <w:r>
        <w:rPr>
          <w:spacing w:val="-7"/>
        </w:rPr>
        <w:t> </w:t>
      </w:r>
      <w:r>
        <w:rPr/>
        <w:t>for</w:t>
      </w:r>
      <w:r>
        <w:rPr>
          <w:spacing w:val="-7"/>
        </w:rPr>
        <w:t> </w:t>
      </w:r>
      <w:r>
        <w:rPr/>
        <w:t>the</w:t>
      </w:r>
      <w:r>
        <w:rPr>
          <w:spacing w:val="-7"/>
        </w:rPr>
        <w:t> </w:t>
      </w:r>
      <w:r>
        <w:rPr/>
        <w:t>unique,</w:t>
      </w:r>
      <w:r>
        <w:rPr>
          <w:spacing w:val="-8"/>
        </w:rPr>
        <w:t> </w:t>
      </w:r>
      <w:r>
        <w:rPr/>
        <w:t>two-lobed</w:t>
      </w:r>
      <w:r>
        <w:rPr>
          <w:spacing w:val="-9"/>
        </w:rPr>
        <w:t> </w:t>
      </w:r>
      <w:r>
        <w:rPr/>
        <w:t>leaves</w:t>
      </w:r>
      <w:r>
        <w:rPr>
          <w:spacing w:val="-9"/>
        </w:rPr>
        <w:t> </w:t>
      </w:r>
      <w:r>
        <w:rPr/>
        <w:t>of</w:t>
      </w:r>
      <w:r>
        <w:rPr>
          <w:spacing w:val="-8"/>
        </w:rPr>
        <w:t> </w:t>
      </w:r>
      <w:r>
        <w:rPr/>
        <w:t>the</w:t>
      </w:r>
      <w:r>
        <w:rPr>
          <w:spacing w:val="-7"/>
        </w:rPr>
        <w:t> </w:t>
      </w:r>
      <w:r>
        <w:rPr/>
        <w:t>plant.</w:t>
      </w:r>
      <w:r>
        <w:rPr>
          <w:spacing w:val="-8"/>
        </w:rPr>
        <w:t> </w:t>
      </w:r>
      <w:r>
        <w:rPr/>
        <w:t>Together, ginkgo biloba means ‘two-lobed silver</w:t>
      </w:r>
      <w:r>
        <w:rPr>
          <w:spacing w:val="3"/>
        </w:rPr>
        <w:t> </w:t>
      </w:r>
      <w:r>
        <w:rPr/>
        <w:t>apricot’.</w:t>
      </w:r>
    </w:p>
    <w:p>
      <w:pPr>
        <w:pStyle w:val="BodyText"/>
        <w:spacing w:line="276" w:lineRule="auto" w:before="241"/>
        <w:ind w:left="477" w:right="132"/>
        <w:jc w:val="both"/>
      </w:pPr>
      <w:r>
        <w:rPr/>
        <w:t>There</w:t>
      </w:r>
      <w:r>
        <w:rPr>
          <w:spacing w:val="-18"/>
        </w:rPr>
        <w:t> </w:t>
      </w:r>
      <w:r>
        <w:rPr/>
        <w:t>are</w:t>
      </w:r>
      <w:r>
        <w:rPr>
          <w:spacing w:val="-20"/>
        </w:rPr>
        <w:t> </w:t>
      </w:r>
      <w:r>
        <w:rPr/>
        <w:t>many</w:t>
      </w:r>
      <w:r>
        <w:rPr>
          <w:spacing w:val="-19"/>
        </w:rPr>
        <w:t> </w:t>
      </w:r>
      <w:r>
        <w:rPr/>
        <w:t>other</w:t>
      </w:r>
      <w:r>
        <w:rPr>
          <w:spacing w:val="-18"/>
        </w:rPr>
        <w:t> </w:t>
      </w:r>
      <w:r>
        <w:rPr/>
        <w:t>names</w:t>
      </w:r>
      <w:r>
        <w:rPr>
          <w:spacing w:val="-20"/>
        </w:rPr>
        <w:t> </w:t>
      </w:r>
      <w:r>
        <w:rPr/>
        <w:t>for</w:t>
      </w:r>
      <w:r>
        <w:rPr>
          <w:spacing w:val="-21"/>
        </w:rPr>
        <w:t> </w:t>
      </w:r>
      <w:r>
        <w:rPr/>
        <w:t>ginkgo:</w:t>
      </w:r>
      <w:r>
        <w:rPr>
          <w:spacing w:val="-18"/>
        </w:rPr>
        <w:t> </w:t>
      </w:r>
      <w:r>
        <w:rPr/>
        <w:t>These</w:t>
      </w:r>
      <w:r>
        <w:rPr>
          <w:spacing w:val="-20"/>
        </w:rPr>
        <w:t> </w:t>
      </w:r>
      <w:r>
        <w:rPr/>
        <w:t>range</w:t>
      </w:r>
      <w:r>
        <w:rPr>
          <w:spacing w:val="-17"/>
        </w:rPr>
        <w:t> </w:t>
      </w:r>
      <w:r>
        <w:rPr/>
        <w:t>from</w:t>
      </w:r>
      <w:r>
        <w:rPr>
          <w:spacing w:val="-18"/>
        </w:rPr>
        <w:t> </w:t>
      </w:r>
      <w:r>
        <w:rPr/>
        <w:t>‘Fan</w:t>
      </w:r>
      <w:r>
        <w:rPr>
          <w:spacing w:val="-20"/>
        </w:rPr>
        <w:t> </w:t>
      </w:r>
      <w:r>
        <w:rPr/>
        <w:t>Tree’,</w:t>
      </w:r>
      <w:r>
        <w:rPr>
          <w:spacing w:val="-20"/>
        </w:rPr>
        <w:t> </w:t>
      </w:r>
      <w:r>
        <w:rPr/>
        <w:t>‘Fan</w:t>
      </w:r>
      <w:r>
        <w:rPr>
          <w:spacing w:val="-21"/>
        </w:rPr>
        <w:t> </w:t>
      </w:r>
      <w:r>
        <w:rPr/>
        <w:t>Leaf Tree’ and ‘Girl's Hair Tree’ to ‘Temple Tree’ and ‘Silver</w:t>
      </w:r>
      <w:r>
        <w:rPr>
          <w:spacing w:val="-2"/>
        </w:rPr>
        <w:t> </w:t>
      </w:r>
      <w:r>
        <w:rPr/>
        <w:t>Plum’.</w:t>
      </w:r>
    </w:p>
    <w:p>
      <w:pPr>
        <w:pStyle w:val="BodyText"/>
        <w:rPr>
          <w:sz w:val="42"/>
        </w:rPr>
      </w:pPr>
    </w:p>
    <w:p>
      <w:pPr>
        <w:pStyle w:val="BodyText"/>
        <w:spacing w:before="8"/>
        <w:rPr>
          <w:sz w:val="42"/>
        </w:rPr>
      </w:pPr>
    </w:p>
    <w:p>
      <w:pPr>
        <w:pStyle w:val="Heading1"/>
        <w:spacing w:before="0"/>
      </w:pPr>
      <w:r>
        <w:rPr/>
        <w:t>Ginkgo – the appearance</w:t>
      </w:r>
    </w:p>
    <w:p>
      <w:pPr>
        <w:pStyle w:val="BodyText"/>
        <w:spacing w:line="276" w:lineRule="auto" w:before="299"/>
        <w:ind w:left="477" w:right="134"/>
        <w:jc w:val="both"/>
      </w:pPr>
      <w:r>
        <w:rPr/>
        <w:t>The</w:t>
      </w:r>
      <w:r>
        <w:rPr>
          <w:spacing w:val="-6"/>
        </w:rPr>
        <w:t> </w:t>
      </w:r>
      <w:r>
        <w:rPr/>
        <w:t>tree</w:t>
      </w:r>
      <w:r>
        <w:rPr>
          <w:spacing w:val="-5"/>
        </w:rPr>
        <w:t> </w:t>
      </w:r>
      <w:r>
        <w:rPr/>
        <w:t>reaches</w:t>
      </w:r>
      <w:r>
        <w:rPr>
          <w:spacing w:val="-8"/>
        </w:rPr>
        <w:t> </w:t>
      </w:r>
      <w:r>
        <w:rPr/>
        <w:t>a</w:t>
      </w:r>
      <w:r>
        <w:rPr>
          <w:spacing w:val="-8"/>
        </w:rPr>
        <w:t> </w:t>
      </w:r>
      <w:r>
        <w:rPr/>
        <w:t>height</w:t>
      </w:r>
      <w:r>
        <w:rPr>
          <w:spacing w:val="-5"/>
        </w:rPr>
        <w:t> </w:t>
      </w:r>
      <w:r>
        <w:rPr/>
        <w:t>of</w:t>
      </w:r>
      <w:r>
        <w:rPr>
          <w:spacing w:val="-6"/>
        </w:rPr>
        <w:t> </w:t>
      </w:r>
      <w:r>
        <w:rPr/>
        <w:t>about</w:t>
      </w:r>
      <w:r>
        <w:rPr>
          <w:spacing w:val="-7"/>
        </w:rPr>
        <w:t> </w:t>
      </w:r>
      <w:r>
        <w:rPr/>
        <w:t>30-40</w:t>
      </w:r>
      <w:r>
        <w:rPr>
          <w:spacing w:val="-7"/>
        </w:rPr>
        <w:t> </w:t>
      </w:r>
      <w:r>
        <w:rPr/>
        <w:t>m;</w:t>
      </w:r>
      <w:r>
        <w:rPr>
          <w:spacing w:val="-5"/>
        </w:rPr>
        <w:t> </w:t>
      </w:r>
      <w:r>
        <w:rPr/>
        <w:t>its</w:t>
      </w:r>
      <w:r>
        <w:rPr>
          <w:spacing w:val="-7"/>
        </w:rPr>
        <w:t> </w:t>
      </w:r>
      <w:r>
        <w:rPr/>
        <w:t>bark</w:t>
      </w:r>
      <w:r>
        <w:rPr>
          <w:spacing w:val="-6"/>
        </w:rPr>
        <w:t> </w:t>
      </w:r>
      <w:r>
        <w:rPr/>
        <w:t>is</w:t>
      </w:r>
      <w:r>
        <w:rPr>
          <w:spacing w:val="-6"/>
        </w:rPr>
        <w:t> </w:t>
      </w:r>
      <w:r>
        <w:rPr/>
        <w:t>very</w:t>
      </w:r>
      <w:r>
        <w:rPr>
          <w:spacing w:val="-5"/>
        </w:rPr>
        <w:t> </w:t>
      </w:r>
      <w:r>
        <w:rPr/>
        <w:t>cork-like</w:t>
      </w:r>
      <w:r>
        <w:rPr>
          <w:spacing w:val="-8"/>
        </w:rPr>
        <w:t> </w:t>
      </w:r>
      <w:r>
        <w:rPr/>
        <w:t>and</w:t>
      </w:r>
      <w:r>
        <w:rPr>
          <w:spacing w:val="-6"/>
        </w:rPr>
        <w:t> </w:t>
      </w:r>
      <w:r>
        <w:rPr/>
        <w:t>devel- ops distinct cracks over its long life. The two-part, fan-like leaf of the ginkgo, which</w:t>
      </w:r>
      <w:r>
        <w:rPr>
          <w:spacing w:val="21"/>
        </w:rPr>
        <w:t> </w:t>
      </w:r>
      <w:r>
        <w:rPr/>
        <w:t>was</w:t>
      </w:r>
      <w:r>
        <w:rPr>
          <w:spacing w:val="22"/>
        </w:rPr>
        <w:t> </w:t>
      </w:r>
      <w:r>
        <w:rPr/>
        <w:t>associated</w:t>
      </w:r>
      <w:r>
        <w:rPr>
          <w:spacing w:val="20"/>
        </w:rPr>
        <w:t> </w:t>
      </w:r>
      <w:r>
        <w:rPr/>
        <w:t>with</w:t>
      </w:r>
      <w:r>
        <w:rPr>
          <w:spacing w:val="22"/>
        </w:rPr>
        <w:t> </w:t>
      </w:r>
      <w:r>
        <w:rPr/>
        <w:t>yin</w:t>
      </w:r>
      <w:r>
        <w:rPr>
          <w:spacing w:val="22"/>
        </w:rPr>
        <w:t> </w:t>
      </w:r>
      <w:r>
        <w:rPr/>
        <w:t>and</w:t>
      </w:r>
      <w:r>
        <w:rPr>
          <w:spacing w:val="22"/>
        </w:rPr>
        <w:t> </w:t>
      </w:r>
      <w:r>
        <w:rPr/>
        <w:t>yang</w:t>
      </w:r>
      <w:r>
        <w:rPr>
          <w:spacing w:val="22"/>
        </w:rPr>
        <w:t> </w:t>
      </w:r>
      <w:r>
        <w:rPr/>
        <w:t>and</w:t>
      </w:r>
      <w:r>
        <w:rPr>
          <w:spacing w:val="19"/>
        </w:rPr>
        <w:t> </w:t>
      </w:r>
      <w:r>
        <w:rPr/>
        <w:t>the</w:t>
      </w:r>
      <w:r>
        <w:rPr>
          <w:spacing w:val="20"/>
        </w:rPr>
        <w:t> </w:t>
      </w:r>
      <w:r>
        <w:rPr/>
        <w:t>related</w:t>
      </w:r>
      <w:r>
        <w:rPr>
          <w:spacing w:val="20"/>
        </w:rPr>
        <w:t> </w:t>
      </w:r>
      <w:r>
        <w:rPr/>
        <w:t>philosophy</w:t>
      </w:r>
      <w:r>
        <w:rPr>
          <w:spacing w:val="22"/>
        </w:rPr>
        <w:t> </w:t>
      </w:r>
      <w:r>
        <w:rPr/>
        <w:t>very</w:t>
      </w:r>
      <w:r>
        <w:rPr>
          <w:spacing w:val="20"/>
        </w:rPr>
        <w:t> </w:t>
      </w:r>
      <w:r>
        <w:rPr/>
        <w:t>early</w:t>
      </w:r>
    </w:p>
    <w:p>
      <w:pPr>
        <w:spacing w:after="0" w:line="276" w:lineRule="auto"/>
        <w:jc w:val="both"/>
        <w:sectPr>
          <w:pgSz w:w="14270" w:h="16850"/>
          <w:pgMar w:header="0" w:footer="1891" w:top="1600" w:bottom="2080" w:left="800" w:right="1280"/>
        </w:sectPr>
      </w:pPr>
    </w:p>
    <w:p>
      <w:pPr>
        <w:pStyle w:val="BodyText"/>
        <w:spacing w:line="276" w:lineRule="auto" w:before="181"/>
        <w:ind w:left="477" w:right="129"/>
        <w:jc w:val="both"/>
      </w:pPr>
      <w:r>
        <w:rPr/>
        <w:t>on</w:t>
      </w:r>
      <w:r>
        <w:rPr>
          <w:spacing w:val="-9"/>
        </w:rPr>
        <w:t> </w:t>
      </w:r>
      <w:r>
        <w:rPr/>
        <w:t>in</w:t>
      </w:r>
      <w:r>
        <w:rPr>
          <w:spacing w:val="-9"/>
        </w:rPr>
        <w:t> </w:t>
      </w:r>
      <w:r>
        <w:rPr/>
        <w:t>Asia,</w:t>
      </w:r>
      <w:r>
        <w:rPr>
          <w:spacing w:val="-11"/>
        </w:rPr>
        <w:t> </w:t>
      </w:r>
      <w:r>
        <w:rPr/>
        <w:t>is</w:t>
      </w:r>
      <w:r>
        <w:rPr>
          <w:spacing w:val="-9"/>
        </w:rPr>
        <w:t> </w:t>
      </w:r>
      <w:r>
        <w:rPr/>
        <w:t>unique.</w:t>
      </w:r>
      <w:r>
        <w:rPr>
          <w:spacing w:val="-9"/>
        </w:rPr>
        <w:t> </w:t>
      </w:r>
      <w:r>
        <w:rPr/>
        <w:t>From</w:t>
      </w:r>
      <w:r>
        <w:rPr>
          <w:spacing w:val="-9"/>
        </w:rPr>
        <w:t> </w:t>
      </w:r>
      <w:r>
        <w:rPr/>
        <w:t>September</w:t>
      </w:r>
      <w:r>
        <w:rPr>
          <w:spacing w:val="-9"/>
        </w:rPr>
        <w:t> </w:t>
      </w:r>
      <w:r>
        <w:rPr/>
        <w:t>to</w:t>
      </w:r>
      <w:r>
        <w:rPr>
          <w:spacing w:val="-10"/>
        </w:rPr>
        <w:t> </w:t>
      </w:r>
      <w:r>
        <w:rPr/>
        <w:t>October,</w:t>
      </w:r>
      <w:r>
        <w:rPr>
          <w:spacing w:val="-9"/>
        </w:rPr>
        <w:t> </w:t>
      </w:r>
      <w:r>
        <w:rPr/>
        <w:t>green-yellow</w:t>
      </w:r>
      <w:r>
        <w:rPr>
          <w:spacing w:val="-9"/>
        </w:rPr>
        <w:t> </w:t>
      </w:r>
      <w:r>
        <w:rPr/>
        <w:t>fruits</w:t>
      </w:r>
      <w:r>
        <w:rPr>
          <w:spacing w:val="-10"/>
        </w:rPr>
        <w:t> </w:t>
      </w:r>
      <w:r>
        <w:rPr/>
        <w:t>of</w:t>
      </w:r>
      <w:r>
        <w:rPr>
          <w:spacing w:val="-9"/>
        </w:rPr>
        <w:t> </w:t>
      </w:r>
      <w:r>
        <w:rPr/>
        <w:t>about 3</w:t>
      </w:r>
      <w:r>
        <w:rPr>
          <w:spacing w:val="-17"/>
        </w:rPr>
        <w:t> </w:t>
      </w:r>
      <w:r>
        <w:rPr/>
        <w:t>cm</w:t>
      </w:r>
      <w:r>
        <w:rPr>
          <w:spacing w:val="-15"/>
        </w:rPr>
        <w:t> </w:t>
      </w:r>
      <w:r>
        <w:rPr/>
        <w:t>in</w:t>
      </w:r>
      <w:r>
        <w:rPr>
          <w:spacing w:val="-19"/>
        </w:rPr>
        <w:t> </w:t>
      </w:r>
      <w:r>
        <w:rPr/>
        <w:t>size,</w:t>
      </w:r>
      <w:r>
        <w:rPr>
          <w:spacing w:val="-17"/>
        </w:rPr>
        <w:t> </w:t>
      </w:r>
      <w:r>
        <w:rPr/>
        <w:t>which</w:t>
      </w:r>
      <w:r>
        <w:rPr>
          <w:spacing w:val="-14"/>
        </w:rPr>
        <w:t> </w:t>
      </w:r>
      <w:r>
        <w:rPr/>
        <w:t>also</w:t>
      </w:r>
      <w:r>
        <w:rPr>
          <w:spacing w:val="-16"/>
        </w:rPr>
        <w:t> </w:t>
      </w:r>
      <w:r>
        <w:rPr/>
        <w:t>contain</w:t>
      </w:r>
      <w:r>
        <w:rPr>
          <w:spacing w:val="-16"/>
        </w:rPr>
        <w:t> </w:t>
      </w:r>
      <w:r>
        <w:rPr/>
        <w:t>the</w:t>
      </w:r>
      <w:r>
        <w:rPr>
          <w:spacing w:val="-15"/>
        </w:rPr>
        <w:t> </w:t>
      </w:r>
      <w:r>
        <w:rPr/>
        <w:t>seeds,</w:t>
      </w:r>
      <w:r>
        <w:rPr>
          <w:spacing w:val="-16"/>
        </w:rPr>
        <w:t> </w:t>
      </w:r>
      <w:r>
        <w:rPr/>
        <w:t>grow</w:t>
      </w:r>
      <w:r>
        <w:rPr>
          <w:spacing w:val="-17"/>
        </w:rPr>
        <w:t> </w:t>
      </w:r>
      <w:r>
        <w:rPr/>
        <w:t>on</w:t>
      </w:r>
      <w:r>
        <w:rPr>
          <w:spacing w:val="-15"/>
        </w:rPr>
        <w:t> </w:t>
      </w:r>
      <w:r>
        <w:rPr/>
        <w:t>the</w:t>
      </w:r>
      <w:r>
        <w:rPr>
          <w:spacing w:val="-18"/>
        </w:rPr>
        <w:t> </w:t>
      </w:r>
      <w:r>
        <w:rPr/>
        <w:t>gingko</w:t>
      </w:r>
      <w:r>
        <w:rPr>
          <w:spacing w:val="-15"/>
        </w:rPr>
        <w:t> </w:t>
      </w:r>
      <w:r>
        <w:rPr/>
        <w:t>tree.</w:t>
      </w:r>
      <w:r>
        <w:rPr>
          <w:spacing w:val="-15"/>
        </w:rPr>
        <w:t> </w:t>
      </w:r>
      <w:r>
        <w:rPr/>
        <w:t>Incidentally, the ginkgo tree is a barker; it therefore exists in female and male form, and pollination takes place by</w:t>
      </w:r>
      <w:r>
        <w:rPr>
          <w:spacing w:val="4"/>
        </w:rPr>
        <w:t> </w:t>
      </w:r>
      <w:r>
        <w:rPr/>
        <w:t>wind.</w:t>
      </w:r>
    </w:p>
    <w:p>
      <w:pPr>
        <w:pStyle w:val="Heading1"/>
        <w:spacing w:before="225"/>
        <w:jc w:val="both"/>
      </w:pPr>
      <w:r>
        <w:rPr/>
        <w:t>Ginkgo as a remedy</w:t>
      </w:r>
    </w:p>
    <w:p>
      <w:pPr>
        <w:pStyle w:val="BodyText"/>
        <w:spacing w:line="276" w:lineRule="auto" w:before="297"/>
        <w:ind w:left="477" w:right="138"/>
        <w:jc w:val="both"/>
      </w:pPr>
      <w:r>
        <w:rPr/>
        <w:t>Ginkgo</w:t>
      </w:r>
      <w:r>
        <w:rPr>
          <w:spacing w:val="-4"/>
        </w:rPr>
        <w:t> </w:t>
      </w:r>
      <w:r>
        <w:rPr/>
        <w:t>is</w:t>
      </w:r>
      <w:r>
        <w:rPr>
          <w:spacing w:val="-7"/>
        </w:rPr>
        <w:t> </w:t>
      </w:r>
      <w:r>
        <w:rPr/>
        <w:t>one</w:t>
      </w:r>
      <w:r>
        <w:rPr>
          <w:spacing w:val="-7"/>
        </w:rPr>
        <w:t> </w:t>
      </w:r>
      <w:r>
        <w:rPr/>
        <w:t>of</w:t>
      </w:r>
      <w:r>
        <w:rPr>
          <w:spacing w:val="-5"/>
        </w:rPr>
        <w:t> </w:t>
      </w:r>
      <w:r>
        <w:rPr/>
        <w:t>the</w:t>
      </w:r>
      <w:r>
        <w:rPr>
          <w:spacing w:val="-6"/>
        </w:rPr>
        <w:t> </w:t>
      </w:r>
      <w:r>
        <w:rPr/>
        <w:t>oldest</w:t>
      </w:r>
      <w:r>
        <w:rPr>
          <w:spacing w:val="-5"/>
        </w:rPr>
        <w:t> </w:t>
      </w:r>
      <w:r>
        <w:rPr/>
        <w:t>natural</w:t>
      </w:r>
      <w:r>
        <w:rPr>
          <w:spacing w:val="-6"/>
        </w:rPr>
        <w:t> </w:t>
      </w:r>
      <w:r>
        <w:rPr/>
        <w:t>remedies</w:t>
      </w:r>
      <w:r>
        <w:rPr>
          <w:spacing w:val="-4"/>
        </w:rPr>
        <w:t> </w:t>
      </w:r>
      <w:r>
        <w:rPr/>
        <w:t>ever</w:t>
      </w:r>
      <w:r>
        <w:rPr>
          <w:spacing w:val="-4"/>
        </w:rPr>
        <w:t> </w:t>
      </w:r>
      <w:r>
        <w:rPr/>
        <w:t>and</w:t>
      </w:r>
      <w:r>
        <w:rPr>
          <w:spacing w:val="-4"/>
        </w:rPr>
        <w:t> </w:t>
      </w:r>
      <w:r>
        <w:rPr/>
        <w:t>can</w:t>
      </w:r>
      <w:r>
        <w:rPr>
          <w:spacing w:val="-7"/>
        </w:rPr>
        <w:t> </w:t>
      </w:r>
      <w:r>
        <w:rPr/>
        <w:t>lay</w:t>
      </w:r>
      <w:r>
        <w:rPr>
          <w:spacing w:val="-6"/>
        </w:rPr>
        <w:t> </w:t>
      </w:r>
      <w:r>
        <w:rPr/>
        <w:t>claim</w:t>
      </w:r>
      <w:r>
        <w:rPr>
          <w:spacing w:val="-5"/>
        </w:rPr>
        <w:t> </w:t>
      </w:r>
      <w:r>
        <w:rPr/>
        <w:t>to</w:t>
      </w:r>
      <w:r>
        <w:rPr>
          <w:spacing w:val="-3"/>
        </w:rPr>
        <w:t> </w:t>
      </w:r>
      <w:r>
        <w:rPr/>
        <w:t>a</w:t>
      </w:r>
      <w:r>
        <w:rPr>
          <w:spacing w:val="-8"/>
        </w:rPr>
        <w:t> </w:t>
      </w:r>
      <w:r>
        <w:rPr/>
        <w:t>natural healing tradition in Asia over 2,000 years old; for a few years now, people in North America and Europe have been paying more</w:t>
      </w:r>
      <w:r>
        <w:rPr>
          <w:spacing w:val="-8"/>
        </w:rPr>
        <w:t> </w:t>
      </w:r>
      <w:r>
        <w:rPr/>
        <w:t>attention.</w:t>
      </w:r>
    </w:p>
    <w:p>
      <w:pPr>
        <w:pStyle w:val="BodyText"/>
        <w:spacing w:line="276" w:lineRule="auto" w:before="241"/>
        <w:ind w:left="477" w:right="135"/>
        <w:jc w:val="both"/>
      </w:pPr>
      <w:r>
        <w:rPr/>
        <w:t>The seeds and extracts from the ginkgo leaves are used and processed in the Western world to make ginkgo tea, ginkgo drops, ginkgo pills or ginkgo tablets for naturopathic purposes. Among other things, circulatory disorders, stomach disorders, tinnitus, asthma, bronchitis, dementia, Alzheimer's, vascular occlu- sion, consequences of diabetes and cardiovascular diseases are treated with ginkgo,</w:t>
      </w:r>
      <w:r>
        <w:rPr>
          <w:spacing w:val="-8"/>
        </w:rPr>
        <w:t> </w:t>
      </w:r>
      <w:r>
        <w:rPr/>
        <w:t>and</w:t>
      </w:r>
      <w:r>
        <w:rPr>
          <w:spacing w:val="-9"/>
        </w:rPr>
        <w:t> </w:t>
      </w:r>
      <w:r>
        <w:rPr/>
        <w:t>its</w:t>
      </w:r>
      <w:r>
        <w:rPr>
          <w:spacing w:val="-9"/>
        </w:rPr>
        <w:t> </w:t>
      </w:r>
      <w:r>
        <w:rPr/>
        <w:t>effects</w:t>
      </w:r>
      <w:r>
        <w:rPr>
          <w:spacing w:val="-8"/>
        </w:rPr>
        <w:t> </w:t>
      </w:r>
      <w:r>
        <w:rPr/>
        <w:t>on</w:t>
      </w:r>
      <w:r>
        <w:rPr>
          <w:spacing w:val="-8"/>
        </w:rPr>
        <w:t> </w:t>
      </w:r>
      <w:r>
        <w:rPr/>
        <w:t>cancer</w:t>
      </w:r>
      <w:r>
        <w:rPr>
          <w:spacing w:val="-9"/>
        </w:rPr>
        <w:t> </w:t>
      </w:r>
      <w:r>
        <w:rPr/>
        <w:t>have</w:t>
      </w:r>
      <w:r>
        <w:rPr>
          <w:spacing w:val="-9"/>
        </w:rPr>
        <w:t> </w:t>
      </w:r>
      <w:r>
        <w:rPr/>
        <w:t>repeatedly</w:t>
      </w:r>
      <w:r>
        <w:rPr>
          <w:spacing w:val="-7"/>
        </w:rPr>
        <w:t> </w:t>
      </w:r>
      <w:r>
        <w:rPr/>
        <w:t>made</w:t>
      </w:r>
      <w:r>
        <w:rPr>
          <w:spacing w:val="-9"/>
        </w:rPr>
        <w:t> </w:t>
      </w:r>
      <w:r>
        <w:rPr/>
        <w:t>scientists</w:t>
      </w:r>
      <w:r>
        <w:rPr>
          <w:spacing w:val="-8"/>
        </w:rPr>
        <w:t> </w:t>
      </w:r>
      <w:r>
        <w:rPr/>
        <w:t>sit</w:t>
      </w:r>
      <w:r>
        <w:rPr>
          <w:spacing w:val="-10"/>
        </w:rPr>
        <w:t> </w:t>
      </w:r>
      <w:r>
        <w:rPr/>
        <w:t>up</w:t>
      </w:r>
      <w:r>
        <w:rPr>
          <w:spacing w:val="-10"/>
        </w:rPr>
        <w:t> </w:t>
      </w:r>
      <w:r>
        <w:rPr/>
        <w:t>and</w:t>
      </w:r>
      <w:r>
        <w:rPr>
          <w:spacing w:val="-8"/>
        </w:rPr>
        <w:t> </w:t>
      </w:r>
      <w:r>
        <w:rPr/>
        <w:t>take notice.</w:t>
      </w:r>
    </w:p>
    <w:p>
      <w:pPr>
        <w:pStyle w:val="BodyText"/>
        <w:rPr>
          <w:sz w:val="42"/>
        </w:rPr>
      </w:pPr>
    </w:p>
    <w:p>
      <w:pPr>
        <w:pStyle w:val="BodyText"/>
        <w:spacing w:before="2"/>
        <w:rPr>
          <w:sz w:val="43"/>
        </w:rPr>
      </w:pPr>
    </w:p>
    <w:p>
      <w:pPr>
        <w:pStyle w:val="Heading1"/>
        <w:spacing w:before="0"/>
        <w:jc w:val="both"/>
      </w:pPr>
      <w:r>
        <w:rPr/>
        <w:t>Ginkgo is cultivated in Europe</w:t>
      </w:r>
    </w:p>
    <w:p>
      <w:pPr>
        <w:pStyle w:val="BodyText"/>
        <w:spacing w:line="276" w:lineRule="auto" w:before="256"/>
        <w:ind w:left="477" w:right="132"/>
        <w:jc w:val="both"/>
      </w:pPr>
      <w:r>
        <w:rPr/>
        <w:t>The Chinese started to cultivate the ginkgo tree in the 11th century AD. In Europe, the first ginkgo tree was planted in the botanical garden of the Dutch University of Utrecht in 1730.</w:t>
      </w:r>
    </w:p>
    <w:p>
      <w:pPr>
        <w:spacing w:after="0" w:line="276" w:lineRule="auto"/>
        <w:jc w:val="both"/>
        <w:sectPr>
          <w:footerReference w:type="default" r:id="rId105"/>
          <w:pgSz w:w="14270" w:h="16850"/>
          <w:pgMar w:footer="1891" w:header="0" w:top="1600" w:bottom="2080" w:left="800" w:right="1280"/>
          <w:pgNumType w:start="400"/>
        </w:sectPr>
      </w:pPr>
    </w:p>
    <w:p>
      <w:pPr>
        <w:pStyle w:val="BodyText"/>
        <w:spacing w:line="278" w:lineRule="auto" w:before="181"/>
        <w:ind w:left="477" w:right="134"/>
        <w:jc w:val="both"/>
      </w:pPr>
      <w:r>
        <w:rPr/>
        <w:t>Last</w:t>
      </w:r>
      <w:r>
        <w:rPr>
          <w:spacing w:val="-13"/>
        </w:rPr>
        <w:t> </w:t>
      </w:r>
      <w:r>
        <w:rPr/>
        <w:t>but</w:t>
      </w:r>
      <w:r>
        <w:rPr>
          <w:spacing w:val="-14"/>
        </w:rPr>
        <w:t> </w:t>
      </w:r>
      <w:r>
        <w:rPr/>
        <w:t>not</w:t>
      </w:r>
      <w:r>
        <w:rPr>
          <w:spacing w:val="-13"/>
        </w:rPr>
        <w:t> </w:t>
      </w:r>
      <w:r>
        <w:rPr/>
        <w:t>least,</w:t>
      </w:r>
      <w:r>
        <w:rPr>
          <w:spacing w:val="-13"/>
        </w:rPr>
        <w:t> </w:t>
      </w:r>
      <w:r>
        <w:rPr/>
        <w:t>the</w:t>
      </w:r>
      <w:r>
        <w:rPr>
          <w:spacing w:val="-12"/>
        </w:rPr>
        <w:t> </w:t>
      </w:r>
      <w:r>
        <w:rPr/>
        <w:t>fame</w:t>
      </w:r>
      <w:r>
        <w:rPr>
          <w:spacing w:val="-13"/>
        </w:rPr>
        <w:t> </w:t>
      </w:r>
      <w:r>
        <w:rPr/>
        <w:t>of</w:t>
      </w:r>
      <w:r>
        <w:rPr>
          <w:spacing w:val="-13"/>
        </w:rPr>
        <w:t> </w:t>
      </w:r>
      <w:r>
        <w:rPr/>
        <w:t>the</w:t>
      </w:r>
      <w:r>
        <w:rPr>
          <w:spacing w:val="-13"/>
        </w:rPr>
        <w:t> </w:t>
      </w:r>
      <w:r>
        <w:rPr/>
        <w:t>ginkgo</w:t>
      </w:r>
      <w:r>
        <w:rPr>
          <w:spacing w:val="-13"/>
        </w:rPr>
        <w:t> </w:t>
      </w:r>
      <w:r>
        <w:rPr/>
        <w:t>tree</w:t>
      </w:r>
      <w:r>
        <w:rPr>
          <w:spacing w:val="-12"/>
        </w:rPr>
        <w:t> </w:t>
      </w:r>
      <w:r>
        <w:rPr/>
        <w:t>in</w:t>
      </w:r>
      <w:r>
        <w:rPr>
          <w:spacing w:val="-15"/>
        </w:rPr>
        <w:t> </w:t>
      </w:r>
      <w:r>
        <w:rPr/>
        <w:t>Europe</w:t>
      </w:r>
      <w:r>
        <w:rPr>
          <w:spacing w:val="-13"/>
        </w:rPr>
        <w:t> </w:t>
      </w:r>
      <w:r>
        <w:rPr/>
        <w:t>is</w:t>
      </w:r>
      <w:r>
        <w:rPr>
          <w:spacing w:val="-12"/>
        </w:rPr>
        <w:t> </w:t>
      </w:r>
      <w:r>
        <w:rPr/>
        <w:t>due</w:t>
      </w:r>
      <w:r>
        <w:rPr>
          <w:spacing w:val="-14"/>
        </w:rPr>
        <w:t> </w:t>
      </w:r>
      <w:r>
        <w:rPr/>
        <w:t>to</w:t>
      </w:r>
      <w:r>
        <w:rPr>
          <w:spacing w:val="-13"/>
        </w:rPr>
        <w:t> </w:t>
      </w:r>
      <w:r>
        <w:rPr/>
        <w:t>Johann</w:t>
      </w:r>
      <w:r>
        <w:rPr>
          <w:spacing w:val="-13"/>
        </w:rPr>
        <w:t> </w:t>
      </w:r>
      <w:r>
        <w:rPr/>
        <w:t>Wolf- gang von Goethe, who dedicated his own verse to it in</w:t>
      </w:r>
      <w:r>
        <w:rPr>
          <w:spacing w:val="-2"/>
        </w:rPr>
        <w:t> </w:t>
      </w:r>
      <w:r>
        <w:rPr/>
        <w:t>1815:</w:t>
      </w:r>
    </w:p>
    <w:p>
      <w:pPr>
        <w:pStyle w:val="BodyText"/>
        <w:rPr>
          <w:sz w:val="42"/>
        </w:rPr>
      </w:pPr>
    </w:p>
    <w:p>
      <w:pPr>
        <w:pStyle w:val="BodyText"/>
        <w:spacing w:before="5"/>
        <w:rPr>
          <w:sz w:val="36"/>
        </w:rPr>
      </w:pPr>
    </w:p>
    <w:p>
      <w:pPr>
        <w:pStyle w:val="Heading2"/>
        <w:spacing w:before="1"/>
        <w:ind w:left="1470"/>
      </w:pPr>
      <w:r>
        <w:rPr/>
        <w:t>‘Ginkgo biloba</w:t>
      </w:r>
    </w:p>
    <w:p>
      <w:pPr>
        <w:spacing w:line="276" w:lineRule="auto" w:before="184"/>
        <w:ind w:left="1470" w:right="6967" w:firstLine="0"/>
        <w:jc w:val="left"/>
        <w:rPr>
          <w:i/>
          <w:sz w:val="38"/>
        </w:rPr>
      </w:pPr>
      <w:r>
        <w:rPr>
          <w:i/>
          <w:sz w:val="38"/>
        </w:rPr>
        <w:t>To my garden here translated, </w:t>
      </w:r>
      <w:r>
        <w:rPr>
          <w:i/>
          <w:sz w:val="38"/>
        </w:rPr>
        <w:t>Foliage of this eastern tree Nourishes the initiated</w:t>
      </w:r>
    </w:p>
    <w:p>
      <w:pPr>
        <w:spacing w:before="2"/>
        <w:ind w:left="1470" w:right="0" w:firstLine="0"/>
        <w:jc w:val="left"/>
        <w:rPr>
          <w:i/>
          <w:sz w:val="38"/>
        </w:rPr>
      </w:pPr>
      <w:r>
        <w:rPr>
          <w:i/>
          <w:sz w:val="38"/>
        </w:rPr>
        <w:t>With its meaning’s mystery.</w:t>
      </w:r>
    </w:p>
    <w:p>
      <w:pPr>
        <w:pStyle w:val="BodyText"/>
        <w:spacing w:before="2"/>
        <w:rPr>
          <w:i/>
          <w:sz w:val="49"/>
        </w:rPr>
      </w:pPr>
    </w:p>
    <w:p>
      <w:pPr>
        <w:spacing w:line="276" w:lineRule="auto" w:before="1"/>
        <w:ind w:left="1470" w:right="7015" w:firstLine="0"/>
        <w:jc w:val="left"/>
        <w:rPr>
          <w:i/>
          <w:sz w:val="38"/>
        </w:rPr>
      </w:pPr>
      <w:r>
        <w:rPr>
          <w:i/>
          <w:sz w:val="38"/>
        </w:rPr>
        <w:t>Is its leaf one self divided, </w:t>
      </w:r>
      <w:r>
        <w:rPr>
          <w:i/>
          <w:sz w:val="38"/>
        </w:rPr>
        <w:t>Forked into a shape of strife? Or have two of them decided On a symbiotic life?</w:t>
      </w:r>
    </w:p>
    <w:p>
      <w:pPr>
        <w:pStyle w:val="BodyText"/>
        <w:spacing w:before="10"/>
        <w:rPr>
          <w:i/>
          <w:sz w:val="43"/>
        </w:rPr>
      </w:pPr>
    </w:p>
    <w:p>
      <w:pPr>
        <w:spacing w:line="276" w:lineRule="auto" w:before="0"/>
        <w:ind w:left="1470" w:right="6975" w:firstLine="0"/>
        <w:jc w:val="left"/>
        <w:rPr>
          <w:i/>
          <w:sz w:val="38"/>
        </w:rPr>
      </w:pPr>
      <w:r>
        <w:rPr>
          <w:i/>
          <w:sz w:val="38"/>
        </w:rPr>
        <w:t>This I answer without trouble </w:t>
      </w:r>
      <w:r>
        <w:rPr>
          <w:i/>
          <w:sz w:val="38"/>
        </w:rPr>
        <w:t>And am qualified to know:</w:t>
      </w:r>
    </w:p>
    <w:p>
      <w:pPr>
        <w:spacing w:line="276" w:lineRule="auto" w:before="0"/>
        <w:ind w:left="1470" w:right="7100" w:firstLine="0"/>
        <w:jc w:val="left"/>
        <w:rPr>
          <w:i/>
          <w:sz w:val="38"/>
        </w:rPr>
      </w:pPr>
      <w:r>
        <w:rPr>
          <w:i/>
          <w:sz w:val="38"/>
        </w:rPr>
        <w:t>I am single, I am double, </w:t>
      </w:r>
      <w:r>
        <w:rPr>
          <w:i/>
          <w:sz w:val="38"/>
        </w:rPr>
        <w:t>And my poems tell you</w:t>
      </w:r>
      <w:r>
        <w:rPr>
          <w:i/>
          <w:spacing w:val="-7"/>
          <w:sz w:val="38"/>
        </w:rPr>
        <w:t> </w:t>
      </w:r>
      <w:r>
        <w:rPr>
          <w:i/>
          <w:sz w:val="38"/>
        </w:rPr>
        <w:t>so.’</w:t>
      </w:r>
    </w:p>
    <w:p>
      <w:pPr>
        <w:pStyle w:val="BodyText"/>
        <w:spacing w:before="7"/>
        <w:rPr>
          <w:i/>
          <w:sz w:val="43"/>
        </w:rPr>
      </w:pPr>
    </w:p>
    <w:p>
      <w:pPr>
        <w:pStyle w:val="BodyText"/>
        <w:spacing w:line="276" w:lineRule="auto"/>
        <w:ind w:left="477" w:right="136"/>
        <w:jc w:val="both"/>
      </w:pPr>
      <w:r>
        <w:rPr/>
        <w:t>The following sections are devoted to the detailed yet objective information about this very special tree with its amazing qualities which humans have been benefiting from for millennia.</w:t>
      </w:r>
    </w:p>
    <w:p>
      <w:pPr>
        <w:spacing w:after="0" w:line="276" w:lineRule="auto"/>
        <w:jc w:val="both"/>
        <w:sectPr>
          <w:pgSz w:w="14270" w:h="16850"/>
          <w:pgMar w:header="0" w:footer="1891" w:top="1600" w:bottom="2080" w:left="800" w:right="1280"/>
        </w:sectPr>
      </w:pPr>
    </w:p>
    <w:p>
      <w:pPr>
        <w:spacing w:before="181"/>
        <w:ind w:left="477" w:right="0" w:firstLine="0"/>
        <w:jc w:val="both"/>
        <w:rPr>
          <w:i/>
          <w:sz w:val="38"/>
        </w:rPr>
      </w:pPr>
      <w:r>
        <w:rPr>
          <w:i/>
          <w:sz w:val="38"/>
        </w:rPr>
        <w:t>Active ingredients in ginkgo biloba</w:t>
      </w:r>
    </w:p>
    <w:p>
      <w:pPr>
        <w:pStyle w:val="BodyText"/>
        <w:spacing w:line="276" w:lineRule="auto" w:before="305"/>
        <w:ind w:left="477" w:right="131"/>
        <w:jc w:val="both"/>
      </w:pPr>
      <w:r>
        <w:rPr/>
        <w:t>It is the flavonoids and terpenoids that are abundant in ginkgo which are pri- marily</w:t>
      </w:r>
      <w:r>
        <w:rPr>
          <w:spacing w:val="-7"/>
        </w:rPr>
        <w:t> </w:t>
      </w:r>
      <w:r>
        <w:rPr/>
        <w:t>responsible</w:t>
      </w:r>
      <w:r>
        <w:rPr>
          <w:spacing w:val="-7"/>
        </w:rPr>
        <w:t> </w:t>
      </w:r>
      <w:r>
        <w:rPr/>
        <w:t>for</w:t>
      </w:r>
      <w:r>
        <w:rPr>
          <w:spacing w:val="-7"/>
        </w:rPr>
        <w:t> </w:t>
      </w:r>
      <w:r>
        <w:rPr/>
        <w:t>the</w:t>
      </w:r>
      <w:r>
        <w:rPr>
          <w:spacing w:val="-8"/>
        </w:rPr>
        <w:t> </w:t>
      </w:r>
      <w:r>
        <w:rPr/>
        <w:t>positive</w:t>
      </w:r>
      <w:r>
        <w:rPr>
          <w:spacing w:val="-6"/>
        </w:rPr>
        <w:t> </w:t>
      </w:r>
      <w:r>
        <w:rPr/>
        <w:t>effect</w:t>
      </w:r>
      <w:r>
        <w:rPr>
          <w:spacing w:val="-9"/>
        </w:rPr>
        <w:t> </w:t>
      </w:r>
      <w:r>
        <w:rPr/>
        <w:t>on</w:t>
      </w:r>
      <w:r>
        <w:rPr>
          <w:spacing w:val="-7"/>
        </w:rPr>
        <w:t> </w:t>
      </w:r>
      <w:r>
        <w:rPr/>
        <w:t>our</w:t>
      </w:r>
      <w:r>
        <w:rPr>
          <w:spacing w:val="-7"/>
        </w:rPr>
        <w:t> </w:t>
      </w:r>
      <w:r>
        <w:rPr/>
        <w:t>health.</w:t>
      </w:r>
      <w:r>
        <w:rPr>
          <w:spacing w:val="-5"/>
        </w:rPr>
        <w:t> </w:t>
      </w:r>
      <w:r>
        <w:rPr/>
        <w:t>They</w:t>
      </w:r>
      <w:r>
        <w:rPr>
          <w:spacing w:val="-9"/>
        </w:rPr>
        <w:t> </w:t>
      </w:r>
      <w:r>
        <w:rPr/>
        <w:t>belong</w:t>
      </w:r>
      <w:r>
        <w:rPr>
          <w:spacing w:val="-5"/>
        </w:rPr>
        <w:t> </w:t>
      </w:r>
      <w:r>
        <w:rPr/>
        <w:t>to</w:t>
      </w:r>
      <w:r>
        <w:rPr>
          <w:spacing w:val="-9"/>
        </w:rPr>
        <w:t> </w:t>
      </w:r>
      <w:r>
        <w:rPr/>
        <w:t>the</w:t>
      </w:r>
      <w:r>
        <w:rPr>
          <w:spacing w:val="-7"/>
        </w:rPr>
        <w:t> </w:t>
      </w:r>
      <w:r>
        <w:rPr/>
        <w:t>two active</w:t>
      </w:r>
      <w:r>
        <w:rPr>
          <w:spacing w:val="-11"/>
        </w:rPr>
        <w:t> </w:t>
      </w:r>
      <w:r>
        <w:rPr/>
        <w:t>ingredient</w:t>
      </w:r>
      <w:r>
        <w:rPr>
          <w:spacing w:val="-7"/>
        </w:rPr>
        <w:t> </w:t>
      </w:r>
      <w:r>
        <w:rPr/>
        <w:t>groups</w:t>
      </w:r>
      <w:r>
        <w:rPr>
          <w:spacing w:val="-8"/>
        </w:rPr>
        <w:t> </w:t>
      </w:r>
      <w:r>
        <w:rPr/>
        <w:t>of</w:t>
      </w:r>
      <w:r>
        <w:rPr>
          <w:spacing w:val="-11"/>
        </w:rPr>
        <w:t> </w:t>
      </w:r>
      <w:r>
        <w:rPr/>
        <w:t>ginkgo</w:t>
      </w:r>
      <w:r>
        <w:rPr>
          <w:spacing w:val="-9"/>
        </w:rPr>
        <w:t> </w:t>
      </w:r>
      <w:r>
        <w:rPr/>
        <w:t>flavone</w:t>
      </w:r>
      <w:r>
        <w:rPr>
          <w:spacing w:val="-9"/>
        </w:rPr>
        <w:t> </w:t>
      </w:r>
      <w:r>
        <w:rPr/>
        <w:t>glycosides</w:t>
      </w:r>
      <w:r>
        <w:rPr>
          <w:spacing w:val="-9"/>
        </w:rPr>
        <w:t> </w:t>
      </w:r>
      <w:r>
        <w:rPr/>
        <w:t>and</w:t>
      </w:r>
      <w:r>
        <w:rPr>
          <w:spacing w:val="-9"/>
        </w:rPr>
        <w:t> </w:t>
      </w:r>
      <w:r>
        <w:rPr/>
        <w:t>terpene</w:t>
      </w:r>
      <w:r>
        <w:rPr>
          <w:spacing w:val="-11"/>
        </w:rPr>
        <w:t> </w:t>
      </w:r>
      <w:r>
        <w:rPr/>
        <w:t>lactones.</w:t>
      </w:r>
      <w:r>
        <w:rPr>
          <w:spacing w:val="-8"/>
        </w:rPr>
        <w:t> </w:t>
      </w:r>
      <w:r>
        <w:rPr/>
        <w:t>It</w:t>
      </w:r>
      <w:r>
        <w:rPr>
          <w:spacing w:val="-9"/>
        </w:rPr>
        <w:t> </w:t>
      </w:r>
      <w:r>
        <w:rPr/>
        <w:t>is therefore not a matter of individual active ingredients that achieve this wide- ranging effect; rather, it is the perfect composition of several groups that work together synergistically.</w:t>
      </w:r>
    </w:p>
    <w:p>
      <w:pPr>
        <w:pStyle w:val="BodyText"/>
        <w:spacing w:line="276" w:lineRule="auto" w:before="240"/>
        <w:ind w:left="477" w:right="132"/>
        <w:jc w:val="both"/>
      </w:pPr>
      <w:r>
        <w:rPr/>
        <w:t>It must be emphasised, however, that ginkgo has certain active substances that are</w:t>
      </w:r>
      <w:r>
        <w:rPr>
          <w:spacing w:val="-26"/>
        </w:rPr>
        <w:t> </w:t>
      </w:r>
      <w:r>
        <w:rPr/>
        <w:t>not</w:t>
      </w:r>
      <w:r>
        <w:rPr>
          <w:spacing w:val="-25"/>
        </w:rPr>
        <w:t> </w:t>
      </w:r>
      <w:r>
        <w:rPr/>
        <w:t>in</w:t>
      </w:r>
      <w:r>
        <w:rPr>
          <w:spacing w:val="-27"/>
        </w:rPr>
        <w:t> </w:t>
      </w:r>
      <w:r>
        <w:rPr/>
        <w:t>any</w:t>
      </w:r>
      <w:r>
        <w:rPr>
          <w:spacing w:val="-24"/>
        </w:rPr>
        <w:t> </w:t>
      </w:r>
      <w:r>
        <w:rPr/>
        <w:t>other</w:t>
      </w:r>
      <w:r>
        <w:rPr>
          <w:spacing w:val="-24"/>
        </w:rPr>
        <w:t> </w:t>
      </w:r>
      <w:r>
        <w:rPr/>
        <w:t>fruit:</w:t>
      </w:r>
      <w:r>
        <w:rPr>
          <w:spacing w:val="-25"/>
        </w:rPr>
        <w:t> </w:t>
      </w:r>
      <w:r>
        <w:rPr/>
        <w:t>so-called</w:t>
      </w:r>
      <w:r>
        <w:rPr>
          <w:spacing w:val="-26"/>
        </w:rPr>
        <w:t> </w:t>
      </w:r>
      <w:r>
        <w:rPr/>
        <w:t>ginkgolides.</w:t>
      </w:r>
      <w:r>
        <w:rPr>
          <w:spacing w:val="-24"/>
        </w:rPr>
        <w:t> </w:t>
      </w:r>
      <w:r>
        <w:rPr/>
        <w:t>This</w:t>
      </w:r>
      <w:r>
        <w:rPr>
          <w:spacing w:val="-24"/>
        </w:rPr>
        <w:t> </w:t>
      </w:r>
      <w:r>
        <w:rPr/>
        <w:t>is</w:t>
      </w:r>
      <w:r>
        <w:rPr>
          <w:spacing w:val="-25"/>
        </w:rPr>
        <w:t> </w:t>
      </w:r>
      <w:r>
        <w:rPr/>
        <w:t>another</w:t>
      </w:r>
      <w:r>
        <w:rPr>
          <w:spacing w:val="-24"/>
        </w:rPr>
        <w:t> </w:t>
      </w:r>
      <w:r>
        <w:rPr/>
        <w:t>important</w:t>
      </w:r>
      <w:r>
        <w:rPr>
          <w:spacing w:val="-25"/>
        </w:rPr>
        <w:t> </w:t>
      </w:r>
      <w:r>
        <w:rPr/>
        <w:t>reason for the unique effect of ginkgo on our bodies, and the synthesis of ginkgolides in</w:t>
      </w:r>
      <w:r>
        <w:rPr>
          <w:spacing w:val="-4"/>
        </w:rPr>
        <w:t> </w:t>
      </w:r>
      <w:r>
        <w:rPr/>
        <w:t>the</w:t>
      </w:r>
      <w:r>
        <w:rPr>
          <w:spacing w:val="-7"/>
        </w:rPr>
        <w:t> </w:t>
      </w:r>
      <w:r>
        <w:rPr/>
        <w:t>plant</w:t>
      </w:r>
      <w:r>
        <w:rPr>
          <w:spacing w:val="-5"/>
        </w:rPr>
        <w:t> </w:t>
      </w:r>
      <w:r>
        <w:rPr/>
        <w:t>cells</w:t>
      </w:r>
      <w:r>
        <w:rPr>
          <w:spacing w:val="-6"/>
        </w:rPr>
        <w:t> </w:t>
      </w:r>
      <w:r>
        <w:rPr/>
        <w:t>even</w:t>
      </w:r>
      <w:r>
        <w:rPr>
          <w:spacing w:val="-6"/>
        </w:rPr>
        <w:t> </w:t>
      </w:r>
      <w:r>
        <w:rPr/>
        <w:t>helped</w:t>
      </w:r>
      <w:r>
        <w:rPr>
          <w:spacing w:val="-5"/>
        </w:rPr>
        <w:t> </w:t>
      </w:r>
      <w:r>
        <w:rPr/>
        <w:t>the</w:t>
      </w:r>
      <w:r>
        <w:rPr>
          <w:spacing w:val="-6"/>
        </w:rPr>
        <w:t> </w:t>
      </w:r>
      <w:r>
        <w:rPr/>
        <w:t>researcher</w:t>
      </w:r>
      <w:r>
        <w:rPr>
          <w:spacing w:val="-7"/>
        </w:rPr>
        <w:t> </w:t>
      </w:r>
      <w:r>
        <w:rPr/>
        <w:t>E.J.</w:t>
      </w:r>
      <w:r>
        <w:rPr>
          <w:spacing w:val="-2"/>
        </w:rPr>
        <w:t> </w:t>
      </w:r>
      <w:r>
        <w:rPr/>
        <w:t>Corey</w:t>
      </w:r>
      <w:r>
        <w:rPr>
          <w:spacing w:val="-2"/>
        </w:rPr>
        <w:t> </w:t>
      </w:r>
      <w:r>
        <w:rPr/>
        <w:t>win</w:t>
      </w:r>
      <w:r>
        <w:rPr>
          <w:spacing w:val="-4"/>
        </w:rPr>
        <w:t> </w:t>
      </w:r>
      <w:r>
        <w:rPr/>
        <w:t>the</w:t>
      </w:r>
      <w:r>
        <w:rPr>
          <w:spacing w:val="-7"/>
        </w:rPr>
        <w:t> </w:t>
      </w:r>
      <w:r>
        <w:rPr/>
        <w:t>Nobel</w:t>
      </w:r>
      <w:r>
        <w:rPr>
          <w:spacing w:val="-4"/>
        </w:rPr>
        <w:t> </w:t>
      </w:r>
      <w:r>
        <w:rPr/>
        <w:t>Prize</w:t>
      </w:r>
      <w:r>
        <w:rPr>
          <w:spacing w:val="-7"/>
        </w:rPr>
        <w:t> </w:t>
      </w:r>
      <w:r>
        <w:rPr/>
        <w:t>for Chemistry!</w:t>
      </w:r>
    </w:p>
    <w:p>
      <w:pPr>
        <w:pStyle w:val="BodyText"/>
        <w:spacing w:line="276" w:lineRule="auto" w:before="240"/>
        <w:ind w:left="477" w:right="131"/>
        <w:jc w:val="both"/>
      </w:pPr>
      <w:r>
        <w:rPr/>
        <w:t>As</w:t>
      </w:r>
      <w:r>
        <w:rPr>
          <w:spacing w:val="-9"/>
        </w:rPr>
        <w:t> </w:t>
      </w:r>
      <w:r>
        <w:rPr/>
        <w:t>far</w:t>
      </w:r>
      <w:r>
        <w:rPr>
          <w:spacing w:val="-9"/>
        </w:rPr>
        <w:t> </w:t>
      </w:r>
      <w:r>
        <w:rPr/>
        <w:t>as</w:t>
      </w:r>
      <w:r>
        <w:rPr>
          <w:spacing w:val="-10"/>
        </w:rPr>
        <w:t> </w:t>
      </w:r>
      <w:r>
        <w:rPr/>
        <w:t>macronutrients</w:t>
      </w:r>
      <w:r>
        <w:rPr>
          <w:spacing w:val="-8"/>
        </w:rPr>
        <w:t> </w:t>
      </w:r>
      <w:r>
        <w:rPr/>
        <w:t>are</w:t>
      </w:r>
      <w:r>
        <w:rPr>
          <w:spacing w:val="-9"/>
        </w:rPr>
        <w:t> </w:t>
      </w:r>
      <w:r>
        <w:rPr/>
        <w:t>concerned,</w:t>
      </w:r>
      <w:r>
        <w:rPr>
          <w:spacing w:val="-9"/>
        </w:rPr>
        <w:t> </w:t>
      </w:r>
      <w:r>
        <w:rPr/>
        <w:t>ginkgo</w:t>
      </w:r>
      <w:r>
        <w:rPr>
          <w:spacing w:val="-13"/>
        </w:rPr>
        <w:t> </w:t>
      </w:r>
      <w:r>
        <w:rPr/>
        <w:t>seeds</w:t>
      </w:r>
      <w:r>
        <w:rPr>
          <w:spacing w:val="-9"/>
        </w:rPr>
        <w:t> </w:t>
      </w:r>
      <w:r>
        <w:rPr/>
        <w:t>are</w:t>
      </w:r>
      <w:r>
        <w:rPr>
          <w:spacing w:val="-8"/>
        </w:rPr>
        <w:t> </w:t>
      </w:r>
      <w:r>
        <w:rPr/>
        <w:t>4.3</w:t>
      </w:r>
      <w:r>
        <w:rPr>
          <w:spacing w:val="-7"/>
        </w:rPr>
        <w:t> </w:t>
      </w:r>
      <w:r>
        <w:rPr/>
        <w:t>%</w:t>
      </w:r>
      <w:r>
        <w:rPr>
          <w:spacing w:val="-12"/>
        </w:rPr>
        <w:t> </w:t>
      </w:r>
      <w:r>
        <w:rPr/>
        <w:t>protein,</w:t>
      </w:r>
      <w:r>
        <w:rPr>
          <w:spacing w:val="-8"/>
        </w:rPr>
        <w:t> </w:t>
      </w:r>
      <w:r>
        <w:rPr/>
        <w:t>37.8</w:t>
      </w:r>
      <w:r>
        <w:rPr>
          <w:spacing w:val="-7"/>
        </w:rPr>
        <w:t> </w:t>
      </w:r>
      <w:r>
        <w:rPr/>
        <w:t>% carbohydrates and 1.7 %</w:t>
      </w:r>
      <w:r>
        <w:rPr>
          <w:spacing w:val="3"/>
        </w:rPr>
        <w:t> </w:t>
      </w:r>
      <w:r>
        <w:rPr/>
        <w:t>fats.</w:t>
      </w:r>
    </w:p>
    <w:p>
      <w:pPr>
        <w:pStyle w:val="BodyText"/>
        <w:spacing w:line="276" w:lineRule="auto" w:before="241"/>
        <w:ind w:left="477" w:right="133"/>
        <w:jc w:val="both"/>
      </w:pPr>
      <w:r>
        <w:rPr/>
        <w:t>The outstanding robustness and effectiveness of the ginkgo against numerous diseases</w:t>
      </w:r>
      <w:r>
        <w:rPr>
          <w:spacing w:val="-18"/>
        </w:rPr>
        <w:t> </w:t>
      </w:r>
      <w:r>
        <w:rPr/>
        <w:t>is</w:t>
      </w:r>
      <w:r>
        <w:rPr>
          <w:spacing w:val="-19"/>
        </w:rPr>
        <w:t> </w:t>
      </w:r>
      <w:r>
        <w:rPr/>
        <w:t>certainly</w:t>
      </w:r>
      <w:r>
        <w:rPr>
          <w:spacing w:val="-19"/>
        </w:rPr>
        <w:t> </w:t>
      </w:r>
      <w:r>
        <w:rPr/>
        <w:t>no</w:t>
      </w:r>
      <w:r>
        <w:rPr>
          <w:spacing w:val="-18"/>
        </w:rPr>
        <w:t> </w:t>
      </w:r>
      <w:r>
        <w:rPr/>
        <w:t>less</w:t>
      </w:r>
      <w:r>
        <w:rPr>
          <w:spacing w:val="-18"/>
        </w:rPr>
        <w:t> </w:t>
      </w:r>
      <w:r>
        <w:rPr/>
        <w:t>attributable</w:t>
      </w:r>
      <w:r>
        <w:rPr>
          <w:spacing w:val="-19"/>
        </w:rPr>
        <w:t> </w:t>
      </w:r>
      <w:r>
        <w:rPr/>
        <w:t>to</w:t>
      </w:r>
      <w:r>
        <w:rPr>
          <w:spacing w:val="-18"/>
        </w:rPr>
        <w:t> </w:t>
      </w:r>
      <w:r>
        <w:rPr/>
        <w:t>the</w:t>
      </w:r>
      <w:r>
        <w:rPr>
          <w:spacing w:val="-15"/>
        </w:rPr>
        <w:t> </w:t>
      </w:r>
      <w:r>
        <w:rPr/>
        <w:t>unique</w:t>
      </w:r>
      <w:r>
        <w:rPr>
          <w:spacing w:val="-18"/>
        </w:rPr>
        <w:t> </w:t>
      </w:r>
      <w:r>
        <w:rPr/>
        <w:t>ingredients</w:t>
      </w:r>
      <w:r>
        <w:rPr>
          <w:spacing w:val="-18"/>
        </w:rPr>
        <w:t> </w:t>
      </w:r>
      <w:r>
        <w:rPr/>
        <w:t>that</w:t>
      </w:r>
      <w:r>
        <w:rPr>
          <w:spacing w:val="-15"/>
        </w:rPr>
        <w:t> </w:t>
      </w:r>
      <w:r>
        <w:rPr/>
        <w:t>only</w:t>
      </w:r>
      <w:r>
        <w:rPr>
          <w:spacing w:val="-20"/>
        </w:rPr>
        <w:t> </w:t>
      </w:r>
      <w:r>
        <w:rPr/>
        <w:t>occur in</w:t>
      </w:r>
      <w:r>
        <w:rPr>
          <w:spacing w:val="-8"/>
        </w:rPr>
        <w:t> </w:t>
      </w:r>
      <w:r>
        <w:rPr/>
        <w:t>ginkgo,</w:t>
      </w:r>
      <w:r>
        <w:rPr>
          <w:spacing w:val="-8"/>
        </w:rPr>
        <w:t> </w:t>
      </w:r>
      <w:r>
        <w:rPr/>
        <w:t>such</w:t>
      </w:r>
      <w:r>
        <w:rPr>
          <w:spacing w:val="-8"/>
        </w:rPr>
        <w:t> </w:t>
      </w:r>
      <w:r>
        <w:rPr/>
        <w:t>as</w:t>
      </w:r>
      <w:r>
        <w:rPr>
          <w:spacing w:val="-7"/>
        </w:rPr>
        <w:t> </w:t>
      </w:r>
      <w:r>
        <w:rPr/>
        <w:t>the</w:t>
      </w:r>
      <w:r>
        <w:rPr>
          <w:spacing w:val="-6"/>
        </w:rPr>
        <w:t> </w:t>
      </w:r>
      <w:r>
        <w:rPr/>
        <w:t>ginkgo</w:t>
      </w:r>
      <w:r>
        <w:rPr>
          <w:spacing w:val="-9"/>
        </w:rPr>
        <w:t> </w:t>
      </w:r>
      <w:r>
        <w:rPr/>
        <w:t>flavone</w:t>
      </w:r>
      <w:r>
        <w:rPr>
          <w:spacing w:val="-6"/>
        </w:rPr>
        <w:t> </w:t>
      </w:r>
      <w:r>
        <w:rPr/>
        <w:t>glycosides,</w:t>
      </w:r>
      <w:r>
        <w:rPr>
          <w:spacing w:val="-9"/>
        </w:rPr>
        <w:t> </w:t>
      </w:r>
      <w:r>
        <w:rPr/>
        <w:t>ginkgol,</w:t>
      </w:r>
      <w:r>
        <w:rPr>
          <w:spacing w:val="-6"/>
        </w:rPr>
        <w:t> </w:t>
      </w:r>
      <w:r>
        <w:rPr/>
        <w:t>ginnol</w:t>
      </w:r>
      <w:r>
        <w:rPr>
          <w:spacing w:val="-10"/>
        </w:rPr>
        <w:t> </w:t>
      </w:r>
      <w:r>
        <w:rPr/>
        <w:t>and</w:t>
      </w:r>
      <w:r>
        <w:rPr>
          <w:spacing w:val="-7"/>
        </w:rPr>
        <w:t> </w:t>
      </w:r>
      <w:r>
        <w:rPr/>
        <w:t>bilobalide.</w:t>
      </w:r>
    </w:p>
    <w:p>
      <w:pPr>
        <w:pStyle w:val="BodyText"/>
        <w:spacing w:line="276" w:lineRule="auto" w:before="241"/>
        <w:ind w:left="477" w:right="138"/>
        <w:jc w:val="both"/>
      </w:pPr>
      <w:r>
        <w:rPr/>
        <w:t>Despite immense attempts by Big Pharma to artificially recreate the substances present in ginkgo so that they can patent them accordingly, such attempts</w:t>
      </w:r>
      <w:r>
        <w:rPr>
          <w:spacing w:val="-63"/>
        </w:rPr>
        <w:t> </w:t>
      </w:r>
      <w:r>
        <w:rPr/>
        <w:t>have failed due to its incredible complexity.</w:t>
      </w:r>
    </w:p>
    <w:p>
      <w:pPr>
        <w:pStyle w:val="Heading1"/>
        <w:spacing w:before="222"/>
        <w:jc w:val="both"/>
      </w:pPr>
      <w:r>
        <w:rPr/>
        <w:t>Active ingredients in ginkgo seeds</w:t>
      </w:r>
    </w:p>
    <w:p>
      <w:pPr>
        <w:spacing w:after="0"/>
        <w:jc w:val="both"/>
        <w:sectPr>
          <w:pgSz w:w="14270" w:h="16850"/>
          <w:pgMar w:header="0" w:footer="1891" w:top="1600" w:bottom="2080" w:left="800" w:right="1280"/>
        </w:sectPr>
      </w:pPr>
    </w:p>
    <w:p>
      <w:pPr>
        <w:pStyle w:val="BodyText"/>
        <w:spacing w:line="276" w:lineRule="auto" w:before="181"/>
        <w:ind w:left="477"/>
      </w:pPr>
      <w:r>
        <w:rPr/>
        <w:t>Of</w:t>
      </w:r>
      <w:r>
        <w:rPr>
          <w:spacing w:val="-26"/>
        </w:rPr>
        <w:t> </w:t>
      </w:r>
      <w:r>
        <w:rPr/>
        <w:t>the</w:t>
      </w:r>
      <w:r>
        <w:rPr>
          <w:spacing w:val="-23"/>
        </w:rPr>
        <w:t> </w:t>
      </w:r>
      <w:r>
        <w:rPr/>
        <w:t>ingredients</w:t>
      </w:r>
      <w:r>
        <w:rPr>
          <w:spacing w:val="-24"/>
        </w:rPr>
        <w:t> </w:t>
      </w:r>
      <w:r>
        <w:rPr/>
        <w:t>and</w:t>
      </w:r>
      <w:r>
        <w:rPr>
          <w:spacing w:val="-24"/>
        </w:rPr>
        <w:t> </w:t>
      </w:r>
      <w:r>
        <w:rPr/>
        <w:t>active</w:t>
      </w:r>
      <w:r>
        <w:rPr>
          <w:spacing w:val="-25"/>
        </w:rPr>
        <w:t> </w:t>
      </w:r>
      <w:r>
        <w:rPr/>
        <w:t>ingredients,</w:t>
      </w:r>
      <w:r>
        <w:rPr>
          <w:spacing w:val="-24"/>
        </w:rPr>
        <w:t> </w:t>
      </w:r>
      <w:r>
        <w:rPr/>
        <w:t>only</w:t>
      </w:r>
      <w:r>
        <w:rPr>
          <w:spacing w:val="-27"/>
        </w:rPr>
        <w:t> </w:t>
      </w:r>
      <w:r>
        <w:rPr/>
        <w:t>21</w:t>
      </w:r>
      <w:r>
        <w:rPr>
          <w:spacing w:val="-27"/>
        </w:rPr>
        <w:t> </w:t>
      </w:r>
      <w:r>
        <w:rPr/>
        <w:t>have</w:t>
      </w:r>
      <w:r>
        <w:rPr>
          <w:spacing w:val="-25"/>
        </w:rPr>
        <w:t> </w:t>
      </w:r>
      <w:r>
        <w:rPr/>
        <w:t>received</w:t>
      </w:r>
      <w:r>
        <w:rPr>
          <w:spacing w:val="-23"/>
        </w:rPr>
        <w:t> </w:t>
      </w:r>
      <w:r>
        <w:rPr/>
        <w:t>official</w:t>
      </w:r>
      <w:r>
        <w:rPr>
          <w:spacing w:val="-26"/>
        </w:rPr>
        <w:t> </w:t>
      </w:r>
      <w:r>
        <w:rPr/>
        <w:t>approval as therapeutic</w:t>
      </w:r>
      <w:r>
        <w:rPr>
          <w:spacing w:val="-2"/>
        </w:rPr>
        <w:t> </w:t>
      </w:r>
      <w:r>
        <w:rPr/>
        <w:t>agents:</w:t>
      </w:r>
    </w:p>
    <w:p>
      <w:pPr>
        <w:pStyle w:val="ListParagraph"/>
        <w:numPr>
          <w:ilvl w:val="0"/>
          <w:numId w:val="26"/>
        </w:numPr>
        <w:tabs>
          <w:tab w:pos="892" w:val="left" w:leader="none"/>
          <w:tab w:pos="893" w:val="left" w:leader="none"/>
        </w:tabs>
        <w:spacing w:line="240" w:lineRule="auto" w:before="243" w:after="0"/>
        <w:ind w:left="892" w:right="0" w:hanging="415"/>
        <w:jc w:val="left"/>
        <w:rPr>
          <w:sz w:val="38"/>
        </w:rPr>
      </w:pPr>
      <w:r>
        <w:rPr>
          <w:sz w:val="38"/>
        </w:rPr>
        <w:t>ginkgol</w:t>
      </w:r>
    </w:p>
    <w:p>
      <w:pPr>
        <w:pStyle w:val="ListParagraph"/>
        <w:numPr>
          <w:ilvl w:val="0"/>
          <w:numId w:val="26"/>
        </w:numPr>
        <w:tabs>
          <w:tab w:pos="892" w:val="left" w:leader="none"/>
          <w:tab w:pos="893" w:val="left" w:leader="none"/>
        </w:tabs>
        <w:spacing w:line="240" w:lineRule="auto" w:before="63" w:after="0"/>
        <w:ind w:left="892" w:right="0" w:hanging="415"/>
        <w:jc w:val="left"/>
        <w:rPr>
          <w:sz w:val="38"/>
        </w:rPr>
      </w:pPr>
      <w:r>
        <w:rPr>
          <w:sz w:val="38"/>
        </w:rPr>
        <w:t>ginkgolic</w:t>
      </w:r>
      <w:r>
        <w:rPr>
          <w:spacing w:val="-2"/>
          <w:sz w:val="38"/>
        </w:rPr>
        <w:t> </w:t>
      </w:r>
      <w:r>
        <w:rPr>
          <w:sz w:val="38"/>
        </w:rPr>
        <w:t>acid</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ginkgolide A, B, C, J,</w:t>
      </w:r>
      <w:r>
        <w:rPr>
          <w:spacing w:val="-5"/>
          <w:sz w:val="38"/>
        </w:rPr>
        <w:t> </w:t>
      </w:r>
      <w:r>
        <w:rPr>
          <w:sz w:val="38"/>
        </w:rPr>
        <w:t>M</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kaempferol</w:t>
      </w:r>
    </w:p>
    <w:p>
      <w:pPr>
        <w:pStyle w:val="ListParagraph"/>
        <w:numPr>
          <w:ilvl w:val="0"/>
          <w:numId w:val="26"/>
        </w:numPr>
        <w:tabs>
          <w:tab w:pos="892" w:val="left" w:leader="none"/>
          <w:tab w:pos="893" w:val="left" w:leader="none"/>
        </w:tabs>
        <w:spacing w:line="240" w:lineRule="auto" w:before="66" w:after="0"/>
        <w:ind w:left="892" w:right="0" w:hanging="415"/>
        <w:jc w:val="left"/>
        <w:rPr>
          <w:sz w:val="38"/>
        </w:rPr>
      </w:pPr>
      <w:r>
        <w:rPr>
          <w:sz w:val="38"/>
        </w:rPr>
        <w:t>syringetin-3-O-rutinoside</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ginnol</w:t>
      </w:r>
    </w:p>
    <w:p>
      <w:pPr>
        <w:pStyle w:val="ListParagraph"/>
        <w:numPr>
          <w:ilvl w:val="0"/>
          <w:numId w:val="26"/>
        </w:numPr>
        <w:tabs>
          <w:tab w:pos="892" w:val="left" w:leader="none"/>
          <w:tab w:pos="893" w:val="left" w:leader="none"/>
        </w:tabs>
        <w:spacing w:line="240" w:lineRule="auto" w:before="63" w:after="0"/>
        <w:ind w:left="892" w:right="0" w:hanging="415"/>
        <w:jc w:val="left"/>
        <w:rPr>
          <w:sz w:val="38"/>
        </w:rPr>
      </w:pPr>
      <w:r>
        <w:rPr>
          <w:sz w:val="38"/>
        </w:rPr>
        <w:t>bibobol</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bilobalide</w:t>
      </w:r>
    </w:p>
    <w:p>
      <w:pPr>
        <w:pStyle w:val="ListParagraph"/>
        <w:numPr>
          <w:ilvl w:val="0"/>
          <w:numId w:val="26"/>
        </w:numPr>
        <w:tabs>
          <w:tab w:pos="892" w:val="left" w:leader="none"/>
          <w:tab w:pos="893" w:val="left" w:leader="none"/>
        </w:tabs>
        <w:spacing w:line="240" w:lineRule="auto" w:before="66" w:after="0"/>
        <w:ind w:left="892" w:right="0" w:hanging="415"/>
        <w:jc w:val="left"/>
        <w:rPr>
          <w:sz w:val="38"/>
        </w:rPr>
      </w:pPr>
      <w:r>
        <w:rPr>
          <w:sz w:val="38"/>
        </w:rPr>
        <w:t>vitamin</w:t>
      </w:r>
      <w:r>
        <w:rPr>
          <w:spacing w:val="-5"/>
          <w:sz w:val="38"/>
        </w:rPr>
        <w:t> </w:t>
      </w:r>
      <w:r>
        <w:rPr>
          <w:sz w:val="38"/>
        </w:rPr>
        <w:t>C</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thiamine (vitamin</w:t>
      </w:r>
      <w:r>
        <w:rPr>
          <w:spacing w:val="1"/>
          <w:sz w:val="38"/>
        </w:rPr>
        <w:t> </w:t>
      </w:r>
      <w:r>
        <w:rPr>
          <w:sz w:val="38"/>
        </w:rPr>
        <w:t>B)</w:t>
      </w:r>
    </w:p>
    <w:p>
      <w:pPr>
        <w:pStyle w:val="ListParagraph"/>
        <w:numPr>
          <w:ilvl w:val="0"/>
          <w:numId w:val="26"/>
        </w:numPr>
        <w:tabs>
          <w:tab w:pos="892" w:val="left" w:leader="none"/>
          <w:tab w:pos="893" w:val="left" w:leader="none"/>
        </w:tabs>
        <w:spacing w:line="240" w:lineRule="auto" w:before="63" w:after="0"/>
        <w:ind w:left="892" w:right="0" w:hanging="415"/>
        <w:jc w:val="left"/>
        <w:rPr>
          <w:sz w:val="38"/>
        </w:rPr>
      </w:pPr>
      <w:r>
        <w:rPr>
          <w:sz w:val="38"/>
        </w:rPr>
        <w:t>niacin</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potassium</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copper</w:t>
      </w:r>
    </w:p>
    <w:p>
      <w:pPr>
        <w:pStyle w:val="ListParagraph"/>
        <w:numPr>
          <w:ilvl w:val="0"/>
          <w:numId w:val="26"/>
        </w:numPr>
        <w:tabs>
          <w:tab w:pos="892" w:val="left" w:leader="none"/>
          <w:tab w:pos="893" w:val="left" w:leader="none"/>
        </w:tabs>
        <w:spacing w:line="240" w:lineRule="auto" w:before="66" w:after="0"/>
        <w:ind w:left="892" w:right="0" w:hanging="415"/>
        <w:jc w:val="left"/>
        <w:rPr>
          <w:sz w:val="38"/>
        </w:rPr>
      </w:pPr>
      <w:r>
        <w:rPr>
          <w:sz w:val="38"/>
        </w:rPr>
        <w:t>sugar</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alcohol</w:t>
      </w:r>
    </w:p>
    <w:p>
      <w:pPr>
        <w:pStyle w:val="ListParagraph"/>
        <w:numPr>
          <w:ilvl w:val="0"/>
          <w:numId w:val="26"/>
        </w:numPr>
        <w:tabs>
          <w:tab w:pos="892" w:val="left" w:leader="none"/>
          <w:tab w:pos="893" w:val="left" w:leader="none"/>
        </w:tabs>
        <w:spacing w:line="240" w:lineRule="auto" w:before="63" w:after="0"/>
        <w:ind w:left="892" w:right="0" w:hanging="415"/>
        <w:jc w:val="left"/>
        <w:rPr>
          <w:sz w:val="38"/>
        </w:rPr>
      </w:pPr>
      <w:r>
        <w:rPr>
          <w:sz w:val="38"/>
        </w:rPr>
        <w:t>pinit</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starch</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resin</w:t>
      </w:r>
    </w:p>
    <w:p>
      <w:pPr>
        <w:pStyle w:val="ListParagraph"/>
        <w:numPr>
          <w:ilvl w:val="0"/>
          <w:numId w:val="26"/>
        </w:numPr>
        <w:tabs>
          <w:tab w:pos="892" w:val="left" w:leader="none"/>
          <w:tab w:pos="893" w:val="left" w:leader="none"/>
        </w:tabs>
        <w:spacing w:line="240" w:lineRule="auto" w:before="66" w:after="0"/>
        <w:ind w:left="892" w:right="0" w:hanging="415"/>
        <w:jc w:val="left"/>
        <w:rPr>
          <w:sz w:val="38"/>
        </w:rPr>
      </w:pPr>
      <w:r>
        <w:rPr>
          <w:sz w:val="38"/>
        </w:rPr>
        <w:t>acetic</w:t>
      </w:r>
      <w:r>
        <w:rPr>
          <w:spacing w:val="-1"/>
          <w:sz w:val="38"/>
        </w:rPr>
        <w:t> </w:t>
      </w:r>
      <w:r>
        <w:rPr>
          <w:sz w:val="38"/>
        </w:rPr>
        <w:t>acid</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methoxypyridoxine</w:t>
      </w:r>
    </w:p>
    <w:p>
      <w:pPr>
        <w:spacing w:after="0" w:line="240" w:lineRule="auto"/>
        <w:jc w:val="left"/>
        <w:rPr>
          <w:sz w:val="38"/>
        </w:rPr>
        <w:sectPr>
          <w:pgSz w:w="14270" w:h="16850"/>
          <w:pgMar w:header="0" w:footer="1891" w:top="1600" w:bottom="2080" w:left="800" w:right="1280"/>
        </w:sectPr>
      </w:pPr>
    </w:p>
    <w:p>
      <w:pPr>
        <w:pStyle w:val="BodyText"/>
        <w:spacing w:before="10"/>
        <w:rPr>
          <w:sz w:val="8"/>
        </w:rPr>
      </w:pPr>
    </w:p>
    <w:p>
      <w:pPr>
        <w:pStyle w:val="ListParagraph"/>
        <w:numPr>
          <w:ilvl w:val="0"/>
          <w:numId w:val="26"/>
        </w:numPr>
        <w:tabs>
          <w:tab w:pos="893" w:val="left" w:leader="none"/>
        </w:tabs>
        <w:spacing w:line="240" w:lineRule="auto" w:before="83" w:after="0"/>
        <w:ind w:left="892" w:right="0" w:hanging="415"/>
        <w:jc w:val="both"/>
        <w:rPr>
          <w:sz w:val="38"/>
        </w:rPr>
      </w:pPr>
      <w:r>
        <w:rPr>
          <w:sz w:val="38"/>
        </w:rPr>
        <w:t>flavonoids</w:t>
      </w:r>
    </w:p>
    <w:p>
      <w:pPr>
        <w:pStyle w:val="ListParagraph"/>
        <w:numPr>
          <w:ilvl w:val="0"/>
          <w:numId w:val="26"/>
        </w:numPr>
        <w:tabs>
          <w:tab w:pos="893" w:val="left" w:leader="none"/>
        </w:tabs>
        <w:spacing w:line="240" w:lineRule="auto" w:before="64" w:after="0"/>
        <w:ind w:left="892" w:right="0" w:hanging="415"/>
        <w:jc w:val="both"/>
        <w:rPr>
          <w:sz w:val="38"/>
        </w:rPr>
      </w:pPr>
      <w:r>
        <w:rPr>
          <w:sz w:val="38"/>
        </w:rPr>
        <w:t>quercetin</w:t>
      </w:r>
    </w:p>
    <w:p>
      <w:pPr>
        <w:pStyle w:val="ListParagraph"/>
        <w:numPr>
          <w:ilvl w:val="0"/>
          <w:numId w:val="26"/>
        </w:numPr>
        <w:tabs>
          <w:tab w:pos="893" w:val="left" w:leader="none"/>
        </w:tabs>
        <w:spacing w:line="240" w:lineRule="auto" w:before="66" w:after="0"/>
        <w:ind w:left="892" w:right="0" w:hanging="415"/>
        <w:jc w:val="both"/>
        <w:rPr>
          <w:sz w:val="38"/>
        </w:rPr>
      </w:pPr>
      <w:r>
        <w:rPr>
          <w:sz w:val="38"/>
        </w:rPr>
        <w:t>isorhamnetin</w:t>
      </w:r>
    </w:p>
    <w:p>
      <w:pPr>
        <w:pStyle w:val="ListParagraph"/>
        <w:numPr>
          <w:ilvl w:val="0"/>
          <w:numId w:val="26"/>
        </w:numPr>
        <w:tabs>
          <w:tab w:pos="893" w:val="left" w:leader="none"/>
        </w:tabs>
        <w:spacing w:line="240" w:lineRule="auto" w:before="63" w:after="0"/>
        <w:ind w:left="892" w:right="0" w:hanging="415"/>
        <w:jc w:val="both"/>
        <w:rPr>
          <w:sz w:val="38"/>
        </w:rPr>
      </w:pPr>
      <w:r>
        <w:rPr>
          <w:sz w:val="38"/>
        </w:rPr>
        <w:t>biflavones</w:t>
      </w:r>
    </w:p>
    <w:p>
      <w:pPr>
        <w:pStyle w:val="ListParagraph"/>
        <w:numPr>
          <w:ilvl w:val="0"/>
          <w:numId w:val="26"/>
        </w:numPr>
        <w:tabs>
          <w:tab w:pos="893" w:val="left" w:leader="none"/>
        </w:tabs>
        <w:spacing w:line="240" w:lineRule="auto" w:before="64" w:after="0"/>
        <w:ind w:left="892" w:right="0" w:hanging="415"/>
        <w:jc w:val="both"/>
        <w:rPr>
          <w:sz w:val="38"/>
        </w:rPr>
      </w:pPr>
      <w:r>
        <w:rPr>
          <w:sz w:val="38"/>
        </w:rPr>
        <w:t>ginkgetin</w:t>
      </w:r>
    </w:p>
    <w:p>
      <w:pPr>
        <w:pStyle w:val="ListParagraph"/>
        <w:numPr>
          <w:ilvl w:val="0"/>
          <w:numId w:val="26"/>
        </w:numPr>
        <w:tabs>
          <w:tab w:pos="893" w:val="left" w:leader="none"/>
        </w:tabs>
        <w:spacing w:line="240" w:lineRule="auto" w:before="63" w:after="0"/>
        <w:ind w:left="892" w:right="0" w:hanging="415"/>
        <w:jc w:val="both"/>
        <w:rPr>
          <w:sz w:val="38"/>
        </w:rPr>
      </w:pPr>
      <w:r>
        <w:rPr>
          <w:sz w:val="38"/>
        </w:rPr>
        <w:t>bilobetin</w:t>
      </w:r>
    </w:p>
    <w:p>
      <w:pPr>
        <w:pStyle w:val="ListParagraph"/>
        <w:numPr>
          <w:ilvl w:val="0"/>
          <w:numId w:val="26"/>
        </w:numPr>
        <w:tabs>
          <w:tab w:pos="893" w:val="left" w:leader="none"/>
        </w:tabs>
        <w:spacing w:line="240" w:lineRule="auto" w:before="65" w:after="0"/>
        <w:ind w:left="892" w:right="0" w:hanging="415"/>
        <w:jc w:val="both"/>
        <w:rPr>
          <w:sz w:val="38"/>
        </w:rPr>
      </w:pPr>
      <w:r>
        <w:rPr>
          <w:sz w:val="38"/>
        </w:rPr>
        <w:t>amentoflavone</w:t>
      </w:r>
    </w:p>
    <w:p>
      <w:pPr>
        <w:pStyle w:val="ListParagraph"/>
        <w:numPr>
          <w:ilvl w:val="0"/>
          <w:numId w:val="26"/>
        </w:numPr>
        <w:tabs>
          <w:tab w:pos="893" w:val="left" w:leader="none"/>
        </w:tabs>
        <w:spacing w:line="240" w:lineRule="auto" w:before="66" w:after="0"/>
        <w:ind w:left="892" w:right="0" w:hanging="415"/>
        <w:jc w:val="both"/>
        <w:rPr>
          <w:sz w:val="38"/>
        </w:rPr>
      </w:pPr>
      <w:r>
        <w:rPr>
          <w:sz w:val="38"/>
        </w:rPr>
        <w:t>isoginkgetin</w:t>
      </w:r>
    </w:p>
    <w:p>
      <w:pPr>
        <w:pStyle w:val="ListParagraph"/>
        <w:numPr>
          <w:ilvl w:val="0"/>
          <w:numId w:val="26"/>
        </w:numPr>
        <w:tabs>
          <w:tab w:pos="893" w:val="left" w:leader="none"/>
        </w:tabs>
        <w:spacing w:line="240" w:lineRule="auto" w:before="63" w:after="0"/>
        <w:ind w:left="892" w:right="0" w:hanging="415"/>
        <w:jc w:val="both"/>
        <w:rPr>
          <w:sz w:val="38"/>
        </w:rPr>
      </w:pPr>
      <w:r>
        <w:rPr>
          <w:sz w:val="38"/>
        </w:rPr>
        <w:t>shikimic</w:t>
      </w:r>
      <w:r>
        <w:rPr>
          <w:spacing w:val="-1"/>
          <w:sz w:val="38"/>
        </w:rPr>
        <w:t> </w:t>
      </w:r>
      <w:r>
        <w:rPr>
          <w:sz w:val="38"/>
        </w:rPr>
        <w:t>acid</w:t>
      </w:r>
    </w:p>
    <w:p>
      <w:pPr>
        <w:pStyle w:val="ListParagraph"/>
        <w:numPr>
          <w:ilvl w:val="0"/>
          <w:numId w:val="26"/>
        </w:numPr>
        <w:tabs>
          <w:tab w:pos="893" w:val="left" w:leader="none"/>
        </w:tabs>
        <w:spacing w:line="240" w:lineRule="auto" w:before="64" w:after="0"/>
        <w:ind w:left="892" w:right="0" w:hanging="415"/>
        <w:jc w:val="both"/>
        <w:rPr>
          <w:sz w:val="38"/>
        </w:rPr>
      </w:pPr>
      <w:r>
        <w:rPr>
          <w:sz w:val="38"/>
        </w:rPr>
        <w:t>wax</w:t>
      </w:r>
    </w:p>
    <w:p>
      <w:pPr>
        <w:pStyle w:val="ListParagraph"/>
        <w:numPr>
          <w:ilvl w:val="0"/>
          <w:numId w:val="26"/>
        </w:numPr>
        <w:tabs>
          <w:tab w:pos="893" w:val="left" w:leader="none"/>
        </w:tabs>
        <w:spacing w:line="240" w:lineRule="auto" w:before="64" w:after="0"/>
        <w:ind w:left="892" w:right="0" w:hanging="415"/>
        <w:jc w:val="both"/>
        <w:rPr>
          <w:sz w:val="38"/>
        </w:rPr>
      </w:pPr>
      <w:r>
        <w:rPr>
          <w:sz w:val="38"/>
        </w:rPr>
        <w:t>paraffins</w:t>
      </w:r>
    </w:p>
    <w:p>
      <w:pPr>
        <w:pStyle w:val="ListParagraph"/>
        <w:numPr>
          <w:ilvl w:val="0"/>
          <w:numId w:val="26"/>
        </w:numPr>
        <w:tabs>
          <w:tab w:pos="893" w:val="left" w:leader="none"/>
        </w:tabs>
        <w:spacing w:line="240" w:lineRule="auto" w:before="63" w:after="0"/>
        <w:ind w:left="892" w:right="0" w:hanging="415"/>
        <w:jc w:val="both"/>
        <w:rPr>
          <w:sz w:val="38"/>
        </w:rPr>
      </w:pPr>
      <w:r>
        <w:rPr>
          <w:sz w:val="38"/>
        </w:rPr>
        <w:t>sitoserin</w:t>
      </w:r>
    </w:p>
    <w:p>
      <w:pPr>
        <w:pStyle w:val="ListParagraph"/>
        <w:numPr>
          <w:ilvl w:val="0"/>
          <w:numId w:val="26"/>
        </w:numPr>
        <w:tabs>
          <w:tab w:pos="893" w:val="left" w:leader="none"/>
        </w:tabs>
        <w:spacing w:line="240" w:lineRule="auto" w:before="66" w:after="0"/>
        <w:ind w:left="892" w:right="0" w:hanging="415"/>
        <w:jc w:val="both"/>
        <w:rPr>
          <w:sz w:val="38"/>
        </w:rPr>
      </w:pPr>
      <w:r>
        <w:rPr>
          <w:sz w:val="38"/>
        </w:rPr>
        <w:t>esters</w:t>
      </w:r>
    </w:p>
    <w:p>
      <w:pPr>
        <w:spacing w:before="303"/>
        <w:ind w:left="477" w:right="0" w:firstLine="0"/>
        <w:jc w:val="both"/>
        <w:rPr>
          <w:i/>
          <w:sz w:val="38"/>
        </w:rPr>
      </w:pPr>
      <w:r>
        <w:rPr>
          <w:i/>
          <w:sz w:val="38"/>
        </w:rPr>
        <w:t>Effect of ginkgo biloba</w:t>
      </w:r>
    </w:p>
    <w:p>
      <w:pPr>
        <w:pStyle w:val="BodyText"/>
        <w:spacing w:line="276" w:lineRule="auto" w:before="304"/>
        <w:ind w:left="477" w:right="133"/>
        <w:jc w:val="both"/>
      </w:pPr>
      <w:r>
        <w:rPr/>
        <w:t>Ginkgo biloba’s legendary resistance to ageing, heat, cold, pollution, poisons, radiation</w:t>
      </w:r>
      <w:r>
        <w:rPr>
          <w:spacing w:val="-7"/>
        </w:rPr>
        <w:t> </w:t>
      </w:r>
      <w:r>
        <w:rPr/>
        <w:t>and</w:t>
      </w:r>
      <w:r>
        <w:rPr>
          <w:spacing w:val="-7"/>
        </w:rPr>
        <w:t> </w:t>
      </w:r>
      <w:r>
        <w:rPr/>
        <w:t>any</w:t>
      </w:r>
      <w:r>
        <w:rPr>
          <w:spacing w:val="-7"/>
        </w:rPr>
        <w:t> </w:t>
      </w:r>
      <w:r>
        <w:rPr/>
        <w:t>disease</w:t>
      </w:r>
      <w:r>
        <w:rPr>
          <w:spacing w:val="-6"/>
        </w:rPr>
        <w:t> </w:t>
      </w:r>
      <w:r>
        <w:rPr/>
        <w:t>made</w:t>
      </w:r>
      <w:r>
        <w:rPr>
          <w:spacing w:val="-7"/>
        </w:rPr>
        <w:t> </w:t>
      </w:r>
      <w:r>
        <w:rPr/>
        <w:t>people</w:t>
      </w:r>
      <w:r>
        <w:rPr>
          <w:spacing w:val="-6"/>
        </w:rPr>
        <w:t> </w:t>
      </w:r>
      <w:r>
        <w:rPr/>
        <w:t>listen</w:t>
      </w:r>
      <w:r>
        <w:rPr>
          <w:spacing w:val="-6"/>
        </w:rPr>
        <w:t> </w:t>
      </w:r>
      <w:r>
        <w:rPr/>
        <w:t>right</w:t>
      </w:r>
      <w:r>
        <w:rPr>
          <w:spacing w:val="-7"/>
        </w:rPr>
        <w:t> </w:t>
      </w:r>
      <w:r>
        <w:rPr/>
        <w:t>away</w:t>
      </w:r>
      <w:r>
        <w:rPr>
          <w:spacing w:val="2"/>
        </w:rPr>
        <w:t> </w:t>
      </w:r>
      <w:r>
        <w:rPr/>
        <w:t>–</w:t>
      </w:r>
      <w:r>
        <w:rPr>
          <w:spacing w:val="-7"/>
        </w:rPr>
        <w:t> </w:t>
      </w:r>
      <w:r>
        <w:rPr/>
        <w:t>what</w:t>
      </w:r>
      <w:r>
        <w:rPr>
          <w:spacing w:val="-8"/>
        </w:rPr>
        <w:t> </w:t>
      </w:r>
      <w:r>
        <w:rPr/>
        <w:t>could</w:t>
      </w:r>
      <w:r>
        <w:rPr>
          <w:spacing w:val="-6"/>
        </w:rPr>
        <w:t> </w:t>
      </w:r>
      <w:r>
        <w:rPr/>
        <w:t>the</w:t>
      </w:r>
      <w:r>
        <w:rPr>
          <w:spacing w:val="-6"/>
        </w:rPr>
        <w:t> </w:t>
      </w:r>
      <w:r>
        <w:rPr/>
        <w:t>possi- bilities be if we were to consume its components? Can these amazing benefits really be transferred to humans in any</w:t>
      </w:r>
      <w:r>
        <w:rPr>
          <w:spacing w:val="3"/>
        </w:rPr>
        <w:t> </w:t>
      </w:r>
      <w:r>
        <w:rPr/>
        <w:t>way?</w:t>
      </w:r>
    </w:p>
    <w:p>
      <w:pPr>
        <w:pStyle w:val="BodyText"/>
        <w:spacing w:line="276" w:lineRule="auto" w:before="239"/>
        <w:ind w:left="477" w:right="133"/>
        <w:jc w:val="both"/>
      </w:pPr>
      <w:r>
        <w:rPr/>
        <w:t>In</w:t>
      </w:r>
      <w:r>
        <w:rPr>
          <w:spacing w:val="-18"/>
        </w:rPr>
        <w:t> </w:t>
      </w:r>
      <w:r>
        <w:rPr/>
        <w:t>fact,</w:t>
      </w:r>
      <w:r>
        <w:rPr>
          <w:spacing w:val="-21"/>
        </w:rPr>
        <w:t> </w:t>
      </w:r>
      <w:r>
        <w:rPr/>
        <w:t>numerous</w:t>
      </w:r>
      <w:r>
        <w:rPr>
          <w:spacing w:val="-18"/>
        </w:rPr>
        <w:t> </w:t>
      </w:r>
      <w:r>
        <w:rPr/>
        <w:t>studies</w:t>
      </w:r>
      <w:r>
        <w:rPr>
          <w:spacing w:val="-18"/>
        </w:rPr>
        <w:t> </w:t>
      </w:r>
      <w:r>
        <w:rPr/>
        <w:t>suggest</w:t>
      </w:r>
      <w:r>
        <w:rPr>
          <w:spacing w:val="-23"/>
        </w:rPr>
        <w:t> </w:t>
      </w:r>
      <w:r>
        <w:rPr/>
        <w:t>this!</w:t>
      </w:r>
      <w:r>
        <w:rPr>
          <w:spacing w:val="-18"/>
        </w:rPr>
        <w:t> </w:t>
      </w:r>
      <w:r>
        <w:rPr/>
        <w:t>In</w:t>
      </w:r>
      <w:r>
        <w:rPr>
          <w:spacing w:val="-20"/>
        </w:rPr>
        <w:t> </w:t>
      </w:r>
      <w:r>
        <w:rPr/>
        <w:t>order</w:t>
      </w:r>
      <w:r>
        <w:rPr>
          <w:spacing w:val="-18"/>
        </w:rPr>
        <w:t> </w:t>
      </w:r>
      <w:r>
        <w:rPr/>
        <w:t>to</w:t>
      </w:r>
      <w:r>
        <w:rPr>
          <w:spacing w:val="-23"/>
        </w:rPr>
        <w:t> </w:t>
      </w:r>
      <w:r>
        <w:rPr/>
        <w:t>better</w:t>
      </w:r>
      <w:r>
        <w:rPr>
          <w:spacing w:val="-18"/>
        </w:rPr>
        <w:t> </w:t>
      </w:r>
      <w:r>
        <w:rPr/>
        <w:t>understand</w:t>
      </w:r>
      <w:r>
        <w:rPr>
          <w:spacing w:val="-18"/>
        </w:rPr>
        <w:t> </w:t>
      </w:r>
      <w:r>
        <w:rPr/>
        <w:t>the</w:t>
      </w:r>
      <w:r>
        <w:rPr>
          <w:spacing w:val="-21"/>
        </w:rPr>
        <w:t> </w:t>
      </w:r>
      <w:r>
        <w:rPr/>
        <w:t>subject, it makes sense first to examine gingko’s general mode of action before</w:t>
      </w:r>
      <w:r>
        <w:rPr>
          <w:spacing w:val="-41"/>
        </w:rPr>
        <w:t> </w:t>
      </w:r>
      <w:r>
        <w:rPr/>
        <w:t>discuss- ing its special effect on diseases and conditions.</w:t>
      </w:r>
    </w:p>
    <w:p>
      <w:pPr>
        <w:spacing w:after="0" w:line="276" w:lineRule="auto"/>
        <w:jc w:val="both"/>
        <w:sectPr>
          <w:pgSz w:w="14270" w:h="16850"/>
          <w:pgMar w:header="0" w:footer="1891" w:top="1600" w:bottom="2080" w:left="800" w:right="1280"/>
        </w:sectPr>
      </w:pPr>
    </w:p>
    <w:p>
      <w:pPr>
        <w:pStyle w:val="Heading1"/>
        <w:spacing w:before="164"/>
        <w:jc w:val="both"/>
      </w:pPr>
      <w:r>
        <w:rPr/>
        <w:t>General effects of ginkgo biloba</w:t>
      </w:r>
    </w:p>
    <w:p>
      <w:pPr>
        <w:pStyle w:val="BodyText"/>
        <w:spacing w:before="299"/>
        <w:ind w:left="477"/>
        <w:jc w:val="both"/>
      </w:pPr>
      <w:r>
        <w:rPr/>
        <w:t>The general effects of ginkgo biloba can be described as:</w:t>
      </w:r>
    </w:p>
    <w:p>
      <w:pPr>
        <w:pStyle w:val="ListParagraph"/>
        <w:numPr>
          <w:ilvl w:val="0"/>
          <w:numId w:val="26"/>
        </w:numPr>
        <w:tabs>
          <w:tab w:pos="893" w:val="left" w:leader="none"/>
        </w:tabs>
        <w:spacing w:line="240" w:lineRule="auto" w:before="186" w:after="0"/>
        <w:ind w:left="892" w:right="0" w:hanging="415"/>
        <w:jc w:val="both"/>
        <w:rPr>
          <w:sz w:val="38"/>
        </w:rPr>
      </w:pPr>
      <w:r>
        <w:rPr>
          <w:sz w:val="38"/>
        </w:rPr>
        <w:t>antibacterial</w:t>
      </w:r>
    </w:p>
    <w:p>
      <w:pPr>
        <w:pStyle w:val="ListParagraph"/>
        <w:numPr>
          <w:ilvl w:val="0"/>
          <w:numId w:val="26"/>
        </w:numPr>
        <w:tabs>
          <w:tab w:pos="893" w:val="left" w:leader="none"/>
        </w:tabs>
        <w:spacing w:line="240" w:lineRule="auto" w:before="64" w:after="0"/>
        <w:ind w:left="892" w:right="0" w:hanging="415"/>
        <w:jc w:val="both"/>
        <w:rPr>
          <w:sz w:val="38"/>
        </w:rPr>
      </w:pPr>
      <w:r>
        <w:rPr>
          <w:sz w:val="38"/>
        </w:rPr>
        <w:t>antifungal</w:t>
      </w:r>
    </w:p>
    <w:p>
      <w:pPr>
        <w:pStyle w:val="ListParagraph"/>
        <w:numPr>
          <w:ilvl w:val="0"/>
          <w:numId w:val="26"/>
        </w:numPr>
        <w:tabs>
          <w:tab w:pos="893" w:val="left" w:leader="none"/>
        </w:tabs>
        <w:spacing w:line="240" w:lineRule="auto" w:before="64" w:after="0"/>
        <w:ind w:left="892" w:right="0" w:hanging="415"/>
        <w:jc w:val="both"/>
        <w:rPr>
          <w:sz w:val="38"/>
        </w:rPr>
      </w:pPr>
      <w:r>
        <w:rPr>
          <w:sz w:val="38"/>
        </w:rPr>
        <w:t>anti-helminthic</w:t>
      </w:r>
    </w:p>
    <w:p>
      <w:pPr>
        <w:pStyle w:val="ListParagraph"/>
        <w:numPr>
          <w:ilvl w:val="0"/>
          <w:numId w:val="26"/>
        </w:numPr>
        <w:tabs>
          <w:tab w:pos="893" w:val="left" w:leader="none"/>
        </w:tabs>
        <w:spacing w:line="240" w:lineRule="auto" w:before="63" w:after="0"/>
        <w:ind w:left="892" w:right="0" w:hanging="415"/>
        <w:jc w:val="both"/>
        <w:rPr>
          <w:sz w:val="38"/>
        </w:rPr>
      </w:pPr>
      <w:r>
        <w:rPr>
          <w:sz w:val="38"/>
        </w:rPr>
        <w:t>antioxidant/cytoprotective</w:t>
      </w:r>
    </w:p>
    <w:p>
      <w:pPr>
        <w:pStyle w:val="ListParagraph"/>
        <w:numPr>
          <w:ilvl w:val="0"/>
          <w:numId w:val="26"/>
        </w:numPr>
        <w:tabs>
          <w:tab w:pos="893" w:val="left" w:leader="none"/>
        </w:tabs>
        <w:spacing w:line="240" w:lineRule="auto" w:before="67" w:after="0"/>
        <w:ind w:left="892" w:right="0" w:hanging="415"/>
        <w:jc w:val="both"/>
        <w:rPr>
          <w:sz w:val="38"/>
        </w:rPr>
      </w:pPr>
      <w:r>
        <w:rPr>
          <w:sz w:val="38"/>
        </w:rPr>
        <w:t>encourages circulation</w:t>
      </w:r>
    </w:p>
    <w:p>
      <w:pPr>
        <w:pStyle w:val="ListParagraph"/>
        <w:numPr>
          <w:ilvl w:val="0"/>
          <w:numId w:val="26"/>
        </w:numPr>
        <w:tabs>
          <w:tab w:pos="893" w:val="left" w:leader="none"/>
        </w:tabs>
        <w:spacing w:line="240" w:lineRule="auto" w:before="64" w:after="0"/>
        <w:ind w:left="892" w:right="0" w:hanging="415"/>
        <w:jc w:val="both"/>
        <w:rPr>
          <w:sz w:val="38"/>
        </w:rPr>
      </w:pPr>
      <w:r>
        <w:rPr>
          <w:sz w:val="38"/>
        </w:rPr>
        <w:t>neuroprotective</w:t>
      </w:r>
    </w:p>
    <w:p>
      <w:pPr>
        <w:pStyle w:val="ListParagraph"/>
        <w:numPr>
          <w:ilvl w:val="0"/>
          <w:numId w:val="26"/>
        </w:numPr>
        <w:tabs>
          <w:tab w:pos="893" w:val="left" w:leader="none"/>
        </w:tabs>
        <w:spacing w:line="240" w:lineRule="auto" w:before="63" w:after="0"/>
        <w:ind w:left="892" w:right="0" w:hanging="415"/>
        <w:jc w:val="both"/>
        <w:rPr>
          <w:sz w:val="38"/>
        </w:rPr>
      </w:pPr>
      <w:r>
        <w:rPr>
          <w:sz w:val="38"/>
        </w:rPr>
        <w:t>hypoxia-inhibitive</w:t>
      </w:r>
    </w:p>
    <w:p>
      <w:pPr>
        <w:pStyle w:val="ListParagraph"/>
        <w:numPr>
          <w:ilvl w:val="0"/>
          <w:numId w:val="26"/>
        </w:numPr>
        <w:tabs>
          <w:tab w:pos="893" w:val="left" w:leader="none"/>
        </w:tabs>
        <w:spacing w:line="240" w:lineRule="auto" w:before="64" w:after="0"/>
        <w:ind w:left="892" w:right="0" w:hanging="415"/>
        <w:jc w:val="both"/>
        <w:rPr>
          <w:sz w:val="38"/>
        </w:rPr>
      </w:pPr>
      <w:r>
        <w:rPr>
          <w:sz w:val="38"/>
        </w:rPr>
        <w:t>antiallergic</w:t>
      </w:r>
    </w:p>
    <w:p>
      <w:pPr>
        <w:pStyle w:val="ListParagraph"/>
        <w:numPr>
          <w:ilvl w:val="0"/>
          <w:numId w:val="26"/>
        </w:numPr>
        <w:tabs>
          <w:tab w:pos="893" w:val="left" w:leader="none"/>
        </w:tabs>
        <w:spacing w:line="240" w:lineRule="auto" w:before="66" w:after="0"/>
        <w:ind w:left="892" w:right="0" w:hanging="415"/>
        <w:jc w:val="both"/>
        <w:rPr>
          <w:sz w:val="38"/>
        </w:rPr>
      </w:pPr>
      <w:r>
        <w:rPr>
          <w:sz w:val="38"/>
        </w:rPr>
        <w:t>anti-cancerous</w:t>
      </w:r>
    </w:p>
    <w:p>
      <w:pPr>
        <w:pStyle w:val="ListParagraph"/>
        <w:numPr>
          <w:ilvl w:val="0"/>
          <w:numId w:val="26"/>
        </w:numPr>
        <w:tabs>
          <w:tab w:pos="893" w:val="left" w:leader="none"/>
        </w:tabs>
        <w:spacing w:line="240" w:lineRule="auto" w:before="63" w:after="0"/>
        <w:ind w:left="892" w:right="0" w:hanging="415"/>
        <w:jc w:val="both"/>
        <w:rPr>
          <w:sz w:val="38"/>
        </w:rPr>
      </w:pPr>
      <w:r>
        <w:rPr>
          <w:sz w:val="38"/>
        </w:rPr>
        <w:t>carminative</w:t>
      </w:r>
    </w:p>
    <w:p>
      <w:pPr>
        <w:pStyle w:val="ListParagraph"/>
        <w:numPr>
          <w:ilvl w:val="0"/>
          <w:numId w:val="26"/>
        </w:numPr>
        <w:tabs>
          <w:tab w:pos="893" w:val="left" w:leader="none"/>
        </w:tabs>
        <w:spacing w:line="240" w:lineRule="auto" w:before="64" w:after="0"/>
        <w:ind w:left="892" w:right="0" w:hanging="415"/>
        <w:jc w:val="both"/>
        <w:rPr>
          <w:sz w:val="38"/>
        </w:rPr>
      </w:pPr>
      <w:r>
        <w:rPr>
          <w:sz w:val="38"/>
        </w:rPr>
        <w:t>relaxing</w:t>
      </w:r>
    </w:p>
    <w:p>
      <w:pPr>
        <w:pStyle w:val="ListParagraph"/>
        <w:numPr>
          <w:ilvl w:val="0"/>
          <w:numId w:val="26"/>
        </w:numPr>
        <w:tabs>
          <w:tab w:pos="893" w:val="left" w:leader="none"/>
        </w:tabs>
        <w:spacing w:line="240" w:lineRule="auto" w:before="64" w:after="0"/>
        <w:ind w:left="892" w:right="0" w:hanging="415"/>
        <w:jc w:val="both"/>
        <w:rPr>
          <w:sz w:val="38"/>
        </w:rPr>
      </w:pPr>
      <w:r>
        <w:rPr>
          <w:sz w:val="38"/>
        </w:rPr>
        <w:t>analgesic</w:t>
      </w:r>
    </w:p>
    <w:p>
      <w:pPr>
        <w:pStyle w:val="Heading1"/>
        <w:spacing w:before="285"/>
        <w:jc w:val="both"/>
      </w:pPr>
      <w:r>
        <w:rPr/>
        <w:t>Antibacterial and antifungal action</w:t>
      </w:r>
    </w:p>
    <w:p>
      <w:pPr>
        <w:pStyle w:val="BodyText"/>
        <w:spacing w:line="276" w:lineRule="auto" w:before="299"/>
        <w:ind w:left="477" w:right="132"/>
        <w:jc w:val="both"/>
      </w:pPr>
      <w:r>
        <w:rPr/>
        <w:t>The antibacterial and antifungal effects of ginkgo are mainly due to the flavo- noids, especially the ginkgolic acids and ginnol contained in it. Ginkgo biloba increases the number of macrophages (natural phagocytes), which can then have a stronger impact on bacteria and fungi.</w:t>
      </w:r>
    </w:p>
    <w:p>
      <w:pPr>
        <w:spacing w:after="0" w:line="276" w:lineRule="auto"/>
        <w:jc w:val="both"/>
        <w:sectPr>
          <w:pgSz w:w="14270" w:h="16850"/>
          <w:pgMar w:header="0" w:footer="1891" w:top="1600" w:bottom="2080" w:left="800" w:right="1280"/>
        </w:sectPr>
      </w:pPr>
    </w:p>
    <w:p>
      <w:pPr>
        <w:pStyle w:val="Heading1"/>
        <w:spacing w:before="164"/>
      </w:pPr>
      <w:r>
        <w:rPr/>
        <w:t>Anti-helminthic effect</w:t>
      </w:r>
    </w:p>
    <w:p>
      <w:pPr>
        <w:pStyle w:val="BodyText"/>
        <w:spacing w:before="299"/>
        <w:ind w:left="477"/>
      </w:pPr>
      <w:r>
        <w:rPr/>
        <w:t>The anti-helminthic effect is mainly produced by the ginkgo seeds.</w:t>
      </w:r>
    </w:p>
    <w:p>
      <w:pPr>
        <w:pStyle w:val="Heading1"/>
        <w:spacing w:before="288"/>
      </w:pPr>
      <w:r>
        <w:rPr/>
        <w:t>Antioxidant, cell-protecting effect</w:t>
      </w:r>
    </w:p>
    <w:p>
      <w:pPr>
        <w:pStyle w:val="BodyText"/>
        <w:spacing w:line="276" w:lineRule="auto" w:before="299"/>
        <w:ind w:left="477" w:right="132"/>
        <w:jc w:val="both"/>
      </w:pPr>
      <w:r>
        <w:rPr/>
        <w:t>The many antioxidant substances also provide excellent protection against harmful oxidation stress. This realisation led the company </w:t>
      </w:r>
      <w:r>
        <w:rPr>
          <w:i/>
        </w:rPr>
        <w:t>Dr. Willmar Schwabe </w:t>
      </w:r>
      <w:r>
        <w:rPr/>
        <w:t>to bring the very first extract from the ginkgo tree onto the market in 1965. Much has happened since, and the extracts are stronger and more effective to- day. The standard ginkgo concentrate contains 24 % flavone glycosides and 6</w:t>
      </w:r>
    </w:p>
    <w:p>
      <w:pPr>
        <w:pStyle w:val="BodyText"/>
        <w:spacing w:line="276" w:lineRule="auto"/>
        <w:ind w:left="477" w:right="134"/>
        <w:jc w:val="both"/>
      </w:pPr>
      <w:r>
        <w:rPr/>
        <w:t>% terpenes; this ensures the preparations are comparable and consistently ef- fective.</w:t>
      </w:r>
    </w:p>
    <w:p>
      <w:pPr>
        <w:pStyle w:val="BodyText"/>
        <w:spacing w:line="276" w:lineRule="auto" w:before="241"/>
        <w:ind w:left="477" w:right="131"/>
        <w:jc w:val="both"/>
      </w:pPr>
      <w:r>
        <w:rPr/>
        <w:t>The flavonoids are particularly impressive in their antioxidant effect, especially quercetin and kaempferol. Both can neutralise the attacks of free radicals and prevent</w:t>
      </w:r>
      <w:r>
        <w:rPr>
          <w:spacing w:val="-22"/>
        </w:rPr>
        <w:t> </w:t>
      </w:r>
      <w:r>
        <w:rPr/>
        <w:t>cell</w:t>
      </w:r>
      <w:r>
        <w:rPr>
          <w:spacing w:val="-22"/>
        </w:rPr>
        <w:t> </w:t>
      </w:r>
      <w:r>
        <w:rPr/>
        <w:t>damage</w:t>
      </w:r>
      <w:r>
        <w:rPr>
          <w:spacing w:val="-21"/>
        </w:rPr>
        <w:t> </w:t>
      </w:r>
      <w:r>
        <w:rPr/>
        <w:t>in</w:t>
      </w:r>
      <w:r>
        <w:rPr>
          <w:spacing w:val="-21"/>
        </w:rPr>
        <w:t> </w:t>
      </w:r>
      <w:r>
        <w:rPr/>
        <w:t>a</w:t>
      </w:r>
      <w:r>
        <w:rPr>
          <w:spacing w:val="-22"/>
        </w:rPr>
        <w:t> </w:t>
      </w:r>
      <w:r>
        <w:rPr/>
        <w:t>very</w:t>
      </w:r>
      <w:r>
        <w:rPr>
          <w:spacing w:val="-23"/>
        </w:rPr>
        <w:t> </w:t>
      </w:r>
      <w:r>
        <w:rPr/>
        <w:t>effective</w:t>
      </w:r>
      <w:r>
        <w:rPr>
          <w:spacing w:val="-22"/>
        </w:rPr>
        <w:t> </w:t>
      </w:r>
      <w:r>
        <w:rPr/>
        <w:t>way.</w:t>
      </w:r>
      <w:r>
        <w:rPr>
          <w:spacing w:val="-21"/>
        </w:rPr>
        <w:t> </w:t>
      </w:r>
      <w:r>
        <w:rPr/>
        <w:t>Considering</w:t>
      </w:r>
      <w:r>
        <w:rPr>
          <w:spacing w:val="-21"/>
        </w:rPr>
        <w:t> </w:t>
      </w:r>
      <w:r>
        <w:rPr/>
        <w:t>that,</w:t>
      </w:r>
      <w:r>
        <w:rPr>
          <w:spacing w:val="-20"/>
        </w:rPr>
        <w:t> </w:t>
      </w:r>
      <w:r>
        <w:rPr/>
        <w:t>according</w:t>
      </w:r>
      <w:r>
        <w:rPr>
          <w:spacing w:val="-21"/>
        </w:rPr>
        <w:t> </w:t>
      </w:r>
      <w:r>
        <w:rPr/>
        <w:t>to</w:t>
      </w:r>
      <w:r>
        <w:rPr>
          <w:spacing w:val="-21"/>
        </w:rPr>
        <w:t> </w:t>
      </w:r>
      <w:r>
        <w:rPr/>
        <w:t>many scientists, the oxidation of cells is the main cause of ageing and countless dis- eases, this aspect cannot be emphasised highly</w:t>
      </w:r>
      <w:r>
        <w:rPr>
          <w:spacing w:val="-2"/>
        </w:rPr>
        <w:t> </w:t>
      </w:r>
      <w:r>
        <w:rPr/>
        <w:t>enough.</w:t>
      </w:r>
    </w:p>
    <w:p>
      <w:pPr>
        <w:pStyle w:val="Heading1"/>
        <w:spacing w:before="222"/>
      </w:pPr>
      <w:r>
        <w:rPr/>
        <w:t>Circulation-enhancing effect</w:t>
      </w:r>
    </w:p>
    <w:p>
      <w:pPr>
        <w:pStyle w:val="BodyText"/>
        <w:spacing w:line="276" w:lineRule="auto" w:before="300"/>
        <w:ind w:left="477" w:right="131"/>
        <w:jc w:val="both"/>
      </w:pPr>
      <w:r>
        <w:rPr/>
        <w:t>The ‘juice’ of our lives is our blood, and ginkgo biloba’s main effects are in- creasing</w:t>
      </w:r>
      <w:r>
        <w:rPr>
          <w:spacing w:val="-10"/>
        </w:rPr>
        <w:t> </w:t>
      </w:r>
      <w:r>
        <w:rPr/>
        <w:t>circulation</w:t>
      </w:r>
      <w:r>
        <w:rPr>
          <w:spacing w:val="-10"/>
        </w:rPr>
        <w:t> </w:t>
      </w:r>
      <w:r>
        <w:rPr/>
        <w:t>and</w:t>
      </w:r>
      <w:r>
        <w:rPr>
          <w:spacing w:val="-9"/>
        </w:rPr>
        <w:t> </w:t>
      </w:r>
      <w:r>
        <w:rPr/>
        <w:t>the</w:t>
      </w:r>
      <w:r>
        <w:rPr>
          <w:spacing w:val="-10"/>
        </w:rPr>
        <w:t> </w:t>
      </w:r>
      <w:r>
        <w:rPr/>
        <w:t>protecting</w:t>
      </w:r>
      <w:r>
        <w:rPr>
          <w:spacing w:val="-9"/>
        </w:rPr>
        <w:t> </w:t>
      </w:r>
      <w:r>
        <w:rPr/>
        <w:t>human</w:t>
      </w:r>
      <w:r>
        <w:rPr>
          <w:spacing w:val="-9"/>
        </w:rPr>
        <w:t> </w:t>
      </w:r>
      <w:r>
        <w:rPr/>
        <w:t>tissue</w:t>
      </w:r>
      <w:r>
        <w:rPr>
          <w:spacing w:val="-11"/>
        </w:rPr>
        <w:t> </w:t>
      </w:r>
      <w:r>
        <w:rPr/>
        <w:t>and</w:t>
      </w:r>
      <w:r>
        <w:rPr>
          <w:spacing w:val="-9"/>
        </w:rPr>
        <w:t> </w:t>
      </w:r>
      <w:r>
        <w:rPr/>
        <w:t>organs.</w:t>
      </w:r>
      <w:r>
        <w:rPr>
          <w:spacing w:val="-11"/>
        </w:rPr>
        <w:t> </w:t>
      </w:r>
      <w:r>
        <w:rPr/>
        <w:t>By</w:t>
      </w:r>
      <w:r>
        <w:rPr>
          <w:spacing w:val="-10"/>
        </w:rPr>
        <w:t> </w:t>
      </w:r>
      <w:r>
        <w:rPr/>
        <w:t>making</w:t>
      </w:r>
      <w:r>
        <w:rPr>
          <w:spacing w:val="-9"/>
        </w:rPr>
        <w:t> </w:t>
      </w:r>
      <w:r>
        <w:rPr/>
        <w:t>the blood</w:t>
      </w:r>
      <w:r>
        <w:rPr>
          <w:spacing w:val="-12"/>
        </w:rPr>
        <w:t> </w:t>
      </w:r>
      <w:r>
        <w:rPr/>
        <w:t>more</w:t>
      </w:r>
      <w:r>
        <w:rPr>
          <w:spacing w:val="-11"/>
        </w:rPr>
        <w:t> </w:t>
      </w:r>
      <w:r>
        <w:rPr/>
        <w:t>fluid</w:t>
      </w:r>
      <w:r>
        <w:rPr>
          <w:spacing w:val="-13"/>
        </w:rPr>
        <w:t> </w:t>
      </w:r>
      <w:r>
        <w:rPr/>
        <w:t>and</w:t>
      </w:r>
      <w:r>
        <w:rPr>
          <w:spacing w:val="-11"/>
        </w:rPr>
        <w:t> </w:t>
      </w:r>
      <w:r>
        <w:rPr/>
        <w:t>allowing</w:t>
      </w:r>
      <w:r>
        <w:rPr>
          <w:spacing w:val="-12"/>
        </w:rPr>
        <w:t> </w:t>
      </w:r>
      <w:r>
        <w:rPr/>
        <w:t>blood</w:t>
      </w:r>
      <w:r>
        <w:rPr>
          <w:spacing w:val="-11"/>
        </w:rPr>
        <w:t> </w:t>
      </w:r>
      <w:r>
        <w:rPr/>
        <w:t>to</w:t>
      </w:r>
      <w:r>
        <w:rPr>
          <w:spacing w:val="-12"/>
        </w:rPr>
        <w:t> </w:t>
      </w:r>
      <w:r>
        <w:rPr/>
        <w:t>flow</w:t>
      </w:r>
      <w:r>
        <w:rPr>
          <w:spacing w:val="-12"/>
        </w:rPr>
        <w:t> </w:t>
      </w:r>
      <w:r>
        <w:rPr/>
        <w:t>through</w:t>
      </w:r>
      <w:r>
        <w:rPr>
          <w:spacing w:val="-11"/>
        </w:rPr>
        <w:t> </w:t>
      </w:r>
      <w:r>
        <w:rPr/>
        <w:t>tissue,</w:t>
      </w:r>
      <w:r>
        <w:rPr>
          <w:spacing w:val="-12"/>
        </w:rPr>
        <w:t> </w:t>
      </w:r>
      <w:r>
        <w:rPr/>
        <w:t>ginkgo</w:t>
      </w:r>
      <w:r>
        <w:rPr>
          <w:spacing w:val="-11"/>
        </w:rPr>
        <w:t> </w:t>
      </w:r>
      <w:r>
        <w:rPr/>
        <w:t>achieves</w:t>
      </w:r>
      <w:r>
        <w:rPr>
          <w:spacing w:val="-12"/>
        </w:rPr>
        <w:t> </w:t>
      </w:r>
      <w:r>
        <w:rPr/>
        <w:t>an optimised supply of nutrients and oxygen, which leads to the improvement of, and even healing of, many</w:t>
      </w:r>
      <w:r>
        <w:rPr>
          <w:spacing w:val="1"/>
        </w:rPr>
        <w:t> </w:t>
      </w:r>
      <w:r>
        <w:rPr/>
        <w:t>diseases.</w:t>
      </w:r>
    </w:p>
    <w:p>
      <w:pPr>
        <w:spacing w:after="0" w:line="276" w:lineRule="auto"/>
        <w:jc w:val="both"/>
        <w:sectPr>
          <w:pgSz w:w="14270" w:h="16850"/>
          <w:pgMar w:header="0" w:footer="1891" w:top="1600" w:bottom="2080" w:left="800" w:right="1280"/>
        </w:sectPr>
      </w:pPr>
    </w:p>
    <w:p>
      <w:pPr>
        <w:pStyle w:val="BodyText"/>
        <w:spacing w:before="181"/>
        <w:ind w:left="477"/>
      </w:pPr>
      <w:r>
        <w:rPr/>
        <w:t>The circulation-promoting effect of ginkgo is multi-faceted:</w:t>
      </w:r>
    </w:p>
    <w:p>
      <w:pPr>
        <w:pStyle w:val="ListParagraph"/>
        <w:numPr>
          <w:ilvl w:val="1"/>
          <w:numId w:val="26"/>
        </w:numPr>
        <w:tabs>
          <w:tab w:pos="1197" w:val="left" w:leader="none"/>
          <w:tab w:pos="1198" w:val="left" w:leader="none"/>
        </w:tabs>
        <w:spacing w:line="273" w:lineRule="auto" w:before="186" w:after="0"/>
        <w:ind w:left="1197" w:right="256" w:hanging="360"/>
        <w:jc w:val="left"/>
        <w:rPr>
          <w:sz w:val="38"/>
        </w:rPr>
      </w:pPr>
      <w:r>
        <w:rPr>
          <w:sz w:val="38"/>
        </w:rPr>
        <w:t>on the one hand, ginkgo actively counteracts the platelet activating factor (PAF) and prevents the blood clumping, where platelets stick</w:t>
      </w:r>
      <w:r>
        <w:rPr>
          <w:spacing w:val="-20"/>
          <w:sz w:val="38"/>
        </w:rPr>
        <w:t> </w:t>
      </w:r>
      <w:r>
        <w:rPr>
          <w:sz w:val="38"/>
        </w:rPr>
        <w:t>together.</w:t>
      </w:r>
    </w:p>
    <w:p>
      <w:pPr>
        <w:pStyle w:val="ListParagraph"/>
        <w:numPr>
          <w:ilvl w:val="1"/>
          <w:numId w:val="26"/>
        </w:numPr>
        <w:tabs>
          <w:tab w:pos="1197" w:val="left" w:leader="none"/>
          <w:tab w:pos="1198" w:val="left" w:leader="none"/>
        </w:tabs>
        <w:spacing w:line="273" w:lineRule="auto" w:before="8" w:after="0"/>
        <w:ind w:left="1197" w:right="448" w:hanging="360"/>
        <w:jc w:val="left"/>
        <w:rPr>
          <w:sz w:val="38"/>
        </w:rPr>
      </w:pPr>
      <w:r>
        <w:rPr>
          <w:sz w:val="38"/>
        </w:rPr>
        <w:t>on the other hand, the metabolism of the vascular walls is influenced so that they relax and expand, and the blood can flow</w:t>
      </w:r>
      <w:r>
        <w:rPr>
          <w:spacing w:val="-3"/>
          <w:sz w:val="38"/>
        </w:rPr>
        <w:t> </w:t>
      </w:r>
      <w:r>
        <w:rPr>
          <w:sz w:val="38"/>
        </w:rPr>
        <w:t>better.</w:t>
      </w:r>
    </w:p>
    <w:p>
      <w:pPr>
        <w:pStyle w:val="ListParagraph"/>
        <w:numPr>
          <w:ilvl w:val="1"/>
          <w:numId w:val="26"/>
        </w:numPr>
        <w:tabs>
          <w:tab w:pos="1197" w:val="left" w:leader="none"/>
          <w:tab w:pos="1198" w:val="left" w:leader="none"/>
        </w:tabs>
        <w:spacing w:line="273" w:lineRule="auto" w:before="7" w:after="0"/>
        <w:ind w:left="1197" w:right="250" w:hanging="360"/>
        <w:jc w:val="left"/>
        <w:rPr>
          <w:sz w:val="38"/>
        </w:rPr>
      </w:pPr>
      <w:r>
        <w:rPr>
          <w:sz w:val="38"/>
        </w:rPr>
        <w:t>Furthermore, the antioxidant properties of ginkgo make the blood cell membranes of leucocytes and erythrocytes more flexible and allow blood cells to flow more easily through the smaller</w:t>
      </w:r>
      <w:r>
        <w:rPr>
          <w:spacing w:val="-4"/>
          <w:sz w:val="38"/>
        </w:rPr>
        <w:t> </w:t>
      </w:r>
      <w:r>
        <w:rPr>
          <w:sz w:val="38"/>
        </w:rPr>
        <w:t>capillaries.</w:t>
      </w:r>
    </w:p>
    <w:p>
      <w:pPr>
        <w:pStyle w:val="BodyText"/>
        <w:spacing w:line="276" w:lineRule="auto" w:before="250"/>
        <w:ind w:left="477" w:right="130"/>
        <w:jc w:val="both"/>
        <w:rPr>
          <w:sz w:val="25"/>
        </w:rPr>
      </w:pPr>
      <w:r>
        <w:rPr/>
        <w:t>Incidentally, clear evidence of ginkgo’s effectiveness on circulatory disorders was produced by a group of German researchers in the 1960s. By 1992, medi- cines</w:t>
      </w:r>
      <w:r>
        <w:rPr>
          <w:spacing w:val="-22"/>
        </w:rPr>
        <w:t> </w:t>
      </w:r>
      <w:r>
        <w:rPr/>
        <w:t>containing</w:t>
      </w:r>
      <w:r>
        <w:rPr>
          <w:spacing w:val="-26"/>
        </w:rPr>
        <w:t> </w:t>
      </w:r>
      <w:r>
        <w:rPr/>
        <w:t>ginkgo</w:t>
      </w:r>
      <w:r>
        <w:rPr>
          <w:spacing w:val="-23"/>
        </w:rPr>
        <w:t> </w:t>
      </w:r>
      <w:r>
        <w:rPr/>
        <w:t>had</w:t>
      </w:r>
      <w:r>
        <w:rPr>
          <w:spacing w:val="-24"/>
        </w:rPr>
        <w:t> </w:t>
      </w:r>
      <w:r>
        <w:rPr/>
        <w:t>taken</w:t>
      </w:r>
      <w:r>
        <w:rPr>
          <w:spacing w:val="-23"/>
        </w:rPr>
        <w:t> </w:t>
      </w:r>
      <w:r>
        <w:rPr/>
        <w:t>up</w:t>
      </w:r>
      <w:r>
        <w:rPr>
          <w:spacing w:val="-24"/>
        </w:rPr>
        <w:t> </w:t>
      </w:r>
      <w:r>
        <w:rPr/>
        <w:t>at</w:t>
      </w:r>
      <w:r>
        <w:rPr>
          <w:spacing w:val="-25"/>
        </w:rPr>
        <w:t> </w:t>
      </w:r>
      <w:r>
        <w:rPr/>
        <w:t>least</w:t>
      </w:r>
      <w:r>
        <w:rPr>
          <w:spacing w:val="-24"/>
        </w:rPr>
        <w:t> </w:t>
      </w:r>
      <w:r>
        <w:rPr/>
        <w:t>one-third</w:t>
      </w:r>
      <w:r>
        <w:rPr>
          <w:spacing w:val="-23"/>
        </w:rPr>
        <w:t> </w:t>
      </w:r>
      <w:r>
        <w:rPr/>
        <w:t>of</w:t>
      </w:r>
      <w:r>
        <w:rPr>
          <w:spacing w:val="-23"/>
        </w:rPr>
        <w:t> </w:t>
      </w:r>
      <w:r>
        <w:rPr/>
        <w:t>all</w:t>
      </w:r>
      <w:r>
        <w:rPr>
          <w:spacing w:val="-25"/>
        </w:rPr>
        <w:t> </w:t>
      </w:r>
      <w:r>
        <w:rPr/>
        <w:t>circulation-enhanc- ing</w:t>
      </w:r>
      <w:r>
        <w:rPr>
          <w:spacing w:val="-9"/>
        </w:rPr>
        <w:t> </w:t>
      </w:r>
      <w:r>
        <w:rPr/>
        <w:t>medicines</w:t>
      </w:r>
      <w:r>
        <w:rPr>
          <w:spacing w:val="-8"/>
        </w:rPr>
        <w:t> </w:t>
      </w:r>
      <w:r>
        <w:rPr/>
        <w:t>in</w:t>
      </w:r>
      <w:r>
        <w:rPr>
          <w:spacing w:val="-11"/>
        </w:rPr>
        <w:t> </w:t>
      </w:r>
      <w:r>
        <w:rPr/>
        <w:t>the</w:t>
      </w:r>
      <w:r>
        <w:rPr>
          <w:spacing w:val="-8"/>
        </w:rPr>
        <w:t> </w:t>
      </w:r>
      <w:r>
        <w:rPr/>
        <w:t>entire</w:t>
      </w:r>
      <w:r>
        <w:rPr>
          <w:spacing w:val="-8"/>
        </w:rPr>
        <w:t> </w:t>
      </w:r>
      <w:r>
        <w:rPr/>
        <w:t>German</w:t>
      </w:r>
      <w:r>
        <w:rPr>
          <w:spacing w:val="-8"/>
        </w:rPr>
        <w:t> </w:t>
      </w:r>
      <w:r>
        <w:rPr/>
        <w:t>market,</w:t>
      </w:r>
      <w:r>
        <w:rPr>
          <w:spacing w:val="-9"/>
        </w:rPr>
        <w:t> </w:t>
      </w:r>
      <w:r>
        <w:rPr/>
        <w:t>reaching</w:t>
      </w:r>
      <w:r>
        <w:rPr>
          <w:spacing w:val="-8"/>
        </w:rPr>
        <w:t> </w:t>
      </w:r>
      <w:r>
        <w:rPr/>
        <w:t>a</w:t>
      </w:r>
      <w:r>
        <w:rPr>
          <w:spacing w:val="-9"/>
        </w:rPr>
        <w:t> </w:t>
      </w:r>
      <w:r>
        <w:rPr/>
        <w:t>sales</w:t>
      </w:r>
      <w:r>
        <w:rPr>
          <w:spacing w:val="-8"/>
        </w:rPr>
        <w:t> </w:t>
      </w:r>
      <w:r>
        <w:rPr/>
        <w:t>volume</w:t>
      </w:r>
      <w:r>
        <w:rPr>
          <w:spacing w:val="-9"/>
        </w:rPr>
        <w:t> </w:t>
      </w:r>
      <w:r>
        <w:rPr/>
        <w:t>of</w:t>
      </w:r>
      <w:r>
        <w:rPr>
          <w:spacing w:val="-8"/>
        </w:rPr>
        <w:t> </w:t>
      </w:r>
      <w:r>
        <w:rPr/>
        <w:t>370</w:t>
      </w:r>
      <w:r>
        <w:rPr>
          <w:spacing w:val="-10"/>
        </w:rPr>
        <w:t> </w:t>
      </w:r>
      <w:r>
        <w:rPr/>
        <w:t>mil- lion marks.</w:t>
      </w:r>
      <w:r>
        <w:rPr>
          <w:position w:val="9"/>
          <w:sz w:val="25"/>
        </w:rPr>
        <w:t>285</w:t>
      </w:r>
    </w:p>
    <w:p>
      <w:pPr>
        <w:pStyle w:val="BodyText"/>
        <w:rPr>
          <w:sz w:val="42"/>
        </w:rPr>
      </w:pPr>
    </w:p>
    <w:p>
      <w:pPr>
        <w:pStyle w:val="BodyText"/>
        <w:spacing w:before="10"/>
        <w:rPr>
          <w:sz w:val="42"/>
        </w:rPr>
      </w:pPr>
    </w:p>
    <w:p>
      <w:pPr>
        <w:pStyle w:val="Heading1"/>
        <w:spacing w:before="0"/>
      </w:pPr>
      <w:r>
        <w:rPr/>
        <w:t>Hypoxia-inhibiting effect</w:t>
      </w:r>
    </w:p>
    <w:p>
      <w:pPr>
        <w:pStyle w:val="BodyText"/>
        <w:spacing w:line="276" w:lineRule="auto" w:before="299"/>
        <w:ind w:left="477" w:right="133"/>
        <w:jc w:val="both"/>
      </w:pPr>
      <w:r>
        <w:rPr/>
        <w:t>Specialists understand hypoxia to be an oxygen deficiency, in which the</w:t>
      </w:r>
      <w:r>
        <w:rPr>
          <w:spacing w:val="-62"/>
        </w:rPr>
        <w:t> </w:t>
      </w:r>
      <w:r>
        <w:rPr/>
        <w:t>cardio- vascular system cannot transport sufficient blood – and therefore oxygen – to its destination. This can be the case, for example, as a result of atherosclerosis (vascular calcification), leading to heart attacks and strokes, often resulting in</w:t>
      </w:r>
    </w:p>
    <w:p>
      <w:pPr>
        <w:pStyle w:val="BodyText"/>
        <w:rPr>
          <w:sz w:val="20"/>
        </w:rPr>
      </w:pPr>
    </w:p>
    <w:p>
      <w:pPr>
        <w:pStyle w:val="BodyText"/>
        <w:spacing w:before="6"/>
        <w:rPr>
          <w:sz w:val="11"/>
        </w:rPr>
      </w:pPr>
      <w:r>
        <w:rPr/>
        <w:pict>
          <v:line style="position:absolute;mso-position-horizontal-relative:page;mso-position-vertical-relative:paragraph;z-index:2984;mso-wrap-distance-left:0;mso-wrap-distance-right:0" from="63.863998pt,8.861236pt" to="207.883998pt,8.861236pt" stroked="true" strokeweight=".71997pt" strokecolor="#000000">
            <v:stroke dashstyle="solid"/>
            <w10:wrap type="topAndBottom"/>
          </v:line>
        </w:pict>
      </w:r>
    </w:p>
    <w:p>
      <w:pPr>
        <w:spacing w:after="0"/>
        <w:rPr>
          <w:sz w:val="11"/>
        </w:rPr>
        <w:sectPr>
          <w:pgSz w:w="14270" w:h="16850"/>
          <w:pgMar w:header="0" w:footer="1891" w:top="1600" w:bottom="2080" w:left="800" w:right="1280"/>
        </w:sectPr>
      </w:pPr>
    </w:p>
    <w:p>
      <w:pPr>
        <w:pStyle w:val="BodyText"/>
        <w:spacing w:before="181"/>
        <w:ind w:left="477"/>
      </w:pPr>
      <w:r>
        <w:rPr/>
        <w:t>death. Thus, after 20-30 seconds of oxygen deprivation, brain cells begin to die.</w:t>
      </w:r>
    </w:p>
    <w:p>
      <w:pPr>
        <w:pStyle w:val="BodyText"/>
        <w:spacing w:line="276" w:lineRule="auto" w:before="305"/>
        <w:ind w:left="477" w:right="136"/>
        <w:jc w:val="both"/>
      </w:pPr>
      <w:r>
        <w:rPr/>
        <w:t>Ginkgo extracts have the remarkable ability to help brain cells survive despite this oxygen deficiency by building hypoxia tolerance. Furthermore, atheroscle- rosis is avoided by preventing the oxidation of LDL cholesterol and also the platelet activating factor which encourages the blood components (platelets)</w:t>
      </w:r>
      <w:r>
        <w:rPr>
          <w:spacing w:val="-60"/>
        </w:rPr>
        <w:t> </w:t>
      </w:r>
      <w:r>
        <w:rPr/>
        <w:t>to attach to the arteries.</w:t>
      </w:r>
    </w:p>
    <w:p>
      <w:pPr>
        <w:pStyle w:val="Heading1"/>
        <w:spacing w:before="223"/>
      </w:pPr>
      <w:r>
        <w:rPr/>
        <w:t>Antiallergic effect</w:t>
      </w:r>
    </w:p>
    <w:p>
      <w:pPr>
        <w:pStyle w:val="BodyText"/>
        <w:spacing w:line="276" w:lineRule="auto" w:before="299"/>
        <w:ind w:left="477" w:right="135"/>
        <w:jc w:val="both"/>
        <w:rPr>
          <w:sz w:val="25"/>
        </w:rPr>
      </w:pPr>
      <w:r>
        <w:rPr/>
        <w:t>Asthma, hay fever, and other forms of allergy can be alleviated by using</w:t>
      </w:r>
      <w:r>
        <w:rPr>
          <w:spacing w:val="-64"/>
        </w:rPr>
        <w:t> </w:t>
      </w:r>
      <w:r>
        <w:rPr/>
        <w:t>ginkgo extracts. This is associated with the above-mentioned PAF (platelet-activating factor) and ginkgo's ability to prevent platelets from clotting, as PAF induces inflammatory processes and bronchial activity.</w:t>
      </w:r>
      <w:r>
        <w:rPr>
          <w:position w:val="9"/>
          <w:sz w:val="25"/>
        </w:rPr>
        <w:t>286</w:t>
      </w:r>
    </w:p>
    <w:p>
      <w:pPr>
        <w:pStyle w:val="Heading1"/>
        <w:spacing w:before="222"/>
      </w:pPr>
      <w:r>
        <w:rPr/>
        <w:t>Neuroprotective (nerve protecting) effect</w:t>
      </w:r>
    </w:p>
    <w:p>
      <w:pPr>
        <w:pStyle w:val="BodyText"/>
        <w:spacing w:line="276" w:lineRule="auto" w:before="299"/>
        <w:ind w:left="477" w:right="132"/>
        <w:jc w:val="both"/>
      </w:pPr>
      <w:r>
        <w:rPr/>
        <w:t>Studies have shown that ginkgo extracts protect nerve cells from oxidative stress and oxygen deficiency due to circulatory problems and high levels of ni- tric</w:t>
      </w:r>
      <w:r>
        <w:rPr>
          <w:spacing w:val="-10"/>
        </w:rPr>
        <w:t> </w:t>
      </w:r>
      <w:r>
        <w:rPr/>
        <w:t>oxide.</w:t>
      </w:r>
      <w:r>
        <w:rPr>
          <w:spacing w:val="-9"/>
        </w:rPr>
        <w:t> </w:t>
      </w:r>
      <w:r>
        <w:rPr/>
        <w:t>In</w:t>
      </w:r>
      <w:r>
        <w:rPr>
          <w:spacing w:val="-11"/>
        </w:rPr>
        <w:t> </w:t>
      </w:r>
      <w:r>
        <w:rPr/>
        <w:t>animal</w:t>
      </w:r>
      <w:r>
        <w:rPr>
          <w:spacing w:val="-10"/>
        </w:rPr>
        <w:t> </w:t>
      </w:r>
      <w:r>
        <w:rPr/>
        <w:t>studies,</w:t>
      </w:r>
      <w:r>
        <w:rPr>
          <w:spacing w:val="-8"/>
        </w:rPr>
        <w:t> </w:t>
      </w:r>
      <w:r>
        <w:rPr/>
        <w:t>ginkgo</w:t>
      </w:r>
      <w:r>
        <w:rPr>
          <w:spacing w:val="-9"/>
        </w:rPr>
        <w:t> </w:t>
      </w:r>
      <w:r>
        <w:rPr/>
        <w:t>extracts</w:t>
      </w:r>
      <w:r>
        <w:rPr>
          <w:spacing w:val="-9"/>
        </w:rPr>
        <w:t> </w:t>
      </w:r>
      <w:r>
        <w:rPr/>
        <w:t>reduced</w:t>
      </w:r>
      <w:r>
        <w:rPr>
          <w:spacing w:val="-10"/>
        </w:rPr>
        <w:t> </w:t>
      </w:r>
      <w:r>
        <w:rPr/>
        <w:t>the</w:t>
      </w:r>
      <w:r>
        <w:rPr>
          <w:spacing w:val="-11"/>
        </w:rPr>
        <w:t> </w:t>
      </w:r>
      <w:r>
        <w:rPr/>
        <w:t>death</w:t>
      </w:r>
      <w:r>
        <w:rPr>
          <w:spacing w:val="-9"/>
        </w:rPr>
        <w:t> </w:t>
      </w:r>
      <w:r>
        <w:rPr/>
        <w:t>of</w:t>
      </w:r>
      <w:r>
        <w:rPr>
          <w:spacing w:val="-14"/>
        </w:rPr>
        <w:t> </w:t>
      </w:r>
      <w:r>
        <w:rPr/>
        <w:t>nerve</w:t>
      </w:r>
      <w:r>
        <w:rPr>
          <w:spacing w:val="-9"/>
        </w:rPr>
        <w:t> </w:t>
      </w:r>
      <w:r>
        <w:rPr/>
        <w:t>cells</w:t>
      </w:r>
      <w:r>
        <w:rPr>
          <w:spacing w:val="-11"/>
        </w:rPr>
        <w:t> </w:t>
      </w:r>
      <w:r>
        <w:rPr/>
        <w:t>by artificially</w:t>
      </w:r>
      <w:r>
        <w:rPr>
          <w:spacing w:val="-25"/>
        </w:rPr>
        <w:t> </w:t>
      </w:r>
      <w:r>
        <w:rPr/>
        <w:t>induced</w:t>
      </w:r>
      <w:r>
        <w:rPr>
          <w:spacing w:val="-25"/>
        </w:rPr>
        <w:t> </w:t>
      </w:r>
      <w:r>
        <w:rPr/>
        <w:t>oxidative</w:t>
      </w:r>
      <w:r>
        <w:rPr>
          <w:spacing w:val="-24"/>
        </w:rPr>
        <w:t> </w:t>
      </w:r>
      <w:r>
        <w:rPr/>
        <w:t>stress</w:t>
      </w:r>
      <w:r>
        <w:rPr>
          <w:spacing w:val="-23"/>
        </w:rPr>
        <w:t> </w:t>
      </w:r>
      <w:r>
        <w:rPr/>
        <w:t>(through</w:t>
      </w:r>
      <w:r>
        <w:rPr>
          <w:spacing w:val="-22"/>
        </w:rPr>
        <w:t> </w:t>
      </w:r>
      <w:r>
        <w:rPr/>
        <w:t>the</w:t>
      </w:r>
      <w:r>
        <w:rPr>
          <w:spacing w:val="-23"/>
        </w:rPr>
        <w:t> </w:t>
      </w:r>
      <w:r>
        <w:rPr/>
        <w:t>production</w:t>
      </w:r>
      <w:r>
        <w:rPr>
          <w:spacing w:val="-23"/>
        </w:rPr>
        <w:t> </w:t>
      </w:r>
      <w:r>
        <w:rPr/>
        <w:t>of</w:t>
      </w:r>
      <w:r>
        <w:rPr>
          <w:spacing w:val="-23"/>
        </w:rPr>
        <w:t> </w:t>
      </w:r>
      <w:r>
        <w:rPr/>
        <w:t>amyloid</w:t>
      </w:r>
      <w:r>
        <w:rPr>
          <w:spacing w:val="-24"/>
        </w:rPr>
        <w:t> </w:t>
      </w:r>
      <w:r>
        <w:rPr/>
        <w:t>peptide). These</w:t>
      </w:r>
      <w:r>
        <w:rPr>
          <w:spacing w:val="23"/>
        </w:rPr>
        <w:t> </w:t>
      </w:r>
      <w:r>
        <w:rPr/>
        <w:t>neuroprotective</w:t>
      </w:r>
      <w:r>
        <w:rPr>
          <w:spacing w:val="23"/>
        </w:rPr>
        <w:t> </w:t>
      </w:r>
      <w:r>
        <w:rPr/>
        <w:t>properties,</w:t>
      </w:r>
      <w:r>
        <w:rPr>
          <w:spacing w:val="25"/>
        </w:rPr>
        <w:t> </w:t>
      </w:r>
      <w:r>
        <w:rPr/>
        <w:t>which</w:t>
      </w:r>
      <w:r>
        <w:rPr>
          <w:spacing w:val="25"/>
        </w:rPr>
        <w:t> </w:t>
      </w:r>
      <w:r>
        <w:rPr/>
        <w:t>undoubtedly</w:t>
      </w:r>
      <w:r>
        <w:rPr>
          <w:spacing w:val="25"/>
        </w:rPr>
        <w:t> </w:t>
      </w:r>
      <w:r>
        <w:rPr/>
        <w:t>belong</w:t>
      </w:r>
      <w:r>
        <w:rPr>
          <w:spacing w:val="24"/>
        </w:rPr>
        <w:t> </w:t>
      </w:r>
      <w:r>
        <w:rPr/>
        <w:t>to</w:t>
      </w:r>
      <w:r>
        <w:rPr>
          <w:spacing w:val="22"/>
        </w:rPr>
        <w:t> </w:t>
      </w:r>
      <w:r>
        <w:rPr/>
        <w:t>the</w:t>
      </w:r>
      <w:r>
        <w:rPr>
          <w:spacing w:val="24"/>
        </w:rPr>
        <w:t> </w:t>
      </w:r>
      <w:r>
        <w:rPr/>
        <w:t>group</w:t>
      </w:r>
      <w:r>
        <w:rPr>
          <w:spacing w:val="24"/>
        </w:rPr>
        <w:t> </w:t>
      </w:r>
      <w:r>
        <w:rPr/>
        <w:t>of</w:t>
      </w:r>
    </w:p>
    <w:p>
      <w:pPr>
        <w:pStyle w:val="BodyText"/>
        <w:rPr>
          <w:sz w:val="20"/>
        </w:rPr>
      </w:pPr>
    </w:p>
    <w:p>
      <w:pPr>
        <w:pStyle w:val="BodyText"/>
        <w:rPr>
          <w:sz w:val="20"/>
        </w:rPr>
      </w:pPr>
    </w:p>
    <w:p>
      <w:pPr>
        <w:pStyle w:val="BodyText"/>
        <w:spacing w:before="5"/>
        <w:rPr>
          <w:sz w:val="18"/>
        </w:rPr>
      </w:pPr>
      <w:r>
        <w:rPr/>
        <w:pict>
          <v:line style="position:absolute;mso-position-horizontal-relative:page;mso-position-vertical-relative:paragraph;z-index:3008;mso-wrap-distance-left:0;mso-wrap-distance-right:0" from="63.863998pt,12.727515pt" to="207.883998pt,12.72751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286 </w:t>
      </w:r>
      <w:hyperlink r:id="rId106">
        <w:r>
          <w:rPr>
            <w:sz w:val="20"/>
          </w:rPr>
          <w:t>http://en.wikipedia.org/wiki/Rupatadin</w:t>
        </w:r>
      </w:hyperlink>
    </w:p>
    <w:p>
      <w:pPr>
        <w:spacing w:after="0"/>
        <w:jc w:val="left"/>
        <w:rPr>
          <w:sz w:val="20"/>
        </w:rPr>
        <w:sectPr>
          <w:pgSz w:w="14270" w:h="16850"/>
          <w:pgMar w:header="0" w:footer="1891" w:top="1600" w:bottom="2080" w:left="800" w:right="1280"/>
        </w:sectPr>
      </w:pPr>
    </w:p>
    <w:p>
      <w:pPr>
        <w:pStyle w:val="BodyText"/>
        <w:spacing w:before="181"/>
        <w:ind w:left="477"/>
      </w:pPr>
      <w:r>
        <w:rPr/>
        <w:t>natural nootropics, are associated with the ingredient ‘bilobalide’ in particular.</w:t>
      </w:r>
    </w:p>
    <w:p>
      <w:pPr>
        <w:pStyle w:val="BodyText"/>
        <w:spacing w:line="276" w:lineRule="auto" w:before="305"/>
        <w:ind w:left="477" w:right="129"/>
        <w:jc w:val="both"/>
      </w:pPr>
      <w:r>
        <w:rPr/>
        <w:t>In</w:t>
      </w:r>
      <w:r>
        <w:rPr>
          <w:spacing w:val="-14"/>
        </w:rPr>
        <w:t> </w:t>
      </w:r>
      <w:r>
        <w:rPr/>
        <w:t>conjunction</w:t>
      </w:r>
      <w:r>
        <w:rPr>
          <w:spacing w:val="-15"/>
        </w:rPr>
        <w:t> </w:t>
      </w:r>
      <w:r>
        <w:rPr/>
        <w:t>with</w:t>
      </w:r>
      <w:r>
        <w:rPr>
          <w:spacing w:val="-14"/>
        </w:rPr>
        <w:t> </w:t>
      </w:r>
      <w:r>
        <w:rPr/>
        <w:t>its</w:t>
      </w:r>
      <w:r>
        <w:rPr>
          <w:spacing w:val="-13"/>
        </w:rPr>
        <w:t> </w:t>
      </w:r>
      <w:r>
        <w:rPr/>
        <w:t>neuroprotective</w:t>
      </w:r>
      <w:r>
        <w:rPr>
          <w:spacing w:val="-15"/>
        </w:rPr>
        <w:t> </w:t>
      </w:r>
      <w:r>
        <w:rPr/>
        <w:t>effect,</w:t>
      </w:r>
      <w:r>
        <w:rPr>
          <w:spacing w:val="-13"/>
        </w:rPr>
        <w:t> </w:t>
      </w:r>
      <w:r>
        <w:rPr/>
        <w:t>it</w:t>
      </w:r>
      <w:r>
        <w:rPr>
          <w:spacing w:val="-15"/>
        </w:rPr>
        <w:t> </w:t>
      </w:r>
      <w:r>
        <w:rPr/>
        <w:t>has</w:t>
      </w:r>
      <w:r>
        <w:rPr>
          <w:spacing w:val="-12"/>
        </w:rPr>
        <w:t> </w:t>
      </w:r>
      <w:r>
        <w:rPr/>
        <w:t>the</w:t>
      </w:r>
      <w:r>
        <w:rPr>
          <w:spacing w:val="-15"/>
        </w:rPr>
        <w:t> </w:t>
      </w:r>
      <w:r>
        <w:rPr/>
        <w:t>potential</w:t>
      </w:r>
      <w:r>
        <w:rPr>
          <w:spacing w:val="-15"/>
        </w:rPr>
        <w:t> </w:t>
      </w:r>
      <w:r>
        <w:rPr/>
        <w:t>to</w:t>
      </w:r>
      <w:r>
        <w:rPr>
          <w:spacing w:val="-14"/>
        </w:rPr>
        <w:t> </w:t>
      </w:r>
      <w:r>
        <w:rPr/>
        <w:t>work</w:t>
      </w:r>
      <w:r>
        <w:rPr>
          <w:spacing w:val="-12"/>
        </w:rPr>
        <w:t> </w:t>
      </w:r>
      <w:r>
        <w:rPr/>
        <w:t>won- ders on our main control centre: our rain. Ginkgo also acts in another, highly interesting</w:t>
      </w:r>
      <w:r>
        <w:rPr>
          <w:spacing w:val="-21"/>
        </w:rPr>
        <w:t> </w:t>
      </w:r>
      <w:r>
        <w:rPr/>
        <w:t>way,</w:t>
      </w:r>
      <w:r>
        <w:rPr>
          <w:spacing w:val="-22"/>
        </w:rPr>
        <w:t> </w:t>
      </w:r>
      <w:r>
        <w:rPr/>
        <w:t>namely</w:t>
      </w:r>
      <w:r>
        <w:rPr>
          <w:spacing w:val="-21"/>
        </w:rPr>
        <w:t> </w:t>
      </w:r>
      <w:r>
        <w:rPr/>
        <w:t>protecting</w:t>
      </w:r>
      <w:r>
        <w:rPr>
          <w:spacing w:val="-20"/>
        </w:rPr>
        <w:t> </w:t>
      </w:r>
      <w:r>
        <w:rPr/>
        <w:t>against</w:t>
      </w:r>
      <w:r>
        <w:rPr>
          <w:spacing w:val="-21"/>
        </w:rPr>
        <w:t> </w:t>
      </w:r>
      <w:r>
        <w:rPr/>
        <w:t>the</w:t>
      </w:r>
      <w:r>
        <w:rPr>
          <w:spacing w:val="-22"/>
        </w:rPr>
        <w:t> </w:t>
      </w:r>
      <w:r>
        <w:rPr/>
        <w:t>age</w:t>
      </w:r>
      <w:r>
        <w:rPr>
          <w:spacing w:val="-22"/>
        </w:rPr>
        <w:t> </w:t>
      </w:r>
      <w:r>
        <w:rPr/>
        <w:t>or</w:t>
      </w:r>
      <w:r>
        <w:rPr>
          <w:spacing w:val="-19"/>
        </w:rPr>
        <w:t> </w:t>
      </w:r>
      <w:r>
        <w:rPr/>
        <w:t>disease-related</w:t>
      </w:r>
      <w:r>
        <w:rPr>
          <w:spacing w:val="-22"/>
        </w:rPr>
        <w:t> </w:t>
      </w:r>
      <w:r>
        <w:rPr/>
        <w:t>degradation of so-called transmitter receptors in the brain. The neurotransmitters, whose task</w:t>
      </w:r>
      <w:r>
        <w:rPr>
          <w:spacing w:val="-26"/>
        </w:rPr>
        <w:t> </w:t>
      </w:r>
      <w:r>
        <w:rPr/>
        <w:t>it</w:t>
      </w:r>
      <w:r>
        <w:rPr>
          <w:spacing w:val="-26"/>
        </w:rPr>
        <w:t> </w:t>
      </w:r>
      <w:r>
        <w:rPr/>
        <w:t>is</w:t>
      </w:r>
      <w:r>
        <w:rPr>
          <w:spacing w:val="-25"/>
        </w:rPr>
        <w:t> </w:t>
      </w:r>
      <w:r>
        <w:rPr/>
        <w:t>to</w:t>
      </w:r>
      <w:r>
        <w:rPr>
          <w:spacing w:val="-24"/>
        </w:rPr>
        <w:t> </w:t>
      </w:r>
      <w:r>
        <w:rPr/>
        <w:t>transmit</w:t>
      </w:r>
      <w:r>
        <w:rPr>
          <w:spacing w:val="-26"/>
        </w:rPr>
        <w:t> </w:t>
      </w:r>
      <w:r>
        <w:rPr/>
        <w:t>signals</w:t>
      </w:r>
      <w:r>
        <w:rPr>
          <w:spacing w:val="-26"/>
        </w:rPr>
        <w:t> </w:t>
      </w:r>
      <w:r>
        <w:rPr/>
        <w:t>between</w:t>
      </w:r>
      <w:r>
        <w:rPr>
          <w:spacing w:val="-24"/>
        </w:rPr>
        <w:t> </w:t>
      </w:r>
      <w:r>
        <w:rPr/>
        <w:t>the</w:t>
      </w:r>
      <w:r>
        <w:rPr>
          <w:spacing w:val="-25"/>
        </w:rPr>
        <w:t> </w:t>
      </w:r>
      <w:r>
        <w:rPr/>
        <w:t>nerve</w:t>
      </w:r>
      <w:r>
        <w:rPr>
          <w:spacing w:val="-25"/>
        </w:rPr>
        <w:t> </w:t>
      </w:r>
      <w:r>
        <w:rPr/>
        <w:t>cells,</w:t>
      </w:r>
      <w:r>
        <w:rPr>
          <w:spacing w:val="-25"/>
        </w:rPr>
        <w:t> </w:t>
      </w:r>
      <w:r>
        <w:rPr/>
        <w:t>or</w:t>
      </w:r>
      <w:r>
        <w:rPr>
          <w:spacing w:val="-24"/>
        </w:rPr>
        <w:t> </w:t>
      </w:r>
      <w:r>
        <w:rPr/>
        <w:t>neurons,</w:t>
      </w:r>
      <w:r>
        <w:rPr>
          <w:spacing w:val="-24"/>
        </w:rPr>
        <w:t> </w:t>
      </w:r>
      <w:r>
        <w:rPr/>
        <w:t>dock</w:t>
      </w:r>
      <w:r>
        <w:rPr>
          <w:spacing w:val="-26"/>
        </w:rPr>
        <w:t> </w:t>
      </w:r>
      <w:r>
        <w:rPr/>
        <w:t>onto</w:t>
      </w:r>
      <w:r>
        <w:rPr>
          <w:spacing w:val="-24"/>
        </w:rPr>
        <w:t> </w:t>
      </w:r>
      <w:r>
        <w:rPr/>
        <w:t>them.</w:t>
      </w:r>
    </w:p>
    <w:p>
      <w:pPr>
        <w:pStyle w:val="BodyText"/>
        <w:spacing w:line="276" w:lineRule="auto" w:before="240"/>
        <w:ind w:left="477" w:right="133"/>
        <w:jc w:val="both"/>
      </w:pPr>
      <w:r>
        <w:rPr/>
        <w:t>It</w:t>
      </w:r>
      <w:r>
        <w:rPr>
          <w:spacing w:val="-16"/>
        </w:rPr>
        <w:t> </w:t>
      </w:r>
      <w:r>
        <w:rPr/>
        <w:t>is</w:t>
      </w:r>
      <w:r>
        <w:rPr>
          <w:spacing w:val="-17"/>
        </w:rPr>
        <w:t> </w:t>
      </w:r>
      <w:r>
        <w:rPr/>
        <w:t>worth</w:t>
      </w:r>
      <w:r>
        <w:rPr>
          <w:spacing w:val="-14"/>
        </w:rPr>
        <w:t> </w:t>
      </w:r>
      <w:r>
        <w:rPr/>
        <w:t>considering</w:t>
      </w:r>
      <w:r>
        <w:rPr>
          <w:spacing w:val="-14"/>
        </w:rPr>
        <w:t> </w:t>
      </w:r>
      <w:r>
        <w:rPr/>
        <w:t>that</w:t>
      </w:r>
      <w:r>
        <w:rPr>
          <w:spacing w:val="-15"/>
        </w:rPr>
        <w:t> </w:t>
      </w:r>
      <w:r>
        <w:rPr/>
        <w:t>mental</w:t>
      </w:r>
      <w:r>
        <w:rPr>
          <w:spacing w:val="-16"/>
        </w:rPr>
        <w:t> </w:t>
      </w:r>
      <w:r>
        <w:rPr/>
        <w:t>illnesses</w:t>
      </w:r>
      <w:r>
        <w:rPr>
          <w:spacing w:val="-15"/>
        </w:rPr>
        <w:t> </w:t>
      </w:r>
      <w:r>
        <w:rPr/>
        <w:t>such</w:t>
      </w:r>
      <w:r>
        <w:rPr>
          <w:spacing w:val="-17"/>
        </w:rPr>
        <w:t> </w:t>
      </w:r>
      <w:r>
        <w:rPr/>
        <w:t>as</w:t>
      </w:r>
      <w:r>
        <w:rPr>
          <w:spacing w:val="-15"/>
        </w:rPr>
        <w:t> </w:t>
      </w:r>
      <w:r>
        <w:rPr/>
        <w:t>depression,</w:t>
      </w:r>
      <w:r>
        <w:rPr>
          <w:spacing w:val="-16"/>
        </w:rPr>
        <w:t> </w:t>
      </w:r>
      <w:r>
        <w:rPr/>
        <w:t>anxiety,</w:t>
      </w:r>
      <w:r>
        <w:rPr>
          <w:spacing w:val="-15"/>
        </w:rPr>
        <w:t> </w:t>
      </w:r>
      <w:r>
        <w:rPr/>
        <w:t>demen- tia and reduced brain performance, are normally triggered at this exact point and</w:t>
      </w:r>
      <w:r>
        <w:rPr>
          <w:spacing w:val="-10"/>
        </w:rPr>
        <w:t> </w:t>
      </w:r>
      <w:r>
        <w:rPr/>
        <w:t>ginkgo</w:t>
      </w:r>
      <w:r>
        <w:rPr>
          <w:spacing w:val="-9"/>
        </w:rPr>
        <w:t> </w:t>
      </w:r>
      <w:r>
        <w:rPr/>
        <w:t>can</w:t>
      </w:r>
      <w:r>
        <w:rPr>
          <w:spacing w:val="-12"/>
        </w:rPr>
        <w:t> </w:t>
      </w:r>
      <w:r>
        <w:rPr/>
        <w:t>provide</w:t>
      </w:r>
      <w:r>
        <w:rPr>
          <w:spacing w:val="-9"/>
        </w:rPr>
        <w:t> </w:t>
      </w:r>
      <w:r>
        <w:rPr/>
        <w:t>outstanding</w:t>
      </w:r>
      <w:r>
        <w:rPr>
          <w:spacing w:val="-9"/>
        </w:rPr>
        <w:t> </w:t>
      </w:r>
      <w:r>
        <w:rPr/>
        <w:t>relief</w:t>
      </w:r>
      <w:r>
        <w:rPr>
          <w:spacing w:val="-12"/>
        </w:rPr>
        <w:t> </w:t>
      </w:r>
      <w:r>
        <w:rPr/>
        <w:t>here;</w:t>
      </w:r>
      <w:r>
        <w:rPr>
          <w:spacing w:val="-13"/>
        </w:rPr>
        <w:t> </w:t>
      </w:r>
      <w:r>
        <w:rPr/>
        <w:t>gingko</w:t>
      </w:r>
      <w:r>
        <w:rPr>
          <w:spacing w:val="-9"/>
        </w:rPr>
        <w:t> </w:t>
      </w:r>
      <w:r>
        <w:rPr/>
        <w:t>can</w:t>
      </w:r>
      <w:r>
        <w:rPr>
          <w:spacing w:val="-9"/>
        </w:rPr>
        <w:t> </w:t>
      </w:r>
      <w:r>
        <w:rPr/>
        <w:t>be</w:t>
      </w:r>
      <w:r>
        <w:rPr>
          <w:spacing w:val="-11"/>
        </w:rPr>
        <w:t> </w:t>
      </w:r>
      <w:r>
        <w:rPr/>
        <w:t>classified</w:t>
      </w:r>
      <w:r>
        <w:rPr>
          <w:spacing w:val="-11"/>
        </w:rPr>
        <w:t> </w:t>
      </w:r>
      <w:r>
        <w:rPr/>
        <w:t>as</w:t>
      </w:r>
      <w:r>
        <w:rPr>
          <w:spacing w:val="-11"/>
        </w:rPr>
        <w:t> </w:t>
      </w:r>
      <w:r>
        <w:rPr/>
        <w:t>both a promising therapy and a preventive</w:t>
      </w:r>
      <w:r>
        <w:rPr>
          <w:spacing w:val="-2"/>
        </w:rPr>
        <w:t> </w:t>
      </w:r>
      <w:r>
        <w:rPr/>
        <w:t>measure.</w:t>
      </w:r>
    </w:p>
    <w:p>
      <w:pPr>
        <w:pStyle w:val="BodyText"/>
        <w:rPr>
          <w:sz w:val="42"/>
        </w:rPr>
      </w:pPr>
    </w:p>
    <w:p>
      <w:pPr>
        <w:pStyle w:val="BodyText"/>
        <w:rPr>
          <w:sz w:val="42"/>
        </w:rPr>
      </w:pPr>
    </w:p>
    <w:p>
      <w:pPr>
        <w:pStyle w:val="BodyText"/>
        <w:rPr>
          <w:sz w:val="42"/>
        </w:rPr>
      </w:pPr>
    </w:p>
    <w:p>
      <w:pPr>
        <w:pStyle w:val="Heading1"/>
        <w:spacing w:before="269"/>
      </w:pPr>
      <w:r>
        <w:rPr/>
        <w:t>Cancer-inhibiting effect</w:t>
      </w:r>
    </w:p>
    <w:p>
      <w:pPr>
        <w:pStyle w:val="BodyText"/>
        <w:spacing w:line="276" w:lineRule="auto" w:before="299"/>
        <w:ind w:left="477" w:right="135"/>
        <w:jc w:val="both"/>
      </w:pPr>
      <w:r>
        <w:rPr/>
        <w:t>According to recent studies, ginkgo biloba also appears to have an anticancer effect and to increase the efficacy of chemotherapy in at least some cancers, including breast, colon, ovarian, and pancreatic cancer. Studies suggest that</w:t>
      </w:r>
      <w:r>
        <w:rPr>
          <w:spacing w:val="-41"/>
        </w:rPr>
        <w:t> </w:t>
      </w:r>
      <w:r>
        <w:rPr/>
        <w:t>the antitumour effect is due to the prevention of proliferation, the delay of the cell cycle</w:t>
      </w:r>
      <w:r>
        <w:rPr>
          <w:spacing w:val="-6"/>
        </w:rPr>
        <w:t> </w:t>
      </w:r>
      <w:r>
        <w:rPr/>
        <w:t>and</w:t>
      </w:r>
      <w:r>
        <w:rPr>
          <w:spacing w:val="-7"/>
        </w:rPr>
        <w:t> </w:t>
      </w:r>
      <w:r>
        <w:rPr/>
        <w:t>apoptosis,</w:t>
      </w:r>
      <w:r>
        <w:rPr>
          <w:spacing w:val="-6"/>
        </w:rPr>
        <w:t> </w:t>
      </w:r>
      <w:r>
        <w:rPr/>
        <w:t>(see</w:t>
      </w:r>
      <w:r>
        <w:rPr>
          <w:spacing w:val="-6"/>
        </w:rPr>
        <w:t> </w:t>
      </w:r>
      <w:r>
        <w:rPr/>
        <w:t>more</w:t>
      </w:r>
      <w:r>
        <w:rPr>
          <w:spacing w:val="-6"/>
        </w:rPr>
        <w:t> </w:t>
      </w:r>
      <w:r>
        <w:rPr/>
        <w:t>in</w:t>
      </w:r>
      <w:r>
        <w:rPr>
          <w:spacing w:val="-7"/>
        </w:rPr>
        <w:t> </w:t>
      </w:r>
      <w:r>
        <w:rPr/>
        <w:t>the</w:t>
      </w:r>
      <w:r>
        <w:rPr>
          <w:spacing w:val="-6"/>
        </w:rPr>
        <w:t> </w:t>
      </w:r>
      <w:r>
        <w:rPr/>
        <w:t>section</w:t>
      </w:r>
      <w:r>
        <w:rPr>
          <w:spacing w:val="-7"/>
        </w:rPr>
        <w:t> </w:t>
      </w:r>
      <w:r>
        <w:rPr/>
        <w:t>‘Ginkgo</w:t>
      </w:r>
      <w:r>
        <w:rPr>
          <w:spacing w:val="-7"/>
        </w:rPr>
        <w:t> </w:t>
      </w:r>
      <w:r>
        <w:rPr/>
        <w:t>and</w:t>
      </w:r>
      <w:r>
        <w:rPr>
          <w:spacing w:val="-7"/>
        </w:rPr>
        <w:t> </w:t>
      </w:r>
      <w:r>
        <w:rPr/>
        <w:t>its</w:t>
      </w:r>
      <w:r>
        <w:rPr>
          <w:spacing w:val="-7"/>
        </w:rPr>
        <w:t> </w:t>
      </w:r>
      <w:r>
        <w:rPr/>
        <w:t>effect</w:t>
      </w:r>
      <w:r>
        <w:rPr>
          <w:spacing w:val="-6"/>
        </w:rPr>
        <w:t> </w:t>
      </w:r>
      <w:r>
        <w:rPr/>
        <w:t>on</w:t>
      </w:r>
      <w:r>
        <w:rPr>
          <w:spacing w:val="-6"/>
        </w:rPr>
        <w:t> </w:t>
      </w:r>
      <w:r>
        <w:rPr/>
        <w:t>cancer‘).</w:t>
      </w:r>
    </w:p>
    <w:p>
      <w:pPr>
        <w:pStyle w:val="Heading1"/>
        <w:spacing w:before="223"/>
        <w:jc w:val="both"/>
      </w:pPr>
      <w:r>
        <w:rPr/>
        <w:t>Relaxing effect</w:t>
      </w:r>
    </w:p>
    <w:p>
      <w:pPr>
        <w:pStyle w:val="BodyText"/>
        <w:spacing w:before="299"/>
        <w:ind w:left="477"/>
        <w:jc w:val="both"/>
      </w:pPr>
      <w:r>
        <w:rPr/>
        <w:t>The circulation-enhancing and nerve-protecting effect of ginkgo has a calming</w:t>
      </w:r>
    </w:p>
    <w:p>
      <w:pPr>
        <w:spacing w:after="0"/>
        <w:jc w:val="both"/>
        <w:sectPr>
          <w:pgSz w:w="14270" w:h="16850"/>
          <w:pgMar w:header="0" w:footer="1891" w:top="1600" w:bottom="2080" w:left="800" w:right="1280"/>
        </w:sectPr>
      </w:pPr>
    </w:p>
    <w:p>
      <w:pPr>
        <w:pStyle w:val="BodyText"/>
        <w:spacing w:line="276" w:lineRule="auto" w:before="181"/>
        <w:ind w:left="477"/>
      </w:pPr>
      <w:r>
        <w:rPr/>
        <w:t>effect on the entire body and can therefore counteract stress states as well as erectile problems in men.</w:t>
      </w:r>
    </w:p>
    <w:p>
      <w:pPr>
        <w:pStyle w:val="Heading1"/>
      </w:pPr>
      <w:r>
        <w:rPr/>
        <w:t>Analgesic effect</w:t>
      </w:r>
    </w:p>
    <w:p>
      <w:pPr>
        <w:pStyle w:val="BodyText"/>
        <w:spacing w:line="276" w:lineRule="auto" w:before="299"/>
        <w:ind w:left="477"/>
      </w:pPr>
      <w:r>
        <w:rPr/>
        <w:t>The</w:t>
      </w:r>
      <w:r>
        <w:rPr>
          <w:spacing w:val="-9"/>
        </w:rPr>
        <w:t> </w:t>
      </w:r>
      <w:r>
        <w:rPr/>
        <w:t>analgesic</w:t>
      </w:r>
      <w:r>
        <w:rPr>
          <w:spacing w:val="-10"/>
        </w:rPr>
        <w:t> </w:t>
      </w:r>
      <w:r>
        <w:rPr/>
        <w:t>effect</w:t>
      </w:r>
      <w:r>
        <w:rPr>
          <w:spacing w:val="-9"/>
        </w:rPr>
        <w:t> </w:t>
      </w:r>
      <w:r>
        <w:rPr/>
        <w:t>is</w:t>
      </w:r>
      <w:r>
        <w:rPr>
          <w:spacing w:val="-9"/>
        </w:rPr>
        <w:t> </w:t>
      </w:r>
      <w:r>
        <w:rPr/>
        <w:t>due</w:t>
      </w:r>
      <w:r>
        <w:rPr>
          <w:spacing w:val="-10"/>
        </w:rPr>
        <w:t> </w:t>
      </w:r>
      <w:r>
        <w:rPr/>
        <w:t>to</w:t>
      </w:r>
      <w:r>
        <w:rPr>
          <w:spacing w:val="-11"/>
        </w:rPr>
        <w:t> </w:t>
      </w:r>
      <w:r>
        <w:rPr/>
        <w:t>drugs</w:t>
      </w:r>
      <w:r>
        <w:rPr>
          <w:spacing w:val="-9"/>
        </w:rPr>
        <w:t> </w:t>
      </w:r>
      <w:r>
        <w:rPr/>
        <w:t>such</w:t>
      </w:r>
      <w:r>
        <w:rPr>
          <w:spacing w:val="-8"/>
        </w:rPr>
        <w:t> </w:t>
      </w:r>
      <w:r>
        <w:rPr/>
        <w:t>as</w:t>
      </w:r>
      <w:r>
        <w:rPr>
          <w:spacing w:val="-11"/>
        </w:rPr>
        <w:t> </w:t>
      </w:r>
      <w:r>
        <w:rPr/>
        <w:t>ginkgetin,</w:t>
      </w:r>
      <w:r>
        <w:rPr>
          <w:spacing w:val="-8"/>
        </w:rPr>
        <w:t> </w:t>
      </w:r>
      <w:r>
        <w:rPr/>
        <w:t>ginnol,</w:t>
      </w:r>
      <w:r>
        <w:rPr>
          <w:spacing w:val="-11"/>
        </w:rPr>
        <w:t> </w:t>
      </w:r>
      <w:r>
        <w:rPr/>
        <w:t>flavone</w:t>
      </w:r>
      <w:r>
        <w:rPr>
          <w:spacing w:val="-9"/>
        </w:rPr>
        <w:t> </w:t>
      </w:r>
      <w:r>
        <w:rPr/>
        <w:t>glycoside, quercetin, isothamnetin, kaempferol,</w:t>
      </w:r>
      <w:r>
        <w:rPr>
          <w:spacing w:val="3"/>
        </w:rPr>
        <w:t> </w:t>
      </w:r>
      <w:r>
        <w:rPr/>
        <w:t>lactones.</w:t>
      </w:r>
    </w:p>
    <w:p>
      <w:pPr>
        <w:spacing w:before="222"/>
        <w:ind w:left="477" w:right="0" w:firstLine="0"/>
        <w:jc w:val="left"/>
        <w:rPr>
          <w:b/>
          <w:i/>
          <w:sz w:val="40"/>
        </w:rPr>
      </w:pPr>
      <w:r>
        <w:rPr>
          <w:b/>
          <w:sz w:val="38"/>
        </w:rPr>
        <w:t>The smear: </w:t>
      </w:r>
      <w:r>
        <w:rPr>
          <w:b/>
          <w:i/>
          <w:sz w:val="40"/>
        </w:rPr>
        <w:t>‘Ginkgo is ineffective’</w:t>
      </w:r>
    </w:p>
    <w:p>
      <w:pPr>
        <w:pStyle w:val="BodyText"/>
        <w:spacing w:line="276" w:lineRule="auto" w:before="299"/>
        <w:ind w:left="477" w:right="176"/>
        <w:rPr>
          <w:sz w:val="25"/>
        </w:rPr>
      </w:pPr>
      <w:r>
        <w:rPr/>
        <w:t>The truth about the current studies and reports that denigrate ginkgo biloba in the media, which are largely sponsored by Big Pharma, is made clear by skim- ming through the 3018 credible studies at </w:t>
      </w:r>
      <w:hyperlink r:id="rId108">
        <w:r>
          <w:rPr/>
          <w:t>www.pubmed.com. </w:t>
        </w:r>
      </w:hyperlink>
      <w:r>
        <w:rPr/>
        <w:t>The first scien- tific treatise on ginkgo was written in 1595 by Li Shi-Chen from China and in- cluded no less than 52 volumes! Furthermore, in 1994, the Federal Health Of- fice itself, no less, wrote a monograph on ginkgo leaf extracts and thus practi- cally certified their effectiveness in circulatory disorders and declining brain output.</w:t>
      </w:r>
      <w:r>
        <w:rPr>
          <w:position w:val="9"/>
          <w:sz w:val="25"/>
        </w:rPr>
        <w:t>287</w:t>
      </w:r>
    </w:p>
    <w:p>
      <w:pPr>
        <w:pStyle w:val="Heading2"/>
        <w:spacing w:before="241"/>
      </w:pPr>
      <w:r>
        <w:rPr/>
        <w:t>Special effect on diseases and maladies</w:t>
      </w:r>
    </w:p>
    <w:p>
      <w:pPr>
        <w:pStyle w:val="BodyText"/>
        <w:spacing w:line="276" w:lineRule="auto" w:before="305"/>
        <w:ind w:left="477" w:right="135"/>
        <w:jc w:val="both"/>
      </w:pPr>
      <w:r>
        <w:rPr/>
        <w:t>Traditional</w:t>
      </w:r>
      <w:r>
        <w:rPr>
          <w:spacing w:val="-10"/>
        </w:rPr>
        <w:t> </w:t>
      </w:r>
      <w:r>
        <w:rPr/>
        <w:t>Chinese</w:t>
      </w:r>
      <w:r>
        <w:rPr>
          <w:spacing w:val="-8"/>
        </w:rPr>
        <w:t> </w:t>
      </w:r>
      <w:r>
        <w:rPr/>
        <w:t>Medicine</w:t>
      </w:r>
      <w:r>
        <w:rPr>
          <w:spacing w:val="-8"/>
        </w:rPr>
        <w:t> </w:t>
      </w:r>
      <w:r>
        <w:rPr/>
        <w:t>(TCM)</w:t>
      </w:r>
      <w:r>
        <w:rPr>
          <w:spacing w:val="-9"/>
        </w:rPr>
        <w:t> </w:t>
      </w:r>
      <w:r>
        <w:rPr/>
        <w:t>uses</w:t>
      </w:r>
      <w:r>
        <w:rPr>
          <w:spacing w:val="-9"/>
        </w:rPr>
        <w:t> </w:t>
      </w:r>
      <w:r>
        <w:rPr/>
        <w:t>the</w:t>
      </w:r>
      <w:r>
        <w:rPr>
          <w:spacing w:val="-7"/>
        </w:rPr>
        <w:t> </w:t>
      </w:r>
      <w:r>
        <w:rPr/>
        <w:t>seeds,</w:t>
      </w:r>
      <w:r>
        <w:rPr>
          <w:spacing w:val="-8"/>
        </w:rPr>
        <w:t> </w:t>
      </w:r>
      <w:r>
        <w:rPr/>
        <w:t>leaves</w:t>
      </w:r>
      <w:r>
        <w:rPr>
          <w:spacing w:val="-9"/>
        </w:rPr>
        <w:t> </w:t>
      </w:r>
      <w:r>
        <w:rPr/>
        <w:t>and</w:t>
      </w:r>
      <w:r>
        <w:rPr>
          <w:spacing w:val="-8"/>
        </w:rPr>
        <w:t> </w:t>
      </w:r>
      <w:r>
        <w:rPr/>
        <w:t>roots</w:t>
      </w:r>
      <w:r>
        <w:rPr>
          <w:spacing w:val="-9"/>
        </w:rPr>
        <w:t> </w:t>
      </w:r>
      <w:r>
        <w:rPr/>
        <w:t>of</w:t>
      </w:r>
      <w:r>
        <w:rPr>
          <w:spacing w:val="-9"/>
        </w:rPr>
        <w:t> </w:t>
      </w:r>
      <w:r>
        <w:rPr/>
        <w:t>ginkgo biloba,</w:t>
      </w:r>
      <w:r>
        <w:rPr>
          <w:spacing w:val="-7"/>
        </w:rPr>
        <w:t> </w:t>
      </w:r>
      <w:r>
        <w:rPr/>
        <w:t>which</w:t>
      </w:r>
      <w:r>
        <w:rPr>
          <w:spacing w:val="-6"/>
        </w:rPr>
        <w:t> </w:t>
      </w:r>
      <w:r>
        <w:rPr/>
        <w:t>are</w:t>
      </w:r>
      <w:r>
        <w:rPr>
          <w:spacing w:val="-7"/>
        </w:rPr>
        <w:t> </w:t>
      </w:r>
      <w:r>
        <w:rPr/>
        <w:t>processed</w:t>
      </w:r>
      <w:r>
        <w:rPr>
          <w:spacing w:val="-7"/>
        </w:rPr>
        <w:t> </w:t>
      </w:r>
      <w:r>
        <w:rPr/>
        <w:t>and</w:t>
      </w:r>
      <w:r>
        <w:rPr>
          <w:spacing w:val="-9"/>
        </w:rPr>
        <w:t> </w:t>
      </w:r>
      <w:r>
        <w:rPr/>
        <w:t>absorbed</w:t>
      </w:r>
      <w:r>
        <w:rPr>
          <w:spacing w:val="-7"/>
        </w:rPr>
        <w:t> </w:t>
      </w:r>
      <w:r>
        <w:rPr/>
        <w:t>in</w:t>
      </w:r>
      <w:r>
        <w:rPr>
          <w:spacing w:val="-8"/>
        </w:rPr>
        <w:t> </w:t>
      </w:r>
      <w:r>
        <w:rPr/>
        <w:t>different</w:t>
      </w:r>
      <w:r>
        <w:rPr>
          <w:spacing w:val="-7"/>
        </w:rPr>
        <w:t> </w:t>
      </w:r>
      <w:r>
        <w:rPr/>
        <w:t>ways,</w:t>
      </w:r>
      <w:r>
        <w:rPr>
          <w:spacing w:val="-5"/>
        </w:rPr>
        <w:t> </w:t>
      </w:r>
      <w:r>
        <w:rPr/>
        <w:t>usually</w:t>
      </w:r>
      <w:r>
        <w:rPr>
          <w:spacing w:val="-7"/>
        </w:rPr>
        <w:t> </w:t>
      </w:r>
      <w:r>
        <w:rPr/>
        <w:t>in</w:t>
      </w:r>
      <w:r>
        <w:rPr>
          <w:spacing w:val="-8"/>
        </w:rPr>
        <w:t> </w:t>
      </w:r>
      <w:r>
        <w:rPr/>
        <w:t>the</w:t>
      </w:r>
      <w:r>
        <w:rPr>
          <w:spacing w:val="-6"/>
        </w:rPr>
        <w:t> </w:t>
      </w:r>
      <w:r>
        <w:rPr/>
        <w:t>form of ginkgo</w:t>
      </w:r>
      <w:r>
        <w:rPr>
          <w:spacing w:val="1"/>
        </w:rPr>
        <w:t> </w:t>
      </w:r>
      <w:r>
        <w:rPr/>
        <w:t>tea.</w:t>
      </w:r>
    </w:p>
    <w:p>
      <w:pPr>
        <w:pStyle w:val="BodyText"/>
        <w:spacing w:before="239"/>
        <w:ind w:left="477"/>
      </w:pPr>
      <w:r>
        <w:rPr/>
        <w:t>Within Western naturopathy, ginkgo is mostly used in concentrates in the form</w:t>
      </w:r>
    </w:p>
    <w:p>
      <w:pPr>
        <w:pStyle w:val="BodyText"/>
        <w:rPr>
          <w:sz w:val="20"/>
        </w:rPr>
      </w:pPr>
    </w:p>
    <w:p>
      <w:pPr>
        <w:pStyle w:val="BodyText"/>
        <w:spacing w:before="6"/>
        <w:rPr>
          <w:sz w:val="15"/>
        </w:rPr>
      </w:pPr>
      <w:r>
        <w:rPr/>
        <w:pict>
          <v:line style="position:absolute;mso-position-horizontal-relative:page;mso-position-vertical-relative:paragraph;z-index:3032;mso-wrap-distance-left:0;mso-wrap-distance-right:0" from="63.863998pt,11.121235pt" to="207.883998pt,11.121235pt" stroked="true" strokeweight=".72003pt" strokecolor="#000000">
            <v:stroke dashstyle="solid"/>
            <w10:wrap type="topAndBottom"/>
          </v:line>
        </w:pict>
      </w:r>
    </w:p>
    <w:p>
      <w:pPr>
        <w:pStyle w:val="BodyText"/>
        <w:spacing w:before="7"/>
        <w:rPr>
          <w:sz w:val="18"/>
        </w:rPr>
      </w:pPr>
    </w:p>
    <w:p>
      <w:pPr>
        <w:spacing w:line="276" w:lineRule="auto" w:before="99"/>
        <w:ind w:left="477" w:right="0" w:firstLine="0"/>
        <w:jc w:val="left"/>
        <w:rPr>
          <w:sz w:val="20"/>
        </w:rPr>
      </w:pPr>
      <w:r>
        <w:rPr>
          <w:position w:val="5"/>
          <w:sz w:val="13"/>
        </w:rPr>
        <w:t>287 </w:t>
      </w:r>
      <w:r>
        <w:rPr>
          <w:sz w:val="20"/>
        </w:rPr>
        <w:t>Dr. Jörg Zittlau, ‘Heilmittel Ginkgo – alles über die positive Wirkung auf Körper, Geist und Seele (‘Remedy Ginkgo – Everything about the Posi- tive Effect on Body, Mind and Soul’) 2006, p. 15</w:t>
      </w:r>
    </w:p>
    <w:p>
      <w:pPr>
        <w:spacing w:after="0" w:line="276" w:lineRule="auto"/>
        <w:jc w:val="left"/>
        <w:rPr>
          <w:sz w:val="20"/>
        </w:rPr>
        <w:sectPr>
          <w:footerReference w:type="default" r:id="rId107"/>
          <w:pgSz w:w="14270" w:h="16850"/>
          <w:pgMar w:footer="1891" w:header="0" w:top="1600" w:bottom="2080" w:left="800" w:right="1280"/>
          <w:pgNumType w:start="410"/>
        </w:sectPr>
      </w:pPr>
    </w:p>
    <w:p>
      <w:pPr>
        <w:pStyle w:val="BodyText"/>
        <w:spacing w:before="181"/>
        <w:ind w:left="477"/>
      </w:pPr>
      <w:r>
        <w:rPr/>
        <w:t>of ginkgo extracts, wrapped in a capsule, as a compact or in drop form.</w:t>
      </w:r>
    </w:p>
    <w:p>
      <w:pPr>
        <w:pStyle w:val="Heading1"/>
        <w:spacing w:before="288"/>
      </w:pPr>
      <w:r>
        <w:rPr/>
        <w:t>Effect of ginkgo seeds</w:t>
      </w:r>
    </w:p>
    <w:p>
      <w:pPr>
        <w:pStyle w:val="BodyText"/>
        <w:spacing w:line="276" w:lineRule="auto" w:before="299"/>
        <w:ind w:left="477" w:right="132"/>
        <w:jc w:val="both"/>
      </w:pPr>
      <w:r>
        <w:rPr/>
        <w:t>For example, the seeds are used for asthma, coughs, alcoholism, tuberculosis, mucosal inflammation, circulatory problems, encouraging sperm promotion, against cancer, worm infestation, fever, excessive sweating, kidney disease and bladder infections.</w:t>
      </w:r>
    </w:p>
    <w:p>
      <w:pPr>
        <w:pStyle w:val="BodyText"/>
        <w:rPr>
          <w:sz w:val="42"/>
        </w:rPr>
      </w:pPr>
    </w:p>
    <w:p>
      <w:pPr>
        <w:pStyle w:val="BodyText"/>
        <w:spacing w:before="9"/>
        <w:rPr>
          <w:sz w:val="42"/>
        </w:rPr>
      </w:pPr>
    </w:p>
    <w:p>
      <w:pPr>
        <w:pStyle w:val="Heading1"/>
        <w:spacing w:before="0"/>
      </w:pPr>
      <w:r>
        <w:rPr/>
        <w:t>Effect</w:t>
      </w:r>
      <w:r>
        <w:rPr>
          <w:spacing w:val="-58"/>
        </w:rPr>
        <w:t> </w:t>
      </w:r>
      <w:r>
        <w:rPr/>
        <w:t>of</w:t>
      </w:r>
      <w:r>
        <w:rPr>
          <w:spacing w:val="-58"/>
        </w:rPr>
        <w:t> </w:t>
      </w:r>
      <w:r>
        <w:rPr/>
        <w:t>ginkgo</w:t>
      </w:r>
      <w:r>
        <w:rPr>
          <w:spacing w:val="-58"/>
        </w:rPr>
        <w:t> </w:t>
      </w:r>
      <w:r>
        <w:rPr/>
        <w:t>leaves</w:t>
      </w:r>
      <w:r>
        <w:rPr>
          <w:spacing w:val="-58"/>
        </w:rPr>
        <w:t> </w:t>
      </w:r>
      <w:r>
        <w:rPr/>
        <w:t>and</w:t>
      </w:r>
      <w:r>
        <w:rPr>
          <w:spacing w:val="-58"/>
        </w:rPr>
        <w:t> </w:t>
      </w:r>
      <w:r>
        <w:rPr/>
        <w:t>root</w:t>
      </w:r>
    </w:p>
    <w:p>
      <w:pPr>
        <w:pStyle w:val="BodyText"/>
        <w:spacing w:line="276" w:lineRule="auto" w:before="300"/>
        <w:ind w:left="477"/>
      </w:pPr>
      <w:r>
        <w:rPr/>
        <w:t>The effect of the leaves is attributable mainly to the two active ingredient groups, flavonoids and</w:t>
      </w:r>
      <w:r>
        <w:rPr>
          <w:spacing w:val="2"/>
        </w:rPr>
        <w:t> </w:t>
      </w:r>
      <w:r>
        <w:rPr/>
        <w:t>terpenoids.</w:t>
      </w:r>
    </w:p>
    <w:p>
      <w:pPr>
        <w:pStyle w:val="BodyText"/>
        <w:spacing w:line="276" w:lineRule="auto" w:before="240"/>
        <w:ind w:left="477" w:right="132"/>
        <w:jc w:val="both"/>
      </w:pPr>
      <w:r>
        <w:rPr/>
        <w:t>Ginkgo</w:t>
      </w:r>
      <w:r>
        <w:rPr>
          <w:spacing w:val="-9"/>
        </w:rPr>
        <w:t> </w:t>
      </w:r>
      <w:r>
        <w:rPr/>
        <w:t>leaf</w:t>
      </w:r>
      <w:r>
        <w:rPr>
          <w:spacing w:val="-9"/>
        </w:rPr>
        <w:t> </w:t>
      </w:r>
      <w:r>
        <w:rPr/>
        <w:t>extracts,</w:t>
      </w:r>
      <w:r>
        <w:rPr>
          <w:spacing w:val="-8"/>
        </w:rPr>
        <w:t> </w:t>
      </w:r>
      <w:r>
        <w:rPr/>
        <w:t>for</w:t>
      </w:r>
      <w:r>
        <w:rPr>
          <w:spacing w:val="-9"/>
        </w:rPr>
        <w:t> </w:t>
      </w:r>
      <w:r>
        <w:rPr/>
        <w:t>example,</w:t>
      </w:r>
      <w:r>
        <w:rPr>
          <w:spacing w:val="-9"/>
        </w:rPr>
        <w:t> </w:t>
      </w:r>
      <w:r>
        <w:rPr/>
        <w:t>are</w:t>
      </w:r>
      <w:r>
        <w:rPr>
          <w:spacing w:val="-9"/>
        </w:rPr>
        <w:t> </w:t>
      </w:r>
      <w:r>
        <w:rPr/>
        <w:t>used</w:t>
      </w:r>
      <w:r>
        <w:rPr>
          <w:spacing w:val="-9"/>
        </w:rPr>
        <w:t> </w:t>
      </w:r>
      <w:r>
        <w:rPr/>
        <w:t>to</w:t>
      </w:r>
      <w:r>
        <w:rPr>
          <w:spacing w:val="-10"/>
        </w:rPr>
        <w:t> </w:t>
      </w:r>
      <w:r>
        <w:rPr/>
        <w:t>optimise</w:t>
      </w:r>
      <w:r>
        <w:rPr>
          <w:spacing w:val="-9"/>
        </w:rPr>
        <w:t> </w:t>
      </w:r>
      <w:r>
        <w:rPr/>
        <w:t>brain</w:t>
      </w:r>
      <w:r>
        <w:rPr>
          <w:spacing w:val="-9"/>
        </w:rPr>
        <w:t> </w:t>
      </w:r>
      <w:r>
        <w:rPr/>
        <w:t>function,</w:t>
      </w:r>
      <w:r>
        <w:rPr>
          <w:spacing w:val="-8"/>
        </w:rPr>
        <w:t> </w:t>
      </w:r>
      <w:r>
        <w:rPr/>
        <w:t>wounds, and the root causes of stomach discomfort, hyperactivity, arthritis and men- strual problems. For this purpose, a ginkgo tea from the components of the ginkgo plant is usually</w:t>
      </w:r>
      <w:r>
        <w:rPr>
          <w:spacing w:val="2"/>
        </w:rPr>
        <w:t> </w:t>
      </w:r>
      <w:r>
        <w:rPr/>
        <w:t>consumed.</w:t>
      </w:r>
    </w:p>
    <w:p>
      <w:pPr>
        <w:pStyle w:val="BodyText"/>
        <w:spacing w:before="240"/>
        <w:ind w:left="477"/>
        <w:jc w:val="both"/>
      </w:pPr>
      <w:r>
        <w:rPr/>
        <w:t>The following conditions are mainly treated with ginkgo within TCM:</w:t>
      </w:r>
    </w:p>
    <w:p>
      <w:pPr>
        <w:pStyle w:val="ListParagraph"/>
        <w:numPr>
          <w:ilvl w:val="0"/>
          <w:numId w:val="26"/>
        </w:numPr>
        <w:tabs>
          <w:tab w:pos="893" w:val="left" w:leader="none"/>
        </w:tabs>
        <w:spacing w:line="240" w:lineRule="auto" w:before="306" w:after="0"/>
        <w:ind w:left="892" w:right="0" w:hanging="415"/>
        <w:jc w:val="both"/>
        <w:rPr>
          <w:sz w:val="38"/>
        </w:rPr>
      </w:pPr>
      <w:r>
        <w:rPr>
          <w:sz w:val="38"/>
        </w:rPr>
        <w:t>asthma</w:t>
      </w:r>
    </w:p>
    <w:p>
      <w:pPr>
        <w:pStyle w:val="ListParagraph"/>
        <w:numPr>
          <w:ilvl w:val="0"/>
          <w:numId w:val="26"/>
        </w:numPr>
        <w:tabs>
          <w:tab w:pos="893" w:val="left" w:leader="none"/>
        </w:tabs>
        <w:spacing w:line="240" w:lineRule="auto" w:before="64" w:after="0"/>
        <w:ind w:left="892" w:right="0" w:hanging="415"/>
        <w:jc w:val="both"/>
        <w:rPr>
          <w:sz w:val="38"/>
        </w:rPr>
      </w:pPr>
      <w:r>
        <w:rPr>
          <w:sz w:val="38"/>
        </w:rPr>
        <w:t>cough</w:t>
      </w:r>
    </w:p>
    <w:p>
      <w:pPr>
        <w:pStyle w:val="ListParagraph"/>
        <w:numPr>
          <w:ilvl w:val="0"/>
          <w:numId w:val="26"/>
        </w:numPr>
        <w:tabs>
          <w:tab w:pos="893" w:val="left" w:leader="none"/>
        </w:tabs>
        <w:spacing w:line="240" w:lineRule="auto" w:before="64" w:after="0"/>
        <w:ind w:left="892" w:right="0" w:hanging="415"/>
        <w:jc w:val="both"/>
        <w:rPr>
          <w:sz w:val="38"/>
        </w:rPr>
      </w:pPr>
      <w:r>
        <w:rPr>
          <w:sz w:val="38"/>
        </w:rPr>
        <w:t>immune deficiency</w:t>
      </w:r>
    </w:p>
    <w:p>
      <w:pPr>
        <w:pStyle w:val="ListParagraph"/>
        <w:numPr>
          <w:ilvl w:val="0"/>
          <w:numId w:val="26"/>
        </w:numPr>
        <w:tabs>
          <w:tab w:pos="893" w:val="left" w:leader="none"/>
        </w:tabs>
        <w:spacing w:line="240" w:lineRule="auto" w:before="63" w:after="0"/>
        <w:ind w:left="892" w:right="0" w:hanging="415"/>
        <w:jc w:val="both"/>
        <w:rPr>
          <w:sz w:val="38"/>
        </w:rPr>
      </w:pPr>
      <w:r>
        <w:rPr>
          <w:sz w:val="38"/>
        </w:rPr>
        <w:t>kidney diseases</w:t>
      </w:r>
    </w:p>
    <w:p>
      <w:pPr>
        <w:spacing w:after="0" w:line="240" w:lineRule="auto"/>
        <w:jc w:val="both"/>
        <w:rPr>
          <w:sz w:val="38"/>
        </w:rPr>
        <w:sectPr>
          <w:pgSz w:w="14270" w:h="16850"/>
          <w:pgMar w:header="0" w:footer="1891" w:top="1600" w:bottom="2080" w:left="800" w:right="1280"/>
        </w:sectPr>
      </w:pPr>
    </w:p>
    <w:p>
      <w:pPr>
        <w:pStyle w:val="BodyText"/>
        <w:spacing w:before="10"/>
        <w:rPr>
          <w:sz w:val="8"/>
        </w:rPr>
      </w:pPr>
    </w:p>
    <w:p>
      <w:pPr>
        <w:pStyle w:val="ListParagraph"/>
        <w:numPr>
          <w:ilvl w:val="0"/>
          <w:numId w:val="26"/>
        </w:numPr>
        <w:tabs>
          <w:tab w:pos="892" w:val="left" w:leader="none"/>
          <w:tab w:pos="893" w:val="left" w:leader="none"/>
        </w:tabs>
        <w:spacing w:line="240" w:lineRule="auto" w:before="83" w:after="0"/>
        <w:ind w:left="892" w:right="0" w:hanging="415"/>
        <w:jc w:val="left"/>
        <w:rPr>
          <w:sz w:val="38"/>
        </w:rPr>
      </w:pPr>
      <w:r>
        <w:rPr>
          <w:sz w:val="38"/>
        </w:rPr>
        <w:t>bronchitis</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allergies</w:t>
      </w:r>
    </w:p>
    <w:p>
      <w:pPr>
        <w:pStyle w:val="ListParagraph"/>
        <w:numPr>
          <w:ilvl w:val="0"/>
          <w:numId w:val="26"/>
        </w:numPr>
        <w:tabs>
          <w:tab w:pos="892" w:val="left" w:leader="none"/>
          <w:tab w:pos="893" w:val="left" w:leader="none"/>
        </w:tabs>
        <w:spacing w:line="240" w:lineRule="auto" w:before="66" w:after="0"/>
        <w:ind w:left="892" w:right="0" w:hanging="415"/>
        <w:jc w:val="left"/>
        <w:rPr>
          <w:sz w:val="38"/>
        </w:rPr>
      </w:pPr>
      <w:r>
        <w:rPr>
          <w:sz w:val="38"/>
        </w:rPr>
        <w:t>gonorrhoea</w:t>
      </w:r>
    </w:p>
    <w:p>
      <w:pPr>
        <w:pStyle w:val="ListParagraph"/>
        <w:numPr>
          <w:ilvl w:val="0"/>
          <w:numId w:val="26"/>
        </w:numPr>
        <w:tabs>
          <w:tab w:pos="892" w:val="left" w:leader="none"/>
          <w:tab w:pos="893" w:val="left" w:leader="none"/>
        </w:tabs>
        <w:spacing w:line="240" w:lineRule="auto" w:before="63" w:after="0"/>
        <w:ind w:left="892" w:right="0" w:hanging="415"/>
        <w:jc w:val="left"/>
        <w:rPr>
          <w:sz w:val="38"/>
        </w:rPr>
      </w:pPr>
      <w:r>
        <w:rPr>
          <w:sz w:val="38"/>
        </w:rPr>
        <w:t>cough</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tuberculosis</w:t>
      </w:r>
    </w:p>
    <w:p>
      <w:pPr>
        <w:pStyle w:val="ListParagraph"/>
        <w:numPr>
          <w:ilvl w:val="0"/>
          <w:numId w:val="26"/>
        </w:numPr>
        <w:tabs>
          <w:tab w:pos="892" w:val="left" w:leader="none"/>
          <w:tab w:pos="893" w:val="left" w:leader="none"/>
        </w:tabs>
        <w:spacing w:line="240" w:lineRule="auto" w:before="63" w:after="0"/>
        <w:ind w:left="892" w:right="0" w:hanging="415"/>
        <w:jc w:val="left"/>
        <w:rPr>
          <w:sz w:val="38"/>
        </w:rPr>
      </w:pPr>
      <w:r>
        <w:rPr>
          <w:sz w:val="38"/>
        </w:rPr>
        <w:t>skin</w:t>
      </w:r>
      <w:r>
        <w:rPr>
          <w:spacing w:val="-3"/>
          <w:sz w:val="38"/>
        </w:rPr>
        <w:t> </w:t>
      </w:r>
      <w:r>
        <w:rPr>
          <w:sz w:val="38"/>
        </w:rPr>
        <w:t>diseases</w:t>
      </w:r>
    </w:p>
    <w:p>
      <w:pPr>
        <w:pStyle w:val="ListParagraph"/>
        <w:numPr>
          <w:ilvl w:val="0"/>
          <w:numId w:val="26"/>
        </w:numPr>
        <w:tabs>
          <w:tab w:pos="892" w:val="left" w:leader="none"/>
          <w:tab w:pos="893" w:val="left" w:leader="none"/>
        </w:tabs>
        <w:spacing w:line="240" w:lineRule="auto" w:before="65" w:after="0"/>
        <w:ind w:left="892" w:right="0" w:hanging="415"/>
        <w:jc w:val="left"/>
        <w:rPr>
          <w:sz w:val="38"/>
        </w:rPr>
      </w:pPr>
      <w:r>
        <w:rPr>
          <w:sz w:val="38"/>
        </w:rPr>
        <w:t>bladder</w:t>
      </w:r>
      <w:r>
        <w:rPr>
          <w:spacing w:val="-1"/>
          <w:sz w:val="38"/>
        </w:rPr>
        <w:t> </w:t>
      </w:r>
      <w:r>
        <w:rPr>
          <w:sz w:val="38"/>
        </w:rPr>
        <w:t>infection</w:t>
      </w:r>
    </w:p>
    <w:p>
      <w:pPr>
        <w:pStyle w:val="ListParagraph"/>
        <w:numPr>
          <w:ilvl w:val="0"/>
          <w:numId w:val="26"/>
        </w:numPr>
        <w:tabs>
          <w:tab w:pos="892" w:val="left" w:leader="none"/>
          <w:tab w:pos="893" w:val="left" w:leader="none"/>
        </w:tabs>
        <w:spacing w:line="240" w:lineRule="auto" w:before="66" w:after="0"/>
        <w:ind w:left="892" w:right="0" w:hanging="415"/>
        <w:jc w:val="left"/>
        <w:rPr>
          <w:sz w:val="38"/>
        </w:rPr>
      </w:pPr>
      <w:r>
        <w:rPr>
          <w:sz w:val="38"/>
        </w:rPr>
        <w:t>irritable</w:t>
      </w:r>
      <w:r>
        <w:rPr>
          <w:spacing w:val="-2"/>
          <w:sz w:val="38"/>
        </w:rPr>
        <w:t> </w:t>
      </w:r>
      <w:r>
        <w:rPr>
          <w:sz w:val="38"/>
        </w:rPr>
        <w:t>bladder</w:t>
      </w:r>
    </w:p>
    <w:p>
      <w:pPr>
        <w:pStyle w:val="ListParagraph"/>
        <w:numPr>
          <w:ilvl w:val="0"/>
          <w:numId w:val="26"/>
        </w:numPr>
        <w:tabs>
          <w:tab w:pos="892" w:val="left" w:leader="none"/>
          <w:tab w:pos="893" w:val="left" w:leader="none"/>
        </w:tabs>
        <w:spacing w:line="240" w:lineRule="auto" w:before="63" w:after="0"/>
        <w:ind w:left="892" w:right="0" w:hanging="415"/>
        <w:jc w:val="left"/>
        <w:rPr>
          <w:sz w:val="38"/>
        </w:rPr>
      </w:pPr>
      <w:r>
        <w:rPr>
          <w:sz w:val="38"/>
        </w:rPr>
        <w:t>tuberculosis</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mucosal inflammation</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arthritis</w:t>
      </w:r>
    </w:p>
    <w:p>
      <w:pPr>
        <w:pStyle w:val="ListParagraph"/>
        <w:numPr>
          <w:ilvl w:val="0"/>
          <w:numId w:val="26"/>
        </w:numPr>
        <w:tabs>
          <w:tab w:pos="892" w:val="left" w:leader="none"/>
          <w:tab w:pos="893" w:val="left" w:leader="none"/>
        </w:tabs>
        <w:spacing w:line="240" w:lineRule="auto" w:before="63" w:after="0"/>
        <w:ind w:left="892" w:right="0" w:hanging="415"/>
        <w:jc w:val="left"/>
        <w:rPr>
          <w:sz w:val="38"/>
        </w:rPr>
      </w:pPr>
      <w:r>
        <w:rPr>
          <w:sz w:val="38"/>
        </w:rPr>
        <w:t>premenstrual</w:t>
      </w:r>
      <w:r>
        <w:rPr>
          <w:spacing w:val="-2"/>
          <w:sz w:val="38"/>
        </w:rPr>
        <w:t> </w:t>
      </w:r>
      <w:r>
        <w:rPr>
          <w:sz w:val="38"/>
        </w:rPr>
        <w:t>syndrome</w:t>
      </w:r>
    </w:p>
    <w:p>
      <w:pPr>
        <w:pStyle w:val="ListParagraph"/>
        <w:numPr>
          <w:ilvl w:val="0"/>
          <w:numId w:val="26"/>
        </w:numPr>
        <w:tabs>
          <w:tab w:pos="892" w:val="left" w:leader="none"/>
          <w:tab w:pos="893" w:val="left" w:leader="none"/>
        </w:tabs>
        <w:spacing w:line="240" w:lineRule="auto" w:before="66" w:after="0"/>
        <w:ind w:left="892" w:right="0" w:hanging="415"/>
        <w:jc w:val="left"/>
        <w:rPr>
          <w:sz w:val="38"/>
        </w:rPr>
      </w:pPr>
      <w:r>
        <w:rPr>
          <w:sz w:val="38"/>
        </w:rPr>
        <w:t>hyperactivity</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blennorrhoea</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vaginal</w:t>
      </w:r>
      <w:r>
        <w:rPr>
          <w:spacing w:val="-1"/>
          <w:sz w:val="38"/>
        </w:rPr>
        <w:t> </w:t>
      </w:r>
      <w:r>
        <w:rPr>
          <w:sz w:val="38"/>
        </w:rPr>
        <w:t>fluid</w:t>
      </w:r>
    </w:p>
    <w:p>
      <w:pPr>
        <w:pStyle w:val="ListParagraph"/>
        <w:numPr>
          <w:ilvl w:val="0"/>
          <w:numId w:val="26"/>
        </w:numPr>
        <w:tabs>
          <w:tab w:pos="797" w:val="left" w:leader="none"/>
        </w:tabs>
        <w:spacing w:line="240" w:lineRule="auto" w:before="64" w:after="0"/>
        <w:ind w:left="796" w:right="0" w:hanging="319"/>
        <w:jc w:val="left"/>
        <w:rPr>
          <w:sz w:val="38"/>
        </w:rPr>
      </w:pPr>
      <w:r>
        <w:rPr>
          <w:sz w:val="38"/>
        </w:rPr>
        <w:t>menstrual</w:t>
      </w:r>
      <w:r>
        <w:rPr>
          <w:spacing w:val="-2"/>
          <w:sz w:val="38"/>
        </w:rPr>
        <w:t> </w:t>
      </w:r>
      <w:r>
        <w:rPr>
          <w:sz w:val="38"/>
        </w:rPr>
        <w:t>problems</w:t>
      </w:r>
    </w:p>
    <w:p>
      <w:pPr>
        <w:pStyle w:val="ListParagraph"/>
        <w:numPr>
          <w:ilvl w:val="0"/>
          <w:numId w:val="26"/>
        </w:numPr>
        <w:tabs>
          <w:tab w:pos="892" w:val="left" w:leader="none"/>
          <w:tab w:pos="893" w:val="left" w:leader="none"/>
        </w:tabs>
        <w:spacing w:line="240" w:lineRule="auto" w:before="66" w:after="0"/>
        <w:ind w:left="892" w:right="0" w:hanging="415"/>
        <w:jc w:val="left"/>
        <w:rPr>
          <w:sz w:val="38"/>
        </w:rPr>
      </w:pPr>
      <w:r>
        <w:rPr>
          <w:sz w:val="38"/>
        </w:rPr>
        <w:t>decreased sperm</w:t>
      </w:r>
      <w:r>
        <w:rPr>
          <w:spacing w:val="-2"/>
          <w:sz w:val="38"/>
        </w:rPr>
        <w:t> </w:t>
      </w:r>
      <w:r>
        <w:rPr>
          <w:sz w:val="38"/>
        </w:rPr>
        <w:t>production</w:t>
      </w:r>
    </w:p>
    <w:p>
      <w:pPr>
        <w:pStyle w:val="ListParagraph"/>
        <w:numPr>
          <w:ilvl w:val="0"/>
          <w:numId w:val="26"/>
        </w:numPr>
        <w:tabs>
          <w:tab w:pos="892" w:val="left" w:leader="none"/>
          <w:tab w:pos="893" w:val="left" w:leader="none"/>
        </w:tabs>
        <w:spacing w:line="240" w:lineRule="auto" w:before="63" w:after="0"/>
        <w:ind w:left="892" w:right="0" w:hanging="415"/>
        <w:jc w:val="left"/>
        <w:rPr>
          <w:sz w:val="38"/>
        </w:rPr>
      </w:pPr>
      <w:r>
        <w:rPr>
          <w:sz w:val="38"/>
        </w:rPr>
        <w:t>stomach problems</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consequences of</w:t>
      </w:r>
      <w:r>
        <w:rPr>
          <w:spacing w:val="-1"/>
          <w:sz w:val="38"/>
        </w:rPr>
        <w:t> </w:t>
      </w:r>
      <w:r>
        <w:rPr>
          <w:sz w:val="38"/>
        </w:rPr>
        <w:t>diabetes</w:t>
      </w:r>
    </w:p>
    <w:p>
      <w:pPr>
        <w:pStyle w:val="ListParagraph"/>
        <w:numPr>
          <w:ilvl w:val="0"/>
          <w:numId w:val="26"/>
        </w:numPr>
        <w:tabs>
          <w:tab w:pos="892" w:val="left" w:leader="none"/>
          <w:tab w:pos="893" w:val="left" w:leader="none"/>
        </w:tabs>
        <w:spacing w:line="240" w:lineRule="auto" w:before="63" w:after="0"/>
        <w:ind w:left="892" w:right="0" w:hanging="415"/>
        <w:jc w:val="left"/>
        <w:rPr>
          <w:sz w:val="38"/>
        </w:rPr>
      </w:pPr>
      <w:r>
        <w:rPr>
          <w:sz w:val="38"/>
        </w:rPr>
        <w:t>prevention of</w:t>
      </w:r>
      <w:r>
        <w:rPr>
          <w:spacing w:val="-3"/>
          <w:sz w:val="38"/>
        </w:rPr>
        <w:t> </w:t>
      </w:r>
      <w:r>
        <w:rPr>
          <w:sz w:val="38"/>
        </w:rPr>
        <w:t>burnout</w:t>
      </w:r>
    </w:p>
    <w:p>
      <w:pPr>
        <w:pStyle w:val="ListParagraph"/>
        <w:numPr>
          <w:ilvl w:val="0"/>
          <w:numId w:val="26"/>
        </w:numPr>
        <w:tabs>
          <w:tab w:pos="892" w:val="left" w:leader="none"/>
          <w:tab w:pos="893" w:val="left" w:leader="none"/>
        </w:tabs>
        <w:spacing w:line="240" w:lineRule="auto" w:before="65" w:after="0"/>
        <w:ind w:left="892" w:right="0" w:hanging="415"/>
        <w:jc w:val="left"/>
        <w:rPr>
          <w:sz w:val="38"/>
        </w:rPr>
      </w:pPr>
      <w:r>
        <w:rPr>
          <w:sz w:val="38"/>
        </w:rPr>
        <w:t>restlessness</w:t>
      </w:r>
    </w:p>
    <w:p>
      <w:pPr>
        <w:pStyle w:val="ListParagraph"/>
        <w:numPr>
          <w:ilvl w:val="0"/>
          <w:numId w:val="26"/>
        </w:numPr>
        <w:tabs>
          <w:tab w:pos="892" w:val="left" w:leader="none"/>
          <w:tab w:pos="893" w:val="left" w:leader="none"/>
        </w:tabs>
        <w:spacing w:line="240" w:lineRule="auto" w:before="66" w:after="0"/>
        <w:ind w:left="892" w:right="0" w:hanging="415"/>
        <w:jc w:val="left"/>
        <w:rPr>
          <w:sz w:val="38"/>
        </w:rPr>
      </w:pPr>
      <w:r>
        <w:rPr>
          <w:sz w:val="38"/>
        </w:rPr>
        <w:t>diarrhoea</w:t>
      </w:r>
      <w:r>
        <w:rPr>
          <w:spacing w:val="-2"/>
          <w:sz w:val="38"/>
        </w:rPr>
        <w:t> </w:t>
      </w:r>
      <w:r>
        <w:rPr>
          <w:sz w:val="38"/>
        </w:rPr>
        <w:t>(diarrhoea)</w:t>
      </w:r>
    </w:p>
    <w:p>
      <w:pPr>
        <w:spacing w:after="0" w:line="240" w:lineRule="auto"/>
        <w:jc w:val="left"/>
        <w:rPr>
          <w:sz w:val="38"/>
        </w:rPr>
        <w:sectPr>
          <w:pgSz w:w="14270" w:h="16850"/>
          <w:pgMar w:header="0" w:footer="1891" w:top="1600" w:bottom="2080" w:left="800" w:right="1280"/>
        </w:sectPr>
      </w:pPr>
    </w:p>
    <w:p>
      <w:pPr>
        <w:pStyle w:val="BodyText"/>
        <w:spacing w:before="10"/>
        <w:rPr>
          <w:sz w:val="8"/>
        </w:rPr>
      </w:pPr>
    </w:p>
    <w:p>
      <w:pPr>
        <w:pStyle w:val="ListParagraph"/>
        <w:numPr>
          <w:ilvl w:val="0"/>
          <w:numId w:val="26"/>
        </w:numPr>
        <w:tabs>
          <w:tab w:pos="893" w:val="left" w:leader="none"/>
        </w:tabs>
        <w:spacing w:line="240" w:lineRule="auto" w:before="83" w:after="0"/>
        <w:ind w:left="892" w:right="0" w:hanging="415"/>
        <w:jc w:val="both"/>
        <w:rPr>
          <w:sz w:val="38"/>
        </w:rPr>
      </w:pPr>
      <w:r>
        <w:rPr>
          <w:sz w:val="38"/>
        </w:rPr>
        <w:t>fever</w:t>
      </w:r>
    </w:p>
    <w:p>
      <w:pPr>
        <w:pStyle w:val="ListParagraph"/>
        <w:numPr>
          <w:ilvl w:val="0"/>
          <w:numId w:val="26"/>
        </w:numPr>
        <w:tabs>
          <w:tab w:pos="893" w:val="left" w:leader="none"/>
        </w:tabs>
        <w:spacing w:line="240" w:lineRule="auto" w:before="64" w:after="0"/>
        <w:ind w:left="892" w:right="0" w:hanging="415"/>
        <w:jc w:val="both"/>
        <w:rPr>
          <w:sz w:val="38"/>
        </w:rPr>
      </w:pPr>
      <w:r>
        <w:rPr>
          <w:sz w:val="38"/>
        </w:rPr>
        <w:t>libido problems</w:t>
      </w:r>
    </w:p>
    <w:p>
      <w:pPr>
        <w:pStyle w:val="ListParagraph"/>
        <w:numPr>
          <w:ilvl w:val="0"/>
          <w:numId w:val="26"/>
        </w:numPr>
        <w:tabs>
          <w:tab w:pos="893" w:val="left" w:leader="none"/>
        </w:tabs>
        <w:spacing w:line="240" w:lineRule="auto" w:before="66" w:after="0"/>
        <w:ind w:left="892" w:right="0" w:hanging="415"/>
        <w:jc w:val="both"/>
        <w:rPr>
          <w:sz w:val="38"/>
        </w:rPr>
      </w:pPr>
      <w:r>
        <w:rPr>
          <w:sz w:val="38"/>
        </w:rPr>
        <w:t>gastritis</w:t>
      </w:r>
    </w:p>
    <w:p>
      <w:pPr>
        <w:pStyle w:val="ListParagraph"/>
        <w:numPr>
          <w:ilvl w:val="0"/>
          <w:numId w:val="26"/>
        </w:numPr>
        <w:tabs>
          <w:tab w:pos="893" w:val="left" w:leader="none"/>
        </w:tabs>
        <w:spacing w:line="240" w:lineRule="auto" w:before="63" w:after="0"/>
        <w:ind w:left="892" w:right="0" w:hanging="415"/>
        <w:jc w:val="both"/>
        <w:rPr>
          <w:sz w:val="38"/>
        </w:rPr>
      </w:pPr>
      <w:r>
        <w:rPr>
          <w:sz w:val="38"/>
        </w:rPr>
        <w:t>cancer</w:t>
      </w:r>
    </w:p>
    <w:p>
      <w:pPr>
        <w:pStyle w:val="ListParagraph"/>
        <w:numPr>
          <w:ilvl w:val="0"/>
          <w:numId w:val="26"/>
        </w:numPr>
        <w:tabs>
          <w:tab w:pos="893" w:val="left" w:leader="none"/>
        </w:tabs>
        <w:spacing w:line="240" w:lineRule="auto" w:before="64" w:after="0"/>
        <w:ind w:left="892" w:right="0" w:hanging="415"/>
        <w:jc w:val="both"/>
        <w:rPr>
          <w:sz w:val="38"/>
        </w:rPr>
      </w:pPr>
      <w:r>
        <w:rPr>
          <w:sz w:val="38"/>
        </w:rPr>
        <w:t>consequences of</w:t>
      </w:r>
      <w:r>
        <w:rPr>
          <w:spacing w:val="-1"/>
          <w:sz w:val="38"/>
        </w:rPr>
        <w:t> </w:t>
      </w:r>
      <w:r>
        <w:rPr>
          <w:sz w:val="38"/>
        </w:rPr>
        <w:t>alcoholism</w:t>
      </w:r>
    </w:p>
    <w:p>
      <w:pPr>
        <w:pStyle w:val="ListParagraph"/>
        <w:numPr>
          <w:ilvl w:val="0"/>
          <w:numId w:val="26"/>
        </w:numPr>
        <w:tabs>
          <w:tab w:pos="893" w:val="left" w:leader="none"/>
        </w:tabs>
        <w:spacing w:line="240" w:lineRule="auto" w:before="63" w:after="0"/>
        <w:ind w:left="892" w:right="0" w:hanging="415"/>
        <w:jc w:val="both"/>
        <w:rPr>
          <w:sz w:val="38"/>
        </w:rPr>
      </w:pPr>
      <w:r>
        <w:rPr>
          <w:sz w:val="38"/>
        </w:rPr>
        <w:t>phlebitis</w:t>
      </w:r>
    </w:p>
    <w:p>
      <w:pPr>
        <w:pStyle w:val="ListParagraph"/>
        <w:numPr>
          <w:ilvl w:val="0"/>
          <w:numId w:val="26"/>
        </w:numPr>
        <w:tabs>
          <w:tab w:pos="893" w:val="left" w:leader="none"/>
        </w:tabs>
        <w:spacing w:line="240" w:lineRule="auto" w:before="65" w:after="0"/>
        <w:ind w:left="892" w:right="0" w:hanging="415"/>
        <w:jc w:val="both"/>
        <w:rPr>
          <w:sz w:val="38"/>
        </w:rPr>
      </w:pPr>
      <w:r>
        <w:rPr>
          <w:sz w:val="38"/>
        </w:rPr>
        <w:t>general strengthening of</w:t>
      </w:r>
      <w:r>
        <w:rPr>
          <w:spacing w:val="1"/>
          <w:sz w:val="38"/>
        </w:rPr>
        <w:t> </w:t>
      </w:r>
      <w:r>
        <w:rPr>
          <w:sz w:val="38"/>
        </w:rPr>
        <w:t>Chi</w:t>
      </w:r>
    </w:p>
    <w:p>
      <w:pPr>
        <w:pStyle w:val="BodyText"/>
        <w:rPr>
          <w:sz w:val="44"/>
        </w:rPr>
      </w:pPr>
    </w:p>
    <w:p>
      <w:pPr>
        <w:pStyle w:val="Heading1"/>
        <w:spacing w:before="282"/>
        <w:jc w:val="both"/>
      </w:pPr>
      <w:r>
        <w:rPr/>
        <w:t>Focused use of ginkgo in Western naturopathy</w:t>
      </w:r>
    </w:p>
    <w:p>
      <w:pPr>
        <w:pStyle w:val="BodyText"/>
        <w:spacing w:line="276" w:lineRule="auto" w:before="299"/>
        <w:ind w:left="477" w:right="134"/>
        <w:jc w:val="both"/>
      </w:pPr>
      <w:r>
        <w:rPr/>
        <w:t>Here we have Dr. Willmar Schwabe to thank for the ‘EGb-761’, a concentrate obtained from ginkgo leaves which has been the subject of numerous Western studies since 1965.</w:t>
      </w:r>
    </w:p>
    <w:p>
      <w:pPr>
        <w:pStyle w:val="BodyText"/>
        <w:spacing w:before="121"/>
        <w:ind w:left="477"/>
        <w:jc w:val="both"/>
      </w:pPr>
      <w:r>
        <w:rPr/>
        <w:t>Ginkgo biloba is used in:</w:t>
      </w:r>
    </w:p>
    <w:p>
      <w:pPr>
        <w:pStyle w:val="ListParagraph"/>
        <w:numPr>
          <w:ilvl w:val="1"/>
          <w:numId w:val="26"/>
        </w:numPr>
        <w:tabs>
          <w:tab w:pos="1381" w:val="left" w:leader="none"/>
          <w:tab w:pos="1382" w:val="left" w:leader="none"/>
        </w:tabs>
        <w:spacing w:line="240" w:lineRule="auto" w:before="186" w:after="0"/>
        <w:ind w:left="1382" w:right="0" w:hanging="548"/>
        <w:jc w:val="left"/>
        <w:rPr>
          <w:sz w:val="38"/>
        </w:rPr>
      </w:pPr>
      <w:r>
        <w:rPr>
          <w:sz w:val="38"/>
        </w:rPr>
        <w:t>circulatory disorders</w:t>
      </w:r>
    </w:p>
    <w:p>
      <w:pPr>
        <w:pStyle w:val="ListParagraph"/>
        <w:numPr>
          <w:ilvl w:val="1"/>
          <w:numId w:val="26"/>
        </w:numPr>
        <w:tabs>
          <w:tab w:pos="1381" w:val="left" w:leader="none"/>
          <w:tab w:pos="1382" w:val="left" w:leader="none"/>
        </w:tabs>
        <w:spacing w:line="240" w:lineRule="auto" w:before="64" w:after="0"/>
        <w:ind w:left="1382" w:right="0" w:hanging="548"/>
        <w:jc w:val="left"/>
        <w:rPr>
          <w:sz w:val="38"/>
        </w:rPr>
      </w:pPr>
      <w:r>
        <w:rPr>
          <w:sz w:val="38"/>
        </w:rPr>
        <w:t>improvement of blood</w:t>
      </w:r>
      <w:r>
        <w:rPr>
          <w:spacing w:val="-1"/>
          <w:sz w:val="38"/>
        </w:rPr>
        <w:t> </w:t>
      </w:r>
      <w:r>
        <w:rPr>
          <w:sz w:val="38"/>
        </w:rPr>
        <w:t>fluidity</w:t>
      </w:r>
    </w:p>
    <w:p>
      <w:pPr>
        <w:pStyle w:val="ListParagraph"/>
        <w:numPr>
          <w:ilvl w:val="1"/>
          <w:numId w:val="26"/>
        </w:numPr>
        <w:tabs>
          <w:tab w:pos="1381" w:val="left" w:leader="none"/>
          <w:tab w:pos="1382" w:val="left" w:leader="none"/>
        </w:tabs>
        <w:spacing w:line="240" w:lineRule="auto" w:before="64" w:after="0"/>
        <w:ind w:left="1382" w:right="0" w:hanging="548"/>
        <w:jc w:val="left"/>
        <w:rPr>
          <w:sz w:val="38"/>
        </w:rPr>
      </w:pPr>
      <w:r>
        <w:rPr>
          <w:sz w:val="38"/>
        </w:rPr>
        <w:t>high blood pressure (high blood</w:t>
      </w:r>
      <w:r>
        <w:rPr>
          <w:spacing w:val="1"/>
          <w:sz w:val="38"/>
        </w:rPr>
        <w:t> </w:t>
      </w:r>
      <w:r>
        <w:rPr>
          <w:sz w:val="38"/>
        </w:rPr>
        <w:t>pressure)</w:t>
      </w:r>
    </w:p>
    <w:p>
      <w:pPr>
        <w:pStyle w:val="ListParagraph"/>
        <w:numPr>
          <w:ilvl w:val="1"/>
          <w:numId w:val="26"/>
        </w:numPr>
        <w:tabs>
          <w:tab w:pos="1381" w:val="left" w:leader="none"/>
          <w:tab w:pos="1382" w:val="left" w:leader="none"/>
        </w:tabs>
        <w:spacing w:line="240" w:lineRule="auto" w:before="63" w:after="0"/>
        <w:ind w:left="1382" w:right="0" w:hanging="548"/>
        <w:jc w:val="left"/>
        <w:rPr>
          <w:sz w:val="38"/>
        </w:rPr>
      </w:pPr>
      <w:r>
        <w:rPr>
          <w:sz w:val="38"/>
        </w:rPr>
        <w:t>cardiovascular diseases (protection against heart attack and stroke</w:t>
      </w:r>
      <w:r>
        <w:rPr>
          <w:spacing w:val="-4"/>
          <w:sz w:val="38"/>
        </w:rPr>
        <w:t> </w:t>
      </w:r>
      <w:r>
        <w:rPr>
          <w:sz w:val="38"/>
        </w:rPr>
        <w:t>)</w:t>
      </w:r>
    </w:p>
    <w:p>
      <w:pPr>
        <w:pStyle w:val="ListParagraph"/>
        <w:numPr>
          <w:ilvl w:val="1"/>
          <w:numId w:val="26"/>
        </w:numPr>
        <w:tabs>
          <w:tab w:pos="1381" w:val="left" w:leader="none"/>
          <w:tab w:pos="1382" w:val="left" w:leader="none"/>
        </w:tabs>
        <w:spacing w:line="240" w:lineRule="auto" w:before="66" w:after="0"/>
        <w:ind w:left="1382" w:right="0" w:hanging="548"/>
        <w:jc w:val="left"/>
        <w:rPr>
          <w:sz w:val="38"/>
        </w:rPr>
      </w:pPr>
      <w:r>
        <w:rPr>
          <w:sz w:val="38"/>
        </w:rPr>
        <w:t>consequences of</w:t>
      </w:r>
      <w:r>
        <w:rPr>
          <w:spacing w:val="1"/>
          <w:sz w:val="38"/>
        </w:rPr>
        <w:t> </w:t>
      </w:r>
      <w:r>
        <w:rPr>
          <w:sz w:val="38"/>
        </w:rPr>
        <w:t>stroke</w:t>
      </w:r>
    </w:p>
    <w:p>
      <w:pPr>
        <w:pStyle w:val="ListParagraph"/>
        <w:numPr>
          <w:ilvl w:val="1"/>
          <w:numId w:val="26"/>
        </w:numPr>
        <w:tabs>
          <w:tab w:pos="1381" w:val="left" w:leader="none"/>
          <w:tab w:pos="1382" w:val="left" w:leader="none"/>
        </w:tabs>
        <w:spacing w:line="240" w:lineRule="auto" w:before="64" w:after="0"/>
        <w:ind w:left="1382" w:right="0" w:hanging="548"/>
        <w:jc w:val="left"/>
        <w:rPr>
          <w:sz w:val="38"/>
        </w:rPr>
      </w:pPr>
      <w:r>
        <w:rPr>
          <w:sz w:val="38"/>
        </w:rPr>
        <w:t>brain oedema</w:t>
      </w:r>
    </w:p>
    <w:p>
      <w:pPr>
        <w:pStyle w:val="ListParagraph"/>
        <w:numPr>
          <w:ilvl w:val="1"/>
          <w:numId w:val="26"/>
        </w:numPr>
        <w:tabs>
          <w:tab w:pos="1381" w:val="left" w:leader="none"/>
          <w:tab w:pos="1382" w:val="left" w:leader="none"/>
        </w:tabs>
        <w:spacing w:line="240" w:lineRule="auto" w:before="64" w:after="0"/>
        <w:ind w:left="1382" w:right="0" w:hanging="548"/>
        <w:jc w:val="left"/>
        <w:rPr>
          <w:sz w:val="38"/>
        </w:rPr>
      </w:pPr>
      <w:r>
        <w:rPr>
          <w:sz w:val="38"/>
        </w:rPr>
        <w:t>thrombosis</w:t>
      </w:r>
    </w:p>
    <w:p>
      <w:pPr>
        <w:pStyle w:val="ListParagraph"/>
        <w:numPr>
          <w:ilvl w:val="1"/>
          <w:numId w:val="26"/>
        </w:numPr>
        <w:tabs>
          <w:tab w:pos="1381" w:val="left" w:leader="none"/>
          <w:tab w:pos="1382" w:val="left" w:leader="none"/>
        </w:tabs>
        <w:spacing w:line="240" w:lineRule="auto" w:before="64" w:after="0"/>
        <w:ind w:left="1382" w:right="0" w:hanging="548"/>
        <w:jc w:val="left"/>
        <w:rPr>
          <w:sz w:val="38"/>
        </w:rPr>
      </w:pPr>
      <w:r>
        <w:rPr>
          <w:sz w:val="38"/>
        </w:rPr>
        <w:t>claudication</w:t>
      </w:r>
    </w:p>
    <w:p>
      <w:pPr>
        <w:spacing w:after="0" w:line="240" w:lineRule="auto"/>
        <w:jc w:val="left"/>
        <w:rPr>
          <w:sz w:val="38"/>
        </w:rPr>
        <w:sectPr>
          <w:pgSz w:w="14270" w:h="16850"/>
          <w:pgMar w:header="0" w:footer="1891" w:top="1600" w:bottom="2080" w:left="800" w:right="1280"/>
        </w:sectPr>
      </w:pPr>
    </w:p>
    <w:p>
      <w:pPr>
        <w:pStyle w:val="BodyText"/>
        <w:spacing w:before="10"/>
        <w:rPr>
          <w:sz w:val="8"/>
        </w:rPr>
      </w:pPr>
    </w:p>
    <w:p>
      <w:pPr>
        <w:pStyle w:val="ListParagraph"/>
        <w:numPr>
          <w:ilvl w:val="1"/>
          <w:numId w:val="26"/>
        </w:numPr>
        <w:tabs>
          <w:tab w:pos="1381" w:val="left" w:leader="none"/>
          <w:tab w:pos="1382" w:val="left" w:leader="none"/>
        </w:tabs>
        <w:spacing w:line="240" w:lineRule="auto" w:before="83" w:after="0"/>
        <w:ind w:left="1382" w:right="0" w:hanging="548"/>
        <w:jc w:val="left"/>
        <w:rPr>
          <w:sz w:val="38"/>
        </w:rPr>
      </w:pPr>
      <w:r>
        <w:rPr>
          <w:sz w:val="38"/>
        </w:rPr>
        <w:t>smoker’s</w:t>
      </w:r>
      <w:r>
        <w:rPr>
          <w:spacing w:val="1"/>
          <w:sz w:val="38"/>
        </w:rPr>
        <w:t> </w:t>
      </w:r>
      <w:r>
        <w:rPr>
          <w:sz w:val="38"/>
        </w:rPr>
        <w:t>leg</w:t>
      </w:r>
    </w:p>
    <w:p>
      <w:pPr>
        <w:pStyle w:val="ListParagraph"/>
        <w:numPr>
          <w:ilvl w:val="1"/>
          <w:numId w:val="26"/>
        </w:numPr>
        <w:tabs>
          <w:tab w:pos="1381" w:val="left" w:leader="none"/>
          <w:tab w:pos="1382" w:val="left" w:leader="none"/>
        </w:tabs>
        <w:spacing w:line="240" w:lineRule="auto" w:before="64" w:after="0"/>
        <w:ind w:left="1382" w:right="0" w:hanging="548"/>
        <w:jc w:val="left"/>
        <w:rPr>
          <w:sz w:val="38"/>
        </w:rPr>
      </w:pPr>
      <w:r>
        <w:rPr>
          <w:sz w:val="38"/>
        </w:rPr>
        <w:t>atherosclerosis (vascular</w:t>
      </w:r>
      <w:r>
        <w:rPr>
          <w:spacing w:val="-1"/>
          <w:sz w:val="38"/>
        </w:rPr>
        <w:t> </w:t>
      </w:r>
      <w:r>
        <w:rPr>
          <w:sz w:val="38"/>
        </w:rPr>
        <w:t>calcification)</w:t>
      </w:r>
    </w:p>
    <w:p>
      <w:pPr>
        <w:pStyle w:val="ListParagraph"/>
        <w:numPr>
          <w:ilvl w:val="1"/>
          <w:numId w:val="26"/>
        </w:numPr>
        <w:tabs>
          <w:tab w:pos="1381" w:val="left" w:leader="none"/>
          <w:tab w:pos="1382" w:val="left" w:leader="none"/>
        </w:tabs>
        <w:spacing w:line="240" w:lineRule="auto" w:before="66" w:after="0"/>
        <w:ind w:left="1382" w:right="0" w:hanging="548"/>
        <w:jc w:val="left"/>
        <w:rPr>
          <w:sz w:val="38"/>
        </w:rPr>
      </w:pPr>
      <w:r>
        <w:rPr>
          <w:sz w:val="38"/>
        </w:rPr>
        <w:t>forgetfulness</w:t>
      </w:r>
    </w:p>
    <w:p>
      <w:pPr>
        <w:pStyle w:val="ListParagraph"/>
        <w:numPr>
          <w:ilvl w:val="1"/>
          <w:numId w:val="26"/>
        </w:numPr>
        <w:tabs>
          <w:tab w:pos="1381" w:val="left" w:leader="none"/>
          <w:tab w:pos="1382" w:val="left" w:leader="none"/>
        </w:tabs>
        <w:spacing w:line="240" w:lineRule="auto" w:before="63" w:after="0"/>
        <w:ind w:left="1382" w:right="0" w:hanging="548"/>
        <w:jc w:val="left"/>
        <w:rPr>
          <w:sz w:val="38"/>
        </w:rPr>
      </w:pPr>
      <w:r>
        <w:rPr>
          <w:sz w:val="38"/>
        </w:rPr>
        <w:t>dementia</w:t>
      </w:r>
    </w:p>
    <w:p>
      <w:pPr>
        <w:pStyle w:val="ListParagraph"/>
        <w:numPr>
          <w:ilvl w:val="1"/>
          <w:numId w:val="26"/>
        </w:numPr>
        <w:tabs>
          <w:tab w:pos="1381" w:val="left" w:leader="none"/>
          <w:tab w:pos="1382" w:val="left" w:leader="none"/>
        </w:tabs>
        <w:spacing w:line="240" w:lineRule="auto" w:before="64" w:after="0"/>
        <w:ind w:left="1382" w:right="0" w:hanging="548"/>
        <w:jc w:val="left"/>
        <w:rPr>
          <w:sz w:val="38"/>
        </w:rPr>
      </w:pPr>
      <w:r>
        <w:rPr>
          <w:sz w:val="38"/>
        </w:rPr>
        <w:t>difficulty</w:t>
      </w:r>
      <w:r>
        <w:rPr>
          <w:spacing w:val="-2"/>
          <w:sz w:val="38"/>
        </w:rPr>
        <w:t> </w:t>
      </w:r>
      <w:r>
        <w:rPr>
          <w:sz w:val="38"/>
        </w:rPr>
        <w:t>concentrating</w:t>
      </w:r>
    </w:p>
    <w:p>
      <w:pPr>
        <w:pStyle w:val="ListParagraph"/>
        <w:numPr>
          <w:ilvl w:val="1"/>
          <w:numId w:val="26"/>
        </w:numPr>
        <w:tabs>
          <w:tab w:pos="1381" w:val="left" w:leader="none"/>
          <w:tab w:pos="1382" w:val="left" w:leader="none"/>
        </w:tabs>
        <w:spacing w:line="240" w:lineRule="auto" w:before="63" w:after="0"/>
        <w:ind w:left="1382" w:right="0" w:hanging="548"/>
        <w:jc w:val="left"/>
        <w:rPr>
          <w:sz w:val="38"/>
        </w:rPr>
      </w:pPr>
      <w:r>
        <w:rPr>
          <w:sz w:val="38"/>
        </w:rPr>
        <w:t>loss of memory and learning</w:t>
      </w:r>
      <w:r>
        <w:rPr>
          <w:spacing w:val="-2"/>
          <w:sz w:val="38"/>
        </w:rPr>
        <w:t> </w:t>
      </w:r>
      <w:r>
        <w:rPr>
          <w:sz w:val="38"/>
        </w:rPr>
        <w:t>ability</w:t>
      </w:r>
    </w:p>
    <w:p>
      <w:pPr>
        <w:pStyle w:val="ListParagraph"/>
        <w:numPr>
          <w:ilvl w:val="1"/>
          <w:numId w:val="26"/>
        </w:numPr>
        <w:tabs>
          <w:tab w:pos="1381" w:val="left" w:leader="none"/>
          <w:tab w:pos="1382" w:val="left" w:leader="none"/>
        </w:tabs>
        <w:spacing w:line="240" w:lineRule="auto" w:before="65" w:after="0"/>
        <w:ind w:left="1382" w:right="0" w:hanging="548"/>
        <w:jc w:val="left"/>
        <w:rPr>
          <w:sz w:val="38"/>
        </w:rPr>
      </w:pPr>
      <w:r>
        <w:rPr>
          <w:sz w:val="38"/>
        </w:rPr>
        <w:t>Alzheimer’s</w:t>
      </w:r>
    </w:p>
    <w:p>
      <w:pPr>
        <w:pStyle w:val="ListParagraph"/>
        <w:numPr>
          <w:ilvl w:val="1"/>
          <w:numId w:val="26"/>
        </w:numPr>
        <w:tabs>
          <w:tab w:pos="1381" w:val="left" w:leader="none"/>
          <w:tab w:pos="1382" w:val="left" w:leader="none"/>
        </w:tabs>
        <w:spacing w:line="240" w:lineRule="auto" w:before="66" w:after="0"/>
        <w:ind w:left="1382" w:right="0" w:hanging="548"/>
        <w:jc w:val="left"/>
        <w:rPr>
          <w:sz w:val="38"/>
        </w:rPr>
      </w:pPr>
      <w:r>
        <w:rPr>
          <w:sz w:val="38"/>
        </w:rPr>
        <w:t>multiple sclerosis (MS)</w:t>
      </w:r>
    </w:p>
    <w:p>
      <w:pPr>
        <w:pStyle w:val="ListParagraph"/>
        <w:numPr>
          <w:ilvl w:val="1"/>
          <w:numId w:val="26"/>
        </w:numPr>
        <w:tabs>
          <w:tab w:pos="1381" w:val="left" w:leader="none"/>
          <w:tab w:pos="1382" w:val="left" w:leader="none"/>
        </w:tabs>
        <w:spacing w:line="240" w:lineRule="auto" w:before="63" w:after="0"/>
        <w:ind w:left="1382" w:right="0" w:hanging="548"/>
        <w:jc w:val="left"/>
        <w:rPr>
          <w:sz w:val="38"/>
        </w:rPr>
      </w:pPr>
      <w:r>
        <w:rPr>
          <w:sz w:val="38"/>
        </w:rPr>
        <w:t>senility</w:t>
      </w:r>
    </w:p>
    <w:p>
      <w:pPr>
        <w:pStyle w:val="ListParagraph"/>
        <w:numPr>
          <w:ilvl w:val="1"/>
          <w:numId w:val="26"/>
        </w:numPr>
        <w:tabs>
          <w:tab w:pos="1381" w:val="left" w:leader="none"/>
          <w:tab w:pos="1382" w:val="left" w:leader="none"/>
        </w:tabs>
        <w:spacing w:line="240" w:lineRule="auto" w:before="64" w:after="0"/>
        <w:ind w:left="1382" w:right="0" w:hanging="548"/>
        <w:jc w:val="left"/>
        <w:rPr>
          <w:sz w:val="38"/>
        </w:rPr>
      </w:pPr>
      <w:r>
        <w:rPr>
          <w:sz w:val="38"/>
        </w:rPr>
        <w:t>macular degeneration</w:t>
      </w:r>
    </w:p>
    <w:p>
      <w:pPr>
        <w:pStyle w:val="ListParagraph"/>
        <w:numPr>
          <w:ilvl w:val="1"/>
          <w:numId w:val="26"/>
        </w:numPr>
        <w:tabs>
          <w:tab w:pos="1381" w:val="left" w:leader="none"/>
          <w:tab w:pos="1382" w:val="left" w:leader="none"/>
        </w:tabs>
        <w:spacing w:line="240" w:lineRule="auto" w:before="64" w:after="0"/>
        <w:ind w:left="1382" w:right="0" w:hanging="548"/>
        <w:jc w:val="left"/>
        <w:rPr>
          <w:sz w:val="38"/>
        </w:rPr>
      </w:pPr>
      <w:r>
        <w:rPr>
          <w:sz w:val="38"/>
        </w:rPr>
        <w:t>migraines</w:t>
      </w:r>
    </w:p>
    <w:p>
      <w:pPr>
        <w:pStyle w:val="ListParagraph"/>
        <w:numPr>
          <w:ilvl w:val="1"/>
          <w:numId w:val="26"/>
        </w:numPr>
        <w:tabs>
          <w:tab w:pos="1381" w:val="left" w:leader="none"/>
          <w:tab w:pos="1382" w:val="left" w:leader="none"/>
        </w:tabs>
        <w:spacing w:line="240" w:lineRule="auto" w:before="63" w:after="0"/>
        <w:ind w:left="1382" w:right="0" w:hanging="548"/>
        <w:jc w:val="left"/>
        <w:rPr>
          <w:sz w:val="38"/>
        </w:rPr>
      </w:pPr>
      <w:r>
        <w:rPr>
          <w:sz w:val="38"/>
        </w:rPr>
        <w:t>bronchitis</w:t>
      </w:r>
    </w:p>
    <w:p>
      <w:pPr>
        <w:pStyle w:val="ListParagraph"/>
        <w:numPr>
          <w:ilvl w:val="1"/>
          <w:numId w:val="26"/>
        </w:numPr>
        <w:tabs>
          <w:tab w:pos="1381" w:val="left" w:leader="none"/>
          <w:tab w:pos="1382" w:val="left" w:leader="none"/>
        </w:tabs>
        <w:spacing w:line="240" w:lineRule="auto" w:before="66" w:after="0"/>
        <w:ind w:left="1382" w:right="0" w:hanging="548"/>
        <w:jc w:val="left"/>
        <w:rPr>
          <w:sz w:val="38"/>
        </w:rPr>
      </w:pPr>
      <w:r>
        <w:rPr>
          <w:sz w:val="38"/>
        </w:rPr>
        <w:t>asthma</w:t>
      </w:r>
    </w:p>
    <w:p>
      <w:pPr>
        <w:pStyle w:val="ListParagraph"/>
        <w:numPr>
          <w:ilvl w:val="1"/>
          <w:numId w:val="26"/>
        </w:numPr>
        <w:tabs>
          <w:tab w:pos="1381" w:val="left" w:leader="none"/>
          <w:tab w:pos="1382" w:val="left" w:leader="none"/>
        </w:tabs>
        <w:spacing w:line="240" w:lineRule="auto" w:before="64" w:after="0"/>
        <w:ind w:left="1382" w:right="0" w:hanging="548"/>
        <w:jc w:val="left"/>
        <w:rPr>
          <w:sz w:val="38"/>
        </w:rPr>
      </w:pPr>
      <w:r>
        <w:rPr>
          <w:sz w:val="38"/>
        </w:rPr>
        <w:t>depression</w:t>
      </w:r>
    </w:p>
    <w:p>
      <w:pPr>
        <w:pStyle w:val="ListParagraph"/>
        <w:numPr>
          <w:ilvl w:val="1"/>
          <w:numId w:val="26"/>
        </w:numPr>
        <w:tabs>
          <w:tab w:pos="1381" w:val="left" w:leader="none"/>
          <w:tab w:pos="1382" w:val="left" w:leader="none"/>
        </w:tabs>
        <w:spacing w:line="240" w:lineRule="auto" w:before="64" w:after="0"/>
        <w:ind w:left="1382" w:right="0" w:hanging="548"/>
        <w:jc w:val="left"/>
        <w:rPr>
          <w:sz w:val="38"/>
        </w:rPr>
      </w:pPr>
      <w:r>
        <w:rPr>
          <w:sz w:val="38"/>
        </w:rPr>
        <w:t>wound healing</w:t>
      </w:r>
    </w:p>
    <w:p>
      <w:pPr>
        <w:pStyle w:val="ListParagraph"/>
        <w:numPr>
          <w:ilvl w:val="1"/>
          <w:numId w:val="26"/>
        </w:numPr>
        <w:tabs>
          <w:tab w:pos="1381" w:val="left" w:leader="none"/>
          <w:tab w:pos="1382" w:val="left" w:leader="none"/>
        </w:tabs>
        <w:spacing w:line="240" w:lineRule="auto" w:before="64" w:after="0"/>
        <w:ind w:left="1382" w:right="0" w:hanging="548"/>
        <w:jc w:val="left"/>
        <w:rPr>
          <w:sz w:val="38"/>
        </w:rPr>
      </w:pPr>
      <w:r>
        <w:rPr>
          <w:sz w:val="38"/>
        </w:rPr>
        <w:t>frostbite</w:t>
      </w:r>
    </w:p>
    <w:p>
      <w:pPr>
        <w:pStyle w:val="ListParagraph"/>
        <w:numPr>
          <w:ilvl w:val="1"/>
          <w:numId w:val="26"/>
        </w:numPr>
        <w:tabs>
          <w:tab w:pos="1381" w:val="left" w:leader="none"/>
          <w:tab w:pos="1382" w:val="left" w:leader="none"/>
        </w:tabs>
        <w:spacing w:line="240" w:lineRule="auto" w:before="66" w:after="0"/>
        <w:ind w:left="1382" w:right="0" w:hanging="548"/>
        <w:jc w:val="left"/>
        <w:rPr>
          <w:sz w:val="38"/>
        </w:rPr>
      </w:pPr>
      <w:r>
        <w:rPr>
          <w:sz w:val="38"/>
        </w:rPr>
        <w:t>varicose veins</w:t>
      </w:r>
    </w:p>
    <w:p>
      <w:pPr>
        <w:pStyle w:val="ListParagraph"/>
        <w:numPr>
          <w:ilvl w:val="1"/>
          <w:numId w:val="26"/>
        </w:numPr>
        <w:tabs>
          <w:tab w:pos="1381" w:val="left" w:leader="none"/>
          <w:tab w:pos="1382" w:val="left" w:leader="none"/>
        </w:tabs>
        <w:spacing w:line="240" w:lineRule="auto" w:before="63" w:after="0"/>
        <w:ind w:left="1382" w:right="0" w:hanging="548"/>
        <w:jc w:val="left"/>
        <w:rPr>
          <w:sz w:val="38"/>
        </w:rPr>
      </w:pPr>
      <w:r>
        <w:rPr>
          <w:sz w:val="38"/>
        </w:rPr>
        <w:t>oedema</w:t>
      </w:r>
    </w:p>
    <w:p>
      <w:pPr>
        <w:pStyle w:val="ListParagraph"/>
        <w:numPr>
          <w:ilvl w:val="1"/>
          <w:numId w:val="26"/>
        </w:numPr>
        <w:tabs>
          <w:tab w:pos="1381" w:val="left" w:leader="none"/>
          <w:tab w:pos="1382" w:val="left" w:leader="none"/>
        </w:tabs>
        <w:spacing w:line="240" w:lineRule="auto" w:before="64" w:after="0"/>
        <w:ind w:left="1382" w:right="0" w:hanging="548"/>
        <w:jc w:val="left"/>
        <w:rPr>
          <w:sz w:val="38"/>
        </w:rPr>
      </w:pPr>
      <w:r>
        <w:rPr>
          <w:sz w:val="38"/>
        </w:rPr>
        <w:t>blurred vision</w:t>
      </w:r>
    </w:p>
    <w:p>
      <w:pPr>
        <w:pStyle w:val="ListParagraph"/>
        <w:numPr>
          <w:ilvl w:val="1"/>
          <w:numId w:val="26"/>
        </w:numPr>
        <w:tabs>
          <w:tab w:pos="1381" w:val="left" w:leader="none"/>
          <w:tab w:pos="1382" w:val="left" w:leader="none"/>
        </w:tabs>
        <w:spacing w:line="240" w:lineRule="auto" w:before="63" w:after="0"/>
        <w:ind w:left="1382" w:right="0" w:hanging="548"/>
        <w:jc w:val="left"/>
        <w:rPr>
          <w:sz w:val="38"/>
        </w:rPr>
      </w:pPr>
      <w:r>
        <w:rPr>
          <w:sz w:val="38"/>
        </w:rPr>
        <w:t>stomach</w:t>
      </w:r>
      <w:r>
        <w:rPr>
          <w:spacing w:val="-1"/>
          <w:sz w:val="38"/>
        </w:rPr>
        <w:t> </w:t>
      </w:r>
      <w:r>
        <w:rPr>
          <w:sz w:val="38"/>
        </w:rPr>
        <w:t>problems</w:t>
      </w:r>
    </w:p>
    <w:p>
      <w:pPr>
        <w:pStyle w:val="ListParagraph"/>
        <w:numPr>
          <w:ilvl w:val="1"/>
          <w:numId w:val="26"/>
        </w:numPr>
        <w:tabs>
          <w:tab w:pos="1381" w:val="left" w:leader="none"/>
          <w:tab w:pos="1382" w:val="left" w:leader="none"/>
        </w:tabs>
        <w:spacing w:line="240" w:lineRule="auto" w:before="65" w:after="0"/>
        <w:ind w:left="1382" w:right="0" w:hanging="548"/>
        <w:jc w:val="left"/>
        <w:rPr>
          <w:sz w:val="38"/>
        </w:rPr>
      </w:pPr>
      <w:r>
        <w:rPr>
          <w:sz w:val="38"/>
        </w:rPr>
        <w:t>potency</w:t>
      </w:r>
      <w:r>
        <w:rPr>
          <w:spacing w:val="-3"/>
          <w:sz w:val="38"/>
        </w:rPr>
        <w:t> </w:t>
      </w:r>
      <w:r>
        <w:rPr>
          <w:sz w:val="38"/>
        </w:rPr>
        <w:t>problems</w:t>
      </w:r>
    </w:p>
    <w:p>
      <w:pPr>
        <w:pStyle w:val="ListParagraph"/>
        <w:numPr>
          <w:ilvl w:val="1"/>
          <w:numId w:val="26"/>
        </w:numPr>
        <w:tabs>
          <w:tab w:pos="1381" w:val="left" w:leader="none"/>
          <w:tab w:pos="1382" w:val="left" w:leader="none"/>
        </w:tabs>
        <w:spacing w:line="240" w:lineRule="auto" w:before="66" w:after="0"/>
        <w:ind w:left="1382" w:right="0" w:hanging="548"/>
        <w:jc w:val="left"/>
        <w:rPr>
          <w:sz w:val="38"/>
        </w:rPr>
      </w:pPr>
      <w:r>
        <w:rPr>
          <w:sz w:val="38"/>
        </w:rPr>
        <w:t>chronic fatigue</w:t>
      </w:r>
    </w:p>
    <w:p>
      <w:pPr>
        <w:spacing w:after="0" w:line="240" w:lineRule="auto"/>
        <w:jc w:val="left"/>
        <w:rPr>
          <w:sz w:val="38"/>
        </w:rPr>
        <w:sectPr>
          <w:pgSz w:w="14270" w:h="16850"/>
          <w:pgMar w:header="0" w:footer="1891" w:top="1600" w:bottom="2080" w:left="800" w:right="1280"/>
        </w:sectPr>
      </w:pPr>
    </w:p>
    <w:p>
      <w:pPr>
        <w:pStyle w:val="BodyText"/>
        <w:spacing w:before="10"/>
        <w:rPr>
          <w:sz w:val="8"/>
        </w:rPr>
      </w:pPr>
    </w:p>
    <w:p>
      <w:pPr>
        <w:pStyle w:val="ListParagraph"/>
        <w:numPr>
          <w:ilvl w:val="1"/>
          <w:numId w:val="26"/>
        </w:numPr>
        <w:tabs>
          <w:tab w:pos="1381" w:val="left" w:leader="none"/>
          <w:tab w:pos="1382" w:val="left" w:leader="none"/>
        </w:tabs>
        <w:spacing w:line="240" w:lineRule="auto" w:before="83" w:after="0"/>
        <w:ind w:left="1382" w:right="0" w:hanging="548"/>
        <w:jc w:val="left"/>
        <w:rPr>
          <w:sz w:val="38"/>
        </w:rPr>
      </w:pPr>
      <w:r>
        <w:rPr>
          <w:sz w:val="38"/>
        </w:rPr>
        <w:t>attention</w:t>
      </w:r>
      <w:r>
        <w:rPr>
          <w:spacing w:val="1"/>
          <w:sz w:val="38"/>
        </w:rPr>
        <w:t> </w:t>
      </w:r>
      <w:r>
        <w:rPr>
          <w:sz w:val="38"/>
        </w:rPr>
        <w:t>deficit</w:t>
      </w:r>
    </w:p>
    <w:p>
      <w:pPr>
        <w:pStyle w:val="ListParagraph"/>
        <w:numPr>
          <w:ilvl w:val="1"/>
          <w:numId w:val="26"/>
        </w:numPr>
        <w:tabs>
          <w:tab w:pos="1381" w:val="left" w:leader="none"/>
          <w:tab w:pos="1382" w:val="left" w:leader="none"/>
        </w:tabs>
        <w:spacing w:line="240" w:lineRule="auto" w:before="64" w:after="0"/>
        <w:ind w:left="1382" w:right="0" w:hanging="548"/>
        <w:jc w:val="left"/>
        <w:rPr>
          <w:sz w:val="38"/>
        </w:rPr>
      </w:pPr>
      <w:r>
        <w:rPr>
          <w:sz w:val="38"/>
        </w:rPr>
        <w:t>hyperactivity</w:t>
      </w:r>
    </w:p>
    <w:p>
      <w:pPr>
        <w:pStyle w:val="ListParagraph"/>
        <w:numPr>
          <w:ilvl w:val="1"/>
          <w:numId w:val="26"/>
        </w:numPr>
        <w:tabs>
          <w:tab w:pos="1381" w:val="left" w:leader="none"/>
          <w:tab w:pos="1382" w:val="left" w:leader="none"/>
        </w:tabs>
        <w:spacing w:line="240" w:lineRule="auto" w:before="66" w:after="0"/>
        <w:ind w:left="1382" w:right="0" w:hanging="548"/>
        <w:jc w:val="left"/>
        <w:rPr>
          <w:sz w:val="38"/>
        </w:rPr>
      </w:pPr>
      <w:r>
        <w:rPr>
          <w:sz w:val="38"/>
        </w:rPr>
        <w:t>ADHD</w:t>
      </w:r>
    </w:p>
    <w:p>
      <w:pPr>
        <w:pStyle w:val="ListParagraph"/>
        <w:numPr>
          <w:ilvl w:val="1"/>
          <w:numId w:val="26"/>
        </w:numPr>
        <w:tabs>
          <w:tab w:pos="1381" w:val="left" w:leader="none"/>
          <w:tab w:pos="1382" w:val="left" w:leader="none"/>
        </w:tabs>
        <w:spacing w:line="240" w:lineRule="auto" w:before="63" w:after="0"/>
        <w:ind w:left="1382" w:right="0" w:hanging="548"/>
        <w:jc w:val="left"/>
        <w:rPr>
          <w:sz w:val="38"/>
        </w:rPr>
      </w:pPr>
      <w:r>
        <w:rPr>
          <w:sz w:val="38"/>
        </w:rPr>
        <w:t>Parkinson’s</w:t>
      </w:r>
    </w:p>
    <w:p>
      <w:pPr>
        <w:pStyle w:val="ListParagraph"/>
        <w:numPr>
          <w:ilvl w:val="1"/>
          <w:numId w:val="26"/>
        </w:numPr>
        <w:tabs>
          <w:tab w:pos="1381" w:val="left" w:leader="none"/>
          <w:tab w:pos="1382" w:val="left" w:leader="none"/>
        </w:tabs>
        <w:spacing w:line="240" w:lineRule="auto" w:before="64" w:after="0"/>
        <w:ind w:left="1382" w:right="0" w:hanging="548"/>
        <w:jc w:val="left"/>
        <w:rPr>
          <w:sz w:val="38"/>
        </w:rPr>
      </w:pPr>
      <w:r>
        <w:rPr>
          <w:sz w:val="38"/>
        </w:rPr>
        <w:t>vitiligo</w:t>
      </w:r>
    </w:p>
    <w:p>
      <w:pPr>
        <w:pStyle w:val="ListParagraph"/>
        <w:numPr>
          <w:ilvl w:val="1"/>
          <w:numId w:val="26"/>
        </w:numPr>
        <w:tabs>
          <w:tab w:pos="1381" w:val="left" w:leader="none"/>
          <w:tab w:pos="1382" w:val="left" w:leader="none"/>
        </w:tabs>
        <w:spacing w:line="240" w:lineRule="auto" w:before="63" w:after="0"/>
        <w:ind w:left="1382" w:right="0" w:hanging="548"/>
        <w:jc w:val="left"/>
        <w:rPr>
          <w:sz w:val="38"/>
        </w:rPr>
      </w:pPr>
      <w:r>
        <w:rPr>
          <w:sz w:val="38"/>
        </w:rPr>
        <w:t>worm</w:t>
      </w:r>
      <w:r>
        <w:rPr>
          <w:spacing w:val="-1"/>
          <w:sz w:val="38"/>
        </w:rPr>
        <w:t> </w:t>
      </w:r>
      <w:r>
        <w:rPr>
          <w:sz w:val="38"/>
        </w:rPr>
        <w:t>infestation</w:t>
      </w:r>
    </w:p>
    <w:p>
      <w:pPr>
        <w:pStyle w:val="ListParagraph"/>
        <w:numPr>
          <w:ilvl w:val="1"/>
          <w:numId w:val="26"/>
        </w:numPr>
        <w:tabs>
          <w:tab w:pos="1381" w:val="left" w:leader="none"/>
          <w:tab w:pos="1382" w:val="left" w:leader="none"/>
        </w:tabs>
        <w:spacing w:line="240" w:lineRule="auto" w:before="65" w:after="0"/>
        <w:ind w:left="1382" w:right="0" w:hanging="548"/>
        <w:jc w:val="left"/>
        <w:rPr>
          <w:sz w:val="38"/>
        </w:rPr>
      </w:pPr>
      <w:r>
        <w:rPr>
          <w:sz w:val="38"/>
        </w:rPr>
        <w:t>dizziness</w:t>
      </w:r>
    </w:p>
    <w:p>
      <w:pPr>
        <w:pStyle w:val="ListParagraph"/>
        <w:numPr>
          <w:ilvl w:val="1"/>
          <w:numId w:val="26"/>
        </w:numPr>
        <w:tabs>
          <w:tab w:pos="1381" w:val="left" w:leader="none"/>
          <w:tab w:pos="1382" w:val="left" w:leader="none"/>
        </w:tabs>
        <w:spacing w:line="240" w:lineRule="auto" w:before="66" w:after="0"/>
        <w:ind w:left="1382" w:right="0" w:hanging="548"/>
        <w:jc w:val="left"/>
        <w:rPr>
          <w:sz w:val="38"/>
        </w:rPr>
      </w:pPr>
      <w:r>
        <w:rPr>
          <w:sz w:val="38"/>
        </w:rPr>
        <w:t>kidney diseases</w:t>
      </w:r>
    </w:p>
    <w:p>
      <w:pPr>
        <w:pStyle w:val="ListParagraph"/>
        <w:numPr>
          <w:ilvl w:val="1"/>
          <w:numId w:val="26"/>
        </w:numPr>
        <w:tabs>
          <w:tab w:pos="1381" w:val="left" w:leader="none"/>
          <w:tab w:pos="1382" w:val="left" w:leader="none"/>
        </w:tabs>
        <w:spacing w:line="240" w:lineRule="auto" w:before="63" w:after="0"/>
        <w:ind w:left="1382" w:right="0" w:hanging="548"/>
        <w:jc w:val="left"/>
        <w:rPr>
          <w:sz w:val="38"/>
        </w:rPr>
      </w:pPr>
      <w:r>
        <w:rPr>
          <w:sz w:val="38"/>
        </w:rPr>
        <w:t>tinnitus</w:t>
      </w:r>
    </w:p>
    <w:p>
      <w:pPr>
        <w:pStyle w:val="ListParagraph"/>
        <w:numPr>
          <w:ilvl w:val="1"/>
          <w:numId w:val="26"/>
        </w:numPr>
        <w:tabs>
          <w:tab w:pos="1381" w:val="left" w:leader="none"/>
          <w:tab w:pos="1382" w:val="left" w:leader="none"/>
        </w:tabs>
        <w:spacing w:line="240" w:lineRule="auto" w:before="64" w:after="0"/>
        <w:ind w:left="1382" w:right="0" w:hanging="548"/>
        <w:jc w:val="left"/>
        <w:rPr>
          <w:sz w:val="38"/>
        </w:rPr>
      </w:pPr>
      <w:r>
        <w:rPr>
          <w:sz w:val="38"/>
        </w:rPr>
        <w:t>night</w:t>
      </w:r>
      <w:r>
        <w:rPr>
          <w:spacing w:val="-2"/>
          <w:sz w:val="38"/>
        </w:rPr>
        <w:t> </w:t>
      </w:r>
      <w:r>
        <w:rPr>
          <w:sz w:val="38"/>
        </w:rPr>
        <w:t>blindness</w:t>
      </w:r>
    </w:p>
    <w:p>
      <w:pPr>
        <w:pStyle w:val="ListParagraph"/>
        <w:numPr>
          <w:ilvl w:val="1"/>
          <w:numId w:val="26"/>
        </w:numPr>
        <w:tabs>
          <w:tab w:pos="1381" w:val="left" w:leader="none"/>
          <w:tab w:pos="1382" w:val="left" w:leader="none"/>
        </w:tabs>
        <w:spacing w:line="240" w:lineRule="auto" w:before="64" w:after="0"/>
        <w:ind w:left="1382" w:right="0" w:hanging="548"/>
        <w:jc w:val="left"/>
        <w:rPr>
          <w:sz w:val="38"/>
        </w:rPr>
      </w:pPr>
      <w:r>
        <w:rPr>
          <w:sz w:val="38"/>
        </w:rPr>
        <w:t>glaucoma</w:t>
      </w:r>
    </w:p>
    <w:p>
      <w:pPr>
        <w:pStyle w:val="ListParagraph"/>
        <w:numPr>
          <w:ilvl w:val="1"/>
          <w:numId w:val="26"/>
        </w:numPr>
        <w:tabs>
          <w:tab w:pos="1612" w:val="left" w:leader="none"/>
          <w:tab w:pos="1613" w:val="left" w:leader="none"/>
        </w:tabs>
        <w:spacing w:line="240" w:lineRule="auto" w:before="63" w:after="0"/>
        <w:ind w:left="1612" w:right="0" w:hanging="794"/>
        <w:jc w:val="left"/>
        <w:rPr>
          <w:sz w:val="38"/>
        </w:rPr>
      </w:pPr>
      <w:r>
        <w:rPr>
          <w:sz w:val="38"/>
        </w:rPr>
        <w:t>as a</w:t>
      </w:r>
      <w:r>
        <w:rPr>
          <w:spacing w:val="-2"/>
          <w:sz w:val="38"/>
        </w:rPr>
        <w:t> </w:t>
      </w:r>
      <w:r>
        <w:rPr>
          <w:sz w:val="38"/>
        </w:rPr>
        <w:t>cosmetic</w:t>
      </w:r>
    </w:p>
    <w:p>
      <w:pPr>
        <w:pStyle w:val="BodyText"/>
        <w:rPr>
          <w:sz w:val="44"/>
        </w:rPr>
      </w:pPr>
    </w:p>
    <w:p>
      <w:pPr>
        <w:pStyle w:val="BodyText"/>
        <w:rPr>
          <w:sz w:val="44"/>
        </w:rPr>
      </w:pPr>
    </w:p>
    <w:p>
      <w:pPr>
        <w:pStyle w:val="BodyText"/>
        <w:spacing w:before="2"/>
        <w:rPr>
          <w:sz w:val="46"/>
        </w:rPr>
      </w:pPr>
    </w:p>
    <w:p>
      <w:pPr>
        <w:pStyle w:val="Heading1"/>
        <w:spacing w:before="0"/>
        <w:jc w:val="both"/>
      </w:pPr>
      <w:r>
        <w:rPr/>
        <w:t>Effect of ginkgo on circulatory</w:t>
      </w:r>
      <w:r>
        <w:rPr>
          <w:spacing w:val="-56"/>
        </w:rPr>
        <w:t> </w:t>
      </w:r>
      <w:r>
        <w:rPr/>
        <w:t>disorders</w:t>
      </w:r>
    </w:p>
    <w:p>
      <w:pPr>
        <w:pStyle w:val="BodyText"/>
        <w:spacing w:line="276" w:lineRule="auto" w:before="179"/>
        <w:ind w:left="477" w:right="135"/>
        <w:jc w:val="both"/>
      </w:pPr>
      <w:r>
        <w:rPr/>
        <w:t>Circulatory</w:t>
      </w:r>
      <w:r>
        <w:rPr>
          <w:spacing w:val="-15"/>
        </w:rPr>
        <w:t> </w:t>
      </w:r>
      <w:r>
        <w:rPr/>
        <w:t>disorders</w:t>
      </w:r>
      <w:r>
        <w:rPr>
          <w:spacing w:val="-14"/>
        </w:rPr>
        <w:t> </w:t>
      </w:r>
      <w:r>
        <w:rPr/>
        <w:t>are</w:t>
      </w:r>
      <w:r>
        <w:rPr>
          <w:spacing w:val="-14"/>
        </w:rPr>
        <w:t> </w:t>
      </w:r>
      <w:r>
        <w:rPr/>
        <w:t>ginkgo’s</w:t>
      </w:r>
      <w:r>
        <w:rPr>
          <w:spacing w:val="-16"/>
        </w:rPr>
        <w:t> </w:t>
      </w:r>
      <w:r>
        <w:rPr/>
        <w:t>main</w:t>
      </w:r>
      <w:r>
        <w:rPr>
          <w:spacing w:val="-15"/>
        </w:rPr>
        <w:t> </w:t>
      </w:r>
      <w:r>
        <w:rPr/>
        <w:t>field</w:t>
      </w:r>
      <w:r>
        <w:rPr>
          <w:spacing w:val="-15"/>
        </w:rPr>
        <w:t> </w:t>
      </w:r>
      <w:r>
        <w:rPr/>
        <w:t>of</w:t>
      </w:r>
      <w:r>
        <w:rPr>
          <w:spacing w:val="-15"/>
        </w:rPr>
        <w:t> </w:t>
      </w:r>
      <w:r>
        <w:rPr/>
        <w:t>action</w:t>
      </w:r>
      <w:r>
        <w:rPr>
          <w:spacing w:val="-14"/>
        </w:rPr>
        <w:t> </w:t>
      </w:r>
      <w:r>
        <w:rPr/>
        <w:t>and</w:t>
      </w:r>
      <w:r>
        <w:rPr>
          <w:spacing w:val="-15"/>
        </w:rPr>
        <w:t> </w:t>
      </w:r>
      <w:r>
        <w:rPr/>
        <w:t>are,</w:t>
      </w:r>
      <w:r>
        <w:rPr>
          <w:spacing w:val="-14"/>
        </w:rPr>
        <w:t> </w:t>
      </w:r>
      <w:r>
        <w:rPr/>
        <w:t>at</w:t>
      </w:r>
      <w:r>
        <w:rPr>
          <w:spacing w:val="-15"/>
        </w:rPr>
        <w:t> </w:t>
      </w:r>
      <w:r>
        <w:rPr/>
        <w:t>the</w:t>
      </w:r>
      <w:r>
        <w:rPr>
          <w:spacing w:val="-15"/>
        </w:rPr>
        <w:t> </w:t>
      </w:r>
      <w:r>
        <w:rPr/>
        <w:t>same</w:t>
      </w:r>
      <w:r>
        <w:rPr>
          <w:spacing w:val="-14"/>
        </w:rPr>
        <w:t> </w:t>
      </w:r>
      <w:r>
        <w:rPr/>
        <w:t>time, the main reason for the effect against numerous diseases and conditions which are</w:t>
      </w:r>
      <w:r>
        <w:rPr>
          <w:spacing w:val="-12"/>
        </w:rPr>
        <w:t> </w:t>
      </w:r>
      <w:r>
        <w:rPr/>
        <w:t>directly</w:t>
      </w:r>
      <w:r>
        <w:rPr>
          <w:spacing w:val="-13"/>
        </w:rPr>
        <w:t> </w:t>
      </w:r>
      <w:r>
        <w:rPr/>
        <w:t>or</w:t>
      </w:r>
      <w:r>
        <w:rPr>
          <w:spacing w:val="-12"/>
        </w:rPr>
        <w:t> </w:t>
      </w:r>
      <w:r>
        <w:rPr/>
        <w:t>indirectly</w:t>
      </w:r>
      <w:r>
        <w:rPr>
          <w:spacing w:val="-13"/>
        </w:rPr>
        <w:t> </w:t>
      </w:r>
      <w:r>
        <w:rPr/>
        <w:t>related</w:t>
      </w:r>
      <w:r>
        <w:rPr>
          <w:spacing w:val="-14"/>
        </w:rPr>
        <w:t> </w:t>
      </w:r>
      <w:r>
        <w:rPr/>
        <w:t>to</w:t>
      </w:r>
      <w:r>
        <w:rPr>
          <w:spacing w:val="-12"/>
        </w:rPr>
        <w:t> </w:t>
      </w:r>
      <w:r>
        <w:rPr/>
        <w:t>circulatory</w:t>
      </w:r>
      <w:r>
        <w:rPr>
          <w:spacing w:val="-11"/>
        </w:rPr>
        <w:t> </w:t>
      </w:r>
      <w:r>
        <w:rPr/>
        <w:t>problems.</w:t>
      </w:r>
      <w:r>
        <w:rPr>
          <w:spacing w:val="-11"/>
        </w:rPr>
        <w:t> </w:t>
      </w:r>
      <w:r>
        <w:rPr/>
        <w:t>Ginkgo</w:t>
      </w:r>
      <w:r>
        <w:rPr>
          <w:spacing w:val="-12"/>
        </w:rPr>
        <w:t> </w:t>
      </w:r>
      <w:r>
        <w:rPr/>
        <w:t>optimises</w:t>
      </w:r>
      <w:r>
        <w:rPr>
          <w:spacing w:val="-12"/>
        </w:rPr>
        <w:t> </w:t>
      </w:r>
      <w:r>
        <w:rPr/>
        <w:t>both the</w:t>
      </w:r>
      <w:r>
        <w:rPr>
          <w:spacing w:val="-14"/>
        </w:rPr>
        <w:t> </w:t>
      </w:r>
      <w:r>
        <w:rPr/>
        <w:t>cerebral</w:t>
      </w:r>
      <w:r>
        <w:rPr>
          <w:spacing w:val="-16"/>
        </w:rPr>
        <w:t> </w:t>
      </w:r>
      <w:r>
        <w:rPr/>
        <w:t>circulation</w:t>
      </w:r>
      <w:r>
        <w:rPr>
          <w:spacing w:val="-13"/>
        </w:rPr>
        <w:t> </w:t>
      </w:r>
      <w:r>
        <w:rPr/>
        <w:t>(in</w:t>
      </w:r>
      <w:r>
        <w:rPr>
          <w:spacing w:val="-15"/>
        </w:rPr>
        <w:t> </w:t>
      </w:r>
      <w:r>
        <w:rPr/>
        <w:t>the</w:t>
      </w:r>
      <w:r>
        <w:rPr>
          <w:spacing w:val="-14"/>
        </w:rPr>
        <w:t> </w:t>
      </w:r>
      <w:r>
        <w:rPr/>
        <w:t>brain)</w:t>
      </w:r>
      <w:r>
        <w:rPr>
          <w:spacing w:val="-14"/>
        </w:rPr>
        <w:t> </w:t>
      </w:r>
      <w:r>
        <w:rPr/>
        <w:t>as</w:t>
      </w:r>
      <w:r>
        <w:rPr>
          <w:spacing w:val="-15"/>
        </w:rPr>
        <w:t> </w:t>
      </w:r>
      <w:r>
        <w:rPr/>
        <w:t>well</w:t>
      </w:r>
      <w:r>
        <w:rPr>
          <w:spacing w:val="-16"/>
        </w:rPr>
        <w:t> </w:t>
      </w:r>
      <w:r>
        <w:rPr/>
        <w:t>as</w:t>
      </w:r>
      <w:r>
        <w:rPr>
          <w:spacing w:val="-15"/>
        </w:rPr>
        <w:t> </w:t>
      </w:r>
      <w:r>
        <w:rPr/>
        <w:t>the</w:t>
      </w:r>
      <w:r>
        <w:rPr>
          <w:spacing w:val="-14"/>
        </w:rPr>
        <w:t> </w:t>
      </w:r>
      <w:r>
        <w:rPr/>
        <w:t>peripheral</w:t>
      </w:r>
      <w:r>
        <w:rPr>
          <w:spacing w:val="-15"/>
        </w:rPr>
        <w:t> </w:t>
      </w:r>
      <w:r>
        <w:rPr/>
        <w:t>circulation</w:t>
      </w:r>
      <w:r>
        <w:rPr>
          <w:spacing w:val="-14"/>
        </w:rPr>
        <w:t> </w:t>
      </w:r>
      <w:r>
        <w:rPr/>
        <w:t>(limbs) and other organs (such as heart, middle and inner ear,</w:t>
      </w:r>
      <w:r>
        <w:rPr>
          <w:spacing w:val="-2"/>
        </w:rPr>
        <w:t> </w:t>
      </w:r>
      <w:r>
        <w:rPr/>
        <w:t>etc.).</w:t>
      </w:r>
    </w:p>
    <w:p>
      <w:pPr>
        <w:pStyle w:val="BodyText"/>
        <w:spacing w:before="120"/>
        <w:ind w:left="477"/>
        <w:jc w:val="both"/>
      </w:pPr>
      <w:r>
        <w:rPr/>
        <w:t>By</w:t>
      </w:r>
      <w:r>
        <w:rPr>
          <w:spacing w:val="51"/>
        </w:rPr>
        <w:t> </w:t>
      </w:r>
      <w:r>
        <w:rPr/>
        <w:t>acting</w:t>
      </w:r>
      <w:r>
        <w:rPr>
          <w:spacing w:val="51"/>
        </w:rPr>
        <w:t> </w:t>
      </w:r>
      <w:r>
        <w:rPr/>
        <w:t>on</w:t>
      </w:r>
      <w:r>
        <w:rPr>
          <w:spacing w:val="52"/>
        </w:rPr>
        <w:t> </w:t>
      </w:r>
      <w:r>
        <w:rPr/>
        <w:t>the</w:t>
      </w:r>
      <w:r>
        <w:rPr>
          <w:spacing w:val="52"/>
        </w:rPr>
        <w:t> </w:t>
      </w:r>
      <w:r>
        <w:rPr/>
        <w:t>metabolism</w:t>
      </w:r>
      <w:r>
        <w:rPr>
          <w:spacing w:val="52"/>
        </w:rPr>
        <w:t> </w:t>
      </w:r>
      <w:r>
        <w:rPr/>
        <w:t>of</w:t>
      </w:r>
      <w:r>
        <w:rPr>
          <w:spacing w:val="52"/>
        </w:rPr>
        <w:t> </w:t>
      </w:r>
      <w:r>
        <w:rPr/>
        <w:t>the</w:t>
      </w:r>
      <w:r>
        <w:rPr>
          <w:spacing w:val="52"/>
        </w:rPr>
        <w:t> </w:t>
      </w:r>
      <w:r>
        <w:rPr/>
        <w:t>vessel</w:t>
      </w:r>
      <w:r>
        <w:rPr>
          <w:spacing w:val="51"/>
        </w:rPr>
        <w:t> </w:t>
      </w:r>
      <w:r>
        <w:rPr/>
        <w:t>wall,</w:t>
      </w:r>
      <w:r>
        <w:rPr>
          <w:spacing w:val="52"/>
        </w:rPr>
        <w:t> </w:t>
      </w:r>
      <w:r>
        <w:rPr/>
        <w:t>ginkgo</w:t>
      </w:r>
      <w:r>
        <w:rPr>
          <w:spacing w:val="53"/>
        </w:rPr>
        <w:t> </w:t>
      </w:r>
      <w:r>
        <w:rPr/>
        <w:t>extracts</w:t>
      </w:r>
      <w:r>
        <w:rPr>
          <w:spacing w:val="52"/>
        </w:rPr>
        <w:t> </w:t>
      </w:r>
      <w:r>
        <w:rPr/>
        <w:t>expand</w:t>
      </w:r>
      <w:r>
        <w:rPr>
          <w:spacing w:val="52"/>
        </w:rPr>
        <w:t> </w:t>
      </w:r>
      <w:r>
        <w:rPr/>
        <w:t>the</w:t>
      </w:r>
    </w:p>
    <w:p>
      <w:pPr>
        <w:spacing w:after="0"/>
        <w:jc w:val="both"/>
        <w:sectPr>
          <w:pgSz w:w="14270" w:h="16850"/>
          <w:pgMar w:header="0" w:footer="1891" w:top="1600" w:bottom="2080" w:left="800" w:right="1280"/>
        </w:sectPr>
      </w:pPr>
    </w:p>
    <w:p>
      <w:pPr>
        <w:pStyle w:val="BodyText"/>
        <w:spacing w:before="181"/>
        <w:ind w:left="477"/>
        <w:jc w:val="both"/>
      </w:pPr>
      <w:r>
        <w:rPr/>
        <w:t>smallest and medium-sized blood vessels, thus improving blood flow.</w:t>
      </w:r>
    </w:p>
    <w:p>
      <w:pPr>
        <w:pStyle w:val="BodyText"/>
        <w:spacing w:line="276" w:lineRule="auto" w:before="185"/>
        <w:ind w:left="477" w:right="137"/>
        <w:jc w:val="both"/>
      </w:pPr>
      <w:r>
        <w:rPr/>
        <w:t>Furthermore, the fluidity of the blood and the microcirculation is improved by the fact that ginkgo actively inhibits the platelet activating factor (PAF), whereby platelets stick/clump, which otherwise can cause a blockage in the smallest blood vessels.</w:t>
      </w:r>
    </w:p>
    <w:p>
      <w:pPr>
        <w:pStyle w:val="BodyText"/>
        <w:spacing w:line="276" w:lineRule="auto" w:before="119"/>
        <w:ind w:left="477" w:right="135"/>
        <w:jc w:val="both"/>
      </w:pPr>
      <w:r>
        <w:rPr/>
        <w:t>The antioxidant effect of ginkgo means that the blood cell membranes of the leukocytes and erythrocytes remain more flexible and the blood can thus pass through the narrowest parts of the blood vessels more easily.</w:t>
      </w:r>
    </w:p>
    <w:p>
      <w:pPr>
        <w:pStyle w:val="BodyText"/>
        <w:spacing w:line="276" w:lineRule="auto" w:before="242"/>
        <w:ind w:left="477"/>
        <w:rPr>
          <w:sz w:val="25"/>
        </w:rPr>
      </w:pPr>
      <w:r>
        <w:rPr/>
        <w:t>In summary, ginkgo has a positive influence on the following blood parame- ters:</w:t>
      </w:r>
      <w:r>
        <w:rPr>
          <w:position w:val="9"/>
          <w:sz w:val="25"/>
        </w:rPr>
        <w:t>288</w:t>
      </w:r>
    </w:p>
    <w:p>
      <w:pPr>
        <w:pStyle w:val="ListParagraph"/>
        <w:numPr>
          <w:ilvl w:val="0"/>
          <w:numId w:val="26"/>
        </w:numPr>
        <w:tabs>
          <w:tab w:pos="893" w:val="left" w:leader="none"/>
        </w:tabs>
        <w:spacing w:line="240" w:lineRule="auto" w:before="122" w:after="0"/>
        <w:ind w:left="892" w:right="0" w:hanging="415"/>
        <w:jc w:val="both"/>
        <w:rPr>
          <w:sz w:val="38"/>
        </w:rPr>
      </w:pPr>
      <w:r>
        <w:rPr>
          <w:sz w:val="38"/>
        </w:rPr>
        <w:t>viscosity of blood</w:t>
      </w:r>
      <w:r>
        <w:rPr>
          <w:spacing w:val="-2"/>
          <w:sz w:val="38"/>
        </w:rPr>
        <w:t> </w:t>
      </w:r>
      <w:r>
        <w:rPr>
          <w:sz w:val="38"/>
        </w:rPr>
        <w:t>plasma</w:t>
      </w:r>
    </w:p>
    <w:p>
      <w:pPr>
        <w:pStyle w:val="ListParagraph"/>
        <w:numPr>
          <w:ilvl w:val="0"/>
          <w:numId w:val="26"/>
        </w:numPr>
        <w:tabs>
          <w:tab w:pos="893" w:val="left" w:leader="none"/>
        </w:tabs>
        <w:spacing w:line="240" w:lineRule="auto" w:before="64" w:after="0"/>
        <w:ind w:left="892" w:right="0" w:hanging="415"/>
        <w:jc w:val="both"/>
        <w:rPr>
          <w:sz w:val="38"/>
        </w:rPr>
      </w:pPr>
      <w:r>
        <w:rPr>
          <w:sz w:val="38"/>
        </w:rPr>
        <w:t>viscosity of whole</w:t>
      </w:r>
      <w:r>
        <w:rPr>
          <w:spacing w:val="-3"/>
          <w:sz w:val="38"/>
        </w:rPr>
        <w:t> </w:t>
      </w:r>
      <w:r>
        <w:rPr>
          <w:sz w:val="38"/>
        </w:rPr>
        <w:t>blood</w:t>
      </w:r>
    </w:p>
    <w:p>
      <w:pPr>
        <w:pStyle w:val="ListParagraph"/>
        <w:numPr>
          <w:ilvl w:val="0"/>
          <w:numId w:val="26"/>
        </w:numPr>
        <w:tabs>
          <w:tab w:pos="893" w:val="left" w:leader="none"/>
        </w:tabs>
        <w:spacing w:line="240" w:lineRule="auto" w:before="64" w:after="0"/>
        <w:ind w:left="892" w:right="0" w:hanging="415"/>
        <w:jc w:val="both"/>
        <w:rPr>
          <w:sz w:val="38"/>
        </w:rPr>
      </w:pPr>
      <w:r>
        <w:rPr>
          <w:sz w:val="38"/>
        </w:rPr>
        <w:t>PAF (platelet activating</w:t>
      </w:r>
      <w:r>
        <w:rPr>
          <w:spacing w:val="-1"/>
          <w:sz w:val="38"/>
        </w:rPr>
        <w:t> </w:t>
      </w:r>
      <w:r>
        <w:rPr>
          <w:sz w:val="38"/>
        </w:rPr>
        <w:t>factor)</w:t>
      </w:r>
    </w:p>
    <w:p>
      <w:pPr>
        <w:pStyle w:val="ListParagraph"/>
        <w:numPr>
          <w:ilvl w:val="0"/>
          <w:numId w:val="26"/>
        </w:numPr>
        <w:tabs>
          <w:tab w:pos="893" w:val="left" w:leader="none"/>
        </w:tabs>
        <w:spacing w:line="240" w:lineRule="auto" w:before="63" w:after="0"/>
        <w:ind w:left="892" w:right="0" w:hanging="415"/>
        <w:jc w:val="both"/>
        <w:rPr>
          <w:sz w:val="38"/>
        </w:rPr>
      </w:pPr>
      <w:r>
        <w:rPr>
          <w:sz w:val="38"/>
        </w:rPr>
        <w:t>mobility of blood</w:t>
      </w:r>
      <w:r>
        <w:rPr>
          <w:spacing w:val="-3"/>
          <w:sz w:val="38"/>
        </w:rPr>
        <w:t> </w:t>
      </w:r>
      <w:r>
        <w:rPr>
          <w:sz w:val="38"/>
        </w:rPr>
        <w:t>cells</w:t>
      </w:r>
    </w:p>
    <w:p>
      <w:pPr>
        <w:pStyle w:val="ListParagraph"/>
        <w:numPr>
          <w:ilvl w:val="0"/>
          <w:numId w:val="26"/>
        </w:numPr>
        <w:tabs>
          <w:tab w:pos="893" w:val="left" w:leader="none"/>
        </w:tabs>
        <w:spacing w:line="240" w:lineRule="auto" w:before="64" w:after="0"/>
        <w:ind w:left="892" w:right="0" w:hanging="415"/>
        <w:jc w:val="both"/>
        <w:rPr>
          <w:sz w:val="38"/>
        </w:rPr>
      </w:pPr>
      <w:r>
        <w:rPr>
          <w:sz w:val="38"/>
        </w:rPr>
        <w:t>fibrinogen values</w:t>
      </w:r>
    </w:p>
    <w:p>
      <w:pPr>
        <w:pStyle w:val="BodyText"/>
        <w:spacing w:before="304"/>
        <w:ind w:left="477"/>
        <w:jc w:val="both"/>
        <w:rPr>
          <w:sz w:val="25"/>
        </w:rPr>
      </w:pPr>
      <w:r>
        <w:rPr/>
        <w:t>These effects on the bloodstream result in the following benefits:</w:t>
      </w:r>
      <w:r>
        <w:rPr>
          <w:position w:val="9"/>
          <w:sz w:val="25"/>
        </w:rPr>
        <w:t>289</w:t>
      </w:r>
    </w:p>
    <w:p>
      <w:pPr>
        <w:pStyle w:val="ListParagraph"/>
        <w:numPr>
          <w:ilvl w:val="1"/>
          <w:numId w:val="26"/>
        </w:numPr>
        <w:tabs>
          <w:tab w:pos="1198" w:val="left" w:leader="none"/>
        </w:tabs>
        <w:spacing w:line="276" w:lineRule="auto" w:before="184" w:after="0"/>
        <w:ind w:left="1197" w:right="131" w:hanging="360"/>
        <w:jc w:val="both"/>
        <w:rPr>
          <w:sz w:val="38"/>
        </w:rPr>
      </w:pPr>
      <w:r>
        <w:rPr>
          <w:sz w:val="38"/>
        </w:rPr>
        <w:t>Ginkgo</w:t>
      </w:r>
      <w:r>
        <w:rPr>
          <w:spacing w:val="-23"/>
          <w:sz w:val="38"/>
        </w:rPr>
        <w:t> </w:t>
      </w:r>
      <w:r>
        <w:rPr>
          <w:sz w:val="38"/>
        </w:rPr>
        <w:t>prevents</w:t>
      </w:r>
      <w:r>
        <w:rPr>
          <w:spacing w:val="-26"/>
          <w:sz w:val="38"/>
        </w:rPr>
        <w:t> </w:t>
      </w:r>
      <w:r>
        <w:rPr>
          <w:sz w:val="38"/>
        </w:rPr>
        <w:t>infarction,</w:t>
      </w:r>
      <w:r>
        <w:rPr>
          <w:spacing w:val="-26"/>
          <w:sz w:val="38"/>
        </w:rPr>
        <w:t> </w:t>
      </w:r>
      <w:r>
        <w:rPr>
          <w:sz w:val="38"/>
        </w:rPr>
        <w:t>thrombosis,</w:t>
      </w:r>
      <w:r>
        <w:rPr>
          <w:spacing w:val="-25"/>
          <w:sz w:val="38"/>
        </w:rPr>
        <w:t> </w:t>
      </w:r>
      <w:r>
        <w:rPr>
          <w:sz w:val="38"/>
        </w:rPr>
        <w:t>embolism,</w:t>
      </w:r>
      <w:r>
        <w:rPr>
          <w:spacing w:val="-23"/>
          <w:sz w:val="38"/>
        </w:rPr>
        <w:t> </w:t>
      </w:r>
      <w:r>
        <w:rPr>
          <w:sz w:val="38"/>
        </w:rPr>
        <w:t>oedema,</w:t>
      </w:r>
      <w:r>
        <w:rPr>
          <w:spacing w:val="-25"/>
          <w:sz w:val="38"/>
        </w:rPr>
        <w:t> </w:t>
      </w:r>
      <w:r>
        <w:rPr>
          <w:sz w:val="38"/>
        </w:rPr>
        <w:t>tissue</w:t>
      </w:r>
      <w:r>
        <w:rPr>
          <w:spacing w:val="-24"/>
          <w:sz w:val="38"/>
        </w:rPr>
        <w:t> </w:t>
      </w:r>
      <w:r>
        <w:rPr>
          <w:sz w:val="38"/>
        </w:rPr>
        <w:t>damage due to oxygen deficiency, dysfunction of all tissue forms and organs, and cell</w:t>
      </w:r>
      <w:r>
        <w:rPr>
          <w:spacing w:val="-1"/>
          <w:sz w:val="38"/>
        </w:rPr>
        <w:t> </w:t>
      </w:r>
      <w:r>
        <w:rPr>
          <w:sz w:val="38"/>
        </w:rPr>
        <w:t>death.</w:t>
      </w:r>
    </w:p>
    <w:p>
      <w:pPr>
        <w:pStyle w:val="ListParagraph"/>
        <w:numPr>
          <w:ilvl w:val="1"/>
          <w:numId w:val="26"/>
        </w:numPr>
        <w:tabs>
          <w:tab w:pos="1197" w:val="left" w:leader="none"/>
          <w:tab w:pos="1198" w:val="left" w:leader="none"/>
        </w:tabs>
        <w:spacing w:line="454" w:lineRule="exact" w:before="0" w:after="0"/>
        <w:ind w:left="1197" w:right="0" w:hanging="360"/>
        <w:jc w:val="left"/>
        <w:rPr>
          <w:sz w:val="38"/>
        </w:rPr>
      </w:pPr>
      <w:r>
        <w:rPr>
          <w:sz w:val="38"/>
        </w:rPr>
        <w:t>In</w:t>
      </w:r>
      <w:r>
        <w:rPr>
          <w:spacing w:val="-16"/>
          <w:sz w:val="38"/>
        </w:rPr>
        <w:t> </w:t>
      </w:r>
      <w:r>
        <w:rPr>
          <w:sz w:val="38"/>
        </w:rPr>
        <w:t>this</w:t>
      </w:r>
      <w:r>
        <w:rPr>
          <w:spacing w:val="-14"/>
          <w:sz w:val="38"/>
        </w:rPr>
        <w:t> </w:t>
      </w:r>
      <w:r>
        <w:rPr>
          <w:sz w:val="38"/>
        </w:rPr>
        <w:t>way,</w:t>
      </w:r>
      <w:r>
        <w:rPr>
          <w:spacing w:val="-15"/>
          <w:sz w:val="38"/>
        </w:rPr>
        <w:t> </w:t>
      </w:r>
      <w:r>
        <w:rPr>
          <w:sz w:val="38"/>
        </w:rPr>
        <w:t>ginkgo</w:t>
      </w:r>
      <w:r>
        <w:rPr>
          <w:spacing w:val="-16"/>
          <w:sz w:val="38"/>
        </w:rPr>
        <w:t> </w:t>
      </w:r>
      <w:r>
        <w:rPr>
          <w:sz w:val="38"/>
        </w:rPr>
        <w:t>improves</w:t>
      </w:r>
      <w:r>
        <w:rPr>
          <w:spacing w:val="-15"/>
          <w:sz w:val="38"/>
        </w:rPr>
        <w:t> </w:t>
      </w:r>
      <w:r>
        <w:rPr>
          <w:sz w:val="38"/>
        </w:rPr>
        <w:t>the</w:t>
      </w:r>
      <w:r>
        <w:rPr>
          <w:spacing w:val="-17"/>
          <w:sz w:val="38"/>
        </w:rPr>
        <w:t> </w:t>
      </w:r>
      <w:r>
        <w:rPr>
          <w:sz w:val="38"/>
        </w:rPr>
        <w:t>performance</w:t>
      </w:r>
      <w:r>
        <w:rPr>
          <w:spacing w:val="-16"/>
          <w:sz w:val="38"/>
        </w:rPr>
        <w:t> </w:t>
      </w:r>
      <w:r>
        <w:rPr>
          <w:sz w:val="38"/>
        </w:rPr>
        <w:t>of</w:t>
      </w:r>
      <w:r>
        <w:rPr>
          <w:spacing w:val="-18"/>
          <w:sz w:val="38"/>
        </w:rPr>
        <w:t> </w:t>
      </w:r>
      <w:r>
        <w:rPr>
          <w:sz w:val="38"/>
        </w:rPr>
        <w:t>the</w:t>
      </w:r>
      <w:r>
        <w:rPr>
          <w:spacing w:val="-14"/>
          <w:sz w:val="38"/>
        </w:rPr>
        <w:t> </w:t>
      </w:r>
      <w:r>
        <w:rPr>
          <w:sz w:val="38"/>
        </w:rPr>
        <w:t>brain,</w:t>
      </w:r>
      <w:r>
        <w:rPr>
          <w:spacing w:val="-16"/>
          <w:sz w:val="38"/>
        </w:rPr>
        <w:t> </w:t>
      </w:r>
      <w:r>
        <w:rPr>
          <w:sz w:val="38"/>
        </w:rPr>
        <w:t>the</w:t>
      </w:r>
      <w:r>
        <w:rPr>
          <w:spacing w:val="-14"/>
          <w:sz w:val="38"/>
        </w:rPr>
        <w:t> </w:t>
      </w:r>
      <w:r>
        <w:rPr>
          <w:sz w:val="38"/>
        </w:rPr>
        <w:t>entire</w:t>
      </w:r>
      <w:r>
        <w:rPr>
          <w:spacing w:val="-15"/>
          <w:sz w:val="38"/>
        </w:rPr>
        <w:t> </w:t>
      </w:r>
      <w:r>
        <w:rPr>
          <w:sz w:val="38"/>
        </w:rPr>
        <w:t>body</w:t>
      </w:r>
    </w:p>
    <w:p>
      <w:pPr>
        <w:pStyle w:val="BodyText"/>
        <w:rPr>
          <w:sz w:val="20"/>
        </w:rPr>
      </w:pPr>
    </w:p>
    <w:p>
      <w:pPr>
        <w:pStyle w:val="BodyText"/>
        <w:spacing w:before="1"/>
        <w:rPr>
          <w:sz w:val="17"/>
        </w:rPr>
      </w:pPr>
      <w:r>
        <w:rPr/>
        <w:pict>
          <v:line style="position:absolute;mso-position-horizontal-relative:page;mso-position-vertical-relative:paragraph;z-index:3056;mso-wrap-distance-left:0;mso-wrap-distance-right:0" from="63.863998pt,11.966154pt" to="207.883998pt,11.966154pt" stroked="true" strokeweight=".71997pt" strokecolor="#000000">
            <v:stroke dashstyle="solid"/>
            <w10:wrap type="topAndBottom"/>
          </v:line>
        </w:pict>
      </w:r>
    </w:p>
    <w:p>
      <w:pPr>
        <w:pStyle w:val="BodyText"/>
        <w:spacing w:before="7"/>
        <w:rPr>
          <w:sz w:val="18"/>
        </w:rPr>
      </w:pPr>
    </w:p>
    <w:p>
      <w:pPr>
        <w:spacing w:line="276" w:lineRule="auto" w:before="99"/>
        <w:ind w:left="477" w:right="244" w:firstLine="0"/>
        <w:jc w:val="left"/>
        <w:rPr>
          <w:sz w:val="20"/>
        </w:rPr>
      </w:pPr>
      <w:r>
        <w:rPr>
          <w:position w:val="5"/>
          <w:sz w:val="13"/>
        </w:rPr>
        <w:t>288 </w:t>
      </w:r>
      <w:r>
        <w:rPr>
          <w:sz w:val="20"/>
        </w:rPr>
        <w:t>Peter Köhler: Die Heilkraft des Ginkgo. Natürlich gesund von Kopf bis Fuß (‘The Healing Power of Ginkgo. Naturally Healthy from Head to Toe’), 1998, p. 91</w:t>
      </w:r>
    </w:p>
    <w:p>
      <w:pPr>
        <w:spacing w:line="276" w:lineRule="auto" w:before="61"/>
        <w:ind w:left="477" w:right="244" w:firstLine="0"/>
        <w:jc w:val="left"/>
        <w:rPr>
          <w:sz w:val="20"/>
        </w:rPr>
      </w:pPr>
      <w:r>
        <w:rPr/>
        <w:drawing>
          <wp:anchor distT="0" distB="0" distL="0" distR="0" allowOverlap="1" layoutInCell="1" locked="0" behindDoc="1" simplePos="0" relativeHeight="267170855">
            <wp:simplePos x="0" y="0"/>
            <wp:positionH relativeFrom="page">
              <wp:posOffset>896463</wp:posOffset>
            </wp:positionH>
            <wp:positionV relativeFrom="paragraph">
              <wp:posOffset>82907</wp:posOffset>
            </wp:positionV>
            <wp:extent cx="6379583" cy="902106"/>
            <wp:effectExtent l="0" t="0" r="0" b="0"/>
            <wp:wrapNone/>
            <wp:docPr id="165" name="image2.jpeg" descr=""/>
            <wp:cNvGraphicFramePr>
              <a:graphicFrameLocks noChangeAspect="1"/>
            </wp:cNvGraphicFramePr>
            <a:graphic>
              <a:graphicData uri="http://schemas.openxmlformats.org/drawingml/2006/picture">
                <pic:pic>
                  <pic:nvPicPr>
                    <pic:cNvPr id="166"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289 </w:t>
      </w:r>
      <w:r>
        <w:rPr>
          <w:sz w:val="20"/>
        </w:rPr>
        <w:t>Peter Köhler: Die Heilkraft des Ginkgo. Natürlich gesund von Kopf bis Fuß (‘The Healing Power of Ginkgo. Naturally Healthy from Head to Toe’), 1998, p. 91 f.</w:t>
      </w:r>
    </w:p>
    <w:p>
      <w:pPr>
        <w:spacing w:after="0" w:line="276" w:lineRule="auto"/>
        <w:jc w:val="left"/>
        <w:rPr>
          <w:sz w:val="20"/>
        </w:rPr>
        <w:sectPr>
          <w:footerReference w:type="default" r:id="rId109"/>
          <w:pgSz w:w="14270" w:h="16850"/>
          <w:pgMar w:footer="527" w:header="0" w:top="1600" w:bottom="720" w:left="800" w:right="1280"/>
          <w:pgNumType w:start="416"/>
        </w:sectPr>
      </w:pPr>
    </w:p>
    <w:p>
      <w:pPr>
        <w:pStyle w:val="BodyText"/>
        <w:spacing w:line="276" w:lineRule="auto" w:before="181"/>
        <w:ind w:left="1197"/>
      </w:pPr>
      <w:r>
        <w:rPr/>
        <w:t>including all organs, blood circulation, oxygen supply and the removal of metabolic waste.</w:t>
      </w:r>
    </w:p>
    <w:p>
      <w:pPr>
        <w:pStyle w:val="ListParagraph"/>
        <w:numPr>
          <w:ilvl w:val="1"/>
          <w:numId w:val="26"/>
        </w:numPr>
        <w:tabs>
          <w:tab w:pos="1197" w:val="left" w:leader="none"/>
          <w:tab w:pos="1198" w:val="left" w:leader="none"/>
        </w:tabs>
        <w:spacing w:line="240" w:lineRule="auto" w:before="3" w:after="0"/>
        <w:ind w:left="1197" w:right="0" w:hanging="360"/>
        <w:jc w:val="left"/>
        <w:rPr>
          <w:sz w:val="38"/>
        </w:rPr>
      </w:pPr>
      <w:r>
        <w:rPr>
          <w:sz w:val="38"/>
        </w:rPr>
        <w:t>Ginkgo protects and promotes the brain and nerve</w:t>
      </w:r>
      <w:r>
        <w:rPr>
          <w:spacing w:val="-7"/>
          <w:sz w:val="38"/>
        </w:rPr>
        <w:t> </w:t>
      </w:r>
      <w:r>
        <w:rPr>
          <w:sz w:val="38"/>
        </w:rPr>
        <w:t>cells.</w:t>
      </w:r>
    </w:p>
    <w:p>
      <w:pPr>
        <w:pStyle w:val="ListParagraph"/>
        <w:numPr>
          <w:ilvl w:val="1"/>
          <w:numId w:val="26"/>
        </w:numPr>
        <w:tabs>
          <w:tab w:pos="1197" w:val="left" w:leader="none"/>
          <w:tab w:pos="1198" w:val="left" w:leader="none"/>
        </w:tabs>
        <w:spacing w:line="273" w:lineRule="auto" w:before="63" w:after="0"/>
        <w:ind w:left="1197" w:right="141" w:hanging="360"/>
        <w:jc w:val="left"/>
        <w:rPr>
          <w:sz w:val="38"/>
        </w:rPr>
      </w:pPr>
      <w:r>
        <w:rPr>
          <w:sz w:val="38"/>
        </w:rPr>
        <w:t>Ginkgo protects against susceptibility to oxygen deficiency (hypoxia</w:t>
      </w:r>
      <w:r>
        <w:rPr>
          <w:spacing w:val="-49"/>
          <w:sz w:val="38"/>
        </w:rPr>
        <w:t> </w:t>
      </w:r>
      <w:r>
        <w:rPr>
          <w:sz w:val="38"/>
        </w:rPr>
        <w:t>toler- ance is increased).</w:t>
      </w:r>
    </w:p>
    <w:p>
      <w:pPr>
        <w:pStyle w:val="Heading1"/>
        <w:spacing w:before="229"/>
      </w:pPr>
      <w:r>
        <w:rPr/>
        <w:t>Effect of ginkgo tea against high blood pressure</w:t>
      </w:r>
    </w:p>
    <w:p>
      <w:pPr>
        <w:pStyle w:val="BodyText"/>
        <w:spacing w:line="276" w:lineRule="auto" w:before="179"/>
        <w:ind w:left="477" w:right="135"/>
        <w:jc w:val="both"/>
      </w:pPr>
      <w:r>
        <w:rPr/>
        <w:t>Ginkgo has a hypotensive, or, strictly speaking, a blood pressure-regulating ef- fect!</w:t>
      </w:r>
      <w:r>
        <w:rPr>
          <w:spacing w:val="-18"/>
        </w:rPr>
        <w:t> </w:t>
      </w:r>
      <w:r>
        <w:rPr/>
        <w:t>It</w:t>
      </w:r>
      <w:r>
        <w:rPr>
          <w:spacing w:val="-19"/>
        </w:rPr>
        <w:t> </w:t>
      </w:r>
      <w:r>
        <w:rPr/>
        <w:t>relaxes</w:t>
      </w:r>
      <w:r>
        <w:rPr>
          <w:spacing w:val="-18"/>
        </w:rPr>
        <w:t> </w:t>
      </w:r>
      <w:r>
        <w:rPr/>
        <w:t>and</w:t>
      </w:r>
      <w:r>
        <w:rPr>
          <w:spacing w:val="-18"/>
        </w:rPr>
        <w:t> </w:t>
      </w:r>
      <w:r>
        <w:rPr/>
        <w:t>dilates</w:t>
      </w:r>
      <w:r>
        <w:rPr>
          <w:spacing w:val="-17"/>
        </w:rPr>
        <w:t> </w:t>
      </w:r>
      <w:r>
        <w:rPr/>
        <w:t>blood</w:t>
      </w:r>
      <w:r>
        <w:rPr>
          <w:spacing w:val="-16"/>
        </w:rPr>
        <w:t> </w:t>
      </w:r>
      <w:r>
        <w:rPr/>
        <w:t>vessels,</w:t>
      </w:r>
      <w:r>
        <w:rPr>
          <w:spacing w:val="-17"/>
        </w:rPr>
        <w:t> </w:t>
      </w:r>
      <w:r>
        <w:rPr/>
        <w:t>inhibits</w:t>
      </w:r>
      <w:r>
        <w:rPr>
          <w:spacing w:val="-21"/>
        </w:rPr>
        <w:t> </w:t>
      </w:r>
      <w:r>
        <w:rPr/>
        <w:t>blood</w:t>
      </w:r>
      <w:r>
        <w:rPr>
          <w:spacing w:val="-17"/>
        </w:rPr>
        <w:t> </w:t>
      </w:r>
      <w:r>
        <w:rPr/>
        <w:t>clotting</w:t>
      </w:r>
      <w:r>
        <w:rPr>
          <w:spacing w:val="-18"/>
        </w:rPr>
        <w:t> </w:t>
      </w:r>
      <w:r>
        <w:rPr/>
        <w:t>(PAF)</w:t>
      </w:r>
      <w:r>
        <w:rPr>
          <w:spacing w:val="-18"/>
        </w:rPr>
        <w:t> </w:t>
      </w:r>
      <w:r>
        <w:rPr/>
        <w:t>and</w:t>
      </w:r>
      <w:r>
        <w:rPr>
          <w:spacing w:val="-19"/>
        </w:rPr>
        <w:t> </w:t>
      </w:r>
      <w:r>
        <w:rPr/>
        <w:t>keeps blood</w:t>
      </w:r>
      <w:r>
        <w:rPr>
          <w:spacing w:val="-17"/>
        </w:rPr>
        <w:t> </w:t>
      </w:r>
      <w:r>
        <w:rPr/>
        <w:t>cells</w:t>
      </w:r>
      <w:r>
        <w:rPr>
          <w:spacing w:val="-16"/>
        </w:rPr>
        <w:t> </w:t>
      </w:r>
      <w:r>
        <w:rPr/>
        <w:t>flexible,</w:t>
      </w:r>
      <w:r>
        <w:rPr>
          <w:spacing w:val="-17"/>
        </w:rPr>
        <w:t> </w:t>
      </w:r>
      <w:r>
        <w:rPr/>
        <w:t>allowing</w:t>
      </w:r>
      <w:r>
        <w:rPr>
          <w:spacing w:val="-16"/>
        </w:rPr>
        <w:t> </w:t>
      </w:r>
      <w:r>
        <w:rPr/>
        <w:t>blood</w:t>
      </w:r>
      <w:r>
        <w:rPr>
          <w:spacing w:val="-17"/>
        </w:rPr>
        <w:t> </w:t>
      </w:r>
      <w:r>
        <w:rPr/>
        <w:t>to</w:t>
      </w:r>
      <w:r>
        <w:rPr>
          <w:spacing w:val="-16"/>
        </w:rPr>
        <w:t> </w:t>
      </w:r>
      <w:r>
        <w:rPr/>
        <w:t>flow</w:t>
      </w:r>
      <w:r>
        <w:rPr>
          <w:spacing w:val="-18"/>
        </w:rPr>
        <w:t> </w:t>
      </w:r>
      <w:r>
        <w:rPr/>
        <w:t>better</w:t>
      </w:r>
      <w:r>
        <w:rPr>
          <w:spacing w:val="-16"/>
        </w:rPr>
        <w:t> </w:t>
      </w:r>
      <w:r>
        <w:rPr/>
        <w:t>and</w:t>
      </w:r>
      <w:r>
        <w:rPr>
          <w:spacing w:val="-17"/>
        </w:rPr>
        <w:t> </w:t>
      </w:r>
      <w:r>
        <w:rPr/>
        <w:t>lowering</w:t>
      </w:r>
      <w:r>
        <w:rPr>
          <w:spacing w:val="-16"/>
        </w:rPr>
        <w:t> </w:t>
      </w:r>
      <w:r>
        <w:rPr/>
        <w:t>high</w:t>
      </w:r>
      <w:r>
        <w:rPr>
          <w:spacing w:val="-16"/>
        </w:rPr>
        <w:t> </w:t>
      </w:r>
      <w:r>
        <w:rPr/>
        <w:t>blood</w:t>
      </w:r>
      <w:r>
        <w:rPr>
          <w:spacing w:val="-16"/>
        </w:rPr>
        <w:t> </w:t>
      </w:r>
      <w:r>
        <w:rPr/>
        <w:t>pres- sure.</w:t>
      </w:r>
    </w:p>
    <w:p>
      <w:pPr>
        <w:pStyle w:val="BodyText"/>
        <w:spacing w:line="276" w:lineRule="auto" w:before="120"/>
        <w:ind w:left="477" w:right="135"/>
        <w:jc w:val="both"/>
        <w:rPr>
          <w:sz w:val="25"/>
        </w:rPr>
      </w:pPr>
      <w:r>
        <w:rPr/>
        <w:t>Furthermore, ginkgo, as an antioxidant, counteracts the oxidation that is the prerequisite for LDL cholesterol to be harmful to blood vessel walls. In com- parative studies from 1972, ginkgo extracts easily matched the usual vasodila- tion</w:t>
      </w:r>
      <w:r>
        <w:rPr>
          <w:spacing w:val="-18"/>
        </w:rPr>
        <w:t> </w:t>
      </w:r>
      <w:r>
        <w:rPr/>
        <w:t>drugs,</w:t>
      </w:r>
      <w:r>
        <w:rPr>
          <w:spacing w:val="-18"/>
        </w:rPr>
        <w:t> </w:t>
      </w:r>
      <w:r>
        <w:rPr/>
        <w:t>and</w:t>
      </w:r>
      <w:r>
        <w:rPr>
          <w:spacing w:val="-20"/>
        </w:rPr>
        <w:t> </w:t>
      </w:r>
      <w:r>
        <w:rPr/>
        <w:t>the</w:t>
      </w:r>
      <w:r>
        <w:rPr>
          <w:spacing w:val="-18"/>
        </w:rPr>
        <w:t> </w:t>
      </w:r>
      <w:r>
        <w:rPr/>
        <w:t>researchers</w:t>
      </w:r>
      <w:r>
        <w:rPr>
          <w:spacing w:val="-21"/>
        </w:rPr>
        <w:t> </w:t>
      </w:r>
      <w:r>
        <w:rPr/>
        <w:t>even</w:t>
      </w:r>
      <w:r>
        <w:rPr>
          <w:spacing w:val="-17"/>
        </w:rPr>
        <w:t> </w:t>
      </w:r>
      <w:r>
        <w:rPr/>
        <w:t>rated</w:t>
      </w:r>
      <w:r>
        <w:rPr>
          <w:spacing w:val="-19"/>
        </w:rPr>
        <w:t> </w:t>
      </w:r>
      <w:r>
        <w:rPr/>
        <w:t>the</w:t>
      </w:r>
      <w:r>
        <w:rPr>
          <w:spacing w:val="-20"/>
        </w:rPr>
        <w:t> </w:t>
      </w:r>
      <w:r>
        <w:rPr/>
        <w:t>effect</w:t>
      </w:r>
      <w:r>
        <w:rPr>
          <w:spacing w:val="-18"/>
        </w:rPr>
        <w:t> </w:t>
      </w:r>
      <w:r>
        <w:rPr/>
        <w:t>of</w:t>
      </w:r>
      <w:r>
        <w:rPr>
          <w:spacing w:val="-19"/>
        </w:rPr>
        <w:t> </w:t>
      </w:r>
      <w:r>
        <w:rPr/>
        <w:t>ginkgo</w:t>
      </w:r>
      <w:r>
        <w:rPr>
          <w:spacing w:val="-20"/>
        </w:rPr>
        <w:t> </w:t>
      </w:r>
      <w:r>
        <w:rPr/>
        <w:t>as</w:t>
      </w:r>
      <w:r>
        <w:rPr>
          <w:spacing w:val="-21"/>
        </w:rPr>
        <w:t> </w:t>
      </w:r>
      <w:r>
        <w:rPr/>
        <w:t>more</w:t>
      </w:r>
      <w:r>
        <w:rPr>
          <w:spacing w:val="-19"/>
        </w:rPr>
        <w:t> </w:t>
      </w:r>
      <w:r>
        <w:rPr/>
        <w:t>constant, and completely without side effects! Ginkgo tea is particularly suitable here be- cause of the flavonoids dissolved in</w:t>
      </w:r>
      <w:r>
        <w:rPr>
          <w:spacing w:val="3"/>
        </w:rPr>
        <w:t> </w:t>
      </w:r>
      <w:r>
        <w:rPr/>
        <w:t>it.</w:t>
      </w:r>
      <w:r>
        <w:rPr>
          <w:position w:val="9"/>
          <w:sz w:val="25"/>
        </w:rPr>
        <w:t>290</w:t>
      </w:r>
    </w:p>
    <w:p>
      <w:pPr>
        <w:pStyle w:val="Heading1"/>
        <w:spacing w:before="223"/>
      </w:pPr>
      <w:r>
        <w:rPr/>
        <w:t>Effect on cardiovascular diseases</w:t>
      </w:r>
    </w:p>
    <w:p>
      <w:pPr>
        <w:pStyle w:val="BodyText"/>
        <w:spacing w:line="276" w:lineRule="auto" w:before="299"/>
        <w:ind w:left="477" w:right="134"/>
        <w:jc w:val="both"/>
      </w:pPr>
      <w:r>
        <w:rPr/>
        <w:t>It is mainly the blood-thinning and antioxidant mechanisms of ginkgo biloba that</w:t>
      </w:r>
      <w:r>
        <w:rPr>
          <w:spacing w:val="-19"/>
        </w:rPr>
        <w:t> </w:t>
      </w:r>
      <w:r>
        <w:rPr/>
        <w:t>have</w:t>
      </w:r>
      <w:r>
        <w:rPr>
          <w:spacing w:val="-18"/>
        </w:rPr>
        <w:t> </w:t>
      </w:r>
      <w:r>
        <w:rPr/>
        <w:t>a</w:t>
      </w:r>
      <w:r>
        <w:rPr>
          <w:spacing w:val="-20"/>
        </w:rPr>
        <w:t> </w:t>
      </w:r>
      <w:r>
        <w:rPr/>
        <w:t>positive</w:t>
      </w:r>
      <w:r>
        <w:rPr>
          <w:spacing w:val="-19"/>
        </w:rPr>
        <w:t> </w:t>
      </w:r>
      <w:r>
        <w:rPr/>
        <w:t>impact</w:t>
      </w:r>
      <w:r>
        <w:rPr>
          <w:spacing w:val="-18"/>
        </w:rPr>
        <w:t> </w:t>
      </w:r>
      <w:r>
        <w:rPr/>
        <w:t>on</w:t>
      </w:r>
      <w:r>
        <w:rPr>
          <w:spacing w:val="-18"/>
        </w:rPr>
        <w:t> </w:t>
      </w:r>
      <w:r>
        <w:rPr/>
        <w:t>cardiovascular</w:t>
      </w:r>
      <w:r>
        <w:rPr>
          <w:spacing w:val="-18"/>
        </w:rPr>
        <w:t> </w:t>
      </w:r>
      <w:r>
        <w:rPr/>
        <w:t>diseases.</w:t>
      </w:r>
      <w:r>
        <w:rPr>
          <w:spacing w:val="-18"/>
        </w:rPr>
        <w:t> </w:t>
      </w:r>
      <w:r>
        <w:rPr/>
        <w:t>Atherosclerosis</w:t>
      </w:r>
      <w:r>
        <w:rPr>
          <w:spacing w:val="-12"/>
        </w:rPr>
        <w:t> </w:t>
      </w:r>
      <w:r>
        <w:rPr/>
        <w:t>(vascular calcification) is caused by the oxidation of LDL cholesterol which is</w:t>
      </w:r>
      <w:r>
        <w:rPr>
          <w:spacing w:val="37"/>
        </w:rPr>
        <w:t> </w:t>
      </w:r>
      <w:r>
        <w:rPr/>
        <w:t>deposited</w:t>
      </w:r>
    </w:p>
    <w:p>
      <w:pPr>
        <w:pStyle w:val="BodyText"/>
        <w:rPr>
          <w:sz w:val="20"/>
        </w:rPr>
      </w:pPr>
    </w:p>
    <w:p>
      <w:pPr>
        <w:pStyle w:val="BodyText"/>
        <w:spacing w:before="4"/>
        <w:rPr>
          <w:sz w:val="25"/>
        </w:rPr>
      </w:pPr>
      <w:r>
        <w:rPr/>
        <w:pict>
          <v:line style="position:absolute;mso-position-horizontal-relative:page;mso-position-vertical-relative:paragraph;z-index:3104;mso-wrap-distance-left:0;mso-wrap-distance-right:0" from="63.863998pt,16.617456pt" to="207.883998pt,16.617456pt" stroked="true" strokeweight=".72003pt" strokecolor="#000000">
            <v:stroke dashstyle="solid"/>
            <w10:wrap type="topAndBottom"/>
          </v:line>
        </w:pict>
      </w:r>
    </w:p>
    <w:p>
      <w:pPr>
        <w:pStyle w:val="BodyText"/>
        <w:spacing w:before="7"/>
        <w:rPr>
          <w:sz w:val="18"/>
        </w:rPr>
      </w:pPr>
    </w:p>
    <w:p>
      <w:pPr>
        <w:spacing w:line="276" w:lineRule="auto" w:before="99"/>
        <w:ind w:left="477" w:right="244" w:firstLine="0"/>
        <w:jc w:val="left"/>
        <w:rPr>
          <w:sz w:val="20"/>
        </w:rPr>
      </w:pPr>
      <w:r>
        <w:rPr>
          <w:position w:val="5"/>
          <w:sz w:val="13"/>
        </w:rPr>
        <w:t>290 </w:t>
      </w:r>
      <w:r>
        <w:rPr>
          <w:sz w:val="20"/>
        </w:rPr>
        <w:t>Dr. Jörg Zittlau: Heilmittel Ginkgo – alles über die positive Wirkung auf Körper, Geist und Seele (‘Remedy Ginkgo – Everything about the Posi- tive Effect on Body, Mind and Soul’) 2006, p. 53</w:t>
      </w:r>
    </w:p>
    <w:p>
      <w:pPr>
        <w:spacing w:after="0" w:line="276" w:lineRule="auto"/>
        <w:jc w:val="left"/>
        <w:rPr>
          <w:sz w:val="20"/>
        </w:rPr>
        <w:sectPr>
          <w:footerReference w:type="default" r:id="rId110"/>
          <w:pgSz w:w="14270" w:h="16850"/>
          <w:pgMar w:footer="1891" w:header="0" w:top="1600" w:bottom="2080" w:left="800" w:right="1280"/>
          <w:pgNumType w:start="417"/>
        </w:sectPr>
      </w:pPr>
    </w:p>
    <w:p>
      <w:pPr>
        <w:pStyle w:val="BodyText"/>
        <w:spacing w:line="276" w:lineRule="auto" w:before="181"/>
        <w:ind w:left="477" w:right="133"/>
        <w:jc w:val="both"/>
      </w:pPr>
      <w:r>
        <w:rPr/>
        <w:t>on the intima (inner wall of the blood vessels). This results in numerous cardi- ovascular diseases, and according to conventional medicine, atherosclerosis is the main cause of heart attacks and strokes.</w:t>
      </w:r>
    </w:p>
    <w:p>
      <w:pPr>
        <w:pStyle w:val="BodyText"/>
        <w:spacing w:line="276" w:lineRule="auto" w:before="242"/>
        <w:ind w:left="477" w:right="133"/>
        <w:jc w:val="both"/>
      </w:pPr>
      <w:r>
        <w:rPr/>
        <w:t>The</w:t>
      </w:r>
      <w:r>
        <w:rPr>
          <w:spacing w:val="-20"/>
        </w:rPr>
        <w:t> </w:t>
      </w:r>
      <w:r>
        <w:rPr/>
        <w:t>antioxidants</w:t>
      </w:r>
      <w:r>
        <w:rPr>
          <w:spacing w:val="-19"/>
        </w:rPr>
        <w:t> </w:t>
      </w:r>
      <w:r>
        <w:rPr/>
        <w:t>contained</w:t>
      </w:r>
      <w:r>
        <w:rPr>
          <w:spacing w:val="-21"/>
        </w:rPr>
        <w:t> </w:t>
      </w:r>
      <w:r>
        <w:rPr/>
        <w:t>in</w:t>
      </w:r>
      <w:r>
        <w:rPr>
          <w:spacing w:val="-23"/>
        </w:rPr>
        <w:t> </w:t>
      </w:r>
      <w:r>
        <w:rPr/>
        <w:t>ginkgo</w:t>
      </w:r>
      <w:r>
        <w:rPr>
          <w:spacing w:val="-20"/>
        </w:rPr>
        <w:t> </w:t>
      </w:r>
      <w:r>
        <w:rPr/>
        <w:t>prevent</w:t>
      </w:r>
      <w:r>
        <w:rPr>
          <w:spacing w:val="-23"/>
        </w:rPr>
        <w:t> </w:t>
      </w:r>
      <w:r>
        <w:rPr/>
        <w:t>the</w:t>
      </w:r>
      <w:r>
        <w:rPr>
          <w:spacing w:val="-25"/>
        </w:rPr>
        <w:t> </w:t>
      </w:r>
      <w:r>
        <w:rPr/>
        <w:t>oxidation</w:t>
      </w:r>
      <w:r>
        <w:rPr>
          <w:spacing w:val="-19"/>
        </w:rPr>
        <w:t> </w:t>
      </w:r>
      <w:r>
        <w:rPr/>
        <w:t>of</w:t>
      </w:r>
      <w:r>
        <w:rPr>
          <w:spacing w:val="-21"/>
        </w:rPr>
        <w:t> </w:t>
      </w:r>
      <w:r>
        <w:rPr/>
        <w:t>LDL</w:t>
      </w:r>
      <w:r>
        <w:rPr>
          <w:spacing w:val="-22"/>
        </w:rPr>
        <w:t> </w:t>
      </w:r>
      <w:r>
        <w:rPr/>
        <w:t>cholesterol; at</w:t>
      </w:r>
      <w:r>
        <w:rPr>
          <w:spacing w:val="-14"/>
        </w:rPr>
        <w:t> </w:t>
      </w:r>
      <w:r>
        <w:rPr/>
        <w:t>the</w:t>
      </w:r>
      <w:r>
        <w:rPr>
          <w:spacing w:val="-12"/>
        </w:rPr>
        <w:t> </w:t>
      </w:r>
      <w:r>
        <w:rPr/>
        <w:t>same</w:t>
      </w:r>
      <w:r>
        <w:rPr>
          <w:spacing w:val="-12"/>
        </w:rPr>
        <w:t> </w:t>
      </w:r>
      <w:r>
        <w:rPr/>
        <w:t>time,</w:t>
      </w:r>
      <w:r>
        <w:rPr>
          <w:spacing w:val="-12"/>
        </w:rPr>
        <w:t> </w:t>
      </w:r>
      <w:r>
        <w:rPr/>
        <w:t>the</w:t>
      </w:r>
      <w:r>
        <w:rPr>
          <w:spacing w:val="-12"/>
        </w:rPr>
        <w:t> </w:t>
      </w:r>
      <w:r>
        <w:rPr/>
        <w:t>blood</w:t>
      </w:r>
      <w:r>
        <w:rPr>
          <w:spacing w:val="-13"/>
        </w:rPr>
        <w:t> </w:t>
      </w:r>
      <w:r>
        <w:rPr/>
        <w:t>is</w:t>
      </w:r>
      <w:r>
        <w:rPr>
          <w:spacing w:val="-13"/>
        </w:rPr>
        <w:t> </w:t>
      </w:r>
      <w:r>
        <w:rPr/>
        <w:t>diluted,</w:t>
      </w:r>
      <w:r>
        <w:rPr>
          <w:spacing w:val="-12"/>
        </w:rPr>
        <w:t> </w:t>
      </w:r>
      <w:r>
        <w:rPr/>
        <w:t>meaning</w:t>
      </w:r>
      <w:r>
        <w:rPr>
          <w:spacing w:val="-13"/>
        </w:rPr>
        <w:t> </w:t>
      </w:r>
      <w:r>
        <w:rPr/>
        <w:t>more</w:t>
      </w:r>
      <w:r>
        <w:rPr>
          <w:spacing w:val="-13"/>
        </w:rPr>
        <w:t> </w:t>
      </w:r>
      <w:r>
        <w:rPr/>
        <w:t>oxygen</w:t>
      </w:r>
      <w:r>
        <w:rPr>
          <w:spacing w:val="-13"/>
        </w:rPr>
        <w:t> </w:t>
      </w:r>
      <w:r>
        <w:rPr/>
        <w:t>can</w:t>
      </w:r>
      <w:r>
        <w:rPr>
          <w:spacing w:val="-12"/>
        </w:rPr>
        <w:t> </w:t>
      </w:r>
      <w:r>
        <w:rPr/>
        <w:t>be</w:t>
      </w:r>
      <w:r>
        <w:rPr>
          <w:spacing w:val="-13"/>
        </w:rPr>
        <w:t> </w:t>
      </w:r>
      <w:r>
        <w:rPr/>
        <w:t>transported to where it is needed. The cause of heart attacks and strokes as well as other cardiovascular</w:t>
      </w:r>
      <w:r>
        <w:rPr>
          <w:spacing w:val="-7"/>
        </w:rPr>
        <w:t> </w:t>
      </w:r>
      <w:r>
        <w:rPr/>
        <w:t>diseases</w:t>
      </w:r>
      <w:r>
        <w:rPr>
          <w:spacing w:val="-6"/>
        </w:rPr>
        <w:t> </w:t>
      </w:r>
      <w:r>
        <w:rPr/>
        <w:t>is</w:t>
      </w:r>
      <w:r>
        <w:rPr>
          <w:spacing w:val="-6"/>
        </w:rPr>
        <w:t> </w:t>
      </w:r>
      <w:r>
        <w:rPr/>
        <w:t>prevented.</w:t>
      </w:r>
      <w:r>
        <w:rPr>
          <w:spacing w:val="-6"/>
        </w:rPr>
        <w:t> </w:t>
      </w:r>
      <w:r>
        <w:rPr/>
        <w:t>Ginkgo</w:t>
      </w:r>
      <w:r>
        <w:rPr>
          <w:spacing w:val="-7"/>
        </w:rPr>
        <w:t> </w:t>
      </w:r>
      <w:r>
        <w:rPr/>
        <w:t>is</w:t>
      </w:r>
      <w:r>
        <w:rPr>
          <w:spacing w:val="-6"/>
        </w:rPr>
        <w:t> </w:t>
      </w:r>
      <w:r>
        <w:rPr/>
        <w:t>therefore</w:t>
      </w:r>
      <w:r>
        <w:rPr>
          <w:spacing w:val="-7"/>
        </w:rPr>
        <w:t> </w:t>
      </w:r>
      <w:r>
        <w:rPr/>
        <w:t>suitable</w:t>
      </w:r>
      <w:r>
        <w:rPr>
          <w:spacing w:val="-7"/>
        </w:rPr>
        <w:t> </w:t>
      </w:r>
      <w:r>
        <w:rPr/>
        <w:t>both</w:t>
      </w:r>
      <w:r>
        <w:rPr>
          <w:spacing w:val="-5"/>
        </w:rPr>
        <w:t> </w:t>
      </w:r>
      <w:r>
        <w:rPr/>
        <w:t>as</w:t>
      </w:r>
      <w:r>
        <w:rPr>
          <w:spacing w:val="-7"/>
        </w:rPr>
        <w:t> </w:t>
      </w:r>
      <w:r>
        <w:rPr/>
        <w:t>a</w:t>
      </w:r>
      <w:r>
        <w:rPr>
          <w:spacing w:val="-8"/>
        </w:rPr>
        <w:t> </w:t>
      </w:r>
      <w:r>
        <w:rPr/>
        <w:t>part of therapy and preventively to avoid heart attacks.</w:t>
      </w:r>
    </w:p>
    <w:p>
      <w:pPr>
        <w:pStyle w:val="Heading1"/>
        <w:spacing w:before="222"/>
        <w:jc w:val="both"/>
      </w:pPr>
      <w:r>
        <w:rPr/>
        <w:t>Protective effect of ginkgo extracts before or after a stroke</w:t>
      </w:r>
    </w:p>
    <w:p>
      <w:pPr>
        <w:pStyle w:val="BodyText"/>
        <w:spacing w:line="276" w:lineRule="auto" w:before="300"/>
        <w:ind w:left="477" w:right="132"/>
        <w:jc w:val="both"/>
      </w:pPr>
      <w:r>
        <w:rPr/>
        <w:t>Strokes can have several causes: They can be caused by a burst blood vessel or (usually) a clogged blood vessel in the brain. Oxygen deficiency, as it occurs during a stroke, leads to oxidative stress with resulting brain cell destruction. After 20 to 30 seconds, the first brain cells die off. Apparently, ginkgo extracts can</w:t>
      </w:r>
      <w:r>
        <w:rPr>
          <w:spacing w:val="-8"/>
        </w:rPr>
        <w:t> </w:t>
      </w:r>
      <w:r>
        <w:rPr/>
        <w:t>protect</w:t>
      </w:r>
      <w:r>
        <w:rPr>
          <w:spacing w:val="-9"/>
        </w:rPr>
        <w:t> </w:t>
      </w:r>
      <w:r>
        <w:rPr/>
        <w:t>against</w:t>
      </w:r>
      <w:r>
        <w:rPr>
          <w:spacing w:val="-10"/>
        </w:rPr>
        <w:t> </w:t>
      </w:r>
      <w:r>
        <w:rPr/>
        <w:t>the</w:t>
      </w:r>
      <w:r>
        <w:rPr>
          <w:spacing w:val="-7"/>
        </w:rPr>
        <w:t> </w:t>
      </w:r>
      <w:r>
        <w:rPr/>
        <w:t>consequences</w:t>
      </w:r>
      <w:r>
        <w:rPr>
          <w:spacing w:val="-8"/>
        </w:rPr>
        <w:t> </w:t>
      </w:r>
      <w:r>
        <w:rPr/>
        <w:t>of</w:t>
      </w:r>
      <w:r>
        <w:rPr>
          <w:spacing w:val="-8"/>
        </w:rPr>
        <w:t> </w:t>
      </w:r>
      <w:r>
        <w:rPr/>
        <w:t>this</w:t>
      </w:r>
      <w:r>
        <w:rPr>
          <w:spacing w:val="-7"/>
        </w:rPr>
        <w:t> </w:t>
      </w:r>
      <w:r>
        <w:rPr/>
        <w:t>dreaded</w:t>
      </w:r>
      <w:r>
        <w:rPr>
          <w:spacing w:val="-10"/>
        </w:rPr>
        <w:t> </w:t>
      </w:r>
      <w:r>
        <w:rPr/>
        <w:t>lack</w:t>
      </w:r>
      <w:r>
        <w:rPr>
          <w:spacing w:val="-10"/>
        </w:rPr>
        <w:t> </w:t>
      </w:r>
      <w:r>
        <w:rPr/>
        <w:t>of</w:t>
      </w:r>
      <w:r>
        <w:rPr>
          <w:spacing w:val="-9"/>
        </w:rPr>
        <w:t> </w:t>
      </w:r>
      <w:r>
        <w:rPr/>
        <w:t>oxygen</w:t>
      </w:r>
      <w:r>
        <w:rPr>
          <w:spacing w:val="-8"/>
        </w:rPr>
        <w:t> </w:t>
      </w:r>
      <w:r>
        <w:rPr/>
        <w:t>by</w:t>
      </w:r>
      <w:r>
        <w:rPr>
          <w:spacing w:val="-8"/>
        </w:rPr>
        <w:t> </w:t>
      </w:r>
      <w:r>
        <w:rPr/>
        <w:t>increas- ing the tolerance to so-called hypoxia (the lack of oxygen). Thus, the survival time in animal experiments with ginkgo extracts increased by a factor of</w:t>
      </w:r>
      <w:r>
        <w:rPr>
          <w:spacing w:val="-16"/>
        </w:rPr>
        <w:t> </w:t>
      </w:r>
      <w:r>
        <w:rPr/>
        <w:t>6!</w:t>
      </w:r>
    </w:p>
    <w:p>
      <w:pPr>
        <w:pStyle w:val="BodyText"/>
        <w:spacing w:line="276" w:lineRule="auto" w:before="240"/>
        <w:ind w:left="477" w:right="131"/>
        <w:jc w:val="both"/>
      </w:pPr>
      <w:r>
        <w:rPr/>
        <w:t>In another animal experiment at Johns Hopkins University in Baltimore, the intake of gingko reduced the sequelae of an artificially induced stroke by 48 % and loss of brain function by 51 % compared to the control group.</w:t>
      </w:r>
    </w:p>
    <w:p>
      <w:pPr>
        <w:pStyle w:val="BodyText"/>
        <w:spacing w:before="240"/>
        <w:ind w:left="477"/>
        <w:jc w:val="both"/>
      </w:pPr>
      <w:r>
        <w:rPr/>
        <w:t>The scientists explained that this was down to the increase in the enzyme HO1,</w:t>
      </w:r>
    </w:p>
    <w:p>
      <w:pPr>
        <w:spacing w:after="0"/>
        <w:jc w:val="both"/>
        <w:sectPr>
          <w:pgSz w:w="14270" w:h="16850"/>
          <w:pgMar w:header="0" w:footer="1891" w:top="1600" w:bottom="2080" w:left="800" w:right="1280"/>
        </w:sectPr>
      </w:pPr>
    </w:p>
    <w:p>
      <w:pPr>
        <w:pStyle w:val="BodyText"/>
        <w:spacing w:line="276" w:lineRule="auto" w:before="181"/>
        <w:ind w:left="477" w:right="135"/>
        <w:jc w:val="both"/>
        <w:rPr>
          <w:sz w:val="25"/>
        </w:rPr>
      </w:pPr>
      <w:r>
        <w:rPr/>
        <w:t>which</w:t>
      </w:r>
      <w:r>
        <w:rPr>
          <w:spacing w:val="-5"/>
        </w:rPr>
        <w:t> </w:t>
      </w:r>
      <w:r>
        <w:rPr/>
        <w:t>acts</w:t>
      </w:r>
      <w:r>
        <w:rPr>
          <w:spacing w:val="-5"/>
        </w:rPr>
        <w:t> </w:t>
      </w:r>
      <w:r>
        <w:rPr/>
        <w:t>as</w:t>
      </w:r>
      <w:r>
        <w:rPr>
          <w:spacing w:val="-7"/>
        </w:rPr>
        <w:t> </w:t>
      </w:r>
      <w:r>
        <w:rPr/>
        <w:t>a</w:t>
      </w:r>
      <w:r>
        <w:rPr>
          <w:spacing w:val="-7"/>
        </w:rPr>
        <w:t> </w:t>
      </w:r>
      <w:r>
        <w:rPr/>
        <w:t>strong</w:t>
      </w:r>
      <w:r>
        <w:rPr>
          <w:spacing w:val="-5"/>
        </w:rPr>
        <w:t> </w:t>
      </w:r>
      <w:r>
        <w:rPr/>
        <w:t>radical</w:t>
      </w:r>
      <w:r>
        <w:rPr>
          <w:spacing w:val="-7"/>
        </w:rPr>
        <w:t> </w:t>
      </w:r>
      <w:r>
        <w:rPr/>
        <w:t>scavenger</w:t>
      </w:r>
      <w:r>
        <w:rPr>
          <w:spacing w:val="-5"/>
        </w:rPr>
        <w:t> </w:t>
      </w:r>
      <w:r>
        <w:rPr/>
        <w:t>and</w:t>
      </w:r>
      <w:r>
        <w:rPr>
          <w:spacing w:val="-8"/>
        </w:rPr>
        <w:t> </w:t>
      </w:r>
      <w:r>
        <w:rPr/>
        <w:t>thus</w:t>
      </w:r>
      <w:r>
        <w:rPr>
          <w:spacing w:val="-8"/>
        </w:rPr>
        <w:t> </w:t>
      </w:r>
      <w:r>
        <w:rPr/>
        <w:t>prevents</w:t>
      </w:r>
      <w:r>
        <w:rPr>
          <w:spacing w:val="-7"/>
        </w:rPr>
        <w:t> </w:t>
      </w:r>
      <w:r>
        <w:rPr/>
        <w:t>brain</w:t>
      </w:r>
      <w:r>
        <w:rPr>
          <w:spacing w:val="-5"/>
        </w:rPr>
        <w:t> </w:t>
      </w:r>
      <w:r>
        <w:rPr/>
        <w:t>damage.</w:t>
      </w:r>
      <w:r>
        <w:rPr>
          <w:spacing w:val="-5"/>
        </w:rPr>
        <w:t> </w:t>
      </w:r>
      <w:r>
        <w:rPr/>
        <w:t>How- ever,</w:t>
      </w:r>
      <w:r>
        <w:rPr>
          <w:spacing w:val="-14"/>
        </w:rPr>
        <w:t> </w:t>
      </w:r>
      <w:r>
        <w:rPr/>
        <w:t>according</w:t>
      </w:r>
      <w:r>
        <w:rPr>
          <w:spacing w:val="-15"/>
        </w:rPr>
        <w:t> </w:t>
      </w:r>
      <w:r>
        <w:rPr/>
        <w:t>to</w:t>
      </w:r>
      <w:r>
        <w:rPr>
          <w:spacing w:val="-15"/>
        </w:rPr>
        <w:t> </w:t>
      </w:r>
      <w:r>
        <w:rPr/>
        <w:t>the</w:t>
      </w:r>
      <w:r>
        <w:rPr>
          <w:spacing w:val="-13"/>
        </w:rPr>
        <w:t> </w:t>
      </w:r>
      <w:r>
        <w:rPr/>
        <w:t>latest</w:t>
      </w:r>
      <w:r>
        <w:rPr>
          <w:spacing w:val="-16"/>
        </w:rPr>
        <w:t> </w:t>
      </w:r>
      <w:r>
        <w:rPr/>
        <w:t>findings,</w:t>
      </w:r>
      <w:r>
        <w:rPr>
          <w:spacing w:val="-14"/>
        </w:rPr>
        <w:t> </w:t>
      </w:r>
      <w:r>
        <w:rPr/>
        <w:t>the</w:t>
      </w:r>
      <w:r>
        <w:rPr>
          <w:spacing w:val="-14"/>
        </w:rPr>
        <w:t> </w:t>
      </w:r>
      <w:r>
        <w:rPr/>
        <w:t>active</w:t>
      </w:r>
      <w:r>
        <w:rPr>
          <w:spacing w:val="-16"/>
        </w:rPr>
        <w:t> </w:t>
      </w:r>
      <w:r>
        <w:rPr/>
        <w:t>ingredient</w:t>
      </w:r>
      <w:r>
        <w:rPr>
          <w:spacing w:val="-12"/>
        </w:rPr>
        <w:t> </w:t>
      </w:r>
      <w:r>
        <w:rPr>
          <w:i/>
        </w:rPr>
        <w:t>bilobalide</w:t>
      </w:r>
      <w:r>
        <w:rPr>
          <w:i/>
          <w:spacing w:val="-15"/>
        </w:rPr>
        <w:t> </w:t>
      </w:r>
      <w:r>
        <w:rPr/>
        <w:t>contained</w:t>
      </w:r>
      <w:r>
        <w:rPr>
          <w:spacing w:val="-15"/>
        </w:rPr>
        <w:t> </w:t>
      </w:r>
      <w:r>
        <w:rPr/>
        <w:t>in ginkgo</w:t>
      </w:r>
      <w:r>
        <w:rPr>
          <w:spacing w:val="-8"/>
        </w:rPr>
        <w:t> </w:t>
      </w:r>
      <w:r>
        <w:rPr/>
        <w:t>biloba</w:t>
      </w:r>
      <w:r>
        <w:rPr>
          <w:spacing w:val="-7"/>
        </w:rPr>
        <w:t> </w:t>
      </w:r>
      <w:r>
        <w:rPr/>
        <w:t>contributes</w:t>
      </w:r>
      <w:r>
        <w:rPr>
          <w:spacing w:val="-6"/>
        </w:rPr>
        <w:t> </w:t>
      </w:r>
      <w:r>
        <w:rPr/>
        <w:t>to</w:t>
      </w:r>
      <w:r>
        <w:rPr>
          <w:spacing w:val="-6"/>
        </w:rPr>
        <w:t> </w:t>
      </w:r>
      <w:r>
        <w:rPr/>
        <w:t>keeping</w:t>
      </w:r>
      <w:r>
        <w:rPr>
          <w:spacing w:val="-6"/>
        </w:rPr>
        <w:t> </w:t>
      </w:r>
      <w:r>
        <w:rPr/>
        <w:t>brain</w:t>
      </w:r>
      <w:r>
        <w:rPr>
          <w:spacing w:val="-7"/>
        </w:rPr>
        <w:t> </w:t>
      </w:r>
      <w:r>
        <w:rPr/>
        <w:t>cells</w:t>
      </w:r>
      <w:r>
        <w:rPr>
          <w:spacing w:val="-7"/>
        </w:rPr>
        <w:t> </w:t>
      </w:r>
      <w:r>
        <w:rPr/>
        <w:t>alive</w:t>
      </w:r>
      <w:r>
        <w:rPr>
          <w:spacing w:val="-7"/>
        </w:rPr>
        <w:t> </w:t>
      </w:r>
      <w:r>
        <w:rPr/>
        <w:t>for</w:t>
      </w:r>
      <w:r>
        <w:rPr>
          <w:spacing w:val="-5"/>
        </w:rPr>
        <w:t> </w:t>
      </w:r>
      <w:r>
        <w:rPr/>
        <w:t>prolonged</w:t>
      </w:r>
      <w:r>
        <w:rPr>
          <w:spacing w:val="-7"/>
        </w:rPr>
        <w:t> </w:t>
      </w:r>
      <w:r>
        <w:rPr/>
        <w:t>periods</w:t>
      </w:r>
      <w:r>
        <w:rPr>
          <w:spacing w:val="-6"/>
        </w:rPr>
        <w:t> </w:t>
      </w:r>
      <w:r>
        <w:rPr/>
        <w:t>de- spite</w:t>
      </w:r>
      <w:r>
        <w:rPr>
          <w:spacing w:val="-15"/>
        </w:rPr>
        <w:t> </w:t>
      </w:r>
      <w:r>
        <w:rPr/>
        <w:t>a</w:t>
      </w:r>
      <w:r>
        <w:rPr>
          <w:spacing w:val="-14"/>
        </w:rPr>
        <w:t> </w:t>
      </w:r>
      <w:r>
        <w:rPr/>
        <w:t>shortage</w:t>
      </w:r>
      <w:r>
        <w:rPr>
          <w:spacing w:val="-14"/>
        </w:rPr>
        <w:t> </w:t>
      </w:r>
      <w:r>
        <w:rPr/>
        <w:t>of</w:t>
      </w:r>
      <w:r>
        <w:rPr>
          <w:spacing w:val="-13"/>
        </w:rPr>
        <w:t> </w:t>
      </w:r>
      <w:r>
        <w:rPr/>
        <w:t>oxygen;</w:t>
      </w:r>
      <w:r>
        <w:rPr>
          <w:spacing w:val="-13"/>
        </w:rPr>
        <w:t> </w:t>
      </w:r>
      <w:r>
        <w:rPr/>
        <w:t>here,</w:t>
      </w:r>
      <w:r>
        <w:rPr>
          <w:spacing w:val="-15"/>
        </w:rPr>
        <w:t> </w:t>
      </w:r>
      <w:r>
        <w:rPr/>
        <w:t>the</w:t>
      </w:r>
      <w:r>
        <w:rPr>
          <w:spacing w:val="-13"/>
        </w:rPr>
        <w:t> </w:t>
      </w:r>
      <w:r>
        <w:rPr/>
        <w:t>tolerance</w:t>
      </w:r>
      <w:r>
        <w:rPr>
          <w:spacing w:val="-13"/>
        </w:rPr>
        <w:t> </w:t>
      </w:r>
      <w:r>
        <w:rPr/>
        <w:t>time</w:t>
      </w:r>
      <w:r>
        <w:rPr>
          <w:spacing w:val="-14"/>
        </w:rPr>
        <w:t> </w:t>
      </w:r>
      <w:r>
        <w:rPr/>
        <w:t>can</w:t>
      </w:r>
      <w:r>
        <w:rPr>
          <w:spacing w:val="-12"/>
        </w:rPr>
        <w:t> </w:t>
      </w:r>
      <w:r>
        <w:rPr/>
        <w:t>be</w:t>
      </w:r>
      <w:r>
        <w:rPr>
          <w:spacing w:val="-13"/>
        </w:rPr>
        <w:t> </w:t>
      </w:r>
      <w:r>
        <w:rPr/>
        <w:t>increased</w:t>
      </w:r>
      <w:r>
        <w:rPr>
          <w:spacing w:val="-13"/>
        </w:rPr>
        <w:t> </w:t>
      </w:r>
      <w:r>
        <w:rPr/>
        <w:t>by</w:t>
      </w:r>
      <w:r>
        <w:rPr>
          <w:spacing w:val="-13"/>
        </w:rPr>
        <w:t> </w:t>
      </w:r>
      <w:r>
        <w:rPr/>
        <w:t>20</w:t>
      </w:r>
      <w:r>
        <w:rPr>
          <w:spacing w:val="-13"/>
        </w:rPr>
        <w:t> </w:t>
      </w:r>
      <w:r>
        <w:rPr/>
        <w:t>%.</w:t>
      </w:r>
      <w:r>
        <w:rPr>
          <w:position w:val="9"/>
          <w:sz w:val="25"/>
        </w:rPr>
        <w:t>291</w:t>
      </w:r>
    </w:p>
    <w:p>
      <w:pPr>
        <w:pStyle w:val="BodyText"/>
        <w:spacing w:line="276" w:lineRule="auto" w:before="242"/>
        <w:ind w:left="477" w:right="133"/>
        <w:jc w:val="both"/>
      </w:pPr>
      <w:r>
        <w:rPr/>
        <w:t>The</w:t>
      </w:r>
      <w:r>
        <w:rPr>
          <w:spacing w:val="-12"/>
        </w:rPr>
        <w:t> </w:t>
      </w:r>
      <w:r>
        <w:rPr/>
        <w:t>role</w:t>
      </w:r>
      <w:r>
        <w:rPr>
          <w:spacing w:val="-15"/>
        </w:rPr>
        <w:t> </w:t>
      </w:r>
      <w:r>
        <w:rPr/>
        <w:t>of</w:t>
      </w:r>
      <w:r>
        <w:rPr>
          <w:spacing w:val="-11"/>
        </w:rPr>
        <w:t> </w:t>
      </w:r>
      <w:r>
        <w:rPr/>
        <w:t>ginkgo</w:t>
      </w:r>
      <w:r>
        <w:rPr>
          <w:spacing w:val="-12"/>
        </w:rPr>
        <w:t> </w:t>
      </w:r>
      <w:r>
        <w:rPr/>
        <w:t>as</w:t>
      </w:r>
      <w:r>
        <w:rPr>
          <w:spacing w:val="-12"/>
        </w:rPr>
        <w:t> </w:t>
      </w:r>
      <w:r>
        <w:rPr/>
        <w:t>a</w:t>
      </w:r>
      <w:r>
        <w:rPr>
          <w:spacing w:val="-15"/>
        </w:rPr>
        <w:t> </w:t>
      </w:r>
      <w:r>
        <w:rPr/>
        <w:t>repair</w:t>
      </w:r>
      <w:r>
        <w:rPr>
          <w:spacing w:val="-14"/>
        </w:rPr>
        <w:t> </w:t>
      </w:r>
      <w:r>
        <w:rPr/>
        <w:t>promoter</w:t>
      </w:r>
      <w:r>
        <w:rPr>
          <w:spacing w:val="-12"/>
        </w:rPr>
        <w:t> </w:t>
      </w:r>
      <w:r>
        <w:rPr/>
        <w:t>within</w:t>
      </w:r>
      <w:r>
        <w:rPr>
          <w:spacing w:val="-11"/>
        </w:rPr>
        <w:t> </w:t>
      </w:r>
      <w:r>
        <w:rPr/>
        <w:t>all</w:t>
      </w:r>
      <w:r>
        <w:rPr>
          <w:spacing w:val="-13"/>
        </w:rPr>
        <w:t> </w:t>
      </w:r>
      <w:r>
        <w:rPr/>
        <w:t>human</w:t>
      </w:r>
      <w:r>
        <w:rPr>
          <w:spacing w:val="-12"/>
        </w:rPr>
        <w:t> </w:t>
      </w:r>
      <w:r>
        <w:rPr/>
        <w:t>tissue</w:t>
      </w:r>
      <w:r>
        <w:rPr>
          <w:spacing w:val="-12"/>
        </w:rPr>
        <w:t> </w:t>
      </w:r>
      <w:r>
        <w:rPr/>
        <w:t>forms</w:t>
      </w:r>
      <w:r>
        <w:rPr>
          <w:spacing w:val="-11"/>
        </w:rPr>
        <w:t> </w:t>
      </w:r>
      <w:r>
        <w:rPr/>
        <w:t>that</w:t>
      </w:r>
      <w:r>
        <w:rPr>
          <w:spacing w:val="-14"/>
        </w:rPr>
        <w:t> </w:t>
      </w:r>
      <w:r>
        <w:rPr/>
        <w:t>have suffered damage due to a lack of blood flow is also undisputed. The hypoxia- tolerant,</w:t>
      </w:r>
      <w:r>
        <w:rPr>
          <w:spacing w:val="-23"/>
        </w:rPr>
        <w:t> </w:t>
      </w:r>
      <w:r>
        <w:rPr/>
        <w:t>nootropic</w:t>
      </w:r>
      <w:r>
        <w:rPr>
          <w:spacing w:val="-22"/>
        </w:rPr>
        <w:t> </w:t>
      </w:r>
      <w:r>
        <w:rPr/>
        <w:t>and</w:t>
      </w:r>
      <w:r>
        <w:rPr>
          <w:spacing w:val="-23"/>
        </w:rPr>
        <w:t> </w:t>
      </w:r>
      <w:r>
        <w:rPr/>
        <w:t>circulation-promoting</w:t>
      </w:r>
      <w:r>
        <w:rPr>
          <w:spacing w:val="-22"/>
        </w:rPr>
        <w:t> </w:t>
      </w:r>
      <w:r>
        <w:rPr/>
        <w:t>effect</w:t>
      </w:r>
      <w:r>
        <w:rPr>
          <w:spacing w:val="-23"/>
        </w:rPr>
        <w:t> </w:t>
      </w:r>
      <w:r>
        <w:rPr/>
        <w:t>can</w:t>
      </w:r>
      <w:r>
        <w:rPr>
          <w:spacing w:val="-21"/>
        </w:rPr>
        <w:t> </w:t>
      </w:r>
      <w:r>
        <w:rPr/>
        <w:t>significantly</w:t>
      </w:r>
      <w:r>
        <w:rPr>
          <w:spacing w:val="-24"/>
        </w:rPr>
        <w:t> </w:t>
      </w:r>
      <w:r>
        <w:rPr/>
        <w:t>reduce</w:t>
      </w:r>
      <w:r>
        <w:rPr>
          <w:spacing w:val="-23"/>
        </w:rPr>
        <w:t> </w:t>
      </w:r>
      <w:r>
        <w:rPr/>
        <w:t>the consequences</w:t>
      </w:r>
      <w:r>
        <w:rPr>
          <w:spacing w:val="-16"/>
        </w:rPr>
        <w:t> </w:t>
      </w:r>
      <w:r>
        <w:rPr/>
        <w:t>of</w:t>
      </w:r>
      <w:r>
        <w:rPr>
          <w:spacing w:val="-16"/>
        </w:rPr>
        <w:t> </w:t>
      </w:r>
      <w:r>
        <w:rPr/>
        <w:t>a</w:t>
      </w:r>
      <w:r>
        <w:rPr>
          <w:spacing w:val="-18"/>
        </w:rPr>
        <w:t> </w:t>
      </w:r>
      <w:r>
        <w:rPr/>
        <w:t>stroke.</w:t>
      </w:r>
      <w:r>
        <w:rPr>
          <w:spacing w:val="-16"/>
        </w:rPr>
        <w:t> </w:t>
      </w:r>
      <w:r>
        <w:rPr/>
        <w:t>Immediately</w:t>
      </w:r>
      <w:r>
        <w:rPr>
          <w:spacing w:val="-18"/>
        </w:rPr>
        <w:t> </w:t>
      </w:r>
      <w:r>
        <w:rPr/>
        <w:t>after</w:t>
      </w:r>
      <w:r>
        <w:rPr>
          <w:spacing w:val="-16"/>
        </w:rPr>
        <w:t> </w:t>
      </w:r>
      <w:r>
        <w:rPr/>
        <w:t>a</w:t>
      </w:r>
      <w:r>
        <w:rPr>
          <w:spacing w:val="-18"/>
        </w:rPr>
        <w:t> </w:t>
      </w:r>
      <w:r>
        <w:rPr/>
        <w:t>stroke</w:t>
      </w:r>
      <w:r>
        <w:rPr>
          <w:spacing w:val="-10"/>
        </w:rPr>
        <w:t> </w:t>
      </w:r>
      <w:r>
        <w:rPr/>
        <w:t>which</w:t>
      </w:r>
      <w:r>
        <w:rPr>
          <w:spacing w:val="-15"/>
        </w:rPr>
        <w:t> </w:t>
      </w:r>
      <w:r>
        <w:rPr/>
        <w:t>has</w:t>
      </w:r>
      <w:r>
        <w:rPr>
          <w:spacing w:val="-16"/>
        </w:rPr>
        <w:t> </w:t>
      </w:r>
      <w:r>
        <w:rPr/>
        <w:t>come</w:t>
      </w:r>
      <w:r>
        <w:rPr>
          <w:spacing w:val="-16"/>
        </w:rPr>
        <w:t> </w:t>
      </w:r>
      <w:r>
        <w:rPr/>
        <w:t>about</w:t>
      </w:r>
      <w:r>
        <w:rPr>
          <w:spacing w:val="-18"/>
        </w:rPr>
        <w:t> </w:t>
      </w:r>
      <w:r>
        <w:rPr/>
        <w:t>due to a broken capillary, the use of ginkgo can be counterproductive, since the bleeding must be stopped as fast as</w:t>
      </w:r>
      <w:r>
        <w:rPr>
          <w:spacing w:val="-3"/>
        </w:rPr>
        <w:t> </w:t>
      </w:r>
      <w:r>
        <w:rPr/>
        <w:t>possible.</w:t>
      </w:r>
    </w:p>
    <w:p>
      <w:pPr>
        <w:pStyle w:val="BodyText"/>
        <w:spacing w:before="240"/>
        <w:ind w:left="477"/>
      </w:pPr>
      <w:r>
        <w:rPr/>
        <w:t>It is therefore necessary to check the cause of the stroke beforehand!</w:t>
      </w:r>
    </w:p>
    <w:p>
      <w:pPr>
        <w:pStyle w:val="Heading1"/>
        <w:spacing w:before="285"/>
      </w:pPr>
      <w:r>
        <w:rPr/>
        <w:t>Protective effect against cerebral oedema</w:t>
      </w:r>
    </w:p>
    <w:p>
      <w:pPr>
        <w:pStyle w:val="BodyText"/>
        <w:spacing w:line="276" w:lineRule="auto" w:before="300"/>
        <w:ind w:left="477" w:right="135"/>
        <w:jc w:val="both"/>
      </w:pPr>
      <w:r>
        <w:rPr/>
        <w:t>Cerebral oedema (in the form of water retention in the brain) can be caused by numerous affects and diseases, such as tumours, inflammation, arterial degen- eration</w:t>
      </w:r>
      <w:r>
        <w:rPr>
          <w:spacing w:val="-6"/>
        </w:rPr>
        <w:t> </w:t>
      </w:r>
      <w:r>
        <w:rPr/>
        <w:t>and</w:t>
      </w:r>
      <w:r>
        <w:rPr>
          <w:spacing w:val="-9"/>
        </w:rPr>
        <w:t> </w:t>
      </w:r>
      <w:r>
        <w:rPr/>
        <w:t>hypoxia.</w:t>
      </w:r>
      <w:r>
        <w:rPr>
          <w:spacing w:val="-5"/>
        </w:rPr>
        <w:t> </w:t>
      </w:r>
      <w:r>
        <w:rPr/>
        <w:t>The</w:t>
      </w:r>
      <w:r>
        <w:rPr>
          <w:spacing w:val="-6"/>
        </w:rPr>
        <w:t> </w:t>
      </w:r>
      <w:r>
        <w:rPr/>
        <w:t>oedema</w:t>
      </w:r>
      <w:r>
        <w:rPr>
          <w:spacing w:val="-2"/>
        </w:rPr>
        <w:t> </w:t>
      </w:r>
      <w:r>
        <w:rPr/>
        <w:t>exerts</w:t>
      </w:r>
      <w:r>
        <w:rPr>
          <w:spacing w:val="-4"/>
        </w:rPr>
        <w:t> </w:t>
      </w:r>
      <w:r>
        <w:rPr/>
        <w:t>pressure</w:t>
      </w:r>
      <w:r>
        <w:rPr>
          <w:spacing w:val="-9"/>
        </w:rPr>
        <w:t> </w:t>
      </w:r>
      <w:r>
        <w:rPr/>
        <w:t>on</w:t>
      </w:r>
      <w:r>
        <w:rPr>
          <w:spacing w:val="-6"/>
        </w:rPr>
        <w:t> </w:t>
      </w:r>
      <w:r>
        <w:rPr/>
        <w:t>the</w:t>
      </w:r>
      <w:r>
        <w:rPr>
          <w:spacing w:val="-8"/>
        </w:rPr>
        <w:t> </w:t>
      </w:r>
      <w:r>
        <w:rPr/>
        <w:t>finest</w:t>
      </w:r>
      <w:r>
        <w:rPr>
          <w:spacing w:val="-8"/>
        </w:rPr>
        <w:t> </w:t>
      </w:r>
      <w:r>
        <w:rPr/>
        <w:t>capillaries</w:t>
      </w:r>
      <w:r>
        <w:rPr>
          <w:spacing w:val="-6"/>
        </w:rPr>
        <w:t> </w:t>
      </w:r>
      <w:r>
        <w:rPr/>
        <w:t>in</w:t>
      </w:r>
      <w:r>
        <w:rPr>
          <w:spacing w:val="-5"/>
        </w:rPr>
        <w:t> </w:t>
      </w:r>
      <w:r>
        <w:rPr/>
        <w:t>the brain, thus preventing the supply of oxygen and nutrients. In animal experi- ments, the development of externally provoked cerebral oedema was success- fully</w:t>
      </w:r>
      <w:r>
        <w:rPr>
          <w:spacing w:val="-7"/>
        </w:rPr>
        <w:t> </w:t>
      </w:r>
      <w:r>
        <w:rPr/>
        <w:t>prevented</w:t>
      </w:r>
      <w:r>
        <w:rPr>
          <w:spacing w:val="-3"/>
        </w:rPr>
        <w:t> </w:t>
      </w:r>
      <w:r>
        <w:rPr/>
        <w:t>by</w:t>
      </w:r>
      <w:r>
        <w:rPr>
          <w:spacing w:val="-6"/>
        </w:rPr>
        <w:t> </w:t>
      </w:r>
      <w:r>
        <w:rPr/>
        <w:t>ginkgo</w:t>
      </w:r>
      <w:r>
        <w:rPr>
          <w:spacing w:val="-6"/>
        </w:rPr>
        <w:t> </w:t>
      </w:r>
      <w:r>
        <w:rPr/>
        <w:t>extracts;</w:t>
      </w:r>
      <w:r>
        <w:rPr>
          <w:spacing w:val="-5"/>
        </w:rPr>
        <w:t> </w:t>
      </w:r>
      <w:r>
        <w:rPr/>
        <w:t>here,</w:t>
      </w:r>
      <w:r>
        <w:rPr>
          <w:spacing w:val="-6"/>
        </w:rPr>
        <w:t> </w:t>
      </w:r>
      <w:r>
        <w:rPr/>
        <w:t>too,</w:t>
      </w:r>
      <w:r>
        <w:rPr>
          <w:spacing w:val="-5"/>
        </w:rPr>
        <w:t> </w:t>
      </w:r>
      <w:r>
        <w:rPr/>
        <w:t>the</w:t>
      </w:r>
      <w:r>
        <w:rPr>
          <w:spacing w:val="-8"/>
        </w:rPr>
        <w:t> </w:t>
      </w:r>
      <w:r>
        <w:rPr/>
        <w:t>inhibition</w:t>
      </w:r>
      <w:r>
        <w:rPr>
          <w:spacing w:val="-5"/>
        </w:rPr>
        <w:t> </w:t>
      </w:r>
      <w:r>
        <w:rPr/>
        <w:t>of</w:t>
      </w:r>
      <w:r>
        <w:rPr>
          <w:spacing w:val="-6"/>
        </w:rPr>
        <w:t> </w:t>
      </w:r>
      <w:r>
        <w:rPr/>
        <w:t>PAF</w:t>
      </w:r>
      <w:r>
        <w:rPr>
          <w:spacing w:val="-7"/>
        </w:rPr>
        <w:t> </w:t>
      </w:r>
      <w:r>
        <w:rPr/>
        <w:t>plays</w:t>
      </w:r>
      <w:r>
        <w:rPr>
          <w:spacing w:val="-5"/>
        </w:rPr>
        <w:t> </w:t>
      </w:r>
      <w:r>
        <w:rPr/>
        <w:t>a</w:t>
      </w:r>
      <w:r>
        <w:rPr>
          <w:spacing w:val="-7"/>
        </w:rPr>
        <w:t> </w:t>
      </w:r>
      <w:r>
        <w:rPr/>
        <w:t>cen- tral</w:t>
      </w:r>
      <w:r>
        <w:rPr>
          <w:spacing w:val="-1"/>
        </w:rPr>
        <w:t> </w:t>
      </w:r>
      <w:r>
        <w:rPr/>
        <w:t>role.</w:t>
      </w:r>
    </w:p>
    <w:p>
      <w:pPr>
        <w:pStyle w:val="BodyText"/>
        <w:rPr>
          <w:sz w:val="20"/>
        </w:rPr>
      </w:pPr>
    </w:p>
    <w:p>
      <w:pPr>
        <w:pStyle w:val="BodyText"/>
        <w:spacing w:before="4"/>
        <w:rPr>
          <w:sz w:val="17"/>
        </w:rPr>
      </w:pPr>
      <w:r>
        <w:rPr/>
        <w:pict>
          <v:line style="position:absolute;mso-position-horizontal-relative:page;mso-position-vertical-relative:paragraph;z-index:3128;mso-wrap-distance-left:0;mso-wrap-distance-right:0" from="63.863998pt,12.133735pt" to="207.883998pt,12.133735pt" stroked="true" strokeweight=".72003pt" strokecolor="#000000">
            <v:stroke dashstyle="solid"/>
            <w10:wrap type="topAndBottom"/>
          </v:line>
        </w:pict>
      </w:r>
    </w:p>
    <w:p>
      <w:pPr>
        <w:pStyle w:val="BodyText"/>
        <w:spacing w:before="7"/>
        <w:rPr>
          <w:sz w:val="18"/>
        </w:rPr>
      </w:pPr>
    </w:p>
    <w:p>
      <w:pPr>
        <w:spacing w:line="273" w:lineRule="auto" w:before="99"/>
        <w:ind w:left="477" w:right="244" w:firstLine="0"/>
        <w:jc w:val="left"/>
        <w:rPr>
          <w:sz w:val="20"/>
        </w:rPr>
      </w:pPr>
      <w:r>
        <w:rPr>
          <w:position w:val="5"/>
          <w:sz w:val="13"/>
        </w:rPr>
        <w:t>291 </w:t>
      </w:r>
      <w:r>
        <w:rPr>
          <w:sz w:val="20"/>
        </w:rPr>
        <w:t>Peter Köhler: Die Heilkraft des Ginkgo. Natürlich gesund von Kopf bis Fuß (‘The Healing Power of Ginkgo. Naturally Healthy from Head to Toe’), 1998, p. 94</w:t>
      </w:r>
    </w:p>
    <w:p>
      <w:pPr>
        <w:spacing w:after="0" w:line="273" w:lineRule="auto"/>
        <w:jc w:val="left"/>
        <w:rPr>
          <w:sz w:val="20"/>
        </w:rPr>
        <w:sectPr>
          <w:pgSz w:w="14270" w:h="16850"/>
          <w:pgMar w:header="0" w:footer="1891" w:top="1600" w:bottom="2080" w:left="800" w:right="1280"/>
        </w:sectPr>
      </w:pPr>
    </w:p>
    <w:p>
      <w:pPr>
        <w:pStyle w:val="Heading1"/>
        <w:spacing w:before="164"/>
        <w:jc w:val="both"/>
      </w:pPr>
      <w:r>
        <w:rPr/>
        <w:t>This is how ginkgo works on</w:t>
      </w:r>
      <w:r>
        <w:rPr>
          <w:spacing w:val="-56"/>
        </w:rPr>
        <w:t> </w:t>
      </w:r>
      <w:r>
        <w:rPr/>
        <w:t>oedema</w:t>
      </w:r>
    </w:p>
    <w:p>
      <w:pPr>
        <w:pStyle w:val="BodyText"/>
        <w:spacing w:line="276" w:lineRule="auto" w:before="299"/>
        <w:ind w:left="477" w:right="143"/>
        <w:jc w:val="both"/>
      </w:pPr>
      <w:r>
        <w:rPr/>
        <w:t>Ginkgo biloba is not only effective for cerebral oedema, but also for other oe- demas that may develop after an injury. By preventing blood clumping, the PAF, gingko prevents the tendency for oedema to form.</w:t>
      </w:r>
    </w:p>
    <w:p>
      <w:pPr>
        <w:pStyle w:val="Heading1"/>
        <w:jc w:val="both"/>
      </w:pPr>
      <w:r>
        <w:rPr/>
        <w:t>Effect on intermittent claudication and smoker's leg</w:t>
      </w:r>
    </w:p>
    <w:p>
      <w:pPr>
        <w:pStyle w:val="BodyText"/>
        <w:spacing w:line="276" w:lineRule="auto" w:before="298"/>
        <w:ind w:left="477" w:right="134"/>
        <w:jc w:val="both"/>
      </w:pPr>
      <w:r>
        <w:rPr/>
        <w:t>The so-called intermittent claudication is manifested by a narrowing of the ar- teries in the legs and forced walking pauses due to increased tingling and con- vulsive pain in the calves. In German, it is known as Schaufensterkrankheit (‘shop window disease’) because the sufferers often stop and look at the shop windows to ‘explain’ their stopping.</w:t>
      </w:r>
    </w:p>
    <w:p>
      <w:pPr>
        <w:pStyle w:val="BodyText"/>
        <w:spacing w:line="276" w:lineRule="auto" w:before="242"/>
        <w:ind w:left="477" w:right="132"/>
        <w:jc w:val="both"/>
      </w:pPr>
      <w:r>
        <w:rPr/>
        <w:t>The reason for the constriction of the blood vessels is atherosclerosis, blood vessel calcification, which often results from diabetes mellitus and lipid metab- olism problems, but also from the unhealthy lifestyle of smokers. Since ginkgo is known to improve circulation in body tissue and also to counteract athero- sclerosis, it can be very helpful against intermittent claudication. The first signs of improvement are evident after six weeks of taking ginkgo preparations.</w:t>
      </w:r>
    </w:p>
    <w:p>
      <w:pPr>
        <w:pStyle w:val="BodyText"/>
        <w:spacing w:line="276" w:lineRule="auto" w:before="240"/>
        <w:ind w:left="477" w:right="130"/>
        <w:jc w:val="both"/>
        <w:rPr>
          <w:sz w:val="25"/>
        </w:rPr>
      </w:pPr>
      <w:r>
        <w:rPr/>
        <w:t>Also, in several studies on intermittent claudication, ginkgo extracts have been found to be equal or superior to common drugs, but without side effects. 120- 160 mg is recommended, distributed over three doses.</w:t>
      </w:r>
      <w:r>
        <w:rPr>
          <w:position w:val="9"/>
          <w:sz w:val="25"/>
        </w:rPr>
        <w:t>292</w:t>
      </w:r>
    </w:p>
    <w:p>
      <w:pPr>
        <w:pStyle w:val="BodyText"/>
        <w:rPr>
          <w:sz w:val="20"/>
        </w:rPr>
      </w:pPr>
    </w:p>
    <w:p>
      <w:pPr>
        <w:pStyle w:val="BodyText"/>
        <w:rPr>
          <w:sz w:val="20"/>
        </w:rPr>
      </w:pPr>
    </w:p>
    <w:p>
      <w:pPr>
        <w:pStyle w:val="BodyText"/>
        <w:rPr>
          <w:sz w:val="20"/>
        </w:rPr>
      </w:pPr>
    </w:p>
    <w:p>
      <w:pPr>
        <w:pStyle w:val="BodyText"/>
        <w:spacing w:before="5"/>
        <w:rPr>
          <w:sz w:val="12"/>
        </w:rPr>
      </w:pPr>
      <w:r>
        <w:rPr/>
        <w:pict>
          <v:line style="position:absolute;mso-position-horizontal-relative:page;mso-position-vertical-relative:paragraph;z-index:3152;mso-wrap-distance-left:0;mso-wrap-distance-right:0" from="63.863998pt,9.358735pt" to="207.883998pt,9.358735pt" stroked="true" strokeweight=".72003pt" strokecolor="#000000">
            <v:stroke dashstyle="solid"/>
            <w10:wrap type="topAndBottom"/>
          </v:line>
        </w:pict>
      </w:r>
    </w:p>
    <w:p>
      <w:pPr>
        <w:pStyle w:val="BodyText"/>
        <w:spacing w:before="7"/>
        <w:rPr>
          <w:sz w:val="18"/>
        </w:rPr>
      </w:pPr>
    </w:p>
    <w:p>
      <w:pPr>
        <w:spacing w:line="276" w:lineRule="auto" w:before="99"/>
        <w:ind w:left="477" w:right="244" w:firstLine="0"/>
        <w:jc w:val="left"/>
        <w:rPr>
          <w:sz w:val="20"/>
        </w:rPr>
      </w:pPr>
      <w:r>
        <w:rPr>
          <w:position w:val="5"/>
          <w:sz w:val="13"/>
        </w:rPr>
        <w:t>292 </w:t>
      </w:r>
      <w:r>
        <w:rPr>
          <w:sz w:val="20"/>
        </w:rPr>
        <w:t>Dr. Jörg Zittlau: Heilmittel Ginkgo – alles über die positive Wirkung auf Körper, Geist und Seele (‘Remedy Ginkgo – Everything about the Posi- tive Effect on Body, Mind and Soul’) 2006, p. 73</w:t>
      </w:r>
    </w:p>
    <w:p>
      <w:pPr>
        <w:spacing w:after="0" w:line="276" w:lineRule="auto"/>
        <w:jc w:val="left"/>
        <w:rPr>
          <w:sz w:val="20"/>
        </w:rPr>
        <w:sectPr>
          <w:footerReference w:type="default" r:id="rId111"/>
          <w:pgSz w:w="14270" w:h="16850"/>
          <w:pgMar w:footer="1891" w:header="0" w:top="1600" w:bottom="2080" w:left="800" w:right="1280"/>
          <w:pgNumType w:start="420"/>
        </w:sectPr>
      </w:pPr>
    </w:p>
    <w:p>
      <w:pPr>
        <w:pStyle w:val="Heading1"/>
        <w:spacing w:before="164"/>
      </w:pPr>
      <w:r>
        <w:rPr/>
        <w:t>How ginkgo works against thrombosis</w:t>
      </w:r>
    </w:p>
    <w:p>
      <w:pPr>
        <w:pStyle w:val="BodyText"/>
        <w:spacing w:line="276" w:lineRule="auto" w:before="299"/>
        <w:ind w:left="477" w:right="132"/>
        <w:jc w:val="both"/>
      </w:pPr>
      <w:r>
        <w:rPr/>
        <w:t>By actively counteracting the platelet-activating factor (PAF), ginkgo prevents platelets</w:t>
      </w:r>
      <w:r>
        <w:rPr>
          <w:spacing w:val="-24"/>
        </w:rPr>
        <w:t> </w:t>
      </w:r>
      <w:r>
        <w:rPr/>
        <w:t>from</w:t>
      </w:r>
      <w:r>
        <w:rPr>
          <w:spacing w:val="-23"/>
        </w:rPr>
        <w:t> </w:t>
      </w:r>
      <w:r>
        <w:rPr/>
        <w:t>sticking</w:t>
      </w:r>
      <w:r>
        <w:rPr>
          <w:spacing w:val="-23"/>
        </w:rPr>
        <w:t> </w:t>
      </w:r>
      <w:r>
        <w:rPr/>
        <w:t>to</w:t>
      </w:r>
      <w:r>
        <w:rPr>
          <w:spacing w:val="-22"/>
        </w:rPr>
        <w:t> </w:t>
      </w:r>
      <w:r>
        <w:rPr/>
        <w:t>one</w:t>
      </w:r>
      <w:r>
        <w:rPr>
          <w:spacing w:val="-22"/>
        </w:rPr>
        <w:t> </w:t>
      </w:r>
      <w:r>
        <w:rPr/>
        <w:t>another</w:t>
      </w:r>
      <w:r>
        <w:rPr>
          <w:spacing w:val="-22"/>
        </w:rPr>
        <w:t> </w:t>
      </w:r>
      <w:r>
        <w:rPr/>
        <w:t>and</w:t>
      </w:r>
      <w:r>
        <w:rPr>
          <w:spacing w:val="-23"/>
        </w:rPr>
        <w:t> </w:t>
      </w:r>
      <w:r>
        <w:rPr/>
        <w:t>thus</w:t>
      </w:r>
      <w:r>
        <w:rPr>
          <w:spacing w:val="-22"/>
        </w:rPr>
        <w:t> </w:t>
      </w:r>
      <w:r>
        <w:rPr/>
        <w:t>blood</w:t>
      </w:r>
      <w:r>
        <w:rPr>
          <w:spacing w:val="-23"/>
        </w:rPr>
        <w:t> </w:t>
      </w:r>
      <w:r>
        <w:rPr/>
        <w:t>clots</w:t>
      </w:r>
      <w:r>
        <w:rPr>
          <w:spacing w:val="-22"/>
        </w:rPr>
        <w:t> </w:t>
      </w:r>
      <w:r>
        <w:rPr/>
        <w:t>and</w:t>
      </w:r>
      <w:r>
        <w:rPr>
          <w:spacing w:val="-23"/>
        </w:rPr>
        <w:t> </w:t>
      </w:r>
      <w:r>
        <w:rPr/>
        <w:t>the</w:t>
      </w:r>
      <w:r>
        <w:rPr>
          <w:spacing w:val="-23"/>
        </w:rPr>
        <w:t> </w:t>
      </w:r>
      <w:r>
        <w:rPr/>
        <w:t>development of thromboses.</w:t>
      </w:r>
    </w:p>
    <w:p>
      <w:pPr>
        <w:pStyle w:val="Heading1"/>
      </w:pPr>
      <w:r>
        <w:rPr/>
        <w:t>Effect on dizziness</w:t>
      </w:r>
    </w:p>
    <w:p>
      <w:pPr>
        <w:pStyle w:val="BodyText"/>
        <w:spacing w:line="276" w:lineRule="auto" w:before="298"/>
        <w:ind w:left="477" w:right="134"/>
        <w:jc w:val="both"/>
      </w:pPr>
      <w:r>
        <w:rPr/>
        <w:t>Dizziness manifests itself as a spacial-awareness disorder; your vision turns dark, you stagger, everything revolves around you. The main reason for dizzi- ness is a circulatory disorder in various brain regions and sensory organs. Ginkgo biloba extracts can provide relief without side effects due to the circu- lation-enhancing effect and are worth a try in any case!</w:t>
      </w:r>
    </w:p>
    <w:p>
      <w:pPr>
        <w:pStyle w:val="Heading1"/>
      </w:pPr>
      <w:r>
        <w:rPr/>
        <w:t>Effect on bronchitis</w:t>
      </w:r>
    </w:p>
    <w:p>
      <w:pPr>
        <w:pStyle w:val="BodyText"/>
        <w:spacing w:line="276" w:lineRule="auto" w:before="298"/>
        <w:ind w:left="477" w:right="133"/>
        <w:jc w:val="both"/>
      </w:pPr>
      <w:r>
        <w:rPr/>
        <w:t>The</w:t>
      </w:r>
      <w:r>
        <w:rPr>
          <w:spacing w:val="-17"/>
        </w:rPr>
        <w:t> </w:t>
      </w:r>
      <w:r>
        <w:rPr/>
        <w:t>effect</w:t>
      </w:r>
      <w:r>
        <w:rPr>
          <w:spacing w:val="-17"/>
        </w:rPr>
        <w:t> </w:t>
      </w:r>
      <w:r>
        <w:rPr/>
        <w:t>of</w:t>
      </w:r>
      <w:r>
        <w:rPr>
          <w:spacing w:val="-20"/>
        </w:rPr>
        <w:t> </w:t>
      </w:r>
      <w:r>
        <w:rPr/>
        <w:t>ginkgo</w:t>
      </w:r>
      <w:r>
        <w:rPr>
          <w:spacing w:val="-17"/>
        </w:rPr>
        <w:t> </w:t>
      </w:r>
      <w:r>
        <w:rPr/>
        <w:t>on</w:t>
      </w:r>
      <w:r>
        <w:rPr>
          <w:spacing w:val="-19"/>
        </w:rPr>
        <w:t> </w:t>
      </w:r>
      <w:r>
        <w:rPr/>
        <w:t>bronchitis</w:t>
      </w:r>
      <w:r>
        <w:rPr>
          <w:spacing w:val="-16"/>
        </w:rPr>
        <w:t> </w:t>
      </w:r>
      <w:r>
        <w:rPr/>
        <w:t>and</w:t>
      </w:r>
      <w:r>
        <w:rPr>
          <w:spacing w:val="-17"/>
        </w:rPr>
        <w:t> </w:t>
      </w:r>
      <w:r>
        <w:rPr/>
        <w:t>coughs</w:t>
      </w:r>
      <w:r>
        <w:rPr>
          <w:spacing w:val="-15"/>
        </w:rPr>
        <w:t> </w:t>
      </w:r>
      <w:r>
        <w:rPr/>
        <w:t>is</w:t>
      </w:r>
      <w:r>
        <w:rPr>
          <w:spacing w:val="-20"/>
        </w:rPr>
        <w:t> </w:t>
      </w:r>
      <w:r>
        <w:rPr/>
        <w:t>due</w:t>
      </w:r>
      <w:r>
        <w:rPr>
          <w:spacing w:val="-19"/>
        </w:rPr>
        <w:t> </w:t>
      </w:r>
      <w:r>
        <w:rPr/>
        <w:t>to</w:t>
      </w:r>
      <w:r>
        <w:rPr>
          <w:spacing w:val="-17"/>
        </w:rPr>
        <w:t> </w:t>
      </w:r>
      <w:r>
        <w:rPr/>
        <w:t>its</w:t>
      </w:r>
      <w:r>
        <w:rPr>
          <w:spacing w:val="-17"/>
        </w:rPr>
        <w:t> </w:t>
      </w:r>
      <w:r>
        <w:rPr/>
        <w:t>antibiotic</w:t>
      </w:r>
      <w:r>
        <w:rPr>
          <w:spacing w:val="-17"/>
        </w:rPr>
        <w:t> </w:t>
      </w:r>
      <w:r>
        <w:rPr/>
        <w:t>properties. This is where the ginkgo seeds stand</w:t>
      </w:r>
      <w:r>
        <w:rPr>
          <w:spacing w:val="2"/>
        </w:rPr>
        <w:t> </w:t>
      </w:r>
      <w:r>
        <w:rPr/>
        <w:t>out.</w:t>
      </w:r>
    </w:p>
    <w:p>
      <w:pPr>
        <w:pStyle w:val="Heading1"/>
        <w:spacing w:before="223"/>
      </w:pPr>
      <w:r>
        <w:rPr/>
        <w:t>Effect against immune deficiency</w:t>
      </w:r>
    </w:p>
    <w:p>
      <w:pPr>
        <w:pStyle w:val="BodyText"/>
        <w:spacing w:line="276" w:lineRule="auto" w:before="299"/>
        <w:ind w:left="477" w:right="137"/>
        <w:jc w:val="both"/>
      </w:pPr>
      <w:r>
        <w:rPr/>
        <w:t>An immune deficiency manifests itself mostly in the form of numerous infec- tions, as wide ranging as skin fungi and others. Because ginkgo, as a radical scavenger, relieves the immune system and activates natural phagocytes (mac- rophages), it strengthens our immune system and can effectively prevent or remedy existing immune deficiency.</w:t>
      </w:r>
    </w:p>
    <w:p>
      <w:pPr>
        <w:pStyle w:val="Heading1"/>
        <w:spacing w:before="223"/>
        <w:jc w:val="both"/>
      </w:pPr>
      <w:r>
        <w:rPr/>
        <w:t>Effect on dementia and Alzheimer's</w:t>
      </w:r>
    </w:p>
    <w:p>
      <w:pPr>
        <w:spacing w:after="0"/>
        <w:jc w:val="both"/>
        <w:sectPr>
          <w:pgSz w:w="14270" w:h="16850"/>
          <w:pgMar w:header="0" w:footer="1891" w:top="1600" w:bottom="2080" w:left="800" w:right="1280"/>
        </w:sectPr>
      </w:pPr>
    </w:p>
    <w:p>
      <w:pPr>
        <w:pStyle w:val="BodyText"/>
        <w:spacing w:line="276" w:lineRule="auto" w:before="181"/>
        <w:ind w:left="477" w:right="135"/>
        <w:jc w:val="both"/>
      </w:pPr>
      <w:r>
        <w:rPr/>
        <w:t>In the US, ginkgo is a recognised anti-dementia drug. Ginkgo acts as a nerve cell</w:t>
      </w:r>
      <w:r>
        <w:rPr>
          <w:spacing w:val="-13"/>
        </w:rPr>
        <w:t> </w:t>
      </w:r>
      <w:r>
        <w:rPr/>
        <w:t>protector;</w:t>
      </w:r>
      <w:r>
        <w:rPr>
          <w:spacing w:val="-14"/>
        </w:rPr>
        <w:t> </w:t>
      </w:r>
      <w:r>
        <w:rPr/>
        <w:t>the</w:t>
      </w:r>
      <w:r>
        <w:rPr>
          <w:spacing w:val="-12"/>
        </w:rPr>
        <w:t> </w:t>
      </w:r>
      <w:r>
        <w:rPr/>
        <w:t>neurotransmitters</w:t>
      </w:r>
      <w:r>
        <w:rPr>
          <w:spacing w:val="-11"/>
        </w:rPr>
        <w:t> </w:t>
      </w:r>
      <w:r>
        <w:rPr/>
        <w:t>(messenger</w:t>
      </w:r>
      <w:r>
        <w:rPr>
          <w:spacing w:val="-14"/>
        </w:rPr>
        <w:t> </w:t>
      </w:r>
      <w:r>
        <w:rPr/>
        <w:t>substances</w:t>
      </w:r>
      <w:r>
        <w:rPr>
          <w:spacing w:val="-12"/>
        </w:rPr>
        <w:t> </w:t>
      </w:r>
      <w:r>
        <w:rPr/>
        <w:t>in</w:t>
      </w:r>
      <w:r>
        <w:rPr>
          <w:spacing w:val="-12"/>
        </w:rPr>
        <w:t> </w:t>
      </w:r>
      <w:r>
        <w:rPr/>
        <w:t>the</w:t>
      </w:r>
      <w:r>
        <w:rPr>
          <w:spacing w:val="-17"/>
        </w:rPr>
        <w:t> </w:t>
      </w:r>
      <w:r>
        <w:rPr/>
        <w:t>brain)</w:t>
      </w:r>
      <w:r>
        <w:rPr>
          <w:spacing w:val="-13"/>
        </w:rPr>
        <w:t> </w:t>
      </w:r>
      <w:r>
        <w:rPr/>
        <w:t>are</w:t>
      </w:r>
      <w:r>
        <w:rPr>
          <w:spacing w:val="-11"/>
        </w:rPr>
        <w:t> </w:t>
      </w:r>
      <w:r>
        <w:rPr/>
        <w:t>ac- tivated and the energy metabolism of the brain is optimised, especially in the area of the hippocampus, which is affected in Alzheimer's patients. Memory, learning, concentration and cognitive abilities are significantly</w:t>
      </w:r>
      <w:r>
        <w:rPr>
          <w:spacing w:val="-10"/>
        </w:rPr>
        <w:t> </w:t>
      </w:r>
      <w:r>
        <w:rPr/>
        <w:t>increased.</w:t>
      </w:r>
    </w:p>
    <w:p>
      <w:pPr>
        <w:pStyle w:val="BodyText"/>
        <w:spacing w:line="276" w:lineRule="auto" w:before="240"/>
        <w:ind w:left="477" w:right="130"/>
        <w:jc w:val="both"/>
        <w:rPr>
          <w:sz w:val="25"/>
        </w:rPr>
      </w:pPr>
      <w:r>
        <w:rPr/>
        <w:t>The</w:t>
      </w:r>
      <w:r>
        <w:rPr>
          <w:spacing w:val="-10"/>
        </w:rPr>
        <w:t> </w:t>
      </w:r>
      <w:r>
        <w:rPr/>
        <w:t>effectiveness</w:t>
      </w:r>
      <w:r>
        <w:rPr>
          <w:spacing w:val="-10"/>
        </w:rPr>
        <w:t> </w:t>
      </w:r>
      <w:r>
        <w:rPr/>
        <w:t>of</w:t>
      </w:r>
      <w:r>
        <w:rPr>
          <w:spacing w:val="-11"/>
        </w:rPr>
        <w:t> </w:t>
      </w:r>
      <w:r>
        <w:rPr/>
        <w:t>ginkgo</w:t>
      </w:r>
      <w:r>
        <w:rPr>
          <w:spacing w:val="-11"/>
        </w:rPr>
        <w:t> </w:t>
      </w:r>
      <w:r>
        <w:rPr/>
        <w:t>against</w:t>
      </w:r>
      <w:r>
        <w:rPr>
          <w:spacing w:val="-11"/>
        </w:rPr>
        <w:t> </w:t>
      </w:r>
      <w:r>
        <w:rPr/>
        <w:t>dementia</w:t>
      </w:r>
      <w:r>
        <w:rPr>
          <w:spacing w:val="-9"/>
        </w:rPr>
        <w:t> </w:t>
      </w:r>
      <w:r>
        <w:rPr/>
        <w:t>was</w:t>
      </w:r>
      <w:r>
        <w:rPr>
          <w:spacing w:val="-10"/>
        </w:rPr>
        <w:t> </w:t>
      </w:r>
      <w:r>
        <w:rPr/>
        <w:t>impressively</w:t>
      </w:r>
      <w:r>
        <w:rPr>
          <w:spacing w:val="-9"/>
        </w:rPr>
        <w:t> </w:t>
      </w:r>
      <w:r>
        <w:rPr/>
        <w:t>demonstrated</w:t>
      </w:r>
      <w:r>
        <w:rPr>
          <w:spacing w:val="-10"/>
        </w:rPr>
        <w:t> </w:t>
      </w:r>
      <w:r>
        <w:rPr/>
        <w:t>in a large-scale, randomised meta-analysis in 2010 on 1838 patients with ginkgo extract</w:t>
      </w:r>
      <w:r>
        <w:rPr>
          <w:spacing w:val="-1"/>
        </w:rPr>
        <w:t> </w:t>
      </w:r>
      <w:r>
        <w:rPr/>
        <w:t>EGB761.</w:t>
      </w:r>
      <w:r>
        <w:rPr>
          <w:position w:val="9"/>
          <w:sz w:val="25"/>
        </w:rPr>
        <w:t>293</w:t>
      </w:r>
    </w:p>
    <w:p>
      <w:pPr>
        <w:pStyle w:val="BodyText"/>
        <w:spacing w:line="276" w:lineRule="auto" w:before="242"/>
        <w:ind w:left="477" w:right="138"/>
        <w:jc w:val="both"/>
      </w:pPr>
      <w:r>
        <w:rPr/>
        <w:t>In laboratory and animal experiments, the administration of ginkgo extract re- duced the typical cell death of nerve cells associated with progressive Alzhei- mer's by storing proteins (ß-amyloid).</w:t>
      </w:r>
    </w:p>
    <w:p>
      <w:pPr>
        <w:pStyle w:val="BodyText"/>
        <w:spacing w:line="276" w:lineRule="auto" w:before="238"/>
        <w:ind w:left="477" w:right="137"/>
        <w:jc w:val="both"/>
      </w:pPr>
      <w:r>
        <w:rPr/>
        <w:t>Extracts from the ginkgo tree increase the number of receptors in the brain, promote</w:t>
      </w:r>
      <w:r>
        <w:rPr>
          <w:spacing w:val="-10"/>
        </w:rPr>
        <w:t> </w:t>
      </w:r>
      <w:r>
        <w:rPr/>
        <w:t>the</w:t>
      </w:r>
      <w:r>
        <w:rPr>
          <w:spacing w:val="-10"/>
        </w:rPr>
        <w:t> </w:t>
      </w:r>
      <w:r>
        <w:rPr/>
        <w:t>uptake</w:t>
      </w:r>
      <w:r>
        <w:rPr>
          <w:spacing w:val="-10"/>
        </w:rPr>
        <w:t> </w:t>
      </w:r>
      <w:r>
        <w:rPr/>
        <w:t>of</w:t>
      </w:r>
      <w:r>
        <w:rPr>
          <w:spacing w:val="-10"/>
        </w:rPr>
        <w:t> </w:t>
      </w:r>
      <w:r>
        <w:rPr/>
        <w:t>choline</w:t>
      </w:r>
      <w:r>
        <w:rPr>
          <w:spacing w:val="-10"/>
        </w:rPr>
        <w:t> </w:t>
      </w:r>
      <w:r>
        <w:rPr/>
        <w:t>and</w:t>
      </w:r>
      <w:r>
        <w:rPr>
          <w:spacing w:val="-10"/>
        </w:rPr>
        <w:t> </w:t>
      </w:r>
      <w:r>
        <w:rPr/>
        <w:t>the</w:t>
      </w:r>
      <w:r>
        <w:rPr>
          <w:spacing w:val="-9"/>
        </w:rPr>
        <w:t> </w:t>
      </w:r>
      <w:r>
        <w:rPr/>
        <w:t>production</w:t>
      </w:r>
      <w:r>
        <w:rPr>
          <w:spacing w:val="-10"/>
        </w:rPr>
        <w:t> </w:t>
      </w:r>
      <w:r>
        <w:rPr/>
        <w:t>of</w:t>
      </w:r>
      <w:r>
        <w:rPr>
          <w:spacing w:val="-10"/>
        </w:rPr>
        <w:t> </w:t>
      </w:r>
      <w:r>
        <w:rPr/>
        <w:t>acetylcholine,</w:t>
      </w:r>
      <w:r>
        <w:rPr>
          <w:spacing w:val="-10"/>
        </w:rPr>
        <w:t> </w:t>
      </w:r>
      <w:r>
        <w:rPr/>
        <w:t>which</w:t>
      </w:r>
      <w:r>
        <w:rPr>
          <w:spacing w:val="-10"/>
        </w:rPr>
        <w:t> </w:t>
      </w:r>
      <w:r>
        <w:rPr/>
        <w:t>ben- efits brain functions impaired by Alzheimer's.</w:t>
      </w:r>
    </w:p>
    <w:p>
      <w:pPr>
        <w:pStyle w:val="BodyText"/>
        <w:spacing w:line="276" w:lineRule="auto" w:before="242"/>
        <w:ind w:left="477" w:right="130"/>
        <w:jc w:val="both"/>
      </w:pPr>
      <w:r>
        <w:rPr/>
        <w:t>Many</w:t>
      </w:r>
      <w:r>
        <w:rPr>
          <w:spacing w:val="-14"/>
        </w:rPr>
        <w:t> </w:t>
      </w:r>
      <w:r>
        <w:rPr/>
        <w:t>doctors</w:t>
      </w:r>
      <w:r>
        <w:rPr>
          <w:spacing w:val="-15"/>
        </w:rPr>
        <w:t> </w:t>
      </w:r>
      <w:r>
        <w:rPr/>
        <w:t>now</w:t>
      </w:r>
      <w:r>
        <w:rPr>
          <w:spacing w:val="-14"/>
        </w:rPr>
        <w:t> </w:t>
      </w:r>
      <w:r>
        <w:rPr/>
        <w:t>use</w:t>
      </w:r>
      <w:r>
        <w:rPr>
          <w:spacing w:val="-13"/>
        </w:rPr>
        <w:t> </w:t>
      </w:r>
      <w:r>
        <w:rPr/>
        <w:t>ginkgo</w:t>
      </w:r>
      <w:r>
        <w:rPr>
          <w:spacing w:val="-13"/>
        </w:rPr>
        <w:t> </w:t>
      </w:r>
      <w:r>
        <w:rPr/>
        <w:t>biloba</w:t>
      </w:r>
      <w:r>
        <w:rPr>
          <w:spacing w:val="-14"/>
        </w:rPr>
        <w:t> </w:t>
      </w:r>
      <w:r>
        <w:rPr/>
        <w:t>as</w:t>
      </w:r>
      <w:r>
        <w:rPr>
          <w:spacing w:val="-13"/>
        </w:rPr>
        <w:t> </w:t>
      </w:r>
      <w:r>
        <w:rPr/>
        <w:t>a</w:t>
      </w:r>
      <w:r>
        <w:rPr>
          <w:spacing w:val="-14"/>
        </w:rPr>
        <w:t> </w:t>
      </w:r>
      <w:r>
        <w:rPr/>
        <w:t>long-term</w:t>
      </w:r>
      <w:r>
        <w:rPr>
          <w:spacing w:val="-13"/>
        </w:rPr>
        <w:t> </w:t>
      </w:r>
      <w:r>
        <w:rPr/>
        <w:t>treatment;</w:t>
      </w:r>
      <w:r>
        <w:rPr>
          <w:spacing w:val="-13"/>
        </w:rPr>
        <w:t> </w:t>
      </w:r>
      <w:r>
        <w:rPr/>
        <w:t>for</w:t>
      </w:r>
      <w:r>
        <w:rPr>
          <w:spacing w:val="-13"/>
        </w:rPr>
        <w:t> </w:t>
      </w:r>
      <w:r>
        <w:rPr/>
        <w:t>example,</w:t>
      </w:r>
      <w:r>
        <w:rPr>
          <w:spacing w:val="-12"/>
        </w:rPr>
        <w:t> </w:t>
      </w:r>
      <w:r>
        <w:rPr/>
        <w:t>the evaluation of 13,000 patient records has shown that, above all, memory and alertness</w:t>
      </w:r>
      <w:r>
        <w:rPr>
          <w:spacing w:val="-21"/>
        </w:rPr>
        <w:t> </w:t>
      </w:r>
      <w:r>
        <w:rPr/>
        <w:t>improve</w:t>
      </w:r>
      <w:r>
        <w:rPr>
          <w:spacing w:val="-21"/>
        </w:rPr>
        <w:t> </w:t>
      </w:r>
      <w:r>
        <w:rPr/>
        <w:t>significantly</w:t>
      </w:r>
      <w:r>
        <w:rPr>
          <w:spacing w:val="-22"/>
        </w:rPr>
        <w:t> </w:t>
      </w:r>
      <w:r>
        <w:rPr/>
        <w:t>as</w:t>
      </w:r>
      <w:r>
        <w:rPr>
          <w:spacing w:val="-21"/>
        </w:rPr>
        <w:t> </w:t>
      </w:r>
      <w:r>
        <w:rPr/>
        <w:t>a</w:t>
      </w:r>
      <w:r>
        <w:rPr>
          <w:spacing w:val="-22"/>
        </w:rPr>
        <w:t> </w:t>
      </w:r>
      <w:r>
        <w:rPr/>
        <w:t>result</w:t>
      </w:r>
      <w:r>
        <w:rPr>
          <w:spacing w:val="-22"/>
        </w:rPr>
        <w:t> </w:t>
      </w:r>
      <w:r>
        <w:rPr/>
        <w:t>of</w:t>
      </w:r>
      <w:r>
        <w:rPr>
          <w:spacing w:val="-22"/>
        </w:rPr>
        <w:t> </w:t>
      </w:r>
      <w:r>
        <w:rPr/>
        <w:t>the</w:t>
      </w:r>
      <w:r>
        <w:rPr>
          <w:spacing w:val="-16"/>
        </w:rPr>
        <w:t> </w:t>
      </w:r>
      <w:r>
        <w:rPr/>
        <w:t>treatment.</w:t>
      </w:r>
      <w:r>
        <w:rPr>
          <w:position w:val="9"/>
          <w:sz w:val="25"/>
        </w:rPr>
        <w:t>294</w:t>
      </w:r>
      <w:r>
        <w:rPr>
          <w:spacing w:val="30"/>
          <w:position w:val="9"/>
          <w:sz w:val="25"/>
        </w:rPr>
        <w:t> </w:t>
      </w:r>
      <w:r>
        <w:rPr/>
        <w:t>(see</w:t>
      </w:r>
      <w:r>
        <w:rPr>
          <w:spacing w:val="-21"/>
        </w:rPr>
        <w:t> </w:t>
      </w:r>
      <w:r>
        <w:rPr/>
        <w:t>chapter</w:t>
      </w:r>
      <w:r>
        <w:rPr>
          <w:spacing w:val="-20"/>
        </w:rPr>
        <w:t> </w:t>
      </w:r>
      <w:r>
        <w:rPr/>
        <w:t>“stud- ies”)</w:t>
      </w:r>
    </w:p>
    <w:p>
      <w:pPr>
        <w:pStyle w:val="Heading1"/>
        <w:spacing w:before="222"/>
        <w:jc w:val="both"/>
      </w:pPr>
      <w:r>
        <w:rPr/>
        <w:t>Effect on multiple sclerosis</w:t>
      </w:r>
    </w:p>
    <w:p>
      <w:pPr>
        <w:pStyle w:val="BodyText"/>
        <w:rPr>
          <w:b/>
          <w:i/>
          <w:sz w:val="20"/>
        </w:rPr>
      </w:pPr>
    </w:p>
    <w:p>
      <w:pPr>
        <w:pStyle w:val="BodyText"/>
        <w:rPr>
          <w:b/>
          <w:i/>
          <w:sz w:val="20"/>
        </w:rPr>
      </w:pPr>
    </w:p>
    <w:p>
      <w:pPr>
        <w:pStyle w:val="BodyText"/>
        <w:spacing w:before="1"/>
        <w:rPr>
          <w:b/>
          <w:i/>
          <w:sz w:val="27"/>
        </w:rPr>
      </w:pPr>
      <w:r>
        <w:rPr/>
        <w:pict>
          <v:line style="position:absolute;mso-position-horizontal-relative:page;mso-position-vertical-relative:paragraph;z-index:3176;mso-wrap-distance-left:0;mso-wrap-distance-right:0" from="63.863998pt,17.627485pt" to="207.883998pt,17.627485pt" stroked="true" strokeweight=".72003pt" strokecolor="#000000">
            <v:stroke dashstyle="solid"/>
            <w10:wrap type="topAndBottom"/>
          </v:line>
        </w:pict>
      </w:r>
    </w:p>
    <w:p>
      <w:pPr>
        <w:pStyle w:val="BodyText"/>
        <w:spacing w:before="7"/>
        <w:rPr>
          <w:b/>
          <w:i/>
          <w:sz w:val="18"/>
        </w:rPr>
      </w:pPr>
    </w:p>
    <w:p>
      <w:pPr>
        <w:spacing w:before="99"/>
        <w:ind w:left="477" w:right="0" w:firstLine="0"/>
        <w:jc w:val="left"/>
        <w:rPr>
          <w:sz w:val="20"/>
        </w:rPr>
      </w:pPr>
      <w:r>
        <w:rPr>
          <w:position w:val="5"/>
          <w:sz w:val="13"/>
        </w:rPr>
        <w:t>293 </w:t>
      </w:r>
      <w:r>
        <w:rPr>
          <w:sz w:val="20"/>
        </w:rPr>
        <w:t>Wang et al. 2010</w:t>
      </w:r>
    </w:p>
    <w:p>
      <w:pPr>
        <w:spacing w:before="94"/>
        <w:ind w:left="477" w:right="0" w:firstLine="0"/>
        <w:jc w:val="left"/>
        <w:rPr>
          <w:sz w:val="20"/>
        </w:rPr>
      </w:pPr>
      <w:r>
        <w:rPr>
          <w:position w:val="5"/>
          <w:sz w:val="13"/>
        </w:rPr>
        <w:t>294 </w:t>
      </w:r>
      <w:r>
        <w:rPr>
          <w:sz w:val="20"/>
        </w:rPr>
        <w:t>Silvia Aulehla: Vorbeugen und heilen mit der Kraft des Ginkgo (‘Prevention and Cure with the Power of Ginkgo’) 1997, p. 27</w:t>
      </w:r>
    </w:p>
    <w:p>
      <w:pPr>
        <w:spacing w:after="0"/>
        <w:jc w:val="left"/>
        <w:rPr>
          <w:sz w:val="20"/>
        </w:rPr>
        <w:sectPr>
          <w:pgSz w:w="14270" w:h="16850"/>
          <w:pgMar w:header="0" w:footer="1891" w:top="1600" w:bottom="2080" w:left="800" w:right="1280"/>
        </w:sectPr>
      </w:pPr>
    </w:p>
    <w:p>
      <w:pPr>
        <w:pStyle w:val="BodyText"/>
        <w:spacing w:line="276" w:lineRule="auto" w:before="181"/>
        <w:ind w:left="477" w:right="131"/>
        <w:jc w:val="both"/>
      </w:pPr>
      <w:r>
        <w:rPr/>
        <w:t>Studies also suggest that ginkgo may be helpful in neurological disorders in the brain due to multiple sclerosis (MS). The two secondary plant substances ‘ter- pene lactones’ and ‘ginkgolides’ are thought to play a particular role here.</w:t>
      </w:r>
    </w:p>
    <w:p>
      <w:pPr>
        <w:pStyle w:val="Heading1"/>
      </w:pPr>
      <w:r>
        <w:rPr/>
        <w:t>Effect on concentration problems and learning difficulties</w:t>
      </w:r>
    </w:p>
    <w:p>
      <w:pPr>
        <w:pStyle w:val="BodyText"/>
        <w:spacing w:line="276" w:lineRule="auto" w:before="300"/>
        <w:ind w:left="477" w:right="135"/>
        <w:jc w:val="both"/>
      </w:pPr>
      <w:r>
        <w:rPr/>
        <w:t>By activating the neurotransmitters in the brain and optimising the energy me- tabolism, improving the blood circulation and thus the oxygen supply and</w:t>
      </w:r>
      <w:r>
        <w:rPr>
          <w:spacing w:val="-56"/>
        </w:rPr>
        <w:t> </w:t>
      </w:r>
      <w:r>
        <w:rPr/>
        <w:t>hav- ing</w:t>
      </w:r>
      <w:r>
        <w:rPr>
          <w:spacing w:val="-15"/>
        </w:rPr>
        <w:t> </w:t>
      </w:r>
      <w:r>
        <w:rPr/>
        <w:t>a</w:t>
      </w:r>
      <w:r>
        <w:rPr>
          <w:spacing w:val="-15"/>
        </w:rPr>
        <w:t> </w:t>
      </w:r>
      <w:r>
        <w:rPr/>
        <w:t>positive</w:t>
      </w:r>
      <w:r>
        <w:rPr>
          <w:spacing w:val="-14"/>
        </w:rPr>
        <w:t> </w:t>
      </w:r>
      <w:r>
        <w:rPr/>
        <w:t>effect</w:t>
      </w:r>
      <w:r>
        <w:rPr>
          <w:spacing w:val="-14"/>
        </w:rPr>
        <w:t> </w:t>
      </w:r>
      <w:r>
        <w:rPr/>
        <w:t>on</w:t>
      </w:r>
      <w:r>
        <w:rPr>
          <w:spacing w:val="-14"/>
        </w:rPr>
        <w:t> </w:t>
      </w:r>
      <w:r>
        <w:rPr/>
        <w:t>the</w:t>
      </w:r>
      <w:r>
        <w:rPr>
          <w:spacing w:val="-13"/>
        </w:rPr>
        <w:t> </w:t>
      </w:r>
      <w:r>
        <w:rPr/>
        <w:t>nervous</w:t>
      </w:r>
      <w:r>
        <w:rPr>
          <w:spacing w:val="-13"/>
        </w:rPr>
        <w:t> </w:t>
      </w:r>
      <w:r>
        <w:rPr/>
        <w:t>system,</w:t>
      </w:r>
      <w:r>
        <w:rPr>
          <w:spacing w:val="-13"/>
        </w:rPr>
        <w:t> </w:t>
      </w:r>
      <w:r>
        <w:rPr/>
        <w:t>ginkgo</w:t>
      </w:r>
      <w:r>
        <w:rPr>
          <w:spacing w:val="-15"/>
        </w:rPr>
        <w:t> </w:t>
      </w:r>
      <w:r>
        <w:rPr/>
        <w:t>actively</w:t>
      </w:r>
      <w:r>
        <w:rPr>
          <w:spacing w:val="-14"/>
        </w:rPr>
        <w:t> </w:t>
      </w:r>
      <w:r>
        <w:rPr/>
        <w:t>counteracts</w:t>
      </w:r>
      <w:r>
        <w:rPr>
          <w:spacing w:val="-14"/>
        </w:rPr>
        <w:t> </w:t>
      </w:r>
      <w:r>
        <w:rPr/>
        <w:t>concen- tration problems and learning</w:t>
      </w:r>
      <w:r>
        <w:rPr>
          <w:spacing w:val="2"/>
        </w:rPr>
        <w:t> </w:t>
      </w:r>
      <w:r>
        <w:rPr/>
        <w:t>difficulties.</w:t>
      </w:r>
    </w:p>
    <w:p>
      <w:pPr>
        <w:pStyle w:val="BodyText"/>
        <w:spacing w:line="276" w:lineRule="auto" w:before="239"/>
        <w:ind w:left="477" w:right="134"/>
        <w:jc w:val="both"/>
        <w:rPr>
          <w:sz w:val="25"/>
        </w:rPr>
      </w:pPr>
      <w:r>
        <w:rPr/>
        <w:t>In studies, the combination of ginkgo with ginseng has led to an increased re- lease of neurotransmitters that are responsible for learning and memory. This has been demonstrated in 265 subjects who showed improved both</w:t>
      </w:r>
      <w:r>
        <w:rPr>
          <w:spacing w:val="-57"/>
        </w:rPr>
        <w:t> </w:t>
      </w:r>
      <w:r>
        <w:rPr/>
        <w:t>short-term and long-term memory.</w:t>
      </w:r>
      <w:r>
        <w:rPr>
          <w:position w:val="9"/>
          <w:sz w:val="25"/>
        </w:rPr>
        <w:t>295</w:t>
      </w:r>
    </w:p>
    <w:p>
      <w:pPr>
        <w:pStyle w:val="Heading1"/>
        <w:spacing w:before="222"/>
      </w:pPr>
      <w:r>
        <w:rPr/>
        <w:t>Effect on migraines</w:t>
      </w:r>
    </w:p>
    <w:p>
      <w:pPr>
        <w:pStyle w:val="BodyText"/>
        <w:spacing w:line="276" w:lineRule="auto" w:before="300"/>
        <w:ind w:left="477" w:right="144"/>
        <w:jc w:val="both"/>
      </w:pPr>
      <w:r>
        <w:rPr/>
        <w:t>The fact that ginkgo biloba relaxes blood vessels and promotes circulation can also help with migraine, as recent studies prove.</w:t>
      </w:r>
    </w:p>
    <w:p>
      <w:pPr>
        <w:pStyle w:val="Heading1"/>
        <w:spacing w:before="223"/>
      </w:pPr>
      <w:r>
        <w:rPr/>
        <w:t>Effect of ginkgo on headaches</w:t>
      </w:r>
    </w:p>
    <w:p>
      <w:pPr>
        <w:pStyle w:val="BodyText"/>
        <w:spacing w:line="276" w:lineRule="auto" w:before="299"/>
        <w:ind w:left="477" w:right="137"/>
        <w:jc w:val="both"/>
      </w:pPr>
      <w:r>
        <w:rPr/>
        <w:t>Ginkgo</w:t>
      </w:r>
      <w:r>
        <w:rPr>
          <w:spacing w:val="-25"/>
        </w:rPr>
        <w:t> </w:t>
      </w:r>
      <w:r>
        <w:rPr/>
        <w:t>can</w:t>
      </w:r>
      <w:r>
        <w:rPr>
          <w:spacing w:val="-24"/>
        </w:rPr>
        <w:t> </w:t>
      </w:r>
      <w:r>
        <w:rPr/>
        <w:t>be</w:t>
      </w:r>
      <w:r>
        <w:rPr>
          <w:spacing w:val="-25"/>
        </w:rPr>
        <w:t> </w:t>
      </w:r>
      <w:r>
        <w:rPr/>
        <w:t>very</w:t>
      </w:r>
      <w:r>
        <w:rPr>
          <w:spacing w:val="-25"/>
        </w:rPr>
        <w:t> </w:t>
      </w:r>
      <w:r>
        <w:rPr/>
        <w:t>helpful</w:t>
      </w:r>
      <w:r>
        <w:rPr>
          <w:spacing w:val="-28"/>
        </w:rPr>
        <w:t> </w:t>
      </w:r>
      <w:r>
        <w:rPr/>
        <w:t>in</w:t>
      </w:r>
      <w:r>
        <w:rPr>
          <w:spacing w:val="-25"/>
        </w:rPr>
        <w:t> </w:t>
      </w:r>
      <w:r>
        <w:rPr/>
        <w:t>releasing</w:t>
      </w:r>
      <w:r>
        <w:rPr>
          <w:spacing w:val="-24"/>
        </w:rPr>
        <w:t> </w:t>
      </w:r>
      <w:r>
        <w:rPr/>
        <w:t>tense</w:t>
      </w:r>
      <w:r>
        <w:rPr>
          <w:spacing w:val="-25"/>
        </w:rPr>
        <w:t> </w:t>
      </w:r>
      <w:r>
        <w:rPr/>
        <w:t>muscles</w:t>
      </w:r>
      <w:r>
        <w:rPr>
          <w:spacing w:val="-24"/>
        </w:rPr>
        <w:t> </w:t>
      </w:r>
      <w:r>
        <w:rPr/>
        <w:t>and</w:t>
      </w:r>
      <w:r>
        <w:rPr>
          <w:spacing w:val="-26"/>
        </w:rPr>
        <w:t> </w:t>
      </w:r>
      <w:r>
        <w:rPr/>
        <w:t>increasing</w:t>
      </w:r>
      <w:r>
        <w:rPr>
          <w:spacing w:val="-25"/>
        </w:rPr>
        <w:t> </w:t>
      </w:r>
      <w:r>
        <w:rPr/>
        <w:t>blood</w:t>
      </w:r>
      <w:r>
        <w:rPr>
          <w:spacing w:val="-24"/>
        </w:rPr>
        <w:t> </w:t>
      </w:r>
      <w:r>
        <w:rPr/>
        <w:t>flow, especially in the event of a</w:t>
      </w:r>
      <w:r>
        <w:rPr>
          <w:spacing w:val="-1"/>
        </w:rPr>
        <w:t> </w:t>
      </w:r>
      <w:r>
        <w:rPr/>
        <w:t>tension-headache.</w:t>
      </w:r>
    </w:p>
    <w:p>
      <w:pPr>
        <w:pStyle w:val="BodyText"/>
        <w:rPr>
          <w:sz w:val="20"/>
        </w:rPr>
      </w:pPr>
    </w:p>
    <w:p>
      <w:pPr>
        <w:pStyle w:val="BodyText"/>
        <w:rPr>
          <w:sz w:val="20"/>
        </w:rPr>
      </w:pPr>
    </w:p>
    <w:p>
      <w:pPr>
        <w:pStyle w:val="BodyText"/>
        <w:rPr>
          <w:sz w:val="20"/>
        </w:rPr>
      </w:pPr>
    </w:p>
    <w:p>
      <w:pPr>
        <w:pStyle w:val="BodyText"/>
        <w:spacing w:before="6"/>
        <w:rPr>
          <w:sz w:val="13"/>
        </w:rPr>
      </w:pPr>
      <w:r>
        <w:rPr/>
        <w:pict>
          <v:line style="position:absolute;mso-position-horizontal-relative:page;mso-position-vertical-relative:paragraph;z-index:3200;mso-wrap-distance-left:0;mso-wrap-distance-right:0" from="63.863998pt,9.971235pt" to="207.883998pt,9.971235pt" stroked="true" strokeweight=".72003pt" strokecolor="#000000">
            <v:stroke dashstyle="solid"/>
            <w10:wrap type="topAndBottom"/>
          </v:line>
        </w:pict>
      </w:r>
    </w:p>
    <w:p>
      <w:pPr>
        <w:pStyle w:val="BodyText"/>
        <w:spacing w:before="7"/>
        <w:rPr>
          <w:sz w:val="18"/>
        </w:rPr>
      </w:pPr>
    </w:p>
    <w:p>
      <w:pPr>
        <w:spacing w:line="276" w:lineRule="auto" w:before="99"/>
        <w:ind w:left="477" w:right="244" w:firstLine="0"/>
        <w:jc w:val="left"/>
        <w:rPr>
          <w:sz w:val="20"/>
        </w:rPr>
      </w:pPr>
      <w:r>
        <w:rPr>
          <w:position w:val="5"/>
          <w:sz w:val="13"/>
        </w:rPr>
        <w:t>295 </w:t>
      </w:r>
      <w:r>
        <w:rPr>
          <w:sz w:val="20"/>
        </w:rPr>
        <w:t>Dr. Jörg Zittlau: Heilmittel Ginkgo – alles über die positive Wirkung auf Körper, Geist und Seele (‘Remedy Ginkgo – Everything about the Posi- tive Effect on Body, Mind and Soul’) 2006, p. 39</w:t>
      </w:r>
    </w:p>
    <w:p>
      <w:pPr>
        <w:spacing w:after="0" w:line="276" w:lineRule="auto"/>
        <w:jc w:val="left"/>
        <w:rPr>
          <w:sz w:val="20"/>
        </w:rPr>
        <w:sectPr>
          <w:pgSz w:w="14270" w:h="16850"/>
          <w:pgMar w:header="0" w:footer="1891" w:top="1600" w:bottom="2080" w:left="800" w:right="1280"/>
        </w:sectPr>
      </w:pPr>
    </w:p>
    <w:p>
      <w:pPr>
        <w:pStyle w:val="Heading1"/>
        <w:spacing w:before="164"/>
      </w:pPr>
      <w:r>
        <w:rPr/>
        <w:t>Effect against hearing loss</w:t>
      </w:r>
    </w:p>
    <w:p>
      <w:pPr>
        <w:pStyle w:val="BodyText"/>
        <w:spacing w:line="276" w:lineRule="auto" w:before="299"/>
        <w:ind w:left="477" w:right="133"/>
        <w:jc w:val="both"/>
        <w:rPr>
          <w:sz w:val="25"/>
        </w:rPr>
      </w:pPr>
      <w:r>
        <w:rPr/>
        <w:t>In addition to hearing loss and tinnitus ginkgo is also predestined for the treat- ment of deafness. Improving blood flow within the finest capillary of the</w:t>
      </w:r>
      <w:r>
        <w:rPr>
          <w:spacing w:val="-37"/>
        </w:rPr>
        <w:t> </w:t>
      </w:r>
      <w:r>
        <w:rPr/>
        <w:t>inner ear can significantly improve hearing in a few days to weeks. In a study on 350 hearing impaired persons, taking four to six ginkgo lozenges achieved a</w:t>
      </w:r>
      <w:r>
        <w:rPr>
          <w:spacing w:val="-65"/>
        </w:rPr>
        <w:t> </w:t>
      </w:r>
      <w:r>
        <w:rPr/>
        <w:t>subjec- tively improved level of hearing in 82 % of the subjects (287</w:t>
      </w:r>
      <w:r>
        <w:rPr>
          <w:spacing w:val="-11"/>
        </w:rPr>
        <w:t> </w:t>
      </w:r>
      <w:r>
        <w:rPr/>
        <w:t>subjects).</w:t>
      </w:r>
      <w:r>
        <w:rPr>
          <w:position w:val="9"/>
          <w:sz w:val="25"/>
        </w:rPr>
        <w:t>296</w:t>
      </w:r>
    </w:p>
    <w:p>
      <w:pPr>
        <w:pStyle w:val="Heading1"/>
        <w:spacing w:before="223"/>
      </w:pPr>
      <w:r>
        <w:rPr/>
        <w:t>Effect on tinnitus and hearing loss</w:t>
      </w:r>
    </w:p>
    <w:p>
      <w:pPr>
        <w:pStyle w:val="BodyText"/>
        <w:spacing w:line="276" w:lineRule="auto" w:before="299"/>
        <w:ind w:left="477" w:right="131"/>
        <w:jc w:val="both"/>
      </w:pPr>
      <w:r>
        <w:rPr/>
        <w:t>Tinnitus</w:t>
      </w:r>
      <w:r>
        <w:rPr>
          <w:spacing w:val="-7"/>
        </w:rPr>
        <w:t> </w:t>
      </w:r>
      <w:r>
        <w:rPr/>
        <w:t>is</w:t>
      </w:r>
      <w:r>
        <w:rPr>
          <w:spacing w:val="-7"/>
        </w:rPr>
        <w:t> </w:t>
      </w:r>
      <w:r>
        <w:rPr/>
        <w:t>manifested</w:t>
      </w:r>
      <w:r>
        <w:rPr>
          <w:spacing w:val="-7"/>
        </w:rPr>
        <w:t> </w:t>
      </w:r>
      <w:r>
        <w:rPr/>
        <w:t>by</w:t>
      </w:r>
      <w:r>
        <w:rPr>
          <w:spacing w:val="-8"/>
        </w:rPr>
        <w:t> </w:t>
      </w:r>
      <w:r>
        <w:rPr/>
        <w:t>permanent</w:t>
      </w:r>
      <w:r>
        <w:rPr>
          <w:spacing w:val="-7"/>
        </w:rPr>
        <w:t> </w:t>
      </w:r>
      <w:r>
        <w:rPr/>
        <w:t>or</w:t>
      </w:r>
      <w:r>
        <w:rPr>
          <w:spacing w:val="-9"/>
        </w:rPr>
        <w:t> </w:t>
      </w:r>
      <w:r>
        <w:rPr/>
        <w:t>temporary</w:t>
      </w:r>
      <w:r>
        <w:rPr>
          <w:spacing w:val="-7"/>
        </w:rPr>
        <w:t> </w:t>
      </w:r>
      <w:r>
        <w:rPr/>
        <w:t>noises</w:t>
      </w:r>
      <w:r>
        <w:rPr>
          <w:spacing w:val="-9"/>
        </w:rPr>
        <w:t> </w:t>
      </w:r>
      <w:r>
        <w:rPr/>
        <w:t>in</w:t>
      </w:r>
      <w:r>
        <w:rPr>
          <w:spacing w:val="-9"/>
        </w:rPr>
        <w:t> </w:t>
      </w:r>
      <w:r>
        <w:rPr/>
        <w:t>the</w:t>
      </w:r>
      <w:r>
        <w:rPr>
          <w:spacing w:val="-8"/>
        </w:rPr>
        <w:t> </w:t>
      </w:r>
      <w:r>
        <w:rPr/>
        <w:t>ear</w:t>
      </w:r>
      <w:r>
        <w:rPr>
          <w:spacing w:val="-7"/>
        </w:rPr>
        <w:t> </w:t>
      </w:r>
      <w:r>
        <w:rPr/>
        <w:t>in</w:t>
      </w:r>
      <w:r>
        <w:rPr>
          <w:spacing w:val="-9"/>
        </w:rPr>
        <w:t> </w:t>
      </w:r>
      <w:r>
        <w:rPr/>
        <w:t>the</w:t>
      </w:r>
      <w:r>
        <w:rPr>
          <w:spacing w:val="-8"/>
        </w:rPr>
        <w:t> </w:t>
      </w:r>
      <w:r>
        <w:rPr/>
        <w:t>form of ringing, hissing or whistling noises. These are usually associated with a per- fusion disorder of the inner ear, more specifically the hair cells of the inner</w:t>
      </w:r>
      <w:r>
        <w:rPr>
          <w:spacing w:val="-55"/>
        </w:rPr>
        <w:t> </w:t>
      </w:r>
      <w:r>
        <w:rPr/>
        <w:t>ear, which belong to the sensory cells in the</w:t>
      </w:r>
      <w:r>
        <w:rPr>
          <w:spacing w:val="1"/>
        </w:rPr>
        <w:t> </w:t>
      </w:r>
      <w:r>
        <w:rPr/>
        <w:t>ear.</w:t>
      </w:r>
    </w:p>
    <w:p>
      <w:pPr>
        <w:pStyle w:val="BodyText"/>
        <w:spacing w:line="276" w:lineRule="auto" w:before="240"/>
        <w:ind w:left="477" w:right="132"/>
        <w:jc w:val="both"/>
      </w:pPr>
      <w:r>
        <w:rPr/>
        <w:t>Ginkgo</w:t>
      </w:r>
      <w:r>
        <w:rPr>
          <w:spacing w:val="-10"/>
        </w:rPr>
        <w:t> </w:t>
      </w:r>
      <w:r>
        <w:rPr/>
        <w:t>can</w:t>
      </w:r>
      <w:r>
        <w:rPr>
          <w:spacing w:val="-9"/>
        </w:rPr>
        <w:t> </w:t>
      </w:r>
      <w:r>
        <w:rPr/>
        <w:t>help</w:t>
      </w:r>
      <w:r>
        <w:rPr>
          <w:spacing w:val="-12"/>
        </w:rPr>
        <w:t> </w:t>
      </w:r>
      <w:r>
        <w:rPr/>
        <w:t>with</w:t>
      </w:r>
      <w:r>
        <w:rPr>
          <w:spacing w:val="-9"/>
        </w:rPr>
        <w:t> </w:t>
      </w:r>
      <w:r>
        <w:rPr/>
        <w:t>tinnitus</w:t>
      </w:r>
      <w:r>
        <w:rPr>
          <w:spacing w:val="-10"/>
        </w:rPr>
        <w:t> </w:t>
      </w:r>
      <w:r>
        <w:rPr/>
        <w:t>thanks</w:t>
      </w:r>
      <w:r>
        <w:rPr>
          <w:spacing w:val="-9"/>
        </w:rPr>
        <w:t> </w:t>
      </w:r>
      <w:r>
        <w:rPr/>
        <w:t>to</w:t>
      </w:r>
      <w:r>
        <w:rPr>
          <w:spacing w:val="-10"/>
        </w:rPr>
        <w:t> </w:t>
      </w:r>
      <w:r>
        <w:rPr/>
        <w:t>its</w:t>
      </w:r>
      <w:r>
        <w:rPr>
          <w:spacing w:val="-10"/>
        </w:rPr>
        <w:t> </w:t>
      </w:r>
      <w:r>
        <w:rPr/>
        <w:t>proven</w:t>
      </w:r>
      <w:r>
        <w:rPr>
          <w:spacing w:val="-10"/>
        </w:rPr>
        <w:t> </w:t>
      </w:r>
      <w:r>
        <w:rPr/>
        <w:t>circulatory</w:t>
      </w:r>
      <w:r>
        <w:rPr>
          <w:spacing w:val="-9"/>
        </w:rPr>
        <w:t> </w:t>
      </w:r>
      <w:r>
        <w:rPr/>
        <w:t>properties.</w:t>
      </w:r>
      <w:r>
        <w:rPr>
          <w:spacing w:val="-8"/>
        </w:rPr>
        <w:t> </w:t>
      </w:r>
      <w:r>
        <w:rPr/>
        <w:t>Here, symptoms</w:t>
      </w:r>
      <w:r>
        <w:rPr>
          <w:spacing w:val="-14"/>
        </w:rPr>
        <w:t> </w:t>
      </w:r>
      <w:r>
        <w:rPr/>
        <w:t>should</w:t>
      </w:r>
      <w:r>
        <w:rPr>
          <w:spacing w:val="-14"/>
        </w:rPr>
        <w:t> </w:t>
      </w:r>
      <w:r>
        <w:rPr/>
        <w:t>improve</w:t>
      </w:r>
      <w:r>
        <w:rPr>
          <w:spacing w:val="-14"/>
        </w:rPr>
        <w:t> </w:t>
      </w:r>
      <w:r>
        <w:rPr/>
        <w:t>after</w:t>
      </w:r>
      <w:r>
        <w:rPr>
          <w:spacing w:val="-13"/>
        </w:rPr>
        <w:t> </w:t>
      </w:r>
      <w:r>
        <w:rPr/>
        <w:t>six</w:t>
      </w:r>
      <w:r>
        <w:rPr>
          <w:spacing w:val="-15"/>
        </w:rPr>
        <w:t> </w:t>
      </w:r>
      <w:r>
        <w:rPr/>
        <w:t>to</w:t>
      </w:r>
      <w:r>
        <w:rPr>
          <w:spacing w:val="-14"/>
        </w:rPr>
        <w:t> </w:t>
      </w:r>
      <w:r>
        <w:rPr/>
        <w:t>eight</w:t>
      </w:r>
      <w:r>
        <w:rPr>
          <w:spacing w:val="-14"/>
        </w:rPr>
        <w:t> </w:t>
      </w:r>
      <w:r>
        <w:rPr/>
        <w:t>weeks,</w:t>
      </w:r>
      <w:r>
        <w:rPr>
          <w:spacing w:val="-12"/>
        </w:rPr>
        <w:t> </w:t>
      </w:r>
      <w:r>
        <w:rPr/>
        <w:t>if</w:t>
      </w:r>
      <w:r>
        <w:rPr>
          <w:spacing w:val="-15"/>
        </w:rPr>
        <w:t> </w:t>
      </w:r>
      <w:r>
        <w:rPr/>
        <w:t>they</w:t>
      </w:r>
      <w:r>
        <w:rPr>
          <w:spacing w:val="-13"/>
        </w:rPr>
        <w:t> </w:t>
      </w:r>
      <w:r>
        <w:rPr/>
        <w:t>do</w:t>
      </w:r>
      <w:r>
        <w:rPr>
          <w:spacing w:val="-14"/>
        </w:rPr>
        <w:t> </w:t>
      </w:r>
      <w:r>
        <w:rPr/>
        <w:t>not,</w:t>
      </w:r>
      <w:r>
        <w:rPr>
          <w:spacing w:val="-15"/>
        </w:rPr>
        <w:t> </w:t>
      </w:r>
      <w:r>
        <w:rPr/>
        <w:t>the</w:t>
      </w:r>
      <w:r>
        <w:rPr>
          <w:spacing w:val="-13"/>
        </w:rPr>
        <w:t> </w:t>
      </w:r>
      <w:r>
        <w:rPr/>
        <w:t>prospects for later improvement are rather worse. Particularly with new cases of tinnitus, the chances of relief or recovery are quite good; in one study, ginkgo relieved half of the 72 patients and outperformed the effects of a common chemical drug. Other studies even showed a symptom improvement rate of over 80 %. The</w:t>
      </w:r>
      <w:r>
        <w:rPr>
          <w:spacing w:val="8"/>
        </w:rPr>
        <w:t> </w:t>
      </w:r>
      <w:r>
        <w:rPr/>
        <w:t>fastest</w:t>
      </w:r>
      <w:r>
        <w:rPr>
          <w:spacing w:val="9"/>
        </w:rPr>
        <w:t> </w:t>
      </w:r>
      <w:r>
        <w:rPr/>
        <w:t>and</w:t>
      </w:r>
      <w:r>
        <w:rPr>
          <w:spacing w:val="6"/>
        </w:rPr>
        <w:t> </w:t>
      </w:r>
      <w:r>
        <w:rPr/>
        <w:t>most</w:t>
      </w:r>
      <w:r>
        <w:rPr>
          <w:spacing w:val="8"/>
        </w:rPr>
        <w:t> </w:t>
      </w:r>
      <w:r>
        <w:rPr/>
        <w:t>efficient</w:t>
      </w:r>
      <w:r>
        <w:rPr>
          <w:spacing w:val="9"/>
        </w:rPr>
        <w:t> </w:t>
      </w:r>
      <w:r>
        <w:rPr/>
        <w:t>form</w:t>
      </w:r>
      <w:r>
        <w:rPr>
          <w:spacing w:val="8"/>
        </w:rPr>
        <w:t> </w:t>
      </w:r>
      <w:r>
        <w:rPr/>
        <w:t>is</w:t>
      </w:r>
      <w:r>
        <w:rPr>
          <w:spacing w:val="6"/>
        </w:rPr>
        <w:t> </w:t>
      </w:r>
      <w:r>
        <w:rPr/>
        <w:t>the</w:t>
      </w:r>
      <w:r>
        <w:rPr>
          <w:spacing w:val="9"/>
        </w:rPr>
        <w:t> </w:t>
      </w:r>
      <w:r>
        <w:rPr/>
        <w:t>infusion</w:t>
      </w:r>
      <w:r>
        <w:rPr>
          <w:spacing w:val="9"/>
        </w:rPr>
        <w:t> </w:t>
      </w:r>
      <w:r>
        <w:rPr/>
        <w:t>of</w:t>
      </w:r>
      <w:r>
        <w:rPr>
          <w:spacing w:val="6"/>
        </w:rPr>
        <w:t> </w:t>
      </w:r>
      <w:r>
        <w:rPr/>
        <w:t>200</w:t>
      </w:r>
      <w:r>
        <w:rPr>
          <w:spacing w:val="6"/>
        </w:rPr>
        <w:t> </w:t>
      </w:r>
      <w:r>
        <w:rPr/>
        <w:t>mg</w:t>
      </w:r>
      <w:r>
        <w:rPr>
          <w:spacing w:val="6"/>
        </w:rPr>
        <w:t> </w:t>
      </w:r>
      <w:r>
        <w:rPr/>
        <w:t>over</w:t>
      </w:r>
      <w:r>
        <w:rPr>
          <w:spacing w:val="9"/>
        </w:rPr>
        <w:t> </w:t>
      </w:r>
      <w:r>
        <w:rPr/>
        <w:t>a</w:t>
      </w:r>
      <w:r>
        <w:rPr>
          <w:spacing w:val="7"/>
        </w:rPr>
        <w:t> </w:t>
      </w:r>
      <w:r>
        <w:rPr/>
        <w:t>few</w:t>
      </w:r>
      <w:r>
        <w:rPr>
          <w:spacing w:val="7"/>
        </w:rPr>
        <w:t> </w:t>
      </w:r>
      <w:r>
        <w:rPr/>
        <w:t>days.</w:t>
      </w:r>
    </w:p>
    <w:p>
      <w:pPr>
        <w:pStyle w:val="BodyText"/>
        <w:rPr>
          <w:sz w:val="20"/>
        </w:rPr>
      </w:pPr>
    </w:p>
    <w:p>
      <w:pPr>
        <w:pStyle w:val="BodyText"/>
        <w:rPr>
          <w:sz w:val="16"/>
        </w:rPr>
      </w:pPr>
      <w:r>
        <w:rPr/>
        <w:pict>
          <v:line style="position:absolute;mso-position-horizontal-relative:page;mso-position-vertical-relative:paragraph;z-index:3224;mso-wrap-distance-left:0;mso-wrap-distance-right:0" from="63.863998pt,11.390015pt" to="207.883998pt,11.39001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296 </w:t>
      </w:r>
      <w:r>
        <w:rPr>
          <w:sz w:val="20"/>
        </w:rPr>
        <w:t>Silvia Aulehla: Vorbeugen und heilen mit der Kraft des Ginkgo (‘Prevention and Cure with the Power of Ginkgo’) 1997, p. 27</w:t>
      </w:r>
    </w:p>
    <w:p>
      <w:pPr>
        <w:spacing w:after="0"/>
        <w:jc w:val="left"/>
        <w:rPr>
          <w:sz w:val="20"/>
        </w:rPr>
        <w:sectPr>
          <w:pgSz w:w="14270" w:h="16850"/>
          <w:pgMar w:header="0" w:footer="1891" w:top="1600" w:bottom="2080" w:left="800" w:right="1280"/>
        </w:sectPr>
      </w:pPr>
    </w:p>
    <w:p>
      <w:pPr>
        <w:pStyle w:val="BodyText"/>
        <w:spacing w:line="276" w:lineRule="auto" w:before="181"/>
        <w:ind w:left="477" w:right="133"/>
        <w:jc w:val="both"/>
      </w:pPr>
      <w:r>
        <w:rPr/>
        <w:t>However,</w:t>
      </w:r>
      <w:r>
        <w:rPr>
          <w:spacing w:val="-17"/>
        </w:rPr>
        <w:t> </w:t>
      </w:r>
      <w:r>
        <w:rPr/>
        <w:t>taking</w:t>
      </w:r>
      <w:r>
        <w:rPr>
          <w:spacing w:val="-14"/>
        </w:rPr>
        <w:t> </w:t>
      </w:r>
      <w:r>
        <w:rPr/>
        <w:t>tablets</w:t>
      </w:r>
      <w:r>
        <w:rPr>
          <w:spacing w:val="-16"/>
        </w:rPr>
        <w:t> </w:t>
      </w:r>
      <w:r>
        <w:rPr/>
        <w:t>over</w:t>
      </w:r>
      <w:r>
        <w:rPr>
          <w:spacing w:val="-16"/>
        </w:rPr>
        <w:t> </w:t>
      </w:r>
      <w:r>
        <w:rPr/>
        <w:t>several</w:t>
      </w:r>
      <w:r>
        <w:rPr>
          <w:spacing w:val="-18"/>
        </w:rPr>
        <w:t> </w:t>
      </w:r>
      <w:r>
        <w:rPr/>
        <w:t>weeks</w:t>
      </w:r>
      <w:r>
        <w:rPr>
          <w:spacing w:val="-16"/>
        </w:rPr>
        <w:t> </w:t>
      </w:r>
      <w:r>
        <w:rPr/>
        <w:t>may</w:t>
      </w:r>
      <w:r>
        <w:rPr>
          <w:spacing w:val="-17"/>
        </w:rPr>
        <w:t> </w:t>
      </w:r>
      <w:r>
        <w:rPr/>
        <w:t>also</w:t>
      </w:r>
      <w:r>
        <w:rPr>
          <w:spacing w:val="-16"/>
        </w:rPr>
        <w:t> </w:t>
      </w:r>
      <w:r>
        <w:rPr/>
        <w:t>be</w:t>
      </w:r>
      <w:r>
        <w:rPr>
          <w:spacing w:val="-16"/>
        </w:rPr>
        <w:t> </w:t>
      </w:r>
      <w:r>
        <w:rPr/>
        <w:t>sufficiently</w:t>
      </w:r>
      <w:r>
        <w:rPr>
          <w:spacing w:val="-17"/>
        </w:rPr>
        <w:t> </w:t>
      </w:r>
      <w:r>
        <w:rPr/>
        <w:t>effective</w:t>
      </w:r>
      <w:r>
        <w:rPr>
          <w:spacing w:val="-17"/>
        </w:rPr>
        <w:t> </w:t>
      </w:r>
      <w:r>
        <w:rPr/>
        <w:t>for less intense symptoms.</w:t>
      </w:r>
    </w:p>
    <w:p>
      <w:pPr>
        <w:pStyle w:val="Heading1"/>
      </w:pPr>
      <w:r>
        <w:rPr/>
        <w:t>Effect on bladder infection/cystitis</w:t>
      </w:r>
    </w:p>
    <w:p>
      <w:pPr>
        <w:pStyle w:val="BodyText"/>
        <w:spacing w:line="276" w:lineRule="auto" w:before="299"/>
        <w:ind w:left="477" w:right="130"/>
        <w:jc w:val="both"/>
      </w:pPr>
      <w:r>
        <w:rPr/>
        <w:t>It is well known that ginkgo seeds have antibiotic properties, so they can treat the</w:t>
      </w:r>
      <w:r>
        <w:rPr>
          <w:spacing w:val="-15"/>
        </w:rPr>
        <w:t> </w:t>
      </w:r>
      <w:r>
        <w:rPr/>
        <w:t>cause</w:t>
      </w:r>
      <w:r>
        <w:rPr>
          <w:spacing w:val="-16"/>
        </w:rPr>
        <w:t> </w:t>
      </w:r>
      <w:r>
        <w:rPr/>
        <w:t>of</w:t>
      </w:r>
      <w:r>
        <w:rPr>
          <w:spacing w:val="-15"/>
        </w:rPr>
        <w:t> </w:t>
      </w:r>
      <w:r>
        <w:rPr/>
        <w:t>cystitis</w:t>
      </w:r>
      <w:r>
        <w:rPr>
          <w:spacing w:val="-15"/>
        </w:rPr>
        <w:t> </w:t>
      </w:r>
      <w:r>
        <w:rPr/>
        <w:t>(bacterial</w:t>
      </w:r>
      <w:r>
        <w:rPr>
          <w:spacing w:val="-18"/>
        </w:rPr>
        <w:t> </w:t>
      </w:r>
      <w:r>
        <w:rPr/>
        <w:t>infection).</w:t>
      </w:r>
      <w:r>
        <w:rPr>
          <w:spacing w:val="-15"/>
        </w:rPr>
        <w:t> </w:t>
      </w:r>
      <w:r>
        <w:rPr/>
        <w:t>5-10</w:t>
      </w:r>
      <w:r>
        <w:rPr>
          <w:spacing w:val="-16"/>
        </w:rPr>
        <w:t> </w:t>
      </w:r>
      <w:r>
        <w:rPr/>
        <w:t>g</w:t>
      </w:r>
      <w:r>
        <w:rPr>
          <w:spacing w:val="-15"/>
        </w:rPr>
        <w:t> </w:t>
      </w:r>
      <w:r>
        <w:rPr/>
        <w:t>of</w:t>
      </w:r>
      <w:r>
        <w:rPr>
          <w:spacing w:val="-16"/>
        </w:rPr>
        <w:t> </w:t>
      </w:r>
      <w:r>
        <w:rPr/>
        <w:t>ginkgo</w:t>
      </w:r>
      <w:r>
        <w:rPr>
          <w:spacing w:val="-16"/>
        </w:rPr>
        <w:t> </w:t>
      </w:r>
      <w:r>
        <w:rPr/>
        <w:t>nuts</w:t>
      </w:r>
      <w:r>
        <w:rPr>
          <w:spacing w:val="-16"/>
        </w:rPr>
        <w:t> </w:t>
      </w:r>
      <w:r>
        <w:rPr/>
        <w:t>ground</w:t>
      </w:r>
      <w:r>
        <w:rPr>
          <w:spacing w:val="-16"/>
        </w:rPr>
        <w:t> </w:t>
      </w:r>
      <w:r>
        <w:rPr/>
        <w:t>as</w:t>
      </w:r>
      <w:r>
        <w:rPr>
          <w:spacing w:val="-16"/>
        </w:rPr>
        <w:t> </w:t>
      </w:r>
      <w:r>
        <w:rPr/>
        <w:t>a</w:t>
      </w:r>
      <w:r>
        <w:rPr>
          <w:spacing w:val="-17"/>
        </w:rPr>
        <w:t> </w:t>
      </w:r>
      <w:r>
        <w:rPr/>
        <w:t>pow- der,</w:t>
      </w:r>
      <w:r>
        <w:rPr>
          <w:spacing w:val="-21"/>
        </w:rPr>
        <w:t> </w:t>
      </w:r>
      <w:r>
        <w:rPr/>
        <w:t>dissolved</w:t>
      </w:r>
      <w:r>
        <w:rPr>
          <w:spacing w:val="-23"/>
        </w:rPr>
        <w:t> </w:t>
      </w:r>
      <w:r>
        <w:rPr/>
        <w:t>in</w:t>
      </w:r>
      <w:r>
        <w:rPr>
          <w:spacing w:val="-22"/>
        </w:rPr>
        <w:t> </w:t>
      </w:r>
      <w:r>
        <w:rPr/>
        <w:t>liquid</w:t>
      </w:r>
      <w:r>
        <w:rPr>
          <w:spacing w:val="-22"/>
        </w:rPr>
        <w:t> </w:t>
      </w:r>
      <w:r>
        <w:rPr/>
        <w:t>and</w:t>
      </w:r>
      <w:r>
        <w:rPr>
          <w:spacing w:val="-20"/>
        </w:rPr>
        <w:t> </w:t>
      </w:r>
      <w:r>
        <w:rPr/>
        <w:t>taken</w:t>
      </w:r>
      <w:r>
        <w:rPr>
          <w:spacing w:val="-21"/>
        </w:rPr>
        <w:t> </w:t>
      </w:r>
      <w:r>
        <w:rPr/>
        <w:t>3</w:t>
      </w:r>
      <w:r>
        <w:rPr>
          <w:spacing w:val="-21"/>
        </w:rPr>
        <w:t> </w:t>
      </w:r>
      <w:r>
        <w:rPr/>
        <w:t>times</w:t>
      </w:r>
      <w:r>
        <w:rPr>
          <w:spacing w:val="-20"/>
        </w:rPr>
        <w:t> </w:t>
      </w:r>
      <w:r>
        <w:rPr/>
        <w:t>a</w:t>
      </w:r>
      <w:r>
        <w:rPr>
          <w:spacing w:val="-21"/>
        </w:rPr>
        <w:t> </w:t>
      </w:r>
      <w:r>
        <w:rPr/>
        <w:t>day,</w:t>
      </w:r>
      <w:r>
        <w:rPr>
          <w:spacing w:val="-22"/>
        </w:rPr>
        <w:t> </w:t>
      </w:r>
      <w:r>
        <w:rPr/>
        <w:t>can</w:t>
      </w:r>
      <w:r>
        <w:rPr>
          <w:spacing w:val="-21"/>
        </w:rPr>
        <w:t> </w:t>
      </w:r>
      <w:r>
        <w:rPr/>
        <w:t>be</w:t>
      </w:r>
      <w:r>
        <w:rPr>
          <w:spacing w:val="-22"/>
        </w:rPr>
        <w:t> </w:t>
      </w:r>
      <w:r>
        <w:rPr/>
        <w:t>very</w:t>
      </w:r>
      <w:r>
        <w:rPr>
          <w:spacing w:val="-22"/>
        </w:rPr>
        <w:t> </w:t>
      </w:r>
      <w:r>
        <w:rPr/>
        <w:t>efficient</w:t>
      </w:r>
      <w:r>
        <w:rPr>
          <w:spacing w:val="-20"/>
        </w:rPr>
        <w:t> </w:t>
      </w:r>
      <w:r>
        <w:rPr/>
        <w:t>in</w:t>
      </w:r>
      <w:r>
        <w:rPr>
          <w:spacing w:val="-20"/>
        </w:rPr>
        <w:t> </w:t>
      </w:r>
      <w:r>
        <w:rPr/>
        <w:t>managing this painful condition.</w:t>
      </w:r>
    </w:p>
    <w:p>
      <w:pPr>
        <w:pStyle w:val="Heading1"/>
        <w:spacing w:before="223"/>
      </w:pPr>
      <w:r>
        <w:rPr/>
        <w:t>Protection against the effects of</w:t>
      </w:r>
      <w:r>
        <w:rPr>
          <w:spacing w:val="-53"/>
        </w:rPr>
        <w:t> </w:t>
      </w:r>
      <w:r>
        <w:rPr/>
        <w:t>diabetes</w:t>
      </w:r>
    </w:p>
    <w:p>
      <w:pPr>
        <w:pStyle w:val="BodyText"/>
        <w:spacing w:line="276" w:lineRule="auto" w:before="299"/>
        <w:ind w:left="477" w:right="132"/>
        <w:jc w:val="both"/>
        <w:rPr>
          <w:sz w:val="25"/>
        </w:rPr>
      </w:pPr>
      <w:r>
        <w:rPr/>
        <w:t>Among the many negative consequences of diabetes is macular degeneration, the destruction of the retina. Between 12,000 and 24,000 new cases of </w:t>
      </w:r>
      <w:r>
        <w:rPr>
          <w:b/>
        </w:rPr>
        <w:t>blind- ness </w:t>
      </w:r>
      <w:r>
        <w:rPr/>
        <w:t>from </w:t>
      </w:r>
      <w:r>
        <w:rPr>
          <w:b/>
        </w:rPr>
        <w:t>diabetic </w:t>
      </w:r>
      <w:r>
        <w:rPr/>
        <w:t>retinopathy occur in the United States </w:t>
      </w:r>
      <w:r>
        <w:rPr>
          <w:b/>
        </w:rPr>
        <w:t>each year</w:t>
      </w:r>
      <w:r>
        <w:rPr/>
        <w:t>, accord- ing to CDC.</w:t>
      </w:r>
      <w:r>
        <w:rPr>
          <w:position w:val="9"/>
          <w:sz w:val="25"/>
        </w:rPr>
        <w:t>297</w:t>
      </w:r>
    </w:p>
    <w:p>
      <w:pPr>
        <w:pStyle w:val="BodyText"/>
        <w:spacing w:line="276" w:lineRule="auto" w:before="239"/>
        <w:ind w:left="477" w:right="131"/>
        <w:jc w:val="both"/>
      </w:pPr>
      <w:r>
        <w:rPr/>
        <w:t>The reason for this is the disturbance of the cell metabolism due to a lack of blood flow and the lack of supply of oxygen and nutrients to the retina as a result.</w:t>
      </w:r>
      <w:r>
        <w:rPr>
          <w:spacing w:val="-24"/>
        </w:rPr>
        <w:t> </w:t>
      </w:r>
      <w:r>
        <w:rPr/>
        <w:t>By</w:t>
      </w:r>
      <w:r>
        <w:rPr>
          <w:spacing w:val="-23"/>
        </w:rPr>
        <w:t> </w:t>
      </w:r>
      <w:r>
        <w:rPr/>
        <w:t>increasing</w:t>
      </w:r>
      <w:r>
        <w:rPr>
          <w:spacing w:val="-22"/>
        </w:rPr>
        <w:t> </w:t>
      </w:r>
      <w:r>
        <w:rPr/>
        <w:t>the</w:t>
      </w:r>
      <w:r>
        <w:rPr>
          <w:spacing w:val="-23"/>
        </w:rPr>
        <w:t> </w:t>
      </w:r>
      <w:r>
        <w:rPr/>
        <w:t>blood</w:t>
      </w:r>
      <w:r>
        <w:rPr>
          <w:spacing w:val="-22"/>
        </w:rPr>
        <w:t> </w:t>
      </w:r>
      <w:r>
        <w:rPr/>
        <w:t>flow</w:t>
      </w:r>
      <w:r>
        <w:rPr>
          <w:spacing w:val="-24"/>
        </w:rPr>
        <w:t> </w:t>
      </w:r>
      <w:r>
        <w:rPr/>
        <w:t>to</w:t>
      </w:r>
      <w:r>
        <w:rPr>
          <w:spacing w:val="-22"/>
        </w:rPr>
        <w:t> </w:t>
      </w:r>
      <w:r>
        <w:rPr/>
        <w:t>the</w:t>
      </w:r>
      <w:r>
        <w:rPr>
          <w:spacing w:val="-23"/>
        </w:rPr>
        <w:t> </w:t>
      </w:r>
      <w:r>
        <w:rPr/>
        <w:t>macula,</w:t>
      </w:r>
      <w:r>
        <w:rPr>
          <w:spacing w:val="-22"/>
        </w:rPr>
        <w:t> </w:t>
      </w:r>
      <w:r>
        <w:rPr/>
        <w:t>ginkgo</w:t>
      </w:r>
      <w:r>
        <w:rPr>
          <w:spacing w:val="-22"/>
        </w:rPr>
        <w:t> </w:t>
      </w:r>
      <w:r>
        <w:rPr/>
        <w:t>can</w:t>
      </w:r>
      <w:r>
        <w:rPr>
          <w:spacing w:val="-23"/>
        </w:rPr>
        <w:t> </w:t>
      </w:r>
      <w:r>
        <w:rPr/>
        <w:t>successfully</w:t>
      </w:r>
      <w:r>
        <w:rPr>
          <w:spacing w:val="-22"/>
        </w:rPr>
        <w:t> </w:t>
      </w:r>
      <w:r>
        <w:rPr/>
        <w:t>coun- teract this</w:t>
      </w:r>
      <w:r>
        <w:rPr>
          <w:spacing w:val="2"/>
        </w:rPr>
        <w:t> </w:t>
      </w:r>
      <w:r>
        <w:rPr/>
        <w:t>problem.</w:t>
      </w:r>
    </w:p>
    <w:p>
      <w:pPr>
        <w:pStyle w:val="Heading1"/>
        <w:spacing w:before="225"/>
        <w:jc w:val="both"/>
      </w:pPr>
      <w:r>
        <w:rPr/>
        <w:t>Impaired eyesight and eye problems in general</w:t>
      </w:r>
    </w:p>
    <w:p>
      <w:pPr>
        <w:pStyle w:val="BodyText"/>
        <w:rPr>
          <w:b/>
          <w:i/>
          <w:sz w:val="20"/>
        </w:rPr>
      </w:pPr>
    </w:p>
    <w:p>
      <w:pPr>
        <w:pStyle w:val="BodyText"/>
        <w:spacing w:before="1"/>
        <w:rPr>
          <w:b/>
          <w:i/>
          <w:sz w:val="22"/>
        </w:rPr>
      </w:pPr>
      <w:r>
        <w:rPr/>
        <w:pict>
          <v:line style="position:absolute;mso-position-horizontal-relative:page;mso-position-vertical-relative:paragraph;z-index:3248;mso-wrap-distance-left:0;mso-wrap-distance-right:0" from="63.863998pt,14.802515pt" to="207.883998pt,14.802515pt" stroked="true" strokeweight=".71997pt" strokecolor="#000000">
            <v:stroke dashstyle="solid"/>
            <w10:wrap type="topAndBottom"/>
          </v:line>
        </w:pict>
      </w:r>
    </w:p>
    <w:p>
      <w:pPr>
        <w:pStyle w:val="BodyText"/>
        <w:spacing w:before="7"/>
        <w:rPr>
          <w:b/>
          <w:i/>
          <w:sz w:val="18"/>
        </w:rPr>
      </w:pPr>
    </w:p>
    <w:p>
      <w:pPr>
        <w:spacing w:before="100"/>
        <w:ind w:left="477" w:right="0" w:firstLine="0"/>
        <w:jc w:val="left"/>
        <w:rPr>
          <w:sz w:val="20"/>
        </w:rPr>
      </w:pPr>
      <w:r>
        <w:rPr>
          <w:position w:val="5"/>
          <w:sz w:val="13"/>
        </w:rPr>
        <w:t>297 </w:t>
      </w:r>
      <w:r>
        <w:rPr>
          <w:sz w:val="20"/>
        </w:rPr>
        <w:t>https://</w:t>
      </w:r>
      <w:hyperlink r:id="rId112">
        <w:r>
          <w:rPr>
            <w:sz w:val="20"/>
          </w:rPr>
          <w:t>www.allaboutvision.com/conditions/diabetic.htm</w:t>
        </w:r>
      </w:hyperlink>
    </w:p>
    <w:p>
      <w:pPr>
        <w:spacing w:after="0"/>
        <w:jc w:val="left"/>
        <w:rPr>
          <w:sz w:val="20"/>
        </w:rPr>
        <w:sectPr>
          <w:pgSz w:w="14270" w:h="16850"/>
          <w:pgMar w:header="0" w:footer="1891" w:top="1600" w:bottom="2080" w:left="800" w:right="1280"/>
        </w:sectPr>
      </w:pPr>
    </w:p>
    <w:p>
      <w:pPr>
        <w:pStyle w:val="BodyText"/>
        <w:spacing w:line="276" w:lineRule="auto" w:before="181"/>
        <w:ind w:left="477" w:right="137"/>
        <w:jc w:val="both"/>
      </w:pPr>
      <w:r>
        <w:rPr/>
        <w:t>The visual function of the eye is dependent on being connected to the brain, which in turn occurs via nerves and blood vessels. By improving blood flow, ginkgo supplies the retina and optic nerve with oxygen and nutrients to an op- timal degree; the eye ages more slowly and even an existing visual impairment can be remedied again.</w:t>
      </w:r>
    </w:p>
    <w:p>
      <w:pPr>
        <w:pStyle w:val="Heading1"/>
        <w:spacing w:before="223"/>
      </w:pPr>
      <w:r>
        <w:rPr/>
        <w:t>How ginkgo biloba works against macular degeneration</w:t>
      </w:r>
    </w:p>
    <w:p>
      <w:pPr>
        <w:pStyle w:val="BodyText"/>
        <w:spacing w:line="276" w:lineRule="auto" w:before="299"/>
        <w:ind w:left="477" w:right="132"/>
        <w:jc w:val="both"/>
      </w:pPr>
      <w:r>
        <w:rPr/>
        <w:t>Smoking, high blood pressure and diabetes, but also normal ageing, often lead to degeneration of the retina; its cells are no longer adequately perfused and thus poorly supplied with oxygen and nutrients, whereby cell metabolism and then</w:t>
      </w:r>
      <w:r>
        <w:rPr>
          <w:spacing w:val="-15"/>
        </w:rPr>
        <w:t> </w:t>
      </w:r>
      <w:r>
        <w:rPr/>
        <w:t>the</w:t>
      </w:r>
      <w:r>
        <w:rPr>
          <w:spacing w:val="-17"/>
        </w:rPr>
        <w:t> </w:t>
      </w:r>
      <w:r>
        <w:rPr/>
        <w:t>retina</w:t>
      </w:r>
      <w:r>
        <w:rPr>
          <w:spacing w:val="-18"/>
        </w:rPr>
        <w:t> </w:t>
      </w:r>
      <w:r>
        <w:rPr/>
        <w:t>suffer</w:t>
      </w:r>
      <w:r>
        <w:rPr>
          <w:spacing w:val="-16"/>
        </w:rPr>
        <w:t> </w:t>
      </w:r>
      <w:r>
        <w:rPr/>
        <w:t>as</w:t>
      </w:r>
      <w:r>
        <w:rPr>
          <w:spacing w:val="-16"/>
        </w:rPr>
        <w:t> </w:t>
      </w:r>
      <w:r>
        <w:rPr/>
        <w:t>a</w:t>
      </w:r>
      <w:r>
        <w:rPr>
          <w:spacing w:val="-18"/>
        </w:rPr>
        <w:t> </w:t>
      </w:r>
      <w:r>
        <w:rPr/>
        <w:t>result.</w:t>
      </w:r>
      <w:r>
        <w:rPr>
          <w:spacing w:val="-19"/>
        </w:rPr>
        <w:t> </w:t>
      </w:r>
      <w:r>
        <w:rPr/>
        <w:t>Ginkgo</w:t>
      </w:r>
      <w:r>
        <w:rPr>
          <w:spacing w:val="-15"/>
        </w:rPr>
        <w:t> </w:t>
      </w:r>
      <w:r>
        <w:rPr/>
        <w:t>increases</w:t>
      </w:r>
      <w:r>
        <w:rPr>
          <w:spacing w:val="-15"/>
        </w:rPr>
        <w:t> </w:t>
      </w:r>
      <w:r>
        <w:rPr/>
        <w:t>the</w:t>
      </w:r>
      <w:r>
        <w:rPr>
          <w:spacing w:val="-17"/>
        </w:rPr>
        <w:t> </w:t>
      </w:r>
      <w:r>
        <w:rPr/>
        <w:t>blood</w:t>
      </w:r>
      <w:r>
        <w:rPr>
          <w:spacing w:val="-19"/>
        </w:rPr>
        <w:t> </w:t>
      </w:r>
      <w:r>
        <w:rPr/>
        <w:t>supply</w:t>
      </w:r>
      <w:r>
        <w:rPr>
          <w:spacing w:val="-17"/>
        </w:rPr>
        <w:t> </w:t>
      </w:r>
      <w:r>
        <w:rPr/>
        <w:t>to</w:t>
      </w:r>
      <w:r>
        <w:rPr>
          <w:spacing w:val="-18"/>
        </w:rPr>
        <w:t> </w:t>
      </w:r>
      <w:r>
        <w:rPr/>
        <w:t>the</w:t>
      </w:r>
      <w:r>
        <w:rPr>
          <w:spacing w:val="-17"/>
        </w:rPr>
        <w:t> </w:t>
      </w:r>
      <w:r>
        <w:rPr/>
        <w:t>retina and can optimise cell metabolism and regenerate the</w:t>
      </w:r>
      <w:r>
        <w:rPr>
          <w:spacing w:val="2"/>
        </w:rPr>
        <w:t> </w:t>
      </w:r>
      <w:r>
        <w:rPr/>
        <w:t>retina.</w:t>
      </w:r>
    </w:p>
    <w:p>
      <w:pPr>
        <w:pStyle w:val="Heading1"/>
        <w:spacing w:before="223"/>
      </w:pPr>
      <w:r>
        <w:rPr/>
        <w:t>Effect on glaucoma</w:t>
      </w:r>
    </w:p>
    <w:p>
      <w:pPr>
        <w:pStyle w:val="BodyText"/>
        <w:spacing w:line="276" w:lineRule="auto" w:before="299"/>
        <w:ind w:left="477" w:right="132"/>
        <w:jc w:val="both"/>
      </w:pPr>
      <w:r>
        <w:rPr/>
        <w:t>The</w:t>
      </w:r>
      <w:r>
        <w:rPr>
          <w:spacing w:val="-19"/>
        </w:rPr>
        <w:t> </w:t>
      </w:r>
      <w:r>
        <w:rPr/>
        <w:t>neuroprotective</w:t>
      </w:r>
      <w:r>
        <w:rPr>
          <w:spacing w:val="-19"/>
        </w:rPr>
        <w:t> </w:t>
      </w:r>
      <w:r>
        <w:rPr/>
        <w:t>and</w:t>
      </w:r>
      <w:r>
        <w:rPr>
          <w:spacing w:val="-19"/>
        </w:rPr>
        <w:t> </w:t>
      </w:r>
      <w:r>
        <w:rPr/>
        <w:t>antioxidant</w:t>
      </w:r>
      <w:r>
        <w:rPr>
          <w:spacing w:val="-19"/>
        </w:rPr>
        <w:t> </w:t>
      </w:r>
      <w:r>
        <w:rPr/>
        <w:t>properties</w:t>
      </w:r>
      <w:r>
        <w:rPr>
          <w:spacing w:val="-23"/>
        </w:rPr>
        <w:t> </w:t>
      </w:r>
      <w:r>
        <w:rPr/>
        <w:t>of</w:t>
      </w:r>
      <w:r>
        <w:rPr>
          <w:spacing w:val="-19"/>
        </w:rPr>
        <w:t> </w:t>
      </w:r>
      <w:r>
        <w:rPr/>
        <w:t>ginkgo</w:t>
      </w:r>
      <w:r>
        <w:rPr>
          <w:spacing w:val="-18"/>
        </w:rPr>
        <w:t> </w:t>
      </w:r>
      <w:r>
        <w:rPr/>
        <w:t>are</w:t>
      </w:r>
      <w:r>
        <w:rPr>
          <w:spacing w:val="-21"/>
        </w:rPr>
        <w:t> </w:t>
      </w:r>
      <w:r>
        <w:rPr/>
        <w:t>ideal</w:t>
      </w:r>
      <w:r>
        <w:rPr>
          <w:spacing w:val="-20"/>
        </w:rPr>
        <w:t> </w:t>
      </w:r>
      <w:r>
        <w:rPr/>
        <w:t>for</w:t>
      </w:r>
      <w:r>
        <w:rPr>
          <w:spacing w:val="-18"/>
        </w:rPr>
        <w:t> </w:t>
      </w:r>
      <w:r>
        <w:rPr/>
        <w:t>the</w:t>
      </w:r>
      <w:r>
        <w:rPr>
          <w:spacing w:val="-18"/>
        </w:rPr>
        <w:t> </w:t>
      </w:r>
      <w:r>
        <w:rPr/>
        <w:t>treat- ment of</w:t>
      </w:r>
      <w:r>
        <w:rPr>
          <w:spacing w:val="-2"/>
        </w:rPr>
        <w:t> </w:t>
      </w:r>
      <w:r>
        <w:rPr/>
        <w:t>glaucoma.</w:t>
      </w:r>
    </w:p>
    <w:p>
      <w:pPr>
        <w:pStyle w:val="Heading1"/>
      </w:pPr>
      <w:r>
        <w:rPr/>
        <w:t>Effect of ginkgo on vitiligo</w:t>
      </w:r>
    </w:p>
    <w:p>
      <w:pPr>
        <w:pStyle w:val="BodyText"/>
        <w:spacing w:line="276" w:lineRule="auto" w:before="299"/>
        <w:ind w:left="477" w:right="136"/>
        <w:jc w:val="both"/>
      </w:pPr>
      <w:r>
        <w:rPr/>
        <w:t>Vitiligo, also known as ‘white spot disease’, is a visible skin disease that results in pigment dissolution.</w:t>
      </w:r>
    </w:p>
    <w:p>
      <w:pPr>
        <w:pStyle w:val="BodyText"/>
        <w:spacing w:line="276" w:lineRule="auto" w:before="241"/>
        <w:ind w:left="477" w:right="139"/>
        <w:jc w:val="both"/>
      </w:pPr>
      <w:r>
        <w:rPr/>
        <w:t>Those affected suffer from increasing numbers of white spots on the skin, which</w:t>
      </w:r>
      <w:r>
        <w:rPr>
          <w:spacing w:val="-21"/>
        </w:rPr>
        <w:t> </w:t>
      </w:r>
      <w:r>
        <w:rPr/>
        <w:t>are</w:t>
      </w:r>
      <w:r>
        <w:rPr>
          <w:spacing w:val="-21"/>
        </w:rPr>
        <w:t> </w:t>
      </w:r>
      <w:r>
        <w:rPr/>
        <w:t>not</w:t>
      </w:r>
      <w:r>
        <w:rPr>
          <w:spacing w:val="-23"/>
        </w:rPr>
        <w:t> </w:t>
      </w:r>
      <w:r>
        <w:rPr/>
        <w:t>contagious,</w:t>
      </w:r>
      <w:r>
        <w:rPr>
          <w:spacing w:val="-21"/>
        </w:rPr>
        <w:t> </w:t>
      </w:r>
      <w:r>
        <w:rPr/>
        <w:t>but</w:t>
      </w:r>
      <w:r>
        <w:rPr>
          <w:spacing w:val="-22"/>
        </w:rPr>
        <w:t> </w:t>
      </w:r>
      <w:r>
        <w:rPr/>
        <w:t>can</w:t>
      </w:r>
      <w:r>
        <w:rPr>
          <w:spacing w:val="-22"/>
        </w:rPr>
        <w:t> </w:t>
      </w:r>
      <w:r>
        <w:rPr/>
        <w:t>be</w:t>
      </w:r>
      <w:r>
        <w:rPr>
          <w:spacing w:val="-21"/>
        </w:rPr>
        <w:t> </w:t>
      </w:r>
      <w:r>
        <w:rPr/>
        <w:t>a</w:t>
      </w:r>
      <w:r>
        <w:rPr>
          <w:spacing w:val="-22"/>
        </w:rPr>
        <w:t> </w:t>
      </w:r>
      <w:r>
        <w:rPr/>
        <w:t>mental</w:t>
      </w:r>
      <w:r>
        <w:rPr>
          <w:spacing w:val="-22"/>
        </w:rPr>
        <w:t> </w:t>
      </w:r>
      <w:r>
        <w:rPr/>
        <w:t>burden</w:t>
      </w:r>
      <w:r>
        <w:rPr>
          <w:spacing w:val="-21"/>
        </w:rPr>
        <w:t> </w:t>
      </w:r>
      <w:r>
        <w:rPr/>
        <w:t>for</w:t>
      </w:r>
      <w:r>
        <w:rPr>
          <w:spacing w:val="-20"/>
        </w:rPr>
        <w:t> </w:t>
      </w:r>
      <w:r>
        <w:rPr/>
        <w:t>the</w:t>
      </w:r>
      <w:r>
        <w:rPr>
          <w:spacing w:val="-21"/>
        </w:rPr>
        <w:t> </w:t>
      </w:r>
      <w:r>
        <w:rPr/>
        <w:t>person</w:t>
      </w:r>
      <w:r>
        <w:rPr>
          <w:spacing w:val="-20"/>
        </w:rPr>
        <w:t> </w:t>
      </w:r>
      <w:r>
        <w:rPr/>
        <w:t>concerned.</w:t>
      </w:r>
    </w:p>
    <w:p>
      <w:pPr>
        <w:spacing w:after="0" w:line="276" w:lineRule="auto"/>
        <w:jc w:val="both"/>
        <w:sectPr>
          <w:pgSz w:w="14270" w:h="16850"/>
          <w:pgMar w:header="0" w:footer="1891" w:top="1600" w:bottom="2080" w:left="800" w:right="1280"/>
        </w:sectPr>
      </w:pPr>
    </w:p>
    <w:p>
      <w:pPr>
        <w:pStyle w:val="BodyText"/>
        <w:spacing w:line="276" w:lineRule="auto" w:before="181"/>
        <w:ind w:left="477" w:right="134"/>
        <w:jc w:val="both"/>
        <w:rPr>
          <w:sz w:val="25"/>
        </w:rPr>
      </w:pPr>
      <w:r>
        <w:rPr/>
        <w:t>The cause has not yet been finally clarified. In fact, according to a study pre- sented in autumn 2003, ginkgo biloba halted the progression of pigment disso- lution in 80 % of those treated. In 10 of the 25 patients treated, there was a marked or even complete return of the original skin colour. Drinking gingko tea or taking 160-240 mg ginkgo extract per day is recommended.</w:t>
      </w:r>
      <w:r>
        <w:rPr>
          <w:position w:val="9"/>
          <w:sz w:val="25"/>
        </w:rPr>
        <w:t>298</w:t>
      </w:r>
    </w:p>
    <w:p>
      <w:pPr>
        <w:pStyle w:val="Heading1"/>
        <w:spacing w:before="223"/>
      </w:pPr>
      <w:r>
        <w:rPr/>
        <w:t>Effect of ginkgo biloba on</w:t>
      </w:r>
      <w:r>
        <w:rPr>
          <w:spacing w:val="-53"/>
        </w:rPr>
        <w:t> </w:t>
      </w:r>
      <w:r>
        <w:rPr/>
        <w:t>depression</w:t>
      </w:r>
    </w:p>
    <w:p>
      <w:pPr>
        <w:pStyle w:val="BodyText"/>
        <w:spacing w:line="276" w:lineRule="auto" w:before="299"/>
        <w:ind w:left="477" w:right="130"/>
        <w:jc w:val="both"/>
        <w:rPr>
          <w:sz w:val="25"/>
        </w:rPr>
      </w:pPr>
      <w:r>
        <w:rPr/>
        <w:t>Depression is caused not least by the disturbance of neurotransmitters, since ginkgo, as already explained, can activate and reorganise the neurotransmitters. Depression</w:t>
      </w:r>
      <w:r>
        <w:rPr>
          <w:spacing w:val="-6"/>
        </w:rPr>
        <w:t> </w:t>
      </w:r>
      <w:r>
        <w:rPr/>
        <w:t>that</w:t>
      </w:r>
      <w:r>
        <w:rPr>
          <w:spacing w:val="-9"/>
        </w:rPr>
        <w:t> </w:t>
      </w:r>
      <w:r>
        <w:rPr/>
        <w:t>occurs</w:t>
      </w:r>
      <w:r>
        <w:rPr>
          <w:spacing w:val="-6"/>
        </w:rPr>
        <w:t> </w:t>
      </w:r>
      <w:r>
        <w:rPr/>
        <w:t>organically</w:t>
      </w:r>
      <w:r>
        <w:rPr>
          <w:spacing w:val="-6"/>
        </w:rPr>
        <w:t> </w:t>
      </w:r>
      <w:r>
        <w:rPr/>
        <w:t>in</w:t>
      </w:r>
      <w:r>
        <w:rPr>
          <w:spacing w:val="-7"/>
        </w:rPr>
        <w:t> </w:t>
      </w:r>
      <w:r>
        <w:rPr/>
        <w:t>the</w:t>
      </w:r>
      <w:r>
        <w:rPr>
          <w:spacing w:val="-6"/>
        </w:rPr>
        <w:t> </w:t>
      </w:r>
      <w:r>
        <w:rPr/>
        <w:t>brain</w:t>
      </w:r>
      <w:r>
        <w:rPr>
          <w:spacing w:val="-6"/>
        </w:rPr>
        <w:t> </w:t>
      </w:r>
      <w:r>
        <w:rPr/>
        <w:t>can</w:t>
      </w:r>
      <w:r>
        <w:rPr>
          <w:spacing w:val="-6"/>
        </w:rPr>
        <w:t> </w:t>
      </w:r>
      <w:r>
        <w:rPr/>
        <w:t>be</w:t>
      </w:r>
      <w:r>
        <w:rPr>
          <w:spacing w:val="-6"/>
        </w:rPr>
        <w:t> </w:t>
      </w:r>
      <w:r>
        <w:rPr/>
        <w:t>particularly</w:t>
      </w:r>
      <w:r>
        <w:rPr>
          <w:spacing w:val="-5"/>
        </w:rPr>
        <w:t> </w:t>
      </w:r>
      <w:r>
        <w:rPr/>
        <w:t>relieved</w:t>
      </w:r>
      <w:r>
        <w:rPr>
          <w:spacing w:val="-7"/>
        </w:rPr>
        <w:t> </w:t>
      </w:r>
      <w:r>
        <w:rPr/>
        <w:t>with the help of ginkgo. Ginkgo extracts exert their influence on the serotonin re- ceptor in the brain and can thus prevent depression. In a German study on 40 patients suffering from depression, 240 mg ginkgo extract was able to bring about</w:t>
      </w:r>
      <w:r>
        <w:rPr>
          <w:spacing w:val="-11"/>
        </w:rPr>
        <w:t> </w:t>
      </w:r>
      <w:r>
        <w:rPr/>
        <w:t>a</w:t>
      </w:r>
      <w:r>
        <w:rPr>
          <w:spacing w:val="-9"/>
        </w:rPr>
        <w:t> </w:t>
      </w:r>
      <w:r>
        <w:rPr/>
        <w:t>significant</w:t>
      </w:r>
      <w:r>
        <w:rPr>
          <w:spacing w:val="-8"/>
        </w:rPr>
        <w:t> </w:t>
      </w:r>
      <w:r>
        <w:rPr/>
        <w:t>improvement,</w:t>
      </w:r>
      <w:r>
        <w:rPr>
          <w:spacing w:val="-5"/>
        </w:rPr>
        <w:t> </w:t>
      </w:r>
      <w:r>
        <w:rPr/>
        <w:t>whereas</w:t>
      </w:r>
      <w:r>
        <w:rPr>
          <w:spacing w:val="-10"/>
        </w:rPr>
        <w:t> </w:t>
      </w:r>
      <w:r>
        <w:rPr/>
        <w:t>antidepressants</w:t>
      </w:r>
      <w:r>
        <w:rPr>
          <w:spacing w:val="-9"/>
        </w:rPr>
        <w:t> </w:t>
      </w:r>
      <w:r>
        <w:rPr/>
        <w:t>on</w:t>
      </w:r>
      <w:r>
        <w:rPr>
          <w:spacing w:val="-9"/>
        </w:rPr>
        <w:t> </w:t>
      </w:r>
      <w:r>
        <w:rPr/>
        <w:t>their</w:t>
      </w:r>
      <w:r>
        <w:rPr>
          <w:spacing w:val="-8"/>
        </w:rPr>
        <w:t> </w:t>
      </w:r>
      <w:r>
        <w:rPr/>
        <w:t>own</w:t>
      </w:r>
      <w:r>
        <w:rPr>
          <w:spacing w:val="-8"/>
        </w:rPr>
        <w:t> </w:t>
      </w:r>
      <w:r>
        <w:rPr/>
        <w:t>did</w:t>
      </w:r>
      <w:r>
        <w:rPr>
          <w:spacing w:val="-10"/>
        </w:rPr>
        <w:t> </w:t>
      </w:r>
      <w:r>
        <w:rPr/>
        <w:t>not have any effect on this group of people.</w:t>
      </w:r>
      <w:r>
        <w:rPr>
          <w:position w:val="9"/>
          <w:sz w:val="25"/>
        </w:rPr>
        <w:t>299 </w:t>
      </w:r>
      <w:r>
        <w:rPr/>
        <w:t>The Austrian psychiatrist Prof.</w:t>
      </w:r>
      <w:r>
        <w:rPr>
          <w:spacing w:val="-44"/>
        </w:rPr>
        <w:t> </w:t>
      </w:r>
      <w:r>
        <w:rPr/>
        <w:t>Har- ald</w:t>
      </w:r>
      <w:r>
        <w:rPr>
          <w:spacing w:val="-11"/>
        </w:rPr>
        <w:t> </w:t>
      </w:r>
      <w:r>
        <w:rPr/>
        <w:t>Schubert</w:t>
      </w:r>
      <w:r>
        <w:rPr>
          <w:spacing w:val="-10"/>
        </w:rPr>
        <w:t> </w:t>
      </w:r>
      <w:r>
        <w:rPr/>
        <w:t>also</w:t>
      </w:r>
      <w:r>
        <w:rPr>
          <w:spacing w:val="-8"/>
        </w:rPr>
        <w:t> </w:t>
      </w:r>
      <w:r>
        <w:rPr/>
        <w:t>noted</w:t>
      </w:r>
      <w:r>
        <w:rPr>
          <w:spacing w:val="-12"/>
        </w:rPr>
        <w:t> </w:t>
      </w:r>
      <w:r>
        <w:rPr/>
        <w:t>that</w:t>
      </w:r>
      <w:r>
        <w:rPr>
          <w:spacing w:val="-8"/>
        </w:rPr>
        <w:t> </w:t>
      </w:r>
      <w:r>
        <w:rPr/>
        <w:t>his</w:t>
      </w:r>
      <w:r>
        <w:rPr>
          <w:spacing w:val="-13"/>
        </w:rPr>
        <w:t> </w:t>
      </w:r>
      <w:r>
        <w:rPr/>
        <w:t>symptoms</w:t>
      </w:r>
      <w:r>
        <w:rPr>
          <w:spacing w:val="-8"/>
        </w:rPr>
        <w:t> </w:t>
      </w:r>
      <w:r>
        <w:rPr/>
        <w:t>improved</w:t>
      </w:r>
      <w:r>
        <w:rPr>
          <w:spacing w:val="-9"/>
        </w:rPr>
        <w:t> </w:t>
      </w:r>
      <w:r>
        <w:rPr/>
        <w:t>by</w:t>
      </w:r>
      <w:r>
        <w:rPr>
          <w:spacing w:val="-10"/>
        </w:rPr>
        <w:t> </w:t>
      </w:r>
      <w:r>
        <w:rPr/>
        <w:t>50</w:t>
      </w:r>
      <w:r>
        <w:rPr>
          <w:spacing w:val="-5"/>
        </w:rPr>
        <w:t> </w:t>
      </w:r>
      <w:r>
        <w:rPr/>
        <w:t>%</w:t>
      </w:r>
      <w:r>
        <w:rPr>
          <w:spacing w:val="-11"/>
        </w:rPr>
        <w:t> </w:t>
      </w:r>
      <w:r>
        <w:rPr/>
        <w:t>after</w:t>
      </w:r>
      <w:r>
        <w:rPr>
          <w:spacing w:val="-10"/>
        </w:rPr>
        <w:t> </w:t>
      </w:r>
      <w:r>
        <w:rPr/>
        <w:t>a</w:t>
      </w:r>
      <w:r>
        <w:rPr>
          <w:spacing w:val="-9"/>
        </w:rPr>
        <w:t> </w:t>
      </w:r>
      <w:r>
        <w:rPr/>
        <w:t>four-week course of therapy and that he achieved further improvement with ginkgo after further treatment.</w:t>
      </w:r>
      <w:r>
        <w:rPr>
          <w:spacing w:val="2"/>
        </w:rPr>
        <w:t> </w:t>
      </w:r>
      <w:r>
        <w:rPr/>
        <w:t>[3]</w:t>
      </w:r>
      <w:r>
        <w:rPr>
          <w:position w:val="9"/>
          <w:sz w:val="25"/>
        </w:rPr>
        <w:t>300</w:t>
      </w:r>
    </w:p>
    <w:p>
      <w:pPr>
        <w:pStyle w:val="Heading1"/>
        <w:spacing w:before="225"/>
        <w:jc w:val="both"/>
      </w:pPr>
      <w:r>
        <w:rPr/>
        <w:t>Ginkgo and its effects on hyperactivity (ADHD) and attention deficit</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1"/>
        <w:rPr>
          <w:b/>
          <w:i/>
          <w:sz w:val="11"/>
        </w:rPr>
      </w:pPr>
      <w:r>
        <w:rPr/>
        <w:pict>
          <v:line style="position:absolute;mso-position-horizontal-relative:page;mso-position-vertical-relative:paragraph;z-index:3272;mso-wrap-distance-left:0;mso-wrap-distance-right:0" from="63.863998pt,8.629985pt" to="207.883998pt,8.629985pt" stroked="true" strokeweight=".72003pt" strokecolor="#000000">
            <v:stroke dashstyle="solid"/>
            <w10:wrap type="topAndBottom"/>
          </v:line>
        </w:pict>
      </w:r>
    </w:p>
    <w:p>
      <w:pPr>
        <w:pStyle w:val="BodyText"/>
        <w:spacing w:before="7"/>
        <w:rPr>
          <w:b/>
          <w:i/>
          <w:sz w:val="18"/>
        </w:rPr>
      </w:pPr>
    </w:p>
    <w:p>
      <w:pPr>
        <w:spacing w:line="273" w:lineRule="auto" w:before="99"/>
        <w:ind w:left="477" w:right="244" w:firstLine="0"/>
        <w:jc w:val="left"/>
        <w:rPr>
          <w:sz w:val="20"/>
        </w:rPr>
      </w:pPr>
      <w:r>
        <w:rPr>
          <w:position w:val="5"/>
          <w:sz w:val="13"/>
        </w:rPr>
        <w:t>298 </w:t>
      </w:r>
      <w:r>
        <w:rPr>
          <w:sz w:val="20"/>
        </w:rPr>
        <w:t>Dr. Jörg Zittlau: Heilmittel Ginkgo – alles über die positive Wirkung auf Körper, Geist und Seele (‘Remedy Ginkgo – Everything about the Posi- tive Effect on Body, Mind and Soul’) 2006, p.</w:t>
      </w:r>
      <w:r>
        <w:rPr>
          <w:spacing w:val="2"/>
          <w:sz w:val="20"/>
        </w:rPr>
        <w:t> </w:t>
      </w:r>
      <w:r>
        <w:rPr>
          <w:sz w:val="20"/>
        </w:rPr>
        <w:t>57</w:t>
      </w:r>
    </w:p>
    <w:p>
      <w:pPr>
        <w:spacing w:line="276" w:lineRule="auto" w:before="63"/>
        <w:ind w:left="477" w:right="244" w:firstLine="0"/>
        <w:jc w:val="left"/>
        <w:rPr>
          <w:sz w:val="20"/>
        </w:rPr>
      </w:pPr>
      <w:r>
        <w:rPr>
          <w:position w:val="5"/>
          <w:sz w:val="13"/>
        </w:rPr>
        <w:t>299 </w:t>
      </w:r>
      <w:r>
        <w:rPr>
          <w:sz w:val="20"/>
        </w:rPr>
        <w:t>Dr. Jörg Zittlau: Heilmittel Ginkgo – alles über die positive Wirkung auf Körper, Geist und Seele (‘Remedy Ginkgo – Everything about the Posi- tive Effect on Body, Mind and Soul’) 2006, p.</w:t>
      </w:r>
      <w:r>
        <w:rPr>
          <w:spacing w:val="2"/>
          <w:sz w:val="20"/>
        </w:rPr>
        <w:t> </w:t>
      </w:r>
      <w:r>
        <w:rPr>
          <w:sz w:val="20"/>
        </w:rPr>
        <w:t>57</w:t>
      </w:r>
    </w:p>
    <w:p>
      <w:pPr>
        <w:spacing w:line="276" w:lineRule="auto" w:before="61"/>
        <w:ind w:left="477" w:right="244" w:firstLine="0"/>
        <w:jc w:val="left"/>
        <w:rPr>
          <w:sz w:val="20"/>
        </w:rPr>
      </w:pPr>
      <w:r>
        <w:rPr/>
        <w:drawing>
          <wp:anchor distT="0" distB="0" distL="0" distR="0" allowOverlap="1" layoutInCell="1" locked="0" behindDoc="1" simplePos="0" relativeHeight="267171071">
            <wp:simplePos x="0" y="0"/>
            <wp:positionH relativeFrom="page">
              <wp:posOffset>896463</wp:posOffset>
            </wp:positionH>
            <wp:positionV relativeFrom="paragraph">
              <wp:posOffset>82907</wp:posOffset>
            </wp:positionV>
            <wp:extent cx="6379583" cy="902106"/>
            <wp:effectExtent l="0" t="0" r="0" b="0"/>
            <wp:wrapNone/>
            <wp:docPr id="171" name="image2.jpeg" descr=""/>
            <wp:cNvGraphicFramePr>
              <a:graphicFrameLocks noChangeAspect="1"/>
            </wp:cNvGraphicFramePr>
            <a:graphic>
              <a:graphicData uri="http://schemas.openxmlformats.org/drawingml/2006/picture">
                <pic:pic>
                  <pic:nvPicPr>
                    <pic:cNvPr id="172"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300 </w:t>
      </w:r>
      <w:r>
        <w:rPr>
          <w:sz w:val="20"/>
        </w:rPr>
        <w:t>Peter Köhler: Die Heilkraft des Ginkgo. Natürlich gesund von Kopf bis Fuß (‘The Healing Power of Ginkgo. Naturally Healthy from Head to Toe’), 1998, p. 116</w:t>
      </w:r>
    </w:p>
    <w:p>
      <w:pPr>
        <w:spacing w:after="0" w:line="276" w:lineRule="auto"/>
        <w:jc w:val="left"/>
        <w:rPr>
          <w:sz w:val="20"/>
        </w:rPr>
        <w:sectPr>
          <w:footerReference w:type="default" r:id="rId113"/>
          <w:pgSz w:w="14270" w:h="16850"/>
          <w:pgMar w:footer="527" w:header="0" w:top="1600" w:bottom="720" w:left="800" w:right="1280"/>
          <w:pgNumType w:start="427"/>
        </w:sectPr>
      </w:pPr>
    </w:p>
    <w:p>
      <w:pPr>
        <w:pStyle w:val="BodyText"/>
        <w:spacing w:line="276" w:lineRule="auto" w:before="181"/>
        <w:ind w:left="477" w:right="134"/>
        <w:jc w:val="both"/>
      </w:pPr>
      <w:r>
        <w:rPr/>
        <w:t>It</w:t>
      </w:r>
      <w:r>
        <w:rPr>
          <w:spacing w:val="-18"/>
        </w:rPr>
        <w:t> </w:t>
      </w:r>
      <w:r>
        <w:rPr/>
        <w:t>has</w:t>
      </w:r>
      <w:r>
        <w:rPr>
          <w:spacing w:val="-16"/>
        </w:rPr>
        <w:t> </w:t>
      </w:r>
      <w:r>
        <w:rPr/>
        <w:t>been</w:t>
      </w:r>
      <w:r>
        <w:rPr>
          <w:spacing w:val="-18"/>
        </w:rPr>
        <w:t> </w:t>
      </w:r>
      <w:r>
        <w:rPr/>
        <w:t>shown</w:t>
      </w:r>
      <w:r>
        <w:rPr>
          <w:spacing w:val="-17"/>
        </w:rPr>
        <w:t> </w:t>
      </w:r>
      <w:r>
        <w:rPr/>
        <w:t>that</w:t>
      </w:r>
      <w:r>
        <w:rPr>
          <w:spacing w:val="-17"/>
        </w:rPr>
        <w:t> </w:t>
      </w:r>
      <w:r>
        <w:rPr/>
        <w:t>these</w:t>
      </w:r>
      <w:r>
        <w:rPr>
          <w:spacing w:val="-16"/>
        </w:rPr>
        <w:t> </w:t>
      </w:r>
      <w:r>
        <w:rPr/>
        <w:t>symptoms</w:t>
      </w:r>
      <w:r>
        <w:rPr>
          <w:spacing w:val="-15"/>
        </w:rPr>
        <w:t> </w:t>
      </w:r>
      <w:r>
        <w:rPr/>
        <w:t>are</w:t>
      </w:r>
      <w:r>
        <w:rPr>
          <w:spacing w:val="-16"/>
        </w:rPr>
        <w:t> </w:t>
      </w:r>
      <w:r>
        <w:rPr/>
        <w:t>related</w:t>
      </w:r>
      <w:r>
        <w:rPr>
          <w:spacing w:val="-17"/>
        </w:rPr>
        <w:t> </w:t>
      </w:r>
      <w:r>
        <w:rPr/>
        <w:t>to</w:t>
      </w:r>
      <w:r>
        <w:rPr>
          <w:spacing w:val="-16"/>
        </w:rPr>
        <w:t> </w:t>
      </w:r>
      <w:r>
        <w:rPr/>
        <w:t>the</w:t>
      </w:r>
      <w:r>
        <w:rPr>
          <w:spacing w:val="-15"/>
        </w:rPr>
        <w:t> </w:t>
      </w:r>
      <w:r>
        <w:rPr/>
        <w:t>activity</w:t>
      </w:r>
      <w:r>
        <w:rPr>
          <w:spacing w:val="-16"/>
        </w:rPr>
        <w:t> </w:t>
      </w:r>
      <w:r>
        <w:rPr/>
        <w:t>of</w:t>
      </w:r>
      <w:r>
        <w:rPr>
          <w:spacing w:val="-16"/>
        </w:rPr>
        <w:t> </w:t>
      </w:r>
      <w:r>
        <w:rPr/>
        <w:t>neurotrans- mitters in the brain. According to therapists, taking ginkgo extracts may be a real</w:t>
      </w:r>
      <w:r>
        <w:rPr>
          <w:spacing w:val="-2"/>
        </w:rPr>
        <w:t> </w:t>
      </w:r>
      <w:r>
        <w:rPr/>
        <w:t>help.</w:t>
      </w:r>
    </w:p>
    <w:p>
      <w:pPr>
        <w:pStyle w:val="Heading1"/>
      </w:pPr>
      <w:r>
        <w:rPr/>
        <w:t>How ginkgo biloba works on arthritis</w:t>
      </w:r>
    </w:p>
    <w:p>
      <w:pPr>
        <w:pStyle w:val="BodyText"/>
        <w:spacing w:line="276" w:lineRule="auto" w:before="300"/>
        <w:ind w:left="477" w:right="134"/>
        <w:jc w:val="both"/>
      </w:pPr>
      <w:r>
        <w:rPr/>
        <w:t>Arthritis is an inflammatory joint disease that occurs in bouts, severely restrict- ing the quality of life of the person affected and potentially progressing as far as destroying the entire joint and even affecting the bone. As noted earlier, ginkgo restricts the coagulation factor PAF, which is also involved in the in- flammatory responses of the immune system. Ginkgolides also inhibit the ac- tivity</w:t>
      </w:r>
      <w:r>
        <w:rPr>
          <w:spacing w:val="-15"/>
        </w:rPr>
        <w:t> </w:t>
      </w:r>
      <w:r>
        <w:rPr/>
        <w:t>of</w:t>
      </w:r>
      <w:r>
        <w:rPr>
          <w:spacing w:val="-14"/>
        </w:rPr>
        <w:t> </w:t>
      </w:r>
      <w:r>
        <w:rPr/>
        <w:t>leukocytes,</w:t>
      </w:r>
      <w:r>
        <w:rPr>
          <w:spacing w:val="-13"/>
        </w:rPr>
        <w:t> </w:t>
      </w:r>
      <w:r>
        <w:rPr/>
        <w:t>the</w:t>
      </w:r>
      <w:r>
        <w:rPr>
          <w:spacing w:val="-13"/>
        </w:rPr>
        <w:t> </w:t>
      </w:r>
      <w:r>
        <w:rPr/>
        <w:t>white</w:t>
      </w:r>
      <w:r>
        <w:rPr>
          <w:spacing w:val="-15"/>
        </w:rPr>
        <w:t> </w:t>
      </w:r>
      <w:r>
        <w:rPr/>
        <w:t>blood</w:t>
      </w:r>
      <w:r>
        <w:rPr>
          <w:spacing w:val="-15"/>
        </w:rPr>
        <w:t> </w:t>
      </w:r>
      <w:r>
        <w:rPr/>
        <w:t>cells</w:t>
      </w:r>
      <w:r>
        <w:rPr>
          <w:spacing w:val="-14"/>
        </w:rPr>
        <w:t> </w:t>
      </w:r>
      <w:r>
        <w:rPr/>
        <w:t>that</w:t>
      </w:r>
      <w:r>
        <w:rPr>
          <w:spacing w:val="-14"/>
        </w:rPr>
        <w:t> </w:t>
      </w:r>
      <w:r>
        <w:rPr/>
        <w:t>overreact</w:t>
      </w:r>
      <w:r>
        <w:rPr>
          <w:spacing w:val="-15"/>
        </w:rPr>
        <w:t> </w:t>
      </w:r>
      <w:r>
        <w:rPr/>
        <w:t>in</w:t>
      </w:r>
      <w:r>
        <w:rPr>
          <w:spacing w:val="-14"/>
        </w:rPr>
        <w:t> </w:t>
      </w:r>
      <w:r>
        <w:rPr/>
        <w:t>autoimmune</w:t>
      </w:r>
      <w:r>
        <w:rPr>
          <w:spacing w:val="-14"/>
        </w:rPr>
        <w:t> </w:t>
      </w:r>
      <w:r>
        <w:rPr/>
        <w:t>diseases such as arthritis and mistakenly attack your own</w:t>
      </w:r>
      <w:r>
        <w:rPr>
          <w:spacing w:val="-4"/>
        </w:rPr>
        <w:t> </w:t>
      </w:r>
      <w:r>
        <w:rPr/>
        <w:t>cells.</w:t>
      </w:r>
    </w:p>
    <w:p>
      <w:pPr>
        <w:pStyle w:val="BodyText"/>
        <w:spacing w:line="276" w:lineRule="auto" w:before="238"/>
        <w:ind w:left="477" w:right="137"/>
        <w:jc w:val="both"/>
      </w:pPr>
      <w:r>
        <w:rPr/>
        <w:t>In</w:t>
      </w:r>
      <w:r>
        <w:rPr>
          <w:spacing w:val="-23"/>
        </w:rPr>
        <w:t> </w:t>
      </w:r>
      <w:r>
        <w:rPr/>
        <w:t>studies,</w:t>
      </w:r>
      <w:r>
        <w:rPr>
          <w:spacing w:val="-22"/>
        </w:rPr>
        <w:t> </w:t>
      </w:r>
      <w:r>
        <w:rPr/>
        <w:t>a</w:t>
      </w:r>
      <w:r>
        <w:rPr>
          <w:spacing w:val="-25"/>
        </w:rPr>
        <w:t> </w:t>
      </w:r>
      <w:r>
        <w:rPr/>
        <w:t>ginkgo</w:t>
      </w:r>
      <w:r>
        <w:rPr>
          <w:spacing w:val="-22"/>
        </w:rPr>
        <w:t> </w:t>
      </w:r>
      <w:r>
        <w:rPr/>
        <w:t>flavonoid</w:t>
      </w:r>
      <w:r>
        <w:rPr>
          <w:spacing w:val="-25"/>
        </w:rPr>
        <w:t> </w:t>
      </w:r>
      <w:r>
        <w:rPr/>
        <w:t>was</w:t>
      </w:r>
      <w:r>
        <w:rPr>
          <w:spacing w:val="-21"/>
        </w:rPr>
        <w:t> </w:t>
      </w:r>
      <w:r>
        <w:rPr/>
        <w:t>injected,</w:t>
      </w:r>
      <w:r>
        <w:rPr>
          <w:spacing w:val="-22"/>
        </w:rPr>
        <w:t> </w:t>
      </w:r>
      <w:r>
        <w:rPr/>
        <w:t>which,</w:t>
      </w:r>
      <w:r>
        <w:rPr>
          <w:spacing w:val="-22"/>
        </w:rPr>
        <w:t> </w:t>
      </w:r>
      <w:r>
        <w:rPr/>
        <w:t>without</w:t>
      </w:r>
      <w:r>
        <w:rPr>
          <w:spacing w:val="-25"/>
        </w:rPr>
        <w:t> </w:t>
      </w:r>
      <w:r>
        <w:rPr/>
        <w:t>side</w:t>
      </w:r>
      <w:r>
        <w:rPr>
          <w:spacing w:val="-23"/>
        </w:rPr>
        <w:t> </w:t>
      </w:r>
      <w:r>
        <w:rPr/>
        <w:t>effects,</w:t>
      </w:r>
      <w:r>
        <w:rPr>
          <w:spacing w:val="-21"/>
        </w:rPr>
        <w:t> </w:t>
      </w:r>
      <w:r>
        <w:rPr/>
        <w:t>achieved similar efficacy to the analgesic</w:t>
      </w:r>
      <w:r>
        <w:rPr>
          <w:spacing w:val="3"/>
        </w:rPr>
        <w:t> </w:t>
      </w:r>
      <w:r>
        <w:rPr/>
        <w:t>‘indomethacin’.</w:t>
      </w:r>
    </w:p>
    <w:p>
      <w:pPr>
        <w:pStyle w:val="BodyText"/>
        <w:spacing w:line="276" w:lineRule="auto" w:before="241"/>
        <w:ind w:left="477" w:right="138"/>
        <w:jc w:val="both"/>
      </w:pPr>
      <w:r>
        <w:rPr/>
        <w:t>Ginkgo extracts can also be taken orally; slightly higher doses should be taken for stronger pain (240 mg for severe pain, otherwise 120 mg per day).</w:t>
      </w:r>
    </w:p>
    <w:p>
      <w:pPr>
        <w:pStyle w:val="BodyText"/>
        <w:spacing w:line="276" w:lineRule="auto" w:before="241"/>
        <w:ind w:left="477" w:right="138"/>
        <w:jc w:val="both"/>
        <w:rPr>
          <w:sz w:val="25"/>
        </w:rPr>
      </w:pPr>
      <w:r>
        <w:rPr/>
        <w:t>Ginkgo tea, which has many water-soluble flavonoids that have a positive in- fluence on arthritis, is very suitable.</w:t>
      </w:r>
      <w:r>
        <w:rPr>
          <w:position w:val="9"/>
          <w:sz w:val="25"/>
        </w:rPr>
        <w:t>301</w:t>
      </w:r>
    </w:p>
    <w:p>
      <w:pPr>
        <w:pStyle w:val="Heading1"/>
        <w:spacing w:before="223"/>
        <w:jc w:val="both"/>
      </w:pPr>
      <w:r>
        <w:rPr/>
        <w:t>Effect against impotence</w:t>
      </w:r>
    </w:p>
    <w:p>
      <w:pPr>
        <w:pStyle w:val="BodyText"/>
        <w:spacing w:before="298"/>
        <w:ind w:left="477"/>
        <w:jc w:val="both"/>
      </w:pPr>
      <w:r>
        <w:rPr/>
        <w:t>Even the smooth muscles, in the case of the penis, experience increased blood</w:t>
      </w:r>
    </w:p>
    <w:p>
      <w:pPr>
        <w:pStyle w:val="BodyText"/>
        <w:rPr>
          <w:sz w:val="20"/>
        </w:rPr>
      </w:pPr>
    </w:p>
    <w:p>
      <w:pPr>
        <w:pStyle w:val="BodyText"/>
        <w:spacing w:before="6"/>
        <w:rPr>
          <w:sz w:val="15"/>
        </w:rPr>
      </w:pPr>
      <w:r>
        <w:rPr/>
        <w:pict>
          <v:line style="position:absolute;mso-position-horizontal-relative:page;mso-position-vertical-relative:paragraph;z-index:3320;mso-wrap-distance-left:0;mso-wrap-distance-right:0" from="63.863998pt,11.114985pt" to="207.883998pt,11.114985pt" stroked="true" strokeweight=".72003pt" strokecolor="#000000">
            <v:stroke dashstyle="solid"/>
            <w10:wrap type="topAndBottom"/>
          </v:line>
        </w:pict>
      </w:r>
    </w:p>
    <w:p>
      <w:pPr>
        <w:pStyle w:val="BodyText"/>
        <w:spacing w:before="7"/>
        <w:rPr>
          <w:sz w:val="18"/>
        </w:rPr>
      </w:pPr>
    </w:p>
    <w:p>
      <w:pPr>
        <w:spacing w:line="276" w:lineRule="auto" w:before="99"/>
        <w:ind w:left="477" w:right="244" w:firstLine="0"/>
        <w:jc w:val="left"/>
        <w:rPr>
          <w:sz w:val="20"/>
        </w:rPr>
      </w:pPr>
      <w:r>
        <w:rPr>
          <w:position w:val="5"/>
          <w:sz w:val="13"/>
        </w:rPr>
        <w:t>301 </w:t>
      </w:r>
      <w:r>
        <w:rPr>
          <w:sz w:val="20"/>
        </w:rPr>
        <w:t>Dr. Jörg Zittlau: Heilmittel Ginkgo – alles über die positive Wirkung auf Körper, Geist und Seele (‘Remedy Ginkgo – Everything about the Posi- tive Effect on Body, Mind and Soul’) 2006, p. 45</w:t>
      </w:r>
    </w:p>
    <w:p>
      <w:pPr>
        <w:spacing w:after="0" w:line="276" w:lineRule="auto"/>
        <w:jc w:val="left"/>
        <w:rPr>
          <w:sz w:val="20"/>
        </w:rPr>
        <w:sectPr>
          <w:footerReference w:type="default" r:id="rId114"/>
          <w:pgSz w:w="14270" w:h="16850"/>
          <w:pgMar w:footer="1891" w:header="0" w:top="1600" w:bottom="2080" w:left="800" w:right="1280"/>
          <w:pgNumType w:start="428"/>
        </w:sectPr>
      </w:pPr>
    </w:p>
    <w:p>
      <w:pPr>
        <w:pStyle w:val="BodyText"/>
        <w:spacing w:line="276" w:lineRule="auto" w:before="181"/>
        <w:ind w:left="477" w:right="136"/>
        <w:jc w:val="both"/>
      </w:pPr>
      <w:r>
        <w:rPr/>
        <w:t>circulation thanks to gingko; the muscles fill up more easily with blood, which helps with erections. Additionally, ginkgo has a relaxing effect on the psyche, which is known to also impact</w:t>
      </w:r>
      <w:r>
        <w:rPr>
          <w:spacing w:val="2"/>
        </w:rPr>
        <w:t> </w:t>
      </w:r>
      <w:r>
        <w:rPr/>
        <w:t>virility.</w:t>
      </w:r>
    </w:p>
    <w:p>
      <w:pPr>
        <w:pStyle w:val="Heading1"/>
      </w:pPr>
      <w:r>
        <w:rPr>
          <w:w w:val="95"/>
        </w:rPr>
        <w:t>How ginkgo works against</w:t>
      </w:r>
      <w:r>
        <w:rPr>
          <w:spacing w:val="-6"/>
          <w:w w:val="95"/>
        </w:rPr>
        <w:t> </w:t>
      </w:r>
      <w:r>
        <w:rPr>
          <w:w w:val="95"/>
        </w:rPr>
        <w:t>asthma</w:t>
      </w:r>
    </w:p>
    <w:p>
      <w:pPr>
        <w:pStyle w:val="BodyText"/>
        <w:spacing w:line="276" w:lineRule="auto" w:before="300"/>
        <w:ind w:left="477" w:right="133"/>
        <w:jc w:val="both"/>
        <w:rPr>
          <w:sz w:val="25"/>
        </w:rPr>
      </w:pPr>
      <w:r>
        <w:rPr/>
        <w:t>Asthma has traditionally been treated with ginkgo in China for centuries. Asthma attacks are linked to the coagulation factor PAF</w:t>
      </w:r>
      <w:r>
        <w:rPr>
          <w:spacing w:val="-69"/>
        </w:rPr>
        <w:t> </w:t>
      </w:r>
      <w:r>
        <w:rPr/>
        <w:t>(the platelet-activating factor). This leads to inflammatory processes and triggers bronchial activity by releasing</w:t>
      </w:r>
      <w:r>
        <w:rPr>
          <w:spacing w:val="-24"/>
        </w:rPr>
        <w:t> </w:t>
      </w:r>
      <w:r>
        <w:rPr/>
        <w:t>substances</w:t>
      </w:r>
      <w:r>
        <w:rPr>
          <w:spacing w:val="-24"/>
        </w:rPr>
        <w:t> </w:t>
      </w:r>
      <w:r>
        <w:rPr/>
        <w:t>that</w:t>
      </w:r>
      <w:r>
        <w:rPr>
          <w:spacing w:val="-24"/>
        </w:rPr>
        <w:t> </w:t>
      </w:r>
      <w:r>
        <w:rPr/>
        <w:t>constrict</w:t>
      </w:r>
      <w:r>
        <w:rPr>
          <w:spacing w:val="-25"/>
        </w:rPr>
        <w:t> </w:t>
      </w:r>
      <w:r>
        <w:rPr/>
        <w:t>the</w:t>
      </w:r>
      <w:r>
        <w:rPr>
          <w:spacing w:val="-24"/>
        </w:rPr>
        <w:t> </w:t>
      </w:r>
      <w:r>
        <w:rPr/>
        <w:t>respiratory</w:t>
      </w:r>
      <w:r>
        <w:rPr>
          <w:spacing w:val="-23"/>
        </w:rPr>
        <w:t> </w:t>
      </w:r>
      <w:r>
        <w:rPr/>
        <w:t>tract.</w:t>
      </w:r>
      <w:r>
        <w:rPr>
          <w:spacing w:val="-24"/>
        </w:rPr>
        <w:t> </w:t>
      </w:r>
      <w:r>
        <w:rPr/>
        <w:t>Ginkgo</w:t>
      </w:r>
      <w:r>
        <w:rPr>
          <w:spacing w:val="-24"/>
        </w:rPr>
        <w:t> </w:t>
      </w:r>
      <w:r>
        <w:rPr/>
        <w:t>inhibits</w:t>
      </w:r>
      <w:r>
        <w:rPr>
          <w:spacing w:val="-24"/>
        </w:rPr>
        <w:t> </w:t>
      </w:r>
      <w:r>
        <w:rPr/>
        <w:t>the</w:t>
      </w:r>
      <w:r>
        <w:rPr>
          <w:spacing w:val="-24"/>
        </w:rPr>
        <w:t> </w:t>
      </w:r>
      <w:r>
        <w:rPr/>
        <w:t>PAF via the flavone glycosides ginkgolide A, B and C contained therein, but espe- cially ginkgolide B latch onto the PAF receptors and thus limit their effective- ness.</w:t>
      </w:r>
      <w:r>
        <w:rPr>
          <w:spacing w:val="-17"/>
        </w:rPr>
        <w:t> </w:t>
      </w:r>
      <w:r>
        <w:rPr/>
        <w:t>In</w:t>
      </w:r>
      <w:r>
        <w:rPr>
          <w:spacing w:val="-18"/>
        </w:rPr>
        <w:t> </w:t>
      </w:r>
      <w:r>
        <w:rPr/>
        <w:t>this</w:t>
      </w:r>
      <w:r>
        <w:rPr>
          <w:spacing w:val="-15"/>
        </w:rPr>
        <w:t> </w:t>
      </w:r>
      <w:r>
        <w:rPr/>
        <w:t>way,</w:t>
      </w:r>
      <w:r>
        <w:rPr>
          <w:spacing w:val="-16"/>
        </w:rPr>
        <w:t> </w:t>
      </w:r>
      <w:r>
        <w:rPr/>
        <w:t>ginkgo</w:t>
      </w:r>
      <w:r>
        <w:rPr>
          <w:spacing w:val="-17"/>
        </w:rPr>
        <w:t> </w:t>
      </w:r>
      <w:r>
        <w:rPr/>
        <w:t>proves</w:t>
      </w:r>
      <w:r>
        <w:rPr>
          <w:spacing w:val="-16"/>
        </w:rPr>
        <w:t> </w:t>
      </w:r>
      <w:r>
        <w:rPr/>
        <w:t>to</w:t>
      </w:r>
      <w:r>
        <w:rPr>
          <w:spacing w:val="-16"/>
        </w:rPr>
        <w:t> </w:t>
      </w:r>
      <w:r>
        <w:rPr/>
        <w:t>be</w:t>
      </w:r>
      <w:r>
        <w:rPr>
          <w:spacing w:val="-16"/>
        </w:rPr>
        <w:t> </w:t>
      </w:r>
      <w:r>
        <w:rPr/>
        <w:t>potentially</w:t>
      </w:r>
      <w:r>
        <w:rPr>
          <w:spacing w:val="-17"/>
        </w:rPr>
        <w:t> </w:t>
      </w:r>
      <w:r>
        <w:rPr/>
        <w:t>effective</w:t>
      </w:r>
      <w:r>
        <w:rPr>
          <w:spacing w:val="-18"/>
        </w:rPr>
        <w:t> </w:t>
      </w:r>
      <w:r>
        <w:rPr/>
        <w:t>in</w:t>
      </w:r>
      <w:r>
        <w:rPr>
          <w:spacing w:val="-16"/>
        </w:rPr>
        <w:t> </w:t>
      </w:r>
      <w:r>
        <w:rPr/>
        <w:t>asthma.</w:t>
      </w:r>
      <w:r>
        <w:rPr>
          <w:spacing w:val="-16"/>
        </w:rPr>
        <w:t> </w:t>
      </w:r>
      <w:r>
        <w:rPr/>
        <w:t>According to a report by the magazine </w:t>
      </w:r>
      <w:r>
        <w:rPr>
          <w:i/>
        </w:rPr>
        <w:t>Prostaglandins</w:t>
      </w:r>
      <w:r>
        <w:rPr/>
        <w:t>, ginkgo extract was able to prevent breathlessness for six hours in the presence of</w:t>
      </w:r>
      <w:r>
        <w:rPr>
          <w:spacing w:val="-1"/>
        </w:rPr>
        <w:t> </w:t>
      </w:r>
      <w:r>
        <w:rPr/>
        <w:t>allergens.</w:t>
      </w:r>
      <w:r>
        <w:rPr>
          <w:position w:val="9"/>
          <w:sz w:val="25"/>
        </w:rPr>
        <w:t>302</w:t>
      </w:r>
    </w:p>
    <w:p>
      <w:pPr>
        <w:pStyle w:val="Heading1"/>
        <w:spacing w:before="222"/>
      </w:pPr>
      <w:r>
        <w:rPr/>
        <w:t>Effect against allergies (hay fever, hives</w:t>
      </w:r>
      <w:r>
        <w:rPr>
          <w:spacing w:val="-68"/>
        </w:rPr>
        <w:t> </w:t>
      </w:r>
      <w:r>
        <w:rPr/>
        <w:t>etc.)</w:t>
      </w:r>
    </w:p>
    <w:p>
      <w:pPr>
        <w:pStyle w:val="BodyText"/>
        <w:spacing w:line="276" w:lineRule="auto" w:before="299"/>
        <w:ind w:left="477" w:right="133"/>
        <w:jc w:val="both"/>
      </w:pPr>
      <w:r>
        <w:rPr/>
        <w:t>The coagulation factor PAF also plays a significant role in allergies. Because these are restricted by ginkgo biloba, it actively counteracts allergic symptoms.</w:t>
      </w:r>
    </w:p>
    <w:p>
      <w:pPr>
        <w:pStyle w:val="Heading1"/>
        <w:jc w:val="both"/>
      </w:pPr>
      <w:r>
        <w:rPr/>
        <w:t>Effect on gastritis</w:t>
      </w:r>
    </w:p>
    <w:p>
      <w:pPr>
        <w:pStyle w:val="BodyText"/>
        <w:spacing w:before="299"/>
        <w:ind w:left="477"/>
        <w:jc w:val="both"/>
      </w:pPr>
      <w:r>
        <w:rPr/>
        <w:t>Helicobacter pylori is considered to cause gastritis; here, the flavonoids of the</w:t>
      </w:r>
    </w:p>
    <w:p>
      <w:pPr>
        <w:pStyle w:val="BodyText"/>
        <w:rPr>
          <w:sz w:val="20"/>
        </w:rPr>
      </w:pPr>
    </w:p>
    <w:p>
      <w:pPr>
        <w:pStyle w:val="BodyText"/>
        <w:spacing w:before="10"/>
        <w:rPr>
          <w:sz w:val="23"/>
        </w:rPr>
      </w:pPr>
      <w:r>
        <w:rPr/>
        <w:pict>
          <v:line style="position:absolute;mso-position-horizontal-relative:page;mso-position-vertical-relative:paragraph;z-index:3344;mso-wrap-distance-left:0;mso-wrap-distance-right:0" from="63.863998pt,15.827485pt" to="207.883998pt,15.827485pt" stroked="true" strokeweight=".72003pt" strokecolor="#000000">
            <v:stroke dashstyle="solid"/>
            <w10:wrap type="topAndBottom"/>
          </v:line>
        </w:pict>
      </w:r>
    </w:p>
    <w:p>
      <w:pPr>
        <w:pStyle w:val="BodyText"/>
        <w:spacing w:before="7"/>
        <w:rPr>
          <w:sz w:val="18"/>
        </w:rPr>
      </w:pPr>
    </w:p>
    <w:p>
      <w:pPr>
        <w:spacing w:line="273" w:lineRule="auto" w:before="99"/>
        <w:ind w:left="477" w:right="244" w:firstLine="0"/>
        <w:jc w:val="left"/>
        <w:rPr>
          <w:sz w:val="20"/>
        </w:rPr>
      </w:pPr>
      <w:r>
        <w:rPr>
          <w:position w:val="5"/>
          <w:sz w:val="13"/>
        </w:rPr>
        <w:t>302 </w:t>
      </w:r>
      <w:r>
        <w:rPr>
          <w:sz w:val="20"/>
        </w:rPr>
        <w:t>Dr. Jörg Zittlau: Heilmittel Ginkgo – alles über die positive Wirkung auf Körper, Geist und Seele (‘Remedy Ginkgo – Everything about the Posi- tive Effect on Body, Mind and Soul’) 2006, p. 47</w:t>
      </w:r>
    </w:p>
    <w:p>
      <w:pPr>
        <w:spacing w:after="0" w:line="273" w:lineRule="auto"/>
        <w:jc w:val="left"/>
        <w:rPr>
          <w:sz w:val="20"/>
        </w:rPr>
        <w:sectPr>
          <w:pgSz w:w="14270" w:h="16850"/>
          <w:pgMar w:header="0" w:footer="1891" w:top="1600" w:bottom="2080" w:left="800" w:right="1280"/>
        </w:sectPr>
      </w:pPr>
    </w:p>
    <w:p>
      <w:pPr>
        <w:pStyle w:val="BodyText"/>
        <w:spacing w:before="181"/>
        <w:ind w:left="477"/>
      </w:pPr>
      <w:r>
        <w:rPr/>
        <w:t>ginkgo plant play a primary role, as confirmed in a Chinese study.</w:t>
      </w:r>
    </w:p>
    <w:p>
      <w:pPr>
        <w:pStyle w:val="Heading2"/>
        <w:spacing w:before="305"/>
      </w:pPr>
      <w:r>
        <w:rPr/>
        <w:t>Effect against premenstrual syndrome (PMS)</w:t>
      </w:r>
    </w:p>
    <w:p>
      <w:pPr>
        <w:pStyle w:val="BodyText"/>
        <w:spacing w:line="276" w:lineRule="auto" w:before="304"/>
        <w:ind w:left="477" w:right="135"/>
        <w:jc w:val="both"/>
      </w:pPr>
      <w:r>
        <w:rPr/>
        <w:t>The unpleasant symptoms of premenstrual syndrome (PMS) include poor mood,</w:t>
      </w:r>
      <w:r>
        <w:rPr>
          <w:spacing w:val="-8"/>
        </w:rPr>
        <w:t> </w:t>
      </w:r>
      <w:r>
        <w:rPr/>
        <w:t>abdominal</w:t>
      </w:r>
      <w:r>
        <w:rPr>
          <w:spacing w:val="-9"/>
        </w:rPr>
        <w:t> </w:t>
      </w:r>
      <w:r>
        <w:rPr/>
        <w:t>pain,</w:t>
      </w:r>
      <w:r>
        <w:rPr>
          <w:spacing w:val="-4"/>
        </w:rPr>
        <w:t> </w:t>
      </w:r>
      <w:r>
        <w:rPr/>
        <w:t>headache,</w:t>
      </w:r>
      <w:r>
        <w:rPr>
          <w:spacing w:val="-8"/>
        </w:rPr>
        <w:t> </w:t>
      </w:r>
      <w:r>
        <w:rPr/>
        <w:t>itching,</w:t>
      </w:r>
      <w:r>
        <w:rPr>
          <w:spacing w:val="-7"/>
        </w:rPr>
        <w:t> </w:t>
      </w:r>
      <w:r>
        <w:rPr/>
        <w:t>facial</w:t>
      </w:r>
      <w:r>
        <w:rPr>
          <w:spacing w:val="-10"/>
        </w:rPr>
        <w:t> </w:t>
      </w:r>
      <w:r>
        <w:rPr/>
        <w:t>water</w:t>
      </w:r>
      <w:r>
        <w:rPr>
          <w:spacing w:val="-7"/>
        </w:rPr>
        <w:t> </w:t>
      </w:r>
      <w:r>
        <w:rPr/>
        <w:t>retention,</w:t>
      </w:r>
      <w:r>
        <w:rPr>
          <w:spacing w:val="-9"/>
        </w:rPr>
        <w:t> </w:t>
      </w:r>
      <w:r>
        <w:rPr/>
        <w:t>and</w:t>
      </w:r>
      <w:r>
        <w:rPr>
          <w:spacing w:val="-9"/>
        </w:rPr>
        <w:t> </w:t>
      </w:r>
      <w:r>
        <w:rPr/>
        <w:t>back</w:t>
      </w:r>
      <w:r>
        <w:rPr>
          <w:spacing w:val="-8"/>
        </w:rPr>
        <w:t> </w:t>
      </w:r>
      <w:r>
        <w:rPr/>
        <w:t>pain. According to studies, ginkgo can not only reduce water retention, but also alle- viate</w:t>
      </w:r>
      <w:r>
        <w:rPr>
          <w:spacing w:val="-24"/>
        </w:rPr>
        <w:t> </w:t>
      </w:r>
      <w:r>
        <w:rPr/>
        <w:t>other</w:t>
      </w:r>
      <w:r>
        <w:rPr>
          <w:spacing w:val="-24"/>
        </w:rPr>
        <w:t> </w:t>
      </w:r>
      <w:r>
        <w:rPr/>
        <w:t>PMS</w:t>
      </w:r>
      <w:r>
        <w:rPr>
          <w:spacing w:val="-25"/>
        </w:rPr>
        <w:t> </w:t>
      </w:r>
      <w:r>
        <w:rPr/>
        <w:t>syndromes,</w:t>
      </w:r>
      <w:r>
        <w:rPr>
          <w:spacing w:val="-27"/>
        </w:rPr>
        <w:t> </w:t>
      </w:r>
      <w:r>
        <w:rPr/>
        <w:t>such</w:t>
      </w:r>
      <w:r>
        <w:rPr>
          <w:spacing w:val="-26"/>
        </w:rPr>
        <w:t> </w:t>
      </w:r>
      <w:r>
        <w:rPr/>
        <w:t>as</w:t>
      </w:r>
      <w:r>
        <w:rPr>
          <w:spacing w:val="-25"/>
        </w:rPr>
        <w:t> </w:t>
      </w:r>
      <w:r>
        <w:rPr/>
        <w:t>headaches,</w:t>
      </w:r>
      <w:r>
        <w:rPr>
          <w:spacing w:val="-23"/>
        </w:rPr>
        <w:t> </w:t>
      </w:r>
      <w:r>
        <w:rPr/>
        <w:t>and</w:t>
      </w:r>
      <w:r>
        <w:rPr>
          <w:spacing w:val="-25"/>
        </w:rPr>
        <w:t> </w:t>
      </w:r>
      <w:r>
        <w:rPr/>
        <w:t>also</w:t>
      </w:r>
      <w:r>
        <w:rPr>
          <w:spacing w:val="-24"/>
        </w:rPr>
        <w:t> </w:t>
      </w:r>
      <w:r>
        <w:rPr/>
        <w:t>improve</w:t>
      </w:r>
      <w:r>
        <w:rPr>
          <w:spacing w:val="-23"/>
        </w:rPr>
        <w:t> </w:t>
      </w:r>
      <w:r>
        <w:rPr/>
        <w:t>general</w:t>
      </w:r>
      <w:r>
        <w:rPr>
          <w:spacing w:val="-26"/>
        </w:rPr>
        <w:t> </w:t>
      </w:r>
      <w:r>
        <w:rPr/>
        <w:t>mood.</w:t>
      </w:r>
    </w:p>
    <w:p>
      <w:pPr>
        <w:pStyle w:val="Heading2"/>
        <w:spacing w:before="240"/>
      </w:pPr>
      <w:r>
        <w:rPr/>
        <w:t>Use of ginkgo extracts in cosmetics</w:t>
      </w:r>
    </w:p>
    <w:p>
      <w:pPr>
        <w:pStyle w:val="BodyText"/>
        <w:spacing w:line="276" w:lineRule="auto" w:before="305"/>
        <w:ind w:left="477" w:right="132"/>
        <w:jc w:val="both"/>
      </w:pPr>
      <w:r>
        <w:rPr/>
        <w:t>The cosmetics industry has also recognised the popularity and benefits of ginkgo</w:t>
      </w:r>
      <w:r>
        <w:rPr>
          <w:spacing w:val="-8"/>
        </w:rPr>
        <w:t> </w:t>
      </w:r>
      <w:r>
        <w:rPr/>
        <w:t>and</w:t>
      </w:r>
      <w:r>
        <w:rPr>
          <w:spacing w:val="-8"/>
        </w:rPr>
        <w:t> </w:t>
      </w:r>
      <w:r>
        <w:rPr/>
        <w:t>is</w:t>
      </w:r>
      <w:r>
        <w:rPr>
          <w:spacing w:val="-8"/>
        </w:rPr>
        <w:t> </w:t>
      </w:r>
      <w:r>
        <w:rPr/>
        <w:t>using</w:t>
      </w:r>
      <w:r>
        <w:rPr>
          <w:spacing w:val="-7"/>
        </w:rPr>
        <w:t> </w:t>
      </w:r>
      <w:r>
        <w:rPr/>
        <w:t>it</w:t>
      </w:r>
      <w:r>
        <w:rPr>
          <w:spacing w:val="-10"/>
        </w:rPr>
        <w:t> </w:t>
      </w:r>
      <w:r>
        <w:rPr/>
        <w:t>in</w:t>
      </w:r>
      <w:r>
        <w:rPr>
          <w:spacing w:val="-8"/>
        </w:rPr>
        <w:t> </w:t>
      </w:r>
      <w:r>
        <w:rPr/>
        <w:t>more</w:t>
      </w:r>
      <w:r>
        <w:rPr>
          <w:spacing w:val="-7"/>
        </w:rPr>
        <w:t> </w:t>
      </w:r>
      <w:r>
        <w:rPr/>
        <w:t>and</w:t>
      </w:r>
      <w:r>
        <w:rPr>
          <w:spacing w:val="-8"/>
        </w:rPr>
        <w:t> </w:t>
      </w:r>
      <w:r>
        <w:rPr/>
        <w:t>more</w:t>
      </w:r>
      <w:r>
        <w:rPr>
          <w:spacing w:val="-8"/>
        </w:rPr>
        <w:t> </w:t>
      </w:r>
      <w:r>
        <w:rPr/>
        <w:t>cosmetic</w:t>
      </w:r>
      <w:r>
        <w:rPr>
          <w:spacing w:val="-8"/>
        </w:rPr>
        <w:t> </w:t>
      </w:r>
      <w:r>
        <w:rPr/>
        <w:t>products,</w:t>
      </w:r>
      <w:r>
        <w:rPr>
          <w:spacing w:val="-7"/>
        </w:rPr>
        <w:t> </w:t>
      </w:r>
      <w:r>
        <w:rPr/>
        <w:t>from</w:t>
      </w:r>
      <w:r>
        <w:rPr>
          <w:spacing w:val="-8"/>
        </w:rPr>
        <w:t> </w:t>
      </w:r>
      <w:r>
        <w:rPr/>
        <w:t>a</w:t>
      </w:r>
      <w:r>
        <w:rPr>
          <w:spacing w:val="-9"/>
        </w:rPr>
        <w:t> </w:t>
      </w:r>
      <w:r>
        <w:rPr/>
        <w:t>ginkgo</w:t>
      </w:r>
      <w:r>
        <w:rPr>
          <w:spacing w:val="-7"/>
        </w:rPr>
        <w:t> </w:t>
      </w:r>
      <w:r>
        <w:rPr/>
        <w:t>anti- wrinkle cream to ginkgo lotions, ginkgo hair tonic and ginkgo shampoos. It is questionable whether the ginkgo reaches the tissue at the required depth, but the idea of using the circulation-enhancing properties of ginkgo is quite under- standable.</w:t>
      </w:r>
    </w:p>
    <w:p>
      <w:pPr>
        <w:pStyle w:val="BodyText"/>
        <w:spacing w:line="276" w:lineRule="auto" w:before="240"/>
        <w:ind w:left="477"/>
      </w:pPr>
      <w:r>
        <w:rPr/>
        <w:t>Also, ginkgo cream can protect against sunburn due to the high content of ef- fective flavonoids, and it can also provide relief after burning.</w:t>
      </w:r>
    </w:p>
    <w:p>
      <w:pPr>
        <w:spacing w:before="241"/>
        <w:ind w:left="477" w:right="0" w:firstLine="0"/>
        <w:jc w:val="left"/>
        <w:rPr>
          <w:i/>
          <w:sz w:val="38"/>
        </w:rPr>
      </w:pPr>
      <w:r>
        <w:rPr>
          <w:i/>
          <w:sz w:val="38"/>
        </w:rPr>
        <w:t>Ginkgo and its effect on cancer</w:t>
      </w:r>
    </w:p>
    <w:p>
      <w:pPr>
        <w:pStyle w:val="BodyText"/>
        <w:spacing w:line="276" w:lineRule="auto" w:before="304"/>
        <w:ind w:left="477"/>
      </w:pPr>
      <w:r>
        <w:rPr/>
        <w:t>Ginkgo biloba reduces the risk of ovarian cancer. Women with BRCA1 muta- tions</w:t>
      </w:r>
      <w:r>
        <w:rPr>
          <w:spacing w:val="-11"/>
        </w:rPr>
        <w:t> </w:t>
      </w:r>
      <w:r>
        <w:rPr/>
        <w:t>are</w:t>
      </w:r>
      <w:r>
        <w:rPr>
          <w:spacing w:val="-11"/>
        </w:rPr>
        <w:t> </w:t>
      </w:r>
      <w:r>
        <w:rPr/>
        <w:t>at</w:t>
      </w:r>
      <w:r>
        <w:rPr>
          <w:spacing w:val="-13"/>
        </w:rPr>
        <w:t> </w:t>
      </w:r>
      <w:r>
        <w:rPr/>
        <w:t>higher</w:t>
      </w:r>
      <w:r>
        <w:rPr>
          <w:spacing w:val="-11"/>
        </w:rPr>
        <w:t> </w:t>
      </w:r>
      <w:r>
        <w:rPr/>
        <w:t>risk</w:t>
      </w:r>
      <w:r>
        <w:rPr>
          <w:spacing w:val="-12"/>
        </w:rPr>
        <w:t> </w:t>
      </w:r>
      <w:r>
        <w:rPr/>
        <w:t>of</w:t>
      </w:r>
      <w:r>
        <w:rPr>
          <w:spacing w:val="-14"/>
        </w:rPr>
        <w:t> </w:t>
      </w:r>
      <w:r>
        <w:rPr/>
        <w:t>developing</w:t>
      </w:r>
      <w:r>
        <w:rPr>
          <w:spacing w:val="-7"/>
        </w:rPr>
        <w:t> </w:t>
      </w:r>
      <w:r>
        <w:rPr/>
        <w:t>ovarian</w:t>
      </w:r>
      <w:r>
        <w:rPr>
          <w:spacing w:val="-12"/>
        </w:rPr>
        <w:t> </w:t>
      </w:r>
      <w:r>
        <w:rPr/>
        <w:t>cancer.</w:t>
      </w:r>
      <w:r>
        <w:rPr>
          <w:spacing w:val="-2"/>
        </w:rPr>
        <w:t> </w:t>
      </w:r>
      <w:r>
        <w:rPr/>
        <w:t>The</w:t>
      </w:r>
      <w:r>
        <w:rPr>
          <w:spacing w:val="-13"/>
        </w:rPr>
        <w:t> </w:t>
      </w:r>
      <w:r>
        <w:rPr/>
        <w:t>options</w:t>
      </w:r>
      <w:r>
        <w:rPr>
          <w:spacing w:val="-12"/>
        </w:rPr>
        <w:t> </w:t>
      </w:r>
      <w:r>
        <w:rPr/>
        <w:t>to</w:t>
      </w:r>
      <w:r>
        <w:rPr>
          <w:spacing w:val="-11"/>
        </w:rPr>
        <w:t> </w:t>
      </w:r>
      <w:r>
        <w:rPr/>
        <w:t>reduce</w:t>
      </w:r>
      <w:r>
        <w:rPr>
          <w:spacing w:val="-12"/>
        </w:rPr>
        <w:t> </w:t>
      </w:r>
      <w:r>
        <w:rPr/>
        <w:t>this</w:t>
      </w:r>
    </w:p>
    <w:p>
      <w:pPr>
        <w:spacing w:after="0" w:line="276" w:lineRule="auto"/>
        <w:sectPr>
          <w:footerReference w:type="default" r:id="rId115"/>
          <w:pgSz w:w="14270" w:h="16850"/>
          <w:pgMar w:footer="1891" w:header="0" w:top="1600" w:bottom="2080" w:left="800" w:right="1280"/>
          <w:pgNumType w:start="430"/>
        </w:sectPr>
      </w:pPr>
    </w:p>
    <w:p>
      <w:pPr>
        <w:pStyle w:val="BodyText"/>
        <w:spacing w:line="276" w:lineRule="auto" w:before="181"/>
        <w:ind w:left="477" w:right="137"/>
        <w:jc w:val="both"/>
        <w:rPr>
          <w:sz w:val="25"/>
        </w:rPr>
      </w:pPr>
      <w:r>
        <w:rPr/>
        <w:t>risk</w:t>
      </w:r>
      <w:r>
        <w:rPr>
          <w:spacing w:val="-6"/>
        </w:rPr>
        <w:t> </w:t>
      </w:r>
      <w:r>
        <w:rPr/>
        <w:t>are</w:t>
      </w:r>
      <w:r>
        <w:rPr>
          <w:spacing w:val="-5"/>
        </w:rPr>
        <w:t> </w:t>
      </w:r>
      <w:r>
        <w:rPr/>
        <w:t>largely</w:t>
      </w:r>
      <w:r>
        <w:rPr>
          <w:spacing w:val="-5"/>
        </w:rPr>
        <w:t> </w:t>
      </w:r>
      <w:r>
        <w:rPr/>
        <w:t>limited</w:t>
      </w:r>
      <w:r>
        <w:rPr>
          <w:spacing w:val="-6"/>
        </w:rPr>
        <w:t> </w:t>
      </w:r>
      <w:r>
        <w:rPr/>
        <w:t>to</w:t>
      </w:r>
      <w:r>
        <w:rPr>
          <w:spacing w:val="-4"/>
        </w:rPr>
        <w:t> </w:t>
      </w:r>
      <w:r>
        <w:rPr/>
        <w:t>prophylactic</w:t>
      </w:r>
      <w:r>
        <w:rPr>
          <w:spacing w:val="-4"/>
        </w:rPr>
        <w:t> </w:t>
      </w:r>
      <w:r>
        <w:rPr/>
        <w:t>surgery,</w:t>
      </w:r>
      <w:r>
        <w:rPr>
          <w:spacing w:val="-5"/>
        </w:rPr>
        <w:t> </w:t>
      </w:r>
      <w:r>
        <w:rPr/>
        <w:t>but</w:t>
      </w:r>
      <w:r>
        <w:rPr>
          <w:spacing w:val="-7"/>
        </w:rPr>
        <w:t> </w:t>
      </w:r>
      <w:r>
        <w:rPr/>
        <w:t>this</w:t>
      </w:r>
      <w:r>
        <w:rPr>
          <w:spacing w:val="-4"/>
        </w:rPr>
        <w:t> </w:t>
      </w:r>
      <w:r>
        <w:rPr/>
        <w:t>can</w:t>
      </w:r>
      <w:r>
        <w:rPr>
          <w:spacing w:val="-4"/>
        </w:rPr>
        <w:t> </w:t>
      </w:r>
      <w:r>
        <w:rPr/>
        <w:t>result</w:t>
      </w:r>
      <w:r>
        <w:rPr>
          <w:spacing w:val="-7"/>
        </w:rPr>
        <w:t> </w:t>
      </w:r>
      <w:r>
        <w:rPr/>
        <w:t>in</w:t>
      </w:r>
      <w:r>
        <w:rPr>
          <w:spacing w:val="-5"/>
        </w:rPr>
        <w:t> </w:t>
      </w:r>
      <w:r>
        <w:rPr/>
        <w:t>a</w:t>
      </w:r>
      <w:r>
        <w:rPr>
          <w:spacing w:val="-8"/>
        </w:rPr>
        <w:t> </w:t>
      </w:r>
      <w:r>
        <w:rPr/>
        <w:t>reduction in quality of life and permanent infertility. Ginkgo biloba can prevent ovarian cancer, whether it has arisen due to mutations or</w:t>
      </w:r>
      <w:r>
        <w:rPr>
          <w:spacing w:val="-5"/>
        </w:rPr>
        <w:t> </w:t>
      </w:r>
      <w:r>
        <w:rPr/>
        <w:t>not.</w:t>
      </w:r>
      <w:r>
        <w:rPr>
          <w:position w:val="9"/>
          <w:sz w:val="25"/>
        </w:rPr>
        <w:t>303</w:t>
      </w:r>
    </w:p>
    <w:p>
      <w:pPr>
        <w:pStyle w:val="BodyText"/>
        <w:spacing w:before="3"/>
        <w:rPr>
          <w:sz w:val="41"/>
        </w:rPr>
      </w:pPr>
    </w:p>
    <w:p>
      <w:pPr>
        <w:pStyle w:val="Heading1"/>
        <w:spacing w:before="0"/>
      </w:pPr>
      <w:r>
        <w:rPr>
          <w:w w:val="95"/>
        </w:rPr>
        <w:t>Ginkgo extract inhibits the progression of human colon adenocarcinoma</w:t>
      </w:r>
    </w:p>
    <w:p>
      <w:pPr>
        <w:pStyle w:val="BodyText"/>
        <w:spacing w:line="276" w:lineRule="auto" w:before="299"/>
        <w:ind w:left="477" w:right="131"/>
        <w:jc w:val="both"/>
        <w:rPr>
          <w:sz w:val="25"/>
        </w:rPr>
      </w:pPr>
      <w:r>
        <w:rPr/>
        <w:t>In</w:t>
      </w:r>
      <w:r>
        <w:rPr>
          <w:spacing w:val="-16"/>
        </w:rPr>
        <w:t> </w:t>
      </w:r>
      <w:r>
        <w:rPr/>
        <w:t>in</w:t>
      </w:r>
      <w:r>
        <w:rPr>
          <w:spacing w:val="-15"/>
        </w:rPr>
        <w:t> </w:t>
      </w:r>
      <w:r>
        <w:rPr/>
        <w:t>vitro</w:t>
      </w:r>
      <w:r>
        <w:rPr>
          <w:spacing w:val="-16"/>
        </w:rPr>
        <w:t> </w:t>
      </w:r>
      <w:r>
        <w:rPr/>
        <w:t>tests</w:t>
      </w:r>
      <w:r>
        <w:rPr>
          <w:spacing w:val="-18"/>
        </w:rPr>
        <w:t> </w:t>
      </w:r>
      <w:r>
        <w:rPr/>
        <w:t>(see</w:t>
      </w:r>
      <w:r>
        <w:rPr>
          <w:spacing w:val="-16"/>
        </w:rPr>
        <w:t> </w:t>
      </w:r>
      <w:r>
        <w:rPr/>
        <w:t>chapter</w:t>
      </w:r>
      <w:r>
        <w:rPr>
          <w:spacing w:val="-17"/>
        </w:rPr>
        <w:t> </w:t>
      </w:r>
      <w:r>
        <w:rPr/>
        <w:t>“studies”),</w:t>
      </w:r>
      <w:r>
        <w:rPr>
          <w:spacing w:val="-16"/>
        </w:rPr>
        <w:t> </w:t>
      </w:r>
      <w:r>
        <w:rPr/>
        <w:t>the</w:t>
      </w:r>
      <w:r>
        <w:rPr>
          <w:spacing w:val="-14"/>
        </w:rPr>
        <w:t> </w:t>
      </w:r>
      <w:r>
        <w:rPr/>
        <w:t>ginkgo</w:t>
      </w:r>
      <w:r>
        <w:rPr>
          <w:spacing w:val="-17"/>
        </w:rPr>
        <w:t> </w:t>
      </w:r>
      <w:r>
        <w:rPr/>
        <w:t>extract</w:t>
      </w:r>
      <w:r>
        <w:rPr>
          <w:spacing w:val="-20"/>
        </w:rPr>
        <w:t> </w:t>
      </w:r>
      <w:r>
        <w:rPr/>
        <w:t>EGb</w:t>
      </w:r>
      <w:r>
        <w:rPr>
          <w:spacing w:val="-16"/>
        </w:rPr>
        <w:t> </w:t>
      </w:r>
      <w:r>
        <w:rPr/>
        <w:t>761</w:t>
      </w:r>
      <w:r>
        <w:rPr>
          <w:spacing w:val="-16"/>
        </w:rPr>
        <w:t> </w:t>
      </w:r>
      <w:r>
        <w:rPr/>
        <w:t>reduced</w:t>
      </w:r>
      <w:r>
        <w:rPr>
          <w:spacing w:val="-16"/>
        </w:rPr>
        <w:t> </w:t>
      </w:r>
      <w:r>
        <w:rPr/>
        <w:t>the progression of human colon cancer cells. Therapeutic effects may be related to increased caspase-3 activity, upregulation of p53, and downregulation of bcl-2 genes.</w:t>
      </w:r>
      <w:r>
        <w:rPr>
          <w:position w:val="9"/>
          <w:sz w:val="25"/>
        </w:rPr>
        <w:t>304</w:t>
      </w:r>
    </w:p>
    <w:p>
      <w:pPr>
        <w:pStyle w:val="Heading1"/>
        <w:spacing w:before="223"/>
      </w:pPr>
      <w:r>
        <w:rPr/>
        <w:t>Ginkgolic acid shows an antitumour</w:t>
      </w:r>
      <w:r>
        <w:rPr>
          <w:spacing w:val="-58"/>
        </w:rPr>
        <w:t> </w:t>
      </w:r>
      <w:r>
        <w:rPr/>
        <w:t>effect</w:t>
      </w:r>
    </w:p>
    <w:p>
      <w:pPr>
        <w:pStyle w:val="BodyText"/>
        <w:spacing w:line="276" w:lineRule="auto" w:before="299"/>
        <w:ind w:left="477" w:right="140"/>
        <w:jc w:val="both"/>
      </w:pPr>
      <w:r>
        <w:rPr/>
        <w:t>In in vitro tests, ginkgolic acid inhibited the growth of tumourigenic cell lines both in terms of dosage and time period.</w:t>
      </w:r>
    </w:p>
    <w:p>
      <w:pPr>
        <w:pStyle w:val="BodyText"/>
        <w:spacing w:line="276" w:lineRule="auto" w:before="239"/>
        <w:ind w:left="477" w:right="138"/>
        <w:jc w:val="both"/>
        <w:rPr>
          <w:sz w:val="25"/>
        </w:rPr>
      </w:pPr>
      <w:r>
        <w:rPr/>
        <w:t>The antitumoural effect was due to the inhibition of proliferation, the delay of the cell cycle and apoptosis. According to the researchers, ginkgolic acid is a candidate for an antitumour drug.</w:t>
      </w:r>
      <w:r>
        <w:rPr>
          <w:position w:val="9"/>
          <w:sz w:val="25"/>
        </w:rPr>
        <w:t>305</w:t>
      </w:r>
    </w:p>
    <w:p>
      <w:pPr>
        <w:pStyle w:val="Heading1"/>
      </w:pPr>
      <w:r>
        <w:rPr/>
        <w:t>Ginkgo enhances the positive effects of chemotherapy</w:t>
      </w:r>
    </w:p>
    <w:p>
      <w:pPr>
        <w:pStyle w:val="BodyText"/>
        <w:spacing w:line="276" w:lineRule="auto" w:before="299"/>
        <w:ind w:left="477" w:right="138"/>
        <w:jc w:val="both"/>
      </w:pPr>
      <w:r>
        <w:rPr/>
        <w:t>The</w:t>
      </w:r>
      <w:r>
        <w:rPr>
          <w:spacing w:val="-6"/>
        </w:rPr>
        <w:t> </w:t>
      </w:r>
      <w:r>
        <w:rPr/>
        <w:t>role</w:t>
      </w:r>
      <w:r>
        <w:rPr>
          <w:spacing w:val="-7"/>
        </w:rPr>
        <w:t> </w:t>
      </w:r>
      <w:r>
        <w:rPr/>
        <w:t>of</w:t>
      </w:r>
      <w:r>
        <w:rPr>
          <w:spacing w:val="-9"/>
        </w:rPr>
        <w:t> </w:t>
      </w:r>
      <w:r>
        <w:rPr/>
        <w:t>the</w:t>
      </w:r>
      <w:r>
        <w:rPr>
          <w:spacing w:val="-8"/>
        </w:rPr>
        <w:t> </w:t>
      </w:r>
      <w:r>
        <w:rPr/>
        <w:t>ginkgo</w:t>
      </w:r>
      <w:r>
        <w:rPr>
          <w:spacing w:val="-7"/>
        </w:rPr>
        <w:t> </w:t>
      </w:r>
      <w:r>
        <w:rPr/>
        <w:t>during</w:t>
      </w:r>
      <w:r>
        <w:rPr>
          <w:spacing w:val="-6"/>
        </w:rPr>
        <w:t> </w:t>
      </w:r>
      <w:r>
        <w:rPr/>
        <w:t>chemotherapy,</w:t>
      </w:r>
      <w:r>
        <w:rPr>
          <w:spacing w:val="-6"/>
        </w:rPr>
        <w:t> </w:t>
      </w:r>
      <w:r>
        <w:rPr/>
        <w:t>which</w:t>
      </w:r>
      <w:r>
        <w:rPr>
          <w:spacing w:val="-6"/>
        </w:rPr>
        <w:t> </w:t>
      </w:r>
      <w:r>
        <w:rPr/>
        <w:t>in</w:t>
      </w:r>
      <w:r>
        <w:rPr>
          <w:spacing w:val="-7"/>
        </w:rPr>
        <w:t> </w:t>
      </w:r>
      <w:r>
        <w:rPr/>
        <w:t>itself</w:t>
      </w:r>
      <w:r>
        <w:rPr>
          <w:spacing w:val="-7"/>
        </w:rPr>
        <w:t> </w:t>
      </w:r>
      <w:r>
        <w:rPr/>
        <w:t>is</w:t>
      </w:r>
      <w:r>
        <w:rPr>
          <w:spacing w:val="-8"/>
        </w:rPr>
        <w:t> </w:t>
      </w:r>
      <w:r>
        <w:rPr/>
        <w:t>only</w:t>
      </w:r>
      <w:r>
        <w:rPr>
          <w:spacing w:val="-7"/>
        </w:rPr>
        <w:t> </w:t>
      </w:r>
      <w:r>
        <w:rPr/>
        <w:t>relevant</w:t>
      </w:r>
      <w:r>
        <w:rPr>
          <w:spacing w:val="-7"/>
        </w:rPr>
        <w:t> </w:t>
      </w:r>
      <w:r>
        <w:rPr/>
        <w:t>for a</w:t>
      </w:r>
      <w:r>
        <w:rPr>
          <w:spacing w:val="71"/>
        </w:rPr>
        <w:t> </w:t>
      </w:r>
      <w:r>
        <w:rPr/>
        <w:t>few</w:t>
      </w:r>
      <w:r>
        <w:rPr>
          <w:spacing w:val="72"/>
        </w:rPr>
        <w:t> </w:t>
      </w:r>
      <w:r>
        <w:rPr/>
        <w:t>cancers,</w:t>
      </w:r>
      <w:r>
        <w:rPr>
          <w:spacing w:val="74"/>
        </w:rPr>
        <w:t> </w:t>
      </w:r>
      <w:r>
        <w:rPr/>
        <w:t>is</w:t>
      </w:r>
      <w:r>
        <w:rPr>
          <w:spacing w:val="73"/>
        </w:rPr>
        <w:t> </w:t>
      </w:r>
      <w:r>
        <w:rPr/>
        <w:t>particularly</w:t>
      </w:r>
      <w:r>
        <w:rPr>
          <w:spacing w:val="72"/>
        </w:rPr>
        <w:t> </w:t>
      </w:r>
      <w:r>
        <w:rPr/>
        <w:t>noteworthy.</w:t>
      </w:r>
      <w:r>
        <w:rPr>
          <w:spacing w:val="73"/>
        </w:rPr>
        <w:t> </w:t>
      </w:r>
      <w:r>
        <w:rPr/>
        <w:t>This</w:t>
      </w:r>
      <w:r>
        <w:rPr>
          <w:spacing w:val="74"/>
        </w:rPr>
        <w:t> </w:t>
      </w:r>
      <w:r>
        <w:rPr/>
        <w:t>can</w:t>
      </w:r>
      <w:r>
        <w:rPr>
          <w:spacing w:val="74"/>
        </w:rPr>
        <w:t> </w:t>
      </w:r>
      <w:r>
        <w:rPr/>
        <w:t>improve</w:t>
      </w:r>
      <w:r>
        <w:rPr>
          <w:spacing w:val="73"/>
        </w:rPr>
        <w:t> </w:t>
      </w:r>
      <w:r>
        <w:rPr/>
        <w:t>strongly</w:t>
      </w:r>
      <w:r>
        <w:rPr>
          <w:spacing w:val="73"/>
        </w:rPr>
        <w:t> </w:t>
      </w:r>
      <w:r>
        <w:rPr/>
        <w:t>when</w:t>
      </w:r>
    </w:p>
    <w:p>
      <w:pPr>
        <w:pStyle w:val="BodyText"/>
        <w:spacing w:before="7"/>
        <w:rPr>
          <w:sz w:val="28"/>
        </w:rPr>
      </w:pPr>
      <w:r>
        <w:rPr/>
        <w:pict>
          <v:line style="position:absolute;mso-position-horizontal-relative:page;mso-position-vertical-relative:paragraph;z-index:3368;mso-wrap-distance-left:0;mso-wrap-distance-right:0" from="63.863998pt,18.489985pt" to="207.883998pt,18.489985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303 </w:t>
      </w:r>
      <w:r>
        <w:rPr>
          <w:sz w:val="20"/>
        </w:rPr>
        <w:t>Eur J</w:t>
      </w:r>
      <w:r>
        <w:rPr>
          <w:color w:val="660066"/>
          <w:sz w:val="20"/>
          <w:u w:val="single" w:color="660066"/>
        </w:rPr>
        <w:t> Cancer </w:t>
      </w:r>
      <w:r>
        <w:rPr>
          <w:sz w:val="20"/>
        </w:rPr>
        <w:t>Prev. 2011 Nov; 20(6), p. 508–517.</w:t>
      </w:r>
    </w:p>
    <w:p>
      <w:pPr>
        <w:spacing w:before="92"/>
        <w:ind w:left="477" w:right="0" w:firstLine="0"/>
        <w:jc w:val="left"/>
        <w:rPr>
          <w:sz w:val="20"/>
        </w:rPr>
      </w:pPr>
      <w:r>
        <w:rPr>
          <w:position w:val="5"/>
          <w:sz w:val="13"/>
        </w:rPr>
        <w:t>304 </w:t>
      </w:r>
      <w:r>
        <w:rPr>
          <w:sz w:val="20"/>
        </w:rPr>
        <w:t>Chen X. H. et al.: Cell Physiol Biochem. 2011; 27 (3-4), pp. 227-232. Epub 2011 Apr 1.</w:t>
      </w:r>
    </w:p>
    <w:p>
      <w:pPr>
        <w:spacing w:before="94"/>
        <w:ind w:left="477" w:right="0" w:firstLine="0"/>
        <w:jc w:val="left"/>
        <w:rPr>
          <w:sz w:val="20"/>
        </w:rPr>
      </w:pPr>
      <w:r>
        <w:rPr>
          <w:position w:val="5"/>
          <w:sz w:val="13"/>
        </w:rPr>
        <w:t>305 </w:t>
      </w:r>
      <w:r>
        <w:rPr>
          <w:sz w:val="20"/>
        </w:rPr>
        <w:t>Chemotherapy. 2010; 56 (5), p. 393–402. Epub 2010 Oct 1</w:t>
      </w:r>
    </w:p>
    <w:p>
      <w:pPr>
        <w:spacing w:after="0"/>
        <w:jc w:val="left"/>
        <w:rPr>
          <w:sz w:val="20"/>
        </w:rPr>
        <w:sectPr>
          <w:pgSz w:w="14270" w:h="16850"/>
          <w:pgMar w:header="0" w:footer="1891" w:top="1600" w:bottom="2080" w:left="800" w:right="1280"/>
        </w:sectPr>
      </w:pPr>
    </w:p>
    <w:p>
      <w:pPr>
        <w:pStyle w:val="BodyText"/>
        <w:spacing w:line="276" w:lineRule="auto" w:before="181"/>
        <w:ind w:left="477" w:right="130"/>
        <w:jc w:val="both"/>
        <w:rPr>
          <w:sz w:val="25"/>
        </w:rPr>
      </w:pPr>
      <w:r>
        <w:rPr/>
        <w:t>chemotherapy is used in combination with ginkgo preparations. For example, in the tumour biology department in Freiburg, cancer patients with breast can- cer,</w:t>
      </w:r>
      <w:r>
        <w:rPr>
          <w:spacing w:val="-23"/>
        </w:rPr>
        <w:t> </w:t>
      </w:r>
      <w:r>
        <w:rPr/>
        <w:t>colon</w:t>
      </w:r>
      <w:r>
        <w:rPr>
          <w:spacing w:val="-22"/>
        </w:rPr>
        <w:t> </w:t>
      </w:r>
      <w:r>
        <w:rPr/>
        <w:t>cancer</w:t>
      </w:r>
      <w:r>
        <w:rPr>
          <w:spacing w:val="-24"/>
        </w:rPr>
        <w:t> </w:t>
      </w:r>
      <w:r>
        <w:rPr/>
        <w:t>and</w:t>
      </w:r>
      <w:r>
        <w:rPr>
          <w:spacing w:val="-23"/>
        </w:rPr>
        <w:t> </w:t>
      </w:r>
      <w:r>
        <w:rPr/>
        <w:t>pancreatic</w:t>
      </w:r>
      <w:r>
        <w:rPr>
          <w:spacing w:val="-23"/>
        </w:rPr>
        <w:t> </w:t>
      </w:r>
      <w:r>
        <w:rPr/>
        <w:t>cancer</w:t>
      </w:r>
      <w:r>
        <w:rPr>
          <w:spacing w:val="-23"/>
        </w:rPr>
        <w:t> </w:t>
      </w:r>
      <w:r>
        <w:rPr/>
        <w:t>were</w:t>
      </w:r>
      <w:r>
        <w:rPr>
          <w:spacing w:val="-22"/>
        </w:rPr>
        <w:t> </w:t>
      </w:r>
      <w:r>
        <w:rPr/>
        <w:t>given</w:t>
      </w:r>
      <w:r>
        <w:rPr>
          <w:spacing w:val="-22"/>
        </w:rPr>
        <w:t> </w:t>
      </w:r>
      <w:r>
        <w:rPr/>
        <w:t>ginkgo</w:t>
      </w:r>
      <w:r>
        <w:rPr>
          <w:spacing w:val="-22"/>
        </w:rPr>
        <w:t> </w:t>
      </w:r>
      <w:r>
        <w:rPr/>
        <w:t>in</w:t>
      </w:r>
      <w:r>
        <w:rPr>
          <w:spacing w:val="-22"/>
        </w:rPr>
        <w:t> </w:t>
      </w:r>
      <w:r>
        <w:rPr/>
        <w:t>addition</w:t>
      </w:r>
      <w:r>
        <w:rPr>
          <w:spacing w:val="-23"/>
        </w:rPr>
        <w:t> </w:t>
      </w:r>
      <w:r>
        <w:rPr/>
        <w:t>to</w:t>
      </w:r>
      <w:r>
        <w:rPr>
          <w:spacing w:val="-22"/>
        </w:rPr>
        <w:t> </w:t>
      </w:r>
      <w:r>
        <w:rPr/>
        <w:t>chemo- infusions, thereby increasing the effect. The researchers substantiate this desir- able effect with the effect of ginkgo on the membranes of the tumour cells, which structurally change so that the chemotherapy can have a better effect.</w:t>
      </w:r>
      <w:r>
        <w:rPr>
          <w:position w:val="9"/>
          <w:sz w:val="25"/>
        </w:rPr>
        <w:t>306 </w:t>
      </w:r>
      <w:r>
        <w:rPr/>
        <w:t>In the case of ovarian cancer, one study has shown that the combination of ginkgo biloba with chemotherapy works better than chemotherapy</w:t>
      </w:r>
      <w:r>
        <w:rPr>
          <w:spacing w:val="-14"/>
        </w:rPr>
        <w:t> </w:t>
      </w:r>
      <w:r>
        <w:rPr/>
        <w:t>alone.</w:t>
      </w:r>
      <w:r>
        <w:rPr>
          <w:position w:val="9"/>
          <w:sz w:val="25"/>
        </w:rPr>
        <w:t>307</w:t>
      </w:r>
    </w:p>
    <w:p>
      <w:pPr>
        <w:pStyle w:val="BodyText"/>
        <w:spacing w:before="3"/>
        <w:rPr>
          <w:sz w:val="41"/>
        </w:rPr>
      </w:pPr>
    </w:p>
    <w:p>
      <w:pPr>
        <w:pStyle w:val="Heading1"/>
        <w:spacing w:before="0"/>
        <w:jc w:val="both"/>
      </w:pPr>
      <w:r>
        <w:rPr/>
        <w:t>Ginkgo protects against the side effects of irradiation with iodine 131</w:t>
      </w:r>
    </w:p>
    <w:p>
      <w:pPr>
        <w:pStyle w:val="BodyText"/>
        <w:spacing w:line="276" w:lineRule="auto" w:before="299"/>
        <w:ind w:left="477" w:right="134"/>
        <w:jc w:val="both"/>
        <w:rPr>
          <w:sz w:val="25"/>
        </w:rPr>
      </w:pPr>
      <w:r>
        <w:rPr/>
        <w:t>Thyroid</w:t>
      </w:r>
      <w:r>
        <w:rPr>
          <w:spacing w:val="-21"/>
        </w:rPr>
        <w:t> </w:t>
      </w:r>
      <w:r>
        <w:rPr/>
        <w:t>cancer</w:t>
      </w:r>
      <w:r>
        <w:rPr>
          <w:spacing w:val="-22"/>
        </w:rPr>
        <w:t> </w:t>
      </w:r>
      <w:r>
        <w:rPr/>
        <w:t>patients</w:t>
      </w:r>
      <w:r>
        <w:rPr>
          <w:spacing w:val="-20"/>
        </w:rPr>
        <w:t> </w:t>
      </w:r>
      <w:r>
        <w:rPr/>
        <w:t>treated</w:t>
      </w:r>
      <w:r>
        <w:rPr>
          <w:spacing w:val="-21"/>
        </w:rPr>
        <w:t> </w:t>
      </w:r>
      <w:r>
        <w:rPr/>
        <w:t>with</w:t>
      </w:r>
      <w:r>
        <w:rPr>
          <w:spacing w:val="-20"/>
        </w:rPr>
        <w:t> </w:t>
      </w:r>
      <w:r>
        <w:rPr/>
        <w:t>iodine</w:t>
      </w:r>
      <w:r>
        <w:rPr>
          <w:spacing w:val="-20"/>
        </w:rPr>
        <w:t> </w:t>
      </w:r>
      <w:r>
        <w:rPr/>
        <w:t>131</w:t>
      </w:r>
      <w:r>
        <w:rPr>
          <w:spacing w:val="-20"/>
        </w:rPr>
        <w:t> </w:t>
      </w:r>
      <w:r>
        <w:rPr/>
        <w:t>had</w:t>
      </w:r>
      <w:r>
        <w:rPr>
          <w:spacing w:val="-20"/>
        </w:rPr>
        <w:t> </w:t>
      </w:r>
      <w:r>
        <w:rPr/>
        <w:t>lower</w:t>
      </w:r>
      <w:r>
        <w:rPr>
          <w:spacing w:val="-20"/>
        </w:rPr>
        <w:t> </w:t>
      </w:r>
      <w:r>
        <w:rPr/>
        <w:t>stress</w:t>
      </w:r>
      <w:r>
        <w:rPr>
          <w:spacing w:val="-22"/>
        </w:rPr>
        <w:t> </w:t>
      </w:r>
      <w:r>
        <w:rPr/>
        <w:t>levels</w:t>
      </w:r>
      <w:r>
        <w:rPr>
          <w:spacing w:val="-21"/>
        </w:rPr>
        <w:t> </w:t>
      </w:r>
      <w:r>
        <w:rPr/>
        <w:t>in</w:t>
      </w:r>
      <w:r>
        <w:rPr>
          <w:spacing w:val="-20"/>
        </w:rPr>
        <w:t> </w:t>
      </w:r>
      <w:r>
        <w:rPr/>
        <w:t>a</w:t>
      </w:r>
      <w:r>
        <w:rPr>
          <w:spacing w:val="-22"/>
        </w:rPr>
        <w:t> </w:t>
      </w:r>
      <w:r>
        <w:rPr/>
        <w:t>study with ginkgo biloba. The conclusion of the study was that ginkgo may protect against oxidative and genotoxic damage resulting from treatment with iodine 131.</w:t>
      </w:r>
      <w:r>
        <w:rPr>
          <w:position w:val="9"/>
          <w:sz w:val="25"/>
        </w:rPr>
        <w:t>308</w:t>
      </w:r>
    </w:p>
    <w:p>
      <w:pPr>
        <w:pStyle w:val="Heading1"/>
        <w:spacing w:before="223"/>
      </w:pPr>
      <w:r>
        <w:rPr/>
        <w:t>Ginkgo biloba improves cognitive skills in brain tumour patients</w:t>
      </w:r>
    </w:p>
    <w:p>
      <w:pPr>
        <w:pStyle w:val="BodyText"/>
        <w:spacing w:line="276" w:lineRule="auto" w:before="299"/>
        <w:ind w:left="477" w:right="133"/>
        <w:jc w:val="both"/>
        <w:rPr>
          <w:sz w:val="25"/>
        </w:rPr>
      </w:pPr>
      <w:r>
        <w:rPr/>
        <w:t>In a study on brain tumour patients who underwent radiation exposure, the administration of ginkgo supplements (40 mg ginkgo extract 3 times a day)</w:t>
      </w:r>
      <w:r>
        <w:rPr>
          <w:spacing w:val="-44"/>
        </w:rPr>
        <w:t> </w:t>
      </w:r>
      <w:r>
        <w:rPr/>
        <w:t>sig- nificantly improved cognitive ability, attention, concentration, and mood and quality of life in</w:t>
      </w:r>
      <w:r>
        <w:rPr>
          <w:spacing w:val="1"/>
        </w:rPr>
        <w:t> </w:t>
      </w:r>
      <w:r>
        <w:rPr/>
        <w:t>general.</w:t>
      </w:r>
      <w:r>
        <w:rPr>
          <w:position w:val="9"/>
          <w:sz w:val="25"/>
        </w:rPr>
        <w:t>309</w:t>
      </w:r>
    </w:p>
    <w:p>
      <w:pPr>
        <w:pStyle w:val="BodyText"/>
        <w:rPr>
          <w:sz w:val="20"/>
        </w:rPr>
      </w:pPr>
    </w:p>
    <w:p>
      <w:pPr>
        <w:pStyle w:val="BodyText"/>
        <w:rPr>
          <w:sz w:val="20"/>
        </w:rPr>
      </w:pPr>
    </w:p>
    <w:p>
      <w:pPr>
        <w:pStyle w:val="BodyText"/>
        <w:rPr>
          <w:sz w:val="20"/>
        </w:rPr>
      </w:pPr>
    </w:p>
    <w:p>
      <w:pPr>
        <w:pStyle w:val="BodyText"/>
        <w:spacing w:before="9"/>
        <w:rPr>
          <w:sz w:val="20"/>
        </w:rPr>
      </w:pPr>
      <w:r>
        <w:rPr/>
        <w:pict>
          <v:line style="position:absolute;mso-position-horizontal-relative:page;mso-position-vertical-relative:paragraph;z-index:3392;mso-wrap-distance-left:0;mso-wrap-distance-right:0" from="63.863998pt,14.057515pt" to="207.883998pt,14.057515pt" stroked="true" strokeweight=".71997pt" strokecolor="#000000">
            <v:stroke dashstyle="solid"/>
            <w10:wrap type="topAndBottom"/>
          </v:line>
        </w:pict>
      </w:r>
    </w:p>
    <w:p>
      <w:pPr>
        <w:pStyle w:val="BodyText"/>
        <w:spacing w:before="7"/>
        <w:rPr>
          <w:sz w:val="18"/>
        </w:rPr>
      </w:pPr>
    </w:p>
    <w:p>
      <w:pPr>
        <w:spacing w:line="276" w:lineRule="auto" w:before="99"/>
        <w:ind w:left="477" w:right="244" w:firstLine="0"/>
        <w:jc w:val="left"/>
        <w:rPr>
          <w:sz w:val="20"/>
        </w:rPr>
      </w:pPr>
      <w:r>
        <w:rPr>
          <w:position w:val="5"/>
          <w:sz w:val="13"/>
        </w:rPr>
        <w:t>306 </w:t>
      </w:r>
      <w:r>
        <w:rPr>
          <w:sz w:val="20"/>
        </w:rPr>
        <w:t>Peter Köhler: Die Heilkraft des Ginkgo. Natürlich gesund von Kopf bis Fuß (‘The Healing Power of Ginkgo. Naturally Healthy from Head to Toe’), 1998, p. 127</w:t>
      </w:r>
    </w:p>
    <w:p>
      <w:pPr>
        <w:spacing w:before="61"/>
        <w:ind w:left="477" w:right="0" w:firstLine="0"/>
        <w:jc w:val="left"/>
        <w:rPr>
          <w:sz w:val="20"/>
        </w:rPr>
      </w:pPr>
      <w:r>
        <w:rPr>
          <w:position w:val="5"/>
          <w:sz w:val="13"/>
        </w:rPr>
        <w:t>307 </w:t>
      </w:r>
      <w:r>
        <w:rPr>
          <w:sz w:val="20"/>
        </w:rPr>
        <w:t>Jiang W. et al.: Integr</w:t>
      </w:r>
      <w:r>
        <w:rPr>
          <w:color w:val="660066"/>
          <w:sz w:val="20"/>
          <w:u w:val="single" w:color="660066"/>
        </w:rPr>
        <w:t> Cancer </w:t>
      </w:r>
      <w:r>
        <w:rPr>
          <w:sz w:val="20"/>
        </w:rPr>
        <w:t>Ther. 2012 Apr 13. [Epub ahead of print]</w:t>
      </w:r>
    </w:p>
    <w:p>
      <w:pPr>
        <w:spacing w:before="94"/>
        <w:ind w:left="477" w:right="0" w:firstLine="0"/>
        <w:jc w:val="left"/>
        <w:rPr>
          <w:sz w:val="20"/>
        </w:rPr>
      </w:pPr>
      <w:r>
        <w:rPr/>
        <w:drawing>
          <wp:anchor distT="0" distB="0" distL="0" distR="0" allowOverlap="1" layoutInCell="1" locked="0" behindDoc="1" simplePos="0" relativeHeight="267171191">
            <wp:simplePos x="0" y="0"/>
            <wp:positionH relativeFrom="page">
              <wp:posOffset>896463</wp:posOffset>
            </wp:positionH>
            <wp:positionV relativeFrom="paragraph">
              <wp:posOffset>141962</wp:posOffset>
            </wp:positionV>
            <wp:extent cx="6379583" cy="902106"/>
            <wp:effectExtent l="0" t="0" r="0" b="0"/>
            <wp:wrapNone/>
            <wp:docPr id="177" name="image2.jpeg" descr=""/>
            <wp:cNvGraphicFramePr>
              <a:graphicFrameLocks noChangeAspect="1"/>
            </wp:cNvGraphicFramePr>
            <a:graphic>
              <a:graphicData uri="http://schemas.openxmlformats.org/drawingml/2006/picture">
                <pic:pic>
                  <pic:nvPicPr>
                    <pic:cNvPr id="178"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308</w:t>
      </w:r>
      <w:r>
        <w:rPr>
          <w:sz w:val="20"/>
        </w:rPr>
        <w:t>Thyroid. 2012 Mar; 22 (3), p. 318-324. Epub 2011 Dec 19.</w:t>
      </w:r>
    </w:p>
    <w:p>
      <w:pPr>
        <w:spacing w:before="95"/>
        <w:ind w:left="477" w:right="0" w:firstLine="0"/>
        <w:jc w:val="left"/>
        <w:rPr>
          <w:sz w:val="20"/>
        </w:rPr>
      </w:pPr>
      <w:r>
        <w:rPr>
          <w:position w:val="5"/>
          <w:sz w:val="13"/>
        </w:rPr>
        <w:t>309 </w:t>
      </w:r>
      <w:r>
        <w:rPr>
          <w:sz w:val="20"/>
        </w:rPr>
        <w:t>J Neurooncol 2012 Sep ;109(2) S.357-363 Epub2012 Jun 15.</w:t>
      </w:r>
    </w:p>
    <w:p>
      <w:pPr>
        <w:spacing w:after="0"/>
        <w:jc w:val="left"/>
        <w:rPr>
          <w:sz w:val="20"/>
        </w:rPr>
        <w:sectPr>
          <w:footerReference w:type="default" r:id="rId116"/>
          <w:pgSz w:w="14270" w:h="16850"/>
          <w:pgMar w:footer="527" w:header="0" w:top="1600" w:bottom="720" w:left="800" w:right="1280"/>
          <w:pgNumType w:start="432"/>
        </w:sectPr>
      </w:pPr>
    </w:p>
    <w:p>
      <w:pPr>
        <w:pStyle w:val="BodyText"/>
        <w:rPr>
          <w:sz w:val="20"/>
        </w:rPr>
      </w:pPr>
    </w:p>
    <w:p>
      <w:pPr>
        <w:pStyle w:val="BodyText"/>
        <w:rPr>
          <w:sz w:val="20"/>
        </w:rPr>
      </w:pPr>
    </w:p>
    <w:p>
      <w:pPr>
        <w:pStyle w:val="BodyText"/>
        <w:rPr>
          <w:sz w:val="20"/>
        </w:rPr>
      </w:pPr>
    </w:p>
    <w:p>
      <w:pPr>
        <w:spacing w:before="238"/>
        <w:ind w:left="477" w:right="0" w:firstLine="0"/>
        <w:jc w:val="left"/>
        <w:rPr>
          <w:i/>
          <w:sz w:val="38"/>
        </w:rPr>
      </w:pPr>
      <w:r>
        <w:rPr>
          <w:i/>
          <w:sz w:val="38"/>
        </w:rPr>
        <w:t>Anti-ageing with ginkgo</w:t>
      </w:r>
    </w:p>
    <w:p>
      <w:pPr>
        <w:pStyle w:val="BodyText"/>
        <w:spacing w:before="10"/>
        <w:rPr>
          <w:i/>
          <w:sz w:val="46"/>
        </w:rPr>
      </w:pPr>
    </w:p>
    <w:p>
      <w:pPr>
        <w:pStyle w:val="Heading1"/>
        <w:spacing w:before="0"/>
      </w:pPr>
      <w:r>
        <w:rPr/>
        <w:t>Ginkgo biloba as protection against premature ageing</w:t>
      </w:r>
    </w:p>
    <w:p>
      <w:pPr>
        <w:pStyle w:val="BodyText"/>
        <w:spacing w:line="276" w:lineRule="auto" w:before="299"/>
        <w:ind w:left="477" w:right="131"/>
        <w:jc w:val="both"/>
      </w:pPr>
      <w:r>
        <w:rPr/>
        <w:t>Hindu medicine refers to ginkgo biloba as an ‘elixir of life that stops the de- struction of the body and enables two thousand summers of life’.</w:t>
      </w:r>
    </w:p>
    <w:p>
      <w:pPr>
        <w:pStyle w:val="BodyText"/>
        <w:spacing w:line="276" w:lineRule="auto" w:before="239"/>
        <w:ind w:left="477" w:right="136"/>
        <w:jc w:val="both"/>
      </w:pPr>
      <w:r>
        <w:rPr/>
        <w:t>In addition to protecting against free radicals shown by numerous studies, which in turn are proven to be responsible for ageing (as well as numerous diseases), studies have shown an activating effect on telomerase.</w:t>
      </w:r>
    </w:p>
    <w:p>
      <w:pPr>
        <w:pStyle w:val="BodyText"/>
        <w:spacing w:line="276" w:lineRule="auto" w:before="241"/>
        <w:ind w:left="477" w:right="132"/>
        <w:jc w:val="both"/>
        <w:rPr>
          <w:sz w:val="25"/>
        </w:rPr>
      </w:pPr>
      <w:r>
        <w:rPr/>
        <w:t>Telomerase</w:t>
      </w:r>
      <w:r>
        <w:rPr>
          <w:spacing w:val="-10"/>
        </w:rPr>
        <w:t> </w:t>
      </w:r>
      <w:r>
        <w:rPr/>
        <w:t>is</w:t>
      </w:r>
      <w:r>
        <w:rPr>
          <w:spacing w:val="-9"/>
        </w:rPr>
        <w:t> </w:t>
      </w:r>
      <w:r>
        <w:rPr/>
        <w:t>an</w:t>
      </w:r>
      <w:r>
        <w:rPr>
          <w:spacing w:val="-12"/>
        </w:rPr>
        <w:t> </w:t>
      </w:r>
      <w:r>
        <w:rPr/>
        <w:t>enzyme</w:t>
      </w:r>
      <w:r>
        <w:rPr>
          <w:spacing w:val="-11"/>
        </w:rPr>
        <w:t> </w:t>
      </w:r>
      <w:r>
        <w:rPr/>
        <w:t>that</w:t>
      </w:r>
      <w:r>
        <w:rPr>
          <w:spacing w:val="-9"/>
        </w:rPr>
        <w:t> </w:t>
      </w:r>
      <w:r>
        <w:rPr/>
        <w:t>protects</w:t>
      </w:r>
      <w:r>
        <w:rPr>
          <w:spacing w:val="-10"/>
        </w:rPr>
        <w:t> </w:t>
      </w:r>
      <w:r>
        <w:rPr/>
        <w:t>the</w:t>
      </w:r>
      <w:r>
        <w:rPr>
          <w:spacing w:val="-8"/>
        </w:rPr>
        <w:t> </w:t>
      </w:r>
      <w:r>
        <w:rPr/>
        <w:t>telomeres,</w:t>
      </w:r>
      <w:r>
        <w:rPr>
          <w:spacing w:val="-8"/>
        </w:rPr>
        <w:t> </w:t>
      </w:r>
      <w:r>
        <w:rPr/>
        <w:t>also</w:t>
      </w:r>
      <w:r>
        <w:rPr>
          <w:spacing w:val="-11"/>
        </w:rPr>
        <w:t> </w:t>
      </w:r>
      <w:r>
        <w:rPr/>
        <w:t>called</w:t>
      </w:r>
      <w:r>
        <w:rPr>
          <w:spacing w:val="-10"/>
        </w:rPr>
        <w:t> </w:t>
      </w:r>
      <w:r>
        <w:rPr/>
        <w:t>‘flames</w:t>
      </w:r>
      <w:r>
        <w:rPr>
          <w:spacing w:val="-9"/>
        </w:rPr>
        <w:t> </w:t>
      </w:r>
      <w:r>
        <w:rPr/>
        <w:t>of</w:t>
      </w:r>
      <w:r>
        <w:rPr>
          <w:spacing w:val="-9"/>
        </w:rPr>
        <w:t> </w:t>
      </w:r>
      <w:r>
        <w:rPr/>
        <w:t>life’, because</w:t>
      </w:r>
      <w:r>
        <w:rPr>
          <w:spacing w:val="-7"/>
        </w:rPr>
        <w:t> </w:t>
      </w:r>
      <w:r>
        <w:rPr/>
        <w:t>they</w:t>
      </w:r>
      <w:r>
        <w:rPr>
          <w:spacing w:val="-8"/>
        </w:rPr>
        <w:t> </w:t>
      </w:r>
      <w:r>
        <w:rPr/>
        <w:t>sit</w:t>
      </w:r>
      <w:r>
        <w:rPr>
          <w:spacing w:val="-9"/>
        </w:rPr>
        <w:t> </w:t>
      </w:r>
      <w:r>
        <w:rPr/>
        <w:t>at</w:t>
      </w:r>
      <w:r>
        <w:rPr>
          <w:spacing w:val="-8"/>
        </w:rPr>
        <w:t> </w:t>
      </w:r>
      <w:r>
        <w:rPr/>
        <w:t>the</w:t>
      </w:r>
      <w:r>
        <w:rPr>
          <w:spacing w:val="-6"/>
        </w:rPr>
        <w:t> </w:t>
      </w:r>
      <w:r>
        <w:rPr/>
        <w:t>ends</w:t>
      </w:r>
      <w:r>
        <w:rPr>
          <w:spacing w:val="-8"/>
        </w:rPr>
        <w:t> </w:t>
      </w:r>
      <w:r>
        <w:rPr/>
        <w:t>of</w:t>
      </w:r>
      <w:r>
        <w:rPr>
          <w:spacing w:val="-8"/>
        </w:rPr>
        <w:t> </w:t>
      </w:r>
      <w:r>
        <w:rPr/>
        <w:t>the</w:t>
      </w:r>
      <w:r>
        <w:rPr>
          <w:spacing w:val="-7"/>
        </w:rPr>
        <w:t> </w:t>
      </w:r>
      <w:r>
        <w:rPr/>
        <w:t>chromosomes</w:t>
      </w:r>
      <w:r>
        <w:rPr>
          <w:spacing w:val="-11"/>
        </w:rPr>
        <w:t> </w:t>
      </w:r>
      <w:r>
        <w:rPr/>
        <w:t>and</w:t>
      </w:r>
      <w:r>
        <w:rPr>
          <w:spacing w:val="-6"/>
        </w:rPr>
        <w:t> </w:t>
      </w:r>
      <w:r>
        <w:rPr/>
        <w:t>prevent</w:t>
      </w:r>
      <w:r>
        <w:rPr>
          <w:spacing w:val="-10"/>
        </w:rPr>
        <w:t> </w:t>
      </w:r>
      <w:r>
        <w:rPr/>
        <w:t>them</w:t>
      </w:r>
      <w:r>
        <w:rPr>
          <w:spacing w:val="-7"/>
        </w:rPr>
        <w:t> </w:t>
      </w:r>
      <w:r>
        <w:rPr/>
        <w:t>from</w:t>
      </w:r>
      <w:r>
        <w:rPr>
          <w:spacing w:val="-8"/>
        </w:rPr>
        <w:t> </w:t>
      </w:r>
      <w:r>
        <w:rPr/>
        <w:t>short- ening</w:t>
      </w:r>
      <w:r>
        <w:rPr>
          <w:spacing w:val="-22"/>
        </w:rPr>
        <w:t> </w:t>
      </w:r>
      <w:r>
        <w:rPr/>
        <w:t>and</w:t>
      </w:r>
      <w:r>
        <w:rPr>
          <w:spacing w:val="-21"/>
        </w:rPr>
        <w:t> </w:t>
      </w:r>
      <w:r>
        <w:rPr/>
        <w:t>the</w:t>
      </w:r>
      <w:r>
        <w:rPr>
          <w:spacing w:val="-20"/>
        </w:rPr>
        <w:t> </w:t>
      </w:r>
      <w:r>
        <w:rPr/>
        <w:t>whole</w:t>
      </w:r>
      <w:r>
        <w:rPr>
          <w:spacing w:val="-20"/>
        </w:rPr>
        <w:t> </w:t>
      </w:r>
      <w:r>
        <w:rPr/>
        <w:t>body</w:t>
      </w:r>
      <w:r>
        <w:rPr>
          <w:spacing w:val="-23"/>
        </w:rPr>
        <w:t> </w:t>
      </w:r>
      <w:r>
        <w:rPr/>
        <w:t>from</w:t>
      </w:r>
      <w:r>
        <w:rPr>
          <w:spacing w:val="-24"/>
        </w:rPr>
        <w:t> </w:t>
      </w:r>
      <w:r>
        <w:rPr/>
        <w:t>ageing.</w:t>
      </w:r>
      <w:r>
        <w:rPr>
          <w:spacing w:val="-21"/>
        </w:rPr>
        <w:t> </w:t>
      </w:r>
      <w:r>
        <w:rPr/>
        <w:t>Here,</w:t>
      </w:r>
      <w:r>
        <w:rPr>
          <w:spacing w:val="-21"/>
        </w:rPr>
        <w:t> </w:t>
      </w:r>
      <w:r>
        <w:rPr/>
        <w:t>ginkgo</w:t>
      </w:r>
      <w:r>
        <w:rPr>
          <w:spacing w:val="-21"/>
        </w:rPr>
        <w:t> </w:t>
      </w:r>
      <w:r>
        <w:rPr/>
        <w:t>can</w:t>
      </w:r>
      <w:r>
        <w:rPr>
          <w:spacing w:val="-21"/>
        </w:rPr>
        <w:t> </w:t>
      </w:r>
      <w:r>
        <w:rPr/>
        <w:t>activate</w:t>
      </w:r>
      <w:r>
        <w:rPr>
          <w:spacing w:val="-19"/>
        </w:rPr>
        <w:t> </w:t>
      </w:r>
      <w:r>
        <w:rPr/>
        <w:t>the</w:t>
      </w:r>
      <w:r>
        <w:rPr>
          <w:spacing w:val="-20"/>
        </w:rPr>
        <w:t> </w:t>
      </w:r>
      <w:r>
        <w:rPr/>
        <w:t>telomerase and trigger the protective effect on the</w:t>
      </w:r>
      <w:r>
        <w:rPr>
          <w:spacing w:val="4"/>
        </w:rPr>
        <w:t> </w:t>
      </w:r>
      <w:r>
        <w:rPr/>
        <w:t>telomeres.</w:t>
      </w:r>
      <w:r>
        <w:rPr>
          <w:position w:val="9"/>
          <w:sz w:val="25"/>
        </w:rPr>
        <w:t>310</w:t>
      </w:r>
    </w:p>
    <w:p>
      <w:pPr>
        <w:pStyle w:val="BodyText"/>
        <w:spacing w:line="276" w:lineRule="auto" w:before="240"/>
        <w:ind w:left="477" w:right="135"/>
        <w:jc w:val="both"/>
        <w:rPr>
          <w:sz w:val="25"/>
        </w:rPr>
      </w:pPr>
      <w:r>
        <w:rPr/>
        <w:t>French</w:t>
      </w:r>
      <w:r>
        <w:rPr>
          <w:spacing w:val="-24"/>
        </w:rPr>
        <w:t> </w:t>
      </w:r>
      <w:r>
        <w:rPr/>
        <w:t>researchers</w:t>
      </w:r>
      <w:r>
        <w:rPr>
          <w:spacing w:val="-23"/>
        </w:rPr>
        <w:t> </w:t>
      </w:r>
      <w:r>
        <w:rPr/>
        <w:t>measured</w:t>
      </w:r>
      <w:r>
        <w:rPr>
          <w:spacing w:val="-25"/>
        </w:rPr>
        <w:t> </w:t>
      </w:r>
      <w:r>
        <w:rPr/>
        <w:t>the</w:t>
      </w:r>
      <w:r>
        <w:rPr>
          <w:spacing w:val="-20"/>
        </w:rPr>
        <w:t> </w:t>
      </w:r>
      <w:r>
        <w:rPr/>
        <w:t>brain</w:t>
      </w:r>
      <w:r>
        <w:rPr>
          <w:spacing w:val="-25"/>
        </w:rPr>
        <w:t> </w:t>
      </w:r>
      <w:r>
        <w:rPr/>
        <w:t>waves</w:t>
      </w:r>
      <w:r>
        <w:rPr>
          <w:spacing w:val="-23"/>
        </w:rPr>
        <w:t> </w:t>
      </w:r>
      <w:r>
        <w:rPr/>
        <w:t>of</w:t>
      </w:r>
      <w:r>
        <w:rPr>
          <w:spacing w:val="-23"/>
        </w:rPr>
        <w:t> </w:t>
      </w:r>
      <w:r>
        <w:rPr/>
        <w:t>older</w:t>
      </w:r>
      <w:r>
        <w:rPr>
          <w:spacing w:val="-21"/>
        </w:rPr>
        <w:t> </w:t>
      </w:r>
      <w:r>
        <w:rPr/>
        <w:t>subjects</w:t>
      </w:r>
      <w:r>
        <w:rPr>
          <w:spacing w:val="-23"/>
        </w:rPr>
        <w:t> </w:t>
      </w:r>
      <w:r>
        <w:rPr/>
        <w:t>between</w:t>
      </w:r>
      <w:r>
        <w:rPr>
          <w:spacing w:val="-24"/>
        </w:rPr>
        <w:t> </w:t>
      </w:r>
      <w:r>
        <w:rPr/>
        <w:t>the</w:t>
      </w:r>
      <w:r>
        <w:rPr>
          <w:spacing w:val="-23"/>
        </w:rPr>
        <w:t> </w:t>
      </w:r>
      <w:r>
        <w:rPr/>
        <w:t>ages of</w:t>
      </w:r>
      <w:r>
        <w:rPr>
          <w:spacing w:val="-16"/>
        </w:rPr>
        <w:t> </w:t>
      </w:r>
      <w:r>
        <w:rPr/>
        <w:t>83</w:t>
      </w:r>
      <w:r>
        <w:rPr>
          <w:spacing w:val="-17"/>
        </w:rPr>
        <w:t> </w:t>
      </w:r>
      <w:r>
        <w:rPr/>
        <w:t>and</w:t>
      </w:r>
      <w:r>
        <w:rPr>
          <w:spacing w:val="-15"/>
        </w:rPr>
        <w:t> </w:t>
      </w:r>
      <w:r>
        <w:rPr/>
        <w:t>87</w:t>
      </w:r>
      <w:r>
        <w:rPr>
          <w:spacing w:val="-17"/>
        </w:rPr>
        <w:t> </w:t>
      </w:r>
      <w:r>
        <w:rPr/>
        <w:t>with</w:t>
      </w:r>
      <w:r>
        <w:rPr>
          <w:spacing w:val="-15"/>
        </w:rPr>
        <w:t> </w:t>
      </w:r>
      <w:r>
        <w:rPr/>
        <w:t>EEG.</w:t>
      </w:r>
      <w:r>
        <w:rPr>
          <w:spacing w:val="-16"/>
        </w:rPr>
        <w:t> </w:t>
      </w:r>
      <w:r>
        <w:rPr/>
        <w:t>After</w:t>
      </w:r>
      <w:r>
        <w:rPr>
          <w:spacing w:val="-15"/>
        </w:rPr>
        <w:t> </w:t>
      </w:r>
      <w:r>
        <w:rPr/>
        <w:t>only</w:t>
      </w:r>
      <w:r>
        <w:rPr>
          <w:spacing w:val="-16"/>
        </w:rPr>
        <w:t> </w:t>
      </w:r>
      <w:r>
        <w:rPr/>
        <w:t>three</w:t>
      </w:r>
      <w:r>
        <w:rPr>
          <w:spacing w:val="-15"/>
        </w:rPr>
        <w:t> </w:t>
      </w:r>
      <w:r>
        <w:rPr/>
        <w:t>weeks,</w:t>
      </w:r>
      <w:r>
        <w:rPr>
          <w:spacing w:val="-18"/>
        </w:rPr>
        <w:t> </w:t>
      </w:r>
      <w:r>
        <w:rPr/>
        <w:t>there</w:t>
      </w:r>
      <w:r>
        <w:rPr>
          <w:spacing w:val="-13"/>
        </w:rPr>
        <w:t> </w:t>
      </w:r>
      <w:r>
        <w:rPr/>
        <w:t>were</w:t>
      </w:r>
      <w:r>
        <w:rPr>
          <w:spacing w:val="-16"/>
        </w:rPr>
        <w:t> </w:t>
      </w:r>
      <w:r>
        <w:rPr/>
        <w:t>significant</w:t>
      </w:r>
      <w:r>
        <w:rPr>
          <w:spacing w:val="-16"/>
        </w:rPr>
        <w:t> </w:t>
      </w:r>
      <w:r>
        <w:rPr/>
        <w:t>improve- ments, and after six weeks, EEG measurements of the brain matched those of able-bodied, healthy people.</w:t>
      </w:r>
      <w:r>
        <w:rPr>
          <w:position w:val="9"/>
          <w:sz w:val="25"/>
        </w:rPr>
        <w:t>311</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4"/>
        </w:rPr>
      </w:pPr>
      <w:r>
        <w:rPr/>
        <w:pict>
          <v:line style="position:absolute;mso-position-horizontal-relative:page;mso-position-vertical-relative:paragraph;z-index:3440;mso-wrap-distance-left:0;mso-wrap-distance-right:0" from="63.863998pt,16.133736pt" to="207.883998pt,16.133736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310</w:t>
      </w:r>
      <w:r>
        <w:rPr>
          <w:sz w:val="20"/>
        </w:rPr>
        <w:t>Dong X. X. et al.: 2007 Feb; 49 (2), p. 111-115.</w:t>
      </w:r>
    </w:p>
    <w:p>
      <w:pPr>
        <w:spacing w:line="276" w:lineRule="auto" w:before="92"/>
        <w:ind w:left="477" w:right="244" w:firstLine="0"/>
        <w:jc w:val="left"/>
        <w:rPr>
          <w:sz w:val="20"/>
        </w:rPr>
      </w:pPr>
      <w:r>
        <w:rPr>
          <w:position w:val="5"/>
          <w:sz w:val="13"/>
        </w:rPr>
        <w:t>311 </w:t>
      </w:r>
      <w:r>
        <w:rPr>
          <w:sz w:val="20"/>
        </w:rPr>
        <w:t>Peter Köhler: Die Heilkraft des Ginkgo. Natürlich gesund von Kopf bis Fuß (‘The Healing Power of Ginkgo. Naturally Healthy from Head to Toe’), 1998, p. 98</w:t>
      </w:r>
    </w:p>
    <w:p>
      <w:pPr>
        <w:pStyle w:val="BodyText"/>
        <w:rPr>
          <w:sz w:val="20"/>
        </w:rPr>
      </w:pPr>
    </w:p>
    <w:p>
      <w:pPr>
        <w:pStyle w:val="BodyText"/>
        <w:rPr>
          <w:sz w:val="20"/>
        </w:rPr>
      </w:pPr>
    </w:p>
    <w:p>
      <w:pPr>
        <w:pStyle w:val="BodyText"/>
        <w:rPr>
          <w:sz w:val="20"/>
        </w:rPr>
      </w:pPr>
    </w:p>
    <w:p>
      <w:pPr>
        <w:pStyle w:val="BodyText"/>
        <w:spacing w:before="10"/>
        <w:rPr>
          <w:sz w:val="19"/>
        </w:rPr>
      </w:pPr>
      <w:r>
        <w:rPr/>
        <w:drawing>
          <wp:anchor distT="0" distB="0" distL="0" distR="0" allowOverlap="1" layoutInCell="1" locked="0" behindDoc="0" simplePos="0" relativeHeight="3464">
            <wp:simplePos x="0" y="0"/>
            <wp:positionH relativeFrom="page">
              <wp:posOffset>896463</wp:posOffset>
            </wp:positionH>
            <wp:positionV relativeFrom="paragraph">
              <wp:posOffset>167182</wp:posOffset>
            </wp:positionV>
            <wp:extent cx="6340974" cy="896874"/>
            <wp:effectExtent l="0" t="0" r="0" b="0"/>
            <wp:wrapTopAndBottom/>
            <wp:docPr id="179" name="image2.jpeg" descr=""/>
            <wp:cNvGraphicFramePr>
              <a:graphicFrameLocks noChangeAspect="1"/>
            </wp:cNvGraphicFramePr>
            <a:graphic>
              <a:graphicData uri="http://schemas.openxmlformats.org/drawingml/2006/picture">
                <pic:pic>
                  <pic:nvPicPr>
                    <pic:cNvPr id="180" name="image2.jpeg"/>
                    <pic:cNvPicPr/>
                  </pic:nvPicPr>
                  <pic:blipFill>
                    <a:blip r:embed="rId21" cstate="print"/>
                    <a:stretch>
                      <a:fillRect/>
                    </a:stretch>
                  </pic:blipFill>
                  <pic:spPr>
                    <a:xfrm>
                      <a:off x="0" y="0"/>
                      <a:ext cx="6340974" cy="896874"/>
                    </a:xfrm>
                    <a:prstGeom prst="rect">
                      <a:avLst/>
                    </a:prstGeom>
                  </pic:spPr>
                </pic:pic>
              </a:graphicData>
            </a:graphic>
          </wp:anchor>
        </w:drawing>
      </w:r>
    </w:p>
    <w:p>
      <w:pPr>
        <w:spacing w:after="0"/>
        <w:rPr>
          <w:sz w:val="19"/>
        </w:rPr>
        <w:sectPr>
          <w:pgSz w:w="14270" w:h="16850"/>
          <w:pgMar w:header="0" w:footer="527" w:top="1600" w:bottom="720" w:left="800" w:right="1280"/>
        </w:sectPr>
      </w:pPr>
    </w:p>
    <w:p>
      <w:pPr>
        <w:pStyle w:val="Heading1"/>
        <w:spacing w:before="164"/>
      </w:pPr>
      <w:r>
        <w:rPr/>
        <w:t>Ginkgo studies</w:t>
      </w:r>
    </w:p>
    <w:p>
      <w:pPr>
        <w:spacing w:before="282"/>
        <w:ind w:left="477" w:right="0" w:firstLine="0"/>
        <w:jc w:val="left"/>
        <w:rPr>
          <w:sz w:val="38"/>
        </w:rPr>
      </w:pPr>
      <w:r>
        <w:rPr>
          <w:b/>
          <w:i/>
          <w:sz w:val="40"/>
        </w:rPr>
        <w:t>Ginkgo</w:t>
      </w:r>
      <w:r>
        <w:rPr>
          <w:b/>
          <w:i/>
          <w:spacing w:val="-53"/>
          <w:sz w:val="40"/>
        </w:rPr>
        <w:t> </w:t>
      </w:r>
      <w:r>
        <w:rPr>
          <w:b/>
          <w:i/>
          <w:sz w:val="40"/>
        </w:rPr>
        <w:t>extracts</w:t>
      </w:r>
      <w:r>
        <w:rPr>
          <w:b/>
          <w:i/>
          <w:spacing w:val="-51"/>
          <w:sz w:val="40"/>
        </w:rPr>
        <w:t> </w:t>
      </w:r>
      <w:r>
        <w:rPr>
          <w:b/>
          <w:i/>
          <w:sz w:val="40"/>
        </w:rPr>
        <w:t>successful</w:t>
      </w:r>
      <w:r>
        <w:rPr>
          <w:b/>
          <w:i/>
          <w:spacing w:val="-52"/>
          <w:sz w:val="40"/>
        </w:rPr>
        <w:t> </w:t>
      </w:r>
      <w:r>
        <w:rPr>
          <w:b/>
          <w:i/>
          <w:sz w:val="40"/>
        </w:rPr>
        <w:t>against</w:t>
      </w:r>
      <w:r>
        <w:rPr>
          <w:b/>
          <w:i/>
          <w:spacing w:val="-52"/>
          <w:sz w:val="40"/>
        </w:rPr>
        <w:t> </w:t>
      </w:r>
      <w:r>
        <w:rPr>
          <w:b/>
          <w:i/>
          <w:sz w:val="40"/>
        </w:rPr>
        <w:t>dementia</w:t>
      </w:r>
      <w:r>
        <w:rPr>
          <w:b/>
          <w:i/>
          <w:spacing w:val="-51"/>
          <w:sz w:val="40"/>
        </w:rPr>
        <w:t> </w:t>
      </w:r>
      <w:r>
        <w:rPr>
          <w:b/>
          <w:i/>
          <w:sz w:val="40"/>
        </w:rPr>
        <w:t>in</w:t>
      </w:r>
      <w:r>
        <w:rPr>
          <w:b/>
          <w:i/>
          <w:spacing w:val="-53"/>
          <w:sz w:val="40"/>
        </w:rPr>
        <w:t> </w:t>
      </w:r>
      <w:r>
        <w:rPr>
          <w:b/>
          <w:i/>
          <w:sz w:val="40"/>
        </w:rPr>
        <w:t>studies</w:t>
      </w:r>
      <w:r>
        <w:rPr>
          <w:b/>
          <w:i/>
          <w:spacing w:val="-52"/>
          <w:sz w:val="40"/>
        </w:rPr>
        <w:t> </w:t>
      </w:r>
      <w:r>
        <w:rPr>
          <w:b/>
          <w:i/>
          <w:sz w:val="40"/>
        </w:rPr>
        <w:t>on</w:t>
      </w:r>
      <w:r>
        <w:rPr>
          <w:b/>
          <w:i/>
          <w:spacing w:val="-52"/>
          <w:sz w:val="40"/>
        </w:rPr>
        <w:t> </w:t>
      </w:r>
      <w:r>
        <w:rPr>
          <w:b/>
          <w:i/>
          <w:sz w:val="40"/>
        </w:rPr>
        <w:t>1838</w:t>
      </w:r>
      <w:r>
        <w:rPr>
          <w:b/>
          <w:i/>
          <w:spacing w:val="-53"/>
          <w:sz w:val="40"/>
        </w:rPr>
        <w:t> </w:t>
      </w:r>
      <w:r>
        <w:rPr>
          <w:b/>
          <w:i/>
          <w:sz w:val="40"/>
        </w:rPr>
        <w:t>patient</w:t>
      </w:r>
      <w:r>
        <w:rPr>
          <w:sz w:val="38"/>
        </w:rPr>
        <w:t>s</w:t>
      </w:r>
    </w:p>
    <w:p>
      <w:pPr>
        <w:pStyle w:val="BodyText"/>
        <w:spacing w:line="276" w:lineRule="auto" w:before="299"/>
        <w:ind w:left="477" w:right="130"/>
        <w:jc w:val="both"/>
        <w:rPr>
          <w:sz w:val="25"/>
        </w:rPr>
      </w:pPr>
      <w:r>
        <w:rPr/>
        <w:t>The</w:t>
      </w:r>
      <w:r>
        <w:rPr>
          <w:spacing w:val="-10"/>
        </w:rPr>
        <w:t> </w:t>
      </w:r>
      <w:r>
        <w:rPr/>
        <w:t>effectiveness</w:t>
      </w:r>
      <w:r>
        <w:rPr>
          <w:spacing w:val="-10"/>
        </w:rPr>
        <w:t> </w:t>
      </w:r>
      <w:r>
        <w:rPr/>
        <w:t>of</w:t>
      </w:r>
      <w:r>
        <w:rPr>
          <w:spacing w:val="-11"/>
        </w:rPr>
        <w:t> </w:t>
      </w:r>
      <w:r>
        <w:rPr/>
        <w:t>ginkgo</w:t>
      </w:r>
      <w:r>
        <w:rPr>
          <w:spacing w:val="-11"/>
        </w:rPr>
        <w:t> </w:t>
      </w:r>
      <w:r>
        <w:rPr/>
        <w:t>against</w:t>
      </w:r>
      <w:r>
        <w:rPr>
          <w:spacing w:val="-11"/>
        </w:rPr>
        <w:t> </w:t>
      </w:r>
      <w:r>
        <w:rPr/>
        <w:t>dementia</w:t>
      </w:r>
      <w:r>
        <w:rPr>
          <w:spacing w:val="-9"/>
        </w:rPr>
        <w:t> </w:t>
      </w:r>
      <w:r>
        <w:rPr/>
        <w:t>was</w:t>
      </w:r>
      <w:r>
        <w:rPr>
          <w:spacing w:val="-10"/>
        </w:rPr>
        <w:t> </w:t>
      </w:r>
      <w:r>
        <w:rPr/>
        <w:t>impressively</w:t>
      </w:r>
      <w:r>
        <w:rPr>
          <w:spacing w:val="-9"/>
        </w:rPr>
        <w:t> </w:t>
      </w:r>
      <w:r>
        <w:rPr/>
        <w:t>demonstrated</w:t>
      </w:r>
      <w:r>
        <w:rPr>
          <w:spacing w:val="-10"/>
        </w:rPr>
        <w:t> </w:t>
      </w:r>
      <w:r>
        <w:rPr/>
        <w:t>in a</w:t>
      </w:r>
      <w:r>
        <w:rPr>
          <w:spacing w:val="-18"/>
        </w:rPr>
        <w:t> </w:t>
      </w:r>
      <w:r>
        <w:rPr/>
        <w:t>large-scale</w:t>
      </w:r>
      <w:r>
        <w:rPr>
          <w:spacing w:val="-16"/>
        </w:rPr>
        <w:t> </w:t>
      </w:r>
      <w:r>
        <w:rPr/>
        <w:t>randomised</w:t>
      </w:r>
      <w:r>
        <w:rPr>
          <w:spacing w:val="-16"/>
        </w:rPr>
        <w:t> </w:t>
      </w:r>
      <w:r>
        <w:rPr/>
        <w:t>meta-analysis</w:t>
      </w:r>
      <w:r>
        <w:rPr>
          <w:spacing w:val="-17"/>
        </w:rPr>
        <w:t> </w:t>
      </w:r>
      <w:r>
        <w:rPr/>
        <w:t>in</w:t>
      </w:r>
      <w:r>
        <w:rPr>
          <w:spacing w:val="-17"/>
        </w:rPr>
        <w:t> </w:t>
      </w:r>
      <w:r>
        <w:rPr/>
        <w:t>2010</w:t>
      </w:r>
      <w:r>
        <w:rPr>
          <w:spacing w:val="-17"/>
        </w:rPr>
        <w:t> </w:t>
      </w:r>
      <w:r>
        <w:rPr/>
        <w:t>on</w:t>
      </w:r>
      <w:r>
        <w:rPr>
          <w:spacing w:val="-16"/>
        </w:rPr>
        <w:t> </w:t>
      </w:r>
      <w:r>
        <w:rPr/>
        <w:t>1838</w:t>
      </w:r>
      <w:r>
        <w:rPr>
          <w:spacing w:val="-18"/>
        </w:rPr>
        <w:t> </w:t>
      </w:r>
      <w:r>
        <w:rPr/>
        <w:t>patients</w:t>
      </w:r>
      <w:r>
        <w:rPr>
          <w:spacing w:val="-18"/>
        </w:rPr>
        <w:t> </w:t>
      </w:r>
      <w:r>
        <w:rPr/>
        <w:t>with</w:t>
      </w:r>
      <w:r>
        <w:rPr>
          <w:spacing w:val="-16"/>
        </w:rPr>
        <w:t> </w:t>
      </w:r>
      <w:r>
        <w:rPr/>
        <w:t>the</w:t>
      </w:r>
      <w:r>
        <w:rPr>
          <w:spacing w:val="-15"/>
        </w:rPr>
        <w:t> </w:t>
      </w:r>
      <w:r>
        <w:rPr/>
        <w:t>ginkgo extract</w:t>
      </w:r>
      <w:r>
        <w:rPr>
          <w:spacing w:val="-1"/>
        </w:rPr>
        <w:t> </w:t>
      </w:r>
      <w:r>
        <w:rPr/>
        <w:t>EGB761.</w:t>
      </w:r>
      <w:r>
        <w:rPr>
          <w:position w:val="9"/>
          <w:sz w:val="25"/>
        </w:rPr>
        <w:t>312</w:t>
      </w:r>
    </w:p>
    <w:p>
      <w:pPr>
        <w:pStyle w:val="Heading1"/>
        <w:spacing w:before="222"/>
      </w:pPr>
      <w:r>
        <w:rPr/>
        <w:t>Ginkgo in studies on 13,000 patients successfully against Alzheimer's</w:t>
      </w:r>
    </w:p>
    <w:p>
      <w:pPr>
        <w:pStyle w:val="BodyText"/>
        <w:spacing w:line="276" w:lineRule="auto" w:before="300"/>
        <w:ind w:left="477"/>
        <w:rPr>
          <w:sz w:val="25"/>
        </w:rPr>
      </w:pPr>
      <w:r>
        <w:rPr/>
        <w:t>The</w:t>
      </w:r>
      <w:r>
        <w:rPr>
          <w:spacing w:val="-11"/>
        </w:rPr>
        <w:t> </w:t>
      </w:r>
      <w:r>
        <w:rPr/>
        <w:t>evaluation</w:t>
      </w:r>
      <w:r>
        <w:rPr>
          <w:spacing w:val="-10"/>
        </w:rPr>
        <w:t> </w:t>
      </w:r>
      <w:r>
        <w:rPr/>
        <w:t>of</w:t>
      </w:r>
      <w:r>
        <w:rPr>
          <w:spacing w:val="-10"/>
        </w:rPr>
        <w:t> </w:t>
      </w:r>
      <w:r>
        <w:rPr/>
        <w:t>13,000</w:t>
      </w:r>
      <w:r>
        <w:rPr>
          <w:spacing w:val="-12"/>
        </w:rPr>
        <w:t> </w:t>
      </w:r>
      <w:r>
        <w:rPr/>
        <w:t>patient</w:t>
      </w:r>
      <w:r>
        <w:rPr>
          <w:spacing w:val="-11"/>
        </w:rPr>
        <w:t> </w:t>
      </w:r>
      <w:r>
        <w:rPr/>
        <w:t>protocols</w:t>
      </w:r>
      <w:r>
        <w:rPr>
          <w:spacing w:val="-10"/>
        </w:rPr>
        <w:t> </w:t>
      </w:r>
      <w:r>
        <w:rPr/>
        <w:t>led</w:t>
      </w:r>
      <w:r>
        <w:rPr>
          <w:spacing w:val="-13"/>
        </w:rPr>
        <w:t> </w:t>
      </w:r>
      <w:r>
        <w:rPr/>
        <w:t>to</w:t>
      </w:r>
      <w:r>
        <w:rPr>
          <w:spacing w:val="-10"/>
        </w:rPr>
        <w:t> </w:t>
      </w:r>
      <w:r>
        <w:rPr/>
        <w:t>the</w:t>
      </w:r>
      <w:r>
        <w:rPr>
          <w:spacing w:val="-13"/>
        </w:rPr>
        <w:t> </w:t>
      </w:r>
      <w:r>
        <w:rPr/>
        <w:t>conclusion</w:t>
      </w:r>
      <w:r>
        <w:rPr>
          <w:spacing w:val="-12"/>
        </w:rPr>
        <w:t> </w:t>
      </w:r>
      <w:r>
        <w:rPr/>
        <w:t>that,</w:t>
      </w:r>
      <w:r>
        <w:rPr>
          <w:spacing w:val="-9"/>
        </w:rPr>
        <w:t> </w:t>
      </w:r>
      <w:r>
        <w:rPr/>
        <w:t>above</w:t>
      </w:r>
      <w:r>
        <w:rPr>
          <w:spacing w:val="-10"/>
        </w:rPr>
        <w:t> </w:t>
      </w:r>
      <w:r>
        <w:rPr/>
        <w:t>all, memory and alertness improved significantly due to treatment.</w:t>
      </w:r>
      <w:r>
        <w:rPr>
          <w:spacing w:val="1"/>
        </w:rPr>
        <w:t> </w:t>
      </w:r>
      <w:r>
        <w:rPr>
          <w:position w:val="9"/>
          <w:sz w:val="25"/>
        </w:rPr>
        <w:t>313</w:t>
      </w:r>
    </w:p>
    <w:p>
      <w:pPr>
        <w:pStyle w:val="Heading1"/>
        <w:spacing w:line="261" w:lineRule="auto" w:before="223"/>
        <w:ind w:right="138"/>
      </w:pPr>
      <w:r>
        <w:rPr/>
        <w:t>Ginkgo</w:t>
      </w:r>
      <w:r>
        <w:rPr>
          <w:spacing w:val="-19"/>
        </w:rPr>
        <w:t> </w:t>
      </w:r>
      <w:r>
        <w:rPr/>
        <w:t>increases</w:t>
      </w:r>
      <w:r>
        <w:rPr>
          <w:spacing w:val="-19"/>
        </w:rPr>
        <w:t> </w:t>
      </w:r>
      <w:r>
        <w:rPr/>
        <w:t>short-term</w:t>
      </w:r>
      <w:r>
        <w:rPr>
          <w:spacing w:val="-18"/>
        </w:rPr>
        <w:t> </w:t>
      </w:r>
      <w:r>
        <w:rPr/>
        <w:t>and</w:t>
      </w:r>
      <w:r>
        <w:rPr>
          <w:spacing w:val="-19"/>
        </w:rPr>
        <w:t> </w:t>
      </w:r>
      <w:r>
        <w:rPr/>
        <w:t>long-term</w:t>
      </w:r>
      <w:r>
        <w:rPr>
          <w:spacing w:val="-19"/>
        </w:rPr>
        <w:t> </w:t>
      </w:r>
      <w:r>
        <w:rPr/>
        <w:t>memory</w:t>
      </w:r>
      <w:r>
        <w:rPr>
          <w:spacing w:val="-19"/>
        </w:rPr>
        <w:t> </w:t>
      </w:r>
      <w:r>
        <w:rPr/>
        <w:t>in</w:t>
      </w:r>
      <w:r>
        <w:rPr>
          <w:spacing w:val="-20"/>
        </w:rPr>
        <w:t> </w:t>
      </w:r>
      <w:r>
        <w:rPr/>
        <w:t>studies</w:t>
      </w:r>
      <w:r>
        <w:rPr>
          <w:spacing w:val="-18"/>
        </w:rPr>
        <w:t> </w:t>
      </w:r>
      <w:r>
        <w:rPr/>
        <w:t>on</w:t>
      </w:r>
      <w:r>
        <w:rPr>
          <w:spacing w:val="-20"/>
        </w:rPr>
        <w:t> </w:t>
      </w:r>
      <w:r>
        <w:rPr/>
        <w:t>265 subjects</w:t>
      </w:r>
    </w:p>
    <w:p>
      <w:pPr>
        <w:pStyle w:val="BodyText"/>
        <w:spacing w:line="276" w:lineRule="auto" w:before="260"/>
        <w:ind w:left="477"/>
        <w:rPr>
          <w:sz w:val="25"/>
        </w:rPr>
      </w:pPr>
      <w:r>
        <w:rPr/>
        <w:t>In 265 subjects, the effectiveness of ginkgo was demonstrated by improving both short-term and long-term memory.</w:t>
      </w:r>
      <w:r>
        <w:rPr>
          <w:position w:val="9"/>
          <w:sz w:val="25"/>
        </w:rPr>
        <w:t>314</w:t>
      </w:r>
    </w:p>
    <w:p>
      <w:pPr>
        <w:pStyle w:val="Heading1"/>
        <w:spacing w:before="222"/>
      </w:pPr>
      <w:r>
        <w:rPr/>
        <w:t>Ginkgo biloba reduces the risk of ovarian cancer</w:t>
      </w:r>
    </w:p>
    <w:p>
      <w:pPr>
        <w:pStyle w:val="BodyText"/>
        <w:spacing w:line="276" w:lineRule="auto" w:before="299"/>
        <w:ind w:left="477"/>
        <w:rPr>
          <w:sz w:val="25"/>
        </w:rPr>
      </w:pPr>
      <w:r>
        <w:rPr/>
        <w:t>Ginkgo biloba can prevent ovarian cancer which is both due to mutations and without mutations.</w:t>
      </w:r>
      <w:r>
        <w:rPr>
          <w:position w:val="9"/>
          <w:sz w:val="25"/>
        </w:rPr>
        <w:t>315</w:t>
      </w:r>
    </w:p>
    <w:p>
      <w:pPr>
        <w:pStyle w:val="Heading1"/>
      </w:pPr>
      <w:r>
        <w:rPr>
          <w:w w:val="95"/>
        </w:rPr>
        <w:t>Ginkgo</w:t>
      </w:r>
      <w:r>
        <w:rPr>
          <w:spacing w:val="-16"/>
          <w:w w:val="95"/>
        </w:rPr>
        <w:t> </w:t>
      </w:r>
      <w:r>
        <w:rPr>
          <w:w w:val="95"/>
        </w:rPr>
        <w:t>extract</w:t>
      </w:r>
      <w:r>
        <w:rPr>
          <w:spacing w:val="-14"/>
          <w:w w:val="95"/>
        </w:rPr>
        <w:t> </w:t>
      </w:r>
      <w:r>
        <w:rPr>
          <w:w w:val="95"/>
        </w:rPr>
        <w:t>inhibits</w:t>
      </w:r>
      <w:r>
        <w:rPr>
          <w:spacing w:val="-16"/>
          <w:w w:val="95"/>
        </w:rPr>
        <w:t> </w:t>
      </w:r>
      <w:r>
        <w:rPr>
          <w:w w:val="95"/>
        </w:rPr>
        <w:t>the</w:t>
      </w:r>
      <w:r>
        <w:rPr>
          <w:spacing w:val="-16"/>
          <w:w w:val="95"/>
        </w:rPr>
        <w:t> </w:t>
      </w:r>
      <w:r>
        <w:rPr>
          <w:w w:val="95"/>
        </w:rPr>
        <w:t>progression</w:t>
      </w:r>
      <w:r>
        <w:rPr>
          <w:spacing w:val="-16"/>
          <w:w w:val="95"/>
        </w:rPr>
        <w:t> </w:t>
      </w:r>
      <w:r>
        <w:rPr>
          <w:w w:val="95"/>
        </w:rPr>
        <w:t>of</w:t>
      </w:r>
      <w:r>
        <w:rPr>
          <w:spacing w:val="-17"/>
          <w:w w:val="95"/>
        </w:rPr>
        <w:t> </w:t>
      </w:r>
      <w:r>
        <w:rPr>
          <w:w w:val="95"/>
        </w:rPr>
        <w:t>human</w:t>
      </w:r>
      <w:r>
        <w:rPr>
          <w:spacing w:val="-16"/>
          <w:w w:val="95"/>
        </w:rPr>
        <w:t> </w:t>
      </w:r>
      <w:r>
        <w:rPr>
          <w:w w:val="95"/>
        </w:rPr>
        <w:t>colon</w:t>
      </w:r>
      <w:r>
        <w:rPr>
          <w:spacing w:val="-16"/>
          <w:w w:val="95"/>
        </w:rPr>
        <w:t> </w:t>
      </w:r>
      <w:r>
        <w:rPr>
          <w:w w:val="95"/>
        </w:rPr>
        <w:t>adenocarcinoma</w:t>
      </w:r>
    </w:p>
    <w:p>
      <w:pPr>
        <w:pStyle w:val="BodyText"/>
        <w:spacing w:before="300"/>
        <w:ind w:left="477"/>
      </w:pPr>
      <w:r>
        <w:rPr/>
        <w:t>In vitro, the ginkgo extract EGb 761 reduced the progression of human</w:t>
      </w:r>
      <w:r>
        <w:rPr>
          <w:spacing w:val="50"/>
        </w:rPr>
        <w:t> </w:t>
      </w:r>
      <w:r>
        <w:rPr/>
        <w:t>colon</w:t>
      </w:r>
    </w:p>
    <w:p>
      <w:pPr>
        <w:pStyle w:val="BodyText"/>
        <w:spacing w:before="4"/>
        <w:rPr>
          <w:sz w:val="23"/>
        </w:rPr>
      </w:pPr>
      <w:r>
        <w:rPr/>
        <w:pict>
          <v:line style="position:absolute;mso-position-horizontal-relative:page;mso-position-vertical-relative:paragraph;z-index:3488;mso-wrap-distance-left:0;mso-wrap-distance-right:0" from="63.863998pt,15.513765pt" to="207.883998pt,15.513765pt" stroked="true" strokeweight=".71997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312 </w:t>
      </w:r>
      <w:r>
        <w:rPr>
          <w:sz w:val="20"/>
        </w:rPr>
        <w:t>Wang et al., 2010</w:t>
      </w:r>
    </w:p>
    <w:p>
      <w:pPr>
        <w:spacing w:before="94"/>
        <w:ind w:left="477" w:right="0" w:firstLine="0"/>
        <w:jc w:val="left"/>
        <w:rPr>
          <w:sz w:val="20"/>
        </w:rPr>
      </w:pPr>
      <w:r>
        <w:rPr>
          <w:position w:val="5"/>
          <w:sz w:val="13"/>
        </w:rPr>
        <w:t>313 </w:t>
      </w:r>
      <w:r>
        <w:rPr>
          <w:sz w:val="20"/>
        </w:rPr>
        <w:t>Silvia Aulehla: Vorbeugen und heilen mit der Kraft des Ginkgo (‘Prevention and Cure with the Power of Ginkgo’) 1997, p. 27</w:t>
      </w:r>
    </w:p>
    <w:p>
      <w:pPr>
        <w:spacing w:line="276" w:lineRule="auto" w:before="95"/>
        <w:ind w:left="477" w:right="244" w:firstLine="0"/>
        <w:jc w:val="left"/>
        <w:rPr>
          <w:sz w:val="20"/>
        </w:rPr>
      </w:pPr>
      <w:r>
        <w:rPr/>
        <w:pict>
          <v:group style="position:absolute;margin-left:70.587677pt;margin-top:24.188169pt;width:502.35pt;height:71.05pt;mso-position-horizontal-relative:page;mso-position-vertical-relative:paragraph;z-index:-1264168" coordorigin="1412,484" coordsize="10047,1421">
            <v:shape style="position:absolute;left:1411;top:483;width:10047;height:1421" type="#_x0000_t75" stroked="false">
              <v:imagedata r:id="rId21" o:title=""/>
            </v:shape>
            <v:rect style="position:absolute;left:1920;top:860;width:51;height:10" filled="true" fillcolor="#660066" stroked="false">
              <v:fill type="solid"/>
            </v:rect>
            <w10:wrap type="none"/>
          </v:group>
        </w:pict>
      </w:r>
      <w:r>
        <w:rPr>
          <w:position w:val="5"/>
          <w:sz w:val="13"/>
        </w:rPr>
        <w:t>314 </w:t>
      </w:r>
      <w:r>
        <w:rPr>
          <w:sz w:val="20"/>
        </w:rPr>
        <w:t>Dr. Jörg Zittlau: Heilmittel Ginkgo – alles über die positive Wirkung auf Körper, Geist und Seele (‘Remedy Ginkgo – Everything about the Posi- tive Effect on Body, Mind and Soul’) 2006, p. 39</w:t>
      </w:r>
    </w:p>
    <w:p>
      <w:pPr>
        <w:spacing w:before="61"/>
        <w:ind w:left="477" w:right="0" w:firstLine="0"/>
        <w:jc w:val="left"/>
        <w:rPr>
          <w:sz w:val="20"/>
        </w:rPr>
      </w:pPr>
      <w:r>
        <w:rPr>
          <w:position w:val="5"/>
          <w:sz w:val="13"/>
        </w:rPr>
        <w:t>315 </w:t>
      </w:r>
      <w:r>
        <w:rPr>
          <w:sz w:val="20"/>
        </w:rPr>
        <w:t>Eur J Cancer Prev. 2011 Nov; 20 (6), p. 508-17.</w:t>
      </w:r>
    </w:p>
    <w:p>
      <w:pPr>
        <w:spacing w:after="0"/>
        <w:jc w:val="left"/>
        <w:rPr>
          <w:sz w:val="20"/>
        </w:rPr>
        <w:sectPr>
          <w:pgSz w:w="14270" w:h="16850"/>
          <w:pgMar w:header="0" w:footer="527" w:top="1600" w:bottom="720" w:left="800" w:right="1280"/>
        </w:sectPr>
      </w:pPr>
    </w:p>
    <w:p>
      <w:pPr>
        <w:pStyle w:val="BodyText"/>
        <w:spacing w:line="276" w:lineRule="auto" w:before="181"/>
        <w:ind w:left="477" w:right="138"/>
        <w:jc w:val="both"/>
        <w:rPr>
          <w:sz w:val="25"/>
        </w:rPr>
      </w:pPr>
      <w:r>
        <w:rPr/>
        <w:t>cancer cells. Therapeutic effects may be related to increased caspase-3 activity, high-level regulation of p53, and downregulation of bcl-2 genes.</w:t>
      </w:r>
      <w:r>
        <w:rPr>
          <w:position w:val="9"/>
          <w:sz w:val="25"/>
        </w:rPr>
        <w:t>316</w:t>
      </w:r>
    </w:p>
    <w:p>
      <w:pPr>
        <w:pStyle w:val="Heading1"/>
      </w:pPr>
      <w:r>
        <w:rPr/>
        <w:t>Ginkgolic acid has an antitumour</w:t>
      </w:r>
      <w:r>
        <w:rPr>
          <w:spacing w:val="-51"/>
        </w:rPr>
        <w:t> </w:t>
      </w:r>
      <w:r>
        <w:rPr/>
        <w:t>effect</w:t>
      </w:r>
    </w:p>
    <w:p>
      <w:pPr>
        <w:pStyle w:val="BodyText"/>
        <w:spacing w:line="276" w:lineRule="auto" w:before="299"/>
        <w:ind w:left="477" w:right="138"/>
        <w:jc w:val="both"/>
        <w:rPr>
          <w:sz w:val="25"/>
        </w:rPr>
      </w:pPr>
      <w:r>
        <w:rPr/>
        <w:t>In in vitro tests, ginkgolic acid inhibited the growth of tumourigenic cell lines both in terms of dosage and time period. Tumours were counteracted due to prevention of proliferation, cell cycle delay and apoptosis, and is, according to the researchers, a potential antitumour drug.</w:t>
      </w:r>
      <w:r>
        <w:rPr>
          <w:position w:val="9"/>
          <w:sz w:val="25"/>
        </w:rPr>
        <w:t>317</w:t>
      </w:r>
    </w:p>
    <w:p>
      <w:pPr>
        <w:pStyle w:val="Heading1"/>
        <w:spacing w:before="223"/>
      </w:pPr>
      <w:r>
        <w:rPr>
          <w:w w:val="95"/>
        </w:rPr>
        <w:t>Ginkgo</w:t>
      </w:r>
      <w:r>
        <w:rPr>
          <w:spacing w:val="-29"/>
          <w:w w:val="95"/>
        </w:rPr>
        <w:t> </w:t>
      </w:r>
      <w:r>
        <w:rPr>
          <w:w w:val="95"/>
        </w:rPr>
        <w:t>enhances</w:t>
      </w:r>
      <w:r>
        <w:rPr>
          <w:spacing w:val="-28"/>
          <w:w w:val="95"/>
        </w:rPr>
        <w:t> </w:t>
      </w:r>
      <w:r>
        <w:rPr>
          <w:w w:val="95"/>
        </w:rPr>
        <w:t>the</w:t>
      </w:r>
      <w:r>
        <w:rPr>
          <w:spacing w:val="-27"/>
          <w:w w:val="95"/>
        </w:rPr>
        <w:t> </w:t>
      </w:r>
      <w:r>
        <w:rPr>
          <w:w w:val="95"/>
        </w:rPr>
        <w:t>positive</w:t>
      </w:r>
      <w:r>
        <w:rPr>
          <w:spacing w:val="-26"/>
          <w:w w:val="95"/>
        </w:rPr>
        <w:t> </w:t>
      </w:r>
      <w:r>
        <w:rPr>
          <w:w w:val="95"/>
        </w:rPr>
        <w:t>effects</w:t>
      </w:r>
      <w:r>
        <w:rPr>
          <w:spacing w:val="-29"/>
          <w:w w:val="95"/>
        </w:rPr>
        <w:t> </w:t>
      </w:r>
      <w:r>
        <w:rPr>
          <w:w w:val="95"/>
        </w:rPr>
        <w:t>of</w:t>
      </w:r>
      <w:r>
        <w:rPr>
          <w:spacing w:val="-29"/>
          <w:w w:val="95"/>
        </w:rPr>
        <w:t> </w:t>
      </w:r>
      <w:r>
        <w:rPr>
          <w:w w:val="95"/>
        </w:rPr>
        <w:t>chemotherapy</w:t>
      </w:r>
      <w:r>
        <w:rPr>
          <w:spacing w:val="-29"/>
          <w:w w:val="95"/>
        </w:rPr>
        <w:t> </w:t>
      </w:r>
      <w:r>
        <w:rPr>
          <w:w w:val="95"/>
        </w:rPr>
        <w:t>(chemosensitiser!)</w:t>
      </w:r>
    </w:p>
    <w:p>
      <w:pPr>
        <w:pStyle w:val="BodyText"/>
        <w:spacing w:line="276" w:lineRule="auto" w:before="299"/>
        <w:ind w:left="477" w:right="130"/>
        <w:jc w:val="both"/>
        <w:rPr>
          <w:sz w:val="25"/>
        </w:rPr>
      </w:pPr>
      <w:r>
        <w:rPr/>
        <w:t>In the tumour biology department in Freiburg, cancer patients with breast</w:t>
      </w:r>
      <w:r>
        <w:rPr>
          <w:spacing w:val="-52"/>
        </w:rPr>
        <w:t> </w:t>
      </w:r>
      <w:r>
        <w:rPr/>
        <w:t>can- cer,</w:t>
      </w:r>
      <w:r>
        <w:rPr>
          <w:spacing w:val="-23"/>
        </w:rPr>
        <w:t> </w:t>
      </w:r>
      <w:r>
        <w:rPr/>
        <w:t>colon</w:t>
      </w:r>
      <w:r>
        <w:rPr>
          <w:spacing w:val="-22"/>
        </w:rPr>
        <w:t> </w:t>
      </w:r>
      <w:r>
        <w:rPr/>
        <w:t>cancer</w:t>
      </w:r>
      <w:r>
        <w:rPr>
          <w:spacing w:val="-24"/>
        </w:rPr>
        <w:t> </w:t>
      </w:r>
      <w:r>
        <w:rPr/>
        <w:t>and</w:t>
      </w:r>
      <w:r>
        <w:rPr>
          <w:spacing w:val="-23"/>
        </w:rPr>
        <w:t> </w:t>
      </w:r>
      <w:r>
        <w:rPr/>
        <w:t>pancreatic</w:t>
      </w:r>
      <w:r>
        <w:rPr>
          <w:spacing w:val="-23"/>
        </w:rPr>
        <w:t> </w:t>
      </w:r>
      <w:r>
        <w:rPr/>
        <w:t>cancer</w:t>
      </w:r>
      <w:r>
        <w:rPr>
          <w:spacing w:val="-23"/>
        </w:rPr>
        <w:t> </w:t>
      </w:r>
      <w:r>
        <w:rPr/>
        <w:t>were</w:t>
      </w:r>
      <w:r>
        <w:rPr>
          <w:spacing w:val="-22"/>
        </w:rPr>
        <w:t> </w:t>
      </w:r>
      <w:r>
        <w:rPr/>
        <w:t>given</w:t>
      </w:r>
      <w:r>
        <w:rPr>
          <w:spacing w:val="-22"/>
        </w:rPr>
        <w:t> </w:t>
      </w:r>
      <w:r>
        <w:rPr/>
        <w:t>ginkgo</w:t>
      </w:r>
      <w:r>
        <w:rPr>
          <w:spacing w:val="-22"/>
        </w:rPr>
        <w:t> </w:t>
      </w:r>
      <w:r>
        <w:rPr/>
        <w:t>in</w:t>
      </w:r>
      <w:r>
        <w:rPr>
          <w:spacing w:val="-22"/>
        </w:rPr>
        <w:t> </w:t>
      </w:r>
      <w:r>
        <w:rPr/>
        <w:t>addition</w:t>
      </w:r>
      <w:r>
        <w:rPr>
          <w:spacing w:val="-23"/>
        </w:rPr>
        <w:t> </w:t>
      </w:r>
      <w:r>
        <w:rPr/>
        <w:t>to</w:t>
      </w:r>
      <w:r>
        <w:rPr>
          <w:spacing w:val="-22"/>
        </w:rPr>
        <w:t> </w:t>
      </w:r>
      <w:r>
        <w:rPr/>
        <w:t>chemo- infusions, thereby increasing the effect. The researchers substantiate this desir- able effect with the effect of ginkgo on the membranes of the tumour cells, which structurally change so that the chemotherapy can have a better</w:t>
      </w:r>
      <w:r>
        <w:rPr>
          <w:spacing w:val="-20"/>
        </w:rPr>
        <w:t> </w:t>
      </w:r>
      <w:r>
        <w:rPr/>
        <w:t>effect.</w:t>
      </w:r>
      <w:r>
        <w:rPr>
          <w:position w:val="9"/>
          <w:sz w:val="25"/>
        </w:rPr>
        <w:t>318</w:t>
      </w:r>
    </w:p>
    <w:p>
      <w:pPr>
        <w:pStyle w:val="BodyText"/>
        <w:spacing w:line="276" w:lineRule="auto" w:before="240"/>
        <w:ind w:left="477" w:right="141"/>
        <w:jc w:val="both"/>
        <w:rPr>
          <w:sz w:val="25"/>
        </w:rPr>
      </w:pPr>
      <w:r>
        <w:rPr/>
        <w:t>In ovarian cancer, one study has shown that the combination of ginkgo biloba with chemotherapy works better than chemotherapy alone.</w:t>
      </w:r>
      <w:r>
        <w:rPr>
          <w:position w:val="9"/>
          <w:sz w:val="25"/>
        </w:rPr>
        <w:t>319</w:t>
      </w:r>
    </w:p>
    <w:p>
      <w:pPr>
        <w:pStyle w:val="Heading1"/>
        <w:spacing w:line="261" w:lineRule="auto" w:before="223"/>
        <w:ind w:right="143"/>
        <w:jc w:val="both"/>
      </w:pPr>
      <w:r>
        <w:rPr/>
        <w:t>Ginkgo</w:t>
      </w:r>
      <w:r>
        <w:rPr>
          <w:spacing w:val="-62"/>
        </w:rPr>
        <w:t> </w:t>
      </w:r>
      <w:r>
        <w:rPr/>
        <w:t>protects</w:t>
      </w:r>
      <w:r>
        <w:rPr>
          <w:spacing w:val="-60"/>
        </w:rPr>
        <w:t> </w:t>
      </w:r>
      <w:r>
        <w:rPr/>
        <w:t>against</w:t>
      </w:r>
      <w:r>
        <w:rPr>
          <w:spacing w:val="-62"/>
        </w:rPr>
        <w:t> </w:t>
      </w:r>
      <w:r>
        <w:rPr/>
        <w:t>side</w:t>
      </w:r>
      <w:r>
        <w:rPr>
          <w:spacing w:val="-62"/>
        </w:rPr>
        <w:t> </w:t>
      </w:r>
      <w:r>
        <w:rPr/>
        <w:t>effects</w:t>
      </w:r>
      <w:r>
        <w:rPr>
          <w:spacing w:val="-60"/>
        </w:rPr>
        <w:t> </w:t>
      </w:r>
      <w:r>
        <w:rPr/>
        <w:t>of</w:t>
      </w:r>
      <w:r>
        <w:rPr>
          <w:spacing w:val="-62"/>
        </w:rPr>
        <w:t> </w:t>
      </w:r>
      <w:r>
        <w:rPr/>
        <w:t>irradiation</w:t>
      </w:r>
      <w:r>
        <w:rPr>
          <w:spacing w:val="-61"/>
        </w:rPr>
        <w:t> </w:t>
      </w:r>
      <w:r>
        <w:rPr/>
        <w:t>with</w:t>
      </w:r>
      <w:r>
        <w:rPr>
          <w:spacing w:val="-60"/>
        </w:rPr>
        <w:t> </w:t>
      </w:r>
      <w:r>
        <w:rPr/>
        <w:t>iodine</w:t>
      </w:r>
      <w:r>
        <w:rPr>
          <w:spacing w:val="-62"/>
        </w:rPr>
        <w:t> </w:t>
      </w:r>
      <w:r>
        <w:rPr/>
        <w:t>131</w:t>
      </w:r>
      <w:r>
        <w:rPr>
          <w:spacing w:val="-61"/>
        </w:rPr>
        <w:t> </w:t>
      </w:r>
      <w:r>
        <w:rPr/>
        <w:t>(radia- tion protector!)</w:t>
      </w:r>
    </w:p>
    <w:p>
      <w:pPr>
        <w:pStyle w:val="BodyText"/>
        <w:spacing w:before="261"/>
        <w:ind w:left="477"/>
        <w:jc w:val="both"/>
      </w:pPr>
      <w:r>
        <w:rPr/>
        <w:t>Thyroid</w:t>
      </w:r>
      <w:r>
        <w:rPr>
          <w:spacing w:val="-21"/>
        </w:rPr>
        <w:t> </w:t>
      </w:r>
      <w:r>
        <w:rPr/>
        <w:t>cancer</w:t>
      </w:r>
      <w:r>
        <w:rPr>
          <w:spacing w:val="-22"/>
        </w:rPr>
        <w:t> </w:t>
      </w:r>
      <w:r>
        <w:rPr/>
        <w:t>patients</w:t>
      </w:r>
      <w:r>
        <w:rPr>
          <w:spacing w:val="-20"/>
        </w:rPr>
        <w:t> </w:t>
      </w:r>
      <w:r>
        <w:rPr/>
        <w:t>treated</w:t>
      </w:r>
      <w:r>
        <w:rPr>
          <w:spacing w:val="-20"/>
        </w:rPr>
        <w:t> </w:t>
      </w:r>
      <w:r>
        <w:rPr/>
        <w:t>with</w:t>
      </w:r>
      <w:r>
        <w:rPr>
          <w:spacing w:val="-20"/>
        </w:rPr>
        <w:t> </w:t>
      </w:r>
      <w:r>
        <w:rPr/>
        <w:t>iodine</w:t>
      </w:r>
      <w:r>
        <w:rPr>
          <w:spacing w:val="-20"/>
        </w:rPr>
        <w:t> </w:t>
      </w:r>
      <w:r>
        <w:rPr/>
        <w:t>131</w:t>
      </w:r>
      <w:r>
        <w:rPr>
          <w:spacing w:val="-19"/>
        </w:rPr>
        <w:t> </w:t>
      </w:r>
      <w:r>
        <w:rPr/>
        <w:t>had</w:t>
      </w:r>
      <w:r>
        <w:rPr>
          <w:spacing w:val="-20"/>
        </w:rPr>
        <w:t> </w:t>
      </w:r>
      <w:r>
        <w:rPr/>
        <w:t>lower</w:t>
      </w:r>
      <w:r>
        <w:rPr>
          <w:spacing w:val="-20"/>
        </w:rPr>
        <w:t> </w:t>
      </w:r>
      <w:r>
        <w:rPr/>
        <w:t>stress</w:t>
      </w:r>
      <w:r>
        <w:rPr>
          <w:spacing w:val="-21"/>
        </w:rPr>
        <w:t> </w:t>
      </w:r>
      <w:r>
        <w:rPr/>
        <w:t>levels</w:t>
      </w:r>
      <w:r>
        <w:rPr>
          <w:spacing w:val="-21"/>
        </w:rPr>
        <w:t> </w:t>
      </w:r>
      <w:r>
        <w:rPr/>
        <w:t>in</w:t>
      </w:r>
      <w:r>
        <w:rPr>
          <w:spacing w:val="-20"/>
        </w:rPr>
        <w:t> </w:t>
      </w:r>
      <w:r>
        <w:rPr/>
        <w:t>a</w:t>
      </w:r>
      <w:r>
        <w:rPr>
          <w:spacing w:val="-21"/>
        </w:rPr>
        <w:t> </w:t>
      </w:r>
      <w:r>
        <w:rPr/>
        <w:t>study</w:t>
      </w:r>
    </w:p>
    <w:p>
      <w:pPr>
        <w:pStyle w:val="BodyText"/>
        <w:rPr>
          <w:sz w:val="20"/>
        </w:rPr>
      </w:pPr>
    </w:p>
    <w:p>
      <w:pPr>
        <w:pStyle w:val="BodyText"/>
        <w:spacing w:before="8"/>
        <w:rPr>
          <w:sz w:val="23"/>
        </w:rPr>
      </w:pPr>
      <w:r>
        <w:rPr/>
        <w:pict>
          <v:line style="position:absolute;mso-position-horizontal-relative:page;mso-position-vertical-relative:paragraph;z-index:3536;mso-wrap-distance-left:0;mso-wrap-distance-right:0" from="63.863998pt,15.688765pt" to="207.883998pt,15.688765pt" stroked="true" strokeweight=".71997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316 </w:t>
      </w:r>
      <w:r>
        <w:rPr>
          <w:sz w:val="20"/>
        </w:rPr>
        <w:t>Chen X. H. et al.: Cell Physiol Biochem. 2011; 27 (3-4) p. 227-232. Epub 2011 Apr 1.</w:t>
      </w:r>
    </w:p>
    <w:p>
      <w:pPr>
        <w:spacing w:before="94"/>
        <w:ind w:left="477" w:right="0" w:firstLine="0"/>
        <w:jc w:val="left"/>
        <w:rPr>
          <w:sz w:val="20"/>
        </w:rPr>
      </w:pPr>
      <w:r>
        <w:rPr>
          <w:position w:val="5"/>
          <w:sz w:val="13"/>
        </w:rPr>
        <w:t>317</w:t>
      </w:r>
      <w:r>
        <w:rPr>
          <w:sz w:val="20"/>
        </w:rPr>
        <w:t>Chemotherapy. 2010; 56 (5), p. 393-402. Epub 2010 Oct 1</w:t>
      </w:r>
    </w:p>
    <w:p>
      <w:pPr>
        <w:spacing w:line="276" w:lineRule="auto" w:before="95"/>
        <w:ind w:left="477" w:right="244" w:firstLine="0"/>
        <w:jc w:val="left"/>
        <w:rPr>
          <w:sz w:val="20"/>
        </w:rPr>
      </w:pPr>
      <w:r>
        <w:rPr>
          <w:position w:val="5"/>
          <w:sz w:val="13"/>
        </w:rPr>
        <w:t>318 </w:t>
      </w:r>
      <w:r>
        <w:rPr>
          <w:sz w:val="20"/>
        </w:rPr>
        <w:t>Peter Köhler: Die Heilkraft des Ginkgo. Natürlich gesund von Kopf bis Fuß (‘The Healing Power of Ginkgo. Naturally Healthy from Head to Toe’), 1998, p. 127</w:t>
      </w:r>
    </w:p>
    <w:p>
      <w:pPr>
        <w:spacing w:before="61"/>
        <w:ind w:left="477" w:right="0" w:firstLine="0"/>
        <w:jc w:val="left"/>
        <w:rPr>
          <w:sz w:val="20"/>
        </w:rPr>
      </w:pPr>
      <w:r>
        <w:rPr>
          <w:position w:val="5"/>
          <w:sz w:val="13"/>
        </w:rPr>
        <w:t>319 </w:t>
      </w:r>
      <w:r>
        <w:rPr>
          <w:sz w:val="20"/>
        </w:rPr>
        <w:t>Jiang W. et al.: Integr Cancer Ther.</w:t>
      </w:r>
      <w:r>
        <w:rPr>
          <w:sz w:val="20"/>
          <w:shd w:fill="FFFFFF" w:color="auto" w:val="clear"/>
        </w:rPr>
        <w:t> 2012 Apr 13. [Epub ahead of print]</w:t>
      </w:r>
    </w:p>
    <w:p>
      <w:pPr>
        <w:spacing w:after="0"/>
        <w:jc w:val="left"/>
        <w:rPr>
          <w:sz w:val="20"/>
        </w:rPr>
        <w:sectPr>
          <w:footerReference w:type="default" r:id="rId117"/>
          <w:pgSz w:w="14270" w:h="16850"/>
          <w:pgMar w:footer="1984" w:header="0" w:top="1600" w:bottom="2180" w:left="800" w:right="1280"/>
          <w:pgNumType w:start="435"/>
        </w:sectPr>
      </w:pPr>
    </w:p>
    <w:p>
      <w:pPr>
        <w:pStyle w:val="BodyText"/>
        <w:spacing w:line="276" w:lineRule="auto" w:before="181"/>
        <w:ind w:left="477" w:right="137"/>
        <w:jc w:val="both"/>
        <w:rPr>
          <w:sz w:val="25"/>
        </w:rPr>
      </w:pPr>
      <w:r>
        <w:rPr/>
        <w:t>with ginkgo biloba. The conclusion of the study was that ginkgo may protect against oxidative and genotoxic damage resulting from treatment with iodine 131.</w:t>
      </w:r>
      <w:r>
        <w:rPr>
          <w:position w:val="9"/>
          <w:sz w:val="25"/>
        </w:rPr>
        <w:t>320</w:t>
      </w:r>
    </w:p>
    <w:p>
      <w:pPr>
        <w:pStyle w:val="Heading1"/>
      </w:pPr>
      <w:r>
        <w:rPr/>
        <w:t>Ginkgo biloba improves cognitive skills in brain tumour patients</w:t>
      </w:r>
    </w:p>
    <w:p>
      <w:pPr>
        <w:pStyle w:val="BodyText"/>
        <w:spacing w:line="276" w:lineRule="auto" w:before="300"/>
        <w:ind w:left="477" w:right="134"/>
        <w:jc w:val="both"/>
        <w:rPr>
          <w:sz w:val="25"/>
        </w:rPr>
      </w:pPr>
      <w:r>
        <w:rPr/>
        <w:t>In a study on brain tumour patients who underwent radiation exposure, the administration of ginkgo supplements (40 mg ginkgo extract 3 times a day)</w:t>
      </w:r>
      <w:r>
        <w:rPr>
          <w:spacing w:val="-46"/>
        </w:rPr>
        <w:t> </w:t>
      </w:r>
      <w:r>
        <w:rPr/>
        <w:t>sig- nificantly</w:t>
      </w:r>
      <w:r>
        <w:rPr>
          <w:spacing w:val="-25"/>
        </w:rPr>
        <w:t> </w:t>
      </w:r>
      <w:r>
        <w:rPr/>
        <w:t>improved</w:t>
      </w:r>
      <w:r>
        <w:rPr>
          <w:spacing w:val="-24"/>
        </w:rPr>
        <w:t> </w:t>
      </w:r>
      <w:r>
        <w:rPr/>
        <w:t>cognitive</w:t>
      </w:r>
      <w:r>
        <w:rPr>
          <w:spacing w:val="-21"/>
        </w:rPr>
        <w:t> </w:t>
      </w:r>
      <w:r>
        <w:rPr/>
        <w:t>ability,</w:t>
      </w:r>
      <w:r>
        <w:rPr>
          <w:spacing w:val="-25"/>
        </w:rPr>
        <w:t> </w:t>
      </w:r>
      <w:r>
        <w:rPr/>
        <w:t>attention,</w:t>
      </w:r>
      <w:r>
        <w:rPr>
          <w:spacing w:val="-24"/>
        </w:rPr>
        <w:t> </w:t>
      </w:r>
      <w:r>
        <w:rPr/>
        <w:t>concentration,</w:t>
      </w:r>
      <w:r>
        <w:rPr>
          <w:spacing w:val="-25"/>
        </w:rPr>
        <w:t> </w:t>
      </w:r>
      <w:r>
        <w:rPr/>
        <w:t>mood</w:t>
      </w:r>
      <w:r>
        <w:rPr>
          <w:spacing w:val="-25"/>
        </w:rPr>
        <w:t> </w:t>
      </w:r>
      <w:r>
        <w:rPr/>
        <w:t>and</w:t>
      </w:r>
      <w:r>
        <w:rPr>
          <w:spacing w:val="-24"/>
        </w:rPr>
        <w:t> </w:t>
      </w:r>
      <w:r>
        <w:rPr/>
        <w:t>quality of life in general.</w:t>
      </w:r>
      <w:r>
        <w:rPr>
          <w:position w:val="9"/>
          <w:sz w:val="25"/>
        </w:rPr>
        <w:t>321</w:t>
      </w:r>
    </w:p>
    <w:p>
      <w:pPr>
        <w:pStyle w:val="BodyText"/>
        <w:rPr>
          <w:sz w:val="42"/>
        </w:rPr>
      </w:pPr>
    </w:p>
    <w:p>
      <w:pPr>
        <w:pStyle w:val="BodyText"/>
        <w:rPr>
          <w:sz w:val="42"/>
        </w:rPr>
      </w:pPr>
    </w:p>
    <w:p>
      <w:pPr>
        <w:pStyle w:val="BodyText"/>
        <w:rPr>
          <w:sz w:val="42"/>
        </w:rPr>
      </w:pPr>
    </w:p>
    <w:p>
      <w:pPr>
        <w:pStyle w:val="Heading1"/>
        <w:spacing w:line="261" w:lineRule="auto" w:before="268"/>
        <w:ind w:right="141"/>
        <w:jc w:val="both"/>
      </w:pPr>
      <w:r>
        <w:rPr/>
        <w:t>In</w:t>
      </w:r>
      <w:r>
        <w:rPr>
          <w:spacing w:val="-44"/>
        </w:rPr>
        <w:t> </w:t>
      </w:r>
      <w:r>
        <w:rPr/>
        <w:t>studies,</w:t>
      </w:r>
      <w:r>
        <w:rPr>
          <w:spacing w:val="-44"/>
        </w:rPr>
        <w:t> </w:t>
      </w:r>
      <w:r>
        <w:rPr/>
        <w:t>ginkgo</w:t>
      </w:r>
      <w:r>
        <w:rPr>
          <w:spacing w:val="-45"/>
        </w:rPr>
        <w:t> </w:t>
      </w:r>
      <w:r>
        <w:rPr/>
        <w:t>is</w:t>
      </w:r>
      <w:r>
        <w:rPr>
          <w:spacing w:val="-45"/>
        </w:rPr>
        <w:t> </w:t>
      </w:r>
      <w:r>
        <w:rPr/>
        <w:t>more</w:t>
      </w:r>
      <w:r>
        <w:rPr>
          <w:spacing w:val="-44"/>
        </w:rPr>
        <w:t> </w:t>
      </w:r>
      <w:r>
        <w:rPr/>
        <w:t>successful</w:t>
      </w:r>
      <w:r>
        <w:rPr>
          <w:spacing w:val="-45"/>
        </w:rPr>
        <w:t> </w:t>
      </w:r>
      <w:r>
        <w:rPr/>
        <w:t>than</w:t>
      </w:r>
      <w:r>
        <w:rPr>
          <w:spacing w:val="-43"/>
        </w:rPr>
        <w:t> </w:t>
      </w:r>
      <w:r>
        <w:rPr/>
        <w:t>medication</w:t>
      </w:r>
      <w:r>
        <w:rPr>
          <w:spacing w:val="-45"/>
        </w:rPr>
        <w:t> </w:t>
      </w:r>
      <w:r>
        <w:rPr/>
        <w:t>at</w:t>
      </w:r>
      <w:r>
        <w:rPr>
          <w:spacing w:val="-44"/>
        </w:rPr>
        <w:t> </w:t>
      </w:r>
      <w:r>
        <w:rPr/>
        <w:t>dilating</w:t>
      </w:r>
      <w:r>
        <w:rPr>
          <w:spacing w:val="-44"/>
        </w:rPr>
        <w:t> </w:t>
      </w:r>
      <w:r>
        <w:rPr/>
        <w:t>blood vessels</w:t>
      </w:r>
    </w:p>
    <w:p>
      <w:pPr>
        <w:pStyle w:val="BodyText"/>
        <w:spacing w:line="276" w:lineRule="auto" w:before="259"/>
        <w:ind w:left="477" w:right="126"/>
        <w:jc w:val="both"/>
        <w:rPr>
          <w:sz w:val="25"/>
        </w:rPr>
      </w:pPr>
      <w:r>
        <w:rPr/>
        <w:t>In comparative studies from 1972, the vasodilation effects of ginkgo extracts could easily match those of conventional drugs. The researchers even</w:t>
      </w:r>
      <w:r>
        <w:rPr>
          <w:spacing w:val="-63"/>
        </w:rPr>
        <w:t> </w:t>
      </w:r>
      <w:r>
        <w:rPr/>
        <w:t>classified this</w:t>
      </w:r>
      <w:r>
        <w:rPr>
          <w:spacing w:val="-8"/>
        </w:rPr>
        <w:t> </w:t>
      </w:r>
      <w:r>
        <w:rPr/>
        <w:t>effect</w:t>
      </w:r>
      <w:r>
        <w:rPr>
          <w:spacing w:val="-8"/>
        </w:rPr>
        <w:t> </w:t>
      </w:r>
      <w:r>
        <w:rPr/>
        <w:t>as</w:t>
      </w:r>
      <w:r>
        <w:rPr>
          <w:spacing w:val="-11"/>
        </w:rPr>
        <w:t> </w:t>
      </w:r>
      <w:r>
        <w:rPr/>
        <w:t>constant</w:t>
      </w:r>
      <w:r>
        <w:rPr>
          <w:spacing w:val="-9"/>
        </w:rPr>
        <w:t> </w:t>
      </w:r>
      <w:r>
        <w:rPr/>
        <w:t>and</w:t>
      </w:r>
      <w:r>
        <w:rPr>
          <w:spacing w:val="-8"/>
        </w:rPr>
        <w:t> </w:t>
      </w:r>
      <w:r>
        <w:rPr/>
        <w:t>completely</w:t>
      </w:r>
      <w:r>
        <w:rPr>
          <w:spacing w:val="-8"/>
        </w:rPr>
        <w:t> </w:t>
      </w:r>
      <w:r>
        <w:rPr/>
        <w:t>free</w:t>
      </w:r>
      <w:r>
        <w:rPr>
          <w:spacing w:val="-9"/>
        </w:rPr>
        <w:t> </w:t>
      </w:r>
      <w:r>
        <w:rPr/>
        <w:t>from</w:t>
      </w:r>
      <w:r>
        <w:rPr>
          <w:spacing w:val="-13"/>
        </w:rPr>
        <w:t> </w:t>
      </w:r>
      <w:r>
        <w:rPr/>
        <w:t>side</w:t>
      </w:r>
      <w:r>
        <w:rPr>
          <w:spacing w:val="-8"/>
        </w:rPr>
        <w:t> </w:t>
      </w:r>
      <w:r>
        <w:rPr/>
        <w:t>effects!</w:t>
      </w:r>
      <w:r>
        <w:rPr>
          <w:spacing w:val="-10"/>
        </w:rPr>
        <w:t> </w:t>
      </w:r>
      <w:r>
        <w:rPr/>
        <w:t>Here,</w:t>
      </w:r>
      <w:r>
        <w:rPr>
          <w:spacing w:val="-7"/>
        </w:rPr>
        <w:t> </w:t>
      </w:r>
      <w:r>
        <w:rPr/>
        <w:t>ginkgo</w:t>
      </w:r>
      <w:r>
        <w:rPr>
          <w:spacing w:val="-10"/>
        </w:rPr>
        <w:t> </w:t>
      </w:r>
      <w:r>
        <w:rPr/>
        <w:t>tea</w:t>
      </w:r>
      <w:r>
        <w:rPr>
          <w:spacing w:val="-9"/>
        </w:rPr>
        <w:t> </w:t>
      </w:r>
      <w:r>
        <w:rPr/>
        <w:t>is particularly suitable because of the flavonoids dissolved in</w:t>
      </w:r>
      <w:r>
        <w:rPr>
          <w:spacing w:val="-3"/>
        </w:rPr>
        <w:t> </w:t>
      </w:r>
      <w:r>
        <w:rPr/>
        <w:t>it.</w:t>
      </w:r>
      <w:r>
        <w:rPr>
          <w:position w:val="9"/>
          <w:sz w:val="25"/>
        </w:rPr>
        <w:t>322</w:t>
      </w:r>
    </w:p>
    <w:p>
      <w:pPr>
        <w:pStyle w:val="Heading1"/>
        <w:jc w:val="both"/>
      </w:pPr>
      <w:r>
        <w:rPr/>
        <w:t>Ginkgo increases brain oxygen tolerance time in studies by 20 %</w:t>
      </w:r>
    </w:p>
    <w:p>
      <w:pPr>
        <w:pStyle w:val="BodyText"/>
        <w:spacing w:before="300"/>
        <w:ind w:left="477"/>
        <w:jc w:val="both"/>
      </w:pPr>
      <w:r>
        <w:rPr/>
        <w:t>According</w:t>
      </w:r>
      <w:r>
        <w:rPr>
          <w:spacing w:val="53"/>
        </w:rPr>
        <w:t> </w:t>
      </w:r>
      <w:r>
        <w:rPr/>
        <w:t>to</w:t>
      </w:r>
      <w:r>
        <w:rPr>
          <w:spacing w:val="55"/>
        </w:rPr>
        <w:t> </w:t>
      </w:r>
      <w:r>
        <w:rPr/>
        <w:t>the</w:t>
      </w:r>
      <w:r>
        <w:rPr>
          <w:spacing w:val="54"/>
        </w:rPr>
        <w:t> </w:t>
      </w:r>
      <w:r>
        <w:rPr/>
        <w:t>latest</w:t>
      </w:r>
      <w:r>
        <w:rPr>
          <w:spacing w:val="53"/>
        </w:rPr>
        <w:t> </w:t>
      </w:r>
      <w:r>
        <w:rPr/>
        <w:t>findings,</w:t>
      </w:r>
      <w:r>
        <w:rPr>
          <w:spacing w:val="55"/>
        </w:rPr>
        <w:t> </w:t>
      </w:r>
      <w:r>
        <w:rPr/>
        <w:t>the</w:t>
      </w:r>
      <w:r>
        <w:rPr>
          <w:spacing w:val="55"/>
        </w:rPr>
        <w:t> </w:t>
      </w:r>
      <w:r>
        <w:rPr/>
        <w:t>active</w:t>
      </w:r>
      <w:r>
        <w:rPr>
          <w:spacing w:val="53"/>
        </w:rPr>
        <w:t> </w:t>
      </w:r>
      <w:r>
        <w:rPr/>
        <w:t>ingredient</w:t>
      </w:r>
      <w:r>
        <w:rPr>
          <w:spacing w:val="60"/>
        </w:rPr>
        <w:t> </w:t>
      </w:r>
      <w:r>
        <w:rPr>
          <w:i/>
        </w:rPr>
        <w:t>bilobalide</w:t>
      </w:r>
      <w:r>
        <w:rPr>
          <w:i/>
          <w:spacing w:val="57"/>
        </w:rPr>
        <w:t> </w:t>
      </w:r>
      <w:r>
        <w:rPr/>
        <w:t>contained</w:t>
      </w:r>
      <w:r>
        <w:rPr>
          <w:spacing w:val="54"/>
        </w:rPr>
        <w:t> </w:t>
      </w:r>
      <w:r>
        <w:rPr/>
        <w:t>in</w:t>
      </w:r>
    </w:p>
    <w:p>
      <w:pPr>
        <w:pStyle w:val="BodyText"/>
        <w:rPr>
          <w:sz w:val="20"/>
        </w:rPr>
      </w:pPr>
    </w:p>
    <w:p>
      <w:pPr>
        <w:pStyle w:val="BodyText"/>
        <w:rPr>
          <w:sz w:val="20"/>
        </w:rPr>
      </w:pPr>
    </w:p>
    <w:p>
      <w:pPr>
        <w:pStyle w:val="BodyText"/>
        <w:spacing w:before="8"/>
        <w:rPr>
          <w:sz w:val="10"/>
        </w:rPr>
      </w:pPr>
      <w:r>
        <w:rPr/>
        <w:pict>
          <v:line style="position:absolute;mso-position-horizontal-relative:page;mso-position-vertical-relative:paragraph;z-index:3560;mso-wrap-distance-left:0;mso-wrap-distance-right:0" from="63.863998pt,8.386265pt" to="207.883998pt,8.386265pt" stroked="true" strokeweight=".71997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320 </w:t>
      </w:r>
      <w:r>
        <w:rPr>
          <w:sz w:val="20"/>
        </w:rPr>
        <w:t>Thyroid. 2012 Mar; 22 (3) p. 318–e24. Epub 2011 Dec 19.</w:t>
      </w:r>
    </w:p>
    <w:p>
      <w:pPr>
        <w:spacing w:before="94"/>
        <w:ind w:left="477" w:right="0" w:firstLine="0"/>
        <w:jc w:val="left"/>
        <w:rPr>
          <w:sz w:val="20"/>
        </w:rPr>
      </w:pPr>
      <w:r>
        <w:rPr>
          <w:position w:val="5"/>
          <w:sz w:val="13"/>
        </w:rPr>
        <w:t>321 </w:t>
      </w:r>
      <w:r>
        <w:rPr>
          <w:sz w:val="20"/>
        </w:rPr>
        <w:t>E J.Neutrooncol 2012 Sep ;109(2)p.357-63 E</w:t>
      </w:r>
    </w:p>
    <w:p>
      <w:pPr>
        <w:spacing w:line="276" w:lineRule="auto" w:before="95"/>
        <w:ind w:left="477" w:right="244" w:firstLine="0"/>
        <w:jc w:val="left"/>
        <w:rPr>
          <w:sz w:val="20"/>
        </w:rPr>
      </w:pPr>
      <w:r>
        <w:rPr>
          <w:position w:val="5"/>
          <w:sz w:val="13"/>
        </w:rPr>
        <w:t>322 </w:t>
      </w:r>
      <w:r>
        <w:rPr>
          <w:sz w:val="20"/>
        </w:rPr>
        <w:t>Dr. Jörg Zittlau: Heilmittel Ginkgo – alles über die positive Wirkung auf Körper, Geist und Seele (‘Remedy Ginkgo – Everything about the Posi- tive Effect on Body, Mind and Soul’) 2006, p. 53</w:t>
      </w:r>
    </w:p>
    <w:p>
      <w:pPr>
        <w:spacing w:after="0" w:line="276" w:lineRule="auto"/>
        <w:jc w:val="left"/>
        <w:rPr>
          <w:sz w:val="20"/>
        </w:rPr>
        <w:sectPr>
          <w:pgSz w:w="14270" w:h="16850"/>
          <w:pgMar w:header="0" w:footer="1984" w:top="1600" w:bottom="2180" w:left="800" w:right="1280"/>
        </w:sectPr>
      </w:pPr>
    </w:p>
    <w:p>
      <w:pPr>
        <w:pStyle w:val="BodyText"/>
        <w:spacing w:line="276" w:lineRule="auto" w:before="181"/>
        <w:ind w:left="477"/>
        <w:rPr>
          <w:sz w:val="25"/>
        </w:rPr>
      </w:pPr>
      <w:r>
        <w:rPr/>
        <w:t>ginkgo</w:t>
      </w:r>
      <w:r>
        <w:rPr>
          <w:spacing w:val="-8"/>
        </w:rPr>
        <w:t> </w:t>
      </w:r>
      <w:r>
        <w:rPr/>
        <w:t>biloba</w:t>
      </w:r>
      <w:r>
        <w:rPr>
          <w:spacing w:val="-7"/>
        </w:rPr>
        <w:t> </w:t>
      </w:r>
      <w:r>
        <w:rPr/>
        <w:t>contributes</w:t>
      </w:r>
      <w:r>
        <w:rPr>
          <w:spacing w:val="-7"/>
        </w:rPr>
        <w:t> </w:t>
      </w:r>
      <w:r>
        <w:rPr/>
        <w:t>to</w:t>
      </w:r>
      <w:r>
        <w:rPr>
          <w:spacing w:val="-6"/>
        </w:rPr>
        <w:t> </w:t>
      </w:r>
      <w:r>
        <w:rPr/>
        <w:t>keeping</w:t>
      </w:r>
      <w:r>
        <w:rPr>
          <w:spacing w:val="-6"/>
        </w:rPr>
        <w:t> </w:t>
      </w:r>
      <w:r>
        <w:rPr/>
        <w:t>brain</w:t>
      </w:r>
      <w:r>
        <w:rPr>
          <w:spacing w:val="-7"/>
        </w:rPr>
        <w:t> </w:t>
      </w:r>
      <w:r>
        <w:rPr/>
        <w:t>cells</w:t>
      </w:r>
      <w:r>
        <w:rPr>
          <w:spacing w:val="-7"/>
        </w:rPr>
        <w:t> </w:t>
      </w:r>
      <w:r>
        <w:rPr/>
        <w:t>alive</w:t>
      </w:r>
      <w:r>
        <w:rPr>
          <w:spacing w:val="-7"/>
        </w:rPr>
        <w:t> </w:t>
      </w:r>
      <w:r>
        <w:rPr/>
        <w:t>for</w:t>
      </w:r>
      <w:r>
        <w:rPr>
          <w:spacing w:val="-5"/>
        </w:rPr>
        <w:t> </w:t>
      </w:r>
      <w:r>
        <w:rPr/>
        <w:t>prolonged</w:t>
      </w:r>
      <w:r>
        <w:rPr>
          <w:spacing w:val="-7"/>
        </w:rPr>
        <w:t> </w:t>
      </w:r>
      <w:r>
        <w:rPr/>
        <w:t>periods</w:t>
      </w:r>
      <w:r>
        <w:rPr>
          <w:spacing w:val="-6"/>
        </w:rPr>
        <w:t> </w:t>
      </w:r>
      <w:r>
        <w:rPr/>
        <w:t>de- spite</w:t>
      </w:r>
      <w:r>
        <w:rPr>
          <w:spacing w:val="-15"/>
        </w:rPr>
        <w:t> </w:t>
      </w:r>
      <w:r>
        <w:rPr/>
        <w:t>a</w:t>
      </w:r>
      <w:r>
        <w:rPr>
          <w:spacing w:val="-14"/>
        </w:rPr>
        <w:t> </w:t>
      </w:r>
      <w:r>
        <w:rPr/>
        <w:t>shortage</w:t>
      </w:r>
      <w:r>
        <w:rPr>
          <w:spacing w:val="-14"/>
        </w:rPr>
        <w:t> </w:t>
      </w:r>
      <w:r>
        <w:rPr/>
        <w:t>of</w:t>
      </w:r>
      <w:r>
        <w:rPr>
          <w:spacing w:val="-13"/>
        </w:rPr>
        <w:t> </w:t>
      </w:r>
      <w:r>
        <w:rPr/>
        <w:t>oxygen;</w:t>
      </w:r>
      <w:r>
        <w:rPr>
          <w:spacing w:val="-13"/>
        </w:rPr>
        <w:t> </w:t>
      </w:r>
      <w:r>
        <w:rPr/>
        <w:t>here,</w:t>
      </w:r>
      <w:r>
        <w:rPr>
          <w:spacing w:val="-15"/>
        </w:rPr>
        <w:t> </w:t>
      </w:r>
      <w:r>
        <w:rPr/>
        <w:t>the</w:t>
      </w:r>
      <w:r>
        <w:rPr>
          <w:spacing w:val="-13"/>
        </w:rPr>
        <w:t> </w:t>
      </w:r>
      <w:r>
        <w:rPr/>
        <w:t>tolerance</w:t>
      </w:r>
      <w:r>
        <w:rPr>
          <w:spacing w:val="-13"/>
        </w:rPr>
        <w:t> </w:t>
      </w:r>
      <w:r>
        <w:rPr/>
        <w:t>time</w:t>
      </w:r>
      <w:r>
        <w:rPr>
          <w:spacing w:val="-14"/>
        </w:rPr>
        <w:t> </w:t>
      </w:r>
      <w:r>
        <w:rPr/>
        <w:t>can</w:t>
      </w:r>
      <w:r>
        <w:rPr>
          <w:spacing w:val="-12"/>
        </w:rPr>
        <w:t> </w:t>
      </w:r>
      <w:r>
        <w:rPr/>
        <w:t>be</w:t>
      </w:r>
      <w:r>
        <w:rPr>
          <w:spacing w:val="-13"/>
        </w:rPr>
        <w:t> </w:t>
      </w:r>
      <w:r>
        <w:rPr/>
        <w:t>increased</w:t>
      </w:r>
      <w:r>
        <w:rPr>
          <w:spacing w:val="-13"/>
        </w:rPr>
        <w:t> </w:t>
      </w:r>
      <w:r>
        <w:rPr/>
        <w:t>by</w:t>
      </w:r>
      <w:r>
        <w:rPr>
          <w:spacing w:val="-13"/>
        </w:rPr>
        <w:t> </w:t>
      </w:r>
      <w:r>
        <w:rPr/>
        <w:t>20</w:t>
      </w:r>
      <w:r>
        <w:rPr>
          <w:spacing w:val="-13"/>
        </w:rPr>
        <w:t> </w:t>
      </w:r>
      <w:r>
        <w:rPr/>
        <w:t>%.</w:t>
      </w:r>
      <w:r>
        <w:rPr>
          <w:position w:val="9"/>
          <w:sz w:val="25"/>
        </w:rPr>
        <w:t>323</w:t>
      </w:r>
    </w:p>
    <w:p>
      <w:pPr>
        <w:pStyle w:val="Heading1"/>
      </w:pPr>
      <w:r>
        <w:rPr/>
        <w:t>Ginkgo biloba successful against asthma in studies</w:t>
      </w:r>
    </w:p>
    <w:p>
      <w:pPr>
        <w:pStyle w:val="BodyText"/>
        <w:spacing w:line="276" w:lineRule="auto" w:before="299"/>
        <w:ind w:left="477"/>
        <w:rPr>
          <w:sz w:val="25"/>
        </w:rPr>
      </w:pPr>
      <w:r>
        <w:rPr/>
        <w:t>According</w:t>
      </w:r>
      <w:r>
        <w:rPr>
          <w:spacing w:val="-12"/>
        </w:rPr>
        <w:t> </w:t>
      </w:r>
      <w:r>
        <w:rPr/>
        <w:t>to</w:t>
      </w:r>
      <w:r>
        <w:rPr>
          <w:spacing w:val="-11"/>
        </w:rPr>
        <w:t> </w:t>
      </w:r>
      <w:r>
        <w:rPr/>
        <w:t>a</w:t>
      </w:r>
      <w:r>
        <w:rPr>
          <w:spacing w:val="-13"/>
        </w:rPr>
        <w:t> </w:t>
      </w:r>
      <w:r>
        <w:rPr/>
        <w:t>report</w:t>
      </w:r>
      <w:r>
        <w:rPr>
          <w:spacing w:val="-13"/>
        </w:rPr>
        <w:t> </w:t>
      </w:r>
      <w:r>
        <w:rPr/>
        <w:t>by</w:t>
      </w:r>
      <w:r>
        <w:rPr>
          <w:spacing w:val="-11"/>
        </w:rPr>
        <w:t> </w:t>
      </w:r>
      <w:r>
        <w:rPr/>
        <w:t>the</w:t>
      </w:r>
      <w:r>
        <w:rPr>
          <w:spacing w:val="-13"/>
        </w:rPr>
        <w:t> </w:t>
      </w:r>
      <w:r>
        <w:rPr/>
        <w:t>magazine</w:t>
      </w:r>
      <w:r>
        <w:rPr>
          <w:spacing w:val="-8"/>
        </w:rPr>
        <w:t> </w:t>
      </w:r>
      <w:r>
        <w:rPr/>
        <w:t>‘Prostaglandins’,</w:t>
      </w:r>
      <w:r>
        <w:rPr>
          <w:spacing w:val="-12"/>
        </w:rPr>
        <w:t> </w:t>
      </w:r>
      <w:r>
        <w:rPr/>
        <w:t>ginkgo</w:t>
      </w:r>
      <w:r>
        <w:rPr>
          <w:spacing w:val="-14"/>
        </w:rPr>
        <w:t> </w:t>
      </w:r>
      <w:r>
        <w:rPr/>
        <w:t>extract</w:t>
      </w:r>
      <w:r>
        <w:rPr>
          <w:spacing w:val="-12"/>
        </w:rPr>
        <w:t> </w:t>
      </w:r>
      <w:r>
        <w:rPr/>
        <w:t>was</w:t>
      </w:r>
      <w:r>
        <w:rPr>
          <w:spacing w:val="-12"/>
        </w:rPr>
        <w:t> </w:t>
      </w:r>
      <w:r>
        <w:rPr/>
        <w:t>able to prevent shortness of breath for six hours despite</w:t>
      </w:r>
      <w:r>
        <w:rPr>
          <w:spacing w:val="-5"/>
        </w:rPr>
        <w:t> </w:t>
      </w:r>
      <w:r>
        <w:rPr/>
        <w:t>allergens.</w:t>
      </w:r>
      <w:r>
        <w:rPr>
          <w:position w:val="9"/>
          <w:sz w:val="25"/>
        </w:rPr>
        <w:t>324</w:t>
      </w:r>
    </w:p>
    <w:p>
      <w:pPr>
        <w:pStyle w:val="Heading2"/>
        <w:spacing w:before="239"/>
      </w:pPr>
      <w:r>
        <w:rPr/>
        <w:t>The preparation of ginkgo biloba and its application</w:t>
      </w:r>
    </w:p>
    <w:p>
      <w:pPr>
        <w:pStyle w:val="BodyText"/>
        <w:spacing w:line="276" w:lineRule="auto" w:before="305"/>
        <w:ind w:left="477"/>
      </w:pPr>
      <w:r>
        <w:rPr/>
        <w:t>The</w:t>
      </w:r>
      <w:r>
        <w:rPr>
          <w:spacing w:val="-9"/>
        </w:rPr>
        <w:t> </w:t>
      </w:r>
      <w:r>
        <w:rPr/>
        <w:t>preparation</w:t>
      </w:r>
      <w:r>
        <w:rPr>
          <w:spacing w:val="-10"/>
        </w:rPr>
        <w:t> </w:t>
      </w:r>
      <w:r>
        <w:rPr/>
        <w:t>of</w:t>
      </w:r>
      <w:r>
        <w:rPr>
          <w:spacing w:val="-8"/>
        </w:rPr>
        <w:t> </w:t>
      </w:r>
      <w:r>
        <w:rPr/>
        <w:t>ginkgo</w:t>
      </w:r>
      <w:r>
        <w:rPr>
          <w:spacing w:val="-8"/>
        </w:rPr>
        <w:t> </w:t>
      </w:r>
      <w:r>
        <w:rPr/>
        <w:t>tea</w:t>
      </w:r>
      <w:r>
        <w:rPr>
          <w:spacing w:val="-10"/>
        </w:rPr>
        <w:t> </w:t>
      </w:r>
      <w:r>
        <w:rPr/>
        <w:t>can</w:t>
      </w:r>
      <w:r>
        <w:rPr>
          <w:spacing w:val="-8"/>
        </w:rPr>
        <w:t> </w:t>
      </w:r>
      <w:r>
        <w:rPr/>
        <w:t>be</w:t>
      </w:r>
      <w:r>
        <w:rPr>
          <w:spacing w:val="-8"/>
        </w:rPr>
        <w:t> </w:t>
      </w:r>
      <w:r>
        <w:rPr/>
        <w:t>made</w:t>
      </w:r>
      <w:r>
        <w:rPr>
          <w:spacing w:val="-8"/>
        </w:rPr>
        <w:t> </w:t>
      </w:r>
      <w:r>
        <w:rPr/>
        <w:t>from</w:t>
      </w:r>
      <w:r>
        <w:rPr>
          <w:spacing w:val="-13"/>
        </w:rPr>
        <w:t> </w:t>
      </w:r>
      <w:r>
        <w:rPr/>
        <w:t>both</w:t>
      </w:r>
      <w:r>
        <w:rPr>
          <w:spacing w:val="-8"/>
        </w:rPr>
        <w:t> </w:t>
      </w:r>
      <w:r>
        <w:rPr/>
        <w:t>the</w:t>
      </w:r>
      <w:r>
        <w:rPr>
          <w:spacing w:val="-8"/>
        </w:rPr>
        <w:t> </w:t>
      </w:r>
      <w:r>
        <w:rPr/>
        <w:t>ginkgo</w:t>
      </w:r>
      <w:r>
        <w:rPr>
          <w:spacing w:val="-11"/>
        </w:rPr>
        <w:t> </w:t>
      </w:r>
      <w:r>
        <w:rPr/>
        <w:t>seeds</w:t>
      </w:r>
      <w:r>
        <w:rPr>
          <w:spacing w:val="-8"/>
        </w:rPr>
        <w:t> </w:t>
      </w:r>
      <w:r>
        <w:rPr/>
        <w:t>and</w:t>
      </w:r>
      <w:r>
        <w:rPr>
          <w:spacing w:val="-8"/>
        </w:rPr>
        <w:t> </w:t>
      </w:r>
      <w:r>
        <w:rPr/>
        <w:t>the ginkgo leaves.</w:t>
      </w:r>
    </w:p>
    <w:p>
      <w:pPr>
        <w:pStyle w:val="Heading1"/>
        <w:spacing w:before="223"/>
      </w:pPr>
      <w:r>
        <w:rPr/>
        <w:t>Preparation of ginkgo tea from ginkgo</w:t>
      </w:r>
      <w:r>
        <w:rPr>
          <w:spacing w:val="-74"/>
        </w:rPr>
        <w:t> </w:t>
      </w:r>
      <w:r>
        <w:rPr/>
        <w:t>leaves</w:t>
      </w:r>
    </w:p>
    <w:p>
      <w:pPr>
        <w:pStyle w:val="BodyText"/>
        <w:spacing w:line="276" w:lineRule="auto" w:before="299"/>
        <w:ind w:left="477" w:right="139"/>
        <w:jc w:val="both"/>
      </w:pPr>
      <w:r>
        <w:rPr/>
        <w:t>Mince the ginkgo leaves and boil 1 glass of water at the same time. Add the chopped leaves to the water, allow to steep for about 10 minutes, then strain. Drink at least three cups during the day.</w:t>
      </w:r>
    </w:p>
    <w:p>
      <w:pPr>
        <w:pStyle w:val="Heading1"/>
        <w:spacing w:before="222"/>
      </w:pPr>
      <w:r>
        <w:rPr/>
        <w:t>Preparation of ginkgo tea from ginkgo</w:t>
      </w:r>
      <w:r>
        <w:rPr>
          <w:spacing w:val="-72"/>
        </w:rPr>
        <w:t> </w:t>
      </w:r>
      <w:r>
        <w:rPr/>
        <w:t>seeds</w:t>
      </w:r>
    </w:p>
    <w:p>
      <w:pPr>
        <w:pStyle w:val="BodyText"/>
        <w:spacing w:line="276" w:lineRule="auto" w:before="299"/>
        <w:ind w:left="477" w:right="134"/>
        <w:jc w:val="both"/>
      </w:pPr>
      <w:r>
        <w:rPr/>
        <w:t>To prepare the gingko seeds, first chop the seeds and dry the resulting</w:t>
      </w:r>
      <w:r>
        <w:rPr>
          <w:spacing w:val="-60"/>
        </w:rPr>
        <w:t> </w:t>
      </w:r>
      <w:r>
        <w:rPr/>
        <w:t>powder. Boil 1 litre of water and simmer approx. 5 g of this powder until half the water has evaporated. Strain and drink the entire contents spread over three servings a day.</w:t>
      </w:r>
    </w:p>
    <w:p>
      <w:pPr>
        <w:pStyle w:val="BodyText"/>
        <w:rPr>
          <w:sz w:val="20"/>
        </w:rPr>
      </w:pPr>
    </w:p>
    <w:p>
      <w:pPr>
        <w:pStyle w:val="BodyText"/>
        <w:rPr>
          <w:sz w:val="20"/>
        </w:rPr>
      </w:pPr>
    </w:p>
    <w:p>
      <w:pPr>
        <w:pStyle w:val="BodyText"/>
        <w:spacing w:before="10"/>
        <w:rPr>
          <w:sz w:val="25"/>
        </w:rPr>
      </w:pPr>
      <w:r>
        <w:rPr/>
        <w:pict>
          <v:line style="position:absolute;mso-position-horizontal-relative:page;mso-position-vertical-relative:paragraph;z-index:3584;mso-wrap-distance-left:0;mso-wrap-distance-right:0" from="63.863998pt,16.938765pt" to="207.883998pt,16.938765pt" stroked="true" strokeweight=".71997pt" strokecolor="#000000">
            <v:stroke dashstyle="solid"/>
            <w10:wrap type="topAndBottom"/>
          </v:line>
        </w:pict>
      </w:r>
    </w:p>
    <w:p>
      <w:pPr>
        <w:pStyle w:val="BodyText"/>
        <w:spacing w:before="7"/>
        <w:rPr>
          <w:sz w:val="18"/>
        </w:rPr>
      </w:pPr>
    </w:p>
    <w:p>
      <w:pPr>
        <w:spacing w:line="276" w:lineRule="auto" w:before="99"/>
        <w:ind w:left="477" w:right="244" w:firstLine="0"/>
        <w:jc w:val="left"/>
        <w:rPr>
          <w:sz w:val="20"/>
        </w:rPr>
      </w:pPr>
      <w:r>
        <w:rPr>
          <w:position w:val="5"/>
          <w:sz w:val="13"/>
        </w:rPr>
        <w:t>323 </w:t>
      </w:r>
      <w:r>
        <w:rPr>
          <w:sz w:val="20"/>
        </w:rPr>
        <w:t>Peter Köhler: Die Heilkraft des Ginkgo. Natürlich gesund von Kopf bis Fuß (‘The Healing Power of Ginkgo. Naturally Healthy from Head to Toe’), 1998, p. 94</w:t>
      </w:r>
    </w:p>
    <w:p>
      <w:pPr>
        <w:spacing w:line="276" w:lineRule="auto" w:before="61"/>
        <w:ind w:left="477" w:right="244" w:firstLine="0"/>
        <w:jc w:val="left"/>
        <w:rPr>
          <w:sz w:val="20"/>
        </w:rPr>
      </w:pPr>
      <w:r>
        <w:rPr>
          <w:position w:val="5"/>
          <w:sz w:val="13"/>
        </w:rPr>
        <w:t>324 </w:t>
      </w:r>
      <w:r>
        <w:rPr>
          <w:sz w:val="20"/>
        </w:rPr>
        <w:t>Dr. Jörg Zittlau: Heilmittel Ginkgo – alles über die positive Wirkung auf Körper, Geist und Seele (‘Remedy Ginkgo – Everything about the Posi- tive Effect on Body, Mind and Soul’) 2006, p. 47</w:t>
      </w:r>
    </w:p>
    <w:p>
      <w:pPr>
        <w:spacing w:after="0" w:line="276" w:lineRule="auto"/>
        <w:jc w:val="left"/>
        <w:rPr>
          <w:sz w:val="20"/>
        </w:rPr>
        <w:sectPr>
          <w:pgSz w:w="14270" w:h="16850"/>
          <w:pgMar w:header="0" w:footer="1984" w:top="1600" w:bottom="2500" w:left="800" w:right="1280"/>
        </w:sectPr>
      </w:pPr>
    </w:p>
    <w:p>
      <w:pPr>
        <w:pStyle w:val="BodyText"/>
        <w:rPr>
          <w:sz w:val="20"/>
        </w:rPr>
      </w:pPr>
    </w:p>
    <w:p>
      <w:pPr>
        <w:pStyle w:val="BodyText"/>
        <w:spacing w:before="5"/>
        <w:rPr>
          <w:sz w:val="25"/>
        </w:rPr>
      </w:pPr>
    </w:p>
    <w:p>
      <w:pPr>
        <w:pStyle w:val="Heading2"/>
        <w:spacing w:before="100"/>
      </w:pPr>
      <w:r>
        <w:rPr/>
        <w:t>Ginkgo biloba – applications</w:t>
      </w:r>
    </w:p>
    <w:p>
      <w:pPr>
        <w:spacing w:before="220"/>
        <w:ind w:left="477" w:right="0" w:firstLine="0"/>
        <w:jc w:val="left"/>
        <w:rPr>
          <w:b/>
          <w:i/>
          <w:sz w:val="40"/>
        </w:rPr>
      </w:pPr>
      <w:r>
        <w:rPr>
          <w:b/>
          <w:i/>
          <w:sz w:val="40"/>
        </w:rPr>
        <w:t>The various ginkgo preparations</w:t>
      </w:r>
    </w:p>
    <w:p>
      <w:pPr>
        <w:pStyle w:val="BodyText"/>
        <w:spacing w:line="276" w:lineRule="auto" w:before="299"/>
        <w:ind w:left="477" w:right="132"/>
        <w:jc w:val="both"/>
      </w:pPr>
      <w:r>
        <w:rPr/>
        <w:t>While ginkgo is drunk mostly in its original form as ginkgo tea in China, here, in addition to ginkgo tea, it also comes in the form of tablets, lozenges, drops, tinctures,</w:t>
      </w:r>
      <w:r>
        <w:rPr>
          <w:spacing w:val="-16"/>
        </w:rPr>
        <w:t> </w:t>
      </w:r>
      <w:r>
        <w:rPr/>
        <w:t>ampoules,</w:t>
      </w:r>
      <w:r>
        <w:rPr>
          <w:spacing w:val="-15"/>
        </w:rPr>
        <w:t> </w:t>
      </w:r>
      <w:r>
        <w:rPr/>
        <w:t>infusions</w:t>
      </w:r>
      <w:r>
        <w:rPr>
          <w:spacing w:val="-16"/>
        </w:rPr>
        <w:t> </w:t>
      </w:r>
      <w:r>
        <w:rPr/>
        <w:t>and</w:t>
      </w:r>
      <w:r>
        <w:rPr>
          <w:spacing w:val="-16"/>
        </w:rPr>
        <w:t> </w:t>
      </w:r>
      <w:r>
        <w:rPr/>
        <w:t>–</w:t>
      </w:r>
      <w:r>
        <w:rPr>
          <w:spacing w:val="-16"/>
        </w:rPr>
        <w:t> </w:t>
      </w:r>
      <w:r>
        <w:rPr/>
        <w:t>as</w:t>
      </w:r>
      <w:r>
        <w:rPr>
          <w:spacing w:val="-17"/>
        </w:rPr>
        <w:t> </w:t>
      </w:r>
      <w:r>
        <w:rPr/>
        <w:t>has</w:t>
      </w:r>
      <w:r>
        <w:rPr>
          <w:spacing w:val="-16"/>
        </w:rPr>
        <w:t> </w:t>
      </w:r>
      <w:r>
        <w:rPr/>
        <w:t>recently</w:t>
      </w:r>
      <w:r>
        <w:rPr>
          <w:spacing w:val="-16"/>
        </w:rPr>
        <w:t> </w:t>
      </w:r>
      <w:r>
        <w:rPr/>
        <w:t>come</w:t>
      </w:r>
      <w:r>
        <w:rPr>
          <w:spacing w:val="-16"/>
        </w:rPr>
        <w:t> </w:t>
      </w:r>
      <w:r>
        <w:rPr/>
        <w:t>to</w:t>
      </w:r>
      <w:r>
        <w:rPr>
          <w:spacing w:val="-16"/>
        </w:rPr>
        <w:t> </w:t>
      </w:r>
      <w:r>
        <w:rPr/>
        <w:t>light</w:t>
      </w:r>
      <w:r>
        <w:rPr>
          <w:spacing w:val="-17"/>
        </w:rPr>
        <w:t> </w:t>
      </w:r>
      <w:r>
        <w:rPr/>
        <w:t>in</w:t>
      </w:r>
      <w:r>
        <w:rPr>
          <w:spacing w:val="-16"/>
        </w:rPr>
        <w:t> </w:t>
      </w:r>
      <w:r>
        <w:rPr/>
        <w:t>the</w:t>
      </w:r>
      <w:r>
        <w:rPr>
          <w:spacing w:val="-15"/>
        </w:rPr>
        <w:t> </w:t>
      </w:r>
      <w:r>
        <w:rPr/>
        <w:t>cosmet- ics industry – as cream, lotion, hair tonic and shampoo. A special effect is at- tributed to ginkgo extracts, which are extracted in over 20 complex steps from ginkgo ingredients and are now standardised. Infusions with a higher concen- tration</w:t>
      </w:r>
      <w:r>
        <w:rPr>
          <w:spacing w:val="-7"/>
        </w:rPr>
        <w:t> </w:t>
      </w:r>
      <w:r>
        <w:rPr/>
        <w:t>are</w:t>
      </w:r>
      <w:r>
        <w:rPr>
          <w:spacing w:val="-7"/>
        </w:rPr>
        <w:t> </w:t>
      </w:r>
      <w:r>
        <w:rPr/>
        <w:t>suitable</w:t>
      </w:r>
      <w:r>
        <w:rPr>
          <w:spacing w:val="-7"/>
        </w:rPr>
        <w:t> </w:t>
      </w:r>
      <w:r>
        <w:rPr/>
        <w:t>for</w:t>
      </w:r>
      <w:r>
        <w:rPr>
          <w:spacing w:val="-8"/>
        </w:rPr>
        <w:t> </w:t>
      </w:r>
      <w:r>
        <w:rPr/>
        <w:t>more</w:t>
      </w:r>
      <w:r>
        <w:rPr>
          <w:spacing w:val="-8"/>
        </w:rPr>
        <w:t> </w:t>
      </w:r>
      <w:r>
        <w:rPr/>
        <w:t>severe</w:t>
      </w:r>
      <w:r>
        <w:rPr>
          <w:spacing w:val="-8"/>
        </w:rPr>
        <w:t> </w:t>
      </w:r>
      <w:r>
        <w:rPr/>
        <w:t>circulatory</w:t>
      </w:r>
      <w:r>
        <w:rPr>
          <w:spacing w:val="-6"/>
        </w:rPr>
        <w:t> </w:t>
      </w:r>
      <w:r>
        <w:rPr/>
        <w:t>symptoms,</w:t>
      </w:r>
      <w:r>
        <w:rPr>
          <w:spacing w:val="-8"/>
        </w:rPr>
        <w:t> </w:t>
      </w:r>
      <w:r>
        <w:rPr/>
        <w:t>such</w:t>
      </w:r>
      <w:r>
        <w:rPr>
          <w:spacing w:val="-8"/>
        </w:rPr>
        <w:t> </w:t>
      </w:r>
      <w:r>
        <w:rPr/>
        <w:t>as</w:t>
      </w:r>
      <w:r>
        <w:rPr>
          <w:spacing w:val="-7"/>
        </w:rPr>
        <w:t> </w:t>
      </w:r>
      <w:r>
        <w:rPr/>
        <w:t>smoker's</w:t>
      </w:r>
      <w:r>
        <w:rPr>
          <w:spacing w:val="-9"/>
        </w:rPr>
        <w:t> </w:t>
      </w:r>
      <w:r>
        <w:rPr/>
        <w:t>leg, gangrene,</w:t>
      </w:r>
      <w:r>
        <w:rPr>
          <w:spacing w:val="-9"/>
        </w:rPr>
        <w:t> </w:t>
      </w:r>
      <w:r>
        <w:rPr/>
        <w:t>Raynaud's</w:t>
      </w:r>
      <w:r>
        <w:rPr>
          <w:spacing w:val="-6"/>
        </w:rPr>
        <w:t> </w:t>
      </w:r>
      <w:r>
        <w:rPr/>
        <w:t>disease</w:t>
      </w:r>
      <w:r>
        <w:rPr>
          <w:spacing w:val="-7"/>
        </w:rPr>
        <w:t> </w:t>
      </w:r>
      <w:r>
        <w:rPr/>
        <w:t>and</w:t>
      </w:r>
      <w:r>
        <w:rPr>
          <w:spacing w:val="-9"/>
        </w:rPr>
        <w:t> </w:t>
      </w:r>
      <w:r>
        <w:rPr/>
        <w:t>the</w:t>
      </w:r>
      <w:r>
        <w:rPr>
          <w:spacing w:val="-7"/>
        </w:rPr>
        <w:t> </w:t>
      </w:r>
      <w:r>
        <w:rPr/>
        <w:t>like,</w:t>
      </w:r>
      <w:r>
        <w:rPr>
          <w:spacing w:val="-7"/>
        </w:rPr>
        <w:t> </w:t>
      </w:r>
      <w:r>
        <w:rPr/>
        <w:t>and</w:t>
      </w:r>
      <w:r>
        <w:rPr>
          <w:spacing w:val="-8"/>
        </w:rPr>
        <w:t> </w:t>
      </w:r>
      <w:r>
        <w:rPr/>
        <w:t>are</w:t>
      </w:r>
      <w:r>
        <w:rPr>
          <w:spacing w:val="-11"/>
        </w:rPr>
        <w:t> </w:t>
      </w:r>
      <w:r>
        <w:rPr/>
        <w:t>always</w:t>
      </w:r>
      <w:r>
        <w:rPr>
          <w:spacing w:val="-7"/>
        </w:rPr>
        <w:t> </w:t>
      </w:r>
      <w:r>
        <w:rPr/>
        <w:t>administered</w:t>
      </w:r>
      <w:r>
        <w:rPr>
          <w:spacing w:val="-8"/>
        </w:rPr>
        <w:t> </w:t>
      </w:r>
      <w:r>
        <w:rPr/>
        <w:t>by</w:t>
      </w:r>
      <w:r>
        <w:rPr>
          <w:spacing w:val="-6"/>
        </w:rPr>
        <w:t> </w:t>
      </w:r>
      <w:r>
        <w:rPr/>
        <w:t>a</w:t>
      </w:r>
      <w:r>
        <w:rPr>
          <w:spacing w:val="-11"/>
        </w:rPr>
        <w:t> </w:t>
      </w:r>
      <w:r>
        <w:rPr/>
        <w:t>doc- tor.</w:t>
      </w:r>
    </w:p>
    <w:p>
      <w:pPr>
        <w:pStyle w:val="Heading1"/>
      </w:pPr>
      <w:r>
        <w:rPr/>
        <w:t>Dosage</w:t>
      </w:r>
    </w:p>
    <w:p>
      <w:pPr>
        <w:pStyle w:val="BodyText"/>
        <w:spacing w:line="276" w:lineRule="auto" w:before="300"/>
        <w:ind w:left="477" w:right="143"/>
        <w:jc w:val="both"/>
      </w:pPr>
      <w:r>
        <w:rPr/>
        <w:t>Of course, the dosage of ginkgo in serious illnesses is best decided by an expe- rienced alternative practitioner or naturopath.</w:t>
      </w:r>
    </w:p>
    <w:p>
      <w:pPr>
        <w:pStyle w:val="BodyText"/>
        <w:spacing w:line="276" w:lineRule="auto" w:before="238"/>
        <w:ind w:left="477" w:right="131"/>
        <w:jc w:val="both"/>
      </w:pPr>
      <w:r>
        <w:rPr/>
        <w:t>The</w:t>
      </w:r>
      <w:r>
        <w:rPr>
          <w:spacing w:val="-6"/>
        </w:rPr>
        <w:t> </w:t>
      </w:r>
      <w:r>
        <w:rPr/>
        <w:t>most</w:t>
      </w:r>
      <w:r>
        <w:rPr>
          <w:spacing w:val="-6"/>
        </w:rPr>
        <w:t> </w:t>
      </w:r>
      <w:r>
        <w:rPr/>
        <w:t>common</w:t>
      </w:r>
      <w:r>
        <w:rPr>
          <w:spacing w:val="-6"/>
        </w:rPr>
        <w:t> </w:t>
      </w:r>
      <w:r>
        <w:rPr/>
        <w:t>single</w:t>
      </w:r>
      <w:r>
        <w:rPr>
          <w:spacing w:val="-6"/>
        </w:rPr>
        <w:t> </w:t>
      </w:r>
      <w:r>
        <w:rPr/>
        <w:t>dose</w:t>
      </w:r>
      <w:r>
        <w:rPr>
          <w:spacing w:val="-6"/>
        </w:rPr>
        <w:t> </w:t>
      </w:r>
      <w:r>
        <w:rPr/>
        <w:t>of</w:t>
      </w:r>
      <w:r>
        <w:rPr>
          <w:spacing w:val="-6"/>
        </w:rPr>
        <w:t> </w:t>
      </w:r>
      <w:r>
        <w:rPr/>
        <w:t>ginkgo</w:t>
      </w:r>
      <w:r>
        <w:rPr>
          <w:spacing w:val="-5"/>
        </w:rPr>
        <w:t> </w:t>
      </w:r>
      <w:r>
        <w:rPr/>
        <w:t>extract</w:t>
      </w:r>
      <w:r>
        <w:rPr>
          <w:spacing w:val="-4"/>
        </w:rPr>
        <w:t> </w:t>
      </w:r>
      <w:r>
        <w:rPr/>
        <w:t>contains</w:t>
      </w:r>
      <w:r>
        <w:rPr>
          <w:spacing w:val="-5"/>
        </w:rPr>
        <w:t> </w:t>
      </w:r>
      <w:r>
        <w:rPr/>
        <w:t>40</w:t>
      </w:r>
      <w:r>
        <w:rPr>
          <w:spacing w:val="-7"/>
        </w:rPr>
        <w:t> </w:t>
      </w:r>
      <w:r>
        <w:rPr/>
        <w:t>mg</w:t>
      </w:r>
      <w:r>
        <w:rPr>
          <w:spacing w:val="-5"/>
        </w:rPr>
        <w:t> </w:t>
      </w:r>
      <w:r>
        <w:rPr/>
        <w:t>of</w:t>
      </w:r>
      <w:r>
        <w:rPr>
          <w:spacing w:val="-6"/>
        </w:rPr>
        <w:t> </w:t>
      </w:r>
      <w:r>
        <w:rPr/>
        <w:t>dry</w:t>
      </w:r>
      <w:r>
        <w:rPr>
          <w:spacing w:val="-6"/>
        </w:rPr>
        <w:t> </w:t>
      </w:r>
      <w:r>
        <w:rPr/>
        <w:t>extract. Other common doses range from 40 to a maximum of 240 mg, depending on the indication. By way of example, in circulatory disorders, 120-160 mg is usu- ally distributed over three daily</w:t>
      </w:r>
      <w:r>
        <w:rPr>
          <w:spacing w:val="4"/>
        </w:rPr>
        <w:t> </w:t>
      </w:r>
      <w:r>
        <w:rPr/>
        <w:t>doses.</w:t>
      </w:r>
    </w:p>
    <w:p>
      <w:pPr>
        <w:pStyle w:val="BodyText"/>
        <w:spacing w:line="276" w:lineRule="auto" w:before="242"/>
        <w:ind w:left="477" w:right="135"/>
        <w:jc w:val="both"/>
      </w:pPr>
      <w:r>
        <w:rPr/>
        <w:t>For bladder infection, cough, asthma, menstrual cramps, stomach problems, alcohol</w:t>
      </w:r>
      <w:r>
        <w:rPr>
          <w:spacing w:val="-8"/>
        </w:rPr>
        <w:t> </w:t>
      </w:r>
      <w:r>
        <w:rPr/>
        <w:t>intoxication</w:t>
      </w:r>
      <w:r>
        <w:rPr>
          <w:spacing w:val="-6"/>
        </w:rPr>
        <w:t> </w:t>
      </w:r>
      <w:r>
        <w:rPr/>
        <w:t>or</w:t>
      </w:r>
      <w:r>
        <w:rPr>
          <w:spacing w:val="-6"/>
        </w:rPr>
        <w:t> </w:t>
      </w:r>
      <w:r>
        <w:rPr/>
        <w:t>tuberculosis,</w:t>
      </w:r>
      <w:r>
        <w:rPr>
          <w:spacing w:val="-6"/>
        </w:rPr>
        <w:t> </w:t>
      </w:r>
      <w:r>
        <w:rPr/>
        <w:t>it</w:t>
      </w:r>
      <w:r>
        <w:rPr>
          <w:spacing w:val="-8"/>
        </w:rPr>
        <w:t> </w:t>
      </w:r>
      <w:r>
        <w:rPr/>
        <w:t>is</w:t>
      </w:r>
      <w:r>
        <w:rPr>
          <w:spacing w:val="-9"/>
        </w:rPr>
        <w:t> </w:t>
      </w:r>
      <w:r>
        <w:rPr/>
        <w:t>preferable</w:t>
      </w:r>
      <w:r>
        <w:rPr>
          <w:spacing w:val="-7"/>
        </w:rPr>
        <w:t> </w:t>
      </w:r>
      <w:r>
        <w:rPr/>
        <w:t>to</w:t>
      </w:r>
      <w:r>
        <w:rPr>
          <w:spacing w:val="-6"/>
        </w:rPr>
        <w:t> </w:t>
      </w:r>
      <w:r>
        <w:rPr/>
        <w:t>boil</w:t>
      </w:r>
      <w:r>
        <w:rPr>
          <w:spacing w:val="-8"/>
        </w:rPr>
        <w:t> </w:t>
      </w:r>
      <w:r>
        <w:rPr/>
        <w:t>and</w:t>
      </w:r>
      <w:r>
        <w:rPr>
          <w:spacing w:val="-7"/>
        </w:rPr>
        <w:t> </w:t>
      </w:r>
      <w:r>
        <w:rPr/>
        <w:t>drink</w:t>
      </w:r>
      <w:r>
        <w:rPr>
          <w:spacing w:val="-7"/>
        </w:rPr>
        <w:t> </w:t>
      </w:r>
      <w:r>
        <w:rPr/>
        <w:t>ginkgo</w:t>
      </w:r>
      <w:r>
        <w:rPr>
          <w:spacing w:val="-7"/>
        </w:rPr>
        <w:t> </w:t>
      </w:r>
      <w:r>
        <w:rPr/>
        <w:t>tea</w:t>
      </w:r>
    </w:p>
    <w:p>
      <w:pPr>
        <w:spacing w:after="0" w:line="276" w:lineRule="auto"/>
        <w:jc w:val="both"/>
        <w:sectPr>
          <w:footerReference w:type="default" r:id="rId118"/>
          <w:pgSz w:w="14270" w:h="16850"/>
          <w:pgMar w:footer="1891" w:header="0" w:top="1600" w:bottom="2080" w:left="800" w:right="1280"/>
          <w:pgNumType w:start="438"/>
        </w:sectPr>
      </w:pPr>
    </w:p>
    <w:p>
      <w:pPr>
        <w:pStyle w:val="BodyText"/>
        <w:spacing w:before="181"/>
        <w:ind w:left="477"/>
      </w:pPr>
      <w:r>
        <w:rPr/>
        <w:t>made from 10 g of ginkgo seeds.</w:t>
      </w:r>
    </w:p>
    <w:p>
      <w:pPr>
        <w:pStyle w:val="BodyText"/>
        <w:spacing w:line="271" w:lineRule="auto" w:before="328"/>
        <w:ind w:left="477" w:right="138"/>
        <w:jc w:val="both"/>
      </w:pPr>
      <w:r>
        <w:rPr>
          <w:b/>
          <w:i/>
          <w:sz w:val="40"/>
        </w:rPr>
        <w:t>Duration</w:t>
      </w:r>
      <w:r>
        <w:rPr>
          <w:b/>
          <w:i/>
          <w:spacing w:val="-23"/>
          <w:sz w:val="40"/>
        </w:rPr>
        <w:t> </w:t>
      </w:r>
      <w:r>
        <w:rPr>
          <w:b/>
          <w:i/>
          <w:sz w:val="40"/>
        </w:rPr>
        <w:t>of</w:t>
      </w:r>
      <w:r>
        <w:rPr>
          <w:b/>
          <w:i/>
          <w:spacing w:val="-22"/>
          <w:sz w:val="40"/>
        </w:rPr>
        <w:t> </w:t>
      </w:r>
      <w:r>
        <w:rPr>
          <w:b/>
          <w:i/>
          <w:sz w:val="40"/>
        </w:rPr>
        <w:t>treatment:</w:t>
      </w:r>
      <w:r>
        <w:rPr>
          <w:b/>
          <w:i/>
          <w:spacing w:val="-19"/>
          <w:sz w:val="40"/>
        </w:rPr>
        <w:t> </w:t>
      </w:r>
      <w:r>
        <w:rPr/>
        <w:t>A</w:t>
      </w:r>
      <w:r>
        <w:rPr>
          <w:spacing w:val="-17"/>
        </w:rPr>
        <w:t> </w:t>
      </w:r>
      <w:r>
        <w:rPr/>
        <w:t>positive</w:t>
      </w:r>
      <w:r>
        <w:rPr>
          <w:spacing w:val="-17"/>
        </w:rPr>
        <w:t> </w:t>
      </w:r>
      <w:r>
        <w:rPr/>
        <w:t>effect</w:t>
      </w:r>
      <w:r>
        <w:rPr>
          <w:spacing w:val="-16"/>
        </w:rPr>
        <w:t> </w:t>
      </w:r>
      <w:r>
        <w:rPr/>
        <w:t>should</w:t>
      </w:r>
      <w:r>
        <w:rPr>
          <w:spacing w:val="-17"/>
        </w:rPr>
        <w:t> </w:t>
      </w:r>
      <w:r>
        <w:rPr/>
        <w:t>only</w:t>
      </w:r>
      <w:r>
        <w:rPr>
          <w:spacing w:val="-20"/>
        </w:rPr>
        <w:t> </w:t>
      </w:r>
      <w:r>
        <w:rPr/>
        <w:t>be</w:t>
      </w:r>
      <w:r>
        <w:rPr>
          <w:spacing w:val="-16"/>
        </w:rPr>
        <w:t> </w:t>
      </w:r>
      <w:r>
        <w:rPr/>
        <w:t>expected</w:t>
      </w:r>
      <w:r>
        <w:rPr>
          <w:spacing w:val="-17"/>
        </w:rPr>
        <w:t> </w:t>
      </w:r>
      <w:r>
        <w:rPr/>
        <w:t>after</w:t>
      </w:r>
      <w:r>
        <w:rPr>
          <w:spacing w:val="-16"/>
        </w:rPr>
        <w:t> </w:t>
      </w:r>
      <w:r>
        <w:rPr/>
        <w:t>taking ginkgo extract for six to eight</w:t>
      </w:r>
      <w:r>
        <w:rPr>
          <w:spacing w:val="2"/>
        </w:rPr>
        <w:t> </w:t>
      </w:r>
      <w:r>
        <w:rPr/>
        <w:t>weeks.</w:t>
      </w:r>
    </w:p>
    <w:p>
      <w:pPr>
        <w:pStyle w:val="BodyText"/>
        <w:spacing w:line="276" w:lineRule="auto" w:before="289"/>
        <w:ind w:left="477" w:right="131"/>
        <w:jc w:val="both"/>
      </w:pPr>
      <w:r>
        <w:rPr/>
        <w:t>A</w:t>
      </w:r>
      <w:r>
        <w:rPr>
          <w:spacing w:val="-14"/>
        </w:rPr>
        <w:t> </w:t>
      </w:r>
      <w:r>
        <w:rPr/>
        <w:t>monograph</w:t>
      </w:r>
      <w:r>
        <w:rPr>
          <w:spacing w:val="-12"/>
        </w:rPr>
        <w:t> </w:t>
      </w:r>
      <w:r>
        <w:rPr/>
        <w:t>on</w:t>
      </w:r>
      <w:r>
        <w:rPr>
          <w:spacing w:val="-13"/>
        </w:rPr>
        <w:t> </w:t>
      </w:r>
      <w:r>
        <w:rPr/>
        <w:t>the</w:t>
      </w:r>
      <w:r>
        <w:rPr>
          <w:spacing w:val="-11"/>
        </w:rPr>
        <w:t> </w:t>
      </w:r>
      <w:r>
        <w:rPr/>
        <w:t>‘dry</w:t>
      </w:r>
      <w:r>
        <w:rPr>
          <w:spacing w:val="-14"/>
        </w:rPr>
        <w:t> </w:t>
      </w:r>
      <w:r>
        <w:rPr/>
        <w:t>extract</w:t>
      </w:r>
      <w:r>
        <w:rPr>
          <w:spacing w:val="-14"/>
        </w:rPr>
        <w:t> </w:t>
      </w:r>
      <w:r>
        <w:rPr/>
        <w:t>of</w:t>
      </w:r>
      <w:r>
        <w:rPr>
          <w:spacing w:val="-13"/>
        </w:rPr>
        <w:t> </w:t>
      </w:r>
      <w:r>
        <w:rPr/>
        <w:t>ginkgo</w:t>
      </w:r>
      <w:r>
        <w:rPr>
          <w:spacing w:val="-13"/>
        </w:rPr>
        <w:t> </w:t>
      </w:r>
      <w:r>
        <w:rPr/>
        <w:t>biloba</w:t>
      </w:r>
      <w:r>
        <w:rPr>
          <w:spacing w:val="-14"/>
        </w:rPr>
        <w:t> </w:t>
      </w:r>
      <w:r>
        <w:rPr/>
        <w:t>leaves’</w:t>
      </w:r>
      <w:r>
        <w:rPr>
          <w:spacing w:val="-12"/>
        </w:rPr>
        <w:t> </w:t>
      </w:r>
      <w:r>
        <w:rPr/>
        <w:t>published</w:t>
      </w:r>
      <w:r>
        <w:rPr>
          <w:spacing w:val="-13"/>
        </w:rPr>
        <w:t> </w:t>
      </w:r>
      <w:r>
        <w:rPr/>
        <w:t>by</w:t>
      </w:r>
      <w:r>
        <w:rPr>
          <w:spacing w:val="-13"/>
        </w:rPr>
        <w:t> </w:t>
      </w:r>
      <w:r>
        <w:rPr/>
        <w:t>the</w:t>
      </w:r>
      <w:r>
        <w:rPr>
          <w:spacing w:val="-13"/>
        </w:rPr>
        <w:t> </w:t>
      </w:r>
      <w:r>
        <w:rPr/>
        <w:t>Fed- eral Ministry of Justice,</w:t>
      </w:r>
      <w:r>
        <w:rPr>
          <w:spacing w:val="-1"/>
        </w:rPr>
        <w:t> </w:t>
      </w:r>
      <w:r>
        <w:rPr/>
        <w:t>states:</w:t>
      </w:r>
    </w:p>
    <w:p>
      <w:pPr>
        <w:spacing w:line="276" w:lineRule="auto" w:before="241"/>
        <w:ind w:left="477" w:right="139" w:firstLine="0"/>
        <w:jc w:val="both"/>
        <w:rPr>
          <w:i/>
          <w:sz w:val="38"/>
        </w:rPr>
      </w:pPr>
      <w:r>
        <w:rPr>
          <w:i/>
          <w:sz w:val="38"/>
        </w:rPr>
        <w:t>‘The duration of treatment with ginkgo biloba depends on the severity of the illnesses. Treat- </w:t>
      </w:r>
      <w:r>
        <w:rPr>
          <w:i/>
          <w:sz w:val="38"/>
        </w:rPr>
        <w:t>ment should last at least eight weeks for chronic diseases. The doctor should check after three months of treatment to see if the treatment should continue’.</w:t>
      </w:r>
    </w:p>
    <w:p>
      <w:pPr>
        <w:pStyle w:val="BodyText"/>
        <w:spacing w:before="239"/>
        <w:ind w:left="477"/>
      </w:pPr>
      <w:r>
        <w:rPr/>
        <w:t>It also states:</w:t>
      </w:r>
    </w:p>
    <w:p>
      <w:pPr>
        <w:spacing w:line="276" w:lineRule="auto" w:before="304"/>
        <w:ind w:left="477" w:right="132" w:firstLine="0"/>
        <w:jc w:val="both"/>
        <w:rPr>
          <w:sz w:val="25"/>
        </w:rPr>
      </w:pPr>
      <w:r>
        <w:rPr>
          <w:i/>
          <w:sz w:val="38"/>
        </w:rPr>
        <w:t>‘In</w:t>
      </w:r>
      <w:r>
        <w:rPr>
          <w:i/>
          <w:spacing w:val="-12"/>
          <w:sz w:val="38"/>
        </w:rPr>
        <w:t> </w:t>
      </w:r>
      <w:r>
        <w:rPr>
          <w:i/>
          <w:sz w:val="38"/>
        </w:rPr>
        <w:t>arterial</w:t>
      </w:r>
      <w:r>
        <w:rPr>
          <w:i/>
          <w:spacing w:val="-14"/>
          <w:sz w:val="38"/>
        </w:rPr>
        <w:t> </w:t>
      </w:r>
      <w:r>
        <w:rPr>
          <w:i/>
          <w:sz w:val="38"/>
        </w:rPr>
        <w:t>circulatory</w:t>
      </w:r>
      <w:r>
        <w:rPr>
          <w:i/>
          <w:spacing w:val="-11"/>
          <w:sz w:val="38"/>
        </w:rPr>
        <w:t> </w:t>
      </w:r>
      <w:r>
        <w:rPr>
          <w:i/>
          <w:sz w:val="38"/>
        </w:rPr>
        <w:t>disorders</w:t>
      </w:r>
      <w:r>
        <w:rPr>
          <w:i/>
          <w:spacing w:val="-13"/>
          <w:sz w:val="38"/>
        </w:rPr>
        <w:t> </w:t>
      </w:r>
      <w:r>
        <w:rPr>
          <w:i/>
          <w:sz w:val="38"/>
        </w:rPr>
        <w:t>of</w:t>
      </w:r>
      <w:r>
        <w:rPr>
          <w:i/>
          <w:spacing w:val="-12"/>
          <w:sz w:val="38"/>
        </w:rPr>
        <w:t> </w:t>
      </w:r>
      <w:r>
        <w:rPr>
          <w:i/>
          <w:sz w:val="38"/>
        </w:rPr>
        <w:t>the</w:t>
      </w:r>
      <w:r>
        <w:rPr>
          <w:i/>
          <w:spacing w:val="-16"/>
          <w:sz w:val="38"/>
        </w:rPr>
        <w:t> </w:t>
      </w:r>
      <w:r>
        <w:rPr>
          <w:i/>
          <w:sz w:val="38"/>
        </w:rPr>
        <w:t>legs,</w:t>
      </w:r>
      <w:r>
        <w:rPr>
          <w:i/>
          <w:spacing w:val="-11"/>
          <w:sz w:val="38"/>
        </w:rPr>
        <w:t> </w:t>
      </w:r>
      <w:r>
        <w:rPr>
          <w:i/>
          <w:sz w:val="38"/>
        </w:rPr>
        <w:t>an</w:t>
      </w:r>
      <w:r>
        <w:rPr>
          <w:i/>
          <w:spacing w:val="-11"/>
          <w:sz w:val="38"/>
        </w:rPr>
        <w:t> </w:t>
      </w:r>
      <w:r>
        <w:rPr>
          <w:i/>
          <w:sz w:val="38"/>
        </w:rPr>
        <w:t>improvement</w:t>
      </w:r>
      <w:r>
        <w:rPr>
          <w:i/>
          <w:spacing w:val="-11"/>
          <w:sz w:val="38"/>
        </w:rPr>
        <w:t> </w:t>
      </w:r>
      <w:r>
        <w:rPr>
          <w:i/>
          <w:sz w:val="38"/>
        </w:rPr>
        <w:t>in</w:t>
      </w:r>
      <w:r>
        <w:rPr>
          <w:i/>
          <w:spacing w:val="-14"/>
          <w:sz w:val="38"/>
        </w:rPr>
        <w:t> </w:t>
      </w:r>
      <w:r>
        <w:rPr>
          <w:i/>
          <w:sz w:val="38"/>
        </w:rPr>
        <w:t>walking</w:t>
      </w:r>
      <w:r>
        <w:rPr>
          <w:i/>
          <w:spacing w:val="-11"/>
          <w:sz w:val="38"/>
        </w:rPr>
        <w:t> </w:t>
      </w:r>
      <w:r>
        <w:rPr>
          <w:i/>
          <w:sz w:val="38"/>
        </w:rPr>
        <w:t>performance</w:t>
      </w:r>
      <w:r>
        <w:rPr>
          <w:i/>
          <w:spacing w:val="-12"/>
          <w:sz w:val="38"/>
        </w:rPr>
        <w:t> </w:t>
      </w:r>
      <w:r>
        <w:rPr>
          <w:i/>
          <w:sz w:val="38"/>
        </w:rPr>
        <w:t>is</w:t>
      </w:r>
      <w:r>
        <w:rPr>
          <w:i/>
          <w:spacing w:val="-14"/>
          <w:sz w:val="38"/>
        </w:rPr>
        <w:t> </w:t>
      </w:r>
      <w:r>
        <w:rPr>
          <w:i/>
          <w:sz w:val="38"/>
        </w:rPr>
        <w:t>usually </w:t>
      </w:r>
      <w:r>
        <w:rPr>
          <w:i/>
          <w:sz w:val="38"/>
        </w:rPr>
        <w:t>achieved</w:t>
      </w:r>
      <w:r>
        <w:rPr>
          <w:i/>
          <w:spacing w:val="-14"/>
          <w:sz w:val="38"/>
        </w:rPr>
        <w:t> </w:t>
      </w:r>
      <w:r>
        <w:rPr>
          <w:i/>
          <w:sz w:val="38"/>
        </w:rPr>
        <w:t>only</w:t>
      </w:r>
      <w:r>
        <w:rPr>
          <w:i/>
          <w:spacing w:val="-11"/>
          <w:sz w:val="38"/>
        </w:rPr>
        <w:t> </w:t>
      </w:r>
      <w:r>
        <w:rPr>
          <w:i/>
          <w:sz w:val="38"/>
        </w:rPr>
        <w:t>with</w:t>
      </w:r>
      <w:r>
        <w:rPr>
          <w:i/>
          <w:spacing w:val="-16"/>
          <w:sz w:val="38"/>
        </w:rPr>
        <w:t> </w:t>
      </w:r>
      <w:r>
        <w:rPr>
          <w:i/>
          <w:sz w:val="38"/>
        </w:rPr>
        <w:t>a</w:t>
      </w:r>
      <w:r>
        <w:rPr>
          <w:i/>
          <w:spacing w:val="-14"/>
          <w:sz w:val="38"/>
        </w:rPr>
        <w:t> </w:t>
      </w:r>
      <w:r>
        <w:rPr>
          <w:i/>
          <w:sz w:val="38"/>
        </w:rPr>
        <w:t>treatment</w:t>
      </w:r>
      <w:r>
        <w:rPr>
          <w:i/>
          <w:spacing w:val="-13"/>
          <w:sz w:val="38"/>
        </w:rPr>
        <w:t> </w:t>
      </w:r>
      <w:r>
        <w:rPr>
          <w:i/>
          <w:sz w:val="38"/>
        </w:rPr>
        <w:t>duration</w:t>
      </w:r>
      <w:r>
        <w:rPr>
          <w:i/>
          <w:spacing w:val="-12"/>
          <w:sz w:val="38"/>
        </w:rPr>
        <w:t> </w:t>
      </w:r>
      <w:r>
        <w:rPr>
          <w:i/>
          <w:sz w:val="38"/>
        </w:rPr>
        <w:t>of</w:t>
      </w:r>
      <w:r>
        <w:rPr>
          <w:i/>
          <w:spacing w:val="-14"/>
          <w:sz w:val="38"/>
        </w:rPr>
        <w:t> </w:t>
      </w:r>
      <w:r>
        <w:rPr>
          <w:i/>
          <w:sz w:val="38"/>
        </w:rPr>
        <w:t>at</w:t>
      </w:r>
      <w:r>
        <w:rPr>
          <w:i/>
          <w:spacing w:val="-11"/>
          <w:sz w:val="38"/>
        </w:rPr>
        <w:t> </w:t>
      </w:r>
      <w:r>
        <w:rPr>
          <w:i/>
          <w:sz w:val="38"/>
        </w:rPr>
        <w:t>least</w:t>
      </w:r>
      <w:r>
        <w:rPr>
          <w:i/>
          <w:spacing w:val="-14"/>
          <w:sz w:val="38"/>
        </w:rPr>
        <w:t> </w:t>
      </w:r>
      <w:r>
        <w:rPr>
          <w:i/>
          <w:sz w:val="38"/>
        </w:rPr>
        <w:t>six</w:t>
      </w:r>
      <w:r>
        <w:rPr>
          <w:i/>
          <w:spacing w:val="-12"/>
          <w:sz w:val="38"/>
        </w:rPr>
        <w:t> </w:t>
      </w:r>
      <w:r>
        <w:rPr>
          <w:i/>
          <w:sz w:val="38"/>
        </w:rPr>
        <w:t>weeks.</w:t>
      </w:r>
      <w:r>
        <w:rPr>
          <w:i/>
          <w:spacing w:val="-12"/>
          <w:sz w:val="38"/>
        </w:rPr>
        <w:t> </w:t>
      </w:r>
      <w:r>
        <w:rPr>
          <w:i/>
          <w:sz w:val="38"/>
        </w:rPr>
        <w:t>With</w:t>
      </w:r>
      <w:r>
        <w:rPr>
          <w:i/>
          <w:spacing w:val="-12"/>
          <w:sz w:val="38"/>
        </w:rPr>
        <w:t> </w:t>
      </w:r>
      <w:r>
        <w:rPr>
          <w:i/>
          <w:sz w:val="38"/>
        </w:rPr>
        <w:t>dizziness</w:t>
      </w:r>
      <w:r>
        <w:rPr>
          <w:i/>
          <w:spacing w:val="-6"/>
          <w:sz w:val="38"/>
        </w:rPr>
        <w:t> </w:t>
      </w:r>
      <w:r>
        <w:rPr>
          <w:i/>
          <w:sz w:val="38"/>
        </w:rPr>
        <w:t>and</w:t>
      </w:r>
      <w:r>
        <w:rPr>
          <w:i/>
          <w:spacing w:val="-12"/>
          <w:sz w:val="38"/>
        </w:rPr>
        <w:t> </w:t>
      </w:r>
      <w:r>
        <w:rPr>
          <w:i/>
          <w:sz w:val="38"/>
        </w:rPr>
        <w:t>ear</w:t>
      </w:r>
      <w:r>
        <w:rPr>
          <w:i/>
          <w:spacing w:val="-13"/>
          <w:sz w:val="38"/>
        </w:rPr>
        <w:t> </w:t>
      </w:r>
      <w:r>
        <w:rPr>
          <w:i/>
          <w:sz w:val="38"/>
        </w:rPr>
        <w:t>ringing, caused by age or lack of circulation, treatment lasting more than six to eight weeks does not seem to provide any further therapeutic</w:t>
      </w:r>
      <w:r>
        <w:rPr>
          <w:i/>
          <w:spacing w:val="-2"/>
          <w:sz w:val="38"/>
        </w:rPr>
        <w:t> </w:t>
      </w:r>
      <w:r>
        <w:rPr>
          <w:i/>
          <w:sz w:val="38"/>
        </w:rPr>
        <w:t>benefits’.</w:t>
      </w:r>
      <w:r>
        <w:rPr>
          <w:position w:val="9"/>
          <w:sz w:val="25"/>
        </w:rPr>
        <w:t>325</w:t>
      </w:r>
    </w:p>
    <w:p>
      <w:pPr>
        <w:pStyle w:val="BodyText"/>
        <w:spacing w:before="7"/>
        <w:rPr>
          <w:sz w:val="42"/>
        </w:rPr>
      </w:pPr>
    </w:p>
    <w:p>
      <w:pPr>
        <w:pStyle w:val="Heading2"/>
      </w:pPr>
      <w:r>
        <w:rPr/>
        <w:t>Side effects and interactions of ginkgo</w:t>
      </w:r>
    </w:p>
    <w:p>
      <w:pPr>
        <w:pStyle w:val="BodyText"/>
        <w:spacing w:line="276" w:lineRule="auto" w:before="305"/>
        <w:ind w:left="477" w:right="133"/>
        <w:jc w:val="both"/>
      </w:pPr>
      <w:r>
        <w:rPr/>
        <w:t>Here,</w:t>
      </w:r>
      <w:r>
        <w:rPr>
          <w:spacing w:val="-18"/>
        </w:rPr>
        <w:t> </w:t>
      </w:r>
      <w:r>
        <w:rPr/>
        <w:t>one</w:t>
      </w:r>
      <w:r>
        <w:rPr>
          <w:spacing w:val="-20"/>
        </w:rPr>
        <w:t> </w:t>
      </w:r>
      <w:r>
        <w:rPr/>
        <w:t>must</w:t>
      </w:r>
      <w:r>
        <w:rPr>
          <w:spacing w:val="-22"/>
        </w:rPr>
        <w:t> </w:t>
      </w:r>
      <w:r>
        <w:rPr/>
        <w:t>make</w:t>
      </w:r>
      <w:r>
        <w:rPr>
          <w:spacing w:val="-18"/>
        </w:rPr>
        <w:t> </w:t>
      </w:r>
      <w:r>
        <w:rPr/>
        <w:t>a</w:t>
      </w:r>
      <w:r>
        <w:rPr>
          <w:spacing w:val="-20"/>
        </w:rPr>
        <w:t> </w:t>
      </w:r>
      <w:r>
        <w:rPr/>
        <w:t>clear</w:t>
      </w:r>
      <w:r>
        <w:rPr>
          <w:spacing w:val="-17"/>
        </w:rPr>
        <w:t> </w:t>
      </w:r>
      <w:r>
        <w:rPr/>
        <w:t>distinction</w:t>
      </w:r>
      <w:r>
        <w:rPr>
          <w:spacing w:val="-17"/>
        </w:rPr>
        <w:t> </w:t>
      </w:r>
      <w:r>
        <w:rPr/>
        <w:t>between</w:t>
      </w:r>
      <w:r>
        <w:rPr>
          <w:spacing w:val="-19"/>
        </w:rPr>
        <w:t> </w:t>
      </w:r>
      <w:r>
        <w:rPr/>
        <w:t>the</w:t>
      </w:r>
      <w:r>
        <w:rPr>
          <w:spacing w:val="-17"/>
        </w:rPr>
        <w:t> </w:t>
      </w:r>
      <w:r>
        <w:rPr/>
        <w:t>different</w:t>
      </w:r>
      <w:r>
        <w:rPr>
          <w:spacing w:val="-19"/>
        </w:rPr>
        <w:t> </w:t>
      </w:r>
      <w:r>
        <w:rPr/>
        <w:t>ginkgo</w:t>
      </w:r>
      <w:r>
        <w:rPr>
          <w:spacing w:val="-17"/>
        </w:rPr>
        <w:t> </w:t>
      </w:r>
      <w:r>
        <w:rPr/>
        <w:t>forms</w:t>
      </w:r>
      <w:r>
        <w:rPr>
          <w:spacing w:val="-20"/>
        </w:rPr>
        <w:t> </w:t>
      </w:r>
      <w:r>
        <w:rPr/>
        <w:t>and products.</w:t>
      </w:r>
      <w:r>
        <w:rPr>
          <w:spacing w:val="-12"/>
        </w:rPr>
        <w:t> </w:t>
      </w:r>
      <w:r>
        <w:rPr/>
        <w:t>In</w:t>
      </w:r>
      <w:r>
        <w:rPr>
          <w:spacing w:val="-14"/>
        </w:rPr>
        <w:t> </w:t>
      </w:r>
      <w:r>
        <w:rPr/>
        <w:t>rare</w:t>
      </w:r>
      <w:r>
        <w:rPr>
          <w:spacing w:val="-11"/>
        </w:rPr>
        <w:t> </w:t>
      </w:r>
      <w:r>
        <w:rPr/>
        <w:t>cases,</w:t>
      </w:r>
      <w:r>
        <w:rPr>
          <w:spacing w:val="-9"/>
        </w:rPr>
        <w:t> </w:t>
      </w:r>
      <w:r>
        <w:rPr/>
        <w:t>taking</w:t>
      </w:r>
      <w:r>
        <w:rPr>
          <w:spacing w:val="-11"/>
        </w:rPr>
        <w:t> </w:t>
      </w:r>
      <w:r>
        <w:rPr/>
        <w:t>ginkgo</w:t>
      </w:r>
      <w:r>
        <w:rPr>
          <w:spacing w:val="-11"/>
        </w:rPr>
        <w:t> </w:t>
      </w:r>
      <w:r>
        <w:rPr/>
        <w:t>biloba</w:t>
      </w:r>
      <w:r>
        <w:rPr>
          <w:spacing w:val="-11"/>
        </w:rPr>
        <w:t> </w:t>
      </w:r>
      <w:r>
        <w:rPr/>
        <w:t>may</w:t>
      </w:r>
      <w:r>
        <w:rPr>
          <w:spacing w:val="-15"/>
        </w:rPr>
        <w:t> </w:t>
      </w:r>
      <w:r>
        <w:rPr/>
        <w:t>cause</w:t>
      </w:r>
      <w:r>
        <w:rPr>
          <w:spacing w:val="-12"/>
        </w:rPr>
        <w:t> </w:t>
      </w:r>
      <w:r>
        <w:rPr/>
        <w:t>side</w:t>
      </w:r>
      <w:r>
        <w:rPr>
          <w:spacing w:val="-11"/>
        </w:rPr>
        <w:t> </w:t>
      </w:r>
      <w:r>
        <w:rPr/>
        <w:t>effects,</w:t>
      </w:r>
      <w:r>
        <w:rPr>
          <w:spacing w:val="-10"/>
        </w:rPr>
        <w:t> </w:t>
      </w:r>
      <w:r>
        <w:rPr/>
        <w:t>often</w:t>
      </w:r>
      <w:r>
        <w:rPr>
          <w:spacing w:val="-14"/>
        </w:rPr>
        <w:t> </w:t>
      </w:r>
      <w:r>
        <w:rPr/>
        <w:t>in</w:t>
      </w:r>
      <w:r>
        <w:rPr>
          <w:spacing w:val="-12"/>
        </w:rPr>
        <w:t> </w:t>
      </w:r>
      <w:r>
        <w:rPr/>
        <w:t>the form of allergic reactions (redness, itching). This is usually due to the ginkgolic acid</w:t>
      </w:r>
      <w:r>
        <w:rPr>
          <w:spacing w:val="-10"/>
        </w:rPr>
        <w:t> </w:t>
      </w:r>
      <w:r>
        <w:rPr/>
        <w:t>in</w:t>
      </w:r>
      <w:r>
        <w:rPr>
          <w:spacing w:val="-8"/>
        </w:rPr>
        <w:t> </w:t>
      </w:r>
      <w:r>
        <w:rPr/>
        <w:t>the</w:t>
      </w:r>
      <w:r>
        <w:rPr>
          <w:spacing w:val="-8"/>
        </w:rPr>
        <w:t> </w:t>
      </w:r>
      <w:r>
        <w:rPr/>
        <w:t>seeds,</w:t>
      </w:r>
      <w:r>
        <w:rPr>
          <w:spacing w:val="-7"/>
        </w:rPr>
        <w:t> </w:t>
      </w:r>
      <w:r>
        <w:rPr/>
        <w:t>against</w:t>
      </w:r>
      <w:r>
        <w:rPr>
          <w:spacing w:val="-9"/>
        </w:rPr>
        <w:t> </w:t>
      </w:r>
      <w:r>
        <w:rPr/>
        <w:t>which</w:t>
      </w:r>
      <w:r>
        <w:rPr>
          <w:spacing w:val="-7"/>
        </w:rPr>
        <w:t> </w:t>
      </w:r>
      <w:r>
        <w:rPr/>
        <w:t>people</w:t>
      </w:r>
      <w:r>
        <w:rPr>
          <w:spacing w:val="-8"/>
        </w:rPr>
        <w:t> </w:t>
      </w:r>
      <w:r>
        <w:rPr/>
        <w:t>may</w:t>
      </w:r>
      <w:r>
        <w:rPr>
          <w:spacing w:val="-9"/>
        </w:rPr>
        <w:t> </w:t>
      </w:r>
      <w:r>
        <w:rPr/>
        <w:t>occasionally</w:t>
      </w:r>
      <w:r>
        <w:rPr>
          <w:spacing w:val="-8"/>
        </w:rPr>
        <w:t> </w:t>
      </w:r>
      <w:r>
        <w:rPr/>
        <w:t>have</w:t>
      </w:r>
      <w:r>
        <w:rPr>
          <w:spacing w:val="-9"/>
        </w:rPr>
        <w:t> </w:t>
      </w:r>
      <w:r>
        <w:rPr/>
        <w:t>allergic</w:t>
      </w:r>
      <w:r>
        <w:rPr>
          <w:spacing w:val="-8"/>
        </w:rPr>
        <w:t> </w:t>
      </w:r>
      <w:r>
        <w:rPr/>
        <w:t>reactions.</w:t>
      </w:r>
    </w:p>
    <w:p>
      <w:pPr>
        <w:pStyle w:val="BodyText"/>
        <w:rPr>
          <w:sz w:val="20"/>
        </w:rPr>
      </w:pPr>
    </w:p>
    <w:p>
      <w:pPr>
        <w:pStyle w:val="BodyText"/>
        <w:spacing w:before="5"/>
        <w:rPr>
          <w:sz w:val="14"/>
        </w:rPr>
      </w:pPr>
      <w:r>
        <w:rPr/>
        <w:pict>
          <v:line style="position:absolute;mso-position-horizontal-relative:page;mso-position-vertical-relative:paragraph;z-index:3608;mso-wrap-distance-left:0;mso-wrap-distance-right:0" from="63.863998pt,10.504985pt" to="207.883998pt,10.504985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325 </w:t>
      </w:r>
      <w:r>
        <w:rPr>
          <w:sz w:val="20"/>
        </w:rPr>
        <w:t>Silvia Aulehla: Vorbeugen und heilen mit der Kraft des Ginkgo (‘Prevention and Cure with the Power of Ginkgo’) 1997, p. 22</w:t>
      </w:r>
    </w:p>
    <w:p>
      <w:pPr>
        <w:spacing w:after="0"/>
        <w:jc w:val="left"/>
        <w:rPr>
          <w:sz w:val="20"/>
        </w:rPr>
        <w:sectPr>
          <w:pgSz w:w="14270" w:h="16850"/>
          <w:pgMar w:header="0" w:footer="1891" w:top="1600" w:bottom="2080" w:left="800" w:right="1280"/>
        </w:sectPr>
      </w:pPr>
    </w:p>
    <w:p>
      <w:pPr>
        <w:pStyle w:val="BodyText"/>
        <w:spacing w:line="276" w:lineRule="auto" w:before="181"/>
        <w:ind w:left="477" w:right="137"/>
        <w:jc w:val="both"/>
      </w:pPr>
      <w:r>
        <w:rPr/>
        <w:t>In addition, the gastric mucosa may be irritated, which may cause stomach dis- comfort. In rare cases, intestinal pain and headaches may occur.</w:t>
      </w:r>
    </w:p>
    <w:p>
      <w:pPr>
        <w:pStyle w:val="BodyText"/>
        <w:spacing w:line="276" w:lineRule="auto" w:before="241"/>
        <w:ind w:left="477" w:right="134"/>
        <w:jc w:val="both"/>
      </w:pPr>
      <w:r>
        <w:rPr/>
        <w:t>Excessive consumption of ginkgo seeds should be avoided, since the positive effects can then become negative and can produce neurotoxin-like symptoms, which are due to the antagonist of Vitamin B6 called 4-methoxypyridoxine.</w:t>
      </w:r>
    </w:p>
    <w:p>
      <w:pPr>
        <w:pStyle w:val="BodyText"/>
        <w:spacing w:before="239"/>
        <w:ind w:left="477"/>
        <w:jc w:val="both"/>
      </w:pPr>
      <w:r>
        <w:rPr/>
        <w:t>As a precaution, small children should not consume ginkgo seeds.</w:t>
      </w:r>
    </w:p>
    <w:p>
      <w:pPr>
        <w:pStyle w:val="BodyText"/>
        <w:spacing w:line="276" w:lineRule="auto" w:before="305"/>
        <w:ind w:left="477" w:right="133"/>
        <w:jc w:val="both"/>
        <w:rPr>
          <w:sz w:val="25"/>
        </w:rPr>
      </w:pPr>
      <w:r>
        <w:rPr/>
        <w:t>A</w:t>
      </w:r>
      <w:r>
        <w:rPr>
          <w:spacing w:val="-22"/>
        </w:rPr>
        <w:t> </w:t>
      </w:r>
      <w:r>
        <w:rPr/>
        <w:t>daily</w:t>
      </w:r>
      <w:r>
        <w:rPr>
          <w:spacing w:val="-20"/>
        </w:rPr>
        <w:t> </w:t>
      </w:r>
      <w:r>
        <w:rPr/>
        <w:t>dose</w:t>
      </w:r>
      <w:r>
        <w:rPr>
          <w:spacing w:val="-20"/>
        </w:rPr>
        <w:t> </w:t>
      </w:r>
      <w:r>
        <w:rPr/>
        <w:t>of</w:t>
      </w:r>
      <w:r>
        <w:rPr>
          <w:spacing w:val="-20"/>
        </w:rPr>
        <w:t> </w:t>
      </w:r>
      <w:r>
        <w:rPr/>
        <w:t>20-30</w:t>
      </w:r>
      <w:r>
        <w:rPr>
          <w:spacing w:val="-21"/>
        </w:rPr>
        <w:t> </w:t>
      </w:r>
      <w:r>
        <w:rPr/>
        <w:t>ginkgo</w:t>
      </w:r>
      <w:r>
        <w:rPr>
          <w:spacing w:val="-20"/>
        </w:rPr>
        <w:t> </w:t>
      </w:r>
      <w:r>
        <w:rPr/>
        <w:t>nuts</w:t>
      </w:r>
      <w:r>
        <w:rPr>
          <w:spacing w:val="-19"/>
        </w:rPr>
        <w:t> </w:t>
      </w:r>
      <w:r>
        <w:rPr/>
        <w:t>(seeds)</w:t>
      </w:r>
      <w:r>
        <w:rPr>
          <w:spacing w:val="-21"/>
        </w:rPr>
        <w:t> </w:t>
      </w:r>
      <w:r>
        <w:rPr/>
        <w:t>should</w:t>
      </w:r>
      <w:r>
        <w:rPr>
          <w:spacing w:val="-21"/>
        </w:rPr>
        <w:t> </w:t>
      </w:r>
      <w:r>
        <w:rPr/>
        <w:t>not</w:t>
      </w:r>
      <w:r>
        <w:rPr>
          <w:spacing w:val="-21"/>
        </w:rPr>
        <w:t> </w:t>
      </w:r>
      <w:r>
        <w:rPr/>
        <w:t>be</w:t>
      </w:r>
      <w:r>
        <w:rPr>
          <w:spacing w:val="-20"/>
        </w:rPr>
        <w:t> </w:t>
      </w:r>
      <w:r>
        <w:rPr/>
        <w:t>exceeded,</w:t>
      </w:r>
      <w:r>
        <w:rPr>
          <w:spacing w:val="-20"/>
        </w:rPr>
        <w:t> </w:t>
      </w:r>
      <w:r>
        <w:rPr/>
        <w:t>while</w:t>
      </w:r>
      <w:r>
        <w:rPr>
          <w:spacing w:val="-21"/>
        </w:rPr>
        <w:t> </w:t>
      </w:r>
      <w:r>
        <w:rPr/>
        <w:t>extracts and preparations of ginkgo leaves are considered low risk. For example, their frequency of side effects is estimated to be below 1 %, which is well below the side effects of most</w:t>
      </w:r>
      <w:r>
        <w:rPr>
          <w:spacing w:val="3"/>
        </w:rPr>
        <w:t> </w:t>
      </w:r>
      <w:r>
        <w:rPr/>
        <w:t>medications!</w:t>
      </w:r>
      <w:r>
        <w:rPr>
          <w:position w:val="9"/>
          <w:sz w:val="25"/>
        </w:rPr>
        <w:t>326</w:t>
      </w:r>
    </w:p>
    <w:p>
      <w:pPr>
        <w:pStyle w:val="BodyText"/>
        <w:spacing w:line="276" w:lineRule="auto" w:before="241"/>
        <w:ind w:left="477" w:right="135"/>
        <w:jc w:val="both"/>
        <w:rPr>
          <w:sz w:val="25"/>
        </w:rPr>
      </w:pPr>
      <w:r>
        <w:rPr/>
        <w:t>In a monograph on the ‘dry extract of ginkgo biloba leaves’, published by the Federal Ministry of Justice, the following statement is made about one of the possible side effects of ginkgo biloba:</w:t>
      </w:r>
      <w:r>
        <w:rPr>
          <w:position w:val="9"/>
          <w:sz w:val="25"/>
        </w:rPr>
        <w:t>327</w:t>
      </w:r>
    </w:p>
    <w:p>
      <w:pPr>
        <w:spacing w:line="276" w:lineRule="auto" w:before="240"/>
        <w:ind w:left="477" w:right="131" w:firstLine="0"/>
        <w:jc w:val="both"/>
        <w:rPr>
          <w:i/>
          <w:sz w:val="38"/>
        </w:rPr>
      </w:pPr>
      <w:r>
        <w:rPr>
          <w:i/>
          <w:sz w:val="38"/>
        </w:rPr>
        <w:t>‘Side effects from the use of ginkgo extracts are very rare. Taking high-dose preparations can </w:t>
      </w:r>
      <w:r>
        <w:rPr>
          <w:i/>
          <w:sz w:val="38"/>
        </w:rPr>
        <w:t>sometimes</w:t>
      </w:r>
      <w:r>
        <w:rPr>
          <w:i/>
          <w:spacing w:val="-17"/>
          <w:sz w:val="38"/>
        </w:rPr>
        <w:t> </w:t>
      </w:r>
      <w:r>
        <w:rPr>
          <w:i/>
          <w:sz w:val="38"/>
        </w:rPr>
        <w:t>cause</w:t>
      </w:r>
      <w:r>
        <w:rPr>
          <w:i/>
          <w:spacing w:val="-16"/>
          <w:sz w:val="38"/>
        </w:rPr>
        <w:t> </w:t>
      </w:r>
      <w:r>
        <w:rPr>
          <w:i/>
          <w:sz w:val="38"/>
        </w:rPr>
        <w:t>mild</w:t>
      </w:r>
      <w:r>
        <w:rPr>
          <w:i/>
          <w:spacing w:val="-16"/>
          <w:sz w:val="38"/>
        </w:rPr>
        <w:t> </w:t>
      </w:r>
      <w:r>
        <w:rPr>
          <w:i/>
          <w:sz w:val="38"/>
        </w:rPr>
        <w:t>gastrointestinal</w:t>
      </w:r>
      <w:r>
        <w:rPr>
          <w:i/>
          <w:spacing w:val="-15"/>
          <w:sz w:val="38"/>
        </w:rPr>
        <w:t> </w:t>
      </w:r>
      <w:r>
        <w:rPr>
          <w:i/>
          <w:sz w:val="38"/>
        </w:rPr>
        <w:t>complaints,</w:t>
      </w:r>
      <w:r>
        <w:rPr>
          <w:i/>
          <w:spacing w:val="-16"/>
          <w:sz w:val="38"/>
        </w:rPr>
        <w:t> </w:t>
      </w:r>
      <w:r>
        <w:rPr>
          <w:i/>
          <w:sz w:val="38"/>
        </w:rPr>
        <w:t>headache</w:t>
      </w:r>
      <w:r>
        <w:rPr>
          <w:i/>
          <w:spacing w:val="-14"/>
          <w:sz w:val="38"/>
        </w:rPr>
        <w:t> </w:t>
      </w:r>
      <w:r>
        <w:rPr>
          <w:i/>
          <w:sz w:val="38"/>
        </w:rPr>
        <w:t>or</w:t>
      </w:r>
      <w:r>
        <w:rPr>
          <w:i/>
          <w:spacing w:val="-16"/>
          <w:sz w:val="38"/>
        </w:rPr>
        <w:t> </w:t>
      </w:r>
      <w:r>
        <w:rPr>
          <w:i/>
          <w:sz w:val="38"/>
        </w:rPr>
        <w:t>allergic</w:t>
      </w:r>
      <w:r>
        <w:rPr>
          <w:i/>
          <w:spacing w:val="-15"/>
          <w:sz w:val="38"/>
        </w:rPr>
        <w:t> </w:t>
      </w:r>
      <w:r>
        <w:rPr>
          <w:i/>
          <w:sz w:val="38"/>
        </w:rPr>
        <w:t>skin</w:t>
      </w:r>
      <w:r>
        <w:rPr>
          <w:i/>
          <w:spacing w:val="-16"/>
          <w:sz w:val="38"/>
        </w:rPr>
        <w:t> </w:t>
      </w:r>
      <w:r>
        <w:rPr>
          <w:i/>
          <w:sz w:val="38"/>
        </w:rPr>
        <w:t>symptoms.</w:t>
      </w:r>
      <w:r>
        <w:rPr>
          <w:i/>
          <w:spacing w:val="-15"/>
          <w:sz w:val="38"/>
        </w:rPr>
        <w:t> </w:t>
      </w:r>
      <w:r>
        <w:rPr>
          <w:i/>
          <w:sz w:val="38"/>
        </w:rPr>
        <w:t>Isolated infusion of venous wall irritation has been observed, especially if the cannula is not properly located</w:t>
      </w:r>
      <w:r>
        <w:rPr>
          <w:i/>
          <w:spacing w:val="-23"/>
          <w:sz w:val="38"/>
        </w:rPr>
        <w:t> </w:t>
      </w:r>
      <w:r>
        <w:rPr>
          <w:i/>
          <w:sz w:val="38"/>
        </w:rPr>
        <w:t>in</w:t>
      </w:r>
      <w:r>
        <w:rPr>
          <w:i/>
          <w:spacing w:val="-23"/>
          <w:sz w:val="38"/>
        </w:rPr>
        <w:t> </w:t>
      </w:r>
      <w:r>
        <w:rPr>
          <w:i/>
          <w:sz w:val="38"/>
        </w:rPr>
        <w:t>the</w:t>
      </w:r>
      <w:r>
        <w:rPr>
          <w:i/>
          <w:spacing w:val="-23"/>
          <w:sz w:val="38"/>
        </w:rPr>
        <w:t> </w:t>
      </w:r>
      <w:r>
        <w:rPr>
          <w:i/>
          <w:sz w:val="38"/>
        </w:rPr>
        <w:t>vein.</w:t>
      </w:r>
      <w:r>
        <w:rPr>
          <w:i/>
          <w:spacing w:val="-22"/>
          <w:sz w:val="38"/>
        </w:rPr>
        <w:t> </w:t>
      </w:r>
      <w:r>
        <w:rPr>
          <w:i/>
          <w:sz w:val="38"/>
        </w:rPr>
        <w:t>In</w:t>
      </w:r>
      <w:r>
        <w:rPr>
          <w:i/>
          <w:spacing w:val="-22"/>
          <w:sz w:val="38"/>
        </w:rPr>
        <w:t> </w:t>
      </w:r>
      <w:r>
        <w:rPr>
          <w:i/>
          <w:sz w:val="38"/>
        </w:rPr>
        <w:t>case</w:t>
      </w:r>
      <w:r>
        <w:rPr>
          <w:i/>
          <w:spacing w:val="-22"/>
          <w:sz w:val="38"/>
        </w:rPr>
        <w:t> </w:t>
      </w:r>
      <w:r>
        <w:rPr>
          <w:i/>
          <w:sz w:val="38"/>
        </w:rPr>
        <w:t>of</w:t>
      </w:r>
      <w:r>
        <w:rPr>
          <w:i/>
          <w:spacing w:val="-24"/>
          <w:sz w:val="38"/>
        </w:rPr>
        <w:t> </w:t>
      </w:r>
      <w:r>
        <w:rPr>
          <w:i/>
          <w:sz w:val="38"/>
        </w:rPr>
        <w:t>hypersensitivity</w:t>
      </w:r>
      <w:r>
        <w:rPr>
          <w:i/>
          <w:spacing w:val="-20"/>
          <w:sz w:val="38"/>
        </w:rPr>
        <w:t> </w:t>
      </w:r>
      <w:r>
        <w:rPr>
          <w:i/>
          <w:sz w:val="38"/>
        </w:rPr>
        <w:t>to</w:t>
      </w:r>
      <w:r>
        <w:rPr>
          <w:i/>
          <w:spacing w:val="-23"/>
          <w:sz w:val="38"/>
        </w:rPr>
        <w:t> </w:t>
      </w:r>
      <w:r>
        <w:rPr>
          <w:i/>
          <w:sz w:val="38"/>
        </w:rPr>
        <w:t>ginkgo</w:t>
      </w:r>
      <w:r>
        <w:rPr>
          <w:i/>
          <w:spacing w:val="-21"/>
          <w:sz w:val="38"/>
        </w:rPr>
        <w:t> </w:t>
      </w:r>
      <w:r>
        <w:rPr>
          <w:i/>
          <w:sz w:val="38"/>
        </w:rPr>
        <w:t>biloba</w:t>
      </w:r>
      <w:r>
        <w:rPr>
          <w:i/>
          <w:spacing w:val="-23"/>
          <w:sz w:val="38"/>
        </w:rPr>
        <w:t> </w:t>
      </w:r>
      <w:r>
        <w:rPr>
          <w:i/>
          <w:sz w:val="38"/>
        </w:rPr>
        <w:t>extracts,</w:t>
      </w:r>
      <w:r>
        <w:rPr>
          <w:i/>
          <w:spacing w:val="-23"/>
          <w:sz w:val="38"/>
        </w:rPr>
        <w:t> </w:t>
      </w:r>
      <w:r>
        <w:rPr>
          <w:i/>
          <w:sz w:val="38"/>
        </w:rPr>
        <w:t>the</w:t>
      </w:r>
      <w:r>
        <w:rPr>
          <w:i/>
          <w:spacing w:val="-23"/>
          <w:sz w:val="38"/>
        </w:rPr>
        <w:t> </w:t>
      </w:r>
      <w:r>
        <w:rPr>
          <w:i/>
          <w:sz w:val="38"/>
        </w:rPr>
        <w:t>doctor</w:t>
      </w:r>
      <w:r>
        <w:rPr>
          <w:i/>
          <w:spacing w:val="-21"/>
          <w:sz w:val="38"/>
        </w:rPr>
        <w:t> </w:t>
      </w:r>
      <w:r>
        <w:rPr>
          <w:i/>
          <w:sz w:val="38"/>
        </w:rPr>
        <w:t>must</w:t>
      </w:r>
      <w:r>
        <w:rPr>
          <w:i/>
          <w:spacing w:val="-24"/>
          <w:sz w:val="38"/>
        </w:rPr>
        <w:t> </w:t>
      </w:r>
      <w:r>
        <w:rPr>
          <w:i/>
          <w:sz w:val="38"/>
        </w:rPr>
        <w:t>consider whether they need to be</w:t>
      </w:r>
      <w:r>
        <w:rPr>
          <w:i/>
          <w:spacing w:val="-3"/>
          <w:sz w:val="38"/>
        </w:rPr>
        <w:t> </w:t>
      </w:r>
      <w:r>
        <w:rPr>
          <w:i/>
          <w:sz w:val="38"/>
        </w:rPr>
        <w:t>discontinued.’</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2"/>
        <w:rPr>
          <w:i/>
          <w:sz w:val="29"/>
        </w:rPr>
      </w:pPr>
      <w:r>
        <w:rPr/>
        <w:pict>
          <v:line style="position:absolute;mso-position-horizontal-relative:page;mso-position-vertical-relative:paragraph;z-index:3632;mso-wrap-distance-left:0;mso-wrap-distance-right:0" from="63.863998pt,18.773766pt" to="207.883998pt,18.773766pt" stroked="true" strokeweight=".71997pt" strokecolor="#000000">
            <v:stroke dashstyle="solid"/>
            <w10:wrap type="topAndBottom"/>
          </v:line>
        </w:pict>
      </w:r>
    </w:p>
    <w:p>
      <w:pPr>
        <w:pStyle w:val="BodyText"/>
        <w:spacing w:before="7"/>
        <w:rPr>
          <w:i/>
          <w:sz w:val="18"/>
        </w:rPr>
      </w:pPr>
    </w:p>
    <w:p>
      <w:pPr>
        <w:spacing w:line="276" w:lineRule="auto" w:before="99"/>
        <w:ind w:left="477" w:right="244" w:firstLine="0"/>
        <w:jc w:val="left"/>
        <w:rPr>
          <w:sz w:val="20"/>
        </w:rPr>
      </w:pPr>
      <w:r>
        <w:rPr>
          <w:position w:val="5"/>
          <w:sz w:val="13"/>
        </w:rPr>
        <w:t>326 </w:t>
      </w:r>
      <w:r>
        <w:rPr>
          <w:sz w:val="20"/>
        </w:rPr>
        <w:t>Dr. Jörg Zittlau: Heilmittel Ginkgo – alles über die positive Wirkung auf Körper, Geist und Seele (‘Remedy Ginkgo – Everything about the Posi- tive Effect on Body, Mind and Soul’) 2006, p. 28</w:t>
      </w:r>
    </w:p>
    <w:p>
      <w:pPr>
        <w:spacing w:before="61"/>
        <w:ind w:left="477" w:right="0" w:firstLine="0"/>
        <w:jc w:val="left"/>
        <w:rPr>
          <w:sz w:val="20"/>
        </w:rPr>
      </w:pPr>
      <w:r>
        <w:rPr/>
        <w:drawing>
          <wp:anchor distT="0" distB="0" distL="0" distR="0" allowOverlap="1" layoutInCell="1" locked="0" behindDoc="1" simplePos="0" relativeHeight="267171431">
            <wp:simplePos x="0" y="0"/>
            <wp:positionH relativeFrom="page">
              <wp:posOffset>896463</wp:posOffset>
            </wp:positionH>
            <wp:positionV relativeFrom="paragraph">
              <wp:posOffset>121007</wp:posOffset>
            </wp:positionV>
            <wp:extent cx="6379583" cy="902106"/>
            <wp:effectExtent l="0" t="0" r="0" b="0"/>
            <wp:wrapNone/>
            <wp:docPr id="183" name="image2.jpeg" descr=""/>
            <wp:cNvGraphicFramePr>
              <a:graphicFrameLocks noChangeAspect="1"/>
            </wp:cNvGraphicFramePr>
            <a:graphic>
              <a:graphicData uri="http://schemas.openxmlformats.org/drawingml/2006/picture">
                <pic:pic>
                  <pic:nvPicPr>
                    <pic:cNvPr id="184"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327 </w:t>
      </w:r>
      <w:r>
        <w:rPr>
          <w:sz w:val="20"/>
        </w:rPr>
        <w:t>Silvia Aulehla: Vorbeugen und heilen mit der Kraft des Ginkgo (‘Prevention and Cure with the Power of Ginkgo’) 1997, p. 22</w:t>
      </w:r>
    </w:p>
    <w:p>
      <w:pPr>
        <w:spacing w:after="0"/>
        <w:jc w:val="left"/>
        <w:rPr>
          <w:sz w:val="20"/>
        </w:rPr>
        <w:sectPr>
          <w:footerReference w:type="default" r:id="rId119"/>
          <w:pgSz w:w="14270" w:h="16850"/>
          <w:pgMar w:footer="527" w:header="0" w:top="1600" w:bottom="720" w:left="800" w:right="1280"/>
        </w:sectPr>
      </w:pPr>
    </w:p>
    <w:p>
      <w:pPr>
        <w:pStyle w:val="Heading2"/>
        <w:spacing w:before="181"/>
      </w:pPr>
      <w:r>
        <w:rPr/>
        <w:t>Interactions with drugs</w:t>
      </w:r>
    </w:p>
    <w:p>
      <w:pPr>
        <w:pStyle w:val="BodyText"/>
        <w:spacing w:line="276" w:lineRule="auto" w:before="305"/>
        <w:ind w:left="477" w:right="135"/>
        <w:jc w:val="both"/>
      </w:pPr>
      <w:r>
        <w:rPr/>
        <w:t>When taking coagulants, you may need to refrain from ginkgo, likewise after surgery,</w:t>
      </w:r>
      <w:r>
        <w:rPr>
          <w:spacing w:val="-6"/>
        </w:rPr>
        <w:t> </w:t>
      </w:r>
      <w:r>
        <w:rPr/>
        <w:t>so</w:t>
      </w:r>
      <w:r>
        <w:rPr>
          <w:spacing w:val="-8"/>
        </w:rPr>
        <w:t> </w:t>
      </w:r>
      <w:r>
        <w:rPr/>
        <w:t>as</w:t>
      </w:r>
      <w:r>
        <w:rPr>
          <w:spacing w:val="-6"/>
        </w:rPr>
        <w:t> </w:t>
      </w:r>
      <w:r>
        <w:rPr/>
        <w:t>not</w:t>
      </w:r>
      <w:r>
        <w:rPr>
          <w:spacing w:val="-7"/>
        </w:rPr>
        <w:t> </w:t>
      </w:r>
      <w:r>
        <w:rPr/>
        <w:t>to</w:t>
      </w:r>
      <w:r>
        <w:rPr>
          <w:spacing w:val="-6"/>
        </w:rPr>
        <w:t> </w:t>
      </w:r>
      <w:r>
        <w:rPr/>
        <w:t>hinder</w:t>
      </w:r>
      <w:r>
        <w:rPr>
          <w:spacing w:val="-5"/>
        </w:rPr>
        <w:t> </w:t>
      </w:r>
      <w:r>
        <w:rPr/>
        <w:t>the</w:t>
      </w:r>
      <w:r>
        <w:rPr>
          <w:spacing w:val="-8"/>
        </w:rPr>
        <w:t> </w:t>
      </w:r>
      <w:r>
        <w:rPr/>
        <w:t>desired</w:t>
      </w:r>
      <w:r>
        <w:rPr>
          <w:spacing w:val="-6"/>
        </w:rPr>
        <w:t> </w:t>
      </w:r>
      <w:r>
        <w:rPr/>
        <w:t>blood</w:t>
      </w:r>
      <w:r>
        <w:rPr>
          <w:spacing w:val="-7"/>
        </w:rPr>
        <w:t> </w:t>
      </w:r>
      <w:r>
        <w:rPr/>
        <w:t>coagulation.</w:t>
      </w:r>
      <w:r>
        <w:rPr>
          <w:spacing w:val="-6"/>
        </w:rPr>
        <w:t> </w:t>
      </w:r>
      <w:r>
        <w:rPr/>
        <w:t>This</w:t>
      </w:r>
      <w:r>
        <w:rPr>
          <w:spacing w:val="-5"/>
        </w:rPr>
        <w:t> </w:t>
      </w:r>
      <w:r>
        <w:rPr/>
        <w:t>is</w:t>
      </w:r>
      <w:r>
        <w:rPr>
          <w:spacing w:val="-7"/>
        </w:rPr>
        <w:t> </w:t>
      </w:r>
      <w:r>
        <w:rPr/>
        <w:t>related</w:t>
      </w:r>
      <w:r>
        <w:rPr>
          <w:spacing w:val="-8"/>
        </w:rPr>
        <w:t> </w:t>
      </w:r>
      <w:r>
        <w:rPr/>
        <w:t>to</w:t>
      </w:r>
      <w:r>
        <w:rPr>
          <w:spacing w:val="-5"/>
        </w:rPr>
        <w:t> </w:t>
      </w:r>
      <w:r>
        <w:rPr/>
        <w:t>the inhibition of PAF and its tendency to dilute the</w:t>
      </w:r>
      <w:r>
        <w:rPr>
          <w:spacing w:val="1"/>
        </w:rPr>
        <w:t> </w:t>
      </w:r>
      <w:r>
        <w:rPr/>
        <w:t>blood.</w:t>
      </w:r>
    </w:p>
    <w:p>
      <w:pPr>
        <w:pStyle w:val="BodyText"/>
        <w:rPr>
          <w:sz w:val="42"/>
        </w:rPr>
      </w:pPr>
    </w:p>
    <w:p>
      <w:pPr>
        <w:pStyle w:val="BodyText"/>
        <w:rPr>
          <w:sz w:val="42"/>
        </w:rPr>
      </w:pPr>
    </w:p>
    <w:p>
      <w:pPr>
        <w:spacing w:before="258"/>
        <w:ind w:left="477" w:right="0" w:firstLine="0"/>
        <w:jc w:val="left"/>
        <w:rPr>
          <w:rFonts w:ascii="Cambria"/>
          <w:b/>
          <w:sz w:val="28"/>
        </w:rPr>
      </w:pPr>
      <w:r>
        <w:rPr>
          <w:rFonts w:ascii="Cambria"/>
          <w:b/>
          <w:color w:val="365F91"/>
          <w:sz w:val="28"/>
        </w:rPr>
        <w:t>GLUCOSAMINE &amp; CHONDROITIN</w:t>
      </w:r>
    </w:p>
    <w:p>
      <w:pPr>
        <w:pStyle w:val="BodyText"/>
        <w:spacing w:before="5"/>
        <w:rPr>
          <w:rFonts w:ascii="Cambria"/>
          <w:b/>
          <w:sz w:val="47"/>
        </w:rPr>
      </w:pPr>
    </w:p>
    <w:p>
      <w:pPr>
        <w:spacing w:before="0"/>
        <w:ind w:left="477" w:right="0" w:firstLine="0"/>
        <w:jc w:val="left"/>
        <w:rPr>
          <w:i/>
          <w:sz w:val="38"/>
        </w:rPr>
      </w:pPr>
      <w:r>
        <w:rPr>
          <w:i/>
          <w:sz w:val="38"/>
        </w:rPr>
        <w:t>‘Mrs Meier, it is age-related wear – you have to accept it, because we cannot do anything’.</w:t>
      </w:r>
    </w:p>
    <w:p>
      <w:pPr>
        <w:pStyle w:val="BodyText"/>
        <w:spacing w:before="64"/>
        <w:ind w:left="477"/>
      </w:pPr>
      <w:r>
        <w:rPr/>
        <w:t>Have you heard this sentence before?</w:t>
      </w:r>
    </w:p>
    <w:p>
      <w:pPr>
        <w:pStyle w:val="BodyText"/>
        <w:spacing w:line="276" w:lineRule="auto" w:before="305"/>
        <w:ind w:left="477" w:right="133"/>
        <w:jc w:val="both"/>
      </w:pPr>
      <w:r>
        <w:rPr/>
        <w:t>Contrary to what orthodox medicine would have us believe, cartilage, bones, tendons and ligaments, as well as connective tissue, are living matter and</w:t>
      </w:r>
      <w:r>
        <w:rPr>
          <w:spacing w:val="-60"/>
        </w:rPr>
        <w:t> </w:t>
      </w:r>
      <w:r>
        <w:rPr/>
        <w:t>there- fore capable of regeneration, provided that the necessary building materials are available.</w:t>
      </w:r>
    </w:p>
    <w:p>
      <w:pPr>
        <w:pStyle w:val="BodyText"/>
        <w:spacing w:line="276" w:lineRule="auto" w:before="239"/>
        <w:ind w:left="477" w:right="132"/>
        <w:jc w:val="both"/>
      </w:pPr>
      <w:r>
        <w:rPr/>
        <w:t>While orthodox medicine speaks of ‘age-related wear and tear’ as in the case of a</w:t>
      </w:r>
      <w:r>
        <w:rPr>
          <w:spacing w:val="-10"/>
        </w:rPr>
        <w:t> </w:t>
      </w:r>
      <w:r>
        <w:rPr/>
        <w:t>machine,</w:t>
      </w:r>
      <w:r>
        <w:rPr>
          <w:spacing w:val="-8"/>
        </w:rPr>
        <w:t> </w:t>
      </w:r>
      <w:r>
        <w:rPr/>
        <w:t>on</w:t>
      </w:r>
      <w:r>
        <w:rPr>
          <w:spacing w:val="-10"/>
        </w:rPr>
        <w:t> </w:t>
      </w:r>
      <w:r>
        <w:rPr/>
        <w:t>the</w:t>
      </w:r>
      <w:r>
        <w:rPr>
          <w:spacing w:val="-8"/>
        </w:rPr>
        <w:t> </w:t>
      </w:r>
      <w:r>
        <w:rPr/>
        <w:t>contrary,</w:t>
      </w:r>
      <w:r>
        <w:rPr>
          <w:spacing w:val="-10"/>
        </w:rPr>
        <w:t> </w:t>
      </w:r>
      <w:r>
        <w:rPr/>
        <w:t>in</w:t>
      </w:r>
      <w:r>
        <w:rPr>
          <w:spacing w:val="-9"/>
        </w:rPr>
        <w:t> </w:t>
      </w:r>
      <w:r>
        <w:rPr/>
        <w:t>every</w:t>
      </w:r>
      <w:r>
        <w:rPr>
          <w:spacing w:val="-8"/>
        </w:rPr>
        <w:t> </w:t>
      </w:r>
      <w:r>
        <w:rPr/>
        <w:t>cell</w:t>
      </w:r>
      <w:r>
        <w:rPr>
          <w:spacing w:val="-10"/>
        </w:rPr>
        <w:t> </w:t>
      </w:r>
      <w:r>
        <w:rPr/>
        <w:t>of</w:t>
      </w:r>
      <w:r>
        <w:rPr>
          <w:spacing w:val="-9"/>
        </w:rPr>
        <w:t> </w:t>
      </w:r>
      <w:r>
        <w:rPr/>
        <w:t>our</w:t>
      </w:r>
      <w:r>
        <w:rPr>
          <w:spacing w:val="-10"/>
        </w:rPr>
        <w:t> </w:t>
      </w:r>
      <w:r>
        <w:rPr/>
        <w:t>body</w:t>
      </w:r>
      <w:r>
        <w:rPr>
          <w:spacing w:val="-9"/>
        </w:rPr>
        <w:t> </w:t>
      </w:r>
      <w:r>
        <w:rPr/>
        <w:t>there</w:t>
      </w:r>
      <w:r>
        <w:rPr>
          <w:spacing w:val="-9"/>
        </w:rPr>
        <w:t> </w:t>
      </w:r>
      <w:r>
        <w:rPr/>
        <w:t>is</w:t>
      </w:r>
      <w:r>
        <w:rPr>
          <w:spacing w:val="-11"/>
        </w:rPr>
        <w:t> </w:t>
      </w:r>
      <w:r>
        <w:rPr/>
        <w:t>a</w:t>
      </w:r>
      <w:r>
        <w:rPr>
          <w:spacing w:val="-10"/>
        </w:rPr>
        <w:t> </w:t>
      </w:r>
      <w:r>
        <w:rPr/>
        <w:t>constant</w:t>
      </w:r>
      <w:r>
        <w:rPr>
          <w:spacing w:val="-9"/>
        </w:rPr>
        <w:t> </w:t>
      </w:r>
      <w:r>
        <w:rPr/>
        <w:t>buildup and breakdown of ALL tissue forms – in contrast to wheel bearings and other artificial joint forms, articular cartilage can regenerate. The basis for this is</w:t>
      </w:r>
      <w:r>
        <w:rPr>
          <w:spacing w:val="-55"/>
        </w:rPr>
        <w:t> </w:t>
      </w:r>
      <w:r>
        <w:rPr/>
        <w:t>pro- vided by the two nutrients discussed here, ‘glucosamine’ and</w:t>
      </w:r>
      <w:r>
        <w:rPr>
          <w:spacing w:val="-9"/>
        </w:rPr>
        <w:t> </w:t>
      </w:r>
      <w:r>
        <w:rPr/>
        <w:t>‘chondroitin’.</w:t>
      </w:r>
    </w:p>
    <w:p>
      <w:pPr>
        <w:pStyle w:val="BodyText"/>
        <w:spacing w:before="241"/>
        <w:ind w:left="477"/>
        <w:jc w:val="both"/>
      </w:pPr>
      <w:r>
        <w:rPr/>
        <w:t>As little as one should separate twins, one should leave certain co-partners to-</w:t>
      </w:r>
    </w:p>
    <w:p>
      <w:pPr>
        <w:spacing w:after="0"/>
        <w:jc w:val="both"/>
        <w:sectPr>
          <w:footerReference w:type="default" r:id="rId120"/>
          <w:pgSz w:w="14270" w:h="16850"/>
          <w:pgMar w:footer="1891" w:header="0" w:top="1600" w:bottom="2080" w:left="800" w:right="1280"/>
          <w:pgNumType w:start="441"/>
        </w:sectPr>
      </w:pPr>
    </w:p>
    <w:p>
      <w:pPr>
        <w:pStyle w:val="BodyText"/>
        <w:spacing w:line="276" w:lineRule="auto" w:before="181"/>
        <w:ind w:left="477" w:right="136"/>
        <w:jc w:val="both"/>
      </w:pPr>
      <w:r>
        <w:rPr/>
        <w:t>gether</w:t>
      </w:r>
      <w:r>
        <w:rPr>
          <w:spacing w:val="-24"/>
        </w:rPr>
        <w:t> </w:t>
      </w:r>
      <w:r>
        <w:rPr/>
        <w:t>within</w:t>
      </w:r>
      <w:r>
        <w:rPr>
          <w:spacing w:val="-23"/>
        </w:rPr>
        <w:t> </w:t>
      </w:r>
      <w:r>
        <w:rPr/>
        <w:t>the</w:t>
      </w:r>
      <w:r>
        <w:rPr>
          <w:spacing w:val="-26"/>
        </w:rPr>
        <w:t> </w:t>
      </w:r>
      <w:r>
        <w:rPr/>
        <w:t>vital</w:t>
      </w:r>
      <w:r>
        <w:rPr>
          <w:spacing w:val="-25"/>
        </w:rPr>
        <w:t> </w:t>
      </w:r>
      <w:r>
        <w:rPr/>
        <w:t>substances,</w:t>
      </w:r>
      <w:r>
        <w:rPr>
          <w:spacing w:val="-27"/>
        </w:rPr>
        <w:t> </w:t>
      </w:r>
      <w:r>
        <w:rPr/>
        <w:t>if</w:t>
      </w:r>
      <w:r>
        <w:rPr>
          <w:spacing w:val="-25"/>
        </w:rPr>
        <w:t> </w:t>
      </w:r>
      <w:r>
        <w:rPr/>
        <w:t>their</w:t>
      </w:r>
      <w:r>
        <w:rPr>
          <w:spacing w:val="-25"/>
        </w:rPr>
        <w:t> </w:t>
      </w:r>
      <w:r>
        <w:rPr/>
        <w:t>synergetic</w:t>
      </w:r>
      <w:r>
        <w:rPr>
          <w:spacing w:val="-24"/>
        </w:rPr>
        <w:t> </w:t>
      </w:r>
      <w:r>
        <w:rPr/>
        <w:t>effect</w:t>
      </w:r>
      <w:r>
        <w:rPr>
          <w:spacing w:val="-23"/>
        </w:rPr>
        <w:t> </w:t>
      </w:r>
      <w:r>
        <w:rPr/>
        <w:t>promises</w:t>
      </w:r>
      <w:r>
        <w:rPr>
          <w:spacing w:val="-24"/>
        </w:rPr>
        <w:t> </w:t>
      </w:r>
      <w:r>
        <w:rPr/>
        <w:t>an</w:t>
      </w:r>
      <w:r>
        <w:rPr>
          <w:spacing w:val="-24"/>
        </w:rPr>
        <w:t> </w:t>
      </w:r>
      <w:r>
        <w:rPr/>
        <w:t>enhance- ment of positive</w:t>
      </w:r>
      <w:r>
        <w:rPr>
          <w:spacing w:val="-2"/>
        </w:rPr>
        <w:t> </w:t>
      </w:r>
      <w:r>
        <w:rPr/>
        <w:t>properties.</w:t>
      </w:r>
    </w:p>
    <w:p>
      <w:pPr>
        <w:pStyle w:val="BodyText"/>
        <w:spacing w:line="276" w:lineRule="auto" w:before="241"/>
        <w:ind w:left="477" w:right="135"/>
        <w:jc w:val="both"/>
      </w:pPr>
      <w:r>
        <w:rPr/>
        <w:t>This is also the reason why we provide information about glucosamine and chondroitin in a joint section.</w:t>
      </w:r>
    </w:p>
    <w:p>
      <w:pPr>
        <w:pStyle w:val="BodyText"/>
        <w:rPr>
          <w:sz w:val="42"/>
        </w:rPr>
      </w:pPr>
    </w:p>
    <w:p>
      <w:pPr>
        <w:pStyle w:val="BodyText"/>
        <w:rPr>
          <w:sz w:val="42"/>
        </w:rPr>
      </w:pPr>
    </w:p>
    <w:p>
      <w:pPr>
        <w:pStyle w:val="BodyText"/>
        <w:rPr>
          <w:sz w:val="42"/>
        </w:rPr>
      </w:pPr>
    </w:p>
    <w:p>
      <w:pPr>
        <w:pStyle w:val="Heading2"/>
        <w:spacing w:before="286"/>
      </w:pPr>
      <w:r>
        <w:rPr/>
        <w:t>What is glucosamine? What is chondroitin?</w:t>
      </w:r>
    </w:p>
    <w:p>
      <w:pPr>
        <w:pStyle w:val="BodyText"/>
        <w:spacing w:line="276" w:lineRule="auto" w:before="304"/>
        <w:ind w:left="477" w:right="135"/>
        <w:jc w:val="both"/>
      </w:pPr>
      <w:r>
        <w:rPr/>
        <w:t>Glucosamine is the generally accepted common name for 2-amino-2-deoxy- α/β-D-glucopyranose. It is thus a derivative of D-glucose, which is only af- fected by the substitution of the hydroxy group, chondroitin sulphate is a sul- phated glycosaminoglycan (GAG) or mucopolysaccharide, which consists of a chain</w:t>
      </w:r>
      <w:r>
        <w:rPr>
          <w:spacing w:val="-25"/>
        </w:rPr>
        <w:t> </w:t>
      </w:r>
      <w:r>
        <w:rPr/>
        <w:t>of</w:t>
      </w:r>
      <w:r>
        <w:rPr>
          <w:spacing w:val="-24"/>
        </w:rPr>
        <w:t> </w:t>
      </w:r>
      <w:r>
        <w:rPr/>
        <w:t>alternating</w:t>
      </w:r>
      <w:r>
        <w:rPr>
          <w:spacing w:val="-23"/>
        </w:rPr>
        <w:t> </w:t>
      </w:r>
      <w:r>
        <w:rPr/>
        <w:t>sugar</w:t>
      </w:r>
      <w:r>
        <w:rPr>
          <w:spacing w:val="-24"/>
        </w:rPr>
        <w:t> </w:t>
      </w:r>
      <w:r>
        <w:rPr/>
        <w:t>derivatives</w:t>
      </w:r>
      <w:r>
        <w:rPr>
          <w:spacing w:val="-24"/>
        </w:rPr>
        <w:t> </w:t>
      </w:r>
      <w:r>
        <w:rPr/>
        <w:t>(N-acetylgalactosamine</w:t>
      </w:r>
      <w:r>
        <w:rPr>
          <w:spacing w:val="-24"/>
        </w:rPr>
        <w:t> </w:t>
      </w:r>
      <w:r>
        <w:rPr/>
        <w:t>(GalNAc)</w:t>
      </w:r>
      <w:r>
        <w:rPr>
          <w:spacing w:val="-24"/>
        </w:rPr>
        <w:t> </w:t>
      </w:r>
      <w:r>
        <w:rPr/>
        <w:t>and</w:t>
      </w:r>
      <w:r>
        <w:rPr>
          <w:spacing w:val="-24"/>
        </w:rPr>
        <w:t> </w:t>
      </w:r>
      <w:r>
        <w:rPr/>
        <w:t>glu- curonic acid)</w:t>
      </w:r>
      <w:r>
        <w:rPr>
          <w:spacing w:val="-1"/>
        </w:rPr>
        <w:t> </w:t>
      </w:r>
      <w:r>
        <w:rPr/>
        <w:t>...</w:t>
      </w:r>
    </w:p>
    <w:p>
      <w:pPr>
        <w:pStyle w:val="BodyText"/>
        <w:spacing w:line="276" w:lineRule="auto" w:before="240"/>
        <w:ind w:left="477" w:right="138"/>
        <w:jc w:val="both"/>
      </w:pPr>
      <w:r>
        <w:rPr>
          <w:b/>
        </w:rPr>
        <w:t>STOP! </w:t>
      </w:r>
      <w:r>
        <w:rPr/>
        <w:t>This is how the classical definition of glucosamine and chondroitin, which you find in specialised lexicons, begins: abstract, incomprehensible, and in most cases incomplete.</w:t>
      </w:r>
    </w:p>
    <w:p>
      <w:pPr>
        <w:pStyle w:val="BodyText"/>
        <w:spacing w:line="276" w:lineRule="auto" w:before="241"/>
        <w:ind w:left="477" w:right="133"/>
        <w:jc w:val="both"/>
      </w:pPr>
      <w:r>
        <w:rPr/>
        <w:t>This text is different, because we pursue the ambitious goal of knowledge that is informative, detailed and yet understandable for ordinary people to pass on, eliminating confusion and providing clear answers to open questions on ‘glu- cosamine and chondroitin’.</w:t>
      </w:r>
    </w:p>
    <w:p>
      <w:pPr>
        <w:spacing w:after="0" w:line="276" w:lineRule="auto"/>
        <w:jc w:val="both"/>
        <w:sectPr>
          <w:pgSz w:w="14270" w:h="16850"/>
          <w:pgMar w:header="0" w:footer="1891" w:top="1600" w:bottom="2080" w:left="800" w:right="1280"/>
        </w:sectPr>
      </w:pPr>
    </w:p>
    <w:p>
      <w:pPr>
        <w:pStyle w:val="Heading2"/>
        <w:spacing w:before="181"/>
      </w:pPr>
      <w:r>
        <w:rPr/>
        <w:t>Modern way of life as the primary cause of joint problems</w:t>
      </w:r>
    </w:p>
    <w:p>
      <w:pPr>
        <w:pStyle w:val="BodyText"/>
        <w:spacing w:before="305"/>
        <w:ind w:left="477"/>
      </w:pPr>
      <w:r>
        <w:rPr/>
        <w:t>DESIRED situation:</w:t>
      </w:r>
    </w:p>
    <w:p>
      <w:pPr>
        <w:pStyle w:val="BodyText"/>
        <w:spacing w:line="276" w:lineRule="auto" w:before="304"/>
        <w:ind w:left="477" w:right="131"/>
        <w:jc w:val="both"/>
      </w:pPr>
      <w:r>
        <w:rPr/>
        <w:t>In order to keep our joints alive for as long as possible and to protect against signs</w:t>
      </w:r>
      <w:r>
        <w:rPr>
          <w:spacing w:val="-18"/>
        </w:rPr>
        <w:t> </w:t>
      </w:r>
      <w:r>
        <w:rPr/>
        <w:t>of</w:t>
      </w:r>
      <w:r>
        <w:rPr>
          <w:spacing w:val="-19"/>
        </w:rPr>
        <w:t> </w:t>
      </w:r>
      <w:r>
        <w:rPr/>
        <w:t>wear</w:t>
      </w:r>
      <w:r>
        <w:rPr>
          <w:spacing w:val="-19"/>
        </w:rPr>
        <w:t> </w:t>
      </w:r>
      <w:r>
        <w:rPr/>
        <w:t>and</w:t>
      </w:r>
      <w:r>
        <w:rPr>
          <w:spacing w:val="-19"/>
        </w:rPr>
        <w:t> </w:t>
      </w:r>
      <w:r>
        <w:rPr/>
        <w:t>tear</w:t>
      </w:r>
      <w:r>
        <w:rPr>
          <w:spacing w:val="-18"/>
        </w:rPr>
        <w:t> </w:t>
      </w:r>
      <w:r>
        <w:rPr/>
        <w:t>(arthrosis)</w:t>
      </w:r>
      <w:r>
        <w:rPr>
          <w:spacing w:val="-21"/>
        </w:rPr>
        <w:t> </w:t>
      </w:r>
      <w:r>
        <w:rPr/>
        <w:t>and</w:t>
      </w:r>
      <w:r>
        <w:rPr>
          <w:spacing w:val="-19"/>
        </w:rPr>
        <w:t> </w:t>
      </w:r>
      <w:r>
        <w:rPr/>
        <w:t>other</w:t>
      </w:r>
      <w:r>
        <w:rPr>
          <w:spacing w:val="-18"/>
        </w:rPr>
        <w:t> </w:t>
      </w:r>
      <w:r>
        <w:rPr/>
        <w:t>diseases</w:t>
      </w:r>
      <w:r>
        <w:rPr>
          <w:spacing w:val="-18"/>
        </w:rPr>
        <w:t> </w:t>
      </w:r>
      <w:r>
        <w:rPr/>
        <w:t>(arthritis,</w:t>
      </w:r>
      <w:r>
        <w:rPr>
          <w:spacing w:val="-16"/>
        </w:rPr>
        <w:t> </w:t>
      </w:r>
      <w:r>
        <w:rPr/>
        <w:t>gout,</w:t>
      </w:r>
      <w:r>
        <w:rPr>
          <w:spacing w:val="-18"/>
        </w:rPr>
        <w:t> </w:t>
      </w:r>
      <w:r>
        <w:rPr/>
        <w:t>rheumatism, etc.), it is essential to provide sufficient nutrients to the body around the clock and transport them to the joint through moderate</w:t>
      </w:r>
      <w:r>
        <w:rPr>
          <w:spacing w:val="-2"/>
        </w:rPr>
        <w:t> </w:t>
      </w:r>
      <w:r>
        <w:rPr/>
        <w:t>movement.</w:t>
      </w:r>
    </w:p>
    <w:p>
      <w:pPr>
        <w:pStyle w:val="BodyText"/>
        <w:spacing w:before="240"/>
        <w:ind w:left="477"/>
      </w:pPr>
      <w:r>
        <w:rPr/>
        <w:t>CURRENT situation:</w:t>
      </w:r>
    </w:p>
    <w:p>
      <w:pPr>
        <w:pStyle w:val="BodyText"/>
        <w:spacing w:line="276" w:lineRule="auto" w:before="305"/>
        <w:ind w:left="477" w:right="133"/>
        <w:jc w:val="both"/>
      </w:pPr>
      <w:r>
        <w:rPr/>
        <w:t>Many diseases – including, but not limited to, diseases of the musculoskeletal system</w:t>
      </w:r>
      <w:r>
        <w:rPr>
          <w:spacing w:val="-20"/>
        </w:rPr>
        <w:t> </w:t>
      </w:r>
      <w:r>
        <w:rPr/>
        <w:t>–</w:t>
      </w:r>
      <w:r>
        <w:rPr>
          <w:spacing w:val="-22"/>
        </w:rPr>
        <w:t> </w:t>
      </w:r>
      <w:r>
        <w:rPr/>
        <w:t>should</w:t>
      </w:r>
      <w:r>
        <w:rPr>
          <w:spacing w:val="-22"/>
        </w:rPr>
        <w:t> </w:t>
      </w:r>
      <w:r>
        <w:rPr/>
        <w:t>be</w:t>
      </w:r>
      <w:r>
        <w:rPr>
          <w:spacing w:val="-19"/>
        </w:rPr>
        <w:t> </w:t>
      </w:r>
      <w:r>
        <w:rPr/>
        <w:t>directly</w:t>
      </w:r>
      <w:r>
        <w:rPr>
          <w:spacing w:val="-19"/>
        </w:rPr>
        <w:t> </w:t>
      </w:r>
      <w:r>
        <w:rPr/>
        <w:t>considered</w:t>
      </w:r>
      <w:r>
        <w:rPr>
          <w:spacing w:val="-18"/>
        </w:rPr>
        <w:t> </w:t>
      </w:r>
      <w:r>
        <w:rPr/>
        <w:t>as</w:t>
      </w:r>
      <w:r>
        <w:rPr>
          <w:spacing w:val="-20"/>
        </w:rPr>
        <w:t> </w:t>
      </w:r>
      <w:r>
        <w:rPr/>
        <w:t>a</w:t>
      </w:r>
      <w:r>
        <w:rPr>
          <w:spacing w:val="-22"/>
        </w:rPr>
        <w:t> </w:t>
      </w:r>
      <w:r>
        <w:rPr/>
        <w:t>consequence</w:t>
      </w:r>
      <w:r>
        <w:rPr>
          <w:spacing w:val="-18"/>
        </w:rPr>
        <w:t> </w:t>
      </w:r>
      <w:r>
        <w:rPr/>
        <w:t>of</w:t>
      </w:r>
      <w:r>
        <w:rPr>
          <w:spacing w:val="-19"/>
        </w:rPr>
        <w:t> </w:t>
      </w:r>
      <w:r>
        <w:rPr/>
        <w:t>the</w:t>
      </w:r>
      <w:r>
        <w:rPr>
          <w:spacing w:val="-21"/>
        </w:rPr>
        <w:t> </w:t>
      </w:r>
      <w:r>
        <w:rPr/>
        <w:t>changed</w:t>
      </w:r>
      <w:r>
        <w:rPr>
          <w:spacing w:val="-18"/>
        </w:rPr>
        <w:t> </w:t>
      </w:r>
      <w:r>
        <w:rPr/>
        <w:t>lifestyle of modern humans. According to Professor Joachim Grifka of the University Hospital Regensburg, for example already at least 5 million Germans per year are affected by the widespread disease</w:t>
      </w:r>
      <w:r>
        <w:rPr>
          <w:spacing w:val="1"/>
        </w:rPr>
        <w:t> </w:t>
      </w:r>
      <w:r>
        <w:rPr/>
        <w:t>arthrosis.</w:t>
      </w:r>
    </w:p>
    <w:p>
      <w:pPr>
        <w:pStyle w:val="BodyText"/>
        <w:spacing w:line="276" w:lineRule="auto" w:before="239"/>
        <w:ind w:left="477" w:right="131"/>
        <w:jc w:val="both"/>
        <w:rPr>
          <w:sz w:val="25"/>
        </w:rPr>
      </w:pPr>
      <w:r>
        <w:rPr/>
        <w:t>Increasing</w:t>
      </w:r>
      <w:r>
        <w:rPr>
          <w:spacing w:val="-19"/>
        </w:rPr>
        <w:t> </w:t>
      </w:r>
      <w:r>
        <w:rPr/>
        <w:t>joint</w:t>
      </w:r>
      <w:r>
        <w:rPr>
          <w:spacing w:val="-22"/>
        </w:rPr>
        <w:t> </w:t>
      </w:r>
      <w:r>
        <w:rPr/>
        <w:t>wear</w:t>
      </w:r>
      <w:r>
        <w:rPr>
          <w:spacing w:val="-19"/>
        </w:rPr>
        <w:t> </w:t>
      </w:r>
      <w:r>
        <w:rPr/>
        <w:t>and</w:t>
      </w:r>
      <w:r>
        <w:rPr>
          <w:spacing w:val="-19"/>
        </w:rPr>
        <w:t> </w:t>
      </w:r>
      <w:r>
        <w:rPr/>
        <w:t>stiff</w:t>
      </w:r>
      <w:r>
        <w:rPr>
          <w:spacing w:val="-19"/>
        </w:rPr>
        <w:t> </w:t>
      </w:r>
      <w:r>
        <w:rPr/>
        <w:t>and</w:t>
      </w:r>
      <w:r>
        <w:rPr>
          <w:spacing w:val="-18"/>
        </w:rPr>
        <w:t> </w:t>
      </w:r>
      <w:r>
        <w:rPr/>
        <w:t>painful</w:t>
      </w:r>
      <w:r>
        <w:rPr>
          <w:spacing w:val="-20"/>
        </w:rPr>
        <w:t> </w:t>
      </w:r>
      <w:r>
        <w:rPr/>
        <w:t>joints</w:t>
      </w:r>
      <w:r>
        <w:rPr>
          <w:spacing w:val="-18"/>
        </w:rPr>
        <w:t> </w:t>
      </w:r>
      <w:r>
        <w:rPr/>
        <w:t>are</w:t>
      </w:r>
      <w:r>
        <w:rPr>
          <w:spacing w:val="-19"/>
        </w:rPr>
        <w:t> </w:t>
      </w:r>
      <w:r>
        <w:rPr/>
        <w:t>the</w:t>
      </w:r>
      <w:r>
        <w:rPr>
          <w:spacing w:val="-18"/>
        </w:rPr>
        <w:t> </w:t>
      </w:r>
      <w:r>
        <w:rPr/>
        <w:t>inevitable</w:t>
      </w:r>
      <w:r>
        <w:rPr>
          <w:spacing w:val="-22"/>
        </w:rPr>
        <w:t> </w:t>
      </w:r>
      <w:r>
        <w:rPr/>
        <w:t>consequences of ageing. In 2017, nearly one fifth (19%) of the EU population was aged 65 and</w:t>
      </w:r>
      <w:r>
        <w:rPr>
          <w:spacing w:val="-22"/>
        </w:rPr>
        <w:t> </w:t>
      </w:r>
      <w:r>
        <w:rPr/>
        <w:t>more.</w:t>
      </w:r>
      <w:r>
        <w:rPr>
          <w:spacing w:val="-19"/>
        </w:rPr>
        <w:t> </w:t>
      </w:r>
      <w:r>
        <w:rPr/>
        <w:t>And</w:t>
      </w:r>
      <w:r>
        <w:rPr>
          <w:spacing w:val="-21"/>
        </w:rPr>
        <w:t> </w:t>
      </w:r>
      <w:r>
        <w:rPr/>
        <w:t>according</w:t>
      </w:r>
      <w:r>
        <w:rPr>
          <w:spacing w:val="-21"/>
        </w:rPr>
        <w:t> </w:t>
      </w:r>
      <w:r>
        <w:rPr/>
        <w:t>to</w:t>
      </w:r>
      <w:r>
        <w:rPr>
          <w:spacing w:val="-21"/>
        </w:rPr>
        <w:t> </w:t>
      </w:r>
      <w:r>
        <w:rPr/>
        <w:t>current</w:t>
      </w:r>
      <w:r>
        <w:rPr>
          <w:spacing w:val="-21"/>
        </w:rPr>
        <w:t> </w:t>
      </w:r>
      <w:r>
        <w:rPr/>
        <w:t>estimates,</w:t>
      </w:r>
      <w:r>
        <w:rPr>
          <w:spacing w:val="-18"/>
        </w:rPr>
        <w:t> </w:t>
      </w:r>
      <w:r>
        <w:rPr/>
        <w:t>the</w:t>
      </w:r>
      <w:r>
        <w:rPr>
          <w:spacing w:val="-20"/>
        </w:rPr>
        <w:t> </w:t>
      </w:r>
      <w:r>
        <w:rPr/>
        <w:t>share</w:t>
      </w:r>
      <w:r>
        <w:rPr>
          <w:spacing w:val="-21"/>
        </w:rPr>
        <w:t> </w:t>
      </w:r>
      <w:r>
        <w:rPr/>
        <w:t>of</w:t>
      </w:r>
      <w:r>
        <w:rPr>
          <w:spacing w:val="-21"/>
        </w:rPr>
        <w:t> </w:t>
      </w:r>
      <w:r>
        <w:rPr/>
        <w:t>people</w:t>
      </w:r>
      <w:r>
        <w:rPr>
          <w:spacing w:val="-21"/>
        </w:rPr>
        <w:t> </w:t>
      </w:r>
      <w:r>
        <w:rPr/>
        <w:t>aged</w:t>
      </w:r>
      <w:r>
        <w:rPr>
          <w:spacing w:val="-21"/>
        </w:rPr>
        <w:t> </w:t>
      </w:r>
      <w:r>
        <w:rPr/>
        <w:t>80</w:t>
      </w:r>
      <w:r>
        <w:rPr>
          <w:spacing w:val="-22"/>
        </w:rPr>
        <w:t> </w:t>
      </w:r>
      <w:r>
        <w:rPr/>
        <w:t>years or more should more than double by 2080 to reach 13% of the whole popula- tion.</w:t>
      </w:r>
      <w:r>
        <w:rPr>
          <w:position w:val="9"/>
          <w:sz w:val="25"/>
        </w:rPr>
        <w:t>328</w:t>
      </w:r>
    </w:p>
    <w:p>
      <w:pPr>
        <w:pStyle w:val="BodyText"/>
        <w:rPr>
          <w:sz w:val="20"/>
        </w:rPr>
      </w:pPr>
    </w:p>
    <w:p>
      <w:pPr>
        <w:pStyle w:val="BodyText"/>
        <w:rPr>
          <w:sz w:val="20"/>
        </w:rPr>
      </w:pPr>
    </w:p>
    <w:p>
      <w:pPr>
        <w:pStyle w:val="BodyText"/>
        <w:spacing w:before="5"/>
        <w:rPr>
          <w:sz w:val="18"/>
        </w:rPr>
      </w:pPr>
      <w:r>
        <w:rPr/>
        <w:pict>
          <v:line style="position:absolute;mso-position-horizontal-relative:page;mso-position-vertical-relative:paragraph;z-index:3680;mso-wrap-distance-left:0;mso-wrap-distance-right:0" from="63.863998pt,12.727515pt" to="207.883998pt,12.72751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328 </w:t>
      </w:r>
      <w:hyperlink r:id="rId121">
        <w:r>
          <w:rPr>
            <w:sz w:val="20"/>
          </w:rPr>
          <w:t>http://ec.europa.eu/eurostat/statistics-explained/index.php/Population_structure_and_ageing</w:t>
        </w:r>
      </w:hyperlink>
    </w:p>
    <w:p>
      <w:pPr>
        <w:spacing w:after="0"/>
        <w:jc w:val="left"/>
        <w:rPr>
          <w:sz w:val="20"/>
        </w:rPr>
        <w:sectPr>
          <w:pgSz w:w="14270" w:h="16850"/>
          <w:pgMar w:header="0" w:footer="1891" w:top="1600" w:bottom="2080" w:left="800" w:right="1280"/>
        </w:sectPr>
      </w:pPr>
    </w:p>
    <w:p>
      <w:pPr>
        <w:pStyle w:val="BodyText"/>
        <w:spacing w:line="276" w:lineRule="auto" w:before="181"/>
        <w:ind w:left="477" w:right="132"/>
        <w:jc w:val="both"/>
      </w:pPr>
      <w:r>
        <w:rPr/>
        <w:t>All this, while the proportion of working-age people will shrink. Thus, while there</w:t>
      </w:r>
      <w:r>
        <w:rPr>
          <w:spacing w:val="-21"/>
        </w:rPr>
        <w:t> </w:t>
      </w:r>
      <w:r>
        <w:rPr/>
        <w:t>is</w:t>
      </w:r>
      <w:r>
        <w:rPr>
          <w:spacing w:val="-21"/>
        </w:rPr>
        <w:t> </w:t>
      </w:r>
      <w:r>
        <w:rPr/>
        <w:t>a</w:t>
      </w:r>
      <w:r>
        <w:rPr>
          <w:spacing w:val="-21"/>
        </w:rPr>
        <w:t> </w:t>
      </w:r>
      <w:r>
        <w:rPr/>
        <w:t>clear</w:t>
      </w:r>
      <w:r>
        <w:rPr>
          <w:spacing w:val="-20"/>
        </w:rPr>
        <w:t> </w:t>
      </w:r>
      <w:r>
        <w:rPr/>
        <w:t>need</w:t>
      </w:r>
      <w:r>
        <w:rPr>
          <w:spacing w:val="-20"/>
        </w:rPr>
        <w:t> </w:t>
      </w:r>
      <w:r>
        <w:rPr/>
        <w:t>to</w:t>
      </w:r>
      <w:r>
        <w:rPr>
          <w:spacing w:val="-20"/>
        </w:rPr>
        <w:t> </w:t>
      </w:r>
      <w:r>
        <w:rPr/>
        <w:t>educate</w:t>
      </w:r>
      <w:r>
        <w:rPr>
          <w:spacing w:val="-20"/>
        </w:rPr>
        <w:t> </w:t>
      </w:r>
      <w:r>
        <w:rPr/>
        <w:t>people</w:t>
      </w:r>
      <w:r>
        <w:rPr>
          <w:spacing w:val="-20"/>
        </w:rPr>
        <w:t> </w:t>
      </w:r>
      <w:r>
        <w:rPr/>
        <w:t>about</w:t>
      </w:r>
      <w:r>
        <w:rPr>
          <w:spacing w:val="-22"/>
        </w:rPr>
        <w:t> </w:t>
      </w:r>
      <w:r>
        <w:rPr/>
        <w:t>prevention</w:t>
      </w:r>
      <w:r>
        <w:rPr>
          <w:spacing w:val="-20"/>
        </w:rPr>
        <w:t> </w:t>
      </w:r>
      <w:r>
        <w:rPr/>
        <w:t>measures</w:t>
      </w:r>
      <w:r>
        <w:rPr>
          <w:spacing w:val="-20"/>
        </w:rPr>
        <w:t> </w:t>
      </w:r>
      <w:r>
        <w:rPr/>
        <w:t>and</w:t>
      </w:r>
      <w:r>
        <w:rPr>
          <w:spacing w:val="-20"/>
        </w:rPr>
        <w:t> </w:t>
      </w:r>
      <w:r>
        <w:rPr/>
        <w:t>our</w:t>
      </w:r>
      <w:r>
        <w:rPr>
          <w:spacing w:val="-20"/>
        </w:rPr>
        <w:t> </w:t>
      </w:r>
      <w:r>
        <w:rPr/>
        <w:t>social network threatens to collapse, certain stakeholders are preventing the dissemi- nation of information about preventive and therapeutically effective natural supplements such as glucosamine and</w:t>
      </w:r>
      <w:r>
        <w:rPr>
          <w:spacing w:val="1"/>
        </w:rPr>
        <w:t> </w:t>
      </w:r>
      <w:r>
        <w:rPr/>
        <w:t>chondroitin.</w:t>
      </w:r>
    </w:p>
    <w:p>
      <w:pPr>
        <w:pStyle w:val="BodyText"/>
        <w:spacing w:line="276" w:lineRule="auto" w:before="240"/>
        <w:ind w:left="477" w:right="129"/>
        <w:jc w:val="both"/>
      </w:pPr>
      <w:r>
        <w:rPr/>
        <w:t>In</w:t>
      </w:r>
      <w:r>
        <w:rPr>
          <w:spacing w:val="-20"/>
        </w:rPr>
        <w:t> </w:t>
      </w:r>
      <w:r>
        <w:rPr/>
        <w:t>terms</w:t>
      </w:r>
      <w:r>
        <w:rPr>
          <w:spacing w:val="-21"/>
        </w:rPr>
        <w:t> </w:t>
      </w:r>
      <w:r>
        <w:rPr/>
        <w:t>of</w:t>
      </w:r>
      <w:r>
        <w:rPr>
          <w:spacing w:val="-20"/>
        </w:rPr>
        <w:t> </w:t>
      </w:r>
      <w:r>
        <w:rPr/>
        <w:t>joint</w:t>
      </w:r>
      <w:r>
        <w:rPr>
          <w:spacing w:val="-25"/>
        </w:rPr>
        <w:t> </w:t>
      </w:r>
      <w:r>
        <w:rPr/>
        <w:t>diseases,</w:t>
      </w:r>
      <w:r>
        <w:rPr>
          <w:spacing w:val="-19"/>
        </w:rPr>
        <w:t> </w:t>
      </w:r>
      <w:r>
        <w:rPr/>
        <w:t>it</w:t>
      </w:r>
      <w:r>
        <w:rPr>
          <w:spacing w:val="-20"/>
        </w:rPr>
        <w:t> </w:t>
      </w:r>
      <w:r>
        <w:rPr/>
        <w:t>is</w:t>
      </w:r>
      <w:r>
        <w:rPr>
          <w:spacing w:val="-22"/>
        </w:rPr>
        <w:t> </w:t>
      </w:r>
      <w:r>
        <w:rPr/>
        <w:t>not</w:t>
      </w:r>
      <w:r>
        <w:rPr>
          <w:spacing w:val="-22"/>
        </w:rPr>
        <w:t> </w:t>
      </w:r>
      <w:r>
        <w:rPr/>
        <w:t>only</w:t>
      </w:r>
      <w:r>
        <w:rPr>
          <w:spacing w:val="-21"/>
        </w:rPr>
        <w:t> </w:t>
      </w:r>
      <w:r>
        <w:rPr/>
        <w:t>the</w:t>
      </w:r>
      <w:r>
        <w:rPr>
          <w:spacing w:val="-19"/>
        </w:rPr>
        <w:t> </w:t>
      </w:r>
      <w:r>
        <w:rPr/>
        <w:t>lack</w:t>
      </w:r>
      <w:r>
        <w:rPr>
          <w:spacing w:val="-21"/>
        </w:rPr>
        <w:t> </w:t>
      </w:r>
      <w:r>
        <w:rPr/>
        <w:t>of</w:t>
      </w:r>
      <w:r>
        <w:rPr>
          <w:spacing w:val="-24"/>
        </w:rPr>
        <w:t> </w:t>
      </w:r>
      <w:r>
        <w:rPr/>
        <w:t>movement</w:t>
      </w:r>
      <w:r>
        <w:rPr>
          <w:spacing w:val="-21"/>
        </w:rPr>
        <w:t> </w:t>
      </w:r>
      <w:r>
        <w:rPr/>
        <w:t>stimuli</w:t>
      </w:r>
      <w:r>
        <w:rPr>
          <w:spacing w:val="-21"/>
        </w:rPr>
        <w:t> </w:t>
      </w:r>
      <w:r>
        <w:rPr/>
        <w:t>in</w:t>
      </w:r>
      <w:r>
        <w:rPr>
          <w:spacing w:val="-20"/>
        </w:rPr>
        <w:t> </w:t>
      </w:r>
      <w:r>
        <w:rPr/>
        <w:t>everyday working life, but also the vastly different nutritional situation which has a neg- ative</w:t>
      </w:r>
      <w:r>
        <w:rPr>
          <w:spacing w:val="-18"/>
        </w:rPr>
        <w:t> </w:t>
      </w:r>
      <w:r>
        <w:rPr/>
        <w:t>impact</w:t>
      </w:r>
      <w:r>
        <w:rPr>
          <w:spacing w:val="-19"/>
        </w:rPr>
        <w:t> </w:t>
      </w:r>
      <w:r>
        <w:rPr/>
        <w:t>here.</w:t>
      </w:r>
      <w:r>
        <w:rPr>
          <w:spacing w:val="-18"/>
        </w:rPr>
        <w:t> </w:t>
      </w:r>
      <w:r>
        <w:rPr/>
        <w:t>Since</w:t>
      </w:r>
      <w:r>
        <w:rPr>
          <w:spacing w:val="-18"/>
        </w:rPr>
        <w:t> </w:t>
      </w:r>
      <w:r>
        <w:rPr/>
        <w:t>the</w:t>
      </w:r>
      <w:r>
        <w:rPr>
          <w:spacing w:val="-18"/>
        </w:rPr>
        <w:t> </w:t>
      </w:r>
      <w:r>
        <w:rPr/>
        <w:t>cartilaginous</w:t>
      </w:r>
      <w:r>
        <w:rPr>
          <w:spacing w:val="-19"/>
        </w:rPr>
        <w:t> </w:t>
      </w:r>
      <w:r>
        <w:rPr/>
        <w:t>tissue</w:t>
      </w:r>
      <w:r>
        <w:rPr>
          <w:spacing w:val="-19"/>
        </w:rPr>
        <w:t> </w:t>
      </w:r>
      <w:r>
        <w:rPr/>
        <w:t>in</w:t>
      </w:r>
      <w:r>
        <w:rPr>
          <w:spacing w:val="-17"/>
        </w:rPr>
        <w:t> </w:t>
      </w:r>
      <w:r>
        <w:rPr/>
        <w:t>adults</w:t>
      </w:r>
      <w:r>
        <w:rPr>
          <w:spacing w:val="-19"/>
        </w:rPr>
        <w:t> </w:t>
      </w:r>
      <w:r>
        <w:rPr/>
        <w:t>contains</w:t>
      </w:r>
      <w:r>
        <w:rPr>
          <w:spacing w:val="-16"/>
        </w:rPr>
        <w:t> </w:t>
      </w:r>
      <w:r>
        <w:rPr/>
        <w:t>no</w:t>
      </w:r>
      <w:r>
        <w:rPr>
          <w:spacing w:val="-17"/>
        </w:rPr>
        <w:t> </w:t>
      </w:r>
      <w:r>
        <w:rPr/>
        <w:t>vessels</w:t>
      </w:r>
      <w:r>
        <w:rPr>
          <w:spacing w:val="-18"/>
        </w:rPr>
        <w:t> </w:t>
      </w:r>
      <w:r>
        <w:rPr/>
        <w:t>and nerves,</w:t>
      </w:r>
      <w:r>
        <w:rPr>
          <w:spacing w:val="-18"/>
        </w:rPr>
        <w:t> </w:t>
      </w:r>
      <w:r>
        <w:rPr/>
        <w:t>it</w:t>
      </w:r>
      <w:r>
        <w:rPr>
          <w:spacing w:val="-20"/>
        </w:rPr>
        <w:t> </w:t>
      </w:r>
      <w:r>
        <w:rPr/>
        <w:t>feeds</w:t>
      </w:r>
      <w:r>
        <w:rPr>
          <w:spacing w:val="-18"/>
        </w:rPr>
        <w:t> </w:t>
      </w:r>
      <w:r>
        <w:rPr/>
        <w:t>on</w:t>
      </w:r>
      <w:r>
        <w:rPr>
          <w:spacing w:val="-17"/>
        </w:rPr>
        <w:t> </w:t>
      </w:r>
      <w:r>
        <w:rPr/>
        <w:t>so-called</w:t>
      </w:r>
      <w:r>
        <w:rPr>
          <w:spacing w:val="-19"/>
        </w:rPr>
        <w:t> </w:t>
      </w:r>
      <w:r>
        <w:rPr/>
        <w:t>diffusion,</w:t>
      </w:r>
      <w:r>
        <w:rPr>
          <w:spacing w:val="-17"/>
        </w:rPr>
        <w:t> </w:t>
      </w:r>
      <w:r>
        <w:rPr/>
        <w:t>which,</w:t>
      </w:r>
      <w:r>
        <w:rPr>
          <w:spacing w:val="-19"/>
        </w:rPr>
        <w:t> </w:t>
      </w:r>
      <w:r>
        <w:rPr/>
        <w:t>in</w:t>
      </w:r>
      <w:r>
        <w:rPr>
          <w:spacing w:val="-18"/>
        </w:rPr>
        <w:t> </w:t>
      </w:r>
      <w:r>
        <w:rPr/>
        <w:t>the</w:t>
      </w:r>
      <w:r>
        <w:rPr>
          <w:spacing w:val="-18"/>
        </w:rPr>
        <w:t> </w:t>
      </w:r>
      <w:r>
        <w:rPr/>
        <w:t>case</w:t>
      </w:r>
      <w:r>
        <w:rPr>
          <w:spacing w:val="-19"/>
        </w:rPr>
        <w:t> </w:t>
      </w:r>
      <w:r>
        <w:rPr/>
        <w:t>of</w:t>
      </w:r>
      <w:r>
        <w:rPr>
          <w:spacing w:val="-18"/>
        </w:rPr>
        <w:t> </w:t>
      </w:r>
      <w:r>
        <w:rPr/>
        <w:t>joints,</w:t>
      </w:r>
      <w:r>
        <w:rPr>
          <w:spacing w:val="-19"/>
        </w:rPr>
        <w:t> </w:t>
      </w:r>
      <w:r>
        <w:rPr/>
        <w:t>is</w:t>
      </w:r>
      <w:r>
        <w:rPr>
          <w:spacing w:val="-18"/>
        </w:rPr>
        <w:t> </w:t>
      </w:r>
      <w:r>
        <w:rPr/>
        <w:t>the</w:t>
      </w:r>
      <w:r>
        <w:rPr>
          <w:spacing w:val="-20"/>
        </w:rPr>
        <w:t> </w:t>
      </w:r>
      <w:r>
        <w:rPr/>
        <w:t>physical movement</w:t>
      </w:r>
      <w:r>
        <w:rPr>
          <w:spacing w:val="-14"/>
        </w:rPr>
        <w:t> </w:t>
      </w:r>
      <w:r>
        <w:rPr/>
        <w:t>triggered</w:t>
      </w:r>
      <w:r>
        <w:rPr>
          <w:spacing w:val="-14"/>
        </w:rPr>
        <w:t> </w:t>
      </w:r>
      <w:r>
        <w:rPr/>
        <w:t>mechanically</w:t>
      </w:r>
      <w:r>
        <w:rPr>
          <w:spacing w:val="-15"/>
        </w:rPr>
        <w:t> </w:t>
      </w:r>
      <w:r>
        <w:rPr/>
        <w:t>by</w:t>
      </w:r>
      <w:r>
        <w:rPr>
          <w:spacing w:val="-16"/>
        </w:rPr>
        <w:t> </w:t>
      </w:r>
      <w:r>
        <w:rPr/>
        <w:t>an</w:t>
      </w:r>
      <w:r>
        <w:rPr>
          <w:spacing w:val="-14"/>
        </w:rPr>
        <w:t> </w:t>
      </w:r>
      <w:r>
        <w:rPr/>
        <w:t>external</w:t>
      </w:r>
      <w:r>
        <w:rPr>
          <w:spacing w:val="-16"/>
        </w:rPr>
        <w:t> </w:t>
      </w:r>
      <w:r>
        <w:rPr/>
        <w:t>stimulus</w:t>
      </w:r>
      <w:r>
        <w:rPr>
          <w:spacing w:val="-14"/>
        </w:rPr>
        <w:t> </w:t>
      </w:r>
      <w:r>
        <w:rPr/>
        <w:t>which</w:t>
      </w:r>
      <w:r>
        <w:rPr>
          <w:spacing w:val="-13"/>
        </w:rPr>
        <w:t> </w:t>
      </w:r>
      <w:r>
        <w:rPr/>
        <w:t>triggers</w:t>
      </w:r>
      <w:r>
        <w:rPr>
          <w:spacing w:val="-13"/>
        </w:rPr>
        <w:t> </w:t>
      </w:r>
      <w:r>
        <w:rPr/>
        <w:t>the</w:t>
      </w:r>
      <w:r>
        <w:rPr>
          <w:spacing w:val="-16"/>
        </w:rPr>
        <w:t> </w:t>
      </w:r>
      <w:r>
        <w:rPr/>
        <w:t>ex- change of substances</w:t>
      </w:r>
      <w:r>
        <w:rPr>
          <w:spacing w:val="2"/>
        </w:rPr>
        <w:t> </w:t>
      </w:r>
      <w:r>
        <w:rPr/>
        <w:t>(metabolism).</w:t>
      </w:r>
    </w:p>
    <w:p>
      <w:pPr>
        <w:pStyle w:val="BodyText"/>
        <w:spacing w:line="276" w:lineRule="auto" w:before="240"/>
        <w:ind w:left="477" w:right="130"/>
        <w:jc w:val="both"/>
      </w:pPr>
      <w:r>
        <w:rPr/>
        <w:t>Purely by moving the joints, the synovial fluid located in the joint cavity and in the joint space is vigorously mixed and pressurised. This pressure is absolutely necessary to transport the synovial fluid with its nutrients deep inside the joint to the articular cartilage. The pressurised synovial fluid enters the inner wall of the</w:t>
      </w:r>
      <w:r>
        <w:rPr>
          <w:spacing w:val="-9"/>
        </w:rPr>
        <w:t> </w:t>
      </w:r>
      <w:r>
        <w:rPr/>
        <w:t>capsule</w:t>
      </w:r>
      <w:r>
        <w:rPr>
          <w:spacing w:val="-9"/>
        </w:rPr>
        <w:t> </w:t>
      </w:r>
      <w:r>
        <w:rPr/>
        <w:t>when</w:t>
      </w:r>
      <w:r>
        <w:rPr>
          <w:spacing w:val="-9"/>
        </w:rPr>
        <w:t> </w:t>
      </w:r>
      <w:r>
        <w:rPr/>
        <w:t>the</w:t>
      </w:r>
      <w:r>
        <w:rPr>
          <w:spacing w:val="-12"/>
        </w:rPr>
        <w:t> </w:t>
      </w:r>
      <w:r>
        <w:rPr/>
        <w:t>joints</w:t>
      </w:r>
      <w:r>
        <w:rPr>
          <w:spacing w:val="-9"/>
        </w:rPr>
        <w:t> </w:t>
      </w:r>
      <w:r>
        <w:rPr/>
        <w:t>move,</w:t>
      </w:r>
      <w:r>
        <w:rPr>
          <w:spacing w:val="-9"/>
        </w:rPr>
        <w:t> </w:t>
      </w:r>
      <w:r>
        <w:rPr/>
        <w:t>which,</w:t>
      </w:r>
      <w:r>
        <w:rPr>
          <w:spacing w:val="-10"/>
        </w:rPr>
        <w:t> </w:t>
      </w:r>
      <w:r>
        <w:rPr/>
        <w:t>in</w:t>
      </w:r>
      <w:r>
        <w:rPr>
          <w:spacing w:val="-10"/>
        </w:rPr>
        <w:t> </w:t>
      </w:r>
      <w:r>
        <w:rPr/>
        <w:t>contrast</w:t>
      </w:r>
      <w:r>
        <w:rPr>
          <w:spacing w:val="-10"/>
        </w:rPr>
        <w:t> </w:t>
      </w:r>
      <w:r>
        <w:rPr/>
        <w:t>to</w:t>
      </w:r>
      <w:r>
        <w:rPr>
          <w:spacing w:val="-9"/>
        </w:rPr>
        <w:t> </w:t>
      </w:r>
      <w:r>
        <w:rPr/>
        <w:t>the</w:t>
      </w:r>
      <w:r>
        <w:rPr>
          <w:spacing w:val="-11"/>
        </w:rPr>
        <w:t> </w:t>
      </w:r>
      <w:r>
        <w:rPr/>
        <w:t>articular</w:t>
      </w:r>
      <w:r>
        <w:rPr>
          <w:spacing w:val="-10"/>
        </w:rPr>
        <w:t> </w:t>
      </w:r>
      <w:r>
        <w:rPr/>
        <w:t>cartilage,</w:t>
      </w:r>
      <w:r>
        <w:rPr>
          <w:spacing w:val="-8"/>
        </w:rPr>
        <w:t> </w:t>
      </w:r>
      <w:r>
        <w:rPr/>
        <w:t>is provided with nerves and blood vessels. In the capsule wall, the synovial fluid absorbs the nutrients there and transports them under the pressure of joint movement</w:t>
      </w:r>
      <w:r>
        <w:rPr>
          <w:spacing w:val="-23"/>
        </w:rPr>
        <w:t> </w:t>
      </w:r>
      <w:r>
        <w:rPr/>
        <w:t>into</w:t>
      </w:r>
      <w:r>
        <w:rPr>
          <w:spacing w:val="-21"/>
        </w:rPr>
        <w:t> </w:t>
      </w:r>
      <w:r>
        <w:rPr/>
        <w:t>the</w:t>
      </w:r>
      <w:r>
        <w:rPr>
          <w:spacing w:val="-21"/>
        </w:rPr>
        <w:t> </w:t>
      </w:r>
      <w:r>
        <w:rPr/>
        <w:t>joint</w:t>
      </w:r>
      <w:r>
        <w:rPr>
          <w:spacing w:val="-23"/>
        </w:rPr>
        <w:t> </w:t>
      </w:r>
      <w:r>
        <w:rPr/>
        <w:t>space</w:t>
      </w:r>
      <w:r>
        <w:rPr>
          <w:spacing w:val="-24"/>
        </w:rPr>
        <w:t> </w:t>
      </w:r>
      <w:r>
        <w:rPr/>
        <w:t>and</w:t>
      </w:r>
      <w:r>
        <w:rPr>
          <w:spacing w:val="-21"/>
        </w:rPr>
        <w:t> </w:t>
      </w:r>
      <w:r>
        <w:rPr/>
        <w:t>then</w:t>
      </w:r>
      <w:r>
        <w:rPr>
          <w:spacing w:val="-20"/>
        </w:rPr>
        <w:t> </w:t>
      </w:r>
      <w:r>
        <w:rPr/>
        <w:t>to</w:t>
      </w:r>
      <w:r>
        <w:rPr>
          <w:spacing w:val="-24"/>
        </w:rPr>
        <w:t> </w:t>
      </w:r>
      <w:r>
        <w:rPr/>
        <w:t>the</w:t>
      </w:r>
      <w:r>
        <w:rPr>
          <w:spacing w:val="-20"/>
        </w:rPr>
        <w:t> </w:t>
      </w:r>
      <w:r>
        <w:rPr/>
        <w:t>articular</w:t>
      </w:r>
      <w:r>
        <w:rPr>
          <w:spacing w:val="-21"/>
        </w:rPr>
        <w:t> </w:t>
      </w:r>
      <w:r>
        <w:rPr/>
        <w:t>cartilage,</w:t>
      </w:r>
      <w:r>
        <w:rPr>
          <w:spacing w:val="-21"/>
        </w:rPr>
        <w:t> </w:t>
      </w:r>
      <w:r>
        <w:rPr/>
        <w:t>which</w:t>
      </w:r>
      <w:r>
        <w:rPr>
          <w:spacing w:val="-20"/>
        </w:rPr>
        <w:t> </w:t>
      </w:r>
      <w:r>
        <w:rPr/>
        <w:t>depends on these</w:t>
      </w:r>
      <w:r>
        <w:rPr>
          <w:spacing w:val="-2"/>
        </w:rPr>
        <w:t> </w:t>
      </w:r>
      <w:r>
        <w:rPr/>
        <w:t>nutrients.</w:t>
      </w:r>
    </w:p>
    <w:p>
      <w:pPr>
        <w:pStyle w:val="BodyText"/>
        <w:spacing w:line="276" w:lineRule="auto" w:before="242"/>
        <w:ind w:left="477" w:right="136"/>
        <w:jc w:val="both"/>
      </w:pPr>
      <w:r>
        <w:rPr/>
        <w:t>If</w:t>
      </w:r>
      <w:r>
        <w:rPr>
          <w:spacing w:val="-14"/>
        </w:rPr>
        <w:t> </w:t>
      </w:r>
      <w:r>
        <w:rPr/>
        <w:t>joints</w:t>
      </w:r>
      <w:r>
        <w:rPr>
          <w:spacing w:val="-14"/>
        </w:rPr>
        <w:t> </w:t>
      </w:r>
      <w:r>
        <w:rPr/>
        <w:t>are</w:t>
      </w:r>
      <w:r>
        <w:rPr>
          <w:spacing w:val="-13"/>
        </w:rPr>
        <w:t> </w:t>
      </w:r>
      <w:r>
        <w:rPr/>
        <w:t>not</w:t>
      </w:r>
      <w:r>
        <w:rPr>
          <w:spacing w:val="-14"/>
        </w:rPr>
        <w:t> </w:t>
      </w:r>
      <w:r>
        <w:rPr/>
        <w:t>moved,</w:t>
      </w:r>
      <w:r>
        <w:rPr>
          <w:spacing w:val="-12"/>
        </w:rPr>
        <w:t> </w:t>
      </w:r>
      <w:r>
        <w:rPr/>
        <w:t>the</w:t>
      </w:r>
      <w:r>
        <w:rPr>
          <w:spacing w:val="-13"/>
        </w:rPr>
        <w:t> </w:t>
      </w:r>
      <w:r>
        <w:rPr/>
        <w:t>capsule</w:t>
      </w:r>
      <w:r>
        <w:rPr>
          <w:spacing w:val="-14"/>
        </w:rPr>
        <w:t> </w:t>
      </w:r>
      <w:r>
        <w:rPr/>
        <w:t>wall</w:t>
      </w:r>
      <w:r>
        <w:rPr>
          <w:spacing w:val="-15"/>
        </w:rPr>
        <w:t> </w:t>
      </w:r>
      <w:r>
        <w:rPr/>
        <w:t>continues</w:t>
      </w:r>
      <w:r>
        <w:rPr>
          <w:spacing w:val="-13"/>
        </w:rPr>
        <w:t> </w:t>
      </w:r>
      <w:r>
        <w:rPr/>
        <w:t>to</w:t>
      </w:r>
      <w:r>
        <w:rPr>
          <w:spacing w:val="-13"/>
        </w:rPr>
        <w:t> </w:t>
      </w:r>
      <w:r>
        <w:rPr/>
        <w:t>produce</w:t>
      </w:r>
      <w:r>
        <w:rPr>
          <w:spacing w:val="-14"/>
        </w:rPr>
        <w:t> </w:t>
      </w:r>
      <w:r>
        <w:rPr/>
        <w:t>nutrients</w:t>
      </w:r>
      <w:r>
        <w:rPr>
          <w:spacing w:val="-14"/>
        </w:rPr>
        <w:t> </w:t>
      </w:r>
      <w:r>
        <w:rPr/>
        <w:t>that</w:t>
      </w:r>
      <w:r>
        <w:rPr>
          <w:spacing w:val="-13"/>
        </w:rPr>
        <w:t> </w:t>
      </w:r>
      <w:r>
        <w:rPr/>
        <w:t>are essential</w:t>
      </w:r>
      <w:r>
        <w:rPr>
          <w:spacing w:val="17"/>
        </w:rPr>
        <w:t> </w:t>
      </w:r>
      <w:r>
        <w:rPr/>
        <w:t>for</w:t>
      </w:r>
      <w:r>
        <w:rPr>
          <w:spacing w:val="20"/>
        </w:rPr>
        <w:t> </w:t>
      </w:r>
      <w:r>
        <w:rPr/>
        <w:t>the</w:t>
      </w:r>
      <w:r>
        <w:rPr>
          <w:spacing w:val="21"/>
        </w:rPr>
        <w:t> </w:t>
      </w:r>
      <w:r>
        <w:rPr/>
        <w:t>articular</w:t>
      </w:r>
      <w:r>
        <w:rPr>
          <w:spacing w:val="20"/>
        </w:rPr>
        <w:t> </w:t>
      </w:r>
      <w:r>
        <w:rPr/>
        <w:t>cartilage,</w:t>
      </w:r>
      <w:r>
        <w:rPr>
          <w:spacing w:val="21"/>
        </w:rPr>
        <w:t> </w:t>
      </w:r>
      <w:r>
        <w:rPr/>
        <w:t>but</w:t>
      </w:r>
      <w:r>
        <w:rPr>
          <w:spacing w:val="18"/>
        </w:rPr>
        <w:t> </w:t>
      </w:r>
      <w:r>
        <w:rPr/>
        <w:t>because</w:t>
      </w:r>
      <w:r>
        <w:rPr>
          <w:spacing w:val="20"/>
        </w:rPr>
        <w:t> </w:t>
      </w:r>
      <w:r>
        <w:rPr/>
        <w:t>of</w:t>
      </w:r>
      <w:r>
        <w:rPr>
          <w:spacing w:val="20"/>
        </w:rPr>
        <w:t> </w:t>
      </w:r>
      <w:r>
        <w:rPr/>
        <w:t>the</w:t>
      </w:r>
      <w:r>
        <w:rPr>
          <w:spacing w:val="21"/>
        </w:rPr>
        <w:t> </w:t>
      </w:r>
      <w:r>
        <w:rPr/>
        <w:t>lack</w:t>
      </w:r>
      <w:r>
        <w:rPr>
          <w:spacing w:val="18"/>
        </w:rPr>
        <w:t> </w:t>
      </w:r>
      <w:r>
        <w:rPr/>
        <w:t>of</w:t>
      </w:r>
      <w:r>
        <w:rPr>
          <w:spacing w:val="21"/>
        </w:rPr>
        <w:t> </w:t>
      </w:r>
      <w:r>
        <w:rPr/>
        <w:t>movement</w:t>
      </w:r>
      <w:r>
        <w:rPr>
          <w:spacing w:val="19"/>
        </w:rPr>
        <w:t> </w:t>
      </w:r>
      <w:r>
        <w:rPr/>
        <w:t>(and</w:t>
      </w:r>
    </w:p>
    <w:p>
      <w:pPr>
        <w:spacing w:after="0" w:line="276" w:lineRule="auto"/>
        <w:jc w:val="both"/>
        <w:sectPr>
          <w:pgSz w:w="14270" w:h="16850"/>
          <w:pgMar w:header="0" w:footer="1891" w:top="1600" w:bottom="2080" w:left="800" w:right="1280"/>
        </w:sectPr>
      </w:pPr>
    </w:p>
    <w:p>
      <w:pPr>
        <w:pStyle w:val="BodyText"/>
        <w:spacing w:line="276" w:lineRule="auto" w:before="181"/>
        <w:ind w:left="477" w:right="131"/>
        <w:jc w:val="both"/>
      </w:pPr>
      <w:r>
        <w:rPr/>
        <w:t>the resulting lack of diffusion and pressure), it cannot transmit these to the ar- ticular</w:t>
      </w:r>
      <w:r>
        <w:rPr>
          <w:spacing w:val="-9"/>
        </w:rPr>
        <w:t> </w:t>
      </w:r>
      <w:r>
        <w:rPr/>
        <w:t>cartilage</w:t>
      </w:r>
      <w:r>
        <w:rPr>
          <w:spacing w:val="-10"/>
        </w:rPr>
        <w:t> </w:t>
      </w:r>
      <w:r>
        <w:rPr/>
        <w:t>–</w:t>
      </w:r>
      <w:r>
        <w:rPr>
          <w:spacing w:val="-10"/>
        </w:rPr>
        <w:t> </w:t>
      </w:r>
      <w:r>
        <w:rPr/>
        <w:t>which</w:t>
      </w:r>
      <w:r>
        <w:rPr>
          <w:spacing w:val="-8"/>
        </w:rPr>
        <w:t> </w:t>
      </w:r>
      <w:r>
        <w:rPr/>
        <w:t>is</w:t>
      </w:r>
      <w:r>
        <w:rPr>
          <w:spacing w:val="-9"/>
        </w:rPr>
        <w:t> </w:t>
      </w:r>
      <w:r>
        <w:rPr/>
        <w:t>then</w:t>
      </w:r>
      <w:r>
        <w:rPr>
          <w:spacing w:val="-8"/>
        </w:rPr>
        <w:t> </w:t>
      </w:r>
      <w:r>
        <w:rPr/>
        <w:t>literally</w:t>
      </w:r>
      <w:r>
        <w:rPr>
          <w:spacing w:val="-9"/>
        </w:rPr>
        <w:t> </w:t>
      </w:r>
      <w:r>
        <w:rPr/>
        <w:t>stunted</w:t>
      </w:r>
      <w:r>
        <w:rPr>
          <w:spacing w:val="-9"/>
        </w:rPr>
        <w:t> </w:t>
      </w:r>
      <w:r>
        <w:rPr/>
        <w:t>by</w:t>
      </w:r>
      <w:r>
        <w:rPr>
          <w:spacing w:val="-9"/>
        </w:rPr>
        <w:t> </w:t>
      </w:r>
      <w:r>
        <w:rPr/>
        <w:t>nutrient</w:t>
      </w:r>
      <w:r>
        <w:rPr>
          <w:spacing w:val="-10"/>
        </w:rPr>
        <w:t> </w:t>
      </w:r>
      <w:r>
        <w:rPr/>
        <w:t>deficiency</w:t>
      </w:r>
      <w:r>
        <w:rPr>
          <w:spacing w:val="-8"/>
        </w:rPr>
        <w:t> </w:t>
      </w:r>
      <w:r>
        <w:rPr/>
        <w:t>and</w:t>
      </w:r>
      <w:r>
        <w:rPr>
          <w:spacing w:val="-9"/>
        </w:rPr>
        <w:t> </w:t>
      </w:r>
      <w:r>
        <w:rPr/>
        <w:t>grad- ually</w:t>
      </w:r>
      <w:r>
        <w:rPr>
          <w:spacing w:val="-2"/>
        </w:rPr>
        <w:t> </w:t>
      </w:r>
      <w:r>
        <w:rPr/>
        <w:t>degenerates.</w:t>
      </w:r>
    </w:p>
    <w:p>
      <w:pPr>
        <w:pStyle w:val="Heading2"/>
        <w:spacing w:before="242"/>
      </w:pPr>
      <w:r>
        <w:rPr/>
        <w:t>Remedy for joint</w:t>
      </w:r>
      <w:r>
        <w:rPr>
          <w:spacing w:val="-14"/>
        </w:rPr>
        <w:t> </w:t>
      </w:r>
      <w:r>
        <w:rPr/>
        <w:t>problems</w:t>
      </w:r>
    </w:p>
    <w:p>
      <w:pPr>
        <w:pStyle w:val="BodyText"/>
        <w:spacing w:line="276" w:lineRule="auto" w:before="304"/>
        <w:ind w:left="477" w:right="132"/>
        <w:jc w:val="both"/>
      </w:pPr>
      <w:r>
        <w:rPr/>
        <w:t>Moderate joint movement adapted to the body’s own physical condition is therefore the absolute prerequisite for supplying the cartilage with nutrients – something which, in modern times, due to facilitated work, can often only be done by targeted sports movements in leisure time or via rehabilitation measures.</w:t>
      </w:r>
      <w:r>
        <w:rPr>
          <w:spacing w:val="-24"/>
        </w:rPr>
        <w:t> </w:t>
      </w:r>
      <w:r>
        <w:rPr/>
        <w:t>Movement</w:t>
      </w:r>
      <w:r>
        <w:rPr>
          <w:spacing w:val="-24"/>
        </w:rPr>
        <w:t> </w:t>
      </w:r>
      <w:r>
        <w:rPr/>
        <w:t>is</w:t>
      </w:r>
      <w:r>
        <w:rPr>
          <w:spacing w:val="-24"/>
        </w:rPr>
        <w:t> </w:t>
      </w:r>
      <w:r>
        <w:rPr/>
        <w:t>therefore</w:t>
      </w:r>
      <w:r>
        <w:rPr>
          <w:spacing w:val="-24"/>
        </w:rPr>
        <w:t> </w:t>
      </w:r>
      <w:r>
        <w:rPr/>
        <w:t>the</w:t>
      </w:r>
      <w:r>
        <w:rPr>
          <w:spacing w:val="-23"/>
        </w:rPr>
        <w:t> </w:t>
      </w:r>
      <w:r>
        <w:rPr/>
        <w:t>most</w:t>
      </w:r>
      <w:r>
        <w:rPr>
          <w:spacing w:val="-25"/>
        </w:rPr>
        <w:t> </w:t>
      </w:r>
      <w:r>
        <w:rPr/>
        <w:t>important</w:t>
      </w:r>
      <w:r>
        <w:rPr>
          <w:spacing w:val="-24"/>
        </w:rPr>
        <w:t> </w:t>
      </w:r>
      <w:r>
        <w:rPr/>
        <w:t>prerequisite</w:t>
      </w:r>
      <w:r>
        <w:rPr>
          <w:spacing w:val="-23"/>
        </w:rPr>
        <w:t> </w:t>
      </w:r>
      <w:r>
        <w:rPr/>
        <w:t>for</w:t>
      </w:r>
      <w:r>
        <w:rPr>
          <w:spacing w:val="-23"/>
        </w:rPr>
        <w:t> </w:t>
      </w:r>
      <w:r>
        <w:rPr/>
        <w:t>transport- ing the nutrients to the articular cartilage, for which they represent food. But before this can be successful, of course, care must be taken to ensure that the joint nutrients are produced in the capsule wall at all. This can only be guaran- teed by appropriate nutrition.</w:t>
      </w:r>
    </w:p>
    <w:p>
      <w:pPr>
        <w:pStyle w:val="Heading2"/>
        <w:spacing w:before="240"/>
      </w:pPr>
      <w:r>
        <w:rPr/>
        <w:t>Thus, the logical order for optimum joint nutrition is as follows:</w:t>
      </w:r>
    </w:p>
    <w:p>
      <w:pPr>
        <w:pStyle w:val="ListParagraph"/>
        <w:numPr>
          <w:ilvl w:val="1"/>
          <w:numId w:val="26"/>
        </w:numPr>
        <w:tabs>
          <w:tab w:pos="1198" w:val="left" w:leader="none"/>
        </w:tabs>
        <w:spacing w:line="273" w:lineRule="auto" w:before="306" w:after="0"/>
        <w:ind w:left="1197" w:right="139" w:hanging="360"/>
        <w:jc w:val="both"/>
        <w:rPr>
          <w:sz w:val="38"/>
        </w:rPr>
      </w:pPr>
      <w:r>
        <w:rPr>
          <w:sz w:val="38"/>
        </w:rPr>
        <w:t>Through nutrition, we supply our body with the necessary raw materials, which are then available to the joint capsule wall in order to produce the nutrients that articular cartilage requires.</w:t>
      </w:r>
    </w:p>
    <w:p>
      <w:pPr>
        <w:pStyle w:val="ListParagraph"/>
        <w:numPr>
          <w:ilvl w:val="1"/>
          <w:numId w:val="26"/>
        </w:numPr>
        <w:tabs>
          <w:tab w:pos="1198" w:val="left" w:leader="none"/>
        </w:tabs>
        <w:spacing w:line="273" w:lineRule="auto" w:before="251" w:after="0"/>
        <w:ind w:left="1197" w:right="136" w:hanging="360"/>
        <w:jc w:val="both"/>
        <w:rPr>
          <w:sz w:val="38"/>
        </w:rPr>
      </w:pPr>
      <w:r>
        <w:rPr>
          <w:sz w:val="38"/>
        </w:rPr>
        <w:t>Through sport and exercise, we ensure that the nutrients produced in the joint capsule can even be transported into the articular cartilage via the synovial</w:t>
      </w:r>
      <w:r>
        <w:rPr>
          <w:spacing w:val="-2"/>
          <w:sz w:val="38"/>
        </w:rPr>
        <w:t> </w:t>
      </w:r>
      <w:r>
        <w:rPr>
          <w:sz w:val="38"/>
        </w:rPr>
        <w:t>fluid.</w:t>
      </w:r>
    </w:p>
    <w:p>
      <w:pPr>
        <w:spacing w:after="0" w:line="273" w:lineRule="auto"/>
        <w:jc w:val="both"/>
        <w:rPr>
          <w:sz w:val="38"/>
        </w:rPr>
        <w:sectPr>
          <w:pgSz w:w="14270" w:h="16850"/>
          <w:pgMar w:header="0" w:footer="1891" w:top="1600" w:bottom="2080" w:left="800" w:right="1280"/>
        </w:sectPr>
      </w:pPr>
    </w:p>
    <w:p>
      <w:pPr>
        <w:pStyle w:val="BodyText"/>
        <w:spacing w:before="181"/>
        <w:ind w:left="477"/>
        <w:jc w:val="both"/>
      </w:pPr>
      <w:r>
        <w:rPr/>
        <w:t>BUT:</w:t>
      </w:r>
    </w:p>
    <w:p>
      <w:pPr>
        <w:pStyle w:val="BodyText"/>
        <w:spacing w:line="276" w:lineRule="auto" w:before="305"/>
        <w:ind w:left="477" w:right="136"/>
        <w:jc w:val="both"/>
      </w:pPr>
      <w:r>
        <w:rPr/>
        <w:t>Today's living conditions (environmental pollution, toxins in our food, the in- crease in physical and mental stress and much more) generally require an in- creased nutrient intake, which goes far beyond the previous minimum require- ment.</w:t>
      </w:r>
    </w:p>
    <w:p>
      <w:pPr>
        <w:pStyle w:val="BodyText"/>
        <w:spacing w:line="276" w:lineRule="auto" w:before="239"/>
        <w:ind w:left="477" w:right="136"/>
        <w:jc w:val="both"/>
      </w:pPr>
      <w:r>
        <w:rPr/>
        <w:t>At the same time, the vitamin and nutrient content in our food has dropped dramatically due to modern processing, depleted soils, air pollution, long stor- age and rapid growth.</w:t>
      </w:r>
    </w:p>
    <w:p>
      <w:pPr>
        <w:spacing w:line="276" w:lineRule="auto" w:before="242"/>
        <w:ind w:left="477" w:right="133" w:firstLine="0"/>
        <w:jc w:val="both"/>
        <w:rPr>
          <w:i/>
          <w:sz w:val="38"/>
        </w:rPr>
      </w:pPr>
      <w:r>
        <w:rPr>
          <w:i/>
          <w:sz w:val="38"/>
        </w:rPr>
        <w:t>In</w:t>
      </w:r>
      <w:r>
        <w:rPr>
          <w:i/>
          <w:spacing w:val="-15"/>
          <w:sz w:val="38"/>
        </w:rPr>
        <w:t> </w:t>
      </w:r>
      <w:r>
        <w:rPr>
          <w:i/>
          <w:sz w:val="38"/>
        </w:rPr>
        <w:t>addition</w:t>
      </w:r>
      <w:r>
        <w:rPr>
          <w:i/>
          <w:spacing w:val="-15"/>
          <w:sz w:val="38"/>
        </w:rPr>
        <w:t> </w:t>
      </w:r>
      <w:r>
        <w:rPr>
          <w:i/>
          <w:sz w:val="38"/>
        </w:rPr>
        <w:t>to</w:t>
      </w:r>
      <w:r>
        <w:rPr>
          <w:i/>
          <w:spacing w:val="-18"/>
          <w:sz w:val="38"/>
        </w:rPr>
        <w:t> </w:t>
      </w:r>
      <w:r>
        <w:rPr>
          <w:i/>
          <w:sz w:val="38"/>
        </w:rPr>
        <w:t>Theodosakis,</w:t>
      </w:r>
      <w:r>
        <w:rPr>
          <w:i/>
          <w:spacing w:val="-15"/>
          <w:sz w:val="38"/>
        </w:rPr>
        <w:t> </w:t>
      </w:r>
      <w:r>
        <w:rPr>
          <w:i/>
          <w:sz w:val="38"/>
        </w:rPr>
        <w:t>many</w:t>
      </w:r>
      <w:r>
        <w:rPr>
          <w:i/>
          <w:spacing w:val="-16"/>
          <w:sz w:val="38"/>
        </w:rPr>
        <w:t> </w:t>
      </w:r>
      <w:r>
        <w:rPr>
          <w:i/>
          <w:sz w:val="38"/>
        </w:rPr>
        <w:t>other</w:t>
      </w:r>
      <w:r>
        <w:rPr>
          <w:i/>
          <w:spacing w:val="-15"/>
          <w:sz w:val="38"/>
        </w:rPr>
        <w:t> </w:t>
      </w:r>
      <w:r>
        <w:rPr>
          <w:i/>
          <w:sz w:val="38"/>
        </w:rPr>
        <w:t>physicians</w:t>
      </w:r>
      <w:r>
        <w:rPr>
          <w:i/>
          <w:spacing w:val="-15"/>
          <w:sz w:val="38"/>
        </w:rPr>
        <w:t> </w:t>
      </w:r>
      <w:r>
        <w:rPr>
          <w:i/>
          <w:sz w:val="38"/>
        </w:rPr>
        <w:t>point</w:t>
      </w:r>
      <w:r>
        <w:rPr>
          <w:i/>
          <w:spacing w:val="-16"/>
          <w:sz w:val="38"/>
        </w:rPr>
        <w:t> </w:t>
      </w:r>
      <w:r>
        <w:rPr>
          <w:i/>
          <w:sz w:val="38"/>
        </w:rPr>
        <w:t>out</w:t>
      </w:r>
      <w:r>
        <w:rPr>
          <w:i/>
          <w:spacing w:val="-17"/>
          <w:sz w:val="38"/>
        </w:rPr>
        <w:t> </w:t>
      </w:r>
      <w:r>
        <w:rPr>
          <w:i/>
          <w:sz w:val="38"/>
        </w:rPr>
        <w:t>that</w:t>
      </w:r>
      <w:r>
        <w:rPr>
          <w:i/>
          <w:spacing w:val="-17"/>
          <w:sz w:val="38"/>
        </w:rPr>
        <w:t> </w:t>
      </w:r>
      <w:r>
        <w:rPr>
          <w:i/>
          <w:sz w:val="38"/>
        </w:rPr>
        <w:t>arthrosis</w:t>
      </w:r>
      <w:r>
        <w:rPr>
          <w:i/>
          <w:spacing w:val="-5"/>
          <w:sz w:val="38"/>
        </w:rPr>
        <w:t> </w:t>
      </w:r>
      <w:r>
        <w:rPr>
          <w:i/>
          <w:sz w:val="38"/>
        </w:rPr>
        <w:t>is</w:t>
      </w:r>
      <w:r>
        <w:rPr>
          <w:i/>
          <w:spacing w:val="-19"/>
          <w:sz w:val="38"/>
        </w:rPr>
        <w:t> </w:t>
      </w:r>
      <w:r>
        <w:rPr>
          <w:i/>
          <w:sz w:val="38"/>
        </w:rPr>
        <w:t>at</w:t>
      </w:r>
      <w:r>
        <w:rPr>
          <w:i/>
          <w:spacing w:val="-16"/>
          <w:sz w:val="38"/>
        </w:rPr>
        <w:t> </w:t>
      </w:r>
      <w:r>
        <w:rPr>
          <w:i/>
          <w:sz w:val="38"/>
        </w:rPr>
        <w:t>least</w:t>
      </w:r>
      <w:r>
        <w:rPr>
          <w:i/>
          <w:spacing w:val="-16"/>
          <w:sz w:val="38"/>
        </w:rPr>
        <w:t> </w:t>
      </w:r>
      <w:r>
        <w:rPr>
          <w:i/>
          <w:sz w:val="38"/>
        </w:rPr>
        <w:t>partially </w:t>
      </w:r>
      <w:r>
        <w:rPr>
          <w:i/>
          <w:sz w:val="38"/>
        </w:rPr>
        <w:t>considered to be a nutritional deficiency</w:t>
      </w:r>
      <w:r>
        <w:rPr>
          <w:i/>
          <w:spacing w:val="-69"/>
          <w:sz w:val="38"/>
        </w:rPr>
        <w:t> </w:t>
      </w:r>
      <w:r>
        <w:rPr>
          <w:i/>
          <w:sz w:val="38"/>
        </w:rPr>
        <w:t>disease in connective tissue and cartilage, for example, caused by an insufficient supply of joint nutrients that have largely disappeared from modern food due to contemporary industrial processing methods, for</w:t>
      </w:r>
      <w:r>
        <w:rPr>
          <w:i/>
          <w:spacing w:val="-5"/>
          <w:sz w:val="38"/>
        </w:rPr>
        <w:t> </w:t>
      </w:r>
      <w:r>
        <w:rPr>
          <w:i/>
          <w:sz w:val="38"/>
        </w:rPr>
        <w:t>example.</w:t>
      </w:r>
    </w:p>
    <w:p>
      <w:pPr>
        <w:pStyle w:val="BodyText"/>
        <w:spacing w:line="276" w:lineRule="auto" w:before="239"/>
        <w:ind w:left="477" w:right="138"/>
        <w:jc w:val="both"/>
      </w:pPr>
      <w:r>
        <w:rPr/>
        <w:t>Furthermore, today's diet, with its high protein content, saturated fats and ex- cessive amounts of salt and sugar, encourages joint disease. In addition, people are increasingly consuming stimulants, such as smoking or the consumption of caffeine and alcohol.</w:t>
      </w:r>
    </w:p>
    <w:p>
      <w:pPr>
        <w:pStyle w:val="BodyText"/>
        <w:spacing w:line="276" w:lineRule="auto" w:before="242"/>
        <w:ind w:left="477" w:right="132"/>
        <w:jc w:val="both"/>
      </w:pPr>
      <w:r>
        <w:rPr/>
        <w:t>Avoiding the abovementioned stimulants – or at least restricting them –, con- suming less meat in favour of eating more fish (especially coldwater fish) and a higher proportion of vegetables and fruits would, by nutritional intake, help to create a healthy basis which is both preventive and curative.</w:t>
      </w:r>
    </w:p>
    <w:p>
      <w:pPr>
        <w:spacing w:after="0" w:line="276" w:lineRule="auto"/>
        <w:jc w:val="both"/>
        <w:sectPr>
          <w:pgSz w:w="14270" w:h="16850"/>
          <w:pgMar w:header="0" w:footer="1891" w:top="1600" w:bottom="2080" w:left="800" w:right="1280"/>
        </w:sectPr>
      </w:pPr>
    </w:p>
    <w:p>
      <w:pPr>
        <w:pStyle w:val="Heading1"/>
        <w:spacing w:before="164"/>
      </w:pPr>
      <w:r>
        <w:rPr/>
        <w:t>Glucosamine and chondroitin as a special food for the joints</w:t>
      </w:r>
    </w:p>
    <w:p>
      <w:pPr>
        <w:pStyle w:val="BodyText"/>
        <w:spacing w:line="276" w:lineRule="auto" w:before="299"/>
        <w:ind w:left="477" w:right="133"/>
        <w:jc w:val="both"/>
      </w:pPr>
      <w:r>
        <w:rPr/>
        <w:t>But since the hyaline cartilage has a very slow metabolism, it is – aside from vitamins and minerals – indispensable to provide this with special nutrition which,</w:t>
      </w:r>
      <w:r>
        <w:rPr>
          <w:spacing w:val="-23"/>
        </w:rPr>
        <w:t> </w:t>
      </w:r>
      <w:r>
        <w:rPr/>
        <w:t>in</w:t>
      </w:r>
      <w:r>
        <w:rPr>
          <w:spacing w:val="-27"/>
        </w:rPr>
        <w:t> </w:t>
      </w:r>
      <w:r>
        <w:rPr/>
        <w:t>biochemical</w:t>
      </w:r>
      <w:r>
        <w:rPr>
          <w:spacing w:val="-26"/>
        </w:rPr>
        <w:t> </w:t>
      </w:r>
      <w:r>
        <w:rPr/>
        <w:t>terms,</w:t>
      </w:r>
      <w:r>
        <w:rPr>
          <w:spacing w:val="-23"/>
        </w:rPr>
        <w:t> </w:t>
      </w:r>
      <w:r>
        <w:rPr/>
        <w:t>closely</w:t>
      </w:r>
      <w:r>
        <w:rPr>
          <w:spacing w:val="-25"/>
        </w:rPr>
        <w:t> </w:t>
      </w:r>
      <w:r>
        <w:rPr/>
        <w:t>resembles</w:t>
      </w:r>
      <w:r>
        <w:rPr>
          <w:spacing w:val="-26"/>
        </w:rPr>
        <w:t> </w:t>
      </w:r>
      <w:r>
        <w:rPr/>
        <w:t>its</w:t>
      </w:r>
      <w:r>
        <w:rPr>
          <w:spacing w:val="-29"/>
        </w:rPr>
        <w:t> </w:t>
      </w:r>
      <w:r>
        <w:rPr/>
        <w:t>own</w:t>
      </w:r>
      <w:r>
        <w:rPr>
          <w:spacing w:val="-24"/>
        </w:rPr>
        <w:t> </w:t>
      </w:r>
      <w:r>
        <w:rPr/>
        <w:t>structures.</w:t>
      </w:r>
      <w:r>
        <w:rPr>
          <w:spacing w:val="-26"/>
        </w:rPr>
        <w:t> </w:t>
      </w:r>
      <w:r>
        <w:rPr/>
        <w:t>We</w:t>
      </w:r>
      <w:r>
        <w:rPr>
          <w:spacing w:val="-24"/>
        </w:rPr>
        <w:t> </w:t>
      </w:r>
      <w:r>
        <w:rPr/>
        <w:t>agree</w:t>
      </w:r>
      <w:r>
        <w:rPr>
          <w:spacing w:val="-27"/>
        </w:rPr>
        <w:t> </w:t>
      </w:r>
      <w:r>
        <w:rPr/>
        <w:t>with the opinion of leading researchers and nutritionists, such as Kristine Dark of Pennsylvania State University, that a normal diet is not enough to ensure the supply of the essential building blocks for cartilage building. It can provide, at most, a supportive basis for</w:t>
      </w:r>
      <w:r>
        <w:rPr>
          <w:spacing w:val="2"/>
        </w:rPr>
        <w:t> </w:t>
      </w:r>
      <w:r>
        <w:rPr/>
        <w:t>this.</w:t>
      </w:r>
    </w:p>
    <w:p>
      <w:pPr>
        <w:pStyle w:val="BodyText"/>
        <w:spacing w:line="276" w:lineRule="auto" w:before="241"/>
        <w:ind w:left="477" w:right="130"/>
        <w:jc w:val="both"/>
      </w:pPr>
      <w:r>
        <w:rPr/>
        <w:t>It is precisely at this point that the so-called chondroprotective i.e. joint-pro- tecting and joint-building nutritional supplements ‘glucosamine’ and ‘chon- droitin’ come into play. Unfortunately, both joint nutrients hardly feature in a typical diet in their original form. Glucosamine and chondroitin are only</w:t>
      </w:r>
      <w:r>
        <w:rPr>
          <w:spacing w:val="-43"/>
        </w:rPr>
        <w:t> </w:t>
      </w:r>
      <w:r>
        <w:rPr/>
        <w:t>found in</w:t>
      </w:r>
      <w:r>
        <w:rPr>
          <w:spacing w:val="-5"/>
        </w:rPr>
        <w:t> </w:t>
      </w:r>
      <w:r>
        <w:rPr/>
        <w:t>large</w:t>
      </w:r>
      <w:r>
        <w:rPr>
          <w:spacing w:val="-3"/>
        </w:rPr>
        <w:t> </w:t>
      </w:r>
      <w:r>
        <w:rPr/>
        <w:t>quantities</w:t>
      </w:r>
      <w:r>
        <w:rPr>
          <w:spacing w:val="-4"/>
        </w:rPr>
        <w:t> </w:t>
      </w:r>
      <w:r>
        <w:rPr/>
        <w:t>in</w:t>
      </w:r>
      <w:r>
        <w:rPr>
          <w:spacing w:val="-7"/>
        </w:rPr>
        <w:t> </w:t>
      </w:r>
      <w:r>
        <w:rPr/>
        <w:t>animal</w:t>
      </w:r>
      <w:r>
        <w:rPr>
          <w:spacing w:val="-5"/>
        </w:rPr>
        <w:t> </w:t>
      </w:r>
      <w:r>
        <w:rPr/>
        <w:t>cartilage</w:t>
      </w:r>
      <w:r>
        <w:rPr>
          <w:spacing w:val="-4"/>
        </w:rPr>
        <w:t> </w:t>
      </w:r>
      <w:r>
        <w:rPr/>
        <w:t>tissue</w:t>
      </w:r>
      <w:r>
        <w:rPr>
          <w:spacing w:val="-6"/>
        </w:rPr>
        <w:t> </w:t>
      </w:r>
      <w:r>
        <w:rPr/>
        <w:t>or</w:t>
      </w:r>
      <w:r>
        <w:rPr>
          <w:spacing w:val="-5"/>
        </w:rPr>
        <w:t> </w:t>
      </w:r>
      <w:r>
        <w:rPr/>
        <w:t>in</w:t>
      </w:r>
      <w:r>
        <w:rPr>
          <w:spacing w:val="-4"/>
        </w:rPr>
        <w:t> </w:t>
      </w:r>
      <w:r>
        <w:rPr/>
        <w:t>the</w:t>
      </w:r>
      <w:r>
        <w:rPr>
          <w:spacing w:val="-4"/>
        </w:rPr>
        <w:t> </w:t>
      </w:r>
      <w:r>
        <w:rPr/>
        <w:t>shells</w:t>
      </w:r>
      <w:r>
        <w:rPr>
          <w:spacing w:val="-8"/>
        </w:rPr>
        <w:t> </w:t>
      </w:r>
      <w:r>
        <w:rPr/>
        <w:t>of</w:t>
      </w:r>
      <w:r>
        <w:rPr>
          <w:spacing w:val="-6"/>
        </w:rPr>
        <w:t> </w:t>
      </w:r>
      <w:r>
        <w:rPr/>
        <w:t>crab,</w:t>
      </w:r>
      <w:r>
        <w:rPr>
          <w:spacing w:val="-4"/>
        </w:rPr>
        <w:t> </w:t>
      </w:r>
      <w:r>
        <w:rPr/>
        <w:t>shrimp,</w:t>
      </w:r>
      <w:r>
        <w:rPr>
          <w:spacing w:val="-6"/>
        </w:rPr>
        <w:t> </w:t>
      </w:r>
      <w:r>
        <w:rPr/>
        <w:t>lob- ster and clams – that is, in things which are not on the human menu at all. However, for a positive effect on our joints – and this has been shown</w:t>
      </w:r>
      <w:r>
        <w:rPr>
          <w:spacing w:val="-53"/>
        </w:rPr>
        <w:t> </w:t>
      </w:r>
      <w:r>
        <w:rPr/>
        <w:t>impres- sively by studies – we need these substances in sufficient quantities day after day. So, it is good news that these joint nutrients are now available as dietary supplements.</w:t>
      </w:r>
    </w:p>
    <w:p>
      <w:pPr>
        <w:pStyle w:val="Heading2"/>
        <w:spacing w:before="240"/>
      </w:pPr>
      <w:r>
        <w:rPr/>
        <w:t>Glucosamine and chondroitin – the synergistic effect</w:t>
      </w:r>
    </w:p>
    <w:p>
      <w:pPr>
        <w:pStyle w:val="BodyText"/>
        <w:spacing w:line="276" w:lineRule="auto" w:before="305"/>
        <w:ind w:left="477" w:right="137"/>
        <w:jc w:val="both"/>
      </w:pPr>
      <w:r>
        <w:rPr/>
        <w:t>Interestingly, some researchers argue that the body makes or converts its own chondroitins</w:t>
      </w:r>
      <w:r>
        <w:rPr>
          <w:spacing w:val="-18"/>
        </w:rPr>
        <w:t> </w:t>
      </w:r>
      <w:r>
        <w:rPr/>
        <w:t>from</w:t>
      </w:r>
      <w:r>
        <w:rPr>
          <w:spacing w:val="-18"/>
        </w:rPr>
        <w:t> </w:t>
      </w:r>
      <w:r>
        <w:rPr/>
        <w:t>glucosamine.</w:t>
      </w:r>
      <w:r>
        <w:rPr>
          <w:spacing w:val="-17"/>
        </w:rPr>
        <w:t> </w:t>
      </w:r>
      <w:r>
        <w:rPr/>
        <w:t>The</w:t>
      </w:r>
      <w:r>
        <w:rPr>
          <w:spacing w:val="-18"/>
        </w:rPr>
        <w:t> </w:t>
      </w:r>
      <w:r>
        <w:rPr/>
        <w:t>real</w:t>
      </w:r>
      <w:r>
        <w:rPr>
          <w:spacing w:val="-19"/>
        </w:rPr>
        <w:t> </w:t>
      </w:r>
      <w:r>
        <w:rPr/>
        <w:t>synergetic</w:t>
      </w:r>
      <w:r>
        <w:rPr>
          <w:spacing w:val="-18"/>
        </w:rPr>
        <w:t> </w:t>
      </w:r>
      <w:r>
        <w:rPr/>
        <w:t>advantage</w:t>
      </w:r>
      <w:r>
        <w:rPr>
          <w:spacing w:val="-19"/>
        </w:rPr>
        <w:t> </w:t>
      </w:r>
      <w:r>
        <w:rPr/>
        <w:t>of</w:t>
      </w:r>
      <w:r>
        <w:rPr>
          <w:spacing w:val="-15"/>
        </w:rPr>
        <w:t> </w:t>
      </w:r>
      <w:r>
        <w:rPr/>
        <w:t>these</w:t>
      </w:r>
      <w:r>
        <w:rPr>
          <w:spacing w:val="-17"/>
        </w:rPr>
        <w:t> </w:t>
      </w:r>
      <w:r>
        <w:rPr/>
        <w:t>two</w:t>
      </w:r>
      <w:r>
        <w:rPr>
          <w:spacing w:val="-18"/>
        </w:rPr>
        <w:t> </w:t>
      </w:r>
      <w:r>
        <w:rPr/>
        <w:t>nat-</w:t>
      </w:r>
    </w:p>
    <w:p>
      <w:pPr>
        <w:spacing w:after="0" w:line="276" w:lineRule="auto"/>
        <w:jc w:val="both"/>
        <w:sectPr>
          <w:pgSz w:w="14270" w:h="16850"/>
          <w:pgMar w:header="0" w:footer="1891" w:top="1600" w:bottom="2080" w:left="800" w:right="1280"/>
        </w:sectPr>
      </w:pPr>
    </w:p>
    <w:p>
      <w:pPr>
        <w:pStyle w:val="BodyText"/>
        <w:spacing w:line="276" w:lineRule="auto" w:before="181"/>
        <w:ind w:left="477" w:right="132"/>
        <w:jc w:val="both"/>
      </w:pPr>
      <w:r>
        <w:rPr/>
        <w:t>ural substances, however, manifests itself in the fact that they assume com- pletely different functions in the joint, which, together, achieve the beneficial, regenerative effect: while glucosamine sulphate provides the joint with the nu- trients</w:t>
      </w:r>
      <w:r>
        <w:rPr>
          <w:spacing w:val="-5"/>
        </w:rPr>
        <w:t> </w:t>
      </w:r>
      <w:r>
        <w:rPr/>
        <w:t>needed</w:t>
      </w:r>
      <w:r>
        <w:rPr>
          <w:spacing w:val="-8"/>
        </w:rPr>
        <w:t> </w:t>
      </w:r>
      <w:r>
        <w:rPr/>
        <w:t>to</w:t>
      </w:r>
      <w:r>
        <w:rPr>
          <w:spacing w:val="-5"/>
        </w:rPr>
        <w:t> </w:t>
      </w:r>
      <w:r>
        <w:rPr/>
        <w:t>regenerate</w:t>
      </w:r>
      <w:r>
        <w:rPr>
          <w:spacing w:val="-6"/>
        </w:rPr>
        <w:t> </w:t>
      </w:r>
      <w:r>
        <w:rPr/>
        <w:t>and</w:t>
      </w:r>
      <w:r>
        <w:rPr>
          <w:spacing w:val="-8"/>
        </w:rPr>
        <w:t> </w:t>
      </w:r>
      <w:r>
        <w:rPr/>
        <w:t>rebuild</w:t>
      </w:r>
      <w:r>
        <w:rPr>
          <w:spacing w:val="-8"/>
        </w:rPr>
        <w:t> </w:t>
      </w:r>
      <w:r>
        <w:rPr/>
        <w:t>articular</w:t>
      </w:r>
      <w:r>
        <w:rPr>
          <w:spacing w:val="-3"/>
        </w:rPr>
        <w:t> </w:t>
      </w:r>
      <w:r>
        <w:rPr/>
        <w:t>cartilage</w:t>
      </w:r>
      <w:r>
        <w:rPr>
          <w:spacing w:val="-5"/>
        </w:rPr>
        <w:t> </w:t>
      </w:r>
      <w:r>
        <w:rPr/>
        <w:t>and</w:t>
      </w:r>
      <w:r>
        <w:rPr>
          <w:spacing w:val="-6"/>
        </w:rPr>
        <w:t> </w:t>
      </w:r>
      <w:r>
        <w:rPr/>
        <w:t>is</w:t>
      </w:r>
      <w:r>
        <w:rPr>
          <w:spacing w:val="-10"/>
        </w:rPr>
        <w:t> </w:t>
      </w:r>
      <w:r>
        <w:rPr/>
        <w:t>even</w:t>
      </w:r>
      <w:r>
        <w:rPr>
          <w:spacing w:val="-6"/>
        </w:rPr>
        <w:t> </w:t>
      </w:r>
      <w:r>
        <w:rPr/>
        <w:t>an</w:t>
      </w:r>
      <w:r>
        <w:rPr>
          <w:spacing w:val="-8"/>
        </w:rPr>
        <w:t> </w:t>
      </w:r>
      <w:r>
        <w:rPr/>
        <w:t>essen- tial component of synovial fluid and cartilage, chondroitin sulphate has a posi- tive</w:t>
      </w:r>
      <w:r>
        <w:rPr>
          <w:spacing w:val="-11"/>
        </w:rPr>
        <w:t> </w:t>
      </w:r>
      <w:r>
        <w:rPr/>
        <w:t>impact</w:t>
      </w:r>
      <w:r>
        <w:rPr>
          <w:spacing w:val="-10"/>
        </w:rPr>
        <w:t> </w:t>
      </w:r>
      <w:r>
        <w:rPr/>
        <w:t>on</w:t>
      </w:r>
      <w:r>
        <w:rPr>
          <w:spacing w:val="-8"/>
        </w:rPr>
        <w:t> </w:t>
      </w:r>
      <w:r>
        <w:rPr/>
        <w:t>the</w:t>
      </w:r>
      <w:r>
        <w:rPr>
          <w:spacing w:val="-10"/>
        </w:rPr>
        <w:t> </w:t>
      </w:r>
      <w:r>
        <w:rPr/>
        <w:t>water</w:t>
      </w:r>
      <w:r>
        <w:rPr>
          <w:spacing w:val="-10"/>
        </w:rPr>
        <w:t> </w:t>
      </w:r>
      <w:r>
        <w:rPr/>
        <w:t>content</w:t>
      </w:r>
      <w:r>
        <w:rPr>
          <w:spacing w:val="-12"/>
        </w:rPr>
        <w:t> </w:t>
      </w:r>
      <w:r>
        <w:rPr/>
        <w:t>of</w:t>
      </w:r>
      <w:r>
        <w:rPr>
          <w:spacing w:val="-10"/>
        </w:rPr>
        <w:t> </w:t>
      </w:r>
      <w:r>
        <w:rPr/>
        <w:t>articular</w:t>
      </w:r>
      <w:r>
        <w:rPr>
          <w:spacing w:val="-9"/>
        </w:rPr>
        <w:t> </w:t>
      </w:r>
      <w:r>
        <w:rPr/>
        <w:t>cartilage</w:t>
      </w:r>
      <w:r>
        <w:rPr>
          <w:spacing w:val="-10"/>
        </w:rPr>
        <w:t> </w:t>
      </w:r>
      <w:r>
        <w:rPr/>
        <w:t>and</w:t>
      </w:r>
      <w:r>
        <w:rPr>
          <w:spacing w:val="-10"/>
        </w:rPr>
        <w:t> </w:t>
      </w:r>
      <w:r>
        <w:rPr/>
        <w:t>regulates</w:t>
      </w:r>
      <w:r>
        <w:rPr>
          <w:spacing w:val="-9"/>
        </w:rPr>
        <w:t> </w:t>
      </w:r>
      <w:r>
        <w:rPr/>
        <w:t>its</w:t>
      </w:r>
      <w:r>
        <w:rPr>
          <w:spacing w:val="-11"/>
        </w:rPr>
        <w:t> </w:t>
      </w:r>
      <w:r>
        <w:rPr/>
        <w:t>elasticity.</w:t>
      </w:r>
    </w:p>
    <w:p>
      <w:pPr>
        <w:pStyle w:val="Heading2"/>
        <w:spacing w:before="241"/>
        <w:jc w:val="both"/>
      </w:pPr>
      <w:r>
        <w:rPr/>
        <w:t>Positive effects of glucosamine and chondroitin – a summary:</w:t>
      </w:r>
    </w:p>
    <w:p>
      <w:pPr>
        <w:spacing w:before="287"/>
        <w:ind w:left="477" w:right="0" w:firstLine="0"/>
        <w:jc w:val="both"/>
        <w:rPr>
          <w:b/>
          <w:i/>
          <w:sz w:val="40"/>
        </w:rPr>
      </w:pPr>
      <w:r>
        <w:rPr>
          <w:b/>
          <w:i/>
          <w:sz w:val="40"/>
        </w:rPr>
        <w:t>Glucosamine and chondroitin are:</w:t>
      </w:r>
    </w:p>
    <w:p>
      <w:pPr>
        <w:pStyle w:val="ListParagraph"/>
        <w:numPr>
          <w:ilvl w:val="0"/>
          <w:numId w:val="26"/>
        </w:numPr>
        <w:tabs>
          <w:tab w:pos="1198" w:val="left" w:leader="none"/>
        </w:tabs>
        <w:spacing w:line="240" w:lineRule="auto" w:before="181" w:after="0"/>
        <w:ind w:left="1048" w:right="0" w:hanging="571"/>
        <w:jc w:val="both"/>
        <w:rPr>
          <w:sz w:val="38"/>
        </w:rPr>
      </w:pPr>
      <w:r>
        <w:rPr>
          <w:sz w:val="38"/>
        </w:rPr>
        <w:t>soothing</w:t>
      </w:r>
    </w:p>
    <w:p>
      <w:pPr>
        <w:pStyle w:val="ListParagraph"/>
        <w:numPr>
          <w:ilvl w:val="0"/>
          <w:numId w:val="26"/>
        </w:numPr>
        <w:tabs>
          <w:tab w:pos="1198" w:val="left" w:leader="none"/>
        </w:tabs>
        <w:spacing w:line="240" w:lineRule="auto" w:before="184" w:after="0"/>
        <w:ind w:left="1048" w:right="0" w:hanging="571"/>
        <w:jc w:val="both"/>
        <w:rPr>
          <w:sz w:val="38"/>
        </w:rPr>
      </w:pPr>
      <w:r>
        <w:rPr>
          <w:sz w:val="38"/>
        </w:rPr>
        <w:t>anti-inflammatory</w:t>
      </w:r>
    </w:p>
    <w:p>
      <w:pPr>
        <w:pStyle w:val="ListParagraph"/>
        <w:numPr>
          <w:ilvl w:val="0"/>
          <w:numId w:val="26"/>
        </w:numPr>
        <w:tabs>
          <w:tab w:pos="1198" w:val="left" w:leader="none"/>
        </w:tabs>
        <w:spacing w:line="240" w:lineRule="auto" w:before="183" w:after="0"/>
        <w:ind w:left="1048" w:right="0" w:hanging="571"/>
        <w:jc w:val="both"/>
        <w:rPr>
          <w:sz w:val="38"/>
        </w:rPr>
      </w:pPr>
      <w:r>
        <w:rPr>
          <w:sz w:val="38"/>
        </w:rPr>
        <w:t>cartilage-protecting</w:t>
      </w:r>
    </w:p>
    <w:p>
      <w:pPr>
        <w:pStyle w:val="ListParagraph"/>
        <w:numPr>
          <w:ilvl w:val="0"/>
          <w:numId w:val="26"/>
        </w:numPr>
        <w:tabs>
          <w:tab w:pos="1198" w:val="left" w:leader="none"/>
        </w:tabs>
        <w:spacing w:line="240" w:lineRule="auto" w:before="186" w:after="0"/>
        <w:ind w:left="1048" w:right="0" w:hanging="571"/>
        <w:jc w:val="both"/>
        <w:rPr>
          <w:sz w:val="38"/>
        </w:rPr>
      </w:pPr>
      <w:r>
        <w:rPr>
          <w:sz w:val="38"/>
        </w:rPr>
        <w:t>cartilage-developing</w:t>
      </w:r>
    </w:p>
    <w:p>
      <w:pPr>
        <w:pStyle w:val="BodyText"/>
        <w:spacing w:line="276" w:lineRule="auto" w:before="303"/>
        <w:ind w:left="477" w:right="132"/>
        <w:jc w:val="both"/>
      </w:pPr>
      <w:r>
        <w:rPr/>
        <w:t>In</w:t>
      </w:r>
      <w:r>
        <w:rPr>
          <w:spacing w:val="-18"/>
        </w:rPr>
        <w:t> </w:t>
      </w:r>
      <w:r>
        <w:rPr/>
        <w:t>addition,</w:t>
      </w:r>
      <w:r>
        <w:rPr>
          <w:spacing w:val="-18"/>
        </w:rPr>
        <w:t> </w:t>
      </w:r>
      <w:r>
        <w:rPr/>
        <w:t>both</w:t>
      </w:r>
      <w:r>
        <w:rPr>
          <w:spacing w:val="-18"/>
        </w:rPr>
        <w:t> </w:t>
      </w:r>
      <w:r>
        <w:rPr/>
        <w:t>agents</w:t>
      </w:r>
      <w:r>
        <w:rPr>
          <w:spacing w:val="-18"/>
        </w:rPr>
        <w:t> </w:t>
      </w:r>
      <w:r>
        <w:rPr/>
        <w:t>have</w:t>
      </w:r>
      <w:r>
        <w:rPr>
          <w:spacing w:val="-19"/>
        </w:rPr>
        <w:t> </w:t>
      </w:r>
      <w:r>
        <w:rPr/>
        <w:t>a</w:t>
      </w:r>
      <w:r>
        <w:rPr>
          <w:spacing w:val="-20"/>
        </w:rPr>
        <w:t> </w:t>
      </w:r>
      <w:r>
        <w:rPr/>
        <w:t>positive</w:t>
      </w:r>
      <w:r>
        <w:rPr>
          <w:spacing w:val="-19"/>
        </w:rPr>
        <w:t> </w:t>
      </w:r>
      <w:r>
        <w:rPr/>
        <w:t>effect</w:t>
      </w:r>
      <w:r>
        <w:rPr>
          <w:spacing w:val="-18"/>
        </w:rPr>
        <w:t> </w:t>
      </w:r>
      <w:r>
        <w:rPr/>
        <w:t>on</w:t>
      </w:r>
      <w:r>
        <w:rPr>
          <w:spacing w:val="-17"/>
        </w:rPr>
        <w:t> </w:t>
      </w:r>
      <w:r>
        <w:rPr/>
        <w:t>all</w:t>
      </w:r>
      <w:r>
        <w:rPr>
          <w:spacing w:val="-20"/>
        </w:rPr>
        <w:t> </w:t>
      </w:r>
      <w:r>
        <w:rPr/>
        <w:t>connective</w:t>
      </w:r>
      <w:r>
        <w:rPr>
          <w:spacing w:val="-19"/>
        </w:rPr>
        <w:t> </w:t>
      </w:r>
      <w:r>
        <w:rPr/>
        <w:t>tissue</w:t>
      </w:r>
      <w:r>
        <w:rPr>
          <w:spacing w:val="-19"/>
        </w:rPr>
        <w:t> </w:t>
      </w:r>
      <w:r>
        <w:rPr/>
        <w:t>and</w:t>
      </w:r>
      <w:r>
        <w:rPr>
          <w:spacing w:val="-19"/>
        </w:rPr>
        <w:t> </w:t>
      </w:r>
      <w:r>
        <w:rPr/>
        <w:t>tissue forms which consist of collagens; thus, they not only protect and strengthen inside</w:t>
      </w:r>
      <w:r>
        <w:rPr>
          <w:spacing w:val="-8"/>
        </w:rPr>
        <w:t> </w:t>
      </w:r>
      <w:r>
        <w:rPr/>
        <w:t>the</w:t>
      </w:r>
      <w:r>
        <w:rPr>
          <w:spacing w:val="-6"/>
        </w:rPr>
        <w:t> </w:t>
      </w:r>
      <w:r>
        <w:rPr/>
        <w:t>joint,</w:t>
      </w:r>
      <w:r>
        <w:rPr>
          <w:spacing w:val="-9"/>
        </w:rPr>
        <w:t> </w:t>
      </w:r>
      <w:r>
        <w:rPr/>
        <w:t>but</w:t>
      </w:r>
      <w:r>
        <w:rPr>
          <w:spacing w:val="-8"/>
        </w:rPr>
        <w:t> </w:t>
      </w:r>
      <w:r>
        <w:rPr/>
        <w:t>also</w:t>
      </w:r>
      <w:r>
        <w:rPr>
          <w:spacing w:val="-8"/>
        </w:rPr>
        <w:t> </w:t>
      </w:r>
      <w:r>
        <w:rPr/>
        <w:t>strengthen</w:t>
      </w:r>
      <w:r>
        <w:rPr>
          <w:spacing w:val="-6"/>
        </w:rPr>
        <w:t> </w:t>
      </w:r>
      <w:r>
        <w:rPr/>
        <w:t>our</w:t>
      </w:r>
      <w:r>
        <w:rPr>
          <w:spacing w:val="-7"/>
        </w:rPr>
        <w:t> </w:t>
      </w:r>
      <w:r>
        <w:rPr/>
        <w:t>tendons,</w:t>
      </w:r>
      <w:r>
        <w:rPr>
          <w:spacing w:val="-8"/>
        </w:rPr>
        <w:t> </w:t>
      </w:r>
      <w:r>
        <w:rPr/>
        <w:t>ligaments</w:t>
      </w:r>
      <w:r>
        <w:rPr>
          <w:spacing w:val="-7"/>
        </w:rPr>
        <w:t> </w:t>
      </w:r>
      <w:r>
        <w:rPr/>
        <w:t>and</w:t>
      </w:r>
      <w:r>
        <w:rPr>
          <w:spacing w:val="-7"/>
        </w:rPr>
        <w:t> </w:t>
      </w:r>
      <w:r>
        <w:rPr/>
        <w:t>bone</w:t>
      </w:r>
      <w:r>
        <w:rPr>
          <w:spacing w:val="-6"/>
        </w:rPr>
        <w:t> </w:t>
      </w:r>
      <w:r>
        <w:rPr/>
        <w:t>structures via</w:t>
      </w:r>
      <w:r>
        <w:rPr>
          <w:spacing w:val="-15"/>
        </w:rPr>
        <w:t> </w:t>
      </w:r>
      <w:r>
        <w:rPr/>
        <w:t>so-called</w:t>
      </w:r>
      <w:r>
        <w:rPr>
          <w:spacing w:val="-15"/>
        </w:rPr>
        <w:t> </w:t>
      </w:r>
      <w:r>
        <w:rPr/>
        <w:t>‘chondral</w:t>
      </w:r>
      <w:r>
        <w:rPr>
          <w:spacing w:val="-14"/>
        </w:rPr>
        <w:t> </w:t>
      </w:r>
      <w:r>
        <w:rPr/>
        <w:t>ossification’</w:t>
      </w:r>
      <w:r>
        <w:rPr>
          <w:spacing w:val="-13"/>
        </w:rPr>
        <w:t> </w:t>
      </w:r>
      <w:r>
        <w:rPr/>
        <w:t>(formation</w:t>
      </w:r>
      <w:r>
        <w:rPr>
          <w:spacing w:val="-13"/>
        </w:rPr>
        <w:t> </w:t>
      </w:r>
      <w:r>
        <w:rPr/>
        <w:t>of</w:t>
      </w:r>
      <w:r>
        <w:rPr>
          <w:spacing w:val="-14"/>
        </w:rPr>
        <w:t> </w:t>
      </w:r>
      <w:r>
        <w:rPr/>
        <w:t>bone</w:t>
      </w:r>
      <w:r>
        <w:rPr>
          <w:spacing w:val="-14"/>
        </w:rPr>
        <w:t> </w:t>
      </w:r>
      <w:r>
        <w:rPr/>
        <w:t>tissue).</w:t>
      </w:r>
      <w:r>
        <w:rPr>
          <w:spacing w:val="-14"/>
        </w:rPr>
        <w:t> </w:t>
      </w:r>
      <w:r>
        <w:rPr/>
        <w:t>In</w:t>
      </w:r>
      <w:r>
        <w:rPr>
          <w:spacing w:val="-15"/>
        </w:rPr>
        <w:t> </w:t>
      </w:r>
      <w:r>
        <w:rPr/>
        <w:t>addition,</w:t>
      </w:r>
      <w:r>
        <w:rPr>
          <w:spacing w:val="-13"/>
        </w:rPr>
        <w:t> </w:t>
      </w:r>
      <w:r>
        <w:rPr/>
        <w:t>they keep our arteries elastic and also counteract the formation of wrinkles, thus helping to keep our skin young.</w:t>
      </w:r>
    </w:p>
    <w:p>
      <w:pPr>
        <w:pStyle w:val="BodyText"/>
        <w:spacing w:before="7"/>
        <w:rPr>
          <w:sz w:val="42"/>
        </w:rPr>
      </w:pPr>
    </w:p>
    <w:p>
      <w:pPr>
        <w:pStyle w:val="Heading2"/>
        <w:spacing w:before="1"/>
        <w:jc w:val="both"/>
      </w:pPr>
      <w:r>
        <w:rPr/>
        <w:t>Expert opinions:</w:t>
      </w:r>
    </w:p>
    <w:p>
      <w:pPr>
        <w:spacing w:after="0"/>
        <w:jc w:val="both"/>
        <w:sectPr>
          <w:pgSz w:w="14270" w:h="16850"/>
          <w:pgMar w:header="0" w:footer="1891" w:top="1600" w:bottom="2080" w:left="800" w:right="1280"/>
        </w:sectPr>
      </w:pPr>
    </w:p>
    <w:p>
      <w:pPr>
        <w:pStyle w:val="BodyText"/>
        <w:spacing w:line="276" w:lineRule="auto" w:before="181"/>
        <w:ind w:left="477" w:right="132"/>
        <w:jc w:val="both"/>
      </w:pPr>
      <w:r>
        <w:rPr/>
        <w:t>Since glucosamine and chondroitin are extremely controversial dietary supple- ments, we will allow a few experts to give their opinion first before discussing the positive effects of these two vital substances on our joints in more detail and</w:t>
      </w:r>
      <w:r>
        <w:rPr>
          <w:spacing w:val="-19"/>
        </w:rPr>
        <w:t> </w:t>
      </w:r>
      <w:r>
        <w:rPr/>
        <w:t>examining</w:t>
      </w:r>
      <w:r>
        <w:rPr>
          <w:spacing w:val="-17"/>
        </w:rPr>
        <w:t> </w:t>
      </w:r>
      <w:r>
        <w:rPr/>
        <w:t>the</w:t>
      </w:r>
      <w:r>
        <w:rPr>
          <w:spacing w:val="-18"/>
        </w:rPr>
        <w:t> </w:t>
      </w:r>
      <w:r>
        <w:rPr/>
        <w:t>available</w:t>
      </w:r>
      <w:r>
        <w:rPr>
          <w:spacing w:val="-18"/>
        </w:rPr>
        <w:t> </w:t>
      </w:r>
      <w:r>
        <w:rPr/>
        <w:t>studies,</w:t>
      </w:r>
      <w:r>
        <w:rPr>
          <w:spacing w:val="-17"/>
        </w:rPr>
        <w:t> </w:t>
      </w:r>
      <w:r>
        <w:rPr/>
        <w:t>in</w:t>
      </w:r>
      <w:r>
        <w:rPr>
          <w:spacing w:val="-18"/>
        </w:rPr>
        <w:t> </w:t>
      </w:r>
      <w:r>
        <w:rPr/>
        <w:t>order</w:t>
      </w:r>
      <w:r>
        <w:rPr>
          <w:spacing w:val="-17"/>
        </w:rPr>
        <w:t> </w:t>
      </w:r>
      <w:r>
        <w:rPr/>
        <w:t>to</w:t>
      </w:r>
      <w:r>
        <w:rPr>
          <w:spacing w:val="-17"/>
        </w:rPr>
        <w:t> </w:t>
      </w:r>
      <w:r>
        <w:rPr/>
        <w:t>reassure</w:t>
      </w:r>
      <w:r>
        <w:rPr>
          <w:spacing w:val="-18"/>
        </w:rPr>
        <w:t> </w:t>
      </w:r>
      <w:r>
        <w:rPr/>
        <w:t>you</w:t>
      </w:r>
      <w:r>
        <w:rPr>
          <w:spacing w:val="-19"/>
        </w:rPr>
        <w:t> </w:t>
      </w:r>
      <w:r>
        <w:rPr/>
        <w:t>at</w:t>
      </w:r>
      <w:r>
        <w:rPr>
          <w:spacing w:val="-19"/>
        </w:rPr>
        <w:t> </w:t>
      </w:r>
      <w:r>
        <w:rPr/>
        <w:t>this</w:t>
      </w:r>
      <w:r>
        <w:rPr>
          <w:spacing w:val="-18"/>
        </w:rPr>
        <w:t> </w:t>
      </w:r>
      <w:r>
        <w:rPr/>
        <w:t>juncture</w:t>
      </w:r>
      <w:r>
        <w:rPr>
          <w:spacing w:val="-18"/>
        </w:rPr>
        <w:t> </w:t>
      </w:r>
      <w:r>
        <w:rPr/>
        <w:t>that the further study of these two highly effective, natural joint nutrients is worthy of your time:</w:t>
      </w:r>
    </w:p>
    <w:p>
      <w:pPr>
        <w:spacing w:line="276" w:lineRule="auto" w:before="241"/>
        <w:ind w:left="477" w:right="131" w:firstLine="0"/>
        <w:jc w:val="both"/>
        <w:rPr>
          <w:sz w:val="25"/>
        </w:rPr>
      </w:pPr>
      <w:r>
        <w:rPr>
          <w:sz w:val="38"/>
        </w:rPr>
        <w:t>‘</w:t>
      </w:r>
      <w:r>
        <w:rPr>
          <w:i/>
          <w:sz w:val="38"/>
        </w:rPr>
        <w:t>The medical evidence suggests the use of glucosamine sulphate to alleviate arthrosis symptoms </w:t>
      </w:r>
      <w:r>
        <w:rPr>
          <w:i/>
          <w:sz w:val="38"/>
        </w:rPr>
        <w:t>and possibly inhibit disease progression’, </w:t>
      </w:r>
      <w:r>
        <w:rPr>
          <w:sz w:val="38"/>
        </w:rPr>
        <w:t>researchers at Creighton University in Omaha, Nebraska, found in 20 randomised controlled trials involving more than 2,500 patients.)</w:t>
      </w:r>
      <w:r>
        <w:rPr>
          <w:position w:val="9"/>
          <w:sz w:val="25"/>
        </w:rPr>
        <w:t>329</w:t>
      </w:r>
    </w:p>
    <w:p>
      <w:pPr>
        <w:spacing w:line="276" w:lineRule="auto" w:before="241"/>
        <w:ind w:left="477" w:right="136" w:firstLine="96"/>
        <w:jc w:val="both"/>
        <w:rPr>
          <w:sz w:val="38"/>
        </w:rPr>
      </w:pPr>
      <w:r>
        <w:rPr>
          <w:i/>
          <w:sz w:val="38"/>
        </w:rPr>
        <w:t>‘Glucosamine</w:t>
      </w:r>
      <w:r>
        <w:rPr>
          <w:i/>
          <w:spacing w:val="-19"/>
          <w:sz w:val="38"/>
        </w:rPr>
        <w:t> </w:t>
      </w:r>
      <w:r>
        <w:rPr>
          <w:i/>
          <w:sz w:val="38"/>
        </w:rPr>
        <w:t>sulphate</w:t>
      </w:r>
      <w:r>
        <w:rPr>
          <w:i/>
          <w:spacing w:val="-18"/>
          <w:sz w:val="38"/>
        </w:rPr>
        <w:t> </w:t>
      </w:r>
      <w:r>
        <w:rPr>
          <w:i/>
          <w:sz w:val="38"/>
        </w:rPr>
        <w:t>is</w:t>
      </w:r>
      <w:r>
        <w:rPr>
          <w:i/>
          <w:spacing w:val="-20"/>
          <w:sz w:val="38"/>
        </w:rPr>
        <w:t> </w:t>
      </w:r>
      <w:r>
        <w:rPr>
          <w:i/>
          <w:sz w:val="38"/>
        </w:rPr>
        <w:t>a</w:t>
      </w:r>
      <w:r>
        <w:rPr>
          <w:i/>
          <w:spacing w:val="-20"/>
          <w:sz w:val="38"/>
        </w:rPr>
        <w:t> </w:t>
      </w:r>
      <w:r>
        <w:rPr>
          <w:i/>
          <w:sz w:val="38"/>
        </w:rPr>
        <w:t>physiological</w:t>
      </w:r>
      <w:r>
        <w:rPr>
          <w:i/>
          <w:spacing w:val="-19"/>
          <w:sz w:val="38"/>
        </w:rPr>
        <w:t> </w:t>
      </w:r>
      <w:r>
        <w:rPr>
          <w:i/>
          <w:sz w:val="38"/>
        </w:rPr>
        <w:t>substance</w:t>
      </w:r>
      <w:r>
        <w:rPr>
          <w:i/>
          <w:spacing w:val="-19"/>
          <w:sz w:val="38"/>
        </w:rPr>
        <w:t> </w:t>
      </w:r>
      <w:r>
        <w:rPr>
          <w:i/>
          <w:sz w:val="38"/>
        </w:rPr>
        <w:t>that</w:t>
      </w:r>
      <w:r>
        <w:rPr>
          <w:i/>
          <w:spacing w:val="-18"/>
          <w:sz w:val="38"/>
        </w:rPr>
        <w:t> </w:t>
      </w:r>
      <w:r>
        <w:rPr>
          <w:i/>
          <w:sz w:val="38"/>
        </w:rPr>
        <w:t>has</w:t>
      </w:r>
      <w:r>
        <w:rPr>
          <w:i/>
          <w:spacing w:val="-18"/>
          <w:sz w:val="38"/>
        </w:rPr>
        <w:t> </w:t>
      </w:r>
      <w:r>
        <w:rPr>
          <w:i/>
          <w:sz w:val="38"/>
        </w:rPr>
        <w:t>been</w:t>
      </w:r>
      <w:r>
        <w:rPr>
          <w:i/>
          <w:spacing w:val="-19"/>
          <w:sz w:val="38"/>
        </w:rPr>
        <w:t> </w:t>
      </w:r>
      <w:r>
        <w:rPr>
          <w:i/>
          <w:sz w:val="38"/>
        </w:rPr>
        <w:t>shown</w:t>
      </w:r>
      <w:r>
        <w:rPr>
          <w:i/>
          <w:spacing w:val="-18"/>
          <w:sz w:val="38"/>
        </w:rPr>
        <w:t> </w:t>
      </w:r>
      <w:r>
        <w:rPr>
          <w:i/>
          <w:sz w:val="38"/>
        </w:rPr>
        <w:t>to</w:t>
      </w:r>
      <w:r>
        <w:rPr>
          <w:i/>
          <w:spacing w:val="-19"/>
          <w:sz w:val="38"/>
        </w:rPr>
        <w:t> </w:t>
      </w:r>
      <w:r>
        <w:rPr>
          <w:i/>
          <w:sz w:val="38"/>
        </w:rPr>
        <w:t>slow</w:t>
      </w:r>
      <w:r>
        <w:rPr>
          <w:i/>
          <w:spacing w:val="-19"/>
          <w:sz w:val="38"/>
        </w:rPr>
        <w:t> </w:t>
      </w:r>
      <w:r>
        <w:rPr>
          <w:i/>
          <w:sz w:val="38"/>
        </w:rPr>
        <w:t>down</w:t>
      </w:r>
      <w:r>
        <w:rPr>
          <w:i/>
          <w:spacing w:val="-18"/>
          <w:sz w:val="38"/>
        </w:rPr>
        <w:t> </w:t>
      </w:r>
      <w:r>
        <w:rPr>
          <w:i/>
          <w:sz w:val="38"/>
        </w:rPr>
        <w:t>arthritis </w:t>
      </w:r>
      <w:r>
        <w:rPr>
          <w:i/>
          <w:sz w:val="38"/>
        </w:rPr>
        <w:t>progression.</w:t>
      </w:r>
      <w:r>
        <w:rPr>
          <w:i/>
          <w:spacing w:val="-8"/>
          <w:sz w:val="38"/>
        </w:rPr>
        <w:t> </w:t>
      </w:r>
      <w:r>
        <w:rPr>
          <w:i/>
          <w:sz w:val="38"/>
        </w:rPr>
        <w:t>The</w:t>
      </w:r>
      <w:r>
        <w:rPr>
          <w:i/>
          <w:spacing w:val="-9"/>
          <w:sz w:val="38"/>
        </w:rPr>
        <w:t> </w:t>
      </w:r>
      <w:r>
        <w:rPr>
          <w:i/>
          <w:sz w:val="38"/>
        </w:rPr>
        <w:t>benefit-risk</w:t>
      </w:r>
      <w:r>
        <w:rPr>
          <w:i/>
          <w:spacing w:val="-9"/>
          <w:sz w:val="38"/>
        </w:rPr>
        <w:t> </w:t>
      </w:r>
      <w:r>
        <w:rPr>
          <w:i/>
          <w:sz w:val="38"/>
        </w:rPr>
        <w:t>profile</w:t>
      </w:r>
      <w:r>
        <w:rPr>
          <w:i/>
          <w:spacing w:val="-8"/>
          <w:sz w:val="38"/>
        </w:rPr>
        <w:t> </w:t>
      </w:r>
      <w:r>
        <w:rPr>
          <w:i/>
          <w:sz w:val="38"/>
        </w:rPr>
        <w:t>is</w:t>
      </w:r>
      <w:r>
        <w:rPr>
          <w:i/>
          <w:spacing w:val="-14"/>
          <w:sz w:val="38"/>
        </w:rPr>
        <w:t> </w:t>
      </w:r>
      <w:r>
        <w:rPr>
          <w:i/>
          <w:sz w:val="38"/>
        </w:rPr>
        <w:t>favourable’</w:t>
      </w:r>
      <w:r>
        <w:rPr>
          <w:i/>
          <w:spacing w:val="-7"/>
          <w:sz w:val="38"/>
        </w:rPr>
        <w:t> </w:t>
      </w:r>
      <w:r>
        <w:rPr>
          <w:sz w:val="38"/>
        </w:rPr>
        <w:t>(Prof.</w:t>
      </w:r>
      <w:r>
        <w:rPr>
          <w:spacing w:val="-12"/>
          <w:sz w:val="38"/>
        </w:rPr>
        <w:t> </w:t>
      </w:r>
      <w:r>
        <w:rPr>
          <w:sz w:val="38"/>
        </w:rPr>
        <w:t>Dr.</w:t>
      </w:r>
      <w:r>
        <w:rPr>
          <w:spacing w:val="-7"/>
          <w:sz w:val="38"/>
        </w:rPr>
        <w:t> </w:t>
      </w:r>
      <w:r>
        <w:rPr>
          <w:sz w:val="38"/>
        </w:rPr>
        <w:t>med.</w:t>
      </w:r>
      <w:r>
        <w:rPr>
          <w:spacing w:val="-9"/>
          <w:sz w:val="38"/>
        </w:rPr>
        <w:t> </w:t>
      </w:r>
      <w:r>
        <w:rPr>
          <w:sz w:val="38"/>
        </w:rPr>
        <w:t>R.</w:t>
      </w:r>
      <w:r>
        <w:rPr>
          <w:spacing w:val="-9"/>
          <w:sz w:val="38"/>
        </w:rPr>
        <w:t> </w:t>
      </w:r>
      <w:r>
        <w:rPr>
          <w:sz w:val="38"/>
        </w:rPr>
        <w:t>Jakob,</w:t>
      </w:r>
      <w:r>
        <w:rPr>
          <w:spacing w:val="-7"/>
          <w:sz w:val="38"/>
        </w:rPr>
        <w:t> </w:t>
      </w:r>
      <w:r>
        <w:rPr>
          <w:sz w:val="38"/>
        </w:rPr>
        <w:t>Chief</w:t>
      </w:r>
      <w:r>
        <w:rPr>
          <w:spacing w:val="-9"/>
          <w:sz w:val="38"/>
        </w:rPr>
        <w:t> </w:t>
      </w:r>
      <w:r>
        <w:rPr>
          <w:sz w:val="38"/>
        </w:rPr>
        <w:t>Phy- sician Orthopaedic Clinic,</w:t>
      </w:r>
      <w:r>
        <w:rPr>
          <w:spacing w:val="2"/>
          <w:sz w:val="38"/>
        </w:rPr>
        <w:t> </w:t>
      </w:r>
      <w:r>
        <w:rPr>
          <w:sz w:val="38"/>
        </w:rPr>
        <w:t>Freiburg)</w:t>
      </w:r>
    </w:p>
    <w:p>
      <w:pPr>
        <w:spacing w:line="276" w:lineRule="auto" w:before="239"/>
        <w:ind w:left="477" w:right="132" w:firstLine="0"/>
        <w:jc w:val="both"/>
        <w:rPr>
          <w:sz w:val="38"/>
        </w:rPr>
      </w:pPr>
      <w:r>
        <w:rPr>
          <w:sz w:val="38"/>
        </w:rPr>
        <w:t>‘</w:t>
      </w:r>
      <w:r>
        <w:rPr>
          <w:i/>
          <w:sz w:val="38"/>
        </w:rPr>
        <w:t>It appears that these components (glucosamine and chondroitin sulphate) play a role in the </w:t>
      </w:r>
      <w:r>
        <w:rPr>
          <w:i/>
          <w:sz w:val="38"/>
        </w:rPr>
        <w:t>efficient treatment of joint disease’. </w:t>
      </w:r>
      <w:r>
        <w:rPr>
          <w:sz w:val="38"/>
        </w:rPr>
        <w:t>(</w:t>
      </w:r>
      <w:r>
        <w:rPr>
          <w:i/>
          <w:sz w:val="38"/>
        </w:rPr>
        <w:t>Journal of the American Medical Association </w:t>
      </w:r>
      <w:r>
        <w:rPr>
          <w:sz w:val="38"/>
        </w:rPr>
        <w:t>as an assessment of 15 clinical studies on glucosamine and chondroitin sulphate in March 2000)</w:t>
      </w:r>
    </w:p>
    <w:p>
      <w:pPr>
        <w:spacing w:line="276" w:lineRule="auto" w:before="242"/>
        <w:ind w:left="477" w:right="130" w:firstLine="0"/>
        <w:jc w:val="both"/>
        <w:rPr>
          <w:sz w:val="38"/>
        </w:rPr>
      </w:pPr>
      <w:r>
        <w:rPr>
          <w:sz w:val="38"/>
        </w:rPr>
        <w:t>‘</w:t>
      </w:r>
      <w:r>
        <w:rPr>
          <w:i/>
          <w:sz w:val="38"/>
        </w:rPr>
        <w:t>Glucosamine is an important building block of the cartilage and inner skin of the joint. It </w:t>
      </w:r>
      <w:r>
        <w:rPr>
          <w:i/>
          <w:sz w:val="38"/>
        </w:rPr>
        <w:t>ensures sufficient joint lubrication and thus smooth joint function’. </w:t>
      </w:r>
      <w:r>
        <w:rPr>
          <w:sz w:val="38"/>
        </w:rPr>
        <w:t>(Brigitte van Hattem, medical journalist)</w:t>
      </w:r>
    </w:p>
    <w:p>
      <w:pPr>
        <w:pStyle w:val="BodyText"/>
        <w:rPr>
          <w:sz w:val="20"/>
        </w:rPr>
      </w:pPr>
    </w:p>
    <w:p>
      <w:pPr>
        <w:pStyle w:val="BodyText"/>
        <w:spacing w:before="4"/>
        <w:rPr>
          <w:sz w:val="19"/>
        </w:rPr>
      </w:pPr>
      <w:r>
        <w:rPr/>
        <w:pict>
          <v:line style="position:absolute;mso-position-horizontal-relative:page;mso-position-vertical-relative:paragraph;z-index:3704;mso-wrap-distance-left:0;mso-wrap-distance-right:0" from="63.863998pt,13.264985pt" to="207.883998pt,13.264985pt" stroked="true" strokeweight=".72003pt" strokecolor="#000000">
            <v:stroke dashstyle="solid"/>
            <w10:wrap type="topAndBottom"/>
          </v:line>
        </w:pict>
      </w:r>
    </w:p>
    <w:p>
      <w:pPr>
        <w:pStyle w:val="BodyText"/>
        <w:spacing w:before="7"/>
        <w:rPr>
          <w:sz w:val="18"/>
        </w:rPr>
      </w:pPr>
    </w:p>
    <w:p>
      <w:pPr>
        <w:spacing w:before="99"/>
        <w:ind w:left="477" w:right="0" w:firstLine="0"/>
        <w:jc w:val="left"/>
        <w:rPr>
          <w:i/>
          <w:sz w:val="20"/>
        </w:rPr>
      </w:pPr>
      <w:r>
        <w:rPr>
          <w:position w:val="5"/>
          <w:sz w:val="13"/>
        </w:rPr>
        <w:t>329 </w:t>
      </w:r>
      <w:r>
        <w:rPr>
          <w:sz w:val="20"/>
        </w:rPr>
        <w:t>Published in the </w:t>
      </w:r>
      <w:r>
        <w:rPr>
          <w:i/>
          <w:sz w:val="20"/>
        </w:rPr>
        <w:t>New York Times </w:t>
      </w:r>
      <w:r>
        <w:rPr>
          <w:sz w:val="20"/>
        </w:rPr>
        <w:t>on 21 January 2008</w:t>
      </w:r>
      <w:r>
        <w:rPr>
          <w:i/>
          <w:sz w:val="20"/>
        </w:rPr>
        <w:t>.</w:t>
      </w:r>
    </w:p>
    <w:p>
      <w:pPr>
        <w:spacing w:after="0"/>
        <w:jc w:val="left"/>
        <w:rPr>
          <w:sz w:val="20"/>
        </w:rPr>
        <w:sectPr>
          <w:pgSz w:w="14270" w:h="16850"/>
          <w:pgMar w:header="0" w:footer="1891" w:top="1600" w:bottom="2080" w:left="800" w:right="1280"/>
        </w:sectPr>
      </w:pPr>
    </w:p>
    <w:p>
      <w:pPr>
        <w:spacing w:line="276" w:lineRule="auto" w:before="181"/>
        <w:ind w:left="477" w:right="133" w:firstLine="0"/>
        <w:jc w:val="both"/>
        <w:rPr>
          <w:sz w:val="38"/>
        </w:rPr>
      </w:pPr>
      <w:r>
        <w:rPr>
          <w:i/>
          <w:sz w:val="38"/>
        </w:rPr>
        <w:t>‘Glucosamine sulphate is an intermediary in the biosynthesis of cartilage tissue. It stimulates </w:t>
      </w:r>
      <w:r>
        <w:rPr>
          <w:i/>
          <w:sz w:val="38"/>
        </w:rPr>
        <w:t>the formation of proteoglycans. Glucosamine sulphate thus promotes the regeneration of carti- lage and bone tissue’. </w:t>
      </w:r>
      <w:r>
        <w:rPr>
          <w:sz w:val="38"/>
        </w:rPr>
        <w:t>(Norbert Fuchs, ‘Mit Nährstoffen heilen’ (‘Healing with nu- trients’))</w:t>
      </w:r>
    </w:p>
    <w:p>
      <w:pPr>
        <w:spacing w:line="276" w:lineRule="auto" w:before="242"/>
        <w:ind w:left="477" w:right="137" w:firstLine="0"/>
        <w:jc w:val="both"/>
        <w:rPr>
          <w:sz w:val="38"/>
        </w:rPr>
      </w:pPr>
      <w:r>
        <w:rPr>
          <w:sz w:val="38"/>
        </w:rPr>
        <w:t>‘</w:t>
      </w:r>
      <w:r>
        <w:rPr>
          <w:i/>
          <w:sz w:val="38"/>
        </w:rPr>
        <w:t>Glucosamine is a mucopolysaccharide, an amino sugar, a vital building block not only for </w:t>
      </w:r>
      <w:r>
        <w:rPr>
          <w:i/>
          <w:sz w:val="38"/>
        </w:rPr>
        <w:t>cartilage, ligaments, tendons and bones, but also for connective tissue, arterial walls and</w:t>
      </w:r>
      <w:r>
        <w:rPr>
          <w:i/>
          <w:spacing w:val="-64"/>
          <w:sz w:val="38"/>
        </w:rPr>
        <w:t> </w:t>
      </w:r>
      <w:r>
        <w:rPr>
          <w:i/>
          <w:sz w:val="38"/>
        </w:rPr>
        <w:t>skin. Chondroitin is also a molecular sugar compound and is one of the basic components of carti- lage’. </w:t>
      </w:r>
      <w:r>
        <w:rPr>
          <w:sz w:val="38"/>
        </w:rPr>
        <w:t>(René Gräber, naturopath, www.gesund-heilfasten.de)</w:t>
      </w:r>
    </w:p>
    <w:p>
      <w:pPr>
        <w:spacing w:line="276" w:lineRule="auto" w:before="240"/>
        <w:ind w:left="477" w:right="133" w:firstLine="0"/>
        <w:jc w:val="both"/>
        <w:rPr>
          <w:sz w:val="38"/>
        </w:rPr>
      </w:pPr>
      <w:r>
        <w:rPr>
          <w:sz w:val="38"/>
        </w:rPr>
        <w:t>‘</w:t>
      </w:r>
      <w:r>
        <w:rPr>
          <w:i/>
          <w:sz w:val="38"/>
        </w:rPr>
        <w:t>As a substance produced by the body itself, glucosamine stimulates the cartilage cells to form </w:t>
      </w:r>
      <w:r>
        <w:rPr>
          <w:i/>
          <w:sz w:val="38"/>
        </w:rPr>
        <w:t>collagen, inhibits the release of cartilage-destroying enzymes and breaks down inflammatory mediators’. </w:t>
      </w:r>
      <w:r>
        <w:rPr>
          <w:sz w:val="38"/>
        </w:rPr>
        <w:t>(Sven-David Müller Northmann, ‘Handbuch der Vitalstoffe’ (‘Hand- book of Vital Nutrients’)</w:t>
      </w:r>
    </w:p>
    <w:p>
      <w:pPr>
        <w:pStyle w:val="BodyText"/>
        <w:spacing w:line="276" w:lineRule="auto" w:before="280"/>
        <w:ind w:left="477" w:right="130"/>
        <w:jc w:val="both"/>
      </w:pPr>
      <w:r>
        <w:rPr/>
        <w:t>After having gained an insight into the physiological correlations in the</w:t>
      </w:r>
      <w:r>
        <w:rPr>
          <w:spacing w:val="-69"/>
        </w:rPr>
        <w:t> </w:t>
      </w:r>
      <w:r>
        <w:rPr/>
        <w:t>preced- ing chapters, we now turn our attention to the substances in more detail:</w:t>
      </w:r>
    </w:p>
    <w:p>
      <w:pPr>
        <w:pStyle w:val="BodyText"/>
        <w:spacing w:line="276" w:lineRule="auto" w:before="279"/>
        <w:ind w:left="477" w:right="140"/>
        <w:jc w:val="both"/>
      </w:pPr>
      <w:r>
        <w:rPr/>
        <w:t>While chondroitin has been in the headlines for some time now thanks to cer- tain prominent professional athletes, according to their statements, these ath- letes’ sport-damaged joints have chondroitin to thank for their functionality during their athletic careers, glucosamine is the younger sibling in this regard, which produces regular, all the more controversial headlines which mainly re- volve around the question of whether glucosamine works or not...</w:t>
      </w:r>
    </w:p>
    <w:p>
      <w:pPr>
        <w:pStyle w:val="BodyText"/>
        <w:spacing w:before="241"/>
        <w:ind w:left="477"/>
        <w:jc w:val="both"/>
      </w:pPr>
      <w:r>
        <w:rPr/>
        <w:t>The deterioration or destruction of the hyaline cartilage, which acts as a</w:t>
      </w:r>
      <w:r>
        <w:rPr>
          <w:spacing w:val="-66"/>
        </w:rPr>
        <w:t> </w:t>
      </w:r>
      <w:r>
        <w:rPr/>
        <w:t>natural</w:t>
      </w:r>
    </w:p>
    <w:p>
      <w:pPr>
        <w:spacing w:after="0"/>
        <w:jc w:val="both"/>
        <w:sectPr>
          <w:footerReference w:type="default" r:id="rId122"/>
          <w:pgSz w:w="14270" w:h="16850"/>
          <w:pgMar w:footer="1891" w:header="0" w:top="1600" w:bottom="2080" w:left="800" w:right="1280"/>
          <w:pgNumType w:start="450"/>
        </w:sectPr>
      </w:pPr>
    </w:p>
    <w:p>
      <w:pPr>
        <w:pStyle w:val="BodyText"/>
        <w:spacing w:line="276" w:lineRule="auto" w:before="181"/>
        <w:ind w:left="477" w:right="130"/>
        <w:jc w:val="both"/>
      </w:pPr>
      <w:r>
        <w:rPr/>
        <w:t>buffer between the bones, preventing them from rubbing against each other,</w:t>
      </w:r>
      <w:r>
        <w:rPr>
          <w:spacing w:val="-64"/>
        </w:rPr>
        <w:t> </w:t>
      </w:r>
      <w:r>
        <w:rPr/>
        <w:t>is the main problem in joint problems and the associated pain. The cartilage con- sists</w:t>
      </w:r>
      <w:r>
        <w:rPr>
          <w:spacing w:val="-11"/>
        </w:rPr>
        <w:t> </w:t>
      </w:r>
      <w:r>
        <w:rPr/>
        <w:t>of</w:t>
      </w:r>
      <w:r>
        <w:rPr>
          <w:spacing w:val="-10"/>
        </w:rPr>
        <w:t> </w:t>
      </w:r>
      <w:r>
        <w:rPr/>
        <w:t>70-80</w:t>
      </w:r>
      <w:r>
        <w:rPr>
          <w:spacing w:val="-12"/>
        </w:rPr>
        <w:t> </w:t>
      </w:r>
      <w:r>
        <w:rPr/>
        <w:t>%</w:t>
      </w:r>
      <w:r>
        <w:rPr>
          <w:spacing w:val="-9"/>
        </w:rPr>
        <w:t> </w:t>
      </w:r>
      <w:r>
        <w:rPr/>
        <w:t>of</w:t>
      </w:r>
      <w:r>
        <w:rPr>
          <w:spacing w:val="-11"/>
        </w:rPr>
        <w:t> </w:t>
      </w:r>
      <w:r>
        <w:rPr/>
        <w:t>water,</w:t>
      </w:r>
      <w:r>
        <w:rPr>
          <w:spacing w:val="-9"/>
        </w:rPr>
        <w:t> </w:t>
      </w:r>
      <w:r>
        <w:rPr/>
        <w:t>in</w:t>
      </w:r>
      <w:r>
        <w:rPr>
          <w:spacing w:val="-11"/>
        </w:rPr>
        <w:t> </w:t>
      </w:r>
      <w:r>
        <w:rPr/>
        <w:t>which</w:t>
      </w:r>
      <w:r>
        <w:rPr>
          <w:spacing w:val="-11"/>
        </w:rPr>
        <w:t> </w:t>
      </w:r>
      <w:r>
        <w:rPr/>
        <w:t>glucosaminglycane</w:t>
      </w:r>
      <w:r>
        <w:rPr>
          <w:spacing w:val="-10"/>
        </w:rPr>
        <w:t> </w:t>
      </w:r>
      <w:r>
        <w:rPr/>
        <w:t>(GAG),</w:t>
      </w:r>
      <w:r>
        <w:rPr>
          <w:spacing w:val="-11"/>
        </w:rPr>
        <w:t> </w:t>
      </w:r>
      <w:r>
        <w:rPr/>
        <w:t>chondroitin,</w:t>
      </w:r>
      <w:r>
        <w:rPr>
          <w:spacing w:val="-10"/>
        </w:rPr>
        <w:t> </w:t>
      </w:r>
      <w:r>
        <w:rPr/>
        <w:t>hy- aluronic acid and collagen can be</w:t>
      </w:r>
      <w:r>
        <w:rPr>
          <w:spacing w:val="2"/>
        </w:rPr>
        <w:t> </w:t>
      </w:r>
      <w:r>
        <w:rPr/>
        <w:t>found.</w:t>
      </w:r>
    </w:p>
    <w:p>
      <w:pPr>
        <w:pStyle w:val="Heading2"/>
        <w:spacing w:before="242"/>
        <w:jc w:val="both"/>
      </w:pPr>
      <w:r>
        <w:rPr/>
        <w:t>Glucosamine as the body's own substance</w:t>
      </w:r>
    </w:p>
    <w:p>
      <w:pPr>
        <w:pStyle w:val="BodyText"/>
        <w:spacing w:line="276" w:lineRule="auto" w:before="302"/>
        <w:ind w:left="477" w:right="133"/>
        <w:jc w:val="both"/>
      </w:pPr>
      <w:r>
        <w:rPr/>
        <w:t>Glucosaminoglycans (GAGs) are derivatives of glucose, which have addition- ally bound nitrogen – which is why they are referred to as ‘glucosamine’ rather than ‘glucose’ As a result, their properties change from the sticky-sweet sugar solution of a glucose to a mucilaginous mass, which makes the synovial fluid a lubricant and shock absorber at the same time.</w:t>
      </w:r>
    </w:p>
    <w:p>
      <w:pPr>
        <w:pStyle w:val="BodyText"/>
        <w:spacing w:line="276" w:lineRule="auto" w:before="242"/>
        <w:ind w:left="477" w:right="135"/>
        <w:jc w:val="both"/>
      </w:pPr>
      <w:r>
        <w:rPr/>
        <w:t>The most important component of hyaline cartilage and synovial fluid is GAG hyaluronic acid, which in turn accounts for 50 % of glucosamine.</w:t>
      </w:r>
    </w:p>
    <w:p>
      <w:pPr>
        <w:pStyle w:val="Heading2"/>
        <w:spacing w:before="239"/>
        <w:jc w:val="both"/>
      </w:pPr>
      <w:r>
        <w:rPr/>
        <w:t>Chondroitin as the body's own substance</w:t>
      </w:r>
    </w:p>
    <w:p>
      <w:pPr>
        <w:pStyle w:val="BodyText"/>
        <w:spacing w:line="276" w:lineRule="auto" w:before="305"/>
        <w:ind w:left="477" w:right="134"/>
        <w:jc w:val="both"/>
      </w:pPr>
      <w:r>
        <w:rPr/>
        <w:t>Chondroitin consists of the two sugar-like building blocks galactosamine and glocoronic acid, which, like hyaluronic acid, are made up into long chains in which the two simple sugars always alternate. In contrast to hyaluronic acid, these still contain a sulphur-containing subgroup, which is why they are also called ‘chondroitin sulphate’ as well as chondroitin.</w:t>
      </w:r>
    </w:p>
    <w:p>
      <w:pPr>
        <w:pStyle w:val="BodyText"/>
        <w:spacing w:line="276" w:lineRule="auto" w:before="240"/>
        <w:ind w:left="477" w:right="132"/>
        <w:jc w:val="both"/>
      </w:pPr>
      <w:r>
        <w:rPr/>
        <w:t>As a component of cartilage, chondroitin, among other things, has the task of providing resistance to pressure – if there is a deficiency of chondroitin, this is directly accompanied by arthrosis (joint wear).</w:t>
      </w:r>
    </w:p>
    <w:p>
      <w:pPr>
        <w:spacing w:after="0" w:line="276" w:lineRule="auto"/>
        <w:jc w:val="both"/>
        <w:sectPr>
          <w:pgSz w:w="14270" w:h="16850"/>
          <w:pgMar w:header="0" w:footer="1891" w:top="1600" w:bottom="2080" w:left="800" w:right="1280"/>
        </w:sectPr>
      </w:pPr>
    </w:p>
    <w:p>
      <w:pPr>
        <w:pStyle w:val="BodyText"/>
        <w:spacing w:line="276" w:lineRule="auto" w:before="181"/>
        <w:ind w:left="477" w:right="133"/>
        <w:jc w:val="both"/>
      </w:pPr>
      <w:r>
        <w:rPr/>
        <w:t>Since the chondroitin molecule is about 250 times larger than the glucosamine molecule, glucosamine is better absorbed in the digestive tract and fed faster</w:t>
      </w:r>
      <w:r>
        <w:rPr>
          <w:spacing w:val="-64"/>
        </w:rPr>
        <w:t> </w:t>
      </w:r>
      <w:r>
        <w:rPr/>
        <w:t>to the rest of the body.</w:t>
      </w:r>
    </w:p>
    <w:p>
      <w:pPr>
        <w:pStyle w:val="Heading2"/>
        <w:spacing w:before="242"/>
      </w:pPr>
      <w:r>
        <w:rPr/>
        <w:t>Conclusion:</w:t>
      </w:r>
    </w:p>
    <w:p>
      <w:pPr>
        <w:pStyle w:val="BodyText"/>
        <w:spacing w:line="276" w:lineRule="auto" w:before="304"/>
        <w:ind w:left="477" w:right="136"/>
        <w:jc w:val="both"/>
      </w:pPr>
      <w:r>
        <w:rPr/>
        <w:t>Both</w:t>
      </w:r>
      <w:r>
        <w:rPr>
          <w:spacing w:val="-15"/>
        </w:rPr>
        <w:t> </w:t>
      </w:r>
      <w:r>
        <w:rPr/>
        <w:t>substances</w:t>
      </w:r>
      <w:r>
        <w:rPr>
          <w:spacing w:val="-17"/>
        </w:rPr>
        <w:t> </w:t>
      </w:r>
      <w:r>
        <w:rPr/>
        <w:t>are</w:t>
      </w:r>
      <w:r>
        <w:rPr>
          <w:spacing w:val="-15"/>
        </w:rPr>
        <w:t> </w:t>
      </w:r>
      <w:r>
        <w:rPr/>
        <w:t>natural</w:t>
      </w:r>
      <w:r>
        <w:rPr>
          <w:spacing w:val="-17"/>
        </w:rPr>
        <w:t> </w:t>
      </w:r>
      <w:r>
        <w:rPr/>
        <w:t>components</w:t>
      </w:r>
      <w:r>
        <w:rPr>
          <w:spacing w:val="-17"/>
        </w:rPr>
        <w:t> </w:t>
      </w:r>
      <w:r>
        <w:rPr/>
        <w:t>of</w:t>
      </w:r>
      <w:r>
        <w:rPr>
          <w:spacing w:val="-16"/>
        </w:rPr>
        <w:t> </w:t>
      </w:r>
      <w:r>
        <w:rPr/>
        <w:t>the</w:t>
      </w:r>
      <w:r>
        <w:rPr>
          <w:spacing w:val="-17"/>
        </w:rPr>
        <w:t> </w:t>
      </w:r>
      <w:r>
        <w:rPr/>
        <w:t>articular</w:t>
      </w:r>
      <w:r>
        <w:rPr>
          <w:spacing w:val="-15"/>
        </w:rPr>
        <w:t> </w:t>
      </w:r>
      <w:r>
        <w:rPr/>
        <w:t>cartilage,</w:t>
      </w:r>
      <w:r>
        <w:rPr>
          <w:spacing w:val="-15"/>
        </w:rPr>
        <w:t> </w:t>
      </w:r>
      <w:r>
        <w:rPr/>
        <w:t>both</w:t>
      </w:r>
      <w:r>
        <w:rPr>
          <w:spacing w:val="-17"/>
        </w:rPr>
        <w:t> </w:t>
      </w:r>
      <w:r>
        <w:rPr/>
        <w:t>working synergistically with each other and doing completely different tasks which aid the preservation and rebuilding of the cartilage. After this brief anatomical ex- cursion, it should be clear to even semi-intelligent people, even without any evidence, that dietary supplementation with substances that are the main com- ponents of the organ to be treated (in this case, our joints) is an optimal means of promoting its</w:t>
      </w:r>
      <w:r>
        <w:rPr>
          <w:spacing w:val="-1"/>
        </w:rPr>
        <w:t> </w:t>
      </w:r>
      <w:r>
        <w:rPr/>
        <w:t>regeneration.</w:t>
      </w:r>
    </w:p>
    <w:p>
      <w:pPr>
        <w:pStyle w:val="BodyText"/>
        <w:spacing w:line="276" w:lineRule="auto" w:before="238"/>
        <w:ind w:left="477" w:right="132"/>
        <w:jc w:val="both"/>
      </w:pPr>
      <w:r>
        <w:rPr/>
        <w:t>Just as a power athlete feeds protein to muscles for muscle building and regen- eration</w:t>
      </w:r>
      <w:r>
        <w:rPr>
          <w:spacing w:val="-17"/>
        </w:rPr>
        <w:t> </w:t>
      </w:r>
      <w:r>
        <w:rPr/>
        <w:t>from</w:t>
      </w:r>
      <w:r>
        <w:rPr>
          <w:spacing w:val="-18"/>
        </w:rPr>
        <w:t> </w:t>
      </w:r>
      <w:r>
        <w:rPr/>
        <w:t>the</w:t>
      </w:r>
      <w:r>
        <w:rPr>
          <w:spacing w:val="-16"/>
        </w:rPr>
        <w:t> </w:t>
      </w:r>
      <w:r>
        <w:rPr/>
        <w:t>outside,</w:t>
      </w:r>
      <w:r>
        <w:rPr>
          <w:spacing w:val="-16"/>
        </w:rPr>
        <w:t> </w:t>
      </w:r>
      <w:r>
        <w:rPr/>
        <w:t>paying</w:t>
      </w:r>
      <w:r>
        <w:rPr>
          <w:spacing w:val="-17"/>
        </w:rPr>
        <w:t> </w:t>
      </w:r>
      <w:r>
        <w:rPr/>
        <w:t>as</w:t>
      </w:r>
      <w:r>
        <w:rPr>
          <w:spacing w:val="-18"/>
        </w:rPr>
        <w:t> </w:t>
      </w:r>
      <w:r>
        <w:rPr/>
        <w:t>much</w:t>
      </w:r>
      <w:r>
        <w:rPr>
          <w:spacing w:val="-17"/>
        </w:rPr>
        <w:t> </w:t>
      </w:r>
      <w:r>
        <w:rPr/>
        <w:t>attention</w:t>
      </w:r>
      <w:r>
        <w:rPr>
          <w:spacing w:val="-16"/>
        </w:rPr>
        <w:t> </w:t>
      </w:r>
      <w:r>
        <w:rPr/>
        <w:t>as</w:t>
      </w:r>
      <w:r>
        <w:rPr>
          <w:spacing w:val="-18"/>
        </w:rPr>
        <w:t> </w:t>
      </w:r>
      <w:r>
        <w:rPr/>
        <w:t>possible</w:t>
      </w:r>
      <w:r>
        <w:rPr>
          <w:spacing w:val="-18"/>
        </w:rPr>
        <w:t> </w:t>
      </w:r>
      <w:r>
        <w:rPr/>
        <w:t>to</w:t>
      </w:r>
      <w:r>
        <w:rPr>
          <w:spacing w:val="-18"/>
        </w:rPr>
        <w:t> </w:t>
      </w:r>
      <w:r>
        <w:rPr/>
        <w:t>protein,</w:t>
      </w:r>
      <w:r>
        <w:rPr>
          <w:spacing w:val="-17"/>
        </w:rPr>
        <w:t> </w:t>
      </w:r>
      <w:r>
        <w:rPr/>
        <w:t>which has an amino acid profile that is as similar as possible to the musculature, it is exactly the same with glucosamine and chondroitin in the case of</w:t>
      </w:r>
      <w:r>
        <w:rPr>
          <w:spacing w:val="-9"/>
        </w:rPr>
        <w:t> </w:t>
      </w:r>
      <w:r>
        <w:rPr/>
        <w:t>joints.</w:t>
      </w:r>
    </w:p>
    <w:p>
      <w:pPr>
        <w:pStyle w:val="BodyText"/>
        <w:spacing w:line="276" w:lineRule="auto" w:before="242"/>
        <w:ind w:left="477" w:right="137"/>
        <w:jc w:val="both"/>
      </w:pPr>
      <w:r>
        <w:rPr/>
        <w:t>Is it not the case that calcium is recommended to strengthen bones, which are known to mostly consist of calcium?</w:t>
      </w:r>
    </w:p>
    <w:p>
      <w:pPr>
        <w:pStyle w:val="BodyText"/>
        <w:spacing w:line="276" w:lineRule="auto" w:before="241"/>
        <w:ind w:left="477" w:right="133"/>
        <w:jc w:val="both"/>
      </w:pPr>
      <w:r>
        <w:rPr/>
        <w:t>Is</w:t>
      </w:r>
      <w:r>
        <w:rPr>
          <w:spacing w:val="-21"/>
        </w:rPr>
        <w:t> </w:t>
      </w:r>
      <w:r>
        <w:rPr/>
        <w:t>it</w:t>
      </w:r>
      <w:r>
        <w:rPr>
          <w:spacing w:val="-21"/>
        </w:rPr>
        <w:t> </w:t>
      </w:r>
      <w:r>
        <w:rPr/>
        <w:t>not</w:t>
      </w:r>
      <w:r>
        <w:rPr>
          <w:spacing w:val="-21"/>
        </w:rPr>
        <w:t> </w:t>
      </w:r>
      <w:r>
        <w:rPr/>
        <w:t>true</w:t>
      </w:r>
      <w:r>
        <w:rPr>
          <w:spacing w:val="-22"/>
        </w:rPr>
        <w:t> </w:t>
      </w:r>
      <w:r>
        <w:rPr/>
        <w:t>that</w:t>
      </w:r>
      <w:r>
        <w:rPr>
          <w:spacing w:val="-23"/>
        </w:rPr>
        <w:t> </w:t>
      </w:r>
      <w:r>
        <w:rPr/>
        <w:t>we</w:t>
      </w:r>
      <w:r>
        <w:rPr>
          <w:spacing w:val="-21"/>
        </w:rPr>
        <w:t> </w:t>
      </w:r>
      <w:r>
        <w:rPr/>
        <w:t>rely</w:t>
      </w:r>
      <w:r>
        <w:rPr>
          <w:spacing w:val="-21"/>
        </w:rPr>
        <w:t> </w:t>
      </w:r>
      <w:r>
        <w:rPr/>
        <w:t>on</w:t>
      </w:r>
      <w:r>
        <w:rPr>
          <w:spacing w:val="-22"/>
        </w:rPr>
        <w:t> </w:t>
      </w:r>
      <w:r>
        <w:rPr/>
        <w:t>collagen</w:t>
      </w:r>
      <w:r>
        <w:rPr>
          <w:spacing w:val="-19"/>
        </w:rPr>
        <w:t> </w:t>
      </w:r>
      <w:r>
        <w:rPr/>
        <w:t>creams</w:t>
      </w:r>
      <w:r>
        <w:rPr>
          <w:spacing w:val="-20"/>
        </w:rPr>
        <w:t> </w:t>
      </w:r>
      <w:r>
        <w:rPr/>
        <w:t>to</w:t>
      </w:r>
      <w:r>
        <w:rPr>
          <w:spacing w:val="-23"/>
        </w:rPr>
        <w:t> </w:t>
      </w:r>
      <w:r>
        <w:rPr/>
        <w:t>provide</w:t>
      </w:r>
      <w:r>
        <w:rPr>
          <w:spacing w:val="-21"/>
        </w:rPr>
        <w:t> </w:t>
      </w:r>
      <w:r>
        <w:rPr/>
        <w:t>the</w:t>
      </w:r>
      <w:r>
        <w:rPr>
          <w:spacing w:val="-19"/>
        </w:rPr>
        <w:t> </w:t>
      </w:r>
      <w:r>
        <w:rPr/>
        <w:t>skin,</w:t>
      </w:r>
      <w:r>
        <w:rPr>
          <w:spacing w:val="-19"/>
        </w:rPr>
        <w:t> </w:t>
      </w:r>
      <w:r>
        <w:rPr/>
        <w:t>which</w:t>
      </w:r>
      <w:r>
        <w:rPr>
          <w:spacing w:val="-20"/>
        </w:rPr>
        <w:t> </w:t>
      </w:r>
      <w:r>
        <w:rPr/>
        <w:t>is</w:t>
      </w:r>
      <w:r>
        <w:rPr>
          <w:spacing w:val="-21"/>
        </w:rPr>
        <w:t> </w:t>
      </w:r>
      <w:r>
        <w:rPr/>
        <w:t>mostly made up of collagens, with their material and to relieve</w:t>
      </w:r>
      <w:r>
        <w:rPr>
          <w:spacing w:val="-3"/>
        </w:rPr>
        <w:t> </w:t>
      </w:r>
      <w:r>
        <w:rPr/>
        <w:t>wrinkles?</w:t>
      </w:r>
    </w:p>
    <w:p>
      <w:pPr>
        <w:pStyle w:val="Heading2"/>
        <w:spacing w:before="239"/>
        <w:jc w:val="both"/>
      </w:pPr>
      <w:r>
        <w:rPr/>
        <w:t>The logical premise is ALWAYS:</w:t>
      </w:r>
    </w:p>
    <w:p>
      <w:pPr>
        <w:spacing w:after="0"/>
        <w:jc w:val="both"/>
        <w:sectPr>
          <w:pgSz w:w="14270" w:h="16850"/>
          <w:pgMar w:header="0" w:footer="1891" w:top="1600" w:bottom="2080" w:left="800" w:right="1280"/>
        </w:sectPr>
      </w:pPr>
    </w:p>
    <w:p>
      <w:pPr>
        <w:spacing w:line="261" w:lineRule="auto" w:before="164"/>
        <w:ind w:left="477" w:right="143" w:firstLine="0"/>
        <w:jc w:val="both"/>
        <w:rPr>
          <w:b/>
          <w:i/>
          <w:sz w:val="40"/>
        </w:rPr>
      </w:pPr>
      <w:r>
        <w:rPr>
          <w:b/>
          <w:i/>
          <w:sz w:val="40"/>
        </w:rPr>
        <w:t>Give</w:t>
      </w:r>
      <w:r>
        <w:rPr>
          <w:b/>
          <w:i/>
          <w:spacing w:val="-16"/>
          <w:sz w:val="40"/>
        </w:rPr>
        <w:t> </w:t>
      </w:r>
      <w:r>
        <w:rPr>
          <w:b/>
          <w:i/>
          <w:sz w:val="40"/>
        </w:rPr>
        <w:t>the</w:t>
      </w:r>
      <w:r>
        <w:rPr>
          <w:b/>
          <w:i/>
          <w:spacing w:val="-15"/>
          <w:sz w:val="40"/>
        </w:rPr>
        <w:t> </w:t>
      </w:r>
      <w:r>
        <w:rPr>
          <w:b/>
          <w:i/>
          <w:sz w:val="40"/>
        </w:rPr>
        <w:t>body</w:t>
      </w:r>
      <w:r>
        <w:rPr>
          <w:b/>
          <w:i/>
          <w:spacing w:val="-14"/>
          <w:sz w:val="40"/>
        </w:rPr>
        <w:t> </w:t>
      </w:r>
      <w:r>
        <w:rPr>
          <w:b/>
          <w:i/>
          <w:sz w:val="40"/>
        </w:rPr>
        <w:t>the</w:t>
      </w:r>
      <w:r>
        <w:rPr>
          <w:b/>
          <w:i/>
          <w:spacing w:val="-15"/>
          <w:sz w:val="40"/>
        </w:rPr>
        <w:t> </w:t>
      </w:r>
      <w:r>
        <w:rPr>
          <w:b/>
          <w:i/>
          <w:sz w:val="40"/>
        </w:rPr>
        <w:t>building</w:t>
      </w:r>
      <w:r>
        <w:rPr>
          <w:b/>
          <w:i/>
          <w:spacing w:val="-15"/>
          <w:sz w:val="40"/>
        </w:rPr>
        <w:t> </w:t>
      </w:r>
      <w:r>
        <w:rPr>
          <w:b/>
          <w:i/>
          <w:sz w:val="40"/>
        </w:rPr>
        <w:t>material</w:t>
      </w:r>
      <w:r>
        <w:rPr>
          <w:b/>
          <w:i/>
          <w:spacing w:val="-16"/>
          <w:sz w:val="40"/>
        </w:rPr>
        <w:t> </w:t>
      </w:r>
      <w:r>
        <w:rPr>
          <w:b/>
          <w:i/>
          <w:sz w:val="40"/>
        </w:rPr>
        <w:t>it</w:t>
      </w:r>
      <w:r>
        <w:rPr>
          <w:b/>
          <w:i/>
          <w:spacing w:val="-16"/>
          <w:sz w:val="40"/>
        </w:rPr>
        <w:t> </w:t>
      </w:r>
      <w:r>
        <w:rPr>
          <w:b/>
          <w:i/>
          <w:sz w:val="40"/>
        </w:rPr>
        <w:t>is</w:t>
      </w:r>
      <w:r>
        <w:rPr>
          <w:b/>
          <w:i/>
          <w:spacing w:val="-16"/>
          <w:sz w:val="40"/>
        </w:rPr>
        <w:t> </w:t>
      </w:r>
      <w:r>
        <w:rPr>
          <w:b/>
          <w:i/>
          <w:sz w:val="40"/>
        </w:rPr>
        <w:t>made</w:t>
      </w:r>
      <w:r>
        <w:rPr>
          <w:b/>
          <w:i/>
          <w:spacing w:val="-16"/>
          <w:sz w:val="40"/>
        </w:rPr>
        <w:t> </w:t>
      </w:r>
      <w:r>
        <w:rPr>
          <w:b/>
          <w:i/>
          <w:sz w:val="40"/>
        </w:rPr>
        <w:t>of</w:t>
      </w:r>
      <w:r>
        <w:rPr>
          <w:b/>
          <w:i/>
          <w:spacing w:val="-16"/>
          <w:sz w:val="40"/>
        </w:rPr>
        <w:t> </w:t>
      </w:r>
      <w:r>
        <w:rPr>
          <w:b/>
          <w:i/>
          <w:sz w:val="40"/>
        </w:rPr>
        <w:t>so</w:t>
      </w:r>
      <w:r>
        <w:rPr>
          <w:b/>
          <w:i/>
          <w:spacing w:val="-15"/>
          <w:sz w:val="40"/>
        </w:rPr>
        <w:t> </w:t>
      </w:r>
      <w:r>
        <w:rPr>
          <w:b/>
          <w:i/>
          <w:sz w:val="40"/>
        </w:rPr>
        <w:t>that</w:t>
      </w:r>
      <w:r>
        <w:rPr>
          <w:b/>
          <w:i/>
          <w:spacing w:val="-15"/>
          <w:sz w:val="40"/>
        </w:rPr>
        <w:t> </w:t>
      </w:r>
      <w:r>
        <w:rPr>
          <w:b/>
          <w:i/>
          <w:sz w:val="40"/>
        </w:rPr>
        <w:t>it</w:t>
      </w:r>
      <w:r>
        <w:rPr>
          <w:b/>
          <w:i/>
          <w:spacing w:val="-16"/>
          <w:sz w:val="40"/>
        </w:rPr>
        <w:t> </w:t>
      </w:r>
      <w:r>
        <w:rPr>
          <w:b/>
          <w:i/>
          <w:sz w:val="40"/>
        </w:rPr>
        <w:t>can</w:t>
      </w:r>
      <w:r>
        <w:rPr>
          <w:b/>
          <w:i/>
          <w:spacing w:val="-15"/>
          <w:sz w:val="40"/>
        </w:rPr>
        <w:t> </w:t>
      </w:r>
      <w:r>
        <w:rPr>
          <w:b/>
          <w:i/>
          <w:sz w:val="40"/>
        </w:rPr>
        <w:t>rebuild and repair what it is made</w:t>
      </w:r>
      <w:r>
        <w:rPr>
          <w:b/>
          <w:i/>
          <w:spacing w:val="-54"/>
          <w:sz w:val="40"/>
        </w:rPr>
        <w:t> </w:t>
      </w:r>
      <w:r>
        <w:rPr>
          <w:b/>
          <w:i/>
          <w:sz w:val="40"/>
        </w:rPr>
        <w:t>of.</w:t>
      </w:r>
    </w:p>
    <w:p>
      <w:pPr>
        <w:pStyle w:val="BodyText"/>
        <w:spacing w:before="260"/>
        <w:ind w:left="477"/>
      </w:pPr>
      <w:r>
        <w:rPr/>
        <w:t>And why should it be any different for our joints?</w:t>
      </w:r>
    </w:p>
    <w:p>
      <w:pPr>
        <w:pStyle w:val="BodyText"/>
        <w:spacing w:line="276" w:lineRule="auto" w:before="305"/>
        <w:ind w:left="477" w:right="136"/>
        <w:jc w:val="both"/>
      </w:pPr>
      <w:r>
        <w:rPr/>
        <w:t>Thankfully, dietary supplements have been around for quite some time,</w:t>
      </w:r>
      <w:r>
        <w:rPr>
          <w:spacing w:val="-63"/>
        </w:rPr>
        <w:t> </w:t>
      </w:r>
      <w:r>
        <w:rPr/>
        <w:t>includ- ing the two most important building materials for our joints: glucosamine and chondroitin.</w:t>
      </w:r>
    </w:p>
    <w:p>
      <w:pPr>
        <w:pStyle w:val="Heading2"/>
        <w:spacing w:before="239"/>
      </w:pPr>
      <w:r>
        <w:rPr/>
        <w:t>Glucosamine production</w:t>
      </w:r>
    </w:p>
    <w:p>
      <w:pPr>
        <w:pStyle w:val="BodyText"/>
        <w:spacing w:line="276" w:lineRule="auto" w:before="305"/>
        <w:ind w:left="477" w:right="138"/>
        <w:jc w:val="both"/>
      </w:pPr>
      <w:r>
        <w:rPr/>
        <w:t>Glucosamine is mostly derived from marine sources, shellfish such as crab, shrimp and prawns. The chitin contained in the exoskeleton forms the starting material and is a polymer of N-acetyl-D-glucosamine.</w:t>
      </w:r>
    </w:p>
    <w:p>
      <w:pPr>
        <w:pStyle w:val="BodyText"/>
        <w:spacing w:line="276" w:lineRule="auto" w:before="241"/>
        <w:ind w:left="477" w:right="132"/>
        <w:jc w:val="both"/>
      </w:pPr>
      <w:r>
        <w:rPr/>
        <w:t>Furthermore,</w:t>
      </w:r>
      <w:r>
        <w:rPr>
          <w:spacing w:val="-9"/>
        </w:rPr>
        <w:t> </w:t>
      </w:r>
      <w:r>
        <w:rPr/>
        <w:t>glucosamine</w:t>
      </w:r>
      <w:r>
        <w:rPr>
          <w:spacing w:val="-10"/>
        </w:rPr>
        <w:t> </w:t>
      </w:r>
      <w:r>
        <w:rPr/>
        <w:t>can</w:t>
      </w:r>
      <w:r>
        <w:rPr>
          <w:spacing w:val="-9"/>
        </w:rPr>
        <w:t> </w:t>
      </w:r>
      <w:r>
        <w:rPr/>
        <w:t>also</w:t>
      </w:r>
      <w:r>
        <w:rPr>
          <w:spacing w:val="-10"/>
        </w:rPr>
        <w:t> </w:t>
      </w:r>
      <w:r>
        <w:rPr/>
        <w:t>be</w:t>
      </w:r>
      <w:r>
        <w:rPr>
          <w:spacing w:val="-10"/>
        </w:rPr>
        <w:t> </w:t>
      </w:r>
      <w:r>
        <w:rPr/>
        <w:t>produced</w:t>
      </w:r>
      <w:r>
        <w:rPr>
          <w:spacing w:val="-11"/>
        </w:rPr>
        <w:t> </w:t>
      </w:r>
      <w:r>
        <w:rPr/>
        <w:t>synthetically.</w:t>
      </w:r>
      <w:r>
        <w:rPr>
          <w:spacing w:val="-10"/>
        </w:rPr>
        <w:t> </w:t>
      </w:r>
      <w:r>
        <w:rPr/>
        <w:t>The</w:t>
      </w:r>
      <w:r>
        <w:rPr>
          <w:spacing w:val="-9"/>
        </w:rPr>
        <w:t> </w:t>
      </w:r>
      <w:r>
        <w:rPr/>
        <w:t>so-called</w:t>
      </w:r>
      <w:r>
        <w:rPr>
          <w:spacing w:val="-11"/>
        </w:rPr>
        <w:t> </w:t>
      </w:r>
      <w:r>
        <w:rPr/>
        <w:t>bi- ological</w:t>
      </w:r>
      <w:r>
        <w:rPr>
          <w:spacing w:val="-27"/>
        </w:rPr>
        <w:t> </w:t>
      </w:r>
      <w:r>
        <w:rPr/>
        <w:t>or</w:t>
      </w:r>
      <w:r>
        <w:rPr>
          <w:spacing w:val="-24"/>
        </w:rPr>
        <w:t> </w:t>
      </w:r>
      <w:r>
        <w:rPr/>
        <w:t>ecological</w:t>
      </w:r>
      <w:r>
        <w:rPr>
          <w:spacing w:val="-26"/>
        </w:rPr>
        <w:t> </w:t>
      </w:r>
      <w:r>
        <w:rPr/>
        <w:t>glucosamine</w:t>
      </w:r>
      <w:r>
        <w:rPr>
          <w:spacing w:val="-25"/>
        </w:rPr>
        <w:t> </w:t>
      </w:r>
      <w:r>
        <w:rPr/>
        <w:t>is</w:t>
      </w:r>
      <w:r>
        <w:rPr>
          <w:spacing w:val="-26"/>
        </w:rPr>
        <w:t> </w:t>
      </w:r>
      <w:r>
        <w:rPr/>
        <w:t>obtained,</w:t>
      </w:r>
      <w:r>
        <w:rPr>
          <w:spacing w:val="-24"/>
        </w:rPr>
        <w:t> </w:t>
      </w:r>
      <w:r>
        <w:rPr/>
        <w:t>for</w:t>
      </w:r>
      <w:r>
        <w:rPr>
          <w:spacing w:val="-26"/>
        </w:rPr>
        <w:t> </w:t>
      </w:r>
      <w:r>
        <w:rPr/>
        <w:t>example,</w:t>
      </w:r>
      <w:r>
        <w:rPr>
          <w:spacing w:val="-24"/>
        </w:rPr>
        <w:t> </w:t>
      </w:r>
      <w:r>
        <w:rPr/>
        <w:t>from</w:t>
      </w:r>
      <w:r>
        <w:rPr>
          <w:spacing w:val="-26"/>
        </w:rPr>
        <w:t> </w:t>
      </w:r>
      <w:r>
        <w:rPr/>
        <w:t>a</w:t>
      </w:r>
      <w:r>
        <w:rPr>
          <w:spacing w:val="-26"/>
        </w:rPr>
        <w:t> </w:t>
      </w:r>
      <w:r>
        <w:rPr/>
        <w:t>fungus</w:t>
      </w:r>
      <w:r>
        <w:rPr>
          <w:spacing w:val="-25"/>
        </w:rPr>
        <w:t> </w:t>
      </w:r>
      <w:r>
        <w:rPr/>
        <w:t>called ‘Aspergillus niger’, which thrives on maize cultures. This is particularly suitable for people allergic to shellfish or</w:t>
      </w:r>
      <w:r>
        <w:rPr>
          <w:spacing w:val="-2"/>
        </w:rPr>
        <w:t> </w:t>
      </w:r>
      <w:r>
        <w:rPr/>
        <w:t>vegetarians.</w:t>
      </w:r>
    </w:p>
    <w:p>
      <w:pPr>
        <w:pStyle w:val="Heading2"/>
        <w:spacing w:before="239"/>
      </w:pPr>
      <w:r>
        <w:rPr/>
        <w:t>Chondroitin production</w:t>
      </w:r>
    </w:p>
    <w:p>
      <w:pPr>
        <w:pStyle w:val="BodyText"/>
        <w:spacing w:line="276" w:lineRule="auto" w:before="305"/>
        <w:ind w:left="477" w:right="132"/>
        <w:jc w:val="both"/>
      </w:pPr>
      <w:r>
        <w:rPr/>
        <w:t>Chondroitin</w:t>
      </w:r>
      <w:r>
        <w:rPr>
          <w:spacing w:val="-11"/>
        </w:rPr>
        <w:t> </w:t>
      </w:r>
      <w:r>
        <w:rPr/>
        <w:t>is</w:t>
      </w:r>
      <w:r>
        <w:rPr>
          <w:spacing w:val="-12"/>
        </w:rPr>
        <w:t> </w:t>
      </w:r>
      <w:r>
        <w:rPr/>
        <w:t>derived</w:t>
      </w:r>
      <w:r>
        <w:rPr>
          <w:spacing w:val="-12"/>
        </w:rPr>
        <w:t> </w:t>
      </w:r>
      <w:r>
        <w:rPr/>
        <w:t>from</w:t>
      </w:r>
      <w:r>
        <w:rPr>
          <w:spacing w:val="-11"/>
        </w:rPr>
        <w:t> </w:t>
      </w:r>
      <w:r>
        <w:rPr/>
        <w:t>the</w:t>
      </w:r>
      <w:r>
        <w:rPr>
          <w:spacing w:val="-11"/>
        </w:rPr>
        <w:t> </w:t>
      </w:r>
      <w:r>
        <w:rPr/>
        <w:t>cartilage</w:t>
      </w:r>
      <w:r>
        <w:rPr>
          <w:spacing w:val="-12"/>
        </w:rPr>
        <w:t> </w:t>
      </w:r>
      <w:r>
        <w:rPr/>
        <w:t>tissue</w:t>
      </w:r>
      <w:r>
        <w:rPr>
          <w:spacing w:val="-12"/>
        </w:rPr>
        <w:t> </w:t>
      </w:r>
      <w:r>
        <w:rPr/>
        <w:t>of</w:t>
      </w:r>
      <w:r>
        <w:rPr>
          <w:spacing w:val="-11"/>
        </w:rPr>
        <w:t> </w:t>
      </w:r>
      <w:r>
        <w:rPr/>
        <w:t>pigs</w:t>
      </w:r>
      <w:r>
        <w:rPr>
          <w:spacing w:val="-11"/>
        </w:rPr>
        <w:t> </w:t>
      </w:r>
      <w:r>
        <w:rPr/>
        <w:t>and</w:t>
      </w:r>
      <w:r>
        <w:rPr>
          <w:spacing w:val="-11"/>
        </w:rPr>
        <w:t> </w:t>
      </w:r>
      <w:r>
        <w:rPr/>
        <w:t>cows,</w:t>
      </w:r>
      <w:r>
        <w:rPr>
          <w:spacing w:val="-11"/>
        </w:rPr>
        <w:t> </w:t>
      </w:r>
      <w:r>
        <w:rPr/>
        <w:t>but</w:t>
      </w:r>
      <w:r>
        <w:rPr>
          <w:spacing w:val="-12"/>
        </w:rPr>
        <w:t> </w:t>
      </w:r>
      <w:r>
        <w:rPr/>
        <w:t>shark</w:t>
      </w:r>
      <w:r>
        <w:rPr>
          <w:spacing w:val="-12"/>
        </w:rPr>
        <w:t> </w:t>
      </w:r>
      <w:r>
        <w:rPr/>
        <w:t>and bird cartilage are also used. The composition of the product varies because chondroitin occurs in many forms in nature and cannot be defined as a </w:t>
      </w:r>
      <w:r>
        <w:rPr>
          <w:spacing w:val="2"/>
        </w:rPr>
        <w:t>single </w:t>
      </w:r>
      <w:r>
        <w:rPr/>
        <w:t>substance.</w:t>
      </w:r>
    </w:p>
    <w:p>
      <w:pPr>
        <w:pStyle w:val="Heading2"/>
        <w:spacing w:before="240"/>
        <w:jc w:val="both"/>
      </w:pPr>
      <w:r>
        <w:rPr/>
        <w:t>Studies and effects</w:t>
      </w:r>
    </w:p>
    <w:p>
      <w:pPr>
        <w:spacing w:after="0"/>
        <w:jc w:val="both"/>
        <w:sectPr>
          <w:pgSz w:w="14270" w:h="16850"/>
          <w:pgMar w:header="0" w:footer="1891" w:top="1600" w:bottom="2080" w:left="800" w:right="1280"/>
        </w:sectPr>
      </w:pPr>
    </w:p>
    <w:p>
      <w:pPr>
        <w:pStyle w:val="BodyText"/>
        <w:spacing w:line="276" w:lineRule="auto" w:before="181"/>
        <w:ind w:left="477" w:right="133"/>
        <w:jc w:val="both"/>
      </w:pPr>
      <w:r>
        <w:rPr/>
        <w:t>After letting the experts speak under the heading ‘expert opinions’ and already revealing some study results, then providing you with the logically comprehen- sible</w:t>
      </w:r>
      <w:r>
        <w:rPr>
          <w:spacing w:val="-20"/>
        </w:rPr>
        <w:t> </w:t>
      </w:r>
      <w:r>
        <w:rPr/>
        <w:t>physiological</w:t>
      </w:r>
      <w:r>
        <w:rPr>
          <w:spacing w:val="-19"/>
        </w:rPr>
        <w:t> </w:t>
      </w:r>
      <w:r>
        <w:rPr/>
        <w:t>and</w:t>
      </w:r>
      <w:r>
        <w:rPr>
          <w:spacing w:val="-18"/>
        </w:rPr>
        <w:t> </w:t>
      </w:r>
      <w:r>
        <w:rPr/>
        <w:t>functional</w:t>
      </w:r>
      <w:r>
        <w:rPr>
          <w:spacing w:val="-18"/>
        </w:rPr>
        <w:t> </w:t>
      </w:r>
      <w:r>
        <w:rPr/>
        <w:t>points</w:t>
      </w:r>
      <w:r>
        <w:rPr>
          <w:spacing w:val="-17"/>
        </w:rPr>
        <w:t> </w:t>
      </w:r>
      <w:r>
        <w:rPr/>
        <w:t>of</w:t>
      </w:r>
      <w:r>
        <w:rPr>
          <w:spacing w:val="-20"/>
        </w:rPr>
        <w:t> </w:t>
      </w:r>
      <w:r>
        <w:rPr/>
        <w:t>view</w:t>
      </w:r>
      <w:r>
        <w:rPr>
          <w:spacing w:val="-21"/>
        </w:rPr>
        <w:t> </w:t>
      </w:r>
      <w:r>
        <w:rPr/>
        <w:t>on</w:t>
      </w:r>
      <w:r>
        <w:rPr>
          <w:spacing w:val="-17"/>
        </w:rPr>
        <w:t> </w:t>
      </w:r>
      <w:r>
        <w:rPr/>
        <w:t>the</w:t>
      </w:r>
      <w:r>
        <w:rPr>
          <w:spacing w:val="-17"/>
        </w:rPr>
        <w:t> </w:t>
      </w:r>
      <w:r>
        <w:rPr/>
        <w:t>topic,</w:t>
      </w:r>
      <w:r>
        <w:rPr>
          <w:spacing w:val="-18"/>
        </w:rPr>
        <w:t> </w:t>
      </w:r>
      <w:r>
        <w:rPr/>
        <w:t>we</w:t>
      </w:r>
      <w:r>
        <w:rPr>
          <w:spacing w:val="-17"/>
        </w:rPr>
        <w:t> </w:t>
      </w:r>
      <w:r>
        <w:rPr/>
        <w:t>will</w:t>
      </w:r>
      <w:r>
        <w:rPr>
          <w:spacing w:val="-19"/>
        </w:rPr>
        <w:t> </w:t>
      </w:r>
      <w:r>
        <w:rPr/>
        <w:t>now</w:t>
      </w:r>
      <w:r>
        <w:rPr>
          <w:spacing w:val="-20"/>
        </w:rPr>
        <w:t> </w:t>
      </w:r>
      <w:r>
        <w:rPr/>
        <w:t>focus on the controversial study results on glucosamine and</w:t>
      </w:r>
      <w:r>
        <w:rPr>
          <w:spacing w:val="-6"/>
        </w:rPr>
        <w:t> </w:t>
      </w:r>
      <w:r>
        <w:rPr/>
        <w:t>chondroitin:</w:t>
      </w:r>
    </w:p>
    <w:p>
      <w:pPr>
        <w:pStyle w:val="Heading1"/>
        <w:spacing w:line="261" w:lineRule="auto" w:before="225"/>
        <w:ind w:right="137"/>
        <w:jc w:val="both"/>
      </w:pPr>
      <w:r>
        <w:rPr/>
        <w:t>Does</w:t>
      </w:r>
      <w:r>
        <w:rPr>
          <w:spacing w:val="-15"/>
        </w:rPr>
        <w:t> </w:t>
      </w:r>
      <w:r>
        <w:rPr/>
        <w:t>glucosamine</w:t>
      </w:r>
      <w:r>
        <w:rPr>
          <w:spacing w:val="-15"/>
        </w:rPr>
        <w:t> </w:t>
      </w:r>
      <w:r>
        <w:rPr/>
        <w:t>and</w:t>
      </w:r>
      <w:r>
        <w:rPr>
          <w:spacing w:val="-15"/>
        </w:rPr>
        <w:t> </w:t>
      </w:r>
      <w:r>
        <w:rPr/>
        <w:t>chondroitin</w:t>
      </w:r>
      <w:r>
        <w:rPr>
          <w:spacing w:val="-14"/>
        </w:rPr>
        <w:t> </w:t>
      </w:r>
      <w:r>
        <w:rPr/>
        <w:t>work</w:t>
      </w:r>
      <w:r>
        <w:rPr>
          <w:spacing w:val="-15"/>
        </w:rPr>
        <w:t> </w:t>
      </w:r>
      <w:r>
        <w:rPr/>
        <w:t>or</w:t>
      </w:r>
      <w:r>
        <w:rPr>
          <w:spacing w:val="-16"/>
        </w:rPr>
        <w:t> </w:t>
      </w:r>
      <w:r>
        <w:rPr/>
        <w:t>not?</w:t>
      </w:r>
      <w:r>
        <w:rPr>
          <w:spacing w:val="-12"/>
        </w:rPr>
        <w:t> </w:t>
      </w:r>
      <w:r>
        <w:rPr/>
        <w:t>–</w:t>
      </w:r>
      <w:r>
        <w:rPr>
          <w:spacing w:val="-15"/>
        </w:rPr>
        <w:t> </w:t>
      </w:r>
      <w:r>
        <w:rPr/>
        <w:t>studies</w:t>
      </w:r>
      <w:r>
        <w:rPr>
          <w:spacing w:val="-14"/>
        </w:rPr>
        <w:t> </w:t>
      </w:r>
      <w:r>
        <w:rPr/>
        <w:t>give</w:t>
      </w:r>
      <w:r>
        <w:rPr>
          <w:spacing w:val="-15"/>
        </w:rPr>
        <w:t> </w:t>
      </w:r>
      <w:r>
        <w:rPr/>
        <w:t>mixed answers – we explain</w:t>
      </w:r>
      <w:r>
        <w:rPr>
          <w:spacing w:val="-30"/>
        </w:rPr>
        <w:t> </w:t>
      </w:r>
      <w:r>
        <w:rPr/>
        <w:t>why.</w:t>
      </w:r>
    </w:p>
    <w:p>
      <w:pPr>
        <w:pStyle w:val="BodyText"/>
        <w:spacing w:line="276" w:lineRule="auto" w:before="258"/>
        <w:ind w:left="477" w:right="134"/>
        <w:jc w:val="both"/>
      </w:pPr>
      <w:r>
        <w:rPr/>
        <w:t>If one researches the subject of ‘glucosamine’ on the internet, it quickly be- comes apparent that one stumbles over completely contradictory study results, which usually either suggest glucosamine has considerable cartilage-regenerat- ing and sustaining properties or the complete opposite, namely that glucosa- mine is completely ineffective.</w:t>
      </w:r>
    </w:p>
    <w:p>
      <w:pPr>
        <w:pStyle w:val="Heading1"/>
        <w:spacing w:before="222"/>
        <w:jc w:val="both"/>
      </w:pPr>
      <w:r>
        <w:rPr>
          <w:b w:val="0"/>
          <w:i w:val="0"/>
          <w:sz w:val="38"/>
        </w:rPr>
        <w:t>‘</w:t>
      </w:r>
      <w:r>
        <w:rPr/>
        <w:t>Do not trust any study that you did not fake yourself.’</w:t>
      </w:r>
    </w:p>
    <w:p>
      <w:pPr>
        <w:pStyle w:val="BodyText"/>
        <w:spacing w:line="276" w:lineRule="auto" w:before="300"/>
        <w:ind w:left="477" w:right="135"/>
        <w:jc w:val="both"/>
      </w:pPr>
      <w:r>
        <w:rPr/>
        <w:t>A well-known credo, which unfortunately also applies in the case of negative studies on ‘glucosamine and chondroitin’. Without wishing to elaborate on the subject, the results of studies using study methodology and drug formulations can</w:t>
      </w:r>
      <w:r>
        <w:rPr>
          <w:spacing w:val="-8"/>
        </w:rPr>
        <w:t> </w:t>
      </w:r>
      <w:r>
        <w:rPr/>
        <w:t>be</w:t>
      </w:r>
      <w:r>
        <w:rPr>
          <w:spacing w:val="-8"/>
        </w:rPr>
        <w:t> </w:t>
      </w:r>
      <w:r>
        <w:rPr/>
        <w:t>legally</w:t>
      </w:r>
      <w:r>
        <w:rPr>
          <w:spacing w:val="-9"/>
        </w:rPr>
        <w:t> </w:t>
      </w:r>
      <w:r>
        <w:rPr/>
        <w:t>manipulated</w:t>
      </w:r>
      <w:r>
        <w:rPr>
          <w:spacing w:val="-9"/>
        </w:rPr>
        <w:t> </w:t>
      </w:r>
      <w:r>
        <w:rPr/>
        <w:t>in</w:t>
      </w:r>
      <w:r>
        <w:rPr>
          <w:spacing w:val="-8"/>
        </w:rPr>
        <w:t> </w:t>
      </w:r>
      <w:r>
        <w:rPr/>
        <w:t>the</w:t>
      </w:r>
      <w:r>
        <w:rPr>
          <w:spacing w:val="-7"/>
        </w:rPr>
        <w:t> </w:t>
      </w:r>
      <w:r>
        <w:rPr/>
        <w:t>desired</w:t>
      </w:r>
      <w:r>
        <w:rPr>
          <w:spacing w:val="-8"/>
        </w:rPr>
        <w:t> </w:t>
      </w:r>
      <w:r>
        <w:rPr/>
        <w:t>direction</w:t>
      </w:r>
      <w:r>
        <w:rPr>
          <w:spacing w:val="-5"/>
        </w:rPr>
        <w:t> </w:t>
      </w:r>
      <w:r>
        <w:rPr/>
        <w:t>–</w:t>
      </w:r>
      <w:r>
        <w:rPr>
          <w:spacing w:val="-9"/>
        </w:rPr>
        <w:t> </w:t>
      </w:r>
      <w:r>
        <w:rPr/>
        <w:t>a</w:t>
      </w:r>
      <w:r>
        <w:rPr>
          <w:spacing w:val="-9"/>
        </w:rPr>
        <w:t> </w:t>
      </w:r>
      <w:r>
        <w:rPr/>
        <w:t>common</w:t>
      </w:r>
      <w:r>
        <w:rPr>
          <w:spacing w:val="-10"/>
        </w:rPr>
        <w:t> </w:t>
      </w:r>
      <w:r>
        <w:rPr/>
        <w:t>method,</w:t>
      </w:r>
      <w:r>
        <w:rPr>
          <w:spacing w:val="-7"/>
        </w:rPr>
        <w:t> </w:t>
      </w:r>
      <w:r>
        <w:rPr/>
        <w:t>unfor- tunately, of denigrating natural products or natural remedies and of protecting drug</w:t>
      </w:r>
      <w:r>
        <w:rPr>
          <w:spacing w:val="-1"/>
        </w:rPr>
        <w:t> </w:t>
      </w:r>
      <w:r>
        <w:rPr/>
        <w:t>sales.</w:t>
      </w:r>
    </w:p>
    <w:p>
      <w:pPr>
        <w:pStyle w:val="BodyText"/>
        <w:spacing w:line="276" w:lineRule="auto" w:before="240"/>
        <w:ind w:left="477" w:right="133"/>
        <w:jc w:val="both"/>
      </w:pPr>
      <w:r>
        <w:rPr/>
        <w:t>If one questions the motivations for these negative ‘studies’ that deny glucosa- mine and chondroitin any positive effect on our joints, one should first of all become aware of some facts:</w:t>
      </w:r>
    </w:p>
    <w:p>
      <w:pPr>
        <w:spacing w:after="0" w:line="276" w:lineRule="auto"/>
        <w:jc w:val="both"/>
        <w:sectPr>
          <w:pgSz w:w="14270" w:h="16850"/>
          <w:pgMar w:header="0" w:footer="1891" w:top="1600" w:bottom="2080" w:left="800" w:right="1280"/>
        </w:sectPr>
      </w:pPr>
    </w:p>
    <w:p>
      <w:pPr>
        <w:pStyle w:val="BodyText"/>
        <w:spacing w:before="10"/>
        <w:rPr>
          <w:sz w:val="8"/>
        </w:rPr>
      </w:pPr>
    </w:p>
    <w:p>
      <w:pPr>
        <w:pStyle w:val="ListParagraph"/>
        <w:numPr>
          <w:ilvl w:val="1"/>
          <w:numId w:val="26"/>
        </w:numPr>
        <w:tabs>
          <w:tab w:pos="1078" w:val="left" w:leader="none"/>
        </w:tabs>
        <w:spacing w:line="273" w:lineRule="auto" w:before="83" w:after="0"/>
        <w:ind w:left="1077" w:right="141" w:hanging="360"/>
        <w:jc w:val="both"/>
        <w:rPr>
          <w:sz w:val="38"/>
        </w:rPr>
      </w:pPr>
      <w:r>
        <w:rPr>
          <w:sz w:val="38"/>
        </w:rPr>
        <w:t>Both glucosamine and chondroitin are natural products, which are there- fore fundamentally</w:t>
      </w:r>
      <w:r>
        <w:rPr>
          <w:spacing w:val="-1"/>
          <w:sz w:val="38"/>
        </w:rPr>
        <w:t> </w:t>
      </w:r>
      <w:r>
        <w:rPr>
          <w:sz w:val="38"/>
        </w:rPr>
        <w:t>unpatentable.</w:t>
      </w:r>
    </w:p>
    <w:p>
      <w:pPr>
        <w:pStyle w:val="ListParagraph"/>
        <w:numPr>
          <w:ilvl w:val="1"/>
          <w:numId w:val="26"/>
        </w:numPr>
        <w:tabs>
          <w:tab w:pos="1078" w:val="left" w:leader="none"/>
        </w:tabs>
        <w:spacing w:line="276" w:lineRule="auto" w:before="247" w:after="0"/>
        <w:ind w:left="1077" w:right="136" w:hanging="360"/>
        <w:jc w:val="both"/>
        <w:rPr>
          <w:sz w:val="38"/>
        </w:rPr>
      </w:pPr>
      <w:r>
        <w:rPr>
          <w:sz w:val="38"/>
        </w:rPr>
        <w:t>A non-patentable substance does not justify expensive licensing studies</w:t>
      </w:r>
      <w:r>
        <w:rPr>
          <w:spacing w:val="-58"/>
          <w:sz w:val="38"/>
        </w:rPr>
        <w:t> </w:t>
      </w:r>
      <w:r>
        <w:rPr>
          <w:sz w:val="38"/>
        </w:rPr>
        <w:t>for a pharmaceutical company, as required by the EU for new medicines, nor any subsequent multi-million marketing campaign to successfully market the new</w:t>
      </w:r>
      <w:r>
        <w:rPr>
          <w:spacing w:val="1"/>
          <w:sz w:val="38"/>
        </w:rPr>
        <w:t> </w:t>
      </w:r>
      <w:r>
        <w:rPr>
          <w:sz w:val="38"/>
        </w:rPr>
        <w:t>drug.</w:t>
      </w:r>
    </w:p>
    <w:p>
      <w:pPr>
        <w:pStyle w:val="BodyText"/>
        <w:spacing w:line="276" w:lineRule="auto" w:before="238"/>
        <w:ind w:left="477" w:right="137"/>
        <w:jc w:val="both"/>
      </w:pPr>
      <w:r>
        <w:rPr/>
        <w:t>Nevertheless, if a pharmaceutical company agrees, it will automatically accept that competitors will also lay claim to the studies, which are now universally valid and published, and, due to the costs saved for the millions it would take to conduct the study, only a short time later, will bring a much cheaper drug onto the market with the same active ingredient.</w:t>
      </w:r>
    </w:p>
    <w:p>
      <w:pPr>
        <w:pStyle w:val="BodyText"/>
        <w:spacing w:line="276" w:lineRule="auto" w:before="240"/>
        <w:ind w:left="477" w:right="132"/>
        <w:jc w:val="both"/>
      </w:pPr>
      <w:r>
        <w:rPr/>
        <w:t>However, if these low-cost (non-patentable) natural products, such as glucosa- mine and chondroitin, have a favourable ‘benefit-risk profile’, they are in</w:t>
      </w:r>
      <w:r>
        <w:rPr>
          <w:spacing w:val="-51"/>
        </w:rPr>
        <w:t> </w:t>
      </w:r>
      <w:r>
        <w:rPr/>
        <w:t>direct competition with the expensive drugs made by Big Pharma from the time of market</w:t>
      </w:r>
      <w:r>
        <w:rPr>
          <w:spacing w:val="-19"/>
        </w:rPr>
        <w:t> </w:t>
      </w:r>
      <w:r>
        <w:rPr/>
        <w:t>launch,</w:t>
      </w:r>
      <w:r>
        <w:rPr>
          <w:spacing w:val="-18"/>
        </w:rPr>
        <w:t> </w:t>
      </w:r>
      <w:r>
        <w:rPr/>
        <w:t>which</w:t>
      </w:r>
      <w:r>
        <w:rPr>
          <w:spacing w:val="-18"/>
        </w:rPr>
        <w:t> </w:t>
      </w:r>
      <w:r>
        <w:rPr/>
        <w:t>are</w:t>
      </w:r>
      <w:r>
        <w:rPr>
          <w:spacing w:val="-19"/>
        </w:rPr>
        <w:t> </w:t>
      </w:r>
      <w:r>
        <w:rPr/>
        <w:t>also</w:t>
      </w:r>
      <w:r>
        <w:rPr>
          <w:spacing w:val="-19"/>
        </w:rPr>
        <w:t> </w:t>
      </w:r>
      <w:r>
        <w:rPr/>
        <w:t>associated</w:t>
      </w:r>
      <w:r>
        <w:rPr>
          <w:spacing w:val="-20"/>
        </w:rPr>
        <w:t> </w:t>
      </w:r>
      <w:r>
        <w:rPr/>
        <w:t>with</w:t>
      </w:r>
      <w:r>
        <w:rPr>
          <w:spacing w:val="-18"/>
        </w:rPr>
        <w:t> </w:t>
      </w:r>
      <w:r>
        <w:rPr/>
        <w:t>significant</w:t>
      </w:r>
      <w:r>
        <w:rPr>
          <w:spacing w:val="-19"/>
        </w:rPr>
        <w:t> </w:t>
      </w:r>
      <w:r>
        <w:rPr/>
        <w:t>side</w:t>
      </w:r>
      <w:r>
        <w:rPr>
          <w:spacing w:val="-18"/>
        </w:rPr>
        <w:t> </w:t>
      </w:r>
      <w:r>
        <w:rPr/>
        <w:t>effects</w:t>
      </w:r>
      <w:r>
        <w:rPr>
          <w:spacing w:val="-16"/>
        </w:rPr>
        <w:t> </w:t>
      </w:r>
      <w:r>
        <w:rPr/>
        <w:t>–</w:t>
      </w:r>
      <w:r>
        <w:rPr>
          <w:spacing w:val="-19"/>
        </w:rPr>
        <w:t> </w:t>
      </w:r>
      <w:r>
        <w:rPr/>
        <w:t>they</w:t>
      </w:r>
      <w:r>
        <w:rPr>
          <w:spacing w:val="-18"/>
        </w:rPr>
        <w:t> </w:t>
      </w:r>
      <w:r>
        <w:rPr/>
        <w:t>then automatically become the target of the mighty Big Pharma, which will spare</w:t>
      </w:r>
      <w:r>
        <w:rPr>
          <w:spacing w:val="-45"/>
        </w:rPr>
        <w:t> </w:t>
      </w:r>
      <w:r>
        <w:rPr/>
        <w:t>no effort and money in killing off a competitor which is better, safer and</w:t>
      </w:r>
      <w:r>
        <w:rPr>
          <w:spacing w:val="-25"/>
        </w:rPr>
        <w:t> </w:t>
      </w:r>
      <w:r>
        <w:rPr/>
        <w:t>cheaper.</w:t>
      </w:r>
    </w:p>
    <w:p>
      <w:pPr>
        <w:pStyle w:val="Heading2"/>
        <w:spacing w:before="240"/>
        <w:jc w:val="both"/>
      </w:pPr>
      <w:r>
        <w:rPr/>
        <w:t>A couple of facts:</w:t>
      </w:r>
    </w:p>
    <w:p>
      <w:pPr>
        <w:spacing w:after="0"/>
        <w:jc w:val="both"/>
        <w:sectPr>
          <w:pgSz w:w="14270" w:h="16850"/>
          <w:pgMar w:header="0" w:footer="1891" w:top="1600" w:bottom="2080" w:left="800" w:right="1280"/>
        </w:sectPr>
      </w:pPr>
    </w:p>
    <w:p>
      <w:pPr>
        <w:pStyle w:val="BodyText"/>
        <w:spacing w:before="10"/>
        <w:rPr>
          <w:b/>
          <w:sz w:val="8"/>
        </w:rPr>
      </w:pPr>
    </w:p>
    <w:p>
      <w:pPr>
        <w:pStyle w:val="ListParagraph"/>
        <w:numPr>
          <w:ilvl w:val="2"/>
          <w:numId w:val="26"/>
        </w:numPr>
        <w:tabs>
          <w:tab w:pos="1198" w:val="left" w:leader="none"/>
        </w:tabs>
        <w:spacing w:line="273" w:lineRule="auto" w:before="83" w:after="0"/>
        <w:ind w:left="1197" w:right="136" w:hanging="360"/>
        <w:jc w:val="both"/>
        <w:rPr>
          <w:sz w:val="38"/>
        </w:rPr>
      </w:pPr>
      <w:r>
        <w:rPr>
          <w:sz w:val="38"/>
        </w:rPr>
        <w:t>For example 2.5 million hip replacements and 4.7 million knee replace- ments alone in USA</w:t>
      </w:r>
      <w:r>
        <w:rPr>
          <w:position w:val="9"/>
          <w:sz w:val="25"/>
        </w:rPr>
        <w:t>330 </w:t>
      </w:r>
      <w:r>
        <w:rPr>
          <w:sz w:val="38"/>
        </w:rPr>
        <w:t>are performed annually, mostly due to worn</w:t>
      </w:r>
      <w:r>
        <w:rPr>
          <w:spacing w:val="-51"/>
          <w:sz w:val="38"/>
        </w:rPr>
        <w:t> </w:t>
      </w:r>
      <w:r>
        <w:rPr>
          <w:sz w:val="38"/>
        </w:rPr>
        <w:t>articu- lar cartilage</w:t>
      </w:r>
      <w:r>
        <w:rPr>
          <w:spacing w:val="-3"/>
          <w:sz w:val="38"/>
        </w:rPr>
        <w:t> </w:t>
      </w:r>
      <w:r>
        <w:rPr>
          <w:sz w:val="38"/>
        </w:rPr>
        <w:t>(arthritis).</w:t>
      </w:r>
    </w:p>
    <w:p>
      <w:pPr>
        <w:pStyle w:val="ListParagraph"/>
        <w:numPr>
          <w:ilvl w:val="2"/>
          <w:numId w:val="26"/>
        </w:numPr>
        <w:tabs>
          <w:tab w:pos="1198" w:val="left" w:leader="none"/>
        </w:tabs>
        <w:spacing w:line="276" w:lineRule="auto" w:before="252" w:after="0"/>
        <w:ind w:left="1197" w:right="134" w:hanging="360"/>
        <w:jc w:val="both"/>
        <w:rPr>
          <w:sz w:val="38"/>
        </w:rPr>
      </w:pPr>
      <w:r>
        <w:rPr>
          <w:sz w:val="38"/>
        </w:rPr>
        <w:t>As</w:t>
      </w:r>
      <w:r>
        <w:rPr>
          <w:spacing w:val="-9"/>
          <w:sz w:val="38"/>
        </w:rPr>
        <w:t> </w:t>
      </w:r>
      <w:r>
        <w:rPr>
          <w:sz w:val="38"/>
        </w:rPr>
        <w:t>a</w:t>
      </w:r>
      <w:r>
        <w:rPr>
          <w:spacing w:val="-9"/>
          <w:sz w:val="38"/>
        </w:rPr>
        <w:t> </w:t>
      </w:r>
      <w:r>
        <w:rPr>
          <w:sz w:val="38"/>
        </w:rPr>
        <w:t>rule,</w:t>
      </w:r>
      <w:r>
        <w:rPr>
          <w:spacing w:val="-9"/>
          <w:sz w:val="38"/>
        </w:rPr>
        <w:t> </w:t>
      </w:r>
      <w:r>
        <w:rPr>
          <w:sz w:val="38"/>
        </w:rPr>
        <w:t>such</w:t>
      </w:r>
      <w:r>
        <w:rPr>
          <w:spacing w:val="-8"/>
          <w:sz w:val="38"/>
        </w:rPr>
        <w:t> </w:t>
      </w:r>
      <w:r>
        <w:rPr>
          <w:sz w:val="38"/>
        </w:rPr>
        <w:t>a</w:t>
      </w:r>
      <w:r>
        <w:rPr>
          <w:spacing w:val="-9"/>
          <w:sz w:val="38"/>
        </w:rPr>
        <w:t> </w:t>
      </w:r>
      <w:r>
        <w:rPr>
          <w:sz w:val="38"/>
        </w:rPr>
        <w:t>procedure</w:t>
      </w:r>
      <w:r>
        <w:rPr>
          <w:spacing w:val="-9"/>
          <w:sz w:val="38"/>
        </w:rPr>
        <w:t> </w:t>
      </w:r>
      <w:r>
        <w:rPr>
          <w:sz w:val="38"/>
        </w:rPr>
        <w:t>is</w:t>
      </w:r>
      <w:r>
        <w:rPr>
          <w:spacing w:val="-8"/>
          <w:sz w:val="38"/>
        </w:rPr>
        <w:t> </w:t>
      </w:r>
      <w:r>
        <w:rPr>
          <w:sz w:val="38"/>
        </w:rPr>
        <w:t>preceded</w:t>
      </w:r>
      <w:r>
        <w:rPr>
          <w:spacing w:val="-9"/>
          <w:sz w:val="38"/>
        </w:rPr>
        <w:t> </w:t>
      </w:r>
      <w:r>
        <w:rPr>
          <w:sz w:val="38"/>
        </w:rPr>
        <w:t>by</w:t>
      </w:r>
      <w:r>
        <w:rPr>
          <w:spacing w:val="-8"/>
          <w:sz w:val="38"/>
        </w:rPr>
        <w:t> </w:t>
      </w:r>
      <w:r>
        <w:rPr>
          <w:sz w:val="38"/>
        </w:rPr>
        <w:t>years</w:t>
      </w:r>
      <w:r>
        <w:rPr>
          <w:spacing w:val="-10"/>
          <w:sz w:val="38"/>
        </w:rPr>
        <w:t> </w:t>
      </w:r>
      <w:r>
        <w:rPr>
          <w:sz w:val="38"/>
        </w:rPr>
        <w:t>or</w:t>
      </w:r>
      <w:r>
        <w:rPr>
          <w:spacing w:val="-7"/>
          <w:sz w:val="38"/>
        </w:rPr>
        <w:t> </w:t>
      </w:r>
      <w:r>
        <w:rPr>
          <w:sz w:val="38"/>
        </w:rPr>
        <w:t>even</w:t>
      </w:r>
      <w:r>
        <w:rPr>
          <w:spacing w:val="-9"/>
          <w:sz w:val="38"/>
        </w:rPr>
        <w:t> </w:t>
      </w:r>
      <w:r>
        <w:rPr>
          <w:sz w:val="38"/>
        </w:rPr>
        <w:t>decades</w:t>
      </w:r>
      <w:r>
        <w:rPr>
          <w:spacing w:val="-10"/>
          <w:sz w:val="38"/>
        </w:rPr>
        <w:t> </w:t>
      </w:r>
      <w:r>
        <w:rPr>
          <w:sz w:val="38"/>
        </w:rPr>
        <w:t>of</w:t>
      </w:r>
      <w:r>
        <w:rPr>
          <w:spacing w:val="-9"/>
          <w:sz w:val="38"/>
        </w:rPr>
        <w:t> </w:t>
      </w:r>
      <w:r>
        <w:rPr>
          <w:sz w:val="38"/>
        </w:rPr>
        <w:t>suffer- ing, which entails being prescribed innumerable painkillers and so-called cartilage-building preparations which are less effective, but which come with many unpleasant side</w:t>
      </w:r>
      <w:r>
        <w:rPr>
          <w:spacing w:val="2"/>
          <w:sz w:val="38"/>
        </w:rPr>
        <w:t> </w:t>
      </w:r>
      <w:r>
        <w:rPr>
          <w:sz w:val="38"/>
        </w:rPr>
        <w:t>effects.</w:t>
      </w:r>
    </w:p>
    <w:p>
      <w:pPr>
        <w:pStyle w:val="BodyText"/>
        <w:spacing w:line="276" w:lineRule="auto" w:before="238"/>
        <w:ind w:left="477" w:right="140"/>
        <w:jc w:val="both"/>
      </w:pPr>
      <w:r>
        <w:rPr/>
        <w:t>But</w:t>
      </w:r>
      <w:r>
        <w:rPr>
          <w:spacing w:val="-25"/>
        </w:rPr>
        <w:t> </w:t>
      </w:r>
      <w:r>
        <w:rPr/>
        <w:t>to</w:t>
      </w:r>
      <w:r>
        <w:rPr>
          <w:spacing w:val="-24"/>
        </w:rPr>
        <w:t> </w:t>
      </w:r>
      <w:r>
        <w:rPr/>
        <w:t>suppress</w:t>
      </w:r>
      <w:r>
        <w:rPr>
          <w:spacing w:val="-24"/>
        </w:rPr>
        <w:t> </w:t>
      </w:r>
      <w:r>
        <w:rPr/>
        <w:t>this</w:t>
      </w:r>
      <w:r>
        <w:rPr>
          <w:spacing w:val="-24"/>
        </w:rPr>
        <w:t> </w:t>
      </w:r>
      <w:r>
        <w:rPr/>
        <w:t>process</w:t>
      </w:r>
      <w:r>
        <w:rPr>
          <w:spacing w:val="-24"/>
        </w:rPr>
        <w:t> </w:t>
      </w:r>
      <w:r>
        <w:rPr/>
        <w:t>with</w:t>
      </w:r>
      <w:r>
        <w:rPr>
          <w:spacing w:val="-24"/>
        </w:rPr>
        <w:t> </w:t>
      </w:r>
      <w:r>
        <w:rPr/>
        <w:t>low-cost</w:t>
      </w:r>
      <w:r>
        <w:rPr>
          <w:spacing w:val="-25"/>
        </w:rPr>
        <w:t> </w:t>
      </w:r>
      <w:r>
        <w:rPr/>
        <w:t>natural</w:t>
      </w:r>
      <w:r>
        <w:rPr>
          <w:spacing w:val="-24"/>
        </w:rPr>
        <w:t> </w:t>
      </w:r>
      <w:r>
        <w:rPr/>
        <w:t>products</w:t>
      </w:r>
      <w:r>
        <w:rPr>
          <w:spacing w:val="-24"/>
        </w:rPr>
        <w:t> </w:t>
      </w:r>
      <w:r>
        <w:rPr/>
        <w:t>such</w:t>
      </w:r>
      <w:r>
        <w:rPr>
          <w:spacing w:val="-24"/>
        </w:rPr>
        <w:t> </w:t>
      </w:r>
      <w:r>
        <w:rPr/>
        <w:t>as</w:t>
      </w:r>
      <w:r>
        <w:rPr>
          <w:spacing w:val="-25"/>
        </w:rPr>
        <w:t> </w:t>
      </w:r>
      <w:r>
        <w:rPr/>
        <w:t>glucosamine and chondroitin, which have few side effects, or none at all, would mean that the pharmaceutical industry would miss out on billions in</w:t>
      </w:r>
      <w:r>
        <w:rPr>
          <w:spacing w:val="-2"/>
        </w:rPr>
        <w:t> </w:t>
      </w:r>
      <w:r>
        <w:rPr/>
        <w:t>revenue.</w:t>
      </w:r>
    </w:p>
    <w:p>
      <w:pPr>
        <w:pStyle w:val="BodyText"/>
        <w:spacing w:line="276" w:lineRule="auto" w:before="239"/>
        <w:ind w:left="477" w:right="132"/>
        <w:jc w:val="both"/>
      </w:pPr>
      <w:r>
        <w:rPr/>
        <w:t>It goes without saying that this is not easily accepted by Big Pharma, which earns</w:t>
      </w:r>
      <w:r>
        <w:rPr>
          <w:spacing w:val="-7"/>
        </w:rPr>
        <w:t> </w:t>
      </w:r>
      <w:r>
        <w:rPr/>
        <w:t>billions</w:t>
      </w:r>
      <w:r>
        <w:rPr>
          <w:spacing w:val="-10"/>
        </w:rPr>
        <w:t> </w:t>
      </w:r>
      <w:r>
        <w:rPr/>
        <w:t>of</w:t>
      </w:r>
      <w:r>
        <w:rPr>
          <w:spacing w:val="-10"/>
        </w:rPr>
        <w:t> </w:t>
      </w:r>
      <w:r>
        <w:rPr/>
        <w:t>euros</w:t>
      </w:r>
      <w:r>
        <w:rPr>
          <w:spacing w:val="-6"/>
        </w:rPr>
        <w:t> </w:t>
      </w:r>
      <w:r>
        <w:rPr/>
        <w:t>from</w:t>
      </w:r>
      <w:r>
        <w:rPr>
          <w:spacing w:val="-10"/>
        </w:rPr>
        <w:t> </w:t>
      </w:r>
      <w:r>
        <w:rPr/>
        <w:t>the</w:t>
      </w:r>
      <w:r>
        <w:rPr>
          <w:spacing w:val="-9"/>
        </w:rPr>
        <w:t> </w:t>
      </w:r>
      <w:r>
        <w:rPr/>
        <w:t>diseases.</w:t>
      </w:r>
      <w:r>
        <w:rPr>
          <w:spacing w:val="-6"/>
        </w:rPr>
        <w:t> </w:t>
      </w:r>
      <w:r>
        <w:rPr/>
        <w:t>Glucosamine</w:t>
      </w:r>
      <w:r>
        <w:rPr>
          <w:spacing w:val="-8"/>
        </w:rPr>
        <w:t> </w:t>
      </w:r>
      <w:r>
        <w:rPr/>
        <w:t>and</w:t>
      </w:r>
      <w:r>
        <w:rPr>
          <w:spacing w:val="-7"/>
        </w:rPr>
        <w:t> </w:t>
      </w:r>
      <w:r>
        <w:rPr/>
        <w:t>chondroitin</w:t>
      </w:r>
      <w:r>
        <w:rPr>
          <w:spacing w:val="-8"/>
        </w:rPr>
        <w:t> </w:t>
      </w:r>
      <w:r>
        <w:rPr/>
        <w:t>are</w:t>
      </w:r>
      <w:r>
        <w:rPr>
          <w:spacing w:val="-8"/>
        </w:rPr>
        <w:t> </w:t>
      </w:r>
      <w:r>
        <w:rPr/>
        <w:t>just two</w:t>
      </w:r>
      <w:r>
        <w:rPr>
          <w:spacing w:val="-9"/>
        </w:rPr>
        <w:t> </w:t>
      </w:r>
      <w:r>
        <w:rPr/>
        <w:t>of</w:t>
      </w:r>
      <w:r>
        <w:rPr>
          <w:spacing w:val="-9"/>
        </w:rPr>
        <w:t> </w:t>
      </w:r>
      <w:r>
        <w:rPr/>
        <w:t>countless</w:t>
      </w:r>
      <w:r>
        <w:rPr>
          <w:spacing w:val="-7"/>
        </w:rPr>
        <w:t> </w:t>
      </w:r>
      <w:r>
        <w:rPr/>
        <w:t>examples</w:t>
      </w:r>
      <w:r>
        <w:rPr>
          <w:spacing w:val="-8"/>
        </w:rPr>
        <w:t> </w:t>
      </w:r>
      <w:r>
        <w:rPr/>
        <w:t>that</w:t>
      </w:r>
      <w:r>
        <w:rPr>
          <w:spacing w:val="-9"/>
        </w:rPr>
        <w:t> </w:t>
      </w:r>
      <w:r>
        <w:rPr/>
        <w:t>have</w:t>
      </w:r>
      <w:r>
        <w:rPr>
          <w:spacing w:val="-9"/>
        </w:rPr>
        <w:t> </w:t>
      </w:r>
      <w:r>
        <w:rPr/>
        <w:t>also</w:t>
      </w:r>
      <w:r>
        <w:rPr>
          <w:spacing w:val="-9"/>
        </w:rPr>
        <w:t> </w:t>
      </w:r>
      <w:r>
        <w:rPr/>
        <w:t>met</w:t>
      </w:r>
      <w:r>
        <w:rPr>
          <w:spacing w:val="-8"/>
        </w:rPr>
        <w:t> </w:t>
      </w:r>
      <w:r>
        <w:rPr/>
        <w:t>with</w:t>
      </w:r>
      <w:r>
        <w:rPr>
          <w:spacing w:val="-9"/>
        </w:rPr>
        <w:t> </w:t>
      </w:r>
      <w:r>
        <w:rPr/>
        <w:t>this</w:t>
      </w:r>
      <w:r>
        <w:rPr>
          <w:spacing w:val="-7"/>
        </w:rPr>
        <w:t> </w:t>
      </w:r>
      <w:r>
        <w:rPr/>
        <w:t>fate</w:t>
      </w:r>
      <w:r>
        <w:rPr>
          <w:spacing w:val="-10"/>
        </w:rPr>
        <w:t> </w:t>
      </w:r>
      <w:r>
        <w:rPr/>
        <w:t>and</w:t>
      </w:r>
      <w:r>
        <w:rPr>
          <w:spacing w:val="-9"/>
        </w:rPr>
        <w:t> </w:t>
      </w:r>
      <w:r>
        <w:rPr/>
        <w:t>which</w:t>
      </w:r>
      <w:r>
        <w:rPr>
          <w:spacing w:val="-7"/>
        </w:rPr>
        <w:t> </w:t>
      </w:r>
      <w:r>
        <w:rPr/>
        <w:t>continue to fall victim to regular misleading, manipulated</w:t>
      </w:r>
      <w:r>
        <w:rPr>
          <w:spacing w:val="-3"/>
        </w:rPr>
        <w:t> </w:t>
      </w:r>
      <w:r>
        <w:rPr/>
        <w:t>studies.</w:t>
      </w:r>
    </w:p>
    <w:p>
      <w:pPr>
        <w:pStyle w:val="BodyText"/>
        <w:spacing w:line="276" w:lineRule="auto" w:before="242"/>
        <w:ind w:left="477" w:right="130"/>
        <w:jc w:val="both"/>
      </w:pPr>
      <w:r>
        <w:rPr/>
        <w:t>Therefore,</w:t>
      </w:r>
      <w:r>
        <w:rPr>
          <w:spacing w:val="-16"/>
        </w:rPr>
        <w:t> </w:t>
      </w:r>
      <w:r>
        <w:rPr/>
        <w:t>any</w:t>
      </w:r>
      <w:r>
        <w:rPr>
          <w:spacing w:val="-19"/>
        </w:rPr>
        <w:t> </w:t>
      </w:r>
      <w:r>
        <w:rPr/>
        <w:t>successful</w:t>
      </w:r>
      <w:r>
        <w:rPr>
          <w:spacing w:val="-17"/>
        </w:rPr>
        <w:t> </w:t>
      </w:r>
      <w:r>
        <w:rPr/>
        <w:t>studies,</w:t>
      </w:r>
      <w:r>
        <w:rPr>
          <w:spacing w:val="-16"/>
        </w:rPr>
        <w:t> </w:t>
      </w:r>
      <w:r>
        <w:rPr/>
        <w:t>especially</w:t>
      </w:r>
      <w:r>
        <w:rPr>
          <w:spacing w:val="-17"/>
        </w:rPr>
        <w:t> </w:t>
      </w:r>
      <w:r>
        <w:rPr/>
        <w:t>in</w:t>
      </w:r>
      <w:r>
        <w:rPr>
          <w:spacing w:val="-15"/>
        </w:rPr>
        <w:t> </w:t>
      </w:r>
      <w:r>
        <w:rPr/>
        <w:t>the</w:t>
      </w:r>
      <w:r>
        <w:rPr>
          <w:spacing w:val="-18"/>
        </w:rPr>
        <w:t> </w:t>
      </w:r>
      <w:r>
        <w:rPr/>
        <w:t>case</w:t>
      </w:r>
      <w:r>
        <w:rPr>
          <w:spacing w:val="-15"/>
        </w:rPr>
        <w:t> </w:t>
      </w:r>
      <w:r>
        <w:rPr/>
        <w:t>of</w:t>
      </w:r>
      <w:r>
        <w:rPr>
          <w:spacing w:val="-18"/>
        </w:rPr>
        <w:t> </w:t>
      </w:r>
      <w:r>
        <w:rPr/>
        <w:t>glucosamine,</w:t>
      </w:r>
      <w:r>
        <w:rPr>
          <w:spacing w:val="-16"/>
        </w:rPr>
        <w:t> </w:t>
      </w:r>
      <w:r>
        <w:rPr/>
        <w:t>are</w:t>
      </w:r>
      <w:r>
        <w:rPr>
          <w:spacing w:val="-16"/>
        </w:rPr>
        <w:t> </w:t>
      </w:r>
      <w:r>
        <w:rPr/>
        <w:t>den- igrated, and suddenly other manipulated studies appear to refute the effects of glucosamine.</w:t>
      </w:r>
    </w:p>
    <w:p>
      <w:pPr>
        <w:pStyle w:val="BodyText"/>
        <w:rPr>
          <w:sz w:val="20"/>
        </w:rPr>
      </w:pPr>
    </w:p>
    <w:p>
      <w:pPr>
        <w:pStyle w:val="BodyText"/>
        <w:rPr>
          <w:sz w:val="20"/>
        </w:rPr>
      </w:pPr>
    </w:p>
    <w:p>
      <w:pPr>
        <w:pStyle w:val="BodyText"/>
        <w:rPr>
          <w:sz w:val="20"/>
        </w:rPr>
      </w:pPr>
    </w:p>
    <w:p>
      <w:pPr>
        <w:pStyle w:val="BodyText"/>
        <w:spacing w:before="8"/>
        <w:rPr>
          <w:sz w:val="14"/>
        </w:rPr>
      </w:pPr>
      <w:r>
        <w:rPr/>
        <w:pict>
          <v:line style="position:absolute;mso-position-horizontal-relative:page;mso-position-vertical-relative:paragraph;z-index:3728;mso-wrap-distance-left:0;mso-wrap-distance-right:0" from="63.863998pt,10.635264pt" to="207.883998pt,10.635264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330 </w:t>
      </w:r>
      <w:r>
        <w:rPr>
          <w:sz w:val="20"/>
        </w:rPr>
        <w:t>https://</w:t>
      </w:r>
      <w:hyperlink r:id="rId9">
        <w:r>
          <w:rPr>
            <w:sz w:val="20"/>
          </w:rPr>
          <w:t>www.ncbi.nlm.nih.gov/pmc/articles/PMC4551172/</w:t>
        </w:r>
      </w:hyperlink>
    </w:p>
    <w:p>
      <w:pPr>
        <w:spacing w:after="0"/>
        <w:jc w:val="left"/>
        <w:rPr>
          <w:sz w:val="20"/>
        </w:rPr>
        <w:sectPr>
          <w:pgSz w:w="14270" w:h="16850"/>
          <w:pgMar w:header="0" w:footer="1891" w:top="1600" w:bottom="2080" w:left="800" w:right="1280"/>
        </w:sectPr>
      </w:pPr>
    </w:p>
    <w:p>
      <w:pPr>
        <w:pStyle w:val="BodyText"/>
        <w:spacing w:line="276" w:lineRule="auto" w:before="181"/>
        <w:ind w:left="477" w:right="136"/>
        <w:jc w:val="both"/>
      </w:pPr>
      <w:r>
        <w:rPr/>
        <w:t>It is particularly sad and significant that these manipulated negative studies are published by official arthrosis, arthritis – and rheumatism associations, which should actually serve the sufferers of these conditions, and not Big Pharma!</w:t>
      </w:r>
    </w:p>
    <w:p>
      <w:pPr>
        <w:pStyle w:val="BodyText"/>
        <w:spacing w:line="276" w:lineRule="auto" w:before="242"/>
        <w:ind w:left="477" w:right="133"/>
        <w:jc w:val="both"/>
      </w:pPr>
      <w:r>
        <w:rPr/>
        <w:t>Since these associations wield considerable clout and great power, they also command high ‘authority’ in search engine results – this leads to the negative studies</w:t>
      </w:r>
      <w:r>
        <w:rPr>
          <w:spacing w:val="-10"/>
        </w:rPr>
        <w:t> </w:t>
      </w:r>
      <w:r>
        <w:rPr/>
        <w:t>automatically</w:t>
      </w:r>
      <w:r>
        <w:rPr>
          <w:spacing w:val="-10"/>
        </w:rPr>
        <w:t> </w:t>
      </w:r>
      <w:r>
        <w:rPr/>
        <w:t>appearing</w:t>
      </w:r>
      <w:r>
        <w:rPr>
          <w:spacing w:val="-9"/>
        </w:rPr>
        <w:t> </w:t>
      </w:r>
      <w:r>
        <w:rPr/>
        <w:t>high</w:t>
      </w:r>
      <w:r>
        <w:rPr>
          <w:spacing w:val="-8"/>
        </w:rPr>
        <w:t> </w:t>
      </w:r>
      <w:r>
        <w:rPr/>
        <w:t>up</w:t>
      </w:r>
      <w:r>
        <w:rPr>
          <w:spacing w:val="-9"/>
        </w:rPr>
        <w:t> </w:t>
      </w:r>
      <w:r>
        <w:rPr/>
        <w:t>on</w:t>
      </w:r>
      <w:r>
        <w:rPr>
          <w:spacing w:val="-8"/>
        </w:rPr>
        <w:t> </w:t>
      </w:r>
      <w:r>
        <w:rPr/>
        <w:t>the</w:t>
      </w:r>
      <w:r>
        <w:rPr>
          <w:spacing w:val="-8"/>
        </w:rPr>
        <w:t> </w:t>
      </w:r>
      <w:r>
        <w:rPr/>
        <w:t>first</w:t>
      </w:r>
      <w:r>
        <w:rPr>
          <w:spacing w:val="-9"/>
        </w:rPr>
        <w:t> </w:t>
      </w:r>
      <w:r>
        <w:rPr/>
        <w:t>page</w:t>
      </w:r>
      <w:r>
        <w:rPr>
          <w:spacing w:val="-9"/>
        </w:rPr>
        <w:t> </w:t>
      </w:r>
      <w:r>
        <w:rPr/>
        <w:t>of</w:t>
      </w:r>
      <w:r>
        <w:rPr>
          <w:spacing w:val="-9"/>
        </w:rPr>
        <w:t> </w:t>
      </w:r>
      <w:r>
        <w:rPr/>
        <w:t>the</w:t>
      </w:r>
      <w:r>
        <w:rPr>
          <w:spacing w:val="-7"/>
        </w:rPr>
        <w:t> </w:t>
      </w:r>
      <w:r>
        <w:rPr/>
        <w:t>results</w:t>
      </w:r>
      <w:r>
        <w:rPr>
          <w:spacing w:val="-10"/>
        </w:rPr>
        <w:t> </w:t>
      </w:r>
      <w:r>
        <w:rPr/>
        <w:t>and</w:t>
      </w:r>
      <w:r>
        <w:rPr>
          <w:spacing w:val="-9"/>
        </w:rPr>
        <w:t> </w:t>
      </w:r>
      <w:r>
        <w:rPr/>
        <w:t>mis- informing people who are looking for</w:t>
      </w:r>
      <w:r>
        <w:rPr>
          <w:spacing w:val="7"/>
        </w:rPr>
        <w:t> </w:t>
      </w:r>
      <w:r>
        <w:rPr/>
        <w:t>help.</w:t>
      </w:r>
    </w:p>
    <w:p>
      <w:pPr>
        <w:pStyle w:val="BodyText"/>
        <w:spacing w:line="276" w:lineRule="auto" w:before="239"/>
        <w:ind w:left="477" w:right="139"/>
        <w:jc w:val="both"/>
      </w:pPr>
      <w:r>
        <w:rPr/>
        <w:t>In most cases, it is falsely argued that glucosamine does not have the proper bioavailability for the body to be absorbed into articular</w:t>
      </w:r>
      <w:r>
        <w:rPr>
          <w:spacing w:val="-12"/>
        </w:rPr>
        <w:t> </w:t>
      </w:r>
      <w:r>
        <w:rPr/>
        <w:t>cartilage.</w:t>
      </w:r>
    </w:p>
    <w:p>
      <w:pPr>
        <w:pStyle w:val="BodyText"/>
        <w:spacing w:line="276" w:lineRule="auto" w:before="241"/>
        <w:ind w:left="477" w:right="132"/>
        <w:jc w:val="both"/>
        <w:rPr>
          <w:sz w:val="25"/>
        </w:rPr>
      </w:pPr>
      <w:r>
        <w:rPr/>
        <w:t>This</w:t>
      </w:r>
      <w:r>
        <w:rPr>
          <w:spacing w:val="-8"/>
        </w:rPr>
        <w:t> </w:t>
      </w:r>
      <w:r>
        <w:rPr/>
        <w:t>irritating</w:t>
      </w:r>
      <w:r>
        <w:rPr>
          <w:spacing w:val="-8"/>
        </w:rPr>
        <w:t> </w:t>
      </w:r>
      <w:r>
        <w:rPr/>
        <w:t>falsehood</w:t>
      </w:r>
      <w:r>
        <w:rPr>
          <w:spacing w:val="-9"/>
        </w:rPr>
        <w:t> </w:t>
      </w:r>
      <w:r>
        <w:rPr/>
        <w:t>has</w:t>
      </w:r>
      <w:r>
        <w:rPr>
          <w:spacing w:val="-9"/>
        </w:rPr>
        <w:t> </w:t>
      </w:r>
      <w:r>
        <w:rPr/>
        <w:t>been</w:t>
      </w:r>
      <w:r>
        <w:rPr>
          <w:spacing w:val="-10"/>
        </w:rPr>
        <w:t> </w:t>
      </w:r>
      <w:r>
        <w:rPr/>
        <w:t>refuted</w:t>
      </w:r>
      <w:r>
        <w:rPr>
          <w:spacing w:val="-8"/>
        </w:rPr>
        <w:t> </w:t>
      </w:r>
      <w:r>
        <w:rPr/>
        <w:t>in</w:t>
      </w:r>
      <w:r>
        <w:rPr>
          <w:spacing w:val="-8"/>
        </w:rPr>
        <w:t> </w:t>
      </w:r>
      <w:r>
        <w:rPr/>
        <w:t>studies.</w:t>
      </w:r>
      <w:r>
        <w:rPr>
          <w:spacing w:val="-8"/>
        </w:rPr>
        <w:t> </w:t>
      </w:r>
      <w:r>
        <w:rPr/>
        <w:t>Radioactively</w:t>
      </w:r>
      <w:r>
        <w:rPr>
          <w:spacing w:val="-7"/>
        </w:rPr>
        <w:t> </w:t>
      </w:r>
      <w:r>
        <w:rPr/>
        <w:t>marking</w:t>
      </w:r>
      <w:r>
        <w:rPr>
          <w:spacing w:val="-8"/>
        </w:rPr>
        <w:t> </w:t>
      </w:r>
      <w:r>
        <w:rPr/>
        <w:t>glu- cosamine has made it possible to test the bioavailability of glucosamine after parenteral or oral administration, whereby the uptake and transport of</w:t>
      </w:r>
      <w:r>
        <w:rPr>
          <w:spacing w:val="-65"/>
        </w:rPr>
        <w:t> </w:t>
      </w:r>
      <w:r>
        <w:rPr/>
        <w:t>glucosa- mine to articular cartilage can also be reliably monitored. Clear evidence has been provided that glucosamine taken orally or parenterally has good bioavail- ability and is preferentially incorporated into articular</w:t>
      </w:r>
      <w:r>
        <w:rPr>
          <w:spacing w:val="-9"/>
        </w:rPr>
        <w:t> </w:t>
      </w:r>
      <w:r>
        <w:rPr/>
        <w:t>cartilage.</w:t>
      </w:r>
      <w:r>
        <w:rPr>
          <w:position w:val="9"/>
          <w:sz w:val="25"/>
        </w:rPr>
        <w:t>331</w:t>
      </w:r>
    </w:p>
    <w:p>
      <w:pPr>
        <w:pStyle w:val="BodyText"/>
        <w:spacing w:line="276" w:lineRule="auto" w:before="240"/>
        <w:ind w:left="477" w:right="133"/>
        <w:jc w:val="both"/>
      </w:pPr>
      <w:r>
        <w:rPr/>
        <w:t>In order to gain recognition for a drug, it must undergo a lengthy procedure and prove its effectiveness via large-scale approval studies. The recognition of a well-known drug for arthrosis a few years ago, whose main active ingredient</w:t>
      </w:r>
    </w:p>
    <w:p>
      <w:pPr>
        <w:pStyle w:val="BodyText"/>
        <w:rPr>
          <w:sz w:val="20"/>
        </w:rPr>
      </w:pPr>
    </w:p>
    <w:p>
      <w:pPr>
        <w:pStyle w:val="BodyText"/>
        <w:spacing w:before="10"/>
        <w:rPr>
          <w:sz w:val="15"/>
        </w:rPr>
      </w:pPr>
      <w:r>
        <w:rPr/>
        <w:pict>
          <v:line style="position:absolute;mso-position-horizontal-relative:page;mso-position-vertical-relative:paragraph;z-index:3752;mso-wrap-distance-left:0;mso-wrap-distance-right:0" from="63.863998pt,11.327515pt" to="207.883998pt,11.32751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331 </w:t>
      </w:r>
      <w:r>
        <w:rPr>
          <w:sz w:val="20"/>
        </w:rPr>
        <w:t>Setnikar I. et al.: 1984, 1986, 1993</w:t>
      </w:r>
    </w:p>
    <w:p>
      <w:pPr>
        <w:spacing w:after="0"/>
        <w:jc w:val="left"/>
        <w:rPr>
          <w:sz w:val="20"/>
        </w:rPr>
        <w:sectPr>
          <w:pgSz w:w="14270" w:h="16850"/>
          <w:pgMar w:header="0" w:footer="1891" w:top="1600" w:bottom="2080" w:left="800" w:right="1280"/>
        </w:sectPr>
      </w:pPr>
    </w:p>
    <w:p>
      <w:pPr>
        <w:pStyle w:val="BodyText"/>
        <w:spacing w:line="276" w:lineRule="auto" w:before="181"/>
        <w:ind w:left="477"/>
      </w:pPr>
      <w:r>
        <w:rPr/>
        <w:t>is nothing other than D-glucosamine sulphate, unequivocally confirmed the</w:t>
      </w:r>
      <w:r>
        <w:rPr>
          <w:spacing w:val="-59"/>
        </w:rPr>
        <w:t> </w:t>
      </w:r>
      <w:r>
        <w:rPr/>
        <w:t>ef- ficacy of glucosamine and should therefore silence any sceptic.</w:t>
      </w:r>
    </w:p>
    <w:p>
      <w:pPr>
        <w:pStyle w:val="Heading2"/>
        <w:spacing w:before="241"/>
      </w:pPr>
      <w:r>
        <w:rPr/>
        <w:t>Proof from studies with glucosamine</w:t>
      </w:r>
    </w:p>
    <w:p>
      <w:pPr>
        <w:spacing w:before="287"/>
        <w:ind w:left="477" w:right="0" w:firstLine="0"/>
        <w:jc w:val="left"/>
        <w:rPr>
          <w:b/>
          <w:i/>
          <w:sz w:val="40"/>
        </w:rPr>
      </w:pPr>
      <w:r>
        <w:rPr>
          <w:b/>
          <w:i/>
          <w:sz w:val="40"/>
        </w:rPr>
        <w:t>Evaluation of 20 studies with over 2500 patients</w:t>
      </w:r>
    </w:p>
    <w:p>
      <w:pPr>
        <w:spacing w:line="276" w:lineRule="auto" w:before="300"/>
        <w:ind w:left="477" w:right="134" w:firstLine="0"/>
        <w:jc w:val="both"/>
        <w:rPr>
          <w:sz w:val="25"/>
        </w:rPr>
      </w:pPr>
      <w:r>
        <w:rPr>
          <w:sz w:val="38"/>
        </w:rPr>
        <w:t>‘</w:t>
      </w:r>
      <w:r>
        <w:rPr>
          <w:i/>
          <w:sz w:val="38"/>
        </w:rPr>
        <w:t>The</w:t>
      </w:r>
      <w:r>
        <w:rPr>
          <w:i/>
          <w:spacing w:val="-8"/>
          <w:sz w:val="38"/>
        </w:rPr>
        <w:t> </w:t>
      </w:r>
      <w:r>
        <w:rPr>
          <w:i/>
          <w:sz w:val="38"/>
        </w:rPr>
        <w:t>medical</w:t>
      </w:r>
      <w:r>
        <w:rPr>
          <w:i/>
          <w:spacing w:val="-8"/>
          <w:sz w:val="38"/>
        </w:rPr>
        <w:t> </w:t>
      </w:r>
      <w:r>
        <w:rPr>
          <w:i/>
          <w:sz w:val="38"/>
        </w:rPr>
        <w:t>evidence</w:t>
      </w:r>
      <w:r>
        <w:rPr>
          <w:i/>
          <w:spacing w:val="-9"/>
          <w:sz w:val="38"/>
        </w:rPr>
        <w:t> </w:t>
      </w:r>
      <w:r>
        <w:rPr>
          <w:i/>
          <w:sz w:val="38"/>
        </w:rPr>
        <w:t>supports</w:t>
      </w:r>
      <w:r>
        <w:rPr>
          <w:i/>
          <w:spacing w:val="-9"/>
          <w:sz w:val="38"/>
        </w:rPr>
        <w:t> </w:t>
      </w:r>
      <w:r>
        <w:rPr>
          <w:i/>
          <w:sz w:val="38"/>
        </w:rPr>
        <w:t>the</w:t>
      </w:r>
      <w:r>
        <w:rPr>
          <w:i/>
          <w:spacing w:val="-8"/>
          <w:sz w:val="38"/>
        </w:rPr>
        <w:t> </w:t>
      </w:r>
      <w:r>
        <w:rPr>
          <w:i/>
          <w:sz w:val="38"/>
        </w:rPr>
        <w:t>use</w:t>
      </w:r>
      <w:r>
        <w:rPr>
          <w:i/>
          <w:spacing w:val="-9"/>
          <w:sz w:val="38"/>
        </w:rPr>
        <w:t> </w:t>
      </w:r>
      <w:r>
        <w:rPr>
          <w:i/>
          <w:sz w:val="38"/>
        </w:rPr>
        <w:t>of</w:t>
      </w:r>
      <w:r>
        <w:rPr>
          <w:i/>
          <w:spacing w:val="-8"/>
          <w:sz w:val="38"/>
        </w:rPr>
        <w:t> </w:t>
      </w:r>
      <w:r>
        <w:rPr>
          <w:i/>
          <w:sz w:val="38"/>
        </w:rPr>
        <w:t>glucosamine</w:t>
      </w:r>
      <w:r>
        <w:rPr>
          <w:i/>
          <w:spacing w:val="-9"/>
          <w:sz w:val="38"/>
        </w:rPr>
        <w:t> </w:t>
      </w:r>
      <w:r>
        <w:rPr>
          <w:i/>
          <w:sz w:val="38"/>
        </w:rPr>
        <w:t>sulphate</w:t>
      </w:r>
      <w:r>
        <w:rPr>
          <w:i/>
          <w:spacing w:val="-8"/>
          <w:sz w:val="38"/>
        </w:rPr>
        <w:t> </w:t>
      </w:r>
      <w:r>
        <w:rPr>
          <w:i/>
          <w:sz w:val="38"/>
        </w:rPr>
        <w:t>to</w:t>
      </w:r>
      <w:r>
        <w:rPr>
          <w:i/>
          <w:spacing w:val="-8"/>
          <w:sz w:val="38"/>
        </w:rPr>
        <w:t> </w:t>
      </w:r>
      <w:r>
        <w:rPr>
          <w:i/>
          <w:sz w:val="38"/>
        </w:rPr>
        <w:t>alleviate</w:t>
      </w:r>
      <w:r>
        <w:rPr>
          <w:i/>
          <w:spacing w:val="-9"/>
          <w:sz w:val="38"/>
        </w:rPr>
        <w:t> </w:t>
      </w:r>
      <w:r>
        <w:rPr>
          <w:i/>
          <w:sz w:val="38"/>
        </w:rPr>
        <w:t>arthrosis</w:t>
      </w:r>
      <w:r>
        <w:rPr>
          <w:i/>
          <w:spacing w:val="-6"/>
          <w:sz w:val="38"/>
        </w:rPr>
        <w:t> </w:t>
      </w:r>
      <w:r>
        <w:rPr>
          <w:i/>
          <w:sz w:val="38"/>
        </w:rPr>
        <w:t>symptoms </w:t>
      </w:r>
      <w:r>
        <w:rPr>
          <w:i/>
          <w:sz w:val="38"/>
        </w:rPr>
        <w:t>and possibly inhibit the progression of the disease’. </w:t>
      </w:r>
      <w:r>
        <w:rPr>
          <w:sz w:val="38"/>
        </w:rPr>
        <w:t>This is the overall conclusion of researchers</w:t>
      </w:r>
      <w:r>
        <w:rPr>
          <w:spacing w:val="-23"/>
          <w:sz w:val="38"/>
        </w:rPr>
        <w:t> </w:t>
      </w:r>
      <w:r>
        <w:rPr>
          <w:sz w:val="38"/>
        </w:rPr>
        <w:t>at</w:t>
      </w:r>
      <w:r>
        <w:rPr>
          <w:spacing w:val="-22"/>
          <w:sz w:val="38"/>
        </w:rPr>
        <w:t> </w:t>
      </w:r>
      <w:r>
        <w:rPr>
          <w:sz w:val="38"/>
        </w:rPr>
        <w:t>Creighton</w:t>
      </w:r>
      <w:r>
        <w:rPr>
          <w:spacing w:val="-19"/>
          <w:sz w:val="38"/>
        </w:rPr>
        <w:t> </w:t>
      </w:r>
      <w:r>
        <w:rPr>
          <w:sz w:val="38"/>
        </w:rPr>
        <w:t>University</w:t>
      </w:r>
      <w:r>
        <w:rPr>
          <w:spacing w:val="-21"/>
          <w:sz w:val="38"/>
        </w:rPr>
        <w:t> </w:t>
      </w:r>
      <w:r>
        <w:rPr>
          <w:sz w:val="38"/>
        </w:rPr>
        <w:t>in</w:t>
      </w:r>
      <w:r>
        <w:rPr>
          <w:spacing w:val="-20"/>
          <w:sz w:val="38"/>
        </w:rPr>
        <w:t> </w:t>
      </w:r>
      <w:r>
        <w:rPr>
          <w:sz w:val="38"/>
        </w:rPr>
        <w:t>Omaha,</w:t>
      </w:r>
      <w:r>
        <w:rPr>
          <w:spacing w:val="-21"/>
          <w:sz w:val="38"/>
        </w:rPr>
        <w:t> </w:t>
      </w:r>
      <w:r>
        <w:rPr>
          <w:sz w:val="38"/>
        </w:rPr>
        <w:t>Nebraska,</w:t>
      </w:r>
      <w:r>
        <w:rPr>
          <w:spacing w:val="-21"/>
          <w:sz w:val="38"/>
        </w:rPr>
        <w:t> </w:t>
      </w:r>
      <w:r>
        <w:rPr>
          <w:sz w:val="38"/>
        </w:rPr>
        <w:t>who</w:t>
      </w:r>
      <w:r>
        <w:rPr>
          <w:spacing w:val="-21"/>
          <w:sz w:val="38"/>
        </w:rPr>
        <w:t> </w:t>
      </w:r>
      <w:r>
        <w:rPr>
          <w:sz w:val="38"/>
        </w:rPr>
        <w:t>evaluated</w:t>
      </w:r>
      <w:r>
        <w:rPr>
          <w:spacing w:val="-22"/>
          <w:sz w:val="38"/>
        </w:rPr>
        <w:t> </w:t>
      </w:r>
      <w:r>
        <w:rPr>
          <w:sz w:val="38"/>
        </w:rPr>
        <w:t>20</w:t>
      </w:r>
      <w:r>
        <w:rPr>
          <w:spacing w:val="-20"/>
          <w:sz w:val="38"/>
        </w:rPr>
        <w:t> </w:t>
      </w:r>
      <w:r>
        <w:rPr>
          <w:sz w:val="38"/>
        </w:rPr>
        <w:t>ran- domised, controlled trials involving over 2,500 patients.</w:t>
      </w:r>
      <w:r>
        <w:rPr>
          <w:position w:val="9"/>
          <w:sz w:val="25"/>
        </w:rPr>
        <w:t>332</w:t>
      </w:r>
    </w:p>
    <w:p>
      <w:pPr>
        <w:pStyle w:val="Heading1"/>
        <w:spacing w:before="222"/>
      </w:pPr>
      <w:r>
        <w:rPr/>
        <w:t>Evaluation of a three-year study on 212 patients with gonarthrosis</w:t>
      </w:r>
    </w:p>
    <w:p>
      <w:pPr>
        <w:pStyle w:val="BodyText"/>
        <w:spacing w:line="276" w:lineRule="auto" w:before="299"/>
        <w:ind w:left="477" w:right="132"/>
        <w:jc w:val="both"/>
      </w:pPr>
      <w:r>
        <w:rPr/>
        <w:t>A Belgian team of scientists headed by Professor Jean-Yves Reginster con- ducted a three-year randomised and placebo-controlled study in 212 patients with gonarthrosis. Patients were given a daily dose of 1500 mg glucosamine sulphate, while the control group was given a placebo (a dummy treatment). The test criterion was the joint space, which, in patients with arthritis, steadily decreases until the joints rub against each other.</w:t>
      </w:r>
    </w:p>
    <w:p>
      <w:pPr>
        <w:pStyle w:val="BodyText"/>
        <w:spacing w:before="241"/>
        <w:ind w:left="477"/>
        <w:jc w:val="both"/>
      </w:pPr>
      <w:r>
        <w:rPr/>
        <w:t>As a result, Professor Reginster was able to state the following:</w:t>
      </w:r>
    </w:p>
    <w:p>
      <w:pPr>
        <w:pStyle w:val="ListParagraph"/>
        <w:numPr>
          <w:ilvl w:val="2"/>
          <w:numId w:val="26"/>
        </w:numPr>
        <w:tabs>
          <w:tab w:pos="1197" w:val="left" w:leader="none"/>
          <w:tab w:pos="1198" w:val="left" w:leader="none"/>
        </w:tabs>
        <w:spacing w:line="240" w:lineRule="auto" w:before="186" w:after="0"/>
        <w:ind w:left="1197" w:right="0" w:hanging="360"/>
        <w:jc w:val="left"/>
        <w:rPr>
          <w:sz w:val="38"/>
        </w:rPr>
      </w:pPr>
      <w:r>
        <w:rPr>
          <w:sz w:val="38"/>
        </w:rPr>
        <w:t>during</w:t>
      </w:r>
      <w:r>
        <w:rPr>
          <w:spacing w:val="40"/>
          <w:sz w:val="38"/>
        </w:rPr>
        <w:t> </w:t>
      </w:r>
      <w:r>
        <w:rPr>
          <w:sz w:val="38"/>
        </w:rPr>
        <w:t>the</w:t>
      </w:r>
      <w:r>
        <w:rPr>
          <w:spacing w:val="40"/>
          <w:sz w:val="38"/>
        </w:rPr>
        <w:t> </w:t>
      </w:r>
      <w:r>
        <w:rPr>
          <w:sz w:val="38"/>
        </w:rPr>
        <w:t>three</w:t>
      </w:r>
      <w:r>
        <w:rPr>
          <w:spacing w:val="40"/>
          <w:sz w:val="38"/>
        </w:rPr>
        <w:t> </w:t>
      </w:r>
      <w:r>
        <w:rPr>
          <w:sz w:val="38"/>
        </w:rPr>
        <w:t>years,</w:t>
      </w:r>
      <w:r>
        <w:rPr>
          <w:spacing w:val="41"/>
          <w:sz w:val="38"/>
        </w:rPr>
        <w:t> </w:t>
      </w:r>
      <w:r>
        <w:rPr>
          <w:sz w:val="38"/>
        </w:rPr>
        <w:t>subjects</w:t>
      </w:r>
      <w:r>
        <w:rPr>
          <w:spacing w:val="38"/>
          <w:sz w:val="38"/>
        </w:rPr>
        <w:t> </w:t>
      </w:r>
      <w:r>
        <w:rPr>
          <w:sz w:val="38"/>
        </w:rPr>
        <w:t>who</w:t>
      </w:r>
      <w:r>
        <w:rPr>
          <w:spacing w:val="41"/>
          <w:sz w:val="38"/>
        </w:rPr>
        <w:t> </w:t>
      </w:r>
      <w:r>
        <w:rPr>
          <w:sz w:val="38"/>
        </w:rPr>
        <w:t>took</w:t>
      </w:r>
      <w:r>
        <w:rPr>
          <w:spacing w:val="40"/>
          <w:sz w:val="38"/>
        </w:rPr>
        <w:t> </w:t>
      </w:r>
      <w:r>
        <w:rPr>
          <w:sz w:val="38"/>
        </w:rPr>
        <w:t>glucosamine</w:t>
      </w:r>
      <w:r>
        <w:rPr>
          <w:spacing w:val="40"/>
          <w:sz w:val="38"/>
        </w:rPr>
        <w:t> </w:t>
      </w:r>
      <w:r>
        <w:rPr>
          <w:sz w:val="38"/>
        </w:rPr>
        <w:t>showed</w:t>
      </w:r>
      <w:r>
        <w:rPr>
          <w:spacing w:val="39"/>
          <w:sz w:val="38"/>
        </w:rPr>
        <w:t> </w:t>
      </w:r>
      <w:r>
        <w:rPr>
          <w:sz w:val="38"/>
        </w:rPr>
        <w:t>no</w:t>
      </w:r>
      <w:r>
        <w:rPr>
          <w:spacing w:val="41"/>
          <w:sz w:val="38"/>
        </w:rPr>
        <w:t> </w:t>
      </w:r>
      <w:r>
        <w:rPr>
          <w:sz w:val="38"/>
        </w:rPr>
        <w:t>joint</w:t>
      </w:r>
    </w:p>
    <w:p>
      <w:pPr>
        <w:pStyle w:val="BodyText"/>
        <w:spacing w:before="4"/>
        <w:rPr>
          <w:sz w:val="29"/>
        </w:rPr>
      </w:pPr>
      <w:r>
        <w:rPr/>
        <w:pict>
          <v:line style="position:absolute;mso-position-horizontal-relative:page;mso-position-vertical-relative:paragraph;z-index:3776;mso-wrap-distance-left:0;mso-wrap-distance-right:0" from="63.863998pt,18.876245pt" to="207.883998pt,18.87624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4"/>
          <w:sz w:val="10"/>
        </w:rPr>
        <w:t>332 </w:t>
      </w:r>
      <w:r>
        <w:rPr>
          <w:sz w:val="20"/>
        </w:rPr>
        <w:t>Published in the </w:t>
      </w:r>
      <w:r>
        <w:rPr>
          <w:i/>
          <w:sz w:val="20"/>
        </w:rPr>
        <w:t>New York Times </w:t>
      </w:r>
      <w:r>
        <w:rPr>
          <w:sz w:val="20"/>
        </w:rPr>
        <w:t>on 21 January 2008</w:t>
      </w:r>
    </w:p>
    <w:p>
      <w:pPr>
        <w:spacing w:after="0"/>
        <w:jc w:val="left"/>
        <w:rPr>
          <w:sz w:val="20"/>
        </w:rPr>
        <w:sectPr>
          <w:pgSz w:w="14270" w:h="16850"/>
          <w:pgMar w:header="0" w:footer="1891" w:top="1600" w:bottom="2080" w:left="800" w:right="1280"/>
        </w:sectPr>
      </w:pPr>
    </w:p>
    <w:p>
      <w:pPr>
        <w:pStyle w:val="BodyText"/>
        <w:spacing w:before="181"/>
        <w:ind w:left="1197"/>
      </w:pPr>
      <w:r>
        <w:rPr/>
        <w:t>space narrowing and no loss of cartilage.</w:t>
      </w:r>
    </w:p>
    <w:p>
      <w:pPr>
        <w:pStyle w:val="ListParagraph"/>
        <w:numPr>
          <w:ilvl w:val="2"/>
          <w:numId w:val="26"/>
        </w:numPr>
        <w:tabs>
          <w:tab w:pos="1198" w:val="left" w:leader="none"/>
        </w:tabs>
        <w:spacing w:line="273" w:lineRule="auto" w:before="306" w:after="0"/>
        <w:ind w:left="1197" w:right="135" w:hanging="360"/>
        <w:jc w:val="both"/>
        <w:rPr>
          <w:sz w:val="38"/>
        </w:rPr>
      </w:pPr>
      <w:r>
        <w:rPr>
          <w:sz w:val="38"/>
        </w:rPr>
        <w:t>In</w:t>
      </w:r>
      <w:r>
        <w:rPr>
          <w:spacing w:val="-19"/>
          <w:sz w:val="38"/>
        </w:rPr>
        <w:t> </w:t>
      </w:r>
      <w:r>
        <w:rPr>
          <w:sz w:val="38"/>
        </w:rPr>
        <w:t>the</w:t>
      </w:r>
      <w:r>
        <w:rPr>
          <w:spacing w:val="-18"/>
          <w:sz w:val="38"/>
        </w:rPr>
        <w:t> </w:t>
      </w:r>
      <w:r>
        <w:rPr>
          <w:sz w:val="38"/>
        </w:rPr>
        <w:t>patients</w:t>
      </w:r>
      <w:r>
        <w:rPr>
          <w:spacing w:val="-19"/>
          <w:sz w:val="38"/>
        </w:rPr>
        <w:t> </w:t>
      </w:r>
      <w:r>
        <w:rPr>
          <w:sz w:val="38"/>
        </w:rPr>
        <w:t>who</w:t>
      </w:r>
      <w:r>
        <w:rPr>
          <w:spacing w:val="-18"/>
          <w:sz w:val="38"/>
        </w:rPr>
        <w:t> </w:t>
      </w:r>
      <w:r>
        <w:rPr>
          <w:sz w:val="38"/>
        </w:rPr>
        <w:t>took</w:t>
      </w:r>
      <w:r>
        <w:rPr>
          <w:spacing w:val="-19"/>
          <w:sz w:val="38"/>
        </w:rPr>
        <w:t> </w:t>
      </w:r>
      <w:r>
        <w:rPr>
          <w:sz w:val="38"/>
        </w:rPr>
        <w:t>the</w:t>
      </w:r>
      <w:r>
        <w:rPr>
          <w:spacing w:val="-22"/>
          <w:sz w:val="38"/>
        </w:rPr>
        <w:t> </w:t>
      </w:r>
      <w:r>
        <w:rPr>
          <w:sz w:val="38"/>
        </w:rPr>
        <w:t>placebo,</w:t>
      </w:r>
      <w:r>
        <w:rPr>
          <w:spacing w:val="-18"/>
          <w:sz w:val="38"/>
        </w:rPr>
        <w:t> </w:t>
      </w:r>
      <w:r>
        <w:rPr>
          <w:sz w:val="38"/>
        </w:rPr>
        <w:t>the</w:t>
      </w:r>
      <w:r>
        <w:rPr>
          <w:spacing w:val="-21"/>
          <w:sz w:val="38"/>
        </w:rPr>
        <w:t> </w:t>
      </w:r>
      <w:r>
        <w:rPr>
          <w:sz w:val="38"/>
        </w:rPr>
        <w:t>joint</w:t>
      </w:r>
      <w:r>
        <w:rPr>
          <w:spacing w:val="-20"/>
          <w:sz w:val="38"/>
        </w:rPr>
        <w:t> </w:t>
      </w:r>
      <w:r>
        <w:rPr>
          <w:sz w:val="38"/>
        </w:rPr>
        <w:t>gap</w:t>
      </w:r>
      <w:r>
        <w:rPr>
          <w:spacing w:val="-18"/>
          <w:sz w:val="38"/>
        </w:rPr>
        <w:t> </w:t>
      </w:r>
      <w:r>
        <w:rPr>
          <w:sz w:val="38"/>
        </w:rPr>
        <w:t>decreased</w:t>
      </w:r>
      <w:r>
        <w:rPr>
          <w:spacing w:val="-19"/>
          <w:sz w:val="38"/>
        </w:rPr>
        <w:t> </w:t>
      </w:r>
      <w:r>
        <w:rPr>
          <w:sz w:val="38"/>
        </w:rPr>
        <w:t>by</w:t>
      </w:r>
      <w:r>
        <w:rPr>
          <w:spacing w:val="-21"/>
          <w:sz w:val="38"/>
        </w:rPr>
        <w:t> </w:t>
      </w:r>
      <w:r>
        <w:rPr>
          <w:sz w:val="38"/>
        </w:rPr>
        <w:t>an</w:t>
      </w:r>
      <w:r>
        <w:rPr>
          <w:spacing w:val="-19"/>
          <w:sz w:val="38"/>
        </w:rPr>
        <w:t> </w:t>
      </w:r>
      <w:r>
        <w:rPr>
          <w:sz w:val="38"/>
        </w:rPr>
        <w:t>average of</w:t>
      </w:r>
      <w:r>
        <w:rPr>
          <w:spacing w:val="-10"/>
          <w:sz w:val="38"/>
        </w:rPr>
        <w:t> </w:t>
      </w:r>
      <w:r>
        <w:rPr>
          <w:sz w:val="38"/>
        </w:rPr>
        <w:t>0.31</w:t>
      </w:r>
      <w:r>
        <w:rPr>
          <w:spacing w:val="-9"/>
          <w:sz w:val="38"/>
        </w:rPr>
        <w:t> </w:t>
      </w:r>
      <w:r>
        <w:rPr>
          <w:sz w:val="38"/>
        </w:rPr>
        <w:t>ml,</w:t>
      </w:r>
      <w:r>
        <w:rPr>
          <w:spacing w:val="-11"/>
          <w:sz w:val="38"/>
        </w:rPr>
        <w:t> </w:t>
      </w:r>
      <w:r>
        <w:rPr>
          <w:sz w:val="38"/>
        </w:rPr>
        <w:t>which</w:t>
      </w:r>
      <w:r>
        <w:rPr>
          <w:spacing w:val="-8"/>
          <w:sz w:val="38"/>
        </w:rPr>
        <w:t> </w:t>
      </w:r>
      <w:r>
        <w:rPr>
          <w:sz w:val="38"/>
        </w:rPr>
        <w:t>corresponds</w:t>
      </w:r>
      <w:r>
        <w:rPr>
          <w:spacing w:val="-11"/>
          <w:sz w:val="38"/>
        </w:rPr>
        <w:t> </w:t>
      </w:r>
      <w:r>
        <w:rPr>
          <w:sz w:val="38"/>
        </w:rPr>
        <w:t>to</w:t>
      </w:r>
      <w:r>
        <w:rPr>
          <w:spacing w:val="-9"/>
          <w:sz w:val="38"/>
        </w:rPr>
        <w:t> </w:t>
      </w:r>
      <w:r>
        <w:rPr>
          <w:sz w:val="38"/>
        </w:rPr>
        <w:t>the</w:t>
      </w:r>
      <w:r>
        <w:rPr>
          <w:spacing w:val="-12"/>
          <w:sz w:val="38"/>
        </w:rPr>
        <w:t> </w:t>
      </w:r>
      <w:r>
        <w:rPr>
          <w:sz w:val="38"/>
        </w:rPr>
        <w:t>normal</w:t>
      </w:r>
      <w:r>
        <w:rPr>
          <w:spacing w:val="-11"/>
          <w:sz w:val="38"/>
        </w:rPr>
        <w:t> </w:t>
      </w:r>
      <w:r>
        <w:rPr>
          <w:sz w:val="38"/>
        </w:rPr>
        <w:t>wear</w:t>
      </w:r>
      <w:r>
        <w:rPr>
          <w:spacing w:val="-9"/>
          <w:sz w:val="38"/>
        </w:rPr>
        <w:t> </w:t>
      </w:r>
      <w:r>
        <w:rPr>
          <w:sz w:val="38"/>
        </w:rPr>
        <w:t>and</w:t>
      </w:r>
      <w:r>
        <w:rPr>
          <w:spacing w:val="-9"/>
          <w:sz w:val="38"/>
        </w:rPr>
        <w:t> </w:t>
      </w:r>
      <w:r>
        <w:rPr>
          <w:sz w:val="38"/>
        </w:rPr>
        <w:t>tear</w:t>
      </w:r>
      <w:r>
        <w:rPr>
          <w:spacing w:val="-11"/>
          <w:sz w:val="38"/>
        </w:rPr>
        <w:t> </w:t>
      </w:r>
      <w:r>
        <w:rPr>
          <w:sz w:val="38"/>
        </w:rPr>
        <w:t>of</w:t>
      </w:r>
      <w:r>
        <w:rPr>
          <w:spacing w:val="-9"/>
          <w:sz w:val="38"/>
        </w:rPr>
        <w:t> </w:t>
      </w:r>
      <w:r>
        <w:rPr>
          <w:sz w:val="38"/>
        </w:rPr>
        <w:t>arthritis</w:t>
      </w:r>
      <w:r>
        <w:rPr>
          <w:spacing w:val="-10"/>
          <w:sz w:val="38"/>
        </w:rPr>
        <w:t> </w:t>
      </w:r>
      <w:r>
        <w:rPr>
          <w:sz w:val="38"/>
        </w:rPr>
        <w:t>suf- ferers (on average 0.1-0.6 ml per year).</w:t>
      </w:r>
    </w:p>
    <w:p>
      <w:pPr>
        <w:pStyle w:val="ListParagraph"/>
        <w:numPr>
          <w:ilvl w:val="2"/>
          <w:numId w:val="26"/>
        </w:numPr>
        <w:tabs>
          <w:tab w:pos="1198" w:val="left" w:leader="none"/>
        </w:tabs>
        <w:spacing w:line="273" w:lineRule="auto" w:before="252" w:after="0"/>
        <w:ind w:left="1197" w:right="138" w:hanging="360"/>
        <w:jc w:val="both"/>
        <w:rPr>
          <w:sz w:val="38"/>
        </w:rPr>
      </w:pPr>
      <w:r>
        <w:rPr>
          <w:sz w:val="38"/>
        </w:rPr>
        <w:t>Furthermore, the glucosamine group was able to improve its functional parameters by an average of 20-25 % in contrast to the placebo</w:t>
      </w:r>
      <w:r>
        <w:rPr>
          <w:spacing w:val="-27"/>
          <w:sz w:val="38"/>
        </w:rPr>
        <w:t> </w:t>
      </w:r>
      <w:r>
        <w:rPr>
          <w:sz w:val="38"/>
        </w:rPr>
        <w:t>group.</w:t>
      </w:r>
    </w:p>
    <w:p>
      <w:pPr>
        <w:pStyle w:val="BodyText"/>
        <w:spacing w:line="276" w:lineRule="auto" w:before="246"/>
        <w:ind w:left="477" w:right="57"/>
        <w:rPr>
          <w:sz w:val="25"/>
        </w:rPr>
      </w:pPr>
      <w:r>
        <w:rPr/>
        <w:t>Conclusion of the scientists: orally ingested glucosamine is able to stop the nat- ural course of arthrosis.</w:t>
      </w:r>
      <w:r>
        <w:rPr>
          <w:position w:val="9"/>
          <w:sz w:val="25"/>
        </w:rPr>
        <w:t>333</w:t>
      </w:r>
    </w:p>
    <w:p>
      <w:pPr>
        <w:pStyle w:val="Heading2"/>
        <w:spacing w:before="121"/>
        <w:ind w:left="3482"/>
      </w:pPr>
      <w:r>
        <w:rPr/>
        <w:t>Structure modification measurable</w:t>
      </w:r>
    </w:p>
    <w:p>
      <w:pPr>
        <w:pStyle w:val="BodyText"/>
        <w:spacing w:before="5"/>
        <w:rPr>
          <w:b/>
          <w:sz w:val="16"/>
        </w:rPr>
      </w:pPr>
    </w:p>
    <w:tbl>
      <w:tblPr>
        <w:tblW w:w="0" w:type="auto"/>
        <w:jc w:val="left"/>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20"/>
        <w:gridCol w:w="1545"/>
        <w:gridCol w:w="1746"/>
      </w:tblGrid>
      <w:tr>
        <w:trPr>
          <w:trHeight w:val="856" w:hRule="atLeast"/>
        </w:trPr>
        <w:tc>
          <w:tcPr>
            <w:tcW w:w="2320" w:type="dxa"/>
          </w:tcPr>
          <w:p>
            <w:pPr>
              <w:pStyle w:val="TableParagraph"/>
              <w:rPr>
                <w:rFonts w:ascii="Times New Roman"/>
                <w:sz w:val="36"/>
              </w:rPr>
            </w:pPr>
          </w:p>
        </w:tc>
        <w:tc>
          <w:tcPr>
            <w:tcW w:w="1545" w:type="dxa"/>
          </w:tcPr>
          <w:p>
            <w:pPr>
              <w:pStyle w:val="TableParagraph"/>
              <w:spacing w:line="427" w:lineRule="exact"/>
              <w:ind w:left="156"/>
              <w:rPr>
                <w:b/>
                <w:sz w:val="38"/>
              </w:rPr>
            </w:pPr>
            <w:r>
              <w:rPr>
                <w:b/>
                <w:sz w:val="38"/>
              </w:rPr>
              <w:t>Placebo</w:t>
            </w:r>
          </w:p>
        </w:tc>
        <w:tc>
          <w:tcPr>
            <w:tcW w:w="1746" w:type="dxa"/>
          </w:tcPr>
          <w:p>
            <w:pPr>
              <w:pStyle w:val="TableParagraph"/>
              <w:spacing w:line="427" w:lineRule="exact"/>
              <w:ind w:left="246" w:right="30"/>
              <w:jc w:val="center"/>
              <w:rPr>
                <w:b/>
                <w:sz w:val="38"/>
              </w:rPr>
            </w:pPr>
            <w:r>
              <w:rPr>
                <w:b/>
                <w:sz w:val="38"/>
              </w:rPr>
              <w:t>Glucosa-</w:t>
            </w:r>
          </w:p>
          <w:p>
            <w:pPr>
              <w:pStyle w:val="TableParagraph"/>
              <w:spacing w:line="408" w:lineRule="exact" w:before="2"/>
              <w:ind w:left="246" w:right="28"/>
              <w:jc w:val="center"/>
              <w:rPr>
                <w:b/>
                <w:sz w:val="38"/>
              </w:rPr>
            </w:pPr>
            <w:r>
              <w:rPr>
                <w:b/>
                <w:sz w:val="38"/>
              </w:rPr>
              <w:t>mine</w:t>
            </w:r>
          </w:p>
        </w:tc>
      </w:tr>
      <w:tr>
        <w:trPr>
          <w:trHeight w:val="427" w:hRule="atLeast"/>
        </w:trPr>
        <w:tc>
          <w:tcPr>
            <w:tcW w:w="2320" w:type="dxa"/>
          </w:tcPr>
          <w:p>
            <w:pPr>
              <w:pStyle w:val="TableParagraph"/>
              <w:spacing w:line="407" w:lineRule="exact"/>
              <w:ind w:left="50"/>
              <w:rPr>
                <w:sz w:val="38"/>
              </w:rPr>
            </w:pPr>
            <w:r>
              <w:rPr>
                <w:sz w:val="38"/>
              </w:rPr>
              <w:t>JSW before</w:t>
            </w:r>
          </w:p>
        </w:tc>
        <w:tc>
          <w:tcPr>
            <w:tcW w:w="1545" w:type="dxa"/>
          </w:tcPr>
          <w:p>
            <w:pPr>
              <w:pStyle w:val="TableParagraph"/>
              <w:spacing w:line="407" w:lineRule="exact"/>
              <w:ind w:left="153"/>
              <w:rPr>
                <w:sz w:val="38"/>
              </w:rPr>
            </w:pPr>
            <w:r>
              <w:rPr>
                <w:sz w:val="38"/>
              </w:rPr>
              <w:t>539</w:t>
            </w:r>
          </w:p>
        </w:tc>
        <w:tc>
          <w:tcPr>
            <w:tcW w:w="1746" w:type="dxa"/>
          </w:tcPr>
          <w:p>
            <w:pPr>
              <w:pStyle w:val="TableParagraph"/>
              <w:spacing w:line="407" w:lineRule="exact"/>
              <w:ind w:left="109"/>
              <w:rPr>
                <w:sz w:val="38"/>
              </w:rPr>
            </w:pPr>
            <w:r>
              <w:rPr>
                <w:sz w:val="38"/>
              </w:rPr>
              <w:t>5.23 (0.13)</w:t>
            </w:r>
          </w:p>
        </w:tc>
      </w:tr>
      <w:tr>
        <w:trPr>
          <w:trHeight w:val="427" w:hRule="atLeast"/>
        </w:trPr>
        <w:tc>
          <w:tcPr>
            <w:tcW w:w="2320" w:type="dxa"/>
          </w:tcPr>
          <w:p>
            <w:pPr>
              <w:pStyle w:val="TableParagraph"/>
              <w:spacing w:line="407" w:lineRule="exact"/>
              <w:ind w:left="50"/>
              <w:rPr>
                <w:sz w:val="38"/>
              </w:rPr>
            </w:pPr>
            <w:r>
              <w:rPr>
                <w:sz w:val="38"/>
              </w:rPr>
              <w:t>treatment</w:t>
            </w:r>
          </w:p>
        </w:tc>
        <w:tc>
          <w:tcPr>
            <w:tcW w:w="1545" w:type="dxa"/>
          </w:tcPr>
          <w:p>
            <w:pPr>
              <w:pStyle w:val="TableParagraph"/>
              <w:spacing w:line="407" w:lineRule="exact"/>
              <w:ind w:left="153"/>
              <w:rPr>
                <w:sz w:val="38"/>
              </w:rPr>
            </w:pPr>
            <w:r>
              <w:rPr>
                <w:sz w:val="38"/>
              </w:rPr>
              <w:t>(0.12)</w:t>
            </w:r>
          </w:p>
        </w:tc>
        <w:tc>
          <w:tcPr>
            <w:tcW w:w="1746" w:type="dxa"/>
          </w:tcPr>
          <w:p>
            <w:pPr>
              <w:pStyle w:val="TableParagraph"/>
              <w:rPr>
                <w:rFonts w:ascii="Times New Roman"/>
                <w:sz w:val="32"/>
              </w:rPr>
            </w:pPr>
          </w:p>
        </w:tc>
      </w:tr>
      <w:tr>
        <w:trPr>
          <w:trHeight w:val="427" w:hRule="atLeast"/>
        </w:trPr>
        <w:tc>
          <w:tcPr>
            <w:tcW w:w="2320" w:type="dxa"/>
          </w:tcPr>
          <w:p>
            <w:pPr>
              <w:pStyle w:val="TableParagraph"/>
              <w:spacing w:line="407" w:lineRule="exact"/>
              <w:ind w:left="50"/>
              <w:rPr>
                <w:sz w:val="38"/>
              </w:rPr>
            </w:pPr>
            <w:r>
              <w:rPr>
                <w:sz w:val="38"/>
              </w:rPr>
              <w:t>(mm)</w:t>
            </w:r>
          </w:p>
        </w:tc>
        <w:tc>
          <w:tcPr>
            <w:tcW w:w="1545" w:type="dxa"/>
          </w:tcPr>
          <w:p>
            <w:pPr>
              <w:pStyle w:val="TableParagraph"/>
              <w:rPr>
                <w:rFonts w:ascii="Times New Roman"/>
                <w:sz w:val="32"/>
              </w:rPr>
            </w:pPr>
          </w:p>
        </w:tc>
        <w:tc>
          <w:tcPr>
            <w:tcW w:w="1746" w:type="dxa"/>
          </w:tcPr>
          <w:p>
            <w:pPr>
              <w:pStyle w:val="TableParagraph"/>
              <w:rPr>
                <w:rFonts w:ascii="Times New Roman"/>
                <w:sz w:val="32"/>
              </w:rPr>
            </w:pPr>
          </w:p>
        </w:tc>
      </w:tr>
      <w:tr>
        <w:trPr>
          <w:trHeight w:val="427" w:hRule="atLeast"/>
        </w:trPr>
        <w:tc>
          <w:tcPr>
            <w:tcW w:w="2320" w:type="dxa"/>
          </w:tcPr>
          <w:p>
            <w:pPr>
              <w:pStyle w:val="TableParagraph"/>
              <w:spacing w:line="407" w:lineRule="exact"/>
              <w:ind w:left="50"/>
              <w:rPr>
                <w:sz w:val="38"/>
              </w:rPr>
            </w:pPr>
            <w:r>
              <w:rPr>
                <w:sz w:val="38"/>
              </w:rPr>
              <w:t>JSW after 3</w:t>
            </w:r>
          </w:p>
        </w:tc>
        <w:tc>
          <w:tcPr>
            <w:tcW w:w="1545" w:type="dxa"/>
          </w:tcPr>
          <w:p>
            <w:pPr>
              <w:pStyle w:val="TableParagraph"/>
              <w:spacing w:line="407" w:lineRule="exact"/>
              <w:ind w:left="153"/>
              <w:rPr>
                <w:sz w:val="38"/>
              </w:rPr>
            </w:pPr>
            <w:r>
              <w:rPr>
                <w:sz w:val="38"/>
              </w:rPr>
              <w:t>-0.31</w:t>
            </w:r>
          </w:p>
        </w:tc>
        <w:tc>
          <w:tcPr>
            <w:tcW w:w="1746" w:type="dxa"/>
          </w:tcPr>
          <w:p>
            <w:pPr>
              <w:pStyle w:val="TableParagraph"/>
              <w:spacing w:line="407" w:lineRule="exact"/>
              <w:ind w:left="109"/>
              <w:rPr>
                <w:sz w:val="38"/>
              </w:rPr>
            </w:pPr>
            <w:r>
              <w:rPr>
                <w:sz w:val="38"/>
              </w:rPr>
              <w:t>+0.07</w:t>
            </w:r>
          </w:p>
        </w:tc>
      </w:tr>
      <w:tr>
        <w:trPr>
          <w:trHeight w:val="427" w:hRule="atLeast"/>
        </w:trPr>
        <w:tc>
          <w:tcPr>
            <w:tcW w:w="2320" w:type="dxa"/>
          </w:tcPr>
          <w:p>
            <w:pPr>
              <w:pStyle w:val="TableParagraph"/>
              <w:spacing w:line="407" w:lineRule="exact"/>
              <w:ind w:left="50"/>
              <w:rPr>
                <w:sz w:val="38"/>
              </w:rPr>
            </w:pPr>
            <w:r>
              <w:rPr>
                <w:sz w:val="38"/>
              </w:rPr>
              <w:t>years (mm)</w:t>
            </w:r>
          </w:p>
        </w:tc>
        <w:tc>
          <w:tcPr>
            <w:tcW w:w="1545" w:type="dxa"/>
          </w:tcPr>
          <w:p>
            <w:pPr>
              <w:pStyle w:val="TableParagraph"/>
              <w:spacing w:line="407" w:lineRule="exact"/>
              <w:ind w:left="153"/>
              <w:rPr>
                <w:sz w:val="38"/>
              </w:rPr>
            </w:pPr>
            <w:r>
              <w:rPr>
                <w:sz w:val="38"/>
              </w:rPr>
              <w:t>(0.13)</w:t>
            </w:r>
          </w:p>
        </w:tc>
        <w:tc>
          <w:tcPr>
            <w:tcW w:w="1746" w:type="dxa"/>
          </w:tcPr>
          <w:p>
            <w:pPr>
              <w:pStyle w:val="TableParagraph"/>
              <w:spacing w:line="407" w:lineRule="exact"/>
              <w:ind w:left="109"/>
              <w:rPr>
                <w:sz w:val="38"/>
              </w:rPr>
            </w:pPr>
            <w:r>
              <w:rPr>
                <w:sz w:val="38"/>
              </w:rPr>
              <w:t>(0.12)*</w:t>
            </w:r>
          </w:p>
        </w:tc>
      </w:tr>
      <w:tr>
        <w:trPr>
          <w:trHeight w:val="427" w:hRule="atLeast"/>
        </w:trPr>
        <w:tc>
          <w:tcPr>
            <w:tcW w:w="2320" w:type="dxa"/>
          </w:tcPr>
          <w:p>
            <w:pPr>
              <w:pStyle w:val="TableParagraph"/>
              <w:spacing w:line="407" w:lineRule="exact"/>
              <w:ind w:left="50"/>
              <w:rPr>
                <w:sz w:val="38"/>
              </w:rPr>
            </w:pPr>
            <w:r>
              <w:rPr>
                <w:sz w:val="38"/>
              </w:rPr>
              <w:t>WOMAC be-</w:t>
            </w:r>
          </w:p>
        </w:tc>
        <w:tc>
          <w:tcPr>
            <w:tcW w:w="1545" w:type="dxa"/>
          </w:tcPr>
          <w:p>
            <w:pPr>
              <w:pStyle w:val="TableParagraph"/>
              <w:spacing w:line="407" w:lineRule="exact"/>
              <w:ind w:left="153"/>
              <w:rPr>
                <w:sz w:val="38"/>
              </w:rPr>
            </w:pPr>
            <w:r>
              <w:rPr>
                <w:sz w:val="38"/>
              </w:rPr>
              <w:t>939.7</w:t>
            </w:r>
          </w:p>
        </w:tc>
        <w:tc>
          <w:tcPr>
            <w:tcW w:w="1746" w:type="dxa"/>
          </w:tcPr>
          <w:p>
            <w:pPr>
              <w:pStyle w:val="TableParagraph"/>
              <w:spacing w:line="407" w:lineRule="exact"/>
              <w:ind w:left="109"/>
              <w:rPr>
                <w:sz w:val="38"/>
              </w:rPr>
            </w:pPr>
            <w:r>
              <w:rPr>
                <w:sz w:val="38"/>
              </w:rPr>
              <w:t>1030.2</w:t>
            </w:r>
          </w:p>
        </w:tc>
      </w:tr>
      <w:tr>
        <w:trPr>
          <w:trHeight w:val="426" w:hRule="atLeast"/>
        </w:trPr>
        <w:tc>
          <w:tcPr>
            <w:tcW w:w="2320" w:type="dxa"/>
          </w:tcPr>
          <w:p>
            <w:pPr>
              <w:pStyle w:val="TableParagraph"/>
              <w:spacing w:line="407" w:lineRule="exact"/>
              <w:ind w:left="50"/>
              <w:rPr>
                <w:sz w:val="38"/>
              </w:rPr>
            </w:pPr>
            <w:r>
              <w:rPr>
                <w:sz w:val="38"/>
              </w:rPr>
              <w:t>fore treatment</w:t>
            </w:r>
          </w:p>
        </w:tc>
        <w:tc>
          <w:tcPr>
            <w:tcW w:w="1545" w:type="dxa"/>
          </w:tcPr>
          <w:p>
            <w:pPr>
              <w:pStyle w:val="TableParagraph"/>
              <w:spacing w:line="407" w:lineRule="exact"/>
              <w:ind w:left="153"/>
              <w:rPr>
                <w:sz w:val="38"/>
              </w:rPr>
            </w:pPr>
            <w:r>
              <w:rPr>
                <w:sz w:val="38"/>
              </w:rPr>
              <w:t>(47.1)</w:t>
            </w:r>
          </w:p>
        </w:tc>
        <w:tc>
          <w:tcPr>
            <w:tcW w:w="1746" w:type="dxa"/>
          </w:tcPr>
          <w:p>
            <w:pPr>
              <w:pStyle w:val="TableParagraph"/>
              <w:spacing w:line="407" w:lineRule="exact"/>
              <w:ind w:left="109"/>
              <w:rPr>
                <w:sz w:val="38"/>
              </w:rPr>
            </w:pPr>
            <w:r>
              <w:rPr>
                <w:sz w:val="38"/>
              </w:rPr>
              <w:t>(46.0)</w:t>
            </w:r>
          </w:p>
        </w:tc>
      </w:tr>
    </w:tbl>
    <w:p>
      <w:pPr>
        <w:pStyle w:val="BodyText"/>
        <w:rPr>
          <w:b/>
          <w:sz w:val="20"/>
        </w:rPr>
      </w:pPr>
    </w:p>
    <w:p>
      <w:pPr>
        <w:pStyle w:val="BodyText"/>
        <w:rPr>
          <w:b/>
          <w:sz w:val="20"/>
        </w:rPr>
      </w:pPr>
    </w:p>
    <w:p>
      <w:pPr>
        <w:pStyle w:val="BodyText"/>
        <w:rPr>
          <w:b/>
          <w:sz w:val="20"/>
        </w:rPr>
      </w:pPr>
    </w:p>
    <w:p>
      <w:pPr>
        <w:pStyle w:val="BodyText"/>
        <w:spacing w:before="3"/>
        <w:rPr>
          <w:b/>
          <w:sz w:val="22"/>
        </w:rPr>
      </w:pPr>
      <w:r>
        <w:rPr/>
        <w:pict>
          <v:line style="position:absolute;mso-position-horizontal-relative:page;mso-position-vertical-relative:paragraph;z-index:3800;mso-wrap-distance-left:0;mso-wrap-distance-right:0" from="63.863998pt,14.900054pt" to="207.883998pt,14.900054pt" stroked="true" strokeweight=".71997pt" strokecolor="#000000">
            <v:stroke dashstyle="solid"/>
            <w10:wrap type="topAndBottom"/>
          </v:line>
        </w:pict>
      </w:r>
    </w:p>
    <w:p>
      <w:pPr>
        <w:spacing w:before="309"/>
        <w:ind w:left="477" w:right="0" w:firstLine="0"/>
        <w:jc w:val="left"/>
        <w:rPr>
          <w:sz w:val="20"/>
        </w:rPr>
      </w:pPr>
      <w:r>
        <w:rPr>
          <w:position w:val="5"/>
          <w:sz w:val="13"/>
        </w:rPr>
        <w:t>333 </w:t>
      </w:r>
      <w:r>
        <w:rPr>
          <w:sz w:val="20"/>
        </w:rPr>
        <w:t>Reginster JY et al., Lancet 2001, 357, p. 251-256</w:t>
      </w:r>
    </w:p>
    <w:p>
      <w:pPr>
        <w:spacing w:after="0"/>
        <w:jc w:val="left"/>
        <w:rPr>
          <w:sz w:val="20"/>
        </w:rPr>
        <w:sectPr>
          <w:pgSz w:w="14270" w:h="16850"/>
          <w:pgMar w:header="0" w:footer="1891" w:top="1600" w:bottom="2080" w:left="800" w:right="1280"/>
        </w:sectPr>
      </w:pPr>
    </w:p>
    <w:p>
      <w:pPr>
        <w:pStyle w:val="BodyText"/>
        <w:spacing w:before="184"/>
        <w:ind w:left="585" w:right="-12"/>
      </w:pPr>
      <w:r>
        <w:rPr/>
        <w:t>% Change</w:t>
      </w:r>
      <w:r>
        <w:rPr>
          <w:spacing w:val="-9"/>
        </w:rPr>
        <w:t> </w:t>
      </w:r>
      <w:r>
        <w:rPr/>
        <w:t>af- ter 3</w:t>
      </w:r>
      <w:r>
        <w:rPr>
          <w:spacing w:val="-1"/>
        </w:rPr>
        <w:t> </w:t>
      </w:r>
      <w:r>
        <w:rPr/>
        <w:t>years</w:t>
      </w:r>
    </w:p>
    <w:p>
      <w:pPr>
        <w:pStyle w:val="BodyText"/>
        <w:spacing w:line="427" w:lineRule="exact" w:before="184"/>
        <w:ind w:left="374"/>
      </w:pPr>
      <w:r>
        <w:rPr/>
        <w:br w:type="column"/>
      </w:r>
      <w:r>
        <w:rPr/>
        <w:t>+9.8</w:t>
      </w:r>
    </w:p>
    <w:p>
      <w:pPr>
        <w:pStyle w:val="BodyText"/>
        <w:spacing w:line="425" w:lineRule="exact"/>
        <w:ind w:left="374"/>
      </w:pPr>
      <w:r>
        <w:rPr>
          <w:w w:val="95"/>
        </w:rPr>
        <w:t>(12.30)</w:t>
      </w:r>
    </w:p>
    <w:p>
      <w:pPr>
        <w:pStyle w:val="BodyText"/>
        <w:spacing w:line="427" w:lineRule="exact" w:before="184"/>
        <w:ind w:left="444"/>
      </w:pPr>
      <w:r>
        <w:rPr/>
        <w:br w:type="column"/>
      </w:r>
      <w:r>
        <w:rPr/>
        <w:t>-24.3 (6.30)</w:t>
      </w:r>
    </w:p>
    <w:p>
      <w:pPr>
        <w:pStyle w:val="BodyText"/>
        <w:spacing w:line="425" w:lineRule="exact"/>
        <w:ind w:left="444"/>
      </w:pPr>
      <w:r>
        <w:rPr>
          <w:w w:val="99"/>
        </w:rPr>
        <w:t>+</w:t>
      </w:r>
    </w:p>
    <w:p>
      <w:pPr>
        <w:spacing w:after="0" w:line="425" w:lineRule="exact"/>
        <w:sectPr>
          <w:footerReference w:type="default" r:id="rId123"/>
          <w:pgSz w:w="14270" w:h="16850"/>
          <w:pgMar w:footer="1891" w:header="0" w:top="1600" w:bottom="2080" w:left="800" w:right="1280"/>
          <w:pgNumType w:start="460"/>
          <w:cols w:num="3" w:equalWidth="0">
            <w:col w:w="2595" w:space="40"/>
            <w:col w:w="1392" w:space="39"/>
            <w:col w:w="8124"/>
          </w:cols>
        </w:sectPr>
      </w:pPr>
    </w:p>
    <w:p>
      <w:pPr>
        <w:pStyle w:val="BodyText"/>
        <w:spacing w:line="276" w:lineRule="auto"/>
        <w:ind w:left="526" w:right="188"/>
        <w:jc w:val="center"/>
      </w:pPr>
      <w:r>
        <w:rPr/>
        <w:t>Mean values (and standard deviations). * p = 0.038 and + p = 0.016 (ANOVA) vs. placebo</w:t>
      </w:r>
    </w:p>
    <w:p>
      <w:pPr>
        <w:pStyle w:val="BodyText"/>
        <w:spacing w:line="276" w:lineRule="auto"/>
        <w:ind w:left="650" w:right="309" w:hanging="5"/>
        <w:jc w:val="center"/>
      </w:pPr>
      <w:r>
        <w:rPr/>
        <w:t>JSW = visually measured joint space width JSN = </w:t>
      </w:r>
      <w:r>
        <w:rPr>
          <w:rFonts w:ascii="Cambria Math" w:hAnsi="Cambria Math"/>
        </w:rPr>
        <w:t>⌀ </w:t>
      </w:r>
      <w:r>
        <w:rPr/>
        <w:t>Joint space narrowing Table: Width of articular cartilage before and after therapy with glucosamine sulphate vs. placebo according to Reginster, 1999</w:t>
      </w:r>
    </w:p>
    <w:p>
      <w:pPr>
        <w:pStyle w:val="BodyText"/>
        <w:rPr>
          <w:sz w:val="42"/>
        </w:rPr>
      </w:pPr>
    </w:p>
    <w:p>
      <w:pPr>
        <w:pStyle w:val="BodyText"/>
        <w:rPr>
          <w:sz w:val="42"/>
        </w:rPr>
      </w:pPr>
    </w:p>
    <w:p>
      <w:pPr>
        <w:pStyle w:val="BodyText"/>
        <w:spacing w:before="2"/>
        <w:rPr>
          <w:sz w:val="35"/>
        </w:rPr>
      </w:pPr>
    </w:p>
    <w:p>
      <w:pPr>
        <w:pStyle w:val="BodyText"/>
        <w:ind w:left="477"/>
        <w:rPr>
          <w:sz w:val="25"/>
        </w:rPr>
      </w:pPr>
      <w:r>
        <w:rPr/>
        <w:t>Another</w:t>
      </w:r>
      <w:r>
        <w:rPr>
          <w:spacing w:val="-13"/>
        </w:rPr>
        <w:t> </w:t>
      </w:r>
      <w:r>
        <w:rPr/>
        <w:t>study</w:t>
      </w:r>
      <w:r>
        <w:rPr>
          <w:spacing w:val="-13"/>
        </w:rPr>
        <w:t> </w:t>
      </w:r>
      <w:r>
        <w:rPr/>
        <w:t>in</w:t>
      </w:r>
      <w:r>
        <w:rPr>
          <w:spacing w:val="-13"/>
        </w:rPr>
        <w:t> </w:t>
      </w:r>
      <w:r>
        <w:rPr/>
        <w:t>2002</w:t>
      </w:r>
      <w:r>
        <w:rPr>
          <w:spacing w:val="-15"/>
        </w:rPr>
        <w:t> </w:t>
      </w:r>
      <w:r>
        <w:rPr/>
        <w:t>with</w:t>
      </w:r>
      <w:r>
        <w:rPr>
          <w:spacing w:val="-13"/>
        </w:rPr>
        <w:t> </w:t>
      </w:r>
      <w:r>
        <w:rPr/>
        <w:t>a</w:t>
      </w:r>
      <w:r>
        <w:rPr>
          <w:spacing w:val="-14"/>
        </w:rPr>
        <w:t> </w:t>
      </w:r>
      <w:r>
        <w:rPr/>
        <w:t>similar</w:t>
      </w:r>
      <w:r>
        <w:rPr>
          <w:spacing w:val="-13"/>
        </w:rPr>
        <w:t> </w:t>
      </w:r>
      <w:r>
        <w:rPr/>
        <w:t>design</w:t>
      </w:r>
      <w:r>
        <w:rPr>
          <w:spacing w:val="-14"/>
        </w:rPr>
        <w:t> </w:t>
      </w:r>
      <w:r>
        <w:rPr/>
        <w:t>was</w:t>
      </w:r>
      <w:r>
        <w:rPr>
          <w:spacing w:val="-11"/>
        </w:rPr>
        <w:t> </w:t>
      </w:r>
      <w:r>
        <w:rPr/>
        <w:t>able</w:t>
      </w:r>
      <w:r>
        <w:rPr>
          <w:spacing w:val="-13"/>
        </w:rPr>
        <w:t> </w:t>
      </w:r>
      <w:r>
        <w:rPr/>
        <w:t>to</w:t>
      </w:r>
      <w:r>
        <w:rPr>
          <w:spacing w:val="-13"/>
        </w:rPr>
        <w:t> </w:t>
      </w:r>
      <w:r>
        <w:rPr/>
        <w:t>confirm</w:t>
      </w:r>
      <w:r>
        <w:rPr>
          <w:spacing w:val="-17"/>
        </w:rPr>
        <w:t> </w:t>
      </w:r>
      <w:r>
        <w:rPr/>
        <w:t>these</w:t>
      </w:r>
      <w:r>
        <w:rPr>
          <w:spacing w:val="-13"/>
        </w:rPr>
        <w:t> </w:t>
      </w:r>
      <w:r>
        <w:rPr/>
        <w:t>results.</w:t>
      </w:r>
      <w:r>
        <w:rPr>
          <w:position w:val="9"/>
          <w:sz w:val="25"/>
        </w:rPr>
        <w:t>334</w:t>
      </w:r>
    </w:p>
    <w:p>
      <w:pPr>
        <w:pStyle w:val="Heading1"/>
        <w:spacing w:before="287"/>
      </w:pPr>
      <w:r>
        <w:rPr/>
        <w:t>Glucosamine prevents prosthetic intervention in long-term studies</w:t>
      </w:r>
    </w:p>
    <w:p>
      <w:pPr>
        <w:pStyle w:val="BodyText"/>
        <w:spacing w:line="276" w:lineRule="auto" w:before="299"/>
        <w:ind w:left="477" w:right="141"/>
        <w:jc w:val="both"/>
      </w:pPr>
      <w:r>
        <w:rPr/>
        <w:t>Endoprosthetic procedures (operations involving the use of artificial joints) should be a last resort since they lead to lifelong disability.</w:t>
      </w:r>
    </w:p>
    <w:p>
      <w:pPr>
        <w:pStyle w:val="BodyText"/>
        <w:spacing w:line="276" w:lineRule="auto" w:before="242"/>
        <w:ind w:left="477" w:right="131"/>
        <w:jc w:val="both"/>
        <w:rPr>
          <w:sz w:val="25"/>
        </w:rPr>
      </w:pPr>
      <w:r>
        <w:rPr/>
        <w:t>Long-term data on the intake of glucosamine are all the more gratifying; after five</w:t>
      </w:r>
      <w:r>
        <w:rPr>
          <w:spacing w:val="-10"/>
        </w:rPr>
        <w:t> </w:t>
      </w:r>
      <w:r>
        <w:rPr/>
        <w:t>years</w:t>
      </w:r>
      <w:r>
        <w:rPr>
          <w:spacing w:val="-7"/>
        </w:rPr>
        <w:t> </w:t>
      </w:r>
      <w:r>
        <w:rPr/>
        <w:t>of</w:t>
      </w:r>
      <w:r>
        <w:rPr>
          <w:spacing w:val="-11"/>
        </w:rPr>
        <w:t> </w:t>
      </w:r>
      <w:r>
        <w:rPr/>
        <w:t>regular</w:t>
      </w:r>
      <w:r>
        <w:rPr>
          <w:spacing w:val="-8"/>
        </w:rPr>
        <w:t> </w:t>
      </w:r>
      <w:r>
        <w:rPr/>
        <w:t>daily</w:t>
      </w:r>
      <w:r>
        <w:rPr>
          <w:spacing w:val="-8"/>
        </w:rPr>
        <w:t> </w:t>
      </w:r>
      <w:r>
        <w:rPr/>
        <w:t>intake</w:t>
      </w:r>
      <w:r>
        <w:rPr>
          <w:spacing w:val="-8"/>
        </w:rPr>
        <w:t> </w:t>
      </w:r>
      <w:r>
        <w:rPr/>
        <w:t>of</w:t>
      </w:r>
      <w:r>
        <w:rPr>
          <w:spacing w:val="-8"/>
        </w:rPr>
        <w:t> </w:t>
      </w:r>
      <w:r>
        <w:rPr/>
        <w:t>1500</w:t>
      </w:r>
      <w:r>
        <w:rPr>
          <w:spacing w:val="-9"/>
        </w:rPr>
        <w:t> </w:t>
      </w:r>
      <w:r>
        <w:rPr/>
        <w:t>mg,</w:t>
      </w:r>
      <w:r>
        <w:rPr>
          <w:spacing w:val="-8"/>
        </w:rPr>
        <w:t> </w:t>
      </w:r>
      <w:r>
        <w:rPr/>
        <w:t>the</w:t>
      </w:r>
      <w:r>
        <w:rPr>
          <w:spacing w:val="-12"/>
        </w:rPr>
        <w:t> </w:t>
      </w:r>
      <w:r>
        <w:rPr/>
        <w:t>need</w:t>
      </w:r>
      <w:r>
        <w:rPr>
          <w:spacing w:val="-8"/>
        </w:rPr>
        <w:t> </w:t>
      </w:r>
      <w:r>
        <w:rPr/>
        <w:t>for</w:t>
      </w:r>
      <w:r>
        <w:rPr>
          <w:spacing w:val="-10"/>
        </w:rPr>
        <w:t> </w:t>
      </w:r>
      <w:r>
        <w:rPr/>
        <w:t>prosthetic</w:t>
      </w:r>
      <w:r>
        <w:rPr>
          <w:spacing w:val="-9"/>
        </w:rPr>
        <w:t> </w:t>
      </w:r>
      <w:r>
        <w:rPr/>
        <w:t>surgery</w:t>
      </w:r>
      <w:r>
        <w:rPr>
          <w:spacing w:val="-8"/>
        </w:rPr>
        <w:t> </w:t>
      </w:r>
      <w:r>
        <w:rPr/>
        <w:t>fell by</w:t>
      </w:r>
      <w:r>
        <w:rPr>
          <w:spacing w:val="-10"/>
        </w:rPr>
        <w:t> </w:t>
      </w:r>
      <w:r>
        <w:rPr/>
        <w:t>57</w:t>
      </w:r>
      <w:r>
        <w:rPr>
          <w:spacing w:val="-11"/>
        </w:rPr>
        <w:t> </w:t>
      </w:r>
      <w:r>
        <w:rPr/>
        <w:t>%</w:t>
      </w:r>
      <w:r>
        <w:rPr>
          <w:spacing w:val="-11"/>
        </w:rPr>
        <w:t> </w:t>
      </w:r>
      <w:r>
        <w:rPr/>
        <w:t>compared</w:t>
      </w:r>
      <w:r>
        <w:rPr>
          <w:spacing w:val="-9"/>
        </w:rPr>
        <w:t> </w:t>
      </w:r>
      <w:r>
        <w:rPr/>
        <w:t>to</w:t>
      </w:r>
      <w:r>
        <w:rPr>
          <w:spacing w:val="-10"/>
        </w:rPr>
        <w:t> </w:t>
      </w:r>
      <w:r>
        <w:rPr/>
        <w:t>the</w:t>
      </w:r>
      <w:r>
        <w:rPr>
          <w:spacing w:val="-9"/>
        </w:rPr>
        <w:t> </w:t>
      </w:r>
      <w:r>
        <w:rPr/>
        <w:t>placebo</w:t>
      </w:r>
      <w:r>
        <w:rPr>
          <w:spacing w:val="-11"/>
        </w:rPr>
        <w:t> </w:t>
      </w:r>
      <w:r>
        <w:rPr/>
        <w:t>group.</w:t>
      </w:r>
      <w:r>
        <w:rPr>
          <w:spacing w:val="-8"/>
        </w:rPr>
        <w:t> </w:t>
      </w:r>
      <w:r>
        <w:rPr/>
        <w:t>In</w:t>
      </w:r>
      <w:r>
        <w:rPr>
          <w:spacing w:val="-12"/>
        </w:rPr>
        <w:t> </w:t>
      </w:r>
      <w:r>
        <w:rPr/>
        <w:t>addition,</w:t>
      </w:r>
      <w:r>
        <w:rPr>
          <w:spacing w:val="-9"/>
        </w:rPr>
        <w:t> </w:t>
      </w:r>
      <w:r>
        <w:rPr/>
        <w:t>significant</w:t>
      </w:r>
      <w:r>
        <w:rPr>
          <w:spacing w:val="-11"/>
        </w:rPr>
        <w:t> </w:t>
      </w:r>
      <w:r>
        <w:rPr/>
        <w:t>pain</w:t>
      </w:r>
      <w:r>
        <w:rPr>
          <w:spacing w:val="-9"/>
        </w:rPr>
        <w:t> </w:t>
      </w:r>
      <w:r>
        <w:rPr/>
        <w:t>reduction and functional improvement were</w:t>
      </w:r>
      <w:r>
        <w:rPr>
          <w:spacing w:val="-1"/>
        </w:rPr>
        <w:t> </w:t>
      </w:r>
      <w:r>
        <w:rPr/>
        <w:t>observed.</w:t>
      </w:r>
      <w:r>
        <w:rPr>
          <w:position w:val="9"/>
          <w:sz w:val="25"/>
        </w:rPr>
        <w:t>335</w:t>
      </w:r>
    </w:p>
    <w:p>
      <w:pPr>
        <w:pStyle w:val="Heading1"/>
        <w:spacing w:before="221"/>
        <w:jc w:val="both"/>
      </w:pPr>
      <w:r>
        <w:rPr/>
        <w:t>Glucosamine</w:t>
      </w:r>
      <w:r>
        <w:rPr>
          <w:spacing w:val="-45"/>
        </w:rPr>
        <w:t> </w:t>
      </w:r>
      <w:r>
        <w:rPr/>
        <w:t>more</w:t>
      </w:r>
      <w:r>
        <w:rPr>
          <w:spacing w:val="-46"/>
        </w:rPr>
        <w:t> </w:t>
      </w:r>
      <w:r>
        <w:rPr/>
        <w:t>successful</w:t>
      </w:r>
      <w:r>
        <w:rPr>
          <w:spacing w:val="-46"/>
        </w:rPr>
        <w:t> </w:t>
      </w:r>
      <w:r>
        <w:rPr/>
        <w:t>than</w:t>
      </w:r>
      <w:r>
        <w:rPr>
          <w:spacing w:val="-45"/>
        </w:rPr>
        <w:t> </w:t>
      </w:r>
      <w:r>
        <w:rPr/>
        <w:t>conventional</w:t>
      </w:r>
      <w:r>
        <w:rPr>
          <w:spacing w:val="-45"/>
        </w:rPr>
        <w:t> </w:t>
      </w:r>
      <w:r>
        <w:rPr/>
        <w:t>analgesic</w:t>
      </w:r>
      <w:r>
        <w:rPr>
          <w:spacing w:val="-46"/>
        </w:rPr>
        <w:t> </w:t>
      </w:r>
      <w:r>
        <w:rPr/>
        <w:t>in</w:t>
      </w:r>
      <w:r>
        <w:rPr>
          <w:spacing w:val="-46"/>
        </w:rPr>
        <w:t> </w:t>
      </w:r>
      <w:r>
        <w:rPr/>
        <w:t>studies</w:t>
      </w:r>
      <w:r>
        <w:rPr>
          <w:spacing w:val="-46"/>
        </w:rPr>
        <w:t> </w:t>
      </w:r>
      <w:r>
        <w:rPr/>
        <w:t>of</w:t>
      </w:r>
    </w:p>
    <w:p>
      <w:pPr>
        <w:pStyle w:val="BodyText"/>
        <w:rPr>
          <w:b/>
          <w:i/>
          <w:sz w:val="20"/>
        </w:rPr>
      </w:pPr>
    </w:p>
    <w:p>
      <w:pPr>
        <w:pStyle w:val="BodyText"/>
        <w:rPr>
          <w:b/>
          <w:i/>
          <w:sz w:val="20"/>
        </w:rPr>
      </w:pPr>
    </w:p>
    <w:p>
      <w:pPr>
        <w:pStyle w:val="BodyText"/>
        <w:spacing w:before="5"/>
        <w:rPr>
          <w:b/>
          <w:i/>
          <w:sz w:val="22"/>
        </w:rPr>
      </w:pPr>
      <w:r>
        <w:rPr/>
        <w:pict>
          <v:line style="position:absolute;mso-position-horizontal-relative:page;mso-position-vertical-relative:paragraph;z-index:3824;mso-wrap-distance-left:0;mso-wrap-distance-right:0" from="63.863998pt,15.01955pt" to="207.883998pt,15.01955pt" stroked="true" strokeweight=".72003pt" strokecolor="#000000">
            <v:stroke dashstyle="solid"/>
            <w10:wrap type="topAndBottom"/>
          </v:line>
        </w:pict>
      </w:r>
    </w:p>
    <w:p>
      <w:pPr>
        <w:pStyle w:val="BodyText"/>
        <w:spacing w:before="7"/>
        <w:rPr>
          <w:b/>
          <w:i/>
          <w:sz w:val="18"/>
        </w:rPr>
      </w:pPr>
    </w:p>
    <w:p>
      <w:pPr>
        <w:spacing w:before="99"/>
        <w:ind w:left="477" w:right="0" w:firstLine="0"/>
        <w:jc w:val="left"/>
        <w:rPr>
          <w:sz w:val="20"/>
        </w:rPr>
      </w:pPr>
      <w:r>
        <w:rPr>
          <w:position w:val="5"/>
          <w:sz w:val="13"/>
        </w:rPr>
        <w:t>334 </w:t>
      </w:r>
      <w:r>
        <w:rPr>
          <w:sz w:val="20"/>
        </w:rPr>
        <w:t>Pavelka K. et al., Arch Intern Med 2002, 162, p. 2113-2123</w:t>
      </w:r>
    </w:p>
    <w:p>
      <w:pPr>
        <w:spacing w:line="276" w:lineRule="auto" w:before="92"/>
        <w:ind w:left="477" w:right="318" w:firstLine="0"/>
        <w:jc w:val="left"/>
        <w:rPr>
          <w:sz w:val="20"/>
        </w:rPr>
      </w:pPr>
      <w:r>
        <w:rPr>
          <w:position w:val="5"/>
          <w:sz w:val="13"/>
        </w:rPr>
        <w:t>335 </w:t>
      </w:r>
      <w:r>
        <w:rPr>
          <w:sz w:val="20"/>
        </w:rPr>
        <w:t>Source: Press Conference of the company Opfermann Arzneimittel on the topic ‘Arthrosis and its consequences - experts evaluate glucosamine’ Baden-Baden, 1 May 2008 (Adlexis) (tB).</w:t>
      </w:r>
    </w:p>
    <w:p>
      <w:pPr>
        <w:spacing w:after="0" w:line="276" w:lineRule="auto"/>
        <w:jc w:val="left"/>
        <w:rPr>
          <w:sz w:val="20"/>
        </w:rPr>
        <w:sectPr>
          <w:type w:val="continuous"/>
          <w:pgSz w:w="14270" w:h="16850"/>
          <w:pgMar w:top="1340" w:bottom="280" w:left="800" w:right="1280"/>
        </w:sectPr>
      </w:pPr>
    </w:p>
    <w:p>
      <w:pPr>
        <w:pStyle w:val="Heading1"/>
        <w:spacing w:before="164"/>
      </w:pPr>
      <w:r>
        <w:rPr/>
        <w:t>arthrosis pain</w:t>
      </w:r>
    </w:p>
    <w:p>
      <w:pPr>
        <w:pStyle w:val="BodyText"/>
        <w:spacing w:line="276" w:lineRule="auto" w:before="299"/>
        <w:ind w:left="477" w:right="137"/>
        <w:jc w:val="both"/>
        <w:rPr>
          <w:sz w:val="25"/>
        </w:rPr>
      </w:pPr>
      <w:r>
        <w:rPr/>
        <w:t>A</w:t>
      </w:r>
      <w:r>
        <w:rPr>
          <w:spacing w:val="-14"/>
        </w:rPr>
        <w:t> </w:t>
      </w:r>
      <w:r>
        <w:rPr/>
        <w:t>Spanish-Portuguese</w:t>
      </w:r>
      <w:r>
        <w:rPr>
          <w:spacing w:val="-13"/>
        </w:rPr>
        <w:t> </w:t>
      </w:r>
      <w:r>
        <w:rPr/>
        <w:t>study</w:t>
      </w:r>
      <w:r>
        <w:rPr>
          <w:spacing w:val="-14"/>
        </w:rPr>
        <w:t> </w:t>
      </w:r>
      <w:r>
        <w:rPr/>
        <w:t>on</w:t>
      </w:r>
      <w:r>
        <w:rPr>
          <w:spacing w:val="-15"/>
        </w:rPr>
        <w:t> </w:t>
      </w:r>
      <w:r>
        <w:rPr/>
        <w:t>318</w:t>
      </w:r>
      <w:r>
        <w:rPr>
          <w:spacing w:val="-14"/>
        </w:rPr>
        <w:t> </w:t>
      </w:r>
      <w:r>
        <w:rPr/>
        <w:t>arthrosis</w:t>
      </w:r>
      <w:r>
        <w:rPr>
          <w:spacing w:val="-15"/>
        </w:rPr>
        <w:t> </w:t>
      </w:r>
      <w:r>
        <w:rPr/>
        <w:t>patients</w:t>
      </w:r>
      <w:r>
        <w:rPr>
          <w:spacing w:val="-13"/>
        </w:rPr>
        <w:t> </w:t>
      </w:r>
      <w:r>
        <w:rPr/>
        <w:t>showed</w:t>
      </w:r>
      <w:r>
        <w:rPr>
          <w:spacing w:val="-14"/>
        </w:rPr>
        <w:t> </w:t>
      </w:r>
      <w:r>
        <w:rPr/>
        <w:t>that</w:t>
      </w:r>
      <w:r>
        <w:rPr>
          <w:spacing w:val="-14"/>
        </w:rPr>
        <w:t> </w:t>
      </w:r>
      <w:r>
        <w:rPr/>
        <w:t>glucosamine produced</w:t>
      </w:r>
      <w:r>
        <w:rPr>
          <w:spacing w:val="-15"/>
        </w:rPr>
        <w:t> </w:t>
      </w:r>
      <w:r>
        <w:rPr/>
        <w:t>better</w:t>
      </w:r>
      <w:r>
        <w:rPr>
          <w:spacing w:val="-16"/>
        </w:rPr>
        <w:t> </w:t>
      </w:r>
      <w:r>
        <w:rPr/>
        <w:t>results</w:t>
      </w:r>
      <w:r>
        <w:rPr>
          <w:spacing w:val="-15"/>
        </w:rPr>
        <w:t> </w:t>
      </w:r>
      <w:r>
        <w:rPr/>
        <w:t>than</w:t>
      </w:r>
      <w:r>
        <w:rPr>
          <w:spacing w:val="-13"/>
        </w:rPr>
        <w:t> </w:t>
      </w:r>
      <w:r>
        <w:rPr/>
        <w:t>acetaminophen</w:t>
      </w:r>
      <w:r>
        <w:rPr>
          <w:spacing w:val="-13"/>
        </w:rPr>
        <w:t> </w:t>
      </w:r>
      <w:r>
        <w:rPr/>
        <w:t>(paracetamol)</w:t>
      </w:r>
      <w:r>
        <w:rPr>
          <w:spacing w:val="-15"/>
        </w:rPr>
        <w:t> </w:t>
      </w:r>
      <w:r>
        <w:rPr/>
        <w:t>after</w:t>
      </w:r>
      <w:r>
        <w:rPr>
          <w:spacing w:val="-14"/>
        </w:rPr>
        <w:t> </w:t>
      </w:r>
      <w:r>
        <w:rPr/>
        <w:t>the</w:t>
      </w:r>
      <w:r>
        <w:rPr>
          <w:spacing w:val="-14"/>
        </w:rPr>
        <w:t> </w:t>
      </w:r>
      <w:r>
        <w:rPr/>
        <w:t>daily</w:t>
      </w:r>
      <w:r>
        <w:rPr>
          <w:spacing w:val="-13"/>
        </w:rPr>
        <w:t> </w:t>
      </w:r>
      <w:r>
        <w:rPr/>
        <w:t>intake of</w:t>
      </w:r>
      <w:r>
        <w:rPr>
          <w:spacing w:val="-20"/>
        </w:rPr>
        <w:t> </w:t>
      </w:r>
      <w:r>
        <w:rPr/>
        <w:t>a</w:t>
      </w:r>
      <w:r>
        <w:rPr>
          <w:spacing w:val="-20"/>
        </w:rPr>
        <w:t> </w:t>
      </w:r>
      <w:r>
        <w:rPr/>
        <w:t>dose</w:t>
      </w:r>
      <w:r>
        <w:rPr>
          <w:spacing w:val="-21"/>
        </w:rPr>
        <w:t> </w:t>
      </w:r>
      <w:r>
        <w:rPr/>
        <w:t>of</w:t>
      </w:r>
      <w:r>
        <w:rPr>
          <w:spacing w:val="-19"/>
        </w:rPr>
        <w:t> </w:t>
      </w:r>
      <w:r>
        <w:rPr/>
        <w:t>1500</w:t>
      </w:r>
      <w:r>
        <w:rPr>
          <w:spacing w:val="-20"/>
        </w:rPr>
        <w:t> </w:t>
      </w:r>
      <w:r>
        <w:rPr/>
        <w:t>mg</w:t>
      </w:r>
      <w:r>
        <w:rPr>
          <w:spacing w:val="-18"/>
        </w:rPr>
        <w:t> </w:t>
      </w:r>
      <w:r>
        <w:rPr/>
        <w:t>over</w:t>
      </w:r>
      <w:r>
        <w:rPr>
          <w:spacing w:val="-18"/>
        </w:rPr>
        <w:t> </w:t>
      </w:r>
      <w:r>
        <w:rPr/>
        <w:t>6</w:t>
      </w:r>
      <w:r>
        <w:rPr>
          <w:spacing w:val="-22"/>
        </w:rPr>
        <w:t> </w:t>
      </w:r>
      <w:r>
        <w:rPr/>
        <w:t>months.</w:t>
      </w:r>
      <w:r>
        <w:rPr>
          <w:spacing w:val="-18"/>
        </w:rPr>
        <w:t> </w:t>
      </w:r>
      <w:r>
        <w:rPr/>
        <w:t>Aside</w:t>
      </w:r>
      <w:r>
        <w:rPr>
          <w:spacing w:val="-19"/>
        </w:rPr>
        <w:t> </w:t>
      </w:r>
      <w:r>
        <w:rPr/>
        <w:t>from</w:t>
      </w:r>
      <w:r>
        <w:rPr>
          <w:spacing w:val="-21"/>
        </w:rPr>
        <w:t> </w:t>
      </w:r>
      <w:r>
        <w:rPr/>
        <w:t>resulting</w:t>
      </w:r>
      <w:r>
        <w:rPr>
          <w:spacing w:val="-19"/>
        </w:rPr>
        <w:t> </w:t>
      </w:r>
      <w:r>
        <w:rPr/>
        <w:t>in</w:t>
      </w:r>
      <w:r>
        <w:rPr>
          <w:spacing w:val="-19"/>
        </w:rPr>
        <w:t> </w:t>
      </w:r>
      <w:r>
        <w:rPr/>
        <w:t>better</w:t>
      </w:r>
      <w:r>
        <w:rPr>
          <w:spacing w:val="-18"/>
        </w:rPr>
        <w:t> </w:t>
      </w:r>
      <w:r>
        <w:rPr/>
        <w:t>anti-arthritic activity, glucosamine has been shown to improve patient mobility, as might be expected.</w:t>
      </w:r>
      <w:r>
        <w:rPr>
          <w:position w:val="9"/>
          <w:sz w:val="25"/>
        </w:rPr>
        <w:t>336</w:t>
      </w:r>
    </w:p>
    <w:p>
      <w:pPr>
        <w:pStyle w:val="Heading1"/>
        <w:spacing w:before="223"/>
      </w:pPr>
      <w:r>
        <w:rPr/>
        <w:t>Does glucosamine only have an effect on knee arthrosis?</w:t>
      </w:r>
    </w:p>
    <w:p>
      <w:pPr>
        <w:pStyle w:val="BodyText"/>
        <w:spacing w:line="276" w:lineRule="auto" w:before="299"/>
        <w:ind w:left="477" w:right="134"/>
        <w:jc w:val="both"/>
      </w:pPr>
      <w:r>
        <w:rPr/>
        <w:t>This</w:t>
      </w:r>
      <w:r>
        <w:rPr>
          <w:spacing w:val="-7"/>
        </w:rPr>
        <w:t> </w:t>
      </w:r>
      <w:r>
        <w:rPr/>
        <w:t>is</w:t>
      </w:r>
      <w:r>
        <w:rPr>
          <w:spacing w:val="-10"/>
        </w:rPr>
        <w:t> </w:t>
      </w:r>
      <w:r>
        <w:rPr/>
        <w:t>a</w:t>
      </w:r>
      <w:r>
        <w:rPr>
          <w:spacing w:val="-9"/>
        </w:rPr>
        <w:t> </w:t>
      </w:r>
      <w:r>
        <w:rPr/>
        <w:t>question</w:t>
      </w:r>
      <w:r>
        <w:rPr>
          <w:spacing w:val="-8"/>
        </w:rPr>
        <w:t> </w:t>
      </w:r>
      <w:r>
        <w:rPr/>
        <w:t>that</w:t>
      </w:r>
      <w:r>
        <w:rPr>
          <w:spacing w:val="-7"/>
        </w:rPr>
        <w:t> </w:t>
      </w:r>
      <w:r>
        <w:rPr/>
        <w:t>is</w:t>
      </w:r>
      <w:r>
        <w:rPr>
          <w:spacing w:val="-10"/>
        </w:rPr>
        <w:t> </w:t>
      </w:r>
      <w:r>
        <w:rPr/>
        <w:t>asked</w:t>
      </w:r>
      <w:r>
        <w:rPr>
          <w:spacing w:val="-10"/>
        </w:rPr>
        <w:t> </w:t>
      </w:r>
      <w:r>
        <w:rPr/>
        <w:t>again</w:t>
      </w:r>
      <w:r>
        <w:rPr>
          <w:spacing w:val="-8"/>
        </w:rPr>
        <w:t> </w:t>
      </w:r>
      <w:r>
        <w:rPr/>
        <w:t>and</w:t>
      </w:r>
      <w:r>
        <w:rPr>
          <w:spacing w:val="-7"/>
        </w:rPr>
        <w:t> </w:t>
      </w:r>
      <w:r>
        <w:rPr/>
        <w:t>again</w:t>
      </w:r>
      <w:r>
        <w:rPr>
          <w:spacing w:val="-8"/>
        </w:rPr>
        <w:t> </w:t>
      </w:r>
      <w:r>
        <w:rPr/>
        <w:t>and</w:t>
      </w:r>
      <w:r>
        <w:rPr>
          <w:spacing w:val="-8"/>
        </w:rPr>
        <w:t> </w:t>
      </w:r>
      <w:r>
        <w:rPr/>
        <w:t>probably</w:t>
      </w:r>
      <w:r>
        <w:rPr>
          <w:spacing w:val="-8"/>
        </w:rPr>
        <w:t> </w:t>
      </w:r>
      <w:r>
        <w:rPr/>
        <w:t>only</w:t>
      </w:r>
      <w:r>
        <w:rPr>
          <w:spacing w:val="-7"/>
        </w:rPr>
        <w:t> </w:t>
      </w:r>
      <w:r>
        <w:rPr/>
        <w:t>because</w:t>
      </w:r>
      <w:r>
        <w:rPr>
          <w:spacing w:val="-8"/>
        </w:rPr>
        <w:t> </w:t>
      </w:r>
      <w:r>
        <w:rPr/>
        <w:t>most studies</w:t>
      </w:r>
      <w:r>
        <w:rPr>
          <w:spacing w:val="-20"/>
        </w:rPr>
        <w:t> </w:t>
      </w:r>
      <w:r>
        <w:rPr/>
        <w:t>on</w:t>
      </w:r>
      <w:r>
        <w:rPr>
          <w:spacing w:val="-18"/>
        </w:rPr>
        <w:t> </w:t>
      </w:r>
      <w:r>
        <w:rPr/>
        <w:t>glucosamine</w:t>
      </w:r>
      <w:r>
        <w:rPr>
          <w:spacing w:val="-19"/>
        </w:rPr>
        <w:t> </w:t>
      </w:r>
      <w:r>
        <w:rPr/>
        <w:t>have,</w:t>
      </w:r>
      <w:r>
        <w:rPr>
          <w:spacing w:val="-18"/>
        </w:rPr>
        <w:t> </w:t>
      </w:r>
      <w:r>
        <w:rPr/>
        <w:t>by</w:t>
      </w:r>
      <w:r>
        <w:rPr>
          <w:spacing w:val="-19"/>
        </w:rPr>
        <w:t> </w:t>
      </w:r>
      <w:r>
        <w:rPr/>
        <w:t>coincidence,</w:t>
      </w:r>
      <w:r>
        <w:rPr>
          <w:spacing w:val="-19"/>
        </w:rPr>
        <w:t> </w:t>
      </w:r>
      <w:r>
        <w:rPr/>
        <w:t>been</w:t>
      </w:r>
      <w:r>
        <w:rPr>
          <w:spacing w:val="-18"/>
        </w:rPr>
        <w:t> </w:t>
      </w:r>
      <w:r>
        <w:rPr/>
        <w:t>performed</w:t>
      </w:r>
      <w:r>
        <w:rPr>
          <w:spacing w:val="-19"/>
        </w:rPr>
        <w:t> </w:t>
      </w:r>
      <w:r>
        <w:rPr/>
        <w:t>on</w:t>
      </w:r>
      <w:r>
        <w:rPr>
          <w:spacing w:val="-20"/>
        </w:rPr>
        <w:t> </w:t>
      </w:r>
      <w:r>
        <w:rPr/>
        <w:t>knee</w:t>
      </w:r>
      <w:r>
        <w:rPr>
          <w:spacing w:val="-18"/>
        </w:rPr>
        <w:t> </w:t>
      </w:r>
      <w:r>
        <w:rPr/>
        <w:t>arthrosis patients.</w:t>
      </w:r>
    </w:p>
    <w:p>
      <w:pPr>
        <w:pStyle w:val="BodyText"/>
        <w:spacing w:line="276" w:lineRule="auto" w:before="242"/>
        <w:ind w:left="477" w:right="132"/>
        <w:jc w:val="both"/>
      </w:pPr>
      <w:r>
        <w:rPr/>
        <w:t>It is idle and almost grotesque to debate whether an active ingredient, which is orally</w:t>
      </w:r>
      <w:r>
        <w:rPr>
          <w:spacing w:val="-12"/>
        </w:rPr>
        <w:t> </w:t>
      </w:r>
      <w:r>
        <w:rPr/>
        <w:t>administered</w:t>
      </w:r>
      <w:r>
        <w:rPr>
          <w:spacing w:val="-12"/>
        </w:rPr>
        <w:t> </w:t>
      </w:r>
      <w:r>
        <w:rPr/>
        <w:t>and</w:t>
      </w:r>
      <w:r>
        <w:rPr>
          <w:spacing w:val="-12"/>
        </w:rPr>
        <w:t> </w:t>
      </w:r>
      <w:r>
        <w:rPr/>
        <w:t>distributed</w:t>
      </w:r>
      <w:r>
        <w:rPr>
          <w:spacing w:val="-12"/>
        </w:rPr>
        <w:t> </w:t>
      </w:r>
      <w:r>
        <w:rPr/>
        <w:t>throughout</w:t>
      </w:r>
      <w:r>
        <w:rPr>
          <w:spacing w:val="-14"/>
        </w:rPr>
        <w:t> </w:t>
      </w:r>
      <w:r>
        <w:rPr/>
        <w:t>the</w:t>
      </w:r>
      <w:r>
        <w:rPr>
          <w:spacing w:val="-12"/>
        </w:rPr>
        <w:t> </w:t>
      </w:r>
      <w:r>
        <w:rPr/>
        <w:t>body,</w:t>
      </w:r>
      <w:r>
        <w:rPr>
          <w:spacing w:val="-13"/>
        </w:rPr>
        <w:t> </w:t>
      </w:r>
      <w:r>
        <w:rPr/>
        <w:t>only</w:t>
      </w:r>
      <w:r>
        <w:rPr>
          <w:spacing w:val="-16"/>
        </w:rPr>
        <w:t> </w:t>
      </w:r>
      <w:r>
        <w:rPr/>
        <w:t>has</w:t>
      </w:r>
      <w:r>
        <w:rPr>
          <w:spacing w:val="-14"/>
        </w:rPr>
        <w:t> </w:t>
      </w:r>
      <w:r>
        <w:rPr/>
        <w:t>a</w:t>
      </w:r>
      <w:r>
        <w:rPr>
          <w:spacing w:val="-14"/>
        </w:rPr>
        <w:t> </w:t>
      </w:r>
      <w:r>
        <w:rPr/>
        <w:t>local</w:t>
      </w:r>
      <w:r>
        <w:rPr>
          <w:spacing w:val="-13"/>
        </w:rPr>
        <w:t> </w:t>
      </w:r>
      <w:r>
        <w:rPr/>
        <w:t>effect, in</w:t>
      </w:r>
      <w:r>
        <w:rPr>
          <w:spacing w:val="-9"/>
        </w:rPr>
        <w:t> </w:t>
      </w:r>
      <w:r>
        <w:rPr/>
        <w:t>a</w:t>
      </w:r>
      <w:r>
        <w:rPr>
          <w:spacing w:val="-10"/>
        </w:rPr>
        <w:t> </w:t>
      </w:r>
      <w:r>
        <w:rPr/>
        <w:t>particular</w:t>
      </w:r>
      <w:r>
        <w:rPr>
          <w:spacing w:val="-8"/>
        </w:rPr>
        <w:t> </w:t>
      </w:r>
      <w:r>
        <w:rPr/>
        <w:t>place.</w:t>
      </w:r>
      <w:r>
        <w:rPr>
          <w:spacing w:val="-8"/>
        </w:rPr>
        <w:t> </w:t>
      </w:r>
      <w:r>
        <w:rPr/>
        <w:t>It</w:t>
      </w:r>
      <w:r>
        <w:rPr>
          <w:spacing w:val="-9"/>
        </w:rPr>
        <w:t> </w:t>
      </w:r>
      <w:r>
        <w:rPr/>
        <w:t>would</w:t>
      </w:r>
      <w:r>
        <w:rPr>
          <w:spacing w:val="-10"/>
        </w:rPr>
        <w:t> </w:t>
      </w:r>
      <w:r>
        <w:rPr/>
        <w:t>be</w:t>
      </w:r>
      <w:r>
        <w:rPr>
          <w:spacing w:val="-5"/>
        </w:rPr>
        <w:t> </w:t>
      </w:r>
      <w:r>
        <w:rPr/>
        <w:t>as</w:t>
      </w:r>
      <w:r>
        <w:rPr>
          <w:spacing w:val="-10"/>
        </w:rPr>
        <w:t> </w:t>
      </w:r>
      <w:r>
        <w:rPr/>
        <w:t>if</w:t>
      </w:r>
      <w:r>
        <w:rPr>
          <w:spacing w:val="-10"/>
        </w:rPr>
        <w:t> </w:t>
      </w:r>
      <w:r>
        <w:rPr/>
        <w:t>a</w:t>
      </w:r>
      <w:r>
        <w:rPr>
          <w:spacing w:val="-9"/>
        </w:rPr>
        <w:t> </w:t>
      </w:r>
      <w:r>
        <w:rPr/>
        <w:t>strength</w:t>
      </w:r>
      <w:r>
        <w:rPr>
          <w:spacing w:val="-9"/>
        </w:rPr>
        <w:t> </w:t>
      </w:r>
      <w:r>
        <w:rPr/>
        <w:t>athlete</w:t>
      </w:r>
      <w:r>
        <w:rPr>
          <w:spacing w:val="-9"/>
        </w:rPr>
        <w:t> </w:t>
      </w:r>
      <w:r>
        <w:rPr/>
        <w:t>took</w:t>
      </w:r>
      <w:r>
        <w:rPr>
          <w:spacing w:val="-10"/>
        </w:rPr>
        <w:t> </w:t>
      </w:r>
      <w:r>
        <w:rPr/>
        <w:t>a</w:t>
      </w:r>
      <w:r>
        <w:rPr>
          <w:spacing w:val="-9"/>
        </w:rPr>
        <w:t> </w:t>
      </w:r>
      <w:r>
        <w:rPr/>
        <w:t>particular</w:t>
      </w:r>
      <w:r>
        <w:rPr>
          <w:spacing w:val="-9"/>
        </w:rPr>
        <w:t> </w:t>
      </w:r>
      <w:r>
        <w:rPr/>
        <w:t>type</w:t>
      </w:r>
      <w:r>
        <w:rPr>
          <w:spacing w:val="-8"/>
        </w:rPr>
        <w:t> </w:t>
      </w:r>
      <w:r>
        <w:rPr/>
        <w:t>of protein and only their biceps grew, while all other muscle groups stayed the same size. Of course, it is in the interest of certain groups to assert this – after all, they don’t want to be knocked off their</w:t>
      </w:r>
      <w:r>
        <w:rPr>
          <w:spacing w:val="2"/>
        </w:rPr>
        <w:t> </w:t>
      </w:r>
      <w:r>
        <w:rPr/>
        <w:t>perch...</w:t>
      </w:r>
    </w:p>
    <w:p>
      <w:pPr>
        <w:pStyle w:val="Heading1"/>
        <w:spacing w:before="223"/>
      </w:pPr>
      <w:r>
        <w:rPr/>
        <w:t>Bioavailability of glucosamine confirmed in studies</w:t>
      </w:r>
    </w:p>
    <w:p>
      <w:pPr>
        <w:pStyle w:val="BodyText"/>
        <w:spacing w:line="276" w:lineRule="auto" w:before="179"/>
        <w:ind w:left="477" w:right="143"/>
        <w:jc w:val="both"/>
      </w:pPr>
      <w:r>
        <w:rPr/>
        <w:t>Radioactively marking glucosamine made it possible to test the bioavailability of glucosamine after parenteral or oral administration, whereby the uptake and transport of glucosamine to articular cartilage could also be reliably</w:t>
      </w:r>
      <w:r>
        <w:rPr>
          <w:spacing w:val="-42"/>
        </w:rPr>
        <w:t> </w:t>
      </w:r>
      <w:r>
        <w:rPr/>
        <w:t>monitored.</w:t>
      </w:r>
    </w:p>
    <w:p>
      <w:pPr>
        <w:pStyle w:val="BodyText"/>
        <w:rPr>
          <w:sz w:val="20"/>
        </w:rPr>
      </w:pPr>
    </w:p>
    <w:p>
      <w:pPr>
        <w:pStyle w:val="BodyText"/>
        <w:spacing w:before="8"/>
        <w:rPr>
          <w:sz w:val="15"/>
        </w:rPr>
      </w:pPr>
      <w:r>
        <w:rPr/>
        <w:pict>
          <v:line style="position:absolute;mso-position-horizontal-relative:page;mso-position-vertical-relative:paragraph;z-index:3848;mso-wrap-distance-left:0;mso-wrap-distance-right:0" from="63.863998pt,11.218765pt" to="207.883998pt,11.218765pt" stroked="true" strokeweight=".71997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336</w:t>
      </w:r>
      <w:r>
        <w:rPr>
          <w:spacing w:val="13"/>
          <w:position w:val="5"/>
          <w:sz w:val="13"/>
        </w:rPr>
        <w:t> </w:t>
      </w:r>
      <w:r>
        <w:rPr>
          <w:sz w:val="20"/>
        </w:rPr>
        <w:t>G.</w:t>
      </w:r>
      <w:r>
        <w:rPr>
          <w:spacing w:val="-3"/>
          <w:sz w:val="20"/>
        </w:rPr>
        <w:t> </w:t>
      </w:r>
      <w:r>
        <w:rPr>
          <w:sz w:val="20"/>
        </w:rPr>
        <w:t>Herrero-Beaumont</w:t>
      </w:r>
      <w:r>
        <w:rPr>
          <w:spacing w:val="-3"/>
          <w:sz w:val="20"/>
        </w:rPr>
        <w:t> </w:t>
      </w:r>
      <w:r>
        <w:rPr>
          <w:sz w:val="20"/>
        </w:rPr>
        <w:t>et</w:t>
      </w:r>
      <w:r>
        <w:rPr>
          <w:spacing w:val="-2"/>
          <w:sz w:val="20"/>
        </w:rPr>
        <w:t> </w:t>
      </w:r>
      <w:r>
        <w:rPr>
          <w:sz w:val="20"/>
        </w:rPr>
        <w:t>al.:</w:t>
      </w:r>
      <w:r>
        <w:rPr>
          <w:spacing w:val="-2"/>
          <w:sz w:val="20"/>
        </w:rPr>
        <w:t> </w:t>
      </w:r>
      <w:r>
        <w:rPr>
          <w:sz w:val="20"/>
        </w:rPr>
        <w:t>Effects</w:t>
      </w:r>
      <w:r>
        <w:rPr>
          <w:spacing w:val="-4"/>
          <w:sz w:val="20"/>
        </w:rPr>
        <w:t> </w:t>
      </w:r>
      <w:r>
        <w:rPr>
          <w:sz w:val="20"/>
        </w:rPr>
        <w:t>of</w:t>
      </w:r>
      <w:r>
        <w:rPr>
          <w:spacing w:val="-2"/>
          <w:sz w:val="20"/>
        </w:rPr>
        <w:t> </w:t>
      </w:r>
      <w:r>
        <w:rPr>
          <w:sz w:val="20"/>
        </w:rPr>
        <w:t>Glucosamine</w:t>
      </w:r>
      <w:r>
        <w:rPr>
          <w:spacing w:val="-2"/>
          <w:sz w:val="20"/>
        </w:rPr>
        <w:t> </w:t>
      </w:r>
      <w:r>
        <w:rPr>
          <w:sz w:val="20"/>
        </w:rPr>
        <w:t>Sulphate on</w:t>
      </w:r>
      <w:r>
        <w:rPr>
          <w:spacing w:val="-4"/>
          <w:sz w:val="20"/>
        </w:rPr>
        <w:t> </w:t>
      </w:r>
      <w:r>
        <w:rPr>
          <w:sz w:val="20"/>
        </w:rPr>
        <w:t>6-Month</w:t>
      </w:r>
      <w:r>
        <w:rPr>
          <w:spacing w:val="-5"/>
          <w:sz w:val="20"/>
        </w:rPr>
        <w:t> </w:t>
      </w:r>
      <w:r>
        <w:rPr>
          <w:sz w:val="20"/>
        </w:rPr>
        <w:t>Control</w:t>
      </w:r>
      <w:r>
        <w:rPr>
          <w:spacing w:val="-3"/>
          <w:sz w:val="20"/>
        </w:rPr>
        <w:t> </w:t>
      </w:r>
      <w:r>
        <w:rPr>
          <w:sz w:val="20"/>
        </w:rPr>
        <w:t>of</w:t>
      </w:r>
      <w:r>
        <w:rPr>
          <w:spacing w:val="-3"/>
          <w:sz w:val="20"/>
        </w:rPr>
        <w:t> </w:t>
      </w:r>
      <w:r>
        <w:rPr>
          <w:sz w:val="20"/>
        </w:rPr>
        <w:t>Knee</w:t>
      </w:r>
      <w:r>
        <w:rPr>
          <w:spacing w:val="-1"/>
          <w:sz w:val="20"/>
        </w:rPr>
        <w:t> </w:t>
      </w:r>
      <w:r>
        <w:rPr>
          <w:sz w:val="20"/>
        </w:rPr>
        <w:t>Arthrosis</w:t>
      </w:r>
      <w:r>
        <w:rPr>
          <w:spacing w:val="-4"/>
          <w:sz w:val="20"/>
        </w:rPr>
        <w:t> </w:t>
      </w:r>
      <w:r>
        <w:rPr>
          <w:sz w:val="20"/>
        </w:rPr>
        <w:t>Symptoms</w:t>
      </w:r>
      <w:r>
        <w:rPr>
          <w:spacing w:val="-3"/>
          <w:sz w:val="20"/>
        </w:rPr>
        <w:t> </w:t>
      </w:r>
      <w:r>
        <w:rPr>
          <w:sz w:val="20"/>
        </w:rPr>
        <w:t>vs</w:t>
      </w:r>
      <w:r>
        <w:rPr>
          <w:spacing w:val="-4"/>
          <w:sz w:val="20"/>
        </w:rPr>
        <w:t> </w:t>
      </w:r>
      <w:r>
        <w:rPr>
          <w:sz w:val="20"/>
        </w:rPr>
        <w:t>Placebo</w:t>
      </w:r>
      <w:r>
        <w:rPr>
          <w:spacing w:val="-4"/>
          <w:sz w:val="20"/>
        </w:rPr>
        <w:t> </w:t>
      </w:r>
      <w:r>
        <w:rPr>
          <w:sz w:val="20"/>
        </w:rPr>
        <w:t>and</w:t>
      </w:r>
      <w:r>
        <w:rPr>
          <w:spacing w:val="-1"/>
          <w:sz w:val="20"/>
        </w:rPr>
        <w:t> </w:t>
      </w:r>
      <w:r>
        <w:rPr>
          <w:sz w:val="20"/>
        </w:rPr>
        <w:t>Acetaminophen.</w:t>
      </w:r>
    </w:p>
    <w:p>
      <w:pPr>
        <w:spacing w:after="0"/>
        <w:jc w:val="left"/>
        <w:rPr>
          <w:sz w:val="20"/>
        </w:rPr>
        <w:sectPr>
          <w:pgSz w:w="14270" w:h="16850"/>
          <w:pgMar w:header="0" w:footer="1891" w:top="1600" w:bottom="2080" w:left="800" w:right="1280"/>
        </w:sectPr>
      </w:pPr>
    </w:p>
    <w:p>
      <w:pPr>
        <w:pStyle w:val="BodyText"/>
        <w:spacing w:line="276" w:lineRule="auto" w:before="181"/>
        <w:ind w:left="477" w:right="140"/>
        <w:jc w:val="both"/>
        <w:rPr>
          <w:sz w:val="25"/>
        </w:rPr>
      </w:pPr>
      <w:r>
        <w:rPr/>
        <w:t>Evidence has been provided that glucosamine taken orally or parenterally has good bioavailability and is preferentially incorporated into articular cartilage.</w:t>
      </w:r>
      <w:r>
        <w:rPr>
          <w:position w:val="9"/>
          <w:sz w:val="25"/>
        </w:rPr>
        <w:t>337</w:t>
      </w:r>
    </w:p>
    <w:p>
      <w:pPr>
        <w:pStyle w:val="Heading1"/>
      </w:pPr>
      <w:r>
        <w:rPr/>
        <w:t>Tolerability of glucosamine confirmed in</w:t>
      </w:r>
      <w:r>
        <w:rPr>
          <w:spacing w:val="-72"/>
        </w:rPr>
        <w:t> </w:t>
      </w:r>
      <w:r>
        <w:rPr/>
        <w:t>studies</w:t>
      </w:r>
    </w:p>
    <w:p>
      <w:pPr>
        <w:pStyle w:val="BodyText"/>
        <w:spacing w:line="276" w:lineRule="auto" w:before="299"/>
        <w:ind w:left="477" w:right="136"/>
        <w:jc w:val="both"/>
        <w:rPr>
          <w:sz w:val="25"/>
        </w:rPr>
      </w:pPr>
      <w:r>
        <w:rPr/>
        <w:t>Studies have shown that glucosamine has comparable tolerability to placebo (a dummy treatment) and is significantly better tolerated than conventional drugs for joint wear.</w:t>
      </w:r>
      <w:r>
        <w:rPr>
          <w:position w:val="9"/>
          <w:sz w:val="25"/>
        </w:rPr>
        <w:t>338</w:t>
      </w:r>
    </w:p>
    <w:p>
      <w:pPr>
        <w:pStyle w:val="BodyText"/>
        <w:rPr>
          <w:sz w:val="42"/>
        </w:rPr>
      </w:pPr>
    </w:p>
    <w:p>
      <w:pPr>
        <w:pStyle w:val="BodyText"/>
        <w:spacing w:before="8"/>
        <w:rPr>
          <w:sz w:val="40"/>
        </w:rPr>
      </w:pPr>
    </w:p>
    <w:p>
      <w:pPr>
        <w:pStyle w:val="Heading2"/>
      </w:pPr>
      <w:r>
        <w:rPr/>
        <w:t>Studies on chondroitin</w:t>
      </w:r>
    </w:p>
    <w:p>
      <w:pPr>
        <w:spacing w:line="276" w:lineRule="auto" w:before="305"/>
        <w:ind w:left="477" w:right="142" w:firstLine="0"/>
        <w:jc w:val="both"/>
        <w:rPr>
          <w:i/>
          <w:sz w:val="38"/>
        </w:rPr>
      </w:pPr>
      <w:r>
        <w:rPr>
          <w:i/>
          <w:sz w:val="38"/>
        </w:rPr>
        <w:t>In</w:t>
      </w:r>
      <w:r>
        <w:rPr>
          <w:i/>
          <w:spacing w:val="-26"/>
          <w:sz w:val="38"/>
        </w:rPr>
        <w:t> </w:t>
      </w:r>
      <w:r>
        <w:rPr>
          <w:i/>
          <w:sz w:val="38"/>
        </w:rPr>
        <w:t>the</w:t>
      </w:r>
      <w:r>
        <w:rPr>
          <w:i/>
          <w:spacing w:val="-26"/>
          <w:sz w:val="38"/>
        </w:rPr>
        <w:t> </w:t>
      </w:r>
      <w:r>
        <w:rPr>
          <w:i/>
          <w:sz w:val="38"/>
        </w:rPr>
        <w:t>case</w:t>
      </w:r>
      <w:r>
        <w:rPr>
          <w:i/>
          <w:spacing w:val="-27"/>
          <w:sz w:val="38"/>
        </w:rPr>
        <w:t> </w:t>
      </w:r>
      <w:r>
        <w:rPr>
          <w:i/>
          <w:sz w:val="38"/>
        </w:rPr>
        <w:t>of</w:t>
      </w:r>
      <w:r>
        <w:rPr>
          <w:i/>
          <w:spacing w:val="-26"/>
          <w:sz w:val="38"/>
        </w:rPr>
        <w:t> </w:t>
      </w:r>
      <w:r>
        <w:rPr>
          <w:i/>
          <w:sz w:val="38"/>
        </w:rPr>
        <w:t>chondroitin,</w:t>
      </w:r>
      <w:r>
        <w:rPr>
          <w:i/>
          <w:spacing w:val="-25"/>
          <w:sz w:val="38"/>
        </w:rPr>
        <w:t> </w:t>
      </w:r>
      <w:r>
        <w:rPr>
          <w:i/>
          <w:sz w:val="38"/>
        </w:rPr>
        <w:t>numerous</w:t>
      </w:r>
      <w:r>
        <w:rPr>
          <w:i/>
          <w:spacing w:val="-26"/>
          <w:sz w:val="38"/>
        </w:rPr>
        <w:t> </w:t>
      </w:r>
      <w:r>
        <w:rPr>
          <w:i/>
          <w:sz w:val="38"/>
        </w:rPr>
        <w:t>studies</w:t>
      </w:r>
      <w:r>
        <w:rPr>
          <w:i/>
          <w:spacing w:val="-27"/>
          <w:sz w:val="38"/>
        </w:rPr>
        <w:t> </w:t>
      </w:r>
      <w:r>
        <w:rPr>
          <w:i/>
          <w:sz w:val="38"/>
        </w:rPr>
        <w:t>also</w:t>
      </w:r>
      <w:r>
        <w:rPr>
          <w:i/>
          <w:spacing w:val="-26"/>
          <w:sz w:val="38"/>
        </w:rPr>
        <w:t> </w:t>
      </w:r>
      <w:r>
        <w:rPr>
          <w:i/>
          <w:sz w:val="38"/>
        </w:rPr>
        <w:t>provide</w:t>
      </w:r>
      <w:r>
        <w:rPr>
          <w:i/>
          <w:spacing w:val="-28"/>
          <w:sz w:val="38"/>
        </w:rPr>
        <w:t> </w:t>
      </w:r>
      <w:r>
        <w:rPr>
          <w:i/>
          <w:sz w:val="38"/>
        </w:rPr>
        <w:t>proof</w:t>
      </w:r>
      <w:r>
        <w:rPr>
          <w:i/>
          <w:spacing w:val="-25"/>
          <w:sz w:val="38"/>
        </w:rPr>
        <w:t> </w:t>
      </w:r>
      <w:r>
        <w:rPr>
          <w:i/>
          <w:sz w:val="38"/>
        </w:rPr>
        <w:t>of</w:t>
      </w:r>
      <w:r>
        <w:rPr>
          <w:i/>
          <w:spacing w:val="-25"/>
          <w:sz w:val="38"/>
        </w:rPr>
        <w:t> </w:t>
      </w:r>
      <w:r>
        <w:rPr>
          <w:i/>
          <w:sz w:val="38"/>
        </w:rPr>
        <w:t>the</w:t>
      </w:r>
      <w:r>
        <w:rPr>
          <w:i/>
          <w:spacing w:val="-26"/>
          <w:sz w:val="38"/>
        </w:rPr>
        <w:t> </w:t>
      </w:r>
      <w:r>
        <w:rPr>
          <w:i/>
          <w:sz w:val="38"/>
        </w:rPr>
        <w:t>effectiveness</w:t>
      </w:r>
      <w:r>
        <w:rPr>
          <w:i/>
          <w:spacing w:val="-26"/>
          <w:sz w:val="38"/>
        </w:rPr>
        <w:t> </w:t>
      </w:r>
      <w:r>
        <w:rPr>
          <w:i/>
          <w:sz w:val="38"/>
        </w:rPr>
        <w:t>of</w:t>
      </w:r>
      <w:r>
        <w:rPr>
          <w:i/>
          <w:spacing w:val="-26"/>
          <w:sz w:val="38"/>
        </w:rPr>
        <w:t> </w:t>
      </w:r>
      <w:r>
        <w:rPr>
          <w:i/>
          <w:sz w:val="38"/>
        </w:rPr>
        <w:t>this</w:t>
      </w:r>
      <w:r>
        <w:rPr>
          <w:i/>
          <w:spacing w:val="-26"/>
          <w:sz w:val="38"/>
        </w:rPr>
        <w:t> </w:t>
      </w:r>
      <w:r>
        <w:rPr>
          <w:i/>
          <w:sz w:val="38"/>
        </w:rPr>
        <w:t>nutrient </w:t>
      </w:r>
      <w:r>
        <w:rPr>
          <w:i/>
          <w:sz w:val="38"/>
        </w:rPr>
        <w:t>and demonstrate its high value in the health of our</w:t>
      </w:r>
      <w:r>
        <w:rPr>
          <w:i/>
          <w:spacing w:val="-3"/>
          <w:sz w:val="38"/>
        </w:rPr>
        <w:t> </w:t>
      </w:r>
      <w:r>
        <w:rPr>
          <w:i/>
          <w:sz w:val="38"/>
        </w:rPr>
        <w:t>joints.</w:t>
      </w:r>
    </w:p>
    <w:p>
      <w:pPr>
        <w:spacing w:line="276" w:lineRule="auto" w:before="240"/>
        <w:ind w:left="477" w:right="135" w:firstLine="0"/>
        <w:jc w:val="both"/>
        <w:rPr>
          <w:i/>
          <w:sz w:val="38"/>
        </w:rPr>
      </w:pPr>
      <w:r>
        <w:rPr>
          <w:i/>
          <w:sz w:val="38"/>
        </w:rPr>
        <w:t>An</w:t>
      </w:r>
      <w:r>
        <w:rPr>
          <w:i/>
          <w:spacing w:val="-23"/>
          <w:sz w:val="38"/>
        </w:rPr>
        <w:t> </w:t>
      </w:r>
      <w:r>
        <w:rPr>
          <w:i/>
          <w:sz w:val="38"/>
        </w:rPr>
        <w:t>evaluation</w:t>
      </w:r>
      <w:r>
        <w:rPr>
          <w:i/>
          <w:spacing w:val="-23"/>
          <w:sz w:val="38"/>
        </w:rPr>
        <w:t> </w:t>
      </w:r>
      <w:r>
        <w:rPr>
          <w:i/>
          <w:sz w:val="38"/>
        </w:rPr>
        <w:t>of</w:t>
      </w:r>
      <w:r>
        <w:rPr>
          <w:i/>
          <w:spacing w:val="-22"/>
          <w:sz w:val="38"/>
        </w:rPr>
        <w:t> </w:t>
      </w:r>
      <w:r>
        <w:rPr>
          <w:i/>
          <w:sz w:val="38"/>
        </w:rPr>
        <w:t>15</w:t>
      </w:r>
      <w:r>
        <w:rPr>
          <w:i/>
          <w:spacing w:val="-24"/>
          <w:sz w:val="38"/>
        </w:rPr>
        <w:t> </w:t>
      </w:r>
      <w:r>
        <w:rPr>
          <w:i/>
          <w:sz w:val="38"/>
        </w:rPr>
        <w:t>studies</w:t>
      </w:r>
      <w:r>
        <w:rPr>
          <w:i/>
          <w:spacing w:val="-25"/>
          <w:sz w:val="38"/>
        </w:rPr>
        <w:t> </w:t>
      </w:r>
      <w:r>
        <w:rPr>
          <w:i/>
          <w:sz w:val="38"/>
        </w:rPr>
        <w:t>of</w:t>
      </w:r>
      <w:r>
        <w:rPr>
          <w:i/>
          <w:spacing w:val="-21"/>
          <w:sz w:val="38"/>
        </w:rPr>
        <w:t> </w:t>
      </w:r>
      <w:r>
        <w:rPr>
          <w:i/>
          <w:sz w:val="38"/>
        </w:rPr>
        <w:t>chondroitin</w:t>
      </w:r>
      <w:r>
        <w:rPr>
          <w:i/>
          <w:spacing w:val="-22"/>
          <w:sz w:val="38"/>
        </w:rPr>
        <w:t> </w:t>
      </w:r>
      <w:r>
        <w:rPr>
          <w:i/>
          <w:sz w:val="38"/>
        </w:rPr>
        <w:t>in</w:t>
      </w:r>
      <w:r>
        <w:rPr>
          <w:i/>
          <w:spacing w:val="-23"/>
          <w:sz w:val="38"/>
        </w:rPr>
        <w:t> </w:t>
      </w:r>
      <w:r>
        <w:rPr>
          <w:i/>
          <w:sz w:val="38"/>
        </w:rPr>
        <w:t>2000</w:t>
      </w:r>
      <w:r>
        <w:rPr>
          <w:i/>
          <w:spacing w:val="-24"/>
          <w:sz w:val="38"/>
        </w:rPr>
        <w:t> </w:t>
      </w:r>
      <w:r>
        <w:rPr>
          <w:i/>
          <w:sz w:val="38"/>
        </w:rPr>
        <w:t>by</w:t>
      </w:r>
      <w:r>
        <w:rPr>
          <w:i/>
          <w:spacing w:val="-24"/>
          <w:sz w:val="38"/>
        </w:rPr>
        <w:t> </w:t>
      </w:r>
      <w:r>
        <w:rPr>
          <w:i/>
          <w:sz w:val="38"/>
        </w:rPr>
        <w:t>the</w:t>
      </w:r>
      <w:r>
        <w:rPr>
          <w:i/>
          <w:spacing w:val="-25"/>
          <w:sz w:val="38"/>
        </w:rPr>
        <w:t> </w:t>
      </w:r>
      <w:r>
        <w:rPr>
          <w:i/>
          <w:sz w:val="38"/>
        </w:rPr>
        <w:t>team</w:t>
      </w:r>
      <w:r>
        <w:rPr>
          <w:i/>
          <w:spacing w:val="-24"/>
          <w:sz w:val="38"/>
        </w:rPr>
        <w:t> </w:t>
      </w:r>
      <w:r>
        <w:rPr>
          <w:i/>
          <w:sz w:val="38"/>
        </w:rPr>
        <w:t>of</w:t>
      </w:r>
      <w:r>
        <w:rPr>
          <w:i/>
          <w:spacing w:val="-22"/>
          <w:sz w:val="38"/>
        </w:rPr>
        <w:t> </w:t>
      </w:r>
      <w:r>
        <w:rPr>
          <w:i/>
          <w:sz w:val="38"/>
        </w:rPr>
        <w:t>scientists</w:t>
      </w:r>
      <w:r>
        <w:rPr>
          <w:i/>
          <w:spacing w:val="-24"/>
          <w:sz w:val="38"/>
        </w:rPr>
        <w:t> </w:t>
      </w:r>
      <w:r>
        <w:rPr>
          <w:i/>
          <w:sz w:val="38"/>
        </w:rPr>
        <w:t>from</w:t>
      </w:r>
      <w:r>
        <w:rPr>
          <w:i/>
          <w:spacing w:val="-22"/>
          <w:sz w:val="38"/>
        </w:rPr>
        <w:t> </w:t>
      </w:r>
      <w:r>
        <w:rPr>
          <w:i/>
          <w:sz w:val="38"/>
        </w:rPr>
        <w:t>the</w:t>
      </w:r>
      <w:r>
        <w:rPr>
          <w:i/>
          <w:spacing w:val="-24"/>
          <w:sz w:val="38"/>
        </w:rPr>
        <w:t> </w:t>
      </w:r>
      <w:r>
        <w:rPr>
          <w:i/>
          <w:sz w:val="38"/>
        </w:rPr>
        <w:t>Arthrosis </w:t>
      </w:r>
      <w:r>
        <w:rPr>
          <w:i/>
          <w:sz w:val="38"/>
        </w:rPr>
        <w:t>Centre of the </w:t>
      </w:r>
      <w:r>
        <w:rPr>
          <w:sz w:val="38"/>
        </w:rPr>
        <w:t>University School of Medicine</w:t>
      </w:r>
      <w:r>
        <w:rPr>
          <w:i/>
          <w:sz w:val="38"/>
        </w:rPr>
        <w:t>, Boston, USA) showed that chondroitin is </w:t>
      </w:r>
      <w:r>
        <w:rPr>
          <w:i/>
          <w:sz w:val="38"/>
        </w:rPr>
        <w:t>able to relieve the symptoms of joint</w:t>
      </w:r>
      <w:r>
        <w:rPr>
          <w:i/>
          <w:spacing w:val="-2"/>
          <w:sz w:val="38"/>
        </w:rPr>
        <w:t> </w:t>
      </w:r>
      <w:r>
        <w:rPr>
          <w:i/>
          <w:sz w:val="38"/>
        </w:rPr>
        <w:t>pain.</w:t>
      </w:r>
    </w:p>
    <w:p>
      <w:pPr>
        <w:spacing w:line="276" w:lineRule="auto" w:before="240"/>
        <w:ind w:left="477" w:right="136" w:firstLine="0"/>
        <w:jc w:val="both"/>
        <w:rPr>
          <w:i/>
          <w:sz w:val="38"/>
        </w:rPr>
      </w:pPr>
      <w:r>
        <w:rPr>
          <w:i/>
          <w:sz w:val="38"/>
        </w:rPr>
        <w:t>A recent two-year study led by Prof. Beat A. Michel at the </w:t>
      </w:r>
      <w:r>
        <w:rPr>
          <w:sz w:val="38"/>
        </w:rPr>
        <w:t>Rheumatism Clinic of the University Hospital </w:t>
      </w:r>
      <w:r>
        <w:rPr>
          <w:i/>
          <w:sz w:val="38"/>
        </w:rPr>
        <w:t>in Zurich affirms that chondroitin sulphate has significantly better </w:t>
      </w:r>
      <w:r>
        <w:rPr>
          <w:i/>
          <w:sz w:val="38"/>
        </w:rPr>
        <w:t>results compared to a placebo.</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sz w:val="17"/>
        </w:rPr>
      </w:pPr>
      <w:r>
        <w:rPr/>
        <w:pict>
          <v:line style="position:absolute;mso-position-horizontal-relative:page;mso-position-vertical-relative:paragraph;z-index:3872;mso-wrap-distance-left:0;mso-wrap-distance-right:0" from="63.863998pt,12.133735pt" to="207.883998pt,12.133735pt" stroked="true" strokeweight=".72003pt" strokecolor="#000000">
            <v:stroke dashstyle="solid"/>
            <w10:wrap type="topAndBottom"/>
          </v:line>
        </w:pict>
      </w:r>
    </w:p>
    <w:p>
      <w:pPr>
        <w:pStyle w:val="BodyText"/>
        <w:spacing w:before="7"/>
        <w:rPr>
          <w:i/>
          <w:sz w:val="18"/>
        </w:rPr>
      </w:pPr>
    </w:p>
    <w:p>
      <w:pPr>
        <w:spacing w:before="99"/>
        <w:ind w:left="477" w:right="0" w:firstLine="0"/>
        <w:jc w:val="left"/>
        <w:rPr>
          <w:sz w:val="20"/>
        </w:rPr>
      </w:pPr>
      <w:r>
        <w:rPr>
          <w:position w:val="5"/>
          <w:sz w:val="13"/>
        </w:rPr>
        <w:t>337 </w:t>
      </w:r>
      <w:r>
        <w:rPr>
          <w:sz w:val="20"/>
        </w:rPr>
        <w:t>Setnikar I. et al. 1984, 1986, 1993</w:t>
      </w:r>
    </w:p>
    <w:p>
      <w:pPr>
        <w:spacing w:before="92"/>
        <w:ind w:left="477" w:right="0" w:firstLine="0"/>
        <w:jc w:val="left"/>
        <w:rPr>
          <w:sz w:val="20"/>
        </w:rPr>
      </w:pPr>
      <w:r>
        <w:rPr>
          <w:position w:val="5"/>
          <w:sz w:val="13"/>
        </w:rPr>
        <w:t>338 </w:t>
      </w:r>
      <w:r>
        <w:rPr>
          <w:sz w:val="20"/>
        </w:rPr>
        <w:t>Reginster JY et al., Lancet 2001; 357, p. 251-56</w:t>
      </w:r>
    </w:p>
    <w:p>
      <w:pPr>
        <w:spacing w:after="0"/>
        <w:jc w:val="left"/>
        <w:rPr>
          <w:sz w:val="20"/>
        </w:rPr>
        <w:sectPr>
          <w:pgSz w:w="14270" w:h="16850"/>
          <w:pgMar w:header="0" w:footer="1891" w:top="1600" w:bottom="2080" w:left="800" w:right="1280"/>
        </w:sectPr>
      </w:pPr>
    </w:p>
    <w:p>
      <w:pPr>
        <w:pStyle w:val="BodyText"/>
        <w:rPr>
          <w:sz w:val="20"/>
        </w:rPr>
      </w:pPr>
    </w:p>
    <w:p>
      <w:pPr>
        <w:pStyle w:val="BodyText"/>
        <w:rPr>
          <w:sz w:val="20"/>
        </w:rPr>
      </w:pPr>
    </w:p>
    <w:p>
      <w:pPr>
        <w:pStyle w:val="BodyText"/>
        <w:rPr>
          <w:sz w:val="20"/>
        </w:rPr>
      </w:pPr>
    </w:p>
    <w:p>
      <w:pPr>
        <w:pStyle w:val="Heading2"/>
        <w:spacing w:before="238"/>
      </w:pPr>
      <w:r>
        <w:rPr/>
        <w:t>Glucosamine differences</w:t>
      </w:r>
    </w:p>
    <w:p>
      <w:pPr>
        <w:pStyle w:val="BodyText"/>
        <w:spacing w:before="305"/>
        <w:ind w:left="477"/>
      </w:pPr>
      <w:r>
        <w:rPr/>
        <w:t>Various types of glucosamine</w:t>
      </w:r>
    </w:p>
    <w:p>
      <w:pPr>
        <w:pStyle w:val="BodyText"/>
        <w:spacing w:line="276" w:lineRule="auto" w:before="304"/>
        <w:ind w:left="477"/>
      </w:pPr>
      <w:r>
        <w:rPr/>
        <w:t>In a needlessly confusing way, the various manifestations of glucosamine</w:t>
      </w:r>
      <w:r>
        <w:rPr>
          <w:spacing w:val="-60"/>
        </w:rPr>
        <w:t> </w:t>
      </w:r>
      <w:r>
        <w:rPr/>
        <w:t>come in the utmost abundance; more precisely, there are five types of glucosamine:</w:t>
      </w:r>
    </w:p>
    <w:p>
      <w:pPr>
        <w:pStyle w:val="ListParagraph"/>
        <w:numPr>
          <w:ilvl w:val="0"/>
          <w:numId w:val="29"/>
        </w:numPr>
        <w:tabs>
          <w:tab w:pos="1198" w:val="left" w:leader="none"/>
        </w:tabs>
        <w:spacing w:line="276" w:lineRule="auto" w:before="239" w:after="0"/>
        <w:ind w:left="1197" w:right="135" w:hanging="360"/>
        <w:jc w:val="left"/>
        <w:rPr>
          <w:sz w:val="38"/>
        </w:rPr>
      </w:pPr>
      <w:r>
        <w:rPr>
          <w:sz w:val="38"/>
        </w:rPr>
        <w:t>D-glucosamine sulphate (2KCI), obtained from shellfish (crab, lobster, shrimp)</w:t>
      </w:r>
    </w:p>
    <w:p>
      <w:pPr>
        <w:pStyle w:val="ListParagraph"/>
        <w:numPr>
          <w:ilvl w:val="0"/>
          <w:numId w:val="29"/>
        </w:numPr>
        <w:tabs>
          <w:tab w:pos="1198" w:val="left" w:leader="none"/>
        </w:tabs>
        <w:spacing w:line="240" w:lineRule="auto" w:before="241" w:after="0"/>
        <w:ind w:left="1197" w:right="0" w:hanging="360"/>
        <w:jc w:val="left"/>
        <w:rPr>
          <w:sz w:val="38"/>
        </w:rPr>
      </w:pPr>
      <w:r>
        <w:rPr>
          <w:sz w:val="38"/>
        </w:rPr>
        <w:t>D-glucosamine sulphate</w:t>
      </w:r>
      <w:r>
        <w:rPr>
          <w:spacing w:val="1"/>
          <w:sz w:val="38"/>
        </w:rPr>
        <w:t> </w:t>
      </w:r>
      <w:r>
        <w:rPr>
          <w:sz w:val="38"/>
        </w:rPr>
        <w:t>(NaCl)</w:t>
      </w:r>
    </w:p>
    <w:p>
      <w:pPr>
        <w:pStyle w:val="ListParagraph"/>
        <w:numPr>
          <w:ilvl w:val="0"/>
          <w:numId w:val="29"/>
        </w:numPr>
        <w:tabs>
          <w:tab w:pos="1198" w:val="left" w:leader="none"/>
        </w:tabs>
        <w:spacing w:line="276" w:lineRule="auto" w:before="305" w:after="0"/>
        <w:ind w:left="1197" w:right="134" w:hanging="360"/>
        <w:jc w:val="left"/>
        <w:rPr>
          <w:sz w:val="38"/>
        </w:rPr>
      </w:pPr>
      <w:r>
        <w:rPr>
          <w:sz w:val="38"/>
        </w:rPr>
        <w:t>D-glucosamine hydrochloride (HCL) – derived either from shellfish or of plant</w:t>
      </w:r>
      <w:r>
        <w:rPr>
          <w:spacing w:val="-1"/>
          <w:sz w:val="38"/>
        </w:rPr>
        <w:t> </w:t>
      </w:r>
      <w:r>
        <w:rPr>
          <w:sz w:val="38"/>
        </w:rPr>
        <w:t>origin</w:t>
      </w:r>
    </w:p>
    <w:p>
      <w:pPr>
        <w:pStyle w:val="ListParagraph"/>
        <w:numPr>
          <w:ilvl w:val="0"/>
          <w:numId w:val="29"/>
        </w:numPr>
        <w:tabs>
          <w:tab w:pos="1198" w:val="left" w:leader="none"/>
        </w:tabs>
        <w:spacing w:line="240" w:lineRule="auto" w:before="241" w:after="0"/>
        <w:ind w:left="1197" w:right="0" w:hanging="360"/>
        <w:jc w:val="left"/>
        <w:rPr>
          <w:sz w:val="38"/>
        </w:rPr>
      </w:pPr>
      <w:r>
        <w:rPr>
          <w:sz w:val="38"/>
        </w:rPr>
        <w:t>N-acetyl-glucosamine (NAG)</w:t>
      </w:r>
    </w:p>
    <w:p>
      <w:pPr>
        <w:pStyle w:val="ListParagraph"/>
        <w:numPr>
          <w:ilvl w:val="0"/>
          <w:numId w:val="29"/>
        </w:numPr>
        <w:tabs>
          <w:tab w:pos="1198" w:val="left" w:leader="none"/>
        </w:tabs>
        <w:spacing w:line="240" w:lineRule="auto" w:before="304" w:after="0"/>
        <w:ind w:left="1197" w:right="0" w:hanging="360"/>
        <w:jc w:val="left"/>
        <w:rPr>
          <w:sz w:val="38"/>
        </w:rPr>
      </w:pPr>
      <w:r>
        <w:rPr>
          <w:sz w:val="38"/>
        </w:rPr>
        <w:t>Poly-N-acetyl-glucosamine (poly-NAG)</w:t>
      </w:r>
    </w:p>
    <w:p>
      <w:pPr>
        <w:pStyle w:val="BodyText"/>
        <w:rPr>
          <w:sz w:val="42"/>
        </w:rPr>
      </w:pPr>
    </w:p>
    <w:p>
      <w:pPr>
        <w:pStyle w:val="BodyText"/>
        <w:spacing w:before="7"/>
        <w:rPr>
          <w:sz w:val="35"/>
        </w:rPr>
      </w:pPr>
    </w:p>
    <w:p>
      <w:pPr>
        <w:pStyle w:val="Heading2"/>
      </w:pPr>
      <w:r>
        <w:rPr/>
        <w:t>Which type of glucosamine is the best?</w:t>
      </w:r>
    </w:p>
    <w:p>
      <w:pPr>
        <w:pStyle w:val="BodyText"/>
        <w:spacing w:line="276" w:lineRule="auto" w:before="305"/>
        <w:ind w:left="477" w:right="137"/>
        <w:jc w:val="both"/>
      </w:pPr>
      <w:r>
        <w:rPr/>
        <w:t>Immediately</w:t>
      </w:r>
      <w:r>
        <w:rPr>
          <w:spacing w:val="-11"/>
        </w:rPr>
        <w:t> </w:t>
      </w:r>
      <w:r>
        <w:rPr/>
        <w:t>after</w:t>
      </w:r>
      <w:r>
        <w:rPr>
          <w:spacing w:val="-13"/>
        </w:rPr>
        <w:t> </w:t>
      </w:r>
      <w:r>
        <w:rPr/>
        <w:t>the</w:t>
      </w:r>
      <w:r>
        <w:rPr>
          <w:spacing w:val="-12"/>
        </w:rPr>
        <w:t> </w:t>
      </w:r>
      <w:r>
        <w:rPr/>
        <w:t>problem</w:t>
      </w:r>
      <w:r>
        <w:rPr>
          <w:spacing w:val="-14"/>
        </w:rPr>
        <w:t> </w:t>
      </w:r>
      <w:r>
        <w:rPr/>
        <w:t>explained</w:t>
      </w:r>
      <w:r>
        <w:rPr>
          <w:spacing w:val="-13"/>
        </w:rPr>
        <w:t> </w:t>
      </w:r>
      <w:r>
        <w:rPr/>
        <w:t>above</w:t>
      </w:r>
      <w:r>
        <w:rPr>
          <w:spacing w:val="-14"/>
        </w:rPr>
        <w:t> </w:t>
      </w:r>
      <w:r>
        <w:rPr/>
        <w:t>regarding</w:t>
      </w:r>
      <w:r>
        <w:rPr>
          <w:spacing w:val="-13"/>
        </w:rPr>
        <w:t> </w:t>
      </w:r>
      <w:r>
        <w:rPr/>
        <w:t>whether</w:t>
      </w:r>
      <w:r>
        <w:rPr>
          <w:spacing w:val="-13"/>
        </w:rPr>
        <w:t> </w:t>
      </w:r>
      <w:r>
        <w:rPr/>
        <w:t>glucosamine works at all (we were able to state this clearly), there are many online debates about which of the named species is most effective. Opinions vary widely de- pending on the</w:t>
      </w:r>
      <w:r>
        <w:rPr>
          <w:spacing w:val="-1"/>
        </w:rPr>
        <w:t> </w:t>
      </w:r>
      <w:r>
        <w:rPr/>
        <w:t>provider.</w:t>
      </w:r>
    </w:p>
    <w:p>
      <w:pPr>
        <w:spacing w:after="0" w:line="276" w:lineRule="auto"/>
        <w:jc w:val="both"/>
        <w:sectPr>
          <w:pgSz w:w="14270" w:h="16850"/>
          <w:pgMar w:header="0" w:footer="1891" w:top="1600" w:bottom="2080" w:left="800" w:right="12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p>
    <w:p>
      <w:pPr>
        <w:pStyle w:val="Heading2"/>
        <w:spacing w:before="99"/>
      </w:pPr>
      <w:r>
        <w:rPr/>
        <w:t>Effectiveness</w:t>
      </w:r>
    </w:p>
    <w:p>
      <w:pPr>
        <w:spacing w:before="287"/>
        <w:ind w:left="477" w:right="0" w:firstLine="0"/>
        <w:jc w:val="left"/>
        <w:rPr>
          <w:b/>
          <w:i/>
          <w:sz w:val="40"/>
        </w:rPr>
      </w:pPr>
      <w:r>
        <w:rPr>
          <w:b/>
          <w:i/>
          <w:sz w:val="40"/>
        </w:rPr>
        <w:t>Glucosamine</w:t>
      </w:r>
    </w:p>
    <w:p>
      <w:pPr>
        <w:pStyle w:val="BodyText"/>
        <w:spacing w:line="276" w:lineRule="auto" w:before="300"/>
        <w:ind w:left="477"/>
      </w:pPr>
      <w:r>
        <w:rPr/>
        <w:t>Glucosamine sulphate made from shellfish (crab, lobster and shrimp) allows us to absorb and process up to 65 % in our body.</w:t>
      </w:r>
    </w:p>
    <w:p>
      <w:pPr>
        <w:pStyle w:val="Heading1"/>
        <w:spacing w:before="221"/>
      </w:pPr>
      <w:r>
        <w:rPr/>
        <w:t>Glucosamine hydrochloride</w:t>
      </w:r>
    </w:p>
    <w:p>
      <w:pPr>
        <w:pStyle w:val="BodyText"/>
        <w:spacing w:line="276" w:lineRule="auto" w:before="300"/>
        <w:ind w:left="477" w:right="53"/>
      </w:pPr>
      <w:r>
        <w:rPr/>
        <w:t>Glucosamine hydrochloride is derived from shellfish or vegetable products and allows up to 85 % absorption and processing by our body.</w:t>
      </w:r>
    </w:p>
    <w:p>
      <w:pPr>
        <w:pStyle w:val="Heading1"/>
        <w:spacing w:before="223"/>
      </w:pPr>
      <w:r>
        <w:rPr/>
        <w:t>N-acetyl-glucosamine (NAG)</w:t>
      </w:r>
    </w:p>
    <w:p>
      <w:pPr>
        <w:pStyle w:val="BodyText"/>
        <w:spacing w:line="276" w:lineRule="auto" w:before="300"/>
        <w:ind w:left="477" w:right="132"/>
        <w:jc w:val="both"/>
      </w:pPr>
      <w:r>
        <w:rPr/>
        <w:t>Another</w:t>
      </w:r>
      <w:r>
        <w:rPr>
          <w:spacing w:val="-23"/>
        </w:rPr>
        <w:t> </w:t>
      </w:r>
      <w:r>
        <w:rPr/>
        <w:t>alternative</w:t>
      </w:r>
      <w:r>
        <w:rPr>
          <w:spacing w:val="-25"/>
        </w:rPr>
        <w:t> </w:t>
      </w:r>
      <w:r>
        <w:rPr/>
        <w:t>to</w:t>
      </w:r>
      <w:r>
        <w:rPr>
          <w:spacing w:val="-24"/>
        </w:rPr>
        <w:t> </w:t>
      </w:r>
      <w:r>
        <w:rPr/>
        <w:t>the</w:t>
      </w:r>
      <w:r>
        <w:rPr>
          <w:spacing w:val="-24"/>
        </w:rPr>
        <w:t> </w:t>
      </w:r>
      <w:r>
        <w:rPr/>
        <w:t>first</w:t>
      </w:r>
      <w:r>
        <w:rPr>
          <w:spacing w:val="-24"/>
        </w:rPr>
        <w:t> </w:t>
      </w:r>
      <w:r>
        <w:rPr/>
        <w:t>two</w:t>
      </w:r>
      <w:r>
        <w:rPr>
          <w:spacing w:val="-24"/>
        </w:rPr>
        <w:t> </w:t>
      </w:r>
      <w:r>
        <w:rPr/>
        <w:t>species</w:t>
      </w:r>
      <w:r>
        <w:rPr>
          <w:spacing w:val="-26"/>
        </w:rPr>
        <w:t> </w:t>
      </w:r>
      <w:r>
        <w:rPr/>
        <w:t>is</w:t>
      </w:r>
      <w:r>
        <w:rPr>
          <w:spacing w:val="-27"/>
        </w:rPr>
        <w:t> </w:t>
      </w:r>
      <w:r>
        <w:rPr/>
        <w:t>N-acetyl-glucosamine</w:t>
      </w:r>
      <w:r>
        <w:rPr>
          <w:spacing w:val="-23"/>
        </w:rPr>
        <w:t> </w:t>
      </w:r>
      <w:r>
        <w:rPr/>
        <w:t>(NAG).</w:t>
      </w:r>
      <w:r>
        <w:rPr>
          <w:spacing w:val="-24"/>
        </w:rPr>
        <w:t> </w:t>
      </w:r>
      <w:r>
        <w:rPr/>
        <w:t>The difference to glucosamine sulphate and glucosamine hydrochloride lies in a larger, more complex molecule. With regard to the uptake and utilisation of glucosamine,</w:t>
      </w:r>
      <w:r>
        <w:rPr>
          <w:spacing w:val="-9"/>
        </w:rPr>
        <w:t> </w:t>
      </w:r>
      <w:r>
        <w:rPr/>
        <w:t>however,</w:t>
      </w:r>
      <w:r>
        <w:rPr>
          <w:spacing w:val="-9"/>
        </w:rPr>
        <w:t> </w:t>
      </w:r>
      <w:r>
        <w:rPr/>
        <w:t>according</w:t>
      </w:r>
      <w:r>
        <w:rPr>
          <w:spacing w:val="-9"/>
        </w:rPr>
        <w:t> </w:t>
      </w:r>
      <w:r>
        <w:rPr/>
        <w:t>to</w:t>
      </w:r>
      <w:r>
        <w:rPr>
          <w:spacing w:val="-9"/>
        </w:rPr>
        <w:t> </w:t>
      </w:r>
      <w:r>
        <w:rPr/>
        <w:t>studies,</w:t>
      </w:r>
      <w:r>
        <w:rPr>
          <w:spacing w:val="-8"/>
        </w:rPr>
        <w:t> </w:t>
      </w:r>
      <w:r>
        <w:rPr/>
        <w:t>this</w:t>
      </w:r>
      <w:r>
        <w:rPr>
          <w:spacing w:val="-11"/>
        </w:rPr>
        <w:t> </w:t>
      </w:r>
      <w:r>
        <w:rPr/>
        <w:t>type</w:t>
      </w:r>
      <w:r>
        <w:rPr>
          <w:spacing w:val="-9"/>
        </w:rPr>
        <w:t> </w:t>
      </w:r>
      <w:r>
        <w:rPr/>
        <w:t>is</w:t>
      </w:r>
      <w:r>
        <w:rPr>
          <w:spacing w:val="-9"/>
        </w:rPr>
        <w:t> </w:t>
      </w:r>
      <w:r>
        <w:rPr/>
        <w:t>considered</w:t>
      </w:r>
      <w:r>
        <w:rPr>
          <w:spacing w:val="-10"/>
        </w:rPr>
        <w:t> </w:t>
      </w:r>
      <w:r>
        <w:rPr/>
        <w:t>inferior</w:t>
      </w:r>
      <w:r>
        <w:rPr>
          <w:spacing w:val="-9"/>
        </w:rPr>
        <w:t> </w:t>
      </w:r>
      <w:r>
        <w:rPr/>
        <w:t>and therefore not a real</w:t>
      </w:r>
      <w:r>
        <w:rPr>
          <w:spacing w:val="-5"/>
        </w:rPr>
        <w:t> </w:t>
      </w:r>
      <w:r>
        <w:rPr/>
        <w:t>alternative.</w:t>
      </w:r>
    </w:p>
    <w:p>
      <w:pPr>
        <w:pStyle w:val="Heading1"/>
        <w:spacing w:before="222"/>
      </w:pPr>
      <w:r>
        <w:rPr/>
        <w:t>Poly-N-acetyl-glucosamine (poly-NAG)</w:t>
      </w:r>
    </w:p>
    <w:p>
      <w:pPr>
        <w:pStyle w:val="BodyText"/>
        <w:spacing w:line="276" w:lineRule="auto" w:before="300"/>
        <w:ind w:left="477" w:right="134"/>
        <w:jc w:val="both"/>
      </w:pPr>
      <w:r>
        <w:rPr/>
        <w:t>Although</w:t>
      </w:r>
      <w:r>
        <w:rPr>
          <w:spacing w:val="-21"/>
        </w:rPr>
        <w:t> </w:t>
      </w:r>
      <w:r>
        <w:rPr/>
        <w:t>a</w:t>
      </w:r>
      <w:r>
        <w:rPr>
          <w:spacing w:val="-22"/>
        </w:rPr>
        <w:t> </w:t>
      </w:r>
      <w:r>
        <w:rPr/>
        <w:t>study</w:t>
      </w:r>
      <w:r>
        <w:rPr>
          <w:spacing w:val="-21"/>
        </w:rPr>
        <w:t> </w:t>
      </w:r>
      <w:r>
        <w:rPr/>
        <w:t>in</w:t>
      </w:r>
      <w:r>
        <w:rPr>
          <w:spacing w:val="-23"/>
        </w:rPr>
        <w:t> </w:t>
      </w:r>
      <w:r>
        <w:rPr/>
        <w:t>humans</w:t>
      </w:r>
      <w:r>
        <w:rPr>
          <w:spacing w:val="-20"/>
        </w:rPr>
        <w:t> </w:t>
      </w:r>
      <w:r>
        <w:rPr/>
        <w:t>with</w:t>
      </w:r>
      <w:r>
        <w:rPr>
          <w:spacing w:val="-20"/>
        </w:rPr>
        <w:t> </w:t>
      </w:r>
      <w:r>
        <w:rPr/>
        <w:t>poly-N-acetyl-glucosamine</w:t>
      </w:r>
      <w:r>
        <w:rPr>
          <w:spacing w:val="-21"/>
        </w:rPr>
        <w:t> </w:t>
      </w:r>
      <w:r>
        <w:rPr/>
        <w:t>showed</w:t>
      </w:r>
      <w:r>
        <w:rPr>
          <w:spacing w:val="-22"/>
        </w:rPr>
        <w:t> </w:t>
      </w:r>
      <w:r>
        <w:rPr/>
        <w:t>successful conversion of both molecules to glucosamine compared to glucosamine sul- phate</w:t>
      </w:r>
      <w:r>
        <w:rPr>
          <w:spacing w:val="36"/>
        </w:rPr>
        <w:t> </w:t>
      </w:r>
      <w:r>
        <w:rPr/>
        <w:t>and</w:t>
      </w:r>
      <w:r>
        <w:rPr>
          <w:spacing w:val="37"/>
        </w:rPr>
        <w:t> </w:t>
      </w:r>
      <w:r>
        <w:rPr/>
        <w:t>glucosamine-hydrochloride,</w:t>
      </w:r>
      <w:r>
        <w:rPr>
          <w:spacing w:val="39"/>
        </w:rPr>
        <w:t> </w:t>
      </w:r>
      <w:r>
        <w:rPr/>
        <w:t>in</w:t>
      </w:r>
      <w:r>
        <w:rPr>
          <w:spacing w:val="35"/>
        </w:rPr>
        <w:t> </w:t>
      </w:r>
      <w:r>
        <w:rPr/>
        <w:t>terms</w:t>
      </w:r>
      <w:r>
        <w:rPr>
          <w:spacing w:val="33"/>
        </w:rPr>
        <w:t> </w:t>
      </w:r>
      <w:r>
        <w:rPr/>
        <w:t>of</w:t>
      </w:r>
      <w:r>
        <w:rPr>
          <w:spacing w:val="39"/>
        </w:rPr>
        <w:t> </w:t>
      </w:r>
      <w:r>
        <w:rPr/>
        <w:t>absorption</w:t>
      </w:r>
      <w:r>
        <w:rPr>
          <w:spacing w:val="35"/>
        </w:rPr>
        <w:t> </w:t>
      </w:r>
      <w:r>
        <w:rPr/>
        <w:t>(uptake</w:t>
      </w:r>
      <w:r>
        <w:rPr>
          <w:spacing w:val="37"/>
        </w:rPr>
        <w:t> </w:t>
      </w:r>
      <w:r>
        <w:rPr/>
        <w:t>by</w:t>
      </w:r>
      <w:r>
        <w:rPr>
          <w:spacing w:val="38"/>
        </w:rPr>
        <w:t> </w:t>
      </w:r>
      <w:r>
        <w:rPr/>
        <w:t>the</w:t>
      </w:r>
    </w:p>
    <w:p>
      <w:pPr>
        <w:spacing w:after="0" w:line="276" w:lineRule="auto"/>
        <w:jc w:val="both"/>
        <w:sectPr>
          <w:pgSz w:w="14270" w:h="16850"/>
          <w:pgMar w:header="0" w:footer="1891" w:top="1600" w:bottom="2080" w:left="800" w:right="1280"/>
        </w:sectPr>
      </w:pPr>
    </w:p>
    <w:p>
      <w:pPr>
        <w:pStyle w:val="BodyText"/>
        <w:spacing w:line="276" w:lineRule="auto" w:before="181"/>
        <w:ind w:left="477" w:right="142"/>
        <w:jc w:val="both"/>
      </w:pPr>
      <w:r>
        <w:rPr/>
        <w:t>body), it could not compete with the two, which is why this form should be considered inferior.</w:t>
      </w:r>
    </w:p>
    <w:p>
      <w:pPr>
        <w:pStyle w:val="Heading1"/>
      </w:pPr>
      <w:r>
        <w:rPr/>
        <w:t>Proportion of glucosamine in products could change its effectiveness</w:t>
      </w:r>
    </w:p>
    <w:p>
      <w:pPr>
        <w:pStyle w:val="BodyText"/>
        <w:spacing w:line="276" w:lineRule="auto" w:before="299"/>
        <w:ind w:left="477" w:right="138"/>
        <w:jc w:val="both"/>
      </w:pPr>
      <w:r>
        <w:rPr/>
        <w:t>Of</w:t>
      </w:r>
      <w:r>
        <w:rPr>
          <w:spacing w:val="-8"/>
        </w:rPr>
        <w:t> </w:t>
      </w:r>
      <w:r>
        <w:rPr/>
        <w:t>course,</w:t>
      </w:r>
      <w:r>
        <w:rPr>
          <w:spacing w:val="-5"/>
        </w:rPr>
        <w:t> </w:t>
      </w:r>
      <w:r>
        <w:rPr/>
        <w:t>the</w:t>
      </w:r>
      <w:r>
        <w:rPr>
          <w:spacing w:val="-6"/>
        </w:rPr>
        <w:t> </w:t>
      </w:r>
      <w:r>
        <w:rPr/>
        <w:t>proportion</w:t>
      </w:r>
      <w:r>
        <w:rPr>
          <w:spacing w:val="-9"/>
        </w:rPr>
        <w:t> </w:t>
      </w:r>
      <w:r>
        <w:rPr/>
        <w:t>of</w:t>
      </w:r>
      <w:r>
        <w:rPr>
          <w:spacing w:val="-7"/>
        </w:rPr>
        <w:t> </w:t>
      </w:r>
      <w:r>
        <w:rPr/>
        <w:t>the</w:t>
      </w:r>
      <w:r>
        <w:rPr>
          <w:spacing w:val="-8"/>
        </w:rPr>
        <w:t> </w:t>
      </w:r>
      <w:r>
        <w:rPr/>
        <w:t>actual</w:t>
      </w:r>
      <w:r>
        <w:rPr>
          <w:spacing w:val="-8"/>
        </w:rPr>
        <w:t> </w:t>
      </w:r>
      <w:r>
        <w:rPr/>
        <w:t>active</w:t>
      </w:r>
      <w:r>
        <w:rPr>
          <w:spacing w:val="-8"/>
        </w:rPr>
        <w:t> </w:t>
      </w:r>
      <w:r>
        <w:rPr/>
        <w:t>ingredient</w:t>
      </w:r>
      <w:r>
        <w:rPr>
          <w:spacing w:val="-6"/>
        </w:rPr>
        <w:t> </w:t>
      </w:r>
      <w:r>
        <w:rPr/>
        <w:t>in</w:t>
      </w:r>
      <w:r>
        <w:rPr>
          <w:spacing w:val="-7"/>
        </w:rPr>
        <w:t> </w:t>
      </w:r>
      <w:r>
        <w:rPr/>
        <w:t>the</w:t>
      </w:r>
      <w:r>
        <w:rPr>
          <w:spacing w:val="-6"/>
        </w:rPr>
        <w:t> </w:t>
      </w:r>
      <w:r>
        <w:rPr/>
        <w:t>capsule</w:t>
      </w:r>
      <w:r>
        <w:rPr>
          <w:spacing w:val="-7"/>
        </w:rPr>
        <w:t> </w:t>
      </w:r>
      <w:r>
        <w:rPr/>
        <w:t>makes</w:t>
      </w:r>
      <w:r>
        <w:rPr>
          <w:spacing w:val="-6"/>
        </w:rPr>
        <w:t> </w:t>
      </w:r>
      <w:r>
        <w:rPr/>
        <w:t>a difference to the capsule’s</w:t>
      </w:r>
      <w:r>
        <w:rPr>
          <w:spacing w:val="1"/>
        </w:rPr>
        <w:t> </w:t>
      </w:r>
      <w:r>
        <w:rPr/>
        <w:t>effectiveness.</w:t>
      </w:r>
    </w:p>
    <w:p>
      <w:pPr>
        <w:pStyle w:val="BodyText"/>
        <w:spacing w:line="276" w:lineRule="auto" w:before="239"/>
        <w:ind w:left="477" w:right="131"/>
        <w:jc w:val="both"/>
      </w:pPr>
      <w:r>
        <w:rPr/>
        <w:t>There are many suppliers who falsely claim that all of their glucosamine prod- ucts have 99.99 % purity. This statement alone indicates an ignorance of the nutrient</w:t>
      </w:r>
      <w:r>
        <w:rPr>
          <w:spacing w:val="-13"/>
        </w:rPr>
        <w:t> </w:t>
      </w:r>
      <w:r>
        <w:rPr/>
        <w:t>or</w:t>
      </w:r>
      <w:r>
        <w:rPr>
          <w:spacing w:val="-12"/>
        </w:rPr>
        <w:t> </w:t>
      </w:r>
      <w:r>
        <w:rPr/>
        <w:t>an</w:t>
      </w:r>
      <w:r>
        <w:rPr>
          <w:spacing w:val="-12"/>
        </w:rPr>
        <w:t> </w:t>
      </w:r>
      <w:r>
        <w:rPr/>
        <w:t>attempt</w:t>
      </w:r>
      <w:r>
        <w:rPr>
          <w:spacing w:val="-12"/>
        </w:rPr>
        <w:t> </w:t>
      </w:r>
      <w:r>
        <w:rPr/>
        <w:t>at</w:t>
      </w:r>
      <w:r>
        <w:rPr>
          <w:spacing w:val="-14"/>
        </w:rPr>
        <w:t> </w:t>
      </w:r>
      <w:r>
        <w:rPr/>
        <w:t>fraud,</w:t>
      </w:r>
      <w:r>
        <w:rPr>
          <w:spacing w:val="-12"/>
        </w:rPr>
        <w:t> </w:t>
      </w:r>
      <w:r>
        <w:rPr/>
        <w:t>because</w:t>
      </w:r>
      <w:r>
        <w:rPr>
          <w:spacing w:val="-12"/>
        </w:rPr>
        <w:t> </w:t>
      </w:r>
      <w:r>
        <w:rPr/>
        <w:t>before</w:t>
      </w:r>
      <w:r>
        <w:rPr>
          <w:spacing w:val="-12"/>
        </w:rPr>
        <w:t> </w:t>
      </w:r>
      <w:r>
        <w:rPr/>
        <w:t>the</w:t>
      </w:r>
      <w:r>
        <w:rPr>
          <w:spacing w:val="-12"/>
        </w:rPr>
        <w:t> </w:t>
      </w:r>
      <w:r>
        <w:rPr/>
        <w:t>plant</w:t>
      </w:r>
      <w:r>
        <w:rPr>
          <w:spacing w:val="-12"/>
        </w:rPr>
        <w:t> </w:t>
      </w:r>
      <w:r>
        <w:rPr/>
        <w:t>variant</w:t>
      </w:r>
      <w:r>
        <w:rPr>
          <w:spacing w:val="-13"/>
        </w:rPr>
        <w:t> </w:t>
      </w:r>
      <w:r>
        <w:rPr/>
        <w:t>of</w:t>
      </w:r>
      <w:r>
        <w:rPr>
          <w:spacing w:val="-12"/>
        </w:rPr>
        <w:t> </w:t>
      </w:r>
      <w:r>
        <w:rPr/>
        <w:t>glucosamine was discovered, glucosamine processed from shellfish had to be stabilised with potassium chloride (KCl) or sodium chloride (NaCl). This means that the pro- portion of glucosamine in glucosamine sulphate of animal origin can be </w:t>
      </w:r>
      <w:r>
        <w:rPr>
          <w:spacing w:val="4"/>
        </w:rPr>
        <w:t>95 </w:t>
      </w:r>
      <w:r>
        <w:rPr/>
        <w:t>% at most and not the promised 99.99</w:t>
      </w:r>
      <w:r>
        <w:rPr>
          <w:spacing w:val="-1"/>
        </w:rPr>
        <w:t> </w:t>
      </w:r>
      <w:r>
        <w:rPr/>
        <w:t>%.</w:t>
      </w:r>
    </w:p>
    <w:p>
      <w:pPr>
        <w:pStyle w:val="Heading1"/>
        <w:spacing w:before="223"/>
      </w:pPr>
      <w:r>
        <w:rPr/>
        <w:t>Glucosamine allergies and possible</w:t>
      </w:r>
      <w:r>
        <w:rPr>
          <w:spacing w:val="-61"/>
        </w:rPr>
        <w:t> </w:t>
      </w:r>
      <w:r>
        <w:rPr/>
        <w:t>contamination</w:t>
      </w:r>
    </w:p>
    <w:p>
      <w:pPr>
        <w:pStyle w:val="BodyText"/>
        <w:spacing w:line="276" w:lineRule="auto" w:before="300"/>
        <w:ind w:left="477" w:right="135"/>
        <w:jc w:val="both"/>
      </w:pPr>
      <w:r>
        <w:rPr/>
        <w:t>An important aspect in choosing glucosamine should not go unmentioned, namely the allergy to shellfish, which affects a small number of people. How- ever, if such an allergy is present, it is better to resort to glucosamine hydro- chloride instead of glucosamine sulphate.</w:t>
      </w:r>
    </w:p>
    <w:p>
      <w:pPr>
        <w:pStyle w:val="BodyText"/>
        <w:spacing w:line="276" w:lineRule="auto" w:before="241"/>
        <w:ind w:left="477" w:right="134"/>
        <w:jc w:val="both"/>
      </w:pPr>
      <w:r>
        <w:rPr/>
        <w:t>Occasionally,</w:t>
      </w:r>
      <w:r>
        <w:rPr>
          <w:spacing w:val="-9"/>
        </w:rPr>
        <w:t> </w:t>
      </w:r>
      <w:r>
        <w:rPr/>
        <w:t>people</w:t>
      </w:r>
      <w:r>
        <w:rPr>
          <w:spacing w:val="-9"/>
        </w:rPr>
        <w:t> </w:t>
      </w:r>
      <w:r>
        <w:rPr/>
        <w:t>avoid</w:t>
      </w:r>
      <w:r>
        <w:rPr>
          <w:spacing w:val="-10"/>
        </w:rPr>
        <w:t> </w:t>
      </w:r>
      <w:r>
        <w:rPr/>
        <w:t>eating</w:t>
      </w:r>
      <w:r>
        <w:rPr>
          <w:spacing w:val="-9"/>
        </w:rPr>
        <w:t> </w:t>
      </w:r>
      <w:r>
        <w:rPr/>
        <w:t>seafood</w:t>
      </w:r>
      <w:r>
        <w:rPr>
          <w:spacing w:val="-9"/>
        </w:rPr>
        <w:t> </w:t>
      </w:r>
      <w:r>
        <w:rPr/>
        <w:t>for</w:t>
      </w:r>
      <w:r>
        <w:rPr>
          <w:spacing w:val="-8"/>
        </w:rPr>
        <w:t> </w:t>
      </w:r>
      <w:r>
        <w:rPr/>
        <w:t>fear</w:t>
      </w:r>
      <w:r>
        <w:rPr>
          <w:spacing w:val="-9"/>
        </w:rPr>
        <w:t> </w:t>
      </w:r>
      <w:r>
        <w:rPr/>
        <w:t>of</w:t>
      </w:r>
      <w:r>
        <w:rPr>
          <w:spacing w:val="-9"/>
        </w:rPr>
        <w:t> </w:t>
      </w:r>
      <w:r>
        <w:rPr/>
        <w:t>the</w:t>
      </w:r>
      <w:r>
        <w:rPr>
          <w:spacing w:val="-8"/>
        </w:rPr>
        <w:t> </w:t>
      </w:r>
      <w:r>
        <w:rPr/>
        <w:t>environmental</w:t>
      </w:r>
      <w:r>
        <w:rPr>
          <w:spacing w:val="-11"/>
        </w:rPr>
        <w:t> </w:t>
      </w:r>
      <w:r>
        <w:rPr/>
        <w:t>impact on the ocean. Even in this case, it is better to resort to herbal glucosamine hy- drochloride.</w:t>
      </w:r>
    </w:p>
    <w:p>
      <w:pPr>
        <w:spacing w:after="0" w:line="276" w:lineRule="auto"/>
        <w:jc w:val="both"/>
        <w:sectPr>
          <w:pgSz w:w="14270" w:h="16850"/>
          <w:pgMar w:header="0" w:footer="1891" w:top="1600" w:bottom="2080" w:left="800" w:right="1280"/>
        </w:sectPr>
      </w:pPr>
    </w:p>
    <w:p>
      <w:pPr>
        <w:pStyle w:val="Heading2"/>
        <w:spacing w:before="181"/>
      </w:pPr>
      <w:r>
        <w:rPr/>
        <w:t>Conclusion on the safety of glucosamine</w:t>
      </w:r>
    </w:p>
    <w:p>
      <w:pPr>
        <w:pStyle w:val="BodyText"/>
        <w:spacing w:line="276" w:lineRule="auto" w:before="305"/>
        <w:ind w:left="477" w:right="129"/>
        <w:jc w:val="both"/>
      </w:pPr>
      <w:r>
        <w:rPr/>
        <w:t>The</w:t>
      </w:r>
      <w:r>
        <w:rPr>
          <w:spacing w:val="-19"/>
        </w:rPr>
        <w:t> </w:t>
      </w:r>
      <w:r>
        <w:rPr/>
        <w:t>herbal</w:t>
      </w:r>
      <w:r>
        <w:rPr>
          <w:spacing w:val="-22"/>
        </w:rPr>
        <w:t> </w:t>
      </w:r>
      <w:r>
        <w:rPr/>
        <w:t>glucosamine</w:t>
      </w:r>
      <w:r>
        <w:rPr>
          <w:spacing w:val="-19"/>
        </w:rPr>
        <w:t> </w:t>
      </w:r>
      <w:r>
        <w:rPr/>
        <w:t>hydrochloride</w:t>
      </w:r>
      <w:r>
        <w:rPr>
          <w:spacing w:val="-20"/>
        </w:rPr>
        <w:t> </w:t>
      </w:r>
      <w:r>
        <w:rPr/>
        <w:t>variant</w:t>
      </w:r>
      <w:r>
        <w:rPr>
          <w:spacing w:val="-19"/>
        </w:rPr>
        <w:t> </w:t>
      </w:r>
      <w:r>
        <w:rPr/>
        <w:t>seems</w:t>
      </w:r>
      <w:r>
        <w:rPr>
          <w:spacing w:val="-19"/>
        </w:rPr>
        <w:t> </w:t>
      </w:r>
      <w:r>
        <w:rPr/>
        <w:t>to</w:t>
      </w:r>
      <w:r>
        <w:rPr>
          <w:spacing w:val="-21"/>
        </w:rPr>
        <w:t> </w:t>
      </w:r>
      <w:r>
        <w:rPr/>
        <w:t>be</w:t>
      </w:r>
      <w:r>
        <w:rPr>
          <w:spacing w:val="-21"/>
        </w:rPr>
        <w:t> </w:t>
      </w:r>
      <w:r>
        <w:rPr/>
        <w:t>the</w:t>
      </w:r>
      <w:r>
        <w:rPr>
          <w:spacing w:val="-17"/>
        </w:rPr>
        <w:t> </w:t>
      </w:r>
      <w:r>
        <w:rPr/>
        <w:t>safest</w:t>
      </w:r>
      <w:r>
        <w:rPr>
          <w:spacing w:val="-19"/>
        </w:rPr>
        <w:t> </w:t>
      </w:r>
      <w:r>
        <w:rPr/>
        <w:t>form.</w:t>
      </w:r>
      <w:r>
        <w:rPr>
          <w:spacing w:val="-19"/>
        </w:rPr>
        <w:t> </w:t>
      </w:r>
      <w:r>
        <w:rPr/>
        <w:t>Glu- cosamine sulphate, on the other hand, is a good alternative if you do not have shellfish allergies and are not concerned about marine</w:t>
      </w:r>
      <w:r>
        <w:rPr>
          <w:spacing w:val="-6"/>
        </w:rPr>
        <w:t> </w:t>
      </w:r>
      <w:r>
        <w:rPr/>
        <w:t>pollution.</w:t>
      </w:r>
    </w:p>
    <w:p>
      <w:pPr>
        <w:pStyle w:val="Heading1"/>
      </w:pPr>
      <w:r>
        <w:rPr/>
        <w:t>Tip!</w:t>
      </w:r>
    </w:p>
    <w:p>
      <w:pPr>
        <w:pStyle w:val="BodyText"/>
        <w:spacing w:before="297"/>
        <w:ind w:left="477"/>
      </w:pPr>
      <w:r>
        <w:rPr/>
        <w:t>Pay attention to the small print.</w:t>
      </w:r>
    </w:p>
    <w:p>
      <w:pPr>
        <w:pStyle w:val="Heading1"/>
        <w:spacing w:before="287"/>
      </w:pPr>
      <w:r>
        <w:rPr/>
        <w:t>Small test</w:t>
      </w:r>
    </w:p>
    <w:p>
      <w:pPr>
        <w:pStyle w:val="BodyText"/>
        <w:spacing w:line="276" w:lineRule="auto" w:before="300"/>
        <w:ind w:left="477"/>
      </w:pPr>
      <w:r>
        <w:rPr/>
        <w:t>Glucosamine sulphate, made from the shellfish chitin shell, smells and actually tastes a bit fishy.</w:t>
      </w:r>
    </w:p>
    <w:p>
      <w:pPr>
        <w:pStyle w:val="BodyText"/>
        <w:spacing w:line="276" w:lineRule="auto" w:before="240"/>
        <w:ind w:left="477"/>
      </w:pPr>
      <w:r>
        <w:rPr/>
        <w:t>Glucosamine hydrochloride which does not come from vegetable production does not necessarily smell very fishy, but has a slightly fishy aftertaste.</w:t>
      </w:r>
    </w:p>
    <w:p>
      <w:pPr>
        <w:pStyle w:val="Heading2"/>
        <w:spacing w:before="239"/>
      </w:pPr>
      <w:r>
        <w:rPr/>
        <w:t>Conclusion on the effectiveness of the different types of glucosamine</w:t>
      </w:r>
    </w:p>
    <w:p>
      <w:pPr>
        <w:pStyle w:val="BodyText"/>
        <w:spacing w:line="276" w:lineRule="auto" w:before="305"/>
        <w:ind w:left="477" w:right="132"/>
        <w:jc w:val="both"/>
      </w:pPr>
      <w:r>
        <w:rPr/>
        <w:t>If</w:t>
      </w:r>
      <w:r>
        <w:rPr>
          <w:spacing w:val="-8"/>
        </w:rPr>
        <w:t> </w:t>
      </w:r>
      <w:r>
        <w:rPr/>
        <w:t>one</w:t>
      </w:r>
      <w:r>
        <w:rPr>
          <w:spacing w:val="-10"/>
        </w:rPr>
        <w:t> </w:t>
      </w:r>
      <w:r>
        <w:rPr/>
        <w:t>considers</w:t>
      </w:r>
      <w:r>
        <w:rPr>
          <w:spacing w:val="-10"/>
        </w:rPr>
        <w:t> </w:t>
      </w:r>
      <w:r>
        <w:rPr/>
        <w:t>the</w:t>
      </w:r>
      <w:r>
        <w:rPr>
          <w:spacing w:val="-9"/>
        </w:rPr>
        <w:t> </w:t>
      </w:r>
      <w:r>
        <w:rPr/>
        <w:t>different</w:t>
      </w:r>
      <w:r>
        <w:rPr>
          <w:spacing w:val="-8"/>
        </w:rPr>
        <w:t> </w:t>
      </w:r>
      <w:r>
        <w:rPr/>
        <w:t>numbers</w:t>
      </w:r>
      <w:r>
        <w:rPr>
          <w:spacing w:val="-10"/>
        </w:rPr>
        <w:t> </w:t>
      </w:r>
      <w:r>
        <w:rPr/>
        <w:t>rationally,</w:t>
      </w:r>
      <w:r>
        <w:rPr>
          <w:spacing w:val="-7"/>
        </w:rPr>
        <w:t> </w:t>
      </w:r>
      <w:r>
        <w:rPr/>
        <w:t>which</w:t>
      </w:r>
      <w:r>
        <w:rPr>
          <w:spacing w:val="-7"/>
        </w:rPr>
        <w:t> </w:t>
      </w:r>
      <w:r>
        <w:rPr/>
        <w:t>express</w:t>
      </w:r>
      <w:r>
        <w:rPr>
          <w:spacing w:val="-7"/>
        </w:rPr>
        <w:t> </w:t>
      </w:r>
      <w:r>
        <w:rPr/>
        <w:t>the</w:t>
      </w:r>
      <w:r>
        <w:rPr>
          <w:spacing w:val="-7"/>
        </w:rPr>
        <w:t> </w:t>
      </w:r>
      <w:r>
        <w:rPr/>
        <w:t>absorption and processing capacity of our body for different glucosamine types as a per- centage,</w:t>
      </w:r>
      <w:r>
        <w:rPr>
          <w:spacing w:val="-9"/>
        </w:rPr>
        <w:t> </w:t>
      </w:r>
      <w:r>
        <w:rPr/>
        <w:t>two</w:t>
      </w:r>
      <w:r>
        <w:rPr>
          <w:spacing w:val="-10"/>
        </w:rPr>
        <w:t> </w:t>
      </w:r>
      <w:r>
        <w:rPr/>
        <w:t>glucosamine</w:t>
      </w:r>
      <w:r>
        <w:rPr>
          <w:spacing w:val="-10"/>
        </w:rPr>
        <w:t> </w:t>
      </w:r>
      <w:r>
        <w:rPr/>
        <w:t>types</w:t>
      </w:r>
      <w:r>
        <w:rPr>
          <w:spacing w:val="-12"/>
        </w:rPr>
        <w:t> </w:t>
      </w:r>
      <w:r>
        <w:rPr/>
        <w:t>can</w:t>
      </w:r>
      <w:r>
        <w:rPr>
          <w:spacing w:val="-9"/>
        </w:rPr>
        <w:t> </w:t>
      </w:r>
      <w:r>
        <w:rPr/>
        <w:t>be</w:t>
      </w:r>
      <w:r>
        <w:rPr>
          <w:spacing w:val="-10"/>
        </w:rPr>
        <w:t> </w:t>
      </w:r>
      <w:r>
        <w:rPr/>
        <w:t>recommended,</w:t>
      </w:r>
      <w:r>
        <w:rPr>
          <w:spacing w:val="-10"/>
        </w:rPr>
        <w:t> </w:t>
      </w:r>
      <w:r>
        <w:rPr/>
        <w:t>namely</w:t>
      </w:r>
      <w:r>
        <w:rPr>
          <w:spacing w:val="-11"/>
        </w:rPr>
        <w:t> </w:t>
      </w:r>
      <w:r>
        <w:rPr/>
        <w:t>glucosamine</w:t>
      </w:r>
      <w:r>
        <w:rPr>
          <w:spacing w:val="-9"/>
        </w:rPr>
        <w:t> </w:t>
      </w:r>
      <w:r>
        <w:rPr/>
        <w:t>sul- phate</w:t>
      </w:r>
      <w:r>
        <w:rPr>
          <w:spacing w:val="-20"/>
        </w:rPr>
        <w:t> </w:t>
      </w:r>
      <w:r>
        <w:rPr/>
        <w:t>(65</w:t>
      </w:r>
      <w:r>
        <w:rPr>
          <w:spacing w:val="-18"/>
        </w:rPr>
        <w:t> </w:t>
      </w:r>
      <w:r>
        <w:rPr/>
        <w:t>%</w:t>
      </w:r>
      <w:r>
        <w:rPr>
          <w:spacing w:val="-19"/>
        </w:rPr>
        <w:t> </w:t>
      </w:r>
      <w:r>
        <w:rPr/>
        <w:t>convertible)</w:t>
      </w:r>
      <w:r>
        <w:rPr>
          <w:spacing w:val="-18"/>
        </w:rPr>
        <w:t> </w:t>
      </w:r>
      <w:r>
        <w:rPr/>
        <w:t>and</w:t>
      </w:r>
      <w:r>
        <w:rPr>
          <w:spacing w:val="-17"/>
        </w:rPr>
        <w:t> </w:t>
      </w:r>
      <w:r>
        <w:rPr/>
        <w:t>glucosamine</w:t>
      </w:r>
      <w:r>
        <w:rPr>
          <w:spacing w:val="-18"/>
        </w:rPr>
        <w:t> </w:t>
      </w:r>
      <w:r>
        <w:rPr/>
        <w:t>hydrochloride</w:t>
      </w:r>
      <w:r>
        <w:rPr>
          <w:spacing w:val="-18"/>
        </w:rPr>
        <w:t> </w:t>
      </w:r>
      <w:r>
        <w:rPr/>
        <w:t>(HCL),</w:t>
      </w:r>
      <w:r>
        <w:rPr>
          <w:spacing w:val="-18"/>
        </w:rPr>
        <w:t> </w:t>
      </w:r>
      <w:r>
        <w:rPr>
          <w:spacing w:val="3"/>
        </w:rPr>
        <w:t>85</w:t>
      </w:r>
      <w:r>
        <w:rPr>
          <w:spacing w:val="-18"/>
        </w:rPr>
        <w:t> </w:t>
      </w:r>
      <w:r>
        <w:rPr/>
        <w:t>%</w:t>
      </w:r>
      <w:r>
        <w:rPr>
          <w:spacing w:val="-18"/>
        </w:rPr>
        <w:t> </w:t>
      </w:r>
      <w:r>
        <w:rPr/>
        <w:t>of</w:t>
      </w:r>
      <w:r>
        <w:rPr>
          <w:spacing w:val="-21"/>
        </w:rPr>
        <w:t> </w:t>
      </w:r>
      <w:r>
        <w:rPr/>
        <w:t>which can be converted by the</w:t>
      </w:r>
      <w:r>
        <w:rPr>
          <w:spacing w:val="3"/>
        </w:rPr>
        <w:t> </w:t>
      </w:r>
      <w:r>
        <w:rPr/>
        <w:t>body.</w:t>
      </w:r>
    </w:p>
    <w:p>
      <w:pPr>
        <w:pStyle w:val="BodyText"/>
        <w:spacing w:line="276" w:lineRule="auto" w:before="242"/>
        <w:ind w:left="477"/>
      </w:pPr>
      <w:r>
        <w:rPr/>
        <w:t>The difference of 20 % can be easily compensated by a higher dosage. Since glucosamine sulphate contains a maximum of 95 % glucosamine, 5 % is added</w:t>
      </w:r>
    </w:p>
    <w:p>
      <w:pPr>
        <w:spacing w:after="0" w:line="276" w:lineRule="auto"/>
        <w:sectPr>
          <w:pgSz w:w="14270" w:h="16850"/>
          <w:pgMar w:header="0" w:footer="1891" w:top="1600" w:bottom="2080" w:left="800" w:right="1280"/>
        </w:sectPr>
      </w:pPr>
    </w:p>
    <w:p>
      <w:pPr>
        <w:pStyle w:val="BodyText"/>
        <w:spacing w:before="181"/>
        <w:ind w:left="477"/>
      </w:pPr>
      <w:r>
        <w:rPr/>
        <w:t>to reach 100 %, so the same result can be achieved with a higher dosage of</w:t>
      </w:r>
      <w:r>
        <w:rPr>
          <w:spacing w:val="94"/>
        </w:rPr>
        <w:t> </w:t>
      </w:r>
      <w:r>
        <w:rPr/>
        <w:t>25</w:t>
      </w:r>
    </w:p>
    <w:p>
      <w:pPr>
        <w:pStyle w:val="BodyText"/>
        <w:spacing w:line="276" w:lineRule="auto" w:before="65"/>
        <w:ind w:left="477" w:right="142"/>
        <w:jc w:val="both"/>
      </w:pPr>
      <w:r>
        <w:rPr/>
        <w:t>% (one quarter). Since glucosamine hydrochloride is naturally more expensive, this slightly higher intake is not a significant factor.</w:t>
      </w:r>
    </w:p>
    <w:p>
      <w:pPr>
        <w:pStyle w:val="BodyText"/>
        <w:spacing w:line="276" w:lineRule="auto" w:before="241"/>
        <w:ind w:left="477" w:right="139"/>
        <w:jc w:val="both"/>
      </w:pPr>
      <w:r>
        <w:rPr/>
        <w:t>However, due to very contradictory study results, there are two approaches to assessing the efficacy of the different types of glucosamine:</w:t>
      </w:r>
    </w:p>
    <w:p>
      <w:pPr>
        <w:pStyle w:val="ListParagraph"/>
        <w:numPr>
          <w:ilvl w:val="0"/>
          <w:numId w:val="30"/>
        </w:numPr>
        <w:tabs>
          <w:tab w:pos="854" w:val="left" w:leader="none"/>
        </w:tabs>
        <w:spacing w:line="276" w:lineRule="auto" w:before="238" w:after="0"/>
        <w:ind w:left="477" w:right="131" w:firstLine="0"/>
        <w:jc w:val="both"/>
        <w:rPr>
          <w:sz w:val="38"/>
        </w:rPr>
      </w:pPr>
      <w:r>
        <w:rPr>
          <w:b/>
          <w:sz w:val="38"/>
        </w:rPr>
        <w:t>Theoretical</w:t>
      </w:r>
      <w:r>
        <w:rPr>
          <w:b/>
          <w:spacing w:val="-7"/>
          <w:sz w:val="38"/>
        </w:rPr>
        <w:t> </w:t>
      </w:r>
      <w:r>
        <w:rPr>
          <w:b/>
          <w:sz w:val="38"/>
        </w:rPr>
        <w:t>facts</w:t>
      </w:r>
      <w:r>
        <w:rPr>
          <w:b/>
          <w:spacing w:val="-7"/>
          <w:sz w:val="38"/>
        </w:rPr>
        <w:t> </w:t>
      </w:r>
      <w:r>
        <w:rPr>
          <w:sz w:val="38"/>
        </w:rPr>
        <w:t>on</w:t>
      </w:r>
      <w:r>
        <w:rPr>
          <w:spacing w:val="-6"/>
          <w:sz w:val="38"/>
        </w:rPr>
        <w:t> </w:t>
      </w:r>
      <w:r>
        <w:rPr>
          <w:sz w:val="38"/>
        </w:rPr>
        <w:t>the</w:t>
      </w:r>
      <w:r>
        <w:rPr>
          <w:spacing w:val="-7"/>
          <w:sz w:val="38"/>
        </w:rPr>
        <w:t> </w:t>
      </w:r>
      <w:r>
        <w:rPr>
          <w:sz w:val="38"/>
        </w:rPr>
        <w:t>basis</w:t>
      </w:r>
      <w:r>
        <w:rPr>
          <w:spacing w:val="-6"/>
          <w:sz w:val="38"/>
        </w:rPr>
        <w:t> </w:t>
      </w:r>
      <w:r>
        <w:rPr>
          <w:sz w:val="38"/>
        </w:rPr>
        <w:t>of</w:t>
      </w:r>
      <w:r>
        <w:rPr>
          <w:spacing w:val="-7"/>
          <w:sz w:val="38"/>
        </w:rPr>
        <w:t> </w:t>
      </w:r>
      <w:r>
        <w:rPr>
          <w:sz w:val="38"/>
        </w:rPr>
        <w:t>the</w:t>
      </w:r>
      <w:r>
        <w:rPr>
          <w:spacing w:val="-7"/>
          <w:sz w:val="38"/>
        </w:rPr>
        <w:t> </w:t>
      </w:r>
      <w:r>
        <w:rPr>
          <w:sz w:val="38"/>
        </w:rPr>
        <w:t>above</w:t>
      </w:r>
      <w:r>
        <w:rPr>
          <w:spacing w:val="-9"/>
          <w:sz w:val="38"/>
        </w:rPr>
        <w:t> </w:t>
      </w:r>
      <w:r>
        <w:rPr>
          <w:sz w:val="38"/>
        </w:rPr>
        <w:t>numbers,</w:t>
      </w:r>
      <w:r>
        <w:rPr>
          <w:spacing w:val="-5"/>
          <w:sz w:val="38"/>
        </w:rPr>
        <w:t> </w:t>
      </w:r>
      <w:r>
        <w:rPr>
          <w:sz w:val="38"/>
        </w:rPr>
        <w:t>which</w:t>
      </w:r>
      <w:r>
        <w:rPr>
          <w:spacing w:val="-5"/>
          <w:sz w:val="38"/>
        </w:rPr>
        <w:t> </w:t>
      </w:r>
      <w:r>
        <w:rPr>
          <w:sz w:val="38"/>
        </w:rPr>
        <w:t>affirm</w:t>
      </w:r>
      <w:r>
        <w:rPr>
          <w:spacing w:val="-6"/>
          <w:sz w:val="38"/>
        </w:rPr>
        <w:t> </w:t>
      </w:r>
      <w:r>
        <w:rPr>
          <w:sz w:val="38"/>
        </w:rPr>
        <w:t>that</w:t>
      </w:r>
      <w:r>
        <w:rPr>
          <w:spacing w:val="-7"/>
          <w:sz w:val="38"/>
        </w:rPr>
        <w:t> </w:t>
      </w:r>
      <w:r>
        <w:rPr>
          <w:sz w:val="38"/>
        </w:rPr>
        <w:t>glu- cosamine hydrochloride (HCL) has a higher theoretical effectiveness due to a conversion rate of about </w:t>
      </w:r>
      <w:r>
        <w:rPr>
          <w:spacing w:val="2"/>
          <w:sz w:val="38"/>
        </w:rPr>
        <w:t>85 </w:t>
      </w:r>
      <w:r>
        <w:rPr>
          <w:sz w:val="38"/>
        </w:rPr>
        <w:t>% compared to 65 % of glucosamine</w:t>
      </w:r>
      <w:r>
        <w:rPr>
          <w:spacing w:val="-24"/>
          <w:sz w:val="38"/>
        </w:rPr>
        <w:t> </w:t>
      </w:r>
      <w:r>
        <w:rPr>
          <w:sz w:val="38"/>
        </w:rPr>
        <w:t>sulphate.</w:t>
      </w:r>
    </w:p>
    <w:p>
      <w:pPr>
        <w:pStyle w:val="ListParagraph"/>
        <w:numPr>
          <w:ilvl w:val="0"/>
          <w:numId w:val="30"/>
        </w:numPr>
        <w:tabs>
          <w:tab w:pos="867" w:val="left" w:leader="none"/>
        </w:tabs>
        <w:spacing w:line="276" w:lineRule="auto" w:before="242" w:after="0"/>
        <w:ind w:left="477" w:right="136" w:firstLine="0"/>
        <w:jc w:val="both"/>
        <w:rPr>
          <w:sz w:val="38"/>
        </w:rPr>
      </w:pPr>
      <w:r>
        <w:rPr>
          <w:b/>
          <w:sz w:val="38"/>
        </w:rPr>
        <w:t>Practical</w:t>
      </w:r>
      <w:r>
        <w:rPr>
          <w:b/>
          <w:spacing w:val="-21"/>
          <w:sz w:val="38"/>
        </w:rPr>
        <w:t> </w:t>
      </w:r>
      <w:r>
        <w:rPr>
          <w:b/>
          <w:sz w:val="38"/>
        </w:rPr>
        <w:t>facts</w:t>
      </w:r>
      <w:r>
        <w:rPr>
          <w:sz w:val="38"/>
        </w:rPr>
        <w:t>,</w:t>
      </w:r>
      <w:r>
        <w:rPr>
          <w:spacing w:val="-21"/>
          <w:sz w:val="38"/>
        </w:rPr>
        <w:t> </w:t>
      </w:r>
      <w:r>
        <w:rPr>
          <w:sz w:val="38"/>
        </w:rPr>
        <w:t>based</w:t>
      </w:r>
      <w:r>
        <w:rPr>
          <w:spacing w:val="-20"/>
          <w:sz w:val="38"/>
        </w:rPr>
        <w:t> </w:t>
      </w:r>
      <w:r>
        <w:rPr>
          <w:sz w:val="38"/>
        </w:rPr>
        <w:t>on</w:t>
      </w:r>
      <w:r>
        <w:rPr>
          <w:spacing w:val="-20"/>
          <w:sz w:val="38"/>
        </w:rPr>
        <w:t> </w:t>
      </w:r>
      <w:r>
        <w:rPr>
          <w:sz w:val="38"/>
        </w:rPr>
        <w:t>a</w:t>
      </w:r>
      <w:r>
        <w:rPr>
          <w:spacing w:val="-21"/>
          <w:sz w:val="38"/>
        </w:rPr>
        <w:t> </w:t>
      </w:r>
      <w:r>
        <w:rPr>
          <w:sz w:val="38"/>
        </w:rPr>
        <w:t>total</w:t>
      </w:r>
      <w:r>
        <w:rPr>
          <w:spacing w:val="-22"/>
          <w:sz w:val="38"/>
        </w:rPr>
        <w:t> </w:t>
      </w:r>
      <w:r>
        <w:rPr>
          <w:sz w:val="38"/>
        </w:rPr>
        <w:t>of</w:t>
      </w:r>
      <w:r>
        <w:rPr>
          <w:spacing w:val="-21"/>
          <w:sz w:val="38"/>
        </w:rPr>
        <w:t> </w:t>
      </w:r>
      <w:r>
        <w:rPr>
          <w:sz w:val="38"/>
        </w:rPr>
        <w:t>20</w:t>
      </w:r>
      <w:r>
        <w:rPr>
          <w:spacing w:val="-21"/>
          <w:sz w:val="38"/>
        </w:rPr>
        <w:t> </w:t>
      </w:r>
      <w:r>
        <w:rPr>
          <w:sz w:val="38"/>
        </w:rPr>
        <w:t>randomised,</w:t>
      </w:r>
      <w:r>
        <w:rPr>
          <w:spacing w:val="-20"/>
          <w:sz w:val="38"/>
        </w:rPr>
        <w:t> </w:t>
      </w:r>
      <w:r>
        <w:rPr>
          <w:sz w:val="38"/>
        </w:rPr>
        <w:t>controlled</w:t>
      </w:r>
      <w:r>
        <w:rPr>
          <w:spacing w:val="-21"/>
          <w:sz w:val="38"/>
        </w:rPr>
        <w:t> </w:t>
      </w:r>
      <w:r>
        <w:rPr>
          <w:sz w:val="38"/>
        </w:rPr>
        <w:t>trials</w:t>
      </w:r>
      <w:r>
        <w:rPr>
          <w:spacing w:val="-20"/>
          <w:sz w:val="38"/>
        </w:rPr>
        <w:t> </w:t>
      </w:r>
      <w:r>
        <w:rPr>
          <w:sz w:val="38"/>
        </w:rPr>
        <w:t>involving over 2500 patients which affirm that glucosamine sulphate is more effective than glucosamine</w:t>
      </w:r>
      <w:r>
        <w:rPr>
          <w:spacing w:val="1"/>
          <w:sz w:val="38"/>
        </w:rPr>
        <w:t> </w:t>
      </w:r>
      <w:r>
        <w:rPr>
          <w:sz w:val="38"/>
        </w:rPr>
        <w:t>hydrochloride.</w:t>
      </w:r>
    </w:p>
    <w:p>
      <w:pPr>
        <w:spacing w:line="276" w:lineRule="auto" w:before="238"/>
        <w:ind w:left="477" w:right="131" w:firstLine="0"/>
        <w:jc w:val="both"/>
        <w:rPr>
          <w:i/>
          <w:sz w:val="38"/>
        </w:rPr>
      </w:pPr>
      <w:r>
        <w:rPr>
          <w:i/>
          <w:sz w:val="38"/>
        </w:rPr>
        <w:t>‘The medical evidence suggests the use of glucosamine sulphate to alleviate arthrosis symptoms </w:t>
      </w:r>
      <w:r>
        <w:rPr>
          <w:i/>
          <w:sz w:val="38"/>
        </w:rPr>
        <w:t>and possibly inhibit the progression of the disease’.</w:t>
      </w:r>
    </w:p>
    <w:p>
      <w:pPr>
        <w:pStyle w:val="BodyText"/>
        <w:spacing w:line="276" w:lineRule="auto" w:before="242"/>
        <w:ind w:left="477" w:right="137"/>
        <w:jc w:val="both"/>
      </w:pPr>
      <w:r>
        <w:rPr/>
        <w:t>This</w:t>
      </w:r>
      <w:r>
        <w:rPr>
          <w:spacing w:val="-7"/>
        </w:rPr>
        <w:t> </w:t>
      </w:r>
      <w:r>
        <w:rPr/>
        <w:t>is</w:t>
      </w:r>
      <w:r>
        <w:rPr>
          <w:spacing w:val="-7"/>
        </w:rPr>
        <w:t> </w:t>
      </w:r>
      <w:r>
        <w:rPr/>
        <w:t>the</w:t>
      </w:r>
      <w:r>
        <w:rPr>
          <w:spacing w:val="-8"/>
        </w:rPr>
        <w:t> </w:t>
      </w:r>
      <w:r>
        <w:rPr/>
        <w:t>overall</w:t>
      </w:r>
      <w:r>
        <w:rPr>
          <w:spacing w:val="-8"/>
        </w:rPr>
        <w:t> </w:t>
      </w:r>
      <w:r>
        <w:rPr/>
        <w:t>assessment</w:t>
      </w:r>
      <w:r>
        <w:rPr>
          <w:spacing w:val="-10"/>
        </w:rPr>
        <w:t> </w:t>
      </w:r>
      <w:r>
        <w:rPr/>
        <w:t>of</w:t>
      </w:r>
      <w:r>
        <w:rPr>
          <w:spacing w:val="-8"/>
        </w:rPr>
        <w:t> </w:t>
      </w:r>
      <w:r>
        <w:rPr/>
        <w:t>20</w:t>
      </w:r>
      <w:r>
        <w:rPr>
          <w:spacing w:val="-8"/>
        </w:rPr>
        <w:t> </w:t>
      </w:r>
      <w:r>
        <w:rPr/>
        <w:t>randomised</w:t>
      </w:r>
      <w:r>
        <w:rPr>
          <w:spacing w:val="-7"/>
        </w:rPr>
        <w:t> </w:t>
      </w:r>
      <w:r>
        <w:rPr/>
        <w:t>controlled</w:t>
      </w:r>
      <w:r>
        <w:rPr>
          <w:spacing w:val="-8"/>
        </w:rPr>
        <w:t> </w:t>
      </w:r>
      <w:r>
        <w:rPr/>
        <w:t>trials</w:t>
      </w:r>
      <w:r>
        <w:rPr>
          <w:spacing w:val="-8"/>
        </w:rPr>
        <w:t> </w:t>
      </w:r>
      <w:r>
        <w:rPr/>
        <w:t>involving</w:t>
      </w:r>
      <w:r>
        <w:rPr>
          <w:spacing w:val="-7"/>
        </w:rPr>
        <w:t> </w:t>
      </w:r>
      <w:r>
        <w:rPr/>
        <w:t>over 2,500 patients, compiled and evaluated by researchers from Creighton Univer- sity in Omaha, Nebraska, and published in the New York Times on 21</w:t>
      </w:r>
      <w:r>
        <w:rPr>
          <w:spacing w:val="-54"/>
        </w:rPr>
        <w:t> </w:t>
      </w:r>
      <w:r>
        <w:rPr/>
        <w:t>January 2008.</w:t>
      </w:r>
    </w:p>
    <w:p>
      <w:pPr>
        <w:pStyle w:val="BodyText"/>
        <w:spacing w:line="276" w:lineRule="auto" w:before="241"/>
        <w:ind w:left="477" w:right="140"/>
        <w:jc w:val="both"/>
      </w:pPr>
      <w:r>
        <w:rPr/>
        <w:t>Since there is little chance of 20 studies being manipulated, there are many in- dications that glucosamine sulphate can be used.</w:t>
      </w:r>
    </w:p>
    <w:p>
      <w:pPr>
        <w:pStyle w:val="Heading2"/>
        <w:spacing w:before="239"/>
        <w:jc w:val="both"/>
      </w:pPr>
      <w:r>
        <w:rPr/>
        <w:t>Dosing regimen</w:t>
      </w:r>
    </w:p>
    <w:p>
      <w:pPr>
        <w:spacing w:after="0"/>
        <w:jc w:val="both"/>
        <w:sectPr>
          <w:pgSz w:w="14270" w:h="16850"/>
          <w:pgMar w:header="0" w:footer="1891" w:top="1600" w:bottom="2080" w:left="800" w:right="1280"/>
        </w:sectPr>
      </w:pPr>
    </w:p>
    <w:p>
      <w:pPr>
        <w:pStyle w:val="BodyText"/>
        <w:spacing w:line="276" w:lineRule="auto" w:before="181"/>
        <w:ind w:left="477" w:right="135"/>
        <w:jc w:val="both"/>
      </w:pPr>
      <w:r>
        <w:rPr/>
        <w:t>Since</w:t>
      </w:r>
      <w:r>
        <w:rPr>
          <w:spacing w:val="-24"/>
        </w:rPr>
        <w:t> </w:t>
      </w:r>
      <w:r>
        <w:rPr/>
        <w:t>natural</w:t>
      </w:r>
      <w:r>
        <w:rPr>
          <w:spacing w:val="-26"/>
        </w:rPr>
        <w:t> </w:t>
      </w:r>
      <w:r>
        <w:rPr/>
        <w:t>products</w:t>
      </w:r>
      <w:r>
        <w:rPr>
          <w:spacing w:val="-25"/>
        </w:rPr>
        <w:t> </w:t>
      </w:r>
      <w:r>
        <w:rPr/>
        <w:t>are</w:t>
      </w:r>
      <w:r>
        <w:rPr>
          <w:spacing w:val="-25"/>
        </w:rPr>
        <w:t> </w:t>
      </w:r>
      <w:r>
        <w:rPr/>
        <w:t>not</w:t>
      </w:r>
      <w:r>
        <w:rPr>
          <w:spacing w:val="-25"/>
        </w:rPr>
        <w:t> </w:t>
      </w:r>
      <w:r>
        <w:rPr/>
        <w:t>chemicals,</w:t>
      </w:r>
      <w:r>
        <w:rPr>
          <w:spacing w:val="-23"/>
        </w:rPr>
        <w:t> </w:t>
      </w:r>
      <w:r>
        <w:rPr/>
        <w:t>patience</w:t>
      </w:r>
      <w:r>
        <w:rPr>
          <w:spacing w:val="-24"/>
        </w:rPr>
        <w:t> </w:t>
      </w:r>
      <w:r>
        <w:rPr/>
        <w:t>is</w:t>
      </w:r>
      <w:r>
        <w:rPr>
          <w:spacing w:val="-25"/>
        </w:rPr>
        <w:t> </w:t>
      </w:r>
      <w:r>
        <w:rPr/>
        <w:t>always</w:t>
      </w:r>
      <w:r>
        <w:rPr>
          <w:spacing w:val="-25"/>
        </w:rPr>
        <w:t> </w:t>
      </w:r>
      <w:r>
        <w:rPr/>
        <w:t>the</w:t>
      </w:r>
      <w:r>
        <w:rPr>
          <w:spacing w:val="-24"/>
        </w:rPr>
        <w:t> </w:t>
      </w:r>
      <w:r>
        <w:rPr/>
        <w:t>key</w:t>
      </w:r>
      <w:r>
        <w:rPr>
          <w:spacing w:val="-27"/>
        </w:rPr>
        <w:t> </w:t>
      </w:r>
      <w:r>
        <w:rPr/>
        <w:t>for</w:t>
      </w:r>
      <w:r>
        <w:rPr>
          <w:spacing w:val="-23"/>
        </w:rPr>
        <w:t> </w:t>
      </w:r>
      <w:r>
        <w:rPr/>
        <w:t>sustained success.</w:t>
      </w:r>
      <w:r>
        <w:rPr>
          <w:spacing w:val="-24"/>
        </w:rPr>
        <w:t> </w:t>
      </w:r>
      <w:r>
        <w:rPr/>
        <w:t>For</w:t>
      </w:r>
      <w:r>
        <w:rPr>
          <w:spacing w:val="-25"/>
        </w:rPr>
        <w:t> </w:t>
      </w:r>
      <w:r>
        <w:rPr/>
        <w:t>example,</w:t>
      </w:r>
      <w:r>
        <w:rPr>
          <w:spacing w:val="-23"/>
        </w:rPr>
        <w:t> </w:t>
      </w:r>
      <w:r>
        <w:rPr/>
        <w:t>studies</w:t>
      </w:r>
      <w:r>
        <w:rPr>
          <w:spacing w:val="-25"/>
        </w:rPr>
        <w:t> </w:t>
      </w:r>
      <w:r>
        <w:rPr/>
        <w:t>on</w:t>
      </w:r>
      <w:r>
        <w:rPr>
          <w:spacing w:val="-25"/>
        </w:rPr>
        <w:t> </w:t>
      </w:r>
      <w:r>
        <w:rPr/>
        <w:t>mild</w:t>
      </w:r>
      <w:r>
        <w:rPr>
          <w:spacing w:val="-25"/>
        </w:rPr>
        <w:t> </w:t>
      </w:r>
      <w:r>
        <w:rPr/>
        <w:t>to</w:t>
      </w:r>
      <w:r>
        <w:rPr>
          <w:spacing w:val="-24"/>
        </w:rPr>
        <w:t> </w:t>
      </w:r>
      <w:r>
        <w:rPr/>
        <w:t>moderate</w:t>
      </w:r>
      <w:r>
        <w:rPr>
          <w:spacing w:val="-24"/>
        </w:rPr>
        <w:t> </w:t>
      </w:r>
      <w:r>
        <w:rPr/>
        <w:t>gonarthrosis</w:t>
      </w:r>
      <w:r>
        <w:rPr>
          <w:spacing w:val="-24"/>
        </w:rPr>
        <w:t> </w:t>
      </w:r>
      <w:r>
        <w:rPr/>
        <w:t>(knee</w:t>
      </w:r>
      <w:r>
        <w:rPr>
          <w:spacing w:val="-24"/>
        </w:rPr>
        <w:t> </w:t>
      </w:r>
      <w:r>
        <w:rPr/>
        <w:t>arthrosis), after as little as a four-week treatment period, determined an effect which was comparable to drugs (non-steroidal anti-inflammatory drugs), but with signifi- cantly better</w:t>
      </w:r>
      <w:r>
        <w:rPr>
          <w:spacing w:val="1"/>
        </w:rPr>
        <w:t> </w:t>
      </w:r>
      <w:r>
        <w:rPr/>
        <w:t>tolerability.</w:t>
      </w:r>
    </w:p>
    <w:p>
      <w:pPr>
        <w:pStyle w:val="BodyText"/>
        <w:spacing w:line="276" w:lineRule="auto" w:before="240"/>
        <w:ind w:left="477" w:right="134"/>
        <w:jc w:val="both"/>
      </w:pPr>
      <w:r>
        <w:rPr/>
        <w:t>Four</w:t>
      </w:r>
      <w:r>
        <w:rPr>
          <w:spacing w:val="-24"/>
        </w:rPr>
        <w:t> </w:t>
      </w:r>
      <w:r>
        <w:rPr/>
        <w:t>to</w:t>
      </w:r>
      <w:r>
        <w:rPr>
          <w:spacing w:val="-24"/>
        </w:rPr>
        <w:t> </w:t>
      </w:r>
      <w:r>
        <w:rPr/>
        <w:t>eight</w:t>
      </w:r>
      <w:r>
        <w:rPr>
          <w:spacing w:val="-25"/>
        </w:rPr>
        <w:t> </w:t>
      </w:r>
      <w:r>
        <w:rPr/>
        <w:t>weeks</w:t>
      </w:r>
      <w:r>
        <w:rPr>
          <w:spacing w:val="-23"/>
        </w:rPr>
        <w:t> </w:t>
      </w:r>
      <w:r>
        <w:rPr/>
        <w:t>is</w:t>
      </w:r>
      <w:r>
        <w:rPr>
          <w:spacing w:val="-25"/>
        </w:rPr>
        <w:t> </w:t>
      </w:r>
      <w:r>
        <w:rPr/>
        <w:t>the</w:t>
      </w:r>
      <w:r>
        <w:rPr>
          <w:spacing w:val="-26"/>
        </w:rPr>
        <w:t> </w:t>
      </w:r>
      <w:r>
        <w:rPr/>
        <w:t>commonly</w:t>
      </w:r>
      <w:r>
        <w:rPr>
          <w:spacing w:val="-24"/>
        </w:rPr>
        <w:t> </w:t>
      </w:r>
      <w:r>
        <w:rPr/>
        <w:t>reported</w:t>
      </w:r>
      <w:r>
        <w:rPr>
          <w:spacing w:val="-25"/>
        </w:rPr>
        <w:t> </w:t>
      </w:r>
      <w:r>
        <w:rPr/>
        <w:t>period</w:t>
      </w:r>
      <w:r>
        <w:rPr>
          <w:spacing w:val="-25"/>
        </w:rPr>
        <w:t> </w:t>
      </w:r>
      <w:r>
        <w:rPr/>
        <w:t>of</w:t>
      </w:r>
      <w:r>
        <w:rPr>
          <w:spacing w:val="-23"/>
        </w:rPr>
        <w:t> </w:t>
      </w:r>
      <w:r>
        <w:rPr/>
        <w:t>time</w:t>
      </w:r>
      <w:r>
        <w:rPr>
          <w:spacing w:val="-25"/>
        </w:rPr>
        <w:t> </w:t>
      </w:r>
      <w:r>
        <w:rPr/>
        <w:t>generally</w:t>
      </w:r>
      <w:r>
        <w:rPr>
          <w:spacing w:val="-24"/>
        </w:rPr>
        <w:t> </w:t>
      </w:r>
      <w:r>
        <w:rPr/>
        <w:t>indicated for</w:t>
      </w:r>
      <w:r>
        <w:rPr>
          <w:spacing w:val="-5"/>
        </w:rPr>
        <w:t> </w:t>
      </w:r>
      <w:r>
        <w:rPr/>
        <w:t>symptom</w:t>
      </w:r>
      <w:r>
        <w:rPr>
          <w:spacing w:val="-6"/>
        </w:rPr>
        <w:t> </w:t>
      </w:r>
      <w:r>
        <w:rPr/>
        <w:t>relief,</w:t>
      </w:r>
      <w:r>
        <w:rPr>
          <w:spacing w:val="-7"/>
        </w:rPr>
        <w:t> </w:t>
      </w:r>
      <w:r>
        <w:rPr/>
        <w:t>but</w:t>
      </w:r>
      <w:r>
        <w:rPr>
          <w:spacing w:val="-7"/>
        </w:rPr>
        <w:t> </w:t>
      </w:r>
      <w:r>
        <w:rPr/>
        <w:t>you</w:t>
      </w:r>
      <w:r>
        <w:rPr>
          <w:spacing w:val="-8"/>
        </w:rPr>
        <w:t> </w:t>
      </w:r>
      <w:r>
        <w:rPr/>
        <w:t>should</w:t>
      </w:r>
      <w:r>
        <w:rPr>
          <w:spacing w:val="-6"/>
        </w:rPr>
        <w:t> </w:t>
      </w:r>
      <w:r>
        <w:rPr/>
        <w:t>take</w:t>
      </w:r>
      <w:r>
        <w:rPr>
          <w:spacing w:val="-7"/>
        </w:rPr>
        <w:t> </w:t>
      </w:r>
      <w:r>
        <w:rPr/>
        <w:t>the</w:t>
      </w:r>
      <w:r>
        <w:rPr>
          <w:spacing w:val="-5"/>
        </w:rPr>
        <w:t> </w:t>
      </w:r>
      <w:r>
        <w:rPr/>
        <w:t>remedies</w:t>
      </w:r>
      <w:r>
        <w:rPr>
          <w:spacing w:val="-6"/>
        </w:rPr>
        <w:t> </w:t>
      </w:r>
      <w:r>
        <w:rPr/>
        <w:t>for</w:t>
      </w:r>
      <w:r>
        <w:rPr>
          <w:spacing w:val="-4"/>
        </w:rPr>
        <w:t> </w:t>
      </w:r>
      <w:r>
        <w:rPr/>
        <w:t>about</w:t>
      </w:r>
      <w:r>
        <w:rPr>
          <w:spacing w:val="-8"/>
        </w:rPr>
        <w:t> </w:t>
      </w:r>
      <w:r>
        <w:rPr/>
        <w:t>3</w:t>
      </w:r>
      <w:r>
        <w:rPr>
          <w:spacing w:val="-7"/>
        </w:rPr>
        <w:t> </w:t>
      </w:r>
      <w:r>
        <w:rPr/>
        <w:t>months</w:t>
      </w:r>
      <w:r>
        <w:rPr>
          <w:spacing w:val="-5"/>
        </w:rPr>
        <w:t> </w:t>
      </w:r>
      <w:r>
        <w:rPr/>
        <w:t>with- out a break in treatment, so that they can take full effect.</w:t>
      </w:r>
    </w:p>
    <w:p>
      <w:pPr>
        <w:pStyle w:val="Heading2"/>
        <w:spacing w:before="242"/>
        <w:jc w:val="both"/>
      </w:pPr>
      <w:r>
        <w:rPr/>
        <w:t>Dosage of glucosamine and chondroitin</w:t>
      </w:r>
    </w:p>
    <w:p>
      <w:pPr>
        <w:pStyle w:val="BodyText"/>
        <w:spacing w:line="276" w:lineRule="auto" w:before="304"/>
        <w:ind w:left="477" w:right="133"/>
        <w:jc w:val="both"/>
      </w:pPr>
      <w:r>
        <w:rPr/>
        <w:t>The usual daily dose of glucosamine is up to 1500 mg, administered as a single dose</w:t>
      </w:r>
      <w:r>
        <w:rPr>
          <w:spacing w:val="-17"/>
        </w:rPr>
        <w:t> </w:t>
      </w:r>
      <w:r>
        <w:rPr/>
        <w:t>or</w:t>
      </w:r>
      <w:r>
        <w:rPr>
          <w:spacing w:val="-19"/>
        </w:rPr>
        <w:t> </w:t>
      </w:r>
      <w:r>
        <w:rPr/>
        <w:t>divided</w:t>
      </w:r>
      <w:r>
        <w:rPr>
          <w:spacing w:val="-19"/>
        </w:rPr>
        <w:t> </w:t>
      </w:r>
      <w:r>
        <w:rPr/>
        <w:t>into</w:t>
      </w:r>
      <w:r>
        <w:rPr>
          <w:spacing w:val="-17"/>
        </w:rPr>
        <w:t> </w:t>
      </w:r>
      <w:r>
        <w:rPr/>
        <w:t>three</w:t>
      </w:r>
      <w:r>
        <w:rPr>
          <w:spacing w:val="-17"/>
        </w:rPr>
        <w:t> </w:t>
      </w:r>
      <w:r>
        <w:rPr/>
        <w:t>doses</w:t>
      </w:r>
      <w:r>
        <w:rPr>
          <w:spacing w:val="-19"/>
        </w:rPr>
        <w:t> </w:t>
      </w:r>
      <w:r>
        <w:rPr/>
        <w:t>of</w:t>
      </w:r>
      <w:r>
        <w:rPr>
          <w:spacing w:val="-18"/>
        </w:rPr>
        <w:t> </w:t>
      </w:r>
      <w:r>
        <w:rPr/>
        <w:t>500</w:t>
      </w:r>
      <w:r>
        <w:rPr>
          <w:spacing w:val="-19"/>
        </w:rPr>
        <w:t> </w:t>
      </w:r>
      <w:r>
        <w:rPr/>
        <w:t>mg</w:t>
      </w:r>
      <w:r>
        <w:rPr>
          <w:spacing w:val="-17"/>
        </w:rPr>
        <w:t> </w:t>
      </w:r>
      <w:r>
        <w:rPr/>
        <w:t>each,</w:t>
      </w:r>
      <w:r>
        <w:rPr>
          <w:spacing w:val="-22"/>
        </w:rPr>
        <w:t> </w:t>
      </w:r>
      <w:r>
        <w:rPr/>
        <w:t>taken</w:t>
      </w:r>
      <w:r>
        <w:rPr>
          <w:spacing w:val="-17"/>
        </w:rPr>
        <w:t> </w:t>
      </w:r>
      <w:r>
        <w:rPr/>
        <w:t>with</w:t>
      </w:r>
      <w:r>
        <w:rPr>
          <w:spacing w:val="-17"/>
        </w:rPr>
        <w:t> </w:t>
      </w:r>
      <w:r>
        <w:rPr/>
        <w:t>meals</w:t>
      </w:r>
      <w:r>
        <w:rPr>
          <w:spacing w:val="-16"/>
        </w:rPr>
        <w:t> </w:t>
      </w:r>
      <w:r>
        <w:rPr/>
        <w:t>and</w:t>
      </w:r>
      <w:r>
        <w:rPr>
          <w:spacing w:val="-18"/>
        </w:rPr>
        <w:t> </w:t>
      </w:r>
      <w:r>
        <w:rPr/>
        <w:t>sufficient water. The intake of chondroitin should be around 700-1200</w:t>
      </w:r>
      <w:r>
        <w:rPr>
          <w:spacing w:val="-9"/>
        </w:rPr>
        <w:t> </w:t>
      </w:r>
      <w:r>
        <w:rPr/>
        <w:t>mg/day.</w:t>
      </w:r>
    </w:p>
    <w:p>
      <w:pPr>
        <w:pStyle w:val="BodyText"/>
        <w:spacing w:line="276" w:lineRule="auto" w:before="239"/>
        <w:ind w:left="477" w:right="134" w:firstLine="96"/>
        <w:jc w:val="both"/>
      </w:pPr>
      <w:r>
        <w:rPr/>
        <w:t>Prof. Dr. R. Jakob also recommends taking glucosamine for at least six to twelve</w:t>
      </w:r>
      <w:r>
        <w:rPr>
          <w:spacing w:val="-14"/>
        </w:rPr>
        <w:t> </w:t>
      </w:r>
      <w:r>
        <w:rPr/>
        <w:t>months</w:t>
      </w:r>
      <w:r>
        <w:rPr>
          <w:spacing w:val="-13"/>
        </w:rPr>
        <w:t> </w:t>
      </w:r>
      <w:r>
        <w:rPr/>
        <w:t>before</w:t>
      </w:r>
      <w:r>
        <w:rPr>
          <w:spacing w:val="-14"/>
        </w:rPr>
        <w:t> </w:t>
      </w:r>
      <w:r>
        <w:rPr/>
        <w:t>judging</w:t>
      </w:r>
      <w:r>
        <w:rPr>
          <w:spacing w:val="-12"/>
        </w:rPr>
        <w:t> </w:t>
      </w:r>
      <w:r>
        <w:rPr/>
        <w:t>success,</w:t>
      </w:r>
      <w:r>
        <w:rPr>
          <w:spacing w:val="-13"/>
        </w:rPr>
        <w:t> </w:t>
      </w:r>
      <w:r>
        <w:rPr/>
        <w:t>as</w:t>
      </w:r>
      <w:r>
        <w:rPr>
          <w:spacing w:val="-14"/>
        </w:rPr>
        <w:t> </w:t>
      </w:r>
      <w:r>
        <w:rPr/>
        <w:t>the</w:t>
      </w:r>
      <w:r>
        <w:rPr>
          <w:spacing w:val="-13"/>
        </w:rPr>
        <w:t> </w:t>
      </w:r>
      <w:r>
        <w:rPr/>
        <w:t>cartilage</w:t>
      </w:r>
      <w:r>
        <w:rPr>
          <w:spacing w:val="-12"/>
        </w:rPr>
        <w:t> </w:t>
      </w:r>
      <w:r>
        <w:rPr/>
        <w:t>rebuilds</w:t>
      </w:r>
      <w:r>
        <w:rPr>
          <w:spacing w:val="-14"/>
        </w:rPr>
        <w:t> </w:t>
      </w:r>
      <w:r>
        <w:rPr/>
        <w:t>itself</w:t>
      </w:r>
      <w:r>
        <w:rPr>
          <w:spacing w:val="-15"/>
        </w:rPr>
        <w:t> </w:t>
      </w:r>
      <w:r>
        <w:rPr/>
        <w:t>very</w:t>
      </w:r>
      <w:r>
        <w:rPr>
          <w:spacing w:val="-13"/>
        </w:rPr>
        <w:t> </w:t>
      </w:r>
      <w:r>
        <w:rPr/>
        <w:t>slowly based on its metabolism. Furthermore, a ‘plentiful’ supplement is worthwhile, since</w:t>
      </w:r>
      <w:r>
        <w:rPr>
          <w:spacing w:val="-9"/>
        </w:rPr>
        <w:t> </w:t>
      </w:r>
      <w:r>
        <w:rPr/>
        <w:t>any</w:t>
      </w:r>
      <w:r>
        <w:rPr>
          <w:spacing w:val="-10"/>
        </w:rPr>
        <w:t> </w:t>
      </w:r>
      <w:r>
        <w:rPr/>
        <w:t>joint-preserving,</w:t>
      </w:r>
      <w:r>
        <w:rPr>
          <w:spacing w:val="-9"/>
        </w:rPr>
        <w:t> </w:t>
      </w:r>
      <w:r>
        <w:rPr/>
        <w:t>cartilage-regenerating</w:t>
      </w:r>
      <w:r>
        <w:rPr>
          <w:spacing w:val="-8"/>
        </w:rPr>
        <w:t> </w:t>
      </w:r>
      <w:r>
        <w:rPr/>
        <w:t>therapy</w:t>
      </w:r>
      <w:r>
        <w:rPr>
          <w:spacing w:val="-8"/>
        </w:rPr>
        <w:t> </w:t>
      </w:r>
      <w:r>
        <w:rPr/>
        <w:t>relies</w:t>
      </w:r>
      <w:r>
        <w:rPr>
          <w:spacing w:val="-10"/>
        </w:rPr>
        <w:t> </w:t>
      </w:r>
      <w:r>
        <w:rPr/>
        <w:t>on</w:t>
      </w:r>
      <w:r>
        <w:rPr>
          <w:spacing w:val="-11"/>
        </w:rPr>
        <w:t> </w:t>
      </w:r>
      <w:r>
        <w:rPr/>
        <w:t>the</w:t>
      </w:r>
      <w:r>
        <w:rPr>
          <w:spacing w:val="-7"/>
        </w:rPr>
        <w:t> </w:t>
      </w:r>
      <w:r>
        <w:rPr/>
        <w:t>supply</w:t>
      </w:r>
      <w:r>
        <w:rPr>
          <w:spacing w:val="-11"/>
        </w:rPr>
        <w:t> </w:t>
      </w:r>
      <w:r>
        <w:rPr/>
        <w:t>of building blocks for the synthesis of macromolecules in the form of a dietary supplement.</w:t>
      </w:r>
    </w:p>
    <w:p>
      <w:pPr>
        <w:pStyle w:val="Heading2"/>
        <w:spacing w:before="241"/>
        <w:jc w:val="both"/>
      </w:pPr>
      <w:r>
        <w:rPr/>
        <w:t>Contraindications and side effects</w:t>
      </w:r>
    </w:p>
    <w:p>
      <w:pPr>
        <w:pStyle w:val="BodyText"/>
        <w:spacing w:line="276" w:lineRule="auto" w:before="304"/>
        <w:ind w:left="477" w:right="136"/>
        <w:jc w:val="both"/>
      </w:pPr>
      <w:r>
        <w:rPr/>
        <w:t>In principle, the well-known strict, statutory classification of glucosamine and chondroitin</w:t>
      </w:r>
      <w:r>
        <w:rPr>
          <w:spacing w:val="59"/>
        </w:rPr>
        <w:t> </w:t>
      </w:r>
      <w:r>
        <w:rPr/>
        <w:t>as</w:t>
      </w:r>
      <w:r>
        <w:rPr>
          <w:spacing w:val="60"/>
        </w:rPr>
        <w:t> </w:t>
      </w:r>
      <w:r>
        <w:rPr/>
        <w:t>a</w:t>
      </w:r>
      <w:r>
        <w:rPr>
          <w:spacing w:val="59"/>
        </w:rPr>
        <w:t> </w:t>
      </w:r>
      <w:r>
        <w:rPr/>
        <w:t>dietary</w:t>
      </w:r>
      <w:r>
        <w:rPr>
          <w:spacing w:val="60"/>
        </w:rPr>
        <w:t> </w:t>
      </w:r>
      <w:r>
        <w:rPr/>
        <w:t>supplement</w:t>
      </w:r>
      <w:r>
        <w:rPr>
          <w:spacing w:val="60"/>
        </w:rPr>
        <w:t> </w:t>
      </w:r>
      <w:r>
        <w:rPr/>
        <w:t>already</w:t>
      </w:r>
      <w:r>
        <w:rPr>
          <w:spacing w:val="60"/>
        </w:rPr>
        <w:t> </w:t>
      </w:r>
      <w:r>
        <w:rPr/>
        <w:t>provides</w:t>
      </w:r>
      <w:r>
        <w:rPr>
          <w:spacing w:val="61"/>
        </w:rPr>
        <w:t> </w:t>
      </w:r>
      <w:r>
        <w:rPr/>
        <w:t>a</w:t>
      </w:r>
      <w:r>
        <w:rPr>
          <w:spacing w:val="59"/>
        </w:rPr>
        <w:t> </w:t>
      </w:r>
      <w:r>
        <w:rPr/>
        <w:t>conclusion</w:t>
      </w:r>
      <w:r>
        <w:rPr>
          <w:spacing w:val="61"/>
        </w:rPr>
        <w:t> </w:t>
      </w:r>
      <w:r>
        <w:rPr/>
        <w:t>on</w:t>
      </w:r>
      <w:r>
        <w:rPr>
          <w:spacing w:val="60"/>
        </w:rPr>
        <w:t> </w:t>
      </w:r>
      <w:r>
        <w:rPr/>
        <w:t>their</w:t>
      </w:r>
    </w:p>
    <w:p>
      <w:pPr>
        <w:spacing w:after="0" w:line="276" w:lineRule="auto"/>
        <w:jc w:val="both"/>
        <w:sectPr>
          <w:pgSz w:w="14270" w:h="16850"/>
          <w:pgMar w:header="0" w:footer="1891" w:top="1600" w:bottom="2080" w:left="800" w:right="1280"/>
        </w:sectPr>
      </w:pPr>
    </w:p>
    <w:p>
      <w:pPr>
        <w:pStyle w:val="BodyText"/>
        <w:spacing w:before="181"/>
        <w:ind w:left="477"/>
      </w:pPr>
      <w:r>
        <w:rPr/>
        <w:t>safety. Dietary supplements are classified as food, and food must be safe.</w:t>
      </w:r>
    </w:p>
    <w:p>
      <w:pPr>
        <w:spacing w:line="276" w:lineRule="auto" w:before="305"/>
        <w:ind w:left="477" w:right="68" w:firstLine="0"/>
        <w:jc w:val="left"/>
        <w:rPr>
          <w:sz w:val="38"/>
        </w:rPr>
      </w:pPr>
      <w:r>
        <w:rPr>
          <w:sz w:val="38"/>
        </w:rPr>
        <w:t>Article 14 of Regulation (EC) No 178/2002 of the </w:t>
      </w:r>
      <w:r>
        <w:rPr>
          <w:i/>
          <w:sz w:val="38"/>
        </w:rPr>
        <w:t>German Food Supplements Reg- </w:t>
      </w:r>
      <w:r>
        <w:rPr>
          <w:i/>
          <w:sz w:val="38"/>
        </w:rPr>
        <w:t>ulation </w:t>
      </w:r>
      <w:r>
        <w:rPr>
          <w:sz w:val="38"/>
        </w:rPr>
        <w:t>states in Article 14 – ‘Requirements for Food Safety’:</w:t>
      </w:r>
    </w:p>
    <w:p>
      <w:pPr>
        <w:spacing w:before="241"/>
        <w:ind w:left="477" w:right="0" w:firstLine="0"/>
        <w:jc w:val="left"/>
        <w:rPr>
          <w:i/>
          <w:sz w:val="38"/>
        </w:rPr>
      </w:pPr>
      <w:r>
        <w:rPr>
          <w:i/>
          <w:sz w:val="38"/>
        </w:rPr>
        <w:t>(1) Foods which are not safe may not be placed on the market.</w:t>
      </w:r>
    </w:p>
    <w:p>
      <w:pPr>
        <w:spacing w:before="304"/>
        <w:ind w:left="477" w:right="0" w:firstLine="0"/>
        <w:jc w:val="left"/>
        <w:rPr>
          <w:i/>
          <w:sz w:val="38"/>
        </w:rPr>
      </w:pPr>
      <w:r>
        <w:rPr>
          <w:i/>
          <w:sz w:val="38"/>
        </w:rPr>
        <w:t>(2a) Foods are considered unsafe if they are deemed to be harmful to health.</w:t>
      </w:r>
    </w:p>
    <w:p>
      <w:pPr>
        <w:pStyle w:val="BodyText"/>
        <w:spacing w:line="276" w:lineRule="auto" w:before="303"/>
        <w:ind w:left="477" w:right="132"/>
        <w:jc w:val="both"/>
        <w:rPr>
          <w:sz w:val="25"/>
        </w:rPr>
      </w:pPr>
      <w:r>
        <w:rPr/>
        <w:t>Most researchers in the field report that glucosamine has consistently good to very good tolerability and efficacy; decades of use all over the world are testa- ment to this. In the case of glucosamine sulphate, according to Dr. Thomas Kausch,</w:t>
      </w:r>
      <w:r>
        <w:rPr>
          <w:spacing w:val="-7"/>
        </w:rPr>
        <w:t> </w:t>
      </w:r>
      <w:r>
        <w:rPr/>
        <w:t>medical</w:t>
      </w:r>
      <w:r>
        <w:rPr>
          <w:spacing w:val="-7"/>
        </w:rPr>
        <w:t> </w:t>
      </w:r>
      <w:r>
        <w:rPr/>
        <w:t>director</w:t>
      </w:r>
      <w:r>
        <w:rPr>
          <w:spacing w:val="-8"/>
        </w:rPr>
        <w:t> </w:t>
      </w:r>
      <w:r>
        <w:rPr/>
        <w:t>of</w:t>
      </w:r>
      <w:r>
        <w:rPr>
          <w:spacing w:val="-8"/>
        </w:rPr>
        <w:t> </w:t>
      </w:r>
      <w:r>
        <w:rPr/>
        <w:t>Kliniken</w:t>
      </w:r>
      <w:r>
        <w:rPr>
          <w:spacing w:val="-7"/>
        </w:rPr>
        <w:t> </w:t>
      </w:r>
      <w:r>
        <w:rPr/>
        <w:t>Bad</w:t>
      </w:r>
      <w:r>
        <w:rPr>
          <w:spacing w:val="-9"/>
        </w:rPr>
        <w:t> </w:t>
      </w:r>
      <w:r>
        <w:rPr/>
        <w:t>Neuenahr,</w:t>
      </w:r>
      <w:r>
        <w:rPr>
          <w:spacing w:val="-7"/>
        </w:rPr>
        <w:t> </w:t>
      </w:r>
      <w:r>
        <w:rPr/>
        <w:t>a</w:t>
      </w:r>
      <w:r>
        <w:rPr>
          <w:spacing w:val="-9"/>
        </w:rPr>
        <w:t> </w:t>
      </w:r>
      <w:r>
        <w:rPr/>
        <w:t>sufficient</w:t>
      </w:r>
      <w:r>
        <w:rPr>
          <w:spacing w:val="-6"/>
        </w:rPr>
        <w:t> </w:t>
      </w:r>
      <w:r>
        <w:rPr/>
        <w:t>dosage,</w:t>
      </w:r>
      <w:r>
        <w:rPr>
          <w:spacing w:val="-8"/>
        </w:rPr>
        <w:t> </w:t>
      </w:r>
      <w:r>
        <w:rPr/>
        <w:t>which is 1500 mg of D-glucosamine sulphate a day, is</w:t>
      </w:r>
      <w:r>
        <w:rPr>
          <w:spacing w:val="-3"/>
        </w:rPr>
        <w:t> </w:t>
      </w:r>
      <w:r>
        <w:rPr/>
        <w:t>effective.</w:t>
      </w:r>
      <w:r>
        <w:rPr>
          <w:position w:val="9"/>
          <w:sz w:val="25"/>
        </w:rPr>
        <w:t>339</w:t>
      </w:r>
    </w:p>
    <w:p>
      <w:pPr>
        <w:pStyle w:val="Heading2"/>
        <w:spacing w:before="242"/>
      </w:pPr>
      <w:r>
        <w:rPr/>
        <w:t>Tolerability of glucosamine confirmed in studies</w:t>
      </w:r>
    </w:p>
    <w:p>
      <w:pPr>
        <w:pStyle w:val="BodyText"/>
        <w:spacing w:line="276" w:lineRule="auto" w:before="302"/>
        <w:ind w:left="477" w:right="135"/>
        <w:jc w:val="both"/>
        <w:rPr>
          <w:sz w:val="25"/>
        </w:rPr>
      </w:pPr>
      <w:r>
        <w:rPr/>
        <w:t>Studies have shown that glucosamine has comparable tolerability to a placebo (a dummy treatment) and is significantly better tolerated than conventional drugs for joint wear.</w:t>
      </w:r>
      <w:r>
        <w:rPr>
          <w:position w:val="9"/>
          <w:sz w:val="25"/>
        </w:rPr>
        <w:t>340</w:t>
      </w:r>
    </w:p>
    <w:p>
      <w:pPr>
        <w:pStyle w:val="BodyText"/>
        <w:spacing w:line="276" w:lineRule="auto" w:before="241"/>
        <w:ind w:left="477" w:right="132"/>
      </w:pPr>
      <w:r>
        <w:rPr/>
        <w:t>You should still consult your doctor before taking glucosamine/chondroitin in the following cases:</w:t>
      </w:r>
    </w:p>
    <w:p>
      <w:pPr>
        <w:pStyle w:val="ListParagraph"/>
        <w:numPr>
          <w:ilvl w:val="0"/>
          <w:numId w:val="31"/>
        </w:numPr>
        <w:tabs>
          <w:tab w:pos="1043" w:val="left" w:leader="none"/>
          <w:tab w:pos="1044" w:val="left" w:leader="none"/>
        </w:tabs>
        <w:spacing w:line="273" w:lineRule="auto" w:before="243" w:after="0"/>
        <w:ind w:left="1043" w:right="133" w:hanging="360"/>
        <w:jc w:val="left"/>
        <w:rPr>
          <w:sz w:val="38"/>
        </w:rPr>
      </w:pPr>
      <w:r>
        <w:rPr>
          <w:sz w:val="38"/>
        </w:rPr>
        <w:t>If you want to use glucosamine and chondroitin of animal origin and are not sure if you are allergic to shellfish.</w:t>
      </w:r>
    </w:p>
    <w:p>
      <w:pPr>
        <w:pStyle w:val="BodyText"/>
        <w:rPr>
          <w:sz w:val="20"/>
        </w:rPr>
      </w:pPr>
    </w:p>
    <w:p>
      <w:pPr>
        <w:pStyle w:val="BodyText"/>
        <w:spacing w:before="6"/>
        <w:rPr>
          <w:sz w:val="19"/>
        </w:rPr>
      </w:pPr>
      <w:r>
        <w:rPr/>
        <w:pict>
          <v:line style="position:absolute;mso-position-horizontal-relative:page;mso-position-vertical-relative:paragraph;z-index:3896;mso-wrap-distance-left:0;mso-wrap-distance-right:0" from="63.863998pt,13.349976pt" to="207.883998pt,13.349976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339 </w:t>
      </w:r>
      <w:r>
        <w:rPr>
          <w:sz w:val="20"/>
        </w:rPr>
        <w:t>Dr. Thomas Kausch, Medical Director of the Kliniken Bad Neuenahr, Source: Adlexis GmbH, BPI – November 2006</w:t>
      </w:r>
    </w:p>
    <w:p>
      <w:pPr>
        <w:spacing w:before="94"/>
        <w:ind w:left="477" w:right="0" w:firstLine="0"/>
        <w:jc w:val="left"/>
        <w:rPr>
          <w:sz w:val="20"/>
        </w:rPr>
      </w:pPr>
      <w:r>
        <w:rPr>
          <w:position w:val="4"/>
          <w:sz w:val="10"/>
        </w:rPr>
        <w:t>340 </w:t>
      </w:r>
      <w:r>
        <w:rPr>
          <w:sz w:val="20"/>
        </w:rPr>
        <w:t>Reginster JY et al., Lancet 2001, 357, p. 251-56</w:t>
      </w:r>
    </w:p>
    <w:p>
      <w:pPr>
        <w:spacing w:after="0"/>
        <w:jc w:val="left"/>
        <w:rPr>
          <w:sz w:val="20"/>
        </w:rPr>
        <w:sectPr>
          <w:pgSz w:w="14270" w:h="16850"/>
          <w:pgMar w:header="0" w:footer="1891" w:top="1600" w:bottom="2080" w:left="800" w:right="1280"/>
        </w:sectPr>
      </w:pPr>
    </w:p>
    <w:p>
      <w:pPr>
        <w:pStyle w:val="BodyText"/>
        <w:spacing w:before="10"/>
        <w:rPr>
          <w:sz w:val="8"/>
        </w:rPr>
      </w:pPr>
    </w:p>
    <w:p>
      <w:pPr>
        <w:pStyle w:val="ListParagraph"/>
        <w:numPr>
          <w:ilvl w:val="0"/>
          <w:numId w:val="31"/>
        </w:numPr>
        <w:tabs>
          <w:tab w:pos="1044" w:val="left" w:leader="none"/>
        </w:tabs>
        <w:spacing w:line="273" w:lineRule="auto" w:before="83" w:after="0"/>
        <w:ind w:left="1043" w:right="142" w:hanging="360"/>
        <w:jc w:val="both"/>
        <w:rPr>
          <w:sz w:val="38"/>
        </w:rPr>
      </w:pPr>
      <w:r>
        <w:rPr>
          <w:sz w:val="38"/>
        </w:rPr>
        <w:t>It is believed that glucosamine is involved in carbohydrate metabolism; if you are a diabetic, you should consult your doctor beforehand. This is true in all cases of glucose</w:t>
      </w:r>
      <w:r>
        <w:rPr>
          <w:spacing w:val="2"/>
          <w:sz w:val="38"/>
        </w:rPr>
        <w:t> </w:t>
      </w:r>
      <w:r>
        <w:rPr>
          <w:sz w:val="38"/>
        </w:rPr>
        <w:t>tolerance.</w:t>
      </w:r>
    </w:p>
    <w:p>
      <w:pPr>
        <w:pStyle w:val="ListParagraph"/>
        <w:numPr>
          <w:ilvl w:val="0"/>
          <w:numId w:val="31"/>
        </w:numPr>
        <w:tabs>
          <w:tab w:pos="1044" w:val="left" w:leader="none"/>
        </w:tabs>
        <w:spacing w:line="273" w:lineRule="auto" w:before="252" w:after="0"/>
        <w:ind w:left="1043" w:right="143" w:hanging="360"/>
        <w:jc w:val="both"/>
        <w:rPr>
          <w:sz w:val="38"/>
        </w:rPr>
      </w:pPr>
      <w:r>
        <w:rPr>
          <w:sz w:val="38"/>
        </w:rPr>
        <w:t>Taking antibiotics may increase or decrease the effect, depending on the drug.</w:t>
      </w:r>
    </w:p>
    <w:p>
      <w:pPr>
        <w:pStyle w:val="ListParagraph"/>
        <w:numPr>
          <w:ilvl w:val="0"/>
          <w:numId w:val="31"/>
        </w:numPr>
        <w:tabs>
          <w:tab w:pos="1044" w:val="left" w:leader="none"/>
        </w:tabs>
        <w:spacing w:line="273" w:lineRule="auto" w:before="247" w:after="0"/>
        <w:ind w:left="1043" w:right="135" w:hanging="360"/>
        <w:jc w:val="both"/>
        <w:rPr>
          <w:sz w:val="38"/>
        </w:rPr>
      </w:pPr>
      <w:r>
        <w:rPr>
          <w:sz w:val="38"/>
        </w:rPr>
        <w:t>If you are taking blood-liquefying medicines called anticoagulants because the blood-liquefying substance ‘heparin’ is also one of the glycosaminogly- cans</w:t>
      </w:r>
      <w:r>
        <w:rPr>
          <w:spacing w:val="1"/>
          <w:sz w:val="38"/>
        </w:rPr>
        <w:t> </w:t>
      </w:r>
      <w:r>
        <w:rPr>
          <w:sz w:val="38"/>
        </w:rPr>
        <w:t>(GAGs).</w:t>
      </w:r>
    </w:p>
    <w:p>
      <w:pPr>
        <w:pStyle w:val="ListParagraph"/>
        <w:numPr>
          <w:ilvl w:val="0"/>
          <w:numId w:val="31"/>
        </w:numPr>
        <w:tabs>
          <w:tab w:pos="1140" w:val="left" w:leader="none"/>
        </w:tabs>
        <w:spacing w:line="273" w:lineRule="auto" w:before="252" w:after="0"/>
        <w:ind w:left="1043" w:right="136" w:hanging="360"/>
        <w:jc w:val="both"/>
        <w:rPr>
          <w:sz w:val="38"/>
        </w:rPr>
      </w:pPr>
      <w:r>
        <w:rPr>
          <w:sz w:val="38"/>
        </w:rPr>
        <w:t>Furthermore, treatment of pregnant women, nursing women and children under the age of 18 is not recommended due to a lack of</w:t>
      </w:r>
      <w:r>
        <w:rPr>
          <w:spacing w:val="-10"/>
          <w:sz w:val="38"/>
        </w:rPr>
        <w:t> </w:t>
      </w:r>
      <w:r>
        <w:rPr>
          <w:sz w:val="38"/>
        </w:rPr>
        <w:t>data.</w:t>
      </w:r>
    </w:p>
    <w:p>
      <w:pPr>
        <w:pStyle w:val="BodyText"/>
        <w:rPr>
          <w:sz w:val="42"/>
        </w:rPr>
      </w:pPr>
    </w:p>
    <w:p>
      <w:pPr>
        <w:pStyle w:val="BodyText"/>
        <w:spacing w:before="10"/>
        <w:rPr>
          <w:sz w:val="44"/>
        </w:rPr>
      </w:pPr>
    </w:p>
    <w:p>
      <w:pPr>
        <w:pStyle w:val="Heading2"/>
        <w:spacing w:before="1"/>
      </w:pPr>
      <w:r>
        <w:rPr/>
        <w:t>Complementary measures</w:t>
      </w:r>
    </w:p>
    <w:p>
      <w:pPr>
        <w:pStyle w:val="BodyText"/>
        <w:spacing w:line="276" w:lineRule="auto" w:before="304"/>
        <w:ind w:left="477" w:right="134"/>
        <w:jc w:val="both"/>
      </w:pPr>
      <w:r>
        <w:rPr/>
        <w:t>Contrary to what orthodox medicine would have us believe, cartilage, bones, tendons and ligaments, as well as connective tissue, are living matter and</w:t>
      </w:r>
      <w:r>
        <w:rPr>
          <w:spacing w:val="-61"/>
        </w:rPr>
        <w:t> </w:t>
      </w:r>
      <w:r>
        <w:rPr/>
        <w:t>there- fore capable of regeneration, provided that the necessary building materials are available and can be transported to the cartilage by means of corresponding movement of the joint.</w:t>
      </w:r>
    </w:p>
    <w:p>
      <w:pPr>
        <w:pStyle w:val="BodyText"/>
        <w:spacing w:line="276" w:lineRule="auto" w:before="240"/>
        <w:ind w:left="477" w:right="131"/>
        <w:jc w:val="both"/>
      </w:pPr>
      <w:r>
        <w:rPr/>
        <w:t>While</w:t>
      </w:r>
      <w:r>
        <w:rPr>
          <w:spacing w:val="-13"/>
        </w:rPr>
        <w:t> </w:t>
      </w:r>
      <w:r>
        <w:rPr/>
        <w:t>orthodox</w:t>
      </w:r>
      <w:r>
        <w:rPr>
          <w:spacing w:val="-13"/>
        </w:rPr>
        <w:t> </w:t>
      </w:r>
      <w:r>
        <w:rPr/>
        <w:t>medicine</w:t>
      </w:r>
      <w:r>
        <w:rPr>
          <w:spacing w:val="-10"/>
        </w:rPr>
        <w:t> </w:t>
      </w:r>
      <w:r>
        <w:rPr/>
        <w:t>likes</w:t>
      </w:r>
      <w:r>
        <w:rPr>
          <w:spacing w:val="-11"/>
        </w:rPr>
        <w:t> </w:t>
      </w:r>
      <w:r>
        <w:rPr/>
        <w:t>to</w:t>
      </w:r>
      <w:r>
        <w:rPr>
          <w:spacing w:val="-10"/>
        </w:rPr>
        <w:t> </w:t>
      </w:r>
      <w:r>
        <w:rPr/>
        <w:t>talk</w:t>
      </w:r>
      <w:r>
        <w:rPr>
          <w:spacing w:val="-12"/>
        </w:rPr>
        <w:t> </w:t>
      </w:r>
      <w:r>
        <w:rPr/>
        <w:t>about</w:t>
      </w:r>
      <w:r>
        <w:rPr>
          <w:spacing w:val="-11"/>
        </w:rPr>
        <w:t> </w:t>
      </w:r>
      <w:r>
        <w:rPr>
          <w:i/>
        </w:rPr>
        <w:t>‘</w:t>
      </w:r>
      <w:r>
        <w:rPr/>
        <w:t>age-related</w:t>
      </w:r>
      <w:r>
        <w:rPr>
          <w:spacing w:val="-12"/>
        </w:rPr>
        <w:t> </w:t>
      </w:r>
      <w:r>
        <w:rPr/>
        <w:t>wear</w:t>
      </w:r>
      <w:r>
        <w:rPr>
          <w:spacing w:val="-11"/>
        </w:rPr>
        <w:t> </w:t>
      </w:r>
      <w:r>
        <w:rPr/>
        <w:t>and</w:t>
      </w:r>
      <w:r>
        <w:rPr>
          <w:spacing w:val="-10"/>
        </w:rPr>
        <w:t> </w:t>
      </w:r>
      <w:r>
        <w:rPr/>
        <w:t>tear’</w:t>
      </w:r>
      <w:r>
        <w:rPr>
          <w:spacing w:val="-11"/>
        </w:rPr>
        <w:t> </w:t>
      </w:r>
      <w:r>
        <w:rPr/>
        <w:t>as</w:t>
      </w:r>
      <w:r>
        <w:rPr>
          <w:spacing w:val="-11"/>
        </w:rPr>
        <w:t> </w:t>
      </w:r>
      <w:r>
        <w:rPr/>
        <w:t>in</w:t>
      </w:r>
      <w:r>
        <w:rPr>
          <w:spacing w:val="-13"/>
        </w:rPr>
        <w:t> </w:t>
      </w:r>
      <w:r>
        <w:rPr/>
        <w:t>the case</w:t>
      </w:r>
      <w:r>
        <w:rPr>
          <w:spacing w:val="-7"/>
        </w:rPr>
        <w:t> </w:t>
      </w:r>
      <w:r>
        <w:rPr/>
        <w:t>of</w:t>
      </w:r>
      <w:r>
        <w:rPr>
          <w:spacing w:val="-8"/>
        </w:rPr>
        <w:t> </w:t>
      </w:r>
      <w:r>
        <w:rPr/>
        <w:t>a</w:t>
      </w:r>
      <w:r>
        <w:rPr>
          <w:spacing w:val="-9"/>
        </w:rPr>
        <w:t> </w:t>
      </w:r>
      <w:r>
        <w:rPr/>
        <w:t>machine,</w:t>
      </w:r>
      <w:r>
        <w:rPr>
          <w:spacing w:val="-8"/>
        </w:rPr>
        <w:t> </w:t>
      </w:r>
      <w:r>
        <w:rPr/>
        <w:t>on</w:t>
      </w:r>
      <w:r>
        <w:rPr>
          <w:spacing w:val="-9"/>
        </w:rPr>
        <w:t> </w:t>
      </w:r>
      <w:r>
        <w:rPr/>
        <w:t>the</w:t>
      </w:r>
      <w:r>
        <w:rPr>
          <w:spacing w:val="-7"/>
        </w:rPr>
        <w:t> </w:t>
      </w:r>
      <w:r>
        <w:rPr/>
        <w:t>contrary,</w:t>
      </w:r>
      <w:r>
        <w:rPr>
          <w:spacing w:val="-8"/>
        </w:rPr>
        <w:t> </w:t>
      </w:r>
      <w:r>
        <w:rPr/>
        <w:t>in</w:t>
      </w:r>
      <w:r>
        <w:rPr>
          <w:spacing w:val="-8"/>
        </w:rPr>
        <w:t> </w:t>
      </w:r>
      <w:r>
        <w:rPr/>
        <w:t>each</w:t>
      </w:r>
      <w:r>
        <w:rPr>
          <w:spacing w:val="-10"/>
        </w:rPr>
        <w:t> </w:t>
      </w:r>
      <w:r>
        <w:rPr/>
        <w:t>of</w:t>
      </w:r>
      <w:r>
        <w:rPr>
          <w:spacing w:val="-8"/>
        </w:rPr>
        <w:t> </w:t>
      </w:r>
      <w:r>
        <w:rPr/>
        <w:t>our</w:t>
      </w:r>
      <w:r>
        <w:rPr>
          <w:spacing w:val="-10"/>
        </w:rPr>
        <w:t> </w:t>
      </w:r>
      <w:r>
        <w:rPr/>
        <w:t>body</w:t>
      </w:r>
      <w:r>
        <w:rPr>
          <w:spacing w:val="-7"/>
        </w:rPr>
        <w:t> </w:t>
      </w:r>
      <w:r>
        <w:rPr/>
        <w:t>cells,</w:t>
      </w:r>
      <w:r>
        <w:rPr>
          <w:spacing w:val="-7"/>
        </w:rPr>
        <w:t> </w:t>
      </w:r>
      <w:r>
        <w:rPr/>
        <w:t>there</w:t>
      </w:r>
      <w:r>
        <w:rPr>
          <w:spacing w:val="-11"/>
        </w:rPr>
        <w:t> </w:t>
      </w:r>
      <w:r>
        <w:rPr/>
        <w:t>is</w:t>
      </w:r>
      <w:r>
        <w:rPr>
          <w:spacing w:val="-8"/>
        </w:rPr>
        <w:t> </w:t>
      </w:r>
      <w:r>
        <w:rPr/>
        <w:t>a</w:t>
      </w:r>
      <w:r>
        <w:rPr>
          <w:spacing w:val="-9"/>
        </w:rPr>
        <w:t> </w:t>
      </w:r>
      <w:r>
        <w:rPr/>
        <w:t>constant buildup</w:t>
      </w:r>
      <w:r>
        <w:rPr>
          <w:spacing w:val="-19"/>
        </w:rPr>
        <w:t> </w:t>
      </w:r>
      <w:r>
        <w:rPr/>
        <w:t>and</w:t>
      </w:r>
      <w:r>
        <w:rPr>
          <w:spacing w:val="-19"/>
        </w:rPr>
        <w:t> </w:t>
      </w:r>
      <w:r>
        <w:rPr/>
        <w:t>breakdown</w:t>
      </w:r>
      <w:r>
        <w:rPr>
          <w:spacing w:val="-18"/>
        </w:rPr>
        <w:t> </w:t>
      </w:r>
      <w:r>
        <w:rPr/>
        <w:t>of</w:t>
      </w:r>
      <w:r>
        <w:rPr>
          <w:spacing w:val="-19"/>
        </w:rPr>
        <w:t> </w:t>
      </w:r>
      <w:r>
        <w:rPr/>
        <w:t>ALL</w:t>
      </w:r>
      <w:r>
        <w:rPr>
          <w:spacing w:val="-20"/>
        </w:rPr>
        <w:t> </w:t>
      </w:r>
      <w:r>
        <w:rPr/>
        <w:t>tissue</w:t>
      </w:r>
      <w:r>
        <w:rPr>
          <w:spacing w:val="-20"/>
        </w:rPr>
        <w:t> </w:t>
      </w:r>
      <w:r>
        <w:rPr/>
        <w:t>forms</w:t>
      </w:r>
      <w:r>
        <w:rPr>
          <w:spacing w:val="-18"/>
        </w:rPr>
        <w:t> </w:t>
      </w:r>
      <w:r>
        <w:rPr/>
        <w:t>–</w:t>
      </w:r>
      <w:r>
        <w:rPr>
          <w:spacing w:val="-22"/>
        </w:rPr>
        <w:t> </w:t>
      </w:r>
      <w:r>
        <w:rPr/>
        <w:t>in</w:t>
      </w:r>
      <w:r>
        <w:rPr>
          <w:spacing w:val="-18"/>
        </w:rPr>
        <w:t> </w:t>
      </w:r>
      <w:r>
        <w:rPr/>
        <w:t>contrast</w:t>
      </w:r>
      <w:r>
        <w:rPr>
          <w:spacing w:val="-18"/>
        </w:rPr>
        <w:t> </w:t>
      </w:r>
      <w:r>
        <w:rPr/>
        <w:t>to</w:t>
      </w:r>
      <w:r>
        <w:rPr>
          <w:spacing w:val="-18"/>
        </w:rPr>
        <w:t> </w:t>
      </w:r>
      <w:r>
        <w:rPr/>
        <w:t>any</w:t>
      </w:r>
      <w:r>
        <w:rPr>
          <w:spacing w:val="-21"/>
        </w:rPr>
        <w:t> </w:t>
      </w:r>
      <w:r>
        <w:rPr/>
        <w:t>wheel</w:t>
      </w:r>
      <w:r>
        <w:rPr>
          <w:spacing w:val="-19"/>
        </w:rPr>
        <w:t> </w:t>
      </w:r>
      <w:r>
        <w:rPr/>
        <w:t>bearings</w:t>
      </w:r>
    </w:p>
    <w:p>
      <w:pPr>
        <w:spacing w:after="0" w:line="276" w:lineRule="auto"/>
        <w:jc w:val="both"/>
        <w:sectPr>
          <w:footerReference w:type="default" r:id="rId124"/>
          <w:pgSz w:w="14270" w:h="16850"/>
          <w:pgMar w:footer="1891" w:header="0" w:top="1600" w:bottom="2080" w:left="800" w:right="1280"/>
          <w:pgNumType w:start="470"/>
        </w:sectPr>
      </w:pPr>
    </w:p>
    <w:p>
      <w:pPr>
        <w:pStyle w:val="BodyText"/>
        <w:spacing w:before="181"/>
        <w:ind w:left="477"/>
      </w:pPr>
      <w:r>
        <w:rPr/>
        <w:t>and other artificial joint forms, articular cartilage can regenerate.</w:t>
      </w:r>
    </w:p>
    <w:p>
      <w:pPr>
        <w:pStyle w:val="BodyText"/>
        <w:spacing w:line="276" w:lineRule="auto" w:before="305"/>
        <w:ind w:left="477" w:right="139"/>
        <w:jc w:val="both"/>
      </w:pPr>
      <w:r>
        <w:rPr/>
        <w:t>The</w:t>
      </w:r>
      <w:r>
        <w:rPr>
          <w:spacing w:val="-25"/>
        </w:rPr>
        <w:t> </w:t>
      </w:r>
      <w:r>
        <w:rPr/>
        <w:t>American</w:t>
      </w:r>
      <w:r>
        <w:rPr>
          <w:spacing w:val="-26"/>
        </w:rPr>
        <w:t> </w:t>
      </w:r>
      <w:r>
        <w:rPr/>
        <w:t>orthopaedist</w:t>
      </w:r>
      <w:r>
        <w:rPr>
          <w:spacing w:val="-26"/>
        </w:rPr>
        <w:t> </w:t>
      </w:r>
      <w:r>
        <w:rPr/>
        <w:t>Jason</w:t>
      </w:r>
      <w:r>
        <w:rPr>
          <w:spacing w:val="-24"/>
        </w:rPr>
        <w:t> </w:t>
      </w:r>
      <w:r>
        <w:rPr/>
        <w:t>Theodosakis</w:t>
      </w:r>
      <w:r>
        <w:rPr>
          <w:spacing w:val="-29"/>
        </w:rPr>
        <w:t> </w:t>
      </w:r>
      <w:r>
        <w:rPr/>
        <w:t>has</w:t>
      </w:r>
      <w:r>
        <w:rPr>
          <w:spacing w:val="-26"/>
        </w:rPr>
        <w:t> </w:t>
      </w:r>
      <w:r>
        <w:rPr/>
        <w:t>developed</w:t>
      </w:r>
      <w:r>
        <w:rPr>
          <w:spacing w:val="-24"/>
        </w:rPr>
        <w:t> </w:t>
      </w:r>
      <w:r>
        <w:rPr/>
        <w:t>a</w:t>
      </w:r>
      <w:r>
        <w:rPr>
          <w:spacing w:val="-29"/>
        </w:rPr>
        <w:t> </w:t>
      </w:r>
      <w:r>
        <w:rPr/>
        <w:t>novel</w:t>
      </w:r>
      <w:r>
        <w:rPr>
          <w:spacing w:val="-26"/>
        </w:rPr>
        <w:t> </w:t>
      </w:r>
      <w:r>
        <w:rPr/>
        <w:t>treatment for arthrosis that is based on various nutrients and can lead to a complete re- building of the articular cartilage. His observations indicate that the substances in question must be nutrients which meet the following</w:t>
      </w:r>
      <w:r>
        <w:rPr>
          <w:spacing w:val="-3"/>
        </w:rPr>
        <w:t> </w:t>
      </w:r>
      <w:r>
        <w:rPr/>
        <w:t>conditions:</w:t>
      </w:r>
    </w:p>
    <w:p>
      <w:pPr>
        <w:pStyle w:val="ListParagraph"/>
        <w:numPr>
          <w:ilvl w:val="1"/>
          <w:numId w:val="31"/>
        </w:numPr>
        <w:tabs>
          <w:tab w:pos="1185" w:val="left" w:leader="none"/>
          <w:tab w:pos="1186" w:val="left" w:leader="none"/>
        </w:tabs>
        <w:spacing w:line="273" w:lineRule="auto" w:before="241" w:after="0"/>
        <w:ind w:left="1185" w:right="137" w:hanging="355"/>
        <w:jc w:val="left"/>
        <w:rPr>
          <w:sz w:val="38"/>
        </w:rPr>
      </w:pPr>
      <w:r>
        <w:rPr>
          <w:sz w:val="38"/>
        </w:rPr>
        <w:t>Increase in the synthesis of cartilage cells (glucosamino-glycans, collagen, proteoglycans, proteins, DNA and</w:t>
      </w:r>
      <w:r>
        <w:rPr>
          <w:spacing w:val="2"/>
          <w:sz w:val="38"/>
        </w:rPr>
        <w:t> </w:t>
      </w:r>
      <w:r>
        <w:rPr>
          <w:sz w:val="38"/>
        </w:rPr>
        <w:t>RNA)</w:t>
      </w:r>
    </w:p>
    <w:p>
      <w:pPr>
        <w:pStyle w:val="ListParagraph"/>
        <w:numPr>
          <w:ilvl w:val="1"/>
          <w:numId w:val="31"/>
        </w:numPr>
        <w:tabs>
          <w:tab w:pos="1185" w:val="left" w:leader="none"/>
          <w:tab w:pos="1186" w:val="left" w:leader="none"/>
        </w:tabs>
        <w:spacing w:line="273" w:lineRule="auto" w:before="127" w:after="0"/>
        <w:ind w:left="1185" w:right="134" w:hanging="355"/>
        <w:jc w:val="left"/>
        <w:rPr>
          <w:sz w:val="38"/>
        </w:rPr>
      </w:pPr>
      <w:r>
        <w:rPr>
          <w:sz w:val="38"/>
        </w:rPr>
        <w:t>Increase</w:t>
      </w:r>
      <w:r>
        <w:rPr>
          <w:spacing w:val="-7"/>
          <w:sz w:val="38"/>
        </w:rPr>
        <w:t> </w:t>
      </w:r>
      <w:r>
        <w:rPr>
          <w:sz w:val="38"/>
        </w:rPr>
        <w:t>in</w:t>
      </w:r>
      <w:r>
        <w:rPr>
          <w:spacing w:val="-9"/>
          <w:sz w:val="38"/>
        </w:rPr>
        <w:t> </w:t>
      </w:r>
      <w:r>
        <w:rPr>
          <w:sz w:val="38"/>
        </w:rPr>
        <w:t>the</w:t>
      </w:r>
      <w:r>
        <w:rPr>
          <w:spacing w:val="-8"/>
          <w:sz w:val="38"/>
        </w:rPr>
        <w:t> </w:t>
      </w:r>
      <w:r>
        <w:rPr>
          <w:sz w:val="38"/>
        </w:rPr>
        <w:t>synthesis</w:t>
      </w:r>
      <w:r>
        <w:rPr>
          <w:spacing w:val="-7"/>
          <w:sz w:val="38"/>
        </w:rPr>
        <w:t> </w:t>
      </w:r>
      <w:r>
        <w:rPr>
          <w:sz w:val="38"/>
        </w:rPr>
        <w:t>of</w:t>
      </w:r>
      <w:r>
        <w:rPr>
          <w:spacing w:val="-9"/>
          <w:sz w:val="38"/>
        </w:rPr>
        <w:t> </w:t>
      </w:r>
      <w:r>
        <w:rPr>
          <w:sz w:val="38"/>
        </w:rPr>
        <w:t>hyaluronic</w:t>
      </w:r>
      <w:r>
        <w:rPr>
          <w:spacing w:val="-8"/>
          <w:sz w:val="38"/>
        </w:rPr>
        <w:t> </w:t>
      </w:r>
      <w:r>
        <w:rPr>
          <w:sz w:val="38"/>
        </w:rPr>
        <w:t>acid</w:t>
      </w:r>
      <w:r>
        <w:rPr>
          <w:spacing w:val="-8"/>
          <w:sz w:val="38"/>
        </w:rPr>
        <w:t> </w:t>
      </w:r>
      <w:r>
        <w:rPr>
          <w:sz w:val="38"/>
        </w:rPr>
        <w:t>(the</w:t>
      </w:r>
      <w:r>
        <w:rPr>
          <w:spacing w:val="-9"/>
          <w:sz w:val="38"/>
        </w:rPr>
        <w:t> </w:t>
      </w:r>
      <w:r>
        <w:rPr>
          <w:sz w:val="38"/>
        </w:rPr>
        <w:t>substance</w:t>
      </w:r>
      <w:r>
        <w:rPr>
          <w:spacing w:val="-7"/>
          <w:sz w:val="38"/>
        </w:rPr>
        <w:t> </w:t>
      </w:r>
      <w:r>
        <w:rPr>
          <w:sz w:val="38"/>
        </w:rPr>
        <w:t>that</w:t>
      </w:r>
      <w:r>
        <w:rPr>
          <w:spacing w:val="-8"/>
          <w:sz w:val="38"/>
        </w:rPr>
        <w:t> </w:t>
      </w:r>
      <w:r>
        <w:rPr>
          <w:sz w:val="38"/>
        </w:rPr>
        <w:t>ensures</w:t>
      </w:r>
      <w:r>
        <w:rPr>
          <w:spacing w:val="-6"/>
          <w:sz w:val="38"/>
        </w:rPr>
        <w:t> </w:t>
      </w:r>
      <w:r>
        <w:rPr>
          <w:sz w:val="38"/>
        </w:rPr>
        <w:t>the synovium and cartilage are lubricated and the synovial fluid is</w:t>
      </w:r>
      <w:r>
        <w:rPr>
          <w:spacing w:val="-17"/>
          <w:sz w:val="38"/>
        </w:rPr>
        <w:t> </w:t>
      </w:r>
      <w:r>
        <w:rPr>
          <w:sz w:val="38"/>
        </w:rPr>
        <w:t>viscose).</w:t>
      </w:r>
    </w:p>
    <w:p>
      <w:pPr>
        <w:pStyle w:val="ListParagraph"/>
        <w:numPr>
          <w:ilvl w:val="1"/>
          <w:numId w:val="31"/>
        </w:numPr>
        <w:tabs>
          <w:tab w:pos="1185" w:val="left" w:leader="none"/>
          <w:tab w:pos="1186" w:val="left" w:leader="none"/>
        </w:tabs>
        <w:spacing w:line="240" w:lineRule="auto" w:before="127" w:after="0"/>
        <w:ind w:left="1185" w:right="0" w:hanging="355"/>
        <w:jc w:val="left"/>
        <w:rPr>
          <w:sz w:val="38"/>
        </w:rPr>
      </w:pPr>
      <w:r>
        <w:rPr>
          <w:sz w:val="38"/>
        </w:rPr>
        <w:t>They must stop cartilage-degrading, harmful</w:t>
      </w:r>
      <w:r>
        <w:rPr>
          <w:spacing w:val="-4"/>
          <w:sz w:val="38"/>
        </w:rPr>
        <w:t> </w:t>
      </w:r>
      <w:r>
        <w:rPr>
          <w:sz w:val="38"/>
        </w:rPr>
        <w:t>enzymes.</w:t>
      </w:r>
    </w:p>
    <w:p>
      <w:pPr>
        <w:pStyle w:val="ListParagraph"/>
        <w:numPr>
          <w:ilvl w:val="1"/>
          <w:numId w:val="31"/>
        </w:numPr>
        <w:tabs>
          <w:tab w:pos="1185" w:val="left" w:leader="none"/>
          <w:tab w:pos="1186" w:val="left" w:leader="none"/>
        </w:tabs>
        <w:spacing w:line="273" w:lineRule="auto" w:before="186" w:after="0"/>
        <w:ind w:left="1185" w:right="148" w:hanging="355"/>
        <w:jc w:val="left"/>
        <w:rPr>
          <w:sz w:val="38"/>
        </w:rPr>
      </w:pPr>
      <w:r>
        <w:rPr>
          <w:sz w:val="38"/>
        </w:rPr>
        <w:t>They must mobilise fibrin, platelets, cholesterol and lipids in the synovial membrane.</w:t>
      </w:r>
    </w:p>
    <w:p>
      <w:pPr>
        <w:pStyle w:val="ListParagraph"/>
        <w:numPr>
          <w:ilvl w:val="1"/>
          <w:numId w:val="31"/>
        </w:numPr>
        <w:tabs>
          <w:tab w:pos="1185" w:val="left" w:leader="none"/>
          <w:tab w:pos="1186" w:val="left" w:leader="none"/>
        </w:tabs>
        <w:spacing w:line="240" w:lineRule="auto" w:before="128" w:after="0"/>
        <w:ind w:left="1185" w:right="0" w:hanging="355"/>
        <w:jc w:val="left"/>
        <w:rPr>
          <w:sz w:val="38"/>
        </w:rPr>
      </w:pPr>
      <w:r>
        <w:rPr>
          <w:sz w:val="38"/>
        </w:rPr>
        <w:t>They must contain the state of inflammation of the</w:t>
      </w:r>
      <w:r>
        <w:rPr>
          <w:spacing w:val="-6"/>
          <w:sz w:val="38"/>
        </w:rPr>
        <w:t> </w:t>
      </w:r>
      <w:r>
        <w:rPr>
          <w:sz w:val="38"/>
        </w:rPr>
        <w:t>synovium.</w:t>
      </w:r>
    </w:p>
    <w:p>
      <w:pPr>
        <w:pStyle w:val="ListParagraph"/>
        <w:numPr>
          <w:ilvl w:val="1"/>
          <w:numId w:val="31"/>
        </w:numPr>
        <w:tabs>
          <w:tab w:pos="1185" w:val="left" w:leader="none"/>
          <w:tab w:pos="1186" w:val="left" w:leader="none"/>
        </w:tabs>
        <w:spacing w:line="240" w:lineRule="auto" w:before="183" w:after="0"/>
        <w:ind w:left="1185" w:right="0" w:hanging="355"/>
        <w:jc w:val="left"/>
        <w:rPr>
          <w:sz w:val="38"/>
        </w:rPr>
      </w:pPr>
      <w:r>
        <w:rPr>
          <w:sz w:val="38"/>
        </w:rPr>
        <w:t>They must relieve joint</w:t>
      </w:r>
      <w:r>
        <w:rPr>
          <w:spacing w:val="-1"/>
          <w:sz w:val="38"/>
        </w:rPr>
        <w:t> </w:t>
      </w:r>
      <w:r>
        <w:rPr>
          <w:sz w:val="38"/>
        </w:rPr>
        <w:t>pain.</w:t>
      </w:r>
    </w:p>
    <w:p>
      <w:pPr>
        <w:pStyle w:val="BodyText"/>
        <w:spacing w:line="276" w:lineRule="auto" w:before="183"/>
        <w:ind w:left="477" w:right="136"/>
        <w:jc w:val="both"/>
      </w:pPr>
      <w:r>
        <w:rPr/>
        <w:t>No drug in the world is capable of doing that. Only the interaction of different nutrients is able to accomplish this ‘miracle’.</w:t>
      </w:r>
    </w:p>
    <w:p>
      <w:pPr>
        <w:pStyle w:val="BodyText"/>
        <w:spacing w:line="276" w:lineRule="auto" w:before="240"/>
        <w:ind w:left="477" w:right="140"/>
        <w:jc w:val="both"/>
      </w:pPr>
      <w:r>
        <w:rPr/>
        <w:t>As already explained in detail, the supply of the joints with glucosamine and chondroitin represents the basis in the form of the actual building materials.</w:t>
      </w:r>
    </w:p>
    <w:p>
      <w:pPr>
        <w:pStyle w:val="BodyText"/>
        <w:spacing w:line="276" w:lineRule="auto" w:before="242"/>
        <w:ind w:left="477" w:right="130"/>
        <w:jc w:val="both"/>
      </w:pPr>
      <w:r>
        <w:rPr/>
        <w:t>In order to reduce the inflammation common in the course of the disease, cer- tain</w:t>
      </w:r>
      <w:r>
        <w:rPr>
          <w:spacing w:val="-20"/>
        </w:rPr>
        <w:t> </w:t>
      </w:r>
      <w:r>
        <w:rPr/>
        <w:t>vitamins</w:t>
      </w:r>
      <w:r>
        <w:rPr>
          <w:spacing w:val="-18"/>
        </w:rPr>
        <w:t> </w:t>
      </w:r>
      <w:r>
        <w:rPr/>
        <w:t>and</w:t>
      </w:r>
      <w:r>
        <w:rPr>
          <w:spacing w:val="-20"/>
        </w:rPr>
        <w:t> </w:t>
      </w:r>
      <w:r>
        <w:rPr/>
        <w:t>fatty</w:t>
      </w:r>
      <w:r>
        <w:rPr>
          <w:spacing w:val="-20"/>
        </w:rPr>
        <w:t> </w:t>
      </w:r>
      <w:r>
        <w:rPr/>
        <w:t>acids</w:t>
      </w:r>
      <w:r>
        <w:rPr>
          <w:spacing w:val="-19"/>
        </w:rPr>
        <w:t> </w:t>
      </w:r>
      <w:r>
        <w:rPr/>
        <w:t>are</w:t>
      </w:r>
      <w:r>
        <w:rPr>
          <w:spacing w:val="-20"/>
        </w:rPr>
        <w:t> </w:t>
      </w:r>
      <w:r>
        <w:rPr/>
        <w:t>recommended,</w:t>
      </w:r>
      <w:r>
        <w:rPr>
          <w:spacing w:val="-18"/>
        </w:rPr>
        <w:t> </w:t>
      </w:r>
      <w:r>
        <w:rPr/>
        <w:t>especially</w:t>
      </w:r>
      <w:r>
        <w:rPr>
          <w:spacing w:val="-18"/>
        </w:rPr>
        <w:t> </w:t>
      </w:r>
      <w:r>
        <w:rPr/>
        <w:t>vitamin</w:t>
      </w:r>
      <w:r>
        <w:rPr>
          <w:spacing w:val="-20"/>
        </w:rPr>
        <w:t> </w:t>
      </w:r>
      <w:r>
        <w:rPr/>
        <w:t>E</w:t>
      </w:r>
      <w:r>
        <w:rPr>
          <w:spacing w:val="-19"/>
        </w:rPr>
        <w:t> </w:t>
      </w:r>
      <w:r>
        <w:rPr/>
        <w:t>and</w:t>
      </w:r>
      <w:r>
        <w:rPr>
          <w:spacing w:val="-19"/>
        </w:rPr>
        <w:t> </w:t>
      </w:r>
      <w:r>
        <w:rPr/>
        <w:t>omega-</w:t>
      </w:r>
    </w:p>
    <w:p>
      <w:pPr>
        <w:spacing w:after="0" w:line="276" w:lineRule="auto"/>
        <w:jc w:val="both"/>
        <w:sectPr>
          <w:pgSz w:w="14270" w:h="16850"/>
          <w:pgMar w:header="0" w:footer="1891" w:top="1600" w:bottom="2080" w:left="800" w:right="1280"/>
        </w:sectPr>
      </w:pPr>
    </w:p>
    <w:p>
      <w:pPr>
        <w:pStyle w:val="BodyText"/>
        <w:spacing w:before="181"/>
        <w:ind w:left="477"/>
      </w:pPr>
      <w:r>
        <w:rPr/>
        <w:t>3 fatty acids.</w:t>
      </w:r>
    </w:p>
    <w:p>
      <w:pPr>
        <w:pStyle w:val="BodyText"/>
        <w:spacing w:before="305"/>
        <w:ind w:left="477"/>
      </w:pPr>
      <w:r>
        <w:rPr/>
        <w:t>Furthermore, in inflammation, so-called rampion has proven itself as a remedy.</w:t>
      </w:r>
    </w:p>
    <w:p>
      <w:pPr>
        <w:pStyle w:val="Heading1"/>
        <w:spacing w:before="287"/>
      </w:pPr>
      <w:r>
        <w:rPr/>
        <w:t>MSM as an anti-inflammatory nutrient</w:t>
      </w:r>
    </w:p>
    <w:p>
      <w:pPr>
        <w:pStyle w:val="BodyText"/>
        <w:spacing w:line="276" w:lineRule="auto" w:before="299"/>
        <w:ind w:left="477" w:right="138"/>
        <w:jc w:val="both"/>
      </w:pPr>
      <w:r>
        <w:rPr/>
        <w:t>MSM (Methyl Sulphonyl Methane) is a sulphur-containing compound that has anti-inflammatory</w:t>
      </w:r>
      <w:r>
        <w:rPr>
          <w:spacing w:val="-15"/>
        </w:rPr>
        <w:t> </w:t>
      </w:r>
      <w:r>
        <w:rPr/>
        <w:t>properties</w:t>
      </w:r>
      <w:r>
        <w:rPr>
          <w:spacing w:val="-14"/>
        </w:rPr>
        <w:t> </w:t>
      </w:r>
      <w:r>
        <w:rPr/>
        <w:t>and</w:t>
      </w:r>
      <w:r>
        <w:rPr>
          <w:spacing w:val="-15"/>
        </w:rPr>
        <w:t> </w:t>
      </w:r>
      <w:r>
        <w:rPr/>
        <w:t>provides</w:t>
      </w:r>
      <w:r>
        <w:rPr>
          <w:spacing w:val="-15"/>
        </w:rPr>
        <w:t> </w:t>
      </w:r>
      <w:r>
        <w:rPr/>
        <w:t>pain</w:t>
      </w:r>
      <w:r>
        <w:rPr>
          <w:spacing w:val="-17"/>
        </w:rPr>
        <w:t> </w:t>
      </w:r>
      <w:r>
        <w:rPr/>
        <w:t>relief</w:t>
      </w:r>
      <w:r>
        <w:rPr>
          <w:spacing w:val="-16"/>
        </w:rPr>
        <w:t> </w:t>
      </w:r>
      <w:r>
        <w:rPr/>
        <w:t>in</w:t>
      </w:r>
      <w:r>
        <w:rPr>
          <w:spacing w:val="-15"/>
        </w:rPr>
        <w:t> </w:t>
      </w:r>
      <w:r>
        <w:rPr/>
        <w:t>joint</w:t>
      </w:r>
      <w:r>
        <w:rPr>
          <w:spacing w:val="-16"/>
        </w:rPr>
        <w:t> </w:t>
      </w:r>
      <w:r>
        <w:rPr/>
        <w:t>inflammation,</w:t>
      </w:r>
      <w:r>
        <w:rPr>
          <w:spacing w:val="-14"/>
        </w:rPr>
        <w:t> </w:t>
      </w:r>
      <w:r>
        <w:rPr/>
        <w:t>but also tendon and mucous membrane</w:t>
      </w:r>
      <w:r>
        <w:rPr>
          <w:spacing w:val="-1"/>
        </w:rPr>
        <w:t> </w:t>
      </w:r>
      <w:r>
        <w:rPr/>
        <w:t>inflammation.</w:t>
      </w:r>
    </w:p>
    <w:p>
      <w:pPr>
        <w:pStyle w:val="Heading1"/>
        <w:spacing w:before="222"/>
      </w:pPr>
      <w:r>
        <w:rPr/>
        <w:t>Silicon/silica</w:t>
      </w:r>
    </w:p>
    <w:p>
      <w:pPr>
        <w:pStyle w:val="BodyText"/>
        <w:spacing w:line="276" w:lineRule="auto" w:before="300"/>
        <w:ind w:left="477" w:right="133"/>
        <w:jc w:val="both"/>
      </w:pPr>
      <w:r>
        <w:rPr/>
        <w:t>In the presence of silicon, the chondrocytes (cells in the joint capsule), which renew the degrading cartilage throughout our lives, show an increase in activity of 243 %. In addition, silicon has an anti-inflammatory effect on the joint, en- hances the ability of hyaline cartilage to bind water, and at the same time in- creases cartilaginous elasticity.</w:t>
      </w:r>
    </w:p>
    <w:p>
      <w:pPr>
        <w:pStyle w:val="Heading2"/>
        <w:spacing w:before="240"/>
      </w:pPr>
      <w:r>
        <w:rPr/>
        <w:t>Vitamins and antioxidants</w:t>
      </w:r>
    </w:p>
    <w:p>
      <w:pPr>
        <w:pStyle w:val="BodyText"/>
        <w:spacing w:line="276" w:lineRule="auto" w:before="304"/>
        <w:ind w:left="477" w:right="132"/>
        <w:jc w:val="both"/>
      </w:pPr>
      <w:r>
        <w:rPr/>
        <w:t>As</w:t>
      </w:r>
      <w:r>
        <w:rPr>
          <w:spacing w:val="-23"/>
        </w:rPr>
        <w:t> </w:t>
      </w:r>
      <w:r>
        <w:rPr/>
        <w:t>well</w:t>
      </w:r>
      <w:r>
        <w:rPr>
          <w:spacing w:val="-24"/>
        </w:rPr>
        <w:t> </w:t>
      </w:r>
      <w:r>
        <w:rPr/>
        <w:t>as</w:t>
      </w:r>
      <w:r>
        <w:rPr>
          <w:spacing w:val="-23"/>
        </w:rPr>
        <w:t> </w:t>
      </w:r>
      <w:r>
        <w:rPr/>
        <w:t>playing</w:t>
      </w:r>
      <w:r>
        <w:rPr>
          <w:spacing w:val="-22"/>
        </w:rPr>
        <w:t> </w:t>
      </w:r>
      <w:r>
        <w:rPr/>
        <w:t>a</w:t>
      </w:r>
      <w:r>
        <w:rPr>
          <w:spacing w:val="-24"/>
        </w:rPr>
        <w:t> </w:t>
      </w:r>
      <w:r>
        <w:rPr/>
        <w:t>key</w:t>
      </w:r>
      <w:r>
        <w:rPr>
          <w:spacing w:val="-23"/>
        </w:rPr>
        <w:t> </w:t>
      </w:r>
      <w:r>
        <w:rPr/>
        <w:t>role</w:t>
      </w:r>
      <w:r>
        <w:rPr>
          <w:spacing w:val="-23"/>
        </w:rPr>
        <w:t> </w:t>
      </w:r>
      <w:r>
        <w:rPr/>
        <w:t>in</w:t>
      </w:r>
      <w:r>
        <w:rPr>
          <w:spacing w:val="-22"/>
        </w:rPr>
        <w:t> </w:t>
      </w:r>
      <w:r>
        <w:rPr/>
        <w:t>numerous</w:t>
      </w:r>
      <w:r>
        <w:rPr>
          <w:spacing w:val="-23"/>
        </w:rPr>
        <w:t> </w:t>
      </w:r>
      <w:r>
        <w:rPr/>
        <w:t>life-threatening</w:t>
      </w:r>
      <w:r>
        <w:rPr>
          <w:spacing w:val="-22"/>
        </w:rPr>
        <w:t> </w:t>
      </w:r>
      <w:r>
        <w:rPr/>
        <w:t>diseases</w:t>
      </w:r>
      <w:r>
        <w:rPr>
          <w:spacing w:val="-23"/>
        </w:rPr>
        <w:t> </w:t>
      </w:r>
      <w:r>
        <w:rPr/>
        <w:t>such</w:t>
      </w:r>
      <w:r>
        <w:rPr>
          <w:spacing w:val="-22"/>
        </w:rPr>
        <w:t> </w:t>
      </w:r>
      <w:r>
        <w:rPr/>
        <w:t>as</w:t>
      </w:r>
      <w:r>
        <w:rPr>
          <w:spacing w:val="-23"/>
        </w:rPr>
        <w:t> </w:t>
      </w:r>
      <w:r>
        <w:rPr/>
        <w:t>cancer or cardiovascular diseases and all age-related symptoms, free radicals also play a key role in most joint</w:t>
      </w:r>
      <w:r>
        <w:rPr>
          <w:spacing w:val="-2"/>
        </w:rPr>
        <w:t> </w:t>
      </w:r>
      <w:r>
        <w:rPr/>
        <w:t>diseases.</w:t>
      </w:r>
    </w:p>
    <w:p>
      <w:pPr>
        <w:pStyle w:val="BodyText"/>
        <w:spacing w:line="276" w:lineRule="auto" w:before="241"/>
        <w:ind w:left="477" w:right="136"/>
        <w:jc w:val="both"/>
      </w:pPr>
      <w:r>
        <w:rPr/>
        <w:t>The</w:t>
      </w:r>
      <w:r>
        <w:rPr>
          <w:spacing w:val="-10"/>
        </w:rPr>
        <w:t> </w:t>
      </w:r>
      <w:r>
        <w:rPr/>
        <w:t>antioxidant</w:t>
      </w:r>
      <w:r>
        <w:rPr>
          <w:spacing w:val="-11"/>
        </w:rPr>
        <w:t> </w:t>
      </w:r>
      <w:r>
        <w:rPr/>
        <w:t>network,</w:t>
      </w:r>
      <w:r>
        <w:rPr>
          <w:spacing w:val="-9"/>
        </w:rPr>
        <w:t> </w:t>
      </w:r>
      <w:r>
        <w:rPr/>
        <w:t>in</w:t>
      </w:r>
      <w:r>
        <w:rPr>
          <w:spacing w:val="-10"/>
        </w:rPr>
        <w:t> </w:t>
      </w:r>
      <w:r>
        <w:rPr/>
        <w:t>the</w:t>
      </w:r>
      <w:r>
        <w:rPr>
          <w:spacing w:val="-8"/>
        </w:rPr>
        <w:t> </w:t>
      </w:r>
      <w:r>
        <w:rPr/>
        <w:t>form</w:t>
      </w:r>
      <w:r>
        <w:rPr>
          <w:spacing w:val="-10"/>
        </w:rPr>
        <w:t> </w:t>
      </w:r>
      <w:r>
        <w:rPr/>
        <w:t>of</w:t>
      </w:r>
      <w:r>
        <w:rPr>
          <w:spacing w:val="-9"/>
        </w:rPr>
        <w:t> </w:t>
      </w:r>
      <w:r>
        <w:rPr/>
        <w:t>OPC,</w:t>
      </w:r>
      <w:r>
        <w:rPr>
          <w:spacing w:val="-9"/>
        </w:rPr>
        <w:t> </w:t>
      </w:r>
      <w:r>
        <w:rPr/>
        <w:t>vitamin</w:t>
      </w:r>
      <w:r>
        <w:rPr>
          <w:spacing w:val="-9"/>
        </w:rPr>
        <w:t> </w:t>
      </w:r>
      <w:r>
        <w:rPr/>
        <w:t>C,</w:t>
      </w:r>
      <w:r>
        <w:rPr>
          <w:spacing w:val="-11"/>
        </w:rPr>
        <w:t> </w:t>
      </w:r>
      <w:r>
        <w:rPr/>
        <w:t>vitamin</w:t>
      </w:r>
      <w:r>
        <w:rPr>
          <w:spacing w:val="-9"/>
        </w:rPr>
        <w:t> </w:t>
      </w:r>
      <w:r>
        <w:rPr/>
        <w:t>E,</w:t>
      </w:r>
      <w:r>
        <w:rPr>
          <w:spacing w:val="-9"/>
        </w:rPr>
        <w:t> </w:t>
      </w:r>
      <w:r>
        <w:rPr/>
        <w:t>coenzyme Q10, selenium, zinc and beta-carotene, can reliably neutralise free radicals and greatly slow down or even prevent the consequences described. In addition, a healthy, varied mixed diet and the additional supply of B vitamins, copper</w:t>
      </w:r>
      <w:r>
        <w:rPr>
          <w:spacing w:val="54"/>
        </w:rPr>
        <w:t> </w:t>
      </w:r>
      <w:r>
        <w:rPr/>
        <w:t>and</w:t>
      </w:r>
    </w:p>
    <w:p>
      <w:pPr>
        <w:spacing w:after="0" w:line="276" w:lineRule="auto"/>
        <w:jc w:val="both"/>
        <w:sectPr>
          <w:pgSz w:w="14270" w:h="16850"/>
          <w:pgMar w:header="0" w:footer="1891" w:top="1600" w:bottom="2080" w:left="800" w:right="1280"/>
        </w:sectPr>
      </w:pPr>
    </w:p>
    <w:p>
      <w:pPr>
        <w:pStyle w:val="BodyText"/>
        <w:spacing w:line="276" w:lineRule="auto" w:before="181"/>
        <w:ind w:left="477" w:right="138"/>
        <w:jc w:val="both"/>
      </w:pPr>
      <w:r>
        <w:rPr/>
        <w:t>zinc</w:t>
      </w:r>
      <w:r>
        <w:rPr>
          <w:spacing w:val="-7"/>
        </w:rPr>
        <w:t> </w:t>
      </w:r>
      <w:r>
        <w:rPr/>
        <w:t>as</w:t>
      </w:r>
      <w:r>
        <w:rPr>
          <w:spacing w:val="-7"/>
        </w:rPr>
        <w:t> </w:t>
      </w:r>
      <w:r>
        <w:rPr/>
        <w:t>well</w:t>
      </w:r>
      <w:r>
        <w:rPr>
          <w:spacing w:val="-8"/>
        </w:rPr>
        <w:t> </w:t>
      </w:r>
      <w:r>
        <w:rPr/>
        <w:t>as</w:t>
      </w:r>
      <w:r>
        <w:rPr>
          <w:spacing w:val="-7"/>
        </w:rPr>
        <w:t> </w:t>
      </w:r>
      <w:r>
        <w:rPr/>
        <w:t>movement</w:t>
      </w:r>
      <w:r>
        <w:rPr>
          <w:spacing w:val="-8"/>
        </w:rPr>
        <w:t> </w:t>
      </w:r>
      <w:r>
        <w:rPr/>
        <w:t>therapy</w:t>
      </w:r>
      <w:r>
        <w:rPr>
          <w:spacing w:val="-7"/>
        </w:rPr>
        <w:t> </w:t>
      </w:r>
      <w:r>
        <w:rPr/>
        <w:t>adapted</w:t>
      </w:r>
      <w:r>
        <w:rPr>
          <w:spacing w:val="-7"/>
        </w:rPr>
        <w:t> </w:t>
      </w:r>
      <w:r>
        <w:rPr/>
        <w:t>to</w:t>
      </w:r>
      <w:r>
        <w:rPr>
          <w:spacing w:val="-6"/>
        </w:rPr>
        <w:t> </w:t>
      </w:r>
      <w:r>
        <w:rPr/>
        <w:t>the</w:t>
      </w:r>
      <w:r>
        <w:rPr>
          <w:spacing w:val="-7"/>
        </w:rPr>
        <w:t> </w:t>
      </w:r>
      <w:r>
        <w:rPr/>
        <w:t>condition</w:t>
      </w:r>
      <w:r>
        <w:rPr>
          <w:spacing w:val="-6"/>
        </w:rPr>
        <w:t> </w:t>
      </w:r>
      <w:r>
        <w:rPr/>
        <w:t>have</w:t>
      </w:r>
      <w:r>
        <w:rPr>
          <w:spacing w:val="-7"/>
        </w:rPr>
        <w:t> </w:t>
      </w:r>
      <w:r>
        <w:rPr/>
        <w:t>also</w:t>
      </w:r>
      <w:r>
        <w:rPr>
          <w:spacing w:val="-7"/>
        </w:rPr>
        <w:t> </w:t>
      </w:r>
      <w:r>
        <w:rPr/>
        <w:t>proven</w:t>
      </w:r>
      <w:r>
        <w:rPr>
          <w:spacing w:val="-7"/>
        </w:rPr>
        <w:t> </w:t>
      </w:r>
      <w:r>
        <w:rPr/>
        <w:t>to be very</w:t>
      </w:r>
      <w:r>
        <w:rPr>
          <w:spacing w:val="1"/>
        </w:rPr>
        <w:t> </w:t>
      </w:r>
      <w:r>
        <w:rPr/>
        <w:t>effective.</w:t>
      </w:r>
    </w:p>
    <w:p>
      <w:pPr>
        <w:pStyle w:val="BodyText"/>
        <w:rPr>
          <w:sz w:val="42"/>
        </w:rPr>
      </w:pPr>
    </w:p>
    <w:p>
      <w:pPr>
        <w:pStyle w:val="BodyText"/>
        <w:rPr>
          <w:sz w:val="42"/>
        </w:rPr>
      </w:pPr>
    </w:p>
    <w:p>
      <w:pPr>
        <w:spacing w:before="258"/>
        <w:ind w:left="477" w:right="0" w:firstLine="0"/>
        <w:jc w:val="both"/>
        <w:rPr>
          <w:rFonts w:ascii="Cambria"/>
          <w:b/>
          <w:sz w:val="28"/>
        </w:rPr>
      </w:pPr>
      <w:r>
        <w:rPr>
          <w:rFonts w:ascii="Cambria"/>
          <w:b/>
          <w:color w:val="365F91"/>
          <w:sz w:val="28"/>
        </w:rPr>
        <w:t>GOTU KOLA</w:t>
      </w:r>
    </w:p>
    <w:p>
      <w:pPr>
        <w:pStyle w:val="BodyText"/>
        <w:rPr>
          <w:rFonts w:ascii="Cambria"/>
          <w:b/>
          <w:sz w:val="45"/>
        </w:rPr>
      </w:pPr>
    </w:p>
    <w:p>
      <w:pPr>
        <w:pStyle w:val="Heading2"/>
        <w:jc w:val="both"/>
      </w:pPr>
      <w:r>
        <w:rPr/>
        <w:t>What is it?</w:t>
      </w:r>
    </w:p>
    <w:p>
      <w:pPr>
        <w:pStyle w:val="BodyText"/>
        <w:spacing w:line="276" w:lineRule="auto" w:before="304"/>
        <w:ind w:left="477" w:right="134"/>
        <w:jc w:val="both"/>
      </w:pPr>
      <w:r>
        <w:rPr/>
        <w:t>Although</w:t>
      </w:r>
      <w:r>
        <w:rPr>
          <w:spacing w:val="-21"/>
        </w:rPr>
        <w:t> </w:t>
      </w:r>
      <w:r>
        <w:rPr/>
        <w:t>the</w:t>
      </w:r>
      <w:r>
        <w:rPr>
          <w:spacing w:val="-19"/>
        </w:rPr>
        <w:t> </w:t>
      </w:r>
      <w:r>
        <w:rPr/>
        <w:t>name</w:t>
      </w:r>
      <w:r>
        <w:rPr>
          <w:spacing w:val="-20"/>
        </w:rPr>
        <w:t> </w:t>
      </w:r>
      <w:r>
        <w:rPr/>
        <w:t>may</w:t>
      </w:r>
      <w:r>
        <w:rPr>
          <w:spacing w:val="-21"/>
        </w:rPr>
        <w:t> </w:t>
      </w:r>
      <w:r>
        <w:rPr/>
        <w:t>suggest</w:t>
      </w:r>
      <w:r>
        <w:rPr>
          <w:spacing w:val="-23"/>
        </w:rPr>
        <w:t> </w:t>
      </w:r>
      <w:r>
        <w:rPr/>
        <w:t>it,</w:t>
      </w:r>
      <w:r>
        <w:rPr>
          <w:spacing w:val="-21"/>
        </w:rPr>
        <w:t> </w:t>
      </w:r>
      <w:r>
        <w:rPr/>
        <w:t>gotu</w:t>
      </w:r>
      <w:r>
        <w:rPr>
          <w:spacing w:val="-22"/>
        </w:rPr>
        <w:t> </w:t>
      </w:r>
      <w:r>
        <w:rPr/>
        <w:t>kola</w:t>
      </w:r>
      <w:r>
        <w:rPr>
          <w:spacing w:val="-22"/>
        </w:rPr>
        <w:t> </w:t>
      </w:r>
      <w:r>
        <w:rPr/>
        <w:t>is</w:t>
      </w:r>
      <w:r>
        <w:rPr>
          <w:spacing w:val="-22"/>
        </w:rPr>
        <w:t> </w:t>
      </w:r>
      <w:r>
        <w:rPr/>
        <w:t>not</w:t>
      </w:r>
      <w:r>
        <w:rPr>
          <w:spacing w:val="-21"/>
        </w:rPr>
        <w:t> </w:t>
      </w:r>
      <w:r>
        <w:rPr/>
        <w:t>a</w:t>
      </w:r>
      <w:r>
        <w:rPr>
          <w:spacing w:val="-21"/>
        </w:rPr>
        <w:t> </w:t>
      </w:r>
      <w:r>
        <w:rPr/>
        <w:t>new</w:t>
      </w:r>
      <w:r>
        <w:rPr>
          <w:spacing w:val="-21"/>
        </w:rPr>
        <w:t> </w:t>
      </w:r>
      <w:r>
        <w:rPr/>
        <w:t>drink</w:t>
      </w:r>
      <w:r>
        <w:rPr>
          <w:spacing w:val="-21"/>
        </w:rPr>
        <w:t> </w:t>
      </w:r>
      <w:r>
        <w:rPr/>
        <w:t>from</w:t>
      </w:r>
      <w:r>
        <w:rPr>
          <w:spacing w:val="-21"/>
        </w:rPr>
        <w:t> </w:t>
      </w:r>
      <w:r>
        <w:rPr/>
        <w:t>the</w:t>
      </w:r>
      <w:r>
        <w:rPr>
          <w:spacing w:val="-20"/>
        </w:rPr>
        <w:t> </w:t>
      </w:r>
      <w:r>
        <w:rPr/>
        <w:t>famous Coca Cola company, but a medicinal plant that has been used for millennia within Traditional Chinese Medicine (TCM) and Indian</w:t>
      </w:r>
      <w:r>
        <w:rPr>
          <w:spacing w:val="-7"/>
        </w:rPr>
        <w:t> </w:t>
      </w:r>
      <w:r>
        <w:rPr/>
        <w:t>Ayurveda.</w:t>
      </w:r>
    </w:p>
    <w:p>
      <w:pPr>
        <w:pStyle w:val="BodyText"/>
        <w:spacing w:line="276" w:lineRule="auto" w:before="241"/>
        <w:ind w:left="477" w:right="133"/>
        <w:jc w:val="both"/>
      </w:pPr>
      <w:r>
        <w:rPr/>
        <w:t>Indians have loved gotu kola since time immemorial. ‘Tiger weed’ is another name for gotu kola, since tigers are said to have gained their strength by eating gotu kola.</w:t>
      </w:r>
    </w:p>
    <w:p>
      <w:pPr>
        <w:pStyle w:val="BodyText"/>
        <w:spacing w:line="276" w:lineRule="auto" w:before="239"/>
        <w:ind w:left="477" w:right="132"/>
        <w:jc w:val="both"/>
      </w:pPr>
      <w:r>
        <w:rPr/>
        <w:t>Probably the most famous proponent and user of ‘fo-ti-tieng’ (the Chinese name for gotu kola) was at the same time, the oldest ever man on record, Li Ching-Yuen.</w:t>
      </w:r>
    </w:p>
    <w:p>
      <w:pPr>
        <w:pStyle w:val="BodyText"/>
        <w:spacing w:line="276" w:lineRule="auto" w:before="242"/>
        <w:ind w:left="477" w:right="133"/>
        <w:jc w:val="both"/>
      </w:pPr>
      <w:r>
        <w:rPr/>
        <w:t>Li Ching-Yuen gained his fame when he passed away on March 5, 1933 at the tender age of 256, surviving 23 wives in the process. This is not necessarily a story</w:t>
      </w:r>
      <w:r>
        <w:rPr>
          <w:spacing w:val="-20"/>
        </w:rPr>
        <w:t> </w:t>
      </w:r>
      <w:r>
        <w:rPr/>
        <w:t>from</w:t>
      </w:r>
      <w:r>
        <w:rPr>
          <w:spacing w:val="-21"/>
        </w:rPr>
        <w:t> </w:t>
      </w:r>
      <w:r>
        <w:rPr/>
        <w:t>the</w:t>
      </w:r>
      <w:r>
        <w:rPr>
          <w:spacing w:val="-18"/>
        </w:rPr>
        <w:t> </w:t>
      </w:r>
      <w:r>
        <w:rPr/>
        <w:t>land</w:t>
      </w:r>
      <w:r>
        <w:rPr>
          <w:spacing w:val="-18"/>
        </w:rPr>
        <w:t> </w:t>
      </w:r>
      <w:r>
        <w:rPr/>
        <w:t>of</w:t>
      </w:r>
      <w:r>
        <w:rPr>
          <w:spacing w:val="-19"/>
        </w:rPr>
        <w:t> </w:t>
      </w:r>
      <w:r>
        <w:rPr/>
        <w:t>myths</w:t>
      </w:r>
      <w:r>
        <w:rPr>
          <w:spacing w:val="-21"/>
        </w:rPr>
        <w:t> </w:t>
      </w:r>
      <w:r>
        <w:rPr/>
        <w:t>and</w:t>
      </w:r>
      <w:r>
        <w:rPr>
          <w:spacing w:val="-21"/>
        </w:rPr>
        <w:t> </w:t>
      </w:r>
      <w:r>
        <w:rPr/>
        <w:t>legends,</w:t>
      </w:r>
      <w:r>
        <w:rPr>
          <w:spacing w:val="-19"/>
        </w:rPr>
        <w:t> </w:t>
      </w:r>
      <w:r>
        <w:rPr/>
        <w:t>as</w:t>
      </w:r>
      <w:r>
        <w:rPr>
          <w:spacing w:val="-21"/>
        </w:rPr>
        <w:t> </w:t>
      </w:r>
      <w:r>
        <w:rPr/>
        <w:t>his</w:t>
      </w:r>
      <w:r>
        <w:rPr>
          <w:spacing w:val="-18"/>
        </w:rPr>
        <w:t> </w:t>
      </w:r>
      <w:r>
        <w:rPr/>
        <w:t>age</w:t>
      </w:r>
      <w:r>
        <w:rPr>
          <w:spacing w:val="-18"/>
        </w:rPr>
        <w:t> </w:t>
      </w:r>
      <w:r>
        <w:rPr/>
        <w:t>has</w:t>
      </w:r>
      <w:r>
        <w:rPr>
          <w:spacing w:val="-18"/>
        </w:rPr>
        <w:t> </w:t>
      </w:r>
      <w:r>
        <w:rPr/>
        <w:t>been</w:t>
      </w:r>
      <w:r>
        <w:rPr>
          <w:spacing w:val="-21"/>
        </w:rPr>
        <w:t> </w:t>
      </w:r>
      <w:r>
        <w:rPr/>
        <w:t>officially</w:t>
      </w:r>
      <w:r>
        <w:rPr>
          <w:spacing w:val="-20"/>
        </w:rPr>
        <w:t> </w:t>
      </w:r>
      <w:r>
        <w:rPr/>
        <w:t>endorsed by the Chinese government, as the </w:t>
      </w:r>
      <w:r>
        <w:rPr>
          <w:i/>
        </w:rPr>
        <w:t>New York Times </w:t>
      </w:r>
      <w:r>
        <w:rPr/>
        <w:t>and the </w:t>
      </w:r>
      <w:r>
        <w:rPr>
          <w:i/>
        </w:rPr>
        <w:t>London Times </w:t>
      </w:r>
      <w:r>
        <w:rPr/>
        <w:t>re- ported based on their own</w:t>
      </w:r>
      <w:r>
        <w:rPr>
          <w:spacing w:val="-1"/>
        </w:rPr>
        <w:t> </w:t>
      </w:r>
      <w:r>
        <w:rPr/>
        <w:t>research.</w:t>
      </w:r>
    </w:p>
    <w:p>
      <w:pPr>
        <w:spacing w:after="0" w:line="276" w:lineRule="auto"/>
        <w:jc w:val="both"/>
        <w:sectPr>
          <w:pgSz w:w="14270" w:h="16850"/>
          <w:pgMar w:header="0" w:footer="1891" w:top="1600" w:bottom="2080" w:left="800" w:right="1280"/>
        </w:sectPr>
      </w:pPr>
    </w:p>
    <w:p>
      <w:pPr>
        <w:pStyle w:val="BodyText"/>
        <w:spacing w:line="276" w:lineRule="auto" w:before="181"/>
        <w:ind w:left="477" w:right="138"/>
        <w:jc w:val="both"/>
      </w:pPr>
      <w:r>
        <w:rPr/>
        <w:t>He claims to have gained his knowledge of longevity from a monk he met in Sichuan province near the Tibetan border. According to him, the monk was well</w:t>
      </w:r>
      <w:r>
        <w:rPr>
          <w:spacing w:val="-11"/>
        </w:rPr>
        <w:t> </w:t>
      </w:r>
      <w:r>
        <w:rPr/>
        <w:t>over</w:t>
      </w:r>
      <w:r>
        <w:rPr>
          <w:spacing w:val="-7"/>
        </w:rPr>
        <w:t> </w:t>
      </w:r>
      <w:r>
        <w:rPr/>
        <w:t>300</w:t>
      </w:r>
      <w:r>
        <w:rPr>
          <w:spacing w:val="-10"/>
        </w:rPr>
        <w:t> </w:t>
      </w:r>
      <w:r>
        <w:rPr/>
        <w:t>years</w:t>
      </w:r>
      <w:r>
        <w:rPr>
          <w:spacing w:val="-6"/>
        </w:rPr>
        <w:t> </w:t>
      </w:r>
      <w:r>
        <w:rPr/>
        <w:t>old</w:t>
      </w:r>
      <w:r>
        <w:rPr>
          <w:spacing w:val="-9"/>
        </w:rPr>
        <w:t> </w:t>
      </w:r>
      <w:r>
        <w:rPr/>
        <w:t>and</w:t>
      </w:r>
      <w:r>
        <w:rPr>
          <w:spacing w:val="-8"/>
        </w:rPr>
        <w:t> </w:t>
      </w:r>
      <w:r>
        <w:rPr/>
        <w:t>as</w:t>
      </w:r>
      <w:r>
        <w:rPr>
          <w:spacing w:val="-10"/>
        </w:rPr>
        <w:t> </w:t>
      </w:r>
      <w:r>
        <w:rPr/>
        <w:t>agile</w:t>
      </w:r>
      <w:r>
        <w:rPr>
          <w:spacing w:val="-9"/>
        </w:rPr>
        <w:t> </w:t>
      </w:r>
      <w:r>
        <w:rPr/>
        <w:t>as</w:t>
      </w:r>
      <w:r>
        <w:rPr>
          <w:spacing w:val="-9"/>
        </w:rPr>
        <w:t> </w:t>
      </w:r>
      <w:r>
        <w:rPr/>
        <w:t>a</w:t>
      </w:r>
      <w:r>
        <w:rPr>
          <w:spacing w:val="-10"/>
        </w:rPr>
        <w:t> </w:t>
      </w:r>
      <w:r>
        <w:rPr/>
        <w:t>monkey,</w:t>
      </w:r>
      <w:r>
        <w:rPr>
          <w:spacing w:val="-7"/>
        </w:rPr>
        <w:t> </w:t>
      </w:r>
      <w:r>
        <w:rPr/>
        <w:t>as</w:t>
      </w:r>
      <w:r>
        <w:rPr>
          <w:spacing w:val="-10"/>
        </w:rPr>
        <w:t> </w:t>
      </w:r>
      <w:r>
        <w:rPr/>
        <w:t>strong</w:t>
      </w:r>
      <w:r>
        <w:rPr>
          <w:spacing w:val="-8"/>
        </w:rPr>
        <w:t> </w:t>
      </w:r>
      <w:r>
        <w:rPr/>
        <w:t>as</w:t>
      </w:r>
      <w:r>
        <w:rPr>
          <w:spacing w:val="-9"/>
        </w:rPr>
        <w:t> </w:t>
      </w:r>
      <w:r>
        <w:rPr/>
        <w:t>a</w:t>
      </w:r>
      <w:r>
        <w:rPr>
          <w:spacing w:val="-10"/>
        </w:rPr>
        <w:t> </w:t>
      </w:r>
      <w:r>
        <w:rPr/>
        <w:t>tiger</w:t>
      </w:r>
      <w:r>
        <w:rPr>
          <w:spacing w:val="-8"/>
        </w:rPr>
        <w:t> </w:t>
      </w:r>
      <w:r>
        <w:rPr/>
        <w:t>and</w:t>
      </w:r>
      <w:r>
        <w:rPr>
          <w:spacing w:val="-9"/>
        </w:rPr>
        <w:t> </w:t>
      </w:r>
      <w:r>
        <w:rPr/>
        <w:t>as</w:t>
      </w:r>
      <w:r>
        <w:rPr>
          <w:spacing w:val="-9"/>
        </w:rPr>
        <w:t> </w:t>
      </w:r>
      <w:r>
        <w:rPr/>
        <w:t>wise as a</w:t>
      </w:r>
      <w:r>
        <w:rPr>
          <w:spacing w:val="-2"/>
        </w:rPr>
        <w:t> </w:t>
      </w:r>
      <w:r>
        <w:rPr/>
        <w:t>dragon.</w:t>
      </w:r>
    </w:p>
    <w:p>
      <w:pPr>
        <w:pStyle w:val="BodyText"/>
        <w:spacing w:line="276" w:lineRule="auto" w:before="242"/>
        <w:ind w:left="477" w:right="140"/>
        <w:jc w:val="both"/>
      </w:pPr>
      <w:r>
        <w:rPr/>
        <w:t>The photo on the left was taken in 1927 during a visit to General Yang Sen, who summoned Li Ching-Yuen, fascinated by his youthfulness, strength and bravery despite his advanced age.</w:t>
      </w:r>
    </w:p>
    <w:p>
      <w:pPr>
        <w:spacing w:after="0" w:line="276" w:lineRule="auto"/>
        <w:jc w:val="both"/>
        <w:sectPr>
          <w:pgSz w:w="14270" w:h="16850"/>
          <w:pgMar w:header="0" w:footer="1891" w:top="1600" w:bottom="2080" w:left="800" w:right="1280"/>
        </w:sectPr>
      </w:pPr>
    </w:p>
    <w:p>
      <w:pPr>
        <w:pStyle w:val="BodyText"/>
        <w:spacing w:before="5"/>
        <w:rPr>
          <w:sz w:val="16"/>
        </w:rPr>
      </w:pPr>
    </w:p>
    <w:p>
      <w:pPr>
        <w:pStyle w:val="BodyText"/>
        <w:ind w:left="571"/>
        <w:rPr>
          <w:sz w:val="20"/>
        </w:rPr>
      </w:pPr>
      <w:r>
        <w:rPr>
          <w:sz w:val="20"/>
        </w:rPr>
        <w:drawing>
          <wp:inline distT="0" distB="0" distL="0" distR="0">
            <wp:extent cx="3687033" cy="4749165"/>
            <wp:effectExtent l="0" t="0" r="0" b="0"/>
            <wp:docPr id="193" name="image6.jpeg" descr=""/>
            <wp:cNvGraphicFramePr>
              <a:graphicFrameLocks noChangeAspect="1"/>
            </wp:cNvGraphicFramePr>
            <a:graphic>
              <a:graphicData uri="http://schemas.openxmlformats.org/drawingml/2006/picture">
                <pic:pic>
                  <pic:nvPicPr>
                    <pic:cNvPr id="194" name="image6.jpeg"/>
                    <pic:cNvPicPr/>
                  </pic:nvPicPr>
                  <pic:blipFill>
                    <a:blip r:embed="rId125" cstate="print"/>
                    <a:stretch>
                      <a:fillRect/>
                    </a:stretch>
                  </pic:blipFill>
                  <pic:spPr>
                    <a:xfrm>
                      <a:off x="0" y="0"/>
                      <a:ext cx="3687033" cy="4749165"/>
                    </a:xfrm>
                    <a:prstGeom prst="rect">
                      <a:avLst/>
                    </a:prstGeom>
                  </pic:spPr>
                </pic:pic>
              </a:graphicData>
            </a:graphic>
          </wp:inline>
        </w:drawing>
      </w:r>
      <w:r>
        <w:rPr>
          <w:sz w:val="20"/>
        </w:rPr>
      </w:r>
    </w:p>
    <w:p>
      <w:pPr>
        <w:pStyle w:val="BodyText"/>
        <w:spacing w:before="8"/>
        <w:rPr>
          <w:sz w:val="17"/>
        </w:rPr>
      </w:pPr>
    </w:p>
    <w:p>
      <w:pPr>
        <w:pStyle w:val="BodyText"/>
        <w:spacing w:line="276" w:lineRule="auto" w:before="100"/>
        <w:ind w:left="477" w:right="137"/>
        <w:jc w:val="both"/>
      </w:pPr>
      <w:r>
        <w:rPr/>
        <w:t>Allegedly, studies on gotu kola have detected a vitamin that is not found in</w:t>
      </w:r>
      <w:r>
        <w:rPr>
          <w:spacing w:val="-54"/>
        </w:rPr>
        <w:t> </w:t>
      </w:r>
      <w:r>
        <w:rPr/>
        <w:t>any other</w:t>
      </w:r>
      <w:r>
        <w:rPr>
          <w:spacing w:val="-12"/>
        </w:rPr>
        <w:t> </w:t>
      </w:r>
      <w:r>
        <w:rPr/>
        <w:t>known</w:t>
      </w:r>
      <w:r>
        <w:rPr>
          <w:spacing w:val="-13"/>
        </w:rPr>
        <w:t> </w:t>
      </w:r>
      <w:r>
        <w:rPr/>
        <w:t>plant</w:t>
      </w:r>
      <w:r>
        <w:rPr>
          <w:spacing w:val="-12"/>
        </w:rPr>
        <w:t> </w:t>
      </w:r>
      <w:r>
        <w:rPr/>
        <w:t>species</w:t>
      </w:r>
      <w:r>
        <w:rPr>
          <w:spacing w:val="-12"/>
        </w:rPr>
        <w:t> </w:t>
      </w:r>
      <w:r>
        <w:rPr/>
        <w:t>and</w:t>
      </w:r>
      <w:r>
        <w:rPr>
          <w:spacing w:val="-14"/>
        </w:rPr>
        <w:t> </w:t>
      </w:r>
      <w:r>
        <w:rPr/>
        <w:t>has</w:t>
      </w:r>
      <w:r>
        <w:rPr>
          <w:spacing w:val="-13"/>
        </w:rPr>
        <w:t> </w:t>
      </w:r>
      <w:r>
        <w:rPr/>
        <w:t>therefore</w:t>
      </w:r>
      <w:r>
        <w:rPr>
          <w:spacing w:val="-15"/>
        </w:rPr>
        <w:t> </w:t>
      </w:r>
      <w:r>
        <w:rPr/>
        <w:t>been</w:t>
      </w:r>
      <w:r>
        <w:rPr>
          <w:spacing w:val="-12"/>
        </w:rPr>
        <w:t> </w:t>
      </w:r>
      <w:r>
        <w:rPr/>
        <w:t>christened</w:t>
      </w:r>
      <w:r>
        <w:rPr>
          <w:spacing w:val="-9"/>
        </w:rPr>
        <w:t> </w:t>
      </w:r>
      <w:r>
        <w:rPr/>
        <w:t>‘youth</w:t>
      </w:r>
      <w:r>
        <w:rPr>
          <w:spacing w:val="-12"/>
        </w:rPr>
        <w:t> </w:t>
      </w:r>
      <w:r>
        <w:rPr/>
        <w:t>vitamin</w:t>
      </w:r>
      <w:r>
        <w:rPr>
          <w:spacing w:val="-12"/>
        </w:rPr>
        <w:t> </w:t>
      </w:r>
      <w:r>
        <w:rPr/>
        <w:t>X’. It is said to influence our glandular system and revitalise the entire body. But the fact is that gotu kola is able to renew the blood cells, which in itself already has a rejuvenating effect.</w:t>
      </w:r>
    </w:p>
    <w:p>
      <w:pPr>
        <w:pStyle w:val="Heading2"/>
        <w:spacing w:before="242"/>
        <w:jc w:val="both"/>
      </w:pPr>
      <w:r>
        <w:rPr/>
        <w:t>But what is this mysterious plant with a most distinctive name?</w:t>
      </w:r>
    </w:p>
    <w:p>
      <w:pPr>
        <w:spacing w:after="0"/>
        <w:jc w:val="both"/>
        <w:sectPr>
          <w:pgSz w:w="14270" w:h="16850"/>
          <w:pgMar w:header="0" w:footer="1891" w:top="1600" w:bottom="2080" w:left="800" w:right="1280"/>
        </w:sectPr>
      </w:pPr>
    </w:p>
    <w:p>
      <w:pPr>
        <w:pStyle w:val="BodyText"/>
        <w:spacing w:line="276" w:lineRule="auto" w:before="181"/>
        <w:ind w:left="477" w:right="132"/>
        <w:jc w:val="both"/>
      </w:pPr>
      <w:r>
        <w:rPr/>
        <w:t>The</w:t>
      </w:r>
      <w:r>
        <w:rPr>
          <w:spacing w:val="-12"/>
        </w:rPr>
        <w:t> </w:t>
      </w:r>
      <w:r>
        <w:rPr/>
        <w:t>botanical</w:t>
      </w:r>
      <w:r>
        <w:rPr>
          <w:spacing w:val="-13"/>
        </w:rPr>
        <w:t> </w:t>
      </w:r>
      <w:r>
        <w:rPr/>
        <w:t>name</w:t>
      </w:r>
      <w:r>
        <w:rPr>
          <w:spacing w:val="-13"/>
        </w:rPr>
        <w:t> </w:t>
      </w:r>
      <w:r>
        <w:rPr/>
        <w:t>is</w:t>
      </w:r>
      <w:r>
        <w:rPr>
          <w:spacing w:val="-13"/>
        </w:rPr>
        <w:t> </w:t>
      </w:r>
      <w:r>
        <w:rPr/>
        <w:t>‘Centella</w:t>
      </w:r>
      <w:r>
        <w:rPr>
          <w:spacing w:val="-13"/>
        </w:rPr>
        <w:t> </w:t>
      </w:r>
      <w:r>
        <w:rPr/>
        <w:t>asiatica’;</w:t>
      </w:r>
      <w:r>
        <w:rPr>
          <w:spacing w:val="-12"/>
        </w:rPr>
        <w:t> </w:t>
      </w:r>
      <w:r>
        <w:rPr/>
        <w:t>gotu</w:t>
      </w:r>
      <w:r>
        <w:rPr>
          <w:spacing w:val="-14"/>
        </w:rPr>
        <w:t> </w:t>
      </w:r>
      <w:r>
        <w:rPr/>
        <w:t>kola</w:t>
      </w:r>
      <w:r>
        <w:rPr>
          <w:spacing w:val="-13"/>
        </w:rPr>
        <w:t> </w:t>
      </w:r>
      <w:r>
        <w:rPr/>
        <w:t>is</w:t>
      </w:r>
      <w:r>
        <w:rPr>
          <w:spacing w:val="-13"/>
        </w:rPr>
        <w:t> </w:t>
      </w:r>
      <w:r>
        <w:rPr/>
        <w:t>also</w:t>
      </w:r>
      <w:r>
        <w:rPr>
          <w:spacing w:val="-12"/>
        </w:rPr>
        <w:t> </w:t>
      </w:r>
      <w:r>
        <w:rPr/>
        <w:t>known</w:t>
      </w:r>
      <w:r>
        <w:rPr>
          <w:spacing w:val="-12"/>
        </w:rPr>
        <w:t> </w:t>
      </w:r>
      <w:r>
        <w:rPr/>
        <w:t>as</w:t>
      </w:r>
      <w:r>
        <w:rPr>
          <w:spacing w:val="-12"/>
        </w:rPr>
        <w:t> </w:t>
      </w:r>
      <w:r>
        <w:rPr/>
        <w:t>‘Indian</w:t>
      </w:r>
      <w:r>
        <w:rPr>
          <w:spacing w:val="-12"/>
        </w:rPr>
        <w:t> </w:t>
      </w:r>
      <w:r>
        <w:rPr/>
        <w:t>cen- tella’,</w:t>
      </w:r>
      <w:r>
        <w:rPr>
          <w:spacing w:val="-11"/>
        </w:rPr>
        <w:t> </w:t>
      </w:r>
      <w:r>
        <w:rPr/>
        <w:t>‘Asian</w:t>
      </w:r>
      <w:r>
        <w:rPr>
          <w:spacing w:val="-11"/>
        </w:rPr>
        <w:t> </w:t>
      </w:r>
      <w:r>
        <w:rPr/>
        <w:t>pennywort’</w:t>
      </w:r>
      <w:r>
        <w:rPr>
          <w:spacing w:val="-11"/>
        </w:rPr>
        <w:t> </w:t>
      </w:r>
      <w:r>
        <w:rPr/>
        <w:t>and</w:t>
      </w:r>
      <w:r>
        <w:rPr>
          <w:spacing w:val="-11"/>
        </w:rPr>
        <w:t> </w:t>
      </w:r>
      <w:r>
        <w:rPr/>
        <w:t>‘tiger</w:t>
      </w:r>
      <w:r>
        <w:rPr>
          <w:spacing w:val="-11"/>
        </w:rPr>
        <w:t> </w:t>
      </w:r>
      <w:r>
        <w:rPr/>
        <w:t>grass’.</w:t>
      </w:r>
      <w:r>
        <w:rPr>
          <w:spacing w:val="-12"/>
        </w:rPr>
        <w:t> </w:t>
      </w:r>
      <w:r>
        <w:rPr/>
        <w:t>The</w:t>
      </w:r>
      <w:r>
        <w:rPr>
          <w:spacing w:val="-11"/>
        </w:rPr>
        <w:t> </w:t>
      </w:r>
      <w:r>
        <w:rPr/>
        <w:t>country-specific</w:t>
      </w:r>
      <w:r>
        <w:rPr>
          <w:spacing w:val="-12"/>
        </w:rPr>
        <w:t> </w:t>
      </w:r>
      <w:r>
        <w:rPr/>
        <w:t>names</w:t>
      </w:r>
      <w:r>
        <w:rPr>
          <w:spacing w:val="-11"/>
        </w:rPr>
        <w:t> </w:t>
      </w:r>
      <w:r>
        <w:rPr/>
        <w:t>are</w:t>
      </w:r>
      <w:r>
        <w:rPr>
          <w:spacing w:val="-11"/>
        </w:rPr>
        <w:t> </w:t>
      </w:r>
      <w:r>
        <w:rPr/>
        <w:t>all</w:t>
      </w:r>
      <w:r>
        <w:rPr>
          <w:spacing w:val="-12"/>
        </w:rPr>
        <w:t> </w:t>
      </w:r>
      <w:r>
        <w:rPr/>
        <w:t>the more varied; gotu kola also has the following names, which depend on the re- gion:</w:t>
      </w:r>
    </w:p>
    <w:p>
      <w:pPr>
        <w:spacing w:line="276" w:lineRule="auto" w:before="242"/>
        <w:ind w:left="477" w:right="138" w:firstLine="0"/>
        <w:jc w:val="both"/>
        <w:rPr>
          <w:i/>
          <w:sz w:val="38"/>
        </w:rPr>
      </w:pPr>
      <w:r>
        <w:rPr>
          <w:i/>
          <w:sz w:val="38"/>
        </w:rPr>
        <w:t>Muttil, Asiatic Pennywort, Brahma-manduuki, Brahmamanduki, Indian Pennywort, </w:t>
      </w:r>
      <w:r>
        <w:rPr>
          <w:i/>
          <w:sz w:val="38"/>
        </w:rPr>
        <w:t>Khulakudi, Maanduuki, Mandukaparni, Sin-mnar Tholkuri, Manduukaparnikaa, Kar- brahmi, Saraswati, Vallarai, Tsubokura.</w:t>
      </w:r>
    </w:p>
    <w:p>
      <w:pPr>
        <w:pStyle w:val="BodyText"/>
        <w:spacing w:line="276" w:lineRule="auto" w:before="239"/>
        <w:ind w:left="477" w:right="137"/>
        <w:jc w:val="both"/>
      </w:pPr>
      <w:r>
        <w:rPr/>
        <w:t>Gotu kola comes from the plant genus centella within the umbelliferae family. Gotu kola is native to tropical America, India, Africa, China, Southeast Asia, Madagascar, West Pakistan and the Pacific Islands. Wherever there is a warm and humid climate, the herbaceous plant grows along the ground. From spring to summer, 2-5 mm-large, oval or round reddish flowers grow on the plant.</w:t>
      </w:r>
    </w:p>
    <w:p>
      <w:pPr>
        <w:pStyle w:val="Heading2"/>
        <w:spacing w:before="240"/>
        <w:jc w:val="both"/>
      </w:pPr>
      <w:r>
        <w:rPr/>
        <w:t>How does gotu kola work, and what does it work against?</w:t>
      </w:r>
    </w:p>
    <w:p>
      <w:pPr>
        <w:pStyle w:val="BodyText"/>
        <w:spacing w:line="276" w:lineRule="auto" w:before="305"/>
        <w:ind w:left="477" w:right="130"/>
        <w:jc w:val="both"/>
      </w:pPr>
      <w:r>
        <w:rPr/>
        <w:t>In</w:t>
      </w:r>
      <w:r>
        <w:rPr>
          <w:spacing w:val="-21"/>
        </w:rPr>
        <w:t> </w:t>
      </w:r>
      <w:r>
        <w:rPr/>
        <w:t>the</w:t>
      </w:r>
      <w:r>
        <w:rPr>
          <w:spacing w:val="-20"/>
        </w:rPr>
        <w:t> </w:t>
      </w:r>
      <w:r>
        <w:rPr>
          <w:i/>
        </w:rPr>
        <w:t>Shennong</w:t>
      </w:r>
      <w:r>
        <w:rPr>
          <w:i/>
          <w:spacing w:val="-23"/>
        </w:rPr>
        <w:t> </w:t>
      </w:r>
      <w:r>
        <w:rPr>
          <w:i/>
        </w:rPr>
        <w:t>Herbal</w:t>
      </w:r>
      <w:r>
        <w:rPr/>
        <w:t>,</w:t>
      </w:r>
      <w:r>
        <w:rPr>
          <w:spacing w:val="-20"/>
        </w:rPr>
        <w:t> </w:t>
      </w:r>
      <w:r>
        <w:rPr/>
        <w:t>the</w:t>
      </w:r>
      <w:r>
        <w:rPr>
          <w:spacing w:val="-20"/>
        </w:rPr>
        <w:t> </w:t>
      </w:r>
      <w:r>
        <w:rPr/>
        <w:t>oldest</w:t>
      </w:r>
      <w:r>
        <w:rPr>
          <w:spacing w:val="-21"/>
        </w:rPr>
        <w:t> </w:t>
      </w:r>
      <w:r>
        <w:rPr/>
        <w:t>Chinese</w:t>
      </w:r>
      <w:r>
        <w:rPr>
          <w:spacing w:val="-20"/>
        </w:rPr>
        <w:t> </w:t>
      </w:r>
      <w:r>
        <w:rPr/>
        <w:t>herbal</w:t>
      </w:r>
      <w:r>
        <w:rPr>
          <w:spacing w:val="-23"/>
        </w:rPr>
        <w:t> </w:t>
      </w:r>
      <w:r>
        <w:rPr/>
        <w:t>advisor,</w:t>
      </w:r>
      <w:r>
        <w:rPr>
          <w:spacing w:val="-20"/>
        </w:rPr>
        <w:t> </w:t>
      </w:r>
      <w:r>
        <w:rPr/>
        <w:t>gotu</w:t>
      </w:r>
      <w:r>
        <w:rPr>
          <w:spacing w:val="-22"/>
        </w:rPr>
        <w:t> </w:t>
      </w:r>
      <w:r>
        <w:rPr/>
        <w:t>kola</w:t>
      </w:r>
      <w:r>
        <w:rPr>
          <w:spacing w:val="-21"/>
        </w:rPr>
        <w:t> </w:t>
      </w:r>
      <w:r>
        <w:rPr/>
        <w:t>is</w:t>
      </w:r>
      <w:r>
        <w:rPr>
          <w:spacing w:val="-21"/>
        </w:rPr>
        <w:t> </w:t>
      </w:r>
      <w:r>
        <w:rPr/>
        <w:t>mentioned as</w:t>
      </w:r>
      <w:r>
        <w:rPr>
          <w:spacing w:val="-7"/>
        </w:rPr>
        <w:t> </w:t>
      </w:r>
      <w:r>
        <w:rPr/>
        <w:t>far</w:t>
      </w:r>
      <w:r>
        <w:rPr>
          <w:spacing w:val="-6"/>
        </w:rPr>
        <w:t> </w:t>
      </w:r>
      <w:r>
        <w:rPr/>
        <w:t>back</w:t>
      </w:r>
      <w:r>
        <w:rPr>
          <w:spacing w:val="-6"/>
        </w:rPr>
        <w:t> </w:t>
      </w:r>
      <w:r>
        <w:rPr/>
        <w:t>as</w:t>
      </w:r>
      <w:r>
        <w:rPr>
          <w:spacing w:val="-7"/>
        </w:rPr>
        <w:t> </w:t>
      </w:r>
      <w:r>
        <w:rPr/>
        <w:t>2,000</w:t>
      </w:r>
      <w:r>
        <w:rPr>
          <w:spacing w:val="-6"/>
        </w:rPr>
        <w:t> </w:t>
      </w:r>
      <w:r>
        <w:rPr/>
        <w:t>years</w:t>
      </w:r>
      <w:r>
        <w:rPr>
          <w:spacing w:val="-4"/>
        </w:rPr>
        <w:t> </w:t>
      </w:r>
      <w:r>
        <w:rPr/>
        <w:t>ago.</w:t>
      </w:r>
      <w:r>
        <w:rPr>
          <w:spacing w:val="-6"/>
        </w:rPr>
        <w:t> </w:t>
      </w:r>
      <w:r>
        <w:rPr/>
        <w:t>In</w:t>
      </w:r>
      <w:r>
        <w:rPr>
          <w:spacing w:val="-5"/>
        </w:rPr>
        <w:t> </w:t>
      </w:r>
      <w:r>
        <w:rPr/>
        <w:t>Ayurvedic</w:t>
      </w:r>
      <w:r>
        <w:rPr>
          <w:spacing w:val="-6"/>
        </w:rPr>
        <w:t> </w:t>
      </w:r>
      <w:r>
        <w:rPr/>
        <w:t>medicine,</w:t>
      </w:r>
      <w:r>
        <w:rPr>
          <w:spacing w:val="-6"/>
        </w:rPr>
        <w:t> </w:t>
      </w:r>
      <w:r>
        <w:rPr/>
        <w:t>gotu</w:t>
      </w:r>
      <w:r>
        <w:rPr>
          <w:spacing w:val="-7"/>
        </w:rPr>
        <w:t> </w:t>
      </w:r>
      <w:r>
        <w:rPr/>
        <w:t>kola</w:t>
      </w:r>
      <w:r>
        <w:rPr>
          <w:spacing w:val="-4"/>
        </w:rPr>
        <w:t> </w:t>
      </w:r>
      <w:r>
        <w:rPr/>
        <w:t>is</w:t>
      </w:r>
      <w:r>
        <w:rPr>
          <w:spacing w:val="-7"/>
        </w:rPr>
        <w:t> </w:t>
      </w:r>
      <w:r>
        <w:rPr/>
        <w:t>considered</w:t>
      </w:r>
      <w:r>
        <w:rPr>
          <w:spacing w:val="-8"/>
        </w:rPr>
        <w:t> </w:t>
      </w:r>
      <w:r>
        <w:rPr/>
        <w:t>a ‘spiritual</w:t>
      </w:r>
      <w:r>
        <w:rPr>
          <w:spacing w:val="-14"/>
        </w:rPr>
        <w:t> </w:t>
      </w:r>
      <w:r>
        <w:rPr/>
        <w:t>herb’</w:t>
      </w:r>
      <w:r>
        <w:rPr>
          <w:spacing w:val="-13"/>
        </w:rPr>
        <w:t> </w:t>
      </w:r>
      <w:r>
        <w:rPr/>
        <w:t>and</w:t>
      </w:r>
      <w:r>
        <w:rPr>
          <w:spacing w:val="-11"/>
        </w:rPr>
        <w:t> </w:t>
      </w:r>
      <w:r>
        <w:rPr/>
        <w:t>used</w:t>
      </w:r>
      <w:r>
        <w:rPr>
          <w:spacing w:val="-13"/>
        </w:rPr>
        <w:t> </w:t>
      </w:r>
      <w:r>
        <w:rPr/>
        <w:t>when</w:t>
      </w:r>
      <w:r>
        <w:rPr>
          <w:spacing w:val="-13"/>
        </w:rPr>
        <w:t> </w:t>
      </w:r>
      <w:r>
        <w:rPr/>
        <w:t>one</w:t>
      </w:r>
      <w:r>
        <w:rPr>
          <w:spacing w:val="-11"/>
        </w:rPr>
        <w:t> </w:t>
      </w:r>
      <w:r>
        <w:rPr/>
        <w:t>wants</w:t>
      </w:r>
      <w:r>
        <w:rPr>
          <w:spacing w:val="-12"/>
        </w:rPr>
        <w:t> </w:t>
      </w:r>
      <w:r>
        <w:rPr/>
        <w:t>to</w:t>
      </w:r>
      <w:r>
        <w:rPr>
          <w:spacing w:val="-14"/>
        </w:rPr>
        <w:t> </w:t>
      </w:r>
      <w:r>
        <w:rPr/>
        <w:t>revitalise</w:t>
      </w:r>
      <w:r>
        <w:rPr>
          <w:spacing w:val="-12"/>
        </w:rPr>
        <w:t> </w:t>
      </w:r>
      <w:r>
        <w:rPr/>
        <w:t>nerve</w:t>
      </w:r>
      <w:r>
        <w:rPr>
          <w:spacing w:val="-13"/>
        </w:rPr>
        <w:t> </w:t>
      </w:r>
      <w:r>
        <w:rPr/>
        <w:t>and</w:t>
      </w:r>
      <w:r>
        <w:rPr>
          <w:spacing w:val="-14"/>
        </w:rPr>
        <w:t> </w:t>
      </w:r>
      <w:r>
        <w:rPr/>
        <w:t>brain</w:t>
      </w:r>
      <w:r>
        <w:rPr>
          <w:spacing w:val="-11"/>
        </w:rPr>
        <w:t> </w:t>
      </w:r>
      <w:r>
        <w:rPr/>
        <w:t>cells.</w:t>
      </w:r>
      <w:r>
        <w:rPr>
          <w:spacing w:val="-6"/>
        </w:rPr>
        <w:t> </w:t>
      </w:r>
      <w:r>
        <w:rPr/>
        <w:t>Tra- ditional Chinese Medicine assumes that gotu kola promotes the development of the crown chakra, the energy centre at the top of the head. Used in China and</w:t>
      </w:r>
      <w:r>
        <w:rPr>
          <w:spacing w:val="-22"/>
        </w:rPr>
        <w:t> </w:t>
      </w:r>
      <w:r>
        <w:rPr/>
        <w:t>India</w:t>
      </w:r>
      <w:r>
        <w:rPr>
          <w:spacing w:val="-23"/>
        </w:rPr>
        <w:t> </w:t>
      </w:r>
      <w:r>
        <w:rPr/>
        <w:t>for</w:t>
      </w:r>
      <w:r>
        <w:rPr>
          <w:spacing w:val="-20"/>
        </w:rPr>
        <w:t> </w:t>
      </w:r>
      <w:r>
        <w:rPr/>
        <w:t>thousands</w:t>
      </w:r>
      <w:r>
        <w:rPr>
          <w:spacing w:val="-21"/>
        </w:rPr>
        <w:t> </w:t>
      </w:r>
      <w:r>
        <w:rPr/>
        <w:t>of</w:t>
      </w:r>
      <w:r>
        <w:rPr>
          <w:spacing w:val="-21"/>
        </w:rPr>
        <w:t> </w:t>
      </w:r>
      <w:r>
        <w:rPr/>
        <w:t>years,</w:t>
      </w:r>
      <w:r>
        <w:rPr>
          <w:spacing w:val="-21"/>
        </w:rPr>
        <w:t> </w:t>
      </w:r>
      <w:r>
        <w:rPr/>
        <w:t>gotu</w:t>
      </w:r>
      <w:r>
        <w:rPr>
          <w:spacing w:val="-23"/>
        </w:rPr>
        <w:t> </w:t>
      </w:r>
      <w:r>
        <w:rPr/>
        <w:t>kola</w:t>
      </w:r>
      <w:r>
        <w:rPr>
          <w:spacing w:val="-22"/>
        </w:rPr>
        <w:t> </w:t>
      </w:r>
      <w:r>
        <w:rPr/>
        <w:t>is</w:t>
      </w:r>
      <w:r>
        <w:rPr>
          <w:spacing w:val="-23"/>
        </w:rPr>
        <w:t> </w:t>
      </w:r>
      <w:r>
        <w:rPr/>
        <w:t>also</w:t>
      </w:r>
      <w:r>
        <w:rPr>
          <w:spacing w:val="-21"/>
        </w:rPr>
        <w:t> </w:t>
      </w:r>
      <w:r>
        <w:rPr/>
        <w:t>enjoying</w:t>
      </w:r>
      <w:r>
        <w:rPr>
          <w:spacing w:val="-20"/>
        </w:rPr>
        <w:t> </w:t>
      </w:r>
      <w:r>
        <w:rPr/>
        <w:t>increasing</w:t>
      </w:r>
      <w:r>
        <w:rPr>
          <w:spacing w:val="-20"/>
        </w:rPr>
        <w:t> </w:t>
      </w:r>
      <w:r>
        <w:rPr/>
        <w:t>popularity in our</w:t>
      </w:r>
      <w:r>
        <w:rPr>
          <w:spacing w:val="1"/>
        </w:rPr>
        <w:t> </w:t>
      </w:r>
      <w:r>
        <w:rPr/>
        <w:t>latitudes.</w:t>
      </w:r>
    </w:p>
    <w:p>
      <w:pPr>
        <w:pStyle w:val="Heading2"/>
        <w:spacing w:before="240"/>
        <w:jc w:val="both"/>
      </w:pPr>
      <w:r>
        <w:rPr/>
        <w:t>Active ingredients of gotu kola</w:t>
      </w:r>
    </w:p>
    <w:p>
      <w:pPr>
        <w:spacing w:after="0"/>
        <w:jc w:val="both"/>
        <w:sectPr>
          <w:pgSz w:w="14270" w:h="16850"/>
          <w:pgMar w:header="0" w:footer="1891" w:top="1600" w:bottom="2080" w:left="800" w:right="1280"/>
        </w:sectPr>
      </w:pPr>
    </w:p>
    <w:p>
      <w:pPr>
        <w:pStyle w:val="BodyText"/>
        <w:spacing w:before="181"/>
        <w:ind w:left="477"/>
      </w:pPr>
      <w:r>
        <w:rPr/>
        <w:t>The ingredients and contents of gotu kola include:</w:t>
      </w:r>
    </w:p>
    <w:p>
      <w:pPr>
        <w:pStyle w:val="ListParagraph"/>
        <w:numPr>
          <w:ilvl w:val="0"/>
          <w:numId w:val="26"/>
        </w:numPr>
        <w:tabs>
          <w:tab w:pos="892" w:val="left" w:leader="none"/>
          <w:tab w:pos="893" w:val="left" w:leader="none"/>
        </w:tabs>
        <w:spacing w:line="240" w:lineRule="auto" w:before="306" w:after="0"/>
        <w:ind w:left="892" w:right="0" w:hanging="415"/>
        <w:jc w:val="left"/>
        <w:rPr>
          <w:sz w:val="38"/>
        </w:rPr>
      </w:pPr>
      <w:r>
        <w:rPr>
          <w:sz w:val="38"/>
        </w:rPr>
        <w:t>vitamin</w:t>
      </w:r>
      <w:r>
        <w:rPr>
          <w:spacing w:val="-5"/>
          <w:sz w:val="38"/>
        </w:rPr>
        <w:t> </w:t>
      </w:r>
      <w:r>
        <w:rPr>
          <w:sz w:val="38"/>
        </w:rPr>
        <w:t>A</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vitamin</w:t>
      </w:r>
      <w:r>
        <w:rPr>
          <w:spacing w:val="-5"/>
          <w:sz w:val="38"/>
        </w:rPr>
        <w:t> </w:t>
      </w:r>
      <w:r>
        <w:rPr>
          <w:sz w:val="38"/>
        </w:rPr>
        <w:t>B</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vitamin</w:t>
      </w:r>
      <w:r>
        <w:rPr>
          <w:spacing w:val="-5"/>
          <w:sz w:val="38"/>
        </w:rPr>
        <w:t> </w:t>
      </w:r>
      <w:r>
        <w:rPr>
          <w:sz w:val="38"/>
        </w:rPr>
        <w:t>C</w:t>
      </w:r>
    </w:p>
    <w:p>
      <w:pPr>
        <w:pStyle w:val="ListParagraph"/>
        <w:numPr>
          <w:ilvl w:val="0"/>
          <w:numId w:val="26"/>
        </w:numPr>
        <w:tabs>
          <w:tab w:pos="892" w:val="left" w:leader="none"/>
          <w:tab w:pos="893" w:val="left" w:leader="none"/>
        </w:tabs>
        <w:spacing w:line="240" w:lineRule="auto" w:before="66" w:after="0"/>
        <w:ind w:left="892" w:right="0" w:hanging="415"/>
        <w:jc w:val="left"/>
        <w:rPr>
          <w:sz w:val="38"/>
        </w:rPr>
      </w:pPr>
      <w:r>
        <w:rPr>
          <w:sz w:val="38"/>
        </w:rPr>
        <w:t>vitamin</w:t>
      </w:r>
      <w:r>
        <w:rPr>
          <w:spacing w:val="-5"/>
          <w:sz w:val="38"/>
        </w:rPr>
        <w:t> </w:t>
      </w:r>
      <w:r>
        <w:rPr>
          <w:sz w:val="38"/>
        </w:rPr>
        <w:t>E</w:t>
      </w:r>
    </w:p>
    <w:p>
      <w:pPr>
        <w:pStyle w:val="ListParagraph"/>
        <w:numPr>
          <w:ilvl w:val="0"/>
          <w:numId w:val="26"/>
        </w:numPr>
        <w:tabs>
          <w:tab w:pos="892" w:val="left" w:leader="none"/>
          <w:tab w:pos="893" w:val="left" w:leader="none"/>
        </w:tabs>
        <w:spacing w:line="240" w:lineRule="auto" w:before="63" w:after="0"/>
        <w:ind w:left="892" w:right="0" w:hanging="415"/>
        <w:jc w:val="left"/>
        <w:rPr>
          <w:sz w:val="38"/>
        </w:rPr>
      </w:pPr>
      <w:r>
        <w:rPr>
          <w:sz w:val="38"/>
        </w:rPr>
        <w:t>bacoside A and B</w:t>
      </w:r>
    </w:p>
    <w:p>
      <w:pPr>
        <w:pStyle w:val="ListParagraph"/>
        <w:numPr>
          <w:ilvl w:val="0"/>
          <w:numId w:val="26"/>
        </w:numPr>
        <w:tabs>
          <w:tab w:pos="892" w:val="left" w:leader="none"/>
          <w:tab w:pos="893" w:val="left" w:leader="none"/>
        </w:tabs>
        <w:spacing w:line="240" w:lineRule="auto" w:before="65" w:after="0"/>
        <w:ind w:left="892" w:right="0" w:hanging="415"/>
        <w:jc w:val="left"/>
        <w:rPr>
          <w:sz w:val="38"/>
        </w:rPr>
      </w:pPr>
      <w:r>
        <w:rPr>
          <w:sz w:val="38"/>
        </w:rPr>
        <w:t>calcium</w:t>
      </w:r>
    </w:p>
    <w:p>
      <w:pPr>
        <w:pStyle w:val="ListParagraph"/>
        <w:numPr>
          <w:ilvl w:val="0"/>
          <w:numId w:val="26"/>
        </w:numPr>
        <w:tabs>
          <w:tab w:pos="892" w:val="left" w:leader="none"/>
          <w:tab w:pos="893" w:val="left" w:leader="none"/>
        </w:tabs>
        <w:spacing w:line="240" w:lineRule="auto" w:before="63" w:after="0"/>
        <w:ind w:left="892" w:right="0" w:hanging="415"/>
        <w:jc w:val="left"/>
        <w:rPr>
          <w:sz w:val="38"/>
        </w:rPr>
      </w:pPr>
      <w:r>
        <w:rPr>
          <w:sz w:val="38"/>
        </w:rPr>
        <w:t>magnesium</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selenium</w:t>
      </w:r>
    </w:p>
    <w:p>
      <w:pPr>
        <w:pStyle w:val="ListParagraph"/>
        <w:numPr>
          <w:ilvl w:val="0"/>
          <w:numId w:val="26"/>
        </w:numPr>
        <w:tabs>
          <w:tab w:pos="892" w:val="left" w:leader="none"/>
          <w:tab w:pos="893" w:val="left" w:leader="none"/>
        </w:tabs>
        <w:spacing w:line="240" w:lineRule="auto" w:before="66" w:after="0"/>
        <w:ind w:left="892" w:right="0" w:hanging="415"/>
        <w:jc w:val="left"/>
        <w:rPr>
          <w:sz w:val="38"/>
        </w:rPr>
      </w:pPr>
      <w:r>
        <w:rPr>
          <w:sz w:val="38"/>
        </w:rPr>
        <w:t>iron</w:t>
      </w:r>
    </w:p>
    <w:p>
      <w:pPr>
        <w:pStyle w:val="ListParagraph"/>
        <w:numPr>
          <w:ilvl w:val="0"/>
          <w:numId w:val="26"/>
        </w:numPr>
        <w:tabs>
          <w:tab w:pos="892" w:val="left" w:leader="none"/>
          <w:tab w:pos="893" w:val="left" w:leader="none"/>
        </w:tabs>
        <w:spacing w:line="240" w:lineRule="auto" w:before="63" w:after="0"/>
        <w:ind w:left="892" w:right="0" w:hanging="415"/>
        <w:jc w:val="left"/>
        <w:rPr>
          <w:sz w:val="38"/>
        </w:rPr>
      </w:pPr>
      <w:r>
        <w:rPr>
          <w:sz w:val="38"/>
        </w:rPr>
        <w:t>beta-carotene</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arginine</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hydrocotyline</w:t>
      </w:r>
    </w:p>
    <w:p>
      <w:pPr>
        <w:pStyle w:val="ListParagraph"/>
        <w:numPr>
          <w:ilvl w:val="0"/>
          <w:numId w:val="26"/>
        </w:numPr>
        <w:tabs>
          <w:tab w:pos="892" w:val="left" w:leader="none"/>
          <w:tab w:pos="893" w:val="left" w:leader="none"/>
        </w:tabs>
        <w:spacing w:line="240" w:lineRule="auto" w:before="66" w:after="0"/>
        <w:ind w:left="892" w:right="0" w:hanging="415"/>
        <w:jc w:val="left"/>
        <w:rPr>
          <w:sz w:val="38"/>
        </w:rPr>
      </w:pPr>
      <w:r>
        <w:rPr>
          <w:sz w:val="38"/>
        </w:rPr>
        <w:t>asiatic</w:t>
      </w:r>
      <w:r>
        <w:rPr>
          <w:spacing w:val="-1"/>
          <w:sz w:val="38"/>
        </w:rPr>
        <w:t> </w:t>
      </w:r>
      <w:r>
        <w:rPr>
          <w:sz w:val="38"/>
        </w:rPr>
        <w:t>acid</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madecass acid</w:t>
      </w:r>
    </w:p>
    <w:p>
      <w:pPr>
        <w:pStyle w:val="ListParagraph"/>
        <w:numPr>
          <w:ilvl w:val="0"/>
          <w:numId w:val="26"/>
        </w:numPr>
        <w:tabs>
          <w:tab w:pos="892" w:val="left" w:leader="none"/>
          <w:tab w:pos="893" w:val="left" w:leader="none"/>
        </w:tabs>
        <w:spacing w:line="240" w:lineRule="auto" w:before="63" w:after="0"/>
        <w:ind w:left="892" w:right="0" w:hanging="415"/>
        <w:jc w:val="left"/>
        <w:rPr>
          <w:sz w:val="38"/>
        </w:rPr>
      </w:pPr>
      <w:r>
        <w:rPr>
          <w:sz w:val="38"/>
        </w:rPr>
        <w:t>free</w:t>
      </w:r>
      <w:r>
        <w:rPr>
          <w:spacing w:val="-3"/>
          <w:sz w:val="38"/>
        </w:rPr>
        <w:t> </w:t>
      </w:r>
      <w:r>
        <w:rPr>
          <w:sz w:val="38"/>
        </w:rPr>
        <w:t>triterpenes</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triterpenoid</w:t>
      </w:r>
      <w:r>
        <w:rPr>
          <w:spacing w:val="-20"/>
          <w:sz w:val="38"/>
        </w:rPr>
        <w:t> </w:t>
      </w:r>
      <w:r>
        <w:rPr>
          <w:sz w:val="38"/>
        </w:rPr>
        <w:t>saponins</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triterpenoid</w:t>
      </w:r>
      <w:r>
        <w:rPr>
          <w:spacing w:val="-20"/>
          <w:sz w:val="38"/>
        </w:rPr>
        <w:t> </w:t>
      </w:r>
      <w:r>
        <w:rPr>
          <w:sz w:val="38"/>
        </w:rPr>
        <w:t>saponins</w:t>
      </w:r>
    </w:p>
    <w:p>
      <w:pPr>
        <w:pStyle w:val="ListParagraph"/>
        <w:numPr>
          <w:ilvl w:val="0"/>
          <w:numId w:val="26"/>
        </w:numPr>
        <w:tabs>
          <w:tab w:pos="892" w:val="left" w:leader="none"/>
          <w:tab w:pos="893" w:val="left" w:leader="none"/>
        </w:tabs>
        <w:spacing w:line="240" w:lineRule="auto" w:before="66" w:after="0"/>
        <w:ind w:left="892" w:right="0" w:hanging="415"/>
        <w:jc w:val="left"/>
        <w:rPr>
          <w:sz w:val="38"/>
        </w:rPr>
      </w:pPr>
      <w:r>
        <w:rPr>
          <w:sz w:val="38"/>
        </w:rPr>
        <w:t>flavonol</w:t>
      </w:r>
      <w:r>
        <w:rPr>
          <w:spacing w:val="-2"/>
          <w:sz w:val="38"/>
        </w:rPr>
        <w:t> </w:t>
      </w:r>
      <w:r>
        <w:rPr>
          <w:sz w:val="38"/>
        </w:rPr>
        <w:t>glycosides</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brahminoside</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brahmoside</w:t>
      </w:r>
    </w:p>
    <w:p>
      <w:pPr>
        <w:pStyle w:val="ListParagraph"/>
        <w:numPr>
          <w:ilvl w:val="0"/>
          <w:numId w:val="26"/>
        </w:numPr>
        <w:tabs>
          <w:tab w:pos="892" w:val="left" w:leader="none"/>
          <w:tab w:pos="893" w:val="left" w:leader="none"/>
        </w:tabs>
        <w:spacing w:line="240" w:lineRule="auto" w:before="63" w:after="0"/>
        <w:ind w:left="892" w:right="0" w:hanging="415"/>
        <w:jc w:val="left"/>
        <w:rPr>
          <w:sz w:val="38"/>
        </w:rPr>
      </w:pPr>
      <w:r>
        <w:rPr>
          <w:sz w:val="38"/>
        </w:rPr>
        <w:t>thankuniside</w:t>
      </w:r>
    </w:p>
    <w:p>
      <w:pPr>
        <w:spacing w:after="0" w:line="240" w:lineRule="auto"/>
        <w:jc w:val="left"/>
        <w:rPr>
          <w:sz w:val="38"/>
        </w:rPr>
        <w:sectPr>
          <w:pgSz w:w="14270" w:h="16850"/>
          <w:pgMar w:header="0" w:footer="1891" w:top="1600" w:bottom="2080" w:left="800" w:right="1280"/>
        </w:sectPr>
      </w:pPr>
    </w:p>
    <w:p>
      <w:pPr>
        <w:pStyle w:val="BodyText"/>
        <w:spacing w:before="10"/>
        <w:rPr>
          <w:sz w:val="8"/>
        </w:rPr>
      </w:pPr>
    </w:p>
    <w:p>
      <w:pPr>
        <w:pStyle w:val="ListParagraph"/>
        <w:numPr>
          <w:ilvl w:val="0"/>
          <w:numId w:val="26"/>
        </w:numPr>
        <w:tabs>
          <w:tab w:pos="892" w:val="left" w:leader="none"/>
          <w:tab w:pos="893" w:val="left" w:leader="none"/>
        </w:tabs>
        <w:spacing w:line="240" w:lineRule="auto" w:before="83" w:after="0"/>
        <w:ind w:left="892" w:right="0" w:hanging="415"/>
        <w:jc w:val="left"/>
        <w:rPr>
          <w:sz w:val="38"/>
        </w:rPr>
      </w:pPr>
      <w:r>
        <w:rPr>
          <w:sz w:val="38"/>
        </w:rPr>
        <w:t>asiaticoside,</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madecassoside</w:t>
      </w:r>
    </w:p>
    <w:p>
      <w:pPr>
        <w:pStyle w:val="ListParagraph"/>
        <w:numPr>
          <w:ilvl w:val="0"/>
          <w:numId w:val="26"/>
        </w:numPr>
        <w:tabs>
          <w:tab w:pos="892" w:val="left" w:leader="none"/>
          <w:tab w:pos="893" w:val="left" w:leader="none"/>
        </w:tabs>
        <w:spacing w:line="240" w:lineRule="auto" w:before="66" w:after="0"/>
        <w:ind w:left="892" w:right="0" w:hanging="415"/>
        <w:jc w:val="left"/>
        <w:rPr>
          <w:sz w:val="38"/>
        </w:rPr>
      </w:pPr>
      <w:r>
        <w:rPr>
          <w:sz w:val="38"/>
        </w:rPr>
        <w:t>vellarin</w:t>
      </w:r>
    </w:p>
    <w:p>
      <w:pPr>
        <w:pStyle w:val="ListParagraph"/>
        <w:numPr>
          <w:ilvl w:val="0"/>
          <w:numId w:val="26"/>
        </w:numPr>
        <w:tabs>
          <w:tab w:pos="892" w:val="left" w:leader="none"/>
          <w:tab w:pos="893" w:val="left" w:leader="none"/>
        </w:tabs>
        <w:spacing w:line="240" w:lineRule="auto" w:before="63" w:after="0"/>
        <w:ind w:left="892" w:right="0" w:hanging="415"/>
        <w:jc w:val="left"/>
        <w:rPr>
          <w:sz w:val="38"/>
        </w:rPr>
      </w:pPr>
      <w:r>
        <w:rPr>
          <w:sz w:val="38"/>
        </w:rPr>
        <w:t>thankunic acid</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betulic</w:t>
      </w:r>
      <w:r>
        <w:rPr>
          <w:spacing w:val="-2"/>
          <w:sz w:val="38"/>
        </w:rPr>
        <w:t> </w:t>
      </w:r>
      <w:r>
        <w:rPr>
          <w:sz w:val="38"/>
        </w:rPr>
        <w:t>acid</w:t>
      </w:r>
    </w:p>
    <w:p>
      <w:pPr>
        <w:pStyle w:val="ListParagraph"/>
        <w:numPr>
          <w:ilvl w:val="0"/>
          <w:numId w:val="26"/>
        </w:numPr>
        <w:tabs>
          <w:tab w:pos="892" w:val="left" w:leader="none"/>
          <w:tab w:pos="893" w:val="left" w:leader="none"/>
        </w:tabs>
        <w:spacing w:line="240" w:lineRule="auto" w:before="63" w:after="0"/>
        <w:ind w:left="892" w:right="0" w:hanging="415"/>
        <w:jc w:val="left"/>
        <w:rPr>
          <w:sz w:val="38"/>
        </w:rPr>
      </w:pPr>
      <w:r>
        <w:rPr>
          <w:sz w:val="38"/>
        </w:rPr>
        <w:t>isobrahmic acid</w:t>
      </w:r>
    </w:p>
    <w:p>
      <w:pPr>
        <w:pStyle w:val="ListParagraph"/>
        <w:numPr>
          <w:ilvl w:val="0"/>
          <w:numId w:val="26"/>
        </w:numPr>
        <w:tabs>
          <w:tab w:pos="892" w:val="left" w:leader="none"/>
          <w:tab w:pos="893" w:val="left" w:leader="none"/>
        </w:tabs>
        <w:spacing w:line="240" w:lineRule="auto" w:before="65" w:after="0"/>
        <w:ind w:left="892" w:right="0" w:hanging="415"/>
        <w:jc w:val="left"/>
        <w:rPr>
          <w:sz w:val="38"/>
        </w:rPr>
      </w:pPr>
      <w:r>
        <w:rPr>
          <w:sz w:val="38"/>
        </w:rPr>
        <w:t>quercentin</w:t>
      </w:r>
    </w:p>
    <w:p>
      <w:pPr>
        <w:pStyle w:val="ListParagraph"/>
        <w:numPr>
          <w:ilvl w:val="0"/>
          <w:numId w:val="26"/>
        </w:numPr>
        <w:tabs>
          <w:tab w:pos="892" w:val="left" w:leader="none"/>
          <w:tab w:pos="893" w:val="left" w:leader="none"/>
        </w:tabs>
        <w:spacing w:line="240" w:lineRule="auto" w:before="66" w:after="0"/>
        <w:ind w:left="892" w:right="0" w:hanging="415"/>
        <w:jc w:val="left"/>
        <w:rPr>
          <w:sz w:val="38"/>
        </w:rPr>
      </w:pPr>
      <w:r>
        <w:rPr>
          <w:sz w:val="38"/>
        </w:rPr>
        <w:t>kampherol</w:t>
      </w:r>
    </w:p>
    <w:p>
      <w:pPr>
        <w:pStyle w:val="Heading1"/>
        <w:spacing w:before="285"/>
      </w:pPr>
      <w:r>
        <w:rPr/>
        <w:t>General effect of gotu kola</w:t>
      </w:r>
    </w:p>
    <w:p>
      <w:pPr>
        <w:pStyle w:val="BodyText"/>
        <w:spacing w:before="299"/>
        <w:ind w:left="477"/>
      </w:pPr>
      <w:r>
        <w:rPr/>
        <w:t>The general effect of gotu kola can be described as follows:</w:t>
      </w:r>
    </w:p>
    <w:p>
      <w:pPr>
        <w:pStyle w:val="ListParagraph"/>
        <w:numPr>
          <w:ilvl w:val="0"/>
          <w:numId w:val="26"/>
        </w:numPr>
        <w:tabs>
          <w:tab w:pos="892" w:val="left" w:leader="none"/>
          <w:tab w:pos="893" w:val="left" w:leader="none"/>
        </w:tabs>
        <w:spacing w:line="240" w:lineRule="auto" w:before="306" w:after="0"/>
        <w:ind w:left="892" w:right="0" w:hanging="415"/>
        <w:jc w:val="left"/>
        <w:rPr>
          <w:sz w:val="38"/>
        </w:rPr>
      </w:pPr>
      <w:r>
        <w:rPr>
          <w:sz w:val="38"/>
        </w:rPr>
        <w:t>it stimulates the immune</w:t>
      </w:r>
      <w:r>
        <w:rPr>
          <w:spacing w:val="1"/>
          <w:sz w:val="38"/>
        </w:rPr>
        <w:t> </w:t>
      </w:r>
      <w:r>
        <w:rPr>
          <w:sz w:val="38"/>
        </w:rPr>
        <w:t>system,</w:t>
      </w:r>
    </w:p>
    <w:p>
      <w:pPr>
        <w:pStyle w:val="ListParagraph"/>
        <w:numPr>
          <w:ilvl w:val="0"/>
          <w:numId w:val="26"/>
        </w:numPr>
        <w:tabs>
          <w:tab w:pos="892" w:val="left" w:leader="none"/>
          <w:tab w:pos="893" w:val="left" w:leader="none"/>
        </w:tabs>
        <w:spacing w:line="240" w:lineRule="auto" w:before="63" w:after="0"/>
        <w:ind w:left="892" w:right="0" w:hanging="415"/>
        <w:jc w:val="left"/>
        <w:rPr>
          <w:sz w:val="38"/>
        </w:rPr>
      </w:pPr>
      <w:r>
        <w:rPr>
          <w:sz w:val="38"/>
        </w:rPr>
        <w:t>strengthens the cardiovascular</w:t>
      </w:r>
      <w:r>
        <w:rPr>
          <w:spacing w:val="2"/>
          <w:sz w:val="38"/>
        </w:rPr>
        <w:t> </w:t>
      </w:r>
      <w:r>
        <w:rPr>
          <w:sz w:val="38"/>
        </w:rPr>
        <w:t>system,</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relaxes and regenerates the blood</w:t>
      </w:r>
      <w:r>
        <w:rPr>
          <w:spacing w:val="2"/>
          <w:sz w:val="38"/>
        </w:rPr>
        <w:t> </w:t>
      </w:r>
      <w:r>
        <w:rPr>
          <w:sz w:val="38"/>
        </w:rPr>
        <w:t>vessels,</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renews the blood cells,</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has an antioxidant</w:t>
      </w:r>
      <w:r>
        <w:rPr>
          <w:spacing w:val="-2"/>
          <w:sz w:val="38"/>
        </w:rPr>
        <w:t> </w:t>
      </w:r>
      <w:r>
        <w:rPr>
          <w:sz w:val="38"/>
        </w:rPr>
        <w:t>effect,</w:t>
      </w:r>
    </w:p>
    <w:p>
      <w:pPr>
        <w:pStyle w:val="ListParagraph"/>
        <w:numPr>
          <w:ilvl w:val="0"/>
          <w:numId w:val="26"/>
        </w:numPr>
        <w:tabs>
          <w:tab w:pos="892" w:val="left" w:leader="none"/>
          <w:tab w:pos="893" w:val="left" w:leader="none"/>
        </w:tabs>
        <w:spacing w:line="240" w:lineRule="auto" w:before="66" w:after="0"/>
        <w:ind w:left="892" w:right="0" w:hanging="415"/>
        <w:jc w:val="left"/>
        <w:rPr>
          <w:sz w:val="38"/>
        </w:rPr>
      </w:pPr>
      <w:r>
        <w:rPr>
          <w:sz w:val="38"/>
        </w:rPr>
        <w:t>rejuvenates,</w:t>
      </w:r>
    </w:p>
    <w:p>
      <w:pPr>
        <w:pStyle w:val="ListParagraph"/>
        <w:numPr>
          <w:ilvl w:val="0"/>
          <w:numId w:val="26"/>
        </w:numPr>
        <w:tabs>
          <w:tab w:pos="892" w:val="left" w:leader="none"/>
          <w:tab w:pos="893" w:val="left" w:leader="none"/>
        </w:tabs>
        <w:spacing w:line="240" w:lineRule="auto" w:before="63" w:after="0"/>
        <w:ind w:left="892" w:right="0" w:hanging="415"/>
        <w:jc w:val="left"/>
        <w:rPr>
          <w:sz w:val="38"/>
        </w:rPr>
      </w:pPr>
      <w:r>
        <w:rPr>
          <w:sz w:val="38"/>
        </w:rPr>
        <w:t>is</w:t>
      </w:r>
      <w:r>
        <w:rPr>
          <w:spacing w:val="-3"/>
          <w:sz w:val="38"/>
        </w:rPr>
        <w:t> </w:t>
      </w:r>
      <w:r>
        <w:rPr>
          <w:sz w:val="38"/>
        </w:rPr>
        <w:t>anti-inflammatory,</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detoxifying,</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diuretic and</w:t>
      </w:r>
      <w:r>
        <w:rPr>
          <w:spacing w:val="-1"/>
          <w:sz w:val="38"/>
        </w:rPr>
        <w:t> </w:t>
      </w:r>
      <w:r>
        <w:rPr>
          <w:sz w:val="38"/>
        </w:rPr>
        <w:t>dehydrating,</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antipyretic,</w:t>
      </w:r>
    </w:p>
    <w:p>
      <w:pPr>
        <w:pStyle w:val="ListParagraph"/>
        <w:numPr>
          <w:ilvl w:val="0"/>
          <w:numId w:val="26"/>
        </w:numPr>
        <w:tabs>
          <w:tab w:pos="892" w:val="left" w:leader="none"/>
          <w:tab w:pos="893" w:val="left" w:leader="none"/>
        </w:tabs>
        <w:spacing w:line="240" w:lineRule="auto" w:before="66" w:after="0"/>
        <w:ind w:left="892" w:right="0" w:hanging="415"/>
        <w:jc w:val="left"/>
        <w:rPr>
          <w:sz w:val="38"/>
        </w:rPr>
      </w:pPr>
      <w:r>
        <w:rPr>
          <w:sz w:val="38"/>
        </w:rPr>
        <w:t>promotes wound</w:t>
      </w:r>
      <w:r>
        <w:rPr>
          <w:spacing w:val="-2"/>
          <w:sz w:val="38"/>
        </w:rPr>
        <w:t> </w:t>
      </w:r>
      <w:r>
        <w:rPr>
          <w:sz w:val="38"/>
        </w:rPr>
        <w:t>healing,</w:t>
      </w:r>
    </w:p>
    <w:p>
      <w:pPr>
        <w:spacing w:after="0" w:line="240" w:lineRule="auto"/>
        <w:jc w:val="left"/>
        <w:rPr>
          <w:sz w:val="38"/>
        </w:rPr>
        <w:sectPr>
          <w:pgSz w:w="14270" w:h="16850"/>
          <w:pgMar w:header="0" w:footer="1891" w:top="1600" w:bottom="2080" w:left="800" w:right="1280"/>
        </w:sectPr>
      </w:pPr>
    </w:p>
    <w:p>
      <w:pPr>
        <w:pStyle w:val="BodyText"/>
        <w:spacing w:before="10"/>
        <w:rPr>
          <w:sz w:val="8"/>
        </w:rPr>
      </w:pPr>
    </w:p>
    <w:p>
      <w:pPr>
        <w:pStyle w:val="ListParagraph"/>
        <w:numPr>
          <w:ilvl w:val="0"/>
          <w:numId w:val="26"/>
        </w:numPr>
        <w:tabs>
          <w:tab w:pos="892" w:val="left" w:leader="none"/>
          <w:tab w:pos="893" w:val="left" w:leader="none"/>
        </w:tabs>
        <w:spacing w:line="240" w:lineRule="auto" w:before="83" w:after="0"/>
        <w:ind w:left="892" w:right="0" w:hanging="415"/>
        <w:jc w:val="left"/>
        <w:rPr>
          <w:sz w:val="38"/>
        </w:rPr>
      </w:pPr>
      <w:r>
        <w:rPr>
          <w:sz w:val="38"/>
        </w:rPr>
        <w:t>counteracts</w:t>
      </w:r>
      <w:r>
        <w:rPr>
          <w:spacing w:val="-2"/>
          <w:sz w:val="38"/>
        </w:rPr>
        <w:t> </w:t>
      </w:r>
      <w:r>
        <w:rPr>
          <w:sz w:val="38"/>
        </w:rPr>
        <w:t>stress,</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promotes</w:t>
      </w:r>
      <w:r>
        <w:rPr>
          <w:spacing w:val="-2"/>
          <w:sz w:val="38"/>
        </w:rPr>
        <w:t> </w:t>
      </w:r>
      <w:r>
        <w:rPr>
          <w:sz w:val="38"/>
        </w:rPr>
        <w:t>memory,</w:t>
      </w:r>
    </w:p>
    <w:p>
      <w:pPr>
        <w:pStyle w:val="ListParagraph"/>
        <w:numPr>
          <w:ilvl w:val="0"/>
          <w:numId w:val="26"/>
        </w:numPr>
        <w:tabs>
          <w:tab w:pos="892" w:val="left" w:leader="none"/>
          <w:tab w:pos="893" w:val="left" w:leader="none"/>
        </w:tabs>
        <w:spacing w:line="240" w:lineRule="auto" w:before="66" w:after="0"/>
        <w:ind w:left="892" w:right="0" w:hanging="415"/>
        <w:jc w:val="left"/>
        <w:rPr>
          <w:sz w:val="38"/>
        </w:rPr>
      </w:pPr>
      <w:r>
        <w:rPr>
          <w:sz w:val="38"/>
        </w:rPr>
        <w:t>has an antifungal effect (against fungus</w:t>
      </w:r>
      <w:r>
        <w:rPr>
          <w:spacing w:val="-3"/>
          <w:sz w:val="38"/>
        </w:rPr>
        <w:t> </w:t>
      </w:r>
      <w:r>
        <w:rPr>
          <w:sz w:val="38"/>
        </w:rPr>
        <w:t>production),</w:t>
      </w:r>
    </w:p>
    <w:p>
      <w:pPr>
        <w:pStyle w:val="ListParagraph"/>
        <w:numPr>
          <w:ilvl w:val="0"/>
          <w:numId w:val="26"/>
        </w:numPr>
        <w:tabs>
          <w:tab w:pos="892" w:val="left" w:leader="none"/>
          <w:tab w:pos="893" w:val="left" w:leader="none"/>
        </w:tabs>
        <w:spacing w:line="240" w:lineRule="auto" w:before="63" w:after="0"/>
        <w:ind w:left="892" w:right="0" w:hanging="415"/>
        <w:jc w:val="left"/>
        <w:rPr>
          <w:sz w:val="38"/>
        </w:rPr>
      </w:pPr>
      <w:r>
        <w:rPr>
          <w:sz w:val="38"/>
        </w:rPr>
        <w:t>is</w:t>
      </w:r>
      <w:r>
        <w:rPr>
          <w:spacing w:val="-3"/>
          <w:sz w:val="38"/>
        </w:rPr>
        <w:t> </w:t>
      </w:r>
      <w:r>
        <w:rPr>
          <w:sz w:val="38"/>
        </w:rPr>
        <w:t>antibiotic</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and cytostatic.</w:t>
      </w:r>
    </w:p>
    <w:p>
      <w:pPr>
        <w:spacing w:after="0" w:line="240" w:lineRule="auto"/>
        <w:jc w:val="left"/>
        <w:rPr>
          <w:sz w:val="38"/>
        </w:rPr>
        <w:sectPr>
          <w:pgSz w:w="14270" w:h="16850"/>
          <w:pgMar w:header="0" w:footer="1891" w:top="1600" w:bottom="2080" w:left="800" w:right="1280"/>
        </w:sectPr>
      </w:pPr>
    </w:p>
    <w:p>
      <w:pPr>
        <w:pStyle w:val="Heading1"/>
        <w:spacing w:before="164"/>
      </w:pPr>
      <w:r>
        <w:rPr/>
        <w:t>Specific effects of gotu kola on diseases and conditions</w:t>
      </w:r>
    </w:p>
    <w:p>
      <w:pPr>
        <w:pStyle w:val="BodyText"/>
        <w:spacing w:line="276" w:lineRule="auto" w:before="299"/>
        <w:ind w:left="477"/>
      </w:pPr>
      <w:r>
        <w:rPr/>
        <w:t>The</w:t>
      </w:r>
      <w:r>
        <w:rPr>
          <w:spacing w:val="-16"/>
        </w:rPr>
        <w:t> </w:t>
      </w:r>
      <w:r>
        <w:rPr/>
        <w:t>very</w:t>
      </w:r>
      <w:r>
        <w:rPr>
          <w:spacing w:val="-16"/>
        </w:rPr>
        <w:t> </w:t>
      </w:r>
      <w:r>
        <w:rPr/>
        <w:t>broad</w:t>
      </w:r>
      <w:r>
        <w:rPr>
          <w:spacing w:val="-15"/>
        </w:rPr>
        <w:t> </w:t>
      </w:r>
      <w:r>
        <w:rPr/>
        <w:t>general</w:t>
      </w:r>
      <w:r>
        <w:rPr>
          <w:spacing w:val="-18"/>
        </w:rPr>
        <w:t> </w:t>
      </w:r>
      <w:r>
        <w:rPr/>
        <w:t>effects</w:t>
      </w:r>
      <w:r>
        <w:rPr>
          <w:spacing w:val="-14"/>
        </w:rPr>
        <w:t> </w:t>
      </w:r>
      <w:r>
        <w:rPr/>
        <w:t>described</w:t>
      </w:r>
      <w:r>
        <w:rPr>
          <w:spacing w:val="-16"/>
        </w:rPr>
        <w:t> </w:t>
      </w:r>
      <w:r>
        <w:rPr/>
        <w:t>above</w:t>
      </w:r>
      <w:r>
        <w:rPr>
          <w:spacing w:val="-16"/>
        </w:rPr>
        <w:t> </w:t>
      </w:r>
      <w:r>
        <w:rPr/>
        <w:t>already</w:t>
      </w:r>
      <w:r>
        <w:rPr>
          <w:spacing w:val="-17"/>
        </w:rPr>
        <w:t> </w:t>
      </w:r>
      <w:r>
        <w:rPr/>
        <w:t>suggest</w:t>
      </w:r>
      <w:r>
        <w:rPr>
          <w:spacing w:val="-16"/>
        </w:rPr>
        <w:t> </w:t>
      </w:r>
      <w:r>
        <w:rPr/>
        <w:t>that</w:t>
      </w:r>
      <w:r>
        <w:rPr>
          <w:spacing w:val="-17"/>
        </w:rPr>
        <w:t> </w:t>
      </w:r>
      <w:r>
        <w:rPr/>
        <w:t>it</w:t>
      </w:r>
      <w:r>
        <w:rPr>
          <w:spacing w:val="-17"/>
        </w:rPr>
        <w:t> </w:t>
      </w:r>
      <w:r>
        <w:rPr/>
        <w:t>can</w:t>
      </w:r>
      <w:r>
        <w:rPr>
          <w:spacing w:val="-15"/>
        </w:rPr>
        <w:t> </w:t>
      </w:r>
      <w:r>
        <w:rPr/>
        <w:t>coun- teract many diseases and</w:t>
      </w:r>
      <w:r>
        <w:rPr>
          <w:spacing w:val="3"/>
        </w:rPr>
        <w:t> </w:t>
      </w:r>
      <w:r>
        <w:rPr/>
        <w:t>conditions.</w:t>
      </w:r>
    </w:p>
    <w:p>
      <w:pPr>
        <w:pStyle w:val="Heading2"/>
        <w:spacing w:before="241"/>
      </w:pPr>
      <w:r>
        <w:rPr/>
        <w:t>Gotu kola can be used both inside and outside the body for:</w:t>
      </w:r>
    </w:p>
    <w:p>
      <w:pPr>
        <w:pStyle w:val="ListParagraph"/>
        <w:numPr>
          <w:ilvl w:val="0"/>
          <w:numId w:val="26"/>
        </w:numPr>
        <w:tabs>
          <w:tab w:pos="892" w:val="left" w:leader="none"/>
          <w:tab w:pos="893" w:val="left" w:leader="none"/>
        </w:tabs>
        <w:spacing w:line="240" w:lineRule="auto" w:before="306" w:after="0"/>
        <w:ind w:left="892" w:right="0" w:hanging="415"/>
        <w:jc w:val="left"/>
        <w:rPr>
          <w:sz w:val="38"/>
        </w:rPr>
      </w:pPr>
      <w:r>
        <w:rPr>
          <w:sz w:val="38"/>
        </w:rPr>
        <w:t>cardiovascular disease</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vascular disease / venous disease</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phlebitis</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atherosclerosis</w:t>
      </w:r>
    </w:p>
    <w:p>
      <w:pPr>
        <w:pStyle w:val="ListParagraph"/>
        <w:numPr>
          <w:ilvl w:val="0"/>
          <w:numId w:val="26"/>
        </w:numPr>
        <w:tabs>
          <w:tab w:pos="892" w:val="left" w:leader="none"/>
          <w:tab w:pos="893" w:val="left" w:leader="none"/>
        </w:tabs>
        <w:spacing w:line="240" w:lineRule="auto" w:before="63" w:after="0"/>
        <w:ind w:left="892" w:right="0" w:hanging="415"/>
        <w:jc w:val="left"/>
        <w:rPr>
          <w:sz w:val="38"/>
        </w:rPr>
      </w:pPr>
      <w:r>
        <w:rPr>
          <w:sz w:val="38"/>
        </w:rPr>
        <w:t>high blood</w:t>
      </w:r>
      <w:r>
        <w:rPr>
          <w:spacing w:val="-3"/>
          <w:sz w:val="38"/>
        </w:rPr>
        <w:t> </w:t>
      </w:r>
      <w:r>
        <w:rPr>
          <w:sz w:val="38"/>
        </w:rPr>
        <w:t>pressure</w:t>
      </w:r>
    </w:p>
    <w:p>
      <w:pPr>
        <w:pStyle w:val="ListParagraph"/>
        <w:numPr>
          <w:ilvl w:val="0"/>
          <w:numId w:val="26"/>
        </w:numPr>
        <w:tabs>
          <w:tab w:pos="892" w:val="left" w:leader="none"/>
          <w:tab w:pos="893" w:val="left" w:leader="none"/>
        </w:tabs>
        <w:spacing w:line="240" w:lineRule="auto" w:before="66" w:after="0"/>
        <w:ind w:left="892" w:right="0" w:hanging="415"/>
        <w:jc w:val="left"/>
        <w:rPr>
          <w:sz w:val="38"/>
        </w:rPr>
      </w:pPr>
      <w:r>
        <w:rPr>
          <w:sz w:val="38"/>
        </w:rPr>
        <w:t>asthma</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gastrointestinal disease</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gastrointestinal ulcers,</w:t>
      </w:r>
      <w:r>
        <w:rPr>
          <w:spacing w:val="2"/>
          <w:sz w:val="38"/>
        </w:rPr>
        <w:t> </w:t>
      </w:r>
      <w:r>
        <w:rPr>
          <w:sz w:val="38"/>
        </w:rPr>
        <w:t>stress-related</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rheumatism (e.g. arthritis</w:t>
      </w:r>
      <w:r>
        <w:rPr>
          <w:spacing w:val="5"/>
          <w:sz w:val="38"/>
        </w:rPr>
        <w:t> </w:t>
      </w:r>
      <w:r>
        <w:rPr>
          <w:sz w:val="38"/>
        </w:rPr>
        <w:t>)</w:t>
      </w:r>
    </w:p>
    <w:p>
      <w:pPr>
        <w:pStyle w:val="ListParagraph"/>
        <w:numPr>
          <w:ilvl w:val="0"/>
          <w:numId w:val="26"/>
        </w:numPr>
        <w:tabs>
          <w:tab w:pos="892" w:val="left" w:leader="none"/>
          <w:tab w:pos="893" w:val="left" w:leader="none"/>
        </w:tabs>
        <w:spacing w:line="240" w:lineRule="auto" w:before="63" w:after="0"/>
        <w:ind w:left="892" w:right="0" w:hanging="415"/>
        <w:jc w:val="left"/>
        <w:rPr>
          <w:sz w:val="38"/>
        </w:rPr>
      </w:pPr>
      <w:r>
        <w:rPr>
          <w:sz w:val="38"/>
        </w:rPr>
        <w:t>immune diseases</w:t>
      </w:r>
    </w:p>
    <w:p>
      <w:pPr>
        <w:pStyle w:val="ListParagraph"/>
        <w:numPr>
          <w:ilvl w:val="0"/>
          <w:numId w:val="26"/>
        </w:numPr>
        <w:tabs>
          <w:tab w:pos="892" w:val="left" w:leader="none"/>
          <w:tab w:pos="893" w:val="left" w:leader="none"/>
        </w:tabs>
        <w:spacing w:line="240" w:lineRule="auto" w:before="66" w:after="0"/>
        <w:ind w:left="892" w:right="0" w:hanging="415"/>
        <w:jc w:val="left"/>
        <w:rPr>
          <w:sz w:val="38"/>
        </w:rPr>
      </w:pPr>
      <w:r>
        <w:rPr>
          <w:sz w:val="38"/>
        </w:rPr>
        <w:t>varicose</w:t>
      </w:r>
      <w:r>
        <w:rPr>
          <w:spacing w:val="-2"/>
          <w:sz w:val="38"/>
        </w:rPr>
        <w:t> </w:t>
      </w:r>
      <w:r>
        <w:rPr>
          <w:sz w:val="38"/>
        </w:rPr>
        <w:t>veins</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chronic skin</w:t>
      </w:r>
      <w:r>
        <w:rPr>
          <w:spacing w:val="-1"/>
          <w:sz w:val="38"/>
        </w:rPr>
        <w:t> </w:t>
      </w:r>
      <w:r>
        <w:rPr>
          <w:sz w:val="38"/>
        </w:rPr>
        <w:t>diseases</w:t>
      </w:r>
    </w:p>
    <w:p>
      <w:pPr>
        <w:pStyle w:val="ListParagraph"/>
        <w:numPr>
          <w:ilvl w:val="0"/>
          <w:numId w:val="26"/>
        </w:numPr>
        <w:tabs>
          <w:tab w:pos="892" w:val="left" w:leader="none"/>
          <w:tab w:pos="893" w:val="left" w:leader="none"/>
        </w:tabs>
        <w:spacing w:line="240" w:lineRule="auto" w:before="63" w:after="0"/>
        <w:ind w:left="892" w:right="0" w:hanging="415"/>
        <w:jc w:val="left"/>
        <w:rPr>
          <w:sz w:val="38"/>
        </w:rPr>
      </w:pPr>
      <w:r>
        <w:rPr>
          <w:sz w:val="38"/>
        </w:rPr>
        <w:t>dermatitis</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psoriasis</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eczema</w:t>
      </w:r>
    </w:p>
    <w:p>
      <w:pPr>
        <w:pStyle w:val="ListParagraph"/>
        <w:numPr>
          <w:ilvl w:val="0"/>
          <w:numId w:val="26"/>
        </w:numPr>
        <w:tabs>
          <w:tab w:pos="892" w:val="left" w:leader="none"/>
          <w:tab w:pos="893" w:val="left" w:leader="none"/>
        </w:tabs>
        <w:spacing w:line="240" w:lineRule="auto" w:before="66" w:after="0"/>
        <w:ind w:left="892" w:right="0" w:hanging="415"/>
        <w:jc w:val="left"/>
        <w:rPr>
          <w:sz w:val="38"/>
        </w:rPr>
      </w:pPr>
      <w:r>
        <w:rPr>
          <w:sz w:val="38"/>
        </w:rPr>
        <w:t>leprosy</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arthrosis</w:t>
      </w:r>
    </w:p>
    <w:p>
      <w:pPr>
        <w:spacing w:after="0" w:line="240" w:lineRule="auto"/>
        <w:jc w:val="left"/>
        <w:rPr>
          <w:sz w:val="38"/>
        </w:rPr>
        <w:sectPr>
          <w:footerReference w:type="default" r:id="rId126"/>
          <w:pgSz w:w="14270" w:h="16850"/>
          <w:pgMar w:footer="1891" w:header="0" w:top="1600" w:bottom="2080" w:left="800" w:right="1280"/>
          <w:pgNumType w:start="480"/>
        </w:sectPr>
      </w:pPr>
    </w:p>
    <w:p>
      <w:pPr>
        <w:pStyle w:val="BodyText"/>
        <w:spacing w:before="10"/>
        <w:rPr>
          <w:sz w:val="8"/>
        </w:rPr>
      </w:pPr>
    </w:p>
    <w:p>
      <w:pPr>
        <w:pStyle w:val="ListParagraph"/>
        <w:numPr>
          <w:ilvl w:val="0"/>
          <w:numId w:val="26"/>
        </w:numPr>
        <w:tabs>
          <w:tab w:pos="892" w:val="left" w:leader="none"/>
          <w:tab w:pos="893" w:val="left" w:leader="none"/>
        </w:tabs>
        <w:spacing w:line="240" w:lineRule="auto" w:before="83" w:after="0"/>
        <w:ind w:left="892" w:right="0" w:hanging="415"/>
        <w:jc w:val="left"/>
        <w:rPr>
          <w:sz w:val="38"/>
        </w:rPr>
      </w:pPr>
      <w:r>
        <w:rPr>
          <w:sz w:val="38"/>
        </w:rPr>
        <w:t>arthritis</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lupus</w:t>
      </w:r>
    </w:p>
    <w:p>
      <w:pPr>
        <w:pStyle w:val="ListParagraph"/>
        <w:numPr>
          <w:ilvl w:val="0"/>
          <w:numId w:val="26"/>
        </w:numPr>
        <w:tabs>
          <w:tab w:pos="892" w:val="left" w:leader="none"/>
          <w:tab w:pos="893" w:val="left" w:leader="none"/>
        </w:tabs>
        <w:spacing w:line="240" w:lineRule="auto" w:before="66" w:after="0"/>
        <w:ind w:left="892" w:right="0" w:hanging="415"/>
        <w:jc w:val="left"/>
        <w:rPr>
          <w:sz w:val="38"/>
        </w:rPr>
      </w:pPr>
      <w:r>
        <w:rPr>
          <w:sz w:val="38"/>
        </w:rPr>
        <w:t>diarrhoea</w:t>
      </w:r>
    </w:p>
    <w:p>
      <w:pPr>
        <w:pStyle w:val="ListParagraph"/>
        <w:numPr>
          <w:ilvl w:val="0"/>
          <w:numId w:val="26"/>
        </w:numPr>
        <w:tabs>
          <w:tab w:pos="892" w:val="left" w:leader="none"/>
          <w:tab w:pos="893" w:val="left" w:leader="none"/>
        </w:tabs>
        <w:spacing w:line="240" w:lineRule="auto" w:before="63" w:after="0"/>
        <w:ind w:left="892" w:right="0" w:hanging="415"/>
        <w:jc w:val="left"/>
        <w:rPr>
          <w:sz w:val="38"/>
        </w:rPr>
      </w:pPr>
      <w:r>
        <w:rPr>
          <w:sz w:val="38"/>
        </w:rPr>
        <w:t>malaria</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senility / memory impairment</w:t>
      </w:r>
    </w:p>
    <w:p>
      <w:pPr>
        <w:pStyle w:val="ListParagraph"/>
        <w:numPr>
          <w:ilvl w:val="0"/>
          <w:numId w:val="26"/>
        </w:numPr>
        <w:tabs>
          <w:tab w:pos="892" w:val="left" w:leader="none"/>
          <w:tab w:pos="893" w:val="left" w:leader="none"/>
        </w:tabs>
        <w:spacing w:line="240" w:lineRule="auto" w:before="63" w:after="0"/>
        <w:ind w:left="892" w:right="0" w:hanging="415"/>
        <w:jc w:val="left"/>
        <w:rPr>
          <w:sz w:val="38"/>
        </w:rPr>
      </w:pPr>
      <w:r>
        <w:rPr>
          <w:sz w:val="38"/>
        </w:rPr>
        <w:t>Alzheimer’s</w:t>
      </w:r>
    </w:p>
    <w:p>
      <w:pPr>
        <w:pStyle w:val="ListParagraph"/>
        <w:numPr>
          <w:ilvl w:val="0"/>
          <w:numId w:val="26"/>
        </w:numPr>
        <w:tabs>
          <w:tab w:pos="892" w:val="left" w:leader="none"/>
          <w:tab w:pos="893" w:val="left" w:leader="none"/>
        </w:tabs>
        <w:spacing w:line="240" w:lineRule="auto" w:before="65" w:after="0"/>
        <w:ind w:left="892" w:right="0" w:hanging="415"/>
        <w:jc w:val="left"/>
        <w:rPr>
          <w:sz w:val="38"/>
        </w:rPr>
      </w:pPr>
      <w:r>
        <w:rPr>
          <w:sz w:val="38"/>
        </w:rPr>
        <w:t>ulcers</w:t>
      </w:r>
    </w:p>
    <w:p>
      <w:pPr>
        <w:pStyle w:val="ListParagraph"/>
        <w:numPr>
          <w:ilvl w:val="0"/>
          <w:numId w:val="26"/>
        </w:numPr>
        <w:tabs>
          <w:tab w:pos="892" w:val="left" w:leader="none"/>
          <w:tab w:pos="893" w:val="left" w:leader="none"/>
        </w:tabs>
        <w:spacing w:line="240" w:lineRule="auto" w:before="66" w:after="0"/>
        <w:ind w:left="892" w:right="0" w:hanging="415"/>
        <w:jc w:val="left"/>
        <w:rPr>
          <w:sz w:val="38"/>
        </w:rPr>
      </w:pPr>
      <w:r>
        <w:rPr>
          <w:sz w:val="38"/>
        </w:rPr>
        <w:t>liver disease</w:t>
      </w:r>
    </w:p>
    <w:p>
      <w:pPr>
        <w:pStyle w:val="ListParagraph"/>
        <w:numPr>
          <w:ilvl w:val="0"/>
          <w:numId w:val="26"/>
        </w:numPr>
        <w:tabs>
          <w:tab w:pos="892" w:val="left" w:leader="none"/>
          <w:tab w:pos="893" w:val="left" w:leader="none"/>
        </w:tabs>
        <w:spacing w:line="240" w:lineRule="auto" w:before="63" w:after="0"/>
        <w:ind w:left="892" w:right="0" w:hanging="415"/>
        <w:jc w:val="left"/>
        <w:rPr>
          <w:sz w:val="38"/>
        </w:rPr>
      </w:pPr>
      <w:r>
        <w:rPr>
          <w:sz w:val="38"/>
        </w:rPr>
        <w:t>herpes</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insomnia</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STDs</w:t>
      </w:r>
    </w:p>
    <w:p>
      <w:pPr>
        <w:pStyle w:val="ListParagraph"/>
        <w:numPr>
          <w:ilvl w:val="0"/>
          <w:numId w:val="26"/>
        </w:numPr>
        <w:tabs>
          <w:tab w:pos="892" w:val="left" w:leader="none"/>
          <w:tab w:pos="893" w:val="left" w:leader="none"/>
        </w:tabs>
        <w:spacing w:line="240" w:lineRule="auto" w:before="63" w:after="0"/>
        <w:ind w:left="892" w:right="0" w:hanging="415"/>
        <w:jc w:val="left"/>
        <w:rPr>
          <w:sz w:val="38"/>
        </w:rPr>
      </w:pPr>
      <w:r>
        <w:rPr>
          <w:sz w:val="38"/>
        </w:rPr>
        <w:t>dysuria</w:t>
      </w:r>
    </w:p>
    <w:p>
      <w:pPr>
        <w:pStyle w:val="ListParagraph"/>
        <w:numPr>
          <w:ilvl w:val="0"/>
          <w:numId w:val="26"/>
        </w:numPr>
        <w:tabs>
          <w:tab w:pos="892" w:val="left" w:leader="none"/>
          <w:tab w:pos="893" w:val="left" w:leader="none"/>
        </w:tabs>
        <w:spacing w:line="240" w:lineRule="auto" w:before="66" w:after="0"/>
        <w:ind w:left="892" w:right="0" w:hanging="415"/>
        <w:jc w:val="left"/>
        <w:rPr>
          <w:sz w:val="38"/>
        </w:rPr>
      </w:pPr>
      <w:r>
        <w:rPr>
          <w:sz w:val="38"/>
        </w:rPr>
        <w:t>skin</w:t>
      </w:r>
      <w:r>
        <w:rPr>
          <w:spacing w:val="-3"/>
          <w:sz w:val="38"/>
        </w:rPr>
        <w:t> </w:t>
      </w:r>
      <w:r>
        <w:rPr>
          <w:sz w:val="38"/>
        </w:rPr>
        <w:t>tightening</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skin</w:t>
      </w:r>
      <w:r>
        <w:rPr>
          <w:spacing w:val="-3"/>
          <w:sz w:val="38"/>
        </w:rPr>
        <w:t> </w:t>
      </w:r>
      <w:r>
        <w:rPr>
          <w:sz w:val="38"/>
        </w:rPr>
        <w:t>rejuvenation</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cellulitis</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acne</w:t>
      </w:r>
    </w:p>
    <w:p>
      <w:pPr>
        <w:pStyle w:val="ListParagraph"/>
        <w:numPr>
          <w:ilvl w:val="0"/>
          <w:numId w:val="26"/>
        </w:numPr>
        <w:tabs>
          <w:tab w:pos="892" w:val="left" w:leader="none"/>
          <w:tab w:pos="893" w:val="left" w:leader="none"/>
        </w:tabs>
        <w:spacing w:line="240" w:lineRule="auto" w:before="66" w:after="0"/>
        <w:ind w:left="892" w:right="0" w:hanging="415"/>
        <w:jc w:val="left"/>
        <w:rPr>
          <w:sz w:val="38"/>
        </w:rPr>
      </w:pPr>
      <w:r>
        <w:rPr>
          <w:sz w:val="38"/>
        </w:rPr>
        <w:t>stretch</w:t>
      </w:r>
      <w:r>
        <w:rPr>
          <w:spacing w:val="1"/>
          <w:sz w:val="38"/>
        </w:rPr>
        <w:t> </w:t>
      </w:r>
      <w:r>
        <w:rPr>
          <w:sz w:val="38"/>
        </w:rPr>
        <w:t>marks</w:t>
      </w:r>
    </w:p>
    <w:p>
      <w:pPr>
        <w:pStyle w:val="ListParagraph"/>
        <w:numPr>
          <w:ilvl w:val="0"/>
          <w:numId w:val="26"/>
        </w:numPr>
        <w:tabs>
          <w:tab w:pos="892" w:val="left" w:leader="none"/>
          <w:tab w:pos="893" w:val="left" w:leader="none"/>
        </w:tabs>
        <w:spacing w:line="240" w:lineRule="auto" w:before="63" w:after="0"/>
        <w:ind w:left="892" w:right="0" w:hanging="415"/>
        <w:jc w:val="left"/>
        <w:rPr>
          <w:sz w:val="38"/>
        </w:rPr>
      </w:pPr>
      <w:r>
        <w:rPr>
          <w:sz w:val="38"/>
        </w:rPr>
        <w:t>psoriasis</w:t>
      </w:r>
    </w:p>
    <w:p>
      <w:pPr>
        <w:pStyle w:val="ListParagraph"/>
        <w:numPr>
          <w:ilvl w:val="0"/>
          <w:numId w:val="26"/>
        </w:numPr>
        <w:tabs>
          <w:tab w:pos="892" w:val="left" w:leader="none"/>
          <w:tab w:pos="893" w:val="left" w:leader="none"/>
        </w:tabs>
        <w:spacing w:line="240" w:lineRule="auto" w:before="64" w:after="0"/>
        <w:ind w:left="892" w:right="0" w:hanging="415"/>
        <w:jc w:val="left"/>
        <w:rPr>
          <w:sz w:val="38"/>
        </w:rPr>
      </w:pPr>
      <w:r>
        <w:rPr>
          <w:sz w:val="38"/>
        </w:rPr>
        <w:t>haemorrhoids</w:t>
      </w:r>
    </w:p>
    <w:p>
      <w:pPr>
        <w:pStyle w:val="ListParagraph"/>
        <w:numPr>
          <w:ilvl w:val="0"/>
          <w:numId w:val="26"/>
        </w:numPr>
        <w:tabs>
          <w:tab w:pos="892" w:val="left" w:leader="none"/>
          <w:tab w:pos="893" w:val="left" w:leader="none"/>
        </w:tabs>
        <w:spacing w:line="240" w:lineRule="auto" w:before="63" w:after="0"/>
        <w:ind w:left="892" w:right="0" w:hanging="415"/>
        <w:jc w:val="left"/>
        <w:rPr>
          <w:sz w:val="38"/>
        </w:rPr>
      </w:pPr>
      <w:r>
        <w:rPr>
          <w:sz w:val="38"/>
        </w:rPr>
        <w:t>respiratory diseases</w:t>
      </w:r>
    </w:p>
    <w:p>
      <w:pPr>
        <w:pStyle w:val="ListParagraph"/>
        <w:numPr>
          <w:ilvl w:val="0"/>
          <w:numId w:val="26"/>
        </w:numPr>
        <w:tabs>
          <w:tab w:pos="892" w:val="left" w:leader="none"/>
          <w:tab w:pos="893" w:val="left" w:leader="none"/>
        </w:tabs>
        <w:spacing w:line="240" w:lineRule="auto" w:before="65" w:after="0"/>
        <w:ind w:left="892" w:right="0" w:hanging="415"/>
        <w:jc w:val="left"/>
        <w:rPr>
          <w:sz w:val="38"/>
        </w:rPr>
      </w:pPr>
      <w:r>
        <w:rPr>
          <w:sz w:val="38"/>
        </w:rPr>
        <w:t>measles</w:t>
      </w:r>
    </w:p>
    <w:p>
      <w:pPr>
        <w:pStyle w:val="ListParagraph"/>
        <w:numPr>
          <w:ilvl w:val="0"/>
          <w:numId w:val="26"/>
        </w:numPr>
        <w:tabs>
          <w:tab w:pos="892" w:val="left" w:leader="none"/>
          <w:tab w:pos="893" w:val="left" w:leader="none"/>
        </w:tabs>
        <w:spacing w:line="240" w:lineRule="auto" w:before="66" w:after="0"/>
        <w:ind w:left="892" w:right="0" w:hanging="415"/>
        <w:jc w:val="left"/>
        <w:rPr>
          <w:sz w:val="38"/>
        </w:rPr>
      </w:pPr>
      <w:r>
        <w:rPr>
          <w:sz w:val="38"/>
        </w:rPr>
        <w:t>dental</w:t>
      </w:r>
      <w:r>
        <w:rPr>
          <w:spacing w:val="-1"/>
          <w:sz w:val="38"/>
        </w:rPr>
        <w:t> </w:t>
      </w:r>
      <w:r>
        <w:rPr>
          <w:sz w:val="38"/>
        </w:rPr>
        <w:t>disease</w:t>
      </w:r>
    </w:p>
    <w:p>
      <w:pPr>
        <w:spacing w:after="0" w:line="240" w:lineRule="auto"/>
        <w:jc w:val="left"/>
        <w:rPr>
          <w:sz w:val="38"/>
        </w:rPr>
        <w:sectPr>
          <w:pgSz w:w="14270" w:h="16850"/>
          <w:pgMar w:header="0" w:footer="1891" w:top="1600" w:bottom="2080" w:left="800" w:right="1280"/>
        </w:sectPr>
      </w:pPr>
    </w:p>
    <w:p>
      <w:pPr>
        <w:pStyle w:val="BodyText"/>
        <w:spacing w:before="10"/>
        <w:rPr>
          <w:sz w:val="8"/>
        </w:rPr>
      </w:pPr>
    </w:p>
    <w:p>
      <w:pPr>
        <w:pStyle w:val="ListParagraph"/>
        <w:numPr>
          <w:ilvl w:val="0"/>
          <w:numId w:val="26"/>
        </w:numPr>
        <w:tabs>
          <w:tab w:pos="893" w:val="left" w:leader="none"/>
        </w:tabs>
        <w:spacing w:line="240" w:lineRule="auto" w:before="83" w:after="0"/>
        <w:ind w:left="892" w:right="0" w:hanging="415"/>
        <w:jc w:val="both"/>
        <w:rPr>
          <w:sz w:val="38"/>
        </w:rPr>
      </w:pPr>
      <w:r>
        <w:rPr>
          <w:sz w:val="38"/>
        </w:rPr>
        <w:t>exhaustion</w:t>
      </w:r>
    </w:p>
    <w:p>
      <w:pPr>
        <w:pStyle w:val="ListParagraph"/>
        <w:numPr>
          <w:ilvl w:val="0"/>
          <w:numId w:val="26"/>
        </w:numPr>
        <w:tabs>
          <w:tab w:pos="893" w:val="left" w:leader="none"/>
        </w:tabs>
        <w:spacing w:line="240" w:lineRule="auto" w:before="64" w:after="0"/>
        <w:ind w:left="892" w:right="0" w:hanging="415"/>
        <w:jc w:val="both"/>
        <w:rPr>
          <w:sz w:val="38"/>
        </w:rPr>
      </w:pPr>
      <w:r>
        <w:rPr>
          <w:sz w:val="38"/>
        </w:rPr>
        <w:t>stress</w:t>
      </w:r>
    </w:p>
    <w:p>
      <w:pPr>
        <w:pStyle w:val="ListParagraph"/>
        <w:numPr>
          <w:ilvl w:val="0"/>
          <w:numId w:val="26"/>
        </w:numPr>
        <w:tabs>
          <w:tab w:pos="893" w:val="left" w:leader="none"/>
        </w:tabs>
        <w:spacing w:line="240" w:lineRule="auto" w:before="66" w:after="0"/>
        <w:ind w:left="892" w:right="0" w:hanging="415"/>
        <w:jc w:val="both"/>
        <w:rPr>
          <w:sz w:val="38"/>
        </w:rPr>
      </w:pPr>
      <w:r>
        <w:rPr>
          <w:sz w:val="38"/>
        </w:rPr>
        <w:t>psychosis</w:t>
      </w:r>
    </w:p>
    <w:p>
      <w:pPr>
        <w:pStyle w:val="ListParagraph"/>
        <w:numPr>
          <w:ilvl w:val="0"/>
          <w:numId w:val="26"/>
        </w:numPr>
        <w:tabs>
          <w:tab w:pos="893" w:val="left" w:leader="none"/>
        </w:tabs>
        <w:spacing w:line="240" w:lineRule="auto" w:before="63" w:after="0"/>
        <w:ind w:left="892" w:right="0" w:hanging="415"/>
        <w:jc w:val="both"/>
        <w:rPr>
          <w:sz w:val="38"/>
        </w:rPr>
      </w:pPr>
      <w:r>
        <w:rPr>
          <w:sz w:val="38"/>
        </w:rPr>
        <w:t>anxiety</w:t>
      </w:r>
    </w:p>
    <w:p>
      <w:pPr>
        <w:pStyle w:val="ListParagraph"/>
        <w:numPr>
          <w:ilvl w:val="0"/>
          <w:numId w:val="26"/>
        </w:numPr>
        <w:tabs>
          <w:tab w:pos="893" w:val="left" w:leader="none"/>
        </w:tabs>
        <w:spacing w:line="240" w:lineRule="auto" w:before="64" w:after="0"/>
        <w:ind w:left="892" w:right="0" w:hanging="415"/>
        <w:jc w:val="both"/>
        <w:rPr>
          <w:sz w:val="38"/>
        </w:rPr>
      </w:pPr>
      <w:r>
        <w:rPr>
          <w:sz w:val="38"/>
        </w:rPr>
        <w:t>epilepsy</w:t>
      </w:r>
    </w:p>
    <w:p>
      <w:pPr>
        <w:pStyle w:val="ListParagraph"/>
        <w:numPr>
          <w:ilvl w:val="0"/>
          <w:numId w:val="26"/>
        </w:numPr>
        <w:tabs>
          <w:tab w:pos="893" w:val="left" w:leader="none"/>
        </w:tabs>
        <w:spacing w:line="240" w:lineRule="auto" w:before="63" w:after="0"/>
        <w:ind w:left="892" w:right="0" w:hanging="415"/>
        <w:jc w:val="both"/>
        <w:rPr>
          <w:sz w:val="38"/>
        </w:rPr>
      </w:pPr>
      <w:r>
        <w:rPr>
          <w:sz w:val="38"/>
        </w:rPr>
        <w:t>neuritis</w:t>
      </w:r>
    </w:p>
    <w:p>
      <w:pPr>
        <w:pStyle w:val="ListParagraph"/>
        <w:numPr>
          <w:ilvl w:val="0"/>
          <w:numId w:val="26"/>
        </w:numPr>
        <w:tabs>
          <w:tab w:pos="893" w:val="left" w:leader="none"/>
        </w:tabs>
        <w:spacing w:line="240" w:lineRule="auto" w:before="65" w:after="0"/>
        <w:ind w:left="892" w:right="0" w:hanging="415"/>
        <w:jc w:val="both"/>
        <w:rPr>
          <w:sz w:val="38"/>
        </w:rPr>
      </w:pPr>
      <w:r>
        <w:rPr>
          <w:sz w:val="38"/>
        </w:rPr>
        <w:t>urinary tract</w:t>
      </w:r>
      <w:r>
        <w:rPr>
          <w:spacing w:val="1"/>
          <w:sz w:val="38"/>
        </w:rPr>
        <w:t> </w:t>
      </w:r>
      <w:r>
        <w:rPr>
          <w:sz w:val="38"/>
        </w:rPr>
        <w:t>infections</w:t>
      </w:r>
    </w:p>
    <w:p>
      <w:pPr>
        <w:pStyle w:val="ListParagraph"/>
        <w:numPr>
          <w:ilvl w:val="0"/>
          <w:numId w:val="26"/>
        </w:numPr>
        <w:tabs>
          <w:tab w:pos="893" w:val="left" w:leader="none"/>
        </w:tabs>
        <w:spacing w:line="240" w:lineRule="auto" w:before="66" w:after="0"/>
        <w:ind w:left="892" w:right="0" w:hanging="415"/>
        <w:jc w:val="both"/>
        <w:rPr>
          <w:sz w:val="38"/>
        </w:rPr>
      </w:pPr>
      <w:r>
        <w:rPr>
          <w:sz w:val="38"/>
        </w:rPr>
        <w:t>bacterial</w:t>
      </w:r>
      <w:r>
        <w:rPr>
          <w:spacing w:val="-2"/>
          <w:sz w:val="38"/>
        </w:rPr>
        <w:t> </w:t>
      </w:r>
      <w:r>
        <w:rPr>
          <w:sz w:val="38"/>
        </w:rPr>
        <w:t>infections</w:t>
      </w:r>
    </w:p>
    <w:p>
      <w:pPr>
        <w:pStyle w:val="ListParagraph"/>
        <w:numPr>
          <w:ilvl w:val="0"/>
          <w:numId w:val="26"/>
        </w:numPr>
        <w:tabs>
          <w:tab w:pos="893" w:val="left" w:leader="none"/>
        </w:tabs>
        <w:spacing w:line="240" w:lineRule="auto" w:before="63" w:after="0"/>
        <w:ind w:left="892" w:right="0" w:hanging="415"/>
        <w:jc w:val="both"/>
        <w:rPr>
          <w:sz w:val="38"/>
        </w:rPr>
      </w:pPr>
      <w:r>
        <w:rPr>
          <w:sz w:val="38"/>
        </w:rPr>
        <w:t>fungal</w:t>
      </w:r>
      <w:r>
        <w:rPr>
          <w:spacing w:val="-1"/>
          <w:sz w:val="38"/>
        </w:rPr>
        <w:t> </w:t>
      </w:r>
      <w:r>
        <w:rPr>
          <w:sz w:val="38"/>
        </w:rPr>
        <w:t>infection</w:t>
      </w:r>
    </w:p>
    <w:p>
      <w:pPr>
        <w:pStyle w:val="ListParagraph"/>
        <w:numPr>
          <w:ilvl w:val="0"/>
          <w:numId w:val="26"/>
        </w:numPr>
        <w:tabs>
          <w:tab w:pos="893" w:val="left" w:leader="none"/>
        </w:tabs>
        <w:spacing w:line="240" w:lineRule="auto" w:before="64" w:after="0"/>
        <w:ind w:left="892" w:right="0" w:hanging="415"/>
        <w:jc w:val="both"/>
        <w:rPr>
          <w:sz w:val="38"/>
        </w:rPr>
      </w:pPr>
      <w:r>
        <w:rPr>
          <w:sz w:val="38"/>
        </w:rPr>
        <w:t>psoriasis</w:t>
      </w:r>
    </w:p>
    <w:p>
      <w:pPr>
        <w:pStyle w:val="ListParagraph"/>
        <w:numPr>
          <w:ilvl w:val="0"/>
          <w:numId w:val="26"/>
        </w:numPr>
        <w:tabs>
          <w:tab w:pos="893" w:val="left" w:leader="none"/>
        </w:tabs>
        <w:spacing w:line="240" w:lineRule="auto" w:before="64" w:after="0"/>
        <w:ind w:left="892" w:right="0" w:hanging="415"/>
        <w:jc w:val="both"/>
        <w:rPr>
          <w:sz w:val="38"/>
        </w:rPr>
      </w:pPr>
      <w:r>
        <w:rPr>
          <w:sz w:val="38"/>
        </w:rPr>
        <w:t>libido problems</w:t>
      </w:r>
    </w:p>
    <w:p>
      <w:pPr>
        <w:pStyle w:val="ListParagraph"/>
        <w:numPr>
          <w:ilvl w:val="0"/>
          <w:numId w:val="26"/>
        </w:numPr>
        <w:tabs>
          <w:tab w:pos="893" w:val="left" w:leader="none"/>
        </w:tabs>
        <w:spacing w:line="240" w:lineRule="auto" w:before="63" w:after="0"/>
        <w:ind w:left="892" w:right="0" w:hanging="415"/>
        <w:jc w:val="both"/>
        <w:rPr>
          <w:sz w:val="38"/>
        </w:rPr>
      </w:pPr>
      <w:r>
        <w:rPr>
          <w:sz w:val="38"/>
        </w:rPr>
        <w:t>wound healing</w:t>
      </w:r>
    </w:p>
    <w:p>
      <w:pPr>
        <w:pStyle w:val="ListParagraph"/>
        <w:numPr>
          <w:ilvl w:val="0"/>
          <w:numId w:val="26"/>
        </w:numPr>
        <w:tabs>
          <w:tab w:pos="893" w:val="left" w:leader="none"/>
        </w:tabs>
        <w:spacing w:line="240" w:lineRule="auto" w:before="66" w:after="0"/>
        <w:ind w:left="892" w:right="0" w:hanging="415"/>
        <w:jc w:val="both"/>
        <w:rPr>
          <w:sz w:val="38"/>
        </w:rPr>
      </w:pPr>
      <w:r>
        <w:rPr>
          <w:sz w:val="38"/>
        </w:rPr>
        <w:t>burns</w:t>
      </w:r>
    </w:p>
    <w:p>
      <w:pPr>
        <w:pStyle w:val="ListParagraph"/>
        <w:numPr>
          <w:ilvl w:val="0"/>
          <w:numId w:val="26"/>
        </w:numPr>
        <w:tabs>
          <w:tab w:pos="893" w:val="left" w:leader="none"/>
        </w:tabs>
        <w:spacing w:line="240" w:lineRule="auto" w:before="64" w:after="0"/>
        <w:ind w:left="892" w:right="0" w:hanging="415"/>
        <w:jc w:val="both"/>
        <w:rPr>
          <w:sz w:val="38"/>
        </w:rPr>
      </w:pPr>
      <w:r>
        <w:rPr>
          <w:sz w:val="38"/>
        </w:rPr>
        <w:t>scarring</w:t>
      </w:r>
    </w:p>
    <w:p>
      <w:pPr>
        <w:pStyle w:val="ListParagraph"/>
        <w:numPr>
          <w:ilvl w:val="0"/>
          <w:numId w:val="26"/>
        </w:numPr>
        <w:tabs>
          <w:tab w:pos="893" w:val="left" w:leader="none"/>
        </w:tabs>
        <w:spacing w:line="240" w:lineRule="auto" w:before="64" w:after="0"/>
        <w:ind w:left="892" w:right="0" w:hanging="415"/>
        <w:jc w:val="both"/>
        <w:rPr>
          <w:sz w:val="38"/>
        </w:rPr>
      </w:pPr>
      <w:r>
        <w:rPr>
          <w:sz w:val="38"/>
        </w:rPr>
        <w:t>joint</w:t>
      </w:r>
      <w:r>
        <w:rPr>
          <w:spacing w:val="-1"/>
          <w:sz w:val="38"/>
        </w:rPr>
        <w:t> </w:t>
      </w:r>
      <w:r>
        <w:rPr>
          <w:sz w:val="38"/>
        </w:rPr>
        <w:t>diseases</w:t>
      </w:r>
    </w:p>
    <w:p>
      <w:pPr>
        <w:pStyle w:val="ListParagraph"/>
        <w:numPr>
          <w:ilvl w:val="0"/>
          <w:numId w:val="26"/>
        </w:numPr>
        <w:tabs>
          <w:tab w:pos="893" w:val="left" w:leader="none"/>
        </w:tabs>
        <w:spacing w:line="240" w:lineRule="auto" w:before="64" w:after="0"/>
        <w:ind w:left="892" w:right="0" w:hanging="415"/>
        <w:jc w:val="both"/>
        <w:rPr>
          <w:sz w:val="38"/>
        </w:rPr>
      </w:pPr>
      <w:r>
        <w:rPr>
          <w:sz w:val="38"/>
        </w:rPr>
        <w:t>premature greying</w:t>
      </w:r>
    </w:p>
    <w:p>
      <w:pPr>
        <w:pStyle w:val="ListParagraph"/>
        <w:numPr>
          <w:ilvl w:val="0"/>
          <w:numId w:val="26"/>
        </w:numPr>
        <w:tabs>
          <w:tab w:pos="893" w:val="left" w:leader="none"/>
        </w:tabs>
        <w:spacing w:line="240" w:lineRule="auto" w:before="66" w:after="0"/>
        <w:ind w:left="892" w:right="0" w:hanging="415"/>
        <w:jc w:val="both"/>
        <w:rPr>
          <w:sz w:val="38"/>
        </w:rPr>
      </w:pPr>
      <w:r>
        <w:rPr>
          <w:sz w:val="38"/>
        </w:rPr>
        <w:t>spider veins</w:t>
      </w:r>
    </w:p>
    <w:p>
      <w:pPr>
        <w:pStyle w:val="ListParagraph"/>
        <w:numPr>
          <w:ilvl w:val="0"/>
          <w:numId w:val="26"/>
        </w:numPr>
        <w:tabs>
          <w:tab w:pos="893" w:val="left" w:leader="none"/>
        </w:tabs>
        <w:spacing w:line="240" w:lineRule="auto" w:before="63" w:after="0"/>
        <w:ind w:left="892" w:right="0" w:hanging="415"/>
        <w:jc w:val="both"/>
        <w:rPr>
          <w:sz w:val="38"/>
        </w:rPr>
      </w:pPr>
      <w:r>
        <w:rPr>
          <w:sz w:val="38"/>
        </w:rPr>
        <w:t>oedemas</w:t>
      </w:r>
    </w:p>
    <w:p>
      <w:pPr>
        <w:pStyle w:val="Heading1"/>
        <w:spacing w:before="285"/>
        <w:jc w:val="both"/>
      </w:pPr>
      <w:r>
        <w:rPr/>
        <w:t>Effect of gotu kola on cardiovascular diseases</w:t>
      </w:r>
    </w:p>
    <w:p>
      <w:pPr>
        <w:pStyle w:val="BodyText"/>
        <w:spacing w:line="276" w:lineRule="auto" w:before="300"/>
        <w:ind w:left="477" w:right="131"/>
        <w:jc w:val="both"/>
      </w:pPr>
      <w:r>
        <w:rPr/>
        <w:t>Gotu</w:t>
      </w:r>
      <w:r>
        <w:rPr>
          <w:spacing w:val="-23"/>
        </w:rPr>
        <w:t> </w:t>
      </w:r>
      <w:r>
        <w:rPr/>
        <w:t>kola</w:t>
      </w:r>
      <w:r>
        <w:rPr>
          <w:spacing w:val="-22"/>
        </w:rPr>
        <w:t> </w:t>
      </w:r>
      <w:r>
        <w:rPr/>
        <w:t>relaxes</w:t>
      </w:r>
      <w:r>
        <w:rPr>
          <w:spacing w:val="-21"/>
        </w:rPr>
        <w:t> </w:t>
      </w:r>
      <w:r>
        <w:rPr/>
        <w:t>the</w:t>
      </w:r>
      <w:r>
        <w:rPr>
          <w:spacing w:val="-22"/>
        </w:rPr>
        <w:t> </w:t>
      </w:r>
      <w:r>
        <w:rPr/>
        <w:t>blood</w:t>
      </w:r>
      <w:r>
        <w:rPr>
          <w:spacing w:val="-23"/>
        </w:rPr>
        <w:t> </w:t>
      </w:r>
      <w:r>
        <w:rPr/>
        <w:t>vessels</w:t>
      </w:r>
      <w:r>
        <w:rPr>
          <w:spacing w:val="-22"/>
        </w:rPr>
        <w:t> </w:t>
      </w:r>
      <w:r>
        <w:rPr/>
        <w:t>and</w:t>
      </w:r>
      <w:r>
        <w:rPr>
          <w:spacing w:val="-20"/>
        </w:rPr>
        <w:t> </w:t>
      </w:r>
      <w:r>
        <w:rPr/>
        <w:t>keeps</w:t>
      </w:r>
      <w:r>
        <w:rPr>
          <w:spacing w:val="-22"/>
        </w:rPr>
        <w:t> </w:t>
      </w:r>
      <w:r>
        <w:rPr/>
        <w:t>them</w:t>
      </w:r>
      <w:r>
        <w:rPr>
          <w:spacing w:val="-21"/>
        </w:rPr>
        <w:t> </w:t>
      </w:r>
      <w:r>
        <w:rPr/>
        <w:t>elastic.</w:t>
      </w:r>
      <w:r>
        <w:rPr>
          <w:spacing w:val="-20"/>
        </w:rPr>
        <w:t> </w:t>
      </w:r>
      <w:r>
        <w:rPr/>
        <w:t>The</w:t>
      </w:r>
      <w:r>
        <w:rPr>
          <w:spacing w:val="-23"/>
        </w:rPr>
        <w:t> </w:t>
      </w:r>
      <w:r>
        <w:rPr/>
        <w:t>bacosides</w:t>
      </w:r>
      <w:r>
        <w:rPr>
          <w:spacing w:val="-20"/>
        </w:rPr>
        <w:t> </w:t>
      </w:r>
      <w:r>
        <w:rPr/>
        <w:t>inside release nitrogen and thus relax the main artery (aorta) and the veins and keep the blood vessels elastic. This optimises blood</w:t>
      </w:r>
      <w:r>
        <w:rPr>
          <w:spacing w:val="5"/>
        </w:rPr>
        <w:t> </w:t>
      </w:r>
      <w:r>
        <w:rPr/>
        <w:t>flow.</w:t>
      </w:r>
    </w:p>
    <w:p>
      <w:pPr>
        <w:spacing w:after="0" w:line="276" w:lineRule="auto"/>
        <w:jc w:val="both"/>
        <w:sectPr>
          <w:pgSz w:w="14270" w:h="16850"/>
          <w:pgMar w:header="0" w:footer="1891" w:top="1600" w:bottom="2080" w:left="800" w:right="1280"/>
        </w:sectPr>
      </w:pPr>
    </w:p>
    <w:p>
      <w:pPr>
        <w:pStyle w:val="Heading1"/>
        <w:spacing w:before="164"/>
      </w:pPr>
      <w:r>
        <w:rPr/>
        <w:t>Gotu kola works against high blood</w:t>
      </w:r>
      <w:r>
        <w:rPr>
          <w:spacing w:val="-69"/>
        </w:rPr>
        <w:t> </w:t>
      </w:r>
      <w:r>
        <w:rPr/>
        <w:t>pressure</w:t>
      </w:r>
    </w:p>
    <w:p>
      <w:pPr>
        <w:pStyle w:val="BodyText"/>
        <w:spacing w:line="276" w:lineRule="auto" w:before="299"/>
        <w:ind w:left="477" w:right="136"/>
        <w:jc w:val="both"/>
      </w:pPr>
      <w:r>
        <w:rPr/>
        <w:t>By keeping the blood vessels elastic, keeping them soft and increasing blood flow,</w:t>
      </w:r>
      <w:r>
        <w:rPr>
          <w:spacing w:val="-7"/>
        </w:rPr>
        <w:t> </w:t>
      </w:r>
      <w:r>
        <w:rPr/>
        <w:t>high</w:t>
      </w:r>
      <w:r>
        <w:rPr>
          <w:spacing w:val="-4"/>
        </w:rPr>
        <w:t> </w:t>
      </w:r>
      <w:r>
        <w:rPr/>
        <w:t>blood</w:t>
      </w:r>
      <w:r>
        <w:rPr>
          <w:spacing w:val="-8"/>
        </w:rPr>
        <w:t> </w:t>
      </w:r>
      <w:r>
        <w:rPr/>
        <w:t>pressure</w:t>
      </w:r>
      <w:r>
        <w:rPr>
          <w:spacing w:val="-5"/>
        </w:rPr>
        <w:t> </w:t>
      </w:r>
      <w:r>
        <w:rPr/>
        <w:t>is</w:t>
      </w:r>
      <w:r>
        <w:rPr>
          <w:spacing w:val="-8"/>
        </w:rPr>
        <w:t> </w:t>
      </w:r>
      <w:r>
        <w:rPr/>
        <w:t>significantly</w:t>
      </w:r>
      <w:r>
        <w:rPr>
          <w:spacing w:val="-7"/>
        </w:rPr>
        <w:t> </w:t>
      </w:r>
      <w:r>
        <w:rPr/>
        <w:t>reduced</w:t>
      </w:r>
      <w:r>
        <w:rPr>
          <w:spacing w:val="-4"/>
        </w:rPr>
        <w:t> </w:t>
      </w:r>
      <w:r>
        <w:rPr/>
        <w:t>during</w:t>
      </w:r>
      <w:r>
        <w:rPr>
          <w:spacing w:val="-5"/>
        </w:rPr>
        <w:t> </w:t>
      </w:r>
      <w:r>
        <w:rPr/>
        <w:t>the</w:t>
      </w:r>
      <w:r>
        <w:rPr>
          <w:spacing w:val="-5"/>
        </w:rPr>
        <w:t> </w:t>
      </w:r>
      <w:r>
        <w:rPr/>
        <w:t>day</w:t>
      </w:r>
      <w:r>
        <w:rPr>
          <w:spacing w:val="-6"/>
        </w:rPr>
        <w:t> </w:t>
      </w:r>
      <w:r>
        <w:rPr/>
        <w:t>with</w:t>
      </w:r>
      <w:r>
        <w:rPr>
          <w:spacing w:val="-6"/>
        </w:rPr>
        <w:t> </w:t>
      </w:r>
      <w:r>
        <w:rPr/>
        <w:t>just</w:t>
      </w:r>
      <w:r>
        <w:rPr>
          <w:spacing w:val="-6"/>
        </w:rPr>
        <w:t> </w:t>
      </w:r>
      <w:r>
        <w:rPr/>
        <w:t>a</w:t>
      </w:r>
      <w:r>
        <w:rPr>
          <w:spacing w:val="-7"/>
        </w:rPr>
        <w:t> </w:t>
      </w:r>
      <w:r>
        <w:rPr/>
        <w:t>few fresh gotu kola</w:t>
      </w:r>
      <w:r>
        <w:rPr>
          <w:spacing w:val="-1"/>
        </w:rPr>
        <w:t> </w:t>
      </w:r>
      <w:r>
        <w:rPr/>
        <w:t>leaves.</w:t>
      </w:r>
    </w:p>
    <w:p>
      <w:pPr>
        <w:pStyle w:val="Heading1"/>
      </w:pPr>
      <w:r>
        <w:rPr/>
        <w:t>Gotu kola works against atherosclerosis</w:t>
      </w:r>
    </w:p>
    <w:p>
      <w:pPr>
        <w:pStyle w:val="BodyText"/>
        <w:spacing w:line="276" w:lineRule="auto" w:before="298"/>
        <w:ind w:left="477" w:right="132"/>
        <w:jc w:val="both"/>
      </w:pPr>
      <w:r>
        <w:rPr/>
        <w:t>Arteriosclerotic</w:t>
      </w:r>
      <w:r>
        <w:rPr>
          <w:spacing w:val="-11"/>
        </w:rPr>
        <w:t> </w:t>
      </w:r>
      <w:r>
        <w:rPr/>
        <w:t>changes</w:t>
      </w:r>
      <w:r>
        <w:rPr>
          <w:spacing w:val="-6"/>
        </w:rPr>
        <w:t> </w:t>
      </w:r>
      <w:r>
        <w:rPr/>
        <w:t>are</w:t>
      </w:r>
      <w:r>
        <w:rPr>
          <w:spacing w:val="-7"/>
        </w:rPr>
        <w:t> </w:t>
      </w:r>
      <w:r>
        <w:rPr/>
        <w:t>the</w:t>
      </w:r>
      <w:r>
        <w:rPr>
          <w:spacing w:val="-11"/>
        </w:rPr>
        <w:t> </w:t>
      </w:r>
      <w:r>
        <w:rPr/>
        <w:t>main</w:t>
      </w:r>
      <w:r>
        <w:rPr>
          <w:spacing w:val="-7"/>
        </w:rPr>
        <w:t> </w:t>
      </w:r>
      <w:r>
        <w:rPr/>
        <w:t>cause</w:t>
      </w:r>
      <w:r>
        <w:rPr>
          <w:spacing w:val="-7"/>
        </w:rPr>
        <w:t> </w:t>
      </w:r>
      <w:r>
        <w:rPr/>
        <w:t>of</w:t>
      </w:r>
      <w:r>
        <w:rPr>
          <w:spacing w:val="-7"/>
        </w:rPr>
        <w:t> </w:t>
      </w:r>
      <w:r>
        <w:rPr/>
        <w:t>serious</w:t>
      </w:r>
      <w:r>
        <w:rPr>
          <w:spacing w:val="-8"/>
        </w:rPr>
        <w:t> </w:t>
      </w:r>
      <w:r>
        <w:rPr/>
        <w:t>heart</w:t>
      </w:r>
      <w:r>
        <w:rPr>
          <w:spacing w:val="-7"/>
        </w:rPr>
        <w:t> </w:t>
      </w:r>
      <w:r>
        <w:rPr/>
        <w:t>disease</w:t>
      </w:r>
      <w:r>
        <w:rPr>
          <w:spacing w:val="-2"/>
        </w:rPr>
        <w:t> </w:t>
      </w:r>
      <w:r>
        <w:rPr/>
        <w:t>and</w:t>
      </w:r>
      <w:r>
        <w:rPr>
          <w:spacing w:val="-7"/>
        </w:rPr>
        <w:t> </w:t>
      </w:r>
      <w:r>
        <w:rPr/>
        <w:t>venous disease, including heart attack and stroke. The positive influence of gotu kola on our connective tissue together with the collagen fibres, which are compo- nents of arteries and veins, counteract atherosclerosis. In studies, gotu kola has been shown to counteract venous insufficiency, spider veins, intermittent clau- dication and</w:t>
      </w:r>
      <w:r>
        <w:rPr>
          <w:spacing w:val="2"/>
        </w:rPr>
        <w:t> </w:t>
      </w:r>
      <w:r>
        <w:rPr/>
        <w:t>oedemas.</w:t>
      </w:r>
    </w:p>
    <w:p>
      <w:pPr>
        <w:pStyle w:val="Heading1"/>
        <w:spacing w:before="222"/>
      </w:pPr>
      <w:r>
        <w:rPr/>
        <w:t>Effect of gotu kola on blood cell regeneration</w:t>
      </w:r>
    </w:p>
    <w:p>
      <w:pPr>
        <w:pStyle w:val="BodyText"/>
        <w:spacing w:line="276" w:lineRule="auto" w:before="300"/>
        <w:ind w:left="477" w:right="135"/>
        <w:jc w:val="both"/>
      </w:pPr>
      <w:r>
        <w:rPr/>
        <w:t>The</w:t>
      </w:r>
      <w:r>
        <w:rPr>
          <w:spacing w:val="-13"/>
        </w:rPr>
        <w:t> </w:t>
      </w:r>
      <w:r>
        <w:rPr/>
        <w:t>stimulation</w:t>
      </w:r>
      <w:r>
        <w:rPr>
          <w:spacing w:val="-12"/>
        </w:rPr>
        <w:t> </w:t>
      </w:r>
      <w:r>
        <w:rPr/>
        <w:t>of</w:t>
      </w:r>
      <w:r>
        <w:rPr>
          <w:spacing w:val="-13"/>
        </w:rPr>
        <w:t> </w:t>
      </w:r>
      <w:r>
        <w:rPr/>
        <w:t>the</w:t>
      </w:r>
      <w:r>
        <w:rPr>
          <w:spacing w:val="-14"/>
        </w:rPr>
        <w:t> </w:t>
      </w:r>
      <w:r>
        <w:rPr/>
        <w:t>reticuloendothelial</w:t>
      </w:r>
      <w:r>
        <w:rPr>
          <w:spacing w:val="-14"/>
        </w:rPr>
        <w:t> </w:t>
      </w:r>
      <w:r>
        <w:rPr/>
        <w:t>system</w:t>
      </w:r>
      <w:r>
        <w:rPr>
          <w:spacing w:val="-15"/>
        </w:rPr>
        <w:t> </w:t>
      </w:r>
      <w:r>
        <w:rPr/>
        <w:t>by</w:t>
      </w:r>
      <w:r>
        <w:rPr>
          <w:spacing w:val="-13"/>
        </w:rPr>
        <w:t> </w:t>
      </w:r>
      <w:r>
        <w:rPr/>
        <w:t>the</w:t>
      </w:r>
      <w:r>
        <w:rPr>
          <w:spacing w:val="-14"/>
        </w:rPr>
        <w:t> </w:t>
      </w:r>
      <w:r>
        <w:rPr/>
        <w:t>asiaticosides</w:t>
      </w:r>
      <w:r>
        <w:rPr>
          <w:spacing w:val="-12"/>
        </w:rPr>
        <w:t> </w:t>
      </w:r>
      <w:r>
        <w:rPr/>
        <w:t>stimulates blood</w:t>
      </w:r>
      <w:r>
        <w:rPr>
          <w:spacing w:val="-19"/>
        </w:rPr>
        <w:t> </w:t>
      </w:r>
      <w:r>
        <w:rPr/>
        <w:t>cell</w:t>
      </w:r>
      <w:r>
        <w:rPr>
          <w:spacing w:val="-19"/>
        </w:rPr>
        <w:t> </w:t>
      </w:r>
      <w:r>
        <w:rPr/>
        <w:t>regeneration.</w:t>
      </w:r>
      <w:r>
        <w:rPr>
          <w:spacing w:val="-18"/>
        </w:rPr>
        <w:t> </w:t>
      </w:r>
      <w:r>
        <w:rPr/>
        <w:t>New</w:t>
      </w:r>
      <w:r>
        <w:rPr>
          <w:spacing w:val="-20"/>
        </w:rPr>
        <w:t> </w:t>
      </w:r>
      <w:r>
        <w:rPr/>
        <w:t>blood</w:t>
      </w:r>
      <w:r>
        <w:rPr>
          <w:spacing w:val="-19"/>
        </w:rPr>
        <w:t> </w:t>
      </w:r>
      <w:r>
        <w:rPr/>
        <w:t>cells</w:t>
      </w:r>
      <w:r>
        <w:rPr>
          <w:spacing w:val="-18"/>
        </w:rPr>
        <w:t> </w:t>
      </w:r>
      <w:r>
        <w:rPr/>
        <w:t>develop</w:t>
      </w:r>
      <w:r>
        <w:rPr>
          <w:spacing w:val="-21"/>
        </w:rPr>
        <w:t> </w:t>
      </w:r>
      <w:r>
        <w:rPr/>
        <w:t>and</w:t>
      </w:r>
      <w:r>
        <w:rPr>
          <w:spacing w:val="-19"/>
        </w:rPr>
        <w:t> </w:t>
      </w:r>
      <w:r>
        <w:rPr/>
        <w:t>old</w:t>
      </w:r>
      <w:r>
        <w:rPr>
          <w:spacing w:val="-19"/>
        </w:rPr>
        <w:t> </w:t>
      </w:r>
      <w:r>
        <w:rPr/>
        <w:t>blood</w:t>
      </w:r>
      <w:r>
        <w:rPr>
          <w:spacing w:val="-18"/>
        </w:rPr>
        <w:t> </w:t>
      </w:r>
      <w:r>
        <w:rPr/>
        <w:t>cells</w:t>
      </w:r>
      <w:r>
        <w:rPr>
          <w:spacing w:val="-19"/>
        </w:rPr>
        <w:t> </w:t>
      </w:r>
      <w:r>
        <w:rPr/>
        <w:t>are</w:t>
      </w:r>
      <w:r>
        <w:rPr>
          <w:spacing w:val="-19"/>
        </w:rPr>
        <w:t> </w:t>
      </w:r>
      <w:r>
        <w:rPr/>
        <w:t>flushed out.</w:t>
      </w:r>
    </w:p>
    <w:p>
      <w:pPr>
        <w:pStyle w:val="Heading1"/>
        <w:spacing w:line="261" w:lineRule="auto"/>
        <w:ind w:right="141"/>
        <w:jc w:val="both"/>
      </w:pPr>
      <w:r>
        <w:rPr/>
        <w:t>Effect</w:t>
      </w:r>
      <w:r>
        <w:rPr>
          <w:spacing w:val="-61"/>
        </w:rPr>
        <w:t> </w:t>
      </w:r>
      <w:r>
        <w:rPr/>
        <w:t>of</w:t>
      </w:r>
      <w:r>
        <w:rPr>
          <w:spacing w:val="-59"/>
        </w:rPr>
        <w:t> </w:t>
      </w:r>
      <w:r>
        <w:rPr/>
        <w:t>gotu</w:t>
      </w:r>
      <w:r>
        <w:rPr>
          <w:spacing w:val="-59"/>
        </w:rPr>
        <w:t> </w:t>
      </w:r>
      <w:r>
        <w:rPr/>
        <w:t>kola</w:t>
      </w:r>
      <w:r>
        <w:rPr>
          <w:spacing w:val="-60"/>
        </w:rPr>
        <w:t> </w:t>
      </w:r>
      <w:r>
        <w:rPr/>
        <w:t>on</w:t>
      </w:r>
      <w:r>
        <w:rPr>
          <w:spacing w:val="-60"/>
        </w:rPr>
        <w:t> </w:t>
      </w:r>
      <w:r>
        <w:rPr/>
        <w:t>venous</w:t>
      </w:r>
      <w:r>
        <w:rPr>
          <w:spacing w:val="-58"/>
        </w:rPr>
        <w:t> </w:t>
      </w:r>
      <w:r>
        <w:rPr/>
        <w:t>disease</w:t>
      </w:r>
      <w:r>
        <w:rPr>
          <w:spacing w:val="-59"/>
        </w:rPr>
        <w:t> </w:t>
      </w:r>
      <w:r>
        <w:rPr/>
        <w:t>(heavy</w:t>
      </w:r>
      <w:r>
        <w:rPr>
          <w:spacing w:val="-59"/>
        </w:rPr>
        <w:t> </w:t>
      </w:r>
      <w:r>
        <w:rPr/>
        <w:t>legs,</w:t>
      </w:r>
      <w:r>
        <w:rPr>
          <w:spacing w:val="-59"/>
        </w:rPr>
        <w:t> </w:t>
      </w:r>
      <w:r>
        <w:rPr/>
        <w:t>intermittent</w:t>
      </w:r>
      <w:r>
        <w:rPr>
          <w:spacing w:val="-60"/>
        </w:rPr>
        <w:t> </w:t>
      </w:r>
      <w:r>
        <w:rPr/>
        <w:t>claudica- tion, etc.)</w:t>
      </w:r>
    </w:p>
    <w:p>
      <w:pPr>
        <w:pStyle w:val="BodyText"/>
        <w:spacing w:line="276" w:lineRule="auto" w:before="261"/>
        <w:ind w:left="477" w:right="135"/>
        <w:jc w:val="both"/>
      </w:pPr>
      <w:r>
        <w:rPr/>
        <w:t>The pronounced effect on our circulation system has now also been scientifi- cally</w:t>
      </w:r>
      <w:r>
        <w:rPr>
          <w:spacing w:val="-12"/>
        </w:rPr>
        <w:t> </w:t>
      </w:r>
      <w:r>
        <w:rPr/>
        <w:t>proven.</w:t>
      </w:r>
      <w:r>
        <w:rPr>
          <w:spacing w:val="-10"/>
        </w:rPr>
        <w:t> </w:t>
      </w:r>
      <w:r>
        <w:rPr/>
        <w:t>Gotu</w:t>
      </w:r>
      <w:r>
        <w:rPr>
          <w:spacing w:val="-13"/>
        </w:rPr>
        <w:t> </w:t>
      </w:r>
      <w:r>
        <w:rPr/>
        <w:t>kola</w:t>
      </w:r>
      <w:r>
        <w:rPr>
          <w:spacing w:val="-11"/>
        </w:rPr>
        <w:t> </w:t>
      </w:r>
      <w:r>
        <w:rPr/>
        <w:t>helps</w:t>
      </w:r>
      <w:r>
        <w:rPr>
          <w:spacing w:val="-11"/>
        </w:rPr>
        <w:t> </w:t>
      </w:r>
      <w:r>
        <w:rPr/>
        <w:t>with</w:t>
      </w:r>
      <w:r>
        <w:rPr>
          <w:spacing w:val="-10"/>
        </w:rPr>
        <w:t> </w:t>
      </w:r>
      <w:r>
        <w:rPr/>
        <w:t>phlebitis,</w:t>
      </w:r>
      <w:r>
        <w:rPr>
          <w:spacing w:val="-11"/>
        </w:rPr>
        <w:t> </w:t>
      </w:r>
      <w:r>
        <w:rPr/>
        <w:t>swollen</w:t>
      </w:r>
      <w:r>
        <w:rPr>
          <w:spacing w:val="-10"/>
        </w:rPr>
        <w:t> </w:t>
      </w:r>
      <w:r>
        <w:rPr/>
        <w:t>legs,</w:t>
      </w:r>
      <w:r>
        <w:rPr>
          <w:spacing w:val="-11"/>
        </w:rPr>
        <w:t> </w:t>
      </w:r>
      <w:r>
        <w:rPr/>
        <w:t>intermittent</w:t>
      </w:r>
      <w:r>
        <w:rPr>
          <w:spacing w:val="-11"/>
        </w:rPr>
        <w:t> </w:t>
      </w:r>
      <w:r>
        <w:rPr/>
        <w:t>claudica- tion, tingling in the legs and the</w:t>
      </w:r>
      <w:r>
        <w:rPr>
          <w:spacing w:val="3"/>
        </w:rPr>
        <w:t> </w:t>
      </w:r>
      <w:r>
        <w:rPr/>
        <w:t>like.</w:t>
      </w:r>
    </w:p>
    <w:p>
      <w:pPr>
        <w:spacing w:after="0" w:line="276" w:lineRule="auto"/>
        <w:jc w:val="both"/>
        <w:sectPr>
          <w:pgSz w:w="14270" w:h="16850"/>
          <w:pgMar w:header="0" w:footer="1891" w:top="1600" w:bottom="2080" w:left="800" w:right="1280"/>
        </w:sectPr>
      </w:pPr>
    </w:p>
    <w:p>
      <w:pPr>
        <w:pStyle w:val="Heading1"/>
        <w:spacing w:before="164"/>
      </w:pPr>
      <w:r>
        <w:rPr/>
        <w:t>Effect of gotu kola against phlebitis</w:t>
      </w:r>
    </w:p>
    <w:p>
      <w:pPr>
        <w:pStyle w:val="BodyText"/>
        <w:spacing w:line="276" w:lineRule="auto" w:before="299"/>
        <w:ind w:left="477" w:right="131"/>
        <w:jc w:val="both"/>
      </w:pPr>
      <w:r>
        <w:rPr/>
        <w:t>Phlebitis is the highlight of gotu kola's indications. In studies, gotu kola has achieved a success rate of between 70 and 90 %. A study on 125 patients with phlebitis</w:t>
      </w:r>
      <w:r>
        <w:rPr>
          <w:spacing w:val="-10"/>
        </w:rPr>
        <w:t> </w:t>
      </w:r>
      <w:r>
        <w:rPr/>
        <w:t>and</w:t>
      </w:r>
      <w:r>
        <w:rPr>
          <w:spacing w:val="-10"/>
        </w:rPr>
        <w:t> </w:t>
      </w:r>
      <w:r>
        <w:rPr/>
        <w:t>brittle</w:t>
      </w:r>
      <w:r>
        <w:rPr>
          <w:spacing w:val="-10"/>
        </w:rPr>
        <w:t> </w:t>
      </w:r>
      <w:r>
        <w:rPr/>
        <w:t>capillaries</w:t>
      </w:r>
      <w:r>
        <w:rPr>
          <w:spacing w:val="-9"/>
        </w:rPr>
        <w:t> </w:t>
      </w:r>
      <w:r>
        <w:rPr/>
        <w:t>achieved</w:t>
      </w:r>
      <w:r>
        <w:rPr>
          <w:spacing w:val="-9"/>
        </w:rPr>
        <w:t> </w:t>
      </w:r>
      <w:r>
        <w:rPr/>
        <w:t>a</w:t>
      </w:r>
      <w:r>
        <w:rPr>
          <w:spacing w:val="-10"/>
        </w:rPr>
        <w:t> </w:t>
      </w:r>
      <w:r>
        <w:rPr/>
        <w:t>90</w:t>
      </w:r>
      <w:r>
        <w:rPr>
          <w:spacing w:val="-13"/>
        </w:rPr>
        <w:t> </w:t>
      </w:r>
      <w:r>
        <w:rPr/>
        <w:t>%</w:t>
      </w:r>
      <w:r>
        <w:rPr>
          <w:spacing w:val="-10"/>
        </w:rPr>
        <w:t> </w:t>
      </w:r>
      <w:r>
        <w:rPr/>
        <w:t>success</w:t>
      </w:r>
      <w:r>
        <w:rPr>
          <w:spacing w:val="-9"/>
        </w:rPr>
        <w:t> </w:t>
      </w:r>
      <w:r>
        <w:rPr/>
        <w:t>rate</w:t>
      </w:r>
      <w:r>
        <w:rPr>
          <w:spacing w:val="-12"/>
        </w:rPr>
        <w:t> </w:t>
      </w:r>
      <w:r>
        <w:rPr/>
        <w:t>using</w:t>
      </w:r>
      <w:r>
        <w:rPr>
          <w:spacing w:val="-9"/>
        </w:rPr>
        <w:t> </w:t>
      </w:r>
      <w:r>
        <w:rPr/>
        <w:t>gotu</w:t>
      </w:r>
      <w:r>
        <w:rPr>
          <w:spacing w:val="-11"/>
        </w:rPr>
        <w:t> </w:t>
      </w:r>
      <w:r>
        <w:rPr/>
        <w:t>kola</w:t>
      </w:r>
      <w:r>
        <w:rPr>
          <w:spacing w:val="-10"/>
        </w:rPr>
        <w:t> </w:t>
      </w:r>
      <w:r>
        <w:rPr/>
        <w:t>(see Chapter “studies”).</w:t>
      </w:r>
    </w:p>
    <w:p>
      <w:pPr>
        <w:pStyle w:val="Heading1"/>
        <w:spacing w:before="222"/>
      </w:pPr>
      <w:r>
        <w:rPr/>
        <w:t>Gotu kola as an anti-ageing agent</w:t>
      </w:r>
    </w:p>
    <w:p>
      <w:pPr>
        <w:pStyle w:val="BodyText"/>
        <w:spacing w:line="276" w:lineRule="auto" w:before="300"/>
        <w:ind w:left="477" w:right="132"/>
        <w:jc w:val="both"/>
      </w:pPr>
      <w:r>
        <w:rPr/>
        <w:t>As already explained, the oldest person who ever lived is said to have also used gotu kola. It cannot be said with 100 % certainty whether this was true or not. But the fact is that gotu kola has an effect on several mechanisms that decide whether you are ‘young’ or ‘old’.</w:t>
      </w:r>
    </w:p>
    <w:p>
      <w:pPr>
        <w:pStyle w:val="ListParagraph"/>
        <w:numPr>
          <w:ilvl w:val="0"/>
          <w:numId w:val="26"/>
        </w:numPr>
        <w:tabs>
          <w:tab w:pos="893" w:val="left" w:leader="none"/>
        </w:tabs>
        <w:spacing w:line="240" w:lineRule="auto" w:before="243" w:after="0"/>
        <w:ind w:left="892" w:right="0" w:hanging="415"/>
        <w:jc w:val="both"/>
        <w:rPr>
          <w:sz w:val="38"/>
        </w:rPr>
      </w:pPr>
      <w:r>
        <w:rPr>
          <w:sz w:val="38"/>
        </w:rPr>
        <w:t>Gotu kola promotes blood cell</w:t>
      </w:r>
      <w:r>
        <w:rPr>
          <w:spacing w:val="-4"/>
          <w:sz w:val="38"/>
        </w:rPr>
        <w:t> </w:t>
      </w:r>
      <w:r>
        <w:rPr>
          <w:sz w:val="38"/>
        </w:rPr>
        <w:t>renewal,</w:t>
      </w:r>
    </w:p>
    <w:p>
      <w:pPr>
        <w:pStyle w:val="ListParagraph"/>
        <w:numPr>
          <w:ilvl w:val="0"/>
          <w:numId w:val="26"/>
        </w:numPr>
        <w:tabs>
          <w:tab w:pos="893" w:val="left" w:leader="none"/>
        </w:tabs>
        <w:spacing w:line="240" w:lineRule="auto" w:before="64" w:after="0"/>
        <w:ind w:left="892" w:right="0" w:hanging="415"/>
        <w:jc w:val="both"/>
        <w:rPr>
          <w:sz w:val="38"/>
        </w:rPr>
      </w:pPr>
      <w:r>
        <w:rPr>
          <w:sz w:val="38"/>
        </w:rPr>
        <w:t>counteracts atherosclerosis,</w:t>
      </w:r>
    </w:p>
    <w:p>
      <w:pPr>
        <w:pStyle w:val="ListParagraph"/>
        <w:numPr>
          <w:ilvl w:val="0"/>
          <w:numId w:val="26"/>
        </w:numPr>
        <w:tabs>
          <w:tab w:pos="893" w:val="left" w:leader="none"/>
        </w:tabs>
        <w:spacing w:line="240" w:lineRule="auto" w:before="64" w:after="0"/>
        <w:ind w:left="892" w:right="0" w:hanging="415"/>
        <w:jc w:val="both"/>
        <w:rPr>
          <w:sz w:val="38"/>
        </w:rPr>
      </w:pPr>
      <w:r>
        <w:rPr>
          <w:sz w:val="38"/>
        </w:rPr>
        <w:t>keeps the cardiovascular system</w:t>
      </w:r>
      <w:r>
        <w:rPr>
          <w:spacing w:val="-1"/>
          <w:sz w:val="38"/>
        </w:rPr>
        <w:t> </w:t>
      </w:r>
      <w:r>
        <w:rPr>
          <w:sz w:val="38"/>
        </w:rPr>
        <w:t>young,</w:t>
      </w:r>
    </w:p>
    <w:p>
      <w:pPr>
        <w:pStyle w:val="ListParagraph"/>
        <w:numPr>
          <w:ilvl w:val="0"/>
          <w:numId w:val="26"/>
        </w:numPr>
        <w:tabs>
          <w:tab w:pos="893" w:val="left" w:leader="none"/>
        </w:tabs>
        <w:spacing w:line="240" w:lineRule="auto" w:before="63" w:after="0"/>
        <w:ind w:left="892" w:right="0" w:hanging="415"/>
        <w:jc w:val="both"/>
        <w:rPr>
          <w:sz w:val="38"/>
        </w:rPr>
      </w:pPr>
      <w:r>
        <w:rPr>
          <w:sz w:val="38"/>
        </w:rPr>
        <w:t>counteracts skin</w:t>
      </w:r>
      <w:r>
        <w:rPr>
          <w:spacing w:val="-1"/>
          <w:sz w:val="38"/>
        </w:rPr>
        <w:t> </w:t>
      </w:r>
      <w:r>
        <w:rPr>
          <w:sz w:val="38"/>
        </w:rPr>
        <w:t>ageing,</w:t>
      </w:r>
    </w:p>
    <w:p>
      <w:pPr>
        <w:pStyle w:val="ListParagraph"/>
        <w:numPr>
          <w:ilvl w:val="0"/>
          <w:numId w:val="26"/>
        </w:numPr>
        <w:tabs>
          <w:tab w:pos="893" w:val="left" w:leader="none"/>
        </w:tabs>
        <w:spacing w:line="240" w:lineRule="auto" w:before="64" w:after="0"/>
        <w:ind w:left="892" w:right="0" w:hanging="415"/>
        <w:jc w:val="both"/>
        <w:rPr>
          <w:sz w:val="38"/>
        </w:rPr>
      </w:pPr>
      <w:r>
        <w:rPr>
          <w:sz w:val="38"/>
        </w:rPr>
        <w:t>dementia and</w:t>
      </w:r>
      <w:r>
        <w:rPr>
          <w:spacing w:val="-2"/>
          <w:sz w:val="38"/>
        </w:rPr>
        <w:t> </w:t>
      </w:r>
      <w:r>
        <w:rPr>
          <w:sz w:val="38"/>
        </w:rPr>
        <w:t>Alzheimer’s,</w:t>
      </w:r>
    </w:p>
    <w:p>
      <w:pPr>
        <w:pStyle w:val="ListParagraph"/>
        <w:numPr>
          <w:ilvl w:val="0"/>
          <w:numId w:val="26"/>
        </w:numPr>
        <w:tabs>
          <w:tab w:pos="893" w:val="left" w:leader="none"/>
        </w:tabs>
        <w:spacing w:line="240" w:lineRule="auto" w:before="66" w:after="0"/>
        <w:ind w:left="892" w:right="0" w:hanging="415"/>
        <w:jc w:val="both"/>
        <w:rPr>
          <w:sz w:val="38"/>
        </w:rPr>
      </w:pPr>
      <w:r>
        <w:rPr>
          <w:sz w:val="38"/>
        </w:rPr>
        <w:t>counteracts age-related cartilage degradation</w:t>
      </w:r>
      <w:r>
        <w:rPr>
          <w:spacing w:val="-1"/>
          <w:sz w:val="38"/>
        </w:rPr>
        <w:t> </w:t>
      </w:r>
      <w:r>
        <w:rPr>
          <w:sz w:val="38"/>
        </w:rPr>
        <w:t>(arthrosis)</w:t>
      </w:r>
    </w:p>
    <w:p>
      <w:pPr>
        <w:pStyle w:val="ListParagraph"/>
        <w:numPr>
          <w:ilvl w:val="0"/>
          <w:numId w:val="26"/>
        </w:numPr>
        <w:tabs>
          <w:tab w:pos="893" w:val="left" w:leader="none"/>
        </w:tabs>
        <w:spacing w:line="240" w:lineRule="auto" w:before="64" w:after="0"/>
        <w:ind w:left="892" w:right="0" w:hanging="415"/>
        <w:jc w:val="both"/>
        <w:rPr>
          <w:sz w:val="38"/>
        </w:rPr>
      </w:pPr>
      <w:r>
        <w:rPr>
          <w:sz w:val="38"/>
        </w:rPr>
        <w:t>and premature hair greying.</w:t>
      </w:r>
    </w:p>
    <w:p>
      <w:pPr>
        <w:pStyle w:val="Heading1"/>
        <w:spacing w:before="285"/>
        <w:jc w:val="both"/>
      </w:pPr>
      <w:r>
        <w:rPr/>
        <w:t>Skin tightening and skin rejuvenating effects of gotu kola</w:t>
      </w:r>
    </w:p>
    <w:p>
      <w:pPr>
        <w:pStyle w:val="BodyText"/>
        <w:spacing w:line="276" w:lineRule="auto" w:before="299"/>
        <w:ind w:left="477"/>
      </w:pPr>
      <w:r>
        <w:rPr/>
        <w:t>Gotu kola supports the collagen structure and thus the firmness and youthful- ness of the skin.</w:t>
      </w:r>
    </w:p>
    <w:p>
      <w:pPr>
        <w:spacing w:after="0" w:line="276" w:lineRule="auto"/>
        <w:sectPr>
          <w:pgSz w:w="14270" w:h="16850"/>
          <w:pgMar w:header="0" w:footer="1891" w:top="1600" w:bottom="2080" w:left="800" w:right="1280"/>
        </w:sectPr>
      </w:pPr>
    </w:p>
    <w:p>
      <w:pPr>
        <w:pStyle w:val="BodyText"/>
        <w:spacing w:line="276" w:lineRule="auto" w:before="181"/>
        <w:ind w:left="477" w:right="134"/>
        <w:jc w:val="both"/>
        <w:rPr>
          <w:sz w:val="25"/>
        </w:rPr>
      </w:pPr>
      <w:r>
        <w:rPr/>
        <w:t>The fact that the French Bayer subsidiary SERDEX has had five skin care ef- fects</w:t>
      </w:r>
      <w:r>
        <w:rPr>
          <w:spacing w:val="-4"/>
        </w:rPr>
        <w:t> </w:t>
      </w:r>
      <w:r>
        <w:rPr/>
        <w:t>of</w:t>
      </w:r>
      <w:r>
        <w:rPr>
          <w:spacing w:val="-7"/>
        </w:rPr>
        <w:t> </w:t>
      </w:r>
      <w:r>
        <w:rPr/>
        <w:t>gotu</w:t>
      </w:r>
      <w:r>
        <w:rPr>
          <w:spacing w:val="-6"/>
        </w:rPr>
        <w:t> </w:t>
      </w:r>
      <w:r>
        <w:rPr/>
        <w:t>kola</w:t>
      </w:r>
      <w:r>
        <w:rPr>
          <w:spacing w:val="-4"/>
        </w:rPr>
        <w:t> </w:t>
      </w:r>
      <w:r>
        <w:rPr/>
        <w:t>patented</w:t>
      </w:r>
      <w:r>
        <w:rPr>
          <w:spacing w:val="-4"/>
        </w:rPr>
        <w:t> </w:t>
      </w:r>
      <w:r>
        <w:rPr/>
        <w:t>also</w:t>
      </w:r>
      <w:r>
        <w:rPr>
          <w:spacing w:val="-9"/>
        </w:rPr>
        <w:t> </w:t>
      </w:r>
      <w:r>
        <w:rPr/>
        <w:t>proves</w:t>
      </w:r>
      <w:r>
        <w:rPr>
          <w:spacing w:val="-2"/>
        </w:rPr>
        <w:t> </w:t>
      </w:r>
      <w:r>
        <w:rPr/>
        <w:t>this</w:t>
      </w:r>
      <w:r>
        <w:rPr>
          <w:spacing w:val="-6"/>
        </w:rPr>
        <w:t> </w:t>
      </w:r>
      <w:r>
        <w:rPr/>
        <w:t>good</w:t>
      </w:r>
      <w:r>
        <w:rPr>
          <w:spacing w:val="-7"/>
        </w:rPr>
        <w:t> </w:t>
      </w:r>
      <w:r>
        <w:rPr/>
        <w:t>effect,</w:t>
      </w:r>
      <w:r>
        <w:rPr>
          <w:spacing w:val="-5"/>
        </w:rPr>
        <w:t> </w:t>
      </w:r>
      <w:r>
        <w:rPr/>
        <w:t>as</w:t>
      </w:r>
      <w:r>
        <w:rPr>
          <w:spacing w:val="-4"/>
        </w:rPr>
        <w:t> </w:t>
      </w:r>
      <w:r>
        <w:rPr/>
        <w:t>it</w:t>
      </w:r>
      <w:r>
        <w:rPr>
          <w:spacing w:val="-7"/>
        </w:rPr>
        <w:t> </w:t>
      </w:r>
      <w:r>
        <w:rPr/>
        <w:t>is</w:t>
      </w:r>
      <w:r>
        <w:rPr>
          <w:spacing w:val="-6"/>
        </w:rPr>
        <w:t> </w:t>
      </w:r>
      <w:r>
        <w:rPr/>
        <w:t>well</w:t>
      </w:r>
      <w:r>
        <w:rPr>
          <w:spacing w:val="-6"/>
        </w:rPr>
        <w:t> </w:t>
      </w:r>
      <w:r>
        <w:rPr/>
        <w:t>known</w:t>
      </w:r>
      <w:r>
        <w:rPr>
          <w:spacing w:val="-3"/>
        </w:rPr>
        <w:t> </w:t>
      </w:r>
      <w:r>
        <w:rPr/>
        <w:t>that patent</w:t>
      </w:r>
      <w:r>
        <w:rPr>
          <w:spacing w:val="-7"/>
        </w:rPr>
        <w:t> </w:t>
      </w:r>
      <w:r>
        <w:rPr/>
        <w:t>applications</w:t>
      </w:r>
      <w:r>
        <w:rPr>
          <w:spacing w:val="-5"/>
        </w:rPr>
        <w:t> </w:t>
      </w:r>
      <w:r>
        <w:rPr/>
        <w:t>in</w:t>
      </w:r>
      <w:r>
        <w:rPr>
          <w:spacing w:val="-6"/>
        </w:rPr>
        <w:t> </w:t>
      </w:r>
      <w:r>
        <w:rPr/>
        <w:t>the</w:t>
      </w:r>
      <w:r>
        <w:rPr>
          <w:spacing w:val="-8"/>
        </w:rPr>
        <w:t> </w:t>
      </w:r>
      <w:r>
        <w:rPr/>
        <w:t>cosmetics</w:t>
      </w:r>
      <w:r>
        <w:rPr>
          <w:spacing w:val="-6"/>
        </w:rPr>
        <w:t> </w:t>
      </w:r>
      <w:r>
        <w:rPr/>
        <w:t>sector</w:t>
      </w:r>
      <w:r>
        <w:rPr>
          <w:spacing w:val="-7"/>
        </w:rPr>
        <w:t> </w:t>
      </w:r>
      <w:r>
        <w:rPr/>
        <w:t>are</w:t>
      </w:r>
      <w:r>
        <w:rPr>
          <w:spacing w:val="-8"/>
        </w:rPr>
        <w:t> </w:t>
      </w:r>
      <w:r>
        <w:rPr/>
        <w:t>regularly</w:t>
      </w:r>
      <w:r>
        <w:rPr>
          <w:spacing w:val="-6"/>
        </w:rPr>
        <w:t> </w:t>
      </w:r>
      <w:r>
        <w:rPr/>
        <w:t>rejected</w:t>
      </w:r>
      <w:r>
        <w:rPr>
          <w:spacing w:val="-6"/>
        </w:rPr>
        <w:t> </w:t>
      </w:r>
      <w:r>
        <w:rPr/>
        <w:t>because</w:t>
      </w:r>
      <w:r>
        <w:rPr>
          <w:spacing w:val="-6"/>
        </w:rPr>
        <w:t> </w:t>
      </w:r>
      <w:r>
        <w:rPr/>
        <w:t>of</w:t>
      </w:r>
      <w:r>
        <w:rPr>
          <w:spacing w:val="-6"/>
        </w:rPr>
        <w:t> </w:t>
      </w:r>
      <w:r>
        <w:rPr/>
        <w:t>un- detectable effects.</w:t>
      </w:r>
      <w:r>
        <w:rPr>
          <w:position w:val="9"/>
          <w:sz w:val="25"/>
        </w:rPr>
        <w:t>341</w:t>
      </w:r>
    </w:p>
    <w:p>
      <w:pPr>
        <w:pStyle w:val="BodyText"/>
        <w:rPr>
          <w:sz w:val="42"/>
        </w:rPr>
      </w:pPr>
    </w:p>
    <w:p>
      <w:pPr>
        <w:pStyle w:val="BodyText"/>
        <w:spacing w:before="9"/>
        <w:rPr>
          <w:sz w:val="42"/>
        </w:rPr>
      </w:pPr>
    </w:p>
    <w:p>
      <w:pPr>
        <w:pStyle w:val="Heading1"/>
        <w:spacing w:before="0"/>
      </w:pPr>
      <w:r>
        <w:rPr/>
        <w:t>Wound healing effect of gotu kola</w:t>
      </w:r>
    </w:p>
    <w:p>
      <w:pPr>
        <w:pStyle w:val="BodyText"/>
        <w:spacing w:line="276" w:lineRule="auto" w:before="300"/>
        <w:ind w:left="477" w:right="244"/>
      </w:pPr>
      <w:r>
        <w:rPr/>
        <w:t>The triterpenoids contained in gotu kola have a wound-healing effect, making it wonderfully suitable for external injuries, burns and various skin diseases.</w:t>
      </w:r>
    </w:p>
    <w:p>
      <w:pPr>
        <w:pStyle w:val="Heading1"/>
      </w:pPr>
      <w:r>
        <w:rPr/>
        <w:t>Effect of gotu kola against scars</w:t>
      </w:r>
    </w:p>
    <w:p>
      <w:pPr>
        <w:pStyle w:val="BodyText"/>
        <w:spacing w:line="276" w:lineRule="auto" w:before="299"/>
        <w:ind w:left="477" w:right="132"/>
        <w:jc w:val="both"/>
      </w:pPr>
      <w:r>
        <w:rPr/>
        <w:t>The collagen-building effect of gotu kola, which promotes the cell renewal of the skin, can even remedy older scars. In this instance, gotu kola is applied in- ternally and externally as an ointment.</w:t>
      </w:r>
    </w:p>
    <w:p>
      <w:pPr>
        <w:pStyle w:val="Heading1"/>
        <w:spacing w:before="222"/>
      </w:pPr>
      <w:r>
        <w:rPr/>
        <w:t>Effect against ulcers</w:t>
      </w:r>
    </w:p>
    <w:p>
      <w:pPr>
        <w:pStyle w:val="BodyText"/>
        <w:spacing w:line="276" w:lineRule="auto" w:before="299"/>
        <w:ind w:left="477"/>
      </w:pPr>
      <w:r>
        <w:rPr/>
        <w:t>The influence of gotu kola on collagen synthesis and the activation of keratin formation counteract ulcers.</w:t>
      </w:r>
    </w:p>
    <w:p>
      <w:pPr>
        <w:pStyle w:val="Heading1"/>
        <w:spacing w:before="223"/>
        <w:jc w:val="both"/>
      </w:pPr>
      <w:r>
        <w:rPr/>
        <w:t>Effect of gotu kola on arthritis</w:t>
      </w:r>
    </w:p>
    <w:p>
      <w:pPr>
        <w:pStyle w:val="BodyText"/>
        <w:rPr>
          <w:b/>
          <w:i/>
          <w:sz w:val="20"/>
        </w:rPr>
      </w:pPr>
    </w:p>
    <w:p>
      <w:pPr>
        <w:pStyle w:val="BodyText"/>
        <w:spacing w:before="3"/>
        <w:rPr>
          <w:b/>
          <w:i/>
          <w:sz w:val="23"/>
        </w:rPr>
      </w:pPr>
      <w:r>
        <w:rPr/>
        <w:pict>
          <v:line style="position:absolute;mso-position-horizontal-relative:page;mso-position-vertical-relative:paragraph;z-index:3920;mso-wrap-distance-left:0;mso-wrap-distance-right:0" from="63.863998pt,15.446265pt" to="207.883998pt,15.446265pt" stroked="true" strokeweight=".71997pt" strokecolor="#000000">
            <v:stroke dashstyle="solid"/>
            <w10:wrap type="topAndBottom"/>
          </v:line>
        </w:pict>
      </w:r>
    </w:p>
    <w:p>
      <w:pPr>
        <w:pStyle w:val="BodyText"/>
        <w:spacing w:before="7"/>
        <w:rPr>
          <w:b/>
          <w:i/>
          <w:sz w:val="18"/>
        </w:rPr>
      </w:pPr>
    </w:p>
    <w:p>
      <w:pPr>
        <w:spacing w:before="100"/>
        <w:ind w:left="477" w:right="0" w:firstLine="0"/>
        <w:jc w:val="left"/>
        <w:rPr>
          <w:sz w:val="20"/>
        </w:rPr>
      </w:pPr>
      <w:r>
        <w:rPr>
          <w:position w:val="4"/>
          <w:sz w:val="10"/>
        </w:rPr>
        <w:t>341 </w:t>
      </w:r>
      <w:r>
        <w:rPr>
          <w:sz w:val="20"/>
        </w:rPr>
        <w:t>Biopirate BAYER: Natural products as a cheap resource</w:t>
      </w:r>
    </w:p>
    <w:p>
      <w:pPr>
        <w:spacing w:after="0"/>
        <w:jc w:val="left"/>
        <w:rPr>
          <w:sz w:val="20"/>
        </w:rPr>
        <w:sectPr>
          <w:pgSz w:w="14270" w:h="16850"/>
          <w:pgMar w:header="0" w:footer="1891" w:top="1600" w:bottom="2080" w:left="800" w:right="1280"/>
        </w:sectPr>
      </w:pPr>
    </w:p>
    <w:p>
      <w:pPr>
        <w:pStyle w:val="BodyText"/>
        <w:spacing w:before="181"/>
        <w:ind w:left="477"/>
      </w:pPr>
      <w:r>
        <w:rPr/>
        <w:t>The anti-inflammatory effect of gotu kola counteracts arthritis.</w:t>
      </w:r>
    </w:p>
    <w:p>
      <w:pPr>
        <w:pStyle w:val="Heading1"/>
        <w:spacing w:before="288"/>
      </w:pPr>
      <w:r>
        <w:rPr/>
        <w:t>Effect of gotu kola against arthrosis</w:t>
      </w:r>
    </w:p>
    <w:p>
      <w:pPr>
        <w:pStyle w:val="BodyText"/>
        <w:spacing w:line="276" w:lineRule="auto" w:before="299"/>
        <w:ind w:left="477" w:right="135"/>
        <w:jc w:val="both"/>
      </w:pPr>
      <w:r>
        <w:rPr/>
        <w:t>The</w:t>
      </w:r>
      <w:r>
        <w:rPr>
          <w:spacing w:val="-11"/>
        </w:rPr>
        <w:t> </w:t>
      </w:r>
      <w:r>
        <w:rPr/>
        <w:t>collagen-strengthening</w:t>
      </w:r>
      <w:r>
        <w:rPr>
          <w:spacing w:val="-10"/>
        </w:rPr>
        <w:t> </w:t>
      </w:r>
      <w:r>
        <w:rPr/>
        <w:t>effect</w:t>
      </w:r>
      <w:r>
        <w:rPr>
          <w:spacing w:val="-11"/>
        </w:rPr>
        <w:t> </w:t>
      </w:r>
      <w:r>
        <w:rPr/>
        <w:t>of</w:t>
      </w:r>
      <w:r>
        <w:rPr>
          <w:spacing w:val="-11"/>
        </w:rPr>
        <w:t> </w:t>
      </w:r>
      <w:r>
        <w:rPr/>
        <w:t>gotu</w:t>
      </w:r>
      <w:r>
        <w:rPr>
          <w:spacing w:val="-12"/>
        </w:rPr>
        <w:t> </w:t>
      </w:r>
      <w:r>
        <w:rPr/>
        <w:t>kola</w:t>
      </w:r>
      <w:r>
        <w:rPr>
          <w:spacing w:val="-11"/>
        </w:rPr>
        <w:t> </w:t>
      </w:r>
      <w:r>
        <w:rPr/>
        <w:t>supports</w:t>
      </w:r>
      <w:r>
        <w:rPr>
          <w:spacing w:val="-10"/>
        </w:rPr>
        <w:t> </w:t>
      </w:r>
      <w:r>
        <w:rPr/>
        <w:t>the</w:t>
      </w:r>
      <w:r>
        <w:rPr>
          <w:spacing w:val="-11"/>
        </w:rPr>
        <w:t> </w:t>
      </w:r>
      <w:r>
        <w:rPr/>
        <w:t>regeneration</w:t>
      </w:r>
      <w:r>
        <w:rPr>
          <w:spacing w:val="-10"/>
        </w:rPr>
        <w:t> </w:t>
      </w:r>
      <w:r>
        <w:rPr/>
        <w:t>of</w:t>
      </w:r>
      <w:r>
        <w:rPr>
          <w:spacing w:val="-10"/>
        </w:rPr>
        <w:t> </w:t>
      </w:r>
      <w:r>
        <w:rPr/>
        <w:t>hy- aline cartilage. Furthermore, gotu kola supports the formation of chondroitin, an essential component of articular</w:t>
      </w:r>
      <w:r>
        <w:rPr>
          <w:spacing w:val="-3"/>
        </w:rPr>
        <w:t> </w:t>
      </w:r>
      <w:r>
        <w:rPr/>
        <w:t>cartilage.</w:t>
      </w:r>
    </w:p>
    <w:p>
      <w:pPr>
        <w:pStyle w:val="BodyText"/>
        <w:rPr>
          <w:sz w:val="42"/>
        </w:rPr>
      </w:pPr>
    </w:p>
    <w:p>
      <w:pPr>
        <w:pStyle w:val="BodyText"/>
        <w:spacing w:before="9"/>
        <w:rPr>
          <w:sz w:val="42"/>
        </w:rPr>
      </w:pPr>
    </w:p>
    <w:p>
      <w:pPr>
        <w:pStyle w:val="Heading1"/>
        <w:spacing w:before="0"/>
      </w:pPr>
      <w:r>
        <w:rPr/>
        <w:t>Effect of gotu kola against stress</w:t>
      </w:r>
    </w:p>
    <w:p>
      <w:pPr>
        <w:pStyle w:val="BodyText"/>
        <w:spacing w:line="276" w:lineRule="auto" w:before="299"/>
        <w:ind w:left="477" w:right="136"/>
        <w:jc w:val="both"/>
      </w:pPr>
      <w:r>
        <w:rPr/>
        <w:t>Gotu kola is a highly regarded nerve tonic within traditional Chinese medicine and ayurvedic medicine and has a depressant effect on the body but is not a classic tranquilliser.</w:t>
      </w:r>
    </w:p>
    <w:p>
      <w:pPr>
        <w:pStyle w:val="Heading1"/>
      </w:pPr>
      <w:r>
        <w:rPr/>
        <w:t>Effect of gotu kola against memory weakness and senility</w:t>
      </w:r>
    </w:p>
    <w:p>
      <w:pPr>
        <w:pStyle w:val="BodyText"/>
        <w:spacing w:line="276" w:lineRule="auto" w:before="297"/>
        <w:ind w:left="477" w:right="130"/>
        <w:jc w:val="both"/>
      </w:pPr>
      <w:r>
        <w:rPr/>
        <w:t>Gotu</w:t>
      </w:r>
      <w:r>
        <w:rPr>
          <w:spacing w:val="-9"/>
        </w:rPr>
        <w:t> </w:t>
      </w:r>
      <w:r>
        <w:rPr/>
        <w:t>kola</w:t>
      </w:r>
      <w:r>
        <w:rPr>
          <w:spacing w:val="-7"/>
        </w:rPr>
        <w:t> </w:t>
      </w:r>
      <w:r>
        <w:rPr/>
        <w:t>protects</w:t>
      </w:r>
      <w:r>
        <w:rPr>
          <w:spacing w:val="-6"/>
        </w:rPr>
        <w:t> </w:t>
      </w:r>
      <w:r>
        <w:rPr/>
        <w:t>the</w:t>
      </w:r>
      <w:r>
        <w:rPr>
          <w:spacing w:val="-6"/>
        </w:rPr>
        <w:t> </w:t>
      </w:r>
      <w:r>
        <w:rPr/>
        <w:t>brain</w:t>
      </w:r>
      <w:r>
        <w:rPr>
          <w:spacing w:val="-8"/>
        </w:rPr>
        <w:t> </w:t>
      </w:r>
      <w:r>
        <w:rPr/>
        <w:t>from</w:t>
      </w:r>
      <w:r>
        <w:rPr>
          <w:spacing w:val="-7"/>
        </w:rPr>
        <w:t> </w:t>
      </w:r>
      <w:r>
        <w:rPr/>
        <w:t>free</w:t>
      </w:r>
      <w:r>
        <w:rPr>
          <w:spacing w:val="-7"/>
        </w:rPr>
        <w:t> </w:t>
      </w:r>
      <w:r>
        <w:rPr/>
        <w:t>radical</w:t>
      </w:r>
      <w:r>
        <w:rPr>
          <w:spacing w:val="-8"/>
        </w:rPr>
        <w:t> </w:t>
      </w:r>
      <w:r>
        <w:rPr/>
        <w:t>damage,</w:t>
      </w:r>
      <w:r>
        <w:rPr>
          <w:spacing w:val="-6"/>
        </w:rPr>
        <w:t> </w:t>
      </w:r>
      <w:r>
        <w:rPr/>
        <w:t>improves</w:t>
      </w:r>
      <w:r>
        <w:rPr>
          <w:spacing w:val="-9"/>
        </w:rPr>
        <w:t> </w:t>
      </w:r>
      <w:r>
        <w:rPr/>
        <w:t>blood</w:t>
      </w:r>
      <w:r>
        <w:rPr>
          <w:spacing w:val="-7"/>
        </w:rPr>
        <w:t> </w:t>
      </w:r>
      <w:r>
        <w:rPr/>
        <w:t>circula- tion</w:t>
      </w:r>
      <w:r>
        <w:rPr>
          <w:spacing w:val="-10"/>
        </w:rPr>
        <w:t> </w:t>
      </w:r>
      <w:r>
        <w:rPr/>
        <w:t>to</w:t>
      </w:r>
      <w:r>
        <w:rPr>
          <w:spacing w:val="-9"/>
        </w:rPr>
        <w:t> </w:t>
      </w:r>
      <w:r>
        <w:rPr/>
        <w:t>the</w:t>
      </w:r>
      <w:r>
        <w:rPr>
          <w:spacing w:val="-11"/>
        </w:rPr>
        <w:t> </w:t>
      </w:r>
      <w:r>
        <w:rPr/>
        <w:t>brain,</w:t>
      </w:r>
      <w:r>
        <w:rPr>
          <w:spacing w:val="-12"/>
        </w:rPr>
        <w:t> </w:t>
      </w:r>
      <w:r>
        <w:rPr/>
        <w:t>and</w:t>
      </w:r>
      <w:r>
        <w:rPr>
          <w:spacing w:val="-9"/>
        </w:rPr>
        <w:t> </w:t>
      </w:r>
      <w:r>
        <w:rPr/>
        <w:t>works</w:t>
      </w:r>
      <w:r>
        <w:rPr>
          <w:spacing w:val="-10"/>
        </w:rPr>
        <w:t> </w:t>
      </w:r>
      <w:r>
        <w:rPr/>
        <w:t>like</w:t>
      </w:r>
      <w:r>
        <w:rPr>
          <w:spacing w:val="-11"/>
        </w:rPr>
        <w:t> </w:t>
      </w:r>
      <w:r>
        <w:rPr/>
        <w:t>ginkgo</w:t>
      </w:r>
      <w:r>
        <w:rPr>
          <w:spacing w:val="-10"/>
        </w:rPr>
        <w:t> </w:t>
      </w:r>
      <w:r>
        <w:rPr/>
        <w:t>biloba.</w:t>
      </w:r>
      <w:r>
        <w:rPr>
          <w:spacing w:val="-11"/>
        </w:rPr>
        <w:t> </w:t>
      </w:r>
      <w:r>
        <w:rPr/>
        <w:t>Furthermore,</w:t>
      </w:r>
      <w:r>
        <w:rPr>
          <w:spacing w:val="-8"/>
        </w:rPr>
        <w:t> </w:t>
      </w:r>
      <w:r>
        <w:rPr/>
        <w:t>the</w:t>
      </w:r>
      <w:r>
        <w:rPr>
          <w:spacing w:val="-14"/>
        </w:rPr>
        <w:t> </w:t>
      </w:r>
      <w:r>
        <w:rPr/>
        <w:t>protein</w:t>
      </w:r>
      <w:r>
        <w:rPr>
          <w:spacing w:val="-6"/>
        </w:rPr>
        <w:t> </w:t>
      </w:r>
      <w:r>
        <w:rPr/>
        <w:t>‘baco- side’ nourishes the brain</w:t>
      </w:r>
      <w:r>
        <w:rPr>
          <w:spacing w:val="1"/>
        </w:rPr>
        <w:t> </w:t>
      </w:r>
      <w:r>
        <w:rPr/>
        <w:t>cells.</w:t>
      </w:r>
    </w:p>
    <w:p>
      <w:pPr>
        <w:pStyle w:val="BodyText"/>
        <w:spacing w:line="276" w:lineRule="auto" w:before="241"/>
        <w:ind w:left="477" w:right="133"/>
        <w:jc w:val="both"/>
      </w:pPr>
      <w:r>
        <w:rPr/>
        <w:t>In studies, gotu kola has shown a positive influence on the memory and coun- teracted</w:t>
      </w:r>
      <w:r>
        <w:rPr>
          <w:spacing w:val="-18"/>
        </w:rPr>
        <w:t> </w:t>
      </w:r>
      <w:r>
        <w:rPr/>
        <w:t>senility.</w:t>
      </w:r>
      <w:r>
        <w:rPr>
          <w:spacing w:val="-18"/>
        </w:rPr>
        <w:t> </w:t>
      </w:r>
      <w:r>
        <w:rPr/>
        <w:t>Indians</w:t>
      </w:r>
      <w:r>
        <w:rPr>
          <w:spacing w:val="-16"/>
        </w:rPr>
        <w:t> </w:t>
      </w:r>
      <w:r>
        <w:rPr/>
        <w:t>believe</w:t>
      </w:r>
      <w:r>
        <w:rPr>
          <w:spacing w:val="-17"/>
        </w:rPr>
        <w:t> </w:t>
      </w:r>
      <w:r>
        <w:rPr/>
        <w:t>that</w:t>
      </w:r>
      <w:r>
        <w:rPr>
          <w:spacing w:val="-17"/>
        </w:rPr>
        <w:t> </w:t>
      </w:r>
      <w:r>
        <w:rPr/>
        <w:t>the</w:t>
      </w:r>
      <w:r>
        <w:rPr>
          <w:spacing w:val="-15"/>
        </w:rPr>
        <w:t> </w:t>
      </w:r>
      <w:r>
        <w:rPr/>
        <w:t>excellent</w:t>
      </w:r>
      <w:r>
        <w:rPr>
          <w:spacing w:val="-18"/>
        </w:rPr>
        <w:t> </w:t>
      </w:r>
      <w:r>
        <w:rPr/>
        <w:t>memory</w:t>
      </w:r>
      <w:r>
        <w:rPr>
          <w:spacing w:val="-16"/>
        </w:rPr>
        <w:t> </w:t>
      </w:r>
      <w:r>
        <w:rPr/>
        <w:t>of</w:t>
      </w:r>
      <w:r>
        <w:rPr>
          <w:spacing w:val="-19"/>
        </w:rPr>
        <w:t> </w:t>
      </w:r>
      <w:r>
        <w:rPr/>
        <w:t>elephants</w:t>
      </w:r>
      <w:r>
        <w:rPr>
          <w:spacing w:val="-16"/>
        </w:rPr>
        <w:t> </w:t>
      </w:r>
      <w:r>
        <w:rPr/>
        <w:t>is</w:t>
      </w:r>
      <w:r>
        <w:rPr>
          <w:spacing w:val="-19"/>
        </w:rPr>
        <w:t> </w:t>
      </w:r>
      <w:r>
        <w:rPr/>
        <w:t>down to the fact that they eat gotu</w:t>
      </w:r>
      <w:r>
        <w:rPr>
          <w:spacing w:val="-1"/>
        </w:rPr>
        <w:t> </w:t>
      </w:r>
      <w:r>
        <w:rPr/>
        <w:t>kola.</w:t>
      </w:r>
    </w:p>
    <w:p>
      <w:pPr>
        <w:pStyle w:val="BodyText"/>
        <w:spacing w:line="276" w:lineRule="auto" w:before="242"/>
        <w:ind w:left="477" w:right="134"/>
        <w:jc w:val="both"/>
      </w:pPr>
      <w:r>
        <w:rPr/>
        <w:t>According</w:t>
      </w:r>
      <w:r>
        <w:rPr>
          <w:spacing w:val="-17"/>
        </w:rPr>
        <w:t> </w:t>
      </w:r>
      <w:r>
        <w:rPr/>
        <w:t>to</w:t>
      </w:r>
      <w:r>
        <w:rPr>
          <w:spacing w:val="-16"/>
        </w:rPr>
        <w:t> </w:t>
      </w:r>
      <w:r>
        <w:rPr/>
        <w:t>Ayurvedic</w:t>
      </w:r>
      <w:r>
        <w:rPr>
          <w:spacing w:val="-17"/>
        </w:rPr>
        <w:t> </w:t>
      </w:r>
      <w:r>
        <w:rPr/>
        <w:t>teachings,</w:t>
      </w:r>
      <w:r>
        <w:rPr>
          <w:spacing w:val="-15"/>
        </w:rPr>
        <w:t> </w:t>
      </w:r>
      <w:r>
        <w:rPr/>
        <w:t>gotu</w:t>
      </w:r>
      <w:r>
        <w:rPr>
          <w:spacing w:val="-18"/>
        </w:rPr>
        <w:t> </w:t>
      </w:r>
      <w:r>
        <w:rPr/>
        <w:t>kola</w:t>
      </w:r>
      <w:r>
        <w:rPr>
          <w:spacing w:val="-17"/>
        </w:rPr>
        <w:t> </w:t>
      </w:r>
      <w:r>
        <w:rPr/>
        <w:t>can</w:t>
      </w:r>
      <w:r>
        <w:rPr>
          <w:spacing w:val="-17"/>
        </w:rPr>
        <w:t> </w:t>
      </w:r>
      <w:r>
        <w:rPr/>
        <w:t>reconcile</w:t>
      </w:r>
      <w:r>
        <w:rPr>
          <w:spacing w:val="-17"/>
        </w:rPr>
        <w:t> </w:t>
      </w:r>
      <w:r>
        <w:rPr/>
        <w:t>the</w:t>
      </w:r>
      <w:r>
        <w:rPr>
          <w:spacing w:val="-15"/>
        </w:rPr>
        <w:t> </w:t>
      </w:r>
      <w:r>
        <w:rPr/>
        <w:t>two</w:t>
      </w:r>
      <w:r>
        <w:rPr>
          <w:spacing w:val="-19"/>
        </w:rPr>
        <w:t> </w:t>
      </w:r>
      <w:r>
        <w:rPr/>
        <w:t>halves</w:t>
      </w:r>
      <w:r>
        <w:rPr>
          <w:spacing w:val="-16"/>
        </w:rPr>
        <w:t> </w:t>
      </w:r>
      <w:r>
        <w:rPr/>
        <w:t>of</w:t>
      </w:r>
      <w:r>
        <w:rPr>
          <w:spacing w:val="-16"/>
        </w:rPr>
        <w:t> </w:t>
      </w:r>
      <w:r>
        <w:rPr/>
        <w:t>the brain, increase intelligence and positively influence emotions.</w:t>
      </w:r>
    </w:p>
    <w:p>
      <w:pPr>
        <w:spacing w:after="0" w:line="276" w:lineRule="auto"/>
        <w:jc w:val="both"/>
        <w:sectPr>
          <w:pgSz w:w="14270" w:h="16850"/>
          <w:pgMar w:header="0" w:footer="1891" w:top="1600" w:bottom="2080" w:left="800" w:right="1280"/>
        </w:sectPr>
      </w:pPr>
    </w:p>
    <w:p>
      <w:pPr>
        <w:pStyle w:val="Heading1"/>
        <w:spacing w:before="164"/>
      </w:pPr>
      <w:r>
        <w:rPr/>
        <w:t>Gotu kola and its effects on fears and stress</w:t>
      </w:r>
    </w:p>
    <w:p>
      <w:pPr>
        <w:pStyle w:val="BodyText"/>
        <w:spacing w:line="276" w:lineRule="auto" w:before="299"/>
        <w:ind w:left="477"/>
      </w:pPr>
      <w:r>
        <w:rPr/>
        <w:t>Gotu kola has been shown to have an anxiolytic, sedative effect in studies, which is attributed to the ‘cholinergic mechanism’.</w:t>
      </w:r>
    </w:p>
    <w:p>
      <w:pPr>
        <w:pStyle w:val="BodyText"/>
        <w:rPr>
          <w:sz w:val="42"/>
        </w:rPr>
      </w:pPr>
    </w:p>
    <w:p>
      <w:pPr>
        <w:pStyle w:val="BodyText"/>
        <w:spacing w:before="11"/>
        <w:rPr>
          <w:sz w:val="42"/>
        </w:rPr>
      </w:pPr>
    </w:p>
    <w:p>
      <w:pPr>
        <w:pStyle w:val="Heading1"/>
        <w:spacing w:before="0"/>
      </w:pPr>
      <w:r>
        <w:rPr/>
        <w:t>Effect of gotu kola against cellulitis</w:t>
      </w:r>
    </w:p>
    <w:p>
      <w:pPr>
        <w:pStyle w:val="BodyText"/>
        <w:spacing w:line="276" w:lineRule="auto" w:before="297"/>
        <w:ind w:left="477"/>
      </w:pPr>
      <w:r>
        <w:rPr/>
        <w:t>Gotu kola acts on the fibroblasts in the connective tissue and is thus effective against cellulite, which is reflected in studies by a success rate of up to 80 %.</w:t>
      </w:r>
    </w:p>
    <w:p>
      <w:pPr>
        <w:pStyle w:val="Heading1"/>
      </w:pPr>
      <w:r>
        <w:rPr/>
        <w:t>Gotu kola for beauty</w:t>
      </w:r>
    </w:p>
    <w:p>
      <w:pPr>
        <w:pStyle w:val="BodyText"/>
        <w:spacing w:line="276" w:lineRule="auto" w:before="299"/>
        <w:ind w:left="477" w:right="131"/>
        <w:jc w:val="both"/>
      </w:pPr>
      <w:r>
        <w:rPr/>
        <w:t>In</w:t>
      </w:r>
      <w:r>
        <w:rPr>
          <w:spacing w:val="-9"/>
        </w:rPr>
        <w:t> </w:t>
      </w:r>
      <w:r>
        <w:rPr/>
        <w:t>addition</w:t>
      </w:r>
      <w:r>
        <w:rPr>
          <w:spacing w:val="-8"/>
        </w:rPr>
        <w:t> </w:t>
      </w:r>
      <w:r>
        <w:rPr/>
        <w:t>to</w:t>
      </w:r>
      <w:r>
        <w:rPr>
          <w:spacing w:val="-9"/>
        </w:rPr>
        <w:t> </w:t>
      </w:r>
      <w:r>
        <w:rPr/>
        <w:t>its</w:t>
      </w:r>
      <w:r>
        <w:rPr>
          <w:spacing w:val="-10"/>
        </w:rPr>
        <w:t> </w:t>
      </w:r>
      <w:r>
        <w:rPr/>
        <w:t>positive</w:t>
      </w:r>
      <w:r>
        <w:rPr>
          <w:spacing w:val="-10"/>
        </w:rPr>
        <w:t> </w:t>
      </w:r>
      <w:r>
        <w:rPr/>
        <w:t>effect</w:t>
      </w:r>
      <w:r>
        <w:rPr>
          <w:spacing w:val="-9"/>
        </w:rPr>
        <w:t> </w:t>
      </w:r>
      <w:r>
        <w:rPr/>
        <w:t>against</w:t>
      </w:r>
      <w:r>
        <w:rPr>
          <w:spacing w:val="-10"/>
        </w:rPr>
        <w:t> </w:t>
      </w:r>
      <w:r>
        <w:rPr/>
        <w:t>cellulitis,</w:t>
      </w:r>
      <w:r>
        <w:rPr>
          <w:spacing w:val="-8"/>
        </w:rPr>
        <w:t> </w:t>
      </w:r>
      <w:r>
        <w:rPr/>
        <w:t>gotu</w:t>
      </w:r>
      <w:r>
        <w:rPr>
          <w:spacing w:val="-11"/>
        </w:rPr>
        <w:t> </w:t>
      </w:r>
      <w:r>
        <w:rPr/>
        <w:t>kola</w:t>
      </w:r>
      <w:r>
        <w:rPr>
          <w:spacing w:val="-10"/>
        </w:rPr>
        <w:t> </w:t>
      </w:r>
      <w:r>
        <w:rPr/>
        <w:t>tightens</w:t>
      </w:r>
      <w:r>
        <w:rPr>
          <w:spacing w:val="-8"/>
        </w:rPr>
        <w:t> </w:t>
      </w:r>
      <w:r>
        <w:rPr/>
        <w:t>the</w:t>
      </w:r>
      <w:r>
        <w:rPr>
          <w:spacing w:val="-8"/>
        </w:rPr>
        <w:t> </w:t>
      </w:r>
      <w:r>
        <w:rPr/>
        <w:t>connec- tive tissue and proves to be very beneficial for the skin. It stimulates collagen synthesis and promotes the healthy growth of our</w:t>
      </w:r>
      <w:r>
        <w:rPr>
          <w:spacing w:val="-6"/>
        </w:rPr>
        <w:t> </w:t>
      </w:r>
      <w:r>
        <w:rPr/>
        <w:t>nails.</w:t>
      </w:r>
    </w:p>
    <w:p>
      <w:pPr>
        <w:pStyle w:val="BodyText"/>
        <w:rPr>
          <w:sz w:val="42"/>
        </w:rPr>
      </w:pPr>
    </w:p>
    <w:p>
      <w:pPr>
        <w:pStyle w:val="BodyText"/>
        <w:spacing w:before="4"/>
        <w:rPr>
          <w:sz w:val="44"/>
        </w:rPr>
      </w:pPr>
    </w:p>
    <w:p>
      <w:pPr>
        <w:pStyle w:val="Heading2"/>
      </w:pPr>
      <w:r>
        <w:rPr/>
        <w:t>Studies on gotu kola</w:t>
      </w:r>
    </w:p>
    <w:p>
      <w:pPr>
        <w:spacing w:line="261" w:lineRule="auto" w:before="287"/>
        <w:ind w:left="477" w:right="0" w:firstLine="0"/>
        <w:jc w:val="left"/>
        <w:rPr>
          <w:b/>
          <w:i/>
          <w:sz w:val="40"/>
        </w:rPr>
      </w:pPr>
      <w:r>
        <w:rPr>
          <w:b/>
          <w:i/>
          <w:sz w:val="40"/>
        </w:rPr>
        <w:t>Gotu</w:t>
      </w:r>
      <w:r>
        <w:rPr>
          <w:b/>
          <w:i/>
          <w:spacing w:val="-52"/>
          <w:sz w:val="40"/>
        </w:rPr>
        <w:t> </w:t>
      </w:r>
      <w:r>
        <w:rPr>
          <w:b/>
          <w:i/>
          <w:sz w:val="40"/>
        </w:rPr>
        <w:t>kola</w:t>
      </w:r>
      <w:r>
        <w:rPr>
          <w:b/>
          <w:i/>
          <w:spacing w:val="-52"/>
          <w:sz w:val="40"/>
        </w:rPr>
        <w:t> </w:t>
      </w:r>
      <w:r>
        <w:rPr>
          <w:b/>
          <w:i/>
          <w:sz w:val="40"/>
        </w:rPr>
        <w:t>shows</w:t>
      </w:r>
      <w:r>
        <w:rPr>
          <w:b/>
          <w:i/>
          <w:spacing w:val="-51"/>
          <w:sz w:val="40"/>
        </w:rPr>
        <w:t> </w:t>
      </w:r>
      <w:r>
        <w:rPr>
          <w:b/>
          <w:i/>
          <w:sz w:val="40"/>
        </w:rPr>
        <w:t>an</w:t>
      </w:r>
      <w:r>
        <w:rPr>
          <w:b/>
          <w:i/>
          <w:spacing w:val="-51"/>
          <w:sz w:val="40"/>
        </w:rPr>
        <w:t> </w:t>
      </w:r>
      <w:r>
        <w:rPr>
          <w:b/>
          <w:i/>
          <w:sz w:val="40"/>
        </w:rPr>
        <w:t>80</w:t>
      </w:r>
      <w:r>
        <w:rPr>
          <w:b/>
          <w:i/>
          <w:spacing w:val="-51"/>
          <w:sz w:val="40"/>
        </w:rPr>
        <w:t> </w:t>
      </w:r>
      <w:r>
        <w:rPr>
          <w:b/>
          <w:i/>
          <w:sz w:val="40"/>
        </w:rPr>
        <w:t>%</w:t>
      </w:r>
      <w:r>
        <w:rPr>
          <w:b/>
          <w:i/>
          <w:spacing w:val="-51"/>
          <w:sz w:val="40"/>
        </w:rPr>
        <w:t> </w:t>
      </w:r>
      <w:r>
        <w:rPr>
          <w:b/>
          <w:i/>
          <w:sz w:val="40"/>
        </w:rPr>
        <w:t>success</w:t>
      </w:r>
      <w:r>
        <w:rPr>
          <w:b/>
          <w:i/>
          <w:spacing w:val="-51"/>
          <w:sz w:val="40"/>
        </w:rPr>
        <w:t> </w:t>
      </w:r>
      <w:r>
        <w:rPr>
          <w:b/>
          <w:i/>
          <w:sz w:val="40"/>
        </w:rPr>
        <w:t>rate</w:t>
      </w:r>
      <w:r>
        <w:rPr>
          <w:b/>
          <w:i/>
          <w:spacing w:val="-51"/>
          <w:sz w:val="40"/>
        </w:rPr>
        <w:t> </w:t>
      </w:r>
      <w:r>
        <w:rPr>
          <w:b/>
          <w:i/>
          <w:sz w:val="40"/>
        </w:rPr>
        <w:t>in</w:t>
      </w:r>
      <w:r>
        <w:rPr>
          <w:b/>
          <w:i/>
          <w:spacing w:val="-51"/>
          <w:sz w:val="40"/>
        </w:rPr>
        <w:t> </w:t>
      </w:r>
      <w:r>
        <w:rPr>
          <w:b/>
          <w:i/>
          <w:sz w:val="40"/>
        </w:rPr>
        <w:t>the prevention</w:t>
      </w:r>
      <w:r>
        <w:rPr>
          <w:b/>
          <w:i/>
          <w:spacing w:val="-52"/>
          <w:sz w:val="40"/>
        </w:rPr>
        <w:t> </w:t>
      </w:r>
      <w:r>
        <w:rPr>
          <w:b/>
          <w:i/>
          <w:sz w:val="40"/>
        </w:rPr>
        <w:t>and</w:t>
      </w:r>
      <w:r>
        <w:rPr>
          <w:b/>
          <w:i/>
          <w:spacing w:val="-52"/>
          <w:sz w:val="40"/>
        </w:rPr>
        <w:t> </w:t>
      </w:r>
      <w:r>
        <w:rPr>
          <w:b/>
          <w:i/>
          <w:sz w:val="40"/>
        </w:rPr>
        <w:t>treatment</w:t>
      </w:r>
      <w:r>
        <w:rPr>
          <w:b/>
          <w:i/>
          <w:spacing w:val="-51"/>
          <w:sz w:val="40"/>
        </w:rPr>
        <w:t> </w:t>
      </w:r>
      <w:r>
        <w:rPr>
          <w:b/>
          <w:i/>
          <w:sz w:val="40"/>
        </w:rPr>
        <w:t>of cellulitis</w:t>
      </w:r>
    </w:p>
    <w:p>
      <w:pPr>
        <w:pStyle w:val="BodyText"/>
        <w:spacing w:line="276" w:lineRule="auto" w:before="260"/>
        <w:ind w:left="477" w:right="37"/>
      </w:pPr>
      <w:r>
        <w:rPr/>
        <w:t>Gotu kola has had sensational success in the prevention and treatment of cellu- litis.</w:t>
      </w:r>
    </w:p>
    <w:p>
      <w:pPr>
        <w:pStyle w:val="Heading1"/>
      </w:pPr>
      <w:r>
        <w:rPr/>
        <w:t>Studies</w:t>
      </w:r>
      <w:r>
        <w:rPr>
          <w:spacing w:val="-45"/>
        </w:rPr>
        <w:t> </w:t>
      </w:r>
      <w:r>
        <w:rPr/>
        <w:t>show</w:t>
      </w:r>
      <w:r>
        <w:rPr>
          <w:spacing w:val="-46"/>
        </w:rPr>
        <w:t> </w:t>
      </w:r>
      <w:r>
        <w:rPr/>
        <w:t>gotu</w:t>
      </w:r>
      <w:r>
        <w:rPr>
          <w:spacing w:val="-46"/>
        </w:rPr>
        <w:t> </w:t>
      </w:r>
      <w:r>
        <w:rPr/>
        <w:t>kola</w:t>
      </w:r>
      <w:r>
        <w:rPr>
          <w:spacing w:val="-44"/>
        </w:rPr>
        <w:t> </w:t>
      </w:r>
      <w:r>
        <w:rPr/>
        <w:t>has</w:t>
      </w:r>
      <w:r>
        <w:rPr>
          <w:spacing w:val="-45"/>
        </w:rPr>
        <w:t> </w:t>
      </w:r>
      <w:r>
        <w:rPr/>
        <w:t>a</w:t>
      </w:r>
      <w:r>
        <w:rPr>
          <w:spacing w:val="-45"/>
        </w:rPr>
        <w:t> </w:t>
      </w:r>
      <w:r>
        <w:rPr/>
        <w:t>70</w:t>
      </w:r>
      <w:r>
        <w:rPr>
          <w:spacing w:val="-45"/>
        </w:rPr>
        <w:t> </w:t>
      </w:r>
      <w:r>
        <w:rPr/>
        <w:t>to</w:t>
      </w:r>
      <w:r>
        <w:rPr>
          <w:spacing w:val="-46"/>
        </w:rPr>
        <w:t> </w:t>
      </w:r>
      <w:r>
        <w:rPr/>
        <w:t>90</w:t>
      </w:r>
      <w:r>
        <w:rPr>
          <w:spacing w:val="-45"/>
        </w:rPr>
        <w:t> </w:t>
      </w:r>
      <w:r>
        <w:rPr/>
        <w:t>%</w:t>
      </w:r>
      <w:r>
        <w:rPr>
          <w:spacing w:val="-45"/>
        </w:rPr>
        <w:t> </w:t>
      </w:r>
      <w:r>
        <w:rPr/>
        <w:t>success</w:t>
      </w:r>
      <w:r>
        <w:rPr>
          <w:spacing w:val="-45"/>
        </w:rPr>
        <w:t> </w:t>
      </w:r>
      <w:r>
        <w:rPr/>
        <w:t>rate</w:t>
      </w:r>
      <w:r>
        <w:rPr>
          <w:spacing w:val="-45"/>
        </w:rPr>
        <w:t> </w:t>
      </w:r>
      <w:r>
        <w:rPr/>
        <w:t>in</w:t>
      </w:r>
      <w:r>
        <w:rPr>
          <w:spacing w:val="-45"/>
        </w:rPr>
        <w:t> </w:t>
      </w:r>
      <w:r>
        <w:rPr/>
        <w:t>treating</w:t>
      </w:r>
      <w:r>
        <w:rPr>
          <w:spacing w:val="-45"/>
        </w:rPr>
        <w:t> </w:t>
      </w:r>
      <w:r>
        <w:rPr/>
        <w:t>phlebitis</w:t>
      </w:r>
    </w:p>
    <w:p>
      <w:pPr>
        <w:spacing w:after="0"/>
        <w:sectPr>
          <w:pgSz w:w="14270" w:h="16850"/>
          <w:pgMar w:header="0" w:footer="1891" w:top="1600" w:bottom="2080" w:left="800" w:right="1280"/>
        </w:sectPr>
      </w:pPr>
    </w:p>
    <w:p>
      <w:pPr>
        <w:pStyle w:val="BodyText"/>
        <w:spacing w:before="181"/>
        <w:ind w:left="477"/>
      </w:pPr>
      <w:r>
        <w:rPr/>
        <w:t>In several studies, gotu kola has achieved a success rate of between 70 and 90</w:t>
      </w:r>
    </w:p>
    <w:p>
      <w:pPr>
        <w:pStyle w:val="BodyText"/>
        <w:spacing w:line="276" w:lineRule="auto" w:before="65"/>
        <w:ind w:left="477" w:right="131"/>
        <w:jc w:val="both"/>
      </w:pPr>
      <w:r>
        <w:rPr/>
        <w:t>%.</w:t>
      </w:r>
      <w:r>
        <w:rPr>
          <w:spacing w:val="-10"/>
        </w:rPr>
        <w:t> </w:t>
      </w:r>
      <w:r>
        <w:rPr/>
        <w:t>A</w:t>
      </w:r>
      <w:r>
        <w:rPr>
          <w:spacing w:val="-12"/>
        </w:rPr>
        <w:t> </w:t>
      </w:r>
      <w:r>
        <w:rPr/>
        <w:t>study</w:t>
      </w:r>
      <w:r>
        <w:rPr>
          <w:spacing w:val="-11"/>
        </w:rPr>
        <w:t> </w:t>
      </w:r>
      <w:r>
        <w:rPr/>
        <w:t>on</w:t>
      </w:r>
      <w:r>
        <w:rPr>
          <w:spacing w:val="-10"/>
        </w:rPr>
        <w:t> </w:t>
      </w:r>
      <w:r>
        <w:rPr/>
        <w:t>125</w:t>
      </w:r>
      <w:r>
        <w:rPr>
          <w:spacing w:val="-9"/>
        </w:rPr>
        <w:t> </w:t>
      </w:r>
      <w:r>
        <w:rPr/>
        <w:t>patients</w:t>
      </w:r>
      <w:r>
        <w:rPr>
          <w:spacing w:val="-10"/>
        </w:rPr>
        <w:t> </w:t>
      </w:r>
      <w:r>
        <w:rPr/>
        <w:t>with</w:t>
      </w:r>
      <w:r>
        <w:rPr>
          <w:spacing w:val="-11"/>
        </w:rPr>
        <w:t> </w:t>
      </w:r>
      <w:r>
        <w:rPr/>
        <w:t>phlebitis</w:t>
      </w:r>
      <w:r>
        <w:rPr>
          <w:spacing w:val="-9"/>
        </w:rPr>
        <w:t> </w:t>
      </w:r>
      <w:r>
        <w:rPr/>
        <w:t>and</w:t>
      </w:r>
      <w:r>
        <w:rPr>
          <w:spacing w:val="-10"/>
        </w:rPr>
        <w:t> </w:t>
      </w:r>
      <w:r>
        <w:rPr/>
        <w:t>brittle</w:t>
      </w:r>
      <w:r>
        <w:rPr>
          <w:spacing w:val="-11"/>
        </w:rPr>
        <w:t> </w:t>
      </w:r>
      <w:r>
        <w:rPr/>
        <w:t>capillaries</w:t>
      </w:r>
      <w:r>
        <w:rPr>
          <w:spacing w:val="-9"/>
        </w:rPr>
        <w:t> </w:t>
      </w:r>
      <w:r>
        <w:rPr/>
        <w:t>achieved</w:t>
      </w:r>
      <w:r>
        <w:rPr>
          <w:spacing w:val="-10"/>
        </w:rPr>
        <w:t> </w:t>
      </w:r>
      <w:r>
        <w:rPr/>
        <w:t>a</w:t>
      </w:r>
      <w:r>
        <w:rPr>
          <w:spacing w:val="-10"/>
        </w:rPr>
        <w:t> </w:t>
      </w:r>
      <w:r>
        <w:rPr/>
        <w:t>90</w:t>
      </w:r>
      <w:r>
        <w:rPr>
          <w:spacing w:val="-7"/>
        </w:rPr>
        <w:t> </w:t>
      </w:r>
      <w:r>
        <w:rPr/>
        <w:t>% success</w:t>
      </w:r>
      <w:r>
        <w:rPr>
          <w:spacing w:val="-5"/>
        </w:rPr>
        <w:t> </w:t>
      </w:r>
      <w:r>
        <w:rPr/>
        <w:t>rate</w:t>
      </w:r>
      <w:r>
        <w:rPr>
          <w:spacing w:val="-6"/>
        </w:rPr>
        <w:t> </w:t>
      </w:r>
      <w:r>
        <w:rPr/>
        <w:t>using</w:t>
      </w:r>
      <w:r>
        <w:rPr>
          <w:spacing w:val="-5"/>
        </w:rPr>
        <w:t> </w:t>
      </w:r>
      <w:r>
        <w:rPr/>
        <w:t>gotu</w:t>
      </w:r>
      <w:r>
        <w:rPr>
          <w:spacing w:val="-7"/>
        </w:rPr>
        <w:t> </w:t>
      </w:r>
      <w:r>
        <w:rPr/>
        <w:t>kola,</w:t>
      </w:r>
      <w:r>
        <w:rPr>
          <w:spacing w:val="-4"/>
        </w:rPr>
        <w:t> </w:t>
      </w:r>
      <w:r>
        <w:rPr/>
        <w:t>as</w:t>
      </w:r>
      <w:r>
        <w:rPr>
          <w:spacing w:val="-6"/>
        </w:rPr>
        <w:t> </w:t>
      </w:r>
      <w:r>
        <w:rPr/>
        <w:t>published</w:t>
      </w:r>
      <w:r>
        <w:rPr>
          <w:spacing w:val="-6"/>
        </w:rPr>
        <w:t> </w:t>
      </w:r>
      <w:r>
        <w:rPr/>
        <w:t>by</w:t>
      </w:r>
      <w:r>
        <w:rPr>
          <w:spacing w:val="-5"/>
        </w:rPr>
        <w:t> </w:t>
      </w:r>
      <w:r>
        <w:rPr/>
        <w:t>the</w:t>
      </w:r>
      <w:r>
        <w:rPr>
          <w:spacing w:val="-6"/>
        </w:rPr>
        <w:t> </w:t>
      </w:r>
      <w:r>
        <w:rPr/>
        <w:t>Gazette</w:t>
      </w:r>
      <w:r>
        <w:rPr>
          <w:spacing w:val="-5"/>
        </w:rPr>
        <w:t> </w:t>
      </w:r>
      <w:r>
        <w:rPr/>
        <w:t>Medicale</w:t>
      </w:r>
      <w:r>
        <w:rPr>
          <w:spacing w:val="-6"/>
        </w:rPr>
        <w:t> </w:t>
      </w:r>
      <w:r>
        <w:rPr/>
        <w:t>de</w:t>
      </w:r>
      <w:r>
        <w:rPr>
          <w:spacing w:val="-6"/>
        </w:rPr>
        <w:t> </w:t>
      </w:r>
      <w:r>
        <w:rPr/>
        <w:t>France</w:t>
      </w:r>
      <w:r>
        <w:rPr>
          <w:spacing w:val="-5"/>
        </w:rPr>
        <w:t> </w:t>
      </w:r>
      <w:r>
        <w:rPr/>
        <w:t>in 1971.</w:t>
      </w:r>
    </w:p>
    <w:p>
      <w:pPr>
        <w:pStyle w:val="Heading1"/>
      </w:pPr>
      <w:r>
        <w:rPr/>
        <w:t>Gotu kola has positive effects on</w:t>
      </w:r>
      <w:r>
        <w:rPr>
          <w:spacing w:val="-62"/>
        </w:rPr>
        <w:t> </w:t>
      </w:r>
      <w:r>
        <w:rPr/>
        <w:t>memory</w:t>
      </w:r>
    </w:p>
    <w:p>
      <w:pPr>
        <w:pStyle w:val="BodyText"/>
        <w:spacing w:before="297"/>
        <w:ind w:left="477"/>
      </w:pPr>
      <w:r>
        <w:rPr/>
        <w:t>Gotu kola has shown a positive effect on the memory in studies.</w:t>
      </w:r>
    </w:p>
    <w:p>
      <w:pPr>
        <w:pStyle w:val="Heading1"/>
        <w:spacing w:before="287"/>
      </w:pPr>
      <w:r>
        <w:rPr/>
        <w:t>Gotu kola successful in studies against arthrosis</w:t>
      </w:r>
    </w:p>
    <w:p>
      <w:pPr>
        <w:pStyle w:val="BodyText"/>
        <w:spacing w:line="276" w:lineRule="auto" w:before="300"/>
        <w:ind w:left="477" w:right="136"/>
        <w:rPr>
          <w:sz w:val="25"/>
        </w:rPr>
      </w:pPr>
      <w:r>
        <w:rPr/>
        <w:t>In vitro and in vivo cartilage degradation has been prevented by a standardised centella asiatica fraction. </w:t>
      </w:r>
      <w:r>
        <w:rPr>
          <w:position w:val="9"/>
          <w:sz w:val="25"/>
        </w:rPr>
        <w:t>342</w:t>
      </w:r>
    </w:p>
    <w:p>
      <w:pPr>
        <w:pStyle w:val="Heading2"/>
        <w:spacing w:before="240"/>
      </w:pPr>
      <w:r>
        <w:rPr/>
        <w:t>Use of gotu kola</w:t>
      </w:r>
    </w:p>
    <w:p>
      <w:pPr>
        <w:pStyle w:val="BodyText"/>
        <w:spacing w:line="276" w:lineRule="auto" w:before="305"/>
        <w:ind w:left="477"/>
      </w:pPr>
      <w:r>
        <w:rPr/>
        <w:t>Gotu kola can be used both internally and externally. Corresponding products can be found in the form of:</w:t>
      </w:r>
    </w:p>
    <w:p>
      <w:pPr>
        <w:pStyle w:val="ListParagraph"/>
        <w:numPr>
          <w:ilvl w:val="0"/>
          <w:numId w:val="32"/>
        </w:numPr>
        <w:tabs>
          <w:tab w:pos="691" w:val="left" w:leader="none"/>
        </w:tabs>
        <w:spacing w:line="240" w:lineRule="auto" w:before="239" w:after="0"/>
        <w:ind w:left="690" w:right="0" w:hanging="213"/>
        <w:jc w:val="left"/>
        <w:rPr>
          <w:sz w:val="38"/>
        </w:rPr>
      </w:pPr>
      <w:r>
        <w:rPr>
          <w:sz w:val="38"/>
        </w:rPr>
        <w:t>teas</w:t>
      </w:r>
    </w:p>
    <w:p>
      <w:pPr>
        <w:pStyle w:val="ListParagraph"/>
        <w:numPr>
          <w:ilvl w:val="0"/>
          <w:numId w:val="32"/>
        </w:numPr>
        <w:tabs>
          <w:tab w:pos="691" w:val="left" w:leader="none"/>
        </w:tabs>
        <w:spacing w:line="240" w:lineRule="auto" w:before="184" w:after="0"/>
        <w:ind w:left="690" w:right="0" w:hanging="213"/>
        <w:jc w:val="left"/>
        <w:rPr>
          <w:sz w:val="38"/>
        </w:rPr>
      </w:pPr>
      <w:r>
        <w:rPr>
          <w:sz w:val="38"/>
        </w:rPr>
        <w:t>dried herbs</w:t>
      </w:r>
    </w:p>
    <w:p>
      <w:pPr>
        <w:pStyle w:val="ListParagraph"/>
        <w:numPr>
          <w:ilvl w:val="0"/>
          <w:numId w:val="32"/>
        </w:numPr>
        <w:tabs>
          <w:tab w:pos="691" w:val="left" w:leader="none"/>
        </w:tabs>
        <w:spacing w:line="240" w:lineRule="auto" w:before="185" w:after="0"/>
        <w:ind w:left="690" w:right="0" w:hanging="213"/>
        <w:jc w:val="left"/>
        <w:rPr>
          <w:sz w:val="38"/>
        </w:rPr>
      </w:pPr>
      <w:r>
        <w:rPr>
          <w:sz w:val="38"/>
        </w:rPr>
        <w:t>tinctures</w:t>
      </w:r>
    </w:p>
    <w:p>
      <w:pPr>
        <w:pStyle w:val="ListParagraph"/>
        <w:numPr>
          <w:ilvl w:val="0"/>
          <w:numId w:val="32"/>
        </w:numPr>
        <w:tabs>
          <w:tab w:pos="691" w:val="left" w:leader="none"/>
        </w:tabs>
        <w:spacing w:line="240" w:lineRule="auto" w:before="184" w:after="0"/>
        <w:ind w:left="690" w:right="0" w:hanging="213"/>
        <w:jc w:val="left"/>
        <w:rPr>
          <w:sz w:val="38"/>
        </w:rPr>
      </w:pPr>
      <w:r>
        <w:rPr>
          <w:sz w:val="38"/>
        </w:rPr>
        <w:t>capsules</w:t>
      </w:r>
    </w:p>
    <w:p>
      <w:pPr>
        <w:pStyle w:val="ListParagraph"/>
        <w:numPr>
          <w:ilvl w:val="0"/>
          <w:numId w:val="32"/>
        </w:numPr>
        <w:tabs>
          <w:tab w:pos="691" w:val="left" w:leader="none"/>
        </w:tabs>
        <w:spacing w:line="240" w:lineRule="auto" w:before="185" w:after="0"/>
        <w:ind w:left="690" w:right="0" w:hanging="213"/>
        <w:jc w:val="left"/>
        <w:rPr>
          <w:sz w:val="38"/>
        </w:rPr>
      </w:pPr>
      <w:r>
        <w:rPr>
          <w:sz w:val="38"/>
        </w:rPr>
        <w:t>tablets and</w:t>
      </w:r>
    </w:p>
    <w:p>
      <w:pPr>
        <w:pStyle w:val="BodyText"/>
        <w:rPr>
          <w:sz w:val="20"/>
        </w:rPr>
      </w:pPr>
    </w:p>
    <w:p>
      <w:pPr>
        <w:pStyle w:val="BodyText"/>
        <w:rPr>
          <w:sz w:val="20"/>
        </w:rPr>
      </w:pPr>
    </w:p>
    <w:p>
      <w:pPr>
        <w:pStyle w:val="BodyText"/>
        <w:spacing w:before="9"/>
        <w:rPr>
          <w:sz w:val="20"/>
        </w:rPr>
      </w:pPr>
      <w:r>
        <w:rPr/>
        <w:pict>
          <v:line style="position:absolute;mso-position-horizontal-relative:page;mso-position-vertical-relative:paragraph;z-index:3944;mso-wrap-distance-left:0;mso-wrap-distance-right:0" from="63.863998pt,14.051265pt" to="207.883998pt,14.051265pt" stroked="true" strokeweight=".71997pt" strokecolor="#000000">
            <v:stroke dashstyle="solid"/>
            <w10:wrap type="topAndBottom"/>
          </v:line>
        </w:pict>
      </w:r>
    </w:p>
    <w:p>
      <w:pPr>
        <w:pStyle w:val="BodyText"/>
        <w:spacing w:before="8"/>
        <w:rPr>
          <w:sz w:val="20"/>
        </w:rPr>
      </w:pPr>
    </w:p>
    <w:p>
      <w:pPr>
        <w:spacing w:before="71"/>
        <w:ind w:left="477" w:right="0" w:firstLine="0"/>
        <w:jc w:val="left"/>
        <w:rPr>
          <w:rFonts w:ascii="Calibri"/>
          <w:sz w:val="20"/>
        </w:rPr>
      </w:pPr>
      <w:r>
        <w:rPr>
          <w:rFonts w:ascii="Calibri"/>
          <w:position w:val="8"/>
          <w:sz w:val="14"/>
        </w:rPr>
        <w:t>342 </w:t>
      </w:r>
      <w:r>
        <w:rPr>
          <w:rFonts w:ascii="Calibri"/>
          <w:sz w:val="20"/>
        </w:rPr>
        <w:t>Exp Biol. Med. (Maywood)</w:t>
      </w:r>
    </w:p>
    <w:p>
      <w:pPr>
        <w:spacing w:after="0"/>
        <w:jc w:val="left"/>
        <w:rPr>
          <w:rFonts w:ascii="Calibri"/>
          <w:sz w:val="20"/>
        </w:rPr>
        <w:sectPr>
          <w:pgSz w:w="14270" w:h="16850"/>
          <w:pgMar w:header="0" w:footer="1891" w:top="1600" w:bottom="2080" w:left="800" w:right="1280"/>
        </w:sectPr>
      </w:pPr>
    </w:p>
    <w:p>
      <w:pPr>
        <w:pStyle w:val="ListParagraph"/>
        <w:numPr>
          <w:ilvl w:val="0"/>
          <w:numId w:val="32"/>
        </w:numPr>
        <w:tabs>
          <w:tab w:pos="691" w:val="left" w:leader="none"/>
        </w:tabs>
        <w:spacing w:line="240" w:lineRule="auto" w:before="181" w:after="0"/>
        <w:ind w:left="690" w:right="0" w:hanging="213"/>
        <w:jc w:val="left"/>
        <w:rPr>
          <w:sz w:val="38"/>
        </w:rPr>
      </w:pPr>
      <w:r>
        <w:rPr>
          <w:sz w:val="38"/>
        </w:rPr>
        <w:t>ointments</w:t>
      </w:r>
    </w:p>
    <w:p>
      <w:pPr>
        <w:pStyle w:val="BodyText"/>
        <w:spacing w:line="276" w:lineRule="auto" w:before="305"/>
        <w:ind w:left="477"/>
      </w:pPr>
      <w:r>
        <w:rPr/>
        <w:t>in dried form, the leaves are wonderful for infusing a healthy tea; fresh leaves can be incorporated into a salad.</w:t>
      </w:r>
    </w:p>
    <w:p>
      <w:pPr>
        <w:pStyle w:val="Heading1"/>
        <w:spacing w:before="223"/>
      </w:pPr>
      <w:r>
        <w:rPr/>
        <w:t>Infusion of gotu kola herbal tea</w:t>
      </w:r>
    </w:p>
    <w:p>
      <w:pPr>
        <w:pStyle w:val="BodyText"/>
        <w:spacing w:line="276" w:lineRule="auto" w:before="300"/>
        <w:ind w:left="477"/>
      </w:pPr>
      <w:r>
        <w:rPr/>
        <w:t>To</w:t>
      </w:r>
      <w:r>
        <w:rPr>
          <w:spacing w:val="-11"/>
        </w:rPr>
        <w:t> </w:t>
      </w:r>
      <w:r>
        <w:rPr/>
        <w:t>maintain</w:t>
      </w:r>
      <w:r>
        <w:rPr>
          <w:spacing w:val="-12"/>
        </w:rPr>
        <w:t> </w:t>
      </w:r>
      <w:r>
        <w:rPr/>
        <w:t>the</w:t>
      </w:r>
      <w:r>
        <w:rPr>
          <w:spacing w:val="-10"/>
        </w:rPr>
        <w:t> </w:t>
      </w:r>
      <w:r>
        <w:rPr/>
        <w:t>optimal</w:t>
      </w:r>
      <w:r>
        <w:rPr>
          <w:spacing w:val="-13"/>
        </w:rPr>
        <w:t> </w:t>
      </w:r>
      <w:r>
        <w:rPr/>
        <w:t>antioxidant</w:t>
      </w:r>
      <w:r>
        <w:rPr>
          <w:spacing w:val="-11"/>
        </w:rPr>
        <w:t> </w:t>
      </w:r>
      <w:r>
        <w:rPr/>
        <w:t>effect</w:t>
      </w:r>
      <w:r>
        <w:rPr>
          <w:spacing w:val="-11"/>
        </w:rPr>
        <w:t> </w:t>
      </w:r>
      <w:r>
        <w:rPr/>
        <w:t>of</w:t>
      </w:r>
      <w:r>
        <w:rPr>
          <w:spacing w:val="-11"/>
        </w:rPr>
        <w:t> </w:t>
      </w:r>
      <w:r>
        <w:rPr/>
        <w:t>the</w:t>
      </w:r>
      <w:r>
        <w:rPr>
          <w:spacing w:val="-12"/>
        </w:rPr>
        <w:t> </w:t>
      </w:r>
      <w:r>
        <w:rPr/>
        <w:t>tea,</w:t>
      </w:r>
      <w:r>
        <w:rPr>
          <w:spacing w:val="-11"/>
        </w:rPr>
        <w:t> </w:t>
      </w:r>
      <w:r>
        <w:rPr/>
        <w:t>it</w:t>
      </w:r>
      <w:r>
        <w:rPr>
          <w:spacing w:val="-12"/>
        </w:rPr>
        <w:t> </w:t>
      </w:r>
      <w:r>
        <w:rPr/>
        <w:t>is</w:t>
      </w:r>
      <w:r>
        <w:rPr>
          <w:spacing w:val="-12"/>
        </w:rPr>
        <w:t> </w:t>
      </w:r>
      <w:r>
        <w:rPr/>
        <w:t>recommended</w:t>
      </w:r>
      <w:r>
        <w:rPr>
          <w:spacing w:val="-12"/>
        </w:rPr>
        <w:t> </w:t>
      </w:r>
      <w:r>
        <w:rPr/>
        <w:t>to</w:t>
      </w:r>
      <w:r>
        <w:rPr>
          <w:spacing w:val="-10"/>
        </w:rPr>
        <w:t> </w:t>
      </w:r>
      <w:r>
        <w:rPr/>
        <w:t>boil the herbs for 10 minutes at 100</w:t>
      </w:r>
      <w:r>
        <w:rPr>
          <w:spacing w:val="-2"/>
        </w:rPr>
        <w:t> </w:t>
      </w:r>
      <w:r>
        <w:rPr/>
        <w:t>°C.</w:t>
      </w:r>
    </w:p>
    <w:p>
      <w:pPr>
        <w:pStyle w:val="Heading1"/>
        <w:spacing w:before="221"/>
      </w:pPr>
      <w:r>
        <w:rPr/>
        <w:t>Dosage</w:t>
      </w:r>
    </w:p>
    <w:p>
      <w:pPr>
        <w:pStyle w:val="BodyText"/>
        <w:spacing w:line="276" w:lineRule="auto" w:before="300"/>
        <w:ind w:left="477"/>
      </w:pPr>
      <w:r>
        <w:rPr/>
        <w:t>Within</w:t>
      </w:r>
      <w:r>
        <w:rPr>
          <w:spacing w:val="-19"/>
        </w:rPr>
        <w:t> </w:t>
      </w:r>
      <w:r>
        <w:rPr/>
        <w:t>the</w:t>
      </w:r>
      <w:r>
        <w:rPr>
          <w:spacing w:val="-17"/>
        </w:rPr>
        <w:t> </w:t>
      </w:r>
      <w:r>
        <w:rPr/>
        <w:t>ayurvedic</w:t>
      </w:r>
      <w:r>
        <w:rPr>
          <w:spacing w:val="-19"/>
        </w:rPr>
        <w:t> </w:t>
      </w:r>
      <w:r>
        <w:rPr/>
        <w:t>treatment,</w:t>
      </w:r>
      <w:r>
        <w:rPr>
          <w:spacing w:val="-17"/>
        </w:rPr>
        <w:t> </w:t>
      </w:r>
      <w:r>
        <w:rPr/>
        <w:t>a</w:t>
      </w:r>
      <w:r>
        <w:rPr>
          <w:spacing w:val="-20"/>
        </w:rPr>
        <w:t> </w:t>
      </w:r>
      <w:r>
        <w:rPr/>
        <w:t>maximum</w:t>
      </w:r>
      <w:r>
        <w:rPr>
          <w:spacing w:val="-19"/>
        </w:rPr>
        <w:t> </w:t>
      </w:r>
      <w:r>
        <w:rPr/>
        <w:t>of</w:t>
      </w:r>
      <w:r>
        <w:rPr>
          <w:spacing w:val="-19"/>
        </w:rPr>
        <w:t> </w:t>
      </w:r>
      <w:r>
        <w:rPr/>
        <w:t>two</w:t>
      </w:r>
      <w:r>
        <w:rPr>
          <w:spacing w:val="-17"/>
        </w:rPr>
        <w:t> </w:t>
      </w:r>
      <w:r>
        <w:rPr/>
        <w:t>cups</w:t>
      </w:r>
      <w:r>
        <w:rPr>
          <w:spacing w:val="-18"/>
        </w:rPr>
        <w:t> </w:t>
      </w:r>
      <w:r>
        <w:rPr/>
        <w:t>or</w:t>
      </w:r>
      <w:r>
        <w:rPr>
          <w:spacing w:val="-17"/>
        </w:rPr>
        <w:t> </w:t>
      </w:r>
      <w:r>
        <w:rPr/>
        <w:t>2-3</w:t>
      </w:r>
      <w:r>
        <w:rPr>
          <w:spacing w:val="-19"/>
        </w:rPr>
        <w:t> </w:t>
      </w:r>
      <w:r>
        <w:rPr/>
        <w:t>g</w:t>
      </w:r>
      <w:r>
        <w:rPr>
          <w:spacing w:val="-18"/>
        </w:rPr>
        <w:t> </w:t>
      </w:r>
      <w:r>
        <w:rPr/>
        <w:t>powder</w:t>
      </w:r>
      <w:r>
        <w:rPr>
          <w:spacing w:val="-17"/>
        </w:rPr>
        <w:t> </w:t>
      </w:r>
      <w:r>
        <w:rPr/>
        <w:t>mixed in fruit juices, or 2 x 30 drops of the extract, is taken per</w:t>
      </w:r>
      <w:r>
        <w:rPr>
          <w:spacing w:val="1"/>
        </w:rPr>
        <w:t> </w:t>
      </w:r>
      <w:r>
        <w:rPr/>
        <w:t>day.</w:t>
      </w:r>
    </w:p>
    <w:p>
      <w:pPr>
        <w:pStyle w:val="Heading2"/>
        <w:spacing w:before="240"/>
      </w:pPr>
      <w:r>
        <w:rPr/>
        <w:t>Should you expect side effects when taking gotu kola?</w:t>
      </w:r>
    </w:p>
    <w:p>
      <w:pPr>
        <w:pStyle w:val="BodyText"/>
        <w:spacing w:line="276" w:lineRule="auto" w:before="305"/>
        <w:ind w:left="477"/>
      </w:pPr>
      <w:r>
        <w:rPr/>
        <w:t>Gotu kola is fundamentally safe. At higher doses, it may occasionally cause headache, stomach upset, nausea, dizziness, and increase pre-existing itching.</w:t>
      </w:r>
    </w:p>
    <w:p>
      <w:pPr>
        <w:pStyle w:val="BodyText"/>
        <w:spacing w:before="239"/>
        <w:ind w:left="477"/>
      </w:pPr>
      <w:r>
        <w:rPr/>
        <w:t>Overdose may cause extreme drowsiness or loss of consciousness.</w:t>
      </w:r>
    </w:p>
    <w:p>
      <w:pPr>
        <w:spacing w:after="0"/>
        <w:sectPr>
          <w:pgSz w:w="14270" w:h="16850"/>
          <w:pgMar w:header="0" w:footer="1891" w:top="1600" w:bottom="2080" w:left="800" w:right="1280"/>
        </w:sectPr>
      </w:pPr>
    </w:p>
    <w:p>
      <w:pPr>
        <w:spacing w:before="183"/>
        <w:ind w:left="477" w:right="0" w:firstLine="0"/>
        <w:jc w:val="both"/>
        <w:rPr>
          <w:rFonts w:ascii="Cambria"/>
          <w:b/>
          <w:sz w:val="28"/>
        </w:rPr>
      </w:pPr>
      <w:r>
        <w:rPr>
          <w:rFonts w:ascii="Cambria"/>
          <w:b/>
          <w:color w:val="365F91"/>
          <w:sz w:val="28"/>
        </w:rPr>
        <w:t>POMEGRANATE</w:t>
      </w:r>
    </w:p>
    <w:p>
      <w:pPr>
        <w:pStyle w:val="BodyText"/>
        <w:spacing w:before="5"/>
        <w:rPr>
          <w:rFonts w:ascii="Cambria"/>
          <w:b/>
          <w:sz w:val="43"/>
        </w:rPr>
      </w:pPr>
    </w:p>
    <w:p>
      <w:pPr>
        <w:pStyle w:val="Heading1"/>
        <w:spacing w:before="1"/>
        <w:jc w:val="both"/>
      </w:pPr>
      <w:r>
        <w:rPr/>
        <w:t>A miracle fruit?</w:t>
      </w:r>
    </w:p>
    <w:p>
      <w:pPr>
        <w:pStyle w:val="BodyText"/>
        <w:spacing w:line="276" w:lineRule="auto" w:before="299"/>
        <w:ind w:left="477" w:right="131"/>
        <w:jc w:val="both"/>
      </w:pPr>
      <w:r>
        <w:rPr/>
        <w:t>The industry makes some very grandiose promises! They claim that pomegran- ate can stop the ageing process, normalise blood pressure, fight cancer, coun- teract digestive problems and strengthen libido and virility.</w:t>
      </w:r>
    </w:p>
    <w:p>
      <w:pPr>
        <w:pStyle w:val="BodyText"/>
        <w:spacing w:line="276" w:lineRule="auto" w:before="242"/>
        <w:ind w:left="477" w:right="132"/>
        <w:jc w:val="both"/>
      </w:pPr>
      <w:r>
        <w:rPr/>
        <w:t>And</w:t>
      </w:r>
      <w:r>
        <w:rPr>
          <w:spacing w:val="-5"/>
        </w:rPr>
        <w:t> </w:t>
      </w:r>
      <w:r>
        <w:rPr/>
        <w:t>that's</w:t>
      </w:r>
      <w:r>
        <w:rPr>
          <w:spacing w:val="-6"/>
        </w:rPr>
        <w:t> </w:t>
      </w:r>
      <w:r>
        <w:rPr/>
        <w:t>not</w:t>
      </w:r>
      <w:r>
        <w:rPr>
          <w:spacing w:val="-5"/>
        </w:rPr>
        <w:t> </w:t>
      </w:r>
      <w:r>
        <w:rPr/>
        <w:t>all:</w:t>
      </w:r>
      <w:r>
        <w:rPr>
          <w:spacing w:val="-5"/>
        </w:rPr>
        <w:t> </w:t>
      </w:r>
      <w:r>
        <w:rPr/>
        <w:t>it</w:t>
      </w:r>
      <w:r>
        <w:rPr>
          <w:spacing w:val="-5"/>
        </w:rPr>
        <w:t> </w:t>
      </w:r>
      <w:r>
        <w:rPr/>
        <w:t>is</w:t>
      </w:r>
      <w:r>
        <w:rPr>
          <w:spacing w:val="-9"/>
        </w:rPr>
        <w:t> </w:t>
      </w:r>
      <w:r>
        <w:rPr/>
        <w:t>said</w:t>
      </w:r>
      <w:r>
        <w:rPr>
          <w:spacing w:val="-5"/>
        </w:rPr>
        <w:t> </w:t>
      </w:r>
      <w:r>
        <w:rPr/>
        <w:t>to</w:t>
      </w:r>
      <w:r>
        <w:rPr>
          <w:spacing w:val="-7"/>
        </w:rPr>
        <w:t> </w:t>
      </w:r>
      <w:r>
        <w:rPr/>
        <w:t>defy</w:t>
      </w:r>
      <w:r>
        <w:rPr>
          <w:spacing w:val="-4"/>
        </w:rPr>
        <w:t> </w:t>
      </w:r>
      <w:r>
        <w:rPr/>
        <w:t>cardiovascular</w:t>
      </w:r>
      <w:r>
        <w:rPr>
          <w:spacing w:val="-4"/>
        </w:rPr>
        <w:t> </w:t>
      </w:r>
      <w:r>
        <w:rPr/>
        <w:t>diseases</w:t>
      </w:r>
      <w:r>
        <w:rPr>
          <w:spacing w:val="-5"/>
        </w:rPr>
        <w:t> </w:t>
      </w:r>
      <w:r>
        <w:rPr/>
        <w:t>and</w:t>
      </w:r>
      <w:r>
        <w:rPr>
          <w:spacing w:val="-7"/>
        </w:rPr>
        <w:t> </w:t>
      </w:r>
      <w:r>
        <w:rPr/>
        <w:t>help</w:t>
      </w:r>
      <w:r>
        <w:rPr>
          <w:spacing w:val="-4"/>
        </w:rPr>
        <w:t> </w:t>
      </w:r>
      <w:r>
        <w:rPr/>
        <w:t>fight</w:t>
      </w:r>
      <w:r>
        <w:rPr>
          <w:spacing w:val="-7"/>
        </w:rPr>
        <w:t> </w:t>
      </w:r>
      <w:r>
        <w:rPr/>
        <w:t>arthri- tis, Alzheimer's and dementia, to name just a few of pomegranate's many ben- efits...</w:t>
      </w:r>
    </w:p>
    <w:p>
      <w:pPr>
        <w:pStyle w:val="BodyText"/>
        <w:spacing w:line="276" w:lineRule="auto" w:before="238"/>
        <w:ind w:left="477" w:right="132"/>
        <w:jc w:val="both"/>
      </w:pPr>
      <w:r>
        <w:rPr/>
        <w:t>Mother Nature endowed pomegranate, nicknamed the ‘paradise apple’, with numerous</w:t>
      </w:r>
      <w:r>
        <w:rPr>
          <w:spacing w:val="-10"/>
        </w:rPr>
        <w:t> </w:t>
      </w:r>
      <w:r>
        <w:rPr/>
        <w:t>nutrients,</w:t>
      </w:r>
      <w:r>
        <w:rPr>
          <w:spacing w:val="-10"/>
        </w:rPr>
        <w:t> </w:t>
      </w:r>
      <w:r>
        <w:rPr/>
        <w:t>such</w:t>
      </w:r>
      <w:r>
        <w:rPr>
          <w:spacing w:val="-9"/>
        </w:rPr>
        <w:t> </w:t>
      </w:r>
      <w:r>
        <w:rPr/>
        <w:t>as</w:t>
      </w:r>
      <w:r>
        <w:rPr>
          <w:spacing w:val="-11"/>
        </w:rPr>
        <w:t> </w:t>
      </w:r>
      <w:r>
        <w:rPr/>
        <w:t>vitamins,</w:t>
      </w:r>
      <w:r>
        <w:rPr>
          <w:spacing w:val="-8"/>
        </w:rPr>
        <w:t> </w:t>
      </w:r>
      <w:r>
        <w:rPr/>
        <w:t>minerals,</w:t>
      </w:r>
      <w:r>
        <w:rPr>
          <w:spacing w:val="-11"/>
        </w:rPr>
        <w:t> </w:t>
      </w:r>
      <w:r>
        <w:rPr/>
        <w:t>trace</w:t>
      </w:r>
      <w:r>
        <w:rPr>
          <w:spacing w:val="-9"/>
        </w:rPr>
        <w:t> </w:t>
      </w:r>
      <w:r>
        <w:rPr/>
        <w:t>elements,</w:t>
      </w:r>
      <w:r>
        <w:rPr>
          <w:spacing w:val="-10"/>
        </w:rPr>
        <w:t> </w:t>
      </w:r>
      <w:r>
        <w:rPr/>
        <w:t>phytochemicals and fatty acids – bio-active substances which should justify these benefits with one feature or another that is worthy of note for our health and</w:t>
      </w:r>
      <w:r>
        <w:rPr>
          <w:spacing w:val="-19"/>
        </w:rPr>
        <w:t> </w:t>
      </w:r>
      <w:r>
        <w:rPr/>
        <w:t>well-being.</w:t>
      </w:r>
    </w:p>
    <w:p>
      <w:pPr>
        <w:pStyle w:val="BodyText"/>
        <w:spacing w:line="276" w:lineRule="auto" w:before="242"/>
        <w:ind w:left="477" w:right="132"/>
        <w:jc w:val="both"/>
      </w:pPr>
      <w:r>
        <w:rPr/>
        <w:t>For</w:t>
      </w:r>
      <w:r>
        <w:rPr>
          <w:spacing w:val="-11"/>
        </w:rPr>
        <w:t> </w:t>
      </w:r>
      <w:r>
        <w:rPr/>
        <w:t>example,</w:t>
      </w:r>
      <w:r>
        <w:rPr>
          <w:spacing w:val="-12"/>
        </w:rPr>
        <w:t> </w:t>
      </w:r>
      <w:r>
        <w:rPr/>
        <w:t>because</w:t>
      </w:r>
      <w:r>
        <w:rPr>
          <w:spacing w:val="-13"/>
        </w:rPr>
        <w:t> </w:t>
      </w:r>
      <w:r>
        <w:rPr/>
        <w:t>of</w:t>
      </w:r>
      <w:r>
        <w:rPr>
          <w:spacing w:val="-11"/>
        </w:rPr>
        <w:t> </w:t>
      </w:r>
      <w:r>
        <w:rPr/>
        <w:t>their</w:t>
      </w:r>
      <w:r>
        <w:rPr>
          <w:spacing w:val="-14"/>
        </w:rPr>
        <w:t> </w:t>
      </w:r>
      <w:r>
        <w:rPr/>
        <w:t>unique</w:t>
      </w:r>
      <w:r>
        <w:rPr>
          <w:spacing w:val="-14"/>
        </w:rPr>
        <w:t> </w:t>
      </w:r>
      <w:r>
        <w:rPr/>
        <w:t>bioavailability</w:t>
      </w:r>
      <w:r>
        <w:rPr>
          <w:spacing w:val="-12"/>
        </w:rPr>
        <w:t> </w:t>
      </w:r>
      <w:r>
        <w:rPr/>
        <w:t>of</w:t>
      </w:r>
      <w:r>
        <w:rPr>
          <w:spacing w:val="-12"/>
        </w:rPr>
        <w:t> </w:t>
      </w:r>
      <w:r>
        <w:rPr/>
        <w:t>95</w:t>
      </w:r>
      <w:r>
        <w:rPr>
          <w:spacing w:val="-16"/>
        </w:rPr>
        <w:t> </w:t>
      </w:r>
      <w:r>
        <w:rPr/>
        <w:t>%,</w:t>
      </w:r>
      <w:r>
        <w:rPr>
          <w:spacing w:val="-11"/>
        </w:rPr>
        <w:t> </w:t>
      </w:r>
      <w:r>
        <w:rPr/>
        <w:t>the</w:t>
      </w:r>
      <w:r>
        <w:rPr>
          <w:spacing w:val="-14"/>
        </w:rPr>
        <w:t> </w:t>
      </w:r>
      <w:r>
        <w:rPr/>
        <w:t>cell-protecting polyphenols in pomegranate are many times better than those of other medici- nal plants (for example, three times as strong as green tea or red</w:t>
      </w:r>
      <w:r>
        <w:rPr>
          <w:spacing w:val="-17"/>
        </w:rPr>
        <w:t> </w:t>
      </w:r>
      <w:r>
        <w:rPr/>
        <w:t>wine).</w:t>
      </w:r>
    </w:p>
    <w:p>
      <w:pPr>
        <w:pStyle w:val="BodyText"/>
        <w:spacing w:line="276" w:lineRule="auto" w:before="239"/>
        <w:ind w:left="477" w:right="131"/>
        <w:jc w:val="both"/>
      </w:pPr>
      <w:r>
        <w:rPr/>
        <w:t>Associated with eternal youth and fertility for centuries, the ‘apple of Aphro- dite’, as it is also respectfully referred to, is said to ensure a long, healthy, ener- getic life. What do people want more?</w:t>
      </w:r>
    </w:p>
    <w:p>
      <w:pPr>
        <w:pStyle w:val="BodyText"/>
        <w:spacing w:line="276" w:lineRule="auto" w:before="242"/>
        <w:ind w:left="477" w:right="136"/>
        <w:jc w:val="both"/>
      </w:pPr>
      <w:r>
        <w:rPr/>
        <w:t>Pomegranate</w:t>
      </w:r>
      <w:r>
        <w:rPr>
          <w:spacing w:val="-11"/>
        </w:rPr>
        <w:t> </w:t>
      </w:r>
      <w:r>
        <w:rPr/>
        <w:t>has</w:t>
      </w:r>
      <w:r>
        <w:rPr>
          <w:spacing w:val="-9"/>
        </w:rPr>
        <w:t> </w:t>
      </w:r>
      <w:r>
        <w:rPr/>
        <w:t>the</w:t>
      </w:r>
      <w:r>
        <w:rPr>
          <w:spacing w:val="-9"/>
        </w:rPr>
        <w:t> </w:t>
      </w:r>
      <w:r>
        <w:rPr/>
        <w:t>weight</w:t>
      </w:r>
      <w:r>
        <w:rPr>
          <w:spacing w:val="-9"/>
        </w:rPr>
        <w:t> </w:t>
      </w:r>
      <w:r>
        <w:rPr/>
        <w:t>of</w:t>
      </w:r>
      <w:r>
        <w:rPr>
          <w:spacing w:val="-10"/>
        </w:rPr>
        <w:t> </w:t>
      </w:r>
      <w:r>
        <w:rPr/>
        <w:t>reputable</w:t>
      </w:r>
      <w:r>
        <w:rPr>
          <w:spacing w:val="-10"/>
        </w:rPr>
        <w:t> </w:t>
      </w:r>
      <w:r>
        <w:rPr/>
        <w:t>tradition</w:t>
      </w:r>
      <w:r>
        <w:rPr>
          <w:spacing w:val="-10"/>
        </w:rPr>
        <w:t> </w:t>
      </w:r>
      <w:r>
        <w:rPr/>
        <w:t>behind</w:t>
      </w:r>
      <w:r>
        <w:rPr>
          <w:spacing w:val="-10"/>
        </w:rPr>
        <w:t> </w:t>
      </w:r>
      <w:r>
        <w:rPr/>
        <w:t>it:</w:t>
      </w:r>
      <w:r>
        <w:rPr>
          <w:spacing w:val="-10"/>
        </w:rPr>
        <w:t> </w:t>
      </w:r>
      <w:r>
        <w:rPr/>
        <w:t>The</w:t>
      </w:r>
      <w:r>
        <w:rPr>
          <w:spacing w:val="-9"/>
        </w:rPr>
        <w:t> </w:t>
      </w:r>
      <w:r>
        <w:rPr/>
        <w:t>Chinese</w:t>
      </w:r>
      <w:r>
        <w:rPr>
          <w:spacing w:val="-10"/>
        </w:rPr>
        <w:t> </w:t>
      </w:r>
      <w:r>
        <w:rPr/>
        <w:t>asso- ciate</w:t>
      </w:r>
      <w:r>
        <w:rPr>
          <w:spacing w:val="-8"/>
        </w:rPr>
        <w:t> </w:t>
      </w:r>
      <w:r>
        <w:rPr/>
        <w:t>it</w:t>
      </w:r>
      <w:r>
        <w:rPr>
          <w:spacing w:val="-8"/>
        </w:rPr>
        <w:t> </w:t>
      </w:r>
      <w:r>
        <w:rPr/>
        <w:t>with</w:t>
      </w:r>
      <w:r>
        <w:rPr>
          <w:spacing w:val="-6"/>
        </w:rPr>
        <w:t> </w:t>
      </w:r>
      <w:r>
        <w:rPr/>
        <w:t>longevity,</w:t>
      </w:r>
      <w:r>
        <w:rPr>
          <w:spacing w:val="-6"/>
        </w:rPr>
        <w:t> </w:t>
      </w:r>
      <w:r>
        <w:rPr/>
        <w:t>in</w:t>
      </w:r>
      <w:r>
        <w:rPr>
          <w:spacing w:val="-7"/>
        </w:rPr>
        <w:t> </w:t>
      </w:r>
      <w:r>
        <w:rPr/>
        <w:t>the</w:t>
      </w:r>
      <w:r>
        <w:rPr>
          <w:spacing w:val="-9"/>
        </w:rPr>
        <w:t> </w:t>
      </w:r>
      <w:r>
        <w:rPr/>
        <w:t>Orient,</w:t>
      </w:r>
      <w:r>
        <w:rPr>
          <w:spacing w:val="-6"/>
        </w:rPr>
        <w:t> </w:t>
      </w:r>
      <w:r>
        <w:rPr/>
        <w:t>it</w:t>
      </w:r>
      <w:r>
        <w:rPr>
          <w:spacing w:val="-10"/>
        </w:rPr>
        <w:t> </w:t>
      </w:r>
      <w:r>
        <w:rPr/>
        <w:t>is</w:t>
      </w:r>
      <w:r>
        <w:rPr>
          <w:spacing w:val="-7"/>
        </w:rPr>
        <w:t> </w:t>
      </w:r>
      <w:r>
        <w:rPr/>
        <w:t>considered</w:t>
      </w:r>
      <w:r>
        <w:rPr>
          <w:spacing w:val="-8"/>
        </w:rPr>
        <w:t> </w:t>
      </w:r>
      <w:r>
        <w:rPr/>
        <w:t>a</w:t>
      </w:r>
      <w:r>
        <w:rPr>
          <w:spacing w:val="-8"/>
        </w:rPr>
        <w:t> </w:t>
      </w:r>
      <w:r>
        <w:rPr/>
        <w:t>symbol</w:t>
      </w:r>
      <w:r>
        <w:rPr>
          <w:spacing w:val="-10"/>
        </w:rPr>
        <w:t> </w:t>
      </w:r>
      <w:r>
        <w:rPr/>
        <w:t>of</w:t>
      </w:r>
      <w:r>
        <w:rPr>
          <w:spacing w:val="-7"/>
        </w:rPr>
        <w:t> </w:t>
      </w:r>
      <w:r>
        <w:rPr/>
        <w:t>immortality.</w:t>
      </w:r>
      <w:r>
        <w:rPr>
          <w:spacing w:val="-7"/>
        </w:rPr>
        <w:t> </w:t>
      </w:r>
      <w:r>
        <w:rPr/>
        <w:t>It</w:t>
      </w:r>
    </w:p>
    <w:p>
      <w:pPr>
        <w:spacing w:after="0" w:line="276" w:lineRule="auto"/>
        <w:jc w:val="both"/>
        <w:sectPr>
          <w:footerReference w:type="default" r:id="rId127"/>
          <w:pgSz w:w="14270" w:h="16850"/>
          <w:pgMar w:footer="1891" w:header="0" w:top="1600" w:bottom="2080" w:left="800" w:right="1280"/>
          <w:pgNumType w:start="490"/>
        </w:sectPr>
      </w:pPr>
    </w:p>
    <w:p>
      <w:pPr>
        <w:pStyle w:val="BodyText"/>
        <w:spacing w:line="276" w:lineRule="auto" w:before="181"/>
        <w:ind w:left="477" w:right="137"/>
        <w:jc w:val="both"/>
      </w:pPr>
      <w:r>
        <w:rPr/>
        <w:t>is even thought that pomegranate, mentioned in both the Old Testament and much later in Shakespeare's ‘Romeo and Juliet’, is one of the oldest crops ever, as evidenced by references in mythology.</w:t>
      </w:r>
    </w:p>
    <w:p>
      <w:pPr>
        <w:pStyle w:val="BodyText"/>
        <w:spacing w:before="242"/>
        <w:ind w:left="477"/>
        <w:jc w:val="both"/>
      </w:pPr>
      <w:r>
        <w:rPr/>
        <w:t>In short: pomegranate is one of the oldest medicinal fruits humanity</w:t>
      </w:r>
      <w:r>
        <w:rPr>
          <w:spacing w:val="-61"/>
        </w:rPr>
        <w:t> </w:t>
      </w:r>
      <w:r>
        <w:rPr/>
        <w:t>possesses!</w:t>
      </w:r>
    </w:p>
    <w:p>
      <w:pPr>
        <w:pStyle w:val="BodyText"/>
        <w:spacing w:line="276" w:lineRule="auto" w:before="304"/>
        <w:ind w:left="477" w:right="135"/>
        <w:jc w:val="both"/>
      </w:pPr>
      <w:r>
        <w:rPr/>
        <w:t>On the other hand, pomegranate is so ‘trendy’ that all of Hollywood gushes about it; Kate Moss, Madonna and Mick Jagger swear by it, among others. No other</w:t>
      </w:r>
      <w:r>
        <w:rPr>
          <w:spacing w:val="-7"/>
        </w:rPr>
        <w:t> </w:t>
      </w:r>
      <w:r>
        <w:rPr/>
        <w:t>fruit</w:t>
      </w:r>
      <w:r>
        <w:rPr>
          <w:spacing w:val="-9"/>
        </w:rPr>
        <w:t> </w:t>
      </w:r>
      <w:r>
        <w:rPr/>
        <w:t>has</w:t>
      </w:r>
      <w:r>
        <w:rPr>
          <w:spacing w:val="-9"/>
        </w:rPr>
        <w:t> </w:t>
      </w:r>
      <w:r>
        <w:rPr/>
        <w:t>received</w:t>
      </w:r>
      <w:r>
        <w:rPr>
          <w:spacing w:val="-7"/>
        </w:rPr>
        <w:t> </w:t>
      </w:r>
      <w:r>
        <w:rPr/>
        <w:t>as</w:t>
      </w:r>
      <w:r>
        <w:rPr>
          <w:spacing w:val="-7"/>
        </w:rPr>
        <w:t> </w:t>
      </w:r>
      <w:r>
        <w:rPr/>
        <w:t>much</w:t>
      </w:r>
      <w:r>
        <w:rPr>
          <w:spacing w:val="-8"/>
        </w:rPr>
        <w:t> </w:t>
      </w:r>
      <w:r>
        <w:rPr/>
        <w:t>attention</w:t>
      </w:r>
      <w:r>
        <w:rPr>
          <w:spacing w:val="-6"/>
        </w:rPr>
        <w:t> </w:t>
      </w:r>
      <w:r>
        <w:rPr/>
        <w:t>from</w:t>
      </w:r>
      <w:r>
        <w:rPr>
          <w:spacing w:val="-8"/>
        </w:rPr>
        <w:t> </w:t>
      </w:r>
      <w:r>
        <w:rPr/>
        <w:t>the</w:t>
      </w:r>
      <w:r>
        <w:rPr>
          <w:spacing w:val="-6"/>
        </w:rPr>
        <w:t> </w:t>
      </w:r>
      <w:r>
        <w:rPr/>
        <w:t>scientific</w:t>
      </w:r>
      <w:r>
        <w:rPr>
          <w:spacing w:val="-8"/>
        </w:rPr>
        <w:t> </w:t>
      </w:r>
      <w:r>
        <w:rPr/>
        <w:t>community</w:t>
      </w:r>
      <w:r>
        <w:rPr>
          <w:spacing w:val="-7"/>
        </w:rPr>
        <w:t> </w:t>
      </w:r>
      <w:r>
        <w:rPr/>
        <w:t>as</w:t>
      </w:r>
      <w:r>
        <w:rPr>
          <w:spacing w:val="-8"/>
        </w:rPr>
        <w:t> </w:t>
      </w:r>
      <w:r>
        <w:rPr/>
        <w:t>the pomegranate.</w:t>
      </w:r>
    </w:p>
    <w:p>
      <w:pPr>
        <w:pStyle w:val="BodyText"/>
        <w:spacing w:line="276" w:lineRule="auto" w:before="240"/>
        <w:ind w:left="477" w:right="136"/>
        <w:jc w:val="both"/>
      </w:pPr>
      <w:r>
        <w:rPr/>
        <w:t>A balancing act between myth and truth, between tradition, trendy hype and modern science?</w:t>
      </w:r>
    </w:p>
    <w:p>
      <w:pPr>
        <w:pStyle w:val="BodyText"/>
        <w:spacing w:line="276" w:lineRule="auto" w:before="240"/>
        <w:ind w:left="477" w:right="140"/>
        <w:jc w:val="both"/>
      </w:pPr>
      <w:r>
        <w:rPr/>
        <w:t>In these sections, we want to counter this view and provide you with the facts about pomegranate...</w:t>
      </w:r>
    </w:p>
    <w:p>
      <w:pPr>
        <w:pStyle w:val="Heading2"/>
        <w:spacing w:before="239"/>
        <w:jc w:val="both"/>
      </w:pPr>
      <w:r>
        <w:rPr/>
        <w:t>Pomegranate from a botanical point of view</w:t>
      </w:r>
    </w:p>
    <w:p>
      <w:pPr>
        <w:pStyle w:val="BodyText"/>
        <w:spacing w:line="276" w:lineRule="auto" w:before="305"/>
        <w:ind w:left="477" w:right="134"/>
        <w:jc w:val="both"/>
      </w:pPr>
      <w:r>
        <w:rPr/>
        <w:t>The scientific name for pomegranate is ‘Punica granatum’</w:t>
      </w:r>
      <w:r>
        <w:rPr>
          <w:i/>
        </w:rPr>
        <w:t>. </w:t>
      </w:r>
      <w:r>
        <w:rPr/>
        <w:t>Although its outer appearance is like that of an apple, it is actually a berry that grows on a bush or on a tree up to 5m high.</w:t>
      </w:r>
    </w:p>
    <w:p>
      <w:pPr>
        <w:pStyle w:val="BodyText"/>
        <w:spacing w:line="276" w:lineRule="auto" w:before="241"/>
        <w:ind w:left="477" w:right="135"/>
        <w:jc w:val="both"/>
      </w:pPr>
      <w:r>
        <w:rPr/>
        <w:t>Unlike the normal apple, not everyone associates the pomegranate with a con- crete ‘image’. It has an intense, blood-red colour, a diameter of about 8 cm</w:t>
      </w:r>
      <w:r>
        <w:rPr>
          <w:spacing w:val="-54"/>
        </w:rPr>
        <w:t> </w:t>
      </w:r>
      <w:r>
        <w:rPr/>
        <w:t>and weighs up to 500 g. The hard, 3-4 mm thick shell protects it from frost and external impact. It makes preservation largely unnecessary because the tough</w:t>
      </w:r>
    </w:p>
    <w:p>
      <w:pPr>
        <w:spacing w:after="0" w:line="276" w:lineRule="auto"/>
        <w:jc w:val="both"/>
        <w:sectPr>
          <w:pgSz w:w="14270" w:h="16850"/>
          <w:pgMar w:header="0" w:footer="1891" w:top="1600" w:bottom="2080" w:left="800" w:right="1280"/>
        </w:sectPr>
      </w:pPr>
    </w:p>
    <w:p>
      <w:pPr>
        <w:pStyle w:val="BodyText"/>
        <w:spacing w:before="181"/>
        <w:ind w:left="477"/>
      </w:pPr>
      <w:r>
        <w:rPr/>
        <w:t>shell makes it possible to store pomegranate safely for weeks.</w:t>
      </w:r>
    </w:p>
    <w:p>
      <w:pPr>
        <w:pStyle w:val="BodyText"/>
        <w:spacing w:line="276" w:lineRule="auto" w:before="305"/>
        <w:ind w:left="477" w:right="135"/>
        <w:jc w:val="both"/>
      </w:pPr>
      <w:r>
        <w:rPr/>
        <w:t>We</w:t>
      </w:r>
      <w:r>
        <w:rPr>
          <w:spacing w:val="-19"/>
        </w:rPr>
        <w:t> </w:t>
      </w:r>
      <w:r>
        <w:rPr/>
        <w:t>owe</w:t>
      </w:r>
      <w:r>
        <w:rPr>
          <w:spacing w:val="-19"/>
        </w:rPr>
        <w:t> </w:t>
      </w:r>
      <w:r>
        <w:rPr/>
        <w:t>this</w:t>
      </w:r>
      <w:r>
        <w:rPr>
          <w:spacing w:val="-18"/>
        </w:rPr>
        <w:t> </w:t>
      </w:r>
      <w:r>
        <w:rPr/>
        <w:t>circumstance</w:t>
      </w:r>
      <w:r>
        <w:rPr>
          <w:spacing w:val="-18"/>
        </w:rPr>
        <w:t> </w:t>
      </w:r>
      <w:r>
        <w:rPr/>
        <w:t>to</w:t>
      </w:r>
      <w:r>
        <w:rPr>
          <w:spacing w:val="-18"/>
        </w:rPr>
        <w:t> </w:t>
      </w:r>
      <w:r>
        <w:rPr/>
        <w:t>the</w:t>
      </w:r>
      <w:r>
        <w:rPr>
          <w:spacing w:val="-15"/>
        </w:rPr>
        <w:t> </w:t>
      </w:r>
      <w:r>
        <w:rPr/>
        <w:t>very</w:t>
      </w:r>
      <w:r>
        <w:rPr>
          <w:spacing w:val="-18"/>
        </w:rPr>
        <w:t> </w:t>
      </w:r>
      <w:r>
        <w:rPr/>
        <w:t>early</w:t>
      </w:r>
      <w:r>
        <w:rPr>
          <w:spacing w:val="-18"/>
        </w:rPr>
        <w:t> </w:t>
      </w:r>
      <w:r>
        <w:rPr/>
        <w:t>importation</w:t>
      </w:r>
      <w:r>
        <w:rPr>
          <w:spacing w:val="-18"/>
        </w:rPr>
        <w:t> </w:t>
      </w:r>
      <w:r>
        <w:rPr/>
        <w:t>of</w:t>
      </w:r>
      <w:r>
        <w:rPr>
          <w:spacing w:val="-19"/>
        </w:rPr>
        <w:t> </w:t>
      </w:r>
      <w:r>
        <w:rPr/>
        <w:t>pomegranate</w:t>
      </w:r>
      <w:r>
        <w:rPr>
          <w:spacing w:val="-19"/>
        </w:rPr>
        <w:t> </w:t>
      </w:r>
      <w:r>
        <w:rPr/>
        <w:t>to</w:t>
      </w:r>
      <w:r>
        <w:rPr>
          <w:spacing w:val="-18"/>
        </w:rPr>
        <w:t> </w:t>
      </w:r>
      <w:r>
        <w:rPr/>
        <w:t>Cen- tral Europe from its regions of origin – Asia, the Caucasus and Turkey. The only disadvantage is its handling, because you cannot eat the pomegranate, which is incidentally classified as a berry in botany, like a normal</w:t>
      </w:r>
      <w:r>
        <w:rPr>
          <w:spacing w:val="-11"/>
        </w:rPr>
        <w:t> </w:t>
      </w:r>
      <w:r>
        <w:rPr/>
        <w:t>apple.</w:t>
      </w:r>
    </w:p>
    <w:p>
      <w:pPr>
        <w:pStyle w:val="Heading1"/>
        <w:spacing w:before="222"/>
      </w:pPr>
      <w:r>
        <w:rPr/>
        <w:t>The edible part of pomegranate</w:t>
      </w:r>
    </w:p>
    <w:p>
      <w:pPr>
        <w:pStyle w:val="BodyText"/>
        <w:spacing w:line="276" w:lineRule="auto" w:before="300"/>
        <w:ind w:left="477" w:right="129"/>
        <w:jc w:val="both"/>
      </w:pPr>
      <w:r>
        <w:rPr/>
        <w:t>The edible part of the pomegranate is the pomegranate seeds, which consist of a juicy seed coat and the seed itself. A single fruit has 400 to 600 seeds, which are</w:t>
      </w:r>
      <w:r>
        <w:rPr>
          <w:spacing w:val="-11"/>
        </w:rPr>
        <w:t> </w:t>
      </w:r>
      <w:r>
        <w:rPr/>
        <w:t>covered</w:t>
      </w:r>
      <w:r>
        <w:rPr>
          <w:spacing w:val="-14"/>
        </w:rPr>
        <w:t> </w:t>
      </w:r>
      <w:r>
        <w:rPr/>
        <w:t>by</w:t>
      </w:r>
      <w:r>
        <w:rPr>
          <w:spacing w:val="-13"/>
        </w:rPr>
        <w:t> </w:t>
      </w:r>
      <w:r>
        <w:rPr/>
        <w:t>a</w:t>
      </w:r>
      <w:r>
        <w:rPr>
          <w:spacing w:val="-14"/>
        </w:rPr>
        <w:t> </w:t>
      </w:r>
      <w:r>
        <w:rPr/>
        <w:t>white</w:t>
      </w:r>
      <w:r>
        <w:rPr>
          <w:spacing w:val="-12"/>
        </w:rPr>
        <w:t> </w:t>
      </w:r>
      <w:r>
        <w:rPr/>
        <w:t>tissue</w:t>
      </w:r>
      <w:r>
        <w:rPr>
          <w:spacing w:val="-11"/>
        </w:rPr>
        <w:t> </w:t>
      </w:r>
      <w:r>
        <w:rPr/>
        <w:t>that</w:t>
      </w:r>
      <w:r>
        <w:rPr>
          <w:spacing w:val="-14"/>
        </w:rPr>
        <w:t> </w:t>
      </w:r>
      <w:r>
        <w:rPr/>
        <w:t>tastes</w:t>
      </w:r>
      <w:r>
        <w:rPr>
          <w:spacing w:val="-11"/>
        </w:rPr>
        <w:t> </w:t>
      </w:r>
      <w:r>
        <w:rPr/>
        <w:t>slightly</w:t>
      </w:r>
      <w:r>
        <w:rPr>
          <w:spacing w:val="-12"/>
        </w:rPr>
        <w:t> </w:t>
      </w:r>
      <w:r>
        <w:rPr/>
        <w:t>bitter.</w:t>
      </w:r>
      <w:r>
        <w:rPr>
          <w:spacing w:val="-9"/>
        </w:rPr>
        <w:t> </w:t>
      </w:r>
      <w:r>
        <w:rPr/>
        <w:t>Depending</w:t>
      </w:r>
      <w:r>
        <w:rPr>
          <w:spacing w:val="-14"/>
        </w:rPr>
        <w:t> </w:t>
      </w:r>
      <w:r>
        <w:rPr/>
        <w:t>on</w:t>
      </w:r>
      <w:r>
        <w:rPr>
          <w:spacing w:val="-11"/>
        </w:rPr>
        <w:t> </w:t>
      </w:r>
      <w:r>
        <w:rPr/>
        <w:t>the</w:t>
      </w:r>
      <w:r>
        <w:rPr>
          <w:spacing w:val="-12"/>
        </w:rPr>
        <w:t> </w:t>
      </w:r>
      <w:r>
        <w:rPr/>
        <w:t>degree of maturation, the seeds of pomegranate taste slightly sour or sweet. The pom- egranate</w:t>
      </w:r>
      <w:r>
        <w:rPr>
          <w:spacing w:val="-14"/>
        </w:rPr>
        <w:t> </w:t>
      </w:r>
      <w:r>
        <w:rPr/>
        <w:t>owes</w:t>
      </w:r>
      <w:r>
        <w:rPr>
          <w:spacing w:val="-12"/>
        </w:rPr>
        <w:t> </w:t>
      </w:r>
      <w:r>
        <w:rPr/>
        <w:t>its</w:t>
      </w:r>
      <w:r>
        <w:rPr>
          <w:spacing w:val="-12"/>
        </w:rPr>
        <w:t> </w:t>
      </w:r>
      <w:r>
        <w:rPr/>
        <w:t>name</w:t>
      </w:r>
      <w:r>
        <w:rPr>
          <w:spacing w:val="-14"/>
        </w:rPr>
        <w:t> </w:t>
      </w:r>
      <w:r>
        <w:rPr/>
        <w:t>to</w:t>
      </w:r>
      <w:r>
        <w:rPr>
          <w:spacing w:val="-13"/>
        </w:rPr>
        <w:t> </w:t>
      </w:r>
      <w:r>
        <w:rPr/>
        <w:t>these</w:t>
      </w:r>
      <w:r>
        <w:rPr>
          <w:spacing w:val="-16"/>
        </w:rPr>
        <w:t> </w:t>
      </w:r>
      <w:r>
        <w:rPr/>
        <w:t>many</w:t>
      </w:r>
      <w:r>
        <w:rPr>
          <w:spacing w:val="-12"/>
        </w:rPr>
        <w:t> </w:t>
      </w:r>
      <w:r>
        <w:rPr/>
        <w:t>seeds,</w:t>
      </w:r>
      <w:r>
        <w:rPr>
          <w:spacing w:val="-14"/>
        </w:rPr>
        <w:t> </w:t>
      </w:r>
      <w:r>
        <w:rPr/>
        <w:t>because</w:t>
      </w:r>
      <w:r>
        <w:rPr>
          <w:spacing w:val="-12"/>
        </w:rPr>
        <w:t> </w:t>
      </w:r>
      <w:r>
        <w:rPr/>
        <w:t>the</w:t>
      </w:r>
      <w:r>
        <w:rPr>
          <w:spacing w:val="-13"/>
        </w:rPr>
        <w:t> </w:t>
      </w:r>
      <w:r>
        <w:rPr/>
        <w:t>Latin</w:t>
      </w:r>
      <w:r>
        <w:rPr>
          <w:spacing w:val="-9"/>
        </w:rPr>
        <w:t> </w:t>
      </w:r>
      <w:r>
        <w:rPr/>
        <w:t>‘granatus’</w:t>
      </w:r>
      <w:r>
        <w:rPr>
          <w:spacing w:val="-12"/>
        </w:rPr>
        <w:t> </w:t>
      </w:r>
      <w:r>
        <w:rPr/>
        <w:t>means ‘rich in</w:t>
      </w:r>
      <w:r>
        <w:rPr>
          <w:spacing w:val="1"/>
        </w:rPr>
        <w:t> </w:t>
      </w:r>
      <w:r>
        <w:rPr/>
        <w:t>grain’.</w:t>
      </w:r>
    </w:p>
    <w:p>
      <w:pPr>
        <w:pStyle w:val="BodyText"/>
        <w:spacing w:line="276" w:lineRule="auto" w:before="240"/>
        <w:ind w:left="477" w:right="136"/>
        <w:jc w:val="both"/>
      </w:pPr>
      <w:r>
        <w:rPr/>
        <w:t>As</w:t>
      </w:r>
      <w:r>
        <w:rPr>
          <w:spacing w:val="-10"/>
        </w:rPr>
        <w:t> </w:t>
      </w:r>
      <w:r>
        <w:rPr/>
        <w:t>we</w:t>
      </w:r>
      <w:r>
        <w:rPr>
          <w:spacing w:val="-11"/>
        </w:rPr>
        <w:t> </w:t>
      </w:r>
      <w:r>
        <w:rPr/>
        <w:t>will</w:t>
      </w:r>
      <w:r>
        <w:rPr>
          <w:spacing w:val="-12"/>
        </w:rPr>
        <w:t> </w:t>
      </w:r>
      <w:r>
        <w:rPr/>
        <w:t>learn</w:t>
      </w:r>
      <w:r>
        <w:rPr>
          <w:spacing w:val="-10"/>
        </w:rPr>
        <w:t> </w:t>
      </w:r>
      <w:r>
        <w:rPr/>
        <w:t>later,</w:t>
      </w:r>
      <w:r>
        <w:rPr>
          <w:spacing w:val="-10"/>
        </w:rPr>
        <w:t> </w:t>
      </w:r>
      <w:r>
        <w:rPr/>
        <w:t>however,</w:t>
      </w:r>
      <w:r>
        <w:rPr>
          <w:spacing w:val="-10"/>
        </w:rPr>
        <w:t> </w:t>
      </w:r>
      <w:r>
        <w:rPr/>
        <w:t>the</w:t>
      </w:r>
      <w:r>
        <w:rPr>
          <w:spacing w:val="-10"/>
        </w:rPr>
        <w:t> </w:t>
      </w:r>
      <w:r>
        <w:rPr/>
        <w:t>seeds</w:t>
      </w:r>
      <w:r>
        <w:rPr>
          <w:spacing w:val="-10"/>
        </w:rPr>
        <w:t> </w:t>
      </w:r>
      <w:r>
        <w:rPr/>
        <w:t>are</w:t>
      </w:r>
      <w:r>
        <w:rPr>
          <w:spacing w:val="-13"/>
        </w:rPr>
        <w:t> </w:t>
      </w:r>
      <w:r>
        <w:rPr/>
        <w:t>not</w:t>
      </w:r>
      <w:r>
        <w:rPr>
          <w:spacing w:val="-13"/>
        </w:rPr>
        <w:t> </w:t>
      </w:r>
      <w:r>
        <w:rPr/>
        <w:t>the</w:t>
      </w:r>
      <w:r>
        <w:rPr>
          <w:spacing w:val="-10"/>
        </w:rPr>
        <w:t> </w:t>
      </w:r>
      <w:r>
        <w:rPr/>
        <w:t>only</w:t>
      </w:r>
      <w:r>
        <w:rPr>
          <w:spacing w:val="-11"/>
        </w:rPr>
        <w:t> </w:t>
      </w:r>
      <w:r>
        <w:rPr/>
        <w:t>parts</w:t>
      </w:r>
      <w:r>
        <w:rPr>
          <w:spacing w:val="-12"/>
        </w:rPr>
        <w:t> </w:t>
      </w:r>
      <w:r>
        <w:rPr/>
        <w:t>of</w:t>
      </w:r>
      <w:r>
        <w:rPr>
          <w:spacing w:val="-13"/>
        </w:rPr>
        <w:t> </w:t>
      </w:r>
      <w:r>
        <w:rPr/>
        <w:t>the</w:t>
      </w:r>
      <w:r>
        <w:rPr>
          <w:spacing w:val="-10"/>
        </w:rPr>
        <w:t> </w:t>
      </w:r>
      <w:r>
        <w:rPr/>
        <w:t>fruit</w:t>
      </w:r>
      <w:r>
        <w:rPr>
          <w:spacing w:val="-12"/>
        </w:rPr>
        <w:t> </w:t>
      </w:r>
      <w:r>
        <w:rPr/>
        <w:t>used by indigenous peoples. The rind, fruits, flowers, roots and shell are all used in traditional folk</w:t>
      </w:r>
      <w:r>
        <w:rPr>
          <w:spacing w:val="3"/>
        </w:rPr>
        <w:t> </w:t>
      </w:r>
      <w:r>
        <w:rPr/>
        <w:t>medicine.</w:t>
      </w:r>
    </w:p>
    <w:p>
      <w:pPr>
        <w:pStyle w:val="Heading1"/>
      </w:pPr>
      <w:r>
        <w:rPr/>
        <w:t>The home of the pomegranate</w:t>
      </w:r>
    </w:p>
    <w:p>
      <w:pPr>
        <w:pStyle w:val="BodyText"/>
        <w:spacing w:line="276" w:lineRule="auto" w:before="299"/>
        <w:ind w:left="477" w:right="145"/>
        <w:jc w:val="both"/>
      </w:pPr>
      <w:r>
        <w:rPr/>
        <w:t>The pomegranate is native to the subtropical areas around the Mediterranean countries, Israel, Turkey, North India and West Asia as well as Madeira.</w:t>
      </w:r>
    </w:p>
    <w:p>
      <w:pPr>
        <w:pStyle w:val="Heading1"/>
        <w:spacing w:before="222"/>
        <w:jc w:val="both"/>
      </w:pPr>
      <w:r>
        <w:rPr/>
        <w:t>How the pomegranate conquered the</w:t>
      </w:r>
      <w:r>
        <w:rPr>
          <w:spacing w:val="-60"/>
        </w:rPr>
        <w:t> </w:t>
      </w:r>
      <w:r>
        <w:rPr/>
        <w:t>world</w:t>
      </w:r>
    </w:p>
    <w:p>
      <w:pPr>
        <w:pStyle w:val="BodyText"/>
        <w:spacing w:before="299"/>
        <w:ind w:left="477"/>
        <w:jc w:val="both"/>
      </w:pPr>
      <w:r>
        <w:rPr/>
        <w:t>The campaigns of Pharaoh Thutmose III brought the pomegranate to Egypt</w:t>
      </w:r>
    </w:p>
    <w:p>
      <w:pPr>
        <w:spacing w:after="0"/>
        <w:jc w:val="both"/>
        <w:sectPr>
          <w:pgSz w:w="14270" w:h="16850"/>
          <w:pgMar w:header="0" w:footer="1891" w:top="1600" w:bottom="2080" w:left="800" w:right="1280"/>
        </w:sectPr>
      </w:pPr>
    </w:p>
    <w:p>
      <w:pPr>
        <w:pStyle w:val="BodyText"/>
        <w:spacing w:line="276" w:lineRule="auto" w:before="181"/>
        <w:ind w:left="477" w:right="135"/>
        <w:jc w:val="both"/>
      </w:pPr>
      <w:r>
        <w:rPr/>
        <w:t>from Syria and Palestine around 1500 BC. From there, traveling merchants brought it to Greece, from which it was transported by colonists to southern Italy. From Italy, pomegranate conquered Spain, and American colonists even- tually took it to North America.</w:t>
      </w:r>
    </w:p>
    <w:p>
      <w:pPr>
        <w:pStyle w:val="Heading1"/>
        <w:spacing w:before="225"/>
        <w:jc w:val="both"/>
      </w:pPr>
      <w:r>
        <w:rPr/>
        <w:t>Expert and press comments</w:t>
      </w:r>
    </w:p>
    <w:p>
      <w:pPr>
        <w:spacing w:line="276" w:lineRule="auto" w:before="297"/>
        <w:ind w:left="477" w:right="131" w:firstLine="0"/>
        <w:jc w:val="both"/>
        <w:rPr>
          <w:sz w:val="38"/>
        </w:rPr>
      </w:pPr>
      <w:r>
        <w:rPr>
          <w:sz w:val="38"/>
        </w:rPr>
        <w:t>‘</w:t>
      </w:r>
      <w:r>
        <w:rPr>
          <w:i/>
          <w:sz w:val="38"/>
        </w:rPr>
        <w:t>One of the oldest crops of humanity has recently attracted the interest of science: Punica</w:t>
      </w:r>
      <w:r>
        <w:rPr>
          <w:i/>
          <w:spacing w:val="-64"/>
          <w:sz w:val="38"/>
        </w:rPr>
        <w:t> </w:t>
      </w:r>
      <w:r>
        <w:rPr>
          <w:i/>
          <w:sz w:val="38"/>
        </w:rPr>
        <w:t>gran- </w:t>
      </w:r>
      <w:r>
        <w:rPr>
          <w:i/>
          <w:sz w:val="38"/>
        </w:rPr>
        <w:t>atum</w:t>
      </w:r>
      <w:r>
        <w:rPr>
          <w:i/>
          <w:spacing w:val="-23"/>
          <w:sz w:val="38"/>
        </w:rPr>
        <w:t> </w:t>
      </w:r>
      <w:r>
        <w:rPr>
          <w:i/>
          <w:sz w:val="38"/>
        </w:rPr>
        <w:t>-</w:t>
      </w:r>
      <w:r>
        <w:rPr>
          <w:i/>
          <w:spacing w:val="-27"/>
          <w:sz w:val="38"/>
        </w:rPr>
        <w:t> </w:t>
      </w:r>
      <w:r>
        <w:rPr>
          <w:i/>
          <w:sz w:val="38"/>
        </w:rPr>
        <w:t>the</w:t>
      </w:r>
      <w:r>
        <w:rPr>
          <w:i/>
          <w:spacing w:val="-26"/>
          <w:sz w:val="38"/>
        </w:rPr>
        <w:t> </w:t>
      </w:r>
      <w:r>
        <w:rPr>
          <w:i/>
          <w:sz w:val="38"/>
        </w:rPr>
        <w:t>pomegranate.</w:t>
      </w:r>
      <w:r>
        <w:rPr>
          <w:i/>
          <w:spacing w:val="-23"/>
          <w:sz w:val="38"/>
        </w:rPr>
        <w:t> </w:t>
      </w:r>
      <w:r>
        <w:rPr>
          <w:i/>
          <w:sz w:val="38"/>
        </w:rPr>
        <w:t>Results</w:t>
      </w:r>
      <w:r>
        <w:rPr>
          <w:i/>
          <w:spacing w:val="-27"/>
          <w:sz w:val="38"/>
        </w:rPr>
        <w:t> </w:t>
      </w:r>
      <w:r>
        <w:rPr>
          <w:i/>
          <w:sz w:val="38"/>
        </w:rPr>
        <w:t>from</w:t>
      </w:r>
      <w:r>
        <w:rPr>
          <w:i/>
          <w:spacing w:val="-28"/>
          <w:sz w:val="38"/>
        </w:rPr>
        <w:t> </w:t>
      </w:r>
      <w:r>
        <w:rPr>
          <w:i/>
          <w:sz w:val="38"/>
        </w:rPr>
        <w:t>more</w:t>
      </w:r>
      <w:r>
        <w:rPr>
          <w:i/>
          <w:spacing w:val="-23"/>
          <w:sz w:val="38"/>
        </w:rPr>
        <w:t> </w:t>
      </w:r>
      <w:r>
        <w:rPr>
          <w:i/>
          <w:sz w:val="38"/>
        </w:rPr>
        <w:t>than</w:t>
      </w:r>
      <w:r>
        <w:rPr>
          <w:i/>
          <w:spacing w:val="-25"/>
          <w:sz w:val="38"/>
        </w:rPr>
        <w:t> </w:t>
      </w:r>
      <w:r>
        <w:rPr>
          <w:i/>
          <w:sz w:val="38"/>
        </w:rPr>
        <w:t>200</w:t>
      </w:r>
      <w:r>
        <w:rPr>
          <w:i/>
          <w:spacing w:val="-25"/>
          <w:sz w:val="38"/>
        </w:rPr>
        <w:t> </w:t>
      </w:r>
      <w:r>
        <w:rPr>
          <w:i/>
          <w:sz w:val="38"/>
        </w:rPr>
        <w:t>recent</w:t>
      </w:r>
      <w:r>
        <w:rPr>
          <w:i/>
          <w:spacing w:val="-23"/>
          <w:sz w:val="38"/>
        </w:rPr>
        <w:t> </w:t>
      </w:r>
      <w:r>
        <w:rPr>
          <w:i/>
          <w:sz w:val="38"/>
        </w:rPr>
        <w:t>publications</w:t>
      </w:r>
      <w:r>
        <w:rPr>
          <w:i/>
          <w:spacing w:val="-23"/>
          <w:sz w:val="38"/>
        </w:rPr>
        <w:t> </w:t>
      </w:r>
      <w:r>
        <w:rPr>
          <w:i/>
          <w:sz w:val="38"/>
        </w:rPr>
        <w:t>show</w:t>
      </w:r>
      <w:r>
        <w:rPr>
          <w:i/>
          <w:spacing w:val="-24"/>
          <w:sz w:val="38"/>
        </w:rPr>
        <w:t> </w:t>
      </w:r>
      <w:r>
        <w:rPr>
          <w:i/>
          <w:sz w:val="38"/>
        </w:rPr>
        <w:t>that</w:t>
      </w:r>
      <w:r>
        <w:rPr>
          <w:i/>
          <w:spacing w:val="-25"/>
          <w:sz w:val="38"/>
        </w:rPr>
        <w:t> </w:t>
      </w:r>
      <w:r>
        <w:rPr>
          <w:i/>
          <w:sz w:val="38"/>
        </w:rPr>
        <w:t>this</w:t>
      </w:r>
      <w:r>
        <w:rPr>
          <w:i/>
          <w:spacing w:val="-27"/>
          <w:sz w:val="38"/>
        </w:rPr>
        <w:t> </w:t>
      </w:r>
      <w:r>
        <w:rPr>
          <w:i/>
          <w:sz w:val="38"/>
        </w:rPr>
        <w:t>ancient fruit has considerable therapeutic potential’. </w:t>
      </w:r>
      <w:r>
        <w:rPr>
          <w:sz w:val="38"/>
        </w:rPr>
        <w:t>(Dr. Stefanie Burkhardt-Sischka, </w:t>
      </w:r>
      <w:r>
        <w:rPr>
          <w:i/>
          <w:sz w:val="38"/>
        </w:rPr>
        <w:t>comed </w:t>
      </w:r>
      <w:r>
        <w:rPr>
          <w:sz w:val="38"/>
        </w:rPr>
        <w:t>12/2007)</w:t>
      </w:r>
    </w:p>
    <w:p>
      <w:pPr>
        <w:spacing w:line="276" w:lineRule="auto" w:before="242"/>
        <w:ind w:left="477" w:right="141" w:firstLine="0"/>
        <w:jc w:val="both"/>
        <w:rPr>
          <w:sz w:val="38"/>
        </w:rPr>
      </w:pPr>
      <w:r>
        <w:rPr>
          <w:sz w:val="38"/>
        </w:rPr>
        <w:t>‘</w:t>
      </w:r>
      <w:r>
        <w:rPr>
          <w:i/>
          <w:sz w:val="38"/>
        </w:rPr>
        <w:t>Controlled studies led by Dr. Aviram suggests that pomegranate juice provides optimal pro- </w:t>
      </w:r>
      <w:r>
        <w:rPr>
          <w:i/>
          <w:sz w:val="38"/>
        </w:rPr>
        <w:t>tection for the cardiovascular system’. </w:t>
      </w:r>
      <w:r>
        <w:rPr>
          <w:sz w:val="38"/>
        </w:rPr>
        <w:t>(Nature </w:t>
      </w:r>
      <w:r>
        <w:rPr>
          <w:i/>
          <w:sz w:val="38"/>
        </w:rPr>
        <w:t>&amp; Healing </w:t>
      </w:r>
      <w:r>
        <w:rPr>
          <w:sz w:val="38"/>
        </w:rPr>
        <w:t>5/2005)</w:t>
      </w:r>
    </w:p>
    <w:p>
      <w:pPr>
        <w:spacing w:line="276" w:lineRule="auto" w:before="238"/>
        <w:ind w:left="477" w:right="128" w:firstLine="0"/>
        <w:jc w:val="both"/>
        <w:rPr>
          <w:sz w:val="38"/>
        </w:rPr>
      </w:pPr>
      <w:r>
        <w:rPr>
          <w:i/>
          <w:sz w:val="38"/>
        </w:rPr>
        <w:t>‘In terms of its ingredients, pomegranate is a real wonder fruit with a wide variety of </w:t>
      </w:r>
      <w:r>
        <w:rPr>
          <w:i/>
          <w:spacing w:val="2"/>
          <w:sz w:val="38"/>
        </w:rPr>
        <w:t>health- </w:t>
      </w:r>
      <w:r>
        <w:rPr>
          <w:i/>
          <w:sz w:val="38"/>
        </w:rPr>
        <w:t>giving</w:t>
      </w:r>
      <w:r>
        <w:rPr>
          <w:i/>
          <w:spacing w:val="-14"/>
          <w:sz w:val="38"/>
        </w:rPr>
        <w:t> </w:t>
      </w:r>
      <w:r>
        <w:rPr>
          <w:i/>
          <w:sz w:val="38"/>
        </w:rPr>
        <w:t>ingredients’.</w:t>
      </w:r>
      <w:r>
        <w:rPr>
          <w:i/>
          <w:spacing w:val="-14"/>
          <w:sz w:val="38"/>
        </w:rPr>
        <w:t> </w:t>
      </w:r>
      <w:r>
        <w:rPr>
          <w:sz w:val="38"/>
        </w:rPr>
        <w:t>(Dr.</w:t>
      </w:r>
      <w:r>
        <w:rPr>
          <w:spacing w:val="-12"/>
          <w:sz w:val="38"/>
        </w:rPr>
        <w:t> </w:t>
      </w:r>
      <w:r>
        <w:rPr>
          <w:sz w:val="38"/>
        </w:rPr>
        <w:t>Michaela</w:t>
      </w:r>
      <w:r>
        <w:rPr>
          <w:spacing w:val="-15"/>
          <w:sz w:val="38"/>
        </w:rPr>
        <w:t> </w:t>
      </w:r>
      <w:r>
        <w:rPr>
          <w:sz w:val="38"/>
        </w:rPr>
        <w:t>Döll</w:t>
      </w:r>
      <w:r>
        <w:rPr>
          <w:spacing w:val="-13"/>
          <w:sz w:val="38"/>
        </w:rPr>
        <w:t> </w:t>
      </w:r>
      <w:r>
        <w:rPr>
          <w:sz w:val="38"/>
        </w:rPr>
        <w:t>‘Heilfrucht</w:t>
      </w:r>
      <w:r>
        <w:rPr>
          <w:spacing w:val="-14"/>
          <w:sz w:val="38"/>
        </w:rPr>
        <w:t> </w:t>
      </w:r>
      <w:r>
        <w:rPr>
          <w:sz w:val="38"/>
        </w:rPr>
        <w:t>Granatapfel’</w:t>
      </w:r>
      <w:r>
        <w:rPr>
          <w:spacing w:val="-13"/>
          <w:sz w:val="38"/>
        </w:rPr>
        <w:t> </w:t>
      </w:r>
      <w:r>
        <w:rPr>
          <w:sz w:val="38"/>
        </w:rPr>
        <w:t>(‘Pomegranate,</w:t>
      </w:r>
      <w:r>
        <w:rPr>
          <w:spacing w:val="-13"/>
          <w:sz w:val="38"/>
        </w:rPr>
        <w:t> </w:t>
      </w:r>
      <w:r>
        <w:rPr>
          <w:sz w:val="38"/>
        </w:rPr>
        <w:t>the healing fruit’))</w:t>
      </w:r>
    </w:p>
    <w:p>
      <w:pPr>
        <w:spacing w:line="276" w:lineRule="auto" w:before="241"/>
        <w:ind w:left="477" w:right="131" w:firstLine="0"/>
        <w:jc w:val="both"/>
        <w:rPr>
          <w:sz w:val="38"/>
        </w:rPr>
      </w:pPr>
      <w:r>
        <w:rPr>
          <w:sz w:val="38"/>
        </w:rPr>
        <w:t>‘</w:t>
      </w:r>
      <w:r>
        <w:rPr>
          <w:i/>
          <w:sz w:val="38"/>
        </w:rPr>
        <w:t>Due</w:t>
      </w:r>
      <w:r>
        <w:rPr>
          <w:i/>
          <w:spacing w:val="-4"/>
          <w:sz w:val="38"/>
        </w:rPr>
        <w:t> </w:t>
      </w:r>
      <w:r>
        <w:rPr>
          <w:i/>
          <w:sz w:val="38"/>
        </w:rPr>
        <w:t>to</w:t>
      </w:r>
      <w:r>
        <w:rPr>
          <w:i/>
          <w:spacing w:val="-7"/>
          <w:sz w:val="38"/>
        </w:rPr>
        <w:t> </w:t>
      </w:r>
      <w:r>
        <w:rPr>
          <w:i/>
          <w:sz w:val="38"/>
        </w:rPr>
        <w:t>its</w:t>
      </w:r>
      <w:r>
        <w:rPr>
          <w:i/>
          <w:spacing w:val="-6"/>
          <w:sz w:val="38"/>
        </w:rPr>
        <w:t> </w:t>
      </w:r>
      <w:r>
        <w:rPr>
          <w:i/>
          <w:sz w:val="38"/>
        </w:rPr>
        <w:t>many</w:t>
      </w:r>
      <w:r>
        <w:rPr>
          <w:i/>
          <w:spacing w:val="-6"/>
          <w:sz w:val="38"/>
        </w:rPr>
        <w:t> </w:t>
      </w:r>
      <w:r>
        <w:rPr>
          <w:i/>
          <w:sz w:val="38"/>
        </w:rPr>
        <w:t>healthy</w:t>
      </w:r>
      <w:r>
        <w:rPr>
          <w:i/>
          <w:spacing w:val="-4"/>
          <w:sz w:val="38"/>
        </w:rPr>
        <w:t> </w:t>
      </w:r>
      <w:r>
        <w:rPr>
          <w:i/>
          <w:sz w:val="38"/>
        </w:rPr>
        <w:t>ingredients,</w:t>
      </w:r>
      <w:r>
        <w:rPr>
          <w:i/>
          <w:spacing w:val="-5"/>
          <w:sz w:val="38"/>
        </w:rPr>
        <w:t> </w:t>
      </w:r>
      <w:r>
        <w:rPr>
          <w:i/>
          <w:sz w:val="38"/>
        </w:rPr>
        <w:t>pomegranate</w:t>
      </w:r>
      <w:r>
        <w:rPr>
          <w:i/>
          <w:spacing w:val="-4"/>
          <w:sz w:val="38"/>
        </w:rPr>
        <w:t> </w:t>
      </w:r>
      <w:r>
        <w:rPr>
          <w:i/>
          <w:sz w:val="38"/>
        </w:rPr>
        <w:t>is</w:t>
      </w:r>
      <w:r>
        <w:rPr>
          <w:i/>
          <w:spacing w:val="-6"/>
          <w:sz w:val="38"/>
        </w:rPr>
        <w:t> </w:t>
      </w:r>
      <w:r>
        <w:rPr>
          <w:i/>
          <w:sz w:val="38"/>
        </w:rPr>
        <w:t>in</w:t>
      </w:r>
      <w:r>
        <w:rPr>
          <w:i/>
          <w:spacing w:val="-5"/>
          <w:sz w:val="38"/>
        </w:rPr>
        <w:t> </w:t>
      </w:r>
      <w:r>
        <w:rPr>
          <w:i/>
          <w:sz w:val="38"/>
        </w:rPr>
        <w:t>fact</w:t>
      </w:r>
      <w:r>
        <w:rPr>
          <w:i/>
          <w:spacing w:val="-4"/>
          <w:sz w:val="38"/>
        </w:rPr>
        <w:t> </w:t>
      </w:r>
      <w:r>
        <w:rPr>
          <w:i/>
          <w:sz w:val="38"/>
        </w:rPr>
        <w:t>able</w:t>
      </w:r>
      <w:r>
        <w:rPr>
          <w:i/>
          <w:spacing w:val="-7"/>
          <w:sz w:val="38"/>
        </w:rPr>
        <w:t> </w:t>
      </w:r>
      <w:r>
        <w:rPr>
          <w:i/>
          <w:sz w:val="38"/>
        </w:rPr>
        <w:t>to</w:t>
      </w:r>
      <w:r>
        <w:rPr>
          <w:i/>
          <w:spacing w:val="-6"/>
          <w:sz w:val="38"/>
        </w:rPr>
        <w:t> </w:t>
      </w:r>
      <w:r>
        <w:rPr>
          <w:i/>
          <w:sz w:val="38"/>
        </w:rPr>
        <w:t>improve</w:t>
      </w:r>
      <w:r>
        <w:rPr>
          <w:i/>
          <w:spacing w:val="-6"/>
          <w:sz w:val="38"/>
        </w:rPr>
        <w:t> </w:t>
      </w:r>
      <w:r>
        <w:rPr>
          <w:i/>
          <w:sz w:val="38"/>
        </w:rPr>
        <w:t>fertility</w:t>
      </w:r>
      <w:r>
        <w:rPr>
          <w:i/>
          <w:spacing w:val="2"/>
          <w:sz w:val="38"/>
        </w:rPr>
        <w:t> </w:t>
      </w:r>
      <w:r>
        <w:rPr>
          <w:i/>
          <w:sz w:val="38"/>
        </w:rPr>
        <w:t>at</w:t>
      </w:r>
      <w:r>
        <w:rPr>
          <w:i/>
          <w:spacing w:val="-5"/>
          <w:sz w:val="38"/>
        </w:rPr>
        <w:t> </w:t>
      </w:r>
      <w:r>
        <w:rPr>
          <w:i/>
          <w:sz w:val="38"/>
        </w:rPr>
        <w:t>least</w:t>
      </w:r>
      <w:r>
        <w:rPr>
          <w:i/>
          <w:spacing w:val="-8"/>
          <w:sz w:val="38"/>
        </w:rPr>
        <w:t> </w:t>
      </w:r>
      <w:r>
        <w:rPr>
          <w:i/>
          <w:sz w:val="38"/>
        </w:rPr>
        <w:t>a </w:t>
      </w:r>
      <w:r>
        <w:rPr>
          <w:i/>
          <w:sz w:val="38"/>
        </w:rPr>
        <w:t>little’. </w:t>
      </w:r>
      <w:r>
        <w:rPr>
          <w:sz w:val="38"/>
        </w:rPr>
        <w:t>(Dr. Stephanie Grabhorn)</w:t>
      </w:r>
    </w:p>
    <w:p>
      <w:pPr>
        <w:spacing w:line="276" w:lineRule="auto" w:before="241"/>
        <w:ind w:left="477" w:right="133" w:firstLine="0"/>
        <w:jc w:val="both"/>
        <w:rPr>
          <w:i/>
          <w:sz w:val="38"/>
        </w:rPr>
      </w:pPr>
      <w:r>
        <w:rPr>
          <w:sz w:val="38"/>
        </w:rPr>
        <w:t>‘</w:t>
      </w:r>
      <w:r>
        <w:rPr>
          <w:i/>
          <w:sz w:val="38"/>
        </w:rPr>
        <w:t>A variety of healing powers are attributed to pomegranate: high blood pressure, cholesterol, </w:t>
      </w:r>
      <w:r>
        <w:rPr>
          <w:i/>
          <w:sz w:val="38"/>
        </w:rPr>
        <w:t>cardiovascular</w:t>
      </w:r>
      <w:r>
        <w:rPr>
          <w:i/>
          <w:spacing w:val="-26"/>
          <w:sz w:val="38"/>
        </w:rPr>
        <w:t> </w:t>
      </w:r>
      <w:r>
        <w:rPr>
          <w:i/>
          <w:sz w:val="38"/>
        </w:rPr>
        <w:t>disease,</w:t>
      </w:r>
      <w:r>
        <w:rPr>
          <w:i/>
          <w:spacing w:val="-25"/>
          <w:sz w:val="38"/>
        </w:rPr>
        <w:t> </w:t>
      </w:r>
      <w:r>
        <w:rPr>
          <w:i/>
          <w:sz w:val="38"/>
        </w:rPr>
        <w:t>arthritis</w:t>
      </w:r>
      <w:r>
        <w:rPr>
          <w:i/>
          <w:spacing w:val="-25"/>
          <w:sz w:val="38"/>
        </w:rPr>
        <w:t> </w:t>
      </w:r>
      <w:r>
        <w:rPr>
          <w:i/>
          <w:sz w:val="38"/>
        </w:rPr>
        <w:t>,</w:t>
      </w:r>
      <w:r>
        <w:rPr>
          <w:i/>
          <w:spacing w:val="-25"/>
          <w:sz w:val="38"/>
        </w:rPr>
        <w:t> </w:t>
      </w:r>
      <w:r>
        <w:rPr>
          <w:i/>
          <w:sz w:val="38"/>
        </w:rPr>
        <w:t>menopausal</w:t>
      </w:r>
      <w:r>
        <w:rPr>
          <w:i/>
          <w:spacing w:val="-25"/>
          <w:sz w:val="38"/>
        </w:rPr>
        <w:t> </w:t>
      </w:r>
      <w:r>
        <w:rPr>
          <w:i/>
          <w:sz w:val="38"/>
        </w:rPr>
        <w:t>symptoms;</w:t>
      </w:r>
      <w:r>
        <w:rPr>
          <w:i/>
          <w:spacing w:val="-26"/>
          <w:sz w:val="38"/>
        </w:rPr>
        <w:t> </w:t>
      </w:r>
      <w:r>
        <w:rPr>
          <w:i/>
          <w:sz w:val="38"/>
        </w:rPr>
        <w:t>the</w:t>
      </w:r>
      <w:r>
        <w:rPr>
          <w:i/>
          <w:spacing w:val="-26"/>
          <w:sz w:val="38"/>
        </w:rPr>
        <w:t> </w:t>
      </w:r>
      <w:r>
        <w:rPr>
          <w:i/>
          <w:sz w:val="38"/>
        </w:rPr>
        <w:t>bright</w:t>
      </w:r>
      <w:r>
        <w:rPr>
          <w:i/>
          <w:spacing w:val="-25"/>
          <w:sz w:val="38"/>
        </w:rPr>
        <w:t> </w:t>
      </w:r>
      <w:r>
        <w:rPr>
          <w:i/>
          <w:sz w:val="38"/>
        </w:rPr>
        <w:t>red</w:t>
      </w:r>
      <w:r>
        <w:rPr>
          <w:i/>
          <w:spacing w:val="-26"/>
          <w:sz w:val="38"/>
        </w:rPr>
        <w:t> </w:t>
      </w:r>
      <w:r>
        <w:rPr>
          <w:i/>
          <w:sz w:val="38"/>
        </w:rPr>
        <w:t>juice</w:t>
      </w:r>
      <w:r>
        <w:rPr>
          <w:i/>
          <w:spacing w:val="-26"/>
          <w:sz w:val="38"/>
        </w:rPr>
        <w:t> </w:t>
      </w:r>
      <w:r>
        <w:rPr>
          <w:i/>
          <w:sz w:val="38"/>
        </w:rPr>
        <w:t>of</w:t>
      </w:r>
      <w:r>
        <w:rPr>
          <w:i/>
          <w:spacing w:val="-27"/>
          <w:sz w:val="38"/>
        </w:rPr>
        <w:t> </w:t>
      </w:r>
      <w:r>
        <w:rPr>
          <w:i/>
          <w:sz w:val="38"/>
        </w:rPr>
        <w:t>the</w:t>
      </w:r>
      <w:r>
        <w:rPr>
          <w:i/>
          <w:spacing w:val="-25"/>
          <w:sz w:val="38"/>
        </w:rPr>
        <w:t> </w:t>
      </w:r>
      <w:r>
        <w:rPr>
          <w:i/>
          <w:sz w:val="38"/>
        </w:rPr>
        <w:t>pomegranate can</w:t>
      </w:r>
      <w:r>
        <w:rPr>
          <w:i/>
          <w:spacing w:val="-25"/>
          <w:sz w:val="38"/>
        </w:rPr>
        <w:t> </w:t>
      </w:r>
      <w:r>
        <w:rPr>
          <w:i/>
          <w:sz w:val="38"/>
        </w:rPr>
        <w:t>benefit</w:t>
      </w:r>
      <w:r>
        <w:rPr>
          <w:i/>
          <w:spacing w:val="-27"/>
          <w:sz w:val="38"/>
        </w:rPr>
        <w:t> </w:t>
      </w:r>
      <w:r>
        <w:rPr>
          <w:i/>
          <w:sz w:val="38"/>
        </w:rPr>
        <w:t>all</w:t>
      </w:r>
      <w:r>
        <w:rPr>
          <w:i/>
          <w:spacing w:val="-26"/>
          <w:sz w:val="38"/>
        </w:rPr>
        <w:t> </w:t>
      </w:r>
      <w:r>
        <w:rPr>
          <w:i/>
          <w:sz w:val="38"/>
        </w:rPr>
        <w:t>of</w:t>
      </w:r>
      <w:r>
        <w:rPr>
          <w:i/>
          <w:spacing w:val="-26"/>
          <w:sz w:val="38"/>
        </w:rPr>
        <w:t> </w:t>
      </w:r>
      <w:r>
        <w:rPr>
          <w:i/>
          <w:sz w:val="38"/>
        </w:rPr>
        <w:t>these.</w:t>
      </w:r>
      <w:r>
        <w:rPr>
          <w:i/>
          <w:spacing w:val="-24"/>
          <w:sz w:val="38"/>
        </w:rPr>
        <w:t> </w:t>
      </w:r>
      <w:r>
        <w:rPr>
          <w:i/>
          <w:sz w:val="38"/>
        </w:rPr>
        <w:t>It</w:t>
      </w:r>
      <w:r>
        <w:rPr>
          <w:i/>
          <w:spacing w:val="-26"/>
          <w:sz w:val="38"/>
        </w:rPr>
        <w:t> </w:t>
      </w:r>
      <w:r>
        <w:rPr>
          <w:i/>
          <w:sz w:val="38"/>
        </w:rPr>
        <w:t>is</w:t>
      </w:r>
      <w:r>
        <w:rPr>
          <w:i/>
          <w:spacing w:val="-26"/>
          <w:sz w:val="38"/>
        </w:rPr>
        <w:t> </w:t>
      </w:r>
      <w:r>
        <w:rPr>
          <w:i/>
          <w:sz w:val="38"/>
        </w:rPr>
        <w:t>considered</w:t>
      </w:r>
      <w:r>
        <w:rPr>
          <w:i/>
          <w:spacing w:val="-25"/>
          <w:sz w:val="38"/>
        </w:rPr>
        <w:t> </w:t>
      </w:r>
      <w:r>
        <w:rPr>
          <w:i/>
          <w:sz w:val="38"/>
        </w:rPr>
        <w:t>an</w:t>
      </w:r>
      <w:r>
        <w:rPr>
          <w:i/>
          <w:spacing w:val="-24"/>
          <w:sz w:val="38"/>
        </w:rPr>
        <w:t> </w:t>
      </w:r>
      <w:r>
        <w:rPr>
          <w:i/>
          <w:sz w:val="38"/>
        </w:rPr>
        <w:t>aphrodisiac,</w:t>
      </w:r>
      <w:r>
        <w:rPr>
          <w:i/>
          <w:spacing w:val="-24"/>
          <w:sz w:val="38"/>
        </w:rPr>
        <w:t> </w:t>
      </w:r>
      <w:r>
        <w:rPr>
          <w:i/>
          <w:sz w:val="38"/>
        </w:rPr>
        <w:t>anti-inflammatory</w:t>
      </w:r>
      <w:r>
        <w:rPr>
          <w:i/>
          <w:spacing w:val="-26"/>
          <w:sz w:val="38"/>
        </w:rPr>
        <w:t> </w:t>
      </w:r>
      <w:r>
        <w:rPr>
          <w:i/>
          <w:sz w:val="38"/>
        </w:rPr>
        <w:t>and</w:t>
      </w:r>
      <w:r>
        <w:rPr>
          <w:i/>
          <w:spacing w:val="-27"/>
          <w:sz w:val="38"/>
        </w:rPr>
        <w:t> </w:t>
      </w:r>
      <w:r>
        <w:rPr>
          <w:i/>
          <w:sz w:val="38"/>
        </w:rPr>
        <w:t>may</w:t>
      </w:r>
      <w:r>
        <w:rPr>
          <w:i/>
          <w:spacing w:val="-25"/>
          <w:sz w:val="38"/>
        </w:rPr>
        <w:t> </w:t>
      </w:r>
      <w:r>
        <w:rPr>
          <w:i/>
          <w:sz w:val="38"/>
        </w:rPr>
        <w:t>even</w:t>
      </w:r>
      <w:r>
        <w:rPr>
          <w:i/>
          <w:spacing w:val="-24"/>
          <w:sz w:val="38"/>
        </w:rPr>
        <w:t> </w:t>
      </w:r>
      <w:r>
        <w:rPr>
          <w:i/>
          <w:sz w:val="38"/>
        </w:rPr>
        <w:t>prevent cancer.</w:t>
      </w:r>
      <w:r>
        <w:rPr>
          <w:i/>
          <w:spacing w:val="-11"/>
          <w:sz w:val="38"/>
        </w:rPr>
        <w:t> </w:t>
      </w:r>
      <w:r>
        <w:rPr>
          <w:i/>
          <w:sz w:val="38"/>
        </w:rPr>
        <w:t>Not</w:t>
      </w:r>
      <w:r>
        <w:rPr>
          <w:i/>
          <w:spacing w:val="-11"/>
          <w:sz w:val="38"/>
        </w:rPr>
        <w:t> </w:t>
      </w:r>
      <w:r>
        <w:rPr>
          <w:i/>
          <w:sz w:val="38"/>
        </w:rPr>
        <w:t>least</w:t>
      </w:r>
      <w:r>
        <w:rPr>
          <w:i/>
          <w:spacing w:val="-10"/>
          <w:sz w:val="38"/>
        </w:rPr>
        <w:t> </w:t>
      </w:r>
      <w:r>
        <w:rPr>
          <w:i/>
          <w:sz w:val="38"/>
        </w:rPr>
        <w:t>because</w:t>
      </w:r>
      <w:r>
        <w:rPr>
          <w:i/>
          <w:spacing w:val="-12"/>
          <w:sz w:val="38"/>
        </w:rPr>
        <w:t> </w:t>
      </w:r>
      <w:r>
        <w:rPr>
          <w:i/>
          <w:sz w:val="38"/>
        </w:rPr>
        <w:t>of</w:t>
      </w:r>
      <w:r>
        <w:rPr>
          <w:i/>
          <w:spacing w:val="-10"/>
          <w:sz w:val="38"/>
        </w:rPr>
        <w:t> </w:t>
      </w:r>
      <w:r>
        <w:rPr>
          <w:i/>
          <w:sz w:val="38"/>
        </w:rPr>
        <w:t>this,</w:t>
      </w:r>
      <w:r>
        <w:rPr>
          <w:i/>
          <w:spacing w:val="-13"/>
          <w:sz w:val="38"/>
        </w:rPr>
        <w:t> </w:t>
      </w:r>
      <w:r>
        <w:rPr>
          <w:i/>
          <w:sz w:val="38"/>
        </w:rPr>
        <w:t>the</w:t>
      </w:r>
      <w:r>
        <w:rPr>
          <w:i/>
          <w:spacing w:val="-12"/>
          <w:sz w:val="38"/>
        </w:rPr>
        <w:t> </w:t>
      </w:r>
      <w:r>
        <w:rPr>
          <w:i/>
          <w:sz w:val="38"/>
        </w:rPr>
        <w:t>pomegranate</w:t>
      </w:r>
      <w:r>
        <w:rPr>
          <w:i/>
          <w:spacing w:val="-11"/>
          <w:sz w:val="38"/>
        </w:rPr>
        <w:t> </w:t>
      </w:r>
      <w:r>
        <w:rPr>
          <w:i/>
          <w:sz w:val="38"/>
        </w:rPr>
        <w:t>is</w:t>
      </w:r>
      <w:r>
        <w:rPr>
          <w:i/>
          <w:spacing w:val="-12"/>
          <w:sz w:val="38"/>
        </w:rPr>
        <w:t> </w:t>
      </w:r>
      <w:r>
        <w:rPr>
          <w:i/>
          <w:sz w:val="38"/>
        </w:rPr>
        <w:t>celebrated</w:t>
      </w:r>
      <w:r>
        <w:rPr>
          <w:i/>
          <w:spacing w:val="-11"/>
          <w:sz w:val="38"/>
        </w:rPr>
        <w:t> </w:t>
      </w:r>
      <w:r>
        <w:rPr>
          <w:i/>
          <w:sz w:val="38"/>
        </w:rPr>
        <w:t>in</w:t>
      </w:r>
      <w:r>
        <w:rPr>
          <w:i/>
          <w:spacing w:val="-11"/>
          <w:sz w:val="38"/>
        </w:rPr>
        <w:t> </w:t>
      </w:r>
      <w:r>
        <w:rPr>
          <w:i/>
          <w:sz w:val="38"/>
        </w:rPr>
        <w:t>the</w:t>
      </w:r>
      <w:r>
        <w:rPr>
          <w:i/>
          <w:spacing w:val="-11"/>
          <w:sz w:val="38"/>
        </w:rPr>
        <w:t> </w:t>
      </w:r>
      <w:r>
        <w:rPr>
          <w:i/>
          <w:sz w:val="38"/>
        </w:rPr>
        <w:t>USA</w:t>
      </w:r>
      <w:r>
        <w:rPr>
          <w:i/>
          <w:spacing w:val="-10"/>
          <w:sz w:val="38"/>
        </w:rPr>
        <w:t> </w:t>
      </w:r>
      <w:r>
        <w:rPr>
          <w:i/>
          <w:sz w:val="38"/>
        </w:rPr>
        <w:t>as</w:t>
      </w:r>
      <w:r>
        <w:rPr>
          <w:i/>
          <w:spacing w:val="-10"/>
          <w:sz w:val="38"/>
        </w:rPr>
        <w:t> </w:t>
      </w:r>
      <w:r>
        <w:rPr>
          <w:i/>
          <w:sz w:val="38"/>
        </w:rPr>
        <w:t>‘superfood’,</w:t>
      </w:r>
      <w:r>
        <w:rPr>
          <w:i/>
          <w:spacing w:val="-10"/>
          <w:sz w:val="38"/>
        </w:rPr>
        <w:t> </w:t>
      </w:r>
      <w:r>
        <w:rPr>
          <w:i/>
          <w:sz w:val="38"/>
        </w:rPr>
        <w:t>i.e. a</w:t>
      </w:r>
      <w:r>
        <w:rPr>
          <w:i/>
          <w:spacing w:val="41"/>
          <w:sz w:val="38"/>
        </w:rPr>
        <w:t> </w:t>
      </w:r>
      <w:r>
        <w:rPr>
          <w:i/>
          <w:sz w:val="38"/>
        </w:rPr>
        <w:t>food</w:t>
      </w:r>
      <w:r>
        <w:rPr>
          <w:i/>
          <w:spacing w:val="42"/>
          <w:sz w:val="38"/>
        </w:rPr>
        <w:t> </w:t>
      </w:r>
      <w:r>
        <w:rPr>
          <w:i/>
          <w:sz w:val="38"/>
        </w:rPr>
        <w:t>with</w:t>
      </w:r>
      <w:r>
        <w:rPr>
          <w:i/>
          <w:spacing w:val="43"/>
          <w:sz w:val="38"/>
        </w:rPr>
        <w:t> </w:t>
      </w:r>
      <w:r>
        <w:rPr>
          <w:i/>
          <w:sz w:val="38"/>
        </w:rPr>
        <w:t>high</w:t>
      </w:r>
      <w:r>
        <w:rPr>
          <w:i/>
          <w:spacing w:val="41"/>
          <w:sz w:val="38"/>
        </w:rPr>
        <w:t> </w:t>
      </w:r>
      <w:r>
        <w:rPr>
          <w:i/>
          <w:sz w:val="38"/>
        </w:rPr>
        <w:t>levels</w:t>
      </w:r>
      <w:r>
        <w:rPr>
          <w:i/>
          <w:spacing w:val="43"/>
          <w:sz w:val="38"/>
        </w:rPr>
        <w:t> </w:t>
      </w:r>
      <w:r>
        <w:rPr>
          <w:i/>
          <w:sz w:val="38"/>
        </w:rPr>
        <w:t>of</w:t>
      </w:r>
      <w:r>
        <w:rPr>
          <w:i/>
          <w:spacing w:val="44"/>
          <w:sz w:val="38"/>
        </w:rPr>
        <w:t> </w:t>
      </w:r>
      <w:r>
        <w:rPr>
          <w:i/>
          <w:sz w:val="38"/>
        </w:rPr>
        <w:t>disease-inhibiting</w:t>
      </w:r>
      <w:r>
        <w:rPr>
          <w:i/>
          <w:spacing w:val="45"/>
          <w:sz w:val="38"/>
        </w:rPr>
        <w:t> </w:t>
      </w:r>
      <w:r>
        <w:rPr>
          <w:i/>
          <w:sz w:val="38"/>
        </w:rPr>
        <w:t>nutrients.</w:t>
      </w:r>
      <w:r>
        <w:rPr>
          <w:i/>
          <w:spacing w:val="41"/>
          <w:sz w:val="38"/>
        </w:rPr>
        <w:t> </w:t>
      </w:r>
      <w:r>
        <w:rPr>
          <w:i/>
          <w:sz w:val="38"/>
        </w:rPr>
        <w:t>The</w:t>
      </w:r>
      <w:r>
        <w:rPr>
          <w:i/>
          <w:spacing w:val="42"/>
          <w:sz w:val="38"/>
        </w:rPr>
        <w:t> </w:t>
      </w:r>
      <w:r>
        <w:rPr>
          <w:i/>
          <w:sz w:val="38"/>
        </w:rPr>
        <w:t>seeds</w:t>
      </w:r>
      <w:r>
        <w:rPr>
          <w:i/>
          <w:spacing w:val="43"/>
          <w:sz w:val="38"/>
        </w:rPr>
        <w:t> </w:t>
      </w:r>
      <w:r>
        <w:rPr>
          <w:i/>
          <w:sz w:val="38"/>
        </w:rPr>
        <w:t>and</w:t>
      </w:r>
      <w:r>
        <w:rPr>
          <w:i/>
          <w:spacing w:val="43"/>
          <w:sz w:val="38"/>
        </w:rPr>
        <w:t> </w:t>
      </w:r>
      <w:r>
        <w:rPr>
          <w:i/>
          <w:sz w:val="38"/>
        </w:rPr>
        <w:t>the</w:t>
      </w:r>
      <w:r>
        <w:rPr>
          <w:i/>
          <w:spacing w:val="43"/>
          <w:sz w:val="38"/>
        </w:rPr>
        <w:t> </w:t>
      </w:r>
      <w:r>
        <w:rPr>
          <w:i/>
          <w:sz w:val="38"/>
        </w:rPr>
        <w:t>juice</w:t>
      </w:r>
      <w:r>
        <w:rPr>
          <w:i/>
          <w:spacing w:val="43"/>
          <w:sz w:val="38"/>
        </w:rPr>
        <w:t> </w:t>
      </w:r>
      <w:r>
        <w:rPr>
          <w:i/>
          <w:sz w:val="38"/>
        </w:rPr>
        <w:t>are</w:t>
      </w:r>
      <w:r>
        <w:rPr>
          <w:i/>
          <w:spacing w:val="42"/>
          <w:sz w:val="38"/>
        </w:rPr>
        <w:t> </w:t>
      </w:r>
      <w:r>
        <w:rPr>
          <w:i/>
          <w:sz w:val="38"/>
        </w:rPr>
        <w:t>rich</w:t>
      </w:r>
      <w:r>
        <w:rPr>
          <w:i/>
          <w:spacing w:val="41"/>
          <w:sz w:val="38"/>
        </w:rPr>
        <w:t> </w:t>
      </w:r>
      <w:r>
        <w:rPr>
          <w:i/>
          <w:sz w:val="38"/>
        </w:rPr>
        <w:t>in</w:t>
      </w:r>
    </w:p>
    <w:p>
      <w:pPr>
        <w:spacing w:after="0" w:line="276" w:lineRule="auto"/>
        <w:jc w:val="both"/>
        <w:rPr>
          <w:sz w:val="38"/>
        </w:rPr>
        <w:sectPr>
          <w:pgSz w:w="14270" w:h="16850"/>
          <w:pgMar w:header="0" w:footer="1891" w:top="1600" w:bottom="2080" w:left="800" w:right="1280"/>
        </w:sectPr>
      </w:pPr>
    </w:p>
    <w:p>
      <w:pPr>
        <w:spacing w:line="276" w:lineRule="auto" w:before="181"/>
        <w:ind w:left="477" w:right="132" w:firstLine="0"/>
        <w:jc w:val="both"/>
        <w:rPr>
          <w:sz w:val="38"/>
        </w:rPr>
      </w:pPr>
      <w:r>
        <w:rPr>
          <w:i/>
          <w:sz w:val="38"/>
        </w:rPr>
        <w:t>vitamins,</w:t>
      </w:r>
      <w:r>
        <w:rPr>
          <w:i/>
          <w:spacing w:val="-20"/>
          <w:sz w:val="38"/>
        </w:rPr>
        <w:t> </w:t>
      </w:r>
      <w:r>
        <w:rPr>
          <w:i/>
          <w:sz w:val="38"/>
        </w:rPr>
        <w:t>iron,</w:t>
      </w:r>
      <w:r>
        <w:rPr>
          <w:i/>
          <w:spacing w:val="-19"/>
          <w:sz w:val="38"/>
        </w:rPr>
        <w:t> </w:t>
      </w:r>
      <w:r>
        <w:rPr>
          <w:i/>
          <w:sz w:val="38"/>
        </w:rPr>
        <w:t>potassium</w:t>
      </w:r>
      <w:r>
        <w:rPr>
          <w:i/>
          <w:spacing w:val="-19"/>
          <w:sz w:val="38"/>
        </w:rPr>
        <w:t> </w:t>
      </w:r>
      <w:r>
        <w:rPr>
          <w:i/>
          <w:sz w:val="38"/>
        </w:rPr>
        <w:t>and</w:t>
      </w:r>
      <w:r>
        <w:rPr>
          <w:i/>
          <w:spacing w:val="-20"/>
          <w:sz w:val="38"/>
        </w:rPr>
        <w:t> </w:t>
      </w:r>
      <w:r>
        <w:rPr>
          <w:i/>
          <w:sz w:val="38"/>
        </w:rPr>
        <w:t>fibre</w:t>
      </w:r>
      <w:r>
        <w:rPr>
          <w:i/>
          <w:spacing w:val="-20"/>
          <w:sz w:val="38"/>
        </w:rPr>
        <w:t> </w:t>
      </w:r>
      <w:r>
        <w:rPr>
          <w:i/>
          <w:sz w:val="38"/>
        </w:rPr>
        <w:t>and</w:t>
      </w:r>
      <w:r>
        <w:rPr>
          <w:i/>
          <w:spacing w:val="-20"/>
          <w:sz w:val="38"/>
        </w:rPr>
        <w:t> </w:t>
      </w:r>
      <w:r>
        <w:rPr>
          <w:i/>
          <w:sz w:val="38"/>
        </w:rPr>
        <w:t>full</w:t>
      </w:r>
      <w:r>
        <w:rPr>
          <w:i/>
          <w:spacing w:val="-19"/>
          <w:sz w:val="38"/>
        </w:rPr>
        <w:t> </w:t>
      </w:r>
      <w:r>
        <w:rPr>
          <w:i/>
          <w:sz w:val="38"/>
        </w:rPr>
        <w:t>of</w:t>
      </w:r>
      <w:r>
        <w:rPr>
          <w:i/>
          <w:spacing w:val="-19"/>
          <w:sz w:val="38"/>
        </w:rPr>
        <w:t> </w:t>
      </w:r>
      <w:r>
        <w:rPr>
          <w:i/>
          <w:sz w:val="38"/>
        </w:rPr>
        <w:t>antioxidants</w:t>
      </w:r>
      <w:r>
        <w:rPr>
          <w:i/>
          <w:spacing w:val="-20"/>
          <w:sz w:val="38"/>
        </w:rPr>
        <w:t> </w:t>
      </w:r>
      <w:r>
        <w:rPr>
          <w:i/>
          <w:sz w:val="38"/>
        </w:rPr>
        <w:t>that</w:t>
      </w:r>
      <w:r>
        <w:rPr>
          <w:i/>
          <w:spacing w:val="-21"/>
          <w:sz w:val="38"/>
        </w:rPr>
        <w:t> </w:t>
      </w:r>
      <w:r>
        <w:rPr>
          <w:i/>
          <w:sz w:val="38"/>
        </w:rPr>
        <w:t>counteract</w:t>
      </w:r>
      <w:r>
        <w:rPr>
          <w:i/>
          <w:spacing w:val="-21"/>
          <w:sz w:val="38"/>
        </w:rPr>
        <w:t> </w:t>
      </w:r>
      <w:r>
        <w:rPr>
          <w:i/>
          <w:sz w:val="38"/>
        </w:rPr>
        <w:t>the</w:t>
      </w:r>
      <w:r>
        <w:rPr>
          <w:i/>
          <w:spacing w:val="-23"/>
          <w:sz w:val="38"/>
        </w:rPr>
        <w:t> </w:t>
      </w:r>
      <w:r>
        <w:rPr>
          <w:i/>
          <w:sz w:val="38"/>
        </w:rPr>
        <w:t>ageing</w:t>
      </w:r>
      <w:r>
        <w:rPr>
          <w:i/>
          <w:spacing w:val="-20"/>
          <w:sz w:val="38"/>
        </w:rPr>
        <w:t> </w:t>
      </w:r>
      <w:r>
        <w:rPr>
          <w:i/>
          <w:sz w:val="38"/>
        </w:rPr>
        <w:t>process’. </w:t>
      </w:r>
      <w:r>
        <w:rPr>
          <w:sz w:val="38"/>
        </w:rPr>
        <w:t>(Laura Wieland, ‘Granatapfel – die Vitamin-Bombe’ (‘Pomegranate – the vita- min bomb’), </w:t>
      </w:r>
      <w:r>
        <w:rPr>
          <w:i/>
          <w:sz w:val="38"/>
        </w:rPr>
        <w:t>Der Tagesspiegel </w:t>
      </w:r>
      <w:r>
        <w:rPr>
          <w:sz w:val="38"/>
        </w:rPr>
        <w:t>23 November</w:t>
      </w:r>
      <w:r>
        <w:rPr>
          <w:spacing w:val="1"/>
          <w:sz w:val="38"/>
        </w:rPr>
        <w:t> </w:t>
      </w:r>
      <w:r>
        <w:rPr>
          <w:sz w:val="38"/>
        </w:rPr>
        <w:t>2008)</w:t>
      </w:r>
    </w:p>
    <w:p>
      <w:pPr>
        <w:spacing w:line="276" w:lineRule="auto" w:before="242"/>
        <w:ind w:left="477" w:right="130" w:firstLine="0"/>
        <w:jc w:val="both"/>
        <w:rPr>
          <w:sz w:val="38"/>
        </w:rPr>
      </w:pPr>
      <w:r>
        <w:rPr>
          <w:sz w:val="38"/>
        </w:rPr>
        <w:t>‘</w:t>
      </w:r>
      <w:r>
        <w:rPr>
          <w:i/>
          <w:sz w:val="38"/>
        </w:rPr>
        <w:t>The interest in pomegranate from physicians and nutritionists has increased enormously in </w:t>
      </w:r>
      <w:r>
        <w:rPr>
          <w:i/>
          <w:sz w:val="38"/>
        </w:rPr>
        <w:t>recent years. No other fruit has been the subject of publication in so many scientific studies in recognised journals in recent years. The studies have focused on the significant antioxidant potential of pomegranate. The positive effect of this fruit on cardiovascular diseases, diabetes mellitus, osteoporosis and chronic inflammatory processes is considered proven’. </w:t>
      </w:r>
      <w:r>
        <w:rPr>
          <w:sz w:val="38"/>
        </w:rPr>
        <w:t>(Diabetes- informationszentrum.de, 24 November 2009)</w:t>
      </w:r>
    </w:p>
    <w:p>
      <w:pPr>
        <w:pStyle w:val="Heading1"/>
        <w:spacing w:before="223"/>
        <w:jc w:val="both"/>
      </w:pPr>
      <w:r>
        <w:rPr/>
        <w:t>Pomegranate use</w:t>
      </w:r>
    </w:p>
    <w:p>
      <w:pPr>
        <w:pStyle w:val="BodyText"/>
        <w:spacing w:line="276" w:lineRule="auto" w:before="299"/>
        <w:ind w:left="477" w:right="130"/>
        <w:jc w:val="both"/>
      </w:pPr>
      <w:r>
        <w:rPr/>
        <w:t>Pomegranate</w:t>
      </w:r>
      <w:r>
        <w:rPr>
          <w:spacing w:val="-7"/>
        </w:rPr>
        <w:t> </w:t>
      </w:r>
      <w:r>
        <w:rPr/>
        <w:t>can</w:t>
      </w:r>
      <w:r>
        <w:rPr>
          <w:spacing w:val="-6"/>
        </w:rPr>
        <w:t> </w:t>
      </w:r>
      <w:r>
        <w:rPr/>
        <w:t>be</w:t>
      </w:r>
      <w:r>
        <w:rPr>
          <w:spacing w:val="-8"/>
        </w:rPr>
        <w:t> </w:t>
      </w:r>
      <w:r>
        <w:rPr/>
        <w:t>used</w:t>
      </w:r>
      <w:r>
        <w:rPr>
          <w:spacing w:val="-7"/>
        </w:rPr>
        <w:t> </w:t>
      </w:r>
      <w:r>
        <w:rPr/>
        <w:t>in</w:t>
      </w:r>
      <w:r>
        <w:rPr>
          <w:spacing w:val="-9"/>
        </w:rPr>
        <w:t> </w:t>
      </w:r>
      <w:r>
        <w:rPr/>
        <w:t>a</w:t>
      </w:r>
      <w:r>
        <w:rPr>
          <w:spacing w:val="-8"/>
        </w:rPr>
        <w:t> </w:t>
      </w:r>
      <w:r>
        <w:rPr/>
        <w:t>variety</w:t>
      </w:r>
      <w:r>
        <w:rPr>
          <w:spacing w:val="-7"/>
        </w:rPr>
        <w:t> </w:t>
      </w:r>
      <w:r>
        <w:rPr/>
        <w:t>of</w:t>
      </w:r>
      <w:r>
        <w:rPr>
          <w:spacing w:val="-7"/>
        </w:rPr>
        <w:t> </w:t>
      </w:r>
      <w:r>
        <w:rPr/>
        <w:t>ways</w:t>
      </w:r>
      <w:r>
        <w:rPr>
          <w:spacing w:val="-7"/>
        </w:rPr>
        <w:t> </w:t>
      </w:r>
      <w:r>
        <w:rPr/>
        <w:t>and</w:t>
      </w:r>
      <w:r>
        <w:rPr>
          <w:spacing w:val="-7"/>
        </w:rPr>
        <w:t> </w:t>
      </w:r>
      <w:r>
        <w:rPr/>
        <w:t>has</w:t>
      </w:r>
      <w:r>
        <w:rPr>
          <w:spacing w:val="-6"/>
        </w:rPr>
        <w:t> </w:t>
      </w:r>
      <w:r>
        <w:rPr/>
        <w:t>traditionally</w:t>
      </w:r>
      <w:r>
        <w:rPr>
          <w:spacing w:val="-7"/>
        </w:rPr>
        <w:t> </w:t>
      </w:r>
      <w:r>
        <w:rPr/>
        <w:t>been</w:t>
      </w:r>
      <w:r>
        <w:rPr>
          <w:spacing w:val="-8"/>
        </w:rPr>
        <w:t> </w:t>
      </w:r>
      <w:r>
        <w:rPr/>
        <w:t>used</w:t>
      </w:r>
      <w:r>
        <w:rPr>
          <w:spacing w:val="-7"/>
        </w:rPr>
        <w:t> </w:t>
      </w:r>
      <w:r>
        <w:rPr/>
        <w:t>in different ways by different peoples. In the Orient, it is an important part of</w:t>
      </w:r>
      <w:r>
        <w:rPr>
          <w:spacing w:val="-48"/>
        </w:rPr>
        <w:t> </w:t>
      </w:r>
      <w:r>
        <w:rPr/>
        <w:t>the daily diet and all of it is consumed. The strong colour, which stubbornly clings to textiles, is also used to colour carpets. In India, pomegranate is used as a spice, but also as a food and also as a dye for textiles. Aboriginal peoples used all</w:t>
      </w:r>
      <w:r>
        <w:rPr>
          <w:spacing w:val="-16"/>
        </w:rPr>
        <w:t> </w:t>
      </w:r>
      <w:r>
        <w:rPr/>
        <w:t>the</w:t>
      </w:r>
      <w:r>
        <w:rPr>
          <w:spacing w:val="-12"/>
        </w:rPr>
        <w:t> </w:t>
      </w:r>
      <w:r>
        <w:rPr/>
        <w:t>ingredients</w:t>
      </w:r>
      <w:r>
        <w:rPr>
          <w:spacing w:val="-12"/>
        </w:rPr>
        <w:t> </w:t>
      </w:r>
      <w:r>
        <w:rPr/>
        <w:t>of</w:t>
      </w:r>
      <w:r>
        <w:rPr>
          <w:spacing w:val="-13"/>
        </w:rPr>
        <w:t> </w:t>
      </w:r>
      <w:r>
        <w:rPr/>
        <w:t>the</w:t>
      </w:r>
      <w:r>
        <w:rPr>
          <w:spacing w:val="-13"/>
        </w:rPr>
        <w:t> </w:t>
      </w:r>
      <w:r>
        <w:rPr/>
        <w:t>pomegranate</w:t>
      </w:r>
      <w:r>
        <w:rPr>
          <w:spacing w:val="-13"/>
        </w:rPr>
        <w:t> </w:t>
      </w:r>
      <w:r>
        <w:rPr/>
        <w:t>for</w:t>
      </w:r>
      <w:r>
        <w:rPr>
          <w:spacing w:val="-12"/>
        </w:rPr>
        <w:t> </w:t>
      </w:r>
      <w:r>
        <w:rPr/>
        <w:t>the</w:t>
      </w:r>
      <w:r>
        <w:rPr>
          <w:spacing w:val="-12"/>
        </w:rPr>
        <w:t> </w:t>
      </w:r>
      <w:r>
        <w:rPr/>
        <w:t>treatment</w:t>
      </w:r>
      <w:r>
        <w:rPr>
          <w:spacing w:val="-14"/>
        </w:rPr>
        <w:t> </w:t>
      </w:r>
      <w:r>
        <w:rPr/>
        <w:t>of</w:t>
      </w:r>
      <w:r>
        <w:rPr>
          <w:spacing w:val="-13"/>
        </w:rPr>
        <w:t> </w:t>
      </w:r>
      <w:r>
        <w:rPr/>
        <w:t>all</w:t>
      </w:r>
      <w:r>
        <w:rPr>
          <w:spacing w:val="-15"/>
        </w:rPr>
        <w:t> </w:t>
      </w:r>
      <w:r>
        <w:rPr/>
        <w:t>sorts</w:t>
      </w:r>
      <w:r>
        <w:rPr>
          <w:spacing w:val="-12"/>
        </w:rPr>
        <w:t> </w:t>
      </w:r>
      <w:r>
        <w:rPr/>
        <w:t>of</w:t>
      </w:r>
      <w:r>
        <w:rPr>
          <w:spacing w:val="-13"/>
        </w:rPr>
        <w:t> </w:t>
      </w:r>
      <w:r>
        <w:rPr/>
        <w:t>suffering, such as diarrhoea, ulcers, parodontosis, throat infections and oral</w:t>
      </w:r>
      <w:r>
        <w:rPr>
          <w:spacing w:val="-13"/>
        </w:rPr>
        <w:t> </w:t>
      </w:r>
      <w:r>
        <w:rPr/>
        <w:t>aphthae.</w:t>
      </w:r>
    </w:p>
    <w:p>
      <w:pPr>
        <w:pStyle w:val="BodyText"/>
        <w:spacing w:line="276" w:lineRule="auto" w:before="241"/>
        <w:ind w:left="477" w:right="136"/>
        <w:jc w:val="both"/>
      </w:pPr>
      <w:r>
        <w:rPr/>
        <w:t>The trend in Western Europe and the United States with the wellness move- ment led to a small ‘hype’ around the pomegranate; for example, there are 90,000 German-languages searches for ‘pomegranate’ on Google every</w:t>
      </w:r>
      <w:r>
        <w:rPr>
          <w:spacing w:val="-23"/>
        </w:rPr>
        <w:t> </w:t>
      </w:r>
      <w:r>
        <w:rPr/>
        <w:t>month.</w:t>
      </w:r>
    </w:p>
    <w:p>
      <w:pPr>
        <w:pStyle w:val="BodyText"/>
        <w:spacing w:before="239"/>
        <w:ind w:left="477"/>
        <w:jc w:val="both"/>
      </w:pPr>
      <w:r>
        <w:rPr/>
        <w:t>Its</w:t>
      </w:r>
      <w:r>
        <w:rPr>
          <w:spacing w:val="10"/>
        </w:rPr>
        <w:t> </w:t>
      </w:r>
      <w:r>
        <w:rPr/>
        <w:t>use</w:t>
      </w:r>
      <w:r>
        <w:rPr>
          <w:spacing w:val="9"/>
        </w:rPr>
        <w:t> </w:t>
      </w:r>
      <w:r>
        <w:rPr/>
        <w:t>extends</w:t>
      </w:r>
      <w:r>
        <w:rPr>
          <w:spacing w:val="11"/>
        </w:rPr>
        <w:t> </w:t>
      </w:r>
      <w:r>
        <w:rPr/>
        <w:t>from</w:t>
      </w:r>
      <w:r>
        <w:rPr>
          <w:spacing w:val="10"/>
        </w:rPr>
        <w:t> </w:t>
      </w:r>
      <w:r>
        <w:rPr/>
        <w:t>juices</w:t>
      </w:r>
      <w:r>
        <w:rPr>
          <w:spacing w:val="11"/>
        </w:rPr>
        <w:t> </w:t>
      </w:r>
      <w:r>
        <w:rPr/>
        <w:t>and</w:t>
      </w:r>
      <w:r>
        <w:rPr>
          <w:spacing w:val="12"/>
        </w:rPr>
        <w:t> </w:t>
      </w:r>
      <w:r>
        <w:rPr/>
        <w:t>nutritional</w:t>
      </w:r>
      <w:r>
        <w:rPr>
          <w:spacing w:val="9"/>
        </w:rPr>
        <w:t> </w:t>
      </w:r>
      <w:r>
        <w:rPr/>
        <w:t>supplements</w:t>
      </w:r>
      <w:r>
        <w:rPr>
          <w:spacing w:val="10"/>
        </w:rPr>
        <w:t> </w:t>
      </w:r>
      <w:r>
        <w:rPr/>
        <w:t>to</w:t>
      </w:r>
      <w:r>
        <w:rPr>
          <w:spacing w:val="11"/>
        </w:rPr>
        <w:t> </w:t>
      </w:r>
      <w:r>
        <w:rPr/>
        <w:t>ensure</w:t>
      </w:r>
      <w:r>
        <w:rPr>
          <w:spacing w:val="10"/>
        </w:rPr>
        <w:t> </w:t>
      </w:r>
      <w:r>
        <w:rPr/>
        <w:t>a</w:t>
      </w:r>
      <w:r>
        <w:rPr>
          <w:spacing w:val="9"/>
        </w:rPr>
        <w:t> </w:t>
      </w:r>
      <w:r>
        <w:rPr/>
        <w:t>longer</w:t>
      </w:r>
      <w:r>
        <w:rPr>
          <w:spacing w:val="12"/>
        </w:rPr>
        <w:t> </w:t>
      </w:r>
      <w:r>
        <w:rPr/>
        <w:t>life</w:t>
      </w:r>
    </w:p>
    <w:p>
      <w:pPr>
        <w:spacing w:after="0"/>
        <w:jc w:val="both"/>
        <w:sectPr>
          <w:pgSz w:w="14270" w:h="16850"/>
          <w:pgMar w:header="0" w:footer="1891" w:top="1600" w:bottom="2080" w:left="800" w:right="1280"/>
        </w:sectPr>
      </w:pPr>
    </w:p>
    <w:p>
      <w:pPr>
        <w:pStyle w:val="BodyText"/>
        <w:spacing w:before="181"/>
        <w:ind w:left="477"/>
      </w:pPr>
      <w:r>
        <w:rPr/>
        <w:t>in optimal health, to cosmetics, for example, to preserve the beauty of the skin.</w:t>
      </w:r>
    </w:p>
    <w:p>
      <w:pPr>
        <w:pStyle w:val="Heading2"/>
        <w:spacing w:before="305"/>
      </w:pPr>
      <w:r>
        <w:rPr/>
        <w:t>Pomegranate – the variety of products</w:t>
      </w:r>
    </w:p>
    <w:p>
      <w:pPr>
        <w:pStyle w:val="BodyText"/>
        <w:spacing w:line="276" w:lineRule="auto" w:before="304"/>
        <w:ind w:left="477" w:right="132"/>
        <w:jc w:val="both"/>
      </w:pPr>
      <w:r>
        <w:rPr/>
        <w:t>You can consume the pomegranate as a fruit or in the form of juices, concen- trates,</w:t>
      </w:r>
      <w:r>
        <w:rPr>
          <w:spacing w:val="-7"/>
        </w:rPr>
        <w:t> </w:t>
      </w:r>
      <w:r>
        <w:rPr/>
        <w:t>capsules</w:t>
      </w:r>
      <w:r>
        <w:rPr>
          <w:spacing w:val="-12"/>
        </w:rPr>
        <w:t> </w:t>
      </w:r>
      <w:r>
        <w:rPr/>
        <w:t>or</w:t>
      </w:r>
      <w:r>
        <w:rPr>
          <w:spacing w:val="-7"/>
        </w:rPr>
        <w:t> </w:t>
      </w:r>
      <w:r>
        <w:rPr/>
        <w:t>as</w:t>
      </w:r>
      <w:r>
        <w:rPr>
          <w:spacing w:val="-11"/>
        </w:rPr>
        <w:t> </w:t>
      </w:r>
      <w:r>
        <w:rPr/>
        <w:t>a</w:t>
      </w:r>
      <w:r>
        <w:rPr>
          <w:spacing w:val="-12"/>
        </w:rPr>
        <w:t> </w:t>
      </w:r>
      <w:r>
        <w:rPr/>
        <w:t>cosmetic.</w:t>
      </w:r>
      <w:r>
        <w:rPr>
          <w:spacing w:val="-10"/>
        </w:rPr>
        <w:t> </w:t>
      </w:r>
      <w:r>
        <w:rPr/>
        <w:t>To</w:t>
      </w:r>
      <w:r>
        <w:rPr>
          <w:spacing w:val="-10"/>
        </w:rPr>
        <w:t> </w:t>
      </w:r>
      <w:r>
        <w:rPr/>
        <w:t>eat</w:t>
      </w:r>
      <w:r>
        <w:rPr>
          <w:spacing w:val="-9"/>
        </w:rPr>
        <w:t> </w:t>
      </w:r>
      <w:r>
        <w:rPr/>
        <w:t>the</w:t>
      </w:r>
      <w:r>
        <w:rPr>
          <w:spacing w:val="-10"/>
        </w:rPr>
        <w:t> </w:t>
      </w:r>
      <w:r>
        <w:rPr/>
        <w:t>kernels,</w:t>
      </w:r>
      <w:r>
        <w:rPr>
          <w:spacing w:val="-8"/>
        </w:rPr>
        <w:t> </w:t>
      </w:r>
      <w:r>
        <w:rPr/>
        <w:t>halve</w:t>
      </w:r>
      <w:r>
        <w:rPr>
          <w:spacing w:val="-11"/>
        </w:rPr>
        <w:t> </w:t>
      </w:r>
      <w:r>
        <w:rPr/>
        <w:t>the</w:t>
      </w:r>
      <w:r>
        <w:rPr>
          <w:spacing w:val="-10"/>
        </w:rPr>
        <w:t> </w:t>
      </w:r>
      <w:r>
        <w:rPr/>
        <w:t>fruit</w:t>
      </w:r>
      <w:r>
        <w:rPr>
          <w:spacing w:val="-9"/>
        </w:rPr>
        <w:t> </w:t>
      </w:r>
      <w:r>
        <w:rPr/>
        <w:t>or</w:t>
      </w:r>
      <w:r>
        <w:rPr>
          <w:spacing w:val="-8"/>
        </w:rPr>
        <w:t> </w:t>
      </w:r>
      <w:r>
        <w:rPr/>
        <w:t>peel</w:t>
      </w:r>
      <w:r>
        <w:rPr>
          <w:spacing w:val="-11"/>
        </w:rPr>
        <w:t> </w:t>
      </w:r>
      <w:r>
        <w:rPr/>
        <w:t>it</w:t>
      </w:r>
      <w:r>
        <w:rPr>
          <w:spacing w:val="-10"/>
        </w:rPr>
        <w:t> </w:t>
      </w:r>
      <w:r>
        <w:rPr/>
        <w:t>like an orange. The seeds can now be picked easily with a</w:t>
      </w:r>
      <w:r>
        <w:rPr>
          <w:spacing w:val="-1"/>
        </w:rPr>
        <w:t> </w:t>
      </w:r>
      <w:r>
        <w:rPr/>
        <w:t>fork.</w:t>
      </w:r>
    </w:p>
    <w:p>
      <w:pPr>
        <w:pStyle w:val="BodyText"/>
        <w:spacing w:line="276" w:lineRule="auto" w:before="240"/>
        <w:ind w:left="477" w:right="135"/>
        <w:jc w:val="both"/>
      </w:pPr>
      <w:r>
        <w:rPr/>
        <w:t>You can also make pomegranate juice yourself. To do this, pick out the many red seeds and then process them with a blender or a juicer. This is probably a bit inconvenient, but in well-stocked supermarkets and health food stores, you can buy the juice for around 8-12 euros per litre. The popularity and the versa- tility of applications has meant that the pomegranate is available in various forms in shops:</w:t>
      </w:r>
    </w:p>
    <w:p>
      <w:pPr>
        <w:pStyle w:val="Heading1"/>
        <w:spacing w:before="222"/>
        <w:jc w:val="both"/>
      </w:pPr>
      <w:r>
        <w:rPr/>
        <w:t>Pomegranate in liquid form</w:t>
      </w:r>
    </w:p>
    <w:p>
      <w:pPr>
        <w:pStyle w:val="ListParagraph"/>
        <w:numPr>
          <w:ilvl w:val="0"/>
          <w:numId w:val="33"/>
        </w:numPr>
        <w:tabs>
          <w:tab w:pos="1179" w:val="left" w:leader="none"/>
        </w:tabs>
        <w:spacing w:line="240" w:lineRule="auto" w:before="182" w:after="0"/>
        <w:ind w:left="1178" w:right="0" w:hanging="701"/>
        <w:jc w:val="both"/>
        <w:rPr>
          <w:sz w:val="38"/>
        </w:rPr>
      </w:pPr>
      <w:r>
        <w:rPr>
          <w:sz w:val="38"/>
        </w:rPr>
        <w:t>Pomegranate</w:t>
      </w:r>
      <w:r>
        <w:rPr>
          <w:spacing w:val="-1"/>
          <w:sz w:val="38"/>
        </w:rPr>
        <w:t> </w:t>
      </w:r>
      <w:r>
        <w:rPr>
          <w:sz w:val="38"/>
        </w:rPr>
        <w:t>juice</w:t>
      </w:r>
    </w:p>
    <w:p>
      <w:pPr>
        <w:pStyle w:val="ListParagraph"/>
        <w:numPr>
          <w:ilvl w:val="0"/>
          <w:numId w:val="33"/>
        </w:numPr>
        <w:tabs>
          <w:tab w:pos="1179" w:val="left" w:leader="none"/>
        </w:tabs>
        <w:spacing w:line="240" w:lineRule="auto" w:before="66" w:after="0"/>
        <w:ind w:left="1178" w:right="0" w:hanging="701"/>
        <w:jc w:val="both"/>
        <w:rPr>
          <w:sz w:val="38"/>
        </w:rPr>
      </w:pPr>
      <w:r>
        <w:rPr>
          <w:sz w:val="38"/>
        </w:rPr>
        <w:t>Pomegranate</w:t>
      </w:r>
      <w:r>
        <w:rPr>
          <w:spacing w:val="-1"/>
          <w:sz w:val="38"/>
        </w:rPr>
        <w:t> </w:t>
      </w:r>
      <w:r>
        <w:rPr>
          <w:sz w:val="38"/>
        </w:rPr>
        <w:t>concentrates</w:t>
      </w:r>
    </w:p>
    <w:p>
      <w:pPr>
        <w:pStyle w:val="ListParagraph"/>
        <w:numPr>
          <w:ilvl w:val="0"/>
          <w:numId w:val="33"/>
        </w:numPr>
        <w:tabs>
          <w:tab w:pos="1179" w:val="left" w:leader="none"/>
        </w:tabs>
        <w:spacing w:line="240" w:lineRule="auto" w:before="63" w:after="0"/>
        <w:ind w:left="1178" w:right="0" w:hanging="701"/>
        <w:jc w:val="both"/>
        <w:rPr>
          <w:sz w:val="38"/>
        </w:rPr>
      </w:pPr>
      <w:r>
        <w:rPr>
          <w:sz w:val="38"/>
        </w:rPr>
        <w:t>Pomegranate</w:t>
      </w:r>
      <w:r>
        <w:rPr>
          <w:spacing w:val="-1"/>
          <w:sz w:val="38"/>
        </w:rPr>
        <w:t> </w:t>
      </w:r>
      <w:r>
        <w:rPr>
          <w:sz w:val="38"/>
        </w:rPr>
        <w:t>syrup</w:t>
      </w:r>
    </w:p>
    <w:p>
      <w:pPr>
        <w:pStyle w:val="ListParagraph"/>
        <w:numPr>
          <w:ilvl w:val="0"/>
          <w:numId w:val="33"/>
        </w:numPr>
        <w:tabs>
          <w:tab w:pos="1179" w:val="left" w:leader="none"/>
        </w:tabs>
        <w:spacing w:line="240" w:lineRule="auto" w:before="64" w:after="0"/>
        <w:ind w:left="1178" w:right="0" w:hanging="701"/>
        <w:jc w:val="both"/>
        <w:rPr>
          <w:sz w:val="38"/>
        </w:rPr>
      </w:pPr>
      <w:r>
        <w:rPr>
          <w:sz w:val="38"/>
        </w:rPr>
        <w:t>Pomegranate rind</w:t>
      </w:r>
      <w:r>
        <w:rPr>
          <w:spacing w:val="-15"/>
          <w:sz w:val="38"/>
        </w:rPr>
        <w:t> </w:t>
      </w:r>
      <w:r>
        <w:rPr>
          <w:sz w:val="38"/>
        </w:rPr>
        <w:t>tea</w:t>
      </w:r>
    </w:p>
    <w:p>
      <w:pPr>
        <w:pStyle w:val="ListParagraph"/>
        <w:numPr>
          <w:ilvl w:val="0"/>
          <w:numId w:val="33"/>
        </w:numPr>
        <w:tabs>
          <w:tab w:pos="1179" w:val="left" w:leader="none"/>
        </w:tabs>
        <w:spacing w:line="240" w:lineRule="auto" w:before="63" w:after="0"/>
        <w:ind w:left="1178" w:right="0" w:hanging="701"/>
        <w:jc w:val="both"/>
        <w:rPr>
          <w:sz w:val="38"/>
        </w:rPr>
      </w:pPr>
      <w:r>
        <w:rPr>
          <w:sz w:val="38"/>
        </w:rPr>
        <w:t>Pomegranate seed</w:t>
      </w:r>
      <w:r>
        <w:rPr>
          <w:spacing w:val="-15"/>
          <w:sz w:val="38"/>
        </w:rPr>
        <w:t> </w:t>
      </w:r>
      <w:r>
        <w:rPr>
          <w:sz w:val="38"/>
        </w:rPr>
        <w:t>oil</w:t>
      </w:r>
    </w:p>
    <w:p>
      <w:pPr>
        <w:pStyle w:val="Heading1"/>
        <w:spacing w:before="285"/>
        <w:jc w:val="both"/>
      </w:pPr>
      <w:r>
        <w:rPr/>
        <w:t>Pomegranate in capsule form</w:t>
      </w:r>
    </w:p>
    <w:p>
      <w:pPr>
        <w:pStyle w:val="ListParagraph"/>
        <w:numPr>
          <w:ilvl w:val="1"/>
          <w:numId w:val="33"/>
        </w:numPr>
        <w:tabs>
          <w:tab w:pos="1192" w:val="left" w:leader="none"/>
          <w:tab w:pos="1193" w:val="left" w:leader="none"/>
        </w:tabs>
        <w:spacing w:line="240" w:lineRule="auto" w:before="182" w:after="0"/>
        <w:ind w:left="1192" w:right="0" w:hanging="360"/>
        <w:jc w:val="left"/>
        <w:rPr>
          <w:sz w:val="38"/>
        </w:rPr>
      </w:pPr>
      <w:r>
        <w:rPr>
          <w:sz w:val="38"/>
        </w:rPr>
        <w:t>in its pure</w:t>
      </w:r>
      <w:r>
        <w:rPr>
          <w:spacing w:val="1"/>
          <w:sz w:val="38"/>
        </w:rPr>
        <w:t> </w:t>
      </w:r>
      <w:r>
        <w:rPr>
          <w:sz w:val="38"/>
        </w:rPr>
        <w:t>form</w:t>
      </w:r>
    </w:p>
    <w:p>
      <w:pPr>
        <w:pStyle w:val="ListParagraph"/>
        <w:numPr>
          <w:ilvl w:val="1"/>
          <w:numId w:val="33"/>
        </w:numPr>
        <w:tabs>
          <w:tab w:pos="1192" w:val="left" w:leader="none"/>
          <w:tab w:pos="1193" w:val="left" w:leader="none"/>
        </w:tabs>
        <w:spacing w:line="240" w:lineRule="auto" w:before="63" w:after="0"/>
        <w:ind w:left="1192" w:right="0" w:hanging="360"/>
        <w:jc w:val="left"/>
        <w:rPr>
          <w:sz w:val="38"/>
        </w:rPr>
      </w:pPr>
      <w:r>
        <w:rPr>
          <w:sz w:val="38"/>
        </w:rPr>
        <w:t>in combination with other active ingredients (vitamins, antioxidants,</w:t>
      </w:r>
      <w:r>
        <w:rPr>
          <w:spacing w:val="-26"/>
          <w:sz w:val="38"/>
        </w:rPr>
        <w:t> </w:t>
      </w:r>
      <w:r>
        <w:rPr>
          <w:sz w:val="38"/>
        </w:rPr>
        <w:t>etc.)</w:t>
      </w:r>
    </w:p>
    <w:p>
      <w:pPr>
        <w:spacing w:after="0" w:line="240" w:lineRule="auto"/>
        <w:jc w:val="left"/>
        <w:rPr>
          <w:sz w:val="38"/>
        </w:rPr>
        <w:sectPr>
          <w:pgSz w:w="14270" w:h="16850"/>
          <w:pgMar w:header="0" w:footer="1891" w:top="1600" w:bottom="2080" w:left="800" w:right="1280"/>
        </w:sectPr>
      </w:pPr>
    </w:p>
    <w:p>
      <w:pPr>
        <w:pStyle w:val="BodyText"/>
        <w:spacing w:before="10"/>
        <w:rPr>
          <w:sz w:val="8"/>
        </w:rPr>
      </w:pPr>
    </w:p>
    <w:p>
      <w:pPr>
        <w:pStyle w:val="ListParagraph"/>
        <w:numPr>
          <w:ilvl w:val="1"/>
          <w:numId w:val="33"/>
        </w:numPr>
        <w:tabs>
          <w:tab w:pos="1192" w:val="left" w:leader="none"/>
          <w:tab w:pos="1193" w:val="left" w:leader="none"/>
        </w:tabs>
        <w:spacing w:line="240" w:lineRule="auto" w:before="83" w:after="0"/>
        <w:ind w:left="1192" w:right="0" w:hanging="360"/>
        <w:jc w:val="left"/>
        <w:rPr>
          <w:sz w:val="38"/>
        </w:rPr>
      </w:pPr>
      <w:r>
        <w:rPr>
          <w:sz w:val="38"/>
        </w:rPr>
        <w:t>pomegranate seed oil</w:t>
      </w:r>
      <w:r>
        <w:rPr>
          <w:spacing w:val="4"/>
          <w:sz w:val="38"/>
        </w:rPr>
        <w:t> </w:t>
      </w:r>
      <w:r>
        <w:rPr>
          <w:sz w:val="38"/>
        </w:rPr>
        <w:t>capsules</w:t>
      </w:r>
    </w:p>
    <w:p>
      <w:pPr>
        <w:pStyle w:val="BodyText"/>
        <w:spacing w:line="276" w:lineRule="auto" w:before="302"/>
        <w:ind w:left="477" w:right="131"/>
        <w:jc w:val="both"/>
      </w:pPr>
      <w:r>
        <w:rPr/>
        <w:t>At this point, it is very important to point out that the conviction of all experts is</w:t>
      </w:r>
      <w:r>
        <w:rPr>
          <w:spacing w:val="-12"/>
        </w:rPr>
        <w:t> </w:t>
      </w:r>
      <w:r>
        <w:rPr/>
        <w:t>that</w:t>
      </w:r>
      <w:r>
        <w:rPr>
          <w:spacing w:val="-12"/>
        </w:rPr>
        <w:t> </w:t>
      </w:r>
      <w:r>
        <w:rPr/>
        <w:t>it</w:t>
      </w:r>
      <w:r>
        <w:rPr>
          <w:spacing w:val="-13"/>
        </w:rPr>
        <w:t> </w:t>
      </w:r>
      <w:r>
        <w:rPr/>
        <w:t>is</w:t>
      </w:r>
      <w:r>
        <w:rPr>
          <w:spacing w:val="-13"/>
        </w:rPr>
        <w:t> </w:t>
      </w:r>
      <w:r>
        <w:rPr/>
        <w:t>not</w:t>
      </w:r>
      <w:r>
        <w:rPr>
          <w:spacing w:val="-14"/>
        </w:rPr>
        <w:t> </w:t>
      </w:r>
      <w:r>
        <w:rPr/>
        <w:t>individual</w:t>
      </w:r>
      <w:r>
        <w:rPr>
          <w:spacing w:val="-11"/>
        </w:rPr>
        <w:t> </w:t>
      </w:r>
      <w:r>
        <w:rPr/>
        <w:t>isolated</w:t>
      </w:r>
      <w:r>
        <w:rPr>
          <w:spacing w:val="-11"/>
        </w:rPr>
        <w:t> </w:t>
      </w:r>
      <w:r>
        <w:rPr/>
        <w:t>compounds</w:t>
      </w:r>
      <w:r>
        <w:rPr>
          <w:spacing w:val="-11"/>
        </w:rPr>
        <w:t> </w:t>
      </w:r>
      <w:r>
        <w:rPr/>
        <w:t>from</w:t>
      </w:r>
      <w:r>
        <w:rPr>
          <w:spacing w:val="-12"/>
        </w:rPr>
        <w:t> </w:t>
      </w:r>
      <w:r>
        <w:rPr/>
        <w:t>pomegranate</w:t>
      </w:r>
      <w:r>
        <w:rPr>
          <w:spacing w:val="-14"/>
        </w:rPr>
        <w:t> </w:t>
      </w:r>
      <w:r>
        <w:rPr/>
        <w:t>that</w:t>
      </w:r>
      <w:r>
        <w:rPr>
          <w:spacing w:val="-12"/>
        </w:rPr>
        <w:t> </w:t>
      </w:r>
      <w:r>
        <w:rPr/>
        <w:t>lead</w:t>
      </w:r>
      <w:r>
        <w:rPr>
          <w:spacing w:val="-13"/>
        </w:rPr>
        <w:t> </w:t>
      </w:r>
      <w:r>
        <w:rPr/>
        <w:t>to</w:t>
      </w:r>
      <w:r>
        <w:rPr>
          <w:spacing w:val="-10"/>
        </w:rPr>
        <w:t> </w:t>
      </w:r>
      <w:r>
        <w:rPr/>
        <w:t>its amazing success, but the interaction of ALL the natural ingredients! For exam- ple, in the case of cancer, studies show that pomegranate juice in its entirety is clearly</w:t>
      </w:r>
      <w:r>
        <w:rPr>
          <w:spacing w:val="-6"/>
        </w:rPr>
        <w:t> </w:t>
      </w:r>
      <w:r>
        <w:rPr/>
        <w:t>superior</w:t>
      </w:r>
      <w:r>
        <w:rPr>
          <w:spacing w:val="-7"/>
        </w:rPr>
        <w:t> </w:t>
      </w:r>
      <w:r>
        <w:rPr/>
        <w:t>in</w:t>
      </w:r>
      <w:r>
        <w:rPr>
          <w:spacing w:val="-7"/>
        </w:rPr>
        <w:t> </w:t>
      </w:r>
      <w:r>
        <w:rPr/>
        <w:t>terms</w:t>
      </w:r>
      <w:r>
        <w:rPr>
          <w:spacing w:val="-8"/>
        </w:rPr>
        <w:t> </w:t>
      </w:r>
      <w:r>
        <w:rPr/>
        <w:t>of</w:t>
      </w:r>
      <w:r>
        <w:rPr>
          <w:spacing w:val="-9"/>
        </w:rPr>
        <w:t> </w:t>
      </w:r>
      <w:r>
        <w:rPr/>
        <w:t>effect</w:t>
      </w:r>
      <w:r>
        <w:rPr>
          <w:spacing w:val="-8"/>
        </w:rPr>
        <w:t> </w:t>
      </w:r>
      <w:r>
        <w:rPr/>
        <w:t>to</w:t>
      </w:r>
      <w:r>
        <w:rPr>
          <w:spacing w:val="-9"/>
        </w:rPr>
        <w:t> </w:t>
      </w:r>
      <w:r>
        <w:rPr/>
        <w:t>isolated</w:t>
      </w:r>
      <w:r>
        <w:rPr>
          <w:spacing w:val="-7"/>
        </w:rPr>
        <w:t> </w:t>
      </w:r>
      <w:r>
        <w:rPr/>
        <w:t>enzymes</w:t>
      </w:r>
      <w:r>
        <w:rPr>
          <w:spacing w:val="-6"/>
        </w:rPr>
        <w:t> </w:t>
      </w:r>
      <w:r>
        <w:rPr/>
        <w:t>such</w:t>
      </w:r>
      <w:r>
        <w:rPr>
          <w:spacing w:val="-8"/>
        </w:rPr>
        <w:t> </w:t>
      </w:r>
      <w:r>
        <w:rPr/>
        <w:t>as</w:t>
      </w:r>
      <w:r>
        <w:rPr>
          <w:spacing w:val="-9"/>
        </w:rPr>
        <w:t> </w:t>
      </w:r>
      <w:r>
        <w:rPr/>
        <w:t>ellagic</w:t>
      </w:r>
      <w:r>
        <w:rPr>
          <w:spacing w:val="-6"/>
        </w:rPr>
        <w:t> </w:t>
      </w:r>
      <w:r>
        <w:rPr/>
        <w:t>acid,</w:t>
      </w:r>
      <w:r>
        <w:rPr>
          <w:spacing w:val="-9"/>
        </w:rPr>
        <w:t> </w:t>
      </w:r>
      <w:r>
        <w:rPr/>
        <w:t>puni- calagin and other pomegranate extracts.</w:t>
      </w:r>
    </w:p>
    <w:p>
      <w:pPr>
        <w:pStyle w:val="Heading1"/>
        <w:spacing w:before="103"/>
        <w:jc w:val="both"/>
      </w:pPr>
      <w:r>
        <w:rPr/>
        <w:t>Pomegranate as cosmetics</w:t>
      </w:r>
    </w:p>
    <w:p>
      <w:pPr>
        <w:pStyle w:val="ListParagraph"/>
        <w:numPr>
          <w:ilvl w:val="0"/>
          <w:numId w:val="33"/>
        </w:numPr>
        <w:tabs>
          <w:tab w:pos="1179" w:val="left" w:leader="none"/>
        </w:tabs>
        <w:spacing w:line="240" w:lineRule="auto" w:before="301" w:after="0"/>
        <w:ind w:left="1178" w:right="0" w:hanging="701"/>
        <w:jc w:val="both"/>
        <w:rPr>
          <w:sz w:val="38"/>
        </w:rPr>
      </w:pPr>
      <w:r>
        <w:rPr>
          <w:sz w:val="38"/>
        </w:rPr>
        <w:t>Pomegranate</w:t>
      </w:r>
      <w:r>
        <w:rPr>
          <w:spacing w:val="-12"/>
          <w:sz w:val="38"/>
        </w:rPr>
        <w:t> </w:t>
      </w:r>
      <w:r>
        <w:rPr>
          <w:sz w:val="38"/>
        </w:rPr>
        <w:t>creams</w:t>
      </w:r>
    </w:p>
    <w:p>
      <w:pPr>
        <w:pStyle w:val="ListParagraph"/>
        <w:numPr>
          <w:ilvl w:val="0"/>
          <w:numId w:val="33"/>
        </w:numPr>
        <w:tabs>
          <w:tab w:pos="1179" w:val="left" w:leader="none"/>
        </w:tabs>
        <w:spacing w:line="240" w:lineRule="auto" w:before="64" w:after="0"/>
        <w:ind w:left="1178" w:right="0" w:hanging="701"/>
        <w:jc w:val="both"/>
        <w:rPr>
          <w:sz w:val="38"/>
        </w:rPr>
      </w:pPr>
      <w:r>
        <w:rPr>
          <w:sz w:val="38"/>
        </w:rPr>
        <w:t>Pomegranate</w:t>
      </w:r>
      <w:r>
        <w:rPr>
          <w:spacing w:val="-12"/>
          <w:sz w:val="38"/>
        </w:rPr>
        <w:t> </w:t>
      </w:r>
      <w:r>
        <w:rPr>
          <w:sz w:val="38"/>
        </w:rPr>
        <w:t>lotions</w:t>
      </w:r>
    </w:p>
    <w:p>
      <w:pPr>
        <w:pStyle w:val="ListParagraph"/>
        <w:numPr>
          <w:ilvl w:val="0"/>
          <w:numId w:val="33"/>
        </w:numPr>
        <w:tabs>
          <w:tab w:pos="1179" w:val="left" w:leader="none"/>
        </w:tabs>
        <w:spacing w:line="240" w:lineRule="auto" w:before="66" w:after="0"/>
        <w:ind w:left="1178" w:right="0" w:hanging="701"/>
        <w:jc w:val="both"/>
        <w:rPr>
          <w:sz w:val="38"/>
        </w:rPr>
      </w:pPr>
      <w:r>
        <w:rPr>
          <w:sz w:val="38"/>
        </w:rPr>
        <w:t>Pomegranate</w:t>
      </w:r>
      <w:r>
        <w:rPr>
          <w:spacing w:val="-1"/>
          <w:sz w:val="38"/>
        </w:rPr>
        <w:t> </w:t>
      </w:r>
      <w:r>
        <w:rPr>
          <w:sz w:val="38"/>
        </w:rPr>
        <w:t>masks</w:t>
      </w:r>
    </w:p>
    <w:p>
      <w:pPr>
        <w:pStyle w:val="ListParagraph"/>
        <w:numPr>
          <w:ilvl w:val="0"/>
          <w:numId w:val="33"/>
        </w:numPr>
        <w:tabs>
          <w:tab w:pos="1179" w:val="left" w:leader="none"/>
        </w:tabs>
        <w:spacing w:line="240" w:lineRule="auto" w:before="63" w:after="0"/>
        <w:ind w:left="1178" w:right="0" w:hanging="701"/>
        <w:jc w:val="both"/>
        <w:rPr>
          <w:sz w:val="38"/>
        </w:rPr>
      </w:pPr>
      <w:r>
        <w:rPr>
          <w:sz w:val="38"/>
        </w:rPr>
        <w:t>Pomegranate</w:t>
      </w:r>
      <w:r>
        <w:rPr>
          <w:spacing w:val="-1"/>
          <w:sz w:val="38"/>
        </w:rPr>
        <w:t> </w:t>
      </w:r>
      <w:r>
        <w:rPr>
          <w:sz w:val="38"/>
        </w:rPr>
        <w:t>deodorants</w:t>
      </w:r>
    </w:p>
    <w:p>
      <w:pPr>
        <w:pStyle w:val="ListParagraph"/>
        <w:numPr>
          <w:ilvl w:val="0"/>
          <w:numId w:val="33"/>
        </w:numPr>
        <w:tabs>
          <w:tab w:pos="1179" w:val="left" w:leader="none"/>
        </w:tabs>
        <w:spacing w:line="240" w:lineRule="auto" w:before="64" w:after="0"/>
        <w:ind w:left="1178" w:right="0" w:hanging="701"/>
        <w:jc w:val="both"/>
        <w:rPr>
          <w:sz w:val="38"/>
        </w:rPr>
      </w:pPr>
      <w:r>
        <w:rPr>
          <w:sz w:val="38"/>
        </w:rPr>
        <w:t>Pomegranate seed</w:t>
      </w:r>
      <w:r>
        <w:rPr>
          <w:spacing w:val="-1"/>
          <w:sz w:val="38"/>
        </w:rPr>
        <w:t> </w:t>
      </w:r>
      <w:r>
        <w:rPr>
          <w:sz w:val="38"/>
        </w:rPr>
        <w:t>oil</w:t>
      </w:r>
    </w:p>
    <w:p>
      <w:pPr>
        <w:pStyle w:val="Heading1"/>
        <w:spacing w:before="285"/>
        <w:jc w:val="both"/>
      </w:pPr>
      <w:r>
        <w:rPr/>
        <w:t>Shelf life of pomegranate</w:t>
      </w:r>
    </w:p>
    <w:p>
      <w:pPr>
        <w:pStyle w:val="BodyText"/>
        <w:spacing w:line="276" w:lineRule="auto" w:before="299"/>
        <w:ind w:left="477" w:right="134"/>
        <w:jc w:val="both"/>
      </w:pPr>
      <w:r>
        <w:rPr/>
        <w:t>Freshly harvested pomegranates last a very long time; they keep in the refriger- ator</w:t>
      </w:r>
      <w:r>
        <w:rPr>
          <w:spacing w:val="-7"/>
        </w:rPr>
        <w:t> </w:t>
      </w:r>
      <w:r>
        <w:rPr/>
        <w:t>for</w:t>
      </w:r>
      <w:r>
        <w:rPr>
          <w:spacing w:val="-8"/>
        </w:rPr>
        <w:t> </w:t>
      </w:r>
      <w:r>
        <w:rPr/>
        <w:t>several</w:t>
      </w:r>
      <w:r>
        <w:rPr>
          <w:spacing w:val="-11"/>
        </w:rPr>
        <w:t> </w:t>
      </w:r>
      <w:r>
        <w:rPr/>
        <w:t>weeks</w:t>
      </w:r>
      <w:r>
        <w:rPr>
          <w:spacing w:val="-7"/>
        </w:rPr>
        <w:t> </w:t>
      </w:r>
      <w:r>
        <w:rPr/>
        <w:t>and</w:t>
      </w:r>
      <w:r>
        <w:rPr>
          <w:spacing w:val="-7"/>
        </w:rPr>
        <w:t> </w:t>
      </w:r>
      <w:r>
        <w:rPr/>
        <w:t>can</w:t>
      </w:r>
      <w:r>
        <w:rPr>
          <w:spacing w:val="-9"/>
        </w:rPr>
        <w:t> </w:t>
      </w:r>
      <w:r>
        <w:rPr/>
        <w:t>even</w:t>
      </w:r>
      <w:r>
        <w:rPr>
          <w:spacing w:val="-6"/>
        </w:rPr>
        <w:t> </w:t>
      </w:r>
      <w:r>
        <w:rPr/>
        <w:t>keep</w:t>
      </w:r>
      <w:r>
        <w:rPr>
          <w:spacing w:val="-8"/>
        </w:rPr>
        <w:t> </w:t>
      </w:r>
      <w:r>
        <w:rPr/>
        <w:t>for</w:t>
      </w:r>
      <w:r>
        <w:rPr>
          <w:spacing w:val="-8"/>
        </w:rPr>
        <w:t> </w:t>
      </w:r>
      <w:r>
        <w:rPr/>
        <w:t>several</w:t>
      </w:r>
      <w:r>
        <w:rPr>
          <w:spacing w:val="-8"/>
        </w:rPr>
        <w:t> </w:t>
      </w:r>
      <w:r>
        <w:rPr/>
        <w:t>months</w:t>
      </w:r>
      <w:r>
        <w:rPr>
          <w:spacing w:val="-10"/>
        </w:rPr>
        <w:t> </w:t>
      </w:r>
      <w:r>
        <w:rPr/>
        <w:t>at</w:t>
      </w:r>
      <w:r>
        <w:rPr>
          <w:spacing w:val="-8"/>
        </w:rPr>
        <w:t> </w:t>
      </w:r>
      <w:r>
        <w:rPr/>
        <w:t>temperatures</w:t>
      </w:r>
      <w:r>
        <w:rPr>
          <w:spacing w:val="-6"/>
        </w:rPr>
        <w:t> </w:t>
      </w:r>
      <w:r>
        <w:rPr/>
        <w:t>of 0-5</w:t>
      </w:r>
      <w:r>
        <w:rPr>
          <w:spacing w:val="-8"/>
        </w:rPr>
        <w:t> </w:t>
      </w:r>
      <w:r>
        <w:rPr/>
        <w:t>°C.</w:t>
      </w:r>
      <w:r>
        <w:rPr>
          <w:spacing w:val="-6"/>
        </w:rPr>
        <w:t> </w:t>
      </w:r>
      <w:r>
        <w:rPr/>
        <w:t>Even</w:t>
      </w:r>
      <w:r>
        <w:rPr>
          <w:spacing w:val="-8"/>
        </w:rPr>
        <w:t> </w:t>
      </w:r>
      <w:r>
        <w:rPr/>
        <w:t>if</w:t>
      </w:r>
      <w:r>
        <w:rPr>
          <w:spacing w:val="-8"/>
        </w:rPr>
        <w:t> </w:t>
      </w:r>
      <w:r>
        <w:rPr/>
        <w:t>the</w:t>
      </w:r>
      <w:r>
        <w:rPr>
          <w:spacing w:val="-7"/>
        </w:rPr>
        <w:t> </w:t>
      </w:r>
      <w:r>
        <w:rPr/>
        <w:t>rind</w:t>
      </w:r>
      <w:r>
        <w:rPr>
          <w:spacing w:val="-9"/>
        </w:rPr>
        <w:t> </w:t>
      </w:r>
      <w:r>
        <w:rPr/>
        <w:t>shows</w:t>
      </w:r>
      <w:r>
        <w:rPr>
          <w:spacing w:val="-7"/>
        </w:rPr>
        <w:t> </w:t>
      </w:r>
      <w:r>
        <w:rPr/>
        <w:t>signs</w:t>
      </w:r>
      <w:r>
        <w:rPr>
          <w:spacing w:val="-9"/>
        </w:rPr>
        <w:t> </w:t>
      </w:r>
      <w:r>
        <w:rPr/>
        <w:t>of</w:t>
      </w:r>
      <w:r>
        <w:rPr>
          <w:spacing w:val="-7"/>
        </w:rPr>
        <w:t> </w:t>
      </w:r>
      <w:r>
        <w:rPr/>
        <w:t>ageing,</w:t>
      </w:r>
      <w:r>
        <w:rPr>
          <w:spacing w:val="-10"/>
        </w:rPr>
        <w:t> </w:t>
      </w:r>
      <w:r>
        <w:rPr/>
        <w:t>the</w:t>
      </w:r>
      <w:r>
        <w:rPr>
          <w:spacing w:val="-7"/>
        </w:rPr>
        <w:t> </w:t>
      </w:r>
      <w:r>
        <w:rPr/>
        <w:t>seeds</w:t>
      </w:r>
      <w:r>
        <w:rPr>
          <w:spacing w:val="-9"/>
        </w:rPr>
        <w:t> </w:t>
      </w:r>
      <w:r>
        <w:rPr/>
        <w:t>reliably</w:t>
      </w:r>
      <w:r>
        <w:rPr>
          <w:spacing w:val="-9"/>
        </w:rPr>
        <w:t> </w:t>
      </w:r>
      <w:r>
        <w:rPr/>
        <w:t>protected</w:t>
      </w:r>
      <w:r>
        <w:rPr>
          <w:spacing w:val="-7"/>
        </w:rPr>
        <w:t> </w:t>
      </w:r>
      <w:r>
        <w:rPr/>
        <w:t>by</w:t>
      </w:r>
      <w:r>
        <w:rPr>
          <w:spacing w:val="-8"/>
        </w:rPr>
        <w:t> </w:t>
      </w:r>
      <w:r>
        <w:rPr/>
        <w:t>it are usually still edible without any loss of</w:t>
      </w:r>
      <w:r>
        <w:rPr>
          <w:spacing w:val="-3"/>
        </w:rPr>
        <w:t> </w:t>
      </w:r>
      <w:r>
        <w:rPr/>
        <w:t>quality.</w:t>
      </w:r>
    </w:p>
    <w:p>
      <w:pPr>
        <w:pStyle w:val="Heading1"/>
        <w:spacing w:before="225"/>
        <w:jc w:val="both"/>
      </w:pPr>
      <w:r>
        <w:rPr/>
        <w:t>Active ingredients in pomegranate</w:t>
      </w:r>
    </w:p>
    <w:p>
      <w:pPr>
        <w:spacing w:after="0"/>
        <w:jc w:val="both"/>
        <w:sectPr>
          <w:pgSz w:w="14270" w:h="16850"/>
          <w:pgMar w:header="0" w:footer="1891" w:top="1600" w:bottom="2080" w:left="800" w:right="1280"/>
        </w:sectPr>
      </w:pPr>
    </w:p>
    <w:p>
      <w:pPr>
        <w:pStyle w:val="BodyText"/>
        <w:spacing w:line="276" w:lineRule="auto" w:before="181"/>
        <w:ind w:left="477" w:right="139"/>
        <w:jc w:val="both"/>
      </w:pPr>
      <w:r>
        <w:rPr/>
        <w:t>What</w:t>
      </w:r>
      <w:r>
        <w:rPr>
          <w:spacing w:val="-9"/>
        </w:rPr>
        <w:t> </w:t>
      </w:r>
      <w:r>
        <w:rPr/>
        <w:t>distinguishes</w:t>
      </w:r>
      <w:r>
        <w:rPr>
          <w:spacing w:val="-7"/>
        </w:rPr>
        <w:t> </w:t>
      </w:r>
      <w:r>
        <w:rPr/>
        <w:t>the</w:t>
      </w:r>
      <w:r>
        <w:rPr>
          <w:spacing w:val="-9"/>
        </w:rPr>
        <w:t> </w:t>
      </w:r>
      <w:r>
        <w:rPr/>
        <w:t>pomegranate</w:t>
      </w:r>
      <w:r>
        <w:rPr>
          <w:spacing w:val="-7"/>
        </w:rPr>
        <w:t> </w:t>
      </w:r>
      <w:r>
        <w:rPr/>
        <w:t>is</w:t>
      </w:r>
      <w:r>
        <w:rPr>
          <w:spacing w:val="-8"/>
        </w:rPr>
        <w:t> </w:t>
      </w:r>
      <w:r>
        <w:rPr/>
        <w:t>its</w:t>
      </w:r>
      <w:r>
        <w:rPr>
          <w:spacing w:val="-8"/>
        </w:rPr>
        <w:t> </w:t>
      </w:r>
      <w:r>
        <w:rPr/>
        <w:t>pronounced</w:t>
      </w:r>
      <w:r>
        <w:rPr>
          <w:spacing w:val="-7"/>
        </w:rPr>
        <w:t> </w:t>
      </w:r>
      <w:r>
        <w:rPr/>
        <w:t>variety</w:t>
      </w:r>
      <w:r>
        <w:rPr>
          <w:spacing w:val="-8"/>
        </w:rPr>
        <w:t> </w:t>
      </w:r>
      <w:r>
        <w:rPr/>
        <w:t>of</w:t>
      </w:r>
      <w:r>
        <w:rPr>
          <w:spacing w:val="-8"/>
        </w:rPr>
        <w:t> </w:t>
      </w:r>
      <w:r>
        <w:rPr/>
        <w:t>active</w:t>
      </w:r>
      <w:r>
        <w:rPr>
          <w:spacing w:val="-8"/>
        </w:rPr>
        <w:t> </w:t>
      </w:r>
      <w:r>
        <w:rPr/>
        <w:t>ingredi- ents,</w:t>
      </w:r>
      <w:r>
        <w:rPr>
          <w:spacing w:val="-9"/>
        </w:rPr>
        <w:t> </w:t>
      </w:r>
      <w:r>
        <w:rPr/>
        <w:t>such</w:t>
      </w:r>
      <w:r>
        <w:rPr>
          <w:spacing w:val="-9"/>
        </w:rPr>
        <w:t> </w:t>
      </w:r>
      <w:r>
        <w:rPr/>
        <w:t>as</w:t>
      </w:r>
      <w:r>
        <w:rPr>
          <w:spacing w:val="-10"/>
        </w:rPr>
        <w:t> </w:t>
      </w:r>
      <w:r>
        <w:rPr/>
        <w:t>vitamins,</w:t>
      </w:r>
      <w:r>
        <w:rPr>
          <w:spacing w:val="-9"/>
        </w:rPr>
        <w:t> </w:t>
      </w:r>
      <w:r>
        <w:rPr/>
        <w:t>minerals,</w:t>
      </w:r>
      <w:r>
        <w:rPr>
          <w:spacing w:val="-9"/>
        </w:rPr>
        <w:t> </w:t>
      </w:r>
      <w:r>
        <w:rPr/>
        <w:t>trace</w:t>
      </w:r>
      <w:r>
        <w:rPr>
          <w:spacing w:val="-9"/>
        </w:rPr>
        <w:t> </w:t>
      </w:r>
      <w:r>
        <w:rPr/>
        <w:t>elements,</w:t>
      </w:r>
      <w:r>
        <w:rPr>
          <w:spacing w:val="-9"/>
        </w:rPr>
        <w:t> </w:t>
      </w:r>
      <w:r>
        <w:rPr/>
        <w:t>phytochemicals</w:t>
      </w:r>
      <w:r>
        <w:rPr>
          <w:spacing w:val="-9"/>
        </w:rPr>
        <w:t> </w:t>
      </w:r>
      <w:r>
        <w:rPr/>
        <w:t>and</w:t>
      </w:r>
      <w:r>
        <w:rPr>
          <w:spacing w:val="-10"/>
        </w:rPr>
        <w:t> </w:t>
      </w:r>
      <w:r>
        <w:rPr/>
        <w:t>fatty</w:t>
      </w:r>
      <w:r>
        <w:rPr>
          <w:spacing w:val="-10"/>
        </w:rPr>
        <w:t> </w:t>
      </w:r>
      <w:r>
        <w:rPr/>
        <w:t>acids.</w:t>
      </w:r>
    </w:p>
    <w:p>
      <w:pPr>
        <w:pStyle w:val="BodyText"/>
        <w:spacing w:line="276" w:lineRule="auto" w:before="241"/>
        <w:ind w:left="477" w:right="142"/>
        <w:jc w:val="both"/>
      </w:pPr>
      <w:r>
        <w:rPr/>
        <w:t>Acting like an orchestra, these highly bioactive substances can combat many illnesses in unison and contribute to a fulfilling, longer life; they offer three to ten times more protection against oxidants than our native fruits.</w:t>
      </w:r>
    </w:p>
    <w:p>
      <w:pPr>
        <w:pStyle w:val="BodyText"/>
        <w:spacing w:before="239"/>
        <w:ind w:left="477"/>
        <w:jc w:val="both"/>
      </w:pPr>
      <w:r>
        <w:rPr/>
        <w:t>So far, the following active substances or drug groups have been identified:</w:t>
      </w:r>
    </w:p>
    <w:p>
      <w:pPr>
        <w:pStyle w:val="ListParagraph"/>
        <w:numPr>
          <w:ilvl w:val="1"/>
          <w:numId w:val="33"/>
        </w:numPr>
        <w:tabs>
          <w:tab w:pos="1187" w:val="left" w:leader="none"/>
          <w:tab w:pos="1188" w:val="left" w:leader="none"/>
        </w:tabs>
        <w:spacing w:line="240" w:lineRule="auto" w:before="307" w:after="0"/>
        <w:ind w:left="1187" w:right="0" w:hanging="360"/>
        <w:jc w:val="left"/>
        <w:rPr>
          <w:sz w:val="38"/>
        </w:rPr>
      </w:pPr>
      <w:r>
        <w:rPr>
          <w:sz w:val="38"/>
        </w:rPr>
        <w:t>vitamins (vitamins B1, B2, C, OPC,</w:t>
      </w:r>
      <w:r>
        <w:rPr>
          <w:spacing w:val="2"/>
          <w:sz w:val="38"/>
        </w:rPr>
        <w:t> </w:t>
      </w:r>
      <w:r>
        <w:rPr>
          <w:sz w:val="38"/>
        </w:rPr>
        <w:t>beta-carotene)</w:t>
      </w:r>
    </w:p>
    <w:p>
      <w:pPr>
        <w:pStyle w:val="ListParagraph"/>
        <w:numPr>
          <w:ilvl w:val="1"/>
          <w:numId w:val="33"/>
        </w:numPr>
        <w:tabs>
          <w:tab w:pos="1187" w:val="left" w:leader="none"/>
          <w:tab w:pos="1188" w:val="left" w:leader="none"/>
        </w:tabs>
        <w:spacing w:line="240" w:lineRule="auto" w:before="63" w:after="0"/>
        <w:ind w:left="1187" w:right="0" w:hanging="360"/>
        <w:jc w:val="left"/>
        <w:rPr>
          <w:sz w:val="38"/>
        </w:rPr>
      </w:pPr>
      <w:r>
        <w:rPr>
          <w:sz w:val="38"/>
        </w:rPr>
        <w:t>minerals (magnesium, calcium, phosphorus, potassium,</w:t>
      </w:r>
      <w:r>
        <w:rPr>
          <w:spacing w:val="-1"/>
          <w:sz w:val="38"/>
        </w:rPr>
        <w:t> </w:t>
      </w:r>
      <w:r>
        <w:rPr>
          <w:sz w:val="38"/>
        </w:rPr>
        <w:t>iron)</w:t>
      </w:r>
    </w:p>
    <w:p>
      <w:pPr>
        <w:pStyle w:val="ListParagraph"/>
        <w:numPr>
          <w:ilvl w:val="1"/>
          <w:numId w:val="33"/>
        </w:numPr>
        <w:tabs>
          <w:tab w:pos="1187" w:val="left" w:leader="none"/>
          <w:tab w:pos="1188" w:val="left" w:leader="none"/>
        </w:tabs>
        <w:spacing w:line="240" w:lineRule="auto" w:before="66" w:after="0"/>
        <w:ind w:left="1187" w:right="0" w:hanging="360"/>
        <w:jc w:val="left"/>
        <w:rPr>
          <w:sz w:val="38"/>
        </w:rPr>
      </w:pPr>
      <w:r>
        <w:rPr>
          <w:sz w:val="38"/>
        </w:rPr>
        <w:t>secondary plant substances (e.g. flavonoids, ellagitannins, phenolic</w:t>
      </w:r>
      <w:r>
        <w:rPr>
          <w:spacing w:val="-23"/>
          <w:sz w:val="38"/>
        </w:rPr>
        <w:t> </w:t>
      </w:r>
      <w:r>
        <w:rPr>
          <w:sz w:val="38"/>
        </w:rPr>
        <w:t>acids)</w:t>
      </w:r>
    </w:p>
    <w:p>
      <w:pPr>
        <w:pStyle w:val="ListParagraph"/>
        <w:numPr>
          <w:ilvl w:val="1"/>
          <w:numId w:val="33"/>
        </w:numPr>
        <w:tabs>
          <w:tab w:pos="1187" w:val="left" w:leader="none"/>
          <w:tab w:pos="1188" w:val="left" w:leader="none"/>
        </w:tabs>
        <w:spacing w:line="240" w:lineRule="auto" w:before="64" w:after="0"/>
        <w:ind w:left="1187" w:right="0" w:hanging="360"/>
        <w:jc w:val="left"/>
        <w:rPr>
          <w:sz w:val="38"/>
        </w:rPr>
      </w:pPr>
      <w:r>
        <w:rPr>
          <w:sz w:val="38"/>
        </w:rPr>
        <w:t>essential fatty acids (linolenic</w:t>
      </w:r>
      <w:r>
        <w:rPr>
          <w:spacing w:val="-1"/>
          <w:sz w:val="38"/>
        </w:rPr>
        <w:t> </w:t>
      </w:r>
      <w:r>
        <w:rPr>
          <w:sz w:val="38"/>
        </w:rPr>
        <w:t>acid)</w:t>
      </w:r>
    </w:p>
    <w:p>
      <w:pPr>
        <w:pStyle w:val="BodyText"/>
        <w:rPr>
          <w:sz w:val="44"/>
        </w:rPr>
      </w:pPr>
    </w:p>
    <w:p>
      <w:pPr>
        <w:pStyle w:val="Heading1"/>
        <w:spacing w:before="282"/>
        <w:jc w:val="both"/>
      </w:pPr>
      <w:r>
        <w:rPr/>
        <w:t>Phytochemicals in pomegranate</w:t>
      </w:r>
    </w:p>
    <w:p>
      <w:pPr>
        <w:pStyle w:val="BodyText"/>
        <w:spacing w:line="276" w:lineRule="auto" w:before="299"/>
        <w:ind w:left="477" w:right="137"/>
        <w:jc w:val="both"/>
      </w:pPr>
      <w:r>
        <w:rPr/>
        <w:t>For the most part, phytochemicals account for the remarkable effect of pome- granate</w:t>
      </w:r>
      <w:r>
        <w:rPr>
          <w:spacing w:val="-11"/>
        </w:rPr>
        <w:t> </w:t>
      </w:r>
      <w:r>
        <w:rPr/>
        <w:t>on</w:t>
      </w:r>
      <w:r>
        <w:rPr>
          <w:spacing w:val="-9"/>
        </w:rPr>
        <w:t> </w:t>
      </w:r>
      <w:r>
        <w:rPr/>
        <w:t>our</w:t>
      </w:r>
      <w:r>
        <w:rPr>
          <w:spacing w:val="-9"/>
        </w:rPr>
        <w:t> </w:t>
      </w:r>
      <w:r>
        <w:rPr/>
        <w:t>health;</w:t>
      </w:r>
      <w:r>
        <w:rPr>
          <w:spacing w:val="-9"/>
        </w:rPr>
        <w:t> </w:t>
      </w:r>
      <w:r>
        <w:rPr/>
        <w:t>therefore,</w:t>
      </w:r>
      <w:r>
        <w:rPr>
          <w:spacing w:val="-13"/>
        </w:rPr>
        <w:t> </w:t>
      </w:r>
      <w:r>
        <w:rPr/>
        <w:t>they</w:t>
      </w:r>
      <w:r>
        <w:rPr>
          <w:spacing w:val="-10"/>
        </w:rPr>
        <w:t> </w:t>
      </w:r>
      <w:r>
        <w:rPr/>
        <w:t>should</w:t>
      </w:r>
      <w:r>
        <w:rPr>
          <w:spacing w:val="-10"/>
        </w:rPr>
        <w:t> </w:t>
      </w:r>
      <w:r>
        <w:rPr/>
        <w:t>be</w:t>
      </w:r>
      <w:r>
        <w:rPr>
          <w:spacing w:val="-10"/>
        </w:rPr>
        <w:t> </w:t>
      </w:r>
      <w:r>
        <w:rPr/>
        <w:t>given</w:t>
      </w:r>
      <w:r>
        <w:rPr>
          <w:spacing w:val="-9"/>
        </w:rPr>
        <w:t> </w:t>
      </w:r>
      <w:r>
        <w:rPr/>
        <w:t>special</w:t>
      </w:r>
      <w:r>
        <w:rPr>
          <w:spacing w:val="-11"/>
        </w:rPr>
        <w:t> </w:t>
      </w:r>
      <w:r>
        <w:rPr/>
        <w:t>attention.</w:t>
      </w:r>
      <w:r>
        <w:rPr>
          <w:spacing w:val="-8"/>
        </w:rPr>
        <w:t> </w:t>
      </w:r>
      <w:r>
        <w:rPr/>
        <w:t>Science is</w:t>
      </w:r>
      <w:r>
        <w:rPr>
          <w:spacing w:val="-14"/>
        </w:rPr>
        <w:t> </w:t>
      </w:r>
      <w:r>
        <w:rPr/>
        <w:t>still</w:t>
      </w:r>
      <w:r>
        <w:rPr>
          <w:spacing w:val="-15"/>
        </w:rPr>
        <w:t> </w:t>
      </w:r>
      <w:r>
        <w:rPr/>
        <w:t>in</w:t>
      </w:r>
      <w:r>
        <w:rPr>
          <w:spacing w:val="-13"/>
        </w:rPr>
        <w:t> </w:t>
      </w:r>
      <w:r>
        <w:rPr/>
        <w:t>its</w:t>
      </w:r>
      <w:r>
        <w:rPr>
          <w:spacing w:val="-14"/>
        </w:rPr>
        <w:t> </w:t>
      </w:r>
      <w:r>
        <w:rPr/>
        <w:t>infancy</w:t>
      </w:r>
      <w:r>
        <w:rPr>
          <w:spacing w:val="-13"/>
        </w:rPr>
        <w:t> </w:t>
      </w:r>
      <w:r>
        <w:rPr/>
        <w:t>in</w:t>
      </w:r>
      <w:r>
        <w:rPr>
          <w:spacing w:val="-14"/>
        </w:rPr>
        <w:t> </w:t>
      </w:r>
      <w:r>
        <w:rPr/>
        <w:t>this</w:t>
      </w:r>
      <w:r>
        <w:rPr>
          <w:spacing w:val="-16"/>
        </w:rPr>
        <w:t> </w:t>
      </w:r>
      <w:r>
        <w:rPr/>
        <w:t>regard,</w:t>
      </w:r>
      <w:r>
        <w:rPr>
          <w:spacing w:val="-14"/>
        </w:rPr>
        <w:t> </w:t>
      </w:r>
      <w:r>
        <w:rPr/>
        <w:t>but</w:t>
      </w:r>
      <w:r>
        <w:rPr>
          <w:spacing w:val="-15"/>
        </w:rPr>
        <w:t> </w:t>
      </w:r>
      <w:r>
        <w:rPr/>
        <w:t>more</w:t>
      </w:r>
      <w:r>
        <w:rPr>
          <w:spacing w:val="-13"/>
        </w:rPr>
        <w:t> </w:t>
      </w:r>
      <w:r>
        <w:rPr/>
        <w:t>and</w:t>
      </w:r>
      <w:r>
        <w:rPr>
          <w:spacing w:val="-16"/>
        </w:rPr>
        <w:t> </w:t>
      </w:r>
      <w:r>
        <w:rPr/>
        <w:t>more</w:t>
      </w:r>
      <w:r>
        <w:rPr>
          <w:spacing w:val="-13"/>
        </w:rPr>
        <w:t> </w:t>
      </w:r>
      <w:r>
        <w:rPr/>
        <w:t>recent</w:t>
      </w:r>
      <w:r>
        <w:rPr>
          <w:spacing w:val="-14"/>
        </w:rPr>
        <w:t> </w:t>
      </w:r>
      <w:r>
        <w:rPr/>
        <w:t>findings</w:t>
      </w:r>
      <w:r>
        <w:rPr>
          <w:spacing w:val="-13"/>
        </w:rPr>
        <w:t> </w:t>
      </w:r>
      <w:r>
        <w:rPr/>
        <w:t>are</w:t>
      </w:r>
      <w:r>
        <w:rPr>
          <w:spacing w:val="-15"/>
        </w:rPr>
        <w:t> </w:t>
      </w:r>
      <w:r>
        <w:rPr/>
        <w:t>reveal- ing what phytochemicals can do for our health.</w:t>
      </w:r>
    </w:p>
    <w:p>
      <w:pPr>
        <w:pStyle w:val="BodyText"/>
        <w:spacing w:before="239"/>
        <w:ind w:left="477"/>
        <w:jc w:val="both"/>
      </w:pPr>
      <w:r>
        <w:rPr/>
        <w:t>Secondary plant substances have the following effects:</w:t>
      </w:r>
    </w:p>
    <w:p>
      <w:pPr>
        <w:pStyle w:val="ListParagraph"/>
        <w:numPr>
          <w:ilvl w:val="0"/>
          <w:numId w:val="33"/>
        </w:numPr>
        <w:tabs>
          <w:tab w:pos="1083" w:val="left" w:leader="none"/>
        </w:tabs>
        <w:spacing w:line="240" w:lineRule="auto" w:before="187" w:after="0"/>
        <w:ind w:left="1082" w:right="0" w:hanging="605"/>
        <w:jc w:val="both"/>
        <w:rPr>
          <w:sz w:val="38"/>
        </w:rPr>
      </w:pPr>
      <w:r>
        <w:rPr>
          <w:sz w:val="38"/>
        </w:rPr>
        <w:t>antioxidant,</w:t>
      </w:r>
    </w:p>
    <w:p>
      <w:pPr>
        <w:pStyle w:val="ListParagraph"/>
        <w:numPr>
          <w:ilvl w:val="0"/>
          <w:numId w:val="33"/>
        </w:numPr>
        <w:tabs>
          <w:tab w:pos="1083" w:val="left" w:leader="none"/>
        </w:tabs>
        <w:spacing w:line="240" w:lineRule="auto" w:before="64" w:after="0"/>
        <w:ind w:left="1082" w:right="0" w:hanging="605"/>
        <w:jc w:val="both"/>
        <w:rPr>
          <w:sz w:val="38"/>
        </w:rPr>
      </w:pPr>
      <w:r>
        <w:rPr>
          <w:sz w:val="38"/>
        </w:rPr>
        <w:t>antimicrobial,</w:t>
      </w:r>
    </w:p>
    <w:p>
      <w:pPr>
        <w:pStyle w:val="ListParagraph"/>
        <w:numPr>
          <w:ilvl w:val="0"/>
          <w:numId w:val="33"/>
        </w:numPr>
        <w:tabs>
          <w:tab w:pos="1083" w:val="left" w:leader="none"/>
        </w:tabs>
        <w:spacing w:line="240" w:lineRule="auto" w:before="63" w:after="0"/>
        <w:ind w:left="1082" w:right="0" w:hanging="605"/>
        <w:jc w:val="both"/>
        <w:rPr>
          <w:sz w:val="38"/>
        </w:rPr>
      </w:pPr>
      <w:r>
        <w:rPr>
          <w:sz w:val="38"/>
        </w:rPr>
        <w:t>antiviral,</w:t>
      </w:r>
    </w:p>
    <w:p>
      <w:pPr>
        <w:spacing w:after="0" w:line="240" w:lineRule="auto"/>
        <w:jc w:val="both"/>
        <w:rPr>
          <w:sz w:val="38"/>
        </w:rPr>
        <w:sectPr>
          <w:pgSz w:w="14270" w:h="16850"/>
          <w:pgMar w:header="0" w:footer="1891" w:top="1600" w:bottom="2080" w:left="800" w:right="1280"/>
        </w:sectPr>
      </w:pPr>
    </w:p>
    <w:p>
      <w:pPr>
        <w:pStyle w:val="BodyText"/>
        <w:spacing w:before="10"/>
        <w:rPr>
          <w:sz w:val="8"/>
        </w:rPr>
      </w:pPr>
    </w:p>
    <w:p>
      <w:pPr>
        <w:pStyle w:val="ListParagraph"/>
        <w:numPr>
          <w:ilvl w:val="0"/>
          <w:numId w:val="33"/>
        </w:numPr>
        <w:tabs>
          <w:tab w:pos="1083" w:val="left" w:leader="none"/>
        </w:tabs>
        <w:spacing w:line="240" w:lineRule="auto" w:before="83" w:after="0"/>
        <w:ind w:left="1082" w:right="0" w:hanging="605"/>
        <w:jc w:val="both"/>
        <w:rPr>
          <w:sz w:val="38"/>
        </w:rPr>
      </w:pPr>
      <w:r>
        <w:rPr>
          <w:sz w:val="38"/>
        </w:rPr>
        <w:t>antithrombotic (counters blood</w:t>
      </w:r>
      <w:r>
        <w:rPr>
          <w:spacing w:val="-2"/>
          <w:sz w:val="38"/>
        </w:rPr>
        <w:t> </w:t>
      </w:r>
      <w:r>
        <w:rPr>
          <w:sz w:val="38"/>
        </w:rPr>
        <w:t>clumping),</w:t>
      </w:r>
    </w:p>
    <w:p>
      <w:pPr>
        <w:pStyle w:val="ListParagraph"/>
        <w:numPr>
          <w:ilvl w:val="0"/>
          <w:numId w:val="33"/>
        </w:numPr>
        <w:tabs>
          <w:tab w:pos="1083" w:val="left" w:leader="none"/>
        </w:tabs>
        <w:spacing w:line="240" w:lineRule="auto" w:before="64" w:after="0"/>
        <w:ind w:left="1082" w:right="0" w:hanging="605"/>
        <w:jc w:val="both"/>
        <w:rPr>
          <w:sz w:val="38"/>
        </w:rPr>
      </w:pPr>
      <w:r>
        <w:rPr>
          <w:sz w:val="38"/>
        </w:rPr>
        <w:t>boosts the immune</w:t>
      </w:r>
      <w:r>
        <w:rPr>
          <w:spacing w:val="2"/>
          <w:sz w:val="38"/>
        </w:rPr>
        <w:t> </w:t>
      </w:r>
      <w:r>
        <w:rPr>
          <w:sz w:val="38"/>
        </w:rPr>
        <w:t>system,</w:t>
      </w:r>
    </w:p>
    <w:p>
      <w:pPr>
        <w:pStyle w:val="ListParagraph"/>
        <w:numPr>
          <w:ilvl w:val="0"/>
          <w:numId w:val="33"/>
        </w:numPr>
        <w:tabs>
          <w:tab w:pos="1083" w:val="left" w:leader="none"/>
        </w:tabs>
        <w:spacing w:line="240" w:lineRule="auto" w:before="66" w:after="0"/>
        <w:ind w:left="1082" w:right="0" w:hanging="605"/>
        <w:jc w:val="both"/>
        <w:rPr>
          <w:sz w:val="38"/>
        </w:rPr>
      </w:pPr>
      <w:r>
        <w:rPr>
          <w:sz w:val="38"/>
        </w:rPr>
        <w:t>anticarcinogenic (tumour-suppressive),</w:t>
      </w:r>
    </w:p>
    <w:p>
      <w:pPr>
        <w:pStyle w:val="ListParagraph"/>
        <w:numPr>
          <w:ilvl w:val="0"/>
          <w:numId w:val="33"/>
        </w:numPr>
        <w:tabs>
          <w:tab w:pos="1083" w:val="left" w:leader="none"/>
        </w:tabs>
        <w:spacing w:line="240" w:lineRule="auto" w:before="63" w:after="0"/>
        <w:ind w:left="1082" w:right="0" w:hanging="605"/>
        <w:jc w:val="both"/>
        <w:rPr>
          <w:sz w:val="38"/>
        </w:rPr>
      </w:pPr>
      <w:r>
        <w:rPr>
          <w:sz w:val="38"/>
        </w:rPr>
        <w:t>antimutagenic,</w:t>
      </w:r>
    </w:p>
    <w:p>
      <w:pPr>
        <w:pStyle w:val="ListParagraph"/>
        <w:numPr>
          <w:ilvl w:val="0"/>
          <w:numId w:val="33"/>
        </w:numPr>
        <w:tabs>
          <w:tab w:pos="1083" w:val="left" w:leader="none"/>
        </w:tabs>
        <w:spacing w:line="240" w:lineRule="auto" w:before="64" w:after="0"/>
        <w:ind w:left="1082" w:right="0" w:hanging="605"/>
        <w:jc w:val="both"/>
        <w:rPr>
          <w:sz w:val="38"/>
        </w:rPr>
      </w:pPr>
      <w:r>
        <w:rPr>
          <w:sz w:val="38"/>
        </w:rPr>
        <w:t>carminative,</w:t>
      </w:r>
    </w:p>
    <w:p>
      <w:pPr>
        <w:pStyle w:val="ListParagraph"/>
        <w:numPr>
          <w:ilvl w:val="0"/>
          <w:numId w:val="33"/>
        </w:numPr>
        <w:tabs>
          <w:tab w:pos="1083" w:val="left" w:leader="none"/>
        </w:tabs>
        <w:spacing w:line="240" w:lineRule="auto" w:before="63" w:after="0"/>
        <w:ind w:left="1082" w:right="0" w:hanging="605"/>
        <w:jc w:val="both"/>
        <w:rPr>
          <w:sz w:val="38"/>
        </w:rPr>
      </w:pPr>
      <w:r>
        <w:rPr>
          <w:sz w:val="38"/>
        </w:rPr>
        <w:t>regulates blood pressure,</w:t>
      </w:r>
    </w:p>
    <w:p>
      <w:pPr>
        <w:pStyle w:val="ListParagraph"/>
        <w:numPr>
          <w:ilvl w:val="0"/>
          <w:numId w:val="33"/>
        </w:numPr>
        <w:tabs>
          <w:tab w:pos="1083" w:val="left" w:leader="none"/>
        </w:tabs>
        <w:spacing w:line="240" w:lineRule="auto" w:before="65" w:after="0"/>
        <w:ind w:left="1082" w:right="0" w:hanging="605"/>
        <w:jc w:val="both"/>
        <w:rPr>
          <w:sz w:val="38"/>
        </w:rPr>
      </w:pPr>
      <w:r>
        <w:rPr>
          <w:sz w:val="38"/>
        </w:rPr>
        <w:t>regulates blood sugar</w:t>
      </w:r>
      <w:r>
        <w:rPr>
          <w:spacing w:val="1"/>
          <w:sz w:val="38"/>
        </w:rPr>
        <w:t> </w:t>
      </w:r>
      <w:r>
        <w:rPr>
          <w:sz w:val="38"/>
        </w:rPr>
        <w:t>level,</w:t>
      </w:r>
    </w:p>
    <w:p>
      <w:pPr>
        <w:pStyle w:val="ListParagraph"/>
        <w:numPr>
          <w:ilvl w:val="0"/>
          <w:numId w:val="33"/>
        </w:numPr>
        <w:tabs>
          <w:tab w:pos="1083" w:val="left" w:leader="none"/>
        </w:tabs>
        <w:spacing w:line="240" w:lineRule="auto" w:before="66" w:after="0"/>
        <w:ind w:left="1082" w:right="0" w:hanging="605"/>
        <w:jc w:val="both"/>
        <w:rPr>
          <w:sz w:val="38"/>
        </w:rPr>
      </w:pPr>
      <w:r>
        <w:rPr>
          <w:sz w:val="38"/>
        </w:rPr>
        <w:t>antiproliferative</w:t>
      </w:r>
    </w:p>
    <w:p>
      <w:pPr>
        <w:pStyle w:val="ListParagraph"/>
        <w:numPr>
          <w:ilvl w:val="0"/>
          <w:numId w:val="33"/>
        </w:numPr>
        <w:tabs>
          <w:tab w:pos="1083" w:val="left" w:leader="none"/>
        </w:tabs>
        <w:spacing w:line="240" w:lineRule="auto" w:before="63" w:after="0"/>
        <w:ind w:left="1082" w:right="0" w:hanging="605"/>
        <w:jc w:val="both"/>
        <w:rPr>
          <w:sz w:val="38"/>
        </w:rPr>
      </w:pPr>
      <w:r>
        <w:rPr>
          <w:sz w:val="38"/>
        </w:rPr>
        <w:t>and lowers lipids (reduction of cholesterol</w:t>
      </w:r>
      <w:r>
        <w:rPr>
          <w:spacing w:val="3"/>
          <w:sz w:val="38"/>
        </w:rPr>
        <w:t> </w:t>
      </w:r>
      <w:r>
        <w:rPr>
          <w:sz w:val="38"/>
        </w:rPr>
        <w:t>level).</w:t>
      </w:r>
    </w:p>
    <w:p>
      <w:pPr>
        <w:pStyle w:val="BodyText"/>
        <w:spacing w:line="276" w:lineRule="auto" w:before="302"/>
        <w:ind w:left="477" w:right="140"/>
        <w:jc w:val="both"/>
      </w:pPr>
      <w:r>
        <w:rPr/>
        <w:t>Pomegranate contains many flavonoids, including polyphenols, anthocyanins, and quercetin, as well as ellagitannins, such as punicalagin, and phenolic acids, such as gallic and ellagic acid.</w:t>
      </w:r>
    </w:p>
    <w:p>
      <w:pPr>
        <w:pStyle w:val="BodyText"/>
        <w:rPr>
          <w:sz w:val="42"/>
        </w:rPr>
      </w:pPr>
    </w:p>
    <w:p>
      <w:pPr>
        <w:pStyle w:val="BodyText"/>
        <w:spacing w:before="4"/>
        <w:rPr>
          <w:sz w:val="44"/>
        </w:rPr>
      </w:pPr>
    </w:p>
    <w:p>
      <w:pPr>
        <w:pStyle w:val="BodyText"/>
        <w:ind w:left="477"/>
        <w:jc w:val="both"/>
      </w:pPr>
      <w:r>
        <w:rPr/>
        <w:t>Pomegranate contains the following phytochemicals:</w:t>
      </w:r>
    </w:p>
    <w:p>
      <w:pPr>
        <w:pStyle w:val="ListParagraph"/>
        <w:numPr>
          <w:ilvl w:val="0"/>
          <w:numId w:val="33"/>
        </w:numPr>
        <w:tabs>
          <w:tab w:pos="987" w:val="left" w:leader="none"/>
        </w:tabs>
        <w:spacing w:line="240" w:lineRule="auto" w:before="306" w:after="0"/>
        <w:ind w:left="986" w:right="0" w:hanging="509"/>
        <w:jc w:val="both"/>
        <w:rPr>
          <w:sz w:val="38"/>
        </w:rPr>
      </w:pPr>
      <w:r>
        <w:rPr>
          <w:sz w:val="38"/>
        </w:rPr>
        <w:t>polyphenols</w:t>
      </w:r>
    </w:p>
    <w:p>
      <w:pPr>
        <w:pStyle w:val="ListParagraph"/>
        <w:numPr>
          <w:ilvl w:val="0"/>
          <w:numId w:val="33"/>
        </w:numPr>
        <w:tabs>
          <w:tab w:pos="987" w:val="left" w:leader="none"/>
        </w:tabs>
        <w:spacing w:line="240" w:lineRule="auto" w:before="64" w:after="0"/>
        <w:ind w:left="986" w:right="0" w:hanging="509"/>
        <w:jc w:val="both"/>
        <w:rPr>
          <w:sz w:val="38"/>
        </w:rPr>
      </w:pPr>
      <w:r>
        <w:rPr>
          <w:sz w:val="38"/>
        </w:rPr>
        <w:t>carotenoids</w:t>
      </w:r>
    </w:p>
    <w:p>
      <w:pPr>
        <w:pStyle w:val="ListParagraph"/>
        <w:numPr>
          <w:ilvl w:val="0"/>
          <w:numId w:val="33"/>
        </w:numPr>
        <w:tabs>
          <w:tab w:pos="987" w:val="left" w:leader="none"/>
        </w:tabs>
        <w:spacing w:line="240" w:lineRule="auto" w:before="66" w:after="0"/>
        <w:ind w:left="986" w:right="0" w:hanging="509"/>
        <w:jc w:val="both"/>
        <w:rPr>
          <w:sz w:val="38"/>
        </w:rPr>
      </w:pPr>
      <w:r>
        <w:rPr>
          <w:sz w:val="38"/>
        </w:rPr>
        <w:t>phytic</w:t>
      </w:r>
      <w:r>
        <w:rPr>
          <w:spacing w:val="-1"/>
          <w:sz w:val="38"/>
        </w:rPr>
        <w:t> </w:t>
      </w:r>
      <w:r>
        <w:rPr>
          <w:sz w:val="38"/>
        </w:rPr>
        <w:t>acid</w:t>
      </w:r>
    </w:p>
    <w:p>
      <w:pPr>
        <w:pStyle w:val="ListParagraph"/>
        <w:numPr>
          <w:ilvl w:val="0"/>
          <w:numId w:val="33"/>
        </w:numPr>
        <w:tabs>
          <w:tab w:pos="987" w:val="left" w:leader="none"/>
        </w:tabs>
        <w:spacing w:line="240" w:lineRule="auto" w:before="63" w:after="0"/>
        <w:ind w:left="986" w:right="0" w:hanging="509"/>
        <w:jc w:val="both"/>
        <w:rPr>
          <w:sz w:val="38"/>
        </w:rPr>
      </w:pPr>
      <w:r>
        <w:rPr>
          <w:sz w:val="38"/>
        </w:rPr>
        <w:t>protease</w:t>
      </w:r>
      <w:r>
        <w:rPr>
          <w:spacing w:val="-3"/>
          <w:sz w:val="38"/>
        </w:rPr>
        <w:t> </w:t>
      </w:r>
      <w:r>
        <w:rPr>
          <w:sz w:val="38"/>
        </w:rPr>
        <w:t>inhibitors</w:t>
      </w:r>
    </w:p>
    <w:p>
      <w:pPr>
        <w:pStyle w:val="ListParagraph"/>
        <w:numPr>
          <w:ilvl w:val="0"/>
          <w:numId w:val="33"/>
        </w:numPr>
        <w:tabs>
          <w:tab w:pos="987" w:val="left" w:leader="none"/>
        </w:tabs>
        <w:spacing w:line="240" w:lineRule="auto" w:before="65" w:after="0"/>
        <w:ind w:left="986" w:right="0" w:hanging="509"/>
        <w:jc w:val="both"/>
        <w:rPr>
          <w:sz w:val="38"/>
        </w:rPr>
      </w:pPr>
      <w:r>
        <w:rPr>
          <w:sz w:val="38"/>
        </w:rPr>
        <w:t>sulphides</w:t>
      </w:r>
    </w:p>
    <w:p>
      <w:pPr>
        <w:pStyle w:val="ListParagraph"/>
        <w:numPr>
          <w:ilvl w:val="0"/>
          <w:numId w:val="33"/>
        </w:numPr>
        <w:tabs>
          <w:tab w:pos="987" w:val="left" w:leader="none"/>
        </w:tabs>
        <w:spacing w:line="240" w:lineRule="auto" w:before="63" w:after="0"/>
        <w:ind w:left="986" w:right="0" w:hanging="509"/>
        <w:jc w:val="both"/>
        <w:rPr>
          <w:sz w:val="38"/>
        </w:rPr>
      </w:pPr>
      <w:r>
        <w:rPr>
          <w:sz w:val="38"/>
        </w:rPr>
        <w:t>glucosinolates</w:t>
      </w:r>
    </w:p>
    <w:p>
      <w:pPr>
        <w:pStyle w:val="ListParagraph"/>
        <w:numPr>
          <w:ilvl w:val="0"/>
          <w:numId w:val="33"/>
        </w:numPr>
        <w:tabs>
          <w:tab w:pos="987" w:val="left" w:leader="none"/>
        </w:tabs>
        <w:spacing w:line="240" w:lineRule="auto" w:before="66" w:after="0"/>
        <w:ind w:left="986" w:right="0" w:hanging="509"/>
        <w:jc w:val="both"/>
        <w:rPr>
          <w:sz w:val="38"/>
        </w:rPr>
      </w:pPr>
      <w:r>
        <w:rPr>
          <w:sz w:val="38"/>
        </w:rPr>
        <w:t>saponins</w:t>
      </w:r>
    </w:p>
    <w:p>
      <w:pPr>
        <w:spacing w:after="0" w:line="240" w:lineRule="auto"/>
        <w:jc w:val="both"/>
        <w:rPr>
          <w:sz w:val="38"/>
        </w:rPr>
        <w:sectPr>
          <w:pgSz w:w="14270" w:h="16850"/>
          <w:pgMar w:header="0" w:footer="1891" w:top="1600" w:bottom="2080" w:left="800" w:right="1280"/>
        </w:sectPr>
      </w:pPr>
    </w:p>
    <w:p>
      <w:pPr>
        <w:pStyle w:val="BodyText"/>
        <w:spacing w:before="10"/>
        <w:rPr>
          <w:sz w:val="8"/>
        </w:rPr>
      </w:pPr>
    </w:p>
    <w:p>
      <w:pPr>
        <w:pStyle w:val="ListParagraph"/>
        <w:numPr>
          <w:ilvl w:val="0"/>
          <w:numId w:val="33"/>
        </w:numPr>
        <w:tabs>
          <w:tab w:pos="987" w:val="left" w:leader="none"/>
        </w:tabs>
        <w:spacing w:line="240" w:lineRule="auto" w:before="83" w:after="0"/>
        <w:ind w:left="986" w:right="0" w:hanging="509"/>
        <w:jc w:val="both"/>
        <w:rPr>
          <w:sz w:val="38"/>
        </w:rPr>
      </w:pPr>
      <w:r>
        <w:rPr>
          <w:sz w:val="38"/>
        </w:rPr>
        <w:t>monoterpenes</w:t>
      </w:r>
    </w:p>
    <w:p>
      <w:pPr>
        <w:pStyle w:val="ListParagraph"/>
        <w:numPr>
          <w:ilvl w:val="0"/>
          <w:numId w:val="33"/>
        </w:numPr>
        <w:tabs>
          <w:tab w:pos="987" w:val="left" w:leader="none"/>
        </w:tabs>
        <w:spacing w:line="240" w:lineRule="auto" w:before="64" w:after="0"/>
        <w:ind w:left="986" w:right="0" w:hanging="509"/>
        <w:jc w:val="both"/>
        <w:rPr>
          <w:sz w:val="38"/>
        </w:rPr>
      </w:pPr>
      <w:r>
        <w:rPr>
          <w:sz w:val="38"/>
        </w:rPr>
        <w:t>phytoestrogens</w:t>
      </w:r>
    </w:p>
    <w:p>
      <w:pPr>
        <w:pStyle w:val="ListParagraph"/>
        <w:numPr>
          <w:ilvl w:val="0"/>
          <w:numId w:val="33"/>
        </w:numPr>
        <w:tabs>
          <w:tab w:pos="987" w:val="left" w:leader="none"/>
        </w:tabs>
        <w:spacing w:line="240" w:lineRule="auto" w:before="66" w:after="0"/>
        <w:ind w:left="986" w:right="0" w:hanging="509"/>
        <w:jc w:val="both"/>
        <w:rPr>
          <w:sz w:val="38"/>
        </w:rPr>
      </w:pPr>
      <w:r>
        <w:rPr>
          <w:sz w:val="38"/>
        </w:rPr>
        <w:t>phytosterols</w:t>
      </w:r>
    </w:p>
    <w:p>
      <w:pPr>
        <w:pStyle w:val="Heading1"/>
        <w:spacing w:before="284"/>
        <w:jc w:val="both"/>
      </w:pPr>
      <w:r>
        <w:rPr/>
        <w:t>Polyphenols in pomegranate</w:t>
      </w:r>
    </w:p>
    <w:p>
      <w:pPr>
        <w:pStyle w:val="BodyText"/>
        <w:spacing w:line="276" w:lineRule="auto" w:before="300"/>
        <w:ind w:left="477" w:right="130"/>
        <w:jc w:val="both"/>
        <w:rPr>
          <w:sz w:val="25"/>
        </w:rPr>
      </w:pPr>
      <w:r>
        <w:rPr/>
        <w:t>Polyphenols are aromatic compounds that occur as flavourings, colours and tannins</w:t>
      </w:r>
      <w:r>
        <w:rPr>
          <w:spacing w:val="-21"/>
        </w:rPr>
        <w:t> </w:t>
      </w:r>
      <w:r>
        <w:rPr/>
        <w:t>in</w:t>
      </w:r>
      <w:r>
        <w:rPr>
          <w:spacing w:val="-21"/>
        </w:rPr>
        <w:t> </w:t>
      </w:r>
      <w:r>
        <w:rPr/>
        <w:t>the</w:t>
      </w:r>
      <w:r>
        <w:rPr>
          <w:spacing w:val="-21"/>
        </w:rPr>
        <w:t> </w:t>
      </w:r>
      <w:r>
        <w:rPr/>
        <w:t>plant</w:t>
      </w:r>
      <w:r>
        <w:rPr>
          <w:spacing w:val="-22"/>
        </w:rPr>
        <w:t> </w:t>
      </w:r>
      <w:r>
        <w:rPr/>
        <w:t>world.</w:t>
      </w:r>
      <w:r>
        <w:rPr>
          <w:spacing w:val="-21"/>
        </w:rPr>
        <w:t> </w:t>
      </w:r>
      <w:r>
        <w:rPr/>
        <w:t>They</w:t>
      </w:r>
      <w:r>
        <w:rPr>
          <w:spacing w:val="-21"/>
        </w:rPr>
        <w:t> </w:t>
      </w:r>
      <w:r>
        <w:rPr/>
        <w:t>counteract</w:t>
      </w:r>
      <w:r>
        <w:rPr>
          <w:spacing w:val="-21"/>
        </w:rPr>
        <w:t> </w:t>
      </w:r>
      <w:r>
        <w:rPr/>
        <w:t>free</w:t>
      </w:r>
      <w:r>
        <w:rPr>
          <w:spacing w:val="-21"/>
        </w:rPr>
        <w:t> </w:t>
      </w:r>
      <w:r>
        <w:rPr/>
        <w:t>radicals,</w:t>
      </w:r>
      <w:r>
        <w:rPr>
          <w:spacing w:val="-20"/>
        </w:rPr>
        <w:t> </w:t>
      </w:r>
      <w:r>
        <w:rPr/>
        <w:t>inflammation</w:t>
      </w:r>
      <w:r>
        <w:rPr>
          <w:spacing w:val="-22"/>
        </w:rPr>
        <w:t> </w:t>
      </w:r>
      <w:r>
        <w:rPr/>
        <w:t>and</w:t>
      </w:r>
      <w:r>
        <w:rPr>
          <w:spacing w:val="-21"/>
        </w:rPr>
        <w:t> </w:t>
      </w:r>
      <w:r>
        <w:rPr/>
        <w:t>even cancer. Pomegranate juice contains around 0.2-1 % polyphenol content, ex- ceeding that of cranberries, blueberries, red wine or even green tea. The cell- protecting</w:t>
      </w:r>
      <w:r>
        <w:rPr>
          <w:spacing w:val="-12"/>
        </w:rPr>
        <w:t> </w:t>
      </w:r>
      <w:r>
        <w:rPr/>
        <w:t>effect</w:t>
      </w:r>
      <w:r>
        <w:rPr>
          <w:spacing w:val="-11"/>
        </w:rPr>
        <w:t> </w:t>
      </w:r>
      <w:r>
        <w:rPr/>
        <w:t>of</w:t>
      </w:r>
      <w:r>
        <w:rPr>
          <w:spacing w:val="-11"/>
        </w:rPr>
        <w:t> </w:t>
      </w:r>
      <w:r>
        <w:rPr/>
        <w:t>pomegranate,</w:t>
      </w:r>
      <w:r>
        <w:rPr>
          <w:spacing w:val="-11"/>
        </w:rPr>
        <w:t> </w:t>
      </w:r>
      <w:r>
        <w:rPr/>
        <w:t>which</w:t>
      </w:r>
      <w:r>
        <w:rPr>
          <w:spacing w:val="-11"/>
        </w:rPr>
        <w:t> </w:t>
      </w:r>
      <w:r>
        <w:rPr/>
        <w:t>is</w:t>
      </w:r>
      <w:r>
        <w:rPr>
          <w:spacing w:val="-12"/>
        </w:rPr>
        <w:t> </w:t>
      </w:r>
      <w:r>
        <w:rPr/>
        <w:t>up</w:t>
      </w:r>
      <w:r>
        <w:rPr>
          <w:spacing w:val="-12"/>
        </w:rPr>
        <w:t> </w:t>
      </w:r>
      <w:r>
        <w:rPr/>
        <w:t>to</w:t>
      </w:r>
      <w:r>
        <w:rPr>
          <w:spacing w:val="-11"/>
        </w:rPr>
        <w:t> </w:t>
      </w:r>
      <w:r>
        <w:rPr/>
        <w:t>three</w:t>
      </w:r>
      <w:r>
        <w:rPr>
          <w:spacing w:val="-11"/>
        </w:rPr>
        <w:t> </w:t>
      </w:r>
      <w:r>
        <w:rPr/>
        <w:t>times</w:t>
      </w:r>
      <w:r>
        <w:rPr>
          <w:spacing w:val="-12"/>
        </w:rPr>
        <w:t> </w:t>
      </w:r>
      <w:r>
        <w:rPr/>
        <w:t>as</w:t>
      </w:r>
      <w:r>
        <w:rPr>
          <w:spacing w:val="-12"/>
        </w:rPr>
        <w:t> </w:t>
      </w:r>
      <w:r>
        <w:rPr/>
        <w:t>powerful</w:t>
      </w:r>
      <w:r>
        <w:rPr>
          <w:spacing w:val="-13"/>
        </w:rPr>
        <w:t> </w:t>
      </w:r>
      <w:r>
        <w:rPr/>
        <w:t>as</w:t>
      </w:r>
      <w:r>
        <w:rPr>
          <w:spacing w:val="-12"/>
        </w:rPr>
        <w:t> </w:t>
      </w:r>
      <w:r>
        <w:rPr/>
        <w:t>that of green tea or red wine, has been shown in studies. Normally, phenols do not absorb</w:t>
      </w:r>
      <w:r>
        <w:rPr>
          <w:spacing w:val="-7"/>
        </w:rPr>
        <w:t> </w:t>
      </w:r>
      <w:r>
        <w:rPr/>
        <w:t>well</w:t>
      </w:r>
      <w:r>
        <w:rPr>
          <w:spacing w:val="-8"/>
        </w:rPr>
        <w:t> </w:t>
      </w:r>
      <w:r>
        <w:rPr/>
        <w:t>and</w:t>
      </w:r>
      <w:r>
        <w:rPr>
          <w:spacing w:val="-4"/>
        </w:rPr>
        <w:t> </w:t>
      </w:r>
      <w:r>
        <w:rPr/>
        <w:t>are</w:t>
      </w:r>
      <w:r>
        <w:rPr>
          <w:spacing w:val="-7"/>
        </w:rPr>
        <w:t> </w:t>
      </w:r>
      <w:r>
        <w:rPr/>
        <w:t>therefore</w:t>
      </w:r>
      <w:r>
        <w:rPr>
          <w:spacing w:val="-7"/>
        </w:rPr>
        <w:t> </w:t>
      </w:r>
      <w:r>
        <w:rPr/>
        <w:t>inadequately</w:t>
      </w:r>
      <w:r>
        <w:rPr>
          <w:spacing w:val="-7"/>
        </w:rPr>
        <w:t> </w:t>
      </w:r>
      <w:r>
        <w:rPr/>
        <w:t>absorbed</w:t>
      </w:r>
      <w:r>
        <w:rPr>
          <w:spacing w:val="-7"/>
        </w:rPr>
        <w:t> </w:t>
      </w:r>
      <w:r>
        <w:rPr/>
        <w:t>by</w:t>
      </w:r>
      <w:r>
        <w:rPr>
          <w:spacing w:val="-6"/>
        </w:rPr>
        <w:t> </w:t>
      </w:r>
      <w:r>
        <w:rPr/>
        <w:t>the</w:t>
      </w:r>
      <w:r>
        <w:rPr>
          <w:spacing w:val="-6"/>
        </w:rPr>
        <w:t> </w:t>
      </w:r>
      <w:r>
        <w:rPr/>
        <w:t>human</w:t>
      </w:r>
      <w:r>
        <w:rPr>
          <w:spacing w:val="-6"/>
        </w:rPr>
        <w:t> </w:t>
      </w:r>
      <w:r>
        <w:rPr/>
        <w:t>body.</w:t>
      </w:r>
      <w:r>
        <w:rPr>
          <w:spacing w:val="-6"/>
        </w:rPr>
        <w:t> </w:t>
      </w:r>
      <w:r>
        <w:rPr/>
        <w:t>Pom- egranate</w:t>
      </w:r>
      <w:r>
        <w:rPr>
          <w:spacing w:val="-23"/>
        </w:rPr>
        <w:t> </w:t>
      </w:r>
      <w:r>
        <w:rPr/>
        <w:t>phenols,</w:t>
      </w:r>
      <w:r>
        <w:rPr>
          <w:spacing w:val="-22"/>
        </w:rPr>
        <w:t> </w:t>
      </w:r>
      <w:r>
        <w:rPr/>
        <w:t>which</w:t>
      </w:r>
      <w:r>
        <w:rPr>
          <w:spacing w:val="-24"/>
        </w:rPr>
        <w:t> </w:t>
      </w:r>
      <w:r>
        <w:rPr/>
        <w:t>are</w:t>
      </w:r>
      <w:r>
        <w:rPr>
          <w:spacing w:val="-23"/>
        </w:rPr>
        <w:t> </w:t>
      </w:r>
      <w:r>
        <w:rPr/>
        <w:t>100</w:t>
      </w:r>
      <w:r>
        <w:rPr>
          <w:spacing w:val="-26"/>
        </w:rPr>
        <w:t> </w:t>
      </w:r>
      <w:r>
        <w:rPr/>
        <w:t>%</w:t>
      </w:r>
      <w:r>
        <w:rPr>
          <w:spacing w:val="-22"/>
        </w:rPr>
        <w:t> </w:t>
      </w:r>
      <w:r>
        <w:rPr/>
        <w:t>water-soluble</w:t>
      </w:r>
      <w:r>
        <w:rPr>
          <w:spacing w:val="-22"/>
        </w:rPr>
        <w:t> </w:t>
      </w:r>
      <w:r>
        <w:rPr/>
        <w:t>and</w:t>
      </w:r>
      <w:r>
        <w:rPr>
          <w:spacing w:val="-22"/>
        </w:rPr>
        <w:t> </w:t>
      </w:r>
      <w:r>
        <w:rPr/>
        <w:t>have</w:t>
      </w:r>
      <w:r>
        <w:rPr>
          <w:spacing w:val="-22"/>
        </w:rPr>
        <w:t> </w:t>
      </w:r>
      <w:r>
        <w:rPr/>
        <w:t>a</w:t>
      </w:r>
      <w:r>
        <w:rPr>
          <w:spacing w:val="-24"/>
        </w:rPr>
        <w:t> </w:t>
      </w:r>
      <w:r>
        <w:rPr/>
        <w:t>bioavailability</w:t>
      </w:r>
      <w:r>
        <w:rPr>
          <w:spacing w:val="-23"/>
        </w:rPr>
        <w:t> </w:t>
      </w:r>
      <w:r>
        <w:rPr/>
        <w:t>(pro- cessing</w:t>
      </w:r>
      <w:r>
        <w:rPr>
          <w:spacing w:val="-14"/>
        </w:rPr>
        <w:t> </w:t>
      </w:r>
      <w:r>
        <w:rPr/>
        <w:t>ability</w:t>
      </w:r>
      <w:r>
        <w:rPr>
          <w:spacing w:val="-14"/>
        </w:rPr>
        <w:t> </w:t>
      </w:r>
      <w:r>
        <w:rPr/>
        <w:t>of</w:t>
      </w:r>
      <w:r>
        <w:rPr>
          <w:spacing w:val="-14"/>
        </w:rPr>
        <w:t> </w:t>
      </w:r>
      <w:r>
        <w:rPr/>
        <w:t>the</w:t>
      </w:r>
      <w:r>
        <w:rPr>
          <w:spacing w:val="-12"/>
        </w:rPr>
        <w:t> </w:t>
      </w:r>
      <w:r>
        <w:rPr/>
        <w:t>organism)</w:t>
      </w:r>
      <w:r>
        <w:rPr>
          <w:spacing w:val="-14"/>
        </w:rPr>
        <w:t> </w:t>
      </w:r>
      <w:r>
        <w:rPr/>
        <w:t>of</w:t>
      </w:r>
      <w:r>
        <w:rPr>
          <w:spacing w:val="-13"/>
        </w:rPr>
        <w:t> </w:t>
      </w:r>
      <w:r>
        <w:rPr/>
        <w:t>95</w:t>
      </w:r>
      <w:r>
        <w:rPr>
          <w:spacing w:val="-12"/>
        </w:rPr>
        <w:t> </w:t>
      </w:r>
      <w:r>
        <w:rPr/>
        <w:t>%,</w:t>
      </w:r>
      <w:r>
        <w:rPr>
          <w:spacing w:val="-12"/>
        </w:rPr>
        <w:t> </w:t>
      </w:r>
      <w:r>
        <w:rPr/>
        <w:t>are</w:t>
      </w:r>
      <w:r>
        <w:rPr>
          <w:spacing w:val="-14"/>
        </w:rPr>
        <w:t> </w:t>
      </w:r>
      <w:r>
        <w:rPr/>
        <w:t>an</w:t>
      </w:r>
      <w:r>
        <w:rPr>
          <w:spacing w:val="-13"/>
        </w:rPr>
        <w:t> </w:t>
      </w:r>
      <w:r>
        <w:rPr/>
        <w:t>exception</w:t>
      </w:r>
      <w:r>
        <w:rPr>
          <w:spacing w:val="-13"/>
        </w:rPr>
        <w:t> </w:t>
      </w:r>
      <w:r>
        <w:rPr/>
        <w:t>here.</w:t>
      </w:r>
      <w:r>
        <w:rPr>
          <w:spacing w:val="-12"/>
        </w:rPr>
        <w:t> </w:t>
      </w:r>
      <w:r>
        <w:rPr/>
        <w:t>This</w:t>
      </w:r>
      <w:r>
        <w:rPr>
          <w:spacing w:val="-14"/>
        </w:rPr>
        <w:t> </w:t>
      </w:r>
      <w:r>
        <w:rPr/>
        <w:t>proves</w:t>
      </w:r>
      <w:r>
        <w:rPr>
          <w:spacing w:val="-12"/>
        </w:rPr>
        <w:t> </w:t>
      </w:r>
      <w:r>
        <w:rPr/>
        <w:t>that pomegranate</w:t>
      </w:r>
      <w:r>
        <w:rPr>
          <w:spacing w:val="-23"/>
        </w:rPr>
        <w:t> </w:t>
      </w:r>
      <w:r>
        <w:rPr/>
        <w:t>phenols</w:t>
      </w:r>
      <w:r>
        <w:rPr>
          <w:spacing w:val="-20"/>
        </w:rPr>
        <w:t> </w:t>
      </w:r>
      <w:r>
        <w:rPr/>
        <w:t>are</w:t>
      </w:r>
      <w:r>
        <w:rPr>
          <w:spacing w:val="-21"/>
        </w:rPr>
        <w:t> </w:t>
      </w:r>
      <w:r>
        <w:rPr/>
        <w:t>the</w:t>
      </w:r>
      <w:r>
        <w:rPr>
          <w:spacing w:val="-20"/>
        </w:rPr>
        <w:t> </w:t>
      </w:r>
      <w:r>
        <w:rPr/>
        <w:t>most</w:t>
      </w:r>
      <w:r>
        <w:rPr>
          <w:spacing w:val="-22"/>
        </w:rPr>
        <w:t> </w:t>
      </w:r>
      <w:r>
        <w:rPr/>
        <w:t>potent</w:t>
      </w:r>
      <w:r>
        <w:rPr>
          <w:spacing w:val="-21"/>
        </w:rPr>
        <w:t> </w:t>
      </w:r>
      <w:r>
        <w:rPr/>
        <w:t>agents</w:t>
      </w:r>
      <w:r>
        <w:rPr>
          <w:spacing w:val="-21"/>
        </w:rPr>
        <w:t> </w:t>
      </w:r>
      <w:r>
        <w:rPr/>
        <w:t>against</w:t>
      </w:r>
      <w:r>
        <w:rPr>
          <w:spacing w:val="-22"/>
        </w:rPr>
        <w:t> </w:t>
      </w:r>
      <w:r>
        <w:rPr/>
        <w:t>cell</w:t>
      </w:r>
      <w:r>
        <w:rPr>
          <w:spacing w:val="-22"/>
        </w:rPr>
        <w:t> </w:t>
      </w:r>
      <w:r>
        <w:rPr/>
        <w:t>attacks</w:t>
      </w:r>
      <w:r>
        <w:rPr>
          <w:spacing w:val="-21"/>
        </w:rPr>
        <w:t> </w:t>
      </w:r>
      <w:r>
        <w:rPr/>
        <w:t>that</w:t>
      </w:r>
      <w:r>
        <w:rPr>
          <w:spacing w:val="-21"/>
        </w:rPr>
        <w:t> </w:t>
      </w:r>
      <w:r>
        <w:rPr/>
        <w:t>science has ever encountered in</w:t>
      </w:r>
      <w:r>
        <w:rPr>
          <w:spacing w:val="5"/>
        </w:rPr>
        <w:t> </w:t>
      </w:r>
      <w:r>
        <w:rPr/>
        <w:t>food.</w:t>
      </w:r>
      <w:r>
        <w:rPr>
          <w:position w:val="9"/>
          <w:sz w:val="25"/>
        </w:rPr>
        <w:t>343</w:t>
      </w:r>
    </w:p>
    <w:p>
      <w:pPr>
        <w:pStyle w:val="BodyText"/>
        <w:spacing w:before="240"/>
        <w:ind w:left="477"/>
        <w:jc w:val="both"/>
      </w:pPr>
      <w:r>
        <w:rPr/>
        <w:t>The following polyphenols have been identified in pomegranate:</w:t>
      </w:r>
    </w:p>
    <w:p>
      <w:pPr>
        <w:pStyle w:val="ListParagraph"/>
        <w:numPr>
          <w:ilvl w:val="1"/>
          <w:numId w:val="33"/>
        </w:numPr>
        <w:tabs>
          <w:tab w:pos="1391" w:val="left" w:leader="none"/>
          <w:tab w:pos="1392" w:val="left" w:leader="none"/>
        </w:tabs>
        <w:spacing w:line="240" w:lineRule="auto" w:before="306" w:after="0"/>
        <w:ind w:left="1197" w:right="0" w:hanging="358"/>
        <w:jc w:val="left"/>
        <w:rPr>
          <w:sz w:val="38"/>
        </w:rPr>
      </w:pPr>
      <w:r>
        <w:rPr>
          <w:sz w:val="38"/>
        </w:rPr>
        <w:t>ellagic acid</w:t>
      </w:r>
    </w:p>
    <w:p>
      <w:pPr>
        <w:pStyle w:val="BodyText"/>
        <w:rPr>
          <w:sz w:val="20"/>
        </w:rPr>
      </w:pPr>
    </w:p>
    <w:p>
      <w:pPr>
        <w:pStyle w:val="BodyText"/>
        <w:rPr>
          <w:sz w:val="20"/>
        </w:rPr>
      </w:pPr>
    </w:p>
    <w:p>
      <w:pPr>
        <w:pStyle w:val="BodyText"/>
        <w:rPr>
          <w:sz w:val="20"/>
        </w:rPr>
      </w:pPr>
    </w:p>
    <w:p>
      <w:pPr>
        <w:pStyle w:val="BodyText"/>
        <w:spacing w:before="5"/>
        <w:rPr>
          <w:sz w:val="15"/>
        </w:rPr>
      </w:pPr>
      <w:r>
        <w:rPr/>
        <w:pict>
          <v:line style="position:absolute;mso-position-horizontal-relative:page;mso-position-vertical-relative:paragraph;z-index:3968;mso-wrap-distance-left:0;mso-wrap-distance-right:0" from="63.863998pt,11.066187pt" to="207.883998pt,11.066187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343 </w:t>
      </w:r>
      <w:r>
        <w:rPr>
          <w:sz w:val="20"/>
        </w:rPr>
        <w:t>Dr. Alexander R. Bind: Der Granatapfel – Wunder des ewigen Lebens (‘The Pomegranate – Miracle of Eternal Life’), 2011, p. 24</w:t>
      </w:r>
    </w:p>
    <w:p>
      <w:pPr>
        <w:spacing w:after="0"/>
        <w:jc w:val="left"/>
        <w:rPr>
          <w:sz w:val="20"/>
        </w:rPr>
        <w:sectPr>
          <w:pgSz w:w="14270" w:h="16850"/>
          <w:pgMar w:header="0" w:footer="1891" w:top="1600" w:bottom="2080" w:left="800" w:right="1280"/>
        </w:sectPr>
      </w:pPr>
    </w:p>
    <w:p>
      <w:pPr>
        <w:pStyle w:val="BodyText"/>
        <w:spacing w:before="10"/>
        <w:rPr>
          <w:sz w:val="8"/>
        </w:rPr>
      </w:pPr>
    </w:p>
    <w:p>
      <w:pPr>
        <w:pStyle w:val="ListParagraph"/>
        <w:numPr>
          <w:ilvl w:val="1"/>
          <w:numId w:val="33"/>
        </w:numPr>
        <w:tabs>
          <w:tab w:pos="1391" w:val="left" w:leader="none"/>
          <w:tab w:pos="1392" w:val="left" w:leader="none"/>
        </w:tabs>
        <w:spacing w:line="240" w:lineRule="auto" w:before="83" w:after="0"/>
        <w:ind w:left="1197" w:right="0" w:hanging="358"/>
        <w:jc w:val="left"/>
        <w:rPr>
          <w:sz w:val="38"/>
        </w:rPr>
      </w:pPr>
      <w:r>
        <w:rPr>
          <w:sz w:val="38"/>
        </w:rPr>
        <w:t>ellagitannins</w:t>
      </w:r>
    </w:p>
    <w:p>
      <w:pPr>
        <w:pStyle w:val="ListParagraph"/>
        <w:numPr>
          <w:ilvl w:val="1"/>
          <w:numId w:val="33"/>
        </w:numPr>
        <w:tabs>
          <w:tab w:pos="1391" w:val="left" w:leader="none"/>
          <w:tab w:pos="1392" w:val="left" w:leader="none"/>
        </w:tabs>
        <w:spacing w:line="240" w:lineRule="auto" w:before="184" w:after="0"/>
        <w:ind w:left="1197" w:right="0" w:hanging="358"/>
        <w:jc w:val="left"/>
        <w:rPr>
          <w:sz w:val="38"/>
        </w:rPr>
      </w:pPr>
      <w:r>
        <w:rPr>
          <w:sz w:val="38"/>
        </w:rPr>
        <w:t>gallic</w:t>
      </w:r>
      <w:r>
        <w:rPr>
          <w:spacing w:val="-2"/>
          <w:sz w:val="38"/>
        </w:rPr>
        <w:t> </w:t>
      </w:r>
      <w:r>
        <w:rPr>
          <w:sz w:val="38"/>
        </w:rPr>
        <w:t>acid</w:t>
      </w:r>
    </w:p>
    <w:p>
      <w:pPr>
        <w:pStyle w:val="ListParagraph"/>
        <w:numPr>
          <w:ilvl w:val="1"/>
          <w:numId w:val="33"/>
        </w:numPr>
        <w:tabs>
          <w:tab w:pos="1391" w:val="left" w:leader="none"/>
          <w:tab w:pos="1392" w:val="left" w:leader="none"/>
        </w:tabs>
        <w:spacing w:line="240" w:lineRule="auto" w:before="186" w:after="0"/>
        <w:ind w:left="1197" w:right="0" w:hanging="358"/>
        <w:jc w:val="left"/>
        <w:rPr>
          <w:sz w:val="38"/>
        </w:rPr>
      </w:pPr>
      <w:r>
        <w:rPr>
          <w:sz w:val="38"/>
        </w:rPr>
        <w:t>chlorogenic</w:t>
      </w:r>
      <w:r>
        <w:rPr>
          <w:spacing w:val="-2"/>
          <w:sz w:val="38"/>
        </w:rPr>
        <w:t> </w:t>
      </w:r>
      <w:r>
        <w:rPr>
          <w:sz w:val="38"/>
        </w:rPr>
        <w:t>acid</w:t>
      </w:r>
    </w:p>
    <w:p>
      <w:pPr>
        <w:pStyle w:val="ListParagraph"/>
        <w:numPr>
          <w:ilvl w:val="1"/>
          <w:numId w:val="33"/>
        </w:numPr>
        <w:tabs>
          <w:tab w:pos="1391" w:val="left" w:leader="none"/>
          <w:tab w:pos="1392" w:val="left" w:leader="none"/>
        </w:tabs>
        <w:spacing w:line="240" w:lineRule="auto" w:before="183" w:after="0"/>
        <w:ind w:left="1197" w:right="0" w:hanging="358"/>
        <w:jc w:val="left"/>
        <w:rPr>
          <w:sz w:val="38"/>
        </w:rPr>
      </w:pPr>
      <w:r>
        <w:rPr>
          <w:sz w:val="38"/>
        </w:rPr>
        <w:t>coumaric acid</w:t>
      </w:r>
    </w:p>
    <w:p>
      <w:pPr>
        <w:pStyle w:val="ListParagraph"/>
        <w:numPr>
          <w:ilvl w:val="1"/>
          <w:numId w:val="33"/>
        </w:numPr>
        <w:tabs>
          <w:tab w:pos="1391" w:val="left" w:leader="none"/>
          <w:tab w:pos="1392" w:val="left" w:leader="none"/>
        </w:tabs>
        <w:spacing w:line="240" w:lineRule="auto" w:before="184" w:after="0"/>
        <w:ind w:left="1197" w:right="0" w:hanging="358"/>
        <w:jc w:val="left"/>
        <w:rPr>
          <w:sz w:val="38"/>
        </w:rPr>
      </w:pPr>
      <w:r>
        <w:rPr>
          <w:sz w:val="38"/>
        </w:rPr>
        <w:t>protocatechuic acid</w:t>
      </w:r>
    </w:p>
    <w:p>
      <w:pPr>
        <w:pStyle w:val="ListParagraph"/>
        <w:numPr>
          <w:ilvl w:val="1"/>
          <w:numId w:val="33"/>
        </w:numPr>
        <w:tabs>
          <w:tab w:pos="1391" w:val="left" w:leader="none"/>
          <w:tab w:pos="1392" w:val="left" w:leader="none"/>
        </w:tabs>
        <w:spacing w:line="240" w:lineRule="auto" w:before="184" w:after="0"/>
        <w:ind w:left="1197" w:right="0" w:hanging="358"/>
        <w:jc w:val="left"/>
        <w:rPr>
          <w:sz w:val="38"/>
        </w:rPr>
      </w:pPr>
      <w:r>
        <w:rPr>
          <w:sz w:val="38"/>
        </w:rPr>
        <w:t>caffeic</w:t>
      </w:r>
      <w:r>
        <w:rPr>
          <w:spacing w:val="-14"/>
          <w:sz w:val="38"/>
        </w:rPr>
        <w:t> </w:t>
      </w:r>
      <w:r>
        <w:rPr>
          <w:sz w:val="38"/>
        </w:rPr>
        <w:t>acid</w:t>
      </w:r>
    </w:p>
    <w:p>
      <w:pPr>
        <w:pStyle w:val="ListParagraph"/>
        <w:numPr>
          <w:ilvl w:val="1"/>
          <w:numId w:val="33"/>
        </w:numPr>
        <w:tabs>
          <w:tab w:pos="1391" w:val="left" w:leader="none"/>
          <w:tab w:pos="1392" w:val="left" w:leader="none"/>
        </w:tabs>
        <w:spacing w:line="240" w:lineRule="auto" w:before="184" w:after="0"/>
        <w:ind w:left="1197" w:right="0" w:hanging="358"/>
        <w:jc w:val="left"/>
        <w:rPr>
          <w:sz w:val="38"/>
        </w:rPr>
      </w:pPr>
      <w:r>
        <w:rPr>
          <w:sz w:val="38"/>
        </w:rPr>
        <w:t>ferulic</w:t>
      </w:r>
      <w:r>
        <w:rPr>
          <w:spacing w:val="-11"/>
          <w:sz w:val="38"/>
        </w:rPr>
        <w:t> </w:t>
      </w:r>
      <w:r>
        <w:rPr>
          <w:sz w:val="38"/>
        </w:rPr>
        <w:t>acid</w:t>
      </w:r>
    </w:p>
    <w:p>
      <w:pPr>
        <w:pStyle w:val="BodyText"/>
        <w:spacing w:before="304"/>
        <w:ind w:left="477"/>
      </w:pPr>
      <w:r>
        <w:rPr/>
        <w:t>Their effects are described in detail below:</w:t>
      </w:r>
    </w:p>
    <w:p>
      <w:pPr>
        <w:pStyle w:val="Heading1"/>
        <w:spacing w:before="285"/>
      </w:pPr>
      <w:r>
        <w:rPr/>
        <w:t>Chlorogenic acid</w:t>
      </w:r>
    </w:p>
    <w:p>
      <w:pPr>
        <w:pStyle w:val="BodyText"/>
        <w:spacing w:before="299"/>
        <w:ind w:left="477"/>
      </w:pPr>
      <w:r>
        <w:rPr/>
        <w:t>The effect of chlorogenic acid is:</w:t>
      </w:r>
    </w:p>
    <w:p>
      <w:pPr>
        <w:pStyle w:val="ListParagraph"/>
        <w:numPr>
          <w:ilvl w:val="2"/>
          <w:numId w:val="33"/>
        </w:numPr>
        <w:tabs>
          <w:tab w:pos="1564" w:val="left" w:leader="none"/>
          <w:tab w:pos="1565" w:val="left" w:leader="none"/>
        </w:tabs>
        <w:spacing w:line="240" w:lineRule="auto" w:before="187" w:after="0"/>
        <w:ind w:left="1564" w:right="0" w:hanging="360"/>
        <w:jc w:val="left"/>
        <w:rPr>
          <w:sz w:val="38"/>
        </w:rPr>
      </w:pPr>
      <w:r>
        <w:rPr>
          <w:sz w:val="38"/>
        </w:rPr>
        <w:t>antioxidant (cell</w:t>
      </w:r>
      <w:r>
        <w:rPr>
          <w:spacing w:val="-1"/>
          <w:sz w:val="38"/>
        </w:rPr>
        <w:t> </w:t>
      </w:r>
      <w:r>
        <w:rPr>
          <w:sz w:val="38"/>
        </w:rPr>
        <w:t>protection)</w:t>
      </w:r>
    </w:p>
    <w:p>
      <w:pPr>
        <w:pStyle w:val="ListParagraph"/>
        <w:numPr>
          <w:ilvl w:val="2"/>
          <w:numId w:val="33"/>
        </w:numPr>
        <w:tabs>
          <w:tab w:pos="1564" w:val="left" w:leader="none"/>
          <w:tab w:pos="1565" w:val="left" w:leader="none"/>
        </w:tabs>
        <w:spacing w:line="240" w:lineRule="auto" w:before="63" w:after="0"/>
        <w:ind w:left="1564" w:right="0" w:hanging="360"/>
        <w:jc w:val="left"/>
        <w:rPr>
          <w:sz w:val="38"/>
        </w:rPr>
      </w:pPr>
      <w:r>
        <w:rPr>
          <w:sz w:val="38"/>
        </w:rPr>
        <w:t>anti-inflammatory</w:t>
      </w:r>
    </w:p>
    <w:p>
      <w:pPr>
        <w:pStyle w:val="ListParagraph"/>
        <w:numPr>
          <w:ilvl w:val="2"/>
          <w:numId w:val="33"/>
        </w:numPr>
        <w:tabs>
          <w:tab w:pos="1564" w:val="left" w:leader="none"/>
          <w:tab w:pos="1565" w:val="left" w:leader="none"/>
        </w:tabs>
        <w:spacing w:line="240" w:lineRule="auto" w:before="66" w:after="0"/>
        <w:ind w:left="1564" w:right="0" w:hanging="360"/>
        <w:jc w:val="left"/>
        <w:rPr>
          <w:sz w:val="38"/>
        </w:rPr>
      </w:pPr>
      <w:r>
        <w:rPr>
          <w:sz w:val="38"/>
        </w:rPr>
        <w:t>antimicrobial</w:t>
      </w:r>
    </w:p>
    <w:p>
      <w:pPr>
        <w:pStyle w:val="ListParagraph"/>
        <w:numPr>
          <w:ilvl w:val="2"/>
          <w:numId w:val="33"/>
        </w:numPr>
        <w:tabs>
          <w:tab w:pos="1564" w:val="left" w:leader="none"/>
          <w:tab w:pos="1565" w:val="left" w:leader="none"/>
        </w:tabs>
        <w:spacing w:line="240" w:lineRule="auto" w:before="64" w:after="0"/>
        <w:ind w:left="1564" w:right="0" w:hanging="360"/>
        <w:jc w:val="left"/>
        <w:rPr>
          <w:sz w:val="38"/>
        </w:rPr>
      </w:pPr>
      <w:r>
        <w:rPr>
          <w:sz w:val="38"/>
        </w:rPr>
        <w:t>antiviral</w:t>
      </w:r>
    </w:p>
    <w:p>
      <w:pPr>
        <w:pStyle w:val="ListParagraph"/>
        <w:numPr>
          <w:ilvl w:val="2"/>
          <w:numId w:val="33"/>
        </w:numPr>
        <w:tabs>
          <w:tab w:pos="1564" w:val="left" w:leader="none"/>
          <w:tab w:pos="1565" w:val="left" w:leader="none"/>
        </w:tabs>
        <w:spacing w:line="240" w:lineRule="auto" w:before="64" w:after="0"/>
        <w:ind w:left="1564" w:right="0" w:hanging="360"/>
        <w:jc w:val="left"/>
        <w:rPr>
          <w:sz w:val="38"/>
        </w:rPr>
      </w:pPr>
      <w:r>
        <w:rPr>
          <w:sz w:val="38"/>
        </w:rPr>
        <w:t>soothing</w:t>
      </w:r>
    </w:p>
    <w:p>
      <w:pPr>
        <w:pStyle w:val="ListParagraph"/>
        <w:numPr>
          <w:ilvl w:val="2"/>
          <w:numId w:val="33"/>
        </w:numPr>
        <w:tabs>
          <w:tab w:pos="1564" w:val="left" w:leader="none"/>
          <w:tab w:pos="1565" w:val="left" w:leader="none"/>
        </w:tabs>
        <w:spacing w:line="240" w:lineRule="auto" w:before="63" w:after="0"/>
        <w:ind w:left="1564" w:right="0" w:hanging="360"/>
        <w:jc w:val="left"/>
        <w:rPr>
          <w:sz w:val="38"/>
        </w:rPr>
      </w:pPr>
      <w:r>
        <w:rPr>
          <w:sz w:val="38"/>
        </w:rPr>
        <w:t>histamine-blocking (counteracts</w:t>
      </w:r>
      <w:r>
        <w:rPr>
          <w:spacing w:val="-1"/>
          <w:sz w:val="38"/>
        </w:rPr>
        <w:t> </w:t>
      </w:r>
      <w:r>
        <w:rPr>
          <w:sz w:val="38"/>
        </w:rPr>
        <w:t>allergies)</w:t>
      </w:r>
    </w:p>
    <w:p>
      <w:pPr>
        <w:pStyle w:val="ListParagraph"/>
        <w:numPr>
          <w:ilvl w:val="2"/>
          <w:numId w:val="33"/>
        </w:numPr>
        <w:tabs>
          <w:tab w:pos="1564" w:val="left" w:leader="none"/>
          <w:tab w:pos="1565" w:val="left" w:leader="none"/>
        </w:tabs>
        <w:spacing w:line="240" w:lineRule="auto" w:before="64" w:after="0"/>
        <w:ind w:left="1564" w:right="0" w:hanging="360"/>
        <w:jc w:val="left"/>
        <w:rPr>
          <w:sz w:val="38"/>
        </w:rPr>
      </w:pPr>
      <w:r>
        <w:rPr>
          <w:sz w:val="38"/>
        </w:rPr>
        <w:t>blood sugar-regulating (important for</w:t>
      </w:r>
      <w:r>
        <w:rPr>
          <w:spacing w:val="1"/>
          <w:sz w:val="38"/>
        </w:rPr>
        <w:t> </w:t>
      </w:r>
      <w:r>
        <w:rPr>
          <w:sz w:val="38"/>
        </w:rPr>
        <w:t>diabetes!)</w:t>
      </w:r>
    </w:p>
    <w:p>
      <w:pPr>
        <w:pStyle w:val="BodyText"/>
        <w:spacing w:line="276" w:lineRule="auto" w:before="305"/>
        <w:ind w:left="477"/>
      </w:pPr>
      <w:r>
        <w:rPr/>
        <w:t>It is also believed that chlorogenic acid can support the liver, kidneys, blood vessels and nerves.</w:t>
      </w:r>
    </w:p>
    <w:p>
      <w:pPr>
        <w:spacing w:after="0" w:line="276" w:lineRule="auto"/>
        <w:sectPr>
          <w:footerReference w:type="default" r:id="rId128"/>
          <w:pgSz w:w="14270" w:h="16850"/>
          <w:pgMar w:footer="404" w:header="0" w:top="1600" w:bottom="600" w:left="800" w:right="1280"/>
          <w:pgNumType w:start="500"/>
        </w:sectPr>
      </w:pPr>
    </w:p>
    <w:p>
      <w:pPr>
        <w:pStyle w:val="Heading1"/>
        <w:spacing w:before="164"/>
      </w:pPr>
      <w:r>
        <w:rPr/>
        <w:t>Ellagic acid</w:t>
      </w:r>
    </w:p>
    <w:p>
      <w:pPr>
        <w:pStyle w:val="BodyText"/>
        <w:spacing w:line="276" w:lineRule="auto" w:before="299"/>
        <w:ind w:left="477" w:right="135"/>
        <w:jc w:val="both"/>
      </w:pPr>
      <w:r>
        <w:rPr/>
        <w:t>The content of ellagic acid in the pomegranate, a secondary plant compound with pronounced bioactive effect, is particularly noteworthy. As already men- tioned in the chapter “Aronia”, the protective effects of ellagic acid, according to Prof. Leitzmann and Dr. Watzl, are:</w:t>
      </w:r>
    </w:p>
    <w:p>
      <w:pPr>
        <w:pStyle w:val="ListParagraph"/>
        <w:numPr>
          <w:ilvl w:val="1"/>
          <w:numId w:val="33"/>
        </w:numPr>
        <w:tabs>
          <w:tab w:pos="1194" w:val="left" w:leader="none"/>
          <w:tab w:pos="1195" w:val="left" w:leader="none"/>
        </w:tabs>
        <w:spacing w:line="240" w:lineRule="auto" w:before="121" w:after="0"/>
        <w:ind w:left="1194" w:right="0" w:hanging="360"/>
        <w:jc w:val="left"/>
        <w:rPr>
          <w:sz w:val="38"/>
        </w:rPr>
      </w:pPr>
      <w:r>
        <w:rPr>
          <w:sz w:val="38"/>
        </w:rPr>
        <w:t>antioxidant – counteracting free</w:t>
      </w:r>
      <w:r>
        <w:rPr>
          <w:spacing w:val="2"/>
          <w:sz w:val="38"/>
        </w:rPr>
        <w:t> </w:t>
      </w:r>
      <w:r>
        <w:rPr>
          <w:sz w:val="38"/>
        </w:rPr>
        <w:t>radicals,</w:t>
      </w:r>
    </w:p>
    <w:p>
      <w:pPr>
        <w:pStyle w:val="ListParagraph"/>
        <w:numPr>
          <w:ilvl w:val="1"/>
          <w:numId w:val="33"/>
        </w:numPr>
        <w:tabs>
          <w:tab w:pos="1194" w:val="left" w:leader="none"/>
          <w:tab w:pos="1195" w:val="left" w:leader="none"/>
        </w:tabs>
        <w:spacing w:line="240" w:lineRule="auto" w:before="67" w:after="0"/>
        <w:ind w:left="1194" w:right="0" w:hanging="360"/>
        <w:jc w:val="left"/>
        <w:rPr>
          <w:sz w:val="38"/>
        </w:rPr>
      </w:pPr>
      <w:r>
        <w:rPr>
          <w:sz w:val="38"/>
        </w:rPr>
        <w:t>antimicrobial – counteracting</w:t>
      </w:r>
      <w:r>
        <w:rPr>
          <w:spacing w:val="2"/>
          <w:sz w:val="38"/>
        </w:rPr>
        <w:t> </w:t>
      </w:r>
      <w:r>
        <w:rPr>
          <w:sz w:val="38"/>
        </w:rPr>
        <w:t>bacteria,</w:t>
      </w:r>
    </w:p>
    <w:p>
      <w:pPr>
        <w:pStyle w:val="ListParagraph"/>
        <w:numPr>
          <w:ilvl w:val="1"/>
          <w:numId w:val="33"/>
        </w:numPr>
        <w:tabs>
          <w:tab w:pos="1194" w:val="left" w:leader="none"/>
          <w:tab w:pos="1195" w:val="left" w:leader="none"/>
        </w:tabs>
        <w:spacing w:line="240" w:lineRule="auto" w:before="63" w:after="0"/>
        <w:ind w:left="1194" w:right="0" w:hanging="360"/>
        <w:jc w:val="left"/>
        <w:rPr>
          <w:sz w:val="38"/>
        </w:rPr>
      </w:pPr>
      <w:r>
        <w:rPr>
          <w:sz w:val="38"/>
        </w:rPr>
        <w:t>inhibits the growth of degenerated</w:t>
      </w:r>
      <w:r>
        <w:rPr>
          <w:spacing w:val="4"/>
          <w:sz w:val="38"/>
        </w:rPr>
        <w:t> </w:t>
      </w:r>
      <w:r>
        <w:rPr>
          <w:sz w:val="38"/>
        </w:rPr>
        <w:t>cells</w:t>
      </w:r>
    </w:p>
    <w:p>
      <w:pPr>
        <w:pStyle w:val="ListParagraph"/>
        <w:numPr>
          <w:ilvl w:val="1"/>
          <w:numId w:val="33"/>
        </w:numPr>
        <w:tabs>
          <w:tab w:pos="1194" w:val="left" w:leader="none"/>
          <w:tab w:pos="1195" w:val="left" w:leader="none"/>
        </w:tabs>
        <w:spacing w:line="240" w:lineRule="auto" w:before="64" w:after="0"/>
        <w:ind w:left="1194" w:right="0" w:hanging="360"/>
        <w:jc w:val="left"/>
        <w:rPr>
          <w:sz w:val="38"/>
        </w:rPr>
      </w:pPr>
      <w:r>
        <w:rPr>
          <w:sz w:val="38"/>
        </w:rPr>
        <w:t>and is detoxifying.</w:t>
      </w:r>
    </w:p>
    <w:p>
      <w:pPr>
        <w:pStyle w:val="Heading1"/>
        <w:spacing w:before="285"/>
        <w:jc w:val="both"/>
      </w:pPr>
      <w:r>
        <w:rPr/>
        <w:t>Protocatechuic acid</w:t>
      </w:r>
    </w:p>
    <w:p>
      <w:pPr>
        <w:pStyle w:val="ListParagraph"/>
        <w:numPr>
          <w:ilvl w:val="1"/>
          <w:numId w:val="33"/>
        </w:numPr>
        <w:tabs>
          <w:tab w:pos="1199" w:val="left" w:leader="none"/>
          <w:tab w:pos="1200" w:val="left" w:leader="none"/>
        </w:tabs>
        <w:spacing w:line="240" w:lineRule="auto" w:before="301" w:after="0"/>
        <w:ind w:left="1199" w:right="0" w:hanging="360"/>
        <w:jc w:val="left"/>
        <w:rPr>
          <w:sz w:val="38"/>
        </w:rPr>
      </w:pPr>
      <w:r>
        <w:rPr>
          <w:sz w:val="38"/>
        </w:rPr>
        <w:t>antioxidant</w:t>
      </w:r>
    </w:p>
    <w:p>
      <w:pPr>
        <w:pStyle w:val="ListParagraph"/>
        <w:numPr>
          <w:ilvl w:val="1"/>
          <w:numId w:val="33"/>
        </w:numPr>
        <w:tabs>
          <w:tab w:pos="1199" w:val="left" w:leader="none"/>
          <w:tab w:pos="1200" w:val="left" w:leader="none"/>
        </w:tabs>
        <w:spacing w:line="240" w:lineRule="auto" w:before="63" w:after="0"/>
        <w:ind w:left="1199" w:right="0" w:hanging="360"/>
        <w:jc w:val="left"/>
        <w:rPr>
          <w:sz w:val="38"/>
        </w:rPr>
      </w:pPr>
      <w:r>
        <w:rPr>
          <w:sz w:val="38"/>
        </w:rPr>
        <w:t>antiviral</w:t>
      </w:r>
    </w:p>
    <w:p>
      <w:pPr>
        <w:pStyle w:val="ListParagraph"/>
        <w:numPr>
          <w:ilvl w:val="1"/>
          <w:numId w:val="33"/>
        </w:numPr>
        <w:tabs>
          <w:tab w:pos="1199" w:val="left" w:leader="none"/>
          <w:tab w:pos="1200" w:val="left" w:leader="none"/>
        </w:tabs>
        <w:spacing w:line="240" w:lineRule="auto" w:before="64" w:after="0"/>
        <w:ind w:left="1199" w:right="0" w:hanging="360"/>
        <w:jc w:val="left"/>
        <w:rPr>
          <w:sz w:val="38"/>
        </w:rPr>
      </w:pPr>
      <w:r>
        <w:rPr>
          <w:sz w:val="38"/>
        </w:rPr>
        <w:t>antimicrobial</w:t>
      </w:r>
    </w:p>
    <w:p>
      <w:pPr>
        <w:pStyle w:val="ListParagraph"/>
        <w:numPr>
          <w:ilvl w:val="1"/>
          <w:numId w:val="33"/>
        </w:numPr>
        <w:tabs>
          <w:tab w:pos="1199" w:val="left" w:leader="none"/>
          <w:tab w:pos="1200" w:val="left" w:leader="none"/>
        </w:tabs>
        <w:spacing w:line="240" w:lineRule="auto" w:before="66" w:after="0"/>
        <w:ind w:left="1199" w:right="0" w:hanging="360"/>
        <w:jc w:val="left"/>
        <w:rPr>
          <w:sz w:val="38"/>
        </w:rPr>
      </w:pPr>
      <w:r>
        <w:rPr>
          <w:sz w:val="38"/>
        </w:rPr>
        <w:t>nerve protection against</w:t>
      </w:r>
      <w:r>
        <w:rPr>
          <w:spacing w:val="-1"/>
          <w:sz w:val="38"/>
        </w:rPr>
        <w:t> </w:t>
      </w:r>
      <w:r>
        <w:rPr>
          <w:sz w:val="38"/>
        </w:rPr>
        <w:t>poisons</w:t>
      </w:r>
    </w:p>
    <w:p>
      <w:pPr>
        <w:pStyle w:val="Heading1"/>
        <w:spacing w:before="285"/>
        <w:jc w:val="both"/>
      </w:pPr>
      <w:r>
        <w:rPr/>
        <w:t>Coumaric acid</w:t>
      </w:r>
    </w:p>
    <w:p>
      <w:pPr>
        <w:pStyle w:val="ListParagraph"/>
        <w:numPr>
          <w:ilvl w:val="1"/>
          <w:numId w:val="33"/>
        </w:numPr>
        <w:tabs>
          <w:tab w:pos="1199" w:val="left" w:leader="none"/>
          <w:tab w:pos="1200" w:val="left" w:leader="none"/>
        </w:tabs>
        <w:spacing w:line="240" w:lineRule="auto" w:before="301" w:after="0"/>
        <w:ind w:left="1199" w:right="0" w:hanging="360"/>
        <w:jc w:val="left"/>
        <w:rPr>
          <w:sz w:val="38"/>
        </w:rPr>
      </w:pPr>
      <w:r>
        <w:rPr>
          <w:sz w:val="38"/>
        </w:rPr>
        <w:t>antioxidant</w:t>
      </w:r>
    </w:p>
    <w:p>
      <w:pPr>
        <w:pStyle w:val="ListParagraph"/>
        <w:numPr>
          <w:ilvl w:val="1"/>
          <w:numId w:val="33"/>
        </w:numPr>
        <w:tabs>
          <w:tab w:pos="1199" w:val="left" w:leader="none"/>
          <w:tab w:pos="1200" w:val="left" w:leader="none"/>
        </w:tabs>
        <w:spacing w:line="240" w:lineRule="auto" w:before="63" w:after="0"/>
        <w:ind w:left="1199" w:right="0" w:hanging="360"/>
        <w:jc w:val="left"/>
        <w:rPr>
          <w:sz w:val="38"/>
        </w:rPr>
      </w:pPr>
      <w:r>
        <w:rPr>
          <w:sz w:val="38"/>
        </w:rPr>
        <w:t>anti-inflammatory</w:t>
      </w:r>
    </w:p>
    <w:p>
      <w:pPr>
        <w:pStyle w:val="ListParagraph"/>
        <w:numPr>
          <w:ilvl w:val="1"/>
          <w:numId w:val="33"/>
        </w:numPr>
        <w:tabs>
          <w:tab w:pos="1199" w:val="left" w:leader="none"/>
          <w:tab w:pos="1200" w:val="left" w:leader="none"/>
        </w:tabs>
        <w:spacing w:line="240" w:lineRule="auto" w:before="64" w:after="0"/>
        <w:ind w:left="1199" w:right="0" w:hanging="360"/>
        <w:jc w:val="left"/>
        <w:rPr>
          <w:sz w:val="38"/>
        </w:rPr>
      </w:pPr>
      <w:r>
        <w:rPr>
          <w:sz w:val="38"/>
        </w:rPr>
        <w:t>regulates blood</w:t>
      </w:r>
      <w:r>
        <w:rPr>
          <w:spacing w:val="1"/>
          <w:sz w:val="38"/>
        </w:rPr>
        <w:t> </w:t>
      </w:r>
      <w:r>
        <w:rPr>
          <w:sz w:val="38"/>
        </w:rPr>
        <w:t>sugar</w:t>
      </w:r>
    </w:p>
    <w:p>
      <w:pPr>
        <w:pStyle w:val="ListParagraph"/>
        <w:numPr>
          <w:ilvl w:val="1"/>
          <w:numId w:val="33"/>
        </w:numPr>
        <w:tabs>
          <w:tab w:pos="1199" w:val="left" w:leader="none"/>
          <w:tab w:pos="1200" w:val="left" w:leader="none"/>
        </w:tabs>
        <w:spacing w:line="240" w:lineRule="auto" w:before="64" w:after="0"/>
        <w:ind w:left="1199" w:right="0" w:hanging="360"/>
        <w:jc w:val="left"/>
        <w:rPr>
          <w:sz w:val="38"/>
        </w:rPr>
      </w:pPr>
      <w:r>
        <w:rPr>
          <w:sz w:val="38"/>
        </w:rPr>
        <w:t>antimicrobial</w:t>
      </w:r>
    </w:p>
    <w:p>
      <w:pPr>
        <w:pStyle w:val="Heading1"/>
        <w:spacing w:before="288"/>
        <w:jc w:val="both"/>
      </w:pPr>
      <w:r>
        <w:rPr/>
        <w:t>Ferulic acid</w:t>
      </w:r>
    </w:p>
    <w:p>
      <w:pPr>
        <w:spacing w:after="0"/>
        <w:jc w:val="both"/>
        <w:sectPr>
          <w:pgSz w:w="14270" w:h="16850"/>
          <w:pgMar w:header="0" w:footer="404" w:top="1600" w:bottom="2080" w:left="800" w:right="1280"/>
        </w:sectPr>
      </w:pPr>
    </w:p>
    <w:p>
      <w:pPr>
        <w:pStyle w:val="BodyText"/>
        <w:spacing w:before="10"/>
        <w:rPr>
          <w:b/>
          <w:i/>
          <w:sz w:val="8"/>
        </w:rPr>
      </w:pPr>
    </w:p>
    <w:p>
      <w:pPr>
        <w:pStyle w:val="ListParagraph"/>
        <w:numPr>
          <w:ilvl w:val="1"/>
          <w:numId w:val="33"/>
        </w:numPr>
        <w:tabs>
          <w:tab w:pos="1199" w:val="left" w:leader="none"/>
          <w:tab w:pos="1200" w:val="left" w:leader="none"/>
        </w:tabs>
        <w:spacing w:line="240" w:lineRule="auto" w:before="83" w:after="0"/>
        <w:ind w:left="1199" w:right="0" w:hanging="360"/>
        <w:jc w:val="left"/>
        <w:rPr>
          <w:sz w:val="38"/>
        </w:rPr>
      </w:pPr>
      <w:r>
        <w:rPr>
          <w:sz w:val="38"/>
        </w:rPr>
        <w:t>antioxidant</w:t>
      </w:r>
    </w:p>
    <w:p>
      <w:pPr>
        <w:pStyle w:val="ListParagraph"/>
        <w:numPr>
          <w:ilvl w:val="1"/>
          <w:numId w:val="33"/>
        </w:numPr>
        <w:tabs>
          <w:tab w:pos="1199" w:val="left" w:leader="none"/>
          <w:tab w:pos="1200" w:val="left" w:leader="none"/>
        </w:tabs>
        <w:spacing w:line="240" w:lineRule="auto" w:before="64" w:after="0"/>
        <w:ind w:left="1199" w:right="0" w:hanging="360"/>
        <w:jc w:val="left"/>
        <w:rPr>
          <w:sz w:val="38"/>
        </w:rPr>
      </w:pPr>
      <w:r>
        <w:rPr>
          <w:sz w:val="38"/>
        </w:rPr>
        <w:t>accelerates wound</w:t>
      </w:r>
      <w:r>
        <w:rPr>
          <w:spacing w:val="4"/>
          <w:sz w:val="38"/>
        </w:rPr>
        <w:t> </w:t>
      </w:r>
      <w:r>
        <w:rPr>
          <w:sz w:val="38"/>
        </w:rPr>
        <w:t>healing</w:t>
      </w:r>
    </w:p>
    <w:p>
      <w:pPr>
        <w:pStyle w:val="ListParagraph"/>
        <w:numPr>
          <w:ilvl w:val="1"/>
          <w:numId w:val="33"/>
        </w:numPr>
        <w:tabs>
          <w:tab w:pos="1199" w:val="left" w:leader="none"/>
          <w:tab w:pos="1200" w:val="left" w:leader="none"/>
        </w:tabs>
        <w:spacing w:line="240" w:lineRule="auto" w:before="66" w:after="0"/>
        <w:ind w:left="1199" w:right="0" w:hanging="360"/>
        <w:jc w:val="left"/>
        <w:rPr>
          <w:sz w:val="38"/>
        </w:rPr>
      </w:pPr>
      <w:r>
        <w:rPr>
          <w:sz w:val="38"/>
        </w:rPr>
        <w:t>regulates the fat</w:t>
      </w:r>
      <w:r>
        <w:rPr>
          <w:spacing w:val="1"/>
          <w:sz w:val="38"/>
        </w:rPr>
        <w:t> </w:t>
      </w:r>
      <w:r>
        <w:rPr>
          <w:sz w:val="38"/>
        </w:rPr>
        <w:t>metabolism</w:t>
      </w:r>
    </w:p>
    <w:p>
      <w:pPr>
        <w:pStyle w:val="ListParagraph"/>
        <w:numPr>
          <w:ilvl w:val="1"/>
          <w:numId w:val="33"/>
        </w:numPr>
        <w:tabs>
          <w:tab w:pos="1199" w:val="left" w:leader="none"/>
          <w:tab w:pos="1200" w:val="left" w:leader="none"/>
        </w:tabs>
        <w:spacing w:line="240" w:lineRule="auto" w:before="63" w:after="0"/>
        <w:ind w:left="1199" w:right="0" w:hanging="360"/>
        <w:jc w:val="left"/>
        <w:rPr>
          <w:sz w:val="38"/>
        </w:rPr>
      </w:pPr>
      <w:r>
        <w:rPr>
          <w:sz w:val="38"/>
        </w:rPr>
        <w:t>regulates digestion</w:t>
      </w:r>
    </w:p>
    <w:p>
      <w:pPr>
        <w:pStyle w:val="Heading1"/>
        <w:spacing w:before="285"/>
        <w:jc w:val="both"/>
      </w:pPr>
      <w:r>
        <w:rPr/>
        <w:t>Caffeic acid</w:t>
      </w:r>
    </w:p>
    <w:p>
      <w:pPr>
        <w:pStyle w:val="ListParagraph"/>
        <w:numPr>
          <w:ilvl w:val="1"/>
          <w:numId w:val="33"/>
        </w:numPr>
        <w:tabs>
          <w:tab w:pos="1199" w:val="left" w:leader="none"/>
          <w:tab w:pos="1200" w:val="left" w:leader="none"/>
        </w:tabs>
        <w:spacing w:line="240" w:lineRule="auto" w:before="301" w:after="0"/>
        <w:ind w:left="1199" w:right="0" w:hanging="360"/>
        <w:jc w:val="left"/>
        <w:rPr>
          <w:sz w:val="38"/>
        </w:rPr>
      </w:pPr>
      <w:r>
        <w:rPr>
          <w:sz w:val="38"/>
        </w:rPr>
        <w:t>antioxidant</w:t>
      </w:r>
    </w:p>
    <w:p>
      <w:pPr>
        <w:pStyle w:val="ListParagraph"/>
        <w:numPr>
          <w:ilvl w:val="1"/>
          <w:numId w:val="33"/>
        </w:numPr>
        <w:tabs>
          <w:tab w:pos="1199" w:val="left" w:leader="none"/>
          <w:tab w:pos="1200" w:val="left" w:leader="none"/>
        </w:tabs>
        <w:spacing w:line="240" w:lineRule="auto" w:before="64" w:after="0"/>
        <w:ind w:left="1199" w:right="0" w:hanging="360"/>
        <w:jc w:val="left"/>
        <w:rPr>
          <w:sz w:val="38"/>
        </w:rPr>
      </w:pPr>
      <w:r>
        <w:rPr>
          <w:sz w:val="38"/>
        </w:rPr>
        <w:t>regulates the fat</w:t>
      </w:r>
      <w:r>
        <w:rPr>
          <w:spacing w:val="1"/>
          <w:sz w:val="38"/>
        </w:rPr>
        <w:t> </w:t>
      </w:r>
      <w:r>
        <w:rPr>
          <w:sz w:val="38"/>
        </w:rPr>
        <w:t>metabolism</w:t>
      </w:r>
    </w:p>
    <w:p>
      <w:pPr>
        <w:pStyle w:val="ListParagraph"/>
        <w:numPr>
          <w:ilvl w:val="1"/>
          <w:numId w:val="33"/>
        </w:numPr>
        <w:tabs>
          <w:tab w:pos="1199" w:val="left" w:leader="none"/>
          <w:tab w:pos="1200" w:val="left" w:leader="none"/>
        </w:tabs>
        <w:spacing w:line="240" w:lineRule="auto" w:before="64" w:after="0"/>
        <w:ind w:left="1199" w:right="0" w:hanging="360"/>
        <w:jc w:val="left"/>
        <w:rPr>
          <w:sz w:val="38"/>
        </w:rPr>
      </w:pPr>
      <w:r>
        <w:rPr>
          <w:sz w:val="38"/>
        </w:rPr>
        <w:t>accelerates wound healing</w:t>
      </w:r>
    </w:p>
    <w:p>
      <w:pPr>
        <w:pStyle w:val="ListParagraph"/>
        <w:numPr>
          <w:ilvl w:val="1"/>
          <w:numId w:val="33"/>
        </w:numPr>
        <w:tabs>
          <w:tab w:pos="1199" w:val="left" w:leader="none"/>
          <w:tab w:pos="1200" w:val="left" w:leader="none"/>
        </w:tabs>
        <w:spacing w:line="240" w:lineRule="auto" w:before="63" w:after="0"/>
        <w:ind w:left="1199" w:right="0" w:hanging="360"/>
        <w:jc w:val="left"/>
        <w:rPr>
          <w:sz w:val="38"/>
        </w:rPr>
      </w:pPr>
      <w:r>
        <w:rPr>
          <w:sz w:val="38"/>
        </w:rPr>
        <w:t>antimicrobial</w:t>
      </w:r>
    </w:p>
    <w:p>
      <w:pPr>
        <w:pStyle w:val="ListParagraph"/>
        <w:numPr>
          <w:ilvl w:val="1"/>
          <w:numId w:val="33"/>
        </w:numPr>
        <w:tabs>
          <w:tab w:pos="1199" w:val="left" w:leader="none"/>
          <w:tab w:pos="1200" w:val="left" w:leader="none"/>
        </w:tabs>
        <w:spacing w:line="240" w:lineRule="auto" w:before="66" w:after="0"/>
        <w:ind w:left="1199" w:right="0" w:hanging="360"/>
        <w:jc w:val="left"/>
        <w:rPr>
          <w:sz w:val="38"/>
        </w:rPr>
      </w:pPr>
      <w:r>
        <w:rPr>
          <w:sz w:val="38"/>
        </w:rPr>
        <w:t>antiviral</w:t>
      </w:r>
    </w:p>
    <w:p>
      <w:pPr>
        <w:pStyle w:val="Heading1"/>
        <w:spacing w:before="285"/>
        <w:jc w:val="both"/>
      </w:pPr>
      <w:r>
        <w:rPr/>
        <w:t>Flavonoids in pomegranate</w:t>
      </w:r>
    </w:p>
    <w:p>
      <w:pPr>
        <w:pStyle w:val="BodyText"/>
        <w:spacing w:line="276" w:lineRule="auto" w:before="300"/>
        <w:ind w:left="477" w:right="135"/>
        <w:jc w:val="both"/>
      </w:pPr>
      <w:r>
        <w:rPr/>
        <w:t>The flavonoids are characterised by the fact that they all fight against the de- structive free radicals that continuously attack our body cells and lead to dis- eases and biological ageing; rutin and quercetin are particularly significant here. The following are included:</w:t>
      </w:r>
    </w:p>
    <w:p>
      <w:pPr>
        <w:pStyle w:val="ListParagraph"/>
        <w:numPr>
          <w:ilvl w:val="2"/>
          <w:numId w:val="33"/>
        </w:numPr>
        <w:tabs>
          <w:tab w:pos="1559" w:val="left" w:leader="none"/>
          <w:tab w:pos="1560" w:val="left" w:leader="none"/>
        </w:tabs>
        <w:spacing w:line="240" w:lineRule="auto" w:before="240" w:after="0"/>
        <w:ind w:left="1559" w:right="0" w:hanging="360"/>
        <w:jc w:val="left"/>
        <w:rPr>
          <w:sz w:val="38"/>
        </w:rPr>
      </w:pPr>
      <w:r>
        <w:rPr>
          <w:sz w:val="38"/>
        </w:rPr>
        <w:t>proanthocyanidins</w:t>
      </w:r>
    </w:p>
    <w:p>
      <w:pPr>
        <w:pStyle w:val="ListParagraph"/>
        <w:numPr>
          <w:ilvl w:val="2"/>
          <w:numId w:val="33"/>
        </w:numPr>
        <w:tabs>
          <w:tab w:pos="1559" w:val="left" w:leader="none"/>
          <w:tab w:pos="1560" w:val="left" w:leader="none"/>
        </w:tabs>
        <w:spacing w:line="240" w:lineRule="auto" w:before="64" w:after="0"/>
        <w:ind w:left="1559" w:right="0" w:hanging="360"/>
        <w:jc w:val="left"/>
        <w:rPr>
          <w:sz w:val="38"/>
        </w:rPr>
      </w:pPr>
      <w:r>
        <w:rPr>
          <w:sz w:val="38"/>
        </w:rPr>
        <w:t>anthocyanins</w:t>
      </w:r>
    </w:p>
    <w:p>
      <w:pPr>
        <w:pStyle w:val="ListParagraph"/>
        <w:numPr>
          <w:ilvl w:val="2"/>
          <w:numId w:val="33"/>
        </w:numPr>
        <w:tabs>
          <w:tab w:pos="1559" w:val="left" w:leader="none"/>
          <w:tab w:pos="1560" w:val="left" w:leader="none"/>
        </w:tabs>
        <w:spacing w:line="240" w:lineRule="auto" w:before="66" w:after="0"/>
        <w:ind w:left="1559" w:right="0" w:hanging="360"/>
        <w:jc w:val="left"/>
        <w:rPr>
          <w:sz w:val="38"/>
        </w:rPr>
      </w:pPr>
      <w:r>
        <w:rPr>
          <w:sz w:val="38"/>
        </w:rPr>
        <w:t>flavonols</w:t>
      </w:r>
    </w:p>
    <w:p>
      <w:pPr>
        <w:pStyle w:val="ListParagraph"/>
        <w:numPr>
          <w:ilvl w:val="2"/>
          <w:numId w:val="33"/>
        </w:numPr>
        <w:tabs>
          <w:tab w:pos="1559" w:val="left" w:leader="none"/>
          <w:tab w:pos="1560" w:val="left" w:leader="none"/>
        </w:tabs>
        <w:spacing w:line="240" w:lineRule="auto" w:before="64" w:after="0"/>
        <w:ind w:left="1559" w:right="0" w:hanging="360"/>
        <w:jc w:val="left"/>
        <w:rPr>
          <w:sz w:val="38"/>
        </w:rPr>
      </w:pPr>
      <w:r>
        <w:rPr>
          <w:sz w:val="38"/>
        </w:rPr>
        <w:t>epigallocatechin</w:t>
      </w:r>
    </w:p>
    <w:p>
      <w:pPr>
        <w:pStyle w:val="ListParagraph"/>
        <w:numPr>
          <w:ilvl w:val="2"/>
          <w:numId w:val="33"/>
        </w:numPr>
        <w:tabs>
          <w:tab w:pos="1559" w:val="left" w:leader="none"/>
          <w:tab w:pos="1560" w:val="left" w:leader="none"/>
        </w:tabs>
        <w:spacing w:line="240" w:lineRule="auto" w:before="64" w:after="0"/>
        <w:ind w:left="1559" w:right="0" w:hanging="360"/>
        <w:jc w:val="left"/>
        <w:rPr>
          <w:sz w:val="38"/>
        </w:rPr>
      </w:pPr>
      <w:r>
        <w:rPr>
          <w:sz w:val="38"/>
        </w:rPr>
        <w:t>epigallocatechin gallate</w:t>
      </w:r>
    </w:p>
    <w:p>
      <w:pPr>
        <w:spacing w:after="0" w:line="240" w:lineRule="auto"/>
        <w:jc w:val="left"/>
        <w:rPr>
          <w:sz w:val="38"/>
        </w:rPr>
        <w:sectPr>
          <w:pgSz w:w="14270" w:h="16850"/>
          <w:pgMar w:header="0" w:footer="404" w:top="1600" w:bottom="2080" w:left="800" w:right="1280"/>
        </w:sectPr>
      </w:pPr>
    </w:p>
    <w:p>
      <w:pPr>
        <w:pStyle w:val="BodyText"/>
        <w:spacing w:before="181"/>
        <w:ind w:left="477"/>
        <w:jc w:val="both"/>
      </w:pPr>
      <w:r>
        <w:rPr/>
        <w:t>The flavonoids in pomegranate take on even more functions:</w:t>
      </w:r>
    </w:p>
    <w:p>
      <w:pPr>
        <w:pStyle w:val="ListParagraph"/>
        <w:numPr>
          <w:ilvl w:val="2"/>
          <w:numId w:val="33"/>
        </w:numPr>
        <w:tabs>
          <w:tab w:pos="1561" w:val="left" w:leader="none"/>
          <w:tab w:pos="1562" w:val="left" w:leader="none"/>
        </w:tabs>
        <w:spacing w:line="240" w:lineRule="auto" w:before="306" w:after="0"/>
        <w:ind w:left="1562" w:right="0" w:hanging="360"/>
        <w:jc w:val="left"/>
        <w:rPr>
          <w:sz w:val="38"/>
        </w:rPr>
      </w:pPr>
      <w:r>
        <w:rPr>
          <w:sz w:val="38"/>
        </w:rPr>
        <w:t>antioxidant</w:t>
      </w:r>
      <w:r>
        <w:rPr>
          <w:spacing w:val="-1"/>
          <w:sz w:val="38"/>
        </w:rPr>
        <w:t> </w:t>
      </w:r>
      <w:r>
        <w:rPr>
          <w:sz w:val="38"/>
        </w:rPr>
        <w:t>function</w:t>
      </w:r>
    </w:p>
    <w:p>
      <w:pPr>
        <w:pStyle w:val="ListParagraph"/>
        <w:numPr>
          <w:ilvl w:val="2"/>
          <w:numId w:val="33"/>
        </w:numPr>
        <w:tabs>
          <w:tab w:pos="1561" w:val="left" w:leader="none"/>
          <w:tab w:pos="1562" w:val="left" w:leader="none"/>
        </w:tabs>
        <w:spacing w:line="240" w:lineRule="auto" w:before="64" w:after="0"/>
        <w:ind w:left="1562" w:right="0" w:hanging="360"/>
        <w:jc w:val="left"/>
        <w:rPr>
          <w:sz w:val="38"/>
        </w:rPr>
      </w:pPr>
      <w:r>
        <w:rPr>
          <w:sz w:val="38"/>
        </w:rPr>
        <w:t>protection against blood clots (thrombi) which</w:t>
      </w:r>
      <w:r>
        <w:rPr>
          <w:spacing w:val="-2"/>
          <w:sz w:val="38"/>
        </w:rPr>
        <w:t> </w:t>
      </w:r>
      <w:r>
        <w:rPr>
          <w:sz w:val="38"/>
        </w:rPr>
        <w:t>cause</w:t>
      </w:r>
    </w:p>
    <w:p>
      <w:pPr>
        <w:pStyle w:val="ListParagraph"/>
        <w:numPr>
          <w:ilvl w:val="2"/>
          <w:numId w:val="33"/>
        </w:numPr>
        <w:tabs>
          <w:tab w:pos="1561" w:val="left" w:leader="none"/>
          <w:tab w:pos="1562" w:val="left" w:leader="none"/>
        </w:tabs>
        <w:spacing w:line="240" w:lineRule="auto" w:before="64" w:after="0"/>
        <w:ind w:left="1562" w:right="0" w:hanging="360"/>
        <w:jc w:val="left"/>
        <w:rPr>
          <w:sz w:val="38"/>
        </w:rPr>
      </w:pPr>
      <w:r>
        <w:rPr>
          <w:sz w:val="38"/>
        </w:rPr>
        <w:t>strokes.</w:t>
      </w:r>
    </w:p>
    <w:p>
      <w:pPr>
        <w:pStyle w:val="ListParagraph"/>
        <w:numPr>
          <w:ilvl w:val="2"/>
          <w:numId w:val="33"/>
        </w:numPr>
        <w:tabs>
          <w:tab w:pos="1561" w:val="left" w:leader="none"/>
          <w:tab w:pos="1562" w:val="left" w:leader="none"/>
        </w:tabs>
        <w:spacing w:line="240" w:lineRule="auto" w:before="66" w:after="0"/>
        <w:ind w:left="1562" w:right="0" w:hanging="360"/>
        <w:jc w:val="left"/>
        <w:rPr>
          <w:sz w:val="38"/>
        </w:rPr>
      </w:pPr>
      <w:r>
        <w:rPr>
          <w:sz w:val="38"/>
        </w:rPr>
        <w:t>antimicrobial</w:t>
      </w:r>
      <w:r>
        <w:rPr>
          <w:spacing w:val="-2"/>
          <w:sz w:val="38"/>
        </w:rPr>
        <w:t> </w:t>
      </w:r>
      <w:r>
        <w:rPr>
          <w:sz w:val="38"/>
        </w:rPr>
        <w:t>effect</w:t>
      </w:r>
    </w:p>
    <w:p>
      <w:pPr>
        <w:pStyle w:val="ListParagraph"/>
        <w:numPr>
          <w:ilvl w:val="2"/>
          <w:numId w:val="33"/>
        </w:numPr>
        <w:tabs>
          <w:tab w:pos="1561" w:val="left" w:leader="none"/>
          <w:tab w:pos="1562" w:val="left" w:leader="none"/>
        </w:tabs>
        <w:spacing w:line="240" w:lineRule="auto" w:before="63" w:after="0"/>
        <w:ind w:left="1562" w:right="0" w:hanging="360"/>
        <w:jc w:val="left"/>
        <w:rPr>
          <w:sz w:val="38"/>
        </w:rPr>
      </w:pPr>
      <w:r>
        <w:rPr>
          <w:sz w:val="38"/>
        </w:rPr>
        <w:t>effect against inflammation in the</w:t>
      </w:r>
      <w:r>
        <w:rPr>
          <w:spacing w:val="4"/>
          <w:sz w:val="38"/>
        </w:rPr>
        <w:t> </w:t>
      </w:r>
      <w:r>
        <w:rPr>
          <w:sz w:val="38"/>
        </w:rPr>
        <w:t>body</w:t>
      </w:r>
    </w:p>
    <w:p>
      <w:pPr>
        <w:pStyle w:val="Heading1"/>
        <w:spacing w:before="286"/>
        <w:jc w:val="both"/>
      </w:pPr>
      <w:r>
        <w:rPr/>
        <w:t>Phytoestrogens in pomegranate</w:t>
      </w:r>
    </w:p>
    <w:p>
      <w:pPr>
        <w:pStyle w:val="BodyText"/>
        <w:spacing w:line="276" w:lineRule="auto" w:before="179"/>
        <w:ind w:left="477" w:right="134"/>
        <w:jc w:val="both"/>
      </w:pPr>
      <w:r>
        <w:rPr/>
        <w:t>In</w:t>
      </w:r>
      <w:r>
        <w:rPr>
          <w:spacing w:val="-27"/>
        </w:rPr>
        <w:t> </w:t>
      </w:r>
      <w:r>
        <w:rPr/>
        <w:t>addition</w:t>
      </w:r>
      <w:r>
        <w:rPr>
          <w:spacing w:val="-25"/>
        </w:rPr>
        <w:t> </w:t>
      </w:r>
      <w:r>
        <w:rPr/>
        <w:t>to</w:t>
      </w:r>
      <w:r>
        <w:rPr>
          <w:spacing w:val="-25"/>
        </w:rPr>
        <w:t> </w:t>
      </w:r>
      <w:r>
        <w:rPr/>
        <w:t>the</w:t>
      </w:r>
      <w:r>
        <w:rPr>
          <w:spacing w:val="-26"/>
        </w:rPr>
        <w:t> </w:t>
      </w:r>
      <w:r>
        <w:rPr/>
        <w:t>flavonoids</w:t>
      </w:r>
      <w:r>
        <w:rPr>
          <w:spacing w:val="-26"/>
        </w:rPr>
        <w:t> </w:t>
      </w:r>
      <w:r>
        <w:rPr/>
        <w:t>and</w:t>
      </w:r>
      <w:r>
        <w:rPr>
          <w:spacing w:val="-26"/>
        </w:rPr>
        <w:t> </w:t>
      </w:r>
      <w:r>
        <w:rPr/>
        <w:t>the</w:t>
      </w:r>
      <w:r>
        <w:rPr>
          <w:spacing w:val="-26"/>
        </w:rPr>
        <w:t> </w:t>
      </w:r>
      <w:r>
        <w:rPr/>
        <w:t>phenolic</w:t>
      </w:r>
      <w:r>
        <w:rPr>
          <w:spacing w:val="-26"/>
        </w:rPr>
        <w:t> </w:t>
      </w:r>
      <w:r>
        <w:rPr/>
        <w:t>acids,</w:t>
      </w:r>
      <w:r>
        <w:rPr>
          <w:spacing w:val="-26"/>
        </w:rPr>
        <w:t> </w:t>
      </w:r>
      <w:r>
        <w:rPr/>
        <w:t>the</w:t>
      </w:r>
      <w:r>
        <w:rPr>
          <w:spacing w:val="-26"/>
        </w:rPr>
        <w:t> </w:t>
      </w:r>
      <w:r>
        <w:rPr/>
        <w:t>phytoestrogens,</w:t>
      </w:r>
      <w:r>
        <w:rPr>
          <w:spacing w:val="-25"/>
        </w:rPr>
        <w:t> </w:t>
      </w:r>
      <w:r>
        <w:rPr/>
        <w:t>as</w:t>
      </w:r>
      <w:r>
        <w:rPr>
          <w:spacing w:val="-28"/>
        </w:rPr>
        <w:t> </w:t>
      </w:r>
      <w:r>
        <w:rPr/>
        <w:t>third parties</w:t>
      </w:r>
      <w:r>
        <w:rPr>
          <w:spacing w:val="-9"/>
        </w:rPr>
        <w:t> </w:t>
      </w:r>
      <w:r>
        <w:rPr/>
        <w:t>in</w:t>
      </w:r>
      <w:r>
        <w:rPr>
          <w:spacing w:val="-12"/>
        </w:rPr>
        <w:t> </w:t>
      </w:r>
      <w:r>
        <w:rPr/>
        <w:t>the</w:t>
      </w:r>
      <w:r>
        <w:rPr>
          <w:spacing w:val="-10"/>
        </w:rPr>
        <w:t> </w:t>
      </w:r>
      <w:r>
        <w:rPr/>
        <w:t>team,</w:t>
      </w:r>
      <w:r>
        <w:rPr>
          <w:spacing w:val="-8"/>
        </w:rPr>
        <w:t> </w:t>
      </w:r>
      <w:r>
        <w:rPr/>
        <w:t>play</w:t>
      </w:r>
      <w:r>
        <w:rPr>
          <w:spacing w:val="-12"/>
        </w:rPr>
        <w:t> </w:t>
      </w:r>
      <w:r>
        <w:rPr/>
        <w:t>an</w:t>
      </w:r>
      <w:r>
        <w:rPr>
          <w:spacing w:val="-11"/>
        </w:rPr>
        <w:t> </w:t>
      </w:r>
      <w:r>
        <w:rPr/>
        <w:t>important</w:t>
      </w:r>
      <w:r>
        <w:rPr>
          <w:spacing w:val="-9"/>
        </w:rPr>
        <w:t> </w:t>
      </w:r>
      <w:r>
        <w:rPr/>
        <w:t>role</w:t>
      </w:r>
      <w:r>
        <w:rPr>
          <w:spacing w:val="-11"/>
        </w:rPr>
        <w:t> </w:t>
      </w:r>
      <w:r>
        <w:rPr/>
        <w:t>within</w:t>
      </w:r>
      <w:r>
        <w:rPr>
          <w:spacing w:val="-11"/>
        </w:rPr>
        <w:t> </w:t>
      </w:r>
      <w:r>
        <w:rPr/>
        <w:t>the</w:t>
      </w:r>
      <w:r>
        <w:rPr>
          <w:spacing w:val="-8"/>
        </w:rPr>
        <w:t> </w:t>
      </w:r>
      <w:r>
        <w:rPr/>
        <w:t>drug</w:t>
      </w:r>
      <w:r>
        <w:rPr>
          <w:spacing w:val="-11"/>
        </w:rPr>
        <w:t> </w:t>
      </w:r>
      <w:r>
        <w:rPr/>
        <w:t>groups</w:t>
      </w:r>
      <w:r>
        <w:rPr>
          <w:spacing w:val="-13"/>
        </w:rPr>
        <w:t> </w:t>
      </w:r>
      <w:r>
        <w:rPr/>
        <w:t>in</w:t>
      </w:r>
      <w:r>
        <w:rPr>
          <w:spacing w:val="-8"/>
        </w:rPr>
        <w:t> </w:t>
      </w:r>
      <w:r>
        <w:rPr/>
        <w:t>pomegran- ate.</w:t>
      </w:r>
    </w:p>
    <w:p>
      <w:pPr>
        <w:pStyle w:val="BodyText"/>
        <w:spacing w:line="276" w:lineRule="auto" w:before="239"/>
        <w:ind w:left="477" w:right="138"/>
        <w:jc w:val="both"/>
      </w:pPr>
      <w:r>
        <w:rPr/>
        <w:t>They are in the seed oil of numerous seeds and are very similar to the human sex</w:t>
      </w:r>
      <w:r>
        <w:rPr>
          <w:spacing w:val="-17"/>
        </w:rPr>
        <w:t> </w:t>
      </w:r>
      <w:r>
        <w:rPr/>
        <w:t>hormone</w:t>
      </w:r>
      <w:r>
        <w:rPr>
          <w:spacing w:val="-17"/>
        </w:rPr>
        <w:t> </w:t>
      </w:r>
      <w:r>
        <w:rPr/>
        <w:t>oestrogen</w:t>
      </w:r>
      <w:r>
        <w:rPr>
          <w:spacing w:val="-16"/>
        </w:rPr>
        <w:t> </w:t>
      </w:r>
      <w:r>
        <w:rPr/>
        <w:t>in</w:t>
      </w:r>
      <w:r>
        <w:rPr>
          <w:spacing w:val="-16"/>
        </w:rPr>
        <w:t> </w:t>
      </w:r>
      <w:r>
        <w:rPr/>
        <w:t>terms</w:t>
      </w:r>
      <w:r>
        <w:rPr>
          <w:spacing w:val="-19"/>
        </w:rPr>
        <w:t> </w:t>
      </w:r>
      <w:r>
        <w:rPr/>
        <w:t>of</w:t>
      </w:r>
      <w:r>
        <w:rPr>
          <w:spacing w:val="-17"/>
        </w:rPr>
        <w:t> </w:t>
      </w:r>
      <w:r>
        <w:rPr/>
        <w:t>biochemical</w:t>
      </w:r>
      <w:r>
        <w:rPr>
          <w:spacing w:val="-17"/>
        </w:rPr>
        <w:t> </w:t>
      </w:r>
      <w:r>
        <w:rPr/>
        <w:t>structure.</w:t>
      </w:r>
      <w:r>
        <w:rPr>
          <w:spacing w:val="-17"/>
        </w:rPr>
        <w:t> </w:t>
      </w:r>
      <w:r>
        <w:rPr/>
        <w:t>The</w:t>
      </w:r>
      <w:r>
        <w:rPr>
          <w:spacing w:val="-17"/>
        </w:rPr>
        <w:t> </w:t>
      </w:r>
      <w:r>
        <w:rPr/>
        <w:t>plant</w:t>
      </w:r>
      <w:r>
        <w:rPr>
          <w:spacing w:val="-16"/>
        </w:rPr>
        <w:t> </w:t>
      </w:r>
      <w:r>
        <w:rPr/>
        <w:t>oestrogens compete with the body's own oestrogen to dock onto oestrogen receptors and can therefore trigger a diverse effect in the body, including the protection against hormone-dependent cancers such as breast or prostate</w:t>
      </w:r>
      <w:r>
        <w:rPr>
          <w:spacing w:val="-15"/>
        </w:rPr>
        <w:t> </w:t>
      </w:r>
      <w:r>
        <w:rPr/>
        <w:t>cancer.</w:t>
      </w:r>
    </w:p>
    <w:p>
      <w:pPr>
        <w:spacing w:after="0" w:line="276" w:lineRule="auto"/>
        <w:jc w:val="both"/>
        <w:sectPr>
          <w:pgSz w:w="14270" w:h="16850"/>
          <w:pgMar w:header="0" w:footer="404" w:top="1600" w:bottom="2080" w:left="800" w:right="1280"/>
        </w:sectPr>
      </w:pPr>
    </w:p>
    <w:p>
      <w:pPr>
        <w:pStyle w:val="Heading1"/>
        <w:spacing w:before="164"/>
      </w:pPr>
      <w:r>
        <w:rPr/>
        <w:t>Nutrition and vitality table</w:t>
      </w:r>
    </w:p>
    <w:p>
      <w:pPr>
        <w:pStyle w:val="BodyText"/>
        <w:spacing w:before="3"/>
        <w:rPr>
          <w:b/>
          <w:i/>
          <w:sz w:val="16"/>
        </w:rPr>
      </w:pPr>
    </w:p>
    <w:tbl>
      <w:tblPr>
        <w:tblW w:w="0" w:type="auto"/>
        <w:jc w:val="left"/>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06"/>
        <w:gridCol w:w="4606"/>
      </w:tblGrid>
      <w:tr>
        <w:trPr>
          <w:trHeight w:val="1103" w:hRule="atLeast"/>
        </w:trPr>
        <w:tc>
          <w:tcPr>
            <w:tcW w:w="9212" w:type="dxa"/>
            <w:gridSpan w:val="2"/>
            <w:shd w:val="clear" w:color="auto" w:fill="8DB3E1"/>
          </w:tcPr>
          <w:p>
            <w:pPr>
              <w:pStyle w:val="TableParagraph"/>
              <w:spacing w:line="276" w:lineRule="auto"/>
              <w:ind w:left="107"/>
              <w:rPr>
                <w:b/>
                <w:sz w:val="38"/>
              </w:rPr>
            </w:pPr>
            <w:r>
              <w:rPr>
                <w:b/>
                <w:sz w:val="38"/>
              </w:rPr>
              <w:t>The nutrients and vital substances in the fresh pome- granate (100 g)</w:t>
            </w:r>
          </w:p>
        </w:tc>
      </w:tr>
      <w:tr>
        <w:trPr>
          <w:trHeight w:val="611" w:hRule="atLeast"/>
        </w:trPr>
        <w:tc>
          <w:tcPr>
            <w:tcW w:w="4606" w:type="dxa"/>
          </w:tcPr>
          <w:p>
            <w:pPr>
              <w:pStyle w:val="TableParagraph"/>
              <w:spacing w:line="424" w:lineRule="exact"/>
              <w:ind w:left="107"/>
              <w:rPr>
                <w:sz w:val="38"/>
              </w:rPr>
            </w:pPr>
            <w:r>
              <w:rPr>
                <w:sz w:val="38"/>
              </w:rPr>
              <w:t>Carbohydrates:</w:t>
            </w:r>
          </w:p>
        </w:tc>
        <w:tc>
          <w:tcPr>
            <w:tcW w:w="4606" w:type="dxa"/>
          </w:tcPr>
          <w:p>
            <w:pPr>
              <w:pStyle w:val="TableParagraph"/>
              <w:spacing w:line="424" w:lineRule="exact"/>
              <w:ind w:left="107"/>
              <w:rPr>
                <w:sz w:val="38"/>
              </w:rPr>
            </w:pPr>
            <w:r>
              <w:rPr>
                <w:sz w:val="38"/>
              </w:rPr>
              <w:t>16.70g</w:t>
            </w:r>
          </w:p>
        </w:tc>
      </w:tr>
      <w:tr>
        <w:trPr>
          <w:trHeight w:val="611" w:hRule="atLeast"/>
        </w:trPr>
        <w:tc>
          <w:tcPr>
            <w:tcW w:w="4606" w:type="dxa"/>
          </w:tcPr>
          <w:p>
            <w:pPr>
              <w:pStyle w:val="TableParagraph"/>
              <w:spacing w:line="424" w:lineRule="exact"/>
              <w:ind w:left="203"/>
              <w:rPr>
                <w:sz w:val="38"/>
              </w:rPr>
            </w:pPr>
            <w:r>
              <w:rPr>
                <w:sz w:val="38"/>
              </w:rPr>
              <w:t>of which fructose (fructose):</w:t>
            </w:r>
          </w:p>
        </w:tc>
        <w:tc>
          <w:tcPr>
            <w:tcW w:w="4606" w:type="dxa"/>
          </w:tcPr>
          <w:p>
            <w:pPr>
              <w:pStyle w:val="TableParagraph"/>
              <w:spacing w:line="424" w:lineRule="exact"/>
              <w:ind w:left="107"/>
              <w:rPr>
                <w:sz w:val="38"/>
              </w:rPr>
            </w:pPr>
            <w:r>
              <w:rPr>
                <w:sz w:val="38"/>
              </w:rPr>
              <w:t>7.36 g</w:t>
            </w:r>
          </w:p>
        </w:tc>
      </w:tr>
      <w:tr>
        <w:trPr>
          <w:trHeight w:val="612" w:hRule="atLeast"/>
        </w:trPr>
        <w:tc>
          <w:tcPr>
            <w:tcW w:w="4606" w:type="dxa"/>
          </w:tcPr>
          <w:p>
            <w:pPr>
              <w:pStyle w:val="TableParagraph"/>
              <w:spacing w:line="424" w:lineRule="exact"/>
              <w:ind w:left="107"/>
              <w:rPr>
                <w:sz w:val="38"/>
              </w:rPr>
            </w:pPr>
            <w:r>
              <w:rPr>
                <w:sz w:val="38"/>
              </w:rPr>
              <w:t>Glucose (glucose):</w:t>
            </w:r>
          </w:p>
        </w:tc>
        <w:tc>
          <w:tcPr>
            <w:tcW w:w="4606" w:type="dxa"/>
          </w:tcPr>
          <w:p>
            <w:pPr>
              <w:pStyle w:val="TableParagraph"/>
              <w:spacing w:line="424" w:lineRule="exact"/>
              <w:ind w:left="107"/>
              <w:rPr>
                <w:sz w:val="38"/>
              </w:rPr>
            </w:pPr>
            <w:r>
              <w:rPr>
                <w:sz w:val="38"/>
              </w:rPr>
              <w:t>9.05 g</w:t>
            </w:r>
          </w:p>
        </w:tc>
      </w:tr>
      <w:tr>
        <w:trPr>
          <w:trHeight w:val="611" w:hRule="atLeast"/>
        </w:trPr>
        <w:tc>
          <w:tcPr>
            <w:tcW w:w="4606" w:type="dxa"/>
          </w:tcPr>
          <w:p>
            <w:pPr>
              <w:pStyle w:val="TableParagraph"/>
              <w:spacing w:line="424" w:lineRule="exact"/>
              <w:ind w:left="107"/>
              <w:rPr>
                <w:sz w:val="38"/>
              </w:rPr>
            </w:pPr>
            <w:r>
              <w:rPr>
                <w:sz w:val="38"/>
              </w:rPr>
              <w:t>Sucrose (beet sugar):</w:t>
            </w:r>
          </w:p>
        </w:tc>
        <w:tc>
          <w:tcPr>
            <w:tcW w:w="4606" w:type="dxa"/>
          </w:tcPr>
          <w:p>
            <w:pPr>
              <w:pStyle w:val="TableParagraph"/>
              <w:spacing w:line="424" w:lineRule="exact"/>
              <w:ind w:left="107"/>
              <w:rPr>
                <w:sz w:val="38"/>
              </w:rPr>
            </w:pPr>
            <w:r>
              <w:rPr>
                <w:sz w:val="38"/>
              </w:rPr>
              <w:t>0.28 g</w:t>
            </w:r>
          </w:p>
        </w:tc>
      </w:tr>
      <w:tr>
        <w:trPr>
          <w:trHeight w:val="611" w:hRule="atLeast"/>
        </w:trPr>
        <w:tc>
          <w:tcPr>
            <w:tcW w:w="4606" w:type="dxa"/>
          </w:tcPr>
          <w:p>
            <w:pPr>
              <w:pStyle w:val="TableParagraph"/>
              <w:spacing w:line="424" w:lineRule="exact"/>
              <w:ind w:left="107"/>
              <w:rPr>
                <w:sz w:val="38"/>
              </w:rPr>
            </w:pPr>
            <w:r>
              <w:rPr>
                <w:sz w:val="38"/>
              </w:rPr>
              <w:t>of which dietary fibre:</w:t>
            </w:r>
          </w:p>
        </w:tc>
        <w:tc>
          <w:tcPr>
            <w:tcW w:w="4606" w:type="dxa"/>
          </w:tcPr>
          <w:p>
            <w:pPr>
              <w:pStyle w:val="TableParagraph"/>
              <w:spacing w:line="424" w:lineRule="exact"/>
              <w:ind w:left="107"/>
              <w:rPr>
                <w:sz w:val="38"/>
              </w:rPr>
            </w:pPr>
            <w:r>
              <w:rPr>
                <w:sz w:val="38"/>
              </w:rPr>
              <w:t>2.24 g</w:t>
            </w:r>
          </w:p>
        </w:tc>
      </w:tr>
      <w:tr>
        <w:trPr>
          <w:trHeight w:val="611" w:hRule="atLeast"/>
        </w:trPr>
        <w:tc>
          <w:tcPr>
            <w:tcW w:w="4606" w:type="dxa"/>
          </w:tcPr>
          <w:p>
            <w:pPr>
              <w:pStyle w:val="TableParagraph"/>
              <w:spacing w:line="424" w:lineRule="exact"/>
              <w:ind w:left="107"/>
              <w:rPr>
                <w:sz w:val="38"/>
              </w:rPr>
            </w:pPr>
            <w:r>
              <w:rPr>
                <w:sz w:val="38"/>
              </w:rPr>
              <w:t>Protein:</w:t>
            </w:r>
          </w:p>
        </w:tc>
        <w:tc>
          <w:tcPr>
            <w:tcW w:w="4606" w:type="dxa"/>
          </w:tcPr>
          <w:p>
            <w:pPr>
              <w:pStyle w:val="TableParagraph"/>
              <w:spacing w:line="424" w:lineRule="exact"/>
              <w:ind w:left="107"/>
              <w:rPr>
                <w:sz w:val="38"/>
              </w:rPr>
            </w:pPr>
            <w:r>
              <w:rPr>
                <w:sz w:val="38"/>
              </w:rPr>
              <w:t>0.70 g</w:t>
            </w:r>
          </w:p>
        </w:tc>
      </w:tr>
      <w:tr>
        <w:trPr>
          <w:trHeight w:val="1103" w:hRule="atLeast"/>
        </w:trPr>
        <w:tc>
          <w:tcPr>
            <w:tcW w:w="4606" w:type="dxa"/>
          </w:tcPr>
          <w:p>
            <w:pPr>
              <w:pStyle w:val="TableParagraph"/>
              <w:spacing w:line="276" w:lineRule="auto"/>
              <w:ind w:left="107" w:right="305"/>
              <w:rPr>
                <w:sz w:val="38"/>
              </w:rPr>
            </w:pPr>
            <w:r>
              <w:rPr>
                <w:sz w:val="38"/>
              </w:rPr>
              <w:t>of which essential amino ac- ids:</w:t>
            </w:r>
          </w:p>
        </w:tc>
        <w:tc>
          <w:tcPr>
            <w:tcW w:w="4606" w:type="dxa"/>
          </w:tcPr>
          <w:p>
            <w:pPr>
              <w:pStyle w:val="TableParagraph"/>
              <w:spacing w:line="424" w:lineRule="exact"/>
              <w:ind w:left="107"/>
              <w:rPr>
                <w:sz w:val="38"/>
              </w:rPr>
            </w:pPr>
            <w:r>
              <w:rPr>
                <w:sz w:val="38"/>
              </w:rPr>
              <w:t>0.22 mg</w:t>
            </w:r>
          </w:p>
        </w:tc>
      </w:tr>
      <w:tr>
        <w:trPr>
          <w:trHeight w:val="612" w:hRule="atLeast"/>
        </w:trPr>
        <w:tc>
          <w:tcPr>
            <w:tcW w:w="4606" w:type="dxa"/>
          </w:tcPr>
          <w:p>
            <w:pPr>
              <w:pStyle w:val="TableParagraph"/>
              <w:spacing w:line="424" w:lineRule="exact"/>
              <w:ind w:left="107"/>
              <w:rPr>
                <w:sz w:val="38"/>
              </w:rPr>
            </w:pPr>
            <w:r>
              <w:rPr>
                <w:sz w:val="38"/>
              </w:rPr>
              <w:t>nonessential amino acids:</w:t>
            </w:r>
          </w:p>
        </w:tc>
        <w:tc>
          <w:tcPr>
            <w:tcW w:w="4606" w:type="dxa"/>
          </w:tcPr>
          <w:p>
            <w:pPr>
              <w:pStyle w:val="TableParagraph"/>
              <w:spacing w:line="424" w:lineRule="exact"/>
              <w:ind w:left="107"/>
              <w:rPr>
                <w:sz w:val="38"/>
              </w:rPr>
            </w:pPr>
            <w:r>
              <w:rPr>
                <w:sz w:val="38"/>
              </w:rPr>
              <w:t>0.23 mg</w:t>
            </w:r>
          </w:p>
        </w:tc>
      </w:tr>
      <w:tr>
        <w:trPr>
          <w:trHeight w:val="611" w:hRule="atLeast"/>
        </w:trPr>
        <w:tc>
          <w:tcPr>
            <w:tcW w:w="4606" w:type="dxa"/>
          </w:tcPr>
          <w:p>
            <w:pPr>
              <w:pStyle w:val="TableParagraph"/>
              <w:spacing w:line="424" w:lineRule="exact"/>
              <w:ind w:left="107"/>
              <w:rPr>
                <w:sz w:val="38"/>
              </w:rPr>
            </w:pPr>
            <w:r>
              <w:rPr>
                <w:sz w:val="38"/>
              </w:rPr>
              <w:t>Fats:</w:t>
            </w:r>
          </w:p>
        </w:tc>
        <w:tc>
          <w:tcPr>
            <w:tcW w:w="4606" w:type="dxa"/>
          </w:tcPr>
          <w:p>
            <w:pPr>
              <w:pStyle w:val="TableParagraph"/>
              <w:spacing w:line="424" w:lineRule="exact"/>
              <w:ind w:left="107"/>
              <w:rPr>
                <w:sz w:val="38"/>
              </w:rPr>
            </w:pPr>
            <w:r>
              <w:rPr>
                <w:sz w:val="38"/>
              </w:rPr>
              <w:t>0.60 g</w:t>
            </w:r>
          </w:p>
        </w:tc>
      </w:tr>
      <w:tr>
        <w:trPr>
          <w:trHeight w:val="611" w:hRule="atLeast"/>
        </w:trPr>
        <w:tc>
          <w:tcPr>
            <w:tcW w:w="4606" w:type="dxa"/>
          </w:tcPr>
          <w:p>
            <w:pPr>
              <w:pStyle w:val="TableParagraph"/>
              <w:spacing w:line="424" w:lineRule="exact"/>
              <w:ind w:left="107"/>
              <w:rPr>
                <w:sz w:val="38"/>
              </w:rPr>
            </w:pPr>
            <w:r>
              <w:rPr>
                <w:sz w:val="38"/>
              </w:rPr>
              <w:t>of which saturated fatty acids:</w:t>
            </w:r>
          </w:p>
        </w:tc>
        <w:tc>
          <w:tcPr>
            <w:tcW w:w="4606" w:type="dxa"/>
          </w:tcPr>
          <w:p>
            <w:pPr>
              <w:pStyle w:val="TableParagraph"/>
              <w:spacing w:line="424" w:lineRule="exact"/>
              <w:ind w:left="107"/>
              <w:rPr>
                <w:sz w:val="38"/>
              </w:rPr>
            </w:pPr>
            <w:r>
              <w:rPr>
                <w:sz w:val="38"/>
              </w:rPr>
              <w:t>0.14 g</w:t>
            </w:r>
          </w:p>
        </w:tc>
      </w:tr>
      <w:tr>
        <w:trPr>
          <w:trHeight w:val="611" w:hRule="atLeast"/>
        </w:trPr>
        <w:tc>
          <w:tcPr>
            <w:tcW w:w="4606" w:type="dxa"/>
          </w:tcPr>
          <w:p>
            <w:pPr>
              <w:pStyle w:val="TableParagraph"/>
              <w:spacing w:line="424" w:lineRule="exact"/>
              <w:ind w:left="107"/>
              <w:rPr>
                <w:sz w:val="38"/>
              </w:rPr>
            </w:pPr>
            <w:r>
              <w:rPr>
                <w:sz w:val="38"/>
              </w:rPr>
              <w:t>monounsaturated fatty acids:</w:t>
            </w:r>
          </w:p>
        </w:tc>
        <w:tc>
          <w:tcPr>
            <w:tcW w:w="4606" w:type="dxa"/>
          </w:tcPr>
          <w:p>
            <w:pPr>
              <w:pStyle w:val="TableParagraph"/>
              <w:spacing w:line="424" w:lineRule="exact"/>
              <w:ind w:left="107"/>
              <w:rPr>
                <w:sz w:val="38"/>
              </w:rPr>
            </w:pPr>
            <w:r>
              <w:rPr>
                <w:sz w:val="38"/>
              </w:rPr>
              <w:t>0.10 g</w:t>
            </w:r>
          </w:p>
        </w:tc>
      </w:tr>
      <w:tr>
        <w:trPr>
          <w:trHeight w:val="611" w:hRule="atLeast"/>
        </w:trPr>
        <w:tc>
          <w:tcPr>
            <w:tcW w:w="4606" w:type="dxa"/>
          </w:tcPr>
          <w:p>
            <w:pPr>
              <w:pStyle w:val="TableParagraph"/>
              <w:spacing w:line="424" w:lineRule="exact"/>
              <w:ind w:left="107"/>
              <w:rPr>
                <w:sz w:val="38"/>
              </w:rPr>
            </w:pPr>
            <w:r>
              <w:rPr>
                <w:sz w:val="38"/>
              </w:rPr>
              <w:t>polyunsaturated fatty acids:</w:t>
            </w:r>
          </w:p>
        </w:tc>
        <w:tc>
          <w:tcPr>
            <w:tcW w:w="4606" w:type="dxa"/>
          </w:tcPr>
          <w:p>
            <w:pPr>
              <w:pStyle w:val="TableParagraph"/>
              <w:spacing w:line="424" w:lineRule="exact"/>
              <w:ind w:left="107"/>
              <w:rPr>
                <w:sz w:val="38"/>
              </w:rPr>
            </w:pPr>
            <w:r>
              <w:rPr>
                <w:sz w:val="38"/>
              </w:rPr>
              <w:t>0.24 g</w:t>
            </w:r>
          </w:p>
        </w:tc>
      </w:tr>
      <w:tr>
        <w:trPr>
          <w:trHeight w:val="611" w:hRule="atLeast"/>
        </w:trPr>
        <w:tc>
          <w:tcPr>
            <w:tcW w:w="4606" w:type="dxa"/>
          </w:tcPr>
          <w:p>
            <w:pPr>
              <w:pStyle w:val="TableParagraph"/>
              <w:spacing w:line="424" w:lineRule="exact"/>
              <w:ind w:left="107"/>
              <w:rPr>
                <w:sz w:val="38"/>
              </w:rPr>
            </w:pPr>
            <w:r>
              <w:rPr>
                <w:sz w:val="38"/>
              </w:rPr>
              <w:t>Energy:</w:t>
            </w:r>
          </w:p>
        </w:tc>
        <w:tc>
          <w:tcPr>
            <w:tcW w:w="4606" w:type="dxa"/>
          </w:tcPr>
          <w:p>
            <w:pPr>
              <w:pStyle w:val="TableParagraph"/>
              <w:spacing w:line="424" w:lineRule="exact"/>
              <w:ind w:left="107"/>
              <w:rPr>
                <w:sz w:val="38"/>
              </w:rPr>
            </w:pPr>
            <w:r>
              <w:rPr>
                <w:sz w:val="38"/>
              </w:rPr>
              <w:t>78 kcal / 326 kJ</w:t>
            </w:r>
          </w:p>
        </w:tc>
      </w:tr>
      <w:tr>
        <w:trPr>
          <w:trHeight w:val="612" w:hRule="atLeast"/>
        </w:trPr>
        <w:tc>
          <w:tcPr>
            <w:tcW w:w="4606" w:type="dxa"/>
          </w:tcPr>
          <w:p>
            <w:pPr>
              <w:pStyle w:val="TableParagraph"/>
              <w:spacing w:line="430" w:lineRule="exact"/>
              <w:ind w:left="107"/>
              <w:rPr>
                <w:b/>
                <w:i/>
                <w:sz w:val="40"/>
              </w:rPr>
            </w:pPr>
            <w:r>
              <w:rPr>
                <w:b/>
                <w:i/>
                <w:sz w:val="40"/>
              </w:rPr>
              <w:t>Vitamin profile</w:t>
            </w:r>
          </w:p>
        </w:tc>
        <w:tc>
          <w:tcPr>
            <w:tcW w:w="4606" w:type="dxa"/>
          </w:tcPr>
          <w:p>
            <w:pPr>
              <w:pStyle w:val="TableParagraph"/>
              <w:rPr>
                <w:rFonts w:ascii="Times New Roman"/>
                <w:sz w:val="36"/>
              </w:rPr>
            </w:pPr>
          </w:p>
        </w:tc>
      </w:tr>
      <w:tr>
        <w:trPr>
          <w:trHeight w:val="611" w:hRule="atLeast"/>
        </w:trPr>
        <w:tc>
          <w:tcPr>
            <w:tcW w:w="4606" w:type="dxa"/>
          </w:tcPr>
          <w:p>
            <w:pPr>
              <w:pStyle w:val="TableParagraph"/>
              <w:spacing w:line="424" w:lineRule="exact"/>
              <w:ind w:left="107"/>
              <w:rPr>
                <w:sz w:val="38"/>
              </w:rPr>
            </w:pPr>
            <w:r>
              <w:rPr>
                <w:sz w:val="38"/>
              </w:rPr>
              <w:t>Vitamin A:</w:t>
            </w:r>
          </w:p>
        </w:tc>
        <w:tc>
          <w:tcPr>
            <w:tcW w:w="4606" w:type="dxa"/>
          </w:tcPr>
          <w:p>
            <w:pPr>
              <w:pStyle w:val="TableParagraph"/>
              <w:spacing w:line="424" w:lineRule="exact"/>
              <w:ind w:left="107"/>
              <w:rPr>
                <w:sz w:val="38"/>
              </w:rPr>
            </w:pPr>
            <w:r>
              <w:rPr>
                <w:sz w:val="38"/>
              </w:rPr>
              <w:t>7 ug</w:t>
            </w:r>
          </w:p>
        </w:tc>
      </w:tr>
    </w:tbl>
    <w:p>
      <w:pPr>
        <w:spacing w:after="0" w:line="424" w:lineRule="exact"/>
        <w:rPr>
          <w:sz w:val="38"/>
        </w:rPr>
        <w:sectPr>
          <w:pgSz w:w="14270" w:h="16850"/>
          <w:pgMar w:header="0" w:footer="404" w:top="1600" w:bottom="2080" w:left="800" w:right="1280"/>
        </w:sectPr>
      </w:pPr>
    </w:p>
    <w:p>
      <w:pPr>
        <w:pStyle w:val="BodyText"/>
        <w:spacing w:before="1"/>
        <w:rPr>
          <w:rFonts w:ascii="Times New Roman"/>
          <w:sz w:val="16"/>
        </w:rPr>
      </w:pPr>
    </w:p>
    <w:tbl>
      <w:tblPr>
        <w:tblW w:w="0" w:type="auto"/>
        <w:jc w:val="left"/>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06"/>
        <w:gridCol w:w="4606"/>
      </w:tblGrid>
      <w:tr>
        <w:trPr>
          <w:trHeight w:val="611" w:hRule="atLeast"/>
        </w:trPr>
        <w:tc>
          <w:tcPr>
            <w:tcW w:w="4606" w:type="dxa"/>
          </w:tcPr>
          <w:p>
            <w:pPr>
              <w:pStyle w:val="TableParagraph"/>
              <w:spacing w:line="424" w:lineRule="exact"/>
              <w:ind w:left="107"/>
              <w:rPr>
                <w:sz w:val="38"/>
              </w:rPr>
            </w:pPr>
            <w:r>
              <w:rPr>
                <w:sz w:val="38"/>
              </w:rPr>
              <w:t>Vitamin B1:</w:t>
            </w:r>
          </w:p>
        </w:tc>
        <w:tc>
          <w:tcPr>
            <w:tcW w:w="4606" w:type="dxa"/>
          </w:tcPr>
          <w:p>
            <w:pPr>
              <w:pStyle w:val="TableParagraph"/>
              <w:spacing w:line="424" w:lineRule="exact"/>
              <w:ind w:left="107"/>
              <w:rPr>
                <w:sz w:val="38"/>
              </w:rPr>
            </w:pPr>
            <w:r>
              <w:rPr>
                <w:sz w:val="38"/>
              </w:rPr>
              <w:t>50 ug</w:t>
            </w:r>
          </w:p>
        </w:tc>
      </w:tr>
      <w:tr>
        <w:trPr>
          <w:trHeight w:val="611" w:hRule="atLeast"/>
        </w:trPr>
        <w:tc>
          <w:tcPr>
            <w:tcW w:w="4606" w:type="dxa"/>
          </w:tcPr>
          <w:p>
            <w:pPr>
              <w:pStyle w:val="TableParagraph"/>
              <w:spacing w:line="424" w:lineRule="exact"/>
              <w:ind w:left="107"/>
              <w:rPr>
                <w:sz w:val="38"/>
              </w:rPr>
            </w:pPr>
            <w:r>
              <w:rPr>
                <w:sz w:val="38"/>
              </w:rPr>
              <w:t>Vitamin B2:</w:t>
            </w:r>
          </w:p>
        </w:tc>
        <w:tc>
          <w:tcPr>
            <w:tcW w:w="4606" w:type="dxa"/>
          </w:tcPr>
          <w:p>
            <w:pPr>
              <w:pStyle w:val="TableParagraph"/>
              <w:spacing w:line="424" w:lineRule="exact"/>
              <w:ind w:left="107"/>
              <w:rPr>
                <w:sz w:val="38"/>
              </w:rPr>
            </w:pPr>
            <w:r>
              <w:rPr>
                <w:sz w:val="38"/>
              </w:rPr>
              <w:t>20 ug</w:t>
            </w:r>
          </w:p>
        </w:tc>
      </w:tr>
      <w:tr>
        <w:trPr>
          <w:trHeight w:val="611" w:hRule="atLeast"/>
        </w:trPr>
        <w:tc>
          <w:tcPr>
            <w:tcW w:w="4606" w:type="dxa"/>
          </w:tcPr>
          <w:p>
            <w:pPr>
              <w:pStyle w:val="TableParagraph"/>
              <w:spacing w:line="424" w:lineRule="exact"/>
              <w:ind w:left="107"/>
              <w:rPr>
                <w:sz w:val="38"/>
              </w:rPr>
            </w:pPr>
            <w:r>
              <w:rPr>
                <w:sz w:val="38"/>
              </w:rPr>
              <w:t>Vitamin B3:</w:t>
            </w:r>
          </w:p>
        </w:tc>
        <w:tc>
          <w:tcPr>
            <w:tcW w:w="4606" w:type="dxa"/>
          </w:tcPr>
          <w:p>
            <w:pPr>
              <w:pStyle w:val="TableParagraph"/>
              <w:spacing w:line="424" w:lineRule="exact"/>
              <w:ind w:left="107"/>
              <w:rPr>
                <w:sz w:val="38"/>
              </w:rPr>
            </w:pPr>
            <w:r>
              <w:rPr>
                <w:sz w:val="38"/>
              </w:rPr>
              <w:t>300 ug</w:t>
            </w:r>
          </w:p>
        </w:tc>
      </w:tr>
      <w:tr>
        <w:trPr>
          <w:trHeight w:val="611" w:hRule="atLeast"/>
        </w:trPr>
        <w:tc>
          <w:tcPr>
            <w:tcW w:w="4606" w:type="dxa"/>
          </w:tcPr>
          <w:p>
            <w:pPr>
              <w:pStyle w:val="TableParagraph"/>
              <w:spacing w:line="424" w:lineRule="exact"/>
              <w:ind w:left="107"/>
              <w:rPr>
                <w:sz w:val="38"/>
              </w:rPr>
            </w:pPr>
            <w:r>
              <w:rPr>
                <w:sz w:val="38"/>
              </w:rPr>
              <w:t>Vitamin B5:</w:t>
            </w:r>
          </w:p>
        </w:tc>
        <w:tc>
          <w:tcPr>
            <w:tcW w:w="4606" w:type="dxa"/>
          </w:tcPr>
          <w:p>
            <w:pPr>
              <w:pStyle w:val="TableParagraph"/>
              <w:spacing w:line="424" w:lineRule="exact"/>
              <w:ind w:left="107"/>
              <w:rPr>
                <w:sz w:val="38"/>
              </w:rPr>
            </w:pPr>
            <w:r>
              <w:rPr>
                <w:sz w:val="38"/>
              </w:rPr>
              <w:t>600 ug</w:t>
            </w:r>
          </w:p>
        </w:tc>
      </w:tr>
      <w:tr>
        <w:trPr>
          <w:trHeight w:val="611" w:hRule="atLeast"/>
        </w:trPr>
        <w:tc>
          <w:tcPr>
            <w:tcW w:w="4606" w:type="dxa"/>
          </w:tcPr>
          <w:p>
            <w:pPr>
              <w:pStyle w:val="TableParagraph"/>
              <w:spacing w:line="424" w:lineRule="exact"/>
              <w:ind w:left="107"/>
              <w:rPr>
                <w:sz w:val="38"/>
              </w:rPr>
            </w:pPr>
            <w:r>
              <w:rPr>
                <w:sz w:val="38"/>
              </w:rPr>
              <w:t>Vitamin B6:</w:t>
            </w:r>
          </w:p>
        </w:tc>
        <w:tc>
          <w:tcPr>
            <w:tcW w:w="4606" w:type="dxa"/>
          </w:tcPr>
          <w:p>
            <w:pPr>
              <w:pStyle w:val="TableParagraph"/>
              <w:spacing w:line="424" w:lineRule="exact"/>
              <w:ind w:left="107"/>
              <w:rPr>
                <w:sz w:val="38"/>
              </w:rPr>
            </w:pPr>
            <w:r>
              <w:rPr>
                <w:sz w:val="38"/>
              </w:rPr>
              <w:t>105 ug</w:t>
            </w:r>
          </w:p>
        </w:tc>
      </w:tr>
      <w:tr>
        <w:trPr>
          <w:trHeight w:val="612" w:hRule="atLeast"/>
        </w:trPr>
        <w:tc>
          <w:tcPr>
            <w:tcW w:w="4606" w:type="dxa"/>
          </w:tcPr>
          <w:p>
            <w:pPr>
              <w:pStyle w:val="TableParagraph"/>
              <w:spacing w:line="424" w:lineRule="exact"/>
              <w:ind w:left="107"/>
              <w:rPr>
                <w:sz w:val="38"/>
              </w:rPr>
            </w:pPr>
            <w:r>
              <w:rPr>
                <w:sz w:val="38"/>
              </w:rPr>
              <w:t>Vitamin B7:</w:t>
            </w:r>
          </w:p>
        </w:tc>
        <w:tc>
          <w:tcPr>
            <w:tcW w:w="4606" w:type="dxa"/>
          </w:tcPr>
          <w:p>
            <w:pPr>
              <w:pStyle w:val="TableParagraph"/>
              <w:spacing w:line="424" w:lineRule="exact"/>
              <w:ind w:left="107"/>
              <w:rPr>
                <w:sz w:val="38"/>
              </w:rPr>
            </w:pPr>
            <w:r>
              <w:rPr>
                <w:sz w:val="38"/>
              </w:rPr>
              <w:t>2 ug</w:t>
            </w:r>
          </w:p>
        </w:tc>
      </w:tr>
      <w:tr>
        <w:trPr>
          <w:trHeight w:val="611" w:hRule="atLeast"/>
        </w:trPr>
        <w:tc>
          <w:tcPr>
            <w:tcW w:w="4606" w:type="dxa"/>
          </w:tcPr>
          <w:p>
            <w:pPr>
              <w:pStyle w:val="TableParagraph"/>
              <w:spacing w:line="424" w:lineRule="exact"/>
              <w:ind w:left="107"/>
              <w:rPr>
                <w:sz w:val="38"/>
              </w:rPr>
            </w:pPr>
            <w:r>
              <w:rPr>
                <w:sz w:val="38"/>
              </w:rPr>
              <w:t>Vitamin B9:</w:t>
            </w:r>
          </w:p>
        </w:tc>
        <w:tc>
          <w:tcPr>
            <w:tcW w:w="4606" w:type="dxa"/>
          </w:tcPr>
          <w:p>
            <w:pPr>
              <w:pStyle w:val="TableParagraph"/>
              <w:spacing w:line="424" w:lineRule="exact"/>
              <w:ind w:left="107"/>
              <w:rPr>
                <w:sz w:val="38"/>
              </w:rPr>
            </w:pPr>
            <w:r>
              <w:rPr>
                <w:sz w:val="38"/>
              </w:rPr>
              <w:t>5 ug</w:t>
            </w:r>
          </w:p>
        </w:tc>
      </w:tr>
      <w:tr>
        <w:trPr>
          <w:trHeight w:val="611" w:hRule="atLeast"/>
        </w:trPr>
        <w:tc>
          <w:tcPr>
            <w:tcW w:w="4606" w:type="dxa"/>
          </w:tcPr>
          <w:p>
            <w:pPr>
              <w:pStyle w:val="TableParagraph"/>
              <w:spacing w:line="424" w:lineRule="exact"/>
              <w:ind w:left="107"/>
              <w:rPr>
                <w:sz w:val="38"/>
              </w:rPr>
            </w:pPr>
            <w:r>
              <w:rPr>
                <w:sz w:val="38"/>
              </w:rPr>
              <w:t>Vitamin C:</w:t>
            </w:r>
          </w:p>
        </w:tc>
        <w:tc>
          <w:tcPr>
            <w:tcW w:w="4606" w:type="dxa"/>
          </w:tcPr>
          <w:p>
            <w:pPr>
              <w:pStyle w:val="TableParagraph"/>
              <w:spacing w:line="424" w:lineRule="exact"/>
              <w:ind w:left="107"/>
              <w:rPr>
                <w:sz w:val="38"/>
              </w:rPr>
            </w:pPr>
            <w:r>
              <w:rPr>
                <w:sz w:val="38"/>
              </w:rPr>
              <w:t>7 mg</w:t>
            </w:r>
          </w:p>
        </w:tc>
      </w:tr>
      <w:tr>
        <w:trPr>
          <w:trHeight w:val="611" w:hRule="atLeast"/>
        </w:trPr>
        <w:tc>
          <w:tcPr>
            <w:tcW w:w="4606" w:type="dxa"/>
          </w:tcPr>
          <w:p>
            <w:pPr>
              <w:pStyle w:val="TableParagraph"/>
              <w:spacing w:line="424" w:lineRule="exact"/>
              <w:ind w:left="107"/>
              <w:rPr>
                <w:sz w:val="38"/>
              </w:rPr>
            </w:pPr>
            <w:r>
              <w:rPr>
                <w:sz w:val="38"/>
              </w:rPr>
              <w:t>Vitamin E:</w:t>
            </w:r>
          </w:p>
        </w:tc>
        <w:tc>
          <w:tcPr>
            <w:tcW w:w="4606" w:type="dxa"/>
          </w:tcPr>
          <w:p>
            <w:pPr>
              <w:pStyle w:val="TableParagraph"/>
              <w:spacing w:line="424" w:lineRule="exact"/>
              <w:ind w:left="107"/>
              <w:rPr>
                <w:sz w:val="38"/>
              </w:rPr>
            </w:pPr>
            <w:r>
              <w:rPr>
                <w:sz w:val="38"/>
              </w:rPr>
              <w:t>200 ug</w:t>
            </w:r>
          </w:p>
        </w:tc>
      </w:tr>
      <w:tr>
        <w:trPr>
          <w:trHeight w:val="611" w:hRule="atLeast"/>
        </w:trPr>
        <w:tc>
          <w:tcPr>
            <w:tcW w:w="4606" w:type="dxa"/>
          </w:tcPr>
          <w:p>
            <w:pPr>
              <w:pStyle w:val="TableParagraph"/>
              <w:spacing w:line="424" w:lineRule="exact"/>
              <w:ind w:left="107"/>
              <w:rPr>
                <w:sz w:val="38"/>
              </w:rPr>
            </w:pPr>
            <w:r>
              <w:rPr>
                <w:sz w:val="38"/>
              </w:rPr>
              <w:t>Vitamin K:</w:t>
            </w:r>
          </w:p>
        </w:tc>
        <w:tc>
          <w:tcPr>
            <w:tcW w:w="4606" w:type="dxa"/>
          </w:tcPr>
          <w:p>
            <w:pPr>
              <w:pStyle w:val="TableParagraph"/>
              <w:spacing w:line="424" w:lineRule="exact"/>
              <w:ind w:left="107"/>
              <w:rPr>
                <w:sz w:val="38"/>
              </w:rPr>
            </w:pPr>
            <w:r>
              <w:rPr>
                <w:sz w:val="38"/>
              </w:rPr>
              <w:t>10 ug</w:t>
            </w:r>
          </w:p>
        </w:tc>
      </w:tr>
      <w:tr>
        <w:trPr>
          <w:trHeight w:val="609" w:hRule="atLeast"/>
        </w:trPr>
        <w:tc>
          <w:tcPr>
            <w:tcW w:w="4606" w:type="dxa"/>
            <w:tcBorders>
              <w:bottom w:val="single" w:sz="6" w:space="0" w:color="000000"/>
            </w:tcBorders>
          </w:tcPr>
          <w:p>
            <w:pPr>
              <w:pStyle w:val="TableParagraph"/>
              <w:spacing w:line="424" w:lineRule="exact"/>
              <w:ind w:left="107"/>
              <w:rPr>
                <w:sz w:val="38"/>
              </w:rPr>
            </w:pPr>
            <w:r>
              <w:rPr>
                <w:sz w:val="38"/>
              </w:rPr>
              <w:t>Folic acid:</w:t>
            </w:r>
          </w:p>
        </w:tc>
        <w:tc>
          <w:tcPr>
            <w:tcW w:w="4606" w:type="dxa"/>
            <w:tcBorders>
              <w:bottom w:val="single" w:sz="6" w:space="0" w:color="000000"/>
            </w:tcBorders>
          </w:tcPr>
          <w:p>
            <w:pPr>
              <w:pStyle w:val="TableParagraph"/>
              <w:spacing w:line="424" w:lineRule="exact"/>
              <w:ind w:left="107"/>
              <w:rPr>
                <w:sz w:val="38"/>
              </w:rPr>
            </w:pPr>
            <w:r>
              <w:rPr>
                <w:sz w:val="38"/>
              </w:rPr>
              <w:t>7 ug</w:t>
            </w:r>
          </w:p>
        </w:tc>
      </w:tr>
      <w:tr>
        <w:trPr>
          <w:trHeight w:val="609" w:hRule="atLeast"/>
        </w:trPr>
        <w:tc>
          <w:tcPr>
            <w:tcW w:w="4606" w:type="dxa"/>
            <w:tcBorders>
              <w:top w:val="single" w:sz="6" w:space="0" w:color="000000"/>
            </w:tcBorders>
          </w:tcPr>
          <w:p>
            <w:pPr>
              <w:pStyle w:val="TableParagraph"/>
              <w:spacing w:line="427" w:lineRule="exact"/>
              <w:ind w:left="107"/>
              <w:rPr>
                <w:b/>
                <w:i/>
                <w:sz w:val="40"/>
              </w:rPr>
            </w:pPr>
            <w:r>
              <w:rPr>
                <w:b/>
                <w:i/>
                <w:sz w:val="40"/>
              </w:rPr>
              <w:t>Mineral profile</w:t>
            </w:r>
          </w:p>
        </w:tc>
        <w:tc>
          <w:tcPr>
            <w:tcW w:w="4606" w:type="dxa"/>
            <w:tcBorders>
              <w:top w:val="single" w:sz="6" w:space="0" w:color="000000"/>
            </w:tcBorders>
          </w:tcPr>
          <w:p>
            <w:pPr>
              <w:pStyle w:val="TableParagraph"/>
              <w:rPr>
                <w:rFonts w:ascii="Times New Roman"/>
                <w:sz w:val="36"/>
              </w:rPr>
            </w:pPr>
          </w:p>
        </w:tc>
      </w:tr>
      <w:tr>
        <w:trPr>
          <w:trHeight w:val="611" w:hRule="atLeast"/>
        </w:trPr>
        <w:tc>
          <w:tcPr>
            <w:tcW w:w="4606" w:type="dxa"/>
          </w:tcPr>
          <w:p>
            <w:pPr>
              <w:pStyle w:val="TableParagraph"/>
              <w:spacing w:line="424" w:lineRule="exact"/>
              <w:ind w:left="107"/>
              <w:rPr>
                <w:i/>
                <w:sz w:val="38"/>
              </w:rPr>
            </w:pPr>
            <w:r>
              <w:rPr>
                <w:i/>
                <w:sz w:val="38"/>
              </w:rPr>
              <w:t>Bulk elements:</w:t>
            </w:r>
          </w:p>
        </w:tc>
        <w:tc>
          <w:tcPr>
            <w:tcW w:w="4606" w:type="dxa"/>
          </w:tcPr>
          <w:p>
            <w:pPr>
              <w:pStyle w:val="TableParagraph"/>
              <w:rPr>
                <w:rFonts w:ascii="Times New Roman"/>
                <w:sz w:val="36"/>
              </w:rPr>
            </w:pPr>
          </w:p>
        </w:tc>
      </w:tr>
      <w:tr>
        <w:trPr>
          <w:trHeight w:val="611" w:hRule="atLeast"/>
        </w:trPr>
        <w:tc>
          <w:tcPr>
            <w:tcW w:w="4606" w:type="dxa"/>
          </w:tcPr>
          <w:p>
            <w:pPr>
              <w:pStyle w:val="TableParagraph"/>
              <w:spacing w:line="424" w:lineRule="exact"/>
              <w:ind w:left="107"/>
              <w:rPr>
                <w:sz w:val="38"/>
              </w:rPr>
            </w:pPr>
            <w:r>
              <w:rPr>
                <w:sz w:val="38"/>
              </w:rPr>
              <w:t>Calcium:</w:t>
            </w:r>
          </w:p>
        </w:tc>
        <w:tc>
          <w:tcPr>
            <w:tcW w:w="4606" w:type="dxa"/>
          </w:tcPr>
          <w:p>
            <w:pPr>
              <w:pStyle w:val="TableParagraph"/>
              <w:spacing w:line="424" w:lineRule="exact"/>
              <w:ind w:left="107"/>
              <w:rPr>
                <w:sz w:val="38"/>
              </w:rPr>
            </w:pPr>
            <w:r>
              <w:rPr>
                <w:sz w:val="38"/>
              </w:rPr>
              <w:t>8 mg</w:t>
            </w:r>
          </w:p>
        </w:tc>
      </w:tr>
      <w:tr>
        <w:trPr>
          <w:trHeight w:val="611" w:hRule="atLeast"/>
        </w:trPr>
        <w:tc>
          <w:tcPr>
            <w:tcW w:w="4606" w:type="dxa"/>
          </w:tcPr>
          <w:p>
            <w:pPr>
              <w:pStyle w:val="TableParagraph"/>
              <w:spacing w:line="424" w:lineRule="exact"/>
              <w:ind w:left="107"/>
              <w:rPr>
                <w:sz w:val="38"/>
              </w:rPr>
            </w:pPr>
            <w:r>
              <w:rPr>
                <w:sz w:val="38"/>
              </w:rPr>
              <w:t>Magnesium:</w:t>
            </w:r>
          </w:p>
        </w:tc>
        <w:tc>
          <w:tcPr>
            <w:tcW w:w="4606" w:type="dxa"/>
          </w:tcPr>
          <w:p>
            <w:pPr>
              <w:pStyle w:val="TableParagraph"/>
              <w:spacing w:line="424" w:lineRule="exact"/>
              <w:ind w:left="107"/>
              <w:rPr>
                <w:sz w:val="38"/>
              </w:rPr>
            </w:pPr>
            <w:r>
              <w:rPr>
                <w:sz w:val="38"/>
              </w:rPr>
              <w:t>3 mg</w:t>
            </w:r>
          </w:p>
        </w:tc>
      </w:tr>
      <w:tr>
        <w:trPr>
          <w:trHeight w:val="611" w:hRule="atLeast"/>
        </w:trPr>
        <w:tc>
          <w:tcPr>
            <w:tcW w:w="4606" w:type="dxa"/>
          </w:tcPr>
          <w:p>
            <w:pPr>
              <w:pStyle w:val="TableParagraph"/>
              <w:spacing w:line="424" w:lineRule="exact"/>
              <w:ind w:left="107"/>
              <w:rPr>
                <w:sz w:val="38"/>
              </w:rPr>
            </w:pPr>
            <w:r>
              <w:rPr>
                <w:sz w:val="38"/>
              </w:rPr>
              <w:t>Potassium:</w:t>
            </w:r>
          </w:p>
        </w:tc>
        <w:tc>
          <w:tcPr>
            <w:tcW w:w="4606" w:type="dxa"/>
          </w:tcPr>
          <w:p>
            <w:pPr>
              <w:pStyle w:val="TableParagraph"/>
              <w:spacing w:line="424" w:lineRule="exact"/>
              <w:ind w:left="107"/>
              <w:rPr>
                <w:sz w:val="38"/>
              </w:rPr>
            </w:pPr>
            <w:r>
              <w:rPr>
                <w:sz w:val="38"/>
              </w:rPr>
              <w:t>290 mg</w:t>
            </w:r>
          </w:p>
        </w:tc>
      </w:tr>
      <w:tr>
        <w:trPr>
          <w:trHeight w:val="612" w:hRule="atLeast"/>
        </w:trPr>
        <w:tc>
          <w:tcPr>
            <w:tcW w:w="4606" w:type="dxa"/>
          </w:tcPr>
          <w:p>
            <w:pPr>
              <w:pStyle w:val="TableParagraph"/>
              <w:spacing w:line="426" w:lineRule="exact"/>
              <w:ind w:left="107"/>
              <w:rPr>
                <w:sz w:val="38"/>
              </w:rPr>
            </w:pPr>
            <w:r>
              <w:rPr>
                <w:sz w:val="38"/>
              </w:rPr>
              <w:t>Chlorine:</w:t>
            </w:r>
          </w:p>
        </w:tc>
        <w:tc>
          <w:tcPr>
            <w:tcW w:w="4606" w:type="dxa"/>
          </w:tcPr>
          <w:p>
            <w:pPr>
              <w:pStyle w:val="TableParagraph"/>
              <w:spacing w:line="426" w:lineRule="exact"/>
              <w:ind w:left="107"/>
              <w:rPr>
                <w:sz w:val="38"/>
              </w:rPr>
            </w:pPr>
            <w:r>
              <w:rPr>
                <w:sz w:val="38"/>
              </w:rPr>
              <w:t>40 mg</w:t>
            </w:r>
          </w:p>
        </w:tc>
      </w:tr>
      <w:tr>
        <w:trPr>
          <w:trHeight w:val="613" w:hRule="atLeast"/>
        </w:trPr>
        <w:tc>
          <w:tcPr>
            <w:tcW w:w="4606" w:type="dxa"/>
          </w:tcPr>
          <w:p>
            <w:pPr>
              <w:pStyle w:val="TableParagraph"/>
              <w:spacing w:line="426" w:lineRule="exact"/>
              <w:ind w:left="107"/>
              <w:rPr>
                <w:sz w:val="38"/>
              </w:rPr>
            </w:pPr>
            <w:r>
              <w:rPr>
                <w:sz w:val="38"/>
              </w:rPr>
              <w:t>Phosphorus:</w:t>
            </w:r>
          </w:p>
        </w:tc>
        <w:tc>
          <w:tcPr>
            <w:tcW w:w="4606" w:type="dxa"/>
          </w:tcPr>
          <w:p>
            <w:pPr>
              <w:pStyle w:val="TableParagraph"/>
              <w:spacing w:line="426" w:lineRule="exact"/>
              <w:ind w:left="107"/>
              <w:rPr>
                <w:sz w:val="38"/>
              </w:rPr>
            </w:pPr>
            <w:r>
              <w:rPr>
                <w:sz w:val="38"/>
              </w:rPr>
              <w:t>17 mg</w:t>
            </w:r>
          </w:p>
        </w:tc>
      </w:tr>
    </w:tbl>
    <w:p>
      <w:pPr>
        <w:spacing w:after="0" w:line="426" w:lineRule="exact"/>
        <w:rPr>
          <w:sz w:val="38"/>
        </w:rPr>
        <w:sectPr>
          <w:pgSz w:w="14270" w:h="16850"/>
          <w:pgMar w:header="0" w:footer="404" w:top="1600" w:bottom="600" w:left="800" w:right="1280"/>
        </w:sectPr>
      </w:pPr>
    </w:p>
    <w:p>
      <w:pPr>
        <w:pStyle w:val="BodyText"/>
        <w:spacing w:before="1"/>
        <w:rPr>
          <w:rFonts w:ascii="Times New Roman"/>
          <w:sz w:val="16"/>
        </w:rPr>
      </w:pPr>
    </w:p>
    <w:tbl>
      <w:tblPr>
        <w:tblW w:w="0" w:type="auto"/>
        <w:jc w:val="left"/>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06"/>
        <w:gridCol w:w="4606"/>
      </w:tblGrid>
      <w:tr>
        <w:trPr>
          <w:trHeight w:val="611" w:hRule="atLeast"/>
        </w:trPr>
        <w:tc>
          <w:tcPr>
            <w:tcW w:w="4606" w:type="dxa"/>
          </w:tcPr>
          <w:p>
            <w:pPr>
              <w:pStyle w:val="TableParagraph"/>
              <w:spacing w:line="424" w:lineRule="exact"/>
              <w:ind w:left="107"/>
              <w:rPr>
                <w:sz w:val="38"/>
              </w:rPr>
            </w:pPr>
            <w:r>
              <w:rPr>
                <w:sz w:val="38"/>
              </w:rPr>
              <w:t>Sodium:</w:t>
            </w:r>
          </w:p>
        </w:tc>
        <w:tc>
          <w:tcPr>
            <w:tcW w:w="4606" w:type="dxa"/>
          </w:tcPr>
          <w:p>
            <w:pPr>
              <w:pStyle w:val="TableParagraph"/>
              <w:spacing w:line="424" w:lineRule="exact"/>
              <w:ind w:left="107"/>
              <w:rPr>
                <w:sz w:val="38"/>
              </w:rPr>
            </w:pPr>
            <w:r>
              <w:rPr>
                <w:sz w:val="38"/>
              </w:rPr>
              <w:t>7 mg</w:t>
            </w:r>
          </w:p>
        </w:tc>
      </w:tr>
      <w:tr>
        <w:trPr>
          <w:trHeight w:val="611" w:hRule="atLeast"/>
        </w:trPr>
        <w:tc>
          <w:tcPr>
            <w:tcW w:w="4606" w:type="dxa"/>
          </w:tcPr>
          <w:p>
            <w:pPr>
              <w:pStyle w:val="TableParagraph"/>
              <w:spacing w:line="424" w:lineRule="exact"/>
              <w:ind w:left="107"/>
              <w:rPr>
                <w:sz w:val="38"/>
              </w:rPr>
            </w:pPr>
            <w:r>
              <w:rPr>
                <w:sz w:val="38"/>
              </w:rPr>
              <w:t>Sulphur:</w:t>
            </w:r>
          </w:p>
        </w:tc>
        <w:tc>
          <w:tcPr>
            <w:tcW w:w="4606" w:type="dxa"/>
          </w:tcPr>
          <w:p>
            <w:pPr>
              <w:pStyle w:val="TableParagraph"/>
              <w:spacing w:line="424" w:lineRule="exact"/>
              <w:ind w:left="107"/>
              <w:rPr>
                <w:sz w:val="38"/>
              </w:rPr>
            </w:pPr>
            <w:r>
              <w:rPr>
                <w:sz w:val="38"/>
              </w:rPr>
              <w:t>15 mg</w:t>
            </w:r>
          </w:p>
        </w:tc>
      </w:tr>
      <w:tr>
        <w:trPr>
          <w:trHeight w:val="611" w:hRule="atLeast"/>
        </w:trPr>
        <w:tc>
          <w:tcPr>
            <w:tcW w:w="4606" w:type="dxa"/>
          </w:tcPr>
          <w:p>
            <w:pPr>
              <w:pStyle w:val="TableParagraph"/>
              <w:spacing w:line="429" w:lineRule="exact"/>
              <w:ind w:left="107"/>
              <w:rPr>
                <w:b/>
                <w:i/>
                <w:sz w:val="40"/>
              </w:rPr>
            </w:pPr>
            <w:r>
              <w:rPr>
                <w:b/>
                <w:i/>
                <w:sz w:val="40"/>
              </w:rPr>
              <w:t>Trace elements:</w:t>
            </w:r>
          </w:p>
        </w:tc>
        <w:tc>
          <w:tcPr>
            <w:tcW w:w="4606" w:type="dxa"/>
          </w:tcPr>
          <w:p>
            <w:pPr>
              <w:pStyle w:val="TableParagraph"/>
              <w:rPr>
                <w:rFonts w:ascii="Times New Roman"/>
                <w:sz w:val="36"/>
              </w:rPr>
            </w:pPr>
          </w:p>
        </w:tc>
      </w:tr>
      <w:tr>
        <w:trPr>
          <w:trHeight w:val="611" w:hRule="atLeast"/>
        </w:trPr>
        <w:tc>
          <w:tcPr>
            <w:tcW w:w="4606" w:type="dxa"/>
          </w:tcPr>
          <w:p>
            <w:pPr>
              <w:pStyle w:val="TableParagraph"/>
              <w:spacing w:line="424" w:lineRule="exact"/>
              <w:ind w:left="107"/>
              <w:rPr>
                <w:sz w:val="38"/>
              </w:rPr>
            </w:pPr>
            <w:r>
              <w:rPr>
                <w:sz w:val="38"/>
              </w:rPr>
              <w:t>Iron:</w:t>
            </w:r>
          </w:p>
        </w:tc>
        <w:tc>
          <w:tcPr>
            <w:tcW w:w="4606" w:type="dxa"/>
          </w:tcPr>
          <w:p>
            <w:pPr>
              <w:pStyle w:val="TableParagraph"/>
              <w:spacing w:line="424" w:lineRule="exact"/>
              <w:ind w:left="107"/>
              <w:rPr>
                <w:sz w:val="38"/>
              </w:rPr>
            </w:pPr>
            <w:r>
              <w:rPr>
                <w:sz w:val="38"/>
              </w:rPr>
              <w:t>500 ug</w:t>
            </w:r>
          </w:p>
        </w:tc>
      </w:tr>
      <w:tr>
        <w:trPr>
          <w:trHeight w:val="611" w:hRule="atLeast"/>
        </w:trPr>
        <w:tc>
          <w:tcPr>
            <w:tcW w:w="4606" w:type="dxa"/>
          </w:tcPr>
          <w:p>
            <w:pPr>
              <w:pStyle w:val="TableParagraph"/>
              <w:spacing w:line="424" w:lineRule="exact"/>
              <w:ind w:left="107"/>
              <w:rPr>
                <w:sz w:val="38"/>
              </w:rPr>
            </w:pPr>
            <w:r>
              <w:rPr>
                <w:sz w:val="38"/>
              </w:rPr>
              <w:t>Iodine:</w:t>
            </w:r>
          </w:p>
        </w:tc>
        <w:tc>
          <w:tcPr>
            <w:tcW w:w="4606" w:type="dxa"/>
          </w:tcPr>
          <w:p>
            <w:pPr>
              <w:pStyle w:val="TableParagraph"/>
              <w:spacing w:line="424" w:lineRule="exact"/>
              <w:ind w:left="107"/>
              <w:rPr>
                <w:sz w:val="38"/>
              </w:rPr>
            </w:pPr>
            <w:r>
              <w:rPr>
                <w:sz w:val="38"/>
              </w:rPr>
              <w:t>70 ug</w:t>
            </w:r>
          </w:p>
        </w:tc>
      </w:tr>
      <w:tr>
        <w:trPr>
          <w:trHeight w:val="612" w:hRule="atLeast"/>
        </w:trPr>
        <w:tc>
          <w:tcPr>
            <w:tcW w:w="4606" w:type="dxa"/>
          </w:tcPr>
          <w:p>
            <w:pPr>
              <w:pStyle w:val="TableParagraph"/>
              <w:spacing w:line="424" w:lineRule="exact"/>
              <w:ind w:left="107"/>
              <w:rPr>
                <w:sz w:val="38"/>
              </w:rPr>
            </w:pPr>
            <w:r>
              <w:rPr>
                <w:sz w:val="38"/>
              </w:rPr>
              <w:t>Fluorine:</w:t>
            </w:r>
          </w:p>
        </w:tc>
        <w:tc>
          <w:tcPr>
            <w:tcW w:w="4606" w:type="dxa"/>
          </w:tcPr>
          <w:p>
            <w:pPr>
              <w:pStyle w:val="TableParagraph"/>
              <w:spacing w:line="424" w:lineRule="exact"/>
              <w:ind w:left="107"/>
              <w:rPr>
                <w:sz w:val="38"/>
              </w:rPr>
            </w:pPr>
            <w:r>
              <w:rPr>
                <w:sz w:val="38"/>
              </w:rPr>
              <w:t>20 ug</w:t>
            </w:r>
          </w:p>
        </w:tc>
      </w:tr>
      <w:tr>
        <w:trPr>
          <w:trHeight w:val="611" w:hRule="atLeast"/>
        </w:trPr>
        <w:tc>
          <w:tcPr>
            <w:tcW w:w="4606" w:type="dxa"/>
          </w:tcPr>
          <w:p>
            <w:pPr>
              <w:pStyle w:val="TableParagraph"/>
              <w:spacing w:line="424" w:lineRule="exact"/>
              <w:ind w:left="107"/>
              <w:rPr>
                <w:sz w:val="38"/>
              </w:rPr>
            </w:pPr>
            <w:r>
              <w:rPr>
                <w:sz w:val="38"/>
              </w:rPr>
              <w:t>Copper:</w:t>
            </w:r>
          </w:p>
        </w:tc>
        <w:tc>
          <w:tcPr>
            <w:tcW w:w="4606" w:type="dxa"/>
          </w:tcPr>
          <w:p>
            <w:pPr>
              <w:pStyle w:val="TableParagraph"/>
              <w:spacing w:line="424" w:lineRule="exact"/>
              <w:ind w:left="107"/>
              <w:rPr>
                <w:sz w:val="38"/>
              </w:rPr>
            </w:pPr>
            <w:r>
              <w:rPr>
                <w:sz w:val="38"/>
              </w:rPr>
              <w:t>70 ug</w:t>
            </w:r>
          </w:p>
        </w:tc>
      </w:tr>
      <w:tr>
        <w:trPr>
          <w:trHeight w:val="611" w:hRule="atLeast"/>
        </w:trPr>
        <w:tc>
          <w:tcPr>
            <w:tcW w:w="4606" w:type="dxa"/>
          </w:tcPr>
          <w:p>
            <w:pPr>
              <w:pStyle w:val="TableParagraph"/>
              <w:spacing w:line="424" w:lineRule="exact"/>
              <w:ind w:left="107"/>
              <w:rPr>
                <w:sz w:val="38"/>
              </w:rPr>
            </w:pPr>
            <w:r>
              <w:rPr>
                <w:sz w:val="38"/>
              </w:rPr>
              <w:t>Zinc:</w:t>
            </w:r>
          </w:p>
        </w:tc>
        <w:tc>
          <w:tcPr>
            <w:tcW w:w="4606" w:type="dxa"/>
          </w:tcPr>
          <w:p>
            <w:pPr>
              <w:pStyle w:val="TableParagraph"/>
              <w:spacing w:line="424" w:lineRule="exact"/>
              <w:ind w:left="107"/>
              <w:rPr>
                <w:sz w:val="38"/>
              </w:rPr>
            </w:pPr>
            <w:r>
              <w:rPr>
                <w:sz w:val="38"/>
              </w:rPr>
              <w:t>280 ug</w:t>
            </w:r>
          </w:p>
        </w:tc>
      </w:tr>
      <w:tr>
        <w:trPr>
          <w:trHeight w:val="611" w:hRule="atLeast"/>
        </w:trPr>
        <w:tc>
          <w:tcPr>
            <w:tcW w:w="4606" w:type="dxa"/>
          </w:tcPr>
          <w:p>
            <w:pPr>
              <w:pStyle w:val="TableParagraph"/>
              <w:spacing w:line="424" w:lineRule="exact"/>
              <w:ind w:left="107"/>
              <w:rPr>
                <w:sz w:val="38"/>
              </w:rPr>
            </w:pPr>
            <w:r>
              <w:rPr>
                <w:sz w:val="38"/>
              </w:rPr>
              <w:t>Manganese:</w:t>
            </w:r>
          </w:p>
        </w:tc>
        <w:tc>
          <w:tcPr>
            <w:tcW w:w="4606" w:type="dxa"/>
          </w:tcPr>
          <w:p>
            <w:pPr>
              <w:pStyle w:val="TableParagraph"/>
              <w:spacing w:line="424" w:lineRule="exact"/>
              <w:ind w:left="107"/>
              <w:rPr>
                <w:sz w:val="38"/>
              </w:rPr>
            </w:pPr>
            <w:r>
              <w:rPr>
                <w:sz w:val="38"/>
              </w:rPr>
              <w:t>130 ug</w:t>
            </w:r>
          </w:p>
        </w:tc>
      </w:tr>
    </w:tbl>
    <w:p>
      <w:pPr>
        <w:pStyle w:val="BodyText"/>
        <w:rPr>
          <w:rFonts w:ascii="Times New Roman"/>
          <w:sz w:val="20"/>
        </w:rPr>
      </w:pPr>
    </w:p>
    <w:p>
      <w:pPr>
        <w:pStyle w:val="BodyText"/>
        <w:spacing w:before="9"/>
        <w:rPr>
          <w:rFonts w:ascii="Times New Roman"/>
          <w:sz w:val="29"/>
        </w:rPr>
      </w:pPr>
    </w:p>
    <w:p>
      <w:pPr>
        <w:spacing w:before="100"/>
        <w:ind w:left="477" w:right="0" w:firstLine="0"/>
        <w:jc w:val="left"/>
        <w:rPr>
          <w:b/>
          <w:i/>
          <w:sz w:val="40"/>
        </w:rPr>
      </w:pPr>
      <w:r>
        <w:rPr>
          <w:b/>
          <w:i/>
          <w:sz w:val="40"/>
        </w:rPr>
        <w:t>Effect of pomegranate</w:t>
      </w:r>
    </w:p>
    <w:p>
      <w:pPr>
        <w:pStyle w:val="BodyText"/>
        <w:spacing w:line="276" w:lineRule="auto" w:before="297"/>
        <w:ind w:left="477" w:right="132"/>
        <w:jc w:val="both"/>
      </w:pPr>
      <w:r>
        <w:rPr/>
        <w:t>The extremely diverse spectrum of vital substances in pomegranate almost in- evitably leads to a variety of positive effects on all kinds of diseases. Especially in diseases of the cardiovascular system as well as cancer, which, sadly, are the two</w:t>
      </w:r>
      <w:r>
        <w:rPr>
          <w:spacing w:val="-7"/>
        </w:rPr>
        <w:t> </w:t>
      </w:r>
      <w:r>
        <w:rPr/>
        <w:t>most</w:t>
      </w:r>
      <w:r>
        <w:rPr>
          <w:spacing w:val="-7"/>
        </w:rPr>
        <w:t> </w:t>
      </w:r>
      <w:r>
        <w:rPr/>
        <w:t>common</w:t>
      </w:r>
      <w:r>
        <w:rPr>
          <w:spacing w:val="-6"/>
        </w:rPr>
        <w:t> </w:t>
      </w:r>
      <w:r>
        <w:rPr/>
        <w:t>causes</w:t>
      </w:r>
      <w:r>
        <w:rPr>
          <w:spacing w:val="-9"/>
        </w:rPr>
        <w:t> </w:t>
      </w:r>
      <w:r>
        <w:rPr/>
        <w:t>of</w:t>
      </w:r>
      <w:r>
        <w:rPr>
          <w:spacing w:val="-7"/>
        </w:rPr>
        <w:t> </w:t>
      </w:r>
      <w:r>
        <w:rPr/>
        <w:t>death</w:t>
      </w:r>
      <w:r>
        <w:rPr>
          <w:spacing w:val="-6"/>
        </w:rPr>
        <w:t> </w:t>
      </w:r>
      <w:r>
        <w:rPr/>
        <w:t>and</w:t>
      </w:r>
      <w:r>
        <w:rPr>
          <w:spacing w:val="-7"/>
        </w:rPr>
        <w:t> </w:t>
      </w:r>
      <w:r>
        <w:rPr/>
        <w:t>have</w:t>
      </w:r>
      <w:r>
        <w:rPr>
          <w:spacing w:val="-7"/>
        </w:rPr>
        <w:t> </w:t>
      </w:r>
      <w:r>
        <w:rPr/>
        <w:t>not</w:t>
      </w:r>
      <w:r>
        <w:rPr>
          <w:spacing w:val="-8"/>
        </w:rPr>
        <w:t> </w:t>
      </w:r>
      <w:r>
        <w:rPr/>
        <w:t>been</w:t>
      </w:r>
      <w:r>
        <w:rPr>
          <w:spacing w:val="-6"/>
        </w:rPr>
        <w:t> </w:t>
      </w:r>
      <w:r>
        <w:rPr/>
        <w:t>controlled</w:t>
      </w:r>
      <w:r>
        <w:rPr>
          <w:spacing w:val="-10"/>
        </w:rPr>
        <w:t> </w:t>
      </w:r>
      <w:r>
        <w:rPr/>
        <w:t>in</w:t>
      </w:r>
      <w:r>
        <w:rPr>
          <w:spacing w:val="-7"/>
        </w:rPr>
        <w:t> </w:t>
      </w:r>
      <w:r>
        <w:rPr/>
        <w:t>any</w:t>
      </w:r>
      <w:r>
        <w:rPr>
          <w:spacing w:val="-7"/>
        </w:rPr>
        <w:t> </w:t>
      </w:r>
      <w:r>
        <w:rPr/>
        <w:t>way</w:t>
      </w:r>
      <w:r>
        <w:rPr>
          <w:spacing w:val="-7"/>
        </w:rPr>
        <w:t> </w:t>
      </w:r>
      <w:r>
        <w:rPr/>
        <w:t>by conventional medicine to date, the active ingredients in pomegranate are ex- tremely interesting because, as natural ACE inhibitors, they reduce blood pres- sure, are able to normalise cholesterol very effectively, and even reverse ather- osclerosis (vascular calcification), as well as its bioactive agents, which</w:t>
      </w:r>
      <w:r>
        <w:rPr>
          <w:spacing w:val="-54"/>
        </w:rPr>
        <w:t> </w:t>
      </w:r>
      <w:r>
        <w:rPr/>
        <w:t>counter- act cancer development and actively fight</w:t>
      </w:r>
      <w:r>
        <w:rPr>
          <w:spacing w:val="-1"/>
        </w:rPr>
        <w:t> </w:t>
      </w:r>
      <w:r>
        <w:rPr/>
        <w:t>cancer.</w:t>
      </w:r>
    </w:p>
    <w:p>
      <w:pPr>
        <w:spacing w:after="0" w:line="276" w:lineRule="auto"/>
        <w:jc w:val="both"/>
        <w:sectPr>
          <w:pgSz w:w="14270" w:h="16850"/>
          <w:pgMar w:header="0" w:footer="404" w:top="1600" w:bottom="600" w:left="800" w:right="1280"/>
        </w:sectPr>
      </w:pPr>
    </w:p>
    <w:p>
      <w:pPr>
        <w:pStyle w:val="BodyText"/>
        <w:spacing w:line="276" w:lineRule="auto" w:before="181"/>
        <w:ind w:left="477" w:right="130"/>
        <w:jc w:val="both"/>
      </w:pPr>
      <w:r>
        <w:rPr/>
        <w:t>It</w:t>
      </w:r>
      <w:r>
        <w:rPr>
          <w:spacing w:val="-10"/>
        </w:rPr>
        <w:t> </w:t>
      </w:r>
      <w:r>
        <w:rPr/>
        <w:t>therefore</w:t>
      </w:r>
      <w:r>
        <w:rPr>
          <w:spacing w:val="-10"/>
        </w:rPr>
        <w:t> </w:t>
      </w:r>
      <w:r>
        <w:rPr/>
        <w:t>makes</w:t>
      </w:r>
      <w:r>
        <w:rPr>
          <w:spacing w:val="-9"/>
        </w:rPr>
        <w:t> </w:t>
      </w:r>
      <w:r>
        <w:rPr/>
        <w:t>sense</w:t>
      </w:r>
      <w:r>
        <w:rPr>
          <w:spacing w:val="-8"/>
        </w:rPr>
        <w:t> </w:t>
      </w:r>
      <w:r>
        <w:rPr/>
        <w:t>to</w:t>
      </w:r>
      <w:r>
        <w:rPr>
          <w:spacing w:val="-10"/>
        </w:rPr>
        <w:t> </w:t>
      </w:r>
      <w:r>
        <w:rPr/>
        <w:t>initially</w:t>
      </w:r>
      <w:r>
        <w:rPr>
          <w:spacing w:val="-10"/>
        </w:rPr>
        <w:t> </w:t>
      </w:r>
      <w:r>
        <w:rPr/>
        <w:t>examine</w:t>
      </w:r>
      <w:r>
        <w:rPr>
          <w:spacing w:val="-8"/>
        </w:rPr>
        <w:t> </w:t>
      </w:r>
      <w:r>
        <w:rPr/>
        <w:t>the</w:t>
      </w:r>
      <w:r>
        <w:rPr>
          <w:spacing w:val="-8"/>
        </w:rPr>
        <w:t> </w:t>
      </w:r>
      <w:r>
        <w:rPr/>
        <w:t>general</w:t>
      </w:r>
      <w:r>
        <w:rPr>
          <w:spacing w:val="-10"/>
        </w:rPr>
        <w:t> </w:t>
      </w:r>
      <w:r>
        <w:rPr/>
        <w:t>effect</w:t>
      </w:r>
      <w:r>
        <w:rPr>
          <w:spacing w:val="-8"/>
        </w:rPr>
        <w:t> </w:t>
      </w:r>
      <w:r>
        <w:rPr/>
        <w:t>on</w:t>
      </w:r>
      <w:r>
        <w:rPr>
          <w:spacing w:val="-13"/>
        </w:rPr>
        <w:t> </w:t>
      </w:r>
      <w:r>
        <w:rPr/>
        <w:t>the</w:t>
      </w:r>
      <w:r>
        <w:rPr>
          <w:spacing w:val="-7"/>
        </w:rPr>
        <w:t> </w:t>
      </w:r>
      <w:r>
        <w:rPr/>
        <w:t>body</w:t>
      </w:r>
      <w:r>
        <w:rPr>
          <w:spacing w:val="-11"/>
        </w:rPr>
        <w:t> </w:t>
      </w:r>
      <w:r>
        <w:rPr/>
        <w:t>and, subsequently, the specific effect on diseases. Again, it is important to note that the amazing effect of pomegranate is due to the interaction of ALL its natural ingredients and that individual isolated ingredients cannot have nearly as good an impact in this regard. For example, it is known that ellagic acid, in isolation, has little effect, because it is not soluble in water and thus absorption into the body</w:t>
      </w:r>
      <w:r>
        <w:rPr>
          <w:spacing w:val="-9"/>
        </w:rPr>
        <w:t> </w:t>
      </w:r>
      <w:r>
        <w:rPr/>
        <w:t>is</w:t>
      </w:r>
      <w:r>
        <w:rPr>
          <w:spacing w:val="-12"/>
        </w:rPr>
        <w:t> </w:t>
      </w:r>
      <w:r>
        <w:rPr/>
        <w:t>practically</w:t>
      </w:r>
      <w:r>
        <w:rPr>
          <w:spacing w:val="-10"/>
        </w:rPr>
        <w:t> </w:t>
      </w:r>
      <w:r>
        <w:rPr/>
        <w:t>non-existent.</w:t>
      </w:r>
      <w:r>
        <w:rPr>
          <w:spacing w:val="-11"/>
        </w:rPr>
        <w:t> </w:t>
      </w:r>
      <w:r>
        <w:rPr/>
        <w:t>Punicalagins,</w:t>
      </w:r>
      <w:r>
        <w:rPr>
          <w:spacing w:val="-8"/>
        </w:rPr>
        <w:t> </w:t>
      </w:r>
      <w:r>
        <w:rPr/>
        <w:t>on</w:t>
      </w:r>
      <w:r>
        <w:rPr>
          <w:spacing w:val="-9"/>
        </w:rPr>
        <w:t> </w:t>
      </w:r>
      <w:r>
        <w:rPr/>
        <w:t>the</w:t>
      </w:r>
      <w:r>
        <w:rPr>
          <w:spacing w:val="-11"/>
        </w:rPr>
        <w:t> </w:t>
      </w:r>
      <w:r>
        <w:rPr/>
        <w:t>other</w:t>
      </w:r>
      <w:r>
        <w:rPr>
          <w:spacing w:val="-11"/>
        </w:rPr>
        <w:t> </w:t>
      </w:r>
      <w:r>
        <w:rPr/>
        <w:t>hand,</w:t>
      </w:r>
      <w:r>
        <w:rPr>
          <w:spacing w:val="-14"/>
        </w:rPr>
        <w:t> </w:t>
      </w:r>
      <w:r>
        <w:rPr/>
        <w:t>are</w:t>
      </w:r>
      <w:r>
        <w:rPr>
          <w:spacing w:val="-9"/>
        </w:rPr>
        <w:t> </w:t>
      </w:r>
      <w:r>
        <w:rPr/>
        <w:t>100</w:t>
      </w:r>
      <w:r>
        <w:rPr>
          <w:spacing w:val="-8"/>
        </w:rPr>
        <w:t> </w:t>
      </w:r>
      <w:r>
        <w:rPr/>
        <w:t>%</w:t>
      </w:r>
      <w:r>
        <w:rPr>
          <w:spacing w:val="-9"/>
        </w:rPr>
        <w:t> </w:t>
      </w:r>
      <w:r>
        <w:rPr/>
        <w:t>wa- ter-soluble and 95 % are taken up by our bodies. They piggyback the ellagic acid, transport it into our body and release it. Once in the intestine, ellagic acid is transformed into urolithines, which then offer protection against diseases such as cancer.</w:t>
      </w:r>
    </w:p>
    <w:p>
      <w:pPr>
        <w:pStyle w:val="Heading1"/>
        <w:spacing w:before="223"/>
        <w:jc w:val="both"/>
      </w:pPr>
      <w:r>
        <w:rPr/>
        <w:t>General effect of pomegranate on our</w:t>
      </w:r>
      <w:r>
        <w:rPr>
          <w:spacing w:val="-74"/>
        </w:rPr>
        <w:t> </w:t>
      </w:r>
      <w:r>
        <w:rPr/>
        <w:t>bodies</w:t>
      </w:r>
    </w:p>
    <w:p>
      <w:pPr>
        <w:pStyle w:val="ListParagraph"/>
        <w:numPr>
          <w:ilvl w:val="1"/>
          <w:numId w:val="33"/>
        </w:numPr>
        <w:tabs>
          <w:tab w:pos="1197" w:val="left" w:leader="none"/>
          <w:tab w:pos="1198" w:val="left" w:leader="none"/>
        </w:tabs>
        <w:spacing w:line="240" w:lineRule="auto" w:before="301" w:after="0"/>
        <w:ind w:left="1197" w:right="0" w:hanging="360"/>
        <w:jc w:val="left"/>
        <w:rPr>
          <w:sz w:val="38"/>
        </w:rPr>
      </w:pPr>
      <w:r>
        <w:rPr>
          <w:sz w:val="38"/>
        </w:rPr>
        <w:t>antioxidant effect (protection against free</w:t>
      </w:r>
      <w:r>
        <w:rPr>
          <w:spacing w:val="-1"/>
          <w:sz w:val="38"/>
        </w:rPr>
        <w:t> </w:t>
      </w:r>
      <w:r>
        <w:rPr>
          <w:sz w:val="38"/>
        </w:rPr>
        <w:t>radicals)</w:t>
      </w:r>
    </w:p>
    <w:p>
      <w:pPr>
        <w:pStyle w:val="ListParagraph"/>
        <w:numPr>
          <w:ilvl w:val="1"/>
          <w:numId w:val="33"/>
        </w:numPr>
        <w:tabs>
          <w:tab w:pos="1197" w:val="left" w:leader="none"/>
          <w:tab w:pos="1198" w:val="left" w:leader="none"/>
        </w:tabs>
        <w:spacing w:line="240" w:lineRule="auto" w:before="66" w:after="0"/>
        <w:ind w:left="1197" w:right="0" w:hanging="360"/>
        <w:jc w:val="left"/>
        <w:rPr>
          <w:sz w:val="38"/>
        </w:rPr>
      </w:pPr>
      <w:r>
        <w:rPr>
          <w:sz w:val="38"/>
        </w:rPr>
        <w:t>immunomodulatory effect (strengthening the immune</w:t>
      </w:r>
      <w:r>
        <w:rPr>
          <w:spacing w:val="2"/>
          <w:sz w:val="38"/>
        </w:rPr>
        <w:t> </w:t>
      </w:r>
      <w:r>
        <w:rPr>
          <w:sz w:val="38"/>
        </w:rPr>
        <w:t>system)</w:t>
      </w:r>
    </w:p>
    <w:p>
      <w:pPr>
        <w:pStyle w:val="ListParagraph"/>
        <w:numPr>
          <w:ilvl w:val="1"/>
          <w:numId w:val="33"/>
        </w:numPr>
        <w:tabs>
          <w:tab w:pos="1197" w:val="left" w:leader="none"/>
          <w:tab w:pos="1198" w:val="left" w:leader="none"/>
        </w:tabs>
        <w:spacing w:line="240" w:lineRule="auto" w:before="64" w:after="0"/>
        <w:ind w:left="1197" w:right="0" w:hanging="360"/>
        <w:jc w:val="left"/>
        <w:rPr>
          <w:sz w:val="38"/>
        </w:rPr>
      </w:pPr>
      <w:r>
        <w:rPr>
          <w:sz w:val="38"/>
        </w:rPr>
        <w:t>antibiotic effect (protection against</w:t>
      </w:r>
      <w:r>
        <w:rPr>
          <w:spacing w:val="-2"/>
          <w:sz w:val="38"/>
        </w:rPr>
        <w:t> </w:t>
      </w:r>
      <w:r>
        <w:rPr>
          <w:sz w:val="38"/>
        </w:rPr>
        <w:t>bacteria)</w:t>
      </w:r>
    </w:p>
    <w:p>
      <w:pPr>
        <w:pStyle w:val="ListParagraph"/>
        <w:numPr>
          <w:ilvl w:val="1"/>
          <w:numId w:val="33"/>
        </w:numPr>
        <w:tabs>
          <w:tab w:pos="1197" w:val="left" w:leader="none"/>
          <w:tab w:pos="1198" w:val="left" w:leader="none"/>
        </w:tabs>
        <w:spacing w:line="240" w:lineRule="auto" w:before="64" w:after="0"/>
        <w:ind w:left="1197" w:right="0" w:hanging="360"/>
        <w:jc w:val="left"/>
        <w:rPr>
          <w:sz w:val="38"/>
        </w:rPr>
      </w:pPr>
      <w:r>
        <w:rPr>
          <w:sz w:val="38"/>
        </w:rPr>
        <w:t>detoxifying effect (alcohol, nicotine</w:t>
      </w:r>
      <w:r>
        <w:rPr>
          <w:spacing w:val="1"/>
          <w:sz w:val="38"/>
        </w:rPr>
        <w:t> </w:t>
      </w:r>
      <w:r>
        <w:rPr>
          <w:sz w:val="38"/>
        </w:rPr>
        <w:t>etc.)</w:t>
      </w:r>
    </w:p>
    <w:p>
      <w:pPr>
        <w:pStyle w:val="ListParagraph"/>
        <w:numPr>
          <w:ilvl w:val="1"/>
          <w:numId w:val="33"/>
        </w:numPr>
        <w:tabs>
          <w:tab w:pos="1197" w:val="left" w:leader="none"/>
          <w:tab w:pos="1198" w:val="left" w:leader="none"/>
        </w:tabs>
        <w:spacing w:line="240" w:lineRule="auto" w:before="63" w:after="0"/>
        <w:ind w:left="1197" w:right="0" w:hanging="360"/>
        <w:jc w:val="left"/>
        <w:rPr>
          <w:sz w:val="38"/>
        </w:rPr>
      </w:pPr>
      <w:r>
        <w:rPr>
          <w:sz w:val="38"/>
        </w:rPr>
        <w:t>anticancerogenic effect (protection against</w:t>
      </w:r>
      <w:r>
        <w:rPr>
          <w:spacing w:val="-3"/>
          <w:sz w:val="38"/>
        </w:rPr>
        <w:t> </w:t>
      </w:r>
      <w:r>
        <w:rPr>
          <w:sz w:val="38"/>
        </w:rPr>
        <w:t>cancer)</w:t>
      </w:r>
    </w:p>
    <w:p>
      <w:pPr>
        <w:pStyle w:val="ListParagraph"/>
        <w:numPr>
          <w:ilvl w:val="1"/>
          <w:numId w:val="33"/>
        </w:numPr>
        <w:tabs>
          <w:tab w:pos="1197" w:val="left" w:leader="none"/>
          <w:tab w:pos="1198" w:val="left" w:leader="none"/>
        </w:tabs>
        <w:spacing w:line="240" w:lineRule="auto" w:before="64" w:after="0"/>
        <w:ind w:left="1197" w:right="0" w:hanging="360"/>
        <w:jc w:val="left"/>
        <w:rPr>
          <w:sz w:val="38"/>
        </w:rPr>
      </w:pPr>
      <w:r>
        <w:rPr>
          <w:sz w:val="38"/>
        </w:rPr>
        <w:t>anti-arteriosclerotic effect (protection against vascular</w:t>
      </w:r>
      <w:r>
        <w:rPr>
          <w:spacing w:val="-4"/>
          <w:sz w:val="38"/>
        </w:rPr>
        <w:t> </w:t>
      </w:r>
      <w:r>
        <w:rPr>
          <w:sz w:val="38"/>
        </w:rPr>
        <w:t>calcification)</w:t>
      </w:r>
    </w:p>
    <w:p>
      <w:pPr>
        <w:pStyle w:val="ListParagraph"/>
        <w:numPr>
          <w:ilvl w:val="1"/>
          <w:numId w:val="33"/>
        </w:numPr>
        <w:tabs>
          <w:tab w:pos="1197" w:val="left" w:leader="none"/>
          <w:tab w:pos="1198" w:val="left" w:leader="none"/>
        </w:tabs>
        <w:spacing w:line="240" w:lineRule="auto" w:before="66" w:after="0"/>
        <w:ind w:left="1197" w:right="0" w:hanging="360"/>
        <w:jc w:val="left"/>
        <w:rPr>
          <w:sz w:val="38"/>
        </w:rPr>
      </w:pPr>
      <w:r>
        <w:rPr>
          <w:sz w:val="38"/>
        </w:rPr>
        <w:t>anti-inflammatory effect</w:t>
      </w:r>
    </w:p>
    <w:p>
      <w:pPr>
        <w:pStyle w:val="ListParagraph"/>
        <w:numPr>
          <w:ilvl w:val="1"/>
          <w:numId w:val="33"/>
        </w:numPr>
        <w:tabs>
          <w:tab w:pos="1197" w:val="left" w:leader="none"/>
          <w:tab w:pos="1198" w:val="left" w:leader="none"/>
        </w:tabs>
        <w:spacing w:line="240" w:lineRule="auto" w:before="64" w:after="0"/>
        <w:ind w:left="1197" w:right="0" w:hanging="360"/>
        <w:jc w:val="left"/>
        <w:rPr>
          <w:sz w:val="38"/>
        </w:rPr>
      </w:pPr>
      <w:r>
        <w:rPr>
          <w:sz w:val="38"/>
        </w:rPr>
        <w:t>protection against UV rays</w:t>
      </w:r>
    </w:p>
    <w:p>
      <w:pPr>
        <w:pStyle w:val="ListParagraph"/>
        <w:numPr>
          <w:ilvl w:val="1"/>
          <w:numId w:val="33"/>
        </w:numPr>
        <w:tabs>
          <w:tab w:pos="1197" w:val="left" w:leader="none"/>
          <w:tab w:pos="1198" w:val="left" w:leader="none"/>
        </w:tabs>
        <w:spacing w:line="240" w:lineRule="auto" w:before="64" w:after="0"/>
        <w:ind w:left="1197" w:right="0" w:hanging="360"/>
        <w:jc w:val="left"/>
        <w:rPr>
          <w:sz w:val="38"/>
        </w:rPr>
      </w:pPr>
      <w:r>
        <w:rPr>
          <w:sz w:val="38"/>
        </w:rPr>
        <w:t>promotes repair of damaged</w:t>
      </w:r>
      <w:r>
        <w:rPr>
          <w:spacing w:val="-3"/>
          <w:sz w:val="38"/>
        </w:rPr>
        <w:t> </w:t>
      </w:r>
      <w:r>
        <w:rPr>
          <w:sz w:val="38"/>
        </w:rPr>
        <w:t>cells</w:t>
      </w:r>
    </w:p>
    <w:p>
      <w:pPr>
        <w:pStyle w:val="ListParagraph"/>
        <w:numPr>
          <w:ilvl w:val="1"/>
          <w:numId w:val="33"/>
        </w:numPr>
        <w:tabs>
          <w:tab w:pos="1197" w:val="left" w:leader="none"/>
          <w:tab w:pos="1198" w:val="left" w:leader="none"/>
        </w:tabs>
        <w:spacing w:line="240" w:lineRule="auto" w:before="63" w:after="0"/>
        <w:ind w:left="1197" w:right="0" w:hanging="360"/>
        <w:jc w:val="left"/>
        <w:rPr>
          <w:sz w:val="38"/>
        </w:rPr>
      </w:pPr>
      <w:r>
        <w:rPr>
          <w:sz w:val="38"/>
        </w:rPr>
        <w:t>cholesterol-lowering effect</w:t>
      </w:r>
    </w:p>
    <w:p>
      <w:pPr>
        <w:spacing w:after="0" w:line="240" w:lineRule="auto"/>
        <w:jc w:val="left"/>
        <w:rPr>
          <w:sz w:val="38"/>
        </w:rPr>
        <w:sectPr>
          <w:pgSz w:w="14270" w:h="16850"/>
          <w:pgMar w:header="0" w:footer="404" w:top="1600" w:bottom="2080" w:left="800" w:right="1280"/>
        </w:sectPr>
      </w:pPr>
    </w:p>
    <w:p>
      <w:pPr>
        <w:pStyle w:val="BodyText"/>
        <w:spacing w:before="10"/>
        <w:rPr>
          <w:sz w:val="8"/>
        </w:rPr>
      </w:pPr>
    </w:p>
    <w:p>
      <w:pPr>
        <w:pStyle w:val="ListParagraph"/>
        <w:numPr>
          <w:ilvl w:val="1"/>
          <w:numId w:val="33"/>
        </w:numPr>
        <w:tabs>
          <w:tab w:pos="1197" w:val="left" w:leader="none"/>
          <w:tab w:pos="1198" w:val="left" w:leader="none"/>
        </w:tabs>
        <w:spacing w:line="240" w:lineRule="auto" w:before="83" w:after="0"/>
        <w:ind w:left="1197" w:right="0" w:hanging="360"/>
        <w:jc w:val="left"/>
        <w:rPr>
          <w:sz w:val="38"/>
        </w:rPr>
      </w:pPr>
      <w:r>
        <w:rPr>
          <w:sz w:val="38"/>
        </w:rPr>
        <w:t>blood pressure</w:t>
      </w:r>
      <w:r>
        <w:rPr>
          <w:spacing w:val="1"/>
          <w:sz w:val="38"/>
        </w:rPr>
        <w:t> </w:t>
      </w:r>
      <w:r>
        <w:rPr>
          <w:sz w:val="38"/>
        </w:rPr>
        <w:t>regulation</w:t>
      </w:r>
    </w:p>
    <w:p>
      <w:pPr>
        <w:pStyle w:val="ListParagraph"/>
        <w:numPr>
          <w:ilvl w:val="1"/>
          <w:numId w:val="33"/>
        </w:numPr>
        <w:tabs>
          <w:tab w:pos="1197" w:val="left" w:leader="none"/>
          <w:tab w:pos="1198" w:val="left" w:leader="none"/>
        </w:tabs>
        <w:spacing w:line="240" w:lineRule="auto" w:before="64" w:after="0"/>
        <w:ind w:left="1197" w:right="0" w:hanging="360"/>
        <w:jc w:val="left"/>
        <w:rPr>
          <w:sz w:val="38"/>
        </w:rPr>
      </w:pPr>
      <w:r>
        <w:rPr>
          <w:sz w:val="38"/>
        </w:rPr>
        <w:t>regulation of blood lipid</w:t>
      </w:r>
      <w:r>
        <w:rPr>
          <w:spacing w:val="1"/>
          <w:sz w:val="38"/>
        </w:rPr>
        <w:t> </w:t>
      </w:r>
      <w:r>
        <w:rPr>
          <w:sz w:val="38"/>
        </w:rPr>
        <w:t>levels</w:t>
      </w:r>
    </w:p>
    <w:p>
      <w:pPr>
        <w:pStyle w:val="ListParagraph"/>
        <w:numPr>
          <w:ilvl w:val="1"/>
          <w:numId w:val="33"/>
        </w:numPr>
        <w:tabs>
          <w:tab w:pos="1197" w:val="left" w:leader="none"/>
          <w:tab w:pos="1198" w:val="left" w:leader="none"/>
        </w:tabs>
        <w:spacing w:line="240" w:lineRule="auto" w:before="66" w:after="0"/>
        <w:ind w:left="1197" w:right="0" w:hanging="360"/>
        <w:jc w:val="left"/>
        <w:rPr>
          <w:sz w:val="38"/>
        </w:rPr>
      </w:pPr>
      <w:r>
        <w:rPr>
          <w:sz w:val="38"/>
        </w:rPr>
        <w:t>hormone</w:t>
      </w:r>
      <w:r>
        <w:rPr>
          <w:spacing w:val="-1"/>
          <w:sz w:val="38"/>
        </w:rPr>
        <w:t> </w:t>
      </w:r>
      <w:r>
        <w:rPr>
          <w:sz w:val="38"/>
        </w:rPr>
        <w:t>regulation</w:t>
      </w:r>
    </w:p>
    <w:p>
      <w:pPr>
        <w:pStyle w:val="ListParagraph"/>
        <w:numPr>
          <w:ilvl w:val="1"/>
          <w:numId w:val="33"/>
        </w:numPr>
        <w:tabs>
          <w:tab w:pos="1197" w:val="left" w:leader="none"/>
          <w:tab w:pos="1198" w:val="left" w:leader="none"/>
        </w:tabs>
        <w:spacing w:line="240" w:lineRule="auto" w:before="63" w:after="0"/>
        <w:ind w:left="1197" w:right="0" w:hanging="360"/>
        <w:jc w:val="left"/>
        <w:rPr>
          <w:sz w:val="38"/>
        </w:rPr>
      </w:pPr>
      <w:r>
        <w:rPr>
          <w:sz w:val="38"/>
        </w:rPr>
        <w:t>encourages circulation</w:t>
      </w:r>
    </w:p>
    <w:p>
      <w:pPr>
        <w:pStyle w:val="ListParagraph"/>
        <w:numPr>
          <w:ilvl w:val="1"/>
          <w:numId w:val="33"/>
        </w:numPr>
        <w:tabs>
          <w:tab w:pos="1197" w:val="left" w:leader="none"/>
          <w:tab w:pos="1198" w:val="left" w:leader="none"/>
        </w:tabs>
        <w:spacing w:line="240" w:lineRule="auto" w:before="64" w:after="0"/>
        <w:ind w:left="1197" w:right="0" w:hanging="360"/>
        <w:jc w:val="left"/>
        <w:rPr>
          <w:sz w:val="38"/>
        </w:rPr>
      </w:pPr>
      <w:r>
        <w:rPr>
          <w:sz w:val="38"/>
        </w:rPr>
        <w:t>digestion-regulating</w:t>
      </w:r>
    </w:p>
    <w:p>
      <w:pPr>
        <w:pStyle w:val="BodyText"/>
        <w:rPr>
          <w:sz w:val="44"/>
        </w:rPr>
      </w:pPr>
    </w:p>
    <w:p>
      <w:pPr>
        <w:pStyle w:val="Heading1"/>
        <w:spacing w:line="261" w:lineRule="auto" w:before="282"/>
        <w:rPr>
          <w:b w:val="0"/>
          <w:i w:val="0"/>
          <w:sz w:val="25"/>
        </w:rPr>
      </w:pPr>
      <w:r>
        <w:rPr/>
        <w:t>The</w:t>
      </w:r>
      <w:r>
        <w:rPr>
          <w:spacing w:val="-58"/>
        </w:rPr>
        <w:t> </w:t>
      </w:r>
      <w:r>
        <w:rPr/>
        <w:t>effect</w:t>
      </w:r>
      <w:r>
        <w:rPr>
          <w:spacing w:val="-57"/>
        </w:rPr>
        <w:t> </w:t>
      </w:r>
      <w:r>
        <w:rPr/>
        <w:t>of</w:t>
      </w:r>
      <w:r>
        <w:rPr>
          <w:spacing w:val="-57"/>
        </w:rPr>
        <w:t> </w:t>
      </w:r>
      <w:r>
        <w:rPr/>
        <w:t>the</w:t>
      </w:r>
      <w:r>
        <w:rPr>
          <w:spacing w:val="-58"/>
        </w:rPr>
        <w:t> </w:t>
      </w:r>
      <w:r>
        <w:rPr/>
        <w:t>individual</w:t>
      </w:r>
      <w:r>
        <w:rPr>
          <w:spacing w:val="-58"/>
        </w:rPr>
        <w:t> </w:t>
      </w:r>
      <w:r>
        <w:rPr/>
        <w:t>plant</w:t>
      </w:r>
      <w:r>
        <w:rPr>
          <w:spacing w:val="-57"/>
        </w:rPr>
        <w:t> </w:t>
      </w:r>
      <w:r>
        <w:rPr/>
        <w:t>components</w:t>
      </w:r>
      <w:r>
        <w:rPr>
          <w:spacing w:val="-57"/>
        </w:rPr>
        <w:t> </w:t>
      </w:r>
      <w:r>
        <w:rPr/>
        <w:t>of</w:t>
      </w:r>
      <w:r>
        <w:rPr>
          <w:spacing w:val="-58"/>
        </w:rPr>
        <w:t> </w:t>
      </w:r>
      <w:r>
        <w:rPr/>
        <w:t>the</w:t>
      </w:r>
      <w:r>
        <w:rPr>
          <w:spacing w:val="-57"/>
        </w:rPr>
        <w:t> </w:t>
      </w:r>
      <w:r>
        <w:rPr/>
        <w:t>pomegranate</w:t>
      </w:r>
      <w:r>
        <w:rPr>
          <w:spacing w:val="-58"/>
        </w:rPr>
        <w:t> </w:t>
      </w:r>
      <w:r>
        <w:rPr/>
        <w:t>in</w:t>
      </w:r>
      <w:r>
        <w:rPr>
          <w:spacing w:val="-58"/>
        </w:rPr>
        <w:t> </w:t>
      </w:r>
      <w:r>
        <w:rPr/>
        <w:t>de- tail:</w:t>
      </w:r>
      <w:r>
        <w:rPr>
          <w:b w:val="0"/>
          <w:i w:val="0"/>
          <w:position w:val="9"/>
          <w:sz w:val="25"/>
        </w:rPr>
        <w:t>344</w:t>
      </w:r>
    </w:p>
    <w:p>
      <w:pPr>
        <w:pStyle w:val="BodyText"/>
        <w:spacing w:before="6"/>
        <w:rPr>
          <w:sz w:val="13"/>
        </w:rPr>
      </w:pPr>
    </w:p>
    <w:tbl>
      <w:tblPr>
        <w:tblW w:w="0" w:type="auto"/>
        <w:jc w:val="left"/>
        <w:tblInd w:w="492" w:type="dxa"/>
        <w:tblBorders>
          <w:top w:val="double" w:sz="2" w:space="0" w:color="666666"/>
          <w:left w:val="double" w:sz="2" w:space="0" w:color="666666"/>
          <w:bottom w:val="double" w:sz="2" w:space="0" w:color="666666"/>
          <w:right w:val="double" w:sz="2" w:space="0" w:color="666666"/>
          <w:insideH w:val="double" w:sz="2" w:space="0" w:color="666666"/>
          <w:insideV w:val="double" w:sz="2" w:space="0" w:color="666666"/>
        </w:tblBorders>
        <w:tblLayout w:type="fixed"/>
        <w:tblCellMar>
          <w:top w:w="0" w:type="dxa"/>
          <w:left w:w="0" w:type="dxa"/>
          <w:bottom w:w="0" w:type="dxa"/>
          <w:right w:w="0" w:type="dxa"/>
        </w:tblCellMar>
        <w:tblLook w:val="01E0"/>
      </w:tblPr>
      <w:tblGrid>
        <w:gridCol w:w="1504"/>
        <w:gridCol w:w="1703"/>
        <w:gridCol w:w="1417"/>
        <w:gridCol w:w="1699"/>
      </w:tblGrid>
      <w:tr>
        <w:trPr>
          <w:trHeight w:val="1799" w:hRule="atLeast"/>
        </w:trPr>
        <w:tc>
          <w:tcPr>
            <w:tcW w:w="1504" w:type="dxa"/>
            <w:tcBorders>
              <w:left w:val="single" w:sz="12" w:space="0" w:color="CCCCCC"/>
            </w:tcBorders>
            <w:shd w:val="clear" w:color="auto" w:fill="8DB3E1"/>
          </w:tcPr>
          <w:p>
            <w:pPr>
              <w:pStyle w:val="TableParagraph"/>
              <w:spacing w:line="276" w:lineRule="auto" w:before="61"/>
              <w:ind w:left="124" w:right="111" w:firstLine="1"/>
              <w:jc w:val="center"/>
              <w:rPr>
                <w:b/>
                <w:sz w:val="38"/>
              </w:rPr>
            </w:pPr>
            <w:r>
              <w:rPr>
                <w:b/>
                <w:sz w:val="38"/>
              </w:rPr>
              <w:t>Plant </w:t>
            </w:r>
            <w:r>
              <w:rPr>
                <w:b/>
                <w:w w:val="95"/>
                <w:sz w:val="38"/>
              </w:rPr>
              <w:t>compo- </w:t>
            </w:r>
            <w:r>
              <w:rPr>
                <w:b/>
                <w:sz w:val="38"/>
              </w:rPr>
              <w:t>nent</w:t>
            </w:r>
          </w:p>
        </w:tc>
        <w:tc>
          <w:tcPr>
            <w:tcW w:w="1703" w:type="dxa"/>
            <w:shd w:val="clear" w:color="auto" w:fill="8DB3E1"/>
          </w:tcPr>
          <w:p>
            <w:pPr>
              <w:pStyle w:val="TableParagraph"/>
              <w:spacing w:line="278" w:lineRule="auto" w:before="61"/>
              <w:ind w:left="239" w:right="215" w:firstLine="223"/>
              <w:rPr>
                <w:b/>
                <w:sz w:val="38"/>
              </w:rPr>
            </w:pPr>
            <w:r>
              <w:rPr>
                <w:b/>
                <w:sz w:val="38"/>
              </w:rPr>
              <w:t>Sub- stances</w:t>
            </w:r>
          </w:p>
        </w:tc>
        <w:tc>
          <w:tcPr>
            <w:tcW w:w="1417" w:type="dxa"/>
            <w:shd w:val="clear" w:color="auto" w:fill="8DB3E1"/>
          </w:tcPr>
          <w:p>
            <w:pPr>
              <w:pStyle w:val="TableParagraph"/>
              <w:spacing w:line="278" w:lineRule="auto" w:before="61"/>
              <w:ind w:left="191" w:right="167" w:hanging="3"/>
              <w:rPr>
                <w:b/>
                <w:sz w:val="38"/>
              </w:rPr>
            </w:pPr>
            <w:r>
              <w:rPr>
                <w:b/>
                <w:w w:val="95"/>
                <w:sz w:val="38"/>
              </w:rPr>
              <w:t>Appli- </w:t>
            </w:r>
            <w:r>
              <w:rPr>
                <w:b/>
                <w:sz w:val="38"/>
              </w:rPr>
              <w:t>cation</w:t>
            </w:r>
          </w:p>
        </w:tc>
        <w:tc>
          <w:tcPr>
            <w:tcW w:w="1699" w:type="dxa"/>
            <w:tcBorders>
              <w:right w:val="single" w:sz="12" w:space="0" w:color="666666"/>
            </w:tcBorders>
            <w:shd w:val="clear" w:color="auto" w:fill="8DB3E1"/>
          </w:tcPr>
          <w:p>
            <w:pPr>
              <w:pStyle w:val="TableParagraph"/>
              <w:spacing w:line="278" w:lineRule="auto" w:before="61"/>
              <w:ind w:left="514" w:hanging="248"/>
              <w:rPr>
                <w:b/>
                <w:sz w:val="38"/>
              </w:rPr>
            </w:pPr>
            <w:r>
              <w:rPr>
                <w:b/>
                <w:w w:val="95"/>
                <w:sz w:val="38"/>
              </w:rPr>
              <w:t>Opera- </w:t>
            </w:r>
            <w:r>
              <w:rPr>
                <w:b/>
                <w:sz w:val="38"/>
              </w:rPr>
              <w:t>tion</w:t>
            </w:r>
          </w:p>
        </w:tc>
      </w:tr>
      <w:tr>
        <w:trPr>
          <w:trHeight w:val="532" w:hRule="atLeast"/>
        </w:trPr>
        <w:tc>
          <w:tcPr>
            <w:tcW w:w="1504" w:type="dxa"/>
            <w:tcBorders>
              <w:left w:val="single" w:sz="12" w:space="0" w:color="CCCCCC"/>
              <w:bottom w:val="nil"/>
            </w:tcBorders>
          </w:tcPr>
          <w:p>
            <w:pPr>
              <w:pStyle w:val="TableParagraph"/>
              <w:spacing w:before="72"/>
              <w:ind w:left="122" w:right="110"/>
              <w:jc w:val="center"/>
              <w:rPr>
                <w:b/>
                <w:sz w:val="38"/>
              </w:rPr>
            </w:pPr>
            <w:r>
              <w:rPr>
                <w:b/>
                <w:sz w:val="38"/>
              </w:rPr>
              <w:t>Fruit</w:t>
            </w:r>
          </w:p>
        </w:tc>
        <w:tc>
          <w:tcPr>
            <w:tcW w:w="1703" w:type="dxa"/>
            <w:tcBorders>
              <w:bottom w:val="nil"/>
            </w:tcBorders>
          </w:tcPr>
          <w:p>
            <w:pPr>
              <w:pStyle w:val="TableParagraph"/>
              <w:spacing w:before="72"/>
              <w:ind w:left="56" w:right="54"/>
              <w:jc w:val="center"/>
              <w:rPr>
                <w:sz w:val="38"/>
              </w:rPr>
            </w:pPr>
            <w:r>
              <w:rPr>
                <w:sz w:val="38"/>
              </w:rPr>
              <w:t>Ellagitan-</w:t>
            </w:r>
          </w:p>
        </w:tc>
        <w:tc>
          <w:tcPr>
            <w:tcW w:w="1417" w:type="dxa"/>
            <w:tcBorders>
              <w:bottom w:val="nil"/>
            </w:tcBorders>
          </w:tcPr>
          <w:p>
            <w:pPr>
              <w:pStyle w:val="TableParagraph"/>
              <w:spacing w:before="72"/>
              <w:ind w:left="54" w:right="53"/>
              <w:jc w:val="center"/>
              <w:rPr>
                <w:sz w:val="38"/>
              </w:rPr>
            </w:pPr>
            <w:r>
              <w:rPr>
                <w:sz w:val="38"/>
              </w:rPr>
              <w:t>blood</w:t>
            </w:r>
          </w:p>
        </w:tc>
        <w:tc>
          <w:tcPr>
            <w:tcW w:w="1699" w:type="dxa"/>
            <w:tcBorders>
              <w:bottom w:val="nil"/>
              <w:right w:val="single" w:sz="12" w:space="0" w:color="666666"/>
            </w:tcBorders>
          </w:tcPr>
          <w:p>
            <w:pPr>
              <w:pStyle w:val="TableParagraph"/>
              <w:spacing w:before="72"/>
              <w:ind w:left="66" w:right="68"/>
              <w:jc w:val="center"/>
              <w:rPr>
                <w:sz w:val="38"/>
              </w:rPr>
            </w:pPr>
            <w:r>
              <w:rPr>
                <w:sz w:val="38"/>
              </w:rPr>
              <w:t>antioxi-</w:t>
            </w:r>
          </w:p>
        </w:tc>
      </w:tr>
      <w:tr>
        <w:trPr>
          <w:trHeight w:val="492" w:hRule="atLeast"/>
        </w:trPr>
        <w:tc>
          <w:tcPr>
            <w:tcW w:w="1504" w:type="dxa"/>
            <w:tcBorders>
              <w:top w:val="nil"/>
              <w:left w:val="single" w:sz="12" w:space="0" w:color="CCCCCC"/>
              <w:bottom w:val="nil"/>
            </w:tcBorders>
          </w:tcPr>
          <w:p>
            <w:pPr>
              <w:pStyle w:val="TableParagraph"/>
              <w:spacing w:before="32"/>
              <w:ind w:left="122" w:right="112"/>
              <w:jc w:val="center"/>
              <w:rPr>
                <w:b/>
                <w:sz w:val="38"/>
              </w:rPr>
            </w:pPr>
            <w:r>
              <w:rPr>
                <w:b/>
                <w:sz w:val="38"/>
              </w:rPr>
              <w:t>juice/p</w:t>
            </w:r>
          </w:p>
        </w:tc>
        <w:tc>
          <w:tcPr>
            <w:tcW w:w="1703" w:type="dxa"/>
            <w:tcBorders>
              <w:top w:val="nil"/>
              <w:bottom w:val="nil"/>
            </w:tcBorders>
          </w:tcPr>
          <w:p>
            <w:pPr>
              <w:pStyle w:val="TableParagraph"/>
              <w:spacing w:before="32"/>
              <w:ind w:left="60" w:right="53"/>
              <w:jc w:val="center"/>
              <w:rPr>
                <w:sz w:val="38"/>
              </w:rPr>
            </w:pPr>
            <w:r>
              <w:rPr>
                <w:sz w:val="38"/>
              </w:rPr>
              <w:t>nins (e.g.</w:t>
            </w:r>
          </w:p>
        </w:tc>
        <w:tc>
          <w:tcPr>
            <w:tcW w:w="1417" w:type="dxa"/>
            <w:tcBorders>
              <w:top w:val="nil"/>
              <w:bottom w:val="nil"/>
            </w:tcBorders>
          </w:tcPr>
          <w:p>
            <w:pPr>
              <w:pStyle w:val="TableParagraph"/>
              <w:spacing w:before="32"/>
              <w:ind w:left="55" w:right="52"/>
              <w:jc w:val="center"/>
              <w:rPr>
                <w:sz w:val="38"/>
              </w:rPr>
            </w:pPr>
            <w:r>
              <w:rPr>
                <w:sz w:val="38"/>
              </w:rPr>
              <w:t>tonic</w:t>
            </w:r>
          </w:p>
        </w:tc>
        <w:tc>
          <w:tcPr>
            <w:tcW w:w="1699" w:type="dxa"/>
            <w:tcBorders>
              <w:top w:val="nil"/>
              <w:bottom w:val="nil"/>
              <w:right w:val="single" w:sz="12" w:space="0" w:color="666666"/>
            </w:tcBorders>
          </w:tcPr>
          <w:p>
            <w:pPr>
              <w:pStyle w:val="TableParagraph"/>
              <w:spacing w:before="32"/>
              <w:ind w:left="68" w:right="68"/>
              <w:jc w:val="center"/>
              <w:rPr>
                <w:sz w:val="38"/>
              </w:rPr>
            </w:pPr>
            <w:r>
              <w:rPr>
                <w:sz w:val="38"/>
              </w:rPr>
              <w:t>dant</w:t>
            </w:r>
          </w:p>
        </w:tc>
      </w:tr>
      <w:tr>
        <w:trPr>
          <w:trHeight w:val="493" w:hRule="atLeast"/>
        </w:trPr>
        <w:tc>
          <w:tcPr>
            <w:tcW w:w="1504" w:type="dxa"/>
            <w:tcBorders>
              <w:top w:val="nil"/>
              <w:left w:val="single" w:sz="12" w:space="0" w:color="CCCCCC"/>
              <w:bottom w:val="nil"/>
            </w:tcBorders>
          </w:tcPr>
          <w:p>
            <w:pPr>
              <w:pStyle w:val="TableParagraph"/>
              <w:spacing w:before="34"/>
              <w:ind w:left="121" w:right="112"/>
              <w:jc w:val="center"/>
              <w:rPr>
                <w:b/>
                <w:sz w:val="38"/>
              </w:rPr>
            </w:pPr>
            <w:r>
              <w:rPr>
                <w:b/>
                <w:sz w:val="38"/>
              </w:rPr>
              <w:t>ulp</w:t>
            </w:r>
          </w:p>
        </w:tc>
        <w:tc>
          <w:tcPr>
            <w:tcW w:w="1703" w:type="dxa"/>
            <w:tcBorders>
              <w:top w:val="nil"/>
              <w:bottom w:val="nil"/>
            </w:tcBorders>
          </w:tcPr>
          <w:p>
            <w:pPr>
              <w:pStyle w:val="TableParagraph"/>
              <w:spacing w:before="32"/>
              <w:ind w:left="56" w:right="54"/>
              <w:jc w:val="center"/>
              <w:rPr>
                <w:sz w:val="38"/>
              </w:rPr>
            </w:pPr>
            <w:r>
              <w:rPr>
                <w:sz w:val="38"/>
              </w:rPr>
              <w:t>puni-</w:t>
            </w:r>
          </w:p>
        </w:tc>
        <w:tc>
          <w:tcPr>
            <w:tcW w:w="1417" w:type="dxa"/>
            <w:tcBorders>
              <w:top w:val="nil"/>
              <w:bottom w:val="nil"/>
            </w:tcBorders>
          </w:tcPr>
          <w:p>
            <w:pPr>
              <w:pStyle w:val="TableParagraph"/>
              <w:spacing w:before="32"/>
              <w:ind w:left="54" w:right="53"/>
              <w:jc w:val="center"/>
              <w:rPr>
                <w:sz w:val="38"/>
              </w:rPr>
            </w:pPr>
            <w:r>
              <w:rPr>
                <w:sz w:val="38"/>
              </w:rPr>
              <w:t>anti-in-</w:t>
            </w:r>
          </w:p>
        </w:tc>
        <w:tc>
          <w:tcPr>
            <w:tcW w:w="1699" w:type="dxa"/>
            <w:tcBorders>
              <w:top w:val="nil"/>
              <w:bottom w:val="nil"/>
              <w:right w:val="single" w:sz="12" w:space="0" w:color="666666"/>
            </w:tcBorders>
          </w:tcPr>
          <w:p>
            <w:pPr>
              <w:pStyle w:val="TableParagraph"/>
              <w:spacing w:before="32"/>
              <w:ind w:left="67" w:right="68"/>
              <w:jc w:val="center"/>
              <w:rPr>
                <w:sz w:val="38"/>
              </w:rPr>
            </w:pPr>
            <w:r>
              <w:rPr>
                <w:sz w:val="38"/>
              </w:rPr>
              <w:t>anti-in-</w:t>
            </w:r>
          </w:p>
        </w:tc>
      </w:tr>
      <w:tr>
        <w:trPr>
          <w:trHeight w:val="490" w:hRule="atLeast"/>
        </w:trPr>
        <w:tc>
          <w:tcPr>
            <w:tcW w:w="1504" w:type="dxa"/>
            <w:tcBorders>
              <w:top w:val="nil"/>
              <w:left w:val="single" w:sz="12" w:space="0" w:color="CCCCCC"/>
              <w:bottom w:val="nil"/>
            </w:tcBorders>
          </w:tcPr>
          <w:p>
            <w:pPr>
              <w:pStyle w:val="TableParagraph"/>
              <w:rPr>
                <w:rFonts w:ascii="Times New Roman"/>
                <w:sz w:val="34"/>
              </w:rPr>
            </w:pPr>
          </w:p>
        </w:tc>
        <w:tc>
          <w:tcPr>
            <w:tcW w:w="1703" w:type="dxa"/>
            <w:tcBorders>
              <w:top w:val="nil"/>
              <w:bottom w:val="nil"/>
            </w:tcBorders>
          </w:tcPr>
          <w:p>
            <w:pPr>
              <w:pStyle w:val="TableParagraph"/>
              <w:spacing w:before="31"/>
              <w:ind w:left="60" w:right="53"/>
              <w:jc w:val="center"/>
              <w:rPr>
                <w:sz w:val="38"/>
              </w:rPr>
            </w:pPr>
            <w:r>
              <w:rPr>
                <w:sz w:val="38"/>
              </w:rPr>
              <w:t>calagin),</w:t>
            </w:r>
          </w:p>
        </w:tc>
        <w:tc>
          <w:tcPr>
            <w:tcW w:w="1417" w:type="dxa"/>
            <w:tcBorders>
              <w:top w:val="nil"/>
              <w:bottom w:val="nil"/>
            </w:tcBorders>
          </w:tcPr>
          <w:p>
            <w:pPr>
              <w:pStyle w:val="TableParagraph"/>
              <w:spacing w:before="31"/>
              <w:ind w:left="55" w:right="53"/>
              <w:jc w:val="center"/>
              <w:rPr>
                <w:sz w:val="38"/>
              </w:rPr>
            </w:pPr>
            <w:r>
              <w:rPr>
                <w:sz w:val="38"/>
              </w:rPr>
              <w:t>flamma-</w:t>
            </w:r>
          </w:p>
        </w:tc>
        <w:tc>
          <w:tcPr>
            <w:tcW w:w="1699" w:type="dxa"/>
            <w:tcBorders>
              <w:top w:val="nil"/>
              <w:bottom w:val="nil"/>
              <w:right w:val="single" w:sz="12" w:space="0" w:color="666666"/>
            </w:tcBorders>
          </w:tcPr>
          <w:p>
            <w:pPr>
              <w:pStyle w:val="TableParagraph"/>
              <w:spacing w:before="31"/>
              <w:ind w:left="67" w:right="68"/>
              <w:jc w:val="center"/>
              <w:rPr>
                <w:sz w:val="38"/>
              </w:rPr>
            </w:pPr>
            <w:r>
              <w:rPr>
                <w:sz w:val="38"/>
              </w:rPr>
              <w:t>flamma-</w:t>
            </w:r>
          </w:p>
        </w:tc>
      </w:tr>
      <w:tr>
        <w:trPr>
          <w:trHeight w:val="492" w:hRule="atLeast"/>
        </w:trPr>
        <w:tc>
          <w:tcPr>
            <w:tcW w:w="1504" w:type="dxa"/>
            <w:tcBorders>
              <w:top w:val="nil"/>
              <w:left w:val="single" w:sz="12" w:space="0" w:color="CCCCCC"/>
              <w:bottom w:val="nil"/>
            </w:tcBorders>
          </w:tcPr>
          <w:p>
            <w:pPr>
              <w:pStyle w:val="TableParagraph"/>
              <w:rPr>
                <w:rFonts w:ascii="Times New Roman"/>
                <w:sz w:val="34"/>
              </w:rPr>
            </w:pPr>
          </w:p>
        </w:tc>
        <w:tc>
          <w:tcPr>
            <w:tcW w:w="1703" w:type="dxa"/>
            <w:tcBorders>
              <w:top w:val="nil"/>
              <w:bottom w:val="nil"/>
            </w:tcBorders>
          </w:tcPr>
          <w:p>
            <w:pPr>
              <w:pStyle w:val="TableParagraph"/>
              <w:spacing w:before="32"/>
              <w:ind w:left="59" w:right="54"/>
              <w:jc w:val="center"/>
              <w:rPr>
                <w:sz w:val="38"/>
              </w:rPr>
            </w:pPr>
            <w:r>
              <w:rPr>
                <w:sz w:val="38"/>
              </w:rPr>
              <w:t>phenolic</w:t>
            </w:r>
          </w:p>
        </w:tc>
        <w:tc>
          <w:tcPr>
            <w:tcW w:w="1417" w:type="dxa"/>
            <w:tcBorders>
              <w:top w:val="nil"/>
              <w:bottom w:val="nil"/>
            </w:tcBorders>
          </w:tcPr>
          <w:p>
            <w:pPr>
              <w:pStyle w:val="TableParagraph"/>
              <w:spacing w:before="32"/>
              <w:ind w:left="55" w:right="50"/>
              <w:jc w:val="center"/>
              <w:rPr>
                <w:sz w:val="38"/>
              </w:rPr>
            </w:pPr>
            <w:r>
              <w:rPr>
                <w:sz w:val="38"/>
              </w:rPr>
              <w:t>tory,</w:t>
            </w:r>
          </w:p>
        </w:tc>
        <w:tc>
          <w:tcPr>
            <w:tcW w:w="1699" w:type="dxa"/>
            <w:tcBorders>
              <w:top w:val="nil"/>
              <w:bottom w:val="nil"/>
              <w:right w:val="single" w:sz="12" w:space="0" w:color="666666"/>
            </w:tcBorders>
          </w:tcPr>
          <w:p>
            <w:pPr>
              <w:pStyle w:val="TableParagraph"/>
              <w:spacing w:before="32"/>
              <w:ind w:left="68" w:right="68"/>
              <w:jc w:val="center"/>
              <w:rPr>
                <w:sz w:val="38"/>
              </w:rPr>
            </w:pPr>
            <w:r>
              <w:rPr>
                <w:sz w:val="38"/>
              </w:rPr>
              <w:t>tory</w:t>
            </w:r>
          </w:p>
        </w:tc>
      </w:tr>
      <w:tr>
        <w:trPr>
          <w:trHeight w:val="490" w:hRule="atLeast"/>
        </w:trPr>
        <w:tc>
          <w:tcPr>
            <w:tcW w:w="1504" w:type="dxa"/>
            <w:tcBorders>
              <w:top w:val="nil"/>
              <w:left w:val="single" w:sz="12" w:space="0" w:color="CCCCCC"/>
              <w:bottom w:val="nil"/>
            </w:tcBorders>
          </w:tcPr>
          <w:p>
            <w:pPr>
              <w:pStyle w:val="TableParagraph"/>
              <w:rPr>
                <w:rFonts w:ascii="Times New Roman"/>
                <w:sz w:val="34"/>
              </w:rPr>
            </w:pPr>
          </w:p>
        </w:tc>
        <w:tc>
          <w:tcPr>
            <w:tcW w:w="1703" w:type="dxa"/>
            <w:tcBorders>
              <w:top w:val="nil"/>
              <w:bottom w:val="nil"/>
            </w:tcBorders>
          </w:tcPr>
          <w:p>
            <w:pPr>
              <w:pStyle w:val="TableParagraph"/>
              <w:spacing w:before="32"/>
              <w:ind w:left="58" w:right="54"/>
              <w:jc w:val="center"/>
              <w:rPr>
                <w:sz w:val="38"/>
              </w:rPr>
            </w:pPr>
            <w:r>
              <w:rPr>
                <w:sz w:val="38"/>
              </w:rPr>
              <w:t>acids (e.g.</w:t>
            </w:r>
          </w:p>
        </w:tc>
        <w:tc>
          <w:tcPr>
            <w:tcW w:w="1417" w:type="dxa"/>
            <w:tcBorders>
              <w:top w:val="nil"/>
              <w:bottom w:val="nil"/>
            </w:tcBorders>
          </w:tcPr>
          <w:p>
            <w:pPr>
              <w:pStyle w:val="TableParagraph"/>
              <w:spacing w:before="32"/>
              <w:ind w:left="55" w:right="53"/>
              <w:jc w:val="center"/>
              <w:rPr>
                <w:sz w:val="38"/>
              </w:rPr>
            </w:pPr>
            <w:r>
              <w:rPr>
                <w:sz w:val="38"/>
              </w:rPr>
              <w:t>cooling</w:t>
            </w:r>
          </w:p>
        </w:tc>
        <w:tc>
          <w:tcPr>
            <w:tcW w:w="1699" w:type="dxa"/>
            <w:tcBorders>
              <w:top w:val="nil"/>
              <w:bottom w:val="nil"/>
              <w:right w:val="single" w:sz="12" w:space="0" w:color="666666"/>
            </w:tcBorders>
          </w:tcPr>
          <w:p>
            <w:pPr>
              <w:pStyle w:val="TableParagraph"/>
              <w:spacing w:before="32"/>
              <w:ind w:left="68" w:right="68"/>
              <w:jc w:val="center"/>
              <w:rPr>
                <w:sz w:val="38"/>
              </w:rPr>
            </w:pPr>
            <w:r>
              <w:rPr>
                <w:sz w:val="38"/>
              </w:rPr>
              <w:t>anticar-</w:t>
            </w:r>
          </w:p>
        </w:tc>
      </w:tr>
      <w:tr>
        <w:trPr>
          <w:trHeight w:val="593" w:hRule="atLeast"/>
        </w:trPr>
        <w:tc>
          <w:tcPr>
            <w:tcW w:w="1504" w:type="dxa"/>
            <w:tcBorders>
              <w:top w:val="nil"/>
              <w:left w:val="single" w:sz="12" w:space="0" w:color="CCCCCC"/>
            </w:tcBorders>
          </w:tcPr>
          <w:p>
            <w:pPr>
              <w:pStyle w:val="TableParagraph"/>
              <w:rPr>
                <w:rFonts w:ascii="Times New Roman"/>
                <w:sz w:val="34"/>
              </w:rPr>
            </w:pPr>
          </w:p>
        </w:tc>
        <w:tc>
          <w:tcPr>
            <w:tcW w:w="1703" w:type="dxa"/>
            <w:tcBorders>
              <w:top w:val="nil"/>
            </w:tcBorders>
          </w:tcPr>
          <w:p>
            <w:pPr>
              <w:pStyle w:val="TableParagraph"/>
              <w:spacing w:before="31"/>
              <w:ind w:left="60" w:right="51"/>
              <w:jc w:val="center"/>
              <w:rPr>
                <w:sz w:val="38"/>
              </w:rPr>
            </w:pPr>
            <w:r>
              <w:rPr>
                <w:sz w:val="38"/>
              </w:rPr>
              <w:t>caffeic</w:t>
            </w:r>
          </w:p>
        </w:tc>
        <w:tc>
          <w:tcPr>
            <w:tcW w:w="1417" w:type="dxa"/>
            <w:tcBorders>
              <w:top w:val="nil"/>
            </w:tcBorders>
          </w:tcPr>
          <w:p>
            <w:pPr>
              <w:pStyle w:val="TableParagraph"/>
              <w:rPr>
                <w:rFonts w:ascii="Times New Roman"/>
                <w:sz w:val="34"/>
              </w:rPr>
            </w:pPr>
          </w:p>
        </w:tc>
        <w:tc>
          <w:tcPr>
            <w:tcW w:w="1699" w:type="dxa"/>
            <w:tcBorders>
              <w:top w:val="nil"/>
              <w:right w:val="single" w:sz="12" w:space="0" w:color="666666"/>
            </w:tcBorders>
          </w:tcPr>
          <w:p>
            <w:pPr>
              <w:pStyle w:val="TableParagraph"/>
              <w:spacing w:before="31"/>
              <w:ind w:left="69" w:right="68"/>
              <w:jc w:val="center"/>
              <w:rPr>
                <w:sz w:val="38"/>
              </w:rPr>
            </w:pPr>
            <w:r>
              <w:rPr>
                <w:sz w:val="38"/>
              </w:rPr>
              <w:t>cinogenic,</w:t>
            </w:r>
          </w:p>
        </w:tc>
      </w:tr>
    </w:tbl>
    <w:p>
      <w:pPr>
        <w:pStyle w:val="BodyText"/>
        <w:spacing w:before="1"/>
        <w:rPr>
          <w:sz w:val="25"/>
        </w:rPr>
      </w:pPr>
      <w:r>
        <w:rPr/>
        <w:pict>
          <v:line style="position:absolute;mso-position-horizontal-relative:page;mso-position-vertical-relative:paragraph;z-index:3992;mso-wrap-distance-left:0;mso-wrap-distance-right:0" from="63.863998pt,16.500015pt" to="207.883998pt,16.500015pt" stroked="true" strokeweight=".71997pt" strokecolor="#000000">
            <v:stroke dashstyle="solid"/>
            <w10:wrap type="topAndBottom"/>
          </v:line>
        </w:pict>
      </w:r>
    </w:p>
    <w:p>
      <w:pPr>
        <w:spacing w:before="309"/>
        <w:ind w:left="477" w:right="0" w:firstLine="0"/>
        <w:jc w:val="left"/>
        <w:rPr>
          <w:sz w:val="20"/>
        </w:rPr>
      </w:pPr>
      <w:r>
        <w:rPr>
          <w:position w:val="5"/>
          <w:sz w:val="13"/>
        </w:rPr>
        <w:t>344 </w:t>
      </w:r>
      <w:hyperlink r:id="rId129">
        <w:r>
          <w:rPr>
            <w:sz w:val="20"/>
          </w:rPr>
          <w:t>http://www.drjacobsinstitut.de/?Granatapfel</w:t>
        </w:r>
      </w:hyperlink>
    </w:p>
    <w:p>
      <w:pPr>
        <w:spacing w:after="0"/>
        <w:jc w:val="left"/>
        <w:rPr>
          <w:sz w:val="20"/>
        </w:rPr>
        <w:sectPr>
          <w:pgSz w:w="14270" w:h="16850"/>
          <w:pgMar w:header="0" w:footer="404" w:top="1600" w:bottom="2080" w:left="800" w:right="1280"/>
        </w:sectPr>
      </w:pPr>
    </w:p>
    <w:p>
      <w:pPr>
        <w:pStyle w:val="BodyText"/>
        <w:spacing w:before="9"/>
        <w:rPr>
          <w:rFonts w:ascii="Times New Roman"/>
          <w:sz w:val="16"/>
        </w:rPr>
      </w:pPr>
    </w:p>
    <w:tbl>
      <w:tblPr>
        <w:tblW w:w="0" w:type="auto"/>
        <w:jc w:val="left"/>
        <w:tblInd w:w="492" w:type="dxa"/>
        <w:tblBorders>
          <w:top w:val="double" w:sz="2" w:space="0" w:color="666666"/>
          <w:left w:val="double" w:sz="2" w:space="0" w:color="666666"/>
          <w:bottom w:val="double" w:sz="2" w:space="0" w:color="666666"/>
          <w:right w:val="double" w:sz="2" w:space="0" w:color="666666"/>
          <w:insideH w:val="double" w:sz="2" w:space="0" w:color="666666"/>
          <w:insideV w:val="double" w:sz="2" w:space="0" w:color="666666"/>
        </w:tblBorders>
        <w:tblLayout w:type="fixed"/>
        <w:tblCellMar>
          <w:top w:w="0" w:type="dxa"/>
          <w:left w:w="0" w:type="dxa"/>
          <w:bottom w:w="0" w:type="dxa"/>
          <w:right w:w="0" w:type="dxa"/>
        </w:tblCellMar>
        <w:tblLook w:val="01E0"/>
      </w:tblPr>
      <w:tblGrid>
        <w:gridCol w:w="1504"/>
        <w:gridCol w:w="1703"/>
        <w:gridCol w:w="1417"/>
        <w:gridCol w:w="1699"/>
      </w:tblGrid>
      <w:tr>
        <w:trPr>
          <w:trHeight w:val="501" w:hRule="atLeast"/>
        </w:trPr>
        <w:tc>
          <w:tcPr>
            <w:tcW w:w="1504" w:type="dxa"/>
            <w:vMerge w:val="restart"/>
            <w:tcBorders>
              <w:left w:val="single" w:sz="12" w:space="0" w:color="CCCCCC"/>
            </w:tcBorders>
          </w:tcPr>
          <w:p>
            <w:pPr>
              <w:pStyle w:val="TableParagraph"/>
              <w:rPr>
                <w:rFonts w:ascii="Times New Roman"/>
                <w:sz w:val="36"/>
              </w:rPr>
            </w:pPr>
          </w:p>
        </w:tc>
        <w:tc>
          <w:tcPr>
            <w:tcW w:w="1703" w:type="dxa"/>
            <w:tcBorders>
              <w:bottom w:val="nil"/>
            </w:tcBorders>
          </w:tcPr>
          <w:p>
            <w:pPr>
              <w:pStyle w:val="TableParagraph"/>
              <w:spacing w:line="417" w:lineRule="exact" w:before="64"/>
              <w:ind w:left="55" w:right="54"/>
              <w:jc w:val="center"/>
              <w:rPr>
                <w:sz w:val="38"/>
              </w:rPr>
            </w:pPr>
            <w:r>
              <w:rPr>
                <w:sz w:val="38"/>
              </w:rPr>
              <w:t>acid),</w:t>
            </w:r>
          </w:p>
        </w:tc>
        <w:tc>
          <w:tcPr>
            <w:tcW w:w="1417" w:type="dxa"/>
            <w:tcBorders>
              <w:bottom w:val="nil"/>
            </w:tcBorders>
          </w:tcPr>
          <w:p>
            <w:pPr>
              <w:pStyle w:val="TableParagraph"/>
              <w:spacing w:line="417" w:lineRule="exact" w:before="64"/>
              <w:ind w:left="169"/>
              <w:rPr>
                <w:sz w:val="38"/>
              </w:rPr>
            </w:pPr>
            <w:r>
              <w:rPr>
                <w:sz w:val="38"/>
              </w:rPr>
              <w:t>and re-</w:t>
            </w:r>
          </w:p>
        </w:tc>
        <w:tc>
          <w:tcPr>
            <w:tcW w:w="1699" w:type="dxa"/>
            <w:tcBorders>
              <w:bottom w:val="nil"/>
              <w:right w:val="single" w:sz="12" w:space="0" w:color="666666"/>
            </w:tcBorders>
          </w:tcPr>
          <w:p>
            <w:pPr>
              <w:pStyle w:val="TableParagraph"/>
              <w:spacing w:line="417" w:lineRule="exact" w:before="64"/>
              <w:ind w:left="68" w:right="68"/>
              <w:jc w:val="center"/>
              <w:rPr>
                <w:sz w:val="38"/>
              </w:rPr>
            </w:pPr>
            <w:r>
              <w:rPr>
                <w:sz w:val="38"/>
              </w:rPr>
              <w:t>antiarte-</w:t>
            </w:r>
          </w:p>
        </w:tc>
      </w:tr>
      <w:tr>
        <w:trPr>
          <w:trHeight w:val="448" w:hRule="atLeast"/>
        </w:trPr>
        <w:tc>
          <w:tcPr>
            <w:tcW w:w="1504" w:type="dxa"/>
            <w:vMerge/>
            <w:tcBorders>
              <w:top w:val="nil"/>
              <w:left w:val="single" w:sz="12" w:space="0" w:color="CCCCCC"/>
            </w:tcBorders>
          </w:tcPr>
          <w:p>
            <w:pPr>
              <w:rPr>
                <w:sz w:val="2"/>
                <w:szCs w:val="2"/>
              </w:rPr>
            </w:pPr>
          </w:p>
        </w:tc>
        <w:tc>
          <w:tcPr>
            <w:tcW w:w="1703" w:type="dxa"/>
            <w:tcBorders>
              <w:top w:val="nil"/>
              <w:bottom w:val="nil"/>
            </w:tcBorders>
          </w:tcPr>
          <w:p>
            <w:pPr>
              <w:pStyle w:val="TableParagraph"/>
              <w:spacing w:line="419" w:lineRule="exact" w:before="9"/>
              <w:ind w:left="59" w:right="54"/>
              <w:jc w:val="center"/>
              <w:rPr>
                <w:sz w:val="38"/>
              </w:rPr>
            </w:pPr>
            <w:r>
              <w:rPr>
                <w:sz w:val="38"/>
              </w:rPr>
              <w:t>flavo-</w:t>
            </w:r>
          </w:p>
        </w:tc>
        <w:tc>
          <w:tcPr>
            <w:tcW w:w="1417" w:type="dxa"/>
            <w:tcBorders>
              <w:top w:val="nil"/>
              <w:bottom w:val="nil"/>
            </w:tcBorders>
          </w:tcPr>
          <w:p>
            <w:pPr>
              <w:pStyle w:val="TableParagraph"/>
              <w:spacing w:line="416" w:lineRule="exact" w:before="12"/>
              <w:ind w:right="85"/>
              <w:jc w:val="right"/>
              <w:rPr>
                <w:sz w:val="38"/>
              </w:rPr>
            </w:pPr>
            <w:r>
              <w:rPr>
                <w:w w:val="95"/>
                <w:sz w:val="38"/>
              </w:rPr>
              <w:t>freshing</w:t>
            </w:r>
          </w:p>
        </w:tc>
        <w:tc>
          <w:tcPr>
            <w:tcW w:w="1699" w:type="dxa"/>
            <w:tcBorders>
              <w:top w:val="nil"/>
              <w:bottom w:val="nil"/>
              <w:right w:val="single" w:sz="12" w:space="0" w:color="666666"/>
            </w:tcBorders>
          </w:tcPr>
          <w:p>
            <w:pPr>
              <w:pStyle w:val="TableParagraph"/>
              <w:spacing w:line="419" w:lineRule="exact" w:before="9"/>
              <w:ind w:left="66" w:right="68"/>
              <w:jc w:val="center"/>
              <w:rPr>
                <w:sz w:val="38"/>
              </w:rPr>
            </w:pPr>
            <w:r>
              <w:rPr>
                <w:sz w:val="38"/>
              </w:rPr>
              <w:t>rio-scle-</w:t>
            </w:r>
          </w:p>
        </w:tc>
      </w:tr>
      <w:tr>
        <w:trPr>
          <w:trHeight w:val="444" w:hRule="atLeast"/>
        </w:trPr>
        <w:tc>
          <w:tcPr>
            <w:tcW w:w="1504" w:type="dxa"/>
            <w:vMerge/>
            <w:tcBorders>
              <w:top w:val="nil"/>
              <w:left w:val="single" w:sz="12" w:space="0" w:color="CCCCCC"/>
            </w:tcBorders>
          </w:tcPr>
          <w:p>
            <w:pPr>
              <w:rPr>
                <w:sz w:val="2"/>
                <w:szCs w:val="2"/>
              </w:rPr>
            </w:pPr>
          </w:p>
        </w:tc>
        <w:tc>
          <w:tcPr>
            <w:tcW w:w="1703" w:type="dxa"/>
            <w:tcBorders>
              <w:top w:val="nil"/>
              <w:bottom w:val="nil"/>
            </w:tcBorders>
          </w:tcPr>
          <w:p>
            <w:pPr>
              <w:pStyle w:val="TableParagraph"/>
              <w:spacing w:line="416" w:lineRule="exact" w:before="8"/>
              <w:ind w:left="60" w:right="54"/>
              <w:jc w:val="center"/>
              <w:rPr>
                <w:sz w:val="38"/>
              </w:rPr>
            </w:pPr>
            <w:r>
              <w:rPr>
                <w:sz w:val="38"/>
              </w:rPr>
              <w:t>noids (e.g.</w:t>
            </w:r>
          </w:p>
        </w:tc>
        <w:tc>
          <w:tcPr>
            <w:tcW w:w="1417" w:type="dxa"/>
            <w:tcBorders>
              <w:top w:val="nil"/>
              <w:bottom w:val="nil"/>
            </w:tcBorders>
          </w:tcPr>
          <w:p>
            <w:pPr>
              <w:pStyle w:val="TableParagraph"/>
              <w:rPr>
                <w:rFonts w:ascii="Times New Roman"/>
                <w:sz w:val="34"/>
              </w:rPr>
            </w:pPr>
          </w:p>
        </w:tc>
        <w:tc>
          <w:tcPr>
            <w:tcW w:w="1699" w:type="dxa"/>
            <w:tcBorders>
              <w:top w:val="nil"/>
              <w:bottom w:val="nil"/>
              <w:right w:val="single" w:sz="12" w:space="0" w:color="666666"/>
            </w:tcBorders>
          </w:tcPr>
          <w:p>
            <w:pPr>
              <w:pStyle w:val="TableParagraph"/>
              <w:spacing w:line="416" w:lineRule="exact" w:before="8"/>
              <w:ind w:left="68" w:right="68"/>
              <w:jc w:val="center"/>
              <w:rPr>
                <w:sz w:val="38"/>
              </w:rPr>
            </w:pPr>
            <w:r>
              <w:rPr>
                <w:sz w:val="38"/>
              </w:rPr>
              <w:t>rotic</w:t>
            </w:r>
          </w:p>
        </w:tc>
      </w:tr>
      <w:tr>
        <w:trPr>
          <w:trHeight w:val="445" w:hRule="atLeast"/>
        </w:trPr>
        <w:tc>
          <w:tcPr>
            <w:tcW w:w="1504" w:type="dxa"/>
            <w:vMerge/>
            <w:tcBorders>
              <w:top w:val="nil"/>
              <w:left w:val="single" w:sz="12" w:space="0" w:color="CCCCCC"/>
            </w:tcBorders>
          </w:tcPr>
          <w:p>
            <w:pPr>
              <w:rPr>
                <w:sz w:val="2"/>
                <w:szCs w:val="2"/>
              </w:rPr>
            </w:pPr>
          </w:p>
        </w:tc>
        <w:tc>
          <w:tcPr>
            <w:tcW w:w="1703" w:type="dxa"/>
            <w:tcBorders>
              <w:top w:val="nil"/>
              <w:bottom w:val="nil"/>
            </w:tcBorders>
          </w:tcPr>
          <w:p>
            <w:pPr>
              <w:pStyle w:val="TableParagraph"/>
              <w:spacing w:line="417" w:lineRule="exact" w:before="8"/>
              <w:ind w:left="57" w:right="54"/>
              <w:jc w:val="center"/>
              <w:rPr>
                <w:sz w:val="38"/>
              </w:rPr>
            </w:pPr>
            <w:r>
              <w:rPr>
                <w:sz w:val="38"/>
              </w:rPr>
              <w:t>quercetin,</w:t>
            </w:r>
          </w:p>
        </w:tc>
        <w:tc>
          <w:tcPr>
            <w:tcW w:w="1417" w:type="dxa"/>
            <w:tcBorders>
              <w:top w:val="nil"/>
              <w:bottom w:val="nil"/>
            </w:tcBorders>
          </w:tcPr>
          <w:p>
            <w:pPr>
              <w:pStyle w:val="TableParagraph"/>
              <w:rPr>
                <w:rFonts w:ascii="Times New Roman"/>
                <w:sz w:val="34"/>
              </w:rPr>
            </w:pPr>
          </w:p>
        </w:tc>
        <w:tc>
          <w:tcPr>
            <w:tcW w:w="1699" w:type="dxa"/>
            <w:tcBorders>
              <w:top w:val="nil"/>
              <w:bottom w:val="nil"/>
              <w:right w:val="single" w:sz="12" w:space="0" w:color="666666"/>
            </w:tcBorders>
          </w:tcPr>
          <w:p>
            <w:pPr>
              <w:pStyle w:val="TableParagraph"/>
              <w:spacing w:line="417" w:lineRule="exact" w:before="8"/>
              <w:ind w:left="66" w:right="68"/>
              <w:jc w:val="center"/>
              <w:rPr>
                <w:sz w:val="38"/>
              </w:rPr>
            </w:pPr>
            <w:r>
              <w:rPr>
                <w:sz w:val="38"/>
              </w:rPr>
              <w:t>anti-</w:t>
            </w:r>
          </w:p>
        </w:tc>
      </w:tr>
      <w:tr>
        <w:trPr>
          <w:trHeight w:val="446" w:hRule="atLeast"/>
        </w:trPr>
        <w:tc>
          <w:tcPr>
            <w:tcW w:w="1504" w:type="dxa"/>
            <w:vMerge/>
            <w:tcBorders>
              <w:top w:val="nil"/>
              <w:left w:val="single" w:sz="12" w:space="0" w:color="CCCCCC"/>
            </w:tcBorders>
          </w:tcPr>
          <w:p>
            <w:pPr>
              <w:rPr>
                <w:sz w:val="2"/>
                <w:szCs w:val="2"/>
              </w:rPr>
            </w:pPr>
          </w:p>
        </w:tc>
        <w:tc>
          <w:tcPr>
            <w:tcW w:w="1703" w:type="dxa"/>
            <w:tcBorders>
              <w:top w:val="nil"/>
              <w:bottom w:val="nil"/>
            </w:tcBorders>
          </w:tcPr>
          <w:p>
            <w:pPr>
              <w:pStyle w:val="TableParagraph"/>
              <w:spacing w:line="417" w:lineRule="exact" w:before="9"/>
              <w:ind w:left="57" w:right="54"/>
              <w:jc w:val="center"/>
              <w:rPr>
                <w:sz w:val="38"/>
              </w:rPr>
            </w:pPr>
            <w:r>
              <w:rPr>
                <w:sz w:val="38"/>
              </w:rPr>
              <w:t>rutin,</w:t>
            </w:r>
          </w:p>
        </w:tc>
        <w:tc>
          <w:tcPr>
            <w:tcW w:w="1417" w:type="dxa"/>
            <w:tcBorders>
              <w:top w:val="nil"/>
              <w:bottom w:val="nil"/>
            </w:tcBorders>
          </w:tcPr>
          <w:p>
            <w:pPr>
              <w:pStyle w:val="TableParagraph"/>
              <w:rPr>
                <w:rFonts w:ascii="Times New Roman"/>
                <w:sz w:val="34"/>
              </w:rPr>
            </w:pPr>
          </w:p>
        </w:tc>
        <w:tc>
          <w:tcPr>
            <w:tcW w:w="1699" w:type="dxa"/>
            <w:tcBorders>
              <w:top w:val="nil"/>
              <w:bottom w:val="nil"/>
              <w:right w:val="single" w:sz="12" w:space="0" w:color="666666"/>
            </w:tcBorders>
          </w:tcPr>
          <w:p>
            <w:pPr>
              <w:pStyle w:val="TableParagraph"/>
              <w:spacing w:line="417" w:lineRule="exact" w:before="9"/>
              <w:ind w:left="68" w:right="68"/>
              <w:jc w:val="center"/>
              <w:rPr>
                <w:sz w:val="38"/>
              </w:rPr>
            </w:pPr>
            <w:r>
              <w:rPr>
                <w:sz w:val="38"/>
              </w:rPr>
              <w:t>oestro-</w:t>
            </w:r>
          </w:p>
        </w:tc>
      </w:tr>
      <w:tr>
        <w:trPr>
          <w:trHeight w:val="448" w:hRule="atLeast"/>
        </w:trPr>
        <w:tc>
          <w:tcPr>
            <w:tcW w:w="1504" w:type="dxa"/>
            <w:vMerge/>
            <w:tcBorders>
              <w:top w:val="nil"/>
              <w:left w:val="single" w:sz="12" w:space="0" w:color="CCCCCC"/>
            </w:tcBorders>
          </w:tcPr>
          <w:p>
            <w:pPr>
              <w:rPr>
                <w:sz w:val="2"/>
                <w:szCs w:val="2"/>
              </w:rPr>
            </w:pPr>
          </w:p>
        </w:tc>
        <w:tc>
          <w:tcPr>
            <w:tcW w:w="1703" w:type="dxa"/>
            <w:tcBorders>
              <w:top w:val="nil"/>
              <w:bottom w:val="nil"/>
            </w:tcBorders>
          </w:tcPr>
          <w:p>
            <w:pPr>
              <w:pStyle w:val="TableParagraph"/>
              <w:spacing w:line="419" w:lineRule="exact" w:before="9"/>
              <w:ind w:left="57" w:right="54"/>
              <w:jc w:val="center"/>
              <w:rPr>
                <w:sz w:val="38"/>
              </w:rPr>
            </w:pPr>
            <w:r>
              <w:rPr>
                <w:sz w:val="38"/>
              </w:rPr>
              <w:t>kaempfer</w:t>
            </w:r>
          </w:p>
        </w:tc>
        <w:tc>
          <w:tcPr>
            <w:tcW w:w="1417" w:type="dxa"/>
            <w:tcBorders>
              <w:top w:val="nil"/>
              <w:bottom w:val="nil"/>
            </w:tcBorders>
          </w:tcPr>
          <w:p>
            <w:pPr>
              <w:pStyle w:val="TableParagraph"/>
              <w:rPr>
                <w:rFonts w:ascii="Times New Roman"/>
                <w:sz w:val="34"/>
              </w:rPr>
            </w:pPr>
          </w:p>
        </w:tc>
        <w:tc>
          <w:tcPr>
            <w:tcW w:w="1699" w:type="dxa"/>
            <w:tcBorders>
              <w:top w:val="nil"/>
              <w:bottom w:val="nil"/>
              <w:right w:val="single" w:sz="12" w:space="0" w:color="666666"/>
            </w:tcBorders>
          </w:tcPr>
          <w:p>
            <w:pPr>
              <w:pStyle w:val="TableParagraph"/>
              <w:spacing w:line="417" w:lineRule="exact" w:before="12"/>
              <w:ind w:left="68" w:right="68"/>
              <w:jc w:val="center"/>
              <w:rPr>
                <w:sz w:val="38"/>
              </w:rPr>
            </w:pPr>
            <w:r>
              <w:rPr>
                <w:sz w:val="38"/>
              </w:rPr>
              <w:t>genic</w:t>
            </w:r>
          </w:p>
        </w:tc>
      </w:tr>
      <w:tr>
        <w:trPr>
          <w:trHeight w:val="446" w:hRule="atLeast"/>
        </w:trPr>
        <w:tc>
          <w:tcPr>
            <w:tcW w:w="1504" w:type="dxa"/>
            <w:vMerge/>
            <w:tcBorders>
              <w:top w:val="nil"/>
              <w:left w:val="single" w:sz="12" w:space="0" w:color="CCCCCC"/>
            </w:tcBorders>
          </w:tcPr>
          <w:p>
            <w:pPr>
              <w:rPr>
                <w:sz w:val="2"/>
                <w:szCs w:val="2"/>
              </w:rPr>
            </w:pPr>
          </w:p>
        </w:tc>
        <w:tc>
          <w:tcPr>
            <w:tcW w:w="1703" w:type="dxa"/>
            <w:tcBorders>
              <w:top w:val="nil"/>
              <w:bottom w:val="nil"/>
            </w:tcBorders>
          </w:tcPr>
          <w:p>
            <w:pPr>
              <w:pStyle w:val="TableParagraph"/>
              <w:spacing w:line="417" w:lineRule="exact" w:before="8"/>
              <w:ind w:left="58" w:right="54"/>
              <w:jc w:val="center"/>
              <w:rPr>
                <w:sz w:val="38"/>
              </w:rPr>
            </w:pPr>
            <w:r>
              <w:rPr>
                <w:sz w:val="38"/>
              </w:rPr>
              <w:t>ol)</w:t>
            </w:r>
          </w:p>
        </w:tc>
        <w:tc>
          <w:tcPr>
            <w:tcW w:w="1417" w:type="dxa"/>
            <w:tcBorders>
              <w:top w:val="nil"/>
              <w:bottom w:val="nil"/>
            </w:tcBorders>
          </w:tcPr>
          <w:p>
            <w:pPr>
              <w:pStyle w:val="TableParagraph"/>
              <w:rPr>
                <w:rFonts w:ascii="Times New Roman"/>
                <w:sz w:val="34"/>
              </w:rPr>
            </w:pPr>
          </w:p>
        </w:tc>
        <w:tc>
          <w:tcPr>
            <w:tcW w:w="1699" w:type="dxa"/>
            <w:tcBorders>
              <w:top w:val="nil"/>
              <w:bottom w:val="nil"/>
              <w:right w:val="single" w:sz="12" w:space="0" w:color="666666"/>
            </w:tcBorders>
          </w:tcPr>
          <w:p>
            <w:pPr>
              <w:pStyle w:val="TableParagraph"/>
              <w:rPr>
                <w:rFonts w:ascii="Times New Roman"/>
                <w:sz w:val="34"/>
              </w:rPr>
            </w:pPr>
          </w:p>
        </w:tc>
      </w:tr>
      <w:tr>
        <w:trPr>
          <w:trHeight w:val="447" w:hRule="atLeast"/>
        </w:trPr>
        <w:tc>
          <w:tcPr>
            <w:tcW w:w="1504" w:type="dxa"/>
            <w:vMerge/>
            <w:tcBorders>
              <w:top w:val="nil"/>
              <w:left w:val="single" w:sz="12" w:space="0" w:color="CCCCCC"/>
            </w:tcBorders>
          </w:tcPr>
          <w:p>
            <w:pPr>
              <w:rPr>
                <w:sz w:val="2"/>
                <w:szCs w:val="2"/>
              </w:rPr>
            </w:pPr>
          </w:p>
        </w:tc>
        <w:tc>
          <w:tcPr>
            <w:tcW w:w="1703" w:type="dxa"/>
            <w:tcBorders>
              <w:top w:val="nil"/>
              <w:bottom w:val="nil"/>
            </w:tcBorders>
          </w:tcPr>
          <w:p>
            <w:pPr>
              <w:pStyle w:val="TableParagraph"/>
              <w:spacing w:line="417" w:lineRule="exact" w:before="9"/>
              <w:ind w:left="55" w:right="54"/>
              <w:jc w:val="center"/>
              <w:rPr>
                <w:sz w:val="38"/>
              </w:rPr>
            </w:pPr>
            <w:r>
              <w:rPr>
                <w:sz w:val="38"/>
              </w:rPr>
              <w:t>catechins,</w:t>
            </w:r>
          </w:p>
        </w:tc>
        <w:tc>
          <w:tcPr>
            <w:tcW w:w="1417" w:type="dxa"/>
            <w:tcBorders>
              <w:top w:val="nil"/>
              <w:bottom w:val="nil"/>
            </w:tcBorders>
          </w:tcPr>
          <w:p>
            <w:pPr>
              <w:pStyle w:val="TableParagraph"/>
              <w:rPr>
                <w:rFonts w:ascii="Times New Roman"/>
                <w:sz w:val="34"/>
              </w:rPr>
            </w:pPr>
          </w:p>
        </w:tc>
        <w:tc>
          <w:tcPr>
            <w:tcW w:w="1699" w:type="dxa"/>
            <w:tcBorders>
              <w:top w:val="nil"/>
              <w:bottom w:val="nil"/>
              <w:right w:val="single" w:sz="12" w:space="0" w:color="666666"/>
            </w:tcBorders>
          </w:tcPr>
          <w:p>
            <w:pPr>
              <w:pStyle w:val="TableParagraph"/>
              <w:rPr>
                <w:rFonts w:ascii="Times New Roman"/>
                <w:sz w:val="34"/>
              </w:rPr>
            </w:pPr>
          </w:p>
        </w:tc>
      </w:tr>
      <w:tr>
        <w:trPr>
          <w:trHeight w:val="446" w:hRule="atLeast"/>
        </w:trPr>
        <w:tc>
          <w:tcPr>
            <w:tcW w:w="1504" w:type="dxa"/>
            <w:vMerge/>
            <w:tcBorders>
              <w:top w:val="nil"/>
              <w:left w:val="single" w:sz="12" w:space="0" w:color="CCCCCC"/>
            </w:tcBorders>
          </w:tcPr>
          <w:p>
            <w:pPr>
              <w:rPr>
                <w:sz w:val="2"/>
                <w:szCs w:val="2"/>
              </w:rPr>
            </w:pPr>
          </w:p>
        </w:tc>
        <w:tc>
          <w:tcPr>
            <w:tcW w:w="1703" w:type="dxa"/>
            <w:tcBorders>
              <w:top w:val="nil"/>
              <w:bottom w:val="nil"/>
            </w:tcBorders>
          </w:tcPr>
          <w:p>
            <w:pPr>
              <w:pStyle w:val="TableParagraph"/>
              <w:spacing w:line="417" w:lineRule="exact" w:before="9"/>
              <w:ind w:left="56" w:right="54"/>
              <w:jc w:val="center"/>
              <w:rPr>
                <w:sz w:val="38"/>
              </w:rPr>
            </w:pPr>
            <w:r>
              <w:rPr>
                <w:sz w:val="38"/>
              </w:rPr>
              <w:t>anthocya-</w:t>
            </w:r>
          </w:p>
        </w:tc>
        <w:tc>
          <w:tcPr>
            <w:tcW w:w="1417" w:type="dxa"/>
            <w:tcBorders>
              <w:top w:val="nil"/>
              <w:bottom w:val="nil"/>
            </w:tcBorders>
          </w:tcPr>
          <w:p>
            <w:pPr>
              <w:pStyle w:val="TableParagraph"/>
              <w:rPr>
                <w:rFonts w:ascii="Times New Roman"/>
                <w:sz w:val="34"/>
              </w:rPr>
            </w:pPr>
          </w:p>
        </w:tc>
        <w:tc>
          <w:tcPr>
            <w:tcW w:w="1699" w:type="dxa"/>
            <w:tcBorders>
              <w:top w:val="nil"/>
              <w:bottom w:val="nil"/>
              <w:right w:val="single" w:sz="12" w:space="0" w:color="666666"/>
            </w:tcBorders>
          </w:tcPr>
          <w:p>
            <w:pPr>
              <w:pStyle w:val="TableParagraph"/>
              <w:rPr>
                <w:rFonts w:ascii="Times New Roman"/>
                <w:sz w:val="34"/>
              </w:rPr>
            </w:pPr>
          </w:p>
        </w:tc>
      </w:tr>
      <w:tr>
        <w:trPr>
          <w:trHeight w:val="445" w:hRule="atLeast"/>
        </w:trPr>
        <w:tc>
          <w:tcPr>
            <w:tcW w:w="1504" w:type="dxa"/>
            <w:vMerge/>
            <w:tcBorders>
              <w:top w:val="nil"/>
              <w:left w:val="single" w:sz="12" w:space="0" w:color="CCCCCC"/>
            </w:tcBorders>
          </w:tcPr>
          <w:p>
            <w:pPr>
              <w:rPr>
                <w:sz w:val="2"/>
                <w:szCs w:val="2"/>
              </w:rPr>
            </w:pPr>
          </w:p>
        </w:tc>
        <w:tc>
          <w:tcPr>
            <w:tcW w:w="1703" w:type="dxa"/>
            <w:tcBorders>
              <w:top w:val="nil"/>
              <w:bottom w:val="nil"/>
            </w:tcBorders>
          </w:tcPr>
          <w:p>
            <w:pPr>
              <w:pStyle w:val="TableParagraph"/>
              <w:spacing w:line="416" w:lineRule="exact" w:before="9"/>
              <w:ind w:left="56" w:right="54"/>
              <w:jc w:val="center"/>
              <w:rPr>
                <w:sz w:val="38"/>
              </w:rPr>
            </w:pPr>
            <w:r>
              <w:rPr>
                <w:sz w:val="38"/>
              </w:rPr>
              <w:t>nins,</w:t>
            </w:r>
          </w:p>
        </w:tc>
        <w:tc>
          <w:tcPr>
            <w:tcW w:w="1417" w:type="dxa"/>
            <w:tcBorders>
              <w:top w:val="nil"/>
              <w:bottom w:val="nil"/>
            </w:tcBorders>
          </w:tcPr>
          <w:p>
            <w:pPr>
              <w:pStyle w:val="TableParagraph"/>
              <w:rPr>
                <w:rFonts w:ascii="Times New Roman"/>
                <w:sz w:val="34"/>
              </w:rPr>
            </w:pPr>
          </w:p>
        </w:tc>
        <w:tc>
          <w:tcPr>
            <w:tcW w:w="1699" w:type="dxa"/>
            <w:tcBorders>
              <w:top w:val="nil"/>
              <w:bottom w:val="nil"/>
              <w:right w:val="single" w:sz="12" w:space="0" w:color="666666"/>
            </w:tcBorders>
          </w:tcPr>
          <w:p>
            <w:pPr>
              <w:pStyle w:val="TableParagraph"/>
              <w:rPr>
                <w:rFonts w:ascii="Times New Roman"/>
                <w:sz w:val="34"/>
              </w:rPr>
            </w:pPr>
          </w:p>
        </w:tc>
      </w:tr>
      <w:tr>
        <w:trPr>
          <w:trHeight w:val="447" w:hRule="atLeast"/>
        </w:trPr>
        <w:tc>
          <w:tcPr>
            <w:tcW w:w="1504" w:type="dxa"/>
            <w:vMerge/>
            <w:tcBorders>
              <w:top w:val="nil"/>
              <w:left w:val="single" w:sz="12" w:space="0" w:color="CCCCCC"/>
            </w:tcBorders>
          </w:tcPr>
          <w:p>
            <w:pPr>
              <w:rPr>
                <w:sz w:val="2"/>
                <w:szCs w:val="2"/>
              </w:rPr>
            </w:pPr>
          </w:p>
        </w:tc>
        <w:tc>
          <w:tcPr>
            <w:tcW w:w="1703" w:type="dxa"/>
            <w:tcBorders>
              <w:top w:val="nil"/>
              <w:bottom w:val="nil"/>
            </w:tcBorders>
          </w:tcPr>
          <w:p>
            <w:pPr>
              <w:pStyle w:val="TableParagraph"/>
              <w:spacing w:line="419" w:lineRule="exact" w:before="8"/>
              <w:ind w:left="60" w:right="53"/>
              <w:jc w:val="center"/>
              <w:rPr>
                <w:sz w:val="38"/>
              </w:rPr>
            </w:pPr>
            <w:r>
              <w:rPr>
                <w:sz w:val="38"/>
              </w:rPr>
              <w:t>ellagic</w:t>
            </w:r>
          </w:p>
        </w:tc>
        <w:tc>
          <w:tcPr>
            <w:tcW w:w="1417" w:type="dxa"/>
            <w:tcBorders>
              <w:top w:val="nil"/>
              <w:bottom w:val="nil"/>
            </w:tcBorders>
          </w:tcPr>
          <w:p>
            <w:pPr>
              <w:pStyle w:val="TableParagraph"/>
              <w:rPr>
                <w:rFonts w:ascii="Times New Roman"/>
                <w:sz w:val="34"/>
              </w:rPr>
            </w:pPr>
          </w:p>
        </w:tc>
        <w:tc>
          <w:tcPr>
            <w:tcW w:w="1699" w:type="dxa"/>
            <w:tcBorders>
              <w:top w:val="nil"/>
              <w:bottom w:val="nil"/>
              <w:right w:val="single" w:sz="12" w:space="0" w:color="666666"/>
            </w:tcBorders>
          </w:tcPr>
          <w:p>
            <w:pPr>
              <w:pStyle w:val="TableParagraph"/>
              <w:rPr>
                <w:rFonts w:ascii="Times New Roman"/>
                <w:sz w:val="34"/>
              </w:rPr>
            </w:pPr>
          </w:p>
        </w:tc>
      </w:tr>
      <w:tr>
        <w:trPr>
          <w:trHeight w:val="771" w:hRule="atLeast"/>
        </w:trPr>
        <w:tc>
          <w:tcPr>
            <w:tcW w:w="1504" w:type="dxa"/>
            <w:vMerge/>
            <w:tcBorders>
              <w:top w:val="nil"/>
              <w:left w:val="single" w:sz="12" w:space="0" w:color="CCCCCC"/>
            </w:tcBorders>
          </w:tcPr>
          <w:p>
            <w:pPr>
              <w:rPr>
                <w:sz w:val="2"/>
                <w:szCs w:val="2"/>
              </w:rPr>
            </w:pPr>
          </w:p>
        </w:tc>
        <w:tc>
          <w:tcPr>
            <w:tcW w:w="1703" w:type="dxa"/>
            <w:tcBorders>
              <w:top w:val="nil"/>
            </w:tcBorders>
          </w:tcPr>
          <w:p>
            <w:pPr>
              <w:pStyle w:val="TableParagraph"/>
              <w:spacing w:before="10"/>
              <w:ind w:left="60" w:right="54"/>
              <w:jc w:val="center"/>
              <w:rPr>
                <w:sz w:val="38"/>
              </w:rPr>
            </w:pPr>
            <w:r>
              <w:rPr>
                <w:sz w:val="38"/>
              </w:rPr>
              <w:t>acid,</w:t>
            </w:r>
          </w:p>
        </w:tc>
        <w:tc>
          <w:tcPr>
            <w:tcW w:w="1417" w:type="dxa"/>
            <w:tcBorders>
              <w:top w:val="nil"/>
            </w:tcBorders>
          </w:tcPr>
          <w:p>
            <w:pPr>
              <w:pStyle w:val="TableParagraph"/>
              <w:rPr>
                <w:rFonts w:ascii="Times New Roman"/>
                <w:sz w:val="36"/>
              </w:rPr>
            </w:pPr>
          </w:p>
        </w:tc>
        <w:tc>
          <w:tcPr>
            <w:tcW w:w="1699" w:type="dxa"/>
            <w:tcBorders>
              <w:top w:val="nil"/>
              <w:right w:val="single" w:sz="12" w:space="0" w:color="666666"/>
            </w:tcBorders>
          </w:tcPr>
          <w:p>
            <w:pPr>
              <w:pStyle w:val="TableParagraph"/>
              <w:rPr>
                <w:rFonts w:ascii="Times New Roman"/>
                <w:sz w:val="36"/>
              </w:rPr>
            </w:pPr>
          </w:p>
        </w:tc>
      </w:tr>
      <w:tr>
        <w:trPr>
          <w:trHeight w:val="524" w:hRule="atLeast"/>
        </w:trPr>
        <w:tc>
          <w:tcPr>
            <w:tcW w:w="1504" w:type="dxa"/>
            <w:tcBorders>
              <w:left w:val="single" w:sz="12" w:space="0" w:color="CCCCCC"/>
              <w:bottom w:val="nil"/>
            </w:tcBorders>
          </w:tcPr>
          <w:p>
            <w:pPr>
              <w:pStyle w:val="TableParagraph"/>
              <w:spacing w:before="65"/>
              <w:ind w:left="342"/>
              <w:rPr>
                <w:b/>
                <w:sz w:val="38"/>
              </w:rPr>
            </w:pPr>
            <w:r>
              <w:rPr>
                <w:b/>
                <w:sz w:val="38"/>
              </w:rPr>
              <w:t>Rind</w:t>
            </w:r>
          </w:p>
        </w:tc>
        <w:tc>
          <w:tcPr>
            <w:tcW w:w="1703" w:type="dxa"/>
            <w:tcBorders>
              <w:bottom w:val="nil"/>
            </w:tcBorders>
          </w:tcPr>
          <w:p>
            <w:pPr>
              <w:pStyle w:val="TableParagraph"/>
              <w:spacing w:before="63"/>
              <w:ind w:left="56" w:right="54"/>
              <w:jc w:val="center"/>
              <w:rPr>
                <w:sz w:val="38"/>
              </w:rPr>
            </w:pPr>
            <w:r>
              <w:rPr>
                <w:sz w:val="38"/>
              </w:rPr>
              <w:t>Ellagitan-</w:t>
            </w:r>
          </w:p>
        </w:tc>
        <w:tc>
          <w:tcPr>
            <w:tcW w:w="1417" w:type="dxa"/>
            <w:tcBorders>
              <w:bottom w:val="nil"/>
            </w:tcBorders>
          </w:tcPr>
          <w:p>
            <w:pPr>
              <w:pStyle w:val="TableParagraph"/>
              <w:spacing w:before="63"/>
              <w:ind w:left="176"/>
              <w:rPr>
                <w:sz w:val="38"/>
              </w:rPr>
            </w:pPr>
            <w:r>
              <w:rPr>
                <w:sz w:val="38"/>
              </w:rPr>
              <w:t>Ulcers,</w:t>
            </w:r>
          </w:p>
        </w:tc>
        <w:tc>
          <w:tcPr>
            <w:tcW w:w="1699" w:type="dxa"/>
            <w:tcBorders>
              <w:bottom w:val="nil"/>
              <w:right w:val="single" w:sz="12" w:space="0" w:color="666666"/>
            </w:tcBorders>
          </w:tcPr>
          <w:p>
            <w:pPr>
              <w:pStyle w:val="TableParagraph"/>
              <w:spacing w:before="63"/>
              <w:ind w:left="66" w:right="68"/>
              <w:jc w:val="center"/>
              <w:rPr>
                <w:sz w:val="38"/>
              </w:rPr>
            </w:pPr>
            <w:r>
              <w:rPr>
                <w:sz w:val="38"/>
              </w:rPr>
              <w:t>adstrin-</w:t>
            </w:r>
          </w:p>
        </w:tc>
      </w:tr>
      <w:tr>
        <w:trPr>
          <w:trHeight w:val="491" w:hRule="atLeast"/>
        </w:trPr>
        <w:tc>
          <w:tcPr>
            <w:tcW w:w="1504" w:type="dxa"/>
            <w:tcBorders>
              <w:top w:val="nil"/>
              <w:left w:val="single" w:sz="12" w:space="0" w:color="CCCCCC"/>
              <w:bottom w:val="nil"/>
            </w:tcBorders>
          </w:tcPr>
          <w:p>
            <w:pPr>
              <w:pStyle w:val="TableParagraph"/>
              <w:rPr>
                <w:rFonts w:ascii="Times New Roman"/>
                <w:sz w:val="36"/>
              </w:rPr>
            </w:pPr>
          </w:p>
        </w:tc>
        <w:tc>
          <w:tcPr>
            <w:tcW w:w="1703" w:type="dxa"/>
            <w:tcBorders>
              <w:top w:val="nil"/>
              <w:bottom w:val="nil"/>
            </w:tcBorders>
          </w:tcPr>
          <w:p>
            <w:pPr>
              <w:pStyle w:val="TableParagraph"/>
              <w:spacing w:before="31"/>
              <w:ind w:left="59" w:right="54"/>
              <w:jc w:val="center"/>
              <w:rPr>
                <w:sz w:val="38"/>
              </w:rPr>
            </w:pPr>
            <w:r>
              <w:rPr>
                <w:sz w:val="38"/>
              </w:rPr>
              <w:t>nins, fla-</w:t>
            </w:r>
          </w:p>
        </w:tc>
        <w:tc>
          <w:tcPr>
            <w:tcW w:w="1417" w:type="dxa"/>
            <w:tcBorders>
              <w:top w:val="nil"/>
              <w:bottom w:val="nil"/>
            </w:tcBorders>
          </w:tcPr>
          <w:p>
            <w:pPr>
              <w:pStyle w:val="TableParagraph"/>
              <w:spacing w:before="31"/>
              <w:ind w:left="349"/>
              <w:rPr>
                <w:sz w:val="38"/>
              </w:rPr>
            </w:pPr>
            <w:r>
              <w:rPr>
                <w:sz w:val="38"/>
              </w:rPr>
              <w:t>diar-</w:t>
            </w:r>
          </w:p>
        </w:tc>
        <w:tc>
          <w:tcPr>
            <w:tcW w:w="1699" w:type="dxa"/>
            <w:tcBorders>
              <w:top w:val="nil"/>
              <w:bottom w:val="nil"/>
              <w:right w:val="single" w:sz="12" w:space="0" w:color="666666"/>
            </w:tcBorders>
          </w:tcPr>
          <w:p>
            <w:pPr>
              <w:pStyle w:val="TableParagraph"/>
              <w:spacing w:before="31"/>
              <w:ind w:left="68" w:right="68"/>
              <w:jc w:val="center"/>
              <w:rPr>
                <w:sz w:val="38"/>
              </w:rPr>
            </w:pPr>
            <w:r>
              <w:rPr>
                <w:sz w:val="38"/>
              </w:rPr>
              <w:t>gent</w:t>
            </w:r>
          </w:p>
        </w:tc>
      </w:tr>
      <w:tr>
        <w:trPr>
          <w:trHeight w:val="491" w:hRule="atLeast"/>
        </w:trPr>
        <w:tc>
          <w:tcPr>
            <w:tcW w:w="1504" w:type="dxa"/>
            <w:tcBorders>
              <w:top w:val="nil"/>
              <w:left w:val="single" w:sz="12" w:space="0" w:color="CCCCCC"/>
              <w:bottom w:val="nil"/>
            </w:tcBorders>
          </w:tcPr>
          <w:p>
            <w:pPr>
              <w:pStyle w:val="TableParagraph"/>
              <w:rPr>
                <w:rFonts w:ascii="Times New Roman"/>
                <w:sz w:val="36"/>
              </w:rPr>
            </w:pPr>
          </w:p>
        </w:tc>
        <w:tc>
          <w:tcPr>
            <w:tcW w:w="1703" w:type="dxa"/>
            <w:tcBorders>
              <w:top w:val="nil"/>
              <w:bottom w:val="nil"/>
            </w:tcBorders>
          </w:tcPr>
          <w:p>
            <w:pPr>
              <w:pStyle w:val="TableParagraph"/>
              <w:spacing w:before="32"/>
              <w:ind w:left="57" w:right="54"/>
              <w:jc w:val="center"/>
              <w:rPr>
                <w:sz w:val="38"/>
              </w:rPr>
            </w:pPr>
            <w:r>
              <w:rPr>
                <w:sz w:val="38"/>
              </w:rPr>
              <w:t>vonoids,</w:t>
            </w:r>
          </w:p>
        </w:tc>
        <w:tc>
          <w:tcPr>
            <w:tcW w:w="1417" w:type="dxa"/>
            <w:tcBorders>
              <w:top w:val="nil"/>
              <w:bottom w:val="nil"/>
            </w:tcBorders>
          </w:tcPr>
          <w:p>
            <w:pPr>
              <w:pStyle w:val="TableParagraph"/>
              <w:spacing w:before="32"/>
              <w:ind w:left="231"/>
              <w:rPr>
                <w:sz w:val="38"/>
              </w:rPr>
            </w:pPr>
            <w:r>
              <w:rPr>
                <w:sz w:val="38"/>
              </w:rPr>
              <w:t>rhoea,</w:t>
            </w:r>
          </w:p>
        </w:tc>
        <w:tc>
          <w:tcPr>
            <w:tcW w:w="1699" w:type="dxa"/>
            <w:tcBorders>
              <w:top w:val="nil"/>
              <w:bottom w:val="nil"/>
              <w:right w:val="single" w:sz="12" w:space="0" w:color="666666"/>
            </w:tcBorders>
          </w:tcPr>
          <w:p>
            <w:pPr>
              <w:pStyle w:val="TableParagraph"/>
              <w:spacing w:before="32"/>
              <w:ind w:left="66" w:right="68"/>
              <w:jc w:val="center"/>
              <w:rPr>
                <w:sz w:val="38"/>
              </w:rPr>
            </w:pPr>
            <w:r>
              <w:rPr>
                <w:sz w:val="38"/>
              </w:rPr>
              <w:t>antioxi-</w:t>
            </w:r>
          </w:p>
        </w:tc>
      </w:tr>
      <w:tr>
        <w:trPr>
          <w:trHeight w:val="491" w:hRule="atLeast"/>
        </w:trPr>
        <w:tc>
          <w:tcPr>
            <w:tcW w:w="1504" w:type="dxa"/>
            <w:tcBorders>
              <w:top w:val="nil"/>
              <w:left w:val="single" w:sz="12" w:space="0" w:color="CCCCCC"/>
              <w:bottom w:val="nil"/>
            </w:tcBorders>
          </w:tcPr>
          <w:p>
            <w:pPr>
              <w:pStyle w:val="TableParagraph"/>
              <w:rPr>
                <w:rFonts w:ascii="Times New Roman"/>
                <w:sz w:val="36"/>
              </w:rPr>
            </w:pPr>
          </w:p>
        </w:tc>
        <w:tc>
          <w:tcPr>
            <w:tcW w:w="1703" w:type="dxa"/>
            <w:tcBorders>
              <w:top w:val="nil"/>
              <w:bottom w:val="nil"/>
            </w:tcBorders>
          </w:tcPr>
          <w:p>
            <w:pPr>
              <w:pStyle w:val="TableParagraph"/>
              <w:spacing w:before="32"/>
              <w:ind w:left="60" w:right="53"/>
              <w:jc w:val="center"/>
              <w:rPr>
                <w:sz w:val="38"/>
              </w:rPr>
            </w:pPr>
            <w:r>
              <w:rPr>
                <w:sz w:val="38"/>
              </w:rPr>
              <w:t>ellagic</w:t>
            </w:r>
          </w:p>
        </w:tc>
        <w:tc>
          <w:tcPr>
            <w:tcW w:w="1417" w:type="dxa"/>
            <w:tcBorders>
              <w:top w:val="nil"/>
              <w:bottom w:val="nil"/>
            </w:tcBorders>
          </w:tcPr>
          <w:p>
            <w:pPr>
              <w:pStyle w:val="TableParagraph"/>
              <w:spacing w:before="32"/>
              <w:ind w:left="186"/>
              <w:rPr>
                <w:sz w:val="38"/>
              </w:rPr>
            </w:pPr>
            <w:r>
              <w:rPr>
                <w:sz w:val="38"/>
              </w:rPr>
              <w:t>intesti-</w:t>
            </w:r>
          </w:p>
        </w:tc>
        <w:tc>
          <w:tcPr>
            <w:tcW w:w="1699" w:type="dxa"/>
            <w:tcBorders>
              <w:top w:val="nil"/>
              <w:bottom w:val="nil"/>
              <w:right w:val="single" w:sz="12" w:space="0" w:color="666666"/>
            </w:tcBorders>
          </w:tcPr>
          <w:p>
            <w:pPr>
              <w:pStyle w:val="TableParagraph"/>
              <w:spacing w:before="32"/>
              <w:ind w:left="68" w:right="68"/>
              <w:jc w:val="center"/>
              <w:rPr>
                <w:sz w:val="38"/>
              </w:rPr>
            </w:pPr>
            <w:r>
              <w:rPr>
                <w:sz w:val="38"/>
              </w:rPr>
              <w:t>dant</w:t>
            </w:r>
          </w:p>
        </w:tc>
      </w:tr>
      <w:tr>
        <w:trPr>
          <w:trHeight w:val="492" w:hRule="atLeast"/>
        </w:trPr>
        <w:tc>
          <w:tcPr>
            <w:tcW w:w="1504" w:type="dxa"/>
            <w:tcBorders>
              <w:top w:val="nil"/>
              <w:left w:val="single" w:sz="12" w:space="0" w:color="CCCCCC"/>
              <w:bottom w:val="nil"/>
            </w:tcBorders>
          </w:tcPr>
          <w:p>
            <w:pPr>
              <w:pStyle w:val="TableParagraph"/>
              <w:rPr>
                <w:rFonts w:ascii="Times New Roman"/>
                <w:sz w:val="36"/>
              </w:rPr>
            </w:pPr>
          </w:p>
        </w:tc>
        <w:tc>
          <w:tcPr>
            <w:tcW w:w="1703" w:type="dxa"/>
            <w:tcBorders>
              <w:top w:val="nil"/>
              <w:bottom w:val="nil"/>
            </w:tcBorders>
          </w:tcPr>
          <w:p>
            <w:pPr>
              <w:pStyle w:val="TableParagraph"/>
              <w:spacing w:before="32"/>
              <w:ind w:left="54" w:right="54"/>
              <w:jc w:val="center"/>
              <w:rPr>
                <w:sz w:val="38"/>
              </w:rPr>
            </w:pPr>
            <w:r>
              <w:rPr>
                <w:sz w:val="38"/>
              </w:rPr>
              <w:t>acid, an-</w:t>
            </w:r>
          </w:p>
        </w:tc>
        <w:tc>
          <w:tcPr>
            <w:tcW w:w="1417" w:type="dxa"/>
            <w:tcBorders>
              <w:top w:val="nil"/>
              <w:bottom w:val="nil"/>
            </w:tcBorders>
          </w:tcPr>
          <w:p>
            <w:pPr>
              <w:pStyle w:val="TableParagraph"/>
              <w:spacing w:before="32"/>
              <w:ind w:left="222"/>
              <w:rPr>
                <w:sz w:val="38"/>
              </w:rPr>
            </w:pPr>
            <w:r>
              <w:rPr>
                <w:sz w:val="38"/>
              </w:rPr>
              <w:t>nal in-</w:t>
            </w:r>
          </w:p>
        </w:tc>
        <w:tc>
          <w:tcPr>
            <w:tcW w:w="1699" w:type="dxa"/>
            <w:tcBorders>
              <w:top w:val="nil"/>
              <w:bottom w:val="nil"/>
              <w:right w:val="single" w:sz="12" w:space="0" w:color="666666"/>
            </w:tcBorders>
          </w:tcPr>
          <w:p>
            <w:pPr>
              <w:pStyle w:val="TableParagraph"/>
              <w:spacing w:before="32"/>
              <w:ind w:left="66" w:right="68"/>
              <w:jc w:val="center"/>
              <w:rPr>
                <w:sz w:val="38"/>
              </w:rPr>
            </w:pPr>
            <w:r>
              <w:rPr>
                <w:sz w:val="38"/>
              </w:rPr>
              <w:t>antimi-</w:t>
            </w:r>
          </w:p>
        </w:tc>
      </w:tr>
      <w:tr>
        <w:trPr>
          <w:trHeight w:val="490" w:hRule="atLeast"/>
        </w:trPr>
        <w:tc>
          <w:tcPr>
            <w:tcW w:w="1504" w:type="dxa"/>
            <w:tcBorders>
              <w:top w:val="nil"/>
              <w:left w:val="single" w:sz="12" w:space="0" w:color="CCCCCC"/>
              <w:bottom w:val="nil"/>
            </w:tcBorders>
          </w:tcPr>
          <w:p>
            <w:pPr>
              <w:pStyle w:val="TableParagraph"/>
              <w:rPr>
                <w:rFonts w:ascii="Times New Roman"/>
                <w:sz w:val="36"/>
              </w:rPr>
            </w:pPr>
          </w:p>
        </w:tc>
        <w:tc>
          <w:tcPr>
            <w:tcW w:w="1703" w:type="dxa"/>
            <w:tcBorders>
              <w:top w:val="nil"/>
              <w:bottom w:val="nil"/>
            </w:tcBorders>
          </w:tcPr>
          <w:p>
            <w:pPr>
              <w:pStyle w:val="TableParagraph"/>
              <w:spacing w:before="32"/>
              <w:ind w:left="60" w:right="54"/>
              <w:jc w:val="center"/>
              <w:rPr>
                <w:sz w:val="38"/>
              </w:rPr>
            </w:pPr>
            <w:r>
              <w:rPr>
                <w:sz w:val="38"/>
              </w:rPr>
              <w:t>thocya-</w:t>
            </w:r>
          </w:p>
        </w:tc>
        <w:tc>
          <w:tcPr>
            <w:tcW w:w="1417" w:type="dxa"/>
            <w:tcBorders>
              <w:top w:val="nil"/>
              <w:bottom w:val="nil"/>
            </w:tcBorders>
          </w:tcPr>
          <w:p>
            <w:pPr>
              <w:pStyle w:val="TableParagraph"/>
              <w:spacing w:before="32"/>
              <w:ind w:left="133"/>
              <w:rPr>
                <w:sz w:val="38"/>
              </w:rPr>
            </w:pPr>
            <w:r>
              <w:rPr>
                <w:sz w:val="38"/>
              </w:rPr>
              <w:t>fection,</w:t>
            </w:r>
          </w:p>
        </w:tc>
        <w:tc>
          <w:tcPr>
            <w:tcW w:w="1699" w:type="dxa"/>
            <w:tcBorders>
              <w:top w:val="nil"/>
              <w:bottom w:val="nil"/>
              <w:right w:val="single" w:sz="12" w:space="0" w:color="666666"/>
            </w:tcBorders>
          </w:tcPr>
          <w:p>
            <w:pPr>
              <w:pStyle w:val="TableParagraph"/>
              <w:spacing w:before="32"/>
              <w:ind w:left="67" w:right="68"/>
              <w:jc w:val="center"/>
              <w:rPr>
                <w:sz w:val="38"/>
              </w:rPr>
            </w:pPr>
            <w:r>
              <w:rPr>
                <w:sz w:val="38"/>
              </w:rPr>
              <w:t>crobial</w:t>
            </w:r>
          </w:p>
        </w:tc>
      </w:tr>
      <w:tr>
        <w:trPr>
          <w:trHeight w:val="490" w:hRule="atLeast"/>
        </w:trPr>
        <w:tc>
          <w:tcPr>
            <w:tcW w:w="1504" w:type="dxa"/>
            <w:tcBorders>
              <w:top w:val="nil"/>
              <w:left w:val="single" w:sz="12" w:space="0" w:color="CCCCCC"/>
              <w:bottom w:val="nil"/>
            </w:tcBorders>
          </w:tcPr>
          <w:p>
            <w:pPr>
              <w:pStyle w:val="TableParagraph"/>
              <w:rPr>
                <w:rFonts w:ascii="Times New Roman"/>
                <w:sz w:val="36"/>
              </w:rPr>
            </w:pPr>
          </w:p>
        </w:tc>
        <w:tc>
          <w:tcPr>
            <w:tcW w:w="1703" w:type="dxa"/>
            <w:tcBorders>
              <w:top w:val="nil"/>
              <w:bottom w:val="nil"/>
            </w:tcBorders>
          </w:tcPr>
          <w:p>
            <w:pPr>
              <w:pStyle w:val="TableParagraph"/>
              <w:spacing w:before="31"/>
              <w:ind w:left="57" w:right="54"/>
              <w:jc w:val="center"/>
              <w:rPr>
                <w:sz w:val="38"/>
              </w:rPr>
            </w:pPr>
            <w:r>
              <w:rPr>
                <w:sz w:val="38"/>
              </w:rPr>
              <w:t>nidins</w:t>
            </w:r>
          </w:p>
        </w:tc>
        <w:tc>
          <w:tcPr>
            <w:tcW w:w="1417" w:type="dxa"/>
            <w:tcBorders>
              <w:top w:val="nil"/>
              <w:bottom w:val="nil"/>
            </w:tcBorders>
          </w:tcPr>
          <w:p>
            <w:pPr>
              <w:pStyle w:val="TableParagraph"/>
              <w:spacing w:before="31"/>
              <w:ind w:left="162"/>
              <w:rPr>
                <w:sz w:val="38"/>
              </w:rPr>
            </w:pPr>
            <w:r>
              <w:rPr>
                <w:sz w:val="38"/>
              </w:rPr>
              <w:t>parodo</w:t>
            </w:r>
          </w:p>
        </w:tc>
        <w:tc>
          <w:tcPr>
            <w:tcW w:w="1699" w:type="dxa"/>
            <w:tcBorders>
              <w:top w:val="nil"/>
              <w:bottom w:val="nil"/>
              <w:right w:val="single" w:sz="12" w:space="0" w:color="666666"/>
            </w:tcBorders>
          </w:tcPr>
          <w:p>
            <w:pPr>
              <w:pStyle w:val="TableParagraph"/>
              <w:spacing w:before="31"/>
              <w:ind w:left="67" w:right="68"/>
              <w:jc w:val="center"/>
              <w:rPr>
                <w:sz w:val="38"/>
              </w:rPr>
            </w:pPr>
            <w:r>
              <w:rPr>
                <w:sz w:val="38"/>
              </w:rPr>
              <w:t>anti-ma-</w:t>
            </w:r>
          </w:p>
        </w:tc>
      </w:tr>
      <w:tr>
        <w:trPr>
          <w:trHeight w:val="492" w:hRule="atLeast"/>
        </w:trPr>
        <w:tc>
          <w:tcPr>
            <w:tcW w:w="1504" w:type="dxa"/>
            <w:tcBorders>
              <w:top w:val="nil"/>
              <w:left w:val="single" w:sz="12" w:space="0" w:color="CCCCCC"/>
              <w:bottom w:val="nil"/>
            </w:tcBorders>
          </w:tcPr>
          <w:p>
            <w:pPr>
              <w:pStyle w:val="TableParagraph"/>
              <w:rPr>
                <w:rFonts w:ascii="Times New Roman"/>
                <w:sz w:val="36"/>
              </w:rPr>
            </w:pPr>
          </w:p>
        </w:tc>
        <w:tc>
          <w:tcPr>
            <w:tcW w:w="1703" w:type="dxa"/>
            <w:tcBorders>
              <w:top w:val="nil"/>
              <w:bottom w:val="nil"/>
            </w:tcBorders>
          </w:tcPr>
          <w:p>
            <w:pPr>
              <w:pStyle w:val="TableParagraph"/>
              <w:spacing w:before="32"/>
              <w:ind w:left="57" w:right="54"/>
              <w:jc w:val="center"/>
              <w:rPr>
                <w:sz w:val="38"/>
              </w:rPr>
            </w:pPr>
            <w:r>
              <w:rPr>
                <w:sz w:val="38"/>
              </w:rPr>
              <w:t>(sugar-</w:t>
            </w:r>
          </w:p>
        </w:tc>
        <w:tc>
          <w:tcPr>
            <w:tcW w:w="1417" w:type="dxa"/>
            <w:tcBorders>
              <w:top w:val="nil"/>
              <w:bottom w:val="nil"/>
            </w:tcBorders>
          </w:tcPr>
          <w:p>
            <w:pPr>
              <w:pStyle w:val="TableParagraph"/>
              <w:spacing w:before="32"/>
              <w:ind w:left="215"/>
              <w:rPr>
                <w:sz w:val="38"/>
              </w:rPr>
            </w:pPr>
            <w:r>
              <w:rPr>
                <w:sz w:val="38"/>
              </w:rPr>
              <w:t>ntosis,</w:t>
            </w:r>
          </w:p>
        </w:tc>
        <w:tc>
          <w:tcPr>
            <w:tcW w:w="1699" w:type="dxa"/>
            <w:tcBorders>
              <w:top w:val="nil"/>
              <w:bottom w:val="nil"/>
              <w:right w:val="single" w:sz="12" w:space="0" w:color="666666"/>
            </w:tcBorders>
          </w:tcPr>
          <w:p>
            <w:pPr>
              <w:pStyle w:val="TableParagraph"/>
              <w:spacing w:before="32"/>
              <w:ind w:left="68" w:right="68"/>
              <w:jc w:val="center"/>
              <w:rPr>
                <w:sz w:val="38"/>
              </w:rPr>
            </w:pPr>
            <w:r>
              <w:rPr>
                <w:sz w:val="38"/>
              </w:rPr>
              <w:t>larial ef-</w:t>
            </w:r>
          </w:p>
        </w:tc>
      </w:tr>
      <w:tr>
        <w:trPr>
          <w:trHeight w:val="493" w:hRule="atLeast"/>
        </w:trPr>
        <w:tc>
          <w:tcPr>
            <w:tcW w:w="1504" w:type="dxa"/>
            <w:tcBorders>
              <w:top w:val="nil"/>
              <w:left w:val="single" w:sz="12" w:space="0" w:color="CCCCCC"/>
              <w:bottom w:val="nil"/>
            </w:tcBorders>
          </w:tcPr>
          <w:p>
            <w:pPr>
              <w:pStyle w:val="TableParagraph"/>
              <w:rPr>
                <w:rFonts w:ascii="Times New Roman"/>
                <w:sz w:val="36"/>
              </w:rPr>
            </w:pPr>
          </w:p>
        </w:tc>
        <w:tc>
          <w:tcPr>
            <w:tcW w:w="1703" w:type="dxa"/>
            <w:tcBorders>
              <w:top w:val="nil"/>
              <w:bottom w:val="nil"/>
            </w:tcBorders>
          </w:tcPr>
          <w:p>
            <w:pPr>
              <w:pStyle w:val="TableParagraph"/>
              <w:spacing w:before="32"/>
              <w:ind w:left="58" w:right="54"/>
              <w:jc w:val="center"/>
              <w:rPr>
                <w:sz w:val="38"/>
              </w:rPr>
            </w:pPr>
            <w:r>
              <w:rPr>
                <w:sz w:val="38"/>
              </w:rPr>
              <w:t>free),</w:t>
            </w:r>
          </w:p>
        </w:tc>
        <w:tc>
          <w:tcPr>
            <w:tcW w:w="1417" w:type="dxa"/>
            <w:tcBorders>
              <w:top w:val="nil"/>
              <w:bottom w:val="nil"/>
            </w:tcBorders>
          </w:tcPr>
          <w:p>
            <w:pPr>
              <w:pStyle w:val="TableParagraph"/>
              <w:spacing w:before="34"/>
              <w:ind w:right="101"/>
              <w:jc w:val="right"/>
              <w:rPr>
                <w:sz w:val="38"/>
              </w:rPr>
            </w:pPr>
            <w:r>
              <w:rPr>
                <w:sz w:val="38"/>
              </w:rPr>
              <w:t>aphthae</w:t>
            </w:r>
          </w:p>
        </w:tc>
        <w:tc>
          <w:tcPr>
            <w:tcW w:w="1699" w:type="dxa"/>
            <w:tcBorders>
              <w:top w:val="nil"/>
              <w:bottom w:val="nil"/>
              <w:right w:val="single" w:sz="12" w:space="0" w:color="666666"/>
            </w:tcBorders>
          </w:tcPr>
          <w:p>
            <w:pPr>
              <w:pStyle w:val="TableParagraph"/>
              <w:spacing w:before="34"/>
              <w:ind w:left="68" w:right="68"/>
              <w:jc w:val="center"/>
              <w:rPr>
                <w:sz w:val="38"/>
              </w:rPr>
            </w:pPr>
            <w:r>
              <w:rPr>
                <w:sz w:val="38"/>
              </w:rPr>
              <w:t>fect</w:t>
            </w:r>
          </w:p>
        </w:tc>
      </w:tr>
      <w:tr>
        <w:trPr>
          <w:trHeight w:val="593" w:hRule="atLeast"/>
        </w:trPr>
        <w:tc>
          <w:tcPr>
            <w:tcW w:w="1504" w:type="dxa"/>
            <w:tcBorders>
              <w:top w:val="nil"/>
              <w:left w:val="single" w:sz="12" w:space="0" w:color="CCCCCC"/>
            </w:tcBorders>
          </w:tcPr>
          <w:p>
            <w:pPr>
              <w:pStyle w:val="TableParagraph"/>
              <w:rPr>
                <w:rFonts w:ascii="Times New Roman"/>
                <w:sz w:val="36"/>
              </w:rPr>
            </w:pPr>
          </w:p>
        </w:tc>
        <w:tc>
          <w:tcPr>
            <w:tcW w:w="1703" w:type="dxa"/>
            <w:tcBorders>
              <w:top w:val="nil"/>
            </w:tcBorders>
          </w:tcPr>
          <w:p>
            <w:pPr>
              <w:pStyle w:val="TableParagraph"/>
              <w:spacing w:before="31"/>
              <w:ind w:left="57" w:right="54"/>
              <w:jc w:val="center"/>
              <w:rPr>
                <w:sz w:val="38"/>
              </w:rPr>
            </w:pPr>
            <w:r>
              <w:rPr>
                <w:sz w:val="38"/>
              </w:rPr>
              <w:t>traces of</w:t>
            </w:r>
          </w:p>
        </w:tc>
        <w:tc>
          <w:tcPr>
            <w:tcW w:w="1417" w:type="dxa"/>
            <w:tcBorders>
              <w:top w:val="nil"/>
            </w:tcBorders>
          </w:tcPr>
          <w:p>
            <w:pPr>
              <w:pStyle w:val="TableParagraph"/>
              <w:rPr>
                <w:rFonts w:ascii="Times New Roman"/>
                <w:sz w:val="36"/>
              </w:rPr>
            </w:pPr>
          </w:p>
        </w:tc>
        <w:tc>
          <w:tcPr>
            <w:tcW w:w="1699" w:type="dxa"/>
            <w:tcBorders>
              <w:top w:val="nil"/>
              <w:right w:val="single" w:sz="12" w:space="0" w:color="666666"/>
            </w:tcBorders>
          </w:tcPr>
          <w:p>
            <w:pPr>
              <w:pStyle w:val="TableParagraph"/>
              <w:rPr>
                <w:rFonts w:ascii="Times New Roman"/>
                <w:sz w:val="36"/>
              </w:rPr>
            </w:pPr>
          </w:p>
        </w:tc>
      </w:tr>
    </w:tbl>
    <w:p>
      <w:pPr>
        <w:spacing w:after="0"/>
        <w:rPr>
          <w:rFonts w:ascii="Times New Roman"/>
          <w:sz w:val="36"/>
        </w:rPr>
        <w:sectPr>
          <w:pgSz w:w="14270" w:h="16850"/>
          <w:pgMar w:header="0" w:footer="404" w:top="1600" w:bottom="600" w:left="800" w:right="1280"/>
        </w:sectPr>
      </w:pPr>
    </w:p>
    <w:p>
      <w:pPr>
        <w:pStyle w:val="BodyText"/>
        <w:spacing w:before="9"/>
        <w:rPr>
          <w:rFonts w:ascii="Times New Roman"/>
          <w:sz w:val="16"/>
        </w:rPr>
      </w:pPr>
    </w:p>
    <w:tbl>
      <w:tblPr>
        <w:tblW w:w="0" w:type="auto"/>
        <w:jc w:val="left"/>
        <w:tblInd w:w="492" w:type="dxa"/>
        <w:tblBorders>
          <w:top w:val="double" w:sz="2" w:space="0" w:color="666666"/>
          <w:left w:val="double" w:sz="2" w:space="0" w:color="666666"/>
          <w:bottom w:val="double" w:sz="2" w:space="0" w:color="666666"/>
          <w:right w:val="double" w:sz="2" w:space="0" w:color="666666"/>
          <w:insideH w:val="double" w:sz="2" w:space="0" w:color="666666"/>
          <w:insideV w:val="double" w:sz="2" w:space="0" w:color="666666"/>
        </w:tblBorders>
        <w:tblLayout w:type="fixed"/>
        <w:tblCellMar>
          <w:top w:w="0" w:type="dxa"/>
          <w:left w:w="0" w:type="dxa"/>
          <w:bottom w:w="0" w:type="dxa"/>
          <w:right w:w="0" w:type="dxa"/>
        </w:tblCellMar>
        <w:tblLook w:val="01E0"/>
      </w:tblPr>
      <w:tblGrid>
        <w:gridCol w:w="1504"/>
        <w:gridCol w:w="1703"/>
        <w:gridCol w:w="1417"/>
        <w:gridCol w:w="1699"/>
      </w:tblGrid>
      <w:tr>
        <w:trPr>
          <w:trHeight w:val="2029" w:hRule="atLeast"/>
        </w:trPr>
        <w:tc>
          <w:tcPr>
            <w:tcW w:w="1504" w:type="dxa"/>
            <w:tcBorders>
              <w:left w:val="single" w:sz="12" w:space="0" w:color="CCCCCC"/>
            </w:tcBorders>
          </w:tcPr>
          <w:p>
            <w:pPr>
              <w:pStyle w:val="TableParagraph"/>
              <w:rPr>
                <w:rFonts w:ascii="Times New Roman"/>
                <w:sz w:val="36"/>
              </w:rPr>
            </w:pPr>
          </w:p>
        </w:tc>
        <w:tc>
          <w:tcPr>
            <w:tcW w:w="1703" w:type="dxa"/>
          </w:tcPr>
          <w:p>
            <w:pPr>
              <w:pStyle w:val="TableParagraph"/>
              <w:spacing w:line="278" w:lineRule="auto" w:before="64"/>
              <w:ind w:left="302" w:right="275" w:firstLine="127"/>
              <w:rPr>
                <w:sz w:val="38"/>
              </w:rPr>
            </w:pPr>
            <w:r>
              <w:rPr>
                <w:sz w:val="38"/>
              </w:rPr>
              <w:t>pelle- tierines</w:t>
            </w:r>
          </w:p>
        </w:tc>
        <w:tc>
          <w:tcPr>
            <w:tcW w:w="1417" w:type="dxa"/>
          </w:tcPr>
          <w:p>
            <w:pPr>
              <w:pStyle w:val="TableParagraph"/>
              <w:rPr>
                <w:rFonts w:ascii="Times New Roman"/>
                <w:sz w:val="36"/>
              </w:rPr>
            </w:pPr>
          </w:p>
        </w:tc>
        <w:tc>
          <w:tcPr>
            <w:tcW w:w="1699" w:type="dxa"/>
            <w:tcBorders>
              <w:right w:val="single" w:sz="12" w:space="0" w:color="666666"/>
            </w:tcBorders>
          </w:tcPr>
          <w:p>
            <w:pPr>
              <w:pStyle w:val="TableParagraph"/>
              <w:rPr>
                <w:rFonts w:ascii="Times New Roman"/>
                <w:sz w:val="36"/>
              </w:rPr>
            </w:pPr>
          </w:p>
        </w:tc>
      </w:tr>
      <w:tr>
        <w:trPr>
          <w:trHeight w:val="526" w:hRule="atLeast"/>
        </w:trPr>
        <w:tc>
          <w:tcPr>
            <w:tcW w:w="1504" w:type="dxa"/>
            <w:tcBorders>
              <w:left w:val="single" w:sz="12" w:space="0" w:color="CCCCCC"/>
              <w:bottom w:val="nil"/>
            </w:tcBorders>
          </w:tcPr>
          <w:p>
            <w:pPr>
              <w:pStyle w:val="TableParagraph"/>
              <w:spacing w:before="67"/>
              <w:ind w:left="121" w:right="112"/>
              <w:jc w:val="center"/>
              <w:rPr>
                <w:b/>
                <w:sz w:val="38"/>
              </w:rPr>
            </w:pPr>
            <w:r>
              <w:rPr>
                <w:b/>
                <w:sz w:val="38"/>
              </w:rPr>
              <w:t>Seeds</w:t>
            </w:r>
          </w:p>
        </w:tc>
        <w:tc>
          <w:tcPr>
            <w:tcW w:w="1703" w:type="dxa"/>
            <w:tcBorders>
              <w:bottom w:val="nil"/>
            </w:tcBorders>
          </w:tcPr>
          <w:p>
            <w:pPr>
              <w:pStyle w:val="TableParagraph"/>
              <w:spacing w:before="65"/>
              <w:ind w:left="335"/>
              <w:rPr>
                <w:sz w:val="38"/>
              </w:rPr>
            </w:pPr>
            <w:r>
              <w:rPr>
                <w:sz w:val="38"/>
              </w:rPr>
              <w:t>Ellagic</w:t>
            </w:r>
          </w:p>
        </w:tc>
        <w:tc>
          <w:tcPr>
            <w:tcW w:w="1417" w:type="dxa"/>
            <w:tcBorders>
              <w:bottom w:val="nil"/>
            </w:tcBorders>
          </w:tcPr>
          <w:p>
            <w:pPr>
              <w:pStyle w:val="TableParagraph"/>
              <w:spacing w:before="65"/>
              <w:ind w:left="55" w:right="51"/>
              <w:jc w:val="center"/>
              <w:rPr>
                <w:sz w:val="38"/>
              </w:rPr>
            </w:pPr>
            <w:r>
              <w:rPr>
                <w:sz w:val="38"/>
              </w:rPr>
              <w:t>Contra-</w:t>
            </w:r>
          </w:p>
        </w:tc>
        <w:tc>
          <w:tcPr>
            <w:tcW w:w="1699" w:type="dxa"/>
            <w:tcBorders>
              <w:bottom w:val="nil"/>
              <w:right w:val="single" w:sz="12" w:space="0" w:color="666666"/>
            </w:tcBorders>
          </w:tcPr>
          <w:p>
            <w:pPr>
              <w:pStyle w:val="TableParagraph"/>
              <w:spacing w:before="65"/>
              <w:ind w:right="259"/>
              <w:jc w:val="right"/>
              <w:rPr>
                <w:sz w:val="38"/>
              </w:rPr>
            </w:pPr>
            <w:r>
              <w:rPr>
                <w:sz w:val="38"/>
              </w:rPr>
              <w:t>Oestro-</w:t>
            </w:r>
          </w:p>
        </w:tc>
      </w:tr>
      <w:tr>
        <w:trPr>
          <w:trHeight w:val="491" w:hRule="atLeast"/>
        </w:trPr>
        <w:tc>
          <w:tcPr>
            <w:tcW w:w="1504" w:type="dxa"/>
            <w:tcBorders>
              <w:top w:val="nil"/>
              <w:left w:val="single" w:sz="12" w:space="0" w:color="CCCCCC"/>
              <w:bottom w:val="nil"/>
            </w:tcBorders>
          </w:tcPr>
          <w:p>
            <w:pPr>
              <w:pStyle w:val="TableParagraph"/>
              <w:rPr>
                <w:rFonts w:ascii="Times New Roman"/>
                <w:sz w:val="36"/>
              </w:rPr>
            </w:pPr>
          </w:p>
        </w:tc>
        <w:tc>
          <w:tcPr>
            <w:tcW w:w="1703" w:type="dxa"/>
            <w:tcBorders>
              <w:top w:val="nil"/>
              <w:bottom w:val="nil"/>
            </w:tcBorders>
          </w:tcPr>
          <w:p>
            <w:pPr>
              <w:pStyle w:val="TableParagraph"/>
              <w:spacing w:before="31"/>
              <w:ind w:left="496"/>
              <w:rPr>
                <w:sz w:val="38"/>
              </w:rPr>
            </w:pPr>
            <w:r>
              <w:rPr>
                <w:sz w:val="38"/>
              </w:rPr>
              <w:t>acid,</w:t>
            </w:r>
          </w:p>
        </w:tc>
        <w:tc>
          <w:tcPr>
            <w:tcW w:w="1417" w:type="dxa"/>
            <w:tcBorders>
              <w:top w:val="nil"/>
              <w:bottom w:val="nil"/>
            </w:tcBorders>
          </w:tcPr>
          <w:p>
            <w:pPr>
              <w:pStyle w:val="TableParagraph"/>
              <w:spacing w:before="31"/>
              <w:ind w:left="55" w:right="53"/>
              <w:jc w:val="center"/>
              <w:rPr>
                <w:sz w:val="38"/>
              </w:rPr>
            </w:pPr>
            <w:r>
              <w:rPr>
                <w:sz w:val="38"/>
              </w:rPr>
              <w:t>ception,</w:t>
            </w:r>
          </w:p>
        </w:tc>
        <w:tc>
          <w:tcPr>
            <w:tcW w:w="1699" w:type="dxa"/>
            <w:tcBorders>
              <w:top w:val="nil"/>
              <w:bottom w:val="nil"/>
              <w:right w:val="single" w:sz="12" w:space="0" w:color="666666"/>
            </w:tcBorders>
          </w:tcPr>
          <w:p>
            <w:pPr>
              <w:pStyle w:val="TableParagraph"/>
              <w:spacing w:before="31"/>
              <w:ind w:left="67" w:right="68"/>
              <w:jc w:val="center"/>
              <w:rPr>
                <w:sz w:val="38"/>
              </w:rPr>
            </w:pPr>
            <w:r>
              <w:rPr>
                <w:sz w:val="38"/>
              </w:rPr>
              <w:t>gen</w:t>
            </w:r>
          </w:p>
        </w:tc>
      </w:tr>
      <w:tr>
        <w:trPr>
          <w:trHeight w:val="491" w:hRule="atLeast"/>
        </w:trPr>
        <w:tc>
          <w:tcPr>
            <w:tcW w:w="1504" w:type="dxa"/>
            <w:tcBorders>
              <w:top w:val="nil"/>
              <w:left w:val="single" w:sz="12" w:space="0" w:color="CCCCCC"/>
              <w:bottom w:val="nil"/>
            </w:tcBorders>
          </w:tcPr>
          <w:p>
            <w:pPr>
              <w:pStyle w:val="TableParagraph"/>
              <w:rPr>
                <w:rFonts w:ascii="Times New Roman"/>
                <w:sz w:val="36"/>
              </w:rPr>
            </w:pPr>
          </w:p>
        </w:tc>
        <w:tc>
          <w:tcPr>
            <w:tcW w:w="1703" w:type="dxa"/>
            <w:tcBorders>
              <w:top w:val="nil"/>
              <w:bottom w:val="nil"/>
            </w:tcBorders>
          </w:tcPr>
          <w:p>
            <w:pPr>
              <w:pStyle w:val="TableParagraph"/>
              <w:spacing w:before="32"/>
              <w:ind w:left="299"/>
              <w:rPr>
                <w:sz w:val="38"/>
              </w:rPr>
            </w:pPr>
            <w:r>
              <w:rPr>
                <w:sz w:val="38"/>
              </w:rPr>
              <w:t>punicic</w:t>
            </w:r>
          </w:p>
        </w:tc>
        <w:tc>
          <w:tcPr>
            <w:tcW w:w="1417" w:type="dxa"/>
            <w:tcBorders>
              <w:top w:val="nil"/>
              <w:bottom w:val="nil"/>
            </w:tcBorders>
          </w:tcPr>
          <w:p>
            <w:pPr>
              <w:pStyle w:val="TableParagraph"/>
              <w:spacing w:before="32"/>
              <w:ind w:left="55" w:right="50"/>
              <w:jc w:val="center"/>
              <w:rPr>
                <w:sz w:val="38"/>
              </w:rPr>
            </w:pPr>
            <w:r>
              <w:rPr>
                <w:sz w:val="38"/>
              </w:rPr>
              <w:t>meno-</w:t>
            </w:r>
          </w:p>
        </w:tc>
        <w:tc>
          <w:tcPr>
            <w:tcW w:w="1699" w:type="dxa"/>
            <w:tcBorders>
              <w:top w:val="nil"/>
              <w:bottom w:val="nil"/>
              <w:right w:val="single" w:sz="12" w:space="0" w:color="666666"/>
            </w:tcBorders>
          </w:tcPr>
          <w:p>
            <w:pPr>
              <w:pStyle w:val="TableParagraph"/>
              <w:spacing w:before="32"/>
              <w:ind w:left="497"/>
              <w:rPr>
                <w:sz w:val="38"/>
              </w:rPr>
            </w:pPr>
            <w:r>
              <w:rPr>
                <w:sz w:val="38"/>
              </w:rPr>
              <w:t>anti-</w:t>
            </w:r>
          </w:p>
        </w:tc>
      </w:tr>
      <w:tr>
        <w:trPr>
          <w:trHeight w:val="490" w:hRule="atLeast"/>
        </w:trPr>
        <w:tc>
          <w:tcPr>
            <w:tcW w:w="1504" w:type="dxa"/>
            <w:tcBorders>
              <w:top w:val="nil"/>
              <w:left w:val="single" w:sz="12" w:space="0" w:color="CCCCCC"/>
              <w:bottom w:val="nil"/>
            </w:tcBorders>
          </w:tcPr>
          <w:p>
            <w:pPr>
              <w:pStyle w:val="TableParagraph"/>
              <w:rPr>
                <w:rFonts w:ascii="Times New Roman"/>
                <w:sz w:val="36"/>
              </w:rPr>
            </w:pPr>
          </w:p>
        </w:tc>
        <w:tc>
          <w:tcPr>
            <w:tcW w:w="1703" w:type="dxa"/>
            <w:tcBorders>
              <w:top w:val="nil"/>
              <w:bottom w:val="nil"/>
            </w:tcBorders>
          </w:tcPr>
          <w:p>
            <w:pPr>
              <w:pStyle w:val="TableParagraph"/>
              <w:spacing w:before="31"/>
              <w:ind w:left="537"/>
              <w:rPr>
                <w:sz w:val="38"/>
              </w:rPr>
            </w:pPr>
            <w:r>
              <w:rPr>
                <w:sz w:val="38"/>
              </w:rPr>
              <w:t>acid</w:t>
            </w:r>
          </w:p>
        </w:tc>
        <w:tc>
          <w:tcPr>
            <w:tcW w:w="1417" w:type="dxa"/>
            <w:tcBorders>
              <w:top w:val="nil"/>
              <w:bottom w:val="nil"/>
            </w:tcBorders>
          </w:tcPr>
          <w:p>
            <w:pPr>
              <w:pStyle w:val="TableParagraph"/>
              <w:spacing w:before="31"/>
              <w:ind w:left="55" w:right="52"/>
              <w:jc w:val="center"/>
              <w:rPr>
                <w:sz w:val="38"/>
              </w:rPr>
            </w:pPr>
            <w:r>
              <w:rPr>
                <w:sz w:val="38"/>
              </w:rPr>
              <w:t>pause,</w:t>
            </w:r>
          </w:p>
        </w:tc>
        <w:tc>
          <w:tcPr>
            <w:tcW w:w="1699" w:type="dxa"/>
            <w:tcBorders>
              <w:top w:val="nil"/>
              <w:bottom w:val="nil"/>
              <w:right w:val="single" w:sz="12" w:space="0" w:color="666666"/>
            </w:tcBorders>
          </w:tcPr>
          <w:p>
            <w:pPr>
              <w:pStyle w:val="TableParagraph"/>
              <w:spacing w:before="31"/>
              <w:ind w:left="310"/>
              <w:rPr>
                <w:sz w:val="38"/>
              </w:rPr>
            </w:pPr>
            <w:r>
              <w:rPr>
                <w:sz w:val="38"/>
              </w:rPr>
              <w:t>oestro-</w:t>
            </w:r>
          </w:p>
        </w:tc>
      </w:tr>
      <w:tr>
        <w:trPr>
          <w:trHeight w:val="493" w:hRule="atLeast"/>
        </w:trPr>
        <w:tc>
          <w:tcPr>
            <w:tcW w:w="1504" w:type="dxa"/>
            <w:tcBorders>
              <w:top w:val="nil"/>
              <w:left w:val="single" w:sz="12" w:space="0" w:color="CCCCCC"/>
              <w:bottom w:val="nil"/>
            </w:tcBorders>
          </w:tcPr>
          <w:p>
            <w:pPr>
              <w:pStyle w:val="TableParagraph"/>
              <w:rPr>
                <w:rFonts w:ascii="Times New Roman"/>
                <w:sz w:val="36"/>
              </w:rPr>
            </w:pPr>
          </w:p>
        </w:tc>
        <w:tc>
          <w:tcPr>
            <w:tcW w:w="1703" w:type="dxa"/>
            <w:tcBorders>
              <w:top w:val="nil"/>
              <w:bottom w:val="nil"/>
            </w:tcBorders>
          </w:tcPr>
          <w:p>
            <w:pPr>
              <w:pStyle w:val="TableParagraph"/>
              <w:spacing w:before="32"/>
              <w:ind w:left="268"/>
              <w:rPr>
                <w:sz w:val="38"/>
              </w:rPr>
            </w:pPr>
            <w:r>
              <w:rPr>
                <w:sz w:val="38"/>
              </w:rPr>
              <w:t>Uncon-</w:t>
            </w:r>
          </w:p>
        </w:tc>
        <w:tc>
          <w:tcPr>
            <w:tcW w:w="1417" w:type="dxa"/>
            <w:tcBorders>
              <w:top w:val="nil"/>
              <w:bottom w:val="nil"/>
            </w:tcBorders>
          </w:tcPr>
          <w:p>
            <w:pPr>
              <w:pStyle w:val="TableParagraph"/>
              <w:spacing w:before="32"/>
              <w:ind w:left="55" w:right="49"/>
              <w:jc w:val="center"/>
              <w:rPr>
                <w:sz w:val="38"/>
              </w:rPr>
            </w:pPr>
            <w:r>
              <w:rPr>
                <w:sz w:val="38"/>
              </w:rPr>
              <w:t>pre-</w:t>
            </w:r>
          </w:p>
        </w:tc>
        <w:tc>
          <w:tcPr>
            <w:tcW w:w="1699" w:type="dxa"/>
            <w:tcBorders>
              <w:top w:val="nil"/>
              <w:bottom w:val="nil"/>
              <w:right w:val="single" w:sz="12" w:space="0" w:color="666666"/>
            </w:tcBorders>
          </w:tcPr>
          <w:p>
            <w:pPr>
              <w:pStyle w:val="TableParagraph"/>
              <w:spacing w:before="34"/>
              <w:ind w:left="446"/>
              <w:rPr>
                <w:sz w:val="38"/>
              </w:rPr>
            </w:pPr>
            <w:r>
              <w:rPr>
                <w:sz w:val="38"/>
              </w:rPr>
              <w:t>genic</w:t>
            </w:r>
          </w:p>
        </w:tc>
      </w:tr>
      <w:tr>
        <w:trPr>
          <w:trHeight w:val="490" w:hRule="atLeast"/>
        </w:trPr>
        <w:tc>
          <w:tcPr>
            <w:tcW w:w="1504" w:type="dxa"/>
            <w:tcBorders>
              <w:top w:val="nil"/>
              <w:left w:val="single" w:sz="12" w:space="0" w:color="CCCCCC"/>
              <w:bottom w:val="nil"/>
            </w:tcBorders>
          </w:tcPr>
          <w:p>
            <w:pPr>
              <w:pStyle w:val="TableParagraph"/>
              <w:rPr>
                <w:rFonts w:ascii="Times New Roman"/>
                <w:sz w:val="36"/>
              </w:rPr>
            </w:pPr>
          </w:p>
        </w:tc>
        <w:tc>
          <w:tcPr>
            <w:tcW w:w="1703" w:type="dxa"/>
            <w:tcBorders>
              <w:top w:val="nil"/>
              <w:bottom w:val="nil"/>
            </w:tcBorders>
          </w:tcPr>
          <w:p>
            <w:pPr>
              <w:pStyle w:val="TableParagraph"/>
              <w:spacing w:before="31"/>
              <w:ind w:left="302"/>
              <w:rPr>
                <w:sz w:val="38"/>
              </w:rPr>
            </w:pPr>
            <w:r>
              <w:rPr>
                <w:sz w:val="38"/>
              </w:rPr>
              <w:t>firmed:</w:t>
            </w:r>
          </w:p>
        </w:tc>
        <w:tc>
          <w:tcPr>
            <w:tcW w:w="1417" w:type="dxa"/>
            <w:tcBorders>
              <w:top w:val="nil"/>
              <w:bottom w:val="nil"/>
            </w:tcBorders>
          </w:tcPr>
          <w:p>
            <w:pPr>
              <w:pStyle w:val="TableParagraph"/>
              <w:spacing w:before="31"/>
              <w:ind w:left="55" w:right="51"/>
              <w:jc w:val="center"/>
              <w:rPr>
                <w:sz w:val="38"/>
              </w:rPr>
            </w:pPr>
            <w:r>
              <w:rPr>
                <w:sz w:val="38"/>
              </w:rPr>
              <w:t>vents</w:t>
            </w:r>
          </w:p>
        </w:tc>
        <w:tc>
          <w:tcPr>
            <w:tcW w:w="1699" w:type="dxa"/>
            <w:tcBorders>
              <w:top w:val="nil"/>
              <w:bottom w:val="nil"/>
              <w:right w:val="single" w:sz="12" w:space="0" w:color="666666"/>
            </w:tcBorders>
          </w:tcPr>
          <w:p>
            <w:pPr>
              <w:pStyle w:val="TableParagraph"/>
              <w:rPr>
                <w:rFonts w:ascii="Times New Roman"/>
                <w:sz w:val="36"/>
              </w:rPr>
            </w:pPr>
          </w:p>
        </w:tc>
      </w:tr>
      <w:tr>
        <w:trPr>
          <w:trHeight w:val="491" w:hRule="atLeast"/>
        </w:trPr>
        <w:tc>
          <w:tcPr>
            <w:tcW w:w="1504" w:type="dxa"/>
            <w:tcBorders>
              <w:top w:val="nil"/>
              <w:left w:val="single" w:sz="12" w:space="0" w:color="CCCCCC"/>
              <w:bottom w:val="nil"/>
            </w:tcBorders>
          </w:tcPr>
          <w:p>
            <w:pPr>
              <w:pStyle w:val="TableParagraph"/>
              <w:rPr>
                <w:rFonts w:ascii="Times New Roman"/>
                <w:sz w:val="36"/>
              </w:rPr>
            </w:pPr>
          </w:p>
        </w:tc>
        <w:tc>
          <w:tcPr>
            <w:tcW w:w="1703" w:type="dxa"/>
            <w:tcBorders>
              <w:top w:val="nil"/>
              <w:bottom w:val="nil"/>
            </w:tcBorders>
          </w:tcPr>
          <w:p>
            <w:pPr>
              <w:pStyle w:val="TableParagraph"/>
              <w:spacing w:before="32"/>
              <w:ind w:right="160"/>
              <w:jc w:val="right"/>
              <w:rPr>
                <w:sz w:val="38"/>
              </w:rPr>
            </w:pPr>
            <w:r>
              <w:rPr>
                <w:sz w:val="38"/>
              </w:rPr>
              <w:t>estradiol,</w:t>
            </w:r>
          </w:p>
        </w:tc>
        <w:tc>
          <w:tcPr>
            <w:tcW w:w="1417" w:type="dxa"/>
            <w:tcBorders>
              <w:top w:val="nil"/>
              <w:bottom w:val="nil"/>
            </w:tcBorders>
          </w:tcPr>
          <w:p>
            <w:pPr>
              <w:pStyle w:val="TableParagraph"/>
              <w:spacing w:before="32"/>
              <w:ind w:left="55" w:right="53"/>
              <w:jc w:val="center"/>
              <w:rPr>
                <w:sz w:val="38"/>
              </w:rPr>
            </w:pPr>
            <w:r>
              <w:rPr>
                <w:sz w:val="38"/>
              </w:rPr>
              <w:t>abor-</w:t>
            </w:r>
          </w:p>
        </w:tc>
        <w:tc>
          <w:tcPr>
            <w:tcW w:w="1699" w:type="dxa"/>
            <w:tcBorders>
              <w:top w:val="nil"/>
              <w:bottom w:val="nil"/>
              <w:right w:val="single" w:sz="12" w:space="0" w:color="666666"/>
            </w:tcBorders>
          </w:tcPr>
          <w:p>
            <w:pPr>
              <w:pStyle w:val="TableParagraph"/>
              <w:rPr>
                <w:rFonts w:ascii="Times New Roman"/>
                <w:sz w:val="36"/>
              </w:rPr>
            </w:pPr>
          </w:p>
        </w:tc>
      </w:tr>
      <w:tr>
        <w:trPr>
          <w:trHeight w:val="491" w:hRule="atLeast"/>
        </w:trPr>
        <w:tc>
          <w:tcPr>
            <w:tcW w:w="1504" w:type="dxa"/>
            <w:tcBorders>
              <w:top w:val="nil"/>
              <w:left w:val="single" w:sz="12" w:space="0" w:color="CCCCCC"/>
              <w:bottom w:val="nil"/>
            </w:tcBorders>
          </w:tcPr>
          <w:p>
            <w:pPr>
              <w:pStyle w:val="TableParagraph"/>
              <w:rPr>
                <w:rFonts w:ascii="Times New Roman"/>
                <w:sz w:val="36"/>
              </w:rPr>
            </w:pPr>
          </w:p>
        </w:tc>
        <w:tc>
          <w:tcPr>
            <w:tcW w:w="1703" w:type="dxa"/>
            <w:tcBorders>
              <w:top w:val="nil"/>
              <w:bottom w:val="nil"/>
            </w:tcBorders>
          </w:tcPr>
          <w:p>
            <w:pPr>
              <w:pStyle w:val="TableParagraph"/>
              <w:spacing w:before="32"/>
              <w:ind w:left="347"/>
              <w:rPr>
                <w:sz w:val="38"/>
              </w:rPr>
            </w:pPr>
            <w:r>
              <w:rPr>
                <w:sz w:val="38"/>
              </w:rPr>
              <w:t>testos-</w:t>
            </w:r>
          </w:p>
        </w:tc>
        <w:tc>
          <w:tcPr>
            <w:tcW w:w="1417" w:type="dxa"/>
            <w:tcBorders>
              <w:top w:val="nil"/>
              <w:bottom w:val="nil"/>
            </w:tcBorders>
          </w:tcPr>
          <w:p>
            <w:pPr>
              <w:pStyle w:val="TableParagraph"/>
              <w:spacing w:before="32"/>
              <w:ind w:left="55" w:right="53"/>
              <w:jc w:val="center"/>
              <w:rPr>
                <w:sz w:val="38"/>
              </w:rPr>
            </w:pPr>
            <w:r>
              <w:rPr>
                <w:sz w:val="38"/>
              </w:rPr>
              <w:t>tion of</w:t>
            </w:r>
          </w:p>
        </w:tc>
        <w:tc>
          <w:tcPr>
            <w:tcW w:w="1699" w:type="dxa"/>
            <w:tcBorders>
              <w:top w:val="nil"/>
              <w:bottom w:val="nil"/>
              <w:right w:val="single" w:sz="12" w:space="0" w:color="666666"/>
            </w:tcBorders>
          </w:tcPr>
          <w:p>
            <w:pPr>
              <w:pStyle w:val="TableParagraph"/>
              <w:rPr>
                <w:rFonts w:ascii="Times New Roman"/>
                <w:sz w:val="36"/>
              </w:rPr>
            </w:pPr>
          </w:p>
        </w:tc>
      </w:tr>
      <w:tr>
        <w:trPr>
          <w:trHeight w:val="493" w:hRule="atLeast"/>
        </w:trPr>
        <w:tc>
          <w:tcPr>
            <w:tcW w:w="1504" w:type="dxa"/>
            <w:tcBorders>
              <w:top w:val="nil"/>
              <w:left w:val="single" w:sz="12" w:space="0" w:color="CCCCCC"/>
              <w:bottom w:val="nil"/>
            </w:tcBorders>
          </w:tcPr>
          <w:p>
            <w:pPr>
              <w:pStyle w:val="TableParagraph"/>
              <w:rPr>
                <w:rFonts w:ascii="Times New Roman"/>
                <w:sz w:val="36"/>
              </w:rPr>
            </w:pPr>
          </w:p>
        </w:tc>
        <w:tc>
          <w:tcPr>
            <w:tcW w:w="1703" w:type="dxa"/>
            <w:tcBorders>
              <w:top w:val="nil"/>
              <w:bottom w:val="nil"/>
            </w:tcBorders>
          </w:tcPr>
          <w:p>
            <w:pPr>
              <w:pStyle w:val="TableParagraph"/>
              <w:spacing w:before="32"/>
              <w:ind w:left="319"/>
              <w:rPr>
                <w:sz w:val="38"/>
              </w:rPr>
            </w:pPr>
            <w:r>
              <w:rPr>
                <w:sz w:val="38"/>
              </w:rPr>
              <w:t>terone,</w:t>
            </w:r>
          </w:p>
        </w:tc>
        <w:tc>
          <w:tcPr>
            <w:tcW w:w="1417" w:type="dxa"/>
            <w:tcBorders>
              <w:top w:val="nil"/>
              <w:bottom w:val="nil"/>
            </w:tcBorders>
          </w:tcPr>
          <w:p>
            <w:pPr>
              <w:pStyle w:val="TableParagraph"/>
              <w:spacing w:before="32"/>
              <w:ind w:left="55" w:right="51"/>
              <w:jc w:val="center"/>
              <w:rPr>
                <w:sz w:val="38"/>
              </w:rPr>
            </w:pPr>
            <w:r>
              <w:rPr>
                <w:sz w:val="38"/>
              </w:rPr>
              <w:t>the em-</w:t>
            </w:r>
          </w:p>
        </w:tc>
        <w:tc>
          <w:tcPr>
            <w:tcW w:w="1699" w:type="dxa"/>
            <w:tcBorders>
              <w:top w:val="nil"/>
              <w:bottom w:val="nil"/>
              <w:right w:val="single" w:sz="12" w:space="0" w:color="666666"/>
            </w:tcBorders>
          </w:tcPr>
          <w:p>
            <w:pPr>
              <w:pStyle w:val="TableParagraph"/>
              <w:rPr>
                <w:rFonts w:ascii="Times New Roman"/>
                <w:sz w:val="36"/>
              </w:rPr>
            </w:pPr>
          </w:p>
        </w:tc>
      </w:tr>
      <w:tr>
        <w:trPr>
          <w:trHeight w:val="792" w:hRule="atLeast"/>
        </w:trPr>
        <w:tc>
          <w:tcPr>
            <w:tcW w:w="1504" w:type="dxa"/>
            <w:tcBorders>
              <w:top w:val="nil"/>
              <w:left w:val="single" w:sz="12" w:space="0" w:color="CCCCCC"/>
            </w:tcBorders>
          </w:tcPr>
          <w:p>
            <w:pPr>
              <w:pStyle w:val="TableParagraph"/>
              <w:rPr>
                <w:rFonts w:ascii="Times New Roman"/>
                <w:sz w:val="36"/>
              </w:rPr>
            </w:pPr>
          </w:p>
        </w:tc>
        <w:tc>
          <w:tcPr>
            <w:tcW w:w="1703" w:type="dxa"/>
            <w:tcBorders>
              <w:top w:val="nil"/>
            </w:tcBorders>
          </w:tcPr>
          <w:p>
            <w:pPr>
              <w:pStyle w:val="TableParagraph"/>
              <w:spacing w:before="33"/>
              <w:ind w:left="381"/>
              <w:rPr>
                <w:sz w:val="38"/>
              </w:rPr>
            </w:pPr>
            <w:r>
              <w:rPr>
                <w:sz w:val="38"/>
              </w:rPr>
              <w:t>estriol</w:t>
            </w:r>
          </w:p>
        </w:tc>
        <w:tc>
          <w:tcPr>
            <w:tcW w:w="1417" w:type="dxa"/>
            <w:tcBorders>
              <w:top w:val="nil"/>
            </w:tcBorders>
          </w:tcPr>
          <w:p>
            <w:pPr>
              <w:pStyle w:val="TableParagraph"/>
              <w:spacing w:before="33"/>
              <w:ind w:left="55" w:right="51"/>
              <w:jc w:val="center"/>
              <w:rPr>
                <w:sz w:val="38"/>
              </w:rPr>
            </w:pPr>
            <w:r>
              <w:rPr>
                <w:sz w:val="38"/>
              </w:rPr>
              <w:t>bryo</w:t>
            </w:r>
          </w:p>
        </w:tc>
        <w:tc>
          <w:tcPr>
            <w:tcW w:w="1699" w:type="dxa"/>
            <w:tcBorders>
              <w:top w:val="nil"/>
              <w:right w:val="single" w:sz="12" w:space="0" w:color="666666"/>
            </w:tcBorders>
          </w:tcPr>
          <w:p>
            <w:pPr>
              <w:pStyle w:val="TableParagraph"/>
              <w:rPr>
                <w:rFonts w:ascii="Times New Roman"/>
                <w:sz w:val="36"/>
              </w:rPr>
            </w:pPr>
          </w:p>
        </w:tc>
      </w:tr>
      <w:tr>
        <w:trPr>
          <w:trHeight w:val="525" w:hRule="atLeast"/>
        </w:trPr>
        <w:tc>
          <w:tcPr>
            <w:tcW w:w="1504" w:type="dxa"/>
            <w:tcBorders>
              <w:left w:val="single" w:sz="12" w:space="0" w:color="CCCCCC"/>
              <w:bottom w:val="nil"/>
            </w:tcBorders>
          </w:tcPr>
          <w:p>
            <w:pPr>
              <w:pStyle w:val="TableParagraph"/>
              <w:spacing w:before="65"/>
              <w:ind w:left="119" w:right="112"/>
              <w:jc w:val="center"/>
              <w:rPr>
                <w:b/>
                <w:sz w:val="38"/>
              </w:rPr>
            </w:pPr>
            <w:r>
              <w:rPr>
                <w:b/>
                <w:sz w:val="38"/>
              </w:rPr>
              <w:t>Blos-</w:t>
            </w:r>
          </w:p>
        </w:tc>
        <w:tc>
          <w:tcPr>
            <w:tcW w:w="1703" w:type="dxa"/>
            <w:tcBorders>
              <w:bottom w:val="nil"/>
            </w:tcBorders>
          </w:tcPr>
          <w:p>
            <w:pPr>
              <w:pStyle w:val="TableParagraph"/>
              <w:spacing w:before="65"/>
              <w:ind w:left="335"/>
              <w:rPr>
                <w:sz w:val="38"/>
              </w:rPr>
            </w:pPr>
            <w:r>
              <w:rPr>
                <w:sz w:val="38"/>
              </w:rPr>
              <w:t>Asiatic</w:t>
            </w:r>
          </w:p>
        </w:tc>
        <w:tc>
          <w:tcPr>
            <w:tcW w:w="1417" w:type="dxa"/>
            <w:tcBorders>
              <w:bottom w:val="nil"/>
            </w:tcBorders>
          </w:tcPr>
          <w:p>
            <w:pPr>
              <w:pStyle w:val="TableParagraph"/>
              <w:spacing w:before="65"/>
              <w:ind w:left="55" w:right="52"/>
              <w:jc w:val="center"/>
              <w:rPr>
                <w:sz w:val="38"/>
              </w:rPr>
            </w:pPr>
            <w:r>
              <w:rPr>
                <w:sz w:val="38"/>
              </w:rPr>
              <w:t>Diabe-</w:t>
            </w:r>
          </w:p>
        </w:tc>
        <w:tc>
          <w:tcPr>
            <w:tcW w:w="1699" w:type="dxa"/>
            <w:tcBorders>
              <w:bottom w:val="nil"/>
              <w:right w:val="single" w:sz="12" w:space="0" w:color="666666"/>
            </w:tcBorders>
          </w:tcPr>
          <w:p>
            <w:pPr>
              <w:pStyle w:val="TableParagraph"/>
              <w:spacing w:before="65"/>
              <w:ind w:left="281"/>
              <w:rPr>
                <w:sz w:val="38"/>
              </w:rPr>
            </w:pPr>
            <w:r>
              <w:rPr>
                <w:sz w:val="38"/>
              </w:rPr>
              <w:t>antidia-</w:t>
            </w:r>
          </w:p>
        </w:tc>
      </w:tr>
      <w:tr>
        <w:trPr>
          <w:trHeight w:val="491" w:hRule="atLeast"/>
        </w:trPr>
        <w:tc>
          <w:tcPr>
            <w:tcW w:w="1504" w:type="dxa"/>
            <w:tcBorders>
              <w:top w:val="nil"/>
              <w:left w:val="single" w:sz="12" w:space="0" w:color="CCCCCC"/>
              <w:bottom w:val="nil"/>
            </w:tcBorders>
          </w:tcPr>
          <w:p>
            <w:pPr>
              <w:pStyle w:val="TableParagraph"/>
              <w:spacing w:before="34"/>
              <w:ind w:left="119" w:right="112"/>
              <w:jc w:val="center"/>
              <w:rPr>
                <w:b/>
                <w:sz w:val="38"/>
              </w:rPr>
            </w:pPr>
            <w:r>
              <w:rPr>
                <w:b/>
                <w:sz w:val="38"/>
              </w:rPr>
              <w:t>soms</w:t>
            </w:r>
          </w:p>
        </w:tc>
        <w:tc>
          <w:tcPr>
            <w:tcW w:w="1703" w:type="dxa"/>
            <w:tcBorders>
              <w:top w:val="nil"/>
              <w:bottom w:val="nil"/>
            </w:tcBorders>
          </w:tcPr>
          <w:p>
            <w:pPr>
              <w:pStyle w:val="TableParagraph"/>
              <w:spacing w:before="32"/>
              <w:ind w:left="496"/>
              <w:rPr>
                <w:sz w:val="38"/>
              </w:rPr>
            </w:pPr>
            <w:r>
              <w:rPr>
                <w:sz w:val="38"/>
              </w:rPr>
              <w:t>acid,</w:t>
            </w:r>
          </w:p>
        </w:tc>
        <w:tc>
          <w:tcPr>
            <w:tcW w:w="1417" w:type="dxa"/>
            <w:tcBorders>
              <w:top w:val="nil"/>
              <w:bottom w:val="nil"/>
            </w:tcBorders>
          </w:tcPr>
          <w:p>
            <w:pPr>
              <w:pStyle w:val="TableParagraph"/>
              <w:spacing w:before="34"/>
              <w:ind w:left="55" w:right="53"/>
              <w:jc w:val="center"/>
              <w:rPr>
                <w:sz w:val="38"/>
              </w:rPr>
            </w:pPr>
            <w:r>
              <w:rPr>
                <w:sz w:val="38"/>
              </w:rPr>
              <w:t>tes</w:t>
            </w:r>
          </w:p>
        </w:tc>
        <w:tc>
          <w:tcPr>
            <w:tcW w:w="1699" w:type="dxa"/>
            <w:tcBorders>
              <w:top w:val="nil"/>
              <w:bottom w:val="nil"/>
              <w:right w:val="single" w:sz="12" w:space="0" w:color="666666"/>
            </w:tcBorders>
          </w:tcPr>
          <w:p>
            <w:pPr>
              <w:pStyle w:val="TableParagraph"/>
              <w:spacing w:before="32"/>
              <w:ind w:right="252"/>
              <w:jc w:val="right"/>
              <w:rPr>
                <w:sz w:val="38"/>
              </w:rPr>
            </w:pPr>
            <w:r>
              <w:rPr>
                <w:sz w:val="38"/>
              </w:rPr>
              <w:t>betic by</w:t>
            </w:r>
          </w:p>
        </w:tc>
      </w:tr>
      <w:tr>
        <w:trPr>
          <w:trHeight w:val="489" w:hRule="atLeast"/>
        </w:trPr>
        <w:tc>
          <w:tcPr>
            <w:tcW w:w="1504" w:type="dxa"/>
            <w:tcBorders>
              <w:top w:val="nil"/>
              <w:left w:val="single" w:sz="12" w:space="0" w:color="CCCCCC"/>
              <w:bottom w:val="nil"/>
            </w:tcBorders>
          </w:tcPr>
          <w:p>
            <w:pPr>
              <w:pStyle w:val="TableParagraph"/>
              <w:rPr>
                <w:rFonts w:ascii="Times New Roman"/>
                <w:sz w:val="36"/>
              </w:rPr>
            </w:pPr>
          </w:p>
        </w:tc>
        <w:tc>
          <w:tcPr>
            <w:tcW w:w="1703" w:type="dxa"/>
            <w:tcBorders>
              <w:top w:val="nil"/>
              <w:bottom w:val="nil"/>
            </w:tcBorders>
          </w:tcPr>
          <w:p>
            <w:pPr>
              <w:pStyle w:val="TableParagraph"/>
              <w:spacing w:before="29"/>
              <w:ind w:left="374"/>
              <w:rPr>
                <w:sz w:val="38"/>
              </w:rPr>
            </w:pPr>
            <w:r>
              <w:rPr>
                <w:sz w:val="38"/>
              </w:rPr>
              <w:t>maslic</w:t>
            </w:r>
          </w:p>
        </w:tc>
        <w:tc>
          <w:tcPr>
            <w:tcW w:w="1417" w:type="dxa"/>
            <w:tcBorders>
              <w:top w:val="nil"/>
              <w:bottom w:val="nil"/>
            </w:tcBorders>
          </w:tcPr>
          <w:p>
            <w:pPr>
              <w:pStyle w:val="TableParagraph"/>
              <w:rPr>
                <w:rFonts w:ascii="Times New Roman"/>
                <w:sz w:val="36"/>
              </w:rPr>
            </w:pPr>
          </w:p>
        </w:tc>
        <w:tc>
          <w:tcPr>
            <w:tcW w:w="1699" w:type="dxa"/>
            <w:tcBorders>
              <w:top w:val="nil"/>
              <w:bottom w:val="nil"/>
              <w:right w:val="single" w:sz="12" w:space="0" w:color="666666"/>
            </w:tcBorders>
          </w:tcPr>
          <w:p>
            <w:pPr>
              <w:pStyle w:val="TableParagraph"/>
              <w:spacing w:before="29"/>
              <w:ind w:left="343"/>
              <w:rPr>
                <w:sz w:val="38"/>
              </w:rPr>
            </w:pPr>
            <w:r>
              <w:rPr>
                <w:sz w:val="38"/>
              </w:rPr>
              <w:t>insulin</w:t>
            </w:r>
          </w:p>
        </w:tc>
      </w:tr>
      <w:tr>
        <w:trPr>
          <w:trHeight w:val="492" w:hRule="atLeast"/>
        </w:trPr>
        <w:tc>
          <w:tcPr>
            <w:tcW w:w="1504" w:type="dxa"/>
            <w:tcBorders>
              <w:top w:val="nil"/>
              <w:left w:val="single" w:sz="12" w:space="0" w:color="CCCCCC"/>
              <w:bottom w:val="nil"/>
            </w:tcBorders>
          </w:tcPr>
          <w:p>
            <w:pPr>
              <w:pStyle w:val="TableParagraph"/>
              <w:rPr>
                <w:rFonts w:ascii="Times New Roman"/>
                <w:sz w:val="36"/>
              </w:rPr>
            </w:pPr>
          </w:p>
        </w:tc>
        <w:tc>
          <w:tcPr>
            <w:tcW w:w="1703" w:type="dxa"/>
            <w:tcBorders>
              <w:top w:val="nil"/>
              <w:bottom w:val="nil"/>
            </w:tcBorders>
          </w:tcPr>
          <w:p>
            <w:pPr>
              <w:pStyle w:val="TableParagraph"/>
              <w:spacing w:before="32"/>
              <w:ind w:left="232"/>
              <w:rPr>
                <w:sz w:val="38"/>
              </w:rPr>
            </w:pPr>
            <w:r>
              <w:rPr>
                <w:sz w:val="38"/>
              </w:rPr>
              <w:t>acid, ur-</w:t>
            </w:r>
          </w:p>
        </w:tc>
        <w:tc>
          <w:tcPr>
            <w:tcW w:w="1417" w:type="dxa"/>
            <w:tcBorders>
              <w:top w:val="nil"/>
              <w:bottom w:val="nil"/>
            </w:tcBorders>
          </w:tcPr>
          <w:p>
            <w:pPr>
              <w:pStyle w:val="TableParagraph"/>
              <w:rPr>
                <w:rFonts w:ascii="Times New Roman"/>
                <w:sz w:val="36"/>
              </w:rPr>
            </w:pPr>
          </w:p>
        </w:tc>
        <w:tc>
          <w:tcPr>
            <w:tcW w:w="1699" w:type="dxa"/>
            <w:tcBorders>
              <w:top w:val="nil"/>
              <w:bottom w:val="nil"/>
              <w:right w:val="single" w:sz="12" w:space="0" w:color="666666"/>
            </w:tcBorders>
          </w:tcPr>
          <w:p>
            <w:pPr>
              <w:pStyle w:val="TableParagraph"/>
              <w:spacing w:before="32"/>
              <w:ind w:right="160"/>
              <w:jc w:val="right"/>
              <w:rPr>
                <w:sz w:val="38"/>
              </w:rPr>
            </w:pPr>
            <w:r>
              <w:rPr>
                <w:w w:val="95"/>
                <w:sz w:val="38"/>
              </w:rPr>
              <w:t>sensitiser</w:t>
            </w:r>
          </w:p>
        </w:tc>
      </w:tr>
      <w:tr>
        <w:trPr>
          <w:trHeight w:val="492" w:hRule="atLeast"/>
        </w:trPr>
        <w:tc>
          <w:tcPr>
            <w:tcW w:w="1504" w:type="dxa"/>
            <w:tcBorders>
              <w:top w:val="nil"/>
              <w:left w:val="single" w:sz="12" w:space="0" w:color="CCCCCC"/>
              <w:bottom w:val="nil"/>
            </w:tcBorders>
          </w:tcPr>
          <w:p>
            <w:pPr>
              <w:pStyle w:val="TableParagraph"/>
              <w:rPr>
                <w:rFonts w:ascii="Times New Roman"/>
                <w:sz w:val="36"/>
              </w:rPr>
            </w:pPr>
          </w:p>
        </w:tc>
        <w:tc>
          <w:tcPr>
            <w:tcW w:w="1703" w:type="dxa"/>
            <w:tcBorders>
              <w:top w:val="nil"/>
              <w:bottom w:val="nil"/>
            </w:tcBorders>
          </w:tcPr>
          <w:p>
            <w:pPr>
              <w:pStyle w:val="TableParagraph"/>
              <w:spacing w:before="32"/>
              <w:ind w:right="110"/>
              <w:jc w:val="right"/>
              <w:rPr>
                <w:sz w:val="38"/>
              </w:rPr>
            </w:pPr>
            <w:r>
              <w:rPr>
                <w:sz w:val="38"/>
              </w:rPr>
              <w:t>solic acid,</w:t>
            </w:r>
          </w:p>
        </w:tc>
        <w:tc>
          <w:tcPr>
            <w:tcW w:w="1417" w:type="dxa"/>
            <w:tcBorders>
              <w:top w:val="nil"/>
              <w:bottom w:val="nil"/>
            </w:tcBorders>
          </w:tcPr>
          <w:p>
            <w:pPr>
              <w:pStyle w:val="TableParagraph"/>
              <w:rPr>
                <w:rFonts w:ascii="Times New Roman"/>
                <w:sz w:val="36"/>
              </w:rPr>
            </w:pPr>
          </w:p>
        </w:tc>
        <w:tc>
          <w:tcPr>
            <w:tcW w:w="1699" w:type="dxa"/>
            <w:tcBorders>
              <w:top w:val="nil"/>
              <w:bottom w:val="nil"/>
              <w:right w:val="single" w:sz="12" w:space="0" w:color="666666"/>
            </w:tcBorders>
          </w:tcPr>
          <w:p>
            <w:pPr>
              <w:pStyle w:val="TableParagraph"/>
              <w:spacing w:before="32"/>
              <w:ind w:left="334"/>
              <w:rPr>
                <w:sz w:val="38"/>
              </w:rPr>
            </w:pPr>
            <w:r>
              <w:rPr>
                <w:sz w:val="38"/>
              </w:rPr>
              <w:t>and al-</w:t>
            </w:r>
          </w:p>
        </w:tc>
      </w:tr>
      <w:tr>
        <w:trPr>
          <w:trHeight w:val="492" w:hRule="atLeast"/>
        </w:trPr>
        <w:tc>
          <w:tcPr>
            <w:tcW w:w="1504" w:type="dxa"/>
            <w:tcBorders>
              <w:top w:val="nil"/>
              <w:left w:val="single" w:sz="12" w:space="0" w:color="CCCCCC"/>
              <w:bottom w:val="nil"/>
            </w:tcBorders>
          </w:tcPr>
          <w:p>
            <w:pPr>
              <w:pStyle w:val="TableParagraph"/>
              <w:rPr>
                <w:rFonts w:ascii="Times New Roman"/>
                <w:sz w:val="36"/>
              </w:rPr>
            </w:pPr>
          </w:p>
        </w:tc>
        <w:tc>
          <w:tcPr>
            <w:tcW w:w="1703" w:type="dxa"/>
            <w:tcBorders>
              <w:top w:val="nil"/>
              <w:bottom w:val="nil"/>
            </w:tcBorders>
          </w:tcPr>
          <w:p>
            <w:pPr>
              <w:pStyle w:val="TableParagraph"/>
              <w:spacing w:before="32"/>
              <w:ind w:left="381"/>
              <w:rPr>
                <w:sz w:val="38"/>
              </w:rPr>
            </w:pPr>
            <w:r>
              <w:rPr>
                <w:sz w:val="38"/>
              </w:rPr>
              <w:t>ellagic</w:t>
            </w:r>
          </w:p>
        </w:tc>
        <w:tc>
          <w:tcPr>
            <w:tcW w:w="1417" w:type="dxa"/>
            <w:tcBorders>
              <w:top w:val="nil"/>
              <w:bottom w:val="nil"/>
            </w:tcBorders>
          </w:tcPr>
          <w:p>
            <w:pPr>
              <w:pStyle w:val="TableParagraph"/>
              <w:rPr>
                <w:rFonts w:ascii="Times New Roman"/>
                <w:sz w:val="36"/>
              </w:rPr>
            </w:pPr>
          </w:p>
        </w:tc>
        <w:tc>
          <w:tcPr>
            <w:tcW w:w="1699" w:type="dxa"/>
            <w:tcBorders>
              <w:top w:val="nil"/>
              <w:bottom w:val="nil"/>
              <w:right w:val="single" w:sz="12" w:space="0" w:color="666666"/>
            </w:tcBorders>
          </w:tcPr>
          <w:p>
            <w:pPr>
              <w:pStyle w:val="TableParagraph"/>
              <w:spacing w:before="32"/>
              <w:ind w:right="218"/>
              <w:jc w:val="right"/>
              <w:rPr>
                <w:sz w:val="38"/>
              </w:rPr>
            </w:pPr>
            <w:r>
              <w:rPr>
                <w:sz w:val="38"/>
              </w:rPr>
              <w:t>pha-glu-</w:t>
            </w:r>
          </w:p>
        </w:tc>
      </w:tr>
      <w:tr>
        <w:trPr>
          <w:trHeight w:val="494" w:hRule="atLeast"/>
        </w:trPr>
        <w:tc>
          <w:tcPr>
            <w:tcW w:w="1504" w:type="dxa"/>
            <w:tcBorders>
              <w:top w:val="nil"/>
              <w:left w:val="single" w:sz="12" w:space="0" w:color="CCCCCC"/>
              <w:bottom w:val="nil"/>
            </w:tcBorders>
          </w:tcPr>
          <w:p>
            <w:pPr>
              <w:pStyle w:val="TableParagraph"/>
              <w:rPr>
                <w:rFonts w:ascii="Times New Roman"/>
                <w:sz w:val="36"/>
              </w:rPr>
            </w:pPr>
          </w:p>
        </w:tc>
        <w:tc>
          <w:tcPr>
            <w:tcW w:w="1703" w:type="dxa"/>
            <w:tcBorders>
              <w:top w:val="nil"/>
              <w:bottom w:val="nil"/>
            </w:tcBorders>
          </w:tcPr>
          <w:p>
            <w:pPr>
              <w:pStyle w:val="TableParagraph"/>
              <w:spacing w:before="34"/>
              <w:ind w:left="537"/>
              <w:rPr>
                <w:sz w:val="38"/>
              </w:rPr>
            </w:pPr>
            <w:r>
              <w:rPr>
                <w:sz w:val="38"/>
              </w:rPr>
              <w:t>acid</w:t>
            </w:r>
          </w:p>
        </w:tc>
        <w:tc>
          <w:tcPr>
            <w:tcW w:w="1417" w:type="dxa"/>
            <w:tcBorders>
              <w:top w:val="nil"/>
              <w:bottom w:val="nil"/>
            </w:tcBorders>
          </w:tcPr>
          <w:p>
            <w:pPr>
              <w:pStyle w:val="TableParagraph"/>
              <w:rPr>
                <w:rFonts w:ascii="Times New Roman"/>
                <w:sz w:val="36"/>
              </w:rPr>
            </w:pPr>
          </w:p>
        </w:tc>
        <w:tc>
          <w:tcPr>
            <w:tcW w:w="1699" w:type="dxa"/>
            <w:tcBorders>
              <w:top w:val="nil"/>
              <w:bottom w:val="nil"/>
              <w:right w:val="single" w:sz="12" w:space="0" w:color="666666"/>
            </w:tcBorders>
          </w:tcPr>
          <w:p>
            <w:pPr>
              <w:pStyle w:val="TableParagraph"/>
              <w:spacing w:before="32"/>
              <w:ind w:right="219"/>
              <w:jc w:val="right"/>
              <w:rPr>
                <w:sz w:val="38"/>
              </w:rPr>
            </w:pPr>
            <w:r>
              <w:rPr>
                <w:w w:val="95"/>
                <w:sz w:val="38"/>
              </w:rPr>
              <w:t>cosidase</w:t>
            </w:r>
          </w:p>
        </w:tc>
      </w:tr>
      <w:tr>
        <w:trPr>
          <w:trHeight w:val="791" w:hRule="atLeast"/>
        </w:trPr>
        <w:tc>
          <w:tcPr>
            <w:tcW w:w="1504" w:type="dxa"/>
            <w:tcBorders>
              <w:top w:val="nil"/>
              <w:left w:val="single" w:sz="12" w:space="0" w:color="CCCCCC"/>
            </w:tcBorders>
          </w:tcPr>
          <w:p>
            <w:pPr>
              <w:pStyle w:val="TableParagraph"/>
              <w:rPr>
                <w:rFonts w:ascii="Times New Roman"/>
                <w:sz w:val="36"/>
              </w:rPr>
            </w:pPr>
          </w:p>
        </w:tc>
        <w:tc>
          <w:tcPr>
            <w:tcW w:w="1703" w:type="dxa"/>
            <w:tcBorders>
              <w:top w:val="nil"/>
            </w:tcBorders>
          </w:tcPr>
          <w:p>
            <w:pPr>
              <w:pStyle w:val="TableParagraph"/>
              <w:rPr>
                <w:rFonts w:ascii="Times New Roman"/>
                <w:sz w:val="36"/>
              </w:rPr>
            </w:pPr>
          </w:p>
        </w:tc>
        <w:tc>
          <w:tcPr>
            <w:tcW w:w="1417" w:type="dxa"/>
            <w:tcBorders>
              <w:top w:val="nil"/>
            </w:tcBorders>
          </w:tcPr>
          <w:p>
            <w:pPr>
              <w:pStyle w:val="TableParagraph"/>
              <w:rPr>
                <w:rFonts w:ascii="Times New Roman"/>
                <w:sz w:val="36"/>
              </w:rPr>
            </w:pPr>
          </w:p>
        </w:tc>
        <w:tc>
          <w:tcPr>
            <w:tcW w:w="1699" w:type="dxa"/>
            <w:tcBorders>
              <w:top w:val="nil"/>
              <w:right w:val="single" w:sz="12" w:space="0" w:color="666666"/>
            </w:tcBorders>
          </w:tcPr>
          <w:p>
            <w:pPr>
              <w:pStyle w:val="TableParagraph"/>
              <w:spacing w:before="32"/>
              <w:ind w:left="307"/>
              <w:rPr>
                <w:sz w:val="38"/>
              </w:rPr>
            </w:pPr>
            <w:r>
              <w:rPr>
                <w:sz w:val="38"/>
              </w:rPr>
              <w:t>activity</w:t>
            </w:r>
          </w:p>
        </w:tc>
      </w:tr>
    </w:tbl>
    <w:p>
      <w:pPr>
        <w:spacing w:after="0"/>
        <w:rPr>
          <w:sz w:val="38"/>
        </w:rPr>
        <w:sectPr>
          <w:footerReference w:type="default" r:id="rId130"/>
          <w:pgSz w:w="14270" w:h="16850"/>
          <w:pgMar w:footer="404" w:header="0" w:top="1600" w:bottom="600" w:left="800" w:right="1280"/>
          <w:pgNumType w:start="510"/>
        </w:sectPr>
      </w:pPr>
    </w:p>
    <w:p>
      <w:pPr>
        <w:pStyle w:val="BodyText"/>
        <w:spacing w:before="9"/>
        <w:rPr>
          <w:rFonts w:ascii="Times New Roman"/>
          <w:sz w:val="16"/>
        </w:rPr>
      </w:pPr>
    </w:p>
    <w:tbl>
      <w:tblPr>
        <w:tblW w:w="0" w:type="auto"/>
        <w:jc w:val="left"/>
        <w:tblInd w:w="492" w:type="dxa"/>
        <w:tblBorders>
          <w:top w:val="double" w:sz="2" w:space="0" w:color="666666"/>
          <w:left w:val="double" w:sz="2" w:space="0" w:color="666666"/>
          <w:bottom w:val="double" w:sz="2" w:space="0" w:color="666666"/>
          <w:right w:val="double" w:sz="2" w:space="0" w:color="666666"/>
          <w:insideH w:val="double" w:sz="2" w:space="0" w:color="666666"/>
          <w:insideV w:val="double" w:sz="2" w:space="0" w:color="666666"/>
        </w:tblBorders>
        <w:tblLayout w:type="fixed"/>
        <w:tblCellMar>
          <w:top w:w="0" w:type="dxa"/>
          <w:left w:w="0" w:type="dxa"/>
          <w:bottom w:w="0" w:type="dxa"/>
          <w:right w:w="0" w:type="dxa"/>
        </w:tblCellMar>
        <w:tblLook w:val="01E0"/>
      </w:tblPr>
      <w:tblGrid>
        <w:gridCol w:w="1504"/>
        <w:gridCol w:w="1703"/>
        <w:gridCol w:w="1417"/>
        <w:gridCol w:w="1699"/>
      </w:tblGrid>
      <w:tr>
        <w:trPr>
          <w:trHeight w:val="2793" w:hRule="atLeast"/>
        </w:trPr>
        <w:tc>
          <w:tcPr>
            <w:tcW w:w="1504" w:type="dxa"/>
            <w:tcBorders>
              <w:left w:val="single" w:sz="12" w:space="0" w:color="CCCCCC"/>
            </w:tcBorders>
          </w:tcPr>
          <w:p>
            <w:pPr>
              <w:pStyle w:val="TableParagraph"/>
              <w:spacing w:before="66"/>
              <w:ind w:left="122" w:right="112"/>
              <w:jc w:val="center"/>
              <w:rPr>
                <w:b/>
                <w:sz w:val="38"/>
              </w:rPr>
            </w:pPr>
            <w:r>
              <w:rPr>
                <w:b/>
                <w:sz w:val="38"/>
              </w:rPr>
              <w:t>Leaves</w:t>
            </w:r>
          </w:p>
        </w:tc>
        <w:tc>
          <w:tcPr>
            <w:tcW w:w="1703" w:type="dxa"/>
          </w:tcPr>
          <w:p>
            <w:pPr>
              <w:pStyle w:val="TableParagraph"/>
              <w:spacing w:line="278" w:lineRule="auto" w:before="64"/>
              <w:ind w:left="280" w:hanging="161"/>
              <w:rPr>
                <w:sz w:val="38"/>
              </w:rPr>
            </w:pPr>
            <w:r>
              <w:rPr>
                <w:w w:val="95"/>
                <w:sz w:val="38"/>
              </w:rPr>
              <w:t>Apigenin, </w:t>
            </w:r>
            <w:r>
              <w:rPr>
                <w:sz w:val="38"/>
              </w:rPr>
              <w:t>luteolin</w:t>
            </w:r>
          </w:p>
        </w:tc>
        <w:tc>
          <w:tcPr>
            <w:tcW w:w="1417" w:type="dxa"/>
          </w:tcPr>
          <w:p>
            <w:pPr>
              <w:pStyle w:val="TableParagraph"/>
              <w:rPr>
                <w:rFonts w:ascii="Times New Roman"/>
                <w:sz w:val="36"/>
              </w:rPr>
            </w:pPr>
          </w:p>
        </w:tc>
        <w:tc>
          <w:tcPr>
            <w:tcW w:w="1699" w:type="dxa"/>
            <w:tcBorders>
              <w:right w:val="single" w:sz="12" w:space="0" w:color="666666"/>
            </w:tcBorders>
          </w:tcPr>
          <w:p>
            <w:pPr>
              <w:pStyle w:val="TableParagraph"/>
              <w:spacing w:line="276" w:lineRule="auto" w:before="64"/>
              <w:ind w:left="82" w:right="80"/>
              <w:jc w:val="center"/>
              <w:rPr>
                <w:sz w:val="38"/>
              </w:rPr>
            </w:pPr>
            <w:r>
              <w:rPr>
                <w:sz w:val="38"/>
              </w:rPr>
              <w:t>Gestagen-</w:t>
            </w:r>
            <w:r>
              <w:rPr>
                <w:w w:val="99"/>
                <w:sz w:val="38"/>
              </w:rPr>
              <w:t> </w:t>
            </w:r>
            <w:r>
              <w:rPr>
                <w:sz w:val="38"/>
              </w:rPr>
              <w:t>like, anxi- olytic anticar- cinogenic,</w:t>
            </w:r>
          </w:p>
        </w:tc>
      </w:tr>
      <w:tr>
        <w:trPr>
          <w:trHeight w:val="523" w:hRule="atLeast"/>
        </w:trPr>
        <w:tc>
          <w:tcPr>
            <w:tcW w:w="1504" w:type="dxa"/>
            <w:tcBorders>
              <w:left w:val="single" w:sz="12" w:space="0" w:color="CCCCCC"/>
              <w:bottom w:val="nil"/>
            </w:tcBorders>
          </w:tcPr>
          <w:p>
            <w:pPr>
              <w:pStyle w:val="TableParagraph"/>
              <w:spacing w:before="63"/>
              <w:ind w:left="122" w:right="112"/>
              <w:jc w:val="center"/>
              <w:rPr>
                <w:b/>
                <w:sz w:val="38"/>
              </w:rPr>
            </w:pPr>
            <w:r>
              <w:rPr>
                <w:b/>
                <w:sz w:val="38"/>
              </w:rPr>
              <w:t>Bark /</w:t>
            </w:r>
          </w:p>
        </w:tc>
        <w:tc>
          <w:tcPr>
            <w:tcW w:w="1703" w:type="dxa"/>
            <w:tcBorders>
              <w:bottom w:val="nil"/>
            </w:tcBorders>
          </w:tcPr>
          <w:p>
            <w:pPr>
              <w:pStyle w:val="TableParagraph"/>
              <w:spacing w:before="63"/>
              <w:ind w:right="120"/>
              <w:jc w:val="right"/>
              <w:rPr>
                <w:sz w:val="38"/>
              </w:rPr>
            </w:pPr>
            <w:r>
              <w:rPr>
                <w:sz w:val="38"/>
              </w:rPr>
              <w:t>Ellagitan-</w:t>
            </w:r>
          </w:p>
        </w:tc>
        <w:tc>
          <w:tcPr>
            <w:tcW w:w="1417" w:type="dxa"/>
            <w:tcBorders>
              <w:bottom w:val="nil"/>
            </w:tcBorders>
          </w:tcPr>
          <w:p>
            <w:pPr>
              <w:pStyle w:val="TableParagraph"/>
              <w:spacing w:before="63"/>
              <w:ind w:left="55" w:right="51"/>
              <w:jc w:val="center"/>
              <w:rPr>
                <w:sz w:val="38"/>
              </w:rPr>
            </w:pPr>
            <w:r>
              <w:rPr>
                <w:sz w:val="38"/>
              </w:rPr>
              <w:t>de-</w:t>
            </w:r>
          </w:p>
        </w:tc>
        <w:tc>
          <w:tcPr>
            <w:tcW w:w="1699" w:type="dxa"/>
            <w:tcBorders>
              <w:bottom w:val="nil"/>
              <w:right w:val="single" w:sz="12" w:space="0" w:color="666666"/>
            </w:tcBorders>
          </w:tcPr>
          <w:p>
            <w:pPr>
              <w:pStyle w:val="TableParagraph"/>
              <w:spacing w:before="63"/>
              <w:ind w:left="68" w:right="68"/>
              <w:jc w:val="center"/>
              <w:rPr>
                <w:sz w:val="38"/>
              </w:rPr>
            </w:pPr>
            <w:r>
              <w:rPr>
                <w:sz w:val="38"/>
              </w:rPr>
              <w:t>neuro-</w:t>
            </w:r>
          </w:p>
        </w:tc>
      </w:tr>
      <w:tr>
        <w:trPr>
          <w:trHeight w:val="493" w:hRule="atLeast"/>
        </w:trPr>
        <w:tc>
          <w:tcPr>
            <w:tcW w:w="1504" w:type="dxa"/>
            <w:tcBorders>
              <w:top w:val="nil"/>
              <w:left w:val="single" w:sz="12" w:space="0" w:color="CCCCCC"/>
              <w:bottom w:val="nil"/>
            </w:tcBorders>
          </w:tcPr>
          <w:p>
            <w:pPr>
              <w:pStyle w:val="TableParagraph"/>
              <w:spacing w:before="34"/>
              <w:ind w:left="122" w:right="111"/>
              <w:jc w:val="center"/>
              <w:rPr>
                <w:b/>
                <w:sz w:val="38"/>
              </w:rPr>
            </w:pPr>
            <w:r>
              <w:rPr>
                <w:b/>
                <w:sz w:val="38"/>
              </w:rPr>
              <w:t>root</w:t>
            </w:r>
          </w:p>
        </w:tc>
        <w:tc>
          <w:tcPr>
            <w:tcW w:w="1703" w:type="dxa"/>
            <w:tcBorders>
              <w:top w:val="nil"/>
              <w:bottom w:val="nil"/>
            </w:tcBorders>
          </w:tcPr>
          <w:p>
            <w:pPr>
              <w:pStyle w:val="TableParagraph"/>
              <w:spacing w:before="32"/>
              <w:ind w:right="82"/>
              <w:jc w:val="right"/>
              <w:rPr>
                <w:sz w:val="38"/>
              </w:rPr>
            </w:pPr>
            <w:r>
              <w:rPr>
                <w:sz w:val="38"/>
              </w:rPr>
              <w:t>nins, alka-</w:t>
            </w:r>
          </w:p>
        </w:tc>
        <w:tc>
          <w:tcPr>
            <w:tcW w:w="1417" w:type="dxa"/>
            <w:tcBorders>
              <w:top w:val="nil"/>
              <w:bottom w:val="nil"/>
            </w:tcBorders>
          </w:tcPr>
          <w:p>
            <w:pPr>
              <w:pStyle w:val="TableParagraph"/>
              <w:spacing w:before="32"/>
              <w:ind w:left="55" w:right="50"/>
              <w:jc w:val="center"/>
              <w:rPr>
                <w:sz w:val="38"/>
              </w:rPr>
            </w:pPr>
            <w:r>
              <w:rPr>
                <w:sz w:val="38"/>
              </w:rPr>
              <w:t>worm-</w:t>
            </w:r>
          </w:p>
        </w:tc>
        <w:tc>
          <w:tcPr>
            <w:tcW w:w="1699" w:type="dxa"/>
            <w:tcBorders>
              <w:top w:val="nil"/>
              <w:bottom w:val="nil"/>
              <w:right w:val="single" w:sz="12" w:space="0" w:color="666666"/>
            </w:tcBorders>
          </w:tcPr>
          <w:p>
            <w:pPr>
              <w:pStyle w:val="TableParagraph"/>
              <w:spacing w:before="32"/>
              <w:ind w:left="68" w:right="68"/>
              <w:jc w:val="center"/>
              <w:rPr>
                <w:sz w:val="38"/>
              </w:rPr>
            </w:pPr>
            <w:r>
              <w:rPr>
                <w:sz w:val="38"/>
              </w:rPr>
              <w:t>toxic</w:t>
            </w:r>
          </w:p>
        </w:tc>
      </w:tr>
      <w:tr>
        <w:trPr>
          <w:trHeight w:val="490" w:hRule="atLeast"/>
        </w:trPr>
        <w:tc>
          <w:tcPr>
            <w:tcW w:w="1504" w:type="dxa"/>
            <w:tcBorders>
              <w:top w:val="nil"/>
              <w:left w:val="single" w:sz="12" w:space="0" w:color="CCCCCC"/>
              <w:bottom w:val="nil"/>
            </w:tcBorders>
          </w:tcPr>
          <w:p>
            <w:pPr>
              <w:pStyle w:val="TableParagraph"/>
              <w:rPr>
                <w:rFonts w:ascii="Times New Roman"/>
                <w:sz w:val="36"/>
              </w:rPr>
            </w:pPr>
          </w:p>
        </w:tc>
        <w:tc>
          <w:tcPr>
            <w:tcW w:w="1703" w:type="dxa"/>
            <w:tcBorders>
              <w:top w:val="nil"/>
              <w:bottom w:val="nil"/>
            </w:tcBorders>
          </w:tcPr>
          <w:p>
            <w:pPr>
              <w:pStyle w:val="TableParagraph"/>
              <w:spacing w:before="31"/>
              <w:ind w:right="172"/>
              <w:jc w:val="right"/>
              <w:rPr>
                <w:sz w:val="38"/>
              </w:rPr>
            </w:pPr>
            <w:r>
              <w:rPr>
                <w:sz w:val="38"/>
              </w:rPr>
              <w:t>loids like</w:t>
            </w:r>
          </w:p>
        </w:tc>
        <w:tc>
          <w:tcPr>
            <w:tcW w:w="1417" w:type="dxa"/>
            <w:tcBorders>
              <w:top w:val="nil"/>
              <w:bottom w:val="nil"/>
            </w:tcBorders>
          </w:tcPr>
          <w:p>
            <w:pPr>
              <w:pStyle w:val="TableParagraph"/>
              <w:spacing w:before="31"/>
              <w:ind w:left="55" w:right="53"/>
              <w:jc w:val="center"/>
              <w:rPr>
                <w:sz w:val="38"/>
              </w:rPr>
            </w:pPr>
            <w:r>
              <w:rPr>
                <w:sz w:val="38"/>
              </w:rPr>
              <w:t>ing</w:t>
            </w:r>
          </w:p>
        </w:tc>
        <w:tc>
          <w:tcPr>
            <w:tcW w:w="1699" w:type="dxa"/>
            <w:tcBorders>
              <w:top w:val="nil"/>
              <w:bottom w:val="nil"/>
              <w:right w:val="single" w:sz="12" w:space="0" w:color="666666"/>
            </w:tcBorders>
          </w:tcPr>
          <w:p>
            <w:pPr>
              <w:pStyle w:val="TableParagraph"/>
              <w:spacing w:before="31"/>
              <w:ind w:left="67" w:right="68"/>
              <w:jc w:val="center"/>
              <w:rPr>
                <w:sz w:val="38"/>
              </w:rPr>
            </w:pPr>
            <w:r>
              <w:rPr>
                <w:sz w:val="38"/>
              </w:rPr>
              <w:t>(pelle-</w:t>
            </w:r>
          </w:p>
        </w:tc>
      </w:tr>
      <w:tr>
        <w:trPr>
          <w:trHeight w:val="494" w:hRule="atLeast"/>
        </w:trPr>
        <w:tc>
          <w:tcPr>
            <w:tcW w:w="1504" w:type="dxa"/>
            <w:tcBorders>
              <w:top w:val="nil"/>
              <w:left w:val="single" w:sz="12" w:space="0" w:color="CCCCCC"/>
              <w:bottom w:val="nil"/>
            </w:tcBorders>
          </w:tcPr>
          <w:p>
            <w:pPr>
              <w:pStyle w:val="TableParagraph"/>
              <w:rPr>
                <w:rFonts w:ascii="Times New Roman"/>
                <w:sz w:val="36"/>
              </w:rPr>
            </w:pPr>
          </w:p>
        </w:tc>
        <w:tc>
          <w:tcPr>
            <w:tcW w:w="1703" w:type="dxa"/>
            <w:tcBorders>
              <w:top w:val="nil"/>
              <w:bottom w:val="nil"/>
            </w:tcBorders>
          </w:tcPr>
          <w:p>
            <w:pPr>
              <w:pStyle w:val="TableParagraph"/>
              <w:spacing w:before="32"/>
              <w:ind w:left="429"/>
              <w:rPr>
                <w:sz w:val="38"/>
              </w:rPr>
            </w:pPr>
            <w:r>
              <w:rPr>
                <w:sz w:val="38"/>
              </w:rPr>
              <w:t>pelle-</w:t>
            </w:r>
          </w:p>
        </w:tc>
        <w:tc>
          <w:tcPr>
            <w:tcW w:w="1417" w:type="dxa"/>
            <w:tcBorders>
              <w:top w:val="nil"/>
              <w:bottom w:val="nil"/>
            </w:tcBorders>
          </w:tcPr>
          <w:p>
            <w:pPr>
              <w:pStyle w:val="TableParagraph"/>
              <w:spacing w:before="32"/>
              <w:ind w:left="55" w:right="53"/>
              <w:jc w:val="center"/>
              <w:rPr>
                <w:sz w:val="38"/>
              </w:rPr>
            </w:pPr>
            <w:r>
              <w:rPr>
                <w:sz w:val="38"/>
              </w:rPr>
              <w:t>deaths</w:t>
            </w:r>
          </w:p>
        </w:tc>
        <w:tc>
          <w:tcPr>
            <w:tcW w:w="1699" w:type="dxa"/>
            <w:tcBorders>
              <w:top w:val="nil"/>
              <w:bottom w:val="nil"/>
              <w:right w:val="single" w:sz="12" w:space="0" w:color="666666"/>
            </w:tcBorders>
          </w:tcPr>
          <w:p>
            <w:pPr>
              <w:pStyle w:val="TableParagraph"/>
              <w:spacing w:before="34"/>
              <w:ind w:left="68" w:right="68"/>
              <w:jc w:val="center"/>
              <w:rPr>
                <w:sz w:val="38"/>
              </w:rPr>
            </w:pPr>
            <w:r>
              <w:rPr>
                <w:sz w:val="38"/>
              </w:rPr>
              <w:t>tierine)</w:t>
            </w:r>
          </w:p>
        </w:tc>
      </w:tr>
      <w:tr>
        <w:trPr>
          <w:trHeight w:val="791" w:hRule="atLeast"/>
        </w:trPr>
        <w:tc>
          <w:tcPr>
            <w:tcW w:w="1504" w:type="dxa"/>
            <w:tcBorders>
              <w:top w:val="nil"/>
              <w:left w:val="single" w:sz="12" w:space="0" w:color="CCCCCC"/>
            </w:tcBorders>
          </w:tcPr>
          <w:p>
            <w:pPr>
              <w:pStyle w:val="TableParagraph"/>
              <w:rPr>
                <w:rFonts w:ascii="Times New Roman"/>
                <w:sz w:val="36"/>
              </w:rPr>
            </w:pPr>
          </w:p>
        </w:tc>
        <w:tc>
          <w:tcPr>
            <w:tcW w:w="1703" w:type="dxa"/>
            <w:tcBorders>
              <w:top w:val="nil"/>
            </w:tcBorders>
          </w:tcPr>
          <w:p>
            <w:pPr>
              <w:pStyle w:val="TableParagraph"/>
              <w:spacing w:before="32"/>
              <w:ind w:left="371"/>
              <w:rPr>
                <w:sz w:val="38"/>
              </w:rPr>
            </w:pPr>
            <w:r>
              <w:rPr>
                <w:sz w:val="38"/>
              </w:rPr>
              <w:t>tierine</w:t>
            </w:r>
          </w:p>
        </w:tc>
        <w:tc>
          <w:tcPr>
            <w:tcW w:w="1417" w:type="dxa"/>
            <w:tcBorders>
              <w:top w:val="nil"/>
            </w:tcBorders>
          </w:tcPr>
          <w:p>
            <w:pPr>
              <w:pStyle w:val="TableParagraph"/>
              <w:spacing w:before="32"/>
              <w:ind w:left="55" w:right="52"/>
              <w:jc w:val="center"/>
              <w:rPr>
                <w:sz w:val="38"/>
              </w:rPr>
            </w:pPr>
            <w:r>
              <w:rPr>
                <w:sz w:val="38"/>
              </w:rPr>
              <w:t>known</w:t>
            </w:r>
          </w:p>
        </w:tc>
        <w:tc>
          <w:tcPr>
            <w:tcW w:w="1699" w:type="dxa"/>
            <w:tcBorders>
              <w:top w:val="nil"/>
              <w:right w:val="single" w:sz="12" w:space="0" w:color="666666"/>
            </w:tcBorders>
          </w:tcPr>
          <w:p>
            <w:pPr>
              <w:pStyle w:val="TableParagraph"/>
              <w:rPr>
                <w:rFonts w:ascii="Times New Roman"/>
                <w:sz w:val="36"/>
              </w:rPr>
            </w:pPr>
          </w:p>
        </w:tc>
      </w:tr>
    </w:tbl>
    <w:p>
      <w:pPr>
        <w:pStyle w:val="BodyText"/>
        <w:rPr>
          <w:rFonts w:ascii="Times New Roman"/>
          <w:sz w:val="20"/>
        </w:rPr>
      </w:pPr>
    </w:p>
    <w:p>
      <w:pPr>
        <w:pStyle w:val="BodyText"/>
        <w:spacing w:before="5"/>
        <w:rPr>
          <w:rFonts w:ascii="Times New Roman"/>
          <w:sz w:val="23"/>
        </w:rPr>
      </w:pPr>
    </w:p>
    <w:p>
      <w:pPr>
        <w:pStyle w:val="Heading1"/>
        <w:spacing w:before="100"/>
      </w:pPr>
      <w:r>
        <w:rPr/>
        <w:t>Antibiotic property</w:t>
      </w:r>
    </w:p>
    <w:p>
      <w:pPr>
        <w:pStyle w:val="BodyText"/>
        <w:spacing w:line="276" w:lineRule="auto" w:before="297"/>
        <w:ind w:left="477" w:right="133"/>
        <w:jc w:val="both"/>
      </w:pPr>
      <w:r>
        <w:rPr/>
        <w:t>The tannins, ellagitannins and phenolic acid contained in pomegranate have been shown to have an antimicrobial effect on bacteria, fungi and other para- sites in studies.</w:t>
      </w:r>
    </w:p>
    <w:p>
      <w:pPr>
        <w:pStyle w:val="BodyText"/>
        <w:rPr>
          <w:sz w:val="42"/>
        </w:rPr>
      </w:pPr>
    </w:p>
    <w:p>
      <w:pPr>
        <w:pStyle w:val="BodyText"/>
        <w:rPr>
          <w:sz w:val="43"/>
        </w:rPr>
      </w:pPr>
    </w:p>
    <w:p>
      <w:pPr>
        <w:pStyle w:val="Heading1"/>
        <w:spacing w:before="0"/>
      </w:pPr>
      <w:r>
        <w:rPr/>
        <w:t>Cardiovascular system</w:t>
      </w:r>
    </w:p>
    <w:p>
      <w:pPr>
        <w:pStyle w:val="BodyText"/>
        <w:spacing w:line="276" w:lineRule="auto" w:before="300"/>
        <w:ind w:left="477" w:right="126"/>
        <w:jc w:val="both"/>
      </w:pPr>
      <w:r>
        <w:rPr/>
        <w:t>The</w:t>
      </w:r>
      <w:r>
        <w:rPr>
          <w:spacing w:val="-13"/>
        </w:rPr>
        <w:t> </w:t>
      </w:r>
      <w:r>
        <w:rPr/>
        <w:t>cardiovascular</w:t>
      </w:r>
      <w:r>
        <w:rPr>
          <w:spacing w:val="-14"/>
        </w:rPr>
        <w:t> </w:t>
      </w:r>
      <w:r>
        <w:rPr/>
        <w:t>system</w:t>
      </w:r>
      <w:r>
        <w:rPr>
          <w:spacing w:val="-13"/>
        </w:rPr>
        <w:t> </w:t>
      </w:r>
      <w:r>
        <w:rPr/>
        <w:t>is</w:t>
      </w:r>
      <w:r>
        <w:rPr>
          <w:spacing w:val="-15"/>
        </w:rPr>
        <w:t> </w:t>
      </w:r>
      <w:r>
        <w:rPr/>
        <w:t>a</w:t>
      </w:r>
      <w:r>
        <w:rPr>
          <w:spacing w:val="-15"/>
        </w:rPr>
        <w:t> </w:t>
      </w:r>
      <w:r>
        <w:rPr/>
        <w:t>prime</w:t>
      </w:r>
      <w:r>
        <w:rPr>
          <w:spacing w:val="-14"/>
        </w:rPr>
        <w:t> </w:t>
      </w:r>
      <w:r>
        <w:rPr/>
        <w:t>example</w:t>
      </w:r>
      <w:r>
        <w:rPr>
          <w:spacing w:val="-14"/>
        </w:rPr>
        <w:t> </w:t>
      </w:r>
      <w:r>
        <w:rPr/>
        <w:t>of</w:t>
      </w:r>
      <w:r>
        <w:rPr>
          <w:spacing w:val="-15"/>
        </w:rPr>
        <w:t> </w:t>
      </w:r>
      <w:r>
        <w:rPr/>
        <w:t>how</w:t>
      </w:r>
      <w:r>
        <w:rPr>
          <w:spacing w:val="-15"/>
        </w:rPr>
        <w:t> </w:t>
      </w:r>
      <w:r>
        <w:rPr/>
        <w:t>effectively</w:t>
      </w:r>
      <w:r>
        <w:rPr>
          <w:spacing w:val="-13"/>
        </w:rPr>
        <w:t> </w:t>
      </w:r>
      <w:r>
        <w:rPr/>
        <w:t>the</w:t>
      </w:r>
      <w:r>
        <w:rPr>
          <w:spacing w:val="-13"/>
        </w:rPr>
        <w:t> </w:t>
      </w:r>
      <w:r>
        <w:rPr/>
        <w:t>pomegran- ate can prevent and even cure disease. Here, the pomegranate proves to be multi-talented and</w:t>
      </w:r>
      <w:r>
        <w:rPr>
          <w:spacing w:val="1"/>
        </w:rPr>
        <w:t> </w:t>
      </w:r>
      <w:r>
        <w:rPr/>
        <w:t>multifactorial:</w:t>
      </w:r>
    </w:p>
    <w:p>
      <w:pPr>
        <w:spacing w:after="0" w:line="276" w:lineRule="auto"/>
        <w:jc w:val="both"/>
        <w:sectPr>
          <w:pgSz w:w="14270" w:h="16850"/>
          <w:pgMar w:header="0" w:footer="404" w:top="1600" w:bottom="600" w:left="800" w:right="1280"/>
        </w:sectPr>
      </w:pPr>
    </w:p>
    <w:p>
      <w:pPr>
        <w:pStyle w:val="BodyText"/>
        <w:spacing w:before="10"/>
        <w:rPr>
          <w:sz w:val="8"/>
        </w:rPr>
      </w:pPr>
    </w:p>
    <w:p>
      <w:pPr>
        <w:pStyle w:val="ListParagraph"/>
        <w:numPr>
          <w:ilvl w:val="1"/>
          <w:numId w:val="33"/>
        </w:numPr>
        <w:tabs>
          <w:tab w:pos="1198" w:val="left" w:leader="none"/>
        </w:tabs>
        <w:spacing w:line="276" w:lineRule="auto" w:before="83" w:after="0"/>
        <w:ind w:left="1197" w:right="132" w:hanging="360"/>
        <w:jc w:val="both"/>
        <w:rPr>
          <w:sz w:val="38"/>
        </w:rPr>
      </w:pPr>
      <w:r>
        <w:rPr>
          <w:sz w:val="38"/>
        </w:rPr>
        <w:t>reducation of the cholesterol level: by acting on the fat metabolism, the polyphenols</w:t>
      </w:r>
      <w:r>
        <w:rPr>
          <w:spacing w:val="-14"/>
          <w:sz w:val="38"/>
        </w:rPr>
        <w:t> </w:t>
      </w:r>
      <w:r>
        <w:rPr>
          <w:sz w:val="38"/>
        </w:rPr>
        <w:t>contained</w:t>
      </w:r>
      <w:r>
        <w:rPr>
          <w:spacing w:val="-14"/>
          <w:sz w:val="38"/>
        </w:rPr>
        <w:t> </w:t>
      </w:r>
      <w:r>
        <w:rPr>
          <w:sz w:val="38"/>
        </w:rPr>
        <w:t>in</w:t>
      </w:r>
      <w:r>
        <w:rPr>
          <w:spacing w:val="-15"/>
          <w:sz w:val="38"/>
        </w:rPr>
        <w:t> </w:t>
      </w:r>
      <w:r>
        <w:rPr>
          <w:sz w:val="38"/>
        </w:rPr>
        <w:t>pomegranate</w:t>
      </w:r>
      <w:r>
        <w:rPr>
          <w:spacing w:val="-15"/>
          <w:sz w:val="38"/>
        </w:rPr>
        <w:t> </w:t>
      </w:r>
      <w:r>
        <w:rPr>
          <w:sz w:val="38"/>
        </w:rPr>
        <w:t>can</w:t>
      </w:r>
      <w:r>
        <w:rPr>
          <w:spacing w:val="-14"/>
          <w:sz w:val="38"/>
        </w:rPr>
        <w:t> </w:t>
      </w:r>
      <w:r>
        <w:rPr>
          <w:sz w:val="38"/>
        </w:rPr>
        <w:t>positively</w:t>
      </w:r>
      <w:r>
        <w:rPr>
          <w:spacing w:val="-15"/>
          <w:sz w:val="38"/>
        </w:rPr>
        <w:t> </w:t>
      </w:r>
      <w:r>
        <w:rPr>
          <w:sz w:val="38"/>
        </w:rPr>
        <w:t>influence</w:t>
      </w:r>
      <w:r>
        <w:rPr>
          <w:spacing w:val="-15"/>
          <w:sz w:val="38"/>
        </w:rPr>
        <w:t> </w:t>
      </w:r>
      <w:r>
        <w:rPr>
          <w:sz w:val="38"/>
        </w:rPr>
        <w:t>the</w:t>
      </w:r>
      <w:r>
        <w:rPr>
          <w:spacing w:val="-14"/>
          <w:sz w:val="38"/>
        </w:rPr>
        <w:t> </w:t>
      </w:r>
      <w:r>
        <w:rPr>
          <w:sz w:val="38"/>
        </w:rPr>
        <w:t>choles- terol level by reduction of bad cholesterol (LDL) and significantly</w:t>
      </w:r>
      <w:r>
        <w:rPr>
          <w:spacing w:val="-66"/>
          <w:sz w:val="38"/>
        </w:rPr>
        <w:t> </w:t>
      </w:r>
      <w:r>
        <w:rPr>
          <w:sz w:val="38"/>
        </w:rPr>
        <w:t>increas- ing good cholesterol (see under ‘Studies’ for more</w:t>
      </w:r>
      <w:r>
        <w:rPr>
          <w:spacing w:val="-1"/>
          <w:sz w:val="38"/>
        </w:rPr>
        <w:t> </w:t>
      </w:r>
      <w:r>
        <w:rPr>
          <w:sz w:val="38"/>
        </w:rPr>
        <w:t>information).</w:t>
      </w:r>
    </w:p>
    <w:p>
      <w:pPr>
        <w:pStyle w:val="ListParagraph"/>
        <w:numPr>
          <w:ilvl w:val="1"/>
          <w:numId w:val="33"/>
        </w:numPr>
        <w:tabs>
          <w:tab w:pos="1198" w:val="left" w:leader="none"/>
        </w:tabs>
        <w:spacing w:line="276" w:lineRule="auto" w:before="0" w:after="0"/>
        <w:ind w:left="1197" w:right="136" w:hanging="360"/>
        <w:jc w:val="both"/>
        <w:rPr>
          <w:sz w:val="38"/>
        </w:rPr>
      </w:pPr>
      <w:r>
        <w:rPr>
          <w:sz w:val="38"/>
        </w:rPr>
        <w:t>antithrombotic effect: clumped platelets thicken our blood, resulting in high blood pressure, and may lead to stroke and heart attacks. The poly- phenols</w:t>
      </w:r>
      <w:r>
        <w:rPr>
          <w:spacing w:val="-26"/>
          <w:sz w:val="38"/>
        </w:rPr>
        <w:t> </w:t>
      </w:r>
      <w:r>
        <w:rPr>
          <w:sz w:val="38"/>
        </w:rPr>
        <w:t>contained</w:t>
      </w:r>
      <w:r>
        <w:rPr>
          <w:spacing w:val="-25"/>
          <w:sz w:val="38"/>
        </w:rPr>
        <w:t> </w:t>
      </w:r>
      <w:r>
        <w:rPr>
          <w:sz w:val="38"/>
        </w:rPr>
        <w:t>in</w:t>
      </w:r>
      <w:r>
        <w:rPr>
          <w:spacing w:val="-23"/>
          <w:sz w:val="38"/>
        </w:rPr>
        <w:t> </w:t>
      </w:r>
      <w:r>
        <w:rPr>
          <w:sz w:val="38"/>
        </w:rPr>
        <w:t>the</w:t>
      </w:r>
      <w:r>
        <w:rPr>
          <w:spacing w:val="-26"/>
          <w:sz w:val="38"/>
        </w:rPr>
        <w:t> </w:t>
      </w:r>
      <w:r>
        <w:rPr>
          <w:sz w:val="38"/>
        </w:rPr>
        <w:t>pomegranate</w:t>
      </w:r>
      <w:r>
        <w:rPr>
          <w:spacing w:val="-24"/>
          <w:sz w:val="38"/>
        </w:rPr>
        <w:t> </w:t>
      </w:r>
      <w:r>
        <w:rPr>
          <w:sz w:val="38"/>
        </w:rPr>
        <w:t>antithrombotically</w:t>
      </w:r>
      <w:r>
        <w:rPr>
          <w:spacing w:val="-25"/>
          <w:sz w:val="38"/>
        </w:rPr>
        <w:t> </w:t>
      </w:r>
      <w:r>
        <w:rPr>
          <w:sz w:val="38"/>
        </w:rPr>
        <w:t>counteract</w:t>
      </w:r>
      <w:r>
        <w:rPr>
          <w:spacing w:val="-24"/>
          <w:sz w:val="38"/>
        </w:rPr>
        <w:t> </w:t>
      </w:r>
      <w:r>
        <w:rPr>
          <w:sz w:val="38"/>
        </w:rPr>
        <w:t>plate- let</w:t>
      </w:r>
      <w:r>
        <w:rPr>
          <w:spacing w:val="-2"/>
          <w:sz w:val="38"/>
        </w:rPr>
        <w:t> </w:t>
      </w:r>
      <w:r>
        <w:rPr>
          <w:sz w:val="38"/>
        </w:rPr>
        <w:t>clumping.</w:t>
      </w:r>
    </w:p>
    <w:p>
      <w:pPr>
        <w:pStyle w:val="ListParagraph"/>
        <w:numPr>
          <w:ilvl w:val="1"/>
          <w:numId w:val="33"/>
        </w:numPr>
        <w:tabs>
          <w:tab w:pos="1198" w:val="left" w:leader="none"/>
        </w:tabs>
        <w:spacing w:line="273" w:lineRule="auto" w:before="0" w:after="0"/>
        <w:ind w:left="1197" w:right="132" w:hanging="360"/>
        <w:jc w:val="both"/>
        <w:rPr>
          <w:sz w:val="38"/>
        </w:rPr>
      </w:pPr>
      <w:r>
        <w:rPr>
          <w:sz w:val="38"/>
        </w:rPr>
        <w:t>hypotensive effect: again, it is the polyphenols in pomegranate that have been shown to significantly lower blood pressure in studies (see ‘Studies’ section).</w:t>
      </w:r>
    </w:p>
    <w:p>
      <w:pPr>
        <w:pStyle w:val="ListParagraph"/>
        <w:numPr>
          <w:ilvl w:val="1"/>
          <w:numId w:val="33"/>
        </w:numPr>
        <w:tabs>
          <w:tab w:pos="1198" w:val="left" w:leader="none"/>
        </w:tabs>
        <w:spacing w:line="273" w:lineRule="auto" w:before="11" w:after="0"/>
        <w:ind w:left="1197" w:right="130" w:hanging="360"/>
        <w:jc w:val="both"/>
        <w:rPr>
          <w:sz w:val="38"/>
        </w:rPr>
      </w:pPr>
      <w:r>
        <w:rPr>
          <w:sz w:val="38"/>
        </w:rPr>
        <w:t>circulation-promoting</w:t>
      </w:r>
      <w:r>
        <w:rPr>
          <w:spacing w:val="-11"/>
          <w:sz w:val="38"/>
        </w:rPr>
        <w:t> </w:t>
      </w:r>
      <w:r>
        <w:rPr>
          <w:sz w:val="38"/>
        </w:rPr>
        <w:t>effect:</w:t>
      </w:r>
      <w:r>
        <w:rPr>
          <w:spacing w:val="-8"/>
          <w:sz w:val="38"/>
        </w:rPr>
        <w:t> </w:t>
      </w:r>
      <w:r>
        <w:rPr>
          <w:sz w:val="38"/>
        </w:rPr>
        <w:t>myocardial</w:t>
      </w:r>
      <w:r>
        <w:rPr>
          <w:spacing w:val="-12"/>
          <w:sz w:val="38"/>
        </w:rPr>
        <w:t> </w:t>
      </w:r>
      <w:r>
        <w:rPr>
          <w:sz w:val="38"/>
        </w:rPr>
        <w:t>perfusion</w:t>
      </w:r>
      <w:r>
        <w:rPr>
          <w:spacing w:val="-9"/>
          <w:sz w:val="38"/>
        </w:rPr>
        <w:t> </w:t>
      </w:r>
      <w:r>
        <w:rPr>
          <w:sz w:val="38"/>
        </w:rPr>
        <w:t>increases</w:t>
      </w:r>
      <w:r>
        <w:rPr>
          <w:spacing w:val="-11"/>
          <w:sz w:val="38"/>
        </w:rPr>
        <w:t> </w:t>
      </w:r>
      <w:r>
        <w:rPr>
          <w:sz w:val="38"/>
        </w:rPr>
        <w:t>with</w:t>
      </w:r>
      <w:r>
        <w:rPr>
          <w:spacing w:val="-11"/>
          <w:sz w:val="38"/>
        </w:rPr>
        <w:t> </w:t>
      </w:r>
      <w:r>
        <w:rPr>
          <w:sz w:val="38"/>
        </w:rPr>
        <w:t>the</w:t>
      </w:r>
      <w:r>
        <w:rPr>
          <w:spacing w:val="-9"/>
          <w:sz w:val="38"/>
        </w:rPr>
        <w:t> </w:t>
      </w:r>
      <w:r>
        <w:rPr>
          <w:sz w:val="38"/>
        </w:rPr>
        <w:t>con- sumption of pomegranate</w:t>
      </w:r>
      <w:r>
        <w:rPr>
          <w:spacing w:val="1"/>
          <w:sz w:val="38"/>
        </w:rPr>
        <w:t> </w:t>
      </w:r>
      <w:r>
        <w:rPr>
          <w:sz w:val="38"/>
        </w:rPr>
        <w:t>juice.</w:t>
      </w:r>
    </w:p>
    <w:p>
      <w:pPr>
        <w:pStyle w:val="ListParagraph"/>
        <w:numPr>
          <w:ilvl w:val="1"/>
          <w:numId w:val="33"/>
        </w:numPr>
        <w:tabs>
          <w:tab w:pos="1198" w:val="left" w:leader="none"/>
        </w:tabs>
        <w:spacing w:line="273" w:lineRule="auto" w:before="7" w:after="0"/>
        <w:ind w:left="1197" w:right="131" w:hanging="360"/>
        <w:jc w:val="both"/>
        <w:rPr>
          <w:sz w:val="38"/>
        </w:rPr>
      </w:pPr>
      <w:r>
        <w:rPr>
          <w:sz w:val="38"/>
        </w:rPr>
        <w:t>antiarteriosclerotic</w:t>
      </w:r>
      <w:r>
        <w:rPr>
          <w:spacing w:val="-10"/>
          <w:sz w:val="38"/>
        </w:rPr>
        <w:t> </w:t>
      </w:r>
      <w:r>
        <w:rPr>
          <w:sz w:val="38"/>
        </w:rPr>
        <w:t>effect:</w:t>
      </w:r>
      <w:r>
        <w:rPr>
          <w:spacing w:val="-8"/>
          <w:sz w:val="38"/>
        </w:rPr>
        <w:t> </w:t>
      </w:r>
      <w:r>
        <w:rPr>
          <w:sz w:val="38"/>
        </w:rPr>
        <w:t>due</w:t>
      </w:r>
      <w:r>
        <w:rPr>
          <w:spacing w:val="-9"/>
          <w:sz w:val="38"/>
        </w:rPr>
        <w:t> </w:t>
      </w:r>
      <w:r>
        <w:rPr>
          <w:sz w:val="38"/>
        </w:rPr>
        <w:t>to</w:t>
      </w:r>
      <w:r>
        <w:rPr>
          <w:spacing w:val="-6"/>
          <w:sz w:val="38"/>
        </w:rPr>
        <w:t> </w:t>
      </w:r>
      <w:r>
        <w:rPr>
          <w:sz w:val="38"/>
        </w:rPr>
        <w:t>the</w:t>
      </w:r>
      <w:r>
        <w:rPr>
          <w:spacing w:val="-7"/>
          <w:sz w:val="38"/>
        </w:rPr>
        <w:t> </w:t>
      </w:r>
      <w:r>
        <w:rPr>
          <w:sz w:val="38"/>
        </w:rPr>
        <w:t>inhibition</w:t>
      </w:r>
      <w:r>
        <w:rPr>
          <w:spacing w:val="-8"/>
          <w:sz w:val="38"/>
        </w:rPr>
        <w:t> </w:t>
      </w:r>
      <w:r>
        <w:rPr>
          <w:sz w:val="38"/>
        </w:rPr>
        <w:t>of</w:t>
      </w:r>
      <w:r>
        <w:rPr>
          <w:spacing w:val="-8"/>
          <w:sz w:val="38"/>
        </w:rPr>
        <w:t> </w:t>
      </w:r>
      <w:r>
        <w:rPr>
          <w:sz w:val="38"/>
        </w:rPr>
        <w:t>foam</w:t>
      </w:r>
      <w:r>
        <w:rPr>
          <w:spacing w:val="-8"/>
          <w:sz w:val="38"/>
        </w:rPr>
        <w:t> </w:t>
      </w:r>
      <w:r>
        <w:rPr>
          <w:sz w:val="38"/>
        </w:rPr>
        <w:t>cell</w:t>
      </w:r>
      <w:r>
        <w:rPr>
          <w:spacing w:val="-9"/>
          <w:sz w:val="38"/>
        </w:rPr>
        <w:t> </w:t>
      </w:r>
      <w:r>
        <w:rPr>
          <w:sz w:val="38"/>
        </w:rPr>
        <w:t>formation,</w:t>
      </w:r>
      <w:r>
        <w:rPr>
          <w:spacing w:val="-7"/>
          <w:sz w:val="38"/>
        </w:rPr>
        <w:t> </w:t>
      </w:r>
      <w:r>
        <w:rPr>
          <w:sz w:val="38"/>
        </w:rPr>
        <w:t>the anti-inflammatory effect and the reduction of cholesterol oxidation, pom- egranate optimally counteracts vascular calcification –</w:t>
      </w:r>
      <w:r>
        <w:rPr>
          <w:spacing w:val="-4"/>
          <w:sz w:val="38"/>
        </w:rPr>
        <w:t> </w:t>
      </w:r>
      <w:r>
        <w:rPr>
          <w:sz w:val="38"/>
        </w:rPr>
        <w:t>atherosclerosis.</w:t>
      </w:r>
    </w:p>
    <w:p>
      <w:pPr>
        <w:pStyle w:val="Heading1"/>
        <w:spacing w:before="231"/>
      </w:pPr>
      <w:r>
        <w:rPr/>
        <w:t>Protection against brain damage and</w:t>
      </w:r>
      <w:r>
        <w:rPr>
          <w:spacing w:val="-62"/>
        </w:rPr>
        <w:t> </w:t>
      </w:r>
      <w:r>
        <w:rPr/>
        <w:t>stroke</w:t>
      </w:r>
    </w:p>
    <w:p>
      <w:pPr>
        <w:pStyle w:val="BodyText"/>
        <w:spacing w:line="276" w:lineRule="auto" w:before="299"/>
        <w:ind w:left="477" w:right="132"/>
        <w:jc w:val="both"/>
      </w:pPr>
      <w:r>
        <w:rPr/>
        <w:t>Studies from 2005 have shown protection against brain damage and stroke in mice, which occur as a result of oxygen deficiency. The mice pups of pome- granate-fed mice had 60 % less brain damage at birth than the control group.</w:t>
      </w:r>
    </w:p>
    <w:p>
      <w:pPr>
        <w:pStyle w:val="Heading1"/>
        <w:spacing w:before="225"/>
        <w:jc w:val="both"/>
      </w:pPr>
      <w:r>
        <w:rPr/>
        <w:t>Effect on the lungs</w:t>
      </w:r>
    </w:p>
    <w:p>
      <w:pPr>
        <w:spacing w:after="0"/>
        <w:jc w:val="both"/>
        <w:sectPr>
          <w:pgSz w:w="14270" w:h="16850"/>
          <w:pgMar w:header="0" w:footer="404" w:top="1600" w:bottom="2080" w:left="800" w:right="1280"/>
        </w:sectPr>
      </w:pPr>
    </w:p>
    <w:p>
      <w:pPr>
        <w:pStyle w:val="BodyText"/>
        <w:spacing w:line="276" w:lineRule="auto" w:before="181"/>
        <w:ind w:left="477" w:right="137"/>
        <w:jc w:val="both"/>
      </w:pPr>
      <w:r>
        <w:rPr/>
        <w:t>The ellagic acid in the pomegranate unfolds its effect directly in the bronchi of the lungs. There, the ellagic acid accumulates in addition to the breath and, as an effective antioxidant, successfully neutralises harmful air constituents which are created by air pollution.</w:t>
      </w:r>
    </w:p>
    <w:p>
      <w:pPr>
        <w:pStyle w:val="BodyText"/>
        <w:spacing w:line="276" w:lineRule="auto" w:before="242"/>
        <w:ind w:left="477" w:right="141"/>
        <w:jc w:val="both"/>
      </w:pPr>
      <w:r>
        <w:rPr/>
        <w:t>Furthermore, the polyphenols act against viruses and bacteria and thus affect the health of the bronchi and the entire lung.</w:t>
      </w:r>
    </w:p>
    <w:p>
      <w:pPr>
        <w:pStyle w:val="Heading1"/>
        <w:spacing w:before="222"/>
      </w:pPr>
      <w:r>
        <w:rPr/>
        <w:t>Effect on the gastrointestinal tract</w:t>
      </w:r>
    </w:p>
    <w:p>
      <w:pPr>
        <w:pStyle w:val="BodyText"/>
        <w:spacing w:line="276" w:lineRule="auto" w:before="299"/>
        <w:ind w:left="477" w:right="134"/>
        <w:jc w:val="both"/>
      </w:pPr>
      <w:r>
        <w:rPr/>
        <w:t>The polyphenols of pomegranate already develop their positive effect in the gastrointestinal tract. Due to the fact that the polyphenols cannot all leave the intestine into the blood due to their molecular structure, they work longer within the intestine. Here, they help the body maintain healthy intestinal flora by killing harmful bacteria and disease-causing viruses.</w:t>
      </w:r>
    </w:p>
    <w:p>
      <w:pPr>
        <w:pStyle w:val="BodyText"/>
        <w:rPr>
          <w:sz w:val="42"/>
        </w:rPr>
      </w:pPr>
    </w:p>
    <w:p>
      <w:pPr>
        <w:pStyle w:val="BodyText"/>
        <w:rPr>
          <w:sz w:val="42"/>
        </w:rPr>
      </w:pPr>
    </w:p>
    <w:p>
      <w:pPr>
        <w:pStyle w:val="BodyText"/>
        <w:rPr>
          <w:sz w:val="42"/>
        </w:rPr>
      </w:pPr>
    </w:p>
    <w:p>
      <w:pPr>
        <w:pStyle w:val="Heading1"/>
        <w:spacing w:before="269"/>
      </w:pPr>
      <w:r>
        <w:rPr/>
        <w:t>Effect on the brain and nerves</w:t>
      </w:r>
    </w:p>
    <w:p>
      <w:pPr>
        <w:pStyle w:val="BodyText"/>
        <w:spacing w:line="276" w:lineRule="auto" w:before="299"/>
        <w:ind w:left="477" w:right="138"/>
        <w:jc w:val="both"/>
      </w:pPr>
      <w:r>
        <w:rPr/>
        <w:t>Corresponding studies have shown that the flavonoids in pomegranate can</w:t>
      </w:r>
      <w:r>
        <w:rPr>
          <w:spacing w:val="-55"/>
        </w:rPr>
        <w:t> </w:t>
      </w:r>
      <w:r>
        <w:rPr/>
        <w:t>im- prove</w:t>
      </w:r>
      <w:r>
        <w:rPr>
          <w:spacing w:val="-26"/>
        </w:rPr>
        <w:t> </w:t>
      </w:r>
      <w:r>
        <w:rPr/>
        <w:t>brain</w:t>
      </w:r>
      <w:r>
        <w:rPr>
          <w:spacing w:val="-27"/>
        </w:rPr>
        <w:t> </w:t>
      </w:r>
      <w:r>
        <w:rPr/>
        <w:t>performance.</w:t>
      </w:r>
      <w:r>
        <w:rPr>
          <w:spacing w:val="-25"/>
        </w:rPr>
        <w:t> </w:t>
      </w:r>
      <w:r>
        <w:rPr/>
        <w:t>Pomegranate</w:t>
      </w:r>
      <w:r>
        <w:rPr>
          <w:spacing w:val="-27"/>
        </w:rPr>
        <w:t> </w:t>
      </w:r>
      <w:r>
        <w:rPr/>
        <w:t>phenolic</w:t>
      </w:r>
      <w:r>
        <w:rPr>
          <w:spacing w:val="-26"/>
        </w:rPr>
        <w:t> </w:t>
      </w:r>
      <w:r>
        <w:rPr/>
        <w:t>acids</w:t>
      </w:r>
      <w:r>
        <w:rPr>
          <w:spacing w:val="-27"/>
        </w:rPr>
        <w:t> </w:t>
      </w:r>
      <w:r>
        <w:rPr/>
        <w:t>protect</w:t>
      </w:r>
      <w:r>
        <w:rPr>
          <w:spacing w:val="-26"/>
        </w:rPr>
        <w:t> </w:t>
      </w:r>
      <w:r>
        <w:rPr/>
        <w:t>the</w:t>
      </w:r>
      <w:r>
        <w:rPr>
          <w:spacing w:val="-26"/>
        </w:rPr>
        <w:t> </w:t>
      </w:r>
      <w:r>
        <w:rPr/>
        <w:t>body's</w:t>
      </w:r>
      <w:r>
        <w:rPr>
          <w:spacing w:val="-25"/>
        </w:rPr>
        <w:t> </w:t>
      </w:r>
      <w:r>
        <w:rPr/>
        <w:t>nerves from the destructive degradation processes caused by free</w:t>
      </w:r>
      <w:r>
        <w:rPr>
          <w:spacing w:val="-9"/>
        </w:rPr>
        <w:t> </w:t>
      </w:r>
      <w:r>
        <w:rPr/>
        <w:t>radicals.</w:t>
      </w:r>
    </w:p>
    <w:p>
      <w:pPr>
        <w:pStyle w:val="Heading1"/>
        <w:spacing w:before="222"/>
        <w:jc w:val="both"/>
      </w:pPr>
      <w:r>
        <w:rPr/>
        <w:t>Effect on the skin</w:t>
      </w:r>
    </w:p>
    <w:p>
      <w:pPr>
        <w:spacing w:after="0"/>
        <w:jc w:val="both"/>
        <w:sectPr>
          <w:pgSz w:w="14270" w:h="16850"/>
          <w:pgMar w:header="0" w:footer="404" w:top="1600" w:bottom="2080" w:left="800" w:right="1280"/>
        </w:sectPr>
      </w:pPr>
    </w:p>
    <w:p>
      <w:pPr>
        <w:pStyle w:val="BodyText"/>
        <w:spacing w:line="276" w:lineRule="auto" w:before="181"/>
        <w:ind w:left="477" w:right="135"/>
        <w:jc w:val="both"/>
      </w:pPr>
      <w:r>
        <w:rPr/>
        <w:t>Free</w:t>
      </w:r>
      <w:r>
        <w:rPr>
          <w:spacing w:val="-22"/>
        </w:rPr>
        <w:t> </w:t>
      </w:r>
      <w:r>
        <w:rPr/>
        <w:t>radicals,</w:t>
      </w:r>
      <w:r>
        <w:rPr>
          <w:spacing w:val="-21"/>
        </w:rPr>
        <w:t> </w:t>
      </w:r>
      <w:r>
        <w:rPr/>
        <w:t>as</w:t>
      </w:r>
      <w:r>
        <w:rPr>
          <w:spacing w:val="-24"/>
        </w:rPr>
        <w:t> </w:t>
      </w:r>
      <w:r>
        <w:rPr/>
        <w:t>the</w:t>
      </w:r>
      <w:r>
        <w:rPr>
          <w:spacing w:val="-20"/>
        </w:rPr>
        <w:t> </w:t>
      </w:r>
      <w:r>
        <w:rPr/>
        <w:t>main</w:t>
      </w:r>
      <w:r>
        <w:rPr>
          <w:spacing w:val="-22"/>
        </w:rPr>
        <w:t> </w:t>
      </w:r>
      <w:r>
        <w:rPr/>
        <w:t>cause</w:t>
      </w:r>
      <w:r>
        <w:rPr>
          <w:spacing w:val="-22"/>
        </w:rPr>
        <w:t> </w:t>
      </w:r>
      <w:r>
        <w:rPr/>
        <w:t>of</w:t>
      </w:r>
      <w:r>
        <w:rPr>
          <w:spacing w:val="-23"/>
        </w:rPr>
        <w:t> </w:t>
      </w:r>
      <w:r>
        <w:rPr/>
        <w:t>ageing</w:t>
      </w:r>
      <w:r>
        <w:rPr>
          <w:spacing w:val="-20"/>
        </w:rPr>
        <w:t> </w:t>
      </w:r>
      <w:r>
        <w:rPr/>
        <w:t>processes,</w:t>
      </w:r>
      <w:r>
        <w:rPr>
          <w:spacing w:val="-22"/>
        </w:rPr>
        <w:t> </w:t>
      </w:r>
      <w:r>
        <w:rPr/>
        <w:t>are</w:t>
      </w:r>
      <w:r>
        <w:rPr>
          <w:spacing w:val="-23"/>
        </w:rPr>
        <w:t> </w:t>
      </w:r>
      <w:r>
        <w:rPr/>
        <w:t>also</w:t>
      </w:r>
      <w:r>
        <w:rPr>
          <w:spacing w:val="-22"/>
        </w:rPr>
        <w:t> </w:t>
      </w:r>
      <w:r>
        <w:rPr/>
        <w:t>merciless</w:t>
      </w:r>
      <w:r>
        <w:rPr>
          <w:spacing w:val="-20"/>
        </w:rPr>
        <w:t> </w:t>
      </w:r>
      <w:r>
        <w:rPr/>
        <w:t>in</w:t>
      </w:r>
      <w:r>
        <w:rPr>
          <w:spacing w:val="-22"/>
        </w:rPr>
        <w:t> </w:t>
      </w:r>
      <w:r>
        <w:rPr/>
        <w:t>causing skin ageing.</w:t>
      </w:r>
    </w:p>
    <w:p>
      <w:pPr>
        <w:pStyle w:val="BodyText"/>
        <w:spacing w:line="276" w:lineRule="auto" w:before="241"/>
        <w:ind w:left="477" w:right="137"/>
        <w:jc w:val="both"/>
      </w:pPr>
      <w:r>
        <w:rPr/>
        <w:t>‘Cosmetics’,</w:t>
      </w:r>
      <w:r>
        <w:rPr>
          <w:spacing w:val="-15"/>
        </w:rPr>
        <w:t> </w:t>
      </w:r>
      <w:r>
        <w:rPr/>
        <w:t>both</w:t>
      </w:r>
      <w:r>
        <w:rPr>
          <w:spacing w:val="-12"/>
        </w:rPr>
        <w:t> </w:t>
      </w:r>
      <w:r>
        <w:rPr/>
        <w:t>internal</w:t>
      </w:r>
      <w:r>
        <w:rPr>
          <w:spacing w:val="-13"/>
        </w:rPr>
        <w:t> </w:t>
      </w:r>
      <w:r>
        <w:rPr/>
        <w:t>and</w:t>
      </w:r>
      <w:r>
        <w:rPr>
          <w:spacing w:val="-15"/>
        </w:rPr>
        <w:t> </w:t>
      </w:r>
      <w:r>
        <w:rPr/>
        <w:t>external,</w:t>
      </w:r>
      <w:r>
        <w:rPr>
          <w:spacing w:val="-13"/>
        </w:rPr>
        <w:t> </w:t>
      </w:r>
      <w:r>
        <w:rPr/>
        <w:t>are</w:t>
      </w:r>
      <w:r>
        <w:rPr>
          <w:spacing w:val="-12"/>
        </w:rPr>
        <w:t> </w:t>
      </w:r>
      <w:r>
        <w:rPr/>
        <w:t>necessary</w:t>
      </w:r>
      <w:r>
        <w:rPr>
          <w:spacing w:val="-13"/>
        </w:rPr>
        <w:t> </w:t>
      </w:r>
      <w:r>
        <w:rPr/>
        <w:t>to</w:t>
      </w:r>
      <w:r>
        <w:rPr>
          <w:spacing w:val="-15"/>
        </w:rPr>
        <w:t> </w:t>
      </w:r>
      <w:r>
        <w:rPr/>
        <w:t>prevent</w:t>
      </w:r>
      <w:r>
        <w:rPr>
          <w:spacing w:val="-15"/>
        </w:rPr>
        <w:t> </w:t>
      </w:r>
      <w:r>
        <w:rPr/>
        <w:t>premature</w:t>
      </w:r>
      <w:r>
        <w:rPr>
          <w:spacing w:val="-12"/>
        </w:rPr>
        <w:t> </w:t>
      </w:r>
      <w:r>
        <w:rPr/>
        <w:t>age- ing!</w:t>
      </w:r>
      <w:r>
        <w:rPr>
          <w:spacing w:val="-14"/>
        </w:rPr>
        <w:t> </w:t>
      </w:r>
      <w:r>
        <w:rPr/>
        <w:t>Here,</w:t>
      </w:r>
      <w:r>
        <w:rPr>
          <w:spacing w:val="-16"/>
        </w:rPr>
        <w:t> </w:t>
      </w:r>
      <w:r>
        <w:rPr/>
        <w:t>the</w:t>
      </w:r>
      <w:r>
        <w:rPr>
          <w:spacing w:val="-14"/>
        </w:rPr>
        <w:t> </w:t>
      </w:r>
      <w:r>
        <w:rPr/>
        <w:t>antioxidants</w:t>
      </w:r>
      <w:r>
        <w:rPr>
          <w:spacing w:val="-14"/>
        </w:rPr>
        <w:t> </w:t>
      </w:r>
      <w:r>
        <w:rPr/>
        <w:t>of</w:t>
      </w:r>
      <w:r>
        <w:rPr>
          <w:spacing w:val="-15"/>
        </w:rPr>
        <w:t> </w:t>
      </w:r>
      <w:r>
        <w:rPr/>
        <w:t>pomegranate</w:t>
      </w:r>
      <w:r>
        <w:rPr>
          <w:spacing w:val="-14"/>
        </w:rPr>
        <w:t> </w:t>
      </w:r>
      <w:r>
        <w:rPr/>
        <w:t>on</w:t>
      </w:r>
      <w:r>
        <w:rPr>
          <w:spacing w:val="-14"/>
        </w:rPr>
        <w:t> </w:t>
      </w:r>
      <w:r>
        <w:rPr/>
        <w:t>the</w:t>
      </w:r>
      <w:r>
        <w:rPr>
          <w:spacing w:val="-15"/>
        </w:rPr>
        <w:t> </w:t>
      </w:r>
      <w:r>
        <w:rPr/>
        <w:t>inside</w:t>
      </w:r>
      <w:r>
        <w:rPr>
          <w:spacing w:val="-15"/>
        </w:rPr>
        <w:t> </w:t>
      </w:r>
      <w:r>
        <w:rPr/>
        <w:t>of</w:t>
      </w:r>
      <w:r>
        <w:rPr>
          <w:spacing w:val="-16"/>
        </w:rPr>
        <w:t> </w:t>
      </w:r>
      <w:r>
        <w:rPr/>
        <w:t>the</w:t>
      </w:r>
      <w:r>
        <w:rPr>
          <w:spacing w:val="-14"/>
        </w:rPr>
        <w:t> </w:t>
      </w:r>
      <w:r>
        <w:rPr/>
        <w:t>inner</w:t>
      </w:r>
      <w:r>
        <w:rPr>
          <w:spacing w:val="-14"/>
        </w:rPr>
        <w:t> </w:t>
      </w:r>
      <w:r>
        <w:rPr/>
        <w:t>skin</w:t>
      </w:r>
      <w:r>
        <w:rPr>
          <w:spacing w:val="-16"/>
        </w:rPr>
        <w:t> </w:t>
      </w:r>
      <w:r>
        <w:rPr/>
        <w:t>layers and</w:t>
      </w:r>
      <w:r>
        <w:rPr>
          <w:spacing w:val="-10"/>
        </w:rPr>
        <w:t> </w:t>
      </w:r>
      <w:r>
        <w:rPr/>
        <w:t>externally</w:t>
      </w:r>
      <w:r>
        <w:rPr>
          <w:spacing w:val="-10"/>
        </w:rPr>
        <w:t> </w:t>
      </w:r>
      <w:r>
        <w:rPr/>
        <w:t>in</w:t>
      </w:r>
      <w:r>
        <w:rPr>
          <w:spacing w:val="-9"/>
        </w:rPr>
        <w:t> </w:t>
      </w:r>
      <w:r>
        <w:rPr/>
        <w:t>the</w:t>
      </w:r>
      <w:r>
        <w:rPr>
          <w:spacing w:val="-9"/>
        </w:rPr>
        <w:t> </w:t>
      </w:r>
      <w:r>
        <w:rPr/>
        <w:t>form</w:t>
      </w:r>
      <w:r>
        <w:rPr>
          <w:spacing w:val="-12"/>
        </w:rPr>
        <w:t> </w:t>
      </w:r>
      <w:r>
        <w:rPr/>
        <w:t>of</w:t>
      </w:r>
      <w:r>
        <w:rPr>
          <w:spacing w:val="-12"/>
        </w:rPr>
        <w:t> </w:t>
      </w:r>
      <w:r>
        <w:rPr/>
        <w:t>pomegranate</w:t>
      </w:r>
      <w:r>
        <w:rPr>
          <w:spacing w:val="-10"/>
        </w:rPr>
        <w:t> </w:t>
      </w:r>
      <w:r>
        <w:rPr/>
        <w:t>creams</w:t>
      </w:r>
      <w:r>
        <w:rPr>
          <w:spacing w:val="-10"/>
        </w:rPr>
        <w:t> </w:t>
      </w:r>
      <w:r>
        <w:rPr/>
        <w:t>and</w:t>
      </w:r>
      <w:r>
        <w:rPr>
          <w:spacing w:val="-9"/>
        </w:rPr>
        <w:t> </w:t>
      </w:r>
      <w:r>
        <w:rPr/>
        <w:t>lotions</w:t>
      </w:r>
      <w:r>
        <w:rPr>
          <w:spacing w:val="-12"/>
        </w:rPr>
        <w:t> </w:t>
      </w:r>
      <w:r>
        <w:rPr/>
        <w:t>protect</w:t>
      </w:r>
      <w:r>
        <w:rPr>
          <w:spacing w:val="-9"/>
        </w:rPr>
        <w:t> </w:t>
      </w:r>
      <w:r>
        <w:rPr/>
        <w:t>the</w:t>
      </w:r>
      <w:r>
        <w:rPr>
          <w:spacing w:val="-12"/>
        </w:rPr>
        <w:t> </w:t>
      </w:r>
      <w:r>
        <w:rPr/>
        <w:t>outer skin layer against the attacks of free</w:t>
      </w:r>
      <w:r>
        <w:rPr>
          <w:spacing w:val="1"/>
        </w:rPr>
        <w:t> </w:t>
      </w:r>
      <w:r>
        <w:rPr/>
        <w:t>radicals.</w:t>
      </w:r>
    </w:p>
    <w:p>
      <w:pPr>
        <w:pStyle w:val="Heading1"/>
        <w:spacing w:before="223"/>
      </w:pPr>
      <w:r>
        <w:rPr/>
        <w:t>Effect on our musculoskeletal system</w:t>
      </w:r>
    </w:p>
    <w:p>
      <w:pPr>
        <w:pStyle w:val="BodyText"/>
        <w:spacing w:line="276" w:lineRule="auto" w:before="299"/>
        <w:ind w:left="477" w:right="132"/>
        <w:jc w:val="both"/>
      </w:pPr>
      <w:r>
        <w:rPr/>
        <w:t>The ingredients of pomegranate can make a significant contribution to osteo- porosis (bone loss) with their phytoestrogens. The antioxidant and</w:t>
      </w:r>
      <w:r>
        <w:rPr>
          <w:spacing w:val="-55"/>
        </w:rPr>
        <w:t> </w:t>
      </w:r>
      <w:r>
        <w:rPr/>
        <w:t>anti-inflam- matory components can inhibit cartilaginous enzymes from working and</w:t>
      </w:r>
      <w:r>
        <w:rPr>
          <w:spacing w:val="-67"/>
        </w:rPr>
        <w:t> </w:t>
      </w:r>
      <w:r>
        <w:rPr/>
        <w:t>coun- teract inflammatory mechanisms.</w:t>
      </w:r>
    </w:p>
    <w:p>
      <w:pPr>
        <w:pStyle w:val="BodyText"/>
        <w:rPr>
          <w:sz w:val="42"/>
        </w:rPr>
      </w:pPr>
    </w:p>
    <w:p>
      <w:pPr>
        <w:pStyle w:val="BodyText"/>
        <w:rPr>
          <w:sz w:val="42"/>
        </w:rPr>
      </w:pPr>
    </w:p>
    <w:p>
      <w:pPr>
        <w:pStyle w:val="BodyText"/>
        <w:rPr>
          <w:sz w:val="42"/>
        </w:rPr>
      </w:pPr>
    </w:p>
    <w:p>
      <w:pPr>
        <w:pStyle w:val="Heading1"/>
        <w:spacing w:before="269"/>
      </w:pPr>
      <w:r>
        <w:rPr/>
        <w:t>Effect on liver and pancreas</w:t>
      </w:r>
    </w:p>
    <w:p>
      <w:pPr>
        <w:pStyle w:val="BodyText"/>
        <w:spacing w:line="276" w:lineRule="auto" w:before="299"/>
        <w:ind w:left="477" w:right="138"/>
        <w:jc w:val="both"/>
      </w:pPr>
      <w:r>
        <w:rPr/>
        <w:t>In the liver, polyphenols can promote those enzymes that are responsible for detoxification. Furthermore, they work as antioxidants to protect the liver, which also releases free radicals during detoxification. The pomegranate ellagic acid can also protect the pancreas by preventing inflammation.</w:t>
      </w:r>
    </w:p>
    <w:p>
      <w:pPr>
        <w:pStyle w:val="Heading1"/>
        <w:spacing w:before="222"/>
        <w:jc w:val="both"/>
      </w:pPr>
      <w:r>
        <w:rPr/>
        <w:t>Special effect on the following diseases and conditions</w:t>
      </w:r>
    </w:p>
    <w:p>
      <w:pPr>
        <w:spacing w:after="0"/>
        <w:jc w:val="both"/>
        <w:sectPr>
          <w:pgSz w:w="14270" w:h="16850"/>
          <w:pgMar w:header="0" w:footer="404" w:top="1600" w:bottom="2080" w:left="800" w:right="1280"/>
        </w:sectPr>
      </w:pPr>
    </w:p>
    <w:p>
      <w:pPr>
        <w:pStyle w:val="BodyText"/>
        <w:spacing w:before="10"/>
        <w:rPr>
          <w:b/>
          <w:i/>
          <w:sz w:val="8"/>
        </w:rPr>
      </w:pPr>
    </w:p>
    <w:p>
      <w:pPr>
        <w:pStyle w:val="ListParagraph"/>
        <w:numPr>
          <w:ilvl w:val="0"/>
          <w:numId w:val="33"/>
        </w:numPr>
        <w:tabs>
          <w:tab w:pos="892" w:val="left" w:leader="none"/>
          <w:tab w:pos="893" w:val="left" w:leader="none"/>
        </w:tabs>
        <w:spacing w:line="240" w:lineRule="auto" w:before="83" w:after="0"/>
        <w:ind w:left="892" w:right="0" w:hanging="415"/>
        <w:jc w:val="left"/>
        <w:rPr>
          <w:sz w:val="38"/>
        </w:rPr>
      </w:pPr>
      <w:r>
        <w:rPr>
          <w:sz w:val="38"/>
        </w:rPr>
        <w:t>cardiovascular disease</w:t>
      </w:r>
    </w:p>
    <w:p>
      <w:pPr>
        <w:pStyle w:val="ListParagraph"/>
        <w:numPr>
          <w:ilvl w:val="0"/>
          <w:numId w:val="33"/>
        </w:numPr>
        <w:tabs>
          <w:tab w:pos="892" w:val="left" w:leader="none"/>
          <w:tab w:pos="893" w:val="left" w:leader="none"/>
        </w:tabs>
        <w:spacing w:line="240" w:lineRule="auto" w:before="64" w:after="0"/>
        <w:ind w:left="892" w:right="0" w:hanging="415"/>
        <w:jc w:val="left"/>
        <w:rPr>
          <w:sz w:val="38"/>
        </w:rPr>
      </w:pPr>
      <w:r>
        <w:rPr>
          <w:sz w:val="38"/>
        </w:rPr>
        <w:t>atherosclerosis</w:t>
      </w:r>
    </w:p>
    <w:p>
      <w:pPr>
        <w:pStyle w:val="ListParagraph"/>
        <w:numPr>
          <w:ilvl w:val="0"/>
          <w:numId w:val="33"/>
        </w:numPr>
        <w:tabs>
          <w:tab w:pos="892" w:val="left" w:leader="none"/>
          <w:tab w:pos="893" w:val="left" w:leader="none"/>
        </w:tabs>
        <w:spacing w:line="240" w:lineRule="auto" w:before="66" w:after="0"/>
        <w:ind w:left="892" w:right="0" w:hanging="415"/>
        <w:jc w:val="left"/>
        <w:rPr>
          <w:sz w:val="38"/>
        </w:rPr>
      </w:pPr>
      <w:r>
        <w:rPr>
          <w:sz w:val="38"/>
        </w:rPr>
        <w:t>high blood</w:t>
      </w:r>
      <w:r>
        <w:rPr>
          <w:spacing w:val="-3"/>
          <w:sz w:val="38"/>
        </w:rPr>
        <w:t> </w:t>
      </w:r>
      <w:r>
        <w:rPr>
          <w:sz w:val="38"/>
        </w:rPr>
        <w:t>pressure</w:t>
      </w:r>
    </w:p>
    <w:p>
      <w:pPr>
        <w:pStyle w:val="ListParagraph"/>
        <w:numPr>
          <w:ilvl w:val="0"/>
          <w:numId w:val="33"/>
        </w:numPr>
        <w:tabs>
          <w:tab w:pos="892" w:val="left" w:leader="none"/>
          <w:tab w:pos="893" w:val="left" w:leader="none"/>
        </w:tabs>
        <w:spacing w:line="240" w:lineRule="auto" w:before="63" w:after="0"/>
        <w:ind w:left="892" w:right="0" w:hanging="415"/>
        <w:jc w:val="left"/>
        <w:rPr>
          <w:sz w:val="38"/>
        </w:rPr>
      </w:pPr>
      <w:r>
        <w:rPr>
          <w:sz w:val="38"/>
        </w:rPr>
        <w:t>high</w:t>
      </w:r>
      <w:r>
        <w:rPr>
          <w:spacing w:val="-2"/>
          <w:sz w:val="38"/>
        </w:rPr>
        <w:t> </w:t>
      </w:r>
      <w:r>
        <w:rPr>
          <w:sz w:val="38"/>
        </w:rPr>
        <w:t>cholesterol</w:t>
      </w:r>
    </w:p>
    <w:p>
      <w:pPr>
        <w:pStyle w:val="ListParagraph"/>
        <w:numPr>
          <w:ilvl w:val="0"/>
          <w:numId w:val="33"/>
        </w:numPr>
        <w:tabs>
          <w:tab w:pos="892" w:val="left" w:leader="none"/>
          <w:tab w:pos="893" w:val="left" w:leader="none"/>
        </w:tabs>
        <w:spacing w:line="240" w:lineRule="auto" w:before="64" w:after="0"/>
        <w:ind w:left="892" w:right="0" w:hanging="415"/>
        <w:jc w:val="left"/>
        <w:rPr>
          <w:sz w:val="38"/>
        </w:rPr>
      </w:pPr>
      <w:r>
        <w:rPr>
          <w:sz w:val="38"/>
        </w:rPr>
        <w:t>cancer</w:t>
      </w:r>
    </w:p>
    <w:p>
      <w:pPr>
        <w:pStyle w:val="ListParagraph"/>
        <w:numPr>
          <w:ilvl w:val="0"/>
          <w:numId w:val="33"/>
        </w:numPr>
        <w:tabs>
          <w:tab w:pos="892" w:val="left" w:leader="none"/>
          <w:tab w:pos="893" w:val="left" w:leader="none"/>
        </w:tabs>
        <w:spacing w:line="240" w:lineRule="auto" w:before="63" w:after="0"/>
        <w:ind w:left="892" w:right="0" w:hanging="415"/>
        <w:jc w:val="left"/>
        <w:rPr>
          <w:sz w:val="38"/>
        </w:rPr>
      </w:pPr>
      <w:r>
        <w:rPr>
          <w:sz w:val="38"/>
        </w:rPr>
        <w:t>arthritis</w:t>
      </w:r>
    </w:p>
    <w:p>
      <w:pPr>
        <w:pStyle w:val="ListParagraph"/>
        <w:numPr>
          <w:ilvl w:val="0"/>
          <w:numId w:val="33"/>
        </w:numPr>
        <w:tabs>
          <w:tab w:pos="892" w:val="left" w:leader="none"/>
          <w:tab w:pos="893" w:val="left" w:leader="none"/>
        </w:tabs>
        <w:spacing w:line="240" w:lineRule="auto" w:before="65" w:after="0"/>
        <w:ind w:left="892" w:right="0" w:hanging="415"/>
        <w:jc w:val="left"/>
        <w:rPr>
          <w:sz w:val="38"/>
        </w:rPr>
      </w:pPr>
      <w:r>
        <w:rPr>
          <w:sz w:val="38"/>
        </w:rPr>
        <w:t>intestinal</w:t>
      </w:r>
      <w:r>
        <w:rPr>
          <w:spacing w:val="-1"/>
          <w:sz w:val="38"/>
        </w:rPr>
        <w:t> </w:t>
      </w:r>
      <w:r>
        <w:rPr>
          <w:sz w:val="38"/>
        </w:rPr>
        <w:t>inflammation</w:t>
      </w:r>
    </w:p>
    <w:p>
      <w:pPr>
        <w:pStyle w:val="ListParagraph"/>
        <w:numPr>
          <w:ilvl w:val="0"/>
          <w:numId w:val="33"/>
        </w:numPr>
        <w:tabs>
          <w:tab w:pos="892" w:val="left" w:leader="none"/>
          <w:tab w:pos="893" w:val="left" w:leader="none"/>
        </w:tabs>
        <w:spacing w:line="240" w:lineRule="auto" w:before="66" w:after="0"/>
        <w:ind w:left="892" w:right="0" w:hanging="415"/>
        <w:jc w:val="left"/>
        <w:rPr>
          <w:sz w:val="38"/>
        </w:rPr>
      </w:pPr>
      <w:r>
        <w:rPr>
          <w:sz w:val="38"/>
        </w:rPr>
        <w:t>Alzheimer’s</w:t>
      </w:r>
    </w:p>
    <w:p>
      <w:pPr>
        <w:pStyle w:val="ListParagraph"/>
        <w:numPr>
          <w:ilvl w:val="0"/>
          <w:numId w:val="33"/>
        </w:numPr>
        <w:tabs>
          <w:tab w:pos="892" w:val="left" w:leader="none"/>
          <w:tab w:pos="893" w:val="left" w:leader="none"/>
        </w:tabs>
        <w:spacing w:line="240" w:lineRule="auto" w:before="63" w:after="0"/>
        <w:ind w:left="892" w:right="0" w:hanging="415"/>
        <w:jc w:val="left"/>
        <w:rPr>
          <w:sz w:val="38"/>
        </w:rPr>
      </w:pPr>
      <w:r>
        <w:rPr>
          <w:sz w:val="38"/>
        </w:rPr>
        <w:t>dementia</w:t>
      </w:r>
    </w:p>
    <w:p>
      <w:pPr>
        <w:pStyle w:val="ListParagraph"/>
        <w:numPr>
          <w:ilvl w:val="0"/>
          <w:numId w:val="33"/>
        </w:numPr>
        <w:tabs>
          <w:tab w:pos="892" w:val="left" w:leader="none"/>
          <w:tab w:pos="893" w:val="left" w:leader="none"/>
        </w:tabs>
        <w:spacing w:line="240" w:lineRule="auto" w:before="64" w:after="0"/>
        <w:ind w:left="892" w:right="0" w:hanging="415"/>
        <w:jc w:val="left"/>
        <w:rPr>
          <w:sz w:val="38"/>
        </w:rPr>
      </w:pPr>
      <w:r>
        <w:rPr>
          <w:sz w:val="38"/>
        </w:rPr>
        <w:t>diabetes</w:t>
      </w:r>
    </w:p>
    <w:p>
      <w:pPr>
        <w:pStyle w:val="ListParagraph"/>
        <w:numPr>
          <w:ilvl w:val="0"/>
          <w:numId w:val="33"/>
        </w:numPr>
        <w:tabs>
          <w:tab w:pos="892" w:val="left" w:leader="none"/>
          <w:tab w:pos="893" w:val="left" w:leader="none"/>
        </w:tabs>
        <w:spacing w:line="240" w:lineRule="auto" w:before="64" w:after="0"/>
        <w:ind w:left="892" w:right="0" w:hanging="415"/>
        <w:jc w:val="left"/>
        <w:rPr>
          <w:sz w:val="38"/>
        </w:rPr>
      </w:pPr>
      <w:r>
        <w:rPr>
          <w:sz w:val="38"/>
        </w:rPr>
        <w:t>flu/influenza</w:t>
      </w:r>
    </w:p>
    <w:p>
      <w:pPr>
        <w:pStyle w:val="ListParagraph"/>
        <w:numPr>
          <w:ilvl w:val="0"/>
          <w:numId w:val="33"/>
        </w:numPr>
        <w:tabs>
          <w:tab w:pos="892" w:val="left" w:leader="none"/>
          <w:tab w:pos="893" w:val="left" w:leader="none"/>
        </w:tabs>
        <w:spacing w:line="240" w:lineRule="auto" w:before="63" w:after="0"/>
        <w:ind w:left="892" w:right="0" w:hanging="415"/>
        <w:jc w:val="left"/>
        <w:rPr>
          <w:sz w:val="38"/>
        </w:rPr>
      </w:pPr>
      <w:r>
        <w:rPr>
          <w:sz w:val="38"/>
        </w:rPr>
        <w:t>premenstrual syndrome</w:t>
      </w:r>
      <w:r>
        <w:rPr>
          <w:spacing w:val="1"/>
          <w:sz w:val="38"/>
        </w:rPr>
        <w:t> </w:t>
      </w:r>
      <w:r>
        <w:rPr>
          <w:sz w:val="38"/>
        </w:rPr>
        <w:t>(PMS)</w:t>
      </w:r>
    </w:p>
    <w:p>
      <w:pPr>
        <w:pStyle w:val="ListParagraph"/>
        <w:numPr>
          <w:ilvl w:val="0"/>
          <w:numId w:val="33"/>
        </w:numPr>
        <w:tabs>
          <w:tab w:pos="892" w:val="left" w:leader="none"/>
          <w:tab w:pos="893" w:val="left" w:leader="none"/>
        </w:tabs>
        <w:spacing w:line="240" w:lineRule="auto" w:before="66" w:after="0"/>
        <w:ind w:left="892" w:right="0" w:hanging="415"/>
        <w:jc w:val="left"/>
        <w:rPr>
          <w:sz w:val="38"/>
        </w:rPr>
      </w:pPr>
      <w:r>
        <w:rPr>
          <w:sz w:val="38"/>
        </w:rPr>
        <w:t>HIV/AIDS</w:t>
      </w:r>
    </w:p>
    <w:p>
      <w:pPr>
        <w:pStyle w:val="ListParagraph"/>
        <w:numPr>
          <w:ilvl w:val="0"/>
          <w:numId w:val="33"/>
        </w:numPr>
        <w:tabs>
          <w:tab w:pos="892" w:val="left" w:leader="none"/>
          <w:tab w:pos="893" w:val="left" w:leader="none"/>
        </w:tabs>
        <w:spacing w:line="240" w:lineRule="auto" w:before="64" w:after="0"/>
        <w:ind w:left="892" w:right="0" w:hanging="415"/>
        <w:jc w:val="left"/>
        <w:rPr>
          <w:sz w:val="38"/>
        </w:rPr>
      </w:pPr>
      <w:r>
        <w:rPr>
          <w:sz w:val="38"/>
        </w:rPr>
        <w:t>brain protection of newborns</w:t>
      </w:r>
    </w:p>
    <w:p>
      <w:pPr>
        <w:pStyle w:val="ListParagraph"/>
        <w:numPr>
          <w:ilvl w:val="0"/>
          <w:numId w:val="33"/>
        </w:numPr>
        <w:tabs>
          <w:tab w:pos="892" w:val="left" w:leader="none"/>
          <w:tab w:pos="893" w:val="left" w:leader="none"/>
        </w:tabs>
        <w:spacing w:line="240" w:lineRule="auto" w:before="64" w:after="0"/>
        <w:ind w:left="892" w:right="0" w:hanging="415"/>
        <w:jc w:val="left"/>
        <w:rPr>
          <w:sz w:val="38"/>
        </w:rPr>
      </w:pPr>
      <w:r>
        <w:rPr>
          <w:sz w:val="38"/>
        </w:rPr>
        <w:t>chronic fatigue</w:t>
      </w:r>
      <w:r>
        <w:rPr>
          <w:spacing w:val="-1"/>
          <w:sz w:val="38"/>
        </w:rPr>
        <w:t> </w:t>
      </w:r>
      <w:r>
        <w:rPr>
          <w:sz w:val="38"/>
        </w:rPr>
        <w:t>syndrome</w:t>
      </w:r>
    </w:p>
    <w:p>
      <w:pPr>
        <w:pStyle w:val="ListParagraph"/>
        <w:numPr>
          <w:ilvl w:val="0"/>
          <w:numId w:val="33"/>
        </w:numPr>
        <w:tabs>
          <w:tab w:pos="892" w:val="left" w:leader="none"/>
          <w:tab w:pos="893" w:val="left" w:leader="none"/>
        </w:tabs>
        <w:spacing w:line="240" w:lineRule="auto" w:before="64" w:after="0"/>
        <w:ind w:left="892" w:right="0" w:hanging="415"/>
        <w:jc w:val="left"/>
        <w:rPr>
          <w:sz w:val="38"/>
        </w:rPr>
      </w:pPr>
      <w:r>
        <w:rPr>
          <w:sz w:val="38"/>
        </w:rPr>
        <w:t>listlessness</w:t>
      </w:r>
    </w:p>
    <w:p>
      <w:pPr>
        <w:pStyle w:val="ListParagraph"/>
        <w:numPr>
          <w:ilvl w:val="0"/>
          <w:numId w:val="33"/>
        </w:numPr>
        <w:tabs>
          <w:tab w:pos="892" w:val="left" w:leader="none"/>
          <w:tab w:pos="893" w:val="left" w:leader="none"/>
        </w:tabs>
        <w:spacing w:line="240" w:lineRule="auto" w:before="66" w:after="0"/>
        <w:ind w:left="892" w:right="0" w:hanging="415"/>
        <w:jc w:val="left"/>
        <w:rPr>
          <w:sz w:val="38"/>
        </w:rPr>
      </w:pPr>
      <w:r>
        <w:rPr>
          <w:sz w:val="38"/>
        </w:rPr>
        <w:t>digestion</w:t>
      </w:r>
      <w:r>
        <w:rPr>
          <w:spacing w:val="-2"/>
          <w:sz w:val="38"/>
        </w:rPr>
        <w:t> </w:t>
      </w:r>
      <w:r>
        <w:rPr>
          <w:sz w:val="38"/>
        </w:rPr>
        <w:t>problems</w:t>
      </w:r>
    </w:p>
    <w:p>
      <w:pPr>
        <w:pStyle w:val="ListParagraph"/>
        <w:numPr>
          <w:ilvl w:val="0"/>
          <w:numId w:val="33"/>
        </w:numPr>
        <w:tabs>
          <w:tab w:pos="892" w:val="left" w:leader="none"/>
          <w:tab w:pos="893" w:val="left" w:leader="none"/>
        </w:tabs>
        <w:spacing w:line="240" w:lineRule="auto" w:before="63" w:after="0"/>
        <w:ind w:left="892" w:right="0" w:hanging="415"/>
        <w:jc w:val="left"/>
        <w:rPr>
          <w:sz w:val="38"/>
        </w:rPr>
      </w:pPr>
      <w:r>
        <w:rPr>
          <w:sz w:val="38"/>
        </w:rPr>
        <w:t>inflammation</w:t>
      </w:r>
    </w:p>
    <w:p>
      <w:pPr>
        <w:pStyle w:val="ListParagraph"/>
        <w:numPr>
          <w:ilvl w:val="0"/>
          <w:numId w:val="33"/>
        </w:numPr>
        <w:tabs>
          <w:tab w:pos="892" w:val="left" w:leader="none"/>
          <w:tab w:pos="893" w:val="left" w:leader="none"/>
        </w:tabs>
        <w:spacing w:line="240" w:lineRule="auto" w:before="64" w:after="0"/>
        <w:ind w:left="892" w:right="0" w:hanging="415"/>
        <w:jc w:val="left"/>
        <w:rPr>
          <w:sz w:val="38"/>
        </w:rPr>
      </w:pPr>
      <w:r>
        <w:rPr>
          <w:sz w:val="38"/>
        </w:rPr>
        <w:t>infections</w:t>
      </w:r>
    </w:p>
    <w:p>
      <w:pPr>
        <w:pStyle w:val="ListParagraph"/>
        <w:numPr>
          <w:ilvl w:val="0"/>
          <w:numId w:val="33"/>
        </w:numPr>
        <w:tabs>
          <w:tab w:pos="892" w:val="left" w:leader="none"/>
          <w:tab w:pos="893" w:val="left" w:leader="none"/>
        </w:tabs>
        <w:spacing w:line="240" w:lineRule="auto" w:before="63" w:after="0"/>
        <w:ind w:left="892" w:right="0" w:hanging="415"/>
        <w:jc w:val="left"/>
        <w:rPr>
          <w:sz w:val="38"/>
        </w:rPr>
      </w:pPr>
      <w:r>
        <w:rPr>
          <w:sz w:val="38"/>
        </w:rPr>
        <w:t>impotence</w:t>
      </w:r>
    </w:p>
    <w:p>
      <w:pPr>
        <w:pStyle w:val="ListParagraph"/>
        <w:numPr>
          <w:ilvl w:val="0"/>
          <w:numId w:val="33"/>
        </w:numPr>
        <w:tabs>
          <w:tab w:pos="892" w:val="left" w:leader="none"/>
          <w:tab w:pos="893" w:val="left" w:leader="none"/>
        </w:tabs>
        <w:spacing w:line="240" w:lineRule="auto" w:before="65" w:after="0"/>
        <w:ind w:left="892" w:right="0" w:hanging="415"/>
        <w:jc w:val="left"/>
        <w:rPr>
          <w:sz w:val="38"/>
        </w:rPr>
      </w:pPr>
      <w:r>
        <w:rPr>
          <w:sz w:val="38"/>
        </w:rPr>
        <w:t>excess</w:t>
      </w:r>
      <w:r>
        <w:rPr>
          <w:spacing w:val="-2"/>
          <w:sz w:val="38"/>
        </w:rPr>
        <w:t> </w:t>
      </w:r>
      <w:r>
        <w:rPr>
          <w:sz w:val="38"/>
        </w:rPr>
        <w:t>weight</w:t>
      </w:r>
    </w:p>
    <w:p>
      <w:pPr>
        <w:pStyle w:val="ListParagraph"/>
        <w:numPr>
          <w:ilvl w:val="0"/>
          <w:numId w:val="33"/>
        </w:numPr>
        <w:tabs>
          <w:tab w:pos="892" w:val="left" w:leader="none"/>
          <w:tab w:pos="893" w:val="left" w:leader="none"/>
        </w:tabs>
        <w:spacing w:line="240" w:lineRule="auto" w:before="66" w:after="0"/>
        <w:ind w:left="892" w:right="0" w:hanging="415"/>
        <w:jc w:val="left"/>
        <w:rPr>
          <w:sz w:val="38"/>
        </w:rPr>
      </w:pPr>
      <w:r>
        <w:rPr>
          <w:sz w:val="38"/>
        </w:rPr>
        <w:t>dental</w:t>
      </w:r>
      <w:r>
        <w:rPr>
          <w:spacing w:val="-1"/>
          <w:sz w:val="38"/>
        </w:rPr>
        <w:t> </w:t>
      </w:r>
      <w:r>
        <w:rPr>
          <w:sz w:val="38"/>
        </w:rPr>
        <w:t>plaque</w:t>
      </w:r>
    </w:p>
    <w:p>
      <w:pPr>
        <w:spacing w:after="0" w:line="240" w:lineRule="auto"/>
        <w:jc w:val="left"/>
        <w:rPr>
          <w:sz w:val="38"/>
        </w:rPr>
        <w:sectPr>
          <w:pgSz w:w="14270" w:h="16850"/>
          <w:pgMar w:header="0" w:footer="404" w:top="1600" w:bottom="2080" w:left="800" w:right="1280"/>
        </w:sectPr>
      </w:pPr>
    </w:p>
    <w:p>
      <w:pPr>
        <w:pStyle w:val="Heading1"/>
        <w:spacing w:before="164"/>
      </w:pPr>
      <w:r>
        <w:rPr/>
        <w:t>Effect against arthritis</w:t>
      </w:r>
    </w:p>
    <w:p>
      <w:pPr>
        <w:pStyle w:val="BodyText"/>
        <w:spacing w:line="276" w:lineRule="auto" w:before="299"/>
        <w:ind w:left="477" w:right="133"/>
        <w:jc w:val="both"/>
      </w:pPr>
      <w:r>
        <w:rPr/>
        <w:t>The</w:t>
      </w:r>
      <w:r>
        <w:rPr>
          <w:spacing w:val="-18"/>
        </w:rPr>
        <w:t> </w:t>
      </w:r>
      <w:r>
        <w:rPr/>
        <w:t>anti-inflammatory</w:t>
      </w:r>
      <w:r>
        <w:rPr>
          <w:spacing w:val="-17"/>
        </w:rPr>
        <w:t> </w:t>
      </w:r>
      <w:r>
        <w:rPr/>
        <w:t>effect</w:t>
      </w:r>
      <w:r>
        <w:rPr>
          <w:spacing w:val="-17"/>
        </w:rPr>
        <w:t> </w:t>
      </w:r>
      <w:r>
        <w:rPr/>
        <w:t>of</w:t>
      </w:r>
      <w:r>
        <w:rPr>
          <w:spacing w:val="-22"/>
        </w:rPr>
        <w:t> </w:t>
      </w:r>
      <w:r>
        <w:rPr/>
        <w:t>pomegranate</w:t>
      </w:r>
      <w:r>
        <w:rPr>
          <w:spacing w:val="-19"/>
        </w:rPr>
        <w:t> </w:t>
      </w:r>
      <w:r>
        <w:rPr/>
        <w:t>works</w:t>
      </w:r>
      <w:r>
        <w:rPr>
          <w:spacing w:val="-17"/>
        </w:rPr>
        <w:t> </w:t>
      </w:r>
      <w:r>
        <w:rPr/>
        <w:t>to</w:t>
      </w:r>
      <w:r>
        <w:rPr>
          <w:spacing w:val="-20"/>
        </w:rPr>
        <w:t> </w:t>
      </w:r>
      <w:r>
        <w:rPr/>
        <w:t>alleviate</w:t>
      </w:r>
      <w:r>
        <w:rPr>
          <w:spacing w:val="-18"/>
        </w:rPr>
        <w:t> </w:t>
      </w:r>
      <w:r>
        <w:rPr/>
        <w:t>symptoms</w:t>
      </w:r>
      <w:r>
        <w:rPr>
          <w:spacing w:val="-17"/>
        </w:rPr>
        <w:t> </w:t>
      </w:r>
      <w:r>
        <w:rPr/>
        <w:t>such as arthritis. In this way, pomegranate protects the destruction of cartilage cells by arthritis. Here, polyphenols have an anti-inflammatory effect on the eico- sanoid metabolism.</w:t>
      </w:r>
    </w:p>
    <w:p>
      <w:pPr>
        <w:pStyle w:val="Heading1"/>
        <w:spacing w:before="222"/>
      </w:pPr>
      <w:r>
        <w:rPr/>
        <w:t>Effect against atherosclerosis</w:t>
      </w:r>
    </w:p>
    <w:p>
      <w:pPr>
        <w:pStyle w:val="BodyText"/>
        <w:spacing w:line="276" w:lineRule="auto" w:before="300"/>
        <w:ind w:left="477" w:right="57"/>
      </w:pPr>
      <w:r>
        <w:rPr/>
        <w:t>According to a long-term study, pomegranate juice can stop the development of</w:t>
      </w:r>
      <w:r>
        <w:rPr>
          <w:spacing w:val="-14"/>
        </w:rPr>
        <w:t> </w:t>
      </w:r>
      <w:r>
        <w:rPr/>
        <w:t>atherosclerosis</w:t>
      </w:r>
      <w:r>
        <w:rPr>
          <w:spacing w:val="-11"/>
        </w:rPr>
        <w:t> </w:t>
      </w:r>
      <w:r>
        <w:rPr/>
        <w:t>(deposits</w:t>
      </w:r>
      <w:r>
        <w:rPr>
          <w:spacing w:val="-13"/>
        </w:rPr>
        <w:t> </w:t>
      </w:r>
      <w:r>
        <w:rPr/>
        <w:t>in</w:t>
      </w:r>
      <w:r>
        <w:rPr>
          <w:spacing w:val="-13"/>
        </w:rPr>
        <w:t> </w:t>
      </w:r>
      <w:r>
        <w:rPr/>
        <w:t>blood</w:t>
      </w:r>
      <w:r>
        <w:rPr>
          <w:spacing w:val="-13"/>
        </w:rPr>
        <w:t> </w:t>
      </w:r>
      <w:r>
        <w:rPr/>
        <w:t>vessels)</w:t>
      </w:r>
      <w:r>
        <w:rPr>
          <w:spacing w:val="-14"/>
        </w:rPr>
        <w:t> </w:t>
      </w:r>
      <w:r>
        <w:rPr/>
        <w:t>and</w:t>
      </w:r>
      <w:r>
        <w:rPr>
          <w:spacing w:val="-13"/>
        </w:rPr>
        <w:t> </w:t>
      </w:r>
      <w:r>
        <w:rPr/>
        <w:t>even</w:t>
      </w:r>
      <w:r>
        <w:rPr>
          <w:spacing w:val="-13"/>
        </w:rPr>
        <w:t> </w:t>
      </w:r>
      <w:r>
        <w:rPr/>
        <w:t>reverse</w:t>
      </w:r>
      <w:r>
        <w:rPr>
          <w:spacing w:val="-13"/>
        </w:rPr>
        <w:t> </w:t>
      </w:r>
      <w:r>
        <w:rPr/>
        <w:t>them</w:t>
      </w:r>
      <w:r>
        <w:rPr>
          <w:spacing w:val="-13"/>
        </w:rPr>
        <w:t> </w:t>
      </w:r>
      <w:r>
        <w:rPr/>
        <w:t>by</w:t>
      </w:r>
      <w:r>
        <w:rPr>
          <w:spacing w:val="-14"/>
        </w:rPr>
        <w:t> </w:t>
      </w:r>
      <w:r>
        <w:rPr/>
        <w:t>up</w:t>
      </w:r>
      <w:r>
        <w:rPr>
          <w:spacing w:val="-13"/>
        </w:rPr>
        <w:t> </w:t>
      </w:r>
      <w:r>
        <w:rPr/>
        <w:t>to</w:t>
      </w:r>
      <w:r>
        <w:rPr>
          <w:spacing w:val="-13"/>
        </w:rPr>
        <w:t> </w:t>
      </w:r>
      <w:r>
        <w:rPr/>
        <w:t>30</w:t>
      </w:r>
    </w:p>
    <w:p>
      <w:pPr>
        <w:pStyle w:val="BodyText"/>
        <w:spacing w:before="1"/>
        <w:ind w:left="477"/>
      </w:pPr>
      <w:r>
        <w:rPr/>
        <w:t>% (see ‘Studies’ section).</w:t>
      </w:r>
    </w:p>
    <w:p>
      <w:pPr>
        <w:pStyle w:val="Heading1"/>
        <w:spacing w:before="287"/>
      </w:pPr>
      <w:r>
        <w:rPr/>
        <w:t>Pomegranate juice increases the blood flow to the heart</w:t>
      </w:r>
    </w:p>
    <w:p>
      <w:pPr>
        <w:pStyle w:val="BodyText"/>
        <w:spacing w:line="276" w:lineRule="auto" w:before="299"/>
        <w:ind w:left="477" w:right="136"/>
        <w:jc w:val="both"/>
      </w:pPr>
      <w:r>
        <w:rPr/>
        <w:t>In a study published in the </w:t>
      </w:r>
      <w:r>
        <w:rPr>
          <w:i/>
        </w:rPr>
        <w:t>Journal of Cardiology, </w:t>
      </w:r>
      <w:r>
        <w:rPr/>
        <w:t>45 patients with coronary heart disease drank 240 ml of pomegranate juice from concentrate over a period of three months; the circulation of myocardium in myocardial scintigraphy im- proved under stress by 17 % and angina pectoris incidents fell by half. In the control</w:t>
      </w:r>
      <w:r>
        <w:rPr>
          <w:spacing w:val="-25"/>
        </w:rPr>
        <w:t> </w:t>
      </w:r>
      <w:r>
        <w:rPr/>
        <w:t>group</w:t>
      </w:r>
      <w:r>
        <w:rPr>
          <w:spacing w:val="-25"/>
        </w:rPr>
        <w:t> </w:t>
      </w:r>
      <w:r>
        <w:rPr/>
        <w:t>(which</w:t>
      </w:r>
      <w:r>
        <w:rPr>
          <w:spacing w:val="-24"/>
        </w:rPr>
        <w:t> </w:t>
      </w:r>
      <w:r>
        <w:rPr/>
        <w:t>did</w:t>
      </w:r>
      <w:r>
        <w:rPr>
          <w:spacing w:val="-26"/>
        </w:rPr>
        <w:t> </w:t>
      </w:r>
      <w:r>
        <w:rPr/>
        <w:t>not</w:t>
      </w:r>
      <w:r>
        <w:rPr>
          <w:spacing w:val="-25"/>
        </w:rPr>
        <w:t> </w:t>
      </w:r>
      <w:r>
        <w:rPr/>
        <w:t>drink</w:t>
      </w:r>
      <w:r>
        <w:rPr>
          <w:spacing w:val="-25"/>
        </w:rPr>
        <w:t> </w:t>
      </w:r>
      <w:r>
        <w:rPr/>
        <w:t>pomegranate</w:t>
      </w:r>
      <w:r>
        <w:rPr>
          <w:spacing w:val="-26"/>
        </w:rPr>
        <w:t> </w:t>
      </w:r>
      <w:r>
        <w:rPr/>
        <w:t>juice),</w:t>
      </w:r>
      <w:r>
        <w:rPr>
          <w:spacing w:val="-24"/>
        </w:rPr>
        <w:t> </w:t>
      </w:r>
      <w:r>
        <w:rPr/>
        <w:t>the</w:t>
      </w:r>
      <w:r>
        <w:rPr>
          <w:spacing w:val="-24"/>
        </w:rPr>
        <w:t> </w:t>
      </w:r>
      <w:r>
        <w:rPr/>
        <w:t>patients</w:t>
      </w:r>
      <w:r>
        <w:rPr>
          <w:spacing w:val="-24"/>
        </w:rPr>
        <w:t> </w:t>
      </w:r>
      <w:r>
        <w:rPr/>
        <w:t>deteriorated by 18</w:t>
      </w:r>
      <w:r>
        <w:rPr>
          <w:spacing w:val="-1"/>
        </w:rPr>
        <w:t> </w:t>
      </w:r>
      <w:r>
        <w:rPr/>
        <w:t>%.</w:t>
      </w:r>
    </w:p>
    <w:p>
      <w:pPr>
        <w:pStyle w:val="Heading1"/>
        <w:spacing w:before="223"/>
      </w:pPr>
      <w:r>
        <w:rPr/>
        <w:t>Effect of pomegranate juice against high blood pressure</w:t>
      </w:r>
    </w:p>
    <w:p>
      <w:pPr>
        <w:pStyle w:val="BodyText"/>
        <w:spacing w:line="276" w:lineRule="auto" w:before="300"/>
        <w:ind w:left="477" w:right="134"/>
        <w:jc w:val="both"/>
      </w:pPr>
      <w:r>
        <w:rPr/>
        <w:t>Regulating</w:t>
      </w:r>
      <w:r>
        <w:rPr>
          <w:spacing w:val="-12"/>
        </w:rPr>
        <w:t> </w:t>
      </w:r>
      <w:r>
        <w:rPr/>
        <w:t>the</w:t>
      </w:r>
      <w:r>
        <w:rPr>
          <w:spacing w:val="-10"/>
        </w:rPr>
        <w:t> </w:t>
      </w:r>
      <w:r>
        <w:rPr/>
        <w:t>ACE</w:t>
      </w:r>
      <w:r>
        <w:rPr>
          <w:spacing w:val="-11"/>
        </w:rPr>
        <w:t> </w:t>
      </w:r>
      <w:r>
        <w:rPr/>
        <w:t>enzyme</w:t>
      </w:r>
      <w:r>
        <w:rPr>
          <w:spacing w:val="-10"/>
        </w:rPr>
        <w:t> </w:t>
      </w:r>
      <w:r>
        <w:rPr/>
        <w:t>(in</w:t>
      </w:r>
      <w:r>
        <w:rPr>
          <w:spacing w:val="-12"/>
        </w:rPr>
        <w:t> </w:t>
      </w:r>
      <w:r>
        <w:rPr/>
        <w:t>line</w:t>
      </w:r>
      <w:r>
        <w:rPr>
          <w:spacing w:val="-11"/>
        </w:rPr>
        <w:t> </w:t>
      </w:r>
      <w:r>
        <w:rPr/>
        <w:t>with</w:t>
      </w:r>
      <w:r>
        <w:rPr>
          <w:spacing w:val="-10"/>
        </w:rPr>
        <w:t> </w:t>
      </w:r>
      <w:r>
        <w:rPr/>
        <w:t>the</w:t>
      </w:r>
      <w:r>
        <w:rPr>
          <w:spacing w:val="-10"/>
        </w:rPr>
        <w:t> </w:t>
      </w:r>
      <w:r>
        <w:rPr/>
        <w:t>synthetic</w:t>
      </w:r>
      <w:r>
        <w:rPr>
          <w:spacing w:val="-11"/>
        </w:rPr>
        <w:t> </w:t>
      </w:r>
      <w:r>
        <w:rPr/>
        <w:t>ACE</w:t>
      </w:r>
      <w:r>
        <w:rPr>
          <w:spacing w:val="-11"/>
        </w:rPr>
        <w:t> </w:t>
      </w:r>
      <w:r>
        <w:rPr/>
        <w:t>inhibitor</w:t>
      </w:r>
      <w:r>
        <w:rPr>
          <w:spacing w:val="-10"/>
        </w:rPr>
        <w:t> </w:t>
      </w:r>
      <w:r>
        <w:rPr/>
        <w:t>principle, with no side effects), high blood pressure can be reduced by 5 % after two weeks</w:t>
      </w:r>
      <w:r>
        <w:rPr>
          <w:spacing w:val="10"/>
        </w:rPr>
        <w:t> </w:t>
      </w:r>
      <w:r>
        <w:rPr/>
        <w:t>and</w:t>
      </w:r>
      <w:r>
        <w:rPr>
          <w:spacing w:val="10"/>
        </w:rPr>
        <w:t> </w:t>
      </w:r>
      <w:r>
        <w:rPr/>
        <w:t>by</w:t>
      </w:r>
      <w:r>
        <w:rPr>
          <w:spacing w:val="11"/>
        </w:rPr>
        <w:t> </w:t>
      </w:r>
      <w:r>
        <w:rPr/>
        <w:t>21</w:t>
      </w:r>
      <w:r>
        <w:rPr>
          <w:spacing w:val="10"/>
        </w:rPr>
        <w:t> </w:t>
      </w:r>
      <w:r>
        <w:rPr/>
        <w:t>%</w:t>
      </w:r>
      <w:r>
        <w:rPr>
          <w:spacing w:val="10"/>
        </w:rPr>
        <w:t> </w:t>
      </w:r>
      <w:r>
        <w:rPr/>
        <w:t>after</w:t>
      </w:r>
      <w:r>
        <w:rPr>
          <w:spacing w:val="9"/>
        </w:rPr>
        <w:t> </w:t>
      </w:r>
      <w:r>
        <w:rPr/>
        <w:t>one</w:t>
      </w:r>
      <w:r>
        <w:rPr>
          <w:spacing w:val="10"/>
        </w:rPr>
        <w:t> </w:t>
      </w:r>
      <w:r>
        <w:rPr/>
        <w:t>year</w:t>
      </w:r>
      <w:r>
        <w:rPr>
          <w:spacing w:val="13"/>
        </w:rPr>
        <w:t> </w:t>
      </w:r>
      <w:r>
        <w:rPr/>
        <w:t>–</w:t>
      </w:r>
      <w:r>
        <w:rPr>
          <w:spacing w:val="10"/>
        </w:rPr>
        <w:t> </w:t>
      </w:r>
      <w:r>
        <w:rPr/>
        <w:t>by</w:t>
      </w:r>
      <w:r>
        <w:rPr>
          <w:spacing w:val="11"/>
        </w:rPr>
        <w:t> </w:t>
      </w:r>
      <w:r>
        <w:rPr/>
        <w:t>taking</w:t>
      </w:r>
      <w:r>
        <w:rPr>
          <w:spacing w:val="10"/>
        </w:rPr>
        <w:t> </w:t>
      </w:r>
      <w:r>
        <w:rPr/>
        <w:t>50</w:t>
      </w:r>
      <w:r>
        <w:rPr>
          <w:spacing w:val="10"/>
        </w:rPr>
        <w:t> </w:t>
      </w:r>
      <w:r>
        <w:rPr/>
        <w:t>ml</w:t>
      </w:r>
      <w:r>
        <w:rPr>
          <w:spacing w:val="11"/>
        </w:rPr>
        <w:t> </w:t>
      </w:r>
      <w:r>
        <w:rPr/>
        <w:t>pomegranate</w:t>
      </w:r>
      <w:r>
        <w:rPr>
          <w:spacing w:val="9"/>
        </w:rPr>
        <w:t> </w:t>
      </w:r>
      <w:r>
        <w:rPr/>
        <w:t>concentrate</w:t>
      </w:r>
    </w:p>
    <w:p>
      <w:pPr>
        <w:spacing w:after="0" w:line="276" w:lineRule="auto"/>
        <w:jc w:val="both"/>
        <w:sectPr>
          <w:pgSz w:w="14270" w:h="16850"/>
          <w:pgMar w:header="0" w:footer="404" w:top="1600" w:bottom="2080" w:left="800" w:right="1280"/>
        </w:sectPr>
      </w:pPr>
    </w:p>
    <w:p>
      <w:pPr>
        <w:pStyle w:val="BodyText"/>
        <w:spacing w:before="181"/>
        <w:ind w:left="477"/>
      </w:pPr>
      <w:r>
        <w:rPr/>
        <w:t>daily.</w:t>
      </w:r>
    </w:p>
    <w:p>
      <w:pPr>
        <w:pStyle w:val="Heading1"/>
        <w:spacing w:before="288"/>
      </w:pPr>
      <w:r>
        <w:rPr/>
        <w:t>Effect on cancer</w:t>
      </w:r>
    </w:p>
    <w:p>
      <w:pPr>
        <w:pStyle w:val="BodyText"/>
        <w:spacing w:line="276" w:lineRule="auto" w:before="299"/>
        <w:ind w:left="477" w:right="134"/>
        <w:jc w:val="both"/>
      </w:pPr>
      <w:r>
        <w:rPr/>
        <w:t>The effect of the pomegranate against cancer is multifactorial and is due to the interaction of antioxidants, anti-inflammatory substances, phytohormonal sub- stances and the substances involved in the development of the immune</w:t>
      </w:r>
      <w:r>
        <w:rPr>
          <w:spacing w:val="-35"/>
        </w:rPr>
        <w:t> </w:t>
      </w:r>
      <w:r>
        <w:rPr/>
        <w:t>system and the cell signal</w:t>
      </w:r>
      <w:r>
        <w:rPr>
          <w:spacing w:val="1"/>
        </w:rPr>
        <w:t> </w:t>
      </w:r>
      <w:r>
        <w:rPr/>
        <w:t>pathways.</w:t>
      </w:r>
    </w:p>
    <w:p>
      <w:pPr>
        <w:pStyle w:val="BodyText"/>
        <w:spacing w:line="276" w:lineRule="auto" w:before="240"/>
        <w:ind w:left="477"/>
      </w:pPr>
      <w:r>
        <w:rPr/>
        <w:t>In summary, one assumes the following principles of action in pomegranate in the fight against cancer:</w:t>
      </w:r>
    </w:p>
    <w:p>
      <w:pPr>
        <w:pStyle w:val="ListParagraph"/>
        <w:numPr>
          <w:ilvl w:val="1"/>
          <w:numId w:val="33"/>
        </w:numPr>
        <w:tabs>
          <w:tab w:pos="1198" w:val="left" w:leader="none"/>
        </w:tabs>
        <w:spacing w:line="273" w:lineRule="auto" w:before="242" w:after="0"/>
        <w:ind w:left="1197" w:right="136" w:hanging="360"/>
        <w:jc w:val="both"/>
        <w:rPr>
          <w:sz w:val="38"/>
        </w:rPr>
      </w:pPr>
      <w:r>
        <w:rPr>
          <w:sz w:val="38"/>
        </w:rPr>
        <w:t>Renewal of degenerated cancer cells: According to studies, pomegranate can regenerate degenerated (cancer) cells and turn them back into healthy cells. This is attributed to the flavonoids in the</w:t>
      </w:r>
      <w:r>
        <w:rPr>
          <w:spacing w:val="-4"/>
          <w:sz w:val="38"/>
        </w:rPr>
        <w:t> </w:t>
      </w:r>
      <w:r>
        <w:rPr>
          <w:sz w:val="38"/>
        </w:rPr>
        <w:t>pomegranate.</w:t>
      </w:r>
    </w:p>
    <w:p>
      <w:pPr>
        <w:pStyle w:val="ListParagraph"/>
        <w:numPr>
          <w:ilvl w:val="1"/>
          <w:numId w:val="33"/>
        </w:numPr>
        <w:tabs>
          <w:tab w:pos="1198" w:val="left" w:leader="none"/>
        </w:tabs>
        <w:spacing w:line="273" w:lineRule="auto" w:before="252" w:after="0"/>
        <w:ind w:left="1197" w:right="134" w:hanging="360"/>
        <w:jc w:val="both"/>
        <w:rPr>
          <w:sz w:val="38"/>
        </w:rPr>
      </w:pPr>
      <w:r>
        <w:rPr>
          <w:sz w:val="38"/>
        </w:rPr>
        <w:t>Transfer of cancer cells into programmed cell death: Alternatively, the</w:t>
      </w:r>
      <w:r>
        <w:rPr>
          <w:spacing w:val="-46"/>
          <w:sz w:val="38"/>
        </w:rPr>
        <w:t> </w:t>
      </w:r>
      <w:r>
        <w:rPr>
          <w:sz w:val="38"/>
        </w:rPr>
        <w:t>fla- vonoids</w:t>
      </w:r>
      <w:r>
        <w:rPr>
          <w:spacing w:val="-10"/>
          <w:sz w:val="38"/>
        </w:rPr>
        <w:t> </w:t>
      </w:r>
      <w:r>
        <w:rPr>
          <w:sz w:val="38"/>
        </w:rPr>
        <w:t>may</w:t>
      </w:r>
      <w:r>
        <w:rPr>
          <w:spacing w:val="-9"/>
          <w:sz w:val="38"/>
        </w:rPr>
        <w:t> </w:t>
      </w:r>
      <w:r>
        <w:rPr>
          <w:sz w:val="38"/>
        </w:rPr>
        <w:t>cause</w:t>
      </w:r>
      <w:r>
        <w:rPr>
          <w:spacing w:val="-10"/>
          <w:sz w:val="38"/>
        </w:rPr>
        <w:t> </w:t>
      </w:r>
      <w:r>
        <w:rPr>
          <w:sz w:val="38"/>
        </w:rPr>
        <w:t>the</w:t>
      </w:r>
      <w:r>
        <w:rPr>
          <w:spacing w:val="-8"/>
          <w:sz w:val="38"/>
        </w:rPr>
        <w:t> </w:t>
      </w:r>
      <w:r>
        <w:rPr>
          <w:sz w:val="38"/>
        </w:rPr>
        <w:t>cancer</w:t>
      </w:r>
      <w:r>
        <w:rPr>
          <w:spacing w:val="-10"/>
          <w:sz w:val="38"/>
        </w:rPr>
        <w:t> </w:t>
      </w:r>
      <w:r>
        <w:rPr>
          <w:sz w:val="38"/>
        </w:rPr>
        <w:t>cells</w:t>
      </w:r>
      <w:r>
        <w:rPr>
          <w:spacing w:val="-9"/>
          <w:sz w:val="38"/>
        </w:rPr>
        <w:t> </w:t>
      </w:r>
      <w:r>
        <w:rPr>
          <w:sz w:val="38"/>
        </w:rPr>
        <w:t>to</w:t>
      </w:r>
      <w:r>
        <w:rPr>
          <w:spacing w:val="-10"/>
          <w:sz w:val="38"/>
        </w:rPr>
        <w:t> </w:t>
      </w:r>
      <w:r>
        <w:rPr>
          <w:sz w:val="38"/>
        </w:rPr>
        <w:t>be</w:t>
      </w:r>
      <w:r>
        <w:rPr>
          <w:spacing w:val="-11"/>
          <w:sz w:val="38"/>
        </w:rPr>
        <w:t> </w:t>
      </w:r>
      <w:r>
        <w:rPr>
          <w:sz w:val="38"/>
        </w:rPr>
        <w:t>driven</w:t>
      </w:r>
      <w:r>
        <w:rPr>
          <w:spacing w:val="-9"/>
          <w:sz w:val="38"/>
        </w:rPr>
        <w:t> </w:t>
      </w:r>
      <w:r>
        <w:rPr>
          <w:sz w:val="38"/>
        </w:rPr>
        <w:t>to</w:t>
      </w:r>
      <w:r>
        <w:rPr>
          <w:spacing w:val="-10"/>
          <w:sz w:val="38"/>
        </w:rPr>
        <w:t> </w:t>
      </w:r>
      <w:r>
        <w:rPr>
          <w:sz w:val="38"/>
        </w:rPr>
        <w:t>programmed</w:t>
      </w:r>
      <w:r>
        <w:rPr>
          <w:spacing w:val="-9"/>
          <w:sz w:val="38"/>
        </w:rPr>
        <w:t> </w:t>
      </w:r>
      <w:r>
        <w:rPr>
          <w:sz w:val="38"/>
        </w:rPr>
        <w:t>cell</w:t>
      </w:r>
      <w:r>
        <w:rPr>
          <w:spacing w:val="-11"/>
          <w:sz w:val="38"/>
        </w:rPr>
        <w:t> </w:t>
      </w:r>
      <w:r>
        <w:rPr>
          <w:sz w:val="38"/>
        </w:rPr>
        <w:t>death.</w:t>
      </w:r>
    </w:p>
    <w:p>
      <w:pPr>
        <w:pStyle w:val="ListParagraph"/>
        <w:numPr>
          <w:ilvl w:val="1"/>
          <w:numId w:val="33"/>
        </w:numPr>
        <w:tabs>
          <w:tab w:pos="1198" w:val="left" w:leader="none"/>
        </w:tabs>
        <w:spacing w:line="276" w:lineRule="auto" w:before="247" w:after="0"/>
        <w:ind w:left="1197" w:right="135" w:hanging="360"/>
        <w:jc w:val="both"/>
        <w:rPr>
          <w:sz w:val="38"/>
        </w:rPr>
      </w:pPr>
      <w:r>
        <w:rPr>
          <w:sz w:val="38"/>
        </w:rPr>
        <w:t>Inhibition of cancer-promoting enzymes: Enzymes such as aromatase</w:t>
      </w:r>
      <w:r>
        <w:rPr>
          <w:spacing w:val="-62"/>
          <w:sz w:val="38"/>
        </w:rPr>
        <w:t> </w:t>
      </w:r>
      <w:r>
        <w:rPr>
          <w:sz w:val="38"/>
        </w:rPr>
        <w:t>and 17-ß hydroxysteroid dehydrogenase, matrix metalloproteases, ornithine decarboxylase</w:t>
      </w:r>
      <w:r>
        <w:rPr>
          <w:spacing w:val="-11"/>
          <w:sz w:val="38"/>
        </w:rPr>
        <w:t> </w:t>
      </w:r>
      <w:r>
        <w:rPr>
          <w:sz w:val="38"/>
        </w:rPr>
        <w:t>and</w:t>
      </w:r>
      <w:r>
        <w:rPr>
          <w:spacing w:val="-11"/>
          <w:sz w:val="38"/>
        </w:rPr>
        <w:t> </w:t>
      </w:r>
      <w:r>
        <w:rPr>
          <w:sz w:val="38"/>
        </w:rPr>
        <w:t>CYP</w:t>
      </w:r>
      <w:r>
        <w:rPr>
          <w:spacing w:val="-12"/>
          <w:sz w:val="38"/>
        </w:rPr>
        <w:t> </w:t>
      </w:r>
      <w:r>
        <w:rPr>
          <w:sz w:val="38"/>
        </w:rPr>
        <w:t>enzymes</w:t>
      </w:r>
      <w:r>
        <w:rPr>
          <w:spacing w:val="-10"/>
          <w:sz w:val="38"/>
        </w:rPr>
        <w:t> </w:t>
      </w:r>
      <w:r>
        <w:rPr>
          <w:sz w:val="38"/>
        </w:rPr>
        <w:t>have</w:t>
      </w:r>
      <w:r>
        <w:rPr>
          <w:spacing w:val="-11"/>
          <w:sz w:val="38"/>
        </w:rPr>
        <w:t> </w:t>
      </w:r>
      <w:r>
        <w:rPr>
          <w:sz w:val="38"/>
        </w:rPr>
        <w:t>carcinogenic</w:t>
      </w:r>
      <w:r>
        <w:rPr>
          <w:spacing w:val="-11"/>
          <w:sz w:val="38"/>
        </w:rPr>
        <w:t> </w:t>
      </w:r>
      <w:r>
        <w:rPr>
          <w:sz w:val="38"/>
        </w:rPr>
        <w:t>effects.</w:t>
      </w:r>
      <w:r>
        <w:rPr>
          <w:spacing w:val="-10"/>
          <w:sz w:val="38"/>
        </w:rPr>
        <w:t> </w:t>
      </w:r>
      <w:r>
        <w:rPr>
          <w:sz w:val="38"/>
        </w:rPr>
        <w:t>The</w:t>
      </w:r>
      <w:r>
        <w:rPr>
          <w:spacing w:val="-11"/>
          <w:sz w:val="38"/>
        </w:rPr>
        <w:t> </w:t>
      </w:r>
      <w:r>
        <w:rPr>
          <w:sz w:val="38"/>
        </w:rPr>
        <w:t>inhibition of these enzymes proves to be extremely effective in the prevention and therapy of malignant</w:t>
      </w:r>
      <w:r>
        <w:rPr>
          <w:spacing w:val="1"/>
          <w:sz w:val="38"/>
        </w:rPr>
        <w:t> </w:t>
      </w:r>
      <w:r>
        <w:rPr>
          <w:sz w:val="38"/>
        </w:rPr>
        <w:t>tumours.</w:t>
      </w:r>
    </w:p>
    <w:p>
      <w:pPr>
        <w:pStyle w:val="ListParagraph"/>
        <w:numPr>
          <w:ilvl w:val="1"/>
          <w:numId w:val="33"/>
        </w:numPr>
        <w:tabs>
          <w:tab w:pos="1197" w:val="left" w:leader="none"/>
          <w:tab w:pos="1198" w:val="left" w:leader="none"/>
        </w:tabs>
        <w:spacing w:line="240" w:lineRule="auto" w:before="238" w:after="0"/>
        <w:ind w:left="1197" w:right="0" w:hanging="360"/>
        <w:jc w:val="left"/>
        <w:rPr>
          <w:sz w:val="38"/>
        </w:rPr>
      </w:pPr>
      <w:r>
        <w:rPr>
          <w:sz w:val="38"/>
        </w:rPr>
        <w:t>Regulation</w:t>
      </w:r>
      <w:r>
        <w:rPr>
          <w:spacing w:val="59"/>
          <w:sz w:val="38"/>
        </w:rPr>
        <w:t> </w:t>
      </w:r>
      <w:r>
        <w:rPr>
          <w:sz w:val="38"/>
        </w:rPr>
        <w:t>of</w:t>
      </w:r>
      <w:r>
        <w:rPr>
          <w:spacing w:val="60"/>
          <w:sz w:val="38"/>
        </w:rPr>
        <w:t> </w:t>
      </w:r>
      <w:r>
        <w:rPr>
          <w:sz w:val="38"/>
        </w:rPr>
        <w:t>hormone</w:t>
      </w:r>
      <w:r>
        <w:rPr>
          <w:spacing w:val="61"/>
          <w:sz w:val="38"/>
        </w:rPr>
        <w:t> </w:t>
      </w:r>
      <w:r>
        <w:rPr>
          <w:sz w:val="38"/>
        </w:rPr>
        <w:t>metabolism:</w:t>
      </w:r>
      <w:r>
        <w:rPr>
          <w:spacing w:val="61"/>
          <w:sz w:val="38"/>
        </w:rPr>
        <w:t> </w:t>
      </w:r>
      <w:r>
        <w:rPr>
          <w:sz w:val="38"/>
        </w:rPr>
        <w:t>Another</w:t>
      </w:r>
      <w:r>
        <w:rPr>
          <w:spacing w:val="59"/>
          <w:sz w:val="38"/>
        </w:rPr>
        <w:t> </w:t>
      </w:r>
      <w:r>
        <w:rPr>
          <w:sz w:val="38"/>
        </w:rPr>
        <w:t>option</w:t>
      </w:r>
      <w:r>
        <w:rPr>
          <w:spacing w:val="61"/>
          <w:sz w:val="38"/>
        </w:rPr>
        <w:t> </w:t>
      </w:r>
      <w:r>
        <w:rPr>
          <w:sz w:val="38"/>
        </w:rPr>
        <w:t>that</w:t>
      </w:r>
      <w:r>
        <w:rPr>
          <w:spacing w:val="60"/>
          <w:sz w:val="38"/>
        </w:rPr>
        <w:t> </w:t>
      </w:r>
      <w:r>
        <w:rPr>
          <w:sz w:val="38"/>
        </w:rPr>
        <w:t>pomegranate</w:t>
      </w:r>
    </w:p>
    <w:p>
      <w:pPr>
        <w:spacing w:after="0" w:line="240" w:lineRule="auto"/>
        <w:jc w:val="left"/>
        <w:rPr>
          <w:sz w:val="38"/>
        </w:rPr>
        <w:sectPr>
          <w:pgSz w:w="14270" w:h="16850"/>
          <w:pgMar w:header="0" w:footer="404" w:top="1600" w:bottom="2080" w:left="800" w:right="1280"/>
        </w:sectPr>
      </w:pPr>
    </w:p>
    <w:p>
      <w:pPr>
        <w:pStyle w:val="BodyText"/>
        <w:spacing w:line="276" w:lineRule="auto" w:before="181"/>
        <w:ind w:left="1197" w:right="130"/>
        <w:jc w:val="both"/>
      </w:pPr>
      <w:r>
        <w:rPr/>
        <w:t>uses against cancer, especially against so-called hormone-dependent can- cers, such as breast cancer and prostate cancer, is the regulation of the oestrogen metabolism which is due to plant oestrogens contained in the juice and polyphenols contained in the seeds.</w:t>
      </w:r>
    </w:p>
    <w:p>
      <w:pPr>
        <w:pStyle w:val="ListParagraph"/>
        <w:numPr>
          <w:ilvl w:val="1"/>
          <w:numId w:val="33"/>
        </w:numPr>
        <w:tabs>
          <w:tab w:pos="1198" w:val="left" w:leader="none"/>
        </w:tabs>
        <w:spacing w:line="273" w:lineRule="auto" w:before="243" w:after="0"/>
        <w:ind w:left="1197" w:right="130" w:hanging="360"/>
        <w:jc w:val="both"/>
        <w:rPr>
          <w:sz w:val="38"/>
        </w:rPr>
      </w:pPr>
      <w:r>
        <w:rPr>
          <w:sz w:val="38"/>
        </w:rPr>
        <w:t>Inhibition of cancer-promoting signal pathways: Due to the phosphoryla- tion</w:t>
      </w:r>
      <w:r>
        <w:rPr>
          <w:spacing w:val="-18"/>
          <w:sz w:val="38"/>
        </w:rPr>
        <w:t> </w:t>
      </w:r>
      <w:r>
        <w:rPr>
          <w:sz w:val="38"/>
        </w:rPr>
        <w:t>inhibition</w:t>
      </w:r>
      <w:r>
        <w:rPr>
          <w:spacing w:val="-18"/>
          <w:sz w:val="38"/>
        </w:rPr>
        <w:t> </w:t>
      </w:r>
      <w:r>
        <w:rPr>
          <w:sz w:val="38"/>
        </w:rPr>
        <w:t>of</w:t>
      </w:r>
      <w:r>
        <w:rPr>
          <w:spacing w:val="-18"/>
          <w:sz w:val="38"/>
        </w:rPr>
        <w:t> </w:t>
      </w:r>
      <w:r>
        <w:rPr>
          <w:sz w:val="38"/>
        </w:rPr>
        <w:t>the</w:t>
      </w:r>
      <w:r>
        <w:rPr>
          <w:spacing w:val="-18"/>
          <w:sz w:val="38"/>
        </w:rPr>
        <w:t> </w:t>
      </w:r>
      <w:r>
        <w:rPr>
          <w:sz w:val="38"/>
        </w:rPr>
        <w:t>MAP</w:t>
      </w:r>
      <w:r>
        <w:rPr>
          <w:spacing w:val="-17"/>
          <w:sz w:val="38"/>
        </w:rPr>
        <w:t> </w:t>
      </w:r>
      <w:r>
        <w:rPr>
          <w:sz w:val="38"/>
        </w:rPr>
        <w:t>c-met</w:t>
      </w:r>
      <w:r>
        <w:rPr>
          <w:spacing w:val="-17"/>
          <w:sz w:val="38"/>
        </w:rPr>
        <w:t> </w:t>
      </w:r>
      <w:r>
        <w:rPr>
          <w:sz w:val="38"/>
        </w:rPr>
        <w:t>and</w:t>
      </w:r>
      <w:r>
        <w:rPr>
          <w:spacing w:val="-18"/>
          <w:sz w:val="38"/>
        </w:rPr>
        <w:t> </w:t>
      </w:r>
      <w:r>
        <w:rPr>
          <w:sz w:val="38"/>
        </w:rPr>
        <w:t>AKT</w:t>
      </w:r>
      <w:r>
        <w:rPr>
          <w:spacing w:val="-18"/>
          <w:sz w:val="38"/>
        </w:rPr>
        <w:t> </w:t>
      </w:r>
      <w:r>
        <w:rPr>
          <w:sz w:val="38"/>
        </w:rPr>
        <w:t>kinases,</w:t>
      </w:r>
      <w:r>
        <w:rPr>
          <w:spacing w:val="-17"/>
          <w:sz w:val="38"/>
        </w:rPr>
        <w:t> </w:t>
      </w:r>
      <w:r>
        <w:rPr>
          <w:sz w:val="38"/>
        </w:rPr>
        <w:t>corresponding</w:t>
      </w:r>
      <w:r>
        <w:rPr>
          <w:spacing w:val="-19"/>
          <w:sz w:val="38"/>
        </w:rPr>
        <w:t> </w:t>
      </w:r>
      <w:r>
        <w:rPr>
          <w:sz w:val="38"/>
        </w:rPr>
        <w:t>cancer- promoting signal pathways are</w:t>
      </w:r>
      <w:r>
        <w:rPr>
          <w:spacing w:val="-1"/>
          <w:sz w:val="38"/>
        </w:rPr>
        <w:t> </w:t>
      </w:r>
      <w:r>
        <w:rPr>
          <w:sz w:val="38"/>
        </w:rPr>
        <w:t>inhibited.</w:t>
      </w:r>
    </w:p>
    <w:p>
      <w:pPr>
        <w:pStyle w:val="ListParagraph"/>
        <w:numPr>
          <w:ilvl w:val="1"/>
          <w:numId w:val="33"/>
        </w:numPr>
        <w:tabs>
          <w:tab w:pos="1198" w:val="left" w:leader="none"/>
        </w:tabs>
        <w:spacing w:line="273" w:lineRule="auto" w:before="250" w:after="0"/>
        <w:ind w:left="1197" w:right="136" w:hanging="360"/>
        <w:jc w:val="both"/>
        <w:rPr>
          <w:sz w:val="38"/>
        </w:rPr>
      </w:pPr>
      <w:r>
        <w:rPr>
          <w:sz w:val="38"/>
        </w:rPr>
        <w:t>Reduction of neoangiogenesis (neoplasm of tumour vessels): Studies have shown</w:t>
      </w:r>
      <w:r>
        <w:rPr>
          <w:spacing w:val="-9"/>
          <w:sz w:val="38"/>
        </w:rPr>
        <w:t> </w:t>
      </w:r>
      <w:r>
        <w:rPr>
          <w:sz w:val="38"/>
        </w:rPr>
        <w:t>that</w:t>
      </w:r>
      <w:r>
        <w:rPr>
          <w:spacing w:val="-9"/>
          <w:sz w:val="38"/>
        </w:rPr>
        <w:t> </w:t>
      </w:r>
      <w:r>
        <w:rPr>
          <w:sz w:val="38"/>
        </w:rPr>
        <w:t>the</w:t>
      </w:r>
      <w:r>
        <w:rPr>
          <w:spacing w:val="-9"/>
          <w:sz w:val="38"/>
        </w:rPr>
        <w:t> </w:t>
      </w:r>
      <w:r>
        <w:rPr>
          <w:sz w:val="38"/>
        </w:rPr>
        <w:t>ingredients</w:t>
      </w:r>
      <w:r>
        <w:rPr>
          <w:spacing w:val="-8"/>
          <w:sz w:val="38"/>
        </w:rPr>
        <w:t> </w:t>
      </w:r>
      <w:r>
        <w:rPr>
          <w:sz w:val="38"/>
        </w:rPr>
        <w:t>of</w:t>
      </w:r>
      <w:r>
        <w:rPr>
          <w:spacing w:val="-9"/>
          <w:sz w:val="38"/>
        </w:rPr>
        <w:t> </w:t>
      </w:r>
      <w:r>
        <w:rPr>
          <w:sz w:val="38"/>
        </w:rPr>
        <w:t>pomegranate</w:t>
      </w:r>
      <w:r>
        <w:rPr>
          <w:spacing w:val="-10"/>
          <w:sz w:val="38"/>
        </w:rPr>
        <w:t> </w:t>
      </w:r>
      <w:r>
        <w:rPr>
          <w:sz w:val="38"/>
        </w:rPr>
        <w:t>cause</w:t>
      </w:r>
      <w:r>
        <w:rPr>
          <w:spacing w:val="-8"/>
          <w:sz w:val="38"/>
        </w:rPr>
        <w:t> </w:t>
      </w:r>
      <w:r>
        <w:rPr>
          <w:sz w:val="38"/>
        </w:rPr>
        <w:t>a</w:t>
      </w:r>
      <w:r>
        <w:rPr>
          <w:spacing w:val="-10"/>
          <w:sz w:val="38"/>
        </w:rPr>
        <w:t> </w:t>
      </w:r>
      <w:r>
        <w:rPr>
          <w:sz w:val="38"/>
        </w:rPr>
        <w:t>significant</w:t>
      </w:r>
      <w:r>
        <w:rPr>
          <w:spacing w:val="-9"/>
          <w:sz w:val="38"/>
        </w:rPr>
        <w:t> </w:t>
      </w:r>
      <w:r>
        <w:rPr>
          <w:sz w:val="38"/>
        </w:rPr>
        <w:t>suppression of neoplasm of tumour</w:t>
      </w:r>
      <w:r>
        <w:rPr>
          <w:spacing w:val="-1"/>
          <w:sz w:val="38"/>
        </w:rPr>
        <w:t> </w:t>
      </w:r>
      <w:r>
        <w:rPr>
          <w:sz w:val="38"/>
        </w:rPr>
        <w:t>vessels.</w:t>
      </w:r>
    </w:p>
    <w:p>
      <w:pPr>
        <w:pStyle w:val="ListParagraph"/>
        <w:numPr>
          <w:ilvl w:val="1"/>
          <w:numId w:val="33"/>
        </w:numPr>
        <w:tabs>
          <w:tab w:pos="1198" w:val="left" w:leader="none"/>
        </w:tabs>
        <w:spacing w:line="273" w:lineRule="auto" w:before="252" w:after="0"/>
        <w:ind w:left="1197" w:right="141" w:hanging="360"/>
        <w:jc w:val="both"/>
        <w:rPr>
          <w:sz w:val="38"/>
        </w:rPr>
      </w:pPr>
      <w:r>
        <w:rPr>
          <w:sz w:val="38"/>
        </w:rPr>
        <w:t>Binding</w:t>
      </w:r>
      <w:r>
        <w:rPr>
          <w:spacing w:val="-13"/>
          <w:sz w:val="38"/>
        </w:rPr>
        <w:t> </w:t>
      </w:r>
      <w:r>
        <w:rPr>
          <w:sz w:val="38"/>
        </w:rPr>
        <w:t>of</w:t>
      </w:r>
      <w:r>
        <w:rPr>
          <w:spacing w:val="-12"/>
          <w:sz w:val="38"/>
        </w:rPr>
        <w:t> </w:t>
      </w:r>
      <w:r>
        <w:rPr>
          <w:sz w:val="38"/>
        </w:rPr>
        <w:t>carcinogenic</w:t>
      </w:r>
      <w:r>
        <w:rPr>
          <w:spacing w:val="-12"/>
          <w:sz w:val="38"/>
        </w:rPr>
        <w:t> </w:t>
      </w:r>
      <w:r>
        <w:rPr>
          <w:sz w:val="38"/>
        </w:rPr>
        <w:t>metals:</w:t>
      </w:r>
      <w:r>
        <w:rPr>
          <w:spacing w:val="-14"/>
          <w:sz w:val="38"/>
        </w:rPr>
        <w:t> </w:t>
      </w:r>
      <w:r>
        <w:rPr>
          <w:sz w:val="38"/>
        </w:rPr>
        <w:t>By</w:t>
      </w:r>
      <w:r>
        <w:rPr>
          <w:spacing w:val="-13"/>
          <w:sz w:val="38"/>
        </w:rPr>
        <w:t> </w:t>
      </w:r>
      <w:r>
        <w:rPr>
          <w:sz w:val="38"/>
        </w:rPr>
        <w:t>binding</w:t>
      </w:r>
      <w:r>
        <w:rPr>
          <w:spacing w:val="-11"/>
          <w:sz w:val="38"/>
        </w:rPr>
        <w:t> </w:t>
      </w:r>
      <w:r>
        <w:rPr>
          <w:sz w:val="38"/>
        </w:rPr>
        <w:t>potentially</w:t>
      </w:r>
      <w:r>
        <w:rPr>
          <w:spacing w:val="-14"/>
          <w:sz w:val="38"/>
        </w:rPr>
        <w:t> </w:t>
      </w:r>
      <w:r>
        <w:rPr>
          <w:sz w:val="38"/>
        </w:rPr>
        <w:t>carcinogenic</w:t>
      </w:r>
      <w:r>
        <w:rPr>
          <w:spacing w:val="-13"/>
          <w:sz w:val="38"/>
        </w:rPr>
        <w:t> </w:t>
      </w:r>
      <w:r>
        <w:rPr>
          <w:sz w:val="38"/>
        </w:rPr>
        <w:t>metals to the polyphenols in the pomegranate, this can have a positive effect on the cancer process or prevent</w:t>
      </w:r>
      <w:r>
        <w:rPr>
          <w:spacing w:val="2"/>
          <w:sz w:val="38"/>
        </w:rPr>
        <w:t> </w:t>
      </w:r>
      <w:r>
        <w:rPr>
          <w:sz w:val="38"/>
        </w:rPr>
        <w:t>cancer.</w:t>
      </w:r>
    </w:p>
    <w:p>
      <w:pPr>
        <w:pStyle w:val="ListParagraph"/>
        <w:numPr>
          <w:ilvl w:val="1"/>
          <w:numId w:val="33"/>
        </w:numPr>
        <w:tabs>
          <w:tab w:pos="1198" w:val="left" w:leader="none"/>
        </w:tabs>
        <w:spacing w:line="273" w:lineRule="auto" w:before="252" w:after="0"/>
        <w:ind w:left="1197" w:right="134" w:hanging="360"/>
        <w:jc w:val="both"/>
        <w:rPr>
          <w:sz w:val="38"/>
        </w:rPr>
      </w:pPr>
      <w:r>
        <w:rPr>
          <w:sz w:val="38"/>
        </w:rPr>
        <w:t>Antioxidant effect: Last but not least, pomegranate owes its effect against malignant tumours due to the cell-protecting effect against free radicals to the flavonoids contained in</w:t>
      </w:r>
      <w:r>
        <w:rPr>
          <w:spacing w:val="2"/>
          <w:sz w:val="38"/>
        </w:rPr>
        <w:t> </w:t>
      </w:r>
      <w:r>
        <w:rPr>
          <w:sz w:val="38"/>
        </w:rPr>
        <w:t>it.</w:t>
      </w:r>
    </w:p>
    <w:p>
      <w:pPr>
        <w:pStyle w:val="BodyText"/>
        <w:spacing w:before="251"/>
        <w:ind w:left="837"/>
      </w:pPr>
      <w:r>
        <w:rPr/>
        <w:t>All these general effects are exhibited by pomegranate:</w:t>
      </w:r>
    </w:p>
    <w:p>
      <w:pPr>
        <w:pStyle w:val="ListParagraph"/>
        <w:numPr>
          <w:ilvl w:val="1"/>
          <w:numId w:val="33"/>
        </w:numPr>
        <w:tabs>
          <w:tab w:pos="1197" w:val="left" w:leader="none"/>
          <w:tab w:pos="1198" w:val="left" w:leader="none"/>
        </w:tabs>
        <w:spacing w:line="240" w:lineRule="auto" w:before="306" w:after="0"/>
        <w:ind w:left="1197" w:right="0" w:hanging="360"/>
        <w:jc w:val="left"/>
        <w:rPr>
          <w:sz w:val="38"/>
        </w:rPr>
      </w:pPr>
      <w:r>
        <w:rPr>
          <w:sz w:val="38"/>
        </w:rPr>
        <w:t>breast</w:t>
      </w:r>
      <w:r>
        <w:rPr>
          <w:spacing w:val="-1"/>
          <w:sz w:val="38"/>
        </w:rPr>
        <w:t> </w:t>
      </w:r>
      <w:r>
        <w:rPr>
          <w:sz w:val="38"/>
        </w:rPr>
        <w:t>cancer</w:t>
      </w:r>
    </w:p>
    <w:p>
      <w:pPr>
        <w:pStyle w:val="ListParagraph"/>
        <w:numPr>
          <w:ilvl w:val="1"/>
          <w:numId w:val="33"/>
        </w:numPr>
        <w:tabs>
          <w:tab w:pos="1197" w:val="left" w:leader="none"/>
          <w:tab w:pos="1198" w:val="left" w:leader="none"/>
        </w:tabs>
        <w:spacing w:line="240" w:lineRule="auto" w:before="64" w:after="0"/>
        <w:ind w:left="1197" w:right="0" w:hanging="360"/>
        <w:jc w:val="left"/>
        <w:rPr>
          <w:sz w:val="38"/>
        </w:rPr>
      </w:pPr>
      <w:r>
        <w:rPr>
          <w:sz w:val="38"/>
        </w:rPr>
        <w:t>colon cancer</w:t>
      </w:r>
    </w:p>
    <w:p>
      <w:pPr>
        <w:pStyle w:val="ListParagraph"/>
        <w:numPr>
          <w:ilvl w:val="1"/>
          <w:numId w:val="33"/>
        </w:numPr>
        <w:tabs>
          <w:tab w:pos="1197" w:val="left" w:leader="none"/>
          <w:tab w:pos="1198" w:val="left" w:leader="none"/>
        </w:tabs>
        <w:spacing w:line="240" w:lineRule="auto" w:before="63" w:after="0"/>
        <w:ind w:left="1197" w:right="0" w:hanging="360"/>
        <w:jc w:val="left"/>
        <w:rPr>
          <w:sz w:val="38"/>
        </w:rPr>
      </w:pPr>
      <w:r>
        <w:rPr>
          <w:sz w:val="38"/>
        </w:rPr>
        <w:t>ovarian cancer</w:t>
      </w:r>
    </w:p>
    <w:p>
      <w:pPr>
        <w:spacing w:after="0" w:line="240" w:lineRule="auto"/>
        <w:jc w:val="left"/>
        <w:rPr>
          <w:sz w:val="38"/>
        </w:rPr>
        <w:sectPr>
          <w:pgSz w:w="14270" w:h="16850"/>
          <w:pgMar w:header="0" w:footer="404" w:top="1600" w:bottom="2080" w:left="800" w:right="1280"/>
        </w:sectPr>
      </w:pPr>
    </w:p>
    <w:p>
      <w:pPr>
        <w:pStyle w:val="BodyText"/>
        <w:spacing w:before="10"/>
        <w:rPr>
          <w:sz w:val="8"/>
        </w:rPr>
      </w:pPr>
    </w:p>
    <w:p>
      <w:pPr>
        <w:pStyle w:val="ListParagraph"/>
        <w:numPr>
          <w:ilvl w:val="1"/>
          <w:numId w:val="33"/>
        </w:numPr>
        <w:tabs>
          <w:tab w:pos="1197" w:val="left" w:leader="none"/>
          <w:tab w:pos="1198" w:val="left" w:leader="none"/>
        </w:tabs>
        <w:spacing w:line="240" w:lineRule="auto" w:before="83" w:after="0"/>
        <w:ind w:left="1197" w:right="0" w:hanging="360"/>
        <w:jc w:val="left"/>
        <w:rPr>
          <w:sz w:val="38"/>
        </w:rPr>
      </w:pPr>
      <w:r>
        <w:rPr>
          <w:sz w:val="38"/>
        </w:rPr>
        <w:t>lung cancer</w:t>
      </w:r>
    </w:p>
    <w:p>
      <w:pPr>
        <w:pStyle w:val="ListParagraph"/>
        <w:numPr>
          <w:ilvl w:val="1"/>
          <w:numId w:val="33"/>
        </w:numPr>
        <w:tabs>
          <w:tab w:pos="1197" w:val="left" w:leader="none"/>
          <w:tab w:pos="1198" w:val="left" w:leader="none"/>
        </w:tabs>
        <w:spacing w:line="240" w:lineRule="auto" w:before="64" w:after="0"/>
        <w:ind w:left="1197" w:right="0" w:hanging="360"/>
        <w:jc w:val="left"/>
        <w:rPr>
          <w:sz w:val="38"/>
        </w:rPr>
      </w:pPr>
      <w:r>
        <w:rPr>
          <w:sz w:val="38"/>
        </w:rPr>
        <w:t>stomach</w:t>
      </w:r>
      <w:r>
        <w:rPr>
          <w:spacing w:val="1"/>
          <w:sz w:val="38"/>
        </w:rPr>
        <w:t> </w:t>
      </w:r>
      <w:r>
        <w:rPr>
          <w:sz w:val="38"/>
        </w:rPr>
        <w:t>cancer</w:t>
      </w:r>
    </w:p>
    <w:p>
      <w:pPr>
        <w:pStyle w:val="ListParagraph"/>
        <w:numPr>
          <w:ilvl w:val="1"/>
          <w:numId w:val="33"/>
        </w:numPr>
        <w:tabs>
          <w:tab w:pos="1197" w:val="left" w:leader="none"/>
          <w:tab w:pos="1198" w:val="left" w:leader="none"/>
        </w:tabs>
        <w:spacing w:line="240" w:lineRule="auto" w:before="66" w:after="0"/>
        <w:ind w:left="1197" w:right="0" w:hanging="360"/>
        <w:jc w:val="left"/>
        <w:rPr>
          <w:sz w:val="38"/>
        </w:rPr>
      </w:pPr>
      <w:r>
        <w:rPr>
          <w:sz w:val="38"/>
        </w:rPr>
        <w:t>prostate</w:t>
      </w:r>
      <w:r>
        <w:rPr>
          <w:spacing w:val="-1"/>
          <w:sz w:val="38"/>
        </w:rPr>
        <w:t> </w:t>
      </w:r>
      <w:r>
        <w:rPr>
          <w:sz w:val="38"/>
        </w:rPr>
        <w:t>cancer</w:t>
      </w:r>
    </w:p>
    <w:p>
      <w:pPr>
        <w:pStyle w:val="ListParagraph"/>
        <w:numPr>
          <w:ilvl w:val="1"/>
          <w:numId w:val="33"/>
        </w:numPr>
        <w:tabs>
          <w:tab w:pos="1197" w:val="left" w:leader="none"/>
          <w:tab w:pos="1198" w:val="left" w:leader="none"/>
        </w:tabs>
        <w:spacing w:line="240" w:lineRule="auto" w:before="63" w:after="0"/>
        <w:ind w:left="1197" w:right="0" w:hanging="360"/>
        <w:jc w:val="left"/>
        <w:rPr>
          <w:sz w:val="38"/>
        </w:rPr>
      </w:pPr>
      <w:r>
        <w:rPr>
          <w:sz w:val="38"/>
        </w:rPr>
        <w:t>liver tumours</w:t>
      </w:r>
    </w:p>
    <w:p>
      <w:pPr>
        <w:pStyle w:val="ListParagraph"/>
        <w:numPr>
          <w:ilvl w:val="1"/>
          <w:numId w:val="33"/>
        </w:numPr>
        <w:tabs>
          <w:tab w:pos="1197" w:val="left" w:leader="none"/>
          <w:tab w:pos="1198" w:val="left" w:leader="none"/>
        </w:tabs>
        <w:spacing w:line="240" w:lineRule="auto" w:before="64" w:after="0"/>
        <w:ind w:left="1197" w:right="0" w:hanging="360"/>
        <w:jc w:val="left"/>
        <w:rPr>
          <w:sz w:val="38"/>
        </w:rPr>
      </w:pPr>
      <w:r>
        <w:rPr>
          <w:sz w:val="38"/>
        </w:rPr>
        <w:t>stomach</w:t>
      </w:r>
      <w:r>
        <w:rPr>
          <w:spacing w:val="1"/>
          <w:sz w:val="38"/>
        </w:rPr>
        <w:t> </w:t>
      </w:r>
      <w:r>
        <w:rPr>
          <w:sz w:val="38"/>
        </w:rPr>
        <w:t>cancer</w:t>
      </w:r>
    </w:p>
    <w:p>
      <w:pPr>
        <w:pStyle w:val="ListParagraph"/>
        <w:numPr>
          <w:ilvl w:val="1"/>
          <w:numId w:val="33"/>
        </w:numPr>
        <w:tabs>
          <w:tab w:pos="1197" w:val="left" w:leader="none"/>
          <w:tab w:pos="1198" w:val="left" w:leader="none"/>
        </w:tabs>
        <w:spacing w:line="240" w:lineRule="auto" w:before="63" w:after="0"/>
        <w:ind w:left="1197" w:right="0" w:hanging="360"/>
        <w:jc w:val="left"/>
        <w:rPr>
          <w:sz w:val="38"/>
        </w:rPr>
      </w:pPr>
      <w:r>
        <w:rPr>
          <w:sz w:val="38"/>
        </w:rPr>
        <w:t>skin cancer</w:t>
      </w:r>
    </w:p>
    <w:p>
      <w:pPr>
        <w:pStyle w:val="ListParagraph"/>
        <w:numPr>
          <w:ilvl w:val="1"/>
          <w:numId w:val="33"/>
        </w:numPr>
        <w:tabs>
          <w:tab w:pos="1197" w:val="left" w:leader="none"/>
          <w:tab w:pos="1198" w:val="left" w:leader="none"/>
        </w:tabs>
        <w:spacing w:line="240" w:lineRule="auto" w:before="65" w:after="0"/>
        <w:ind w:left="1197" w:right="0" w:hanging="360"/>
        <w:jc w:val="left"/>
        <w:rPr>
          <w:sz w:val="38"/>
        </w:rPr>
      </w:pPr>
      <w:r>
        <w:rPr>
          <w:sz w:val="38"/>
        </w:rPr>
        <w:t>thyroid</w:t>
      </w:r>
      <w:r>
        <w:rPr>
          <w:spacing w:val="-2"/>
          <w:sz w:val="38"/>
        </w:rPr>
        <w:t> </w:t>
      </w:r>
      <w:r>
        <w:rPr>
          <w:sz w:val="38"/>
        </w:rPr>
        <w:t>cancer</w:t>
      </w:r>
    </w:p>
    <w:p>
      <w:pPr>
        <w:pStyle w:val="ListParagraph"/>
        <w:numPr>
          <w:ilvl w:val="1"/>
          <w:numId w:val="33"/>
        </w:numPr>
        <w:tabs>
          <w:tab w:pos="1197" w:val="left" w:leader="none"/>
          <w:tab w:pos="1198" w:val="left" w:leader="none"/>
        </w:tabs>
        <w:spacing w:line="240" w:lineRule="auto" w:before="66" w:after="0"/>
        <w:ind w:left="1197" w:right="0" w:hanging="360"/>
        <w:jc w:val="left"/>
        <w:rPr>
          <w:sz w:val="38"/>
        </w:rPr>
      </w:pPr>
      <w:r>
        <w:rPr>
          <w:sz w:val="38"/>
        </w:rPr>
        <w:t>leukemia</w:t>
      </w:r>
    </w:p>
    <w:p>
      <w:pPr>
        <w:pStyle w:val="ListParagraph"/>
        <w:numPr>
          <w:ilvl w:val="1"/>
          <w:numId w:val="33"/>
        </w:numPr>
        <w:tabs>
          <w:tab w:pos="1197" w:val="left" w:leader="none"/>
          <w:tab w:pos="1198" w:val="left" w:leader="none"/>
        </w:tabs>
        <w:spacing w:line="240" w:lineRule="auto" w:before="63" w:after="0"/>
        <w:ind w:left="1197" w:right="0" w:hanging="360"/>
        <w:jc w:val="left"/>
        <w:rPr>
          <w:sz w:val="38"/>
        </w:rPr>
      </w:pPr>
      <w:r>
        <w:rPr>
          <w:sz w:val="38"/>
        </w:rPr>
        <w:t>lung cancer</w:t>
      </w:r>
    </w:p>
    <w:p>
      <w:pPr>
        <w:pStyle w:val="ListParagraph"/>
        <w:numPr>
          <w:ilvl w:val="1"/>
          <w:numId w:val="33"/>
        </w:numPr>
        <w:tabs>
          <w:tab w:pos="1197" w:val="left" w:leader="none"/>
          <w:tab w:pos="1198" w:val="left" w:leader="none"/>
        </w:tabs>
        <w:spacing w:line="240" w:lineRule="auto" w:before="64" w:after="0"/>
        <w:ind w:left="1197" w:right="0" w:hanging="360"/>
        <w:jc w:val="left"/>
        <w:rPr>
          <w:sz w:val="38"/>
        </w:rPr>
      </w:pPr>
      <w:r>
        <w:rPr>
          <w:sz w:val="38"/>
        </w:rPr>
        <w:t>pancreatic</w:t>
      </w:r>
      <w:r>
        <w:rPr>
          <w:spacing w:val="-1"/>
          <w:sz w:val="38"/>
        </w:rPr>
        <w:t> </w:t>
      </w:r>
      <w:r>
        <w:rPr>
          <w:sz w:val="38"/>
        </w:rPr>
        <w:t>cancer</w:t>
      </w:r>
    </w:p>
    <w:p>
      <w:pPr>
        <w:pStyle w:val="ListParagraph"/>
        <w:numPr>
          <w:ilvl w:val="1"/>
          <w:numId w:val="33"/>
        </w:numPr>
        <w:tabs>
          <w:tab w:pos="1197" w:val="left" w:leader="none"/>
          <w:tab w:pos="1198" w:val="left" w:leader="none"/>
        </w:tabs>
        <w:spacing w:line="240" w:lineRule="auto" w:before="64" w:after="0"/>
        <w:ind w:left="1197" w:right="0" w:hanging="360"/>
        <w:jc w:val="left"/>
        <w:rPr>
          <w:sz w:val="38"/>
        </w:rPr>
      </w:pPr>
      <w:r>
        <w:rPr>
          <w:sz w:val="38"/>
        </w:rPr>
        <w:t>liver cancer</w:t>
      </w:r>
    </w:p>
    <w:p>
      <w:pPr>
        <w:pStyle w:val="ListParagraph"/>
        <w:numPr>
          <w:ilvl w:val="1"/>
          <w:numId w:val="33"/>
        </w:numPr>
        <w:tabs>
          <w:tab w:pos="1197" w:val="left" w:leader="none"/>
          <w:tab w:pos="1198" w:val="left" w:leader="none"/>
        </w:tabs>
        <w:spacing w:line="240" w:lineRule="auto" w:before="63" w:after="0"/>
        <w:ind w:left="1197" w:right="0" w:hanging="360"/>
        <w:jc w:val="left"/>
        <w:rPr>
          <w:sz w:val="38"/>
        </w:rPr>
      </w:pPr>
      <w:r>
        <w:rPr>
          <w:sz w:val="38"/>
        </w:rPr>
        <w:t>melanoma</w:t>
      </w:r>
    </w:p>
    <w:p>
      <w:pPr>
        <w:spacing w:after="0" w:line="240" w:lineRule="auto"/>
        <w:jc w:val="left"/>
        <w:rPr>
          <w:sz w:val="38"/>
        </w:rPr>
        <w:sectPr>
          <w:pgSz w:w="14270" w:h="16850"/>
          <w:pgMar w:header="0" w:footer="404" w:top="1600" w:bottom="2080" w:left="800" w:right="1280"/>
        </w:sectPr>
      </w:pPr>
    </w:p>
    <w:p>
      <w:pPr>
        <w:pStyle w:val="Heading2"/>
        <w:spacing w:before="181"/>
      </w:pPr>
      <w:r>
        <w:rPr/>
        <w:t>Effect of pomegranate against hormone-dependent cancers</w:t>
      </w:r>
    </w:p>
    <w:p>
      <w:pPr>
        <w:spacing w:before="288"/>
        <w:ind w:left="477" w:right="0" w:firstLine="0"/>
        <w:jc w:val="left"/>
        <w:rPr>
          <w:b/>
          <w:i/>
          <w:sz w:val="40"/>
        </w:rPr>
      </w:pPr>
      <w:r>
        <w:rPr>
          <w:b/>
          <w:i/>
          <w:sz w:val="40"/>
        </w:rPr>
        <w:t>Effect of pomegranate against breast</w:t>
      </w:r>
      <w:r>
        <w:rPr>
          <w:b/>
          <w:i/>
          <w:spacing w:val="-62"/>
          <w:sz w:val="40"/>
        </w:rPr>
        <w:t> </w:t>
      </w:r>
      <w:r>
        <w:rPr>
          <w:b/>
          <w:i/>
          <w:sz w:val="40"/>
        </w:rPr>
        <w:t>cancer</w:t>
      </w:r>
    </w:p>
    <w:p>
      <w:pPr>
        <w:pStyle w:val="BodyText"/>
        <w:spacing w:line="276" w:lineRule="auto" w:before="299"/>
        <w:ind w:left="477" w:right="134"/>
        <w:jc w:val="both"/>
      </w:pPr>
      <w:r>
        <w:rPr/>
        <w:t>Researchers Kim, Lansky and colleagues were able to prove that pomegranate has an anti-oestrogenic effect in studies in 2002. Pomegranate owes this to the polyphenols contained within it. Furthermore, the researchers were able to show that pomegranate blocks the enzyme ‘aromatase’ and thus reduces oes- trogen synthesis in adipose tissue.</w:t>
      </w:r>
    </w:p>
    <w:p>
      <w:pPr>
        <w:pStyle w:val="BodyText"/>
        <w:spacing w:line="276" w:lineRule="auto" w:before="240"/>
        <w:ind w:left="477" w:right="134"/>
        <w:jc w:val="both"/>
      </w:pPr>
      <w:r>
        <w:rPr/>
        <w:t>In this way, pomegranate acts against so-called ‘hormone-dependent carcino- mas’, cancers that are triggered by hormone action. These include both breast cancer and prostate cancer.</w:t>
      </w:r>
    </w:p>
    <w:p>
      <w:pPr>
        <w:pStyle w:val="Heading1"/>
        <w:jc w:val="both"/>
      </w:pPr>
      <w:r>
        <w:rPr/>
        <w:t>Effect of pomegranate on:</w:t>
      </w:r>
    </w:p>
    <w:p>
      <w:pPr>
        <w:pStyle w:val="ListParagraph"/>
        <w:numPr>
          <w:ilvl w:val="0"/>
          <w:numId w:val="33"/>
        </w:numPr>
        <w:tabs>
          <w:tab w:pos="893" w:val="left" w:leader="none"/>
        </w:tabs>
        <w:spacing w:line="240" w:lineRule="auto" w:before="179" w:after="0"/>
        <w:ind w:left="892" w:right="0" w:hanging="415"/>
        <w:jc w:val="both"/>
        <w:rPr>
          <w:sz w:val="38"/>
        </w:rPr>
      </w:pPr>
      <w:r>
        <w:rPr>
          <w:sz w:val="38"/>
        </w:rPr>
        <w:t>breast</w:t>
      </w:r>
      <w:r>
        <w:rPr>
          <w:spacing w:val="-1"/>
          <w:sz w:val="38"/>
        </w:rPr>
        <w:t> </w:t>
      </w:r>
      <w:r>
        <w:rPr>
          <w:sz w:val="38"/>
        </w:rPr>
        <w:t>cancer</w:t>
      </w:r>
    </w:p>
    <w:p>
      <w:pPr>
        <w:pStyle w:val="ListParagraph"/>
        <w:numPr>
          <w:ilvl w:val="0"/>
          <w:numId w:val="33"/>
        </w:numPr>
        <w:tabs>
          <w:tab w:pos="893" w:val="left" w:leader="none"/>
        </w:tabs>
        <w:spacing w:line="240" w:lineRule="auto" w:before="66" w:after="0"/>
        <w:ind w:left="892" w:right="0" w:hanging="415"/>
        <w:jc w:val="both"/>
        <w:rPr>
          <w:sz w:val="38"/>
        </w:rPr>
      </w:pPr>
      <w:r>
        <w:rPr>
          <w:sz w:val="38"/>
        </w:rPr>
        <w:t>colon</w:t>
      </w:r>
      <w:r>
        <w:rPr>
          <w:spacing w:val="-1"/>
          <w:sz w:val="38"/>
        </w:rPr>
        <w:t> </w:t>
      </w:r>
      <w:r>
        <w:rPr>
          <w:sz w:val="38"/>
        </w:rPr>
        <w:t>cancer</w:t>
      </w:r>
    </w:p>
    <w:p>
      <w:pPr>
        <w:pStyle w:val="ListParagraph"/>
        <w:numPr>
          <w:ilvl w:val="0"/>
          <w:numId w:val="33"/>
        </w:numPr>
        <w:tabs>
          <w:tab w:pos="893" w:val="left" w:leader="none"/>
        </w:tabs>
        <w:spacing w:line="240" w:lineRule="auto" w:before="63" w:after="0"/>
        <w:ind w:left="892" w:right="0" w:hanging="415"/>
        <w:jc w:val="both"/>
        <w:rPr>
          <w:sz w:val="38"/>
        </w:rPr>
      </w:pPr>
      <w:r>
        <w:rPr>
          <w:sz w:val="38"/>
        </w:rPr>
        <w:t>ovarian cancer</w:t>
      </w:r>
    </w:p>
    <w:p>
      <w:pPr>
        <w:pStyle w:val="ListParagraph"/>
        <w:numPr>
          <w:ilvl w:val="0"/>
          <w:numId w:val="33"/>
        </w:numPr>
        <w:tabs>
          <w:tab w:pos="893" w:val="left" w:leader="none"/>
        </w:tabs>
        <w:spacing w:line="240" w:lineRule="auto" w:before="64" w:after="0"/>
        <w:ind w:left="892" w:right="0" w:hanging="415"/>
        <w:jc w:val="both"/>
        <w:rPr>
          <w:sz w:val="38"/>
        </w:rPr>
      </w:pPr>
      <w:r>
        <w:rPr>
          <w:sz w:val="38"/>
        </w:rPr>
        <w:t>lung cancer</w:t>
      </w:r>
    </w:p>
    <w:p>
      <w:pPr>
        <w:pStyle w:val="ListParagraph"/>
        <w:numPr>
          <w:ilvl w:val="0"/>
          <w:numId w:val="33"/>
        </w:numPr>
        <w:tabs>
          <w:tab w:pos="893" w:val="left" w:leader="none"/>
        </w:tabs>
        <w:spacing w:line="240" w:lineRule="auto" w:before="64" w:after="0"/>
        <w:ind w:left="892" w:right="0" w:hanging="415"/>
        <w:jc w:val="both"/>
        <w:rPr>
          <w:sz w:val="38"/>
        </w:rPr>
      </w:pPr>
      <w:r>
        <w:rPr>
          <w:sz w:val="38"/>
        </w:rPr>
        <w:t>stomach cancer</w:t>
      </w:r>
    </w:p>
    <w:p>
      <w:pPr>
        <w:pStyle w:val="ListParagraph"/>
        <w:numPr>
          <w:ilvl w:val="0"/>
          <w:numId w:val="33"/>
        </w:numPr>
        <w:tabs>
          <w:tab w:pos="893" w:val="left" w:leader="none"/>
        </w:tabs>
        <w:spacing w:line="240" w:lineRule="auto" w:before="63" w:after="0"/>
        <w:ind w:left="892" w:right="0" w:hanging="415"/>
        <w:jc w:val="both"/>
        <w:rPr>
          <w:sz w:val="38"/>
        </w:rPr>
      </w:pPr>
      <w:r>
        <w:rPr>
          <w:sz w:val="38"/>
        </w:rPr>
        <w:t>prostate</w:t>
      </w:r>
      <w:r>
        <w:rPr>
          <w:spacing w:val="-1"/>
          <w:sz w:val="38"/>
        </w:rPr>
        <w:t> </w:t>
      </w:r>
      <w:r>
        <w:rPr>
          <w:sz w:val="38"/>
        </w:rPr>
        <w:t>cancer</w:t>
      </w:r>
    </w:p>
    <w:p>
      <w:pPr>
        <w:pStyle w:val="ListParagraph"/>
        <w:numPr>
          <w:ilvl w:val="0"/>
          <w:numId w:val="33"/>
        </w:numPr>
        <w:tabs>
          <w:tab w:pos="893" w:val="left" w:leader="none"/>
        </w:tabs>
        <w:spacing w:line="240" w:lineRule="auto" w:before="66" w:after="0"/>
        <w:ind w:left="892" w:right="0" w:hanging="415"/>
        <w:jc w:val="both"/>
        <w:rPr>
          <w:sz w:val="38"/>
        </w:rPr>
      </w:pPr>
      <w:r>
        <w:rPr>
          <w:sz w:val="38"/>
        </w:rPr>
        <w:t>liver tumours</w:t>
      </w:r>
    </w:p>
    <w:p>
      <w:pPr>
        <w:pStyle w:val="ListParagraph"/>
        <w:numPr>
          <w:ilvl w:val="0"/>
          <w:numId w:val="33"/>
        </w:numPr>
        <w:tabs>
          <w:tab w:pos="893" w:val="left" w:leader="none"/>
        </w:tabs>
        <w:spacing w:line="240" w:lineRule="auto" w:before="64" w:after="0"/>
        <w:ind w:left="892" w:right="0" w:hanging="415"/>
        <w:jc w:val="both"/>
        <w:rPr>
          <w:sz w:val="38"/>
        </w:rPr>
      </w:pPr>
      <w:r>
        <w:rPr>
          <w:sz w:val="38"/>
        </w:rPr>
        <w:t>stomach cancer</w:t>
      </w:r>
    </w:p>
    <w:p>
      <w:pPr>
        <w:pStyle w:val="ListParagraph"/>
        <w:numPr>
          <w:ilvl w:val="0"/>
          <w:numId w:val="33"/>
        </w:numPr>
        <w:tabs>
          <w:tab w:pos="893" w:val="left" w:leader="none"/>
        </w:tabs>
        <w:spacing w:line="240" w:lineRule="auto" w:before="64" w:after="0"/>
        <w:ind w:left="892" w:right="0" w:hanging="415"/>
        <w:jc w:val="both"/>
        <w:rPr>
          <w:sz w:val="38"/>
        </w:rPr>
      </w:pPr>
      <w:r>
        <w:rPr>
          <w:sz w:val="38"/>
        </w:rPr>
        <w:t>skin</w:t>
      </w:r>
      <w:r>
        <w:rPr>
          <w:spacing w:val="-3"/>
          <w:sz w:val="38"/>
        </w:rPr>
        <w:t> </w:t>
      </w:r>
      <w:r>
        <w:rPr>
          <w:sz w:val="38"/>
        </w:rPr>
        <w:t>cancer</w:t>
      </w:r>
    </w:p>
    <w:p>
      <w:pPr>
        <w:pStyle w:val="ListParagraph"/>
        <w:numPr>
          <w:ilvl w:val="0"/>
          <w:numId w:val="33"/>
        </w:numPr>
        <w:tabs>
          <w:tab w:pos="893" w:val="left" w:leader="none"/>
        </w:tabs>
        <w:spacing w:line="240" w:lineRule="auto" w:before="64" w:after="0"/>
        <w:ind w:left="892" w:right="0" w:hanging="415"/>
        <w:jc w:val="both"/>
        <w:rPr>
          <w:sz w:val="38"/>
        </w:rPr>
      </w:pPr>
      <w:r>
        <w:rPr>
          <w:sz w:val="38"/>
        </w:rPr>
        <w:t>thyroid</w:t>
      </w:r>
      <w:r>
        <w:rPr>
          <w:spacing w:val="-1"/>
          <w:sz w:val="38"/>
        </w:rPr>
        <w:t> </w:t>
      </w:r>
      <w:r>
        <w:rPr>
          <w:sz w:val="38"/>
        </w:rPr>
        <w:t>cancer</w:t>
      </w:r>
    </w:p>
    <w:p>
      <w:pPr>
        <w:spacing w:after="0" w:line="240" w:lineRule="auto"/>
        <w:jc w:val="both"/>
        <w:rPr>
          <w:sz w:val="38"/>
        </w:rPr>
        <w:sectPr>
          <w:footerReference w:type="default" r:id="rId131"/>
          <w:pgSz w:w="14270" w:h="16850"/>
          <w:pgMar w:footer="1891" w:header="0" w:top="1600" w:bottom="2080" w:left="800" w:right="1280"/>
          <w:pgNumType w:start="520"/>
        </w:sectPr>
      </w:pPr>
    </w:p>
    <w:p>
      <w:pPr>
        <w:pStyle w:val="BodyText"/>
        <w:spacing w:before="10"/>
        <w:rPr>
          <w:sz w:val="8"/>
        </w:rPr>
      </w:pPr>
    </w:p>
    <w:p>
      <w:pPr>
        <w:pStyle w:val="ListParagraph"/>
        <w:numPr>
          <w:ilvl w:val="0"/>
          <w:numId w:val="33"/>
        </w:numPr>
        <w:tabs>
          <w:tab w:pos="893" w:val="left" w:leader="none"/>
        </w:tabs>
        <w:spacing w:line="240" w:lineRule="auto" w:before="83" w:after="0"/>
        <w:ind w:left="892" w:right="0" w:hanging="415"/>
        <w:jc w:val="both"/>
        <w:rPr>
          <w:sz w:val="38"/>
        </w:rPr>
      </w:pPr>
      <w:r>
        <w:rPr>
          <w:sz w:val="38"/>
        </w:rPr>
        <w:t>leukemia</w:t>
      </w:r>
    </w:p>
    <w:p>
      <w:pPr>
        <w:pStyle w:val="ListParagraph"/>
        <w:numPr>
          <w:ilvl w:val="0"/>
          <w:numId w:val="33"/>
        </w:numPr>
        <w:tabs>
          <w:tab w:pos="893" w:val="left" w:leader="none"/>
        </w:tabs>
        <w:spacing w:line="240" w:lineRule="auto" w:before="64" w:after="0"/>
        <w:ind w:left="892" w:right="0" w:hanging="415"/>
        <w:jc w:val="both"/>
        <w:rPr>
          <w:sz w:val="38"/>
        </w:rPr>
      </w:pPr>
      <w:r>
        <w:rPr>
          <w:sz w:val="38"/>
        </w:rPr>
        <w:t>lung cancer</w:t>
      </w:r>
    </w:p>
    <w:p>
      <w:pPr>
        <w:pStyle w:val="ListParagraph"/>
        <w:numPr>
          <w:ilvl w:val="0"/>
          <w:numId w:val="33"/>
        </w:numPr>
        <w:tabs>
          <w:tab w:pos="893" w:val="left" w:leader="none"/>
        </w:tabs>
        <w:spacing w:line="240" w:lineRule="auto" w:before="66" w:after="0"/>
        <w:ind w:left="892" w:right="0" w:hanging="415"/>
        <w:jc w:val="both"/>
        <w:rPr>
          <w:sz w:val="38"/>
        </w:rPr>
      </w:pPr>
      <w:r>
        <w:rPr>
          <w:sz w:val="38"/>
        </w:rPr>
        <w:t>pancreatic</w:t>
      </w:r>
      <w:r>
        <w:rPr>
          <w:spacing w:val="-2"/>
          <w:sz w:val="38"/>
        </w:rPr>
        <w:t> </w:t>
      </w:r>
      <w:r>
        <w:rPr>
          <w:sz w:val="38"/>
        </w:rPr>
        <w:t>cancer</w:t>
      </w:r>
    </w:p>
    <w:p>
      <w:pPr>
        <w:pStyle w:val="ListParagraph"/>
        <w:numPr>
          <w:ilvl w:val="0"/>
          <w:numId w:val="33"/>
        </w:numPr>
        <w:tabs>
          <w:tab w:pos="893" w:val="left" w:leader="none"/>
        </w:tabs>
        <w:spacing w:line="240" w:lineRule="auto" w:before="63" w:after="0"/>
        <w:ind w:left="892" w:right="0" w:hanging="415"/>
        <w:jc w:val="both"/>
        <w:rPr>
          <w:sz w:val="38"/>
        </w:rPr>
      </w:pPr>
      <w:r>
        <w:rPr>
          <w:sz w:val="38"/>
        </w:rPr>
        <w:t>liver cancer</w:t>
      </w:r>
    </w:p>
    <w:p>
      <w:pPr>
        <w:pStyle w:val="ListParagraph"/>
        <w:numPr>
          <w:ilvl w:val="0"/>
          <w:numId w:val="33"/>
        </w:numPr>
        <w:tabs>
          <w:tab w:pos="893" w:val="left" w:leader="none"/>
        </w:tabs>
        <w:spacing w:line="240" w:lineRule="auto" w:before="64" w:after="0"/>
        <w:ind w:left="892" w:right="0" w:hanging="415"/>
        <w:jc w:val="both"/>
        <w:rPr>
          <w:sz w:val="38"/>
        </w:rPr>
      </w:pPr>
      <w:r>
        <w:rPr>
          <w:sz w:val="38"/>
        </w:rPr>
        <w:t>melanoma</w:t>
      </w:r>
    </w:p>
    <w:p>
      <w:pPr>
        <w:pStyle w:val="BodyText"/>
        <w:spacing w:line="276" w:lineRule="auto" w:before="302"/>
        <w:ind w:left="477" w:right="128"/>
        <w:jc w:val="both"/>
      </w:pPr>
      <w:r>
        <w:rPr/>
        <w:t>The flavonoid in the pomegranate, called apigenin, has, in recent studies, been shown to have a positive effect on the above-mentioned cancerous tumours, preventing their cancerous growth and metastasis. The latter is very high, con- sidering that 90 % of all people who die of cancer do not die from the primary tumour, but from its metastases. In a multi-year study, 93 % of cancers were prevented from recurring in patients who had taken a mixture of flavonoids with apigenin after a colorectal cancer operation, while, in the control group (without apigenin consumption), the cancer recurred in nearly half of the pa- tients. The effect is explained by the inhibitory property of apigenin on</w:t>
      </w:r>
    </w:p>
    <w:p>
      <w:pPr>
        <w:pStyle w:val="ListParagraph"/>
        <w:numPr>
          <w:ilvl w:val="0"/>
          <w:numId w:val="33"/>
        </w:numPr>
        <w:tabs>
          <w:tab w:pos="893" w:val="left" w:leader="none"/>
        </w:tabs>
        <w:spacing w:line="240" w:lineRule="auto" w:before="123" w:after="0"/>
        <w:ind w:left="892" w:right="0" w:hanging="415"/>
        <w:jc w:val="both"/>
        <w:rPr>
          <w:sz w:val="38"/>
        </w:rPr>
      </w:pPr>
      <w:r>
        <w:rPr>
          <w:sz w:val="38"/>
        </w:rPr>
        <w:t>cancer</w:t>
      </w:r>
      <w:r>
        <w:rPr>
          <w:spacing w:val="-2"/>
          <w:sz w:val="38"/>
        </w:rPr>
        <w:t> </w:t>
      </w:r>
      <w:r>
        <w:rPr>
          <w:sz w:val="38"/>
        </w:rPr>
        <w:t>proliferation,</w:t>
      </w:r>
    </w:p>
    <w:p>
      <w:pPr>
        <w:pStyle w:val="ListParagraph"/>
        <w:numPr>
          <w:ilvl w:val="0"/>
          <w:numId w:val="33"/>
        </w:numPr>
        <w:tabs>
          <w:tab w:pos="893" w:val="left" w:leader="none"/>
        </w:tabs>
        <w:spacing w:line="240" w:lineRule="auto" w:before="64" w:after="0"/>
        <w:ind w:left="892" w:right="0" w:hanging="415"/>
        <w:jc w:val="both"/>
        <w:rPr>
          <w:sz w:val="38"/>
        </w:rPr>
      </w:pPr>
      <w:r>
        <w:rPr>
          <w:sz w:val="38"/>
        </w:rPr>
        <w:t>cancer</w:t>
      </w:r>
      <w:r>
        <w:rPr>
          <w:spacing w:val="-2"/>
          <w:sz w:val="38"/>
        </w:rPr>
        <w:t> </w:t>
      </w:r>
      <w:r>
        <w:rPr>
          <w:sz w:val="38"/>
        </w:rPr>
        <w:t>growth</w:t>
      </w:r>
    </w:p>
    <w:p>
      <w:pPr>
        <w:pStyle w:val="ListParagraph"/>
        <w:numPr>
          <w:ilvl w:val="0"/>
          <w:numId w:val="33"/>
        </w:numPr>
        <w:tabs>
          <w:tab w:pos="893" w:val="left" w:leader="none"/>
        </w:tabs>
        <w:spacing w:line="240" w:lineRule="auto" w:before="64" w:after="0"/>
        <w:ind w:left="892" w:right="0" w:hanging="415"/>
        <w:jc w:val="both"/>
        <w:rPr>
          <w:sz w:val="38"/>
        </w:rPr>
      </w:pPr>
      <w:r>
        <w:rPr>
          <w:sz w:val="38"/>
        </w:rPr>
        <w:t>as well as</w:t>
      </w:r>
      <w:r>
        <w:rPr>
          <w:spacing w:val="-4"/>
          <w:sz w:val="38"/>
        </w:rPr>
        <w:t> </w:t>
      </w:r>
      <w:r>
        <w:rPr>
          <w:sz w:val="38"/>
        </w:rPr>
        <w:t>metastasis.</w:t>
      </w:r>
    </w:p>
    <w:p>
      <w:pPr>
        <w:pStyle w:val="Heading1"/>
        <w:spacing w:before="285"/>
        <w:jc w:val="both"/>
      </w:pPr>
      <w:r>
        <w:rPr/>
        <w:t>Effect against hormone-dependent cancers</w:t>
      </w:r>
    </w:p>
    <w:p>
      <w:pPr>
        <w:pStyle w:val="BodyText"/>
        <w:spacing w:line="276" w:lineRule="auto" w:before="299"/>
        <w:ind w:left="477" w:right="132"/>
        <w:jc w:val="both"/>
      </w:pPr>
      <w:r>
        <w:rPr/>
        <w:t>As</w:t>
      </w:r>
      <w:r>
        <w:rPr>
          <w:spacing w:val="-15"/>
        </w:rPr>
        <w:t> </w:t>
      </w:r>
      <w:r>
        <w:rPr/>
        <w:t>described</w:t>
      </w:r>
      <w:r>
        <w:rPr>
          <w:spacing w:val="-15"/>
        </w:rPr>
        <w:t> </w:t>
      </w:r>
      <w:r>
        <w:rPr/>
        <w:t>above,</w:t>
      </w:r>
      <w:r>
        <w:rPr>
          <w:spacing w:val="-13"/>
        </w:rPr>
        <w:t> </w:t>
      </w:r>
      <w:r>
        <w:rPr/>
        <w:t>researchers</w:t>
      </w:r>
      <w:r>
        <w:rPr>
          <w:spacing w:val="-18"/>
        </w:rPr>
        <w:t> </w:t>
      </w:r>
      <w:r>
        <w:rPr/>
        <w:t>Kim,</w:t>
      </w:r>
      <w:r>
        <w:rPr>
          <w:spacing w:val="-14"/>
        </w:rPr>
        <w:t> </w:t>
      </w:r>
      <w:r>
        <w:rPr/>
        <w:t>Lansky</w:t>
      </w:r>
      <w:r>
        <w:rPr>
          <w:spacing w:val="-15"/>
        </w:rPr>
        <w:t> </w:t>
      </w:r>
      <w:r>
        <w:rPr/>
        <w:t>and</w:t>
      </w:r>
      <w:r>
        <w:rPr>
          <w:spacing w:val="-14"/>
        </w:rPr>
        <w:t> </w:t>
      </w:r>
      <w:r>
        <w:rPr/>
        <w:t>colleagues</w:t>
      </w:r>
      <w:r>
        <w:rPr>
          <w:spacing w:val="-14"/>
        </w:rPr>
        <w:t> </w:t>
      </w:r>
      <w:r>
        <w:rPr/>
        <w:t>were</w:t>
      </w:r>
      <w:r>
        <w:rPr>
          <w:spacing w:val="-14"/>
        </w:rPr>
        <w:t> </w:t>
      </w:r>
      <w:r>
        <w:rPr/>
        <w:t>able</w:t>
      </w:r>
      <w:r>
        <w:rPr>
          <w:spacing w:val="-15"/>
        </w:rPr>
        <w:t> </w:t>
      </w:r>
      <w:r>
        <w:rPr/>
        <w:t>to</w:t>
      </w:r>
      <w:r>
        <w:rPr>
          <w:spacing w:val="-16"/>
        </w:rPr>
        <w:t> </w:t>
      </w:r>
      <w:r>
        <w:rPr/>
        <w:t>prove that</w:t>
      </w:r>
      <w:r>
        <w:rPr>
          <w:spacing w:val="-20"/>
        </w:rPr>
        <w:t> </w:t>
      </w:r>
      <w:r>
        <w:rPr/>
        <w:t>pomegranate</w:t>
      </w:r>
      <w:r>
        <w:rPr>
          <w:spacing w:val="-21"/>
        </w:rPr>
        <w:t> </w:t>
      </w:r>
      <w:r>
        <w:rPr/>
        <w:t>has</w:t>
      </w:r>
      <w:r>
        <w:rPr>
          <w:spacing w:val="-22"/>
        </w:rPr>
        <w:t> </w:t>
      </w:r>
      <w:r>
        <w:rPr/>
        <w:t>an</w:t>
      </w:r>
      <w:r>
        <w:rPr>
          <w:spacing w:val="-20"/>
        </w:rPr>
        <w:t> </w:t>
      </w:r>
      <w:r>
        <w:rPr/>
        <w:t>anti-oestrogenic</w:t>
      </w:r>
      <w:r>
        <w:rPr>
          <w:spacing w:val="-20"/>
        </w:rPr>
        <w:t> </w:t>
      </w:r>
      <w:r>
        <w:rPr/>
        <w:t>effect</w:t>
      </w:r>
      <w:r>
        <w:rPr>
          <w:spacing w:val="-22"/>
        </w:rPr>
        <w:t> </w:t>
      </w:r>
      <w:r>
        <w:rPr/>
        <w:t>in</w:t>
      </w:r>
      <w:r>
        <w:rPr>
          <w:spacing w:val="-20"/>
        </w:rPr>
        <w:t> </w:t>
      </w:r>
      <w:r>
        <w:rPr/>
        <w:t>studies</w:t>
      </w:r>
      <w:r>
        <w:rPr>
          <w:spacing w:val="-20"/>
        </w:rPr>
        <w:t> </w:t>
      </w:r>
      <w:r>
        <w:rPr/>
        <w:t>in</w:t>
      </w:r>
      <w:r>
        <w:rPr>
          <w:spacing w:val="-21"/>
        </w:rPr>
        <w:t> </w:t>
      </w:r>
      <w:r>
        <w:rPr/>
        <w:t>2002.</w:t>
      </w:r>
      <w:r>
        <w:rPr>
          <w:spacing w:val="-20"/>
        </w:rPr>
        <w:t> </w:t>
      </w:r>
      <w:r>
        <w:rPr/>
        <w:t>Pomegranate owes this to the polyphenols contained within it. Furthermore, the</w:t>
      </w:r>
      <w:r>
        <w:rPr>
          <w:spacing w:val="32"/>
        </w:rPr>
        <w:t> </w:t>
      </w:r>
      <w:r>
        <w:rPr/>
        <w:t>researchers</w:t>
      </w:r>
    </w:p>
    <w:p>
      <w:pPr>
        <w:spacing w:after="0" w:line="276" w:lineRule="auto"/>
        <w:jc w:val="both"/>
        <w:sectPr>
          <w:pgSz w:w="14270" w:h="16850"/>
          <w:pgMar w:header="0" w:footer="1891" w:top="1600" w:bottom="2080" w:left="800" w:right="1280"/>
        </w:sectPr>
      </w:pPr>
    </w:p>
    <w:p>
      <w:pPr>
        <w:pStyle w:val="BodyText"/>
        <w:spacing w:line="276" w:lineRule="auto" w:before="181"/>
        <w:ind w:left="477"/>
      </w:pPr>
      <w:r>
        <w:rPr/>
        <w:t>were able to show that pomegranate blocks the enzyme ‘aromatase’ and thus reduces oestrogen synthesis in adipose tissue.</w:t>
      </w:r>
    </w:p>
    <w:p>
      <w:pPr>
        <w:pStyle w:val="Heading1"/>
      </w:pPr>
      <w:r>
        <w:rPr/>
        <w:t>Effect on intestinal inflammation</w:t>
      </w:r>
    </w:p>
    <w:p>
      <w:pPr>
        <w:pStyle w:val="BodyText"/>
        <w:spacing w:line="276" w:lineRule="auto" w:before="299"/>
        <w:ind w:left="477"/>
      </w:pPr>
      <w:r>
        <w:rPr/>
        <w:t>In a similar way as with arthritis, pomegranate can counteract inflammatory bowel disease.</w:t>
      </w:r>
    </w:p>
    <w:p>
      <w:pPr>
        <w:pStyle w:val="Heading1"/>
        <w:spacing w:before="222"/>
      </w:pPr>
      <w:r>
        <w:rPr/>
        <w:t>Effect against influenza</w:t>
      </w:r>
    </w:p>
    <w:p>
      <w:pPr>
        <w:pStyle w:val="BodyText"/>
        <w:spacing w:line="276" w:lineRule="auto" w:before="299"/>
        <w:ind w:left="477"/>
      </w:pPr>
      <w:r>
        <w:rPr/>
        <w:t>The antiviral and antimicrobial effects of pomegranate make it a healthy alter- native to flu shots, which come with side effects.</w:t>
      </w:r>
    </w:p>
    <w:p>
      <w:pPr>
        <w:pStyle w:val="Heading2"/>
        <w:spacing w:before="241"/>
      </w:pPr>
      <w:r>
        <w:rPr/>
        <w:t>Effect against Alzheimer's</w:t>
      </w:r>
    </w:p>
    <w:p>
      <w:pPr>
        <w:pStyle w:val="BodyText"/>
        <w:spacing w:line="276" w:lineRule="auto" w:before="304"/>
        <w:ind w:left="477" w:right="136"/>
        <w:jc w:val="both"/>
      </w:pPr>
      <w:r>
        <w:rPr/>
        <w:t>The protective effect of pomegranate in Alzheimer's is due to the polyphenols in vegetables and fruits. In one study, their effect reduced the risk of Alzhei- mer's disease by 75 %.</w:t>
      </w:r>
    </w:p>
    <w:p>
      <w:pPr>
        <w:pStyle w:val="Heading2"/>
        <w:spacing w:before="239"/>
      </w:pPr>
      <w:r>
        <w:rPr/>
        <w:t>Effect on HIV/AIDS</w:t>
      </w:r>
    </w:p>
    <w:p>
      <w:pPr>
        <w:pStyle w:val="BodyText"/>
        <w:spacing w:line="276" w:lineRule="auto" w:before="305"/>
        <w:ind w:left="477" w:right="135"/>
        <w:jc w:val="both"/>
      </w:pPr>
      <w:r>
        <w:rPr/>
        <w:t>The US research team led by Prof. Neurath was able to detect substances in pomegranate juice which can prevent the penetration of HIV into the cell and thus the infection.</w:t>
      </w:r>
    </w:p>
    <w:p>
      <w:pPr>
        <w:pStyle w:val="Heading1"/>
      </w:pPr>
      <w:r>
        <w:rPr/>
        <w:t>Effect in newborn babies against brain damage</w:t>
      </w:r>
    </w:p>
    <w:p>
      <w:pPr>
        <w:pStyle w:val="BodyText"/>
        <w:spacing w:line="276" w:lineRule="auto" w:before="300"/>
        <w:ind w:left="477"/>
      </w:pPr>
      <w:r>
        <w:rPr/>
        <w:t>During pregnancy, if taken regularly, the pomegranate can protect the brain of the unborn baby from brain damage.</w:t>
      </w:r>
    </w:p>
    <w:p>
      <w:pPr>
        <w:spacing w:after="0" w:line="276" w:lineRule="auto"/>
        <w:sectPr>
          <w:pgSz w:w="14270" w:h="16850"/>
          <w:pgMar w:header="0" w:footer="1891" w:top="1600" w:bottom="2080" w:left="800" w:right="12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p>
      <w:pPr>
        <w:pStyle w:val="Heading1"/>
        <w:spacing w:before="100"/>
      </w:pPr>
      <w:r>
        <w:rPr/>
        <w:t>Effect on menopausal symptoms</w:t>
      </w:r>
    </w:p>
    <w:p>
      <w:pPr>
        <w:pStyle w:val="BodyText"/>
        <w:spacing w:line="276" w:lineRule="auto" w:before="299"/>
        <w:ind w:left="477" w:right="132"/>
        <w:jc w:val="both"/>
      </w:pPr>
      <w:r>
        <w:rPr/>
        <w:t>The high oestrogen content in pomegranate adopts a natural hormone regula- tion in the body and counteracts menopausal symptoms after the menopause. Pomegranate owes this effect to the active substance ‘oestrone’, which has a regulating</w:t>
      </w:r>
      <w:r>
        <w:rPr>
          <w:spacing w:val="-23"/>
        </w:rPr>
        <w:t> </w:t>
      </w:r>
      <w:r>
        <w:rPr/>
        <w:t>and</w:t>
      </w:r>
      <w:r>
        <w:rPr>
          <w:spacing w:val="-21"/>
        </w:rPr>
        <w:t> </w:t>
      </w:r>
      <w:r>
        <w:rPr/>
        <w:t>beneficial</w:t>
      </w:r>
      <w:r>
        <w:rPr>
          <w:spacing w:val="-23"/>
        </w:rPr>
        <w:t> </w:t>
      </w:r>
      <w:r>
        <w:rPr/>
        <w:t>effect</w:t>
      </w:r>
      <w:r>
        <w:rPr>
          <w:spacing w:val="-21"/>
        </w:rPr>
        <w:t> </w:t>
      </w:r>
      <w:r>
        <w:rPr/>
        <w:t>on</w:t>
      </w:r>
      <w:r>
        <w:rPr>
          <w:spacing w:val="-21"/>
        </w:rPr>
        <w:t> </w:t>
      </w:r>
      <w:r>
        <w:rPr/>
        <w:t>the</w:t>
      </w:r>
      <w:r>
        <w:rPr>
          <w:spacing w:val="-24"/>
        </w:rPr>
        <w:t> </w:t>
      </w:r>
      <w:r>
        <w:rPr/>
        <w:t>libido,</w:t>
      </w:r>
      <w:r>
        <w:rPr>
          <w:spacing w:val="-20"/>
        </w:rPr>
        <w:t> </w:t>
      </w:r>
      <w:r>
        <w:rPr/>
        <w:t>the</w:t>
      </w:r>
      <w:r>
        <w:rPr>
          <w:spacing w:val="-25"/>
        </w:rPr>
        <w:t> </w:t>
      </w:r>
      <w:r>
        <w:rPr/>
        <w:t>vaginal</w:t>
      </w:r>
      <w:r>
        <w:rPr>
          <w:spacing w:val="-22"/>
        </w:rPr>
        <w:t> </w:t>
      </w:r>
      <w:r>
        <w:rPr/>
        <w:t>mucous</w:t>
      </w:r>
      <w:r>
        <w:rPr>
          <w:spacing w:val="-21"/>
        </w:rPr>
        <w:t> </w:t>
      </w:r>
      <w:r>
        <w:rPr/>
        <w:t>membrane</w:t>
      </w:r>
      <w:r>
        <w:rPr>
          <w:spacing w:val="-22"/>
        </w:rPr>
        <w:t> </w:t>
      </w:r>
      <w:r>
        <w:rPr/>
        <w:t>and the</w:t>
      </w:r>
      <w:r>
        <w:rPr>
          <w:spacing w:val="1"/>
        </w:rPr>
        <w:t> </w:t>
      </w:r>
      <w:r>
        <w:rPr/>
        <w:t>uterus.</w:t>
      </w:r>
    </w:p>
    <w:p>
      <w:pPr>
        <w:pStyle w:val="Heading1"/>
        <w:spacing w:before="223"/>
      </w:pPr>
      <w:r>
        <w:rPr/>
        <w:t>Effect against premenstrual syndrome (PMS)</w:t>
      </w:r>
    </w:p>
    <w:p>
      <w:pPr>
        <w:pStyle w:val="BodyText"/>
        <w:spacing w:line="276" w:lineRule="auto" w:before="299"/>
        <w:ind w:left="477" w:right="130"/>
        <w:jc w:val="both"/>
      </w:pPr>
      <w:r>
        <w:rPr/>
        <w:t>The</w:t>
      </w:r>
      <w:r>
        <w:rPr>
          <w:spacing w:val="-7"/>
        </w:rPr>
        <w:t> </w:t>
      </w:r>
      <w:r>
        <w:rPr/>
        <w:t>pomegranate</w:t>
      </w:r>
      <w:r>
        <w:rPr>
          <w:spacing w:val="-7"/>
        </w:rPr>
        <w:t> </w:t>
      </w:r>
      <w:r>
        <w:rPr/>
        <w:t>is</w:t>
      </w:r>
      <w:r>
        <w:rPr>
          <w:spacing w:val="-7"/>
        </w:rPr>
        <w:t> </w:t>
      </w:r>
      <w:r>
        <w:rPr/>
        <w:t>no</w:t>
      </w:r>
      <w:r>
        <w:rPr>
          <w:spacing w:val="-8"/>
        </w:rPr>
        <w:t> </w:t>
      </w:r>
      <w:r>
        <w:rPr/>
        <w:t>less</w:t>
      </w:r>
      <w:r>
        <w:rPr>
          <w:spacing w:val="-6"/>
        </w:rPr>
        <w:t> </w:t>
      </w:r>
      <w:r>
        <w:rPr/>
        <w:t>effective</w:t>
      </w:r>
      <w:r>
        <w:rPr>
          <w:spacing w:val="-7"/>
        </w:rPr>
        <w:t> </w:t>
      </w:r>
      <w:r>
        <w:rPr/>
        <w:t>in</w:t>
      </w:r>
      <w:r>
        <w:rPr>
          <w:spacing w:val="-7"/>
        </w:rPr>
        <w:t> </w:t>
      </w:r>
      <w:r>
        <w:rPr/>
        <w:t>premenstrual</w:t>
      </w:r>
      <w:r>
        <w:rPr>
          <w:spacing w:val="-10"/>
        </w:rPr>
        <w:t> </w:t>
      </w:r>
      <w:r>
        <w:rPr/>
        <w:t>syndrome</w:t>
      </w:r>
      <w:r>
        <w:rPr>
          <w:spacing w:val="-7"/>
        </w:rPr>
        <w:t> </w:t>
      </w:r>
      <w:r>
        <w:rPr/>
        <w:t>(PMS).</w:t>
      </w:r>
      <w:r>
        <w:rPr>
          <w:spacing w:val="-6"/>
        </w:rPr>
        <w:t> </w:t>
      </w:r>
      <w:r>
        <w:rPr/>
        <w:t>The</w:t>
      </w:r>
      <w:r>
        <w:rPr>
          <w:spacing w:val="-6"/>
        </w:rPr>
        <w:t> </w:t>
      </w:r>
      <w:r>
        <w:rPr/>
        <w:t>ac- tive ingredients that help alleviate or prevent premenstrual symptoms include apigenin</w:t>
      </w:r>
      <w:r>
        <w:rPr>
          <w:spacing w:val="-9"/>
        </w:rPr>
        <w:t> </w:t>
      </w:r>
      <w:r>
        <w:rPr/>
        <w:t>and</w:t>
      </w:r>
      <w:r>
        <w:rPr>
          <w:spacing w:val="-9"/>
        </w:rPr>
        <w:t> </w:t>
      </w:r>
      <w:r>
        <w:rPr/>
        <w:t>luteolin,</w:t>
      </w:r>
      <w:r>
        <w:rPr>
          <w:spacing w:val="-9"/>
        </w:rPr>
        <w:t> </w:t>
      </w:r>
      <w:r>
        <w:rPr/>
        <w:t>as</w:t>
      </w:r>
      <w:r>
        <w:rPr>
          <w:spacing w:val="-10"/>
        </w:rPr>
        <w:t> </w:t>
      </w:r>
      <w:r>
        <w:rPr/>
        <w:t>well</w:t>
      </w:r>
      <w:r>
        <w:rPr>
          <w:spacing w:val="-11"/>
        </w:rPr>
        <w:t> </w:t>
      </w:r>
      <w:r>
        <w:rPr/>
        <w:t>as</w:t>
      </w:r>
      <w:r>
        <w:rPr>
          <w:spacing w:val="-7"/>
        </w:rPr>
        <w:t> </w:t>
      </w:r>
      <w:r>
        <w:rPr/>
        <w:t>phytoestrogens</w:t>
      </w:r>
      <w:r>
        <w:rPr>
          <w:spacing w:val="-10"/>
        </w:rPr>
        <w:t> </w:t>
      </w:r>
      <w:r>
        <w:rPr/>
        <w:t>that</w:t>
      </w:r>
      <w:r>
        <w:rPr>
          <w:spacing w:val="-9"/>
        </w:rPr>
        <w:t> </w:t>
      </w:r>
      <w:r>
        <w:rPr/>
        <w:t>can</w:t>
      </w:r>
      <w:r>
        <w:rPr>
          <w:spacing w:val="-7"/>
        </w:rPr>
        <w:t> </w:t>
      </w:r>
      <w:r>
        <w:rPr/>
        <w:t>regulate</w:t>
      </w:r>
      <w:r>
        <w:rPr>
          <w:spacing w:val="-7"/>
        </w:rPr>
        <w:t> </w:t>
      </w:r>
      <w:r>
        <w:rPr/>
        <w:t>oestrogen</w:t>
      </w:r>
      <w:r>
        <w:rPr>
          <w:spacing w:val="-9"/>
        </w:rPr>
        <w:t> </w:t>
      </w:r>
      <w:r>
        <w:rPr/>
        <w:t>lev- els.</w:t>
      </w:r>
    </w:p>
    <w:p>
      <w:pPr>
        <w:pStyle w:val="Heading1"/>
        <w:spacing w:before="223"/>
      </w:pPr>
      <w:r>
        <w:rPr/>
        <w:t>Effect against diabetes</w:t>
      </w:r>
    </w:p>
    <w:p>
      <w:pPr>
        <w:pStyle w:val="BodyText"/>
        <w:spacing w:line="276" w:lineRule="auto" w:before="299"/>
        <w:ind w:left="477"/>
      </w:pPr>
      <w:r>
        <w:rPr/>
        <w:t>Pomegranate lowers the intake of sugar in the intestine, prevents too high a blood sugar level and thus prevents diabetes.</w:t>
      </w:r>
    </w:p>
    <w:p>
      <w:pPr>
        <w:pStyle w:val="Heading1"/>
        <w:jc w:val="both"/>
      </w:pPr>
      <w:r>
        <w:rPr/>
        <w:t>Effect on digestive problems</w:t>
      </w:r>
    </w:p>
    <w:p>
      <w:pPr>
        <w:pStyle w:val="BodyText"/>
        <w:spacing w:before="297"/>
        <w:ind w:left="477"/>
        <w:jc w:val="both"/>
      </w:pPr>
      <w:r>
        <w:rPr/>
        <w:t>The bitter ingredients of the pomegranate are responsible for its positive</w:t>
      </w:r>
      <w:r>
        <w:rPr>
          <w:spacing w:val="-51"/>
        </w:rPr>
        <w:t> </w:t>
      </w:r>
      <w:r>
        <w:rPr/>
        <w:t>effect</w:t>
      </w:r>
    </w:p>
    <w:p>
      <w:pPr>
        <w:spacing w:after="0"/>
        <w:jc w:val="both"/>
        <w:sectPr>
          <w:pgSz w:w="14270" w:h="16850"/>
          <w:pgMar w:header="0" w:footer="1891" w:top="1600" w:bottom="2080" w:left="800" w:right="1280"/>
        </w:sectPr>
      </w:pPr>
    </w:p>
    <w:p>
      <w:pPr>
        <w:pStyle w:val="BodyText"/>
        <w:spacing w:before="181"/>
        <w:ind w:left="477"/>
      </w:pPr>
      <w:r>
        <w:rPr/>
        <w:t>on digestive problems.</w:t>
      </w:r>
    </w:p>
    <w:p>
      <w:pPr>
        <w:pStyle w:val="Heading1"/>
        <w:spacing w:before="288"/>
      </w:pPr>
      <w:r>
        <w:rPr/>
        <w:t>Effect on impotence</w:t>
      </w:r>
    </w:p>
    <w:p>
      <w:pPr>
        <w:pStyle w:val="BodyText"/>
        <w:spacing w:line="276" w:lineRule="auto" w:before="299"/>
        <w:ind w:left="477"/>
      </w:pPr>
      <w:r>
        <w:rPr/>
        <w:t>According to studies (see chapter ‘studies’), the polyphenols contained in the pomegranate were able to bring about an improvement in the condition of 47</w:t>
      </w:r>
    </w:p>
    <w:p>
      <w:pPr>
        <w:pStyle w:val="BodyText"/>
        <w:spacing w:before="1"/>
        <w:ind w:left="477"/>
      </w:pPr>
      <w:r>
        <w:rPr/>
        <w:t>% of all subjects.</w:t>
      </w:r>
    </w:p>
    <w:p>
      <w:pPr>
        <w:pStyle w:val="Heading1"/>
        <w:spacing w:before="285"/>
      </w:pPr>
      <w:r>
        <w:rPr/>
        <w:t>Effect on excess weight</w:t>
      </w:r>
    </w:p>
    <w:p>
      <w:pPr>
        <w:pStyle w:val="BodyText"/>
        <w:spacing w:line="276" w:lineRule="auto" w:before="299"/>
        <w:ind w:left="477" w:right="133"/>
        <w:jc w:val="both"/>
      </w:pPr>
      <w:r>
        <w:rPr/>
        <w:t>The</w:t>
      </w:r>
      <w:r>
        <w:rPr>
          <w:spacing w:val="-19"/>
        </w:rPr>
        <w:t> </w:t>
      </w:r>
      <w:r>
        <w:rPr/>
        <w:t>abundant</w:t>
      </w:r>
      <w:r>
        <w:rPr>
          <w:spacing w:val="-20"/>
        </w:rPr>
        <w:t> </w:t>
      </w:r>
      <w:r>
        <w:rPr/>
        <w:t>polyphenols</w:t>
      </w:r>
      <w:r>
        <w:rPr>
          <w:spacing w:val="-19"/>
        </w:rPr>
        <w:t> </w:t>
      </w:r>
      <w:r>
        <w:rPr/>
        <w:t>in</w:t>
      </w:r>
      <w:r>
        <w:rPr>
          <w:spacing w:val="-22"/>
        </w:rPr>
        <w:t> </w:t>
      </w:r>
      <w:r>
        <w:rPr/>
        <w:t>the</w:t>
      </w:r>
      <w:r>
        <w:rPr>
          <w:spacing w:val="-18"/>
        </w:rPr>
        <w:t> </w:t>
      </w:r>
      <w:r>
        <w:rPr/>
        <w:t>pomegranate</w:t>
      </w:r>
      <w:r>
        <w:rPr>
          <w:spacing w:val="-21"/>
        </w:rPr>
        <w:t> </w:t>
      </w:r>
      <w:r>
        <w:rPr/>
        <w:t>affect</w:t>
      </w:r>
      <w:r>
        <w:rPr>
          <w:spacing w:val="-20"/>
        </w:rPr>
        <w:t> </w:t>
      </w:r>
      <w:r>
        <w:rPr/>
        <w:t>both</w:t>
      </w:r>
      <w:r>
        <w:rPr>
          <w:spacing w:val="-22"/>
        </w:rPr>
        <w:t> </w:t>
      </w:r>
      <w:r>
        <w:rPr/>
        <w:t>our</w:t>
      </w:r>
      <w:r>
        <w:rPr>
          <w:spacing w:val="-14"/>
        </w:rPr>
        <w:t> </w:t>
      </w:r>
      <w:r>
        <w:rPr/>
        <w:t>lipid</w:t>
      </w:r>
      <w:r>
        <w:rPr>
          <w:spacing w:val="-20"/>
        </w:rPr>
        <w:t> </w:t>
      </w:r>
      <w:r>
        <w:rPr/>
        <w:t>metabolism and the absorption and utilisation of dietary sugar. In numerous studies, the phenolic acids in pomegranate have proven to have a positive effect on excess weight, which pomegranate, as a weight-loss agent promotes along with a sen- sible</w:t>
      </w:r>
      <w:r>
        <w:rPr>
          <w:spacing w:val="-2"/>
        </w:rPr>
        <w:t> </w:t>
      </w:r>
      <w:r>
        <w:rPr/>
        <w:t>diet.</w:t>
      </w:r>
    </w:p>
    <w:p>
      <w:pPr>
        <w:pStyle w:val="BodyText"/>
        <w:rPr>
          <w:sz w:val="42"/>
        </w:rPr>
      </w:pPr>
    </w:p>
    <w:p>
      <w:pPr>
        <w:pStyle w:val="BodyText"/>
        <w:spacing w:before="10"/>
        <w:rPr>
          <w:sz w:val="42"/>
        </w:rPr>
      </w:pPr>
    </w:p>
    <w:p>
      <w:pPr>
        <w:pStyle w:val="Heading1"/>
        <w:spacing w:before="0"/>
      </w:pPr>
      <w:r>
        <w:rPr/>
        <w:t>Pomegranate studies</w:t>
      </w:r>
    </w:p>
    <w:p>
      <w:pPr>
        <w:spacing w:before="299"/>
        <w:ind w:left="477" w:right="0" w:firstLine="0"/>
        <w:jc w:val="left"/>
        <w:rPr>
          <w:i/>
          <w:sz w:val="38"/>
        </w:rPr>
      </w:pPr>
      <w:r>
        <w:rPr>
          <w:i/>
          <w:sz w:val="38"/>
        </w:rPr>
        <w:t>So far, there are about 250 studies on the positive effect of pomegranate.</w:t>
      </w:r>
    </w:p>
    <w:p>
      <w:pPr>
        <w:pStyle w:val="Heading1"/>
        <w:spacing w:before="287"/>
      </w:pPr>
      <w:r>
        <w:rPr/>
        <w:t>Effect of pomegranate on cardiovascular</w:t>
      </w:r>
      <w:r>
        <w:rPr>
          <w:spacing w:val="-75"/>
        </w:rPr>
        <w:t> </w:t>
      </w:r>
      <w:r>
        <w:rPr/>
        <w:t>diseases</w:t>
      </w:r>
    </w:p>
    <w:p>
      <w:pPr>
        <w:spacing w:line="261" w:lineRule="auto" w:before="282"/>
        <w:ind w:left="477" w:right="134" w:firstLine="0"/>
        <w:jc w:val="left"/>
        <w:rPr>
          <w:b/>
          <w:i/>
          <w:sz w:val="40"/>
        </w:rPr>
      </w:pPr>
      <w:r>
        <w:rPr>
          <w:b/>
          <w:i/>
          <w:sz w:val="40"/>
        </w:rPr>
        <w:t>Studies</w:t>
      </w:r>
      <w:r>
        <w:rPr>
          <w:b/>
          <w:i/>
          <w:spacing w:val="-54"/>
          <w:sz w:val="40"/>
        </w:rPr>
        <w:t> </w:t>
      </w:r>
      <w:r>
        <w:rPr>
          <w:b/>
          <w:i/>
          <w:sz w:val="40"/>
        </w:rPr>
        <w:t>on</w:t>
      </w:r>
      <w:r>
        <w:rPr>
          <w:b/>
          <w:i/>
          <w:spacing w:val="-53"/>
          <w:sz w:val="40"/>
        </w:rPr>
        <w:t> </w:t>
      </w:r>
      <w:r>
        <w:rPr>
          <w:b/>
          <w:i/>
          <w:sz w:val="40"/>
        </w:rPr>
        <w:t>the</w:t>
      </w:r>
      <w:r>
        <w:rPr>
          <w:b/>
          <w:i/>
          <w:spacing w:val="-53"/>
          <w:sz w:val="40"/>
        </w:rPr>
        <w:t> </w:t>
      </w:r>
      <w:r>
        <w:rPr>
          <w:b/>
          <w:i/>
          <w:sz w:val="40"/>
        </w:rPr>
        <w:t>effect</w:t>
      </w:r>
      <w:r>
        <w:rPr>
          <w:b/>
          <w:i/>
          <w:spacing w:val="-54"/>
          <w:sz w:val="40"/>
        </w:rPr>
        <w:t> </w:t>
      </w:r>
      <w:r>
        <w:rPr>
          <w:b/>
          <w:i/>
          <w:sz w:val="40"/>
        </w:rPr>
        <w:t>of</w:t>
      </w:r>
      <w:r>
        <w:rPr>
          <w:b/>
          <w:i/>
          <w:spacing w:val="-54"/>
          <w:sz w:val="40"/>
        </w:rPr>
        <w:t> </w:t>
      </w:r>
      <w:r>
        <w:rPr>
          <w:b/>
          <w:i/>
          <w:sz w:val="40"/>
        </w:rPr>
        <w:t>pomegranate</w:t>
      </w:r>
      <w:r>
        <w:rPr>
          <w:b/>
          <w:i/>
          <w:spacing w:val="-54"/>
          <w:sz w:val="40"/>
        </w:rPr>
        <w:t> </w:t>
      </w:r>
      <w:r>
        <w:rPr>
          <w:b/>
          <w:i/>
          <w:sz w:val="40"/>
        </w:rPr>
        <w:t>juice</w:t>
      </w:r>
      <w:r>
        <w:rPr>
          <w:b/>
          <w:i/>
          <w:spacing w:val="-53"/>
          <w:sz w:val="40"/>
        </w:rPr>
        <w:t> </w:t>
      </w:r>
      <w:r>
        <w:rPr>
          <w:b/>
          <w:i/>
          <w:sz w:val="40"/>
        </w:rPr>
        <w:t>on</w:t>
      </w:r>
      <w:r>
        <w:rPr>
          <w:b/>
          <w:i/>
          <w:spacing w:val="-54"/>
          <w:sz w:val="40"/>
        </w:rPr>
        <w:t> </w:t>
      </w:r>
      <w:r>
        <w:rPr>
          <w:b/>
          <w:i/>
          <w:sz w:val="40"/>
        </w:rPr>
        <w:t>oxidative</w:t>
      </w:r>
      <w:r>
        <w:rPr>
          <w:b/>
          <w:i/>
          <w:spacing w:val="-54"/>
          <w:sz w:val="40"/>
        </w:rPr>
        <w:t> </w:t>
      </w:r>
      <w:r>
        <w:rPr>
          <w:b/>
          <w:i/>
          <w:sz w:val="40"/>
        </w:rPr>
        <w:t>stress</w:t>
      </w:r>
      <w:r>
        <w:rPr>
          <w:b/>
          <w:i/>
          <w:spacing w:val="-51"/>
          <w:sz w:val="40"/>
        </w:rPr>
        <w:t> </w:t>
      </w:r>
      <w:r>
        <w:rPr>
          <w:b/>
          <w:i/>
          <w:sz w:val="40"/>
        </w:rPr>
        <w:t>and</w:t>
      </w:r>
      <w:r>
        <w:rPr>
          <w:b/>
          <w:i/>
          <w:spacing w:val="-54"/>
          <w:sz w:val="40"/>
        </w:rPr>
        <w:t> </w:t>
      </w:r>
      <w:r>
        <w:rPr>
          <w:b/>
          <w:i/>
          <w:sz w:val="40"/>
        </w:rPr>
        <w:t>ather- osclerosis</w:t>
      </w:r>
    </w:p>
    <w:p>
      <w:pPr>
        <w:pStyle w:val="BodyText"/>
        <w:spacing w:before="261"/>
        <w:ind w:left="477"/>
      </w:pPr>
      <w:r>
        <w:rPr/>
        <w:t>Oxidative stress is considered to be a major factor in the development of ath-</w:t>
      </w:r>
    </w:p>
    <w:p>
      <w:pPr>
        <w:spacing w:after="0"/>
        <w:sectPr>
          <w:pgSz w:w="14270" w:h="16850"/>
          <w:pgMar w:header="0" w:footer="1891" w:top="1600" w:bottom="2080" w:left="800" w:right="1280"/>
        </w:sectPr>
      </w:pPr>
    </w:p>
    <w:p>
      <w:pPr>
        <w:pStyle w:val="BodyText"/>
        <w:spacing w:line="276" w:lineRule="auto" w:before="181"/>
        <w:ind w:left="477" w:right="139"/>
        <w:jc w:val="both"/>
      </w:pPr>
      <w:r>
        <w:rPr/>
        <w:t>erosclerosis. Several long-term studies have shown that pomegranate juice sig- nificantly</w:t>
      </w:r>
      <w:r>
        <w:rPr>
          <w:spacing w:val="-20"/>
        </w:rPr>
        <w:t> </w:t>
      </w:r>
      <w:r>
        <w:rPr/>
        <w:t>reduces</w:t>
      </w:r>
      <w:r>
        <w:rPr>
          <w:spacing w:val="-18"/>
        </w:rPr>
        <w:t> </w:t>
      </w:r>
      <w:r>
        <w:rPr/>
        <w:t>oxidative</w:t>
      </w:r>
      <w:r>
        <w:rPr>
          <w:spacing w:val="-19"/>
        </w:rPr>
        <w:t> </w:t>
      </w:r>
      <w:r>
        <w:rPr/>
        <w:t>characteristics</w:t>
      </w:r>
      <w:r>
        <w:rPr>
          <w:spacing w:val="-19"/>
        </w:rPr>
        <w:t> </w:t>
      </w:r>
      <w:r>
        <w:rPr/>
        <w:t>in</w:t>
      </w:r>
      <w:r>
        <w:rPr>
          <w:spacing w:val="-18"/>
        </w:rPr>
        <w:t> </w:t>
      </w:r>
      <w:r>
        <w:rPr/>
        <w:t>the</w:t>
      </w:r>
      <w:r>
        <w:rPr>
          <w:spacing w:val="-18"/>
        </w:rPr>
        <w:t> </w:t>
      </w:r>
      <w:r>
        <w:rPr/>
        <w:t>blood</w:t>
      </w:r>
      <w:r>
        <w:rPr>
          <w:spacing w:val="-19"/>
        </w:rPr>
        <w:t> </w:t>
      </w:r>
      <w:r>
        <w:rPr/>
        <w:t>compared</w:t>
      </w:r>
      <w:r>
        <w:rPr>
          <w:spacing w:val="-22"/>
        </w:rPr>
        <w:t> </w:t>
      </w:r>
      <w:r>
        <w:rPr/>
        <w:t>to</w:t>
      </w:r>
      <w:r>
        <w:rPr>
          <w:spacing w:val="-18"/>
        </w:rPr>
        <w:t> </w:t>
      </w:r>
      <w:r>
        <w:rPr/>
        <w:t>the</w:t>
      </w:r>
      <w:r>
        <w:rPr>
          <w:spacing w:val="-20"/>
        </w:rPr>
        <w:t> </w:t>
      </w:r>
      <w:r>
        <w:rPr/>
        <w:t>control group. Even after three years of continuous pomegranate juice consumption, the condition was</w:t>
      </w:r>
      <w:r>
        <w:rPr>
          <w:spacing w:val="3"/>
        </w:rPr>
        <w:t> </w:t>
      </w:r>
      <w:r>
        <w:rPr/>
        <w:t>maintained.</w:t>
      </w:r>
    </w:p>
    <w:p>
      <w:pPr>
        <w:pStyle w:val="BodyText"/>
        <w:spacing w:line="276" w:lineRule="auto" w:before="122"/>
        <w:ind w:left="477" w:right="132"/>
        <w:jc w:val="both"/>
      </w:pPr>
      <w:r>
        <w:rPr/>
        <w:t>According to a study published in the </w:t>
      </w:r>
      <w:r>
        <w:rPr>
          <w:i/>
        </w:rPr>
        <w:t>American Journal of Clinical Nutrition</w:t>
      </w:r>
      <w:r>
        <w:rPr/>
        <w:t>, just 60 ml of pomegranate juice per day improved antioxidant protection by an av- erage of 9 % after one week. Another study showed an increase in antioxidant protection by a remarkable 130 % after one year of</w:t>
      </w:r>
      <w:r>
        <w:rPr>
          <w:spacing w:val="-9"/>
        </w:rPr>
        <w:t> </w:t>
      </w:r>
      <w:r>
        <w:rPr/>
        <w:t>consumption.</w:t>
      </w:r>
    </w:p>
    <w:p>
      <w:pPr>
        <w:pStyle w:val="Heading1"/>
        <w:spacing w:before="102"/>
      </w:pPr>
      <w:r>
        <w:rPr/>
        <w:t>In</w:t>
      </w:r>
      <w:r>
        <w:rPr>
          <w:spacing w:val="-65"/>
        </w:rPr>
        <w:t> </w:t>
      </w:r>
      <w:r>
        <w:rPr/>
        <w:t>studies,</w:t>
      </w:r>
      <w:r>
        <w:rPr>
          <w:spacing w:val="-65"/>
        </w:rPr>
        <w:t> </w:t>
      </w:r>
      <w:r>
        <w:rPr/>
        <w:t>pomegranate</w:t>
      </w:r>
      <w:r>
        <w:rPr>
          <w:spacing w:val="-66"/>
        </w:rPr>
        <w:t> </w:t>
      </w:r>
      <w:r>
        <w:rPr/>
        <w:t>can</w:t>
      </w:r>
      <w:r>
        <w:rPr>
          <w:spacing w:val="-64"/>
        </w:rPr>
        <w:t> </w:t>
      </w:r>
      <w:r>
        <w:rPr/>
        <w:t>reverse</w:t>
      </w:r>
      <w:r>
        <w:rPr>
          <w:spacing w:val="-66"/>
        </w:rPr>
        <w:t> </w:t>
      </w:r>
      <w:r>
        <w:rPr/>
        <w:t>atherosclerosis</w:t>
      </w:r>
      <w:r>
        <w:rPr>
          <w:spacing w:val="-63"/>
        </w:rPr>
        <w:t> </w:t>
      </w:r>
      <w:r>
        <w:rPr/>
        <w:t>by</w:t>
      </w:r>
      <w:r>
        <w:rPr>
          <w:spacing w:val="-65"/>
        </w:rPr>
        <w:t> </w:t>
      </w:r>
      <w:r>
        <w:rPr/>
        <w:t>30</w:t>
      </w:r>
      <w:r>
        <w:rPr>
          <w:spacing w:val="-64"/>
        </w:rPr>
        <w:t> </w:t>
      </w:r>
      <w:r>
        <w:rPr/>
        <w:t>%</w:t>
      </w:r>
    </w:p>
    <w:p>
      <w:pPr>
        <w:pStyle w:val="BodyText"/>
        <w:spacing w:line="276" w:lineRule="auto" w:before="300"/>
        <w:ind w:left="477" w:right="133"/>
        <w:jc w:val="both"/>
      </w:pPr>
      <w:r>
        <w:rPr/>
        <w:t>According to another study published in Israel in 2004, consuming 50 ml of pomegranate juice concentrate (diluted 1:5 to make 250 ml of juice) every day for one year stopped the development of atherosclerosis in the carotid artery and</w:t>
      </w:r>
      <w:r>
        <w:rPr>
          <w:spacing w:val="-25"/>
        </w:rPr>
        <w:t> </w:t>
      </w:r>
      <w:r>
        <w:rPr/>
        <w:t>reduced</w:t>
      </w:r>
      <w:r>
        <w:rPr>
          <w:spacing w:val="-25"/>
        </w:rPr>
        <w:t> </w:t>
      </w:r>
      <w:r>
        <w:rPr/>
        <w:t>the</w:t>
      </w:r>
      <w:r>
        <w:rPr>
          <w:spacing w:val="-26"/>
        </w:rPr>
        <w:t> </w:t>
      </w:r>
      <w:r>
        <w:rPr/>
        <w:t>narrowing</w:t>
      </w:r>
      <w:r>
        <w:rPr>
          <w:spacing w:val="-23"/>
        </w:rPr>
        <w:t> </w:t>
      </w:r>
      <w:r>
        <w:rPr/>
        <w:t>of</w:t>
      </w:r>
      <w:r>
        <w:rPr>
          <w:spacing w:val="-24"/>
        </w:rPr>
        <w:t> </w:t>
      </w:r>
      <w:r>
        <w:rPr/>
        <w:t>the</w:t>
      </w:r>
      <w:r>
        <w:rPr>
          <w:spacing w:val="-25"/>
        </w:rPr>
        <w:t> </w:t>
      </w:r>
      <w:r>
        <w:rPr/>
        <w:t>carotid</w:t>
      </w:r>
      <w:r>
        <w:rPr>
          <w:spacing w:val="-25"/>
        </w:rPr>
        <w:t> </w:t>
      </w:r>
      <w:r>
        <w:rPr/>
        <w:t>artery</w:t>
      </w:r>
      <w:r>
        <w:rPr>
          <w:spacing w:val="-27"/>
        </w:rPr>
        <w:t> </w:t>
      </w:r>
      <w:r>
        <w:rPr/>
        <w:t>caused</w:t>
      </w:r>
      <w:r>
        <w:rPr>
          <w:spacing w:val="-24"/>
        </w:rPr>
        <w:t> </w:t>
      </w:r>
      <w:r>
        <w:rPr/>
        <w:t>by</w:t>
      </w:r>
      <w:r>
        <w:rPr>
          <w:spacing w:val="-25"/>
        </w:rPr>
        <w:t> </w:t>
      </w:r>
      <w:r>
        <w:rPr/>
        <w:t>atherosclerosis</w:t>
      </w:r>
      <w:r>
        <w:rPr>
          <w:spacing w:val="-23"/>
        </w:rPr>
        <w:t> </w:t>
      </w:r>
      <w:r>
        <w:rPr/>
        <w:t>(thick- ness of intima and media) by as much as 30 %. However, the deposits in the peer</w:t>
      </w:r>
      <w:r>
        <w:rPr>
          <w:spacing w:val="-24"/>
        </w:rPr>
        <w:t> </w:t>
      </w:r>
      <w:r>
        <w:rPr/>
        <w:t>group</w:t>
      </w:r>
      <w:r>
        <w:rPr>
          <w:spacing w:val="-24"/>
        </w:rPr>
        <w:t> </w:t>
      </w:r>
      <w:r>
        <w:rPr/>
        <w:t>with</w:t>
      </w:r>
      <w:r>
        <w:rPr>
          <w:spacing w:val="-25"/>
        </w:rPr>
        <w:t> </w:t>
      </w:r>
      <w:r>
        <w:rPr/>
        <w:t>no</w:t>
      </w:r>
      <w:r>
        <w:rPr>
          <w:spacing w:val="-23"/>
        </w:rPr>
        <w:t> </w:t>
      </w:r>
      <w:r>
        <w:rPr/>
        <w:t>intake</w:t>
      </w:r>
      <w:r>
        <w:rPr>
          <w:spacing w:val="-24"/>
        </w:rPr>
        <w:t> </w:t>
      </w:r>
      <w:r>
        <w:rPr/>
        <w:t>of</w:t>
      </w:r>
      <w:r>
        <w:rPr>
          <w:spacing w:val="-26"/>
        </w:rPr>
        <w:t> </w:t>
      </w:r>
      <w:r>
        <w:rPr/>
        <w:t>pomegranate</w:t>
      </w:r>
      <w:r>
        <w:rPr>
          <w:spacing w:val="-24"/>
        </w:rPr>
        <w:t> </w:t>
      </w:r>
      <w:r>
        <w:rPr/>
        <w:t>juice</w:t>
      </w:r>
      <w:r>
        <w:rPr>
          <w:spacing w:val="-24"/>
        </w:rPr>
        <w:t> </w:t>
      </w:r>
      <w:r>
        <w:rPr/>
        <w:t>increased</w:t>
      </w:r>
      <w:r>
        <w:rPr>
          <w:spacing w:val="-24"/>
        </w:rPr>
        <w:t> </w:t>
      </w:r>
      <w:r>
        <w:rPr/>
        <w:t>by</w:t>
      </w:r>
      <w:r>
        <w:rPr>
          <w:spacing w:val="-25"/>
        </w:rPr>
        <w:t> </w:t>
      </w:r>
      <w:r>
        <w:rPr/>
        <w:t>another</w:t>
      </w:r>
      <w:r>
        <w:rPr>
          <w:spacing w:val="-19"/>
        </w:rPr>
        <w:t> </w:t>
      </w:r>
      <w:r>
        <w:rPr/>
        <w:t>9</w:t>
      </w:r>
      <w:r>
        <w:rPr>
          <w:spacing w:val="-24"/>
        </w:rPr>
        <w:t> </w:t>
      </w:r>
      <w:r>
        <w:rPr/>
        <w:t>%</w:t>
      </w:r>
      <w:r>
        <w:rPr>
          <w:spacing w:val="-26"/>
        </w:rPr>
        <w:t> </w:t>
      </w:r>
      <w:r>
        <w:rPr/>
        <w:t>during that period. After only 14 weeks, participants who drank pomegranate showed reduced LDL cholesterol (‘bad’ cholesterol), while their HDL cholesterol (‘good’ cholesterol) increased. Furthermore, the activity of paraoxonase, an</w:t>
      </w:r>
      <w:r>
        <w:rPr>
          <w:spacing w:val="-67"/>
        </w:rPr>
        <w:t> </w:t>
      </w:r>
      <w:r>
        <w:rPr/>
        <w:t>im- portant vascular protection factor, was increased by 83</w:t>
      </w:r>
      <w:r>
        <w:rPr>
          <w:spacing w:val="8"/>
        </w:rPr>
        <w:t> </w:t>
      </w:r>
      <w:r>
        <w:rPr/>
        <w:t>%.</w:t>
      </w:r>
    </w:p>
    <w:p>
      <w:pPr>
        <w:pStyle w:val="Heading2"/>
        <w:spacing w:before="240"/>
        <w:jc w:val="both"/>
      </w:pPr>
      <w:r>
        <w:rPr/>
        <w:t>Effects on cardiac circulation and angina pectoris</w:t>
      </w:r>
    </w:p>
    <w:p>
      <w:pPr>
        <w:spacing w:after="0"/>
        <w:jc w:val="both"/>
        <w:sectPr>
          <w:pgSz w:w="14270" w:h="16850"/>
          <w:pgMar w:header="0" w:footer="1891" w:top="1600" w:bottom="2080" w:left="800" w:right="1280"/>
        </w:sectPr>
      </w:pPr>
    </w:p>
    <w:p>
      <w:pPr>
        <w:pStyle w:val="BodyText"/>
        <w:spacing w:line="276" w:lineRule="auto" w:before="181"/>
        <w:ind w:left="477" w:right="135"/>
        <w:jc w:val="both"/>
        <w:rPr>
          <w:sz w:val="25"/>
        </w:rPr>
      </w:pPr>
      <w:r>
        <w:rPr/>
        <w:t>In a double-blind study, cardiac blood flow in 45 subjects with coronary heart disease improved by a remarkable 17 % in just three months, and the number of anginal attacks was even reduced by 50 %!</w:t>
      </w:r>
      <w:r>
        <w:rPr>
          <w:position w:val="9"/>
          <w:sz w:val="25"/>
        </w:rPr>
        <w:t>345</w:t>
      </w:r>
    </w:p>
    <w:p>
      <w:pPr>
        <w:pStyle w:val="Heading2"/>
        <w:spacing w:before="242"/>
      </w:pPr>
      <w:r>
        <w:rPr/>
        <w:t>Lowering</w:t>
      </w:r>
      <w:r>
        <w:rPr>
          <w:spacing w:val="-23"/>
        </w:rPr>
        <w:t> </w:t>
      </w:r>
      <w:r>
        <w:rPr/>
        <w:t>blood</w:t>
      </w:r>
      <w:r>
        <w:rPr>
          <w:spacing w:val="-25"/>
        </w:rPr>
        <w:t> </w:t>
      </w:r>
      <w:r>
        <w:rPr/>
        <w:t>pressure</w:t>
      </w:r>
      <w:r>
        <w:rPr>
          <w:spacing w:val="-24"/>
        </w:rPr>
        <w:t> </w:t>
      </w:r>
      <w:r>
        <w:rPr/>
        <w:t>by</w:t>
      </w:r>
      <w:r>
        <w:rPr>
          <w:spacing w:val="-25"/>
        </w:rPr>
        <w:t> </w:t>
      </w:r>
      <w:r>
        <w:rPr/>
        <w:t>5</w:t>
      </w:r>
      <w:r>
        <w:rPr>
          <w:spacing w:val="-22"/>
        </w:rPr>
        <w:t> </w:t>
      </w:r>
      <w:r>
        <w:rPr/>
        <w:t>%</w:t>
      </w:r>
      <w:r>
        <w:rPr>
          <w:spacing w:val="-23"/>
        </w:rPr>
        <w:t> </w:t>
      </w:r>
      <w:r>
        <w:rPr/>
        <w:t>after</w:t>
      </w:r>
      <w:r>
        <w:rPr>
          <w:spacing w:val="-24"/>
        </w:rPr>
        <w:t> </w:t>
      </w:r>
      <w:r>
        <w:rPr/>
        <w:t>two</w:t>
      </w:r>
      <w:r>
        <w:rPr>
          <w:spacing w:val="-25"/>
        </w:rPr>
        <w:t> </w:t>
      </w:r>
      <w:r>
        <w:rPr/>
        <w:t>weeks</w:t>
      </w:r>
      <w:r>
        <w:rPr>
          <w:spacing w:val="-24"/>
        </w:rPr>
        <w:t> </w:t>
      </w:r>
      <w:r>
        <w:rPr/>
        <w:t>using</w:t>
      </w:r>
      <w:r>
        <w:rPr>
          <w:spacing w:val="-23"/>
        </w:rPr>
        <w:t> </w:t>
      </w:r>
      <w:r>
        <w:rPr/>
        <w:t>pomegranate</w:t>
      </w:r>
      <w:r>
        <w:rPr>
          <w:spacing w:val="-24"/>
        </w:rPr>
        <w:t> </w:t>
      </w:r>
      <w:r>
        <w:rPr/>
        <w:t>juice</w:t>
      </w:r>
    </w:p>
    <w:p>
      <w:pPr>
        <w:pStyle w:val="BodyText"/>
        <w:spacing w:line="276" w:lineRule="auto" w:before="184"/>
        <w:ind w:left="477" w:right="137"/>
        <w:jc w:val="both"/>
      </w:pPr>
      <w:r>
        <w:rPr/>
        <w:t>In</w:t>
      </w:r>
      <w:r>
        <w:rPr>
          <w:spacing w:val="-18"/>
        </w:rPr>
        <w:t> </w:t>
      </w:r>
      <w:r>
        <w:rPr/>
        <w:t>a</w:t>
      </w:r>
      <w:r>
        <w:rPr>
          <w:spacing w:val="-19"/>
        </w:rPr>
        <w:t> </w:t>
      </w:r>
      <w:r>
        <w:rPr/>
        <w:t>study</w:t>
      </w:r>
      <w:r>
        <w:rPr>
          <w:spacing w:val="-18"/>
        </w:rPr>
        <w:t> </w:t>
      </w:r>
      <w:r>
        <w:rPr/>
        <w:t>conducted</w:t>
      </w:r>
      <w:r>
        <w:rPr>
          <w:spacing w:val="-18"/>
        </w:rPr>
        <w:t> </w:t>
      </w:r>
      <w:r>
        <w:rPr/>
        <w:t>in</w:t>
      </w:r>
      <w:r>
        <w:rPr>
          <w:spacing w:val="-18"/>
        </w:rPr>
        <w:t> </w:t>
      </w:r>
      <w:r>
        <w:rPr/>
        <w:t>Israel,</w:t>
      </w:r>
      <w:r>
        <w:rPr>
          <w:spacing w:val="-18"/>
        </w:rPr>
        <w:t> </w:t>
      </w:r>
      <w:r>
        <w:rPr/>
        <w:t>the</w:t>
      </w:r>
      <w:r>
        <w:rPr>
          <w:spacing w:val="-17"/>
        </w:rPr>
        <w:t> </w:t>
      </w:r>
      <w:r>
        <w:rPr/>
        <w:t>research</w:t>
      </w:r>
      <w:r>
        <w:rPr>
          <w:spacing w:val="-17"/>
        </w:rPr>
        <w:t> </w:t>
      </w:r>
      <w:r>
        <w:rPr/>
        <w:t>team</w:t>
      </w:r>
      <w:r>
        <w:rPr>
          <w:spacing w:val="-18"/>
        </w:rPr>
        <w:t> </w:t>
      </w:r>
      <w:r>
        <w:rPr/>
        <w:t>succeeded</w:t>
      </w:r>
      <w:r>
        <w:rPr>
          <w:spacing w:val="-18"/>
        </w:rPr>
        <w:t> </w:t>
      </w:r>
      <w:r>
        <w:rPr/>
        <w:t>in</w:t>
      </w:r>
      <w:r>
        <w:rPr>
          <w:spacing w:val="-18"/>
        </w:rPr>
        <w:t> </w:t>
      </w:r>
      <w:r>
        <w:rPr/>
        <w:t>achieving</w:t>
      </w:r>
      <w:r>
        <w:rPr>
          <w:spacing w:val="-18"/>
        </w:rPr>
        <w:t> </w:t>
      </w:r>
      <w:r>
        <w:rPr/>
        <w:t>a</w:t>
      </w:r>
      <w:r>
        <w:rPr>
          <w:spacing w:val="-19"/>
        </w:rPr>
        <w:t> </w:t>
      </w:r>
      <w:r>
        <w:rPr/>
        <w:t>blood pressure reduction of 5 % after only two weeks of consumption of 50 ml of pomegranate juice per day. The researchers attribute this to the same modes</w:t>
      </w:r>
      <w:r>
        <w:rPr>
          <w:spacing w:val="-51"/>
        </w:rPr>
        <w:t> </w:t>
      </w:r>
      <w:r>
        <w:rPr/>
        <w:t>of action</w:t>
      </w:r>
      <w:r>
        <w:rPr>
          <w:spacing w:val="-20"/>
        </w:rPr>
        <w:t> </w:t>
      </w:r>
      <w:r>
        <w:rPr/>
        <w:t>that</w:t>
      </w:r>
      <w:r>
        <w:rPr>
          <w:spacing w:val="-19"/>
        </w:rPr>
        <w:t> </w:t>
      </w:r>
      <w:r>
        <w:rPr/>
        <w:t>occur</w:t>
      </w:r>
      <w:r>
        <w:rPr>
          <w:spacing w:val="-19"/>
        </w:rPr>
        <w:t> </w:t>
      </w:r>
      <w:r>
        <w:rPr/>
        <w:t>in</w:t>
      </w:r>
      <w:r>
        <w:rPr>
          <w:spacing w:val="-20"/>
        </w:rPr>
        <w:t> </w:t>
      </w:r>
      <w:r>
        <w:rPr/>
        <w:t>synthetic</w:t>
      </w:r>
      <w:r>
        <w:rPr>
          <w:spacing w:val="-21"/>
        </w:rPr>
        <w:t> </w:t>
      </w:r>
      <w:r>
        <w:rPr/>
        <w:t>ACE</w:t>
      </w:r>
      <w:r>
        <w:rPr>
          <w:spacing w:val="-19"/>
        </w:rPr>
        <w:t> </w:t>
      </w:r>
      <w:r>
        <w:rPr/>
        <w:t>inhibitors,</w:t>
      </w:r>
      <w:r>
        <w:rPr>
          <w:spacing w:val="-21"/>
        </w:rPr>
        <w:t> </w:t>
      </w:r>
      <w:r>
        <w:rPr/>
        <w:t>namely</w:t>
      </w:r>
      <w:r>
        <w:rPr>
          <w:spacing w:val="-19"/>
        </w:rPr>
        <w:t> </w:t>
      </w:r>
      <w:r>
        <w:rPr/>
        <w:t>the</w:t>
      </w:r>
      <w:r>
        <w:rPr>
          <w:spacing w:val="-18"/>
        </w:rPr>
        <w:t> </w:t>
      </w:r>
      <w:r>
        <w:rPr/>
        <w:t>regulation</w:t>
      </w:r>
      <w:r>
        <w:rPr>
          <w:spacing w:val="-19"/>
        </w:rPr>
        <w:t> </w:t>
      </w:r>
      <w:r>
        <w:rPr/>
        <w:t>of</w:t>
      </w:r>
      <w:r>
        <w:rPr>
          <w:spacing w:val="-19"/>
        </w:rPr>
        <w:t> </w:t>
      </w:r>
      <w:r>
        <w:rPr/>
        <w:t>the</w:t>
      </w:r>
      <w:r>
        <w:rPr>
          <w:spacing w:val="-19"/>
        </w:rPr>
        <w:t> </w:t>
      </w:r>
      <w:r>
        <w:rPr/>
        <w:t>ACE enzyme.</w:t>
      </w:r>
    </w:p>
    <w:p>
      <w:pPr>
        <w:pStyle w:val="Heading2"/>
        <w:spacing w:before="240"/>
      </w:pPr>
      <w:r>
        <w:rPr/>
        <w:t>Study on the reduction of blood pressure by 21 % after one year</w:t>
      </w:r>
    </w:p>
    <w:p>
      <w:pPr>
        <w:pStyle w:val="BodyText"/>
        <w:spacing w:before="305"/>
        <w:ind w:left="477"/>
      </w:pPr>
      <w:r>
        <w:rPr/>
        <w:t>Within only one year, systolic blood pressure was reduced by an average of</w:t>
      </w:r>
      <w:r>
        <w:rPr>
          <w:spacing w:val="82"/>
        </w:rPr>
        <w:t> </w:t>
      </w:r>
      <w:r>
        <w:rPr/>
        <w:t>21</w:t>
      </w:r>
    </w:p>
    <w:p>
      <w:pPr>
        <w:pStyle w:val="BodyText"/>
        <w:spacing w:line="276" w:lineRule="auto" w:before="62"/>
        <w:ind w:left="477" w:right="137"/>
        <w:jc w:val="both"/>
        <w:rPr>
          <w:sz w:val="25"/>
        </w:rPr>
      </w:pPr>
      <w:r>
        <w:rPr/>
        <w:t>% in one study. This effect is due to the reduction of angiotensin converting enzyme (ACE) activity by 36 %.</w:t>
      </w:r>
      <w:r>
        <w:rPr>
          <w:position w:val="9"/>
          <w:sz w:val="25"/>
        </w:rPr>
        <w:t>346</w:t>
      </w:r>
    </w:p>
    <w:p>
      <w:pPr>
        <w:pStyle w:val="Heading2"/>
        <w:spacing w:line="276" w:lineRule="auto" w:before="241"/>
        <w:ind w:right="135"/>
        <w:jc w:val="both"/>
      </w:pPr>
      <w:r>
        <w:rPr/>
        <w:t>In studies, pomegranate reduced ‘bad’ cholesterol and increases ‘good’ cholesterol</w:t>
      </w:r>
    </w:p>
    <w:p>
      <w:pPr>
        <w:pStyle w:val="BodyText"/>
        <w:spacing w:line="276" w:lineRule="auto" w:before="241"/>
        <w:ind w:left="477" w:right="131"/>
        <w:jc w:val="both"/>
      </w:pPr>
      <w:r>
        <w:rPr/>
        <w:t>In a study, Dr. Aviram was able to reduce the oxidation of ‘bad’ LDL choles- terol by up to 90 % and increase the oxidation of ‘good cholesterol’ by 20 % after just 14 weeks.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3"/>
        </w:rPr>
      </w:pPr>
      <w:r>
        <w:rPr/>
        <w:pict>
          <v:line style="position:absolute;mso-position-horizontal-relative:page;mso-position-vertical-relative:paragraph;z-index:4016;mso-wrap-distance-left:0;mso-wrap-distance-right:0" from="63.863998pt,9.856265pt" to="207.883998pt,9.856265pt" stroked="true" strokeweight=".71997pt" strokecolor="#000000">
            <v:stroke dashstyle="solid"/>
            <w10:wrap type="topAndBottom"/>
          </v:line>
        </w:pict>
      </w:r>
    </w:p>
    <w:p>
      <w:pPr>
        <w:pStyle w:val="BodyText"/>
        <w:spacing w:before="6"/>
        <w:rPr>
          <w:sz w:val="18"/>
        </w:rPr>
      </w:pPr>
    </w:p>
    <w:p>
      <w:pPr>
        <w:spacing w:before="101"/>
        <w:ind w:left="477" w:right="0" w:firstLine="0"/>
        <w:jc w:val="left"/>
        <w:rPr>
          <w:sz w:val="18"/>
        </w:rPr>
      </w:pPr>
      <w:r>
        <w:rPr/>
        <w:pict>
          <v:line style="position:absolute;mso-position-horizontal-relative:page;mso-position-vertical-relative:paragraph;z-index:4040;mso-wrap-distance-left:0;mso-wrap-distance-right:0" from="62.424pt,18.086361pt" to="643.684pt,18.086361pt" stroked="true" strokeweight=".71997pt" strokecolor="#000000">
            <v:stroke dashstyle="solid"/>
            <w10:wrap type="topAndBottom"/>
          </v:line>
        </w:pict>
      </w:r>
      <w:r>
        <w:rPr>
          <w:position w:val="4"/>
          <w:sz w:val="12"/>
        </w:rPr>
        <w:t>345 </w:t>
      </w:r>
      <w:hyperlink r:id="rId132">
        <w:r>
          <w:rPr>
            <w:sz w:val="18"/>
          </w:rPr>
          <w:t>http://www.medizinauskunft.de</w:t>
        </w:r>
      </w:hyperlink>
    </w:p>
    <w:p>
      <w:pPr>
        <w:spacing w:before="28"/>
        <w:ind w:left="477" w:right="0" w:firstLine="0"/>
        <w:jc w:val="left"/>
        <w:rPr>
          <w:sz w:val="20"/>
        </w:rPr>
      </w:pPr>
      <w:r>
        <w:rPr>
          <w:position w:val="5"/>
          <w:sz w:val="13"/>
        </w:rPr>
        <w:t>346 </w:t>
      </w:r>
      <w:hyperlink r:id="rId129">
        <w:r>
          <w:rPr>
            <w:sz w:val="20"/>
          </w:rPr>
          <w:t>http://www.drjacobsinstitut.de/?Granatapfel</w:t>
        </w:r>
      </w:hyperlink>
    </w:p>
    <w:p>
      <w:pPr>
        <w:spacing w:after="0"/>
        <w:jc w:val="left"/>
        <w:rPr>
          <w:sz w:val="20"/>
        </w:rPr>
        <w:sectPr>
          <w:pgSz w:w="14270" w:h="16850"/>
          <w:pgMar w:header="0" w:footer="1891" w:top="1600" w:bottom="2080" w:left="800" w:right="12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p>
    <w:p>
      <w:pPr>
        <w:pStyle w:val="Heading2"/>
        <w:spacing w:before="99"/>
      </w:pPr>
      <w:r>
        <w:rPr/>
        <w:t>Studies against oxidative stress and atherosclerosis</w:t>
      </w:r>
    </w:p>
    <w:p>
      <w:pPr>
        <w:pStyle w:val="BodyText"/>
        <w:spacing w:line="276" w:lineRule="auto" w:before="305"/>
        <w:ind w:left="477" w:right="133"/>
        <w:jc w:val="both"/>
        <w:rPr>
          <w:sz w:val="25"/>
        </w:rPr>
      </w:pPr>
      <w:r>
        <w:rPr/>
        <w:t>Oxidative stress is considered to be the decisive factor for the development of vascular calcification, atherosclerosis. Several long-term studies have shown that pomegranate juice significantly reduced oxidative properties in the blood compared to the control group. Even after three years of continuous pome- granate juice consumption, the condition was maintained.</w:t>
      </w:r>
      <w:r>
        <w:rPr>
          <w:position w:val="9"/>
          <w:sz w:val="25"/>
        </w:rPr>
        <w:t>347</w:t>
      </w:r>
    </w:p>
    <w:p>
      <w:pPr>
        <w:pStyle w:val="BodyText"/>
        <w:spacing w:line="276" w:lineRule="auto" w:before="240"/>
        <w:ind w:left="477" w:right="131"/>
        <w:jc w:val="both"/>
      </w:pPr>
      <w:r>
        <w:rPr/>
        <w:t>In another study, the test subjects' antioxidant status increased by 130 % per day after just one glass of pomegranate juice per day!</w:t>
      </w:r>
    </w:p>
    <w:p>
      <w:pPr>
        <w:pStyle w:val="Heading2"/>
        <w:spacing w:before="240"/>
      </w:pPr>
      <w:r>
        <w:rPr/>
        <w:t>In studies, pomegranate protects against brain damage and stroke</w:t>
      </w:r>
    </w:p>
    <w:p>
      <w:pPr>
        <w:pStyle w:val="BodyText"/>
        <w:spacing w:line="276" w:lineRule="auto" w:before="303"/>
        <w:ind w:left="477" w:right="133"/>
        <w:jc w:val="both"/>
      </w:pPr>
      <w:r>
        <w:rPr/>
        <w:t>A</w:t>
      </w:r>
      <w:r>
        <w:rPr>
          <w:spacing w:val="-14"/>
        </w:rPr>
        <w:t> </w:t>
      </w:r>
      <w:r>
        <w:rPr/>
        <w:t>study</w:t>
      </w:r>
      <w:r>
        <w:rPr>
          <w:spacing w:val="-13"/>
        </w:rPr>
        <w:t> </w:t>
      </w:r>
      <w:r>
        <w:rPr/>
        <w:t>by</w:t>
      </w:r>
      <w:r>
        <w:rPr>
          <w:spacing w:val="-14"/>
        </w:rPr>
        <w:t> </w:t>
      </w:r>
      <w:r>
        <w:rPr/>
        <w:t>Loren</w:t>
      </w:r>
      <w:r>
        <w:rPr>
          <w:spacing w:val="-12"/>
        </w:rPr>
        <w:t> </w:t>
      </w:r>
      <w:r>
        <w:rPr/>
        <w:t>and</w:t>
      </w:r>
      <w:r>
        <w:rPr>
          <w:spacing w:val="-14"/>
        </w:rPr>
        <w:t> </w:t>
      </w:r>
      <w:r>
        <w:rPr/>
        <w:t>colleagues</w:t>
      </w:r>
      <w:r>
        <w:rPr>
          <w:spacing w:val="-12"/>
        </w:rPr>
        <w:t> </w:t>
      </w:r>
      <w:r>
        <w:rPr/>
        <w:t>in</w:t>
      </w:r>
      <w:r>
        <w:rPr>
          <w:spacing w:val="-13"/>
        </w:rPr>
        <w:t> </w:t>
      </w:r>
      <w:r>
        <w:rPr/>
        <w:t>2005</w:t>
      </w:r>
      <w:r>
        <w:rPr>
          <w:spacing w:val="-15"/>
        </w:rPr>
        <w:t> </w:t>
      </w:r>
      <w:r>
        <w:rPr/>
        <w:t>found</w:t>
      </w:r>
      <w:r>
        <w:rPr>
          <w:spacing w:val="-12"/>
        </w:rPr>
        <w:t> </w:t>
      </w:r>
      <w:r>
        <w:rPr/>
        <w:t>that</w:t>
      </w:r>
      <w:r>
        <w:rPr>
          <w:spacing w:val="-14"/>
        </w:rPr>
        <w:t> </w:t>
      </w:r>
      <w:r>
        <w:rPr/>
        <w:t>mice</w:t>
      </w:r>
      <w:r>
        <w:rPr>
          <w:spacing w:val="-13"/>
        </w:rPr>
        <w:t> </w:t>
      </w:r>
      <w:r>
        <w:rPr/>
        <w:t>pups</w:t>
      </w:r>
      <w:r>
        <w:rPr>
          <w:spacing w:val="-13"/>
        </w:rPr>
        <w:t> </w:t>
      </w:r>
      <w:r>
        <w:rPr/>
        <w:t>born</w:t>
      </w:r>
      <w:r>
        <w:rPr>
          <w:spacing w:val="-13"/>
        </w:rPr>
        <w:t> </w:t>
      </w:r>
      <w:r>
        <w:rPr/>
        <w:t>to</w:t>
      </w:r>
      <w:r>
        <w:rPr>
          <w:spacing w:val="-13"/>
        </w:rPr>
        <w:t> </w:t>
      </w:r>
      <w:r>
        <w:rPr/>
        <w:t>mothers fed</w:t>
      </w:r>
      <w:r>
        <w:rPr>
          <w:spacing w:val="-9"/>
        </w:rPr>
        <w:t> </w:t>
      </w:r>
      <w:r>
        <w:rPr/>
        <w:t>with</w:t>
      </w:r>
      <w:r>
        <w:rPr>
          <w:spacing w:val="-9"/>
        </w:rPr>
        <w:t> </w:t>
      </w:r>
      <w:r>
        <w:rPr/>
        <w:t>pomegranate</w:t>
      </w:r>
      <w:r>
        <w:rPr>
          <w:spacing w:val="-10"/>
        </w:rPr>
        <w:t> </w:t>
      </w:r>
      <w:r>
        <w:rPr/>
        <w:t>had</w:t>
      </w:r>
      <w:r>
        <w:rPr>
          <w:spacing w:val="-9"/>
        </w:rPr>
        <w:t> </w:t>
      </w:r>
      <w:r>
        <w:rPr/>
        <w:t>60</w:t>
      </w:r>
      <w:r>
        <w:rPr>
          <w:spacing w:val="-8"/>
        </w:rPr>
        <w:t> </w:t>
      </w:r>
      <w:r>
        <w:rPr/>
        <w:t>%</w:t>
      </w:r>
      <w:r>
        <w:rPr>
          <w:spacing w:val="-10"/>
        </w:rPr>
        <w:t> </w:t>
      </w:r>
      <w:r>
        <w:rPr/>
        <w:t>less</w:t>
      </w:r>
      <w:r>
        <w:rPr>
          <w:spacing w:val="-9"/>
        </w:rPr>
        <w:t> </w:t>
      </w:r>
      <w:r>
        <w:rPr/>
        <w:t>brain</w:t>
      </w:r>
      <w:r>
        <w:rPr>
          <w:spacing w:val="-10"/>
        </w:rPr>
        <w:t> </w:t>
      </w:r>
      <w:r>
        <w:rPr/>
        <w:t>damage</w:t>
      </w:r>
      <w:r>
        <w:rPr>
          <w:spacing w:val="-9"/>
        </w:rPr>
        <w:t> </w:t>
      </w:r>
      <w:r>
        <w:rPr/>
        <w:t>due</w:t>
      </w:r>
      <w:r>
        <w:rPr>
          <w:spacing w:val="-11"/>
        </w:rPr>
        <w:t> </w:t>
      </w:r>
      <w:r>
        <w:rPr/>
        <w:t>to</w:t>
      </w:r>
      <w:r>
        <w:rPr>
          <w:spacing w:val="-9"/>
        </w:rPr>
        <w:t> </w:t>
      </w:r>
      <w:r>
        <w:rPr/>
        <w:t>hypoxia</w:t>
      </w:r>
      <w:r>
        <w:rPr>
          <w:spacing w:val="-10"/>
        </w:rPr>
        <w:t> </w:t>
      </w:r>
      <w:r>
        <w:rPr/>
        <w:t>at</w:t>
      </w:r>
      <w:r>
        <w:rPr>
          <w:spacing w:val="-11"/>
        </w:rPr>
        <w:t> </w:t>
      </w:r>
      <w:r>
        <w:rPr/>
        <w:t>birth.</w:t>
      </w:r>
      <w:r>
        <w:rPr>
          <w:spacing w:val="-8"/>
        </w:rPr>
        <w:t> </w:t>
      </w:r>
      <w:r>
        <w:rPr/>
        <w:t>This is also an important insight with regard to oxygen</w:t>
      </w:r>
      <w:r>
        <w:rPr>
          <w:spacing w:val="-4"/>
        </w:rPr>
        <w:t> </w:t>
      </w:r>
      <w:r>
        <w:rPr/>
        <w:t>prophylaxis.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r>
        <w:rPr/>
        <w:pict>
          <v:line style="position:absolute;mso-position-horizontal-relative:page;mso-position-vertical-relative:paragraph;z-index:4064;mso-wrap-distance-left:0;mso-wrap-distance-right:0" from="63.863998pt,18.215015pt" to="207.883998pt,18.21501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347 </w:t>
      </w:r>
      <w:r>
        <w:rPr>
          <w:sz w:val="20"/>
        </w:rPr>
        <w:t>Aviram et al., 2000 and 2004; Loren et al., 2005; Azadzoi et al., 2005</w:t>
      </w:r>
    </w:p>
    <w:p>
      <w:pPr>
        <w:spacing w:after="0"/>
        <w:jc w:val="left"/>
        <w:rPr>
          <w:sz w:val="20"/>
        </w:rPr>
        <w:sectPr>
          <w:pgSz w:w="14270" w:h="16850"/>
          <w:pgMar w:header="0" w:footer="1891" w:top="1600" w:bottom="2080" w:left="800" w:right="1280"/>
        </w:sectPr>
      </w:pPr>
    </w:p>
    <w:p>
      <w:pPr>
        <w:pStyle w:val="BodyText"/>
        <w:rPr>
          <w:sz w:val="20"/>
        </w:rPr>
      </w:pPr>
    </w:p>
    <w:p>
      <w:pPr>
        <w:pStyle w:val="BodyText"/>
        <w:rPr>
          <w:sz w:val="20"/>
        </w:rPr>
      </w:pPr>
    </w:p>
    <w:p>
      <w:pPr>
        <w:pStyle w:val="BodyText"/>
        <w:rPr>
          <w:sz w:val="20"/>
        </w:rPr>
      </w:pPr>
    </w:p>
    <w:p>
      <w:pPr>
        <w:pStyle w:val="Heading2"/>
        <w:spacing w:before="238"/>
      </w:pPr>
      <w:r>
        <w:rPr/>
        <w:t>Studies on the effect on numerous cancers</w:t>
      </w:r>
    </w:p>
    <w:p>
      <w:pPr>
        <w:pStyle w:val="BodyText"/>
        <w:spacing w:line="276" w:lineRule="auto" w:before="185"/>
        <w:ind w:left="477" w:right="142"/>
        <w:jc w:val="both"/>
        <w:rPr>
          <w:sz w:val="25"/>
        </w:rPr>
      </w:pPr>
      <w:r>
        <w:rPr/>
        <w:t>In laboratory and animal experiments as well as in epidemiological studies, the ingredient ‘apigenin’ inhibited the growth and metastasis of the following can- cers:</w:t>
      </w:r>
      <w:r>
        <w:rPr>
          <w:position w:val="9"/>
          <w:sz w:val="25"/>
        </w:rPr>
        <w:t>348</w:t>
      </w:r>
    </w:p>
    <w:p>
      <w:pPr>
        <w:pStyle w:val="ListParagraph"/>
        <w:numPr>
          <w:ilvl w:val="0"/>
          <w:numId w:val="33"/>
        </w:numPr>
        <w:tabs>
          <w:tab w:pos="893" w:val="left" w:leader="none"/>
        </w:tabs>
        <w:spacing w:line="240" w:lineRule="auto" w:before="120" w:after="0"/>
        <w:ind w:left="892" w:right="0" w:hanging="415"/>
        <w:jc w:val="both"/>
        <w:rPr>
          <w:sz w:val="38"/>
        </w:rPr>
      </w:pPr>
      <w:r>
        <w:rPr>
          <w:sz w:val="38"/>
        </w:rPr>
        <w:t>breast</w:t>
      </w:r>
      <w:r>
        <w:rPr>
          <w:spacing w:val="-1"/>
          <w:sz w:val="38"/>
        </w:rPr>
        <w:t> </w:t>
      </w:r>
      <w:r>
        <w:rPr>
          <w:sz w:val="38"/>
        </w:rPr>
        <w:t>cancer</w:t>
      </w:r>
    </w:p>
    <w:p>
      <w:pPr>
        <w:pStyle w:val="ListParagraph"/>
        <w:numPr>
          <w:ilvl w:val="0"/>
          <w:numId w:val="33"/>
        </w:numPr>
        <w:tabs>
          <w:tab w:pos="893" w:val="left" w:leader="none"/>
        </w:tabs>
        <w:spacing w:line="240" w:lineRule="auto" w:before="67" w:after="0"/>
        <w:ind w:left="892" w:right="0" w:hanging="415"/>
        <w:jc w:val="both"/>
        <w:rPr>
          <w:sz w:val="38"/>
        </w:rPr>
      </w:pPr>
      <w:r>
        <w:rPr>
          <w:sz w:val="38"/>
        </w:rPr>
        <w:t>colon</w:t>
      </w:r>
      <w:r>
        <w:rPr>
          <w:spacing w:val="-1"/>
          <w:sz w:val="38"/>
        </w:rPr>
        <w:t> </w:t>
      </w:r>
      <w:r>
        <w:rPr>
          <w:sz w:val="38"/>
        </w:rPr>
        <w:t>cancer</w:t>
      </w:r>
    </w:p>
    <w:p>
      <w:pPr>
        <w:pStyle w:val="ListParagraph"/>
        <w:numPr>
          <w:ilvl w:val="0"/>
          <w:numId w:val="33"/>
        </w:numPr>
        <w:tabs>
          <w:tab w:pos="893" w:val="left" w:leader="none"/>
        </w:tabs>
        <w:spacing w:line="240" w:lineRule="auto" w:before="63" w:after="0"/>
        <w:ind w:left="892" w:right="0" w:hanging="415"/>
        <w:jc w:val="both"/>
        <w:rPr>
          <w:sz w:val="38"/>
        </w:rPr>
      </w:pPr>
      <w:r>
        <w:rPr>
          <w:sz w:val="38"/>
        </w:rPr>
        <w:t>lung cancer</w:t>
      </w:r>
    </w:p>
    <w:p>
      <w:pPr>
        <w:pStyle w:val="ListParagraph"/>
        <w:numPr>
          <w:ilvl w:val="0"/>
          <w:numId w:val="33"/>
        </w:numPr>
        <w:tabs>
          <w:tab w:pos="893" w:val="left" w:leader="none"/>
        </w:tabs>
        <w:spacing w:line="240" w:lineRule="auto" w:before="64" w:after="0"/>
        <w:ind w:left="892" w:right="0" w:hanging="415"/>
        <w:jc w:val="both"/>
        <w:rPr>
          <w:sz w:val="38"/>
        </w:rPr>
      </w:pPr>
      <w:r>
        <w:rPr>
          <w:sz w:val="38"/>
        </w:rPr>
        <w:t>stomach cancer</w:t>
      </w:r>
    </w:p>
    <w:p>
      <w:pPr>
        <w:pStyle w:val="ListParagraph"/>
        <w:numPr>
          <w:ilvl w:val="0"/>
          <w:numId w:val="33"/>
        </w:numPr>
        <w:tabs>
          <w:tab w:pos="893" w:val="left" w:leader="none"/>
        </w:tabs>
        <w:spacing w:line="240" w:lineRule="auto" w:before="64" w:after="0"/>
        <w:ind w:left="892" w:right="0" w:hanging="415"/>
        <w:jc w:val="both"/>
        <w:rPr>
          <w:sz w:val="38"/>
        </w:rPr>
      </w:pPr>
      <w:r>
        <w:rPr>
          <w:sz w:val="38"/>
        </w:rPr>
        <w:t>thyroid</w:t>
      </w:r>
      <w:r>
        <w:rPr>
          <w:spacing w:val="-1"/>
          <w:sz w:val="38"/>
        </w:rPr>
        <w:t> </w:t>
      </w:r>
      <w:r>
        <w:rPr>
          <w:sz w:val="38"/>
        </w:rPr>
        <w:t>cancer</w:t>
      </w:r>
    </w:p>
    <w:p>
      <w:pPr>
        <w:pStyle w:val="ListParagraph"/>
        <w:numPr>
          <w:ilvl w:val="0"/>
          <w:numId w:val="33"/>
        </w:numPr>
        <w:tabs>
          <w:tab w:pos="893" w:val="left" w:leader="none"/>
        </w:tabs>
        <w:spacing w:line="240" w:lineRule="auto" w:before="63" w:after="0"/>
        <w:ind w:left="892" w:right="0" w:hanging="415"/>
        <w:jc w:val="both"/>
        <w:rPr>
          <w:sz w:val="38"/>
        </w:rPr>
      </w:pPr>
      <w:r>
        <w:rPr>
          <w:sz w:val="38"/>
        </w:rPr>
        <w:t>liver cancer</w:t>
      </w:r>
    </w:p>
    <w:p>
      <w:pPr>
        <w:pStyle w:val="ListParagraph"/>
        <w:numPr>
          <w:ilvl w:val="0"/>
          <w:numId w:val="33"/>
        </w:numPr>
        <w:tabs>
          <w:tab w:pos="893" w:val="left" w:leader="none"/>
        </w:tabs>
        <w:spacing w:line="240" w:lineRule="auto" w:before="66" w:after="0"/>
        <w:ind w:left="892" w:right="0" w:hanging="415"/>
        <w:jc w:val="both"/>
        <w:rPr>
          <w:sz w:val="38"/>
        </w:rPr>
      </w:pPr>
      <w:r>
        <w:rPr>
          <w:sz w:val="38"/>
        </w:rPr>
        <w:t>melanoma</w:t>
      </w:r>
    </w:p>
    <w:p>
      <w:pPr>
        <w:pStyle w:val="ListParagraph"/>
        <w:numPr>
          <w:ilvl w:val="0"/>
          <w:numId w:val="33"/>
        </w:numPr>
        <w:tabs>
          <w:tab w:pos="893" w:val="left" w:leader="none"/>
        </w:tabs>
        <w:spacing w:line="240" w:lineRule="auto" w:before="64" w:after="0"/>
        <w:ind w:left="892" w:right="0" w:hanging="415"/>
        <w:jc w:val="both"/>
        <w:rPr>
          <w:sz w:val="38"/>
        </w:rPr>
      </w:pPr>
      <w:r>
        <w:rPr>
          <w:sz w:val="38"/>
        </w:rPr>
        <w:t>ovarian cancer</w:t>
      </w:r>
    </w:p>
    <w:p>
      <w:pPr>
        <w:pStyle w:val="ListParagraph"/>
        <w:numPr>
          <w:ilvl w:val="0"/>
          <w:numId w:val="33"/>
        </w:numPr>
        <w:tabs>
          <w:tab w:pos="893" w:val="left" w:leader="none"/>
        </w:tabs>
        <w:spacing w:line="240" w:lineRule="auto" w:before="64" w:after="0"/>
        <w:ind w:left="892" w:right="0" w:hanging="415"/>
        <w:jc w:val="both"/>
        <w:rPr>
          <w:sz w:val="38"/>
        </w:rPr>
      </w:pPr>
      <w:r>
        <w:rPr>
          <w:sz w:val="38"/>
        </w:rPr>
        <w:t>skin</w:t>
      </w:r>
      <w:r>
        <w:rPr>
          <w:spacing w:val="-3"/>
          <w:sz w:val="38"/>
        </w:rPr>
        <w:t> </w:t>
      </w:r>
      <w:r>
        <w:rPr>
          <w:sz w:val="38"/>
        </w:rPr>
        <w:t>cancer</w:t>
      </w:r>
    </w:p>
    <w:p>
      <w:pPr>
        <w:pStyle w:val="ListParagraph"/>
        <w:numPr>
          <w:ilvl w:val="0"/>
          <w:numId w:val="33"/>
        </w:numPr>
        <w:tabs>
          <w:tab w:pos="893" w:val="left" w:leader="none"/>
        </w:tabs>
        <w:spacing w:line="240" w:lineRule="auto" w:before="64" w:after="0"/>
        <w:ind w:left="892" w:right="0" w:hanging="415"/>
        <w:jc w:val="both"/>
        <w:rPr>
          <w:sz w:val="38"/>
        </w:rPr>
      </w:pPr>
      <w:r>
        <w:rPr>
          <w:sz w:val="38"/>
        </w:rPr>
        <w:t>prostate</w:t>
      </w:r>
      <w:r>
        <w:rPr>
          <w:spacing w:val="-1"/>
          <w:sz w:val="38"/>
        </w:rPr>
        <w:t> </w:t>
      </w:r>
      <w:r>
        <w:rPr>
          <w:sz w:val="38"/>
        </w:rPr>
        <w:t>cancer</w:t>
      </w:r>
    </w:p>
    <w:p>
      <w:pPr>
        <w:pStyle w:val="ListParagraph"/>
        <w:numPr>
          <w:ilvl w:val="0"/>
          <w:numId w:val="33"/>
        </w:numPr>
        <w:tabs>
          <w:tab w:pos="893" w:val="left" w:leader="none"/>
        </w:tabs>
        <w:spacing w:line="240" w:lineRule="auto" w:before="63" w:after="0"/>
        <w:ind w:left="892" w:right="0" w:hanging="415"/>
        <w:jc w:val="both"/>
        <w:rPr>
          <w:sz w:val="38"/>
        </w:rPr>
      </w:pPr>
      <w:r>
        <w:rPr>
          <w:sz w:val="38"/>
        </w:rPr>
        <w:t>pancreatic</w:t>
      </w:r>
      <w:r>
        <w:rPr>
          <w:spacing w:val="-2"/>
          <w:sz w:val="38"/>
        </w:rPr>
        <w:t> </w:t>
      </w:r>
      <w:r>
        <w:rPr>
          <w:sz w:val="38"/>
        </w:rPr>
        <w:t>cancer</w:t>
      </w:r>
    </w:p>
    <w:p>
      <w:pPr>
        <w:pStyle w:val="ListParagraph"/>
        <w:numPr>
          <w:ilvl w:val="0"/>
          <w:numId w:val="33"/>
        </w:numPr>
        <w:tabs>
          <w:tab w:pos="893" w:val="left" w:leader="none"/>
        </w:tabs>
        <w:spacing w:line="240" w:lineRule="auto" w:before="66" w:after="0"/>
        <w:ind w:left="892" w:right="0" w:hanging="415"/>
        <w:jc w:val="both"/>
        <w:rPr>
          <w:sz w:val="38"/>
        </w:rPr>
      </w:pPr>
      <w:r>
        <w:rPr>
          <w:sz w:val="38"/>
        </w:rPr>
        <w:t>leukemia</w:t>
      </w:r>
    </w:p>
    <w:p>
      <w:pPr>
        <w:pStyle w:val="Heading2"/>
        <w:spacing w:before="302"/>
        <w:jc w:val="both"/>
      </w:pPr>
      <w:r>
        <w:rPr/>
        <w:t>Studies on the effect on various cancers</w:t>
      </w:r>
    </w:p>
    <w:p>
      <w:pPr>
        <w:pStyle w:val="BodyText"/>
        <w:spacing w:before="185"/>
        <w:ind w:left="477"/>
        <w:jc w:val="both"/>
      </w:pPr>
      <w:r>
        <w:rPr/>
        <w:t>Numerous studies by several researchers have demonstrated the inhibition of</w:t>
      </w:r>
    </w:p>
    <w:p>
      <w:pPr>
        <w:pStyle w:val="BodyText"/>
        <w:rPr>
          <w:sz w:val="20"/>
        </w:rPr>
      </w:pPr>
    </w:p>
    <w:p>
      <w:pPr>
        <w:pStyle w:val="BodyText"/>
        <w:rPr>
          <w:sz w:val="20"/>
        </w:rPr>
      </w:pPr>
    </w:p>
    <w:p>
      <w:pPr>
        <w:pStyle w:val="BodyText"/>
        <w:rPr>
          <w:sz w:val="20"/>
        </w:rPr>
      </w:pPr>
    </w:p>
    <w:p>
      <w:pPr>
        <w:pStyle w:val="BodyText"/>
        <w:spacing w:before="8"/>
        <w:rPr>
          <w:sz w:val="15"/>
        </w:rPr>
      </w:pPr>
      <w:r>
        <w:rPr/>
        <w:pict>
          <v:line style="position:absolute;mso-position-horizontal-relative:page;mso-position-vertical-relative:paragraph;z-index:4088;mso-wrap-distance-left:0;mso-wrap-distance-right:0" from="63.863998pt,11.206pt" to="207.883998pt,11.206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348 </w:t>
      </w:r>
      <w:hyperlink r:id="rId133">
        <w:r>
          <w:rPr>
            <w:sz w:val="20"/>
          </w:rPr>
          <w:t>http://www.curado.de/schilddruesenkrebs/Krebstherapie-und-Apigenin-Erfolgreiche-deutsche-klinische-Studie-12338/</w:t>
        </w:r>
      </w:hyperlink>
    </w:p>
    <w:p>
      <w:pPr>
        <w:spacing w:after="0"/>
        <w:jc w:val="left"/>
        <w:rPr>
          <w:sz w:val="20"/>
        </w:rPr>
        <w:sectPr>
          <w:pgSz w:w="14270" w:h="16850"/>
          <w:pgMar w:header="0" w:footer="1891" w:top="1600" w:bottom="2080" w:left="800" w:right="1280"/>
        </w:sectPr>
      </w:pPr>
    </w:p>
    <w:p>
      <w:pPr>
        <w:pStyle w:val="BodyText"/>
        <w:spacing w:before="181"/>
        <w:ind w:left="477"/>
        <w:rPr>
          <w:sz w:val="25"/>
        </w:rPr>
      </w:pPr>
      <w:r>
        <w:rPr/>
        <w:t>cancer growth and metastasis in breast, prostate, colon, and lung cancers.</w:t>
      </w:r>
      <w:r>
        <w:rPr>
          <w:position w:val="9"/>
          <w:sz w:val="25"/>
        </w:rPr>
        <w:t>349</w:t>
      </w:r>
    </w:p>
    <w:p>
      <w:pPr>
        <w:pStyle w:val="Heading1"/>
        <w:spacing w:before="288"/>
      </w:pPr>
      <w:r>
        <w:rPr/>
        <w:t>Studies on the effect of pomegranate against breast cancer</w:t>
      </w:r>
    </w:p>
    <w:p>
      <w:pPr>
        <w:pStyle w:val="BodyText"/>
        <w:spacing w:line="276" w:lineRule="auto" w:before="179"/>
        <w:ind w:left="477" w:right="135"/>
        <w:jc w:val="both"/>
      </w:pPr>
      <w:r>
        <w:rPr/>
        <w:t>Researchers Kim, Lansky and colleagues could prove that pomegranate has an anti-oestrogenic effect in studies in 2002. Pomegranate owes this to the poly- phenols contained within it. Furthermore, the researchers were able to show that pomegranate blocks the enzyme ‘aromatase’ and thus reduces oestrogen synthesis in adipose tissue.</w:t>
      </w:r>
    </w:p>
    <w:p>
      <w:pPr>
        <w:pStyle w:val="Heading1"/>
        <w:spacing w:before="223"/>
      </w:pPr>
      <w:r>
        <w:rPr/>
        <w:t>Inhibition of breast cancer growth by 80 % demonstrated in studies</w:t>
      </w:r>
    </w:p>
    <w:p>
      <w:pPr>
        <w:pStyle w:val="BodyText"/>
        <w:spacing w:line="276" w:lineRule="auto" w:before="299"/>
        <w:ind w:left="477" w:right="134"/>
        <w:jc w:val="both"/>
        <w:rPr>
          <w:sz w:val="25"/>
        </w:rPr>
      </w:pPr>
      <w:r>
        <w:rPr/>
        <w:t>An</w:t>
      </w:r>
      <w:r>
        <w:rPr>
          <w:spacing w:val="-24"/>
        </w:rPr>
        <w:t> </w:t>
      </w:r>
      <w:r>
        <w:rPr/>
        <w:t>international</w:t>
      </w:r>
      <w:r>
        <w:rPr>
          <w:spacing w:val="-27"/>
        </w:rPr>
        <w:t> </w:t>
      </w:r>
      <w:r>
        <w:rPr/>
        <w:t>research</w:t>
      </w:r>
      <w:r>
        <w:rPr>
          <w:spacing w:val="-24"/>
        </w:rPr>
        <w:t> </w:t>
      </w:r>
      <w:r>
        <w:rPr/>
        <w:t>team</w:t>
      </w:r>
      <w:r>
        <w:rPr>
          <w:spacing w:val="-26"/>
        </w:rPr>
        <w:t> </w:t>
      </w:r>
      <w:r>
        <w:rPr/>
        <w:t>has</w:t>
      </w:r>
      <w:r>
        <w:rPr>
          <w:spacing w:val="-23"/>
        </w:rPr>
        <w:t> </w:t>
      </w:r>
      <w:r>
        <w:rPr/>
        <w:t>achieved</w:t>
      </w:r>
      <w:r>
        <w:rPr>
          <w:spacing w:val="-25"/>
        </w:rPr>
        <w:t> </w:t>
      </w:r>
      <w:r>
        <w:rPr/>
        <w:t>an</w:t>
      </w:r>
      <w:r>
        <w:rPr>
          <w:spacing w:val="-26"/>
        </w:rPr>
        <w:t> </w:t>
      </w:r>
      <w:r>
        <w:rPr/>
        <w:t>80</w:t>
      </w:r>
      <w:r>
        <w:rPr>
          <w:spacing w:val="-22"/>
        </w:rPr>
        <w:t> </w:t>
      </w:r>
      <w:r>
        <w:rPr/>
        <w:t>%</w:t>
      </w:r>
      <w:r>
        <w:rPr>
          <w:spacing w:val="-24"/>
        </w:rPr>
        <w:t> </w:t>
      </w:r>
      <w:r>
        <w:rPr/>
        <w:t>growth</w:t>
      </w:r>
      <w:r>
        <w:rPr>
          <w:spacing w:val="-24"/>
        </w:rPr>
        <w:t> </w:t>
      </w:r>
      <w:r>
        <w:rPr/>
        <w:t>inhibition</w:t>
      </w:r>
      <w:r>
        <w:rPr>
          <w:spacing w:val="-24"/>
        </w:rPr>
        <w:t> </w:t>
      </w:r>
      <w:r>
        <w:rPr/>
        <w:t>of</w:t>
      </w:r>
      <w:r>
        <w:rPr>
          <w:spacing w:val="-26"/>
        </w:rPr>
        <w:t> </w:t>
      </w:r>
      <w:r>
        <w:rPr/>
        <w:t>breast cancer cells using fermented pomegranate polyphenols. It is worth noting that the fermented pomegranate juice polyphenols outperformed the fresh juice by a factor of two.</w:t>
      </w:r>
      <w:r>
        <w:rPr>
          <w:position w:val="9"/>
          <w:sz w:val="25"/>
        </w:rPr>
        <w:t>350</w:t>
      </w:r>
    </w:p>
    <w:p>
      <w:pPr>
        <w:pStyle w:val="Heading1"/>
        <w:spacing w:before="222"/>
      </w:pPr>
      <w:r>
        <w:rPr/>
        <w:t>Effect</w:t>
      </w:r>
      <w:r>
        <w:rPr>
          <w:spacing w:val="-73"/>
        </w:rPr>
        <w:t> </w:t>
      </w:r>
      <w:r>
        <w:rPr/>
        <w:t>of</w:t>
      </w:r>
      <w:r>
        <w:rPr>
          <w:spacing w:val="-71"/>
        </w:rPr>
        <w:t> </w:t>
      </w:r>
      <w:r>
        <w:rPr/>
        <w:t>pomegranate</w:t>
      </w:r>
      <w:r>
        <w:rPr>
          <w:spacing w:val="-72"/>
        </w:rPr>
        <w:t> </w:t>
      </w:r>
      <w:r>
        <w:rPr/>
        <w:t>against</w:t>
      </w:r>
      <w:r>
        <w:rPr>
          <w:spacing w:val="-71"/>
        </w:rPr>
        <w:t> </w:t>
      </w:r>
      <w:r>
        <w:rPr/>
        <w:t>prostate</w:t>
      </w:r>
      <w:r>
        <w:rPr>
          <w:spacing w:val="-71"/>
        </w:rPr>
        <w:t> </w:t>
      </w:r>
      <w:r>
        <w:rPr/>
        <w:t>cancer</w:t>
      </w:r>
      <w:r>
        <w:rPr>
          <w:spacing w:val="-72"/>
        </w:rPr>
        <w:t> </w:t>
      </w:r>
      <w:r>
        <w:rPr/>
        <w:t>has</w:t>
      </w:r>
      <w:r>
        <w:rPr>
          <w:spacing w:val="-72"/>
        </w:rPr>
        <w:t> </w:t>
      </w:r>
      <w:r>
        <w:rPr/>
        <w:t>been</w:t>
      </w:r>
      <w:r>
        <w:rPr>
          <w:spacing w:val="-72"/>
        </w:rPr>
        <w:t> </w:t>
      </w:r>
      <w:r>
        <w:rPr/>
        <w:t>proven</w:t>
      </w:r>
      <w:r>
        <w:rPr>
          <w:spacing w:val="-72"/>
        </w:rPr>
        <w:t> </w:t>
      </w:r>
      <w:r>
        <w:rPr/>
        <w:t>in</w:t>
      </w:r>
      <w:r>
        <w:rPr>
          <w:spacing w:val="-72"/>
        </w:rPr>
        <w:t> </w:t>
      </w:r>
      <w:r>
        <w:rPr/>
        <w:t>studies</w:t>
      </w:r>
    </w:p>
    <w:p>
      <w:pPr>
        <w:pStyle w:val="BodyText"/>
        <w:spacing w:line="276" w:lineRule="auto" w:before="299"/>
        <w:ind w:left="477" w:right="136"/>
        <w:jc w:val="both"/>
      </w:pPr>
      <w:r>
        <w:rPr/>
        <w:t>Pomegranate had an effect in 80 % of 48 prostate cancer patients in one study. The PSA value is recognised worldwide as an indicator of prostate cancer de- velopment. Prognosis and life expectancy decrease as PSA increases.</w:t>
      </w:r>
    </w:p>
    <w:p>
      <w:pPr>
        <w:pStyle w:val="BodyText"/>
        <w:spacing w:line="276" w:lineRule="auto" w:before="242"/>
        <w:ind w:left="477" w:right="134"/>
        <w:jc w:val="both"/>
        <w:rPr>
          <w:sz w:val="25"/>
        </w:rPr>
      </w:pPr>
      <w:r>
        <w:rPr/>
        <w:t>At the University of California in July 2006, Allan Pantuck's team was able to slow down PSA by one glass of pomegranate juice per day, doubling it to 54 months, instead of falling to 15 months as before.</w:t>
      </w:r>
      <w:r>
        <w:rPr>
          <w:position w:val="9"/>
          <w:sz w:val="25"/>
        </w:rPr>
        <w:t>351</w:t>
      </w:r>
    </w:p>
    <w:p>
      <w:pPr>
        <w:pStyle w:val="BodyText"/>
        <w:rPr>
          <w:sz w:val="20"/>
        </w:rPr>
      </w:pPr>
    </w:p>
    <w:p>
      <w:pPr>
        <w:pStyle w:val="BodyText"/>
        <w:spacing w:before="4"/>
        <w:rPr>
          <w:sz w:val="13"/>
        </w:rPr>
      </w:pPr>
      <w:r>
        <w:rPr/>
        <w:pict>
          <v:line style="position:absolute;mso-position-horizontal-relative:page;mso-position-vertical-relative:paragraph;z-index:4112;mso-wrap-distance-left:0;mso-wrap-distance-right:0" from="63.863998pt,9.886265pt" to="207.883998pt,9.886265pt" stroked="true" strokeweight=".71997pt" strokecolor="#000000">
            <v:stroke dashstyle="solid"/>
            <w10:wrap type="topAndBottom"/>
          </v:line>
        </w:pict>
      </w:r>
    </w:p>
    <w:p>
      <w:pPr>
        <w:pStyle w:val="BodyText"/>
        <w:spacing w:before="7"/>
        <w:rPr>
          <w:sz w:val="18"/>
        </w:rPr>
      </w:pPr>
    </w:p>
    <w:p>
      <w:pPr>
        <w:spacing w:line="276" w:lineRule="auto" w:before="99"/>
        <w:ind w:left="477" w:right="244" w:firstLine="0"/>
        <w:jc w:val="left"/>
        <w:rPr>
          <w:sz w:val="20"/>
        </w:rPr>
      </w:pPr>
      <w:r>
        <w:rPr>
          <w:position w:val="5"/>
          <w:sz w:val="13"/>
        </w:rPr>
        <w:t>349 </w:t>
      </w:r>
      <w:r>
        <w:rPr>
          <w:sz w:val="20"/>
        </w:rPr>
        <w:t>Kim et al., 2002; Toi et al., 2003; Albrecht et al., 2004; Seeram et al., 2004, Kawaii and Lansky, 2004; Larrosa et al. 2005; Malik et al. 2005; Lansky et al., 2005; Afaq et al., 2005 I and II; Pantuck et al., 2006, Syed et al. 2006, Khan, 2007-I and II</w:t>
      </w:r>
    </w:p>
    <w:p>
      <w:pPr>
        <w:spacing w:before="61"/>
        <w:ind w:left="477" w:right="0" w:firstLine="0"/>
        <w:jc w:val="left"/>
        <w:rPr>
          <w:sz w:val="20"/>
        </w:rPr>
      </w:pPr>
      <w:r>
        <w:rPr/>
        <w:drawing>
          <wp:anchor distT="0" distB="0" distL="0" distR="0" allowOverlap="1" layoutInCell="1" locked="0" behindDoc="1" simplePos="0" relativeHeight="267171911">
            <wp:simplePos x="0" y="0"/>
            <wp:positionH relativeFrom="page">
              <wp:posOffset>896463</wp:posOffset>
            </wp:positionH>
            <wp:positionV relativeFrom="paragraph">
              <wp:posOffset>121007</wp:posOffset>
            </wp:positionV>
            <wp:extent cx="6379583" cy="902106"/>
            <wp:effectExtent l="0" t="0" r="0" b="0"/>
            <wp:wrapNone/>
            <wp:docPr id="205" name="image2.jpeg" descr=""/>
            <wp:cNvGraphicFramePr>
              <a:graphicFrameLocks noChangeAspect="1"/>
            </wp:cNvGraphicFramePr>
            <a:graphic>
              <a:graphicData uri="http://schemas.openxmlformats.org/drawingml/2006/picture">
                <pic:pic>
                  <pic:nvPicPr>
                    <pic:cNvPr id="206"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350 </w:t>
      </w:r>
      <w:r>
        <w:rPr>
          <w:sz w:val="20"/>
        </w:rPr>
        <w:t>Kim et al., 2002a</w:t>
      </w:r>
    </w:p>
    <w:p>
      <w:pPr>
        <w:spacing w:before="94"/>
        <w:ind w:left="477" w:right="0" w:firstLine="0"/>
        <w:jc w:val="left"/>
        <w:rPr>
          <w:sz w:val="20"/>
        </w:rPr>
      </w:pPr>
      <w:r>
        <w:rPr>
          <w:position w:val="5"/>
          <w:sz w:val="13"/>
        </w:rPr>
        <w:t>351 </w:t>
      </w:r>
      <w:r>
        <w:rPr>
          <w:sz w:val="20"/>
        </w:rPr>
        <w:t>Clinical Cancer Research</w:t>
      </w:r>
    </w:p>
    <w:p>
      <w:pPr>
        <w:spacing w:after="0"/>
        <w:jc w:val="left"/>
        <w:rPr>
          <w:sz w:val="20"/>
        </w:rPr>
        <w:sectPr>
          <w:footerReference w:type="default" r:id="rId134"/>
          <w:pgSz w:w="14270" w:h="16850"/>
          <w:pgMar w:footer="527" w:header="0" w:top="1600" w:bottom="720" w:left="800" w:right="1280"/>
        </w:sectPr>
      </w:pPr>
    </w:p>
    <w:p>
      <w:pPr>
        <w:pStyle w:val="Heading1"/>
        <w:spacing w:before="164"/>
      </w:pPr>
      <w:r>
        <w:rPr/>
        <w:t>Studies on the effect on leukemia</w:t>
      </w:r>
    </w:p>
    <w:p>
      <w:pPr>
        <w:pStyle w:val="BodyText"/>
        <w:spacing w:line="276" w:lineRule="auto" w:before="299"/>
        <w:ind w:left="477" w:right="136"/>
        <w:jc w:val="both"/>
      </w:pPr>
      <w:r>
        <w:rPr/>
        <w:t>In a study in 2004, the researchers Lansky and Kawaii were able to prove that fermented pomegranate polyphenols convert degenerate leukemia cells back</w:t>
      </w:r>
      <w:r>
        <w:rPr>
          <w:spacing w:val="-55"/>
        </w:rPr>
        <w:t> </w:t>
      </w:r>
      <w:r>
        <w:rPr/>
        <w:t>to healthy cells or drive them into programmed suicide. By suppressing the for- mation of new blood vessels (neoangiogenesis), they greatly suppressed their spread.</w:t>
      </w: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7"/>
        </w:rPr>
      </w:pPr>
    </w:p>
    <w:p>
      <w:pPr>
        <w:pStyle w:val="Heading1"/>
        <w:spacing w:before="0"/>
      </w:pPr>
      <w:r>
        <w:rPr/>
        <w:t>Studies on the effect on lung</w:t>
      </w:r>
      <w:r>
        <w:rPr>
          <w:spacing w:val="-55"/>
        </w:rPr>
        <w:t> </w:t>
      </w:r>
      <w:r>
        <w:rPr/>
        <w:t>cancer</w:t>
      </w:r>
    </w:p>
    <w:p>
      <w:pPr>
        <w:pStyle w:val="BodyText"/>
        <w:spacing w:line="276" w:lineRule="auto" w:before="300"/>
        <w:ind w:left="477" w:right="135"/>
        <w:jc w:val="both"/>
        <w:rPr>
          <w:sz w:val="25"/>
        </w:rPr>
      </w:pPr>
      <w:r>
        <w:rPr/>
        <w:t>Two studies from 2007 showed that lung tumours shrank by 62 % after 140 days and by 66 % after 240 days in animal experiments.</w:t>
      </w:r>
      <w:r>
        <w:rPr>
          <w:position w:val="9"/>
          <w:sz w:val="25"/>
        </w:rPr>
        <w:t>352</w:t>
      </w:r>
    </w:p>
    <w:p>
      <w:pPr>
        <w:pStyle w:val="Heading1"/>
        <w:spacing w:before="221"/>
      </w:pPr>
      <w:r>
        <w:rPr/>
        <w:t>Pomegranate successful in diabetes studies</w:t>
      </w:r>
    </w:p>
    <w:p>
      <w:pPr>
        <w:pStyle w:val="BodyText"/>
        <w:spacing w:line="276" w:lineRule="auto" w:before="299"/>
        <w:ind w:left="477" w:right="138"/>
        <w:jc w:val="both"/>
        <w:rPr>
          <w:sz w:val="25"/>
        </w:rPr>
      </w:pPr>
      <w:r>
        <w:rPr/>
        <w:t>Reduction</w:t>
      </w:r>
      <w:r>
        <w:rPr>
          <w:spacing w:val="-12"/>
        </w:rPr>
        <w:t> </w:t>
      </w:r>
      <w:r>
        <w:rPr/>
        <w:t>of</w:t>
      </w:r>
      <w:r>
        <w:rPr>
          <w:spacing w:val="-11"/>
        </w:rPr>
        <w:t> </w:t>
      </w:r>
      <w:r>
        <w:rPr/>
        <w:t>oxidative</w:t>
      </w:r>
      <w:r>
        <w:rPr>
          <w:spacing w:val="-13"/>
        </w:rPr>
        <w:t> </w:t>
      </w:r>
      <w:r>
        <w:rPr/>
        <w:t>stress:</w:t>
      </w:r>
      <w:r>
        <w:rPr>
          <w:spacing w:val="-11"/>
        </w:rPr>
        <w:t> </w:t>
      </w:r>
      <w:r>
        <w:rPr/>
        <w:t>In</w:t>
      </w:r>
      <w:r>
        <w:rPr>
          <w:spacing w:val="-15"/>
        </w:rPr>
        <w:t> </w:t>
      </w:r>
      <w:r>
        <w:rPr/>
        <w:t>a</w:t>
      </w:r>
      <w:r>
        <w:rPr>
          <w:spacing w:val="-13"/>
        </w:rPr>
        <w:t> </w:t>
      </w:r>
      <w:r>
        <w:rPr/>
        <w:t>study</w:t>
      </w:r>
      <w:r>
        <w:rPr>
          <w:spacing w:val="-12"/>
        </w:rPr>
        <w:t> </w:t>
      </w:r>
      <w:r>
        <w:rPr/>
        <w:t>on</w:t>
      </w:r>
      <w:r>
        <w:rPr>
          <w:spacing w:val="-9"/>
        </w:rPr>
        <w:t> </w:t>
      </w:r>
      <w:r>
        <w:rPr/>
        <w:t>ten</w:t>
      </w:r>
      <w:r>
        <w:rPr>
          <w:spacing w:val="-11"/>
        </w:rPr>
        <w:t> </w:t>
      </w:r>
      <w:r>
        <w:rPr/>
        <w:t>non-insulin-dependent</w:t>
      </w:r>
      <w:r>
        <w:rPr>
          <w:spacing w:val="-12"/>
        </w:rPr>
        <w:t> </w:t>
      </w:r>
      <w:r>
        <w:rPr/>
        <w:t>diabetes patients,</w:t>
      </w:r>
      <w:r>
        <w:rPr>
          <w:spacing w:val="-7"/>
        </w:rPr>
        <w:t> </w:t>
      </w:r>
      <w:r>
        <w:rPr/>
        <w:t>oxidative</w:t>
      </w:r>
      <w:r>
        <w:rPr>
          <w:spacing w:val="-8"/>
        </w:rPr>
        <w:t> </w:t>
      </w:r>
      <w:r>
        <w:rPr/>
        <w:t>stress</w:t>
      </w:r>
      <w:r>
        <w:rPr>
          <w:spacing w:val="-3"/>
        </w:rPr>
        <w:t> </w:t>
      </w:r>
      <w:r>
        <w:rPr/>
        <w:t>(lowering</w:t>
      </w:r>
      <w:r>
        <w:rPr>
          <w:spacing w:val="-7"/>
        </w:rPr>
        <w:t> </w:t>
      </w:r>
      <w:r>
        <w:rPr/>
        <w:t>of</w:t>
      </w:r>
      <w:r>
        <w:rPr>
          <w:spacing w:val="-8"/>
        </w:rPr>
        <w:t> </w:t>
      </w:r>
      <w:r>
        <w:rPr/>
        <w:t>lipid</w:t>
      </w:r>
      <w:r>
        <w:rPr>
          <w:spacing w:val="-8"/>
        </w:rPr>
        <w:t> </w:t>
      </w:r>
      <w:r>
        <w:rPr/>
        <w:t>peroxides)</w:t>
      </w:r>
      <w:r>
        <w:rPr>
          <w:spacing w:val="-8"/>
        </w:rPr>
        <w:t> </w:t>
      </w:r>
      <w:r>
        <w:rPr/>
        <w:t>in</w:t>
      </w:r>
      <w:r>
        <w:rPr>
          <w:spacing w:val="-7"/>
        </w:rPr>
        <w:t> </w:t>
      </w:r>
      <w:r>
        <w:rPr/>
        <w:t>the</w:t>
      </w:r>
      <w:r>
        <w:rPr>
          <w:spacing w:val="-7"/>
        </w:rPr>
        <w:t> </w:t>
      </w:r>
      <w:r>
        <w:rPr/>
        <w:t>blood</w:t>
      </w:r>
      <w:r>
        <w:rPr>
          <w:spacing w:val="-8"/>
        </w:rPr>
        <w:t> </w:t>
      </w:r>
      <w:r>
        <w:rPr/>
        <w:t>was</w:t>
      </w:r>
      <w:r>
        <w:rPr>
          <w:spacing w:val="-7"/>
        </w:rPr>
        <w:t> </w:t>
      </w:r>
      <w:r>
        <w:rPr/>
        <w:t>reduced by 56 %; the 10 % sugar content of the juice did not have a negative effect on the blood sugar</w:t>
      </w:r>
      <w:r>
        <w:rPr>
          <w:spacing w:val="2"/>
        </w:rPr>
        <w:t> </w:t>
      </w:r>
      <w:r>
        <w:rPr/>
        <w:t>level.</w:t>
      </w:r>
      <w:r>
        <w:rPr>
          <w:position w:val="9"/>
          <w:sz w:val="25"/>
        </w:rPr>
        <w:t>353</w:t>
      </w:r>
    </w:p>
    <w:p>
      <w:pPr>
        <w:pStyle w:val="BodyText"/>
        <w:rPr>
          <w:sz w:val="20"/>
        </w:rPr>
      </w:pPr>
    </w:p>
    <w:p>
      <w:pPr>
        <w:pStyle w:val="BodyText"/>
        <w:rPr>
          <w:sz w:val="20"/>
        </w:rPr>
      </w:pPr>
    </w:p>
    <w:p>
      <w:pPr>
        <w:pStyle w:val="BodyText"/>
        <w:rPr>
          <w:sz w:val="20"/>
        </w:rPr>
      </w:pPr>
    </w:p>
    <w:p>
      <w:pPr>
        <w:pStyle w:val="BodyText"/>
        <w:spacing w:before="3"/>
        <w:rPr>
          <w:sz w:val="25"/>
        </w:rPr>
      </w:pPr>
      <w:r>
        <w:rPr/>
        <w:pict>
          <v:line style="position:absolute;mso-position-horizontal-relative:page;mso-position-vertical-relative:paragraph;z-index:4160;mso-wrap-distance-left:0;mso-wrap-distance-right:0" from="63.863998pt,16.608734pt" to="207.883998pt,16.608734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352 </w:t>
      </w:r>
      <w:r>
        <w:rPr>
          <w:sz w:val="20"/>
        </w:rPr>
        <w:t>Dr. Alexander R. Bind: Der Granatapfel – Wunder des ewigen Lebens (‘The Pomegranate – Miracle of Eternal Life’), 2011, p. 34</w:t>
      </w:r>
    </w:p>
    <w:p>
      <w:pPr>
        <w:spacing w:before="94"/>
        <w:ind w:left="477" w:right="0" w:firstLine="0"/>
        <w:jc w:val="left"/>
        <w:rPr>
          <w:sz w:val="20"/>
        </w:rPr>
      </w:pPr>
      <w:r>
        <w:rPr>
          <w:position w:val="5"/>
          <w:sz w:val="13"/>
        </w:rPr>
        <w:t>353 </w:t>
      </w:r>
      <w:r>
        <w:rPr>
          <w:sz w:val="20"/>
        </w:rPr>
        <w:t>phytodoc.de/heilpflanze/granatapfel/wirkung</w:t>
      </w:r>
    </w:p>
    <w:p>
      <w:pPr>
        <w:spacing w:after="0"/>
        <w:jc w:val="left"/>
        <w:rPr>
          <w:sz w:val="20"/>
        </w:rPr>
        <w:sectPr>
          <w:footerReference w:type="default" r:id="rId135"/>
          <w:pgSz w:w="14270" w:h="16850"/>
          <w:pgMar w:footer="1891" w:header="0" w:top="1600" w:bottom="2080" w:left="800" w:right="1280"/>
          <w:pgNumType w:start="530"/>
        </w:sectPr>
      </w:pPr>
    </w:p>
    <w:p>
      <w:pPr>
        <w:pStyle w:val="Heading1"/>
        <w:spacing w:before="164"/>
      </w:pPr>
      <w:r>
        <w:rPr/>
        <w:t>Effect against atherosclerosis and high cholesterol in diabetics</w:t>
      </w:r>
    </w:p>
    <w:p>
      <w:pPr>
        <w:pStyle w:val="BodyText"/>
        <w:spacing w:line="276" w:lineRule="auto" w:before="299"/>
        <w:ind w:left="477" w:right="130"/>
        <w:jc w:val="both"/>
        <w:rPr>
          <w:sz w:val="25"/>
        </w:rPr>
      </w:pPr>
      <w:r>
        <w:rPr/>
        <w:t>In several studies, scientists demonstrated an anti-atherogenic and cholesterol- lowering effect in diabetics, without any negative influence on the blood sugar level.</w:t>
      </w:r>
      <w:r>
        <w:rPr>
          <w:position w:val="9"/>
          <w:sz w:val="25"/>
        </w:rPr>
        <w:t>354</w:t>
      </w:r>
    </w:p>
    <w:p>
      <w:pPr>
        <w:pStyle w:val="Heading1"/>
      </w:pPr>
      <w:r>
        <w:rPr/>
        <w:t>Studies on the protective effect of pomegranate against Alzheimer’s</w:t>
      </w:r>
    </w:p>
    <w:p>
      <w:pPr>
        <w:pStyle w:val="BodyText"/>
        <w:spacing w:line="276" w:lineRule="auto" w:before="298"/>
        <w:ind w:left="477" w:right="133"/>
        <w:jc w:val="both"/>
      </w:pPr>
      <w:r>
        <w:rPr/>
        <w:t>In</w:t>
      </w:r>
      <w:r>
        <w:rPr>
          <w:spacing w:val="-12"/>
        </w:rPr>
        <w:t> </w:t>
      </w:r>
      <w:r>
        <w:rPr/>
        <w:t>2006,</w:t>
      </w:r>
      <w:r>
        <w:rPr>
          <w:spacing w:val="-12"/>
        </w:rPr>
        <w:t> </w:t>
      </w:r>
      <w:r>
        <w:rPr/>
        <w:t>the</w:t>
      </w:r>
      <w:r>
        <w:rPr>
          <w:spacing w:val="-12"/>
        </w:rPr>
        <w:t> </w:t>
      </w:r>
      <w:r>
        <w:rPr/>
        <w:t>scientists</w:t>
      </w:r>
      <w:r>
        <w:rPr>
          <w:spacing w:val="-12"/>
        </w:rPr>
        <w:t> </w:t>
      </w:r>
      <w:r>
        <w:rPr/>
        <w:t>Hartman</w:t>
      </w:r>
      <w:r>
        <w:rPr>
          <w:spacing w:val="-11"/>
        </w:rPr>
        <w:t> </w:t>
      </w:r>
      <w:r>
        <w:rPr/>
        <w:t>and</w:t>
      </w:r>
      <w:r>
        <w:rPr>
          <w:spacing w:val="-12"/>
        </w:rPr>
        <w:t> </w:t>
      </w:r>
      <w:r>
        <w:rPr/>
        <w:t>colleagues</w:t>
      </w:r>
      <w:r>
        <w:rPr>
          <w:spacing w:val="-11"/>
        </w:rPr>
        <w:t> </w:t>
      </w:r>
      <w:r>
        <w:rPr/>
        <w:t>succeeded</w:t>
      </w:r>
      <w:r>
        <w:rPr>
          <w:spacing w:val="-13"/>
        </w:rPr>
        <w:t> </w:t>
      </w:r>
      <w:r>
        <w:rPr/>
        <w:t>in</w:t>
      </w:r>
      <w:r>
        <w:rPr>
          <w:spacing w:val="-12"/>
        </w:rPr>
        <w:t> </w:t>
      </w:r>
      <w:r>
        <w:rPr/>
        <w:t>proving</w:t>
      </w:r>
      <w:r>
        <w:rPr>
          <w:spacing w:val="-12"/>
        </w:rPr>
        <w:t> </w:t>
      </w:r>
      <w:r>
        <w:rPr/>
        <w:t>the</w:t>
      </w:r>
      <w:r>
        <w:rPr>
          <w:spacing w:val="-11"/>
        </w:rPr>
        <w:t> </w:t>
      </w:r>
      <w:r>
        <w:rPr/>
        <w:t>neuro- protective effect of pomegranate juice by reducing the deposition of beta-amy- loid</w:t>
      </w:r>
      <w:r>
        <w:rPr>
          <w:spacing w:val="-9"/>
        </w:rPr>
        <w:t> </w:t>
      </w:r>
      <w:r>
        <w:rPr/>
        <w:t>by</w:t>
      </w:r>
      <w:r>
        <w:rPr>
          <w:spacing w:val="-9"/>
        </w:rPr>
        <w:t> </w:t>
      </w:r>
      <w:r>
        <w:rPr/>
        <w:t>50</w:t>
      </w:r>
      <w:r>
        <w:rPr>
          <w:spacing w:val="-9"/>
        </w:rPr>
        <w:t> </w:t>
      </w:r>
      <w:r>
        <w:rPr/>
        <w:t>%</w:t>
      </w:r>
      <w:r>
        <w:rPr>
          <w:spacing w:val="-12"/>
        </w:rPr>
        <w:t> </w:t>
      </w:r>
      <w:r>
        <w:rPr/>
        <w:t>and</w:t>
      </w:r>
      <w:r>
        <w:rPr>
          <w:spacing w:val="-10"/>
        </w:rPr>
        <w:t> </w:t>
      </w:r>
      <w:r>
        <w:rPr/>
        <w:t>thus</w:t>
      </w:r>
      <w:r>
        <w:rPr>
          <w:spacing w:val="-8"/>
        </w:rPr>
        <w:t> </w:t>
      </w:r>
      <w:r>
        <w:rPr/>
        <w:t>also</w:t>
      </w:r>
      <w:r>
        <w:rPr>
          <w:spacing w:val="-11"/>
        </w:rPr>
        <w:t> </w:t>
      </w:r>
      <w:r>
        <w:rPr/>
        <w:t>significantly</w:t>
      </w:r>
      <w:r>
        <w:rPr>
          <w:spacing w:val="-9"/>
        </w:rPr>
        <w:t> </w:t>
      </w:r>
      <w:r>
        <w:rPr/>
        <w:t>reducing</w:t>
      </w:r>
      <w:r>
        <w:rPr>
          <w:spacing w:val="-9"/>
        </w:rPr>
        <w:t> </w:t>
      </w:r>
      <w:r>
        <w:rPr/>
        <w:t>the</w:t>
      </w:r>
      <w:r>
        <w:rPr>
          <w:spacing w:val="-8"/>
        </w:rPr>
        <w:t> </w:t>
      </w:r>
      <w:r>
        <w:rPr/>
        <w:t>risk</w:t>
      </w:r>
      <w:r>
        <w:rPr>
          <w:spacing w:val="-11"/>
        </w:rPr>
        <w:t> </w:t>
      </w:r>
      <w:r>
        <w:rPr/>
        <w:t>of</w:t>
      </w:r>
      <w:r>
        <w:rPr>
          <w:spacing w:val="-9"/>
        </w:rPr>
        <w:t> </w:t>
      </w:r>
      <w:r>
        <w:rPr/>
        <w:t>succumbing</w:t>
      </w:r>
      <w:r>
        <w:rPr>
          <w:spacing w:val="-9"/>
        </w:rPr>
        <w:t> </w:t>
      </w:r>
      <w:r>
        <w:rPr/>
        <w:t>to</w:t>
      </w:r>
      <w:r>
        <w:rPr>
          <w:spacing w:val="-10"/>
        </w:rPr>
        <w:t> </w:t>
      </w:r>
      <w:r>
        <w:rPr/>
        <w:t>Alz- heimer's.</w:t>
      </w:r>
    </w:p>
    <w:p>
      <w:pPr>
        <w:pStyle w:val="Heading1"/>
      </w:pPr>
      <w:r>
        <w:rPr/>
        <w:t>Antimicrobial effect in studies</w:t>
      </w:r>
    </w:p>
    <w:p>
      <w:pPr>
        <w:pStyle w:val="BodyText"/>
        <w:spacing w:line="276" w:lineRule="auto" w:before="299"/>
        <w:ind w:left="477" w:right="72"/>
      </w:pPr>
      <w:r>
        <w:rPr/>
        <w:t>In a study on 60 volunteers, an 84 % reduction of bacteria in dental plaque was achieved with an alcoholic dry extract of pomegranate.</w:t>
      </w:r>
    </w:p>
    <w:p>
      <w:pPr>
        <w:pStyle w:val="Heading1"/>
        <w:spacing w:before="222"/>
      </w:pPr>
      <w:r>
        <w:rPr/>
        <w:t>Studies on the anti-inflammatory effect of pomegranate</w:t>
      </w:r>
    </w:p>
    <w:p>
      <w:pPr>
        <w:pStyle w:val="BodyText"/>
        <w:spacing w:line="276" w:lineRule="auto" w:before="299"/>
        <w:ind w:left="477"/>
        <w:rPr>
          <w:sz w:val="25"/>
        </w:rPr>
      </w:pPr>
      <w:r>
        <w:rPr/>
        <w:t>Pomegranate juice has shown in studies that it can reduce inflammation by in- hibiting metalloproteases, NFkappaB, TNF-alpha, and COX-2.</w:t>
      </w:r>
      <w:r>
        <w:rPr>
          <w:position w:val="9"/>
          <w:sz w:val="25"/>
        </w:rPr>
        <w:t>355</w:t>
      </w:r>
    </w:p>
    <w:p>
      <w:pPr>
        <w:pStyle w:val="Heading1"/>
        <w:spacing w:before="223"/>
        <w:jc w:val="both"/>
      </w:pPr>
      <w:r>
        <w:rPr/>
        <w:t>Studies on the effect on arthritis</w:t>
      </w:r>
    </w:p>
    <w:p>
      <w:pPr>
        <w:pStyle w:val="BodyText"/>
        <w:spacing w:before="300"/>
        <w:ind w:left="477"/>
        <w:jc w:val="both"/>
      </w:pPr>
      <w:r>
        <w:rPr/>
        <w:t>In studies, an inhibition of metalloproteases, NFkappaB, TNF-alpha and COX-</w:t>
      </w:r>
    </w:p>
    <w:p>
      <w:pPr>
        <w:pStyle w:val="BodyText"/>
        <w:rPr>
          <w:sz w:val="20"/>
        </w:rPr>
      </w:pPr>
    </w:p>
    <w:p>
      <w:pPr>
        <w:pStyle w:val="BodyText"/>
        <w:spacing w:before="1"/>
        <w:rPr>
          <w:sz w:val="21"/>
        </w:rPr>
      </w:pPr>
      <w:r>
        <w:rPr/>
        <w:pict>
          <v:line style="position:absolute;mso-position-horizontal-relative:page;mso-position-vertical-relative:paragraph;z-index:4184;mso-wrap-distance-left:0;mso-wrap-distance-right:0" from="63.863998pt,14.261265pt" to="207.883998pt,14.261265pt" stroked="true" strokeweight=".71997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354 </w:t>
      </w:r>
      <w:r>
        <w:rPr>
          <w:sz w:val="20"/>
        </w:rPr>
        <w:t>Rosenblat et al., 2004; Rozenberg et al., 2006; Esmaillzadeh et al., 2006</w:t>
      </w:r>
    </w:p>
    <w:p>
      <w:pPr>
        <w:spacing w:before="94"/>
        <w:ind w:left="477" w:right="0" w:firstLine="0"/>
        <w:jc w:val="left"/>
        <w:rPr>
          <w:sz w:val="20"/>
        </w:rPr>
      </w:pPr>
      <w:r>
        <w:rPr>
          <w:position w:val="5"/>
          <w:sz w:val="13"/>
        </w:rPr>
        <w:t>355 </w:t>
      </w:r>
      <w:r>
        <w:rPr>
          <w:sz w:val="20"/>
        </w:rPr>
        <w:t>Sved et al., 2006; Khan et al., 2007, Huang et al., 2005; Ahmed et al., 2005; Afaq et al., 2005; Schubert et al., 1999 and 2002</w:t>
      </w:r>
    </w:p>
    <w:p>
      <w:pPr>
        <w:spacing w:after="0"/>
        <w:jc w:val="left"/>
        <w:rPr>
          <w:sz w:val="20"/>
        </w:rPr>
        <w:sectPr>
          <w:pgSz w:w="14270" w:h="16850"/>
          <w:pgMar w:header="0" w:footer="1891" w:top="1600" w:bottom="2080" w:left="800" w:right="1280"/>
        </w:sectPr>
      </w:pPr>
    </w:p>
    <w:p>
      <w:pPr>
        <w:pStyle w:val="BodyText"/>
        <w:spacing w:line="276" w:lineRule="auto" w:before="181"/>
        <w:ind w:left="477"/>
        <w:rPr>
          <w:sz w:val="25"/>
        </w:rPr>
      </w:pPr>
      <w:r>
        <w:rPr/>
        <w:t>2 and thus inhibition of arthritis-specific arthritis was found in arthritic pa- tients.</w:t>
      </w:r>
      <w:r>
        <w:rPr>
          <w:position w:val="9"/>
          <w:sz w:val="25"/>
        </w:rPr>
        <w:t>356</w:t>
      </w:r>
    </w:p>
    <w:p>
      <w:pPr>
        <w:pStyle w:val="BodyText"/>
        <w:spacing w:line="276" w:lineRule="auto" w:before="241"/>
        <w:ind w:left="477"/>
        <w:rPr>
          <w:sz w:val="25"/>
        </w:rPr>
      </w:pPr>
      <w:r>
        <w:rPr/>
        <w:t>Another study analysed the activity of inflammatory enzymes in animal experi- ments. The first value fell by 7 %, the second by as much as 26 %!</w:t>
      </w:r>
      <w:r>
        <w:rPr>
          <w:position w:val="9"/>
          <w:sz w:val="25"/>
        </w:rPr>
        <w:t>357</w:t>
      </w:r>
    </w:p>
    <w:p>
      <w:pPr>
        <w:pStyle w:val="Heading1"/>
      </w:pPr>
      <w:r>
        <w:rPr/>
        <w:t>Pomegranate juice can prevent HIV</w:t>
      </w:r>
      <w:r>
        <w:rPr>
          <w:spacing w:val="-63"/>
        </w:rPr>
        <w:t> </w:t>
      </w:r>
      <w:r>
        <w:rPr/>
        <w:t>infection</w:t>
      </w:r>
    </w:p>
    <w:p>
      <w:pPr>
        <w:pStyle w:val="BodyText"/>
        <w:spacing w:line="276" w:lineRule="auto" w:before="297"/>
        <w:ind w:left="477" w:right="135"/>
        <w:jc w:val="both"/>
        <w:rPr>
          <w:sz w:val="25"/>
        </w:rPr>
      </w:pPr>
      <w:r>
        <w:rPr/>
        <w:t>The US research team led by Prof. Neurath was able to detect substances in pomegranate juice which can prevent the penetration of HIV into the cell and thus the infection.</w:t>
      </w:r>
      <w:r>
        <w:rPr>
          <w:position w:val="9"/>
          <w:sz w:val="25"/>
        </w:rPr>
        <w:t>358</w:t>
      </w:r>
    </w:p>
    <w:p>
      <w:pPr>
        <w:pStyle w:val="Heading1"/>
      </w:pPr>
      <w:r>
        <w:rPr/>
        <w:t>In studies, pomegranate helps combat</w:t>
      </w:r>
      <w:r>
        <w:rPr>
          <w:spacing w:val="-73"/>
        </w:rPr>
        <w:t> </w:t>
      </w:r>
      <w:r>
        <w:rPr/>
        <w:t>impotence</w:t>
      </w:r>
    </w:p>
    <w:p>
      <w:pPr>
        <w:pStyle w:val="BodyText"/>
        <w:spacing w:line="276" w:lineRule="auto" w:before="299"/>
        <w:ind w:left="477"/>
        <w:rPr>
          <w:sz w:val="25"/>
        </w:rPr>
      </w:pPr>
      <w:r>
        <w:rPr/>
        <w:t>In studies, the polyphenols contained in the pomegranate were able to bring about an improvement in the condition of 47 % of all subjects.</w:t>
      </w:r>
      <w:r>
        <w:rPr>
          <w:position w:val="9"/>
          <w:sz w:val="25"/>
        </w:rPr>
        <w:t>359</w:t>
      </w:r>
    </w:p>
    <w:p>
      <w:pPr>
        <w:pStyle w:val="Heading1"/>
        <w:spacing w:before="222"/>
      </w:pPr>
      <w:r>
        <w:rPr/>
        <w:t>Pay attention when buying pomegranate</w:t>
      </w:r>
      <w:r>
        <w:rPr>
          <w:spacing w:val="-64"/>
        </w:rPr>
        <w:t> </w:t>
      </w:r>
      <w:r>
        <w:rPr/>
        <w:t>juice!</w:t>
      </w:r>
    </w:p>
    <w:p>
      <w:pPr>
        <w:pStyle w:val="BodyText"/>
        <w:spacing w:line="276" w:lineRule="auto" w:before="299"/>
        <w:ind w:left="477"/>
      </w:pPr>
      <w:r>
        <w:rPr/>
        <w:t>As with all things in everyday life, it is important to take a closer look at food and make purchasing decisions according to rational criteria.</w:t>
      </w:r>
    </w:p>
    <w:p>
      <w:pPr>
        <w:pStyle w:val="BodyText"/>
        <w:spacing w:line="276" w:lineRule="auto" w:before="241"/>
        <w:ind w:left="477" w:right="124"/>
      </w:pPr>
      <w:r>
        <w:rPr/>
        <w:t>Before you reach for the desired products, it is recommended to check the fol- lowing criteria:</w:t>
      </w:r>
    </w:p>
    <w:p>
      <w:pPr>
        <w:pStyle w:val="ListParagraph"/>
        <w:numPr>
          <w:ilvl w:val="0"/>
          <w:numId w:val="34"/>
        </w:numPr>
        <w:tabs>
          <w:tab w:pos="1197" w:val="left" w:leader="none"/>
          <w:tab w:pos="1198" w:val="left" w:leader="none"/>
        </w:tabs>
        <w:spacing w:line="273" w:lineRule="auto" w:before="243" w:after="0"/>
        <w:ind w:left="1197" w:right="136" w:hanging="360"/>
        <w:jc w:val="left"/>
        <w:rPr>
          <w:sz w:val="38"/>
        </w:rPr>
      </w:pPr>
      <w:r>
        <w:rPr>
          <w:sz w:val="38"/>
        </w:rPr>
        <w:t>Controlled</w:t>
      </w:r>
      <w:r>
        <w:rPr>
          <w:spacing w:val="-18"/>
          <w:sz w:val="38"/>
        </w:rPr>
        <w:t> </w:t>
      </w:r>
      <w:r>
        <w:rPr>
          <w:sz w:val="38"/>
        </w:rPr>
        <w:t>organic</w:t>
      </w:r>
      <w:r>
        <w:rPr>
          <w:spacing w:val="-17"/>
          <w:sz w:val="38"/>
        </w:rPr>
        <w:t> </w:t>
      </w:r>
      <w:r>
        <w:rPr>
          <w:sz w:val="38"/>
        </w:rPr>
        <w:t>farming:</w:t>
      </w:r>
      <w:r>
        <w:rPr>
          <w:spacing w:val="-16"/>
          <w:sz w:val="38"/>
        </w:rPr>
        <w:t> </w:t>
      </w:r>
      <w:r>
        <w:rPr>
          <w:sz w:val="38"/>
        </w:rPr>
        <w:t>The</w:t>
      </w:r>
      <w:r>
        <w:rPr>
          <w:spacing w:val="-16"/>
          <w:sz w:val="38"/>
        </w:rPr>
        <w:t> </w:t>
      </w:r>
      <w:r>
        <w:rPr>
          <w:sz w:val="38"/>
        </w:rPr>
        <w:t>quality</w:t>
      </w:r>
      <w:r>
        <w:rPr>
          <w:spacing w:val="-16"/>
          <w:sz w:val="38"/>
        </w:rPr>
        <w:t> </w:t>
      </w:r>
      <w:r>
        <w:rPr>
          <w:sz w:val="38"/>
        </w:rPr>
        <w:t>of</w:t>
      </w:r>
      <w:r>
        <w:rPr>
          <w:spacing w:val="-17"/>
          <w:sz w:val="38"/>
        </w:rPr>
        <w:t> </w:t>
      </w:r>
      <w:r>
        <w:rPr>
          <w:sz w:val="38"/>
        </w:rPr>
        <w:t>the</w:t>
      </w:r>
      <w:r>
        <w:rPr>
          <w:spacing w:val="-15"/>
          <w:sz w:val="38"/>
        </w:rPr>
        <w:t> </w:t>
      </w:r>
      <w:r>
        <w:rPr>
          <w:sz w:val="38"/>
        </w:rPr>
        <w:t>pomegranate,</w:t>
      </w:r>
      <w:r>
        <w:rPr>
          <w:spacing w:val="-16"/>
          <w:sz w:val="38"/>
        </w:rPr>
        <w:t> </w:t>
      </w:r>
      <w:r>
        <w:rPr>
          <w:sz w:val="38"/>
        </w:rPr>
        <w:t>and</w:t>
      </w:r>
      <w:r>
        <w:rPr>
          <w:spacing w:val="-16"/>
          <w:sz w:val="38"/>
        </w:rPr>
        <w:t> </w:t>
      </w:r>
      <w:r>
        <w:rPr>
          <w:sz w:val="38"/>
        </w:rPr>
        <w:t>therefore the</w:t>
      </w:r>
      <w:r>
        <w:rPr>
          <w:spacing w:val="-18"/>
          <w:sz w:val="38"/>
        </w:rPr>
        <w:t> </w:t>
      </w:r>
      <w:r>
        <w:rPr>
          <w:sz w:val="38"/>
        </w:rPr>
        <w:t>effectiveness</w:t>
      </w:r>
      <w:r>
        <w:rPr>
          <w:spacing w:val="-19"/>
          <w:sz w:val="38"/>
        </w:rPr>
        <w:t> </w:t>
      </w:r>
      <w:r>
        <w:rPr>
          <w:sz w:val="38"/>
        </w:rPr>
        <w:t>of</w:t>
      </w:r>
      <w:r>
        <w:rPr>
          <w:spacing w:val="-18"/>
          <w:sz w:val="38"/>
        </w:rPr>
        <w:t> </w:t>
      </w:r>
      <w:r>
        <w:rPr>
          <w:sz w:val="38"/>
        </w:rPr>
        <w:t>its</w:t>
      </w:r>
      <w:r>
        <w:rPr>
          <w:spacing w:val="-21"/>
          <w:sz w:val="38"/>
        </w:rPr>
        <w:t> </w:t>
      </w:r>
      <w:r>
        <w:rPr>
          <w:sz w:val="38"/>
        </w:rPr>
        <w:t>ingredients</w:t>
      </w:r>
      <w:r>
        <w:rPr>
          <w:spacing w:val="-18"/>
          <w:sz w:val="38"/>
        </w:rPr>
        <w:t> </w:t>
      </w:r>
      <w:r>
        <w:rPr>
          <w:sz w:val="38"/>
        </w:rPr>
        <w:t>depends</w:t>
      </w:r>
      <w:r>
        <w:rPr>
          <w:spacing w:val="-20"/>
          <w:sz w:val="38"/>
        </w:rPr>
        <w:t> </w:t>
      </w:r>
      <w:r>
        <w:rPr>
          <w:sz w:val="38"/>
        </w:rPr>
        <w:t>on</w:t>
      </w:r>
      <w:r>
        <w:rPr>
          <w:spacing w:val="-19"/>
          <w:sz w:val="38"/>
        </w:rPr>
        <w:t> </w:t>
      </w:r>
      <w:r>
        <w:rPr>
          <w:sz w:val="38"/>
        </w:rPr>
        <w:t>the</w:t>
      </w:r>
      <w:r>
        <w:rPr>
          <w:spacing w:val="-20"/>
          <w:sz w:val="38"/>
        </w:rPr>
        <w:t> </w:t>
      </w:r>
      <w:r>
        <w:rPr>
          <w:sz w:val="38"/>
        </w:rPr>
        <w:t>soil</w:t>
      </w:r>
      <w:r>
        <w:rPr>
          <w:spacing w:val="-20"/>
          <w:sz w:val="38"/>
        </w:rPr>
        <w:t> </w:t>
      </w:r>
      <w:r>
        <w:rPr>
          <w:sz w:val="38"/>
        </w:rPr>
        <w:t>conditions,</w:t>
      </w:r>
      <w:r>
        <w:rPr>
          <w:spacing w:val="-19"/>
          <w:sz w:val="38"/>
        </w:rPr>
        <w:t> </w:t>
      </w:r>
      <w:r>
        <w:rPr>
          <w:sz w:val="38"/>
        </w:rPr>
        <w:t>freedom</w:t>
      </w:r>
    </w:p>
    <w:p>
      <w:pPr>
        <w:pStyle w:val="BodyText"/>
        <w:spacing w:before="5"/>
        <w:rPr>
          <w:sz w:val="16"/>
        </w:rPr>
      </w:pPr>
      <w:r>
        <w:rPr/>
        <w:pict>
          <v:line style="position:absolute;mso-position-horizontal-relative:page;mso-position-vertical-relative:paragraph;z-index:4208;mso-wrap-distance-left:0;mso-wrap-distance-right:0" from="63.863998pt,11.608755pt" to="207.883998pt,11.608755pt" stroked="true" strokeweight=".71997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356 </w:t>
      </w:r>
      <w:r>
        <w:rPr>
          <w:sz w:val="20"/>
        </w:rPr>
        <w:t>Sved et al., 2006; Khan et al., 2007, Huang et al., 2005; Ahmed et al., 2005; Afaq et al., 2005; Schubert et al., 1999 and 2002</w:t>
      </w:r>
    </w:p>
    <w:p>
      <w:pPr>
        <w:spacing w:line="340" w:lineRule="auto" w:before="94"/>
        <w:ind w:left="477" w:right="1491" w:firstLine="0"/>
        <w:jc w:val="both"/>
        <w:rPr>
          <w:sz w:val="20"/>
        </w:rPr>
      </w:pPr>
      <w:r>
        <w:rPr/>
        <w:drawing>
          <wp:anchor distT="0" distB="0" distL="0" distR="0" allowOverlap="1" layoutInCell="1" locked="0" behindDoc="1" simplePos="0" relativeHeight="267172007">
            <wp:simplePos x="0" y="0"/>
            <wp:positionH relativeFrom="page">
              <wp:posOffset>896463</wp:posOffset>
            </wp:positionH>
            <wp:positionV relativeFrom="paragraph">
              <wp:posOffset>344654</wp:posOffset>
            </wp:positionV>
            <wp:extent cx="6379583" cy="902106"/>
            <wp:effectExtent l="0" t="0" r="0" b="0"/>
            <wp:wrapNone/>
            <wp:docPr id="209" name="image2.jpeg" descr=""/>
            <wp:cNvGraphicFramePr>
              <a:graphicFrameLocks noChangeAspect="1"/>
            </wp:cNvGraphicFramePr>
            <a:graphic>
              <a:graphicData uri="http://schemas.openxmlformats.org/drawingml/2006/picture">
                <pic:pic>
                  <pic:nvPicPr>
                    <pic:cNvPr id="210"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357 </w:t>
      </w:r>
      <w:r>
        <w:rPr>
          <w:sz w:val="20"/>
        </w:rPr>
        <w:t>Dr. Alexander R. Bind: Der Granatapfel – Wunder des ewigen Lebens (‘The Pomegranate – Miracle of Eternal Life’), 2011, p. 37 </w:t>
      </w:r>
      <w:r>
        <w:rPr>
          <w:position w:val="5"/>
          <w:sz w:val="13"/>
        </w:rPr>
        <w:t>358 </w:t>
      </w:r>
      <w:r>
        <w:rPr>
          <w:sz w:val="20"/>
        </w:rPr>
        <w:t>Dr. Alexander R. Bind: Der Granatapfel – Wunder des ewigen Lebens (‘The Pomegranate – Miracle of Eternal Life’), 2011, p. 40 </w:t>
      </w:r>
      <w:r>
        <w:rPr>
          <w:position w:val="5"/>
          <w:sz w:val="13"/>
        </w:rPr>
        <w:t>359 </w:t>
      </w:r>
      <w:r>
        <w:rPr>
          <w:sz w:val="20"/>
        </w:rPr>
        <w:t>Dr. Alexander R. Bind: Der Granatapfel – Wunder des ewigen Lebens (‘The Pomegranate – Miracle of Eternal Life’), 2011, p. 35</w:t>
      </w:r>
    </w:p>
    <w:p>
      <w:pPr>
        <w:spacing w:after="0" w:line="340" w:lineRule="auto"/>
        <w:jc w:val="both"/>
        <w:rPr>
          <w:sz w:val="20"/>
        </w:rPr>
        <w:sectPr>
          <w:footerReference w:type="default" r:id="rId136"/>
          <w:pgSz w:w="14270" w:h="16850"/>
          <w:pgMar w:footer="527" w:header="0" w:top="1600" w:bottom="720" w:left="800" w:right="1280"/>
          <w:pgNumType w:start="532"/>
        </w:sectPr>
      </w:pPr>
    </w:p>
    <w:p>
      <w:pPr>
        <w:pStyle w:val="BodyText"/>
        <w:spacing w:line="276" w:lineRule="auto" w:before="181"/>
        <w:ind w:left="1197" w:right="133"/>
        <w:jc w:val="both"/>
      </w:pPr>
      <w:r>
        <w:rPr/>
        <w:t>from plant protection products and fertilisers, artificial growth</w:t>
      </w:r>
      <w:r>
        <w:rPr>
          <w:spacing w:val="-53"/>
        </w:rPr>
        <w:t> </w:t>
      </w:r>
      <w:r>
        <w:rPr/>
        <w:t>promoters, food irradiation and genetic engineering. Pomegranates from certified or- ganic farming (‘Bio-Siegel’ in Germany, ‘Organic’ abroad) provide the as- surance for this.</w:t>
      </w:r>
    </w:p>
    <w:p>
      <w:pPr>
        <w:pStyle w:val="ListParagraph"/>
        <w:numPr>
          <w:ilvl w:val="0"/>
          <w:numId w:val="34"/>
        </w:numPr>
        <w:tabs>
          <w:tab w:pos="1198" w:val="left" w:leader="none"/>
        </w:tabs>
        <w:spacing w:line="273" w:lineRule="auto" w:before="243" w:after="0"/>
        <w:ind w:left="1197" w:right="143" w:hanging="360"/>
        <w:jc w:val="both"/>
        <w:rPr>
          <w:sz w:val="38"/>
        </w:rPr>
      </w:pPr>
      <w:r>
        <w:rPr>
          <w:sz w:val="38"/>
        </w:rPr>
        <w:t>Production process: A traditional, naturopathic production process pre- serves the maximum nutritional value of the</w:t>
      </w:r>
      <w:r>
        <w:rPr>
          <w:spacing w:val="-2"/>
          <w:sz w:val="38"/>
        </w:rPr>
        <w:t> </w:t>
      </w:r>
      <w:r>
        <w:rPr>
          <w:sz w:val="38"/>
        </w:rPr>
        <w:t>pomegranate.</w:t>
      </w:r>
    </w:p>
    <w:p>
      <w:pPr>
        <w:pStyle w:val="ListParagraph"/>
        <w:numPr>
          <w:ilvl w:val="0"/>
          <w:numId w:val="34"/>
        </w:numPr>
        <w:tabs>
          <w:tab w:pos="1198" w:val="left" w:leader="none"/>
        </w:tabs>
        <w:spacing w:line="276" w:lineRule="auto" w:before="248" w:after="0"/>
        <w:ind w:left="1197" w:right="134" w:hanging="360"/>
        <w:jc w:val="both"/>
        <w:rPr>
          <w:sz w:val="38"/>
        </w:rPr>
      </w:pPr>
      <w:r>
        <w:rPr>
          <w:sz w:val="38"/>
        </w:rPr>
        <w:t>Note the country of origin: The country of origin can also offer certain reassurances. For example, pomegranates from Iran are often genetically manipulated, while those from the US are more likely to be contaminated with</w:t>
      </w:r>
      <w:r>
        <w:rPr>
          <w:spacing w:val="-11"/>
          <w:sz w:val="38"/>
        </w:rPr>
        <w:t> </w:t>
      </w:r>
      <w:r>
        <w:rPr>
          <w:sz w:val="38"/>
        </w:rPr>
        <w:t>pesticides</w:t>
      </w:r>
      <w:r>
        <w:rPr>
          <w:spacing w:val="-10"/>
          <w:sz w:val="38"/>
        </w:rPr>
        <w:t> </w:t>
      </w:r>
      <w:r>
        <w:rPr>
          <w:sz w:val="38"/>
        </w:rPr>
        <w:t>–</w:t>
      </w:r>
      <w:r>
        <w:rPr>
          <w:spacing w:val="-8"/>
          <w:sz w:val="38"/>
        </w:rPr>
        <w:t> </w:t>
      </w:r>
      <w:r>
        <w:rPr>
          <w:sz w:val="38"/>
        </w:rPr>
        <w:t>whereas</w:t>
      </w:r>
      <w:r>
        <w:rPr>
          <w:spacing w:val="-10"/>
          <w:sz w:val="38"/>
        </w:rPr>
        <w:t> </w:t>
      </w:r>
      <w:r>
        <w:rPr>
          <w:sz w:val="38"/>
        </w:rPr>
        <w:t>pomegranates</w:t>
      </w:r>
      <w:r>
        <w:rPr>
          <w:spacing w:val="-11"/>
          <w:sz w:val="38"/>
        </w:rPr>
        <w:t> </w:t>
      </w:r>
      <w:r>
        <w:rPr>
          <w:sz w:val="38"/>
        </w:rPr>
        <w:t>from</w:t>
      </w:r>
      <w:r>
        <w:rPr>
          <w:spacing w:val="-10"/>
          <w:sz w:val="38"/>
        </w:rPr>
        <w:t> </w:t>
      </w:r>
      <w:r>
        <w:rPr>
          <w:sz w:val="38"/>
        </w:rPr>
        <w:t>India</w:t>
      </w:r>
      <w:r>
        <w:rPr>
          <w:spacing w:val="-13"/>
          <w:sz w:val="38"/>
        </w:rPr>
        <w:t> </w:t>
      </w:r>
      <w:r>
        <w:rPr>
          <w:sz w:val="38"/>
        </w:rPr>
        <w:t>have</w:t>
      </w:r>
      <w:r>
        <w:rPr>
          <w:spacing w:val="-10"/>
          <w:sz w:val="38"/>
        </w:rPr>
        <w:t> </w:t>
      </w:r>
      <w:r>
        <w:rPr>
          <w:sz w:val="38"/>
        </w:rPr>
        <w:t>the</w:t>
      </w:r>
      <w:r>
        <w:rPr>
          <w:spacing w:val="-9"/>
          <w:sz w:val="38"/>
        </w:rPr>
        <w:t> </w:t>
      </w:r>
      <w:r>
        <w:rPr>
          <w:sz w:val="38"/>
        </w:rPr>
        <w:t>reputation</w:t>
      </w:r>
      <w:r>
        <w:rPr>
          <w:spacing w:val="-9"/>
          <w:sz w:val="38"/>
        </w:rPr>
        <w:t> </w:t>
      </w:r>
      <w:r>
        <w:rPr>
          <w:sz w:val="38"/>
        </w:rPr>
        <w:t>of being mostly free of genetic engineering, fertilisers and</w:t>
      </w:r>
      <w:r>
        <w:rPr>
          <w:spacing w:val="-5"/>
          <w:sz w:val="38"/>
        </w:rPr>
        <w:t> </w:t>
      </w:r>
      <w:r>
        <w:rPr>
          <w:sz w:val="38"/>
        </w:rPr>
        <w:t>pesticides.</w:t>
      </w:r>
    </w:p>
    <w:p>
      <w:pPr>
        <w:pStyle w:val="ListParagraph"/>
        <w:numPr>
          <w:ilvl w:val="0"/>
          <w:numId w:val="34"/>
        </w:numPr>
        <w:tabs>
          <w:tab w:pos="1198" w:val="left" w:leader="none"/>
        </w:tabs>
        <w:spacing w:line="273" w:lineRule="auto" w:before="237" w:after="0"/>
        <w:ind w:left="1197" w:right="135" w:hanging="360"/>
        <w:jc w:val="both"/>
        <w:rPr>
          <w:sz w:val="38"/>
        </w:rPr>
      </w:pPr>
      <w:r>
        <w:rPr>
          <w:sz w:val="38"/>
        </w:rPr>
        <w:t>TEAC value: The TEAC value, TEAC standing for ‘Trolox Equivalent Antioxidative</w:t>
      </w:r>
      <w:r>
        <w:rPr>
          <w:spacing w:val="-17"/>
          <w:sz w:val="38"/>
        </w:rPr>
        <w:t> </w:t>
      </w:r>
      <w:r>
        <w:rPr>
          <w:sz w:val="38"/>
        </w:rPr>
        <w:t>Capacity’,</w:t>
      </w:r>
      <w:r>
        <w:rPr>
          <w:spacing w:val="-16"/>
          <w:sz w:val="38"/>
        </w:rPr>
        <w:t> </w:t>
      </w:r>
      <w:r>
        <w:rPr>
          <w:sz w:val="38"/>
        </w:rPr>
        <w:t>represents</w:t>
      </w:r>
      <w:r>
        <w:rPr>
          <w:spacing w:val="-15"/>
          <w:sz w:val="38"/>
        </w:rPr>
        <w:t> </w:t>
      </w:r>
      <w:r>
        <w:rPr>
          <w:sz w:val="38"/>
        </w:rPr>
        <w:t>the</w:t>
      </w:r>
      <w:r>
        <w:rPr>
          <w:spacing w:val="-19"/>
          <w:sz w:val="38"/>
        </w:rPr>
        <w:t> </w:t>
      </w:r>
      <w:r>
        <w:rPr>
          <w:sz w:val="38"/>
        </w:rPr>
        <w:t>antioxidant</w:t>
      </w:r>
      <w:r>
        <w:rPr>
          <w:spacing w:val="-16"/>
          <w:sz w:val="38"/>
        </w:rPr>
        <w:t> </w:t>
      </w:r>
      <w:r>
        <w:rPr>
          <w:sz w:val="38"/>
        </w:rPr>
        <w:t>capacity</w:t>
      </w:r>
      <w:r>
        <w:rPr>
          <w:spacing w:val="-17"/>
          <w:sz w:val="38"/>
        </w:rPr>
        <w:t> </w:t>
      </w:r>
      <w:r>
        <w:rPr>
          <w:sz w:val="38"/>
        </w:rPr>
        <w:t>of</w:t>
      </w:r>
      <w:r>
        <w:rPr>
          <w:spacing w:val="-16"/>
          <w:sz w:val="38"/>
        </w:rPr>
        <w:t> </w:t>
      </w:r>
      <w:r>
        <w:rPr>
          <w:sz w:val="38"/>
        </w:rPr>
        <w:t>a</w:t>
      </w:r>
      <w:r>
        <w:rPr>
          <w:spacing w:val="-20"/>
          <w:sz w:val="38"/>
        </w:rPr>
        <w:t> </w:t>
      </w:r>
      <w:r>
        <w:rPr>
          <w:sz w:val="38"/>
        </w:rPr>
        <w:t>substance,</w:t>
      </w:r>
    </w:p>
    <w:p>
      <w:pPr>
        <w:pStyle w:val="BodyText"/>
        <w:spacing w:line="276" w:lineRule="auto" w:before="6"/>
        <w:ind w:left="1197" w:right="136"/>
        <w:jc w:val="both"/>
      </w:pPr>
      <w:r>
        <w:rPr/>
        <w:t>i.e. its ability to protect our cells from free radicals. If such a TEAC value is shown on the product, it should be as high as possible. This is a quality criterion that plays an important role, especially with pomegranate prod- ucts – after all, we buy them to protect us from free radicals.</w:t>
      </w:r>
    </w:p>
    <w:p>
      <w:pPr>
        <w:pStyle w:val="ListParagraph"/>
        <w:numPr>
          <w:ilvl w:val="0"/>
          <w:numId w:val="34"/>
        </w:numPr>
        <w:tabs>
          <w:tab w:pos="1198" w:val="left" w:leader="none"/>
        </w:tabs>
        <w:spacing w:line="273" w:lineRule="auto" w:before="243" w:after="0"/>
        <w:ind w:left="1197" w:right="141" w:hanging="360"/>
        <w:jc w:val="both"/>
        <w:rPr>
          <w:sz w:val="38"/>
        </w:rPr>
      </w:pPr>
      <w:r>
        <w:rPr>
          <w:sz w:val="38"/>
        </w:rPr>
        <w:t>Outer texture: It is advisable to opt for pomegranate fruits which are rela- tively heavy for their size, because they are particularly juicy. The shell should have as little external damage as</w:t>
      </w:r>
      <w:r>
        <w:rPr>
          <w:spacing w:val="-2"/>
          <w:sz w:val="38"/>
        </w:rPr>
        <w:t> </w:t>
      </w:r>
      <w:r>
        <w:rPr>
          <w:sz w:val="38"/>
        </w:rPr>
        <w:t>possible.</w:t>
      </w:r>
    </w:p>
    <w:p>
      <w:pPr>
        <w:spacing w:after="0" w:line="273" w:lineRule="auto"/>
        <w:jc w:val="both"/>
        <w:rPr>
          <w:sz w:val="38"/>
        </w:rPr>
        <w:sectPr>
          <w:footerReference w:type="default" r:id="rId137"/>
          <w:pgSz w:w="14270" w:h="16850"/>
          <w:pgMar w:footer="1891" w:header="0" w:top="1600" w:bottom="2080" w:left="800" w:right="1280"/>
          <w:pgNumType w:start="533"/>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4"/>
        </w:rPr>
      </w:pPr>
    </w:p>
    <w:p>
      <w:pPr>
        <w:spacing w:before="101"/>
        <w:ind w:left="477" w:right="0" w:firstLine="0"/>
        <w:jc w:val="left"/>
        <w:rPr>
          <w:rFonts w:ascii="Cambria"/>
          <w:b/>
          <w:sz w:val="28"/>
        </w:rPr>
      </w:pPr>
      <w:r>
        <w:rPr>
          <w:rFonts w:ascii="Cambria"/>
          <w:b/>
          <w:color w:val="365F91"/>
          <w:sz w:val="28"/>
        </w:rPr>
        <w:t>GRAPEFRUIT SEED EXTRACT (GSE)</w:t>
      </w:r>
    </w:p>
    <w:p>
      <w:pPr>
        <w:pStyle w:val="BodyText"/>
        <w:spacing w:before="5"/>
        <w:rPr>
          <w:rFonts w:ascii="Cambria"/>
          <w:b/>
          <w:sz w:val="43"/>
        </w:rPr>
      </w:pPr>
    </w:p>
    <w:p>
      <w:pPr>
        <w:pStyle w:val="Heading1"/>
        <w:spacing w:before="1"/>
      </w:pPr>
      <w:r>
        <w:rPr/>
        <w:t>Things to know in advance</w:t>
      </w:r>
    </w:p>
    <w:p>
      <w:pPr>
        <w:pStyle w:val="BodyText"/>
        <w:spacing w:line="276" w:lineRule="auto" w:before="299"/>
        <w:ind w:left="477" w:right="132"/>
        <w:jc w:val="both"/>
      </w:pPr>
      <w:r>
        <w:rPr/>
        <w:t>Grapefruit seed extract, grapefruit-seed extract, GSE... two different spellings and an abbreviation for a phenomenal natural product that rivals antibiotics, disinfectants and even cosmetics in its protective effect!</w:t>
      </w:r>
    </w:p>
    <w:p>
      <w:pPr>
        <w:pStyle w:val="BodyText"/>
        <w:spacing w:line="276" w:lineRule="auto" w:before="239"/>
        <w:ind w:left="477" w:right="144"/>
        <w:jc w:val="both"/>
      </w:pPr>
      <w:r>
        <w:rPr/>
        <w:t>And as if that were not enough, grapefruit seed extract comes with many other unmissable benefits for our health.</w:t>
      </w:r>
    </w:p>
    <w:p>
      <w:pPr>
        <w:pStyle w:val="BodyText"/>
        <w:spacing w:line="276" w:lineRule="auto" w:before="241"/>
        <w:ind w:left="477" w:right="134"/>
        <w:jc w:val="both"/>
      </w:pPr>
      <w:r>
        <w:rPr/>
        <w:t>The applications seem to be inexhaustible, and researchers around the world agree that GSE is by far the most interesting antiparasitic preservative and</w:t>
      </w:r>
      <w:r>
        <w:rPr>
          <w:spacing w:val="-54"/>
        </w:rPr>
        <w:t> </w:t>
      </w:r>
      <w:r>
        <w:rPr/>
        <w:t>san- itiser of the future.</w:t>
      </w:r>
    </w:p>
    <w:p>
      <w:pPr>
        <w:pStyle w:val="BodyText"/>
        <w:spacing w:before="6"/>
        <w:rPr>
          <w:sz w:val="42"/>
        </w:rPr>
      </w:pPr>
    </w:p>
    <w:p>
      <w:pPr>
        <w:pStyle w:val="Heading2"/>
        <w:spacing w:before="1"/>
      </w:pPr>
      <w:r>
        <w:rPr/>
        <w:t>Grapefruit seed extract – the story of its discovery</w:t>
      </w:r>
    </w:p>
    <w:p>
      <w:pPr>
        <w:pStyle w:val="BodyText"/>
        <w:spacing w:line="276" w:lineRule="auto" w:before="304"/>
        <w:ind w:left="477" w:right="138"/>
        <w:jc w:val="both"/>
      </w:pPr>
      <w:r>
        <w:rPr/>
        <w:t>Like most achievements in world history, grapefruit seed extract and its broad spectrum of applications were discovered by accident; thoroughly researching it should reveal astonishing results.</w:t>
      </w:r>
    </w:p>
    <w:p>
      <w:pPr>
        <w:pStyle w:val="BodyText"/>
        <w:spacing w:line="276" w:lineRule="auto" w:before="242"/>
        <w:ind w:left="477" w:right="139"/>
        <w:jc w:val="both"/>
      </w:pPr>
      <w:r>
        <w:rPr/>
        <w:t>It all started with chance observations of grapefruit seeds, when, in 1980, an amateur gardener made the astounding discovery that grapefruit seeds, unlike</w:t>
      </w:r>
    </w:p>
    <w:p>
      <w:pPr>
        <w:spacing w:after="0" w:line="276" w:lineRule="auto"/>
        <w:jc w:val="both"/>
        <w:sectPr>
          <w:pgSz w:w="14270" w:h="16850"/>
          <w:pgMar w:header="0" w:footer="1891" w:top="1600" w:bottom="2080" w:left="800" w:right="1280"/>
        </w:sectPr>
      </w:pPr>
    </w:p>
    <w:p>
      <w:pPr>
        <w:pStyle w:val="BodyText"/>
        <w:spacing w:line="276" w:lineRule="auto" w:before="181"/>
        <w:ind w:left="477" w:right="131"/>
        <w:jc w:val="both"/>
      </w:pPr>
      <w:r>
        <w:rPr/>
        <w:t>all</w:t>
      </w:r>
      <w:r>
        <w:rPr>
          <w:spacing w:val="-23"/>
        </w:rPr>
        <w:t> </w:t>
      </w:r>
      <w:r>
        <w:rPr/>
        <w:t>other</w:t>
      </w:r>
      <w:r>
        <w:rPr>
          <w:spacing w:val="-20"/>
        </w:rPr>
        <w:t> </w:t>
      </w:r>
      <w:r>
        <w:rPr/>
        <w:t>botanicals,</w:t>
      </w:r>
      <w:r>
        <w:rPr>
          <w:spacing w:val="-20"/>
        </w:rPr>
        <w:t> </w:t>
      </w:r>
      <w:r>
        <w:rPr/>
        <w:t>hardly</w:t>
      </w:r>
      <w:r>
        <w:rPr>
          <w:spacing w:val="-22"/>
        </w:rPr>
        <w:t> </w:t>
      </w:r>
      <w:r>
        <w:rPr/>
        <w:t>decomposed</w:t>
      </w:r>
      <w:r>
        <w:rPr>
          <w:spacing w:val="-21"/>
        </w:rPr>
        <w:t> </w:t>
      </w:r>
      <w:r>
        <w:rPr/>
        <w:t>at</w:t>
      </w:r>
      <w:r>
        <w:rPr>
          <w:spacing w:val="-21"/>
        </w:rPr>
        <w:t> </w:t>
      </w:r>
      <w:r>
        <w:rPr/>
        <w:t>all</w:t>
      </w:r>
      <w:r>
        <w:rPr>
          <w:spacing w:val="-23"/>
        </w:rPr>
        <w:t> </w:t>
      </w:r>
      <w:r>
        <w:rPr/>
        <w:t>on</w:t>
      </w:r>
      <w:r>
        <w:rPr>
          <w:spacing w:val="-19"/>
        </w:rPr>
        <w:t> </w:t>
      </w:r>
      <w:r>
        <w:rPr/>
        <w:t>the</w:t>
      </w:r>
      <w:r>
        <w:rPr>
          <w:spacing w:val="-20"/>
        </w:rPr>
        <w:t> </w:t>
      </w:r>
      <w:r>
        <w:rPr/>
        <w:t>compost</w:t>
      </w:r>
      <w:r>
        <w:rPr>
          <w:spacing w:val="-21"/>
        </w:rPr>
        <w:t> </w:t>
      </w:r>
      <w:r>
        <w:rPr/>
        <w:t>heap.</w:t>
      </w:r>
      <w:r>
        <w:rPr>
          <w:spacing w:val="-19"/>
        </w:rPr>
        <w:t> </w:t>
      </w:r>
      <w:r>
        <w:rPr/>
        <w:t>It</w:t>
      </w:r>
      <w:r>
        <w:rPr>
          <w:spacing w:val="-22"/>
        </w:rPr>
        <w:t> </w:t>
      </w:r>
      <w:r>
        <w:rPr/>
        <w:t>was</w:t>
      </w:r>
      <w:r>
        <w:rPr>
          <w:spacing w:val="-20"/>
        </w:rPr>
        <w:t> </w:t>
      </w:r>
      <w:r>
        <w:rPr/>
        <w:t>prob- ably</w:t>
      </w:r>
      <w:r>
        <w:rPr>
          <w:spacing w:val="-18"/>
        </w:rPr>
        <w:t> </w:t>
      </w:r>
      <w:r>
        <w:rPr/>
        <w:t>just</w:t>
      </w:r>
      <w:r>
        <w:rPr>
          <w:spacing w:val="-17"/>
        </w:rPr>
        <w:t> </w:t>
      </w:r>
      <w:r>
        <w:rPr/>
        <w:t>a</w:t>
      </w:r>
      <w:r>
        <w:rPr>
          <w:spacing w:val="-18"/>
        </w:rPr>
        <w:t> </w:t>
      </w:r>
      <w:r>
        <w:rPr/>
        <w:t>coincidence</w:t>
      </w:r>
      <w:r>
        <w:rPr>
          <w:spacing w:val="-17"/>
        </w:rPr>
        <w:t> </w:t>
      </w:r>
      <w:r>
        <w:rPr/>
        <w:t>that</w:t>
      </w:r>
      <w:r>
        <w:rPr>
          <w:spacing w:val="-17"/>
        </w:rPr>
        <w:t> </w:t>
      </w:r>
      <w:r>
        <w:rPr/>
        <w:t>this</w:t>
      </w:r>
      <w:r>
        <w:rPr>
          <w:spacing w:val="-19"/>
        </w:rPr>
        <w:t> </w:t>
      </w:r>
      <w:r>
        <w:rPr/>
        <w:t>amateur</w:t>
      </w:r>
      <w:r>
        <w:rPr>
          <w:spacing w:val="-17"/>
        </w:rPr>
        <w:t> </w:t>
      </w:r>
      <w:r>
        <w:rPr/>
        <w:t>gardener,</w:t>
      </w:r>
      <w:r>
        <w:rPr>
          <w:spacing w:val="-17"/>
        </w:rPr>
        <w:t> </w:t>
      </w:r>
      <w:r>
        <w:rPr/>
        <w:t>named</w:t>
      </w:r>
      <w:r>
        <w:rPr>
          <w:spacing w:val="-16"/>
        </w:rPr>
        <w:t> </w:t>
      </w:r>
      <w:r>
        <w:rPr/>
        <w:t>Dr.</w:t>
      </w:r>
      <w:r>
        <w:rPr>
          <w:spacing w:val="-19"/>
        </w:rPr>
        <w:t> </w:t>
      </w:r>
      <w:r>
        <w:rPr/>
        <w:t>Jacob</w:t>
      </w:r>
      <w:r>
        <w:rPr>
          <w:spacing w:val="-17"/>
        </w:rPr>
        <w:t> </w:t>
      </w:r>
      <w:r>
        <w:rPr/>
        <w:t>Harich,</w:t>
      </w:r>
      <w:r>
        <w:rPr>
          <w:spacing w:val="-19"/>
        </w:rPr>
        <w:t> </w:t>
      </w:r>
      <w:r>
        <w:rPr/>
        <w:t>was a physician by profession, specialising in ‘immunology’, which led him to em- brace this inexplicable</w:t>
      </w:r>
      <w:r>
        <w:rPr>
          <w:spacing w:val="2"/>
        </w:rPr>
        <w:t> </w:t>
      </w:r>
      <w:r>
        <w:rPr/>
        <w:t>phenomenon.</w:t>
      </w:r>
    </w:p>
    <w:p>
      <w:pPr>
        <w:pStyle w:val="BodyText"/>
        <w:spacing w:line="276" w:lineRule="auto" w:before="242"/>
        <w:ind w:left="477" w:right="135"/>
        <w:jc w:val="both"/>
      </w:pPr>
      <w:r>
        <w:rPr/>
        <w:t>He realised very quickly that the grapefruit seeds obviously owe this phenome- non</w:t>
      </w:r>
      <w:r>
        <w:rPr>
          <w:spacing w:val="-11"/>
        </w:rPr>
        <w:t> </w:t>
      </w:r>
      <w:r>
        <w:rPr/>
        <w:t>to</w:t>
      </w:r>
      <w:r>
        <w:rPr>
          <w:spacing w:val="-11"/>
        </w:rPr>
        <w:t> </w:t>
      </w:r>
      <w:r>
        <w:rPr/>
        <w:t>a</w:t>
      </w:r>
      <w:r>
        <w:rPr>
          <w:spacing w:val="-14"/>
        </w:rPr>
        <w:t> </w:t>
      </w:r>
      <w:r>
        <w:rPr/>
        <w:t>potent</w:t>
      </w:r>
      <w:r>
        <w:rPr>
          <w:spacing w:val="-15"/>
        </w:rPr>
        <w:t> </w:t>
      </w:r>
      <w:r>
        <w:rPr/>
        <w:t>protective</w:t>
      </w:r>
      <w:r>
        <w:rPr>
          <w:spacing w:val="-11"/>
        </w:rPr>
        <w:t> </w:t>
      </w:r>
      <w:r>
        <w:rPr/>
        <w:t>mechanism</w:t>
      </w:r>
      <w:r>
        <w:rPr>
          <w:spacing w:val="-10"/>
        </w:rPr>
        <w:t> </w:t>
      </w:r>
      <w:r>
        <w:rPr/>
        <w:t>that</w:t>
      </w:r>
      <w:r>
        <w:rPr>
          <w:spacing w:val="-10"/>
        </w:rPr>
        <w:t> </w:t>
      </w:r>
      <w:r>
        <w:rPr/>
        <w:t>preserves</w:t>
      </w:r>
      <w:r>
        <w:rPr>
          <w:spacing w:val="-9"/>
        </w:rPr>
        <w:t> </w:t>
      </w:r>
      <w:r>
        <w:rPr/>
        <w:t>biological</w:t>
      </w:r>
      <w:r>
        <w:rPr>
          <w:spacing w:val="-10"/>
        </w:rPr>
        <w:t> </w:t>
      </w:r>
      <w:r>
        <w:rPr/>
        <w:t>decomposition. If</w:t>
      </w:r>
      <w:r>
        <w:rPr>
          <w:spacing w:val="-23"/>
        </w:rPr>
        <w:t> </w:t>
      </w:r>
      <w:r>
        <w:rPr/>
        <w:t>this</w:t>
      </w:r>
      <w:r>
        <w:rPr>
          <w:spacing w:val="-24"/>
        </w:rPr>
        <w:t> </w:t>
      </w:r>
      <w:r>
        <w:rPr/>
        <w:t>property</w:t>
      </w:r>
      <w:r>
        <w:rPr>
          <w:spacing w:val="-21"/>
        </w:rPr>
        <w:t> </w:t>
      </w:r>
      <w:r>
        <w:rPr/>
        <w:t>could</w:t>
      </w:r>
      <w:r>
        <w:rPr>
          <w:spacing w:val="-23"/>
        </w:rPr>
        <w:t> </w:t>
      </w:r>
      <w:r>
        <w:rPr/>
        <w:t>be</w:t>
      </w:r>
      <w:r>
        <w:rPr>
          <w:spacing w:val="-22"/>
        </w:rPr>
        <w:t> </w:t>
      </w:r>
      <w:r>
        <w:rPr/>
        <w:t>transferred</w:t>
      </w:r>
      <w:r>
        <w:rPr>
          <w:spacing w:val="-21"/>
        </w:rPr>
        <w:t> </w:t>
      </w:r>
      <w:r>
        <w:rPr/>
        <w:t>to</w:t>
      </w:r>
      <w:r>
        <w:rPr>
          <w:spacing w:val="-24"/>
        </w:rPr>
        <w:t> </w:t>
      </w:r>
      <w:r>
        <w:rPr/>
        <w:t>humans</w:t>
      </w:r>
      <w:r>
        <w:rPr>
          <w:spacing w:val="-21"/>
        </w:rPr>
        <w:t> </w:t>
      </w:r>
      <w:r>
        <w:rPr/>
        <w:t>with</w:t>
      </w:r>
      <w:r>
        <w:rPr>
          <w:spacing w:val="-21"/>
        </w:rPr>
        <w:t> </w:t>
      </w:r>
      <w:r>
        <w:rPr/>
        <w:t>the</w:t>
      </w:r>
      <w:r>
        <w:rPr>
          <w:spacing w:val="-24"/>
        </w:rPr>
        <w:t> </w:t>
      </w:r>
      <w:r>
        <w:rPr/>
        <w:t>oral</w:t>
      </w:r>
      <w:r>
        <w:rPr>
          <w:spacing w:val="-25"/>
        </w:rPr>
        <w:t> </w:t>
      </w:r>
      <w:r>
        <w:rPr/>
        <w:t>intake</w:t>
      </w:r>
      <w:r>
        <w:rPr>
          <w:spacing w:val="-23"/>
        </w:rPr>
        <w:t> </w:t>
      </w:r>
      <w:r>
        <w:rPr/>
        <w:t>of</w:t>
      </w:r>
      <w:r>
        <w:rPr>
          <w:spacing w:val="-24"/>
        </w:rPr>
        <w:t> </w:t>
      </w:r>
      <w:r>
        <w:rPr/>
        <w:t>grapefruit seed extract and provide stiff competition to conventional antibiotics with all their side effects, this would be a milestone for</w:t>
      </w:r>
      <w:r>
        <w:rPr>
          <w:spacing w:val="-2"/>
        </w:rPr>
        <w:t> </w:t>
      </w:r>
      <w:r>
        <w:rPr/>
        <w:t>medicine.</w:t>
      </w:r>
    </w:p>
    <w:p>
      <w:pPr>
        <w:pStyle w:val="BodyText"/>
        <w:spacing w:line="276" w:lineRule="auto" w:before="240"/>
        <w:ind w:left="477" w:right="134"/>
        <w:jc w:val="both"/>
      </w:pPr>
      <w:r>
        <w:rPr/>
        <w:t>Initial research revealed a much broader effect-spectrum than antibiotics, with another key difference: there were no side effects.</w:t>
      </w:r>
    </w:p>
    <w:p>
      <w:pPr>
        <w:pStyle w:val="BodyText"/>
        <w:spacing w:line="276" w:lineRule="auto" w:before="238"/>
        <w:ind w:left="477" w:right="133"/>
        <w:jc w:val="both"/>
      </w:pPr>
      <w:r>
        <w:rPr/>
        <w:t>Further research has shown that grapefruit seed extract has much greater po- tential than anyone would have dreamed of and, unlike antibiotics, is tremen- dously effective against viruses, fungi and parasites.</w:t>
      </w:r>
    </w:p>
    <w:p>
      <w:pPr>
        <w:pStyle w:val="BodyText"/>
        <w:spacing w:line="276" w:lineRule="auto" w:before="242"/>
        <w:ind w:left="477" w:right="132"/>
        <w:jc w:val="both"/>
      </w:pPr>
      <w:r>
        <w:rPr/>
        <w:t>The inspiration for the revelation of this phenomenal extract was laid by the authors</w:t>
      </w:r>
      <w:r>
        <w:rPr>
          <w:spacing w:val="-8"/>
        </w:rPr>
        <w:t> </w:t>
      </w:r>
      <w:r>
        <w:rPr/>
        <w:t>of</w:t>
      </w:r>
      <w:r>
        <w:rPr>
          <w:spacing w:val="-9"/>
        </w:rPr>
        <w:t> </w:t>
      </w:r>
      <w:r>
        <w:rPr/>
        <w:t>the</w:t>
      </w:r>
      <w:r>
        <w:rPr>
          <w:spacing w:val="-8"/>
        </w:rPr>
        <w:t> </w:t>
      </w:r>
      <w:r>
        <w:rPr/>
        <w:t>book</w:t>
      </w:r>
      <w:r>
        <w:rPr>
          <w:spacing w:val="-7"/>
        </w:rPr>
        <w:t> </w:t>
      </w:r>
      <w:r>
        <w:rPr/>
        <w:t>‘Das</w:t>
      </w:r>
      <w:r>
        <w:rPr>
          <w:spacing w:val="-9"/>
        </w:rPr>
        <w:t> </w:t>
      </w:r>
      <w:r>
        <w:rPr/>
        <w:t>Wunder</w:t>
      </w:r>
      <w:r>
        <w:rPr>
          <w:spacing w:val="-9"/>
        </w:rPr>
        <w:t> </w:t>
      </w:r>
      <w:r>
        <w:rPr/>
        <w:t>im</w:t>
      </w:r>
      <w:r>
        <w:rPr>
          <w:spacing w:val="-10"/>
        </w:rPr>
        <w:t> </w:t>
      </w:r>
      <w:r>
        <w:rPr/>
        <w:t>Kern</w:t>
      </w:r>
      <w:r>
        <w:rPr>
          <w:spacing w:val="-8"/>
        </w:rPr>
        <w:t> </w:t>
      </w:r>
      <w:r>
        <w:rPr/>
        <w:t>der</w:t>
      </w:r>
      <w:r>
        <w:rPr>
          <w:spacing w:val="-9"/>
        </w:rPr>
        <w:t> </w:t>
      </w:r>
      <w:r>
        <w:rPr/>
        <w:t>Grapefruit’</w:t>
      </w:r>
      <w:r>
        <w:rPr>
          <w:spacing w:val="-9"/>
        </w:rPr>
        <w:t> </w:t>
      </w:r>
      <w:r>
        <w:rPr/>
        <w:t>(‘The</w:t>
      </w:r>
      <w:r>
        <w:rPr>
          <w:spacing w:val="-8"/>
        </w:rPr>
        <w:t> </w:t>
      </w:r>
      <w:r>
        <w:rPr/>
        <w:t>Miracle</w:t>
      </w:r>
      <w:r>
        <w:rPr>
          <w:spacing w:val="-10"/>
        </w:rPr>
        <w:t> </w:t>
      </w:r>
      <w:r>
        <w:rPr/>
        <w:t>of</w:t>
      </w:r>
      <w:r>
        <w:rPr>
          <w:spacing w:val="-9"/>
        </w:rPr>
        <w:t> </w:t>
      </w:r>
      <w:r>
        <w:rPr/>
        <w:t>the Grapefruit Seed’) in the spring of 1996. The reaction to the book was as phe- nomenal</w:t>
      </w:r>
      <w:r>
        <w:rPr>
          <w:spacing w:val="-23"/>
        </w:rPr>
        <w:t> </w:t>
      </w:r>
      <w:r>
        <w:rPr/>
        <w:t>as</w:t>
      </w:r>
      <w:r>
        <w:rPr>
          <w:spacing w:val="-21"/>
        </w:rPr>
        <w:t> </w:t>
      </w:r>
      <w:r>
        <w:rPr/>
        <w:t>the</w:t>
      </w:r>
      <w:r>
        <w:rPr>
          <w:spacing w:val="-23"/>
        </w:rPr>
        <w:t> </w:t>
      </w:r>
      <w:r>
        <w:rPr/>
        <w:t>effect</w:t>
      </w:r>
      <w:r>
        <w:rPr>
          <w:spacing w:val="-21"/>
        </w:rPr>
        <w:t> </w:t>
      </w:r>
      <w:r>
        <w:rPr/>
        <w:t>of</w:t>
      </w:r>
      <w:r>
        <w:rPr>
          <w:spacing w:val="-20"/>
        </w:rPr>
        <w:t> </w:t>
      </w:r>
      <w:r>
        <w:rPr/>
        <w:t>the</w:t>
      </w:r>
      <w:r>
        <w:rPr>
          <w:spacing w:val="-23"/>
        </w:rPr>
        <w:t> </w:t>
      </w:r>
      <w:r>
        <w:rPr/>
        <w:t>plant</w:t>
      </w:r>
      <w:r>
        <w:rPr>
          <w:spacing w:val="-24"/>
        </w:rPr>
        <w:t> </w:t>
      </w:r>
      <w:r>
        <w:rPr/>
        <w:t>extract,</w:t>
      </w:r>
      <w:r>
        <w:rPr>
          <w:spacing w:val="-21"/>
        </w:rPr>
        <w:t> </w:t>
      </w:r>
      <w:r>
        <w:rPr/>
        <w:t>or,</w:t>
      </w:r>
      <w:r>
        <w:rPr>
          <w:spacing w:val="-20"/>
        </w:rPr>
        <w:t> </w:t>
      </w:r>
      <w:r>
        <w:rPr/>
        <w:t>to</w:t>
      </w:r>
      <w:r>
        <w:rPr>
          <w:spacing w:val="-23"/>
        </w:rPr>
        <w:t> </w:t>
      </w:r>
      <w:r>
        <w:rPr/>
        <w:t>be</w:t>
      </w:r>
      <w:r>
        <w:rPr>
          <w:spacing w:val="-23"/>
        </w:rPr>
        <w:t> </w:t>
      </w:r>
      <w:r>
        <w:rPr/>
        <w:t>more</w:t>
      </w:r>
      <w:r>
        <w:rPr>
          <w:spacing w:val="-23"/>
        </w:rPr>
        <w:t> </w:t>
      </w:r>
      <w:r>
        <w:rPr/>
        <w:t>precise,</w:t>
      </w:r>
      <w:r>
        <w:rPr>
          <w:spacing w:val="-20"/>
        </w:rPr>
        <w:t> </w:t>
      </w:r>
      <w:r>
        <w:rPr/>
        <w:t>the</w:t>
      </w:r>
      <w:r>
        <w:rPr>
          <w:spacing w:val="-21"/>
        </w:rPr>
        <w:t> </w:t>
      </w:r>
      <w:r>
        <w:rPr/>
        <w:t>news</w:t>
      </w:r>
      <w:r>
        <w:rPr>
          <w:spacing w:val="-22"/>
        </w:rPr>
        <w:t> </w:t>
      </w:r>
      <w:r>
        <w:rPr/>
        <w:t>about the</w:t>
      </w:r>
      <w:r>
        <w:rPr>
          <w:spacing w:val="-9"/>
        </w:rPr>
        <w:t> </w:t>
      </w:r>
      <w:r>
        <w:rPr/>
        <w:t>phenomenal</w:t>
      </w:r>
      <w:r>
        <w:rPr>
          <w:spacing w:val="-11"/>
        </w:rPr>
        <w:t> </w:t>
      </w:r>
      <w:r>
        <w:rPr/>
        <w:t>effect</w:t>
      </w:r>
      <w:r>
        <w:rPr>
          <w:spacing w:val="-11"/>
        </w:rPr>
        <w:t> </w:t>
      </w:r>
      <w:r>
        <w:rPr/>
        <w:t>of</w:t>
      </w:r>
      <w:r>
        <w:rPr>
          <w:spacing w:val="-9"/>
        </w:rPr>
        <w:t> </w:t>
      </w:r>
      <w:r>
        <w:rPr/>
        <w:t>grapefruit</w:t>
      </w:r>
      <w:r>
        <w:rPr>
          <w:spacing w:val="-11"/>
        </w:rPr>
        <w:t> </w:t>
      </w:r>
      <w:r>
        <w:rPr/>
        <w:t>seed</w:t>
      </w:r>
      <w:r>
        <w:rPr>
          <w:spacing w:val="-10"/>
        </w:rPr>
        <w:t> </w:t>
      </w:r>
      <w:r>
        <w:rPr/>
        <w:t>extract</w:t>
      </w:r>
      <w:r>
        <w:rPr>
          <w:spacing w:val="-12"/>
        </w:rPr>
        <w:t> </w:t>
      </w:r>
      <w:r>
        <w:rPr/>
        <w:t>spread</w:t>
      </w:r>
      <w:r>
        <w:rPr>
          <w:spacing w:val="-10"/>
        </w:rPr>
        <w:t> </w:t>
      </w:r>
      <w:r>
        <w:rPr/>
        <w:t>like</w:t>
      </w:r>
      <w:r>
        <w:rPr>
          <w:spacing w:val="-11"/>
        </w:rPr>
        <w:t> </w:t>
      </w:r>
      <w:r>
        <w:rPr/>
        <w:t>wildfire</w:t>
      </w:r>
      <w:r>
        <w:rPr>
          <w:spacing w:val="-9"/>
        </w:rPr>
        <w:t> </w:t>
      </w:r>
      <w:r>
        <w:rPr/>
        <w:t>by</w:t>
      </w:r>
      <w:r>
        <w:rPr>
          <w:spacing w:val="-11"/>
        </w:rPr>
        <w:t> </w:t>
      </w:r>
      <w:r>
        <w:rPr/>
        <w:t>word</w:t>
      </w:r>
      <w:r>
        <w:rPr>
          <w:spacing w:val="-8"/>
        </w:rPr>
        <w:t> </w:t>
      </w:r>
      <w:r>
        <w:rPr/>
        <w:t>of mouth, and the publishers could hardly keep up with demand. After its</w:t>
      </w:r>
      <w:r>
        <w:rPr>
          <w:spacing w:val="-49"/>
        </w:rPr>
        <w:t> </w:t>
      </w:r>
      <w:r>
        <w:rPr/>
        <w:t>release, the book became a bestseller in no time, because while the grapefruit extract has</w:t>
      </w:r>
      <w:r>
        <w:rPr>
          <w:spacing w:val="35"/>
        </w:rPr>
        <w:t> </w:t>
      </w:r>
      <w:r>
        <w:rPr/>
        <w:t>been</w:t>
      </w:r>
      <w:r>
        <w:rPr>
          <w:spacing w:val="35"/>
        </w:rPr>
        <w:t> </w:t>
      </w:r>
      <w:r>
        <w:rPr/>
        <w:t>steadily</w:t>
      </w:r>
      <w:r>
        <w:rPr>
          <w:spacing w:val="36"/>
        </w:rPr>
        <w:t> </w:t>
      </w:r>
      <w:r>
        <w:rPr/>
        <w:t>gaining</w:t>
      </w:r>
      <w:r>
        <w:rPr>
          <w:spacing w:val="36"/>
        </w:rPr>
        <w:t> </w:t>
      </w:r>
      <w:r>
        <w:rPr/>
        <w:t>popularity</w:t>
      </w:r>
      <w:r>
        <w:rPr>
          <w:spacing w:val="35"/>
        </w:rPr>
        <w:t> </w:t>
      </w:r>
      <w:r>
        <w:rPr/>
        <w:t>in</w:t>
      </w:r>
      <w:r>
        <w:rPr>
          <w:spacing w:val="36"/>
        </w:rPr>
        <w:t> </w:t>
      </w:r>
      <w:r>
        <w:rPr/>
        <w:t>eco-circles</w:t>
      </w:r>
      <w:r>
        <w:rPr>
          <w:spacing w:val="37"/>
        </w:rPr>
        <w:t> </w:t>
      </w:r>
      <w:r>
        <w:rPr/>
        <w:t>in</w:t>
      </w:r>
      <w:r>
        <w:rPr>
          <w:spacing w:val="36"/>
        </w:rPr>
        <w:t> </w:t>
      </w:r>
      <w:r>
        <w:rPr/>
        <w:t>the</w:t>
      </w:r>
      <w:r>
        <w:rPr>
          <w:spacing w:val="36"/>
        </w:rPr>
        <w:t> </w:t>
      </w:r>
      <w:r>
        <w:rPr/>
        <w:t>US</w:t>
      </w:r>
      <w:r>
        <w:rPr>
          <w:spacing w:val="33"/>
        </w:rPr>
        <w:t> </w:t>
      </w:r>
      <w:r>
        <w:rPr/>
        <w:t>and</w:t>
      </w:r>
      <w:r>
        <w:rPr>
          <w:spacing w:val="35"/>
        </w:rPr>
        <w:t> </w:t>
      </w:r>
      <w:r>
        <w:rPr/>
        <w:t>the</w:t>
      </w:r>
      <w:r>
        <w:rPr>
          <w:spacing w:val="37"/>
        </w:rPr>
        <w:t> </w:t>
      </w:r>
      <w:r>
        <w:rPr/>
        <w:t>UK</w:t>
      </w:r>
      <w:r>
        <w:rPr>
          <w:spacing w:val="36"/>
        </w:rPr>
        <w:t> </w:t>
      </w:r>
      <w:r>
        <w:rPr/>
        <w:t>for</w:t>
      </w:r>
    </w:p>
    <w:p>
      <w:pPr>
        <w:spacing w:after="0" w:line="276" w:lineRule="auto"/>
        <w:jc w:val="both"/>
        <w:sectPr>
          <w:pgSz w:w="14270" w:h="16850"/>
          <w:pgMar w:header="0" w:footer="1891" w:top="1600" w:bottom="2080" w:left="800" w:right="1280"/>
        </w:sectPr>
      </w:pPr>
    </w:p>
    <w:p>
      <w:pPr>
        <w:pStyle w:val="BodyText"/>
        <w:spacing w:before="181"/>
        <w:ind w:left="477"/>
        <w:jc w:val="both"/>
      </w:pPr>
      <w:r>
        <w:rPr/>
        <w:t>years, there was no official guide for the actual use of grapefruit extract.</w:t>
      </w:r>
    </w:p>
    <w:p>
      <w:pPr>
        <w:pStyle w:val="BodyText"/>
        <w:spacing w:line="276" w:lineRule="auto" w:before="305"/>
        <w:ind w:left="477" w:right="134"/>
        <w:jc w:val="both"/>
      </w:pPr>
      <w:r>
        <w:rPr/>
        <w:t>The</w:t>
      </w:r>
      <w:r>
        <w:rPr>
          <w:spacing w:val="-9"/>
        </w:rPr>
        <w:t> </w:t>
      </w:r>
      <w:r>
        <w:rPr/>
        <w:t>book</w:t>
      </w:r>
      <w:r>
        <w:rPr>
          <w:spacing w:val="-10"/>
        </w:rPr>
        <w:t> </w:t>
      </w:r>
      <w:r>
        <w:rPr/>
        <w:t>reached</w:t>
      </w:r>
      <w:r>
        <w:rPr>
          <w:spacing w:val="-9"/>
        </w:rPr>
        <w:t> </w:t>
      </w:r>
      <w:r>
        <w:rPr/>
        <w:t>its</w:t>
      </w:r>
      <w:r>
        <w:rPr>
          <w:spacing w:val="-9"/>
        </w:rPr>
        <w:t> </w:t>
      </w:r>
      <w:r>
        <w:rPr/>
        <w:t>16th</w:t>
      </w:r>
      <w:r>
        <w:rPr>
          <w:spacing w:val="-12"/>
        </w:rPr>
        <w:t> </w:t>
      </w:r>
      <w:r>
        <w:rPr/>
        <w:t>edition</w:t>
      </w:r>
      <w:r>
        <w:rPr>
          <w:spacing w:val="-7"/>
        </w:rPr>
        <w:t> </w:t>
      </w:r>
      <w:r>
        <w:rPr/>
        <w:t>in</w:t>
      </w:r>
      <w:r>
        <w:rPr>
          <w:spacing w:val="-12"/>
        </w:rPr>
        <w:t> </w:t>
      </w:r>
      <w:r>
        <w:rPr/>
        <w:t>record</w:t>
      </w:r>
      <w:r>
        <w:rPr>
          <w:spacing w:val="-9"/>
        </w:rPr>
        <w:t> </w:t>
      </w:r>
      <w:r>
        <w:rPr/>
        <w:t>time.</w:t>
      </w:r>
      <w:r>
        <w:rPr>
          <w:spacing w:val="-11"/>
        </w:rPr>
        <w:t> </w:t>
      </w:r>
      <w:r>
        <w:rPr/>
        <w:t>The</w:t>
      </w:r>
      <w:r>
        <w:rPr>
          <w:spacing w:val="-8"/>
        </w:rPr>
        <w:t> </w:t>
      </w:r>
      <w:r>
        <w:rPr/>
        <w:t>interest</w:t>
      </w:r>
      <w:r>
        <w:rPr>
          <w:spacing w:val="-12"/>
        </w:rPr>
        <w:t> </w:t>
      </w:r>
      <w:r>
        <w:rPr/>
        <w:t>of</w:t>
      </w:r>
      <w:r>
        <w:rPr>
          <w:spacing w:val="-8"/>
        </w:rPr>
        <w:t> </w:t>
      </w:r>
      <w:r>
        <w:rPr/>
        <w:t>the</w:t>
      </w:r>
      <w:r>
        <w:rPr>
          <w:spacing w:val="-9"/>
        </w:rPr>
        <w:t> </w:t>
      </w:r>
      <w:r>
        <w:rPr/>
        <w:t>media</w:t>
      </w:r>
      <w:r>
        <w:rPr>
          <w:spacing w:val="-9"/>
        </w:rPr>
        <w:t> </w:t>
      </w:r>
      <w:r>
        <w:rPr/>
        <w:t>was not in short supply; health journalists began their research on the effect of grapefruit seed extract (GSE) and wrote countless articles in numerous news- papers, magazines and journals, including renowned weekly German-language publications such as </w:t>
      </w:r>
      <w:r>
        <w:rPr>
          <w:i/>
        </w:rPr>
        <w:t>Hörzu</w:t>
      </w:r>
      <w:r>
        <w:rPr/>
        <w:t>, </w:t>
      </w:r>
      <w:r>
        <w:rPr>
          <w:i/>
        </w:rPr>
        <w:t>Funk Uhr </w:t>
      </w:r>
      <w:r>
        <w:rPr/>
        <w:t>or</w:t>
      </w:r>
      <w:r>
        <w:rPr>
          <w:spacing w:val="5"/>
        </w:rPr>
        <w:t> </w:t>
      </w:r>
      <w:r>
        <w:rPr>
          <w:i/>
        </w:rPr>
        <w:t>Fernsehwoche</w:t>
      </w:r>
      <w:r>
        <w:rPr/>
        <w:t>.</w:t>
      </w:r>
    </w:p>
    <w:p>
      <w:pPr>
        <w:pStyle w:val="BodyText"/>
        <w:spacing w:line="276" w:lineRule="auto" w:before="240"/>
        <w:ind w:left="477" w:right="132"/>
        <w:jc w:val="both"/>
      </w:pPr>
      <w:r>
        <w:rPr/>
        <w:t>The trade press joined with reports on the ‘miracle extract from grapefruit’, including German-language publications like </w:t>
      </w:r>
      <w:r>
        <w:rPr>
          <w:i/>
        </w:rPr>
        <w:t>Bio Spezial</w:t>
      </w:r>
      <w:r>
        <w:rPr/>
        <w:t>, </w:t>
      </w:r>
      <w:r>
        <w:rPr>
          <w:i/>
        </w:rPr>
        <w:t>Pharmazeutische </w:t>
      </w:r>
      <w:r>
        <w:rPr>
          <w:i/>
        </w:rPr>
        <w:t>Zeitung/Apothekerzeitung </w:t>
      </w:r>
      <w:r>
        <w:rPr/>
        <w:t>and </w:t>
      </w:r>
      <w:r>
        <w:rPr>
          <w:i/>
        </w:rPr>
        <w:t>Natur&amp;Heilen</w:t>
      </w:r>
      <w:r>
        <w:rPr/>
        <w:t>. At the same time, press releases from</w:t>
      </w:r>
      <w:r>
        <w:rPr>
          <w:spacing w:val="-15"/>
        </w:rPr>
        <w:t> </w:t>
      </w:r>
      <w:r>
        <w:rPr/>
        <w:t>the</w:t>
      </w:r>
      <w:r>
        <w:rPr>
          <w:spacing w:val="-13"/>
        </w:rPr>
        <w:t> </w:t>
      </w:r>
      <w:r>
        <w:rPr/>
        <w:t>USA,</w:t>
      </w:r>
      <w:r>
        <w:rPr>
          <w:spacing w:val="-17"/>
        </w:rPr>
        <w:t> </w:t>
      </w:r>
      <w:r>
        <w:rPr/>
        <w:t>Australia,</w:t>
      </w:r>
      <w:r>
        <w:rPr>
          <w:spacing w:val="-14"/>
        </w:rPr>
        <w:t> </w:t>
      </w:r>
      <w:r>
        <w:rPr/>
        <w:t>England,</w:t>
      </w:r>
      <w:r>
        <w:rPr>
          <w:spacing w:val="-14"/>
        </w:rPr>
        <w:t> </w:t>
      </w:r>
      <w:r>
        <w:rPr/>
        <w:t>Ireland,</w:t>
      </w:r>
      <w:r>
        <w:rPr>
          <w:spacing w:val="-14"/>
        </w:rPr>
        <w:t> </w:t>
      </w:r>
      <w:r>
        <w:rPr/>
        <w:t>Norway,</w:t>
      </w:r>
      <w:r>
        <w:rPr>
          <w:spacing w:val="-14"/>
        </w:rPr>
        <w:t> </w:t>
      </w:r>
      <w:r>
        <w:rPr/>
        <w:t>Denmark,</w:t>
      </w:r>
      <w:r>
        <w:rPr>
          <w:spacing w:val="-13"/>
        </w:rPr>
        <w:t> </w:t>
      </w:r>
      <w:r>
        <w:rPr/>
        <w:t>Switzerland</w:t>
      </w:r>
      <w:r>
        <w:rPr>
          <w:spacing w:val="-15"/>
        </w:rPr>
        <w:t> </w:t>
      </w:r>
      <w:r>
        <w:rPr/>
        <w:t>and Austria appeared, and the authors’ experiences were not only confirmed by ex- pert research, but also expanded and incorporated into other</w:t>
      </w:r>
      <w:r>
        <w:rPr>
          <w:spacing w:val="-10"/>
        </w:rPr>
        <w:t> </w:t>
      </w:r>
      <w:r>
        <w:rPr/>
        <w:t>editions.</w:t>
      </w:r>
    </w:p>
    <w:p>
      <w:pPr>
        <w:pStyle w:val="BodyText"/>
        <w:spacing w:line="276" w:lineRule="auto" w:before="240"/>
        <w:ind w:left="477" w:right="131"/>
        <w:jc w:val="both"/>
      </w:pPr>
      <w:r>
        <w:rPr/>
        <w:t>The demand of foreign book publishers for translations of the bestseller ‘Das Wunder im Kern der Grapefruit’ (‘The Miracle of the Grapefruit Seed’) into other languages exceeded all the authors’ expectations, and grapefruit seed ex- tract began its worldwide triumph.</w:t>
      </w:r>
    </w:p>
    <w:p>
      <w:pPr>
        <w:pStyle w:val="BodyText"/>
        <w:spacing w:line="276" w:lineRule="auto" w:before="242"/>
        <w:ind w:left="477" w:right="131"/>
        <w:jc w:val="both"/>
      </w:pPr>
      <w:r>
        <w:rPr/>
        <w:t>In the following sections, we will reveal how the extract is faring, the setback which almost prevented the sale of grapefruit seed extract, which studies</w:t>
      </w:r>
      <w:r>
        <w:rPr>
          <w:spacing w:val="-64"/>
        </w:rPr>
        <w:t> </w:t>
      </w:r>
      <w:r>
        <w:rPr/>
        <w:t>prove its effectiveness, the conditions that grapefruit seed extract can help treat and what its concrete usage looks like.</w:t>
      </w:r>
    </w:p>
    <w:p>
      <w:pPr>
        <w:pStyle w:val="BodyText"/>
        <w:spacing w:before="239"/>
        <w:ind w:left="477"/>
        <w:jc w:val="both"/>
      </w:pPr>
      <w:r>
        <w:rPr/>
        <w:t>Grapefruit seed extract is a highly concentrated, pure plant extract, which is</w:t>
      </w:r>
    </w:p>
    <w:p>
      <w:pPr>
        <w:spacing w:after="0"/>
        <w:jc w:val="both"/>
        <w:sectPr>
          <w:pgSz w:w="14270" w:h="16850"/>
          <w:pgMar w:header="0" w:footer="1891" w:top="1600" w:bottom="2080" w:left="800" w:right="1280"/>
        </w:sectPr>
      </w:pPr>
    </w:p>
    <w:p>
      <w:pPr>
        <w:pStyle w:val="BodyText"/>
        <w:spacing w:line="276" w:lineRule="auto" w:before="181"/>
        <w:ind w:left="477" w:right="140"/>
        <w:jc w:val="both"/>
      </w:pPr>
      <w:r>
        <w:rPr/>
        <w:t>obtained from the shells and kernels of grapefruit. Its antimicrobial properties can be used very effectively for a wide variety of applications.</w:t>
      </w:r>
    </w:p>
    <w:p>
      <w:pPr>
        <w:pStyle w:val="BodyText"/>
        <w:spacing w:line="276" w:lineRule="auto" w:before="241"/>
        <w:ind w:left="477" w:right="139"/>
        <w:jc w:val="both"/>
      </w:pPr>
      <w:r>
        <w:rPr/>
        <w:t>Cores and skins are dried and made into a fine powder, diluted with purified water</w:t>
      </w:r>
      <w:r>
        <w:rPr>
          <w:spacing w:val="-18"/>
        </w:rPr>
        <w:t> </w:t>
      </w:r>
      <w:r>
        <w:rPr/>
        <w:t>and</w:t>
      </w:r>
      <w:r>
        <w:rPr>
          <w:spacing w:val="-19"/>
        </w:rPr>
        <w:t> </w:t>
      </w:r>
      <w:r>
        <w:rPr/>
        <w:t>distilled.</w:t>
      </w:r>
      <w:r>
        <w:rPr>
          <w:spacing w:val="-18"/>
        </w:rPr>
        <w:t> </w:t>
      </w:r>
      <w:r>
        <w:rPr/>
        <w:t>At</w:t>
      </w:r>
      <w:r>
        <w:rPr>
          <w:spacing w:val="-20"/>
        </w:rPr>
        <w:t> </w:t>
      </w:r>
      <w:r>
        <w:rPr/>
        <w:t>low</w:t>
      </w:r>
      <w:r>
        <w:rPr>
          <w:spacing w:val="-20"/>
        </w:rPr>
        <w:t> </w:t>
      </w:r>
      <w:r>
        <w:rPr/>
        <w:t>temperatures,</w:t>
      </w:r>
      <w:r>
        <w:rPr>
          <w:spacing w:val="-17"/>
        </w:rPr>
        <w:t> </w:t>
      </w:r>
      <w:r>
        <w:rPr/>
        <w:t>the</w:t>
      </w:r>
      <w:r>
        <w:rPr>
          <w:spacing w:val="-18"/>
        </w:rPr>
        <w:t> </w:t>
      </w:r>
      <w:r>
        <w:rPr/>
        <w:t>distilled</w:t>
      </w:r>
      <w:r>
        <w:rPr>
          <w:spacing w:val="-19"/>
        </w:rPr>
        <w:t> </w:t>
      </w:r>
      <w:r>
        <w:rPr/>
        <w:t>mass</w:t>
      </w:r>
      <w:r>
        <w:rPr>
          <w:spacing w:val="-18"/>
        </w:rPr>
        <w:t> </w:t>
      </w:r>
      <w:r>
        <w:rPr/>
        <w:t>produces</w:t>
      </w:r>
      <w:r>
        <w:rPr>
          <w:spacing w:val="-18"/>
        </w:rPr>
        <w:t> </w:t>
      </w:r>
      <w:r>
        <w:rPr/>
        <w:t>a</w:t>
      </w:r>
      <w:r>
        <w:rPr>
          <w:spacing w:val="-20"/>
        </w:rPr>
        <w:t> </w:t>
      </w:r>
      <w:r>
        <w:rPr/>
        <w:t>pure</w:t>
      </w:r>
      <w:r>
        <w:rPr>
          <w:spacing w:val="-18"/>
        </w:rPr>
        <w:t> </w:t>
      </w:r>
      <w:r>
        <w:rPr/>
        <w:t>con- centrated powder (Citricidal®), which is then dissolved in vegetable</w:t>
      </w:r>
      <w:r>
        <w:rPr>
          <w:spacing w:val="-19"/>
        </w:rPr>
        <w:t> </w:t>
      </w:r>
      <w:r>
        <w:rPr/>
        <w:t>glycerine.</w:t>
      </w:r>
    </w:p>
    <w:p>
      <w:pPr>
        <w:pStyle w:val="BodyText"/>
        <w:spacing w:line="276" w:lineRule="auto" w:before="239"/>
        <w:ind w:left="477" w:right="127"/>
        <w:jc w:val="both"/>
      </w:pPr>
      <w:r>
        <w:rPr/>
        <w:t>The main constituents of grapefruit seed extract are Citricidal® and glycerine, ascorbic acid (vitamin C), bioflavonoids, vitamins, amino acids, fatty acids etc. The</w:t>
      </w:r>
      <w:r>
        <w:rPr>
          <w:spacing w:val="-16"/>
        </w:rPr>
        <w:t> </w:t>
      </w:r>
      <w:r>
        <w:rPr/>
        <w:t>higher</w:t>
      </w:r>
      <w:r>
        <w:rPr>
          <w:spacing w:val="-18"/>
        </w:rPr>
        <w:t> </w:t>
      </w:r>
      <w:r>
        <w:rPr/>
        <w:t>the</w:t>
      </w:r>
      <w:r>
        <w:rPr>
          <w:spacing w:val="-15"/>
        </w:rPr>
        <w:t> </w:t>
      </w:r>
      <w:r>
        <w:rPr/>
        <w:t>content</w:t>
      </w:r>
      <w:r>
        <w:rPr>
          <w:spacing w:val="-16"/>
        </w:rPr>
        <w:t> </w:t>
      </w:r>
      <w:r>
        <w:rPr/>
        <w:t>of</w:t>
      </w:r>
      <w:r>
        <w:rPr>
          <w:spacing w:val="-18"/>
        </w:rPr>
        <w:t> </w:t>
      </w:r>
      <w:r>
        <w:rPr/>
        <w:t>Citricidal®,</w:t>
      </w:r>
      <w:r>
        <w:rPr>
          <w:spacing w:val="-17"/>
        </w:rPr>
        <w:t> </w:t>
      </w:r>
      <w:r>
        <w:rPr/>
        <w:t>the</w:t>
      </w:r>
      <w:r>
        <w:rPr>
          <w:spacing w:val="-15"/>
        </w:rPr>
        <w:t> </w:t>
      </w:r>
      <w:r>
        <w:rPr/>
        <w:t>more</w:t>
      </w:r>
      <w:r>
        <w:rPr>
          <w:spacing w:val="-17"/>
        </w:rPr>
        <w:t> </w:t>
      </w:r>
      <w:r>
        <w:rPr/>
        <w:t>concentrated</w:t>
      </w:r>
      <w:r>
        <w:rPr>
          <w:spacing w:val="-16"/>
        </w:rPr>
        <w:t> </w:t>
      </w:r>
      <w:r>
        <w:rPr/>
        <w:t>the</w:t>
      </w:r>
      <w:r>
        <w:rPr>
          <w:spacing w:val="-18"/>
        </w:rPr>
        <w:t> </w:t>
      </w:r>
      <w:r>
        <w:rPr/>
        <w:t>extract,</w:t>
      </w:r>
      <w:r>
        <w:rPr>
          <w:spacing w:val="-16"/>
        </w:rPr>
        <w:t> </w:t>
      </w:r>
      <w:r>
        <w:rPr/>
        <w:t>which is completely non-toxic to humans, animals and plants. Nevertheless, it should never be used</w:t>
      </w:r>
      <w:r>
        <w:rPr>
          <w:spacing w:val="1"/>
        </w:rPr>
        <w:t> </w:t>
      </w:r>
      <w:r>
        <w:rPr/>
        <w:t>undiluted.</w:t>
      </w:r>
    </w:p>
    <w:p>
      <w:pPr>
        <w:spacing w:before="242"/>
        <w:ind w:left="477" w:right="0" w:firstLine="0"/>
        <w:jc w:val="left"/>
        <w:rPr>
          <w:i/>
          <w:sz w:val="38"/>
        </w:rPr>
      </w:pPr>
      <w:r>
        <w:rPr>
          <w:i/>
          <w:sz w:val="38"/>
        </w:rPr>
        <w:t>Active ingredients in the grapefruit kernel</w:t>
      </w:r>
    </w:p>
    <w:p>
      <w:pPr>
        <w:pStyle w:val="BodyText"/>
        <w:spacing w:line="276" w:lineRule="auto" w:before="302"/>
        <w:ind w:left="477" w:right="134"/>
        <w:jc w:val="both"/>
      </w:pPr>
      <w:r>
        <w:rPr/>
        <w:t>It is the interplay of uniquely harmonised ingredients that give the grapefruit kernel these phenomenal properties in the fight against parasites. It contains a number of very effective protective agents, including glycosides, limonoids</w:t>
      </w:r>
      <w:r>
        <w:rPr>
          <w:spacing w:val="-68"/>
        </w:rPr>
        <w:t> </w:t>
      </w:r>
      <w:r>
        <w:rPr/>
        <w:t>and </w:t>
      </w:r>
      <w:r>
        <w:rPr>
          <w:b/>
        </w:rPr>
        <w:t>flavonoids</w:t>
      </w:r>
      <w:r>
        <w:rPr/>
        <w:t>:</w:t>
      </w:r>
    </w:p>
    <w:p>
      <w:pPr>
        <w:pStyle w:val="ListParagraph"/>
        <w:numPr>
          <w:ilvl w:val="0"/>
          <w:numId w:val="33"/>
        </w:numPr>
        <w:tabs>
          <w:tab w:pos="1198" w:val="left" w:leader="none"/>
        </w:tabs>
        <w:spacing w:line="240" w:lineRule="auto" w:before="244" w:after="0"/>
        <w:ind w:left="1197" w:right="0" w:hanging="720"/>
        <w:jc w:val="both"/>
        <w:rPr>
          <w:sz w:val="38"/>
        </w:rPr>
      </w:pPr>
      <w:r>
        <w:rPr>
          <w:sz w:val="38"/>
        </w:rPr>
        <w:t>hesperidin</w:t>
      </w:r>
    </w:p>
    <w:p>
      <w:pPr>
        <w:pStyle w:val="ListParagraph"/>
        <w:numPr>
          <w:ilvl w:val="0"/>
          <w:numId w:val="33"/>
        </w:numPr>
        <w:tabs>
          <w:tab w:pos="1198" w:val="left" w:leader="none"/>
        </w:tabs>
        <w:spacing w:line="240" w:lineRule="auto" w:before="184" w:after="0"/>
        <w:ind w:left="1197" w:right="0" w:hanging="720"/>
        <w:jc w:val="both"/>
        <w:rPr>
          <w:sz w:val="38"/>
        </w:rPr>
      </w:pPr>
      <w:r>
        <w:rPr>
          <w:sz w:val="38"/>
        </w:rPr>
        <w:t>naringin</w:t>
      </w:r>
    </w:p>
    <w:p>
      <w:pPr>
        <w:pStyle w:val="ListParagraph"/>
        <w:numPr>
          <w:ilvl w:val="0"/>
          <w:numId w:val="33"/>
        </w:numPr>
        <w:tabs>
          <w:tab w:pos="1198" w:val="left" w:leader="none"/>
        </w:tabs>
        <w:spacing w:line="240" w:lineRule="auto" w:before="183" w:after="0"/>
        <w:ind w:left="1197" w:right="0" w:hanging="720"/>
        <w:jc w:val="both"/>
        <w:rPr>
          <w:sz w:val="38"/>
        </w:rPr>
      </w:pPr>
      <w:r>
        <w:rPr>
          <w:sz w:val="38"/>
        </w:rPr>
        <w:t>limonin</w:t>
      </w:r>
    </w:p>
    <w:p>
      <w:pPr>
        <w:pStyle w:val="ListParagraph"/>
        <w:numPr>
          <w:ilvl w:val="0"/>
          <w:numId w:val="33"/>
        </w:numPr>
        <w:tabs>
          <w:tab w:pos="1198" w:val="left" w:leader="none"/>
        </w:tabs>
        <w:spacing w:line="240" w:lineRule="auto" w:before="184" w:after="0"/>
        <w:ind w:left="1197" w:right="0" w:hanging="720"/>
        <w:jc w:val="both"/>
        <w:rPr>
          <w:sz w:val="38"/>
        </w:rPr>
      </w:pPr>
      <w:r>
        <w:rPr>
          <w:sz w:val="38"/>
        </w:rPr>
        <w:t>rutin</w:t>
      </w:r>
    </w:p>
    <w:p>
      <w:pPr>
        <w:pStyle w:val="ListParagraph"/>
        <w:numPr>
          <w:ilvl w:val="0"/>
          <w:numId w:val="33"/>
        </w:numPr>
        <w:tabs>
          <w:tab w:pos="1198" w:val="left" w:leader="none"/>
        </w:tabs>
        <w:spacing w:line="240" w:lineRule="auto" w:before="186" w:after="0"/>
        <w:ind w:left="1197" w:right="0" w:hanging="720"/>
        <w:jc w:val="both"/>
        <w:rPr>
          <w:sz w:val="38"/>
        </w:rPr>
      </w:pPr>
      <w:r>
        <w:rPr>
          <w:sz w:val="38"/>
        </w:rPr>
        <w:t>quercetin</w:t>
      </w:r>
    </w:p>
    <w:p>
      <w:pPr>
        <w:spacing w:after="0" w:line="240" w:lineRule="auto"/>
        <w:jc w:val="both"/>
        <w:rPr>
          <w:sz w:val="38"/>
        </w:rPr>
        <w:sectPr>
          <w:pgSz w:w="14270" w:h="16850"/>
          <w:pgMar w:header="0" w:footer="1891" w:top="1600" w:bottom="2080" w:left="800" w:right="1280"/>
        </w:sectPr>
      </w:pPr>
    </w:p>
    <w:p>
      <w:pPr>
        <w:pStyle w:val="BodyText"/>
        <w:spacing w:before="10"/>
        <w:rPr>
          <w:sz w:val="8"/>
        </w:rPr>
      </w:pPr>
    </w:p>
    <w:p>
      <w:pPr>
        <w:pStyle w:val="ListParagraph"/>
        <w:numPr>
          <w:ilvl w:val="0"/>
          <w:numId w:val="33"/>
        </w:numPr>
        <w:tabs>
          <w:tab w:pos="1197" w:val="left" w:leader="none"/>
          <w:tab w:pos="1198" w:val="left" w:leader="none"/>
        </w:tabs>
        <w:spacing w:line="240" w:lineRule="auto" w:before="83" w:after="0"/>
        <w:ind w:left="1197" w:right="0" w:hanging="720"/>
        <w:jc w:val="left"/>
        <w:rPr>
          <w:sz w:val="38"/>
        </w:rPr>
      </w:pPr>
      <w:r>
        <w:rPr>
          <w:sz w:val="38"/>
        </w:rPr>
        <w:t>kaempferol</w:t>
      </w:r>
    </w:p>
    <w:p>
      <w:pPr>
        <w:pStyle w:val="ListParagraph"/>
        <w:numPr>
          <w:ilvl w:val="0"/>
          <w:numId w:val="33"/>
        </w:numPr>
        <w:tabs>
          <w:tab w:pos="1197" w:val="left" w:leader="none"/>
          <w:tab w:pos="1198" w:val="left" w:leader="none"/>
        </w:tabs>
        <w:spacing w:line="240" w:lineRule="auto" w:before="184" w:after="0"/>
        <w:ind w:left="1197" w:right="0" w:hanging="720"/>
        <w:jc w:val="left"/>
        <w:rPr>
          <w:sz w:val="38"/>
        </w:rPr>
      </w:pPr>
      <w:r>
        <w:rPr>
          <w:sz w:val="38"/>
        </w:rPr>
        <w:t>poncirin</w:t>
      </w:r>
    </w:p>
    <w:p>
      <w:pPr>
        <w:pStyle w:val="BodyText"/>
        <w:spacing w:line="276" w:lineRule="auto" w:before="304"/>
        <w:ind w:left="477" w:right="138"/>
        <w:jc w:val="both"/>
      </w:pPr>
      <w:r>
        <w:rPr/>
        <w:t>These flavonoids belong to a group of phytochemicals that often have healing properties. They strengthen our immune defence by stimulating our immune system through the gut, resulting in increased production of antibodies which then successfully fight bacteria, viruses and fungi. Kaempferol additionally in- hibits the growth of certain bacteria, viruses and fungi directly.</w:t>
      </w:r>
    </w:p>
    <w:p>
      <w:pPr>
        <w:pStyle w:val="BodyText"/>
        <w:spacing w:line="276" w:lineRule="auto" w:before="240"/>
        <w:ind w:left="477"/>
      </w:pPr>
      <w:r>
        <w:rPr/>
        <w:t>The glycosides contained in the grapefruit kernel are in turn compounds of</w:t>
      </w:r>
      <w:r>
        <w:rPr>
          <w:spacing w:val="-62"/>
        </w:rPr>
        <w:t> </w:t>
      </w:r>
      <w:r>
        <w:rPr/>
        <w:t>fla- vonoids with different sugars:</w:t>
      </w:r>
    </w:p>
    <w:p>
      <w:pPr>
        <w:pStyle w:val="ListParagraph"/>
        <w:numPr>
          <w:ilvl w:val="0"/>
          <w:numId w:val="33"/>
        </w:numPr>
        <w:tabs>
          <w:tab w:pos="1198" w:val="left" w:leader="none"/>
        </w:tabs>
        <w:spacing w:line="240" w:lineRule="auto" w:before="240" w:after="0"/>
        <w:ind w:left="1197" w:right="0" w:hanging="720"/>
        <w:jc w:val="both"/>
        <w:rPr>
          <w:sz w:val="38"/>
        </w:rPr>
      </w:pPr>
      <w:r>
        <w:rPr>
          <w:sz w:val="38"/>
        </w:rPr>
        <w:t>hesperidin</w:t>
      </w:r>
    </w:p>
    <w:p>
      <w:pPr>
        <w:pStyle w:val="ListParagraph"/>
        <w:numPr>
          <w:ilvl w:val="0"/>
          <w:numId w:val="33"/>
        </w:numPr>
        <w:tabs>
          <w:tab w:pos="1198" w:val="left" w:leader="none"/>
        </w:tabs>
        <w:spacing w:line="240" w:lineRule="auto" w:before="186" w:after="0"/>
        <w:ind w:left="1197" w:right="0" w:hanging="720"/>
        <w:jc w:val="both"/>
        <w:rPr>
          <w:sz w:val="38"/>
        </w:rPr>
      </w:pPr>
      <w:r>
        <w:rPr>
          <w:sz w:val="38"/>
        </w:rPr>
        <w:t>naringin</w:t>
      </w:r>
    </w:p>
    <w:p>
      <w:pPr>
        <w:pStyle w:val="ListParagraph"/>
        <w:numPr>
          <w:ilvl w:val="0"/>
          <w:numId w:val="33"/>
        </w:numPr>
        <w:tabs>
          <w:tab w:pos="1198" w:val="left" w:leader="none"/>
        </w:tabs>
        <w:spacing w:line="240" w:lineRule="auto" w:before="184" w:after="0"/>
        <w:ind w:left="1197" w:right="0" w:hanging="720"/>
        <w:jc w:val="both"/>
        <w:rPr>
          <w:sz w:val="38"/>
        </w:rPr>
      </w:pPr>
      <w:r>
        <w:rPr>
          <w:sz w:val="38"/>
        </w:rPr>
        <w:t>poncirin</w:t>
      </w:r>
    </w:p>
    <w:p>
      <w:pPr>
        <w:pStyle w:val="ListParagraph"/>
        <w:numPr>
          <w:ilvl w:val="0"/>
          <w:numId w:val="33"/>
        </w:numPr>
        <w:tabs>
          <w:tab w:pos="1198" w:val="left" w:leader="none"/>
        </w:tabs>
        <w:spacing w:line="240" w:lineRule="auto" w:before="184" w:after="0"/>
        <w:ind w:left="1197" w:right="0" w:hanging="720"/>
        <w:jc w:val="both"/>
        <w:rPr>
          <w:sz w:val="38"/>
        </w:rPr>
      </w:pPr>
      <w:r>
        <w:rPr>
          <w:sz w:val="38"/>
        </w:rPr>
        <w:t>dihydrokaempferol</w:t>
      </w:r>
    </w:p>
    <w:p>
      <w:pPr>
        <w:pStyle w:val="ListParagraph"/>
        <w:numPr>
          <w:ilvl w:val="0"/>
          <w:numId w:val="33"/>
        </w:numPr>
        <w:tabs>
          <w:tab w:pos="1198" w:val="left" w:leader="none"/>
        </w:tabs>
        <w:spacing w:line="240" w:lineRule="auto" w:before="183" w:after="0"/>
        <w:ind w:left="1197" w:right="0" w:hanging="720"/>
        <w:jc w:val="both"/>
        <w:rPr>
          <w:sz w:val="38"/>
        </w:rPr>
      </w:pPr>
      <w:r>
        <w:rPr>
          <w:sz w:val="38"/>
        </w:rPr>
        <w:t>quercetin</w:t>
      </w:r>
    </w:p>
    <w:p>
      <w:pPr>
        <w:pStyle w:val="ListParagraph"/>
        <w:numPr>
          <w:ilvl w:val="0"/>
          <w:numId w:val="33"/>
        </w:numPr>
        <w:tabs>
          <w:tab w:pos="1198" w:val="left" w:leader="none"/>
        </w:tabs>
        <w:spacing w:line="240" w:lineRule="auto" w:before="186" w:after="0"/>
        <w:ind w:left="1197" w:right="0" w:hanging="720"/>
        <w:jc w:val="both"/>
        <w:rPr>
          <w:sz w:val="38"/>
        </w:rPr>
      </w:pPr>
      <w:r>
        <w:rPr>
          <w:sz w:val="38"/>
        </w:rPr>
        <w:t>neohesperidin</w:t>
      </w:r>
    </w:p>
    <w:p>
      <w:pPr>
        <w:pStyle w:val="ListParagraph"/>
        <w:numPr>
          <w:ilvl w:val="0"/>
          <w:numId w:val="33"/>
        </w:numPr>
        <w:tabs>
          <w:tab w:pos="1198" w:val="left" w:leader="none"/>
        </w:tabs>
        <w:spacing w:line="240" w:lineRule="auto" w:before="184" w:after="0"/>
        <w:ind w:left="1197" w:right="0" w:hanging="720"/>
        <w:jc w:val="both"/>
        <w:rPr>
          <w:sz w:val="38"/>
        </w:rPr>
      </w:pPr>
      <w:r>
        <w:rPr>
          <w:sz w:val="38"/>
        </w:rPr>
        <w:t>kaempferol</w:t>
      </w:r>
    </w:p>
    <w:p>
      <w:pPr>
        <w:pStyle w:val="ListParagraph"/>
        <w:numPr>
          <w:ilvl w:val="0"/>
          <w:numId w:val="33"/>
        </w:numPr>
        <w:tabs>
          <w:tab w:pos="1198" w:val="left" w:leader="none"/>
        </w:tabs>
        <w:spacing w:line="240" w:lineRule="auto" w:before="184" w:after="0"/>
        <w:ind w:left="1197" w:right="0" w:hanging="720"/>
        <w:jc w:val="both"/>
        <w:rPr>
          <w:sz w:val="38"/>
        </w:rPr>
      </w:pPr>
      <w:r>
        <w:rPr>
          <w:sz w:val="38"/>
        </w:rPr>
        <w:t>isosakuranetin</w:t>
      </w:r>
    </w:p>
    <w:p>
      <w:pPr>
        <w:pStyle w:val="BodyText"/>
        <w:spacing w:line="276" w:lineRule="auto" w:before="302"/>
        <w:ind w:left="477"/>
      </w:pPr>
      <w:r>
        <w:rPr>
          <w:b/>
        </w:rPr>
        <w:t>Limonoids </w:t>
      </w:r>
      <w:r>
        <w:rPr/>
        <w:t>give citrus fruits their bitter taste and prevent parasites ingesting food and thus their growth and reproduction.</w:t>
      </w:r>
    </w:p>
    <w:p>
      <w:pPr>
        <w:spacing w:after="0" w:line="276" w:lineRule="auto"/>
        <w:sectPr>
          <w:pgSz w:w="14270" w:h="16850"/>
          <w:pgMar w:header="0" w:footer="1891" w:top="1600" w:bottom="2080" w:left="800" w:right="1280"/>
        </w:sectPr>
      </w:pPr>
    </w:p>
    <w:p>
      <w:pPr>
        <w:spacing w:before="181"/>
        <w:ind w:left="477" w:right="0" w:firstLine="0"/>
        <w:jc w:val="left"/>
        <w:rPr>
          <w:i/>
          <w:sz w:val="38"/>
        </w:rPr>
      </w:pPr>
      <w:r>
        <w:rPr>
          <w:i/>
          <w:sz w:val="38"/>
        </w:rPr>
        <w:t>Effects of grapefruit seed extract</w:t>
      </w:r>
    </w:p>
    <w:p>
      <w:pPr>
        <w:pStyle w:val="BodyText"/>
        <w:spacing w:line="276" w:lineRule="auto" w:before="305"/>
        <w:ind w:left="477" w:right="137"/>
        <w:jc w:val="both"/>
      </w:pPr>
      <w:r>
        <w:rPr/>
        <w:t>The wide-ranging effects of grapefruit seed extract astonish many researchers around</w:t>
      </w:r>
      <w:r>
        <w:rPr>
          <w:spacing w:val="-8"/>
        </w:rPr>
        <w:t> </w:t>
      </w:r>
      <w:r>
        <w:rPr/>
        <w:t>the</w:t>
      </w:r>
      <w:r>
        <w:rPr>
          <w:spacing w:val="-7"/>
        </w:rPr>
        <w:t> </w:t>
      </w:r>
      <w:r>
        <w:rPr/>
        <w:t>world;</w:t>
      </w:r>
      <w:r>
        <w:rPr>
          <w:spacing w:val="-7"/>
        </w:rPr>
        <w:t> </w:t>
      </w:r>
      <w:r>
        <w:rPr/>
        <w:t>they</w:t>
      </w:r>
      <w:r>
        <w:rPr>
          <w:spacing w:val="-8"/>
        </w:rPr>
        <w:t> </w:t>
      </w:r>
      <w:r>
        <w:rPr/>
        <w:t>cover</w:t>
      </w:r>
      <w:r>
        <w:rPr>
          <w:spacing w:val="-10"/>
        </w:rPr>
        <w:t> </w:t>
      </w:r>
      <w:r>
        <w:rPr/>
        <w:t>all</w:t>
      </w:r>
      <w:r>
        <w:rPr>
          <w:spacing w:val="-12"/>
        </w:rPr>
        <w:t> </w:t>
      </w:r>
      <w:r>
        <w:rPr/>
        <w:t>areas</w:t>
      </w:r>
      <w:r>
        <w:rPr>
          <w:spacing w:val="-6"/>
        </w:rPr>
        <w:t> </w:t>
      </w:r>
      <w:r>
        <w:rPr/>
        <w:t>of</w:t>
      </w:r>
      <w:r>
        <w:rPr>
          <w:spacing w:val="-10"/>
        </w:rPr>
        <w:t> </w:t>
      </w:r>
      <w:r>
        <w:rPr/>
        <w:t>parasite</w:t>
      </w:r>
      <w:r>
        <w:rPr>
          <w:spacing w:val="-11"/>
        </w:rPr>
        <w:t> </w:t>
      </w:r>
      <w:r>
        <w:rPr/>
        <w:t>control,</w:t>
      </w:r>
      <w:r>
        <w:rPr>
          <w:spacing w:val="-9"/>
        </w:rPr>
        <w:t> </w:t>
      </w:r>
      <w:r>
        <w:rPr/>
        <w:t>starting</w:t>
      </w:r>
      <w:r>
        <w:rPr>
          <w:spacing w:val="-10"/>
        </w:rPr>
        <w:t> </w:t>
      </w:r>
      <w:r>
        <w:rPr/>
        <w:t>with</w:t>
      </w:r>
      <w:r>
        <w:rPr>
          <w:spacing w:val="-7"/>
        </w:rPr>
        <w:t> </w:t>
      </w:r>
      <w:r>
        <w:rPr/>
        <w:t>bacteria, viruses, fungi and other parasites that make life difficult for humans (and our pets).</w:t>
      </w:r>
    </w:p>
    <w:p>
      <w:pPr>
        <w:pStyle w:val="BodyText"/>
        <w:spacing w:line="276" w:lineRule="auto" w:before="239"/>
        <w:ind w:left="477" w:right="127"/>
        <w:jc w:val="both"/>
      </w:pPr>
      <w:r>
        <w:rPr/>
        <w:t>It</w:t>
      </w:r>
      <w:r>
        <w:rPr>
          <w:spacing w:val="-7"/>
        </w:rPr>
        <w:t> </w:t>
      </w:r>
      <w:r>
        <w:rPr/>
        <w:t>is</w:t>
      </w:r>
      <w:r>
        <w:rPr>
          <w:spacing w:val="-6"/>
        </w:rPr>
        <w:t> </w:t>
      </w:r>
      <w:r>
        <w:rPr/>
        <w:t>believed</w:t>
      </w:r>
      <w:r>
        <w:rPr>
          <w:spacing w:val="-8"/>
        </w:rPr>
        <w:t> </w:t>
      </w:r>
      <w:r>
        <w:rPr/>
        <w:t>that</w:t>
      </w:r>
      <w:r>
        <w:rPr>
          <w:spacing w:val="-6"/>
        </w:rPr>
        <w:t> </w:t>
      </w:r>
      <w:r>
        <w:rPr/>
        <w:t>grapefruit</w:t>
      </w:r>
      <w:r>
        <w:rPr>
          <w:spacing w:val="-7"/>
        </w:rPr>
        <w:t> </w:t>
      </w:r>
      <w:r>
        <w:rPr/>
        <w:t>seed</w:t>
      </w:r>
      <w:r>
        <w:rPr>
          <w:spacing w:val="-6"/>
        </w:rPr>
        <w:t> </w:t>
      </w:r>
      <w:r>
        <w:rPr/>
        <w:t>extract</w:t>
      </w:r>
      <w:r>
        <w:rPr>
          <w:spacing w:val="-6"/>
        </w:rPr>
        <w:t> </w:t>
      </w:r>
      <w:r>
        <w:rPr/>
        <w:t>exerts</w:t>
      </w:r>
      <w:r>
        <w:rPr>
          <w:spacing w:val="-6"/>
        </w:rPr>
        <w:t> </w:t>
      </w:r>
      <w:r>
        <w:rPr/>
        <w:t>its</w:t>
      </w:r>
      <w:r>
        <w:rPr>
          <w:spacing w:val="-6"/>
        </w:rPr>
        <w:t> </w:t>
      </w:r>
      <w:r>
        <w:rPr/>
        <w:t>effect</w:t>
      </w:r>
      <w:r>
        <w:rPr>
          <w:spacing w:val="-7"/>
        </w:rPr>
        <w:t> </w:t>
      </w:r>
      <w:r>
        <w:rPr/>
        <w:t>within</w:t>
      </w:r>
      <w:r>
        <w:rPr>
          <w:spacing w:val="-5"/>
        </w:rPr>
        <w:t> </w:t>
      </w:r>
      <w:r>
        <w:rPr/>
        <w:t>the</w:t>
      </w:r>
      <w:r>
        <w:rPr>
          <w:spacing w:val="-6"/>
        </w:rPr>
        <w:t> </w:t>
      </w:r>
      <w:r>
        <w:rPr/>
        <w:t>cytoplasmic membrane of the microorganisms. According to scientists, the active ingredi- ents</w:t>
      </w:r>
      <w:r>
        <w:rPr>
          <w:spacing w:val="-15"/>
        </w:rPr>
        <w:t> </w:t>
      </w:r>
      <w:r>
        <w:rPr/>
        <w:t>lead</w:t>
      </w:r>
      <w:r>
        <w:rPr>
          <w:spacing w:val="-15"/>
        </w:rPr>
        <w:t> </w:t>
      </w:r>
      <w:r>
        <w:rPr/>
        <w:t>to</w:t>
      </w:r>
      <w:r>
        <w:rPr>
          <w:spacing w:val="-15"/>
        </w:rPr>
        <w:t> </w:t>
      </w:r>
      <w:r>
        <w:rPr/>
        <w:t>a</w:t>
      </w:r>
      <w:r>
        <w:rPr>
          <w:spacing w:val="-15"/>
        </w:rPr>
        <w:t> </w:t>
      </w:r>
      <w:r>
        <w:rPr/>
        <w:t>disorganisation</w:t>
      </w:r>
      <w:r>
        <w:rPr>
          <w:spacing w:val="-13"/>
        </w:rPr>
        <w:t> </w:t>
      </w:r>
      <w:r>
        <w:rPr/>
        <w:t>of</w:t>
      </w:r>
      <w:r>
        <w:rPr>
          <w:spacing w:val="-15"/>
        </w:rPr>
        <w:t> </w:t>
      </w:r>
      <w:r>
        <w:rPr/>
        <w:t>the</w:t>
      </w:r>
      <w:r>
        <w:rPr>
          <w:spacing w:val="-13"/>
        </w:rPr>
        <w:t> </w:t>
      </w:r>
      <w:r>
        <w:rPr/>
        <w:t>cytoplasmic</w:t>
      </w:r>
      <w:r>
        <w:rPr>
          <w:spacing w:val="-16"/>
        </w:rPr>
        <w:t> </w:t>
      </w:r>
      <w:r>
        <w:rPr/>
        <w:t>membrane,</w:t>
      </w:r>
      <w:r>
        <w:rPr>
          <w:spacing w:val="-13"/>
        </w:rPr>
        <w:t> </w:t>
      </w:r>
      <w:r>
        <w:rPr/>
        <w:t>which</w:t>
      </w:r>
      <w:r>
        <w:rPr>
          <w:spacing w:val="-13"/>
        </w:rPr>
        <w:t> </w:t>
      </w:r>
      <w:r>
        <w:rPr/>
        <w:t>prevents</w:t>
      </w:r>
      <w:r>
        <w:rPr>
          <w:spacing w:val="-15"/>
        </w:rPr>
        <w:t> </w:t>
      </w:r>
      <w:r>
        <w:rPr/>
        <w:t>the absorption of amino acids, which causes the parasite to</w:t>
      </w:r>
      <w:r>
        <w:rPr>
          <w:spacing w:val="-2"/>
        </w:rPr>
        <w:t> </w:t>
      </w:r>
      <w:r>
        <w:rPr/>
        <w:t>starve.</w:t>
      </w:r>
    </w:p>
    <w:p>
      <w:pPr>
        <w:pStyle w:val="BodyText"/>
        <w:spacing w:line="276" w:lineRule="auto" w:before="242"/>
        <w:ind w:left="477" w:right="132"/>
        <w:jc w:val="both"/>
      </w:pPr>
      <w:r>
        <w:rPr/>
        <w:t>At</w:t>
      </w:r>
      <w:r>
        <w:rPr>
          <w:spacing w:val="-8"/>
        </w:rPr>
        <w:t> </w:t>
      </w:r>
      <w:r>
        <w:rPr/>
        <w:t>the</w:t>
      </w:r>
      <w:r>
        <w:rPr>
          <w:spacing w:val="-5"/>
        </w:rPr>
        <w:t> </w:t>
      </w:r>
      <w:r>
        <w:rPr/>
        <w:t>same</w:t>
      </w:r>
      <w:r>
        <w:rPr>
          <w:spacing w:val="-5"/>
        </w:rPr>
        <w:t> </w:t>
      </w:r>
      <w:r>
        <w:rPr/>
        <w:t>time,</w:t>
      </w:r>
      <w:r>
        <w:rPr>
          <w:spacing w:val="-5"/>
        </w:rPr>
        <w:t> </w:t>
      </w:r>
      <w:r>
        <w:rPr/>
        <w:t>the</w:t>
      </w:r>
      <w:r>
        <w:rPr>
          <w:spacing w:val="-5"/>
        </w:rPr>
        <w:t> </w:t>
      </w:r>
      <w:r>
        <w:rPr/>
        <w:t>cell</w:t>
      </w:r>
      <w:r>
        <w:rPr>
          <w:spacing w:val="-6"/>
        </w:rPr>
        <w:t> </w:t>
      </w:r>
      <w:r>
        <w:rPr/>
        <w:t>components</w:t>
      </w:r>
      <w:r>
        <w:rPr>
          <w:spacing w:val="-5"/>
        </w:rPr>
        <w:t> </w:t>
      </w:r>
      <w:r>
        <w:rPr/>
        <w:t>with</w:t>
      </w:r>
      <w:r>
        <w:rPr>
          <w:spacing w:val="-5"/>
        </w:rPr>
        <w:t> </w:t>
      </w:r>
      <w:r>
        <w:rPr/>
        <w:t>a</w:t>
      </w:r>
      <w:r>
        <w:rPr>
          <w:spacing w:val="-7"/>
        </w:rPr>
        <w:t> </w:t>
      </w:r>
      <w:r>
        <w:rPr/>
        <w:t>low</w:t>
      </w:r>
      <w:r>
        <w:rPr>
          <w:spacing w:val="-6"/>
        </w:rPr>
        <w:t> </w:t>
      </w:r>
      <w:r>
        <w:rPr/>
        <w:t>molecular</w:t>
      </w:r>
      <w:r>
        <w:rPr>
          <w:spacing w:val="-3"/>
        </w:rPr>
        <w:t> </w:t>
      </w:r>
      <w:r>
        <w:rPr/>
        <w:t>weight</w:t>
      </w:r>
      <w:r>
        <w:rPr>
          <w:spacing w:val="-6"/>
        </w:rPr>
        <w:t> </w:t>
      </w:r>
      <w:r>
        <w:rPr/>
        <w:t>seep</w:t>
      </w:r>
      <w:r>
        <w:rPr>
          <w:spacing w:val="-6"/>
        </w:rPr>
        <w:t> </w:t>
      </w:r>
      <w:r>
        <w:rPr/>
        <w:t>out</w:t>
      </w:r>
      <w:r>
        <w:rPr>
          <w:spacing w:val="-7"/>
        </w:rPr>
        <w:t> </w:t>
      </w:r>
      <w:r>
        <w:rPr/>
        <w:t>of the cytoplasmic membrane, which in turn causes the microorganism to</w:t>
      </w:r>
      <w:r>
        <w:rPr>
          <w:spacing w:val="-27"/>
        </w:rPr>
        <w:t> </w:t>
      </w:r>
      <w:r>
        <w:rPr/>
        <w:t>bleed.</w:t>
      </w:r>
    </w:p>
    <w:p>
      <w:pPr>
        <w:pStyle w:val="BodyText"/>
        <w:spacing w:line="276" w:lineRule="auto" w:before="238"/>
        <w:ind w:left="477" w:right="133"/>
        <w:jc w:val="both"/>
      </w:pPr>
      <w:r>
        <w:rPr/>
        <w:t>Grapefruit</w:t>
      </w:r>
      <w:r>
        <w:rPr>
          <w:spacing w:val="-13"/>
        </w:rPr>
        <w:t> </w:t>
      </w:r>
      <w:r>
        <w:rPr/>
        <w:t>seed</w:t>
      </w:r>
      <w:r>
        <w:rPr>
          <w:spacing w:val="-12"/>
        </w:rPr>
        <w:t> </w:t>
      </w:r>
      <w:r>
        <w:rPr/>
        <w:t>extract</w:t>
      </w:r>
      <w:r>
        <w:rPr>
          <w:spacing w:val="-13"/>
        </w:rPr>
        <w:t> </w:t>
      </w:r>
      <w:r>
        <w:rPr/>
        <w:t>can</w:t>
      </w:r>
      <w:r>
        <w:rPr>
          <w:spacing w:val="-11"/>
        </w:rPr>
        <w:t> </w:t>
      </w:r>
      <w:r>
        <w:rPr/>
        <w:t>be</w:t>
      </w:r>
      <w:r>
        <w:rPr>
          <w:spacing w:val="-12"/>
        </w:rPr>
        <w:t> </w:t>
      </w:r>
      <w:r>
        <w:rPr/>
        <w:t>taken</w:t>
      </w:r>
      <w:r>
        <w:rPr>
          <w:spacing w:val="-11"/>
        </w:rPr>
        <w:t> </w:t>
      </w:r>
      <w:r>
        <w:rPr/>
        <w:t>internally</w:t>
      </w:r>
      <w:r>
        <w:rPr>
          <w:spacing w:val="-12"/>
        </w:rPr>
        <w:t> </w:t>
      </w:r>
      <w:r>
        <w:rPr/>
        <w:t>and</w:t>
      </w:r>
      <w:r>
        <w:rPr>
          <w:spacing w:val="-12"/>
        </w:rPr>
        <w:t> </w:t>
      </w:r>
      <w:r>
        <w:rPr/>
        <w:t>externally,</w:t>
      </w:r>
      <w:r>
        <w:rPr>
          <w:spacing w:val="-11"/>
        </w:rPr>
        <w:t> </w:t>
      </w:r>
      <w:r>
        <w:rPr/>
        <w:t>depending</w:t>
      </w:r>
      <w:r>
        <w:rPr>
          <w:spacing w:val="-12"/>
        </w:rPr>
        <w:t> </w:t>
      </w:r>
      <w:r>
        <w:rPr/>
        <w:t>on</w:t>
      </w:r>
      <w:r>
        <w:rPr>
          <w:spacing w:val="-11"/>
        </w:rPr>
        <w:t> </w:t>
      </w:r>
      <w:r>
        <w:rPr/>
        <w:t>the application area. Studies have shown that grapefruit seed extract has the ability to kill over 800 different bacteria and</w:t>
      </w:r>
      <w:r>
        <w:rPr>
          <w:spacing w:val="-2"/>
        </w:rPr>
        <w:t> </w:t>
      </w:r>
      <w:r>
        <w:rPr/>
        <w:t>viruses.</w:t>
      </w:r>
    </w:p>
    <w:p>
      <w:pPr>
        <w:spacing w:after="0" w:line="276" w:lineRule="auto"/>
        <w:jc w:val="both"/>
        <w:sectPr>
          <w:pgSz w:w="14270" w:h="16850"/>
          <w:pgMar w:header="0" w:footer="1891" w:top="1600" w:bottom="2080" w:left="800" w:right="1280"/>
        </w:sectPr>
      </w:pPr>
    </w:p>
    <w:p>
      <w:pPr>
        <w:pStyle w:val="Heading2"/>
        <w:spacing w:before="181"/>
      </w:pPr>
      <w:r>
        <w:rPr/>
        <w:t>Main features of grapefruit seed extract</w:t>
      </w:r>
    </w:p>
    <w:p>
      <w:pPr>
        <w:spacing w:before="288"/>
        <w:ind w:left="477" w:right="0" w:firstLine="0"/>
        <w:jc w:val="left"/>
        <w:rPr>
          <w:b/>
          <w:i/>
          <w:sz w:val="40"/>
        </w:rPr>
      </w:pPr>
      <w:r>
        <w:rPr>
          <w:b/>
          <w:i/>
          <w:sz w:val="40"/>
        </w:rPr>
        <w:t>Bactericidal effect</w:t>
      </w:r>
    </w:p>
    <w:p>
      <w:pPr>
        <w:pStyle w:val="BodyText"/>
        <w:spacing w:line="276" w:lineRule="auto" w:before="299"/>
        <w:ind w:left="477" w:right="130"/>
        <w:jc w:val="both"/>
      </w:pPr>
      <w:r>
        <w:rPr/>
        <w:t>The</w:t>
      </w:r>
      <w:r>
        <w:rPr>
          <w:spacing w:val="-12"/>
        </w:rPr>
        <w:t> </w:t>
      </w:r>
      <w:r>
        <w:rPr/>
        <w:t>antiseptic</w:t>
      </w:r>
      <w:r>
        <w:rPr>
          <w:spacing w:val="-13"/>
        </w:rPr>
        <w:t> </w:t>
      </w:r>
      <w:r>
        <w:rPr/>
        <w:t>and</w:t>
      </w:r>
      <w:r>
        <w:rPr>
          <w:spacing w:val="-11"/>
        </w:rPr>
        <w:t> </w:t>
      </w:r>
      <w:r>
        <w:rPr/>
        <w:t>bactericidal</w:t>
      </w:r>
      <w:r>
        <w:rPr>
          <w:spacing w:val="-15"/>
        </w:rPr>
        <w:t> </w:t>
      </w:r>
      <w:r>
        <w:rPr/>
        <w:t>effect</w:t>
      </w:r>
      <w:r>
        <w:rPr>
          <w:spacing w:val="-12"/>
        </w:rPr>
        <w:t> </w:t>
      </w:r>
      <w:r>
        <w:rPr/>
        <w:t>of</w:t>
      </w:r>
      <w:r>
        <w:rPr>
          <w:spacing w:val="-11"/>
        </w:rPr>
        <w:t> </w:t>
      </w:r>
      <w:r>
        <w:rPr/>
        <w:t>grapefruit</w:t>
      </w:r>
      <w:r>
        <w:rPr>
          <w:spacing w:val="-13"/>
        </w:rPr>
        <w:t> </w:t>
      </w:r>
      <w:r>
        <w:rPr/>
        <w:t>seed</w:t>
      </w:r>
      <w:r>
        <w:rPr>
          <w:spacing w:val="-12"/>
        </w:rPr>
        <w:t> </w:t>
      </w:r>
      <w:r>
        <w:rPr/>
        <w:t>extract</w:t>
      </w:r>
      <w:r>
        <w:rPr>
          <w:spacing w:val="-13"/>
        </w:rPr>
        <w:t> </w:t>
      </w:r>
      <w:r>
        <w:rPr/>
        <w:t>makes</w:t>
      </w:r>
      <w:r>
        <w:rPr>
          <w:spacing w:val="-13"/>
        </w:rPr>
        <w:t> </w:t>
      </w:r>
      <w:r>
        <w:rPr/>
        <w:t>it</w:t>
      </w:r>
      <w:r>
        <w:rPr>
          <w:spacing w:val="-13"/>
        </w:rPr>
        <w:t> </w:t>
      </w:r>
      <w:r>
        <w:rPr/>
        <w:t>an</w:t>
      </w:r>
      <w:r>
        <w:rPr>
          <w:spacing w:val="-12"/>
        </w:rPr>
        <w:t> </w:t>
      </w:r>
      <w:r>
        <w:rPr/>
        <w:t>ideal natural disinfectant for all infectious diseases, inflammatory processes and blemishes.</w:t>
      </w:r>
    </w:p>
    <w:p>
      <w:pPr>
        <w:pStyle w:val="BodyText"/>
        <w:spacing w:line="276" w:lineRule="auto" w:before="239"/>
        <w:ind w:left="477" w:right="144"/>
        <w:jc w:val="both"/>
      </w:pPr>
      <w:r>
        <w:rPr/>
        <w:t>Studies have shown that grapefruit seed extract has an antibacterial effect even at a dilution ratio of 1:1000.</w:t>
      </w:r>
    </w:p>
    <w:p>
      <w:pPr>
        <w:pStyle w:val="BodyText"/>
        <w:spacing w:line="276" w:lineRule="auto" w:before="241"/>
        <w:ind w:left="477" w:right="133"/>
        <w:jc w:val="both"/>
      </w:pPr>
      <w:r>
        <w:rPr/>
        <w:t>While antibiotics cannot differentiate between good and bad bacteria (e.g. the vital</w:t>
      </w:r>
      <w:r>
        <w:rPr>
          <w:spacing w:val="-21"/>
        </w:rPr>
        <w:t> </w:t>
      </w:r>
      <w:r>
        <w:rPr/>
        <w:t>bacteria</w:t>
      </w:r>
      <w:r>
        <w:rPr>
          <w:spacing w:val="-20"/>
        </w:rPr>
        <w:t> </w:t>
      </w:r>
      <w:r>
        <w:rPr/>
        <w:t>in</w:t>
      </w:r>
      <w:r>
        <w:rPr>
          <w:spacing w:val="-19"/>
        </w:rPr>
        <w:t> </w:t>
      </w:r>
      <w:r>
        <w:rPr/>
        <w:t>the</w:t>
      </w:r>
      <w:r>
        <w:rPr>
          <w:spacing w:val="-19"/>
        </w:rPr>
        <w:t> </w:t>
      </w:r>
      <w:r>
        <w:rPr/>
        <w:t>intestinal</w:t>
      </w:r>
      <w:r>
        <w:rPr>
          <w:spacing w:val="-20"/>
        </w:rPr>
        <w:t> </w:t>
      </w:r>
      <w:r>
        <w:rPr/>
        <w:t>flora),</w:t>
      </w:r>
      <w:r>
        <w:rPr>
          <w:spacing w:val="-18"/>
        </w:rPr>
        <w:t> </w:t>
      </w:r>
      <w:r>
        <w:rPr/>
        <w:t>taking</w:t>
      </w:r>
      <w:r>
        <w:rPr>
          <w:spacing w:val="-18"/>
        </w:rPr>
        <w:t> </w:t>
      </w:r>
      <w:r>
        <w:rPr/>
        <w:t>grapefruit</w:t>
      </w:r>
      <w:r>
        <w:rPr>
          <w:spacing w:val="-20"/>
        </w:rPr>
        <w:t> </w:t>
      </w:r>
      <w:r>
        <w:rPr/>
        <w:t>seed</w:t>
      </w:r>
      <w:r>
        <w:rPr>
          <w:spacing w:val="-19"/>
        </w:rPr>
        <w:t> </w:t>
      </w:r>
      <w:r>
        <w:rPr/>
        <w:t>extract</w:t>
      </w:r>
      <w:r>
        <w:rPr>
          <w:spacing w:val="-19"/>
        </w:rPr>
        <w:t> </w:t>
      </w:r>
      <w:r>
        <w:rPr/>
        <w:t>at</w:t>
      </w:r>
      <w:r>
        <w:rPr>
          <w:spacing w:val="-19"/>
        </w:rPr>
        <w:t> </w:t>
      </w:r>
      <w:r>
        <w:rPr/>
        <w:t>normal</w:t>
      </w:r>
      <w:r>
        <w:rPr>
          <w:spacing w:val="-20"/>
        </w:rPr>
        <w:t> </w:t>
      </w:r>
      <w:r>
        <w:rPr/>
        <w:t>dos- age does not destroy the positive intestinal flora</w:t>
      </w:r>
      <w:r>
        <w:rPr>
          <w:spacing w:val="-4"/>
        </w:rPr>
        <w:t> </w:t>
      </w:r>
      <w:r>
        <w:rPr/>
        <w:t>bacteria.</w:t>
      </w:r>
    </w:p>
    <w:p>
      <w:pPr>
        <w:pStyle w:val="Heading1"/>
      </w:pPr>
      <w:r>
        <w:rPr/>
        <w:t>Antiviral effect</w:t>
      </w:r>
    </w:p>
    <w:p>
      <w:pPr>
        <w:pStyle w:val="BodyText"/>
        <w:spacing w:line="276" w:lineRule="auto" w:before="297"/>
        <w:ind w:left="477" w:right="135"/>
        <w:jc w:val="both"/>
      </w:pPr>
      <w:r>
        <w:rPr/>
        <w:t>The antiviral effect of grapefruit seed extract is effective in all diseases caused by viruses.</w:t>
      </w:r>
    </w:p>
    <w:p>
      <w:pPr>
        <w:pStyle w:val="Heading1"/>
      </w:pPr>
      <w:r>
        <w:rPr/>
        <w:t>Fungal-killing effect</w:t>
      </w:r>
    </w:p>
    <w:p>
      <w:pPr>
        <w:pStyle w:val="BodyText"/>
        <w:spacing w:line="276" w:lineRule="auto" w:before="299"/>
        <w:ind w:left="477" w:right="133"/>
        <w:jc w:val="both"/>
      </w:pPr>
      <w:r>
        <w:rPr/>
        <w:t>Fungi</w:t>
      </w:r>
      <w:r>
        <w:rPr>
          <w:spacing w:val="-23"/>
        </w:rPr>
        <w:t> </w:t>
      </w:r>
      <w:r>
        <w:rPr/>
        <w:t>attach</w:t>
      </w:r>
      <w:r>
        <w:rPr>
          <w:spacing w:val="-21"/>
        </w:rPr>
        <w:t> </w:t>
      </w:r>
      <w:r>
        <w:rPr/>
        <w:t>themselves</w:t>
      </w:r>
      <w:r>
        <w:rPr>
          <w:spacing w:val="-20"/>
        </w:rPr>
        <w:t> </w:t>
      </w:r>
      <w:r>
        <w:rPr/>
        <w:t>to</w:t>
      </w:r>
      <w:r>
        <w:rPr>
          <w:spacing w:val="-21"/>
        </w:rPr>
        <w:t> </w:t>
      </w:r>
      <w:r>
        <w:rPr/>
        <w:t>the</w:t>
      </w:r>
      <w:r>
        <w:rPr>
          <w:spacing w:val="-23"/>
        </w:rPr>
        <w:t> </w:t>
      </w:r>
      <w:r>
        <w:rPr/>
        <w:t>skin</w:t>
      </w:r>
      <w:r>
        <w:rPr>
          <w:spacing w:val="-21"/>
        </w:rPr>
        <w:t> </w:t>
      </w:r>
      <w:r>
        <w:rPr/>
        <w:t>in</w:t>
      </w:r>
      <w:r>
        <w:rPr>
          <w:spacing w:val="-22"/>
        </w:rPr>
        <w:t> </w:t>
      </w:r>
      <w:r>
        <w:rPr/>
        <w:t>various</w:t>
      </w:r>
      <w:r>
        <w:rPr>
          <w:spacing w:val="-21"/>
        </w:rPr>
        <w:t> </w:t>
      </w:r>
      <w:r>
        <w:rPr/>
        <w:t>places</w:t>
      </w:r>
      <w:r>
        <w:rPr>
          <w:spacing w:val="-20"/>
        </w:rPr>
        <w:t> </w:t>
      </w:r>
      <w:r>
        <w:rPr/>
        <w:t>(best</w:t>
      </w:r>
      <w:r>
        <w:rPr>
          <w:spacing w:val="-22"/>
        </w:rPr>
        <w:t> </w:t>
      </w:r>
      <w:r>
        <w:rPr/>
        <w:t>known</w:t>
      </w:r>
      <w:r>
        <w:rPr>
          <w:spacing w:val="-21"/>
        </w:rPr>
        <w:t> </w:t>
      </w:r>
      <w:r>
        <w:rPr/>
        <w:t>example:</w:t>
      </w:r>
      <w:r>
        <w:rPr>
          <w:spacing w:val="-21"/>
        </w:rPr>
        <w:t> </w:t>
      </w:r>
      <w:r>
        <w:rPr/>
        <w:t>Ath- lete's foot), but also infest internal organs and can cause immense damage to health in the affected area.</w:t>
      </w:r>
    </w:p>
    <w:p>
      <w:pPr>
        <w:pStyle w:val="BodyText"/>
        <w:spacing w:line="276" w:lineRule="auto" w:before="242"/>
        <w:ind w:left="477" w:right="141"/>
        <w:jc w:val="both"/>
      </w:pPr>
      <w:r>
        <w:rPr/>
        <w:t>The fungicidal and antifungal activity of grapefruit seed extract tackles all sorts of fungal infection that makes life difficult for us.</w:t>
      </w:r>
    </w:p>
    <w:p>
      <w:pPr>
        <w:spacing w:after="0" w:line="276" w:lineRule="auto"/>
        <w:jc w:val="both"/>
        <w:sectPr>
          <w:footerReference w:type="default" r:id="rId138"/>
          <w:pgSz w:w="14270" w:h="16850"/>
          <w:pgMar w:footer="1891" w:header="0" w:top="1600" w:bottom="2080" w:left="800" w:right="1280"/>
          <w:pgNumType w:start="540"/>
        </w:sectPr>
      </w:pPr>
    </w:p>
    <w:p>
      <w:pPr>
        <w:pStyle w:val="BodyText"/>
        <w:spacing w:line="276" w:lineRule="auto" w:before="181"/>
        <w:ind w:left="477" w:right="138"/>
        <w:jc w:val="both"/>
      </w:pPr>
      <w:r>
        <w:rPr/>
        <w:t>Excessive use of antibiotics and taking other medicines actually promotes the production of fungi in the body and on the body. According to recent studies, grapefruit seed extract has an effect on over 100 different types of fungi.</w:t>
      </w:r>
    </w:p>
    <w:p>
      <w:pPr>
        <w:pStyle w:val="Heading1"/>
        <w:jc w:val="both"/>
      </w:pPr>
      <w:r>
        <w:rPr/>
        <w:t>Immune building effect</w:t>
      </w:r>
    </w:p>
    <w:p>
      <w:pPr>
        <w:pStyle w:val="BodyText"/>
        <w:spacing w:line="276" w:lineRule="auto" w:before="300"/>
        <w:ind w:left="477" w:right="137"/>
        <w:jc w:val="both"/>
      </w:pPr>
      <w:r>
        <w:rPr/>
        <w:t>Grapefruit seed extract has immune-enhancing properties and thus protects us from attack by pathogens. While antibiotics and other medicines weaken the immune system as a side effect, according to studies, taking grapefruit seed ex- tract actually strengthens our immune system.</w:t>
      </w:r>
    </w:p>
    <w:p>
      <w:pPr>
        <w:pStyle w:val="BodyText"/>
        <w:spacing w:line="276" w:lineRule="auto" w:before="239"/>
        <w:ind w:left="477" w:right="140"/>
        <w:jc w:val="both"/>
      </w:pPr>
      <w:r>
        <w:rPr/>
        <w:t>Thus, grapefruit seed extract works in two ways: It destroys the unwanted par- asites and also strengthens the immune system, which then takes on the fight against parasites.</w:t>
      </w:r>
    </w:p>
    <w:p>
      <w:pPr>
        <w:pStyle w:val="Heading1"/>
        <w:spacing w:before="222"/>
        <w:jc w:val="both"/>
      </w:pPr>
      <w:r>
        <w:rPr/>
        <w:t>Conserving effect</w:t>
      </w:r>
    </w:p>
    <w:p>
      <w:pPr>
        <w:pStyle w:val="BodyText"/>
        <w:spacing w:line="276" w:lineRule="auto" w:before="299"/>
        <w:ind w:left="477" w:right="134"/>
        <w:jc w:val="both"/>
      </w:pPr>
      <w:r>
        <w:rPr/>
        <w:t>When food spoils, this process is due to decomposition by bacteria.</w:t>
      </w:r>
      <w:r>
        <w:rPr>
          <w:spacing w:val="-49"/>
        </w:rPr>
        <w:t> </w:t>
      </w:r>
      <w:r>
        <w:rPr/>
        <w:t>Grapefruit seed extract has an antibacterial effect and is therefore well suited to be a pre- servative. But cosmetics also contain chemical preservatives which are not ex- actly health-promoting; grapefruit seed extract can also be a good alternative here.</w:t>
      </w:r>
    </w:p>
    <w:p>
      <w:pPr>
        <w:spacing w:after="0" w:line="276" w:lineRule="auto"/>
        <w:jc w:val="both"/>
        <w:sectPr>
          <w:pgSz w:w="14270" w:h="16850"/>
          <w:pgMar w:header="0" w:footer="1891" w:top="1600" w:bottom="2080" w:left="800" w:right="1280"/>
        </w:sectPr>
      </w:pPr>
    </w:p>
    <w:p>
      <w:pPr>
        <w:pStyle w:val="Heading1"/>
        <w:spacing w:before="164"/>
      </w:pPr>
      <w:r>
        <w:rPr/>
        <w:t>Disinfecting effect</w:t>
      </w:r>
    </w:p>
    <w:p>
      <w:pPr>
        <w:pStyle w:val="BodyText"/>
        <w:spacing w:line="276" w:lineRule="auto" w:before="299"/>
        <w:ind w:left="477" w:right="132"/>
        <w:jc w:val="both"/>
      </w:pPr>
      <w:r>
        <w:rPr/>
        <w:t>Due</w:t>
      </w:r>
      <w:r>
        <w:rPr>
          <w:spacing w:val="-17"/>
        </w:rPr>
        <w:t> </w:t>
      </w:r>
      <w:r>
        <w:rPr/>
        <w:t>to</w:t>
      </w:r>
      <w:r>
        <w:rPr>
          <w:spacing w:val="-15"/>
        </w:rPr>
        <w:t> </w:t>
      </w:r>
      <w:r>
        <w:rPr/>
        <w:t>its</w:t>
      </w:r>
      <w:r>
        <w:rPr>
          <w:spacing w:val="-16"/>
        </w:rPr>
        <w:t> </w:t>
      </w:r>
      <w:r>
        <w:rPr/>
        <w:t>antibacterial,</w:t>
      </w:r>
      <w:r>
        <w:rPr>
          <w:spacing w:val="-14"/>
        </w:rPr>
        <w:t> </w:t>
      </w:r>
      <w:r>
        <w:rPr/>
        <w:t>antiviral,</w:t>
      </w:r>
      <w:r>
        <w:rPr>
          <w:spacing w:val="-14"/>
        </w:rPr>
        <w:t> </w:t>
      </w:r>
      <w:r>
        <w:rPr/>
        <w:t>fungicidal,</w:t>
      </w:r>
      <w:r>
        <w:rPr>
          <w:spacing w:val="-15"/>
        </w:rPr>
        <w:t> </w:t>
      </w:r>
      <w:r>
        <w:rPr/>
        <w:t>wide-ranging</w:t>
      </w:r>
      <w:r>
        <w:rPr>
          <w:spacing w:val="-15"/>
        </w:rPr>
        <w:t> </w:t>
      </w:r>
      <w:r>
        <w:rPr/>
        <w:t>effect,</w:t>
      </w:r>
      <w:r>
        <w:rPr>
          <w:spacing w:val="-14"/>
        </w:rPr>
        <w:t> </w:t>
      </w:r>
      <w:r>
        <w:rPr/>
        <w:t>grapefruit</w:t>
      </w:r>
      <w:r>
        <w:rPr>
          <w:spacing w:val="-17"/>
        </w:rPr>
        <w:t> </w:t>
      </w:r>
      <w:r>
        <w:rPr/>
        <w:t>seed extract can be used in the household, in medicine, industry and agriculture as a disinfectant.</w:t>
      </w:r>
    </w:p>
    <w:p>
      <w:pPr>
        <w:pStyle w:val="BodyText"/>
        <w:spacing w:line="276" w:lineRule="auto" w:before="242"/>
        <w:ind w:left="477" w:right="131"/>
        <w:jc w:val="both"/>
      </w:pPr>
      <w:r>
        <w:rPr/>
        <w:t>The</w:t>
      </w:r>
      <w:r>
        <w:rPr>
          <w:spacing w:val="-9"/>
        </w:rPr>
        <w:t> </w:t>
      </w:r>
      <w:r>
        <w:rPr/>
        <w:t>Americans</w:t>
      </w:r>
      <w:r>
        <w:rPr>
          <w:spacing w:val="-8"/>
        </w:rPr>
        <w:t> </w:t>
      </w:r>
      <w:r>
        <w:rPr/>
        <w:t>are</w:t>
      </w:r>
      <w:r>
        <w:rPr>
          <w:spacing w:val="-9"/>
        </w:rPr>
        <w:t> </w:t>
      </w:r>
      <w:r>
        <w:rPr/>
        <w:t>the</w:t>
      </w:r>
      <w:r>
        <w:rPr>
          <w:spacing w:val="-7"/>
        </w:rPr>
        <w:t> </w:t>
      </w:r>
      <w:r>
        <w:rPr/>
        <w:t>pioneers</w:t>
      </w:r>
      <w:r>
        <w:rPr>
          <w:spacing w:val="-11"/>
        </w:rPr>
        <w:t> </w:t>
      </w:r>
      <w:r>
        <w:rPr/>
        <w:t>here:</w:t>
      </w:r>
      <w:r>
        <w:rPr>
          <w:spacing w:val="-6"/>
        </w:rPr>
        <w:t> </w:t>
      </w:r>
      <w:r>
        <w:rPr/>
        <w:t>grapefruit</w:t>
      </w:r>
      <w:r>
        <w:rPr>
          <w:spacing w:val="-9"/>
        </w:rPr>
        <w:t> </w:t>
      </w:r>
      <w:r>
        <w:rPr/>
        <w:t>seed</w:t>
      </w:r>
      <w:r>
        <w:rPr>
          <w:spacing w:val="-10"/>
        </w:rPr>
        <w:t> </w:t>
      </w:r>
      <w:r>
        <w:rPr/>
        <w:t>extract</w:t>
      </w:r>
      <w:r>
        <w:rPr>
          <w:spacing w:val="-9"/>
        </w:rPr>
        <w:t> </w:t>
      </w:r>
      <w:r>
        <w:rPr/>
        <w:t>is</w:t>
      </w:r>
      <w:r>
        <w:rPr>
          <w:spacing w:val="-9"/>
        </w:rPr>
        <w:t> </w:t>
      </w:r>
      <w:r>
        <w:rPr/>
        <w:t>added</w:t>
      </w:r>
      <w:r>
        <w:rPr>
          <w:spacing w:val="-8"/>
        </w:rPr>
        <w:t> </w:t>
      </w:r>
      <w:r>
        <w:rPr/>
        <w:t>to</w:t>
      </w:r>
      <w:r>
        <w:rPr>
          <w:spacing w:val="-9"/>
        </w:rPr>
        <w:t> </w:t>
      </w:r>
      <w:r>
        <w:rPr/>
        <w:t>house- hold cleaners, carpet cleaners and water for rinsing, and even hospitals use it</w:t>
      </w:r>
      <w:r>
        <w:rPr>
          <w:spacing w:val="-60"/>
        </w:rPr>
        <w:t> </w:t>
      </w:r>
      <w:r>
        <w:rPr/>
        <w:t>as a</w:t>
      </w:r>
      <w:r>
        <w:rPr>
          <w:spacing w:val="-2"/>
        </w:rPr>
        <w:t> </w:t>
      </w:r>
      <w:r>
        <w:rPr/>
        <w:t>disinfectant.</w:t>
      </w:r>
    </w:p>
    <w:p>
      <w:pPr>
        <w:pStyle w:val="BodyText"/>
        <w:spacing w:before="6"/>
        <w:rPr>
          <w:sz w:val="42"/>
        </w:rPr>
      </w:pPr>
    </w:p>
    <w:p>
      <w:pPr>
        <w:pStyle w:val="Heading2"/>
      </w:pPr>
      <w:r>
        <w:rPr/>
        <w:t>Active ingredients of grapefruit seed extract</w:t>
      </w:r>
    </w:p>
    <w:p>
      <w:pPr>
        <w:pStyle w:val="BodyText"/>
        <w:spacing w:line="276" w:lineRule="auto" w:before="305"/>
        <w:ind w:left="477" w:right="144"/>
        <w:jc w:val="both"/>
      </w:pPr>
      <w:r>
        <w:rPr/>
        <w:t>It is the interplay of uniquely harmonised ingredients that give the grapefruit kernel these phenomenal properties in the fight against parasites.</w:t>
      </w:r>
    </w:p>
    <w:p>
      <w:pPr>
        <w:pStyle w:val="BodyText"/>
        <w:spacing w:line="276" w:lineRule="auto" w:before="241"/>
        <w:ind w:left="477" w:right="135"/>
        <w:jc w:val="both"/>
      </w:pPr>
      <w:r>
        <w:rPr/>
        <w:t>Grapefruit seeds have a number of very effective protective agents, and the highly potent ingredients of grapefruit seed extract include glycosides, limo- noids and flavonoids. Flavonoids contained in the grapefruit kernel include:</w:t>
      </w:r>
    </w:p>
    <w:p>
      <w:pPr>
        <w:pStyle w:val="ListParagraph"/>
        <w:numPr>
          <w:ilvl w:val="0"/>
          <w:numId w:val="33"/>
        </w:numPr>
        <w:tabs>
          <w:tab w:pos="1198" w:val="left" w:leader="none"/>
        </w:tabs>
        <w:spacing w:line="240" w:lineRule="auto" w:before="240" w:after="0"/>
        <w:ind w:left="1197" w:right="0" w:hanging="720"/>
        <w:jc w:val="both"/>
        <w:rPr>
          <w:sz w:val="38"/>
        </w:rPr>
      </w:pPr>
      <w:r>
        <w:rPr>
          <w:sz w:val="38"/>
        </w:rPr>
        <w:t>hesperidin</w:t>
      </w:r>
    </w:p>
    <w:p>
      <w:pPr>
        <w:pStyle w:val="ListParagraph"/>
        <w:numPr>
          <w:ilvl w:val="0"/>
          <w:numId w:val="33"/>
        </w:numPr>
        <w:tabs>
          <w:tab w:pos="1198" w:val="left" w:leader="none"/>
        </w:tabs>
        <w:spacing w:line="240" w:lineRule="auto" w:before="304" w:after="0"/>
        <w:ind w:left="1197" w:right="0" w:hanging="720"/>
        <w:jc w:val="both"/>
        <w:rPr>
          <w:sz w:val="38"/>
        </w:rPr>
      </w:pPr>
      <w:r>
        <w:rPr>
          <w:sz w:val="38"/>
        </w:rPr>
        <w:t>naringin</w:t>
      </w:r>
    </w:p>
    <w:p>
      <w:pPr>
        <w:pStyle w:val="ListParagraph"/>
        <w:numPr>
          <w:ilvl w:val="0"/>
          <w:numId w:val="33"/>
        </w:numPr>
        <w:tabs>
          <w:tab w:pos="1198" w:val="left" w:leader="none"/>
        </w:tabs>
        <w:spacing w:line="240" w:lineRule="auto" w:before="306" w:after="0"/>
        <w:ind w:left="1197" w:right="0" w:hanging="720"/>
        <w:jc w:val="both"/>
        <w:rPr>
          <w:sz w:val="38"/>
        </w:rPr>
      </w:pPr>
      <w:r>
        <w:rPr>
          <w:sz w:val="38"/>
        </w:rPr>
        <w:t>limonin</w:t>
      </w:r>
    </w:p>
    <w:p>
      <w:pPr>
        <w:pStyle w:val="ListParagraph"/>
        <w:numPr>
          <w:ilvl w:val="0"/>
          <w:numId w:val="33"/>
        </w:numPr>
        <w:tabs>
          <w:tab w:pos="1198" w:val="left" w:leader="none"/>
        </w:tabs>
        <w:spacing w:line="240" w:lineRule="auto" w:before="304" w:after="0"/>
        <w:ind w:left="1197" w:right="0" w:hanging="720"/>
        <w:jc w:val="both"/>
        <w:rPr>
          <w:sz w:val="38"/>
        </w:rPr>
      </w:pPr>
      <w:r>
        <w:rPr>
          <w:sz w:val="38"/>
        </w:rPr>
        <w:t>rutin</w:t>
      </w:r>
    </w:p>
    <w:p>
      <w:pPr>
        <w:pStyle w:val="ListParagraph"/>
        <w:numPr>
          <w:ilvl w:val="0"/>
          <w:numId w:val="33"/>
        </w:numPr>
        <w:tabs>
          <w:tab w:pos="1198" w:val="left" w:leader="none"/>
        </w:tabs>
        <w:spacing w:line="240" w:lineRule="auto" w:before="304" w:after="0"/>
        <w:ind w:left="1197" w:right="0" w:hanging="720"/>
        <w:jc w:val="both"/>
        <w:rPr>
          <w:sz w:val="38"/>
        </w:rPr>
      </w:pPr>
      <w:r>
        <w:rPr>
          <w:sz w:val="38"/>
        </w:rPr>
        <w:t>quercetin</w:t>
      </w:r>
    </w:p>
    <w:p>
      <w:pPr>
        <w:spacing w:after="0" w:line="240" w:lineRule="auto"/>
        <w:jc w:val="both"/>
        <w:rPr>
          <w:sz w:val="38"/>
        </w:rPr>
        <w:sectPr>
          <w:pgSz w:w="14270" w:h="16850"/>
          <w:pgMar w:header="0" w:footer="1891" w:top="1600" w:bottom="2080" w:left="800" w:right="1280"/>
        </w:sectPr>
      </w:pPr>
    </w:p>
    <w:p>
      <w:pPr>
        <w:pStyle w:val="BodyText"/>
        <w:spacing w:before="10"/>
        <w:rPr>
          <w:sz w:val="8"/>
        </w:rPr>
      </w:pPr>
    </w:p>
    <w:p>
      <w:pPr>
        <w:pStyle w:val="ListParagraph"/>
        <w:numPr>
          <w:ilvl w:val="0"/>
          <w:numId w:val="33"/>
        </w:numPr>
        <w:tabs>
          <w:tab w:pos="1197" w:val="left" w:leader="none"/>
          <w:tab w:pos="1198" w:val="left" w:leader="none"/>
        </w:tabs>
        <w:spacing w:line="240" w:lineRule="auto" w:before="83" w:after="0"/>
        <w:ind w:left="1197" w:right="0" w:hanging="720"/>
        <w:jc w:val="left"/>
        <w:rPr>
          <w:sz w:val="38"/>
        </w:rPr>
      </w:pPr>
      <w:r>
        <w:rPr>
          <w:sz w:val="38"/>
        </w:rPr>
        <w:t>kaempferol</w:t>
      </w:r>
    </w:p>
    <w:p>
      <w:pPr>
        <w:pStyle w:val="ListParagraph"/>
        <w:numPr>
          <w:ilvl w:val="0"/>
          <w:numId w:val="33"/>
        </w:numPr>
        <w:tabs>
          <w:tab w:pos="1197" w:val="left" w:leader="none"/>
          <w:tab w:pos="1198" w:val="left" w:leader="none"/>
        </w:tabs>
        <w:spacing w:line="240" w:lineRule="auto" w:before="304" w:after="0"/>
        <w:ind w:left="1197" w:right="0" w:hanging="720"/>
        <w:jc w:val="left"/>
        <w:rPr>
          <w:sz w:val="38"/>
        </w:rPr>
      </w:pPr>
      <w:r>
        <w:rPr>
          <w:sz w:val="38"/>
        </w:rPr>
        <w:t>poncirin</w:t>
      </w:r>
    </w:p>
    <w:p>
      <w:pPr>
        <w:pStyle w:val="BodyText"/>
        <w:spacing w:line="276" w:lineRule="auto" w:before="304"/>
        <w:ind w:left="477" w:right="136"/>
        <w:jc w:val="both"/>
      </w:pPr>
      <w:r>
        <w:rPr/>
        <w:t>Flavonoids belong to a group of phytochemicals that often have healing prop- erties. The grapefruit seed flavonoids listed above strengthen our immune sys- tem by stimulating our intestinal immune system, leading to increased</w:t>
      </w:r>
      <w:r>
        <w:rPr>
          <w:spacing w:val="-58"/>
        </w:rPr>
        <w:t> </w:t>
      </w:r>
      <w:r>
        <w:rPr/>
        <w:t>antibody production. The antibodies successfully fight bacteria, viruses and fungi.</w:t>
      </w:r>
    </w:p>
    <w:p>
      <w:pPr>
        <w:pStyle w:val="BodyText"/>
        <w:spacing w:line="276" w:lineRule="auto" w:before="240"/>
        <w:ind w:left="477"/>
      </w:pPr>
      <w:r>
        <w:rPr/>
        <w:t>In addition, the flavonoid ‘kaempferol’ is able to directly inhibit the growth of certain bacteria, viruses and fungi.</w:t>
      </w:r>
    </w:p>
    <w:p>
      <w:pPr>
        <w:pStyle w:val="BodyText"/>
        <w:spacing w:line="276" w:lineRule="auto" w:before="241"/>
        <w:ind w:left="477"/>
      </w:pPr>
      <w:r>
        <w:rPr/>
        <w:t>Glycosides, in turn, are compounds of flavonoids with different sugars, called glycosides. The glycosides contained in the grapefruit kernel include:</w:t>
      </w:r>
    </w:p>
    <w:p>
      <w:pPr>
        <w:pStyle w:val="ListParagraph"/>
        <w:numPr>
          <w:ilvl w:val="0"/>
          <w:numId w:val="33"/>
        </w:numPr>
        <w:tabs>
          <w:tab w:pos="1198" w:val="left" w:leader="none"/>
        </w:tabs>
        <w:spacing w:line="240" w:lineRule="auto" w:before="239" w:after="0"/>
        <w:ind w:left="1197" w:right="0" w:hanging="720"/>
        <w:jc w:val="both"/>
        <w:rPr>
          <w:sz w:val="38"/>
        </w:rPr>
      </w:pPr>
      <w:r>
        <w:rPr>
          <w:sz w:val="38"/>
        </w:rPr>
        <w:t>hesperidin</w:t>
      </w:r>
    </w:p>
    <w:p>
      <w:pPr>
        <w:pStyle w:val="ListParagraph"/>
        <w:numPr>
          <w:ilvl w:val="0"/>
          <w:numId w:val="33"/>
        </w:numPr>
        <w:tabs>
          <w:tab w:pos="1198" w:val="left" w:leader="none"/>
        </w:tabs>
        <w:spacing w:line="240" w:lineRule="auto" w:before="307" w:after="0"/>
        <w:ind w:left="1197" w:right="0" w:hanging="720"/>
        <w:jc w:val="both"/>
        <w:rPr>
          <w:sz w:val="38"/>
        </w:rPr>
      </w:pPr>
      <w:r>
        <w:rPr>
          <w:sz w:val="38"/>
        </w:rPr>
        <w:t>naringin</w:t>
      </w:r>
    </w:p>
    <w:p>
      <w:pPr>
        <w:pStyle w:val="ListParagraph"/>
        <w:numPr>
          <w:ilvl w:val="0"/>
          <w:numId w:val="33"/>
        </w:numPr>
        <w:tabs>
          <w:tab w:pos="1198" w:val="left" w:leader="none"/>
        </w:tabs>
        <w:spacing w:line="240" w:lineRule="auto" w:before="303" w:after="0"/>
        <w:ind w:left="1197" w:right="0" w:hanging="720"/>
        <w:jc w:val="both"/>
        <w:rPr>
          <w:sz w:val="38"/>
        </w:rPr>
      </w:pPr>
      <w:r>
        <w:rPr>
          <w:sz w:val="38"/>
        </w:rPr>
        <w:t>quercetin</w:t>
      </w:r>
    </w:p>
    <w:p>
      <w:pPr>
        <w:pStyle w:val="ListParagraph"/>
        <w:numPr>
          <w:ilvl w:val="0"/>
          <w:numId w:val="33"/>
        </w:numPr>
        <w:tabs>
          <w:tab w:pos="1198" w:val="left" w:leader="none"/>
        </w:tabs>
        <w:spacing w:line="240" w:lineRule="auto" w:before="304" w:after="0"/>
        <w:ind w:left="1197" w:right="0" w:hanging="720"/>
        <w:jc w:val="both"/>
        <w:rPr>
          <w:sz w:val="38"/>
        </w:rPr>
      </w:pPr>
      <w:r>
        <w:rPr>
          <w:sz w:val="38"/>
        </w:rPr>
        <w:t>neohesperidin</w:t>
      </w:r>
    </w:p>
    <w:p>
      <w:pPr>
        <w:pStyle w:val="ListParagraph"/>
        <w:numPr>
          <w:ilvl w:val="0"/>
          <w:numId w:val="33"/>
        </w:numPr>
        <w:tabs>
          <w:tab w:pos="1198" w:val="left" w:leader="none"/>
        </w:tabs>
        <w:spacing w:line="240" w:lineRule="auto" w:before="304" w:after="0"/>
        <w:ind w:left="1197" w:right="0" w:hanging="720"/>
        <w:jc w:val="both"/>
        <w:rPr>
          <w:sz w:val="38"/>
        </w:rPr>
      </w:pPr>
      <w:r>
        <w:rPr>
          <w:sz w:val="38"/>
        </w:rPr>
        <w:t>kaempferol</w:t>
      </w:r>
    </w:p>
    <w:p>
      <w:pPr>
        <w:pStyle w:val="ListParagraph"/>
        <w:numPr>
          <w:ilvl w:val="0"/>
          <w:numId w:val="33"/>
        </w:numPr>
        <w:tabs>
          <w:tab w:pos="1198" w:val="left" w:leader="none"/>
        </w:tabs>
        <w:spacing w:line="240" w:lineRule="auto" w:before="303" w:after="0"/>
        <w:ind w:left="1197" w:right="0" w:hanging="720"/>
        <w:jc w:val="both"/>
        <w:rPr>
          <w:sz w:val="38"/>
        </w:rPr>
      </w:pPr>
      <w:r>
        <w:rPr>
          <w:sz w:val="38"/>
        </w:rPr>
        <w:t>isosakuranetin</w:t>
      </w:r>
    </w:p>
    <w:p>
      <w:pPr>
        <w:pStyle w:val="Heading2"/>
        <w:spacing w:line="276" w:lineRule="auto" w:before="305"/>
      </w:pPr>
      <w:r>
        <w:rPr/>
        <w:t>Limonoids give citrus fruits their bitter taste and prevent parasites in- gesting food and thus their growth and reproduction.</w:t>
      </w:r>
    </w:p>
    <w:p>
      <w:pPr>
        <w:spacing w:after="0" w:line="276" w:lineRule="auto"/>
        <w:sectPr>
          <w:pgSz w:w="14270" w:h="16850"/>
          <w:pgMar w:header="0" w:footer="1891" w:top="1600" w:bottom="2080" w:left="800" w:right="1280"/>
        </w:sectPr>
      </w:pPr>
    </w:p>
    <w:p>
      <w:pPr>
        <w:spacing w:before="184"/>
        <w:ind w:left="477" w:right="0" w:firstLine="0"/>
        <w:jc w:val="both"/>
        <w:rPr>
          <w:b/>
          <w:sz w:val="38"/>
        </w:rPr>
      </w:pPr>
      <w:r>
        <w:rPr>
          <w:b/>
          <w:sz w:val="38"/>
        </w:rPr>
        <w:t>When does grapefruit seed extract begin to work?</w:t>
      </w:r>
    </w:p>
    <w:p>
      <w:pPr>
        <w:pStyle w:val="BodyText"/>
        <w:spacing w:line="276" w:lineRule="auto" w:before="302"/>
        <w:ind w:left="477" w:right="142"/>
        <w:jc w:val="both"/>
      </w:pPr>
      <w:r>
        <w:rPr/>
        <w:t>Depending on the disease and severity, it may take several weeks or months until the desired success occurs, especially in cases of internal fungal diseases and long and chronic illnesses. As with all natural remedies, grapefruit seed ex- tract also requires patience and not giving up too soon.</w:t>
      </w:r>
    </w:p>
    <w:p>
      <w:pPr>
        <w:pStyle w:val="BodyText"/>
        <w:spacing w:before="7"/>
        <w:rPr>
          <w:sz w:val="42"/>
        </w:rPr>
      </w:pPr>
    </w:p>
    <w:p>
      <w:pPr>
        <w:pStyle w:val="Heading2"/>
        <w:jc w:val="both"/>
      </w:pPr>
      <w:r>
        <w:rPr/>
        <w:t>Grapefruit seed extract as a ‘herbal antibiotic’</w:t>
      </w:r>
    </w:p>
    <w:p>
      <w:pPr>
        <w:pStyle w:val="BodyText"/>
        <w:spacing w:line="276" w:lineRule="auto" w:before="305"/>
        <w:ind w:left="477" w:right="132"/>
        <w:jc w:val="both"/>
      </w:pPr>
      <w:r>
        <w:rPr/>
        <w:t>Grapefruit seed extract has rapidly earned its reputation as a ‘herbal antibiotic’ because</w:t>
      </w:r>
      <w:r>
        <w:rPr>
          <w:spacing w:val="-8"/>
        </w:rPr>
        <w:t> </w:t>
      </w:r>
      <w:r>
        <w:rPr/>
        <w:t>of</w:t>
      </w:r>
      <w:r>
        <w:rPr>
          <w:spacing w:val="-7"/>
        </w:rPr>
        <w:t> </w:t>
      </w:r>
      <w:r>
        <w:rPr/>
        <w:t>its</w:t>
      </w:r>
      <w:r>
        <w:rPr>
          <w:spacing w:val="-7"/>
        </w:rPr>
        <w:t> </w:t>
      </w:r>
      <w:r>
        <w:rPr/>
        <w:t>powerful</w:t>
      </w:r>
      <w:r>
        <w:rPr>
          <w:spacing w:val="-9"/>
        </w:rPr>
        <w:t> </w:t>
      </w:r>
      <w:r>
        <w:rPr/>
        <w:t>effect</w:t>
      </w:r>
      <w:r>
        <w:rPr>
          <w:spacing w:val="-7"/>
        </w:rPr>
        <w:t> </w:t>
      </w:r>
      <w:r>
        <w:rPr/>
        <w:t>against</w:t>
      </w:r>
      <w:r>
        <w:rPr>
          <w:spacing w:val="-7"/>
        </w:rPr>
        <w:t> </w:t>
      </w:r>
      <w:r>
        <w:rPr/>
        <w:t>all</w:t>
      </w:r>
      <w:r>
        <w:rPr>
          <w:spacing w:val="-8"/>
        </w:rPr>
        <w:t> </w:t>
      </w:r>
      <w:r>
        <w:rPr/>
        <w:t>sorts</w:t>
      </w:r>
      <w:r>
        <w:rPr>
          <w:spacing w:val="-6"/>
        </w:rPr>
        <w:t> </w:t>
      </w:r>
      <w:r>
        <w:rPr/>
        <w:t>of</w:t>
      </w:r>
      <w:r>
        <w:rPr>
          <w:spacing w:val="-7"/>
        </w:rPr>
        <w:t> </w:t>
      </w:r>
      <w:r>
        <w:rPr/>
        <w:t>bacteria,</w:t>
      </w:r>
      <w:r>
        <w:rPr>
          <w:spacing w:val="-7"/>
        </w:rPr>
        <w:t> </w:t>
      </w:r>
      <w:r>
        <w:rPr/>
        <w:t>viruses</w:t>
      </w:r>
      <w:r>
        <w:rPr>
          <w:spacing w:val="-6"/>
        </w:rPr>
        <w:t> </w:t>
      </w:r>
      <w:r>
        <w:rPr/>
        <w:t>and</w:t>
      </w:r>
      <w:r>
        <w:rPr>
          <w:spacing w:val="-7"/>
        </w:rPr>
        <w:t> </w:t>
      </w:r>
      <w:r>
        <w:rPr/>
        <w:t>fungi</w:t>
      </w:r>
      <w:r>
        <w:rPr>
          <w:spacing w:val="-4"/>
        </w:rPr>
        <w:t> </w:t>
      </w:r>
      <w:r>
        <w:rPr/>
        <w:t>and can</w:t>
      </w:r>
      <w:r>
        <w:rPr>
          <w:spacing w:val="-13"/>
        </w:rPr>
        <w:t> </w:t>
      </w:r>
      <w:r>
        <w:rPr/>
        <w:t>be</w:t>
      </w:r>
      <w:r>
        <w:rPr>
          <w:spacing w:val="-13"/>
        </w:rPr>
        <w:t> </w:t>
      </w:r>
      <w:r>
        <w:rPr/>
        <w:t>considered</w:t>
      </w:r>
      <w:r>
        <w:rPr>
          <w:spacing w:val="-14"/>
        </w:rPr>
        <w:t> </w:t>
      </w:r>
      <w:r>
        <w:rPr/>
        <w:t>a</w:t>
      </w:r>
      <w:r>
        <w:rPr>
          <w:spacing w:val="-14"/>
        </w:rPr>
        <w:t> </w:t>
      </w:r>
      <w:r>
        <w:rPr/>
        <w:t>blessing</w:t>
      </w:r>
      <w:r>
        <w:rPr>
          <w:spacing w:val="-13"/>
        </w:rPr>
        <w:t> </w:t>
      </w:r>
      <w:r>
        <w:rPr/>
        <w:t>given</w:t>
      </w:r>
      <w:r>
        <w:rPr>
          <w:spacing w:val="-14"/>
        </w:rPr>
        <w:t> </w:t>
      </w:r>
      <w:r>
        <w:rPr/>
        <w:t>the</w:t>
      </w:r>
      <w:r>
        <w:rPr>
          <w:spacing w:val="-12"/>
        </w:rPr>
        <w:t> </w:t>
      </w:r>
      <w:r>
        <w:rPr/>
        <w:t>negative</w:t>
      </w:r>
      <w:r>
        <w:rPr>
          <w:spacing w:val="-14"/>
        </w:rPr>
        <w:t> </w:t>
      </w:r>
      <w:r>
        <w:rPr/>
        <w:t>development</w:t>
      </w:r>
      <w:r>
        <w:rPr>
          <w:spacing w:val="-14"/>
        </w:rPr>
        <w:t> </w:t>
      </w:r>
      <w:r>
        <w:rPr/>
        <w:t>regarding</w:t>
      </w:r>
      <w:r>
        <w:rPr>
          <w:spacing w:val="-13"/>
        </w:rPr>
        <w:t> </w:t>
      </w:r>
      <w:r>
        <w:rPr/>
        <w:t>conven- tional</w:t>
      </w:r>
      <w:r>
        <w:rPr>
          <w:spacing w:val="-2"/>
        </w:rPr>
        <w:t> </w:t>
      </w:r>
      <w:r>
        <w:rPr/>
        <w:t>antibiotics.</w:t>
      </w:r>
    </w:p>
    <w:p>
      <w:pPr>
        <w:pStyle w:val="BodyText"/>
        <w:spacing w:line="276" w:lineRule="auto" w:before="241"/>
        <w:ind w:left="477" w:right="134"/>
        <w:jc w:val="both"/>
      </w:pPr>
      <w:r>
        <w:rPr/>
        <w:t>If we look at statistics, it becomes quite clear that we have to take a giant step back to the Middle Ages because of our resistance to traditional antibiotics</w:t>
      </w:r>
      <w:r>
        <w:rPr>
          <w:spacing w:val="-65"/>
        </w:rPr>
        <w:t> </w:t>
      </w:r>
      <w:r>
        <w:rPr/>
        <w:t>and we</w:t>
      </w:r>
      <w:r>
        <w:rPr>
          <w:spacing w:val="-7"/>
        </w:rPr>
        <w:t> </w:t>
      </w:r>
      <w:r>
        <w:rPr/>
        <w:t>must</w:t>
      </w:r>
      <w:r>
        <w:rPr>
          <w:spacing w:val="-7"/>
        </w:rPr>
        <w:t> </w:t>
      </w:r>
      <w:r>
        <w:rPr/>
        <w:t>face</w:t>
      </w:r>
      <w:r>
        <w:rPr>
          <w:spacing w:val="-7"/>
        </w:rPr>
        <w:t> </w:t>
      </w:r>
      <w:r>
        <w:rPr/>
        <w:t>the</w:t>
      </w:r>
      <w:r>
        <w:rPr>
          <w:spacing w:val="-7"/>
        </w:rPr>
        <w:t> </w:t>
      </w:r>
      <w:r>
        <w:rPr/>
        <w:t>awful</w:t>
      </w:r>
      <w:r>
        <w:rPr>
          <w:spacing w:val="-8"/>
        </w:rPr>
        <w:t> </w:t>
      </w:r>
      <w:r>
        <w:rPr/>
        <w:t>reality</w:t>
      </w:r>
      <w:r>
        <w:rPr>
          <w:spacing w:val="-7"/>
        </w:rPr>
        <w:t> </w:t>
      </w:r>
      <w:r>
        <w:rPr/>
        <w:t>that</w:t>
      </w:r>
      <w:r>
        <w:rPr>
          <w:spacing w:val="-8"/>
        </w:rPr>
        <w:t> </w:t>
      </w:r>
      <w:r>
        <w:rPr/>
        <w:t>we</w:t>
      </w:r>
      <w:r>
        <w:rPr>
          <w:spacing w:val="-7"/>
        </w:rPr>
        <w:t> </w:t>
      </w:r>
      <w:r>
        <w:rPr/>
        <w:t>are</w:t>
      </w:r>
      <w:r>
        <w:rPr>
          <w:spacing w:val="-7"/>
        </w:rPr>
        <w:t> </w:t>
      </w:r>
      <w:r>
        <w:rPr/>
        <w:t>quite</w:t>
      </w:r>
      <w:r>
        <w:rPr>
          <w:spacing w:val="-7"/>
        </w:rPr>
        <w:t> </w:t>
      </w:r>
      <w:r>
        <w:rPr/>
        <w:t>defenceless</w:t>
      </w:r>
      <w:r>
        <w:rPr>
          <w:spacing w:val="-6"/>
        </w:rPr>
        <w:t> </w:t>
      </w:r>
      <w:r>
        <w:rPr/>
        <w:t>against</w:t>
      </w:r>
      <w:r>
        <w:rPr>
          <w:spacing w:val="-7"/>
        </w:rPr>
        <w:t> </w:t>
      </w:r>
      <w:r>
        <w:rPr/>
        <w:t>bacteria</w:t>
      </w:r>
      <w:r>
        <w:rPr>
          <w:spacing w:val="-8"/>
        </w:rPr>
        <w:t> </w:t>
      </w:r>
      <w:r>
        <w:rPr/>
        <w:t>and viruses, just like the people of that time. It is terrible to hear that 80 % of all bacteria are resistant to penicillin, meaning it has no effect on</w:t>
      </w:r>
      <w:r>
        <w:rPr>
          <w:spacing w:val="-17"/>
        </w:rPr>
        <w:t> </w:t>
      </w:r>
      <w:r>
        <w:rPr/>
        <w:t>them.</w:t>
      </w:r>
    </w:p>
    <w:p>
      <w:pPr>
        <w:pStyle w:val="BodyText"/>
        <w:spacing w:line="276" w:lineRule="auto" w:before="240"/>
        <w:ind w:left="477" w:right="141"/>
        <w:jc w:val="both"/>
      </w:pPr>
      <w:r>
        <w:rPr/>
        <w:t>The pharmaceutical industry knows how to respond in its own way by</w:t>
      </w:r>
      <w:r>
        <w:rPr>
          <w:spacing w:val="-45"/>
        </w:rPr>
        <w:t> </w:t>
      </w:r>
      <w:r>
        <w:rPr/>
        <w:t>produc- ing new antibiotics all the time, but penicillin and other antibiotics to which bacteria</w:t>
      </w:r>
      <w:r>
        <w:rPr>
          <w:spacing w:val="-14"/>
        </w:rPr>
        <w:t> </w:t>
      </w:r>
      <w:r>
        <w:rPr/>
        <w:t>have</w:t>
      </w:r>
      <w:r>
        <w:rPr>
          <w:spacing w:val="-11"/>
        </w:rPr>
        <w:t> </w:t>
      </w:r>
      <w:r>
        <w:rPr/>
        <w:t>long</w:t>
      </w:r>
      <w:r>
        <w:rPr>
          <w:spacing w:val="-12"/>
        </w:rPr>
        <w:t> </w:t>
      </w:r>
      <w:r>
        <w:rPr/>
        <w:t>been</w:t>
      </w:r>
      <w:r>
        <w:rPr>
          <w:spacing w:val="-11"/>
        </w:rPr>
        <w:t> </w:t>
      </w:r>
      <w:r>
        <w:rPr/>
        <w:t>resistant</w:t>
      </w:r>
      <w:r>
        <w:rPr>
          <w:spacing w:val="-13"/>
        </w:rPr>
        <w:t> </w:t>
      </w:r>
      <w:r>
        <w:rPr/>
        <w:t>continue</w:t>
      </w:r>
      <w:r>
        <w:rPr>
          <w:spacing w:val="-13"/>
        </w:rPr>
        <w:t> </w:t>
      </w:r>
      <w:r>
        <w:rPr/>
        <w:t>to</w:t>
      </w:r>
      <w:r>
        <w:rPr>
          <w:spacing w:val="-11"/>
        </w:rPr>
        <w:t> </w:t>
      </w:r>
      <w:r>
        <w:rPr/>
        <w:t>circulate</w:t>
      </w:r>
      <w:r>
        <w:rPr>
          <w:spacing w:val="-11"/>
        </w:rPr>
        <w:t> </w:t>
      </w:r>
      <w:r>
        <w:rPr/>
        <w:t>and</w:t>
      </w:r>
      <w:r>
        <w:rPr>
          <w:spacing w:val="-11"/>
        </w:rPr>
        <w:t> </w:t>
      </w:r>
      <w:r>
        <w:rPr/>
        <w:t>make</w:t>
      </w:r>
      <w:r>
        <w:rPr>
          <w:spacing w:val="-11"/>
        </w:rPr>
        <w:t> </w:t>
      </w:r>
      <w:r>
        <w:rPr/>
        <w:t>a</w:t>
      </w:r>
      <w:r>
        <w:rPr>
          <w:spacing w:val="-13"/>
        </w:rPr>
        <w:t> </w:t>
      </w:r>
      <w:r>
        <w:rPr/>
        <w:t>huge</w:t>
      </w:r>
      <w:r>
        <w:rPr>
          <w:spacing w:val="-12"/>
        </w:rPr>
        <w:t> </w:t>
      </w:r>
      <w:r>
        <w:rPr/>
        <w:t>amount of money as a</w:t>
      </w:r>
      <w:r>
        <w:rPr>
          <w:spacing w:val="-2"/>
        </w:rPr>
        <w:t> </w:t>
      </w:r>
      <w:r>
        <w:rPr/>
        <w:t>result.</w:t>
      </w:r>
    </w:p>
    <w:p>
      <w:pPr>
        <w:spacing w:after="0" w:line="276" w:lineRule="auto"/>
        <w:jc w:val="both"/>
        <w:sectPr>
          <w:pgSz w:w="14270" w:h="16850"/>
          <w:pgMar w:header="0" w:footer="1891" w:top="1600" w:bottom="2080" w:left="800" w:right="1280"/>
        </w:sectPr>
      </w:pPr>
    </w:p>
    <w:p>
      <w:pPr>
        <w:pStyle w:val="BodyText"/>
        <w:spacing w:line="276" w:lineRule="auto" w:before="181"/>
        <w:ind w:left="477" w:right="136"/>
        <w:jc w:val="both"/>
      </w:pPr>
      <w:r>
        <w:rPr/>
        <w:t>And so, 8000 different (really different?) antibiotics with very questionable ef- fect and with even more questionable side effects are currently in use.</w:t>
      </w:r>
    </w:p>
    <w:p>
      <w:pPr>
        <w:pStyle w:val="Heading2"/>
        <w:spacing w:before="241"/>
      </w:pPr>
      <w:r>
        <w:rPr/>
        <w:t>Reasons for antibiotic resistance:</w:t>
      </w:r>
    </w:p>
    <w:p>
      <w:pPr>
        <w:pStyle w:val="BodyText"/>
        <w:spacing w:line="276" w:lineRule="auto" w:before="305"/>
        <w:ind w:left="477" w:right="138"/>
        <w:jc w:val="both"/>
      </w:pPr>
      <w:r>
        <w:rPr/>
        <w:t>The reasons for increasing antibiotic resistance, i.e. the antibiotic’s lack of re- sponse to bacteria and viruses, are manifold. Antibiotics have lost their effect on</w:t>
      </w:r>
      <w:r>
        <w:rPr>
          <w:spacing w:val="-19"/>
        </w:rPr>
        <w:t> </w:t>
      </w:r>
      <w:r>
        <w:rPr/>
        <w:t>us</w:t>
      </w:r>
      <w:r>
        <w:rPr>
          <w:spacing w:val="-20"/>
        </w:rPr>
        <w:t> </w:t>
      </w:r>
      <w:r>
        <w:rPr/>
        <w:t>humans</w:t>
      </w:r>
      <w:r>
        <w:rPr>
          <w:spacing w:val="-18"/>
        </w:rPr>
        <w:t> </w:t>
      </w:r>
      <w:r>
        <w:rPr/>
        <w:t>due</w:t>
      </w:r>
      <w:r>
        <w:rPr>
          <w:spacing w:val="-21"/>
        </w:rPr>
        <w:t> </w:t>
      </w:r>
      <w:r>
        <w:rPr/>
        <w:t>to</w:t>
      </w:r>
      <w:r>
        <w:rPr>
          <w:spacing w:val="-18"/>
        </w:rPr>
        <w:t> </w:t>
      </w:r>
      <w:r>
        <w:rPr/>
        <w:t>our</w:t>
      </w:r>
      <w:r>
        <w:rPr>
          <w:spacing w:val="-20"/>
        </w:rPr>
        <w:t> </w:t>
      </w:r>
      <w:r>
        <w:rPr/>
        <w:t>unconscious</w:t>
      </w:r>
      <w:r>
        <w:rPr>
          <w:spacing w:val="-19"/>
        </w:rPr>
        <w:t> </w:t>
      </w:r>
      <w:r>
        <w:rPr/>
        <w:t>daily</w:t>
      </w:r>
      <w:r>
        <w:rPr>
          <w:spacing w:val="-18"/>
        </w:rPr>
        <w:t> </w:t>
      </w:r>
      <w:r>
        <w:rPr/>
        <w:t>consumption</w:t>
      </w:r>
      <w:r>
        <w:rPr>
          <w:spacing w:val="-19"/>
        </w:rPr>
        <w:t> </w:t>
      </w:r>
      <w:r>
        <w:rPr/>
        <w:t>of</w:t>
      </w:r>
      <w:r>
        <w:rPr>
          <w:spacing w:val="-19"/>
        </w:rPr>
        <w:t> </w:t>
      </w:r>
      <w:r>
        <w:rPr/>
        <w:t>meat</w:t>
      </w:r>
      <w:r>
        <w:rPr>
          <w:spacing w:val="-18"/>
        </w:rPr>
        <w:t> </w:t>
      </w:r>
      <w:r>
        <w:rPr/>
        <w:t>contaminated with antibiotics and the body reacting with a kind of</w:t>
      </w:r>
      <w:r>
        <w:rPr>
          <w:spacing w:val="-9"/>
        </w:rPr>
        <w:t> </w:t>
      </w:r>
      <w:r>
        <w:rPr/>
        <w:t>habituation.</w:t>
      </w:r>
    </w:p>
    <w:p>
      <w:pPr>
        <w:pStyle w:val="BodyText"/>
        <w:spacing w:line="276" w:lineRule="auto" w:before="239"/>
        <w:ind w:left="477" w:right="132"/>
        <w:jc w:val="both"/>
      </w:pPr>
      <w:r>
        <w:rPr/>
        <w:t>Well, officially, giving the animals antibiotics is intended to be ‘good’ for us consumers.</w:t>
      </w:r>
      <w:r>
        <w:rPr>
          <w:spacing w:val="-17"/>
        </w:rPr>
        <w:t> </w:t>
      </w:r>
      <w:r>
        <w:rPr/>
        <w:t>This</w:t>
      </w:r>
      <w:r>
        <w:rPr>
          <w:spacing w:val="-18"/>
        </w:rPr>
        <w:t> </w:t>
      </w:r>
      <w:r>
        <w:rPr/>
        <w:t>is</w:t>
      </w:r>
      <w:r>
        <w:rPr>
          <w:spacing w:val="-17"/>
        </w:rPr>
        <w:t> </w:t>
      </w:r>
      <w:r>
        <w:rPr/>
        <w:t>explained</w:t>
      </w:r>
      <w:r>
        <w:rPr>
          <w:spacing w:val="-16"/>
        </w:rPr>
        <w:t> </w:t>
      </w:r>
      <w:r>
        <w:rPr/>
        <w:t>by</w:t>
      </w:r>
      <w:r>
        <w:rPr>
          <w:spacing w:val="-16"/>
        </w:rPr>
        <w:t> </w:t>
      </w:r>
      <w:r>
        <w:rPr/>
        <w:t>the</w:t>
      </w:r>
      <w:r>
        <w:rPr>
          <w:spacing w:val="-15"/>
        </w:rPr>
        <w:t> </w:t>
      </w:r>
      <w:r>
        <w:rPr/>
        <w:t>wish</w:t>
      </w:r>
      <w:r>
        <w:rPr>
          <w:spacing w:val="-15"/>
        </w:rPr>
        <w:t> </w:t>
      </w:r>
      <w:r>
        <w:rPr/>
        <w:t>to</w:t>
      </w:r>
      <w:r>
        <w:rPr>
          <w:spacing w:val="-17"/>
        </w:rPr>
        <w:t> </w:t>
      </w:r>
      <w:r>
        <w:rPr/>
        <w:t>protect</w:t>
      </w:r>
      <w:r>
        <w:rPr>
          <w:spacing w:val="-17"/>
        </w:rPr>
        <w:t> </w:t>
      </w:r>
      <w:r>
        <w:rPr/>
        <w:t>consumers</w:t>
      </w:r>
      <w:r>
        <w:rPr>
          <w:spacing w:val="-16"/>
        </w:rPr>
        <w:t> </w:t>
      </w:r>
      <w:r>
        <w:rPr/>
        <w:t>against</w:t>
      </w:r>
      <w:r>
        <w:rPr>
          <w:spacing w:val="-16"/>
        </w:rPr>
        <w:t> </w:t>
      </w:r>
      <w:r>
        <w:rPr/>
        <w:t>BSE</w:t>
      </w:r>
      <w:r>
        <w:rPr>
          <w:spacing w:val="-16"/>
        </w:rPr>
        <w:t> </w:t>
      </w:r>
      <w:r>
        <w:rPr/>
        <w:t>and other diseases; but in reality this absurd action is due to baser motives, namely the use of antibiotics as a fattening aid and thus the maximisation of profits from</w:t>
      </w:r>
      <w:r>
        <w:rPr>
          <w:spacing w:val="-1"/>
        </w:rPr>
        <w:t> </w:t>
      </w:r>
      <w:r>
        <w:rPr/>
        <w:t>livestock.</w:t>
      </w:r>
    </w:p>
    <w:p>
      <w:pPr>
        <w:pStyle w:val="BodyText"/>
        <w:spacing w:line="276" w:lineRule="auto" w:before="240"/>
        <w:ind w:left="477" w:right="133"/>
        <w:jc w:val="both"/>
      </w:pPr>
      <w:r>
        <w:rPr/>
        <w:t>The</w:t>
      </w:r>
      <w:r>
        <w:rPr>
          <w:spacing w:val="-10"/>
        </w:rPr>
        <w:t> </w:t>
      </w:r>
      <w:r>
        <w:rPr/>
        <w:t>consequences</w:t>
      </w:r>
      <w:r>
        <w:rPr>
          <w:spacing w:val="-8"/>
        </w:rPr>
        <w:t> </w:t>
      </w:r>
      <w:r>
        <w:rPr/>
        <w:t>of</w:t>
      </w:r>
      <w:r>
        <w:rPr>
          <w:spacing w:val="-10"/>
        </w:rPr>
        <w:t> </w:t>
      </w:r>
      <w:r>
        <w:rPr/>
        <w:t>this</w:t>
      </w:r>
      <w:r>
        <w:rPr>
          <w:spacing w:val="-8"/>
        </w:rPr>
        <w:t> </w:t>
      </w:r>
      <w:r>
        <w:rPr/>
        <w:t>very</w:t>
      </w:r>
      <w:r>
        <w:rPr>
          <w:spacing w:val="-10"/>
        </w:rPr>
        <w:t> </w:t>
      </w:r>
      <w:r>
        <w:rPr/>
        <w:t>commercial</w:t>
      </w:r>
      <w:r>
        <w:rPr>
          <w:spacing w:val="-10"/>
        </w:rPr>
        <w:t> </w:t>
      </w:r>
      <w:r>
        <w:rPr/>
        <w:t>and</w:t>
      </w:r>
      <w:r>
        <w:rPr>
          <w:spacing w:val="-9"/>
        </w:rPr>
        <w:t> </w:t>
      </w:r>
      <w:r>
        <w:rPr/>
        <w:t>ruthless</w:t>
      </w:r>
      <w:r>
        <w:rPr>
          <w:spacing w:val="-10"/>
        </w:rPr>
        <w:t> </w:t>
      </w:r>
      <w:r>
        <w:rPr/>
        <w:t>act</w:t>
      </w:r>
      <w:r>
        <w:rPr>
          <w:spacing w:val="-10"/>
        </w:rPr>
        <w:t> </w:t>
      </w:r>
      <w:r>
        <w:rPr/>
        <w:t>for</w:t>
      </w:r>
      <w:r>
        <w:rPr>
          <w:spacing w:val="-9"/>
        </w:rPr>
        <w:t> </w:t>
      </w:r>
      <w:r>
        <w:rPr/>
        <w:t>humans,</w:t>
      </w:r>
      <w:r>
        <w:rPr>
          <w:spacing w:val="-8"/>
        </w:rPr>
        <w:t> </w:t>
      </w:r>
      <w:r>
        <w:rPr/>
        <w:t>includ- ing</w:t>
      </w:r>
      <w:r>
        <w:rPr>
          <w:spacing w:val="-8"/>
        </w:rPr>
        <w:t> </w:t>
      </w:r>
      <w:r>
        <w:rPr/>
        <w:t>the</w:t>
      </w:r>
      <w:r>
        <w:rPr>
          <w:spacing w:val="-7"/>
        </w:rPr>
        <w:t> </w:t>
      </w:r>
      <w:r>
        <w:rPr/>
        <w:t>endangerment</w:t>
      </w:r>
      <w:r>
        <w:rPr>
          <w:spacing w:val="-9"/>
        </w:rPr>
        <w:t> </w:t>
      </w:r>
      <w:r>
        <w:rPr/>
        <w:t>of</w:t>
      </w:r>
      <w:r>
        <w:rPr>
          <w:spacing w:val="-8"/>
        </w:rPr>
        <w:t> </w:t>
      </w:r>
      <w:r>
        <w:rPr/>
        <w:t>countless</w:t>
      </w:r>
      <w:r>
        <w:rPr>
          <w:spacing w:val="-7"/>
        </w:rPr>
        <w:t> </w:t>
      </w:r>
      <w:r>
        <w:rPr/>
        <w:t>lives,</w:t>
      </w:r>
      <w:r>
        <w:rPr>
          <w:spacing w:val="-7"/>
        </w:rPr>
        <w:t> </w:t>
      </w:r>
      <w:r>
        <w:rPr/>
        <w:t>were</w:t>
      </w:r>
      <w:r>
        <w:rPr>
          <w:spacing w:val="-8"/>
        </w:rPr>
        <w:t> </w:t>
      </w:r>
      <w:r>
        <w:rPr/>
        <w:t>well</w:t>
      </w:r>
      <w:r>
        <w:rPr>
          <w:spacing w:val="-10"/>
        </w:rPr>
        <w:t> </w:t>
      </w:r>
      <w:r>
        <w:rPr/>
        <w:t>known</w:t>
      </w:r>
      <w:r>
        <w:rPr>
          <w:spacing w:val="-8"/>
        </w:rPr>
        <w:t> </w:t>
      </w:r>
      <w:r>
        <w:rPr/>
        <w:t>to</w:t>
      </w:r>
      <w:r>
        <w:rPr>
          <w:spacing w:val="-8"/>
        </w:rPr>
        <w:t> </w:t>
      </w:r>
      <w:r>
        <w:rPr/>
        <w:t>and</w:t>
      </w:r>
      <w:r>
        <w:rPr>
          <w:spacing w:val="-8"/>
        </w:rPr>
        <w:t> </w:t>
      </w:r>
      <w:r>
        <w:rPr/>
        <w:t>factored</w:t>
      </w:r>
      <w:r>
        <w:rPr>
          <w:spacing w:val="-8"/>
        </w:rPr>
        <w:t> </w:t>
      </w:r>
      <w:r>
        <w:rPr/>
        <w:t>in</w:t>
      </w:r>
      <w:r>
        <w:rPr>
          <w:spacing w:val="-8"/>
        </w:rPr>
        <w:t> </w:t>
      </w:r>
      <w:r>
        <w:rPr/>
        <w:t>by the people responsible from the very</w:t>
      </w:r>
      <w:r>
        <w:rPr>
          <w:spacing w:val="-4"/>
        </w:rPr>
        <w:t> </w:t>
      </w:r>
      <w:r>
        <w:rPr/>
        <w:t>beginning.</w:t>
      </w:r>
    </w:p>
    <w:p>
      <w:pPr>
        <w:pStyle w:val="BodyText"/>
        <w:spacing w:before="3"/>
        <w:rPr>
          <w:sz w:val="41"/>
        </w:rPr>
      </w:pPr>
    </w:p>
    <w:p>
      <w:pPr>
        <w:pStyle w:val="Heading1"/>
        <w:spacing w:before="0"/>
        <w:jc w:val="both"/>
      </w:pPr>
      <w:r>
        <w:rPr/>
        <w:t>Grapefruit seed extract as a healthy alternative to antibiotics</w:t>
      </w:r>
    </w:p>
    <w:p>
      <w:pPr>
        <w:pStyle w:val="BodyText"/>
        <w:spacing w:before="299"/>
        <w:ind w:left="477"/>
        <w:jc w:val="both"/>
      </w:pPr>
      <w:r>
        <w:rPr/>
        <w:t>It is precisely at this point that grapefruit seed extract gains in importance, as it</w:t>
      </w:r>
    </w:p>
    <w:p>
      <w:pPr>
        <w:spacing w:after="0"/>
        <w:jc w:val="both"/>
        <w:sectPr>
          <w:pgSz w:w="14270" w:h="16850"/>
          <w:pgMar w:header="0" w:footer="1891" w:top="1600" w:bottom="2080" w:left="800" w:right="1280"/>
        </w:sectPr>
      </w:pPr>
    </w:p>
    <w:p>
      <w:pPr>
        <w:pStyle w:val="BodyText"/>
        <w:spacing w:line="276" w:lineRule="auto" w:before="181"/>
        <w:ind w:left="477" w:right="140"/>
        <w:jc w:val="both"/>
        <w:rPr>
          <w:sz w:val="25"/>
        </w:rPr>
      </w:pPr>
      <w:r>
        <w:rPr/>
        <w:t>has no known side effects when processed and used correctly, but unlike anti- biotics,</w:t>
      </w:r>
      <w:r>
        <w:rPr>
          <w:spacing w:val="-15"/>
        </w:rPr>
        <w:t> </w:t>
      </w:r>
      <w:r>
        <w:rPr/>
        <w:t>it</w:t>
      </w:r>
      <w:r>
        <w:rPr>
          <w:spacing w:val="-19"/>
        </w:rPr>
        <w:t> </w:t>
      </w:r>
      <w:r>
        <w:rPr/>
        <w:t>not</w:t>
      </w:r>
      <w:r>
        <w:rPr>
          <w:spacing w:val="-18"/>
        </w:rPr>
        <w:t> </w:t>
      </w:r>
      <w:r>
        <w:rPr/>
        <w:t>only</w:t>
      </w:r>
      <w:r>
        <w:rPr>
          <w:spacing w:val="-17"/>
        </w:rPr>
        <w:t> </w:t>
      </w:r>
      <w:r>
        <w:rPr/>
        <w:t>fights</w:t>
      </w:r>
      <w:r>
        <w:rPr>
          <w:spacing w:val="-14"/>
        </w:rPr>
        <w:t> </w:t>
      </w:r>
      <w:r>
        <w:rPr/>
        <w:t>bacteria,</w:t>
      </w:r>
      <w:r>
        <w:rPr>
          <w:spacing w:val="-15"/>
        </w:rPr>
        <w:t> </w:t>
      </w:r>
      <w:r>
        <w:rPr/>
        <w:t>but</w:t>
      </w:r>
      <w:r>
        <w:rPr>
          <w:spacing w:val="-16"/>
        </w:rPr>
        <w:t> </w:t>
      </w:r>
      <w:r>
        <w:rPr/>
        <w:t>all</w:t>
      </w:r>
      <w:r>
        <w:rPr>
          <w:spacing w:val="-17"/>
        </w:rPr>
        <w:t> </w:t>
      </w:r>
      <w:r>
        <w:rPr/>
        <w:t>imaginable</w:t>
      </w:r>
      <w:r>
        <w:rPr>
          <w:spacing w:val="-17"/>
        </w:rPr>
        <w:t> </w:t>
      </w:r>
      <w:r>
        <w:rPr/>
        <w:t>pathogens,</w:t>
      </w:r>
      <w:r>
        <w:rPr>
          <w:spacing w:val="-17"/>
        </w:rPr>
        <w:t> </w:t>
      </w:r>
      <w:r>
        <w:rPr/>
        <w:t>bacteria,</w:t>
      </w:r>
      <w:r>
        <w:rPr>
          <w:spacing w:val="-15"/>
        </w:rPr>
        <w:t> </w:t>
      </w:r>
      <w:r>
        <w:rPr/>
        <w:t>viruses and fungi.</w:t>
      </w:r>
      <w:r>
        <w:rPr>
          <w:position w:val="9"/>
          <w:sz w:val="25"/>
        </w:rPr>
        <w:t>360</w:t>
      </w:r>
    </w:p>
    <w:p>
      <w:pPr>
        <w:pStyle w:val="BodyText"/>
        <w:spacing w:before="9"/>
        <w:rPr>
          <w:sz w:val="42"/>
        </w:rPr>
      </w:pPr>
    </w:p>
    <w:p>
      <w:pPr>
        <w:pStyle w:val="BodyText"/>
        <w:spacing w:line="276" w:lineRule="auto"/>
        <w:ind w:left="477" w:right="134"/>
        <w:jc w:val="both"/>
      </w:pPr>
      <w:r>
        <w:rPr/>
        <w:t>Here, grapefruit seed extract, even at high doses, is non-toxic and causes no adverse reactions on the skin, even after prolonged use.</w:t>
      </w:r>
      <w:r>
        <w:rPr>
          <w:position w:val="9"/>
          <w:sz w:val="25"/>
        </w:rPr>
        <w:t>361 </w:t>
      </w:r>
      <w:r>
        <w:rPr/>
        <w:t>While many people are allergic to antibiotics, allergic reactions to grapefruit seed extract are very rare, provided the user is not allergic to citrus fruits.</w:t>
      </w:r>
    </w:p>
    <w:p>
      <w:pPr>
        <w:pStyle w:val="BodyText"/>
        <w:spacing w:line="276" w:lineRule="auto" w:before="240"/>
        <w:ind w:left="477" w:right="133"/>
        <w:jc w:val="both"/>
      </w:pPr>
      <w:r>
        <w:rPr/>
        <w:t>Grapefruit seed extract circumvents the typical resistance to antibiotics our body</w:t>
      </w:r>
      <w:r>
        <w:rPr>
          <w:spacing w:val="-9"/>
        </w:rPr>
        <w:t> </w:t>
      </w:r>
      <w:r>
        <w:rPr/>
        <w:t>develops</w:t>
      </w:r>
      <w:r>
        <w:rPr>
          <w:spacing w:val="-9"/>
        </w:rPr>
        <w:t> </w:t>
      </w:r>
      <w:r>
        <w:rPr/>
        <w:t>by</w:t>
      </w:r>
      <w:r>
        <w:rPr>
          <w:spacing w:val="-9"/>
        </w:rPr>
        <w:t> </w:t>
      </w:r>
      <w:r>
        <w:rPr/>
        <w:t>having</w:t>
      </w:r>
      <w:r>
        <w:rPr>
          <w:spacing w:val="-9"/>
        </w:rPr>
        <w:t> </w:t>
      </w:r>
      <w:r>
        <w:rPr/>
        <w:t>a</w:t>
      </w:r>
      <w:r>
        <w:rPr>
          <w:spacing w:val="-9"/>
        </w:rPr>
        <w:t> </w:t>
      </w:r>
      <w:r>
        <w:rPr/>
        <w:t>much</w:t>
      </w:r>
      <w:r>
        <w:rPr>
          <w:spacing w:val="-9"/>
        </w:rPr>
        <w:t> </w:t>
      </w:r>
      <w:r>
        <w:rPr/>
        <w:t>more</w:t>
      </w:r>
      <w:r>
        <w:rPr>
          <w:spacing w:val="-9"/>
        </w:rPr>
        <w:t> </w:t>
      </w:r>
      <w:r>
        <w:rPr/>
        <w:t>complex</w:t>
      </w:r>
      <w:r>
        <w:rPr>
          <w:spacing w:val="-10"/>
        </w:rPr>
        <w:t> </w:t>
      </w:r>
      <w:r>
        <w:rPr/>
        <w:t>structure,</w:t>
      </w:r>
      <w:r>
        <w:rPr>
          <w:spacing w:val="-8"/>
        </w:rPr>
        <w:t> </w:t>
      </w:r>
      <w:r>
        <w:rPr/>
        <w:t>meaning</w:t>
      </w:r>
      <w:r>
        <w:rPr>
          <w:spacing w:val="-9"/>
        </w:rPr>
        <w:t> </w:t>
      </w:r>
      <w:r>
        <w:rPr/>
        <w:t>that</w:t>
      </w:r>
      <w:r>
        <w:rPr>
          <w:spacing w:val="-9"/>
        </w:rPr>
        <w:t> </w:t>
      </w:r>
      <w:r>
        <w:rPr/>
        <w:t>viruses cannot find the right key to adapt to their</w:t>
      </w:r>
      <w:r>
        <w:rPr>
          <w:spacing w:val="1"/>
        </w:rPr>
        <w:t> </w:t>
      </w:r>
      <w:r>
        <w:rPr/>
        <w:t>attacker.</w:t>
      </w:r>
    </w:p>
    <w:p>
      <w:pPr>
        <w:pStyle w:val="BodyText"/>
        <w:spacing w:line="276" w:lineRule="auto" w:before="241"/>
        <w:ind w:left="477" w:right="134"/>
        <w:jc w:val="both"/>
      </w:pPr>
      <w:r>
        <w:rPr/>
        <w:t>Hopefully, the development here will follow the development in the USA, where grapefruit seed extract is commonly used, even in clinics and hospitals.</w:t>
      </w: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spacing w:before="8"/>
        <w:rPr>
          <w:sz w:val="62"/>
        </w:rPr>
      </w:pPr>
    </w:p>
    <w:p>
      <w:pPr>
        <w:pStyle w:val="Heading1"/>
        <w:spacing w:before="0"/>
        <w:jc w:val="both"/>
      </w:pPr>
      <w:r>
        <w:rPr/>
        <w:t>Use of grapefruit seed extract</w:t>
      </w:r>
    </w:p>
    <w:p>
      <w:pPr>
        <w:pStyle w:val="BodyText"/>
        <w:rPr>
          <w:b/>
          <w:i/>
          <w:sz w:val="20"/>
        </w:rPr>
      </w:pPr>
    </w:p>
    <w:p>
      <w:pPr>
        <w:pStyle w:val="BodyText"/>
        <w:rPr>
          <w:b/>
          <w:i/>
          <w:sz w:val="20"/>
        </w:rPr>
      </w:pPr>
    </w:p>
    <w:p>
      <w:pPr>
        <w:pStyle w:val="BodyText"/>
        <w:rPr>
          <w:b/>
          <w:i/>
          <w:sz w:val="20"/>
        </w:rPr>
      </w:pPr>
    </w:p>
    <w:p>
      <w:pPr>
        <w:pStyle w:val="BodyText"/>
        <w:spacing w:before="3"/>
        <w:rPr>
          <w:b/>
          <w:i/>
          <w:sz w:val="16"/>
        </w:rPr>
      </w:pPr>
      <w:r>
        <w:rPr/>
        <w:pict>
          <v:line style="position:absolute;mso-position-horizontal-relative:page;mso-position-vertical-relative:paragraph;z-index:4256;mso-wrap-distance-left:0;mso-wrap-distance-right:0" from="63.863998pt,11.539985pt" to="207.883998pt,11.539985pt" stroked="true" strokeweight=".72003pt" strokecolor="#000000">
            <v:stroke dashstyle="solid"/>
            <w10:wrap type="topAndBottom"/>
          </v:line>
        </w:pict>
      </w:r>
    </w:p>
    <w:p>
      <w:pPr>
        <w:pStyle w:val="BodyText"/>
        <w:spacing w:before="7"/>
        <w:rPr>
          <w:b/>
          <w:i/>
          <w:sz w:val="18"/>
        </w:rPr>
      </w:pPr>
    </w:p>
    <w:p>
      <w:pPr>
        <w:spacing w:before="99"/>
        <w:ind w:left="477" w:right="0" w:firstLine="0"/>
        <w:jc w:val="left"/>
        <w:rPr>
          <w:sz w:val="20"/>
        </w:rPr>
      </w:pPr>
      <w:r>
        <w:rPr>
          <w:position w:val="5"/>
          <w:sz w:val="13"/>
        </w:rPr>
        <w:t>360 </w:t>
      </w:r>
      <w:r>
        <w:rPr>
          <w:sz w:val="20"/>
        </w:rPr>
        <w:t>Werner Goller: Was verschweigt die Schulmedizin? (‘What Does Conventional Medicine Conceal?’), 2009, p. 167</w:t>
      </w:r>
    </w:p>
    <w:p>
      <w:pPr>
        <w:spacing w:before="94"/>
        <w:ind w:left="477" w:right="0" w:firstLine="0"/>
        <w:jc w:val="left"/>
        <w:rPr>
          <w:sz w:val="20"/>
        </w:rPr>
      </w:pPr>
      <w:r>
        <w:rPr>
          <w:position w:val="5"/>
          <w:sz w:val="13"/>
        </w:rPr>
        <w:t>361 </w:t>
      </w:r>
      <w:r>
        <w:rPr>
          <w:sz w:val="20"/>
        </w:rPr>
        <w:t>Jorg Linditsch: ABC des Grapefruitkern (‘ABC of the Grapefruit Seed’), 1997, p. 21</w:t>
      </w:r>
    </w:p>
    <w:p>
      <w:pPr>
        <w:spacing w:after="0"/>
        <w:jc w:val="left"/>
        <w:rPr>
          <w:sz w:val="20"/>
        </w:rPr>
        <w:sectPr>
          <w:pgSz w:w="14270" w:h="16850"/>
          <w:pgMar w:header="0" w:footer="1891" w:top="1600" w:bottom="2080" w:left="800" w:right="1280"/>
        </w:sectPr>
      </w:pPr>
    </w:p>
    <w:p>
      <w:pPr>
        <w:pStyle w:val="BodyText"/>
        <w:spacing w:line="276" w:lineRule="auto" w:before="181"/>
        <w:ind w:left="477" w:right="41"/>
      </w:pPr>
      <w:r>
        <w:rPr/>
        <w:t>Properly used, grapefruit seed extract is safe (see ‘Side Effects’), but you should still follow some general principles when using grapefruit seed extract.</w:t>
      </w:r>
    </w:p>
    <w:p>
      <w:pPr>
        <w:pStyle w:val="ListParagraph"/>
        <w:numPr>
          <w:ilvl w:val="1"/>
          <w:numId w:val="33"/>
        </w:numPr>
        <w:tabs>
          <w:tab w:pos="1197" w:val="left" w:leader="none"/>
          <w:tab w:pos="1198" w:val="left" w:leader="none"/>
        </w:tabs>
        <w:spacing w:line="273" w:lineRule="auto" w:before="243" w:after="0"/>
        <w:ind w:left="1197" w:right="138" w:hanging="360"/>
        <w:jc w:val="left"/>
        <w:rPr>
          <w:sz w:val="38"/>
        </w:rPr>
      </w:pPr>
      <w:r>
        <w:rPr>
          <w:sz w:val="38"/>
        </w:rPr>
        <w:t>Grapefruit</w:t>
      </w:r>
      <w:r>
        <w:rPr>
          <w:spacing w:val="-12"/>
          <w:sz w:val="38"/>
        </w:rPr>
        <w:t> </w:t>
      </w:r>
      <w:r>
        <w:rPr>
          <w:sz w:val="38"/>
        </w:rPr>
        <w:t>seed</w:t>
      </w:r>
      <w:r>
        <w:rPr>
          <w:spacing w:val="-11"/>
          <w:sz w:val="38"/>
        </w:rPr>
        <w:t> </w:t>
      </w:r>
      <w:r>
        <w:rPr>
          <w:sz w:val="38"/>
        </w:rPr>
        <w:t>extract</w:t>
      </w:r>
      <w:r>
        <w:rPr>
          <w:spacing w:val="-11"/>
          <w:sz w:val="38"/>
        </w:rPr>
        <w:t> </w:t>
      </w:r>
      <w:r>
        <w:rPr>
          <w:sz w:val="38"/>
        </w:rPr>
        <w:t>is</w:t>
      </w:r>
      <w:r>
        <w:rPr>
          <w:spacing w:val="-10"/>
          <w:sz w:val="38"/>
        </w:rPr>
        <w:t> </w:t>
      </w:r>
      <w:r>
        <w:rPr>
          <w:sz w:val="38"/>
        </w:rPr>
        <w:t>a</w:t>
      </w:r>
      <w:r>
        <w:rPr>
          <w:spacing w:val="-11"/>
          <w:sz w:val="38"/>
        </w:rPr>
        <w:t> </w:t>
      </w:r>
      <w:r>
        <w:rPr>
          <w:sz w:val="38"/>
        </w:rPr>
        <w:t>concentrate</w:t>
      </w:r>
      <w:r>
        <w:rPr>
          <w:spacing w:val="-11"/>
          <w:sz w:val="38"/>
        </w:rPr>
        <w:t> </w:t>
      </w:r>
      <w:r>
        <w:rPr>
          <w:sz w:val="38"/>
        </w:rPr>
        <w:t>and</w:t>
      </w:r>
      <w:r>
        <w:rPr>
          <w:spacing w:val="-10"/>
          <w:sz w:val="38"/>
        </w:rPr>
        <w:t> </w:t>
      </w:r>
      <w:r>
        <w:rPr>
          <w:sz w:val="38"/>
        </w:rPr>
        <w:t>must</w:t>
      </w:r>
      <w:r>
        <w:rPr>
          <w:spacing w:val="-11"/>
          <w:sz w:val="38"/>
        </w:rPr>
        <w:t> </w:t>
      </w:r>
      <w:r>
        <w:rPr>
          <w:sz w:val="38"/>
        </w:rPr>
        <w:t>never</w:t>
      </w:r>
      <w:r>
        <w:rPr>
          <w:spacing w:val="-9"/>
          <w:sz w:val="38"/>
        </w:rPr>
        <w:t> </w:t>
      </w:r>
      <w:r>
        <w:rPr>
          <w:sz w:val="38"/>
        </w:rPr>
        <w:t>be</w:t>
      </w:r>
      <w:r>
        <w:rPr>
          <w:spacing w:val="-10"/>
          <w:sz w:val="38"/>
        </w:rPr>
        <w:t> </w:t>
      </w:r>
      <w:r>
        <w:rPr>
          <w:sz w:val="38"/>
        </w:rPr>
        <w:t>taken</w:t>
      </w:r>
      <w:r>
        <w:rPr>
          <w:spacing w:val="-10"/>
          <w:sz w:val="38"/>
        </w:rPr>
        <w:t> </w:t>
      </w:r>
      <w:r>
        <w:rPr>
          <w:sz w:val="38"/>
        </w:rPr>
        <w:t>internally if it is</w:t>
      </w:r>
      <w:r>
        <w:rPr>
          <w:spacing w:val="-2"/>
          <w:sz w:val="38"/>
        </w:rPr>
        <w:t> </w:t>
      </w:r>
      <w:r>
        <w:rPr>
          <w:sz w:val="38"/>
        </w:rPr>
        <w:t>undiluted.</w:t>
      </w:r>
    </w:p>
    <w:p>
      <w:pPr>
        <w:pStyle w:val="ListParagraph"/>
        <w:numPr>
          <w:ilvl w:val="1"/>
          <w:numId w:val="33"/>
        </w:numPr>
        <w:tabs>
          <w:tab w:pos="1197" w:val="left" w:leader="none"/>
          <w:tab w:pos="1198" w:val="left" w:leader="none"/>
        </w:tabs>
        <w:spacing w:line="273" w:lineRule="auto" w:before="247" w:after="0"/>
        <w:ind w:left="1197" w:right="132" w:hanging="360"/>
        <w:jc w:val="left"/>
        <w:rPr>
          <w:sz w:val="38"/>
        </w:rPr>
      </w:pPr>
      <w:r>
        <w:rPr>
          <w:sz w:val="38"/>
        </w:rPr>
        <w:t>Externally,</w:t>
      </w:r>
      <w:r>
        <w:rPr>
          <w:spacing w:val="-12"/>
          <w:sz w:val="38"/>
        </w:rPr>
        <w:t> </w:t>
      </w:r>
      <w:r>
        <w:rPr>
          <w:sz w:val="38"/>
        </w:rPr>
        <w:t>grapefruit</w:t>
      </w:r>
      <w:r>
        <w:rPr>
          <w:spacing w:val="-13"/>
          <w:sz w:val="38"/>
        </w:rPr>
        <w:t> </w:t>
      </w:r>
      <w:r>
        <w:rPr>
          <w:sz w:val="38"/>
        </w:rPr>
        <w:t>seed</w:t>
      </w:r>
      <w:r>
        <w:rPr>
          <w:spacing w:val="-12"/>
          <w:sz w:val="38"/>
        </w:rPr>
        <w:t> </w:t>
      </w:r>
      <w:r>
        <w:rPr>
          <w:sz w:val="38"/>
        </w:rPr>
        <w:t>extract</w:t>
      </w:r>
      <w:r>
        <w:rPr>
          <w:spacing w:val="-13"/>
          <w:sz w:val="38"/>
        </w:rPr>
        <w:t> </w:t>
      </w:r>
      <w:r>
        <w:rPr>
          <w:sz w:val="38"/>
        </w:rPr>
        <w:t>is</w:t>
      </w:r>
      <w:r>
        <w:rPr>
          <w:spacing w:val="-12"/>
          <w:sz w:val="38"/>
        </w:rPr>
        <w:t> </w:t>
      </w:r>
      <w:r>
        <w:rPr>
          <w:sz w:val="38"/>
        </w:rPr>
        <w:t>almost</w:t>
      </w:r>
      <w:r>
        <w:rPr>
          <w:spacing w:val="-13"/>
          <w:sz w:val="38"/>
        </w:rPr>
        <w:t> </w:t>
      </w:r>
      <w:r>
        <w:rPr>
          <w:sz w:val="38"/>
        </w:rPr>
        <w:t>always</w:t>
      </w:r>
      <w:r>
        <w:rPr>
          <w:spacing w:val="-11"/>
          <w:sz w:val="38"/>
        </w:rPr>
        <w:t> </w:t>
      </w:r>
      <w:r>
        <w:rPr>
          <w:sz w:val="38"/>
        </w:rPr>
        <w:t>used</w:t>
      </w:r>
      <w:r>
        <w:rPr>
          <w:spacing w:val="-13"/>
          <w:sz w:val="38"/>
        </w:rPr>
        <w:t> </w:t>
      </w:r>
      <w:r>
        <w:rPr>
          <w:sz w:val="38"/>
        </w:rPr>
        <w:t>diluted,</w:t>
      </w:r>
      <w:r>
        <w:rPr>
          <w:spacing w:val="-9"/>
          <w:sz w:val="38"/>
        </w:rPr>
        <w:t> </w:t>
      </w:r>
      <w:r>
        <w:rPr>
          <w:sz w:val="38"/>
        </w:rPr>
        <w:t>with</w:t>
      </w:r>
      <w:r>
        <w:rPr>
          <w:spacing w:val="-12"/>
          <w:sz w:val="38"/>
        </w:rPr>
        <w:t> </w:t>
      </w:r>
      <w:r>
        <w:rPr>
          <w:sz w:val="38"/>
        </w:rPr>
        <w:t>a</w:t>
      </w:r>
      <w:r>
        <w:rPr>
          <w:spacing w:val="-14"/>
          <w:sz w:val="38"/>
        </w:rPr>
        <w:t> </w:t>
      </w:r>
      <w:r>
        <w:rPr>
          <w:sz w:val="38"/>
        </w:rPr>
        <w:t>few exceptions.</w:t>
      </w:r>
    </w:p>
    <w:p>
      <w:pPr>
        <w:pStyle w:val="ListParagraph"/>
        <w:numPr>
          <w:ilvl w:val="1"/>
          <w:numId w:val="33"/>
        </w:numPr>
        <w:tabs>
          <w:tab w:pos="1197" w:val="left" w:leader="none"/>
          <w:tab w:pos="1198" w:val="left" w:leader="none"/>
        </w:tabs>
        <w:spacing w:line="273" w:lineRule="auto" w:before="247" w:after="0"/>
        <w:ind w:left="1197" w:right="137" w:hanging="360"/>
        <w:jc w:val="left"/>
        <w:rPr>
          <w:sz w:val="38"/>
        </w:rPr>
      </w:pPr>
      <w:r>
        <w:rPr>
          <w:sz w:val="38"/>
        </w:rPr>
        <w:t>If the application causes skin irritation, wash grapefruit seed extract with plenty of water.</w:t>
      </w:r>
    </w:p>
    <w:p>
      <w:pPr>
        <w:pStyle w:val="ListParagraph"/>
        <w:numPr>
          <w:ilvl w:val="1"/>
          <w:numId w:val="33"/>
        </w:numPr>
        <w:tabs>
          <w:tab w:pos="1197" w:val="left" w:leader="none"/>
          <w:tab w:pos="1198" w:val="left" w:leader="none"/>
        </w:tabs>
        <w:spacing w:line="273" w:lineRule="auto" w:before="248" w:after="0"/>
        <w:ind w:left="1197" w:right="142" w:hanging="360"/>
        <w:jc w:val="left"/>
        <w:rPr>
          <w:sz w:val="38"/>
        </w:rPr>
      </w:pPr>
      <w:r>
        <w:rPr>
          <w:sz w:val="38"/>
        </w:rPr>
        <w:t>If the extract comes into contact with the eyes, wash immediately with plenty of warm water and consult a doctor.</w:t>
      </w:r>
    </w:p>
    <w:p>
      <w:pPr>
        <w:pStyle w:val="ListParagraph"/>
        <w:numPr>
          <w:ilvl w:val="1"/>
          <w:numId w:val="33"/>
        </w:numPr>
        <w:tabs>
          <w:tab w:pos="1197" w:val="left" w:leader="none"/>
          <w:tab w:pos="1198" w:val="left" w:leader="none"/>
        </w:tabs>
        <w:spacing w:line="273" w:lineRule="auto" w:before="247" w:after="0"/>
        <w:ind w:left="1197" w:right="132" w:hanging="360"/>
        <w:jc w:val="left"/>
        <w:rPr>
          <w:sz w:val="38"/>
        </w:rPr>
      </w:pPr>
      <w:r>
        <w:rPr>
          <w:sz w:val="38"/>
        </w:rPr>
        <w:t>To</w:t>
      </w:r>
      <w:r>
        <w:rPr>
          <w:spacing w:val="-19"/>
          <w:sz w:val="38"/>
        </w:rPr>
        <w:t> </w:t>
      </w:r>
      <w:r>
        <w:rPr>
          <w:sz w:val="38"/>
        </w:rPr>
        <w:t>ensure</w:t>
      </w:r>
      <w:r>
        <w:rPr>
          <w:spacing w:val="-18"/>
          <w:sz w:val="38"/>
        </w:rPr>
        <w:t> </w:t>
      </w:r>
      <w:r>
        <w:rPr>
          <w:sz w:val="38"/>
        </w:rPr>
        <w:t>the</w:t>
      </w:r>
      <w:r>
        <w:rPr>
          <w:spacing w:val="-20"/>
          <w:sz w:val="38"/>
        </w:rPr>
        <w:t> </w:t>
      </w:r>
      <w:r>
        <w:rPr>
          <w:sz w:val="38"/>
        </w:rPr>
        <w:t>longest</w:t>
      </w:r>
      <w:r>
        <w:rPr>
          <w:spacing w:val="-18"/>
          <w:sz w:val="38"/>
        </w:rPr>
        <w:t> </w:t>
      </w:r>
      <w:r>
        <w:rPr>
          <w:sz w:val="38"/>
        </w:rPr>
        <w:t>possible</w:t>
      </w:r>
      <w:r>
        <w:rPr>
          <w:spacing w:val="-21"/>
          <w:sz w:val="38"/>
        </w:rPr>
        <w:t> </w:t>
      </w:r>
      <w:r>
        <w:rPr>
          <w:sz w:val="38"/>
        </w:rPr>
        <w:t>shelf</w:t>
      </w:r>
      <w:r>
        <w:rPr>
          <w:spacing w:val="-19"/>
          <w:sz w:val="38"/>
        </w:rPr>
        <w:t> </w:t>
      </w:r>
      <w:r>
        <w:rPr>
          <w:sz w:val="38"/>
        </w:rPr>
        <w:t>life</w:t>
      </w:r>
      <w:r>
        <w:rPr>
          <w:spacing w:val="-20"/>
          <w:sz w:val="38"/>
        </w:rPr>
        <w:t> </w:t>
      </w:r>
      <w:r>
        <w:rPr>
          <w:sz w:val="38"/>
        </w:rPr>
        <w:t>of</w:t>
      </w:r>
      <w:r>
        <w:rPr>
          <w:spacing w:val="-19"/>
          <w:sz w:val="38"/>
        </w:rPr>
        <w:t> </w:t>
      </w:r>
      <w:r>
        <w:rPr>
          <w:sz w:val="38"/>
        </w:rPr>
        <w:t>grapefruit</w:t>
      </w:r>
      <w:r>
        <w:rPr>
          <w:spacing w:val="-19"/>
          <w:sz w:val="38"/>
        </w:rPr>
        <w:t> </w:t>
      </w:r>
      <w:r>
        <w:rPr>
          <w:sz w:val="38"/>
        </w:rPr>
        <w:t>seed</w:t>
      </w:r>
      <w:r>
        <w:rPr>
          <w:spacing w:val="-19"/>
          <w:sz w:val="38"/>
        </w:rPr>
        <w:t> </w:t>
      </w:r>
      <w:r>
        <w:rPr>
          <w:sz w:val="38"/>
        </w:rPr>
        <w:t>extract,</w:t>
      </w:r>
      <w:r>
        <w:rPr>
          <w:spacing w:val="-18"/>
          <w:sz w:val="38"/>
        </w:rPr>
        <w:t> </w:t>
      </w:r>
      <w:r>
        <w:rPr>
          <w:sz w:val="38"/>
        </w:rPr>
        <w:t>it</w:t>
      </w:r>
      <w:r>
        <w:rPr>
          <w:spacing w:val="-19"/>
          <w:sz w:val="38"/>
        </w:rPr>
        <w:t> </w:t>
      </w:r>
      <w:r>
        <w:rPr>
          <w:sz w:val="38"/>
        </w:rPr>
        <w:t>should be kept in an airtight container in a cool, dark</w:t>
      </w:r>
      <w:r>
        <w:rPr>
          <w:spacing w:val="-5"/>
          <w:sz w:val="38"/>
        </w:rPr>
        <w:t> </w:t>
      </w:r>
      <w:r>
        <w:rPr>
          <w:sz w:val="38"/>
        </w:rPr>
        <w:t>place.</w:t>
      </w:r>
    </w:p>
    <w:p>
      <w:pPr>
        <w:pStyle w:val="ListParagraph"/>
        <w:numPr>
          <w:ilvl w:val="1"/>
          <w:numId w:val="33"/>
        </w:numPr>
        <w:tabs>
          <w:tab w:pos="1197" w:val="left" w:leader="none"/>
          <w:tab w:pos="1198" w:val="left" w:leader="none"/>
        </w:tabs>
        <w:spacing w:line="240" w:lineRule="auto" w:before="247" w:after="0"/>
        <w:ind w:left="1197" w:right="0" w:hanging="360"/>
        <w:jc w:val="left"/>
        <w:rPr>
          <w:sz w:val="38"/>
        </w:rPr>
      </w:pPr>
      <w:r>
        <w:rPr>
          <w:sz w:val="38"/>
        </w:rPr>
        <w:t>Grapefruit seed extract should be kept out of the reach of</w:t>
      </w:r>
      <w:r>
        <w:rPr>
          <w:spacing w:val="-15"/>
          <w:sz w:val="38"/>
        </w:rPr>
        <w:t> </w:t>
      </w:r>
      <w:r>
        <w:rPr>
          <w:sz w:val="38"/>
        </w:rPr>
        <w:t>children.</w:t>
      </w:r>
    </w:p>
    <w:p>
      <w:pPr>
        <w:pStyle w:val="ListParagraph"/>
        <w:numPr>
          <w:ilvl w:val="1"/>
          <w:numId w:val="33"/>
        </w:numPr>
        <w:tabs>
          <w:tab w:pos="1197" w:val="left" w:leader="none"/>
          <w:tab w:pos="1198" w:val="left" w:leader="none"/>
        </w:tabs>
        <w:spacing w:line="273" w:lineRule="auto" w:before="304" w:after="0"/>
        <w:ind w:left="1197" w:right="133" w:hanging="360"/>
        <w:jc w:val="left"/>
        <w:rPr>
          <w:sz w:val="38"/>
        </w:rPr>
      </w:pPr>
      <w:r>
        <w:rPr>
          <w:sz w:val="38"/>
        </w:rPr>
        <w:t>If grapefruit seed extract changes its colour, smell or texture, you should refrain from using</w:t>
      </w:r>
      <w:r>
        <w:rPr>
          <w:spacing w:val="1"/>
          <w:sz w:val="38"/>
        </w:rPr>
        <w:t> </w:t>
      </w:r>
      <w:r>
        <w:rPr>
          <w:sz w:val="38"/>
        </w:rPr>
        <w:t>it.</w:t>
      </w:r>
    </w:p>
    <w:p>
      <w:pPr>
        <w:pStyle w:val="ListParagraph"/>
        <w:numPr>
          <w:ilvl w:val="1"/>
          <w:numId w:val="33"/>
        </w:numPr>
        <w:tabs>
          <w:tab w:pos="1197" w:val="left" w:leader="none"/>
          <w:tab w:pos="1198" w:val="left" w:leader="none"/>
        </w:tabs>
        <w:spacing w:line="273" w:lineRule="auto" w:before="247" w:after="0"/>
        <w:ind w:left="1197" w:right="132" w:hanging="360"/>
        <w:jc w:val="left"/>
        <w:rPr>
          <w:sz w:val="38"/>
        </w:rPr>
      </w:pPr>
      <w:r>
        <w:rPr>
          <w:sz w:val="38"/>
        </w:rPr>
        <w:t>In the event of acute accidents, injuries and illnesses, you should always consult</w:t>
      </w:r>
      <w:r>
        <w:rPr>
          <w:spacing w:val="-23"/>
          <w:sz w:val="38"/>
        </w:rPr>
        <w:t> </w:t>
      </w:r>
      <w:r>
        <w:rPr>
          <w:sz w:val="38"/>
        </w:rPr>
        <w:t>a</w:t>
      </w:r>
      <w:r>
        <w:rPr>
          <w:spacing w:val="-22"/>
          <w:sz w:val="38"/>
        </w:rPr>
        <w:t> </w:t>
      </w:r>
      <w:r>
        <w:rPr>
          <w:sz w:val="38"/>
        </w:rPr>
        <w:t>doctor</w:t>
      </w:r>
      <w:r>
        <w:rPr>
          <w:spacing w:val="-26"/>
          <w:sz w:val="38"/>
        </w:rPr>
        <w:t> </w:t>
      </w:r>
      <w:r>
        <w:rPr>
          <w:sz w:val="38"/>
        </w:rPr>
        <w:t>and</w:t>
      </w:r>
      <w:r>
        <w:rPr>
          <w:spacing w:val="-21"/>
          <w:sz w:val="38"/>
        </w:rPr>
        <w:t> </w:t>
      </w:r>
      <w:r>
        <w:rPr>
          <w:sz w:val="38"/>
        </w:rPr>
        <w:t>evaluate</w:t>
      </w:r>
      <w:r>
        <w:rPr>
          <w:spacing w:val="-22"/>
          <w:sz w:val="38"/>
        </w:rPr>
        <w:t> </w:t>
      </w:r>
      <w:r>
        <w:rPr>
          <w:sz w:val="38"/>
        </w:rPr>
        <w:t>the</w:t>
      </w:r>
      <w:r>
        <w:rPr>
          <w:spacing w:val="-21"/>
          <w:sz w:val="38"/>
        </w:rPr>
        <w:t> </w:t>
      </w:r>
      <w:r>
        <w:rPr>
          <w:sz w:val="38"/>
        </w:rPr>
        <w:t>use</w:t>
      </w:r>
      <w:r>
        <w:rPr>
          <w:spacing w:val="-21"/>
          <w:sz w:val="38"/>
        </w:rPr>
        <w:t> </w:t>
      </w:r>
      <w:r>
        <w:rPr>
          <w:sz w:val="38"/>
        </w:rPr>
        <w:t>of</w:t>
      </w:r>
      <w:r>
        <w:rPr>
          <w:spacing w:val="-22"/>
          <w:sz w:val="38"/>
        </w:rPr>
        <w:t> </w:t>
      </w:r>
      <w:r>
        <w:rPr>
          <w:sz w:val="38"/>
        </w:rPr>
        <w:t>grapefruit</w:t>
      </w:r>
      <w:r>
        <w:rPr>
          <w:spacing w:val="-22"/>
          <w:sz w:val="38"/>
        </w:rPr>
        <w:t> </w:t>
      </w:r>
      <w:r>
        <w:rPr>
          <w:sz w:val="38"/>
        </w:rPr>
        <w:t>seed</w:t>
      </w:r>
      <w:r>
        <w:rPr>
          <w:spacing w:val="-24"/>
          <w:sz w:val="38"/>
        </w:rPr>
        <w:t> </w:t>
      </w:r>
      <w:r>
        <w:rPr>
          <w:sz w:val="38"/>
        </w:rPr>
        <w:t>extract</w:t>
      </w:r>
      <w:r>
        <w:rPr>
          <w:spacing w:val="-23"/>
          <w:sz w:val="38"/>
        </w:rPr>
        <w:t> </w:t>
      </w:r>
      <w:r>
        <w:rPr>
          <w:sz w:val="38"/>
        </w:rPr>
        <w:t>accordingly.</w:t>
      </w:r>
    </w:p>
    <w:p>
      <w:pPr>
        <w:pStyle w:val="ListParagraph"/>
        <w:numPr>
          <w:ilvl w:val="1"/>
          <w:numId w:val="33"/>
        </w:numPr>
        <w:tabs>
          <w:tab w:pos="1197" w:val="left" w:leader="none"/>
          <w:tab w:pos="1198" w:val="left" w:leader="none"/>
        </w:tabs>
        <w:spacing w:line="273" w:lineRule="auto" w:before="248" w:after="0"/>
        <w:ind w:left="1197" w:right="135" w:hanging="360"/>
        <w:jc w:val="left"/>
        <w:rPr>
          <w:sz w:val="38"/>
        </w:rPr>
      </w:pPr>
      <w:r>
        <w:rPr>
          <w:sz w:val="38"/>
        </w:rPr>
        <w:t>If self-medication with grapefruit seed extract does not lead to the</w:t>
      </w:r>
      <w:r>
        <w:rPr>
          <w:spacing w:val="-32"/>
          <w:sz w:val="38"/>
        </w:rPr>
        <w:t> </w:t>
      </w:r>
      <w:r>
        <w:rPr>
          <w:sz w:val="38"/>
        </w:rPr>
        <w:t>desired effect, but to sustained symptoms, you should also consult a</w:t>
      </w:r>
      <w:r>
        <w:rPr>
          <w:spacing w:val="-10"/>
          <w:sz w:val="38"/>
        </w:rPr>
        <w:t> </w:t>
      </w:r>
      <w:r>
        <w:rPr>
          <w:sz w:val="38"/>
        </w:rPr>
        <w:t>doctor.</w:t>
      </w:r>
    </w:p>
    <w:p>
      <w:pPr>
        <w:spacing w:after="0" w:line="273" w:lineRule="auto"/>
        <w:jc w:val="left"/>
        <w:rPr>
          <w:sz w:val="38"/>
        </w:rPr>
        <w:sectPr>
          <w:pgSz w:w="14270" w:h="16850"/>
          <w:pgMar w:header="0" w:footer="1891" w:top="1600" w:bottom="2080" w:left="800" w:right="1280"/>
        </w:sect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36"/>
      </w:pPr>
      <w:r>
        <w:rPr/>
        <w:t>Internal application of grapefruit seed</w:t>
      </w:r>
      <w:r>
        <w:rPr>
          <w:spacing w:val="-60"/>
        </w:rPr>
        <w:t> </w:t>
      </w:r>
      <w:r>
        <w:rPr/>
        <w:t>extract</w:t>
      </w:r>
    </w:p>
    <w:p>
      <w:pPr>
        <w:pStyle w:val="BodyText"/>
        <w:spacing w:line="276" w:lineRule="auto" w:before="299"/>
        <w:ind w:left="477" w:right="132"/>
        <w:jc w:val="both"/>
      </w:pPr>
      <w:r>
        <w:rPr/>
        <w:t>There are some important basic rules for both internal and external use which should not be skirted here. All dosage instructions refer to the commercial di- lution of 1/3 grapefruit seed extract, which in turn consists of 60 % grapefruit seed and 40 % glycerine veg. U.S.P.</w:t>
      </w:r>
    </w:p>
    <w:p>
      <w:pPr>
        <w:pStyle w:val="Heading2"/>
        <w:spacing w:before="240"/>
      </w:pPr>
      <w:r>
        <w:rPr/>
        <w:t>Basic rule 1:</w:t>
      </w:r>
    </w:p>
    <w:p>
      <w:pPr>
        <w:pStyle w:val="BodyText"/>
        <w:spacing w:line="276" w:lineRule="auto" w:before="305"/>
        <w:ind w:left="477" w:right="130"/>
        <w:jc w:val="both"/>
      </w:pPr>
      <w:r>
        <w:rPr/>
        <w:t>Take 3-15 drops 2-3 times a day, which should be slowly increased, with the maximum dose being reached after one week. This step-by-step increase is es- pecially necessary if there is a suspected case of intestinal fungi (Candida albi- cans).</w:t>
      </w:r>
      <w:r>
        <w:rPr>
          <w:spacing w:val="-21"/>
        </w:rPr>
        <w:t> </w:t>
      </w:r>
      <w:r>
        <w:rPr/>
        <w:t>This</w:t>
      </w:r>
      <w:r>
        <w:rPr>
          <w:spacing w:val="-21"/>
        </w:rPr>
        <w:t> </w:t>
      </w:r>
      <w:r>
        <w:rPr/>
        <w:t>is</w:t>
      </w:r>
      <w:r>
        <w:rPr>
          <w:spacing w:val="-22"/>
        </w:rPr>
        <w:t> </w:t>
      </w:r>
      <w:r>
        <w:rPr/>
        <w:t>so</w:t>
      </w:r>
      <w:r>
        <w:rPr>
          <w:spacing w:val="-19"/>
        </w:rPr>
        <w:t> </w:t>
      </w:r>
      <w:r>
        <w:rPr/>
        <w:t>important</w:t>
      </w:r>
      <w:r>
        <w:rPr>
          <w:spacing w:val="-22"/>
        </w:rPr>
        <w:t> </w:t>
      </w:r>
      <w:r>
        <w:rPr/>
        <w:t>because</w:t>
      </w:r>
      <w:r>
        <w:rPr>
          <w:spacing w:val="-22"/>
        </w:rPr>
        <w:t> </w:t>
      </w:r>
      <w:r>
        <w:rPr/>
        <w:t>the</w:t>
      </w:r>
      <w:r>
        <w:rPr>
          <w:spacing w:val="-20"/>
        </w:rPr>
        <w:t> </w:t>
      </w:r>
      <w:r>
        <w:rPr/>
        <w:t>aforementioned</w:t>
      </w:r>
      <w:r>
        <w:rPr>
          <w:spacing w:val="-20"/>
        </w:rPr>
        <w:t> </w:t>
      </w:r>
      <w:r>
        <w:rPr/>
        <w:t>bacteria</w:t>
      </w:r>
      <w:r>
        <w:rPr>
          <w:spacing w:val="-23"/>
        </w:rPr>
        <w:t> </w:t>
      </w:r>
      <w:r>
        <w:rPr/>
        <w:t>can</w:t>
      </w:r>
      <w:r>
        <w:rPr>
          <w:spacing w:val="-21"/>
        </w:rPr>
        <w:t> </w:t>
      </w:r>
      <w:r>
        <w:rPr/>
        <w:t>cause</w:t>
      </w:r>
      <w:r>
        <w:rPr>
          <w:spacing w:val="-21"/>
        </w:rPr>
        <w:t> </w:t>
      </w:r>
      <w:r>
        <w:rPr/>
        <w:t>head- ache</w:t>
      </w:r>
      <w:r>
        <w:rPr>
          <w:spacing w:val="-6"/>
        </w:rPr>
        <w:t> </w:t>
      </w:r>
      <w:r>
        <w:rPr/>
        <w:t>and</w:t>
      </w:r>
      <w:r>
        <w:rPr>
          <w:spacing w:val="-7"/>
        </w:rPr>
        <w:t> </w:t>
      </w:r>
      <w:r>
        <w:rPr/>
        <w:t>dizziness</w:t>
      </w:r>
      <w:r>
        <w:rPr>
          <w:spacing w:val="-5"/>
        </w:rPr>
        <w:t> </w:t>
      </w:r>
      <w:r>
        <w:rPr/>
        <w:t>when</w:t>
      </w:r>
      <w:r>
        <w:rPr>
          <w:spacing w:val="-6"/>
        </w:rPr>
        <w:t> </w:t>
      </w:r>
      <w:r>
        <w:rPr/>
        <w:t>killed</w:t>
      </w:r>
      <w:r>
        <w:rPr>
          <w:spacing w:val="-7"/>
        </w:rPr>
        <w:t> </w:t>
      </w:r>
      <w:r>
        <w:rPr/>
        <w:t>by</w:t>
      </w:r>
      <w:r>
        <w:rPr>
          <w:spacing w:val="-5"/>
        </w:rPr>
        <w:t> </w:t>
      </w:r>
      <w:r>
        <w:rPr/>
        <w:t>grapefruit</w:t>
      </w:r>
      <w:r>
        <w:rPr>
          <w:spacing w:val="-7"/>
        </w:rPr>
        <w:t> </w:t>
      </w:r>
      <w:r>
        <w:rPr/>
        <w:t>seed</w:t>
      </w:r>
      <w:r>
        <w:rPr>
          <w:spacing w:val="-7"/>
        </w:rPr>
        <w:t> </w:t>
      </w:r>
      <w:r>
        <w:rPr/>
        <w:t>extract,</w:t>
      </w:r>
      <w:r>
        <w:rPr>
          <w:spacing w:val="-5"/>
        </w:rPr>
        <w:t> </w:t>
      </w:r>
      <w:r>
        <w:rPr/>
        <w:t>which</w:t>
      </w:r>
      <w:r>
        <w:rPr>
          <w:spacing w:val="-6"/>
        </w:rPr>
        <w:t> </w:t>
      </w:r>
      <w:r>
        <w:rPr/>
        <w:t>is</w:t>
      </w:r>
      <w:r>
        <w:rPr>
          <w:spacing w:val="-6"/>
        </w:rPr>
        <w:t> </w:t>
      </w:r>
      <w:r>
        <w:rPr/>
        <w:t>also</w:t>
      </w:r>
      <w:r>
        <w:rPr>
          <w:spacing w:val="-6"/>
        </w:rPr>
        <w:t> </w:t>
      </w:r>
      <w:r>
        <w:rPr/>
        <w:t>referred to as ‘Herxheimer</w:t>
      </w:r>
      <w:r>
        <w:rPr>
          <w:spacing w:val="2"/>
        </w:rPr>
        <w:t> </w:t>
      </w:r>
      <w:r>
        <w:rPr/>
        <w:t>reaction’.</w:t>
      </w:r>
    </w:p>
    <w:p>
      <w:pPr>
        <w:pStyle w:val="Heading2"/>
        <w:spacing w:before="240"/>
      </w:pPr>
      <w:r>
        <w:rPr/>
        <w:t>Basic rule 2:</w:t>
      </w:r>
    </w:p>
    <w:p>
      <w:pPr>
        <w:pStyle w:val="BodyText"/>
        <w:spacing w:line="276" w:lineRule="auto" w:before="304"/>
        <w:ind w:left="477"/>
      </w:pPr>
      <w:r>
        <w:rPr/>
        <w:t>The daily dose is 5 drops per 10kg of body weight (in special exceptional</w:t>
      </w:r>
      <w:r>
        <w:rPr>
          <w:spacing w:val="-54"/>
        </w:rPr>
        <w:t> </w:t>
      </w:r>
      <w:r>
        <w:rPr/>
        <w:t>cases, this dose can be doubled).</w:t>
      </w:r>
    </w:p>
    <w:p>
      <w:pPr>
        <w:pStyle w:val="Heading2"/>
        <w:spacing w:before="241"/>
      </w:pPr>
      <w:r>
        <w:rPr/>
        <w:t>Basic rule 3:</w:t>
      </w:r>
    </w:p>
    <w:p>
      <w:pPr>
        <w:pStyle w:val="BodyText"/>
        <w:spacing w:line="276" w:lineRule="auto" w:before="305"/>
        <w:ind w:left="477" w:right="37"/>
      </w:pPr>
      <w:r>
        <w:rPr/>
        <w:t>Grapefruit seed extract is always taken diluted, preferably in a 200 ml glass with water or fruit juice in it.</w:t>
      </w:r>
    </w:p>
    <w:p>
      <w:pPr>
        <w:spacing w:after="0" w:line="276" w:lineRule="auto"/>
        <w:sectPr>
          <w:pgSz w:w="14270" w:h="16850"/>
          <w:pgMar w:header="0" w:footer="1891" w:top="1600" w:bottom="2080" w:left="800" w:right="1280"/>
        </w:sectPr>
      </w:pPr>
    </w:p>
    <w:p>
      <w:pPr>
        <w:pStyle w:val="Heading2"/>
        <w:spacing w:before="181"/>
      </w:pPr>
      <w:r>
        <w:rPr/>
        <w:t>Basic rule 4:</w:t>
      </w:r>
    </w:p>
    <w:p>
      <w:pPr>
        <w:pStyle w:val="BodyText"/>
        <w:spacing w:line="276" w:lineRule="auto" w:before="305"/>
        <w:ind w:left="477" w:right="138"/>
        <w:jc w:val="both"/>
      </w:pPr>
      <w:r>
        <w:rPr/>
        <w:t>The</w:t>
      </w:r>
      <w:r>
        <w:rPr>
          <w:spacing w:val="-9"/>
        </w:rPr>
        <w:t> </w:t>
      </w:r>
      <w:r>
        <w:rPr/>
        <w:t>duration</w:t>
      </w:r>
      <w:r>
        <w:rPr>
          <w:spacing w:val="-8"/>
        </w:rPr>
        <w:t> </w:t>
      </w:r>
      <w:r>
        <w:rPr/>
        <w:t>of</w:t>
      </w:r>
      <w:r>
        <w:rPr>
          <w:spacing w:val="-7"/>
        </w:rPr>
        <w:t> </w:t>
      </w:r>
      <w:r>
        <w:rPr/>
        <w:t>use</w:t>
      </w:r>
      <w:r>
        <w:rPr>
          <w:spacing w:val="-9"/>
        </w:rPr>
        <w:t> </w:t>
      </w:r>
      <w:r>
        <w:rPr/>
        <w:t>depends</w:t>
      </w:r>
      <w:r>
        <w:rPr>
          <w:spacing w:val="-9"/>
        </w:rPr>
        <w:t> </w:t>
      </w:r>
      <w:r>
        <w:rPr/>
        <w:t>on</w:t>
      </w:r>
      <w:r>
        <w:rPr>
          <w:spacing w:val="-11"/>
        </w:rPr>
        <w:t> </w:t>
      </w:r>
      <w:r>
        <w:rPr/>
        <w:t>the</w:t>
      </w:r>
      <w:r>
        <w:rPr>
          <w:spacing w:val="-7"/>
        </w:rPr>
        <w:t> </w:t>
      </w:r>
      <w:r>
        <w:rPr/>
        <w:t>type</w:t>
      </w:r>
      <w:r>
        <w:rPr>
          <w:spacing w:val="-9"/>
        </w:rPr>
        <w:t> </w:t>
      </w:r>
      <w:r>
        <w:rPr/>
        <w:t>of</w:t>
      </w:r>
      <w:r>
        <w:rPr>
          <w:spacing w:val="-9"/>
        </w:rPr>
        <w:t> </w:t>
      </w:r>
      <w:r>
        <w:rPr/>
        <w:t>illness</w:t>
      </w:r>
      <w:r>
        <w:rPr>
          <w:spacing w:val="-8"/>
        </w:rPr>
        <w:t> </w:t>
      </w:r>
      <w:r>
        <w:rPr/>
        <w:t>and</w:t>
      </w:r>
      <w:r>
        <w:rPr>
          <w:spacing w:val="-9"/>
        </w:rPr>
        <w:t> </w:t>
      </w:r>
      <w:r>
        <w:rPr/>
        <w:t>should</w:t>
      </w:r>
      <w:r>
        <w:rPr>
          <w:spacing w:val="-10"/>
        </w:rPr>
        <w:t> </w:t>
      </w:r>
      <w:r>
        <w:rPr/>
        <w:t>be</w:t>
      </w:r>
      <w:r>
        <w:rPr>
          <w:spacing w:val="-8"/>
        </w:rPr>
        <w:t> </w:t>
      </w:r>
      <w:r>
        <w:rPr/>
        <w:t>continued</w:t>
      </w:r>
      <w:r>
        <w:rPr>
          <w:spacing w:val="-10"/>
        </w:rPr>
        <w:t> </w:t>
      </w:r>
      <w:r>
        <w:rPr/>
        <w:t>for at least a week after the symptoms have resolved. </w:t>
      </w:r>
      <w:r>
        <w:rPr>
          <w:spacing w:val="3"/>
        </w:rPr>
        <w:t>For </w:t>
      </w:r>
      <w:r>
        <w:rPr/>
        <w:t>a number of parasites, such as intestinal fungi and certain bacteria (Helicobacter pylori, etc.), internal intake should last at least six</w:t>
      </w:r>
      <w:r>
        <w:rPr>
          <w:spacing w:val="-2"/>
        </w:rPr>
        <w:t> </w:t>
      </w:r>
      <w:r>
        <w:rPr/>
        <w:t>weeks.</w:t>
      </w:r>
    </w:p>
    <w:p>
      <w:pPr>
        <w:pStyle w:val="BodyText"/>
        <w:rPr>
          <w:sz w:val="42"/>
        </w:rPr>
      </w:pPr>
    </w:p>
    <w:p>
      <w:pPr>
        <w:spacing w:line="410" w:lineRule="auto" w:before="259"/>
        <w:ind w:left="477" w:right="7731" w:firstLine="0"/>
        <w:jc w:val="left"/>
        <w:rPr>
          <w:sz w:val="38"/>
        </w:rPr>
      </w:pPr>
      <w:r>
        <w:rPr>
          <w:b/>
          <w:sz w:val="38"/>
        </w:rPr>
        <w:t>Applications from A-Z</w:t>
      </w:r>
      <w:r>
        <w:rPr>
          <w:b/>
          <w:position w:val="9"/>
          <w:sz w:val="25"/>
        </w:rPr>
        <w:t>362 </w:t>
      </w:r>
      <w:r>
        <w:rPr>
          <w:b/>
          <w:sz w:val="38"/>
        </w:rPr>
        <w:t>Fatigue: </w:t>
      </w:r>
      <w:r>
        <w:rPr>
          <w:sz w:val="38"/>
        </w:rPr>
        <w:t>internal intake</w:t>
      </w:r>
    </w:p>
    <w:p>
      <w:pPr>
        <w:pStyle w:val="BodyText"/>
        <w:spacing w:before="2"/>
        <w:ind w:left="477"/>
      </w:pPr>
      <w:r>
        <w:rPr>
          <w:b/>
        </w:rPr>
        <w:t>AIDS: </w:t>
      </w:r>
      <w:r>
        <w:rPr/>
        <w:t>effect is still being researched, internal intake recommended</w:t>
      </w:r>
    </w:p>
    <w:p>
      <w:pPr>
        <w:spacing w:before="305"/>
        <w:ind w:left="477" w:right="0" w:firstLine="0"/>
        <w:jc w:val="left"/>
        <w:rPr>
          <w:sz w:val="38"/>
        </w:rPr>
      </w:pPr>
      <w:r>
        <w:rPr>
          <w:b/>
          <w:sz w:val="38"/>
        </w:rPr>
        <w:t>Allergies: </w:t>
      </w:r>
      <w:r>
        <w:rPr>
          <w:sz w:val="38"/>
        </w:rPr>
        <w:t>often caused by fungi, internal intake</w:t>
      </w:r>
    </w:p>
    <w:p>
      <w:pPr>
        <w:spacing w:line="276" w:lineRule="auto" w:before="304"/>
        <w:ind w:left="477" w:right="131" w:firstLine="0"/>
        <w:jc w:val="left"/>
        <w:rPr>
          <w:sz w:val="38"/>
        </w:rPr>
      </w:pPr>
      <w:r>
        <w:rPr>
          <w:b/>
          <w:sz w:val="38"/>
        </w:rPr>
        <w:t>Amoebic dysentery: </w:t>
      </w:r>
      <w:r>
        <w:rPr>
          <w:sz w:val="38"/>
        </w:rPr>
        <w:t>continue to take even after the symptoms have resolved, internal intake</w:t>
      </w:r>
    </w:p>
    <w:p>
      <w:pPr>
        <w:spacing w:line="410" w:lineRule="auto" w:before="239"/>
        <w:ind w:left="477" w:right="0" w:firstLine="0"/>
        <w:jc w:val="left"/>
        <w:rPr>
          <w:sz w:val="38"/>
        </w:rPr>
      </w:pPr>
      <w:r>
        <w:rPr>
          <w:b/>
          <w:sz w:val="38"/>
        </w:rPr>
        <w:t>Angina or tonsillitis</w:t>
      </w:r>
      <w:r>
        <w:rPr>
          <w:sz w:val="38"/>
        </w:rPr>
        <w:t>: internal intake and gargling with 10 drops per 200 ml </w:t>
      </w:r>
      <w:r>
        <w:rPr>
          <w:b/>
          <w:sz w:val="38"/>
        </w:rPr>
        <w:t>Arthritis/joint</w:t>
      </w:r>
      <w:r>
        <w:rPr>
          <w:b/>
          <w:spacing w:val="-17"/>
          <w:sz w:val="38"/>
        </w:rPr>
        <w:t> </w:t>
      </w:r>
      <w:r>
        <w:rPr>
          <w:b/>
          <w:sz w:val="38"/>
        </w:rPr>
        <w:t>inflammation:</w:t>
      </w:r>
      <w:r>
        <w:rPr>
          <w:b/>
          <w:spacing w:val="-17"/>
          <w:sz w:val="38"/>
        </w:rPr>
        <w:t> </w:t>
      </w:r>
      <w:r>
        <w:rPr>
          <w:sz w:val="38"/>
        </w:rPr>
        <w:t>internal</w:t>
      </w:r>
      <w:r>
        <w:rPr>
          <w:spacing w:val="-19"/>
          <w:sz w:val="38"/>
        </w:rPr>
        <w:t> </w:t>
      </w:r>
      <w:r>
        <w:rPr>
          <w:sz w:val="38"/>
        </w:rPr>
        <w:t>intake</w:t>
      </w:r>
      <w:r>
        <w:rPr>
          <w:spacing w:val="-18"/>
          <w:sz w:val="38"/>
        </w:rPr>
        <w:t> </w:t>
      </w:r>
      <w:r>
        <w:rPr>
          <w:sz w:val="38"/>
        </w:rPr>
        <w:t>for</w:t>
      </w:r>
      <w:r>
        <w:rPr>
          <w:spacing w:val="-18"/>
          <w:sz w:val="38"/>
        </w:rPr>
        <w:t> </w:t>
      </w:r>
      <w:r>
        <w:rPr>
          <w:sz w:val="38"/>
        </w:rPr>
        <w:t>several</w:t>
      </w:r>
      <w:r>
        <w:rPr>
          <w:spacing w:val="-19"/>
          <w:sz w:val="38"/>
        </w:rPr>
        <w:t> </w:t>
      </w:r>
      <w:r>
        <w:rPr>
          <w:sz w:val="38"/>
        </w:rPr>
        <w:t>months</w:t>
      </w:r>
      <w:r>
        <w:rPr>
          <w:spacing w:val="-18"/>
          <w:sz w:val="38"/>
        </w:rPr>
        <w:t> </w:t>
      </w:r>
      <w:r>
        <w:rPr>
          <w:sz w:val="38"/>
        </w:rPr>
        <w:t>often</w:t>
      </w:r>
      <w:r>
        <w:rPr>
          <w:spacing w:val="-18"/>
          <w:sz w:val="38"/>
        </w:rPr>
        <w:t> </w:t>
      </w:r>
      <w:r>
        <w:rPr>
          <w:sz w:val="38"/>
        </w:rPr>
        <w:t>helpful </w:t>
      </w:r>
      <w:r>
        <w:rPr>
          <w:b/>
          <w:sz w:val="38"/>
        </w:rPr>
        <w:t>Asthma: </w:t>
      </w:r>
      <w:r>
        <w:rPr>
          <w:sz w:val="38"/>
        </w:rPr>
        <w:t>in some cases, internal intake helps, 1-3 months of</w:t>
      </w:r>
      <w:r>
        <w:rPr>
          <w:spacing w:val="-6"/>
          <w:sz w:val="38"/>
        </w:rPr>
        <w:t> </w:t>
      </w:r>
      <w:r>
        <w:rPr>
          <w:sz w:val="38"/>
        </w:rPr>
        <w:t>use</w:t>
      </w:r>
    </w:p>
    <w:p>
      <w:pPr>
        <w:pStyle w:val="BodyText"/>
        <w:rPr>
          <w:sz w:val="20"/>
        </w:rPr>
      </w:pPr>
    </w:p>
    <w:p>
      <w:pPr>
        <w:pStyle w:val="BodyText"/>
        <w:spacing w:before="3"/>
        <w:rPr>
          <w:sz w:val="19"/>
        </w:rPr>
      </w:pPr>
      <w:r>
        <w:rPr/>
        <w:pict>
          <v:line style="position:absolute;mso-position-horizontal-relative:page;mso-position-vertical-relative:paragraph;z-index:4280;mso-wrap-distance-left:0;mso-wrap-distance-right:0" from="63.863998pt,13.196265pt" to="207.883998pt,13.19626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362 </w:t>
      </w:r>
      <w:r>
        <w:rPr>
          <w:sz w:val="20"/>
        </w:rPr>
        <w:t>Werner Goller: Was verschweigt die Schulmedizin? (‘What Does Conventional Medicine Conceal?’), 2009, p. 169</w:t>
      </w:r>
    </w:p>
    <w:p>
      <w:pPr>
        <w:spacing w:after="0"/>
        <w:jc w:val="left"/>
        <w:rPr>
          <w:sz w:val="20"/>
        </w:rPr>
        <w:sectPr>
          <w:pgSz w:w="14270" w:h="16850"/>
          <w:pgMar w:header="0" w:footer="1891" w:top="1600" w:bottom="2080" w:left="800" w:right="1280"/>
        </w:sectPr>
      </w:pPr>
    </w:p>
    <w:p>
      <w:pPr>
        <w:spacing w:before="181"/>
        <w:ind w:left="477" w:right="0" w:firstLine="0"/>
        <w:jc w:val="both"/>
        <w:rPr>
          <w:sz w:val="38"/>
        </w:rPr>
      </w:pPr>
      <w:r>
        <w:rPr>
          <w:b/>
          <w:sz w:val="38"/>
        </w:rPr>
        <w:t>Stomach pain: </w:t>
      </w:r>
      <w:r>
        <w:rPr>
          <w:sz w:val="38"/>
        </w:rPr>
        <w:t>often, internal intake helps</w:t>
      </w:r>
    </w:p>
    <w:p>
      <w:pPr>
        <w:pStyle w:val="BodyText"/>
        <w:spacing w:before="305"/>
        <w:ind w:left="477"/>
        <w:jc w:val="both"/>
      </w:pPr>
      <w:r>
        <w:rPr>
          <w:b/>
        </w:rPr>
        <w:t>Flatulence: </w:t>
      </w:r>
      <w:r>
        <w:rPr/>
        <w:t>often caused by germs, fungi or parasites, internal intake</w:t>
      </w:r>
    </w:p>
    <w:p>
      <w:pPr>
        <w:spacing w:before="304"/>
        <w:ind w:left="477" w:right="0" w:firstLine="0"/>
        <w:jc w:val="both"/>
        <w:rPr>
          <w:sz w:val="38"/>
        </w:rPr>
      </w:pPr>
      <w:r>
        <w:rPr>
          <w:b/>
          <w:sz w:val="38"/>
        </w:rPr>
        <w:t>Cystitis/bladder problems</w:t>
      </w:r>
      <w:r>
        <w:rPr>
          <w:sz w:val="38"/>
        </w:rPr>
        <w:t>: internal intake</w:t>
      </w:r>
    </w:p>
    <w:p>
      <w:pPr>
        <w:pStyle w:val="BodyText"/>
        <w:spacing w:before="305"/>
        <w:ind w:left="477"/>
        <w:jc w:val="both"/>
      </w:pPr>
      <w:r>
        <w:rPr>
          <w:b/>
        </w:rPr>
        <w:t>Bronchitis: </w:t>
      </w:r>
      <w:r>
        <w:rPr/>
        <w:t>internal intake and gargling with 10 drops per 200 ml</w:t>
      </w:r>
    </w:p>
    <w:p>
      <w:pPr>
        <w:pStyle w:val="BodyText"/>
        <w:spacing w:line="276" w:lineRule="auto" w:before="304"/>
        <w:ind w:left="477" w:right="135"/>
        <w:jc w:val="both"/>
      </w:pPr>
      <w:r>
        <w:rPr>
          <w:b/>
        </w:rPr>
        <w:t>Breast inflammation = mastitis: </w:t>
      </w:r>
      <w:r>
        <w:rPr/>
        <w:t>internal intake + diluted and applied exter- nally, 8 drops per tablespoon of oil (apply to chest), even for inflammation of cow udders</w:t>
      </w:r>
    </w:p>
    <w:p>
      <w:pPr>
        <w:spacing w:line="276" w:lineRule="auto" w:before="240"/>
        <w:ind w:left="477" w:right="0" w:firstLine="0"/>
        <w:jc w:val="left"/>
        <w:rPr>
          <w:sz w:val="38"/>
        </w:rPr>
      </w:pPr>
      <w:r>
        <w:rPr>
          <w:b/>
          <w:sz w:val="38"/>
        </w:rPr>
        <w:t>Candida albicans (yeast fungus): </w:t>
      </w:r>
      <w:r>
        <w:rPr>
          <w:sz w:val="38"/>
        </w:rPr>
        <w:t>internal intake 3-4 months duration (start with 3 drops)</w:t>
      </w:r>
    </w:p>
    <w:p>
      <w:pPr>
        <w:pStyle w:val="BodyText"/>
        <w:spacing w:before="240"/>
        <w:ind w:left="477"/>
        <w:jc w:val="both"/>
      </w:pPr>
      <w:r>
        <w:rPr>
          <w:b/>
        </w:rPr>
        <w:t>Cholera: </w:t>
      </w:r>
      <w:r>
        <w:rPr/>
        <w:t>take 20-30 drops per glass every 3 hours</w:t>
      </w:r>
    </w:p>
    <w:p>
      <w:pPr>
        <w:spacing w:before="305"/>
        <w:ind w:left="477" w:right="0" w:firstLine="0"/>
        <w:jc w:val="both"/>
        <w:rPr>
          <w:sz w:val="38"/>
        </w:rPr>
      </w:pPr>
      <w:r>
        <w:rPr>
          <w:b/>
          <w:sz w:val="38"/>
        </w:rPr>
        <w:t>Chronic fatigue: </w:t>
      </w:r>
      <w:r>
        <w:rPr>
          <w:sz w:val="38"/>
        </w:rPr>
        <w:t>often fungi, bacteria, internal intake 3-4 months</w:t>
      </w:r>
    </w:p>
    <w:p>
      <w:pPr>
        <w:spacing w:before="302"/>
        <w:ind w:left="477" w:right="0" w:firstLine="0"/>
        <w:jc w:val="both"/>
        <w:rPr>
          <w:sz w:val="38"/>
        </w:rPr>
      </w:pPr>
      <w:r>
        <w:rPr>
          <w:b/>
          <w:sz w:val="38"/>
        </w:rPr>
        <w:t>Colitis = enteritis: </w:t>
      </w:r>
      <w:r>
        <w:rPr>
          <w:sz w:val="38"/>
        </w:rPr>
        <w:t>internal intake with chamomile tea, antioxidant inner intake</w:t>
      </w:r>
    </w:p>
    <w:p>
      <w:pPr>
        <w:spacing w:before="305"/>
        <w:ind w:left="477" w:right="0" w:firstLine="0"/>
        <w:jc w:val="both"/>
        <w:rPr>
          <w:sz w:val="38"/>
        </w:rPr>
      </w:pPr>
      <w:r>
        <w:rPr>
          <w:b/>
          <w:sz w:val="38"/>
        </w:rPr>
        <w:t>Crohn's disease: </w:t>
      </w:r>
      <w:r>
        <w:rPr>
          <w:sz w:val="38"/>
        </w:rPr>
        <w:t>internal intake + antioxidant inner intake</w:t>
      </w:r>
    </w:p>
    <w:p>
      <w:pPr>
        <w:spacing w:before="304"/>
        <w:ind w:left="477" w:right="0" w:firstLine="0"/>
        <w:jc w:val="both"/>
        <w:rPr>
          <w:sz w:val="38"/>
        </w:rPr>
      </w:pPr>
      <w:r>
        <w:rPr>
          <w:b/>
          <w:sz w:val="38"/>
        </w:rPr>
        <w:t>Enteritis: </w:t>
      </w:r>
      <w:r>
        <w:rPr>
          <w:sz w:val="38"/>
        </w:rPr>
        <w:t>internal intake (see under Colitis)</w:t>
      </w:r>
    </w:p>
    <w:p>
      <w:pPr>
        <w:pStyle w:val="BodyText"/>
        <w:spacing w:before="305"/>
        <w:ind w:left="477"/>
        <w:jc w:val="both"/>
      </w:pPr>
      <w:r>
        <w:rPr>
          <w:b/>
        </w:rPr>
        <w:t>Depression: </w:t>
      </w:r>
      <w:r>
        <w:rPr/>
        <w:t>sometimes caused by fungi or parasites, internal intake</w:t>
      </w:r>
    </w:p>
    <w:p>
      <w:pPr>
        <w:spacing w:line="276" w:lineRule="auto" w:before="305"/>
        <w:ind w:left="477" w:right="0" w:firstLine="0"/>
        <w:jc w:val="left"/>
        <w:rPr>
          <w:sz w:val="38"/>
        </w:rPr>
      </w:pPr>
      <w:r>
        <w:rPr>
          <w:b/>
          <w:sz w:val="38"/>
        </w:rPr>
        <w:t>Circulatory disorders: </w:t>
      </w:r>
      <w:r>
        <w:rPr>
          <w:sz w:val="38"/>
        </w:rPr>
        <w:t>sometimes caused by mould fungus ‘mucor’, trial with internal intake</w:t>
      </w:r>
    </w:p>
    <w:p>
      <w:pPr>
        <w:spacing w:after="0" w:line="276" w:lineRule="auto"/>
        <w:jc w:val="left"/>
        <w:rPr>
          <w:sz w:val="38"/>
        </w:rPr>
        <w:sectPr>
          <w:footerReference w:type="default" r:id="rId139"/>
          <w:pgSz w:w="14270" w:h="16850"/>
          <w:pgMar w:footer="1891" w:header="0" w:top="1600" w:bottom="2080" w:left="800" w:right="1280"/>
          <w:pgNumType w:start="550"/>
        </w:sectPr>
      </w:pPr>
    </w:p>
    <w:p>
      <w:pPr>
        <w:spacing w:before="181"/>
        <w:ind w:left="477" w:right="0" w:firstLine="0"/>
        <w:jc w:val="left"/>
        <w:rPr>
          <w:sz w:val="38"/>
        </w:rPr>
      </w:pPr>
      <w:r>
        <w:rPr>
          <w:b/>
          <w:sz w:val="38"/>
        </w:rPr>
        <w:t>Diarrhoea: </w:t>
      </w:r>
      <w:r>
        <w:rPr>
          <w:sz w:val="38"/>
        </w:rPr>
        <w:t>internal intake</w:t>
      </w:r>
    </w:p>
    <w:p>
      <w:pPr>
        <w:spacing w:before="305"/>
        <w:ind w:left="477" w:right="0" w:firstLine="0"/>
        <w:jc w:val="left"/>
        <w:rPr>
          <w:sz w:val="38"/>
        </w:rPr>
      </w:pPr>
      <w:r>
        <w:rPr>
          <w:b/>
          <w:sz w:val="38"/>
        </w:rPr>
        <w:t>Inflammation</w:t>
      </w:r>
      <w:r>
        <w:rPr>
          <w:sz w:val="38"/>
        </w:rPr>
        <w:t>: often caused by pathogens, internal intake</w:t>
      </w:r>
    </w:p>
    <w:p>
      <w:pPr>
        <w:pStyle w:val="BodyText"/>
        <w:spacing w:before="304"/>
        <w:ind w:left="477"/>
      </w:pPr>
      <w:r>
        <w:rPr>
          <w:b/>
        </w:rPr>
        <w:t>Vomiting: </w:t>
      </w:r>
      <w:r>
        <w:rPr/>
        <w:t>often caused by pathogens, internal intake</w:t>
      </w:r>
    </w:p>
    <w:p>
      <w:pPr>
        <w:pStyle w:val="BodyText"/>
        <w:spacing w:line="276" w:lineRule="auto" w:before="305"/>
        <w:ind w:left="477"/>
      </w:pPr>
      <w:r>
        <w:rPr>
          <w:b/>
        </w:rPr>
        <w:t>Colds</w:t>
      </w:r>
      <w:r>
        <w:rPr/>
        <w:t>: internal intake + gargle 10 drops per 200 ml + grapefruit extract nasal spray</w:t>
      </w:r>
    </w:p>
    <w:p>
      <w:pPr>
        <w:pStyle w:val="BodyText"/>
        <w:spacing w:before="239"/>
        <w:ind w:left="477"/>
      </w:pPr>
      <w:r>
        <w:rPr>
          <w:b/>
        </w:rPr>
        <w:t>Fibrosis: </w:t>
      </w:r>
      <w:r>
        <w:rPr/>
        <w:t>can be triggered by candida fungi, internal intake 3-4 months</w:t>
      </w:r>
    </w:p>
    <w:p>
      <w:pPr>
        <w:pStyle w:val="BodyText"/>
        <w:spacing w:before="304"/>
        <w:ind w:left="477"/>
      </w:pPr>
      <w:r>
        <w:rPr>
          <w:b/>
        </w:rPr>
        <w:t>Fever: </w:t>
      </w:r>
      <w:r>
        <w:rPr/>
        <w:t>internal intake, possibly gargling + nasal spray</w:t>
      </w:r>
    </w:p>
    <w:p>
      <w:pPr>
        <w:spacing w:before="305"/>
        <w:ind w:left="477" w:right="0" w:firstLine="0"/>
        <w:jc w:val="left"/>
        <w:rPr>
          <w:sz w:val="38"/>
        </w:rPr>
      </w:pPr>
      <w:r>
        <w:rPr>
          <w:b/>
          <w:sz w:val="38"/>
        </w:rPr>
        <w:t>Gastritis, gastric ulcer: </w:t>
      </w:r>
      <w:r>
        <w:rPr>
          <w:sz w:val="38"/>
        </w:rPr>
        <w:t>often caused by Helicobacter pylori, internal intake</w:t>
      </w:r>
    </w:p>
    <w:p>
      <w:pPr>
        <w:spacing w:before="304"/>
        <w:ind w:left="477" w:right="0" w:firstLine="0"/>
        <w:jc w:val="left"/>
        <w:rPr>
          <w:sz w:val="38"/>
        </w:rPr>
      </w:pPr>
      <w:r>
        <w:rPr>
          <w:b/>
          <w:sz w:val="38"/>
        </w:rPr>
        <w:t>Memory impairment: </w:t>
      </w:r>
      <w:r>
        <w:rPr>
          <w:sz w:val="38"/>
        </w:rPr>
        <w:t>sometimes caused by candida, internal intake</w:t>
      </w:r>
    </w:p>
    <w:p>
      <w:pPr>
        <w:pStyle w:val="BodyText"/>
        <w:spacing w:before="305"/>
        <w:ind w:left="477"/>
      </w:pPr>
      <w:r>
        <w:rPr>
          <w:b/>
        </w:rPr>
        <w:t>Gout: </w:t>
      </w:r>
      <w:r>
        <w:rPr/>
        <w:t>sometimes caused by candida fungi, internal intake</w:t>
      </w:r>
    </w:p>
    <w:p>
      <w:pPr>
        <w:pStyle w:val="BodyText"/>
        <w:spacing w:before="305"/>
        <w:ind w:left="477"/>
      </w:pPr>
      <w:r>
        <w:rPr>
          <w:b/>
        </w:rPr>
        <w:t>Flu: </w:t>
      </w:r>
      <w:r>
        <w:rPr/>
        <w:t>internal intake + gargling 10 drops per 200 ml + GSE nasal spray</w:t>
      </w:r>
    </w:p>
    <w:p>
      <w:pPr>
        <w:pStyle w:val="BodyText"/>
        <w:spacing w:line="276" w:lineRule="auto" w:before="302"/>
        <w:ind w:left="477" w:right="139"/>
      </w:pPr>
      <w:r>
        <w:rPr>
          <w:b/>
        </w:rPr>
        <w:t>Endocrine disorders: </w:t>
      </w:r>
      <w:r>
        <w:rPr/>
        <w:t>Candida fungi release 100 different toxins, some have hormone-like effects, internal intake</w:t>
      </w:r>
    </w:p>
    <w:p>
      <w:pPr>
        <w:pStyle w:val="BodyText"/>
        <w:spacing w:before="241"/>
        <w:ind w:left="477"/>
      </w:pPr>
      <w:r>
        <w:rPr>
          <w:b/>
        </w:rPr>
        <w:t>Cough: </w:t>
      </w:r>
      <w:r>
        <w:rPr/>
        <w:t>internal intake + gargling 10 drops per 200 ml</w:t>
      </w:r>
    </w:p>
    <w:p>
      <w:pPr>
        <w:spacing w:before="304"/>
        <w:ind w:left="477" w:right="0" w:firstLine="0"/>
        <w:jc w:val="left"/>
        <w:rPr>
          <w:sz w:val="38"/>
        </w:rPr>
      </w:pPr>
      <w:r>
        <w:rPr>
          <w:b/>
          <w:sz w:val="38"/>
        </w:rPr>
        <w:t>Weakened immune system: </w:t>
      </w:r>
      <w:r>
        <w:rPr>
          <w:sz w:val="38"/>
        </w:rPr>
        <w:t>internal</w:t>
      </w:r>
      <w:r>
        <w:rPr>
          <w:spacing w:val="-19"/>
          <w:sz w:val="38"/>
        </w:rPr>
        <w:t> </w:t>
      </w:r>
      <w:r>
        <w:rPr>
          <w:sz w:val="38"/>
        </w:rPr>
        <w:t>intake</w:t>
      </w:r>
    </w:p>
    <w:p>
      <w:pPr>
        <w:spacing w:before="305"/>
        <w:ind w:left="477" w:right="0" w:firstLine="0"/>
        <w:jc w:val="left"/>
        <w:rPr>
          <w:sz w:val="38"/>
        </w:rPr>
      </w:pPr>
      <w:r>
        <w:rPr>
          <w:b/>
          <w:sz w:val="38"/>
        </w:rPr>
        <w:t>General infectious diseases: </w:t>
      </w:r>
      <w:r>
        <w:rPr>
          <w:sz w:val="38"/>
        </w:rPr>
        <w:t>internal</w:t>
      </w:r>
      <w:r>
        <w:rPr>
          <w:spacing w:val="-18"/>
          <w:sz w:val="38"/>
        </w:rPr>
        <w:t> </w:t>
      </w:r>
      <w:r>
        <w:rPr>
          <w:sz w:val="38"/>
        </w:rPr>
        <w:t>intake</w:t>
      </w:r>
    </w:p>
    <w:p>
      <w:pPr>
        <w:spacing w:before="305"/>
        <w:ind w:left="477" w:right="0" w:firstLine="0"/>
        <w:jc w:val="left"/>
        <w:rPr>
          <w:sz w:val="38"/>
        </w:rPr>
      </w:pPr>
      <w:r>
        <w:rPr>
          <w:b/>
          <w:sz w:val="38"/>
        </w:rPr>
        <w:t>Lack of concentration: </w:t>
      </w:r>
      <w:r>
        <w:rPr>
          <w:sz w:val="38"/>
        </w:rPr>
        <w:t>often pathogens are involved, internal intake</w:t>
      </w:r>
    </w:p>
    <w:p>
      <w:pPr>
        <w:spacing w:after="0"/>
        <w:jc w:val="left"/>
        <w:rPr>
          <w:sz w:val="38"/>
        </w:rPr>
        <w:sectPr>
          <w:pgSz w:w="14270" w:h="16850"/>
          <w:pgMar w:header="0" w:footer="1891" w:top="1600" w:bottom="2080" w:left="800" w:right="1280"/>
        </w:sectPr>
      </w:pPr>
    </w:p>
    <w:p>
      <w:pPr>
        <w:pStyle w:val="BodyText"/>
        <w:spacing w:line="276" w:lineRule="auto" w:before="181"/>
        <w:ind w:left="477"/>
      </w:pPr>
      <w:r>
        <w:rPr>
          <w:b/>
        </w:rPr>
        <w:t>Headaches, migraines: </w:t>
      </w:r>
      <w:r>
        <w:rPr/>
        <w:t>these have many different causes, bacteria and fungi sometimes involved, internal intake</w:t>
      </w:r>
    </w:p>
    <w:p>
      <w:pPr>
        <w:pStyle w:val="BodyText"/>
        <w:spacing w:before="241"/>
        <w:ind w:left="477"/>
      </w:pPr>
      <w:r>
        <w:rPr>
          <w:b/>
        </w:rPr>
        <w:t>Malaria: </w:t>
      </w:r>
      <w:r>
        <w:rPr/>
        <w:t>Helicobacter pylori; there are indications that GSE works</w:t>
      </w:r>
    </w:p>
    <w:p>
      <w:pPr>
        <w:pStyle w:val="BodyText"/>
        <w:spacing w:line="276" w:lineRule="auto" w:before="305"/>
        <w:ind w:left="477"/>
      </w:pPr>
      <w:r>
        <w:rPr>
          <w:b/>
        </w:rPr>
        <w:t>Mastitis:</w:t>
      </w:r>
      <w:r>
        <w:rPr>
          <w:b/>
          <w:spacing w:val="-22"/>
        </w:rPr>
        <w:t> </w:t>
      </w:r>
      <w:r>
        <w:rPr/>
        <w:t>internal</w:t>
      </w:r>
      <w:r>
        <w:rPr>
          <w:spacing w:val="-23"/>
        </w:rPr>
        <w:t> </w:t>
      </w:r>
      <w:r>
        <w:rPr/>
        <w:t>intake</w:t>
      </w:r>
      <w:r>
        <w:rPr>
          <w:spacing w:val="-21"/>
        </w:rPr>
        <w:t> </w:t>
      </w:r>
      <w:r>
        <w:rPr/>
        <w:t>(see</w:t>
      </w:r>
      <w:r>
        <w:rPr>
          <w:spacing w:val="-20"/>
        </w:rPr>
        <w:t> </w:t>
      </w:r>
      <w:r>
        <w:rPr/>
        <w:t>breast</w:t>
      </w:r>
      <w:r>
        <w:rPr>
          <w:spacing w:val="-21"/>
        </w:rPr>
        <w:t> </w:t>
      </w:r>
      <w:r>
        <w:rPr/>
        <w:t>inflammation),</w:t>
      </w:r>
      <w:r>
        <w:rPr>
          <w:spacing w:val="-20"/>
        </w:rPr>
        <w:t> </w:t>
      </w:r>
      <w:r>
        <w:rPr/>
        <w:t>internal</w:t>
      </w:r>
      <w:r>
        <w:rPr>
          <w:spacing w:val="-22"/>
        </w:rPr>
        <w:t> </w:t>
      </w:r>
      <w:r>
        <w:rPr/>
        <w:t>intake</w:t>
      </w:r>
      <w:r>
        <w:rPr>
          <w:spacing w:val="-19"/>
        </w:rPr>
        <w:t> </w:t>
      </w:r>
      <w:r>
        <w:rPr/>
        <w:t>+</w:t>
      </w:r>
      <w:r>
        <w:rPr>
          <w:spacing w:val="-21"/>
        </w:rPr>
        <w:t> </w:t>
      </w:r>
      <w:r>
        <w:rPr/>
        <w:t>diluted</w:t>
      </w:r>
      <w:r>
        <w:rPr>
          <w:spacing w:val="-21"/>
        </w:rPr>
        <w:t> </w:t>
      </w:r>
      <w:r>
        <w:rPr/>
        <w:t>and applied externally, 8 drops per tablespoon of</w:t>
      </w:r>
      <w:r>
        <w:rPr>
          <w:spacing w:val="-5"/>
        </w:rPr>
        <w:t> </w:t>
      </w:r>
      <w:r>
        <w:rPr/>
        <w:t>oil</w:t>
      </w:r>
    </w:p>
    <w:p>
      <w:pPr>
        <w:spacing w:before="239"/>
        <w:ind w:left="477" w:right="0" w:firstLine="0"/>
        <w:jc w:val="left"/>
        <w:rPr>
          <w:sz w:val="38"/>
        </w:rPr>
      </w:pPr>
      <w:r>
        <w:rPr>
          <w:b/>
          <w:sz w:val="38"/>
        </w:rPr>
        <w:t>Menstrual cramps: </w:t>
      </w:r>
      <w:r>
        <w:rPr>
          <w:sz w:val="38"/>
        </w:rPr>
        <w:t>Candida can be to blame, internal intake</w:t>
      </w:r>
    </w:p>
    <w:p>
      <w:pPr>
        <w:spacing w:before="304"/>
        <w:ind w:left="477" w:right="0" w:firstLine="0"/>
        <w:jc w:val="left"/>
        <w:rPr>
          <w:sz w:val="38"/>
        </w:rPr>
      </w:pPr>
      <w:r>
        <w:rPr>
          <w:b/>
          <w:sz w:val="38"/>
        </w:rPr>
        <w:t>Migraines: </w:t>
      </w:r>
      <w:r>
        <w:rPr>
          <w:sz w:val="38"/>
        </w:rPr>
        <w:t>internal intake (see under Headaches)</w:t>
      </w:r>
    </w:p>
    <w:p>
      <w:pPr>
        <w:pStyle w:val="BodyText"/>
        <w:spacing w:line="276" w:lineRule="auto" w:before="305"/>
        <w:ind w:left="477"/>
      </w:pPr>
      <w:r>
        <w:rPr>
          <w:b/>
        </w:rPr>
        <w:t>Otitis</w:t>
      </w:r>
      <w:r>
        <w:rPr>
          <w:b/>
          <w:spacing w:val="61"/>
        </w:rPr>
        <w:t> </w:t>
      </w:r>
      <w:r>
        <w:rPr>
          <w:b/>
        </w:rPr>
        <w:t>=</w:t>
      </w:r>
      <w:r>
        <w:rPr>
          <w:b/>
          <w:spacing w:val="-18"/>
        </w:rPr>
        <w:t> </w:t>
      </w:r>
      <w:r>
        <w:rPr>
          <w:b/>
        </w:rPr>
        <w:t>otitis</w:t>
      </w:r>
      <w:r>
        <w:rPr>
          <w:b/>
          <w:spacing w:val="-17"/>
        </w:rPr>
        <w:t> </w:t>
      </w:r>
      <w:r>
        <w:rPr>
          <w:b/>
        </w:rPr>
        <w:t>media:</w:t>
      </w:r>
      <w:r>
        <w:rPr>
          <w:b/>
          <w:spacing w:val="-17"/>
        </w:rPr>
        <w:t> </w:t>
      </w:r>
      <w:r>
        <w:rPr/>
        <w:t>internal</w:t>
      </w:r>
      <w:r>
        <w:rPr>
          <w:spacing w:val="-17"/>
        </w:rPr>
        <w:t> </w:t>
      </w:r>
      <w:r>
        <w:rPr/>
        <w:t>use</w:t>
      </w:r>
      <w:r>
        <w:rPr>
          <w:spacing w:val="-17"/>
        </w:rPr>
        <w:t> </w:t>
      </w:r>
      <w:r>
        <w:rPr/>
        <w:t>+diluted</w:t>
      </w:r>
      <w:r>
        <w:rPr>
          <w:spacing w:val="-17"/>
        </w:rPr>
        <w:t> </w:t>
      </w:r>
      <w:r>
        <w:rPr/>
        <w:t>and</w:t>
      </w:r>
      <w:r>
        <w:rPr>
          <w:spacing w:val="-14"/>
        </w:rPr>
        <w:t> </w:t>
      </w:r>
      <w:r>
        <w:rPr/>
        <w:t>applied</w:t>
      </w:r>
      <w:r>
        <w:rPr>
          <w:spacing w:val="-17"/>
        </w:rPr>
        <w:t> </w:t>
      </w:r>
      <w:r>
        <w:rPr/>
        <w:t>externally,</w:t>
      </w:r>
      <w:r>
        <w:rPr>
          <w:spacing w:val="-16"/>
        </w:rPr>
        <w:t> </w:t>
      </w:r>
      <w:r>
        <w:rPr/>
        <w:t>2</w:t>
      </w:r>
      <w:r>
        <w:rPr>
          <w:spacing w:val="-18"/>
        </w:rPr>
        <w:t> </w:t>
      </w:r>
      <w:r>
        <w:rPr/>
        <w:t>drops</w:t>
      </w:r>
      <w:r>
        <w:rPr>
          <w:spacing w:val="-16"/>
        </w:rPr>
        <w:t> </w:t>
      </w:r>
      <w:r>
        <w:rPr/>
        <w:t>per tablespoon of oil, warm the oil and drizzle into ear</w:t>
      </w:r>
      <w:r>
        <w:rPr>
          <w:spacing w:val="-3"/>
        </w:rPr>
        <w:t> </w:t>
      </w:r>
      <w:r>
        <w:rPr/>
        <w:t>frequently</w:t>
      </w:r>
    </w:p>
    <w:p>
      <w:pPr>
        <w:spacing w:before="240"/>
        <w:ind w:left="477" w:right="0" w:firstLine="0"/>
        <w:jc w:val="left"/>
        <w:rPr>
          <w:sz w:val="38"/>
        </w:rPr>
      </w:pPr>
      <w:r>
        <w:rPr>
          <w:b/>
          <w:sz w:val="38"/>
        </w:rPr>
        <w:t>Crohn's disease : </w:t>
      </w:r>
      <w:r>
        <w:rPr>
          <w:sz w:val="38"/>
        </w:rPr>
        <w:t>see Crohn's disease</w:t>
      </w:r>
    </w:p>
    <w:p>
      <w:pPr>
        <w:spacing w:before="305"/>
        <w:ind w:left="477" w:right="0" w:firstLine="0"/>
        <w:jc w:val="left"/>
        <w:rPr>
          <w:sz w:val="38"/>
        </w:rPr>
      </w:pPr>
      <w:r>
        <w:rPr>
          <w:b/>
          <w:sz w:val="38"/>
        </w:rPr>
        <w:t>Sinusitis: </w:t>
      </w:r>
      <w:r>
        <w:rPr>
          <w:sz w:val="38"/>
        </w:rPr>
        <w:t>internal intake, GSE nasal spray</w:t>
      </w:r>
    </w:p>
    <w:p>
      <w:pPr>
        <w:pStyle w:val="BodyText"/>
        <w:spacing w:line="276" w:lineRule="auto" w:before="302"/>
        <w:ind w:left="477" w:right="72"/>
      </w:pPr>
      <w:r>
        <w:rPr>
          <w:b/>
        </w:rPr>
        <w:t>Parasites (internal): </w:t>
      </w:r>
      <w:r>
        <w:rPr/>
        <w:t>the range extends from the smallest parasites to the tape- worm, a ‘worm cure’ with GSE is recommended twice a year, internal intake</w:t>
      </w:r>
    </w:p>
    <w:p>
      <w:pPr>
        <w:spacing w:before="241"/>
        <w:ind w:left="477" w:right="0" w:firstLine="0"/>
        <w:jc w:val="left"/>
        <w:rPr>
          <w:sz w:val="38"/>
        </w:rPr>
      </w:pPr>
      <w:r>
        <w:rPr>
          <w:b/>
          <w:sz w:val="38"/>
        </w:rPr>
        <w:t>Fungal diseases: </w:t>
      </w:r>
      <w:r>
        <w:rPr>
          <w:sz w:val="38"/>
        </w:rPr>
        <w:t>see intake scheme for Candida albicans</w:t>
      </w:r>
    </w:p>
    <w:p>
      <w:pPr>
        <w:spacing w:line="276" w:lineRule="auto" w:before="305"/>
        <w:ind w:left="477" w:right="0" w:firstLine="0"/>
        <w:jc w:val="left"/>
        <w:rPr>
          <w:sz w:val="38"/>
        </w:rPr>
      </w:pPr>
      <w:r>
        <w:rPr>
          <w:b/>
          <w:sz w:val="38"/>
        </w:rPr>
        <w:t>Prostate</w:t>
      </w:r>
      <w:r>
        <w:rPr>
          <w:b/>
          <w:spacing w:val="-20"/>
          <w:sz w:val="38"/>
        </w:rPr>
        <w:t> </w:t>
      </w:r>
      <w:r>
        <w:rPr>
          <w:b/>
          <w:sz w:val="38"/>
        </w:rPr>
        <w:t>problems:</w:t>
      </w:r>
      <w:r>
        <w:rPr>
          <w:b/>
          <w:spacing w:val="-18"/>
          <w:sz w:val="38"/>
        </w:rPr>
        <w:t> </w:t>
      </w:r>
      <w:r>
        <w:rPr>
          <w:sz w:val="38"/>
        </w:rPr>
        <w:t>sometimes</w:t>
      </w:r>
      <w:r>
        <w:rPr>
          <w:spacing w:val="-21"/>
          <w:sz w:val="38"/>
        </w:rPr>
        <w:t> </w:t>
      </w:r>
      <w:r>
        <w:rPr>
          <w:sz w:val="38"/>
        </w:rPr>
        <w:t>Candida</w:t>
      </w:r>
      <w:r>
        <w:rPr>
          <w:spacing w:val="-20"/>
          <w:sz w:val="38"/>
        </w:rPr>
        <w:t> </w:t>
      </w:r>
      <w:r>
        <w:rPr>
          <w:sz w:val="38"/>
        </w:rPr>
        <w:t>is</w:t>
      </w:r>
      <w:r>
        <w:rPr>
          <w:spacing w:val="-20"/>
          <w:sz w:val="38"/>
        </w:rPr>
        <w:t> </w:t>
      </w:r>
      <w:r>
        <w:rPr>
          <w:sz w:val="38"/>
        </w:rPr>
        <w:t>involved,</w:t>
      </w:r>
      <w:r>
        <w:rPr>
          <w:spacing w:val="-18"/>
          <w:sz w:val="38"/>
        </w:rPr>
        <w:t> </w:t>
      </w:r>
      <w:r>
        <w:rPr>
          <w:sz w:val="38"/>
        </w:rPr>
        <w:t>see</w:t>
      </w:r>
      <w:r>
        <w:rPr>
          <w:spacing w:val="-20"/>
          <w:sz w:val="38"/>
        </w:rPr>
        <w:t> </w:t>
      </w:r>
      <w:r>
        <w:rPr>
          <w:sz w:val="38"/>
        </w:rPr>
        <w:t>the</w:t>
      </w:r>
      <w:r>
        <w:rPr>
          <w:spacing w:val="-22"/>
          <w:sz w:val="38"/>
        </w:rPr>
        <w:t> </w:t>
      </w:r>
      <w:r>
        <w:rPr>
          <w:sz w:val="38"/>
        </w:rPr>
        <w:t>intake</w:t>
      </w:r>
      <w:r>
        <w:rPr>
          <w:spacing w:val="-19"/>
          <w:sz w:val="38"/>
        </w:rPr>
        <w:t> </w:t>
      </w:r>
      <w:r>
        <w:rPr>
          <w:sz w:val="38"/>
        </w:rPr>
        <w:t>schedule</w:t>
      </w:r>
      <w:r>
        <w:rPr>
          <w:spacing w:val="-19"/>
          <w:sz w:val="38"/>
        </w:rPr>
        <w:t> </w:t>
      </w:r>
      <w:r>
        <w:rPr>
          <w:sz w:val="38"/>
        </w:rPr>
        <w:t>for ‘Candida’</w:t>
      </w:r>
    </w:p>
    <w:p>
      <w:pPr>
        <w:pStyle w:val="BodyText"/>
        <w:spacing w:before="241"/>
        <w:ind w:left="477"/>
      </w:pPr>
      <w:r>
        <w:rPr>
          <w:b/>
        </w:rPr>
        <w:t>Rheumatism: </w:t>
      </w:r>
      <w:r>
        <w:rPr/>
        <w:t>is often a consequence of deposition of toxins, internal intake</w:t>
      </w:r>
    </w:p>
    <w:p>
      <w:pPr>
        <w:pStyle w:val="BodyText"/>
        <w:spacing w:before="304"/>
        <w:ind w:left="477"/>
      </w:pPr>
      <w:r>
        <w:rPr>
          <w:b/>
        </w:rPr>
        <w:t>Dysentery: </w:t>
      </w:r>
      <w:r>
        <w:rPr/>
        <w:t>see the intake schedule for amoebic dysentery</w:t>
      </w:r>
    </w:p>
    <w:p>
      <w:pPr>
        <w:spacing w:after="0"/>
        <w:sectPr>
          <w:pgSz w:w="14270" w:h="16850"/>
          <w:pgMar w:header="0" w:footer="1891" w:top="1600" w:bottom="2080" w:left="800" w:right="1280"/>
        </w:sectPr>
      </w:pPr>
    </w:p>
    <w:p>
      <w:pPr>
        <w:spacing w:before="181"/>
        <w:ind w:left="477" w:right="0" w:firstLine="0"/>
        <w:jc w:val="left"/>
        <w:rPr>
          <w:sz w:val="38"/>
        </w:rPr>
      </w:pPr>
      <w:r>
        <w:rPr>
          <w:b/>
          <w:sz w:val="38"/>
        </w:rPr>
        <w:t>Runny nose = rhinitis: </w:t>
      </w:r>
      <w:r>
        <w:rPr>
          <w:sz w:val="38"/>
        </w:rPr>
        <w:t>internal intake + grapefruit extract nasal spray</w:t>
      </w:r>
    </w:p>
    <w:p>
      <w:pPr>
        <w:spacing w:before="185"/>
        <w:ind w:left="477" w:right="0" w:firstLine="0"/>
        <w:jc w:val="left"/>
        <w:rPr>
          <w:sz w:val="38"/>
        </w:rPr>
      </w:pPr>
      <w:r>
        <w:rPr>
          <w:b/>
          <w:sz w:val="38"/>
        </w:rPr>
        <w:t>Nausea: </w:t>
      </w:r>
      <w:r>
        <w:rPr>
          <w:sz w:val="38"/>
        </w:rPr>
        <w:t>internal intake</w:t>
      </w:r>
    </w:p>
    <w:p>
      <w:pPr>
        <w:pStyle w:val="BodyText"/>
        <w:spacing w:before="184"/>
        <w:ind w:left="477"/>
      </w:pPr>
      <w:r>
        <w:rPr/>
        <w:t>Prevention of travel sickness: drink 4-8 DROPS PER GLASS 3 times a day</w:t>
      </w:r>
    </w:p>
    <w:p>
      <w:pPr>
        <w:spacing w:before="185"/>
        <w:ind w:left="477" w:right="0" w:firstLine="0"/>
        <w:jc w:val="left"/>
        <w:rPr>
          <w:sz w:val="38"/>
        </w:rPr>
      </w:pPr>
      <w:r>
        <w:rPr>
          <w:b/>
          <w:sz w:val="38"/>
        </w:rPr>
        <w:t>Worm infestation: </w:t>
      </w:r>
      <w:r>
        <w:rPr>
          <w:sz w:val="38"/>
        </w:rPr>
        <w:t>see intake scheme for parasitic infection</w:t>
      </w:r>
    </w:p>
    <w:p>
      <w:pPr>
        <w:pStyle w:val="BodyText"/>
        <w:spacing w:before="9"/>
        <w:rPr>
          <w:sz w:val="46"/>
        </w:rPr>
      </w:pPr>
    </w:p>
    <w:p>
      <w:pPr>
        <w:pStyle w:val="Heading1"/>
        <w:spacing w:before="1"/>
      </w:pPr>
      <w:r>
        <w:rPr/>
        <w:t>External application</w:t>
      </w:r>
    </w:p>
    <w:p>
      <w:pPr>
        <w:pStyle w:val="BodyText"/>
        <w:spacing w:line="276" w:lineRule="auto" w:before="297"/>
        <w:ind w:left="477"/>
      </w:pPr>
      <w:r>
        <w:rPr/>
        <w:t>The following basic rules apply to the external application of grapefruit seed extract:</w:t>
      </w:r>
    </w:p>
    <w:p>
      <w:pPr>
        <w:pStyle w:val="Heading2"/>
        <w:spacing w:before="241"/>
      </w:pPr>
      <w:r>
        <w:rPr/>
        <w:t>Basic rule 1:</w:t>
      </w:r>
    </w:p>
    <w:p>
      <w:pPr>
        <w:pStyle w:val="BodyText"/>
        <w:spacing w:before="304"/>
        <w:ind w:left="477"/>
      </w:pPr>
      <w:r>
        <w:rPr/>
        <w:t>Apply diluted, except for warts and nail fungus</w:t>
      </w:r>
    </w:p>
    <w:p>
      <w:pPr>
        <w:pStyle w:val="Heading2"/>
        <w:spacing w:before="305"/>
      </w:pPr>
      <w:r>
        <w:rPr/>
        <w:t>Basic rule 2:</w:t>
      </w:r>
    </w:p>
    <w:p>
      <w:pPr>
        <w:pStyle w:val="BodyText"/>
        <w:spacing w:line="276" w:lineRule="auto" w:before="305"/>
        <w:ind w:left="477"/>
      </w:pPr>
      <w:r>
        <w:rPr/>
        <w:t>Always use diluted on skin and mucous membranes with water, glycerine or, ideally, organic jojoba oil.</w:t>
      </w:r>
    </w:p>
    <w:p>
      <w:pPr>
        <w:pStyle w:val="Heading2"/>
        <w:spacing w:before="238"/>
        <w:rPr>
          <w:sz w:val="25"/>
        </w:rPr>
      </w:pPr>
      <w:r>
        <w:rPr/>
        <w:t>External application from A-Z</w:t>
      </w:r>
      <w:r>
        <w:rPr>
          <w:position w:val="9"/>
          <w:sz w:val="25"/>
        </w:rPr>
        <w:t>363</w:t>
      </w:r>
    </w:p>
    <w:p>
      <w:pPr>
        <w:spacing w:before="305"/>
        <w:ind w:left="477" w:right="0" w:firstLine="0"/>
        <w:jc w:val="left"/>
        <w:rPr>
          <w:sz w:val="38"/>
        </w:rPr>
      </w:pPr>
      <w:r>
        <w:rPr>
          <w:b/>
          <w:sz w:val="38"/>
        </w:rPr>
        <w:t>Acariasis, acarinosis: </w:t>
      </w:r>
      <w:r>
        <w:rPr>
          <w:sz w:val="38"/>
        </w:rPr>
        <w:t>see the intake scheme for scabies</w:t>
      </w:r>
    </w:p>
    <w:p>
      <w:pPr>
        <w:pStyle w:val="BodyText"/>
        <w:rPr>
          <w:sz w:val="20"/>
        </w:rPr>
      </w:pPr>
    </w:p>
    <w:p>
      <w:pPr>
        <w:pStyle w:val="BodyText"/>
        <w:rPr>
          <w:sz w:val="20"/>
        </w:rPr>
      </w:pPr>
    </w:p>
    <w:p>
      <w:pPr>
        <w:pStyle w:val="BodyText"/>
        <w:rPr>
          <w:sz w:val="20"/>
        </w:rPr>
      </w:pPr>
    </w:p>
    <w:p>
      <w:pPr>
        <w:pStyle w:val="BodyText"/>
        <w:spacing w:before="9"/>
        <w:rPr>
          <w:sz w:val="17"/>
        </w:rPr>
      </w:pPr>
      <w:r>
        <w:rPr/>
        <w:pict>
          <v:line style="position:absolute;mso-position-horizontal-relative:page;mso-position-vertical-relative:paragraph;z-index:4304;mso-wrap-distance-left:0;mso-wrap-distance-right:0" from="63.863998pt,12.365015pt" to="207.883998pt,12.36501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363 </w:t>
      </w:r>
      <w:r>
        <w:rPr>
          <w:sz w:val="20"/>
        </w:rPr>
        <w:t>Werner Goller: Was verschweigt die Schulmedizin? (‘What Does Conventional Medicine Conceal?’), 2009, p. 169</w:t>
      </w:r>
    </w:p>
    <w:p>
      <w:pPr>
        <w:spacing w:after="0"/>
        <w:jc w:val="left"/>
        <w:rPr>
          <w:sz w:val="20"/>
        </w:rPr>
        <w:sectPr>
          <w:pgSz w:w="14270" w:h="16850"/>
          <w:pgMar w:header="0" w:footer="1891" w:top="1600" w:bottom="2080" w:left="800" w:right="1280"/>
        </w:sectPr>
      </w:pPr>
    </w:p>
    <w:p>
      <w:pPr>
        <w:pStyle w:val="BodyText"/>
        <w:spacing w:before="181"/>
        <w:ind w:left="477"/>
      </w:pPr>
      <w:r>
        <w:rPr>
          <w:b/>
        </w:rPr>
        <w:t>Acne: </w:t>
      </w:r>
      <w:r>
        <w:rPr/>
        <w:t>internal intake + 5 drops on wet washcloths, apply, wash off</w:t>
      </w:r>
    </w:p>
    <w:p>
      <w:pPr>
        <w:spacing w:before="305"/>
        <w:ind w:left="477" w:right="0" w:firstLine="0"/>
        <w:jc w:val="left"/>
        <w:rPr>
          <w:sz w:val="38"/>
        </w:rPr>
      </w:pPr>
      <w:r>
        <w:rPr>
          <w:b/>
          <w:sz w:val="38"/>
        </w:rPr>
        <w:t>Aphthae (ulcers of the oral mucosa): </w:t>
      </w:r>
      <w:r>
        <w:rPr>
          <w:sz w:val="38"/>
        </w:rPr>
        <w:t>10 drops per 200 ml of water, rinse</w:t>
      </w:r>
    </w:p>
    <w:p>
      <w:pPr>
        <w:spacing w:line="276" w:lineRule="auto" w:before="304"/>
        <w:ind w:left="477" w:right="0" w:firstLine="0"/>
        <w:jc w:val="left"/>
        <w:rPr>
          <w:sz w:val="38"/>
        </w:rPr>
      </w:pPr>
      <w:r>
        <w:rPr>
          <w:b/>
          <w:sz w:val="38"/>
        </w:rPr>
        <w:t>Rashes, skin rashes: </w:t>
      </w:r>
      <w:r>
        <w:rPr>
          <w:sz w:val="38"/>
        </w:rPr>
        <w:t>it is worth trying 3-5 drops per tablespoon of oil, 2-3 times a day</w:t>
      </w:r>
    </w:p>
    <w:p>
      <w:pPr>
        <w:spacing w:before="241"/>
        <w:ind w:left="477" w:right="0" w:firstLine="0"/>
        <w:jc w:val="left"/>
        <w:rPr>
          <w:sz w:val="38"/>
        </w:rPr>
      </w:pPr>
      <w:r>
        <w:rPr>
          <w:b/>
          <w:sz w:val="38"/>
        </w:rPr>
        <w:t>Leg ulcers: </w:t>
      </w:r>
      <w:r>
        <w:rPr>
          <w:sz w:val="38"/>
        </w:rPr>
        <w:t>see intake scheme for ‘open legs’</w:t>
      </w:r>
    </w:p>
    <w:p>
      <w:pPr>
        <w:spacing w:before="303"/>
        <w:ind w:left="477" w:right="0" w:firstLine="0"/>
        <w:jc w:val="left"/>
        <w:rPr>
          <w:sz w:val="38"/>
        </w:rPr>
      </w:pPr>
      <w:r>
        <w:rPr>
          <w:b/>
          <w:sz w:val="38"/>
        </w:rPr>
        <w:t>Leech bites: </w:t>
      </w:r>
      <w:r>
        <w:rPr>
          <w:sz w:val="38"/>
        </w:rPr>
        <w:t>drizzle 1 drop of extract on the bite site</w:t>
      </w:r>
    </w:p>
    <w:p>
      <w:pPr>
        <w:pStyle w:val="BodyText"/>
        <w:spacing w:before="304"/>
        <w:ind w:left="477"/>
      </w:pPr>
      <w:r>
        <w:rPr>
          <w:b/>
        </w:rPr>
        <w:t>Dermatitis: </w:t>
      </w:r>
      <w:r>
        <w:rPr/>
        <w:t>3-5 drops per tablespoon of oil, rub in 2-3 times a day</w:t>
      </w:r>
    </w:p>
    <w:p>
      <w:pPr>
        <w:spacing w:before="305"/>
        <w:ind w:left="477" w:right="0" w:firstLine="0"/>
        <w:jc w:val="left"/>
        <w:rPr>
          <w:sz w:val="38"/>
        </w:rPr>
      </w:pPr>
      <w:r>
        <w:rPr>
          <w:b/>
          <w:sz w:val="38"/>
        </w:rPr>
        <w:t>Plantar warts: </w:t>
      </w:r>
      <w:r>
        <w:rPr>
          <w:sz w:val="38"/>
        </w:rPr>
        <w:t>sand down, apply 2 x 1 drops pure</w:t>
      </w:r>
    </w:p>
    <w:p>
      <w:pPr>
        <w:pStyle w:val="BodyText"/>
        <w:spacing w:line="276" w:lineRule="auto" w:before="304"/>
        <w:ind w:left="477"/>
      </w:pPr>
      <w:r>
        <w:rPr>
          <w:b/>
        </w:rPr>
        <w:t>Athlete’s foot: </w:t>
      </w:r>
      <w:r>
        <w:rPr/>
        <w:t>pure or slightly diluted with water or oil. Additionally, use GSE body and foot powder.</w:t>
      </w:r>
    </w:p>
    <w:p>
      <w:pPr>
        <w:pStyle w:val="BodyText"/>
        <w:spacing w:before="242"/>
        <w:ind w:left="477"/>
      </w:pPr>
      <w:r>
        <w:rPr>
          <w:b/>
        </w:rPr>
        <w:t>Ulcers: </w:t>
      </w:r>
      <w:r>
        <w:rPr/>
        <w:t>10 drops per 200 ml of lukewarm water, rinse, gargle, dab</w:t>
      </w:r>
    </w:p>
    <w:p>
      <w:pPr>
        <w:pStyle w:val="BodyText"/>
        <w:spacing w:line="276" w:lineRule="auto" w:before="302"/>
        <w:ind w:left="477"/>
      </w:pPr>
      <w:r>
        <w:rPr>
          <w:b/>
        </w:rPr>
        <w:t>Shingles</w:t>
      </w:r>
      <w:r>
        <w:rPr>
          <w:b/>
          <w:spacing w:val="-17"/>
        </w:rPr>
        <w:t> </w:t>
      </w:r>
      <w:r>
        <w:rPr>
          <w:b/>
        </w:rPr>
        <w:t>(herpes):</w:t>
      </w:r>
      <w:r>
        <w:rPr>
          <w:b/>
          <w:spacing w:val="-17"/>
        </w:rPr>
        <w:t> </w:t>
      </w:r>
      <w:r>
        <w:rPr/>
        <w:t>INNER</w:t>
      </w:r>
      <w:r>
        <w:rPr>
          <w:spacing w:val="-16"/>
        </w:rPr>
        <w:t> </w:t>
      </w:r>
      <w:r>
        <w:rPr/>
        <w:t>INTAKE</w:t>
      </w:r>
      <w:r>
        <w:rPr>
          <w:spacing w:val="-16"/>
        </w:rPr>
        <w:t> </w:t>
      </w:r>
      <w:r>
        <w:rPr/>
        <w:t>+</w:t>
      </w:r>
      <w:r>
        <w:rPr>
          <w:spacing w:val="-17"/>
        </w:rPr>
        <w:t> </w:t>
      </w:r>
      <w:r>
        <w:rPr/>
        <w:t>3-5</w:t>
      </w:r>
      <w:r>
        <w:rPr>
          <w:spacing w:val="-17"/>
        </w:rPr>
        <w:t> </w:t>
      </w:r>
      <w:r>
        <w:rPr/>
        <w:t>drops</w:t>
      </w:r>
      <w:r>
        <w:rPr>
          <w:spacing w:val="-16"/>
        </w:rPr>
        <w:t> </w:t>
      </w:r>
      <w:r>
        <w:rPr/>
        <w:t>per</w:t>
      </w:r>
      <w:r>
        <w:rPr>
          <w:spacing w:val="-19"/>
        </w:rPr>
        <w:t> </w:t>
      </w:r>
      <w:r>
        <w:rPr/>
        <w:t>tablespoon</w:t>
      </w:r>
      <w:r>
        <w:rPr>
          <w:spacing w:val="-16"/>
        </w:rPr>
        <w:t> </w:t>
      </w:r>
      <w:r>
        <w:rPr/>
        <w:t>of</w:t>
      </w:r>
      <w:r>
        <w:rPr>
          <w:spacing w:val="-16"/>
        </w:rPr>
        <w:t> </w:t>
      </w:r>
      <w:r>
        <w:rPr/>
        <w:t>oil,</w:t>
      </w:r>
      <w:r>
        <w:rPr>
          <w:spacing w:val="-16"/>
        </w:rPr>
        <w:t> </w:t>
      </w:r>
      <w:r>
        <w:rPr/>
        <w:t>apply twice daily to the affected area of the</w:t>
      </w:r>
      <w:r>
        <w:rPr>
          <w:spacing w:val="8"/>
        </w:rPr>
        <w:t> </w:t>
      </w:r>
      <w:r>
        <w:rPr/>
        <w:t>skin</w:t>
      </w:r>
    </w:p>
    <w:p>
      <w:pPr>
        <w:spacing w:line="276" w:lineRule="auto" w:before="240"/>
        <w:ind w:left="477" w:right="142" w:firstLine="0"/>
        <w:jc w:val="left"/>
        <w:rPr>
          <w:sz w:val="38"/>
        </w:rPr>
      </w:pPr>
      <w:r>
        <w:rPr>
          <w:b/>
          <w:sz w:val="38"/>
        </w:rPr>
        <w:t>Strep throat, sore throat: </w:t>
      </w:r>
      <w:r>
        <w:rPr>
          <w:sz w:val="38"/>
        </w:rPr>
        <w:t>INNER INTAKE + 10 drops per 200 ml of water, gargle</w:t>
      </w:r>
    </w:p>
    <w:p>
      <w:pPr>
        <w:spacing w:before="242"/>
        <w:ind w:left="477" w:right="0" w:firstLine="0"/>
        <w:jc w:val="left"/>
        <w:rPr>
          <w:sz w:val="38"/>
        </w:rPr>
      </w:pPr>
      <w:r>
        <w:rPr>
          <w:b/>
          <w:sz w:val="38"/>
        </w:rPr>
        <w:t>Skin abrasions: </w:t>
      </w:r>
      <w:r>
        <w:rPr>
          <w:sz w:val="38"/>
        </w:rPr>
        <w:t>1 drop per tablespoon of water, apply frequently</w:t>
      </w:r>
    </w:p>
    <w:p>
      <w:pPr>
        <w:spacing w:before="304"/>
        <w:ind w:left="477" w:right="0" w:firstLine="0"/>
        <w:jc w:val="left"/>
        <w:rPr>
          <w:sz w:val="38"/>
        </w:rPr>
      </w:pPr>
      <w:r>
        <w:rPr>
          <w:b/>
          <w:sz w:val="38"/>
        </w:rPr>
        <w:t>Skin rashes: </w:t>
      </w:r>
      <w:r>
        <w:rPr>
          <w:sz w:val="38"/>
        </w:rPr>
        <w:t>see intake scheme for ‘Rashes’</w:t>
      </w:r>
    </w:p>
    <w:p>
      <w:pPr>
        <w:spacing w:after="0"/>
        <w:jc w:val="left"/>
        <w:rPr>
          <w:sz w:val="38"/>
        </w:rPr>
        <w:sectPr>
          <w:pgSz w:w="14270" w:h="16850"/>
          <w:pgMar w:header="0" w:footer="1891" w:top="1600" w:bottom="2080" w:left="800" w:right="1280"/>
        </w:sectPr>
      </w:pPr>
    </w:p>
    <w:p>
      <w:pPr>
        <w:spacing w:before="181"/>
        <w:ind w:left="477" w:right="0" w:firstLine="0"/>
        <w:jc w:val="left"/>
        <w:rPr>
          <w:sz w:val="38"/>
        </w:rPr>
      </w:pPr>
      <w:r>
        <w:rPr>
          <w:b/>
          <w:sz w:val="38"/>
        </w:rPr>
        <w:t>Skin tetters: </w:t>
      </w:r>
      <w:r>
        <w:rPr>
          <w:sz w:val="38"/>
        </w:rPr>
        <w:t>see intake scheme for ‘Rashes’</w:t>
      </w:r>
    </w:p>
    <w:p>
      <w:pPr>
        <w:pStyle w:val="BodyText"/>
        <w:spacing w:before="305"/>
        <w:ind w:left="477"/>
      </w:pPr>
      <w:r>
        <w:rPr>
          <w:b/>
        </w:rPr>
        <w:t>Skin fungi: </w:t>
      </w:r>
      <w:r>
        <w:rPr/>
        <w:t>5 drops in a damp hand, apply frequently every day</w:t>
      </w:r>
    </w:p>
    <w:p>
      <w:pPr>
        <w:spacing w:before="304"/>
        <w:ind w:left="477" w:right="0" w:firstLine="0"/>
        <w:jc w:val="left"/>
        <w:rPr>
          <w:sz w:val="38"/>
        </w:rPr>
      </w:pPr>
      <w:r>
        <w:rPr>
          <w:b/>
          <w:sz w:val="38"/>
        </w:rPr>
        <w:t>Hoarseness: </w:t>
      </w:r>
      <w:r>
        <w:rPr>
          <w:sz w:val="38"/>
        </w:rPr>
        <w:t>see intake scheme for ‘Throat infection’</w:t>
      </w:r>
    </w:p>
    <w:p>
      <w:pPr>
        <w:spacing w:before="305"/>
        <w:ind w:left="477" w:right="0" w:firstLine="0"/>
        <w:jc w:val="left"/>
        <w:rPr>
          <w:sz w:val="38"/>
        </w:rPr>
      </w:pPr>
      <w:r>
        <w:rPr>
          <w:b/>
          <w:sz w:val="38"/>
        </w:rPr>
        <w:t>Herpes simplex (cold sores): </w:t>
      </w:r>
      <w:r>
        <w:rPr>
          <w:sz w:val="38"/>
        </w:rPr>
        <w:t>5 drops per tablespoon of oil, apply frequently</w:t>
      </w:r>
    </w:p>
    <w:p>
      <w:pPr>
        <w:spacing w:before="304"/>
        <w:ind w:left="477" w:right="0" w:firstLine="0"/>
        <w:jc w:val="left"/>
        <w:rPr>
          <w:sz w:val="38"/>
        </w:rPr>
      </w:pPr>
      <w:r>
        <w:rPr>
          <w:b/>
          <w:sz w:val="38"/>
        </w:rPr>
        <w:t>Herpes zoster: </w:t>
      </w:r>
      <w:r>
        <w:rPr>
          <w:sz w:val="38"/>
        </w:rPr>
        <w:t>see intake scheme for ‘Shingles‘</w:t>
      </w:r>
    </w:p>
    <w:p>
      <w:pPr>
        <w:pStyle w:val="BodyText"/>
        <w:spacing w:before="303"/>
        <w:ind w:left="477"/>
      </w:pPr>
      <w:r>
        <w:rPr>
          <w:b/>
        </w:rPr>
        <w:t>Callus: </w:t>
      </w:r>
      <w:r>
        <w:rPr/>
        <w:t>30 drops in the foot bath facilitate removal and disinfection</w:t>
      </w:r>
    </w:p>
    <w:p>
      <w:pPr>
        <w:pStyle w:val="BodyText"/>
        <w:spacing w:before="305"/>
        <w:ind w:left="477"/>
      </w:pPr>
      <w:r>
        <w:rPr>
          <w:b/>
        </w:rPr>
        <w:t>Cough: </w:t>
      </w:r>
      <w:r>
        <w:rPr/>
        <w:t>see intake scheme for ‘Throat infection’</w:t>
      </w:r>
    </w:p>
    <w:p>
      <w:pPr>
        <w:pStyle w:val="BodyText"/>
        <w:spacing w:line="410" w:lineRule="auto" w:before="304"/>
        <w:ind w:left="477" w:right="1176"/>
      </w:pPr>
      <w:r>
        <w:rPr>
          <w:b/>
        </w:rPr>
        <w:t>Insect bites: </w:t>
      </w:r>
      <w:r>
        <w:rPr/>
        <w:t>apply 1 drop onto the stitching point with a damp finger </w:t>
      </w:r>
      <w:r>
        <w:rPr>
          <w:b/>
        </w:rPr>
        <w:t>Caries: </w:t>
      </w:r>
      <w:r>
        <w:rPr/>
        <w:t>rinse 1-2 drops on a damp toothbrush and 10 drops per 200 ml </w:t>
      </w:r>
      <w:r>
        <w:rPr>
          <w:b/>
        </w:rPr>
        <w:t>Laryngitis: </w:t>
      </w:r>
      <w:r>
        <w:rPr/>
        <w:t>see intake scheme for ‘Throat infection’</w:t>
      </w:r>
    </w:p>
    <w:p>
      <w:pPr>
        <w:pStyle w:val="BodyText"/>
        <w:spacing w:line="276" w:lineRule="auto" w:before="3"/>
        <w:ind w:left="477"/>
      </w:pPr>
      <w:r>
        <w:rPr>
          <w:b/>
        </w:rPr>
        <w:t>Head</w:t>
      </w:r>
      <w:r>
        <w:rPr>
          <w:b/>
          <w:spacing w:val="-24"/>
        </w:rPr>
        <w:t> </w:t>
      </w:r>
      <w:r>
        <w:rPr>
          <w:b/>
        </w:rPr>
        <w:t>lice:</w:t>
      </w:r>
      <w:r>
        <w:rPr>
          <w:b/>
          <w:spacing w:val="-23"/>
        </w:rPr>
        <w:t> </w:t>
      </w:r>
      <w:r>
        <w:rPr/>
        <w:t>mix</w:t>
      </w:r>
      <w:r>
        <w:rPr>
          <w:spacing w:val="-22"/>
        </w:rPr>
        <w:t> </w:t>
      </w:r>
      <w:r>
        <w:rPr/>
        <w:t>10</w:t>
      </w:r>
      <w:r>
        <w:rPr>
          <w:spacing w:val="-23"/>
        </w:rPr>
        <w:t> </w:t>
      </w:r>
      <w:r>
        <w:rPr/>
        <w:t>drops</w:t>
      </w:r>
      <w:r>
        <w:rPr>
          <w:spacing w:val="-22"/>
        </w:rPr>
        <w:t> </w:t>
      </w:r>
      <w:r>
        <w:rPr/>
        <w:t>with</w:t>
      </w:r>
      <w:r>
        <w:rPr>
          <w:spacing w:val="-21"/>
        </w:rPr>
        <w:t> </w:t>
      </w:r>
      <w:r>
        <w:rPr/>
        <w:t>a</w:t>
      </w:r>
      <w:r>
        <w:rPr>
          <w:spacing w:val="-24"/>
        </w:rPr>
        <w:t> </w:t>
      </w:r>
      <w:r>
        <w:rPr/>
        <w:t>little</w:t>
      </w:r>
      <w:r>
        <w:rPr>
          <w:spacing w:val="-23"/>
        </w:rPr>
        <w:t> </w:t>
      </w:r>
      <w:r>
        <w:rPr/>
        <w:t>shower</w:t>
      </w:r>
      <w:r>
        <w:rPr>
          <w:spacing w:val="-23"/>
        </w:rPr>
        <w:t> </w:t>
      </w:r>
      <w:r>
        <w:rPr/>
        <w:t>gel,</w:t>
      </w:r>
      <w:r>
        <w:rPr>
          <w:spacing w:val="-22"/>
        </w:rPr>
        <w:t> </w:t>
      </w:r>
      <w:r>
        <w:rPr/>
        <w:t>leave</w:t>
      </w:r>
      <w:r>
        <w:rPr>
          <w:spacing w:val="-23"/>
        </w:rPr>
        <w:t> </w:t>
      </w:r>
      <w:r>
        <w:rPr/>
        <w:t>for</w:t>
      </w:r>
      <w:r>
        <w:rPr>
          <w:spacing w:val="-22"/>
        </w:rPr>
        <w:t> </w:t>
      </w:r>
      <w:r>
        <w:rPr/>
        <w:t>30</w:t>
      </w:r>
      <w:r>
        <w:rPr>
          <w:spacing w:val="-23"/>
        </w:rPr>
        <w:t> </w:t>
      </w:r>
      <w:r>
        <w:rPr/>
        <w:t>mins</w:t>
      </w:r>
      <w:r>
        <w:rPr>
          <w:spacing w:val="-22"/>
        </w:rPr>
        <w:t> </w:t>
      </w:r>
      <w:r>
        <w:rPr/>
        <w:t>to</w:t>
      </w:r>
      <w:r>
        <w:rPr>
          <w:spacing w:val="-22"/>
        </w:rPr>
        <w:t> </w:t>
      </w:r>
      <w:r>
        <w:rPr/>
        <w:t>take</w:t>
      </w:r>
      <w:r>
        <w:rPr>
          <w:spacing w:val="-23"/>
        </w:rPr>
        <w:t> </w:t>
      </w:r>
      <w:r>
        <w:rPr/>
        <w:t>effect, rinse well, repeat after three days (protect</w:t>
      </w:r>
      <w:r>
        <w:rPr>
          <w:spacing w:val="5"/>
        </w:rPr>
        <w:t> </w:t>
      </w:r>
      <w:r>
        <w:rPr/>
        <w:t>eyes)</w:t>
      </w:r>
    </w:p>
    <w:p>
      <w:pPr>
        <w:pStyle w:val="BodyText"/>
        <w:rPr>
          <w:sz w:val="42"/>
        </w:rPr>
      </w:pPr>
    </w:p>
    <w:p>
      <w:pPr>
        <w:pStyle w:val="BodyText"/>
        <w:rPr>
          <w:sz w:val="42"/>
        </w:rPr>
      </w:pPr>
    </w:p>
    <w:p>
      <w:pPr>
        <w:pStyle w:val="Heading2"/>
        <w:spacing w:before="266"/>
      </w:pPr>
      <w:r>
        <w:rPr/>
        <w:t>Supplementary notes on internal applications of grapefruit seed extract</w:t>
      </w:r>
    </w:p>
    <w:p>
      <w:pPr>
        <w:pStyle w:val="BodyText"/>
        <w:spacing w:before="10"/>
        <w:rPr>
          <w:b/>
          <w:sz w:val="46"/>
        </w:rPr>
      </w:pPr>
    </w:p>
    <w:p>
      <w:pPr>
        <w:spacing w:before="0"/>
        <w:ind w:left="477" w:right="0" w:firstLine="0"/>
        <w:jc w:val="left"/>
        <w:rPr>
          <w:b/>
          <w:i/>
          <w:sz w:val="40"/>
        </w:rPr>
      </w:pPr>
      <w:r>
        <w:rPr>
          <w:b/>
          <w:i/>
          <w:sz w:val="40"/>
        </w:rPr>
        <w:t>Grapefruit seed extract and its effect on colds and flu</w:t>
      </w:r>
    </w:p>
    <w:p>
      <w:pPr>
        <w:pStyle w:val="BodyText"/>
        <w:spacing w:before="299"/>
        <w:ind w:left="477"/>
      </w:pPr>
      <w:r>
        <w:rPr/>
        <w:t>The</w:t>
      </w:r>
      <w:r>
        <w:rPr>
          <w:spacing w:val="-15"/>
        </w:rPr>
        <w:t> </w:t>
      </w:r>
      <w:r>
        <w:rPr/>
        <w:t>most</w:t>
      </w:r>
      <w:r>
        <w:rPr>
          <w:spacing w:val="-15"/>
        </w:rPr>
        <w:t> </w:t>
      </w:r>
      <w:r>
        <w:rPr/>
        <w:t>common</w:t>
      </w:r>
      <w:r>
        <w:rPr>
          <w:spacing w:val="-14"/>
        </w:rPr>
        <w:t> </w:t>
      </w:r>
      <w:r>
        <w:rPr/>
        <w:t>causes</w:t>
      </w:r>
      <w:r>
        <w:rPr>
          <w:spacing w:val="-15"/>
        </w:rPr>
        <w:t> </w:t>
      </w:r>
      <w:r>
        <w:rPr/>
        <w:t>of</w:t>
      </w:r>
      <w:r>
        <w:rPr>
          <w:spacing w:val="-14"/>
        </w:rPr>
        <w:t> </w:t>
      </w:r>
      <w:r>
        <w:rPr/>
        <w:t>colds</w:t>
      </w:r>
      <w:r>
        <w:rPr>
          <w:spacing w:val="-16"/>
        </w:rPr>
        <w:t> </w:t>
      </w:r>
      <w:r>
        <w:rPr/>
        <w:t>and</w:t>
      </w:r>
      <w:r>
        <w:rPr>
          <w:spacing w:val="-14"/>
        </w:rPr>
        <w:t> </w:t>
      </w:r>
      <w:r>
        <w:rPr/>
        <w:t>flu</w:t>
      </w:r>
      <w:r>
        <w:rPr>
          <w:spacing w:val="-14"/>
        </w:rPr>
        <w:t> </w:t>
      </w:r>
      <w:r>
        <w:rPr/>
        <w:t>are</w:t>
      </w:r>
      <w:r>
        <w:rPr>
          <w:spacing w:val="-14"/>
        </w:rPr>
        <w:t> </w:t>
      </w:r>
      <w:r>
        <w:rPr/>
        <w:t>infections</w:t>
      </w:r>
      <w:r>
        <w:rPr>
          <w:spacing w:val="-15"/>
        </w:rPr>
        <w:t> </w:t>
      </w:r>
      <w:r>
        <w:rPr/>
        <w:t>caused</w:t>
      </w:r>
      <w:r>
        <w:rPr>
          <w:spacing w:val="-15"/>
        </w:rPr>
        <w:t> </w:t>
      </w:r>
      <w:r>
        <w:rPr/>
        <w:t>by</w:t>
      </w:r>
      <w:r>
        <w:rPr>
          <w:spacing w:val="-15"/>
        </w:rPr>
        <w:t> </w:t>
      </w:r>
      <w:r>
        <w:rPr/>
        <w:t>viruses.</w:t>
      </w:r>
      <w:r>
        <w:rPr>
          <w:spacing w:val="-14"/>
        </w:rPr>
        <w:t> </w:t>
      </w:r>
      <w:r>
        <w:rPr/>
        <w:t>The</w:t>
      </w:r>
    </w:p>
    <w:p>
      <w:pPr>
        <w:spacing w:after="0"/>
        <w:sectPr>
          <w:pgSz w:w="14270" w:h="16850"/>
          <w:pgMar w:header="0" w:footer="1891" w:top="1600" w:bottom="2080" w:left="800" w:right="1280"/>
        </w:sectPr>
      </w:pPr>
    </w:p>
    <w:p>
      <w:pPr>
        <w:pStyle w:val="BodyText"/>
        <w:spacing w:line="276" w:lineRule="auto" w:before="181"/>
        <w:ind w:left="477" w:right="137"/>
        <w:jc w:val="both"/>
      </w:pPr>
      <w:r>
        <w:rPr/>
        <w:t>antiviral effect of grapefruit seed extract can provide a quick remedy here. For this purpose, dissolve 5-15 drops of grapefruit seed extract in a glass of water and drink 2-3 times daily.</w:t>
      </w:r>
    </w:p>
    <w:p>
      <w:pPr>
        <w:pStyle w:val="BodyText"/>
        <w:spacing w:before="3"/>
        <w:rPr>
          <w:sz w:val="41"/>
        </w:rPr>
      </w:pPr>
    </w:p>
    <w:p>
      <w:pPr>
        <w:pStyle w:val="Heading1"/>
        <w:spacing w:before="0"/>
      </w:pPr>
      <w:r>
        <w:rPr/>
        <w:t>Grapefruit seed extract and its effect on bronchitis</w:t>
      </w:r>
    </w:p>
    <w:p>
      <w:pPr>
        <w:pStyle w:val="BodyText"/>
        <w:spacing w:line="276" w:lineRule="auto" w:before="299"/>
        <w:ind w:left="477" w:right="139"/>
        <w:jc w:val="both"/>
      </w:pPr>
      <w:r>
        <w:rPr/>
        <w:t>Bronchitis is based on a respiratory tract infection, here grapefruit seed extract can be of great help. Drink a solution of 10 drops of grapefruit seed extract in a glass of water, 3 times a day. In addition, the external application is recom- mended in the form of daily gargling (dilution ratio: see above).</w:t>
      </w:r>
    </w:p>
    <w:p>
      <w:pPr>
        <w:pStyle w:val="BodyText"/>
        <w:spacing w:before="1"/>
        <w:rPr>
          <w:sz w:val="41"/>
        </w:rPr>
      </w:pPr>
    </w:p>
    <w:p>
      <w:pPr>
        <w:pStyle w:val="Heading1"/>
        <w:spacing w:before="0"/>
      </w:pPr>
      <w:r>
        <w:rPr/>
        <w:t>Grapefruit seed extract and its effect on diarrhoea</w:t>
      </w:r>
    </w:p>
    <w:p>
      <w:pPr>
        <w:pStyle w:val="BodyText"/>
        <w:spacing w:line="276" w:lineRule="auto" w:before="300"/>
        <w:ind w:left="477" w:right="134"/>
        <w:jc w:val="both"/>
      </w:pPr>
      <w:r>
        <w:rPr/>
        <w:t>Diarrhoea can be caused by pathogens in the intestine. Dilute 5-15 drops of grapefruit seed extract in a glass of water and drink 3 times a day.</w:t>
      </w:r>
    </w:p>
    <w:p>
      <w:pPr>
        <w:pStyle w:val="BodyText"/>
        <w:rPr>
          <w:sz w:val="41"/>
        </w:rPr>
      </w:pPr>
    </w:p>
    <w:p>
      <w:pPr>
        <w:pStyle w:val="Heading1"/>
        <w:spacing w:before="0"/>
      </w:pPr>
      <w:r>
        <w:rPr/>
        <w:t>Grapefruit seed extract against cystitis</w:t>
      </w:r>
    </w:p>
    <w:p>
      <w:pPr>
        <w:pStyle w:val="BodyText"/>
        <w:spacing w:line="276" w:lineRule="auto" w:before="299"/>
        <w:ind w:left="477" w:right="135"/>
        <w:jc w:val="both"/>
      </w:pPr>
      <w:r>
        <w:rPr/>
        <w:t>The anti-inflammatory effect of grapefruit seed extract can be very helpful in cystitis. Dissolve about 10 drops of grapefruit seed extract in a glass of water and drink 3 times a day.</w:t>
      </w:r>
    </w:p>
    <w:p>
      <w:pPr>
        <w:pStyle w:val="BodyText"/>
        <w:rPr>
          <w:sz w:val="42"/>
        </w:rPr>
      </w:pPr>
    </w:p>
    <w:p>
      <w:pPr>
        <w:pStyle w:val="BodyText"/>
        <w:rPr>
          <w:sz w:val="42"/>
        </w:rPr>
      </w:pPr>
    </w:p>
    <w:p>
      <w:pPr>
        <w:pStyle w:val="Heading2"/>
        <w:spacing w:before="269"/>
        <w:jc w:val="both"/>
      </w:pPr>
      <w:r>
        <w:rPr/>
        <w:t>Supplementary notes on external applications of grapefruit seed extract</w:t>
      </w:r>
    </w:p>
    <w:p>
      <w:pPr>
        <w:spacing w:after="0"/>
        <w:jc w:val="both"/>
        <w:sectPr>
          <w:pgSz w:w="14270" w:h="16850"/>
          <w:pgMar w:header="0" w:footer="1891" w:top="1600" w:bottom="2080" w:left="800" w:right="1280"/>
        </w:sectPr>
      </w:pPr>
    </w:p>
    <w:p>
      <w:pPr>
        <w:spacing w:before="164"/>
        <w:ind w:left="477" w:right="0" w:firstLine="0"/>
        <w:jc w:val="left"/>
        <w:rPr>
          <w:b/>
          <w:i/>
          <w:sz w:val="40"/>
        </w:rPr>
      </w:pPr>
      <w:r>
        <w:rPr>
          <w:b/>
          <w:i/>
          <w:sz w:val="40"/>
        </w:rPr>
        <w:t>Grapefruit seed extract and its effect on sore throat and pharyngitis</w:t>
      </w:r>
    </w:p>
    <w:p>
      <w:pPr>
        <w:pStyle w:val="BodyText"/>
        <w:spacing w:line="276" w:lineRule="auto" w:before="299"/>
        <w:ind w:left="477" w:right="133"/>
        <w:jc w:val="both"/>
      </w:pPr>
      <w:r>
        <w:rPr/>
        <w:t>Sore</w:t>
      </w:r>
      <w:r>
        <w:rPr>
          <w:spacing w:val="-23"/>
        </w:rPr>
        <w:t> </w:t>
      </w:r>
      <w:r>
        <w:rPr/>
        <w:t>throat</w:t>
      </w:r>
      <w:r>
        <w:rPr>
          <w:spacing w:val="-23"/>
        </w:rPr>
        <w:t> </w:t>
      </w:r>
      <w:r>
        <w:rPr/>
        <w:t>and</w:t>
      </w:r>
      <w:r>
        <w:rPr>
          <w:spacing w:val="-24"/>
        </w:rPr>
        <w:t> </w:t>
      </w:r>
      <w:r>
        <w:rPr/>
        <w:t>pharyngitis</w:t>
      </w:r>
      <w:r>
        <w:rPr>
          <w:spacing w:val="-23"/>
        </w:rPr>
        <w:t> </w:t>
      </w:r>
      <w:r>
        <w:rPr/>
        <w:t>are</w:t>
      </w:r>
      <w:r>
        <w:rPr>
          <w:spacing w:val="-22"/>
        </w:rPr>
        <w:t> </w:t>
      </w:r>
      <w:r>
        <w:rPr/>
        <w:t>almost</w:t>
      </w:r>
      <w:r>
        <w:rPr>
          <w:spacing w:val="-22"/>
        </w:rPr>
        <w:t> </w:t>
      </w:r>
      <w:r>
        <w:rPr/>
        <w:t>exclusively</w:t>
      </w:r>
      <w:r>
        <w:rPr>
          <w:spacing w:val="-20"/>
        </w:rPr>
        <w:t> </w:t>
      </w:r>
      <w:r>
        <w:rPr/>
        <w:t>caused</w:t>
      </w:r>
      <w:r>
        <w:rPr>
          <w:spacing w:val="-23"/>
        </w:rPr>
        <w:t> </w:t>
      </w:r>
      <w:r>
        <w:rPr/>
        <w:t>by</w:t>
      </w:r>
      <w:r>
        <w:rPr>
          <w:spacing w:val="-25"/>
        </w:rPr>
        <w:t> </w:t>
      </w:r>
      <w:r>
        <w:rPr/>
        <w:t>bacterial</w:t>
      </w:r>
      <w:r>
        <w:rPr>
          <w:spacing w:val="-24"/>
        </w:rPr>
        <w:t> </w:t>
      </w:r>
      <w:r>
        <w:rPr/>
        <w:t>infestation in</w:t>
      </w:r>
      <w:r>
        <w:rPr>
          <w:spacing w:val="-12"/>
        </w:rPr>
        <w:t> </w:t>
      </w:r>
      <w:r>
        <w:rPr/>
        <w:t>the</w:t>
      </w:r>
      <w:r>
        <w:rPr>
          <w:spacing w:val="-11"/>
        </w:rPr>
        <w:t> </w:t>
      </w:r>
      <w:r>
        <w:rPr/>
        <w:t>throat.</w:t>
      </w:r>
      <w:r>
        <w:rPr>
          <w:spacing w:val="-11"/>
        </w:rPr>
        <w:t> </w:t>
      </w:r>
      <w:r>
        <w:rPr/>
        <w:t>Due</w:t>
      </w:r>
      <w:r>
        <w:rPr>
          <w:spacing w:val="-12"/>
        </w:rPr>
        <w:t> </w:t>
      </w:r>
      <w:r>
        <w:rPr/>
        <w:t>to</w:t>
      </w:r>
      <w:r>
        <w:rPr>
          <w:spacing w:val="-11"/>
        </w:rPr>
        <w:t> </w:t>
      </w:r>
      <w:r>
        <w:rPr/>
        <w:t>its</w:t>
      </w:r>
      <w:r>
        <w:rPr>
          <w:spacing w:val="-14"/>
        </w:rPr>
        <w:t> </w:t>
      </w:r>
      <w:r>
        <w:rPr/>
        <w:t>antibacterial</w:t>
      </w:r>
      <w:r>
        <w:rPr>
          <w:spacing w:val="-13"/>
        </w:rPr>
        <w:t> </w:t>
      </w:r>
      <w:r>
        <w:rPr/>
        <w:t>effect,</w:t>
      </w:r>
      <w:r>
        <w:rPr>
          <w:spacing w:val="-11"/>
        </w:rPr>
        <w:t> </w:t>
      </w:r>
      <w:r>
        <w:rPr/>
        <w:t>grapefruit</w:t>
      </w:r>
      <w:r>
        <w:rPr>
          <w:spacing w:val="-13"/>
        </w:rPr>
        <w:t> </w:t>
      </w:r>
      <w:r>
        <w:rPr/>
        <w:t>seed</w:t>
      </w:r>
      <w:r>
        <w:rPr>
          <w:spacing w:val="-12"/>
        </w:rPr>
        <w:t> </w:t>
      </w:r>
      <w:r>
        <w:rPr/>
        <w:t>extract</w:t>
      </w:r>
      <w:r>
        <w:rPr>
          <w:spacing w:val="-10"/>
        </w:rPr>
        <w:t> </w:t>
      </w:r>
      <w:r>
        <w:rPr/>
        <w:t>is</w:t>
      </w:r>
      <w:r>
        <w:rPr>
          <w:spacing w:val="-12"/>
        </w:rPr>
        <w:t> </w:t>
      </w:r>
      <w:r>
        <w:rPr/>
        <w:t>perfect</w:t>
      </w:r>
      <w:r>
        <w:rPr>
          <w:spacing w:val="-12"/>
        </w:rPr>
        <w:t> </w:t>
      </w:r>
      <w:r>
        <w:rPr/>
        <w:t>for treating this.</w:t>
      </w:r>
    </w:p>
    <w:p>
      <w:pPr>
        <w:pStyle w:val="BodyText"/>
        <w:spacing w:line="276" w:lineRule="auto" w:before="242"/>
        <w:ind w:left="477" w:right="134"/>
        <w:jc w:val="both"/>
      </w:pPr>
      <w:r>
        <w:rPr/>
        <w:t>Gargle daily 4-6 times with a grapefruit seed extract water solution (10 drops diluted in a glass of water).</w:t>
      </w:r>
    </w:p>
    <w:p>
      <w:pPr>
        <w:pStyle w:val="BodyText"/>
        <w:rPr>
          <w:sz w:val="42"/>
        </w:rPr>
      </w:pPr>
    </w:p>
    <w:p>
      <w:pPr>
        <w:pStyle w:val="BodyText"/>
        <w:rPr>
          <w:sz w:val="42"/>
        </w:rPr>
      </w:pPr>
    </w:p>
    <w:p>
      <w:pPr>
        <w:pStyle w:val="Heading1"/>
        <w:spacing w:before="248"/>
      </w:pPr>
      <w:r>
        <w:rPr/>
        <w:t>Grapefruit seed extract and its effect on hoarseness</w:t>
      </w:r>
    </w:p>
    <w:p>
      <w:pPr>
        <w:pStyle w:val="BodyText"/>
        <w:spacing w:line="276" w:lineRule="auto" w:before="299"/>
        <w:ind w:left="477" w:right="133"/>
        <w:jc w:val="both"/>
      </w:pPr>
      <w:r>
        <w:rPr/>
        <w:t>Hoarseness can have multiple causes, mostly due to over-exertion of vocal cords</w:t>
      </w:r>
      <w:r>
        <w:rPr>
          <w:spacing w:val="-8"/>
        </w:rPr>
        <w:t> </w:t>
      </w:r>
      <w:r>
        <w:rPr/>
        <w:t>or</w:t>
      </w:r>
      <w:r>
        <w:rPr>
          <w:spacing w:val="-8"/>
        </w:rPr>
        <w:t> </w:t>
      </w:r>
      <w:r>
        <w:rPr/>
        <w:t>laryngitis.</w:t>
      </w:r>
      <w:r>
        <w:rPr>
          <w:spacing w:val="-9"/>
        </w:rPr>
        <w:t> </w:t>
      </w:r>
      <w:r>
        <w:rPr/>
        <w:t>If</w:t>
      </w:r>
      <w:r>
        <w:rPr>
          <w:spacing w:val="-9"/>
        </w:rPr>
        <w:t> </w:t>
      </w:r>
      <w:r>
        <w:rPr/>
        <w:t>the</w:t>
      </w:r>
      <w:r>
        <w:rPr>
          <w:spacing w:val="-8"/>
        </w:rPr>
        <w:t> </w:t>
      </w:r>
      <w:r>
        <w:rPr/>
        <w:t>latter</w:t>
      </w:r>
      <w:r>
        <w:rPr>
          <w:spacing w:val="-9"/>
        </w:rPr>
        <w:t> </w:t>
      </w:r>
      <w:r>
        <w:rPr/>
        <w:t>is</w:t>
      </w:r>
      <w:r>
        <w:rPr>
          <w:spacing w:val="-12"/>
        </w:rPr>
        <w:t> </w:t>
      </w:r>
      <w:r>
        <w:rPr/>
        <w:t>the</w:t>
      </w:r>
      <w:r>
        <w:rPr>
          <w:spacing w:val="-7"/>
        </w:rPr>
        <w:t> </w:t>
      </w:r>
      <w:r>
        <w:rPr/>
        <w:t>case,</w:t>
      </w:r>
      <w:r>
        <w:rPr>
          <w:spacing w:val="-8"/>
        </w:rPr>
        <w:t> </w:t>
      </w:r>
      <w:r>
        <w:rPr/>
        <w:t>then</w:t>
      </w:r>
      <w:r>
        <w:rPr>
          <w:spacing w:val="-8"/>
        </w:rPr>
        <w:t> </w:t>
      </w:r>
      <w:r>
        <w:rPr/>
        <w:t>grapefruit</w:t>
      </w:r>
      <w:r>
        <w:rPr>
          <w:spacing w:val="-10"/>
        </w:rPr>
        <w:t> </w:t>
      </w:r>
      <w:r>
        <w:rPr/>
        <w:t>seed</w:t>
      </w:r>
      <w:r>
        <w:rPr>
          <w:spacing w:val="-9"/>
        </w:rPr>
        <w:t> </w:t>
      </w:r>
      <w:r>
        <w:rPr/>
        <w:t>extract</w:t>
      </w:r>
      <w:r>
        <w:rPr>
          <w:spacing w:val="-9"/>
        </w:rPr>
        <w:t> </w:t>
      </w:r>
      <w:r>
        <w:rPr/>
        <w:t>can</w:t>
      </w:r>
      <w:r>
        <w:rPr>
          <w:spacing w:val="-8"/>
        </w:rPr>
        <w:t> </w:t>
      </w:r>
      <w:r>
        <w:rPr/>
        <w:t>help. Dissolve</w:t>
      </w:r>
      <w:r>
        <w:rPr>
          <w:spacing w:val="-12"/>
        </w:rPr>
        <w:t> </w:t>
      </w:r>
      <w:r>
        <w:rPr/>
        <w:t>3</w:t>
      </w:r>
      <w:r>
        <w:rPr>
          <w:spacing w:val="-12"/>
        </w:rPr>
        <w:t> </w:t>
      </w:r>
      <w:r>
        <w:rPr/>
        <w:t>drops</w:t>
      </w:r>
      <w:r>
        <w:rPr>
          <w:spacing w:val="-12"/>
        </w:rPr>
        <w:t> </w:t>
      </w:r>
      <w:r>
        <w:rPr/>
        <w:t>of</w:t>
      </w:r>
      <w:r>
        <w:rPr>
          <w:spacing w:val="-14"/>
        </w:rPr>
        <w:t> </w:t>
      </w:r>
      <w:r>
        <w:rPr/>
        <w:t>grapefruit</w:t>
      </w:r>
      <w:r>
        <w:rPr>
          <w:spacing w:val="-14"/>
        </w:rPr>
        <w:t> </w:t>
      </w:r>
      <w:r>
        <w:rPr/>
        <w:t>seed</w:t>
      </w:r>
      <w:r>
        <w:rPr>
          <w:spacing w:val="-10"/>
        </w:rPr>
        <w:t> </w:t>
      </w:r>
      <w:r>
        <w:rPr/>
        <w:t>extract</w:t>
      </w:r>
      <w:r>
        <w:rPr>
          <w:spacing w:val="-12"/>
        </w:rPr>
        <w:t> </w:t>
      </w:r>
      <w:r>
        <w:rPr/>
        <w:t>in</w:t>
      </w:r>
      <w:r>
        <w:rPr>
          <w:spacing w:val="-14"/>
        </w:rPr>
        <w:t> </w:t>
      </w:r>
      <w:r>
        <w:rPr/>
        <w:t>a</w:t>
      </w:r>
      <w:r>
        <w:rPr>
          <w:spacing w:val="-13"/>
        </w:rPr>
        <w:t> </w:t>
      </w:r>
      <w:r>
        <w:rPr/>
        <w:t>glass</w:t>
      </w:r>
      <w:r>
        <w:rPr>
          <w:spacing w:val="-11"/>
        </w:rPr>
        <w:t> </w:t>
      </w:r>
      <w:r>
        <w:rPr/>
        <w:t>of</w:t>
      </w:r>
      <w:r>
        <w:rPr>
          <w:spacing w:val="-14"/>
        </w:rPr>
        <w:t> </w:t>
      </w:r>
      <w:r>
        <w:rPr/>
        <w:t>water</w:t>
      </w:r>
      <w:r>
        <w:rPr>
          <w:spacing w:val="-10"/>
        </w:rPr>
        <w:t> </w:t>
      </w:r>
      <w:r>
        <w:rPr/>
        <w:t>and</w:t>
      </w:r>
      <w:r>
        <w:rPr>
          <w:spacing w:val="-16"/>
        </w:rPr>
        <w:t> </w:t>
      </w:r>
      <w:r>
        <w:rPr/>
        <w:t>gargle</w:t>
      </w:r>
      <w:r>
        <w:rPr>
          <w:spacing w:val="-12"/>
        </w:rPr>
        <w:t> </w:t>
      </w:r>
      <w:r>
        <w:rPr/>
        <w:t>3</w:t>
      </w:r>
      <w:r>
        <w:rPr>
          <w:spacing w:val="-12"/>
        </w:rPr>
        <w:t> </w:t>
      </w:r>
      <w:r>
        <w:rPr/>
        <w:t>times a</w:t>
      </w:r>
      <w:r>
        <w:rPr>
          <w:spacing w:val="-2"/>
        </w:rPr>
        <w:t> </w:t>
      </w:r>
      <w:r>
        <w:rPr/>
        <w:t>day.</w:t>
      </w:r>
    </w:p>
    <w:p>
      <w:pPr>
        <w:pStyle w:val="Heading1"/>
        <w:spacing w:before="223"/>
      </w:pPr>
      <w:r>
        <w:rPr/>
        <w:t>Grapefruit seed extract in gastrointestinal influenza</w:t>
      </w:r>
    </w:p>
    <w:p>
      <w:pPr>
        <w:pStyle w:val="BodyText"/>
        <w:spacing w:line="276" w:lineRule="auto" w:before="299"/>
        <w:ind w:left="477" w:right="133"/>
        <w:jc w:val="both"/>
      </w:pPr>
      <w:r>
        <w:rPr/>
        <w:t>Gastrointestinal influenza is caused by pathogens, which makes grapefruit</w:t>
      </w:r>
      <w:r>
        <w:rPr>
          <w:spacing w:val="-49"/>
        </w:rPr>
        <w:t> </w:t>
      </w:r>
      <w:r>
        <w:rPr/>
        <w:t>seed extract the perfect treatment, due to its antibacterial effect. Dilute 5-15 drops of grapefruit seed extract in a glass of water and drink 2-3 times</w:t>
      </w:r>
      <w:r>
        <w:rPr>
          <w:spacing w:val="-10"/>
        </w:rPr>
        <w:t> </w:t>
      </w:r>
      <w:r>
        <w:rPr/>
        <w:t>daily.</w:t>
      </w:r>
    </w:p>
    <w:p>
      <w:pPr>
        <w:pStyle w:val="Heading1"/>
        <w:jc w:val="both"/>
      </w:pPr>
      <w:r>
        <w:rPr/>
        <w:t>Grapefruit seed extract and its effect on gastric ulcers</w:t>
      </w:r>
    </w:p>
    <w:p>
      <w:pPr>
        <w:pStyle w:val="BodyText"/>
        <w:spacing w:before="300"/>
        <w:ind w:left="477"/>
        <w:jc w:val="both"/>
      </w:pPr>
      <w:r>
        <w:rPr/>
        <w:t>In addition to a stressful lifestyle and improper diet (stimulants such as coffee</w:t>
      </w:r>
    </w:p>
    <w:p>
      <w:pPr>
        <w:spacing w:after="0"/>
        <w:jc w:val="both"/>
        <w:sectPr>
          <w:pgSz w:w="14270" w:h="16850"/>
          <w:pgMar w:header="0" w:footer="1891" w:top="1600" w:bottom="2080" w:left="800" w:right="1280"/>
        </w:sectPr>
      </w:pPr>
    </w:p>
    <w:p>
      <w:pPr>
        <w:pStyle w:val="BodyText"/>
        <w:spacing w:line="276" w:lineRule="auto" w:before="181"/>
        <w:ind w:left="477"/>
      </w:pPr>
      <w:r>
        <w:rPr/>
        <w:t>and cigarettes), the bacterium Helicobacter Pylori is suspected as being respon- sible for stomach ulcers.</w:t>
      </w:r>
    </w:p>
    <w:p>
      <w:pPr>
        <w:pStyle w:val="BodyText"/>
        <w:spacing w:line="276" w:lineRule="auto" w:before="241"/>
        <w:ind w:left="477" w:right="131"/>
        <w:jc w:val="both"/>
      </w:pPr>
      <w:r>
        <w:rPr/>
        <w:t>If the latter applies, grapefruit seed extract is predestined to kill this bacterium. Dilute 5-15 drops of grapefruit seed extract in a glass of water and drink 2-3 times daily on an empty stomach.</w:t>
      </w:r>
    </w:p>
    <w:p>
      <w:pPr>
        <w:pStyle w:val="Heading1"/>
        <w:spacing w:before="222"/>
      </w:pPr>
      <w:r>
        <w:rPr/>
        <w:t>Grapefruit seed extract against ‘scabies’</w:t>
      </w:r>
    </w:p>
    <w:p>
      <w:pPr>
        <w:pStyle w:val="BodyText"/>
        <w:spacing w:line="276" w:lineRule="auto" w:before="299"/>
        <w:ind w:left="477" w:right="244"/>
      </w:pPr>
      <w:r>
        <w:rPr/>
        <w:t>Moisten the affected area slightly, distribute 5 drops of grapefruit seed extract in the washcloth, rub on the skin area and leave to soak.</w:t>
      </w:r>
    </w:p>
    <w:p>
      <w:pPr>
        <w:pStyle w:val="Heading1"/>
      </w:pPr>
      <w:r>
        <w:rPr/>
        <w:t>Grapefruit seed extract and its effect on abscesses and boils</w:t>
      </w:r>
    </w:p>
    <w:p>
      <w:pPr>
        <w:pStyle w:val="BodyText"/>
        <w:spacing w:line="276" w:lineRule="auto" w:before="299"/>
        <w:ind w:left="477" w:right="133"/>
        <w:jc w:val="both"/>
      </w:pPr>
      <w:r>
        <w:rPr/>
        <w:t>Apply a few drops of grapefruit seed extract, diluted in a little water, onto the affected</w:t>
      </w:r>
      <w:r>
        <w:rPr>
          <w:spacing w:val="-15"/>
        </w:rPr>
        <w:t> </w:t>
      </w:r>
      <w:r>
        <w:rPr/>
        <w:t>area</w:t>
      </w:r>
      <w:r>
        <w:rPr>
          <w:spacing w:val="-13"/>
        </w:rPr>
        <w:t> </w:t>
      </w:r>
      <w:r>
        <w:rPr/>
        <w:t>3</w:t>
      </w:r>
      <w:r>
        <w:rPr>
          <w:spacing w:val="-13"/>
        </w:rPr>
        <w:t> </w:t>
      </w:r>
      <w:r>
        <w:rPr/>
        <w:t>times</w:t>
      </w:r>
      <w:r>
        <w:rPr>
          <w:spacing w:val="-13"/>
        </w:rPr>
        <w:t> </w:t>
      </w:r>
      <w:r>
        <w:rPr/>
        <w:t>a</w:t>
      </w:r>
      <w:r>
        <w:rPr>
          <w:spacing w:val="-14"/>
        </w:rPr>
        <w:t> </w:t>
      </w:r>
      <w:r>
        <w:rPr/>
        <w:t>day.</w:t>
      </w:r>
      <w:r>
        <w:rPr>
          <w:spacing w:val="-9"/>
        </w:rPr>
        <w:t> </w:t>
      </w:r>
      <w:r>
        <w:rPr/>
        <w:t>For</w:t>
      </w:r>
      <w:r>
        <w:rPr>
          <w:spacing w:val="-12"/>
        </w:rPr>
        <w:t> </w:t>
      </w:r>
      <w:r>
        <w:rPr/>
        <w:t>severely</w:t>
      </w:r>
      <w:r>
        <w:rPr>
          <w:spacing w:val="-13"/>
        </w:rPr>
        <w:t> </w:t>
      </w:r>
      <w:r>
        <w:rPr/>
        <w:t>infected</w:t>
      </w:r>
      <w:r>
        <w:rPr>
          <w:spacing w:val="-14"/>
        </w:rPr>
        <w:t> </w:t>
      </w:r>
      <w:r>
        <w:rPr/>
        <w:t>abscesses,</w:t>
      </w:r>
      <w:r>
        <w:rPr>
          <w:spacing w:val="-15"/>
        </w:rPr>
        <w:t> </w:t>
      </w:r>
      <w:r>
        <w:rPr/>
        <w:t>it</w:t>
      </w:r>
      <w:r>
        <w:rPr>
          <w:spacing w:val="-14"/>
        </w:rPr>
        <w:t> </w:t>
      </w:r>
      <w:r>
        <w:rPr/>
        <w:t>is</w:t>
      </w:r>
      <w:r>
        <w:rPr>
          <w:spacing w:val="-14"/>
        </w:rPr>
        <w:t> </w:t>
      </w:r>
      <w:r>
        <w:rPr/>
        <w:t>possible</w:t>
      </w:r>
      <w:r>
        <w:rPr>
          <w:spacing w:val="-14"/>
        </w:rPr>
        <w:t> </w:t>
      </w:r>
      <w:r>
        <w:rPr/>
        <w:t>to</w:t>
      </w:r>
      <w:r>
        <w:rPr>
          <w:spacing w:val="-13"/>
        </w:rPr>
        <w:t> </w:t>
      </w:r>
      <w:r>
        <w:rPr/>
        <w:t>soak a</w:t>
      </w:r>
      <w:r>
        <w:rPr>
          <w:spacing w:val="-8"/>
        </w:rPr>
        <w:t> </w:t>
      </w:r>
      <w:r>
        <w:rPr/>
        <w:t>gauze</w:t>
      </w:r>
      <w:r>
        <w:rPr>
          <w:spacing w:val="-6"/>
        </w:rPr>
        <w:t> </w:t>
      </w:r>
      <w:r>
        <w:rPr/>
        <w:t>bandage</w:t>
      </w:r>
      <w:r>
        <w:rPr>
          <w:spacing w:val="-5"/>
        </w:rPr>
        <w:t> </w:t>
      </w:r>
      <w:r>
        <w:rPr/>
        <w:t>in</w:t>
      </w:r>
      <w:r>
        <w:rPr>
          <w:spacing w:val="-6"/>
        </w:rPr>
        <w:t> </w:t>
      </w:r>
      <w:r>
        <w:rPr/>
        <w:t>the</w:t>
      </w:r>
      <w:r>
        <w:rPr>
          <w:spacing w:val="-5"/>
        </w:rPr>
        <w:t> </w:t>
      </w:r>
      <w:r>
        <w:rPr/>
        <w:t>solution</w:t>
      </w:r>
      <w:r>
        <w:rPr>
          <w:spacing w:val="-6"/>
        </w:rPr>
        <w:t> </w:t>
      </w:r>
      <w:r>
        <w:rPr/>
        <w:t>and</w:t>
      </w:r>
      <w:r>
        <w:rPr>
          <w:spacing w:val="-6"/>
        </w:rPr>
        <w:t> </w:t>
      </w:r>
      <w:r>
        <w:rPr/>
        <w:t>apply</w:t>
      </w:r>
      <w:r>
        <w:rPr>
          <w:spacing w:val="-7"/>
        </w:rPr>
        <w:t> </w:t>
      </w:r>
      <w:r>
        <w:rPr/>
        <w:t>a</w:t>
      </w:r>
      <w:r>
        <w:rPr>
          <w:spacing w:val="-7"/>
        </w:rPr>
        <w:t> </w:t>
      </w:r>
      <w:r>
        <w:rPr/>
        <w:t>compress</w:t>
      </w:r>
      <w:r>
        <w:rPr>
          <w:spacing w:val="-5"/>
        </w:rPr>
        <w:t> </w:t>
      </w:r>
      <w:r>
        <w:rPr/>
        <w:t>(duration</w:t>
      </w:r>
      <w:r>
        <w:rPr>
          <w:spacing w:val="-6"/>
        </w:rPr>
        <w:t> </w:t>
      </w:r>
      <w:r>
        <w:rPr/>
        <w:t>8-12</w:t>
      </w:r>
      <w:r>
        <w:rPr>
          <w:spacing w:val="-7"/>
        </w:rPr>
        <w:t> </w:t>
      </w:r>
      <w:r>
        <w:rPr/>
        <w:t>hours).</w:t>
      </w:r>
      <w:r>
        <w:rPr>
          <w:spacing w:val="-5"/>
        </w:rPr>
        <w:t> </w:t>
      </w:r>
      <w:r>
        <w:rPr/>
        <w:t>In addition, grapefruit seed extract should be taken 2-3 times a day (5-15 drops in a glass of water).</w:t>
      </w:r>
    </w:p>
    <w:p>
      <w:pPr>
        <w:pStyle w:val="Heading1"/>
        <w:spacing w:before="223"/>
      </w:pPr>
      <w:r>
        <w:rPr/>
        <w:t>Grapefruit seed extract and its effect on acne/pimples</w:t>
      </w:r>
    </w:p>
    <w:p>
      <w:pPr>
        <w:pStyle w:val="BodyText"/>
        <w:spacing w:line="276" w:lineRule="auto" w:before="299"/>
        <w:ind w:left="477"/>
      </w:pPr>
      <w:r>
        <w:rPr/>
        <w:t>Pick up grapefruit seed extract in damp hands and rub it on the face, leave to soak for a few minutes, then rinse thoroughly and dry.</w:t>
      </w:r>
    </w:p>
    <w:p>
      <w:pPr>
        <w:pStyle w:val="Heading1"/>
        <w:jc w:val="both"/>
      </w:pPr>
      <w:r>
        <w:rPr/>
        <w:t>Grapefruit seed extract against aphthae</w:t>
      </w:r>
    </w:p>
    <w:p>
      <w:pPr>
        <w:pStyle w:val="BodyText"/>
        <w:spacing w:before="297"/>
        <w:ind w:left="477"/>
        <w:jc w:val="both"/>
      </w:pPr>
      <w:r>
        <w:rPr/>
        <w:t>Dissolve 10 drops in a glass of water and rinse the mouth several times a day.</w:t>
      </w:r>
    </w:p>
    <w:p>
      <w:pPr>
        <w:spacing w:after="0"/>
        <w:jc w:val="both"/>
        <w:sectPr>
          <w:pgSz w:w="14270" w:h="16850"/>
          <w:pgMar w:header="0" w:footer="1891" w:top="1600" w:bottom="2080" w:left="800" w:right="1280"/>
        </w:sectPr>
      </w:pPr>
    </w:p>
    <w:p>
      <w:pPr>
        <w:pStyle w:val="Heading1"/>
        <w:spacing w:before="164"/>
      </w:pPr>
      <w:r>
        <w:rPr/>
        <w:t>Grapefruit seed extract against laryngitis</w:t>
      </w:r>
    </w:p>
    <w:p>
      <w:pPr>
        <w:pStyle w:val="BodyText"/>
        <w:spacing w:line="276" w:lineRule="auto" w:before="299"/>
        <w:ind w:left="477" w:right="244"/>
      </w:pPr>
      <w:r>
        <w:rPr/>
        <w:t>Dissolve 10 drops of GSE in a glass of lukewarm water and gargle 3 times a day.</w:t>
      </w:r>
    </w:p>
    <w:p>
      <w:pPr>
        <w:pStyle w:val="BodyText"/>
        <w:spacing w:before="2"/>
        <w:rPr>
          <w:sz w:val="41"/>
        </w:rPr>
      </w:pPr>
    </w:p>
    <w:p>
      <w:pPr>
        <w:pStyle w:val="Heading1"/>
        <w:spacing w:before="1"/>
      </w:pPr>
      <w:r>
        <w:rPr/>
        <w:t>Grapefruit seed extract and its effect on tonsillitis</w:t>
      </w:r>
    </w:p>
    <w:p>
      <w:pPr>
        <w:pStyle w:val="BodyText"/>
        <w:spacing w:line="276" w:lineRule="auto" w:before="299"/>
        <w:ind w:left="477" w:right="244"/>
      </w:pPr>
      <w:r>
        <w:rPr/>
        <w:t>Dissolve 10 drops of GSE in a glass of lukewarm water and gargle 5 times a day.</w:t>
      </w:r>
    </w:p>
    <w:p>
      <w:pPr>
        <w:pStyle w:val="BodyText"/>
        <w:rPr>
          <w:sz w:val="42"/>
        </w:rPr>
      </w:pPr>
    </w:p>
    <w:p>
      <w:pPr>
        <w:pStyle w:val="BodyText"/>
        <w:spacing w:before="8"/>
        <w:rPr>
          <w:sz w:val="42"/>
        </w:rPr>
      </w:pPr>
    </w:p>
    <w:p>
      <w:pPr>
        <w:pStyle w:val="Heading1"/>
        <w:spacing w:before="1"/>
      </w:pPr>
      <w:r>
        <w:rPr/>
        <w:t>Grapefruit seed extract and its effect on nettle fever</w:t>
      </w:r>
    </w:p>
    <w:p>
      <w:pPr>
        <w:pStyle w:val="BodyText"/>
        <w:spacing w:before="299"/>
        <w:ind w:left="477"/>
      </w:pPr>
      <w:r>
        <w:rPr/>
        <w:t>Mix 10 drops of GSE with an egg cup of oil and apply to the affected area.</w:t>
      </w:r>
    </w:p>
    <w:p>
      <w:pPr>
        <w:pStyle w:val="Heading1"/>
        <w:spacing w:before="287"/>
      </w:pPr>
      <w:r>
        <w:rPr/>
        <w:t>Grapefruit seed extract and its effect on periodontitis</w:t>
      </w:r>
    </w:p>
    <w:p>
      <w:pPr>
        <w:pStyle w:val="BodyText"/>
        <w:spacing w:line="276" w:lineRule="auto" w:before="300"/>
        <w:ind w:left="477" w:right="133"/>
        <w:jc w:val="both"/>
      </w:pPr>
      <w:r>
        <w:rPr/>
        <w:t>Apply 1-3 drops of grapefruit seed extract to the toothbrush and brush teeth thoroughly</w:t>
      </w:r>
      <w:r>
        <w:rPr>
          <w:spacing w:val="-14"/>
        </w:rPr>
        <w:t> </w:t>
      </w:r>
      <w:r>
        <w:rPr/>
        <w:t>3</w:t>
      </w:r>
      <w:r>
        <w:rPr>
          <w:spacing w:val="-14"/>
        </w:rPr>
        <w:t> </w:t>
      </w:r>
      <w:r>
        <w:rPr/>
        <w:t>times</w:t>
      </w:r>
      <w:r>
        <w:rPr>
          <w:spacing w:val="-13"/>
        </w:rPr>
        <w:t> </w:t>
      </w:r>
      <w:r>
        <w:rPr/>
        <w:t>a</w:t>
      </w:r>
      <w:r>
        <w:rPr>
          <w:spacing w:val="-15"/>
        </w:rPr>
        <w:t> </w:t>
      </w:r>
      <w:r>
        <w:rPr/>
        <w:t>day.</w:t>
      </w:r>
      <w:r>
        <w:rPr>
          <w:spacing w:val="-14"/>
        </w:rPr>
        <w:t> </w:t>
      </w:r>
      <w:r>
        <w:rPr/>
        <w:t>GSE</w:t>
      </w:r>
      <w:r>
        <w:rPr>
          <w:spacing w:val="-13"/>
        </w:rPr>
        <w:t> </w:t>
      </w:r>
      <w:r>
        <w:rPr/>
        <w:t>can</w:t>
      </w:r>
      <w:r>
        <w:rPr>
          <w:spacing w:val="-13"/>
        </w:rPr>
        <w:t> </w:t>
      </w:r>
      <w:r>
        <w:rPr/>
        <w:t>also</w:t>
      </w:r>
      <w:r>
        <w:rPr>
          <w:spacing w:val="-14"/>
        </w:rPr>
        <w:t> </w:t>
      </w:r>
      <w:r>
        <w:rPr/>
        <w:t>be</w:t>
      </w:r>
      <w:r>
        <w:rPr>
          <w:spacing w:val="-13"/>
        </w:rPr>
        <w:t> </w:t>
      </w:r>
      <w:r>
        <w:rPr/>
        <w:t>used</w:t>
      </w:r>
      <w:r>
        <w:rPr>
          <w:spacing w:val="-14"/>
        </w:rPr>
        <w:t> </w:t>
      </w:r>
      <w:r>
        <w:rPr/>
        <w:t>with</w:t>
      </w:r>
      <w:r>
        <w:rPr>
          <w:spacing w:val="-14"/>
        </w:rPr>
        <w:t> </w:t>
      </w:r>
      <w:r>
        <w:rPr/>
        <w:t>mouthwash</w:t>
      </w:r>
      <w:r>
        <w:rPr>
          <w:spacing w:val="-12"/>
        </w:rPr>
        <w:t> </w:t>
      </w:r>
      <w:r>
        <w:rPr/>
        <w:t>to</w:t>
      </w:r>
      <w:r>
        <w:rPr>
          <w:spacing w:val="-14"/>
        </w:rPr>
        <w:t> </w:t>
      </w:r>
      <w:r>
        <w:rPr/>
        <w:t>accompany brushing.</w:t>
      </w:r>
    </w:p>
    <w:p>
      <w:pPr>
        <w:pStyle w:val="Heading1"/>
        <w:spacing w:before="221"/>
      </w:pPr>
      <w:r>
        <w:rPr/>
        <w:t>Grapefruit seed extract against dermatitis</w:t>
      </w:r>
    </w:p>
    <w:p>
      <w:pPr>
        <w:pStyle w:val="BodyText"/>
        <w:spacing w:line="276" w:lineRule="auto" w:before="299"/>
        <w:ind w:left="477"/>
      </w:pPr>
      <w:r>
        <w:rPr/>
        <w:t>Dermatitis is an allergic skin reaction resulting from mental stress or skin in- flammation.</w:t>
      </w:r>
    </w:p>
    <w:p>
      <w:pPr>
        <w:pStyle w:val="BodyText"/>
        <w:spacing w:line="276" w:lineRule="auto" w:before="242"/>
        <w:ind w:left="477"/>
      </w:pPr>
      <w:r>
        <w:rPr/>
        <w:t>In such a case, you can apply grapefruit seed oil to the area several times a day (acquired from the pharmacy or made at home: 80 drops of grapefruit seed</w:t>
      </w:r>
    </w:p>
    <w:p>
      <w:pPr>
        <w:spacing w:after="0" w:line="276" w:lineRule="auto"/>
        <w:sectPr>
          <w:pgSz w:w="14270" w:h="16850"/>
          <w:pgMar w:header="0" w:footer="1891" w:top="1600" w:bottom="2080" w:left="800" w:right="1280"/>
        </w:sectPr>
      </w:pPr>
    </w:p>
    <w:p>
      <w:pPr>
        <w:pStyle w:val="BodyText"/>
        <w:spacing w:line="276" w:lineRule="auto" w:before="181"/>
        <w:ind w:left="477"/>
      </w:pPr>
      <w:r>
        <w:rPr/>
        <w:t>extract</w:t>
      </w:r>
      <w:r>
        <w:rPr>
          <w:spacing w:val="-22"/>
        </w:rPr>
        <w:t> </w:t>
      </w:r>
      <w:r>
        <w:rPr/>
        <w:t>per</w:t>
      </w:r>
      <w:r>
        <w:rPr>
          <w:spacing w:val="-21"/>
        </w:rPr>
        <w:t> </w:t>
      </w:r>
      <w:r>
        <w:rPr/>
        <w:t>100</w:t>
      </w:r>
      <w:r>
        <w:rPr>
          <w:spacing w:val="-19"/>
        </w:rPr>
        <w:t> </w:t>
      </w:r>
      <w:r>
        <w:rPr/>
        <w:t>ml</w:t>
      </w:r>
      <w:r>
        <w:rPr>
          <w:spacing w:val="-22"/>
        </w:rPr>
        <w:t> </w:t>
      </w:r>
      <w:r>
        <w:rPr/>
        <w:t>base</w:t>
      </w:r>
      <w:r>
        <w:rPr>
          <w:spacing w:val="-21"/>
        </w:rPr>
        <w:t> </w:t>
      </w:r>
      <w:r>
        <w:rPr/>
        <w:t>oil).</w:t>
      </w:r>
      <w:r>
        <w:rPr>
          <w:spacing w:val="-20"/>
        </w:rPr>
        <w:t> </w:t>
      </w:r>
      <w:r>
        <w:rPr/>
        <w:t>Taking</w:t>
      </w:r>
      <w:r>
        <w:rPr>
          <w:spacing w:val="-21"/>
        </w:rPr>
        <w:t> </w:t>
      </w:r>
      <w:r>
        <w:rPr/>
        <w:t>a</w:t>
      </w:r>
      <w:r>
        <w:rPr>
          <w:spacing w:val="-21"/>
        </w:rPr>
        <w:t> </w:t>
      </w:r>
      <w:r>
        <w:rPr/>
        <w:t>regular</w:t>
      </w:r>
      <w:r>
        <w:rPr>
          <w:spacing w:val="-21"/>
        </w:rPr>
        <w:t> </w:t>
      </w:r>
      <w:r>
        <w:rPr/>
        <w:t>full</w:t>
      </w:r>
      <w:r>
        <w:rPr>
          <w:spacing w:val="-21"/>
        </w:rPr>
        <w:t> </w:t>
      </w:r>
      <w:r>
        <w:rPr/>
        <w:t>bath</w:t>
      </w:r>
      <w:r>
        <w:rPr>
          <w:spacing w:val="-19"/>
        </w:rPr>
        <w:t> </w:t>
      </w:r>
      <w:r>
        <w:rPr/>
        <w:t>enriched</w:t>
      </w:r>
      <w:r>
        <w:rPr>
          <w:spacing w:val="-21"/>
        </w:rPr>
        <w:t> </w:t>
      </w:r>
      <w:r>
        <w:rPr/>
        <w:t>with</w:t>
      </w:r>
      <w:r>
        <w:rPr>
          <w:spacing w:val="-21"/>
        </w:rPr>
        <w:t> </w:t>
      </w:r>
      <w:r>
        <w:rPr/>
        <w:t>20-30</w:t>
      </w:r>
      <w:r>
        <w:rPr>
          <w:spacing w:val="-21"/>
        </w:rPr>
        <w:t> </w:t>
      </w:r>
      <w:r>
        <w:rPr/>
        <w:t>drops of grapefruit seed extract is also recommended as accompanying</w:t>
      </w:r>
      <w:r>
        <w:rPr>
          <w:spacing w:val="-21"/>
        </w:rPr>
        <w:t> </w:t>
      </w:r>
      <w:r>
        <w:rPr/>
        <w:t>treatment</w:t>
      </w:r>
    </w:p>
    <w:p>
      <w:pPr>
        <w:pStyle w:val="Heading1"/>
      </w:pPr>
      <w:r>
        <w:rPr/>
        <w:t>Grapefruit seed extract against rashes</w:t>
      </w:r>
    </w:p>
    <w:p>
      <w:pPr>
        <w:pStyle w:val="BodyText"/>
        <w:spacing w:line="276" w:lineRule="auto" w:before="299"/>
        <w:ind w:left="477"/>
      </w:pPr>
      <w:r>
        <w:rPr/>
        <w:t>Mix</w:t>
      </w:r>
      <w:r>
        <w:rPr>
          <w:spacing w:val="-12"/>
        </w:rPr>
        <w:t> </w:t>
      </w:r>
      <w:r>
        <w:rPr/>
        <w:t>10</w:t>
      </w:r>
      <w:r>
        <w:rPr>
          <w:spacing w:val="-10"/>
        </w:rPr>
        <w:t> </w:t>
      </w:r>
      <w:r>
        <w:rPr/>
        <w:t>drops</w:t>
      </w:r>
      <w:r>
        <w:rPr>
          <w:spacing w:val="-10"/>
        </w:rPr>
        <w:t> </w:t>
      </w:r>
      <w:r>
        <w:rPr/>
        <w:t>of</w:t>
      </w:r>
      <w:r>
        <w:rPr>
          <w:spacing w:val="-10"/>
        </w:rPr>
        <w:t> </w:t>
      </w:r>
      <w:r>
        <w:rPr/>
        <w:t>grapefruit</w:t>
      </w:r>
      <w:r>
        <w:rPr>
          <w:spacing w:val="-11"/>
        </w:rPr>
        <w:t> </w:t>
      </w:r>
      <w:r>
        <w:rPr/>
        <w:t>seed</w:t>
      </w:r>
      <w:r>
        <w:rPr>
          <w:spacing w:val="-11"/>
        </w:rPr>
        <w:t> </w:t>
      </w:r>
      <w:r>
        <w:rPr/>
        <w:t>extract</w:t>
      </w:r>
      <w:r>
        <w:rPr>
          <w:spacing w:val="-11"/>
        </w:rPr>
        <w:t> </w:t>
      </w:r>
      <w:r>
        <w:rPr/>
        <w:t>in</w:t>
      </w:r>
      <w:r>
        <w:rPr>
          <w:spacing w:val="-11"/>
        </w:rPr>
        <w:t> </w:t>
      </w:r>
      <w:r>
        <w:rPr/>
        <w:t>an</w:t>
      </w:r>
      <w:r>
        <w:rPr>
          <w:spacing w:val="-10"/>
        </w:rPr>
        <w:t> </w:t>
      </w:r>
      <w:r>
        <w:rPr/>
        <w:t>egg</w:t>
      </w:r>
      <w:r>
        <w:rPr>
          <w:spacing w:val="-2"/>
        </w:rPr>
        <w:t> </w:t>
      </w:r>
      <w:r>
        <w:rPr/>
        <w:t>cup</w:t>
      </w:r>
      <w:r>
        <w:rPr>
          <w:spacing w:val="-10"/>
        </w:rPr>
        <w:t> </w:t>
      </w:r>
      <w:r>
        <w:rPr/>
        <w:t>full</w:t>
      </w:r>
      <w:r>
        <w:rPr>
          <w:spacing w:val="-10"/>
        </w:rPr>
        <w:t> </w:t>
      </w:r>
      <w:r>
        <w:rPr/>
        <w:t>of</w:t>
      </w:r>
      <w:r>
        <w:rPr>
          <w:spacing w:val="-10"/>
        </w:rPr>
        <w:t> </w:t>
      </w:r>
      <w:r>
        <w:rPr/>
        <w:t>oil</w:t>
      </w:r>
      <w:r>
        <w:rPr>
          <w:spacing w:val="-11"/>
        </w:rPr>
        <w:t> </w:t>
      </w:r>
      <w:r>
        <w:rPr/>
        <w:t>and</w:t>
      </w:r>
      <w:r>
        <w:rPr>
          <w:spacing w:val="-11"/>
        </w:rPr>
        <w:t> </w:t>
      </w:r>
      <w:r>
        <w:rPr/>
        <w:t>apply</w:t>
      </w:r>
      <w:r>
        <w:rPr>
          <w:spacing w:val="-11"/>
        </w:rPr>
        <w:t> </w:t>
      </w:r>
      <w:r>
        <w:rPr/>
        <w:t>to</w:t>
      </w:r>
      <w:r>
        <w:rPr>
          <w:spacing w:val="-10"/>
        </w:rPr>
        <w:t> </w:t>
      </w:r>
      <w:r>
        <w:rPr/>
        <w:t>the affected area 2-3 times a</w:t>
      </w:r>
      <w:r>
        <w:rPr>
          <w:spacing w:val="1"/>
        </w:rPr>
        <w:t> </w:t>
      </w:r>
      <w:r>
        <w:rPr/>
        <w:t>day.</w:t>
      </w:r>
    </w:p>
    <w:p>
      <w:pPr>
        <w:pStyle w:val="Heading1"/>
        <w:spacing w:before="222"/>
      </w:pPr>
      <w:r>
        <w:rPr/>
        <w:t>Grapefruit seed extract against skin</w:t>
      </w:r>
      <w:r>
        <w:rPr>
          <w:spacing w:val="-64"/>
        </w:rPr>
        <w:t> </w:t>
      </w:r>
      <w:r>
        <w:rPr/>
        <w:t>abrasions</w:t>
      </w:r>
    </w:p>
    <w:p>
      <w:pPr>
        <w:pStyle w:val="BodyText"/>
        <w:spacing w:before="299"/>
        <w:ind w:left="477"/>
      </w:pPr>
      <w:r>
        <w:rPr/>
        <w:t>For disinfection, dilute a few drops with water and apply to the wound.</w:t>
      </w:r>
    </w:p>
    <w:p>
      <w:pPr>
        <w:pStyle w:val="Heading1"/>
        <w:spacing w:before="287"/>
      </w:pPr>
      <w:r>
        <w:rPr/>
        <w:t>Grapefruit seed extract against eczema</w:t>
      </w:r>
    </w:p>
    <w:p>
      <w:pPr>
        <w:pStyle w:val="BodyText"/>
        <w:spacing w:line="276" w:lineRule="auto" w:before="300"/>
        <w:ind w:left="477"/>
      </w:pPr>
      <w:r>
        <w:rPr/>
        <w:t>Eczema is mostly based on hormonal or metabolic disorders or allergic reac- tions. Apply grapefruit seed oil 2-3 times a day and allow to work.</w:t>
      </w:r>
    </w:p>
    <w:p>
      <w:pPr>
        <w:pStyle w:val="Heading1"/>
      </w:pPr>
      <w:r>
        <w:rPr/>
        <w:t>Grapefruit seed extract against rashes and itching</w:t>
      </w:r>
    </w:p>
    <w:p>
      <w:pPr>
        <w:pStyle w:val="BodyText"/>
        <w:spacing w:line="276" w:lineRule="auto" w:before="296"/>
        <w:ind w:left="477"/>
      </w:pPr>
      <w:r>
        <w:rPr/>
        <w:t>Rub the affected areas 2-3 times a day with grapefruit seed oil or grapefruit cream.</w:t>
      </w:r>
    </w:p>
    <w:p>
      <w:pPr>
        <w:pStyle w:val="Heading1"/>
      </w:pPr>
      <w:r>
        <w:rPr/>
        <w:t>Grapefruit seed extract against bite</w:t>
      </w:r>
      <w:r>
        <w:rPr>
          <w:spacing w:val="-60"/>
        </w:rPr>
        <w:t> </w:t>
      </w:r>
      <w:r>
        <w:rPr/>
        <w:t>injuries</w:t>
      </w:r>
    </w:p>
    <w:p>
      <w:pPr>
        <w:pStyle w:val="BodyText"/>
        <w:spacing w:line="276" w:lineRule="auto" w:before="299"/>
        <w:ind w:left="477" w:right="131"/>
        <w:jc w:val="both"/>
      </w:pPr>
      <w:r>
        <w:rPr/>
        <w:t>Grapefruit</w:t>
      </w:r>
      <w:r>
        <w:rPr>
          <w:spacing w:val="-17"/>
        </w:rPr>
        <w:t> </w:t>
      </w:r>
      <w:r>
        <w:rPr/>
        <w:t>seed</w:t>
      </w:r>
      <w:r>
        <w:rPr>
          <w:spacing w:val="-13"/>
        </w:rPr>
        <w:t> </w:t>
      </w:r>
      <w:r>
        <w:rPr/>
        <w:t>extract</w:t>
      </w:r>
      <w:r>
        <w:rPr>
          <w:spacing w:val="-16"/>
        </w:rPr>
        <w:t> </w:t>
      </w:r>
      <w:r>
        <w:rPr/>
        <w:t>is</w:t>
      </w:r>
      <w:r>
        <w:rPr>
          <w:spacing w:val="-16"/>
        </w:rPr>
        <w:t> </w:t>
      </w:r>
      <w:r>
        <w:rPr/>
        <w:t>suitable</w:t>
      </w:r>
      <w:r>
        <w:rPr>
          <w:spacing w:val="-16"/>
        </w:rPr>
        <w:t> </w:t>
      </w:r>
      <w:r>
        <w:rPr/>
        <w:t>for</w:t>
      </w:r>
      <w:r>
        <w:rPr>
          <w:spacing w:val="-14"/>
        </w:rPr>
        <w:t> </w:t>
      </w:r>
      <w:r>
        <w:rPr/>
        <w:t>the</w:t>
      </w:r>
      <w:r>
        <w:rPr>
          <w:spacing w:val="-14"/>
        </w:rPr>
        <w:t> </w:t>
      </w:r>
      <w:r>
        <w:rPr/>
        <w:t>sterilisation</w:t>
      </w:r>
      <w:r>
        <w:rPr>
          <w:spacing w:val="-15"/>
        </w:rPr>
        <w:t> </w:t>
      </w:r>
      <w:r>
        <w:rPr/>
        <w:t>of</w:t>
      </w:r>
      <w:r>
        <w:rPr>
          <w:spacing w:val="-16"/>
        </w:rPr>
        <w:t> </w:t>
      </w:r>
      <w:r>
        <w:rPr/>
        <w:t>animal</w:t>
      </w:r>
      <w:r>
        <w:rPr>
          <w:spacing w:val="-16"/>
        </w:rPr>
        <w:t> </w:t>
      </w:r>
      <w:r>
        <w:rPr/>
        <w:t>bites;</w:t>
      </w:r>
      <w:r>
        <w:rPr>
          <w:spacing w:val="-15"/>
        </w:rPr>
        <w:t> </w:t>
      </w:r>
      <w:r>
        <w:rPr/>
        <w:t>in</w:t>
      </w:r>
      <w:r>
        <w:rPr>
          <w:spacing w:val="-15"/>
        </w:rPr>
        <w:t> </w:t>
      </w:r>
      <w:r>
        <w:rPr/>
        <w:t>the</w:t>
      </w:r>
      <w:r>
        <w:rPr>
          <w:spacing w:val="-15"/>
        </w:rPr>
        <w:t> </w:t>
      </w:r>
      <w:r>
        <w:rPr/>
        <w:t>first three days, you should drip some grapefruit seed extract diluted with water in</w:t>
      </w:r>
      <w:r>
        <w:rPr>
          <w:spacing w:val="-39"/>
        </w:rPr>
        <w:t> </w:t>
      </w:r>
      <w:r>
        <w:rPr/>
        <w:t>a 1:1 ration onto the wound every</w:t>
      </w:r>
      <w:r>
        <w:rPr>
          <w:spacing w:val="2"/>
        </w:rPr>
        <w:t> </w:t>
      </w:r>
      <w:r>
        <w:rPr/>
        <w:t>day.</w:t>
      </w:r>
    </w:p>
    <w:p>
      <w:pPr>
        <w:pStyle w:val="Heading1"/>
        <w:spacing w:before="225"/>
      </w:pPr>
      <w:r>
        <w:rPr/>
        <w:t>Grapefruit seed extract against insect</w:t>
      </w:r>
      <w:r>
        <w:rPr>
          <w:spacing w:val="-59"/>
        </w:rPr>
        <w:t> </w:t>
      </w:r>
      <w:r>
        <w:rPr/>
        <w:t>bites</w:t>
      </w:r>
    </w:p>
    <w:p>
      <w:pPr>
        <w:spacing w:after="0"/>
        <w:sectPr>
          <w:footerReference w:type="default" r:id="rId140"/>
          <w:pgSz w:w="14270" w:h="16850"/>
          <w:pgMar w:footer="1891" w:header="0" w:top="1600" w:bottom="2080" w:left="800" w:right="1280"/>
          <w:pgNumType w:start="560"/>
        </w:sectPr>
      </w:pPr>
    </w:p>
    <w:p>
      <w:pPr>
        <w:pStyle w:val="BodyText"/>
        <w:spacing w:line="276" w:lineRule="auto" w:before="181"/>
        <w:ind w:left="477" w:right="142"/>
        <w:jc w:val="both"/>
      </w:pPr>
      <w:r>
        <w:rPr/>
        <w:t>Wasp stings, bee stings or mosquito bites have one thing in common: they are painful and can transmit infections and cause allergic reactions. Dilute grape- fruit seed extract with a little water and rub on the affected area several times a day.</w:t>
      </w:r>
    </w:p>
    <w:p>
      <w:pPr>
        <w:pStyle w:val="Heading1"/>
        <w:spacing w:before="225"/>
      </w:pPr>
      <w:r>
        <w:rPr/>
        <w:t>Grapefruit seed extract against herpes</w:t>
      </w:r>
    </w:p>
    <w:p>
      <w:pPr>
        <w:pStyle w:val="BodyText"/>
        <w:spacing w:line="276" w:lineRule="auto" w:before="297"/>
        <w:ind w:left="477"/>
      </w:pPr>
      <w:r>
        <w:rPr/>
        <w:t>Herpes</w:t>
      </w:r>
      <w:r>
        <w:rPr>
          <w:spacing w:val="-14"/>
        </w:rPr>
        <w:t> </w:t>
      </w:r>
      <w:r>
        <w:rPr/>
        <w:t>is</w:t>
      </w:r>
      <w:r>
        <w:rPr>
          <w:spacing w:val="-14"/>
        </w:rPr>
        <w:t> </w:t>
      </w:r>
      <w:r>
        <w:rPr/>
        <w:t>caused</w:t>
      </w:r>
      <w:r>
        <w:rPr>
          <w:spacing w:val="-16"/>
        </w:rPr>
        <w:t> </w:t>
      </w:r>
      <w:r>
        <w:rPr/>
        <w:t>by</w:t>
      </w:r>
      <w:r>
        <w:rPr>
          <w:spacing w:val="-15"/>
        </w:rPr>
        <w:t> </w:t>
      </w:r>
      <w:r>
        <w:rPr/>
        <w:t>viruses</w:t>
      </w:r>
      <w:r>
        <w:rPr>
          <w:spacing w:val="-13"/>
        </w:rPr>
        <w:t> </w:t>
      </w:r>
      <w:r>
        <w:rPr/>
        <w:t>and</w:t>
      </w:r>
      <w:r>
        <w:rPr>
          <w:spacing w:val="-15"/>
        </w:rPr>
        <w:t> </w:t>
      </w:r>
      <w:r>
        <w:rPr/>
        <w:t>is</w:t>
      </w:r>
      <w:r>
        <w:rPr>
          <w:spacing w:val="-13"/>
        </w:rPr>
        <w:t> </w:t>
      </w:r>
      <w:r>
        <w:rPr/>
        <w:t>thus</w:t>
      </w:r>
      <w:r>
        <w:rPr>
          <w:spacing w:val="-14"/>
        </w:rPr>
        <w:t> </w:t>
      </w:r>
      <w:r>
        <w:rPr/>
        <w:t>predestined</w:t>
      </w:r>
      <w:r>
        <w:rPr>
          <w:spacing w:val="-15"/>
        </w:rPr>
        <w:t> </w:t>
      </w:r>
      <w:r>
        <w:rPr/>
        <w:t>to</w:t>
      </w:r>
      <w:r>
        <w:rPr>
          <w:spacing w:val="-14"/>
        </w:rPr>
        <w:t> </w:t>
      </w:r>
      <w:r>
        <w:rPr/>
        <w:t>be</w:t>
      </w:r>
      <w:r>
        <w:rPr>
          <w:spacing w:val="-14"/>
        </w:rPr>
        <w:t> </w:t>
      </w:r>
      <w:r>
        <w:rPr/>
        <w:t>treated</w:t>
      </w:r>
      <w:r>
        <w:rPr>
          <w:spacing w:val="-16"/>
        </w:rPr>
        <w:t> </w:t>
      </w:r>
      <w:r>
        <w:rPr/>
        <w:t>with</w:t>
      </w:r>
      <w:r>
        <w:rPr>
          <w:spacing w:val="-14"/>
        </w:rPr>
        <w:t> </w:t>
      </w:r>
      <w:r>
        <w:rPr/>
        <w:t>grapefruit seed</w:t>
      </w:r>
      <w:r>
        <w:rPr>
          <w:spacing w:val="-1"/>
        </w:rPr>
        <w:t> </w:t>
      </w:r>
      <w:r>
        <w:rPr/>
        <w:t>extract.</w:t>
      </w:r>
    </w:p>
    <w:p>
      <w:pPr>
        <w:pStyle w:val="BodyText"/>
        <w:rPr>
          <w:sz w:val="42"/>
        </w:rPr>
      </w:pPr>
    </w:p>
    <w:p>
      <w:pPr>
        <w:pStyle w:val="BodyText"/>
        <w:spacing w:before="10"/>
        <w:rPr>
          <w:sz w:val="42"/>
        </w:rPr>
      </w:pPr>
    </w:p>
    <w:p>
      <w:pPr>
        <w:pStyle w:val="Heading1"/>
        <w:spacing w:before="1"/>
        <w:jc w:val="both"/>
      </w:pPr>
      <w:r>
        <w:rPr/>
        <w:t>Grapefruit seed extract and its effect on cold sores</w:t>
      </w:r>
    </w:p>
    <w:p>
      <w:pPr>
        <w:pStyle w:val="BodyText"/>
        <w:spacing w:before="299"/>
        <w:ind w:left="477"/>
        <w:jc w:val="both"/>
      </w:pPr>
      <w:r>
        <w:rPr/>
        <w:t>Rub the affected area several times a day with grapefruit cream</w:t>
      </w:r>
    </w:p>
    <w:p>
      <w:pPr>
        <w:pStyle w:val="Heading1"/>
        <w:spacing w:before="287"/>
        <w:jc w:val="both"/>
      </w:pPr>
      <w:r>
        <w:rPr/>
        <w:t>Grapefruit seed extract and its effect on genital herpes</w:t>
      </w:r>
    </w:p>
    <w:p>
      <w:pPr>
        <w:pStyle w:val="BodyText"/>
        <w:spacing w:before="297"/>
        <w:ind w:left="477"/>
        <w:jc w:val="both"/>
      </w:pPr>
      <w:r>
        <w:rPr/>
        <w:t>Here, rinsing baths and rinses with grapefruit seed extract are recommended</w:t>
      </w:r>
    </w:p>
    <w:p>
      <w:pPr>
        <w:pStyle w:val="Heading1"/>
        <w:spacing w:before="288"/>
        <w:jc w:val="both"/>
      </w:pPr>
      <w:r>
        <w:rPr>
          <w:w w:val="95"/>
        </w:rPr>
        <w:t>Grapefruit seed extract against</w:t>
      </w:r>
      <w:r>
        <w:rPr>
          <w:spacing w:val="-13"/>
          <w:w w:val="95"/>
        </w:rPr>
        <w:t> </w:t>
      </w:r>
      <w:r>
        <w:rPr>
          <w:w w:val="95"/>
        </w:rPr>
        <w:t>lice</w:t>
      </w:r>
    </w:p>
    <w:p>
      <w:pPr>
        <w:pStyle w:val="BodyText"/>
        <w:spacing w:line="276" w:lineRule="auto" w:before="299"/>
        <w:ind w:left="477"/>
      </w:pPr>
      <w:r>
        <w:rPr/>
        <w:t>Grapefruit</w:t>
      </w:r>
      <w:r>
        <w:rPr>
          <w:spacing w:val="-15"/>
        </w:rPr>
        <w:t> </w:t>
      </w:r>
      <w:r>
        <w:rPr/>
        <w:t>seed</w:t>
      </w:r>
      <w:r>
        <w:rPr>
          <w:spacing w:val="-17"/>
        </w:rPr>
        <w:t> </w:t>
      </w:r>
      <w:r>
        <w:rPr/>
        <w:t>extract</w:t>
      </w:r>
      <w:r>
        <w:rPr>
          <w:spacing w:val="-15"/>
        </w:rPr>
        <w:t> </w:t>
      </w:r>
      <w:r>
        <w:rPr/>
        <w:t>literally</w:t>
      </w:r>
      <w:r>
        <w:rPr>
          <w:spacing w:val="-15"/>
        </w:rPr>
        <w:t> </w:t>
      </w:r>
      <w:r>
        <w:rPr/>
        <w:t>tackles</w:t>
      </w:r>
      <w:r>
        <w:rPr>
          <w:spacing w:val="-14"/>
        </w:rPr>
        <w:t> </w:t>
      </w:r>
      <w:r>
        <w:rPr/>
        <w:t>the</w:t>
      </w:r>
      <w:r>
        <w:rPr>
          <w:spacing w:val="-14"/>
        </w:rPr>
        <w:t> </w:t>
      </w:r>
      <w:r>
        <w:rPr/>
        <w:t>lice</w:t>
      </w:r>
      <w:r>
        <w:rPr>
          <w:spacing w:val="-17"/>
        </w:rPr>
        <w:t> </w:t>
      </w:r>
      <w:r>
        <w:rPr/>
        <w:t>problem</w:t>
      </w:r>
      <w:r>
        <w:rPr>
          <w:spacing w:val="-14"/>
        </w:rPr>
        <w:t> </w:t>
      </w:r>
      <w:r>
        <w:rPr/>
        <w:t>at</w:t>
      </w:r>
      <w:r>
        <w:rPr>
          <w:spacing w:val="-16"/>
        </w:rPr>
        <w:t> </w:t>
      </w:r>
      <w:r>
        <w:rPr/>
        <w:t>the</w:t>
      </w:r>
      <w:r>
        <w:rPr>
          <w:spacing w:val="-16"/>
        </w:rPr>
        <w:t> </w:t>
      </w:r>
      <w:r>
        <w:rPr/>
        <w:t>root</w:t>
      </w:r>
      <w:r>
        <w:rPr>
          <w:spacing w:val="-15"/>
        </w:rPr>
        <w:t> </w:t>
      </w:r>
      <w:r>
        <w:rPr/>
        <w:t>by</w:t>
      </w:r>
      <w:r>
        <w:rPr>
          <w:spacing w:val="-16"/>
        </w:rPr>
        <w:t> </w:t>
      </w:r>
      <w:r>
        <w:rPr/>
        <w:t>killing</w:t>
      </w:r>
      <w:r>
        <w:rPr>
          <w:spacing w:val="-15"/>
        </w:rPr>
        <w:t> </w:t>
      </w:r>
      <w:r>
        <w:rPr/>
        <w:t>the head lice and removing their laid</w:t>
      </w:r>
      <w:r>
        <w:rPr>
          <w:spacing w:val="1"/>
        </w:rPr>
        <w:t> </w:t>
      </w:r>
      <w:r>
        <w:rPr/>
        <w:t>eggs.</w:t>
      </w:r>
    </w:p>
    <w:p>
      <w:pPr>
        <w:pStyle w:val="BodyText"/>
        <w:spacing w:line="276" w:lineRule="auto" w:before="241"/>
        <w:ind w:left="477" w:right="137"/>
        <w:jc w:val="both"/>
      </w:pPr>
      <w:r>
        <w:rPr/>
        <w:t>Approximately 30-50 drops of grapefruit seed extract should be mixed with 50 ml of natural shampoo and massaged in thoroughly; leave for about half an hour and then rinse.</w:t>
      </w:r>
    </w:p>
    <w:p>
      <w:pPr>
        <w:spacing w:after="0" w:line="276" w:lineRule="auto"/>
        <w:jc w:val="both"/>
        <w:sectPr>
          <w:pgSz w:w="14270" w:h="16850"/>
          <w:pgMar w:header="0" w:footer="1891" w:top="1600" w:bottom="2080" w:left="800" w:right="1280"/>
        </w:sectPr>
      </w:pPr>
    </w:p>
    <w:p>
      <w:pPr>
        <w:pStyle w:val="Heading1"/>
        <w:spacing w:before="164"/>
      </w:pPr>
      <w:r>
        <w:rPr/>
        <w:t>Grapefruit seed extract and its effect on dandruff</w:t>
      </w:r>
    </w:p>
    <w:p>
      <w:pPr>
        <w:pStyle w:val="BodyText"/>
        <w:spacing w:line="276" w:lineRule="auto" w:before="299"/>
        <w:ind w:left="477" w:right="141"/>
        <w:jc w:val="both"/>
      </w:pPr>
      <w:r>
        <w:rPr/>
        <w:t>The reasons for dandruff can be manifold; often, it is a fungal and bacterial attack that leads to dandruff.</w:t>
      </w:r>
    </w:p>
    <w:p>
      <w:pPr>
        <w:pStyle w:val="BodyText"/>
        <w:spacing w:line="276" w:lineRule="auto" w:before="241"/>
        <w:ind w:left="477" w:right="136"/>
        <w:jc w:val="both"/>
      </w:pPr>
      <w:r>
        <w:rPr/>
        <w:t>Mix about 30-50 drops of grapefruit seed extract with 50 ml of natural sham- poo, apply to the scalp, massage in and allow to react for a few minutes before rinsing thoroughly.</w:t>
      </w:r>
    </w:p>
    <w:p>
      <w:pPr>
        <w:pStyle w:val="BodyText"/>
        <w:rPr>
          <w:sz w:val="42"/>
        </w:rPr>
      </w:pPr>
    </w:p>
    <w:p>
      <w:pPr>
        <w:pStyle w:val="BodyText"/>
        <w:spacing w:before="9"/>
        <w:rPr>
          <w:sz w:val="42"/>
        </w:rPr>
      </w:pPr>
    </w:p>
    <w:p>
      <w:pPr>
        <w:pStyle w:val="Heading1"/>
        <w:spacing w:before="0"/>
      </w:pPr>
      <w:r>
        <w:rPr/>
        <w:t>Grapefruit seed extract and its effect on shingles</w:t>
      </w:r>
    </w:p>
    <w:p>
      <w:pPr>
        <w:pStyle w:val="BodyText"/>
        <w:spacing w:line="276" w:lineRule="auto" w:before="299"/>
        <w:ind w:left="477" w:right="137"/>
        <w:jc w:val="both"/>
      </w:pPr>
      <w:r>
        <w:rPr/>
        <w:t>Apply grapefruit seed oil several times daily to the affected area. Internally, the healing</w:t>
      </w:r>
      <w:r>
        <w:rPr>
          <w:spacing w:val="-6"/>
        </w:rPr>
        <w:t> </w:t>
      </w:r>
      <w:r>
        <w:rPr/>
        <w:t>process</w:t>
      </w:r>
      <w:r>
        <w:rPr>
          <w:spacing w:val="-8"/>
        </w:rPr>
        <w:t> </w:t>
      </w:r>
      <w:r>
        <w:rPr/>
        <w:t>can</w:t>
      </w:r>
      <w:r>
        <w:rPr>
          <w:spacing w:val="-5"/>
        </w:rPr>
        <w:t> </w:t>
      </w:r>
      <w:r>
        <w:rPr/>
        <w:t>be</w:t>
      </w:r>
      <w:r>
        <w:rPr>
          <w:spacing w:val="-6"/>
        </w:rPr>
        <w:t> </w:t>
      </w:r>
      <w:r>
        <w:rPr/>
        <w:t>assisted</w:t>
      </w:r>
      <w:r>
        <w:rPr>
          <w:spacing w:val="-7"/>
        </w:rPr>
        <w:t> </w:t>
      </w:r>
      <w:r>
        <w:rPr/>
        <w:t>by</w:t>
      </w:r>
      <w:r>
        <w:rPr>
          <w:spacing w:val="-5"/>
        </w:rPr>
        <w:t> </w:t>
      </w:r>
      <w:r>
        <w:rPr/>
        <w:t>diluting</w:t>
      </w:r>
      <w:r>
        <w:rPr>
          <w:spacing w:val="-6"/>
        </w:rPr>
        <w:t> </w:t>
      </w:r>
      <w:r>
        <w:rPr/>
        <w:t>5-15</w:t>
      </w:r>
      <w:r>
        <w:rPr>
          <w:spacing w:val="-4"/>
        </w:rPr>
        <w:t> </w:t>
      </w:r>
      <w:r>
        <w:rPr/>
        <w:t>drops</w:t>
      </w:r>
      <w:r>
        <w:rPr>
          <w:spacing w:val="-6"/>
        </w:rPr>
        <w:t> </w:t>
      </w:r>
      <w:r>
        <w:rPr/>
        <w:t>of</w:t>
      </w:r>
      <w:r>
        <w:rPr>
          <w:spacing w:val="-7"/>
        </w:rPr>
        <w:t> </w:t>
      </w:r>
      <w:r>
        <w:rPr/>
        <w:t>grapefruit</w:t>
      </w:r>
      <w:r>
        <w:rPr>
          <w:spacing w:val="-7"/>
        </w:rPr>
        <w:t> </w:t>
      </w:r>
      <w:r>
        <w:rPr/>
        <w:t>seed</w:t>
      </w:r>
      <w:r>
        <w:rPr>
          <w:spacing w:val="-7"/>
        </w:rPr>
        <w:t> </w:t>
      </w:r>
      <w:r>
        <w:rPr/>
        <w:t>oil</w:t>
      </w:r>
      <w:r>
        <w:rPr>
          <w:spacing w:val="-6"/>
        </w:rPr>
        <w:t> </w:t>
      </w:r>
      <w:r>
        <w:rPr/>
        <w:t>in</w:t>
      </w:r>
      <w:r>
        <w:rPr>
          <w:spacing w:val="-7"/>
        </w:rPr>
        <w:t> </w:t>
      </w:r>
      <w:r>
        <w:rPr/>
        <w:t>a glass of water and drinking this solution 2-3 times a</w:t>
      </w:r>
      <w:r>
        <w:rPr>
          <w:spacing w:val="1"/>
        </w:rPr>
        <w:t> </w:t>
      </w:r>
      <w:r>
        <w:rPr/>
        <w:t>day.</w:t>
      </w:r>
    </w:p>
    <w:p>
      <w:pPr>
        <w:pStyle w:val="Heading1"/>
        <w:spacing w:before="222"/>
      </w:pPr>
      <w:r>
        <w:rPr/>
        <w:t>Grapefruit seed extract against athlete's</w:t>
      </w:r>
      <w:r>
        <w:rPr>
          <w:spacing w:val="-62"/>
        </w:rPr>
        <w:t> </w:t>
      </w:r>
      <w:r>
        <w:rPr/>
        <w:t>foot</w:t>
      </w:r>
    </w:p>
    <w:p>
      <w:pPr>
        <w:pStyle w:val="BodyText"/>
        <w:spacing w:line="276" w:lineRule="auto" w:before="300"/>
        <w:ind w:left="477" w:right="137"/>
        <w:jc w:val="both"/>
      </w:pPr>
      <w:r>
        <w:rPr/>
        <w:t>Athlete's foot really prospers and thrives in a damp, warm, dark environment; the feet offer the ideal conditions for it. Due to its fungicidal effect, grapefruit seed extract is therefore ideal for external use against athlete's foot.</w:t>
      </w:r>
    </w:p>
    <w:p>
      <w:pPr>
        <w:pStyle w:val="BodyText"/>
        <w:spacing w:line="276" w:lineRule="auto" w:before="241"/>
        <w:ind w:left="477" w:right="137"/>
        <w:jc w:val="both"/>
      </w:pPr>
      <w:r>
        <w:rPr/>
        <w:t>Mix</w:t>
      </w:r>
      <w:r>
        <w:rPr>
          <w:spacing w:val="-13"/>
        </w:rPr>
        <w:t> </w:t>
      </w:r>
      <w:r>
        <w:rPr/>
        <w:t>100</w:t>
      </w:r>
      <w:r>
        <w:rPr>
          <w:spacing w:val="-9"/>
        </w:rPr>
        <w:t> </w:t>
      </w:r>
      <w:r>
        <w:rPr/>
        <w:t>ml</w:t>
      </w:r>
      <w:r>
        <w:rPr>
          <w:spacing w:val="-11"/>
        </w:rPr>
        <w:t> </w:t>
      </w:r>
      <w:r>
        <w:rPr/>
        <w:t>of</w:t>
      </w:r>
      <w:r>
        <w:rPr>
          <w:spacing w:val="-10"/>
        </w:rPr>
        <w:t> </w:t>
      </w:r>
      <w:r>
        <w:rPr/>
        <w:t>alcohol</w:t>
      </w:r>
      <w:r>
        <w:rPr>
          <w:spacing w:val="-11"/>
        </w:rPr>
        <w:t> </w:t>
      </w:r>
      <w:r>
        <w:rPr/>
        <w:t>with</w:t>
      </w:r>
      <w:r>
        <w:rPr>
          <w:spacing w:val="-10"/>
        </w:rPr>
        <w:t> </w:t>
      </w:r>
      <w:r>
        <w:rPr/>
        <w:t>60-80</w:t>
      </w:r>
      <w:r>
        <w:rPr>
          <w:spacing w:val="-11"/>
        </w:rPr>
        <w:t> </w:t>
      </w:r>
      <w:r>
        <w:rPr/>
        <w:t>drops</w:t>
      </w:r>
      <w:r>
        <w:rPr>
          <w:spacing w:val="-10"/>
        </w:rPr>
        <w:t> </w:t>
      </w:r>
      <w:r>
        <w:rPr/>
        <w:t>of</w:t>
      </w:r>
      <w:r>
        <w:rPr>
          <w:spacing w:val="-10"/>
        </w:rPr>
        <w:t> </w:t>
      </w:r>
      <w:r>
        <w:rPr/>
        <w:t>grapefruit</w:t>
      </w:r>
      <w:r>
        <w:rPr>
          <w:spacing w:val="-12"/>
        </w:rPr>
        <w:t> </w:t>
      </w:r>
      <w:r>
        <w:rPr/>
        <w:t>seed</w:t>
      </w:r>
      <w:r>
        <w:rPr>
          <w:spacing w:val="-11"/>
        </w:rPr>
        <w:t> </w:t>
      </w:r>
      <w:r>
        <w:rPr/>
        <w:t>extract</w:t>
      </w:r>
      <w:r>
        <w:rPr>
          <w:spacing w:val="-10"/>
        </w:rPr>
        <w:t> </w:t>
      </w:r>
      <w:r>
        <w:rPr/>
        <w:t>and</w:t>
      </w:r>
      <w:r>
        <w:rPr>
          <w:spacing w:val="-10"/>
        </w:rPr>
        <w:t> </w:t>
      </w:r>
      <w:r>
        <w:rPr/>
        <w:t>dab</w:t>
      </w:r>
      <w:r>
        <w:rPr>
          <w:spacing w:val="-10"/>
        </w:rPr>
        <w:t> </w:t>
      </w:r>
      <w:r>
        <w:rPr/>
        <w:t>onto the fungus twice</w:t>
      </w:r>
      <w:r>
        <w:rPr>
          <w:spacing w:val="4"/>
        </w:rPr>
        <w:t> </w:t>
      </w:r>
      <w:r>
        <w:rPr/>
        <w:t>daily.</w:t>
      </w:r>
    </w:p>
    <w:p>
      <w:pPr>
        <w:pStyle w:val="Heading1"/>
        <w:jc w:val="both"/>
      </w:pPr>
      <w:r>
        <w:rPr/>
        <w:t>Grapefruit seed extract against nail</w:t>
      </w:r>
      <w:r>
        <w:rPr>
          <w:spacing w:val="-59"/>
        </w:rPr>
        <w:t> </w:t>
      </w:r>
      <w:r>
        <w:rPr/>
        <w:t>fungus</w:t>
      </w:r>
    </w:p>
    <w:p>
      <w:pPr>
        <w:spacing w:after="0"/>
        <w:jc w:val="both"/>
        <w:sectPr>
          <w:pgSz w:w="14270" w:h="16850"/>
          <w:pgMar w:header="0" w:footer="1891" w:top="1600" w:bottom="2080" w:left="800" w:right="1280"/>
        </w:sectPr>
      </w:pPr>
    </w:p>
    <w:p>
      <w:pPr>
        <w:pStyle w:val="BodyText"/>
        <w:spacing w:line="276" w:lineRule="auto" w:before="181"/>
        <w:ind w:left="477"/>
      </w:pPr>
      <w:r>
        <w:rPr/>
        <w:t>Because of its anti-inflammatory and fungicidal properties, grapefruit seed ex- tract is ideal for treating of nail fungus.</w:t>
      </w:r>
    </w:p>
    <w:p>
      <w:pPr>
        <w:pStyle w:val="BodyText"/>
        <w:spacing w:line="276" w:lineRule="auto" w:before="241"/>
        <w:ind w:left="477"/>
      </w:pPr>
      <w:r>
        <w:rPr/>
        <w:t>Dilute 15-20 drops of grapefruit seed extract in a glass of water and rub the affected areas with the liquid 2-3 times a day.</w:t>
      </w:r>
    </w:p>
    <w:p>
      <w:pPr>
        <w:pStyle w:val="BodyText"/>
        <w:rPr>
          <w:sz w:val="42"/>
        </w:rPr>
      </w:pPr>
    </w:p>
    <w:p>
      <w:pPr>
        <w:pStyle w:val="BodyText"/>
        <w:rPr>
          <w:sz w:val="42"/>
        </w:rPr>
      </w:pPr>
    </w:p>
    <w:p>
      <w:pPr>
        <w:pStyle w:val="BodyText"/>
        <w:rPr>
          <w:sz w:val="42"/>
        </w:rPr>
      </w:pPr>
    </w:p>
    <w:p>
      <w:pPr>
        <w:pStyle w:val="Heading1"/>
        <w:spacing w:before="268"/>
      </w:pPr>
      <w:r>
        <w:rPr/>
        <w:t>Grapefruit seed extract against sunburn</w:t>
      </w:r>
    </w:p>
    <w:p>
      <w:pPr>
        <w:pStyle w:val="BodyText"/>
        <w:spacing w:line="276" w:lineRule="auto" w:before="300"/>
        <w:ind w:left="477"/>
      </w:pPr>
      <w:r>
        <w:rPr/>
        <w:t>Grapefruit seed extract can help relieve sunburn and protect the skin from in- fection. Rub some grapefruit seed oil on the affected areas.</w:t>
      </w:r>
    </w:p>
    <w:p>
      <w:pPr>
        <w:pStyle w:val="Heading1"/>
        <w:spacing w:before="223"/>
      </w:pPr>
      <w:r>
        <w:rPr/>
        <w:t>Grapefruit seed extract and its effect on earache and otitis</w:t>
      </w:r>
    </w:p>
    <w:p>
      <w:pPr>
        <w:pStyle w:val="BodyText"/>
        <w:spacing w:line="276" w:lineRule="auto" w:before="300"/>
        <w:ind w:left="477"/>
      </w:pPr>
      <w:r>
        <w:rPr/>
        <w:t>Earache is very often based on inflammatory processes; here, treatment with grapefruit seed extract can help.</w:t>
      </w:r>
    </w:p>
    <w:p>
      <w:pPr>
        <w:pStyle w:val="BodyText"/>
        <w:spacing w:line="276" w:lineRule="auto" w:before="238"/>
        <w:ind w:left="477"/>
      </w:pPr>
      <w:r>
        <w:rPr/>
        <w:t>Drizzle</w:t>
      </w:r>
      <w:r>
        <w:rPr>
          <w:spacing w:val="-24"/>
        </w:rPr>
        <w:t> </w:t>
      </w:r>
      <w:r>
        <w:rPr/>
        <w:t>10</w:t>
      </w:r>
      <w:r>
        <w:rPr>
          <w:spacing w:val="-23"/>
        </w:rPr>
        <w:t> </w:t>
      </w:r>
      <w:r>
        <w:rPr/>
        <w:t>drops</w:t>
      </w:r>
      <w:r>
        <w:rPr>
          <w:spacing w:val="-26"/>
        </w:rPr>
        <w:t> </w:t>
      </w:r>
      <w:r>
        <w:rPr/>
        <w:t>of</w:t>
      </w:r>
      <w:r>
        <w:rPr>
          <w:spacing w:val="-22"/>
        </w:rPr>
        <w:t> </w:t>
      </w:r>
      <w:r>
        <w:rPr/>
        <w:t>grapefruit</w:t>
      </w:r>
      <w:r>
        <w:rPr>
          <w:spacing w:val="-23"/>
        </w:rPr>
        <w:t> </w:t>
      </w:r>
      <w:r>
        <w:rPr/>
        <w:t>seed</w:t>
      </w:r>
      <w:r>
        <w:rPr>
          <w:spacing w:val="-25"/>
        </w:rPr>
        <w:t> </w:t>
      </w:r>
      <w:r>
        <w:rPr/>
        <w:t>extract</w:t>
      </w:r>
      <w:r>
        <w:rPr>
          <w:spacing w:val="-23"/>
        </w:rPr>
        <w:t> </w:t>
      </w:r>
      <w:r>
        <w:rPr/>
        <w:t>with</w:t>
      </w:r>
      <w:r>
        <w:rPr>
          <w:spacing w:val="-23"/>
        </w:rPr>
        <w:t> </w:t>
      </w:r>
      <w:r>
        <w:rPr/>
        <w:t>organic</w:t>
      </w:r>
      <w:r>
        <w:rPr>
          <w:spacing w:val="-23"/>
        </w:rPr>
        <w:t> </w:t>
      </w:r>
      <w:r>
        <w:rPr/>
        <w:t>jojoba</w:t>
      </w:r>
      <w:r>
        <w:rPr>
          <w:spacing w:val="-23"/>
        </w:rPr>
        <w:t> </w:t>
      </w:r>
      <w:r>
        <w:rPr/>
        <w:t>oil</w:t>
      </w:r>
      <w:r>
        <w:rPr>
          <w:spacing w:val="-24"/>
        </w:rPr>
        <w:t> </w:t>
      </w:r>
      <w:r>
        <w:rPr/>
        <w:t>or</w:t>
      </w:r>
      <w:r>
        <w:rPr>
          <w:spacing w:val="-22"/>
        </w:rPr>
        <w:t> </w:t>
      </w:r>
      <w:r>
        <w:rPr/>
        <w:t>wheat</w:t>
      </w:r>
      <w:r>
        <w:rPr>
          <w:spacing w:val="-24"/>
        </w:rPr>
        <w:t> </w:t>
      </w:r>
      <w:r>
        <w:rPr/>
        <w:t>germ oil</w:t>
      </w:r>
      <w:r>
        <w:rPr>
          <w:spacing w:val="-9"/>
        </w:rPr>
        <w:t> </w:t>
      </w:r>
      <w:r>
        <w:rPr/>
        <w:t>into</w:t>
      </w:r>
      <w:r>
        <w:rPr>
          <w:spacing w:val="-8"/>
        </w:rPr>
        <w:t> </w:t>
      </w:r>
      <w:r>
        <w:rPr/>
        <w:t>the</w:t>
      </w:r>
      <w:r>
        <w:rPr>
          <w:spacing w:val="-6"/>
        </w:rPr>
        <w:t> </w:t>
      </w:r>
      <w:r>
        <w:rPr/>
        <w:t>ear</w:t>
      </w:r>
      <w:r>
        <w:rPr>
          <w:spacing w:val="-8"/>
        </w:rPr>
        <w:t> </w:t>
      </w:r>
      <w:r>
        <w:rPr/>
        <w:t>canal</w:t>
      </w:r>
      <w:r>
        <w:rPr>
          <w:spacing w:val="-8"/>
        </w:rPr>
        <w:t> </w:t>
      </w:r>
      <w:r>
        <w:rPr/>
        <w:t>and</w:t>
      </w:r>
      <w:r>
        <w:rPr>
          <w:spacing w:val="-7"/>
        </w:rPr>
        <w:t> </w:t>
      </w:r>
      <w:r>
        <w:rPr/>
        <w:t>then</w:t>
      </w:r>
      <w:r>
        <w:rPr>
          <w:spacing w:val="-7"/>
        </w:rPr>
        <w:t> </w:t>
      </w:r>
      <w:r>
        <w:rPr/>
        <w:t>close</w:t>
      </w:r>
      <w:r>
        <w:rPr>
          <w:spacing w:val="-8"/>
        </w:rPr>
        <w:t> </w:t>
      </w:r>
      <w:r>
        <w:rPr/>
        <w:t>with</w:t>
      </w:r>
      <w:r>
        <w:rPr>
          <w:spacing w:val="-7"/>
        </w:rPr>
        <w:t> </w:t>
      </w:r>
      <w:r>
        <w:rPr/>
        <w:t>a</w:t>
      </w:r>
      <w:r>
        <w:rPr>
          <w:spacing w:val="-9"/>
        </w:rPr>
        <w:t> </w:t>
      </w:r>
      <w:r>
        <w:rPr/>
        <w:t>little</w:t>
      </w:r>
      <w:r>
        <w:rPr>
          <w:spacing w:val="-9"/>
        </w:rPr>
        <w:t> </w:t>
      </w:r>
      <w:r>
        <w:rPr/>
        <w:t>cotton</w:t>
      </w:r>
      <w:r>
        <w:rPr>
          <w:spacing w:val="-7"/>
        </w:rPr>
        <w:t> </w:t>
      </w:r>
      <w:r>
        <w:rPr/>
        <w:t>wool</w:t>
      </w:r>
      <w:r>
        <w:rPr>
          <w:spacing w:val="-8"/>
        </w:rPr>
        <w:t> </w:t>
      </w:r>
      <w:r>
        <w:rPr/>
        <w:t>to</w:t>
      </w:r>
      <w:r>
        <w:rPr>
          <w:spacing w:val="-8"/>
        </w:rPr>
        <w:t> </w:t>
      </w:r>
      <w:r>
        <w:rPr/>
        <w:t>prevent</w:t>
      </w:r>
      <w:r>
        <w:rPr>
          <w:spacing w:val="-8"/>
        </w:rPr>
        <w:t> </w:t>
      </w:r>
      <w:r>
        <w:rPr/>
        <w:t>leakage.</w:t>
      </w:r>
    </w:p>
    <w:p>
      <w:pPr>
        <w:pStyle w:val="BodyText"/>
        <w:spacing w:before="2"/>
        <w:rPr>
          <w:sz w:val="41"/>
        </w:rPr>
      </w:pPr>
    </w:p>
    <w:p>
      <w:pPr>
        <w:pStyle w:val="Heading1"/>
        <w:spacing w:before="0"/>
      </w:pPr>
      <w:r>
        <w:rPr/>
        <w:t>Grapefruit seed extract and its effect on neurodermitis</w:t>
      </w:r>
    </w:p>
    <w:p>
      <w:pPr>
        <w:pStyle w:val="BodyText"/>
        <w:spacing w:line="276" w:lineRule="auto" w:before="300"/>
        <w:ind w:left="477" w:right="136"/>
        <w:jc w:val="both"/>
      </w:pPr>
      <w:r>
        <w:rPr/>
        <w:t>Neurodermitis is still considered incurable; the reasons for its occurrence may be mental or allergic reactions. Massage the affected areas with grapefruit seed oil twice a day.</w:t>
      </w:r>
    </w:p>
    <w:p>
      <w:pPr>
        <w:spacing w:after="0" w:line="276" w:lineRule="auto"/>
        <w:jc w:val="both"/>
        <w:sectPr>
          <w:pgSz w:w="14270" w:h="16850"/>
          <w:pgMar w:header="0" w:footer="1891" w:top="1600" w:bottom="2080" w:left="800" w:right="1280"/>
        </w:sectPr>
      </w:pPr>
    </w:p>
    <w:p>
      <w:pPr>
        <w:pStyle w:val="Heading1"/>
        <w:spacing w:before="164"/>
      </w:pPr>
      <w:r>
        <w:rPr/>
        <w:t>Grapefruit seed extract against psoriasis</w:t>
      </w:r>
    </w:p>
    <w:p>
      <w:pPr>
        <w:pStyle w:val="BodyText"/>
        <w:spacing w:before="299"/>
        <w:ind w:left="477"/>
      </w:pPr>
      <w:r>
        <w:rPr/>
        <w:t>Massage the affected skin area with grapefruit seed oil twice daily.</w:t>
      </w:r>
    </w:p>
    <w:p>
      <w:pPr>
        <w:pStyle w:val="BodyText"/>
        <w:rPr>
          <w:sz w:val="42"/>
        </w:rPr>
      </w:pPr>
    </w:p>
    <w:p>
      <w:pPr>
        <w:pStyle w:val="BodyText"/>
        <w:rPr>
          <w:sz w:val="42"/>
        </w:rPr>
      </w:pPr>
    </w:p>
    <w:p>
      <w:pPr>
        <w:pStyle w:val="BodyText"/>
        <w:rPr>
          <w:sz w:val="42"/>
        </w:rPr>
      </w:pPr>
    </w:p>
    <w:p>
      <w:pPr>
        <w:pStyle w:val="Heading1"/>
        <w:spacing w:before="334"/>
      </w:pPr>
      <w:r>
        <w:rPr/>
        <w:t>Grapefruit seed extract against bad</w:t>
      </w:r>
      <w:r>
        <w:rPr>
          <w:spacing w:val="-57"/>
        </w:rPr>
        <w:t> </w:t>
      </w:r>
      <w:r>
        <w:rPr/>
        <w:t>breath</w:t>
      </w:r>
    </w:p>
    <w:p>
      <w:pPr>
        <w:pStyle w:val="BodyText"/>
        <w:spacing w:line="276" w:lineRule="auto" w:before="298"/>
        <w:ind w:left="477" w:right="135"/>
        <w:jc w:val="both"/>
      </w:pPr>
      <w:r>
        <w:rPr/>
        <w:t>Bad</w:t>
      </w:r>
      <w:r>
        <w:rPr>
          <w:spacing w:val="-7"/>
        </w:rPr>
        <w:t> </w:t>
      </w:r>
      <w:r>
        <w:rPr/>
        <w:t>breath</w:t>
      </w:r>
      <w:r>
        <w:rPr>
          <w:spacing w:val="-5"/>
        </w:rPr>
        <w:t> </w:t>
      </w:r>
      <w:r>
        <w:rPr/>
        <w:t>is</w:t>
      </w:r>
      <w:r>
        <w:rPr>
          <w:spacing w:val="-6"/>
        </w:rPr>
        <w:t> </w:t>
      </w:r>
      <w:r>
        <w:rPr/>
        <w:t>mostly</w:t>
      </w:r>
      <w:r>
        <w:rPr>
          <w:spacing w:val="-5"/>
        </w:rPr>
        <w:t> </w:t>
      </w:r>
      <w:r>
        <w:rPr/>
        <w:t>due</w:t>
      </w:r>
      <w:r>
        <w:rPr>
          <w:spacing w:val="-7"/>
        </w:rPr>
        <w:t> </w:t>
      </w:r>
      <w:r>
        <w:rPr/>
        <w:t>to</w:t>
      </w:r>
      <w:r>
        <w:rPr>
          <w:spacing w:val="-4"/>
        </w:rPr>
        <w:t> </w:t>
      </w:r>
      <w:r>
        <w:rPr/>
        <w:t>a</w:t>
      </w:r>
      <w:r>
        <w:rPr>
          <w:spacing w:val="-7"/>
        </w:rPr>
        <w:t> </w:t>
      </w:r>
      <w:r>
        <w:rPr/>
        <w:t>bacterial</w:t>
      </w:r>
      <w:r>
        <w:rPr>
          <w:spacing w:val="-6"/>
        </w:rPr>
        <w:t> </w:t>
      </w:r>
      <w:r>
        <w:rPr/>
        <w:t>colonisation</w:t>
      </w:r>
      <w:r>
        <w:rPr>
          <w:spacing w:val="-5"/>
        </w:rPr>
        <w:t> </w:t>
      </w:r>
      <w:r>
        <w:rPr/>
        <w:t>in</w:t>
      </w:r>
      <w:r>
        <w:rPr>
          <w:spacing w:val="-5"/>
        </w:rPr>
        <w:t> </w:t>
      </w:r>
      <w:r>
        <w:rPr/>
        <w:t>the</w:t>
      </w:r>
      <w:r>
        <w:rPr>
          <w:spacing w:val="-5"/>
        </w:rPr>
        <w:t> </w:t>
      </w:r>
      <w:r>
        <w:rPr/>
        <w:t>mouth</w:t>
      </w:r>
      <w:r>
        <w:rPr>
          <w:spacing w:val="-5"/>
        </w:rPr>
        <w:t> </w:t>
      </w:r>
      <w:r>
        <w:rPr/>
        <w:t>and</w:t>
      </w:r>
      <w:r>
        <w:rPr>
          <w:spacing w:val="-6"/>
        </w:rPr>
        <w:t> </w:t>
      </w:r>
      <w:r>
        <w:rPr/>
        <w:t>especially on the tongue. Dissolve approximately 10 drops of grapefruit seed extract in a glass of water and gargle several times a day.</w:t>
      </w:r>
    </w:p>
    <w:p>
      <w:pPr>
        <w:pStyle w:val="Heading1"/>
        <w:spacing w:before="223"/>
      </w:pPr>
      <w:r>
        <w:rPr/>
        <w:t>Grapefruit seed extract and its effect on influenza prevention</w:t>
      </w:r>
    </w:p>
    <w:p>
      <w:pPr>
        <w:pStyle w:val="BodyText"/>
        <w:spacing w:line="276" w:lineRule="auto" w:before="180"/>
        <w:ind w:left="477"/>
      </w:pPr>
      <w:r>
        <w:rPr/>
        <w:t>Those who are prone to infections such as influenza can take 3-5 drops as a precautionary measure; orange juice is the perfect choice here.</w:t>
      </w:r>
    </w:p>
    <w:p>
      <w:pPr>
        <w:pStyle w:val="BodyText"/>
        <w:spacing w:line="276" w:lineRule="auto" w:before="118"/>
        <w:ind w:left="477"/>
      </w:pPr>
      <w:r>
        <w:rPr/>
        <w:t>A</w:t>
      </w:r>
      <w:r>
        <w:rPr>
          <w:spacing w:val="-18"/>
        </w:rPr>
        <w:t> </w:t>
      </w:r>
      <w:r>
        <w:rPr/>
        <w:t>regular</w:t>
      </w:r>
      <w:r>
        <w:rPr>
          <w:spacing w:val="-16"/>
        </w:rPr>
        <w:t> </w:t>
      </w:r>
      <w:r>
        <w:rPr/>
        <w:t>application</w:t>
      </w:r>
      <w:r>
        <w:rPr>
          <w:spacing w:val="-16"/>
        </w:rPr>
        <w:t> </w:t>
      </w:r>
      <w:r>
        <w:rPr/>
        <w:t>of</w:t>
      </w:r>
      <w:r>
        <w:rPr>
          <w:spacing w:val="-16"/>
        </w:rPr>
        <w:t> </w:t>
      </w:r>
      <w:r>
        <w:rPr/>
        <w:t>grapefruit</w:t>
      </w:r>
      <w:r>
        <w:rPr>
          <w:spacing w:val="-17"/>
        </w:rPr>
        <w:t> </w:t>
      </w:r>
      <w:r>
        <w:rPr/>
        <w:t>seed</w:t>
      </w:r>
      <w:r>
        <w:rPr>
          <w:spacing w:val="-17"/>
        </w:rPr>
        <w:t> </w:t>
      </w:r>
      <w:r>
        <w:rPr/>
        <w:t>extract</w:t>
      </w:r>
      <w:r>
        <w:rPr>
          <w:spacing w:val="-17"/>
        </w:rPr>
        <w:t> </w:t>
      </w:r>
      <w:r>
        <w:rPr/>
        <w:t>1-2</w:t>
      </w:r>
      <w:r>
        <w:rPr>
          <w:spacing w:val="-17"/>
        </w:rPr>
        <w:t> </w:t>
      </w:r>
      <w:r>
        <w:rPr/>
        <w:t>times</w:t>
      </w:r>
      <w:r>
        <w:rPr>
          <w:spacing w:val="-16"/>
        </w:rPr>
        <w:t> </w:t>
      </w:r>
      <w:r>
        <w:rPr/>
        <w:t>a</w:t>
      </w:r>
      <w:r>
        <w:rPr>
          <w:spacing w:val="-18"/>
        </w:rPr>
        <w:t> </w:t>
      </w:r>
      <w:r>
        <w:rPr/>
        <w:t>year</w:t>
      </w:r>
      <w:r>
        <w:rPr>
          <w:spacing w:val="-18"/>
        </w:rPr>
        <w:t> </w:t>
      </w:r>
      <w:r>
        <w:rPr/>
        <w:t>has</w:t>
      </w:r>
      <w:r>
        <w:rPr>
          <w:spacing w:val="-16"/>
        </w:rPr>
        <w:t> </w:t>
      </w:r>
      <w:r>
        <w:rPr/>
        <w:t>been</w:t>
      </w:r>
      <w:r>
        <w:rPr>
          <w:spacing w:val="-18"/>
        </w:rPr>
        <w:t> </w:t>
      </w:r>
      <w:r>
        <w:rPr/>
        <w:t>proven to be a preventive detoxification measure.</w:t>
      </w:r>
    </w:p>
    <w:p>
      <w:pPr>
        <w:pStyle w:val="BodyText"/>
        <w:spacing w:before="9"/>
        <w:rPr>
          <w:sz w:val="42"/>
        </w:rPr>
      </w:pPr>
    </w:p>
    <w:p>
      <w:pPr>
        <w:pStyle w:val="Heading2"/>
      </w:pPr>
      <w:r>
        <w:rPr/>
        <w:t>Use of grapefruit seed extract for body care</w:t>
      </w:r>
    </w:p>
    <w:p>
      <w:pPr>
        <w:pStyle w:val="BodyText"/>
        <w:spacing w:line="276" w:lineRule="auto" w:before="304"/>
        <w:ind w:left="477" w:right="139"/>
        <w:jc w:val="both"/>
      </w:pPr>
      <w:r>
        <w:rPr/>
        <w:t>Due to its nature and effect, the use of grapefruit seed extract is not only in- tended for the prevention or treatment of diseases but may well be used for personal care purposes.</w:t>
      </w:r>
    </w:p>
    <w:p>
      <w:pPr>
        <w:pStyle w:val="Heading1"/>
        <w:spacing w:before="225"/>
        <w:jc w:val="both"/>
      </w:pPr>
      <w:r>
        <w:rPr/>
        <w:t>Acne/blackheads</w:t>
      </w:r>
    </w:p>
    <w:p>
      <w:pPr>
        <w:spacing w:after="0"/>
        <w:jc w:val="both"/>
        <w:sectPr>
          <w:pgSz w:w="14270" w:h="16850"/>
          <w:pgMar w:header="0" w:footer="1891" w:top="1600" w:bottom="2080" w:left="800" w:right="1280"/>
        </w:sectPr>
      </w:pPr>
    </w:p>
    <w:p>
      <w:pPr>
        <w:pStyle w:val="BodyText"/>
        <w:spacing w:before="181"/>
        <w:ind w:left="477"/>
      </w:pPr>
      <w:r>
        <w:rPr/>
        <w:t>Remove blackheads and disinfect the affected area with grapefruit seed extract</w:t>
      </w:r>
    </w:p>
    <w:p>
      <w:pPr>
        <w:pStyle w:val="Heading1"/>
        <w:spacing w:before="288"/>
      </w:pPr>
      <w:r>
        <w:rPr/>
        <w:t>Genital cleaning</w:t>
      </w:r>
    </w:p>
    <w:p>
      <w:pPr>
        <w:pStyle w:val="BodyText"/>
        <w:spacing w:line="276" w:lineRule="auto" w:before="299"/>
        <w:ind w:left="477"/>
      </w:pPr>
      <w:r>
        <w:rPr/>
        <w:t>Mix</w:t>
      </w:r>
      <w:r>
        <w:rPr>
          <w:spacing w:val="-15"/>
        </w:rPr>
        <w:t> </w:t>
      </w:r>
      <w:r>
        <w:rPr/>
        <w:t>a</w:t>
      </w:r>
      <w:r>
        <w:rPr>
          <w:spacing w:val="-14"/>
        </w:rPr>
        <w:t> </w:t>
      </w:r>
      <w:r>
        <w:rPr/>
        <w:t>few</w:t>
      </w:r>
      <w:r>
        <w:rPr>
          <w:spacing w:val="-14"/>
        </w:rPr>
        <w:t> </w:t>
      </w:r>
      <w:r>
        <w:rPr/>
        <w:t>drops</w:t>
      </w:r>
      <w:r>
        <w:rPr>
          <w:spacing w:val="-17"/>
        </w:rPr>
        <w:t> </w:t>
      </w:r>
      <w:r>
        <w:rPr/>
        <w:t>of</w:t>
      </w:r>
      <w:r>
        <w:rPr>
          <w:spacing w:val="-13"/>
        </w:rPr>
        <w:t> </w:t>
      </w:r>
      <w:r>
        <w:rPr/>
        <w:t>grapefruit</w:t>
      </w:r>
      <w:r>
        <w:rPr>
          <w:spacing w:val="-13"/>
        </w:rPr>
        <w:t> </w:t>
      </w:r>
      <w:r>
        <w:rPr/>
        <w:t>seed</w:t>
      </w:r>
      <w:r>
        <w:rPr>
          <w:spacing w:val="-14"/>
        </w:rPr>
        <w:t> </w:t>
      </w:r>
      <w:r>
        <w:rPr/>
        <w:t>extract</w:t>
      </w:r>
      <w:r>
        <w:rPr>
          <w:spacing w:val="-14"/>
        </w:rPr>
        <w:t> </w:t>
      </w:r>
      <w:r>
        <w:rPr/>
        <w:t>in</w:t>
      </w:r>
      <w:r>
        <w:rPr>
          <w:spacing w:val="-13"/>
        </w:rPr>
        <w:t> </w:t>
      </w:r>
      <w:r>
        <w:rPr/>
        <w:t>washing</w:t>
      </w:r>
      <w:r>
        <w:rPr>
          <w:spacing w:val="-13"/>
        </w:rPr>
        <w:t> </w:t>
      </w:r>
      <w:r>
        <w:rPr/>
        <w:t>water</w:t>
      </w:r>
      <w:r>
        <w:rPr>
          <w:spacing w:val="-12"/>
        </w:rPr>
        <w:t> </w:t>
      </w:r>
      <w:r>
        <w:rPr/>
        <w:t>or</w:t>
      </w:r>
      <w:r>
        <w:rPr>
          <w:spacing w:val="-14"/>
        </w:rPr>
        <w:t> </w:t>
      </w:r>
      <w:r>
        <w:rPr/>
        <w:t>on</w:t>
      </w:r>
      <w:r>
        <w:rPr>
          <w:spacing w:val="-14"/>
        </w:rPr>
        <w:t> </w:t>
      </w:r>
      <w:r>
        <w:rPr/>
        <w:t>a</w:t>
      </w:r>
      <w:r>
        <w:rPr>
          <w:spacing w:val="-14"/>
        </w:rPr>
        <w:t> </w:t>
      </w:r>
      <w:r>
        <w:rPr/>
        <w:t>damp</w:t>
      </w:r>
      <w:r>
        <w:rPr>
          <w:spacing w:val="-13"/>
        </w:rPr>
        <w:t> </w:t>
      </w:r>
      <w:r>
        <w:rPr/>
        <w:t>wash- cloth.</w:t>
      </w:r>
    </w:p>
    <w:p>
      <w:pPr>
        <w:pStyle w:val="Heading1"/>
        <w:spacing w:before="223"/>
      </w:pPr>
      <w:r>
        <w:rPr/>
        <w:t>Bad breath</w:t>
      </w:r>
    </w:p>
    <w:p>
      <w:pPr>
        <w:pStyle w:val="BodyText"/>
        <w:spacing w:before="298"/>
        <w:ind w:left="477"/>
      </w:pPr>
      <w:r>
        <w:rPr/>
        <w:t>Dilute 3-9 drops in a glass of water and gargle several times a day.</w:t>
      </w:r>
    </w:p>
    <w:p>
      <w:pPr>
        <w:pStyle w:val="Heading1"/>
        <w:spacing w:before="287"/>
      </w:pPr>
      <w:r>
        <w:rPr/>
        <w:t>Dandruff on the scalp</w:t>
      </w:r>
    </w:p>
    <w:p>
      <w:pPr>
        <w:pStyle w:val="BodyText"/>
        <w:spacing w:line="276" w:lineRule="auto" w:before="299"/>
        <w:ind w:left="477" w:right="138"/>
        <w:jc w:val="both"/>
      </w:pPr>
      <w:r>
        <w:rPr/>
        <w:t>No,</w:t>
      </w:r>
      <w:r>
        <w:rPr>
          <w:spacing w:val="-14"/>
        </w:rPr>
        <w:t> </w:t>
      </w:r>
      <w:r>
        <w:rPr/>
        <w:t>it</w:t>
      </w:r>
      <w:r>
        <w:rPr>
          <w:spacing w:val="-14"/>
        </w:rPr>
        <w:t> </w:t>
      </w:r>
      <w:r>
        <w:rPr/>
        <w:t>does</w:t>
      </w:r>
      <w:r>
        <w:rPr>
          <w:spacing w:val="-16"/>
        </w:rPr>
        <w:t> </w:t>
      </w:r>
      <w:r>
        <w:rPr/>
        <w:t>not</w:t>
      </w:r>
      <w:r>
        <w:rPr>
          <w:spacing w:val="-19"/>
        </w:rPr>
        <w:t> </w:t>
      </w:r>
      <w:r>
        <w:rPr/>
        <w:t>help</w:t>
      </w:r>
      <w:r>
        <w:rPr>
          <w:spacing w:val="-14"/>
        </w:rPr>
        <w:t> </w:t>
      </w:r>
      <w:r>
        <w:rPr/>
        <w:t>against</w:t>
      </w:r>
      <w:r>
        <w:rPr>
          <w:spacing w:val="-14"/>
        </w:rPr>
        <w:t> </w:t>
      </w:r>
      <w:r>
        <w:rPr/>
        <w:t>grey</w:t>
      </w:r>
      <w:r>
        <w:rPr>
          <w:spacing w:val="-16"/>
        </w:rPr>
        <w:t> </w:t>
      </w:r>
      <w:r>
        <w:rPr/>
        <w:t>hair,</w:t>
      </w:r>
      <w:r>
        <w:rPr>
          <w:spacing w:val="-13"/>
        </w:rPr>
        <w:t> </w:t>
      </w:r>
      <w:r>
        <w:rPr/>
        <w:t>but</w:t>
      </w:r>
      <w:r>
        <w:rPr>
          <w:spacing w:val="-15"/>
        </w:rPr>
        <w:t> </w:t>
      </w:r>
      <w:r>
        <w:rPr/>
        <w:t>it</w:t>
      </w:r>
      <w:r>
        <w:rPr>
          <w:spacing w:val="-15"/>
        </w:rPr>
        <w:t> </w:t>
      </w:r>
      <w:r>
        <w:rPr/>
        <w:t>certainly</w:t>
      </w:r>
      <w:r>
        <w:rPr>
          <w:spacing w:val="-14"/>
        </w:rPr>
        <w:t> </w:t>
      </w:r>
      <w:r>
        <w:rPr/>
        <w:t>does</w:t>
      </w:r>
      <w:r>
        <w:rPr>
          <w:spacing w:val="-13"/>
        </w:rPr>
        <w:t> </w:t>
      </w:r>
      <w:r>
        <w:rPr/>
        <w:t>against</w:t>
      </w:r>
      <w:r>
        <w:rPr>
          <w:spacing w:val="-17"/>
        </w:rPr>
        <w:t> </w:t>
      </w:r>
      <w:r>
        <w:rPr/>
        <w:t>dandruff.</w:t>
      </w:r>
      <w:r>
        <w:rPr>
          <w:spacing w:val="-13"/>
        </w:rPr>
        <w:t> </w:t>
      </w:r>
      <w:r>
        <w:rPr/>
        <w:t>Mix 5-10 drops of grapefruit seed extract in the shampoo and massage on the scalp and hair for 2 minutes. Initially apply 2-3 times a week, later once a</w:t>
      </w:r>
      <w:r>
        <w:rPr>
          <w:spacing w:val="-19"/>
        </w:rPr>
        <w:t> </w:t>
      </w:r>
      <w:r>
        <w:rPr/>
        <w:t>week.</w:t>
      </w:r>
    </w:p>
    <w:p>
      <w:pPr>
        <w:pStyle w:val="Heading1"/>
        <w:spacing w:before="225"/>
      </w:pPr>
      <w:r>
        <w:rPr/>
        <w:t>Sweaty feet</w:t>
      </w:r>
    </w:p>
    <w:p>
      <w:pPr>
        <w:pStyle w:val="BodyText"/>
        <w:spacing w:line="276" w:lineRule="auto" w:before="296"/>
        <w:ind w:left="477"/>
      </w:pPr>
      <w:r>
        <w:rPr/>
        <w:t>Mix 10 drops of GSE in a regular egg cup and rub in the affected area with grapefruit seed extract in the morning and evening.</w:t>
      </w:r>
    </w:p>
    <w:p>
      <w:pPr>
        <w:pStyle w:val="Heading1"/>
      </w:pPr>
      <w:r>
        <w:rPr/>
        <w:t>Body odour</w:t>
      </w:r>
    </w:p>
    <w:p>
      <w:pPr>
        <w:pStyle w:val="BodyText"/>
        <w:spacing w:line="276" w:lineRule="auto" w:before="299"/>
        <w:ind w:left="477" w:right="56"/>
      </w:pPr>
      <w:r>
        <w:rPr/>
        <w:t>Put about 15-20 drops of grapefruit seed extract in a cup of water and pour the contents into a pump spray bottle, shake vigorously and spray under the arms.</w:t>
      </w:r>
    </w:p>
    <w:p>
      <w:pPr>
        <w:pStyle w:val="BodyText"/>
        <w:spacing w:before="9"/>
        <w:rPr>
          <w:sz w:val="42"/>
        </w:rPr>
      </w:pPr>
    </w:p>
    <w:p>
      <w:pPr>
        <w:pStyle w:val="Heading2"/>
      </w:pPr>
      <w:r>
        <w:rPr/>
        <w:t>Use of grapefruit seed extract in animals</w:t>
      </w:r>
    </w:p>
    <w:p>
      <w:pPr>
        <w:spacing w:after="0"/>
        <w:sectPr>
          <w:pgSz w:w="14270" w:h="16850"/>
          <w:pgMar w:header="0" w:footer="1891" w:top="1600" w:bottom="2080" w:left="800" w:right="1280"/>
        </w:sectPr>
      </w:pPr>
    </w:p>
    <w:p>
      <w:pPr>
        <w:pStyle w:val="BodyText"/>
        <w:spacing w:line="276" w:lineRule="auto" w:before="181"/>
        <w:ind w:left="477"/>
      </w:pPr>
      <w:r>
        <w:rPr/>
        <w:t>Of</w:t>
      </w:r>
      <w:r>
        <w:rPr>
          <w:spacing w:val="-26"/>
        </w:rPr>
        <w:t> </w:t>
      </w:r>
      <w:r>
        <w:rPr/>
        <w:t>course,</w:t>
      </w:r>
      <w:r>
        <w:rPr>
          <w:spacing w:val="-25"/>
        </w:rPr>
        <w:t> </w:t>
      </w:r>
      <w:r>
        <w:rPr/>
        <w:t>our</w:t>
      </w:r>
      <w:r>
        <w:rPr>
          <w:spacing w:val="-24"/>
        </w:rPr>
        <w:t> </w:t>
      </w:r>
      <w:r>
        <w:rPr/>
        <w:t>beloved</w:t>
      </w:r>
      <w:r>
        <w:rPr>
          <w:spacing w:val="-23"/>
        </w:rPr>
        <w:t> </w:t>
      </w:r>
      <w:r>
        <w:rPr/>
        <w:t>domestic</w:t>
      </w:r>
      <w:r>
        <w:rPr>
          <w:spacing w:val="-26"/>
        </w:rPr>
        <w:t> </w:t>
      </w:r>
      <w:r>
        <w:rPr/>
        <w:t>and</w:t>
      </w:r>
      <w:r>
        <w:rPr>
          <w:spacing w:val="-25"/>
        </w:rPr>
        <w:t> </w:t>
      </w:r>
      <w:r>
        <w:rPr/>
        <w:t>farm</w:t>
      </w:r>
      <w:r>
        <w:rPr>
          <w:spacing w:val="-23"/>
        </w:rPr>
        <w:t> </w:t>
      </w:r>
      <w:r>
        <w:rPr/>
        <w:t>animals</w:t>
      </w:r>
      <w:r>
        <w:rPr>
          <w:spacing w:val="-25"/>
        </w:rPr>
        <w:t> </w:t>
      </w:r>
      <w:r>
        <w:rPr/>
        <w:t>can</w:t>
      </w:r>
      <w:r>
        <w:rPr>
          <w:spacing w:val="-25"/>
        </w:rPr>
        <w:t> </w:t>
      </w:r>
      <w:r>
        <w:rPr/>
        <w:t>benefit</w:t>
      </w:r>
      <w:r>
        <w:rPr>
          <w:spacing w:val="-27"/>
        </w:rPr>
        <w:t> </w:t>
      </w:r>
      <w:r>
        <w:rPr/>
        <w:t>from</w:t>
      </w:r>
      <w:r>
        <w:rPr>
          <w:spacing w:val="-25"/>
        </w:rPr>
        <w:t> </w:t>
      </w:r>
      <w:r>
        <w:rPr/>
        <w:t>the</w:t>
      </w:r>
      <w:r>
        <w:rPr>
          <w:spacing w:val="-25"/>
        </w:rPr>
        <w:t> </w:t>
      </w:r>
      <w:r>
        <w:rPr/>
        <w:t>benefits of grapefruit seed extract.</w:t>
      </w:r>
    </w:p>
    <w:p>
      <w:pPr>
        <w:pStyle w:val="BodyText"/>
        <w:spacing w:before="2"/>
        <w:rPr>
          <w:sz w:val="41"/>
        </w:rPr>
      </w:pPr>
    </w:p>
    <w:p>
      <w:pPr>
        <w:pStyle w:val="Heading1"/>
        <w:spacing w:before="1"/>
      </w:pPr>
      <w:r>
        <w:rPr/>
        <w:t>Application</w:t>
      </w:r>
      <w:r>
        <w:rPr>
          <w:spacing w:val="-55"/>
        </w:rPr>
        <w:t> </w:t>
      </w:r>
      <w:r>
        <w:rPr/>
        <w:t>of</w:t>
      </w:r>
      <w:r>
        <w:rPr>
          <w:spacing w:val="-55"/>
        </w:rPr>
        <w:t> </w:t>
      </w:r>
      <w:r>
        <w:rPr/>
        <w:t>grapefruit</w:t>
      </w:r>
      <w:r>
        <w:rPr>
          <w:spacing w:val="-55"/>
        </w:rPr>
        <w:t> </w:t>
      </w:r>
      <w:r>
        <w:rPr/>
        <w:t>seed</w:t>
      </w:r>
      <w:r>
        <w:rPr>
          <w:spacing w:val="-54"/>
        </w:rPr>
        <w:t> </w:t>
      </w:r>
      <w:r>
        <w:rPr/>
        <w:t>extract</w:t>
      </w:r>
      <w:r>
        <w:rPr>
          <w:spacing w:val="-55"/>
        </w:rPr>
        <w:t> </w:t>
      </w:r>
      <w:r>
        <w:rPr/>
        <w:t>for</w:t>
      </w:r>
      <w:r>
        <w:rPr>
          <w:spacing w:val="-55"/>
        </w:rPr>
        <w:t> </w:t>
      </w:r>
      <w:r>
        <w:rPr/>
        <w:t>algae</w:t>
      </w:r>
      <w:r>
        <w:rPr>
          <w:spacing w:val="-54"/>
        </w:rPr>
        <w:t> </w:t>
      </w:r>
      <w:r>
        <w:rPr/>
        <w:t>infestation</w:t>
      </w:r>
      <w:r>
        <w:rPr>
          <w:spacing w:val="-55"/>
        </w:rPr>
        <w:t> </w:t>
      </w:r>
      <w:r>
        <w:rPr/>
        <w:t>in</w:t>
      </w:r>
      <w:r>
        <w:rPr>
          <w:spacing w:val="-56"/>
        </w:rPr>
        <w:t> </w:t>
      </w:r>
      <w:r>
        <w:rPr/>
        <w:t>aquariums</w:t>
      </w:r>
    </w:p>
    <w:p>
      <w:pPr>
        <w:pStyle w:val="BodyText"/>
        <w:spacing w:line="276" w:lineRule="auto" w:before="299"/>
        <w:ind w:left="477"/>
      </w:pPr>
      <w:r>
        <w:rPr/>
        <w:t>First,</w:t>
      </w:r>
      <w:r>
        <w:rPr>
          <w:spacing w:val="-11"/>
        </w:rPr>
        <w:t> </w:t>
      </w:r>
      <w:r>
        <w:rPr/>
        <w:t>add</w:t>
      </w:r>
      <w:r>
        <w:rPr>
          <w:spacing w:val="-12"/>
        </w:rPr>
        <w:t> </w:t>
      </w:r>
      <w:r>
        <w:rPr/>
        <w:t>a</w:t>
      </w:r>
      <w:r>
        <w:rPr>
          <w:spacing w:val="-13"/>
        </w:rPr>
        <w:t> </w:t>
      </w:r>
      <w:r>
        <w:rPr/>
        <w:t>few</w:t>
      </w:r>
      <w:r>
        <w:rPr>
          <w:spacing w:val="-14"/>
        </w:rPr>
        <w:t> </w:t>
      </w:r>
      <w:r>
        <w:rPr/>
        <w:t>drops</w:t>
      </w:r>
      <w:r>
        <w:rPr>
          <w:spacing w:val="-10"/>
        </w:rPr>
        <w:t> </w:t>
      </w:r>
      <w:r>
        <w:rPr/>
        <w:t>of</w:t>
      </w:r>
      <w:r>
        <w:rPr>
          <w:spacing w:val="-14"/>
        </w:rPr>
        <w:t> </w:t>
      </w:r>
      <w:r>
        <w:rPr/>
        <w:t>GSE</w:t>
      </w:r>
      <w:r>
        <w:rPr>
          <w:spacing w:val="-10"/>
        </w:rPr>
        <w:t> </w:t>
      </w:r>
      <w:r>
        <w:rPr/>
        <w:t>in</w:t>
      </w:r>
      <w:r>
        <w:rPr>
          <w:spacing w:val="-13"/>
        </w:rPr>
        <w:t> </w:t>
      </w:r>
      <w:r>
        <w:rPr/>
        <w:t>1</w:t>
      </w:r>
      <w:r>
        <w:rPr>
          <w:spacing w:val="-12"/>
        </w:rPr>
        <w:t> </w:t>
      </w:r>
      <w:r>
        <w:rPr/>
        <w:t>litre</w:t>
      </w:r>
      <w:r>
        <w:rPr>
          <w:spacing w:val="-10"/>
        </w:rPr>
        <w:t> </w:t>
      </w:r>
      <w:r>
        <w:rPr/>
        <w:t>of</w:t>
      </w:r>
      <w:r>
        <w:rPr>
          <w:spacing w:val="-10"/>
        </w:rPr>
        <w:t> </w:t>
      </w:r>
      <w:r>
        <w:rPr/>
        <w:t>water</w:t>
      </w:r>
      <w:r>
        <w:rPr>
          <w:spacing w:val="-11"/>
        </w:rPr>
        <w:t> </w:t>
      </w:r>
      <w:r>
        <w:rPr/>
        <w:t>and</w:t>
      </w:r>
      <w:r>
        <w:rPr>
          <w:spacing w:val="-10"/>
        </w:rPr>
        <w:t> </w:t>
      </w:r>
      <w:r>
        <w:rPr/>
        <w:t>add</w:t>
      </w:r>
      <w:r>
        <w:rPr>
          <w:spacing w:val="-13"/>
        </w:rPr>
        <w:t> </w:t>
      </w:r>
      <w:r>
        <w:rPr/>
        <w:t>to</w:t>
      </w:r>
      <w:r>
        <w:rPr>
          <w:spacing w:val="-10"/>
        </w:rPr>
        <w:t> </w:t>
      </w:r>
      <w:r>
        <w:rPr/>
        <w:t>the</w:t>
      </w:r>
      <w:r>
        <w:rPr>
          <w:spacing w:val="-10"/>
        </w:rPr>
        <w:t> </w:t>
      </w:r>
      <w:r>
        <w:rPr/>
        <w:t>aquarium</w:t>
      </w:r>
      <w:r>
        <w:rPr>
          <w:spacing w:val="-9"/>
        </w:rPr>
        <w:t> </w:t>
      </w:r>
      <w:r>
        <w:rPr/>
        <w:t>water. Proceed step by step and slowly apply the dose</w:t>
      </w:r>
      <w:r>
        <w:rPr>
          <w:spacing w:val="-4"/>
        </w:rPr>
        <w:t> </w:t>
      </w:r>
      <w:r>
        <w:rPr/>
        <w:t>required.</w:t>
      </w:r>
    </w:p>
    <w:p>
      <w:pPr>
        <w:pStyle w:val="BodyText"/>
        <w:spacing w:before="6"/>
        <w:rPr>
          <w:sz w:val="42"/>
        </w:rPr>
      </w:pPr>
    </w:p>
    <w:p>
      <w:pPr>
        <w:pStyle w:val="Heading2"/>
      </w:pPr>
      <w:r>
        <w:rPr/>
        <w:t>Use of grapefruit seed extract in pets and livestock</w:t>
      </w:r>
    </w:p>
    <w:p>
      <w:pPr>
        <w:pStyle w:val="BodyText"/>
        <w:spacing w:line="276" w:lineRule="auto" w:before="305"/>
        <w:ind w:left="477" w:right="45"/>
      </w:pPr>
      <w:r>
        <w:rPr/>
        <w:t>For all other animals, you can give 0.5 drops or 5 mg of powder per kg of body weight; the following table may serve as a guide:</w:t>
      </w:r>
    </w:p>
    <w:p>
      <w:pPr>
        <w:pStyle w:val="BodyText"/>
        <w:spacing w:before="8"/>
        <w:rPr>
          <w:sz w:val="21"/>
        </w:rPr>
      </w:pPr>
    </w:p>
    <w:tbl>
      <w:tblPr>
        <w:tblW w:w="0" w:type="auto"/>
        <w:jc w:val="left"/>
        <w:tblInd w:w="1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70"/>
        <w:gridCol w:w="3072"/>
        <w:gridCol w:w="3070"/>
      </w:tblGrid>
      <w:tr>
        <w:trPr>
          <w:trHeight w:val="611" w:hRule="atLeast"/>
        </w:trPr>
        <w:tc>
          <w:tcPr>
            <w:tcW w:w="9212" w:type="dxa"/>
            <w:gridSpan w:val="3"/>
            <w:shd w:val="clear" w:color="auto" w:fill="8DB3E1"/>
          </w:tcPr>
          <w:p>
            <w:pPr>
              <w:pStyle w:val="TableParagraph"/>
              <w:spacing w:line="424" w:lineRule="exact"/>
              <w:ind w:left="547"/>
              <w:rPr>
                <w:b/>
                <w:sz w:val="38"/>
              </w:rPr>
            </w:pPr>
            <w:r>
              <w:rPr>
                <w:b/>
                <w:sz w:val="38"/>
              </w:rPr>
              <w:t>Use of grapefruit seed extract in pets and livestock</w:t>
            </w:r>
          </w:p>
        </w:tc>
      </w:tr>
      <w:tr>
        <w:trPr>
          <w:trHeight w:val="1103" w:hRule="atLeast"/>
        </w:trPr>
        <w:tc>
          <w:tcPr>
            <w:tcW w:w="3070" w:type="dxa"/>
          </w:tcPr>
          <w:p>
            <w:pPr>
              <w:pStyle w:val="TableParagraph"/>
              <w:spacing w:line="424" w:lineRule="exact"/>
              <w:ind w:left="69"/>
              <w:rPr>
                <w:i/>
                <w:sz w:val="38"/>
              </w:rPr>
            </w:pPr>
            <w:r>
              <w:rPr>
                <w:i/>
                <w:sz w:val="38"/>
              </w:rPr>
              <w:t>Body weight</w:t>
            </w:r>
          </w:p>
        </w:tc>
        <w:tc>
          <w:tcPr>
            <w:tcW w:w="3072" w:type="dxa"/>
          </w:tcPr>
          <w:p>
            <w:pPr>
              <w:pStyle w:val="TableParagraph"/>
              <w:tabs>
                <w:tab w:pos="1335" w:val="left" w:leader="none"/>
                <w:tab w:pos="2278" w:val="left" w:leader="none"/>
              </w:tabs>
              <w:spacing w:line="276" w:lineRule="auto"/>
              <w:ind w:left="69" w:right="63"/>
              <w:rPr>
                <w:i/>
                <w:sz w:val="38"/>
              </w:rPr>
            </w:pPr>
            <w:r>
              <w:rPr>
                <w:i/>
                <w:sz w:val="38"/>
              </w:rPr>
              <w:t>Liquid</w:t>
              <w:tab/>
              <w:t>form</w:t>
              <w:tab/>
            </w:r>
            <w:r>
              <w:rPr>
                <w:i/>
                <w:w w:val="95"/>
                <w:sz w:val="38"/>
              </w:rPr>
              <w:t>GSE </w:t>
            </w:r>
            <w:r>
              <w:rPr>
                <w:i/>
                <w:sz w:val="38"/>
              </w:rPr>
              <w:t>(drops)</w:t>
            </w:r>
          </w:p>
        </w:tc>
        <w:tc>
          <w:tcPr>
            <w:tcW w:w="3070" w:type="dxa"/>
          </w:tcPr>
          <w:p>
            <w:pPr>
              <w:pStyle w:val="TableParagraph"/>
              <w:spacing w:line="424" w:lineRule="exact"/>
              <w:ind w:left="70"/>
              <w:rPr>
                <w:i/>
                <w:sz w:val="38"/>
              </w:rPr>
            </w:pPr>
            <w:r>
              <w:rPr>
                <w:i/>
                <w:sz w:val="38"/>
              </w:rPr>
              <w:t>Powdered GSE</w:t>
            </w:r>
          </w:p>
        </w:tc>
      </w:tr>
      <w:tr>
        <w:trPr>
          <w:trHeight w:val="611" w:hRule="atLeast"/>
        </w:trPr>
        <w:tc>
          <w:tcPr>
            <w:tcW w:w="3070" w:type="dxa"/>
          </w:tcPr>
          <w:p>
            <w:pPr>
              <w:pStyle w:val="TableParagraph"/>
              <w:spacing w:line="424" w:lineRule="exact"/>
              <w:ind w:left="69"/>
              <w:rPr>
                <w:sz w:val="38"/>
              </w:rPr>
            </w:pPr>
            <w:r>
              <w:rPr>
                <w:sz w:val="38"/>
              </w:rPr>
              <w:t>1 kg</w:t>
            </w:r>
          </w:p>
        </w:tc>
        <w:tc>
          <w:tcPr>
            <w:tcW w:w="3072" w:type="dxa"/>
          </w:tcPr>
          <w:p>
            <w:pPr>
              <w:pStyle w:val="TableParagraph"/>
              <w:spacing w:line="424" w:lineRule="exact"/>
              <w:ind w:left="69"/>
              <w:rPr>
                <w:sz w:val="38"/>
              </w:rPr>
            </w:pPr>
            <w:r>
              <w:rPr>
                <w:sz w:val="38"/>
              </w:rPr>
              <w:t>0.5 drops</w:t>
            </w:r>
          </w:p>
        </w:tc>
        <w:tc>
          <w:tcPr>
            <w:tcW w:w="3070" w:type="dxa"/>
          </w:tcPr>
          <w:p>
            <w:pPr>
              <w:pStyle w:val="TableParagraph"/>
              <w:spacing w:line="424" w:lineRule="exact"/>
              <w:ind w:left="70"/>
              <w:rPr>
                <w:sz w:val="38"/>
              </w:rPr>
            </w:pPr>
            <w:r>
              <w:rPr>
                <w:sz w:val="38"/>
              </w:rPr>
              <w:t>5 mg</w:t>
            </w:r>
          </w:p>
        </w:tc>
      </w:tr>
      <w:tr>
        <w:trPr>
          <w:trHeight w:val="611" w:hRule="atLeast"/>
        </w:trPr>
        <w:tc>
          <w:tcPr>
            <w:tcW w:w="3070" w:type="dxa"/>
          </w:tcPr>
          <w:p>
            <w:pPr>
              <w:pStyle w:val="TableParagraph"/>
              <w:spacing w:line="424" w:lineRule="exact"/>
              <w:ind w:left="69"/>
              <w:rPr>
                <w:sz w:val="38"/>
              </w:rPr>
            </w:pPr>
            <w:r>
              <w:rPr>
                <w:sz w:val="38"/>
              </w:rPr>
              <w:t>2 kg</w:t>
            </w:r>
          </w:p>
        </w:tc>
        <w:tc>
          <w:tcPr>
            <w:tcW w:w="3072" w:type="dxa"/>
          </w:tcPr>
          <w:p>
            <w:pPr>
              <w:pStyle w:val="TableParagraph"/>
              <w:spacing w:line="424" w:lineRule="exact"/>
              <w:ind w:left="69"/>
              <w:rPr>
                <w:sz w:val="38"/>
              </w:rPr>
            </w:pPr>
            <w:r>
              <w:rPr>
                <w:w w:val="99"/>
                <w:sz w:val="38"/>
              </w:rPr>
              <w:t>1</w:t>
            </w:r>
          </w:p>
        </w:tc>
        <w:tc>
          <w:tcPr>
            <w:tcW w:w="3070" w:type="dxa"/>
          </w:tcPr>
          <w:p>
            <w:pPr>
              <w:pStyle w:val="TableParagraph"/>
              <w:spacing w:line="424" w:lineRule="exact"/>
              <w:ind w:left="70"/>
              <w:rPr>
                <w:sz w:val="38"/>
              </w:rPr>
            </w:pPr>
            <w:r>
              <w:rPr>
                <w:sz w:val="38"/>
              </w:rPr>
              <w:t>10 mg</w:t>
            </w:r>
          </w:p>
        </w:tc>
      </w:tr>
      <w:tr>
        <w:trPr>
          <w:trHeight w:val="611" w:hRule="atLeast"/>
        </w:trPr>
        <w:tc>
          <w:tcPr>
            <w:tcW w:w="3070" w:type="dxa"/>
          </w:tcPr>
          <w:p>
            <w:pPr>
              <w:pStyle w:val="TableParagraph"/>
              <w:spacing w:line="424" w:lineRule="exact"/>
              <w:ind w:left="69"/>
              <w:rPr>
                <w:sz w:val="38"/>
              </w:rPr>
            </w:pPr>
            <w:r>
              <w:rPr>
                <w:sz w:val="38"/>
              </w:rPr>
              <w:t>3 kg</w:t>
            </w:r>
          </w:p>
        </w:tc>
        <w:tc>
          <w:tcPr>
            <w:tcW w:w="3072" w:type="dxa"/>
          </w:tcPr>
          <w:p>
            <w:pPr>
              <w:pStyle w:val="TableParagraph"/>
              <w:spacing w:line="424" w:lineRule="exact"/>
              <w:ind w:left="69"/>
              <w:rPr>
                <w:sz w:val="38"/>
              </w:rPr>
            </w:pPr>
            <w:r>
              <w:rPr>
                <w:sz w:val="38"/>
              </w:rPr>
              <w:t>1.5</w:t>
            </w:r>
          </w:p>
        </w:tc>
        <w:tc>
          <w:tcPr>
            <w:tcW w:w="3070" w:type="dxa"/>
          </w:tcPr>
          <w:p>
            <w:pPr>
              <w:pStyle w:val="TableParagraph"/>
              <w:spacing w:line="424" w:lineRule="exact"/>
              <w:ind w:left="70"/>
              <w:rPr>
                <w:sz w:val="38"/>
              </w:rPr>
            </w:pPr>
            <w:r>
              <w:rPr>
                <w:sz w:val="38"/>
              </w:rPr>
              <w:t>15 mg</w:t>
            </w:r>
          </w:p>
        </w:tc>
      </w:tr>
      <w:tr>
        <w:trPr>
          <w:trHeight w:val="611" w:hRule="atLeast"/>
        </w:trPr>
        <w:tc>
          <w:tcPr>
            <w:tcW w:w="3070" w:type="dxa"/>
          </w:tcPr>
          <w:p>
            <w:pPr>
              <w:pStyle w:val="TableParagraph"/>
              <w:spacing w:line="424" w:lineRule="exact"/>
              <w:ind w:left="69"/>
              <w:rPr>
                <w:sz w:val="38"/>
              </w:rPr>
            </w:pPr>
            <w:r>
              <w:rPr>
                <w:sz w:val="38"/>
              </w:rPr>
              <w:t>4 kg</w:t>
            </w:r>
          </w:p>
        </w:tc>
        <w:tc>
          <w:tcPr>
            <w:tcW w:w="3072" w:type="dxa"/>
          </w:tcPr>
          <w:p>
            <w:pPr>
              <w:pStyle w:val="TableParagraph"/>
              <w:spacing w:line="424" w:lineRule="exact"/>
              <w:ind w:left="69"/>
              <w:rPr>
                <w:sz w:val="38"/>
              </w:rPr>
            </w:pPr>
            <w:r>
              <w:rPr>
                <w:w w:val="99"/>
                <w:sz w:val="38"/>
              </w:rPr>
              <w:t>2</w:t>
            </w:r>
          </w:p>
        </w:tc>
        <w:tc>
          <w:tcPr>
            <w:tcW w:w="3070" w:type="dxa"/>
          </w:tcPr>
          <w:p>
            <w:pPr>
              <w:pStyle w:val="TableParagraph"/>
              <w:spacing w:line="424" w:lineRule="exact"/>
              <w:ind w:left="70"/>
              <w:rPr>
                <w:sz w:val="38"/>
              </w:rPr>
            </w:pPr>
            <w:r>
              <w:rPr>
                <w:sz w:val="38"/>
              </w:rPr>
              <w:t>20 mg</w:t>
            </w:r>
          </w:p>
        </w:tc>
      </w:tr>
      <w:tr>
        <w:trPr>
          <w:trHeight w:val="612" w:hRule="atLeast"/>
        </w:trPr>
        <w:tc>
          <w:tcPr>
            <w:tcW w:w="3070" w:type="dxa"/>
          </w:tcPr>
          <w:p>
            <w:pPr>
              <w:pStyle w:val="TableParagraph"/>
              <w:spacing w:line="424" w:lineRule="exact"/>
              <w:ind w:left="69"/>
              <w:rPr>
                <w:sz w:val="38"/>
              </w:rPr>
            </w:pPr>
            <w:r>
              <w:rPr>
                <w:sz w:val="38"/>
              </w:rPr>
              <w:t>5 kg</w:t>
            </w:r>
          </w:p>
        </w:tc>
        <w:tc>
          <w:tcPr>
            <w:tcW w:w="3072" w:type="dxa"/>
          </w:tcPr>
          <w:p>
            <w:pPr>
              <w:pStyle w:val="TableParagraph"/>
              <w:spacing w:line="424" w:lineRule="exact"/>
              <w:ind w:left="69"/>
              <w:rPr>
                <w:sz w:val="38"/>
              </w:rPr>
            </w:pPr>
            <w:r>
              <w:rPr>
                <w:sz w:val="38"/>
              </w:rPr>
              <w:t>2.5</w:t>
            </w:r>
          </w:p>
        </w:tc>
        <w:tc>
          <w:tcPr>
            <w:tcW w:w="3070" w:type="dxa"/>
          </w:tcPr>
          <w:p>
            <w:pPr>
              <w:pStyle w:val="TableParagraph"/>
              <w:spacing w:line="424" w:lineRule="exact"/>
              <w:ind w:left="70"/>
              <w:rPr>
                <w:sz w:val="38"/>
              </w:rPr>
            </w:pPr>
            <w:r>
              <w:rPr>
                <w:sz w:val="38"/>
              </w:rPr>
              <w:t>25 mg</w:t>
            </w:r>
          </w:p>
        </w:tc>
      </w:tr>
      <w:tr>
        <w:trPr>
          <w:trHeight w:val="611" w:hRule="atLeast"/>
        </w:trPr>
        <w:tc>
          <w:tcPr>
            <w:tcW w:w="3070" w:type="dxa"/>
          </w:tcPr>
          <w:p>
            <w:pPr>
              <w:pStyle w:val="TableParagraph"/>
              <w:spacing w:line="424" w:lineRule="exact"/>
              <w:ind w:left="69"/>
              <w:rPr>
                <w:sz w:val="38"/>
              </w:rPr>
            </w:pPr>
            <w:r>
              <w:rPr>
                <w:sz w:val="38"/>
              </w:rPr>
              <w:t>6 kg</w:t>
            </w:r>
          </w:p>
        </w:tc>
        <w:tc>
          <w:tcPr>
            <w:tcW w:w="3072" w:type="dxa"/>
          </w:tcPr>
          <w:p>
            <w:pPr>
              <w:pStyle w:val="TableParagraph"/>
              <w:spacing w:line="424" w:lineRule="exact"/>
              <w:ind w:left="69"/>
              <w:rPr>
                <w:sz w:val="38"/>
              </w:rPr>
            </w:pPr>
            <w:r>
              <w:rPr>
                <w:w w:val="99"/>
                <w:sz w:val="38"/>
              </w:rPr>
              <w:t>3</w:t>
            </w:r>
          </w:p>
        </w:tc>
        <w:tc>
          <w:tcPr>
            <w:tcW w:w="3070" w:type="dxa"/>
          </w:tcPr>
          <w:p>
            <w:pPr>
              <w:pStyle w:val="TableParagraph"/>
              <w:spacing w:line="424" w:lineRule="exact"/>
              <w:ind w:left="70"/>
              <w:rPr>
                <w:sz w:val="38"/>
              </w:rPr>
            </w:pPr>
            <w:r>
              <w:rPr>
                <w:sz w:val="38"/>
              </w:rPr>
              <w:t>30 mg</w:t>
            </w:r>
          </w:p>
        </w:tc>
      </w:tr>
      <w:tr>
        <w:trPr>
          <w:trHeight w:val="611" w:hRule="atLeast"/>
        </w:trPr>
        <w:tc>
          <w:tcPr>
            <w:tcW w:w="3070" w:type="dxa"/>
          </w:tcPr>
          <w:p>
            <w:pPr>
              <w:pStyle w:val="TableParagraph"/>
              <w:spacing w:line="424" w:lineRule="exact"/>
              <w:ind w:left="69"/>
              <w:rPr>
                <w:sz w:val="38"/>
              </w:rPr>
            </w:pPr>
            <w:r>
              <w:rPr>
                <w:sz w:val="38"/>
              </w:rPr>
              <w:t>7 kg</w:t>
            </w:r>
          </w:p>
        </w:tc>
        <w:tc>
          <w:tcPr>
            <w:tcW w:w="3072" w:type="dxa"/>
          </w:tcPr>
          <w:p>
            <w:pPr>
              <w:pStyle w:val="TableParagraph"/>
              <w:spacing w:line="424" w:lineRule="exact"/>
              <w:ind w:left="69"/>
              <w:rPr>
                <w:sz w:val="38"/>
              </w:rPr>
            </w:pPr>
            <w:r>
              <w:rPr>
                <w:sz w:val="38"/>
              </w:rPr>
              <w:t>3.5</w:t>
            </w:r>
          </w:p>
        </w:tc>
        <w:tc>
          <w:tcPr>
            <w:tcW w:w="3070" w:type="dxa"/>
          </w:tcPr>
          <w:p>
            <w:pPr>
              <w:pStyle w:val="TableParagraph"/>
              <w:spacing w:line="424" w:lineRule="exact"/>
              <w:ind w:left="70"/>
              <w:rPr>
                <w:sz w:val="38"/>
              </w:rPr>
            </w:pPr>
            <w:r>
              <w:rPr>
                <w:sz w:val="38"/>
              </w:rPr>
              <w:t>35 mg</w:t>
            </w:r>
          </w:p>
        </w:tc>
      </w:tr>
    </w:tbl>
    <w:p>
      <w:pPr>
        <w:spacing w:after="0" w:line="424" w:lineRule="exact"/>
        <w:rPr>
          <w:sz w:val="38"/>
        </w:rPr>
        <w:sectPr>
          <w:pgSz w:w="14270" w:h="16850"/>
          <w:pgMar w:header="0" w:footer="1891" w:top="1600" w:bottom="2080" w:left="800" w:right="1280"/>
        </w:sectPr>
      </w:pPr>
    </w:p>
    <w:p>
      <w:pPr>
        <w:pStyle w:val="BodyText"/>
        <w:spacing w:before="5"/>
        <w:rPr>
          <w:sz w:val="16"/>
        </w:rPr>
      </w:pPr>
    </w:p>
    <w:tbl>
      <w:tblPr>
        <w:tblW w:w="0" w:type="auto"/>
        <w:jc w:val="left"/>
        <w:tblInd w:w="1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70"/>
        <w:gridCol w:w="3072"/>
        <w:gridCol w:w="3070"/>
      </w:tblGrid>
      <w:tr>
        <w:trPr>
          <w:trHeight w:val="611" w:hRule="atLeast"/>
        </w:trPr>
        <w:tc>
          <w:tcPr>
            <w:tcW w:w="3070" w:type="dxa"/>
          </w:tcPr>
          <w:p>
            <w:pPr>
              <w:pStyle w:val="TableParagraph"/>
              <w:spacing w:line="424" w:lineRule="exact"/>
              <w:ind w:left="69"/>
              <w:rPr>
                <w:sz w:val="38"/>
              </w:rPr>
            </w:pPr>
            <w:r>
              <w:rPr>
                <w:sz w:val="38"/>
              </w:rPr>
              <w:t>8 kg</w:t>
            </w:r>
          </w:p>
        </w:tc>
        <w:tc>
          <w:tcPr>
            <w:tcW w:w="3072" w:type="dxa"/>
          </w:tcPr>
          <w:p>
            <w:pPr>
              <w:pStyle w:val="TableParagraph"/>
              <w:spacing w:line="424" w:lineRule="exact"/>
              <w:ind w:left="69"/>
              <w:rPr>
                <w:sz w:val="38"/>
              </w:rPr>
            </w:pPr>
            <w:r>
              <w:rPr>
                <w:w w:val="99"/>
                <w:sz w:val="38"/>
              </w:rPr>
              <w:t>4</w:t>
            </w:r>
          </w:p>
        </w:tc>
        <w:tc>
          <w:tcPr>
            <w:tcW w:w="3070" w:type="dxa"/>
          </w:tcPr>
          <w:p>
            <w:pPr>
              <w:pStyle w:val="TableParagraph"/>
              <w:spacing w:line="424" w:lineRule="exact"/>
              <w:ind w:left="70"/>
              <w:rPr>
                <w:sz w:val="38"/>
              </w:rPr>
            </w:pPr>
            <w:r>
              <w:rPr>
                <w:sz w:val="38"/>
              </w:rPr>
              <w:t>40 mg</w:t>
            </w:r>
          </w:p>
        </w:tc>
      </w:tr>
      <w:tr>
        <w:trPr>
          <w:trHeight w:val="611" w:hRule="atLeast"/>
        </w:trPr>
        <w:tc>
          <w:tcPr>
            <w:tcW w:w="3070" w:type="dxa"/>
          </w:tcPr>
          <w:p>
            <w:pPr>
              <w:pStyle w:val="TableParagraph"/>
              <w:spacing w:line="424" w:lineRule="exact"/>
              <w:ind w:left="69"/>
              <w:rPr>
                <w:sz w:val="38"/>
              </w:rPr>
            </w:pPr>
            <w:r>
              <w:rPr>
                <w:sz w:val="38"/>
              </w:rPr>
              <w:t>9 kg</w:t>
            </w:r>
          </w:p>
        </w:tc>
        <w:tc>
          <w:tcPr>
            <w:tcW w:w="3072" w:type="dxa"/>
          </w:tcPr>
          <w:p>
            <w:pPr>
              <w:pStyle w:val="TableParagraph"/>
              <w:spacing w:line="424" w:lineRule="exact"/>
              <w:ind w:left="69"/>
              <w:rPr>
                <w:sz w:val="38"/>
              </w:rPr>
            </w:pPr>
            <w:r>
              <w:rPr>
                <w:sz w:val="38"/>
              </w:rPr>
              <w:t>4.5</w:t>
            </w:r>
          </w:p>
        </w:tc>
        <w:tc>
          <w:tcPr>
            <w:tcW w:w="3070" w:type="dxa"/>
          </w:tcPr>
          <w:p>
            <w:pPr>
              <w:pStyle w:val="TableParagraph"/>
              <w:spacing w:line="424" w:lineRule="exact"/>
              <w:ind w:left="70"/>
              <w:rPr>
                <w:sz w:val="38"/>
              </w:rPr>
            </w:pPr>
            <w:r>
              <w:rPr>
                <w:sz w:val="38"/>
              </w:rPr>
              <w:t>45 mg</w:t>
            </w:r>
          </w:p>
        </w:tc>
      </w:tr>
      <w:tr>
        <w:trPr>
          <w:trHeight w:val="611" w:hRule="atLeast"/>
        </w:trPr>
        <w:tc>
          <w:tcPr>
            <w:tcW w:w="3070" w:type="dxa"/>
          </w:tcPr>
          <w:p>
            <w:pPr>
              <w:pStyle w:val="TableParagraph"/>
              <w:spacing w:line="424" w:lineRule="exact"/>
              <w:ind w:left="69"/>
              <w:rPr>
                <w:sz w:val="38"/>
              </w:rPr>
            </w:pPr>
            <w:r>
              <w:rPr>
                <w:sz w:val="38"/>
              </w:rPr>
              <w:t>10 kg</w:t>
            </w:r>
          </w:p>
        </w:tc>
        <w:tc>
          <w:tcPr>
            <w:tcW w:w="3072" w:type="dxa"/>
          </w:tcPr>
          <w:p>
            <w:pPr>
              <w:pStyle w:val="TableParagraph"/>
              <w:spacing w:line="424" w:lineRule="exact"/>
              <w:ind w:left="69"/>
              <w:rPr>
                <w:sz w:val="38"/>
              </w:rPr>
            </w:pPr>
            <w:r>
              <w:rPr>
                <w:w w:val="99"/>
                <w:sz w:val="38"/>
              </w:rPr>
              <w:t>5</w:t>
            </w:r>
          </w:p>
        </w:tc>
        <w:tc>
          <w:tcPr>
            <w:tcW w:w="3070" w:type="dxa"/>
          </w:tcPr>
          <w:p>
            <w:pPr>
              <w:pStyle w:val="TableParagraph"/>
              <w:spacing w:line="424" w:lineRule="exact"/>
              <w:ind w:left="70"/>
              <w:rPr>
                <w:sz w:val="38"/>
              </w:rPr>
            </w:pPr>
            <w:r>
              <w:rPr>
                <w:sz w:val="38"/>
              </w:rPr>
              <w:t>50 mg</w:t>
            </w:r>
          </w:p>
        </w:tc>
      </w:tr>
      <w:tr>
        <w:trPr>
          <w:trHeight w:val="611" w:hRule="atLeast"/>
        </w:trPr>
        <w:tc>
          <w:tcPr>
            <w:tcW w:w="3070" w:type="dxa"/>
          </w:tcPr>
          <w:p>
            <w:pPr>
              <w:pStyle w:val="TableParagraph"/>
              <w:spacing w:line="424" w:lineRule="exact"/>
              <w:ind w:left="69"/>
              <w:rPr>
                <w:sz w:val="38"/>
              </w:rPr>
            </w:pPr>
            <w:r>
              <w:rPr>
                <w:sz w:val="38"/>
              </w:rPr>
              <w:t>15 kg</w:t>
            </w:r>
          </w:p>
        </w:tc>
        <w:tc>
          <w:tcPr>
            <w:tcW w:w="3072" w:type="dxa"/>
          </w:tcPr>
          <w:p>
            <w:pPr>
              <w:pStyle w:val="TableParagraph"/>
              <w:spacing w:line="424" w:lineRule="exact"/>
              <w:ind w:left="69"/>
              <w:rPr>
                <w:sz w:val="38"/>
              </w:rPr>
            </w:pPr>
            <w:r>
              <w:rPr>
                <w:sz w:val="38"/>
              </w:rPr>
              <w:t>7.5</w:t>
            </w:r>
          </w:p>
        </w:tc>
        <w:tc>
          <w:tcPr>
            <w:tcW w:w="3070" w:type="dxa"/>
          </w:tcPr>
          <w:p>
            <w:pPr>
              <w:pStyle w:val="TableParagraph"/>
              <w:spacing w:line="424" w:lineRule="exact"/>
              <w:ind w:left="70"/>
              <w:rPr>
                <w:sz w:val="38"/>
              </w:rPr>
            </w:pPr>
            <w:r>
              <w:rPr>
                <w:sz w:val="38"/>
              </w:rPr>
              <w:t>75 mg</w:t>
            </w:r>
          </w:p>
        </w:tc>
      </w:tr>
      <w:tr>
        <w:trPr>
          <w:trHeight w:val="611" w:hRule="atLeast"/>
        </w:trPr>
        <w:tc>
          <w:tcPr>
            <w:tcW w:w="3070" w:type="dxa"/>
          </w:tcPr>
          <w:p>
            <w:pPr>
              <w:pStyle w:val="TableParagraph"/>
              <w:spacing w:line="424" w:lineRule="exact"/>
              <w:ind w:left="69"/>
              <w:rPr>
                <w:sz w:val="38"/>
              </w:rPr>
            </w:pPr>
            <w:r>
              <w:rPr>
                <w:sz w:val="38"/>
              </w:rPr>
              <w:t>20 kg</w:t>
            </w:r>
          </w:p>
        </w:tc>
        <w:tc>
          <w:tcPr>
            <w:tcW w:w="3072" w:type="dxa"/>
          </w:tcPr>
          <w:p>
            <w:pPr>
              <w:pStyle w:val="TableParagraph"/>
              <w:spacing w:line="424" w:lineRule="exact"/>
              <w:ind w:left="69"/>
              <w:rPr>
                <w:sz w:val="38"/>
              </w:rPr>
            </w:pPr>
            <w:r>
              <w:rPr>
                <w:sz w:val="38"/>
              </w:rPr>
              <w:t>10</w:t>
            </w:r>
          </w:p>
        </w:tc>
        <w:tc>
          <w:tcPr>
            <w:tcW w:w="3070" w:type="dxa"/>
          </w:tcPr>
          <w:p>
            <w:pPr>
              <w:pStyle w:val="TableParagraph"/>
              <w:spacing w:line="424" w:lineRule="exact"/>
              <w:ind w:left="70"/>
              <w:rPr>
                <w:sz w:val="38"/>
              </w:rPr>
            </w:pPr>
            <w:r>
              <w:rPr>
                <w:sz w:val="38"/>
              </w:rPr>
              <w:t>100 mg</w:t>
            </w:r>
          </w:p>
        </w:tc>
      </w:tr>
      <w:tr>
        <w:trPr>
          <w:trHeight w:val="612" w:hRule="atLeast"/>
        </w:trPr>
        <w:tc>
          <w:tcPr>
            <w:tcW w:w="3070" w:type="dxa"/>
          </w:tcPr>
          <w:p>
            <w:pPr>
              <w:pStyle w:val="TableParagraph"/>
              <w:spacing w:line="424" w:lineRule="exact"/>
              <w:ind w:left="69"/>
              <w:rPr>
                <w:sz w:val="38"/>
              </w:rPr>
            </w:pPr>
            <w:r>
              <w:rPr>
                <w:sz w:val="38"/>
              </w:rPr>
              <w:t>25 kg</w:t>
            </w:r>
          </w:p>
        </w:tc>
        <w:tc>
          <w:tcPr>
            <w:tcW w:w="3072" w:type="dxa"/>
          </w:tcPr>
          <w:p>
            <w:pPr>
              <w:pStyle w:val="TableParagraph"/>
              <w:spacing w:line="424" w:lineRule="exact"/>
              <w:ind w:left="69"/>
              <w:rPr>
                <w:sz w:val="38"/>
              </w:rPr>
            </w:pPr>
            <w:r>
              <w:rPr>
                <w:sz w:val="38"/>
              </w:rPr>
              <w:t>12.5</w:t>
            </w:r>
          </w:p>
        </w:tc>
        <w:tc>
          <w:tcPr>
            <w:tcW w:w="3070" w:type="dxa"/>
          </w:tcPr>
          <w:p>
            <w:pPr>
              <w:pStyle w:val="TableParagraph"/>
              <w:spacing w:line="424" w:lineRule="exact"/>
              <w:ind w:left="70"/>
              <w:rPr>
                <w:sz w:val="38"/>
              </w:rPr>
            </w:pPr>
            <w:r>
              <w:rPr>
                <w:sz w:val="38"/>
              </w:rPr>
              <w:t>125 mg</w:t>
            </w:r>
          </w:p>
        </w:tc>
      </w:tr>
      <w:tr>
        <w:trPr>
          <w:trHeight w:val="611" w:hRule="atLeast"/>
        </w:trPr>
        <w:tc>
          <w:tcPr>
            <w:tcW w:w="3070" w:type="dxa"/>
          </w:tcPr>
          <w:p>
            <w:pPr>
              <w:pStyle w:val="TableParagraph"/>
              <w:spacing w:line="424" w:lineRule="exact"/>
              <w:ind w:left="69"/>
              <w:rPr>
                <w:sz w:val="38"/>
              </w:rPr>
            </w:pPr>
            <w:r>
              <w:rPr>
                <w:sz w:val="38"/>
              </w:rPr>
              <w:t>30 kg</w:t>
            </w:r>
          </w:p>
        </w:tc>
        <w:tc>
          <w:tcPr>
            <w:tcW w:w="3072" w:type="dxa"/>
          </w:tcPr>
          <w:p>
            <w:pPr>
              <w:pStyle w:val="TableParagraph"/>
              <w:spacing w:line="424" w:lineRule="exact"/>
              <w:ind w:left="69"/>
              <w:rPr>
                <w:sz w:val="38"/>
              </w:rPr>
            </w:pPr>
            <w:r>
              <w:rPr>
                <w:sz w:val="38"/>
              </w:rPr>
              <w:t>15</w:t>
            </w:r>
          </w:p>
        </w:tc>
        <w:tc>
          <w:tcPr>
            <w:tcW w:w="3070" w:type="dxa"/>
          </w:tcPr>
          <w:p>
            <w:pPr>
              <w:pStyle w:val="TableParagraph"/>
              <w:spacing w:line="424" w:lineRule="exact"/>
              <w:ind w:left="70"/>
              <w:rPr>
                <w:sz w:val="38"/>
              </w:rPr>
            </w:pPr>
            <w:r>
              <w:rPr>
                <w:sz w:val="38"/>
              </w:rPr>
              <w:t>150 mg</w:t>
            </w:r>
          </w:p>
        </w:tc>
      </w:tr>
      <w:tr>
        <w:trPr>
          <w:trHeight w:val="611" w:hRule="atLeast"/>
        </w:trPr>
        <w:tc>
          <w:tcPr>
            <w:tcW w:w="3070" w:type="dxa"/>
          </w:tcPr>
          <w:p>
            <w:pPr>
              <w:pStyle w:val="TableParagraph"/>
              <w:spacing w:line="424" w:lineRule="exact"/>
              <w:ind w:left="69"/>
              <w:rPr>
                <w:sz w:val="38"/>
              </w:rPr>
            </w:pPr>
            <w:r>
              <w:rPr>
                <w:sz w:val="38"/>
              </w:rPr>
              <w:t>40 kg</w:t>
            </w:r>
          </w:p>
        </w:tc>
        <w:tc>
          <w:tcPr>
            <w:tcW w:w="3072" w:type="dxa"/>
          </w:tcPr>
          <w:p>
            <w:pPr>
              <w:pStyle w:val="TableParagraph"/>
              <w:spacing w:line="424" w:lineRule="exact"/>
              <w:ind w:left="69"/>
              <w:rPr>
                <w:sz w:val="38"/>
              </w:rPr>
            </w:pPr>
            <w:r>
              <w:rPr>
                <w:sz w:val="38"/>
              </w:rPr>
              <w:t>20</w:t>
            </w:r>
          </w:p>
        </w:tc>
        <w:tc>
          <w:tcPr>
            <w:tcW w:w="3070" w:type="dxa"/>
          </w:tcPr>
          <w:p>
            <w:pPr>
              <w:pStyle w:val="TableParagraph"/>
              <w:spacing w:line="424" w:lineRule="exact"/>
              <w:ind w:left="70"/>
              <w:rPr>
                <w:sz w:val="38"/>
              </w:rPr>
            </w:pPr>
            <w:r>
              <w:rPr>
                <w:sz w:val="38"/>
              </w:rPr>
              <w:t>200 mg</w:t>
            </w:r>
          </w:p>
        </w:tc>
      </w:tr>
      <w:tr>
        <w:trPr>
          <w:trHeight w:val="611" w:hRule="atLeast"/>
        </w:trPr>
        <w:tc>
          <w:tcPr>
            <w:tcW w:w="3070" w:type="dxa"/>
          </w:tcPr>
          <w:p>
            <w:pPr>
              <w:pStyle w:val="TableParagraph"/>
              <w:spacing w:line="424" w:lineRule="exact"/>
              <w:ind w:left="69"/>
              <w:rPr>
                <w:sz w:val="38"/>
              </w:rPr>
            </w:pPr>
            <w:r>
              <w:rPr>
                <w:sz w:val="38"/>
              </w:rPr>
              <w:t>50 kg</w:t>
            </w:r>
          </w:p>
        </w:tc>
        <w:tc>
          <w:tcPr>
            <w:tcW w:w="3072" w:type="dxa"/>
          </w:tcPr>
          <w:p>
            <w:pPr>
              <w:pStyle w:val="TableParagraph"/>
              <w:spacing w:line="424" w:lineRule="exact"/>
              <w:ind w:left="69"/>
              <w:rPr>
                <w:sz w:val="38"/>
              </w:rPr>
            </w:pPr>
            <w:r>
              <w:rPr>
                <w:sz w:val="38"/>
              </w:rPr>
              <w:t>25</w:t>
            </w:r>
          </w:p>
        </w:tc>
        <w:tc>
          <w:tcPr>
            <w:tcW w:w="3070" w:type="dxa"/>
          </w:tcPr>
          <w:p>
            <w:pPr>
              <w:pStyle w:val="TableParagraph"/>
              <w:spacing w:line="424" w:lineRule="exact"/>
              <w:ind w:left="70"/>
              <w:rPr>
                <w:sz w:val="38"/>
              </w:rPr>
            </w:pPr>
            <w:r>
              <w:rPr>
                <w:sz w:val="38"/>
              </w:rPr>
              <w:t>250 mg</w:t>
            </w:r>
          </w:p>
        </w:tc>
      </w:tr>
      <w:tr>
        <w:trPr>
          <w:trHeight w:val="611" w:hRule="atLeast"/>
        </w:trPr>
        <w:tc>
          <w:tcPr>
            <w:tcW w:w="3070" w:type="dxa"/>
          </w:tcPr>
          <w:p>
            <w:pPr>
              <w:pStyle w:val="TableParagraph"/>
              <w:spacing w:line="424" w:lineRule="exact"/>
              <w:ind w:left="69"/>
              <w:rPr>
                <w:sz w:val="38"/>
              </w:rPr>
            </w:pPr>
            <w:r>
              <w:rPr>
                <w:sz w:val="38"/>
              </w:rPr>
              <w:t>60 kg</w:t>
            </w:r>
          </w:p>
        </w:tc>
        <w:tc>
          <w:tcPr>
            <w:tcW w:w="3072" w:type="dxa"/>
          </w:tcPr>
          <w:p>
            <w:pPr>
              <w:pStyle w:val="TableParagraph"/>
              <w:spacing w:line="424" w:lineRule="exact"/>
              <w:ind w:left="69"/>
              <w:rPr>
                <w:sz w:val="38"/>
              </w:rPr>
            </w:pPr>
            <w:r>
              <w:rPr>
                <w:sz w:val="38"/>
              </w:rPr>
              <w:t>30</w:t>
            </w:r>
          </w:p>
        </w:tc>
        <w:tc>
          <w:tcPr>
            <w:tcW w:w="3070" w:type="dxa"/>
          </w:tcPr>
          <w:p>
            <w:pPr>
              <w:pStyle w:val="TableParagraph"/>
              <w:spacing w:line="424" w:lineRule="exact"/>
              <w:ind w:left="70"/>
              <w:rPr>
                <w:sz w:val="38"/>
              </w:rPr>
            </w:pPr>
            <w:r>
              <w:rPr>
                <w:sz w:val="38"/>
              </w:rPr>
              <w:t>300 mg</w:t>
            </w:r>
          </w:p>
        </w:tc>
      </w:tr>
      <w:tr>
        <w:trPr>
          <w:trHeight w:val="609" w:hRule="atLeast"/>
        </w:trPr>
        <w:tc>
          <w:tcPr>
            <w:tcW w:w="3070" w:type="dxa"/>
            <w:tcBorders>
              <w:bottom w:val="single" w:sz="6" w:space="0" w:color="000000"/>
            </w:tcBorders>
          </w:tcPr>
          <w:p>
            <w:pPr>
              <w:pStyle w:val="TableParagraph"/>
              <w:spacing w:line="424" w:lineRule="exact"/>
              <w:ind w:left="69"/>
              <w:rPr>
                <w:sz w:val="38"/>
              </w:rPr>
            </w:pPr>
            <w:r>
              <w:rPr>
                <w:sz w:val="38"/>
              </w:rPr>
              <w:t>70 kg</w:t>
            </w:r>
          </w:p>
        </w:tc>
        <w:tc>
          <w:tcPr>
            <w:tcW w:w="3072" w:type="dxa"/>
            <w:tcBorders>
              <w:bottom w:val="single" w:sz="6" w:space="0" w:color="000000"/>
            </w:tcBorders>
          </w:tcPr>
          <w:p>
            <w:pPr>
              <w:pStyle w:val="TableParagraph"/>
              <w:spacing w:line="424" w:lineRule="exact"/>
              <w:ind w:left="69"/>
              <w:rPr>
                <w:sz w:val="38"/>
              </w:rPr>
            </w:pPr>
            <w:r>
              <w:rPr>
                <w:sz w:val="38"/>
              </w:rPr>
              <w:t>35</w:t>
            </w:r>
          </w:p>
        </w:tc>
        <w:tc>
          <w:tcPr>
            <w:tcW w:w="3070" w:type="dxa"/>
            <w:tcBorders>
              <w:bottom w:val="single" w:sz="6" w:space="0" w:color="000000"/>
            </w:tcBorders>
          </w:tcPr>
          <w:p>
            <w:pPr>
              <w:pStyle w:val="TableParagraph"/>
              <w:spacing w:line="424" w:lineRule="exact"/>
              <w:ind w:left="70"/>
              <w:rPr>
                <w:sz w:val="38"/>
              </w:rPr>
            </w:pPr>
            <w:r>
              <w:rPr>
                <w:sz w:val="38"/>
              </w:rPr>
              <w:t>350 mg</w:t>
            </w:r>
          </w:p>
        </w:tc>
      </w:tr>
      <w:tr>
        <w:trPr>
          <w:trHeight w:val="609" w:hRule="atLeast"/>
        </w:trPr>
        <w:tc>
          <w:tcPr>
            <w:tcW w:w="3070" w:type="dxa"/>
            <w:tcBorders>
              <w:top w:val="single" w:sz="6" w:space="0" w:color="000000"/>
            </w:tcBorders>
          </w:tcPr>
          <w:p>
            <w:pPr>
              <w:pStyle w:val="TableParagraph"/>
              <w:spacing w:line="422" w:lineRule="exact"/>
              <w:ind w:left="69"/>
              <w:rPr>
                <w:sz w:val="38"/>
              </w:rPr>
            </w:pPr>
            <w:r>
              <w:rPr>
                <w:sz w:val="38"/>
              </w:rPr>
              <w:t>80 kg</w:t>
            </w:r>
          </w:p>
        </w:tc>
        <w:tc>
          <w:tcPr>
            <w:tcW w:w="3072" w:type="dxa"/>
            <w:tcBorders>
              <w:top w:val="single" w:sz="6" w:space="0" w:color="000000"/>
            </w:tcBorders>
          </w:tcPr>
          <w:p>
            <w:pPr>
              <w:pStyle w:val="TableParagraph"/>
              <w:spacing w:line="422" w:lineRule="exact"/>
              <w:ind w:left="69"/>
              <w:rPr>
                <w:sz w:val="38"/>
              </w:rPr>
            </w:pPr>
            <w:r>
              <w:rPr>
                <w:sz w:val="38"/>
              </w:rPr>
              <w:t>40</w:t>
            </w:r>
          </w:p>
        </w:tc>
        <w:tc>
          <w:tcPr>
            <w:tcW w:w="3070" w:type="dxa"/>
            <w:tcBorders>
              <w:top w:val="single" w:sz="6" w:space="0" w:color="000000"/>
            </w:tcBorders>
          </w:tcPr>
          <w:p>
            <w:pPr>
              <w:pStyle w:val="TableParagraph"/>
              <w:spacing w:line="422" w:lineRule="exact"/>
              <w:ind w:left="70"/>
              <w:rPr>
                <w:sz w:val="38"/>
              </w:rPr>
            </w:pPr>
            <w:r>
              <w:rPr>
                <w:sz w:val="38"/>
              </w:rPr>
              <w:t>400 mg</w:t>
            </w:r>
          </w:p>
        </w:tc>
      </w:tr>
      <w:tr>
        <w:trPr>
          <w:trHeight w:val="611" w:hRule="atLeast"/>
        </w:trPr>
        <w:tc>
          <w:tcPr>
            <w:tcW w:w="3070" w:type="dxa"/>
          </w:tcPr>
          <w:p>
            <w:pPr>
              <w:pStyle w:val="TableParagraph"/>
              <w:spacing w:line="424" w:lineRule="exact"/>
              <w:ind w:left="69"/>
              <w:rPr>
                <w:sz w:val="38"/>
              </w:rPr>
            </w:pPr>
            <w:r>
              <w:rPr>
                <w:sz w:val="38"/>
              </w:rPr>
              <w:t>90 kg</w:t>
            </w:r>
          </w:p>
        </w:tc>
        <w:tc>
          <w:tcPr>
            <w:tcW w:w="3072" w:type="dxa"/>
          </w:tcPr>
          <w:p>
            <w:pPr>
              <w:pStyle w:val="TableParagraph"/>
              <w:spacing w:line="424" w:lineRule="exact"/>
              <w:ind w:left="69"/>
              <w:rPr>
                <w:sz w:val="38"/>
              </w:rPr>
            </w:pPr>
            <w:r>
              <w:rPr>
                <w:sz w:val="38"/>
              </w:rPr>
              <w:t>45</w:t>
            </w:r>
          </w:p>
        </w:tc>
        <w:tc>
          <w:tcPr>
            <w:tcW w:w="3070" w:type="dxa"/>
          </w:tcPr>
          <w:p>
            <w:pPr>
              <w:pStyle w:val="TableParagraph"/>
              <w:spacing w:line="424" w:lineRule="exact"/>
              <w:ind w:left="70"/>
              <w:rPr>
                <w:sz w:val="38"/>
              </w:rPr>
            </w:pPr>
            <w:r>
              <w:rPr>
                <w:sz w:val="38"/>
              </w:rPr>
              <w:t>450 mg</w:t>
            </w:r>
          </w:p>
        </w:tc>
      </w:tr>
      <w:tr>
        <w:trPr>
          <w:trHeight w:val="611" w:hRule="atLeast"/>
        </w:trPr>
        <w:tc>
          <w:tcPr>
            <w:tcW w:w="3070" w:type="dxa"/>
          </w:tcPr>
          <w:p>
            <w:pPr>
              <w:pStyle w:val="TableParagraph"/>
              <w:spacing w:line="424" w:lineRule="exact"/>
              <w:ind w:left="69"/>
              <w:rPr>
                <w:sz w:val="38"/>
              </w:rPr>
            </w:pPr>
            <w:r>
              <w:rPr>
                <w:sz w:val="38"/>
              </w:rPr>
              <w:t>100 kg</w:t>
            </w:r>
          </w:p>
        </w:tc>
        <w:tc>
          <w:tcPr>
            <w:tcW w:w="3072" w:type="dxa"/>
          </w:tcPr>
          <w:p>
            <w:pPr>
              <w:pStyle w:val="TableParagraph"/>
              <w:spacing w:line="424" w:lineRule="exact"/>
              <w:ind w:left="69"/>
              <w:rPr>
                <w:sz w:val="38"/>
              </w:rPr>
            </w:pPr>
            <w:r>
              <w:rPr>
                <w:sz w:val="38"/>
              </w:rPr>
              <w:t>50</w:t>
            </w:r>
          </w:p>
        </w:tc>
        <w:tc>
          <w:tcPr>
            <w:tcW w:w="3070" w:type="dxa"/>
          </w:tcPr>
          <w:p>
            <w:pPr>
              <w:pStyle w:val="TableParagraph"/>
              <w:spacing w:line="424" w:lineRule="exact"/>
              <w:ind w:left="70"/>
              <w:rPr>
                <w:sz w:val="38"/>
              </w:rPr>
            </w:pPr>
            <w:r>
              <w:rPr>
                <w:sz w:val="38"/>
              </w:rPr>
              <w:t>500 mg</w:t>
            </w:r>
          </w:p>
        </w:tc>
      </w:tr>
      <w:tr>
        <w:trPr>
          <w:trHeight w:val="611" w:hRule="atLeast"/>
        </w:trPr>
        <w:tc>
          <w:tcPr>
            <w:tcW w:w="3070" w:type="dxa"/>
          </w:tcPr>
          <w:p>
            <w:pPr>
              <w:pStyle w:val="TableParagraph"/>
              <w:spacing w:line="424" w:lineRule="exact"/>
              <w:ind w:left="69"/>
              <w:rPr>
                <w:sz w:val="38"/>
              </w:rPr>
            </w:pPr>
            <w:r>
              <w:rPr>
                <w:sz w:val="38"/>
              </w:rPr>
              <w:t>150 kg</w:t>
            </w:r>
          </w:p>
        </w:tc>
        <w:tc>
          <w:tcPr>
            <w:tcW w:w="3072" w:type="dxa"/>
          </w:tcPr>
          <w:p>
            <w:pPr>
              <w:pStyle w:val="TableParagraph"/>
              <w:spacing w:line="424" w:lineRule="exact"/>
              <w:ind w:left="69"/>
              <w:rPr>
                <w:sz w:val="38"/>
              </w:rPr>
            </w:pPr>
            <w:r>
              <w:rPr>
                <w:sz w:val="38"/>
              </w:rPr>
              <w:t>75</w:t>
            </w:r>
          </w:p>
        </w:tc>
        <w:tc>
          <w:tcPr>
            <w:tcW w:w="3070" w:type="dxa"/>
          </w:tcPr>
          <w:p>
            <w:pPr>
              <w:pStyle w:val="TableParagraph"/>
              <w:spacing w:line="424" w:lineRule="exact"/>
              <w:ind w:left="70"/>
              <w:rPr>
                <w:sz w:val="38"/>
              </w:rPr>
            </w:pPr>
            <w:r>
              <w:rPr>
                <w:sz w:val="38"/>
              </w:rPr>
              <w:t>750 mg</w:t>
            </w:r>
          </w:p>
        </w:tc>
      </w:tr>
      <w:tr>
        <w:trPr>
          <w:trHeight w:val="614" w:hRule="atLeast"/>
        </w:trPr>
        <w:tc>
          <w:tcPr>
            <w:tcW w:w="3070" w:type="dxa"/>
          </w:tcPr>
          <w:p>
            <w:pPr>
              <w:pStyle w:val="TableParagraph"/>
              <w:spacing w:line="424" w:lineRule="exact"/>
              <w:ind w:left="69"/>
              <w:rPr>
                <w:sz w:val="38"/>
              </w:rPr>
            </w:pPr>
            <w:r>
              <w:rPr>
                <w:sz w:val="38"/>
              </w:rPr>
              <w:t>200 kg, etc.</w:t>
            </w:r>
          </w:p>
        </w:tc>
        <w:tc>
          <w:tcPr>
            <w:tcW w:w="3072" w:type="dxa"/>
          </w:tcPr>
          <w:p>
            <w:pPr>
              <w:pStyle w:val="TableParagraph"/>
              <w:spacing w:line="424" w:lineRule="exact"/>
              <w:ind w:left="69"/>
              <w:rPr>
                <w:sz w:val="38"/>
              </w:rPr>
            </w:pPr>
            <w:r>
              <w:rPr>
                <w:sz w:val="38"/>
              </w:rPr>
              <w:t>100</w:t>
            </w:r>
          </w:p>
        </w:tc>
        <w:tc>
          <w:tcPr>
            <w:tcW w:w="3070" w:type="dxa"/>
          </w:tcPr>
          <w:p>
            <w:pPr>
              <w:pStyle w:val="TableParagraph"/>
              <w:spacing w:line="424" w:lineRule="exact"/>
              <w:ind w:left="70"/>
              <w:rPr>
                <w:sz w:val="38"/>
              </w:rPr>
            </w:pPr>
            <w:r>
              <w:rPr>
                <w:sz w:val="38"/>
              </w:rPr>
              <w:t>1000 mg</w:t>
            </w:r>
          </w:p>
        </w:tc>
      </w:tr>
    </w:tbl>
    <w:p>
      <w:pPr>
        <w:pStyle w:val="BodyText"/>
        <w:rPr>
          <w:sz w:val="20"/>
        </w:rPr>
      </w:pPr>
    </w:p>
    <w:p>
      <w:pPr>
        <w:pStyle w:val="BodyText"/>
        <w:spacing w:before="1"/>
        <w:rPr>
          <w:sz w:val="25"/>
        </w:rPr>
      </w:pPr>
    </w:p>
    <w:p>
      <w:pPr>
        <w:pStyle w:val="Heading2"/>
        <w:spacing w:before="99"/>
      </w:pPr>
      <w:r>
        <w:rPr/>
        <w:t>Use of grapefruit seed extract on plants</w:t>
      </w:r>
    </w:p>
    <w:p>
      <w:pPr>
        <w:pStyle w:val="BodyText"/>
        <w:spacing w:before="185"/>
        <w:ind w:left="477"/>
      </w:pPr>
      <w:r>
        <w:rPr/>
        <w:t>Even</w:t>
      </w:r>
      <w:r>
        <w:rPr>
          <w:spacing w:val="-26"/>
        </w:rPr>
        <w:t> </w:t>
      </w:r>
      <w:r>
        <w:rPr/>
        <w:t>plants</w:t>
      </w:r>
      <w:r>
        <w:rPr>
          <w:spacing w:val="-26"/>
        </w:rPr>
        <w:t> </w:t>
      </w:r>
      <w:r>
        <w:rPr/>
        <w:t>usually</w:t>
      </w:r>
      <w:r>
        <w:rPr>
          <w:spacing w:val="-26"/>
        </w:rPr>
        <w:t> </w:t>
      </w:r>
      <w:r>
        <w:rPr/>
        <w:t>respond</w:t>
      </w:r>
      <w:r>
        <w:rPr>
          <w:spacing w:val="-26"/>
        </w:rPr>
        <w:t> </w:t>
      </w:r>
      <w:r>
        <w:rPr/>
        <w:t>very</w:t>
      </w:r>
      <w:r>
        <w:rPr>
          <w:spacing w:val="-27"/>
        </w:rPr>
        <w:t> </w:t>
      </w:r>
      <w:r>
        <w:rPr/>
        <w:t>well</w:t>
      </w:r>
      <w:r>
        <w:rPr>
          <w:spacing w:val="-28"/>
        </w:rPr>
        <w:t> </w:t>
      </w:r>
      <w:r>
        <w:rPr/>
        <w:t>to</w:t>
      </w:r>
      <w:r>
        <w:rPr>
          <w:spacing w:val="-26"/>
        </w:rPr>
        <w:t> </w:t>
      </w:r>
      <w:r>
        <w:rPr/>
        <w:t>application</w:t>
      </w:r>
      <w:r>
        <w:rPr>
          <w:spacing w:val="-25"/>
        </w:rPr>
        <w:t> </w:t>
      </w:r>
      <w:r>
        <w:rPr/>
        <w:t>with</w:t>
      </w:r>
      <w:r>
        <w:rPr>
          <w:spacing w:val="-25"/>
        </w:rPr>
        <w:t> </w:t>
      </w:r>
      <w:r>
        <w:rPr/>
        <w:t>grapefruit</w:t>
      </w:r>
      <w:r>
        <w:rPr>
          <w:spacing w:val="-26"/>
        </w:rPr>
        <w:t> </w:t>
      </w:r>
      <w:r>
        <w:rPr/>
        <w:t>seed</w:t>
      </w:r>
      <w:r>
        <w:rPr>
          <w:spacing w:val="-26"/>
        </w:rPr>
        <w:t> </w:t>
      </w:r>
      <w:r>
        <w:rPr/>
        <w:t>extract.</w:t>
      </w:r>
    </w:p>
    <w:p>
      <w:pPr>
        <w:spacing w:after="0"/>
        <w:sectPr>
          <w:pgSz w:w="14270" w:h="16850"/>
          <w:pgMar w:header="0" w:footer="1891" w:top="1600" w:bottom="2080" w:left="800" w:right="1280"/>
        </w:sectPr>
      </w:pPr>
    </w:p>
    <w:p>
      <w:pPr>
        <w:pStyle w:val="BodyText"/>
        <w:spacing w:line="276" w:lineRule="auto" w:before="181"/>
        <w:ind w:left="477"/>
      </w:pPr>
      <w:r>
        <w:rPr/>
        <w:t>Here, mixing the water with the appropriate amount of grapefruit seed extract and applying with spray bottles is recommended.</w:t>
      </w:r>
    </w:p>
    <w:p>
      <w:pPr>
        <w:pStyle w:val="BodyText"/>
        <w:rPr>
          <w:sz w:val="42"/>
        </w:rPr>
      </w:pPr>
    </w:p>
    <w:p>
      <w:pPr>
        <w:pStyle w:val="BodyText"/>
        <w:spacing w:before="11"/>
        <w:rPr>
          <w:sz w:val="42"/>
        </w:rPr>
      </w:pPr>
    </w:p>
    <w:p>
      <w:pPr>
        <w:pStyle w:val="Heading1"/>
        <w:spacing w:before="0"/>
      </w:pPr>
      <w:r>
        <w:rPr/>
        <w:t>Grapefruit seed extract and its effect on scale insects</w:t>
      </w:r>
    </w:p>
    <w:p>
      <w:pPr>
        <w:pStyle w:val="BodyText"/>
        <w:spacing w:line="276" w:lineRule="auto" w:before="299"/>
        <w:ind w:left="477" w:right="37"/>
      </w:pPr>
      <w:r>
        <w:rPr/>
        <w:t>15 drops in 250 ml of water, spray this solution on the plants from all sides and repeat the treatment after two weeks.</w:t>
      </w:r>
    </w:p>
    <w:p>
      <w:pPr>
        <w:pStyle w:val="Heading1"/>
        <w:spacing w:before="222"/>
      </w:pPr>
      <w:r>
        <w:rPr/>
        <w:t>Mold growth in potted plants</w:t>
      </w:r>
    </w:p>
    <w:p>
      <w:pPr>
        <w:pStyle w:val="BodyText"/>
        <w:spacing w:before="299"/>
        <w:ind w:left="477"/>
      </w:pPr>
      <w:r>
        <w:rPr/>
        <w:t>Add 10 drops to 250 ml of water, spray the plants.</w:t>
      </w:r>
    </w:p>
    <w:p>
      <w:pPr>
        <w:pStyle w:val="Heading2"/>
        <w:spacing w:before="305"/>
      </w:pPr>
      <w:r>
        <w:rPr/>
        <w:t>Use of grapefruit seed extract in household tasks</w:t>
      </w:r>
    </w:p>
    <w:p>
      <w:pPr>
        <w:pStyle w:val="BodyText"/>
        <w:spacing w:line="276" w:lineRule="auto" w:before="304"/>
        <w:ind w:left="477"/>
      </w:pPr>
      <w:r>
        <w:rPr/>
        <w:t>Already in use in the US, grapefruit seed extract is a housework novelty in this country, but a very promising one.</w:t>
      </w:r>
    </w:p>
    <w:p>
      <w:pPr>
        <w:pStyle w:val="Heading1"/>
        <w:spacing w:before="222"/>
      </w:pPr>
      <w:r>
        <w:rPr/>
        <w:t>Disinfection of food</w:t>
      </w:r>
    </w:p>
    <w:p>
      <w:pPr>
        <w:pStyle w:val="BodyText"/>
        <w:spacing w:line="276" w:lineRule="auto" w:before="299"/>
        <w:ind w:left="477"/>
      </w:pPr>
      <w:r>
        <w:rPr/>
        <w:t>Place fruits, vegetables, salads, meat or fish in a grapefruit seed extract/water mixture in a ratio of 20 drops of GSE per litre of water for a few minutes.</w:t>
      </w:r>
    </w:p>
    <w:p>
      <w:pPr>
        <w:pStyle w:val="Heading1"/>
        <w:spacing w:before="223"/>
      </w:pPr>
      <w:r>
        <w:rPr/>
        <w:t>Preservation of food</w:t>
      </w:r>
    </w:p>
    <w:p>
      <w:pPr>
        <w:pStyle w:val="BodyText"/>
        <w:spacing w:line="276" w:lineRule="auto" w:before="300"/>
        <w:ind w:left="477"/>
      </w:pPr>
      <w:r>
        <w:rPr/>
        <w:t>Place food in a GSE/water mixture of 20 drops per 1 litre of water for a few minutes.</w:t>
      </w:r>
    </w:p>
    <w:p>
      <w:pPr>
        <w:pStyle w:val="Heading1"/>
      </w:pPr>
      <w:r>
        <w:rPr/>
        <w:t>Floor cleaning</w:t>
      </w:r>
    </w:p>
    <w:p>
      <w:pPr>
        <w:spacing w:after="0"/>
        <w:sectPr>
          <w:pgSz w:w="14270" w:h="16850"/>
          <w:pgMar w:header="0" w:footer="1891" w:top="1600" w:bottom="2080" w:left="800" w:right="1280"/>
        </w:sectPr>
      </w:pPr>
    </w:p>
    <w:p>
      <w:pPr>
        <w:pStyle w:val="BodyText"/>
        <w:spacing w:before="181"/>
        <w:ind w:left="477"/>
      </w:pPr>
      <w:r>
        <w:rPr/>
        <w:t>To disinfect the floor, apply 30-50 drops of GSE to a bucket of water.</w:t>
      </w:r>
    </w:p>
    <w:p>
      <w:pPr>
        <w:pStyle w:val="BodyText"/>
        <w:rPr>
          <w:sz w:val="42"/>
        </w:rPr>
      </w:pPr>
    </w:p>
    <w:p>
      <w:pPr>
        <w:pStyle w:val="BodyText"/>
        <w:rPr>
          <w:sz w:val="45"/>
        </w:rPr>
      </w:pPr>
    </w:p>
    <w:p>
      <w:pPr>
        <w:pStyle w:val="Heading1"/>
        <w:spacing w:before="0"/>
      </w:pPr>
      <w:r>
        <w:rPr/>
        <w:t>Toilet cleaning</w:t>
      </w:r>
    </w:p>
    <w:p>
      <w:pPr>
        <w:pStyle w:val="BodyText"/>
        <w:spacing w:before="299"/>
        <w:ind w:left="477"/>
      </w:pPr>
      <w:r>
        <w:rPr/>
        <w:t>Add a few drops of GSE to regular toilet cleaner.</w:t>
      </w:r>
    </w:p>
    <w:p>
      <w:pPr>
        <w:pStyle w:val="Heading1"/>
        <w:spacing w:before="288"/>
      </w:pPr>
      <w:r>
        <w:rPr/>
        <w:t>Household cleaners</w:t>
      </w:r>
    </w:p>
    <w:p>
      <w:pPr>
        <w:pStyle w:val="ListParagraph"/>
        <w:numPr>
          <w:ilvl w:val="1"/>
          <w:numId w:val="35"/>
        </w:numPr>
        <w:tabs>
          <w:tab w:pos="1401" w:val="left" w:leader="none"/>
        </w:tabs>
        <w:spacing w:line="240" w:lineRule="auto" w:before="299" w:after="0"/>
        <w:ind w:left="1400" w:right="0" w:hanging="923"/>
        <w:jc w:val="left"/>
        <w:rPr>
          <w:sz w:val="38"/>
        </w:rPr>
      </w:pPr>
      <w:r>
        <w:rPr>
          <w:sz w:val="38"/>
        </w:rPr>
        <w:t>drops of GSE per litre of</w:t>
      </w:r>
      <w:r>
        <w:rPr>
          <w:spacing w:val="1"/>
          <w:sz w:val="38"/>
        </w:rPr>
        <w:t> </w:t>
      </w:r>
      <w:r>
        <w:rPr>
          <w:sz w:val="38"/>
        </w:rPr>
        <w:t>water</w:t>
      </w:r>
    </w:p>
    <w:p>
      <w:pPr>
        <w:pStyle w:val="Heading1"/>
        <w:spacing w:before="288"/>
      </w:pPr>
      <w:r>
        <w:rPr/>
        <w:t>Room spray</w:t>
      </w:r>
    </w:p>
    <w:p>
      <w:pPr>
        <w:pStyle w:val="BodyText"/>
        <w:spacing w:line="276" w:lineRule="auto" w:before="297"/>
        <w:ind w:left="477"/>
      </w:pPr>
      <w:r>
        <w:rPr/>
        <w:t>For example, to disinfect a hospital room, a room spray with 40 drops of GSE per ½ litre of water is suitable.</w:t>
      </w:r>
    </w:p>
    <w:p>
      <w:pPr>
        <w:pStyle w:val="Heading1"/>
        <w:spacing w:before="223"/>
      </w:pPr>
      <w:r>
        <w:rPr/>
        <w:t>Mould on walls, wallpaper etc.</w:t>
      </w:r>
    </w:p>
    <w:p>
      <w:pPr>
        <w:pStyle w:val="BodyText"/>
        <w:spacing w:before="300"/>
        <w:ind w:left="477"/>
      </w:pPr>
      <w:r>
        <w:rPr/>
        <w:t>Requires higher concentration of GSE - you have to test it yourself.</w:t>
      </w:r>
    </w:p>
    <w:p>
      <w:pPr>
        <w:pStyle w:val="Heading2"/>
        <w:spacing w:before="304"/>
      </w:pPr>
      <w:r>
        <w:rPr/>
        <w:t>Extraction and production of grapefruit seed extract</w:t>
      </w:r>
    </w:p>
    <w:p>
      <w:pPr>
        <w:pStyle w:val="BodyText"/>
        <w:spacing w:line="276" w:lineRule="auto" w:before="305"/>
        <w:ind w:left="477"/>
      </w:pPr>
      <w:r>
        <w:rPr/>
        <w:t>As the name already implies, grapefruit seed extract is a purely natural plant extract derived from the grapefruit seeds and grapefruit pulp membrane.</w:t>
      </w:r>
    </w:p>
    <w:p>
      <w:pPr>
        <w:pStyle w:val="BodyText"/>
        <w:spacing w:line="276" w:lineRule="auto" w:before="238"/>
        <w:ind w:left="477" w:right="129"/>
        <w:jc w:val="both"/>
      </w:pPr>
      <w:r>
        <w:rPr/>
        <w:t>First, the grapefruit seeds are crushed using a machine, then the desired ingre- dients</w:t>
      </w:r>
      <w:r>
        <w:rPr>
          <w:spacing w:val="-17"/>
        </w:rPr>
        <w:t> </w:t>
      </w:r>
      <w:r>
        <w:rPr/>
        <w:t>are</w:t>
      </w:r>
      <w:r>
        <w:rPr>
          <w:spacing w:val="-18"/>
        </w:rPr>
        <w:t> </w:t>
      </w:r>
      <w:r>
        <w:rPr/>
        <w:t>extracted</w:t>
      </w:r>
      <w:r>
        <w:rPr>
          <w:spacing w:val="-18"/>
        </w:rPr>
        <w:t> </w:t>
      </w:r>
      <w:r>
        <w:rPr/>
        <w:t>with</w:t>
      </w:r>
      <w:r>
        <w:rPr>
          <w:spacing w:val="-17"/>
        </w:rPr>
        <w:t> </w:t>
      </w:r>
      <w:r>
        <w:rPr/>
        <w:t>special</w:t>
      </w:r>
      <w:r>
        <w:rPr>
          <w:spacing w:val="-16"/>
        </w:rPr>
        <w:t> </w:t>
      </w:r>
      <w:r>
        <w:rPr/>
        <w:t>solvents.</w:t>
      </w:r>
      <w:r>
        <w:rPr>
          <w:spacing w:val="-17"/>
        </w:rPr>
        <w:t> </w:t>
      </w:r>
      <w:r>
        <w:rPr/>
        <w:t>The</w:t>
      </w:r>
      <w:r>
        <w:rPr>
          <w:spacing w:val="-17"/>
        </w:rPr>
        <w:t> </w:t>
      </w:r>
      <w:r>
        <w:rPr/>
        <w:t>extractants</w:t>
      </w:r>
      <w:r>
        <w:rPr>
          <w:spacing w:val="-17"/>
        </w:rPr>
        <w:t> </w:t>
      </w:r>
      <w:r>
        <w:rPr/>
        <w:t>used</w:t>
      </w:r>
      <w:r>
        <w:rPr>
          <w:spacing w:val="-18"/>
        </w:rPr>
        <w:t> </w:t>
      </w:r>
      <w:r>
        <w:rPr/>
        <w:t>determine</w:t>
      </w:r>
      <w:r>
        <w:rPr>
          <w:spacing w:val="-17"/>
        </w:rPr>
        <w:t> </w:t>
      </w:r>
      <w:r>
        <w:rPr/>
        <w:t>which ingredients are extracted – in the case of grapefruit seed extract, glycerine is used as the</w:t>
      </w:r>
      <w:r>
        <w:rPr>
          <w:spacing w:val="1"/>
        </w:rPr>
        <w:t> </w:t>
      </w:r>
      <w:r>
        <w:rPr/>
        <w:t>solvent.</w:t>
      </w:r>
    </w:p>
    <w:p>
      <w:pPr>
        <w:spacing w:after="0" w:line="276" w:lineRule="auto"/>
        <w:jc w:val="both"/>
        <w:sectPr>
          <w:pgSz w:w="14270" w:h="16850"/>
          <w:pgMar w:header="0" w:footer="1891" w:top="1600" w:bottom="2080" w:left="800" w:right="1280"/>
        </w:sectPr>
      </w:pPr>
    </w:p>
    <w:p>
      <w:pPr>
        <w:pStyle w:val="BodyText"/>
        <w:spacing w:line="276" w:lineRule="auto" w:before="181"/>
        <w:ind w:left="477" w:right="142"/>
        <w:jc w:val="both"/>
      </w:pPr>
      <w:r>
        <w:rPr/>
        <w:t>Here, however, the quality of the final product is already evident according to whether synthetic or natural glycerine has been used to produce it. Ideally, nat- ural glycerine should be used, which is based on coconut fat, for example.</w:t>
      </w:r>
    </w:p>
    <w:p>
      <w:pPr>
        <w:pStyle w:val="BodyText"/>
        <w:spacing w:line="276" w:lineRule="auto" w:before="242"/>
        <w:ind w:left="477" w:right="131"/>
        <w:jc w:val="both"/>
      </w:pPr>
      <w:r>
        <w:rPr/>
        <w:t>The extract then consists, as in the case of Citricidal®, of 60 % grapefruit seed and 40 % glycerol.</w:t>
      </w:r>
    </w:p>
    <w:p>
      <w:pPr>
        <w:pStyle w:val="BodyText"/>
        <w:spacing w:line="276" w:lineRule="auto" w:before="238"/>
        <w:ind w:left="477" w:right="138"/>
        <w:jc w:val="both"/>
      </w:pPr>
      <w:r>
        <w:rPr/>
        <w:t>Usually,</w:t>
      </w:r>
      <w:r>
        <w:rPr>
          <w:spacing w:val="-18"/>
        </w:rPr>
        <w:t> </w:t>
      </w:r>
      <w:r>
        <w:rPr/>
        <w:t>the</w:t>
      </w:r>
      <w:r>
        <w:rPr>
          <w:spacing w:val="-14"/>
        </w:rPr>
        <w:t> </w:t>
      </w:r>
      <w:r>
        <w:rPr/>
        <w:t>extract</w:t>
      </w:r>
      <w:r>
        <w:rPr>
          <w:spacing w:val="-18"/>
        </w:rPr>
        <w:t> </w:t>
      </w:r>
      <w:r>
        <w:rPr/>
        <w:t>offered</w:t>
      </w:r>
      <w:r>
        <w:rPr>
          <w:spacing w:val="-17"/>
        </w:rPr>
        <w:t> </w:t>
      </w:r>
      <w:r>
        <w:rPr/>
        <w:t>on</w:t>
      </w:r>
      <w:r>
        <w:rPr>
          <w:spacing w:val="-19"/>
        </w:rPr>
        <w:t> </w:t>
      </w:r>
      <w:r>
        <w:rPr/>
        <w:t>the</w:t>
      </w:r>
      <w:r>
        <w:rPr>
          <w:spacing w:val="-17"/>
        </w:rPr>
        <w:t> </w:t>
      </w:r>
      <w:r>
        <w:rPr/>
        <w:t>market</w:t>
      </w:r>
      <w:r>
        <w:rPr>
          <w:spacing w:val="-17"/>
        </w:rPr>
        <w:t> </w:t>
      </w:r>
      <w:r>
        <w:rPr/>
        <w:t>is</w:t>
      </w:r>
      <w:r>
        <w:rPr>
          <w:spacing w:val="-17"/>
        </w:rPr>
        <w:t> </w:t>
      </w:r>
      <w:r>
        <w:rPr/>
        <w:t>already</w:t>
      </w:r>
      <w:r>
        <w:rPr>
          <w:spacing w:val="-18"/>
        </w:rPr>
        <w:t> </w:t>
      </w:r>
      <w:r>
        <w:rPr/>
        <w:t>somewhat</w:t>
      </w:r>
      <w:r>
        <w:rPr>
          <w:spacing w:val="-18"/>
        </w:rPr>
        <w:t> </w:t>
      </w:r>
      <w:r>
        <w:rPr/>
        <w:t>diluted;</w:t>
      </w:r>
      <w:r>
        <w:rPr>
          <w:spacing w:val="-16"/>
        </w:rPr>
        <w:t> </w:t>
      </w:r>
      <w:r>
        <w:rPr/>
        <w:t>it</w:t>
      </w:r>
      <w:r>
        <w:rPr>
          <w:spacing w:val="-19"/>
        </w:rPr>
        <w:t> </w:t>
      </w:r>
      <w:r>
        <w:rPr/>
        <w:t>usually contains 33 % grapefruit seed ingredients and 67 % glycerine or</w:t>
      </w:r>
      <w:r>
        <w:rPr>
          <w:spacing w:val="-9"/>
        </w:rPr>
        <w:t> </w:t>
      </w:r>
      <w:r>
        <w:rPr/>
        <w:t>water.</w:t>
      </w:r>
    </w:p>
    <w:p>
      <w:pPr>
        <w:pStyle w:val="BodyText"/>
        <w:spacing w:before="9"/>
        <w:rPr>
          <w:sz w:val="42"/>
        </w:rPr>
      </w:pPr>
    </w:p>
    <w:p>
      <w:pPr>
        <w:pStyle w:val="Heading2"/>
        <w:jc w:val="both"/>
      </w:pPr>
      <w:r>
        <w:rPr/>
        <w:t>Making grapefruit seed extract at home</w:t>
      </w:r>
    </w:p>
    <w:p>
      <w:pPr>
        <w:pStyle w:val="BodyText"/>
        <w:spacing w:line="276" w:lineRule="auto" w:before="304"/>
        <w:ind w:left="477" w:right="130"/>
        <w:jc w:val="both"/>
      </w:pPr>
      <w:r>
        <w:rPr/>
        <w:t>As</w:t>
      </w:r>
      <w:r>
        <w:rPr>
          <w:spacing w:val="-19"/>
        </w:rPr>
        <w:t> </w:t>
      </w:r>
      <w:r>
        <w:rPr/>
        <w:t>a</w:t>
      </w:r>
      <w:r>
        <w:rPr>
          <w:spacing w:val="-20"/>
        </w:rPr>
        <w:t> </w:t>
      </w:r>
      <w:r>
        <w:rPr/>
        <w:t>basic</w:t>
      </w:r>
      <w:r>
        <w:rPr>
          <w:spacing w:val="-20"/>
        </w:rPr>
        <w:t> </w:t>
      </w:r>
      <w:r>
        <w:rPr/>
        <w:t>active</w:t>
      </w:r>
      <w:r>
        <w:rPr>
          <w:spacing w:val="-23"/>
        </w:rPr>
        <w:t> </w:t>
      </w:r>
      <w:r>
        <w:rPr/>
        <w:t>ingredient,</w:t>
      </w:r>
      <w:r>
        <w:rPr>
          <w:spacing w:val="-17"/>
        </w:rPr>
        <w:t> </w:t>
      </w:r>
      <w:r>
        <w:rPr/>
        <w:t>grapefruit</w:t>
      </w:r>
      <w:r>
        <w:rPr>
          <w:spacing w:val="-20"/>
        </w:rPr>
        <w:t> </w:t>
      </w:r>
      <w:r>
        <w:rPr/>
        <w:t>seed</w:t>
      </w:r>
      <w:r>
        <w:rPr>
          <w:spacing w:val="-19"/>
        </w:rPr>
        <w:t> </w:t>
      </w:r>
      <w:r>
        <w:rPr/>
        <w:t>extract</w:t>
      </w:r>
      <w:r>
        <w:rPr>
          <w:spacing w:val="-18"/>
        </w:rPr>
        <w:t> </w:t>
      </w:r>
      <w:r>
        <w:rPr/>
        <w:t>must</w:t>
      </w:r>
      <w:r>
        <w:rPr>
          <w:spacing w:val="-19"/>
        </w:rPr>
        <w:t> </w:t>
      </w:r>
      <w:r>
        <w:rPr/>
        <w:t>be</w:t>
      </w:r>
      <w:r>
        <w:rPr>
          <w:spacing w:val="-19"/>
        </w:rPr>
        <w:t> </w:t>
      </w:r>
      <w:r>
        <w:rPr/>
        <w:t>diluted</w:t>
      </w:r>
      <w:r>
        <w:rPr>
          <w:spacing w:val="-18"/>
        </w:rPr>
        <w:t> </w:t>
      </w:r>
      <w:r>
        <w:rPr/>
        <w:t>or</w:t>
      </w:r>
      <w:r>
        <w:rPr>
          <w:spacing w:val="-18"/>
        </w:rPr>
        <w:t> </w:t>
      </w:r>
      <w:r>
        <w:rPr/>
        <w:t>processed accordingly before it is used; it is either powdered, capsule-shaped, tablet- shaped or available as an aqueous</w:t>
      </w:r>
      <w:r>
        <w:rPr>
          <w:spacing w:val="1"/>
        </w:rPr>
        <w:t> </w:t>
      </w:r>
      <w:r>
        <w:rPr/>
        <w:t>solution.</w:t>
      </w:r>
    </w:p>
    <w:p>
      <w:pPr>
        <w:pStyle w:val="BodyText"/>
        <w:spacing w:line="276" w:lineRule="auto" w:before="239"/>
        <w:ind w:left="477" w:right="144"/>
        <w:jc w:val="both"/>
      </w:pPr>
      <w:r>
        <w:rPr/>
        <w:t>In terms of effect, no difference has been found between the purchased and home-made grapefruit seed powder.</w:t>
      </w:r>
    </w:p>
    <w:p>
      <w:pPr>
        <w:pStyle w:val="BodyText"/>
        <w:spacing w:line="276" w:lineRule="auto" w:before="241"/>
        <w:ind w:left="477" w:right="139"/>
        <w:jc w:val="both"/>
      </w:pPr>
      <w:r>
        <w:rPr/>
        <w:t>If you want to make powder from grapefruit seeds, you have to dry them first. To do this, place the grapefruit seeds in a baking oven with moderate heat of approx. 40-50 ° C and with the oven door slightly ajar.</w:t>
      </w:r>
    </w:p>
    <w:p>
      <w:pPr>
        <w:pStyle w:val="BodyText"/>
        <w:spacing w:line="276" w:lineRule="auto" w:before="121"/>
        <w:ind w:left="477" w:right="132"/>
        <w:jc w:val="both"/>
      </w:pPr>
      <w:r>
        <w:rPr/>
        <w:t>Following this drying process, the kernels are ground to powder in a flour mill. Then sieve the peel residues out by sending the material to be ground through a fine sieve.</w:t>
      </w:r>
    </w:p>
    <w:p>
      <w:pPr>
        <w:pStyle w:val="BodyText"/>
        <w:spacing w:before="120"/>
        <w:ind w:left="477"/>
        <w:jc w:val="both"/>
      </w:pPr>
      <w:r>
        <w:rPr/>
        <w:t>The powder is equivalent to powdered grapefruit seed extract, which is now</w:t>
      </w:r>
    </w:p>
    <w:p>
      <w:pPr>
        <w:spacing w:after="0"/>
        <w:jc w:val="both"/>
        <w:sectPr>
          <w:footerReference w:type="default" r:id="rId141"/>
          <w:pgSz w:w="14270" w:h="16850"/>
          <w:pgMar w:footer="404" w:header="0" w:top="1600" w:bottom="600" w:left="800" w:right="1280"/>
          <w:pgNumType w:start="570"/>
        </w:sectPr>
      </w:pPr>
    </w:p>
    <w:p>
      <w:pPr>
        <w:pStyle w:val="BodyText"/>
        <w:spacing w:before="181"/>
        <w:ind w:left="477"/>
      </w:pPr>
      <w:r>
        <w:rPr/>
        <w:t>ready for use.</w:t>
      </w:r>
    </w:p>
    <w:p>
      <w:pPr>
        <w:pStyle w:val="BodyText"/>
        <w:spacing w:line="276" w:lineRule="auto" w:before="185"/>
        <w:ind w:left="477" w:right="132"/>
        <w:jc w:val="both"/>
      </w:pPr>
      <w:r>
        <w:rPr/>
        <w:t>Those</w:t>
      </w:r>
      <w:r>
        <w:rPr>
          <w:spacing w:val="-6"/>
        </w:rPr>
        <w:t> </w:t>
      </w:r>
      <w:r>
        <w:rPr/>
        <w:t>who</w:t>
      </w:r>
      <w:r>
        <w:rPr>
          <w:spacing w:val="-5"/>
        </w:rPr>
        <w:t> </w:t>
      </w:r>
      <w:r>
        <w:rPr/>
        <w:t>prefer</w:t>
      </w:r>
      <w:r>
        <w:rPr>
          <w:spacing w:val="-5"/>
        </w:rPr>
        <w:t> </w:t>
      </w:r>
      <w:r>
        <w:rPr/>
        <w:t>the</w:t>
      </w:r>
      <w:r>
        <w:rPr>
          <w:spacing w:val="-5"/>
        </w:rPr>
        <w:t> </w:t>
      </w:r>
      <w:r>
        <w:rPr/>
        <w:t>liquid</w:t>
      </w:r>
      <w:r>
        <w:rPr>
          <w:spacing w:val="-7"/>
        </w:rPr>
        <w:t> </w:t>
      </w:r>
      <w:r>
        <w:rPr/>
        <w:t>version</w:t>
      </w:r>
      <w:r>
        <w:rPr>
          <w:spacing w:val="-5"/>
        </w:rPr>
        <w:t> </w:t>
      </w:r>
      <w:r>
        <w:rPr/>
        <w:t>should</w:t>
      </w:r>
      <w:r>
        <w:rPr>
          <w:spacing w:val="-7"/>
        </w:rPr>
        <w:t> </w:t>
      </w:r>
      <w:r>
        <w:rPr/>
        <w:t>mix</w:t>
      </w:r>
      <w:r>
        <w:rPr>
          <w:spacing w:val="-7"/>
        </w:rPr>
        <w:t> </w:t>
      </w:r>
      <w:r>
        <w:rPr/>
        <w:t>the</w:t>
      </w:r>
      <w:r>
        <w:rPr>
          <w:spacing w:val="-5"/>
        </w:rPr>
        <w:t> </w:t>
      </w:r>
      <w:r>
        <w:rPr/>
        <w:t>powder</w:t>
      </w:r>
      <w:r>
        <w:rPr>
          <w:spacing w:val="-7"/>
        </w:rPr>
        <w:t> </w:t>
      </w:r>
      <w:r>
        <w:rPr/>
        <w:t>in</w:t>
      </w:r>
      <w:r>
        <w:rPr>
          <w:spacing w:val="-6"/>
        </w:rPr>
        <w:t> </w:t>
      </w:r>
      <w:r>
        <w:rPr/>
        <w:t>1/3</w:t>
      </w:r>
      <w:r>
        <w:rPr>
          <w:spacing w:val="-6"/>
        </w:rPr>
        <w:t> </w:t>
      </w:r>
      <w:r>
        <w:rPr/>
        <w:t>to</w:t>
      </w:r>
      <w:r>
        <w:rPr>
          <w:spacing w:val="-5"/>
        </w:rPr>
        <w:t> </w:t>
      </w:r>
      <w:r>
        <w:rPr/>
        <w:t>2/3</w:t>
      </w:r>
      <w:r>
        <w:rPr>
          <w:spacing w:val="-7"/>
        </w:rPr>
        <w:t> </w:t>
      </w:r>
      <w:r>
        <w:rPr/>
        <w:t>glyc- erine (preferably coconut-based). 10 mg of the powder extract correspond to a drop of the liquid</w:t>
      </w:r>
      <w:r>
        <w:rPr>
          <w:spacing w:val="1"/>
        </w:rPr>
        <w:t> </w:t>
      </w:r>
      <w:r>
        <w:rPr/>
        <w:t>extract.</w:t>
      </w:r>
    </w:p>
    <w:p>
      <w:pPr>
        <w:spacing w:before="241"/>
        <w:ind w:left="477" w:right="0" w:firstLine="0"/>
        <w:jc w:val="both"/>
        <w:rPr>
          <w:i/>
          <w:sz w:val="38"/>
        </w:rPr>
      </w:pPr>
      <w:r>
        <w:rPr>
          <w:i/>
          <w:sz w:val="38"/>
        </w:rPr>
        <w:t>Grapefruit seed extract</w:t>
      </w:r>
      <w:r>
        <w:rPr>
          <w:i/>
          <w:spacing w:val="-16"/>
          <w:sz w:val="38"/>
        </w:rPr>
        <w:t> </w:t>
      </w:r>
      <w:r>
        <w:rPr>
          <w:i/>
          <w:sz w:val="38"/>
        </w:rPr>
        <w:t>studies</w:t>
      </w:r>
    </w:p>
    <w:p>
      <w:pPr>
        <w:pStyle w:val="BodyText"/>
        <w:spacing w:before="303"/>
        <w:ind w:left="477"/>
        <w:jc w:val="both"/>
      </w:pPr>
      <w:r>
        <w:rPr/>
        <w:t>The following records refer to studies of the base extract in the dilution of 60</w:t>
      </w:r>
    </w:p>
    <w:p>
      <w:pPr>
        <w:pStyle w:val="BodyText"/>
        <w:spacing w:before="64"/>
        <w:ind w:left="477"/>
        <w:jc w:val="both"/>
      </w:pPr>
      <w:r>
        <w:rPr/>
        <w:t>% grapefruit seed and 40 % glycerol.</w:t>
      </w:r>
    </w:p>
    <w:p>
      <w:pPr>
        <w:pStyle w:val="Heading1"/>
        <w:spacing w:before="287"/>
        <w:jc w:val="both"/>
        <w:rPr>
          <w:b w:val="0"/>
          <w:i w:val="0"/>
          <w:sz w:val="25"/>
        </w:rPr>
      </w:pPr>
      <w:r>
        <w:rPr/>
        <w:t>Citricadal®</w:t>
      </w:r>
      <w:r>
        <w:rPr>
          <w:spacing w:val="-48"/>
        </w:rPr>
        <w:t> </w:t>
      </w:r>
      <w:r>
        <w:rPr/>
        <w:t>study:</w:t>
      </w:r>
      <w:r>
        <w:rPr>
          <w:spacing w:val="-49"/>
        </w:rPr>
        <w:t> </w:t>
      </w:r>
      <w:r>
        <w:rPr/>
        <w:t>10-100</w:t>
      </w:r>
      <w:r>
        <w:rPr>
          <w:spacing w:val="-48"/>
        </w:rPr>
        <w:t> </w:t>
      </w:r>
      <w:r>
        <w:rPr/>
        <w:t>times</w:t>
      </w:r>
      <w:r>
        <w:rPr>
          <w:spacing w:val="-48"/>
        </w:rPr>
        <w:t> </w:t>
      </w:r>
      <w:r>
        <w:rPr/>
        <w:t>more</w:t>
      </w:r>
      <w:r>
        <w:rPr>
          <w:spacing w:val="-49"/>
        </w:rPr>
        <w:t> </w:t>
      </w:r>
      <w:r>
        <w:rPr/>
        <w:t>effective</w:t>
      </w:r>
      <w:r>
        <w:rPr>
          <w:spacing w:val="-49"/>
        </w:rPr>
        <w:t> </w:t>
      </w:r>
      <w:r>
        <w:rPr/>
        <w:t>than</w:t>
      </w:r>
      <w:r>
        <w:rPr>
          <w:spacing w:val="-48"/>
        </w:rPr>
        <w:t> </w:t>
      </w:r>
      <w:r>
        <w:rPr/>
        <w:t>other</w:t>
      </w:r>
      <w:r>
        <w:rPr>
          <w:spacing w:val="-49"/>
        </w:rPr>
        <w:t> </w:t>
      </w:r>
      <w:r>
        <w:rPr/>
        <w:t>substances</w:t>
      </w:r>
      <w:r>
        <w:rPr>
          <w:spacing w:val="-48"/>
        </w:rPr>
        <w:t> </w:t>
      </w:r>
      <w:r>
        <w:rPr>
          <w:b w:val="0"/>
          <w:i w:val="0"/>
          <w:position w:val="9"/>
          <w:sz w:val="25"/>
        </w:rPr>
        <w:t>364</w:t>
      </w:r>
    </w:p>
    <w:p>
      <w:pPr>
        <w:pStyle w:val="BodyText"/>
        <w:spacing w:line="276" w:lineRule="auto" w:before="300"/>
        <w:ind w:left="477" w:right="141"/>
        <w:jc w:val="both"/>
      </w:pPr>
      <w:r>
        <w:rPr/>
        <w:t>In this study, grapefruit seed extract (Citricidal®) had to be compared with the antimicrobial effect of other common active ingredients.</w:t>
      </w:r>
    </w:p>
    <w:p>
      <w:pPr>
        <w:pStyle w:val="BodyText"/>
        <w:spacing w:line="276" w:lineRule="auto" w:before="240"/>
        <w:ind w:left="477" w:right="137"/>
        <w:jc w:val="both"/>
      </w:pPr>
      <w:r>
        <w:rPr/>
        <w:t>Active ingredients such as silver oxide, chlorine bleach and iodine were added to grapefruit seed extract. The microorganisms to be attacked were Candida albicans, Staphylococcus aureus, Salmoneal typhi, Steptococcus faecium and Escherichia coli.</w:t>
      </w:r>
    </w:p>
    <w:p>
      <w:pPr>
        <w:pStyle w:val="BodyText"/>
        <w:spacing w:line="276" w:lineRule="auto" w:before="240"/>
        <w:ind w:left="477" w:right="137"/>
        <w:jc w:val="both"/>
      </w:pPr>
      <w:r>
        <w:rPr/>
        <w:t>The study results showed that grapefruit seed extract (in this case, Citricidal®) was </w:t>
      </w:r>
      <w:r>
        <w:rPr>
          <w:u w:val="single"/>
        </w:rPr>
        <w:t>10-100 times more efficient</w:t>
      </w:r>
      <w:r>
        <w:rPr/>
        <w:t> against the bacterial organisms than the other substances tested.</w:t>
      </w:r>
    </w:p>
    <w:p>
      <w:pPr>
        <w:pStyle w:val="Heading1"/>
        <w:jc w:val="both"/>
      </w:pPr>
      <w:r>
        <w:rPr>
          <w:w w:val="95"/>
        </w:rPr>
        <w:t>Study</w:t>
      </w:r>
      <w:r>
        <w:rPr>
          <w:spacing w:val="-26"/>
          <w:w w:val="95"/>
        </w:rPr>
        <w:t> </w:t>
      </w:r>
      <w:r>
        <w:rPr>
          <w:w w:val="95"/>
        </w:rPr>
        <w:t>on</w:t>
      </w:r>
      <w:r>
        <w:rPr>
          <w:spacing w:val="-24"/>
          <w:w w:val="95"/>
        </w:rPr>
        <w:t> </w:t>
      </w:r>
      <w:r>
        <w:rPr>
          <w:w w:val="95"/>
        </w:rPr>
        <w:t>the</w:t>
      </w:r>
      <w:r>
        <w:rPr>
          <w:spacing w:val="-26"/>
          <w:w w:val="95"/>
        </w:rPr>
        <w:t> </w:t>
      </w:r>
      <w:r>
        <w:rPr>
          <w:w w:val="95"/>
        </w:rPr>
        <w:t>growth-inhibiting</w:t>
      </w:r>
      <w:r>
        <w:rPr>
          <w:spacing w:val="-24"/>
          <w:w w:val="95"/>
        </w:rPr>
        <w:t> </w:t>
      </w:r>
      <w:r>
        <w:rPr>
          <w:w w:val="95"/>
        </w:rPr>
        <w:t>effect</w:t>
      </w:r>
      <w:r>
        <w:rPr>
          <w:spacing w:val="-26"/>
          <w:w w:val="95"/>
        </w:rPr>
        <w:t> </w:t>
      </w:r>
      <w:r>
        <w:rPr>
          <w:w w:val="95"/>
        </w:rPr>
        <w:t>of</w:t>
      </w:r>
      <w:r>
        <w:rPr>
          <w:spacing w:val="-25"/>
          <w:w w:val="95"/>
        </w:rPr>
        <w:t> </w:t>
      </w:r>
      <w:r>
        <w:rPr>
          <w:w w:val="95"/>
        </w:rPr>
        <w:t>grapefruit</w:t>
      </w:r>
      <w:r>
        <w:rPr>
          <w:spacing w:val="-26"/>
          <w:w w:val="95"/>
        </w:rPr>
        <w:t> </w:t>
      </w:r>
      <w:r>
        <w:rPr>
          <w:w w:val="95"/>
        </w:rPr>
        <w:t>seed</w:t>
      </w:r>
      <w:r>
        <w:rPr>
          <w:spacing w:val="-26"/>
          <w:w w:val="95"/>
        </w:rPr>
        <w:t> </w:t>
      </w:r>
      <w:r>
        <w:rPr>
          <w:w w:val="95"/>
        </w:rPr>
        <w:t>extract</w:t>
      </w:r>
      <w:r>
        <w:rPr>
          <w:spacing w:val="-27"/>
          <w:w w:val="95"/>
        </w:rPr>
        <w:t> </w:t>
      </w:r>
      <w:r>
        <w:rPr>
          <w:w w:val="95"/>
        </w:rPr>
        <w:t>on</w:t>
      </w:r>
      <w:r>
        <w:rPr>
          <w:spacing w:val="-24"/>
          <w:w w:val="95"/>
        </w:rPr>
        <w:t> </w:t>
      </w:r>
      <w:r>
        <w:rPr>
          <w:w w:val="95"/>
        </w:rPr>
        <w:t>various</w:t>
      </w:r>
    </w:p>
    <w:p>
      <w:pPr>
        <w:pStyle w:val="BodyText"/>
        <w:rPr>
          <w:b/>
          <w:i/>
          <w:sz w:val="20"/>
        </w:rPr>
      </w:pPr>
    </w:p>
    <w:p>
      <w:pPr>
        <w:pStyle w:val="BodyText"/>
        <w:rPr>
          <w:b/>
          <w:i/>
          <w:sz w:val="20"/>
        </w:rPr>
      </w:pPr>
    </w:p>
    <w:p>
      <w:pPr>
        <w:pStyle w:val="BodyText"/>
        <w:spacing w:before="7"/>
        <w:rPr>
          <w:b/>
          <w:i/>
          <w:sz w:val="22"/>
        </w:rPr>
      </w:pPr>
      <w:r>
        <w:rPr/>
        <w:pict>
          <v:line style="position:absolute;mso-position-horizontal-relative:page;mso-position-vertical-relative:paragraph;z-index:4328;mso-wrap-distance-left:0;mso-wrap-distance-right:0" from="63.863998pt,15.114985pt" to="207.883998pt,15.114985pt" stroked="true" strokeweight=".72003pt" strokecolor="#000000">
            <v:stroke dashstyle="solid"/>
            <w10:wrap type="topAndBottom"/>
          </v:line>
        </w:pict>
      </w:r>
    </w:p>
    <w:p>
      <w:pPr>
        <w:pStyle w:val="BodyText"/>
        <w:spacing w:before="7"/>
        <w:rPr>
          <w:b/>
          <w:i/>
          <w:sz w:val="18"/>
        </w:rPr>
      </w:pPr>
    </w:p>
    <w:p>
      <w:pPr>
        <w:spacing w:before="99"/>
        <w:ind w:left="477" w:right="0" w:firstLine="0"/>
        <w:jc w:val="left"/>
        <w:rPr>
          <w:sz w:val="20"/>
        </w:rPr>
      </w:pPr>
      <w:r>
        <w:rPr>
          <w:position w:val="5"/>
          <w:sz w:val="13"/>
        </w:rPr>
        <w:t>364 </w:t>
      </w:r>
      <w:r>
        <w:rPr>
          <w:sz w:val="20"/>
        </w:rPr>
        <w:t>Shalila Sharamon and Bodo J. Baginski: Das Wunder im Kern der Grapefruit (‘The Miracle in the Grapefruit Seed’), 1996, p. 137</w:t>
      </w:r>
    </w:p>
    <w:p>
      <w:pPr>
        <w:spacing w:after="0"/>
        <w:jc w:val="left"/>
        <w:rPr>
          <w:sz w:val="20"/>
        </w:rPr>
        <w:sectPr>
          <w:pgSz w:w="14270" w:h="16850"/>
          <w:pgMar w:header="0" w:footer="404" w:top="1600" w:bottom="2080" w:left="800" w:right="1280"/>
        </w:sectPr>
      </w:pPr>
    </w:p>
    <w:p>
      <w:pPr>
        <w:pStyle w:val="Heading1"/>
        <w:spacing w:before="164"/>
        <w:rPr>
          <w:b w:val="0"/>
          <w:i w:val="0"/>
          <w:sz w:val="25"/>
        </w:rPr>
      </w:pPr>
      <w:r>
        <w:rPr/>
        <w:t>microorganisms</w:t>
      </w:r>
      <w:r>
        <w:rPr>
          <w:b w:val="0"/>
          <w:i w:val="0"/>
          <w:position w:val="9"/>
          <w:sz w:val="25"/>
        </w:rPr>
        <w:t>365</w:t>
      </w:r>
    </w:p>
    <w:p>
      <w:pPr>
        <w:pStyle w:val="BodyText"/>
        <w:spacing w:line="276" w:lineRule="auto" w:before="299"/>
        <w:ind w:left="477" w:right="136"/>
        <w:jc w:val="both"/>
      </w:pPr>
      <w:r>
        <w:rPr/>
        <w:t>The following table shows the minimum dose (MIC) of grapefruit seed extract (in</w:t>
      </w:r>
      <w:r>
        <w:rPr>
          <w:spacing w:val="-23"/>
        </w:rPr>
        <w:t> </w:t>
      </w:r>
      <w:r>
        <w:rPr/>
        <w:t>this</w:t>
      </w:r>
      <w:r>
        <w:rPr>
          <w:spacing w:val="-23"/>
        </w:rPr>
        <w:t> </w:t>
      </w:r>
      <w:r>
        <w:rPr/>
        <w:t>case</w:t>
      </w:r>
      <w:r>
        <w:rPr>
          <w:spacing w:val="-31"/>
        </w:rPr>
        <w:t> </w:t>
      </w:r>
      <w:r>
        <w:rPr/>
        <w:t>‘Citricidal®’)</w:t>
      </w:r>
      <w:r>
        <w:rPr>
          <w:spacing w:val="-24"/>
        </w:rPr>
        <w:t> </w:t>
      </w:r>
      <w:r>
        <w:rPr/>
        <w:t>necessary</w:t>
      </w:r>
      <w:r>
        <w:rPr>
          <w:spacing w:val="-24"/>
        </w:rPr>
        <w:t> </w:t>
      </w:r>
      <w:r>
        <w:rPr/>
        <w:t>for</w:t>
      </w:r>
      <w:r>
        <w:rPr>
          <w:spacing w:val="-24"/>
        </w:rPr>
        <w:t> </w:t>
      </w:r>
      <w:r>
        <w:rPr/>
        <w:t>the</w:t>
      </w:r>
      <w:r>
        <w:rPr>
          <w:spacing w:val="-24"/>
        </w:rPr>
        <w:t> </w:t>
      </w:r>
      <w:r>
        <w:rPr/>
        <w:t>growth</w:t>
      </w:r>
      <w:r>
        <w:rPr>
          <w:spacing w:val="-23"/>
        </w:rPr>
        <w:t> </w:t>
      </w:r>
      <w:r>
        <w:rPr/>
        <w:t>of</w:t>
      </w:r>
      <w:r>
        <w:rPr>
          <w:spacing w:val="-26"/>
        </w:rPr>
        <w:t> </w:t>
      </w:r>
      <w:r>
        <w:rPr/>
        <w:t>the</w:t>
      </w:r>
      <w:r>
        <w:rPr>
          <w:spacing w:val="-25"/>
        </w:rPr>
        <w:t> </w:t>
      </w:r>
      <w:r>
        <w:rPr/>
        <w:t>tested</w:t>
      </w:r>
      <w:r>
        <w:rPr>
          <w:spacing w:val="-23"/>
        </w:rPr>
        <w:t> </w:t>
      </w:r>
      <w:r>
        <w:rPr/>
        <w:t>microorganisms in the form of viruses, ‘gram-positive’ and ‘gram-negative’ bacteria and fungi and to successfully inhibit yeasts. The investigations took place in different la- boratories under scientifically neutral</w:t>
      </w:r>
      <w:r>
        <w:rPr>
          <w:spacing w:val="-2"/>
        </w:rPr>
        <w:t> </w:t>
      </w:r>
      <w:r>
        <w:rPr/>
        <w:t>conditions.</w:t>
      </w:r>
    </w:p>
    <w:p>
      <w:pPr>
        <w:pStyle w:val="BodyText"/>
        <w:spacing w:line="276" w:lineRule="auto" w:before="120"/>
        <w:ind w:left="477"/>
      </w:pPr>
      <w:r>
        <w:rPr/>
        <w:t>For this purpose, the microorganisms were first grown on nutrient media and then treated with grapefruit seed extract in different concentrations.</w:t>
      </w:r>
    </w:p>
    <w:p>
      <w:pPr>
        <w:pStyle w:val="BodyText"/>
        <w:spacing w:line="276" w:lineRule="auto" w:before="241"/>
        <w:ind w:left="477"/>
      </w:pPr>
      <w:r>
        <w:rPr/>
        <w:t>The studies spanned a period from 1991 to 1993; the following laboratories participated:</w:t>
      </w:r>
    </w:p>
    <w:p>
      <w:pPr>
        <w:pStyle w:val="BodyText"/>
        <w:spacing w:line="343" w:lineRule="auto" w:before="241"/>
        <w:ind w:left="477" w:right="3362"/>
      </w:pPr>
      <w:r>
        <w:rPr/>
        <w:t>Valley Microbiology Services, Palo Alto, California, USA Bio/Chem Research Inc., Lakeport, California, USA</w:t>
      </w:r>
    </w:p>
    <w:p>
      <w:pPr>
        <w:pStyle w:val="BodyText"/>
        <w:spacing w:line="427" w:lineRule="exact"/>
        <w:ind w:left="477"/>
      </w:pPr>
      <w:r>
        <w:rPr/>
        <w:t>Bio-Research Laboratories, Redmond, WA, USA</w:t>
      </w:r>
    </w:p>
    <w:p>
      <w:pPr>
        <w:pStyle w:val="BodyText"/>
        <w:spacing w:line="343" w:lineRule="auto" w:before="184"/>
        <w:ind w:left="477" w:right="2530"/>
      </w:pPr>
      <w:r>
        <w:rPr/>
        <w:t>Northview Pacific Laboratories, Inc., Berkley, California, USA British Columbia Research Corp., Vancouver, Canada</w:t>
      </w:r>
    </w:p>
    <w:p>
      <w:pPr>
        <w:pStyle w:val="BodyText"/>
        <w:spacing w:before="122"/>
        <w:ind w:left="477"/>
      </w:pPr>
      <w:r>
        <w:rPr/>
        <w:t>Explanation of the following table:</w:t>
      </w:r>
    </w:p>
    <w:p>
      <w:pPr>
        <w:pStyle w:val="ListParagraph"/>
        <w:numPr>
          <w:ilvl w:val="2"/>
          <w:numId w:val="35"/>
        </w:numPr>
        <w:tabs>
          <w:tab w:pos="1198" w:val="left" w:leader="none"/>
        </w:tabs>
        <w:spacing w:line="271" w:lineRule="auto" w:before="185" w:after="0"/>
        <w:ind w:left="1197" w:right="140" w:hanging="360"/>
        <w:jc w:val="left"/>
        <w:rPr>
          <w:sz w:val="38"/>
        </w:rPr>
      </w:pPr>
      <w:r>
        <w:rPr>
          <w:sz w:val="38"/>
        </w:rPr>
        <w:t>gram-positive, gram-negative: it is merely an indication of the method of dyeing the tested bacteria, which make them visible to the human</w:t>
      </w:r>
      <w:r>
        <w:rPr>
          <w:spacing w:val="-11"/>
          <w:sz w:val="38"/>
        </w:rPr>
        <w:t> </w:t>
      </w:r>
      <w:r>
        <w:rPr>
          <w:sz w:val="38"/>
        </w:rPr>
        <w:t>eye.</w:t>
      </w:r>
    </w:p>
    <w:p>
      <w:pPr>
        <w:pStyle w:val="BodyText"/>
        <w:rPr>
          <w:sz w:val="20"/>
        </w:rPr>
      </w:pPr>
    </w:p>
    <w:p>
      <w:pPr>
        <w:pStyle w:val="BodyText"/>
        <w:rPr>
          <w:sz w:val="20"/>
        </w:rPr>
      </w:pPr>
    </w:p>
    <w:p>
      <w:pPr>
        <w:pStyle w:val="BodyText"/>
        <w:spacing w:before="7"/>
        <w:rPr>
          <w:sz w:val="29"/>
        </w:rPr>
      </w:pPr>
      <w:r>
        <w:rPr/>
        <w:pict>
          <v:line style="position:absolute;mso-position-horizontal-relative:page;mso-position-vertical-relative:paragraph;z-index:4352;mso-wrap-distance-left:0;mso-wrap-distance-right:0" from="63.863998pt,19.043949pt" to="207.883998pt,19.043949pt" stroked="true" strokeweight=".72003pt" strokecolor="#000000">
            <v:stroke dashstyle="solid"/>
            <w10:wrap type="topAndBottom"/>
          </v:line>
        </w:pict>
      </w:r>
    </w:p>
    <w:p>
      <w:pPr>
        <w:pStyle w:val="BodyText"/>
        <w:spacing w:before="7"/>
        <w:rPr>
          <w:sz w:val="18"/>
        </w:rPr>
      </w:pPr>
    </w:p>
    <w:p>
      <w:pPr>
        <w:spacing w:line="276" w:lineRule="auto" w:before="99"/>
        <w:ind w:left="477" w:right="6169" w:firstLine="0"/>
        <w:jc w:val="left"/>
        <w:rPr>
          <w:sz w:val="20"/>
        </w:rPr>
      </w:pPr>
      <w:r>
        <w:rPr>
          <w:position w:val="5"/>
          <w:sz w:val="13"/>
        </w:rPr>
        <w:t>365 </w:t>
      </w:r>
      <w:r>
        <w:rPr>
          <w:sz w:val="20"/>
        </w:rPr>
        <w:t>Bio Research Lab., Redmond USA - Institut Pasteur, Paris, France Valley Microbiology Services, Palo Alto, USA</w:t>
      </w:r>
    </w:p>
    <w:p>
      <w:pPr>
        <w:spacing w:after="0" w:line="276" w:lineRule="auto"/>
        <w:jc w:val="left"/>
        <w:rPr>
          <w:sz w:val="20"/>
        </w:rPr>
        <w:sectPr>
          <w:pgSz w:w="14270" w:h="16850"/>
          <w:pgMar w:header="0" w:footer="404" w:top="1600" w:bottom="2080" w:left="800" w:right="1280"/>
        </w:sectPr>
      </w:pPr>
    </w:p>
    <w:p>
      <w:pPr>
        <w:pStyle w:val="ListParagraph"/>
        <w:numPr>
          <w:ilvl w:val="2"/>
          <w:numId w:val="35"/>
        </w:numPr>
        <w:tabs>
          <w:tab w:pos="1198" w:val="left" w:leader="none"/>
        </w:tabs>
        <w:spacing w:line="273" w:lineRule="auto" w:before="182" w:after="0"/>
        <w:ind w:left="1197" w:right="132" w:hanging="360"/>
        <w:jc w:val="both"/>
        <w:rPr>
          <w:sz w:val="38"/>
        </w:rPr>
      </w:pPr>
      <w:r>
        <w:rPr>
          <w:sz w:val="38"/>
        </w:rPr>
        <w:t>MIC (ppm): abbreviation for ‘Minimum Inhibitory Concentration (parts per million)’, i.e. for the smallest effective inhibiting concentration of the 60 % basic extract, given in one-millionth</w:t>
      </w:r>
      <w:r>
        <w:rPr>
          <w:spacing w:val="-2"/>
          <w:sz w:val="38"/>
        </w:rPr>
        <w:t> </w:t>
      </w:r>
      <w:r>
        <w:rPr>
          <w:sz w:val="38"/>
        </w:rPr>
        <w:t>parts.</w:t>
      </w:r>
    </w:p>
    <w:p>
      <w:pPr>
        <w:pStyle w:val="ListParagraph"/>
        <w:numPr>
          <w:ilvl w:val="2"/>
          <w:numId w:val="35"/>
        </w:numPr>
        <w:tabs>
          <w:tab w:pos="1198" w:val="left" w:leader="none"/>
        </w:tabs>
        <w:spacing w:line="276" w:lineRule="auto" w:before="247" w:after="0"/>
        <w:ind w:left="1197" w:right="135" w:hanging="360"/>
        <w:jc w:val="both"/>
        <w:rPr>
          <w:sz w:val="38"/>
        </w:rPr>
      </w:pPr>
      <w:r>
        <w:rPr>
          <w:sz w:val="38"/>
        </w:rPr>
        <w:t>origin and strain: the origin of the bacterial culture and the laboratory is hereby</w:t>
      </w:r>
      <w:r>
        <w:rPr>
          <w:spacing w:val="-6"/>
          <w:sz w:val="38"/>
        </w:rPr>
        <w:t> </w:t>
      </w:r>
      <w:r>
        <w:rPr>
          <w:sz w:val="38"/>
        </w:rPr>
        <w:t>recorded</w:t>
      </w:r>
      <w:r>
        <w:rPr>
          <w:spacing w:val="-7"/>
          <w:sz w:val="38"/>
        </w:rPr>
        <w:t> </w:t>
      </w:r>
      <w:r>
        <w:rPr>
          <w:sz w:val="38"/>
        </w:rPr>
        <w:t>in</w:t>
      </w:r>
      <w:r>
        <w:rPr>
          <w:spacing w:val="-7"/>
          <w:sz w:val="38"/>
        </w:rPr>
        <w:t> </w:t>
      </w:r>
      <w:r>
        <w:rPr>
          <w:sz w:val="38"/>
        </w:rPr>
        <w:t>order</w:t>
      </w:r>
      <w:r>
        <w:rPr>
          <w:spacing w:val="-6"/>
          <w:sz w:val="38"/>
        </w:rPr>
        <w:t> </w:t>
      </w:r>
      <w:r>
        <w:rPr>
          <w:sz w:val="38"/>
        </w:rPr>
        <w:t>to</w:t>
      </w:r>
      <w:r>
        <w:rPr>
          <w:spacing w:val="-7"/>
          <w:sz w:val="38"/>
        </w:rPr>
        <w:t> </w:t>
      </w:r>
      <w:r>
        <w:rPr>
          <w:sz w:val="38"/>
        </w:rPr>
        <w:t>be</w:t>
      </w:r>
      <w:r>
        <w:rPr>
          <w:spacing w:val="-6"/>
          <w:sz w:val="38"/>
        </w:rPr>
        <w:t> </w:t>
      </w:r>
      <w:r>
        <w:rPr>
          <w:sz w:val="38"/>
        </w:rPr>
        <w:t>able</w:t>
      </w:r>
      <w:r>
        <w:rPr>
          <w:spacing w:val="-4"/>
          <w:sz w:val="38"/>
        </w:rPr>
        <w:t> </w:t>
      </w:r>
      <w:r>
        <w:rPr>
          <w:sz w:val="38"/>
        </w:rPr>
        <w:t>to</w:t>
      </w:r>
      <w:r>
        <w:rPr>
          <w:spacing w:val="-7"/>
          <w:sz w:val="38"/>
        </w:rPr>
        <w:t> </w:t>
      </w:r>
      <w:r>
        <w:rPr>
          <w:sz w:val="38"/>
        </w:rPr>
        <w:t>allocate</w:t>
      </w:r>
      <w:r>
        <w:rPr>
          <w:spacing w:val="-5"/>
          <w:sz w:val="38"/>
        </w:rPr>
        <w:t> </w:t>
      </w:r>
      <w:r>
        <w:rPr>
          <w:sz w:val="38"/>
        </w:rPr>
        <w:t>them</w:t>
      </w:r>
      <w:r>
        <w:rPr>
          <w:spacing w:val="-4"/>
          <w:sz w:val="38"/>
        </w:rPr>
        <w:t> </w:t>
      </w:r>
      <w:r>
        <w:rPr>
          <w:sz w:val="38"/>
        </w:rPr>
        <w:t>in</w:t>
      </w:r>
      <w:r>
        <w:rPr>
          <w:spacing w:val="-4"/>
          <w:sz w:val="38"/>
        </w:rPr>
        <w:t> </w:t>
      </w:r>
      <w:r>
        <w:rPr>
          <w:sz w:val="38"/>
        </w:rPr>
        <w:t>the</w:t>
      </w:r>
      <w:r>
        <w:rPr>
          <w:spacing w:val="-4"/>
          <w:sz w:val="38"/>
        </w:rPr>
        <w:t> </w:t>
      </w:r>
      <w:r>
        <w:rPr>
          <w:sz w:val="38"/>
        </w:rPr>
        <w:t>case</w:t>
      </w:r>
      <w:r>
        <w:rPr>
          <w:spacing w:val="-6"/>
          <w:sz w:val="38"/>
        </w:rPr>
        <w:t> </w:t>
      </w:r>
      <w:r>
        <w:rPr>
          <w:sz w:val="38"/>
        </w:rPr>
        <w:t>of</w:t>
      </w:r>
      <w:r>
        <w:rPr>
          <w:spacing w:val="-5"/>
          <w:sz w:val="38"/>
        </w:rPr>
        <w:t> </w:t>
      </w:r>
      <w:r>
        <w:rPr>
          <w:sz w:val="38"/>
        </w:rPr>
        <w:t>a</w:t>
      </w:r>
      <w:r>
        <w:rPr>
          <w:spacing w:val="-5"/>
          <w:sz w:val="38"/>
        </w:rPr>
        <w:t> </w:t>
      </w:r>
      <w:r>
        <w:rPr>
          <w:sz w:val="38"/>
        </w:rPr>
        <w:t>muta- tion</w:t>
      </w:r>
      <w:r>
        <w:rPr>
          <w:spacing w:val="-24"/>
          <w:sz w:val="38"/>
        </w:rPr>
        <w:t> </w:t>
      </w:r>
      <w:r>
        <w:rPr>
          <w:sz w:val="38"/>
        </w:rPr>
        <w:t>and</w:t>
      </w:r>
      <w:r>
        <w:rPr>
          <w:spacing w:val="-25"/>
          <w:sz w:val="38"/>
        </w:rPr>
        <w:t> </w:t>
      </w:r>
      <w:r>
        <w:rPr>
          <w:sz w:val="38"/>
        </w:rPr>
        <w:t>thus</w:t>
      </w:r>
      <w:r>
        <w:rPr>
          <w:spacing w:val="-24"/>
          <w:sz w:val="38"/>
        </w:rPr>
        <w:t> </w:t>
      </w:r>
      <w:r>
        <w:rPr>
          <w:sz w:val="38"/>
        </w:rPr>
        <w:t>any</w:t>
      </w:r>
      <w:r>
        <w:rPr>
          <w:spacing w:val="-23"/>
          <w:sz w:val="38"/>
        </w:rPr>
        <w:t> </w:t>
      </w:r>
      <w:r>
        <w:rPr>
          <w:sz w:val="38"/>
        </w:rPr>
        <w:t>change</w:t>
      </w:r>
      <w:r>
        <w:rPr>
          <w:spacing w:val="-24"/>
          <w:sz w:val="38"/>
        </w:rPr>
        <w:t> </w:t>
      </w:r>
      <w:r>
        <w:rPr>
          <w:sz w:val="38"/>
        </w:rPr>
        <w:t>in</w:t>
      </w:r>
      <w:r>
        <w:rPr>
          <w:spacing w:val="-24"/>
          <w:sz w:val="38"/>
        </w:rPr>
        <w:t> </w:t>
      </w:r>
      <w:r>
        <w:rPr>
          <w:sz w:val="38"/>
        </w:rPr>
        <w:t>the</w:t>
      </w:r>
      <w:r>
        <w:rPr>
          <w:spacing w:val="-24"/>
          <w:sz w:val="38"/>
        </w:rPr>
        <w:t> </w:t>
      </w:r>
      <w:r>
        <w:rPr>
          <w:sz w:val="38"/>
        </w:rPr>
        <w:t>characteristics</w:t>
      </w:r>
      <w:r>
        <w:rPr>
          <w:spacing w:val="-23"/>
          <w:sz w:val="38"/>
        </w:rPr>
        <w:t> </w:t>
      </w:r>
      <w:r>
        <w:rPr>
          <w:sz w:val="38"/>
        </w:rPr>
        <w:t>of</w:t>
      </w:r>
      <w:r>
        <w:rPr>
          <w:spacing w:val="-25"/>
          <w:sz w:val="38"/>
        </w:rPr>
        <w:t> </w:t>
      </w:r>
      <w:r>
        <w:rPr>
          <w:sz w:val="38"/>
        </w:rPr>
        <w:t>the</w:t>
      </w:r>
      <w:r>
        <w:rPr>
          <w:spacing w:val="-24"/>
          <w:sz w:val="38"/>
        </w:rPr>
        <w:t> </w:t>
      </w:r>
      <w:r>
        <w:rPr>
          <w:sz w:val="38"/>
        </w:rPr>
        <w:t>microorganisms</w:t>
      </w:r>
      <w:r>
        <w:rPr>
          <w:spacing w:val="-23"/>
          <w:sz w:val="38"/>
        </w:rPr>
        <w:t> </w:t>
      </w:r>
      <w:r>
        <w:rPr>
          <w:sz w:val="38"/>
        </w:rPr>
        <w:t>being tested.</w:t>
      </w:r>
    </w:p>
    <w:p>
      <w:pPr>
        <w:pStyle w:val="ListParagraph"/>
        <w:numPr>
          <w:ilvl w:val="2"/>
          <w:numId w:val="35"/>
        </w:numPr>
        <w:tabs>
          <w:tab w:pos="1198" w:val="left" w:leader="none"/>
        </w:tabs>
        <w:spacing w:line="240" w:lineRule="auto" w:before="237" w:after="0"/>
        <w:ind w:left="1197" w:right="0" w:hanging="360"/>
        <w:jc w:val="left"/>
        <w:rPr>
          <w:sz w:val="38"/>
        </w:rPr>
      </w:pPr>
      <w:r>
        <w:rPr>
          <w:sz w:val="38"/>
        </w:rPr>
        <w:t>tr./ltr: dilution, i.e. drops of grapefruit seed extract per litre of</w:t>
      </w:r>
      <w:r>
        <w:rPr>
          <w:spacing w:val="-17"/>
          <w:sz w:val="38"/>
        </w:rPr>
        <w:t> </w:t>
      </w:r>
      <w:r>
        <w:rPr>
          <w:sz w:val="38"/>
        </w:rPr>
        <w:t>solution.</w:t>
      </w:r>
    </w:p>
    <w:p>
      <w:pPr>
        <w:spacing w:after="0" w:line="240" w:lineRule="auto"/>
        <w:jc w:val="left"/>
        <w:rPr>
          <w:sz w:val="38"/>
        </w:rPr>
        <w:sectPr>
          <w:pgSz w:w="14270" w:h="16850"/>
          <w:pgMar w:header="0" w:footer="404" w:top="1600" w:bottom="2080" w:left="800" w:right="1280"/>
        </w:sectPr>
      </w:pPr>
    </w:p>
    <w:p>
      <w:pPr>
        <w:spacing w:line="276" w:lineRule="auto" w:before="181"/>
        <w:ind w:left="477" w:right="0" w:firstLine="0"/>
        <w:jc w:val="left"/>
        <w:rPr>
          <w:sz w:val="38"/>
        </w:rPr>
      </w:pPr>
      <w:r>
        <w:rPr>
          <w:b/>
          <w:sz w:val="38"/>
        </w:rPr>
        <w:t>Minimum inhibitory concentration in vitro </w:t>
      </w:r>
      <w:r>
        <w:rPr>
          <w:sz w:val="38"/>
        </w:rPr>
        <w:t>(minimal inhibitory concentra- tion GKE in vitro):</w:t>
      </w:r>
    </w:p>
    <w:p>
      <w:pPr>
        <w:pStyle w:val="BodyText"/>
        <w:rPr>
          <w:sz w:val="20"/>
        </w:rPr>
      </w:pPr>
    </w:p>
    <w:p>
      <w:pPr>
        <w:pStyle w:val="BodyText"/>
        <w:rPr>
          <w:sz w:val="20"/>
        </w:rPr>
      </w:pPr>
    </w:p>
    <w:p>
      <w:pPr>
        <w:pStyle w:val="BodyText"/>
        <w:spacing w:before="3"/>
        <w:rPr>
          <w:sz w:val="27"/>
        </w:rPr>
      </w:pPr>
    </w:p>
    <w:tbl>
      <w:tblPr>
        <w:tblW w:w="0" w:type="auto"/>
        <w:jc w:val="left"/>
        <w:tblInd w:w="1597"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top w:w="0" w:type="dxa"/>
          <w:left w:w="0" w:type="dxa"/>
          <w:bottom w:w="0" w:type="dxa"/>
          <w:right w:w="0" w:type="dxa"/>
        </w:tblCellMar>
        <w:tblLook w:val="01E0"/>
      </w:tblPr>
      <w:tblGrid>
        <w:gridCol w:w="4575"/>
        <w:gridCol w:w="1200"/>
        <w:gridCol w:w="1023"/>
        <w:gridCol w:w="1000"/>
        <w:gridCol w:w="1547"/>
      </w:tblGrid>
      <w:tr>
        <w:trPr>
          <w:trHeight w:val="741" w:hRule="atLeast"/>
        </w:trPr>
        <w:tc>
          <w:tcPr>
            <w:tcW w:w="4575" w:type="dxa"/>
          </w:tcPr>
          <w:p>
            <w:pPr>
              <w:pStyle w:val="TableParagraph"/>
              <w:spacing w:before="23"/>
              <w:ind w:left="1" w:right="1"/>
              <w:jc w:val="center"/>
              <w:rPr>
                <w:b/>
                <w:sz w:val="38"/>
              </w:rPr>
            </w:pPr>
            <w:r>
              <w:rPr>
                <w:b/>
                <w:sz w:val="38"/>
              </w:rPr>
              <w:t>Gram-positive bacteria</w:t>
            </w:r>
          </w:p>
        </w:tc>
        <w:tc>
          <w:tcPr>
            <w:tcW w:w="1200" w:type="dxa"/>
          </w:tcPr>
          <w:p>
            <w:pPr>
              <w:pStyle w:val="TableParagraph"/>
              <w:spacing w:before="23"/>
              <w:ind w:left="40" w:right="29"/>
              <w:jc w:val="center"/>
              <w:rPr>
                <w:b/>
                <w:sz w:val="38"/>
              </w:rPr>
            </w:pPr>
            <w:r>
              <w:rPr>
                <w:b/>
                <w:sz w:val="38"/>
              </w:rPr>
              <w:t>Origin</w:t>
            </w:r>
          </w:p>
        </w:tc>
        <w:tc>
          <w:tcPr>
            <w:tcW w:w="1023" w:type="dxa"/>
          </w:tcPr>
          <w:p>
            <w:pPr>
              <w:pStyle w:val="TableParagraph"/>
              <w:spacing w:before="23"/>
              <w:ind w:left="11"/>
              <w:jc w:val="center"/>
              <w:rPr>
                <w:b/>
                <w:sz w:val="38"/>
              </w:rPr>
            </w:pPr>
            <w:r>
              <w:rPr>
                <w:b/>
                <w:sz w:val="38"/>
              </w:rPr>
              <w:t>Strain</w:t>
            </w:r>
          </w:p>
        </w:tc>
        <w:tc>
          <w:tcPr>
            <w:tcW w:w="1000" w:type="dxa"/>
          </w:tcPr>
          <w:p>
            <w:pPr>
              <w:pStyle w:val="TableParagraph"/>
              <w:spacing w:before="23"/>
              <w:ind w:left="10"/>
              <w:jc w:val="center"/>
              <w:rPr>
                <w:b/>
                <w:sz w:val="38"/>
              </w:rPr>
            </w:pPr>
            <w:r>
              <w:rPr>
                <w:b/>
                <w:sz w:val="38"/>
              </w:rPr>
              <w:t>ppm2</w:t>
            </w:r>
          </w:p>
        </w:tc>
        <w:tc>
          <w:tcPr>
            <w:tcW w:w="1547" w:type="dxa"/>
          </w:tcPr>
          <w:p>
            <w:pPr>
              <w:pStyle w:val="TableParagraph"/>
              <w:spacing w:before="23"/>
              <w:ind w:left="10"/>
              <w:jc w:val="center"/>
              <w:rPr>
                <w:b/>
                <w:sz w:val="38"/>
              </w:rPr>
            </w:pPr>
            <w:r>
              <w:rPr>
                <w:b/>
                <w:sz w:val="38"/>
              </w:rPr>
              <w:t>Tr./Ltr.3</w:t>
            </w:r>
          </w:p>
        </w:tc>
      </w:tr>
      <w:tr>
        <w:trPr>
          <w:trHeight w:val="740" w:hRule="atLeast"/>
        </w:trPr>
        <w:tc>
          <w:tcPr>
            <w:tcW w:w="4575" w:type="dxa"/>
          </w:tcPr>
          <w:p>
            <w:pPr>
              <w:pStyle w:val="TableParagraph"/>
              <w:spacing w:before="22"/>
              <w:ind w:left="4" w:right="1"/>
              <w:jc w:val="center"/>
              <w:rPr>
                <w:sz w:val="38"/>
              </w:rPr>
            </w:pPr>
            <w:r>
              <w:rPr>
                <w:sz w:val="38"/>
              </w:rPr>
              <w:t>Bacillus subtilis</w:t>
            </w:r>
          </w:p>
        </w:tc>
        <w:tc>
          <w:tcPr>
            <w:tcW w:w="1200" w:type="dxa"/>
          </w:tcPr>
          <w:p>
            <w:pPr>
              <w:pStyle w:val="TableParagraph"/>
              <w:spacing w:before="22"/>
              <w:ind w:left="40" w:right="27"/>
              <w:jc w:val="center"/>
              <w:rPr>
                <w:sz w:val="38"/>
              </w:rPr>
            </w:pPr>
            <w:r>
              <w:rPr>
                <w:sz w:val="38"/>
              </w:rPr>
              <w:t>NCTC</w:t>
            </w:r>
          </w:p>
        </w:tc>
        <w:tc>
          <w:tcPr>
            <w:tcW w:w="1023" w:type="dxa"/>
          </w:tcPr>
          <w:p>
            <w:pPr>
              <w:pStyle w:val="TableParagraph"/>
              <w:spacing w:before="22"/>
              <w:ind w:left="12"/>
              <w:jc w:val="center"/>
              <w:rPr>
                <w:sz w:val="38"/>
              </w:rPr>
            </w:pPr>
            <w:r>
              <w:rPr>
                <w:sz w:val="38"/>
              </w:rPr>
              <w:t>8236</w:t>
            </w:r>
          </w:p>
        </w:tc>
        <w:tc>
          <w:tcPr>
            <w:tcW w:w="1000" w:type="dxa"/>
          </w:tcPr>
          <w:p>
            <w:pPr>
              <w:pStyle w:val="TableParagraph"/>
              <w:spacing w:before="22"/>
              <w:ind w:left="11"/>
              <w:jc w:val="center"/>
              <w:rPr>
                <w:sz w:val="38"/>
              </w:rPr>
            </w:pPr>
            <w:r>
              <w:rPr>
                <w:w w:val="99"/>
                <w:sz w:val="38"/>
              </w:rPr>
              <w:t>2</w:t>
            </w:r>
          </w:p>
        </w:tc>
        <w:tc>
          <w:tcPr>
            <w:tcW w:w="1547" w:type="dxa"/>
          </w:tcPr>
          <w:p>
            <w:pPr>
              <w:pStyle w:val="TableParagraph"/>
              <w:spacing w:before="22"/>
              <w:ind w:left="10"/>
              <w:jc w:val="center"/>
              <w:rPr>
                <w:sz w:val="38"/>
              </w:rPr>
            </w:pPr>
            <w:r>
              <w:rPr>
                <w:sz w:val="38"/>
              </w:rPr>
              <w:t>&lt;1</w:t>
            </w:r>
          </w:p>
        </w:tc>
      </w:tr>
      <w:tr>
        <w:trPr>
          <w:trHeight w:val="743" w:hRule="atLeast"/>
        </w:trPr>
        <w:tc>
          <w:tcPr>
            <w:tcW w:w="4575" w:type="dxa"/>
          </w:tcPr>
          <w:p>
            <w:pPr>
              <w:pStyle w:val="TableParagraph"/>
              <w:spacing w:before="25"/>
              <w:ind w:left="1" w:right="1"/>
              <w:jc w:val="center"/>
              <w:rPr>
                <w:sz w:val="38"/>
              </w:rPr>
            </w:pPr>
            <w:r>
              <w:rPr>
                <w:sz w:val="38"/>
              </w:rPr>
              <w:t>Bacillus megatherium</w:t>
            </w:r>
          </w:p>
        </w:tc>
        <w:tc>
          <w:tcPr>
            <w:tcW w:w="1200" w:type="dxa"/>
          </w:tcPr>
          <w:p>
            <w:pPr>
              <w:pStyle w:val="TableParagraph"/>
              <w:spacing w:before="25"/>
              <w:ind w:left="15"/>
              <w:jc w:val="center"/>
              <w:rPr>
                <w:sz w:val="38"/>
              </w:rPr>
            </w:pPr>
            <w:r>
              <w:rPr>
                <w:w w:val="99"/>
                <w:sz w:val="38"/>
              </w:rPr>
              <w:t>A</w:t>
            </w:r>
          </w:p>
        </w:tc>
        <w:tc>
          <w:tcPr>
            <w:tcW w:w="1023" w:type="dxa"/>
          </w:tcPr>
          <w:p>
            <w:pPr>
              <w:pStyle w:val="TableParagraph"/>
              <w:spacing w:before="25"/>
              <w:ind w:left="15"/>
              <w:jc w:val="center"/>
              <w:rPr>
                <w:sz w:val="38"/>
              </w:rPr>
            </w:pPr>
            <w:r>
              <w:rPr>
                <w:w w:val="99"/>
                <w:sz w:val="38"/>
              </w:rPr>
              <w:t>-</w:t>
            </w:r>
          </w:p>
        </w:tc>
        <w:tc>
          <w:tcPr>
            <w:tcW w:w="1000" w:type="dxa"/>
          </w:tcPr>
          <w:p>
            <w:pPr>
              <w:pStyle w:val="TableParagraph"/>
              <w:spacing w:before="25"/>
              <w:ind w:left="11"/>
              <w:jc w:val="center"/>
              <w:rPr>
                <w:sz w:val="38"/>
              </w:rPr>
            </w:pPr>
            <w:r>
              <w:rPr>
                <w:sz w:val="38"/>
              </w:rPr>
              <w:t>60</w:t>
            </w:r>
          </w:p>
        </w:tc>
        <w:tc>
          <w:tcPr>
            <w:tcW w:w="1547" w:type="dxa"/>
          </w:tcPr>
          <w:p>
            <w:pPr>
              <w:pStyle w:val="TableParagraph"/>
              <w:spacing w:before="25"/>
              <w:ind w:left="13"/>
              <w:jc w:val="center"/>
              <w:rPr>
                <w:sz w:val="38"/>
              </w:rPr>
            </w:pPr>
            <w:r>
              <w:rPr>
                <w:w w:val="99"/>
                <w:sz w:val="38"/>
              </w:rPr>
              <w:t>2</w:t>
            </w:r>
          </w:p>
        </w:tc>
      </w:tr>
      <w:tr>
        <w:trPr>
          <w:trHeight w:val="740" w:hRule="atLeast"/>
        </w:trPr>
        <w:tc>
          <w:tcPr>
            <w:tcW w:w="4575" w:type="dxa"/>
          </w:tcPr>
          <w:p>
            <w:pPr>
              <w:pStyle w:val="TableParagraph"/>
              <w:spacing w:before="120"/>
              <w:ind w:left="4" w:right="1"/>
              <w:jc w:val="center"/>
              <w:rPr>
                <w:sz w:val="38"/>
              </w:rPr>
            </w:pPr>
            <w:r>
              <w:rPr>
                <w:sz w:val="38"/>
              </w:rPr>
              <w:t>Bacillus cereus</w:t>
            </w:r>
          </w:p>
        </w:tc>
        <w:tc>
          <w:tcPr>
            <w:tcW w:w="1200" w:type="dxa"/>
          </w:tcPr>
          <w:p>
            <w:pPr>
              <w:pStyle w:val="TableParagraph"/>
              <w:spacing w:before="22"/>
              <w:ind w:left="15"/>
              <w:jc w:val="center"/>
              <w:rPr>
                <w:sz w:val="38"/>
              </w:rPr>
            </w:pPr>
            <w:r>
              <w:rPr>
                <w:w w:val="99"/>
                <w:sz w:val="38"/>
              </w:rPr>
              <w:t>A</w:t>
            </w:r>
          </w:p>
        </w:tc>
        <w:tc>
          <w:tcPr>
            <w:tcW w:w="1023" w:type="dxa"/>
          </w:tcPr>
          <w:p>
            <w:pPr>
              <w:pStyle w:val="TableParagraph"/>
              <w:spacing w:before="22"/>
              <w:ind w:left="15"/>
              <w:jc w:val="center"/>
              <w:rPr>
                <w:sz w:val="38"/>
              </w:rPr>
            </w:pPr>
            <w:r>
              <w:rPr>
                <w:w w:val="99"/>
                <w:sz w:val="38"/>
              </w:rPr>
              <w:t>-</w:t>
            </w:r>
          </w:p>
        </w:tc>
        <w:tc>
          <w:tcPr>
            <w:tcW w:w="1000" w:type="dxa"/>
          </w:tcPr>
          <w:p>
            <w:pPr>
              <w:pStyle w:val="TableParagraph"/>
              <w:spacing w:before="22"/>
              <w:ind w:left="11"/>
              <w:jc w:val="center"/>
              <w:rPr>
                <w:sz w:val="38"/>
              </w:rPr>
            </w:pPr>
            <w:r>
              <w:rPr>
                <w:sz w:val="38"/>
              </w:rPr>
              <w:t>60</w:t>
            </w:r>
          </w:p>
        </w:tc>
        <w:tc>
          <w:tcPr>
            <w:tcW w:w="1547" w:type="dxa"/>
          </w:tcPr>
          <w:p>
            <w:pPr>
              <w:pStyle w:val="TableParagraph"/>
              <w:spacing w:before="22"/>
              <w:ind w:left="13"/>
              <w:jc w:val="center"/>
              <w:rPr>
                <w:sz w:val="38"/>
              </w:rPr>
            </w:pPr>
            <w:r>
              <w:rPr>
                <w:w w:val="99"/>
                <w:sz w:val="38"/>
              </w:rPr>
              <w:t>2</w:t>
            </w:r>
          </w:p>
        </w:tc>
      </w:tr>
      <w:tr>
        <w:trPr>
          <w:trHeight w:val="742" w:hRule="atLeast"/>
        </w:trPr>
        <w:tc>
          <w:tcPr>
            <w:tcW w:w="4575" w:type="dxa"/>
          </w:tcPr>
          <w:p>
            <w:pPr>
              <w:pStyle w:val="TableParagraph"/>
              <w:spacing w:before="24"/>
              <w:ind w:left="9" w:right="1"/>
              <w:jc w:val="center"/>
              <w:rPr>
                <w:sz w:val="38"/>
              </w:rPr>
            </w:pPr>
            <w:r>
              <w:rPr>
                <w:sz w:val="38"/>
              </w:rPr>
              <w:t>Bacillus cereus var. mycoides</w:t>
            </w:r>
          </w:p>
        </w:tc>
        <w:tc>
          <w:tcPr>
            <w:tcW w:w="1200" w:type="dxa"/>
          </w:tcPr>
          <w:p>
            <w:pPr>
              <w:pStyle w:val="TableParagraph"/>
              <w:spacing w:before="24"/>
              <w:ind w:left="15"/>
              <w:jc w:val="center"/>
              <w:rPr>
                <w:sz w:val="38"/>
              </w:rPr>
            </w:pPr>
            <w:r>
              <w:rPr>
                <w:w w:val="99"/>
                <w:sz w:val="38"/>
              </w:rPr>
              <w:t>A</w:t>
            </w:r>
          </w:p>
        </w:tc>
        <w:tc>
          <w:tcPr>
            <w:tcW w:w="1023" w:type="dxa"/>
          </w:tcPr>
          <w:p>
            <w:pPr>
              <w:pStyle w:val="TableParagraph"/>
              <w:spacing w:before="24"/>
              <w:ind w:left="15"/>
              <w:jc w:val="center"/>
              <w:rPr>
                <w:sz w:val="38"/>
              </w:rPr>
            </w:pPr>
            <w:r>
              <w:rPr>
                <w:w w:val="99"/>
                <w:sz w:val="38"/>
              </w:rPr>
              <w:t>-</w:t>
            </w:r>
          </w:p>
        </w:tc>
        <w:tc>
          <w:tcPr>
            <w:tcW w:w="1000" w:type="dxa"/>
          </w:tcPr>
          <w:p>
            <w:pPr>
              <w:pStyle w:val="TableParagraph"/>
              <w:spacing w:before="24"/>
              <w:ind w:left="11"/>
              <w:jc w:val="center"/>
              <w:rPr>
                <w:sz w:val="38"/>
              </w:rPr>
            </w:pPr>
            <w:r>
              <w:rPr>
                <w:sz w:val="38"/>
              </w:rPr>
              <w:t>60</w:t>
            </w:r>
          </w:p>
        </w:tc>
        <w:tc>
          <w:tcPr>
            <w:tcW w:w="1547" w:type="dxa"/>
          </w:tcPr>
          <w:p>
            <w:pPr>
              <w:pStyle w:val="TableParagraph"/>
              <w:spacing w:before="24"/>
              <w:ind w:left="13"/>
              <w:jc w:val="center"/>
              <w:rPr>
                <w:sz w:val="38"/>
              </w:rPr>
            </w:pPr>
            <w:r>
              <w:rPr>
                <w:w w:val="99"/>
                <w:sz w:val="38"/>
              </w:rPr>
              <w:t>2</w:t>
            </w:r>
          </w:p>
        </w:tc>
      </w:tr>
      <w:tr>
        <w:trPr>
          <w:trHeight w:val="740" w:hRule="atLeast"/>
        </w:trPr>
        <w:tc>
          <w:tcPr>
            <w:tcW w:w="4575" w:type="dxa"/>
          </w:tcPr>
          <w:p>
            <w:pPr>
              <w:pStyle w:val="TableParagraph"/>
              <w:spacing w:before="22"/>
              <w:ind w:left="3" w:right="1"/>
              <w:jc w:val="center"/>
              <w:rPr>
                <w:sz w:val="38"/>
              </w:rPr>
            </w:pPr>
            <w:r>
              <w:rPr>
                <w:sz w:val="38"/>
              </w:rPr>
              <w:t>Clostridium botulinum</w:t>
            </w:r>
          </w:p>
        </w:tc>
        <w:tc>
          <w:tcPr>
            <w:tcW w:w="1200" w:type="dxa"/>
          </w:tcPr>
          <w:p>
            <w:pPr>
              <w:pStyle w:val="TableParagraph"/>
              <w:spacing w:before="22"/>
              <w:ind w:left="40" w:right="27"/>
              <w:jc w:val="center"/>
              <w:rPr>
                <w:sz w:val="38"/>
              </w:rPr>
            </w:pPr>
            <w:r>
              <w:rPr>
                <w:sz w:val="38"/>
              </w:rPr>
              <w:t>NCTC</w:t>
            </w:r>
          </w:p>
        </w:tc>
        <w:tc>
          <w:tcPr>
            <w:tcW w:w="1023" w:type="dxa"/>
          </w:tcPr>
          <w:p>
            <w:pPr>
              <w:pStyle w:val="TableParagraph"/>
              <w:spacing w:before="22"/>
              <w:ind w:left="12"/>
              <w:jc w:val="center"/>
              <w:rPr>
                <w:sz w:val="38"/>
              </w:rPr>
            </w:pPr>
            <w:r>
              <w:rPr>
                <w:sz w:val="38"/>
              </w:rPr>
              <w:t>3805</w:t>
            </w:r>
          </w:p>
        </w:tc>
        <w:tc>
          <w:tcPr>
            <w:tcW w:w="1000" w:type="dxa"/>
          </w:tcPr>
          <w:p>
            <w:pPr>
              <w:pStyle w:val="TableParagraph"/>
              <w:spacing w:before="22"/>
              <w:ind w:left="11"/>
              <w:jc w:val="center"/>
              <w:rPr>
                <w:sz w:val="38"/>
              </w:rPr>
            </w:pPr>
            <w:r>
              <w:rPr>
                <w:sz w:val="38"/>
              </w:rPr>
              <w:t>60</w:t>
            </w:r>
          </w:p>
        </w:tc>
        <w:tc>
          <w:tcPr>
            <w:tcW w:w="1547" w:type="dxa"/>
          </w:tcPr>
          <w:p>
            <w:pPr>
              <w:pStyle w:val="TableParagraph"/>
              <w:spacing w:before="22"/>
              <w:ind w:left="13"/>
              <w:jc w:val="center"/>
              <w:rPr>
                <w:sz w:val="38"/>
              </w:rPr>
            </w:pPr>
            <w:r>
              <w:rPr>
                <w:w w:val="99"/>
                <w:sz w:val="38"/>
              </w:rPr>
              <w:t>2</w:t>
            </w:r>
          </w:p>
        </w:tc>
      </w:tr>
      <w:tr>
        <w:trPr>
          <w:trHeight w:val="743" w:hRule="atLeast"/>
        </w:trPr>
        <w:tc>
          <w:tcPr>
            <w:tcW w:w="4575" w:type="dxa"/>
          </w:tcPr>
          <w:p>
            <w:pPr>
              <w:pStyle w:val="TableParagraph"/>
              <w:spacing w:before="24"/>
              <w:ind w:left="4" w:right="1"/>
              <w:jc w:val="center"/>
              <w:rPr>
                <w:sz w:val="38"/>
              </w:rPr>
            </w:pPr>
            <w:r>
              <w:rPr>
                <w:sz w:val="38"/>
              </w:rPr>
              <w:t>Clostridium tetani</w:t>
            </w:r>
          </w:p>
        </w:tc>
        <w:tc>
          <w:tcPr>
            <w:tcW w:w="1200" w:type="dxa"/>
          </w:tcPr>
          <w:p>
            <w:pPr>
              <w:pStyle w:val="TableParagraph"/>
              <w:spacing w:before="24"/>
              <w:ind w:left="40" w:right="27"/>
              <w:jc w:val="center"/>
              <w:rPr>
                <w:sz w:val="38"/>
              </w:rPr>
            </w:pPr>
            <w:r>
              <w:rPr>
                <w:sz w:val="38"/>
              </w:rPr>
              <w:t>NCTC</w:t>
            </w:r>
          </w:p>
        </w:tc>
        <w:tc>
          <w:tcPr>
            <w:tcW w:w="1023" w:type="dxa"/>
          </w:tcPr>
          <w:p>
            <w:pPr>
              <w:pStyle w:val="TableParagraph"/>
              <w:spacing w:before="24"/>
              <w:ind w:left="12"/>
              <w:jc w:val="center"/>
              <w:rPr>
                <w:sz w:val="38"/>
              </w:rPr>
            </w:pPr>
            <w:r>
              <w:rPr>
                <w:sz w:val="38"/>
              </w:rPr>
              <w:t>9571</w:t>
            </w:r>
          </w:p>
        </w:tc>
        <w:tc>
          <w:tcPr>
            <w:tcW w:w="1000" w:type="dxa"/>
          </w:tcPr>
          <w:p>
            <w:pPr>
              <w:pStyle w:val="TableParagraph"/>
              <w:spacing w:before="24"/>
              <w:ind w:left="11"/>
              <w:jc w:val="center"/>
              <w:rPr>
                <w:sz w:val="38"/>
              </w:rPr>
            </w:pPr>
            <w:r>
              <w:rPr>
                <w:sz w:val="38"/>
              </w:rPr>
              <w:t>60</w:t>
            </w:r>
          </w:p>
        </w:tc>
        <w:tc>
          <w:tcPr>
            <w:tcW w:w="1547" w:type="dxa"/>
          </w:tcPr>
          <w:p>
            <w:pPr>
              <w:pStyle w:val="TableParagraph"/>
              <w:spacing w:before="24"/>
              <w:ind w:left="13"/>
              <w:jc w:val="center"/>
              <w:rPr>
                <w:sz w:val="38"/>
              </w:rPr>
            </w:pPr>
            <w:r>
              <w:rPr>
                <w:w w:val="99"/>
                <w:sz w:val="38"/>
              </w:rPr>
              <w:t>2</w:t>
            </w:r>
          </w:p>
        </w:tc>
      </w:tr>
      <w:tr>
        <w:trPr>
          <w:trHeight w:val="740" w:hRule="atLeast"/>
        </w:trPr>
        <w:tc>
          <w:tcPr>
            <w:tcW w:w="4575" w:type="dxa"/>
          </w:tcPr>
          <w:p>
            <w:pPr>
              <w:pStyle w:val="TableParagraph"/>
              <w:spacing w:before="22"/>
              <w:ind w:left="3" w:right="1"/>
              <w:jc w:val="center"/>
              <w:rPr>
                <w:sz w:val="38"/>
              </w:rPr>
            </w:pPr>
            <w:r>
              <w:rPr>
                <w:sz w:val="38"/>
              </w:rPr>
              <w:t>Corynebacterium acnes</w:t>
            </w:r>
          </w:p>
        </w:tc>
        <w:tc>
          <w:tcPr>
            <w:tcW w:w="1200" w:type="dxa"/>
          </w:tcPr>
          <w:p>
            <w:pPr>
              <w:pStyle w:val="TableParagraph"/>
              <w:spacing w:before="22"/>
              <w:ind w:left="39" w:right="29"/>
              <w:jc w:val="center"/>
              <w:rPr>
                <w:sz w:val="38"/>
              </w:rPr>
            </w:pPr>
            <w:r>
              <w:rPr>
                <w:sz w:val="38"/>
              </w:rPr>
              <w:t>ATCC</w:t>
            </w:r>
          </w:p>
        </w:tc>
        <w:tc>
          <w:tcPr>
            <w:tcW w:w="1023" w:type="dxa"/>
          </w:tcPr>
          <w:p>
            <w:pPr>
              <w:pStyle w:val="TableParagraph"/>
              <w:spacing w:before="22"/>
              <w:ind w:left="12"/>
              <w:jc w:val="center"/>
              <w:rPr>
                <w:sz w:val="38"/>
              </w:rPr>
            </w:pPr>
            <w:r>
              <w:rPr>
                <w:sz w:val="38"/>
              </w:rPr>
              <w:t>6919</w:t>
            </w:r>
          </w:p>
        </w:tc>
        <w:tc>
          <w:tcPr>
            <w:tcW w:w="1000" w:type="dxa"/>
          </w:tcPr>
          <w:p>
            <w:pPr>
              <w:pStyle w:val="TableParagraph"/>
              <w:spacing w:before="22"/>
              <w:ind w:left="11"/>
              <w:jc w:val="center"/>
              <w:rPr>
                <w:sz w:val="38"/>
              </w:rPr>
            </w:pPr>
            <w:r>
              <w:rPr>
                <w:sz w:val="38"/>
              </w:rPr>
              <w:t>60</w:t>
            </w:r>
          </w:p>
        </w:tc>
        <w:tc>
          <w:tcPr>
            <w:tcW w:w="1547" w:type="dxa"/>
          </w:tcPr>
          <w:p>
            <w:pPr>
              <w:pStyle w:val="TableParagraph"/>
              <w:spacing w:before="22"/>
              <w:ind w:left="13"/>
              <w:jc w:val="center"/>
              <w:rPr>
                <w:sz w:val="38"/>
              </w:rPr>
            </w:pPr>
            <w:r>
              <w:rPr>
                <w:w w:val="99"/>
                <w:sz w:val="38"/>
              </w:rPr>
              <w:t>2</w:t>
            </w:r>
          </w:p>
        </w:tc>
      </w:tr>
      <w:tr>
        <w:trPr>
          <w:trHeight w:val="742" w:hRule="atLeast"/>
        </w:trPr>
        <w:tc>
          <w:tcPr>
            <w:tcW w:w="4575" w:type="dxa"/>
          </w:tcPr>
          <w:p>
            <w:pPr>
              <w:pStyle w:val="TableParagraph"/>
              <w:spacing w:before="24"/>
              <w:ind w:left="2" w:right="1"/>
              <w:jc w:val="center"/>
              <w:rPr>
                <w:sz w:val="38"/>
              </w:rPr>
            </w:pPr>
            <w:r>
              <w:rPr>
                <w:sz w:val="38"/>
              </w:rPr>
              <w:t>Corynebacterium diphteriae</w:t>
            </w:r>
          </w:p>
        </w:tc>
        <w:tc>
          <w:tcPr>
            <w:tcW w:w="1200" w:type="dxa"/>
          </w:tcPr>
          <w:p>
            <w:pPr>
              <w:pStyle w:val="TableParagraph"/>
              <w:spacing w:before="24"/>
              <w:ind w:left="39" w:right="29"/>
              <w:jc w:val="center"/>
              <w:rPr>
                <w:sz w:val="38"/>
              </w:rPr>
            </w:pPr>
            <w:r>
              <w:rPr>
                <w:sz w:val="38"/>
              </w:rPr>
              <w:t>ATCC</w:t>
            </w:r>
          </w:p>
        </w:tc>
        <w:tc>
          <w:tcPr>
            <w:tcW w:w="1023" w:type="dxa"/>
          </w:tcPr>
          <w:p>
            <w:pPr>
              <w:pStyle w:val="TableParagraph"/>
              <w:spacing w:before="24"/>
              <w:ind w:left="12"/>
              <w:jc w:val="center"/>
              <w:rPr>
                <w:sz w:val="38"/>
              </w:rPr>
            </w:pPr>
            <w:r>
              <w:rPr>
                <w:sz w:val="38"/>
              </w:rPr>
              <w:t>6917</w:t>
            </w:r>
          </w:p>
        </w:tc>
        <w:tc>
          <w:tcPr>
            <w:tcW w:w="1000" w:type="dxa"/>
          </w:tcPr>
          <w:p>
            <w:pPr>
              <w:pStyle w:val="TableParagraph"/>
              <w:spacing w:before="24"/>
              <w:ind w:left="11"/>
              <w:jc w:val="center"/>
              <w:rPr>
                <w:sz w:val="38"/>
              </w:rPr>
            </w:pPr>
            <w:r>
              <w:rPr>
                <w:sz w:val="38"/>
              </w:rPr>
              <w:t>60</w:t>
            </w:r>
          </w:p>
        </w:tc>
        <w:tc>
          <w:tcPr>
            <w:tcW w:w="1547" w:type="dxa"/>
          </w:tcPr>
          <w:p>
            <w:pPr>
              <w:pStyle w:val="TableParagraph"/>
              <w:spacing w:before="24"/>
              <w:ind w:left="13"/>
              <w:jc w:val="center"/>
              <w:rPr>
                <w:sz w:val="38"/>
              </w:rPr>
            </w:pPr>
            <w:r>
              <w:rPr>
                <w:w w:val="99"/>
                <w:sz w:val="38"/>
              </w:rPr>
              <w:t>2</w:t>
            </w:r>
          </w:p>
        </w:tc>
      </w:tr>
      <w:tr>
        <w:trPr>
          <w:trHeight w:val="740" w:hRule="atLeast"/>
        </w:trPr>
        <w:tc>
          <w:tcPr>
            <w:tcW w:w="4575" w:type="dxa"/>
          </w:tcPr>
          <w:p>
            <w:pPr>
              <w:pStyle w:val="TableParagraph"/>
              <w:spacing w:before="22"/>
              <w:ind w:left="2" w:right="1"/>
              <w:jc w:val="center"/>
              <w:rPr>
                <w:sz w:val="38"/>
              </w:rPr>
            </w:pPr>
            <w:r>
              <w:rPr>
                <w:sz w:val="38"/>
              </w:rPr>
              <w:t>Corynebacterium diphteriae</w:t>
            </w:r>
          </w:p>
        </w:tc>
        <w:tc>
          <w:tcPr>
            <w:tcW w:w="1200" w:type="dxa"/>
          </w:tcPr>
          <w:p>
            <w:pPr>
              <w:pStyle w:val="TableParagraph"/>
              <w:spacing w:before="22"/>
              <w:ind w:left="40" w:right="27"/>
              <w:jc w:val="center"/>
              <w:rPr>
                <w:sz w:val="38"/>
              </w:rPr>
            </w:pPr>
            <w:r>
              <w:rPr>
                <w:sz w:val="38"/>
              </w:rPr>
              <w:t>NCTC</w:t>
            </w:r>
          </w:p>
        </w:tc>
        <w:tc>
          <w:tcPr>
            <w:tcW w:w="1023" w:type="dxa"/>
          </w:tcPr>
          <w:p>
            <w:pPr>
              <w:pStyle w:val="TableParagraph"/>
              <w:spacing w:before="22"/>
              <w:ind w:left="12"/>
              <w:jc w:val="center"/>
              <w:rPr>
                <w:sz w:val="38"/>
              </w:rPr>
            </w:pPr>
            <w:r>
              <w:rPr>
                <w:sz w:val="38"/>
              </w:rPr>
              <w:t>3984</w:t>
            </w:r>
          </w:p>
        </w:tc>
        <w:tc>
          <w:tcPr>
            <w:tcW w:w="1000" w:type="dxa"/>
          </w:tcPr>
          <w:p>
            <w:pPr>
              <w:pStyle w:val="TableParagraph"/>
              <w:spacing w:before="22"/>
              <w:ind w:left="11"/>
              <w:jc w:val="center"/>
              <w:rPr>
                <w:sz w:val="38"/>
              </w:rPr>
            </w:pPr>
            <w:r>
              <w:rPr>
                <w:sz w:val="38"/>
              </w:rPr>
              <w:t>60</w:t>
            </w:r>
          </w:p>
        </w:tc>
        <w:tc>
          <w:tcPr>
            <w:tcW w:w="1547" w:type="dxa"/>
          </w:tcPr>
          <w:p>
            <w:pPr>
              <w:pStyle w:val="TableParagraph"/>
              <w:spacing w:before="22"/>
              <w:ind w:left="13"/>
              <w:jc w:val="center"/>
              <w:rPr>
                <w:sz w:val="38"/>
              </w:rPr>
            </w:pPr>
            <w:r>
              <w:rPr>
                <w:w w:val="99"/>
                <w:sz w:val="38"/>
              </w:rPr>
              <w:t>2</w:t>
            </w:r>
          </w:p>
        </w:tc>
      </w:tr>
      <w:tr>
        <w:trPr>
          <w:trHeight w:val="742" w:hRule="atLeast"/>
        </w:trPr>
        <w:tc>
          <w:tcPr>
            <w:tcW w:w="4575" w:type="dxa"/>
          </w:tcPr>
          <w:p>
            <w:pPr>
              <w:pStyle w:val="TableParagraph"/>
              <w:spacing w:before="24"/>
              <w:ind w:left="2" w:right="1"/>
              <w:jc w:val="center"/>
              <w:rPr>
                <w:sz w:val="38"/>
              </w:rPr>
            </w:pPr>
            <w:r>
              <w:rPr>
                <w:sz w:val="38"/>
              </w:rPr>
              <w:t>Corynebacterium diphteriae</w:t>
            </w:r>
          </w:p>
        </w:tc>
        <w:tc>
          <w:tcPr>
            <w:tcW w:w="1200" w:type="dxa"/>
          </w:tcPr>
          <w:p>
            <w:pPr>
              <w:pStyle w:val="TableParagraph"/>
              <w:spacing w:before="24"/>
              <w:ind w:left="15"/>
              <w:jc w:val="center"/>
              <w:rPr>
                <w:sz w:val="38"/>
              </w:rPr>
            </w:pPr>
            <w:r>
              <w:rPr>
                <w:w w:val="99"/>
                <w:sz w:val="38"/>
              </w:rPr>
              <w:t>A</w:t>
            </w:r>
          </w:p>
        </w:tc>
        <w:tc>
          <w:tcPr>
            <w:tcW w:w="1023" w:type="dxa"/>
          </w:tcPr>
          <w:p>
            <w:pPr>
              <w:pStyle w:val="TableParagraph"/>
              <w:spacing w:before="24"/>
              <w:ind w:left="15"/>
              <w:jc w:val="center"/>
              <w:rPr>
                <w:sz w:val="38"/>
              </w:rPr>
            </w:pPr>
            <w:r>
              <w:rPr>
                <w:w w:val="99"/>
                <w:sz w:val="38"/>
              </w:rPr>
              <w:t>-</w:t>
            </w:r>
          </w:p>
        </w:tc>
        <w:tc>
          <w:tcPr>
            <w:tcW w:w="1000" w:type="dxa"/>
          </w:tcPr>
          <w:p>
            <w:pPr>
              <w:pStyle w:val="TableParagraph"/>
              <w:spacing w:before="24"/>
              <w:ind w:left="11"/>
              <w:jc w:val="center"/>
              <w:rPr>
                <w:sz w:val="38"/>
              </w:rPr>
            </w:pPr>
            <w:r>
              <w:rPr>
                <w:sz w:val="38"/>
              </w:rPr>
              <w:t>60</w:t>
            </w:r>
          </w:p>
        </w:tc>
        <w:tc>
          <w:tcPr>
            <w:tcW w:w="1547" w:type="dxa"/>
          </w:tcPr>
          <w:p>
            <w:pPr>
              <w:pStyle w:val="TableParagraph"/>
              <w:spacing w:before="24"/>
              <w:ind w:left="13"/>
              <w:jc w:val="center"/>
              <w:rPr>
                <w:sz w:val="38"/>
              </w:rPr>
            </w:pPr>
            <w:r>
              <w:rPr>
                <w:w w:val="99"/>
                <w:sz w:val="38"/>
              </w:rPr>
              <w:t>2</w:t>
            </w:r>
          </w:p>
        </w:tc>
      </w:tr>
      <w:tr>
        <w:trPr>
          <w:trHeight w:val="719" w:hRule="atLeast"/>
        </w:trPr>
        <w:tc>
          <w:tcPr>
            <w:tcW w:w="4575" w:type="dxa"/>
          </w:tcPr>
          <w:p>
            <w:pPr>
              <w:pStyle w:val="TableParagraph"/>
              <w:spacing w:before="23"/>
              <w:ind w:left="5" w:right="1"/>
              <w:jc w:val="center"/>
              <w:rPr>
                <w:sz w:val="38"/>
              </w:rPr>
            </w:pPr>
            <w:r>
              <w:rPr>
                <w:sz w:val="38"/>
              </w:rPr>
              <w:t>Corynebact. minutissimum</w:t>
            </w:r>
          </w:p>
        </w:tc>
        <w:tc>
          <w:tcPr>
            <w:tcW w:w="1200" w:type="dxa"/>
          </w:tcPr>
          <w:p>
            <w:pPr>
              <w:pStyle w:val="TableParagraph"/>
              <w:spacing w:before="23"/>
              <w:ind w:left="39" w:right="29"/>
              <w:jc w:val="center"/>
              <w:rPr>
                <w:sz w:val="38"/>
              </w:rPr>
            </w:pPr>
            <w:r>
              <w:rPr>
                <w:sz w:val="38"/>
              </w:rPr>
              <w:t>ATCC</w:t>
            </w:r>
          </w:p>
        </w:tc>
        <w:tc>
          <w:tcPr>
            <w:tcW w:w="1023" w:type="dxa"/>
          </w:tcPr>
          <w:p>
            <w:pPr>
              <w:pStyle w:val="TableParagraph"/>
              <w:spacing w:before="23"/>
              <w:ind w:left="12"/>
              <w:jc w:val="center"/>
              <w:rPr>
                <w:sz w:val="38"/>
              </w:rPr>
            </w:pPr>
            <w:r>
              <w:rPr>
                <w:sz w:val="38"/>
              </w:rPr>
              <w:t>6501</w:t>
            </w:r>
          </w:p>
        </w:tc>
        <w:tc>
          <w:tcPr>
            <w:tcW w:w="1000" w:type="dxa"/>
          </w:tcPr>
          <w:p>
            <w:pPr>
              <w:pStyle w:val="TableParagraph"/>
              <w:spacing w:before="23"/>
              <w:ind w:left="11"/>
              <w:jc w:val="center"/>
              <w:rPr>
                <w:sz w:val="38"/>
              </w:rPr>
            </w:pPr>
            <w:r>
              <w:rPr>
                <w:sz w:val="38"/>
              </w:rPr>
              <w:t>100</w:t>
            </w:r>
          </w:p>
        </w:tc>
        <w:tc>
          <w:tcPr>
            <w:tcW w:w="1547" w:type="dxa"/>
          </w:tcPr>
          <w:p>
            <w:pPr>
              <w:pStyle w:val="TableParagraph"/>
              <w:spacing w:before="23"/>
              <w:ind w:left="13"/>
              <w:jc w:val="center"/>
              <w:rPr>
                <w:sz w:val="38"/>
              </w:rPr>
            </w:pPr>
            <w:r>
              <w:rPr>
                <w:w w:val="99"/>
                <w:sz w:val="38"/>
              </w:rPr>
              <w:t>3</w:t>
            </w:r>
          </w:p>
        </w:tc>
      </w:tr>
    </w:tbl>
    <w:p>
      <w:pPr>
        <w:spacing w:after="0"/>
        <w:jc w:val="center"/>
        <w:rPr>
          <w:sz w:val="38"/>
        </w:rPr>
        <w:sectPr>
          <w:pgSz w:w="14270" w:h="16850"/>
          <w:pgMar w:header="0" w:footer="404" w:top="1600" w:bottom="2080" w:left="800" w:right="1280"/>
        </w:sectPr>
      </w:pPr>
    </w:p>
    <w:p>
      <w:pPr>
        <w:pStyle w:val="BodyText"/>
        <w:spacing w:before="4"/>
        <w:rPr>
          <w:rFonts w:ascii="Times New Roman"/>
          <w:sz w:val="18"/>
        </w:rPr>
      </w:pPr>
    </w:p>
    <w:tbl>
      <w:tblPr>
        <w:tblW w:w="0" w:type="auto"/>
        <w:jc w:val="left"/>
        <w:tblInd w:w="1597"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top w:w="0" w:type="dxa"/>
          <w:left w:w="0" w:type="dxa"/>
          <w:bottom w:w="0" w:type="dxa"/>
          <w:right w:w="0" w:type="dxa"/>
        </w:tblCellMar>
        <w:tblLook w:val="01E0"/>
      </w:tblPr>
      <w:tblGrid>
        <w:gridCol w:w="4575"/>
        <w:gridCol w:w="1200"/>
        <w:gridCol w:w="1023"/>
        <w:gridCol w:w="1000"/>
        <w:gridCol w:w="1547"/>
      </w:tblGrid>
      <w:tr>
        <w:trPr>
          <w:trHeight w:val="721" w:hRule="atLeast"/>
        </w:trPr>
        <w:tc>
          <w:tcPr>
            <w:tcW w:w="4575" w:type="dxa"/>
          </w:tcPr>
          <w:p>
            <w:pPr>
              <w:pStyle w:val="TableParagraph"/>
              <w:spacing w:before="3"/>
              <w:ind w:left="2" w:right="1"/>
              <w:jc w:val="center"/>
              <w:rPr>
                <w:sz w:val="38"/>
              </w:rPr>
            </w:pPr>
            <w:r>
              <w:rPr>
                <w:sz w:val="38"/>
              </w:rPr>
              <w:t>Diplococcus pneumoniae</w:t>
            </w:r>
          </w:p>
        </w:tc>
        <w:tc>
          <w:tcPr>
            <w:tcW w:w="1200" w:type="dxa"/>
          </w:tcPr>
          <w:p>
            <w:pPr>
              <w:pStyle w:val="TableParagraph"/>
              <w:spacing w:before="3"/>
              <w:ind w:left="40" w:right="27"/>
              <w:jc w:val="center"/>
              <w:rPr>
                <w:sz w:val="38"/>
              </w:rPr>
            </w:pPr>
            <w:r>
              <w:rPr>
                <w:sz w:val="38"/>
              </w:rPr>
              <w:t>NCTC</w:t>
            </w:r>
          </w:p>
        </w:tc>
        <w:tc>
          <w:tcPr>
            <w:tcW w:w="1023" w:type="dxa"/>
          </w:tcPr>
          <w:p>
            <w:pPr>
              <w:pStyle w:val="TableParagraph"/>
              <w:spacing w:before="3"/>
              <w:ind w:left="12"/>
              <w:jc w:val="center"/>
              <w:rPr>
                <w:sz w:val="38"/>
              </w:rPr>
            </w:pPr>
            <w:r>
              <w:rPr>
                <w:sz w:val="38"/>
              </w:rPr>
              <w:t>7465</w:t>
            </w:r>
          </w:p>
        </w:tc>
        <w:tc>
          <w:tcPr>
            <w:tcW w:w="1000" w:type="dxa"/>
          </w:tcPr>
          <w:p>
            <w:pPr>
              <w:pStyle w:val="TableParagraph"/>
              <w:spacing w:before="3"/>
              <w:ind w:left="11"/>
              <w:jc w:val="center"/>
              <w:rPr>
                <w:sz w:val="38"/>
              </w:rPr>
            </w:pPr>
            <w:r>
              <w:rPr>
                <w:sz w:val="38"/>
              </w:rPr>
              <w:t>60</w:t>
            </w:r>
          </w:p>
        </w:tc>
        <w:tc>
          <w:tcPr>
            <w:tcW w:w="1547" w:type="dxa"/>
          </w:tcPr>
          <w:p>
            <w:pPr>
              <w:pStyle w:val="TableParagraph"/>
              <w:spacing w:before="3"/>
              <w:ind w:left="13"/>
              <w:jc w:val="center"/>
              <w:rPr>
                <w:sz w:val="38"/>
              </w:rPr>
            </w:pPr>
            <w:r>
              <w:rPr>
                <w:w w:val="99"/>
                <w:sz w:val="38"/>
              </w:rPr>
              <w:t>2</w:t>
            </w:r>
          </w:p>
        </w:tc>
      </w:tr>
      <w:tr>
        <w:trPr>
          <w:trHeight w:val="740" w:hRule="atLeast"/>
        </w:trPr>
        <w:tc>
          <w:tcPr>
            <w:tcW w:w="4575" w:type="dxa"/>
          </w:tcPr>
          <w:p>
            <w:pPr>
              <w:pStyle w:val="TableParagraph"/>
              <w:spacing w:before="24"/>
              <w:ind w:left="4" w:right="1"/>
              <w:jc w:val="center"/>
              <w:rPr>
                <w:sz w:val="38"/>
              </w:rPr>
            </w:pPr>
            <w:r>
              <w:rPr>
                <w:sz w:val="38"/>
              </w:rPr>
              <w:t>Giardia lamblia</w:t>
            </w:r>
          </w:p>
        </w:tc>
        <w:tc>
          <w:tcPr>
            <w:tcW w:w="1200" w:type="dxa"/>
          </w:tcPr>
          <w:p>
            <w:pPr>
              <w:pStyle w:val="TableParagraph"/>
              <w:spacing w:before="24"/>
              <w:ind w:left="39" w:right="29"/>
              <w:jc w:val="center"/>
              <w:rPr>
                <w:sz w:val="38"/>
              </w:rPr>
            </w:pPr>
            <w:r>
              <w:rPr>
                <w:sz w:val="38"/>
              </w:rPr>
              <w:t>ATCC</w:t>
            </w:r>
          </w:p>
        </w:tc>
        <w:tc>
          <w:tcPr>
            <w:tcW w:w="1023" w:type="dxa"/>
          </w:tcPr>
          <w:p>
            <w:pPr>
              <w:pStyle w:val="TableParagraph"/>
              <w:spacing w:before="24"/>
              <w:ind w:left="12"/>
              <w:jc w:val="center"/>
              <w:rPr>
                <w:sz w:val="38"/>
              </w:rPr>
            </w:pPr>
            <w:r>
              <w:rPr>
                <w:sz w:val="38"/>
              </w:rPr>
              <w:t>30957</w:t>
            </w:r>
          </w:p>
        </w:tc>
        <w:tc>
          <w:tcPr>
            <w:tcW w:w="1000" w:type="dxa"/>
          </w:tcPr>
          <w:p>
            <w:pPr>
              <w:pStyle w:val="TableParagraph"/>
              <w:spacing w:before="24"/>
              <w:ind w:left="11"/>
              <w:jc w:val="center"/>
              <w:rPr>
                <w:sz w:val="38"/>
              </w:rPr>
            </w:pPr>
            <w:r>
              <w:rPr>
                <w:sz w:val="38"/>
              </w:rPr>
              <w:t>1000</w:t>
            </w:r>
          </w:p>
        </w:tc>
        <w:tc>
          <w:tcPr>
            <w:tcW w:w="1547" w:type="dxa"/>
          </w:tcPr>
          <w:p>
            <w:pPr>
              <w:pStyle w:val="TableParagraph"/>
              <w:spacing w:before="24"/>
              <w:ind w:left="13"/>
              <w:jc w:val="center"/>
              <w:rPr>
                <w:sz w:val="38"/>
              </w:rPr>
            </w:pPr>
            <w:r>
              <w:rPr>
                <w:sz w:val="38"/>
              </w:rPr>
              <w:t>28</w:t>
            </w:r>
          </w:p>
        </w:tc>
      </w:tr>
      <w:tr>
        <w:trPr>
          <w:trHeight w:val="742" w:hRule="atLeast"/>
        </w:trPr>
        <w:tc>
          <w:tcPr>
            <w:tcW w:w="4575" w:type="dxa"/>
          </w:tcPr>
          <w:p>
            <w:pPr>
              <w:pStyle w:val="TableParagraph"/>
              <w:spacing w:before="24"/>
              <w:ind w:left="7" w:right="1"/>
              <w:jc w:val="center"/>
              <w:rPr>
                <w:sz w:val="38"/>
              </w:rPr>
            </w:pPr>
            <w:r>
              <w:rPr>
                <w:sz w:val="38"/>
              </w:rPr>
              <w:t>Lactobacillus arabinosus</w:t>
            </w:r>
          </w:p>
        </w:tc>
        <w:tc>
          <w:tcPr>
            <w:tcW w:w="1200" w:type="dxa"/>
          </w:tcPr>
          <w:p>
            <w:pPr>
              <w:pStyle w:val="TableParagraph"/>
              <w:spacing w:before="24"/>
              <w:ind w:left="39" w:right="29"/>
              <w:jc w:val="center"/>
              <w:rPr>
                <w:sz w:val="38"/>
              </w:rPr>
            </w:pPr>
            <w:r>
              <w:rPr>
                <w:sz w:val="38"/>
              </w:rPr>
              <w:t>CITM</w:t>
            </w:r>
          </w:p>
        </w:tc>
        <w:tc>
          <w:tcPr>
            <w:tcW w:w="1023" w:type="dxa"/>
          </w:tcPr>
          <w:p>
            <w:pPr>
              <w:pStyle w:val="TableParagraph"/>
              <w:spacing w:before="24"/>
              <w:ind w:left="12"/>
              <w:jc w:val="center"/>
              <w:rPr>
                <w:sz w:val="38"/>
              </w:rPr>
            </w:pPr>
            <w:r>
              <w:rPr>
                <w:sz w:val="38"/>
              </w:rPr>
              <w:t>707</w:t>
            </w:r>
          </w:p>
        </w:tc>
        <w:tc>
          <w:tcPr>
            <w:tcW w:w="1000" w:type="dxa"/>
          </w:tcPr>
          <w:p>
            <w:pPr>
              <w:pStyle w:val="TableParagraph"/>
              <w:spacing w:before="24"/>
              <w:ind w:left="11"/>
              <w:jc w:val="center"/>
              <w:rPr>
                <w:sz w:val="38"/>
              </w:rPr>
            </w:pPr>
            <w:r>
              <w:rPr>
                <w:sz w:val="38"/>
              </w:rPr>
              <w:t>66</w:t>
            </w:r>
          </w:p>
        </w:tc>
        <w:tc>
          <w:tcPr>
            <w:tcW w:w="1547" w:type="dxa"/>
          </w:tcPr>
          <w:p>
            <w:pPr>
              <w:pStyle w:val="TableParagraph"/>
              <w:spacing w:before="24"/>
              <w:ind w:left="13"/>
              <w:jc w:val="center"/>
              <w:rPr>
                <w:sz w:val="38"/>
              </w:rPr>
            </w:pPr>
            <w:r>
              <w:rPr>
                <w:w w:val="99"/>
                <w:sz w:val="38"/>
              </w:rPr>
              <w:t>2</w:t>
            </w:r>
          </w:p>
        </w:tc>
      </w:tr>
      <w:tr>
        <w:trPr>
          <w:trHeight w:val="740" w:hRule="atLeast"/>
        </w:trPr>
        <w:tc>
          <w:tcPr>
            <w:tcW w:w="4575" w:type="dxa"/>
          </w:tcPr>
          <w:p>
            <w:pPr>
              <w:pStyle w:val="TableParagraph"/>
              <w:spacing w:before="24"/>
              <w:ind w:left="4" w:right="1"/>
              <w:jc w:val="center"/>
              <w:rPr>
                <w:sz w:val="38"/>
              </w:rPr>
            </w:pPr>
            <w:r>
              <w:rPr>
                <w:sz w:val="38"/>
              </w:rPr>
              <w:t>Lactobacillus arabinosus</w:t>
            </w:r>
          </w:p>
        </w:tc>
        <w:tc>
          <w:tcPr>
            <w:tcW w:w="1200" w:type="dxa"/>
          </w:tcPr>
          <w:p>
            <w:pPr>
              <w:pStyle w:val="TableParagraph"/>
              <w:spacing w:before="24"/>
              <w:ind w:left="39" w:right="29"/>
              <w:jc w:val="center"/>
              <w:rPr>
                <w:sz w:val="38"/>
              </w:rPr>
            </w:pPr>
            <w:r>
              <w:rPr>
                <w:sz w:val="38"/>
              </w:rPr>
              <w:t>ATCC</w:t>
            </w:r>
          </w:p>
        </w:tc>
        <w:tc>
          <w:tcPr>
            <w:tcW w:w="1023" w:type="dxa"/>
          </w:tcPr>
          <w:p>
            <w:pPr>
              <w:pStyle w:val="TableParagraph"/>
              <w:spacing w:before="24"/>
              <w:ind w:left="12"/>
              <w:jc w:val="center"/>
              <w:rPr>
                <w:sz w:val="38"/>
              </w:rPr>
            </w:pPr>
            <w:r>
              <w:rPr>
                <w:sz w:val="38"/>
              </w:rPr>
              <w:t>8014</w:t>
            </w:r>
          </w:p>
        </w:tc>
        <w:tc>
          <w:tcPr>
            <w:tcW w:w="1000" w:type="dxa"/>
          </w:tcPr>
          <w:p>
            <w:pPr>
              <w:pStyle w:val="TableParagraph"/>
              <w:spacing w:before="24"/>
              <w:ind w:left="11"/>
              <w:jc w:val="center"/>
              <w:rPr>
                <w:sz w:val="38"/>
              </w:rPr>
            </w:pPr>
            <w:r>
              <w:rPr>
                <w:sz w:val="38"/>
              </w:rPr>
              <w:t>66</w:t>
            </w:r>
          </w:p>
        </w:tc>
        <w:tc>
          <w:tcPr>
            <w:tcW w:w="1547" w:type="dxa"/>
          </w:tcPr>
          <w:p>
            <w:pPr>
              <w:pStyle w:val="TableParagraph"/>
              <w:spacing w:before="24"/>
              <w:ind w:left="13"/>
              <w:jc w:val="center"/>
              <w:rPr>
                <w:sz w:val="38"/>
              </w:rPr>
            </w:pPr>
            <w:r>
              <w:rPr>
                <w:w w:val="99"/>
                <w:sz w:val="38"/>
              </w:rPr>
              <w:t>2</w:t>
            </w:r>
          </w:p>
        </w:tc>
      </w:tr>
      <w:tr>
        <w:trPr>
          <w:trHeight w:val="743" w:hRule="atLeast"/>
        </w:trPr>
        <w:tc>
          <w:tcPr>
            <w:tcW w:w="4575" w:type="dxa"/>
          </w:tcPr>
          <w:p>
            <w:pPr>
              <w:pStyle w:val="TableParagraph"/>
              <w:spacing w:before="25"/>
              <w:ind w:left="2" w:right="1"/>
              <w:jc w:val="center"/>
              <w:rPr>
                <w:sz w:val="38"/>
              </w:rPr>
            </w:pPr>
            <w:r>
              <w:rPr>
                <w:sz w:val="38"/>
              </w:rPr>
              <w:t>Lactobacillus casei</w:t>
            </w:r>
          </w:p>
        </w:tc>
        <w:tc>
          <w:tcPr>
            <w:tcW w:w="1200" w:type="dxa"/>
          </w:tcPr>
          <w:p>
            <w:pPr>
              <w:pStyle w:val="TableParagraph"/>
              <w:spacing w:before="25"/>
              <w:ind w:left="39" w:right="29"/>
              <w:jc w:val="center"/>
              <w:rPr>
                <w:sz w:val="38"/>
              </w:rPr>
            </w:pPr>
            <w:r>
              <w:rPr>
                <w:sz w:val="38"/>
              </w:rPr>
              <w:t>CITM</w:t>
            </w:r>
          </w:p>
        </w:tc>
        <w:tc>
          <w:tcPr>
            <w:tcW w:w="1023" w:type="dxa"/>
          </w:tcPr>
          <w:p>
            <w:pPr>
              <w:pStyle w:val="TableParagraph"/>
              <w:spacing w:before="25"/>
              <w:ind w:left="12"/>
              <w:jc w:val="center"/>
              <w:rPr>
                <w:sz w:val="38"/>
              </w:rPr>
            </w:pPr>
            <w:r>
              <w:rPr>
                <w:sz w:val="38"/>
              </w:rPr>
              <w:t>707</w:t>
            </w:r>
          </w:p>
        </w:tc>
        <w:tc>
          <w:tcPr>
            <w:tcW w:w="1000" w:type="dxa"/>
          </w:tcPr>
          <w:p>
            <w:pPr>
              <w:pStyle w:val="TableParagraph"/>
              <w:spacing w:before="25"/>
              <w:ind w:left="11"/>
              <w:jc w:val="center"/>
              <w:rPr>
                <w:sz w:val="38"/>
              </w:rPr>
            </w:pPr>
            <w:r>
              <w:rPr>
                <w:sz w:val="38"/>
              </w:rPr>
              <w:t>100</w:t>
            </w:r>
          </w:p>
        </w:tc>
        <w:tc>
          <w:tcPr>
            <w:tcW w:w="1547" w:type="dxa"/>
          </w:tcPr>
          <w:p>
            <w:pPr>
              <w:pStyle w:val="TableParagraph"/>
              <w:spacing w:before="25"/>
              <w:ind w:left="13"/>
              <w:jc w:val="center"/>
              <w:rPr>
                <w:sz w:val="38"/>
              </w:rPr>
            </w:pPr>
            <w:r>
              <w:rPr>
                <w:w w:val="99"/>
                <w:sz w:val="38"/>
              </w:rPr>
              <w:t>3</w:t>
            </w:r>
          </w:p>
        </w:tc>
      </w:tr>
      <w:tr>
        <w:trPr>
          <w:trHeight w:val="740" w:hRule="atLeast"/>
        </w:trPr>
        <w:tc>
          <w:tcPr>
            <w:tcW w:w="4575" w:type="dxa"/>
          </w:tcPr>
          <w:p>
            <w:pPr>
              <w:pStyle w:val="TableParagraph"/>
              <w:spacing w:before="24"/>
              <w:ind w:left="7" w:right="1"/>
              <w:jc w:val="center"/>
              <w:rPr>
                <w:sz w:val="38"/>
              </w:rPr>
            </w:pPr>
            <w:r>
              <w:rPr>
                <w:sz w:val="38"/>
              </w:rPr>
              <w:t>Listeria monocytogenes</w:t>
            </w:r>
          </w:p>
        </w:tc>
        <w:tc>
          <w:tcPr>
            <w:tcW w:w="1200" w:type="dxa"/>
          </w:tcPr>
          <w:p>
            <w:pPr>
              <w:pStyle w:val="TableParagraph"/>
              <w:spacing w:before="24"/>
              <w:ind w:left="39" w:right="29"/>
              <w:jc w:val="center"/>
              <w:rPr>
                <w:sz w:val="38"/>
              </w:rPr>
            </w:pPr>
            <w:r>
              <w:rPr>
                <w:sz w:val="38"/>
              </w:rPr>
              <w:t>ATCC</w:t>
            </w:r>
          </w:p>
        </w:tc>
        <w:tc>
          <w:tcPr>
            <w:tcW w:w="1023" w:type="dxa"/>
          </w:tcPr>
          <w:p>
            <w:pPr>
              <w:pStyle w:val="TableParagraph"/>
              <w:spacing w:before="24"/>
              <w:ind w:left="12"/>
              <w:jc w:val="center"/>
              <w:rPr>
                <w:sz w:val="38"/>
              </w:rPr>
            </w:pPr>
            <w:r>
              <w:rPr>
                <w:sz w:val="38"/>
              </w:rPr>
              <w:t>15313</w:t>
            </w:r>
          </w:p>
        </w:tc>
        <w:tc>
          <w:tcPr>
            <w:tcW w:w="1000" w:type="dxa"/>
          </w:tcPr>
          <w:p>
            <w:pPr>
              <w:pStyle w:val="TableParagraph"/>
              <w:spacing w:before="24"/>
              <w:ind w:left="11"/>
              <w:jc w:val="center"/>
              <w:rPr>
                <w:sz w:val="38"/>
              </w:rPr>
            </w:pPr>
            <w:r>
              <w:rPr>
                <w:sz w:val="38"/>
              </w:rPr>
              <w:t>20</w:t>
            </w:r>
          </w:p>
        </w:tc>
        <w:tc>
          <w:tcPr>
            <w:tcW w:w="1547" w:type="dxa"/>
          </w:tcPr>
          <w:p>
            <w:pPr>
              <w:pStyle w:val="TableParagraph"/>
              <w:spacing w:before="24"/>
              <w:ind w:left="10"/>
              <w:jc w:val="center"/>
              <w:rPr>
                <w:sz w:val="38"/>
              </w:rPr>
            </w:pPr>
            <w:r>
              <w:rPr>
                <w:sz w:val="38"/>
              </w:rPr>
              <w:t>&lt;1</w:t>
            </w:r>
          </w:p>
        </w:tc>
      </w:tr>
      <w:tr>
        <w:trPr>
          <w:trHeight w:val="742" w:hRule="atLeast"/>
        </w:trPr>
        <w:tc>
          <w:tcPr>
            <w:tcW w:w="4575" w:type="dxa"/>
          </w:tcPr>
          <w:p>
            <w:pPr>
              <w:pStyle w:val="TableParagraph"/>
              <w:spacing w:before="24"/>
              <w:ind w:right="1"/>
              <w:jc w:val="center"/>
              <w:rPr>
                <w:sz w:val="38"/>
              </w:rPr>
            </w:pPr>
            <w:r>
              <w:rPr>
                <w:sz w:val="38"/>
              </w:rPr>
              <w:t>Mycobacterium tuberculosis</w:t>
            </w:r>
          </w:p>
        </w:tc>
        <w:tc>
          <w:tcPr>
            <w:tcW w:w="1200" w:type="dxa"/>
          </w:tcPr>
          <w:p>
            <w:pPr>
              <w:pStyle w:val="TableParagraph"/>
              <w:spacing w:before="24"/>
              <w:ind w:left="15"/>
              <w:jc w:val="center"/>
              <w:rPr>
                <w:sz w:val="38"/>
              </w:rPr>
            </w:pPr>
            <w:r>
              <w:rPr>
                <w:w w:val="99"/>
                <w:sz w:val="38"/>
              </w:rPr>
              <w:t>A</w:t>
            </w:r>
          </w:p>
        </w:tc>
        <w:tc>
          <w:tcPr>
            <w:tcW w:w="1023" w:type="dxa"/>
          </w:tcPr>
          <w:p>
            <w:pPr>
              <w:pStyle w:val="TableParagraph"/>
              <w:spacing w:before="24"/>
              <w:ind w:left="15"/>
              <w:jc w:val="center"/>
              <w:rPr>
                <w:sz w:val="38"/>
              </w:rPr>
            </w:pPr>
            <w:r>
              <w:rPr>
                <w:w w:val="99"/>
                <w:sz w:val="38"/>
              </w:rPr>
              <w:t>-</w:t>
            </w:r>
          </w:p>
        </w:tc>
        <w:tc>
          <w:tcPr>
            <w:tcW w:w="1000" w:type="dxa"/>
          </w:tcPr>
          <w:p>
            <w:pPr>
              <w:pStyle w:val="TableParagraph"/>
              <w:spacing w:before="24"/>
              <w:ind w:left="11"/>
              <w:jc w:val="center"/>
              <w:rPr>
                <w:sz w:val="38"/>
              </w:rPr>
            </w:pPr>
            <w:r>
              <w:rPr>
                <w:sz w:val="38"/>
              </w:rPr>
              <w:t>2000</w:t>
            </w:r>
          </w:p>
        </w:tc>
        <w:tc>
          <w:tcPr>
            <w:tcW w:w="1547" w:type="dxa"/>
          </w:tcPr>
          <w:p>
            <w:pPr>
              <w:pStyle w:val="TableParagraph"/>
              <w:spacing w:before="24"/>
              <w:ind w:left="13"/>
              <w:jc w:val="center"/>
              <w:rPr>
                <w:sz w:val="38"/>
              </w:rPr>
            </w:pPr>
            <w:r>
              <w:rPr>
                <w:sz w:val="38"/>
              </w:rPr>
              <w:t>55</w:t>
            </w:r>
          </w:p>
        </w:tc>
      </w:tr>
      <w:tr>
        <w:trPr>
          <w:trHeight w:val="740" w:hRule="atLeast"/>
        </w:trPr>
        <w:tc>
          <w:tcPr>
            <w:tcW w:w="4575" w:type="dxa"/>
          </w:tcPr>
          <w:p>
            <w:pPr>
              <w:pStyle w:val="TableParagraph"/>
              <w:spacing w:before="24"/>
              <w:ind w:left="1" w:right="1"/>
              <w:jc w:val="center"/>
              <w:rPr>
                <w:sz w:val="38"/>
              </w:rPr>
            </w:pPr>
            <w:r>
              <w:rPr>
                <w:sz w:val="38"/>
              </w:rPr>
              <w:t>Mycobacterium smegmatis</w:t>
            </w:r>
          </w:p>
        </w:tc>
        <w:tc>
          <w:tcPr>
            <w:tcW w:w="1200" w:type="dxa"/>
          </w:tcPr>
          <w:p>
            <w:pPr>
              <w:pStyle w:val="TableParagraph"/>
              <w:spacing w:before="24"/>
              <w:ind w:left="40" w:right="27"/>
              <w:jc w:val="center"/>
              <w:rPr>
                <w:sz w:val="38"/>
              </w:rPr>
            </w:pPr>
            <w:r>
              <w:rPr>
                <w:sz w:val="38"/>
              </w:rPr>
              <w:t>NCTC</w:t>
            </w:r>
          </w:p>
        </w:tc>
        <w:tc>
          <w:tcPr>
            <w:tcW w:w="1023" w:type="dxa"/>
          </w:tcPr>
          <w:p>
            <w:pPr>
              <w:pStyle w:val="TableParagraph"/>
              <w:spacing w:before="24"/>
              <w:ind w:left="12"/>
              <w:jc w:val="center"/>
              <w:rPr>
                <w:sz w:val="38"/>
              </w:rPr>
            </w:pPr>
            <w:r>
              <w:rPr>
                <w:sz w:val="38"/>
              </w:rPr>
              <w:t>8152</w:t>
            </w:r>
          </w:p>
        </w:tc>
        <w:tc>
          <w:tcPr>
            <w:tcW w:w="1000" w:type="dxa"/>
          </w:tcPr>
          <w:p>
            <w:pPr>
              <w:pStyle w:val="TableParagraph"/>
              <w:spacing w:before="24"/>
              <w:ind w:left="11"/>
              <w:jc w:val="center"/>
              <w:rPr>
                <w:sz w:val="38"/>
              </w:rPr>
            </w:pPr>
            <w:r>
              <w:rPr>
                <w:sz w:val="38"/>
              </w:rPr>
              <w:t>20</w:t>
            </w:r>
          </w:p>
        </w:tc>
        <w:tc>
          <w:tcPr>
            <w:tcW w:w="1547" w:type="dxa"/>
          </w:tcPr>
          <w:p>
            <w:pPr>
              <w:pStyle w:val="TableParagraph"/>
              <w:spacing w:before="24"/>
              <w:ind w:left="10"/>
              <w:jc w:val="center"/>
              <w:rPr>
                <w:sz w:val="38"/>
              </w:rPr>
            </w:pPr>
            <w:r>
              <w:rPr>
                <w:sz w:val="38"/>
              </w:rPr>
              <w:t>&lt;1</w:t>
            </w:r>
          </w:p>
        </w:tc>
      </w:tr>
      <w:tr>
        <w:trPr>
          <w:trHeight w:val="743" w:hRule="atLeast"/>
        </w:trPr>
        <w:tc>
          <w:tcPr>
            <w:tcW w:w="4575" w:type="dxa"/>
          </w:tcPr>
          <w:p>
            <w:pPr>
              <w:pStyle w:val="TableParagraph"/>
              <w:spacing w:before="24"/>
              <w:ind w:left="4" w:right="1"/>
              <w:jc w:val="center"/>
              <w:rPr>
                <w:sz w:val="38"/>
              </w:rPr>
            </w:pPr>
            <w:r>
              <w:rPr>
                <w:sz w:val="38"/>
              </w:rPr>
              <w:t>Mycobacterium phlei</w:t>
            </w:r>
          </w:p>
        </w:tc>
        <w:tc>
          <w:tcPr>
            <w:tcW w:w="1200" w:type="dxa"/>
          </w:tcPr>
          <w:p>
            <w:pPr>
              <w:pStyle w:val="TableParagraph"/>
              <w:spacing w:before="24"/>
              <w:ind w:left="15"/>
              <w:jc w:val="center"/>
              <w:rPr>
                <w:sz w:val="38"/>
              </w:rPr>
            </w:pPr>
            <w:r>
              <w:rPr>
                <w:w w:val="99"/>
                <w:sz w:val="38"/>
              </w:rPr>
              <w:t>A</w:t>
            </w:r>
          </w:p>
        </w:tc>
        <w:tc>
          <w:tcPr>
            <w:tcW w:w="1023" w:type="dxa"/>
          </w:tcPr>
          <w:p>
            <w:pPr>
              <w:pStyle w:val="TableParagraph"/>
              <w:spacing w:before="24"/>
              <w:ind w:left="15"/>
              <w:jc w:val="center"/>
              <w:rPr>
                <w:sz w:val="38"/>
              </w:rPr>
            </w:pPr>
            <w:r>
              <w:rPr>
                <w:w w:val="99"/>
                <w:sz w:val="38"/>
              </w:rPr>
              <w:t>-</w:t>
            </w:r>
          </w:p>
        </w:tc>
        <w:tc>
          <w:tcPr>
            <w:tcW w:w="1000" w:type="dxa"/>
          </w:tcPr>
          <w:p>
            <w:pPr>
              <w:pStyle w:val="TableParagraph"/>
              <w:spacing w:before="24"/>
              <w:ind w:left="11"/>
              <w:jc w:val="center"/>
              <w:rPr>
                <w:sz w:val="38"/>
              </w:rPr>
            </w:pPr>
            <w:r>
              <w:rPr>
                <w:w w:val="99"/>
                <w:sz w:val="38"/>
              </w:rPr>
              <w:t>6</w:t>
            </w:r>
          </w:p>
        </w:tc>
        <w:tc>
          <w:tcPr>
            <w:tcW w:w="1547" w:type="dxa"/>
          </w:tcPr>
          <w:p>
            <w:pPr>
              <w:pStyle w:val="TableParagraph"/>
              <w:spacing w:before="24"/>
              <w:ind w:left="10"/>
              <w:jc w:val="center"/>
              <w:rPr>
                <w:sz w:val="38"/>
              </w:rPr>
            </w:pPr>
            <w:r>
              <w:rPr>
                <w:sz w:val="38"/>
              </w:rPr>
              <w:t>&lt;1</w:t>
            </w:r>
          </w:p>
        </w:tc>
      </w:tr>
      <w:tr>
        <w:trPr>
          <w:trHeight w:val="740" w:hRule="atLeast"/>
        </w:trPr>
        <w:tc>
          <w:tcPr>
            <w:tcW w:w="4575" w:type="dxa"/>
          </w:tcPr>
          <w:p>
            <w:pPr>
              <w:pStyle w:val="TableParagraph"/>
              <w:spacing w:before="24"/>
              <w:ind w:left="6" w:right="1"/>
              <w:jc w:val="center"/>
              <w:rPr>
                <w:sz w:val="38"/>
              </w:rPr>
            </w:pPr>
            <w:r>
              <w:rPr>
                <w:sz w:val="38"/>
              </w:rPr>
              <w:t>Sarcina lutea</w:t>
            </w:r>
          </w:p>
        </w:tc>
        <w:tc>
          <w:tcPr>
            <w:tcW w:w="1200" w:type="dxa"/>
          </w:tcPr>
          <w:p>
            <w:pPr>
              <w:pStyle w:val="TableParagraph"/>
              <w:spacing w:before="24"/>
              <w:ind w:left="40" w:right="27"/>
              <w:jc w:val="center"/>
              <w:rPr>
                <w:sz w:val="38"/>
              </w:rPr>
            </w:pPr>
            <w:r>
              <w:rPr>
                <w:sz w:val="38"/>
              </w:rPr>
              <w:t>NCTC</w:t>
            </w:r>
          </w:p>
        </w:tc>
        <w:tc>
          <w:tcPr>
            <w:tcW w:w="1023" w:type="dxa"/>
          </w:tcPr>
          <w:p>
            <w:pPr>
              <w:pStyle w:val="TableParagraph"/>
              <w:spacing w:before="24"/>
              <w:ind w:left="12"/>
              <w:jc w:val="center"/>
              <w:rPr>
                <w:sz w:val="38"/>
              </w:rPr>
            </w:pPr>
            <w:r>
              <w:rPr>
                <w:sz w:val="38"/>
              </w:rPr>
              <w:t>196</w:t>
            </w:r>
          </w:p>
        </w:tc>
        <w:tc>
          <w:tcPr>
            <w:tcW w:w="1000" w:type="dxa"/>
          </w:tcPr>
          <w:p>
            <w:pPr>
              <w:pStyle w:val="TableParagraph"/>
              <w:spacing w:before="24"/>
              <w:ind w:left="11"/>
              <w:jc w:val="center"/>
              <w:rPr>
                <w:sz w:val="38"/>
              </w:rPr>
            </w:pPr>
            <w:r>
              <w:rPr>
                <w:sz w:val="38"/>
              </w:rPr>
              <w:t>60</w:t>
            </w:r>
          </w:p>
        </w:tc>
        <w:tc>
          <w:tcPr>
            <w:tcW w:w="1547" w:type="dxa"/>
          </w:tcPr>
          <w:p>
            <w:pPr>
              <w:pStyle w:val="TableParagraph"/>
              <w:spacing w:before="24"/>
              <w:ind w:left="13"/>
              <w:jc w:val="center"/>
              <w:rPr>
                <w:sz w:val="38"/>
              </w:rPr>
            </w:pPr>
            <w:r>
              <w:rPr>
                <w:w w:val="99"/>
                <w:sz w:val="38"/>
              </w:rPr>
              <w:t>2</w:t>
            </w:r>
          </w:p>
        </w:tc>
      </w:tr>
      <w:tr>
        <w:trPr>
          <w:trHeight w:val="742" w:hRule="atLeast"/>
        </w:trPr>
        <w:tc>
          <w:tcPr>
            <w:tcW w:w="4575" w:type="dxa"/>
          </w:tcPr>
          <w:p>
            <w:pPr>
              <w:pStyle w:val="TableParagraph"/>
              <w:spacing w:before="24"/>
              <w:ind w:left="6" w:right="1"/>
              <w:jc w:val="center"/>
              <w:rPr>
                <w:sz w:val="38"/>
              </w:rPr>
            </w:pPr>
            <w:r>
              <w:rPr>
                <w:sz w:val="38"/>
              </w:rPr>
              <w:t>Sarcina lutea</w:t>
            </w:r>
          </w:p>
        </w:tc>
        <w:tc>
          <w:tcPr>
            <w:tcW w:w="1200" w:type="dxa"/>
          </w:tcPr>
          <w:p>
            <w:pPr>
              <w:pStyle w:val="TableParagraph"/>
              <w:spacing w:before="24"/>
              <w:ind w:left="39" w:right="29"/>
              <w:jc w:val="center"/>
              <w:rPr>
                <w:sz w:val="38"/>
              </w:rPr>
            </w:pPr>
            <w:r>
              <w:rPr>
                <w:sz w:val="38"/>
              </w:rPr>
              <w:t>ATCC</w:t>
            </w:r>
          </w:p>
        </w:tc>
        <w:tc>
          <w:tcPr>
            <w:tcW w:w="1023" w:type="dxa"/>
          </w:tcPr>
          <w:p>
            <w:pPr>
              <w:pStyle w:val="TableParagraph"/>
              <w:spacing w:before="24"/>
              <w:ind w:left="12"/>
              <w:jc w:val="center"/>
              <w:rPr>
                <w:sz w:val="38"/>
              </w:rPr>
            </w:pPr>
            <w:r>
              <w:rPr>
                <w:sz w:val="38"/>
              </w:rPr>
              <w:t>6473</w:t>
            </w:r>
          </w:p>
        </w:tc>
        <w:tc>
          <w:tcPr>
            <w:tcW w:w="1000" w:type="dxa"/>
          </w:tcPr>
          <w:p>
            <w:pPr>
              <w:pStyle w:val="TableParagraph"/>
              <w:spacing w:before="24"/>
              <w:ind w:left="11"/>
              <w:jc w:val="center"/>
              <w:rPr>
                <w:sz w:val="38"/>
              </w:rPr>
            </w:pPr>
            <w:r>
              <w:rPr>
                <w:w w:val="99"/>
                <w:sz w:val="38"/>
              </w:rPr>
              <w:t>2</w:t>
            </w:r>
          </w:p>
        </w:tc>
        <w:tc>
          <w:tcPr>
            <w:tcW w:w="1547" w:type="dxa"/>
          </w:tcPr>
          <w:p>
            <w:pPr>
              <w:pStyle w:val="TableParagraph"/>
              <w:spacing w:before="24"/>
              <w:ind w:left="10"/>
              <w:jc w:val="center"/>
              <w:rPr>
                <w:sz w:val="38"/>
              </w:rPr>
            </w:pPr>
            <w:r>
              <w:rPr>
                <w:sz w:val="38"/>
              </w:rPr>
              <w:t>&lt;1</w:t>
            </w:r>
          </w:p>
        </w:tc>
      </w:tr>
      <w:tr>
        <w:trPr>
          <w:trHeight w:val="740" w:hRule="atLeast"/>
        </w:trPr>
        <w:tc>
          <w:tcPr>
            <w:tcW w:w="4575" w:type="dxa"/>
          </w:tcPr>
          <w:p>
            <w:pPr>
              <w:pStyle w:val="TableParagraph"/>
              <w:spacing w:before="24"/>
              <w:ind w:left="6" w:right="1"/>
              <w:jc w:val="center"/>
              <w:rPr>
                <w:sz w:val="38"/>
              </w:rPr>
            </w:pPr>
            <w:r>
              <w:rPr>
                <w:sz w:val="38"/>
              </w:rPr>
              <w:t>Staphylococcus aureus</w:t>
            </w:r>
          </w:p>
        </w:tc>
        <w:tc>
          <w:tcPr>
            <w:tcW w:w="1200" w:type="dxa"/>
          </w:tcPr>
          <w:p>
            <w:pPr>
              <w:pStyle w:val="TableParagraph"/>
              <w:spacing w:before="24"/>
              <w:ind w:left="40" w:right="27"/>
              <w:jc w:val="center"/>
              <w:rPr>
                <w:sz w:val="38"/>
              </w:rPr>
            </w:pPr>
            <w:r>
              <w:rPr>
                <w:sz w:val="38"/>
              </w:rPr>
              <w:t>NCTC</w:t>
            </w:r>
          </w:p>
        </w:tc>
        <w:tc>
          <w:tcPr>
            <w:tcW w:w="1023" w:type="dxa"/>
          </w:tcPr>
          <w:p>
            <w:pPr>
              <w:pStyle w:val="TableParagraph"/>
              <w:spacing w:before="24"/>
              <w:ind w:left="12"/>
              <w:jc w:val="center"/>
              <w:rPr>
                <w:sz w:val="38"/>
              </w:rPr>
            </w:pPr>
            <w:r>
              <w:rPr>
                <w:sz w:val="38"/>
              </w:rPr>
              <w:t>7447</w:t>
            </w:r>
          </w:p>
        </w:tc>
        <w:tc>
          <w:tcPr>
            <w:tcW w:w="1000" w:type="dxa"/>
          </w:tcPr>
          <w:p>
            <w:pPr>
              <w:pStyle w:val="TableParagraph"/>
              <w:spacing w:before="24"/>
              <w:ind w:left="11"/>
              <w:jc w:val="center"/>
              <w:rPr>
                <w:sz w:val="38"/>
              </w:rPr>
            </w:pPr>
            <w:r>
              <w:rPr>
                <w:w w:val="99"/>
                <w:sz w:val="38"/>
              </w:rPr>
              <w:t>2</w:t>
            </w:r>
          </w:p>
        </w:tc>
        <w:tc>
          <w:tcPr>
            <w:tcW w:w="1547" w:type="dxa"/>
          </w:tcPr>
          <w:p>
            <w:pPr>
              <w:pStyle w:val="TableParagraph"/>
              <w:spacing w:before="24"/>
              <w:ind w:left="10"/>
              <w:jc w:val="center"/>
              <w:rPr>
                <w:sz w:val="38"/>
              </w:rPr>
            </w:pPr>
            <w:r>
              <w:rPr>
                <w:sz w:val="38"/>
              </w:rPr>
              <w:t>&lt;1</w:t>
            </w:r>
          </w:p>
        </w:tc>
      </w:tr>
      <w:tr>
        <w:trPr>
          <w:trHeight w:val="742" w:hRule="atLeast"/>
        </w:trPr>
        <w:tc>
          <w:tcPr>
            <w:tcW w:w="4575" w:type="dxa"/>
          </w:tcPr>
          <w:p>
            <w:pPr>
              <w:pStyle w:val="TableParagraph"/>
              <w:spacing w:before="24"/>
              <w:ind w:left="6" w:right="1"/>
              <w:jc w:val="center"/>
              <w:rPr>
                <w:sz w:val="38"/>
              </w:rPr>
            </w:pPr>
            <w:r>
              <w:rPr>
                <w:sz w:val="38"/>
              </w:rPr>
              <w:t>Staphylococcus aureus</w:t>
            </w:r>
          </w:p>
        </w:tc>
        <w:tc>
          <w:tcPr>
            <w:tcW w:w="1200" w:type="dxa"/>
          </w:tcPr>
          <w:p>
            <w:pPr>
              <w:pStyle w:val="TableParagraph"/>
              <w:spacing w:before="24"/>
              <w:ind w:left="40" w:right="27"/>
              <w:jc w:val="center"/>
              <w:rPr>
                <w:sz w:val="38"/>
              </w:rPr>
            </w:pPr>
            <w:r>
              <w:rPr>
                <w:sz w:val="38"/>
              </w:rPr>
              <w:t>NCTC</w:t>
            </w:r>
          </w:p>
        </w:tc>
        <w:tc>
          <w:tcPr>
            <w:tcW w:w="1023" w:type="dxa"/>
          </w:tcPr>
          <w:p>
            <w:pPr>
              <w:pStyle w:val="TableParagraph"/>
              <w:spacing w:before="24"/>
              <w:ind w:left="12"/>
              <w:jc w:val="center"/>
              <w:rPr>
                <w:sz w:val="38"/>
              </w:rPr>
            </w:pPr>
            <w:r>
              <w:rPr>
                <w:sz w:val="38"/>
              </w:rPr>
              <w:t>4163</w:t>
            </w:r>
          </w:p>
        </w:tc>
        <w:tc>
          <w:tcPr>
            <w:tcW w:w="1000" w:type="dxa"/>
          </w:tcPr>
          <w:p>
            <w:pPr>
              <w:pStyle w:val="TableParagraph"/>
              <w:spacing w:before="24"/>
              <w:ind w:left="11"/>
              <w:jc w:val="center"/>
              <w:rPr>
                <w:sz w:val="38"/>
              </w:rPr>
            </w:pPr>
            <w:r>
              <w:rPr>
                <w:w w:val="99"/>
                <w:sz w:val="38"/>
              </w:rPr>
              <w:t>2</w:t>
            </w:r>
          </w:p>
        </w:tc>
        <w:tc>
          <w:tcPr>
            <w:tcW w:w="1547" w:type="dxa"/>
          </w:tcPr>
          <w:p>
            <w:pPr>
              <w:pStyle w:val="TableParagraph"/>
              <w:spacing w:before="24"/>
              <w:ind w:left="10"/>
              <w:jc w:val="center"/>
              <w:rPr>
                <w:sz w:val="38"/>
              </w:rPr>
            </w:pPr>
            <w:r>
              <w:rPr>
                <w:sz w:val="38"/>
              </w:rPr>
              <w:t>&lt;1</w:t>
            </w:r>
          </w:p>
        </w:tc>
      </w:tr>
      <w:tr>
        <w:trPr>
          <w:trHeight w:val="740" w:hRule="atLeast"/>
        </w:trPr>
        <w:tc>
          <w:tcPr>
            <w:tcW w:w="4575" w:type="dxa"/>
          </w:tcPr>
          <w:p>
            <w:pPr>
              <w:pStyle w:val="TableParagraph"/>
              <w:spacing w:before="25"/>
              <w:ind w:left="6" w:right="1"/>
              <w:jc w:val="center"/>
              <w:rPr>
                <w:sz w:val="38"/>
              </w:rPr>
            </w:pPr>
            <w:r>
              <w:rPr>
                <w:sz w:val="38"/>
              </w:rPr>
              <w:t>Staphylococcus aureus</w:t>
            </w:r>
          </w:p>
        </w:tc>
        <w:tc>
          <w:tcPr>
            <w:tcW w:w="1200" w:type="dxa"/>
          </w:tcPr>
          <w:p>
            <w:pPr>
              <w:pStyle w:val="TableParagraph"/>
              <w:spacing w:before="25"/>
              <w:ind w:left="40" w:right="27"/>
              <w:jc w:val="center"/>
              <w:rPr>
                <w:sz w:val="38"/>
              </w:rPr>
            </w:pPr>
            <w:r>
              <w:rPr>
                <w:sz w:val="38"/>
              </w:rPr>
              <w:t>NCTC</w:t>
            </w:r>
          </w:p>
        </w:tc>
        <w:tc>
          <w:tcPr>
            <w:tcW w:w="1023" w:type="dxa"/>
          </w:tcPr>
          <w:p>
            <w:pPr>
              <w:pStyle w:val="TableParagraph"/>
              <w:spacing w:before="25"/>
              <w:ind w:left="12"/>
              <w:jc w:val="center"/>
              <w:rPr>
                <w:sz w:val="38"/>
              </w:rPr>
            </w:pPr>
            <w:r>
              <w:rPr>
                <w:sz w:val="38"/>
              </w:rPr>
              <w:t>6571</w:t>
            </w:r>
          </w:p>
        </w:tc>
        <w:tc>
          <w:tcPr>
            <w:tcW w:w="1000" w:type="dxa"/>
          </w:tcPr>
          <w:p>
            <w:pPr>
              <w:pStyle w:val="TableParagraph"/>
              <w:spacing w:before="25"/>
              <w:ind w:left="11"/>
              <w:jc w:val="center"/>
              <w:rPr>
                <w:sz w:val="38"/>
              </w:rPr>
            </w:pPr>
            <w:r>
              <w:rPr>
                <w:w w:val="99"/>
                <w:sz w:val="38"/>
              </w:rPr>
              <w:t>6</w:t>
            </w:r>
          </w:p>
        </w:tc>
        <w:tc>
          <w:tcPr>
            <w:tcW w:w="1547" w:type="dxa"/>
          </w:tcPr>
          <w:p>
            <w:pPr>
              <w:pStyle w:val="TableParagraph"/>
              <w:spacing w:before="25"/>
              <w:ind w:left="10"/>
              <w:jc w:val="center"/>
              <w:rPr>
                <w:sz w:val="38"/>
              </w:rPr>
            </w:pPr>
            <w:r>
              <w:rPr>
                <w:sz w:val="38"/>
              </w:rPr>
              <w:t>&lt;1</w:t>
            </w:r>
          </w:p>
        </w:tc>
      </w:tr>
      <w:tr>
        <w:trPr>
          <w:trHeight w:val="721" w:hRule="atLeast"/>
        </w:trPr>
        <w:tc>
          <w:tcPr>
            <w:tcW w:w="4575" w:type="dxa"/>
          </w:tcPr>
          <w:p>
            <w:pPr>
              <w:pStyle w:val="TableParagraph"/>
              <w:spacing w:before="24"/>
              <w:ind w:left="6" w:right="1"/>
              <w:jc w:val="center"/>
              <w:rPr>
                <w:sz w:val="38"/>
              </w:rPr>
            </w:pPr>
            <w:r>
              <w:rPr>
                <w:sz w:val="38"/>
              </w:rPr>
              <w:t>Staphylococcus aureus</w:t>
            </w:r>
          </w:p>
        </w:tc>
        <w:tc>
          <w:tcPr>
            <w:tcW w:w="1200" w:type="dxa"/>
          </w:tcPr>
          <w:p>
            <w:pPr>
              <w:pStyle w:val="TableParagraph"/>
              <w:spacing w:before="24"/>
              <w:ind w:left="40" w:right="27"/>
              <w:jc w:val="center"/>
              <w:rPr>
                <w:sz w:val="38"/>
              </w:rPr>
            </w:pPr>
            <w:r>
              <w:rPr>
                <w:sz w:val="38"/>
              </w:rPr>
              <w:t>NCTC</w:t>
            </w:r>
          </w:p>
        </w:tc>
        <w:tc>
          <w:tcPr>
            <w:tcW w:w="1023" w:type="dxa"/>
          </w:tcPr>
          <w:p>
            <w:pPr>
              <w:pStyle w:val="TableParagraph"/>
              <w:spacing w:before="24"/>
              <w:ind w:left="12"/>
              <w:jc w:val="center"/>
              <w:rPr>
                <w:sz w:val="38"/>
              </w:rPr>
            </w:pPr>
            <w:r>
              <w:rPr>
                <w:sz w:val="38"/>
              </w:rPr>
              <w:t>6966</w:t>
            </w:r>
          </w:p>
        </w:tc>
        <w:tc>
          <w:tcPr>
            <w:tcW w:w="1000" w:type="dxa"/>
          </w:tcPr>
          <w:p>
            <w:pPr>
              <w:pStyle w:val="TableParagraph"/>
              <w:spacing w:before="24"/>
              <w:ind w:left="11"/>
              <w:jc w:val="center"/>
              <w:rPr>
                <w:sz w:val="38"/>
              </w:rPr>
            </w:pPr>
            <w:r>
              <w:rPr>
                <w:w w:val="99"/>
                <w:sz w:val="38"/>
              </w:rPr>
              <w:t>2</w:t>
            </w:r>
          </w:p>
        </w:tc>
        <w:tc>
          <w:tcPr>
            <w:tcW w:w="1547" w:type="dxa"/>
          </w:tcPr>
          <w:p>
            <w:pPr>
              <w:pStyle w:val="TableParagraph"/>
              <w:spacing w:before="24"/>
              <w:ind w:left="10"/>
              <w:jc w:val="center"/>
              <w:rPr>
                <w:sz w:val="38"/>
              </w:rPr>
            </w:pPr>
            <w:r>
              <w:rPr>
                <w:sz w:val="38"/>
              </w:rPr>
              <w:t>&lt;1</w:t>
            </w:r>
          </w:p>
        </w:tc>
      </w:tr>
    </w:tbl>
    <w:p>
      <w:pPr>
        <w:spacing w:after="0"/>
        <w:jc w:val="center"/>
        <w:rPr>
          <w:sz w:val="38"/>
        </w:rPr>
        <w:sectPr>
          <w:pgSz w:w="14270" w:h="16850"/>
          <w:pgMar w:header="0" w:footer="404" w:top="1600" w:bottom="600" w:left="800" w:right="1280"/>
        </w:sectPr>
      </w:pPr>
    </w:p>
    <w:p>
      <w:pPr>
        <w:pStyle w:val="BodyText"/>
        <w:spacing w:before="4"/>
        <w:rPr>
          <w:rFonts w:ascii="Times New Roman"/>
          <w:sz w:val="18"/>
        </w:rPr>
      </w:pPr>
    </w:p>
    <w:tbl>
      <w:tblPr>
        <w:tblW w:w="0" w:type="auto"/>
        <w:jc w:val="left"/>
        <w:tblInd w:w="1597"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top w:w="0" w:type="dxa"/>
          <w:left w:w="0" w:type="dxa"/>
          <w:bottom w:w="0" w:type="dxa"/>
          <w:right w:w="0" w:type="dxa"/>
        </w:tblCellMar>
        <w:tblLook w:val="01E0"/>
      </w:tblPr>
      <w:tblGrid>
        <w:gridCol w:w="4575"/>
        <w:gridCol w:w="1200"/>
        <w:gridCol w:w="1023"/>
        <w:gridCol w:w="1000"/>
        <w:gridCol w:w="1547"/>
      </w:tblGrid>
      <w:tr>
        <w:trPr>
          <w:trHeight w:val="721" w:hRule="atLeast"/>
        </w:trPr>
        <w:tc>
          <w:tcPr>
            <w:tcW w:w="4575" w:type="dxa"/>
          </w:tcPr>
          <w:p>
            <w:pPr>
              <w:pStyle w:val="TableParagraph"/>
              <w:spacing w:before="3"/>
              <w:ind w:left="6" w:right="1"/>
              <w:jc w:val="center"/>
              <w:rPr>
                <w:sz w:val="38"/>
              </w:rPr>
            </w:pPr>
            <w:r>
              <w:rPr>
                <w:sz w:val="38"/>
              </w:rPr>
              <w:t>Staphylococcus aureus</w:t>
            </w:r>
          </w:p>
        </w:tc>
        <w:tc>
          <w:tcPr>
            <w:tcW w:w="1200" w:type="dxa"/>
          </w:tcPr>
          <w:p>
            <w:pPr>
              <w:pStyle w:val="TableParagraph"/>
              <w:spacing w:before="3"/>
              <w:ind w:left="39" w:right="29"/>
              <w:jc w:val="center"/>
              <w:rPr>
                <w:sz w:val="38"/>
              </w:rPr>
            </w:pPr>
            <w:r>
              <w:rPr>
                <w:sz w:val="38"/>
              </w:rPr>
              <w:t>ATCC</w:t>
            </w:r>
          </w:p>
        </w:tc>
        <w:tc>
          <w:tcPr>
            <w:tcW w:w="1023" w:type="dxa"/>
          </w:tcPr>
          <w:p>
            <w:pPr>
              <w:pStyle w:val="TableParagraph"/>
              <w:spacing w:before="3"/>
              <w:ind w:left="12"/>
              <w:jc w:val="center"/>
              <w:rPr>
                <w:sz w:val="38"/>
              </w:rPr>
            </w:pPr>
            <w:r>
              <w:rPr>
                <w:sz w:val="38"/>
              </w:rPr>
              <w:t>13709</w:t>
            </w:r>
          </w:p>
        </w:tc>
        <w:tc>
          <w:tcPr>
            <w:tcW w:w="1000" w:type="dxa"/>
          </w:tcPr>
          <w:p>
            <w:pPr>
              <w:pStyle w:val="TableParagraph"/>
              <w:spacing w:before="3"/>
              <w:ind w:left="11"/>
              <w:jc w:val="center"/>
              <w:rPr>
                <w:sz w:val="38"/>
              </w:rPr>
            </w:pPr>
            <w:r>
              <w:rPr>
                <w:w w:val="99"/>
                <w:sz w:val="38"/>
              </w:rPr>
              <w:t>2</w:t>
            </w:r>
          </w:p>
        </w:tc>
        <w:tc>
          <w:tcPr>
            <w:tcW w:w="1547" w:type="dxa"/>
          </w:tcPr>
          <w:p>
            <w:pPr>
              <w:pStyle w:val="TableParagraph"/>
              <w:spacing w:before="3"/>
              <w:ind w:left="10"/>
              <w:jc w:val="center"/>
              <w:rPr>
                <w:sz w:val="38"/>
              </w:rPr>
            </w:pPr>
            <w:r>
              <w:rPr>
                <w:sz w:val="38"/>
              </w:rPr>
              <w:t>&lt;1</w:t>
            </w:r>
          </w:p>
        </w:tc>
      </w:tr>
      <w:tr>
        <w:trPr>
          <w:trHeight w:val="740" w:hRule="atLeast"/>
        </w:trPr>
        <w:tc>
          <w:tcPr>
            <w:tcW w:w="4575" w:type="dxa"/>
          </w:tcPr>
          <w:p>
            <w:pPr>
              <w:pStyle w:val="TableParagraph"/>
              <w:spacing w:before="24"/>
              <w:ind w:left="6" w:right="1"/>
              <w:jc w:val="center"/>
              <w:rPr>
                <w:sz w:val="38"/>
              </w:rPr>
            </w:pPr>
            <w:r>
              <w:rPr>
                <w:sz w:val="38"/>
              </w:rPr>
              <w:t>Staphylococcus aureus</w:t>
            </w:r>
          </w:p>
        </w:tc>
        <w:tc>
          <w:tcPr>
            <w:tcW w:w="1200" w:type="dxa"/>
          </w:tcPr>
          <w:p>
            <w:pPr>
              <w:pStyle w:val="TableParagraph"/>
              <w:spacing w:before="24"/>
              <w:ind w:left="39" w:right="29"/>
              <w:jc w:val="center"/>
              <w:rPr>
                <w:sz w:val="38"/>
              </w:rPr>
            </w:pPr>
            <w:r>
              <w:rPr>
                <w:sz w:val="38"/>
              </w:rPr>
              <w:t>ATCC</w:t>
            </w:r>
          </w:p>
        </w:tc>
        <w:tc>
          <w:tcPr>
            <w:tcW w:w="1023" w:type="dxa"/>
          </w:tcPr>
          <w:p>
            <w:pPr>
              <w:pStyle w:val="TableParagraph"/>
              <w:spacing w:before="24"/>
              <w:ind w:left="12"/>
              <w:jc w:val="center"/>
              <w:rPr>
                <w:sz w:val="38"/>
              </w:rPr>
            </w:pPr>
            <w:r>
              <w:rPr>
                <w:sz w:val="38"/>
              </w:rPr>
              <w:t>6538</w:t>
            </w:r>
          </w:p>
        </w:tc>
        <w:tc>
          <w:tcPr>
            <w:tcW w:w="1000" w:type="dxa"/>
          </w:tcPr>
          <w:p>
            <w:pPr>
              <w:pStyle w:val="TableParagraph"/>
              <w:spacing w:before="24"/>
              <w:ind w:left="11"/>
              <w:jc w:val="center"/>
              <w:rPr>
                <w:sz w:val="38"/>
              </w:rPr>
            </w:pPr>
            <w:r>
              <w:rPr>
                <w:w w:val="99"/>
                <w:sz w:val="38"/>
              </w:rPr>
              <w:t>2</w:t>
            </w:r>
          </w:p>
        </w:tc>
        <w:tc>
          <w:tcPr>
            <w:tcW w:w="1547" w:type="dxa"/>
          </w:tcPr>
          <w:p>
            <w:pPr>
              <w:pStyle w:val="TableParagraph"/>
              <w:spacing w:before="24"/>
              <w:ind w:left="10"/>
              <w:jc w:val="center"/>
              <w:rPr>
                <w:sz w:val="38"/>
              </w:rPr>
            </w:pPr>
            <w:r>
              <w:rPr>
                <w:sz w:val="38"/>
              </w:rPr>
              <w:t>&lt;1</w:t>
            </w:r>
          </w:p>
        </w:tc>
      </w:tr>
      <w:tr>
        <w:trPr>
          <w:trHeight w:val="742" w:hRule="atLeast"/>
        </w:trPr>
        <w:tc>
          <w:tcPr>
            <w:tcW w:w="4575" w:type="dxa"/>
          </w:tcPr>
          <w:p>
            <w:pPr>
              <w:pStyle w:val="TableParagraph"/>
              <w:spacing w:before="24"/>
              <w:ind w:left="3" w:right="1"/>
              <w:jc w:val="center"/>
              <w:rPr>
                <w:sz w:val="38"/>
              </w:rPr>
            </w:pPr>
            <w:r>
              <w:rPr>
                <w:sz w:val="38"/>
              </w:rPr>
              <w:t>Staphylococcus albus</w:t>
            </w:r>
          </w:p>
        </w:tc>
        <w:tc>
          <w:tcPr>
            <w:tcW w:w="1200" w:type="dxa"/>
          </w:tcPr>
          <w:p>
            <w:pPr>
              <w:pStyle w:val="TableParagraph"/>
              <w:spacing w:before="24"/>
              <w:ind w:left="40" w:right="27"/>
              <w:jc w:val="center"/>
              <w:rPr>
                <w:sz w:val="38"/>
              </w:rPr>
            </w:pPr>
            <w:r>
              <w:rPr>
                <w:sz w:val="38"/>
              </w:rPr>
              <w:t>NCTC</w:t>
            </w:r>
          </w:p>
        </w:tc>
        <w:tc>
          <w:tcPr>
            <w:tcW w:w="1023" w:type="dxa"/>
          </w:tcPr>
          <w:p>
            <w:pPr>
              <w:pStyle w:val="TableParagraph"/>
              <w:spacing w:before="24"/>
              <w:ind w:left="12"/>
              <w:jc w:val="center"/>
              <w:rPr>
                <w:sz w:val="38"/>
              </w:rPr>
            </w:pPr>
            <w:r>
              <w:rPr>
                <w:sz w:val="38"/>
              </w:rPr>
              <w:t>7292</w:t>
            </w:r>
          </w:p>
        </w:tc>
        <w:tc>
          <w:tcPr>
            <w:tcW w:w="1000" w:type="dxa"/>
          </w:tcPr>
          <w:p>
            <w:pPr>
              <w:pStyle w:val="TableParagraph"/>
              <w:spacing w:before="24"/>
              <w:ind w:left="11"/>
              <w:jc w:val="center"/>
              <w:rPr>
                <w:sz w:val="38"/>
              </w:rPr>
            </w:pPr>
            <w:r>
              <w:rPr>
                <w:w w:val="99"/>
                <w:sz w:val="38"/>
              </w:rPr>
              <w:t>2</w:t>
            </w:r>
          </w:p>
        </w:tc>
        <w:tc>
          <w:tcPr>
            <w:tcW w:w="1547" w:type="dxa"/>
          </w:tcPr>
          <w:p>
            <w:pPr>
              <w:pStyle w:val="TableParagraph"/>
              <w:spacing w:before="24"/>
              <w:ind w:left="10"/>
              <w:jc w:val="center"/>
              <w:rPr>
                <w:sz w:val="38"/>
              </w:rPr>
            </w:pPr>
            <w:r>
              <w:rPr>
                <w:sz w:val="38"/>
              </w:rPr>
              <w:t>&lt;1</w:t>
            </w:r>
          </w:p>
        </w:tc>
      </w:tr>
      <w:tr>
        <w:trPr>
          <w:trHeight w:val="740" w:hRule="atLeast"/>
        </w:trPr>
        <w:tc>
          <w:tcPr>
            <w:tcW w:w="4575" w:type="dxa"/>
          </w:tcPr>
          <w:p>
            <w:pPr>
              <w:pStyle w:val="TableParagraph"/>
              <w:spacing w:before="24"/>
              <w:ind w:left="3" w:right="1"/>
              <w:jc w:val="center"/>
              <w:rPr>
                <w:sz w:val="38"/>
              </w:rPr>
            </w:pPr>
            <w:r>
              <w:rPr>
                <w:sz w:val="38"/>
              </w:rPr>
              <w:t>Staphylococcus albus</w:t>
            </w:r>
          </w:p>
        </w:tc>
        <w:tc>
          <w:tcPr>
            <w:tcW w:w="1200" w:type="dxa"/>
          </w:tcPr>
          <w:p>
            <w:pPr>
              <w:pStyle w:val="TableParagraph"/>
              <w:spacing w:before="24"/>
              <w:ind w:left="40" w:right="29"/>
              <w:jc w:val="center"/>
              <w:rPr>
                <w:sz w:val="38"/>
              </w:rPr>
            </w:pPr>
            <w:r>
              <w:rPr>
                <w:sz w:val="38"/>
              </w:rPr>
              <w:t>CG</w:t>
            </w:r>
          </w:p>
        </w:tc>
        <w:tc>
          <w:tcPr>
            <w:tcW w:w="1023" w:type="dxa"/>
          </w:tcPr>
          <w:p>
            <w:pPr>
              <w:pStyle w:val="TableParagraph"/>
              <w:spacing w:before="24"/>
              <w:ind w:left="15"/>
              <w:jc w:val="center"/>
              <w:rPr>
                <w:sz w:val="38"/>
              </w:rPr>
            </w:pPr>
            <w:r>
              <w:rPr>
                <w:w w:val="99"/>
                <w:sz w:val="38"/>
              </w:rPr>
              <w:t>-</w:t>
            </w:r>
          </w:p>
        </w:tc>
        <w:tc>
          <w:tcPr>
            <w:tcW w:w="1000" w:type="dxa"/>
          </w:tcPr>
          <w:p>
            <w:pPr>
              <w:pStyle w:val="TableParagraph"/>
              <w:spacing w:before="24"/>
              <w:ind w:left="11"/>
              <w:jc w:val="center"/>
              <w:rPr>
                <w:sz w:val="38"/>
              </w:rPr>
            </w:pPr>
            <w:r>
              <w:rPr>
                <w:w w:val="99"/>
                <w:sz w:val="38"/>
              </w:rPr>
              <w:t>6</w:t>
            </w:r>
          </w:p>
        </w:tc>
        <w:tc>
          <w:tcPr>
            <w:tcW w:w="1547" w:type="dxa"/>
          </w:tcPr>
          <w:p>
            <w:pPr>
              <w:pStyle w:val="TableParagraph"/>
              <w:spacing w:before="24"/>
              <w:ind w:left="10"/>
              <w:jc w:val="center"/>
              <w:rPr>
                <w:sz w:val="38"/>
              </w:rPr>
            </w:pPr>
            <w:r>
              <w:rPr>
                <w:sz w:val="38"/>
              </w:rPr>
              <w:t>&lt;1</w:t>
            </w:r>
          </w:p>
        </w:tc>
      </w:tr>
      <w:tr>
        <w:trPr>
          <w:trHeight w:val="743" w:hRule="atLeast"/>
        </w:trPr>
        <w:tc>
          <w:tcPr>
            <w:tcW w:w="4575" w:type="dxa"/>
          </w:tcPr>
          <w:p>
            <w:pPr>
              <w:pStyle w:val="TableParagraph"/>
              <w:spacing w:before="25"/>
              <w:ind w:left="5" w:right="1"/>
              <w:jc w:val="center"/>
              <w:rPr>
                <w:sz w:val="38"/>
              </w:rPr>
            </w:pPr>
            <w:r>
              <w:rPr>
                <w:sz w:val="38"/>
              </w:rPr>
              <w:t>Streptococcus agalacticae</w:t>
            </w:r>
          </w:p>
        </w:tc>
        <w:tc>
          <w:tcPr>
            <w:tcW w:w="1200" w:type="dxa"/>
          </w:tcPr>
          <w:p>
            <w:pPr>
              <w:pStyle w:val="TableParagraph"/>
              <w:spacing w:before="25"/>
              <w:ind w:left="40" w:right="27"/>
              <w:jc w:val="center"/>
              <w:rPr>
                <w:sz w:val="38"/>
              </w:rPr>
            </w:pPr>
            <w:r>
              <w:rPr>
                <w:sz w:val="38"/>
              </w:rPr>
              <w:t>NCTC</w:t>
            </w:r>
          </w:p>
        </w:tc>
        <w:tc>
          <w:tcPr>
            <w:tcW w:w="1023" w:type="dxa"/>
          </w:tcPr>
          <w:p>
            <w:pPr>
              <w:pStyle w:val="TableParagraph"/>
              <w:spacing w:before="25"/>
              <w:ind w:left="12"/>
              <w:jc w:val="center"/>
              <w:rPr>
                <w:sz w:val="38"/>
              </w:rPr>
            </w:pPr>
            <w:r>
              <w:rPr>
                <w:sz w:val="38"/>
              </w:rPr>
              <w:t>8181</w:t>
            </w:r>
          </w:p>
        </w:tc>
        <w:tc>
          <w:tcPr>
            <w:tcW w:w="1000" w:type="dxa"/>
          </w:tcPr>
          <w:p>
            <w:pPr>
              <w:pStyle w:val="TableParagraph"/>
              <w:spacing w:before="25"/>
              <w:ind w:left="11"/>
              <w:jc w:val="center"/>
              <w:rPr>
                <w:sz w:val="38"/>
              </w:rPr>
            </w:pPr>
            <w:r>
              <w:rPr>
                <w:sz w:val="38"/>
              </w:rPr>
              <w:t>60</w:t>
            </w:r>
          </w:p>
        </w:tc>
        <w:tc>
          <w:tcPr>
            <w:tcW w:w="1547" w:type="dxa"/>
          </w:tcPr>
          <w:p>
            <w:pPr>
              <w:pStyle w:val="TableParagraph"/>
              <w:spacing w:before="25"/>
              <w:ind w:left="13"/>
              <w:jc w:val="center"/>
              <w:rPr>
                <w:sz w:val="38"/>
              </w:rPr>
            </w:pPr>
            <w:r>
              <w:rPr>
                <w:w w:val="99"/>
                <w:sz w:val="38"/>
              </w:rPr>
              <w:t>2</w:t>
            </w:r>
          </w:p>
        </w:tc>
      </w:tr>
      <w:tr>
        <w:trPr>
          <w:trHeight w:val="740" w:hRule="atLeast"/>
        </w:trPr>
        <w:tc>
          <w:tcPr>
            <w:tcW w:w="4575" w:type="dxa"/>
          </w:tcPr>
          <w:p>
            <w:pPr>
              <w:pStyle w:val="TableParagraph"/>
              <w:spacing w:before="24"/>
              <w:ind w:left="3" w:right="1"/>
              <w:jc w:val="center"/>
              <w:rPr>
                <w:sz w:val="38"/>
              </w:rPr>
            </w:pPr>
            <w:r>
              <w:rPr>
                <w:sz w:val="38"/>
              </w:rPr>
              <w:t>Streptococcus haemolyticus</w:t>
            </w:r>
          </w:p>
        </w:tc>
        <w:tc>
          <w:tcPr>
            <w:tcW w:w="1200" w:type="dxa"/>
          </w:tcPr>
          <w:p>
            <w:pPr>
              <w:pStyle w:val="TableParagraph"/>
              <w:spacing w:before="24"/>
              <w:ind w:left="15"/>
              <w:jc w:val="center"/>
              <w:rPr>
                <w:sz w:val="38"/>
              </w:rPr>
            </w:pPr>
            <w:r>
              <w:rPr>
                <w:w w:val="99"/>
                <w:sz w:val="38"/>
              </w:rPr>
              <w:t>A</w:t>
            </w:r>
          </w:p>
        </w:tc>
        <w:tc>
          <w:tcPr>
            <w:tcW w:w="1023" w:type="dxa"/>
          </w:tcPr>
          <w:p>
            <w:pPr>
              <w:pStyle w:val="TableParagraph"/>
              <w:spacing w:before="24"/>
              <w:ind w:left="15"/>
              <w:jc w:val="center"/>
              <w:rPr>
                <w:sz w:val="38"/>
              </w:rPr>
            </w:pPr>
            <w:r>
              <w:rPr>
                <w:w w:val="99"/>
                <w:sz w:val="38"/>
              </w:rPr>
              <w:t>-</w:t>
            </w:r>
          </w:p>
        </w:tc>
        <w:tc>
          <w:tcPr>
            <w:tcW w:w="1000" w:type="dxa"/>
          </w:tcPr>
          <w:p>
            <w:pPr>
              <w:pStyle w:val="TableParagraph"/>
              <w:spacing w:before="24"/>
              <w:ind w:left="11"/>
              <w:jc w:val="center"/>
              <w:rPr>
                <w:sz w:val="38"/>
              </w:rPr>
            </w:pPr>
            <w:r>
              <w:rPr>
                <w:sz w:val="38"/>
              </w:rPr>
              <w:t>20</w:t>
            </w:r>
          </w:p>
        </w:tc>
        <w:tc>
          <w:tcPr>
            <w:tcW w:w="1547" w:type="dxa"/>
          </w:tcPr>
          <w:p>
            <w:pPr>
              <w:pStyle w:val="TableParagraph"/>
              <w:spacing w:before="24"/>
              <w:ind w:left="10"/>
              <w:jc w:val="center"/>
              <w:rPr>
                <w:sz w:val="38"/>
              </w:rPr>
            </w:pPr>
            <w:r>
              <w:rPr>
                <w:sz w:val="38"/>
              </w:rPr>
              <w:t>&lt;1</w:t>
            </w:r>
          </w:p>
        </w:tc>
      </w:tr>
      <w:tr>
        <w:trPr>
          <w:trHeight w:val="742" w:hRule="atLeast"/>
        </w:trPr>
        <w:tc>
          <w:tcPr>
            <w:tcW w:w="4575" w:type="dxa"/>
          </w:tcPr>
          <w:p>
            <w:pPr>
              <w:pStyle w:val="TableParagraph"/>
              <w:spacing w:before="24"/>
              <w:ind w:left="6" w:right="1"/>
              <w:jc w:val="center"/>
              <w:rPr>
                <w:sz w:val="38"/>
              </w:rPr>
            </w:pPr>
            <w:r>
              <w:rPr>
                <w:sz w:val="38"/>
              </w:rPr>
              <w:t>Streptococcus faecalis</w:t>
            </w:r>
          </w:p>
        </w:tc>
        <w:tc>
          <w:tcPr>
            <w:tcW w:w="1200" w:type="dxa"/>
          </w:tcPr>
          <w:p>
            <w:pPr>
              <w:pStyle w:val="TableParagraph"/>
              <w:spacing w:before="24"/>
              <w:ind w:left="40" w:right="27"/>
              <w:jc w:val="center"/>
              <w:rPr>
                <w:sz w:val="38"/>
              </w:rPr>
            </w:pPr>
            <w:r>
              <w:rPr>
                <w:sz w:val="38"/>
              </w:rPr>
              <w:t>NCTC</w:t>
            </w:r>
          </w:p>
        </w:tc>
        <w:tc>
          <w:tcPr>
            <w:tcW w:w="1023" w:type="dxa"/>
          </w:tcPr>
          <w:p>
            <w:pPr>
              <w:pStyle w:val="TableParagraph"/>
              <w:spacing w:before="24"/>
              <w:ind w:left="12"/>
              <w:jc w:val="center"/>
              <w:rPr>
                <w:sz w:val="38"/>
              </w:rPr>
            </w:pPr>
            <w:r>
              <w:rPr>
                <w:sz w:val="38"/>
              </w:rPr>
              <w:t>8619</w:t>
            </w:r>
          </w:p>
        </w:tc>
        <w:tc>
          <w:tcPr>
            <w:tcW w:w="1000" w:type="dxa"/>
          </w:tcPr>
          <w:p>
            <w:pPr>
              <w:pStyle w:val="TableParagraph"/>
              <w:spacing w:before="24"/>
              <w:ind w:left="11"/>
              <w:jc w:val="center"/>
              <w:rPr>
                <w:sz w:val="38"/>
              </w:rPr>
            </w:pPr>
            <w:r>
              <w:rPr>
                <w:sz w:val="38"/>
              </w:rPr>
              <w:t>200</w:t>
            </w:r>
          </w:p>
        </w:tc>
        <w:tc>
          <w:tcPr>
            <w:tcW w:w="1547" w:type="dxa"/>
          </w:tcPr>
          <w:p>
            <w:pPr>
              <w:pStyle w:val="TableParagraph"/>
              <w:spacing w:before="24"/>
              <w:ind w:left="13"/>
              <w:jc w:val="center"/>
              <w:rPr>
                <w:sz w:val="38"/>
              </w:rPr>
            </w:pPr>
            <w:r>
              <w:rPr>
                <w:w w:val="99"/>
                <w:sz w:val="38"/>
              </w:rPr>
              <w:t>6</w:t>
            </w:r>
          </w:p>
        </w:tc>
      </w:tr>
      <w:tr>
        <w:trPr>
          <w:trHeight w:val="740" w:hRule="atLeast"/>
        </w:trPr>
        <w:tc>
          <w:tcPr>
            <w:tcW w:w="4575" w:type="dxa"/>
          </w:tcPr>
          <w:p>
            <w:pPr>
              <w:pStyle w:val="TableParagraph"/>
              <w:spacing w:before="24"/>
              <w:ind w:left="6" w:right="1"/>
              <w:jc w:val="center"/>
              <w:rPr>
                <w:sz w:val="38"/>
              </w:rPr>
            </w:pPr>
            <w:r>
              <w:rPr>
                <w:sz w:val="38"/>
              </w:rPr>
              <w:t>Streptococcus faecalis</w:t>
            </w:r>
          </w:p>
        </w:tc>
        <w:tc>
          <w:tcPr>
            <w:tcW w:w="1200" w:type="dxa"/>
          </w:tcPr>
          <w:p>
            <w:pPr>
              <w:pStyle w:val="TableParagraph"/>
              <w:spacing w:before="24"/>
              <w:ind w:left="39" w:right="29"/>
              <w:jc w:val="center"/>
              <w:rPr>
                <w:sz w:val="38"/>
              </w:rPr>
            </w:pPr>
            <w:r>
              <w:rPr>
                <w:sz w:val="38"/>
              </w:rPr>
              <w:t>ATCC</w:t>
            </w:r>
          </w:p>
        </w:tc>
        <w:tc>
          <w:tcPr>
            <w:tcW w:w="1023" w:type="dxa"/>
          </w:tcPr>
          <w:p>
            <w:pPr>
              <w:pStyle w:val="TableParagraph"/>
              <w:spacing w:before="24"/>
              <w:ind w:left="12"/>
              <w:jc w:val="center"/>
              <w:rPr>
                <w:sz w:val="38"/>
              </w:rPr>
            </w:pPr>
            <w:r>
              <w:rPr>
                <w:sz w:val="38"/>
              </w:rPr>
              <w:t>10541</w:t>
            </w:r>
          </w:p>
        </w:tc>
        <w:tc>
          <w:tcPr>
            <w:tcW w:w="1000" w:type="dxa"/>
          </w:tcPr>
          <w:p>
            <w:pPr>
              <w:pStyle w:val="TableParagraph"/>
              <w:spacing w:before="24"/>
              <w:ind w:left="11"/>
              <w:jc w:val="center"/>
              <w:rPr>
                <w:sz w:val="38"/>
              </w:rPr>
            </w:pPr>
            <w:r>
              <w:rPr>
                <w:sz w:val="38"/>
              </w:rPr>
              <w:t>60</w:t>
            </w:r>
          </w:p>
        </w:tc>
        <w:tc>
          <w:tcPr>
            <w:tcW w:w="1547" w:type="dxa"/>
          </w:tcPr>
          <w:p>
            <w:pPr>
              <w:pStyle w:val="TableParagraph"/>
              <w:spacing w:before="24"/>
              <w:ind w:left="13"/>
              <w:jc w:val="center"/>
              <w:rPr>
                <w:sz w:val="38"/>
              </w:rPr>
            </w:pPr>
            <w:r>
              <w:rPr>
                <w:w w:val="99"/>
                <w:sz w:val="38"/>
              </w:rPr>
              <w:t>2</w:t>
            </w:r>
          </w:p>
        </w:tc>
      </w:tr>
      <w:tr>
        <w:trPr>
          <w:trHeight w:val="743" w:hRule="atLeast"/>
        </w:trPr>
        <w:tc>
          <w:tcPr>
            <w:tcW w:w="4575" w:type="dxa"/>
          </w:tcPr>
          <w:p>
            <w:pPr>
              <w:pStyle w:val="TableParagraph"/>
              <w:spacing w:before="24"/>
              <w:ind w:left="6" w:right="1"/>
              <w:jc w:val="center"/>
              <w:rPr>
                <w:sz w:val="38"/>
              </w:rPr>
            </w:pPr>
            <w:r>
              <w:rPr>
                <w:sz w:val="38"/>
              </w:rPr>
              <w:t>Streptococcus pyogenes</w:t>
            </w:r>
          </w:p>
        </w:tc>
        <w:tc>
          <w:tcPr>
            <w:tcW w:w="1200" w:type="dxa"/>
          </w:tcPr>
          <w:p>
            <w:pPr>
              <w:pStyle w:val="TableParagraph"/>
              <w:spacing w:before="24"/>
              <w:ind w:left="40" w:right="27"/>
              <w:jc w:val="center"/>
              <w:rPr>
                <w:sz w:val="38"/>
              </w:rPr>
            </w:pPr>
            <w:r>
              <w:rPr>
                <w:sz w:val="38"/>
              </w:rPr>
              <w:t>NCTC</w:t>
            </w:r>
          </w:p>
        </w:tc>
        <w:tc>
          <w:tcPr>
            <w:tcW w:w="1023" w:type="dxa"/>
          </w:tcPr>
          <w:p>
            <w:pPr>
              <w:pStyle w:val="TableParagraph"/>
              <w:spacing w:before="24"/>
              <w:ind w:left="12"/>
              <w:jc w:val="center"/>
              <w:rPr>
                <w:sz w:val="38"/>
              </w:rPr>
            </w:pPr>
            <w:r>
              <w:rPr>
                <w:sz w:val="38"/>
              </w:rPr>
              <w:t>8322</w:t>
            </w:r>
          </w:p>
        </w:tc>
        <w:tc>
          <w:tcPr>
            <w:tcW w:w="1000" w:type="dxa"/>
          </w:tcPr>
          <w:p>
            <w:pPr>
              <w:pStyle w:val="TableParagraph"/>
              <w:spacing w:before="24"/>
              <w:ind w:left="11"/>
              <w:jc w:val="center"/>
              <w:rPr>
                <w:sz w:val="38"/>
              </w:rPr>
            </w:pPr>
            <w:r>
              <w:rPr>
                <w:sz w:val="38"/>
              </w:rPr>
              <w:t>60</w:t>
            </w:r>
          </w:p>
        </w:tc>
        <w:tc>
          <w:tcPr>
            <w:tcW w:w="1547" w:type="dxa"/>
          </w:tcPr>
          <w:p>
            <w:pPr>
              <w:pStyle w:val="TableParagraph"/>
              <w:spacing w:before="24"/>
              <w:ind w:left="13"/>
              <w:jc w:val="center"/>
              <w:rPr>
                <w:sz w:val="38"/>
              </w:rPr>
            </w:pPr>
            <w:r>
              <w:rPr>
                <w:w w:val="99"/>
                <w:sz w:val="38"/>
              </w:rPr>
              <w:t>2</w:t>
            </w:r>
          </w:p>
        </w:tc>
      </w:tr>
      <w:tr>
        <w:trPr>
          <w:trHeight w:val="740" w:hRule="atLeast"/>
        </w:trPr>
        <w:tc>
          <w:tcPr>
            <w:tcW w:w="4575" w:type="dxa"/>
          </w:tcPr>
          <w:p>
            <w:pPr>
              <w:pStyle w:val="TableParagraph"/>
              <w:spacing w:before="24"/>
              <w:ind w:left="7" w:right="1"/>
              <w:jc w:val="center"/>
              <w:rPr>
                <w:sz w:val="38"/>
              </w:rPr>
            </w:pPr>
            <w:r>
              <w:rPr>
                <w:sz w:val="38"/>
              </w:rPr>
              <w:t>Streptococcus viridans</w:t>
            </w:r>
          </w:p>
        </w:tc>
        <w:tc>
          <w:tcPr>
            <w:tcW w:w="1200" w:type="dxa"/>
          </w:tcPr>
          <w:p>
            <w:pPr>
              <w:pStyle w:val="TableParagraph"/>
              <w:spacing w:before="24"/>
              <w:ind w:left="16"/>
              <w:jc w:val="center"/>
              <w:rPr>
                <w:sz w:val="38"/>
              </w:rPr>
            </w:pPr>
            <w:r>
              <w:rPr>
                <w:w w:val="99"/>
                <w:sz w:val="38"/>
              </w:rPr>
              <w:t>-</w:t>
            </w:r>
          </w:p>
        </w:tc>
        <w:tc>
          <w:tcPr>
            <w:tcW w:w="1023" w:type="dxa"/>
          </w:tcPr>
          <w:p>
            <w:pPr>
              <w:pStyle w:val="TableParagraph"/>
              <w:spacing w:before="24"/>
              <w:ind w:left="15"/>
              <w:jc w:val="center"/>
              <w:rPr>
                <w:sz w:val="38"/>
              </w:rPr>
            </w:pPr>
            <w:r>
              <w:rPr>
                <w:w w:val="99"/>
                <w:sz w:val="38"/>
              </w:rPr>
              <w:t>-</w:t>
            </w:r>
          </w:p>
        </w:tc>
        <w:tc>
          <w:tcPr>
            <w:tcW w:w="1000" w:type="dxa"/>
          </w:tcPr>
          <w:p>
            <w:pPr>
              <w:pStyle w:val="TableParagraph"/>
              <w:spacing w:before="24"/>
              <w:ind w:left="11"/>
              <w:jc w:val="center"/>
              <w:rPr>
                <w:sz w:val="38"/>
              </w:rPr>
            </w:pPr>
            <w:r>
              <w:rPr>
                <w:sz w:val="38"/>
              </w:rPr>
              <w:t>20</w:t>
            </w:r>
          </w:p>
        </w:tc>
        <w:tc>
          <w:tcPr>
            <w:tcW w:w="1547" w:type="dxa"/>
          </w:tcPr>
          <w:p>
            <w:pPr>
              <w:pStyle w:val="TableParagraph"/>
              <w:spacing w:before="24"/>
              <w:ind w:left="10"/>
              <w:jc w:val="center"/>
              <w:rPr>
                <w:sz w:val="38"/>
              </w:rPr>
            </w:pPr>
            <w:r>
              <w:rPr>
                <w:sz w:val="38"/>
              </w:rPr>
              <w:t>&lt;1</w:t>
            </w:r>
          </w:p>
        </w:tc>
      </w:tr>
      <w:tr>
        <w:trPr>
          <w:trHeight w:val="742" w:hRule="atLeast"/>
        </w:trPr>
        <w:tc>
          <w:tcPr>
            <w:tcW w:w="4575" w:type="dxa"/>
          </w:tcPr>
          <w:p>
            <w:pPr>
              <w:pStyle w:val="TableParagraph"/>
              <w:spacing w:before="24"/>
              <w:ind w:left="1" w:right="1"/>
              <w:jc w:val="center"/>
              <w:rPr>
                <w:b/>
                <w:sz w:val="38"/>
              </w:rPr>
            </w:pPr>
            <w:r>
              <w:rPr>
                <w:b/>
                <w:sz w:val="38"/>
              </w:rPr>
              <w:t>Gram-negative bacteria</w:t>
            </w:r>
          </w:p>
        </w:tc>
        <w:tc>
          <w:tcPr>
            <w:tcW w:w="1200" w:type="dxa"/>
          </w:tcPr>
          <w:p>
            <w:pPr>
              <w:pStyle w:val="TableParagraph"/>
              <w:spacing w:before="24"/>
              <w:ind w:left="40" w:right="29"/>
              <w:jc w:val="center"/>
              <w:rPr>
                <w:b/>
                <w:sz w:val="38"/>
              </w:rPr>
            </w:pPr>
            <w:r>
              <w:rPr>
                <w:b/>
                <w:sz w:val="38"/>
              </w:rPr>
              <w:t>Origin</w:t>
            </w:r>
          </w:p>
        </w:tc>
        <w:tc>
          <w:tcPr>
            <w:tcW w:w="1023" w:type="dxa"/>
          </w:tcPr>
          <w:p>
            <w:pPr>
              <w:pStyle w:val="TableParagraph"/>
              <w:spacing w:before="24"/>
              <w:ind w:left="11"/>
              <w:jc w:val="center"/>
              <w:rPr>
                <w:b/>
                <w:sz w:val="38"/>
              </w:rPr>
            </w:pPr>
            <w:r>
              <w:rPr>
                <w:b/>
                <w:sz w:val="38"/>
              </w:rPr>
              <w:t>Strain</w:t>
            </w:r>
          </w:p>
        </w:tc>
        <w:tc>
          <w:tcPr>
            <w:tcW w:w="1000" w:type="dxa"/>
          </w:tcPr>
          <w:p>
            <w:pPr>
              <w:pStyle w:val="TableParagraph"/>
              <w:spacing w:before="24"/>
              <w:ind w:left="8"/>
              <w:jc w:val="center"/>
              <w:rPr>
                <w:b/>
                <w:sz w:val="38"/>
              </w:rPr>
            </w:pPr>
            <w:r>
              <w:rPr>
                <w:b/>
                <w:sz w:val="38"/>
              </w:rPr>
              <w:t>ppm</w:t>
            </w:r>
          </w:p>
        </w:tc>
        <w:tc>
          <w:tcPr>
            <w:tcW w:w="1547" w:type="dxa"/>
          </w:tcPr>
          <w:p>
            <w:pPr>
              <w:pStyle w:val="TableParagraph"/>
              <w:spacing w:before="24"/>
              <w:ind w:left="10"/>
              <w:jc w:val="center"/>
              <w:rPr>
                <w:b/>
                <w:sz w:val="38"/>
              </w:rPr>
            </w:pPr>
            <w:r>
              <w:rPr>
                <w:b/>
                <w:sz w:val="38"/>
              </w:rPr>
              <w:t>Tr./Ltr.</w:t>
            </w:r>
          </w:p>
        </w:tc>
      </w:tr>
      <w:tr>
        <w:trPr>
          <w:trHeight w:val="740" w:hRule="atLeast"/>
        </w:trPr>
        <w:tc>
          <w:tcPr>
            <w:tcW w:w="4575" w:type="dxa"/>
          </w:tcPr>
          <w:p>
            <w:pPr>
              <w:pStyle w:val="TableParagraph"/>
              <w:spacing w:before="24"/>
              <w:ind w:left="2" w:right="1"/>
              <w:jc w:val="center"/>
              <w:rPr>
                <w:sz w:val="38"/>
              </w:rPr>
            </w:pPr>
            <w:r>
              <w:rPr>
                <w:sz w:val="38"/>
              </w:rPr>
              <w:t>Aerobacter aerogenes</w:t>
            </w:r>
          </w:p>
        </w:tc>
        <w:tc>
          <w:tcPr>
            <w:tcW w:w="1200" w:type="dxa"/>
          </w:tcPr>
          <w:p>
            <w:pPr>
              <w:pStyle w:val="TableParagraph"/>
              <w:spacing w:before="24"/>
              <w:ind w:left="40" w:right="28"/>
              <w:jc w:val="center"/>
              <w:rPr>
                <w:sz w:val="38"/>
              </w:rPr>
            </w:pPr>
            <w:r>
              <w:rPr>
                <w:sz w:val="38"/>
              </w:rPr>
              <w:t>CTTM</w:t>
            </w:r>
          </w:p>
        </w:tc>
        <w:tc>
          <w:tcPr>
            <w:tcW w:w="1023" w:type="dxa"/>
          </w:tcPr>
          <w:p>
            <w:pPr>
              <w:pStyle w:val="TableParagraph"/>
              <w:spacing w:before="24"/>
              <w:ind w:left="12"/>
              <w:jc w:val="center"/>
              <w:rPr>
                <w:sz w:val="38"/>
              </w:rPr>
            </w:pPr>
            <w:r>
              <w:rPr>
                <w:sz w:val="38"/>
              </w:rPr>
              <w:t>413</w:t>
            </w:r>
          </w:p>
        </w:tc>
        <w:tc>
          <w:tcPr>
            <w:tcW w:w="1000" w:type="dxa"/>
          </w:tcPr>
          <w:p>
            <w:pPr>
              <w:pStyle w:val="TableParagraph"/>
              <w:spacing w:before="24"/>
              <w:ind w:left="11"/>
              <w:jc w:val="center"/>
              <w:rPr>
                <w:sz w:val="38"/>
              </w:rPr>
            </w:pPr>
            <w:r>
              <w:rPr>
                <w:sz w:val="38"/>
              </w:rPr>
              <w:t>20</w:t>
            </w:r>
          </w:p>
        </w:tc>
        <w:tc>
          <w:tcPr>
            <w:tcW w:w="1547" w:type="dxa"/>
          </w:tcPr>
          <w:p>
            <w:pPr>
              <w:pStyle w:val="TableParagraph"/>
              <w:spacing w:before="24"/>
              <w:ind w:left="10"/>
              <w:jc w:val="center"/>
              <w:rPr>
                <w:sz w:val="38"/>
              </w:rPr>
            </w:pPr>
            <w:r>
              <w:rPr>
                <w:sz w:val="38"/>
              </w:rPr>
              <w:t>&lt;1</w:t>
            </w:r>
          </w:p>
        </w:tc>
      </w:tr>
      <w:tr>
        <w:trPr>
          <w:trHeight w:val="742" w:hRule="atLeast"/>
        </w:trPr>
        <w:tc>
          <w:tcPr>
            <w:tcW w:w="4575" w:type="dxa"/>
          </w:tcPr>
          <w:p>
            <w:pPr>
              <w:pStyle w:val="TableParagraph"/>
              <w:spacing w:before="24"/>
              <w:ind w:left="3" w:right="1"/>
              <w:jc w:val="center"/>
              <w:rPr>
                <w:sz w:val="38"/>
              </w:rPr>
            </w:pPr>
            <w:r>
              <w:rPr>
                <w:sz w:val="38"/>
              </w:rPr>
              <w:t>Alcaligenes faecalis</w:t>
            </w:r>
          </w:p>
        </w:tc>
        <w:tc>
          <w:tcPr>
            <w:tcW w:w="1200" w:type="dxa"/>
          </w:tcPr>
          <w:p>
            <w:pPr>
              <w:pStyle w:val="TableParagraph"/>
              <w:spacing w:before="24"/>
              <w:ind w:left="15"/>
              <w:jc w:val="center"/>
              <w:rPr>
                <w:sz w:val="38"/>
              </w:rPr>
            </w:pPr>
            <w:r>
              <w:rPr>
                <w:w w:val="99"/>
                <w:sz w:val="38"/>
              </w:rPr>
              <w:t>A</w:t>
            </w:r>
          </w:p>
        </w:tc>
        <w:tc>
          <w:tcPr>
            <w:tcW w:w="1023" w:type="dxa"/>
          </w:tcPr>
          <w:p>
            <w:pPr>
              <w:pStyle w:val="TableParagraph"/>
              <w:spacing w:before="24"/>
              <w:ind w:left="15"/>
              <w:jc w:val="center"/>
              <w:rPr>
                <w:sz w:val="38"/>
              </w:rPr>
            </w:pPr>
            <w:r>
              <w:rPr>
                <w:w w:val="99"/>
                <w:sz w:val="38"/>
              </w:rPr>
              <w:t>-</w:t>
            </w:r>
          </w:p>
        </w:tc>
        <w:tc>
          <w:tcPr>
            <w:tcW w:w="1000" w:type="dxa"/>
          </w:tcPr>
          <w:p>
            <w:pPr>
              <w:pStyle w:val="TableParagraph"/>
              <w:spacing w:before="24"/>
              <w:ind w:left="11"/>
              <w:jc w:val="center"/>
              <w:rPr>
                <w:sz w:val="38"/>
              </w:rPr>
            </w:pPr>
            <w:r>
              <w:rPr>
                <w:sz w:val="38"/>
              </w:rPr>
              <w:t>2000</w:t>
            </w:r>
          </w:p>
        </w:tc>
        <w:tc>
          <w:tcPr>
            <w:tcW w:w="1547" w:type="dxa"/>
          </w:tcPr>
          <w:p>
            <w:pPr>
              <w:pStyle w:val="TableParagraph"/>
              <w:spacing w:before="24"/>
              <w:ind w:left="13"/>
              <w:jc w:val="center"/>
              <w:rPr>
                <w:sz w:val="38"/>
              </w:rPr>
            </w:pPr>
            <w:r>
              <w:rPr>
                <w:sz w:val="38"/>
              </w:rPr>
              <w:t>55</w:t>
            </w:r>
          </w:p>
        </w:tc>
      </w:tr>
      <w:tr>
        <w:trPr>
          <w:trHeight w:val="740" w:hRule="atLeast"/>
        </w:trPr>
        <w:tc>
          <w:tcPr>
            <w:tcW w:w="4575" w:type="dxa"/>
          </w:tcPr>
          <w:p>
            <w:pPr>
              <w:pStyle w:val="TableParagraph"/>
              <w:spacing w:before="25"/>
              <w:ind w:left="5" w:right="1"/>
              <w:jc w:val="center"/>
              <w:rPr>
                <w:sz w:val="38"/>
              </w:rPr>
            </w:pPr>
            <w:r>
              <w:rPr>
                <w:sz w:val="38"/>
              </w:rPr>
              <w:t>Brucella intermedia</w:t>
            </w:r>
          </w:p>
        </w:tc>
        <w:tc>
          <w:tcPr>
            <w:tcW w:w="1200" w:type="dxa"/>
          </w:tcPr>
          <w:p>
            <w:pPr>
              <w:pStyle w:val="TableParagraph"/>
              <w:spacing w:before="25"/>
              <w:ind w:left="15"/>
              <w:jc w:val="center"/>
              <w:rPr>
                <w:sz w:val="38"/>
              </w:rPr>
            </w:pPr>
            <w:r>
              <w:rPr>
                <w:w w:val="99"/>
                <w:sz w:val="38"/>
              </w:rPr>
              <w:t>A</w:t>
            </w:r>
          </w:p>
        </w:tc>
        <w:tc>
          <w:tcPr>
            <w:tcW w:w="1023" w:type="dxa"/>
          </w:tcPr>
          <w:p>
            <w:pPr>
              <w:pStyle w:val="TableParagraph"/>
              <w:spacing w:before="25"/>
              <w:ind w:left="15"/>
              <w:jc w:val="center"/>
              <w:rPr>
                <w:sz w:val="38"/>
              </w:rPr>
            </w:pPr>
            <w:r>
              <w:rPr>
                <w:w w:val="99"/>
                <w:sz w:val="38"/>
              </w:rPr>
              <w:t>-</w:t>
            </w:r>
          </w:p>
        </w:tc>
        <w:tc>
          <w:tcPr>
            <w:tcW w:w="1000" w:type="dxa"/>
          </w:tcPr>
          <w:p>
            <w:pPr>
              <w:pStyle w:val="TableParagraph"/>
              <w:spacing w:before="25"/>
              <w:ind w:left="11"/>
              <w:jc w:val="center"/>
              <w:rPr>
                <w:sz w:val="38"/>
              </w:rPr>
            </w:pPr>
            <w:r>
              <w:rPr>
                <w:w w:val="99"/>
                <w:sz w:val="38"/>
              </w:rPr>
              <w:t>2</w:t>
            </w:r>
          </w:p>
        </w:tc>
        <w:tc>
          <w:tcPr>
            <w:tcW w:w="1547" w:type="dxa"/>
          </w:tcPr>
          <w:p>
            <w:pPr>
              <w:pStyle w:val="TableParagraph"/>
              <w:spacing w:before="25"/>
              <w:ind w:left="10"/>
              <w:jc w:val="center"/>
              <w:rPr>
                <w:sz w:val="38"/>
              </w:rPr>
            </w:pPr>
            <w:r>
              <w:rPr>
                <w:sz w:val="38"/>
              </w:rPr>
              <w:t>&lt;1</w:t>
            </w:r>
          </w:p>
        </w:tc>
      </w:tr>
      <w:tr>
        <w:trPr>
          <w:trHeight w:val="721" w:hRule="atLeast"/>
        </w:trPr>
        <w:tc>
          <w:tcPr>
            <w:tcW w:w="4575" w:type="dxa"/>
          </w:tcPr>
          <w:p>
            <w:pPr>
              <w:pStyle w:val="TableParagraph"/>
              <w:spacing w:before="24"/>
              <w:ind w:left="3" w:right="1"/>
              <w:jc w:val="center"/>
              <w:rPr>
                <w:sz w:val="38"/>
              </w:rPr>
            </w:pPr>
            <w:r>
              <w:rPr>
                <w:sz w:val="38"/>
              </w:rPr>
              <w:t>Brucella abortus</w:t>
            </w:r>
          </w:p>
        </w:tc>
        <w:tc>
          <w:tcPr>
            <w:tcW w:w="1200" w:type="dxa"/>
          </w:tcPr>
          <w:p>
            <w:pPr>
              <w:pStyle w:val="TableParagraph"/>
              <w:spacing w:before="24"/>
              <w:ind w:left="40" w:right="27"/>
              <w:jc w:val="center"/>
              <w:rPr>
                <w:sz w:val="38"/>
              </w:rPr>
            </w:pPr>
            <w:r>
              <w:rPr>
                <w:sz w:val="38"/>
              </w:rPr>
              <w:t>NCTC</w:t>
            </w:r>
          </w:p>
        </w:tc>
        <w:tc>
          <w:tcPr>
            <w:tcW w:w="1023" w:type="dxa"/>
          </w:tcPr>
          <w:p>
            <w:pPr>
              <w:pStyle w:val="TableParagraph"/>
              <w:spacing w:before="24"/>
              <w:ind w:left="12"/>
              <w:jc w:val="center"/>
              <w:rPr>
                <w:sz w:val="38"/>
              </w:rPr>
            </w:pPr>
            <w:r>
              <w:rPr>
                <w:sz w:val="38"/>
              </w:rPr>
              <w:t>8226</w:t>
            </w:r>
          </w:p>
        </w:tc>
        <w:tc>
          <w:tcPr>
            <w:tcW w:w="1000" w:type="dxa"/>
          </w:tcPr>
          <w:p>
            <w:pPr>
              <w:pStyle w:val="TableParagraph"/>
              <w:spacing w:before="24"/>
              <w:ind w:left="11"/>
              <w:jc w:val="center"/>
              <w:rPr>
                <w:sz w:val="38"/>
              </w:rPr>
            </w:pPr>
            <w:r>
              <w:rPr>
                <w:w w:val="99"/>
                <w:sz w:val="38"/>
              </w:rPr>
              <w:t>2</w:t>
            </w:r>
          </w:p>
        </w:tc>
        <w:tc>
          <w:tcPr>
            <w:tcW w:w="1547" w:type="dxa"/>
          </w:tcPr>
          <w:p>
            <w:pPr>
              <w:pStyle w:val="TableParagraph"/>
              <w:spacing w:before="24"/>
              <w:ind w:left="10"/>
              <w:jc w:val="center"/>
              <w:rPr>
                <w:sz w:val="38"/>
              </w:rPr>
            </w:pPr>
            <w:r>
              <w:rPr>
                <w:sz w:val="38"/>
              </w:rPr>
              <w:t>&lt;1</w:t>
            </w:r>
          </w:p>
        </w:tc>
      </w:tr>
    </w:tbl>
    <w:p>
      <w:pPr>
        <w:spacing w:after="0"/>
        <w:jc w:val="center"/>
        <w:rPr>
          <w:sz w:val="38"/>
        </w:rPr>
        <w:sectPr>
          <w:pgSz w:w="14270" w:h="16850"/>
          <w:pgMar w:header="0" w:footer="404" w:top="1600" w:bottom="600" w:left="800" w:right="1280"/>
        </w:sectPr>
      </w:pPr>
    </w:p>
    <w:p>
      <w:pPr>
        <w:pStyle w:val="BodyText"/>
        <w:spacing w:before="4"/>
        <w:rPr>
          <w:rFonts w:ascii="Times New Roman"/>
          <w:sz w:val="18"/>
        </w:rPr>
      </w:pPr>
    </w:p>
    <w:tbl>
      <w:tblPr>
        <w:tblW w:w="0" w:type="auto"/>
        <w:jc w:val="left"/>
        <w:tblInd w:w="1597"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top w:w="0" w:type="dxa"/>
          <w:left w:w="0" w:type="dxa"/>
          <w:bottom w:w="0" w:type="dxa"/>
          <w:right w:w="0" w:type="dxa"/>
        </w:tblCellMar>
        <w:tblLook w:val="01E0"/>
      </w:tblPr>
      <w:tblGrid>
        <w:gridCol w:w="4575"/>
        <w:gridCol w:w="1200"/>
        <w:gridCol w:w="1023"/>
        <w:gridCol w:w="1000"/>
        <w:gridCol w:w="1547"/>
      </w:tblGrid>
      <w:tr>
        <w:trPr>
          <w:trHeight w:val="721" w:hRule="atLeast"/>
        </w:trPr>
        <w:tc>
          <w:tcPr>
            <w:tcW w:w="4575" w:type="dxa"/>
          </w:tcPr>
          <w:p>
            <w:pPr>
              <w:pStyle w:val="TableParagraph"/>
              <w:spacing w:before="3"/>
              <w:ind w:left="5" w:right="1"/>
              <w:jc w:val="center"/>
              <w:rPr>
                <w:sz w:val="38"/>
              </w:rPr>
            </w:pPr>
            <w:r>
              <w:rPr>
                <w:sz w:val="38"/>
              </w:rPr>
              <w:t>Brucella melitensis</w:t>
            </w:r>
          </w:p>
        </w:tc>
        <w:tc>
          <w:tcPr>
            <w:tcW w:w="1200" w:type="dxa"/>
          </w:tcPr>
          <w:p>
            <w:pPr>
              <w:pStyle w:val="TableParagraph"/>
              <w:spacing w:before="3"/>
              <w:ind w:left="15"/>
              <w:jc w:val="center"/>
              <w:rPr>
                <w:sz w:val="38"/>
              </w:rPr>
            </w:pPr>
            <w:r>
              <w:rPr>
                <w:w w:val="99"/>
                <w:sz w:val="38"/>
              </w:rPr>
              <w:t>A</w:t>
            </w:r>
          </w:p>
        </w:tc>
        <w:tc>
          <w:tcPr>
            <w:tcW w:w="1023" w:type="dxa"/>
          </w:tcPr>
          <w:p>
            <w:pPr>
              <w:pStyle w:val="TableParagraph"/>
              <w:spacing w:before="3"/>
              <w:ind w:left="15"/>
              <w:jc w:val="center"/>
              <w:rPr>
                <w:sz w:val="38"/>
              </w:rPr>
            </w:pPr>
            <w:r>
              <w:rPr>
                <w:w w:val="99"/>
                <w:sz w:val="38"/>
              </w:rPr>
              <w:t>-</w:t>
            </w:r>
          </w:p>
        </w:tc>
        <w:tc>
          <w:tcPr>
            <w:tcW w:w="1000" w:type="dxa"/>
          </w:tcPr>
          <w:p>
            <w:pPr>
              <w:pStyle w:val="TableParagraph"/>
              <w:spacing w:before="3"/>
              <w:ind w:left="11"/>
              <w:jc w:val="center"/>
              <w:rPr>
                <w:sz w:val="38"/>
              </w:rPr>
            </w:pPr>
            <w:r>
              <w:rPr>
                <w:w w:val="99"/>
                <w:sz w:val="38"/>
              </w:rPr>
              <w:t>2</w:t>
            </w:r>
          </w:p>
        </w:tc>
        <w:tc>
          <w:tcPr>
            <w:tcW w:w="1547" w:type="dxa"/>
          </w:tcPr>
          <w:p>
            <w:pPr>
              <w:pStyle w:val="TableParagraph"/>
              <w:spacing w:before="3"/>
              <w:ind w:left="10"/>
              <w:jc w:val="center"/>
              <w:rPr>
                <w:sz w:val="38"/>
              </w:rPr>
            </w:pPr>
            <w:r>
              <w:rPr>
                <w:sz w:val="38"/>
              </w:rPr>
              <w:t>&lt;1</w:t>
            </w:r>
          </w:p>
        </w:tc>
      </w:tr>
      <w:tr>
        <w:trPr>
          <w:trHeight w:val="740" w:hRule="atLeast"/>
        </w:trPr>
        <w:tc>
          <w:tcPr>
            <w:tcW w:w="4575" w:type="dxa"/>
          </w:tcPr>
          <w:p>
            <w:pPr>
              <w:pStyle w:val="TableParagraph"/>
              <w:spacing w:before="24"/>
              <w:ind w:left="4" w:right="1"/>
              <w:jc w:val="center"/>
              <w:rPr>
                <w:sz w:val="38"/>
              </w:rPr>
            </w:pPr>
            <w:r>
              <w:rPr>
                <w:sz w:val="38"/>
              </w:rPr>
              <w:t>Brucella suis</w:t>
            </w:r>
          </w:p>
        </w:tc>
        <w:tc>
          <w:tcPr>
            <w:tcW w:w="1200" w:type="dxa"/>
          </w:tcPr>
          <w:p>
            <w:pPr>
              <w:pStyle w:val="TableParagraph"/>
              <w:spacing w:before="24"/>
              <w:ind w:left="15"/>
              <w:jc w:val="center"/>
              <w:rPr>
                <w:sz w:val="38"/>
              </w:rPr>
            </w:pPr>
            <w:r>
              <w:rPr>
                <w:w w:val="99"/>
                <w:sz w:val="38"/>
              </w:rPr>
              <w:t>A</w:t>
            </w:r>
          </w:p>
        </w:tc>
        <w:tc>
          <w:tcPr>
            <w:tcW w:w="1023" w:type="dxa"/>
          </w:tcPr>
          <w:p>
            <w:pPr>
              <w:pStyle w:val="TableParagraph"/>
              <w:spacing w:before="24"/>
              <w:ind w:left="15"/>
              <w:jc w:val="center"/>
              <w:rPr>
                <w:sz w:val="38"/>
              </w:rPr>
            </w:pPr>
            <w:r>
              <w:rPr>
                <w:w w:val="99"/>
                <w:sz w:val="38"/>
              </w:rPr>
              <w:t>-</w:t>
            </w:r>
          </w:p>
        </w:tc>
        <w:tc>
          <w:tcPr>
            <w:tcW w:w="1000" w:type="dxa"/>
          </w:tcPr>
          <w:p>
            <w:pPr>
              <w:pStyle w:val="TableParagraph"/>
              <w:spacing w:before="24"/>
              <w:ind w:left="11"/>
              <w:jc w:val="center"/>
              <w:rPr>
                <w:sz w:val="38"/>
              </w:rPr>
            </w:pPr>
            <w:r>
              <w:rPr>
                <w:w w:val="99"/>
                <w:sz w:val="38"/>
              </w:rPr>
              <w:t>2</w:t>
            </w:r>
          </w:p>
        </w:tc>
        <w:tc>
          <w:tcPr>
            <w:tcW w:w="1547" w:type="dxa"/>
          </w:tcPr>
          <w:p>
            <w:pPr>
              <w:pStyle w:val="TableParagraph"/>
              <w:spacing w:before="24"/>
              <w:ind w:left="10"/>
              <w:jc w:val="center"/>
              <w:rPr>
                <w:sz w:val="38"/>
              </w:rPr>
            </w:pPr>
            <w:r>
              <w:rPr>
                <w:sz w:val="38"/>
              </w:rPr>
              <w:t>&lt;1</w:t>
            </w:r>
          </w:p>
        </w:tc>
      </w:tr>
      <w:tr>
        <w:trPr>
          <w:trHeight w:val="742" w:hRule="atLeast"/>
        </w:trPr>
        <w:tc>
          <w:tcPr>
            <w:tcW w:w="4575" w:type="dxa"/>
          </w:tcPr>
          <w:p>
            <w:pPr>
              <w:pStyle w:val="TableParagraph"/>
              <w:spacing w:before="24"/>
              <w:ind w:left="2" w:right="1"/>
              <w:jc w:val="center"/>
              <w:rPr>
                <w:sz w:val="38"/>
              </w:rPr>
            </w:pPr>
            <w:r>
              <w:rPr>
                <w:sz w:val="38"/>
              </w:rPr>
              <w:t>Campylobacter jejuni</w:t>
            </w:r>
          </w:p>
        </w:tc>
        <w:tc>
          <w:tcPr>
            <w:tcW w:w="1200" w:type="dxa"/>
          </w:tcPr>
          <w:p>
            <w:pPr>
              <w:pStyle w:val="TableParagraph"/>
              <w:spacing w:before="24"/>
              <w:ind w:left="16"/>
              <w:jc w:val="center"/>
              <w:rPr>
                <w:sz w:val="38"/>
              </w:rPr>
            </w:pPr>
            <w:r>
              <w:rPr>
                <w:w w:val="99"/>
                <w:sz w:val="38"/>
              </w:rPr>
              <w:t>-</w:t>
            </w:r>
          </w:p>
        </w:tc>
        <w:tc>
          <w:tcPr>
            <w:tcW w:w="1023" w:type="dxa"/>
          </w:tcPr>
          <w:p>
            <w:pPr>
              <w:pStyle w:val="TableParagraph"/>
              <w:spacing w:before="24"/>
              <w:ind w:left="15"/>
              <w:jc w:val="center"/>
              <w:rPr>
                <w:sz w:val="38"/>
              </w:rPr>
            </w:pPr>
            <w:r>
              <w:rPr>
                <w:w w:val="99"/>
                <w:sz w:val="38"/>
              </w:rPr>
              <w:t>-</w:t>
            </w:r>
          </w:p>
        </w:tc>
        <w:tc>
          <w:tcPr>
            <w:tcW w:w="1000" w:type="dxa"/>
          </w:tcPr>
          <w:p>
            <w:pPr>
              <w:pStyle w:val="TableParagraph"/>
              <w:spacing w:before="24"/>
              <w:ind w:left="11"/>
              <w:jc w:val="center"/>
              <w:rPr>
                <w:sz w:val="38"/>
              </w:rPr>
            </w:pPr>
            <w:r>
              <w:rPr>
                <w:sz w:val="38"/>
              </w:rPr>
              <w:t>500</w:t>
            </w:r>
          </w:p>
        </w:tc>
        <w:tc>
          <w:tcPr>
            <w:tcW w:w="1547" w:type="dxa"/>
          </w:tcPr>
          <w:p>
            <w:pPr>
              <w:pStyle w:val="TableParagraph"/>
              <w:spacing w:before="24"/>
              <w:ind w:left="13"/>
              <w:jc w:val="center"/>
              <w:rPr>
                <w:sz w:val="38"/>
              </w:rPr>
            </w:pPr>
            <w:r>
              <w:rPr>
                <w:sz w:val="38"/>
              </w:rPr>
              <w:t>15</w:t>
            </w:r>
          </w:p>
        </w:tc>
      </w:tr>
      <w:tr>
        <w:trPr>
          <w:trHeight w:val="740" w:hRule="atLeast"/>
        </w:trPr>
        <w:tc>
          <w:tcPr>
            <w:tcW w:w="4575" w:type="dxa"/>
          </w:tcPr>
          <w:p>
            <w:pPr>
              <w:pStyle w:val="TableParagraph"/>
              <w:spacing w:before="24"/>
              <w:ind w:left="2" w:right="1"/>
              <w:jc w:val="center"/>
              <w:rPr>
                <w:sz w:val="38"/>
              </w:rPr>
            </w:pPr>
            <w:r>
              <w:rPr>
                <w:sz w:val="38"/>
              </w:rPr>
              <w:t>Cloaca cloacae</w:t>
            </w:r>
          </w:p>
        </w:tc>
        <w:tc>
          <w:tcPr>
            <w:tcW w:w="1200" w:type="dxa"/>
          </w:tcPr>
          <w:p>
            <w:pPr>
              <w:pStyle w:val="TableParagraph"/>
              <w:spacing w:before="24"/>
              <w:ind w:left="87"/>
              <w:rPr>
                <w:sz w:val="38"/>
              </w:rPr>
            </w:pPr>
            <w:r>
              <w:rPr>
                <w:sz w:val="38"/>
              </w:rPr>
              <w:t>NCTC</w:t>
            </w:r>
          </w:p>
        </w:tc>
        <w:tc>
          <w:tcPr>
            <w:tcW w:w="1023" w:type="dxa"/>
          </w:tcPr>
          <w:p>
            <w:pPr>
              <w:pStyle w:val="TableParagraph"/>
              <w:spacing w:before="24"/>
              <w:ind w:left="12"/>
              <w:jc w:val="center"/>
              <w:rPr>
                <w:sz w:val="38"/>
              </w:rPr>
            </w:pPr>
            <w:r>
              <w:rPr>
                <w:sz w:val="38"/>
              </w:rPr>
              <w:t>8155</w:t>
            </w:r>
          </w:p>
        </w:tc>
        <w:tc>
          <w:tcPr>
            <w:tcW w:w="1000" w:type="dxa"/>
          </w:tcPr>
          <w:p>
            <w:pPr>
              <w:pStyle w:val="TableParagraph"/>
              <w:spacing w:before="24"/>
              <w:ind w:left="11"/>
              <w:jc w:val="center"/>
              <w:rPr>
                <w:sz w:val="38"/>
              </w:rPr>
            </w:pPr>
            <w:r>
              <w:rPr>
                <w:w w:val="99"/>
                <w:sz w:val="38"/>
              </w:rPr>
              <w:t>6</w:t>
            </w:r>
          </w:p>
        </w:tc>
        <w:tc>
          <w:tcPr>
            <w:tcW w:w="1547" w:type="dxa"/>
          </w:tcPr>
          <w:p>
            <w:pPr>
              <w:pStyle w:val="TableParagraph"/>
              <w:spacing w:before="24"/>
              <w:ind w:left="10"/>
              <w:jc w:val="center"/>
              <w:rPr>
                <w:sz w:val="38"/>
              </w:rPr>
            </w:pPr>
            <w:r>
              <w:rPr>
                <w:sz w:val="38"/>
              </w:rPr>
              <w:t>&lt;1</w:t>
            </w:r>
          </w:p>
        </w:tc>
      </w:tr>
      <w:tr>
        <w:trPr>
          <w:trHeight w:val="743" w:hRule="atLeast"/>
        </w:trPr>
        <w:tc>
          <w:tcPr>
            <w:tcW w:w="4575" w:type="dxa"/>
          </w:tcPr>
          <w:p>
            <w:pPr>
              <w:pStyle w:val="TableParagraph"/>
              <w:spacing w:before="25"/>
              <w:ind w:left="6" w:right="1"/>
              <w:jc w:val="center"/>
              <w:rPr>
                <w:sz w:val="38"/>
              </w:rPr>
            </w:pPr>
            <w:r>
              <w:rPr>
                <w:sz w:val="38"/>
              </w:rPr>
              <w:t>Escherichia coli</w:t>
            </w:r>
          </w:p>
        </w:tc>
        <w:tc>
          <w:tcPr>
            <w:tcW w:w="1200" w:type="dxa"/>
          </w:tcPr>
          <w:p>
            <w:pPr>
              <w:pStyle w:val="TableParagraph"/>
              <w:spacing w:before="25"/>
              <w:ind w:left="87"/>
              <w:rPr>
                <w:sz w:val="38"/>
              </w:rPr>
            </w:pPr>
            <w:r>
              <w:rPr>
                <w:sz w:val="38"/>
              </w:rPr>
              <w:t>NCTC</w:t>
            </w:r>
          </w:p>
        </w:tc>
        <w:tc>
          <w:tcPr>
            <w:tcW w:w="1023" w:type="dxa"/>
          </w:tcPr>
          <w:p>
            <w:pPr>
              <w:pStyle w:val="TableParagraph"/>
              <w:spacing w:before="25"/>
              <w:ind w:left="12"/>
              <w:jc w:val="center"/>
              <w:rPr>
                <w:sz w:val="38"/>
              </w:rPr>
            </w:pPr>
            <w:r>
              <w:rPr>
                <w:sz w:val="38"/>
              </w:rPr>
              <w:t>86</w:t>
            </w:r>
          </w:p>
        </w:tc>
        <w:tc>
          <w:tcPr>
            <w:tcW w:w="1000" w:type="dxa"/>
          </w:tcPr>
          <w:p>
            <w:pPr>
              <w:pStyle w:val="TableParagraph"/>
              <w:spacing w:before="25"/>
              <w:ind w:left="11"/>
              <w:jc w:val="center"/>
              <w:rPr>
                <w:sz w:val="38"/>
              </w:rPr>
            </w:pPr>
            <w:r>
              <w:rPr>
                <w:w w:val="99"/>
                <w:sz w:val="38"/>
              </w:rPr>
              <w:t>2</w:t>
            </w:r>
          </w:p>
        </w:tc>
        <w:tc>
          <w:tcPr>
            <w:tcW w:w="1547" w:type="dxa"/>
          </w:tcPr>
          <w:p>
            <w:pPr>
              <w:pStyle w:val="TableParagraph"/>
              <w:spacing w:before="25"/>
              <w:ind w:left="10"/>
              <w:jc w:val="center"/>
              <w:rPr>
                <w:sz w:val="38"/>
              </w:rPr>
            </w:pPr>
            <w:r>
              <w:rPr>
                <w:sz w:val="38"/>
              </w:rPr>
              <w:t>&lt;1</w:t>
            </w:r>
          </w:p>
        </w:tc>
      </w:tr>
      <w:tr>
        <w:trPr>
          <w:trHeight w:val="740" w:hRule="atLeast"/>
        </w:trPr>
        <w:tc>
          <w:tcPr>
            <w:tcW w:w="4575" w:type="dxa"/>
          </w:tcPr>
          <w:p>
            <w:pPr>
              <w:pStyle w:val="TableParagraph"/>
              <w:spacing w:before="24"/>
              <w:ind w:left="6" w:right="1"/>
              <w:jc w:val="center"/>
              <w:rPr>
                <w:sz w:val="38"/>
              </w:rPr>
            </w:pPr>
            <w:r>
              <w:rPr>
                <w:sz w:val="38"/>
              </w:rPr>
              <w:t>Escherichia coli</w:t>
            </w:r>
          </w:p>
        </w:tc>
        <w:tc>
          <w:tcPr>
            <w:tcW w:w="1200" w:type="dxa"/>
          </w:tcPr>
          <w:p>
            <w:pPr>
              <w:pStyle w:val="TableParagraph"/>
              <w:spacing w:before="24"/>
              <w:ind w:left="104"/>
              <w:rPr>
                <w:sz w:val="38"/>
              </w:rPr>
            </w:pPr>
            <w:r>
              <w:rPr>
                <w:sz w:val="38"/>
              </w:rPr>
              <w:t>ATCC</w:t>
            </w:r>
          </w:p>
        </w:tc>
        <w:tc>
          <w:tcPr>
            <w:tcW w:w="1023" w:type="dxa"/>
          </w:tcPr>
          <w:p>
            <w:pPr>
              <w:pStyle w:val="TableParagraph"/>
              <w:spacing w:before="24"/>
              <w:ind w:left="12"/>
              <w:jc w:val="center"/>
              <w:rPr>
                <w:sz w:val="38"/>
              </w:rPr>
            </w:pPr>
            <w:r>
              <w:rPr>
                <w:sz w:val="38"/>
              </w:rPr>
              <w:t>9663</w:t>
            </w:r>
          </w:p>
        </w:tc>
        <w:tc>
          <w:tcPr>
            <w:tcW w:w="1000" w:type="dxa"/>
          </w:tcPr>
          <w:p>
            <w:pPr>
              <w:pStyle w:val="TableParagraph"/>
              <w:spacing w:before="24"/>
              <w:ind w:left="11"/>
              <w:jc w:val="center"/>
              <w:rPr>
                <w:sz w:val="38"/>
              </w:rPr>
            </w:pPr>
            <w:r>
              <w:rPr>
                <w:w w:val="99"/>
                <w:sz w:val="38"/>
              </w:rPr>
              <w:t>6</w:t>
            </w:r>
          </w:p>
        </w:tc>
        <w:tc>
          <w:tcPr>
            <w:tcW w:w="1547" w:type="dxa"/>
          </w:tcPr>
          <w:p>
            <w:pPr>
              <w:pStyle w:val="TableParagraph"/>
              <w:spacing w:before="24"/>
              <w:ind w:left="10"/>
              <w:jc w:val="center"/>
              <w:rPr>
                <w:sz w:val="38"/>
              </w:rPr>
            </w:pPr>
            <w:r>
              <w:rPr>
                <w:sz w:val="38"/>
              </w:rPr>
              <w:t>&lt;1</w:t>
            </w:r>
          </w:p>
        </w:tc>
      </w:tr>
      <w:tr>
        <w:trPr>
          <w:trHeight w:val="742" w:hRule="atLeast"/>
        </w:trPr>
        <w:tc>
          <w:tcPr>
            <w:tcW w:w="4575" w:type="dxa"/>
          </w:tcPr>
          <w:p>
            <w:pPr>
              <w:pStyle w:val="TableParagraph"/>
              <w:spacing w:before="24"/>
              <w:ind w:left="6" w:right="1"/>
              <w:jc w:val="center"/>
              <w:rPr>
                <w:sz w:val="38"/>
              </w:rPr>
            </w:pPr>
            <w:r>
              <w:rPr>
                <w:sz w:val="38"/>
              </w:rPr>
              <w:t>Escherichia coli</w:t>
            </w:r>
          </w:p>
        </w:tc>
        <w:tc>
          <w:tcPr>
            <w:tcW w:w="1200" w:type="dxa"/>
          </w:tcPr>
          <w:p>
            <w:pPr>
              <w:pStyle w:val="TableParagraph"/>
              <w:spacing w:before="24"/>
              <w:ind w:left="104"/>
              <w:rPr>
                <w:sz w:val="38"/>
              </w:rPr>
            </w:pPr>
            <w:r>
              <w:rPr>
                <w:sz w:val="38"/>
              </w:rPr>
              <w:t>ATCC</w:t>
            </w:r>
          </w:p>
        </w:tc>
        <w:tc>
          <w:tcPr>
            <w:tcW w:w="1023" w:type="dxa"/>
          </w:tcPr>
          <w:p>
            <w:pPr>
              <w:pStyle w:val="TableParagraph"/>
              <w:spacing w:before="24"/>
              <w:ind w:left="12"/>
              <w:jc w:val="center"/>
              <w:rPr>
                <w:sz w:val="38"/>
              </w:rPr>
            </w:pPr>
            <w:r>
              <w:rPr>
                <w:sz w:val="38"/>
              </w:rPr>
              <w:t>11229</w:t>
            </w:r>
          </w:p>
        </w:tc>
        <w:tc>
          <w:tcPr>
            <w:tcW w:w="1000" w:type="dxa"/>
          </w:tcPr>
          <w:p>
            <w:pPr>
              <w:pStyle w:val="TableParagraph"/>
              <w:spacing w:before="24"/>
              <w:ind w:left="11"/>
              <w:jc w:val="center"/>
              <w:rPr>
                <w:sz w:val="38"/>
              </w:rPr>
            </w:pPr>
            <w:r>
              <w:rPr>
                <w:sz w:val="38"/>
              </w:rPr>
              <w:t>16</w:t>
            </w:r>
          </w:p>
        </w:tc>
        <w:tc>
          <w:tcPr>
            <w:tcW w:w="1547" w:type="dxa"/>
          </w:tcPr>
          <w:p>
            <w:pPr>
              <w:pStyle w:val="TableParagraph"/>
              <w:spacing w:before="24"/>
              <w:ind w:left="10"/>
              <w:jc w:val="center"/>
              <w:rPr>
                <w:sz w:val="38"/>
              </w:rPr>
            </w:pPr>
            <w:r>
              <w:rPr>
                <w:sz w:val="38"/>
              </w:rPr>
              <w:t>&lt;1</w:t>
            </w:r>
          </w:p>
        </w:tc>
      </w:tr>
      <w:tr>
        <w:trPr>
          <w:trHeight w:val="740" w:hRule="atLeast"/>
        </w:trPr>
        <w:tc>
          <w:tcPr>
            <w:tcW w:w="4575" w:type="dxa"/>
          </w:tcPr>
          <w:p>
            <w:pPr>
              <w:pStyle w:val="TableParagraph"/>
              <w:spacing w:before="24"/>
              <w:ind w:left="6" w:right="1"/>
              <w:jc w:val="center"/>
              <w:rPr>
                <w:sz w:val="38"/>
              </w:rPr>
            </w:pPr>
            <w:r>
              <w:rPr>
                <w:sz w:val="38"/>
              </w:rPr>
              <w:t>Escherichia coli</w:t>
            </w:r>
          </w:p>
        </w:tc>
        <w:tc>
          <w:tcPr>
            <w:tcW w:w="1200" w:type="dxa"/>
          </w:tcPr>
          <w:p>
            <w:pPr>
              <w:pStyle w:val="TableParagraph"/>
              <w:spacing w:before="24"/>
              <w:ind w:left="87"/>
              <w:rPr>
                <w:sz w:val="38"/>
              </w:rPr>
            </w:pPr>
            <w:r>
              <w:rPr>
                <w:sz w:val="38"/>
              </w:rPr>
              <w:t>NCTC</w:t>
            </w:r>
          </w:p>
        </w:tc>
        <w:tc>
          <w:tcPr>
            <w:tcW w:w="1023" w:type="dxa"/>
          </w:tcPr>
          <w:p>
            <w:pPr>
              <w:pStyle w:val="TableParagraph"/>
              <w:spacing w:before="24"/>
              <w:ind w:left="12"/>
              <w:jc w:val="center"/>
              <w:rPr>
                <w:sz w:val="38"/>
              </w:rPr>
            </w:pPr>
            <w:r>
              <w:rPr>
                <w:sz w:val="38"/>
              </w:rPr>
              <w:t>9001</w:t>
            </w:r>
          </w:p>
        </w:tc>
        <w:tc>
          <w:tcPr>
            <w:tcW w:w="1000" w:type="dxa"/>
          </w:tcPr>
          <w:p>
            <w:pPr>
              <w:pStyle w:val="TableParagraph"/>
              <w:spacing w:before="24"/>
              <w:ind w:left="11"/>
              <w:jc w:val="center"/>
              <w:rPr>
                <w:sz w:val="38"/>
              </w:rPr>
            </w:pPr>
            <w:r>
              <w:rPr>
                <w:w w:val="99"/>
                <w:sz w:val="38"/>
              </w:rPr>
              <w:t>6</w:t>
            </w:r>
          </w:p>
        </w:tc>
        <w:tc>
          <w:tcPr>
            <w:tcW w:w="1547" w:type="dxa"/>
          </w:tcPr>
          <w:p>
            <w:pPr>
              <w:pStyle w:val="TableParagraph"/>
              <w:spacing w:before="24"/>
              <w:ind w:left="10"/>
              <w:jc w:val="center"/>
              <w:rPr>
                <w:sz w:val="38"/>
              </w:rPr>
            </w:pPr>
            <w:r>
              <w:rPr>
                <w:sz w:val="38"/>
              </w:rPr>
              <w:t>&lt;1</w:t>
            </w:r>
          </w:p>
        </w:tc>
      </w:tr>
      <w:tr>
        <w:trPr>
          <w:trHeight w:val="743" w:hRule="atLeast"/>
        </w:trPr>
        <w:tc>
          <w:tcPr>
            <w:tcW w:w="4575" w:type="dxa"/>
          </w:tcPr>
          <w:p>
            <w:pPr>
              <w:pStyle w:val="TableParagraph"/>
              <w:spacing w:before="24"/>
              <w:ind w:left="2" w:right="1"/>
              <w:jc w:val="center"/>
              <w:rPr>
                <w:sz w:val="38"/>
              </w:rPr>
            </w:pPr>
            <w:r>
              <w:rPr>
                <w:sz w:val="38"/>
              </w:rPr>
              <w:t>Haemophilus influenzae</w:t>
            </w:r>
          </w:p>
        </w:tc>
        <w:tc>
          <w:tcPr>
            <w:tcW w:w="1200" w:type="dxa"/>
          </w:tcPr>
          <w:p>
            <w:pPr>
              <w:pStyle w:val="TableParagraph"/>
              <w:spacing w:before="24"/>
              <w:ind w:left="15"/>
              <w:jc w:val="center"/>
              <w:rPr>
                <w:sz w:val="38"/>
              </w:rPr>
            </w:pPr>
            <w:r>
              <w:rPr>
                <w:w w:val="99"/>
                <w:sz w:val="38"/>
              </w:rPr>
              <w:t>A</w:t>
            </w:r>
          </w:p>
        </w:tc>
        <w:tc>
          <w:tcPr>
            <w:tcW w:w="1023" w:type="dxa"/>
          </w:tcPr>
          <w:p>
            <w:pPr>
              <w:pStyle w:val="TableParagraph"/>
              <w:spacing w:before="24"/>
              <w:ind w:left="15"/>
              <w:jc w:val="center"/>
              <w:rPr>
                <w:sz w:val="38"/>
              </w:rPr>
            </w:pPr>
            <w:r>
              <w:rPr>
                <w:w w:val="99"/>
                <w:sz w:val="38"/>
              </w:rPr>
              <w:t>-</w:t>
            </w:r>
          </w:p>
        </w:tc>
        <w:tc>
          <w:tcPr>
            <w:tcW w:w="1000" w:type="dxa"/>
          </w:tcPr>
          <w:p>
            <w:pPr>
              <w:pStyle w:val="TableParagraph"/>
              <w:spacing w:before="24"/>
              <w:ind w:left="11"/>
              <w:jc w:val="center"/>
              <w:rPr>
                <w:sz w:val="38"/>
              </w:rPr>
            </w:pPr>
            <w:r>
              <w:rPr>
                <w:sz w:val="38"/>
              </w:rPr>
              <w:t>660</w:t>
            </w:r>
          </w:p>
        </w:tc>
        <w:tc>
          <w:tcPr>
            <w:tcW w:w="1547" w:type="dxa"/>
          </w:tcPr>
          <w:p>
            <w:pPr>
              <w:pStyle w:val="TableParagraph"/>
              <w:spacing w:before="24"/>
              <w:ind w:left="13"/>
              <w:jc w:val="center"/>
              <w:rPr>
                <w:sz w:val="38"/>
              </w:rPr>
            </w:pPr>
            <w:r>
              <w:rPr>
                <w:sz w:val="38"/>
              </w:rPr>
              <w:t>18</w:t>
            </w:r>
          </w:p>
        </w:tc>
      </w:tr>
      <w:tr>
        <w:trPr>
          <w:trHeight w:val="740" w:hRule="atLeast"/>
        </w:trPr>
        <w:tc>
          <w:tcPr>
            <w:tcW w:w="4575" w:type="dxa"/>
          </w:tcPr>
          <w:p>
            <w:pPr>
              <w:pStyle w:val="TableParagraph"/>
              <w:spacing w:before="24"/>
              <w:ind w:left="4" w:right="1"/>
              <w:jc w:val="center"/>
              <w:rPr>
                <w:sz w:val="38"/>
              </w:rPr>
            </w:pPr>
            <w:r>
              <w:rPr>
                <w:sz w:val="38"/>
              </w:rPr>
              <w:t>Helicobacter pylori</w:t>
            </w:r>
          </w:p>
        </w:tc>
        <w:tc>
          <w:tcPr>
            <w:tcW w:w="1200" w:type="dxa"/>
          </w:tcPr>
          <w:p>
            <w:pPr>
              <w:pStyle w:val="TableParagraph"/>
              <w:spacing w:before="24"/>
              <w:ind w:left="16"/>
              <w:jc w:val="center"/>
              <w:rPr>
                <w:sz w:val="38"/>
              </w:rPr>
            </w:pPr>
            <w:r>
              <w:rPr>
                <w:w w:val="99"/>
                <w:sz w:val="38"/>
              </w:rPr>
              <w:t>-</w:t>
            </w:r>
          </w:p>
        </w:tc>
        <w:tc>
          <w:tcPr>
            <w:tcW w:w="1023" w:type="dxa"/>
          </w:tcPr>
          <w:p>
            <w:pPr>
              <w:pStyle w:val="TableParagraph"/>
              <w:spacing w:before="24"/>
              <w:ind w:left="15"/>
              <w:jc w:val="center"/>
              <w:rPr>
                <w:sz w:val="38"/>
              </w:rPr>
            </w:pPr>
            <w:r>
              <w:rPr>
                <w:w w:val="99"/>
                <w:sz w:val="38"/>
              </w:rPr>
              <w:t>-</w:t>
            </w:r>
          </w:p>
        </w:tc>
        <w:tc>
          <w:tcPr>
            <w:tcW w:w="1000" w:type="dxa"/>
          </w:tcPr>
          <w:p>
            <w:pPr>
              <w:pStyle w:val="TableParagraph"/>
              <w:spacing w:before="24"/>
              <w:ind w:left="11"/>
              <w:jc w:val="center"/>
              <w:rPr>
                <w:sz w:val="38"/>
              </w:rPr>
            </w:pPr>
            <w:r>
              <w:rPr>
                <w:sz w:val="38"/>
              </w:rPr>
              <w:t>500</w:t>
            </w:r>
          </w:p>
        </w:tc>
        <w:tc>
          <w:tcPr>
            <w:tcW w:w="1547" w:type="dxa"/>
          </w:tcPr>
          <w:p>
            <w:pPr>
              <w:pStyle w:val="TableParagraph"/>
              <w:spacing w:before="24"/>
              <w:ind w:left="13"/>
              <w:jc w:val="center"/>
              <w:rPr>
                <w:sz w:val="38"/>
              </w:rPr>
            </w:pPr>
            <w:r>
              <w:rPr>
                <w:sz w:val="38"/>
              </w:rPr>
              <w:t>15</w:t>
            </w:r>
          </w:p>
        </w:tc>
      </w:tr>
      <w:tr>
        <w:trPr>
          <w:trHeight w:val="742" w:hRule="atLeast"/>
        </w:trPr>
        <w:tc>
          <w:tcPr>
            <w:tcW w:w="4575" w:type="dxa"/>
          </w:tcPr>
          <w:p>
            <w:pPr>
              <w:pStyle w:val="TableParagraph"/>
              <w:spacing w:before="24"/>
              <w:ind w:left="4" w:right="1"/>
              <w:jc w:val="center"/>
              <w:rPr>
                <w:sz w:val="38"/>
              </w:rPr>
            </w:pPr>
            <w:r>
              <w:rPr>
                <w:sz w:val="38"/>
              </w:rPr>
              <w:t>Klebsiella edwardsii</w:t>
            </w:r>
          </w:p>
        </w:tc>
        <w:tc>
          <w:tcPr>
            <w:tcW w:w="1200" w:type="dxa"/>
          </w:tcPr>
          <w:p>
            <w:pPr>
              <w:pStyle w:val="TableParagraph"/>
              <w:spacing w:before="24"/>
              <w:ind w:left="87"/>
              <w:rPr>
                <w:sz w:val="38"/>
              </w:rPr>
            </w:pPr>
            <w:r>
              <w:rPr>
                <w:sz w:val="38"/>
              </w:rPr>
              <w:t>NCTC</w:t>
            </w:r>
          </w:p>
        </w:tc>
        <w:tc>
          <w:tcPr>
            <w:tcW w:w="1023" w:type="dxa"/>
          </w:tcPr>
          <w:p>
            <w:pPr>
              <w:pStyle w:val="TableParagraph"/>
              <w:spacing w:before="24"/>
              <w:ind w:left="12"/>
              <w:jc w:val="center"/>
              <w:rPr>
                <w:sz w:val="38"/>
              </w:rPr>
            </w:pPr>
            <w:r>
              <w:rPr>
                <w:sz w:val="38"/>
              </w:rPr>
              <w:t>7242</w:t>
            </w:r>
          </w:p>
        </w:tc>
        <w:tc>
          <w:tcPr>
            <w:tcW w:w="1000" w:type="dxa"/>
          </w:tcPr>
          <w:p>
            <w:pPr>
              <w:pStyle w:val="TableParagraph"/>
              <w:spacing w:before="24"/>
              <w:ind w:left="11"/>
              <w:jc w:val="center"/>
              <w:rPr>
                <w:sz w:val="38"/>
              </w:rPr>
            </w:pPr>
            <w:r>
              <w:rPr>
                <w:w w:val="99"/>
                <w:sz w:val="38"/>
              </w:rPr>
              <w:t>6</w:t>
            </w:r>
          </w:p>
        </w:tc>
        <w:tc>
          <w:tcPr>
            <w:tcW w:w="1547" w:type="dxa"/>
          </w:tcPr>
          <w:p>
            <w:pPr>
              <w:pStyle w:val="TableParagraph"/>
              <w:spacing w:before="24"/>
              <w:ind w:left="10"/>
              <w:jc w:val="center"/>
              <w:rPr>
                <w:sz w:val="38"/>
              </w:rPr>
            </w:pPr>
            <w:r>
              <w:rPr>
                <w:sz w:val="38"/>
              </w:rPr>
              <w:t>&lt;1</w:t>
            </w:r>
          </w:p>
        </w:tc>
      </w:tr>
      <w:tr>
        <w:trPr>
          <w:trHeight w:val="740" w:hRule="atLeast"/>
        </w:trPr>
        <w:tc>
          <w:tcPr>
            <w:tcW w:w="4575" w:type="dxa"/>
          </w:tcPr>
          <w:p>
            <w:pPr>
              <w:pStyle w:val="TableParagraph"/>
              <w:spacing w:before="24"/>
              <w:ind w:left="5" w:right="1"/>
              <w:jc w:val="center"/>
              <w:rPr>
                <w:sz w:val="38"/>
              </w:rPr>
            </w:pPr>
            <w:r>
              <w:rPr>
                <w:sz w:val="38"/>
              </w:rPr>
              <w:t>Klebsiella aerogenes</w:t>
            </w:r>
          </w:p>
        </w:tc>
        <w:tc>
          <w:tcPr>
            <w:tcW w:w="1200" w:type="dxa"/>
          </w:tcPr>
          <w:p>
            <w:pPr>
              <w:pStyle w:val="TableParagraph"/>
              <w:spacing w:before="24"/>
              <w:ind w:left="87"/>
              <w:rPr>
                <w:sz w:val="38"/>
              </w:rPr>
            </w:pPr>
            <w:r>
              <w:rPr>
                <w:sz w:val="38"/>
              </w:rPr>
              <w:t>NCTC</w:t>
            </w:r>
          </w:p>
        </w:tc>
        <w:tc>
          <w:tcPr>
            <w:tcW w:w="1023" w:type="dxa"/>
          </w:tcPr>
          <w:p>
            <w:pPr>
              <w:pStyle w:val="TableParagraph"/>
              <w:spacing w:before="24"/>
              <w:ind w:left="12"/>
              <w:jc w:val="center"/>
              <w:rPr>
                <w:sz w:val="38"/>
              </w:rPr>
            </w:pPr>
            <w:r>
              <w:rPr>
                <w:sz w:val="38"/>
              </w:rPr>
              <w:t>8172</w:t>
            </w:r>
          </w:p>
        </w:tc>
        <w:tc>
          <w:tcPr>
            <w:tcW w:w="1000" w:type="dxa"/>
          </w:tcPr>
          <w:p>
            <w:pPr>
              <w:pStyle w:val="TableParagraph"/>
              <w:spacing w:before="24"/>
              <w:ind w:left="11"/>
              <w:jc w:val="center"/>
              <w:rPr>
                <w:sz w:val="38"/>
              </w:rPr>
            </w:pPr>
            <w:r>
              <w:rPr>
                <w:w w:val="99"/>
                <w:sz w:val="38"/>
              </w:rPr>
              <w:t>6</w:t>
            </w:r>
          </w:p>
        </w:tc>
        <w:tc>
          <w:tcPr>
            <w:tcW w:w="1547" w:type="dxa"/>
          </w:tcPr>
          <w:p>
            <w:pPr>
              <w:pStyle w:val="TableParagraph"/>
              <w:spacing w:before="24"/>
              <w:ind w:left="10"/>
              <w:jc w:val="center"/>
              <w:rPr>
                <w:sz w:val="38"/>
              </w:rPr>
            </w:pPr>
            <w:r>
              <w:rPr>
                <w:sz w:val="38"/>
              </w:rPr>
              <w:t>&lt;1</w:t>
            </w:r>
          </w:p>
        </w:tc>
      </w:tr>
      <w:tr>
        <w:trPr>
          <w:trHeight w:val="742" w:hRule="atLeast"/>
        </w:trPr>
        <w:tc>
          <w:tcPr>
            <w:tcW w:w="4575" w:type="dxa"/>
          </w:tcPr>
          <w:p>
            <w:pPr>
              <w:pStyle w:val="TableParagraph"/>
              <w:spacing w:before="123"/>
              <w:ind w:left="4" w:right="1"/>
              <w:jc w:val="center"/>
              <w:rPr>
                <w:sz w:val="38"/>
              </w:rPr>
            </w:pPr>
            <w:r>
              <w:rPr>
                <w:sz w:val="38"/>
              </w:rPr>
              <w:t>Klebsiella pneumoniae</w:t>
            </w:r>
          </w:p>
        </w:tc>
        <w:tc>
          <w:tcPr>
            <w:tcW w:w="1200" w:type="dxa"/>
          </w:tcPr>
          <w:p>
            <w:pPr>
              <w:pStyle w:val="TableParagraph"/>
              <w:spacing w:before="24"/>
              <w:ind w:left="104"/>
              <w:rPr>
                <w:sz w:val="38"/>
              </w:rPr>
            </w:pPr>
            <w:r>
              <w:rPr>
                <w:sz w:val="38"/>
              </w:rPr>
              <w:t>ATCC</w:t>
            </w:r>
          </w:p>
        </w:tc>
        <w:tc>
          <w:tcPr>
            <w:tcW w:w="1023" w:type="dxa"/>
          </w:tcPr>
          <w:p>
            <w:pPr>
              <w:pStyle w:val="TableParagraph"/>
              <w:spacing w:before="24"/>
              <w:ind w:left="12"/>
              <w:jc w:val="center"/>
              <w:rPr>
                <w:sz w:val="38"/>
              </w:rPr>
            </w:pPr>
            <w:r>
              <w:rPr>
                <w:sz w:val="38"/>
              </w:rPr>
              <w:t>4352</w:t>
            </w:r>
          </w:p>
        </w:tc>
        <w:tc>
          <w:tcPr>
            <w:tcW w:w="1000" w:type="dxa"/>
          </w:tcPr>
          <w:p>
            <w:pPr>
              <w:pStyle w:val="TableParagraph"/>
              <w:spacing w:before="24"/>
              <w:ind w:left="11"/>
              <w:jc w:val="center"/>
              <w:rPr>
                <w:sz w:val="38"/>
              </w:rPr>
            </w:pPr>
            <w:r>
              <w:rPr>
                <w:w w:val="99"/>
                <w:sz w:val="38"/>
              </w:rPr>
              <w:t>6</w:t>
            </w:r>
          </w:p>
        </w:tc>
        <w:tc>
          <w:tcPr>
            <w:tcW w:w="1547" w:type="dxa"/>
          </w:tcPr>
          <w:p>
            <w:pPr>
              <w:pStyle w:val="TableParagraph"/>
              <w:spacing w:before="24"/>
              <w:ind w:left="10"/>
              <w:jc w:val="center"/>
              <w:rPr>
                <w:sz w:val="38"/>
              </w:rPr>
            </w:pPr>
            <w:r>
              <w:rPr>
                <w:sz w:val="38"/>
              </w:rPr>
              <w:t>&lt;1</w:t>
            </w:r>
          </w:p>
        </w:tc>
      </w:tr>
      <w:tr>
        <w:trPr>
          <w:trHeight w:val="740" w:hRule="atLeast"/>
        </w:trPr>
        <w:tc>
          <w:tcPr>
            <w:tcW w:w="4575" w:type="dxa"/>
          </w:tcPr>
          <w:p>
            <w:pPr>
              <w:pStyle w:val="TableParagraph"/>
              <w:spacing w:before="25"/>
              <w:ind w:left="2" w:right="1"/>
              <w:jc w:val="center"/>
              <w:rPr>
                <w:sz w:val="38"/>
              </w:rPr>
            </w:pPr>
            <w:r>
              <w:rPr>
                <w:sz w:val="38"/>
              </w:rPr>
              <w:t>Legionella pneumoniae</w:t>
            </w:r>
          </w:p>
        </w:tc>
        <w:tc>
          <w:tcPr>
            <w:tcW w:w="1200" w:type="dxa"/>
          </w:tcPr>
          <w:p>
            <w:pPr>
              <w:pStyle w:val="TableParagraph"/>
              <w:spacing w:before="25"/>
              <w:ind w:left="32"/>
              <w:rPr>
                <w:sz w:val="38"/>
              </w:rPr>
            </w:pPr>
            <w:r>
              <w:rPr>
                <w:sz w:val="38"/>
              </w:rPr>
              <w:t>isolated</w:t>
            </w:r>
          </w:p>
        </w:tc>
        <w:tc>
          <w:tcPr>
            <w:tcW w:w="1023" w:type="dxa"/>
          </w:tcPr>
          <w:p>
            <w:pPr>
              <w:pStyle w:val="TableParagraph"/>
              <w:spacing w:before="25"/>
              <w:ind w:left="11"/>
              <w:jc w:val="center"/>
              <w:rPr>
                <w:sz w:val="38"/>
              </w:rPr>
            </w:pPr>
            <w:r>
              <w:rPr>
                <w:sz w:val="38"/>
              </w:rPr>
              <w:t>Strain</w:t>
            </w:r>
          </w:p>
        </w:tc>
        <w:tc>
          <w:tcPr>
            <w:tcW w:w="1000" w:type="dxa"/>
          </w:tcPr>
          <w:p>
            <w:pPr>
              <w:pStyle w:val="TableParagraph"/>
              <w:spacing w:before="25"/>
              <w:ind w:left="11"/>
              <w:jc w:val="center"/>
              <w:rPr>
                <w:sz w:val="38"/>
              </w:rPr>
            </w:pPr>
            <w:r>
              <w:rPr>
                <w:sz w:val="38"/>
              </w:rPr>
              <w:t>200</w:t>
            </w:r>
          </w:p>
        </w:tc>
        <w:tc>
          <w:tcPr>
            <w:tcW w:w="1547" w:type="dxa"/>
          </w:tcPr>
          <w:p>
            <w:pPr>
              <w:pStyle w:val="TableParagraph"/>
              <w:spacing w:before="25"/>
              <w:ind w:left="13"/>
              <w:jc w:val="center"/>
              <w:rPr>
                <w:sz w:val="38"/>
              </w:rPr>
            </w:pPr>
            <w:r>
              <w:rPr>
                <w:w w:val="99"/>
                <w:sz w:val="38"/>
              </w:rPr>
              <w:t>6</w:t>
            </w:r>
          </w:p>
        </w:tc>
      </w:tr>
      <w:tr>
        <w:trPr>
          <w:trHeight w:val="721" w:hRule="atLeast"/>
        </w:trPr>
        <w:tc>
          <w:tcPr>
            <w:tcW w:w="4575" w:type="dxa"/>
          </w:tcPr>
          <w:p>
            <w:pPr>
              <w:pStyle w:val="TableParagraph"/>
              <w:spacing w:before="24"/>
              <w:ind w:left="7" w:right="1"/>
              <w:jc w:val="center"/>
              <w:rPr>
                <w:sz w:val="38"/>
              </w:rPr>
            </w:pPr>
            <w:r>
              <w:rPr>
                <w:sz w:val="38"/>
              </w:rPr>
              <w:t>Loefflerella mallei</w:t>
            </w:r>
          </w:p>
        </w:tc>
        <w:tc>
          <w:tcPr>
            <w:tcW w:w="1200" w:type="dxa"/>
          </w:tcPr>
          <w:p>
            <w:pPr>
              <w:pStyle w:val="TableParagraph"/>
              <w:spacing w:before="24"/>
              <w:ind w:left="87"/>
              <w:rPr>
                <w:sz w:val="38"/>
              </w:rPr>
            </w:pPr>
            <w:r>
              <w:rPr>
                <w:sz w:val="38"/>
              </w:rPr>
              <w:t>NCTC</w:t>
            </w:r>
          </w:p>
        </w:tc>
        <w:tc>
          <w:tcPr>
            <w:tcW w:w="1023" w:type="dxa"/>
          </w:tcPr>
          <w:p>
            <w:pPr>
              <w:pStyle w:val="TableParagraph"/>
              <w:spacing w:before="24"/>
              <w:ind w:left="12"/>
              <w:jc w:val="center"/>
              <w:rPr>
                <w:sz w:val="38"/>
              </w:rPr>
            </w:pPr>
            <w:r>
              <w:rPr>
                <w:sz w:val="38"/>
              </w:rPr>
              <w:t>9674</w:t>
            </w:r>
          </w:p>
        </w:tc>
        <w:tc>
          <w:tcPr>
            <w:tcW w:w="1000" w:type="dxa"/>
          </w:tcPr>
          <w:p>
            <w:pPr>
              <w:pStyle w:val="TableParagraph"/>
              <w:spacing w:before="24"/>
              <w:ind w:left="11"/>
              <w:jc w:val="center"/>
              <w:rPr>
                <w:sz w:val="38"/>
              </w:rPr>
            </w:pPr>
            <w:r>
              <w:rPr>
                <w:w w:val="99"/>
                <w:sz w:val="38"/>
              </w:rPr>
              <w:t>6</w:t>
            </w:r>
          </w:p>
        </w:tc>
        <w:tc>
          <w:tcPr>
            <w:tcW w:w="1547" w:type="dxa"/>
          </w:tcPr>
          <w:p>
            <w:pPr>
              <w:pStyle w:val="TableParagraph"/>
              <w:spacing w:before="24"/>
              <w:ind w:left="10"/>
              <w:jc w:val="center"/>
              <w:rPr>
                <w:sz w:val="38"/>
              </w:rPr>
            </w:pPr>
            <w:r>
              <w:rPr>
                <w:sz w:val="38"/>
              </w:rPr>
              <w:t>&lt;1</w:t>
            </w:r>
          </w:p>
        </w:tc>
      </w:tr>
    </w:tbl>
    <w:p>
      <w:pPr>
        <w:spacing w:after="0"/>
        <w:jc w:val="center"/>
        <w:rPr>
          <w:sz w:val="38"/>
        </w:rPr>
        <w:sectPr>
          <w:pgSz w:w="14270" w:h="16850"/>
          <w:pgMar w:header="0" w:footer="404" w:top="1600" w:bottom="600" w:left="800" w:right="1280"/>
        </w:sectPr>
      </w:pPr>
    </w:p>
    <w:p>
      <w:pPr>
        <w:pStyle w:val="BodyText"/>
        <w:spacing w:before="4"/>
        <w:rPr>
          <w:rFonts w:ascii="Times New Roman"/>
          <w:sz w:val="18"/>
        </w:rPr>
      </w:pPr>
    </w:p>
    <w:tbl>
      <w:tblPr>
        <w:tblW w:w="0" w:type="auto"/>
        <w:jc w:val="left"/>
        <w:tblInd w:w="1597"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top w:w="0" w:type="dxa"/>
          <w:left w:w="0" w:type="dxa"/>
          <w:bottom w:w="0" w:type="dxa"/>
          <w:right w:w="0" w:type="dxa"/>
        </w:tblCellMar>
        <w:tblLook w:val="01E0"/>
      </w:tblPr>
      <w:tblGrid>
        <w:gridCol w:w="4575"/>
        <w:gridCol w:w="1200"/>
        <w:gridCol w:w="1023"/>
        <w:gridCol w:w="1000"/>
        <w:gridCol w:w="1547"/>
      </w:tblGrid>
      <w:tr>
        <w:trPr>
          <w:trHeight w:val="721" w:hRule="atLeast"/>
        </w:trPr>
        <w:tc>
          <w:tcPr>
            <w:tcW w:w="4575" w:type="dxa"/>
          </w:tcPr>
          <w:p>
            <w:pPr>
              <w:pStyle w:val="TableParagraph"/>
              <w:spacing w:before="3"/>
              <w:ind w:left="4" w:right="1"/>
              <w:jc w:val="center"/>
              <w:rPr>
                <w:sz w:val="38"/>
              </w:rPr>
            </w:pPr>
            <w:r>
              <w:rPr>
                <w:sz w:val="38"/>
              </w:rPr>
              <w:t>Loefflerella pseudomallei</w:t>
            </w:r>
          </w:p>
        </w:tc>
        <w:tc>
          <w:tcPr>
            <w:tcW w:w="1200" w:type="dxa"/>
          </w:tcPr>
          <w:p>
            <w:pPr>
              <w:pStyle w:val="TableParagraph"/>
              <w:spacing w:before="3"/>
              <w:ind w:left="40" w:right="29"/>
              <w:jc w:val="center"/>
              <w:rPr>
                <w:sz w:val="38"/>
              </w:rPr>
            </w:pPr>
            <w:r>
              <w:rPr>
                <w:sz w:val="38"/>
              </w:rPr>
              <w:t>NCIB</w:t>
            </w:r>
          </w:p>
        </w:tc>
        <w:tc>
          <w:tcPr>
            <w:tcW w:w="1023" w:type="dxa"/>
          </w:tcPr>
          <w:p>
            <w:pPr>
              <w:pStyle w:val="TableParagraph"/>
              <w:spacing w:before="3"/>
              <w:ind w:left="12"/>
              <w:jc w:val="center"/>
              <w:rPr>
                <w:sz w:val="38"/>
              </w:rPr>
            </w:pPr>
            <w:r>
              <w:rPr>
                <w:sz w:val="38"/>
              </w:rPr>
              <w:t>10230</w:t>
            </w:r>
          </w:p>
        </w:tc>
        <w:tc>
          <w:tcPr>
            <w:tcW w:w="1000" w:type="dxa"/>
          </w:tcPr>
          <w:p>
            <w:pPr>
              <w:pStyle w:val="TableParagraph"/>
              <w:spacing w:before="3"/>
              <w:ind w:left="11"/>
              <w:jc w:val="center"/>
              <w:rPr>
                <w:sz w:val="38"/>
              </w:rPr>
            </w:pPr>
            <w:r>
              <w:rPr>
                <w:sz w:val="38"/>
              </w:rPr>
              <w:t>20</w:t>
            </w:r>
          </w:p>
        </w:tc>
        <w:tc>
          <w:tcPr>
            <w:tcW w:w="1547" w:type="dxa"/>
          </w:tcPr>
          <w:p>
            <w:pPr>
              <w:pStyle w:val="TableParagraph"/>
              <w:spacing w:before="3"/>
              <w:ind w:left="10"/>
              <w:jc w:val="center"/>
              <w:rPr>
                <w:sz w:val="38"/>
              </w:rPr>
            </w:pPr>
            <w:r>
              <w:rPr>
                <w:sz w:val="38"/>
              </w:rPr>
              <w:t>&lt;1</w:t>
            </w:r>
          </w:p>
        </w:tc>
      </w:tr>
      <w:tr>
        <w:trPr>
          <w:trHeight w:val="740" w:hRule="atLeast"/>
        </w:trPr>
        <w:tc>
          <w:tcPr>
            <w:tcW w:w="4575" w:type="dxa"/>
          </w:tcPr>
          <w:p>
            <w:pPr>
              <w:pStyle w:val="TableParagraph"/>
              <w:spacing w:before="24"/>
              <w:ind w:left="3" w:right="1"/>
              <w:jc w:val="center"/>
              <w:rPr>
                <w:sz w:val="38"/>
              </w:rPr>
            </w:pPr>
            <w:r>
              <w:rPr>
                <w:sz w:val="38"/>
              </w:rPr>
              <w:t>Moraxella duplex</w:t>
            </w:r>
          </w:p>
        </w:tc>
        <w:tc>
          <w:tcPr>
            <w:tcW w:w="1200" w:type="dxa"/>
          </w:tcPr>
          <w:p>
            <w:pPr>
              <w:pStyle w:val="TableParagraph"/>
              <w:spacing w:before="24"/>
              <w:ind w:left="15"/>
              <w:jc w:val="center"/>
              <w:rPr>
                <w:sz w:val="38"/>
              </w:rPr>
            </w:pPr>
            <w:r>
              <w:rPr>
                <w:w w:val="99"/>
                <w:sz w:val="38"/>
              </w:rPr>
              <w:t>A</w:t>
            </w:r>
          </w:p>
        </w:tc>
        <w:tc>
          <w:tcPr>
            <w:tcW w:w="1023" w:type="dxa"/>
          </w:tcPr>
          <w:p>
            <w:pPr>
              <w:pStyle w:val="TableParagraph"/>
              <w:spacing w:before="24"/>
              <w:ind w:left="15"/>
              <w:jc w:val="center"/>
              <w:rPr>
                <w:sz w:val="38"/>
              </w:rPr>
            </w:pPr>
            <w:r>
              <w:rPr>
                <w:w w:val="99"/>
                <w:sz w:val="38"/>
              </w:rPr>
              <w:t>-</w:t>
            </w:r>
          </w:p>
        </w:tc>
        <w:tc>
          <w:tcPr>
            <w:tcW w:w="1000" w:type="dxa"/>
          </w:tcPr>
          <w:p>
            <w:pPr>
              <w:pStyle w:val="TableParagraph"/>
              <w:spacing w:before="24"/>
              <w:ind w:left="11"/>
              <w:jc w:val="center"/>
              <w:rPr>
                <w:sz w:val="38"/>
              </w:rPr>
            </w:pPr>
            <w:r>
              <w:rPr>
                <w:w w:val="99"/>
                <w:sz w:val="38"/>
              </w:rPr>
              <w:t>2</w:t>
            </w:r>
          </w:p>
        </w:tc>
        <w:tc>
          <w:tcPr>
            <w:tcW w:w="1547" w:type="dxa"/>
          </w:tcPr>
          <w:p>
            <w:pPr>
              <w:pStyle w:val="TableParagraph"/>
              <w:spacing w:before="24"/>
              <w:ind w:left="10"/>
              <w:jc w:val="center"/>
              <w:rPr>
                <w:sz w:val="38"/>
              </w:rPr>
            </w:pPr>
            <w:r>
              <w:rPr>
                <w:sz w:val="38"/>
              </w:rPr>
              <w:t>&lt;1</w:t>
            </w:r>
          </w:p>
        </w:tc>
      </w:tr>
      <w:tr>
        <w:trPr>
          <w:trHeight w:val="742" w:hRule="atLeast"/>
        </w:trPr>
        <w:tc>
          <w:tcPr>
            <w:tcW w:w="4575" w:type="dxa"/>
          </w:tcPr>
          <w:p>
            <w:pPr>
              <w:pStyle w:val="TableParagraph"/>
              <w:spacing w:before="24"/>
              <w:ind w:right="1"/>
              <w:jc w:val="center"/>
              <w:rPr>
                <w:sz w:val="38"/>
              </w:rPr>
            </w:pPr>
            <w:r>
              <w:rPr>
                <w:sz w:val="38"/>
              </w:rPr>
              <w:t>Moraxella glucidolytica</w:t>
            </w:r>
          </w:p>
        </w:tc>
        <w:tc>
          <w:tcPr>
            <w:tcW w:w="1200" w:type="dxa"/>
          </w:tcPr>
          <w:p>
            <w:pPr>
              <w:pStyle w:val="TableParagraph"/>
              <w:spacing w:before="24"/>
              <w:ind w:left="15"/>
              <w:jc w:val="center"/>
              <w:rPr>
                <w:sz w:val="38"/>
              </w:rPr>
            </w:pPr>
            <w:r>
              <w:rPr>
                <w:w w:val="99"/>
                <w:sz w:val="38"/>
              </w:rPr>
              <w:t>A</w:t>
            </w:r>
          </w:p>
        </w:tc>
        <w:tc>
          <w:tcPr>
            <w:tcW w:w="1023" w:type="dxa"/>
          </w:tcPr>
          <w:p>
            <w:pPr>
              <w:pStyle w:val="TableParagraph"/>
              <w:spacing w:before="24"/>
              <w:ind w:left="15"/>
              <w:jc w:val="center"/>
              <w:rPr>
                <w:sz w:val="38"/>
              </w:rPr>
            </w:pPr>
            <w:r>
              <w:rPr>
                <w:w w:val="99"/>
                <w:sz w:val="38"/>
              </w:rPr>
              <w:t>-</w:t>
            </w:r>
          </w:p>
        </w:tc>
        <w:tc>
          <w:tcPr>
            <w:tcW w:w="1000" w:type="dxa"/>
          </w:tcPr>
          <w:p>
            <w:pPr>
              <w:pStyle w:val="TableParagraph"/>
              <w:spacing w:before="24"/>
              <w:ind w:left="11"/>
              <w:jc w:val="center"/>
              <w:rPr>
                <w:sz w:val="38"/>
              </w:rPr>
            </w:pPr>
            <w:r>
              <w:rPr>
                <w:w w:val="99"/>
                <w:sz w:val="38"/>
              </w:rPr>
              <w:t>6</w:t>
            </w:r>
          </w:p>
        </w:tc>
        <w:tc>
          <w:tcPr>
            <w:tcW w:w="1547" w:type="dxa"/>
          </w:tcPr>
          <w:p>
            <w:pPr>
              <w:pStyle w:val="TableParagraph"/>
              <w:spacing w:before="24"/>
              <w:ind w:left="10"/>
              <w:jc w:val="center"/>
              <w:rPr>
                <w:sz w:val="38"/>
              </w:rPr>
            </w:pPr>
            <w:r>
              <w:rPr>
                <w:sz w:val="38"/>
              </w:rPr>
              <w:t>&lt;1</w:t>
            </w:r>
          </w:p>
        </w:tc>
      </w:tr>
      <w:tr>
        <w:trPr>
          <w:trHeight w:val="740" w:hRule="atLeast"/>
        </w:trPr>
        <w:tc>
          <w:tcPr>
            <w:tcW w:w="4575" w:type="dxa"/>
          </w:tcPr>
          <w:p>
            <w:pPr>
              <w:pStyle w:val="TableParagraph"/>
              <w:spacing w:before="24"/>
              <w:ind w:left="6" w:right="1"/>
              <w:jc w:val="center"/>
              <w:rPr>
                <w:sz w:val="38"/>
              </w:rPr>
            </w:pPr>
            <w:r>
              <w:rPr>
                <w:sz w:val="38"/>
              </w:rPr>
              <w:t>Neisseria catarrhalis</w:t>
            </w:r>
          </w:p>
        </w:tc>
        <w:tc>
          <w:tcPr>
            <w:tcW w:w="1200" w:type="dxa"/>
          </w:tcPr>
          <w:p>
            <w:pPr>
              <w:pStyle w:val="TableParagraph"/>
              <w:spacing w:before="24"/>
              <w:ind w:left="40" w:right="27"/>
              <w:jc w:val="center"/>
              <w:rPr>
                <w:sz w:val="38"/>
              </w:rPr>
            </w:pPr>
            <w:r>
              <w:rPr>
                <w:sz w:val="38"/>
              </w:rPr>
              <w:t>NCTC</w:t>
            </w:r>
          </w:p>
        </w:tc>
        <w:tc>
          <w:tcPr>
            <w:tcW w:w="1023" w:type="dxa"/>
          </w:tcPr>
          <w:p>
            <w:pPr>
              <w:pStyle w:val="TableParagraph"/>
              <w:spacing w:before="24"/>
              <w:ind w:left="12"/>
              <w:jc w:val="center"/>
              <w:rPr>
                <w:sz w:val="38"/>
              </w:rPr>
            </w:pPr>
            <w:r>
              <w:rPr>
                <w:sz w:val="38"/>
              </w:rPr>
              <w:t>3622</w:t>
            </w:r>
          </w:p>
        </w:tc>
        <w:tc>
          <w:tcPr>
            <w:tcW w:w="1000" w:type="dxa"/>
          </w:tcPr>
          <w:p>
            <w:pPr>
              <w:pStyle w:val="TableParagraph"/>
              <w:spacing w:before="24"/>
              <w:ind w:left="11"/>
              <w:jc w:val="center"/>
              <w:rPr>
                <w:sz w:val="38"/>
              </w:rPr>
            </w:pPr>
            <w:r>
              <w:rPr>
                <w:sz w:val="38"/>
              </w:rPr>
              <w:t>660</w:t>
            </w:r>
          </w:p>
        </w:tc>
        <w:tc>
          <w:tcPr>
            <w:tcW w:w="1547" w:type="dxa"/>
          </w:tcPr>
          <w:p>
            <w:pPr>
              <w:pStyle w:val="TableParagraph"/>
              <w:spacing w:before="24"/>
              <w:ind w:left="13"/>
              <w:jc w:val="center"/>
              <w:rPr>
                <w:sz w:val="38"/>
              </w:rPr>
            </w:pPr>
            <w:r>
              <w:rPr>
                <w:sz w:val="38"/>
              </w:rPr>
              <w:t>18</w:t>
            </w:r>
          </w:p>
        </w:tc>
      </w:tr>
      <w:tr>
        <w:trPr>
          <w:trHeight w:val="743" w:hRule="atLeast"/>
        </w:trPr>
        <w:tc>
          <w:tcPr>
            <w:tcW w:w="4575" w:type="dxa"/>
          </w:tcPr>
          <w:p>
            <w:pPr>
              <w:pStyle w:val="TableParagraph"/>
              <w:spacing w:before="25"/>
              <w:ind w:left="8" w:right="1"/>
              <w:jc w:val="center"/>
              <w:rPr>
                <w:sz w:val="38"/>
              </w:rPr>
            </w:pPr>
            <w:r>
              <w:rPr>
                <w:sz w:val="38"/>
              </w:rPr>
              <w:t>Pasteurella septica</w:t>
            </w:r>
          </w:p>
        </w:tc>
        <w:tc>
          <w:tcPr>
            <w:tcW w:w="1200" w:type="dxa"/>
          </w:tcPr>
          <w:p>
            <w:pPr>
              <w:pStyle w:val="TableParagraph"/>
              <w:spacing w:before="25"/>
              <w:ind w:left="40" w:right="27"/>
              <w:jc w:val="center"/>
              <w:rPr>
                <w:sz w:val="38"/>
              </w:rPr>
            </w:pPr>
            <w:r>
              <w:rPr>
                <w:sz w:val="38"/>
              </w:rPr>
              <w:t>NCTC</w:t>
            </w:r>
          </w:p>
        </w:tc>
        <w:tc>
          <w:tcPr>
            <w:tcW w:w="1023" w:type="dxa"/>
          </w:tcPr>
          <w:p>
            <w:pPr>
              <w:pStyle w:val="TableParagraph"/>
              <w:spacing w:before="25"/>
              <w:ind w:left="12"/>
              <w:jc w:val="center"/>
              <w:rPr>
                <w:sz w:val="38"/>
              </w:rPr>
            </w:pPr>
            <w:r>
              <w:rPr>
                <w:sz w:val="38"/>
              </w:rPr>
              <w:t>948</w:t>
            </w:r>
          </w:p>
        </w:tc>
        <w:tc>
          <w:tcPr>
            <w:tcW w:w="1000" w:type="dxa"/>
          </w:tcPr>
          <w:p>
            <w:pPr>
              <w:pStyle w:val="TableParagraph"/>
              <w:spacing w:before="25"/>
              <w:ind w:left="11"/>
              <w:jc w:val="center"/>
              <w:rPr>
                <w:sz w:val="38"/>
              </w:rPr>
            </w:pPr>
            <w:r>
              <w:rPr>
                <w:w w:val="99"/>
                <w:sz w:val="38"/>
              </w:rPr>
              <w:t>2</w:t>
            </w:r>
          </w:p>
        </w:tc>
        <w:tc>
          <w:tcPr>
            <w:tcW w:w="1547" w:type="dxa"/>
          </w:tcPr>
          <w:p>
            <w:pPr>
              <w:pStyle w:val="TableParagraph"/>
              <w:spacing w:before="25"/>
              <w:ind w:left="10"/>
              <w:jc w:val="center"/>
              <w:rPr>
                <w:sz w:val="38"/>
              </w:rPr>
            </w:pPr>
            <w:r>
              <w:rPr>
                <w:sz w:val="38"/>
              </w:rPr>
              <w:t>&lt;1</w:t>
            </w:r>
          </w:p>
        </w:tc>
      </w:tr>
      <w:tr>
        <w:trPr>
          <w:trHeight w:val="740" w:hRule="atLeast"/>
        </w:trPr>
        <w:tc>
          <w:tcPr>
            <w:tcW w:w="4575" w:type="dxa"/>
          </w:tcPr>
          <w:p>
            <w:pPr>
              <w:pStyle w:val="TableParagraph"/>
              <w:spacing w:before="24"/>
              <w:ind w:left="6" w:right="1"/>
              <w:jc w:val="center"/>
              <w:rPr>
                <w:sz w:val="38"/>
              </w:rPr>
            </w:pPr>
            <w:r>
              <w:rPr>
                <w:sz w:val="38"/>
              </w:rPr>
              <w:t>Pasteurella pseudotuberculosis</w:t>
            </w:r>
          </w:p>
        </w:tc>
        <w:tc>
          <w:tcPr>
            <w:tcW w:w="1200" w:type="dxa"/>
          </w:tcPr>
          <w:p>
            <w:pPr>
              <w:pStyle w:val="TableParagraph"/>
              <w:spacing w:before="24"/>
              <w:ind w:left="40" w:right="29"/>
              <w:jc w:val="center"/>
              <w:rPr>
                <w:sz w:val="38"/>
              </w:rPr>
            </w:pPr>
            <w:r>
              <w:rPr>
                <w:sz w:val="38"/>
              </w:rPr>
              <w:t>CG</w:t>
            </w:r>
          </w:p>
        </w:tc>
        <w:tc>
          <w:tcPr>
            <w:tcW w:w="1023" w:type="dxa"/>
          </w:tcPr>
          <w:p>
            <w:pPr>
              <w:pStyle w:val="TableParagraph"/>
              <w:spacing w:before="24"/>
              <w:ind w:left="15"/>
              <w:jc w:val="center"/>
              <w:rPr>
                <w:sz w:val="38"/>
              </w:rPr>
            </w:pPr>
            <w:r>
              <w:rPr>
                <w:w w:val="99"/>
                <w:sz w:val="38"/>
              </w:rPr>
              <w:t>-</w:t>
            </w:r>
          </w:p>
        </w:tc>
        <w:tc>
          <w:tcPr>
            <w:tcW w:w="1000" w:type="dxa"/>
          </w:tcPr>
          <w:p>
            <w:pPr>
              <w:pStyle w:val="TableParagraph"/>
              <w:spacing w:before="24"/>
              <w:ind w:left="11"/>
              <w:jc w:val="center"/>
              <w:rPr>
                <w:sz w:val="38"/>
              </w:rPr>
            </w:pPr>
            <w:r>
              <w:rPr>
                <w:sz w:val="38"/>
              </w:rPr>
              <w:t>200</w:t>
            </w:r>
          </w:p>
        </w:tc>
        <w:tc>
          <w:tcPr>
            <w:tcW w:w="1547" w:type="dxa"/>
          </w:tcPr>
          <w:p>
            <w:pPr>
              <w:pStyle w:val="TableParagraph"/>
              <w:spacing w:before="24"/>
              <w:ind w:left="13"/>
              <w:jc w:val="center"/>
              <w:rPr>
                <w:sz w:val="38"/>
              </w:rPr>
            </w:pPr>
            <w:r>
              <w:rPr>
                <w:w w:val="99"/>
                <w:sz w:val="38"/>
              </w:rPr>
              <w:t>6</w:t>
            </w:r>
          </w:p>
        </w:tc>
      </w:tr>
      <w:tr>
        <w:trPr>
          <w:trHeight w:val="742" w:hRule="atLeast"/>
        </w:trPr>
        <w:tc>
          <w:tcPr>
            <w:tcW w:w="4575" w:type="dxa"/>
          </w:tcPr>
          <w:p>
            <w:pPr>
              <w:pStyle w:val="TableParagraph"/>
              <w:spacing w:before="24"/>
              <w:ind w:left="6" w:right="1"/>
              <w:jc w:val="center"/>
              <w:rPr>
                <w:sz w:val="38"/>
              </w:rPr>
            </w:pPr>
            <w:r>
              <w:rPr>
                <w:sz w:val="38"/>
              </w:rPr>
              <w:t>Proteus vulgaris</w:t>
            </w:r>
          </w:p>
        </w:tc>
        <w:tc>
          <w:tcPr>
            <w:tcW w:w="1200" w:type="dxa"/>
          </w:tcPr>
          <w:p>
            <w:pPr>
              <w:pStyle w:val="TableParagraph"/>
              <w:spacing w:before="24"/>
              <w:ind w:left="40" w:right="27"/>
              <w:jc w:val="center"/>
              <w:rPr>
                <w:sz w:val="38"/>
              </w:rPr>
            </w:pPr>
            <w:r>
              <w:rPr>
                <w:sz w:val="38"/>
              </w:rPr>
              <w:t>NCTC</w:t>
            </w:r>
          </w:p>
        </w:tc>
        <w:tc>
          <w:tcPr>
            <w:tcW w:w="1023" w:type="dxa"/>
          </w:tcPr>
          <w:p>
            <w:pPr>
              <w:pStyle w:val="TableParagraph"/>
              <w:spacing w:before="24"/>
              <w:ind w:left="12"/>
              <w:jc w:val="center"/>
              <w:rPr>
                <w:sz w:val="38"/>
              </w:rPr>
            </w:pPr>
            <w:r>
              <w:rPr>
                <w:sz w:val="38"/>
              </w:rPr>
              <w:t>8313</w:t>
            </w:r>
          </w:p>
        </w:tc>
        <w:tc>
          <w:tcPr>
            <w:tcW w:w="1000" w:type="dxa"/>
          </w:tcPr>
          <w:p>
            <w:pPr>
              <w:pStyle w:val="TableParagraph"/>
              <w:spacing w:before="24"/>
              <w:ind w:left="11"/>
              <w:jc w:val="center"/>
              <w:rPr>
                <w:sz w:val="38"/>
              </w:rPr>
            </w:pPr>
            <w:r>
              <w:rPr>
                <w:w w:val="99"/>
                <w:sz w:val="38"/>
              </w:rPr>
              <w:t>2</w:t>
            </w:r>
          </w:p>
        </w:tc>
        <w:tc>
          <w:tcPr>
            <w:tcW w:w="1547" w:type="dxa"/>
          </w:tcPr>
          <w:p>
            <w:pPr>
              <w:pStyle w:val="TableParagraph"/>
              <w:spacing w:before="24"/>
              <w:ind w:left="10"/>
              <w:jc w:val="center"/>
              <w:rPr>
                <w:sz w:val="38"/>
              </w:rPr>
            </w:pPr>
            <w:r>
              <w:rPr>
                <w:sz w:val="38"/>
              </w:rPr>
              <w:t>&lt;1</w:t>
            </w:r>
          </w:p>
        </w:tc>
      </w:tr>
      <w:tr>
        <w:trPr>
          <w:trHeight w:val="740" w:hRule="atLeast"/>
        </w:trPr>
        <w:tc>
          <w:tcPr>
            <w:tcW w:w="4575" w:type="dxa"/>
          </w:tcPr>
          <w:p>
            <w:pPr>
              <w:pStyle w:val="TableParagraph"/>
              <w:spacing w:before="24"/>
              <w:ind w:left="4" w:right="1"/>
              <w:jc w:val="center"/>
              <w:rPr>
                <w:sz w:val="38"/>
              </w:rPr>
            </w:pPr>
            <w:r>
              <w:rPr>
                <w:sz w:val="38"/>
              </w:rPr>
              <w:t>Proteus mirabilis</w:t>
            </w:r>
          </w:p>
        </w:tc>
        <w:tc>
          <w:tcPr>
            <w:tcW w:w="1200" w:type="dxa"/>
          </w:tcPr>
          <w:p>
            <w:pPr>
              <w:pStyle w:val="TableParagraph"/>
              <w:spacing w:before="24"/>
              <w:ind w:left="15"/>
              <w:jc w:val="center"/>
              <w:rPr>
                <w:sz w:val="38"/>
              </w:rPr>
            </w:pPr>
            <w:r>
              <w:rPr>
                <w:w w:val="99"/>
                <w:sz w:val="38"/>
              </w:rPr>
              <w:t>A</w:t>
            </w:r>
          </w:p>
        </w:tc>
        <w:tc>
          <w:tcPr>
            <w:tcW w:w="1023" w:type="dxa"/>
          </w:tcPr>
          <w:p>
            <w:pPr>
              <w:pStyle w:val="TableParagraph"/>
              <w:spacing w:before="24"/>
              <w:ind w:left="15"/>
              <w:jc w:val="center"/>
              <w:rPr>
                <w:sz w:val="38"/>
              </w:rPr>
            </w:pPr>
            <w:r>
              <w:rPr>
                <w:w w:val="99"/>
                <w:sz w:val="38"/>
              </w:rPr>
              <w:t>-</w:t>
            </w:r>
          </w:p>
        </w:tc>
        <w:tc>
          <w:tcPr>
            <w:tcW w:w="1000" w:type="dxa"/>
          </w:tcPr>
          <w:p>
            <w:pPr>
              <w:pStyle w:val="TableParagraph"/>
              <w:spacing w:before="24"/>
              <w:ind w:left="11"/>
              <w:jc w:val="center"/>
              <w:rPr>
                <w:sz w:val="38"/>
              </w:rPr>
            </w:pPr>
            <w:r>
              <w:rPr>
                <w:w w:val="99"/>
                <w:sz w:val="38"/>
              </w:rPr>
              <w:t>6</w:t>
            </w:r>
          </w:p>
        </w:tc>
        <w:tc>
          <w:tcPr>
            <w:tcW w:w="1547" w:type="dxa"/>
          </w:tcPr>
          <w:p>
            <w:pPr>
              <w:pStyle w:val="TableParagraph"/>
              <w:spacing w:before="24"/>
              <w:ind w:left="10"/>
              <w:jc w:val="center"/>
              <w:rPr>
                <w:sz w:val="38"/>
              </w:rPr>
            </w:pPr>
            <w:r>
              <w:rPr>
                <w:sz w:val="38"/>
              </w:rPr>
              <w:t>&lt;1</w:t>
            </w:r>
          </w:p>
        </w:tc>
      </w:tr>
      <w:tr>
        <w:trPr>
          <w:trHeight w:val="743" w:hRule="atLeast"/>
        </w:trPr>
        <w:tc>
          <w:tcPr>
            <w:tcW w:w="4575" w:type="dxa"/>
          </w:tcPr>
          <w:p>
            <w:pPr>
              <w:pStyle w:val="TableParagraph"/>
              <w:spacing w:before="24"/>
              <w:ind w:left="2" w:right="1"/>
              <w:jc w:val="center"/>
              <w:rPr>
                <w:sz w:val="38"/>
              </w:rPr>
            </w:pPr>
            <w:r>
              <w:rPr>
                <w:sz w:val="38"/>
              </w:rPr>
              <w:t>Pseudomonas aeruginosa</w:t>
            </w:r>
          </w:p>
        </w:tc>
        <w:tc>
          <w:tcPr>
            <w:tcW w:w="1200" w:type="dxa"/>
          </w:tcPr>
          <w:p>
            <w:pPr>
              <w:pStyle w:val="TableParagraph"/>
              <w:spacing w:before="24"/>
              <w:ind w:left="39" w:right="29"/>
              <w:jc w:val="center"/>
              <w:rPr>
                <w:sz w:val="38"/>
              </w:rPr>
            </w:pPr>
            <w:r>
              <w:rPr>
                <w:sz w:val="38"/>
              </w:rPr>
              <w:t>ATCC</w:t>
            </w:r>
          </w:p>
        </w:tc>
        <w:tc>
          <w:tcPr>
            <w:tcW w:w="1023" w:type="dxa"/>
          </w:tcPr>
          <w:p>
            <w:pPr>
              <w:pStyle w:val="TableParagraph"/>
              <w:spacing w:before="24"/>
              <w:ind w:left="12"/>
              <w:jc w:val="center"/>
              <w:rPr>
                <w:sz w:val="38"/>
              </w:rPr>
            </w:pPr>
            <w:r>
              <w:rPr>
                <w:sz w:val="38"/>
              </w:rPr>
              <w:t>15422</w:t>
            </w:r>
          </w:p>
        </w:tc>
        <w:tc>
          <w:tcPr>
            <w:tcW w:w="1000" w:type="dxa"/>
          </w:tcPr>
          <w:p>
            <w:pPr>
              <w:pStyle w:val="TableParagraph"/>
              <w:spacing w:before="24"/>
              <w:ind w:left="11"/>
              <w:jc w:val="center"/>
              <w:rPr>
                <w:sz w:val="38"/>
              </w:rPr>
            </w:pPr>
            <w:r>
              <w:rPr>
                <w:sz w:val="38"/>
              </w:rPr>
              <w:t>250</w:t>
            </w:r>
          </w:p>
        </w:tc>
        <w:tc>
          <w:tcPr>
            <w:tcW w:w="1547" w:type="dxa"/>
          </w:tcPr>
          <w:p>
            <w:pPr>
              <w:pStyle w:val="TableParagraph"/>
              <w:spacing w:before="24"/>
              <w:ind w:left="13"/>
              <w:jc w:val="center"/>
              <w:rPr>
                <w:sz w:val="38"/>
              </w:rPr>
            </w:pPr>
            <w:r>
              <w:rPr>
                <w:w w:val="99"/>
                <w:sz w:val="38"/>
              </w:rPr>
              <w:t>7</w:t>
            </w:r>
          </w:p>
        </w:tc>
      </w:tr>
      <w:tr>
        <w:trPr>
          <w:trHeight w:val="740" w:hRule="atLeast"/>
        </w:trPr>
        <w:tc>
          <w:tcPr>
            <w:tcW w:w="4575" w:type="dxa"/>
          </w:tcPr>
          <w:p>
            <w:pPr>
              <w:pStyle w:val="TableParagraph"/>
              <w:spacing w:before="24"/>
              <w:ind w:left="5" w:right="1"/>
              <w:jc w:val="center"/>
              <w:rPr>
                <w:sz w:val="38"/>
              </w:rPr>
            </w:pPr>
            <w:r>
              <w:rPr>
                <w:sz w:val="38"/>
              </w:rPr>
              <w:t>Pseudomonas aenlginosa</w:t>
            </w:r>
          </w:p>
        </w:tc>
        <w:tc>
          <w:tcPr>
            <w:tcW w:w="1200" w:type="dxa"/>
          </w:tcPr>
          <w:p>
            <w:pPr>
              <w:pStyle w:val="TableParagraph"/>
              <w:spacing w:before="24"/>
              <w:ind w:left="40" w:right="27"/>
              <w:jc w:val="center"/>
              <w:rPr>
                <w:sz w:val="38"/>
              </w:rPr>
            </w:pPr>
            <w:r>
              <w:rPr>
                <w:sz w:val="38"/>
              </w:rPr>
              <w:t>NCTC</w:t>
            </w:r>
          </w:p>
        </w:tc>
        <w:tc>
          <w:tcPr>
            <w:tcW w:w="1023" w:type="dxa"/>
          </w:tcPr>
          <w:p>
            <w:pPr>
              <w:pStyle w:val="TableParagraph"/>
              <w:spacing w:before="24"/>
              <w:ind w:left="12"/>
              <w:jc w:val="center"/>
              <w:rPr>
                <w:sz w:val="38"/>
              </w:rPr>
            </w:pPr>
            <w:r>
              <w:rPr>
                <w:sz w:val="38"/>
              </w:rPr>
              <w:t>1999</w:t>
            </w:r>
          </w:p>
        </w:tc>
        <w:tc>
          <w:tcPr>
            <w:tcW w:w="1000" w:type="dxa"/>
          </w:tcPr>
          <w:p>
            <w:pPr>
              <w:pStyle w:val="TableParagraph"/>
              <w:spacing w:before="24"/>
              <w:ind w:left="11"/>
              <w:jc w:val="center"/>
              <w:rPr>
                <w:sz w:val="38"/>
              </w:rPr>
            </w:pPr>
            <w:r>
              <w:rPr>
                <w:sz w:val="38"/>
              </w:rPr>
              <w:t>2000</w:t>
            </w:r>
          </w:p>
        </w:tc>
        <w:tc>
          <w:tcPr>
            <w:tcW w:w="1547" w:type="dxa"/>
          </w:tcPr>
          <w:p>
            <w:pPr>
              <w:pStyle w:val="TableParagraph"/>
              <w:spacing w:before="24"/>
              <w:ind w:left="13"/>
              <w:jc w:val="center"/>
              <w:rPr>
                <w:sz w:val="38"/>
              </w:rPr>
            </w:pPr>
            <w:r>
              <w:rPr>
                <w:sz w:val="38"/>
              </w:rPr>
              <w:t>55</w:t>
            </w:r>
          </w:p>
        </w:tc>
      </w:tr>
      <w:tr>
        <w:trPr>
          <w:trHeight w:val="742" w:hRule="atLeast"/>
        </w:trPr>
        <w:tc>
          <w:tcPr>
            <w:tcW w:w="4575" w:type="dxa"/>
          </w:tcPr>
          <w:p>
            <w:pPr>
              <w:pStyle w:val="TableParagraph"/>
              <w:spacing w:before="24"/>
              <w:ind w:left="2" w:right="1"/>
              <w:jc w:val="center"/>
              <w:rPr>
                <w:sz w:val="38"/>
              </w:rPr>
            </w:pPr>
            <w:r>
              <w:rPr>
                <w:sz w:val="38"/>
              </w:rPr>
              <w:t>Pseudomonas aeruginosa</w:t>
            </w:r>
          </w:p>
        </w:tc>
        <w:tc>
          <w:tcPr>
            <w:tcW w:w="1200" w:type="dxa"/>
          </w:tcPr>
          <w:p>
            <w:pPr>
              <w:pStyle w:val="TableParagraph"/>
              <w:spacing w:before="24"/>
              <w:ind w:left="39" w:right="29"/>
              <w:jc w:val="center"/>
              <w:rPr>
                <w:sz w:val="38"/>
              </w:rPr>
            </w:pPr>
            <w:r>
              <w:rPr>
                <w:sz w:val="38"/>
              </w:rPr>
              <w:t>ATCC</w:t>
            </w:r>
          </w:p>
        </w:tc>
        <w:tc>
          <w:tcPr>
            <w:tcW w:w="1023" w:type="dxa"/>
          </w:tcPr>
          <w:p>
            <w:pPr>
              <w:pStyle w:val="TableParagraph"/>
              <w:spacing w:before="24"/>
              <w:ind w:left="12"/>
              <w:jc w:val="center"/>
              <w:rPr>
                <w:sz w:val="38"/>
              </w:rPr>
            </w:pPr>
            <w:r>
              <w:rPr>
                <w:sz w:val="38"/>
              </w:rPr>
              <w:t>12055</w:t>
            </w:r>
          </w:p>
        </w:tc>
        <w:tc>
          <w:tcPr>
            <w:tcW w:w="1000" w:type="dxa"/>
          </w:tcPr>
          <w:p>
            <w:pPr>
              <w:pStyle w:val="TableParagraph"/>
              <w:spacing w:before="24"/>
              <w:ind w:left="11"/>
              <w:jc w:val="center"/>
              <w:rPr>
                <w:sz w:val="38"/>
              </w:rPr>
            </w:pPr>
            <w:r>
              <w:rPr>
                <w:sz w:val="38"/>
              </w:rPr>
              <w:t>20000</w:t>
            </w:r>
          </w:p>
        </w:tc>
        <w:tc>
          <w:tcPr>
            <w:tcW w:w="1547" w:type="dxa"/>
          </w:tcPr>
          <w:p>
            <w:pPr>
              <w:pStyle w:val="TableParagraph"/>
              <w:spacing w:before="24"/>
              <w:ind w:left="8"/>
              <w:jc w:val="center"/>
              <w:rPr>
                <w:sz w:val="38"/>
              </w:rPr>
            </w:pPr>
            <w:r>
              <w:rPr>
                <w:sz w:val="38"/>
              </w:rPr>
              <w:t>550</w:t>
            </w:r>
          </w:p>
        </w:tc>
      </w:tr>
      <w:tr>
        <w:trPr>
          <w:trHeight w:val="740" w:hRule="atLeast"/>
        </w:trPr>
        <w:tc>
          <w:tcPr>
            <w:tcW w:w="4575" w:type="dxa"/>
          </w:tcPr>
          <w:p>
            <w:pPr>
              <w:pStyle w:val="TableParagraph"/>
              <w:spacing w:before="24"/>
              <w:ind w:left="5" w:right="1"/>
              <w:jc w:val="center"/>
              <w:rPr>
                <w:sz w:val="38"/>
              </w:rPr>
            </w:pPr>
            <w:r>
              <w:rPr>
                <w:sz w:val="38"/>
              </w:rPr>
              <w:t>Pseudomonas capacia</w:t>
            </w:r>
          </w:p>
        </w:tc>
        <w:tc>
          <w:tcPr>
            <w:tcW w:w="1200" w:type="dxa"/>
          </w:tcPr>
          <w:p>
            <w:pPr>
              <w:pStyle w:val="TableParagraph"/>
              <w:spacing w:before="24"/>
              <w:ind w:left="40" w:right="27"/>
              <w:jc w:val="center"/>
              <w:rPr>
                <w:sz w:val="38"/>
              </w:rPr>
            </w:pPr>
            <w:r>
              <w:rPr>
                <w:sz w:val="38"/>
              </w:rPr>
              <w:t>C-175</w:t>
            </w:r>
          </w:p>
        </w:tc>
        <w:tc>
          <w:tcPr>
            <w:tcW w:w="1023" w:type="dxa"/>
          </w:tcPr>
          <w:p>
            <w:pPr>
              <w:pStyle w:val="TableParagraph"/>
              <w:spacing w:before="24"/>
              <w:ind w:left="15"/>
              <w:jc w:val="center"/>
              <w:rPr>
                <w:sz w:val="38"/>
              </w:rPr>
            </w:pPr>
            <w:r>
              <w:rPr>
                <w:w w:val="99"/>
                <w:sz w:val="38"/>
              </w:rPr>
              <w:t>-</w:t>
            </w:r>
          </w:p>
        </w:tc>
        <w:tc>
          <w:tcPr>
            <w:tcW w:w="1000" w:type="dxa"/>
          </w:tcPr>
          <w:p>
            <w:pPr>
              <w:pStyle w:val="TableParagraph"/>
              <w:spacing w:before="24"/>
              <w:ind w:left="11"/>
              <w:jc w:val="center"/>
              <w:rPr>
                <w:sz w:val="38"/>
              </w:rPr>
            </w:pPr>
            <w:r>
              <w:rPr>
                <w:sz w:val="38"/>
              </w:rPr>
              <w:t>5000</w:t>
            </w:r>
          </w:p>
        </w:tc>
        <w:tc>
          <w:tcPr>
            <w:tcW w:w="1547" w:type="dxa"/>
          </w:tcPr>
          <w:p>
            <w:pPr>
              <w:pStyle w:val="TableParagraph"/>
              <w:spacing w:before="24"/>
              <w:ind w:left="8"/>
              <w:jc w:val="center"/>
              <w:rPr>
                <w:sz w:val="38"/>
              </w:rPr>
            </w:pPr>
            <w:r>
              <w:rPr>
                <w:sz w:val="38"/>
              </w:rPr>
              <w:t>135</w:t>
            </w:r>
          </w:p>
        </w:tc>
      </w:tr>
      <w:tr>
        <w:trPr>
          <w:trHeight w:val="742" w:hRule="atLeast"/>
        </w:trPr>
        <w:tc>
          <w:tcPr>
            <w:tcW w:w="4575" w:type="dxa"/>
          </w:tcPr>
          <w:p>
            <w:pPr>
              <w:pStyle w:val="TableParagraph"/>
              <w:spacing w:before="24"/>
              <w:ind w:left="7" w:right="1"/>
              <w:jc w:val="center"/>
              <w:rPr>
                <w:sz w:val="38"/>
              </w:rPr>
            </w:pPr>
            <w:r>
              <w:rPr>
                <w:sz w:val="38"/>
              </w:rPr>
              <w:t>Pseudomonas fluorescens</w:t>
            </w:r>
          </w:p>
        </w:tc>
        <w:tc>
          <w:tcPr>
            <w:tcW w:w="1200" w:type="dxa"/>
          </w:tcPr>
          <w:p>
            <w:pPr>
              <w:pStyle w:val="TableParagraph"/>
              <w:spacing w:before="24"/>
              <w:ind w:left="40" w:right="27"/>
              <w:jc w:val="center"/>
              <w:rPr>
                <w:sz w:val="38"/>
              </w:rPr>
            </w:pPr>
            <w:r>
              <w:rPr>
                <w:sz w:val="38"/>
              </w:rPr>
              <w:t>NCTC</w:t>
            </w:r>
          </w:p>
        </w:tc>
        <w:tc>
          <w:tcPr>
            <w:tcW w:w="1023" w:type="dxa"/>
          </w:tcPr>
          <w:p>
            <w:pPr>
              <w:pStyle w:val="TableParagraph"/>
              <w:spacing w:before="24"/>
              <w:ind w:left="12"/>
              <w:jc w:val="center"/>
              <w:rPr>
                <w:sz w:val="38"/>
              </w:rPr>
            </w:pPr>
            <w:r>
              <w:rPr>
                <w:sz w:val="38"/>
              </w:rPr>
              <w:t>4755</w:t>
            </w:r>
          </w:p>
        </w:tc>
        <w:tc>
          <w:tcPr>
            <w:tcW w:w="1000" w:type="dxa"/>
          </w:tcPr>
          <w:p>
            <w:pPr>
              <w:pStyle w:val="TableParagraph"/>
              <w:spacing w:before="24"/>
              <w:ind w:left="11"/>
              <w:jc w:val="center"/>
              <w:rPr>
                <w:sz w:val="38"/>
              </w:rPr>
            </w:pPr>
            <w:r>
              <w:rPr>
                <w:sz w:val="38"/>
              </w:rPr>
              <w:t>2000</w:t>
            </w:r>
          </w:p>
        </w:tc>
        <w:tc>
          <w:tcPr>
            <w:tcW w:w="1547" w:type="dxa"/>
          </w:tcPr>
          <w:p>
            <w:pPr>
              <w:pStyle w:val="TableParagraph"/>
              <w:spacing w:before="24"/>
              <w:ind w:left="13"/>
              <w:jc w:val="center"/>
              <w:rPr>
                <w:sz w:val="38"/>
              </w:rPr>
            </w:pPr>
            <w:r>
              <w:rPr>
                <w:sz w:val="38"/>
              </w:rPr>
              <w:t>55</w:t>
            </w:r>
          </w:p>
        </w:tc>
      </w:tr>
      <w:tr>
        <w:trPr>
          <w:trHeight w:val="740" w:hRule="atLeast"/>
        </w:trPr>
        <w:tc>
          <w:tcPr>
            <w:tcW w:w="4575" w:type="dxa"/>
          </w:tcPr>
          <w:p>
            <w:pPr>
              <w:pStyle w:val="TableParagraph"/>
              <w:spacing w:before="25"/>
              <w:ind w:left="3" w:right="1"/>
              <w:jc w:val="center"/>
              <w:rPr>
                <w:sz w:val="38"/>
              </w:rPr>
            </w:pPr>
            <w:r>
              <w:rPr>
                <w:sz w:val="38"/>
              </w:rPr>
              <w:t>Salmonella cholerae suis</w:t>
            </w:r>
          </w:p>
        </w:tc>
        <w:tc>
          <w:tcPr>
            <w:tcW w:w="1200" w:type="dxa"/>
          </w:tcPr>
          <w:p>
            <w:pPr>
              <w:pStyle w:val="TableParagraph"/>
              <w:spacing w:before="25"/>
              <w:ind w:left="16"/>
              <w:jc w:val="center"/>
              <w:rPr>
                <w:sz w:val="38"/>
              </w:rPr>
            </w:pPr>
            <w:r>
              <w:rPr>
                <w:w w:val="99"/>
                <w:sz w:val="38"/>
              </w:rPr>
              <w:t>-</w:t>
            </w:r>
          </w:p>
        </w:tc>
        <w:tc>
          <w:tcPr>
            <w:tcW w:w="1023" w:type="dxa"/>
          </w:tcPr>
          <w:p>
            <w:pPr>
              <w:pStyle w:val="TableParagraph"/>
              <w:spacing w:before="25"/>
              <w:ind w:left="15"/>
              <w:jc w:val="center"/>
              <w:rPr>
                <w:sz w:val="38"/>
              </w:rPr>
            </w:pPr>
            <w:r>
              <w:rPr>
                <w:w w:val="99"/>
                <w:sz w:val="38"/>
              </w:rPr>
              <w:t>-</w:t>
            </w:r>
          </w:p>
        </w:tc>
        <w:tc>
          <w:tcPr>
            <w:tcW w:w="1000" w:type="dxa"/>
          </w:tcPr>
          <w:p>
            <w:pPr>
              <w:pStyle w:val="TableParagraph"/>
              <w:spacing w:before="25"/>
              <w:ind w:left="11"/>
              <w:jc w:val="center"/>
              <w:rPr>
                <w:sz w:val="38"/>
              </w:rPr>
            </w:pPr>
            <w:r>
              <w:rPr>
                <w:sz w:val="38"/>
              </w:rPr>
              <w:t>50</w:t>
            </w:r>
          </w:p>
        </w:tc>
        <w:tc>
          <w:tcPr>
            <w:tcW w:w="1547" w:type="dxa"/>
          </w:tcPr>
          <w:p>
            <w:pPr>
              <w:pStyle w:val="TableParagraph"/>
              <w:spacing w:before="25"/>
              <w:ind w:left="13"/>
              <w:jc w:val="center"/>
              <w:rPr>
                <w:sz w:val="38"/>
              </w:rPr>
            </w:pPr>
            <w:r>
              <w:rPr>
                <w:w w:val="99"/>
                <w:sz w:val="38"/>
              </w:rPr>
              <w:t>1</w:t>
            </w:r>
          </w:p>
        </w:tc>
      </w:tr>
      <w:tr>
        <w:trPr>
          <w:trHeight w:val="721" w:hRule="atLeast"/>
        </w:trPr>
        <w:tc>
          <w:tcPr>
            <w:tcW w:w="4575" w:type="dxa"/>
          </w:tcPr>
          <w:p>
            <w:pPr>
              <w:pStyle w:val="TableParagraph"/>
              <w:spacing w:before="24"/>
              <w:ind w:left="3" w:right="1"/>
              <w:jc w:val="center"/>
              <w:rPr>
                <w:sz w:val="38"/>
              </w:rPr>
            </w:pPr>
            <w:r>
              <w:rPr>
                <w:sz w:val="38"/>
              </w:rPr>
              <w:t>Salmonella cholerae suis</w:t>
            </w:r>
          </w:p>
        </w:tc>
        <w:tc>
          <w:tcPr>
            <w:tcW w:w="1200" w:type="dxa"/>
          </w:tcPr>
          <w:p>
            <w:pPr>
              <w:pStyle w:val="TableParagraph"/>
              <w:spacing w:before="24"/>
              <w:ind w:left="39" w:right="29"/>
              <w:jc w:val="center"/>
              <w:rPr>
                <w:sz w:val="38"/>
              </w:rPr>
            </w:pPr>
            <w:r>
              <w:rPr>
                <w:sz w:val="38"/>
              </w:rPr>
              <w:t>ATCC</w:t>
            </w:r>
          </w:p>
        </w:tc>
        <w:tc>
          <w:tcPr>
            <w:tcW w:w="1023" w:type="dxa"/>
          </w:tcPr>
          <w:p>
            <w:pPr>
              <w:pStyle w:val="TableParagraph"/>
              <w:spacing w:before="24"/>
              <w:ind w:left="12"/>
              <w:jc w:val="center"/>
              <w:rPr>
                <w:sz w:val="38"/>
              </w:rPr>
            </w:pPr>
            <w:r>
              <w:rPr>
                <w:sz w:val="38"/>
              </w:rPr>
              <w:t>10708</w:t>
            </w:r>
          </w:p>
        </w:tc>
        <w:tc>
          <w:tcPr>
            <w:tcW w:w="1000" w:type="dxa"/>
          </w:tcPr>
          <w:p>
            <w:pPr>
              <w:pStyle w:val="TableParagraph"/>
              <w:spacing w:before="24"/>
              <w:ind w:left="11"/>
              <w:jc w:val="center"/>
              <w:rPr>
                <w:sz w:val="38"/>
              </w:rPr>
            </w:pPr>
            <w:r>
              <w:rPr>
                <w:sz w:val="38"/>
              </w:rPr>
              <w:t>660</w:t>
            </w:r>
          </w:p>
        </w:tc>
        <w:tc>
          <w:tcPr>
            <w:tcW w:w="1547" w:type="dxa"/>
          </w:tcPr>
          <w:p>
            <w:pPr>
              <w:pStyle w:val="TableParagraph"/>
              <w:spacing w:before="24"/>
              <w:ind w:left="13"/>
              <w:jc w:val="center"/>
              <w:rPr>
                <w:sz w:val="38"/>
              </w:rPr>
            </w:pPr>
            <w:r>
              <w:rPr>
                <w:sz w:val="38"/>
              </w:rPr>
              <w:t>18</w:t>
            </w:r>
          </w:p>
        </w:tc>
      </w:tr>
    </w:tbl>
    <w:p>
      <w:pPr>
        <w:spacing w:after="0"/>
        <w:jc w:val="center"/>
        <w:rPr>
          <w:sz w:val="38"/>
        </w:rPr>
        <w:sectPr>
          <w:pgSz w:w="14270" w:h="16850"/>
          <w:pgMar w:header="0" w:footer="404" w:top="1600" w:bottom="600" w:left="800" w:right="1280"/>
        </w:sectPr>
      </w:pPr>
    </w:p>
    <w:p>
      <w:pPr>
        <w:pStyle w:val="BodyText"/>
        <w:spacing w:before="4"/>
        <w:rPr>
          <w:rFonts w:ascii="Times New Roman"/>
          <w:sz w:val="18"/>
        </w:rPr>
      </w:pPr>
    </w:p>
    <w:tbl>
      <w:tblPr>
        <w:tblW w:w="0" w:type="auto"/>
        <w:jc w:val="left"/>
        <w:tblInd w:w="1597"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top w:w="0" w:type="dxa"/>
          <w:left w:w="0" w:type="dxa"/>
          <w:bottom w:w="0" w:type="dxa"/>
          <w:right w:w="0" w:type="dxa"/>
        </w:tblCellMar>
        <w:tblLook w:val="01E0"/>
      </w:tblPr>
      <w:tblGrid>
        <w:gridCol w:w="4575"/>
        <w:gridCol w:w="1200"/>
        <w:gridCol w:w="1023"/>
        <w:gridCol w:w="1000"/>
        <w:gridCol w:w="1547"/>
      </w:tblGrid>
      <w:tr>
        <w:trPr>
          <w:trHeight w:val="721" w:hRule="atLeast"/>
        </w:trPr>
        <w:tc>
          <w:tcPr>
            <w:tcW w:w="4575" w:type="dxa"/>
          </w:tcPr>
          <w:p>
            <w:pPr>
              <w:pStyle w:val="TableParagraph"/>
              <w:spacing w:before="3"/>
              <w:ind w:left="4" w:right="1"/>
              <w:jc w:val="center"/>
              <w:rPr>
                <w:sz w:val="38"/>
              </w:rPr>
            </w:pPr>
            <w:r>
              <w:rPr>
                <w:sz w:val="38"/>
              </w:rPr>
              <w:t>Salmonella enteritidis</w:t>
            </w:r>
          </w:p>
        </w:tc>
        <w:tc>
          <w:tcPr>
            <w:tcW w:w="1200" w:type="dxa"/>
          </w:tcPr>
          <w:p>
            <w:pPr>
              <w:pStyle w:val="TableParagraph"/>
              <w:spacing w:before="3"/>
              <w:ind w:left="15"/>
              <w:jc w:val="center"/>
              <w:rPr>
                <w:sz w:val="38"/>
              </w:rPr>
            </w:pPr>
            <w:r>
              <w:rPr>
                <w:w w:val="99"/>
                <w:sz w:val="38"/>
              </w:rPr>
              <w:t>A</w:t>
            </w:r>
          </w:p>
        </w:tc>
        <w:tc>
          <w:tcPr>
            <w:tcW w:w="1023" w:type="dxa"/>
          </w:tcPr>
          <w:p>
            <w:pPr>
              <w:pStyle w:val="TableParagraph"/>
              <w:spacing w:before="3"/>
              <w:ind w:left="15"/>
              <w:jc w:val="center"/>
              <w:rPr>
                <w:sz w:val="38"/>
              </w:rPr>
            </w:pPr>
            <w:r>
              <w:rPr>
                <w:w w:val="99"/>
                <w:sz w:val="38"/>
              </w:rPr>
              <w:t>-</w:t>
            </w:r>
          </w:p>
        </w:tc>
        <w:tc>
          <w:tcPr>
            <w:tcW w:w="1000" w:type="dxa"/>
          </w:tcPr>
          <w:p>
            <w:pPr>
              <w:pStyle w:val="TableParagraph"/>
              <w:spacing w:before="3"/>
              <w:ind w:left="11"/>
              <w:jc w:val="center"/>
              <w:rPr>
                <w:sz w:val="38"/>
              </w:rPr>
            </w:pPr>
            <w:r>
              <w:rPr>
                <w:w w:val="99"/>
                <w:sz w:val="38"/>
              </w:rPr>
              <w:t>6</w:t>
            </w:r>
          </w:p>
        </w:tc>
        <w:tc>
          <w:tcPr>
            <w:tcW w:w="1547" w:type="dxa"/>
          </w:tcPr>
          <w:p>
            <w:pPr>
              <w:pStyle w:val="TableParagraph"/>
              <w:spacing w:before="3"/>
              <w:ind w:left="10"/>
              <w:jc w:val="center"/>
              <w:rPr>
                <w:sz w:val="38"/>
              </w:rPr>
            </w:pPr>
            <w:r>
              <w:rPr>
                <w:sz w:val="38"/>
              </w:rPr>
              <w:t>&lt;1</w:t>
            </w:r>
          </w:p>
        </w:tc>
      </w:tr>
      <w:tr>
        <w:trPr>
          <w:trHeight w:val="740" w:hRule="atLeast"/>
        </w:trPr>
        <w:tc>
          <w:tcPr>
            <w:tcW w:w="4575" w:type="dxa"/>
          </w:tcPr>
          <w:p>
            <w:pPr>
              <w:pStyle w:val="TableParagraph"/>
              <w:spacing w:before="24"/>
              <w:ind w:left="1" w:right="1"/>
              <w:jc w:val="center"/>
              <w:rPr>
                <w:sz w:val="38"/>
              </w:rPr>
            </w:pPr>
            <w:r>
              <w:rPr>
                <w:sz w:val="38"/>
              </w:rPr>
              <w:t>Salmonella gallinarum</w:t>
            </w:r>
          </w:p>
        </w:tc>
        <w:tc>
          <w:tcPr>
            <w:tcW w:w="1200" w:type="dxa"/>
          </w:tcPr>
          <w:p>
            <w:pPr>
              <w:pStyle w:val="TableParagraph"/>
              <w:spacing w:before="24"/>
              <w:ind w:left="16"/>
              <w:jc w:val="center"/>
              <w:rPr>
                <w:sz w:val="38"/>
              </w:rPr>
            </w:pPr>
            <w:r>
              <w:rPr>
                <w:w w:val="99"/>
                <w:sz w:val="38"/>
              </w:rPr>
              <w:t>-</w:t>
            </w:r>
          </w:p>
        </w:tc>
        <w:tc>
          <w:tcPr>
            <w:tcW w:w="1023" w:type="dxa"/>
          </w:tcPr>
          <w:p>
            <w:pPr>
              <w:pStyle w:val="TableParagraph"/>
              <w:spacing w:before="24"/>
              <w:ind w:left="15"/>
              <w:jc w:val="center"/>
              <w:rPr>
                <w:sz w:val="38"/>
              </w:rPr>
            </w:pPr>
            <w:r>
              <w:rPr>
                <w:w w:val="99"/>
                <w:sz w:val="38"/>
              </w:rPr>
              <w:t>-</w:t>
            </w:r>
          </w:p>
        </w:tc>
        <w:tc>
          <w:tcPr>
            <w:tcW w:w="1000" w:type="dxa"/>
          </w:tcPr>
          <w:p>
            <w:pPr>
              <w:pStyle w:val="TableParagraph"/>
              <w:spacing w:before="24"/>
              <w:ind w:left="11"/>
              <w:jc w:val="center"/>
              <w:rPr>
                <w:sz w:val="38"/>
              </w:rPr>
            </w:pPr>
            <w:r>
              <w:rPr>
                <w:sz w:val="38"/>
              </w:rPr>
              <w:t>50</w:t>
            </w:r>
          </w:p>
        </w:tc>
        <w:tc>
          <w:tcPr>
            <w:tcW w:w="1547" w:type="dxa"/>
          </w:tcPr>
          <w:p>
            <w:pPr>
              <w:pStyle w:val="TableParagraph"/>
              <w:spacing w:before="24"/>
              <w:ind w:left="13"/>
              <w:jc w:val="center"/>
              <w:rPr>
                <w:sz w:val="38"/>
              </w:rPr>
            </w:pPr>
            <w:r>
              <w:rPr>
                <w:w w:val="99"/>
                <w:sz w:val="38"/>
              </w:rPr>
              <w:t>2</w:t>
            </w:r>
          </w:p>
        </w:tc>
      </w:tr>
      <w:tr>
        <w:trPr>
          <w:trHeight w:val="742" w:hRule="atLeast"/>
        </w:trPr>
        <w:tc>
          <w:tcPr>
            <w:tcW w:w="4575" w:type="dxa"/>
          </w:tcPr>
          <w:p>
            <w:pPr>
              <w:pStyle w:val="TableParagraph"/>
              <w:spacing w:before="24"/>
              <w:ind w:left="3" w:right="1"/>
              <w:jc w:val="center"/>
              <w:rPr>
                <w:sz w:val="38"/>
              </w:rPr>
            </w:pPr>
            <w:r>
              <w:rPr>
                <w:sz w:val="38"/>
              </w:rPr>
              <w:t>Salmonella typhimurium</w:t>
            </w:r>
          </w:p>
        </w:tc>
        <w:tc>
          <w:tcPr>
            <w:tcW w:w="1200" w:type="dxa"/>
          </w:tcPr>
          <w:p>
            <w:pPr>
              <w:pStyle w:val="TableParagraph"/>
              <w:spacing w:before="24"/>
              <w:ind w:left="40" w:right="27"/>
              <w:jc w:val="center"/>
              <w:rPr>
                <w:sz w:val="38"/>
              </w:rPr>
            </w:pPr>
            <w:r>
              <w:rPr>
                <w:sz w:val="38"/>
              </w:rPr>
              <w:t>NCTC</w:t>
            </w:r>
          </w:p>
        </w:tc>
        <w:tc>
          <w:tcPr>
            <w:tcW w:w="1023" w:type="dxa"/>
          </w:tcPr>
          <w:p>
            <w:pPr>
              <w:pStyle w:val="TableParagraph"/>
              <w:spacing w:before="24"/>
              <w:ind w:left="12"/>
              <w:jc w:val="center"/>
              <w:rPr>
                <w:sz w:val="38"/>
              </w:rPr>
            </w:pPr>
            <w:r>
              <w:rPr>
                <w:sz w:val="38"/>
              </w:rPr>
              <w:t>5710</w:t>
            </w:r>
          </w:p>
        </w:tc>
        <w:tc>
          <w:tcPr>
            <w:tcW w:w="1000" w:type="dxa"/>
          </w:tcPr>
          <w:p>
            <w:pPr>
              <w:pStyle w:val="TableParagraph"/>
              <w:spacing w:before="24"/>
              <w:ind w:left="11"/>
              <w:jc w:val="center"/>
              <w:rPr>
                <w:sz w:val="38"/>
              </w:rPr>
            </w:pPr>
            <w:r>
              <w:rPr>
                <w:w w:val="99"/>
                <w:sz w:val="38"/>
              </w:rPr>
              <w:t>6</w:t>
            </w:r>
          </w:p>
        </w:tc>
        <w:tc>
          <w:tcPr>
            <w:tcW w:w="1547" w:type="dxa"/>
          </w:tcPr>
          <w:p>
            <w:pPr>
              <w:pStyle w:val="TableParagraph"/>
              <w:spacing w:before="24"/>
              <w:ind w:left="10"/>
              <w:jc w:val="center"/>
              <w:rPr>
                <w:sz w:val="38"/>
              </w:rPr>
            </w:pPr>
            <w:r>
              <w:rPr>
                <w:sz w:val="38"/>
              </w:rPr>
              <w:t>&lt;1</w:t>
            </w:r>
          </w:p>
        </w:tc>
      </w:tr>
      <w:tr>
        <w:trPr>
          <w:trHeight w:val="740" w:hRule="atLeast"/>
        </w:trPr>
        <w:tc>
          <w:tcPr>
            <w:tcW w:w="4575" w:type="dxa"/>
          </w:tcPr>
          <w:p>
            <w:pPr>
              <w:pStyle w:val="TableParagraph"/>
              <w:spacing w:before="24"/>
              <w:ind w:left="7" w:right="1"/>
              <w:jc w:val="center"/>
              <w:rPr>
                <w:sz w:val="38"/>
              </w:rPr>
            </w:pPr>
            <w:r>
              <w:rPr>
                <w:sz w:val="38"/>
              </w:rPr>
              <w:t>Salmonella typhi</w:t>
            </w:r>
          </w:p>
        </w:tc>
        <w:tc>
          <w:tcPr>
            <w:tcW w:w="1200" w:type="dxa"/>
          </w:tcPr>
          <w:p>
            <w:pPr>
              <w:pStyle w:val="TableParagraph"/>
              <w:spacing w:before="24"/>
              <w:ind w:left="40" w:right="27"/>
              <w:jc w:val="center"/>
              <w:rPr>
                <w:sz w:val="38"/>
              </w:rPr>
            </w:pPr>
            <w:r>
              <w:rPr>
                <w:sz w:val="38"/>
              </w:rPr>
              <w:t>NCTC</w:t>
            </w:r>
          </w:p>
        </w:tc>
        <w:tc>
          <w:tcPr>
            <w:tcW w:w="1023" w:type="dxa"/>
          </w:tcPr>
          <w:p>
            <w:pPr>
              <w:pStyle w:val="TableParagraph"/>
              <w:spacing w:before="24"/>
              <w:ind w:left="12"/>
              <w:jc w:val="center"/>
              <w:rPr>
                <w:sz w:val="38"/>
              </w:rPr>
            </w:pPr>
            <w:r>
              <w:rPr>
                <w:sz w:val="38"/>
              </w:rPr>
              <w:t>8384</w:t>
            </w:r>
          </w:p>
        </w:tc>
        <w:tc>
          <w:tcPr>
            <w:tcW w:w="1000" w:type="dxa"/>
          </w:tcPr>
          <w:p>
            <w:pPr>
              <w:pStyle w:val="TableParagraph"/>
              <w:spacing w:before="24"/>
              <w:ind w:left="11"/>
              <w:jc w:val="center"/>
              <w:rPr>
                <w:sz w:val="38"/>
              </w:rPr>
            </w:pPr>
            <w:r>
              <w:rPr>
                <w:w w:val="99"/>
                <w:sz w:val="38"/>
              </w:rPr>
              <w:t>6</w:t>
            </w:r>
          </w:p>
        </w:tc>
        <w:tc>
          <w:tcPr>
            <w:tcW w:w="1547" w:type="dxa"/>
          </w:tcPr>
          <w:p>
            <w:pPr>
              <w:pStyle w:val="TableParagraph"/>
              <w:spacing w:before="24"/>
              <w:ind w:left="10"/>
              <w:jc w:val="center"/>
              <w:rPr>
                <w:sz w:val="38"/>
              </w:rPr>
            </w:pPr>
            <w:r>
              <w:rPr>
                <w:sz w:val="38"/>
              </w:rPr>
              <w:t>&lt;1</w:t>
            </w:r>
          </w:p>
        </w:tc>
      </w:tr>
      <w:tr>
        <w:trPr>
          <w:trHeight w:val="743" w:hRule="atLeast"/>
        </w:trPr>
        <w:tc>
          <w:tcPr>
            <w:tcW w:w="4575" w:type="dxa"/>
          </w:tcPr>
          <w:p>
            <w:pPr>
              <w:pStyle w:val="TableParagraph"/>
              <w:spacing w:before="25"/>
              <w:ind w:left="4" w:right="1"/>
              <w:jc w:val="center"/>
              <w:rPr>
                <w:sz w:val="38"/>
              </w:rPr>
            </w:pPr>
            <w:r>
              <w:rPr>
                <w:sz w:val="38"/>
              </w:rPr>
              <w:t>Salmonella paratyphi A</w:t>
            </w:r>
          </w:p>
        </w:tc>
        <w:tc>
          <w:tcPr>
            <w:tcW w:w="1200" w:type="dxa"/>
          </w:tcPr>
          <w:p>
            <w:pPr>
              <w:pStyle w:val="TableParagraph"/>
              <w:spacing w:before="25"/>
              <w:ind w:left="40" w:right="27"/>
              <w:jc w:val="center"/>
              <w:rPr>
                <w:sz w:val="38"/>
              </w:rPr>
            </w:pPr>
            <w:r>
              <w:rPr>
                <w:sz w:val="38"/>
              </w:rPr>
              <w:t>NCTC</w:t>
            </w:r>
          </w:p>
        </w:tc>
        <w:tc>
          <w:tcPr>
            <w:tcW w:w="1023" w:type="dxa"/>
          </w:tcPr>
          <w:p>
            <w:pPr>
              <w:pStyle w:val="TableParagraph"/>
              <w:spacing w:before="25"/>
              <w:ind w:left="12"/>
              <w:jc w:val="center"/>
              <w:rPr>
                <w:sz w:val="38"/>
              </w:rPr>
            </w:pPr>
            <w:r>
              <w:rPr>
                <w:sz w:val="38"/>
              </w:rPr>
              <w:t>5322</w:t>
            </w:r>
          </w:p>
        </w:tc>
        <w:tc>
          <w:tcPr>
            <w:tcW w:w="1000" w:type="dxa"/>
          </w:tcPr>
          <w:p>
            <w:pPr>
              <w:pStyle w:val="TableParagraph"/>
              <w:spacing w:before="25"/>
              <w:ind w:left="11"/>
              <w:jc w:val="center"/>
              <w:rPr>
                <w:sz w:val="38"/>
              </w:rPr>
            </w:pPr>
            <w:r>
              <w:rPr>
                <w:w w:val="99"/>
                <w:sz w:val="38"/>
              </w:rPr>
              <w:t>6</w:t>
            </w:r>
          </w:p>
        </w:tc>
        <w:tc>
          <w:tcPr>
            <w:tcW w:w="1547" w:type="dxa"/>
          </w:tcPr>
          <w:p>
            <w:pPr>
              <w:pStyle w:val="TableParagraph"/>
              <w:spacing w:before="25"/>
              <w:ind w:left="10"/>
              <w:jc w:val="center"/>
              <w:rPr>
                <w:sz w:val="38"/>
              </w:rPr>
            </w:pPr>
            <w:r>
              <w:rPr>
                <w:sz w:val="38"/>
              </w:rPr>
              <w:t>&lt;1</w:t>
            </w:r>
          </w:p>
        </w:tc>
      </w:tr>
      <w:tr>
        <w:trPr>
          <w:trHeight w:val="740" w:hRule="atLeast"/>
        </w:trPr>
        <w:tc>
          <w:tcPr>
            <w:tcW w:w="4575" w:type="dxa"/>
          </w:tcPr>
          <w:p>
            <w:pPr>
              <w:pStyle w:val="TableParagraph"/>
              <w:spacing w:before="24"/>
              <w:ind w:left="5" w:right="1"/>
              <w:jc w:val="center"/>
              <w:rPr>
                <w:sz w:val="38"/>
              </w:rPr>
            </w:pPr>
            <w:r>
              <w:rPr>
                <w:sz w:val="38"/>
              </w:rPr>
              <w:t>Salmonella paratyphi B</w:t>
            </w:r>
          </w:p>
        </w:tc>
        <w:tc>
          <w:tcPr>
            <w:tcW w:w="1200" w:type="dxa"/>
          </w:tcPr>
          <w:p>
            <w:pPr>
              <w:pStyle w:val="TableParagraph"/>
              <w:spacing w:before="24"/>
              <w:ind w:left="40" w:right="27"/>
              <w:jc w:val="center"/>
              <w:rPr>
                <w:sz w:val="38"/>
              </w:rPr>
            </w:pPr>
            <w:r>
              <w:rPr>
                <w:sz w:val="38"/>
              </w:rPr>
              <w:t>NCTC</w:t>
            </w:r>
          </w:p>
        </w:tc>
        <w:tc>
          <w:tcPr>
            <w:tcW w:w="1023" w:type="dxa"/>
          </w:tcPr>
          <w:p>
            <w:pPr>
              <w:pStyle w:val="TableParagraph"/>
              <w:spacing w:before="24"/>
              <w:ind w:left="12"/>
              <w:jc w:val="center"/>
              <w:rPr>
                <w:sz w:val="38"/>
              </w:rPr>
            </w:pPr>
            <w:r>
              <w:rPr>
                <w:sz w:val="38"/>
              </w:rPr>
              <w:t>3176</w:t>
            </w:r>
          </w:p>
        </w:tc>
        <w:tc>
          <w:tcPr>
            <w:tcW w:w="1000" w:type="dxa"/>
          </w:tcPr>
          <w:p>
            <w:pPr>
              <w:pStyle w:val="TableParagraph"/>
              <w:spacing w:before="24"/>
              <w:ind w:left="11"/>
              <w:jc w:val="center"/>
              <w:rPr>
                <w:sz w:val="38"/>
              </w:rPr>
            </w:pPr>
            <w:r>
              <w:rPr>
                <w:w w:val="99"/>
                <w:sz w:val="38"/>
              </w:rPr>
              <w:t>6</w:t>
            </w:r>
          </w:p>
        </w:tc>
        <w:tc>
          <w:tcPr>
            <w:tcW w:w="1547" w:type="dxa"/>
          </w:tcPr>
          <w:p>
            <w:pPr>
              <w:pStyle w:val="TableParagraph"/>
              <w:spacing w:before="24"/>
              <w:ind w:left="10"/>
              <w:jc w:val="center"/>
              <w:rPr>
                <w:sz w:val="38"/>
              </w:rPr>
            </w:pPr>
            <w:r>
              <w:rPr>
                <w:sz w:val="38"/>
              </w:rPr>
              <w:t>&lt;1</w:t>
            </w:r>
          </w:p>
        </w:tc>
      </w:tr>
      <w:tr>
        <w:trPr>
          <w:trHeight w:val="742" w:hRule="atLeast"/>
        </w:trPr>
        <w:tc>
          <w:tcPr>
            <w:tcW w:w="4575" w:type="dxa"/>
          </w:tcPr>
          <w:p>
            <w:pPr>
              <w:pStyle w:val="TableParagraph"/>
              <w:spacing w:before="24"/>
              <w:ind w:left="4" w:right="1"/>
              <w:jc w:val="center"/>
              <w:rPr>
                <w:sz w:val="38"/>
              </w:rPr>
            </w:pPr>
            <w:r>
              <w:rPr>
                <w:sz w:val="38"/>
              </w:rPr>
              <w:t>Salmonella pullorum</w:t>
            </w:r>
          </w:p>
        </w:tc>
        <w:tc>
          <w:tcPr>
            <w:tcW w:w="1200" w:type="dxa"/>
          </w:tcPr>
          <w:p>
            <w:pPr>
              <w:pStyle w:val="TableParagraph"/>
              <w:spacing w:before="24"/>
              <w:ind w:left="39" w:right="29"/>
              <w:jc w:val="center"/>
              <w:rPr>
                <w:sz w:val="38"/>
              </w:rPr>
            </w:pPr>
            <w:r>
              <w:rPr>
                <w:sz w:val="38"/>
              </w:rPr>
              <w:t>ATCC</w:t>
            </w:r>
          </w:p>
        </w:tc>
        <w:tc>
          <w:tcPr>
            <w:tcW w:w="1023" w:type="dxa"/>
          </w:tcPr>
          <w:p>
            <w:pPr>
              <w:pStyle w:val="TableParagraph"/>
              <w:spacing w:before="24"/>
              <w:ind w:left="12"/>
              <w:jc w:val="center"/>
              <w:rPr>
                <w:sz w:val="38"/>
              </w:rPr>
            </w:pPr>
            <w:r>
              <w:rPr>
                <w:sz w:val="38"/>
              </w:rPr>
              <w:t>9120</w:t>
            </w:r>
          </w:p>
        </w:tc>
        <w:tc>
          <w:tcPr>
            <w:tcW w:w="1000" w:type="dxa"/>
          </w:tcPr>
          <w:p>
            <w:pPr>
              <w:pStyle w:val="TableParagraph"/>
              <w:spacing w:before="24"/>
              <w:ind w:left="11"/>
              <w:jc w:val="center"/>
              <w:rPr>
                <w:sz w:val="38"/>
              </w:rPr>
            </w:pPr>
            <w:r>
              <w:rPr>
                <w:w w:val="99"/>
                <w:sz w:val="38"/>
              </w:rPr>
              <w:t>6</w:t>
            </w:r>
          </w:p>
        </w:tc>
        <w:tc>
          <w:tcPr>
            <w:tcW w:w="1547" w:type="dxa"/>
          </w:tcPr>
          <w:p>
            <w:pPr>
              <w:pStyle w:val="TableParagraph"/>
              <w:spacing w:before="24"/>
              <w:ind w:left="10"/>
              <w:jc w:val="center"/>
              <w:rPr>
                <w:sz w:val="38"/>
              </w:rPr>
            </w:pPr>
            <w:r>
              <w:rPr>
                <w:sz w:val="38"/>
              </w:rPr>
              <w:t>&lt;1</w:t>
            </w:r>
          </w:p>
        </w:tc>
      </w:tr>
      <w:tr>
        <w:trPr>
          <w:trHeight w:val="740" w:hRule="atLeast"/>
        </w:trPr>
        <w:tc>
          <w:tcPr>
            <w:tcW w:w="4575" w:type="dxa"/>
          </w:tcPr>
          <w:p>
            <w:pPr>
              <w:pStyle w:val="TableParagraph"/>
              <w:spacing w:before="120"/>
              <w:ind w:left="4" w:right="1"/>
              <w:jc w:val="center"/>
              <w:rPr>
                <w:sz w:val="38"/>
              </w:rPr>
            </w:pPr>
            <w:r>
              <w:rPr>
                <w:sz w:val="38"/>
              </w:rPr>
              <w:t>Serratia marcescens</w:t>
            </w:r>
          </w:p>
        </w:tc>
        <w:tc>
          <w:tcPr>
            <w:tcW w:w="1200" w:type="dxa"/>
          </w:tcPr>
          <w:p>
            <w:pPr>
              <w:pStyle w:val="TableParagraph"/>
              <w:spacing w:before="24"/>
              <w:ind w:left="15"/>
              <w:jc w:val="center"/>
              <w:rPr>
                <w:sz w:val="38"/>
              </w:rPr>
            </w:pPr>
            <w:r>
              <w:rPr>
                <w:w w:val="99"/>
                <w:sz w:val="38"/>
              </w:rPr>
              <w:t>A</w:t>
            </w:r>
          </w:p>
        </w:tc>
        <w:tc>
          <w:tcPr>
            <w:tcW w:w="1023" w:type="dxa"/>
          </w:tcPr>
          <w:p>
            <w:pPr>
              <w:pStyle w:val="TableParagraph"/>
              <w:spacing w:before="24"/>
              <w:ind w:left="15"/>
              <w:jc w:val="center"/>
              <w:rPr>
                <w:sz w:val="38"/>
              </w:rPr>
            </w:pPr>
            <w:r>
              <w:rPr>
                <w:w w:val="99"/>
                <w:sz w:val="38"/>
              </w:rPr>
              <w:t>-</w:t>
            </w:r>
          </w:p>
        </w:tc>
        <w:tc>
          <w:tcPr>
            <w:tcW w:w="1000" w:type="dxa"/>
          </w:tcPr>
          <w:p>
            <w:pPr>
              <w:pStyle w:val="TableParagraph"/>
              <w:spacing w:before="24"/>
              <w:ind w:left="11"/>
              <w:jc w:val="center"/>
              <w:rPr>
                <w:sz w:val="38"/>
              </w:rPr>
            </w:pPr>
            <w:r>
              <w:rPr>
                <w:sz w:val="38"/>
              </w:rPr>
              <w:t>2000</w:t>
            </w:r>
          </w:p>
        </w:tc>
        <w:tc>
          <w:tcPr>
            <w:tcW w:w="1547" w:type="dxa"/>
          </w:tcPr>
          <w:p>
            <w:pPr>
              <w:pStyle w:val="TableParagraph"/>
              <w:spacing w:before="24"/>
              <w:ind w:left="13"/>
              <w:jc w:val="center"/>
              <w:rPr>
                <w:sz w:val="38"/>
              </w:rPr>
            </w:pPr>
            <w:r>
              <w:rPr>
                <w:sz w:val="38"/>
              </w:rPr>
              <w:t>55</w:t>
            </w:r>
          </w:p>
        </w:tc>
      </w:tr>
      <w:tr>
        <w:trPr>
          <w:trHeight w:val="743" w:hRule="atLeast"/>
        </w:trPr>
        <w:tc>
          <w:tcPr>
            <w:tcW w:w="4575" w:type="dxa"/>
          </w:tcPr>
          <w:p>
            <w:pPr>
              <w:pStyle w:val="TableParagraph"/>
              <w:spacing w:before="24"/>
              <w:ind w:left="5" w:right="1"/>
              <w:jc w:val="center"/>
              <w:rPr>
                <w:sz w:val="38"/>
              </w:rPr>
            </w:pPr>
            <w:r>
              <w:rPr>
                <w:sz w:val="38"/>
              </w:rPr>
              <w:t>Shigella flexneri</w:t>
            </w:r>
          </w:p>
        </w:tc>
        <w:tc>
          <w:tcPr>
            <w:tcW w:w="1200" w:type="dxa"/>
          </w:tcPr>
          <w:p>
            <w:pPr>
              <w:pStyle w:val="TableParagraph"/>
              <w:spacing w:before="24"/>
              <w:ind w:left="40" w:right="27"/>
              <w:jc w:val="center"/>
              <w:rPr>
                <w:sz w:val="38"/>
              </w:rPr>
            </w:pPr>
            <w:r>
              <w:rPr>
                <w:sz w:val="38"/>
              </w:rPr>
              <w:t>NCTC</w:t>
            </w:r>
          </w:p>
        </w:tc>
        <w:tc>
          <w:tcPr>
            <w:tcW w:w="1023" w:type="dxa"/>
          </w:tcPr>
          <w:p>
            <w:pPr>
              <w:pStyle w:val="TableParagraph"/>
              <w:spacing w:before="24"/>
              <w:ind w:left="12"/>
              <w:jc w:val="center"/>
              <w:rPr>
                <w:sz w:val="38"/>
              </w:rPr>
            </w:pPr>
            <w:r>
              <w:rPr>
                <w:sz w:val="38"/>
              </w:rPr>
              <w:t>8192</w:t>
            </w:r>
          </w:p>
        </w:tc>
        <w:tc>
          <w:tcPr>
            <w:tcW w:w="1000" w:type="dxa"/>
          </w:tcPr>
          <w:p>
            <w:pPr>
              <w:pStyle w:val="TableParagraph"/>
              <w:spacing w:before="24"/>
              <w:ind w:left="11"/>
              <w:jc w:val="center"/>
              <w:rPr>
                <w:sz w:val="38"/>
              </w:rPr>
            </w:pPr>
            <w:r>
              <w:rPr>
                <w:w w:val="99"/>
                <w:sz w:val="38"/>
              </w:rPr>
              <w:t>6</w:t>
            </w:r>
          </w:p>
        </w:tc>
        <w:tc>
          <w:tcPr>
            <w:tcW w:w="1547" w:type="dxa"/>
          </w:tcPr>
          <w:p>
            <w:pPr>
              <w:pStyle w:val="TableParagraph"/>
              <w:spacing w:before="24"/>
              <w:ind w:left="10"/>
              <w:jc w:val="center"/>
              <w:rPr>
                <w:sz w:val="38"/>
              </w:rPr>
            </w:pPr>
            <w:r>
              <w:rPr>
                <w:sz w:val="38"/>
              </w:rPr>
              <w:t>&lt;1</w:t>
            </w:r>
          </w:p>
        </w:tc>
      </w:tr>
      <w:tr>
        <w:trPr>
          <w:trHeight w:val="740" w:hRule="atLeast"/>
        </w:trPr>
        <w:tc>
          <w:tcPr>
            <w:tcW w:w="4575" w:type="dxa"/>
          </w:tcPr>
          <w:p>
            <w:pPr>
              <w:pStyle w:val="TableParagraph"/>
              <w:spacing w:before="24"/>
              <w:ind w:left="2" w:right="1"/>
              <w:jc w:val="center"/>
              <w:rPr>
                <w:sz w:val="38"/>
              </w:rPr>
            </w:pPr>
            <w:r>
              <w:rPr>
                <w:sz w:val="38"/>
              </w:rPr>
              <w:t>Shigella suni</w:t>
            </w:r>
          </w:p>
        </w:tc>
        <w:tc>
          <w:tcPr>
            <w:tcW w:w="1200" w:type="dxa"/>
          </w:tcPr>
          <w:p>
            <w:pPr>
              <w:pStyle w:val="TableParagraph"/>
              <w:spacing w:before="24"/>
              <w:ind w:left="40" w:right="27"/>
              <w:jc w:val="center"/>
              <w:rPr>
                <w:sz w:val="38"/>
              </w:rPr>
            </w:pPr>
            <w:r>
              <w:rPr>
                <w:sz w:val="38"/>
              </w:rPr>
              <w:t>NCTC</w:t>
            </w:r>
          </w:p>
        </w:tc>
        <w:tc>
          <w:tcPr>
            <w:tcW w:w="1023" w:type="dxa"/>
          </w:tcPr>
          <w:p>
            <w:pPr>
              <w:pStyle w:val="TableParagraph"/>
              <w:spacing w:before="24"/>
              <w:ind w:left="12"/>
              <w:jc w:val="center"/>
              <w:rPr>
                <w:sz w:val="38"/>
              </w:rPr>
            </w:pPr>
            <w:r>
              <w:rPr>
                <w:sz w:val="38"/>
              </w:rPr>
              <w:t>7240</w:t>
            </w:r>
          </w:p>
        </w:tc>
        <w:tc>
          <w:tcPr>
            <w:tcW w:w="1000" w:type="dxa"/>
          </w:tcPr>
          <w:p>
            <w:pPr>
              <w:pStyle w:val="TableParagraph"/>
              <w:spacing w:before="24"/>
              <w:ind w:left="11"/>
              <w:jc w:val="center"/>
              <w:rPr>
                <w:sz w:val="38"/>
              </w:rPr>
            </w:pPr>
            <w:r>
              <w:rPr>
                <w:w w:val="99"/>
                <w:sz w:val="38"/>
              </w:rPr>
              <w:t>3</w:t>
            </w:r>
          </w:p>
        </w:tc>
        <w:tc>
          <w:tcPr>
            <w:tcW w:w="1547" w:type="dxa"/>
          </w:tcPr>
          <w:p>
            <w:pPr>
              <w:pStyle w:val="TableParagraph"/>
              <w:spacing w:before="24"/>
              <w:ind w:left="10"/>
              <w:jc w:val="center"/>
              <w:rPr>
                <w:sz w:val="38"/>
              </w:rPr>
            </w:pPr>
            <w:r>
              <w:rPr>
                <w:sz w:val="38"/>
              </w:rPr>
              <w:t>&lt;1</w:t>
            </w:r>
          </w:p>
        </w:tc>
      </w:tr>
      <w:tr>
        <w:trPr>
          <w:trHeight w:val="742" w:hRule="atLeast"/>
        </w:trPr>
        <w:tc>
          <w:tcPr>
            <w:tcW w:w="4575" w:type="dxa"/>
          </w:tcPr>
          <w:p>
            <w:pPr>
              <w:pStyle w:val="TableParagraph"/>
              <w:spacing w:before="24"/>
              <w:ind w:left="4" w:right="1"/>
              <w:jc w:val="center"/>
              <w:rPr>
                <w:sz w:val="38"/>
              </w:rPr>
            </w:pPr>
            <w:r>
              <w:rPr>
                <w:sz w:val="38"/>
              </w:rPr>
              <w:t>Shigella dysenteriae</w:t>
            </w:r>
          </w:p>
        </w:tc>
        <w:tc>
          <w:tcPr>
            <w:tcW w:w="1200" w:type="dxa"/>
          </w:tcPr>
          <w:p>
            <w:pPr>
              <w:pStyle w:val="TableParagraph"/>
              <w:spacing w:before="24"/>
              <w:ind w:left="40" w:right="27"/>
              <w:jc w:val="center"/>
              <w:rPr>
                <w:sz w:val="38"/>
              </w:rPr>
            </w:pPr>
            <w:r>
              <w:rPr>
                <w:sz w:val="38"/>
              </w:rPr>
              <w:t>NCTC</w:t>
            </w:r>
          </w:p>
        </w:tc>
        <w:tc>
          <w:tcPr>
            <w:tcW w:w="1023" w:type="dxa"/>
          </w:tcPr>
          <w:p>
            <w:pPr>
              <w:pStyle w:val="TableParagraph"/>
              <w:spacing w:before="24"/>
              <w:ind w:left="12"/>
              <w:jc w:val="center"/>
              <w:rPr>
                <w:sz w:val="38"/>
              </w:rPr>
            </w:pPr>
            <w:r>
              <w:rPr>
                <w:sz w:val="38"/>
              </w:rPr>
              <w:t>2249</w:t>
            </w:r>
          </w:p>
        </w:tc>
        <w:tc>
          <w:tcPr>
            <w:tcW w:w="1000" w:type="dxa"/>
          </w:tcPr>
          <w:p>
            <w:pPr>
              <w:pStyle w:val="TableParagraph"/>
              <w:spacing w:before="24"/>
              <w:ind w:left="11"/>
              <w:jc w:val="center"/>
              <w:rPr>
                <w:sz w:val="38"/>
              </w:rPr>
            </w:pPr>
            <w:r>
              <w:rPr>
                <w:w w:val="99"/>
                <w:sz w:val="38"/>
              </w:rPr>
              <w:t>2</w:t>
            </w:r>
          </w:p>
        </w:tc>
        <w:tc>
          <w:tcPr>
            <w:tcW w:w="1547" w:type="dxa"/>
          </w:tcPr>
          <w:p>
            <w:pPr>
              <w:pStyle w:val="TableParagraph"/>
              <w:spacing w:before="24"/>
              <w:ind w:left="10"/>
              <w:jc w:val="center"/>
              <w:rPr>
                <w:sz w:val="38"/>
              </w:rPr>
            </w:pPr>
            <w:r>
              <w:rPr>
                <w:sz w:val="38"/>
              </w:rPr>
              <w:t>&lt;1</w:t>
            </w:r>
          </w:p>
        </w:tc>
      </w:tr>
      <w:tr>
        <w:trPr>
          <w:trHeight w:val="740" w:hRule="atLeast"/>
        </w:trPr>
        <w:tc>
          <w:tcPr>
            <w:tcW w:w="4575" w:type="dxa"/>
          </w:tcPr>
          <w:p>
            <w:pPr>
              <w:pStyle w:val="TableParagraph"/>
              <w:spacing w:before="24"/>
              <w:ind w:left="3" w:right="1"/>
              <w:jc w:val="center"/>
              <w:rPr>
                <w:sz w:val="38"/>
              </w:rPr>
            </w:pPr>
            <w:r>
              <w:rPr>
                <w:sz w:val="38"/>
              </w:rPr>
              <w:t>Vibrio cholerae</w:t>
            </w:r>
          </w:p>
        </w:tc>
        <w:tc>
          <w:tcPr>
            <w:tcW w:w="1200" w:type="dxa"/>
          </w:tcPr>
          <w:p>
            <w:pPr>
              <w:pStyle w:val="TableParagraph"/>
              <w:spacing w:before="24"/>
              <w:ind w:left="15"/>
              <w:jc w:val="center"/>
              <w:rPr>
                <w:sz w:val="38"/>
              </w:rPr>
            </w:pPr>
            <w:r>
              <w:rPr>
                <w:w w:val="99"/>
                <w:sz w:val="38"/>
              </w:rPr>
              <w:t>A</w:t>
            </w:r>
          </w:p>
        </w:tc>
        <w:tc>
          <w:tcPr>
            <w:tcW w:w="1023" w:type="dxa"/>
          </w:tcPr>
          <w:p>
            <w:pPr>
              <w:pStyle w:val="TableParagraph"/>
              <w:spacing w:before="24"/>
              <w:ind w:left="15"/>
              <w:jc w:val="center"/>
              <w:rPr>
                <w:sz w:val="38"/>
              </w:rPr>
            </w:pPr>
            <w:r>
              <w:rPr>
                <w:w w:val="99"/>
                <w:sz w:val="38"/>
              </w:rPr>
              <w:t>-</w:t>
            </w:r>
          </w:p>
        </w:tc>
        <w:tc>
          <w:tcPr>
            <w:tcW w:w="1000" w:type="dxa"/>
          </w:tcPr>
          <w:p>
            <w:pPr>
              <w:pStyle w:val="TableParagraph"/>
              <w:spacing w:before="24"/>
              <w:ind w:left="11"/>
              <w:jc w:val="center"/>
              <w:rPr>
                <w:sz w:val="38"/>
              </w:rPr>
            </w:pPr>
            <w:r>
              <w:rPr>
                <w:sz w:val="38"/>
              </w:rPr>
              <w:t>200</w:t>
            </w:r>
          </w:p>
        </w:tc>
        <w:tc>
          <w:tcPr>
            <w:tcW w:w="1547" w:type="dxa"/>
          </w:tcPr>
          <w:p>
            <w:pPr>
              <w:pStyle w:val="TableParagraph"/>
              <w:spacing w:before="24"/>
              <w:ind w:left="13"/>
              <w:jc w:val="center"/>
              <w:rPr>
                <w:sz w:val="38"/>
              </w:rPr>
            </w:pPr>
            <w:r>
              <w:rPr>
                <w:w w:val="99"/>
                <w:sz w:val="38"/>
              </w:rPr>
              <w:t>6</w:t>
            </w:r>
          </w:p>
        </w:tc>
      </w:tr>
      <w:tr>
        <w:trPr>
          <w:trHeight w:val="742" w:hRule="atLeast"/>
        </w:trPr>
        <w:tc>
          <w:tcPr>
            <w:tcW w:w="4575" w:type="dxa"/>
          </w:tcPr>
          <w:p>
            <w:pPr>
              <w:pStyle w:val="TableParagraph"/>
              <w:spacing w:before="24"/>
              <w:ind w:left="6" w:right="1"/>
              <w:jc w:val="center"/>
              <w:rPr>
                <w:sz w:val="38"/>
              </w:rPr>
            </w:pPr>
            <w:r>
              <w:rPr>
                <w:sz w:val="38"/>
              </w:rPr>
              <w:t>Vibrio eltor</w:t>
            </w:r>
          </w:p>
        </w:tc>
        <w:tc>
          <w:tcPr>
            <w:tcW w:w="1200" w:type="dxa"/>
          </w:tcPr>
          <w:p>
            <w:pPr>
              <w:pStyle w:val="TableParagraph"/>
              <w:spacing w:before="24"/>
              <w:ind w:left="40" w:right="27"/>
              <w:jc w:val="center"/>
              <w:rPr>
                <w:sz w:val="38"/>
              </w:rPr>
            </w:pPr>
            <w:r>
              <w:rPr>
                <w:sz w:val="38"/>
              </w:rPr>
              <w:t>NCTC</w:t>
            </w:r>
          </w:p>
        </w:tc>
        <w:tc>
          <w:tcPr>
            <w:tcW w:w="1023" w:type="dxa"/>
          </w:tcPr>
          <w:p>
            <w:pPr>
              <w:pStyle w:val="TableParagraph"/>
              <w:spacing w:before="24"/>
              <w:ind w:left="12"/>
              <w:jc w:val="center"/>
              <w:rPr>
                <w:sz w:val="38"/>
              </w:rPr>
            </w:pPr>
            <w:r>
              <w:rPr>
                <w:sz w:val="38"/>
              </w:rPr>
              <w:t>8457</w:t>
            </w:r>
          </w:p>
        </w:tc>
        <w:tc>
          <w:tcPr>
            <w:tcW w:w="1000" w:type="dxa"/>
          </w:tcPr>
          <w:p>
            <w:pPr>
              <w:pStyle w:val="TableParagraph"/>
              <w:spacing w:before="24"/>
              <w:ind w:left="11"/>
              <w:jc w:val="center"/>
              <w:rPr>
                <w:sz w:val="38"/>
              </w:rPr>
            </w:pPr>
            <w:r>
              <w:rPr>
                <w:sz w:val="38"/>
              </w:rPr>
              <w:t>200</w:t>
            </w:r>
          </w:p>
        </w:tc>
        <w:tc>
          <w:tcPr>
            <w:tcW w:w="1547" w:type="dxa"/>
          </w:tcPr>
          <w:p>
            <w:pPr>
              <w:pStyle w:val="TableParagraph"/>
              <w:spacing w:before="24"/>
              <w:ind w:left="13"/>
              <w:jc w:val="center"/>
              <w:rPr>
                <w:sz w:val="38"/>
              </w:rPr>
            </w:pPr>
            <w:r>
              <w:rPr>
                <w:w w:val="99"/>
                <w:sz w:val="38"/>
              </w:rPr>
              <w:t>6</w:t>
            </w:r>
          </w:p>
        </w:tc>
      </w:tr>
      <w:tr>
        <w:trPr>
          <w:trHeight w:val="740" w:hRule="atLeast"/>
        </w:trPr>
        <w:tc>
          <w:tcPr>
            <w:tcW w:w="4575" w:type="dxa"/>
          </w:tcPr>
          <w:p>
            <w:pPr>
              <w:pStyle w:val="TableParagraph"/>
              <w:spacing w:before="25"/>
              <w:ind w:left="3" w:right="1"/>
              <w:jc w:val="center"/>
              <w:rPr>
                <w:b/>
                <w:sz w:val="38"/>
              </w:rPr>
            </w:pPr>
            <w:r>
              <w:rPr>
                <w:b/>
                <w:sz w:val="38"/>
              </w:rPr>
              <w:t>Mushrooms and yeasts</w:t>
            </w:r>
          </w:p>
        </w:tc>
        <w:tc>
          <w:tcPr>
            <w:tcW w:w="1200" w:type="dxa"/>
          </w:tcPr>
          <w:p>
            <w:pPr>
              <w:pStyle w:val="TableParagraph"/>
              <w:spacing w:before="25"/>
              <w:ind w:left="40" w:right="29"/>
              <w:jc w:val="center"/>
              <w:rPr>
                <w:b/>
                <w:sz w:val="38"/>
              </w:rPr>
            </w:pPr>
            <w:r>
              <w:rPr>
                <w:b/>
                <w:sz w:val="38"/>
              </w:rPr>
              <w:t>Origin</w:t>
            </w:r>
          </w:p>
        </w:tc>
        <w:tc>
          <w:tcPr>
            <w:tcW w:w="1023" w:type="dxa"/>
          </w:tcPr>
          <w:p>
            <w:pPr>
              <w:pStyle w:val="TableParagraph"/>
              <w:spacing w:before="25"/>
              <w:ind w:left="11"/>
              <w:jc w:val="center"/>
              <w:rPr>
                <w:b/>
                <w:sz w:val="38"/>
              </w:rPr>
            </w:pPr>
            <w:r>
              <w:rPr>
                <w:b/>
                <w:sz w:val="38"/>
              </w:rPr>
              <w:t>Strain</w:t>
            </w:r>
          </w:p>
        </w:tc>
        <w:tc>
          <w:tcPr>
            <w:tcW w:w="1000" w:type="dxa"/>
          </w:tcPr>
          <w:p>
            <w:pPr>
              <w:pStyle w:val="TableParagraph"/>
              <w:spacing w:before="25"/>
              <w:ind w:left="8"/>
              <w:jc w:val="center"/>
              <w:rPr>
                <w:b/>
                <w:sz w:val="38"/>
              </w:rPr>
            </w:pPr>
            <w:r>
              <w:rPr>
                <w:b/>
                <w:sz w:val="38"/>
              </w:rPr>
              <w:t>ppm</w:t>
            </w:r>
          </w:p>
        </w:tc>
        <w:tc>
          <w:tcPr>
            <w:tcW w:w="1547" w:type="dxa"/>
          </w:tcPr>
          <w:p>
            <w:pPr>
              <w:pStyle w:val="TableParagraph"/>
              <w:spacing w:before="25"/>
              <w:ind w:left="10"/>
              <w:jc w:val="center"/>
              <w:rPr>
                <w:b/>
                <w:sz w:val="38"/>
              </w:rPr>
            </w:pPr>
            <w:r>
              <w:rPr>
                <w:b/>
                <w:sz w:val="38"/>
              </w:rPr>
              <w:t>Tr./Ltr.</w:t>
            </w:r>
          </w:p>
        </w:tc>
      </w:tr>
      <w:tr>
        <w:trPr>
          <w:trHeight w:val="721" w:hRule="atLeast"/>
        </w:trPr>
        <w:tc>
          <w:tcPr>
            <w:tcW w:w="4575" w:type="dxa"/>
          </w:tcPr>
          <w:p>
            <w:pPr>
              <w:pStyle w:val="TableParagraph"/>
              <w:spacing w:before="24"/>
              <w:ind w:left="5" w:right="1"/>
              <w:jc w:val="center"/>
              <w:rPr>
                <w:sz w:val="38"/>
              </w:rPr>
            </w:pPr>
            <w:r>
              <w:rPr>
                <w:sz w:val="38"/>
              </w:rPr>
              <w:t>Aspergillus niger</w:t>
            </w:r>
          </w:p>
        </w:tc>
        <w:tc>
          <w:tcPr>
            <w:tcW w:w="1200" w:type="dxa"/>
          </w:tcPr>
          <w:p>
            <w:pPr>
              <w:pStyle w:val="TableParagraph"/>
              <w:spacing w:before="24"/>
              <w:ind w:left="39" w:right="29"/>
              <w:jc w:val="center"/>
              <w:rPr>
                <w:sz w:val="38"/>
              </w:rPr>
            </w:pPr>
            <w:r>
              <w:rPr>
                <w:sz w:val="38"/>
              </w:rPr>
              <w:t>ATCC</w:t>
            </w:r>
          </w:p>
        </w:tc>
        <w:tc>
          <w:tcPr>
            <w:tcW w:w="1023" w:type="dxa"/>
          </w:tcPr>
          <w:p>
            <w:pPr>
              <w:pStyle w:val="TableParagraph"/>
              <w:spacing w:before="24"/>
              <w:ind w:left="12"/>
              <w:jc w:val="center"/>
              <w:rPr>
                <w:sz w:val="38"/>
              </w:rPr>
            </w:pPr>
            <w:r>
              <w:rPr>
                <w:sz w:val="38"/>
              </w:rPr>
              <w:t>6275</w:t>
            </w:r>
          </w:p>
        </w:tc>
        <w:tc>
          <w:tcPr>
            <w:tcW w:w="1000" w:type="dxa"/>
          </w:tcPr>
          <w:p>
            <w:pPr>
              <w:pStyle w:val="TableParagraph"/>
              <w:spacing w:before="24"/>
              <w:ind w:left="11"/>
              <w:jc w:val="center"/>
              <w:rPr>
                <w:sz w:val="38"/>
              </w:rPr>
            </w:pPr>
            <w:r>
              <w:rPr>
                <w:sz w:val="38"/>
              </w:rPr>
              <w:t>600</w:t>
            </w:r>
          </w:p>
        </w:tc>
        <w:tc>
          <w:tcPr>
            <w:tcW w:w="1547" w:type="dxa"/>
          </w:tcPr>
          <w:p>
            <w:pPr>
              <w:pStyle w:val="TableParagraph"/>
              <w:spacing w:before="24"/>
              <w:ind w:left="13"/>
              <w:jc w:val="center"/>
              <w:rPr>
                <w:sz w:val="38"/>
              </w:rPr>
            </w:pPr>
            <w:r>
              <w:rPr>
                <w:sz w:val="38"/>
              </w:rPr>
              <w:t>16</w:t>
            </w:r>
          </w:p>
        </w:tc>
      </w:tr>
    </w:tbl>
    <w:p>
      <w:pPr>
        <w:spacing w:after="0"/>
        <w:jc w:val="center"/>
        <w:rPr>
          <w:sz w:val="38"/>
        </w:rPr>
        <w:sectPr>
          <w:pgSz w:w="14270" w:h="16850"/>
          <w:pgMar w:header="0" w:footer="404" w:top="1600" w:bottom="600" w:left="800" w:right="1280"/>
        </w:sectPr>
      </w:pPr>
    </w:p>
    <w:p>
      <w:pPr>
        <w:pStyle w:val="BodyText"/>
        <w:spacing w:before="4"/>
        <w:rPr>
          <w:rFonts w:ascii="Times New Roman"/>
          <w:sz w:val="18"/>
        </w:rPr>
      </w:pPr>
    </w:p>
    <w:tbl>
      <w:tblPr>
        <w:tblW w:w="0" w:type="auto"/>
        <w:jc w:val="left"/>
        <w:tblInd w:w="1597"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top w:w="0" w:type="dxa"/>
          <w:left w:w="0" w:type="dxa"/>
          <w:bottom w:w="0" w:type="dxa"/>
          <w:right w:w="0" w:type="dxa"/>
        </w:tblCellMar>
        <w:tblLook w:val="01E0"/>
      </w:tblPr>
      <w:tblGrid>
        <w:gridCol w:w="4575"/>
        <w:gridCol w:w="1200"/>
        <w:gridCol w:w="1023"/>
        <w:gridCol w:w="1000"/>
        <w:gridCol w:w="1547"/>
      </w:tblGrid>
      <w:tr>
        <w:trPr>
          <w:trHeight w:val="721" w:hRule="atLeast"/>
        </w:trPr>
        <w:tc>
          <w:tcPr>
            <w:tcW w:w="4575" w:type="dxa"/>
          </w:tcPr>
          <w:p>
            <w:pPr>
              <w:pStyle w:val="TableParagraph"/>
              <w:spacing w:before="3"/>
              <w:ind w:left="3" w:right="1"/>
              <w:jc w:val="center"/>
              <w:rPr>
                <w:sz w:val="38"/>
              </w:rPr>
            </w:pPr>
            <w:r>
              <w:rPr>
                <w:sz w:val="38"/>
              </w:rPr>
              <w:t>Aspergillus flavis</w:t>
            </w:r>
          </w:p>
        </w:tc>
        <w:tc>
          <w:tcPr>
            <w:tcW w:w="1200" w:type="dxa"/>
          </w:tcPr>
          <w:p>
            <w:pPr>
              <w:pStyle w:val="TableParagraph"/>
              <w:spacing w:before="3"/>
              <w:ind w:left="39" w:right="29"/>
              <w:jc w:val="center"/>
              <w:rPr>
                <w:sz w:val="38"/>
              </w:rPr>
            </w:pPr>
            <w:r>
              <w:rPr>
                <w:sz w:val="38"/>
              </w:rPr>
              <w:t>ATCC</w:t>
            </w:r>
          </w:p>
        </w:tc>
        <w:tc>
          <w:tcPr>
            <w:tcW w:w="1023" w:type="dxa"/>
          </w:tcPr>
          <w:p>
            <w:pPr>
              <w:pStyle w:val="TableParagraph"/>
              <w:spacing w:before="3"/>
              <w:ind w:left="12"/>
              <w:jc w:val="center"/>
              <w:rPr>
                <w:sz w:val="38"/>
              </w:rPr>
            </w:pPr>
            <w:r>
              <w:rPr>
                <w:sz w:val="38"/>
              </w:rPr>
              <w:t>9643</w:t>
            </w:r>
          </w:p>
        </w:tc>
        <w:tc>
          <w:tcPr>
            <w:tcW w:w="1000" w:type="dxa"/>
          </w:tcPr>
          <w:p>
            <w:pPr>
              <w:pStyle w:val="TableParagraph"/>
              <w:spacing w:before="3"/>
              <w:ind w:left="11"/>
              <w:jc w:val="center"/>
              <w:rPr>
                <w:sz w:val="38"/>
              </w:rPr>
            </w:pPr>
            <w:r>
              <w:rPr>
                <w:sz w:val="38"/>
              </w:rPr>
              <w:t>78</w:t>
            </w:r>
          </w:p>
        </w:tc>
        <w:tc>
          <w:tcPr>
            <w:tcW w:w="1547" w:type="dxa"/>
          </w:tcPr>
          <w:p>
            <w:pPr>
              <w:pStyle w:val="TableParagraph"/>
              <w:spacing w:before="3"/>
              <w:ind w:left="13"/>
              <w:jc w:val="center"/>
              <w:rPr>
                <w:sz w:val="38"/>
              </w:rPr>
            </w:pPr>
            <w:r>
              <w:rPr>
                <w:w w:val="99"/>
                <w:sz w:val="38"/>
              </w:rPr>
              <w:t>2</w:t>
            </w:r>
          </w:p>
        </w:tc>
      </w:tr>
      <w:tr>
        <w:trPr>
          <w:trHeight w:val="740" w:hRule="atLeast"/>
        </w:trPr>
        <w:tc>
          <w:tcPr>
            <w:tcW w:w="4575" w:type="dxa"/>
          </w:tcPr>
          <w:p>
            <w:pPr>
              <w:pStyle w:val="TableParagraph"/>
              <w:spacing w:before="24"/>
              <w:ind w:left="1" w:right="1"/>
              <w:jc w:val="center"/>
              <w:rPr>
                <w:sz w:val="38"/>
              </w:rPr>
            </w:pPr>
            <w:r>
              <w:rPr>
                <w:sz w:val="38"/>
              </w:rPr>
              <w:t>Aspergillus fumigatus</w:t>
            </w:r>
          </w:p>
        </w:tc>
        <w:tc>
          <w:tcPr>
            <w:tcW w:w="1200" w:type="dxa"/>
          </w:tcPr>
          <w:p>
            <w:pPr>
              <w:pStyle w:val="TableParagraph"/>
              <w:spacing w:before="24"/>
              <w:ind w:left="39" w:right="29"/>
              <w:jc w:val="center"/>
              <w:rPr>
                <w:sz w:val="38"/>
              </w:rPr>
            </w:pPr>
            <w:r>
              <w:rPr>
                <w:sz w:val="38"/>
              </w:rPr>
              <w:t>ATCC</w:t>
            </w:r>
          </w:p>
        </w:tc>
        <w:tc>
          <w:tcPr>
            <w:tcW w:w="1023" w:type="dxa"/>
          </w:tcPr>
          <w:p>
            <w:pPr>
              <w:pStyle w:val="TableParagraph"/>
              <w:spacing w:before="24"/>
              <w:ind w:left="12"/>
              <w:jc w:val="center"/>
              <w:rPr>
                <w:sz w:val="38"/>
              </w:rPr>
            </w:pPr>
            <w:r>
              <w:rPr>
                <w:sz w:val="38"/>
              </w:rPr>
              <w:t>9197</w:t>
            </w:r>
          </w:p>
        </w:tc>
        <w:tc>
          <w:tcPr>
            <w:tcW w:w="1000" w:type="dxa"/>
          </w:tcPr>
          <w:p>
            <w:pPr>
              <w:pStyle w:val="TableParagraph"/>
              <w:spacing w:before="24"/>
              <w:ind w:left="11"/>
              <w:jc w:val="center"/>
              <w:rPr>
                <w:sz w:val="38"/>
              </w:rPr>
            </w:pPr>
            <w:r>
              <w:rPr>
                <w:sz w:val="38"/>
              </w:rPr>
              <w:t>200</w:t>
            </w:r>
          </w:p>
        </w:tc>
        <w:tc>
          <w:tcPr>
            <w:tcW w:w="1547" w:type="dxa"/>
          </w:tcPr>
          <w:p>
            <w:pPr>
              <w:pStyle w:val="TableParagraph"/>
              <w:spacing w:before="24"/>
              <w:ind w:left="13"/>
              <w:jc w:val="center"/>
              <w:rPr>
                <w:sz w:val="38"/>
              </w:rPr>
            </w:pPr>
            <w:r>
              <w:rPr>
                <w:w w:val="99"/>
                <w:sz w:val="38"/>
              </w:rPr>
              <w:t>6</w:t>
            </w:r>
          </w:p>
        </w:tc>
      </w:tr>
      <w:tr>
        <w:trPr>
          <w:trHeight w:val="742" w:hRule="atLeast"/>
        </w:trPr>
        <w:tc>
          <w:tcPr>
            <w:tcW w:w="4575" w:type="dxa"/>
          </w:tcPr>
          <w:p>
            <w:pPr>
              <w:pStyle w:val="TableParagraph"/>
              <w:spacing w:before="24"/>
              <w:ind w:left="1" w:right="1"/>
              <w:jc w:val="center"/>
              <w:rPr>
                <w:sz w:val="38"/>
              </w:rPr>
            </w:pPr>
            <w:r>
              <w:rPr>
                <w:sz w:val="38"/>
              </w:rPr>
              <w:t>Aureobasidium pullulans</w:t>
            </w:r>
          </w:p>
        </w:tc>
        <w:tc>
          <w:tcPr>
            <w:tcW w:w="1200" w:type="dxa"/>
          </w:tcPr>
          <w:p>
            <w:pPr>
              <w:pStyle w:val="TableParagraph"/>
              <w:spacing w:before="24"/>
              <w:ind w:left="39" w:right="29"/>
              <w:jc w:val="center"/>
              <w:rPr>
                <w:sz w:val="38"/>
              </w:rPr>
            </w:pPr>
            <w:r>
              <w:rPr>
                <w:sz w:val="38"/>
              </w:rPr>
              <w:t>ATCC</w:t>
            </w:r>
          </w:p>
        </w:tc>
        <w:tc>
          <w:tcPr>
            <w:tcW w:w="1023" w:type="dxa"/>
          </w:tcPr>
          <w:p>
            <w:pPr>
              <w:pStyle w:val="TableParagraph"/>
              <w:spacing w:before="24"/>
              <w:ind w:left="12"/>
              <w:jc w:val="center"/>
              <w:rPr>
                <w:sz w:val="38"/>
              </w:rPr>
            </w:pPr>
            <w:r>
              <w:rPr>
                <w:sz w:val="38"/>
              </w:rPr>
              <w:t>9348</w:t>
            </w:r>
          </w:p>
        </w:tc>
        <w:tc>
          <w:tcPr>
            <w:tcW w:w="1000" w:type="dxa"/>
          </w:tcPr>
          <w:p>
            <w:pPr>
              <w:pStyle w:val="TableParagraph"/>
              <w:spacing w:before="24"/>
              <w:ind w:left="11"/>
              <w:jc w:val="center"/>
              <w:rPr>
                <w:sz w:val="38"/>
              </w:rPr>
            </w:pPr>
            <w:r>
              <w:rPr>
                <w:sz w:val="38"/>
              </w:rPr>
              <w:t>10</w:t>
            </w:r>
          </w:p>
        </w:tc>
        <w:tc>
          <w:tcPr>
            <w:tcW w:w="1547" w:type="dxa"/>
          </w:tcPr>
          <w:p>
            <w:pPr>
              <w:pStyle w:val="TableParagraph"/>
              <w:spacing w:before="24"/>
              <w:ind w:left="10"/>
              <w:jc w:val="center"/>
              <w:rPr>
                <w:sz w:val="38"/>
              </w:rPr>
            </w:pPr>
            <w:r>
              <w:rPr>
                <w:sz w:val="38"/>
              </w:rPr>
              <w:t>&lt;1</w:t>
            </w:r>
          </w:p>
        </w:tc>
      </w:tr>
      <w:tr>
        <w:trPr>
          <w:trHeight w:val="740" w:hRule="atLeast"/>
        </w:trPr>
        <w:tc>
          <w:tcPr>
            <w:tcW w:w="4575" w:type="dxa"/>
          </w:tcPr>
          <w:p>
            <w:pPr>
              <w:pStyle w:val="TableParagraph"/>
              <w:spacing w:before="24"/>
              <w:ind w:left="2" w:right="1"/>
              <w:jc w:val="center"/>
              <w:rPr>
                <w:sz w:val="38"/>
              </w:rPr>
            </w:pPr>
            <w:r>
              <w:rPr>
                <w:sz w:val="38"/>
              </w:rPr>
              <w:t>Candida albicans</w:t>
            </w:r>
          </w:p>
        </w:tc>
        <w:tc>
          <w:tcPr>
            <w:tcW w:w="1200" w:type="dxa"/>
          </w:tcPr>
          <w:p>
            <w:pPr>
              <w:pStyle w:val="TableParagraph"/>
              <w:spacing w:before="24"/>
              <w:ind w:left="15"/>
              <w:jc w:val="center"/>
              <w:rPr>
                <w:sz w:val="38"/>
              </w:rPr>
            </w:pPr>
            <w:r>
              <w:rPr>
                <w:w w:val="99"/>
                <w:sz w:val="38"/>
              </w:rPr>
              <w:t>A</w:t>
            </w:r>
          </w:p>
        </w:tc>
        <w:tc>
          <w:tcPr>
            <w:tcW w:w="1023" w:type="dxa"/>
          </w:tcPr>
          <w:p>
            <w:pPr>
              <w:pStyle w:val="TableParagraph"/>
              <w:spacing w:before="24"/>
              <w:ind w:left="15"/>
              <w:jc w:val="center"/>
              <w:rPr>
                <w:sz w:val="38"/>
              </w:rPr>
            </w:pPr>
            <w:r>
              <w:rPr>
                <w:w w:val="99"/>
                <w:sz w:val="38"/>
              </w:rPr>
              <w:t>-</w:t>
            </w:r>
          </w:p>
        </w:tc>
        <w:tc>
          <w:tcPr>
            <w:tcW w:w="1000" w:type="dxa"/>
          </w:tcPr>
          <w:p>
            <w:pPr>
              <w:pStyle w:val="TableParagraph"/>
              <w:spacing w:before="24"/>
              <w:ind w:left="11"/>
              <w:jc w:val="center"/>
              <w:rPr>
                <w:sz w:val="38"/>
              </w:rPr>
            </w:pPr>
            <w:r>
              <w:rPr>
                <w:sz w:val="38"/>
              </w:rPr>
              <w:t>60</w:t>
            </w:r>
          </w:p>
        </w:tc>
        <w:tc>
          <w:tcPr>
            <w:tcW w:w="1547" w:type="dxa"/>
          </w:tcPr>
          <w:p>
            <w:pPr>
              <w:pStyle w:val="TableParagraph"/>
              <w:spacing w:before="24"/>
              <w:ind w:left="13"/>
              <w:jc w:val="center"/>
              <w:rPr>
                <w:sz w:val="38"/>
              </w:rPr>
            </w:pPr>
            <w:r>
              <w:rPr>
                <w:w w:val="99"/>
                <w:sz w:val="38"/>
              </w:rPr>
              <w:t>2</w:t>
            </w:r>
          </w:p>
        </w:tc>
      </w:tr>
      <w:tr>
        <w:trPr>
          <w:trHeight w:val="743" w:hRule="atLeast"/>
        </w:trPr>
        <w:tc>
          <w:tcPr>
            <w:tcW w:w="4575" w:type="dxa"/>
          </w:tcPr>
          <w:p>
            <w:pPr>
              <w:pStyle w:val="TableParagraph"/>
              <w:spacing w:before="25"/>
              <w:ind w:left="2" w:right="1"/>
              <w:jc w:val="center"/>
              <w:rPr>
                <w:sz w:val="38"/>
              </w:rPr>
            </w:pPr>
            <w:r>
              <w:rPr>
                <w:sz w:val="38"/>
              </w:rPr>
              <w:t>Candida albicans</w:t>
            </w:r>
          </w:p>
        </w:tc>
        <w:tc>
          <w:tcPr>
            <w:tcW w:w="1200" w:type="dxa"/>
          </w:tcPr>
          <w:p>
            <w:pPr>
              <w:pStyle w:val="TableParagraph"/>
              <w:spacing w:before="25"/>
              <w:ind w:left="39" w:right="29"/>
              <w:jc w:val="center"/>
              <w:rPr>
                <w:sz w:val="38"/>
              </w:rPr>
            </w:pPr>
            <w:r>
              <w:rPr>
                <w:sz w:val="38"/>
              </w:rPr>
              <w:t>ATCC</w:t>
            </w:r>
          </w:p>
        </w:tc>
        <w:tc>
          <w:tcPr>
            <w:tcW w:w="1023" w:type="dxa"/>
          </w:tcPr>
          <w:p>
            <w:pPr>
              <w:pStyle w:val="TableParagraph"/>
              <w:spacing w:before="25"/>
              <w:ind w:left="12"/>
              <w:jc w:val="center"/>
              <w:rPr>
                <w:sz w:val="38"/>
              </w:rPr>
            </w:pPr>
            <w:r>
              <w:rPr>
                <w:sz w:val="38"/>
              </w:rPr>
              <w:t>10259</w:t>
            </w:r>
          </w:p>
        </w:tc>
        <w:tc>
          <w:tcPr>
            <w:tcW w:w="1000" w:type="dxa"/>
          </w:tcPr>
          <w:p>
            <w:pPr>
              <w:pStyle w:val="TableParagraph"/>
              <w:spacing w:before="25"/>
              <w:ind w:left="11"/>
              <w:jc w:val="center"/>
              <w:rPr>
                <w:sz w:val="38"/>
              </w:rPr>
            </w:pPr>
            <w:r>
              <w:rPr>
                <w:sz w:val="38"/>
              </w:rPr>
              <w:t>60</w:t>
            </w:r>
          </w:p>
        </w:tc>
        <w:tc>
          <w:tcPr>
            <w:tcW w:w="1547" w:type="dxa"/>
          </w:tcPr>
          <w:p>
            <w:pPr>
              <w:pStyle w:val="TableParagraph"/>
              <w:spacing w:before="25"/>
              <w:ind w:left="13"/>
              <w:jc w:val="center"/>
              <w:rPr>
                <w:sz w:val="38"/>
              </w:rPr>
            </w:pPr>
            <w:r>
              <w:rPr>
                <w:w w:val="99"/>
                <w:sz w:val="38"/>
              </w:rPr>
              <w:t>2</w:t>
            </w:r>
          </w:p>
        </w:tc>
      </w:tr>
      <w:tr>
        <w:trPr>
          <w:trHeight w:val="740" w:hRule="atLeast"/>
        </w:trPr>
        <w:tc>
          <w:tcPr>
            <w:tcW w:w="4575" w:type="dxa"/>
          </w:tcPr>
          <w:p>
            <w:pPr>
              <w:pStyle w:val="TableParagraph"/>
              <w:spacing w:before="24"/>
              <w:ind w:left="3" w:right="1"/>
              <w:jc w:val="center"/>
              <w:rPr>
                <w:sz w:val="38"/>
              </w:rPr>
            </w:pPr>
            <w:r>
              <w:rPr>
                <w:sz w:val="38"/>
              </w:rPr>
              <w:t>Chaetomium globosum</w:t>
            </w:r>
          </w:p>
        </w:tc>
        <w:tc>
          <w:tcPr>
            <w:tcW w:w="1200" w:type="dxa"/>
          </w:tcPr>
          <w:p>
            <w:pPr>
              <w:pStyle w:val="TableParagraph"/>
              <w:spacing w:before="24"/>
              <w:ind w:left="39" w:right="29"/>
              <w:jc w:val="center"/>
              <w:rPr>
                <w:sz w:val="38"/>
              </w:rPr>
            </w:pPr>
            <w:r>
              <w:rPr>
                <w:sz w:val="38"/>
              </w:rPr>
              <w:t>ATCC</w:t>
            </w:r>
          </w:p>
        </w:tc>
        <w:tc>
          <w:tcPr>
            <w:tcW w:w="1023" w:type="dxa"/>
          </w:tcPr>
          <w:p>
            <w:pPr>
              <w:pStyle w:val="TableParagraph"/>
              <w:spacing w:before="24"/>
              <w:ind w:left="12"/>
              <w:jc w:val="center"/>
              <w:rPr>
                <w:sz w:val="38"/>
              </w:rPr>
            </w:pPr>
            <w:r>
              <w:rPr>
                <w:sz w:val="38"/>
              </w:rPr>
              <w:t>6205</w:t>
            </w:r>
          </w:p>
        </w:tc>
        <w:tc>
          <w:tcPr>
            <w:tcW w:w="1000" w:type="dxa"/>
          </w:tcPr>
          <w:p>
            <w:pPr>
              <w:pStyle w:val="TableParagraph"/>
              <w:spacing w:before="24"/>
              <w:ind w:left="11"/>
              <w:jc w:val="center"/>
              <w:rPr>
                <w:sz w:val="38"/>
              </w:rPr>
            </w:pPr>
            <w:r>
              <w:rPr>
                <w:w w:val="99"/>
                <w:sz w:val="38"/>
              </w:rPr>
              <w:t>3</w:t>
            </w:r>
          </w:p>
        </w:tc>
        <w:tc>
          <w:tcPr>
            <w:tcW w:w="1547" w:type="dxa"/>
          </w:tcPr>
          <w:p>
            <w:pPr>
              <w:pStyle w:val="TableParagraph"/>
              <w:spacing w:before="24"/>
              <w:ind w:left="10"/>
              <w:jc w:val="center"/>
              <w:rPr>
                <w:sz w:val="38"/>
              </w:rPr>
            </w:pPr>
            <w:r>
              <w:rPr>
                <w:sz w:val="38"/>
              </w:rPr>
              <w:t>&lt;1</w:t>
            </w:r>
          </w:p>
        </w:tc>
      </w:tr>
      <w:tr>
        <w:trPr>
          <w:trHeight w:val="742" w:hRule="atLeast"/>
        </w:trPr>
        <w:tc>
          <w:tcPr>
            <w:tcW w:w="4575" w:type="dxa"/>
          </w:tcPr>
          <w:p>
            <w:pPr>
              <w:pStyle w:val="TableParagraph"/>
              <w:spacing w:before="24"/>
              <w:ind w:left="2" w:right="1"/>
              <w:jc w:val="center"/>
              <w:rPr>
                <w:sz w:val="38"/>
              </w:rPr>
            </w:pPr>
            <w:r>
              <w:rPr>
                <w:sz w:val="38"/>
              </w:rPr>
              <w:t>Epiderrnophyton floccosum</w:t>
            </w:r>
          </w:p>
        </w:tc>
        <w:tc>
          <w:tcPr>
            <w:tcW w:w="1200" w:type="dxa"/>
          </w:tcPr>
          <w:p>
            <w:pPr>
              <w:pStyle w:val="TableParagraph"/>
              <w:spacing w:before="24"/>
              <w:ind w:left="39" w:right="29"/>
              <w:jc w:val="center"/>
              <w:rPr>
                <w:sz w:val="38"/>
              </w:rPr>
            </w:pPr>
            <w:r>
              <w:rPr>
                <w:sz w:val="38"/>
              </w:rPr>
              <w:t>ATCC</w:t>
            </w:r>
          </w:p>
        </w:tc>
        <w:tc>
          <w:tcPr>
            <w:tcW w:w="1023" w:type="dxa"/>
          </w:tcPr>
          <w:p>
            <w:pPr>
              <w:pStyle w:val="TableParagraph"/>
              <w:spacing w:before="24"/>
              <w:ind w:left="12"/>
              <w:jc w:val="center"/>
              <w:rPr>
                <w:sz w:val="38"/>
              </w:rPr>
            </w:pPr>
            <w:r>
              <w:rPr>
                <w:sz w:val="38"/>
              </w:rPr>
              <w:t>10227</w:t>
            </w:r>
          </w:p>
        </w:tc>
        <w:tc>
          <w:tcPr>
            <w:tcW w:w="1000" w:type="dxa"/>
          </w:tcPr>
          <w:p>
            <w:pPr>
              <w:pStyle w:val="TableParagraph"/>
              <w:spacing w:before="24"/>
              <w:ind w:left="11"/>
              <w:jc w:val="center"/>
              <w:rPr>
                <w:sz w:val="38"/>
              </w:rPr>
            </w:pPr>
            <w:r>
              <w:rPr>
                <w:sz w:val="38"/>
              </w:rPr>
              <w:t>200</w:t>
            </w:r>
          </w:p>
        </w:tc>
        <w:tc>
          <w:tcPr>
            <w:tcW w:w="1547" w:type="dxa"/>
          </w:tcPr>
          <w:p>
            <w:pPr>
              <w:pStyle w:val="TableParagraph"/>
              <w:spacing w:before="24"/>
              <w:ind w:left="13"/>
              <w:jc w:val="center"/>
              <w:rPr>
                <w:sz w:val="38"/>
              </w:rPr>
            </w:pPr>
            <w:r>
              <w:rPr>
                <w:w w:val="99"/>
                <w:sz w:val="38"/>
              </w:rPr>
              <w:t>6</w:t>
            </w:r>
          </w:p>
        </w:tc>
      </w:tr>
      <w:tr>
        <w:trPr>
          <w:trHeight w:val="740" w:hRule="atLeast"/>
        </w:trPr>
        <w:tc>
          <w:tcPr>
            <w:tcW w:w="4575" w:type="dxa"/>
          </w:tcPr>
          <w:p>
            <w:pPr>
              <w:pStyle w:val="TableParagraph"/>
              <w:spacing w:before="24"/>
              <w:ind w:left="4" w:right="1"/>
              <w:jc w:val="center"/>
              <w:rPr>
                <w:sz w:val="38"/>
              </w:rPr>
            </w:pPr>
            <w:r>
              <w:rPr>
                <w:sz w:val="38"/>
              </w:rPr>
              <w:t>Kerafinomyces ajelloi</w:t>
            </w:r>
          </w:p>
        </w:tc>
        <w:tc>
          <w:tcPr>
            <w:tcW w:w="1200" w:type="dxa"/>
          </w:tcPr>
          <w:p>
            <w:pPr>
              <w:pStyle w:val="TableParagraph"/>
              <w:spacing w:before="24"/>
              <w:ind w:left="15"/>
              <w:jc w:val="center"/>
              <w:rPr>
                <w:sz w:val="38"/>
              </w:rPr>
            </w:pPr>
            <w:r>
              <w:rPr>
                <w:w w:val="99"/>
                <w:sz w:val="38"/>
              </w:rPr>
              <w:t>A</w:t>
            </w:r>
          </w:p>
        </w:tc>
        <w:tc>
          <w:tcPr>
            <w:tcW w:w="1023" w:type="dxa"/>
          </w:tcPr>
          <w:p>
            <w:pPr>
              <w:pStyle w:val="TableParagraph"/>
              <w:spacing w:before="24"/>
              <w:ind w:left="15"/>
              <w:jc w:val="center"/>
              <w:rPr>
                <w:sz w:val="38"/>
              </w:rPr>
            </w:pPr>
            <w:r>
              <w:rPr>
                <w:w w:val="99"/>
                <w:sz w:val="38"/>
              </w:rPr>
              <w:t>-</w:t>
            </w:r>
          </w:p>
        </w:tc>
        <w:tc>
          <w:tcPr>
            <w:tcW w:w="1000" w:type="dxa"/>
          </w:tcPr>
          <w:p>
            <w:pPr>
              <w:pStyle w:val="TableParagraph"/>
              <w:spacing w:before="24"/>
              <w:ind w:left="11"/>
              <w:jc w:val="center"/>
              <w:rPr>
                <w:sz w:val="38"/>
              </w:rPr>
            </w:pPr>
            <w:r>
              <w:rPr>
                <w:sz w:val="38"/>
              </w:rPr>
              <w:t>200</w:t>
            </w:r>
          </w:p>
        </w:tc>
        <w:tc>
          <w:tcPr>
            <w:tcW w:w="1547" w:type="dxa"/>
          </w:tcPr>
          <w:p>
            <w:pPr>
              <w:pStyle w:val="TableParagraph"/>
              <w:spacing w:before="24"/>
              <w:ind w:left="13"/>
              <w:jc w:val="center"/>
              <w:rPr>
                <w:sz w:val="38"/>
              </w:rPr>
            </w:pPr>
            <w:r>
              <w:rPr>
                <w:w w:val="99"/>
                <w:sz w:val="38"/>
              </w:rPr>
              <w:t>6</w:t>
            </w:r>
          </w:p>
        </w:tc>
      </w:tr>
      <w:tr>
        <w:trPr>
          <w:trHeight w:val="743" w:hRule="atLeast"/>
        </w:trPr>
        <w:tc>
          <w:tcPr>
            <w:tcW w:w="4575" w:type="dxa"/>
          </w:tcPr>
          <w:p>
            <w:pPr>
              <w:pStyle w:val="TableParagraph"/>
              <w:spacing w:before="24"/>
              <w:ind w:left="7" w:right="1"/>
              <w:jc w:val="center"/>
              <w:rPr>
                <w:sz w:val="38"/>
              </w:rPr>
            </w:pPr>
            <w:r>
              <w:rPr>
                <w:sz w:val="38"/>
              </w:rPr>
              <w:t>Trichophyton mentagrophytes</w:t>
            </w:r>
          </w:p>
        </w:tc>
        <w:tc>
          <w:tcPr>
            <w:tcW w:w="1200" w:type="dxa"/>
          </w:tcPr>
          <w:p>
            <w:pPr>
              <w:pStyle w:val="TableParagraph"/>
              <w:spacing w:before="24"/>
              <w:ind w:left="39" w:right="29"/>
              <w:jc w:val="center"/>
              <w:rPr>
                <w:sz w:val="38"/>
              </w:rPr>
            </w:pPr>
            <w:r>
              <w:rPr>
                <w:sz w:val="38"/>
              </w:rPr>
              <w:t>ATCC</w:t>
            </w:r>
          </w:p>
        </w:tc>
        <w:tc>
          <w:tcPr>
            <w:tcW w:w="1023" w:type="dxa"/>
          </w:tcPr>
          <w:p>
            <w:pPr>
              <w:pStyle w:val="TableParagraph"/>
              <w:spacing w:before="24"/>
              <w:ind w:left="12"/>
              <w:jc w:val="center"/>
              <w:rPr>
                <w:sz w:val="38"/>
              </w:rPr>
            </w:pPr>
            <w:r>
              <w:rPr>
                <w:sz w:val="38"/>
              </w:rPr>
              <w:t>9533</w:t>
            </w:r>
          </w:p>
        </w:tc>
        <w:tc>
          <w:tcPr>
            <w:tcW w:w="1000" w:type="dxa"/>
          </w:tcPr>
          <w:p>
            <w:pPr>
              <w:pStyle w:val="TableParagraph"/>
              <w:spacing w:before="24"/>
              <w:ind w:left="11"/>
              <w:jc w:val="center"/>
              <w:rPr>
                <w:sz w:val="38"/>
              </w:rPr>
            </w:pPr>
            <w:r>
              <w:rPr>
                <w:sz w:val="38"/>
              </w:rPr>
              <w:t>20</w:t>
            </w:r>
          </w:p>
        </w:tc>
        <w:tc>
          <w:tcPr>
            <w:tcW w:w="1547" w:type="dxa"/>
          </w:tcPr>
          <w:p>
            <w:pPr>
              <w:pStyle w:val="TableParagraph"/>
              <w:spacing w:before="24"/>
              <w:ind w:left="13"/>
              <w:jc w:val="center"/>
              <w:rPr>
                <w:sz w:val="38"/>
              </w:rPr>
            </w:pPr>
            <w:r>
              <w:rPr>
                <w:w w:val="99"/>
                <w:sz w:val="38"/>
              </w:rPr>
              <w:t>1</w:t>
            </w:r>
          </w:p>
        </w:tc>
      </w:tr>
      <w:tr>
        <w:trPr>
          <w:trHeight w:val="740" w:hRule="atLeast"/>
        </w:trPr>
        <w:tc>
          <w:tcPr>
            <w:tcW w:w="4575" w:type="dxa"/>
          </w:tcPr>
          <w:p>
            <w:pPr>
              <w:pStyle w:val="TableParagraph"/>
              <w:spacing w:before="24"/>
              <w:ind w:left="6" w:right="1"/>
              <w:jc w:val="center"/>
              <w:rPr>
                <w:sz w:val="38"/>
              </w:rPr>
            </w:pPr>
            <w:r>
              <w:rPr>
                <w:sz w:val="38"/>
              </w:rPr>
              <w:t>Trichophyton rubrum</w:t>
            </w:r>
          </w:p>
        </w:tc>
        <w:tc>
          <w:tcPr>
            <w:tcW w:w="1200" w:type="dxa"/>
          </w:tcPr>
          <w:p>
            <w:pPr>
              <w:pStyle w:val="TableParagraph"/>
              <w:spacing w:before="24"/>
              <w:ind w:left="15"/>
              <w:jc w:val="center"/>
              <w:rPr>
                <w:sz w:val="38"/>
              </w:rPr>
            </w:pPr>
            <w:r>
              <w:rPr>
                <w:w w:val="99"/>
                <w:sz w:val="38"/>
              </w:rPr>
              <w:t>A</w:t>
            </w:r>
          </w:p>
        </w:tc>
        <w:tc>
          <w:tcPr>
            <w:tcW w:w="1023" w:type="dxa"/>
          </w:tcPr>
          <w:p>
            <w:pPr>
              <w:pStyle w:val="TableParagraph"/>
              <w:spacing w:before="24"/>
              <w:ind w:left="15"/>
              <w:jc w:val="center"/>
              <w:rPr>
                <w:sz w:val="38"/>
              </w:rPr>
            </w:pPr>
            <w:r>
              <w:rPr>
                <w:w w:val="99"/>
                <w:sz w:val="38"/>
              </w:rPr>
              <w:t>-</w:t>
            </w:r>
          </w:p>
        </w:tc>
        <w:tc>
          <w:tcPr>
            <w:tcW w:w="1000" w:type="dxa"/>
          </w:tcPr>
          <w:p>
            <w:pPr>
              <w:pStyle w:val="TableParagraph"/>
              <w:spacing w:before="24"/>
              <w:ind w:left="11"/>
              <w:jc w:val="center"/>
              <w:rPr>
                <w:sz w:val="38"/>
              </w:rPr>
            </w:pPr>
            <w:r>
              <w:rPr>
                <w:sz w:val="38"/>
              </w:rPr>
              <w:t>200</w:t>
            </w:r>
          </w:p>
        </w:tc>
        <w:tc>
          <w:tcPr>
            <w:tcW w:w="1547" w:type="dxa"/>
          </w:tcPr>
          <w:p>
            <w:pPr>
              <w:pStyle w:val="TableParagraph"/>
              <w:spacing w:before="24"/>
              <w:ind w:left="13"/>
              <w:jc w:val="center"/>
              <w:rPr>
                <w:sz w:val="38"/>
              </w:rPr>
            </w:pPr>
            <w:r>
              <w:rPr>
                <w:w w:val="99"/>
                <w:sz w:val="38"/>
              </w:rPr>
              <w:t>6</w:t>
            </w:r>
          </w:p>
        </w:tc>
      </w:tr>
      <w:tr>
        <w:trPr>
          <w:trHeight w:val="741" w:hRule="atLeast"/>
        </w:trPr>
        <w:tc>
          <w:tcPr>
            <w:tcW w:w="4575" w:type="dxa"/>
          </w:tcPr>
          <w:p>
            <w:pPr>
              <w:pStyle w:val="TableParagraph"/>
              <w:spacing w:before="24"/>
              <w:ind w:left="5" w:right="1"/>
              <w:jc w:val="center"/>
              <w:rPr>
                <w:sz w:val="38"/>
              </w:rPr>
            </w:pPr>
            <w:r>
              <w:rPr>
                <w:sz w:val="38"/>
              </w:rPr>
              <w:t>Trichophyton tonsurans</w:t>
            </w:r>
          </w:p>
        </w:tc>
        <w:tc>
          <w:tcPr>
            <w:tcW w:w="1200" w:type="dxa"/>
          </w:tcPr>
          <w:p>
            <w:pPr>
              <w:pStyle w:val="TableParagraph"/>
              <w:spacing w:before="24"/>
              <w:ind w:left="15"/>
              <w:jc w:val="center"/>
              <w:rPr>
                <w:sz w:val="38"/>
              </w:rPr>
            </w:pPr>
            <w:r>
              <w:rPr>
                <w:w w:val="99"/>
                <w:sz w:val="38"/>
              </w:rPr>
              <w:t>A</w:t>
            </w:r>
          </w:p>
        </w:tc>
        <w:tc>
          <w:tcPr>
            <w:tcW w:w="1023" w:type="dxa"/>
          </w:tcPr>
          <w:p>
            <w:pPr>
              <w:pStyle w:val="TableParagraph"/>
              <w:spacing w:before="24"/>
              <w:ind w:left="15"/>
              <w:jc w:val="center"/>
              <w:rPr>
                <w:sz w:val="38"/>
              </w:rPr>
            </w:pPr>
            <w:r>
              <w:rPr>
                <w:w w:val="99"/>
                <w:sz w:val="38"/>
              </w:rPr>
              <w:t>-</w:t>
            </w:r>
          </w:p>
        </w:tc>
        <w:tc>
          <w:tcPr>
            <w:tcW w:w="1000" w:type="dxa"/>
          </w:tcPr>
          <w:p>
            <w:pPr>
              <w:pStyle w:val="TableParagraph"/>
              <w:spacing w:before="24"/>
              <w:ind w:left="11"/>
              <w:jc w:val="center"/>
              <w:rPr>
                <w:sz w:val="38"/>
              </w:rPr>
            </w:pPr>
            <w:r>
              <w:rPr>
                <w:sz w:val="38"/>
              </w:rPr>
              <w:t>200</w:t>
            </w:r>
          </w:p>
        </w:tc>
        <w:tc>
          <w:tcPr>
            <w:tcW w:w="1547" w:type="dxa"/>
          </w:tcPr>
          <w:p>
            <w:pPr>
              <w:pStyle w:val="TableParagraph"/>
              <w:spacing w:before="63"/>
              <w:ind w:left="13"/>
              <w:jc w:val="center"/>
              <w:rPr>
                <w:sz w:val="38"/>
              </w:rPr>
            </w:pPr>
            <w:r>
              <w:rPr>
                <w:w w:val="99"/>
                <w:sz w:val="38"/>
              </w:rPr>
              <w:t>6</w:t>
            </w:r>
          </w:p>
        </w:tc>
      </w:tr>
    </w:tbl>
    <w:p>
      <w:pPr>
        <w:pStyle w:val="BodyText"/>
        <w:rPr>
          <w:rFonts w:ascii="Times New Roman"/>
          <w:sz w:val="20"/>
        </w:rPr>
      </w:pPr>
    </w:p>
    <w:p>
      <w:pPr>
        <w:pStyle w:val="BodyText"/>
        <w:spacing w:before="5"/>
        <w:rPr>
          <w:rFonts w:ascii="Times New Roman"/>
          <w:sz w:val="24"/>
        </w:rPr>
      </w:pPr>
    </w:p>
    <w:p>
      <w:pPr>
        <w:pStyle w:val="Heading1"/>
        <w:spacing w:line="261" w:lineRule="auto" w:before="100"/>
        <w:ind w:right="136"/>
        <w:jc w:val="both"/>
      </w:pPr>
      <w:r>
        <w:rPr/>
        <w:t>In</w:t>
      </w:r>
      <w:r>
        <w:rPr>
          <w:spacing w:val="-52"/>
        </w:rPr>
        <w:t> </w:t>
      </w:r>
      <w:r>
        <w:rPr/>
        <w:t>vitro</w:t>
      </w:r>
      <w:r>
        <w:rPr>
          <w:spacing w:val="-53"/>
        </w:rPr>
        <w:t> </w:t>
      </w:r>
      <w:r>
        <w:rPr/>
        <w:t>and</w:t>
      </w:r>
      <w:r>
        <w:rPr>
          <w:spacing w:val="-52"/>
        </w:rPr>
        <w:t> </w:t>
      </w:r>
      <w:r>
        <w:rPr/>
        <w:t>in</w:t>
      </w:r>
      <w:r>
        <w:rPr>
          <w:spacing w:val="-52"/>
        </w:rPr>
        <w:t> </w:t>
      </w:r>
      <w:r>
        <w:rPr/>
        <w:t>vivo</w:t>
      </w:r>
      <w:r>
        <w:rPr>
          <w:spacing w:val="-52"/>
        </w:rPr>
        <w:t> </w:t>
      </w:r>
      <w:r>
        <w:rPr/>
        <w:t>study</w:t>
      </w:r>
      <w:r>
        <w:rPr>
          <w:spacing w:val="-52"/>
        </w:rPr>
        <w:t> </w:t>
      </w:r>
      <w:r>
        <w:rPr/>
        <w:t>on</w:t>
      </w:r>
      <w:r>
        <w:rPr>
          <w:spacing w:val="-52"/>
        </w:rPr>
        <w:t> </w:t>
      </w:r>
      <w:r>
        <w:rPr/>
        <w:t>the</w:t>
      </w:r>
      <w:r>
        <w:rPr>
          <w:spacing w:val="-53"/>
        </w:rPr>
        <w:t> </w:t>
      </w:r>
      <w:r>
        <w:rPr/>
        <w:t>efficacy</w:t>
      </w:r>
      <w:r>
        <w:rPr>
          <w:spacing w:val="-51"/>
        </w:rPr>
        <w:t> </w:t>
      </w:r>
      <w:r>
        <w:rPr/>
        <w:t>of</w:t>
      </w:r>
      <w:r>
        <w:rPr>
          <w:spacing w:val="-52"/>
        </w:rPr>
        <w:t> </w:t>
      </w:r>
      <w:r>
        <w:rPr/>
        <w:t>grapefruit</w:t>
      </w:r>
      <w:r>
        <w:rPr>
          <w:spacing w:val="-52"/>
        </w:rPr>
        <w:t> </w:t>
      </w:r>
      <w:r>
        <w:rPr/>
        <w:t>seed</w:t>
      </w:r>
      <w:r>
        <w:rPr>
          <w:spacing w:val="-52"/>
        </w:rPr>
        <w:t> </w:t>
      </w:r>
      <w:r>
        <w:rPr/>
        <w:t>extract</w:t>
      </w:r>
      <w:r>
        <w:rPr>
          <w:spacing w:val="-53"/>
        </w:rPr>
        <w:t> </w:t>
      </w:r>
      <w:r>
        <w:rPr/>
        <w:t>on</w:t>
      </w:r>
      <w:r>
        <w:rPr>
          <w:spacing w:val="-52"/>
        </w:rPr>
        <w:t> </w:t>
      </w:r>
      <w:r>
        <w:rPr/>
        <w:t>749 bacterial strains and 93 fungal</w:t>
      </w:r>
      <w:r>
        <w:rPr>
          <w:spacing w:val="-51"/>
        </w:rPr>
        <w:t> </w:t>
      </w:r>
      <w:r>
        <w:rPr/>
        <w:t>strains</w:t>
      </w:r>
    </w:p>
    <w:p>
      <w:pPr>
        <w:pStyle w:val="BodyText"/>
        <w:spacing w:line="276" w:lineRule="auto" w:before="261"/>
        <w:ind w:left="477" w:right="131"/>
        <w:jc w:val="both"/>
      </w:pPr>
      <w:r>
        <w:rPr/>
        <w:t>A study on the efficacy of grapefruit seed extract published in the </w:t>
      </w:r>
      <w:r>
        <w:rPr>
          <w:i/>
        </w:rPr>
        <w:t>Journal of Or- </w:t>
      </w:r>
      <w:r>
        <w:rPr>
          <w:i/>
        </w:rPr>
        <w:t>thomolecular Medicine </w:t>
      </w:r>
      <w:r>
        <w:rPr/>
        <w:t>on 749 bacterial strains and 93 fungal strains has shown its effectiveness on 249 Staphylococcus aureus, 86 Coli sp., 77 Enterobacter sp.,</w:t>
      </w:r>
    </w:p>
    <w:p>
      <w:pPr>
        <w:spacing w:after="0" w:line="276" w:lineRule="auto"/>
        <w:jc w:val="both"/>
        <w:sectPr>
          <w:footerReference w:type="default" r:id="rId142"/>
          <w:pgSz w:w="14270" w:h="16850"/>
          <w:pgMar w:footer="404" w:header="0" w:top="1600" w:bottom="600" w:left="800" w:right="1280"/>
          <w:pgNumType w:start="580"/>
        </w:sectPr>
      </w:pPr>
    </w:p>
    <w:p>
      <w:pPr>
        <w:pStyle w:val="BodyText"/>
        <w:spacing w:before="181"/>
        <w:ind w:left="477"/>
        <w:rPr>
          <w:sz w:val="25"/>
        </w:rPr>
      </w:pPr>
      <w:r>
        <w:rPr/>
        <w:t>22</w:t>
      </w:r>
      <w:r>
        <w:rPr>
          <w:spacing w:val="-16"/>
        </w:rPr>
        <w:t> </w:t>
      </w:r>
      <w:r>
        <w:rPr/>
        <w:t>Klebsiella</w:t>
      </w:r>
      <w:r>
        <w:rPr>
          <w:spacing w:val="-17"/>
        </w:rPr>
        <w:t> </w:t>
      </w:r>
      <w:r>
        <w:rPr/>
        <w:t>sp.,</w:t>
      </w:r>
      <w:r>
        <w:rPr>
          <w:spacing w:val="-16"/>
        </w:rPr>
        <w:t> </w:t>
      </w:r>
      <w:r>
        <w:rPr/>
        <w:t>18</w:t>
      </w:r>
      <w:r>
        <w:rPr>
          <w:spacing w:val="-16"/>
        </w:rPr>
        <w:t> </w:t>
      </w:r>
      <w:r>
        <w:rPr/>
        <w:t>Proteus</w:t>
      </w:r>
      <w:r>
        <w:rPr>
          <w:spacing w:val="-18"/>
        </w:rPr>
        <w:t> </w:t>
      </w:r>
      <w:r>
        <w:rPr/>
        <w:t>sp.,</w:t>
      </w:r>
      <w:r>
        <w:rPr>
          <w:spacing w:val="-18"/>
        </w:rPr>
        <w:t> </w:t>
      </w:r>
      <w:r>
        <w:rPr/>
        <w:t>22</w:t>
      </w:r>
      <w:r>
        <w:rPr>
          <w:spacing w:val="-15"/>
        </w:rPr>
        <w:t> </w:t>
      </w:r>
      <w:r>
        <w:rPr/>
        <w:t>mould</w:t>
      </w:r>
      <w:r>
        <w:rPr>
          <w:spacing w:val="-16"/>
        </w:rPr>
        <w:t> </w:t>
      </w:r>
      <w:r>
        <w:rPr/>
        <w:t>strains</w:t>
      </w:r>
      <w:r>
        <w:rPr>
          <w:spacing w:val="-15"/>
        </w:rPr>
        <w:t> </w:t>
      </w:r>
      <w:r>
        <w:rPr/>
        <w:t>and</w:t>
      </w:r>
      <w:r>
        <w:rPr>
          <w:spacing w:val="-15"/>
        </w:rPr>
        <w:t> </w:t>
      </w:r>
      <w:r>
        <w:rPr/>
        <w:t>71</w:t>
      </w:r>
      <w:r>
        <w:rPr>
          <w:spacing w:val="-16"/>
        </w:rPr>
        <w:t> </w:t>
      </w:r>
      <w:r>
        <w:rPr/>
        <w:t>yeast</w:t>
      </w:r>
      <w:r>
        <w:rPr>
          <w:spacing w:val="-18"/>
        </w:rPr>
        <w:t> </w:t>
      </w:r>
      <w:r>
        <w:rPr/>
        <w:t>fungus</w:t>
      </w:r>
      <w:r>
        <w:rPr>
          <w:spacing w:val="-15"/>
        </w:rPr>
        <w:t> </w:t>
      </w:r>
      <w:r>
        <w:rPr/>
        <w:t>strains.</w:t>
      </w:r>
      <w:r>
        <w:rPr>
          <w:position w:val="9"/>
          <w:sz w:val="25"/>
        </w:rPr>
        <w:t>366</w:t>
      </w:r>
    </w:p>
    <w:p>
      <w:pPr>
        <w:pStyle w:val="Heading1"/>
        <w:spacing w:before="288"/>
      </w:pPr>
      <w:r>
        <w:rPr/>
        <w:t>Study on the preservative efficacy of grapefruit seed extract</w:t>
      </w:r>
    </w:p>
    <w:p>
      <w:pPr>
        <w:pStyle w:val="BodyText"/>
        <w:spacing w:line="276" w:lineRule="auto" w:before="299"/>
        <w:ind w:left="477" w:right="134"/>
        <w:jc w:val="both"/>
      </w:pPr>
      <w:r>
        <w:rPr/>
        <w:t>The purpose of food preservation is to delay or prevent decomposition pro- cesses caused, inter alia, by microorganisms such as mould and yeast fungi or putrefactive bacteria.</w:t>
      </w:r>
    </w:p>
    <w:p>
      <w:pPr>
        <w:pStyle w:val="BodyText"/>
        <w:spacing w:line="276" w:lineRule="auto" w:before="239"/>
        <w:ind w:left="477" w:right="132"/>
        <w:jc w:val="both"/>
        <w:rPr>
          <w:sz w:val="25"/>
        </w:rPr>
      </w:pPr>
      <w:r>
        <w:rPr/>
        <w:t>The study provided impressive evidence that the 0.2 % Citricidal® (grapefruit seed extract) was as efficient as a preservative as 0.2 % methyl paraben. The development of the effectiveness, which was much faster for grapefruit seed extract, was also worthy of note.</w:t>
      </w:r>
      <w:r>
        <w:rPr>
          <w:position w:val="9"/>
          <w:sz w:val="25"/>
        </w:rPr>
        <w:t>367</w:t>
      </w:r>
    </w:p>
    <w:p>
      <w:pPr>
        <w:pStyle w:val="BodyText"/>
        <w:spacing w:before="9"/>
        <w:rPr>
          <w:sz w:val="42"/>
        </w:rPr>
      </w:pPr>
    </w:p>
    <w:p>
      <w:pPr>
        <w:pStyle w:val="Heading2"/>
      </w:pPr>
      <w:r>
        <w:rPr/>
        <w:t>Side effects of grapefruit seed extract</w:t>
      </w:r>
    </w:p>
    <w:p>
      <w:pPr>
        <w:pStyle w:val="BodyText"/>
        <w:spacing w:line="276" w:lineRule="auto" w:before="305"/>
        <w:ind w:left="477" w:right="130"/>
        <w:jc w:val="both"/>
      </w:pPr>
      <w:r>
        <w:rPr/>
        <w:t>Properly processed and applied, no significant side effects of grapefruit seed extract have been reported so far. An amount 100 times that of the usual dose (10-12</w:t>
      </w:r>
      <w:r>
        <w:rPr>
          <w:spacing w:val="-25"/>
        </w:rPr>
        <w:t> </w:t>
      </w:r>
      <w:r>
        <w:rPr/>
        <w:t>drops)</w:t>
      </w:r>
      <w:r>
        <w:rPr>
          <w:spacing w:val="-24"/>
        </w:rPr>
        <w:t> </w:t>
      </w:r>
      <w:r>
        <w:rPr/>
        <w:t>of</w:t>
      </w:r>
      <w:r>
        <w:rPr>
          <w:spacing w:val="-26"/>
        </w:rPr>
        <w:t> </w:t>
      </w:r>
      <w:r>
        <w:rPr/>
        <w:t>a</w:t>
      </w:r>
      <w:r>
        <w:rPr>
          <w:spacing w:val="-25"/>
        </w:rPr>
        <w:t> </w:t>
      </w:r>
      <w:r>
        <w:rPr/>
        <w:t>50</w:t>
      </w:r>
      <w:r>
        <w:rPr>
          <w:spacing w:val="-23"/>
        </w:rPr>
        <w:t> </w:t>
      </w:r>
      <w:r>
        <w:rPr/>
        <w:t>%</w:t>
      </w:r>
      <w:r>
        <w:rPr>
          <w:spacing w:val="-24"/>
        </w:rPr>
        <w:t> </w:t>
      </w:r>
      <w:r>
        <w:rPr/>
        <w:t>active</w:t>
      </w:r>
      <w:r>
        <w:rPr>
          <w:spacing w:val="-25"/>
        </w:rPr>
        <w:t> </w:t>
      </w:r>
      <w:r>
        <w:rPr/>
        <w:t>ingredient</w:t>
      </w:r>
      <w:r>
        <w:rPr>
          <w:spacing w:val="-23"/>
        </w:rPr>
        <w:t> </w:t>
      </w:r>
      <w:r>
        <w:rPr/>
        <w:t>concentration</w:t>
      </w:r>
      <w:r>
        <w:rPr>
          <w:spacing w:val="-23"/>
        </w:rPr>
        <w:t> </w:t>
      </w:r>
      <w:r>
        <w:rPr/>
        <w:t>showed</w:t>
      </w:r>
      <w:r>
        <w:rPr>
          <w:spacing w:val="-24"/>
        </w:rPr>
        <w:t> </w:t>
      </w:r>
      <w:r>
        <w:rPr/>
        <w:t>no</w:t>
      </w:r>
      <w:r>
        <w:rPr>
          <w:spacing w:val="-20"/>
        </w:rPr>
        <w:t> </w:t>
      </w:r>
      <w:r>
        <w:rPr/>
        <w:t>toxic</w:t>
      </w:r>
      <w:r>
        <w:rPr>
          <w:spacing w:val="-24"/>
        </w:rPr>
        <w:t> </w:t>
      </w:r>
      <w:r>
        <w:rPr/>
        <w:t>effects.</w:t>
      </w:r>
    </w:p>
    <w:p>
      <w:pPr>
        <w:pStyle w:val="BodyText"/>
        <w:spacing w:line="276" w:lineRule="auto" w:before="239"/>
        <w:ind w:left="477" w:right="130"/>
        <w:jc w:val="both"/>
        <w:rPr>
          <w:sz w:val="25"/>
        </w:rPr>
      </w:pPr>
      <w:r>
        <w:rPr/>
        <w:t>The calculated poisoning value is 4000 times the intake dose, which means about</w:t>
      </w:r>
      <w:r>
        <w:rPr>
          <w:spacing w:val="-13"/>
        </w:rPr>
        <w:t> </w:t>
      </w:r>
      <w:r>
        <w:rPr/>
        <w:t>1.5</w:t>
      </w:r>
      <w:r>
        <w:rPr>
          <w:spacing w:val="-10"/>
        </w:rPr>
        <w:t> </w:t>
      </w:r>
      <w:r>
        <w:rPr/>
        <w:t>litres</w:t>
      </w:r>
      <w:r>
        <w:rPr>
          <w:spacing w:val="-10"/>
        </w:rPr>
        <w:t> </w:t>
      </w:r>
      <w:r>
        <w:rPr/>
        <w:t>of</w:t>
      </w:r>
      <w:r>
        <w:rPr>
          <w:spacing w:val="-12"/>
        </w:rPr>
        <w:t> </w:t>
      </w:r>
      <w:r>
        <w:rPr/>
        <w:t>grapefruit</w:t>
      </w:r>
      <w:r>
        <w:rPr>
          <w:spacing w:val="-11"/>
        </w:rPr>
        <w:t> </w:t>
      </w:r>
      <w:r>
        <w:rPr/>
        <w:t>seed</w:t>
      </w:r>
      <w:r>
        <w:rPr>
          <w:spacing w:val="-9"/>
        </w:rPr>
        <w:t> </w:t>
      </w:r>
      <w:r>
        <w:rPr/>
        <w:t>extract.</w:t>
      </w:r>
      <w:r>
        <w:rPr>
          <w:position w:val="9"/>
          <w:sz w:val="25"/>
        </w:rPr>
        <w:t>368</w:t>
      </w:r>
      <w:r>
        <w:rPr>
          <w:spacing w:val="31"/>
          <w:position w:val="9"/>
          <w:sz w:val="25"/>
        </w:rPr>
        <w:t> </w:t>
      </w:r>
      <w:r>
        <w:rPr/>
        <w:t>In</w:t>
      </w:r>
      <w:r>
        <w:rPr>
          <w:spacing w:val="-10"/>
        </w:rPr>
        <w:t> </w:t>
      </w:r>
      <w:r>
        <w:rPr/>
        <w:t>the</w:t>
      </w:r>
      <w:r>
        <w:rPr>
          <w:spacing w:val="-13"/>
        </w:rPr>
        <w:t> </w:t>
      </w:r>
      <w:r>
        <w:rPr/>
        <w:t>US,</w:t>
      </w:r>
      <w:r>
        <w:rPr>
          <w:spacing w:val="-10"/>
        </w:rPr>
        <w:t> </w:t>
      </w:r>
      <w:r>
        <w:rPr/>
        <w:t>the</w:t>
      </w:r>
      <w:r>
        <w:rPr>
          <w:spacing w:val="-10"/>
        </w:rPr>
        <w:t> </w:t>
      </w:r>
      <w:r>
        <w:rPr/>
        <w:t>toxicity</w:t>
      </w:r>
      <w:r>
        <w:rPr>
          <w:spacing w:val="-9"/>
        </w:rPr>
        <w:t> </w:t>
      </w:r>
      <w:r>
        <w:rPr/>
        <w:t>of</w:t>
      </w:r>
      <w:r>
        <w:rPr>
          <w:spacing w:val="-11"/>
        </w:rPr>
        <w:t> </w:t>
      </w:r>
      <w:r>
        <w:rPr/>
        <w:t>grapefruit seed extract has been set at an average dose of over 5,000 mg per kg of body weight, which would be about 400 g in a human weighing 80</w:t>
      </w:r>
      <w:r>
        <w:rPr>
          <w:spacing w:val="-6"/>
        </w:rPr>
        <w:t> </w:t>
      </w:r>
      <w:r>
        <w:rPr/>
        <w:t>kg.</w:t>
      </w:r>
      <w:r>
        <w:rPr>
          <w:position w:val="9"/>
          <w:sz w:val="25"/>
        </w:rPr>
        <w:t>369</w:t>
      </w:r>
    </w:p>
    <w:p>
      <w:pPr>
        <w:pStyle w:val="BodyText"/>
        <w:rPr>
          <w:sz w:val="20"/>
        </w:rPr>
      </w:pPr>
    </w:p>
    <w:p>
      <w:pPr>
        <w:pStyle w:val="BodyText"/>
        <w:spacing w:before="7"/>
        <w:rPr>
          <w:sz w:val="16"/>
        </w:rPr>
      </w:pPr>
      <w:r>
        <w:rPr/>
        <w:pict>
          <v:line style="position:absolute;mso-position-horizontal-relative:page;mso-position-vertical-relative:paragraph;z-index:4376;mso-wrap-distance-left:0;mso-wrap-distance-right:0" from="63.863998pt,11.717515pt" to="207.883998pt,11.717515pt" stroked="true" strokeweight=".71997pt" strokecolor="#000000">
            <v:stroke dashstyle="solid"/>
            <w10:wrap type="topAndBottom"/>
          </v:line>
        </w:pict>
      </w:r>
    </w:p>
    <w:p>
      <w:pPr>
        <w:pStyle w:val="BodyText"/>
        <w:spacing w:before="7"/>
        <w:rPr>
          <w:sz w:val="18"/>
        </w:rPr>
      </w:pPr>
    </w:p>
    <w:p>
      <w:pPr>
        <w:spacing w:line="276" w:lineRule="auto" w:before="99"/>
        <w:ind w:left="477" w:right="0" w:firstLine="0"/>
        <w:jc w:val="left"/>
        <w:rPr>
          <w:sz w:val="20"/>
        </w:rPr>
      </w:pPr>
      <w:r>
        <w:rPr>
          <w:position w:val="5"/>
          <w:sz w:val="13"/>
        </w:rPr>
        <w:t>366 </w:t>
      </w:r>
      <w:r>
        <w:rPr>
          <w:sz w:val="20"/>
        </w:rPr>
        <w:t>Ionescu, G. et al.: Oral Citrus Seed Extract in Atopc Scema: In vitro and in vivo studies on Intestinal Microflora, Journal of Orthomolecular Med- icine, Vol 5, No,3 USA, 1990</w:t>
      </w:r>
    </w:p>
    <w:p>
      <w:pPr>
        <w:pStyle w:val="BodyText"/>
        <w:rPr>
          <w:sz w:val="22"/>
        </w:rPr>
      </w:pPr>
    </w:p>
    <w:p>
      <w:pPr>
        <w:pStyle w:val="BodyText"/>
        <w:rPr>
          <w:sz w:val="22"/>
        </w:rPr>
      </w:pPr>
    </w:p>
    <w:p>
      <w:pPr>
        <w:pStyle w:val="BodyText"/>
        <w:rPr>
          <w:sz w:val="22"/>
        </w:rPr>
      </w:pPr>
    </w:p>
    <w:p>
      <w:pPr>
        <w:spacing w:before="147"/>
        <w:ind w:left="477" w:right="0" w:firstLine="0"/>
        <w:jc w:val="left"/>
        <w:rPr>
          <w:sz w:val="20"/>
        </w:rPr>
      </w:pPr>
      <w:r>
        <w:rPr/>
        <w:drawing>
          <wp:anchor distT="0" distB="0" distL="0" distR="0" allowOverlap="1" layoutInCell="1" locked="0" behindDoc="1" simplePos="0" relativeHeight="267172175">
            <wp:simplePos x="0" y="0"/>
            <wp:positionH relativeFrom="page">
              <wp:posOffset>896463</wp:posOffset>
            </wp:positionH>
            <wp:positionV relativeFrom="paragraph">
              <wp:posOffset>175617</wp:posOffset>
            </wp:positionV>
            <wp:extent cx="6379583" cy="902106"/>
            <wp:effectExtent l="0" t="0" r="0" b="0"/>
            <wp:wrapNone/>
            <wp:docPr id="223" name="image2.jpeg" descr=""/>
            <wp:cNvGraphicFramePr>
              <a:graphicFrameLocks noChangeAspect="1"/>
            </wp:cNvGraphicFramePr>
            <a:graphic>
              <a:graphicData uri="http://schemas.openxmlformats.org/drawingml/2006/picture">
                <pic:pic>
                  <pic:nvPicPr>
                    <pic:cNvPr id="224"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368 </w:t>
      </w:r>
      <w:r>
        <w:rPr>
          <w:sz w:val="20"/>
        </w:rPr>
        <w:t>Jörg Linditsch: ABC des Grapefruitkern (‘ABC of the Grapefruit Seed’), 1997, p. 21</w:t>
      </w:r>
    </w:p>
    <w:p>
      <w:pPr>
        <w:spacing w:before="94"/>
        <w:ind w:left="477" w:right="0" w:firstLine="0"/>
        <w:jc w:val="left"/>
        <w:rPr>
          <w:sz w:val="20"/>
        </w:rPr>
      </w:pPr>
      <w:r>
        <w:rPr>
          <w:position w:val="5"/>
          <w:sz w:val="13"/>
        </w:rPr>
        <w:t>369 </w:t>
      </w:r>
      <w:r>
        <w:rPr>
          <w:sz w:val="20"/>
        </w:rPr>
        <w:t>Shalila Sharamon and Bodo J. Baginski: Das Wunder im Kern der Grapefruit (‘The Miracle in the Grapefruit Seed’), 1996, p. 126</w:t>
      </w:r>
    </w:p>
    <w:p>
      <w:pPr>
        <w:spacing w:after="0"/>
        <w:jc w:val="left"/>
        <w:rPr>
          <w:sz w:val="20"/>
        </w:rPr>
        <w:sectPr>
          <w:footerReference w:type="default" r:id="rId143"/>
          <w:pgSz w:w="14270" w:h="16850"/>
          <w:pgMar w:footer="527" w:header="0" w:top="1600" w:bottom="720" w:left="800" w:right="1280"/>
          <w:pgNumType w:start="581"/>
        </w:sectPr>
      </w:pPr>
    </w:p>
    <w:p>
      <w:pPr>
        <w:pStyle w:val="BodyText"/>
        <w:spacing w:line="276" w:lineRule="auto" w:before="181"/>
        <w:ind w:left="477" w:right="138"/>
        <w:jc w:val="both"/>
      </w:pPr>
      <w:r>
        <w:rPr/>
        <w:t>On the contrary: the ability of grapefruit seed extract to destroy only the</w:t>
      </w:r>
      <w:r>
        <w:rPr>
          <w:spacing w:val="-60"/>
        </w:rPr>
        <w:t> </w:t>
      </w:r>
      <w:r>
        <w:rPr/>
        <w:t>harm- ful bacteria in our body relieves our body and strengthens our immune system. Some discomfort, fatigue, flatulence, headache, tongue discoloration or rashes are usually a positive sign that shows pathogens are dying at a higher rate, as they release toxins (toxins) during this process.</w:t>
      </w:r>
    </w:p>
    <w:p>
      <w:pPr>
        <w:pStyle w:val="BodyText"/>
        <w:spacing w:line="276" w:lineRule="auto" w:before="240"/>
        <w:ind w:left="477" w:right="136"/>
        <w:jc w:val="both"/>
      </w:pPr>
      <w:r>
        <w:rPr/>
        <w:t>These side effects are particularly evident in the case of the death of the yeast ‘Candida albicans‘. In such cases, you should reduce the dose and then very slowly</w:t>
      </w:r>
      <w:r>
        <w:rPr>
          <w:spacing w:val="-22"/>
        </w:rPr>
        <w:t> </w:t>
      </w:r>
      <w:r>
        <w:rPr/>
        <w:t>build</w:t>
      </w:r>
      <w:r>
        <w:rPr>
          <w:spacing w:val="-21"/>
        </w:rPr>
        <w:t> </w:t>
      </w:r>
      <w:r>
        <w:rPr/>
        <w:t>up</w:t>
      </w:r>
      <w:r>
        <w:rPr>
          <w:spacing w:val="-22"/>
        </w:rPr>
        <w:t> </w:t>
      </w:r>
      <w:r>
        <w:rPr/>
        <w:t>towards</w:t>
      </w:r>
      <w:r>
        <w:rPr>
          <w:spacing w:val="-21"/>
        </w:rPr>
        <w:t> </w:t>
      </w:r>
      <w:r>
        <w:rPr/>
        <w:t>the</w:t>
      </w:r>
      <w:r>
        <w:rPr>
          <w:spacing w:val="-20"/>
        </w:rPr>
        <w:t> </w:t>
      </w:r>
      <w:r>
        <w:rPr/>
        <w:t>recommended</w:t>
      </w:r>
      <w:r>
        <w:rPr>
          <w:spacing w:val="-23"/>
        </w:rPr>
        <w:t> </w:t>
      </w:r>
      <w:r>
        <w:rPr/>
        <w:t>dose</w:t>
      </w:r>
      <w:r>
        <w:rPr>
          <w:spacing w:val="-22"/>
        </w:rPr>
        <w:t> </w:t>
      </w:r>
      <w:r>
        <w:rPr/>
        <w:t>again.</w:t>
      </w:r>
      <w:r>
        <w:rPr>
          <w:spacing w:val="-21"/>
        </w:rPr>
        <w:t> </w:t>
      </w:r>
      <w:r>
        <w:rPr/>
        <w:t>Furthermore,</w:t>
      </w:r>
      <w:r>
        <w:rPr>
          <w:spacing w:val="-21"/>
        </w:rPr>
        <w:t> </w:t>
      </w:r>
      <w:r>
        <w:rPr/>
        <w:t>fatty</w:t>
      </w:r>
      <w:r>
        <w:rPr>
          <w:spacing w:val="-23"/>
        </w:rPr>
        <w:t> </w:t>
      </w:r>
      <w:r>
        <w:rPr/>
        <w:t>stools were occasionally observed and sometimes a certain ‘liquid</w:t>
      </w:r>
      <w:r>
        <w:rPr>
          <w:spacing w:val="-8"/>
        </w:rPr>
        <w:t> </w:t>
      </w:r>
      <w:r>
        <w:rPr/>
        <w:t>excretion’.</w:t>
      </w:r>
    </w:p>
    <w:p>
      <w:pPr>
        <w:pStyle w:val="BodyText"/>
        <w:spacing w:before="9"/>
        <w:rPr>
          <w:sz w:val="42"/>
        </w:rPr>
      </w:pPr>
    </w:p>
    <w:p>
      <w:pPr>
        <w:pStyle w:val="Heading2"/>
      </w:pPr>
      <w:r>
        <w:rPr/>
        <w:t>Grapefruit seed extract – frequently asked questions and answers</w:t>
      </w:r>
    </w:p>
    <w:p>
      <w:pPr>
        <w:spacing w:before="288"/>
        <w:ind w:left="477" w:right="0" w:firstLine="0"/>
        <w:jc w:val="left"/>
        <w:rPr>
          <w:b/>
          <w:i/>
          <w:sz w:val="40"/>
        </w:rPr>
      </w:pPr>
      <w:r>
        <w:rPr>
          <w:b/>
          <w:i/>
          <w:sz w:val="40"/>
        </w:rPr>
        <w:t>Can grapefruit seed extract replace</w:t>
      </w:r>
      <w:r>
        <w:rPr>
          <w:b/>
          <w:i/>
          <w:spacing w:val="-70"/>
          <w:sz w:val="40"/>
        </w:rPr>
        <w:t> </w:t>
      </w:r>
      <w:r>
        <w:rPr>
          <w:b/>
          <w:i/>
          <w:sz w:val="40"/>
        </w:rPr>
        <w:t>antibiotics?</w:t>
      </w:r>
    </w:p>
    <w:p>
      <w:pPr>
        <w:pStyle w:val="BodyText"/>
        <w:spacing w:line="276" w:lineRule="auto" w:before="297"/>
        <w:ind w:left="477" w:right="129"/>
        <w:jc w:val="both"/>
      </w:pPr>
      <w:r>
        <w:rPr/>
        <w:t>In most cases, grapefruit seed extract is side-effect-free and at the same time is a very efficient alternative to antibiotics. While antibiotics only fight bacteria and also do not differentiate harmful bacteria from ‘good’ bacteria (intestinal flora</w:t>
      </w:r>
      <w:r>
        <w:rPr>
          <w:spacing w:val="-21"/>
        </w:rPr>
        <w:t> </w:t>
      </w:r>
      <w:r>
        <w:rPr/>
        <w:t>bacteria),</w:t>
      </w:r>
      <w:r>
        <w:rPr>
          <w:spacing w:val="-20"/>
        </w:rPr>
        <w:t> </w:t>
      </w:r>
      <w:r>
        <w:rPr/>
        <w:t>grapefruit</w:t>
      </w:r>
      <w:r>
        <w:rPr>
          <w:spacing w:val="-20"/>
        </w:rPr>
        <w:t> </w:t>
      </w:r>
      <w:r>
        <w:rPr/>
        <w:t>seed</w:t>
      </w:r>
      <w:r>
        <w:rPr>
          <w:spacing w:val="-19"/>
        </w:rPr>
        <w:t> </w:t>
      </w:r>
      <w:r>
        <w:rPr/>
        <w:t>extract</w:t>
      </w:r>
      <w:r>
        <w:rPr>
          <w:spacing w:val="-19"/>
        </w:rPr>
        <w:t> </w:t>
      </w:r>
      <w:r>
        <w:rPr/>
        <w:t>very</w:t>
      </w:r>
      <w:r>
        <w:rPr>
          <w:spacing w:val="-19"/>
        </w:rPr>
        <w:t> </w:t>
      </w:r>
      <w:r>
        <w:rPr/>
        <w:t>successfully</w:t>
      </w:r>
      <w:r>
        <w:rPr>
          <w:spacing w:val="-20"/>
        </w:rPr>
        <w:t> </w:t>
      </w:r>
      <w:r>
        <w:rPr/>
        <w:t>takes</w:t>
      </w:r>
      <w:r>
        <w:rPr>
          <w:spacing w:val="-19"/>
        </w:rPr>
        <w:t> </w:t>
      </w:r>
      <w:r>
        <w:rPr/>
        <w:t>up</w:t>
      </w:r>
      <w:r>
        <w:rPr>
          <w:spacing w:val="-19"/>
        </w:rPr>
        <w:t> </w:t>
      </w:r>
      <w:r>
        <w:rPr/>
        <w:t>the</w:t>
      </w:r>
      <w:r>
        <w:rPr>
          <w:spacing w:val="-18"/>
        </w:rPr>
        <w:t> </w:t>
      </w:r>
      <w:r>
        <w:rPr/>
        <w:t>fight</w:t>
      </w:r>
      <w:r>
        <w:rPr>
          <w:spacing w:val="-19"/>
        </w:rPr>
        <w:t> </w:t>
      </w:r>
      <w:r>
        <w:rPr/>
        <w:t>against all pathogens and spares the ‘good’ bacteria in our body.</w:t>
      </w:r>
    </w:p>
    <w:p>
      <w:pPr>
        <w:pStyle w:val="BodyText"/>
        <w:spacing w:before="3"/>
        <w:rPr>
          <w:sz w:val="41"/>
        </w:rPr>
      </w:pPr>
    </w:p>
    <w:p>
      <w:pPr>
        <w:pStyle w:val="Heading1"/>
        <w:spacing w:before="0"/>
      </w:pPr>
      <w:r>
        <w:rPr/>
        <w:t>Is grapefruit the only citrus fruit with such effects?</w:t>
      </w:r>
    </w:p>
    <w:p>
      <w:pPr>
        <w:pStyle w:val="BodyText"/>
        <w:spacing w:line="276" w:lineRule="auto" w:before="300"/>
        <w:ind w:left="477" w:right="130"/>
        <w:jc w:val="both"/>
      </w:pPr>
      <w:r>
        <w:rPr/>
        <w:t>The authors of the book ‘Healing with Grapefruit Seed Extract’ have found a broad spectrum of action which is provided by grapefruit seed extract and by no</w:t>
      </w:r>
      <w:r>
        <w:rPr>
          <w:spacing w:val="-24"/>
        </w:rPr>
        <w:t> </w:t>
      </w:r>
      <w:r>
        <w:rPr/>
        <w:t>other</w:t>
      </w:r>
      <w:r>
        <w:rPr>
          <w:spacing w:val="-23"/>
        </w:rPr>
        <w:t> </w:t>
      </w:r>
      <w:r>
        <w:rPr/>
        <w:t>citrus</w:t>
      </w:r>
      <w:r>
        <w:rPr>
          <w:spacing w:val="-23"/>
        </w:rPr>
        <w:t> </w:t>
      </w:r>
      <w:r>
        <w:rPr/>
        <w:t>fruit,</w:t>
      </w:r>
      <w:r>
        <w:rPr>
          <w:spacing w:val="-24"/>
        </w:rPr>
        <w:t> </w:t>
      </w:r>
      <w:r>
        <w:rPr/>
        <w:t>with</w:t>
      </w:r>
      <w:r>
        <w:rPr>
          <w:spacing w:val="-23"/>
        </w:rPr>
        <w:t> </w:t>
      </w:r>
      <w:r>
        <w:rPr/>
        <w:t>the</w:t>
      </w:r>
      <w:r>
        <w:rPr>
          <w:spacing w:val="-23"/>
        </w:rPr>
        <w:t> </w:t>
      </w:r>
      <w:r>
        <w:rPr/>
        <w:t>exception</w:t>
      </w:r>
      <w:r>
        <w:rPr>
          <w:spacing w:val="-23"/>
        </w:rPr>
        <w:t> </w:t>
      </w:r>
      <w:r>
        <w:rPr/>
        <w:t>of</w:t>
      </w:r>
      <w:r>
        <w:rPr>
          <w:spacing w:val="-24"/>
        </w:rPr>
        <w:t> </w:t>
      </w:r>
      <w:r>
        <w:rPr/>
        <w:t>the</w:t>
      </w:r>
      <w:r>
        <w:rPr>
          <w:spacing w:val="-23"/>
        </w:rPr>
        <w:t> </w:t>
      </w:r>
      <w:r>
        <w:rPr/>
        <w:t>seeds</w:t>
      </w:r>
      <w:r>
        <w:rPr>
          <w:spacing w:val="-23"/>
        </w:rPr>
        <w:t> </w:t>
      </w:r>
      <w:r>
        <w:rPr/>
        <w:t>of</w:t>
      </w:r>
      <w:r>
        <w:rPr>
          <w:spacing w:val="-24"/>
        </w:rPr>
        <w:t> </w:t>
      </w:r>
      <w:r>
        <w:rPr/>
        <w:t>bitter</w:t>
      </w:r>
      <w:r>
        <w:rPr>
          <w:spacing w:val="-23"/>
        </w:rPr>
        <w:t> </w:t>
      </w:r>
      <w:r>
        <w:rPr/>
        <w:t>oranges,</w:t>
      </w:r>
      <w:r>
        <w:rPr>
          <w:spacing w:val="-22"/>
        </w:rPr>
        <w:t> </w:t>
      </w:r>
      <w:r>
        <w:rPr/>
        <w:t>also</w:t>
      </w:r>
      <w:r>
        <w:rPr>
          <w:spacing w:val="-23"/>
        </w:rPr>
        <w:t> </w:t>
      </w:r>
      <w:r>
        <w:rPr/>
        <w:t>called</w:t>
      </w:r>
    </w:p>
    <w:p>
      <w:pPr>
        <w:spacing w:after="0" w:line="276" w:lineRule="auto"/>
        <w:jc w:val="both"/>
        <w:sectPr>
          <w:footerReference w:type="default" r:id="rId144"/>
          <w:pgSz w:w="14270" w:h="16850"/>
          <w:pgMar w:footer="1891" w:header="0" w:top="1600" w:bottom="2080" w:left="800" w:right="1280"/>
          <w:pgNumType w:start="582"/>
        </w:sectPr>
      </w:pPr>
    </w:p>
    <w:p>
      <w:pPr>
        <w:pStyle w:val="BodyText"/>
        <w:spacing w:before="181"/>
        <w:ind w:left="477"/>
      </w:pPr>
      <w:r>
        <w:rPr/>
        <w:t>the ‘Seville orange’.</w:t>
      </w:r>
    </w:p>
    <w:p>
      <w:pPr>
        <w:pStyle w:val="BodyText"/>
        <w:spacing w:line="276" w:lineRule="auto" w:before="305"/>
        <w:ind w:left="477"/>
      </w:pPr>
      <w:r>
        <w:rPr/>
        <w:t>However, there is a lack of studies on bitter oranges that can attest to their safety, unlike in the case of grapefruit seed extract.</w:t>
      </w:r>
    </w:p>
    <w:p>
      <w:pPr>
        <w:pStyle w:val="BodyText"/>
        <w:rPr>
          <w:sz w:val="42"/>
        </w:rPr>
      </w:pPr>
    </w:p>
    <w:p>
      <w:pPr>
        <w:pStyle w:val="BodyText"/>
        <w:spacing w:before="10"/>
        <w:rPr>
          <w:sz w:val="42"/>
        </w:rPr>
      </w:pPr>
    </w:p>
    <w:p>
      <w:pPr>
        <w:pStyle w:val="Heading1"/>
        <w:spacing w:before="0"/>
      </w:pPr>
      <w:r>
        <w:rPr/>
        <w:t>Does grapefruit seed extract also work against environmental toxins?</w:t>
      </w:r>
    </w:p>
    <w:p>
      <w:pPr>
        <w:pStyle w:val="BodyText"/>
        <w:spacing w:line="276" w:lineRule="auto" w:before="298"/>
        <w:ind w:left="477" w:right="133"/>
        <w:jc w:val="both"/>
      </w:pPr>
      <w:r>
        <w:rPr/>
        <w:t>According to the magazine </w:t>
      </w:r>
      <w:r>
        <w:rPr>
          <w:i/>
        </w:rPr>
        <w:t>Fernsehwoche, </w:t>
      </w:r>
      <w:r>
        <w:rPr/>
        <w:t>grapefruit seed extract also works against harmful substances such as amalgam, ozone, benzene, formaldehyde, lead and cadmium and flushes toxic substances out of the body.</w:t>
      </w:r>
    </w:p>
    <w:p>
      <w:pPr>
        <w:pStyle w:val="Heading1"/>
      </w:pPr>
      <w:r>
        <w:rPr/>
        <w:t>Do serious studies exist on the effects of grapefruit seed extract?</w:t>
      </w:r>
    </w:p>
    <w:p>
      <w:pPr>
        <w:pStyle w:val="BodyText"/>
        <w:spacing w:before="299"/>
        <w:ind w:left="477"/>
      </w:pPr>
      <w:r>
        <w:rPr/>
        <w:t>Of course. See ‘Studies on grapefruit seed extract’.</w:t>
      </w:r>
    </w:p>
    <w:p>
      <w:pPr>
        <w:pStyle w:val="Heading1"/>
        <w:spacing w:before="288"/>
      </w:pPr>
      <w:r>
        <w:rPr/>
        <w:t>Can the intake of grapefruit seed extract over-acidify the body?</w:t>
      </w:r>
    </w:p>
    <w:p>
      <w:pPr>
        <w:pStyle w:val="BodyText"/>
        <w:spacing w:line="276" w:lineRule="auto" w:before="296"/>
        <w:ind w:left="477" w:right="133"/>
        <w:jc w:val="both"/>
      </w:pPr>
      <w:r>
        <w:rPr/>
        <w:t>Although it is undoubtedly acidic with a pH of 2-3, grapefruit seed extract is one</w:t>
      </w:r>
      <w:r>
        <w:rPr>
          <w:spacing w:val="-10"/>
        </w:rPr>
        <w:t> </w:t>
      </w:r>
      <w:r>
        <w:rPr/>
        <w:t>of</w:t>
      </w:r>
      <w:r>
        <w:rPr>
          <w:spacing w:val="-10"/>
        </w:rPr>
        <w:t> </w:t>
      </w:r>
      <w:r>
        <w:rPr/>
        <w:t>the</w:t>
      </w:r>
      <w:r>
        <w:rPr>
          <w:spacing w:val="-10"/>
        </w:rPr>
        <w:t> </w:t>
      </w:r>
      <w:r>
        <w:rPr/>
        <w:t>basic</w:t>
      </w:r>
      <w:r>
        <w:rPr>
          <w:spacing w:val="-14"/>
        </w:rPr>
        <w:t> </w:t>
      </w:r>
      <w:r>
        <w:rPr/>
        <w:t>foods.</w:t>
      </w:r>
      <w:r>
        <w:rPr>
          <w:spacing w:val="-10"/>
        </w:rPr>
        <w:t> </w:t>
      </w:r>
      <w:r>
        <w:rPr/>
        <w:t>This</w:t>
      </w:r>
      <w:r>
        <w:rPr>
          <w:spacing w:val="-10"/>
        </w:rPr>
        <w:t> </w:t>
      </w:r>
      <w:r>
        <w:rPr/>
        <w:t>is</w:t>
      </w:r>
      <w:r>
        <w:rPr>
          <w:spacing w:val="-10"/>
        </w:rPr>
        <w:t> </w:t>
      </w:r>
      <w:r>
        <w:rPr/>
        <w:t>due</w:t>
      </w:r>
      <w:r>
        <w:rPr>
          <w:spacing w:val="-12"/>
        </w:rPr>
        <w:t> </w:t>
      </w:r>
      <w:r>
        <w:rPr/>
        <w:t>to</w:t>
      </w:r>
      <w:r>
        <w:rPr>
          <w:spacing w:val="-10"/>
        </w:rPr>
        <w:t> </w:t>
      </w:r>
      <w:r>
        <w:rPr/>
        <w:t>the</w:t>
      </w:r>
      <w:r>
        <w:rPr>
          <w:spacing w:val="-10"/>
        </w:rPr>
        <w:t> </w:t>
      </w:r>
      <w:r>
        <w:rPr/>
        <w:t>content</w:t>
      </w:r>
      <w:r>
        <w:rPr>
          <w:spacing w:val="-13"/>
        </w:rPr>
        <w:t> </w:t>
      </w:r>
      <w:r>
        <w:rPr/>
        <w:t>of</w:t>
      </w:r>
      <w:r>
        <w:rPr>
          <w:spacing w:val="-10"/>
        </w:rPr>
        <w:t> </w:t>
      </w:r>
      <w:r>
        <w:rPr/>
        <w:t>bitter</w:t>
      </w:r>
      <w:r>
        <w:rPr>
          <w:spacing w:val="-10"/>
        </w:rPr>
        <w:t> </w:t>
      </w:r>
      <w:r>
        <w:rPr/>
        <w:t>substances</w:t>
      </w:r>
      <w:r>
        <w:rPr>
          <w:spacing w:val="-9"/>
        </w:rPr>
        <w:t> </w:t>
      </w:r>
      <w:r>
        <w:rPr/>
        <w:t>that</w:t>
      </w:r>
      <w:r>
        <w:rPr>
          <w:spacing w:val="-11"/>
        </w:rPr>
        <w:t> </w:t>
      </w:r>
      <w:r>
        <w:rPr/>
        <w:t>stim- ulate the formation of</w:t>
      </w:r>
      <w:r>
        <w:rPr>
          <w:spacing w:val="-1"/>
        </w:rPr>
        <w:t> </w:t>
      </w:r>
      <w:r>
        <w:rPr/>
        <w:t>bases.</w:t>
      </w:r>
    </w:p>
    <w:p>
      <w:pPr>
        <w:pStyle w:val="Heading1"/>
      </w:pPr>
      <w:r>
        <w:rPr/>
        <w:t>What does an application with grapefruit seed extract look like?</w:t>
      </w:r>
    </w:p>
    <w:p>
      <w:pPr>
        <w:pStyle w:val="BodyText"/>
        <w:spacing w:line="276" w:lineRule="auto" w:before="300"/>
        <w:ind w:left="477"/>
        <w:rPr>
          <w:i/>
        </w:rPr>
      </w:pPr>
      <w:r>
        <w:rPr/>
        <w:t>Tips for the targeted use of grapefruit seed extract can be found in the section ‘Use of grapefruit seed extract’</w:t>
      </w:r>
      <w:r>
        <w:rPr>
          <w:i/>
        </w:rPr>
        <w:t>.</w:t>
      </w:r>
    </w:p>
    <w:p>
      <w:pPr>
        <w:pStyle w:val="Heading1"/>
      </w:pPr>
      <w:r>
        <w:rPr/>
        <w:t>What if grapefruit seed extract does not work?</w:t>
      </w:r>
    </w:p>
    <w:p>
      <w:pPr>
        <w:spacing w:after="0"/>
        <w:sectPr>
          <w:pgSz w:w="14270" w:h="16850"/>
          <w:pgMar w:header="0" w:footer="1891" w:top="1600" w:bottom="2080" w:left="800" w:right="1280"/>
        </w:sectPr>
      </w:pPr>
    </w:p>
    <w:p>
      <w:pPr>
        <w:pStyle w:val="BodyText"/>
        <w:spacing w:line="276" w:lineRule="auto" w:before="181"/>
        <w:ind w:left="477" w:right="139"/>
        <w:jc w:val="both"/>
      </w:pPr>
      <w:r>
        <w:rPr/>
        <w:t>Of course, grapefruit seed extract is not a panacea and specialises primarily in the</w:t>
      </w:r>
      <w:r>
        <w:rPr>
          <w:spacing w:val="-18"/>
        </w:rPr>
        <w:t> </w:t>
      </w:r>
      <w:r>
        <w:rPr/>
        <w:t>destruction</w:t>
      </w:r>
      <w:r>
        <w:rPr>
          <w:spacing w:val="-18"/>
        </w:rPr>
        <w:t> </w:t>
      </w:r>
      <w:r>
        <w:rPr/>
        <w:t>of</w:t>
      </w:r>
      <w:r>
        <w:rPr>
          <w:spacing w:val="-19"/>
        </w:rPr>
        <w:t> </w:t>
      </w:r>
      <w:r>
        <w:rPr/>
        <w:t>bacteria,</w:t>
      </w:r>
      <w:r>
        <w:rPr>
          <w:spacing w:val="-19"/>
        </w:rPr>
        <w:t> </w:t>
      </w:r>
      <w:r>
        <w:rPr/>
        <w:t>viruses</w:t>
      </w:r>
      <w:r>
        <w:rPr>
          <w:spacing w:val="-18"/>
        </w:rPr>
        <w:t> </w:t>
      </w:r>
      <w:r>
        <w:rPr/>
        <w:t>and</w:t>
      </w:r>
      <w:r>
        <w:rPr>
          <w:spacing w:val="-19"/>
        </w:rPr>
        <w:t> </w:t>
      </w:r>
      <w:r>
        <w:rPr/>
        <w:t>fungi.</w:t>
      </w:r>
      <w:r>
        <w:rPr>
          <w:spacing w:val="-18"/>
        </w:rPr>
        <w:t> </w:t>
      </w:r>
      <w:r>
        <w:rPr/>
        <w:t>If</w:t>
      </w:r>
      <w:r>
        <w:rPr>
          <w:spacing w:val="-19"/>
        </w:rPr>
        <w:t> </w:t>
      </w:r>
      <w:r>
        <w:rPr/>
        <w:t>grapefruit</w:t>
      </w:r>
      <w:r>
        <w:rPr>
          <w:spacing w:val="-19"/>
        </w:rPr>
        <w:t> </w:t>
      </w:r>
      <w:r>
        <w:rPr/>
        <w:t>seed</w:t>
      </w:r>
      <w:r>
        <w:rPr>
          <w:spacing w:val="-19"/>
        </w:rPr>
        <w:t> </w:t>
      </w:r>
      <w:r>
        <w:rPr/>
        <w:t>extract</w:t>
      </w:r>
      <w:r>
        <w:rPr>
          <w:spacing w:val="-18"/>
        </w:rPr>
        <w:t> </w:t>
      </w:r>
      <w:r>
        <w:rPr/>
        <w:t>fails</w:t>
      </w:r>
      <w:r>
        <w:rPr>
          <w:spacing w:val="-18"/>
        </w:rPr>
        <w:t> </w:t>
      </w:r>
      <w:r>
        <w:rPr/>
        <w:t>here as well, it may be for several reasons: the dosage may be too low or the body may be burdened with too many toxins (in this case, a cleansing cure would be recommended in the first</w:t>
      </w:r>
      <w:r>
        <w:rPr>
          <w:spacing w:val="2"/>
        </w:rPr>
        <w:t> </w:t>
      </w:r>
      <w:r>
        <w:rPr/>
        <w:t>instance).</w:t>
      </w:r>
    </w:p>
    <w:p>
      <w:pPr>
        <w:pStyle w:val="Heading1"/>
        <w:spacing w:before="223"/>
      </w:pPr>
      <w:r>
        <w:rPr/>
        <w:t>Can grapefruit seed extract even be taken with a sensitive stomach?</w:t>
      </w:r>
    </w:p>
    <w:p>
      <w:pPr>
        <w:pStyle w:val="BodyText"/>
        <w:spacing w:line="276" w:lineRule="auto" w:before="299"/>
        <w:ind w:left="477" w:right="130"/>
        <w:jc w:val="both"/>
      </w:pPr>
      <w:r>
        <w:rPr/>
        <w:t>Yes, for example, in the presence of gastric ulcers or a non-intact gastric mu- cosa. In this case, the authors of the book ‘Healing with Grapefruit Seed Ex- tract’ recommend slowly building up the dose by starting with 2-3 drops in a full glass of water, maintaining this for weeks and then slowly increasing the dose.</w:t>
      </w:r>
    </w:p>
    <w:p>
      <w:pPr>
        <w:pStyle w:val="Heading1"/>
        <w:spacing w:before="223"/>
      </w:pPr>
      <w:r>
        <w:rPr/>
        <w:t>Can grapefruit seed extract be used during pregnancy?</w:t>
      </w:r>
    </w:p>
    <w:p>
      <w:pPr>
        <w:pStyle w:val="BodyText"/>
        <w:spacing w:line="276" w:lineRule="auto" w:before="299"/>
        <w:ind w:left="477" w:right="135"/>
        <w:jc w:val="both"/>
      </w:pPr>
      <w:r>
        <w:rPr/>
        <w:t>At the time of writing the Codex Humanus, there was neither a scientific study on</w:t>
      </w:r>
      <w:r>
        <w:rPr>
          <w:spacing w:val="-11"/>
        </w:rPr>
        <w:t> </w:t>
      </w:r>
      <w:r>
        <w:rPr/>
        <w:t>this</w:t>
      </w:r>
      <w:r>
        <w:rPr>
          <w:spacing w:val="-11"/>
        </w:rPr>
        <w:t> </w:t>
      </w:r>
      <w:r>
        <w:rPr/>
        <w:t>issue</w:t>
      </w:r>
      <w:r>
        <w:rPr>
          <w:spacing w:val="-12"/>
        </w:rPr>
        <w:t> </w:t>
      </w:r>
      <w:r>
        <w:rPr/>
        <w:t>nor</w:t>
      </w:r>
      <w:r>
        <w:rPr>
          <w:spacing w:val="-14"/>
        </w:rPr>
        <w:t> </w:t>
      </w:r>
      <w:r>
        <w:rPr/>
        <w:t>has</w:t>
      </w:r>
      <w:r>
        <w:rPr>
          <w:spacing w:val="-11"/>
        </w:rPr>
        <w:t> </w:t>
      </w:r>
      <w:r>
        <w:rPr/>
        <w:t>been</w:t>
      </w:r>
      <w:r>
        <w:rPr>
          <w:spacing w:val="-13"/>
        </w:rPr>
        <w:t> </w:t>
      </w:r>
      <w:r>
        <w:rPr/>
        <w:t>there</w:t>
      </w:r>
      <w:r>
        <w:rPr>
          <w:spacing w:val="-14"/>
        </w:rPr>
        <w:t> </w:t>
      </w:r>
      <w:r>
        <w:rPr/>
        <w:t>any</w:t>
      </w:r>
      <w:r>
        <w:rPr>
          <w:spacing w:val="-11"/>
        </w:rPr>
        <w:t> </w:t>
      </w:r>
      <w:r>
        <w:rPr/>
        <w:t>known</w:t>
      </w:r>
      <w:r>
        <w:rPr>
          <w:spacing w:val="-11"/>
        </w:rPr>
        <w:t> </w:t>
      </w:r>
      <w:r>
        <w:rPr/>
        <w:t>case</w:t>
      </w:r>
      <w:r>
        <w:rPr>
          <w:spacing w:val="-13"/>
        </w:rPr>
        <w:t> </w:t>
      </w:r>
      <w:r>
        <w:rPr/>
        <w:t>of</w:t>
      </w:r>
      <w:r>
        <w:rPr>
          <w:spacing w:val="-12"/>
        </w:rPr>
        <w:t> </w:t>
      </w:r>
      <w:r>
        <w:rPr/>
        <w:t>problems</w:t>
      </w:r>
      <w:r>
        <w:rPr>
          <w:spacing w:val="-11"/>
        </w:rPr>
        <w:t> </w:t>
      </w:r>
      <w:r>
        <w:rPr/>
        <w:t>during</w:t>
      </w:r>
      <w:r>
        <w:rPr>
          <w:spacing w:val="-11"/>
        </w:rPr>
        <w:t> </w:t>
      </w:r>
      <w:r>
        <w:rPr/>
        <w:t>pregnancy. If in doubt, you should ask your</w:t>
      </w:r>
      <w:r>
        <w:rPr>
          <w:spacing w:val="-4"/>
        </w:rPr>
        <w:t> </w:t>
      </w:r>
      <w:r>
        <w:rPr/>
        <w:t>doctor.</w:t>
      </w:r>
    </w:p>
    <w:p>
      <w:pPr>
        <w:pStyle w:val="Heading1"/>
      </w:pPr>
      <w:r>
        <w:rPr/>
        <w:t>Can you also take grapefruit seed extract as a tea?</w:t>
      </w:r>
    </w:p>
    <w:p>
      <w:pPr>
        <w:pStyle w:val="BodyText"/>
        <w:spacing w:line="276" w:lineRule="auto" w:before="299"/>
        <w:ind w:left="477" w:right="131"/>
        <w:jc w:val="both"/>
      </w:pPr>
      <w:r>
        <w:rPr/>
        <w:t>Many</w:t>
      </w:r>
      <w:r>
        <w:rPr>
          <w:spacing w:val="-7"/>
        </w:rPr>
        <w:t> </w:t>
      </w:r>
      <w:r>
        <w:rPr/>
        <w:t>people</w:t>
      </w:r>
      <w:r>
        <w:rPr>
          <w:spacing w:val="-7"/>
        </w:rPr>
        <w:t> </w:t>
      </w:r>
      <w:r>
        <w:rPr/>
        <w:t>drink</w:t>
      </w:r>
      <w:r>
        <w:rPr>
          <w:spacing w:val="-6"/>
        </w:rPr>
        <w:t> </w:t>
      </w:r>
      <w:r>
        <w:rPr/>
        <w:t>grapefruit</w:t>
      </w:r>
      <w:r>
        <w:rPr>
          <w:spacing w:val="-7"/>
        </w:rPr>
        <w:t> </w:t>
      </w:r>
      <w:r>
        <w:rPr/>
        <w:t>seed</w:t>
      </w:r>
      <w:r>
        <w:rPr>
          <w:spacing w:val="-7"/>
        </w:rPr>
        <w:t> </w:t>
      </w:r>
      <w:r>
        <w:rPr/>
        <w:t>extract</w:t>
      </w:r>
      <w:r>
        <w:rPr>
          <w:spacing w:val="-7"/>
        </w:rPr>
        <w:t> </w:t>
      </w:r>
      <w:r>
        <w:rPr/>
        <w:t>as</w:t>
      </w:r>
      <w:r>
        <w:rPr>
          <w:spacing w:val="-6"/>
        </w:rPr>
        <w:t> </w:t>
      </w:r>
      <w:r>
        <w:rPr/>
        <w:t>a</w:t>
      </w:r>
      <w:r>
        <w:rPr>
          <w:spacing w:val="-8"/>
        </w:rPr>
        <w:t> </w:t>
      </w:r>
      <w:r>
        <w:rPr/>
        <w:t>tea;</w:t>
      </w:r>
      <w:r>
        <w:rPr>
          <w:spacing w:val="-5"/>
        </w:rPr>
        <w:t> </w:t>
      </w:r>
      <w:r>
        <w:rPr/>
        <w:t>the</w:t>
      </w:r>
      <w:r>
        <w:rPr>
          <w:spacing w:val="-8"/>
        </w:rPr>
        <w:t> </w:t>
      </w:r>
      <w:r>
        <w:rPr/>
        <w:t>hot</w:t>
      </w:r>
      <w:r>
        <w:rPr>
          <w:spacing w:val="-6"/>
        </w:rPr>
        <w:t> </w:t>
      </w:r>
      <w:r>
        <w:rPr/>
        <w:t>water</w:t>
      </w:r>
      <w:r>
        <w:rPr>
          <w:spacing w:val="-6"/>
        </w:rPr>
        <w:t> </w:t>
      </w:r>
      <w:r>
        <w:rPr/>
        <w:t>does</w:t>
      </w:r>
      <w:r>
        <w:rPr>
          <w:spacing w:val="-6"/>
        </w:rPr>
        <w:t> </w:t>
      </w:r>
      <w:r>
        <w:rPr/>
        <w:t>not</w:t>
      </w:r>
      <w:r>
        <w:rPr>
          <w:spacing w:val="-9"/>
        </w:rPr>
        <w:t> </w:t>
      </w:r>
      <w:r>
        <w:rPr/>
        <w:t>seem to disturb the effect of grapefruit seed extract. It is recommended to use</w:t>
      </w:r>
      <w:r>
        <w:rPr>
          <w:spacing w:val="-45"/>
        </w:rPr>
        <w:t> </w:t>
      </w:r>
      <w:r>
        <w:rPr/>
        <w:t>Stevia as a sweetener. However, since there is no evidence that this is also the case when boiling the seed, one should not do this and only prepare with hot</w:t>
      </w:r>
      <w:r>
        <w:rPr>
          <w:spacing w:val="-55"/>
        </w:rPr>
        <w:t> </w:t>
      </w:r>
      <w:r>
        <w:rPr/>
        <w:t>water.</w:t>
      </w:r>
    </w:p>
    <w:p>
      <w:pPr>
        <w:spacing w:after="0" w:line="276" w:lineRule="auto"/>
        <w:jc w:val="both"/>
        <w:sectPr>
          <w:pgSz w:w="14270" w:h="16850"/>
          <w:pgMar w:header="0" w:footer="1891" w:top="1600" w:bottom="2080" w:left="800" w:right="1280"/>
        </w:sectPr>
      </w:pPr>
    </w:p>
    <w:p>
      <w:pPr>
        <w:pStyle w:val="Heading1"/>
        <w:spacing w:before="164"/>
      </w:pPr>
      <w:r>
        <w:rPr/>
        <w:t>Can grapefruit seed extract also be used as a hip bath?</w:t>
      </w:r>
    </w:p>
    <w:p>
      <w:pPr>
        <w:pStyle w:val="BodyText"/>
        <w:spacing w:line="276" w:lineRule="auto" w:before="179"/>
        <w:ind w:left="477" w:right="135"/>
        <w:jc w:val="both"/>
      </w:pPr>
      <w:r>
        <w:rPr/>
        <w:t>Grapefruit seed extract has also proven as a hip bath remedy for diseases and infections</w:t>
      </w:r>
      <w:r>
        <w:rPr>
          <w:spacing w:val="-24"/>
        </w:rPr>
        <w:t> </w:t>
      </w:r>
      <w:r>
        <w:rPr/>
        <w:t>in</w:t>
      </w:r>
      <w:r>
        <w:rPr>
          <w:spacing w:val="-26"/>
        </w:rPr>
        <w:t> </w:t>
      </w:r>
      <w:r>
        <w:rPr/>
        <w:t>the</w:t>
      </w:r>
      <w:r>
        <w:rPr>
          <w:spacing w:val="-28"/>
        </w:rPr>
        <w:t> </w:t>
      </w:r>
      <w:r>
        <w:rPr/>
        <w:t>anus</w:t>
      </w:r>
      <w:r>
        <w:rPr>
          <w:spacing w:val="-21"/>
        </w:rPr>
        <w:t> </w:t>
      </w:r>
      <w:r>
        <w:rPr/>
        <w:t>or</w:t>
      </w:r>
      <w:r>
        <w:rPr>
          <w:spacing w:val="-25"/>
        </w:rPr>
        <w:t> </w:t>
      </w:r>
      <w:r>
        <w:rPr/>
        <w:t>in</w:t>
      </w:r>
      <w:r>
        <w:rPr>
          <w:spacing w:val="-26"/>
        </w:rPr>
        <w:t> </w:t>
      </w:r>
      <w:r>
        <w:rPr/>
        <w:t>the</w:t>
      </w:r>
      <w:r>
        <w:rPr>
          <w:spacing w:val="-25"/>
        </w:rPr>
        <w:t> </w:t>
      </w:r>
      <w:r>
        <w:rPr/>
        <w:t>genital</w:t>
      </w:r>
      <w:r>
        <w:rPr>
          <w:spacing w:val="-25"/>
        </w:rPr>
        <w:t> </w:t>
      </w:r>
      <w:r>
        <w:rPr/>
        <w:t>and</w:t>
      </w:r>
      <w:r>
        <w:rPr>
          <w:spacing w:val="-24"/>
        </w:rPr>
        <w:t> </w:t>
      </w:r>
      <w:r>
        <w:rPr/>
        <w:t>vaginal</w:t>
      </w:r>
      <w:r>
        <w:rPr>
          <w:spacing w:val="-27"/>
        </w:rPr>
        <w:t> </w:t>
      </w:r>
      <w:r>
        <w:rPr/>
        <w:t>area.</w:t>
      </w:r>
      <w:r>
        <w:rPr>
          <w:spacing w:val="-24"/>
        </w:rPr>
        <w:t> </w:t>
      </w:r>
      <w:r>
        <w:rPr/>
        <w:t>30-50</w:t>
      </w:r>
      <w:r>
        <w:rPr>
          <w:spacing w:val="-24"/>
        </w:rPr>
        <w:t> </w:t>
      </w:r>
      <w:r>
        <w:rPr/>
        <w:t>drops</w:t>
      </w:r>
      <w:r>
        <w:rPr>
          <w:spacing w:val="-23"/>
        </w:rPr>
        <w:t> </w:t>
      </w:r>
      <w:r>
        <w:rPr/>
        <w:t>of</w:t>
      </w:r>
      <w:r>
        <w:rPr>
          <w:spacing w:val="-26"/>
        </w:rPr>
        <w:t> </w:t>
      </w:r>
      <w:r>
        <w:rPr/>
        <w:t>grapefruit extract should be vigorously stirred in a seat pan for a</w:t>
      </w:r>
      <w:r>
        <w:rPr>
          <w:spacing w:val="-69"/>
        </w:rPr>
        <w:t> </w:t>
      </w:r>
      <w:r>
        <w:rPr/>
        <w:t>period of 10-20 minutes.</w:t>
      </w:r>
    </w:p>
    <w:p>
      <w:pPr>
        <w:pStyle w:val="Heading1"/>
        <w:spacing w:before="104"/>
      </w:pPr>
      <w:r>
        <w:rPr/>
        <w:t>Can the kidneys hurt after taking grapefruit seed?</w:t>
      </w:r>
    </w:p>
    <w:p>
      <w:pPr>
        <w:pStyle w:val="BodyText"/>
        <w:spacing w:line="276" w:lineRule="auto" w:before="297"/>
        <w:ind w:left="477" w:right="132"/>
        <w:jc w:val="both"/>
      </w:pPr>
      <w:r>
        <w:rPr/>
        <w:t>According to the authors of the book ‘Healing with Grapefruit Seed Extract’, kidney pain is rare and a sign of a strong detoxification of the body. In such a case, the kidneys are flooded with dissolved toxins, so they cannot detoxify</w:t>
      </w:r>
      <w:r>
        <w:rPr>
          <w:spacing w:val="-34"/>
        </w:rPr>
        <w:t> </w:t>
      </w:r>
      <w:r>
        <w:rPr/>
        <w:t>the body.</w:t>
      </w:r>
      <w:r>
        <w:rPr>
          <w:spacing w:val="-13"/>
        </w:rPr>
        <w:t> </w:t>
      </w:r>
      <w:r>
        <w:rPr/>
        <w:t>It</w:t>
      </w:r>
      <w:r>
        <w:rPr>
          <w:spacing w:val="-14"/>
        </w:rPr>
        <w:t> </w:t>
      </w:r>
      <w:r>
        <w:rPr/>
        <w:t>should</w:t>
      </w:r>
      <w:r>
        <w:rPr>
          <w:spacing w:val="-13"/>
        </w:rPr>
        <w:t> </w:t>
      </w:r>
      <w:r>
        <w:rPr/>
        <w:t>be</w:t>
      </w:r>
      <w:r>
        <w:rPr>
          <w:spacing w:val="-13"/>
        </w:rPr>
        <w:t> </w:t>
      </w:r>
      <w:r>
        <w:rPr/>
        <w:t>supported</w:t>
      </w:r>
      <w:r>
        <w:rPr>
          <w:spacing w:val="-13"/>
        </w:rPr>
        <w:t> </w:t>
      </w:r>
      <w:r>
        <w:rPr/>
        <w:t>as</w:t>
      </w:r>
      <w:r>
        <w:rPr>
          <w:spacing w:val="-12"/>
        </w:rPr>
        <w:t> </w:t>
      </w:r>
      <w:r>
        <w:rPr/>
        <w:t>much</w:t>
      </w:r>
      <w:r>
        <w:rPr>
          <w:spacing w:val="-13"/>
        </w:rPr>
        <w:t> </w:t>
      </w:r>
      <w:r>
        <w:rPr/>
        <w:t>as</w:t>
      </w:r>
      <w:r>
        <w:rPr>
          <w:spacing w:val="-13"/>
        </w:rPr>
        <w:t> </w:t>
      </w:r>
      <w:r>
        <w:rPr/>
        <w:t>possible</w:t>
      </w:r>
      <w:r>
        <w:rPr>
          <w:spacing w:val="-12"/>
        </w:rPr>
        <w:t> </w:t>
      </w:r>
      <w:r>
        <w:rPr/>
        <w:t>by</w:t>
      </w:r>
      <w:r>
        <w:rPr>
          <w:spacing w:val="-13"/>
        </w:rPr>
        <w:t> </w:t>
      </w:r>
      <w:r>
        <w:rPr/>
        <w:t>drinking</w:t>
      </w:r>
      <w:r>
        <w:rPr>
          <w:spacing w:val="-12"/>
        </w:rPr>
        <w:t> </w:t>
      </w:r>
      <w:r>
        <w:rPr/>
        <w:t>2-3</w:t>
      </w:r>
      <w:r>
        <w:rPr>
          <w:spacing w:val="-12"/>
        </w:rPr>
        <w:t> </w:t>
      </w:r>
      <w:r>
        <w:rPr/>
        <w:t>litres</w:t>
      </w:r>
      <w:r>
        <w:rPr>
          <w:spacing w:val="-12"/>
        </w:rPr>
        <w:t> </w:t>
      </w:r>
      <w:r>
        <w:rPr/>
        <w:t>of</w:t>
      </w:r>
      <w:r>
        <w:rPr>
          <w:spacing w:val="-13"/>
        </w:rPr>
        <w:t> </w:t>
      </w:r>
      <w:r>
        <w:rPr/>
        <w:t>water a</w:t>
      </w:r>
      <w:r>
        <w:rPr>
          <w:spacing w:val="-2"/>
        </w:rPr>
        <w:t> </w:t>
      </w:r>
      <w:r>
        <w:rPr/>
        <w:t>day.</w:t>
      </w:r>
    </w:p>
    <w:p>
      <w:pPr>
        <w:pStyle w:val="Heading1"/>
        <w:spacing w:before="225"/>
      </w:pPr>
      <w:r>
        <w:rPr/>
        <w:t>How long should grapefruit seed extract be used for?</w:t>
      </w:r>
    </w:p>
    <w:p>
      <w:pPr>
        <w:pStyle w:val="BodyText"/>
        <w:spacing w:line="276" w:lineRule="auto" w:before="297"/>
        <w:ind w:left="477" w:right="136"/>
        <w:jc w:val="both"/>
      </w:pPr>
      <w:r>
        <w:rPr/>
        <w:t>Basically, the duration depends on the symptoms; you should take grapefruit seed</w:t>
      </w:r>
      <w:r>
        <w:rPr>
          <w:spacing w:val="-7"/>
        </w:rPr>
        <w:t> </w:t>
      </w:r>
      <w:r>
        <w:rPr/>
        <w:t>extract</w:t>
      </w:r>
      <w:r>
        <w:rPr>
          <w:spacing w:val="-7"/>
        </w:rPr>
        <w:t> </w:t>
      </w:r>
      <w:r>
        <w:rPr/>
        <w:t>at</w:t>
      </w:r>
      <w:r>
        <w:rPr>
          <w:spacing w:val="-7"/>
        </w:rPr>
        <w:t> </w:t>
      </w:r>
      <w:r>
        <w:rPr/>
        <w:t>least</w:t>
      </w:r>
      <w:r>
        <w:rPr>
          <w:spacing w:val="-7"/>
        </w:rPr>
        <w:t> </w:t>
      </w:r>
      <w:r>
        <w:rPr/>
        <w:t>as</w:t>
      </w:r>
      <w:r>
        <w:rPr>
          <w:spacing w:val="-6"/>
        </w:rPr>
        <w:t> </w:t>
      </w:r>
      <w:r>
        <w:rPr/>
        <w:t>long</w:t>
      </w:r>
      <w:r>
        <w:rPr>
          <w:spacing w:val="-9"/>
        </w:rPr>
        <w:t> </w:t>
      </w:r>
      <w:r>
        <w:rPr/>
        <w:t>as</w:t>
      </w:r>
      <w:r>
        <w:rPr>
          <w:spacing w:val="-6"/>
        </w:rPr>
        <w:t> </w:t>
      </w:r>
      <w:r>
        <w:rPr/>
        <w:t>the</w:t>
      </w:r>
      <w:r>
        <w:rPr>
          <w:spacing w:val="-7"/>
        </w:rPr>
        <w:t> </w:t>
      </w:r>
      <w:r>
        <w:rPr/>
        <w:t>symptoms</w:t>
      </w:r>
      <w:r>
        <w:rPr>
          <w:spacing w:val="-7"/>
        </w:rPr>
        <w:t> </w:t>
      </w:r>
      <w:r>
        <w:rPr/>
        <w:t>persist,</w:t>
      </w:r>
      <w:r>
        <w:rPr>
          <w:spacing w:val="-6"/>
        </w:rPr>
        <w:t> </w:t>
      </w:r>
      <w:r>
        <w:rPr/>
        <w:t>and</w:t>
      </w:r>
      <w:r>
        <w:rPr>
          <w:spacing w:val="-6"/>
        </w:rPr>
        <w:t> </w:t>
      </w:r>
      <w:r>
        <w:rPr/>
        <w:t>in</w:t>
      </w:r>
      <w:r>
        <w:rPr>
          <w:spacing w:val="-9"/>
        </w:rPr>
        <w:t> </w:t>
      </w:r>
      <w:r>
        <w:rPr/>
        <w:t>the</w:t>
      </w:r>
      <w:r>
        <w:rPr>
          <w:spacing w:val="-5"/>
        </w:rPr>
        <w:t> </w:t>
      </w:r>
      <w:r>
        <w:rPr/>
        <w:t>case</w:t>
      </w:r>
      <w:r>
        <w:rPr>
          <w:spacing w:val="-7"/>
        </w:rPr>
        <w:t> </w:t>
      </w:r>
      <w:r>
        <w:rPr/>
        <w:t>of</w:t>
      </w:r>
      <w:r>
        <w:rPr>
          <w:spacing w:val="-6"/>
        </w:rPr>
        <w:t> </w:t>
      </w:r>
      <w:r>
        <w:rPr/>
        <w:t>an</w:t>
      </w:r>
      <w:r>
        <w:rPr>
          <w:spacing w:val="-9"/>
        </w:rPr>
        <w:t> </w:t>
      </w:r>
      <w:r>
        <w:rPr/>
        <w:t>acute infection two to three days beyond just to be</w:t>
      </w:r>
      <w:r>
        <w:rPr>
          <w:spacing w:val="3"/>
        </w:rPr>
        <w:t> </w:t>
      </w:r>
      <w:r>
        <w:rPr/>
        <w:t>sure.</w:t>
      </w:r>
    </w:p>
    <w:p>
      <w:pPr>
        <w:pStyle w:val="BodyText"/>
        <w:rPr>
          <w:sz w:val="42"/>
        </w:rPr>
      </w:pPr>
    </w:p>
    <w:p>
      <w:pPr>
        <w:pStyle w:val="BodyText"/>
        <w:rPr>
          <w:sz w:val="42"/>
        </w:rPr>
      </w:pPr>
    </w:p>
    <w:p>
      <w:pPr>
        <w:pStyle w:val="BodyText"/>
        <w:rPr>
          <w:sz w:val="42"/>
        </w:rPr>
      </w:pPr>
    </w:p>
    <w:p>
      <w:pPr>
        <w:pStyle w:val="Heading1"/>
        <w:spacing w:before="271"/>
        <w:jc w:val="both"/>
      </w:pPr>
      <w:r>
        <w:rPr/>
        <w:t>How long does it take for grapefruit seed extract to take effect?</w:t>
      </w:r>
    </w:p>
    <w:p>
      <w:pPr>
        <w:pStyle w:val="BodyText"/>
        <w:spacing w:line="276" w:lineRule="auto" w:before="300"/>
        <w:ind w:left="477" w:right="135"/>
        <w:jc w:val="both"/>
      </w:pPr>
      <w:r>
        <w:rPr/>
        <w:t>Depending on the condition, it may take several weeks to months until the de- sired success occurs, especially in cases of internal fungal diseases and long</w:t>
      </w:r>
      <w:r>
        <w:rPr>
          <w:spacing w:val="-61"/>
        </w:rPr>
        <w:t> </w:t>
      </w:r>
      <w:r>
        <w:rPr/>
        <w:t>and chronic illnesses.</w:t>
      </w:r>
    </w:p>
    <w:p>
      <w:pPr>
        <w:spacing w:after="0" w:line="276" w:lineRule="auto"/>
        <w:jc w:val="both"/>
        <w:sectPr>
          <w:pgSz w:w="14270" w:h="16850"/>
          <w:pgMar w:header="0" w:footer="1891" w:top="1600" w:bottom="2080" w:left="800" w:right="1280"/>
        </w:sectPr>
      </w:pPr>
    </w:p>
    <w:p>
      <w:pPr>
        <w:pStyle w:val="Heading1"/>
        <w:spacing w:before="164"/>
      </w:pPr>
      <w:r>
        <w:rPr/>
        <w:t>Can grapefruit seed extract also be used to disinfect objects?</w:t>
      </w:r>
    </w:p>
    <w:p>
      <w:pPr>
        <w:pStyle w:val="BodyText"/>
        <w:spacing w:line="276" w:lineRule="auto" w:before="299"/>
        <w:ind w:left="477" w:right="133"/>
        <w:jc w:val="both"/>
      </w:pPr>
      <w:r>
        <w:rPr/>
        <w:t>Absolutely yes. According to Dr. J.A. Botine from the University of São</w:t>
      </w:r>
      <w:r>
        <w:rPr>
          <w:spacing w:val="-54"/>
        </w:rPr>
        <w:t> </w:t>
      </w:r>
      <w:r>
        <w:rPr/>
        <w:t>Paulo, Brazil,</w:t>
      </w:r>
      <w:r>
        <w:rPr>
          <w:spacing w:val="-10"/>
        </w:rPr>
        <w:t> </w:t>
      </w:r>
      <w:r>
        <w:rPr/>
        <w:t>grapefruit</w:t>
      </w:r>
      <w:r>
        <w:rPr>
          <w:spacing w:val="-8"/>
        </w:rPr>
        <w:t> </w:t>
      </w:r>
      <w:r>
        <w:rPr/>
        <w:t>seed</w:t>
      </w:r>
      <w:r>
        <w:rPr>
          <w:spacing w:val="-10"/>
        </w:rPr>
        <w:t> </w:t>
      </w:r>
      <w:r>
        <w:rPr/>
        <w:t>extract</w:t>
      </w:r>
      <w:r>
        <w:rPr>
          <w:spacing w:val="-9"/>
        </w:rPr>
        <w:t> </w:t>
      </w:r>
      <w:r>
        <w:rPr/>
        <w:t>achieved</w:t>
      </w:r>
      <w:r>
        <w:rPr>
          <w:spacing w:val="-9"/>
        </w:rPr>
        <w:t> </w:t>
      </w:r>
      <w:r>
        <w:rPr/>
        <w:t>a</w:t>
      </w:r>
      <w:r>
        <w:rPr>
          <w:spacing w:val="-9"/>
        </w:rPr>
        <w:t> </w:t>
      </w:r>
      <w:r>
        <w:rPr/>
        <w:t>100</w:t>
      </w:r>
      <w:r>
        <w:rPr>
          <w:spacing w:val="-8"/>
        </w:rPr>
        <w:t> </w:t>
      </w:r>
      <w:r>
        <w:rPr/>
        <w:t>%</w:t>
      </w:r>
      <w:r>
        <w:rPr>
          <w:spacing w:val="-6"/>
        </w:rPr>
        <w:t> </w:t>
      </w:r>
      <w:r>
        <w:rPr/>
        <w:t>disinfecting</w:t>
      </w:r>
      <w:r>
        <w:rPr>
          <w:spacing w:val="-9"/>
        </w:rPr>
        <w:t> </w:t>
      </w:r>
      <w:r>
        <w:rPr/>
        <w:t>effect</w:t>
      </w:r>
      <w:r>
        <w:rPr>
          <w:spacing w:val="-8"/>
        </w:rPr>
        <w:t> </w:t>
      </w:r>
      <w:r>
        <w:rPr/>
        <w:t>compared</w:t>
      </w:r>
      <w:r>
        <w:rPr>
          <w:spacing w:val="-9"/>
        </w:rPr>
        <w:t> </w:t>
      </w:r>
      <w:r>
        <w:rPr/>
        <w:t>to the 98 % effectiveness of commercial agents and 72 % compared to pure alco- hol.</w:t>
      </w:r>
    </w:p>
    <w:p>
      <w:pPr>
        <w:pStyle w:val="Heading1"/>
        <w:spacing w:before="222"/>
      </w:pPr>
      <w:r>
        <w:rPr/>
        <w:t>What</w:t>
      </w:r>
      <w:r>
        <w:rPr>
          <w:spacing w:val="-55"/>
        </w:rPr>
        <w:t> </w:t>
      </w:r>
      <w:r>
        <w:rPr/>
        <w:t>is</w:t>
      </w:r>
      <w:r>
        <w:rPr>
          <w:spacing w:val="-55"/>
        </w:rPr>
        <w:t> </w:t>
      </w:r>
      <w:r>
        <w:rPr/>
        <w:t>the</w:t>
      </w:r>
      <w:r>
        <w:rPr>
          <w:spacing w:val="-54"/>
        </w:rPr>
        <w:t> </w:t>
      </w:r>
      <w:r>
        <w:rPr/>
        <w:t>source</w:t>
      </w:r>
      <w:r>
        <w:rPr>
          <w:spacing w:val="-55"/>
        </w:rPr>
        <w:t> </w:t>
      </w:r>
      <w:r>
        <w:rPr/>
        <w:t>of</w:t>
      </w:r>
      <w:r>
        <w:rPr>
          <w:spacing w:val="-54"/>
        </w:rPr>
        <w:t> </w:t>
      </w:r>
      <w:r>
        <w:rPr/>
        <w:t>the</w:t>
      </w:r>
      <w:r>
        <w:rPr>
          <w:spacing w:val="-54"/>
        </w:rPr>
        <w:t> </w:t>
      </w:r>
      <w:r>
        <w:rPr/>
        <w:t>glycerine</w:t>
      </w:r>
      <w:r>
        <w:rPr>
          <w:spacing w:val="-54"/>
        </w:rPr>
        <w:t> </w:t>
      </w:r>
      <w:r>
        <w:rPr/>
        <w:t>used</w:t>
      </w:r>
      <w:r>
        <w:rPr>
          <w:spacing w:val="-55"/>
        </w:rPr>
        <w:t> </w:t>
      </w:r>
      <w:r>
        <w:rPr/>
        <w:t>to</w:t>
      </w:r>
      <w:r>
        <w:rPr>
          <w:spacing w:val="-55"/>
        </w:rPr>
        <w:t> </w:t>
      </w:r>
      <w:r>
        <w:rPr/>
        <w:t>dilute</w:t>
      </w:r>
      <w:r>
        <w:rPr>
          <w:spacing w:val="-54"/>
        </w:rPr>
        <w:t> </w:t>
      </w:r>
      <w:r>
        <w:rPr/>
        <w:t>grapefruit</w:t>
      </w:r>
      <w:r>
        <w:rPr>
          <w:spacing w:val="-54"/>
        </w:rPr>
        <w:t> </w:t>
      </w:r>
      <w:r>
        <w:rPr/>
        <w:t>seed</w:t>
      </w:r>
      <w:r>
        <w:rPr>
          <w:spacing w:val="-54"/>
        </w:rPr>
        <w:t> </w:t>
      </w:r>
      <w:r>
        <w:rPr/>
        <w:t>extract?</w:t>
      </w:r>
    </w:p>
    <w:p>
      <w:pPr>
        <w:pStyle w:val="BodyText"/>
        <w:spacing w:line="276" w:lineRule="auto" w:before="300"/>
        <w:ind w:left="477" w:right="138"/>
        <w:jc w:val="both"/>
      </w:pPr>
      <w:r>
        <w:rPr/>
        <w:t>Glycerine</w:t>
      </w:r>
      <w:r>
        <w:rPr>
          <w:spacing w:val="-9"/>
        </w:rPr>
        <w:t> </w:t>
      </w:r>
      <w:r>
        <w:rPr/>
        <w:t>is</w:t>
      </w:r>
      <w:r>
        <w:rPr>
          <w:spacing w:val="-9"/>
        </w:rPr>
        <w:t> </w:t>
      </w:r>
      <w:r>
        <w:rPr/>
        <w:t>used</w:t>
      </w:r>
      <w:r>
        <w:rPr>
          <w:spacing w:val="-9"/>
        </w:rPr>
        <w:t> </w:t>
      </w:r>
      <w:r>
        <w:rPr/>
        <w:t>to</w:t>
      </w:r>
      <w:r>
        <w:rPr>
          <w:spacing w:val="-9"/>
        </w:rPr>
        <w:t> </w:t>
      </w:r>
      <w:r>
        <w:rPr/>
        <w:t>dilute</w:t>
      </w:r>
      <w:r>
        <w:rPr>
          <w:spacing w:val="-9"/>
        </w:rPr>
        <w:t> </w:t>
      </w:r>
      <w:r>
        <w:rPr/>
        <w:t>and</w:t>
      </w:r>
      <w:r>
        <w:rPr>
          <w:spacing w:val="-8"/>
        </w:rPr>
        <w:t> </w:t>
      </w:r>
      <w:r>
        <w:rPr/>
        <w:t>extract</w:t>
      </w:r>
      <w:r>
        <w:rPr>
          <w:spacing w:val="-9"/>
        </w:rPr>
        <w:t> </w:t>
      </w:r>
      <w:r>
        <w:rPr/>
        <w:t>grapefruit</w:t>
      </w:r>
      <w:r>
        <w:rPr>
          <w:spacing w:val="-8"/>
        </w:rPr>
        <w:t> </w:t>
      </w:r>
      <w:r>
        <w:rPr/>
        <w:t>seed</w:t>
      </w:r>
      <w:r>
        <w:rPr>
          <w:spacing w:val="-10"/>
        </w:rPr>
        <w:t> </w:t>
      </w:r>
      <w:r>
        <w:rPr/>
        <w:t>extract;</w:t>
      </w:r>
      <w:r>
        <w:rPr>
          <w:spacing w:val="-9"/>
        </w:rPr>
        <w:t> </w:t>
      </w:r>
      <w:r>
        <w:rPr/>
        <w:t>it</w:t>
      </w:r>
      <w:r>
        <w:rPr>
          <w:spacing w:val="-10"/>
        </w:rPr>
        <w:t> </w:t>
      </w:r>
      <w:r>
        <w:rPr/>
        <w:t>consists</w:t>
      </w:r>
      <w:r>
        <w:rPr>
          <w:spacing w:val="-9"/>
        </w:rPr>
        <w:t> </w:t>
      </w:r>
      <w:r>
        <w:rPr/>
        <w:t>of</w:t>
      </w:r>
      <w:r>
        <w:rPr>
          <w:spacing w:val="-8"/>
        </w:rPr>
        <w:t> </w:t>
      </w:r>
      <w:r>
        <w:rPr/>
        <w:t>syn- thetic or purely vegetable substances (mostly from coconut</w:t>
      </w:r>
      <w:r>
        <w:rPr>
          <w:spacing w:val="-4"/>
        </w:rPr>
        <w:t> </w:t>
      </w:r>
      <w:r>
        <w:rPr/>
        <w:t>fat).</w:t>
      </w:r>
    </w:p>
    <w:p>
      <w:pPr>
        <w:pStyle w:val="Heading1"/>
      </w:pPr>
      <w:r>
        <w:rPr/>
        <w:t>Does taking grapefruit seed extract cause side effects?</w:t>
      </w:r>
    </w:p>
    <w:p>
      <w:pPr>
        <w:pStyle w:val="BodyText"/>
        <w:spacing w:line="276" w:lineRule="auto" w:before="299"/>
        <w:ind w:left="477" w:right="132"/>
        <w:jc w:val="both"/>
      </w:pPr>
      <w:r>
        <w:rPr/>
        <w:t>Properly processed and applied, no significant side effects of grapefruit seed extract are known and a certain level of malaise, fatigue, flatulence, headache, tongue</w:t>
      </w:r>
      <w:r>
        <w:rPr>
          <w:spacing w:val="-8"/>
        </w:rPr>
        <w:t> </w:t>
      </w:r>
      <w:r>
        <w:rPr/>
        <w:t>discolouration</w:t>
      </w:r>
      <w:r>
        <w:rPr>
          <w:spacing w:val="-7"/>
        </w:rPr>
        <w:t> </w:t>
      </w:r>
      <w:r>
        <w:rPr/>
        <w:t>and</w:t>
      </w:r>
      <w:r>
        <w:rPr>
          <w:spacing w:val="-8"/>
        </w:rPr>
        <w:t> </w:t>
      </w:r>
      <w:r>
        <w:rPr/>
        <w:t>rashes</w:t>
      </w:r>
      <w:r>
        <w:rPr>
          <w:spacing w:val="-5"/>
        </w:rPr>
        <w:t> </w:t>
      </w:r>
      <w:r>
        <w:rPr/>
        <w:t>are</w:t>
      </w:r>
      <w:r>
        <w:rPr>
          <w:spacing w:val="-8"/>
        </w:rPr>
        <w:t> </w:t>
      </w:r>
      <w:r>
        <w:rPr/>
        <w:t>usually</w:t>
      </w:r>
      <w:r>
        <w:rPr>
          <w:spacing w:val="-8"/>
        </w:rPr>
        <w:t> </w:t>
      </w:r>
      <w:r>
        <w:rPr/>
        <w:t>signs</w:t>
      </w:r>
      <w:r>
        <w:rPr>
          <w:spacing w:val="-7"/>
        </w:rPr>
        <w:t> </w:t>
      </w:r>
      <w:r>
        <w:rPr/>
        <w:t>of</w:t>
      </w:r>
      <w:r>
        <w:rPr>
          <w:spacing w:val="-10"/>
        </w:rPr>
        <w:t> </w:t>
      </w:r>
      <w:r>
        <w:rPr/>
        <w:t>increased</w:t>
      </w:r>
      <w:r>
        <w:rPr>
          <w:spacing w:val="-9"/>
        </w:rPr>
        <w:t> </w:t>
      </w:r>
      <w:r>
        <w:rPr/>
        <w:t>pathogen</w:t>
      </w:r>
      <w:r>
        <w:rPr>
          <w:spacing w:val="-6"/>
        </w:rPr>
        <w:t> </w:t>
      </w:r>
      <w:r>
        <w:rPr/>
        <w:t>death.</w:t>
      </w:r>
    </w:p>
    <w:p>
      <w:pPr>
        <w:pStyle w:val="BodyText"/>
        <w:spacing w:line="276" w:lineRule="auto" w:before="239"/>
        <w:ind w:left="477" w:right="131"/>
        <w:jc w:val="both"/>
      </w:pPr>
      <w:r>
        <w:rPr/>
        <w:t>This</w:t>
      </w:r>
      <w:r>
        <w:rPr>
          <w:spacing w:val="-8"/>
        </w:rPr>
        <w:t> </w:t>
      </w:r>
      <w:r>
        <w:rPr/>
        <w:t>can</w:t>
      </w:r>
      <w:r>
        <w:rPr>
          <w:spacing w:val="-8"/>
        </w:rPr>
        <w:t> </w:t>
      </w:r>
      <w:r>
        <w:rPr/>
        <w:t>be</w:t>
      </w:r>
      <w:r>
        <w:rPr>
          <w:spacing w:val="-10"/>
        </w:rPr>
        <w:t> </w:t>
      </w:r>
      <w:r>
        <w:rPr/>
        <w:t>explained</w:t>
      </w:r>
      <w:r>
        <w:rPr>
          <w:spacing w:val="-9"/>
        </w:rPr>
        <w:t> </w:t>
      </w:r>
      <w:r>
        <w:rPr/>
        <w:t>by</w:t>
      </w:r>
      <w:r>
        <w:rPr>
          <w:spacing w:val="-8"/>
        </w:rPr>
        <w:t> </w:t>
      </w:r>
      <w:r>
        <w:rPr/>
        <w:t>the</w:t>
      </w:r>
      <w:r>
        <w:rPr>
          <w:spacing w:val="-8"/>
        </w:rPr>
        <w:t> </w:t>
      </w:r>
      <w:r>
        <w:rPr/>
        <w:t>fact</w:t>
      </w:r>
      <w:r>
        <w:rPr>
          <w:spacing w:val="-12"/>
        </w:rPr>
        <w:t> </w:t>
      </w:r>
      <w:r>
        <w:rPr/>
        <w:t>that</w:t>
      </w:r>
      <w:r>
        <w:rPr>
          <w:spacing w:val="-9"/>
        </w:rPr>
        <w:t> </w:t>
      </w:r>
      <w:r>
        <w:rPr/>
        <w:t>pathogens</w:t>
      </w:r>
      <w:r>
        <w:rPr>
          <w:spacing w:val="-12"/>
        </w:rPr>
        <w:t> </w:t>
      </w:r>
      <w:r>
        <w:rPr/>
        <w:t>often</w:t>
      </w:r>
      <w:r>
        <w:rPr>
          <w:spacing w:val="-8"/>
        </w:rPr>
        <w:t> </w:t>
      </w:r>
      <w:r>
        <w:rPr/>
        <w:t>release</w:t>
      </w:r>
      <w:r>
        <w:rPr>
          <w:spacing w:val="-8"/>
        </w:rPr>
        <w:t> </w:t>
      </w:r>
      <w:r>
        <w:rPr/>
        <w:t>toxins</w:t>
      </w:r>
      <w:r>
        <w:rPr>
          <w:spacing w:val="-9"/>
        </w:rPr>
        <w:t> </w:t>
      </w:r>
      <w:r>
        <w:rPr/>
        <w:t>when</w:t>
      </w:r>
      <w:r>
        <w:rPr>
          <w:spacing w:val="-7"/>
        </w:rPr>
        <w:t> </w:t>
      </w:r>
      <w:r>
        <w:rPr/>
        <w:t>they die;</w:t>
      </w:r>
      <w:r>
        <w:rPr>
          <w:spacing w:val="-17"/>
        </w:rPr>
        <w:t> </w:t>
      </w:r>
      <w:r>
        <w:rPr/>
        <w:t>this</w:t>
      </w:r>
      <w:r>
        <w:rPr>
          <w:spacing w:val="-15"/>
        </w:rPr>
        <w:t> </w:t>
      </w:r>
      <w:r>
        <w:rPr/>
        <w:t>process</w:t>
      </w:r>
      <w:r>
        <w:rPr>
          <w:spacing w:val="-20"/>
        </w:rPr>
        <w:t> </w:t>
      </w:r>
      <w:r>
        <w:rPr/>
        <w:t>is</w:t>
      </w:r>
      <w:r>
        <w:rPr>
          <w:spacing w:val="-17"/>
        </w:rPr>
        <w:t> </w:t>
      </w:r>
      <w:r>
        <w:rPr/>
        <w:t>referred</w:t>
      </w:r>
      <w:r>
        <w:rPr>
          <w:spacing w:val="-16"/>
        </w:rPr>
        <w:t> </w:t>
      </w:r>
      <w:r>
        <w:rPr/>
        <w:t>to</w:t>
      </w:r>
      <w:r>
        <w:rPr>
          <w:spacing w:val="-20"/>
        </w:rPr>
        <w:t> </w:t>
      </w:r>
      <w:r>
        <w:rPr/>
        <w:t>by</w:t>
      </w:r>
      <w:r>
        <w:rPr>
          <w:spacing w:val="-16"/>
        </w:rPr>
        <w:t> </w:t>
      </w:r>
      <w:r>
        <w:rPr/>
        <w:t>scientists</w:t>
      </w:r>
      <w:r>
        <w:rPr>
          <w:spacing w:val="-16"/>
        </w:rPr>
        <w:t> </w:t>
      </w:r>
      <w:r>
        <w:rPr/>
        <w:t>and</w:t>
      </w:r>
      <w:r>
        <w:rPr>
          <w:spacing w:val="-17"/>
        </w:rPr>
        <w:t> </w:t>
      </w:r>
      <w:r>
        <w:rPr/>
        <w:t>professionals</w:t>
      </w:r>
      <w:r>
        <w:rPr>
          <w:spacing w:val="-16"/>
        </w:rPr>
        <w:t> </w:t>
      </w:r>
      <w:r>
        <w:rPr/>
        <w:t>as</w:t>
      </w:r>
      <w:r>
        <w:rPr>
          <w:spacing w:val="-17"/>
        </w:rPr>
        <w:t> </w:t>
      </w:r>
      <w:r>
        <w:rPr/>
        <w:t>the</w:t>
      </w:r>
      <w:r>
        <w:rPr>
          <w:spacing w:val="-15"/>
        </w:rPr>
        <w:t> </w:t>
      </w:r>
      <w:r>
        <w:rPr/>
        <w:t>‘Herxheimer reaction’.</w:t>
      </w:r>
    </w:p>
    <w:p>
      <w:pPr>
        <w:pStyle w:val="BodyText"/>
        <w:spacing w:line="276" w:lineRule="auto" w:before="241"/>
        <w:ind w:left="477" w:right="136"/>
        <w:jc w:val="both"/>
        <w:rPr>
          <w:i/>
        </w:rPr>
      </w:pPr>
      <w:r>
        <w:rPr/>
        <w:t>The ability of grapefruit seed extract to attack and destroy only the harmful bacteria in our bodies ultimately leads to increased well-being and a strength- ened immune system. More about this in the section ‘Side effects of grapefruit seed extract’</w:t>
      </w:r>
      <w:r>
        <w:rPr>
          <w:i/>
        </w:rPr>
        <w:t>.</w:t>
      </w:r>
    </w:p>
    <w:p>
      <w:pPr>
        <w:spacing w:after="0" w:line="276" w:lineRule="auto"/>
        <w:jc w:val="both"/>
        <w:sectPr>
          <w:pgSz w:w="14270" w:h="16850"/>
          <w:pgMar w:header="0" w:footer="1891" w:top="1600" w:bottom="2080" w:left="800" w:right="1280"/>
        </w:sectPr>
      </w:pPr>
    </w:p>
    <w:p>
      <w:pPr>
        <w:spacing w:before="183"/>
        <w:ind w:left="477" w:right="0" w:firstLine="0"/>
        <w:jc w:val="left"/>
        <w:rPr>
          <w:rFonts w:ascii="Cambria"/>
          <w:b/>
          <w:sz w:val="28"/>
        </w:rPr>
      </w:pPr>
      <w:r>
        <w:rPr>
          <w:rFonts w:ascii="Cambria"/>
          <w:b/>
          <w:color w:val="365F91"/>
          <w:sz w:val="28"/>
        </w:rPr>
        <w:t>GREEN TEA</w:t>
      </w:r>
    </w:p>
    <w:p>
      <w:pPr>
        <w:pStyle w:val="BodyText"/>
        <w:spacing w:before="11"/>
        <w:rPr>
          <w:rFonts w:ascii="Cambria"/>
          <w:b/>
          <w:sz w:val="44"/>
        </w:rPr>
      </w:pPr>
    </w:p>
    <w:p>
      <w:pPr>
        <w:pStyle w:val="Heading2"/>
      </w:pPr>
      <w:r>
        <w:rPr/>
        <w:t>What is green tea?</w:t>
      </w:r>
    </w:p>
    <w:p>
      <w:pPr>
        <w:pStyle w:val="BodyText"/>
        <w:spacing w:line="276" w:lineRule="auto" w:before="305"/>
        <w:ind w:left="477"/>
      </w:pPr>
      <w:r>
        <w:rPr/>
        <w:t>Green tea is a king among the teas we know by name, a veritable elixir of our health and well-being.</w:t>
      </w:r>
    </w:p>
    <w:p>
      <w:pPr>
        <w:pStyle w:val="BodyText"/>
        <w:spacing w:before="240"/>
        <w:ind w:left="477"/>
      </w:pPr>
      <w:r>
        <w:rPr/>
        <w:t>But what is so special about green tea, what sets it apart?</w:t>
      </w:r>
    </w:p>
    <w:p>
      <w:pPr>
        <w:pStyle w:val="BodyText"/>
        <w:spacing w:line="276" w:lineRule="auto" w:before="305"/>
        <w:ind w:left="477" w:right="133"/>
        <w:jc w:val="both"/>
      </w:pPr>
      <w:r>
        <w:rPr/>
        <w:t>Not the taste or the aroma, but the fabulous health benefits and the healing powers which can even fight fatal diseases make green tea interesting for us Central Europeans.</w:t>
      </w:r>
    </w:p>
    <w:p>
      <w:pPr>
        <w:pStyle w:val="BodyText"/>
        <w:spacing w:line="276" w:lineRule="auto" w:before="239"/>
        <w:ind w:left="477" w:right="134"/>
        <w:jc w:val="both"/>
      </w:pPr>
      <w:r>
        <w:rPr/>
        <w:t>The health benefits of green tea are not based on myths, legends and conjec- tures, but green tea is probably the most intensively studied tea ever, and many studies attest to its beneficial effects, including completely curing diseases such as atherosclerosis, heart failure, high blood pressure (high blood pressure), colds, gout, fungus, cancers, multiple sclerosis, gastritis, all inflammatory pro- cesses, heartburn and many more.</w:t>
      </w:r>
    </w:p>
    <w:p>
      <w:pPr>
        <w:pStyle w:val="BodyText"/>
        <w:spacing w:line="276" w:lineRule="auto" w:before="240"/>
        <w:ind w:left="477"/>
      </w:pPr>
      <w:r>
        <w:rPr/>
        <w:t>And as if this were not enough, green tea does not just provide health benefits, but also promises a healthy prolongation of life and even visual beautification.</w:t>
      </w:r>
    </w:p>
    <w:p>
      <w:pPr>
        <w:pStyle w:val="BodyText"/>
        <w:spacing w:before="241"/>
        <w:ind w:left="477"/>
      </w:pPr>
      <w:r>
        <w:rPr/>
        <w:t>Beautiful, healthy and long-lived – is humanity’s dream fulfilled by green tea?</w:t>
      </w:r>
    </w:p>
    <w:p>
      <w:pPr>
        <w:pStyle w:val="BodyText"/>
        <w:spacing w:line="276" w:lineRule="auto" w:before="305"/>
        <w:ind w:left="477"/>
      </w:pPr>
      <w:r>
        <w:rPr/>
        <w:t>In ‘Green tea and diseases’, we study it intensively, and under ‘Green tea stud- ies’, we provide verified facts on the topic.</w:t>
      </w:r>
    </w:p>
    <w:p>
      <w:pPr>
        <w:spacing w:after="0" w:line="276" w:lineRule="auto"/>
        <w:sectPr>
          <w:pgSz w:w="14270" w:h="16850"/>
          <w:pgMar w:header="0" w:footer="1891" w:top="1600" w:bottom="2080" w:left="800" w:right="1280"/>
        </w:sectPr>
      </w:pPr>
    </w:p>
    <w:p>
      <w:pPr>
        <w:pStyle w:val="BodyText"/>
        <w:spacing w:line="276" w:lineRule="auto" w:before="181"/>
        <w:ind w:left="477" w:right="131"/>
        <w:jc w:val="both"/>
      </w:pPr>
      <w:r>
        <w:rPr/>
        <w:t>In 2017, Americans consumed over 84 billion servings of tea, or more than</w:t>
      </w:r>
      <w:r>
        <w:rPr>
          <w:spacing w:val="-40"/>
        </w:rPr>
        <w:t> </w:t>
      </w:r>
      <w:r>
        <w:rPr/>
        <w:t>3.8 billion gallons. About 86% of all tea consumed was black tea, 13% was </w:t>
      </w:r>
      <w:r>
        <w:rPr>
          <w:b/>
        </w:rPr>
        <w:t>green Tea</w:t>
      </w:r>
      <w:r>
        <w:rPr/>
        <w:t>.</w:t>
      </w:r>
      <w:r>
        <w:rPr>
          <w:position w:val="9"/>
          <w:sz w:val="25"/>
        </w:rPr>
        <w:t>370 </w:t>
      </w:r>
      <w:r>
        <w:rPr/>
        <w:t>We are confident and determined to help you switch to green tea with the Codex Humanus. Join us on an insightful journey into the secrets of green tea</w:t>
      </w:r>
      <w:r>
        <w:rPr>
          <w:spacing w:val="-7"/>
        </w:rPr>
        <w:t> </w:t>
      </w:r>
      <w:r>
        <w:rPr/>
        <w:t>with</w:t>
      </w:r>
      <w:r>
        <w:rPr>
          <w:spacing w:val="-5"/>
        </w:rPr>
        <w:t> </w:t>
      </w:r>
      <w:r>
        <w:rPr/>
        <w:t>all</w:t>
      </w:r>
      <w:r>
        <w:rPr>
          <w:spacing w:val="-7"/>
        </w:rPr>
        <w:t> </w:t>
      </w:r>
      <w:r>
        <w:rPr/>
        <w:t>its</w:t>
      </w:r>
      <w:r>
        <w:rPr>
          <w:spacing w:val="-7"/>
        </w:rPr>
        <w:t> </w:t>
      </w:r>
      <w:r>
        <w:rPr/>
        <w:t>benefits</w:t>
      </w:r>
      <w:r>
        <w:rPr>
          <w:spacing w:val="-6"/>
        </w:rPr>
        <w:t> </w:t>
      </w:r>
      <w:r>
        <w:rPr/>
        <w:t>that</w:t>
      </w:r>
      <w:r>
        <w:rPr>
          <w:spacing w:val="-6"/>
        </w:rPr>
        <w:t> </w:t>
      </w:r>
      <w:r>
        <w:rPr/>
        <w:t>can</w:t>
      </w:r>
      <w:r>
        <w:rPr>
          <w:spacing w:val="-6"/>
        </w:rPr>
        <w:t> </w:t>
      </w:r>
      <w:r>
        <w:rPr/>
        <w:t>make</w:t>
      </w:r>
      <w:r>
        <w:rPr>
          <w:spacing w:val="-6"/>
        </w:rPr>
        <w:t> </w:t>
      </w:r>
      <w:r>
        <w:rPr/>
        <w:t>your</w:t>
      </w:r>
      <w:r>
        <w:rPr>
          <w:spacing w:val="-6"/>
        </w:rPr>
        <w:t> </w:t>
      </w:r>
      <w:r>
        <w:rPr/>
        <w:t>life</w:t>
      </w:r>
      <w:r>
        <w:rPr>
          <w:spacing w:val="-8"/>
        </w:rPr>
        <w:t> </w:t>
      </w:r>
      <w:r>
        <w:rPr/>
        <w:t>longer,</w:t>
      </w:r>
      <w:r>
        <w:rPr>
          <w:spacing w:val="-5"/>
        </w:rPr>
        <w:t> </w:t>
      </w:r>
      <w:r>
        <w:rPr/>
        <w:t>more</w:t>
      </w:r>
      <w:r>
        <w:rPr>
          <w:spacing w:val="-6"/>
        </w:rPr>
        <w:t> </w:t>
      </w:r>
      <w:r>
        <w:rPr/>
        <w:t>energetic</w:t>
      </w:r>
      <w:r>
        <w:rPr>
          <w:spacing w:val="-7"/>
        </w:rPr>
        <w:t> </w:t>
      </w:r>
      <w:r>
        <w:rPr/>
        <w:t>and</w:t>
      </w:r>
      <w:r>
        <w:rPr>
          <w:spacing w:val="-6"/>
        </w:rPr>
        <w:t> </w:t>
      </w:r>
      <w:r>
        <w:rPr/>
        <w:t>more worth living…</w:t>
      </w:r>
    </w:p>
    <w:p>
      <w:pPr>
        <w:pStyle w:val="BodyText"/>
        <w:rPr>
          <w:sz w:val="42"/>
        </w:rPr>
      </w:pPr>
    </w:p>
    <w:p>
      <w:pPr>
        <w:pStyle w:val="BodyText"/>
        <w:spacing w:before="10"/>
        <w:rPr>
          <w:sz w:val="42"/>
        </w:rPr>
      </w:pPr>
    </w:p>
    <w:p>
      <w:pPr>
        <w:pStyle w:val="Heading1"/>
        <w:spacing w:before="1"/>
      </w:pPr>
      <w:r>
        <w:rPr/>
        <w:t>Green tea vs. black tea</w:t>
      </w:r>
    </w:p>
    <w:p>
      <w:pPr>
        <w:pStyle w:val="BodyText"/>
        <w:spacing w:line="276" w:lineRule="auto" w:before="299"/>
        <w:ind w:left="477" w:right="135"/>
        <w:jc w:val="both"/>
      </w:pPr>
      <w:r>
        <w:rPr/>
        <w:t>You may be surprised to hear that a significant difference between the produc- tion of green tea and black tea is due to the fact that you can basically make both teas from one and the same tea leaf. It is known that tea was originally green and was used thousands of years ago for healing purposes in this form. According</w:t>
      </w:r>
      <w:r>
        <w:rPr>
          <w:spacing w:val="-11"/>
        </w:rPr>
        <w:t> </w:t>
      </w:r>
      <w:r>
        <w:rPr/>
        <w:t>to</w:t>
      </w:r>
      <w:r>
        <w:rPr>
          <w:spacing w:val="-11"/>
        </w:rPr>
        <w:t> </w:t>
      </w:r>
      <w:r>
        <w:rPr/>
        <w:t>legend,</w:t>
      </w:r>
      <w:r>
        <w:rPr>
          <w:spacing w:val="-10"/>
        </w:rPr>
        <w:t> </w:t>
      </w:r>
      <w:r>
        <w:rPr/>
        <w:t>green</w:t>
      </w:r>
      <w:r>
        <w:rPr>
          <w:spacing w:val="-11"/>
        </w:rPr>
        <w:t> </w:t>
      </w:r>
      <w:r>
        <w:rPr/>
        <w:t>tea</w:t>
      </w:r>
      <w:r>
        <w:rPr>
          <w:spacing w:val="-12"/>
        </w:rPr>
        <w:t> </w:t>
      </w:r>
      <w:r>
        <w:rPr/>
        <w:t>was</w:t>
      </w:r>
      <w:r>
        <w:rPr>
          <w:spacing w:val="-11"/>
        </w:rPr>
        <w:t> </w:t>
      </w:r>
      <w:r>
        <w:rPr/>
        <w:t>first</w:t>
      </w:r>
      <w:r>
        <w:rPr>
          <w:spacing w:val="-12"/>
        </w:rPr>
        <w:t> </w:t>
      </w:r>
      <w:r>
        <w:rPr/>
        <w:t>drunk</w:t>
      </w:r>
      <w:r>
        <w:rPr>
          <w:spacing w:val="-11"/>
        </w:rPr>
        <w:t> </w:t>
      </w:r>
      <w:r>
        <w:rPr/>
        <w:t>as</w:t>
      </w:r>
      <w:r>
        <w:rPr>
          <w:spacing w:val="-15"/>
        </w:rPr>
        <w:t> </w:t>
      </w:r>
      <w:r>
        <w:rPr/>
        <w:t>a</w:t>
      </w:r>
      <w:r>
        <w:rPr>
          <w:spacing w:val="-13"/>
        </w:rPr>
        <w:t> </w:t>
      </w:r>
      <w:r>
        <w:rPr/>
        <w:t>beverage</w:t>
      </w:r>
      <w:r>
        <w:rPr>
          <w:spacing w:val="-10"/>
        </w:rPr>
        <w:t> </w:t>
      </w:r>
      <w:r>
        <w:rPr/>
        <w:t>in</w:t>
      </w:r>
      <w:r>
        <w:rPr>
          <w:spacing w:val="-14"/>
        </w:rPr>
        <w:t> </w:t>
      </w:r>
      <w:r>
        <w:rPr/>
        <w:t>around</w:t>
      </w:r>
      <w:r>
        <w:rPr>
          <w:spacing w:val="-12"/>
        </w:rPr>
        <w:t> </w:t>
      </w:r>
      <w:r>
        <w:rPr/>
        <w:t>2700</w:t>
      </w:r>
      <w:r>
        <w:rPr>
          <w:spacing w:val="-12"/>
        </w:rPr>
        <w:t> </w:t>
      </w:r>
      <w:r>
        <w:rPr/>
        <w:t>BC when the Chinese Emperor Shen Nong boiled water in a pot and accidentally dropped some of the tea leaves into it. The emperor tasted this new brew, and from then on it was his favourite</w:t>
      </w:r>
      <w:r>
        <w:rPr>
          <w:spacing w:val="-1"/>
        </w:rPr>
        <w:t> </w:t>
      </w:r>
      <w:r>
        <w:rPr/>
        <w:t>drink.</w:t>
      </w:r>
    </w:p>
    <w:p>
      <w:pPr>
        <w:pStyle w:val="BodyText"/>
        <w:spacing w:line="276" w:lineRule="auto" w:before="241"/>
        <w:ind w:left="477" w:right="137"/>
        <w:jc w:val="both"/>
      </w:pPr>
      <w:r>
        <w:rPr/>
        <w:t>The difference is therefore based in the production: in the case of green tea, fermentation</w:t>
      </w:r>
      <w:r>
        <w:rPr>
          <w:spacing w:val="-13"/>
        </w:rPr>
        <w:t> </w:t>
      </w:r>
      <w:r>
        <w:rPr/>
        <w:t>(i.e.</w:t>
      </w:r>
      <w:r>
        <w:rPr>
          <w:spacing w:val="-12"/>
        </w:rPr>
        <w:t> </w:t>
      </w:r>
      <w:r>
        <w:rPr/>
        <w:t>oxidation)</w:t>
      </w:r>
      <w:r>
        <w:rPr>
          <w:spacing w:val="-13"/>
        </w:rPr>
        <w:t> </w:t>
      </w:r>
      <w:r>
        <w:rPr/>
        <w:t>is</w:t>
      </w:r>
      <w:r>
        <w:rPr>
          <w:spacing w:val="-13"/>
        </w:rPr>
        <w:t> </w:t>
      </w:r>
      <w:r>
        <w:rPr/>
        <w:t>prevented,</w:t>
      </w:r>
      <w:r>
        <w:rPr>
          <w:spacing w:val="-12"/>
        </w:rPr>
        <w:t> </w:t>
      </w:r>
      <w:r>
        <w:rPr/>
        <w:t>while</w:t>
      </w:r>
      <w:r>
        <w:rPr>
          <w:spacing w:val="-14"/>
        </w:rPr>
        <w:t> </w:t>
      </w:r>
      <w:r>
        <w:rPr/>
        <w:t>this</w:t>
      </w:r>
      <w:r>
        <w:rPr>
          <w:spacing w:val="-12"/>
        </w:rPr>
        <w:t> </w:t>
      </w:r>
      <w:r>
        <w:rPr/>
        <w:t>is</w:t>
      </w:r>
      <w:r>
        <w:rPr>
          <w:spacing w:val="-13"/>
        </w:rPr>
        <w:t> </w:t>
      </w:r>
      <w:r>
        <w:rPr/>
        <w:t>deliberately</w:t>
      </w:r>
      <w:r>
        <w:rPr>
          <w:spacing w:val="-14"/>
        </w:rPr>
        <w:t> </w:t>
      </w:r>
      <w:r>
        <w:rPr/>
        <w:t>incorporated</w:t>
      </w:r>
    </w:p>
    <w:p>
      <w:pPr>
        <w:pStyle w:val="BodyText"/>
        <w:rPr>
          <w:sz w:val="20"/>
        </w:rPr>
      </w:pPr>
    </w:p>
    <w:p>
      <w:pPr>
        <w:pStyle w:val="BodyText"/>
        <w:spacing w:before="10"/>
        <w:rPr>
          <w:sz w:val="15"/>
        </w:rPr>
      </w:pPr>
      <w:r>
        <w:rPr/>
        <w:pict>
          <v:line style="position:absolute;mso-position-horizontal-relative:page;mso-position-vertical-relative:paragraph;z-index:4424;mso-wrap-distance-left:0;mso-wrap-distance-right:0" from="63.863998pt,11.290015pt" to="207.883998pt,11.29001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370 </w:t>
      </w:r>
      <w:hyperlink r:id="rId145">
        <w:r>
          <w:rPr>
            <w:sz w:val="20"/>
          </w:rPr>
          <w:t>http://www.teausa.com/14655/tea-fact-sheet</w:t>
        </w:r>
      </w:hyperlink>
    </w:p>
    <w:p>
      <w:pPr>
        <w:spacing w:after="0"/>
        <w:jc w:val="left"/>
        <w:rPr>
          <w:sz w:val="20"/>
        </w:rPr>
        <w:sectPr>
          <w:pgSz w:w="14270" w:h="16850"/>
          <w:pgMar w:header="0" w:footer="1891" w:top="1600" w:bottom="2080" w:left="800" w:right="1280"/>
        </w:sectPr>
      </w:pPr>
    </w:p>
    <w:p>
      <w:pPr>
        <w:pStyle w:val="BodyText"/>
        <w:spacing w:before="181"/>
        <w:ind w:left="477"/>
      </w:pPr>
      <w:r>
        <w:rPr/>
        <w:t>in black tea.</w:t>
      </w:r>
    </w:p>
    <w:p>
      <w:pPr>
        <w:pStyle w:val="BodyText"/>
        <w:spacing w:line="276" w:lineRule="auto" w:before="305"/>
        <w:ind w:left="477" w:right="132"/>
        <w:jc w:val="both"/>
      </w:pPr>
      <w:r>
        <w:rPr/>
        <w:t>In addition to the differences in taste (black tea tastes less bitter) and in</w:t>
      </w:r>
      <w:r>
        <w:rPr>
          <w:spacing w:val="-48"/>
        </w:rPr>
        <w:t> </w:t>
      </w:r>
      <w:r>
        <w:rPr/>
        <w:t>colour, certain tannins and thus, unfortunately, important health benefits of the tea</w:t>
      </w:r>
      <w:r>
        <w:rPr>
          <w:spacing w:val="-61"/>
        </w:rPr>
        <w:t> </w:t>
      </w:r>
      <w:r>
        <w:rPr/>
        <w:t>are destroyed during fermentation and the production of black</w:t>
      </w:r>
      <w:r>
        <w:rPr>
          <w:spacing w:val="-3"/>
        </w:rPr>
        <w:t> </w:t>
      </w:r>
      <w:r>
        <w:rPr/>
        <w:t>tea.</w:t>
      </w:r>
    </w:p>
    <w:p>
      <w:pPr>
        <w:pStyle w:val="BodyText"/>
        <w:spacing w:line="276" w:lineRule="auto" w:before="241"/>
        <w:ind w:left="477" w:right="134"/>
        <w:jc w:val="both"/>
      </w:pPr>
      <w:r>
        <w:rPr/>
        <w:t>In</w:t>
      </w:r>
      <w:r>
        <w:rPr>
          <w:spacing w:val="-5"/>
        </w:rPr>
        <w:t> </w:t>
      </w:r>
      <w:r>
        <w:rPr/>
        <w:t>contrast</w:t>
      </w:r>
      <w:r>
        <w:rPr>
          <w:spacing w:val="-7"/>
        </w:rPr>
        <w:t> </w:t>
      </w:r>
      <w:r>
        <w:rPr/>
        <w:t>to</w:t>
      </w:r>
      <w:r>
        <w:rPr>
          <w:spacing w:val="-7"/>
        </w:rPr>
        <w:t> </w:t>
      </w:r>
      <w:r>
        <w:rPr/>
        <w:t>black</w:t>
      </w:r>
      <w:r>
        <w:rPr>
          <w:spacing w:val="-5"/>
        </w:rPr>
        <w:t> </w:t>
      </w:r>
      <w:r>
        <w:rPr/>
        <w:t>tea,</w:t>
      </w:r>
      <w:r>
        <w:rPr>
          <w:spacing w:val="-4"/>
        </w:rPr>
        <w:t> </w:t>
      </w:r>
      <w:r>
        <w:rPr/>
        <w:t>green</w:t>
      </w:r>
      <w:r>
        <w:rPr>
          <w:spacing w:val="-5"/>
        </w:rPr>
        <w:t> </w:t>
      </w:r>
      <w:r>
        <w:rPr/>
        <w:t>tea</w:t>
      </w:r>
      <w:r>
        <w:rPr>
          <w:spacing w:val="-5"/>
        </w:rPr>
        <w:t> </w:t>
      </w:r>
      <w:r>
        <w:rPr/>
        <w:t>is</w:t>
      </w:r>
      <w:r>
        <w:rPr>
          <w:spacing w:val="-4"/>
        </w:rPr>
        <w:t> </w:t>
      </w:r>
      <w:r>
        <w:rPr/>
        <w:t>not</w:t>
      </w:r>
      <w:r>
        <w:rPr>
          <w:spacing w:val="-5"/>
        </w:rPr>
        <w:t> </w:t>
      </w:r>
      <w:r>
        <w:rPr/>
        <w:t>fermented;</w:t>
      </w:r>
      <w:r>
        <w:rPr>
          <w:spacing w:val="-4"/>
        </w:rPr>
        <w:t> </w:t>
      </w:r>
      <w:r>
        <w:rPr/>
        <w:t>it</w:t>
      </w:r>
      <w:r>
        <w:rPr>
          <w:spacing w:val="-8"/>
        </w:rPr>
        <w:t> </w:t>
      </w:r>
      <w:r>
        <w:rPr/>
        <w:t>retains</w:t>
      </w:r>
      <w:r>
        <w:rPr>
          <w:spacing w:val="-3"/>
        </w:rPr>
        <w:t> </w:t>
      </w:r>
      <w:r>
        <w:rPr/>
        <w:t>its</w:t>
      </w:r>
      <w:r>
        <w:rPr>
          <w:spacing w:val="-9"/>
        </w:rPr>
        <w:t> </w:t>
      </w:r>
      <w:r>
        <w:rPr/>
        <w:t>natural,</w:t>
      </w:r>
      <w:r>
        <w:rPr>
          <w:spacing w:val="-5"/>
        </w:rPr>
        <w:t> </w:t>
      </w:r>
      <w:r>
        <w:rPr/>
        <w:t>slightly bitter aftertaste, its green colour and its numerous</w:t>
      </w:r>
      <w:r>
        <w:rPr>
          <w:spacing w:val="-7"/>
        </w:rPr>
        <w:t> </w:t>
      </w:r>
      <w:r>
        <w:rPr/>
        <w:t>characteristics:</w:t>
      </w:r>
    </w:p>
    <w:p>
      <w:pPr>
        <w:pStyle w:val="ListParagraph"/>
        <w:numPr>
          <w:ilvl w:val="0"/>
          <w:numId w:val="36"/>
        </w:numPr>
        <w:tabs>
          <w:tab w:pos="1197" w:val="left" w:leader="none"/>
          <w:tab w:pos="1198" w:val="left" w:leader="none"/>
        </w:tabs>
        <w:spacing w:line="273" w:lineRule="auto" w:before="241" w:after="0"/>
        <w:ind w:left="1197" w:right="135" w:hanging="360"/>
        <w:jc w:val="left"/>
        <w:rPr>
          <w:sz w:val="38"/>
        </w:rPr>
      </w:pPr>
      <w:r>
        <w:rPr>
          <w:sz w:val="38"/>
        </w:rPr>
        <w:t>green</w:t>
      </w:r>
      <w:r>
        <w:rPr>
          <w:spacing w:val="-16"/>
          <w:sz w:val="38"/>
        </w:rPr>
        <w:t> </w:t>
      </w:r>
      <w:r>
        <w:rPr>
          <w:sz w:val="38"/>
        </w:rPr>
        <w:t>tea</w:t>
      </w:r>
      <w:r>
        <w:rPr>
          <w:spacing w:val="-17"/>
          <w:sz w:val="38"/>
        </w:rPr>
        <w:t> </w:t>
      </w:r>
      <w:r>
        <w:rPr>
          <w:sz w:val="38"/>
        </w:rPr>
        <w:t>has</w:t>
      </w:r>
      <w:r>
        <w:rPr>
          <w:spacing w:val="-18"/>
          <w:sz w:val="38"/>
        </w:rPr>
        <w:t> </w:t>
      </w:r>
      <w:r>
        <w:rPr>
          <w:sz w:val="38"/>
        </w:rPr>
        <w:t>many</w:t>
      </w:r>
      <w:r>
        <w:rPr>
          <w:spacing w:val="-16"/>
          <w:sz w:val="38"/>
        </w:rPr>
        <w:t> </w:t>
      </w:r>
      <w:r>
        <w:rPr>
          <w:sz w:val="38"/>
        </w:rPr>
        <w:t>more</w:t>
      </w:r>
      <w:r>
        <w:rPr>
          <w:spacing w:val="-17"/>
          <w:sz w:val="38"/>
        </w:rPr>
        <w:t> </w:t>
      </w:r>
      <w:r>
        <w:rPr>
          <w:sz w:val="38"/>
        </w:rPr>
        <w:t>health</w:t>
      </w:r>
      <w:r>
        <w:rPr>
          <w:spacing w:val="-19"/>
          <w:sz w:val="38"/>
        </w:rPr>
        <w:t> </w:t>
      </w:r>
      <w:r>
        <w:rPr>
          <w:sz w:val="38"/>
        </w:rPr>
        <w:t>benefits</w:t>
      </w:r>
      <w:r>
        <w:rPr>
          <w:spacing w:val="-17"/>
          <w:sz w:val="38"/>
        </w:rPr>
        <w:t> </w:t>
      </w:r>
      <w:r>
        <w:rPr>
          <w:sz w:val="38"/>
        </w:rPr>
        <w:t>than</w:t>
      </w:r>
      <w:r>
        <w:rPr>
          <w:spacing w:val="-16"/>
          <w:sz w:val="38"/>
        </w:rPr>
        <w:t> </w:t>
      </w:r>
      <w:r>
        <w:rPr>
          <w:sz w:val="38"/>
        </w:rPr>
        <w:t>black</w:t>
      </w:r>
      <w:r>
        <w:rPr>
          <w:spacing w:val="-17"/>
          <w:sz w:val="38"/>
        </w:rPr>
        <w:t> </w:t>
      </w:r>
      <w:r>
        <w:rPr>
          <w:sz w:val="38"/>
        </w:rPr>
        <w:t>tea</w:t>
      </w:r>
      <w:r>
        <w:rPr>
          <w:spacing w:val="-16"/>
          <w:sz w:val="38"/>
        </w:rPr>
        <w:t> </w:t>
      </w:r>
      <w:r>
        <w:rPr>
          <w:sz w:val="38"/>
        </w:rPr>
        <w:t>because</w:t>
      </w:r>
      <w:r>
        <w:rPr>
          <w:spacing w:val="-17"/>
          <w:sz w:val="38"/>
        </w:rPr>
        <w:t> </w:t>
      </w:r>
      <w:r>
        <w:rPr>
          <w:sz w:val="38"/>
        </w:rPr>
        <w:t>the</w:t>
      </w:r>
      <w:r>
        <w:rPr>
          <w:spacing w:val="-16"/>
          <w:sz w:val="38"/>
        </w:rPr>
        <w:t> </w:t>
      </w:r>
      <w:r>
        <w:rPr>
          <w:sz w:val="38"/>
        </w:rPr>
        <w:t>tannins are intact (see section ‘Green tea and</w:t>
      </w:r>
      <w:r>
        <w:rPr>
          <w:spacing w:val="4"/>
          <w:sz w:val="38"/>
        </w:rPr>
        <w:t> </w:t>
      </w:r>
      <w:r>
        <w:rPr>
          <w:sz w:val="38"/>
        </w:rPr>
        <w:t>diseases’).</w:t>
      </w:r>
    </w:p>
    <w:p>
      <w:pPr>
        <w:pStyle w:val="ListParagraph"/>
        <w:numPr>
          <w:ilvl w:val="0"/>
          <w:numId w:val="36"/>
        </w:numPr>
        <w:tabs>
          <w:tab w:pos="1197" w:val="left" w:leader="none"/>
          <w:tab w:pos="1198" w:val="left" w:leader="none"/>
        </w:tabs>
        <w:spacing w:line="273" w:lineRule="auto" w:before="127" w:after="0"/>
        <w:ind w:left="1197" w:right="138" w:hanging="360"/>
        <w:jc w:val="left"/>
        <w:rPr>
          <w:sz w:val="38"/>
        </w:rPr>
      </w:pPr>
      <w:r>
        <w:rPr>
          <w:sz w:val="38"/>
        </w:rPr>
        <w:t>the vitamin content is much higher than for black tea; this is due to the lack of fermentation, as the fermentation is a true vitamin</w:t>
      </w:r>
      <w:r>
        <w:rPr>
          <w:spacing w:val="-11"/>
          <w:sz w:val="38"/>
        </w:rPr>
        <w:t> </w:t>
      </w:r>
      <w:r>
        <w:rPr>
          <w:sz w:val="38"/>
        </w:rPr>
        <w:t>killer.</w:t>
      </w:r>
    </w:p>
    <w:p>
      <w:pPr>
        <w:spacing w:before="245"/>
        <w:ind w:left="477" w:right="0" w:firstLine="0"/>
        <w:jc w:val="left"/>
        <w:rPr>
          <w:i/>
          <w:sz w:val="38"/>
        </w:rPr>
      </w:pPr>
      <w:r>
        <w:rPr>
          <w:i/>
          <w:sz w:val="38"/>
        </w:rPr>
        <w:t>Green tea: names for 1000 varieties</w:t>
      </w:r>
    </w:p>
    <w:p>
      <w:pPr>
        <w:pStyle w:val="BodyText"/>
        <w:spacing w:line="276" w:lineRule="auto" w:before="305"/>
        <w:ind w:left="477" w:right="131"/>
        <w:jc w:val="both"/>
      </w:pPr>
      <w:r>
        <w:rPr/>
        <w:t>To</w:t>
      </w:r>
      <w:r>
        <w:rPr>
          <w:spacing w:val="-16"/>
        </w:rPr>
        <w:t> </w:t>
      </w:r>
      <w:r>
        <w:rPr/>
        <w:t>make</w:t>
      </w:r>
      <w:r>
        <w:rPr>
          <w:spacing w:val="-15"/>
        </w:rPr>
        <w:t> </w:t>
      </w:r>
      <w:r>
        <w:rPr/>
        <w:t>it</w:t>
      </w:r>
      <w:r>
        <w:rPr>
          <w:spacing w:val="-17"/>
        </w:rPr>
        <w:t> </w:t>
      </w:r>
      <w:r>
        <w:rPr/>
        <w:t>short</w:t>
      </w:r>
      <w:r>
        <w:rPr>
          <w:spacing w:val="-16"/>
        </w:rPr>
        <w:t> </w:t>
      </w:r>
      <w:r>
        <w:rPr/>
        <w:t>and</w:t>
      </w:r>
      <w:r>
        <w:rPr>
          <w:spacing w:val="-15"/>
        </w:rPr>
        <w:t> </w:t>
      </w:r>
      <w:r>
        <w:rPr/>
        <w:t>painless:</w:t>
      </w:r>
      <w:r>
        <w:rPr>
          <w:spacing w:val="-15"/>
        </w:rPr>
        <w:t> </w:t>
      </w:r>
      <w:r>
        <w:rPr/>
        <w:t>There</w:t>
      </w:r>
      <w:r>
        <w:rPr>
          <w:spacing w:val="-15"/>
        </w:rPr>
        <w:t> </w:t>
      </w:r>
      <w:r>
        <w:rPr/>
        <w:t>is</w:t>
      </w:r>
      <w:r>
        <w:rPr>
          <w:spacing w:val="-16"/>
        </w:rPr>
        <w:t> </w:t>
      </w:r>
      <w:r>
        <w:rPr/>
        <w:t>NO</w:t>
      </w:r>
      <w:r>
        <w:rPr>
          <w:spacing w:val="-16"/>
        </w:rPr>
        <w:t> </w:t>
      </w:r>
      <w:r>
        <w:rPr/>
        <w:t>ONE</w:t>
      </w:r>
      <w:r>
        <w:rPr>
          <w:spacing w:val="-14"/>
        </w:rPr>
        <w:t> </w:t>
      </w:r>
      <w:r>
        <w:rPr/>
        <w:t>green</w:t>
      </w:r>
      <w:r>
        <w:rPr>
          <w:spacing w:val="-15"/>
        </w:rPr>
        <w:t> </w:t>
      </w:r>
      <w:r>
        <w:rPr/>
        <w:t>tea,</w:t>
      </w:r>
      <w:r>
        <w:rPr>
          <w:spacing w:val="-15"/>
        </w:rPr>
        <w:t> </w:t>
      </w:r>
      <w:r>
        <w:rPr/>
        <w:t>but</w:t>
      </w:r>
      <w:r>
        <w:rPr>
          <w:spacing w:val="-17"/>
        </w:rPr>
        <w:t> </w:t>
      </w:r>
      <w:r>
        <w:rPr/>
        <w:t>many</w:t>
      </w:r>
      <w:r>
        <w:rPr>
          <w:spacing w:val="-15"/>
        </w:rPr>
        <w:t> </w:t>
      </w:r>
      <w:r>
        <w:rPr/>
        <w:t>different, healthy teas that are not deprived of their health benefits due to a very</w:t>
      </w:r>
      <w:r>
        <w:rPr>
          <w:spacing w:val="-65"/>
        </w:rPr>
        <w:t> </w:t>
      </w:r>
      <w:r>
        <w:rPr/>
        <w:t>specific, gentle manufacturing process (see ‘Green tea production</w:t>
      </w:r>
      <w:r>
        <w:rPr>
          <w:i/>
        </w:rPr>
        <w:t>’). </w:t>
      </w:r>
      <w:r>
        <w:rPr/>
        <w:t>The natural green leaf</w:t>
      </w:r>
      <w:r>
        <w:rPr>
          <w:spacing w:val="-8"/>
        </w:rPr>
        <w:t> </w:t>
      </w:r>
      <w:r>
        <w:rPr/>
        <w:t>colour,</w:t>
      </w:r>
      <w:r>
        <w:rPr>
          <w:spacing w:val="-6"/>
        </w:rPr>
        <w:t> </w:t>
      </w:r>
      <w:r>
        <w:rPr/>
        <w:t>which</w:t>
      </w:r>
      <w:r>
        <w:rPr>
          <w:spacing w:val="-6"/>
        </w:rPr>
        <w:t> </w:t>
      </w:r>
      <w:r>
        <w:rPr/>
        <w:t>is</w:t>
      </w:r>
      <w:r>
        <w:rPr>
          <w:spacing w:val="-8"/>
        </w:rPr>
        <w:t> </w:t>
      </w:r>
      <w:r>
        <w:rPr/>
        <w:t>also</w:t>
      </w:r>
      <w:r>
        <w:rPr>
          <w:spacing w:val="-7"/>
        </w:rPr>
        <w:t> </w:t>
      </w:r>
      <w:r>
        <w:rPr/>
        <w:t>preserved</w:t>
      </w:r>
      <w:r>
        <w:rPr>
          <w:spacing w:val="-7"/>
        </w:rPr>
        <w:t> </w:t>
      </w:r>
      <w:r>
        <w:rPr/>
        <w:t>by</w:t>
      </w:r>
      <w:r>
        <w:rPr>
          <w:spacing w:val="-7"/>
        </w:rPr>
        <w:t> </w:t>
      </w:r>
      <w:r>
        <w:rPr/>
        <w:t>the</w:t>
      </w:r>
      <w:r>
        <w:rPr>
          <w:spacing w:val="-6"/>
        </w:rPr>
        <w:t> </w:t>
      </w:r>
      <w:r>
        <w:rPr/>
        <w:t>gentle</w:t>
      </w:r>
      <w:r>
        <w:rPr>
          <w:spacing w:val="-10"/>
        </w:rPr>
        <w:t> </w:t>
      </w:r>
      <w:r>
        <w:rPr/>
        <w:t>process,</w:t>
      </w:r>
      <w:r>
        <w:rPr>
          <w:spacing w:val="-5"/>
        </w:rPr>
        <w:t> </w:t>
      </w:r>
      <w:r>
        <w:rPr/>
        <w:t>gives</w:t>
      </w:r>
      <w:r>
        <w:rPr>
          <w:spacing w:val="-9"/>
        </w:rPr>
        <w:t> </w:t>
      </w:r>
      <w:r>
        <w:rPr/>
        <w:t>the</w:t>
      </w:r>
      <w:r>
        <w:rPr>
          <w:spacing w:val="-7"/>
        </w:rPr>
        <w:t> </w:t>
      </w:r>
      <w:r>
        <w:rPr/>
        <w:t>green</w:t>
      </w:r>
      <w:r>
        <w:rPr>
          <w:spacing w:val="-7"/>
        </w:rPr>
        <w:t> </w:t>
      </w:r>
      <w:r>
        <w:rPr/>
        <w:t>tea</w:t>
      </w:r>
      <w:r>
        <w:rPr>
          <w:spacing w:val="-7"/>
        </w:rPr>
        <w:t> </w:t>
      </w:r>
      <w:r>
        <w:rPr/>
        <w:t>its name.</w:t>
      </w:r>
    </w:p>
    <w:p>
      <w:pPr>
        <w:pStyle w:val="BodyText"/>
        <w:spacing w:line="276" w:lineRule="auto" w:before="240"/>
        <w:ind w:left="477" w:right="136"/>
        <w:jc w:val="both"/>
      </w:pPr>
      <w:r>
        <w:rPr/>
        <w:t>More</w:t>
      </w:r>
      <w:r>
        <w:rPr>
          <w:spacing w:val="-24"/>
        </w:rPr>
        <w:t> </w:t>
      </w:r>
      <w:r>
        <w:rPr/>
        <w:t>specifically,</w:t>
      </w:r>
      <w:r>
        <w:rPr>
          <w:spacing w:val="-23"/>
        </w:rPr>
        <w:t> </w:t>
      </w:r>
      <w:r>
        <w:rPr/>
        <w:t>there</w:t>
      </w:r>
      <w:r>
        <w:rPr>
          <w:spacing w:val="-22"/>
        </w:rPr>
        <w:t> </w:t>
      </w:r>
      <w:r>
        <w:rPr/>
        <w:t>are</w:t>
      </w:r>
      <w:r>
        <w:rPr>
          <w:spacing w:val="-26"/>
        </w:rPr>
        <w:t> </w:t>
      </w:r>
      <w:r>
        <w:rPr/>
        <w:t>more</w:t>
      </w:r>
      <w:r>
        <w:rPr>
          <w:spacing w:val="-24"/>
        </w:rPr>
        <w:t> </w:t>
      </w:r>
      <w:r>
        <w:rPr/>
        <w:t>than</w:t>
      </w:r>
      <w:r>
        <w:rPr>
          <w:spacing w:val="-23"/>
        </w:rPr>
        <w:t> </w:t>
      </w:r>
      <w:r>
        <w:rPr/>
        <w:t>1000</w:t>
      </w:r>
      <w:r>
        <w:rPr>
          <w:spacing w:val="-25"/>
        </w:rPr>
        <w:t> </w:t>
      </w:r>
      <w:r>
        <w:rPr/>
        <w:t>different</w:t>
      </w:r>
      <w:r>
        <w:rPr>
          <w:spacing w:val="-23"/>
        </w:rPr>
        <w:t> </w:t>
      </w:r>
      <w:r>
        <w:rPr/>
        <w:t>varieties</w:t>
      </w:r>
      <w:r>
        <w:rPr>
          <w:spacing w:val="-24"/>
        </w:rPr>
        <w:t> </w:t>
      </w:r>
      <w:r>
        <w:rPr/>
        <w:t>that</w:t>
      </w:r>
      <w:r>
        <w:rPr>
          <w:spacing w:val="-23"/>
        </w:rPr>
        <w:t> </w:t>
      </w:r>
      <w:r>
        <w:rPr/>
        <w:t>are</w:t>
      </w:r>
      <w:r>
        <w:rPr>
          <w:spacing w:val="-24"/>
        </w:rPr>
        <w:t> </w:t>
      </w:r>
      <w:r>
        <w:rPr/>
        <w:t>associated with green</w:t>
      </w:r>
      <w:r>
        <w:rPr>
          <w:spacing w:val="1"/>
        </w:rPr>
        <w:t> </w:t>
      </w:r>
      <w:r>
        <w:rPr/>
        <w:t>tea.</w:t>
      </w:r>
    </w:p>
    <w:p>
      <w:pPr>
        <w:pStyle w:val="BodyText"/>
        <w:spacing w:before="2"/>
        <w:rPr>
          <w:sz w:val="41"/>
        </w:rPr>
      </w:pPr>
    </w:p>
    <w:p>
      <w:pPr>
        <w:pStyle w:val="Heading1"/>
        <w:spacing w:before="0"/>
        <w:jc w:val="both"/>
      </w:pPr>
      <w:r>
        <w:rPr/>
        <w:t>Japanese green tea vs. Chinese green</w:t>
      </w:r>
      <w:r>
        <w:rPr>
          <w:spacing w:val="-65"/>
        </w:rPr>
        <w:t> </w:t>
      </w:r>
      <w:r>
        <w:rPr/>
        <w:t>tea</w:t>
      </w:r>
    </w:p>
    <w:p>
      <w:pPr>
        <w:spacing w:after="0"/>
        <w:jc w:val="both"/>
        <w:sectPr>
          <w:pgSz w:w="14270" w:h="16850"/>
          <w:pgMar w:header="0" w:footer="1891" w:top="1600" w:bottom="2080" w:left="800" w:right="1280"/>
        </w:sectPr>
      </w:pPr>
    </w:p>
    <w:p>
      <w:pPr>
        <w:pStyle w:val="BodyText"/>
        <w:spacing w:line="276" w:lineRule="auto" w:before="181"/>
        <w:ind w:left="477" w:right="136"/>
        <w:jc w:val="both"/>
      </w:pPr>
      <w:r>
        <w:rPr/>
        <w:t>It</w:t>
      </w:r>
      <w:r>
        <w:rPr>
          <w:spacing w:val="-12"/>
        </w:rPr>
        <w:t> </w:t>
      </w:r>
      <w:r>
        <w:rPr/>
        <w:t>is</w:t>
      </w:r>
      <w:r>
        <w:rPr>
          <w:spacing w:val="-11"/>
        </w:rPr>
        <w:t> </w:t>
      </w:r>
      <w:r>
        <w:rPr/>
        <w:t>hardly</w:t>
      </w:r>
      <w:r>
        <w:rPr>
          <w:spacing w:val="-15"/>
        </w:rPr>
        <w:t> </w:t>
      </w:r>
      <w:r>
        <w:rPr/>
        <w:t>surprising</w:t>
      </w:r>
      <w:r>
        <w:rPr>
          <w:spacing w:val="-11"/>
        </w:rPr>
        <w:t> </w:t>
      </w:r>
      <w:r>
        <w:rPr/>
        <w:t>at</w:t>
      </w:r>
      <w:r>
        <w:rPr>
          <w:spacing w:val="-12"/>
        </w:rPr>
        <w:t> </w:t>
      </w:r>
      <w:r>
        <w:rPr/>
        <w:t>this</w:t>
      </w:r>
      <w:r>
        <w:rPr>
          <w:spacing w:val="-13"/>
        </w:rPr>
        <w:t> </w:t>
      </w:r>
      <w:r>
        <w:rPr/>
        <w:t>point</w:t>
      </w:r>
      <w:r>
        <w:rPr>
          <w:spacing w:val="-12"/>
        </w:rPr>
        <w:t> </w:t>
      </w:r>
      <w:r>
        <w:rPr/>
        <w:t>that</w:t>
      </w:r>
      <w:r>
        <w:rPr>
          <w:spacing w:val="-12"/>
        </w:rPr>
        <w:t> </w:t>
      </w:r>
      <w:r>
        <w:rPr/>
        <w:t>the</w:t>
      </w:r>
      <w:r>
        <w:rPr>
          <w:spacing w:val="-10"/>
        </w:rPr>
        <w:t> </w:t>
      </w:r>
      <w:r>
        <w:rPr/>
        <w:t>main</w:t>
      </w:r>
      <w:r>
        <w:rPr>
          <w:spacing w:val="-14"/>
        </w:rPr>
        <w:t> </w:t>
      </w:r>
      <w:r>
        <w:rPr/>
        <w:t>suppliers</w:t>
      </w:r>
      <w:r>
        <w:rPr>
          <w:spacing w:val="-11"/>
        </w:rPr>
        <w:t> </w:t>
      </w:r>
      <w:r>
        <w:rPr/>
        <w:t>of</w:t>
      </w:r>
      <w:r>
        <w:rPr>
          <w:spacing w:val="-11"/>
        </w:rPr>
        <w:t> </w:t>
      </w:r>
      <w:r>
        <w:rPr/>
        <w:t>green</w:t>
      </w:r>
      <w:r>
        <w:rPr>
          <w:spacing w:val="-10"/>
        </w:rPr>
        <w:t> </w:t>
      </w:r>
      <w:r>
        <w:rPr/>
        <w:t>tea</w:t>
      </w:r>
      <w:r>
        <w:rPr>
          <w:spacing w:val="-12"/>
        </w:rPr>
        <w:t> </w:t>
      </w:r>
      <w:r>
        <w:rPr/>
        <w:t>are</w:t>
      </w:r>
      <w:r>
        <w:rPr>
          <w:spacing w:val="-14"/>
        </w:rPr>
        <w:t> </w:t>
      </w:r>
      <w:r>
        <w:rPr/>
        <w:t>Asian countries, specifically China and Japan. While only green tea is produced in Ja- pan, it accounts for 80 % of nationwide tea production in China. To a much lesser extent, green tea is also cultivated in Sri Lanka and</w:t>
      </w:r>
      <w:r>
        <w:rPr>
          <w:spacing w:val="-2"/>
        </w:rPr>
        <w:t> </w:t>
      </w:r>
      <w:r>
        <w:rPr/>
        <w:t>India.</w:t>
      </w:r>
    </w:p>
    <w:p>
      <w:pPr>
        <w:pStyle w:val="BodyText"/>
        <w:spacing w:line="276" w:lineRule="auto" w:before="242"/>
        <w:ind w:left="477" w:right="132"/>
        <w:jc w:val="both"/>
      </w:pPr>
      <w:r>
        <w:rPr/>
        <w:t>The differences are more in terms of taste: traditionally, the Chinese tend to love a more tart-smoky and floral tea, while the Japanese appreciate a fresh, grassy aftertaste.</w:t>
      </w:r>
    </w:p>
    <w:p>
      <w:pPr>
        <w:pStyle w:val="BodyText"/>
        <w:spacing w:line="276" w:lineRule="auto" w:before="239"/>
        <w:ind w:left="477" w:right="140"/>
        <w:jc w:val="both"/>
      </w:pPr>
      <w:r>
        <w:rPr/>
        <w:t>The taste and the aroma are largely determined by the processing, but also by the land on which it is cultivated (climate, soil conditions) and the storage and transportation.</w:t>
      </w:r>
    </w:p>
    <w:p>
      <w:pPr>
        <w:pStyle w:val="BodyText"/>
        <w:spacing w:line="276" w:lineRule="auto" w:before="241"/>
        <w:ind w:left="477" w:right="132"/>
        <w:jc w:val="both"/>
      </w:pPr>
      <w:r>
        <w:rPr/>
        <w:t>The Chinese give their green tea its tangy-smoky flavour by roasting the tea leaves</w:t>
      </w:r>
      <w:r>
        <w:rPr>
          <w:spacing w:val="-18"/>
        </w:rPr>
        <w:t> </w:t>
      </w:r>
      <w:r>
        <w:rPr/>
        <w:t>in</w:t>
      </w:r>
      <w:r>
        <w:rPr>
          <w:spacing w:val="-18"/>
        </w:rPr>
        <w:t> </w:t>
      </w:r>
      <w:r>
        <w:rPr/>
        <w:t>pans;</w:t>
      </w:r>
      <w:r>
        <w:rPr>
          <w:spacing w:val="-17"/>
        </w:rPr>
        <w:t> </w:t>
      </w:r>
      <w:r>
        <w:rPr/>
        <w:t>the</w:t>
      </w:r>
      <w:r>
        <w:rPr>
          <w:spacing w:val="-18"/>
        </w:rPr>
        <w:t> </w:t>
      </w:r>
      <w:r>
        <w:rPr/>
        <w:t>flowery</w:t>
      </w:r>
      <w:r>
        <w:rPr>
          <w:spacing w:val="-17"/>
        </w:rPr>
        <w:t> </w:t>
      </w:r>
      <w:r>
        <w:rPr/>
        <w:t>taste</w:t>
      </w:r>
      <w:r>
        <w:rPr>
          <w:spacing w:val="-18"/>
        </w:rPr>
        <w:t> </w:t>
      </w:r>
      <w:r>
        <w:rPr/>
        <w:t>of</w:t>
      </w:r>
      <w:r>
        <w:rPr>
          <w:spacing w:val="-18"/>
        </w:rPr>
        <w:t> </w:t>
      </w:r>
      <w:r>
        <w:rPr/>
        <w:t>green</w:t>
      </w:r>
      <w:r>
        <w:rPr>
          <w:spacing w:val="-17"/>
        </w:rPr>
        <w:t> </w:t>
      </w:r>
      <w:r>
        <w:rPr/>
        <w:t>tea</w:t>
      </w:r>
      <w:r>
        <w:rPr>
          <w:spacing w:val="-18"/>
        </w:rPr>
        <w:t> </w:t>
      </w:r>
      <w:r>
        <w:rPr/>
        <w:t>comes</w:t>
      </w:r>
      <w:r>
        <w:rPr>
          <w:spacing w:val="-17"/>
        </w:rPr>
        <w:t> </w:t>
      </w:r>
      <w:r>
        <w:rPr/>
        <w:t>from</w:t>
      </w:r>
      <w:r>
        <w:rPr>
          <w:spacing w:val="-18"/>
        </w:rPr>
        <w:t> </w:t>
      </w:r>
      <w:r>
        <w:rPr/>
        <w:t>jasmine</w:t>
      </w:r>
      <w:r>
        <w:rPr>
          <w:spacing w:val="-20"/>
        </w:rPr>
        <w:t> </w:t>
      </w:r>
      <w:r>
        <w:rPr/>
        <w:t>flowers,</w:t>
      </w:r>
      <w:r>
        <w:rPr>
          <w:spacing w:val="-17"/>
        </w:rPr>
        <w:t> </w:t>
      </w:r>
      <w:r>
        <w:rPr/>
        <w:t>which are added to it. Jasmine tea is the best-known Chinese variety and one that is popular</w:t>
      </w:r>
      <w:r>
        <w:rPr>
          <w:spacing w:val="-1"/>
        </w:rPr>
        <w:t> </w:t>
      </w:r>
      <w:r>
        <w:rPr/>
        <w:t>worldwide.</w:t>
      </w:r>
    </w:p>
    <w:p>
      <w:pPr>
        <w:pStyle w:val="BodyText"/>
        <w:spacing w:line="276" w:lineRule="auto" w:before="240"/>
        <w:ind w:left="477" w:right="130"/>
        <w:jc w:val="both"/>
        <w:rPr>
          <w:sz w:val="25"/>
        </w:rPr>
      </w:pPr>
      <w:r>
        <w:rPr/>
        <w:t>The Japanese, however, treat the green tea with steam for their desired fresh- grassy flavour. Among the well-known Japanese green tea varieties are Sencha, Genmaicha, Bancha, Gyokuro and Kukicha:</w:t>
      </w:r>
      <w:r>
        <w:rPr>
          <w:position w:val="9"/>
          <w:sz w:val="25"/>
        </w:rPr>
        <w:t>371</w:t>
      </w:r>
    </w:p>
    <w:p>
      <w:pPr>
        <w:pStyle w:val="BodyText"/>
        <w:rPr>
          <w:sz w:val="20"/>
        </w:rPr>
      </w:pPr>
    </w:p>
    <w:p>
      <w:pPr>
        <w:pStyle w:val="BodyText"/>
        <w:rPr>
          <w:sz w:val="20"/>
        </w:rPr>
      </w:pPr>
    </w:p>
    <w:p>
      <w:pPr>
        <w:pStyle w:val="BodyText"/>
        <w:rPr>
          <w:sz w:val="20"/>
        </w:rPr>
      </w:pPr>
    </w:p>
    <w:p>
      <w:pPr>
        <w:pStyle w:val="BodyText"/>
        <w:spacing w:before="7"/>
        <w:rPr>
          <w:sz w:val="19"/>
        </w:rPr>
      </w:pPr>
      <w:r>
        <w:rPr/>
        <w:pict>
          <v:line style="position:absolute;mso-position-horizontal-relative:page;mso-position-vertical-relative:paragraph;z-index:4448;mso-wrap-distance-left:0;mso-wrap-distance-right:0" from="63.863998pt,13.408765pt" to="207.883998pt,13.40876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371 </w:t>
      </w:r>
      <w:hyperlink r:id="rId147">
        <w:r>
          <w:rPr>
            <w:sz w:val="20"/>
          </w:rPr>
          <w:t>http://en.wikipedia.org/wiki/Gr%C3%BCner_Tee</w:t>
        </w:r>
      </w:hyperlink>
    </w:p>
    <w:p>
      <w:pPr>
        <w:spacing w:after="0"/>
        <w:jc w:val="left"/>
        <w:rPr>
          <w:sz w:val="20"/>
        </w:rPr>
        <w:sectPr>
          <w:footerReference w:type="default" r:id="rId146"/>
          <w:pgSz w:w="14270" w:h="16850"/>
          <w:pgMar w:footer="404" w:header="0" w:top="1600" w:bottom="600" w:left="800" w:right="1280"/>
          <w:pgNumType w:start="590"/>
        </w:sectPr>
      </w:pPr>
    </w:p>
    <w:p>
      <w:pPr>
        <w:pStyle w:val="Heading1"/>
        <w:spacing w:before="164"/>
      </w:pPr>
      <w:r>
        <w:rPr/>
        <w:t>Japanese green tea varieties</w:t>
      </w:r>
    </w:p>
    <w:p>
      <w:pPr>
        <w:pStyle w:val="ListParagraph"/>
        <w:numPr>
          <w:ilvl w:val="0"/>
          <w:numId w:val="36"/>
        </w:numPr>
        <w:tabs>
          <w:tab w:pos="1197" w:val="left" w:leader="none"/>
          <w:tab w:pos="1198" w:val="left" w:leader="none"/>
        </w:tabs>
        <w:spacing w:line="240" w:lineRule="auto" w:before="301" w:after="0"/>
        <w:ind w:left="1197" w:right="0" w:hanging="360"/>
        <w:jc w:val="left"/>
        <w:rPr>
          <w:sz w:val="38"/>
        </w:rPr>
      </w:pPr>
      <w:r>
        <w:rPr>
          <w:sz w:val="38"/>
        </w:rPr>
        <w:t>Gabalong</w:t>
      </w:r>
    </w:p>
    <w:p>
      <w:pPr>
        <w:pStyle w:val="ListParagraph"/>
        <w:numPr>
          <w:ilvl w:val="0"/>
          <w:numId w:val="36"/>
        </w:numPr>
        <w:tabs>
          <w:tab w:pos="1197" w:val="left" w:leader="none"/>
          <w:tab w:pos="1198" w:val="left" w:leader="none"/>
        </w:tabs>
        <w:spacing w:line="240" w:lineRule="auto" w:before="184" w:after="0"/>
        <w:ind w:left="1197" w:right="0" w:hanging="360"/>
        <w:jc w:val="left"/>
        <w:rPr>
          <w:sz w:val="38"/>
        </w:rPr>
      </w:pPr>
      <w:r>
        <w:rPr>
          <w:sz w:val="38"/>
        </w:rPr>
        <w:t>Bancha</w:t>
      </w:r>
    </w:p>
    <w:p>
      <w:pPr>
        <w:pStyle w:val="ListParagraph"/>
        <w:numPr>
          <w:ilvl w:val="0"/>
          <w:numId w:val="36"/>
        </w:numPr>
        <w:tabs>
          <w:tab w:pos="1197" w:val="left" w:leader="none"/>
          <w:tab w:pos="1198" w:val="left" w:leader="none"/>
        </w:tabs>
        <w:spacing w:line="240" w:lineRule="auto" w:before="183" w:after="0"/>
        <w:ind w:left="1197" w:right="0" w:hanging="360"/>
        <w:jc w:val="left"/>
        <w:rPr>
          <w:sz w:val="38"/>
        </w:rPr>
      </w:pPr>
      <w:r>
        <w:rPr>
          <w:sz w:val="38"/>
        </w:rPr>
        <w:t>Kabusecha</w:t>
      </w:r>
    </w:p>
    <w:p>
      <w:pPr>
        <w:pStyle w:val="ListParagraph"/>
        <w:numPr>
          <w:ilvl w:val="0"/>
          <w:numId w:val="36"/>
        </w:numPr>
        <w:tabs>
          <w:tab w:pos="1197" w:val="left" w:leader="none"/>
          <w:tab w:pos="1198" w:val="left" w:leader="none"/>
        </w:tabs>
        <w:spacing w:line="240" w:lineRule="auto" w:before="186" w:after="0"/>
        <w:ind w:left="1197" w:right="0" w:hanging="360"/>
        <w:jc w:val="left"/>
        <w:rPr>
          <w:sz w:val="38"/>
        </w:rPr>
      </w:pPr>
      <w:r>
        <w:rPr>
          <w:sz w:val="38"/>
        </w:rPr>
        <w:t>Fukamushi-Cha</w:t>
      </w:r>
    </w:p>
    <w:p>
      <w:pPr>
        <w:pStyle w:val="ListParagraph"/>
        <w:numPr>
          <w:ilvl w:val="0"/>
          <w:numId w:val="36"/>
        </w:numPr>
        <w:tabs>
          <w:tab w:pos="1197" w:val="left" w:leader="none"/>
          <w:tab w:pos="1198" w:val="left" w:leader="none"/>
        </w:tabs>
        <w:spacing w:line="240" w:lineRule="auto" w:before="184" w:after="0"/>
        <w:ind w:left="1197" w:right="0" w:hanging="360"/>
        <w:jc w:val="left"/>
        <w:rPr>
          <w:sz w:val="38"/>
        </w:rPr>
      </w:pPr>
      <w:r>
        <w:rPr>
          <w:sz w:val="38"/>
        </w:rPr>
        <w:t>Genmaicha (tea enriched with roasted rice</w:t>
      </w:r>
      <w:r>
        <w:rPr>
          <w:spacing w:val="-2"/>
          <w:sz w:val="38"/>
        </w:rPr>
        <w:t> </w:t>
      </w:r>
      <w:r>
        <w:rPr>
          <w:sz w:val="38"/>
        </w:rPr>
        <w:t>grains)</w:t>
      </w:r>
    </w:p>
    <w:p>
      <w:pPr>
        <w:pStyle w:val="ListParagraph"/>
        <w:numPr>
          <w:ilvl w:val="0"/>
          <w:numId w:val="36"/>
        </w:numPr>
        <w:tabs>
          <w:tab w:pos="1197" w:val="left" w:leader="none"/>
          <w:tab w:pos="1198" w:val="left" w:leader="none"/>
        </w:tabs>
        <w:spacing w:line="240" w:lineRule="auto" w:before="184" w:after="0"/>
        <w:ind w:left="1197" w:right="0" w:hanging="360"/>
        <w:jc w:val="left"/>
        <w:rPr>
          <w:sz w:val="38"/>
        </w:rPr>
      </w:pPr>
      <w:r>
        <w:rPr>
          <w:sz w:val="38"/>
        </w:rPr>
        <w:t>Matcha</w:t>
      </w:r>
    </w:p>
    <w:p>
      <w:pPr>
        <w:pStyle w:val="ListParagraph"/>
        <w:numPr>
          <w:ilvl w:val="0"/>
          <w:numId w:val="36"/>
        </w:numPr>
        <w:tabs>
          <w:tab w:pos="1197" w:val="left" w:leader="none"/>
          <w:tab w:pos="1198" w:val="left" w:leader="none"/>
        </w:tabs>
        <w:spacing w:line="240" w:lineRule="auto" w:before="184" w:after="0"/>
        <w:ind w:left="1197" w:right="0" w:hanging="360"/>
        <w:jc w:val="left"/>
        <w:rPr>
          <w:sz w:val="38"/>
        </w:rPr>
      </w:pPr>
      <w:r>
        <w:rPr>
          <w:sz w:val="38"/>
        </w:rPr>
        <w:t>Gyokuro</w:t>
      </w:r>
    </w:p>
    <w:p>
      <w:pPr>
        <w:pStyle w:val="ListParagraph"/>
        <w:numPr>
          <w:ilvl w:val="0"/>
          <w:numId w:val="36"/>
        </w:numPr>
        <w:tabs>
          <w:tab w:pos="1197" w:val="left" w:leader="none"/>
          <w:tab w:pos="1198" w:val="left" w:leader="none"/>
        </w:tabs>
        <w:spacing w:line="240" w:lineRule="auto" w:before="183" w:after="0"/>
        <w:ind w:left="1197" w:right="0" w:hanging="360"/>
        <w:jc w:val="left"/>
        <w:rPr>
          <w:sz w:val="38"/>
        </w:rPr>
      </w:pPr>
      <w:r>
        <w:rPr>
          <w:sz w:val="38"/>
        </w:rPr>
        <w:t>Kukicha</w:t>
      </w:r>
    </w:p>
    <w:p>
      <w:pPr>
        <w:pStyle w:val="ListParagraph"/>
        <w:numPr>
          <w:ilvl w:val="0"/>
          <w:numId w:val="36"/>
        </w:numPr>
        <w:tabs>
          <w:tab w:pos="1197" w:val="left" w:leader="none"/>
          <w:tab w:pos="1198" w:val="left" w:leader="none"/>
        </w:tabs>
        <w:spacing w:line="240" w:lineRule="auto" w:before="186" w:after="0"/>
        <w:ind w:left="1197" w:right="0" w:hanging="360"/>
        <w:jc w:val="left"/>
        <w:rPr>
          <w:sz w:val="38"/>
        </w:rPr>
      </w:pPr>
      <w:r>
        <w:rPr>
          <w:sz w:val="38"/>
        </w:rPr>
        <w:t>Sencha</w:t>
      </w:r>
    </w:p>
    <w:p>
      <w:pPr>
        <w:pStyle w:val="ListParagraph"/>
        <w:numPr>
          <w:ilvl w:val="0"/>
          <w:numId w:val="36"/>
        </w:numPr>
        <w:tabs>
          <w:tab w:pos="1197" w:val="left" w:leader="none"/>
          <w:tab w:pos="1198" w:val="left" w:leader="none"/>
        </w:tabs>
        <w:spacing w:line="240" w:lineRule="auto" w:before="184" w:after="0"/>
        <w:ind w:left="1197" w:right="0" w:hanging="360"/>
        <w:jc w:val="left"/>
        <w:rPr>
          <w:sz w:val="38"/>
        </w:rPr>
      </w:pPr>
      <w:r>
        <w:rPr>
          <w:sz w:val="38"/>
        </w:rPr>
        <w:t>Hojicha</w:t>
      </w:r>
    </w:p>
    <w:p>
      <w:pPr>
        <w:pStyle w:val="ListParagraph"/>
        <w:numPr>
          <w:ilvl w:val="0"/>
          <w:numId w:val="36"/>
        </w:numPr>
        <w:tabs>
          <w:tab w:pos="1197" w:val="left" w:leader="none"/>
          <w:tab w:pos="1198" w:val="left" w:leader="none"/>
        </w:tabs>
        <w:spacing w:line="240" w:lineRule="auto" w:before="184" w:after="0"/>
        <w:ind w:left="1197" w:right="0" w:hanging="360"/>
        <w:jc w:val="left"/>
        <w:rPr>
          <w:sz w:val="38"/>
        </w:rPr>
      </w:pPr>
      <w:r>
        <w:rPr>
          <w:sz w:val="38"/>
        </w:rPr>
        <w:t>Yonkon</w:t>
      </w:r>
    </w:p>
    <w:p>
      <w:pPr>
        <w:pStyle w:val="ListParagraph"/>
        <w:numPr>
          <w:ilvl w:val="0"/>
          <w:numId w:val="36"/>
        </w:numPr>
        <w:tabs>
          <w:tab w:pos="1197" w:val="left" w:leader="none"/>
          <w:tab w:pos="1198" w:val="left" w:leader="none"/>
        </w:tabs>
        <w:spacing w:line="240" w:lineRule="auto" w:before="184" w:after="0"/>
        <w:ind w:left="1197" w:right="0" w:hanging="379"/>
        <w:jc w:val="left"/>
        <w:rPr>
          <w:sz w:val="38"/>
        </w:rPr>
      </w:pPr>
      <w:r>
        <w:rPr>
          <w:sz w:val="38"/>
        </w:rPr>
        <w:t>Tamaryokucha</w:t>
      </w:r>
    </w:p>
    <w:p>
      <w:pPr>
        <w:pStyle w:val="Heading1"/>
        <w:spacing w:before="287"/>
      </w:pPr>
      <w:r>
        <w:rPr/>
        <w:t>Chinese green tea varieties</w:t>
      </w:r>
    </w:p>
    <w:p>
      <w:pPr>
        <w:pStyle w:val="ListParagraph"/>
        <w:numPr>
          <w:ilvl w:val="0"/>
          <w:numId w:val="33"/>
        </w:numPr>
        <w:tabs>
          <w:tab w:pos="719" w:val="left" w:leader="none"/>
          <w:tab w:pos="1198" w:val="left" w:leader="none"/>
        </w:tabs>
        <w:spacing w:line="240" w:lineRule="auto" w:before="257" w:after="0"/>
        <w:ind w:left="1197" w:right="9041" w:hanging="720"/>
        <w:jc w:val="left"/>
        <w:rPr>
          <w:i/>
          <w:sz w:val="38"/>
        </w:rPr>
      </w:pPr>
      <w:r>
        <w:rPr>
          <w:i/>
          <w:sz w:val="38"/>
        </w:rPr>
        <w:t>Gunpowder</w:t>
      </w:r>
    </w:p>
    <w:p>
      <w:pPr>
        <w:pStyle w:val="ListParagraph"/>
        <w:numPr>
          <w:ilvl w:val="0"/>
          <w:numId w:val="33"/>
        </w:numPr>
        <w:tabs>
          <w:tab w:pos="1197" w:val="left" w:leader="none"/>
          <w:tab w:pos="1198" w:val="left" w:leader="none"/>
        </w:tabs>
        <w:spacing w:line="240" w:lineRule="auto" w:before="266" w:after="0"/>
        <w:ind w:left="1197" w:right="0" w:hanging="720"/>
        <w:jc w:val="left"/>
        <w:rPr>
          <w:i/>
          <w:sz w:val="38"/>
        </w:rPr>
      </w:pPr>
      <w:r>
        <w:rPr>
          <w:i/>
          <w:sz w:val="38"/>
        </w:rPr>
        <w:t>Criss</w:t>
      </w:r>
      <w:r>
        <w:rPr>
          <w:i/>
          <w:spacing w:val="-3"/>
          <w:sz w:val="38"/>
        </w:rPr>
        <w:t> </w:t>
      </w:r>
      <w:r>
        <w:rPr>
          <w:i/>
          <w:sz w:val="38"/>
        </w:rPr>
        <w:t>Cross</w:t>
      </w:r>
    </w:p>
    <w:p>
      <w:pPr>
        <w:pStyle w:val="ListParagraph"/>
        <w:numPr>
          <w:ilvl w:val="0"/>
          <w:numId w:val="33"/>
        </w:numPr>
        <w:tabs>
          <w:tab w:pos="1197" w:val="left" w:leader="none"/>
          <w:tab w:pos="1198" w:val="left" w:leader="none"/>
        </w:tabs>
        <w:spacing w:line="240" w:lineRule="auto" w:before="263" w:after="0"/>
        <w:ind w:left="1197" w:right="0" w:hanging="720"/>
        <w:jc w:val="left"/>
        <w:rPr>
          <w:i/>
          <w:sz w:val="38"/>
        </w:rPr>
      </w:pPr>
      <w:r>
        <w:rPr>
          <w:i/>
          <w:sz w:val="38"/>
        </w:rPr>
        <w:t>Lung Ching or</w:t>
      </w:r>
      <w:r>
        <w:rPr>
          <w:i/>
          <w:spacing w:val="1"/>
          <w:sz w:val="38"/>
        </w:rPr>
        <w:t> </w:t>
      </w:r>
      <w:r>
        <w:rPr>
          <w:i/>
          <w:sz w:val="38"/>
        </w:rPr>
        <w:t>Longjing</w:t>
      </w:r>
    </w:p>
    <w:p>
      <w:pPr>
        <w:spacing w:after="0" w:line="240" w:lineRule="auto"/>
        <w:jc w:val="left"/>
        <w:rPr>
          <w:sz w:val="38"/>
        </w:rPr>
        <w:sectPr>
          <w:pgSz w:w="14270" w:h="16850"/>
          <w:pgMar w:header="0" w:footer="404" w:top="1600" w:bottom="2080" w:left="800" w:right="1280"/>
        </w:sectPr>
      </w:pPr>
    </w:p>
    <w:p>
      <w:pPr>
        <w:pStyle w:val="BodyText"/>
        <w:spacing w:before="10"/>
        <w:rPr>
          <w:i/>
          <w:sz w:val="8"/>
        </w:rPr>
      </w:pPr>
    </w:p>
    <w:p>
      <w:pPr>
        <w:pStyle w:val="ListParagraph"/>
        <w:numPr>
          <w:ilvl w:val="0"/>
          <w:numId w:val="33"/>
        </w:numPr>
        <w:tabs>
          <w:tab w:pos="1197" w:val="left" w:leader="none"/>
          <w:tab w:pos="1198" w:val="left" w:leader="none"/>
        </w:tabs>
        <w:spacing w:line="240" w:lineRule="auto" w:before="83" w:after="0"/>
        <w:ind w:left="1197" w:right="0" w:hanging="720"/>
        <w:jc w:val="left"/>
        <w:rPr>
          <w:i/>
          <w:sz w:val="38"/>
        </w:rPr>
      </w:pPr>
      <w:r>
        <w:rPr>
          <w:i/>
          <w:sz w:val="38"/>
        </w:rPr>
        <w:t>Chun Mee</w:t>
      </w:r>
    </w:p>
    <w:p>
      <w:pPr>
        <w:pStyle w:val="ListParagraph"/>
        <w:numPr>
          <w:ilvl w:val="0"/>
          <w:numId w:val="33"/>
        </w:numPr>
        <w:tabs>
          <w:tab w:pos="1197" w:val="left" w:leader="none"/>
          <w:tab w:pos="1198" w:val="left" w:leader="none"/>
        </w:tabs>
        <w:spacing w:line="240" w:lineRule="auto" w:before="263" w:after="0"/>
        <w:ind w:left="1197" w:right="0" w:hanging="720"/>
        <w:jc w:val="left"/>
        <w:rPr>
          <w:i/>
          <w:sz w:val="38"/>
        </w:rPr>
      </w:pPr>
      <w:r>
        <w:rPr>
          <w:i/>
          <w:sz w:val="38"/>
        </w:rPr>
        <w:t>Li-Zi</w:t>
      </w:r>
      <w:r>
        <w:rPr>
          <w:i/>
          <w:spacing w:val="-2"/>
          <w:sz w:val="38"/>
        </w:rPr>
        <w:t> </w:t>
      </w:r>
      <w:r>
        <w:rPr>
          <w:i/>
          <w:sz w:val="38"/>
        </w:rPr>
        <w:t>Xiang</w:t>
      </w:r>
    </w:p>
    <w:p>
      <w:pPr>
        <w:pStyle w:val="ListParagraph"/>
        <w:numPr>
          <w:ilvl w:val="0"/>
          <w:numId w:val="33"/>
        </w:numPr>
        <w:tabs>
          <w:tab w:pos="1197" w:val="left" w:leader="none"/>
          <w:tab w:pos="1198" w:val="left" w:leader="none"/>
        </w:tabs>
        <w:spacing w:line="240" w:lineRule="auto" w:before="265" w:after="0"/>
        <w:ind w:left="1197" w:right="0" w:hanging="720"/>
        <w:jc w:val="left"/>
        <w:rPr>
          <w:i/>
          <w:sz w:val="38"/>
        </w:rPr>
      </w:pPr>
      <w:r>
        <w:rPr>
          <w:i/>
          <w:sz w:val="38"/>
        </w:rPr>
        <w:t>Pi Lo</w:t>
      </w:r>
      <w:r>
        <w:rPr>
          <w:i/>
          <w:spacing w:val="-2"/>
          <w:sz w:val="38"/>
        </w:rPr>
        <w:t> </w:t>
      </w:r>
      <w:r>
        <w:rPr>
          <w:i/>
          <w:sz w:val="38"/>
        </w:rPr>
        <w:t>Chun</w:t>
      </w:r>
    </w:p>
    <w:p>
      <w:pPr>
        <w:pStyle w:val="ListParagraph"/>
        <w:numPr>
          <w:ilvl w:val="0"/>
          <w:numId w:val="33"/>
        </w:numPr>
        <w:tabs>
          <w:tab w:pos="1197" w:val="left" w:leader="none"/>
          <w:tab w:pos="1198" w:val="left" w:leader="none"/>
        </w:tabs>
        <w:spacing w:line="240" w:lineRule="auto" w:before="263" w:after="0"/>
        <w:ind w:left="1197" w:right="0" w:hanging="720"/>
        <w:jc w:val="left"/>
        <w:rPr>
          <w:i/>
          <w:sz w:val="38"/>
        </w:rPr>
      </w:pPr>
      <w:r>
        <w:rPr>
          <w:i/>
          <w:sz w:val="38"/>
        </w:rPr>
        <w:t>Mao Feng, Mao Feng Criss</w:t>
      </w:r>
      <w:r>
        <w:rPr>
          <w:i/>
          <w:spacing w:val="-2"/>
          <w:sz w:val="38"/>
        </w:rPr>
        <w:t> </w:t>
      </w:r>
      <w:r>
        <w:rPr>
          <w:i/>
          <w:sz w:val="38"/>
        </w:rPr>
        <w:t>Cross</w:t>
      </w:r>
    </w:p>
    <w:p>
      <w:pPr>
        <w:pStyle w:val="ListParagraph"/>
        <w:numPr>
          <w:ilvl w:val="0"/>
          <w:numId w:val="33"/>
        </w:numPr>
        <w:tabs>
          <w:tab w:pos="1197" w:val="left" w:leader="none"/>
          <w:tab w:pos="1198" w:val="left" w:leader="none"/>
        </w:tabs>
        <w:spacing w:line="240" w:lineRule="auto" w:before="265" w:after="0"/>
        <w:ind w:left="1197" w:right="0" w:hanging="720"/>
        <w:jc w:val="left"/>
        <w:rPr>
          <w:i/>
          <w:sz w:val="38"/>
        </w:rPr>
      </w:pPr>
      <w:r>
        <w:rPr>
          <w:i/>
          <w:sz w:val="38"/>
        </w:rPr>
        <w:t>Mao</w:t>
      </w:r>
      <w:r>
        <w:rPr>
          <w:i/>
          <w:spacing w:val="-2"/>
          <w:sz w:val="38"/>
        </w:rPr>
        <w:t> </w:t>
      </w:r>
      <w:r>
        <w:rPr>
          <w:i/>
          <w:sz w:val="38"/>
        </w:rPr>
        <w:t>Jian</w:t>
      </w:r>
    </w:p>
    <w:p>
      <w:pPr>
        <w:pStyle w:val="ListParagraph"/>
        <w:numPr>
          <w:ilvl w:val="0"/>
          <w:numId w:val="33"/>
        </w:numPr>
        <w:tabs>
          <w:tab w:pos="1197" w:val="left" w:leader="none"/>
          <w:tab w:pos="1198" w:val="left" w:leader="none"/>
        </w:tabs>
        <w:spacing w:line="240" w:lineRule="auto" w:before="266" w:after="0"/>
        <w:ind w:left="1197" w:right="0" w:hanging="720"/>
        <w:jc w:val="left"/>
        <w:rPr>
          <w:i/>
          <w:sz w:val="38"/>
        </w:rPr>
      </w:pPr>
      <w:r>
        <w:rPr>
          <w:i/>
          <w:sz w:val="38"/>
        </w:rPr>
        <w:t>Yuncui</w:t>
      </w:r>
    </w:p>
    <w:p>
      <w:pPr>
        <w:pStyle w:val="ListParagraph"/>
        <w:numPr>
          <w:ilvl w:val="0"/>
          <w:numId w:val="33"/>
        </w:numPr>
        <w:tabs>
          <w:tab w:pos="1197" w:val="left" w:leader="none"/>
          <w:tab w:pos="1198" w:val="left" w:leader="none"/>
        </w:tabs>
        <w:spacing w:line="240" w:lineRule="auto" w:before="263" w:after="0"/>
        <w:ind w:left="1197" w:right="0" w:hanging="720"/>
        <w:jc w:val="left"/>
        <w:rPr>
          <w:i/>
          <w:sz w:val="38"/>
        </w:rPr>
      </w:pPr>
      <w:r>
        <w:rPr>
          <w:i/>
          <w:sz w:val="38"/>
        </w:rPr>
        <w:t>Tian Mu Quing</w:t>
      </w:r>
      <w:r>
        <w:rPr>
          <w:i/>
          <w:spacing w:val="-1"/>
          <w:sz w:val="38"/>
        </w:rPr>
        <w:t> </w:t>
      </w:r>
      <w:r>
        <w:rPr>
          <w:i/>
          <w:sz w:val="38"/>
        </w:rPr>
        <w:t>Ding</w:t>
      </w:r>
    </w:p>
    <w:p>
      <w:pPr>
        <w:pStyle w:val="ListParagraph"/>
        <w:numPr>
          <w:ilvl w:val="0"/>
          <w:numId w:val="33"/>
        </w:numPr>
        <w:tabs>
          <w:tab w:pos="1197" w:val="left" w:leader="none"/>
          <w:tab w:pos="1198" w:val="left" w:leader="none"/>
        </w:tabs>
        <w:spacing w:line="240" w:lineRule="auto" w:before="265" w:after="0"/>
        <w:ind w:left="1197" w:right="0" w:hanging="720"/>
        <w:jc w:val="left"/>
        <w:rPr>
          <w:i/>
          <w:sz w:val="38"/>
        </w:rPr>
      </w:pPr>
      <w:r>
        <w:rPr>
          <w:i/>
          <w:sz w:val="38"/>
        </w:rPr>
        <w:t>Sencha</w:t>
      </w:r>
    </w:p>
    <w:p>
      <w:pPr>
        <w:pStyle w:val="BodyText"/>
        <w:spacing w:line="276" w:lineRule="auto" w:before="302"/>
        <w:ind w:left="477"/>
      </w:pPr>
      <w:r>
        <w:rPr/>
        <w:t>In</w:t>
      </w:r>
      <w:r>
        <w:rPr>
          <w:spacing w:val="-17"/>
        </w:rPr>
        <w:t> </w:t>
      </w:r>
      <w:r>
        <w:rPr/>
        <w:t>addition,</w:t>
      </w:r>
      <w:r>
        <w:rPr>
          <w:spacing w:val="-16"/>
        </w:rPr>
        <w:t> </w:t>
      </w:r>
      <w:r>
        <w:rPr/>
        <w:t>India,</w:t>
      </w:r>
      <w:r>
        <w:rPr>
          <w:spacing w:val="-16"/>
        </w:rPr>
        <w:t> </w:t>
      </w:r>
      <w:r>
        <w:rPr/>
        <w:t>as</w:t>
      </w:r>
      <w:r>
        <w:rPr>
          <w:spacing w:val="-17"/>
        </w:rPr>
        <w:t> </w:t>
      </w:r>
      <w:r>
        <w:rPr/>
        <w:t>another</w:t>
      </w:r>
      <w:r>
        <w:rPr>
          <w:spacing w:val="-16"/>
        </w:rPr>
        <w:t> </w:t>
      </w:r>
      <w:r>
        <w:rPr/>
        <w:t>producer</w:t>
      </w:r>
      <w:r>
        <w:rPr>
          <w:spacing w:val="-17"/>
        </w:rPr>
        <w:t> </w:t>
      </w:r>
      <w:r>
        <w:rPr/>
        <w:t>country,</w:t>
      </w:r>
      <w:r>
        <w:rPr>
          <w:spacing w:val="-15"/>
        </w:rPr>
        <w:t> </w:t>
      </w:r>
      <w:r>
        <w:rPr/>
        <w:t>contributes</w:t>
      </w:r>
      <w:r>
        <w:rPr>
          <w:spacing w:val="-17"/>
        </w:rPr>
        <w:t> </w:t>
      </w:r>
      <w:r>
        <w:rPr/>
        <w:t>the</w:t>
      </w:r>
      <w:r>
        <w:rPr>
          <w:spacing w:val="-15"/>
        </w:rPr>
        <w:t> </w:t>
      </w:r>
      <w:r>
        <w:rPr/>
        <w:t>following</w:t>
      </w:r>
      <w:r>
        <w:rPr>
          <w:spacing w:val="-17"/>
        </w:rPr>
        <w:t> </w:t>
      </w:r>
      <w:r>
        <w:rPr/>
        <w:t>green tea</w:t>
      </w:r>
      <w:r>
        <w:rPr>
          <w:spacing w:val="-1"/>
        </w:rPr>
        <w:t> </w:t>
      </w:r>
      <w:r>
        <w:rPr/>
        <w:t>varieties:</w:t>
      </w:r>
    </w:p>
    <w:p>
      <w:pPr>
        <w:pStyle w:val="ListParagraph"/>
        <w:numPr>
          <w:ilvl w:val="0"/>
          <w:numId w:val="27"/>
        </w:numPr>
        <w:tabs>
          <w:tab w:pos="1197" w:val="left" w:leader="none"/>
          <w:tab w:pos="1198" w:val="left" w:leader="none"/>
        </w:tabs>
        <w:spacing w:line="240" w:lineRule="auto" w:before="241" w:after="0"/>
        <w:ind w:left="1185" w:right="0" w:hanging="708"/>
        <w:jc w:val="left"/>
        <w:rPr>
          <w:sz w:val="38"/>
        </w:rPr>
      </w:pPr>
      <w:r>
        <w:rPr>
          <w:sz w:val="38"/>
        </w:rPr>
        <w:t>Assam</w:t>
      </w:r>
    </w:p>
    <w:p>
      <w:pPr>
        <w:pStyle w:val="ListParagraph"/>
        <w:numPr>
          <w:ilvl w:val="0"/>
          <w:numId w:val="27"/>
        </w:numPr>
        <w:tabs>
          <w:tab w:pos="1197" w:val="left" w:leader="none"/>
          <w:tab w:pos="1198" w:val="left" w:leader="none"/>
        </w:tabs>
        <w:spacing w:line="240" w:lineRule="auto" w:before="185" w:after="0"/>
        <w:ind w:left="1185" w:right="0" w:hanging="708"/>
        <w:jc w:val="left"/>
        <w:rPr>
          <w:sz w:val="38"/>
        </w:rPr>
      </w:pPr>
      <w:r>
        <w:rPr>
          <w:sz w:val="38"/>
        </w:rPr>
        <w:t>Nilgiri</w:t>
      </w:r>
    </w:p>
    <w:p>
      <w:pPr>
        <w:pStyle w:val="ListParagraph"/>
        <w:numPr>
          <w:ilvl w:val="0"/>
          <w:numId w:val="27"/>
        </w:numPr>
        <w:tabs>
          <w:tab w:pos="1197" w:val="left" w:leader="none"/>
          <w:tab w:pos="1198" w:val="left" w:leader="none"/>
        </w:tabs>
        <w:spacing w:line="240" w:lineRule="auto" w:before="184" w:after="0"/>
        <w:ind w:left="1185" w:right="0" w:hanging="708"/>
        <w:jc w:val="left"/>
        <w:rPr>
          <w:sz w:val="38"/>
        </w:rPr>
      </w:pPr>
      <w:r>
        <w:rPr>
          <w:sz w:val="38"/>
        </w:rPr>
        <w:t>Darjeeling</w:t>
      </w:r>
    </w:p>
    <w:p>
      <w:pPr>
        <w:spacing w:after="0" w:line="240" w:lineRule="auto"/>
        <w:jc w:val="left"/>
        <w:rPr>
          <w:sz w:val="38"/>
        </w:rPr>
        <w:sectPr>
          <w:pgSz w:w="14270" w:h="16850"/>
          <w:pgMar w:header="0" w:footer="404" w:top="1600" w:bottom="2080" w:left="800" w:right="1280"/>
        </w:sectPr>
      </w:pPr>
    </w:p>
    <w:p>
      <w:pPr>
        <w:pStyle w:val="Heading2"/>
        <w:spacing w:before="181"/>
      </w:pPr>
      <w:r>
        <w:rPr/>
        <w:t>Tabular presentation of the different green tea varieties:</w:t>
      </w:r>
    </w:p>
    <w:p>
      <w:pPr>
        <w:pStyle w:val="BodyText"/>
        <w:rPr>
          <w:b/>
          <w:sz w:val="20"/>
        </w:rPr>
      </w:pPr>
    </w:p>
    <w:p>
      <w:pPr>
        <w:pStyle w:val="BodyText"/>
        <w:rPr>
          <w:b/>
          <w:sz w:val="20"/>
        </w:rPr>
      </w:pPr>
    </w:p>
    <w:p>
      <w:pPr>
        <w:pStyle w:val="BodyText"/>
        <w:spacing w:before="8"/>
        <w:rPr>
          <w:b/>
          <w:sz w:val="14"/>
        </w:rPr>
      </w:pPr>
    </w:p>
    <w:tbl>
      <w:tblPr>
        <w:tblW w:w="0" w:type="auto"/>
        <w:jc w:val="left"/>
        <w:tblInd w:w="26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77"/>
        <w:gridCol w:w="1068"/>
        <w:gridCol w:w="1296"/>
        <w:gridCol w:w="1120"/>
        <w:gridCol w:w="1862"/>
      </w:tblGrid>
      <w:tr>
        <w:trPr>
          <w:trHeight w:val="1312" w:hRule="atLeast"/>
        </w:trPr>
        <w:tc>
          <w:tcPr>
            <w:tcW w:w="1877" w:type="dxa"/>
            <w:shd w:val="clear" w:color="auto" w:fill="8DB3E1"/>
          </w:tcPr>
          <w:p>
            <w:pPr>
              <w:pStyle w:val="TableParagraph"/>
              <w:spacing w:before="3"/>
              <w:rPr>
                <w:b/>
                <w:sz w:val="39"/>
              </w:rPr>
            </w:pPr>
          </w:p>
          <w:p>
            <w:pPr>
              <w:pStyle w:val="TableParagraph"/>
              <w:spacing w:before="1"/>
              <w:ind w:left="11"/>
              <w:jc w:val="center"/>
              <w:rPr>
                <w:b/>
                <w:sz w:val="38"/>
              </w:rPr>
            </w:pPr>
            <w:r>
              <w:rPr>
                <w:b/>
                <w:sz w:val="38"/>
              </w:rPr>
              <w:t>Name</w:t>
            </w:r>
          </w:p>
        </w:tc>
        <w:tc>
          <w:tcPr>
            <w:tcW w:w="1068" w:type="dxa"/>
            <w:shd w:val="clear" w:color="auto" w:fill="8DB3E1"/>
          </w:tcPr>
          <w:p>
            <w:pPr>
              <w:pStyle w:val="TableParagraph"/>
              <w:spacing w:line="428" w:lineRule="exact"/>
              <w:ind w:left="50" w:right="22" w:hanging="22"/>
              <w:jc w:val="both"/>
              <w:rPr>
                <w:b/>
                <w:sz w:val="38"/>
              </w:rPr>
            </w:pPr>
            <w:r>
              <w:rPr>
                <w:b/>
                <w:w w:val="95"/>
                <w:sz w:val="38"/>
              </w:rPr>
              <w:t>Coun- </w:t>
            </w:r>
            <w:r>
              <w:rPr>
                <w:b/>
                <w:sz w:val="38"/>
              </w:rPr>
              <w:t>try of origin</w:t>
            </w:r>
          </w:p>
        </w:tc>
        <w:tc>
          <w:tcPr>
            <w:tcW w:w="1296" w:type="dxa"/>
            <w:shd w:val="clear" w:color="auto" w:fill="8DB3E1"/>
          </w:tcPr>
          <w:p>
            <w:pPr>
              <w:pStyle w:val="TableParagraph"/>
              <w:spacing w:before="3"/>
              <w:rPr>
                <w:b/>
                <w:sz w:val="39"/>
              </w:rPr>
            </w:pPr>
          </w:p>
          <w:p>
            <w:pPr>
              <w:pStyle w:val="TableParagraph"/>
              <w:spacing w:before="1"/>
              <w:ind w:left="197"/>
              <w:rPr>
                <w:b/>
                <w:sz w:val="38"/>
              </w:rPr>
            </w:pPr>
            <w:r>
              <w:rPr>
                <w:b/>
                <w:sz w:val="38"/>
              </w:rPr>
              <w:t>Taste</w:t>
            </w:r>
          </w:p>
        </w:tc>
        <w:tc>
          <w:tcPr>
            <w:tcW w:w="1120" w:type="dxa"/>
            <w:shd w:val="clear" w:color="auto" w:fill="8DB3E1"/>
          </w:tcPr>
          <w:p>
            <w:pPr>
              <w:pStyle w:val="TableParagraph"/>
              <w:spacing w:line="428" w:lineRule="exact"/>
              <w:ind w:left="146" w:right="130" w:hanging="1"/>
              <w:jc w:val="center"/>
              <w:rPr>
                <w:b/>
                <w:sz w:val="38"/>
              </w:rPr>
            </w:pPr>
            <w:r>
              <w:rPr>
                <w:b/>
                <w:sz w:val="38"/>
              </w:rPr>
              <w:t>Ap- pear- ance</w:t>
            </w:r>
          </w:p>
        </w:tc>
        <w:tc>
          <w:tcPr>
            <w:tcW w:w="1862" w:type="dxa"/>
            <w:shd w:val="clear" w:color="auto" w:fill="8DB3E1"/>
          </w:tcPr>
          <w:p>
            <w:pPr>
              <w:pStyle w:val="TableParagraph"/>
              <w:spacing w:before="229"/>
              <w:ind w:left="649" w:hanging="623"/>
              <w:rPr>
                <w:b/>
                <w:sz w:val="38"/>
              </w:rPr>
            </w:pPr>
            <w:r>
              <w:rPr>
                <w:b/>
                <w:w w:val="95"/>
                <w:sz w:val="38"/>
              </w:rPr>
              <w:t>Particulari- </w:t>
            </w:r>
            <w:r>
              <w:rPr>
                <w:b/>
                <w:sz w:val="38"/>
              </w:rPr>
              <w:t>ties</w:t>
            </w:r>
          </w:p>
        </w:tc>
      </w:tr>
      <w:tr>
        <w:trPr>
          <w:trHeight w:val="3024" w:hRule="atLeast"/>
        </w:trPr>
        <w:tc>
          <w:tcPr>
            <w:tcW w:w="1877" w:type="dxa"/>
          </w:tcPr>
          <w:p>
            <w:pPr>
              <w:pStyle w:val="TableParagraph"/>
              <w:rPr>
                <w:b/>
                <w:sz w:val="44"/>
              </w:rPr>
            </w:pPr>
          </w:p>
          <w:p>
            <w:pPr>
              <w:pStyle w:val="TableParagraph"/>
              <w:rPr>
                <w:b/>
                <w:sz w:val="44"/>
              </w:rPr>
            </w:pPr>
          </w:p>
          <w:p>
            <w:pPr>
              <w:pStyle w:val="TableParagraph"/>
              <w:spacing w:before="290"/>
              <w:ind w:left="7"/>
              <w:jc w:val="center"/>
              <w:rPr>
                <w:b/>
                <w:i/>
                <w:sz w:val="40"/>
              </w:rPr>
            </w:pPr>
            <w:r>
              <w:rPr>
                <w:b/>
                <w:i/>
                <w:sz w:val="40"/>
              </w:rPr>
              <w:t>Matcha</w:t>
            </w:r>
          </w:p>
        </w:tc>
        <w:tc>
          <w:tcPr>
            <w:tcW w:w="1068" w:type="dxa"/>
          </w:tcPr>
          <w:p>
            <w:pPr>
              <w:pStyle w:val="TableParagraph"/>
              <w:rPr>
                <w:b/>
                <w:sz w:val="42"/>
              </w:rPr>
            </w:pPr>
          </w:p>
          <w:p>
            <w:pPr>
              <w:pStyle w:val="TableParagraph"/>
              <w:rPr>
                <w:b/>
                <w:sz w:val="42"/>
              </w:rPr>
            </w:pPr>
          </w:p>
          <w:p>
            <w:pPr>
              <w:pStyle w:val="TableParagraph"/>
              <w:spacing w:before="352"/>
              <w:ind w:left="117"/>
              <w:rPr>
                <w:sz w:val="38"/>
              </w:rPr>
            </w:pPr>
            <w:r>
              <w:rPr>
                <w:sz w:val="38"/>
              </w:rPr>
              <w:t>Japan</w:t>
            </w:r>
          </w:p>
        </w:tc>
        <w:tc>
          <w:tcPr>
            <w:tcW w:w="1296" w:type="dxa"/>
          </w:tcPr>
          <w:p>
            <w:pPr>
              <w:pStyle w:val="TableParagraph"/>
              <w:rPr>
                <w:b/>
                <w:sz w:val="42"/>
              </w:rPr>
            </w:pPr>
          </w:p>
          <w:p>
            <w:pPr>
              <w:pStyle w:val="TableParagraph"/>
              <w:spacing w:before="4"/>
              <w:rPr>
                <w:b/>
                <w:sz w:val="54"/>
              </w:rPr>
            </w:pPr>
          </w:p>
          <w:p>
            <w:pPr>
              <w:pStyle w:val="TableParagraph"/>
              <w:ind w:left="310" w:right="278" w:firstLine="84"/>
              <w:rPr>
                <w:sz w:val="38"/>
              </w:rPr>
            </w:pPr>
            <w:r>
              <w:rPr>
                <w:sz w:val="38"/>
              </w:rPr>
              <w:t>tart taste</w:t>
            </w:r>
          </w:p>
        </w:tc>
        <w:tc>
          <w:tcPr>
            <w:tcW w:w="1120" w:type="dxa"/>
          </w:tcPr>
          <w:p>
            <w:pPr>
              <w:pStyle w:val="TableParagraph"/>
              <w:rPr>
                <w:b/>
                <w:sz w:val="42"/>
              </w:rPr>
            </w:pPr>
          </w:p>
          <w:p>
            <w:pPr>
              <w:pStyle w:val="TableParagraph"/>
              <w:spacing w:before="4"/>
              <w:rPr>
                <w:b/>
                <w:sz w:val="54"/>
              </w:rPr>
            </w:pPr>
          </w:p>
          <w:p>
            <w:pPr>
              <w:pStyle w:val="TableParagraph"/>
              <w:ind w:left="242" w:right="146" w:hanging="63"/>
              <w:rPr>
                <w:sz w:val="38"/>
              </w:rPr>
            </w:pPr>
            <w:r>
              <w:rPr>
                <w:sz w:val="38"/>
              </w:rPr>
              <w:t>pow- dery</w:t>
            </w:r>
          </w:p>
        </w:tc>
        <w:tc>
          <w:tcPr>
            <w:tcW w:w="1862" w:type="dxa"/>
          </w:tcPr>
          <w:p>
            <w:pPr>
              <w:pStyle w:val="TableParagraph"/>
              <w:spacing w:before="15"/>
              <w:ind w:left="97" w:right="81" w:hanging="4"/>
              <w:jc w:val="center"/>
              <w:rPr>
                <w:sz w:val="38"/>
              </w:rPr>
            </w:pPr>
            <w:r>
              <w:rPr>
                <w:sz w:val="38"/>
              </w:rPr>
              <w:t>Used for Japanese </w:t>
            </w:r>
            <w:r>
              <w:rPr>
                <w:w w:val="95"/>
                <w:sz w:val="38"/>
              </w:rPr>
              <w:t>ceremonies </w:t>
            </w:r>
            <w:r>
              <w:rPr>
                <w:sz w:val="38"/>
              </w:rPr>
              <w:t>and beaten to a foam with bam-</w:t>
            </w:r>
          </w:p>
          <w:p>
            <w:pPr>
              <w:pStyle w:val="TableParagraph"/>
              <w:spacing w:line="422" w:lineRule="exact" w:before="1"/>
              <w:ind w:left="15"/>
              <w:jc w:val="center"/>
              <w:rPr>
                <w:sz w:val="38"/>
              </w:rPr>
            </w:pPr>
            <w:r>
              <w:rPr>
                <w:sz w:val="38"/>
              </w:rPr>
              <w:t>boo brushes</w:t>
            </w:r>
          </w:p>
        </w:tc>
      </w:tr>
      <w:tr>
        <w:trPr>
          <w:trHeight w:val="1312" w:hRule="atLeast"/>
        </w:trPr>
        <w:tc>
          <w:tcPr>
            <w:tcW w:w="1877" w:type="dxa"/>
          </w:tcPr>
          <w:p>
            <w:pPr>
              <w:pStyle w:val="TableParagraph"/>
              <w:spacing w:before="9"/>
              <w:rPr>
                <w:b/>
                <w:sz w:val="37"/>
              </w:rPr>
            </w:pPr>
          </w:p>
          <w:p>
            <w:pPr>
              <w:pStyle w:val="TableParagraph"/>
              <w:ind w:left="8"/>
              <w:jc w:val="center"/>
              <w:rPr>
                <w:b/>
                <w:i/>
                <w:sz w:val="40"/>
              </w:rPr>
            </w:pPr>
            <w:r>
              <w:rPr>
                <w:b/>
                <w:i/>
                <w:w w:val="95"/>
                <w:sz w:val="40"/>
              </w:rPr>
              <w:t>Genmaicha</w:t>
            </w:r>
          </w:p>
        </w:tc>
        <w:tc>
          <w:tcPr>
            <w:tcW w:w="1068" w:type="dxa"/>
          </w:tcPr>
          <w:p>
            <w:pPr>
              <w:pStyle w:val="TableParagraph"/>
              <w:spacing w:before="3"/>
              <w:rPr>
                <w:b/>
                <w:sz w:val="39"/>
              </w:rPr>
            </w:pPr>
          </w:p>
          <w:p>
            <w:pPr>
              <w:pStyle w:val="TableParagraph"/>
              <w:spacing w:before="1"/>
              <w:ind w:left="117"/>
              <w:rPr>
                <w:sz w:val="38"/>
              </w:rPr>
            </w:pPr>
            <w:r>
              <w:rPr>
                <w:sz w:val="38"/>
              </w:rPr>
              <w:t>Japan</w:t>
            </w:r>
          </w:p>
        </w:tc>
        <w:tc>
          <w:tcPr>
            <w:tcW w:w="1296" w:type="dxa"/>
          </w:tcPr>
          <w:p>
            <w:pPr>
              <w:pStyle w:val="TableParagraph"/>
              <w:spacing w:before="226"/>
              <w:ind w:left="185" w:right="149" w:hanging="8"/>
              <w:rPr>
                <w:sz w:val="38"/>
              </w:rPr>
            </w:pPr>
            <w:r>
              <w:rPr>
                <w:sz w:val="38"/>
              </w:rPr>
              <w:t>strong aroma</w:t>
            </w:r>
          </w:p>
        </w:tc>
        <w:tc>
          <w:tcPr>
            <w:tcW w:w="1120" w:type="dxa"/>
          </w:tcPr>
          <w:p>
            <w:pPr>
              <w:pStyle w:val="TableParagraph"/>
              <w:spacing w:before="226"/>
              <w:ind w:left="156" w:right="121" w:firstLine="79"/>
              <w:rPr>
                <w:sz w:val="38"/>
              </w:rPr>
            </w:pPr>
            <w:r>
              <w:rPr>
                <w:sz w:val="38"/>
              </w:rPr>
              <w:t>dark green</w:t>
            </w:r>
          </w:p>
        </w:tc>
        <w:tc>
          <w:tcPr>
            <w:tcW w:w="1862" w:type="dxa"/>
          </w:tcPr>
          <w:p>
            <w:pPr>
              <w:pStyle w:val="TableParagraph"/>
              <w:spacing w:before="13"/>
              <w:ind w:left="25" w:right="9" w:firstLine="4"/>
              <w:jc w:val="center"/>
              <w:rPr>
                <w:sz w:val="38"/>
              </w:rPr>
            </w:pPr>
            <w:r>
              <w:rPr>
                <w:sz w:val="38"/>
              </w:rPr>
              <w:t>Flavoured with</w:t>
            </w:r>
            <w:r>
              <w:rPr>
                <w:spacing w:val="-10"/>
                <w:sz w:val="38"/>
              </w:rPr>
              <w:t> </w:t>
            </w:r>
            <w:r>
              <w:rPr>
                <w:sz w:val="38"/>
              </w:rPr>
              <w:t>roasted</w:t>
            </w:r>
          </w:p>
          <w:p>
            <w:pPr>
              <w:pStyle w:val="TableParagraph"/>
              <w:spacing w:line="422" w:lineRule="exact" w:before="2"/>
              <w:ind w:left="13"/>
              <w:jc w:val="center"/>
              <w:rPr>
                <w:sz w:val="38"/>
              </w:rPr>
            </w:pPr>
            <w:r>
              <w:rPr>
                <w:sz w:val="38"/>
              </w:rPr>
              <w:t>corn</w:t>
            </w:r>
            <w:r>
              <w:rPr>
                <w:spacing w:val="-3"/>
                <w:sz w:val="38"/>
              </w:rPr>
              <w:t> </w:t>
            </w:r>
            <w:r>
              <w:rPr>
                <w:sz w:val="38"/>
              </w:rPr>
              <w:t>kernels</w:t>
            </w:r>
          </w:p>
        </w:tc>
      </w:tr>
      <w:tr>
        <w:trPr>
          <w:trHeight w:val="4733" w:hRule="atLeast"/>
        </w:trPr>
        <w:tc>
          <w:tcPr>
            <w:tcW w:w="1877" w:type="dxa"/>
          </w:tcPr>
          <w:p>
            <w:pPr>
              <w:pStyle w:val="TableParagraph"/>
              <w:rPr>
                <w:b/>
                <w:sz w:val="44"/>
              </w:rPr>
            </w:pPr>
          </w:p>
          <w:p>
            <w:pPr>
              <w:pStyle w:val="TableParagraph"/>
              <w:rPr>
                <w:b/>
                <w:sz w:val="44"/>
              </w:rPr>
            </w:pPr>
          </w:p>
          <w:p>
            <w:pPr>
              <w:pStyle w:val="TableParagraph"/>
              <w:rPr>
                <w:b/>
                <w:sz w:val="44"/>
              </w:rPr>
            </w:pPr>
          </w:p>
          <w:p>
            <w:pPr>
              <w:pStyle w:val="TableParagraph"/>
              <w:spacing w:before="8"/>
              <w:rPr>
                <w:b/>
                <w:sz w:val="57"/>
              </w:rPr>
            </w:pPr>
          </w:p>
          <w:p>
            <w:pPr>
              <w:pStyle w:val="TableParagraph"/>
              <w:ind w:left="8"/>
              <w:jc w:val="center"/>
              <w:rPr>
                <w:b/>
                <w:i/>
                <w:sz w:val="40"/>
              </w:rPr>
            </w:pPr>
            <w:r>
              <w:rPr>
                <w:b/>
                <w:i/>
                <w:sz w:val="40"/>
              </w:rPr>
              <w:t>Gyokuro</w:t>
            </w:r>
          </w:p>
        </w:tc>
        <w:tc>
          <w:tcPr>
            <w:tcW w:w="1068" w:type="dxa"/>
          </w:tcPr>
          <w:p>
            <w:pPr>
              <w:pStyle w:val="TableParagraph"/>
              <w:rPr>
                <w:b/>
                <w:sz w:val="42"/>
              </w:rPr>
            </w:pPr>
          </w:p>
          <w:p>
            <w:pPr>
              <w:pStyle w:val="TableParagraph"/>
              <w:rPr>
                <w:b/>
                <w:sz w:val="42"/>
              </w:rPr>
            </w:pPr>
          </w:p>
          <w:p>
            <w:pPr>
              <w:pStyle w:val="TableParagraph"/>
              <w:rPr>
                <w:b/>
                <w:sz w:val="42"/>
              </w:rPr>
            </w:pPr>
          </w:p>
          <w:p>
            <w:pPr>
              <w:pStyle w:val="TableParagraph"/>
              <w:rPr>
                <w:b/>
                <w:sz w:val="42"/>
              </w:rPr>
            </w:pPr>
          </w:p>
          <w:p>
            <w:pPr>
              <w:pStyle w:val="TableParagraph"/>
              <w:spacing w:before="262"/>
              <w:ind w:left="117"/>
              <w:rPr>
                <w:sz w:val="38"/>
              </w:rPr>
            </w:pPr>
            <w:r>
              <w:rPr>
                <w:sz w:val="38"/>
              </w:rPr>
              <w:t>Japan</w:t>
            </w:r>
          </w:p>
        </w:tc>
        <w:tc>
          <w:tcPr>
            <w:tcW w:w="1296" w:type="dxa"/>
          </w:tcPr>
          <w:p>
            <w:pPr>
              <w:pStyle w:val="TableParagraph"/>
              <w:rPr>
                <w:b/>
                <w:sz w:val="42"/>
              </w:rPr>
            </w:pPr>
          </w:p>
          <w:p>
            <w:pPr>
              <w:pStyle w:val="TableParagraph"/>
              <w:rPr>
                <w:b/>
                <w:sz w:val="42"/>
              </w:rPr>
            </w:pPr>
          </w:p>
          <w:p>
            <w:pPr>
              <w:pStyle w:val="TableParagraph"/>
              <w:spacing w:before="3"/>
              <w:rPr>
                <w:b/>
                <w:sz w:val="50"/>
              </w:rPr>
            </w:pPr>
          </w:p>
          <w:p>
            <w:pPr>
              <w:pStyle w:val="TableParagraph"/>
              <w:ind w:left="175" w:right="166" w:hanging="1"/>
              <w:jc w:val="center"/>
              <w:rPr>
                <w:sz w:val="38"/>
              </w:rPr>
            </w:pPr>
            <w:r>
              <w:rPr>
                <w:w w:val="95"/>
                <w:sz w:val="38"/>
              </w:rPr>
              <w:t>sweet- </w:t>
            </w:r>
            <w:r>
              <w:rPr>
                <w:sz w:val="38"/>
              </w:rPr>
              <w:t>ish, strong taste</w:t>
            </w:r>
          </w:p>
        </w:tc>
        <w:tc>
          <w:tcPr>
            <w:tcW w:w="1120" w:type="dxa"/>
          </w:tcPr>
          <w:p>
            <w:pPr>
              <w:pStyle w:val="TableParagraph"/>
              <w:rPr>
                <w:b/>
                <w:sz w:val="42"/>
              </w:rPr>
            </w:pPr>
          </w:p>
          <w:p>
            <w:pPr>
              <w:pStyle w:val="TableParagraph"/>
              <w:rPr>
                <w:b/>
                <w:sz w:val="42"/>
              </w:rPr>
            </w:pPr>
          </w:p>
          <w:p>
            <w:pPr>
              <w:pStyle w:val="TableParagraph"/>
              <w:rPr>
                <w:b/>
                <w:sz w:val="42"/>
              </w:rPr>
            </w:pPr>
          </w:p>
          <w:p>
            <w:pPr>
              <w:pStyle w:val="TableParagraph"/>
              <w:spacing w:before="3"/>
              <w:rPr>
                <w:b/>
                <w:sz w:val="46"/>
              </w:rPr>
            </w:pPr>
          </w:p>
          <w:p>
            <w:pPr>
              <w:pStyle w:val="TableParagraph"/>
              <w:ind w:left="156" w:right="121" w:firstLine="24"/>
              <w:rPr>
                <w:sz w:val="38"/>
              </w:rPr>
            </w:pPr>
            <w:r>
              <w:rPr>
                <w:sz w:val="38"/>
              </w:rPr>
              <w:t>gold- green</w:t>
            </w:r>
          </w:p>
        </w:tc>
        <w:tc>
          <w:tcPr>
            <w:tcW w:w="1862" w:type="dxa"/>
          </w:tcPr>
          <w:p>
            <w:pPr>
              <w:pStyle w:val="TableParagraph"/>
              <w:spacing w:before="16"/>
              <w:ind w:left="15" w:right="-15" w:hanging="5"/>
              <w:jc w:val="center"/>
              <w:rPr>
                <w:sz w:val="38"/>
              </w:rPr>
            </w:pPr>
            <w:r>
              <w:rPr>
                <w:sz w:val="38"/>
              </w:rPr>
              <w:t>Pseudonym: ‘Noble dew- drop’, also known as the ‘corona- tion of Jap- anese tea’. It is prepared with infu- sion, with</w:t>
            </w:r>
          </w:p>
          <w:p>
            <w:pPr>
              <w:pStyle w:val="TableParagraph"/>
              <w:spacing w:line="422" w:lineRule="exact"/>
              <w:ind w:left="14"/>
              <w:jc w:val="center"/>
              <w:rPr>
                <w:sz w:val="38"/>
              </w:rPr>
            </w:pPr>
            <w:r>
              <w:rPr>
                <w:sz w:val="38"/>
              </w:rPr>
              <w:t>water</w:t>
            </w:r>
          </w:p>
        </w:tc>
      </w:tr>
    </w:tbl>
    <w:p>
      <w:pPr>
        <w:spacing w:after="0" w:line="422" w:lineRule="exact"/>
        <w:jc w:val="center"/>
        <w:rPr>
          <w:sz w:val="38"/>
        </w:rPr>
        <w:sectPr>
          <w:pgSz w:w="14270" w:h="16850"/>
          <w:pgMar w:header="0" w:footer="404" w:top="1600" w:bottom="2080" w:left="800" w:right="1280"/>
        </w:sectPr>
      </w:pPr>
    </w:p>
    <w:p>
      <w:pPr>
        <w:pStyle w:val="BodyText"/>
        <w:spacing w:before="1"/>
        <w:rPr>
          <w:rFonts w:ascii="Times New Roman"/>
          <w:sz w:val="16"/>
        </w:rPr>
      </w:pPr>
    </w:p>
    <w:tbl>
      <w:tblPr>
        <w:tblW w:w="0" w:type="auto"/>
        <w:jc w:val="left"/>
        <w:tblInd w:w="26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77"/>
        <w:gridCol w:w="1068"/>
        <w:gridCol w:w="1296"/>
        <w:gridCol w:w="1120"/>
        <w:gridCol w:w="1862"/>
      </w:tblGrid>
      <w:tr>
        <w:trPr>
          <w:trHeight w:val="1739" w:hRule="atLeast"/>
        </w:trPr>
        <w:tc>
          <w:tcPr>
            <w:tcW w:w="1877" w:type="dxa"/>
          </w:tcPr>
          <w:p>
            <w:pPr>
              <w:pStyle w:val="TableParagraph"/>
              <w:rPr>
                <w:rFonts w:ascii="Times New Roman"/>
                <w:sz w:val="36"/>
              </w:rPr>
            </w:pPr>
          </w:p>
        </w:tc>
        <w:tc>
          <w:tcPr>
            <w:tcW w:w="1068" w:type="dxa"/>
          </w:tcPr>
          <w:p>
            <w:pPr>
              <w:pStyle w:val="TableParagraph"/>
              <w:rPr>
                <w:rFonts w:ascii="Times New Roman"/>
                <w:sz w:val="36"/>
              </w:rPr>
            </w:pPr>
          </w:p>
        </w:tc>
        <w:tc>
          <w:tcPr>
            <w:tcW w:w="1296" w:type="dxa"/>
          </w:tcPr>
          <w:p>
            <w:pPr>
              <w:pStyle w:val="TableParagraph"/>
              <w:rPr>
                <w:rFonts w:ascii="Times New Roman"/>
                <w:sz w:val="36"/>
              </w:rPr>
            </w:pPr>
          </w:p>
        </w:tc>
        <w:tc>
          <w:tcPr>
            <w:tcW w:w="1120" w:type="dxa"/>
          </w:tcPr>
          <w:p>
            <w:pPr>
              <w:pStyle w:val="TableParagraph"/>
              <w:rPr>
                <w:rFonts w:ascii="Times New Roman"/>
                <w:sz w:val="36"/>
              </w:rPr>
            </w:pPr>
          </w:p>
        </w:tc>
        <w:tc>
          <w:tcPr>
            <w:tcW w:w="1862" w:type="dxa"/>
          </w:tcPr>
          <w:p>
            <w:pPr>
              <w:pStyle w:val="TableParagraph"/>
              <w:spacing w:before="15"/>
              <w:ind w:left="238" w:right="225"/>
              <w:jc w:val="center"/>
              <w:rPr>
                <w:sz w:val="38"/>
              </w:rPr>
            </w:pPr>
            <w:r>
              <w:rPr>
                <w:sz w:val="38"/>
              </w:rPr>
              <w:t>cooled</w:t>
            </w:r>
            <w:r>
              <w:rPr>
                <w:spacing w:val="-5"/>
                <w:sz w:val="38"/>
              </w:rPr>
              <w:t> </w:t>
            </w:r>
            <w:r>
              <w:rPr>
                <w:sz w:val="38"/>
              </w:rPr>
              <w:t>to 50-60°C,</w:t>
            </w:r>
          </w:p>
          <w:p>
            <w:pPr>
              <w:pStyle w:val="TableParagraph"/>
              <w:spacing w:line="427" w:lineRule="exact"/>
              <w:ind w:left="14"/>
              <w:jc w:val="center"/>
              <w:rPr>
                <w:sz w:val="38"/>
              </w:rPr>
            </w:pPr>
            <w:r>
              <w:rPr>
                <w:sz w:val="38"/>
              </w:rPr>
              <w:t>caffeine-</w:t>
            </w:r>
          </w:p>
          <w:p>
            <w:pPr>
              <w:pStyle w:val="TableParagraph"/>
              <w:spacing w:line="422" w:lineRule="exact"/>
              <w:ind w:left="11"/>
              <w:jc w:val="center"/>
              <w:rPr>
                <w:sz w:val="38"/>
              </w:rPr>
            </w:pPr>
            <w:r>
              <w:rPr>
                <w:sz w:val="38"/>
              </w:rPr>
              <w:t>rich</w:t>
            </w:r>
          </w:p>
        </w:tc>
      </w:tr>
      <w:tr>
        <w:trPr>
          <w:trHeight w:val="3878" w:hRule="atLeast"/>
        </w:trPr>
        <w:tc>
          <w:tcPr>
            <w:tcW w:w="1877" w:type="dxa"/>
          </w:tcPr>
          <w:p>
            <w:pPr>
              <w:pStyle w:val="TableParagraph"/>
              <w:rPr>
                <w:rFonts w:ascii="Times New Roman"/>
                <w:sz w:val="44"/>
              </w:rPr>
            </w:pPr>
          </w:p>
          <w:p>
            <w:pPr>
              <w:pStyle w:val="TableParagraph"/>
              <w:rPr>
                <w:rFonts w:ascii="Times New Roman"/>
                <w:sz w:val="44"/>
              </w:rPr>
            </w:pPr>
          </w:p>
          <w:p>
            <w:pPr>
              <w:pStyle w:val="TableParagraph"/>
              <w:spacing w:before="5"/>
              <w:rPr>
                <w:rFonts w:ascii="Times New Roman"/>
                <w:sz w:val="60"/>
              </w:rPr>
            </w:pPr>
          </w:p>
          <w:p>
            <w:pPr>
              <w:pStyle w:val="TableParagraph"/>
              <w:ind w:left="6"/>
              <w:jc w:val="center"/>
              <w:rPr>
                <w:b/>
                <w:i/>
                <w:sz w:val="40"/>
              </w:rPr>
            </w:pPr>
            <w:r>
              <w:rPr>
                <w:b/>
                <w:i/>
                <w:sz w:val="40"/>
              </w:rPr>
              <w:t>Bancha</w:t>
            </w:r>
          </w:p>
        </w:tc>
        <w:tc>
          <w:tcPr>
            <w:tcW w:w="1068" w:type="dxa"/>
          </w:tcPr>
          <w:p>
            <w:pPr>
              <w:pStyle w:val="TableParagraph"/>
              <w:rPr>
                <w:rFonts w:ascii="Times New Roman"/>
                <w:sz w:val="42"/>
              </w:rPr>
            </w:pPr>
          </w:p>
          <w:p>
            <w:pPr>
              <w:pStyle w:val="TableParagraph"/>
              <w:spacing w:before="2"/>
              <w:rPr>
                <w:rFonts w:ascii="Times New Roman"/>
                <w:sz w:val="52"/>
              </w:rPr>
            </w:pPr>
          </w:p>
          <w:p>
            <w:pPr>
              <w:pStyle w:val="TableParagraph"/>
              <w:ind w:left="52" w:right="46" w:firstLine="1"/>
              <w:jc w:val="center"/>
              <w:rPr>
                <w:sz w:val="38"/>
              </w:rPr>
            </w:pPr>
            <w:r>
              <w:rPr>
                <w:sz w:val="38"/>
              </w:rPr>
              <w:t>Japan, China, Tai- wan</w:t>
            </w:r>
          </w:p>
        </w:tc>
        <w:tc>
          <w:tcPr>
            <w:tcW w:w="1296" w:type="dxa"/>
          </w:tcPr>
          <w:p>
            <w:pPr>
              <w:pStyle w:val="TableParagraph"/>
              <w:rPr>
                <w:rFonts w:ascii="Times New Roman"/>
                <w:sz w:val="42"/>
              </w:rPr>
            </w:pPr>
          </w:p>
          <w:p>
            <w:pPr>
              <w:pStyle w:val="TableParagraph"/>
              <w:rPr>
                <w:rFonts w:ascii="Times New Roman"/>
                <w:sz w:val="42"/>
              </w:rPr>
            </w:pPr>
          </w:p>
          <w:p>
            <w:pPr>
              <w:pStyle w:val="TableParagraph"/>
              <w:spacing w:before="4"/>
              <w:rPr>
                <w:rFonts w:ascii="Times New Roman"/>
                <w:sz w:val="47"/>
              </w:rPr>
            </w:pPr>
          </w:p>
          <w:p>
            <w:pPr>
              <w:pStyle w:val="TableParagraph"/>
              <w:spacing w:before="1"/>
              <w:ind w:left="230" w:right="187" w:hanging="15"/>
              <w:rPr>
                <w:sz w:val="38"/>
              </w:rPr>
            </w:pPr>
            <w:r>
              <w:rPr>
                <w:sz w:val="38"/>
              </w:rPr>
              <w:t>fresh- herby</w:t>
            </w:r>
          </w:p>
        </w:tc>
        <w:tc>
          <w:tcPr>
            <w:tcW w:w="1120" w:type="dxa"/>
          </w:tcPr>
          <w:p>
            <w:pPr>
              <w:pStyle w:val="TableParagraph"/>
              <w:rPr>
                <w:rFonts w:ascii="Times New Roman"/>
                <w:sz w:val="42"/>
              </w:rPr>
            </w:pPr>
          </w:p>
          <w:p>
            <w:pPr>
              <w:pStyle w:val="TableParagraph"/>
              <w:rPr>
                <w:rFonts w:ascii="Times New Roman"/>
                <w:sz w:val="42"/>
              </w:rPr>
            </w:pPr>
          </w:p>
          <w:p>
            <w:pPr>
              <w:pStyle w:val="TableParagraph"/>
              <w:spacing w:before="331"/>
              <w:ind w:left="31" w:right="16"/>
              <w:jc w:val="center"/>
              <w:rPr>
                <w:sz w:val="38"/>
              </w:rPr>
            </w:pPr>
            <w:r>
              <w:rPr>
                <w:w w:val="95"/>
                <w:sz w:val="38"/>
              </w:rPr>
              <w:t>yellow- </w:t>
            </w:r>
            <w:r>
              <w:rPr>
                <w:sz w:val="38"/>
              </w:rPr>
              <w:t>green- ish</w:t>
            </w:r>
          </w:p>
        </w:tc>
        <w:tc>
          <w:tcPr>
            <w:tcW w:w="1862" w:type="dxa"/>
          </w:tcPr>
          <w:p>
            <w:pPr>
              <w:pStyle w:val="TableParagraph"/>
              <w:spacing w:before="15"/>
              <w:ind w:left="70" w:right="55" w:hanging="1"/>
              <w:jc w:val="center"/>
              <w:rPr>
                <w:sz w:val="38"/>
              </w:rPr>
            </w:pPr>
            <w:r>
              <w:rPr>
                <w:sz w:val="38"/>
              </w:rPr>
              <w:t>Little caf- feine, very digestible, therefore very suita- ble for chil- dren and older peo-</w:t>
            </w:r>
          </w:p>
          <w:p>
            <w:pPr>
              <w:pStyle w:val="TableParagraph"/>
              <w:spacing w:line="422" w:lineRule="exact" w:before="1"/>
              <w:ind w:left="15"/>
              <w:jc w:val="center"/>
              <w:rPr>
                <w:sz w:val="38"/>
              </w:rPr>
            </w:pPr>
            <w:r>
              <w:rPr>
                <w:sz w:val="38"/>
              </w:rPr>
              <w:t>ple</w:t>
            </w:r>
          </w:p>
        </w:tc>
      </w:tr>
      <w:tr>
        <w:trPr>
          <w:trHeight w:val="2169" w:hRule="atLeast"/>
        </w:trPr>
        <w:tc>
          <w:tcPr>
            <w:tcW w:w="1877" w:type="dxa"/>
          </w:tcPr>
          <w:p>
            <w:pPr>
              <w:pStyle w:val="TableParagraph"/>
              <w:rPr>
                <w:rFonts w:ascii="Times New Roman"/>
                <w:sz w:val="44"/>
              </w:rPr>
            </w:pPr>
          </w:p>
          <w:p>
            <w:pPr>
              <w:pStyle w:val="TableParagraph"/>
              <w:spacing w:before="347"/>
              <w:ind w:left="6"/>
              <w:jc w:val="center"/>
              <w:rPr>
                <w:b/>
                <w:i/>
                <w:sz w:val="40"/>
              </w:rPr>
            </w:pPr>
            <w:r>
              <w:rPr>
                <w:b/>
                <w:i/>
                <w:sz w:val="40"/>
              </w:rPr>
              <w:t>Sencha</w:t>
            </w:r>
          </w:p>
        </w:tc>
        <w:tc>
          <w:tcPr>
            <w:tcW w:w="1068" w:type="dxa"/>
          </w:tcPr>
          <w:p>
            <w:pPr>
              <w:pStyle w:val="TableParagraph"/>
              <w:spacing w:before="229"/>
              <w:ind w:left="52" w:right="46" w:firstLine="1"/>
              <w:jc w:val="center"/>
              <w:rPr>
                <w:sz w:val="38"/>
              </w:rPr>
            </w:pPr>
            <w:r>
              <w:rPr>
                <w:sz w:val="38"/>
              </w:rPr>
              <w:t>Japan, China, Tai- wan</w:t>
            </w:r>
          </w:p>
        </w:tc>
        <w:tc>
          <w:tcPr>
            <w:tcW w:w="1296" w:type="dxa"/>
          </w:tcPr>
          <w:p>
            <w:pPr>
              <w:pStyle w:val="TableParagraph"/>
              <w:spacing w:before="229"/>
              <w:ind w:left="29" w:right="18"/>
              <w:jc w:val="center"/>
              <w:rPr>
                <w:sz w:val="38"/>
              </w:rPr>
            </w:pPr>
            <w:r>
              <w:rPr>
                <w:spacing w:val="-1"/>
                <w:sz w:val="38"/>
              </w:rPr>
              <w:t>fragrant, </w:t>
            </w:r>
            <w:r>
              <w:rPr>
                <w:sz w:val="38"/>
              </w:rPr>
              <w:t>fresh and light</w:t>
            </w:r>
          </w:p>
        </w:tc>
        <w:tc>
          <w:tcPr>
            <w:tcW w:w="1120" w:type="dxa"/>
          </w:tcPr>
          <w:p>
            <w:pPr>
              <w:pStyle w:val="TableParagraph"/>
              <w:rPr>
                <w:rFonts w:ascii="Times New Roman"/>
                <w:sz w:val="57"/>
              </w:rPr>
            </w:pPr>
          </w:p>
          <w:p>
            <w:pPr>
              <w:pStyle w:val="TableParagraph"/>
              <w:ind w:left="156" w:right="9" w:hanging="125"/>
              <w:rPr>
                <w:sz w:val="38"/>
              </w:rPr>
            </w:pPr>
            <w:r>
              <w:rPr>
                <w:w w:val="95"/>
                <w:sz w:val="38"/>
              </w:rPr>
              <w:t>yellow- </w:t>
            </w:r>
            <w:r>
              <w:rPr>
                <w:sz w:val="38"/>
              </w:rPr>
              <w:t>green</w:t>
            </w:r>
          </w:p>
        </w:tc>
        <w:tc>
          <w:tcPr>
            <w:tcW w:w="1862" w:type="dxa"/>
          </w:tcPr>
          <w:p>
            <w:pPr>
              <w:pStyle w:val="TableParagraph"/>
              <w:spacing w:before="15"/>
              <w:ind w:left="16"/>
              <w:jc w:val="center"/>
              <w:rPr>
                <w:sz w:val="38"/>
              </w:rPr>
            </w:pPr>
            <w:r>
              <w:rPr>
                <w:sz w:val="38"/>
              </w:rPr>
              <w:t>The darker the colour, the more valuable the</w:t>
            </w:r>
          </w:p>
          <w:p>
            <w:pPr>
              <w:pStyle w:val="TableParagraph"/>
              <w:spacing w:line="424" w:lineRule="exact"/>
              <w:ind w:left="15"/>
              <w:jc w:val="center"/>
              <w:rPr>
                <w:sz w:val="38"/>
              </w:rPr>
            </w:pPr>
            <w:r>
              <w:rPr>
                <w:sz w:val="38"/>
              </w:rPr>
              <w:t>tea</w:t>
            </w:r>
          </w:p>
        </w:tc>
      </w:tr>
      <w:tr>
        <w:trPr>
          <w:trHeight w:val="1739" w:hRule="atLeast"/>
        </w:trPr>
        <w:tc>
          <w:tcPr>
            <w:tcW w:w="1877" w:type="dxa"/>
          </w:tcPr>
          <w:p>
            <w:pPr>
              <w:pStyle w:val="TableParagraph"/>
              <w:spacing w:before="3"/>
              <w:rPr>
                <w:rFonts w:ascii="Times New Roman"/>
                <w:sz w:val="38"/>
              </w:rPr>
            </w:pPr>
          </w:p>
          <w:p>
            <w:pPr>
              <w:pStyle w:val="TableParagraph"/>
              <w:spacing w:line="228" w:lineRule="auto"/>
              <w:ind w:left="311" w:right="183" w:hanging="118"/>
              <w:rPr>
                <w:b/>
                <w:i/>
                <w:sz w:val="40"/>
              </w:rPr>
            </w:pPr>
            <w:r>
              <w:rPr>
                <w:b/>
                <w:i/>
                <w:w w:val="90"/>
                <w:sz w:val="40"/>
              </w:rPr>
              <w:t>Fukamu- </w:t>
            </w:r>
            <w:r>
              <w:rPr>
                <w:b/>
                <w:i/>
                <w:sz w:val="40"/>
              </w:rPr>
              <w:t>shi-Cha</w:t>
            </w:r>
          </w:p>
        </w:tc>
        <w:tc>
          <w:tcPr>
            <w:tcW w:w="1068" w:type="dxa"/>
          </w:tcPr>
          <w:p>
            <w:pPr>
              <w:pStyle w:val="TableParagraph"/>
              <w:spacing w:before="13"/>
              <w:ind w:left="52" w:right="46" w:firstLine="24"/>
              <w:jc w:val="both"/>
              <w:rPr>
                <w:sz w:val="38"/>
              </w:rPr>
            </w:pPr>
            <w:r>
              <w:rPr>
                <w:sz w:val="38"/>
              </w:rPr>
              <w:t>Japan, </w:t>
            </w:r>
            <w:r>
              <w:rPr>
                <w:w w:val="95"/>
                <w:sz w:val="38"/>
              </w:rPr>
              <w:t>China, </w:t>
            </w:r>
            <w:r>
              <w:rPr>
                <w:sz w:val="38"/>
              </w:rPr>
              <w:t>Tai-</w:t>
            </w:r>
          </w:p>
          <w:p>
            <w:pPr>
              <w:pStyle w:val="TableParagraph"/>
              <w:spacing w:line="422" w:lineRule="exact" w:before="1"/>
              <w:ind w:left="228"/>
              <w:rPr>
                <w:sz w:val="38"/>
              </w:rPr>
            </w:pPr>
            <w:r>
              <w:rPr>
                <w:sz w:val="38"/>
              </w:rPr>
              <w:t>wan</w:t>
            </w:r>
          </w:p>
        </w:tc>
        <w:tc>
          <w:tcPr>
            <w:tcW w:w="1296" w:type="dxa"/>
          </w:tcPr>
          <w:p>
            <w:pPr>
              <w:pStyle w:val="TableParagraph"/>
              <w:spacing w:before="13"/>
              <w:ind w:left="24" w:right="13"/>
              <w:jc w:val="center"/>
              <w:rPr>
                <w:sz w:val="38"/>
              </w:rPr>
            </w:pPr>
            <w:r>
              <w:rPr>
                <w:sz w:val="38"/>
              </w:rPr>
              <w:t>fragrant, fresh and</w:t>
            </w:r>
          </w:p>
          <w:p>
            <w:pPr>
              <w:pStyle w:val="TableParagraph"/>
              <w:spacing w:line="422" w:lineRule="exact" w:before="1"/>
              <w:ind w:left="23" w:right="13"/>
              <w:jc w:val="center"/>
              <w:rPr>
                <w:sz w:val="38"/>
              </w:rPr>
            </w:pPr>
            <w:r>
              <w:rPr>
                <w:sz w:val="38"/>
              </w:rPr>
              <w:t>light</w:t>
            </w:r>
          </w:p>
        </w:tc>
        <w:tc>
          <w:tcPr>
            <w:tcW w:w="1120" w:type="dxa"/>
          </w:tcPr>
          <w:p>
            <w:pPr>
              <w:pStyle w:val="TableParagraph"/>
              <w:spacing w:before="3"/>
              <w:rPr>
                <w:rFonts w:ascii="Times New Roman"/>
                <w:sz w:val="38"/>
              </w:rPr>
            </w:pPr>
          </w:p>
          <w:p>
            <w:pPr>
              <w:pStyle w:val="TableParagraph"/>
              <w:ind w:left="156" w:right="9" w:hanging="125"/>
              <w:rPr>
                <w:sz w:val="38"/>
              </w:rPr>
            </w:pPr>
            <w:r>
              <w:rPr>
                <w:w w:val="95"/>
                <w:sz w:val="38"/>
              </w:rPr>
              <w:t>yellow- </w:t>
            </w:r>
            <w:r>
              <w:rPr>
                <w:sz w:val="38"/>
              </w:rPr>
              <w:t>green</w:t>
            </w:r>
          </w:p>
        </w:tc>
        <w:tc>
          <w:tcPr>
            <w:tcW w:w="1862" w:type="dxa"/>
          </w:tcPr>
          <w:p>
            <w:pPr>
              <w:pStyle w:val="TableParagraph"/>
              <w:spacing w:before="226"/>
              <w:ind w:left="14"/>
              <w:jc w:val="center"/>
              <w:rPr>
                <w:sz w:val="38"/>
              </w:rPr>
            </w:pPr>
            <w:r>
              <w:rPr>
                <w:sz w:val="38"/>
              </w:rPr>
              <w:t>See Sencha, only more subdued!</w:t>
            </w:r>
          </w:p>
        </w:tc>
      </w:tr>
      <w:tr>
        <w:trPr>
          <w:trHeight w:val="1739" w:hRule="atLeast"/>
        </w:trPr>
        <w:tc>
          <w:tcPr>
            <w:tcW w:w="1877" w:type="dxa"/>
          </w:tcPr>
          <w:p>
            <w:pPr>
              <w:pStyle w:val="TableParagraph"/>
              <w:spacing w:before="7"/>
              <w:rPr>
                <w:rFonts w:ascii="Times New Roman"/>
                <w:sz w:val="55"/>
              </w:rPr>
            </w:pPr>
          </w:p>
          <w:p>
            <w:pPr>
              <w:pStyle w:val="TableParagraph"/>
              <w:ind w:left="5"/>
              <w:jc w:val="center"/>
              <w:rPr>
                <w:b/>
                <w:i/>
                <w:sz w:val="40"/>
              </w:rPr>
            </w:pPr>
            <w:r>
              <w:rPr>
                <w:b/>
                <w:i/>
                <w:w w:val="95"/>
                <w:sz w:val="40"/>
              </w:rPr>
              <w:t>Kabusecha</w:t>
            </w:r>
          </w:p>
        </w:tc>
        <w:tc>
          <w:tcPr>
            <w:tcW w:w="1068" w:type="dxa"/>
          </w:tcPr>
          <w:p>
            <w:pPr>
              <w:pStyle w:val="TableParagraph"/>
              <w:spacing w:before="13"/>
              <w:ind w:left="52" w:right="46" w:firstLine="24"/>
              <w:jc w:val="both"/>
              <w:rPr>
                <w:sz w:val="38"/>
              </w:rPr>
            </w:pPr>
            <w:r>
              <w:rPr>
                <w:sz w:val="38"/>
              </w:rPr>
              <w:t>Japan, </w:t>
            </w:r>
            <w:r>
              <w:rPr>
                <w:w w:val="95"/>
                <w:sz w:val="38"/>
              </w:rPr>
              <w:t>China, </w:t>
            </w:r>
            <w:r>
              <w:rPr>
                <w:sz w:val="38"/>
              </w:rPr>
              <w:t>Tai-</w:t>
            </w:r>
          </w:p>
          <w:p>
            <w:pPr>
              <w:pStyle w:val="TableParagraph"/>
              <w:spacing w:line="422" w:lineRule="exact" w:before="2"/>
              <w:ind w:left="228"/>
              <w:rPr>
                <w:sz w:val="38"/>
              </w:rPr>
            </w:pPr>
            <w:r>
              <w:rPr>
                <w:sz w:val="38"/>
              </w:rPr>
              <w:t>wan</w:t>
            </w:r>
          </w:p>
        </w:tc>
        <w:tc>
          <w:tcPr>
            <w:tcW w:w="1296" w:type="dxa"/>
          </w:tcPr>
          <w:p>
            <w:pPr>
              <w:pStyle w:val="TableParagraph"/>
              <w:spacing w:before="13"/>
              <w:ind w:left="24" w:right="12"/>
              <w:jc w:val="center"/>
              <w:rPr>
                <w:sz w:val="38"/>
              </w:rPr>
            </w:pPr>
            <w:r>
              <w:rPr>
                <w:sz w:val="38"/>
              </w:rPr>
              <w:t>Fra- grant, fresh</w:t>
            </w:r>
          </w:p>
          <w:p>
            <w:pPr>
              <w:pStyle w:val="TableParagraph"/>
              <w:spacing w:line="422" w:lineRule="exact" w:before="2"/>
              <w:ind w:left="23" w:right="13"/>
              <w:jc w:val="center"/>
              <w:rPr>
                <w:sz w:val="38"/>
              </w:rPr>
            </w:pPr>
            <w:r>
              <w:rPr>
                <w:sz w:val="38"/>
              </w:rPr>
              <w:t>aroma</w:t>
            </w:r>
          </w:p>
        </w:tc>
        <w:tc>
          <w:tcPr>
            <w:tcW w:w="1120" w:type="dxa"/>
          </w:tcPr>
          <w:p>
            <w:pPr>
              <w:pStyle w:val="TableParagraph"/>
              <w:spacing w:before="6"/>
              <w:rPr>
                <w:rFonts w:ascii="Times New Roman"/>
                <w:sz w:val="38"/>
              </w:rPr>
            </w:pPr>
          </w:p>
          <w:p>
            <w:pPr>
              <w:pStyle w:val="TableParagraph"/>
              <w:ind w:left="156" w:right="9" w:hanging="125"/>
              <w:rPr>
                <w:sz w:val="38"/>
              </w:rPr>
            </w:pPr>
            <w:r>
              <w:rPr>
                <w:w w:val="95"/>
                <w:sz w:val="38"/>
              </w:rPr>
              <w:t>yellow- </w:t>
            </w:r>
            <w:r>
              <w:rPr>
                <w:sz w:val="38"/>
              </w:rPr>
              <w:t>green</w:t>
            </w:r>
          </w:p>
        </w:tc>
        <w:tc>
          <w:tcPr>
            <w:tcW w:w="1862" w:type="dxa"/>
          </w:tcPr>
          <w:p>
            <w:pPr>
              <w:pStyle w:val="TableParagraph"/>
              <w:spacing w:before="13"/>
              <w:ind w:left="15" w:right="1" w:firstLine="79"/>
              <w:jc w:val="both"/>
              <w:rPr>
                <w:sz w:val="38"/>
              </w:rPr>
            </w:pPr>
            <w:r>
              <w:rPr>
                <w:sz w:val="38"/>
              </w:rPr>
              <w:t>Semi-shade tea, prepara- tion 3mins</w:t>
            </w:r>
          </w:p>
          <w:p>
            <w:pPr>
              <w:pStyle w:val="TableParagraph"/>
              <w:spacing w:line="422" w:lineRule="exact" w:before="2"/>
              <w:ind w:left="376"/>
              <w:rPr>
                <w:sz w:val="38"/>
              </w:rPr>
            </w:pPr>
            <w:r>
              <w:rPr>
                <w:sz w:val="38"/>
              </w:rPr>
              <w:t>at 70°C</w:t>
            </w:r>
          </w:p>
        </w:tc>
      </w:tr>
    </w:tbl>
    <w:p>
      <w:pPr>
        <w:spacing w:after="0" w:line="422" w:lineRule="exact"/>
        <w:rPr>
          <w:sz w:val="38"/>
        </w:rPr>
        <w:sectPr>
          <w:pgSz w:w="14270" w:h="16850"/>
          <w:pgMar w:header="0" w:footer="404" w:top="1600" w:bottom="600" w:left="800" w:right="1280"/>
        </w:sectPr>
      </w:pPr>
    </w:p>
    <w:p>
      <w:pPr>
        <w:pStyle w:val="BodyText"/>
        <w:spacing w:before="1"/>
        <w:rPr>
          <w:rFonts w:ascii="Times New Roman"/>
          <w:sz w:val="16"/>
        </w:rPr>
      </w:pPr>
    </w:p>
    <w:tbl>
      <w:tblPr>
        <w:tblW w:w="0" w:type="auto"/>
        <w:jc w:val="left"/>
        <w:tblInd w:w="26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77"/>
        <w:gridCol w:w="1068"/>
        <w:gridCol w:w="1296"/>
        <w:gridCol w:w="1120"/>
        <w:gridCol w:w="1862"/>
      </w:tblGrid>
      <w:tr>
        <w:trPr>
          <w:trHeight w:val="6016" w:hRule="atLeast"/>
        </w:trPr>
        <w:tc>
          <w:tcPr>
            <w:tcW w:w="1877" w:type="dxa"/>
          </w:tcPr>
          <w:p>
            <w:pPr>
              <w:pStyle w:val="TableParagraph"/>
              <w:rPr>
                <w:rFonts w:ascii="Times New Roman"/>
                <w:sz w:val="44"/>
              </w:rPr>
            </w:pPr>
          </w:p>
          <w:p>
            <w:pPr>
              <w:pStyle w:val="TableParagraph"/>
              <w:rPr>
                <w:rFonts w:ascii="Times New Roman"/>
                <w:sz w:val="44"/>
              </w:rPr>
            </w:pPr>
          </w:p>
          <w:p>
            <w:pPr>
              <w:pStyle w:val="TableParagraph"/>
              <w:rPr>
                <w:rFonts w:ascii="Times New Roman"/>
                <w:sz w:val="44"/>
              </w:rPr>
            </w:pPr>
          </w:p>
          <w:p>
            <w:pPr>
              <w:pStyle w:val="TableParagraph"/>
              <w:rPr>
                <w:rFonts w:ascii="Times New Roman"/>
                <w:sz w:val="44"/>
              </w:rPr>
            </w:pPr>
          </w:p>
          <w:p>
            <w:pPr>
              <w:pStyle w:val="TableParagraph"/>
              <w:spacing w:before="3"/>
              <w:rPr>
                <w:rFonts w:ascii="Times New Roman"/>
                <w:sz w:val="65"/>
              </w:rPr>
            </w:pPr>
          </w:p>
          <w:p>
            <w:pPr>
              <w:pStyle w:val="TableParagraph"/>
              <w:ind w:left="263"/>
              <w:rPr>
                <w:b/>
                <w:i/>
                <w:sz w:val="40"/>
              </w:rPr>
            </w:pPr>
            <w:r>
              <w:rPr>
                <w:b/>
                <w:i/>
                <w:sz w:val="40"/>
              </w:rPr>
              <w:t>Kukicha</w:t>
            </w:r>
          </w:p>
        </w:tc>
        <w:tc>
          <w:tcPr>
            <w:tcW w:w="1068" w:type="dxa"/>
          </w:tcPr>
          <w:p>
            <w:pPr>
              <w:pStyle w:val="TableParagraph"/>
              <w:rPr>
                <w:rFonts w:ascii="Times New Roman"/>
                <w:sz w:val="42"/>
              </w:rPr>
            </w:pPr>
          </w:p>
          <w:p>
            <w:pPr>
              <w:pStyle w:val="TableParagraph"/>
              <w:rPr>
                <w:rFonts w:ascii="Times New Roman"/>
                <w:sz w:val="42"/>
              </w:rPr>
            </w:pPr>
          </w:p>
          <w:p>
            <w:pPr>
              <w:pStyle w:val="TableParagraph"/>
              <w:rPr>
                <w:rFonts w:ascii="Times New Roman"/>
                <w:sz w:val="42"/>
              </w:rPr>
            </w:pPr>
          </w:p>
          <w:p>
            <w:pPr>
              <w:pStyle w:val="TableParagraph"/>
              <w:rPr>
                <w:rFonts w:ascii="Times New Roman"/>
                <w:sz w:val="42"/>
              </w:rPr>
            </w:pPr>
          </w:p>
          <w:p>
            <w:pPr>
              <w:pStyle w:val="TableParagraph"/>
              <w:rPr>
                <w:rFonts w:ascii="Times New Roman"/>
                <w:sz w:val="42"/>
              </w:rPr>
            </w:pPr>
          </w:p>
          <w:p>
            <w:pPr>
              <w:pStyle w:val="TableParagraph"/>
              <w:spacing w:before="377"/>
              <w:ind w:left="117"/>
              <w:rPr>
                <w:sz w:val="38"/>
              </w:rPr>
            </w:pPr>
            <w:r>
              <w:rPr>
                <w:sz w:val="38"/>
              </w:rPr>
              <w:t>Japan</w:t>
            </w:r>
          </w:p>
        </w:tc>
        <w:tc>
          <w:tcPr>
            <w:tcW w:w="1296" w:type="dxa"/>
          </w:tcPr>
          <w:p>
            <w:pPr>
              <w:pStyle w:val="TableParagraph"/>
              <w:rPr>
                <w:rFonts w:ascii="Times New Roman"/>
                <w:sz w:val="36"/>
              </w:rPr>
            </w:pPr>
          </w:p>
        </w:tc>
        <w:tc>
          <w:tcPr>
            <w:tcW w:w="1120" w:type="dxa"/>
          </w:tcPr>
          <w:p>
            <w:pPr>
              <w:pStyle w:val="TableParagraph"/>
              <w:rPr>
                <w:rFonts w:ascii="Times New Roman"/>
                <w:sz w:val="42"/>
              </w:rPr>
            </w:pPr>
          </w:p>
          <w:p>
            <w:pPr>
              <w:pStyle w:val="TableParagraph"/>
              <w:rPr>
                <w:rFonts w:ascii="Times New Roman"/>
                <w:sz w:val="42"/>
              </w:rPr>
            </w:pPr>
          </w:p>
          <w:p>
            <w:pPr>
              <w:pStyle w:val="TableParagraph"/>
              <w:rPr>
                <w:rFonts w:ascii="Times New Roman"/>
                <w:sz w:val="42"/>
              </w:rPr>
            </w:pPr>
          </w:p>
          <w:p>
            <w:pPr>
              <w:pStyle w:val="TableParagraph"/>
              <w:rPr>
                <w:rFonts w:ascii="Times New Roman"/>
                <w:sz w:val="42"/>
              </w:rPr>
            </w:pPr>
          </w:p>
          <w:p>
            <w:pPr>
              <w:pStyle w:val="TableParagraph"/>
              <w:spacing w:before="2"/>
              <w:rPr>
                <w:rFonts w:ascii="Times New Roman"/>
                <w:sz w:val="56"/>
              </w:rPr>
            </w:pPr>
          </w:p>
          <w:p>
            <w:pPr>
              <w:pStyle w:val="TableParagraph"/>
              <w:spacing w:line="242" w:lineRule="auto" w:before="1"/>
              <w:ind w:left="156" w:right="9" w:hanging="125"/>
              <w:rPr>
                <w:sz w:val="38"/>
              </w:rPr>
            </w:pPr>
            <w:r>
              <w:rPr>
                <w:w w:val="95"/>
                <w:sz w:val="38"/>
              </w:rPr>
              <w:t>yellow- </w:t>
            </w:r>
            <w:r>
              <w:rPr>
                <w:sz w:val="38"/>
              </w:rPr>
              <w:t>green</w:t>
            </w:r>
          </w:p>
        </w:tc>
        <w:tc>
          <w:tcPr>
            <w:tcW w:w="1862" w:type="dxa"/>
          </w:tcPr>
          <w:p>
            <w:pPr>
              <w:pStyle w:val="TableParagraph"/>
              <w:spacing w:before="15"/>
              <w:ind w:left="37" w:right="22" w:hanging="1"/>
              <w:jc w:val="center"/>
              <w:rPr>
                <w:sz w:val="38"/>
              </w:rPr>
            </w:pPr>
            <w:r>
              <w:rPr>
                <w:sz w:val="38"/>
              </w:rPr>
              <w:t>Consists not only of leaves, but also of stems and ribs of the plant. Like Sencha in terms of quality,</w:t>
            </w:r>
            <w:r>
              <w:rPr>
                <w:spacing w:val="-8"/>
                <w:sz w:val="38"/>
              </w:rPr>
              <w:t> </w:t>
            </w:r>
            <w:r>
              <w:rPr>
                <w:sz w:val="38"/>
              </w:rPr>
              <w:t>little caffeine, suitable for evening</w:t>
            </w:r>
            <w:r>
              <w:rPr>
                <w:spacing w:val="-2"/>
                <w:sz w:val="38"/>
              </w:rPr>
              <w:t> </w:t>
            </w:r>
            <w:r>
              <w:rPr>
                <w:sz w:val="38"/>
              </w:rPr>
              <w:t>en-</w:t>
            </w:r>
          </w:p>
          <w:p>
            <w:pPr>
              <w:pStyle w:val="TableParagraph"/>
              <w:spacing w:line="424" w:lineRule="exact"/>
              <w:ind w:left="12"/>
              <w:jc w:val="center"/>
              <w:rPr>
                <w:sz w:val="38"/>
              </w:rPr>
            </w:pPr>
            <w:r>
              <w:rPr>
                <w:sz w:val="38"/>
              </w:rPr>
              <w:t>joyment</w:t>
            </w:r>
          </w:p>
        </w:tc>
      </w:tr>
      <w:tr>
        <w:trPr>
          <w:trHeight w:val="4306" w:hRule="atLeast"/>
        </w:trPr>
        <w:tc>
          <w:tcPr>
            <w:tcW w:w="1877" w:type="dxa"/>
          </w:tcPr>
          <w:p>
            <w:pPr>
              <w:pStyle w:val="TableParagraph"/>
              <w:rPr>
                <w:rFonts w:ascii="Times New Roman"/>
                <w:sz w:val="44"/>
              </w:rPr>
            </w:pPr>
          </w:p>
          <w:p>
            <w:pPr>
              <w:pStyle w:val="TableParagraph"/>
              <w:rPr>
                <w:rFonts w:ascii="Times New Roman"/>
                <w:sz w:val="44"/>
              </w:rPr>
            </w:pPr>
          </w:p>
          <w:p>
            <w:pPr>
              <w:pStyle w:val="TableParagraph"/>
              <w:rPr>
                <w:rFonts w:ascii="Times New Roman"/>
                <w:sz w:val="44"/>
              </w:rPr>
            </w:pPr>
          </w:p>
          <w:p>
            <w:pPr>
              <w:pStyle w:val="TableParagraph"/>
              <w:rPr>
                <w:rFonts w:ascii="Times New Roman"/>
                <w:sz w:val="35"/>
              </w:rPr>
            </w:pPr>
          </w:p>
          <w:p>
            <w:pPr>
              <w:pStyle w:val="TableParagraph"/>
              <w:ind w:left="285"/>
              <w:rPr>
                <w:b/>
                <w:i/>
                <w:sz w:val="40"/>
              </w:rPr>
            </w:pPr>
            <w:r>
              <w:rPr>
                <w:b/>
                <w:i/>
                <w:sz w:val="40"/>
              </w:rPr>
              <w:t>Hojicha</w:t>
            </w:r>
          </w:p>
        </w:tc>
        <w:tc>
          <w:tcPr>
            <w:tcW w:w="1068" w:type="dxa"/>
          </w:tcPr>
          <w:p>
            <w:pPr>
              <w:pStyle w:val="TableParagraph"/>
              <w:rPr>
                <w:rFonts w:ascii="Times New Roman"/>
                <w:sz w:val="42"/>
              </w:rPr>
            </w:pPr>
          </w:p>
          <w:p>
            <w:pPr>
              <w:pStyle w:val="TableParagraph"/>
              <w:rPr>
                <w:rFonts w:ascii="Times New Roman"/>
                <w:sz w:val="42"/>
              </w:rPr>
            </w:pPr>
          </w:p>
          <w:p>
            <w:pPr>
              <w:pStyle w:val="TableParagraph"/>
              <w:spacing w:before="331"/>
              <w:ind w:left="52" w:right="46" w:firstLine="1"/>
              <w:jc w:val="center"/>
              <w:rPr>
                <w:sz w:val="38"/>
              </w:rPr>
            </w:pPr>
            <w:r>
              <w:rPr>
                <w:sz w:val="38"/>
              </w:rPr>
              <w:t>Japan, China, Tai- wan</w:t>
            </w:r>
          </w:p>
        </w:tc>
        <w:tc>
          <w:tcPr>
            <w:tcW w:w="1296" w:type="dxa"/>
          </w:tcPr>
          <w:p>
            <w:pPr>
              <w:pStyle w:val="TableParagraph"/>
              <w:rPr>
                <w:rFonts w:ascii="Times New Roman"/>
                <w:sz w:val="36"/>
              </w:rPr>
            </w:pPr>
          </w:p>
        </w:tc>
        <w:tc>
          <w:tcPr>
            <w:tcW w:w="1120" w:type="dxa"/>
          </w:tcPr>
          <w:p>
            <w:pPr>
              <w:pStyle w:val="TableParagraph"/>
              <w:rPr>
                <w:rFonts w:ascii="Times New Roman"/>
                <w:sz w:val="42"/>
              </w:rPr>
            </w:pPr>
          </w:p>
          <w:p>
            <w:pPr>
              <w:pStyle w:val="TableParagraph"/>
              <w:rPr>
                <w:rFonts w:ascii="Times New Roman"/>
                <w:sz w:val="42"/>
              </w:rPr>
            </w:pPr>
          </w:p>
          <w:p>
            <w:pPr>
              <w:pStyle w:val="TableParagraph"/>
              <w:rPr>
                <w:rFonts w:ascii="Times New Roman"/>
                <w:sz w:val="42"/>
              </w:rPr>
            </w:pPr>
          </w:p>
          <w:p>
            <w:pPr>
              <w:pStyle w:val="TableParagraph"/>
              <w:spacing w:before="275"/>
              <w:ind w:left="350" w:right="9" w:hanging="332"/>
              <w:rPr>
                <w:sz w:val="38"/>
              </w:rPr>
            </w:pPr>
            <w:r>
              <w:rPr>
                <w:w w:val="95"/>
                <w:sz w:val="38"/>
              </w:rPr>
              <w:t>brown- </w:t>
            </w:r>
            <w:r>
              <w:rPr>
                <w:sz w:val="38"/>
              </w:rPr>
              <w:t>ish</w:t>
            </w:r>
          </w:p>
        </w:tc>
        <w:tc>
          <w:tcPr>
            <w:tcW w:w="1862" w:type="dxa"/>
          </w:tcPr>
          <w:p>
            <w:pPr>
              <w:pStyle w:val="TableParagraph"/>
              <w:spacing w:before="13"/>
              <w:ind w:left="44" w:right="26" w:hanging="3"/>
              <w:jc w:val="center"/>
              <w:rPr>
                <w:sz w:val="38"/>
              </w:rPr>
            </w:pPr>
            <w:r>
              <w:rPr>
                <w:sz w:val="38"/>
              </w:rPr>
              <w:t>Roasted Sen- cha/Ban- cha, less quality, but less caffeine</w:t>
            </w:r>
          </w:p>
          <w:p>
            <w:pPr>
              <w:pStyle w:val="TableParagraph"/>
              <w:spacing w:before="1"/>
              <w:ind w:left="45" w:right="29"/>
              <w:jc w:val="center"/>
              <w:rPr>
                <w:sz w:val="38"/>
              </w:rPr>
            </w:pPr>
            <w:r>
              <w:rPr>
                <w:sz w:val="38"/>
              </w:rPr>
              <w:t>– suitable for children and older</w:t>
            </w:r>
          </w:p>
          <w:p>
            <w:pPr>
              <w:pStyle w:val="TableParagraph"/>
              <w:spacing w:line="424" w:lineRule="exact"/>
              <w:ind w:left="15"/>
              <w:jc w:val="center"/>
              <w:rPr>
                <w:sz w:val="38"/>
              </w:rPr>
            </w:pPr>
            <w:r>
              <w:rPr>
                <w:sz w:val="38"/>
              </w:rPr>
              <w:t>people</w:t>
            </w:r>
          </w:p>
        </w:tc>
      </w:tr>
      <w:tr>
        <w:trPr>
          <w:trHeight w:val="1312" w:hRule="atLeast"/>
        </w:trPr>
        <w:tc>
          <w:tcPr>
            <w:tcW w:w="1877" w:type="dxa"/>
          </w:tcPr>
          <w:p>
            <w:pPr>
              <w:pStyle w:val="TableParagraph"/>
              <w:spacing w:line="228" w:lineRule="auto" w:before="226"/>
              <w:ind w:left="203" w:right="85" w:hanging="89"/>
              <w:rPr>
                <w:b/>
                <w:i/>
                <w:sz w:val="40"/>
              </w:rPr>
            </w:pPr>
            <w:r>
              <w:rPr>
                <w:b/>
                <w:i/>
                <w:w w:val="95"/>
                <w:sz w:val="40"/>
              </w:rPr>
              <w:t>Gu Zhang </w:t>
            </w:r>
            <w:r>
              <w:rPr>
                <w:b/>
                <w:i/>
                <w:sz w:val="40"/>
              </w:rPr>
              <w:t>Mao Jian</w:t>
            </w:r>
          </w:p>
        </w:tc>
        <w:tc>
          <w:tcPr>
            <w:tcW w:w="1068" w:type="dxa"/>
          </w:tcPr>
          <w:p>
            <w:pPr>
              <w:pStyle w:val="TableParagraph"/>
              <w:spacing w:before="3"/>
              <w:rPr>
                <w:rFonts w:ascii="Times New Roman"/>
                <w:sz w:val="38"/>
              </w:rPr>
            </w:pPr>
          </w:p>
          <w:p>
            <w:pPr>
              <w:pStyle w:val="TableParagraph"/>
              <w:ind w:left="93"/>
              <w:rPr>
                <w:sz w:val="38"/>
              </w:rPr>
            </w:pPr>
            <w:r>
              <w:rPr>
                <w:sz w:val="38"/>
              </w:rPr>
              <w:t>China</w:t>
            </w:r>
          </w:p>
        </w:tc>
        <w:tc>
          <w:tcPr>
            <w:tcW w:w="1296" w:type="dxa"/>
          </w:tcPr>
          <w:p>
            <w:pPr>
              <w:pStyle w:val="TableParagraph"/>
              <w:spacing w:before="13"/>
              <w:ind w:left="26" w:firstLine="103"/>
              <w:rPr>
                <w:sz w:val="38"/>
              </w:rPr>
            </w:pPr>
            <w:r>
              <w:rPr>
                <w:sz w:val="38"/>
              </w:rPr>
              <w:t>slightly </w:t>
            </w:r>
            <w:r>
              <w:rPr>
                <w:w w:val="95"/>
                <w:sz w:val="38"/>
              </w:rPr>
              <w:t>sweetish</w:t>
            </w:r>
          </w:p>
          <w:p>
            <w:pPr>
              <w:pStyle w:val="TableParagraph"/>
              <w:spacing w:line="424" w:lineRule="exact"/>
              <w:ind w:left="185"/>
              <w:rPr>
                <w:sz w:val="38"/>
              </w:rPr>
            </w:pPr>
            <w:r>
              <w:rPr>
                <w:sz w:val="38"/>
              </w:rPr>
              <w:t>aroma</w:t>
            </w:r>
          </w:p>
        </w:tc>
        <w:tc>
          <w:tcPr>
            <w:tcW w:w="1120" w:type="dxa"/>
          </w:tcPr>
          <w:p>
            <w:pPr>
              <w:pStyle w:val="TableParagraph"/>
              <w:spacing w:before="226"/>
              <w:ind w:left="156" w:right="59" w:hanging="65"/>
              <w:rPr>
                <w:sz w:val="38"/>
              </w:rPr>
            </w:pPr>
            <w:r>
              <w:rPr>
                <w:sz w:val="38"/>
              </w:rPr>
              <w:t>strong green</w:t>
            </w:r>
          </w:p>
        </w:tc>
        <w:tc>
          <w:tcPr>
            <w:tcW w:w="1862" w:type="dxa"/>
          </w:tcPr>
          <w:p>
            <w:pPr>
              <w:pStyle w:val="TableParagraph"/>
              <w:spacing w:before="13"/>
              <w:ind w:left="200" w:right="79" w:hanging="87"/>
              <w:rPr>
                <w:sz w:val="38"/>
              </w:rPr>
            </w:pPr>
            <w:r>
              <w:rPr>
                <w:sz w:val="38"/>
              </w:rPr>
              <w:t>Well suited for begin-</w:t>
            </w:r>
          </w:p>
          <w:p>
            <w:pPr>
              <w:pStyle w:val="TableParagraph"/>
              <w:spacing w:line="424" w:lineRule="exact"/>
              <w:ind w:left="106"/>
              <w:rPr>
                <w:sz w:val="38"/>
              </w:rPr>
            </w:pPr>
            <w:r>
              <w:rPr>
                <w:sz w:val="38"/>
              </w:rPr>
              <w:t>ners due to</w:t>
            </w:r>
          </w:p>
        </w:tc>
      </w:tr>
    </w:tbl>
    <w:p>
      <w:pPr>
        <w:spacing w:after="0" w:line="424" w:lineRule="exact"/>
        <w:rPr>
          <w:sz w:val="38"/>
        </w:rPr>
        <w:sectPr>
          <w:pgSz w:w="14270" w:h="16850"/>
          <w:pgMar w:header="0" w:footer="404" w:top="1600" w:bottom="600" w:left="800" w:right="1280"/>
        </w:sectPr>
      </w:pPr>
    </w:p>
    <w:p>
      <w:pPr>
        <w:pStyle w:val="BodyText"/>
        <w:spacing w:before="1"/>
        <w:rPr>
          <w:rFonts w:ascii="Times New Roman"/>
          <w:sz w:val="16"/>
        </w:rPr>
      </w:pPr>
    </w:p>
    <w:tbl>
      <w:tblPr>
        <w:tblW w:w="0" w:type="auto"/>
        <w:jc w:val="left"/>
        <w:tblInd w:w="26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77"/>
        <w:gridCol w:w="1068"/>
        <w:gridCol w:w="1296"/>
        <w:gridCol w:w="1120"/>
        <w:gridCol w:w="1862"/>
      </w:tblGrid>
      <w:tr>
        <w:trPr>
          <w:trHeight w:val="885" w:hRule="atLeast"/>
        </w:trPr>
        <w:tc>
          <w:tcPr>
            <w:tcW w:w="1877" w:type="dxa"/>
          </w:tcPr>
          <w:p>
            <w:pPr>
              <w:pStyle w:val="TableParagraph"/>
              <w:rPr>
                <w:rFonts w:ascii="Times New Roman"/>
                <w:sz w:val="36"/>
              </w:rPr>
            </w:pPr>
          </w:p>
        </w:tc>
        <w:tc>
          <w:tcPr>
            <w:tcW w:w="1068" w:type="dxa"/>
          </w:tcPr>
          <w:p>
            <w:pPr>
              <w:pStyle w:val="TableParagraph"/>
              <w:rPr>
                <w:rFonts w:ascii="Times New Roman"/>
                <w:sz w:val="36"/>
              </w:rPr>
            </w:pPr>
          </w:p>
        </w:tc>
        <w:tc>
          <w:tcPr>
            <w:tcW w:w="1296" w:type="dxa"/>
          </w:tcPr>
          <w:p>
            <w:pPr>
              <w:pStyle w:val="TableParagraph"/>
              <w:rPr>
                <w:rFonts w:ascii="Times New Roman"/>
                <w:sz w:val="36"/>
              </w:rPr>
            </w:pPr>
          </w:p>
        </w:tc>
        <w:tc>
          <w:tcPr>
            <w:tcW w:w="1120" w:type="dxa"/>
          </w:tcPr>
          <w:p>
            <w:pPr>
              <w:pStyle w:val="TableParagraph"/>
              <w:rPr>
                <w:rFonts w:ascii="Times New Roman"/>
                <w:sz w:val="36"/>
              </w:rPr>
            </w:pPr>
          </w:p>
        </w:tc>
        <w:tc>
          <w:tcPr>
            <w:tcW w:w="1862" w:type="dxa"/>
          </w:tcPr>
          <w:p>
            <w:pPr>
              <w:pStyle w:val="TableParagraph"/>
              <w:spacing w:line="428" w:lineRule="exact"/>
              <w:ind w:left="469" w:right="209" w:hanging="229"/>
              <w:rPr>
                <w:sz w:val="38"/>
              </w:rPr>
            </w:pPr>
            <w:r>
              <w:rPr>
                <w:sz w:val="38"/>
              </w:rPr>
              <w:t>the sweet aroma</w:t>
            </w:r>
          </w:p>
        </w:tc>
      </w:tr>
      <w:tr>
        <w:trPr>
          <w:trHeight w:val="1739" w:hRule="atLeast"/>
        </w:trPr>
        <w:tc>
          <w:tcPr>
            <w:tcW w:w="1877" w:type="dxa"/>
          </w:tcPr>
          <w:p>
            <w:pPr>
              <w:pStyle w:val="TableParagraph"/>
              <w:spacing w:before="5"/>
              <w:rPr>
                <w:rFonts w:ascii="Times New Roman"/>
                <w:sz w:val="38"/>
              </w:rPr>
            </w:pPr>
          </w:p>
          <w:p>
            <w:pPr>
              <w:pStyle w:val="TableParagraph"/>
              <w:spacing w:line="228" w:lineRule="auto"/>
              <w:ind w:left="612" w:right="323" w:hanging="260"/>
              <w:rPr>
                <w:b/>
                <w:i/>
                <w:sz w:val="40"/>
              </w:rPr>
            </w:pPr>
            <w:r>
              <w:rPr>
                <w:b/>
                <w:i/>
                <w:sz w:val="40"/>
              </w:rPr>
              <w:t>Ju</w:t>
            </w:r>
            <w:r>
              <w:rPr>
                <w:b/>
                <w:i/>
                <w:spacing w:val="-63"/>
                <w:sz w:val="40"/>
              </w:rPr>
              <w:t> </w:t>
            </w:r>
            <w:r>
              <w:rPr>
                <w:b/>
                <w:i/>
                <w:sz w:val="40"/>
              </w:rPr>
              <w:t>Hua</w:t>
            </w:r>
            <w:r>
              <w:rPr>
                <w:b/>
                <w:i/>
                <w:w w:val="94"/>
                <w:sz w:val="40"/>
              </w:rPr>
              <w:t> </w:t>
            </w:r>
            <w:r>
              <w:rPr>
                <w:b/>
                <w:i/>
                <w:sz w:val="40"/>
              </w:rPr>
              <w:t>Cha</w:t>
            </w:r>
          </w:p>
        </w:tc>
        <w:tc>
          <w:tcPr>
            <w:tcW w:w="1068" w:type="dxa"/>
          </w:tcPr>
          <w:p>
            <w:pPr>
              <w:pStyle w:val="TableParagraph"/>
              <w:spacing w:before="229"/>
              <w:ind w:left="36" w:right="31"/>
              <w:jc w:val="center"/>
              <w:rPr>
                <w:sz w:val="38"/>
              </w:rPr>
            </w:pPr>
            <w:r>
              <w:rPr>
                <w:sz w:val="38"/>
              </w:rPr>
              <w:t>South- ern China</w:t>
            </w:r>
          </w:p>
        </w:tc>
        <w:tc>
          <w:tcPr>
            <w:tcW w:w="1296" w:type="dxa"/>
          </w:tcPr>
          <w:p>
            <w:pPr>
              <w:pStyle w:val="TableParagraph"/>
              <w:spacing w:before="5"/>
              <w:rPr>
                <w:rFonts w:ascii="Times New Roman"/>
                <w:sz w:val="38"/>
              </w:rPr>
            </w:pPr>
          </w:p>
          <w:p>
            <w:pPr>
              <w:pStyle w:val="TableParagraph"/>
              <w:ind w:left="310" w:right="278" w:firstLine="55"/>
              <w:rPr>
                <w:sz w:val="38"/>
              </w:rPr>
            </w:pPr>
            <w:r>
              <w:rPr>
                <w:sz w:val="38"/>
              </w:rPr>
              <w:t>fine taste</w:t>
            </w:r>
          </w:p>
        </w:tc>
        <w:tc>
          <w:tcPr>
            <w:tcW w:w="1120" w:type="dxa"/>
          </w:tcPr>
          <w:p>
            <w:pPr>
              <w:pStyle w:val="TableParagraph"/>
              <w:spacing w:before="5"/>
              <w:rPr>
                <w:rFonts w:ascii="Times New Roman"/>
                <w:sz w:val="38"/>
              </w:rPr>
            </w:pPr>
          </w:p>
          <w:p>
            <w:pPr>
              <w:pStyle w:val="TableParagraph"/>
              <w:ind w:left="91" w:right="9" w:hanging="48"/>
              <w:rPr>
                <w:sz w:val="38"/>
              </w:rPr>
            </w:pPr>
            <w:r>
              <w:rPr>
                <w:sz w:val="38"/>
              </w:rPr>
              <w:t>slightly yellow</w:t>
            </w:r>
          </w:p>
        </w:tc>
        <w:tc>
          <w:tcPr>
            <w:tcW w:w="1862" w:type="dxa"/>
          </w:tcPr>
          <w:p>
            <w:pPr>
              <w:pStyle w:val="TableParagraph"/>
              <w:spacing w:line="428" w:lineRule="exact"/>
              <w:ind w:left="46" w:right="29"/>
              <w:jc w:val="center"/>
              <w:rPr>
                <w:sz w:val="38"/>
              </w:rPr>
            </w:pPr>
            <w:r>
              <w:rPr>
                <w:sz w:val="38"/>
              </w:rPr>
              <w:t>Very digest- ible and stomach- friendly</w:t>
            </w:r>
          </w:p>
        </w:tc>
      </w:tr>
      <w:tr>
        <w:trPr>
          <w:trHeight w:val="3024" w:hRule="atLeast"/>
        </w:trPr>
        <w:tc>
          <w:tcPr>
            <w:tcW w:w="1877" w:type="dxa"/>
          </w:tcPr>
          <w:p>
            <w:pPr>
              <w:pStyle w:val="TableParagraph"/>
              <w:rPr>
                <w:rFonts w:ascii="Times New Roman"/>
                <w:sz w:val="44"/>
              </w:rPr>
            </w:pPr>
          </w:p>
          <w:p>
            <w:pPr>
              <w:pStyle w:val="TableParagraph"/>
              <w:spacing w:before="3"/>
              <w:rPr>
                <w:rFonts w:ascii="Times New Roman"/>
                <w:sz w:val="50"/>
              </w:rPr>
            </w:pPr>
          </w:p>
          <w:p>
            <w:pPr>
              <w:pStyle w:val="TableParagraph"/>
              <w:spacing w:line="228" w:lineRule="auto"/>
              <w:ind w:left="696" w:right="183" w:hanging="409"/>
              <w:rPr>
                <w:b/>
                <w:i/>
                <w:sz w:val="40"/>
              </w:rPr>
            </w:pPr>
            <w:r>
              <w:rPr>
                <w:b/>
                <w:i/>
                <w:w w:val="90"/>
                <w:sz w:val="40"/>
              </w:rPr>
              <w:t>Jasmine </w:t>
            </w:r>
            <w:r>
              <w:rPr>
                <w:b/>
                <w:i/>
                <w:sz w:val="40"/>
              </w:rPr>
              <w:t>tea</w:t>
            </w:r>
          </w:p>
        </w:tc>
        <w:tc>
          <w:tcPr>
            <w:tcW w:w="1068" w:type="dxa"/>
          </w:tcPr>
          <w:p>
            <w:pPr>
              <w:pStyle w:val="TableParagraph"/>
              <w:spacing w:before="229"/>
              <w:ind w:left="36" w:right="29" w:hanging="2"/>
              <w:jc w:val="center"/>
              <w:rPr>
                <w:sz w:val="38"/>
              </w:rPr>
            </w:pPr>
            <w:r>
              <w:rPr>
                <w:w w:val="95"/>
                <w:sz w:val="38"/>
              </w:rPr>
              <w:t>South- </w:t>
            </w:r>
            <w:r>
              <w:rPr>
                <w:sz w:val="38"/>
              </w:rPr>
              <w:t>ern China, moun-</w:t>
            </w:r>
            <w:r>
              <w:rPr>
                <w:w w:val="99"/>
                <w:sz w:val="38"/>
              </w:rPr>
              <w:t> </w:t>
            </w:r>
            <w:r>
              <w:rPr>
                <w:sz w:val="38"/>
              </w:rPr>
              <w:t>tain region</w:t>
            </w:r>
          </w:p>
        </w:tc>
        <w:tc>
          <w:tcPr>
            <w:tcW w:w="1296" w:type="dxa"/>
          </w:tcPr>
          <w:p>
            <w:pPr>
              <w:pStyle w:val="TableParagraph"/>
              <w:spacing w:before="6"/>
              <w:rPr>
                <w:rFonts w:ascii="Times New Roman"/>
                <w:sz w:val="38"/>
              </w:rPr>
            </w:pPr>
          </w:p>
          <w:p>
            <w:pPr>
              <w:pStyle w:val="TableParagraph"/>
              <w:ind w:left="55" w:right="43" w:hanging="1"/>
              <w:jc w:val="center"/>
              <w:rPr>
                <w:sz w:val="38"/>
              </w:rPr>
            </w:pPr>
            <w:r>
              <w:rPr>
                <w:sz w:val="38"/>
              </w:rPr>
              <w:t>Varies accord- ing to the type of tea</w:t>
            </w:r>
          </w:p>
        </w:tc>
        <w:tc>
          <w:tcPr>
            <w:tcW w:w="1120" w:type="dxa"/>
          </w:tcPr>
          <w:p>
            <w:pPr>
              <w:pStyle w:val="TableParagraph"/>
              <w:rPr>
                <w:rFonts w:ascii="Times New Roman"/>
                <w:sz w:val="42"/>
              </w:rPr>
            </w:pPr>
          </w:p>
          <w:p>
            <w:pPr>
              <w:pStyle w:val="TableParagraph"/>
              <w:spacing w:before="3"/>
              <w:rPr>
                <w:rFonts w:ascii="Times New Roman"/>
                <w:sz w:val="52"/>
              </w:rPr>
            </w:pPr>
          </w:p>
          <w:p>
            <w:pPr>
              <w:pStyle w:val="TableParagraph"/>
              <w:ind w:left="156" w:right="59" w:hanging="65"/>
              <w:rPr>
                <w:sz w:val="38"/>
              </w:rPr>
            </w:pPr>
            <w:r>
              <w:rPr>
                <w:sz w:val="38"/>
              </w:rPr>
              <w:t>strong green</w:t>
            </w:r>
          </w:p>
        </w:tc>
        <w:tc>
          <w:tcPr>
            <w:tcW w:w="1862" w:type="dxa"/>
          </w:tcPr>
          <w:p>
            <w:pPr>
              <w:pStyle w:val="TableParagraph"/>
              <w:spacing w:before="15"/>
              <w:ind w:left="166" w:right="149" w:hanging="1"/>
              <w:jc w:val="center"/>
              <w:rPr>
                <w:sz w:val="38"/>
              </w:rPr>
            </w:pPr>
            <w:r>
              <w:rPr>
                <w:sz w:val="38"/>
              </w:rPr>
              <w:t>First roasted, then fla- voured</w:t>
            </w:r>
            <w:r>
              <w:rPr>
                <w:spacing w:val="-2"/>
                <w:sz w:val="38"/>
              </w:rPr>
              <w:t> </w:t>
            </w:r>
            <w:r>
              <w:rPr>
                <w:sz w:val="38"/>
              </w:rPr>
              <w:t>six times</w:t>
            </w:r>
            <w:r>
              <w:rPr>
                <w:spacing w:val="-4"/>
                <w:sz w:val="38"/>
              </w:rPr>
              <w:t> </w:t>
            </w:r>
            <w:r>
              <w:rPr>
                <w:sz w:val="38"/>
              </w:rPr>
              <w:t>with jasmine</w:t>
            </w:r>
          </w:p>
          <w:p>
            <w:pPr>
              <w:pStyle w:val="TableParagraph"/>
              <w:spacing w:line="422" w:lineRule="exact" w:before="1"/>
              <w:ind w:left="13"/>
              <w:jc w:val="center"/>
              <w:rPr>
                <w:sz w:val="38"/>
              </w:rPr>
            </w:pPr>
            <w:r>
              <w:rPr>
                <w:sz w:val="38"/>
              </w:rPr>
              <w:t>flowers</w:t>
            </w:r>
          </w:p>
        </w:tc>
      </w:tr>
      <w:tr>
        <w:trPr>
          <w:trHeight w:val="1739" w:hRule="atLeast"/>
        </w:trPr>
        <w:tc>
          <w:tcPr>
            <w:tcW w:w="1877" w:type="dxa"/>
          </w:tcPr>
          <w:p>
            <w:pPr>
              <w:pStyle w:val="TableParagraph"/>
              <w:spacing w:before="5"/>
              <w:rPr>
                <w:rFonts w:ascii="Times New Roman"/>
                <w:sz w:val="38"/>
              </w:rPr>
            </w:pPr>
          </w:p>
          <w:p>
            <w:pPr>
              <w:pStyle w:val="TableParagraph"/>
              <w:spacing w:line="228" w:lineRule="auto"/>
              <w:ind w:left="441" w:right="183" w:firstLine="62"/>
              <w:rPr>
                <w:b/>
                <w:i/>
                <w:sz w:val="40"/>
              </w:rPr>
            </w:pPr>
            <w:r>
              <w:rPr>
                <w:b/>
                <w:i/>
                <w:w w:val="95"/>
                <w:sz w:val="40"/>
              </w:rPr>
              <w:t>Lung </w:t>
            </w:r>
            <w:r>
              <w:rPr>
                <w:b/>
                <w:i/>
                <w:w w:val="90"/>
                <w:sz w:val="40"/>
              </w:rPr>
              <w:t>Ching</w:t>
            </w:r>
          </w:p>
        </w:tc>
        <w:tc>
          <w:tcPr>
            <w:tcW w:w="1068" w:type="dxa"/>
          </w:tcPr>
          <w:p>
            <w:pPr>
              <w:pStyle w:val="TableParagraph"/>
              <w:spacing w:before="229"/>
              <w:ind w:left="36" w:right="31"/>
              <w:jc w:val="center"/>
              <w:rPr>
                <w:sz w:val="38"/>
              </w:rPr>
            </w:pPr>
            <w:r>
              <w:rPr>
                <w:sz w:val="38"/>
              </w:rPr>
              <w:t>South- ern China</w:t>
            </w:r>
          </w:p>
        </w:tc>
        <w:tc>
          <w:tcPr>
            <w:tcW w:w="1296" w:type="dxa"/>
          </w:tcPr>
          <w:p>
            <w:pPr>
              <w:pStyle w:val="TableParagraph"/>
              <w:spacing w:before="15"/>
              <w:ind w:left="142" w:right="132" w:firstLine="7"/>
              <w:jc w:val="both"/>
              <w:rPr>
                <w:sz w:val="38"/>
              </w:rPr>
            </w:pPr>
            <w:r>
              <w:rPr>
                <w:sz w:val="38"/>
              </w:rPr>
              <w:t>Earthy </w:t>
            </w:r>
            <w:r>
              <w:rPr>
                <w:w w:val="95"/>
                <w:sz w:val="38"/>
              </w:rPr>
              <w:t>aroma, </w:t>
            </w:r>
            <w:r>
              <w:rPr>
                <w:sz w:val="38"/>
              </w:rPr>
              <w:t>gentle</w:t>
            </w:r>
          </w:p>
          <w:p>
            <w:pPr>
              <w:pStyle w:val="TableParagraph"/>
              <w:spacing w:line="422" w:lineRule="exact"/>
              <w:ind w:left="310"/>
              <w:rPr>
                <w:sz w:val="38"/>
              </w:rPr>
            </w:pPr>
            <w:r>
              <w:rPr>
                <w:sz w:val="38"/>
              </w:rPr>
              <w:t>taste</w:t>
            </w:r>
          </w:p>
        </w:tc>
        <w:tc>
          <w:tcPr>
            <w:tcW w:w="1120" w:type="dxa"/>
          </w:tcPr>
          <w:p>
            <w:pPr>
              <w:pStyle w:val="TableParagraph"/>
              <w:spacing w:before="229"/>
              <w:ind w:left="132" w:right="115"/>
              <w:jc w:val="center"/>
              <w:rPr>
                <w:sz w:val="38"/>
              </w:rPr>
            </w:pPr>
            <w:r>
              <w:rPr>
                <w:sz w:val="38"/>
              </w:rPr>
              <w:t>emer-</w:t>
            </w:r>
            <w:r>
              <w:rPr>
                <w:w w:val="99"/>
                <w:sz w:val="38"/>
              </w:rPr>
              <w:t> </w:t>
            </w:r>
            <w:r>
              <w:rPr>
                <w:sz w:val="38"/>
              </w:rPr>
              <w:t>ald- green</w:t>
            </w:r>
          </w:p>
        </w:tc>
        <w:tc>
          <w:tcPr>
            <w:tcW w:w="1862" w:type="dxa"/>
          </w:tcPr>
          <w:p>
            <w:pPr>
              <w:pStyle w:val="TableParagraph"/>
              <w:spacing w:before="5"/>
              <w:rPr>
                <w:rFonts w:ascii="Times New Roman"/>
                <w:sz w:val="38"/>
              </w:rPr>
            </w:pPr>
          </w:p>
          <w:p>
            <w:pPr>
              <w:pStyle w:val="TableParagraph"/>
              <w:ind w:left="334" w:right="301" w:firstLine="36"/>
              <w:rPr>
                <w:sz w:val="38"/>
              </w:rPr>
            </w:pPr>
            <w:r>
              <w:rPr>
                <w:sz w:val="38"/>
              </w:rPr>
              <w:t>very re- freshing</w:t>
            </w:r>
          </w:p>
        </w:tc>
      </w:tr>
      <w:tr>
        <w:trPr>
          <w:trHeight w:val="1741" w:hRule="atLeast"/>
        </w:trPr>
        <w:tc>
          <w:tcPr>
            <w:tcW w:w="1877" w:type="dxa"/>
          </w:tcPr>
          <w:p>
            <w:pPr>
              <w:pStyle w:val="TableParagraph"/>
              <w:spacing w:before="5"/>
              <w:rPr>
                <w:rFonts w:ascii="Times New Roman"/>
                <w:sz w:val="38"/>
              </w:rPr>
            </w:pPr>
          </w:p>
          <w:p>
            <w:pPr>
              <w:pStyle w:val="TableParagraph"/>
              <w:spacing w:line="228" w:lineRule="auto"/>
              <w:ind w:left="653" w:right="5" w:hanging="618"/>
              <w:rPr>
                <w:b/>
                <w:i/>
                <w:sz w:val="40"/>
              </w:rPr>
            </w:pPr>
            <w:r>
              <w:rPr>
                <w:b/>
                <w:i/>
                <w:w w:val="95"/>
                <w:sz w:val="40"/>
              </w:rPr>
              <w:t>Young Hy- </w:t>
            </w:r>
            <w:r>
              <w:rPr>
                <w:b/>
                <w:i/>
                <w:sz w:val="40"/>
              </w:rPr>
              <w:t>son</w:t>
            </w:r>
          </w:p>
        </w:tc>
        <w:tc>
          <w:tcPr>
            <w:tcW w:w="1068" w:type="dxa"/>
          </w:tcPr>
          <w:p>
            <w:pPr>
              <w:pStyle w:val="TableParagraph"/>
              <w:spacing w:line="428" w:lineRule="exact"/>
              <w:ind w:left="36" w:right="31"/>
              <w:jc w:val="center"/>
              <w:rPr>
                <w:sz w:val="38"/>
              </w:rPr>
            </w:pPr>
            <w:r>
              <w:rPr>
                <w:sz w:val="38"/>
              </w:rPr>
              <w:t>South- east- ern China</w:t>
            </w:r>
          </w:p>
        </w:tc>
        <w:tc>
          <w:tcPr>
            <w:tcW w:w="1296" w:type="dxa"/>
          </w:tcPr>
          <w:p>
            <w:pPr>
              <w:pStyle w:val="TableParagraph"/>
              <w:spacing w:line="428" w:lineRule="exact"/>
              <w:ind w:left="88" w:right="76" w:hanging="1"/>
              <w:jc w:val="center"/>
              <w:rPr>
                <w:sz w:val="38"/>
              </w:rPr>
            </w:pPr>
            <w:r>
              <w:rPr>
                <w:sz w:val="38"/>
              </w:rPr>
              <w:t>Very full and spicy taste</w:t>
            </w:r>
          </w:p>
        </w:tc>
        <w:tc>
          <w:tcPr>
            <w:tcW w:w="1120" w:type="dxa"/>
          </w:tcPr>
          <w:p>
            <w:pPr>
              <w:pStyle w:val="TableParagraph"/>
              <w:spacing w:before="5"/>
              <w:rPr>
                <w:rFonts w:ascii="Times New Roman"/>
                <w:sz w:val="38"/>
              </w:rPr>
            </w:pPr>
          </w:p>
          <w:p>
            <w:pPr>
              <w:pStyle w:val="TableParagraph"/>
              <w:ind w:left="91" w:right="56" w:firstLine="64"/>
              <w:rPr>
                <w:sz w:val="38"/>
              </w:rPr>
            </w:pPr>
            <w:r>
              <w:rPr>
                <w:sz w:val="38"/>
              </w:rPr>
              <w:t>green yellow</w:t>
            </w:r>
          </w:p>
        </w:tc>
        <w:tc>
          <w:tcPr>
            <w:tcW w:w="1862" w:type="dxa"/>
          </w:tcPr>
          <w:p>
            <w:pPr>
              <w:pStyle w:val="TableParagraph"/>
              <w:spacing w:before="229"/>
              <w:ind w:left="20" w:right="3" w:hanging="1"/>
              <w:jc w:val="center"/>
              <w:rPr>
                <w:sz w:val="38"/>
              </w:rPr>
            </w:pPr>
            <w:r>
              <w:rPr>
                <w:sz w:val="38"/>
              </w:rPr>
              <w:t>Was the first tea</w:t>
            </w:r>
            <w:r>
              <w:rPr>
                <w:spacing w:val="-3"/>
                <w:sz w:val="38"/>
              </w:rPr>
              <w:t> </w:t>
            </w:r>
            <w:r>
              <w:rPr>
                <w:sz w:val="38"/>
              </w:rPr>
              <w:t>ever used</w:t>
            </w:r>
          </w:p>
        </w:tc>
      </w:tr>
      <w:tr>
        <w:trPr>
          <w:trHeight w:val="2167" w:hRule="atLeast"/>
        </w:trPr>
        <w:tc>
          <w:tcPr>
            <w:tcW w:w="1877" w:type="dxa"/>
          </w:tcPr>
          <w:p>
            <w:pPr>
              <w:pStyle w:val="TableParagraph"/>
              <w:spacing w:before="9"/>
              <w:rPr>
                <w:rFonts w:ascii="Times New Roman"/>
                <w:sz w:val="56"/>
              </w:rPr>
            </w:pPr>
          </w:p>
          <w:p>
            <w:pPr>
              <w:pStyle w:val="TableParagraph"/>
              <w:spacing w:line="228" w:lineRule="auto" w:before="1"/>
              <w:ind w:left="662" w:right="235" w:hanging="397"/>
              <w:rPr>
                <w:b/>
                <w:i/>
                <w:sz w:val="40"/>
              </w:rPr>
            </w:pPr>
            <w:r>
              <w:rPr>
                <w:b/>
                <w:i/>
                <w:w w:val="95"/>
                <w:sz w:val="40"/>
              </w:rPr>
              <w:t>Lu Shan </w:t>
            </w:r>
            <w:r>
              <w:rPr>
                <w:b/>
                <w:i/>
                <w:sz w:val="40"/>
              </w:rPr>
              <w:t>Wu</w:t>
            </w:r>
          </w:p>
        </w:tc>
        <w:tc>
          <w:tcPr>
            <w:tcW w:w="1068" w:type="dxa"/>
          </w:tcPr>
          <w:p>
            <w:pPr>
              <w:pStyle w:val="TableParagraph"/>
              <w:spacing w:before="3"/>
              <w:rPr>
                <w:rFonts w:ascii="Times New Roman"/>
                <w:sz w:val="38"/>
              </w:rPr>
            </w:pPr>
          </w:p>
          <w:p>
            <w:pPr>
              <w:pStyle w:val="TableParagraph"/>
              <w:ind w:left="36" w:right="31"/>
              <w:jc w:val="center"/>
              <w:rPr>
                <w:sz w:val="38"/>
              </w:rPr>
            </w:pPr>
            <w:r>
              <w:rPr>
                <w:sz w:val="38"/>
              </w:rPr>
              <w:t>South- ern China</w:t>
            </w:r>
          </w:p>
        </w:tc>
        <w:tc>
          <w:tcPr>
            <w:tcW w:w="1296" w:type="dxa"/>
          </w:tcPr>
          <w:p>
            <w:pPr>
              <w:pStyle w:val="TableParagraph"/>
              <w:spacing w:before="3"/>
              <w:rPr>
                <w:rFonts w:ascii="Times New Roman"/>
                <w:sz w:val="38"/>
              </w:rPr>
            </w:pPr>
          </w:p>
          <w:p>
            <w:pPr>
              <w:pStyle w:val="TableParagraph"/>
              <w:ind w:left="93" w:right="83" w:firstLine="1"/>
              <w:jc w:val="center"/>
              <w:rPr>
                <w:sz w:val="38"/>
              </w:rPr>
            </w:pPr>
            <w:r>
              <w:rPr>
                <w:sz w:val="38"/>
              </w:rPr>
              <w:t>Fresh, </w:t>
            </w:r>
            <w:r>
              <w:rPr>
                <w:w w:val="95"/>
                <w:sz w:val="38"/>
              </w:rPr>
              <w:t>delicate </w:t>
            </w:r>
            <w:r>
              <w:rPr>
                <w:sz w:val="38"/>
              </w:rPr>
              <w:t>taste</w:t>
            </w:r>
          </w:p>
        </w:tc>
        <w:tc>
          <w:tcPr>
            <w:tcW w:w="1120" w:type="dxa"/>
          </w:tcPr>
          <w:p>
            <w:pPr>
              <w:pStyle w:val="TableParagraph"/>
              <w:spacing w:before="3"/>
              <w:rPr>
                <w:rFonts w:ascii="Times New Roman"/>
                <w:sz w:val="38"/>
              </w:rPr>
            </w:pPr>
          </w:p>
          <w:p>
            <w:pPr>
              <w:pStyle w:val="TableParagraph"/>
              <w:ind w:left="132" w:right="115"/>
              <w:jc w:val="center"/>
              <w:rPr>
                <w:sz w:val="38"/>
              </w:rPr>
            </w:pPr>
            <w:r>
              <w:rPr>
                <w:sz w:val="38"/>
              </w:rPr>
              <w:t>emer-</w:t>
            </w:r>
            <w:r>
              <w:rPr>
                <w:w w:val="99"/>
                <w:sz w:val="38"/>
              </w:rPr>
              <w:t> </w:t>
            </w:r>
            <w:r>
              <w:rPr>
                <w:sz w:val="38"/>
              </w:rPr>
              <w:t>ald- green</w:t>
            </w:r>
          </w:p>
        </w:tc>
        <w:tc>
          <w:tcPr>
            <w:tcW w:w="1862" w:type="dxa"/>
          </w:tcPr>
          <w:p>
            <w:pPr>
              <w:pStyle w:val="TableParagraph"/>
              <w:spacing w:before="13"/>
              <w:ind w:left="20" w:right="3" w:firstLine="4"/>
              <w:jc w:val="both"/>
              <w:rPr>
                <w:sz w:val="38"/>
              </w:rPr>
            </w:pPr>
            <w:r>
              <w:rPr>
                <w:sz w:val="38"/>
              </w:rPr>
              <w:t>Contains lit- tle caffeine and is there- fore easily</w:t>
            </w:r>
          </w:p>
          <w:p>
            <w:pPr>
              <w:pStyle w:val="TableParagraph"/>
              <w:spacing w:line="422" w:lineRule="exact" w:before="2"/>
              <w:ind w:left="241"/>
              <w:rPr>
                <w:sz w:val="38"/>
              </w:rPr>
            </w:pPr>
            <w:r>
              <w:rPr>
                <w:sz w:val="38"/>
              </w:rPr>
              <w:t>digestible</w:t>
            </w:r>
          </w:p>
        </w:tc>
      </w:tr>
    </w:tbl>
    <w:p>
      <w:pPr>
        <w:spacing w:after="0" w:line="422" w:lineRule="exact"/>
        <w:rPr>
          <w:sz w:val="38"/>
        </w:rPr>
        <w:sectPr>
          <w:pgSz w:w="14270" w:h="16850"/>
          <w:pgMar w:header="0" w:footer="404" w:top="1600" w:bottom="600" w:left="800" w:right="1280"/>
        </w:sectPr>
      </w:pPr>
    </w:p>
    <w:p>
      <w:pPr>
        <w:pStyle w:val="BodyText"/>
        <w:spacing w:before="1"/>
        <w:rPr>
          <w:rFonts w:ascii="Times New Roman"/>
          <w:sz w:val="16"/>
        </w:rPr>
      </w:pPr>
    </w:p>
    <w:tbl>
      <w:tblPr>
        <w:tblW w:w="0" w:type="auto"/>
        <w:jc w:val="left"/>
        <w:tblInd w:w="26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77"/>
        <w:gridCol w:w="1068"/>
        <w:gridCol w:w="1296"/>
        <w:gridCol w:w="1120"/>
        <w:gridCol w:w="1862"/>
      </w:tblGrid>
      <w:tr>
        <w:trPr>
          <w:trHeight w:val="1312" w:hRule="atLeast"/>
        </w:trPr>
        <w:tc>
          <w:tcPr>
            <w:tcW w:w="1877" w:type="dxa"/>
          </w:tcPr>
          <w:p>
            <w:pPr>
              <w:pStyle w:val="TableParagraph"/>
              <w:spacing w:line="228" w:lineRule="auto" w:before="229"/>
              <w:ind w:left="390" w:right="183" w:firstLine="108"/>
              <w:rPr>
                <w:b/>
                <w:i/>
                <w:sz w:val="40"/>
              </w:rPr>
            </w:pPr>
            <w:r>
              <w:rPr>
                <w:b/>
                <w:i/>
                <w:sz w:val="40"/>
              </w:rPr>
              <w:t>Pi Lo </w:t>
            </w:r>
            <w:r>
              <w:rPr>
                <w:b/>
                <w:i/>
                <w:w w:val="90"/>
                <w:sz w:val="40"/>
              </w:rPr>
              <w:t>Chung</w:t>
            </w:r>
          </w:p>
        </w:tc>
        <w:tc>
          <w:tcPr>
            <w:tcW w:w="1068" w:type="dxa"/>
          </w:tcPr>
          <w:p>
            <w:pPr>
              <w:pStyle w:val="TableParagraph"/>
              <w:spacing w:line="428" w:lineRule="exact"/>
              <w:ind w:left="36" w:right="31"/>
              <w:jc w:val="center"/>
              <w:rPr>
                <w:sz w:val="38"/>
              </w:rPr>
            </w:pPr>
            <w:r>
              <w:rPr>
                <w:sz w:val="38"/>
              </w:rPr>
              <w:t>South- ern China</w:t>
            </w:r>
          </w:p>
        </w:tc>
        <w:tc>
          <w:tcPr>
            <w:tcW w:w="1296" w:type="dxa"/>
          </w:tcPr>
          <w:p>
            <w:pPr>
              <w:pStyle w:val="TableParagraph"/>
              <w:spacing w:line="428" w:lineRule="exact"/>
              <w:ind w:left="93" w:right="83" w:firstLine="1"/>
              <w:jc w:val="center"/>
              <w:rPr>
                <w:sz w:val="38"/>
              </w:rPr>
            </w:pPr>
            <w:r>
              <w:rPr>
                <w:sz w:val="38"/>
              </w:rPr>
              <w:t>Fresh, </w:t>
            </w:r>
            <w:r>
              <w:rPr>
                <w:w w:val="95"/>
                <w:sz w:val="38"/>
              </w:rPr>
              <w:t>delicate </w:t>
            </w:r>
            <w:r>
              <w:rPr>
                <w:sz w:val="38"/>
              </w:rPr>
              <w:t>taste</w:t>
            </w:r>
          </w:p>
        </w:tc>
        <w:tc>
          <w:tcPr>
            <w:tcW w:w="1120" w:type="dxa"/>
          </w:tcPr>
          <w:p>
            <w:pPr>
              <w:pStyle w:val="TableParagraph"/>
              <w:spacing w:line="428" w:lineRule="exact"/>
              <w:ind w:left="132" w:right="115"/>
              <w:jc w:val="center"/>
              <w:rPr>
                <w:sz w:val="38"/>
              </w:rPr>
            </w:pPr>
            <w:r>
              <w:rPr>
                <w:sz w:val="38"/>
              </w:rPr>
              <w:t>emer-</w:t>
            </w:r>
            <w:r>
              <w:rPr>
                <w:w w:val="99"/>
                <w:sz w:val="38"/>
              </w:rPr>
              <w:t> </w:t>
            </w:r>
            <w:r>
              <w:rPr>
                <w:sz w:val="38"/>
              </w:rPr>
              <w:t>ald- green</w:t>
            </w:r>
          </w:p>
        </w:tc>
        <w:tc>
          <w:tcPr>
            <w:tcW w:w="1862" w:type="dxa"/>
          </w:tcPr>
          <w:p>
            <w:pPr>
              <w:pStyle w:val="TableParagraph"/>
              <w:rPr>
                <w:rFonts w:ascii="Times New Roman"/>
                <w:sz w:val="36"/>
              </w:rPr>
            </w:pPr>
          </w:p>
        </w:tc>
      </w:tr>
      <w:tr>
        <w:trPr>
          <w:trHeight w:val="1741" w:hRule="atLeast"/>
        </w:trPr>
        <w:tc>
          <w:tcPr>
            <w:tcW w:w="1877" w:type="dxa"/>
          </w:tcPr>
          <w:p>
            <w:pPr>
              <w:pStyle w:val="TableParagraph"/>
              <w:spacing w:before="6"/>
              <w:rPr>
                <w:rFonts w:ascii="Times New Roman"/>
                <w:sz w:val="55"/>
              </w:rPr>
            </w:pPr>
          </w:p>
          <w:p>
            <w:pPr>
              <w:pStyle w:val="TableParagraph"/>
              <w:ind w:left="8"/>
              <w:jc w:val="center"/>
              <w:rPr>
                <w:b/>
                <w:i/>
                <w:sz w:val="40"/>
              </w:rPr>
            </w:pPr>
            <w:r>
              <w:rPr>
                <w:b/>
                <w:i/>
                <w:sz w:val="40"/>
              </w:rPr>
              <w:t>White tea</w:t>
            </w:r>
          </w:p>
        </w:tc>
        <w:tc>
          <w:tcPr>
            <w:tcW w:w="1068" w:type="dxa"/>
          </w:tcPr>
          <w:p>
            <w:pPr>
              <w:pStyle w:val="TableParagraph"/>
              <w:spacing w:before="229"/>
              <w:ind w:left="36" w:right="31"/>
              <w:jc w:val="center"/>
              <w:rPr>
                <w:sz w:val="38"/>
              </w:rPr>
            </w:pPr>
            <w:r>
              <w:rPr>
                <w:sz w:val="38"/>
              </w:rPr>
              <w:t>South- ern China</w:t>
            </w:r>
          </w:p>
        </w:tc>
        <w:tc>
          <w:tcPr>
            <w:tcW w:w="1296" w:type="dxa"/>
          </w:tcPr>
          <w:p>
            <w:pPr>
              <w:pStyle w:val="TableParagraph"/>
              <w:spacing w:line="428" w:lineRule="exact"/>
              <w:ind w:left="129" w:right="115" w:hanging="3"/>
              <w:jc w:val="center"/>
              <w:rPr>
                <w:sz w:val="38"/>
              </w:rPr>
            </w:pPr>
            <w:r>
              <w:rPr>
                <w:sz w:val="38"/>
              </w:rPr>
              <w:t>Spicy, slightly</w:t>
            </w:r>
            <w:r>
              <w:rPr>
                <w:w w:val="99"/>
                <w:sz w:val="38"/>
              </w:rPr>
              <w:t> </w:t>
            </w:r>
            <w:r>
              <w:rPr>
                <w:sz w:val="38"/>
              </w:rPr>
              <w:t>bitter taste</w:t>
            </w:r>
          </w:p>
        </w:tc>
        <w:tc>
          <w:tcPr>
            <w:tcW w:w="1120" w:type="dxa"/>
          </w:tcPr>
          <w:p>
            <w:pPr>
              <w:pStyle w:val="TableParagraph"/>
              <w:spacing w:line="428" w:lineRule="exact"/>
              <w:ind w:left="43" w:right="25"/>
              <w:jc w:val="center"/>
              <w:rPr>
                <w:sz w:val="38"/>
              </w:rPr>
            </w:pPr>
            <w:r>
              <w:rPr>
                <w:sz w:val="38"/>
              </w:rPr>
              <w:t>slightly</w:t>
            </w:r>
            <w:r>
              <w:rPr>
                <w:w w:val="99"/>
                <w:sz w:val="38"/>
              </w:rPr>
              <w:t> </w:t>
            </w:r>
            <w:r>
              <w:rPr>
                <w:sz w:val="38"/>
              </w:rPr>
              <w:t>silver in col- our</w:t>
            </w:r>
          </w:p>
        </w:tc>
        <w:tc>
          <w:tcPr>
            <w:tcW w:w="1862" w:type="dxa"/>
          </w:tcPr>
          <w:p>
            <w:pPr>
              <w:pStyle w:val="TableParagraph"/>
              <w:rPr>
                <w:rFonts w:ascii="Times New Roman"/>
                <w:sz w:val="36"/>
              </w:rPr>
            </w:pPr>
          </w:p>
        </w:tc>
      </w:tr>
      <w:tr>
        <w:trPr>
          <w:trHeight w:val="1312" w:hRule="atLeast"/>
        </w:trPr>
        <w:tc>
          <w:tcPr>
            <w:tcW w:w="1877" w:type="dxa"/>
          </w:tcPr>
          <w:p>
            <w:pPr>
              <w:pStyle w:val="TableParagraph"/>
              <w:spacing w:before="9"/>
              <w:rPr>
                <w:rFonts w:ascii="Times New Roman"/>
                <w:sz w:val="36"/>
              </w:rPr>
            </w:pPr>
          </w:p>
          <w:p>
            <w:pPr>
              <w:pStyle w:val="TableParagraph"/>
              <w:ind w:left="8"/>
              <w:jc w:val="center"/>
              <w:rPr>
                <w:b/>
                <w:i/>
                <w:sz w:val="40"/>
              </w:rPr>
            </w:pPr>
            <w:r>
              <w:rPr>
                <w:b/>
                <w:i/>
                <w:sz w:val="40"/>
              </w:rPr>
              <w:t>Chun</w:t>
            </w:r>
            <w:r>
              <w:rPr>
                <w:b/>
                <w:i/>
                <w:spacing w:val="-52"/>
                <w:sz w:val="40"/>
              </w:rPr>
              <w:t> </w:t>
            </w:r>
            <w:r>
              <w:rPr>
                <w:b/>
                <w:i/>
                <w:sz w:val="40"/>
              </w:rPr>
              <w:t>Mee</w:t>
            </w:r>
          </w:p>
        </w:tc>
        <w:tc>
          <w:tcPr>
            <w:tcW w:w="1068" w:type="dxa"/>
          </w:tcPr>
          <w:p>
            <w:pPr>
              <w:pStyle w:val="TableParagraph"/>
              <w:spacing w:before="13"/>
              <w:ind w:left="52" w:right="46"/>
              <w:jc w:val="center"/>
              <w:rPr>
                <w:sz w:val="38"/>
              </w:rPr>
            </w:pPr>
            <w:r>
              <w:rPr>
                <w:spacing w:val="-1"/>
                <w:sz w:val="38"/>
              </w:rPr>
              <w:t>China, </w:t>
            </w:r>
            <w:r>
              <w:rPr>
                <w:sz w:val="38"/>
              </w:rPr>
              <w:t>Tai-</w:t>
            </w:r>
          </w:p>
          <w:p>
            <w:pPr>
              <w:pStyle w:val="TableParagraph"/>
              <w:spacing w:line="424" w:lineRule="exact"/>
              <w:ind w:left="33" w:right="31"/>
              <w:jc w:val="center"/>
              <w:rPr>
                <w:sz w:val="38"/>
              </w:rPr>
            </w:pPr>
            <w:r>
              <w:rPr>
                <w:sz w:val="38"/>
              </w:rPr>
              <w:t>wan</w:t>
            </w:r>
          </w:p>
        </w:tc>
        <w:tc>
          <w:tcPr>
            <w:tcW w:w="1296" w:type="dxa"/>
          </w:tcPr>
          <w:p>
            <w:pPr>
              <w:pStyle w:val="TableParagraph"/>
              <w:spacing w:before="13"/>
              <w:ind w:left="129" w:right="88" w:hanging="17"/>
              <w:rPr>
                <w:sz w:val="38"/>
              </w:rPr>
            </w:pPr>
            <w:r>
              <w:rPr>
                <w:sz w:val="38"/>
              </w:rPr>
              <w:t>Strong, slightly</w:t>
            </w:r>
          </w:p>
          <w:p>
            <w:pPr>
              <w:pStyle w:val="TableParagraph"/>
              <w:spacing w:line="424" w:lineRule="exact"/>
              <w:ind w:left="163"/>
              <w:rPr>
                <w:sz w:val="38"/>
              </w:rPr>
            </w:pPr>
            <w:r>
              <w:rPr>
                <w:sz w:val="38"/>
              </w:rPr>
              <w:t>smoky</w:t>
            </w:r>
          </w:p>
        </w:tc>
        <w:tc>
          <w:tcPr>
            <w:tcW w:w="1120" w:type="dxa"/>
          </w:tcPr>
          <w:p>
            <w:pPr>
              <w:pStyle w:val="TableParagraph"/>
              <w:spacing w:before="13"/>
              <w:ind w:left="31" w:right="16"/>
              <w:jc w:val="center"/>
              <w:rPr>
                <w:sz w:val="38"/>
              </w:rPr>
            </w:pPr>
            <w:r>
              <w:rPr>
                <w:w w:val="95"/>
                <w:sz w:val="38"/>
              </w:rPr>
              <w:t>yellow- </w:t>
            </w:r>
            <w:r>
              <w:rPr>
                <w:sz w:val="38"/>
              </w:rPr>
              <w:t>green-</w:t>
            </w:r>
          </w:p>
          <w:p>
            <w:pPr>
              <w:pStyle w:val="TableParagraph"/>
              <w:spacing w:line="424" w:lineRule="exact"/>
              <w:ind w:left="31" w:right="16"/>
              <w:jc w:val="center"/>
              <w:rPr>
                <w:sz w:val="38"/>
              </w:rPr>
            </w:pPr>
            <w:r>
              <w:rPr>
                <w:sz w:val="38"/>
              </w:rPr>
              <w:t>ish</w:t>
            </w:r>
          </w:p>
        </w:tc>
        <w:tc>
          <w:tcPr>
            <w:tcW w:w="1862" w:type="dxa"/>
          </w:tcPr>
          <w:p>
            <w:pPr>
              <w:pStyle w:val="TableParagraph"/>
              <w:spacing w:before="13"/>
              <w:ind w:left="13"/>
              <w:jc w:val="center"/>
              <w:rPr>
                <w:sz w:val="38"/>
              </w:rPr>
            </w:pPr>
            <w:r>
              <w:rPr>
                <w:w w:val="95"/>
                <w:sz w:val="38"/>
              </w:rPr>
              <w:t>Pseudonym: </w:t>
            </w:r>
            <w:r>
              <w:rPr>
                <w:sz w:val="38"/>
              </w:rPr>
              <w:t>‘Precious</w:t>
            </w:r>
          </w:p>
          <w:p>
            <w:pPr>
              <w:pStyle w:val="TableParagraph"/>
              <w:spacing w:line="424" w:lineRule="exact"/>
              <w:ind w:left="15"/>
              <w:jc w:val="center"/>
              <w:rPr>
                <w:sz w:val="38"/>
              </w:rPr>
            </w:pPr>
            <w:r>
              <w:rPr>
                <w:sz w:val="38"/>
              </w:rPr>
              <w:t>eyebrow’</w:t>
            </w:r>
          </w:p>
        </w:tc>
      </w:tr>
      <w:tr>
        <w:trPr>
          <w:trHeight w:val="2594" w:hRule="atLeast"/>
        </w:trPr>
        <w:tc>
          <w:tcPr>
            <w:tcW w:w="1877" w:type="dxa"/>
          </w:tcPr>
          <w:p>
            <w:pPr>
              <w:pStyle w:val="TableParagraph"/>
              <w:rPr>
                <w:rFonts w:ascii="Times New Roman"/>
                <w:sz w:val="44"/>
              </w:rPr>
            </w:pPr>
          </w:p>
          <w:p>
            <w:pPr>
              <w:pStyle w:val="TableParagraph"/>
              <w:spacing w:line="228" w:lineRule="auto" w:before="361"/>
              <w:ind w:left="677" w:right="183" w:hanging="491"/>
              <w:rPr>
                <w:b/>
                <w:i/>
                <w:sz w:val="40"/>
              </w:rPr>
            </w:pPr>
            <w:r>
              <w:rPr>
                <w:b/>
                <w:i/>
                <w:w w:val="90"/>
                <w:sz w:val="40"/>
              </w:rPr>
              <w:t>Gunpow- </w:t>
            </w:r>
            <w:r>
              <w:rPr>
                <w:b/>
                <w:i/>
                <w:sz w:val="40"/>
              </w:rPr>
              <w:t>der</w:t>
            </w:r>
          </w:p>
        </w:tc>
        <w:tc>
          <w:tcPr>
            <w:tcW w:w="1068" w:type="dxa"/>
          </w:tcPr>
          <w:p>
            <w:pPr>
              <w:pStyle w:val="TableParagraph"/>
              <w:spacing w:before="9"/>
              <w:rPr>
                <w:rFonts w:ascii="Times New Roman"/>
                <w:sz w:val="56"/>
              </w:rPr>
            </w:pPr>
          </w:p>
          <w:p>
            <w:pPr>
              <w:pStyle w:val="TableParagraph"/>
              <w:spacing w:before="1"/>
              <w:ind w:left="228" w:right="46" w:hanging="176"/>
              <w:rPr>
                <w:sz w:val="38"/>
              </w:rPr>
            </w:pPr>
            <w:r>
              <w:rPr>
                <w:w w:val="95"/>
                <w:sz w:val="38"/>
              </w:rPr>
              <w:t>China, </w:t>
            </w:r>
            <w:r>
              <w:rPr>
                <w:sz w:val="38"/>
              </w:rPr>
              <w:t>Tai- wan</w:t>
            </w:r>
          </w:p>
        </w:tc>
        <w:tc>
          <w:tcPr>
            <w:tcW w:w="1296" w:type="dxa"/>
          </w:tcPr>
          <w:p>
            <w:pPr>
              <w:pStyle w:val="TableParagraph"/>
              <w:spacing w:before="13"/>
              <w:ind w:left="129" w:right="115" w:hanging="5"/>
              <w:jc w:val="center"/>
              <w:rPr>
                <w:sz w:val="38"/>
              </w:rPr>
            </w:pPr>
            <w:r>
              <w:rPr>
                <w:sz w:val="38"/>
              </w:rPr>
              <w:t>Fresh tart, clear taste, slightly</w:t>
            </w:r>
          </w:p>
          <w:p>
            <w:pPr>
              <w:pStyle w:val="TableParagraph"/>
              <w:spacing w:line="422" w:lineRule="exact" w:before="1"/>
              <w:ind w:left="22" w:right="13"/>
              <w:jc w:val="center"/>
              <w:rPr>
                <w:sz w:val="38"/>
              </w:rPr>
            </w:pPr>
            <w:r>
              <w:rPr>
                <w:sz w:val="38"/>
              </w:rPr>
              <w:t>bitter</w:t>
            </w:r>
          </w:p>
        </w:tc>
        <w:tc>
          <w:tcPr>
            <w:tcW w:w="1120" w:type="dxa"/>
          </w:tcPr>
          <w:p>
            <w:pPr>
              <w:pStyle w:val="TableParagraph"/>
              <w:rPr>
                <w:rFonts w:ascii="Times New Roman"/>
                <w:sz w:val="42"/>
              </w:rPr>
            </w:pPr>
          </w:p>
          <w:p>
            <w:pPr>
              <w:pStyle w:val="TableParagraph"/>
              <w:spacing w:before="4"/>
              <w:rPr>
                <w:rFonts w:ascii="Times New Roman"/>
                <w:sz w:val="33"/>
              </w:rPr>
            </w:pPr>
          </w:p>
          <w:p>
            <w:pPr>
              <w:pStyle w:val="TableParagraph"/>
              <w:spacing w:before="1"/>
              <w:ind w:left="156" w:right="9" w:hanging="125"/>
              <w:rPr>
                <w:sz w:val="38"/>
              </w:rPr>
            </w:pPr>
            <w:r>
              <w:rPr>
                <w:w w:val="95"/>
                <w:sz w:val="38"/>
              </w:rPr>
              <w:t>yellow- </w:t>
            </w:r>
            <w:r>
              <w:rPr>
                <w:sz w:val="38"/>
              </w:rPr>
              <w:t>green</w:t>
            </w:r>
          </w:p>
        </w:tc>
        <w:tc>
          <w:tcPr>
            <w:tcW w:w="1862" w:type="dxa"/>
          </w:tcPr>
          <w:p>
            <w:pPr>
              <w:pStyle w:val="TableParagraph"/>
              <w:spacing w:before="226"/>
              <w:ind w:left="17"/>
              <w:jc w:val="center"/>
              <w:rPr>
                <w:sz w:val="38"/>
              </w:rPr>
            </w:pPr>
            <w:r>
              <w:rPr>
                <w:sz w:val="38"/>
              </w:rPr>
              <w:t>Drink a sec- ond or third infusion if taste is too bitter</w:t>
            </w:r>
          </w:p>
        </w:tc>
      </w:tr>
      <w:tr>
        <w:trPr>
          <w:trHeight w:val="1739" w:hRule="atLeast"/>
        </w:trPr>
        <w:tc>
          <w:tcPr>
            <w:tcW w:w="1877" w:type="dxa"/>
          </w:tcPr>
          <w:p>
            <w:pPr>
              <w:pStyle w:val="TableParagraph"/>
              <w:spacing w:before="6"/>
              <w:rPr>
                <w:rFonts w:ascii="Times New Roman"/>
                <w:sz w:val="55"/>
              </w:rPr>
            </w:pPr>
          </w:p>
          <w:p>
            <w:pPr>
              <w:pStyle w:val="TableParagraph"/>
              <w:ind w:left="9"/>
              <w:jc w:val="center"/>
              <w:rPr>
                <w:b/>
                <w:i/>
                <w:sz w:val="40"/>
              </w:rPr>
            </w:pPr>
            <w:r>
              <w:rPr>
                <w:b/>
                <w:i/>
                <w:sz w:val="40"/>
              </w:rPr>
              <w:t>Oolong</w:t>
            </w:r>
          </w:p>
        </w:tc>
        <w:tc>
          <w:tcPr>
            <w:tcW w:w="1068" w:type="dxa"/>
          </w:tcPr>
          <w:p>
            <w:pPr>
              <w:pStyle w:val="TableParagraph"/>
              <w:spacing w:before="229"/>
              <w:ind w:left="228" w:right="46" w:hanging="176"/>
              <w:rPr>
                <w:sz w:val="38"/>
              </w:rPr>
            </w:pPr>
            <w:r>
              <w:rPr>
                <w:w w:val="95"/>
                <w:sz w:val="38"/>
              </w:rPr>
              <w:t>China, </w:t>
            </w:r>
            <w:r>
              <w:rPr>
                <w:sz w:val="38"/>
              </w:rPr>
              <w:t>Tai- wan</w:t>
            </w:r>
          </w:p>
        </w:tc>
        <w:tc>
          <w:tcPr>
            <w:tcW w:w="1296" w:type="dxa"/>
          </w:tcPr>
          <w:p>
            <w:pPr>
              <w:pStyle w:val="TableParagraph"/>
              <w:spacing w:before="5"/>
              <w:rPr>
                <w:rFonts w:ascii="Times New Roman"/>
                <w:sz w:val="38"/>
              </w:rPr>
            </w:pPr>
          </w:p>
          <w:p>
            <w:pPr>
              <w:pStyle w:val="TableParagraph"/>
              <w:ind w:left="185" w:right="127" w:hanging="29"/>
              <w:rPr>
                <w:sz w:val="38"/>
              </w:rPr>
            </w:pPr>
            <w:r>
              <w:rPr>
                <w:sz w:val="38"/>
              </w:rPr>
              <w:t>Strong aroma</w:t>
            </w:r>
          </w:p>
        </w:tc>
        <w:tc>
          <w:tcPr>
            <w:tcW w:w="1120" w:type="dxa"/>
          </w:tcPr>
          <w:p>
            <w:pPr>
              <w:pStyle w:val="TableParagraph"/>
              <w:spacing w:line="428" w:lineRule="exact"/>
              <w:ind w:left="139" w:right="122" w:firstLine="31"/>
              <w:jc w:val="both"/>
              <w:rPr>
                <w:sz w:val="38"/>
              </w:rPr>
            </w:pPr>
            <w:r>
              <w:rPr>
                <w:sz w:val="38"/>
              </w:rPr>
              <w:t>Light green to or- ange</w:t>
            </w:r>
          </w:p>
        </w:tc>
        <w:tc>
          <w:tcPr>
            <w:tcW w:w="1862" w:type="dxa"/>
          </w:tcPr>
          <w:p>
            <w:pPr>
              <w:pStyle w:val="TableParagraph"/>
              <w:rPr>
                <w:rFonts w:ascii="Times New Roman"/>
                <w:sz w:val="36"/>
              </w:rPr>
            </w:pPr>
          </w:p>
        </w:tc>
      </w:tr>
      <w:tr>
        <w:trPr>
          <w:trHeight w:val="1742" w:hRule="atLeast"/>
        </w:trPr>
        <w:tc>
          <w:tcPr>
            <w:tcW w:w="1877" w:type="dxa"/>
          </w:tcPr>
          <w:p>
            <w:pPr>
              <w:pStyle w:val="TableParagraph"/>
              <w:spacing w:before="6"/>
              <w:rPr>
                <w:rFonts w:ascii="Times New Roman"/>
                <w:sz w:val="55"/>
              </w:rPr>
            </w:pPr>
          </w:p>
          <w:p>
            <w:pPr>
              <w:pStyle w:val="TableParagraph"/>
              <w:ind w:left="6"/>
              <w:jc w:val="center"/>
              <w:rPr>
                <w:b/>
                <w:i/>
                <w:sz w:val="40"/>
              </w:rPr>
            </w:pPr>
            <w:r>
              <w:rPr>
                <w:b/>
                <w:i/>
                <w:sz w:val="40"/>
              </w:rPr>
              <w:t>Mao Feng</w:t>
            </w:r>
          </w:p>
        </w:tc>
        <w:tc>
          <w:tcPr>
            <w:tcW w:w="1068" w:type="dxa"/>
          </w:tcPr>
          <w:p>
            <w:pPr>
              <w:pStyle w:val="TableParagraph"/>
              <w:spacing w:before="15"/>
              <w:ind w:left="36" w:right="29" w:hanging="1"/>
              <w:jc w:val="center"/>
              <w:rPr>
                <w:sz w:val="38"/>
              </w:rPr>
            </w:pPr>
            <w:r>
              <w:rPr>
                <w:sz w:val="38"/>
              </w:rPr>
              <w:t>China, high moun-</w:t>
            </w:r>
          </w:p>
          <w:p>
            <w:pPr>
              <w:pStyle w:val="TableParagraph"/>
              <w:spacing w:line="424" w:lineRule="exact"/>
              <w:ind w:left="36" w:right="31"/>
              <w:jc w:val="center"/>
              <w:rPr>
                <w:sz w:val="38"/>
              </w:rPr>
            </w:pPr>
            <w:r>
              <w:rPr>
                <w:sz w:val="38"/>
              </w:rPr>
              <w:t>tains</w:t>
            </w:r>
          </w:p>
        </w:tc>
        <w:tc>
          <w:tcPr>
            <w:tcW w:w="1296" w:type="dxa"/>
          </w:tcPr>
          <w:p>
            <w:pPr>
              <w:pStyle w:val="TableParagraph"/>
              <w:rPr>
                <w:rFonts w:ascii="Times New Roman"/>
                <w:sz w:val="36"/>
              </w:rPr>
            </w:pPr>
          </w:p>
        </w:tc>
        <w:tc>
          <w:tcPr>
            <w:tcW w:w="1120" w:type="dxa"/>
          </w:tcPr>
          <w:p>
            <w:pPr>
              <w:pStyle w:val="TableParagraph"/>
              <w:spacing w:before="15"/>
              <w:ind w:left="22" w:right="4"/>
              <w:jc w:val="center"/>
              <w:rPr>
                <w:sz w:val="38"/>
              </w:rPr>
            </w:pPr>
            <w:r>
              <w:rPr>
                <w:sz w:val="38"/>
              </w:rPr>
              <w:t>Slightly</w:t>
            </w:r>
            <w:r>
              <w:rPr>
                <w:w w:val="99"/>
                <w:sz w:val="38"/>
              </w:rPr>
              <w:t> </w:t>
            </w:r>
            <w:r>
              <w:rPr>
                <w:sz w:val="38"/>
              </w:rPr>
              <w:t>wavy, silvery</w:t>
            </w:r>
          </w:p>
          <w:p>
            <w:pPr>
              <w:pStyle w:val="TableParagraph"/>
              <w:spacing w:line="424" w:lineRule="exact"/>
              <w:ind w:left="29" w:right="16"/>
              <w:jc w:val="center"/>
              <w:rPr>
                <w:sz w:val="38"/>
              </w:rPr>
            </w:pPr>
            <w:r>
              <w:rPr>
                <w:sz w:val="38"/>
              </w:rPr>
              <w:t>leaves</w:t>
            </w:r>
          </w:p>
        </w:tc>
        <w:tc>
          <w:tcPr>
            <w:tcW w:w="1862" w:type="dxa"/>
          </w:tcPr>
          <w:p>
            <w:pPr>
              <w:pStyle w:val="TableParagraph"/>
              <w:spacing w:before="229"/>
              <w:ind w:left="366" w:right="-17" w:hanging="351"/>
              <w:rPr>
                <w:sz w:val="38"/>
              </w:rPr>
            </w:pPr>
            <w:r>
              <w:rPr>
                <w:sz w:val="38"/>
              </w:rPr>
              <w:t>Mao = hairy Feng = pointed</w:t>
            </w:r>
          </w:p>
        </w:tc>
      </w:tr>
    </w:tbl>
    <w:p>
      <w:pPr>
        <w:spacing w:after="0"/>
        <w:rPr>
          <w:sz w:val="38"/>
        </w:rPr>
        <w:sectPr>
          <w:pgSz w:w="14270" w:h="16850"/>
          <w:pgMar w:header="0" w:footer="404" w:top="1600" w:bottom="600" w:left="800" w:right="1280"/>
        </w:sectPr>
      </w:pPr>
    </w:p>
    <w:p>
      <w:pPr>
        <w:pStyle w:val="BodyText"/>
        <w:spacing w:before="1"/>
        <w:rPr>
          <w:rFonts w:ascii="Times New Roman"/>
          <w:sz w:val="16"/>
        </w:rPr>
      </w:pPr>
    </w:p>
    <w:tbl>
      <w:tblPr>
        <w:tblW w:w="0" w:type="auto"/>
        <w:jc w:val="left"/>
        <w:tblInd w:w="26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77"/>
        <w:gridCol w:w="1068"/>
        <w:gridCol w:w="1296"/>
        <w:gridCol w:w="1120"/>
        <w:gridCol w:w="1862"/>
      </w:tblGrid>
      <w:tr>
        <w:trPr>
          <w:trHeight w:val="2168" w:hRule="atLeast"/>
        </w:trPr>
        <w:tc>
          <w:tcPr>
            <w:tcW w:w="1877" w:type="dxa"/>
          </w:tcPr>
          <w:p>
            <w:pPr>
              <w:pStyle w:val="TableParagraph"/>
              <w:spacing w:before="5"/>
              <w:rPr>
                <w:rFonts w:ascii="Times New Roman"/>
                <w:sz w:val="38"/>
              </w:rPr>
            </w:pPr>
          </w:p>
          <w:p>
            <w:pPr>
              <w:pStyle w:val="TableParagraph"/>
              <w:spacing w:line="228" w:lineRule="auto"/>
              <w:ind w:left="14"/>
              <w:jc w:val="center"/>
              <w:rPr>
                <w:b/>
                <w:i/>
                <w:sz w:val="40"/>
              </w:rPr>
            </w:pPr>
            <w:r>
              <w:rPr>
                <w:b/>
                <w:i/>
                <w:w w:val="95"/>
                <w:sz w:val="40"/>
              </w:rPr>
              <w:t>Tian Mu </w:t>
            </w:r>
            <w:r>
              <w:rPr>
                <w:b/>
                <w:i/>
                <w:sz w:val="40"/>
              </w:rPr>
              <w:t>Quing Ding</w:t>
            </w:r>
          </w:p>
        </w:tc>
        <w:tc>
          <w:tcPr>
            <w:tcW w:w="1068" w:type="dxa"/>
          </w:tcPr>
          <w:p>
            <w:pPr>
              <w:pStyle w:val="TableParagraph"/>
              <w:rPr>
                <w:rFonts w:ascii="Times New Roman"/>
                <w:sz w:val="42"/>
              </w:rPr>
            </w:pPr>
          </w:p>
          <w:p>
            <w:pPr>
              <w:pStyle w:val="TableParagraph"/>
              <w:spacing w:before="7"/>
              <w:rPr>
                <w:rFonts w:ascii="Times New Roman"/>
                <w:sz w:val="33"/>
              </w:rPr>
            </w:pPr>
          </w:p>
          <w:p>
            <w:pPr>
              <w:pStyle w:val="TableParagraph"/>
              <w:ind w:left="33" w:right="31"/>
              <w:jc w:val="center"/>
              <w:rPr>
                <w:sz w:val="38"/>
              </w:rPr>
            </w:pPr>
            <w:r>
              <w:rPr>
                <w:sz w:val="38"/>
              </w:rPr>
              <w:t>China</w:t>
            </w:r>
          </w:p>
        </w:tc>
        <w:tc>
          <w:tcPr>
            <w:tcW w:w="1296" w:type="dxa"/>
          </w:tcPr>
          <w:p>
            <w:pPr>
              <w:pStyle w:val="TableParagraph"/>
              <w:rPr>
                <w:rFonts w:ascii="Times New Roman"/>
                <w:sz w:val="36"/>
              </w:rPr>
            </w:pPr>
          </w:p>
        </w:tc>
        <w:tc>
          <w:tcPr>
            <w:tcW w:w="1120" w:type="dxa"/>
          </w:tcPr>
          <w:p>
            <w:pPr>
              <w:pStyle w:val="TableParagraph"/>
              <w:spacing w:line="428" w:lineRule="exact"/>
              <w:ind w:left="46" w:right="31" w:firstLine="3"/>
              <w:jc w:val="center"/>
              <w:rPr>
                <w:sz w:val="38"/>
              </w:rPr>
            </w:pPr>
            <w:r>
              <w:rPr>
                <w:sz w:val="38"/>
              </w:rPr>
              <w:t>Finely pro- cessed,</w:t>
            </w:r>
            <w:r>
              <w:rPr>
                <w:w w:val="99"/>
                <w:sz w:val="38"/>
              </w:rPr>
              <w:t> </w:t>
            </w:r>
            <w:r>
              <w:rPr>
                <w:sz w:val="38"/>
              </w:rPr>
              <w:t>jade green</w:t>
            </w:r>
          </w:p>
        </w:tc>
        <w:tc>
          <w:tcPr>
            <w:tcW w:w="1862" w:type="dxa"/>
          </w:tcPr>
          <w:p>
            <w:pPr>
              <w:pStyle w:val="TableParagraph"/>
              <w:rPr>
                <w:rFonts w:ascii="Times New Roman"/>
                <w:sz w:val="36"/>
              </w:rPr>
            </w:pPr>
          </w:p>
        </w:tc>
      </w:tr>
      <w:tr>
        <w:trPr>
          <w:trHeight w:val="1740" w:hRule="atLeast"/>
        </w:trPr>
        <w:tc>
          <w:tcPr>
            <w:tcW w:w="1877" w:type="dxa"/>
          </w:tcPr>
          <w:p>
            <w:pPr>
              <w:pStyle w:val="TableParagraph"/>
              <w:spacing w:before="4"/>
              <w:rPr>
                <w:rFonts w:ascii="Times New Roman"/>
                <w:sz w:val="55"/>
              </w:rPr>
            </w:pPr>
          </w:p>
          <w:p>
            <w:pPr>
              <w:pStyle w:val="TableParagraph"/>
              <w:ind w:left="354"/>
              <w:rPr>
                <w:b/>
                <w:i/>
                <w:sz w:val="40"/>
              </w:rPr>
            </w:pPr>
            <w:r>
              <w:rPr>
                <w:b/>
                <w:i/>
                <w:sz w:val="40"/>
              </w:rPr>
              <w:t>Yuncui</w:t>
            </w:r>
          </w:p>
        </w:tc>
        <w:tc>
          <w:tcPr>
            <w:tcW w:w="1068" w:type="dxa"/>
          </w:tcPr>
          <w:p>
            <w:pPr>
              <w:pStyle w:val="TableParagraph"/>
              <w:spacing w:before="9"/>
              <w:rPr>
                <w:rFonts w:ascii="Times New Roman"/>
                <w:sz w:val="56"/>
              </w:rPr>
            </w:pPr>
          </w:p>
          <w:p>
            <w:pPr>
              <w:pStyle w:val="TableParagraph"/>
              <w:spacing w:before="1"/>
              <w:ind w:left="33" w:right="31"/>
              <w:jc w:val="center"/>
              <w:rPr>
                <w:sz w:val="38"/>
              </w:rPr>
            </w:pPr>
            <w:r>
              <w:rPr>
                <w:sz w:val="38"/>
              </w:rPr>
              <w:t>China</w:t>
            </w:r>
          </w:p>
        </w:tc>
        <w:tc>
          <w:tcPr>
            <w:tcW w:w="1296" w:type="dxa"/>
          </w:tcPr>
          <w:p>
            <w:pPr>
              <w:pStyle w:val="TableParagraph"/>
              <w:spacing w:before="13"/>
              <w:ind w:left="22" w:right="13"/>
              <w:jc w:val="center"/>
              <w:rPr>
                <w:sz w:val="38"/>
              </w:rPr>
            </w:pPr>
            <w:r>
              <w:rPr>
                <w:sz w:val="38"/>
              </w:rPr>
              <w:t>Full- </w:t>
            </w:r>
            <w:r>
              <w:rPr>
                <w:w w:val="95"/>
                <w:sz w:val="38"/>
              </w:rPr>
              <w:t>bodied, </w:t>
            </w:r>
            <w:r>
              <w:rPr>
                <w:sz w:val="38"/>
              </w:rPr>
              <w:t>floral</w:t>
            </w:r>
          </w:p>
          <w:p>
            <w:pPr>
              <w:pStyle w:val="TableParagraph"/>
              <w:spacing w:line="424" w:lineRule="exact"/>
              <w:ind w:left="23" w:right="13"/>
              <w:jc w:val="center"/>
              <w:rPr>
                <w:sz w:val="38"/>
              </w:rPr>
            </w:pPr>
            <w:r>
              <w:rPr>
                <w:sz w:val="38"/>
              </w:rPr>
              <w:t>aroma</w:t>
            </w:r>
          </w:p>
        </w:tc>
        <w:tc>
          <w:tcPr>
            <w:tcW w:w="1120" w:type="dxa"/>
          </w:tcPr>
          <w:p>
            <w:pPr>
              <w:pStyle w:val="TableParagraph"/>
              <w:spacing w:before="3"/>
              <w:rPr>
                <w:rFonts w:ascii="Times New Roman"/>
                <w:sz w:val="38"/>
              </w:rPr>
            </w:pPr>
          </w:p>
          <w:p>
            <w:pPr>
              <w:pStyle w:val="TableParagraph"/>
              <w:ind w:left="156" w:right="121" w:firstLine="52"/>
              <w:rPr>
                <w:sz w:val="38"/>
              </w:rPr>
            </w:pPr>
            <w:r>
              <w:rPr>
                <w:sz w:val="38"/>
              </w:rPr>
              <w:t>deep green</w:t>
            </w:r>
          </w:p>
        </w:tc>
        <w:tc>
          <w:tcPr>
            <w:tcW w:w="1862" w:type="dxa"/>
          </w:tcPr>
          <w:p>
            <w:pPr>
              <w:pStyle w:val="TableParagraph"/>
              <w:spacing w:before="226"/>
              <w:ind w:left="121" w:right="104" w:firstLine="84"/>
              <w:jc w:val="both"/>
              <w:rPr>
                <w:sz w:val="38"/>
              </w:rPr>
            </w:pPr>
            <w:r>
              <w:rPr>
                <w:sz w:val="38"/>
              </w:rPr>
              <w:t>Is consid- ered highly aromatic</w:t>
            </w:r>
          </w:p>
        </w:tc>
      </w:tr>
      <w:tr>
        <w:trPr>
          <w:trHeight w:val="1312" w:hRule="atLeast"/>
        </w:trPr>
        <w:tc>
          <w:tcPr>
            <w:tcW w:w="1877" w:type="dxa"/>
          </w:tcPr>
          <w:p>
            <w:pPr>
              <w:pStyle w:val="TableParagraph"/>
              <w:spacing w:line="228" w:lineRule="auto" w:before="226"/>
              <w:ind w:left="607" w:right="105" w:hanging="474"/>
              <w:rPr>
                <w:b/>
                <w:i/>
                <w:sz w:val="40"/>
              </w:rPr>
            </w:pPr>
            <w:r>
              <w:rPr>
                <w:b/>
                <w:i/>
                <w:w w:val="95"/>
                <w:sz w:val="40"/>
              </w:rPr>
              <w:t>Green As- </w:t>
            </w:r>
            <w:r>
              <w:rPr>
                <w:b/>
                <w:i/>
                <w:sz w:val="40"/>
              </w:rPr>
              <w:t>sam</w:t>
            </w:r>
          </w:p>
        </w:tc>
        <w:tc>
          <w:tcPr>
            <w:tcW w:w="1068" w:type="dxa"/>
          </w:tcPr>
          <w:p>
            <w:pPr>
              <w:pStyle w:val="TableParagraph"/>
              <w:spacing w:before="13"/>
              <w:ind w:left="12" w:right="2"/>
              <w:jc w:val="center"/>
              <w:rPr>
                <w:sz w:val="38"/>
              </w:rPr>
            </w:pPr>
            <w:r>
              <w:rPr>
                <w:w w:val="95"/>
                <w:sz w:val="38"/>
              </w:rPr>
              <w:t>North- </w:t>
            </w:r>
            <w:r>
              <w:rPr>
                <w:sz w:val="38"/>
              </w:rPr>
              <w:t>ern In-</w:t>
            </w:r>
          </w:p>
          <w:p>
            <w:pPr>
              <w:pStyle w:val="TableParagraph"/>
              <w:spacing w:line="422" w:lineRule="exact" w:before="2"/>
              <w:ind w:left="36" w:right="30"/>
              <w:jc w:val="center"/>
              <w:rPr>
                <w:sz w:val="38"/>
              </w:rPr>
            </w:pPr>
            <w:r>
              <w:rPr>
                <w:sz w:val="38"/>
              </w:rPr>
              <w:t>dia</w:t>
            </w:r>
          </w:p>
        </w:tc>
        <w:tc>
          <w:tcPr>
            <w:tcW w:w="1296" w:type="dxa"/>
          </w:tcPr>
          <w:p>
            <w:pPr>
              <w:pStyle w:val="TableParagraph"/>
              <w:spacing w:before="13"/>
              <w:ind w:left="394" w:right="159" w:hanging="207"/>
              <w:rPr>
                <w:sz w:val="38"/>
              </w:rPr>
            </w:pPr>
            <w:r>
              <w:rPr>
                <w:sz w:val="38"/>
              </w:rPr>
              <w:t>Fresh, tart</w:t>
            </w:r>
          </w:p>
          <w:p>
            <w:pPr>
              <w:pStyle w:val="TableParagraph"/>
              <w:spacing w:line="422" w:lineRule="exact" w:before="2"/>
              <w:ind w:left="185"/>
              <w:rPr>
                <w:sz w:val="38"/>
              </w:rPr>
            </w:pPr>
            <w:r>
              <w:rPr>
                <w:sz w:val="38"/>
              </w:rPr>
              <w:t>aroma</w:t>
            </w:r>
          </w:p>
        </w:tc>
        <w:tc>
          <w:tcPr>
            <w:tcW w:w="1120" w:type="dxa"/>
          </w:tcPr>
          <w:p>
            <w:pPr>
              <w:pStyle w:val="TableParagraph"/>
              <w:spacing w:before="13"/>
              <w:ind w:left="281" w:right="33" w:hanging="231"/>
              <w:rPr>
                <w:sz w:val="38"/>
              </w:rPr>
            </w:pPr>
            <w:r>
              <w:rPr>
                <w:sz w:val="38"/>
              </w:rPr>
              <w:t>honey- col-</w:t>
            </w:r>
          </w:p>
          <w:p>
            <w:pPr>
              <w:pStyle w:val="TableParagraph"/>
              <w:spacing w:line="422" w:lineRule="exact" w:before="2"/>
              <w:ind w:left="132"/>
              <w:rPr>
                <w:sz w:val="38"/>
              </w:rPr>
            </w:pPr>
            <w:r>
              <w:rPr>
                <w:sz w:val="38"/>
              </w:rPr>
              <w:t>oured</w:t>
            </w:r>
          </w:p>
        </w:tc>
        <w:tc>
          <w:tcPr>
            <w:tcW w:w="1862" w:type="dxa"/>
          </w:tcPr>
          <w:p>
            <w:pPr>
              <w:pStyle w:val="TableParagraph"/>
              <w:rPr>
                <w:rFonts w:ascii="Times New Roman"/>
                <w:sz w:val="36"/>
              </w:rPr>
            </w:pP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9"/>
        </w:rPr>
      </w:pPr>
    </w:p>
    <w:p>
      <w:pPr>
        <w:spacing w:before="99"/>
        <w:ind w:left="477" w:right="0" w:firstLine="0"/>
        <w:jc w:val="left"/>
        <w:rPr>
          <w:b/>
          <w:sz w:val="38"/>
        </w:rPr>
      </w:pPr>
      <w:r>
        <w:rPr>
          <w:b/>
          <w:sz w:val="38"/>
        </w:rPr>
        <w:t>Production of green tea</w:t>
      </w:r>
    </w:p>
    <w:p>
      <w:pPr>
        <w:pStyle w:val="BodyText"/>
        <w:spacing w:line="276" w:lineRule="auto" w:before="305"/>
        <w:ind w:left="477" w:right="137"/>
        <w:jc w:val="both"/>
      </w:pPr>
      <w:r>
        <w:rPr/>
        <w:t>The process of making tea is not limited to the knowledge of cultivation, har- vesting and processing, but is rather a true art, which requires great experience and tact.</w:t>
      </w:r>
    </w:p>
    <w:p>
      <w:pPr>
        <w:pStyle w:val="BodyText"/>
        <w:spacing w:line="276" w:lineRule="auto" w:before="239"/>
        <w:ind w:left="477" w:right="132"/>
        <w:jc w:val="both"/>
      </w:pPr>
      <w:r>
        <w:rPr/>
        <w:t>This becomes very clear as early as the harvesting process: only the buds and the first two leaves are picked – these ensure a particularly ‘delicate’ tea aroma. Even here, extreme caution is advised to prevent even the tiniest cracks from forming, which allow air to penetrate the leaves and cause oxidation as part of the unwanted fermentation process.</w:t>
      </w:r>
    </w:p>
    <w:p>
      <w:pPr>
        <w:spacing w:after="0" w:line="276" w:lineRule="auto"/>
        <w:jc w:val="both"/>
        <w:sectPr>
          <w:pgSz w:w="14270" w:h="16850"/>
          <w:pgMar w:header="0" w:footer="404" w:top="1600" w:bottom="600" w:left="800" w:right="1280"/>
        </w:sectPr>
      </w:pPr>
    </w:p>
    <w:p>
      <w:pPr>
        <w:pStyle w:val="BodyText"/>
        <w:spacing w:line="276" w:lineRule="auto" w:before="181"/>
        <w:ind w:left="477" w:right="132"/>
        <w:jc w:val="both"/>
      </w:pPr>
      <w:r>
        <w:rPr/>
        <w:t>You may be surprised to hear that one of the essential characteristics of green tea is its production, as, unlike black tea, green tea is not fermented. However, it is essentially true that both black and green tea can be made from the same plants.</w:t>
      </w:r>
    </w:p>
    <w:p>
      <w:pPr>
        <w:pStyle w:val="BodyText"/>
        <w:spacing w:line="276" w:lineRule="auto" w:before="242"/>
        <w:ind w:left="477" w:right="138"/>
        <w:jc w:val="both"/>
      </w:pPr>
      <w:r>
        <w:rPr/>
        <w:t>The tea leaves are processed further through fermentation, which gives them their typical aromatic flavour and the characteristic black colour. Due to the destruction of plant cells and the oxidation (a reaction with oxygen) during the fermentation process, unfortunately, the health-promoting ingredients (such as polyphenols) are also destroyed.</w:t>
      </w:r>
    </w:p>
    <w:p>
      <w:pPr>
        <w:pStyle w:val="BodyText"/>
        <w:spacing w:line="276" w:lineRule="auto" w:before="240"/>
        <w:ind w:left="477" w:right="132"/>
        <w:jc w:val="both"/>
      </w:pPr>
      <w:r>
        <w:rPr/>
        <w:t>Furthermore, people in industrialised nations are highly attuned to ‘sweetness’. The</w:t>
      </w:r>
      <w:r>
        <w:rPr>
          <w:spacing w:val="-24"/>
        </w:rPr>
        <w:t> </w:t>
      </w:r>
      <w:r>
        <w:rPr/>
        <w:t>excessive</w:t>
      </w:r>
      <w:r>
        <w:rPr>
          <w:spacing w:val="-25"/>
        </w:rPr>
        <w:t> </w:t>
      </w:r>
      <w:r>
        <w:rPr/>
        <w:t>consumption</w:t>
      </w:r>
      <w:r>
        <w:rPr>
          <w:spacing w:val="-23"/>
        </w:rPr>
        <w:t> </w:t>
      </w:r>
      <w:r>
        <w:rPr/>
        <w:t>of</w:t>
      </w:r>
      <w:r>
        <w:rPr>
          <w:spacing w:val="-23"/>
        </w:rPr>
        <w:t> </w:t>
      </w:r>
      <w:r>
        <w:rPr/>
        <w:t>sugar</w:t>
      </w:r>
      <w:r>
        <w:rPr>
          <w:spacing w:val="-23"/>
        </w:rPr>
        <w:t> </w:t>
      </w:r>
      <w:r>
        <w:rPr/>
        <w:t>has</w:t>
      </w:r>
      <w:r>
        <w:rPr>
          <w:spacing w:val="-23"/>
        </w:rPr>
        <w:t> </w:t>
      </w:r>
      <w:r>
        <w:rPr/>
        <w:t>reprogrammed</w:t>
      </w:r>
      <w:r>
        <w:rPr>
          <w:spacing w:val="-24"/>
        </w:rPr>
        <w:t> </w:t>
      </w:r>
      <w:r>
        <w:rPr/>
        <w:t>our</w:t>
      </w:r>
      <w:r>
        <w:rPr>
          <w:spacing w:val="-23"/>
        </w:rPr>
        <w:t> </w:t>
      </w:r>
      <w:r>
        <w:rPr/>
        <w:t>taste</w:t>
      </w:r>
      <w:r>
        <w:rPr>
          <w:spacing w:val="-21"/>
        </w:rPr>
        <w:t> </w:t>
      </w:r>
      <w:r>
        <w:rPr/>
        <w:t>buds,</w:t>
      </w:r>
      <w:r>
        <w:rPr>
          <w:spacing w:val="-23"/>
        </w:rPr>
        <w:t> </w:t>
      </w:r>
      <w:r>
        <w:rPr/>
        <w:t>so</w:t>
      </w:r>
      <w:r>
        <w:rPr>
          <w:spacing w:val="-23"/>
        </w:rPr>
        <w:t> </w:t>
      </w:r>
      <w:r>
        <w:rPr/>
        <w:t>many people</w:t>
      </w:r>
      <w:r>
        <w:rPr>
          <w:spacing w:val="-24"/>
        </w:rPr>
        <w:t> </w:t>
      </w:r>
      <w:r>
        <w:rPr/>
        <w:t>do</w:t>
      </w:r>
      <w:r>
        <w:rPr>
          <w:spacing w:val="-23"/>
        </w:rPr>
        <w:t> </w:t>
      </w:r>
      <w:r>
        <w:rPr/>
        <w:t>not</w:t>
      </w:r>
      <w:r>
        <w:rPr>
          <w:spacing w:val="-27"/>
        </w:rPr>
        <w:t> </w:t>
      </w:r>
      <w:r>
        <w:rPr/>
        <w:t>like</w:t>
      </w:r>
      <w:r>
        <w:rPr>
          <w:spacing w:val="-25"/>
        </w:rPr>
        <w:t> </w:t>
      </w:r>
      <w:r>
        <w:rPr/>
        <w:t>the</w:t>
      </w:r>
      <w:r>
        <w:rPr>
          <w:spacing w:val="-22"/>
        </w:rPr>
        <w:t> </w:t>
      </w:r>
      <w:r>
        <w:rPr/>
        <w:t>bitter</w:t>
      </w:r>
      <w:r>
        <w:rPr>
          <w:spacing w:val="-23"/>
        </w:rPr>
        <w:t> </w:t>
      </w:r>
      <w:r>
        <w:rPr/>
        <w:t>aftertaste</w:t>
      </w:r>
      <w:r>
        <w:rPr>
          <w:spacing w:val="-24"/>
        </w:rPr>
        <w:t> </w:t>
      </w:r>
      <w:r>
        <w:rPr/>
        <w:t>of</w:t>
      </w:r>
      <w:r>
        <w:rPr>
          <w:spacing w:val="-23"/>
        </w:rPr>
        <w:t> </w:t>
      </w:r>
      <w:r>
        <w:rPr/>
        <w:t>green</w:t>
      </w:r>
      <w:r>
        <w:rPr>
          <w:spacing w:val="-23"/>
        </w:rPr>
        <w:t> </w:t>
      </w:r>
      <w:r>
        <w:rPr/>
        <w:t>tea,</w:t>
      </w:r>
      <w:r>
        <w:rPr>
          <w:spacing w:val="-25"/>
        </w:rPr>
        <w:t> </w:t>
      </w:r>
      <w:r>
        <w:rPr/>
        <w:t>i.e.</w:t>
      </w:r>
      <w:r>
        <w:rPr>
          <w:spacing w:val="-23"/>
        </w:rPr>
        <w:t> </w:t>
      </w:r>
      <w:r>
        <w:rPr/>
        <w:t>a</w:t>
      </w:r>
      <w:r>
        <w:rPr>
          <w:spacing w:val="-25"/>
        </w:rPr>
        <w:t> </w:t>
      </w:r>
      <w:r>
        <w:rPr/>
        <w:t>tea</w:t>
      </w:r>
      <w:r>
        <w:rPr>
          <w:spacing w:val="-24"/>
        </w:rPr>
        <w:t> </w:t>
      </w:r>
      <w:r>
        <w:rPr/>
        <w:t>before</w:t>
      </w:r>
      <w:r>
        <w:rPr>
          <w:spacing w:val="-26"/>
        </w:rPr>
        <w:t> </w:t>
      </w:r>
      <w:r>
        <w:rPr/>
        <w:t>fermentation.</w:t>
      </w:r>
    </w:p>
    <w:p>
      <w:pPr>
        <w:pStyle w:val="BodyText"/>
        <w:spacing w:line="276" w:lineRule="auto" w:before="239"/>
        <w:ind w:left="477" w:right="130"/>
        <w:jc w:val="both"/>
      </w:pPr>
      <w:r>
        <w:rPr/>
        <w:t>Another argument in favour of black tea is the caffeine, which passes more rapidly into the bloodstream; in green tea, it remains untouched and passes much more slowly and gently into the bloodstream. Cigarette and alcohol con- sumption</w:t>
      </w:r>
      <w:r>
        <w:rPr>
          <w:spacing w:val="-6"/>
        </w:rPr>
        <w:t> </w:t>
      </w:r>
      <w:r>
        <w:rPr/>
        <w:t>has</w:t>
      </w:r>
      <w:r>
        <w:rPr>
          <w:spacing w:val="-9"/>
        </w:rPr>
        <w:t> </w:t>
      </w:r>
      <w:r>
        <w:rPr/>
        <w:t>blunted</w:t>
      </w:r>
      <w:r>
        <w:rPr>
          <w:spacing w:val="-7"/>
        </w:rPr>
        <w:t> </w:t>
      </w:r>
      <w:r>
        <w:rPr/>
        <w:t>our</w:t>
      </w:r>
      <w:r>
        <w:rPr>
          <w:spacing w:val="-7"/>
        </w:rPr>
        <w:t> </w:t>
      </w:r>
      <w:r>
        <w:rPr/>
        <w:t>nerves</w:t>
      </w:r>
      <w:r>
        <w:rPr>
          <w:spacing w:val="-5"/>
        </w:rPr>
        <w:t> </w:t>
      </w:r>
      <w:r>
        <w:rPr/>
        <w:t>to</w:t>
      </w:r>
      <w:r>
        <w:rPr>
          <w:spacing w:val="-9"/>
        </w:rPr>
        <w:t> </w:t>
      </w:r>
      <w:r>
        <w:rPr/>
        <w:t>the</w:t>
      </w:r>
      <w:r>
        <w:rPr>
          <w:spacing w:val="-8"/>
        </w:rPr>
        <w:t> </w:t>
      </w:r>
      <w:r>
        <w:rPr/>
        <w:t>point</w:t>
      </w:r>
      <w:r>
        <w:rPr>
          <w:spacing w:val="-7"/>
        </w:rPr>
        <w:t> </w:t>
      </w:r>
      <w:r>
        <w:rPr/>
        <w:t>that</w:t>
      </w:r>
      <w:r>
        <w:rPr>
          <w:spacing w:val="-7"/>
        </w:rPr>
        <w:t> </w:t>
      </w:r>
      <w:r>
        <w:rPr/>
        <w:t>many</w:t>
      </w:r>
      <w:r>
        <w:rPr>
          <w:spacing w:val="-6"/>
        </w:rPr>
        <w:t> </w:t>
      </w:r>
      <w:r>
        <w:rPr/>
        <w:t>only</w:t>
      </w:r>
      <w:r>
        <w:rPr>
          <w:spacing w:val="-10"/>
        </w:rPr>
        <w:t> </w:t>
      </w:r>
      <w:r>
        <w:rPr/>
        <w:t>respond</w:t>
      </w:r>
      <w:r>
        <w:rPr>
          <w:spacing w:val="-6"/>
        </w:rPr>
        <w:t> </w:t>
      </w:r>
      <w:r>
        <w:rPr/>
        <w:t>to</w:t>
      </w:r>
      <w:r>
        <w:rPr>
          <w:spacing w:val="-9"/>
        </w:rPr>
        <w:t> </w:t>
      </w:r>
      <w:r>
        <w:rPr/>
        <w:t>a</w:t>
      </w:r>
      <w:r>
        <w:rPr>
          <w:spacing w:val="-8"/>
        </w:rPr>
        <w:t> </w:t>
      </w:r>
      <w:r>
        <w:rPr/>
        <w:t>fast- acting caffeine.</w:t>
      </w:r>
    </w:p>
    <w:p>
      <w:pPr>
        <w:pStyle w:val="BodyText"/>
        <w:spacing w:line="276" w:lineRule="auto" w:before="242"/>
        <w:ind w:left="477" w:right="136"/>
        <w:jc w:val="both"/>
      </w:pPr>
      <w:r>
        <w:rPr/>
        <w:t>So it is not surprising that we Europeans prefer black tea, even though green tea is clearly healthier. Without question, the aim should be to make our taste buds</w:t>
      </w:r>
      <w:r>
        <w:rPr>
          <w:spacing w:val="-8"/>
        </w:rPr>
        <w:t> </w:t>
      </w:r>
      <w:r>
        <w:rPr/>
        <w:t>more</w:t>
      </w:r>
      <w:r>
        <w:rPr>
          <w:spacing w:val="-7"/>
        </w:rPr>
        <w:t> </w:t>
      </w:r>
      <w:r>
        <w:rPr/>
        <w:t>receptive</w:t>
      </w:r>
      <w:r>
        <w:rPr>
          <w:spacing w:val="-8"/>
        </w:rPr>
        <w:t> </w:t>
      </w:r>
      <w:r>
        <w:rPr/>
        <w:t>to</w:t>
      </w:r>
      <w:r>
        <w:rPr>
          <w:spacing w:val="-6"/>
        </w:rPr>
        <w:t> </w:t>
      </w:r>
      <w:r>
        <w:rPr/>
        <w:t>what</w:t>
      </w:r>
      <w:r>
        <w:rPr>
          <w:spacing w:val="-8"/>
        </w:rPr>
        <w:t> </w:t>
      </w:r>
      <w:r>
        <w:rPr/>
        <w:t>is</w:t>
      </w:r>
      <w:r>
        <w:rPr>
          <w:spacing w:val="-7"/>
        </w:rPr>
        <w:t> </w:t>
      </w:r>
      <w:r>
        <w:rPr/>
        <w:t>natural</w:t>
      </w:r>
      <w:r>
        <w:rPr>
          <w:spacing w:val="-8"/>
        </w:rPr>
        <w:t> </w:t>
      </w:r>
      <w:r>
        <w:rPr/>
        <w:t>and</w:t>
      </w:r>
      <w:r>
        <w:rPr>
          <w:spacing w:val="-8"/>
        </w:rPr>
        <w:t> </w:t>
      </w:r>
      <w:r>
        <w:rPr/>
        <w:t>to</w:t>
      </w:r>
      <w:r>
        <w:rPr>
          <w:spacing w:val="-6"/>
        </w:rPr>
        <w:t> </w:t>
      </w:r>
      <w:r>
        <w:rPr/>
        <w:t>reverse</w:t>
      </w:r>
      <w:r>
        <w:rPr>
          <w:spacing w:val="-8"/>
        </w:rPr>
        <w:t> </w:t>
      </w:r>
      <w:r>
        <w:rPr/>
        <w:t>our</w:t>
      </w:r>
      <w:r>
        <w:rPr>
          <w:spacing w:val="-7"/>
        </w:rPr>
        <w:t> </w:t>
      </w:r>
      <w:r>
        <w:rPr/>
        <w:t>reduced</w:t>
      </w:r>
      <w:r>
        <w:rPr>
          <w:spacing w:val="-7"/>
        </w:rPr>
        <w:t> </w:t>
      </w:r>
      <w:r>
        <w:rPr/>
        <w:t>caffeine</w:t>
      </w:r>
      <w:r>
        <w:rPr>
          <w:spacing w:val="-7"/>
        </w:rPr>
        <w:t> </w:t>
      </w:r>
      <w:r>
        <w:rPr/>
        <w:t>sen- sitivity by reducing our consumption of alcohol and nicotine.</w:t>
      </w:r>
    </w:p>
    <w:p>
      <w:pPr>
        <w:spacing w:after="0" w:line="276" w:lineRule="auto"/>
        <w:jc w:val="both"/>
        <w:sectPr>
          <w:pgSz w:w="14270" w:h="16850"/>
          <w:pgMar w:header="0" w:footer="404" w:top="1600" w:bottom="2080" w:left="800" w:right="1280"/>
        </w:sectPr>
      </w:pPr>
    </w:p>
    <w:p>
      <w:pPr>
        <w:pStyle w:val="BodyText"/>
        <w:spacing w:line="276" w:lineRule="auto" w:before="181"/>
        <w:ind w:left="477" w:right="132"/>
        <w:jc w:val="both"/>
      </w:pPr>
      <w:r>
        <w:rPr/>
        <w:t>It</w:t>
      </w:r>
      <w:r>
        <w:rPr>
          <w:spacing w:val="-15"/>
        </w:rPr>
        <w:t> </w:t>
      </w:r>
      <w:r>
        <w:rPr/>
        <w:t>is</w:t>
      </w:r>
      <w:r>
        <w:rPr>
          <w:spacing w:val="-13"/>
        </w:rPr>
        <w:t> </w:t>
      </w:r>
      <w:r>
        <w:rPr/>
        <w:t>true</w:t>
      </w:r>
      <w:r>
        <w:rPr>
          <w:spacing w:val="-13"/>
        </w:rPr>
        <w:t> </w:t>
      </w:r>
      <w:r>
        <w:rPr/>
        <w:t>to</w:t>
      </w:r>
      <w:r>
        <w:rPr>
          <w:spacing w:val="-15"/>
        </w:rPr>
        <w:t> </w:t>
      </w:r>
      <w:r>
        <w:rPr/>
        <w:t>say</w:t>
      </w:r>
      <w:r>
        <w:rPr>
          <w:spacing w:val="-15"/>
        </w:rPr>
        <w:t> </w:t>
      </w:r>
      <w:r>
        <w:rPr/>
        <w:t>that</w:t>
      </w:r>
      <w:r>
        <w:rPr>
          <w:spacing w:val="-14"/>
        </w:rPr>
        <w:t> </w:t>
      </w:r>
      <w:r>
        <w:rPr/>
        <w:t>green</w:t>
      </w:r>
      <w:r>
        <w:rPr>
          <w:spacing w:val="-14"/>
        </w:rPr>
        <w:t> </w:t>
      </w:r>
      <w:r>
        <w:rPr/>
        <w:t>tea</w:t>
      </w:r>
      <w:r>
        <w:rPr>
          <w:spacing w:val="-14"/>
        </w:rPr>
        <w:t> </w:t>
      </w:r>
      <w:r>
        <w:rPr/>
        <w:t>is</w:t>
      </w:r>
      <w:r>
        <w:rPr>
          <w:spacing w:val="-18"/>
        </w:rPr>
        <w:t> </w:t>
      </w:r>
      <w:r>
        <w:rPr/>
        <w:t>more</w:t>
      </w:r>
      <w:r>
        <w:rPr>
          <w:spacing w:val="-13"/>
        </w:rPr>
        <w:t> </w:t>
      </w:r>
      <w:r>
        <w:rPr/>
        <w:t>natural</w:t>
      </w:r>
      <w:r>
        <w:rPr>
          <w:spacing w:val="-14"/>
        </w:rPr>
        <w:t> </w:t>
      </w:r>
      <w:r>
        <w:rPr/>
        <w:t>than</w:t>
      </w:r>
      <w:r>
        <w:rPr>
          <w:spacing w:val="-12"/>
        </w:rPr>
        <w:t> </w:t>
      </w:r>
      <w:r>
        <w:rPr/>
        <w:t>black</w:t>
      </w:r>
      <w:r>
        <w:rPr>
          <w:spacing w:val="-14"/>
        </w:rPr>
        <w:t> </w:t>
      </w:r>
      <w:r>
        <w:rPr/>
        <w:t>tea,</w:t>
      </w:r>
      <w:r>
        <w:rPr>
          <w:spacing w:val="-15"/>
        </w:rPr>
        <w:t> </w:t>
      </w:r>
      <w:r>
        <w:rPr/>
        <w:t>despite</w:t>
      </w:r>
      <w:r>
        <w:rPr>
          <w:spacing w:val="-14"/>
        </w:rPr>
        <w:t> </w:t>
      </w:r>
      <w:r>
        <w:rPr/>
        <w:t>the</w:t>
      </w:r>
      <w:r>
        <w:rPr>
          <w:spacing w:val="-12"/>
        </w:rPr>
        <w:t> </w:t>
      </w:r>
      <w:r>
        <w:rPr/>
        <w:t>fact</w:t>
      </w:r>
      <w:r>
        <w:rPr>
          <w:spacing w:val="-14"/>
        </w:rPr>
        <w:t> </w:t>
      </w:r>
      <w:r>
        <w:rPr/>
        <w:t>that the aftertaste, which is sometimes a bit bitter, takes some getting used to, be- cause</w:t>
      </w:r>
      <w:r>
        <w:rPr>
          <w:spacing w:val="-22"/>
        </w:rPr>
        <w:t> </w:t>
      </w:r>
      <w:r>
        <w:rPr/>
        <w:t>it</w:t>
      </w:r>
      <w:r>
        <w:rPr>
          <w:spacing w:val="-22"/>
        </w:rPr>
        <w:t> </w:t>
      </w:r>
      <w:r>
        <w:rPr/>
        <w:t>offers</w:t>
      </w:r>
      <w:r>
        <w:rPr>
          <w:spacing w:val="-22"/>
        </w:rPr>
        <w:t> </w:t>
      </w:r>
      <w:r>
        <w:rPr/>
        <w:t>amazing</w:t>
      </w:r>
      <w:r>
        <w:rPr>
          <w:spacing w:val="-21"/>
        </w:rPr>
        <w:t> </w:t>
      </w:r>
      <w:r>
        <w:rPr/>
        <w:t>health</w:t>
      </w:r>
      <w:r>
        <w:rPr>
          <w:spacing w:val="-22"/>
        </w:rPr>
        <w:t> </w:t>
      </w:r>
      <w:r>
        <w:rPr/>
        <w:t>benefits</w:t>
      </w:r>
      <w:r>
        <w:rPr>
          <w:spacing w:val="-22"/>
        </w:rPr>
        <w:t> </w:t>
      </w:r>
      <w:r>
        <w:rPr/>
        <w:t>that</w:t>
      </w:r>
      <w:r>
        <w:rPr>
          <w:spacing w:val="-21"/>
        </w:rPr>
        <w:t> </w:t>
      </w:r>
      <w:r>
        <w:rPr/>
        <w:t>people</w:t>
      </w:r>
      <w:r>
        <w:rPr>
          <w:spacing w:val="-22"/>
        </w:rPr>
        <w:t> </w:t>
      </w:r>
      <w:r>
        <w:rPr/>
        <w:t>should</w:t>
      </w:r>
      <w:r>
        <w:rPr>
          <w:spacing w:val="-22"/>
        </w:rPr>
        <w:t> </w:t>
      </w:r>
      <w:r>
        <w:rPr/>
        <w:t>not</w:t>
      </w:r>
      <w:r>
        <w:rPr>
          <w:spacing w:val="-22"/>
        </w:rPr>
        <w:t> </w:t>
      </w:r>
      <w:r>
        <w:rPr/>
        <w:t>miss</w:t>
      </w:r>
      <w:r>
        <w:rPr>
          <w:spacing w:val="-20"/>
        </w:rPr>
        <w:t> </w:t>
      </w:r>
      <w:r>
        <w:rPr/>
        <w:t>out</w:t>
      </w:r>
      <w:r>
        <w:rPr>
          <w:spacing w:val="-22"/>
        </w:rPr>
        <w:t> </w:t>
      </w:r>
      <w:r>
        <w:rPr/>
        <w:t>on.</w:t>
      </w:r>
      <w:r>
        <w:rPr>
          <w:spacing w:val="-23"/>
        </w:rPr>
        <w:t> </w:t>
      </w:r>
      <w:r>
        <w:rPr/>
        <w:t>Even our taste buds get used to the natural tea taste of green tea quite quickly – and, moreover,</w:t>
      </w:r>
      <w:r>
        <w:rPr>
          <w:spacing w:val="-8"/>
        </w:rPr>
        <w:t> </w:t>
      </w:r>
      <w:r>
        <w:rPr/>
        <w:t>the</w:t>
      </w:r>
      <w:r>
        <w:rPr>
          <w:spacing w:val="-8"/>
        </w:rPr>
        <w:t> </w:t>
      </w:r>
      <w:r>
        <w:rPr/>
        <w:t>taste</w:t>
      </w:r>
      <w:r>
        <w:rPr>
          <w:spacing w:val="-9"/>
        </w:rPr>
        <w:t> </w:t>
      </w:r>
      <w:r>
        <w:rPr/>
        <w:t>can</w:t>
      </w:r>
      <w:r>
        <w:rPr>
          <w:spacing w:val="-7"/>
        </w:rPr>
        <w:t> </w:t>
      </w:r>
      <w:r>
        <w:rPr/>
        <w:t>be</w:t>
      </w:r>
      <w:r>
        <w:rPr>
          <w:spacing w:val="-9"/>
        </w:rPr>
        <w:t> </w:t>
      </w:r>
      <w:r>
        <w:rPr/>
        <w:t>influenced</w:t>
      </w:r>
      <w:r>
        <w:rPr>
          <w:spacing w:val="-9"/>
        </w:rPr>
        <w:t> </w:t>
      </w:r>
      <w:r>
        <w:rPr/>
        <w:t>by</w:t>
      </w:r>
      <w:r>
        <w:rPr>
          <w:spacing w:val="-9"/>
        </w:rPr>
        <w:t> </w:t>
      </w:r>
      <w:r>
        <w:rPr/>
        <w:t>specific</w:t>
      </w:r>
      <w:r>
        <w:rPr>
          <w:spacing w:val="-8"/>
        </w:rPr>
        <w:t> </w:t>
      </w:r>
      <w:r>
        <w:rPr/>
        <w:t>preparation</w:t>
      </w:r>
      <w:r>
        <w:rPr>
          <w:spacing w:val="-9"/>
        </w:rPr>
        <w:t> </w:t>
      </w:r>
      <w:r>
        <w:rPr/>
        <w:t>(more</w:t>
      </w:r>
      <w:r>
        <w:rPr>
          <w:spacing w:val="-9"/>
        </w:rPr>
        <w:t> </w:t>
      </w:r>
      <w:r>
        <w:rPr/>
        <w:t>on</w:t>
      </w:r>
      <w:r>
        <w:rPr>
          <w:spacing w:val="-8"/>
        </w:rPr>
        <w:t> </w:t>
      </w:r>
      <w:r>
        <w:rPr/>
        <w:t>this</w:t>
      </w:r>
      <w:r>
        <w:rPr>
          <w:spacing w:val="-7"/>
        </w:rPr>
        <w:t> </w:t>
      </w:r>
      <w:r>
        <w:rPr/>
        <w:t>can be found in ‘Preparation of green</w:t>
      </w:r>
      <w:r>
        <w:rPr>
          <w:spacing w:val="4"/>
        </w:rPr>
        <w:t> </w:t>
      </w:r>
      <w:r>
        <w:rPr/>
        <w:t>tea’).</w:t>
      </w:r>
    </w:p>
    <w:p>
      <w:pPr>
        <w:pStyle w:val="Heading2"/>
        <w:spacing w:before="241"/>
      </w:pPr>
      <w:r>
        <w:rPr/>
        <w:t>Back to the production:</w:t>
      </w:r>
    </w:p>
    <w:p>
      <w:pPr>
        <w:pStyle w:val="BodyText"/>
        <w:spacing w:line="276" w:lineRule="auto" w:before="304"/>
        <w:ind w:left="477" w:right="133"/>
        <w:jc w:val="both"/>
      </w:pPr>
      <w:r>
        <w:rPr/>
        <w:t>The process from harvest to finished green tea is comparable to the precision of a clockwork mechanism and goes through many well-timed production phases. Even a slight time delay reduces the tea quality, which is why the tea factories are located directly on the plantation grounds.</w:t>
      </w:r>
    </w:p>
    <w:p>
      <w:pPr>
        <w:pStyle w:val="BodyText"/>
        <w:spacing w:line="276" w:lineRule="auto" w:before="239"/>
        <w:ind w:left="477" w:right="129"/>
        <w:jc w:val="both"/>
      </w:pPr>
      <w:r>
        <w:rPr/>
        <w:t>Depending on the country of production and the desired flavour and quality, the</w:t>
      </w:r>
      <w:r>
        <w:rPr>
          <w:spacing w:val="-9"/>
        </w:rPr>
        <w:t> </w:t>
      </w:r>
      <w:r>
        <w:rPr/>
        <w:t>tea</w:t>
      </w:r>
      <w:r>
        <w:rPr>
          <w:spacing w:val="-10"/>
        </w:rPr>
        <w:t> </w:t>
      </w:r>
      <w:r>
        <w:rPr/>
        <w:t>leaves</w:t>
      </w:r>
      <w:r>
        <w:rPr>
          <w:spacing w:val="-9"/>
        </w:rPr>
        <w:t> </w:t>
      </w:r>
      <w:r>
        <w:rPr/>
        <w:t>are</w:t>
      </w:r>
      <w:r>
        <w:rPr>
          <w:spacing w:val="-9"/>
        </w:rPr>
        <w:t> </w:t>
      </w:r>
      <w:r>
        <w:rPr/>
        <w:t>air-dried,</w:t>
      </w:r>
      <w:r>
        <w:rPr>
          <w:spacing w:val="-9"/>
        </w:rPr>
        <w:t> </w:t>
      </w:r>
      <w:r>
        <w:rPr/>
        <w:t>roasted</w:t>
      </w:r>
      <w:r>
        <w:rPr>
          <w:spacing w:val="-9"/>
        </w:rPr>
        <w:t> </w:t>
      </w:r>
      <w:r>
        <w:rPr/>
        <w:t>or</w:t>
      </w:r>
      <w:r>
        <w:rPr>
          <w:spacing w:val="-10"/>
        </w:rPr>
        <w:t> </w:t>
      </w:r>
      <w:r>
        <w:rPr/>
        <w:t>steamed</w:t>
      </w:r>
      <w:r>
        <w:rPr>
          <w:spacing w:val="-8"/>
        </w:rPr>
        <w:t> </w:t>
      </w:r>
      <w:r>
        <w:rPr/>
        <w:t>during</w:t>
      </w:r>
      <w:r>
        <w:rPr>
          <w:spacing w:val="-9"/>
        </w:rPr>
        <w:t> </w:t>
      </w:r>
      <w:r>
        <w:rPr/>
        <w:t>the</w:t>
      </w:r>
      <w:r>
        <w:rPr>
          <w:spacing w:val="-8"/>
        </w:rPr>
        <w:t> </w:t>
      </w:r>
      <w:r>
        <w:rPr/>
        <w:t>processing</w:t>
      </w:r>
      <w:r>
        <w:rPr>
          <w:spacing w:val="-9"/>
        </w:rPr>
        <w:t> </w:t>
      </w:r>
      <w:r>
        <w:rPr/>
        <w:t>to</w:t>
      </w:r>
      <w:r>
        <w:rPr>
          <w:spacing w:val="-11"/>
        </w:rPr>
        <w:t> </w:t>
      </w:r>
      <w:r>
        <w:rPr/>
        <w:t>prevent the</w:t>
      </w:r>
      <w:r>
        <w:rPr>
          <w:spacing w:val="-8"/>
        </w:rPr>
        <w:t> </w:t>
      </w:r>
      <w:r>
        <w:rPr/>
        <w:t>natural</w:t>
      </w:r>
      <w:r>
        <w:rPr>
          <w:spacing w:val="-10"/>
        </w:rPr>
        <w:t> </w:t>
      </w:r>
      <w:r>
        <w:rPr/>
        <w:t>fermentation</w:t>
      </w:r>
      <w:r>
        <w:rPr>
          <w:spacing w:val="-8"/>
        </w:rPr>
        <w:t> </w:t>
      </w:r>
      <w:r>
        <w:rPr/>
        <w:t>in</w:t>
      </w:r>
      <w:r>
        <w:rPr>
          <w:spacing w:val="-9"/>
        </w:rPr>
        <w:t> </w:t>
      </w:r>
      <w:r>
        <w:rPr/>
        <w:t>advance</w:t>
      </w:r>
      <w:r>
        <w:rPr>
          <w:spacing w:val="-9"/>
        </w:rPr>
        <w:t> </w:t>
      </w:r>
      <w:r>
        <w:rPr/>
        <w:t>and</w:t>
      </w:r>
      <w:r>
        <w:rPr>
          <w:spacing w:val="-9"/>
        </w:rPr>
        <w:t> </w:t>
      </w:r>
      <w:r>
        <w:rPr/>
        <w:t>to</w:t>
      </w:r>
      <w:r>
        <w:rPr>
          <w:spacing w:val="-9"/>
        </w:rPr>
        <w:t> </w:t>
      </w:r>
      <w:r>
        <w:rPr/>
        <w:t>preserve</w:t>
      </w:r>
      <w:r>
        <w:rPr>
          <w:spacing w:val="-8"/>
        </w:rPr>
        <w:t> </w:t>
      </w:r>
      <w:r>
        <w:rPr/>
        <w:t>all</w:t>
      </w:r>
      <w:r>
        <w:rPr>
          <w:spacing w:val="-11"/>
        </w:rPr>
        <w:t> </w:t>
      </w:r>
      <w:r>
        <w:rPr/>
        <w:t>the</w:t>
      </w:r>
      <w:r>
        <w:rPr>
          <w:spacing w:val="-8"/>
        </w:rPr>
        <w:t> </w:t>
      </w:r>
      <w:r>
        <w:rPr/>
        <w:t>active</w:t>
      </w:r>
      <w:r>
        <w:rPr>
          <w:spacing w:val="-8"/>
        </w:rPr>
        <w:t> </w:t>
      </w:r>
      <w:r>
        <w:rPr/>
        <w:t>ingredients</w:t>
      </w:r>
      <w:r>
        <w:rPr>
          <w:spacing w:val="-9"/>
        </w:rPr>
        <w:t> </w:t>
      </w:r>
      <w:r>
        <w:rPr/>
        <w:t>of fresh</w:t>
      </w:r>
      <w:r>
        <w:rPr>
          <w:spacing w:val="-19"/>
        </w:rPr>
        <w:t> </w:t>
      </w:r>
      <w:r>
        <w:rPr/>
        <w:t>green</w:t>
      </w:r>
      <w:r>
        <w:rPr>
          <w:spacing w:val="-19"/>
        </w:rPr>
        <w:t> </w:t>
      </w:r>
      <w:r>
        <w:rPr/>
        <w:t>tea</w:t>
      </w:r>
      <w:r>
        <w:rPr>
          <w:spacing w:val="-19"/>
        </w:rPr>
        <w:t> </w:t>
      </w:r>
      <w:r>
        <w:rPr/>
        <w:t>leaves.</w:t>
      </w:r>
      <w:r>
        <w:rPr>
          <w:spacing w:val="-19"/>
        </w:rPr>
        <w:t> </w:t>
      </w:r>
      <w:r>
        <w:rPr/>
        <w:t>In</w:t>
      </w:r>
      <w:r>
        <w:rPr>
          <w:spacing w:val="-19"/>
        </w:rPr>
        <w:t> </w:t>
      </w:r>
      <w:r>
        <w:rPr/>
        <w:t>addition</w:t>
      </w:r>
      <w:r>
        <w:rPr>
          <w:spacing w:val="-16"/>
        </w:rPr>
        <w:t> </w:t>
      </w:r>
      <w:r>
        <w:rPr/>
        <w:t>to</w:t>
      </w:r>
      <w:r>
        <w:rPr>
          <w:spacing w:val="-18"/>
        </w:rPr>
        <w:t> </w:t>
      </w:r>
      <w:r>
        <w:rPr/>
        <w:t>the</w:t>
      </w:r>
      <w:r>
        <w:rPr>
          <w:spacing w:val="-19"/>
        </w:rPr>
        <w:t> </w:t>
      </w:r>
      <w:r>
        <w:rPr/>
        <w:t>production</w:t>
      </w:r>
      <w:r>
        <w:rPr>
          <w:spacing w:val="-19"/>
        </w:rPr>
        <w:t> </w:t>
      </w:r>
      <w:r>
        <w:rPr/>
        <w:t>process,</w:t>
      </w:r>
      <w:r>
        <w:rPr>
          <w:spacing w:val="-18"/>
        </w:rPr>
        <w:t> </w:t>
      </w:r>
      <w:r>
        <w:rPr/>
        <w:t>the</w:t>
      </w:r>
      <w:r>
        <w:rPr>
          <w:spacing w:val="-19"/>
        </w:rPr>
        <w:t> </w:t>
      </w:r>
      <w:r>
        <w:rPr/>
        <w:t>desired</w:t>
      </w:r>
      <w:r>
        <w:rPr>
          <w:spacing w:val="-19"/>
        </w:rPr>
        <w:t> </w:t>
      </w:r>
      <w:r>
        <w:rPr/>
        <w:t>flavour note</w:t>
      </w:r>
      <w:r>
        <w:rPr>
          <w:spacing w:val="-9"/>
        </w:rPr>
        <w:t> </w:t>
      </w:r>
      <w:r>
        <w:rPr/>
        <w:t>is</w:t>
      </w:r>
      <w:r>
        <w:rPr>
          <w:spacing w:val="-8"/>
        </w:rPr>
        <w:t> </w:t>
      </w:r>
      <w:r>
        <w:rPr/>
        <w:t>influenced</w:t>
      </w:r>
      <w:r>
        <w:rPr>
          <w:spacing w:val="-9"/>
        </w:rPr>
        <w:t> </w:t>
      </w:r>
      <w:r>
        <w:rPr/>
        <w:t>by</w:t>
      </w:r>
      <w:r>
        <w:rPr>
          <w:spacing w:val="-8"/>
        </w:rPr>
        <w:t> </w:t>
      </w:r>
      <w:r>
        <w:rPr/>
        <w:t>the</w:t>
      </w:r>
      <w:r>
        <w:rPr>
          <w:spacing w:val="-7"/>
        </w:rPr>
        <w:t> </w:t>
      </w:r>
      <w:r>
        <w:rPr/>
        <w:t>cultivation</w:t>
      </w:r>
      <w:r>
        <w:rPr>
          <w:spacing w:val="-8"/>
        </w:rPr>
        <w:t> </w:t>
      </w:r>
      <w:r>
        <w:rPr/>
        <w:t>land</w:t>
      </w:r>
      <w:r>
        <w:rPr>
          <w:spacing w:val="-8"/>
        </w:rPr>
        <w:t> </w:t>
      </w:r>
      <w:r>
        <w:rPr/>
        <w:t>(climate),</w:t>
      </w:r>
      <w:r>
        <w:rPr>
          <w:spacing w:val="-8"/>
        </w:rPr>
        <w:t> </w:t>
      </w:r>
      <w:r>
        <w:rPr/>
        <w:t>the</w:t>
      </w:r>
      <w:r>
        <w:rPr>
          <w:spacing w:val="-8"/>
        </w:rPr>
        <w:t> </w:t>
      </w:r>
      <w:r>
        <w:rPr/>
        <w:t>season</w:t>
      </w:r>
      <w:r>
        <w:rPr>
          <w:spacing w:val="-8"/>
        </w:rPr>
        <w:t> </w:t>
      </w:r>
      <w:r>
        <w:rPr/>
        <w:t>and</w:t>
      </w:r>
      <w:r>
        <w:rPr>
          <w:spacing w:val="-11"/>
        </w:rPr>
        <w:t> </w:t>
      </w:r>
      <w:r>
        <w:rPr/>
        <w:t>targeted</w:t>
      </w:r>
      <w:r>
        <w:rPr>
          <w:spacing w:val="-8"/>
        </w:rPr>
        <w:t> </w:t>
      </w:r>
      <w:r>
        <w:rPr/>
        <w:t>har- vest in various stages of</w:t>
      </w:r>
      <w:r>
        <w:rPr>
          <w:spacing w:val="4"/>
        </w:rPr>
        <w:t> </w:t>
      </w:r>
      <w:r>
        <w:rPr/>
        <w:t>growth.</w:t>
      </w:r>
    </w:p>
    <w:p>
      <w:pPr>
        <w:pStyle w:val="BodyText"/>
        <w:spacing w:before="243"/>
        <w:ind w:left="477"/>
      </w:pPr>
      <w:r>
        <w:rPr/>
        <w:t>There is a fundamental distinction between Japanese and Chinese processing.</w:t>
      </w:r>
    </w:p>
    <w:p>
      <w:pPr>
        <w:pStyle w:val="Heading1"/>
        <w:spacing w:before="286"/>
      </w:pPr>
      <w:r>
        <w:rPr/>
        <w:t>Japanese green tea production</w:t>
      </w:r>
    </w:p>
    <w:p>
      <w:pPr>
        <w:pStyle w:val="BodyText"/>
        <w:spacing w:line="276" w:lineRule="auto" w:before="299"/>
        <w:ind w:left="477" w:right="139"/>
        <w:jc w:val="both"/>
      </w:pPr>
      <w:r>
        <w:rPr/>
        <w:t>The natural fermentation is stopped immediately by spraying the leaves with water vapour directly after picking. This gives the Japanese green tea a lemon</w:t>
      </w:r>
    </w:p>
    <w:p>
      <w:pPr>
        <w:spacing w:after="0" w:line="276" w:lineRule="auto"/>
        <w:jc w:val="both"/>
        <w:sectPr>
          <w:footerReference w:type="default" r:id="rId148"/>
          <w:pgSz w:w="14270" w:h="16850"/>
          <w:pgMar w:footer="1891" w:header="0" w:top="1600" w:bottom="2080" w:left="800" w:right="1280"/>
          <w:pgNumType w:start="600"/>
        </w:sectPr>
      </w:pPr>
    </w:p>
    <w:p>
      <w:pPr>
        <w:pStyle w:val="BodyText"/>
        <w:spacing w:before="181"/>
        <w:ind w:left="477"/>
      </w:pPr>
      <w:r>
        <w:rPr/>
        <w:t>yellow or greenish colour.</w:t>
      </w:r>
    </w:p>
    <w:p>
      <w:pPr>
        <w:pStyle w:val="Heading1"/>
        <w:spacing w:before="288"/>
      </w:pPr>
      <w:r>
        <w:rPr/>
        <w:t>Chinese green tea production</w:t>
      </w:r>
    </w:p>
    <w:p>
      <w:pPr>
        <w:pStyle w:val="BodyText"/>
        <w:spacing w:line="276" w:lineRule="auto" w:before="299"/>
        <w:ind w:left="477" w:right="137"/>
        <w:jc w:val="both"/>
      </w:pPr>
      <w:r>
        <w:rPr/>
        <w:t>The</w:t>
      </w:r>
      <w:r>
        <w:rPr>
          <w:spacing w:val="-6"/>
        </w:rPr>
        <w:t> </w:t>
      </w:r>
      <w:r>
        <w:rPr/>
        <w:t>Chinese</w:t>
      </w:r>
      <w:r>
        <w:rPr>
          <w:spacing w:val="-6"/>
        </w:rPr>
        <w:t> </w:t>
      </w:r>
      <w:r>
        <w:rPr/>
        <w:t>allow</w:t>
      </w:r>
      <w:r>
        <w:rPr>
          <w:spacing w:val="-6"/>
        </w:rPr>
        <w:t> </w:t>
      </w:r>
      <w:r>
        <w:rPr/>
        <w:t>the</w:t>
      </w:r>
      <w:r>
        <w:rPr>
          <w:spacing w:val="-6"/>
        </w:rPr>
        <w:t> </w:t>
      </w:r>
      <w:r>
        <w:rPr/>
        <w:t>tea</w:t>
      </w:r>
      <w:r>
        <w:rPr>
          <w:spacing w:val="-6"/>
        </w:rPr>
        <w:t> </w:t>
      </w:r>
      <w:r>
        <w:rPr/>
        <w:t>leaf</w:t>
      </w:r>
      <w:r>
        <w:rPr>
          <w:spacing w:val="-5"/>
        </w:rPr>
        <w:t> </w:t>
      </w:r>
      <w:r>
        <w:rPr/>
        <w:t>to</w:t>
      </w:r>
      <w:r>
        <w:rPr>
          <w:spacing w:val="-6"/>
        </w:rPr>
        <w:t> </w:t>
      </w:r>
      <w:r>
        <w:rPr/>
        <w:t>lightly</w:t>
      </w:r>
      <w:r>
        <w:rPr>
          <w:spacing w:val="-7"/>
        </w:rPr>
        <w:t> </w:t>
      </w:r>
      <w:r>
        <w:rPr/>
        <w:t>ferment</w:t>
      </w:r>
      <w:r>
        <w:rPr>
          <w:spacing w:val="-6"/>
        </w:rPr>
        <w:t> </w:t>
      </w:r>
      <w:r>
        <w:rPr/>
        <w:t>before</w:t>
      </w:r>
      <w:r>
        <w:rPr>
          <w:spacing w:val="-6"/>
        </w:rPr>
        <w:t> </w:t>
      </w:r>
      <w:r>
        <w:rPr/>
        <w:t>roasting</w:t>
      </w:r>
      <w:r>
        <w:rPr>
          <w:spacing w:val="-8"/>
        </w:rPr>
        <w:t> </w:t>
      </w:r>
      <w:r>
        <w:rPr/>
        <w:t>it</w:t>
      </w:r>
      <w:r>
        <w:rPr>
          <w:spacing w:val="-8"/>
        </w:rPr>
        <w:t> </w:t>
      </w:r>
      <w:r>
        <w:rPr/>
        <w:t>in</w:t>
      </w:r>
      <w:r>
        <w:rPr>
          <w:spacing w:val="-6"/>
        </w:rPr>
        <w:t> </w:t>
      </w:r>
      <w:r>
        <w:rPr/>
        <w:t>large</w:t>
      </w:r>
      <w:r>
        <w:rPr>
          <w:spacing w:val="-5"/>
        </w:rPr>
        <w:t> </w:t>
      </w:r>
      <w:r>
        <w:rPr/>
        <w:t>pans over</w:t>
      </w:r>
      <w:r>
        <w:rPr>
          <w:spacing w:val="-5"/>
        </w:rPr>
        <w:t> </w:t>
      </w:r>
      <w:r>
        <w:rPr/>
        <w:t>fire.</w:t>
      </w:r>
      <w:r>
        <w:rPr>
          <w:spacing w:val="-6"/>
        </w:rPr>
        <w:t> </w:t>
      </w:r>
      <w:r>
        <w:rPr/>
        <w:t>This</w:t>
      </w:r>
      <w:r>
        <w:rPr>
          <w:spacing w:val="-7"/>
        </w:rPr>
        <w:t> </w:t>
      </w:r>
      <w:r>
        <w:rPr/>
        <w:t>stops</w:t>
      </w:r>
      <w:r>
        <w:rPr>
          <w:spacing w:val="-7"/>
        </w:rPr>
        <w:t> </w:t>
      </w:r>
      <w:r>
        <w:rPr/>
        <w:t>any</w:t>
      </w:r>
      <w:r>
        <w:rPr>
          <w:spacing w:val="-5"/>
        </w:rPr>
        <w:t> </w:t>
      </w:r>
      <w:r>
        <w:rPr/>
        <w:t>further,</w:t>
      </w:r>
      <w:r>
        <w:rPr>
          <w:spacing w:val="-10"/>
        </w:rPr>
        <w:t> </w:t>
      </w:r>
      <w:r>
        <w:rPr/>
        <w:t>natural</w:t>
      </w:r>
      <w:r>
        <w:rPr>
          <w:spacing w:val="-7"/>
        </w:rPr>
        <w:t> </w:t>
      </w:r>
      <w:r>
        <w:rPr/>
        <w:t>fermentation</w:t>
      </w:r>
      <w:r>
        <w:rPr>
          <w:spacing w:val="-5"/>
        </w:rPr>
        <w:t> </w:t>
      </w:r>
      <w:r>
        <w:rPr/>
        <w:t>of</w:t>
      </w:r>
      <w:r>
        <w:rPr>
          <w:spacing w:val="-8"/>
        </w:rPr>
        <w:t> </w:t>
      </w:r>
      <w:r>
        <w:rPr/>
        <w:t>the</w:t>
      </w:r>
      <w:r>
        <w:rPr>
          <w:spacing w:val="-7"/>
        </w:rPr>
        <w:t> </w:t>
      </w:r>
      <w:r>
        <w:rPr/>
        <w:t>oxidising</w:t>
      </w:r>
      <w:r>
        <w:rPr>
          <w:spacing w:val="-5"/>
        </w:rPr>
        <w:t> </w:t>
      </w:r>
      <w:r>
        <w:rPr/>
        <w:t>enzymes and gives the tea its typical smoky</w:t>
      </w:r>
      <w:r>
        <w:rPr>
          <w:spacing w:val="1"/>
        </w:rPr>
        <w:t> </w:t>
      </w:r>
      <w:r>
        <w:rPr/>
        <w:t>aroma.</w:t>
      </w:r>
    </w:p>
    <w:p>
      <w:pPr>
        <w:pStyle w:val="Heading2"/>
        <w:spacing w:before="239"/>
      </w:pPr>
      <w:r>
        <w:rPr/>
        <w:t>The four production phases of green tea</w:t>
      </w:r>
    </w:p>
    <w:p>
      <w:pPr>
        <w:spacing w:before="287"/>
        <w:ind w:left="477" w:right="0" w:firstLine="0"/>
        <w:jc w:val="left"/>
        <w:rPr>
          <w:b/>
          <w:i/>
          <w:sz w:val="40"/>
        </w:rPr>
      </w:pPr>
      <w:r>
        <w:rPr>
          <w:b/>
          <w:i/>
          <w:sz w:val="40"/>
        </w:rPr>
        <w:t>Phase 1: Withering</w:t>
      </w:r>
    </w:p>
    <w:p>
      <w:pPr>
        <w:pStyle w:val="BodyText"/>
        <w:spacing w:line="276" w:lineRule="auto" w:before="300"/>
        <w:ind w:left="477" w:right="132"/>
        <w:jc w:val="both"/>
      </w:pPr>
      <w:r>
        <w:rPr/>
        <w:t>The</w:t>
      </w:r>
      <w:r>
        <w:rPr>
          <w:spacing w:val="-11"/>
        </w:rPr>
        <w:t> </w:t>
      </w:r>
      <w:r>
        <w:rPr/>
        <w:t>foundations</w:t>
      </w:r>
      <w:r>
        <w:rPr>
          <w:spacing w:val="-10"/>
        </w:rPr>
        <w:t> </w:t>
      </w:r>
      <w:r>
        <w:rPr/>
        <w:t>for</w:t>
      </w:r>
      <w:r>
        <w:rPr>
          <w:spacing w:val="-10"/>
        </w:rPr>
        <w:t> </w:t>
      </w:r>
      <w:r>
        <w:rPr/>
        <w:t>the</w:t>
      </w:r>
      <w:r>
        <w:rPr>
          <w:spacing w:val="-12"/>
        </w:rPr>
        <w:t> </w:t>
      </w:r>
      <w:r>
        <w:rPr/>
        <w:t>desired</w:t>
      </w:r>
      <w:r>
        <w:rPr>
          <w:spacing w:val="-11"/>
        </w:rPr>
        <w:t> </w:t>
      </w:r>
      <w:r>
        <w:rPr/>
        <w:t>tea</w:t>
      </w:r>
      <w:r>
        <w:rPr>
          <w:spacing w:val="-11"/>
        </w:rPr>
        <w:t> </w:t>
      </w:r>
      <w:r>
        <w:rPr/>
        <w:t>quality</w:t>
      </w:r>
      <w:r>
        <w:rPr>
          <w:spacing w:val="-11"/>
        </w:rPr>
        <w:t> </w:t>
      </w:r>
      <w:r>
        <w:rPr/>
        <w:t>are</w:t>
      </w:r>
      <w:r>
        <w:rPr>
          <w:spacing w:val="-11"/>
        </w:rPr>
        <w:t> </w:t>
      </w:r>
      <w:r>
        <w:rPr/>
        <w:t>laid</w:t>
      </w:r>
      <w:r>
        <w:rPr>
          <w:spacing w:val="-11"/>
        </w:rPr>
        <w:t> </w:t>
      </w:r>
      <w:r>
        <w:rPr/>
        <w:t>in</w:t>
      </w:r>
      <w:r>
        <w:rPr>
          <w:spacing w:val="-12"/>
        </w:rPr>
        <w:t> </w:t>
      </w:r>
      <w:r>
        <w:rPr/>
        <w:t>the</w:t>
      </w:r>
      <w:r>
        <w:rPr>
          <w:spacing w:val="-10"/>
        </w:rPr>
        <w:t> </w:t>
      </w:r>
      <w:r>
        <w:rPr/>
        <w:t>first</w:t>
      </w:r>
      <w:r>
        <w:rPr>
          <w:spacing w:val="-14"/>
        </w:rPr>
        <w:t> </w:t>
      </w:r>
      <w:r>
        <w:rPr/>
        <w:t>phase.</w:t>
      </w:r>
      <w:r>
        <w:rPr>
          <w:spacing w:val="-9"/>
        </w:rPr>
        <w:t> </w:t>
      </w:r>
      <w:r>
        <w:rPr/>
        <w:t>For</w:t>
      </w:r>
      <w:r>
        <w:rPr>
          <w:spacing w:val="-11"/>
        </w:rPr>
        <w:t> </w:t>
      </w:r>
      <w:r>
        <w:rPr/>
        <w:t>higher quality green tea leaves are allowed to wither naturally in the fresh air; this en- sures the full tea aroma later. For this purpose, the tea leaves are spread out in the sun for a period of four hours immediately after harvest. During this time, they lose about 30 % of their original moisture and are then ready for further processing steps. For mass production of a lower quality, this process is artifi- cially accelerated by working the leaves with a hot air blower, at the expense of flavour.</w:t>
      </w:r>
    </w:p>
    <w:p>
      <w:pPr>
        <w:pStyle w:val="Heading1"/>
        <w:spacing w:before="223"/>
      </w:pPr>
      <w:r>
        <w:rPr/>
        <w:t>Phase 2: Heating</w:t>
      </w:r>
    </w:p>
    <w:p>
      <w:pPr>
        <w:pStyle w:val="BodyText"/>
        <w:spacing w:line="276" w:lineRule="auto" w:before="300"/>
        <w:ind w:left="477" w:right="131"/>
        <w:jc w:val="both"/>
      </w:pPr>
      <w:r>
        <w:rPr/>
        <w:t>The</w:t>
      </w:r>
      <w:r>
        <w:rPr>
          <w:spacing w:val="-10"/>
        </w:rPr>
        <w:t> </w:t>
      </w:r>
      <w:r>
        <w:rPr/>
        <w:t>subsequent</w:t>
      </w:r>
      <w:r>
        <w:rPr>
          <w:spacing w:val="-8"/>
        </w:rPr>
        <w:t> </w:t>
      </w:r>
      <w:r>
        <w:rPr/>
        <w:t>heating</w:t>
      </w:r>
      <w:r>
        <w:rPr>
          <w:spacing w:val="-11"/>
        </w:rPr>
        <w:t> </w:t>
      </w:r>
      <w:r>
        <w:rPr/>
        <w:t>deactivates</w:t>
      </w:r>
      <w:r>
        <w:rPr>
          <w:spacing w:val="-10"/>
        </w:rPr>
        <w:t> </w:t>
      </w:r>
      <w:r>
        <w:rPr/>
        <w:t>certain</w:t>
      </w:r>
      <w:r>
        <w:rPr>
          <w:spacing w:val="-10"/>
        </w:rPr>
        <w:t> </w:t>
      </w:r>
      <w:r>
        <w:rPr/>
        <w:t>enzymes</w:t>
      </w:r>
      <w:r>
        <w:rPr>
          <w:spacing w:val="-10"/>
        </w:rPr>
        <w:t> </w:t>
      </w:r>
      <w:r>
        <w:rPr/>
        <w:t>that</w:t>
      </w:r>
      <w:r>
        <w:rPr>
          <w:spacing w:val="-10"/>
        </w:rPr>
        <w:t> </w:t>
      </w:r>
      <w:r>
        <w:rPr/>
        <w:t>prevent</w:t>
      </w:r>
      <w:r>
        <w:rPr>
          <w:spacing w:val="-11"/>
        </w:rPr>
        <w:t> </w:t>
      </w:r>
      <w:r>
        <w:rPr/>
        <w:t>oxidation</w:t>
      </w:r>
      <w:r>
        <w:rPr>
          <w:spacing w:val="-10"/>
        </w:rPr>
        <w:t> </w:t>
      </w:r>
      <w:r>
        <w:rPr/>
        <w:t>and thus</w:t>
      </w:r>
      <w:r>
        <w:rPr>
          <w:spacing w:val="-24"/>
        </w:rPr>
        <w:t> </w:t>
      </w:r>
      <w:r>
        <w:rPr/>
        <w:t>the</w:t>
      </w:r>
      <w:r>
        <w:rPr>
          <w:spacing w:val="-24"/>
        </w:rPr>
        <w:t> </w:t>
      </w:r>
      <w:r>
        <w:rPr/>
        <w:t>unwanted</w:t>
      </w:r>
      <w:r>
        <w:rPr>
          <w:spacing w:val="-24"/>
        </w:rPr>
        <w:t> </w:t>
      </w:r>
      <w:r>
        <w:rPr/>
        <w:t>fermentation.</w:t>
      </w:r>
      <w:r>
        <w:rPr>
          <w:spacing w:val="-26"/>
        </w:rPr>
        <w:t> </w:t>
      </w:r>
      <w:r>
        <w:rPr/>
        <w:t>This</w:t>
      </w:r>
      <w:r>
        <w:rPr>
          <w:spacing w:val="-24"/>
        </w:rPr>
        <w:t> </w:t>
      </w:r>
      <w:r>
        <w:rPr/>
        <w:t>ensures</w:t>
      </w:r>
      <w:r>
        <w:rPr>
          <w:spacing w:val="-27"/>
        </w:rPr>
        <w:t> </w:t>
      </w:r>
      <w:r>
        <w:rPr/>
        <w:t>the</w:t>
      </w:r>
      <w:r>
        <w:rPr>
          <w:spacing w:val="-25"/>
        </w:rPr>
        <w:t> </w:t>
      </w:r>
      <w:r>
        <w:rPr/>
        <w:t>health</w:t>
      </w:r>
      <w:r>
        <w:rPr>
          <w:spacing w:val="-25"/>
        </w:rPr>
        <w:t> </w:t>
      </w:r>
      <w:r>
        <w:rPr/>
        <w:t>benefits</w:t>
      </w:r>
      <w:r>
        <w:rPr>
          <w:spacing w:val="-24"/>
        </w:rPr>
        <w:t> </w:t>
      </w:r>
      <w:r>
        <w:rPr/>
        <w:t>that</w:t>
      </w:r>
      <w:r>
        <w:rPr>
          <w:spacing w:val="-24"/>
        </w:rPr>
        <w:t> </w:t>
      </w:r>
      <w:r>
        <w:rPr/>
        <w:t>far</w:t>
      </w:r>
      <w:r>
        <w:rPr>
          <w:spacing w:val="-24"/>
        </w:rPr>
        <w:t> </w:t>
      </w:r>
      <w:r>
        <w:rPr/>
        <w:t>exceed those of fermented black tea, as well as the typical aroma. Depending on the country</w:t>
      </w:r>
      <w:r>
        <w:rPr>
          <w:spacing w:val="41"/>
        </w:rPr>
        <w:t> </w:t>
      </w:r>
      <w:r>
        <w:rPr/>
        <w:t>of</w:t>
      </w:r>
      <w:r>
        <w:rPr>
          <w:spacing w:val="42"/>
        </w:rPr>
        <w:t> </w:t>
      </w:r>
      <w:r>
        <w:rPr/>
        <w:t>manufacture,</w:t>
      </w:r>
      <w:r>
        <w:rPr>
          <w:spacing w:val="42"/>
        </w:rPr>
        <w:t> </w:t>
      </w:r>
      <w:r>
        <w:rPr/>
        <w:t>the</w:t>
      </w:r>
      <w:r>
        <w:rPr>
          <w:spacing w:val="43"/>
        </w:rPr>
        <w:t> </w:t>
      </w:r>
      <w:r>
        <w:rPr/>
        <w:t>desired</w:t>
      </w:r>
      <w:r>
        <w:rPr>
          <w:spacing w:val="42"/>
        </w:rPr>
        <w:t> </w:t>
      </w:r>
      <w:r>
        <w:rPr/>
        <w:t>quality</w:t>
      </w:r>
      <w:r>
        <w:rPr>
          <w:spacing w:val="41"/>
        </w:rPr>
        <w:t> </w:t>
      </w:r>
      <w:r>
        <w:rPr/>
        <w:t>and</w:t>
      </w:r>
      <w:r>
        <w:rPr>
          <w:spacing w:val="41"/>
        </w:rPr>
        <w:t> </w:t>
      </w:r>
      <w:r>
        <w:rPr/>
        <w:t>the</w:t>
      </w:r>
      <w:r>
        <w:rPr>
          <w:spacing w:val="43"/>
        </w:rPr>
        <w:t> </w:t>
      </w:r>
      <w:r>
        <w:rPr/>
        <w:t>desired</w:t>
      </w:r>
      <w:r>
        <w:rPr>
          <w:spacing w:val="42"/>
        </w:rPr>
        <w:t> </w:t>
      </w:r>
      <w:r>
        <w:rPr/>
        <w:t>aroma,</w:t>
      </w:r>
      <w:r>
        <w:rPr>
          <w:spacing w:val="42"/>
        </w:rPr>
        <w:t> </w:t>
      </w:r>
      <w:r>
        <w:rPr/>
        <w:t>different</w:t>
      </w:r>
    </w:p>
    <w:p>
      <w:pPr>
        <w:spacing w:after="0" w:line="276" w:lineRule="auto"/>
        <w:jc w:val="both"/>
        <w:sectPr>
          <w:pgSz w:w="14270" w:h="16850"/>
          <w:pgMar w:header="0" w:footer="1891" w:top="1600" w:bottom="2080" w:left="800" w:right="1280"/>
        </w:sectPr>
      </w:pPr>
    </w:p>
    <w:p>
      <w:pPr>
        <w:pStyle w:val="BodyText"/>
        <w:spacing w:line="276" w:lineRule="auto" w:before="181"/>
        <w:ind w:left="477" w:right="136"/>
        <w:jc w:val="both"/>
      </w:pPr>
      <w:r>
        <w:rPr/>
        <w:t>heating options are also possible in this phase, such as roasting, steaming and pan heating. While steaming tends to be more prevalent in Japan, combined methods are used in China – 90 % of the tea leaves are heated in the pan and the remaining 10 % are split equally between steaming and roasting. In China, processing takes place manually, which ensures the high standard of quality of Chinese green tea.</w:t>
      </w:r>
    </w:p>
    <w:p>
      <w:pPr>
        <w:pStyle w:val="Heading1"/>
      </w:pPr>
      <w:r>
        <w:rPr/>
        <w:t>Phase 3: Rolling</w:t>
      </w:r>
    </w:p>
    <w:p>
      <w:pPr>
        <w:pStyle w:val="BodyText"/>
        <w:spacing w:line="276" w:lineRule="auto" w:before="299"/>
        <w:ind w:left="477" w:right="133"/>
        <w:jc w:val="both"/>
      </w:pPr>
      <w:r>
        <w:rPr/>
        <w:t>Rolling the green tea then gives the tea leaves a smooth consistency and is in- tended</w:t>
      </w:r>
      <w:r>
        <w:rPr>
          <w:spacing w:val="-23"/>
        </w:rPr>
        <w:t> </w:t>
      </w:r>
      <w:r>
        <w:rPr/>
        <w:t>to</w:t>
      </w:r>
      <w:r>
        <w:rPr>
          <w:spacing w:val="-22"/>
        </w:rPr>
        <w:t> </w:t>
      </w:r>
      <w:r>
        <w:rPr/>
        <w:t>make</w:t>
      </w:r>
      <w:r>
        <w:rPr>
          <w:spacing w:val="-22"/>
        </w:rPr>
        <w:t> </w:t>
      </w:r>
      <w:r>
        <w:rPr/>
        <w:t>the</w:t>
      </w:r>
      <w:r>
        <w:rPr>
          <w:spacing w:val="-22"/>
        </w:rPr>
        <w:t> </w:t>
      </w:r>
      <w:r>
        <w:rPr/>
        <w:t>ingredients</w:t>
      </w:r>
      <w:r>
        <w:rPr>
          <w:spacing w:val="-22"/>
        </w:rPr>
        <w:t> </w:t>
      </w:r>
      <w:r>
        <w:rPr/>
        <w:t>pass</w:t>
      </w:r>
      <w:r>
        <w:rPr>
          <w:spacing w:val="-22"/>
        </w:rPr>
        <w:t> </w:t>
      </w:r>
      <w:r>
        <w:rPr/>
        <w:t>into</w:t>
      </w:r>
      <w:r>
        <w:rPr>
          <w:spacing w:val="-23"/>
        </w:rPr>
        <w:t> </w:t>
      </w:r>
      <w:r>
        <w:rPr/>
        <w:t>the</w:t>
      </w:r>
      <w:r>
        <w:rPr>
          <w:spacing w:val="-24"/>
        </w:rPr>
        <w:t> </w:t>
      </w:r>
      <w:r>
        <w:rPr/>
        <w:t>cup</w:t>
      </w:r>
      <w:r>
        <w:rPr>
          <w:spacing w:val="-23"/>
        </w:rPr>
        <w:t> </w:t>
      </w:r>
      <w:r>
        <w:rPr/>
        <w:t>more</w:t>
      </w:r>
      <w:r>
        <w:rPr>
          <w:spacing w:val="-22"/>
        </w:rPr>
        <w:t> </w:t>
      </w:r>
      <w:r>
        <w:rPr/>
        <w:t>easily</w:t>
      </w:r>
      <w:r>
        <w:rPr>
          <w:spacing w:val="-21"/>
        </w:rPr>
        <w:t> </w:t>
      </w:r>
      <w:r>
        <w:rPr/>
        <w:t>during</w:t>
      </w:r>
      <w:r>
        <w:rPr>
          <w:spacing w:val="-21"/>
        </w:rPr>
        <w:t> </w:t>
      </w:r>
      <w:r>
        <w:rPr/>
        <w:t>preparation.</w:t>
      </w:r>
    </w:p>
    <w:p>
      <w:pPr>
        <w:pStyle w:val="Heading1"/>
        <w:spacing w:before="223"/>
      </w:pPr>
      <w:r>
        <w:rPr/>
        <w:t>Phase 4: Drying</w:t>
      </w:r>
    </w:p>
    <w:p>
      <w:pPr>
        <w:pStyle w:val="BodyText"/>
        <w:spacing w:line="276" w:lineRule="auto" w:before="300"/>
        <w:ind w:left="477" w:right="137"/>
        <w:jc w:val="both"/>
      </w:pPr>
      <w:r>
        <w:rPr/>
        <w:t>To strengthen the ingredients and the aroma, the tea leaves are dried in the</w:t>
      </w:r>
      <w:r>
        <w:rPr>
          <w:spacing w:val="-44"/>
        </w:rPr>
        <w:t> </w:t>
      </w:r>
      <w:r>
        <w:rPr/>
        <w:t>last step. If – as it is often the case with Chinese green tea – a smoky aroma is desired, the drying takes place in drying chambers with wood</w:t>
      </w:r>
      <w:r>
        <w:rPr>
          <w:spacing w:val="-2"/>
        </w:rPr>
        <w:t> </w:t>
      </w:r>
      <w:r>
        <w:rPr/>
        <w:t>fire.</w:t>
      </w:r>
    </w:p>
    <w:p>
      <w:pPr>
        <w:pStyle w:val="Heading1"/>
        <w:spacing w:before="221"/>
      </w:pPr>
      <w:r>
        <w:rPr/>
        <w:t>Raw materials for green tea</w:t>
      </w:r>
    </w:p>
    <w:p>
      <w:pPr>
        <w:pStyle w:val="BodyText"/>
        <w:spacing w:line="276" w:lineRule="auto" w:before="300"/>
        <w:ind w:left="477" w:right="133"/>
        <w:jc w:val="both"/>
      </w:pPr>
      <w:r>
        <w:rPr/>
        <w:t>As already mentioned, over 1,000 different plant varieties are used in green tea production. However, some plants are particularly noteworthy, since these are virtually predestined for the production of green tea – such as Camellia Sinensins, which is a true green tea classic – due to their resistance and low tannin content, in contrast to Camellia Assamica, which is used in the produc- tion of black tea.</w:t>
      </w:r>
    </w:p>
    <w:p>
      <w:pPr>
        <w:spacing w:after="0" w:line="276" w:lineRule="auto"/>
        <w:jc w:val="both"/>
        <w:sectPr>
          <w:pgSz w:w="14270" w:h="16850"/>
          <w:pgMar w:header="0" w:footer="1891" w:top="1600" w:bottom="2080" w:left="800" w:right="1280"/>
        </w:sectPr>
      </w:pPr>
    </w:p>
    <w:p>
      <w:pPr>
        <w:spacing w:before="181"/>
        <w:ind w:left="477" w:right="0" w:firstLine="0"/>
        <w:jc w:val="left"/>
        <w:rPr>
          <w:i/>
          <w:sz w:val="38"/>
        </w:rPr>
      </w:pPr>
      <w:r>
        <w:rPr>
          <w:i/>
          <w:sz w:val="38"/>
        </w:rPr>
        <w:t>Studies on green tea</w:t>
      </w:r>
    </w:p>
    <w:p>
      <w:pPr>
        <w:pStyle w:val="BodyText"/>
        <w:spacing w:line="276" w:lineRule="auto" w:before="305"/>
        <w:ind w:left="477" w:right="135"/>
        <w:jc w:val="both"/>
      </w:pPr>
      <w:r>
        <w:rPr/>
        <w:t>Before we talk specifically about individual diseases and the associated studies, let’s have a general overview of the health benefits of green tea: green tea has traditionally been used for centuries in Asia to relieve and cure discomfort and numerous acute illnesses. For many years, green tea has been investigated in serious studies around the world and has shown amazing health benefits:</w:t>
      </w:r>
    </w:p>
    <w:p>
      <w:pPr>
        <w:pStyle w:val="ListParagraph"/>
        <w:numPr>
          <w:ilvl w:val="0"/>
          <w:numId w:val="37"/>
        </w:numPr>
        <w:tabs>
          <w:tab w:pos="1197" w:val="left" w:leader="none"/>
          <w:tab w:pos="1198" w:val="left" w:leader="none"/>
        </w:tabs>
        <w:spacing w:line="273" w:lineRule="auto" w:before="242" w:after="0"/>
        <w:ind w:left="1197" w:right="143" w:hanging="360"/>
        <w:jc w:val="left"/>
        <w:rPr>
          <w:sz w:val="38"/>
        </w:rPr>
      </w:pPr>
      <w:r>
        <w:rPr>
          <w:sz w:val="38"/>
        </w:rPr>
        <w:t>green tea revives you in a gentle way, keeps mind and body</w:t>
      </w:r>
      <w:r>
        <w:rPr>
          <w:spacing w:val="25"/>
          <w:sz w:val="38"/>
        </w:rPr>
        <w:t> </w:t>
      </w:r>
      <w:r>
        <w:rPr>
          <w:sz w:val="38"/>
        </w:rPr>
        <w:t>awake, strengthens</w:t>
      </w:r>
      <w:r>
        <w:rPr>
          <w:spacing w:val="-2"/>
          <w:sz w:val="38"/>
        </w:rPr>
        <w:t> </w:t>
      </w:r>
      <w:r>
        <w:rPr>
          <w:sz w:val="38"/>
        </w:rPr>
        <w:t>concentration,</w:t>
      </w:r>
    </w:p>
    <w:p>
      <w:pPr>
        <w:pStyle w:val="ListParagraph"/>
        <w:numPr>
          <w:ilvl w:val="0"/>
          <w:numId w:val="37"/>
        </w:numPr>
        <w:tabs>
          <w:tab w:pos="1197" w:val="left" w:leader="none"/>
          <w:tab w:pos="1198" w:val="left" w:leader="none"/>
        </w:tabs>
        <w:spacing w:line="240" w:lineRule="auto" w:before="127" w:after="0"/>
        <w:ind w:left="1197" w:right="0" w:hanging="360"/>
        <w:jc w:val="left"/>
        <w:rPr>
          <w:sz w:val="38"/>
        </w:rPr>
      </w:pPr>
      <w:r>
        <w:rPr>
          <w:sz w:val="38"/>
        </w:rPr>
        <w:t>promotes blood circulation,</w:t>
      </w:r>
    </w:p>
    <w:p>
      <w:pPr>
        <w:pStyle w:val="ListParagraph"/>
        <w:numPr>
          <w:ilvl w:val="0"/>
          <w:numId w:val="37"/>
        </w:numPr>
        <w:tabs>
          <w:tab w:pos="1197" w:val="left" w:leader="none"/>
          <w:tab w:pos="1198" w:val="left" w:leader="none"/>
        </w:tabs>
        <w:spacing w:line="240" w:lineRule="auto" w:before="183" w:after="0"/>
        <w:ind w:left="1197" w:right="0" w:hanging="360"/>
        <w:jc w:val="left"/>
        <w:rPr>
          <w:sz w:val="38"/>
        </w:rPr>
      </w:pPr>
      <w:r>
        <w:rPr>
          <w:sz w:val="38"/>
        </w:rPr>
        <w:t>increases</w:t>
      </w:r>
      <w:r>
        <w:rPr>
          <w:spacing w:val="1"/>
          <w:sz w:val="38"/>
        </w:rPr>
        <w:t> </w:t>
      </w:r>
      <w:r>
        <w:rPr>
          <w:sz w:val="38"/>
        </w:rPr>
        <w:t>well-being,</w:t>
      </w:r>
    </w:p>
    <w:p>
      <w:pPr>
        <w:pStyle w:val="ListParagraph"/>
        <w:numPr>
          <w:ilvl w:val="0"/>
          <w:numId w:val="37"/>
        </w:numPr>
        <w:tabs>
          <w:tab w:pos="1197" w:val="left" w:leader="none"/>
          <w:tab w:pos="1198" w:val="left" w:leader="none"/>
        </w:tabs>
        <w:spacing w:line="240" w:lineRule="auto" w:before="186" w:after="0"/>
        <w:ind w:left="1197" w:right="0" w:hanging="360"/>
        <w:jc w:val="left"/>
        <w:rPr>
          <w:sz w:val="38"/>
        </w:rPr>
      </w:pPr>
      <w:r>
        <w:rPr>
          <w:sz w:val="38"/>
        </w:rPr>
        <w:t>normalises blood</w:t>
      </w:r>
      <w:r>
        <w:rPr>
          <w:spacing w:val="1"/>
          <w:sz w:val="38"/>
        </w:rPr>
        <w:t> </w:t>
      </w:r>
      <w:r>
        <w:rPr>
          <w:sz w:val="38"/>
        </w:rPr>
        <w:t>pressure,</w:t>
      </w:r>
    </w:p>
    <w:p>
      <w:pPr>
        <w:pStyle w:val="ListParagraph"/>
        <w:numPr>
          <w:ilvl w:val="0"/>
          <w:numId w:val="37"/>
        </w:numPr>
        <w:tabs>
          <w:tab w:pos="1197" w:val="left" w:leader="none"/>
          <w:tab w:pos="1198" w:val="left" w:leader="none"/>
        </w:tabs>
        <w:spacing w:line="240" w:lineRule="auto" w:before="184" w:after="0"/>
        <w:ind w:left="1197" w:right="0" w:hanging="360"/>
        <w:jc w:val="left"/>
        <w:rPr>
          <w:sz w:val="38"/>
        </w:rPr>
      </w:pPr>
      <w:r>
        <w:rPr>
          <w:sz w:val="38"/>
        </w:rPr>
        <w:t>improves oxygen uptake and stimulates</w:t>
      </w:r>
      <w:r>
        <w:rPr>
          <w:spacing w:val="4"/>
          <w:sz w:val="38"/>
        </w:rPr>
        <w:t> </w:t>
      </w:r>
      <w:r>
        <w:rPr>
          <w:sz w:val="38"/>
        </w:rPr>
        <w:t>breathing,</w:t>
      </w:r>
    </w:p>
    <w:p>
      <w:pPr>
        <w:pStyle w:val="ListParagraph"/>
        <w:numPr>
          <w:ilvl w:val="0"/>
          <w:numId w:val="37"/>
        </w:numPr>
        <w:tabs>
          <w:tab w:pos="1197" w:val="left" w:leader="none"/>
          <w:tab w:pos="1198" w:val="left" w:leader="none"/>
        </w:tabs>
        <w:spacing w:line="240" w:lineRule="auto" w:before="184" w:after="0"/>
        <w:ind w:left="1197" w:right="0" w:hanging="360"/>
        <w:jc w:val="left"/>
        <w:rPr>
          <w:sz w:val="38"/>
        </w:rPr>
      </w:pPr>
      <w:r>
        <w:rPr>
          <w:sz w:val="38"/>
        </w:rPr>
        <w:t>strengthens the immune</w:t>
      </w:r>
      <w:r>
        <w:rPr>
          <w:spacing w:val="1"/>
          <w:sz w:val="38"/>
        </w:rPr>
        <w:t> </w:t>
      </w:r>
      <w:r>
        <w:rPr>
          <w:sz w:val="38"/>
        </w:rPr>
        <w:t>system,</w:t>
      </w:r>
    </w:p>
    <w:p>
      <w:pPr>
        <w:pStyle w:val="ListParagraph"/>
        <w:numPr>
          <w:ilvl w:val="0"/>
          <w:numId w:val="37"/>
        </w:numPr>
        <w:tabs>
          <w:tab w:pos="1197" w:val="left" w:leader="none"/>
          <w:tab w:pos="1198" w:val="left" w:leader="none"/>
        </w:tabs>
        <w:spacing w:line="240" w:lineRule="auto" w:before="184" w:after="0"/>
        <w:ind w:left="1197" w:right="0" w:hanging="360"/>
        <w:jc w:val="left"/>
        <w:rPr>
          <w:sz w:val="38"/>
        </w:rPr>
      </w:pPr>
      <w:r>
        <w:rPr>
          <w:sz w:val="38"/>
        </w:rPr>
        <w:t>stimulates metabolism and promotes fat</w:t>
      </w:r>
      <w:r>
        <w:rPr>
          <w:spacing w:val="1"/>
          <w:sz w:val="38"/>
        </w:rPr>
        <w:t> </w:t>
      </w:r>
      <w:r>
        <w:rPr>
          <w:sz w:val="38"/>
        </w:rPr>
        <w:t>burning,</w:t>
      </w:r>
    </w:p>
    <w:p>
      <w:pPr>
        <w:pStyle w:val="ListParagraph"/>
        <w:numPr>
          <w:ilvl w:val="0"/>
          <w:numId w:val="37"/>
        </w:numPr>
        <w:tabs>
          <w:tab w:pos="1197" w:val="left" w:leader="none"/>
          <w:tab w:pos="1198" w:val="left" w:leader="none"/>
        </w:tabs>
        <w:spacing w:line="240" w:lineRule="auto" w:before="186" w:after="0"/>
        <w:ind w:left="1197" w:right="0" w:hanging="360"/>
        <w:jc w:val="left"/>
        <w:rPr>
          <w:sz w:val="38"/>
        </w:rPr>
      </w:pPr>
      <w:r>
        <w:rPr>
          <w:sz w:val="38"/>
        </w:rPr>
        <w:t>promotes self-healing powers,</w:t>
      </w:r>
    </w:p>
    <w:p>
      <w:pPr>
        <w:pStyle w:val="ListParagraph"/>
        <w:numPr>
          <w:ilvl w:val="0"/>
          <w:numId w:val="37"/>
        </w:numPr>
        <w:tabs>
          <w:tab w:pos="1197" w:val="left" w:leader="none"/>
          <w:tab w:pos="1198" w:val="left" w:leader="none"/>
        </w:tabs>
        <w:spacing w:line="240" w:lineRule="auto" w:before="183" w:after="0"/>
        <w:ind w:left="1197" w:right="0" w:hanging="360"/>
        <w:jc w:val="left"/>
        <w:rPr>
          <w:sz w:val="38"/>
        </w:rPr>
      </w:pPr>
      <w:r>
        <w:rPr>
          <w:sz w:val="38"/>
        </w:rPr>
        <w:t>promotes digestion,</w:t>
      </w:r>
    </w:p>
    <w:p>
      <w:pPr>
        <w:pStyle w:val="ListParagraph"/>
        <w:numPr>
          <w:ilvl w:val="0"/>
          <w:numId w:val="37"/>
        </w:numPr>
        <w:tabs>
          <w:tab w:pos="1197" w:val="left" w:leader="none"/>
          <w:tab w:pos="1198" w:val="left" w:leader="none"/>
        </w:tabs>
        <w:spacing w:line="240" w:lineRule="auto" w:before="184" w:after="0"/>
        <w:ind w:left="1197" w:right="0" w:hanging="360"/>
        <w:jc w:val="left"/>
        <w:rPr>
          <w:sz w:val="38"/>
        </w:rPr>
      </w:pPr>
      <w:r>
        <w:rPr>
          <w:sz w:val="38"/>
        </w:rPr>
        <w:t>calms the</w:t>
      </w:r>
      <w:r>
        <w:rPr>
          <w:spacing w:val="2"/>
          <w:sz w:val="38"/>
        </w:rPr>
        <w:t> </w:t>
      </w:r>
      <w:r>
        <w:rPr>
          <w:sz w:val="38"/>
        </w:rPr>
        <w:t>stomach,</w:t>
      </w:r>
    </w:p>
    <w:p>
      <w:pPr>
        <w:pStyle w:val="ListParagraph"/>
        <w:numPr>
          <w:ilvl w:val="0"/>
          <w:numId w:val="37"/>
        </w:numPr>
        <w:tabs>
          <w:tab w:pos="1197" w:val="left" w:leader="none"/>
          <w:tab w:pos="1198" w:val="left" w:leader="none"/>
        </w:tabs>
        <w:spacing w:line="240" w:lineRule="auto" w:before="184" w:after="0"/>
        <w:ind w:left="1197" w:right="0" w:hanging="360"/>
        <w:jc w:val="left"/>
        <w:rPr>
          <w:sz w:val="38"/>
        </w:rPr>
      </w:pPr>
      <w:r>
        <w:rPr>
          <w:sz w:val="38"/>
        </w:rPr>
        <w:t>relaxes body and</w:t>
      </w:r>
      <w:r>
        <w:rPr>
          <w:spacing w:val="2"/>
          <w:sz w:val="38"/>
        </w:rPr>
        <w:t> </w:t>
      </w:r>
      <w:r>
        <w:rPr>
          <w:sz w:val="38"/>
        </w:rPr>
        <w:t>mind,</w:t>
      </w:r>
    </w:p>
    <w:p>
      <w:pPr>
        <w:pStyle w:val="ListParagraph"/>
        <w:numPr>
          <w:ilvl w:val="0"/>
          <w:numId w:val="37"/>
        </w:numPr>
        <w:tabs>
          <w:tab w:pos="1197" w:val="left" w:leader="none"/>
          <w:tab w:pos="1198" w:val="left" w:leader="none"/>
        </w:tabs>
        <w:spacing w:line="240" w:lineRule="auto" w:before="184" w:after="0"/>
        <w:ind w:left="1197" w:right="0" w:hanging="360"/>
        <w:jc w:val="left"/>
        <w:rPr>
          <w:sz w:val="38"/>
        </w:rPr>
      </w:pPr>
      <w:r>
        <w:rPr>
          <w:sz w:val="38"/>
        </w:rPr>
        <w:t>helps detoxify the body,</w:t>
      </w:r>
    </w:p>
    <w:p>
      <w:pPr>
        <w:spacing w:after="0" w:line="240" w:lineRule="auto"/>
        <w:jc w:val="left"/>
        <w:rPr>
          <w:sz w:val="38"/>
        </w:rPr>
        <w:sectPr>
          <w:pgSz w:w="14270" w:h="16850"/>
          <w:pgMar w:header="0" w:footer="1891" w:top="1600" w:bottom="2080" w:left="800" w:right="1280"/>
        </w:sectPr>
      </w:pPr>
    </w:p>
    <w:p>
      <w:pPr>
        <w:pStyle w:val="BodyText"/>
        <w:spacing w:before="10"/>
        <w:rPr>
          <w:sz w:val="8"/>
        </w:rPr>
      </w:pPr>
    </w:p>
    <w:p>
      <w:pPr>
        <w:pStyle w:val="ListParagraph"/>
        <w:numPr>
          <w:ilvl w:val="0"/>
          <w:numId w:val="37"/>
        </w:numPr>
        <w:tabs>
          <w:tab w:pos="1197" w:val="left" w:leader="none"/>
          <w:tab w:pos="1198" w:val="left" w:leader="none"/>
        </w:tabs>
        <w:spacing w:line="240" w:lineRule="auto" w:before="83" w:after="0"/>
        <w:ind w:left="1197" w:right="0" w:hanging="360"/>
        <w:jc w:val="left"/>
        <w:rPr>
          <w:sz w:val="38"/>
        </w:rPr>
      </w:pPr>
      <w:r>
        <w:rPr>
          <w:sz w:val="38"/>
        </w:rPr>
        <w:t>is skin</w:t>
      </w:r>
      <w:r>
        <w:rPr>
          <w:spacing w:val="-3"/>
          <w:sz w:val="38"/>
        </w:rPr>
        <w:t> </w:t>
      </w:r>
      <w:r>
        <w:rPr>
          <w:sz w:val="38"/>
        </w:rPr>
        <w:t>cleansing,</w:t>
      </w:r>
    </w:p>
    <w:p>
      <w:pPr>
        <w:pStyle w:val="ListParagraph"/>
        <w:numPr>
          <w:ilvl w:val="0"/>
          <w:numId w:val="37"/>
        </w:numPr>
        <w:tabs>
          <w:tab w:pos="1197" w:val="left" w:leader="none"/>
          <w:tab w:pos="1198" w:val="left" w:leader="none"/>
        </w:tabs>
        <w:spacing w:line="240" w:lineRule="auto" w:before="184" w:after="0"/>
        <w:ind w:left="1197" w:right="0" w:hanging="360"/>
        <w:jc w:val="left"/>
        <w:rPr>
          <w:sz w:val="38"/>
        </w:rPr>
      </w:pPr>
      <w:r>
        <w:rPr>
          <w:sz w:val="38"/>
        </w:rPr>
        <w:t>improves</w:t>
      </w:r>
      <w:r>
        <w:rPr>
          <w:spacing w:val="-5"/>
          <w:sz w:val="38"/>
        </w:rPr>
        <w:t> </w:t>
      </w:r>
      <w:r>
        <w:rPr>
          <w:sz w:val="38"/>
        </w:rPr>
        <w:t>vision,</w:t>
      </w:r>
    </w:p>
    <w:p>
      <w:pPr>
        <w:pStyle w:val="ListParagraph"/>
        <w:numPr>
          <w:ilvl w:val="0"/>
          <w:numId w:val="37"/>
        </w:numPr>
        <w:tabs>
          <w:tab w:pos="1197" w:val="left" w:leader="none"/>
          <w:tab w:pos="1198" w:val="left" w:leader="none"/>
        </w:tabs>
        <w:spacing w:line="240" w:lineRule="auto" w:before="186" w:after="0"/>
        <w:ind w:left="1197" w:right="0" w:hanging="360"/>
        <w:jc w:val="left"/>
        <w:rPr>
          <w:sz w:val="38"/>
        </w:rPr>
      </w:pPr>
      <w:r>
        <w:rPr>
          <w:sz w:val="38"/>
        </w:rPr>
        <w:t>prevents joint pain and</w:t>
      </w:r>
      <w:r>
        <w:rPr>
          <w:spacing w:val="1"/>
          <w:sz w:val="38"/>
        </w:rPr>
        <w:t> </w:t>
      </w:r>
      <w:r>
        <w:rPr>
          <w:sz w:val="38"/>
        </w:rPr>
        <w:t>inflammation</w:t>
      </w:r>
    </w:p>
    <w:p>
      <w:pPr>
        <w:pStyle w:val="ListParagraph"/>
        <w:numPr>
          <w:ilvl w:val="0"/>
          <w:numId w:val="37"/>
        </w:numPr>
        <w:tabs>
          <w:tab w:pos="1197" w:val="left" w:leader="none"/>
          <w:tab w:pos="1198" w:val="left" w:leader="none"/>
        </w:tabs>
        <w:spacing w:line="240" w:lineRule="auto" w:before="183" w:after="0"/>
        <w:ind w:left="1197" w:right="0" w:hanging="360"/>
        <w:jc w:val="left"/>
        <w:rPr>
          <w:sz w:val="38"/>
        </w:rPr>
      </w:pPr>
      <w:r>
        <w:rPr>
          <w:sz w:val="38"/>
        </w:rPr>
        <w:t>prevents bone loss</w:t>
      </w:r>
      <w:r>
        <w:rPr>
          <w:spacing w:val="2"/>
          <w:sz w:val="38"/>
        </w:rPr>
        <w:t> </w:t>
      </w:r>
      <w:r>
        <w:rPr>
          <w:sz w:val="38"/>
        </w:rPr>
        <w:t>(osteoporosis),</w:t>
      </w:r>
    </w:p>
    <w:p>
      <w:pPr>
        <w:pStyle w:val="ListParagraph"/>
        <w:numPr>
          <w:ilvl w:val="0"/>
          <w:numId w:val="37"/>
        </w:numPr>
        <w:tabs>
          <w:tab w:pos="1197" w:val="left" w:leader="none"/>
          <w:tab w:pos="1198" w:val="left" w:leader="none"/>
        </w:tabs>
        <w:spacing w:line="240" w:lineRule="auto" w:before="184" w:after="0"/>
        <w:ind w:left="1197" w:right="0" w:hanging="360"/>
        <w:jc w:val="left"/>
        <w:rPr>
          <w:sz w:val="38"/>
        </w:rPr>
      </w:pPr>
      <w:r>
        <w:rPr>
          <w:sz w:val="38"/>
        </w:rPr>
        <w:t>helps against gout,</w:t>
      </w:r>
    </w:p>
    <w:p>
      <w:pPr>
        <w:pStyle w:val="ListParagraph"/>
        <w:numPr>
          <w:ilvl w:val="0"/>
          <w:numId w:val="37"/>
        </w:numPr>
        <w:tabs>
          <w:tab w:pos="1197" w:val="left" w:leader="none"/>
          <w:tab w:pos="1198" w:val="left" w:leader="none"/>
        </w:tabs>
        <w:spacing w:line="240" w:lineRule="auto" w:before="184" w:after="0"/>
        <w:ind w:left="1197" w:right="0" w:hanging="360"/>
        <w:jc w:val="left"/>
        <w:rPr>
          <w:sz w:val="38"/>
        </w:rPr>
      </w:pPr>
      <w:r>
        <w:rPr>
          <w:sz w:val="38"/>
        </w:rPr>
        <w:t>helps with chronic</w:t>
      </w:r>
      <w:r>
        <w:rPr>
          <w:spacing w:val="1"/>
          <w:sz w:val="38"/>
        </w:rPr>
        <w:t> </w:t>
      </w:r>
      <w:r>
        <w:rPr>
          <w:sz w:val="38"/>
        </w:rPr>
        <w:t>fatigue,</w:t>
      </w:r>
    </w:p>
    <w:p>
      <w:pPr>
        <w:pStyle w:val="ListParagraph"/>
        <w:numPr>
          <w:ilvl w:val="0"/>
          <w:numId w:val="37"/>
        </w:numPr>
        <w:tabs>
          <w:tab w:pos="1197" w:val="left" w:leader="none"/>
          <w:tab w:pos="1198" w:val="left" w:leader="none"/>
        </w:tabs>
        <w:spacing w:line="240" w:lineRule="auto" w:before="184" w:after="0"/>
        <w:ind w:left="1197" w:right="0" w:hanging="360"/>
        <w:jc w:val="left"/>
        <w:rPr>
          <w:sz w:val="38"/>
        </w:rPr>
      </w:pPr>
      <w:r>
        <w:rPr>
          <w:sz w:val="38"/>
        </w:rPr>
        <w:t>helps with</w:t>
      </w:r>
      <w:r>
        <w:rPr>
          <w:spacing w:val="1"/>
          <w:sz w:val="38"/>
        </w:rPr>
        <w:t> </w:t>
      </w:r>
      <w:r>
        <w:rPr>
          <w:sz w:val="38"/>
        </w:rPr>
        <w:t>pharyngitis,</w:t>
      </w:r>
    </w:p>
    <w:p>
      <w:pPr>
        <w:pStyle w:val="ListParagraph"/>
        <w:numPr>
          <w:ilvl w:val="0"/>
          <w:numId w:val="37"/>
        </w:numPr>
        <w:tabs>
          <w:tab w:pos="1197" w:val="left" w:leader="none"/>
          <w:tab w:pos="1198" w:val="left" w:leader="none"/>
        </w:tabs>
        <w:spacing w:line="240" w:lineRule="auto" w:before="186" w:after="0"/>
        <w:ind w:left="1197" w:right="0" w:hanging="360"/>
        <w:jc w:val="left"/>
        <w:rPr>
          <w:sz w:val="38"/>
        </w:rPr>
      </w:pPr>
      <w:r>
        <w:rPr>
          <w:sz w:val="38"/>
        </w:rPr>
        <w:t>protects against</w:t>
      </w:r>
      <w:r>
        <w:rPr>
          <w:spacing w:val="-2"/>
          <w:sz w:val="38"/>
        </w:rPr>
        <w:t> </w:t>
      </w:r>
      <w:r>
        <w:rPr>
          <w:sz w:val="38"/>
        </w:rPr>
        <w:t>diabetes,</w:t>
      </w:r>
    </w:p>
    <w:p>
      <w:pPr>
        <w:pStyle w:val="ListParagraph"/>
        <w:numPr>
          <w:ilvl w:val="0"/>
          <w:numId w:val="37"/>
        </w:numPr>
        <w:tabs>
          <w:tab w:pos="1197" w:val="left" w:leader="none"/>
          <w:tab w:pos="1198" w:val="left" w:leader="none"/>
        </w:tabs>
        <w:spacing w:line="240" w:lineRule="auto" w:before="183" w:after="0"/>
        <w:ind w:left="1197" w:right="0" w:hanging="360"/>
        <w:jc w:val="left"/>
        <w:rPr>
          <w:sz w:val="38"/>
        </w:rPr>
      </w:pPr>
      <w:r>
        <w:rPr>
          <w:sz w:val="38"/>
        </w:rPr>
        <w:t>helps with loss of</w:t>
      </w:r>
      <w:r>
        <w:rPr>
          <w:spacing w:val="2"/>
          <w:sz w:val="38"/>
        </w:rPr>
        <w:t> </w:t>
      </w:r>
      <w:r>
        <w:rPr>
          <w:sz w:val="38"/>
        </w:rPr>
        <w:t>appetite,</w:t>
      </w:r>
    </w:p>
    <w:p>
      <w:pPr>
        <w:pStyle w:val="ListParagraph"/>
        <w:numPr>
          <w:ilvl w:val="0"/>
          <w:numId w:val="37"/>
        </w:numPr>
        <w:tabs>
          <w:tab w:pos="1197" w:val="left" w:leader="none"/>
          <w:tab w:pos="1198" w:val="left" w:leader="none"/>
        </w:tabs>
        <w:spacing w:line="240" w:lineRule="auto" w:before="184" w:after="0"/>
        <w:ind w:left="1197" w:right="0" w:hanging="360"/>
        <w:jc w:val="left"/>
        <w:rPr>
          <w:sz w:val="38"/>
        </w:rPr>
      </w:pPr>
      <w:r>
        <w:rPr>
          <w:sz w:val="38"/>
        </w:rPr>
        <w:t>helps with</w:t>
      </w:r>
      <w:r>
        <w:rPr>
          <w:spacing w:val="1"/>
          <w:sz w:val="38"/>
        </w:rPr>
        <w:t> </w:t>
      </w:r>
      <w:r>
        <w:rPr>
          <w:sz w:val="38"/>
        </w:rPr>
        <w:t>heartburn,</w:t>
      </w:r>
    </w:p>
    <w:p>
      <w:pPr>
        <w:pStyle w:val="ListParagraph"/>
        <w:numPr>
          <w:ilvl w:val="0"/>
          <w:numId w:val="37"/>
        </w:numPr>
        <w:tabs>
          <w:tab w:pos="1197" w:val="left" w:leader="none"/>
          <w:tab w:pos="1198" w:val="left" w:leader="none"/>
        </w:tabs>
        <w:spacing w:line="240" w:lineRule="auto" w:before="184" w:after="0"/>
        <w:ind w:left="1197" w:right="0" w:hanging="360"/>
        <w:jc w:val="left"/>
        <w:rPr>
          <w:sz w:val="38"/>
        </w:rPr>
      </w:pPr>
      <w:r>
        <w:rPr>
          <w:sz w:val="38"/>
        </w:rPr>
        <w:t>has an effect against</w:t>
      </w:r>
      <w:r>
        <w:rPr>
          <w:spacing w:val="2"/>
          <w:sz w:val="38"/>
        </w:rPr>
        <w:t> </w:t>
      </w:r>
      <w:r>
        <w:rPr>
          <w:sz w:val="38"/>
        </w:rPr>
        <w:t>diarrhoea,</w:t>
      </w:r>
    </w:p>
    <w:p>
      <w:pPr>
        <w:pStyle w:val="ListParagraph"/>
        <w:numPr>
          <w:ilvl w:val="0"/>
          <w:numId w:val="37"/>
        </w:numPr>
        <w:tabs>
          <w:tab w:pos="1197" w:val="left" w:leader="none"/>
          <w:tab w:pos="1198" w:val="left" w:leader="none"/>
        </w:tabs>
        <w:spacing w:line="240" w:lineRule="auto" w:before="184" w:after="0"/>
        <w:ind w:left="1197" w:right="0" w:hanging="360"/>
        <w:jc w:val="left"/>
        <w:rPr>
          <w:sz w:val="38"/>
        </w:rPr>
      </w:pPr>
      <w:r>
        <w:rPr>
          <w:sz w:val="38"/>
        </w:rPr>
        <w:t>counteracts colds,</w:t>
      </w:r>
    </w:p>
    <w:p>
      <w:pPr>
        <w:pStyle w:val="ListParagraph"/>
        <w:numPr>
          <w:ilvl w:val="0"/>
          <w:numId w:val="37"/>
        </w:numPr>
        <w:tabs>
          <w:tab w:pos="1197" w:val="left" w:leader="none"/>
          <w:tab w:pos="1198" w:val="left" w:leader="none"/>
        </w:tabs>
        <w:spacing w:line="240" w:lineRule="auto" w:before="186" w:after="0"/>
        <w:ind w:left="1197" w:right="0" w:hanging="360"/>
        <w:jc w:val="left"/>
        <w:rPr>
          <w:sz w:val="38"/>
        </w:rPr>
      </w:pPr>
      <w:r>
        <w:rPr>
          <w:sz w:val="38"/>
        </w:rPr>
        <w:t>helps with athlete's foot and other types of</w:t>
      </w:r>
      <w:r>
        <w:rPr>
          <w:spacing w:val="-4"/>
          <w:sz w:val="38"/>
        </w:rPr>
        <w:t> </w:t>
      </w:r>
      <w:r>
        <w:rPr>
          <w:sz w:val="38"/>
        </w:rPr>
        <w:t>fungus,</w:t>
      </w:r>
    </w:p>
    <w:p>
      <w:pPr>
        <w:pStyle w:val="ListParagraph"/>
        <w:numPr>
          <w:ilvl w:val="0"/>
          <w:numId w:val="37"/>
        </w:numPr>
        <w:tabs>
          <w:tab w:pos="1197" w:val="left" w:leader="none"/>
          <w:tab w:pos="1198" w:val="left" w:leader="none"/>
        </w:tabs>
        <w:spacing w:line="240" w:lineRule="auto" w:before="183" w:after="0"/>
        <w:ind w:left="1197" w:right="0" w:hanging="360"/>
        <w:jc w:val="left"/>
        <w:rPr>
          <w:sz w:val="38"/>
        </w:rPr>
      </w:pPr>
      <w:r>
        <w:rPr>
          <w:sz w:val="38"/>
        </w:rPr>
        <w:t>helps against bad breath,</w:t>
      </w:r>
    </w:p>
    <w:p>
      <w:pPr>
        <w:pStyle w:val="ListParagraph"/>
        <w:numPr>
          <w:ilvl w:val="0"/>
          <w:numId w:val="37"/>
        </w:numPr>
        <w:tabs>
          <w:tab w:pos="1197" w:val="left" w:leader="none"/>
          <w:tab w:pos="1198" w:val="left" w:leader="none"/>
        </w:tabs>
        <w:spacing w:line="240" w:lineRule="auto" w:before="184" w:after="0"/>
        <w:ind w:left="1197" w:right="0" w:hanging="360"/>
        <w:jc w:val="left"/>
        <w:rPr>
          <w:sz w:val="38"/>
        </w:rPr>
      </w:pPr>
      <w:r>
        <w:rPr>
          <w:sz w:val="38"/>
        </w:rPr>
        <w:t>supports fat burning and helps weight</w:t>
      </w:r>
      <w:r>
        <w:rPr>
          <w:spacing w:val="-3"/>
          <w:sz w:val="38"/>
        </w:rPr>
        <w:t> </w:t>
      </w:r>
      <w:r>
        <w:rPr>
          <w:sz w:val="38"/>
        </w:rPr>
        <w:t>loss,</w:t>
      </w:r>
    </w:p>
    <w:p>
      <w:pPr>
        <w:pStyle w:val="ListParagraph"/>
        <w:numPr>
          <w:ilvl w:val="0"/>
          <w:numId w:val="37"/>
        </w:numPr>
        <w:tabs>
          <w:tab w:pos="1197" w:val="left" w:leader="none"/>
          <w:tab w:pos="1198" w:val="left" w:leader="none"/>
        </w:tabs>
        <w:spacing w:line="240" w:lineRule="auto" w:before="184" w:after="0"/>
        <w:ind w:left="1197" w:right="0" w:hanging="360"/>
        <w:jc w:val="left"/>
        <w:rPr>
          <w:sz w:val="38"/>
        </w:rPr>
      </w:pPr>
      <w:r>
        <w:rPr>
          <w:sz w:val="38"/>
        </w:rPr>
        <w:t>has a positive effect on multiple sclerosis,</w:t>
      </w:r>
    </w:p>
    <w:p>
      <w:pPr>
        <w:pStyle w:val="ListParagraph"/>
        <w:numPr>
          <w:ilvl w:val="0"/>
          <w:numId w:val="37"/>
        </w:numPr>
        <w:tabs>
          <w:tab w:pos="1197" w:val="left" w:leader="none"/>
          <w:tab w:pos="1198" w:val="left" w:leader="none"/>
        </w:tabs>
        <w:spacing w:line="240" w:lineRule="auto" w:before="186" w:after="0"/>
        <w:ind w:left="1197" w:right="0" w:hanging="360"/>
        <w:jc w:val="left"/>
        <w:rPr>
          <w:sz w:val="38"/>
        </w:rPr>
      </w:pPr>
      <w:r>
        <w:rPr>
          <w:sz w:val="38"/>
        </w:rPr>
        <w:t>protects against</w:t>
      </w:r>
      <w:r>
        <w:rPr>
          <w:spacing w:val="-2"/>
          <w:sz w:val="38"/>
        </w:rPr>
        <w:t> </w:t>
      </w:r>
      <w:r>
        <w:rPr>
          <w:sz w:val="38"/>
        </w:rPr>
        <w:t>viruses,</w:t>
      </w:r>
    </w:p>
    <w:p>
      <w:pPr>
        <w:pStyle w:val="ListParagraph"/>
        <w:numPr>
          <w:ilvl w:val="0"/>
          <w:numId w:val="37"/>
        </w:numPr>
        <w:tabs>
          <w:tab w:pos="1197" w:val="left" w:leader="none"/>
          <w:tab w:pos="1198" w:val="left" w:leader="none"/>
        </w:tabs>
        <w:spacing w:line="240" w:lineRule="auto" w:before="184" w:after="0"/>
        <w:ind w:left="1197" w:right="0" w:hanging="360"/>
        <w:jc w:val="left"/>
        <w:rPr>
          <w:sz w:val="38"/>
        </w:rPr>
      </w:pPr>
      <w:r>
        <w:rPr>
          <w:sz w:val="38"/>
        </w:rPr>
        <w:t>has a positive effect on HIV/AIDS,</w:t>
      </w:r>
    </w:p>
    <w:p>
      <w:pPr>
        <w:spacing w:after="0" w:line="240" w:lineRule="auto"/>
        <w:jc w:val="left"/>
        <w:rPr>
          <w:sz w:val="38"/>
        </w:rPr>
        <w:sectPr>
          <w:pgSz w:w="14270" w:h="16850"/>
          <w:pgMar w:header="0" w:footer="1891" w:top="1600" w:bottom="2080" w:left="800" w:right="1280"/>
        </w:sectPr>
      </w:pPr>
    </w:p>
    <w:p>
      <w:pPr>
        <w:pStyle w:val="BodyText"/>
        <w:spacing w:before="10"/>
        <w:rPr>
          <w:sz w:val="8"/>
        </w:rPr>
      </w:pPr>
    </w:p>
    <w:p>
      <w:pPr>
        <w:pStyle w:val="ListParagraph"/>
        <w:numPr>
          <w:ilvl w:val="0"/>
          <w:numId w:val="37"/>
        </w:numPr>
        <w:tabs>
          <w:tab w:pos="1197" w:val="left" w:leader="none"/>
          <w:tab w:pos="1198" w:val="left" w:leader="none"/>
        </w:tabs>
        <w:spacing w:line="240" w:lineRule="auto" w:before="83" w:after="0"/>
        <w:ind w:left="1197" w:right="0" w:hanging="360"/>
        <w:jc w:val="left"/>
        <w:rPr>
          <w:sz w:val="38"/>
        </w:rPr>
      </w:pPr>
      <w:r>
        <w:rPr>
          <w:sz w:val="38"/>
        </w:rPr>
        <w:t>helps with</w:t>
      </w:r>
      <w:r>
        <w:rPr>
          <w:spacing w:val="-14"/>
          <w:sz w:val="38"/>
        </w:rPr>
        <w:t> </w:t>
      </w:r>
      <w:r>
        <w:rPr>
          <w:sz w:val="38"/>
        </w:rPr>
        <w:t>Alzheimer's,</w:t>
      </w:r>
    </w:p>
    <w:p>
      <w:pPr>
        <w:pStyle w:val="ListParagraph"/>
        <w:numPr>
          <w:ilvl w:val="0"/>
          <w:numId w:val="37"/>
        </w:numPr>
        <w:tabs>
          <w:tab w:pos="1197" w:val="left" w:leader="none"/>
          <w:tab w:pos="1198" w:val="left" w:leader="none"/>
        </w:tabs>
        <w:spacing w:line="240" w:lineRule="auto" w:before="184" w:after="0"/>
        <w:ind w:left="1197" w:right="0" w:hanging="360"/>
        <w:jc w:val="left"/>
        <w:rPr>
          <w:sz w:val="38"/>
        </w:rPr>
      </w:pPr>
      <w:r>
        <w:rPr>
          <w:sz w:val="38"/>
        </w:rPr>
        <w:t>helps with</w:t>
      </w:r>
      <w:r>
        <w:rPr>
          <w:spacing w:val="-7"/>
          <w:sz w:val="38"/>
        </w:rPr>
        <w:t> </w:t>
      </w:r>
      <w:r>
        <w:rPr>
          <w:sz w:val="38"/>
        </w:rPr>
        <w:t>Parkinson’s,</w:t>
      </w:r>
    </w:p>
    <w:p>
      <w:pPr>
        <w:pStyle w:val="ListParagraph"/>
        <w:numPr>
          <w:ilvl w:val="0"/>
          <w:numId w:val="37"/>
        </w:numPr>
        <w:tabs>
          <w:tab w:pos="1197" w:val="left" w:leader="none"/>
          <w:tab w:pos="1198" w:val="left" w:leader="none"/>
        </w:tabs>
        <w:spacing w:line="240" w:lineRule="auto" w:before="186" w:after="0"/>
        <w:ind w:left="1197" w:right="0" w:hanging="360"/>
        <w:jc w:val="left"/>
        <w:rPr>
          <w:sz w:val="38"/>
        </w:rPr>
      </w:pPr>
      <w:r>
        <w:rPr>
          <w:sz w:val="38"/>
        </w:rPr>
        <w:t>supports urine</w:t>
      </w:r>
      <w:r>
        <w:rPr>
          <w:spacing w:val="1"/>
          <w:sz w:val="38"/>
        </w:rPr>
        <w:t> </w:t>
      </w:r>
      <w:r>
        <w:rPr>
          <w:sz w:val="38"/>
        </w:rPr>
        <w:t>flow,</w:t>
      </w:r>
    </w:p>
    <w:p>
      <w:pPr>
        <w:pStyle w:val="ListParagraph"/>
        <w:numPr>
          <w:ilvl w:val="0"/>
          <w:numId w:val="37"/>
        </w:numPr>
        <w:tabs>
          <w:tab w:pos="1197" w:val="left" w:leader="none"/>
          <w:tab w:pos="1198" w:val="left" w:leader="none"/>
        </w:tabs>
        <w:spacing w:line="240" w:lineRule="auto" w:before="183" w:after="0"/>
        <w:ind w:left="1197" w:right="0" w:hanging="360"/>
        <w:jc w:val="left"/>
        <w:rPr>
          <w:sz w:val="38"/>
        </w:rPr>
      </w:pPr>
      <w:r>
        <w:rPr>
          <w:sz w:val="38"/>
        </w:rPr>
        <w:t>helps with</w:t>
      </w:r>
      <w:r>
        <w:rPr>
          <w:spacing w:val="1"/>
          <w:sz w:val="38"/>
        </w:rPr>
        <w:t> </w:t>
      </w:r>
      <w:r>
        <w:rPr>
          <w:sz w:val="38"/>
        </w:rPr>
        <w:t>sunburn,</w:t>
      </w:r>
    </w:p>
    <w:p>
      <w:pPr>
        <w:pStyle w:val="ListParagraph"/>
        <w:numPr>
          <w:ilvl w:val="0"/>
          <w:numId w:val="37"/>
        </w:numPr>
        <w:tabs>
          <w:tab w:pos="1197" w:val="left" w:leader="none"/>
          <w:tab w:pos="1198" w:val="left" w:leader="none"/>
        </w:tabs>
        <w:spacing w:line="240" w:lineRule="auto" w:before="184" w:after="0"/>
        <w:ind w:left="1197" w:right="0" w:hanging="360"/>
        <w:jc w:val="left"/>
        <w:rPr>
          <w:sz w:val="38"/>
        </w:rPr>
      </w:pPr>
      <w:r>
        <w:rPr>
          <w:sz w:val="38"/>
        </w:rPr>
        <w:t>helps with urinary</w:t>
      </w:r>
      <w:r>
        <w:rPr>
          <w:spacing w:val="2"/>
          <w:sz w:val="38"/>
        </w:rPr>
        <w:t> </w:t>
      </w:r>
      <w:r>
        <w:rPr>
          <w:sz w:val="38"/>
        </w:rPr>
        <w:t>stones,</w:t>
      </w:r>
    </w:p>
    <w:p>
      <w:pPr>
        <w:pStyle w:val="ListParagraph"/>
        <w:numPr>
          <w:ilvl w:val="0"/>
          <w:numId w:val="37"/>
        </w:numPr>
        <w:tabs>
          <w:tab w:pos="1197" w:val="left" w:leader="none"/>
          <w:tab w:pos="1198" w:val="left" w:leader="none"/>
        </w:tabs>
        <w:spacing w:line="240" w:lineRule="auto" w:before="184" w:after="0"/>
        <w:ind w:left="1197" w:right="0" w:hanging="360"/>
        <w:jc w:val="left"/>
        <w:rPr>
          <w:sz w:val="38"/>
        </w:rPr>
      </w:pPr>
      <w:r>
        <w:rPr>
          <w:sz w:val="38"/>
        </w:rPr>
        <w:t>helps against caries,</w:t>
      </w:r>
    </w:p>
    <w:p>
      <w:pPr>
        <w:pStyle w:val="ListParagraph"/>
        <w:numPr>
          <w:ilvl w:val="0"/>
          <w:numId w:val="37"/>
        </w:numPr>
        <w:tabs>
          <w:tab w:pos="1197" w:val="left" w:leader="none"/>
          <w:tab w:pos="1198" w:val="left" w:leader="none"/>
        </w:tabs>
        <w:spacing w:line="240" w:lineRule="auto" w:before="184" w:after="0"/>
        <w:ind w:left="1197" w:right="0" w:hanging="360"/>
        <w:jc w:val="left"/>
        <w:rPr>
          <w:sz w:val="38"/>
        </w:rPr>
      </w:pPr>
      <w:r>
        <w:rPr>
          <w:sz w:val="38"/>
        </w:rPr>
        <w:t>works against hyperacidity,</w:t>
      </w:r>
    </w:p>
    <w:p>
      <w:pPr>
        <w:pStyle w:val="ListParagraph"/>
        <w:numPr>
          <w:ilvl w:val="0"/>
          <w:numId w:val="37"/>
        </w:numPr>
        <w:tabs>
          <w:tab w:pos="1197" w:val="left" w:leader="none"/>
          <w:tab w:pos="1198" w:val="left" w:leader="none"/>
        </w:tabs>
        <w:spacing w:line="240" w:lineRule="auto" w:before="186" w:after="0"/>
        <w:ind w:left="1197" w:right="0" w:hanging="360"/>
        <w:jc w:val="left"/>
        <w:rPr>
          <w:sz w:val="38"/>
        </w:rPr>
      </w:pPr>
      <w:r>
        <w:rPr>
          <w:sz w:val="38"/>
        </w:rPr>
        <w:t>helps with</w:t>
      </w:r>
      <w:r>
        <w:rPr>
          <w:spacing w:val="1"/>
          <w:sz w:val="38"/>
        </w:rPr>
        <w:t> </w:t>
      </w:r>
      <w:r>
        <w:rPr>
          <w:sz w:val="38"/>
        </w:rPr>
        <w:t>gastritis,</w:t>
      </w:r>
    </w:p>
    <w:p>
      <w:pPr>
        <w:pStyle w:val="ListParagraph"/>
        <w:numPr>
          <w:ilvl w:val="0"/>
          <w:numId w:val="37"/>
        </w:numPr>
        <w:tabs>
          <w:tab w:pos="1197" w:val="left" w:leader="none"/>
          <w:tab w:pos="1198" w:val="left" w:leader="none"/>
        </w:tabs>
        <w:spacing w:line="240" w:lineRule="auto" w:before="183" w:after="0"/>
        <w:ind w:left="1197" w:right="0" w:hanging="360"/>
        <w:jc w:val="left"/>
        <w:rPr>
          <w:sz w:val="38"/>
        </w:rPr>
      </w:pPr>
      <w:r>
        <w:rPr>
          <w:sz w:val="38"/>
        </w:rPr>
        <w:t>protects against heart</w:t>
      </w:r>
      <w:r>
        <w:rPr>
          <w:spacing w:val="-1"/>
          <w:sz w:val="38"/>
        </w:rPr>
        <w:t> </w:t>
      </w:r>
      <w:r>
        <w:rPr>
          <w:sz w:val="38"/>
        </w:rPr>
        <w:t>disease,</w:t>
      </w:r>
    </w:p>
    <w:p>
      <w:pPr>
        <w:pStyle w:val="ListParagraph"/>
        <w:numPr>
          <w:ilvl w:val="0"/>
          <w:numId w:val="37"/>
        </w:numPr>
        <w:tabs>
          <w:tab w:pos="1197" w:val="left" w:leader="none"/>
          <w:tab w:pos="1198" w:val="left" w:leader="none"/>
        </w:tabs>
        <w:spacing w:line="273" w:lineRule="auto" w:before="184" w:after="0"/>
        <w:ind w:left="1197" w:right="134" w:hanging="360"/>
        <w:jc w:val="left"/>
        <w:rPr>
          <w:sz w:val="38"/>
        </w:rPr>
      </w:pPr>
      <w:r>
        <w:rPr>
          <w:sz w:val="38"/>
        </w:rPr>
        <w:t>protects against cancer (especially breast cancer, stomach cancer, colon cancer)</w:t>
      </w:r>
      <w:r>
        <w:rPr>
          <w:spacing w:val="-1"/>
          <w:sz w:val="38"/>
        </w:rPr>
        <w:t> </w:t>
      </w:r>
      <w:r>
        <w:rPr>
          <w:sz w:val="38"/>
        </w:rPr>
        <w:t>and</w:t>
      </w:r>
    </w:p>
    <w:p>
      <w:pPr>
        <w:pStyle w:val="ListParagraph"/>
        <w:numPr>
          <w:ilvl w:val="0"/>
          <w:numId w:val="37"/>
        </w:numPr>
        <w:tabs>
          <w:tab w:pos="1197" w:val="left" w:leader="none"/>
          <w:tab w:pos="1198" w:val="left" w:leader="none"/>
        </w:tabs>
        <w:spacing w:line="240" w:lineRule="auto" w:before="127" w:after="0"/>
        <w:ind w:left="1197" w:right="0" w:hanging="360"/>
        <w:jc w:val="left"/>
        <w:rPr>
          <w:sz w:val="38"/>
        </w:rPr>
      </w:pPr>
      <w:r>
        <w:rPr>
          <w:sz w:val="38"/>
        </w:rPr>
        <w:t>prolongs</w:t>
      </w:r>
      <w:r>
        <w:rPr>
          <w:spacing w:val="-2"/>
          <w:sz w:val="38"/>
        </w:rPr>
        <w:t> </w:t>
      </w:r>
      <w:r>
        <w:rPr>
          <w:sz w:val="38"/>
        </w:rPr>
        <w:t>life.</w:t>
      </w:r>
    </w:p>
    <w:p>
      <w:pPr>
        <w:spacing w:after="0" w:line="240" w:lineRule="auto"/>
        <w:jc w:val="left"/>
        <w:rPr>
          <w:sz w:val="38"/>
        </w:rPr>
        <w:sectPr>
          <w:pgSz w:w="14270" w:h="16850"/>
          <w:pgMar w:header="0" w:footer="1891" w:top="1600" w:bottom="2080" w:left="800" w:right="1280"/>
        </w:sectPr>
      </w:pPr>
    </w:p>
    <w:p>
      <w:pPr>
        <w:pStyle w:val="Heading2"/>
        <w:spacing w:before="181"/>
        <w:jc w:val="both"/>
      </w:pPr>
      <w:r>
        <w:rPr/>
        <w:t>Now to the individual studies:</w:t>
      </w:r>
    </w:p>
    <w:p>
      <w:pPr>
        <w:pStyle w:val="BodyText"/>
        <w:spacing w:line="276" w:lineRule="auto" w:before="305"/>
        <w:ind w:left="477" w:right="133"/>
        <w:jc w:val="both"/>
      </w:pPr>
      <w:r>
        <w:rPr/>
        <w:t>Half</w:t>
      </w:r>
      <w:r>
        <w:rPr>
          <w:spacing w:val="-21"/>
        </w:rPr>
        <w:t> </w:t>
      </w:r>
      <w:r>
        <w:rPr/>
        <w:t>of</w:t>
      </w:r>
      <w:r>
        <w:rPr>
          <w:spacing w:val="-18"/>
        </w:rPr>
        <w:t> </w:t>
      </w:r>
      <w:r>
        <w:rPr/>
        <w:t>all</w:t>
      </w:r>
      <w:r>
        <w:rPr>
          <w:spacing w:val="-19"/>
        </w:rPr>
        <w:t> </w:t>
      </w:r>
      <w:r>
        <w:rPr/>
        <w:t>deaths</w:t>
      </w:r>
      <w:r>
        <w:rPr>
          <w:spacing w:val="-18"/>
        </w:rPr>
        <w:t> </w:t>
      </w:r>
      <w:r>
        <w:rPr/>
        <w:t>in</w:t>
      </w:r>
      <w:r>
        <w:rPr>
          <w:spacing w:val="-18"/>
        </w:rPr>
        <w:t> </w:t>
      </w:r>
      <w:r>
        <w:rPr/>
        <w:t>the</w:t>
      </w:r>
      <w:r>
        <w:rPr>
          <w:spacing w:val="-17"/>
        </w:rPr>
        <w:t> </w:t>
      </w:r>
      <w:r>
        <w:rPr/>
        <w:t>industrialised</w:t>
      </w:r>
      <w:r>
        <w:rPr>
          <w:spacing w:val="-18"/>
        </w:rPr>
        <w:t> </w:t>
      </w:r>
      <w:r>
        <w:rPr/>
        <w:t>nations</w:t>
      </w:r>
      <w:r>
        <w:rPr>
          <w:spacing w:val="-16"/>
        </w:rPr>
        <w:t> </w:t>
      </w:r>
      <w:r>
        <w:rPr/>
        <w:t>are</w:t>
      </w:r>
      <w:r>
        <w:rPr>
          <w:spacing w:val="-19"/>
        </w:rPr>
        <w:t> </w:t>
      </w:r>
      <w:r>
        <w:rPr/>
        <w:t>due</w:t>
      </w:r>
      <w:r>
        <w:rPr>
          <w:spacing w:val="-19"/>
        </w:rPr>
        <w:t> </w:t>
      </w:r>
      <w:r>
        <w:rPr/>
        <w:t>to</w:t>
      </w:r>
      <w:r>
        <w:rPr>
          <w:spacing w:val="-17"/>
        </w:rPr>
        <w:t> </w:t>
      </w:r>
      <w:r>
        <w:rPr/>
        <w:t>cardiovascular</w:t>
      </w:r>
      <w:r>
        <w:rPr>
          <w:spacing w:val="-20"/>
        </w:rPr>
        <w:t> </w:t>
      </w:r>
      <w:r>
        <w:rPr/>
        <w:t>diseases, and the trend is increasing.</w:t>
      </w:r>
      <w:r>
        <w:rPr>
          <w:position w:val="9"/>
          <w:sz w:val="25"/>
        </w:rPr>
        <w:t>372 </w:t>
      </w:r>
      <w:r>
        <w:rPr/>
        <w:t>The effects proven in studies on the</w:t>
      </w:r>
      <w:r>
        <w:rPr>
          <w:spacing w:val="-59"/>
        </w:rPr>
        <w:t> </w:t>
      </w:r>
      <w:r>
        <w:rPr/>
        <w:t>cardiovascu- lar system, which are not just therapeutic, but also preventative, can be hoped for.</w:t>
      </w:r>
    </w:p>
    <w:p>
      <w:pPr>
        <w:pStyle w:val="BodyText"/>
        <w:spacing w:line="276" w:lineRule="auto" w:before="239"/>
        <w:ind w:left="477" w:right="135"/>
        <w:jc w:val="both"/>
        <w:rPr>
          <w:sz w:val="25"/>
        </w:rPr>
      </w:pPr>
      <w:r>
        <w:rPr/>
        <w:t>The</w:t>
      </w:r>
      <w:r>
        <w:rPr>
          <w:spacing w:val="-10"/>
        </w:rPr>
        <w:t> </w:t>
      </w:r>
      <w:r>
        <w:rPr/>
        <w:t>effect</w:t>
      </w:r>
      <w:r>
        <w:rPr>
          <w:spacing w:val="-9"/>
        </w:rPr>
        <w:t> </w:t>
      </w:r>
      <w:r>
        <w:rPr/>
        <w:t>on</w:t>
      </w:r>
      <w:r>
        <w:rPr>
          <w:spacing w:val="-8"/>
        </w:rPr>
        <w:t> </w:t>
      </w:r>
      <w:r>
        <w:rPr/>
        <w:t>mortality</w:t>
      </w:r>
      <w:r>
        <w:rPr>
          <w:spacing w:val="-9"/>
        </w:rPr>
        <w:t> </w:t>
      </w:r>
      <w:r>
        <w:rPr/>
        <w:t>due</w:t>
      </w:r>
      <w:r>
        <w:rPr>
          <w:spacing w:val="-11"/>
        </w:rPr>
        <w:t> </w:t>
      </w:r>
      <w:r>
        <w:rPr/>
        <w:t>to</w:t>
      </w:r>
      <w:r>
        <w:rPr>
          <w:spacing w:val="-9"/>
        </w:rPr>
        <w:t> </w:t>
      </w:r>
      <w:r>
        <w:rPr/>
        <w:t>cardiovascular</w:t>
      </w:r>
      <w:r>
        <w:rPr>
          <w:spacing w:val="-9"/>
        </w:rPr>
        <w:t> </w:t>
      </w:r>
      <w:r>
        <w:rPr/>
        <w:t>failure</w:t>
      </w:r>
      <w:r>
        <w:rPr>
          <w:spacing w:val="-9"/>
        </w:rPr>
        <w:t> </w:t>
      </w:r>
      <w:r>
        <w:rPr/>
        <w:t>has</w:t>
      </w:r>
      <w:r>
        <w:rPr>
          <w:spacing w:val="-10"/>
        </w:rPr>
        <w:t> </w:t>
      </w:r>
      <w:r>
        <w:rPr/>
        <w:t>been</w:t>
      </w:r>
      <w:r>
        <w:rPr>
          <w:spacing w:val="-9"/>
        </w:rPr>
        <w:t> </w:t>
      </w:r>
      <w:r>
        <w:rPr/>
        <w:t>very</w:t>
      </w:r>
      <w:r>
        <w:rPr>
          <w:spacing w:val="-9"/>
        </w:rPr>
        <w:t> </w:t>
      </w:r>
      <w:r>
        <w:rPr/>
        <w:t>impressively demonstrated in several studies.</w:t>
      </w:r>
      <w:r>
        <w:rPr>
          <w:position w:val="9"/>
          <w:sz w:val="25"/>
        </w:rPr>
        <w:t>373 </w:t>
      </w:r>
      <w:r>
        <w:rPr/>
        <w:t>A meta-analysis of 17 studies showed that consuming three cups of tea a day allows for a reduction in cardiovascular risk of about 11</w:t>
      </w:r>
      <w:r>
        <w:rPr>
          <w:spacing w:val="1"/>
        </w:rPr>
        <w:t> </w:t>
      </w:r>
      <w:r>
        <w:rPr/>
        <w:t>%.</w:t>
      </w:r>
      <w:r>
        <w:rPr>
          <w:position w:val="9"/>
          <w:sz w:val="25"/>
        </w:rPr>
        <w:t>374</w:t>
      </w:r>
    </w:p>
    <w:p>
      <w:pPr>
        <w:pStyle w:val="BodyText"/>
        <w:spacing w:line="276" w:lineRule="auto" w:before="242"/>
        <w:ind w:left="477" w:right="131"/>
        <w:jc w:val="both"/>
        <w:rPr>
          <w:sz w:val="25"/>
        </w:rPr>
      </w:pPr>
      <w:r>
        <w:rPr/>
        <w:t>In</w:t>
      </w:r>
      <w:r>
        <w:rPr>
          <w:spacing w:val="-11"/>
        </w:rPr>
        <w:t> </w:t>
      </w:r>
      <w:r>
        <w:rPr/>
        <w:t>a</w:t>
      </w:r>
      <w:r>
        <w:rPr>
          <w:spacing w:val="-13"/>
        </w:rPr>
        <w:t> </w:t>
      </w:r>
      <w:r>
        <w:rPr/>
        <w:t>study</w:t>
      </w:r>
      <w:r>
        <w:rPr>
          <w:spacing w:val="-12"/>
        </w:rPr>
        <w:t> </w:t>
      </w:r>
      <w:r>
        <w:rPr/>
        <w:t>on</w:t>
      </w:r>
      <w:r>
        <w:rPr>
          <w:spacing w:val="-11"/>
        </w:rPr>
        <w:t> </w:t>
      </w:r>
      <w:r>
        <w:rPr/>
        <w:t>1,900</w:t>
      </w:r>
      <w:r>
        <w:rPr>
          <w:spacing w:val="-12"/>
        </w:rPr>
        <w:t> </w:t>
      </w:r>
      <w:r>
        <w:rPr/>
        <w:t>patients</w:t>
      </w:r>
      <w:r>
        <w:rPr>
          <w:spacing w:val="-11"/>
        </w:rPr>
        <w:t> </w:t>
      </w:r>
      <w:r>
        <w:rPr/>
        <w:t>who</w:t>
      </w:r>
      <w:r>
        <w:rPr>
          <w:spacing w:val="-8"/>
        </w:rPr>
        <w:t> </w:t>
      </w:r>
      <w:r>
        <w:rPr/>
        <w:t>had</w:t>
      </w:r>
      <w:r>
        <w:rPr>
          <w:spacing w:val="-11"/>
        </w:rPr>
        <w:t> </w:t>
      </w:r>
      <w:r>
        <w:rPr/>
        <w:t>an</w:t>
      </w:r>
      <w:r>
        <w:rPr>
          <w:spacing w:val="-10"/>
        </w:rPr>
        <w:t> </w:t>
      </w:r>
      <w:r>
        <w:rPr/>
        <w:t>acute</w:t>
      </w:r>
      <w:r>
        <w:rPr>
          <w:spacing w:val="-11"/>
        </w:rPr>
        <w:t> </w:t>
      </w:r>
      <w:r>
        <w:rPr/>
        <w:t>myocardial</w:t>
      </w:r>
      <w:r>
        <w:rPr>
          <w:spacing w:val="-9"/>
        </w:rPr>
        <w:t> </w:t>
      </w:r>
      <w:r>
        <w:rPr/>
        <w:t>infarction,</w:t>
      </w:r>
      <w:r>
        <w:rPr>
          <w:spacing w:val="-11"/>
        </w:rPr>
        <w:t> </w:t>
      </w:r>
      <w:r>
        <w:rPr/>
        <w:t>those</w:t>
      </w:r>
      <w:r>
        <w:rPr>
          <w:spacing w:val="-11"/>
        </w:rPr>
        <w:t> </w:t>
      </w:r>
      <w:r>
        <w:rPr/>
        <w:t>who drank up to 14 cups of tea a week the year before the infarction had a 20 % lower mortality rate; with more than 14 cups a week, the death rate even fell</w:t>
      </w:r>
      <w:r>
        <w:rPr>
          <w:spacing w:val="-57"/>
        </w:rPr>
        <w:t> </w:t>
      </w:r>
      <w:r>
        <w:rPr/>
        <w:t>by half.</w:t>
      </w:r>
      <w:r>
        <w:rPr>
          <w:position w:val="9"/>
          <w:sz w:val="25"/>
        </w:rPr>
        <w:t>375</w:t>
      </w:r>
    </w:p>
    <w:p>
      <w:pPr>
        <w:pStyle w:val="BodyText"/>
        <w:spacing w:line="276" w:lineRule="auto" w:before="240"/>
        <w:ind w:left="477" w:right="132"/>
        <w:jc w:val="both"/>
        <w:rPr>
          <w:sz w:val="25"/>
        </w:rPr>
      </w:pPr>
      <w:r>
        <w:rPr/>
        <w:t>Yang and Koo showed that green tea-containing catechins prevent harmful LDL oxidation in endothelial cells.</w:t>
      </w:r>
      <w:r>
        <w:rPr>
          <w:position w:val="9"/>
          <w:sz w:val="25"/>
        </w:rPr>
        <w:t>376 </w:t>
      </w:r>
      <w:r>
        <w:rPr/>
        <w:t>In another study, Japanese researchers demonstrated that EGCG contained in green tea completely suppresses colla- gen-induced platelet aggregation (blood clumping).</w:t>
      </w:r>
      <w:r>
        <w:rPr>
          <w:position w:val="9"/>
          <w:sz w:val="25"/>
        </w:rPr>
        <w:t>377</w:t>
      </w:r>
    </w:p>
    <w:p>
      <w:pPr>
        <w:pStyle w:val="Heading1"/>
        <w:jc w:val="both"/>
      </w:pPr>
      <w:r>
        <w:rPr/>
        <w:t>The Ohsaki study</w:t>
      </w:r>
    </w:p>
    <w:p>
      <w:pPr>
        <w:pStyle w:val="BodyText"/>
        <w:rPr>
          <w:b/>
          <w:i/>
          <w:sz w:val="20"/>
        </w:rPr>
      </w:pPr>
    </w:p>
    <w:p>
      <w:pPr>
        <w:pStyle w:val="BodyText"/>
        <w:rPr>
          <w:b/>
          <w:i/>
          <w:sz w:val="20"/>
        </w:rPr>
      </w:pPr>
    </w:p>
    <w:p>
      <w:pPr>
        <w:pStyle w:val="BodyText"/>
        <w:spacing w:before="5"/>
        <w:rPr>
          <w:b/>
          <w:i/>
          <w:sz w:val="12"/>
        </w:rPr>
      </w:pPr>
      <w:r>
        <w:rPr/>
        <w:pict>
          <v:line style="position:absolute;mso-position-horizontal-relative:page;mso-position-vertical-relative:paragraph;z-index:4472;mso-wrap-distance-left:0;mso-wrap-distance-right:0" from="63.863998pt,9.354985pt" to="207.883998pt,9.354985pt" stroked="true" strokeweight=".72003pt" strokecolor="#000000">
            <v:stroke dashstyle="solid"/>
            <w10:wrap type="topAndBottom"/>
          </v:line>
        </w:pict>
      </w:r>
    </w:p>
    <w:p>
      <w:pPr>
        <w:pStyle w:val="BodyText"/>
        <w:spacing w:before="7"/>
        <w:rPr>
          <w:b/>
          <w:i/>
          <w:sz w:val="18"/>
        </w:rPr>
      </w:pPr>
    </w:p>
    <w:p>
      <w:pPr>
        <w:spacing w:before="99"/>
        <w:ind w:left="477" w:right="0" w:firstLine="0"/>
        <w:jc w:val="left"/>
        <w:rPr>
          <w:sz w:val="20"/>
        </w:rPr>
      </w:pPr>
      <w:r>
        <w:rPr>
          <w:position w:val="5"/>
          <w:sz w:val="13"/>
        </w:rPr>
        <w:t>372 </w:t>
      </w:r>
      <w:hyperlink r:id="rId150">
        <w:r>
          <w:rPr>
            <w:sz w:val="20"/>
          </w:rPr>
          <w:t>http://www.aerzteblatt.de/v4/news/news.asp?id=29897&amp;src=&amp;swid=</w:t>
        </w:r>
      </w:hyperlink>
    </w:p>
    <w:p>
      <w:pPr>
        <w:spacing w:before="92"/>
        <w:ind w:left="477" w:right="0" w:firstLine="0"/>
        <w:jc w:val="left"/>
        <w:rPr>
          <w:sz w:val="20"/>
        </w:rPr>
      </w:pPr>
      <w:r>
        <w:rPr>
          <w:position w:val="5"/>
          <w:sz w:val="13"/>
        </w:rPr>
        <w:t>373 </w:t>
      </w:r>
      <w:r>
        <w:rPr>
          <w:sz w:val="20"/>
        </w:rPr>
        <w:t>Hertog et al., 1997, Nakachi et al., 2000, Arts et al., 2001 or Kuriyama et al., 2006.</w:t>
      </w:r>
    </w:p>
    <w:p>
      <w:pPr>
        <w:spacing w:before="94"/>
        <w:ind w:left="477" w:right="0" w:firstLine="0"/>
        <w:jc w:val="left"/>
        <w:rPr>
          <w:sz w:val="20"/>
        </w:rPr>
      </w:pPr>
      <w:r>
        <w:rPr>
          <w:position w:val="5"/>
          <w:sz w:val="13"/>
        </w:rPr>
        <w:t>374 </w:t>
      </w:r>
      <w:r>
        <w:rPr>
          <w:sz w:val="20"/>
        </w:rPr>
        <w:t>Peters et al., 2001</w:t>
      </w:r>
    </w:p>
    <w:p>
      <w:pPr>
        <w:spacing w:before="94"/>
        <w:ind w:left="477" w:right="0" w:firstLine="0"/>
        <w:jc w:val="left"/>
        <w:rPr>
          <w:sz w:val="20"/>
        </w:rPr>
      </w:pPr>
      <w:r>
        <w:rPr>
          <w:position w:val="5"/>
          <w:sz w:val="13"/>
        </w:rPr>
        <w:t>375  </w:t>
      </w:r>
      <w:r>
        <w:rPr>
          <w:sz w:val="20"/>
        </w:rPr>
        <w:t>Mukamal et al.,</w:t>
      </w:r>
      <w:r>
        <w:rPr>
          <w:spacing w:val="-28"/>
          <w:sz w:val="20"/>
        </w:rPr>
        <w:t> </w:t>
      </w:r>
      <w:r>
        <w:rPr>
          <w:sz w:val="20"/>
        </w:rPr>
        <w:t>2002.</w:t>
      </w:r>
    </w:p>
    <w:p>
      <w:pPr>
        <w:spacing w:before="95"/>
        <w:ind w:left="477" w:right="0" w:firstLine="0"/>
        <w:jc w:val="left"/>
        <w:rPr>
          <w:sz w:val="20"/>
        </w:rPr>
      </w:pPr>
      <w:r>
        <w:rPr/>
        <w:drawing>
          <wp:anchor distT="0" distB="0" distL="0" distR="0" allowOverlap="1" layoutInCell="1" locked="0" behindDoc="1" simplePos="0" relativeHeight="267172271">
            <wp:simplePos x="0" y="0"/>
            <wp:positionH relativeFrom="page">
              <wp:posOffset>896463</wp:posOffset>
            </wp:positionH>
            <wp:positionV relativeFrom="paragraph">
              <wp:posOffset>142597</wp:posOffset>
            </wp:positionV>
            <wp:extent cx="6379583" cy="902106"/>
            <wp:effectExtent l="0" t="0" r="0" b="0"/>
            <wp:wrapNone/>
            <wp:docPr id="231" name="image2.jpeg" descr=""/>
            <wp:cNvGraphicFramePr>
              <a:graphicFrameLocks noChangeAspect="1"/>
            </wp:cNvGraphicFramePr>
            <a:graphic>
              <a:graphicData uri="http://schemas.openxmlformats.org/drawingml/2006/picture">
                <pic:pic>
                  <pic:nvPicPr>
                    <pic:cNvPr id="232"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376  </w:t>
      </w:r>
      <w:r>
        <w:rPr>
          <w:sz w:val="20"/>
        </w:rPr>
        <w:t>Yang and Koo,</w:t>
      </w:r>
      <w:r>
        <w:rPr>
          <w:spacing w:val="-29"/>
          <w:sz w:val="20"/>
        </w:rPr>
        <w:t> </w:t>
      </w:r>
      <w:r>
        <w:rPr>
          <w:sz w:val="20"/>
        </w:rPr>
        <w:t>2000</w:t>
      </w:r>
    </w:p>
    <w:p>
      <w:pPr>
        <w:spacing w:before="94"/>
        <w:ind w:left="477" w:right="0" w:firstLine="0"/>
        <w:jc w:val="left"/>
        <w:rPr>
          <w:sz w:val="20"/>
        </w:rPr>
      </w:pPr>
      <w:r>
        <w:rPr>
          <w:position w:val="5"/>
          <w:sz w:val="13"/>
        </w:rPr>
        <w:t>377 </w:t>
      </w:r>
      <w:r>
        <w:rPr>
          <w:sz w:val="20"/>
        </w:rPr>
        <w:t>Sagesaka-Mitane et al., 1990</w:t>
      </w:r>
    </w:p>
    <w:p>
      <w:pPr>
        <w:spacing w:after="0"/>
        <w:jc w:val="left"/>
        <w:rPr>
          <w:sz w:val="20"/>
        </w:rPr>
        <w:sectPr>
          <w:footerReference w:type="default" r:id="rId149"/>
          <w:pgSz w:w="14270" w:h="16850"/>
          <w:pgMar w:footer="527" w:header="0" w:top="1600" w:bottom="720" w:left="800" w:right="1280"/>
        </w:sectPr>
      </w:pPr>
    </w:p>
    <w:p>
      <w:pPr>
        <w:pStyle w:val="BodyText"/>
        <w:spacing w:line="276" w:lineRule="auto" w:before="181"/>
        <w:ind w:left="477" w:right="136"/>
        <w:jc w:val="both"/>
        <w:rPr>
          <w:sz w:val="25"/>
        </w:rPr>
      </w:pPr>
      <w:r>
        <w:rPr/>
        <w:t>An eleven-year study in Japan involving 40,530 people between the ages of 40 and 79 has shown amazing positive features in the cardiovascular system. The subjects drank at least five cups of green tea daily. Male subjects were able to reduce</w:t>
      </w:r>
      <w:r>
        <w:rPr>
          <w:spacing w:val="-22"/>
        </w:rPr>
        <w:t> </w:t>
      </w:r>
      <w:r>
        <w:rPr/>
        <w:t>their</w:t>
      </w:r>
      <w:r>
        <w:rPr>
          <w:spacing w:val="-19"/>
        </w:rPr>
        <w:t> </w:t>
      </w:r>
      <w:r>
        <w:rPr/>
        <w:t>death</w:t>
      </w:r>
      <w:r>
        <w:rPr>
          <w:spacing w:val="-20"/>
        </w:rPr>
        <w:t> </w:t>
      </w:r>
      <w:r>
        <w:rPr/>
        <w:t>rate</w:t>
      </w:r>
      <w:r>
        <w:rPr>
          <w:spacing w:val="-21"/>
        </w:rPr>
        <w:t> </w:t>
      </w:r>
      <w:r>
        <w:rPr/>
        <w:t>by</w:t>
      </w:r>
      <w:r>
        <w:rPr>
          <w:spacing w:val="-21"/>
        </w:rPr>
        <w:t> </w:t>
      </w:r>
      <w:r>
        <w:rPr/>
        <w:t>12</w:t>
      </w:r>
      <w:r>
        <w:rPr>
          <w:spacing w:val="-17"/>
        </w:rPr>
        <w:t> </w:t>
      </w:r>
      <w:r>
        <w:rPr/>
        <w:t>%,</w:t>
      </w:r>
      <w:r>
        <w:rPr>
          <w:spacing w:val="-20"/>
        </w:rPr>
        <w:t> </w:t>
      </w:r>
      <w:r>
        <w:rPr/>
        <w:t>female</w:t>
      </w:r>
      <w:r>
        <w:rPr>
          <w:spacing w:val="-20"/>
        </w:rPr>
        <w:t> </w:t>
      </w:r>
      <w:r>
        <w:rPr/>
        <w:t>subjects</w:t>
      </w:r>
      <w:r>
        <w:rPr>
          <w:spacing w:val="-20"/>
        </w:rPr>
        <w:t> </w:t>
      </w:r>
      <w:r>
        <w:rPr/>
        <w:t>by</w:t>
      </w:r>
      <w:r>
        <w:rPr>
          <w:spacing w:val="-20"/>
        </w:rPr>
        <w:t> </w:t>
      </w:r>
      <w:r>
        <w:rPr/>
        <w:t>23</w:t>
      </w:r>
      <w:r>
        <w:rPr>
          <w:spacing w:val="-21"/>
        </w:rPr>
        <w:t> </w:t>
      </w:r>
      <w:r>
        <w:rPr/>
        <w:t>%.</w:t>
      </w:r>
      <w:r>
        <w:rPr>
          <w:spacing w:val="-20"/>
        </w:rPr>
        <w:t> </w:t>
      </w:r>
      <w:r>
        <w:rPr/>
        <w:t>Cardiovascular</w:t>
      </w:r>
      <w:r>
        <w:rPr>
          <w:spacing w:val="-22"/>
        </w:rPr>
        <w:t> </w:t>
      </w:r>
      <w:r>
        <w:rPr/>
        <w:t>disease mortality fell significantly, 31 % for women and 22 % for men.</w:t>
      </w:r>
      <w:r>
        <w:rPr>
          <w:spacing w:val="-4"/>
        </w:rPr>
        <w:t> </w:t>
      </w:r>
      <w:r>
        <w:rPr>
          <w:position w:val="9"/>
          <w:sz w:val="25"/>
        </w:rPr>
        <w:t>378</w:t>
      </w:r>
    </w:p>
    <w:p>
      <w:pPr>
        <w:pStyle w:val="BodyText"/>
        <w:spacing w:line="276" w:lineRule="auto" w:before="240"/>
        <w:ind w:left="477" w:right="126"/>
        <w:jc w:val="both"/>
      </w:pPr>
      <w:r>
        <w:rPr/>
        <w:t>The protective effect on the cardiovascular system is attributed to the</w:t>
      </w:r>
      <w:r>
        <w:rPr>
          <w:spacing w:val="-47"/>
        </w:rPr>
        <w:t> </w:t>
      </w:r>
      <w:r>
        <w:rPr/>
        <w:t>polyphe- nols contained in green tea (epigallocatechin gallate,</w:t>
      </w:r>
      <w:r>
        <w:rPr>
          <w:spacing w:val="-6"/>
        </w:rPr>
        <w:t> </w:t>
      </w:r>
      <w:r>
        <w:rPr/>
        <w:t>EGCG).</w:t>
      </w:r>
    </w:p>
    <w:p>
      <w:pPr>
        <w:pStyle w:val="Heading1"/>
      </w:pPr>
      <w:r>
        <w:rPr/>
        <w:t>Green tea for high blood pressure/high blood pressure</w:t>
      </w:r>
    </w:p>
    <w:p>
      <w:pPr>
        <w:pStyle w:val="BodyText"/>
        <w:spacing w:line="276" w:lineRule="auto" w:before="299"/>
        <w:ind w:left="477" w:right="133"/>
        <w:jc w:val="both"/>
        <w:rPr>
          <w:sz w:val="25"/>
        </w:rPr>
      </w:pPr>
      <w:r>
        <w:rPr/>
        <w:t>High blood pressure is considered a dangerous factor, which often gradually leads to heart failure. In 1,500 volunteers at Cheng Kung University in</w:t>
      </w:r>
      <w:r>
        <w:rPr>
          <w:spacing w:val="-53"/>
        </w:rPr>
        <w:t> </w:t>
      </w:r>
      <w:r>
        <w:rPr/>
        <w:t>Taiwan, the</w:t>
      </w:r>
      <w:r>
        <w:rPr>
          <w:spacing w:val="-17"/>
        </w:rPr>
        <w:t> </w:t>
      </w:r>
      <w:r>
        <w:rPr/>
        <w:t>risk</w:t>
      </w:r>
      <w:r>
        <w:rPr>
          <w:spacing w:val="-18"/>
        </w:rPr>
        <w:t> </w:t>
      </w:r>
      <w:r>
        <w:rPr/>
        <w:t>of</w:t>
      </w:r>
      <w:r>
        <w:rPr>
          <w:spacing w:val="-18"/>
        </w:rPr>
        <w:t> </w:t>
      </w:r>
      <w:r>
        <w:rPr/>
        <w:t>high</w:t>
      </w:r>
      <w:r>
        <w:rPr>
          <w:spacing w:val="-19"/>
        </w:rPr>
        <w:t> </w:t>
      </w:r>
      <w:r>
        <w:rPr/>
        <w:t>blood</w:t>
      </w:r>
      <w:r>
        <w:rPr>
          <w:spacing w:val="-17"/>
        </w:rPr>
        <w:t> </w:t>
      </w:r>
      <w:r>
        <w:rPr/>
        <w:t>pressure</w:t>
      </w:r>
      <w:r>
        <w:rPr>
          <w:spacing w:val="-20"/>
        </w:rPr>
        <w:t> </w:t>
      </w:r>
      <w:r>
        <w:rPr/>
        <w:t>was</w:t>
      </w:r>
      <w:r>
        <w:rPr>
          <w:spacing w:val="-17"/>
        </w:rPr>
        <w:t> </w:t>
      </w:r>
      <w:r>
        <w:rPr/>
        <w:t>reduced</w:t>
      </w:r>
      <w:r>
        <w:rPr>
          <w:spacing w:val="-18"/>
        </w:rPr>
        <w:t> </w:t>
      </w:r>
      <w:r>
        <w:rPr/>
        <w:t>by</w:t>
      </w:r>
      <w:r>
        <w:rPr>
          <w:spacing w:val="-18"/>
        </w:rPr>
        <w:t> </w:t>
      </w:r>
      <w:r>
        <w:rPr/>
        <w:t>46</w:t>
      </w:r>
      <w:r>
        <w:rPr>
          <w:spacing w:val="-18"/>
        </w:rPr>
        <w:t> </w:t>
      </w:r>
      <w:r>
        <w:rPr/>
        <w:t>%</w:t>
      </w:r>
      <w:r>
        <w:rPr>
          <w:spacing w:val="-18"/>
        </w:rPr>
        <w:t> </w:t>
      </w:r>
      <w:r>
        <w:rPr/>
        <w:t>with</w:t>
      </w:r>
      <w:r>
        <w:rPr>
          <w:spacing w:val="-17"/>
        </w:rPr>
        <w:t> </w:t>
      </w:r>
      <w:r>
        <w:rPr/>
        <w:t>daily</w:t>
      </w:r>
      <w:r>
        <w:rPr>
          <w:spacing w:val="-19"/>
        </w:rPr>
        <w:t> </w:t>
      </w:r>
      <w:r>
        <w:rPr/>
        <w:t>tea</w:t>
      </w:r>
      <w:r>
        <w:rPr>
          <w:spacing w:val="-18"/>
        </w:rPr>
        <w:t> </w:t>
      </w:r>
      <w:r>
        <w:rPr/>
        <w:t>consumption of two to four cups, with a higher daily consumption reducing the risk by as much as 65</w:t>
      </w:r>
      <w:r>
        <w:rPr>
          <w:spacing w:val="1"/>
        </w:rPr>
        <w:t> </w:t>
      </w:r>
      <w:r>
        <w:rPr/>
        <w:t>%.</w:t>
      </w:r>
      <w:r>
        <w:rPr>
          <w:position w:val="9"/>
          <w:sz w:val="25"/>
        </w:rPr>
        <w:t>379</w:t>
      </w:r>
    </w:p>
    <w:p>
      <w:pPr>
        <w:pStyle w:val="Heading1"/>
        <w:spacing w:before="223"/>
      </w:pPr>
      <w:r>
        <w:rPr/>
        <w:t>Green tea inhibits atherosclerosis</w:t>
      </w:r>
    </w:p>
    <w:p>
      <w:pPr>
        <w:pStyle w:val="BodyText"/>
        <w:spacing w:line="276" w:lineRule="auto" w:before="299"/>
        <w:ind w:left="477" w:right="136"/>
        <w:jc w:val="both"/>
        <w:rPr>
          <w:sz w:val="25"/>
        </w:rPr>
      </w:pPr>
      <w:r>
        <w:rPr/>
        <w:t>The</w:t>
      </w:r>
      <w:r>
        <w:rPr>
          <w:spacing w:val="-10"/>
        </w:rPr>
        <w:t> </w:t>
      </w:r>
      <w:r>
        <w:rPr/>
        <w:t>progression</w:t>
      </w:r>
      <w:r>
        <w:rPr>
          <w:spacing w:val="-11"/>
        </w:rPr>
        <w:t> </w:t>
      </w:r>
      <w:r>
        <w:rPr/>
        <w:t>of</w:t>
      </w:r>
      <w:r>
        <w:rPr>
          <w:spacing w:val="-9"/>
        </w:rPr>
        <w:t> </w:t>
      </w:r>
      <w:r>
        <w:rPr/>
        <w:t>atherosclerosis,</w:t>
      </w:r>
      <w:r>
        <w:rPr>
          <w:spacing w:val="-9"/>
        </w:rPr>
        <w:t> </w:t>
      </w:r>
      <w:r>
        <w:rPr/>
        <w:t>which</w:t>
      </w:r>
      <w:r>
        <w:rPr>
          <w:spacing w:val="-8"/>
        </w:rPr>
        <w:t> </w:t>
      </w:r>
      <w:r>
        <w:rPr/>
        <w:t>is</w:t>
      </w:r>
      <w:r>
        <w:rPr>
          <w:spacing w:val="-9"/>
        </w:rPr>
        <w:t> </w:t>
      </w:r>
      <w:r>
        <w:rPr/>
        <w:t>mainly</w:t>
      </w:r>
      <w:r>
        <w:rPr>
          <w:spacing w:val="-10"/>
        </w:rPr>
        <w:t> </w:t>
      </w:r>
      <w:r>
        <w:rPr/>
        <w:t>responsible</w:t>
      </w:r>
      <w:r>
        <w:rPr>
          <w:spacing w:val="-10"/>
        </w:rPr>
        <w:t> </w:t>
      </w:r>
      <w:r>
        <w:rPr/>
        <w:t>for</w:t>
      </w:r>
      <w:r>
        <w:rPr>
          <w:spacing w:val="-9"/>
        </w:rPr>
        <w:t> </w:t>
      </w:r>
      <w:r>
        <w:rPr/>
        <w:t>heart</w:t>
      </w:r>
      <w:r>
        <w:rPr>
          <w:spacing w:val="-10"/>
        </w:rPr>
        <w:t> </w:t>
      </w:r>
      <w:r>
        <w:rPr/>
        <w:t>attack and stroke, has been arrested in various</w:t>
      </w:r>
      <w:r>
        <w:rPr>
          <w:spacing w:val="-4"/>
        </w:rPr>
        <w:t> </w:t>
      </w:r>
      <w:r>
        <w:rPr/>
        <w:t>studies.</w:t>
      </w:r>
      <w:r>
        <w:rPr>
          <w:position w:val="9"/>
          <w:sz w:val="25"/>
        </w:rPr>
        <w:t>380</w:t>
      </w:r>
    </w:p>
    <w:p>
      <w:pPr>
        <w:pStyle w:val="Heading1"/>
        <w:jc w:val="both"/>
      </w:pPr>
      <w:r>
        <w:rPr/>
        <w:t>Effect of green tea on cancer</w:t>
      </w:r>
    </w:p>
    <w:p>
      <w:pPr>
        <w:pStyle w:val="BodyText"/>
        <w:spacing w:before="299"/>
        <w:ind w:left="477"/>
        <w:jc w:val="both"/>
      </w:pPr>
      <w:r>
        <w:rPr/>
        <w:t>While</w:t>
      </w:r>
      <w:r>
        <w:rPr>
          <w:spacing w:val="-20"/>
        </w:rPr>
        <w:t> </w:t>
      </w:r>
      <w:r>
        <w:rPr/>
        <w:t>half</w:t>
      </w:r>
      <w:r>
        <w:rPr>
          <w:spacing w:val="-19"/>
        </w:rPr>
        <w:t> </w:t>
      </w:r>
      <w:r>
        <w:rPr/>
        <w:t>of</w:t>
      </w:r>
      <w:r>
        <w:rPr>
          <w:spacing w:val="-19"/>
        </w:rPr>
        <w:t> </w:t>
      </w:r>
      <w:r>
        <w:rPr/>
        <w:t>all</w:t>
      </w:r>
      <w:r>
        <w:rPr>
          <w:spacing w:val="-23"/>
        </w:rPr>
        <w:t> </w:t>
      </w:r>
      <w:r>
        <w:rPr/>
        <w:t>deaths</w:t>
      </w:r>
      <w:r>
        <w:rPr>
          <w:spacing w:val="-18"/>
        </w:rPr>
        <w:t> </w:t>
      </w:r>
      <w:r>
        <w:rPr/>
        <w:t>in</w:t>
      </w:r>
      <w:r>
        <w:rPr>
          <w:spacing w:val="-19"/>
        </w:rPr>
        <w:t> </w:t>
      </w:r>
      <w:r>
        <w:rPr/>
        <w:t>developed</w:t>
      </w:r>
      <w:r>
        <w:rPr>
          <w:spacing w:val="-19"/>
        </w:rPr>
        <w:t> </w:t>
      </w:r>
      <w:r>
        <w:rPr/>
        <w:t>countries</w:t>
      </w:r>
      <w:r>
        <w:rPr>
          <w:spacing w:val="-18"/>
        </w:rPr>
        <w:t> </w:t>
      </w:r>
      <w:r>
        <w:rPr/>
        <w:t>are</w:t>
      </w:r>
      <w:r>
        <w:rPr>
          <w:spacing w:val="-18"/>
        </w:rPr>
        <w:t> </w:t>
      </w:r>
      <w:r>
        <w:rPr/>
        <w:t>due</w:t>
      </w:r>
      <w:r>
        <w:rPr>
          <w:spacing w:val="-20"/>
        </w:rPr>
        <w:t> </w:t>
      </w:r>
      <w:r>
        <w:rPr/>
        <w:t>to</w:t>
      </w:r>
      <w:r>
        <w:rPr>
          <w:spacing w:val="-14"/>
        </w:rPr>
        <w:t> </w:t>
      </w:r>
      <w:r>
        <w:rPr/>
        <w:t>cardiovascular</w:t>
      </w:r>
      <w:r>
        <w:rPr>
          <w:spacing w:val="-20"/>
        </w:rPr>
        <w:t> </w:t>
      </w:r>
      <w:r>
        <w:rPr/>
        <w:t>disease,</w:t>
      </w:r>
    </w:p>
    <w:p>
      <w:pPr>
        <w:pStyle w:val="BodyText"/>
        <w:rPr>
          <w:sz w:val="20"/>
        </w:rPr>
      </w:pPr>
    </w:p>
    <w:p>
      <w:pPr>
        <w:pStyle w:val="BodyText"/>
        <w:rPr>
          <w:sz w:val="20"/>
        </w:rPr>
      </w:pPr>
    </w:p>
    <w:p>
      <w:pPr>
        <w:pStyle w:val="BodyText"/>
        <w:rPr>
          <w:sz w:val="20"/>
        </w:rPr>
      </w:pPr>
    </w:p>
    <w:p>
      <w:pPr>
        <w:pStyle w:val="BodyText"/>
        <w:spacing w:before="1"/>
        <w:rPr>
          <w:sz w:val="12"/>
        </w:rPr>
      </w:pPr>
      <w:r>
        <w:rPr/>
        <w:pict>
          <v:line style="position:absolute;mso-position-horizontal-relative:page;mso-position-vertical-relative:paragraph;z-index:4520;mso-wrap-distance-left:0;mso-wrap-distance-right:0" from="63.863998pt,9.167515pt" to="207.883998pt,9.167515pt" stroked="true" strokeweight=".71997pt" strokecolor="#000000">
            <v:stroke dashstyle="solid"/>
            <w10:wrap type="topAndBottom"/>
          </v:line>
        </w:pict>
      </w:r>
    </w:p>
    <w:p>
      <w:pPr>
        <w:pStyle w:val="BodyText"/>
        <w:spacing w:before="7"/>
        <w:rPr>
          <w:sz w:val="18"/>
        </w:rPr>
      </w:pPr>
    </w:p>
    <w:p>
      <w:pPr>
        <w:spacing w:line="276" w:lineRule="auto" w:before="99"/>
        <w:ind w:left="477" w:right="540" w:firstLine="0"/>
        <w:jc w:val="left"/>
        <w:rPr>
          <w:sz w:val="20"/>
        </w:rPr>
      </w:pPr>
      <w:r>
        <w:rPr>
          <w:position w:val="5"/>
          <w:sz w:val="13"/>
        </w:rPr>
        <w:t>378 </w:t>
      </w:r>
      <w:r>
        <w:rPr>
          <w:sz w:val="20"/>
        </w:rPr>
        <w:t>Shinichi K. et al.: Green tea consumption and mortality due to cardiovascular disease, cancer and all causes in Japan, in JAMA, 296/2006, pp. 1255-65.</w:t>
      </w:r>
    </w:p>
    <w:p>
      <w:pPr>
        <w:spacing w:before="61"/>
        <w:ind w:left="477" w:right="0" w:firstLine="0"/>
        <w:jc w:val="left"/>
        <w:rPr>
          <w:sz w:val="20"/>
        </w:rPr>
      </w:pPr>
      <w:r>
        <w:rPr>
          <w:position w:val="5"/>
          <w:sz w:val="13"/>
        </w:rPr>
        <w:t>379 </w:t>
      </w:r>
      <w:r>
        <w:rPr>
          <w:sz w:val="20"/>
        </w:rPr>
        <w:t>https://en.wikipedia.org/wiki/Tea</w:t>
      </w:r>
    </w:p>
    <w:p>
      <w:pPr>
        <w:spacing w:before="94"/>
        <w:ind w:left="477" w:right="0" w:firstLine="0"/>
        <w:jc w:val="left"/>
        <w:rPr>
          <w:sz w:val="20"/>
        </w:rPr>
      </w:pPr>
      <w:r>
        <w:rPr>
          <w:position w:val="4"/>
          <w:sz w:val="10"/>
        </w:rPr>
        <w:t>380 </w:t>
      </w:r>
      <w:r>
        <w:rPr>
          <w:sz w:val="20"/>
        </w:rPr>
        <w:t>Geleinjse et al., 1999; Sazuki et al., 2000</w:t>
      </w:r>
    </w:p>
    <w:p>
      <w:pPr>
        <w:spacing w:after="0"/>
        <w:jc w:val="left"/>
        <w:rPr>
          <w:sz w:val="20"/>
        </w:rPr>
        <w:sectPr>
          <w:footerReference w:type="default" r:id="rId151"/>
          <w:pgSz w:w="14270" w:h="16850"/>
          <w:pgMar w:footer="1984" w:header="0" w:top="1600" w:bottom="2180" w:left="800" w:right="1280"/>
        </w:sectPr>
      </w:pPr>
    </w:p>
    <w:p>
      <w:pPr>
        <w:pStyle w:val="BodyText"/>
        <w:spacing w:line="276" w:lineRule="auto" w:before="181"/>
        <w:ind w:left="477" w:right="132"/>
        <w:jc w:val="both"/>
      </w:pPr>
      <w:r>
        <w:rPr/>
        <w:t>the second most common cause is cancer. And so, one in two</w:t>
      </w:r>
      <w:r>
        <w:rPr>
          <w:spacing w:val="-44"/>
        </w:rPr>
        <w:t> </w:t>
      </w:r>
      <w:r>
        <w:rPr/>
        <w:t>people</w:t>
      </w:r>
      <w:r>
        <w:rPr>
          <w:position w:val="9"/>
          <w:sz w:val="25"/>
        </w:rPr>
        <w:t>381 </w:t>
      </w:r>
      <w:r>
        <w:rPr/>
        <w:t>suffers from</w:t>
      </w:r>
      <w:r>
        <w:rPr>
          <w:spacing w:val="-1"/>
        </w:rPr>
        <w:t> </w:t>
      </w:r>
      <w:r>
        <w:rPr/>
        <w:t>cancer.</w:t>
      </w:r>
    </w:p>
    <w:p>
      <w:pPr>
        <w:spacing w:line="276" w:lineRule="auto" w:before="241"/>
        <w:ind w:left="477" w:right="143" w:firstLine="0"/>
        <w:jc w:val="both"/>
        <w:rPr>
          <w:i/>
          <w:sz w:val="38"/>
        </w:rPr>
      </w:pPr>
      <w:r>
        <w:rPr>
          <w:i/>
          <w:sz w:val="38"/>
        </w:rPr>
        <w:t>Japanese researchers may have been the first to observe the biochemical mechanism that ex- </w:t>
      </w:r>
      <w:r>
        <w:rPr>
          <w:i/>
          <w:sz w:val="38"/>
        </w:rPr>
        <w:t>plains the anti-cancer effect: according to their research, an ingredient of green tea attaches specifically to tumour cells and slows the growth of cancer.</w:t>
      </w:r>
    </w:p>
    <w:p>
      <w:pPr>
        <w:spacing w:line="276" w:lineRule="auto" w:before="239"/>
        <w:ind w:left="477" w:right="145" w:firstLine="0"/>
        <w:jc w:val="both"/>
        <w:rPr>
          <w:i/>
          <w:sz w:val="25"/>
        </w:rPr>
      </w:pPr>
      <w:r>
        <w:rPr>
          <w:i/>
          <w:sz w:val="38"/>
        </w:rPr>
        <w:t>This docking site is important for the formation of cell contacts and is present on different </w:t>
      </w:r>
      <w:r>
        <w:rPr>
          <w:i/>
          <w:sz w:val="38"/>
        </w:rPr>
        <w:t>tumour cells. According to the statement, enjoying just two to four cups of green tea a day triggers this protective effect.</w:t>
      </w:r>
      <w:r>
        <w:rPr>
          <w:i/>
          <w:position w:val="9"/>
          <w:sz w:val="25"/>
        </w:rPr>
        <w:t>382</w:t>
      </w:r>
    </w:p>
    <w:p>
      <w:pPr>
        <w:pStyle w:val="BodyText"/>
        <w:spacing w:line="276" w:lineRule="auto" w:before="242"/>
        <w:ind w:left="477" w:right="133"/>
        <w:jc w:val="both"/>
        <w:rPr>
          <w:sz w:val="25"/>
        </w:rPr>
      </w:pPr>
      <w:r>
        <w:rPr/>
        <w:t>Tea flavonoids, which are particularly common in green tea, are potent antiox- idants</w:t>
      </w:r>
      <w:r>
        <w:rPr>
          <w:spacing w:val="-11"/>
        </w:rPr>
        <w:t> </w:t>
      </w:r>
      <w:r>
        <w:rPr/>
        <w:t>that</w:t>
      </w:r>
      <w:r>
        <w:rPr>
          <w:spacing w:val="-12"/>
        </w:rPr>
        <w:t> </w:t>
      </w:r>
      <w:r>
        <w:rPr/>
        <w:t>protect</w:t>
      </w:r>
      <w:r>
        <w:rPr>
          <w:spacing w:val="-12"/>
        </w:rPr>
        <w:t> </w:t>
      </w:r>
      <w:r>
        <w:rPr/>
        <w:t>cell</w:t>
      </w:r>
      <w:r>
        <w:rPr>
          <w:spacing w:val="-12"/>
        </w:rPr>
        <w:t> </w:t>
      </w:r>
      <w:r>
        <w:rPr/>
        <w:t>proteins</w:t>
      </w:r>
      <w:r>
        <w:rPr>
          <w:spacing w:val="-11"/>
        </w:rPr>
        <w:t> </w:t>
      </w:r>
      <w:r>
        <w:rPr/>
        <w:t>and</w:t>
      </w:r>
      <w:r>
        <w:rPr>
          <w:spacing w:val="-11"/>
        </w:rPr>
        <w:t> </w:t>
      </w:r>
      <w:r>
        <w:rPr/>
        <w:t>DNA</w:t>
      </w:r>
      <w:r>
        <w:rPr>
          <w:spacing w:val="-11"/>
        </w:rPr>
        <w:t> </w:t>
      </w:r>
      <w:r>
        <w:rPr/>
        <w:t>from</w:t>
      </w:r>
      <w:r>
        <w:rPr>
          <w:spacing w:val="-12"/>
        </w:rPr>
        <w:t> </w:t>
      </w:r>
      <w:r>
        <w:rPr/>
        <w:t>cancer.</w:t>
      </w:r>
      <w:r>
        <w:rPr>
          <w:position w:val="9"/>
          <w:sz w:val="25"/>
        </w:rPr>
        <w:t>383</w:t>
      </w:r>
      <w:r>
        <w:rPr>
          <w:spacing w:val="30"/>
          <w:position w:val="9"/>
          <w:sz w:val="25"/>
        </w:rPr>
        <w:t> </w:t>
      </w:r>
      <w:r>
        <w:rPr/>
        <w:t>Tea</w:t>
      </w:r>
      <w:r>
        <w:rPr>
          <w:spacing w:val="-12"/>
        </w:rPr>
        <w:t> </w:t>
      </w:r>
      <w:r>
        <w:rPr/>
        <w:t>flavonoids</w:t>
      </w:r>
      <w:r>
        <w:rPr>
          <w:spacing w:val="-11"/>
        </w:rPr>
        <w:t> </w:t>
      </w:r>
      <w:r>
        <w:rPr/>
        <w:t>affect the intracellular signalling cascades and intercellular communication, enabling them</w:t>
      </w:r>
      <w:r>
        <w:rPr>
          <w:spacing w:val="-23"/>
        </w:rPr>
        <w:t> </w:t>
      </w:r>
      <w:r>
        <w:rPr/>
        <w:t>to</w:t>
      </w:r>
      <w:r>
        <w:rPr>
          <w:spacing w:val="-23"/>
        </w:rPr>
        <w:t> </w:t>
      </w:r>
      <w:r>
        <w:rPr/>
        <w:t>prevent</w:t>
      </w:r>
      <w:r>
        <w:rPr>
          <w:spacing w:val="-24"/>
        </w:rPr>
        <w:t> </w:t>
      </w:r>
      <w:r>
        <w:rPr/>
        <w:t>tumorigenesis</w:t>
      </w:r>
      <w:r>
        <w:rPr>
          <w:spacing w:val="-23"/>
        </w:rPr>
        <w:t> </w:t>
      </w:r>
      <w:r>
        <w:rPr/>
        <w:t>and</w:t>
      </w:r>
      <w:r>
        <w:rPr>
          <w:spacing w:val="-24"/>
        </w:rPr>
        <w:t> </w:t>
      </w:r>
      <w:r>
        <w:rPr/>
        <w:t>inhibit</w:t>
      </w:r>
      <w:r>
        <w:rPr>
          <w:spacing w:val="-24"/>
        </w:rPr>
        <w:t> </w:t>
      </w:r>
      <w:r>
        <w:rPr/>
        <w:t>the</w:t>
      </w:r>
      <w:r>
        <w:rPr>
          <w:spacing w:val="-23"/>
        </w:rPr>
        <w:t> </w:t>
      </w:r>
      <w:r>
        <w:rPr/>
        <w:t>growth</w:t>
      </w:r>
      <w:r>
        <w:rPr>
          <w:spacing w:val="-24"/>
        </w:rPr>
        <w:t> </w:t>
      </w:r>
      <w:r>
        <w:rPr/>
        <w:t>of</w:t>
      </w:r>
      <w:r>
        <w:rPr>
          <w:spacing w:val="-23"/>
        </w:rPr>
        <w:t> </w:t>
      </w:r>
      <w:r>
        <w:rPr/>
        <w:t>acute</w:t>
      </w:r>
      <w:r>
        <w:rPr>
          <w:spacing w:val="-22"/>
        </w:rPr>
        <w:t> </w:t>
      </w:r>
      <w:r>
        <w:rPr/>
        <w:t>cancer.</w:t>
      </w:r>
      <w:r>
        <w:rPr>
          <w:position w:val="9"/>
          <w:sz w:val="25"/>
        </w:rPr>
        <w:t>384</w:t>
      </w:r>
      <w:r>
        <w:rPr>
          <w:spacing w:val="29"/>
          <w:position w:val="9"/>
          <w:sz w:val="25"/>
        </w:rPr>
        <w:t> </w:t>
      </w:r>
      <w:r>
        <w:rPr/>
        <w:t>Cancer growth and metastasis are inhibited by the abundance of EGCG present in green tea.</w:t>
      </w:r>
      <w:r>
        <w:rPr>
          <w:position w:val="9"/>
          <w:sz w:val="25"/>
        </w:rPr>
        <w:t>385 </w:t>
      </w:r>
      <w:r>
        <w:rPr/>
        <w:t>There is a large body of work on the diverse effects of tea extracts on different tumour cell</w:t>
      </w:r>
      <w:r>
        <w:rPr>
          <w:spacing w:val="2"/>
        </w:rPr>
        <w:t> </w:t>
      </w:r>
      <w:r>
        <w:rPr/>
        <w:t>lines.</w:t>
      </w:r>
      <w:r>
        <w:rPr>
          <w:position w:val="9"/>
          <w:sz w:val="25"/>
        </w:rPr>
        <w:t>386</w:t>
      </w:r>
    </w:p>
    <w:p>
      <w:pPr>
        <w:pStyle w:val="Heading1"/>
        <w:spacing w:before="223"/>
      </w:pPr>
      <w:r>
        <w:rPr/>
        <w:t>Prostate cancer</w:t>
      </w:r>
    </w:p>
    <w:p>
      <w:pPr>
        <w:pStyle w:val="BodyText"/>
        <w:spacing w:line="276" w:lineRule="auto" w:before="299"/>
        <w:ind w:left="477" w:right="132"/>
        <w:jc w:val="both"/>
      </w:pPr>
      <w:r>
        <w:rPr/>
        <w:t>A study on patients with prostate cancer conducted at the Center for Human Nutrition at the David Geffen School of Medicine at UCLA revealed that the</w:t>
      </w:r>
    </w:p>
    <w:p>
      <w:pPr>
        <w:pStyle w:val="BodyText"/>
        <w:rPr>
          <w:sz w:val="20"/>
        </w:rPr>
      </w:pPr>
    </w:p>
    <w:p>
      <w:pPr>
        <w:pStyle w:val="BodyText"/>
        <w:spacing w:before="3"/>
        <w:rPr>
          <w:sz w:val="27"/>
        </w:rPr>
      </w:pPr>
      <w:r>
        <w:rPr/>
        <w:pict>
          <v:line style="position:absolute;mso-position-horizontal-relative:page;mso-position-vertical-relative:paragraph;z-index:4544;mso-wrap-distance-left:0;mso-wrap-distance-right:0" from="63.863998pt,17.698734pt" to="207.883998pt,17.698734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381 </w:t>
      </w:r>
      <w:r>
        <w:rPr>
          <w:sz w:val="20"/>
        </w:rPr>
        <w:t>https://</w:t>
      </w:r>
      <w:hyperlink r:id="rId7">
        <w:r>
          <w:rPr>
            <w:sz w:val="20"/>
          </w:rPr>
          <w:t>www.medicalnewstoday.com/articles/288916.php</w:t>
        </w:r>
      </w:hyperlink>
    </w:p>
    <w:p>
      <w:pPr>
        <w:spacing w:before="92"/>
        <w:ind w:left="477" w:right="0" w:firstLine="0"/>
        <w:jc w:val="left"/>
        <w:rPr>
          <w:sz w:val="20"/>
        </w:rPr>
      </w:pPr>
      <w:r>
        <w:rPr>
          <w:position w:val="5"/>
          <w:sz w:val="13"/>
        </w:rPr>
        <w:t>382 </w:t>
      </w:r>
      <w:r>
        <w:rPr>
          <w:sz w:val="20"/>
        </w:rPr>
        <w:t>Nature Structural &amp; Molecular Biology (online pre-publication DOI: 10.1038/nsmb743</w:t>
      </w:r>
    </w:p>
    <w:p>
      <w:pPr>
        <w:spacing w:before="94"/>
        <w:ind w:left="477" w:right="0" w:firstLine="0"/>
        <w:jc w:val="left"/>
        <w:rPr>
          <w:sz w:val="20"/>
        </w:rPr>
      </w:pPr>
      <w:r>
        <w:rPr>
          <w:position w:val="5"/>
          <w:sz w:val="13"/>
        </w:rPr>
        <w:t>383 </w:t>
      </w:r>
      <w:r>
        <w:rPr>
          <w:sz w:val="20"/>
        </w:rPr>
        <w:t>Hecht and Hoffmann, 1998; Gordon, 1996; Yoshioka et al., 1996.</w:t>
      </w:r>
    </w:p>
    <w:p>
      <w:pPr>
        <w:spacing w:before="94"/>
        <w:ind w:left="477" w:right="0" w:firstLine="0"/>
        <w:jc w:val="left"/>
        <w:rPr>
          <w:sz w:val="20"/>
        </w:rPr>
      </w:pPr>
      <w:r>
        <w:rPr>
          <w:position w:val="4"/>
          <w:sz w:val="10"/>
        </w:rPr>
        <w:t>384 </w:t>
      </w:r>
      <w:r>
        <w:rPr>
          <w:sz w:val="20"/>
        </w:rPr>
        <w:t>Lin et al., 1999, Chen et al., 1999, Chung et al., 1999.</w:t>
      </w:r>
    </w:p>
    <w:p>
      <w:pPr>
        <w:spacing w:before="95"/>
        <w:ind w:left="477" w:right="0" w:firstLine="0"/>
        <w:jc w:val="left"/>
        <w:rPr>
          <w:sz w:val="20"/>
        </w:rPr>
      </w:pPr>
      <w:r>
        <w:rPr>
          <w:position w:val="5"/>
          <w:sz w:val="13"/>
        </w:rPr>
        <w:t>385 </w:t>
      </w:r>
      <w:r>
        <w:rPr>
          <w:sz w:val="20"/>
        </w:rPr>
        <w:t>Jankun et al., 1997.</w:t>
      </w:r>
    </w:p>
    <w:p>
      <w:pPr>
        <w:spacing w:before="94"/>
        <w:ind w:left="477" w:right="0" w:firstLine="0"/>
        <w:jc w:val="left"/>
        <w:rPr>
          <w:sz w:val="20"/>
        </w:rPr>
      </w:pPr>
      <w:r>
        <w:rPr>
          <w:position w:val="5"/>
          <w:sz w:val="13"/>
        </w:rPr>
        <w:t>386 </w:t>
      </w:r>
      <w:r>
        <w:rPr>
          <w:sz w:val="20"/>
        </w:rPr>
        <w:t>Dufresne and Farnworth, 2001.</w:t>
      </w:r>
    </w:p>
    <w:p>
      <w:pPr>
        <w:spacing w:after="0"/>
        <w:jc w:val="left"/>
        <w:rPr>
          <w:sz w:val="20"/>
        </w:rPr>
        <w:sectPr>
          <w:footerReference w:type="default" r:id="rId152"/>
          <w:pgSz w:w="14270" w:h="16850"/>
          <w:pgMar w:footer="1984" w:header="0" w:top="1600" w:bottom="2180" w:left="800" w:right="1280"/>
          <w:pgNumType w:start="608"/>
        </w:sectPr>
      </w:pPr>
    </w:p>
    <w:p>
      <w:pPr>
        <w:pStyle w:val="BodyText"/>
        <w:spacing w:line="276" w:lineRule="auto" w:before="181"/>
        <w:ind w:left="477" w:right="132"/>
        <w:jc w:val="both"/>
      </w:pPr>
      <w:r>
        <w:rPr/>
        <w:t>EGCG</w:t>
      </w:r>
      <w:r>
        <w:rPr>
          <w:spacing w:val="-27"/>
        </w:rPr>
        <w:t> </w:t>
      </w:r>
      <w:r>
        <w:rPr/>
        <w:t>derived</w:t>
      </w:r>
      <w:r>
        <w:rPr>
          <w:spacing w:val="-26"/>
        </w:rPr>
        <w:t> </w:t>
      </w:r>
      <w:r>
        <w:rPr/>
        <w:t>from</w:t>
      </w:r>
      <w:r>
        <w:rPr>
          <w:spacing w:val="-25"/>
        </w:rPr>
        <w:t> </w:t>
      </w:r>
      <w:r>
        <w:rPr/>
        <w:t>green</w:t>
      </w:r>
      <w:r>
        <w:rPr>
          <w:spacing w:val="-24"/>
        </w:rPr>
        <w:t> </w:t>
      </w:r>
      <w:r>
        <w:rPr/>
        <w:t>tea</w:t>
      </w:r>
      <w:r>
        <w:rPr>
          <w:spacing w:val="-25"/>
        </w:rPr>
        <w:t> </w:t>
      </w:r>
      <w:r>
        <w:rPr/>
        <w:t>was</w:t>
      </w:r>
      <w:r>
        <w:rPr>
          <w:spacing w:val="-24"/>
        </w:rPr>
        <w:t> </w:t>
      </w:r>
      <w:r>
        <w:rPr/>
        <w:t>detectable</w:t>
      </w:r>
      <w:r>
        <w:rPr>
          <w:spacing w:val="-25"/>
        </w:rPr>
        <w:t> </w:t>
      </w:r>
      <w:r>
        <w:rPr/>
        <w:t>in</w:t>
      </w:r>
      <w:r>
        <w:rPr>
          <w:spacing w:val="-25"/>
        </w:rPr>
        <w:t> </w:t>
      </w:r>
      <w:r>
        <w:rPr/>
        <w:t>tumours</w:t>
      </w:r>
      <w:r>
        <w:rPr>
          <w:spacing w:val="-25"/>
        </w:rPr>
        <w:t> </w:t>
      </w:r>
      <w:r>
        <w:rPr/>
        <w:t>and</w:t>
      </w:r>
      <w:r>
        <w:rPr>
          <w:spacing w:val="-25"/>
        </w:rPr>
        <w:t> </w:t>
      </w:r>
      <w:r>
        <w:rPr/>
        <w:t>could</w:t>
      </w:r>
      <w:r>
        <w:rPr>
          <w:spacing w:val="-24"/>
        </w:rPr>
        <w:t> </w:t>
      </w:r>
      <w:r>
        <w:rPr/>
        <w:t>significantly inhibit</w:t>
      </w:r>
      <w:r>
        <w:rPr>
          <w:spacing w:val="-15"/>
        </w:rPr>
        <w:t> </w:t>
      </w:r>
      <w:r>
        <w:rPr/>
        <w:t>tumour</w:t>
      </w:r>
      <w:r>
        <w:rPr>
          <w:spacing w:val="-15"/>
        </w:rPr>
        <w:t> </w:t>
      </w:r>
      <w:r>
        <w:rPr/>
        <w:t>cell</w:t>
      </w:r>
      <w:r>
        <w:rPr>
          <w:spacing w:val="-14"/>
        </w:rPr>
        <w:t> </w:t>
      </w:r>
      <w:r>
        <w:rPr/>
        <w:t>growth.</w:t>
      </w:r>
      <w:r>
        <w:rPr>
          <w:spacing w:val="-13"/>
        </w:rPr>
        <w:t> </w:t>
      </w:r>
      <w:r>
        <w:rPr/>
        <w:t>The</w:t>
      </w:r>
      <w:r>
        <w:rPr>
          <w:spacing w:val="-16"/>
        </w:rPr>
        <w:t> </w:t>
      </w:r>
      <w:r>
        <w:rPr/>
        <w:t>researchers</w:t>
      </w:r>
      <w:r>
        <w:rPr>
          <w:spacing w:val="-16"/>
        </w:rPr>
        <w:t> </w:t>
      </w:r>
      <w:r>
        <w:rPr/>
        <w:t>concluded</w:t>
      </w:r>
      <w:r>
        <w:rPr>
          <w:spacing w:val="-15"/>
        </w:rPr>
        <w:t> </w:t>
      </w:r>
      <w:r>
        <w:rPr/>
        <w:t>that</w:t>
      </w:r>
      <w:r>
        <w:rPr>
          <w:spacing w:val="-14"/>
        </w:rPr>
        <w:t> </w:t>
      </w:r>
      <w:r>
        <w:rPr/>
        <w:t>green</w:t>
      </w:r>
      <w:r>
        <w:rPr>
          <w:spacing w:val="-17"/>
        </w:rPr>
        <w:t> </w:t>
      </w:r>
      <w:r>
        <w:rPr/>
        <w:t>tea</w:t>
      </w:r>
      <w:r>
        <w:rPr>
          <w:spacing w:val="-15"/>
        </w:rPr>
        <w:t> </w:t>
      </w:r>
      <w:r>
        <w:rPr/>
        <w:t>could</w:t>
      </w:r>
      <w:r>
        <w:rPr>
          <w:spacing w:val="-14"/>
        </w:rPr>
        <w:t> </w:t>
      </w:r>
      <w:r>
        <w:rPr/>
        <w:t>help prevent prostate cancer and inhibit its</w:t>
      </w:r>
      <w:r>
        <w:rPr>
          <w:spacing w:val="-2"/>
        </w:rPr>
        <w:t> </w:t>
      </w:r>
      <w:r>
        <w:rPr/>
        <w:t>growth.</w:t>
      </w:r>
    </w:p>
    <w:p>
      <w:pPr>
        <w:pStyle w:val="Heading1"/>
      </w:pPr>
      <w:r>
        <w:rPr/>
        <w:t>Effect of green tea on diabetes</w:t>
      </w:r>
    </w:p>
    <w:p>
      <w:pPr>
        <w:pStyle w:val="BodyText"/>
        <w:spacing w:line="276" w:lineRule="auto" w:before="300"/>
        <w:ind w:left="477" w:right="132"/>
        <w:jc w:val="both"/>
        <w:rPr>
          <w:sz w:val="25"/>
        </w:rPr>
      </w:pPr>
      <w:r>
        <w:rPr/>
        <w:t>In in vitro tests, the activation of insulin production was demonstrated to be more than 15-times higher for the EGCG contained in green tea.</w:t>
      </w:r>
      <w:r>
        <w:rPr>
          <w:position w:val="9"/>
          <w:sz w:val="25"/>
        </w:rPr>
        <w:t>387 </w:t>
      </w:r>
      <w:r>
        <w:rPr/>
        <w:t>Another Japanese study showed a prophylactic effect against diabetic nephropathy, a</w:t>
      </w:r>
      <w:r>
        <w:rPr>
          <w:spacing w:val="-62"/>
        </w:rPr>
        <w:t> </w:t>
      </w:r>
      <w:r>
        <w:rPr/>
        <w:t>di- abetes-related kidney disease. The researchers based their findings on the as- sumption that the polyphenols contained in green tea intercept free radicals, possibly reducing the accumulation of glucose in the body's own proteins, providing effective protection for the kidneys.</w:t>
      </w:r>
      <w:r>
        <w:rPr>
          <w:position w:val="9"/>
          <w:sz w:val="25"/>
        </w:rPr>
        <w:t>388</w:t>
      </w:r>
    </w:p>
    <w:p>
      <w:pPr>
        <w:pStyle w:val="Heading1"/>
        <w:spacing w:before="221"/>
      </w:pPr>
      <w:r>
        <w:rPr/>
        <w:t>Effect of green tea on Huntington's</w:t>
      </w:r>
      <w:r>
        <w:rPr>
          <w:spacing w:val="-67"/>
        </w:rPr>
        <w:t> </w:t>
      </w:r>
      <w:r>
        <w:rPr/>
        <w:t>chorea</w:t>
      </w:r>
    </w:p>
    <w:p>
      <w:pPr>
        <w:pStyle w:val="BodyText"/>
        <w:spacing w:line="276" w:lineRule="auto" w:before="299"/>
        <w:ind w:left="477" w:right="135"/>
        <w:jc w:val="both"/>
        <w:rPr>
          <w:sz w:val="25"/>
        </w:rPr>
      </w:pPr>
      <w:r>
        <w:rPr/>
        <w:t>Huntington’s chorea is an inherited neuro-degenerative disease. It has been demonstrated on model organisms that green tea can delay the plaque for- mation that leads to the disease. The researchers attributed the effect to the substance EGCG, which is present in green tea.</w:t>
      </w:r>
      <w:r>
        <w:rPr>
          <w:position w:val="9"/>
          <w:sz w:val="25"/>
        </w:rPr>
        <w:t>389</w:t>
      </w:r>
    </w:p>
    <w:p>
      <w:pPr>
        <w:pStyle w:val="Heading1"/>
        <w:spacing w:before="225"/>
        <w:jc w:val="both"/>
      </w:pPr>
      <w:r>
        <w:rPr/>
        <w:t>Green tea inhibits arthritis</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11"/>
        <w:rPr>
          <w:b/>
          <w:i/>
          <w:sz w:val="14"/>
        </w:rPr>
      </w:pPr>
      <w:r>
        <w:rPr/>
        <w:pict>
          <v:line style="position:absolute;mso-position-horizontal-relative:page;mso-position-vertical-relative:paragraph;z-index:4568;mso-wrap-distance-left:0;mso-wrap-distance-right:0" from="63.863998pt,10.782515pt" to="207.883998pt,10.782515pt" stroked="true" strokeweight=".71997pt" strokecolor="#000000">
            <v:stroke dashstyle="solid"/>
            <w10:wrap type="topAndBottom"/>
          </v:line>
        </w:pict>
      </w:r>
    </w:p>
    <w:p>
      <w:pPr>
        <w:pStyle w:val="BodyText"/>
        <w:spacing w:before="7"/>
        <w:rPr>
          <w:b/>
          <w:i/>
          <w:sz w:val="18"/>
        </w:rPr>
      </w:pPr>
    </w:p>
    <w:p>
      <w:pPr>
        <w:spacing w:before="99"/>
        <w:ind w:left="477" w:right="0" w:firstLine="0"/>
        <w:jc w:val="left"/>
        <w:rPr>
          <w:sz w:val="20"/>
        </w:rPr>
      </w:pPr>
      <w:r>
        <w:rPr>
          <w:position w:val="5"/>
          <w:sz w:val="13"/>
        </w:rPr>
        <w:t>387 </w:t>
      </w:r>
      <w:r>
        <w:rPr>
          <w:sz w:val="20"/>
        </w:rPr>
        <w:t>Anderson and Polanski, 2002</w:t>
      </w:r>
    </w:p>
    <w:p>
      <w:pPr>
        <w:spacing w:before="94"/>
        <w:ind w:left="477" w:right="0" w:firstLine="0"/>
        <w:jc w:val="left"/>
        <w:rPr>
          <w:sz w:val="20"/>
        </w:rPr>
      </w:pPr>
      <w:r>
        <w:rPr>
          <w:position w:val="5"/>
          <w:sz w:val="13"/>
        </w:rPr>
        <w:t>388 </w:t>
      </w:r>
      <w:r>
        <w:rPr>
          <w:sz w:val="20"/>
        </w:rPr>
        <w:t>openpr.de, Green Tea and Rooibos Tea in Kidney Disease caused by Diabetes, retrieved on November 26, 2007</w:t>
      </w:r>
    </w:p>
    <w:p>
      <w:pPr>
        <w:spacing w:line="276" w:lineRule="auto" w:before="95"/>
        <w:ind w:left="477" w:right="223" w:firstLine="0"/>
        <w:jc w:val="left"/>
        <w:rPr>
          <w:sz w:val="20"/>
        </w:rPr>
      </w:pPr>
      <w:r>
        <w:rPr>
          <w:position w:val="5"/>
          <w:sz w:val="13"/>
        </w:rPr>
        <w:t>389</w:t>
      </w:r>
      <w:r>
        <w:rPr>
          <w:sz w:val="20"/>
        </w:rPr>
        <w:t>Press release from the Max Delbrück Centre for Molecular Medicine (MDC) Berlin-Buch, September 8, 2006, Green tea Reduces Plaque For- mation in Huntington's Chorea - First results in model organisms; Ehrnhoefer D. et al., Green tea (-) – epigallocatechin-gallate modulates early events in Huntington misfolding and reduced toxicity in Huntington's disease models, in Journal Human Molecular Genetics, 15/2006, pp. 2743-51.</w:t>
      </w:r>
    </w:p>
    <w:p>
      <w:pPr>
        <w:spacing w:after="0" w:line="276" w:lineRule="auto"/>
        <w:jc w:val="left"/>
        <w:rPr>
          <w:sz w:val="20"/>
        </w:rPr>
        <w:sectPr>
          <w:pgSz w:w="14270" w:h="16850"/>
          <w:pgMar w:header="0" w:footer="1984" w:top="1600" w:bottom="2180" w:left="800" w:right="1280"/>
        </w:sectPr>
      </w:pPr>
    </w:p>
    <w:p>
      <w:pPr>
        <w:pStyle w:val="BodyText"/>
        <w:spacing w:line="276" w:lineRule="auto" w:before="181"/>
        <w:ind w:left="477"/>
        <w:rPr>
          <w:sz w:val="25"/>
        </w:rPr>
      </w:pPr>
      <w:r>
        <w:rPr/>
        <w:t>In animal experiments, the polyphenol present in green tea reduced the symp- toms of arthritis and had an anti-inflammatory effect.</w:t>
      </w:r>
      <w:r>
        <w:rPr>
          <w:position w:val="9"/>
          <w:sz w:val="25"/>
        </w:rPr>
        <w:t>390</w:t>
      </w:r>
    </w:p>
    <w:p>
      <w:pPr>
        <w:pStyle w:val="Heading1"/>
      </w:pPr>
      <w:r>
        <w:rPr/>
        <w:t>Effect of green tea on kidney</w:t>
      </w:r>
      <w:r>
        <w:rPr>
          <w:spacing w:val="-59"/>
        </w:rPr>
        <w:t> </w:t>
      </w:r>
      <w:r>
        <w:rPr/>
        <w:t>function</w:t>
      </w:r>
    </w:p>
    <w:p>
      <w:pPr>
        <w:pStyle w:val="BodyText"/>
        <w:spacing w:line="276" w:lineRule="auto" w:before="299"/>
        <w:ind w:left="477"/>
        <w:rPr>
          <w:sz w:val="25"/>
        </w:rPr>
      </w:pPr>
      <w:r>
        <w:rPr/>
        <w:t>In animal experiments, tannin found in green tea showed positive effects on kidney function.</w:t>
      </w:r>
      <w:r>
        <w:rPr>
          <w:position w:val="9"/>
          <w:sz w:val="25"/>
        </w:rPr>
        <w:t>391</w:t>
      </w:r>
    </w:p>
    <w:p>
      <w:pPr>
        <w:pStyle w:val="Heading1"/>
        <w:spacing w:before="222"/>
      </w:pPr>
      <w:r>
        <w:rPr/>
        <w:t>Effect of green tea on Alzheimer's and Parkinson's</w:t>
      </w:r>
    </w:p>
    <w:p>
      <w:pPr>
        <w:pStyle w:val="BodyText"/>
        <w:spacing w:line="276" w:lineRule="auto" w:before="299"/>
        <w:ind w:left="477" w:right="135"/>
        <w:jc w:val="both"/>
        <w:rPr>
          <w:sz w:val="25"/>
        </w:rPr>
      </w:pPr>
      <w:r>
        <w:rPr/>
        <w:t>Alzheimer's and Parkinson's are among the neurodegenerative diseases caused by</w:t>
      </w:r>
      <w:r>
        <w:rPr>
          <w:spacing w:val="-7"/>
        </w:rPr>
        <w:t> </w:t>
      </w:r>
      <w:r>
        <w:rPr/>
        <w:t>the</w:t>
      </w:r>
      <w:r>
        <w:rPr>
          <w:spacing w:val="-6"/>
        </w:rPr>
        <w:t> </w:t>
      </w:r>
      <w:r>
        <w:rPr/>
        <w:t>formation</w:t>
      </w:r>
      <w:r>
        <w:rPr>
          <w:spacing w:val="-7"/>
        </w:rPr>
        <w:t> </w:t>
      </w:r>
      <w:r>
        <w:rPr/>
        <w:t>of</w:t>
      </w:r>
      <w:r>
        <w:rPr>
          <w:spacing w:val="-8"/>
        </w:rPr>
        <w:t> </w:t>
      </w:r>
      <w:r>
        <w:rPr/>
        <w:t>amyloid</w:t>
      </w:r>
      <w:r>
        <w:rPr>
          <w:spacing w:val="-7"/>
        </w:rPr>
        <w:t> </w:t>
      </w:r>
      <w:r>
        <w:rPr/>
        <w:t>fibrils.</w:t>
      </w:r>
      <w:r>
        <w:rPr>
          <w:spacing w:val="-6"/>
        </w:rPr>
        <w:t> </w:t>
      </w:r>
      <w:r>
        <w:rPr/>
        <w:t>It</w:t>
      </w:r>
      <w:r>
        <w:rPr>
          <w:spacing w:val="-7"/>
        </w:rPr>
        <w:t> </w:t>
      </w:r>
      <w:r>
        <w:rPr/>
        <w:t>has</w:t>
      </w:r>
      <w:r>
        <w:rPr>
          <w:spacing w:val="-7"/>
        </w:rPr>
        <w:t> </w:t>
      </w:r>
      <w:r>
        <w:rPr/>
        <w:t>been</w:t>
      </w:r>
      <w:r>
        <w:rPr>
          <w:spacing w:val="-8"/>
        </w:rPr>
        <w:t> </w:t>
      </w:r>
      <w:r>
        <w:rPr/>
        <w:t>found</w:t>
      </w:r>
      <w:r>
        <w:rPr>
          <w:spacing w:val="-7"/>
        </w:rPr>
        <w:t> </w:t>
      </w:r>
      <w:r>
        <w:rPr/>
        <w:t>that</w:t>
      </w:r>
      <w:r>
        <w:rPr>
          <w:spacing w:val="-7"/>
        </w:rPr>
        <w:t> </w:t>
      </w:r>
      <w:r>
        <w:rPr/>
        <w:t>EGCG</w:t>
      </w:r>
      <w:r>
        <w:rPr>
          <w:spacing w:val="-7"/>
        </w:rPr>
        <w:t> </w:t>
      </w:r>
      <w:r>
        <w:rPr/>
        <w:t>contained</w:t>
      </w:r>
      <w:r>
        <w:rPr>
          <w:spacing w:val="-8"/>
        </w:rPr>
        <w:t> </w:t>
      </w:r>
      <w:r>
        <w:rPr/>
        <w:t>in green tea prevents the formation of amyloid fibrils by binding to native, un- folded polypeptide chains. As a result, harmless oligomers are formed instead of the toxic amyloid</w:t>
      </w:r>
      <w:r>
        <w:rPr>
          <w:spacing w:val="2"/>
        </w:rPr>
        <w:t> </w:t>
      </w:r>
      <w:r>
        <w:rPr/>
        <w:t>fibrils.</w:t>
      </w:r>
      <w:r>
        <w:rPr>
          <w:position w:val="9"/>
          <w:sz w:val="25"/>
        </w:rPr>
        <w:t>392</w:t>
      </w:r>
    </w:p>
    <w:p>
      <w:pPr>
        <w:pStyle w:val="BodyText"/>
        <w:rPr>
          <w:sz w:val="42"/>
        </w:rPr>
      </w:pPr>
    </w:p>
    <w:p>
      <w:pPr>
        <w:pStyle w:val="BodyText"/>
        <w:spacing w:before="10"/>
        <w:rPr>
          <w:sz w:val="42"/>
        </w:rPr>
      </w:pPr>
    </w:p>
    <w:p>
      <w:pPr>
        <w:pStyle w:val="Heading1"/>
        <w:spacing w:before="0"/>
        <w:jc w:val="both"/>
      </w:pPr>
      <w:r>
        <w:rPr/>
        <w:t>Antimicrobial effect of green tea</w:t>
      </w:r>
    </w:p>
    <w:p>
      <w:pPr>
        <w:pStyle w:val="BodyText"/>
        <w:spacing w:before="299"/>
        <w:ind w:left="477"/>
        <w:jc w:val="both"/>
        <w:rPr>
          <w:sz w:val="25"/>
        </w:rPr>
      </w:pPr>
      <w:r>
        <w:rPr/>
        <w:t>Several studies have shown the antimicrobial effects of green tea catechins.</w:t>
      </w:r>
      <w:r>
        <w:rPr>
          <w:position w:val="9"/>
          <w:sz w:val="25"/>
        </w:rPr>
        <w:t>393</w:t>
      </w:r>
    </w:p>
    <w:p>
      <w:pPr>
        <w:pStyle w:val="Heading1"/>
        <w:spacing w:before="287"/>
        <w:jc w:val="both"/>
      </w:pPr>
      <w:r>
        <w:rPr/>
        <w:t>Effect of green tea on gum</w:t>
      </w:r>
      <w:r>
        <w:rPr>
          <w:spacing w:val="-55"/>
        </w:rPr>
        <w:t> </w:t>
      </w:r>
      <w:r>
        <w:rPr/>
        <w:t>disease</w:t>
      </w:r>
    </w:p>
    <w:p>
      <w:pPr>
        <w:pStyle w:val="BodyText"/>
        <w:spacing w:before="299"/>
        <w:ind w:left="477"/>
        <w:jc w:val="both"/>
        <w:rPr>
          <w:sz w:val="25"/>
        </w:rPr>
      </w:pPr>
      <w:r>
        <w:rPr/>
        <w:t>Green tea catechin reduces gum diseases, such as periodontal disease.</w:t>
      </w:r>
      <w:r>
        <w:rPr>
          <w:position w:val="9"/>
          <w:sz w:val="25"/>
        </w:rPr>
        <w:t>394</w:t>
      </w:r>
    </w:p>
    <w:p>
      <w:pPr>
        <w:pStyle w:val="BodyText"/>
        <w:rPr>
          <w:sz w:val="20"/>
        </w:rPr>
      </w:pPr>
    </w:p>
    <w:p>
      <w:pPr>
        <w:pStyle w:val="BodyText"/>
        <w:rPr>
          <w:sz w:val="20"/>
        </w:rPr>
      </w:pPr>
    </w:p>
    <w:p>
      <w:pPr>
        <w:pStyle w:val="BodyText"/>
        <w:spacing w:before="4"/>
        <w:rPr>
          <w:sz w:val="20"/>
        </w:rPr>
      </w:pPr>
      <w:r>
        <w:rPr/>
        <w:pict>
          <v:line style="position:absolute;mso-position-horizontal-relative:page;mso-position-vertical-relative:paragraph;z-index:4592;mso-wrap-distance-left:0;mso-wrap-distance-right:0" from="63.863998pt,13.848735pt" to="207.883998pt,13.848735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390 </w:t>
      </w:r>
      <w:r>
        <w:rPr>
          <w:sz w:val="20"/>
        </w:rPr>
        <w:t>Haqqi et al., 1999</w:t>
      </w:r>
    </w:p>
    <w:p>
      <w:pPr>
        <w:spacing w:before="92"/>
        <w:ind w:left="477" w:right="0" w:firstLine="0"/>
        <w:jc w:val="left"/>
        <w:rPr>
          <w:sz w:val="20"/>
        </w:rPr>
      </w:pPr>
      <w:r>
        <w:rPr>
          <w:position w:val="5"/>
          <w:sz w:val="13"/>
        </w:rPr>
        <w:t>391 </w:t>
      </w:r>
      <w:r>
        <w:rPr>
          <w:sz w:val="20"/>
        </w:rPr>
        <w:t>Yokozawa et al., 1996</w:t>
      </w:r>
    </w:p>
    <w:p>
      <w:pPr>
        <w:spacing w:before="94"/>
        <w:ind w:left="477" w:right="0" w:firstLine="0"/>
        <w:jc w:val="left"/>
        <w:rPr>
          <w:sz w:val="20"/>
        </w:rPr>
      </w:pPr>
      <w:r>
        <w:rPr>
          <w:position w:val="5"/>
          <w:sz w:val="13"/>
        </w:rPr>
        <w:t>392 </w:t>
      </w:r>
      <w:r>
        <w:rPr>
          <w:sz w:val="20"/>
        </w:rPr>
        <w:t>Ehrnhoefer et al. Nat. Struct. Mol. Biol. 2008, doi:10.1038/nsmb.1437</w:t>
      </w:r>
    </w:p>
    <w:p>
      <w:pPr>
        <w:spacing w:before="94"/>
        <w:ind w:left="477" w:right="0" w:firstLine="0"/>
        <w:jc w:val="left"/>
        <w:rPr>
          <w:sz w:val="20"/>
        </w:rPr>
      </w:pPr>
      <w:r>
        <w:rPr>
          <w:position w:val="5"/>
          <w:sz w:val="13"/>
        </w:rPr>
        <w:t>393 </w:t>
      </w:r>
      <w:r>
        <w:rPr>
          <w:sz w:val="20"/>
        </w:rPr>
        <w:t>Diker et al., 1991; Inoue et al.; 1996, Toda et al., 1991</w:t>
      </w:r>
    </w:p>
    <w:p>
      <w:pPr>
        <w:spacing w:line="276" w:lineRule="auto" w:before="95"/>
        <w:ind w:left="477" w:right="0" w:firstLine="0"/>
        <w:jc w:val="left"/>
        <w:rPr>
          <w:sz w:val="20"/>
        </w:rPr>
      </w:pPr>
      <w:r>
        <w:rPr>
          <w:position w:val="5"/>
          <w:sz w:val="13"/>
        </w:rPr>
        <w:t>394 </w:t>
      </w:r>
      <w:r>
        <w:rPr>
          <w:sz w:val="20"/>
        </w:rPr>
        <w:t>Kushiyama M., Shimazaki Y., Murakami M., Yamashita Y. (2009). Relationship between intake of green tea and periodontal disease. Journal of Periodontology. 80, pp. 372-377</w:t>
      </w:r>
    </w:p>
    <w:p>
      <w:pPr>
        <w:spacing w:after="0" w:line="276" w:lineRule="auto"/>
        <w:jc w:val="left"/>
        <w:rPr>
          <w:sz w:val="20"/>
        </w:rPr>
        <w:sectPr>
          <w:footerReference w:type="default" r:id="rId153"/>
          <w:pgSz w:w="14270" w:h="16850"/>
          <w:pgMar w:footer="1984" w:header="0" w:top="1600" w:bottom="2180" w:left="800" w:right="1280"/>
          <w:pgNumType w:start="610"/>
        </w:sectPr>
      </w:pPr>
    </w:p>
    <w:p>
      <w:pPr>
        <w:pStyle w:val="Heading1"/>
        <w:spacing w:before="164"/>
      </w:pPr>
      <w:r>
        <w:rPr/>
        <w:t>Green tea prevents tooth decay</w:t>
      </w:r>
    </w:p>
    <w:p>
      <w:pPr>
        <w:pStyle w:val="BodyText"/>
        <w:spacing w:line="276" w:lineRule="auto" w:before="299"/>
        <w:ind w:left="477"/>
        <w:rPr>
          <w:sz w:val="25"/>
        </w:rPr>
      </w:pPr>
      <w:r>
        <w:rPr/>
        <w:t>Green tea's EGCG and ECG inhibit the growth of caries bacteria, the strepto- cocci.</w:t>
      </w:r>
      <w:r>
        <w:rPr>
          <w:position w:val="9"/>
          <w:sz w:val="25"/>
        </w:rPr>
        <w:t>395</w:t>
      </w:r>
    </w:p>
    <w:p>
      <w:pPr>
        <w:pStyle w:val="Heading1"/>
      </w:pPr>
      <w:r>
        <w:rPr/>
        <w:t>Green tea for multiple sclerosis</w:t>
      </w:r>
    </w:p>
    <w:p>
      <w:pPr>
        <w:pStyle w:val="BodyText"/>
        <w:spacing w:line="276" w:lineRule="auto" w:before="299"/>
        <w:ind w:left="477" w:right="130"/>
        <w:jc w:val="both"/>
      </w:pPr>
      <w:r>
        <w:rPr/>
        <w:t>Chronic inflammatory processes in the central nervous system are responsible for multiple sclerosis. As recent research at the Institute of Neuroimmunology of the Charité in Berlin under the direction of Professor Frauke Zipp suggests, green tea may prevent this, or at least curb it. This positive effect is again at- tributed</w:t>
      </w:r>
      <w:r>
        <w:rPr>
          <w:spacing w:val="-11"/>
        </w:rPr>
        <w:t> </w:t>
      </w:r>
      <w:r>
        <w:rPr/>
        <w:t>to</w:t>
      </w:r>
      <w:r>
        <w:rPr>
          <w:spacing w:val="-11"/>
        </w:rPr>
        <w:t> </w:t>
      </w:r>
      <w:r>
        <w:rPr/>
        <w:t>the</w:t>
      </w:r>
      <w:r>
        <w:rPr>
          <w:spacing w:val="-11"/>
        </w:rPr>
        <w:t> </w:t>
      </w:r>
      <w:r>
        <w:rPr/>
        <w:t>green</w:t>
      </w:r>
      <w:r>
        <w:rPr>
          <w:spacing w:val="-10"/>
        </w:rPr>
        <w:t> </w:t>
      </w:r>
      <w:r>
        <w:rPr/>
        <w:t>tea</w:t>
      </w:r>
      <w:r>
        <w:rPr>
          <w:spacing w:val="-12"/>
        </w:rPr>
        <w:t> </w:t>
      </w:r>
      <w:r>
        <w:rPr/>
        <w:t>flavonoid</w:t>
      </w:r>
      <w:r>
        <w:rPr>
          <w:spacing w:val="-12"/>
        </w:rPr>
        <w:t> </w:t>
      </w:r>
      <w:r>
        <w:rPr/>
        <w:t>EGCG</w:t>
      </w:r>
      <w:r>
        <w:rPr>
          <w:spacing w:val="-12"/>
        </w:rPr>
        <w:t> </w:t>
      </w:r>
      <w:r>
        <w:rPr/>
        <w:t>(epigallocatechin-3-gallate).</w:t>
      </w:r>
      <w:r>
        <w:rPr>
          <w:spacing w:val="-12"/>
        </w:rPr>
        <w:t> </w:t>
      </w:r>
      <w:r>
        <w:rPr/>
        <w:t>This</w:t>
      </w:r>
      <w:r>
        <w:rPr>
          <w:spacing w:val="-11"/>
        </w:rPr>
        <w:t> </w:t>
      </w:r>
      <w:r>
        <w:rPr/>
        <w:t>can obviously</w:t>
      </w:r>
      <w:r>
        <w:rPr>
          <w:spacing w:val="-7"/>
        </w:rPr>
        <w:t> </w:t>
      </w:r>
      <w:r>
        <w:rPr/>
        <w:t>both</w:t>
      </w:r>
      <w:r>
        <w:rPr>
          <w:spacing w:val="-6"/>
        </w:rPr>
        <w:t> </w:t>
      </w:r>
      <w:r>
        <w:rPr/>
        <w:t>throttle</w:t>
      </w:r>
      <w:r>
        <w:rPr>
          <w:spacing w:val="-6"/>
        </w:rPr>
        <w:t> </w:t>
      </w:r>
      <w:r>
        <w:rPr/>
        <w:t>a</w:t>
      </w:r>
      <w:r>
        <w:rPr>
          <w:spacing w:val="-8"/>
        </w:rPr>
        <w:t> </w:t>
      </w:r>
      <w:r>
        <w:rPr/>
        <w:t>misguided</w:t>
      </w:r>
      <w:r>
        <w:rPr>
          <w:spacing w:val="-6"/>
        </w:rPr>
        <w:t> </w:t>
      </w:r>
      <w:r>
        <w:rPr/>
        <w:t>immune</w:t>
      </w:r>
      <w:r>
        <w:rPr>
          <w:spacing w:val="-7"/>
        </w:rPr>
        <w:t> </w:t>
      </w:r>
      <w:r>
        <w:rPr/>
        <w:t>system</w:t>
      </w:r>
      <w:r>
        <w:rPr>
          <w:spacing w:val="-5"/>
        </w:rPr>
        <w:t> </w:t>
      </w:r>
      <w:r>
        <w:rPr/>
        <w:t>and</w:t>
      </w:r>
      <w:r>
        <w:rPr>
          <w:spacing w:val="-7"/>
        </w:rPr>
        <w:t> </w:t>
      </w:r>
      <w:r>
        <w:rPr/>
        <w:t>protect</w:t>
      </w:r>
      <w:r>
        <w:rPr>
          <w:spacing w:val="-6"/>
        </w:rPr>
        <w:t> </w:t>
      </w:r>
      <w:r>
        <w:rPr/>
        <w:t>the</w:t>
      </w:r>
      <w:r>
        <w:rPr>
          <w:spacing w:val="-6"/>
        </w:rPr>
        <w:t> </w:t>
      </w:r>
      <w:r>
        <w:rPr/>
        <w:t>nerve</w:t>
      </w:r>
      <w:r>
        <w:rPr>
          <w:spacing w:val="-6"/>
        </w:rPr>
        <w:t> </w:t>
      </w:r>
      <w:r>
        <w:rPr/>
        <w:t>cells from</w:t>
      </w:r>
      <w:r>
        <w:rPr>
          <w:spacing w:val="-21"/>
        </w:rPr>
        <w:t> </w:t>
      </w:r>
      <w:r>
        <w:rPr/>
        <w:t>harmful</w:t>
      </w:r>
      <w:r>
        <w:rPr>
          <w:spacing w:val="-22"/>
        </w:rPr>
        <w:t> </w:t>
      </w:r>
      <w:r>
        <w:rPr/>
        <w:t>influences.</w:t>
      </w:r>
      <w:r>
        <w:rPr>
          <w:spacing w:val="-20"/>
        </w:rPr>
        <w:t> </w:t>
      </w:r>
      <w:r>
        <w:rPr/>
        <w:t>The</w:t>
      </w:r>
      <w:r>
        <w:rPr>
          <w:spacing w:val="-20"/>
        </w:rPr>
        <w:t> </w:t>
      </w:r>
      <w:r>
        <w:rPr/>
        <w:t>scientists</w:t>
      </w:r>
      <w:r>
        <w:rPr>
          <w:spacing w:val="-20"/>
        </w:rPr>
        <w:t> </w:t>
      </w:r>
      <w:r>
        <w:rPr/>
        <w:t>tested</w:t>
      </w:r>
      <w:r>
        <w:rPr>
          <w:spacing w:val="-21"/>
        </w:rPr>
        <w:t> </w:t>
      </w:r>
      <w:r>
        <w:rPr/>
        <w:t>the</w:t>
      </w:r>
      <w:r>
        <w:rPr>
          <w:spacing w:val="-19"/>
        </w:rPr>
        <w:t> </w:t>
      </w:r>
      <w:r>
        <w:rPr/>
        <w:t>effectiveness</w:t>
      </w:r>
      <w:r>
        <w:rPr>
          <w:spacing w:val="-19"/>
        </w:rPr>
        <w:t> </w:t>
      </w:r>
      <w:r>
        <w:rPr/>
        <w:t>of</w:t>
      </w:r>
      <w:r>
        <w:rPr>
          <w:spacing w:val="-20"/>
        </w:rPr>
        <w:t> </w:t>
      </w:r>
      <w:r>
        <w:rPr/>
        <w:t>the</w:t>
      </w:r>
      <w:r>
        <w:rPr>
          <w:spacing w:val="-19"/>
        </w:rPr>
        <w:t> </w:t>
      </w:r>
      <w:r>
        <w:rPr/>
        <w:t>substance in animal experiments as well as in cultures of human immune and nerve cells and stated:</w:t>
      </w:r>
    </w:p>
    <w:p>
      <w:pPr>
        <w:spacing w:line="276" w:lineRule="auto" w:before="240"/>
        <w:ind w:left="477" w:right="0" w:firstLine="0"/>
        <w:jc w:val="left"/>
        <w:rPr>
          <w:i/>
          <w:sz w:val="38"/>
        </w:rPr>
      </w:pPr>
      <w:r>
        <w:rPr>
          <w:sz w:val="38"/>
        </w:rPr>
        <w:t>‘</w:t>
      </w:r>
      <w:r>
        <w:rPr>
          <w:i/>
          <w:sz w:val="38"/>
        </w:rPr>
        <w:t>EGCG is the first drug we have found that is administered orally and has immunomodula- </w:t>
      </w:r>
      <w:r>
        <w:rPr>
          <w:i/>
          <w:sz w:val="38"/>
        </w:rPr>
        <w:t>tory and nerve cell protecting properties’.</w:t>
      </w:r>
    </w:p>
    <w:p>
      <w:pPr>
        <w:pStyle w:val="BodyText"/>
        <w:spacing w:line="276" w:lineRule="auto" w:before="240"/>
        <w:ind w:left="477"/>
      </w:pPr>
      <w:r>
        <w:rPr/>
        <w:t>This important finding could be a milestone in the treatment of multiple scle- rosis. The effect is justified by the scientists as follows:</w:t>
      </w:r>
    </w:p>
    <w:p>
      <w:pPr>
        <w:pStyle w:val="BodyText"/>
        <w:rPr>
          <w:sz w:val="20"/>
        </w:rPr>
      </w:pPr>
    </w:p>
    <w:p>
      <w:pPr>
        <w:pStyle w:val="BodyText"/>
        <w:rPr>
          <w:sz w:val="20"/>
        </w:rPr>
      </w:pPr>
    </w:p>
    <w:p>
      <w:pPr>
        <w:pStyle w:val="BodyText"/>
        <w:spacing w:before="3"/>
        <w:rPr>
          <w:sz w:val="18"/>
        </w:rPr>
      </w:pPr>
      <w:r>
        <w:rPr/>
        <w:pict>
          <v:line style="position:absolute;mso-position-horizontal-relative:page;mso-position-vertical-relative:paragraph;z-index:4616;mso-wrap-distance-left:0;mso-wrap-distance-right:0" from="63.863998pt,12.671265pt" to="207.883998pt,12.67126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395 </w:t>
      </w:r>
      <w:r>
        <w:rPr>
          <w:sz w:val="20"/>
        </w:rPr>
        <w:t>Sakanaka et al., 1990</w:t>
      </w:r>
    </w:p>
    <w:p>
      <w:pPr>
        <w:spacing w:after="0"/>
        <w:jc w:val="left"/>
        <w:rPr>
          <w:sz w:val="20"/>
        </w:rPr>
        <w:sectPr>
          <w:footerReference w:type="default" r:id="rId154"/>
          <w:pgSz w:w="14270" w:h="16850"/>
          <w:pgMar w:footer="1891" w:header="0" w:top="1600" w:bottom="2080" w:left="800" w:right="1280"/>
          <w:pgNumType w:start="611"/>
        </w:sectPr>
      </w:pPr>
    </w:p>
    <w:p>
      <w:pPr>
        <w:spacing w:line="276" w:lineRule="auto" w:before="181"/>
        <w:ind w:left="477" w:right="141" w:firstLine="0"/>
        <w:jc w:val="both"/>
        <w:rPr>
          <w:i/>
          <w:sz w:val="38"/>
        </w:rPr>
      </w:pPr>
      <w:r>
        <w:rPr>
          <w:sz w:val="38"/>
        </w:rPr>
        <w:t>‘</w:t>
      </w:r>
      <w:r>
        <w:rPr>
          <w:i/>
          <w:sz w:val="38"/>
        </w:rPr>
        <w:t>EGCG</w:t>
      </w:r>
      <w:r>
        <w:rPr>
          <w:i/>
          <w:spacing w:val="-8"/>
          <w:sz w:val="38"/>
        </w:rPr>
        <w:t> </w:t>
      </w:r>
      <w:r>
        <w:rPr>
          <w:i/>
          <w:sz w:val="38"/>
        </w:rPr>
        <w:t>seems</w:t>
      </w:r>
      <w:r>
        <w:rPr>
          <w:i/>
          <w:spacing w:val="-8"/>
          <w:sz w:val="38"/>
        </w:rPr>
        <w:t> </w:t>
      </w:r>
      <w:r>
        <w:rPr>
          <w:i/>
          <w:sz w:val="38"/>
        </w:rPr>
        <w:t>to</w:t>
      </w:r>
      <w:r>
        <w:rPr>
          <w:i/>
          <w:spacing w:val="-9"/>
          <w:sz w:val="38"/>
        </w:rPr>
        <w:t> </w:t>
      </w:r>
      <w:r>
        <w:rPr>
          <w:i/>
          <w:sz w:val="38"/>
        </w:rPr>
        <w:t>attack</w:t>
      </w:r>
      <w:r>
        <w:rPr>
          <w:i/>
          <w:spacing w:val="-8"/>
          <w:sz w:val="38"/>
        </w:rPr>
        <w:t> </w:t>
      </w:r>
      <w:r>
        <w:rPr>
          <w:i/>
          <w:sz w:val="38"/>
        </w:rPr>
        <w:t>the</w:t>
      </w:r>
      <w:r>
        <w:rPr>
          <w:i/>
          <w:spacing w:val="-8"/>
          <w:sz w:val="38"/>
        </w:rPr>
        <w:t> </w:t>
      </w:r>
      <w:r>
        <w:rPr>
          <w:i/>
          <w:sz w:val="38"/>
        </w:rPr>
        <w:t>destructive</w:t>
      </w:r>
      <w:r>
        <w:rPr>
          <w:i/>
          <w:spacing w:val="-8"/>
          <w:sz w:val="38"/>
        </w:rPr>
        <w:t> </w:t>
      </w:r>
      <w:r>
        <w:rPr>
          <w:i/>
          <w:sz w:val="38"/>
        </w:rPr>
        <w:t>disease</w:t>
      </w:r>
      <w:r>
        <w:rPr>
          <w:i/>
          <w:spacing w:val="-9"/>
          <w:sz w:val="38"/>
        </w:rPr>
        <w:t> </w:t>
      </w:r>
      <w:r>
        <w:rPr>
          <w:i/>
          <w:sz w:val="38"/>
        </w:rPr>
        <w:t>processes</w:t>
      </w:r>
      <w:r>
        <w:rPr>
          <w:i/>
          <w:spacing w:val="-8"/>
          <w:sz w:val="38"/>
        </w:rPr>
        <w:t> </w:t>
      </w:r>
      <w:r>
        <w:rPr>
          <w:i/>
          <w:sz w:val="38"/>
        </w:rPr>
        <w:t>of</w:t>
      </w:r>
      <w:r>
        <w:rPr>
          <w:i/>
          <w:spacing w:val="-7"/>
          <w:sz w:val="38"/>
        </w:rPr>
        <w:t> </w:t>
      </w:r>
      <w:r>
        <w:rPr>
          <w:i/>
          <w:sz w:val="38"/>
        </w:rPr>
        <w:t>multiple</w:t>
      </w:r>
      <w:r>
        <w:rPr>
          <w:i/>
          <w:spacing w:val="-8"/>
          <w:sz w:val="38"/>
        </w:rPr>
        <w:t> </w:t>
      </w:r>
      <w:r>
        <w:rPr>
          <w:i/>
          <w:sz w:val="38"/>
        </w:rPr>
        <w:t>sclerosis</w:t>
      </w:r>
      <w:r>
        <w:rPr>
          <w:i/>
          <w:spacing w:val="-9"/>
          <w:sz w:val="38"/>
        </w:rPr>
        <w:t> </w:t>
      </w:r>
      <w:r>
        <w:rPr>
          <w:i/>
          <w:sz w:val="38"/>
        </w:rPr>
        <w:t>from</w:t>
      </w:r>
      <w:r>
        <w:rPr>
          <w:i/>
          <w:spacing w:val="-7"/>
          <w:sz w:val="38"/>
        </w:rPr>
        <w:t> </w:t>
      </w:r>
      <w:r>
        <w:rPr>
          <w:i/>
          <w:sz w:val="38"/>
        </w:rPr>
        <w:t>two</w:t>
      </w:r>
      <w:r>
        <w:rPr>
          <w:i/>
          <w:spacing w:val="-7"/>
          <w:sz w:val="38"/>
        </w:rPr>
        <w:t> </w:t>
      </w:r>
      <w:r>
        <w:rPr>
          <w:i/>
          <w:sz w:val="38"/>
        </w:rPr>
        <w:t>angles. </w:t>
      </w:r>
      <w:r>
        <w:rPr>
          <w:i/>
          <w:sz w:val="38"/>
        </w:rPr>
        <w:t>In addition, the substance has the advantage that it is unlikely to cause side</w:t>
      </w:r>
      <w:r>
        <w:rPr>
          <w:i/>
          <w:spacing w:val="-16"/>
          <w:sz w:val="38"/>
        </w:rPr>
        <w:t> </w:t>
      </w:r>
      <w:r>
        <w:rPr>
          <w:i/>
          <w:sz w:val="38"/>
        </w:rPr>
        <w:t>effects’.</w:t>
      </w:r>
    </w:p>
    <w:p>
      <w:pPr>
        <w:pStyle w:val="BodyText"/>
        <w:spacing w:line="276" w:lineRule="auto" w:before="241"/>
        <w:ind w:left="477" w:right="132"/>
        <w:jc w:val="both"/>
      </w:pPr>
      <w:r>
        <w:rPr/>
        <w:t>Furthermore, the scientists Aktas, Prozorovski and their colleagues were able to</w:t>
      </w:r>
      <w:r>
        <w:rPr>
          <w:spacing w:val="-6"/>
        </w:rPr>
        <w:t> </w:t>
      </w:r>
      <w:r>
        <w:rPr/>
        <w:t>prove</w:t>
      </w:r>
      <w:r>
        <w:rPr>
          <w:spacing w:val="-5"/>
        </w:rPr>
        <w:t> </w:t>
      </w:r>
      <w:r>
        <w:rPr/>
        <w:t>that</w:t>
      </w:r>
      <w:r>
        <w:rPr>
          <w:spacing w:val="-6"/>
        </w:rPr>
        <w:t> </w:t>
      </w:r>
      <w:r>
        <w:rPr/>
        <w:t>the</w:t>
      </w:r>
      <w:r>
        <w:rPr>
          <w:spacing w:val="-5"/>
        </w:rPr>
        <w:t> </w:t>
      </w:r>
      <w:r>
        <w:rPr/>
        <w:t>EGCG</w:t>
      </w:r>
      <w:r>
        <w:rPr>
          <w:spacing w:val="-7"/>
        </w:rPr>
        <w:t> </w:t>
      </w:r>
      <w:r>
        <w:rPr/>
        <w:t>contained</w:t>
      </w:r>
      <w:r>
        <w:rPr>
          <w:spacing w:val="-6"/>
        </w:rPr>
        <w:t> </w:t>
      </w:r>
      <w:r>
        <w:rPr/>
        <w:t>in</w:t>
      </w:r>
      <w:r>
        <w:rPr>
          <w:spacing w:val="-6"/>
        </w:rPr>
        <w:t> </w:t>
      </w:r>
      <w:r>
        <w:rPr/>
        <w:t>the</w:t>
      </w:r>
      <w:r>
        <w:rPr>
          <w:spacing w:val="-6"/>
        </w:rPr>
        <w:t> </w:t>
      </w:r>
      <w:r>
        <w:rPr/>
        <w:t>green</w:t>
      </w:r>
      <w:r>
        <w:rPr>
          <w:spacing w:val="-7"/>
        </w:rPr>
        <w:t> </w:t>
      </w:r>
      <w:r>
        <w:rPr/>
        <w:t>tea</w:t>
      </w:r>
      <w:r>
        <w:rPr>
          <w:spacing w:val="-6"/>
        </w:rPr>
        <w:t> </w:t>
      </w:r>
      <w:r>
        <w:rPr/>
        <w:t>intervenes</w:t>
      </w:r>
      <w:r>
        <w:rPr>
          <w:spacing w:val="-5"/>
        </w:rPr>
        <w:t> </w:t>
      </w:r>
      <w:r>
        <w:rPr/>
        <w:t>in</w:t>
      </w:r>
      <w:r>
        <w:rPr>
          <w:spacing w:val="-6"/>
        </w:rPr>
        <w:t> </w:t>
      </w:r>
      <w:r>
        <w:rPr/>
        <w:t>the</w:t>
      </w:r>
      <w:r>
        <w:rPr>
          <w:spacing w:val="-5"/>
        </w:rPr>
        <w:t> </w:t>
      </w:r>
      <w:r>
        <w:rPr/>
        <w:t>growth</w:t>
      </w:r>
      <w:r>
        <w:rPr>
          <w:spacing w:val="-6"/>
        </w:rPr>
        <w:t> </w:t>
      </w:r>
      <w:r>
        <w:rPr/>
        <w:t>of activated</w:t>
      </w:r>
      <w:r>
        <w:rPr>
          <w:spacing w:val="-12"/>
        </w:rPr>
        <w:t> </w:t>
      </w:r>
      <w:r>
        <w:rPr/>
        <w:t>immune</w:t>
      </w:r>
      <w:r>
        <w:rPr>
          <w:spacing w:val="-11"/>
        </w:rPr>
        <w:t> </w:t>
      </w:r>
      <w:r>
        <w:rPr/>
        <w:t>cells,</w:t>
      </w:r>
      <w:r>
        <w:rPr>
          <w:spacing w:val="-11"/>
        </w:rPr>
        <w:t> </w:t>
      </w:r>
      <w:r>
        <w:rPr/>
        <w:t>known</w:t>
      </w:r>
      <w:r>
        <w:rPr>
          <w:spacing w:val="-11"/>
        </w:rPr>
        <w:t> </w:t>
      </w:r>
      <w:r>
        <w:rPr/>
        <w:t>as</w:t>
      </w:r>
      <w:r>
        <w:rPr>
          <w:spacing w:val="-14"/>
        </w:rPr>
        <w:t> </w:t>
      </w:r>
      <w:r>
        <w:rPr/>
        <w:t>T-lymphocytes,</w:t>
      </w:r>
      <w:r>
        <w:rPr>
          <w:spacing w:val="-13"/>
        </w:rPr>
        <w:t> </w:t>
      </w:r>
      <w:r>
        <w:rPr/>
        <w:t>and</w:t>
      </w:r>
      <w:r>
        <w:rPr>
          <w:spacing w:val="-11"/>
        </w:rPr>
        <w:t> </w:t>
      </w:r>
      <w:r>
        <w:rPr/>
        <w:t>inhibits</w:t>
      </w:r>
      <w:r>
        <w:rPr>
          <w:spacing w:val="-11"/>
        </w:rPr>
        <w:t> </w:t>
      </w:r>
      <w:r>
        <w:rPr/>
        <w:t>the</w:t>
      </w:r>
      <w:r>
        <w:rPr>
          <w:spacing w:val="-13"/>
        </w:rPr>
        <w:t> </w:t>
      </w:r>
      <w:r>
        <w:rPr/>
        <w:t>expansion</w:t>
      </w:r>
      <w:r>
        <w:rPr>
          <w:spacing w:val="-11"/>
        </w:rPr>
        <w:t> </w:t>
      </w:r>
      <w:r>
        <w:rPr/>
        <w:t>of these harmful cells. Alongside this, the EGCG protects the nerve cells from various harmful substances that are released by the immune</w:t>
      </w:r>
      <w:r>
        <w:rPr>
          <w:spacing w:val="-3"/>
        </w:rPr>
        <w:t> </w:t>
      </w:r>
      <w:r>
        <w:rPr/>
        <w:t>system.</w:t>
      </w:r>
    </w:p>
    <w:p>
      <w:pPr>
        <w:spacing w:line="276" w:lineRule="auto" w:before="240"/>
        <w:ind w:left="477" w:right="141" w:firstLine="0"/>
        <w:jc w:val="both"/>
        <w:rPr>
          <w:i/>
          <w:sz w:val="38"/>
        </w:rPr>
      </w:pPr>
      <w:r>
        <w:rPr>
          <w:sz w:val="38"/>
        </w:rPr>
        <w:t>Aktas:</w:t>
      </w:r>
      <w:r>
        <w:rPr>
          <w:spacing w:val="-19"/>
          <w:sz w:val="38"/>
        </w:rPr>
        <w:t> </w:t>
      </w:r>
      <w:r>
        <w:rPr>
          <w:sz w:val="38"/>
        </w:rPr>
        <w:t>‘</w:t>
      </w:r>
      <w:r>
        <w:rPr>
          <w:i/>
          <w:sz w:val="38"/>
        </w:rPr>
        <w:t>The</w:t>
      </w:r>
      <w:r>
        <w:rPr>
          <w:i/>
          <w:spacing w:val="-21"/>
          <w:sz w:val="38"/>
        </w:rPr>
        <w:t> </w:t>
      </w:r>
      <w:r>
        <w:rPr>
          <w:i/>
          <w:sz w:val="38"/>
        </w:rPr>
        <w:t>results</w:t>
      </w:r>
      <w:r>
        <w:rPr>
          <w:i/>
          <w:spacing w:val="-22"/>
          <w:sz w:val="38"/>
        </w:rPr>
        <w:t> </w:t>
      </w:r>
      <w:r>
        <w:rPr>
          <w:i/>
          <w:sz w:val="38"/>
        </w:rPr>
        <w:t>are</w:t>
      </w:r>
      <w:r>
        <w:rPr>
          <w:i/>
          <w:spacing w:val="-21"/>
          <w:sz w:val="38"/>
        </w:rPr>
        <w:t> </w:t>
      </w:r>
      <w:r>
        <w:rPr>
          <w:i/>
          <w:sz w:val="38"/>
        </w:rPr>
        <w:t>very</w:t>
      </w:r>
      <w:r>
        <w:rPr>
          <w:i/>
          <w:spacing w:val="-21"/>
          <w:sz w:val="38"/>
        </w:rPr>
        <w:t> </w:t>
      </w:r>
      <w:r>
        <w:rPr>
          <w:i/>
          <w:sz w:val="38"/>
        </w:rPr>
        <w:t>promising,</w:t>
      </w:r>
      <w:r>
        <w:rPr>
          <w:i/>
          <w:spacing w:val="-22"/>
          <w:sz w:val="38"/>
        </w:rPr>
        <w:t> </w:t>
      </w:r>
      <w:r>
        <w:rPr>
          <w:i/>
          <w:sz w:val="38"/>
        </w:rPr>
        <w:t>especially</w:t>
      </w:r>
      <w:r>
        <w:rPr>
          <w:i/>
          <w:spacing w:val="-20"/>
          <w:sz w:val="38"/>
        </w:rPr>
        <w:t> </w:t>
      </w:r>
      <w:r>
        <w:rPr>
          <w:i/>
          <w:sz w:val="38"/>
        </w:rPr>
        <w:t>since</w:t>
      </w:r>
      <w:r>
        <w:rPr>
          <w:i/>
          <w:spacing w:val="-22"/>
          <w:sz w:val="38"/>
        </w:rPr>
        <w:t> </w:t>
      </w:r>
      <w:r>
        <w:rPr>
          <w:i/>
          <w:sz w:val="38"/>
        </w:rPr>
        <w:t>the</w:t>
      </w:r>
      <w:r>
        <w:rPr>
          <w:i/>
          <w:spacing w:val="-25"/>
          <w:sz w:val="38"/>
        </w:rPr>
        <w:t> </w:t>
      </w:r>
      <w:r>
        <w:rPr>
          <w:i/>
          <w:sz w:val="38"/>
        </w:rPr>
        <w:t>therapeutic</w:t>
      </w:r>
      <w:r>
        <w:rPr>
          <w:i/>
          <w:spacing w:val="-21"/>
          <w:sz w:val="38"/>
        </w:rPr>
        <w:t> </w:t>
      </w:r>
      <w:r>
        <w:rPr>
          <w:i/>
          <w:sz w:val="38"/>
        </w:rPr>
        <w:t>successes</w:t>
      </w:r>
      <w:r>
        <w:rPr>
          <w:i/>
          <w:spacing w:val="-24"/>
          <w:sz w:val="38"/>
        </w:rPr>
        <w:t> </w:t>
      </w:r>
      <w:r>
        <w:rPr>
          <w:i/>
          <w:sz w:val="38"/>
        </w:rPr>
        <w:t>with</w:t>
      </w:r>
      <w:r>
        <w:rPr>
          <w:i/>
          <w:spacing w:val="-22"/>
          <w:sz w:val="38"/>
        </w:rPr>
        <w:t> </w:t>
      </w:r>
      <w:r>
        <w:rPr>
          <w:i/>
          <w:sz w:val="38"/>
        </w:rPr>
        <w:t>previously </w:t>
      </w:r>
      <w:r>
        <w:rPr>
          <w:i/>
          <w:sz w:val="38"/>
        </w:rPr>
        <w:t>known treatment options are comparatively modest. Our experiments have shown that EGCG also works on animals which are already ill. This corresponds to the treatment situ- ation in patients presenting to their doctor after the first episode of multiple</w:t>
      </w:r>
      <w:r>
        <w:rPr>
          <w:i/>
          <w:spacing w:val="-17"/>
          <w:sz w:val="38"/>
        </w:rPr>
        <w:t> </w:t>
      </w:r>
      <w:r>
        <w:rPr>
          <w:i/>
          <w:sz w:val="38"/>
        </w:rPr>
        <w:t>sclerosis’.</w:t>
      </w:r>
    </w:p>
    <w:p>
      <w:pPr>
        <w:spacing w:line="276" w:lineRule="auto" w:before="239"/>
        <w:ind w:left="477" w:right="143" w:firstLine="0"/>
        <w:jc w:val="both"/>
        <w:rPr>
          <w:sz w:val="25"/>
        </w:rPr>
      </w:pPr>
      <w:r>
        <w:rPr>
          <w:sz w:val="38"/>
        </w:rPr>
        <w:t>In the next step, further studies are planned to be performed on patients with relapsing-remitting MS. </w:t>
      </w:r>
      <w:r>
        <w:rPr>
          <w:i/>
          <w:sz w:val="38"/>
        </w:rPr>
        <w:t>‘If these studies are positive, EGCG may soon provide a new </w:t>
      </w:r>
      <w:r>
        <w:rPr>
          <w:i/>
          <w:sz w:val="38"/>
        </w:rPr>
        <w:t>treatment for patients with multiple sclerosis’, </w:t>
      </w:r>
      <w:r>
        <w:rPr>
          <w:sz w:val="38"/>
        </w:rPr>
        <w:t>said Aktas.</w:t>
      </w:r>
      <w:r>
        <w:rPr>
          <w:position w:val="9"/>
          <w:sz w:val="25"/>
        </w:rPr>
        <w:t>396</w:t>
      </w:r>
    </w:p>
    <w:p>
      <w:pPr>
        <w:pStyle w:val="Heading1"/>
        <w:spacing w:before="225"/>
        <w:jc w:val="both"/>
      </w:pPr>
      <w:r>
        <w:rPr/>
        <w:t>Green tea enhances the effects of</w:t>
      </w:r>
      <w:r>
        <w:rPr>
          <w:spacing w:val="-73"/>
        </w:rPr>
        <w:t> </w:t>
      </w:r>
      <w:r>
        <w:rPr/>
        <w:t>antibiotics</w:t>
      </w:r>
    </w:p>
    <w:p>
      <w:pPr>
        <w:pStyle w:val="BodyText"/>
        <w:spacing w:line="276" w:lineRule="auto" w:before="299"/>
        <w:ind w:left="477" w:right="134"/>
        <w:jc w:val="both"/>
      </w:pPr>
      <w:r>
        <w:rPr/>
        <w:t>Dr. Mervat Kassem, an Egyptian scientist, has been able to demonstrate that antibiotics work better on a large scale when patients also take green tea. To- gether</w:t>
      </w:r>
      <w:r>
        <w:rPr>
          <w:spacing w:val="-16"/>
        </w:rPr>
        <w:t> </w:t>
      </w:r>
      <w:r>
        <w:rPr/>
        <w:t>with</w:t>
      </w:r>
      <w:r>
        <w:rPr>
          <w:spacing w:val="-16"/>
        </w:rPr>
        <w:t> </w:t>
      </w:r>
      <w:r>
        <w:rPr/>
        <w:t>his</w:t>
      </w:r>
      <w:r>
        <w:rPr>
          <w:spacing w:val="-15"/>
        </w:rPr>
        <w:t> </w:t>
      </w:r>
      <w:r>
        <w:rPr/>
        <w:t>research</w:t>
      </w:r>
      <w:r>
        <w:rPr>
          <w:spacing w:val="-16"/>
        </w:rPr>
        <w:t> </w:t>
      </w:r>
      <w:r>
        <w:rPr/>
        <w:t>team,</w:t>
      </w:r>
      <w:r>
        <w:rPr>
          <w:spacing w:val="-14"/>
        </w:rPr>
        <w:t> </w:t>
      </w:r>
      <w:r>
        <w:rPr/>
        <w:t>he</w:t>
      </w:r>
      <w:r>
        <w:rPr>
          <w:spacing w:val="-18"/>
        </w:rPr>
        <w:t> </w:t>
      </w:r>
      <w:r>
        <w:rPr/>
        <w:t>tested</w:t>
      </w:r>
      <w:r>
        <w:rPr>
          <w:spacing w:val="-15"/>
        </w:rPr>
        <w:t> </w:t>
      </w:r>
      <w:r>
        <w:rPr/>
        <w:t>the</w:t>
      </w:r>
      <w:r>
        <w:rPr>
          <w:spacing w:val="-15"/>
        </w:rPr>
        <w:t> </w:t>
      </w:r>
      <w:r>
        <w:rPr/>
        <w:t>effect</w:t>
      </w:r>
      <w:r>
        <w:rPr>
          <w:spacing w:val="-18"/>
        </w:rPr>
        <w:t> </w:t>
      </w:r>
      <w:r>
        <w:rPr/>
        <w:t>on</w:t>
      </w:r>
      <w:r>
        <w:rPr>
          <w:spacing w:val="-16"/>
        </w:rPr>
        <w:t> </w:t>
      </w:r>
      <w:r>
        <w:rPr/>
        <w:t>pathogens</w:t>
      </w:r>
      <w:r>
        <w:rPr>
          <w:spacing w:val="-16"/>
        </w:rPr>
        <w:t> </w:t>
      </w:r>
      <w:r>
        <w:rPr/>
        <w:t>of</w:t>
      </w:r>
      <w:r>
        <w:rPr>
          <w:spacing w:val="-19"/>
        </w:rPr>
        <w:t> </w:t>
      </w:r>
      <w:r>
        <w:rPr/>
        <w:t>28</w:t>
      </w:r>
      <w:r>
        <w:rPr>
          <w:spacing w:val="-16"/>
        </w:rPr>
        <w:t> </w:t>
      </w:r>
      <w:r>
        <w:rPr/>
        <w:t>infectious diseases, with the result that green tea increased the effect in all cases and even pathogens that were no longer responsive to the antibiotics became</w:t>
      </w:r>
      <w:r>
        <w:rPr>
          <w:spacing w:val="-3"/>
        </w:rPr>
        <w:t> </w:t>
      </w:r>
      <w:r>
        <w:rPr/>
        <w:t>vulnerable</w:t>
      </w:r>
    </w:p>
    <w:p>
      <w:pPr>
        <w:pStyle w:val="BodyText"/>
        <w:rPr>
          <w:sz w:val="20"/>
        </w:rPr>
      </w:pPr>
    </w:p>
    <w:p>
      <w:pPr>
        <w:pStyle w:val="BodyText"/>
        <w:spacing w:before="5"/>
        <w:rPr>
          <w:sz w:val="26"/>
        </w:rPr>
      </w:pPr>
      <w:r>
        <w:rPr/>
        <w:pict>
          <v:line style="position:absolute;mso-position-horizontal-relative:page;mso-position-vertical-relative:paragraph;z-index:4640;mso-wrap-distance-left:0;mso-wrap-distance-right:0" from="63.863998pt,17.256266pt" to="207.883998pt,17.256266pt" stroked="true" strokeweight=".71997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396 </w:t>
      </w:r>
      <w:hyperlink r:id="rId155">
        <w:r>
          <w:rPr>
            <w:sz w:val="20"/>
          </w:rPr>
          <w:t>http://www.gesundheitsforschung-bmbf.de/de/1053.php</w:t>
        </w:r>
      </w:hyperlink>
    </w:p>
    <w:p>
      <w:pPr>
        <w:spacing w:after="0"/>
        <w:jc w:val="left"/>
        <w:rPr>
          <w:sz w:val="20"/>
        </w:rPr>
        <w:sectPr>
          <w:pgSz w:w="14270" w:h="16850"/>
          <w:pgMar w:header="0" w:footer="1891" w:top="1600" w:bottom="2080" w:left="800" w:right="1280"/>
        </w:sectPr>
      </w:pPr>
    </w:p>
    <w:p>
      <w:pPr>
        <w:spacing w:before="181"/>
        <w:ind w:left="477" w:right="0" w:firstLine="0"/>
        <w:jc w:val="left"/>
        <w:rPr>
          <w:sz w:val="25"/>
        </w:rPr>
      </w:pPr>
      <w:r>
        <w:rPr>
          <w:sz w:val="38"/>
        </w:rPr>
        <w:t>again.</w:t>
      </w:r>
      <w:r>
        <w:rPr>
          <w:position w:val="9"/>
          <w:sz w:val="25"/>
        </w:rPr>
        <w:t>397</w:t>
      </w:r>
    </w:p>
    <w:p>
      <w:pPr>
        <w:pStyle w:val="Heading1"/>
        <w:spacing w:before="288"/>
      </w:pPr>
      <w:r>
        <w:rPr/>
        <w:t>Green tea helps combat osteoporosis</w:t>
      </w:r>
    </w:p>
    <w:p>
      <w:pPr>
        <w:pStyle w:val="BodyText"/>
        <w:spacing w:line="276" w:lineRule="auto" w:before="299"/>
        <w:ind w:left="477" w:right="135"/>
        <w:jc w:val="both"/>
      </w:pPr>
      <w:r>
        <w:rPr/>
        <w:t>Green tea contains large amounts of manganese, which is responsible inter alia for</w:t>
      </w:r>
      <w:r>
        <w:rPr>
          <w:spacing w:val="-11"/>
        </w:rPr>
        <w:t> </w:t>
      </w:r>
      <w:r>
        <w:rPr/>
        <w:t>the</w:t>
      </w:r>
      <w:r>
        <w:rPr>
          <w:spacing w:val="-14"/>
        </w:rPr>
        <w:t> </w:t>
      </w:r>
      <w:r>
        <w:rPr/>
        <w:t>formation</w:t>
      </w:r>
      <w:r>
        <w:rPr>
          <w:spacing w:val="-12"/>
        </w:rPr>
        <w:t> </w:t>
      </w:r>
      <w:r>
        <w:rPr/>
        <w:t>of</w:t>
      </w:r>
      <w:r>
        <w:rPr>
          <w:spacing w:val="-15"/>
        </w:rPr>
        <w:t> </w:t>
      </w:r>
      <w:r>
        <w:rPr/>
        <w:t>connective</w:t>
      </w:r>
      <w:r>
        <w:rPr>
          <w:spacing w:val="-15"/>
        </w:rPr>
        <w:t> </w:t>
      </w:r>
      <w:r>
        <w:rPr/>
        <w:t>tissue</w:t>
      </w:r>
      <w:r>
        <w:rPr>
          <w:spacing w:val="-13"/>
        </w:rPr>
        <w:t> </w:t>
      </w:r>
      <w:r>
        <w:rPr/>
        <w:t>and</w:t>
      </w:r>
      <w:r>
        <w:rPr>
          <w:spacing w:val="-14"/>
        </w:rPr>
        <w:t> </w:t>
      </w:r>
      <w:r>
        <w:rPr/>
        <w:t>bone.</w:t>
      </w:r>
      <w:r>
        <w:rPr>
          <w:spacing w:val="-16"/>
        </w:rPr>
        <w:t> </w:t>
      </w:r>
      <w:r>
        <w:rPr/>
        <w:t>Manganese</w:t>
      </w:r>
      <w:r>
        <w:rPr>
          <w:spacing w:val="-11"/>
        </w:rPr>
        <w:t> </w:t>
      </w:r>
      <w:r>
        <w:rPr/>
        <w:t>transports</w:t>
      </w:r>
      <w:r>
        <w:rPr>
          <w:spacing w:val="-14"/>
        </w:rPr>
        <w:t> </w:t>
      </w:r>
      <w:r>
        <w:rPr/>
        <w:t>calcium from food into the bones and can therefore counteract osteoporosis very suc- cessfully.</w:t>
      </w:r>
    </w:p>
    <w:p>
      <w:pPr>
        <w:pStyle w:val="BodyText"/>
        <w:rPr>
          <w:sz w:val="42"/>
        </w:rPr>
      </w:pPr>
    </w:p>
    <w:p>
      <w:pPr>
        <w:pStyle w:val="BodyText"/>
        <w:rPr>
          <w:sz w:val="42"/>
        </w:rPr>
      </w:pPr>
    </w:p>
    <w:p>
      <w:pPr>
        <w:pStyle w:val="BodyText"/>
        <w:spacing w:before="9"/>
        <w:rPr>
          <w:sz w:val="58"/>
        </w:rPr>
      </w:pPr>
    </w:p>
    <w:p>
      <w:pPr>
        <w:pStyle w:val="Heading1"/>
        <w:spacing w:before="1"/>
      </w:pPr>
      <w:r>
        <w:rPr/>
        <w:t>Green tea for heartburn and irritated</w:t>
      </w:r>
      <w:r>
        <w:rPr>
          <w:spacing w:val="-74"/>
        </w:rPr>
        <w:t> </w:t>
      </w:r>
      <w:r>
        <w:rPr/>
        <w:t>stomach</w:t>
      </w:r>
    </w:p>
    <w:p>
      <w:pPr>
        <w:pStyle w:val="BodyText"/>
        <w:spacing w:line="276" w:lineRule="auto" w:before="297"/>
        <w:ind w:left="477"/>
      </w:pPr>
      <w:r>
        <w:rPr/>
        <w:t>The aluminium compounds contained in green tea are not toxic, they act as a buffer</w:t>
      </w:r>
      <w:r>
        <w:rPr>
          <w:spacing w:val="-18"/>
        </w:rPr>
        <w:t> </w:t>
      </w:r>
      <w:r>
        <w:rPr/>
        <w:t>against</w:t>
      </w:r>
      <w:r>
        <w:rPr>
          <w:spacing w:val="-19"/>
        </w:rPr>
        <w:t> </w:t>
      </w:r>
      <w:r>
        <w:rPr/>
        <w:t>stomach</w:t>
      </w:r>
      <w:r>
        <w:rPr>
          <w:spacing w:val="-18"/>
        </w:rPr>
        <w:t> </w:t>
      </w:r>
      <w:r>
        <w:rPr/>
        <w:t>acid</w:t>
      </w:r>
      <w:r>
        <w:rPr>
          <w:spacing w:val="-19"/>
        </w:rPr>
        <w:t> </w:t>
      </w:r>
      <w:r>
        <w:rPr/>
        <w:t>and</w:t>
      </w:r>
      <w:r>
        <w:rPr>
          <w:spacing w:val="-18"/>
        </w:rPr>
        <w:t> </w:t>
      </w:r>
      <w:r>
        <w:rPr/>
        <w:t>thus</w:t>
      </w:r>
      <w:r>
        <w:rPr>
          <w:spacing w:val="-18"/>
        </w:rPr>
        <w:t> </w:t>
      </w:r>
      <w:r>
        <w:rPr/>
        <w:t>counteract</w:t>
      </w:r>
      <w:r>
        <w:rPr>
          <w:spacing w:val="-17"/>
        </w:rPr>
        <w:t> </w:t>
      </w:r>
      <w:r>
        <w:rPr/>
        <w:t>heartburn</w:t>
      </w:r>
      <w:r>
        <w:rPr>
          <w:spacing w:val="-13"/>
        </w:rPr>
        <w:t> </w:t>
      </w:r>
      <w:r>
        <w:rPr/>
        <w:t>and</w:t>
      </w:r>
      <w:r>
        <w:rPr>
          <w:spacing w:val="-18"/>
        </w:rPr>
        <w:t> </w:t>
      </w:r>
      <w:r>
        <w:rPr/>
        <w:t>gastric</w:t>
      </w:r>
      <w:r>
        <w:rPr>
          <w:spacing w:val="-18"/>
        </w:rPr>
        <w:t> </w:t>
      </w:r>
      <w:r>
        <w:rPr/>
        <w:t>irritation.</w:t>
      </w:r>
    </w:p>
    <w:p>
      <w:pPr>
        <w:pStyle w:val="BodyText"/>
        <w:spacing w:before="2"/>
        <w:rPr>
          <w:sz w:val="41"/>
        </w:rPr>
      </w:pPr>
    </w:p>
    <w:p>
      <w:pPr>
        <w:pStyle w:val="Heading1"/>
        <w:spacing w:before="0"/>
      </w:pPr>
      <w:r>
        <w:rPr>
          <w:i w:val="0"/>
          <w:sz w:val="38"/>
        </w:rPr>
        <w:t>G</w:t>
      </w:r>
      <w:r>
        <w:rPr/>
        <w:t>reen tea promotes fat burning and helps weight loss</w:t>
      </w:r>
    </w:p>
    <w:p>
      <w:pPr>
        <w:pStyle w:val="BodyText"/>
        <w:spacing w:line="276" w:lineRule="auto" w:before="299"/>
        <w:ind w:left="477" w:right="130"/>
        <w:jc w:val="both"/>
      </w:pPr>
      <w:r>
        <w:rPr/>
        <w:t>Several studies support the positive influence of green tea on body weight. It supports the metabolism by accelerating thermogenesis and thus helps with weight loss.</w:t>
      </w:r>
      <w:r>
        <w:rPr>
          <w:position w:val="9"/>
          <w:sz w:val="25"/>
        </w:rPr>
        <w:t>398 </w:t>
      </w:r>
      <w:r>
        <w:rPr/>
        <w:t>This is attributed to the catechins and caffeine contained in the green tea.</w:t>
      </w:r>
    </w:p>
    <w:p>
      <w:pPr>
        <w:pStyle w:val="BodyText"/>
        <w:rPr>
          <w:sz w:val="20"/>
        </w:rPr>
      </w:pPr>
    </w:p>
    <w:p>
      <w:pPr>
        <w:pStyle w:val="BodyText"/>
        <w:rPr>
          <w:sz w:val="20"/>
        </w:rPr>
      </w:pPr>
    </w:p>
    <w:p>
      <w:pPr>
        <w:pStyle w:val="BodyText"/>
        <w:spacing w:before="10"/>
        <w:rPr>
          <w:sz w:val="28"/>
        </w:rPr>
      </w:pPr>
      <w:r>
        <w:rPr/>
        <w:pict>
          <v:line style="position:absolute;mso-position-horizontal-relative:page;mso-position-vertical-relative:paragraph;z-index:4664;mso-wrap-distance-left:0;mso-wrap-distance-right:0" from="63.863998pt,18.614985pt" to="207.883998pt,18.614985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397 </w:t>
      </w:r>
      <w:hyperlink r:id="rId156">
        <w:r>
          <w:rPr>
            <w:sz w:val="20"/>
          </w:rPr>
          <w:t>http://www.eurekalert.org/pub_releases/2008-03/sfgm-gth032808.php</w:t>
        </w:r>
      </w:hyperlink>
    </w:p>
    <w:p>
      <w:pPr>
        <w:spacing w:line="276" w:lineRule="auto" w:before="92"/>
        <w:ind w:left="477" w:right="0" w:firstLine="0"/>
        <w:jc w:val="left"/>
        <w:rPr>
          <w:sz w:val="20"/>
        </w:rPr>
      </w:pPr>
      <w:r>
        <w:rPr>
          <w:position w:val="5"/>
          <w:sz w:val="13"/>
        </w:rPr>
        <w:t>398 </w:t>
      </w:r>
      <w:r>
        <w:rPr>
          <w:sz w:val="20"/>
        </w:rPr>
        <w:t>Dulloo AG., Duret C., et al. ‘Efficacy of a green tea extract rich in catechins polyphenols and caffeine in increasing 24h energy expenditure and fat oxidation in humans’ Am J. Clinc Nutr. 1999; 70 p. 1040–1045.</w:t>
      </w:r>
    </w:p>
    <w:p>
      <w:pPr>
        <w:spacing w:after="0" w:line="276" w:lineRule="auto"/>
        <w:jc w:val="left"/>
        <w:rPr>
          <w:sz w:val="20"/>
        </w:rPr>
        <w:sectPr>
          <w:pgSz w:w="14270" w:h="16850"/>
          <w:pgMar w:header="0" w:footer="1891" w:top="1600" w:bottom="2080" w:left="800" w:right="1280"/>
        </w:sectPr>
      </w:pPr>
    </w:p>
    <w:p>
      <w:pPr>
        <w:pStyle w:val="BodyText"/>
        <w:spacing w:line="276" w:lineRule="auto" w:before="181"/>
        <w:ind w:left="477" w:right="138"/>
        <w:jc w:val="both"/>
      </w:pPr>
      <w:r>
        <w:rPr/>
        <w:t>Thermogenesis increases fat burning and lasts up to 24 hours after tea con- sumption. Green tea proves to be a potent aid to dieting.</w:t>
      </w:r>
    </w:p>
    <w:p>
      <w:pPr>
        <w:pStyle w:val="BodyText"/>
        <w:spacing w:before="8"/>
        <w:rPr>
          <w:sz w:val="42"/>
        </w:rPr>
      </w:pPr>
    </w:p>
    <w:p>
      <w:pPr>
        <w:pStyle w:val="Heading2"/>
        <w:spacing w:before="1"/>
        <w:jc w:val="both"/>
      </w:pPr>
      <w:r>
        <w:rPr/>
        <w:t>Active ingredients and effects</w:t>
      </w:r>
    </w:p>
    <w:p>
      <w:pPr>
        <w:pStyle w:val="BodyText"/>
        <w:spacing w:line="276" w:lineRule="auto" w:before="304"/>
        <w:ind w:left="477" w:right="141"/>
        <w:jc w:val="both"/>
      </w:pPr>
      <w:r>
        <w:rPr/>
        <w:t>Before we turn to the prophylactic and therapeutic effects of green tea in indi- vidual diseases in detail, we should first look at the active ingredients in green tea.</w:t>
      </w:r>
    </w:p>
    <w:p>
      <w:pPr>
        <w:pStyle w:val="BodyText"/>
        <w:spacing w:before="1"/>
        <w:rPr>
          <w:sz w:val="41"/>
        </w:rPr>
      </w:pPr>
    </w:p>
    <w:p>
      <w:pPr>
        <w:pStyle w:val="Heading1"/>
        <w:spacing w:before="0"/>
        <w:jc w:val="both"/>
      </w:pPr>
      <w:r>
        <w:rPr/>
        <w:t>EGCG (epigallocatechin gallate)</w:t>
      </w:r>
    </w:p>
    <w:p>
      <w:pPr>
        <w:pStyle w:val="BodyText"/>
        <w:spacing w:line="276" w:lineRule="auto" w:before="299"/>
        <w:ind w:left="477" w:right="138"/>
        <w:jc w:val="both"/>
      </w:pPr>
      <w:r>
        <w:rPr/>
        <w:t>EGCG seems to be the most effective ingredient in green tea, with almost mi- raculous properties in the prevention and treatment of many diseases. This in- gredient therefore deserves special attention.</w:t>
      </w:r>
    </w:p>
    <w:p>
      <w:pPr>
        <w:pStyle w:val="BodyText"/>
        <w:spacing w:line="276" w:lineRule="auto" w:before="242"/>
        <w:ind w:left="477" w:right="131"/>
        <w:jc w:val="both"/>
        <w:rPr>
          <w:sz w:val="25"/>
        </w:rPr>
      </w:pPr>
      <w:r>
        <w:rPr/>
        <w:t>EGCG has two gallate groups, making it the most effective catechin.</w:t>
      </w:r>
      <w:r>
        <w:rPr>
          <w:position w:val="9"/>
          <w:sz w:val="25"/>
        </w:rPr>
        <w:t>399 </w:t>
      </w:r>
      <w:r>
        <w:rPr/>
        <w:t>In a study on the oxidation of lipoproteins, catechins had a 20-fold higher antioxi- dant effect than vitamin C, making catechins a very important antioxidant.</w:t>
      </w:r>
      <w:r>
        <w:rPr>
          <w:position w:val="9"/>
          <w:sz w:val="25"/>
        </w:rPr>
        <w:t>400</w:t>
      </w:r>
    </w:p>
    <w:p>
      <w:pPr>
        <w:pStyle w:val="BodyText"/>
        <w:spacing w:line="276" w:lineRule="auto" w:before="238"/>
        <w:ind w:left="477" w:right="144"/>
        <w:jc w:val="both"/>
        <w:rPr>
          <w:sz w:val="25"/>
        </w:rPr>
      </w:pPr>
      <w:r>
        <w:rPr/>
        <w:t>Polyphenols</w:t>
      </w:r>
      <w:r>
        <w:rPr>
          <w:spacing w:val="-16"/>
        </w:rPr>
        <w:t> </w:t>
      </w:r>
      <w:r>
        <w:rPr/>
        <w:t>also</w:t>
      </w:r>
      <w:r>
        <w:rPr>
          <w:spacing w:val="-14"/>
        </w:rPr>
        <w:t> </w:t>
      </w:r>
      <w:r>
        <w:rPr/>
        <w:t>neutralise</w:t>
      </w:r>
      <w:r>
        <w:rPr>
          <w:spacing w:val="-15"/>
        </w:rPr>
        <w:t> </w:t>
      </w:r>
      <w:r>
        <w:rPr/>
        <w:t>free</w:t>
      </w:r>
      <w:r>
        <w:rPr>
          <w:spacing w:val="-14"/>
        </w:rPr>
        <w:t> </w:t>
      </w:r>
      <w:r>
        <w:rPr/>
        <w:t>radicals,</w:t>
      </w:r>
      <w:r>
        <w:rPr>
          <w:spacing w:val="-14"/>
        </w:rPr>
        <w:t> </w:t>
      </w:r>
      <w:r>
        <w:rPr/>
        <w:t>superoxide</w:t>
      </w:r>
      <w:r>
        <w:rPr>
          <w:spacing w:val="-15"/>
        </w:rPr>
        <w:t> </w:t>
      </w:r>
      <w:r>
        <w:rPr/>
        <w:t>radicals</w:t>
      </w:r>
      <w:r>
        <w:rPr>
          <w:spacing w:val="-15"/>
        </w:rPr>
        <w:t> </w:t>
      </w:r>
      <w:r>
        <w:rPr/>
        <w:t>and</w:t>
      </w:r>
      <w:r>
        <w:rPr>
          <w:spacing w:val="-13"/>
        </w:rPr>
        <w:t> </w:t>
      </w:r>
      <w:r>
        <w:rPr/>
        <w:t>peroxynitrites, they influence the activity of enzymes that promote oxidation and modify the phosphorylation of</w:t>
      </w:r>
      <w:r>
        <w:rPr>
          <w:spacing w:val="1"/>
        </w:rPr>
        <w:t> </w:t>
      </w:r>
      <w:r>
        <w:rPr/>
        <w:t>proteins.</w:t>
      </w:r>
      <w:r>
        <w:rPr>
          <w:position w:val="9"/>
          <w:sz w:val="25"/>
        </w:rPr>
        <w:t>401</w:t>
      </w:r>
    </w:p>
    <w:p>
      <w:pPr>
        <w:pStyle w:val="BodyText"/>
        <w:rPr>
          <w:sz w:val="20"/>
        </w:rPr>
      </w:pPr>
    </w:p>
    <w:p>
      <w:pPr>
        <w:pStyle w:val="BodyText"/>
        <w:rPr>
          <w:sz w:val="20"/>
        </w:rPr>
      </w:pPr>
    </w:p>
    <w:p>
      <w:pPr>
        <w:pStyle w:val="BodyText"/>
        <w:rPr>
          <w:sz w:val="20"/>
        </w:rPr>
      </w:pPr>
    </w:p>
    <w:p>
      <w:pPr>
        <w:pStyle w:val="BodyText"/>
        <w:spacing w:before="5"/>
        <w:rPr>
          <w:sz w:val="12"/>
        </w:rPr>
      </w:pPr>
      <w:r>
        <w:rPr/>
        <w:pict>
          <v:line style="position:absolute;mso-position-horizontal-relative:page;mso-position-vertical-relative:paragraph;z-index:4688;mso-wrap-distance-left:0;mso-wrap-distance-right:0" from="63.863998pt,9.389985pt" to="207.883998pt,9.389985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399 </w:t>
      </w:r>
      <w:r>
        <w:rPr>
          <w:sz w:val="20"/>
        </w:rPr>
        <w:t>Guo et al., 1999</w:t>
      </w:r>
    </w:p>
    <w:p>
      <w:pPr>
        <w:spacing w:before="92"/>
        <w:ind w:left="477" w:right="0" w:firstLine="0"/>
        <w:jc w:val="left"/>
        <w:rPr>
          <w:sz w:val="20"/>
        </w:rPr>
      </w:pPr>
      <w:r>
        <w:rPr>
          <w:position w:val="5"/>
          <w:sz w:val="13"/>
        </w:rPr>
        <w:t>400 </w:t>
      </w:r>
      <w:r>
        <w:rPr>
          <w:sz w:val="20"/>
        </w:rPr>
        <w:t>Vinson et al., 1995</w:t>
      </w:r>
    </w:p>
    <w:p>
      <w:pPr>
        <w:spacing w:before="94"/>
        <w:ind w:left="477" w:right="0" w:firstLine="0"/>
        <w:jc w:val="left"/>
        <w:rPr>
          <w:sz w:val="20"/>
        </w:rPr>
      </w:pPr>
      <w:r>
        <w:rPr>
          <w:position w:val="5"/>
          <w:sz w:val="13"/>
        </w:rPr>
        <w:t>401 </w:t>
      </w:r>
      <w:r>
        <w:rPr>
          <w:sz w:val="20"/>
        </w:rPr>
        <w:t>de Groot and Rauen, 1998; Chen and Ho, 1995 Middleton, 1998</w:t>
      </w:r>
    </w:p>
    <w:p>
      <w:pPr>
        <w:spacing w:after="0"/>
        <w:jc w:val="left"/>
        <w:rPr>
          <w:sz w:val="20"/>
        </w:rPr>
        <w:sectPr>
          <w:pgSz w:w="14270" w:h="16850"/>
          <w:pgMar w:header="0" w:footer="1891" w:top="1600" w:bottom="2080" w:left="800" w:right="1280"/>
        </w:sectPr>
      </w:pPr>
    </w:p>
    <w:p>
      <w:pPr>
        <w:pStyle w:val="BodyText"/>
        <w:spacing w:line="276" w:lineRule="auto" w:before="181"/>
        <w:ind w:left="477" w:right="136"/>
        <w:jc w:val="both"/>
      </w:pPr>
      <w:r>
        <w:rPr/>
        <w:t>The flavonoid, which is abundant in green tea, unlike in black tea, has been proven in several studies to have an inhibitory effect on cancer growth and a protective effect in diabetes, multiple sclerosis and others.</w:t>
      </w:r>
    </w:p>
    <w:p>
      <w:pPr>
        <w:pStyle w:val="BodyText"/>
        <w:spacing w:line="276" w:lineRule="auto" w:before="242"/>
        <w:ind w:left="477" w:right="132"/>
        <w:jc w:val="both"/>
      </w:pPr>
      <w:r>
        <w:rPr/>
        <w:t>EGCG also has anti-inflammatory properties, as we know from</w:t>
      </w:r>
      <w:r>
        <w:rPr>
          <w:spacing w:val="-60"/>
        </w:rPr>
        <w:t> </w:t>
      </w:r>
      <w:r>
        <w:rPr/>
        <w:t>aspirin.</w:t>
      </w:r>
      <w:r>
        <w:rPr>
          <w:position w:val="9"/>
          <w:sz w:val="25"/>
        </w:rPr>
        <w:t>402 </w:t>
      </w:r>
      <w:r>
        <w:rPr/>
        <w:t>This prevents vascular occlusions and thus counteracts cardiovascular diseases, in- cluding heart attacks, cerebral apoplexy and angina pectoris.</w:t>
      </w:r>
    </w:p>
    <w:p>
      <w:pPr>
        <w:pStyle w:val="Heading1"/>
        <w:spacing w:before="222"/>
        <w:jc w:val="both"/>
      </w:pPr>
      <w:r>
        <w:rPr/>
        <w:t>Tabular presentation of the EGCG</w:t>
      </w:r>
      <w:r>
        <w:rPr>
          <w:spacing w:val="-56"/>
        </w:rPr>
        <w:t> </w:t>
      </w:r>
      <w:r>
        <w:rPr/>
        <w:t>effect</w:t>
      </w:r>
    </w:p>
    <w:p>
      <w:pPr>
        <w:pStyle w:val="Heading2"/>
        <w:tabs>
          <w:tab w:pos="4406" w:val="left" w:leader="none"/>
        </w:tabs>
        <w:spacing w:before="299"/>
        <w:ind w:left="1422"/>
      </w:pPr>
      <w:r>
        <w:rPr/>
        <w:t>Illness</w:t>
        <w:tab/>
        <w:t>Effect</w:t>
      </w:r>
    </w:p>
    <w:p>
      <w:pPr>
        <w:spacing w:after="0"/>
        <w:sectPr>
          <w:pgSz w:w="14270" w:h="16850"/>
          <w:pgMar w:header="0" w:footer="1891" w:top="1600" w:bottom="2080" w:left="800" w:right="1280"/>
        </w:sectPr>
      </w:pPr>
    </w:p>
    <w:p>
      <w:pPr>
        <w:pStyle w:val="BodyText"/>
        <w:spacing w:line="276" w:lineRule="auto" w:before="64"/>
        <w:ind w:left="585"/>
      </w:pPr>
      <w:r>
        <w:rPr/>
        <w:t>Cardiovascular disease</w:t>
      </w:r>
    </w:p>
    <w:p>
      <w:pPr>
        <w:pStyle w:val="BodyText"/>
        <w:tabs>
          <w:tab w:pos="2996" w:val="left" w:leader="none"/>
        </w:tabs>
        <w:spacing w:line="276" w:lineRule="auto" w:before="1"/>
        <w:ind w:left="585"/>
      </w:pPr>
      <w:r>
        <w:rPr/>
        <w:t>Reduction</w:t>
        <w:tab/>
      </w:r>
      <w:r>
        <w:rPr>
          <w:spacing w:val="-1"/>
        </w:rPr>
        <w:t>of</w:t>
      </w:r>
      <w:r>
        <w:rPr>
          <w:spacing w:val="-1"/>
          <w:w w:val="99"/>
        </w:rPr>
        <w:t> </w:t>
      </w:r>
      <w:r>
        <w:rPr/>
        <w:t>blood sugar</w:t>
      </w:r>
      <w:r>
        <w:rPr>
          <w:spacing w:val="-2"/>
        </w:rPr>
        <w:t> </w:t>
      </w:r>
      <w:r>
        <w:rPr/>
        <w:t>level</w:t>
      </w:r>
    </w:p>
    <w:p>
      <w:pPr>
        <w:pStyle w:val="BodyText"/>
        <w:tabs>
          <w:tab w:pos="2586" w:val="left" w:leader="none"/>
        </w:tabs>
        <w:spacing w:line="276" w:lineRule="auto" w:before="64"/>
        <w:ind w:left="176" w:right="5925"/>
      </w:pPr>
      <w:r>
        <w:rPr/>
        <w:br w:type="column"/>
      </w:r>
      <w:r>
        <w:rPr/>
        <w:t>Inhibition</w:t>
        <w:tab/>
        <w:t>of blood clotting</w:t>
      </w:r>
    </w:p>
    <w:p>
      <w:pPr>
        <w:spacing w:after="0" w:line="276" w:lineRule="auto"/>
        <w:sectPr>
          <w:type w:val="continuous"/>
          <w:pgSz w:w="14270" w:h="16850"/>
          <w:pgMar w:top="1340" w:bottom="280" w:left="800" w:right="1280"/>
          <w:cols w:num="2" w:equalWidth="0">
            <w:col w:w="3312" w:space="40"/>
            <w:col w:w="8838"/>
          </w:cols>
        </w:sectPr>
      </w:pPr>
    </w:p>
    <w:p>
      <w:pPr>
        <w:pStyle w:val="BodyText"/>
        <w:tabs>
          <w:tab w:pos="3528" w:val="left" w:leader="none"/>
        </w:tabs>
        <w:spacing w:line="276" w:lineRule="auto"/>
        <w:ind w:left="3528" w:right="5961" w:hanging="2943"/>
      </w:pPr>
      <w:r>
        <w:rPr/>
        <w:t>Cancer</w:t>
        <w:tab/>
        <w:t>Inhibition of can- cer growth</w:t>
      </w:r>
    </w:p>
    <w:p>
      <w:pPr>
        <w:spacing w:after="0" w:line="276" w:lineRule="auto"/>
        <w:sectPr>
          <w:type w:val="continuous"/>
          <w:pgSz w:w="14270" w:h="16850"/>
          <w:pgMar w:top="1340" w:bottom="280" w:left="800" w:right="1280"/>
        </w:sectPr>
      </w:pPr>
    </w:p>
    <w:p>
      <w:pPr>
        <w:pStyle w:val="BodyText"/>
        <w:spacing w:line="276" w:lineRule="auto"/>
        <w:ind w:left="585" w:right="-7"/>
      </w:pPr>
      <w:r>
        <w:rPr>
          <w:spacing w:val="-1"/>
        </w:rPr>
        <w:t>Caries/periodon- </w:t>
      </w:r>
      <w:r>
        <w:rPr/>
        <w:t>tal disease</w:t>
      </w:r>
    </w:p>
    <w:p>
      <w:pPr>
        <w:pStyle w:val="BodyText"/>
        <w:tabs>
          <w:tab w:pos="1614" w:val="left" w:leader="none"/>
          <w:tab w:pos="2195" w:val="left" w:leader="none"/>
        </w:tabs>
        <w:spacing w:line="276" w:lineRule="auto"/>
        <w:ind w:left="353" w:right="5921"/>
      </w:pPr>
      <w:r>
        <w:rPr/>
        <w:br w:type="column"/>
      </w:r>
      <w:r>
        <w:rPr/>
        <w:t>Polyphenol inhib- its the enzymes of the</w:t>
        <w:tab/>
        <w:t>bacterium Streptococcus mutans,</w:t>
        <w:tab/>
        <w:tab/>
        <w:t>which</w:t>
      </w:r>
    </w:p>
    <w:p>
      <w:pPr>
        <w:spacing w:after="0" w:line="276" w:lineRule="auto"/>
        <w:sectPr>
          <w:type w:val="continuous"/>
          <w:pgSz w:w="14270" w:h="16850"/>
          <w:pgMar w:top="1340" w:bottom="280" w:left="800" w:right="1280"/>
          <w:cols w:num="2" w:equalWidth="0">
            <w:col w:w="3135" w:space="40"/>
            <w:col w:w="9015"/>
          </w:cols>
        </w:sectPr>
      </w:pPr>
    </w:p>
    <w:p>
      <w:pPr>
        <w:pStyle w:val="BodyText"/>
        <w:rPr>
          <w:sz w:val="17"/>
        </w:rPr>
      </w:pPr>
    </w:p>
    <w:p>
      <w:pPr>
        <w:pStyle w:val="BodyText"/>
        <w:spacing w:line="20" w:lineRule="exact"/>
        <w:ind w:left="469"/>
        <w:rPr>
          <w:sz w:val="2"/>
        </w:rPr>
      </w:pPr>
      <w:r>
        <w:rPr>
          <w:sz w:val="2"/>
        </w:rPr>
        <w:pict>
          <v:group style="width:144.050pt;height:.75pt;mso-position-horizontal-relative:char;mso-position-vertical-relative:line" coordorigin="0,0" coordsize="2881,15">
            <v:line style="position:absolute" from="0,7" to="2880,7" stroked="true" strokeweight=".71997pt" strokecolor="#000000">
              <v:stroke dashstyle="solid"/>
            </v:line>
          </v:group>
        </w:pict>
      </w:r>
      <w:r>
        <w:rPr>
          <w:sz w:val="2"/>
        </w:rPr>
      </w:r>
    </w:p>
    <w:p>
      <w:pPr>
        <w:pStyle w:val="BodyText"/>
        <w:spacing w:before="10"/>
        <w:rPr>
          <w:sz w:val="20"/>
        </w:rPr>
      </w:pPr>
    </w:p>
    <w:p>
      <w:pPr>
        <w:spacing w:before="99"/>
        <w:ind w:left="477" w:right="0" w:firstLine="0"/>
        <w:jc w:val="left"/>
        <w:rPr>
          <w:sz w:val="20"/>
        </w:rPr>
      </w:pPr>
      <w:r>
        <w:rPr>
          <w:position w:val="5"/>
          <w:sz w:val="13"/>
        </w:rPr>
        <w:t>402 </w:t>
      </w:r>
      <w:r>
        <w:rPr>
          <w:sz w:val="20"/>
        </w:rPr>
        <w:t>Dr. Jörg Zittlau: Grüner Tee für Gesundheit und Vitalität (‘Green Tea for Health and Vitality’), 1997, p. 36</w:t>
      </w:r>
    </w:p>
    <w:p>
      <w:pPr>
        <w:spacing w:after="0"/>
        <w:jc w:val="left"/>
        <w:rPr>
          <w:sz w:val="20"/>
        </w:rPr>
        <w:sectPr>
          <w:type w:val="continuous"/>
          <w:pgSz w:w="14270" w:h="16850"/>
          <w:pgMar w:top="1340" w:bottom="280" w:left="800" w:right="1280"/>
        </w:sectPr>
      </w:pPr>
    </w:p>
    <w:p>
      <w:pPr>
        <w:pStyle w:val="BodyText"/>
        <w:spacing w:line="276" w:lineRule="auto" w:before="181"/>
        <w:ind w:left="3528" w:right="5924"/>
        <w:jc w:val="both"/>
      </w:pPr>
      <w:r>
        <w:rPr/>
        <w:t>promote the de- velopment of den- tal plaque</w:t>
      </w:r>
    </w:p>
    <w:p>
      <w:pPr>
        <w:pStyle w:val="BodyText"/>
        <w:tabs>
          <w:tab w:pos="3528" w:val="left" w:leader="none"/>
          <w:tab w:pos="5338" w:val="left" w:leader="none"/>
        </w:tabs>
        <w:spacing w:before="2"/>
        <w:ind w:left="585"/>
      </w:pPr>
      <w:r>
        <w:rPr/>
        <w:t>Viral</w:t>
      </w:r>
      <w:r>
        <w:rPr>
          <w:spacing w:val="-4"/>
        </w:rPr>
        <w:t> </w:t>
      </w:r>
      <w:r>
        <w:rPr/>
        <w:t>diseases</w:t>
        <w:tab/>
        <w:t>Antiviral</w:t>
        <w:tab/>
        <w:t>effect,</w:t>
      </w:r>
    </w:p>
    <w:p>
      <w:pPr>
        <w:pStyle w:val="BodyText"/>
        <w:spacing w:line="276" w:lineRule="auto" w:before="64"/>
        <w:ind w:left="3528" w:right="5921"/>
        <w:jc w:val="both"/>
      </w:pPr>
      <w:r>
        <w:rPr/>
        <w:t>such as influenza viruses that cause flu and fever,</w:t>
      </w:r>
    </w:p>
    <w:p>
      <w:pPr>
        <w:pStyle w:val="BodyText"/>
        <w:tabs>
          <w:tab w:pos="3528" w:val="left" w:leader="none"/>
        </w:tabs>
        <w:spacing w:line="276" w:lineRule="auto"/>
        <w:ind w:left="3528" w:right="5921" w:hanging="2943"/>
        <w:jc w:val="both"/>
      </w:pPr>
      <w:r>
        <w:rPr/>
        <w:t>HIV</w:t>
        <w:tab/>
        <w:t>Possibly the same effect as above – already used in the treatment of AIDS</w:t>
      </w:r>
      <w:r>
        <w:rPr>
          <w:spacing w:val="-1"/>
        </w:rPr>
        <w:t> </w:t>
      </w:r>
      <w:r>
        <w:rPr/>
        <w:t>patients</w:t>
      </w:r>
    </w:p>
    <w:p>
      <w:pPr>
        <w:pStyle w:val="BodyText"/>
        <w:rPr>
          <w:sz w:val="42"/>
        </w:rPr>
      </w:pPr>
    </w:p>
    <w:p>
      <w:pPr>
        <w:pStyle w:val="BodyText"/>
        <w:rPr>
          <w:sz w:val="42"/>
        </w:rPr>
      </w:pPr>
    </w:p>
    <w:p>
      <w:pPr>
        <w:pStyle w:val="BodyText"/>
        <w:rPr>
          <w:sz w:val="42"/>
        </w:rPr>
      </w:pPr>
    </w:p>
    <w:p>
      <w:pPr>
        <w:pStyle w:val="BodyText"/>
        <w:rPr>
          <w:sz w:val="42"/>
        </w:rPr>
      </w:pPr>
    </w:p>
    <w:p>
      <w:pPr>
        <w:pStyle w:val="Heading1"/>
        <w:spacing w:before="247"/>
      </w:pPr>
      <w:r>
        <w:rPr/>
        <w:t>Flavonoids</w:t>
      </w:r>
    </w:p>
    <w:p>
      <w:pPr>
        <w:pStyle w:val="BodyText"/>
        <w:spacing w:line="276" w:lineRule="auto" w:before="299"/>
        <w:ind w:left="477" w:right="133"/>
        <w:jc w:val="both"/>
      </w:pPr>
      <w:r>
        <w:rPr/>
        <w:t>Flavonoids</w:t>
      </w:r>
      <w:r>
        <w:rPr>
          <w:spacing w:val="-13"/>
        </w:rPr>
        <w:t> </w:t>
      </w:r>
      <w:r>
        <w:rPr/>
        <w:t>are</w:t>
      </w:r>
      <w:r>
        <w:rPr>
          <w:spacing w:val="-11"/>
        </w:rPr>
        <w:t> </w:t>
      </w:r>
      <w:r>
        <w:rPr/>
        <w:t>phytochemicals</w:t>
      </w:r>
      <w:r>
        <w:rPr>
          <w:spacing w:val="-12"/>
        </w:rPr>
        <w:t> </w:t>
      </w:r>
      <w:r>
        <w:rPr/>
        <w:t>which</w:t>
      </w:r>
      <w:r>
        <w:rPr>
          <w:spacing w:val="-11"/>
        </w:rPr>
        <w:t> </w:t>
      </w:r>
      <w:r>
        <w:rPr/>
        <w:t>have</w:t>
      </w:r>
      <w:r>
        <w:rPr>
          <w:spacing w:val="-12"/>
        </w:rPr>
        <w:t> </w:t>
      </w:r>
      <w:r>
        <w:rPr/>
        <w:t>great</w:t>
      </w:r>
      <w:r>
        <w:rPr>
          <w:spacing w:val="-15"/>
        </w:rPr>
        <w:t> </w:t>
      </w:r>
      <w:r>
        <w:rPr/>
        <w:t>benefits</w:t>
      </w:r>
      <w:r>
        <w:rPr>
          <w:spacing w:val="-13"/>
        </w:rPr>
        <w:t> </w:t>
      </w:r>
      <w:r>
        <w:rPr/>
        <w:t>for</w:t>
      </w:r>
      <w:r>
        <w:rPr>
          <w:spacing w:val="-13"/>
        </w:rPr>
        <w:t> </w:t>
      </w:r>
      <w:r>
        <w:rPr/>
        <w:t>our</w:t>
      </w:r>
      <w:r>
        <w:rPr>
          <w:spacing w:val="-14"/>
        </w:rPr>
        <w:t> </w:t>
      </w:r>
      <w:r>
        <w:rPr/>
        <w:t>health</w:t>
      </w:r>
      <w:r>
        <w:rPr>
          <w:spacing w:val="-13"/>
        </w:rPr>
        <w:t> </w:t>
      </w:r>
      <w:r>
        <w:rPr/>
        <w:t>and</w:t>
      </w:r>
      <w:r>
        <w:rPr>
          <w:spacing w:val="-11"/>
        </w:rPr>
        <w:t> </w:t>
      </w:r>
      <w:r>
        <w:rPr/>
        <w:t>are particularly</w:t>
      </w:r>
      <w:r>
        <w:rPr>
          <w:spacing w:val="-8"/>
        </w:rPr>
        <w:t> </w:t>
      </w:r>
      <w:r>
        <w:rPr/>
        <w:t>abundant</w:t>
      </w:r>
      <w:r>
        <w:rPr>
          <w:spacing w:val="-6"/>
        </w:rPr>
        <w:t> </w:t>
      </w:r>
      <w:r>
        <w:rPr/>
        <w:t>in</w:t>
      </w:r>
      <w:r>
        <w:rPr>
          <w:spacing w:val="-8"/>
        </w:rPr>
        <w:t> </w:t>
      </w:r>
      <w:r>
        <w:rPr/>
        <w:t>green</w:t>
      </w:r>
      <w:r>
        <w:rPr>
          <w:spacing w:val="-6"/>
        </w:rPr>
        <w:t> </w:t>
      </w:r>
      <w:r>
        <w:rPr/>
        <w:t>tea.</w:t>
      </w:r>
      <w:r>
        <w:rPr>
          <w:spacing w:val="-6"/>
        </w:rPr>
        <w:t> </w:t>
      </w:r>
      <w:r>
        <w:rPr/>
        <w:t>Flavonoids</w:t>
      </w:r>
      <w:r>
        <w:rPr>
          <w:spacing w:val="-8"/>
        </w:rPr>
        <w:t> </w:t>
      </w:r>
      <w:r>
        <w:rPr/>
        <w:t>reduce</w:t>
      </w:r>
      <w:r>
        <w:rPr>
          <w:spacing w:val="-8"/>
        </w:rPr>
        <w:t> </w:t>
      </w:r>
      <w:r>
        <w:rPr/>
        <w:t>the</w:t>
      </w:r>
      <w:r>
        <w:rPr>
          <w:spacing w:val="-6"/>
        </w:rPr>
        <w:t> </w:t>
      </w:r>
      <w:r>
        <w:rPr/>
        <w:t>risk</w:t>
      </w:r>
      <w:r>
        <w:rPr>
          <w:spacing w:val="-8"/>
        </w:rPr>
        <w:t> </w:t>
      </w:r>
      <w:r>
        <w:rPr/>
        <w:t>of</w:t>
      </w:r>
      <w:r>
        <w:rPr>
          <w:spacing w:val="-9"/>
        </w:rPr>
        <w:t> </w:t>
      </w:r>
      <w:r>
        <w:rPr/>
        <w:t>blood</w:t>
      </w:r>
      <w:r>
        <w:rPr>
          <w:spacing w:val="-7"/>
        </w:rPr>
        <w:t> </w:t>
      </w:r>
      <w:r>
        <w:rPr/>
        <w:t>clotting, lower cholesterol and normalise high blood pressure. They therefore offer highly potent protection for our cardiovascular system. They also reduce the risk of breast, colon and stomach</w:t>
      </w:r>
      <w:r>
        <w:rPr>
          <w:spacing w:val="-5"/>
        </w:rPr>
        <w:t> </w:t>
      </w:r>
      <w:r>
        <w:rPr/>
        <w:t>cancer.</w:t>
      </w:r>
    </w:p>
    <w:p>
      <w:pPr>
        <w:spacing w:after="0" w:line="276" w:lineRule="auto"/>
        <w:jc w:val="both"/>
        <w:sectPr>
          <w:pgSz w:w="14270" w:h="16850"/>
          <w:pgMar w:header="0" w:footer="1891" w:top="1600" w:bottom="2080" w:left="800" w:right="1280"/>
        </w:sectPr>
      </w:pPr>
    </w:p>
    <w:p>
      <w:pPr>
        <w:pStyle w:val="Heading1"/>
        <w:spacing w:before="164"/>
      </w:pPr>
      <w:r>
        <w:rPr/>
        <w:t>Tannins</w:t>
      </w:r>
    </w:p>
    <w:p>
      <w:pPr>
        <w:pStyle w:val="BodyText"/>
        <w:spacing w:line="276" w:lineRule="auto" w:before="299"/>
        <w:ind w:left="477" w:right="132"/>
        <w:jc w:val="both"/>
      </w:pPr>
      <w:r>
        <w:rPr/>
        <w:t>Tannins belong to the group of polyphenols and are used in the treatment of gastrointestinal disorders. They convert proteins into molecules and thus de- prive parasites of food. Tannins have a calming effect on the gastrointestinal tract;</w:t>
      </w:r>
      <w:r>
        <w:rPr>
          <w:spacing w:val="-11"/>
        </w:rPr>
        <w:t> </w:t>
      </w:r>
      <w:r>
        <w:rPr/>
        <w:t>applied</w:t>
      </w:r>
      <w:r>
        <w:rPr>
          <w:spacing w:val="-13"/>
        </w:rPr>
        <w:t> </w:t>
      </w:r>
      <w:r>
        <w:rPr/>
        <w:t>externally,</w:t>
      </w:r>
      <w:r>
        <w:rPr>
          <w:spacing w:val="-11"/>
        </w:rPr>
        <w:t> </w:t>
      </w:r>
      <w:r>
        <w:rPr/>
        <w:t>they</w:t>
      </w:r>
      <w:r>
        <w:rPr>
          <w:spacing w:val="-12"/>
        </w:rPr>
        <w:t> </w:t>
      </w:r>
      <w:r>
        <w:rPr/>
        <w:t>can</w:t>
      </w:r>
      <w:r>
        <w:rPr>
          <w:spacing w:val="-16"/>
        </w:rPr>
        <w:t> </w:t>
      </w:r>
      <w:r>
        <w:rPr/>
        <w:t>strengthen</w:t>
      </w:r>
      <w:r>
        <w:rPr>
          <w:spacing w:val="-13"/>
        </w:rPr>
        <w:t> </w:t>
      </w:r>
      <w:r>
        <w:rPr/>
        <w:t>the</w:t>
      </w:r>
      <w:r>
        <w:rPr>
          <w:spacing w:val="-12"/>
        </w:rPr>
        <w:t> </w:t>
      </w:r>
      <w:r>
        <w:rPr/>
        <w:t>skin</w:t>
      </w:r>
      <w:r>
        <w:rPr>
          <w:spacing w:val="-11"/>
        </w:rPr>
        <w:t> </w:t>
      </w:r>
      <w:r>
        <w:rPr/>
        <w:t>and</w:t>
      </w:r>
      <w:r>
        <w:rPr>
          <w:spacing w:val="-11"/>
        </w:rPr>
        <w:t> </w:t>
      </w:r>
      <w:r>
        <w:rPr/>
        <w:t>make</w:t>
      </w:r>
      <w:r>
        <w:rPr>
          <w:spacing w:val="-11"/>
        </w:rPr>
        <w:t> </w:t>
      </w:r>
      <w:r>
        <w:rPr/>
        <w:t>it</w:t>
      </w:r>
      <w:r>
        <w:rPr>
          <w:spacing w:val="-17"/>
        </w:rPr>
        <w:t> </w:t>
      </w:r>
      <w:r>
        <w:rPr/>
        <w:t>more</w:t>
      </w:r>
      <w:r>
        <w:rPr>
          <w:spacing w:val="-11"/>
        </w:rPr>
        <w:t> </w:t>
      </w:r>
      <w:r>
        <w:rPr/>
        <w:t>resistant to environmental</w:t>
      </w:r>
      <w:r>
        <w:rPr>
          <w:spacing w:val="-1"/>
        </w:rPr>
        <w:t> </w:t>
      </w:r>
      <w:r>
        <w:rPr/>
        <w:t>influences.</w:t>
      </w:r>
    </w:p>
    <w:p>
      <w:pPr>
        <w:pStyle w:val="Heading1"/>
        <w:spacing w:before="223"/>
      </w:pPr>
      <w:r>
        <w:rPr/>
        <w:t>Vitamins</w:t>
      </w:r>
    </w:p>
    <w:p>
      <w:pPr>
        <w:pStyle w:val="BodyText"/>
        <w:spacing w:line="276" w:lineRule="auto" w:before="299"/>
        <w:ind w:left="477" w:right="132"/>
        <w:jc w:val="both"/>
      </w:pPr>
      <w:r>
        <w:rPr/>
        <w:t>First and foremost, they contain high levels of natural vitamin C, which is the structural vitamin in our body and undoubtedly one of the most important vit- amins. It also strengthens our immune system, prevents atherosclerosis,</w:t>
      </w:r>
      <w:r>
        <w:rPr>
          <w:spacing w:val="-44"/>
        </w:rPr>
        <w:t> </w:t>
      </w:r>
      <w:r>
        <w:rPr/>
        <w:t>lowers bad cholesterol and has anti-inflammatory effects. The vitamin B or thiamine contained in green tea also keeps our spirits fresh and increases our ability to concentrate.</w:t>
      </w:r>
    </w:p>
    <w:p>
      <w:pPr>
        <w:pStyle w:val="Heading1"/>
        <w:spacing w:before="223"/>
      </w:pPr>
      <w:r>
        <w:rPr/>
        <w:t>Essential oils</w:t>
      </w:r>
    </w:p>
    <w:p>
      <w:pPr>
        <w:pStyle w:val="BodyText"/>
        <w:spacing w:line="276" w:lineRule="auto" w:before="300"/>
        <w:ind w:left="477" w:right="134"/>
        <w:jc w:val="both"/>
      </w:pPr>
      <w:r>
        <w:rPr/>
        <w:t>Green</w:t>
      </w:r>
      <w:r>
        <w:rPr>
          <w:spacing w:val="-21"/>
        </w:rPr>
        <w:t> </w:t>
      </w:r>
      <w:r>
        <w:rPr/>
        <w:t>tea</w:t>
      </w:r>
      <w:r>
        <w:rPr>
          <w:spacing w:val="-22"/>
        </w:rPr>
        <w:t> </w:t>
      </w:r>
      <w:r>
        <w:rPr/>
        <w:t>not</w:t>
      </w:r>
      <w:r>
        <w:rPr>
          <w:spacing w:val="-24"/>
        </w:rPr>
        <w:t> </w:t>
      </w:r>
      <w:r>
        <w:rPr/>
        <w:t>only</w:t>
      </w:r>
      <w:r>
        <w:rPr>
          <w:spacing w:val="-22"/>
        </w:rPr>
        <w:t> </w:t>
      </w:r>
      <w:r>
        <w:rPr/>
        <w:t>has</w:t>
      </w:r>
      <w:r>
        <w:rPr>
          <w:spacing w:val="-20"/>
        </w:rPr>
        <w:t> </w:t>
      </w:r>
      <w:r>
        <w:rPr/>
        <w:t>a</w:t>
      </w:r>
      <w:r>
        <w:rPr>
          <w:spacing w:val="-22"/>
        </w:rPr>
        <w:t> </w:t>
      </w:r>
      <w:r>
        <w:rPr/>
        <w:t>positive</w:t>
      </w:r>
      <w:r>
        <w:rPr>
          <w:spacing w:val="-23"/>
        </w:rPr>
        <w:t> </w:t>
      </w:r>
      <w:r>
        <w:rPr/>
        <w:t>effect</w:t>
      </w:r>
      <w:r>
        <w:rPr>
          <w:spacing w:val="-21"/>
        </w:rPr>
        <w:t> </w:t>
      </w:r>
      <w:r>
        <w:rPr/>
        <w:t>on</w:t>
      </w:r>
      <w:r>
        <w:rPr>
          <w:spacing w:val="-23"/>
        </w:rPr>
        <w:t> </w:t>
      </w:r>
      <w:r>
        <w:rPr/>
        <w:t>our</w:t>
      </w:r>
      <w:r>
        <w:rPr>
          <w:spacing w:val="-22"/>
        </w:rPr>
        <w:t> </w:t>
      </w:r>
      <w:r>
        <w:rPr/>
        <w:t>physique,</w:t>
      </w:r>
      <w:r>
        <w:rPr>
          <w:spacing w:val="-21"/>
        </w:rPr>
        <w:t> </w:t>
      </w:r>
      <w:r>
        <w:rPr/>
        <w:t>but</w:t>
      </w:r>
      <w:r>
        <w:rPr>
          <w:spacing w:val="-22"/>
        </w:rPr>
        <w:t> </w:t>
      </w:r>
      <w:r>
        <w:rPr/>
        <w:t>also</w:t>
      </w:r>
      <w:r>
        <w:rPr>
          <w:spacing w:val="-21"/>
        </w:rPr>
        <w:t> </w:t>
      </w:r>
      <w:r>
        <w:rPr/>
        <w:t>on</w:t>
      </w:r>
      <w:r>
        <w:rPr>
          <w:spacing w:val="-21"/>
        </w:rPr>
        <w:t> </w:t>
      </w:r>
      <w:r>
        <w:rPr/>
        <w:t>our</w:t>
      </w:r>
      <w:r>
        <w:rPr>
          <w:spacing w:val="-21"/>
        </w:rPr>
        <w:t> </w:t>
      </w:r>
      <w:r>
        <w:rPr/>
        <w:t>psyche. This is due to the essential oils contained in it, which we absorb as an aroma through the nose. These aromas can create deep relaxation by decoupling our movement centre from the mental side, our thoughts and our moods. This al- lows our muscles to relax, despite stimulating trains of thought that otherwise act directly on them, leading to muscle tension – this enables deeper physical relaxation, even when you are also experiencing mental</w:t>
      </w:r>
      <w:r>
        <w:rPr>
          <w:spacing w:val="-5"/>
        </w:rPr>
        <w:t> </w:t>
      </w:r>
      <w:r>
        <w:rPr/>
        <w:t>tension.</w:t>
      </w:r>
    </w:p>
    <w:p>
      <w:pPr>
        <w:spacing w:after="0" w:line="276" w:lineRule="auto"/>
        <w:jc w:val="both"/>
        <w:sectPr>
          <w:pgSz w:w="14270" w:h="16850"/>
          <w:pgMar w:header="0" w:footer="1891" w:top="1600" w:bottom="2080" w:left="800" w:right="1280"/>
        </w:sectPr>
      </w:pPr>
    </w:p>
    <w:p>
      <w:pPr>
        <w:pStyle w:val="Heading1"/>
        <w:spacing w:before="164"/>
      </w:pPr>
      <w:r>
        <w:rPr/>
        <w:t>Bitter substances in tea</w:t>
      </w:r>
    </w:p>
    <w:p>
      <w:pPr>
        <w:pStyle w:val="BodyText"/>
        <w:spacing w:line="276" w:lineRule="auto" w:before="299"/>
        <w:ind w:left="477" w:right="134"/>
        <w:jc w:val="both"/>
      </w:pPr>
      <w:r>
        <w:rPr/>
        <w:t>The bitter substances in green tea sensitise our taste buds and train our taste</w:t>
      </w:r>
      <w:r>
        <w:rPr>
          <w:spacing w:val="-48"/>
        </w:rPr>
        <w:t> </w:t>
      </w:r>
      <w:r>
        <w:rPr/>
        <w:t>to react</w:t>
      </w:r>
      <w:r>
        <w:rPr>
          <w:spacing w:val="-9"/>
        </w:rPr>
        <w:t> </w:t>
      </w:r>
      <w:r>
        <w:rPr/>
        <w:t>accordingly</w:t>
      </w:r>
      <w:r>
        <w:rPr>
          <w:spacing w:val="-8"/>
        </w:rPr>
        <w:t> </w:t>
      </w:r>
      <w:r>
        <w:rPr/>
        <w:t>to</w:t>
      </w:r>
      <w:r>
        <w:rPr>
          <w:spacing w:val="-10"/>
        </w:rPr>
        <w:t> </w:t>
      </w:r>
      <w:r>
        <w:rPr/>
        <w:t>natural</w:t>
      </w:r>
      <w:r>
        <w:rPr>
          <w:spacing w:val="-9"/>
        </w:rPr>
        <w:t> </w:t>
      </w:r>
      <w:r>
        <w:rPr/>
        <w:t>foods.</w:t>
      </w:r>
      <w:r>
        <w:rPr>
          <w:spacing w:val="-6"/>
        </w:rPr>
        <w:t> </w:t>
      </w:r>
      <w:r>
        <w:rPr/>
        <w:t>It</w:t>
      </w:r>
      <w:r>
        <w:rPr>
          <w:spacing w:val="-11"/>
        </w:rPr>
        <w:t> </w:t>
      </w:r>
      <w:r>
        <w:rPr/>
        <w:t>is</w:t>
      </w:r>
      <w:r>
        <w:rPr>
          <w:spacing w:val="-9"/>
        </w:rPr>
        <w:t> </w:t>
      </w:r>
      <w:r>
        <w:rPr/>
        <w:t>well-known</w:t>
      </w:r>
      <w:r>
        <w:rPr>
          <w:spacing w:val="-8"/>
        </w:rPr>
        <w:t> </w:t>
      </w:r>
      <w:r>
        <w:rPr/>
        <w:t>that</w:t>
      </w:r>
      <w:r>
        <w:rPr>
          <w:spacing w:val="-8"/>
        </w:rPr>
        <w:t> </w:t>
      </w:r>
      <w:r>
        <w:rPr/>
        <w:t>people</w:t>
      </w:r>
      <w:r>
        <w:rPr>
          <w:spacing w:val="-8"/>
        </w:rPr>
        <w:t> </w:t>
      </w:r>
      <w:r>
        <w:rPr/>
        <w:t>in</w:t>
      </w:r>
      <w:r>
        <w:rPr>
          <w:spacing w:val="-8"/>
        </w:rPr>
        <w:t> </w:t>
      </w:r>
      <w:r>
        <w:rPr/>
        <w:t>industrialised countries</w:t>
      </w:r>
      <w:r>
        <w:rPr>
          <w:spacing w:val="-13"/>
        </w:rPr>
        <w:t> </w:t>
      </w:r>
      <w:r>
        <w:rPr/>
        <w:t>are</w:t>
      </w:r>
      <w:r>
        <w:rPr>
          <w:spacing w:val="-14"/>
        </w:rPr>
        <w:t> </w:t>
      </w:r>
      <w:r>
        <w:rPr/>
        <w:t>less</w:t>
      </w:r>
      <w:r>
        <w:rPr>
          <w:spacing w:val="-13"/>
        </w:rPr>
        <w:t> </w:t>
      </w:r>
      <w:r>
        <w:rPr/>
        <w:t>sensitised</w:t>
      </w:r>
      <w:r>
        <w:rPr>
          <w:spacing w:val="-14"/>
        </w:rPr>
        <w:t> </w:t>
      </w:r>
      <w:r>
        <w:rPr/>
        <w:t>due</w:t>
      </w:r>
      <w:r>
        <w:rPr>
          <w:spacing w:val="-14"/>
        </w:rPr>
        <w:t> </w:t>
      </w:r>
      <w:r>
        <w:rPr/>
        <w:t>to</w:t>
      </w:r>
      <w:r>
        <w:rPr>
          <w:spacing w:val="-14"/>
        </w:rPr>
        <w:t> </w:t>
      </w:r>
      <w:r>
        <w:rPr/>
        <w:t>the</w:t>
      </w:r>
      <w:r>
        <w:rPr>
          <w:spacing w:val="-13"/>
        </w:rPr>
        <w:t> </w:t>
      </w:r>
      <w:r>
        <w:rPr/>
        <w:t>industrialisation</w:t>
      </w:r>
      <w:r>
        <w:rPr>
          <w:spacing w:val="-14"/>
        </w:rPr>
        <w:t> </w:t>
      </w:r>
      <w:r>
        <w:rPr/>
        <w:t>of</w:t>
      </w:r>
      <w:r>
        <w:rPr>
          <w:spacing w:val="-13"/>
        </w:rPr>
        <w:t> </w:t>
      </w:r>
      <w:r>
        <w:rPr/>
        <w:t>food</w:t>
      </w:r>
      <w:r>
        <w:rPr>
          <w:spacing w:val="-14"/>
        </w:rPr>
        <w:t> </w:t>
      </w:r>
      <w:r>
        <w:rPr/>
        <w:t>and</w:t>
      </w:r>
      <w:r>
        <w:rPr>
          <w:spacing w:val="-14"/>
        </w:rPr>
        <w:t> </w:t>
      </w:r>
      <w:r>
        <w:rPr/>
        <w:t>simply</w:t>
      </w:r>
      <w:r>
        <w:rPr>
          <w:spacing w:val="-15"/>
        </w:rPr>
        <w:t> </w:t>
      </w:r>
      <w:r>
        <w:rPr/>
        <w:t>react differently to taste. The bitter substances in green tea can restore the natural sense of</w:t>
      </w:r>
      <w:r>
        <w:rPr>
          <w:spacing w:val="-2"/>
        </w:rPr>
        <w:t> </w:t>
      </w:r>
      <w:r>
        <w:rPr/>
        <w:t>taste.</w:t>
      </w:r>
    </w:p>
    <w:p>
      <w:pPr>
        <w:pStyle w:val="Heading1"/>
        <w:spacing w:before="223"/>
      </w:pPr>
      <w:r>
        <w:rPr/>
        <w:t>Caffeine</w:t>
      </w:r>
    </w:p>
    <w:p>
      <w:pPr>
        <w:pStyle w:val="BodyText"/>
        <w:spacing w:line="276" w:lineRule="auto" w:before="299"/>
        <w:ind w:left="477" w:right="135"/>
        <w:jc w:val="both"/>
      </w:pPr>
      <w:r>
        <w:rPr/>
        <w:t>The caffeine in green tea is gradually released, which prevents sudden caffeine peaks and compared to coffee or cola, ensures a mild yet long-lasting stimula- tion. The tannins in green tea are responsible for the gradual dosage, which release the alkaloid, which is responsible for the impulsive effect, slowly and generously in the bloodstream.</w:t>
      </w:r>
    </w:p>
    <w:p>
      <w:pPr>
        <w:pStyle w:val="Heading1"/>
        <w:spacing w:before="223"/>
      </w:pPr>
      <w:r>
        <w:rPr/>
        <w:t>Saponins</w:t>
      </w:r>
    </w:p>
    <w:p>
      <w:pPr>
        <w:pStyle w:val="BodyText"/>
        <w:spacing w:line="276" w:lineRule="auto" w:before="299"/>
        <w:ind w:left="477" w:right="132"/>
        <w:jc w:val="both"/>
      </w:pPr>
      <w:r>
        <w:rPr/>
        <w:t>Saponins are herbal glucosides that have a positive effect, and not only on the gastrointestinal</w:t>
      </w:r>
      <w:r>
        <w:rPr>
          <w:spacing w:val="-10"/>
        </w:rPr>
        <w:t> </w:t>
      </w:r>
      <w:r>
        <w:rPr/>
        <w:t>area.</w:t>
      </w:r>
      <w:r>
        <w:rPr>
          <w:spacing w:val="-10"/>
        </w:rPr>
        <w:t> </w:t>
      </w:r>
      <w:r>
        <w:rPr/>
        <w:t>Thus,</w:t>
      </w:r>
      <w:r>
        <w:rPr>
          <w:spacing w:val="-10"/>
        </w:rPr>
        <w:t> </w:t>
      </w:r>
      <w:r>
        <w:rPr/>
        <w:t>the</w:t>
      </w:r>
      <w:r>
        <w:rPr>
          <w:spacing w:val="-11"/>
        </w:rPr>
        <w:t> </w:t>
      </w:r>
      <w:r>
        <w:rPr/>
        <w:t>saponins</w:t>
      </w:r>
      <w:r>
        <w:rPr>
          <w:spacing w:val="-10"/>
        </w:rPr>
        <w:t> </w:t>
      </w:r>
      <w:r>
        <w:rPr/>
        <w:t>contained</w:t>
      </w:r>
      <w:r>
        <w:rPr>
          <w:spacing w:val="-10"/>
        </w:rPr>
        <w:t> </w:t>
      </w:r>
      <w:r>
        <w:rPr/>
        <w:t>in</w:t>
      </w:r>
      <w:r>
        <w:rPr>
          <w:spacing w:val="-9"/>
        </w:rPr>
        <w:t> </w:t>
      </w:r>
      <w:r>
        <w:rPr/>
        <w:t>green</w:t>
      </w:r>
      <w:r>
        <w:rPr>
          <w:spacing w:val="-12"/>
        </w:rPr>
        <w:t> </w:t>
      </w:r>
      <w:r>
        <w:rPr/>
        <w:t>tea</w:t>
      </w:r>
      <w:r>
        <w:rPr>
          <w:spacing w:val="-11"/>
        </w:rPr>
        <w:t> </w:t>
      </w:r>
      <w:r>
        <w:rPr/>
        <w:t>can</w:t>
      </w:r>
      <w:r>
        <w:rPr>
          <w:spacing w:val="-10"/>
        </w:rPr>
        <w:t> </w:t>
      </w:r>
      <w:r>
        <w:rPr/>
        <w:t>bind</w:t>
      </w:r>
      <w:r>
        <w:rPr>
          <w:spacing w:val="-10"/>
        </w:rPr>
        <w:t> </w:t>
      </w:r>
      <w:r>
        <w:rPr/>
        <w:t>to</w:t>
      </w:r>
      <w:r>
        <w:rPr>
          <w:spacing w:val="-12"/>
        </w:rPr>
        <w:t> </w:t>
      </w:r>
      <w:r>
        <w:rPr/>
        <w:t>fats, prevent them being transported into the blood and thus counteract high cho- lesterol levels. In addition, they can relieve rheumatic complaints, solve cough mucus and, when used externally, treat skin and athlete's foot</w:t>
      </w:r>
      <w:r>
        <w:rPr>
          <w:spacing w:val="-12"/>
        </w:rPr>
        <w:t> </w:t>
      </w:r>
      <w:r>
        <w:rPr/>
        <w:t>disorders.</w:t>
      </w:r>
    </w:p>
    <w:p>
      <w:pPr>
        <w:pStyle w:val="BodyText"/>
        <w:spacing w:line="276" w:lineRule="auto" w:before="240"/>
        <w:ind w:left="477" w:right="145"/>
        <w:jc w:val="both"/>
      </w:pPr>
      <w:r>
        <w:rPr/>
        <w:t>In addition, saponins can promote the absorption of other plant compounds and increase their effect.</w:t>
      </w:r>
    </w:p>
    <w:p>
      <w:pPr>
        <w:spacing w:after="0" w:line="276" w:lineRule="auto"/>
        <w:jc w:val="both"/>
        <w:sectPr>
          <w:pgSz w:w="14270" w:h="16850"/>
          <w:pgMar w:header="0" w:footer="1891" w:top="1600" w:bottom="2080" w:left="800" w:right="1280"/>
        </w:sectPr>
      </w:pPr>
    </w:p>
    <w:p>
      <w:pPr>
        <w:pStyle w:val="Heading1"/>
        <w:spacing w:before="164"/>
      </w:pPr>
      <w:r>
        <w:rPr/>
        <w:t>Manganese</w:t>
      </w:r>
    </w:p>
    <w:p>
      <w:pPr>
        <w:pStyle w:val="BodyText"/>
        <w:spacing w:line="276" w:lineRule="auto" w:before="299"/>
        <w:ind w:left="477" w:right="133"/>
        <w:jc w:val="both"/>
      </w:pPr>
      <w:r>
        <w:rPr/>
        <w:t>Manganese is involved as part of many enzymes in energy conversion and is essential</w:t>
      </w:r>
      <w:r>
        <w:rPr>
          <w:spacing w:val="-26"/>
        </w:rPr>
        <w:t> </w:t>
      </w:r>
      <w:r>
        <w:rPr/>
        <w:t>for</w:t>
      </w:r>
      <w:r>
        <w:rPr>
          <w:spacing w:val="-23"/>
        </w:rPr>
        <w:t> </w:t>
      </w:r>
      <w:r>
        <w:rPr/>
        <w:t>the</w:t>
      </w:r>
      <w:r>
        <w:rPr>
          <w:spacing w:val="-23"/>
        </w:rPr>
        <w:t> </w:t>
      </w:r>
      <w:r>
        <w:rPr/>
        <w:t>formation</w:t>
      </w:r>
      <w:r>
        <w:rPr>
          <w:spacing w:val="-23"/>
        </w:rPr>
        <w:t> </w:t>
      </w:r>
      <w:r>
        <w:rPr/>
        <w:t>of</w:t>
      </w:r>
      <w:r>
        <w:rPr>
          <w:spacing w:val="-23"/>
        </w:rPr>
        <w:t> </w:t>
      </w:r>
      <w:r>
        <w:rPr/>
        <w:t>connective</w:t>
      </w:r>
      <w:r>
        <w:rPr>
          <w:spacing w:val="-25"/>
        </w:rPr>
        <w:t> </w:t>
      </w:r>
      <w:r>
        <w:rPr/>
        <w:t>tissue</w:t>
      </w:r>
      <w:r>
        <w:rPr>
          <w:spacing w:val="-24"/>
        </w:rPr>
        <w:t> </w:t>
      </w:r>
      <w:r>
        <w:rPr/>
        <w:t>and</w:t>
      </w:r>
      <w:r>
        <w:rPr>
          <w:spacing w:val="-23"/>
        </w:rPr>
        <w:t> </w:t>
      </w:r>
      <w:r>
        <w:rPr/>
        <w:t>bone.</w:t>
      </w:r>
      <w:r>
        <w:rPr>
          <w:spacing w:val="-23"/>
        </w:rPr>
        <w:t> </w:t>
      </w:r>
      <w:r>
        <w:rPr/>
        <w:t>Manganese</w:t>
      </w:r>
      <w:r>
        <w:rPr>
          <w:spacing w:val="-23"/>
        </w:rPr>
        <w:t> </w:t>
      </w:r>
      <w:r>
        <w:rPr/>
        <w:t>transports the calcium into the bones. Thus, green tea can very successfully counteract osteoporosis.</w:t>
      </w:r>
    </w:p>
    <w:p>
      <w:pPr>
        <w:pStyle w:val="Heading2"/>
        <w:spacing w:before="240"/>
      </w:pPr>
      <w:r>
        <w:rPr/>
        <w:t>Aluminium</w:t>
      </w:r>
    </w:p>
    <w:p>
      <w:pPr>
        <w:pStyle w:val="BodyText"/>
        <w:spacing w:line="276" w:lineRule="auto" w:before="305"/>
        <w:ind w:left="477"/>
      </w:pPr>
      <w:r>
        <w:rPr/>
        <w:t>The aluminium compounds contained in green tea act as a buffer to stomach acid and thus counteract heartburn and gastric irritation.</w:t>
      </w:r>
    </w:p>
    <w:p>
      <w:pPr>
        <w:pStyle w:val="BodyText"/>
        <w:spacing w:before="5"/>
        <w:rPr>
          <w:sz w:val="21"/>
        </w:rPr>
      </w:pPr>
    </w:p>
    <w:tbl>
      <w:tblPr>
        <w:tblW w:w="0" w:type="auto"/>
        <w:jc w:val="left"/>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83"/>
        <w:gridCol w:w="1010"/>
        <w:gridCol w:w="1162"/>
        <w:gridCol w:w="1153"/>
        <w:gridCol w:w="1076"/>
      </w:tblGrid>
      <w:tr>
        <w:trPr>
          <w:trHeight w:val="951" w:hRule="atLeast"/>
        </w:trPr>
        <w:tc>
          <w:tcPr>
            <w:tcW w:w="1283" w:type="dxa"/>
          </w:tcPr>
          <w:p>
            <w:pPr>
              <w:pStyle w:val="TableParagraph"/>
              <w:spacing w:line="427" w:lineRule="exact"/>
              <w:ind w:left="34" w:right="88"/>
              <w:jc w:val="center"/>
              <w:rPr>
                <w:b/>
                <w:sz w:val="38"/>
              </w:rPr>
            </w:pPr>
            <w:r>
              <w:rPr>
                <w:b/>
                <w:sz w:val="38"/>
              </w:rPr>
              <w:t>per 100</w:t>
            </w:r>
          </w:p>
          <w:p>
            <w:pPr>
              <w:pStyle w:val="TableParagraph"/>
              <w:spacing w:before="64"/>
              <w:ind w:left="31" w:right="88"/>
              <w:jc w:val="center"/>
              <w:rPr>
                <w:b/>
                <w:sz w:val="38"/>
              </w:rPr>
            </w:pPr>
            <w:r>
              <w:rPr>
                <w:b/>
                <w:sz w:val="38"/>
              </w:rPr>
              <w:t>mg</w:t>
            </w:r>
          </w:p>
        </w:tc>
        <w:tc>
          <w:tcPr>
            <w:tcW w:w="1010" w:type="dxa"/>
          </w:tcPr>
          <w:p>
            <w:pPr>
              <w:pStyle w:val="TableParagraph"/>
              <w:spacing w:line="427" w:lineRule="exact"/>
              <w:ind w:left="113"/>
              <w:rPr>
                <w:b/>
                <w:sz w:val="38"/>
              </w:rPr>
            </w:pPr>
            <w:r>
              <w:rPr>
                <w:b/>
                <w:sz w:val="38"/>
              </w:rPr>
              <w:t>Vita-</w:t>
            </w:r>
          </w:p>
          <w:p>
            <w:pPr>
              <w:pStyle w:val="TableParagraph"/>
              <w:spacing w:before="64"/>
              <w:ind w:left="187"/>
              <w:rPr>
                <w:b/>
                <w:sz w:val="38"/>
              </w:rPr>
            </w:pPr>
            <w:r>
              <w:rPr>
                <w:b/>
                <w:sz w:val="38"/>
              </w:rPr>
              <w:t>min</w:t>
            </w:r>
          </w:p>
        </w:tc>
        <w:tc>
          <w:tcPr>
            <w:tcW w:w="1162" w:type="dxa"/>
          </w:tcPr>
          <w:p>
            <w:pPr>
              <w:pStyle w:val="TableParagraph"/>
              <w:spacing w:line="427" w:lineRule="exact"/>
              <w:ind w:left="121" w:right="106"/>
              <w:jc w:val="center"/>
              <w:rPr>
                <w:b/>
                <w:sz w:val="38"/>
              </w:rPr>
            </w:pPr>
            <w:r>
              <w:rPr>
                <w:b/>
                <w:sz w:val="38"/>
              </w:rPr>
              <w:t>Caro-</w:t>
            </w:r>
          </w:p>
          <w:p>
            <w:pPr>
              <w:pStyle w:val="TableParagraph"/>
              <w:spacing w:before="64"/>
              <w:ind w:left="121" w:right="105"/>
              <w:jc w:val="center"/>
              <w:rPr>
                <w:b/>
                <w:sz w:val="38"/>
              </w:rPr>
            </w:pPr>
            <w:r>
              <w:rPr>
                <w:b/>
                <w:sz w:val="38"/>
              </w:rPr>
              <w:t>tene</w:t>
            </w:r>
          </w:p>
        </w:tc>
        <w:tc>
          <w:tcPr>
            <w:tcW w:w="1153" w:type="dxa"/>
          </w:tcPr>
          <w:p>
            <w:pPr>
              <w:pStyle w:val="TableParagraph"/>
              <w:spacing w:line="427" w:lineRule="exact"/>
              <w:ind w:left="212"/>
              <w:rPr>
                <w:b/>
                <w:sz w:val="38"/>
              </w:rPr>
            </w:pPr>
            <w:r>
              <w:rPr>
                <w:b/>
                <w:sz w:val="38"/>
              </w:rPr>
              <w:t>Vita-</w:t>
            </w:r>
          </w:p>
          <w:p>
            <w:pPr>
              <w:pStyle w:val="TableParagraph"/>
              <w:spacing w:before="64"/>
              <w:ind w:left="289"/>
              <w:rPr>
                <w:b/>
                <w:sz w:val="38"/>
              </w:rPr>
            </w:pPr>
            <w:r>
              <w:rPr>
                <w:b/>
                <w:sz w:val="38"/>
              </w:rPr>
              <w:t>min</w:t>
            </w:r>
          </w:p>
        </w:tc>
        <w:tc>
          <w:tcPr>
            <w:tcW w:w="1076" w:type="dxa"/>
          </w:tcPr>
          <w:p>
            <w:pPr>
              <w:pStyle w:val="TableParagraph"/>
              <w:spacing w:line="427" w:lineRule="exact"/>
              <w:ind w:left="237"/>
              <w:rPr>
                <w:b/>
                <w:sz w:val="38"/>
              </w:rPr>
            </w:pPr>
            <w:r>
              <w:rPr>
                <w:b/>
                <w:sz w:val="38"/>
              </w:rPr>
              <w:t>Vita-</w:t>
            </w:r>
          </w:p>
          <w:p>
            <w:pPr>
              <w:pStyle w:val="TableParagraph"/>
              <w:spacing w:before="64"/>
              <w:ind w:left="314"/>
              <w:rPr>
                <w:b/>
                <w:sz w:val="38"/>
              </w:rPr>
            </w:pPr>
            <w:r>
              <w:rPr>
                <w:b/>
                <w:sz w:val="38"/>
              </w:rPr>
              <w:t>min</w:t>
            </w:r>
          </w:p>
        </w:tc>
      </w:tr>
      <w:tr>
        <w:trPr>
          <w:trHeight w:val="981" w:hRule="atLeast"/>
        </w:trPr>
        <w:tc>
          <w:tcPr>
            <w:tcW w:w="1283" w:type="dxa"/>
          </w:tcPr>
          <w:p>
            <w:pPr>
              <w:pStyle w:val="TableParagraph"/>
              <w:spacing w:before="4"/>
              <w:rPr>
                <w:sz w:val="46"/>
              </w:rPr>
            </w:pPr>
          </w:p>
          <w:p>
            <w:pPr>
              <w:pStyle w:val="TableParagraph"/>
              <w:ind w:left="50"/>
              <w:rPr>
                <w:sz w:val="38"/>
              </w:rPr>
            </w:pPr>
            <w:r>
              <w:rPr>
                <w:sz w:val="38"/>
              </w:rPr>
              <w:t>Green</w:t>
            </w:r>
          </w:p>
        </w:tc>
        <w:tc>
          <w:tcPr>
            <w:tcW w:w="1010" w:type="dxa"/>
          </w:tcPr>
          <w:p>
            <w:pPr>
              <w:pStyle w:val="TableParagraph"/>
              <w:spacing w:before="32"/>
              <w:ind w:left="1"/>
              <w:jc w:val="center"/>
              <w:rPr>
                <w:b/>
                <w:sz w:val="38"/>
              </w:rPr>
            </w:pPr>
            <w:r>
              <w:rPr>
                <w:b/>
                <w:w w:val="99"/>
                <w:sz w:val="38"/>
              </w:rPr>
              <w:t>C</w:t>
            </w:r>
          </w:p>
          <w:p>
            <w:pPr>
              <w:pStyle w:val="TableParagraph"/>
              <w:spacing w:before="62"/>
              <w:ind w:left="110"/>
              <w:rPr>
                <w:sz w:val="38"/>
              </w:rPr>
            </w:pPr>
            <w:r>
              <w:rPr>
                <w:sz w:val="38"/>
              </w:rPr>
              <w:t>60</w:t>
            </w:r>
          </w:p>
        </w:tc>
        <w:tc>
          <w:tcPr>
            <w:tcW w:w="1162" w:type="dxa"/>
          </w:tcPr>
          <w:p>
            <w:pPr>
              <w:pStyle w:val="TableParagraph"/>
              <w:spacing w:before="4"/>
              <w:rPr>
                <w:sz w:val="46"/>
              </w:rPr>
            </w:pPr>
          </w:p>
          <w:p>
            <w:pPr>
              <w:pStyle w:val="TableParagraph"/>
              <w:ind w:left="108"/>
              <w:rPr>
                <w:sz w:val="38"/>
              </w:rPr>
            </w:pPr>
            <w:r>
              <w:rPr>
                <w:sz w:val="38"/>
              </w:rPr>
              <w:t>29 mg</w:t>
            </w:r>
          </w:p>
        </w:tc>
        <w:tc>
          <w:tcPr>
            <w:tcW w:w="1153" w:type="dxa"/>
          </w:tcPr>
          <w:p>
            <w:pPr>
              <w:pStyle w:val="TableParagraph"/>
              <w:spacing w:before="32"/>
              <w:ind w:left="428"/>
              <w:rPr>
                <w:b/>
                <w:sz w:val="38"/>
              </w:rPr>
            </w:pPr>
            <w:r>
              <w:rPr>
                <w:b/>
                <w:sz w:val="38"/>
              </w:rPr>
              <w:t>B</w:t>
            </w:r>
            <w:r>
              <w:rPr>
                <w:b/>
                <w:sz w:val="38"/>
                <w:vertAlign w:val="subscript"/>
              </w:rPr>
              <w:t>1</w:t>
            </w:r>
          </w:p>
          <w:p>
            <w:pPr>
              <w:pStyle w:val="TableParagraph"/>
              <w:spacing w:before="62"/>
              <w:ind w:left="125"/>
              <w:rPr>
                <w:sz w:val="38"/>
              </w:rPr>
            </w:pPr>
            <w:r>
              <w:rPr>
                <w:sz w:val="38"/>
              </w:rPr>
              <w:t>0.6</w:t>
            </w:r>
          </w:p>
        </w:tc>
        <w:tc>
          <w:tcPr>
            <w:tcW w:w="1076" w:type="dxa"/>
          </w:tcPr>
          <w:p>
            <w:pPr>
              <w:pStyle w:val="TableParagraph"/>
              <w:spacing w:before="32"/>
              <w:ind w:left="444"/>
              <w:rPr>
                <w:b/>
                <w:sz w:val="38"/>
              </w:rPr>
            </w:pPr>
            <w:r>
              <w:rPr>
                <w:b/>
                <w:sz w:val="38"/>
              </w:rPr>
              <w:t>B</w:t>
            </w:r>
            <w:r>
              <w:rPr>
                <w:b/>
                <w:sz w:val="38"/>
                <w:vertAlign w:val="subscript"/>
              </w:rPr>
              <w:t>2</w:t>
            </w:r>
          </w:p>
          <w:p>
            <w:pPr>
              <w:pStyle w:val="TableParagraph"/>
              <w:spacing w:before="62"/>
              <w:ind w:left="151"/>
              <w:rPr>
                <w:sz w:val="38"/>
              </w:rPr>
            </w:pPr>
            <w:r>
              <w:rPr>
                <w:sz w:val="38"/>
              </w:rPr>
              <w:t>1.35</w:t>
            </w:r>
          </w:p>
        </w:tc>
      </w:tr>
      <w:tr>
        <w:trPr>
          <w:trHeight w:val="492" w:hRule="atLeast"/>
        </w:trPr>
        <w:tc>
          <w:tcPr>
            <w:tcW w:w="1283" w:type="dxa"/>
          </w:tcPr>
          <w:p>
            <w:pPr>
              <w:pStyle w:val="TableParagraph"/>
              <w:spacing w:before="32"/>
              <w:ind w:left="50"/>
              <w:rPr>
                <w:sz w:val="38"/>
              </w:rPr>
            </w:pPr>
            <w:r>
              <w:rPr>
                <w:sz w:val="38"/>
              </w:rPr>
              <w:t>tea:</w:t>
            </w:r>
          </w:p>
        </w:tc>
        <w:tc>
          <w:tcPr>
            <w:tcW w:w="1010" w:type="dxa"/>
          </w:tcPr>
          <w:p>
            <w:pPr>
              <w:pStyle w:val="TableParagraph"/>
              <w:spacing w:before="32"/>
              <w:ind w:left="110"/>
              <w:rPr>
                <w:sz w:val="38"/>
              </w:rPr>
            </w:pPr>
            <w:r>
              <w:rPr>
                <w:sz w:val="38"/>
              </w:rPr>
              <w:t>mg</w:t>
            </w:r>
          </w:p>
        </w:tc>
        <w:tc>
          <w:tcPr>
            <w:tcW w:w="1162" w:type="dxa"/>
          </w:tcPr>
          <w:p>
            <w:pPr>
              <w:pStyle w:val="TableParagraph"/>
              <w:rPr>
                <w:rFonts w:ascii="Times New Roman"/>
                <w:sz w:val="36"/>
              </w:rPr>
            </w:pPr>
          </w:p>
        </w:tc>
        <w:tc>
          <w:tcPr>
            <w:tcW w:w="1153" w:type="dxa"/>
          </w:tcPr>
          <w:p>
            <w:pPr>
              <w:pStyle w:val="TableParagraph"/>
              <w:spacing w:before="32"/>
              <w:ind w:left="125"/>
              <w:rPr>
                <w:sz w:val="38"/>
              </w:rPr>
            </w:pPr>
            <w:r>
              <w:rPr>
                <w:sz w:val="38"/>
              </w:rPr>
              <w:t>mg</w:t>
            </w:r>
          </w:p>
        </w:tc>
        <w:tc>
          <w:tcPr>
            <w:tcW w:w="1076" w:type="dxa"/>
          </w:tcPr>
          <w:p>
            <w:pPr>
              <w:pStyle w:val="TableParagraph"/>
              <w:spacing w:before="32"/>
              <w:ind w:left="151"/>
              <w:rPr>
                <w:sz w:val="38"/>
              </w:rPr>
            </w:pPr>
            <w:r>
              <w:rPr>
                <w:sz w:val="38"/>
              </w:rPr>
              <w:t>mg</w:t>
            </w:r>
          </w:p>
        </w:tc>
      </w:tr>
      <w:tr>
        <w:trPr>
          <w:trHeight w:val="492" w:hRule="atLeast"/>
        </w:trPr>
        <w:tc>
          <w:tcPr>
            <w:tcW w:w="1283" w:type="dxa"/>
          </w:tcPr>
          <w:p>
            <w:pPr>
              <w:pStyle w:val="TableParagraph"/>
              <w:spacing w:before="32"/>
              <w:ind w:left="50"/>
              <w:rPr>
                <w:sz w:val="38"/>
              </w:rPr>
            </w:pPr>
            <w:r>
              <w:rPr>
                <w:sz w:val="38"/>
              </w:rPr>
              <w:t>Matcha</w:t>
            </w:r>
          </w:p>
        </w:tc>
        <w:tc>
          <w:tcPr>
            <w:tcW w:w="1010" w:type="dxa"/>
          </w:tcPr>
          <w:p>
            <w:pPr>
              <w:pStyle w:val="TableParagraph"/>
              <w:rPr>
                <w:rFonts w:ascii="Times New Roman"/>
                <w:sz w:val="36"/>
              </w:rPr>
            </w:pPr>
          </w:p>
        </w:tc>
        <w:tc>
          <w:tcPr>
            <w:tcW w:w="1162" w:type="dxa"/>
          </w:tcPr>
          <w:p>
            <w:pPr>
              <w:pStyle w:val="TableParagraph"/>
              <w:rPr>
                <w:rFonts w:ascii="Times New Roman"/>
                <w:sz w:val="36"/>
              </w:rPr>
            </w:pPr>
          </w:p>
        </w:tc>
        <w:tc>
          <w:tcPr>
            <w:tcW w:w="1153" w:type="dxa"/>
          </w:tcPr>
          <w:p>
            <w:pPr>
              <w:pStyle w:val="TableParagraph"/>
              <w:rPr>
                <w:rFonts w:ascii="Times New Roman"/>
                <w:sz w:val="36"/>
              </w:rPr>
            </w:pPr>
          </w:p>
        </w:tc>
        <w:tc>
          <w:tcPr>
            <w:tcW w:w="1076" w:type="dxa"/>
          </w:tcPr>
          <w:p>
            <w:pPr>
              <w:pStyle w:val="TableParagraph"/>
              <w:rPr>
                <w:rFonts w:ascii="Times New Roman"/>
                <w:sz w:val="36"/>
              </w:rPr>
            </w:pPr>
          </w:p>
        </w:tc>
      </w:tr>
      <w:tr>
        <w:trPr>
          <w:trHeight w:val="491" w:hRule="atLeast"/>
        </w:trPr>
        <w:tc>
          <w:tcPr>
            <w:tcW w:w="1283" w:type="dxa"/>
          </w:tcPr>
          <w:p>
            <w:pPr>
              <w:pStyle w:val="TableParagraph"/>
              <w:spacing w:before="32"/>
              <w:ind w:left="50"/>
              <w:rPr>
                <w:sz w:val="38"/>
              </w:rPr>
            </w:pPr>
            <w:r>
              <w:rPr>
                <w:sz w:val="38"/>
              </w:rPr>
              <w:t>Green</w:t>
            </w:r>
          </w:p>
        </w:tc>
        <w:tc>
          <w:tcPr>
            <w:tcW w:w="1010" w:type="dxa"/>
          </w:tcPr>
          <w:p>
            <w:pPr>
              <w:pStyle w:val="TableParagraph"/>
              <w:spacing w:before="32"/>
              <w:ind w:left="110"/>
              <w:rPr>
                <w:sz w:val="38"/>
              </w:rPr>
            </w:pPr>
            <w:r>
              <w:rPr>
                <w:sz w:val="38"/>
              </w:rPr>
              <w:t>250</w:t>
            </w:r>
          </w:p>
        </w:tc>
        <w:tc>
          <w:tcPr>
            <w:tcW w:w="1162" w:type="dxa"/>
          </w:tcPr>
          <w:p>
            <w:pPr>
              <w:pStyle w:val="TableParagraph"/>
              <w:spacing w:before="32"/>
              <w:ind w:left="108"/>
              <w:rPr>
                <w:sz w:val="38"/>
              </w:rPr>
            </w:pPr>
            <w:r>
              <w:rPr>
                <w:sz w:val="38"/>
              </w:rPr>
              <w:t>13 mg</w:t>
            </w:r>
          </w:p>
        </w:tc>
        <w:tc>
          <w:tcPr>
            <w:tcW w:w="1153" w:type="dxa"/>
          </w:tcPr>
          <w:p>
            <w:pPr>
              <w:pStyle w:val="TableParagraph"/>
              <w:spacing w:before="32"/>
              <w:ind w:left="125"/>
              <w:rPr>
                <w:sz w:val="38"/>
              </w:rPr>
            </w:pPr>
            <w:r>
              <w:rPr>
                <w:sz w:val="38"/>
              </w:rPr>
              <w:t>0.35</w:t>
            </w:r>
          </w:p>
        </w:tc>
        <w:tc>
          <w:tcPr>
            <w:tcW w:w="1076" w:type="dxa"/>
          </w:tcPr>
          <w:p>
            <w:pPr>
              <w:pStyle w:val="TableParagraph"/>
              <w:spacing w:before="32"/>
              <w:ind w:left="151"/>
              <w:rPr>
                <w:sz w:val="38"/>
              </w:rPr>
            </w:pPr>
            <w:r>
              <w:rPr>
                <w:sz w:val="38"/>
              </w:rPr>
              <w:t>1.4</w:t>
            </w:r>
          </w:p>
        </w:tc>
      </w:tr>
      <w:tr>
        <w:trPr>
          <w:trHeight w:val="491" w:hRule="atLeast"/>
        </w:trPr>
        <w:tc>
          <w:tcPr>
            <w:tcW w:w="1283" w:type="dxa"/>
          </w:tcPr>
          <w:p>
            <w:pPr>
              <w:pStyle w:val="TableParagraph"/>
              <w:spacing w:before="32"/>
              <w:ind w:left="50"/>
              <w:rPr>
                <w:sz w:val="38"/>
              </w:rPr>
            </w:pPr>
            <w:r>
              <w:rPr>
                <w:sz w:val="38"/>
              </w:rPr>
              <w:t>tea:</w:t>
            </w:r>
          </w:p>
        </w:tc>
        <w:tc>
          <w:tcPr>
            <w:tcW w:w="1010" w:type="dxa"/>
          </w:tcPr>
          <w:p>
            <w:pPr>
              <w:pStyle w:val="TableParagraph"/>
              <w:spacing w:before="32"/>
              <w:ind w:left="110"/>
              <w:rPr>
                <w:sz w:val="38"/>
              </w:rPr>
            </w:pPr>
            <w:r>
              <w:rPr>
                <w:sz w:val="38"/>
              </w:rPr>
              <w:t>mg</w:t>
            </w:r>
          </w:p>
        </w:tc>
        <w:tc>
          <w:tcPr>
            <w:tcW w:w="1162" w:type="dxa"/>
          </w:tcPr>
          <w:p>
            <w:pPr>
              <w:pStyle w:val="TableParagraph"/>
              <w:rPr>
                <w:rFonts w:ascii="Times New Roman"/>
                <w:sz w:val="36"/>
              </w:rPr>
            </w:pPr>
          </w:p>
        </w:tc>
        <w:tc>
          <w:tcPr>
            <w:tcW w:w="1153" w:type="dxa"/>
          </w:tcPr>
          <w:p>
            <w:pPr>
              <w:pStyle w:val="TableParagraph"/>
              <w:spacing w:before="32"/>
              <w:ind w:left="125"/>
              <w:rPr>
                <w:sz w:val="38"/>
              </w:rPr>
            </w:pPr>
            <w:r>
              <w:rPr>
                <w:sz w:val="38"/>
              </w:rPr>
              <w:t>mg</w:t>
            </w:r>
          </w:p>
        </w:tc>
        <w:tc>
          <w:tcPr>
            <w:tcW w:w="1076" w:type="dxa"/>
          </w:tcPr>
          <w:p>
            <w:pPr>
              <w:pStyle w:val="TableParagraph"/>
              <w:spacing w:before="32"/>
              <w:ind w:left="151"/>
              <w:rPr>
                <w:sz w:val="38"/>
              </w:rPr>
            </w:pPr>
            <w:r>
              <w:rPr>
                <w:sz w:val="38"/>
              </w:rPr>
              <w:t>mg</w:t>
            </w:r>
          </w:p>
        </w:tc>
      </w:tr>
      <w:tr>
        <w:trPr>
          <w:trHeight w:val="492" w:hRule="atLeast"/>
        </w:trPr>
        <w:tc>
          <w:tcPr>
            <w:tcW w:w="1283" w:type="dxa"/>
          </w:tcPr>
          <w:p>
            <w:pPr>
              <w:pStyle w:val="TableParagraph"/>
              <w:spacing w:before="32"/>
              <w:ind w:left="50"/>
              <w:rPr>
                <w:sz w:val="38"/>
              </w:rPr>
            </w:pPr>
            <w:r>
              <w:rPr>
                <w:sz w:val="38"/>
              </w:rPr>
              <w:t>Sencha</w:t>
            </w:r>
          </w:p>
        </w:tc>
        <w:tc>
          <w:tcPr>
            <w:tcW w:w="1010" w:type="dxa"/>
          </w:tcPr>
          <w:p>
            <w:pPr>
              <w:pStyle w:val="TableParagraph"/>
              <w:rPr>
                <w:rFonts w:ascii="Times New Roman"/>
                <w:sz w:val="36"/>
              </w:rPr>
            </w:pPr>
          </w:p>
        </w:tc>
        <w:tc>
          <w:tcPr>
            <w:tcW w:w="1162" w:type="dxa"/>
          </w:tcPr>
          <w:p>
            <w:pPr>
              <w:pStyle w:val="TableParagraph"/>
              <w:rPr>
                <w:rFonts w:ascii="Times New Roman"/>
                <w:sz w:val="36"/>
              </w:rPr>
            </w:pPr>
          </w:p>
        </w:tc>
        <w:tc>
          <w:tcPr>
            <w:tcW w:w="1153" w:type="dxa"/>
          </w:tcPr>
          <w:p>
            <w:pPr>
              <w:pStyle w:val="TableParagraph"/>
              <w:rPr>
                <w:rFonts w:ascii="Times New Roman"/>
                <w:sz w:val="36"/>
              </w:rPr>
            </w:pPr>
          </w:p>
        </w:tc>
        <w:tc>
          <w:tcPr>
            <w:tcW w:w="1076" w:type="dxa"/>
          </w:tcPr>
          <w:p>
            <w:pPr>
              <w:pStyle w:val="TableParagraph"/>
              <w:rPr>
                <w:rFonts w:ascii="Times New Roman"/>
                <w:sz w:val="36"/>
              </w:rPr>
            </w:pPr>
          </w:p>
        </w:tc>
      </w:tr>
      <w:tr>
        <w:trPr>
          <w:trHeight w:val="981" w:hRule="atLeast"/>
        </w:trPr>
        <w:tc>
          <w:tcPr>
            <w:tcW w:w="1283" w:type="dxa"/>
          </w:tcPr>
          <w:p>
            <w:pPr>
              <w:pStyle w:val="TableParagraph"/>
              <w:spacing w:before="32"/>
              <w:ind w:left="50"/>
              <w:rPr>
                <w:sz w:val="38"/>
              </w:rPr>
            </w:pPr>
            <w:r>
              <w:rPr>
                <w:sz w:val="38"/>
              </w:rPr>
              <w:t>Black</w:t>
            </w:r>
          </w:p>
          <w:p>
            <w:pPr>
              <w:pStyle w:val="TableParagraph"/>
              <w:spacing w:before="62"/>
              <w:ind w:left="50"/>
              <w:rPr>
                <w:sz w:val="38"/>
              </w:rPr>
            </w:pPr>
            <w:r>
              <w:rPr>
                <w:sz w:val="38"/>
              </w:rPr>
              <w:t>tea</w:t>
            </w:r>
          </w:p>
        </w:tc>
        <w:tc>
          <w:tcPr>
            <w:tcW w:w="1010" w:type="dxa"/>
          </w:tcPr>
          <w:p>
            <w:pPr>
              <w:pStyle w:val="TableParagraph"/>
              <w:spacing w:before="32"/>
              <w:ind w:left="110"/>
              <w:rPr>
                <w:sz w:val="38"/>
              </w:rPr>
            </w:pPr>
            <w:r>
              <w:rPr>
                <w:sz w:val="38"/>
              </w:rPr>
              <w:t>0 mg</w:t>
            </w:r>
          </w:p>
        </w:tc>
        <w:tc>
          <w:tcPr>
            <w:tcW w:w="1162" w:type="dxa"/>
          </w:tcPr>
          <w:p>
            <w:pPr>
              <w:pStyle w:val="TableParagraph"/>
              <w:spacing w:before="32"/>
              <w:ind w:left="108"/>
              <w:rPr>
                <w:sz w:val="38"/>
              </w:rPr>
            </w:pPr>
            <w:r>
              <w:rPr>
                <w:sz w:val="38"/>
              </w:rPr>
              <w:t>0.9</w:t>
            </w:r>
          </w:p>
          <w:p>
            <w:pPr>
              <w:pStyle w:val="TableParagraph"/>
              <w:spacing w:before="62"/>
              <w:ind w:left="108"/>
              <w:rPr>
                <w:sz w:val="38"/>
              </w:rPr>
            </w:pPr>
            <w:r>
              <w:rPr>
                <w:sz w:val="38"/>
              </w:rPr>
              <w:t>mg</w:t>
            </w:r>
          </w:p>
        </w:tc>
        <w:tc>
          <w:tcPr>
            <w:tcW w:w="1153" w:type="dxa"/>
          </w:tcPr>
          <w:p>
            <w:pPr>
              <w:pStyle w:val="TableParagraph"/>
              <w:spacing w:before="32"/>
              <w:ind w:left="125"/>
              <w:rPr>
                <w:sz w:val="38"/>
              </w:rPr>
            </w:pPr>
            <w:r>
              <w:rPr>
                <w:sz w:val="38"/>
              </w:rPr>
              <w:t>0.1</w:t>
            </w:r>
          </w:p>
          <w:p>
            <w:pPr>
              <w:pStyle w:val="TableParagraph"/>
              <w:spacing w:before="62"/>
              <w:ind w:left="125"/>
              <w:rPr>
                <w:sz w:val="38"/>
              </w:rPr>
            </w:pPr>
            <w:r>
              <w:rPr>
                <w:sz w:val="38"/>
              </w:rPr>
              <w:t>mg</w:t>
            </w:r>
          </w:p>
        </w:tc>
        <w:tc>
          <w:tcPr>
            <w:tcW w:w="1076" w:type="dxa"/>
          </w:tcPr>
          <w:p>
            <w:pPr>
              <w:pStyle w:val="TableParagraph"/>
              <w:spacing w:before="32"/>
              <w:ind w:left="151"/>
              <w:rPr>
                <w:sz w:val="38"/>
              </w:rPr>
            </w:pPr>
            <w:r>
              <w:rPr>
                <w:sz w:val="38"/>
              </w:rPr>
              <w:t>0.8</w:t>
            </w:r>
          </w:p>
          <w:p>
            <w:pPr>
              <w:pStyle w:val="TableParagraph"/>
              <w:spacing w:before="62"/>
              <w:ind w:left="151"/>
              <w:rPr>
                <w:sz w:val="38"/>
              </w:rPr>
            </w:pPr>
            <w:r>
              <w:rPr>
                <w:sz w:val="38"/>
              </w:rPr>
              <w:t>mg</w:t>
            </w:r>
          </w:p>
        </w:tc>
      </w:tr>
      <w:tr>
        <w:trPr>
          <w:trHeight w:val="492" w:hRule="atLeast"/>
        </w:trPr>
        <w:tc>
          <w:tcPr>
            <w:tcW w:w="1283" w:type="dxa"/>
          </w:tcPr>
          <w:p>
            <w:pPr>
              <w:pStyle w:val="TableParagraph"/>
              <w:spacing w:before="32"/>
              <w:ind w:left="50"/>
              <w:rPr>
                <w:sz w:val="38"/>
              </w:rPr>
            </w:pPr>
            <w:r>
              <w:rPr>
                <w:sz w:val="38"/>
              </w:rPr>
              <w:t>Coffee</w:t>
            </w:r>
          </w:p>
        </w:tc>
        <w:tc>
          <w:tcPr>
            <w:tcW w:w="1010" w:type="dxa"/>
          </w:tcPr>
          <w:p>
            <w:pPr>
              <w:pStyle w:val="TableParagraph"/>
              <w:spacing w:before="32"/>
              <w:ind w:left="110"/>
              <w:rPr>
                <w:sz w:val="38"/>
              </w:rPr>
            </w:pPr>
            <w:r>
              <w:rPr>
                <w:sz w:val="38"/>
              </w:rPr>
              <w:t>0 mg</w:t>
            </w:r>
          </w:p>
        </w:tc>
        <w:tc>
          <w:tcPr>
            <w:tcW w:w="1162" w:type="dxa"/>
          </w:tcPr>
          <w:p>
            <w:pPr>
              <w:pStyle w:val="TableParagraph"/>
              <w:spacing w:before="32"/>
              <w:ind w:left="108"/>
              <w:rPr>
                <w:sz w:val="38"/>
              </w:rPr>
            </w:pPr>
            <w:r>
              <w:rPr>
                <w:sz w:val="38"/>
              </w:rPr>
              <w:t>0 mg</w:t>
            </w:r>
          </w:p>
        </w:tc>
        <w:tc>
          <w:tcPr>
            <w:tcW w:w="1153" w:type="dxa"/>
          </w:tcPr>
          <w:p>
            <w:pPr>
              <w:pStyle w:val="TableParagraph"/>
              <w:spacing w:before="32"/>
              <w:ind w:left="125"/>
              <w:rPr>
                <w:sz w:val="38"/>
              </w:rPr>
            </w:pPr>
            <w:r>
              <w:rPr>
                <w:sz w:val="38"/>
              </w:rPr>
              <w:t>0 mg</w:t>
            </w:r>
          </w:p>
        </w:tc>
        <w:tc>
          <w:tcPr>
            <w:tcW w:w="1076" w:type="dxa"/>
          </w:tcPr>
          <w:p>
            <w:pPr>
              <w:pStyle w:val="TableParagraph"/>
              <w:spacing w:before="32"/>
              <w:ind w:left="151"/>
              <w:rPr>
                <w:sz w:val="38"/>
              </w:rPr>
            </w:pPr>
            <w:r>
              <w:rPr>
                <w:sz w:val="38"/>
              </w:rPr>
              <w:t>0.12</w:t>
            </w:r>
          </w:p>
        </w:tc>
      </w:tr>
      <w:tr>
        <w:trPr>
          <w:trHeight w:val="459" w:hRule="atLeast"/>
        </w:trPr>
        <w:tc>
          <w:tcPr>
            <w:tcW w:w="1283" w:type="dxa"/>
          </w:tcPr>
          <w:p>
            <w:pPr>
              <w:pStyle w:val="TableParagraph"/>
              <w:rPr>
                <w:rFonts w:ascii="Times New Roman"/>
                <w:sz w:val="36"/>
              </w:rPr>
            </w:pPr>
          </w:p>
        </w:tc>
        <w:tc>
          <w:tcPr>
            <w:tcW w:w="1010" w:type="dxa"/>
          </w:tcPr>
          <w:p>
            <w:pPr>
              <w:pStyle w:val="TableParagraph"/>
              <w:rPr>
                <w:rFonts w:ascii="Times New Roman"/>
                <w:sz w:val="36"/>
              </w:rPr>
            </w:pPr>
          </w:p>
        </w:tc>
        <w:tc>
          <w:tcPr>
            <w:tcW w:w="1162" w:type="dxa"/>
          </w:tcPr>
          <w:p>
            <w:pPr>
              <w:pStyle w:val="TableParagraph"/>
              <w:rPr>
                <w:rFonts w:ascii="Times New Roman"/>
                <w:sz w:val="36"/>
              </w:rPr>
            </w:pPr>
          </w:p>
        </w:tc>
        <w:tc>
          <w:tcPr>
            <w:tcW w:w="1153" w:type="dxa"/>
          </w:tcPr>
          <w:p>
            <w:pPr>
              <w:pStyle w:val="TableParagraph"/>
              <w:rPr>
                <w:rFonts w:ascii="Times New Roman"/>
                <w:sz w:val="36"/>
              </w:rPr>
            </w:pPr>
          </w:p>
        </w:tc>
        <w:tc>
          <w:tcPr>
            <w:tcW w:w="1076" w:type="dxa"/>
          </w:tcPr>
          <w:p>
            <w:pPr>
              <w:pStyle w:val="TableParagraph"/>
              <w:spacing w:line="407" w:lineRule="exact" w:before="32"/>
              <w:ind w:left="151"/>
              <w:rPr>
                <w:sz w:val="38"/>
              </w:rPr>
            </w:pPr>
            <w:r>
              <w:rPr>
                <w:sz w:val="38"/>
              </w:rPr>
              <w:t>mg</w:t>
            </w:r>
          </w:p>
        </w:tc>
      </w:tr>
    </w:tbl>
    <w:p>
      <w:pPr>
        <w:pStyle w:val="BodyText"/>
        <w:spacing w:before="64"/>
        <w:ind w:left="477"/>
        <w:jc w:val="both"/>
      </w:pPr>
      <w:r>
        <w:rPr/>
        <w:t>Source: Japan Tea Exporters Association</w:t>
      </w:r>
    </w:p>
    <w:p>
      <w:pPr>
        <w:spacing w:after="0"/>
        <w:jc w:val="both"/>
        <w:sectPr>
          <w:pgSz w:w="14270" w:h="16850"/>
          <w:pgMar w:header="0" w:footer="1891" w:top="1600" w:bottom="2080" w:left="800" w:right="12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6"/>
        </w:rPr>
      </w:pPr>
    </w:p>
    <w:p>
      <w:pPr>
        <w:pStyle w:val="Heading2"/>
        <w:spacing w:before="99"/>
      </w:pPr>
      <w:r>
        <w:rPr/>
        <w:t>The effect of green tea on our health</w:t>
      </w:r>
    </w:p>
    <w:p>
      <w:pPr>
        <w:pStyle w:val="BodyText"/>
        <w:spacing w:line="276" w:lineRule="auto" w:before="305"/>
        <w:ind w:left="477"/>
      </w:pPr>
      <w:r>
        <w:rPr/>
        <w:t>The above-mentioned active ingredients trigger very effective healing mecha- nisms, which combat countless illnesses preventively and therapeutically.</w:t>
      </w:r>
    </w:p>
    <w:p>
      <w:pPr>
        <w:pStyle w:val="BodyText"/>
        <w:rPr>
          <w:sz w:val="42"/>
        </w:rPr>
      </w:pPr>
    </w:p>
    <w:p>
      <w:pPr>
        <w:pStyle w:val="BodyText"/>
        <w:spacing w:before="8"/>
        <w:rPr>
          <w:sz w:val="42"/>
        </w:rPr>
      </w:pPr>
    </w:p>
    <w:p>
      <w:pPr>
        <w:pStyle w:val="Heading1"/>
        <w:spacing w:before="1"/>
      </w:pPr>
      <w:r>
        <w:rPr/>
        <w:t>Green tea in immunodeficiency, immune deficiency</w:t>
      </w:r>
    </w:p>
    <w:p>
      <w:pPr>
        <w:pStyle w:val="BodyText"/>
        <w:spacing w:line="276" w:lineRule="auto" w:before="299"/>
        <w:ind w:left="477" w:right="133"/>
        <w:jc w:val="both"/>
      </w:pPr>
      <w:r>
        <w:rPr/>
        <w:t>Pronounced</w:t>
      </w:r>
      <w:r>
        <w:rPr>
          <w:spacing w:val="-16"/>
        </w:rPr>
        <w:t> </w:t>
      </w:r>
      <w:r>
        <w:rPr/>
        <w:t>immunodeficiency</w:t>
      </w:r>
      <w:r>
        <w:rPr>
          <w:spacing w:val="-15"/>
        </w:rPr>
        <w:t> </w:t>
      </w:r>
      <w:r>
        <w:rPr/>
        <w:t>leads</w:t>
      </w:r>
      <w:r>
        <w:rPr>
          <w:spacing w:val="-15"/>
        </w:rPr>
        <w:t> </w:t>
      </w:r>
      <w:r>
        <w:rPr/>
        <w:t>to</w:t>
      </w:r>
      <w:r>
        <w:rPr>
          <w:spacing w:val="-17"/>
        </w:rPr>
        <w:t> </w:t>
      </w:r>
      <w:r>
        <w:rPr/>
        <w:t>numerous</w:t>
      </w:r>
      <w:r>
        <w:rPr>
          <w:spacing w:val="-15"/>
        </w:rPr>
        <w:t> </w:t>
      </w:r>
      <w:r>
        <w:rPr/>
        <w:t>illnesses,</w:t>
      </w:r>
      <w:r>
        <w:rPr>
          <w:spacing w:val="-15"/>
        </w:rPr>
        <w:t> </w:t>
      </w:r>
      <w:r>
        <w:rPr/>
        <w:t>infections</w:t>
      </w:r>
      <w:r>
        <w:rPr>
          <w:spacing w:val="-14"/>
        </w:rPr>
        <w:t> </w:t>
      </w:r>
      <w:r>
        <w:rPr/>
        <w:t>and</w:t>
      </w:r>
      <w:r>
        <w:rPr>
          <w:spacing w:val="-17"/>
        </w:rPr>
        <w:t> </w:t>
      </w:r>
      <w:r>
        <w:rPr/>
        <w:t>fun- gal infestations. In particular, the flavonoids, which are numerous in green tea, play the role of an immunomodulator and support important vitamins, such as vitamin C.</w:t>
      </w:r>
    </w:p>
    <w:p>
      <w:pPr>
        <w:pStyle w:val="BodyText"/>
        <w:spacing w:line="276" w:lineRule="auto" w:before="239"/>
        <w:ind w:left="477"/>
      </w:pPr>
      <w:r>
        <w:rPr/>
        <w:t>In the morning and in the evening, drink a cup or jug (about 300 ml) of green tea in three infusions.</w:t>
      </w:r>
    </w:p>
    <w:p>
      <w:pPr>
        <w:spacing w:line="271" w:lineRule="auto" w:before="224"/>
        <w:ind w:left="477" w:right="0" w:firstLine="0"/>
        <w:jc w:val="left"/>
        <w:rPr>
          <w:i/>
          <w:sz w:val="38"/>
        </w:rPr>
      </w:pPr>
      <w:r>
        <w:rPr>
          <w:b/>
          <w:i/>
          <w:sz w:val="40"/>
        </w:rPr>
        <w:t>Infusion</w:t>
      </w:r>
      <w:r>
        <w:rPr>
          <w:b/>
          <w:i/>
          <w:spacing w:val="-18"/>
          <w:sz w:val="40"/>
        </w:rPr>
        <w:t> </w:t>
      </w:r>
      <w:r>
        <w:rPr>
          <w:b/>
          <w:i/>
          <w:sz w:val="40"/>
        </w:rPr>
        <w:t>1:</w:t>
      </w:r>
      <w:r>
        <w:rPr>
          <w:b/>
          <w:i/>
          <w:spacing w:val="-15"/>
          <w:sz w:val="40"/>
        </w:rPr>
        <w:t> </w:t>
      </w:r>
      <w:r>
        <w:rPr>
          <w:i/>
          <w:sz w:val="38"/>
        </w:rPr>
        <w:t>Boil</w:t>
      </w:r>
      <w:r>
        <w:rPr>
          <w:i/>
          <w:spacing w:val="-13"/>
          <w:sz w:val="38"/>
        </w:rPr>
        <w:t> </w:t>
      </w:r>
      <w:r>
        <w:rPr>
          <w:i/>
          <w:sz w:val="38"/>
        </w:rPr>
        <w:t>100</w:t>
      </w:r>
      <w:r>
        <w:rPr>
          <w:i/>
          <w:spacing w:val="-12"/>
          <w:sz w:val="38"/>
        </w:rPr>
        <w:t> </w:t>
      </w:r>
      <w:r>
        <w:rPr>
          <w:i/>
          <w:sz w:val="38"/>
        </w:rPr>
        <w:t>ml</w:t>
      </w:r>
      <w:r>
        <w:rPr>
          <w:i/>
          <w:spacing w:val="-10"/>
          <w:sz w:val="38"/>
        </w:rPr>
        <w:t> </w:t>
      </w:r>
      <w:r>
        <w:rPr>
          <w:i/>
          <w:sz w:val="38"/>
        </w:rPr>
        <w:t>of</w:t>
      </w:r>
      <w:r>
        <w:rPr>
          <w:i/>
          <w:spacing w:val="-12"/>
          <w:sz w:val="38"/>
        </w:rPr>
        <w:t> </w:t>
      </w:r>
      <w:r>
        <w:rPr>
          <w:i/>
          <w:sz w:val="38"/>
        </w:rPr>
        <w:t>water</w:t>
      </w:r>
      <w:r>
        <w:rPr>
          <w:i/>
          <w:spacing w:val="-11"/>
          <w:sz w:val="38"/>
        </w:rPr>
        <w:t> </w:t>
      </w:r>
      <w:r>
        <w:rPr>
          <w:i/>
          <w:sz w:val="38"/>
        </w:rPr>
        <w:t>and</w:t>
      </w:r>
      <w:r>
        <w:rPr>
          <w:i/>
          <w:spacing w:val="-12"/>
          <w:sz w:val="38"/>
        </w:rPr>
        <w:t> </w:t>
      </w:r>
      <w:r>
        <w:rPr>
          <w:i/>
          <w:sz w:val="38"/>
        </w:rPr>
        <w:t>let</w:t>
      </w:r>
      <w:r>
        <w:rPr>
          <w:i/>
          <w:spacing w:val="-12"/>
          <w:sz w:val="38"/>
        </w:rPr>
        <w:t> </w:t>
      </w:r>
      <w:r>
        <w:rPr>
          <w:i/>
          <w:sz w:val="38"/>
        </w:rPr>
        <w:t>it</w:t>
      </w:r>
      <w:r>
        <w:rPr>
          <w:i/>
          <w:spacing w:val="-10"/>
          <w:sz w:val="38"/>
        </w:rPr>
        <w:t> </w:t>
      </w:r>
      <w:r>
        <w:rPr>
          <w:i/>
          <w:sz w:val="38"/>
        </w:rPr>
        <w:t>cool</w:t>
      </w:r>
      <w:r>
        <w:rPr>
          <w:i/>
          <w:spacing w:val="-12"/>
          <w:sz w:val="38"/>
        </w:rPr>
        <w:t> </w:t>
      </w:r>
      <w:r>
        <w:rPr>
          <w:i/>
          <w:sz w:val="38"/>
        </w:rPr>
        <w:t>for</w:t>
      </w:r>
      <w:r>
        <w:rPr>
          <w:i/>
          <w:spacing w:val="-10"/>
          <w:sz w:val="38"/>
        </w:rPr>
        <w:t> </w:t>
      </w:r>
      <w:r>
        <w:rPr>
          <w:i/>
          <w:sz w:val="38"/>
        </w:rPr>
        <w:t>about</w:t>
      </w:r>
      <w:r>
        <w:rPr>
          <w:i/>
          <w:spacing w:val="-10"/>
          <w:sz w:val="38"/>
        </w:rPr>
        <w:t> </w:t>
      </w:r>
      <w:r>
        <w:rPr>
          <w:i/>
          <w:sz w:val="38"/>
        </w:rPr>
        <w:t>3</w:t>
      </w:r>
      <w:r>
        <w:rPr>
          <w:i/>
          <w:spacing w:val="-14"/>
          <w:sz w:val="38"/>
        </w:rPr>
        <w:t> </w:t>
      </w:r>
      <w:r>
        <w:rPr>
          <w:i/>
          <w:sz w:val="38"/>
        </w:rPr>
        <w:t>minutes</w:t>
      </w:r>
      <w:r>
        <w:rPr>
          <w:i/>
          <w:spacing w:val="-11"/>
          <w:sz w:val="38"/>
        </w:rPr>
        <w:t> </w:t>
      </w:r>
      <w:r>
        <w:rPr>
          <w:i/>
          <w:sz w:val="38"/>
        </w:rPr>
        <w:t>before</w:t>
      </w:r>
      <w:r>
        <w:rPr>
          <w:i/>
          <w:spacing w:val="-13"/>
          <w:sz w:val="38"/>
        </w:rPr>
        <w:t> </w:t>
      </w:r>
      <w:r>
        <w:rPr>
          <w:i/>
          <w:sz w:val="38"/>
        </w:rPr>
        <w:t>pouring</w:t>
      </w:r>
      <w:r>
        <w:rPr>
          <w:i/>
          <w:spacing w:val="-10"/>
          <w:sz w:val="38"/>
        </w:rPr>
        <w:t> </w:t>
      </w:r>
      <w:r>
        <w:rPr>
          <w:i/>
          <w:sz w:val="38"/>
        </w:rPr>
        <w:t>over</w:t>
      </w:r>
      <w:r>
        <w:rPr>
          <w:i/>
          <w:spacing w:val="-14"/>
          <w:sz w:val="38"/>
        </w:rPr>
        <w:t> </w:t>
      </w:r>
      <w:r>
        <w:rPr>
          <w:i/>
          <w:sz w:val="38"/>
        </w:rPr>
        <w:t>the </w:t>
      </w:r>
      <w:r>
        <w:rPr>
          <w:i/>
          <w:sz w:val="38"/>
        </w:rPr>
        <w:t>tea. Let it rest for three minutes. Squeeze half a lemon into the jug and drink</w:t>
      </w:r>
      <w:r>
        <w:rPr>
          <w:i/>
          <w:spacing w:val="-26"/>
          <w:sz w:val="38"/>
        </w:rPr>
        <w:t> </w:t>
      </w:r>
      <w:r>
        <w:rPr>
          <w:i/>
          <w:sz w:val="38"/>
        </w:rPr>
        <w:t>slowly.</w:t>
      </w:r>
    </w:p>
    <w:p>
      <w:pPr>
        <w:spacing w:line="271" w:lineRule="auto" w:before="232"/>
        <w:ind w:left="477" w:right="0" w:firstLine="0"/>
        <w:jc w:val="left"/>
        <w:rPr>
          <w:i/>
          <w:sz w:val="38"/>
        </w:rPr>
      </w:pPr>
      <w:r>
        <w:rPr>
          <w:b/>
          <w:i/>
          <w:sz w:val="40"/>
        </w:rPr>
        <w:t>Infusion</w:t>
      </w:r>
      <w:r>
        <w:rPr>
          <w:b/>
          <w:i/>
          <w:spacing w:val="-16"/>
          <w:sz w:val="40"/>
        </w:rPr>
        <w:t> </w:t>
      </w:r>
      <w:r>
        <w:rPr>
          <w:b/>
          <w:i/>
          <w:sz w:val="40"/>
        </w:rPr>
        <w:t>2:</w:t>
      </w:r>
      <w:r>
        <w:rPr>
          <w:b/>
          <w:i/>
          <w:spacing w:val="-14"/>
          <w:sz w:val="40"/>
        </w:rPr>
        <w:t> </w:t>
      </w:r>
      <w:r>
        <w:rPr>
          <w:i/>
          <w:sz w:val="38"/>
        </w:rPr>
        <w:t>Boil</w:t>
      </w:r>
      <w:r>
        <w:rPr>
          <w:i/>
          <w:spacing w:val="-11"/>
          <w:sz w:val="38"/>
        </w:rPr>
        <w:t> </w:t>
      </w:r>
      <w:r>
        <w:rPr>
          <w:i/>
          <w:sz w:val="38"/>
        </w:rPr>
        <w:t>100</w:t>
      </w:r>
      <w:r>
        <w:rPr>
          <w:i/>
          <w:spacing w:val="-10"/>
          <w:sz w:val="38"/>
        </w:rPr>
        <w:t> </w:t>
      </w:r>
      <w:r>
        <w:rPr>
          <w:i/>
          <w:sz w:val="38"/>
        </w:rPr>
        <w:t>ml</w:t>
      </w:r>
      <w:r>
        <w:rPr>
          <w:i/>
          <w:spacing w:val="-9"/>
          <w:sz w:val="38"/>
        </w:rPr>
        <w:t> </w:t>
      </w:r>
      <w:r>
        <w:rPr>
          <w:i/>
          <w:sz w:val="38"/>
        </w:rPr>
        <w:t>of</w:t>
      </w:r>
      <w:r>
        <w:rPr>
          <w:i/>
          <w:spacing w:val="-9"/>
          <w:sz w:val="38"/>
        </w:rPr>
        <w:t> </w:t>
      </w:r>
      <w:r>
        <w:rPr>
          <w:i/>
          <w:sz w:val="38"/>
        </w:rPr>
        <w:t>water,</w:t>
      </w:r>
      <w:r>
        <w:rPr>
          <w:i/>
          <w:spacing w:val="-9"/>
          <w:sz w:val="38"/>
        </w:rPr>
        <w:t> </w:t>
      </w:r>
      <w:r>
        <w:rPr>
          <w:i/>
          <w:sz w:val="38"/>
        </w:rPr>
        <w:t>allow</w:t>
      </w:r>
      <w:r>
        <w:rPr>
          <w:i/>
          <w:spacing w:val="-9"/>
          <w:sz w:val="38"/>
        </w:rPr>
        <w:t> </w:t>
      </w:r>
      <w:r>
        <w:rPr>
          <w:i/>
          <w:sz w:val="38"/>
        </w:rPr>
        <w:t>to</w:t>
      </w:r>
      <w:r>
        <w:rPr>
          <w:i/>
          <w:spacing w:val="-12"/>
          <w:sz w:val="38"/>
        </w:rPr>
        <w:t> </w:t>
      </w:r>
      <w:r>
        <w:rPr>
          <w:i/>
          <w:sz w:val="38"/>
        </w:rPr>
        <w:t>cool</w:t>
      </w:r>
      <w:r>
        <w:rPr>
          <w:i/>
          <w:spacing w:val="-12"/>
          <w:sz w:val="38"/>
        </w:rPr>
        <w:t> </w:t>
      </w:r>
      <w:r>
        <w:rPr>
          <w:i/>
          <w:sz w:val="38"/>
        </w:rPr>
        <w:t>for</w:t>
      </w:r>
      <w:r>
        <w:rPr>
          <w:i/>
          <w:spacing w:val="-9"/>
          <w:sz w:val="38"/>
        </w:rPr>
        <w:t> </w:t>
      </w:r>
      <w:r>
        <w:rPr>
          <w:i/>
          <w:sz w:val="38"/>
        </w:rPr>
        <w:t>about</w:t>
      </w:r>
      <w:r>
        <w:rPr>
          <w:i/>
          <w:spacing w:val="-9"/>
          <w:sz w:val="38"/>
        </w:rPr>
        <w:t> </w:t>
      </w:r>
      <w:r>
        <w:rPr>
          <w:i/>
          <w:sz w:val="38"/>
        </w:rPr>
        <w:t>3</w:t>
      </w:r>
      <w:r>
        <w:rPr>
          <w:i/>
          <w:spacing w:val="-11"/>
          <w:sz w:val="38"/>
        </w:rPr>
        <w:t> </w:t>
      </w:r>
      <w:r>
        <w:rPr>
          <w:i/>
          <w:sz w:val="38"/>
        </w:rPr>
        <w:t>minutes</w:t>
      </w:r>
      <w:r>
        <w:rPr>
          <w:i/>
          <w:spacing w:val="-11"/>
          <w:sz w:val="38"/>
        </w:rPr>
        <w:t> </w:t>
      </w:r>
      <w:r>
        <w:rPr>
          <w:i/>
          <w:sz w:val="38"/>
        </w:rPr>
        <w:t>before</w:t>
      </w:r>
      <w:r>
        <w:rPr>
          <w:i/>
          <w:spacing w:val="-14"/>
          <w:sz w:val="38"/>
        </w:rPr>
        <w:t> </w:t>
      </w:r>
      <w:r>
        <w:rPr>
          <w:i/>
          <w:sz w:val="38"/>
        </w:rPr>
        <w:t>pouring</w:t>
      </w:r>
      <w:r>
        <w:rPr>
          <w:i/>
          <w:spacing w:val="-9"/>
          <w:sz w:val="38"/>
        </w:rPr>
        <w:t> </w:t>
      </w:r>
      <w:r>
        <w:rPr>
          <w:i/>
          <w:sz w:val="38"/>
        </w:rPr>
        <w:t>over</w:t>
      </w:r>
      <w:r>
        <w:rPr>
          <w:i/>
          <w:spacing w:val="-11"/>
          <w:sz w:val="38"/>
        </w:rPr>
        <w:t> </w:t>
      </w:r>
      <w:r>
        <w:rPr>
          <w:i/>
          <w:sz w:val="38"/>
        </w:rPr>
        <w:t>the </w:t>
      </w:r>
      <w:r>
        <w:rPr>
          <w:i/>
          <w:sz w:val="38"/>
        </w:rPr>
        <w:t>tea. This time, let it rest for five</w:t>
      </w:r>
      <w:r>
        <w:rPr>
          <w:i/>
          <w:spacing w:val="-3"/>
          <w:sz w:val="38"/>
        </w:rPr>
        <w:t> </w:t>
      </w:r>
      <w:r>
        <w:rPr>
          <w:i/>
          <w:sz w:val="38"/>
        </w:rPr>
        <w:t>minutes.</w:t>
      </w:r>
    </w:p>
    <w:p>
      <w:pPr>
        <w:pStyle w:val="Heading1"/>
        <w:spacing w:before="233"/>
        <w:jc w:val="both"/>
      </w:pPr>
      <w:r>
        <w:rPr/>
        <w:t>Infusion 3: the same procedure as Infusion 2.</w:t>
      </w:r>
    </w:p>
    <w:p>
      <w:pPr>
        <w:spacing w:before="280"/>
        <w:ind w:left="477" w:right="0" w:firstLine="0"/>
        <w:jc w:val="both"/>
        <w:rPr>
          <w:sz w:val="38"/>
        </w:rPr>
      </w:pPr>
      <w:r>
        <w:rPr>
          <w:b/>
          <w:i/>
          <w:sz w:val="40"/>
        </w:rPr>
        <w:t>Effect on atherosclerosis </w:t>
      </w:r>
      <w:r>
        <w:rPr>
          <w:sz w:val="38"/>
        </w:rPr>
        <w:t>(calcification in the blood</w:t>
      </w:r>
      <w:r>
        <w:rPr>
          <w:spacing w:val="-53"/>
          <w:sz w:val="38"/>
        </w:rPr>
        <w:t> </w:t>
      </w:r>
      <w:r>
        <w:rPr>
          <w:sz w:val="38"/>
        </w:rPr>
        <w:t>vessels)</w:t>
      </w:r>
    </w:p>
    <w:p>
      <w:pPr>
        <w:spacing w:after="0"/>
        <w:jc w:val="both"/>
        <w:rPr>
          <w:sz w:val="38"/>
        </w:rPr>
        <w:sectPr>
          <w:footerReference w:type="default" r:id="rId157"/>
          <w:pgSz w:w="14270" w:h="16850"/>
          <w:pgMar w:footer="1891" w:header="0" w:top="1600" w:bottom="2080" w:left="800" w:right="1280"/>
          <w:pgNumType w:start="620"/>
        </w:sectPr>
      </w:pPr>
    </w:p>
    <w:p>
      <w:pPr>
        <w:pStyle w:val="BodyText"/>
        <w:spacing w:line="276" w:lineRule="auto" w:before="181"/>
        <w:ind w:left="477" w:right="138"/>
        <w:jc w:val="both"/>
      </w:pPr>
      <w:r>
        <w:rPr/>
        <w:t>Atherosclerosis is considered the most common cause of heart attack and stroke/cerebral</w:t>
      </w:r>
      <w:r>
        <w:rPr>
          <w:spacing w:val="-20"/>
        </w:rPr>
        <w:t> </w:t>
      </w:r>
      <w:r>
        <w:rPr/>
        <w:t>apoplexy</w:t>
      </w:r>
      <w:r>
        <w:rPr>
          <w:spacing w:val="-16"/>
        </w:rPr>
        <w:t> </w:t>
      </w:r>
      <w:r>
        <w:rPr/>
        <w:t>and</w:t>
      </w:r>
      <w:r>
        <w:rPr>
          <w:spacing w:val="-17"/>
        </w:rPr>
        <w:t> </w:t>
      </w:r>
      <w:r>
        <w:rPr/>
        <w:t>is</w:t>
      </w:r>
      <w:r>
        <w:rPr>
          <w:spacing w:val="-18"/>
        </w:rPr>
        <w:t> </w:t>
      </w:r>
      <w:r>
        <w:rPr/>
        <w:t>unnoticed</w:t>
      </w:r>
      <w:r>
        <w:rPr>
          <w:spacing w:val="-18"/>
        </w:rPr>
        <w:t> </w:t>
      </w:r>
      <w:r>
        <w:rPr/>
        <w:t>and</w:t>
      </w:r>
      <w:r>
        <w:rPr>
          <w:spacing w:val="-17"/>
        </w:rPr>
        <w:t> </w:t>
      </w:r>
      <w:r>
        <w:rPr/>
        <w:t>insidious.</w:t>
      </w:r>
      <w:r>
        <w:rPr>
          <w:spacing w:val="-17"/>
        </w:rPr>
        <w:t> </w:t>
      </w:r>
      <w:r>
        <w:rPr/>
        <w:t>Statistically,</w:t>
      </w:r>
      <w:r>
        <w:rPr>
          <w:spacing w:val="-17"/>
        </w:rPr>
        <w:t> </w:t>
      </w:r>
      <w:r>
        <w:rPr/>
        <w:t>about</w:t>
      </w:r>
      <w:r>
        <w:rPr>
          <w:spacing w:val="-19"/>
        </w:rPr>
        <w:t> </w:t>
      </w:r>
      <w:r>
        <w:rPr/>
        <w:t>half of all people in industrialised countries die of cardiovascular disease, primarily due to</w:t>
      </w:r>
      <w:r>
        <w:rPr>
          <w:spacing w:val="-1"/>
        </w:rPr>
        <w:t> </w:t>
      </w:r>
      <w:r>
        <w:rPr/>
        <w:t>atherosclerosis.</w:t>
      </w:r>
    </w:p>
    <w:p>
      <w:pPr>
        <w:pStyle w:val="BodyText"/>
        <w:spacing w:line="276" w:lineRule="auto" w:before="242"/>
        <w:ind w:left="477" w:right="132"/>
        <w:jc w:val="both"/>
      </w:pPr>
      <w:r>
        <w:rPr/>
        <w:t>Green tea helps prevent atherosclerosis by reducation of the ‘bad’ cholesterol LDL and increasing the ‘good’ cholesterol HDL. Furthermore, it lowers high blood pressure, improves the fluidity of the blood and counteracts its clump- ing/coagulation.</w:t>
      </w:r>
    </w:p>
    <w:p>
      <w:pPr>
        <w:pStyle w:val="BodyText"/>
        <w:spacing w:line="276" w:lineRule="auto" w:before="240"/>
        <w:ind w:left="477" w:right="142"/>
        <w:jc w:val="both"/>
      </w:pPr>
      <w:r>
        <w:rPr/>
        <w:t>Drink a cup (300 ml) of green tea 3 times a day with each meal. Let the last green tea soak for five minutes to reduce caffeine and so not disturb sleep.</w:t>
      </w:r>
    </w:p>
    <w:p>
      <w:pPr>
        <w:pStyle w:val="Heading1"/>
        <w:spacing w:before="223"/>
        <w:jc w:val="both"/>
      </w:pPr>
      <w:r>
        <w:rPr/>
        <w:t>Effect on appetite disorders</w:t>
      </w:r>
    </w:p>
    <w:p>
      <w:pPr>
        <w:pStyle w:val="BodyText"/>
        <w:spacing w:line="276" w:lineRule="auto" w:before="297"/>
        <w:ind w:left="477" w:right="132"/>
        <w:jc w:val="both"/>
      </w:pPr>
      <w:r>
        <w:rPr/>
        <w:t>Appetite disorders are characterised by a decrease or increase in the feeling of hunger and can have both physical and psychological reasons. The bitter sub- stances contained in green tea stimulate the appetite centre in the brain.</w:t>
      </w:r>
    </w:p>
    <w:p>
      <w:pPr>
        <w:pStyle w:val="BodyText"/>
        <w:spacing w:line="276" w:lineRule="auto" w:before="241"/>
        <w:ind w:left="477" w:right="134"/>
        <w:jc w:val="both"/>
      </w:pPr>
      <w:r>
        <w:rPr/>
        <w:t>Drink twice daily, preferably 1 hour before lunch and dinner, 1 cup (150 ml). Let</w:t>
      </w:r>
      <w:r>
        <w:rPr>
          <w:spacing w:val="-9"/>
        </w:rPr>
        <w:t> </w:t>
      </w:r>
      <w:r>
        <w:rPr/>
        <w:t>the</w:t>
      </w:r>
      <w:r>
        <w:rPr>
          <w:spacing w:val="-7"/>
        </w:rPr>
        <w:t> </w:t>
      </w:r>
      <w:r>
        <w:rPr/>
        <w:t>tea</w:t>
      </w:r>
      <w:r>
        <w:rPr>
          <w:spacing w:val="-9"/>
        </w:rPr>
        <w:t> </w:t>
      </w:r>
      <w:r>
        <w:rPr/>
        <w:t>soak</w:t>
      </w:r>
      <w:r>
        <w:rPr>
          <w:spacing w:val="-15"/>
        </w:rPr>
        <w:t> </w:t>
      </w:r>
      <w:r>
        <w:rPr/>
        <w:t>for</w:t>
      </w:r>
      <w:r>
        <w:rPr>
          <w:spacing w:val="-7"/>
        </w:rPr>
        <w:t> </w:t>
      </w:r>
      <w:r>
        <w:rPr/>
        <w:t>a</w:t>
      </w:r>
      <w:r>
        <w:rPr>
          <w:spacing w:val="-9"/>
        </w:rPr>
        <w:t> </w:t>
      </w:r>
      <w:r>
        <w:rPr/>
        <w:t>little</w:t>
      </w:r>
      <w:r>
        <w:rPr>
          <w:spacing w:val="-9"/>
        </w:rPr>
        <w:t> </w:t>
      </w:r>
      <w:r>
        <w:rPr/>
        <w:t>longer</w:t>
      </w:r>
      <w:r>
        <w:rPr>
          <w:spacing w:val="-10"/>
        </w:rPr>
        <w:t> </w:t>
      </w:r>
      <w:r>
        <w:rPr/>
        <w:t>than</w:t>
      </w:r>
      <w:r>
        <w:rPr>
          <w:spacing w:val="-7"/>
        </w:rPr>
        <w:t> </w:t>
      </w:r>
      <w:r>
        <w:rPr/>
        <w:t>five</w:t>
      </w:r>
      <w:r>
        <w:rPr>
          <w:spacing w:val="-9"/>
        </w:rPr>
        <w:t> </w:t>
      </w:r>
      <w:r>
        <w:rPr/>
        <w:t>minutes,</w:t>
      </w:r>
      <w:r>
        <w:rPr>
          <w:spacing w:val="-9"/>
        </w:rPr>
        <w:t> </w:t>
      </w:r>
      <w:r>
        <w:rPr/>
        <w:t>as</w:t>
      </w:r>
      <w:r>
        <w:rPr>
          <w:spacing w:val="-11"/>
        </w:rPr>
        <w:t> </w:t>
      </w:r>
      <w:r>
        <w:rPr/>
        <w:t>this</w:t>
      </w:r>
      <w:r>
        <w:rPr>
          <w:spacing w:val="-10"/>
        </w:rPr>
        <w:t> </w:t>
      </w:r>
      <w:r>
        <w:rPr/>
        <w:t>will</w:t>
      </w:r>
      <w:r>
        <w:rPr>
          <w:spacing w:val="-10"/>
        </w:rPr>
        <w:t> </w:t>
      </w:r>
      <w:r>
        <w:rPr/>
        <w:t>best</w:t>
      </w:r>
      <w:r>
        <w:rPr>
          <w:spacing w:val="-9"/>
        </w:rPr>
        <w:t> </w:t>
      </w:r>
      <w:r>
        <w:rPr/>
        <w:t>activate</w:t>
      </w:r>
      <w:r>
        <w:rPr>
          <w:spacing w:val="-8"/>
        </w:rPr>
        <w:t> </w:t>
      </w:r>
      <w:r>
        <w:rPr/>
        <w:t>the bitterness on the appetite centre in the brain.</w:t>
      </w:r>
    </w:p>
    <w:p>
      <w:pPr>
        <w:pStyle w:val="Heading1"/>
        <w:jc w:val="both"/>
      </w:pPr>
      <w:r>
        <w:rPr/>
        <w:t>Green tea – effect on high blood pressure (high blood pressure)</w:t>
      </w:r>
    </w:p>
    <w:p>
      <w:pPr>
        <w:spacing w:after="0"/>
        <w:jc w:val="both"/>
        <w:sectPr>
          <w:pgSz w:w="14270" w:h="16850"/>
          <w:pgMar w:header="0" w:footer="1891" w:top="1600" w:bottom="2080" w:left="800" w:right="1280"/>
        </w:sectPr>
      </w:pPr>
    </w:p>
    <w:p>
      <w:pPr>
        <w:pStyle w:val="BodyText"/>
        <w:spacing w:line="276" w:lineRule="auto" w:before="181"/>
        <w:ind w:left="477" w:right="133"/>
        <w:jc w:val="both"/>
      </w:pPr>
      <w:r>
        <w:rPr/>
        <w:t>High</w:t>
      </w:r>
      <w:r>
        <w:rPr>
          <w:spacing w:val="-23"/>
        </w:rPr>
        <w:t> </w:t>
      </w:r>
      <w:r>
        <w:rPr/>
        <w:t>blood</w:t>
      </w:r>
      <w:r>
        <w:rPr>
          <w:spacing w:val="-23"/>
        </w:rPr>
        <w:t> </w:t>
      </w:r>
      <w:r>
        <w:rPr/>
        <w:t>pressure</w:t>
      </w:r>
      <w:r>
        <w:rPr>
          <w:spacing w:val="-21"/>
        </w:rPr>
        <w:t> </w:t>
      </w:r>
      <w:r>
        <w:rPr/>
        <w:t>is</w:t>
      </w:r>
      <w:r>
        <w:rPr>
          <w:spacing w:val="-24"/>
        </w:rPr>
        <w:t> </w:t>
      </w:r>
      <w:r>
        <w:rPr/>
        <w:t>treacherous</w:t>
      </w:r>
      <w:r>
        <w:rPr>
          <w:spacing w:val="-24"/>
        </w:rPr>
        <w:t> </w:t>
      </w:r>
      <w:r>
        <w:rPr/>
        <w:t>and</w:t>
      </w:r>
      <w:r>
        <w:rPr>
          <w:spacing w:val="-24"/>
        </w:rPr>
        <w:t> </w:t>
      </w:r>
      <w:r>
        <w:rPr/>
        <w:t>remains</w:t>
      </w:r>
      <w:r>
        <w:rPr>
          <w:spacing w:val="-23"/>
        </w:rPr>
        <w:t> </w:t>
      </w:r>
      <w:r>
        <w:rPr/>
        <w:t>largely</w:t>
      </w:r>
      <w:r>
        <w:rPr>
          <w:spacing w:val="-24"/>
        </w:rPr>
        <w:t> </w:t>
      </w:r>
      <w:r>
        <w:rPr/>
        <w:t>unnoticed</w:t>
      </w:r>
      <w:r>
        <w:rPr>
          <w:spacing w:val="-22"/>
        </w:rPr>
        <w:t> </w:t>
      </w:r>
      <w:r>
        <w:rPr/>
        <w:t>until</w:t>
      </w:r>
      <w:r>
        <w:rPr>
          <w:spacing w:val="-25"/>
        </w:rPr>
        <w:t> </w:t>
      </w:r>
      <w:r>
        <w:rPr/>
        <w:t>the</w:t>
      </w:r>
      <w:r>
        <w:rPr>
          <w:spacing w:val="-23"/>
        </w:rPr>
        <w:t> </w:t>
      </w:r>
      <w:r>
        <w:rPr/>
        <w:t>man- ifestation of secondary diseases, which is why one also speaks of ‘creeping death’.</w:t>
      </w:r>
    </w:p>
    <w:p>
      <w:pPr>
        <w:pStyle w:val="BodyText"/>
        <w:spacing w:before="242"/>
        <w:ind w:left="477"/>
      </w:pPr>
      <w:r>
        <w:rPr/>
        <w:t>High blood pressure exists, if the values are at least 140 to 90mmHg.</w:t>
      </w:r>
    </w:p>
    <w:p>
      <w:pPr>
        <w:pStyle w:val="BodyText"/>
        <w:spacing w:line="276" w:lineRule="auto" w:before="304"/>
        <w:ind w:left="477" w:right="142"/>
        <w:jc w:val="both"/>
      </w:pPr>
      <w:r>
        <w:rPr/>
        <w:t>The substances contained in green tea have antihypertensive properties and support blood flow.</w:t>
      </w:r>
    </w:p>
    <w:p>
      <w:pPr>
        <w:pStyle w:val="BodyText"/>
        <w:spacing w:line="276" w:lineRule="auto" w:before="239"/>
        <w:ind w:left="477" w:right="138"/>
        <w:jc w:val="both"/>
      </w:pPr>
      <w:r>
        <w:rPr/>
        <w:t>Drink 1 cup (150 ml) of green tea twice daily, with breakfast and lunch. Allow to soak for about three to five minutes.</w:t>
      </w:r>
    </w:p>
    <w:p>
      <w:pPr>
        <w:pStyle w:val="Heading1"/>
        <w:spacing w:before="223"/>
      </w:pPr>
      <w:r>
        <w:rPr/>
        <w:t>Green tea and its effect on cold,</w:t>
      </w:r>
      <w:r>
        <w:rPr>
          <w:spacing w:val="-66"/>
        </w:rPr>
        <w:t> </w:t>
      </w:r>
      <w:r>
        <w:rPr/>
        <w:t>flu</w:t>
      </w:r>
    </w:p>
    <w:p>
      <w:pPr>
        <w:pStyle w:val="BodyText"/>
        <w:spacing w:line="276" w:lineRule="auto" w:before="300"/>
        <w:ind w:left="477" w:right="132"/>
        <w:jc w:val="both"/>
      </w:pPr>
      <w:r>
        <w:rPr/>
        <w:t>A common cold causes symptoms such as sneezing, coughing, sore throat, headache, fever, hoarseness and runny nose. The flavonoids and saponins pre- sent in green tea alleviate these symptoms by inhibiting the inflammations and have an antibacterial/antiviral effect. Furthermore, these mechanisms are sup- ported</w:t>
      </w:r>
      <w:r>
        <w:rPr>
          <w:spacing w:val="-16"/>
        </w:rPr>
        <w:t> </w:t>
      </w:r>
      <w:r>
        <w:rPr/>
        <w:t>by</w:t>
      </w:r>
      <w:r>
        <w:rPr>
          <w:spacing w:val="-17"/>
        </w:rPr>
        <w:t> </w:t>
      </w:r>
      <w:r>
        <w:rPr/>
        <w:t>the</w:t>
      </w:r>
      <w:r>
        <w:rPr>
          <w:spacing w:val="-16"/>
        </w:rPr>
        <w:t> </w:t>
      </w:r>
      <w:r>
        <w:rPr/>
        <w:t>high</w:t>
      </w:r>
      <w:r>
        <w:rPr>
          <w:spacing w:val="-14"/>
        </w:rPr>
        <w:t> </w:t>
      </w:r>
      <w:r>
        <w:rPr/>
        <w:t>proportion</w:t>
      </w:r>
      <w:r>
        <w:rPr>
          <w:spacing w:val="-17"/>
        </w:rPr>
        <w:t> </w:t>
      </w:r>
      <w:r>
        <w:rPr/>
        <w:t>of</w:t>
      </w:r>
      <w:r>
        <w:rPr>
          <w:spacing w:val="-16"/>
        </w:rPr>
        <w:t> </w:t>
      </w:r>
      <w:r>
        <w:rPr/>
        <w:t>vitamins</w:t>
      </w:r>
      <w:r>
        <w:rPr>
          <w:spacing w:val="-14"/>
        </w:rPr>
        <w:t> </w:t>
      </w:r>
      <w:r>
        <w:rPr/>
        <w:t>and</w:t>
      </w:r>
      <w:r>
        <w:rPr>
          <w:spacing w:val="-15"/>
        </w:rPr>
        <w:t> </w:t>
      </w:r>
      <w:r>
        <w:rPr/>
        <w:t>trace</w:t>
      </w:r>
      <w:r>
        <w:rPr>
          <w:spacing w:val="-14"/>
        </w:rPr>
        <w:t> </w:t>
      </w:r>
      <w:r>
        <w:rPr/>
        <w:t>elements,</w:t>
      </w:r>
      <w:r>
        <w:rPr>
          <w:spacing w:val="-14"/>
        </w:rPr>
        <w:t> </w:t>
      </w:r>
      <w:r>
        <w:rPr/>
        <w:t>which</w:t>
      </w:r>
      <w:r>
        <w:rPr>
          <w:spacing w:val="-14"/>
        </w:rPr>
        <w:t> </w:t>
      </w:r>
      <w:r>
        <w:rPr/>
        <w:t>are</w:t>
      </w:r>
      <w:r>
        <w:rPr>
          <w:spacing w:val="-15"/>
        </w:rPr>
        <w:t> </w:t>
      </w:r>
      <w:r>
        <w:rPr/>
        <w:t>known to have a positive effect on common colds, such as vitamin C and zinc, which are abundant in green</w:t>
      </w:r>
      <w:r>
        <w:rPr>
          <w:spacing w:val="2"/>
        </w:rPr>
        <w:t> </w:t>
      </w:r>
      <w:r>
        <w:rPr/>
        <w:t>tea.</w:t>
      </w:r>
    </w:p>
    <w:p>
      <w:pPr>
        <w:pStyle w:val="BodyText"/>
        <w:spacing w:line="276" w:lineRule="auto" w:before="240"/>
        <w:ind w:left="477" w:right="135"/>
        <w:jc w:val="both"/>
      </w:pPr>
      <w:r>
        <w:rPr/>
        <w:t>Drink 1 jug (300 ml) green tea 3-5 times a day, infuse for 5 minutes and add ½ lemon and 1 teaspoon honey each.</w:t>
      </w:r>
    </w:p>
    <w:p>
      <w:pPr>
        <w:pStyle w:val="Heading1"/>
        <w:spacing w:before="222"/>
        <w:jc w:val="both"/>
      </w:pPr>
      <w:r>
        <w:rPr/>
        <w:t>Green tea in diarrhoea</w:t>
      </w:r>
    </w:p>
    <w:p>
      <w:pPr>
        <w:pStyle w:val="BodyText"/>
        <w:spacing w:before="299"/>
        <w:ind w:left="477"/>
        <w:jc w:val="both"/>
      </w:pPr>
      <w:r>
        <w:rPr/>
        <w:t>Diarrhoea is characterised by a high frequency of fluid stools and can be</w:t>
      </w:r>
      <w:r>
        <w:rPr>
          <w:spacing w:val="75"/>
        </w:rPr>
        <w:t> </w:t>
      </w:r>
      <w:r>
        <w:rPr/>
        <w:t>the</w:t>
      </w:r>
    </w:p>
    <w:p>
      <w:pPr>
        <w:spacing w:after="0"/>
        <w:jc w:val="both"/>
        <w:sectPr>
          <w:pgSz w:w="14270" w:h="16850"/>
          <w:pgMar w:header="0" w:footer="1891" w:top="1600" w:bottom="2080" w:left="800" w:right="1280"/>
        </w:sectPr>
      </w:pPr>
    </w:p>
    <w:p>
      <w:pPr>
        <w:pStyle w:val="BodyText"/>
        <w:spacing w:line="276" w:lineRule="auto" w:before="181"/>
        <w:ind w:left="477" w:right="137"/>
        <w:jc w:val="both"/>
      </w:pPr>
      <w:r>
        <w:rPr/>
        <w:t>symptom</w:t>
      </w:r>
      <w:r>
        <w:rPr>
          <w:spacing w:val="-10"/>
        </w:rPr>
        <w:t> </w:t>
      </w:r>
      <w:r>
        <w:rPr/>
        <w:t>of</w:t>
      </w:r>
      <w:r>
        <w:rPr>
          <w:spacing w:val="-12"/>
        </w:rPr>
        <w:t> </w:t>
      </w:r>
      <w:r>
        <w:rPr/>
        <w:t>many</w:t>
      </w:r>
      <w:r>
        <w:rPr>
          <w:spacing w:val="-10"/>
        </w:rPr>
        <w:t> </w:t>
      </w:r>
      <w:r>
        <w:rPr/>
        <w:t>illnesses,</w:t>
      </w:r>
      <w:r>
        <w:rPr>
          <w:spacing w:val="-9"/>
        </w:rPr>
        <w:t> </w:t>
      </w:r>
      <w:r>
        <w:rPr/>
        <w:t>such</w:t>
      </w:r>
      <w:r>
        <w:rPr>
          <w:spacing w:val="-10"/>
        </w:rPr>
        <w:t> </w:t>
      </w:r>
      <w:r>
        <w:rPr/>
        <w:t>as</w:t>
      </w:r>
      <w:r>
        <w:rPr>
          <w:spacing w:val="-11"/>
        </w:rPr>
        <w:t> </w:t>
      </w:r>
      <w:r>
        <w:rPr/>
        <w:t>food</w:t>
      </w:r>
      <w:r>
        <w:rPr>
          <w:spacing w:val="-11"/>
        </w:rPr>
        <w:t> </w:t>
      </w:r>
      <w:r>
        <w:rPr/>
        <w:t>poisoning,</w:t>
      </w:r>
      <w:r>
        <w:rPr>
          <w:spacing w:val="-10"/>
        </w:rPr>
        <w:t> </w:t>
      </w:r>
      <w:r>
        <w:rPr/>
        <w:t>infection</w:t>
      </w:r>
      <w:r>
        <w:rPr>
          <w:spacing w:val="-11"/>
        </w:rPr>
        <w:t> </w:t>
      </w:r>
      <w:r>
        <w:rPr/>
        <w:t>or</w:t>
      </w:r>
      <w:r>
        <w:rPr>
          <w:spacing w:val="-14"/>
        </w:rPr>
        <w:t> </w:t>
      </w:r>
      <w:r>
        <w:rPr/>
        <w:t>even</w:t>
      </w:r>
      <w:r>
        <w:rPr>
          <w:spacing w:val="-10"/>
        </w:rPr>
        <w:t> </w:t>
      </w:r>
      <w:r>
        <w:rPr/>
        <w:t>tumours. By</w:t>
      </w:r>
      <w:r>
        <w:rPr>
          <w:spacing w:val="51"/>
        </w:rPr>
        <w:t> </w:t>
      </w:r>
      <w:r>
        <w:rPr/>
        <w:t>medical</w:t>
      </w:r>
      <w:r>
        <w:rPr>
          <w:spacing w:val="52"/>
        </w:rPr>
        <w:t> </w:t>
      </w:r>
      <w:r>
        <w:rPr/>
        <w:t>definition,</w:t>
      </w:r>
      <w:r>
        <w:rPr>
          <w:spacing w:val="53"/>
        </w:rPr>
        <w:t> </w:t>
      </w:r>
      <w:r>
        <w:rPr/>
        <w:t>diarrhoea</w:t>
      </w:r>
      <w:r>
        <w:rPr>
          <w:spacing w:val="51"/>
        </w:rPr>
        <w:t> </w:t>
      </w:r>
      <w:r>
        <w:rPr/>
        <w:t>in</w:t>
      </w:r>
      <w:r>
        <w:rPr>
          <w:spacing w:val="54"/>
        </w:rPr>
        <w:t> </w:t>
      </w:r>
      <w:r>
        <w:rPr/>
        <w:t>an</w:t>
      </w:r>
      <w:r>
        <w:rPr>
          <w:spacing w:val="53"/>
        </w:rPr>
        <w:t> </w:t>
      </w:r>
      <w:r>
        <w:rPr/>
        <w:t>adult</w:t>
      </w:r>
      <w:r>
        <w:rPr>
          <w:spacing w:val="52"/>
        </w:rPr>
        <w:t> </w:t>
      </w:r>
      <w:r>
        <w:rPr/>
        <w:t>is</w:t>
      </w:r>
      <w:r>
        <w:rPr>
          <w:spacing w:val="53"/>
        </w:rPr>
        <w:t> </w:t>
      </w:r>
      <w:r>
        <w:rPr/>
        <w:t>regular</w:t>
      </w:r>
      <w:r>
        <w:rPr>
          <w:spacing w:val="53"/>
        </w:rPr>
        <w:t> </w:t>
      </w:r>
      <w:r>
        <w:rPr/>
        <w:t>bowel</w:t>
      </w:r>
      <w:r>
        <w:rPr>
          <w:spacing w:val="50"/>
        </w:rPr>
        <w:t> </w:t>
      </w:r>
      <w:r>
        <w:rPr/>
        <w:t>movements</w:t>
      </w:r>
      <w:r>
        <w:rPr>
          <w:spacing w:val="53"/>
        </w:rPr>
        <w:t> </w:t>
      </w:r>
      <w:r>
        <w:rPr/>
        <w:t>of</w:t>
      </w:r>
    </w:p>
    <w:p>
      <w:pPr>
        <w:pStyle w:val="BodyText"/>
        <w:spacing w:before="1"/>
        <w:ind w:left="477"/>
      </w:pPr>
      <w:r>
        <w:rPr/>
        <w:t>&lt;200-250 g per day with high water content.</w:t>
      </w:r>
    </w:p>
    <w:p>
      <w:pPr>
        <w:pStyle w:val="BodyText"/>
        <w:spacing w:line="276" w:lineRule="auto" w:before="305"/>
        <w:ind w:left="477" w:right="130"/>
        <w:jc w:val="both"/>
      </w:pPr>
      <w:r>
        <w:rPr/>
        <w:t>Green</w:t>
      </w:r>
      <w:r>
        <w:rPr>
          <w:spacing w:val="-6"/>
        </w:rPr>
        <w:t> </w:t>
      </w:r>
      <w:r>
        <w:rPr/>
        <w:t>tea</w:t>
      </w:r>
      <w:r>
        <w:rPr>
          <w:spacing w:val="-7"/>
        </w:rPr>
        <w:t> </w:t>
      </w:r>
      <w:r>
        <w:rPr/>
        <w:t>is</w:t>
      </w:r>
      <w:r>
        <w:rPr>
          <w:spacing w:val="-8"/>
        </w:rPr>
        <w:t> </w:t>
      </w:r>
      <w:r>
        <w:rPr/>
        <w:t>known</w:t>
      </w:r>
      <w:r>
        <w:rPr>
          <w:spacing w:val="-7"/>
        </w:rPr>
        <w:t> </w:t>
      </w:r>
      <w:r>
        <w:rPr/>
        <w:t>to</w:t>
      </w:r>
      <w:r>
        <w:rPr>
          <w:spacing w:val="-5"/>
        </w:rPr>
        <w:t> </w:t>
      </w:r>
      <w:r>
        <w:rPr/>
        <w:t>soothe</w:t>
      </w:r>
      <w:r>
        <w:rPr>
          <w:spacing w:val="-8"/>
        </w:rPr>
        <w:t> </w:t>
      </w:r>
      <w:r>
        <w:rPr/>
        <w:t>the</w:t>
      </w:r>
      <w:r>
        <w:rPr>
          <w:spacing w:val="-6"/>
        </w:rPr>
        <w:t> </w:t>
      </w:r>
      <w:r>
        <w:rPr/>
        <w:t>gastrointestinal</w:t>
      </w:r>
      <w:r>
        <w:rPr>
          <w:spacing w:val="-8"/>
        </w:rPr>
        <w:t> </w:t>
      </w:r>
      <w:r>
        <w:rPr/>
        <w:t>tract;</w:t>
      </w:r>
      <w:r>
        <w:rPr>
          <w:spacing w:val="-5"/>
        </w:rPr>
        <w:t> </w:t>
      </w:r>
      <w:r>
        <w:rPr/>
        <w:t>the</w:t>
      </w:r>
      <w:r>
        <w:rPr>
          <w:spacing w:val="-8"/>
        </w:rPr>
        <w:t> </w:t>
      </w:r>
      <w:r>
        <w:rPr/>
        <w:t>tannins</w:t>
      </w:r>
      <w:r>
        <w:rPr>
          <w:spacing w:val="-5"/>
        </w:rPr>
        <w:t> </w:t>
      </w:r>
      <w:r>
        <w:rPr/>
        <w:t>present</w:t>
      </w:r>
      <w:r>
        <w:rPr>
          <w:spacing w:val="-10"/>
        </w:rPr>
        <w:t> </w:t>
      </w:r>
      <w:r>
        <w:rPr/>
        <w:t>in</w:t>
      </w:r>
      <w:r>
        <w:rPr>
          <w:spacing w:val="-6"/>
        </w:rPr>
        <w:t> </w:t>
      </w:r>
      <w:r>
        <w:rPr/>
        <w:t>it also have the ability to deprive the intestinal parasites that cause diarrhoea of the nutrients they need by converting the proteins into unusable</w:t>
      </w:r>
      <w:r>
        <w:rPr>
          <w:spacing w:val="-24"/>
        </w:rPr>
        <w:t> </w:t>
      </w:r>
      <w:r>
        <w:rPr/>
        <w:t>compounds.</w:t>
      </w:r>
    </w:p>
    <w:p>
      <w:pPr>
        <w:pStyle w:val="BodyText"/>
        <w:spacing w:before="239"/>
        <w:ind w:left="477"/>
      </w:pPr>
      <w:r>
        <w:rPr/>
        <w:t>Drink a cup of green tea (300ml) with meals, infuse for 5 mins.</w:t>
      </w:r>
    </w:p>
    <w:p>
      <w:pPr>
        <w:pStyle w:val="Heading1"/>
        <w:spacing w:before="287"/>
      </w:pPr>
      <w:r>
        <w:rPr/>
        <w:t>Green tea in gout (uricopathy)</w:t>
      </w:r>
    </w:p>
    <w:p>
      <w:pPr>
        <w:pStyle w:val="BodyText"/>
        <w:spacing w:line="276" w:lineRule="auto" w:before="299"/>
        <w:ind w:left="477" w:right="134"/>
        <w:jc w:val="both"/>
      </w:pPr>
      <w:r>
        <w:rPr/>
        <w:t>Gout (uricopathy) is a purine metabolic disease, which exhibits itself in bumps and can lead to damage to the joints and bones and the kidneys as an</w:t>
      </w:r>
      <w:r>
        <w:rPr>
          <w:spacing w:val="-50"/>
        </w:rPr>
        <w:t> </w:t>
      </w:r>
      <w:r>
        <w:rPr/>
        <w:t>excretory organ via deposits of uric acid crystals in the joints and in the tissue. The re- lapses, which are characterised by inflammatory, painful processes, usually oc- cur at night and lead to redness and</w:t>
      </w:r>
      <w:r>
        <w:rPr>
          <w:spacing w:val="-1"/>
        </w:rPr>
        <w:t> </w:t>
      </w:r>
      <w:r>
        <w:rPr/>
        <w:t>swelling.</w:t>
      </w:r>
    </w:p>
    <w:p>
      <w:pPr>
        <w:pStyle w:val="BodyText"/>
        <w:spacing w:line="276" w:lineRule="auto" w:before="240"/>
        <w:ind w:left="477" w:right="130"/>
        <w:jc w:val="both"/>
      </w:pPr>
      <w:r>
        <w:rPr/>
        <w:t>The</w:t>
      </w:r>
      <w:r>
        <w:rPr>
          <w:spacing w:val="-23"/>
        </w:rPr>
        <w:t> </w:t>
      </w:r>
      <w:r>
        <w:rPr/>
        <w:t>ingredients</w:t>
      </w:r>
      <w:r>
        <w:rPr>
          <w:spacing w:val="-24"/>
        </w:rPr>
        <w:t> </w:t>
      </w:r>
      <w:r>
        <w:rPr/>
        <w:t>contained</w:t>
      </w:r>
      <w:r>
        <w:rPr>
          <w:spacing w:val="-24"/>
        </w:rPr>
        <w:t> </w:t>
      </w:r>
      <w:r>
        <w:rPr/>
        <w:t>in</w:t>
      </w:r>
      <w:r>
        <w:rPr>
          <w:spacing w:val="-22"/>
        </w:rPr>
        <w:t> </w:t>
      </w:r>
      <w:r>
        <w:rPr/>
        <w:t>green</w:t>
      </w:r>
      <w:r>
        <w:rPr>
          <w:spacing w:val="-23"/>
        </w:rPr>
        <w:t> </w:t>
      </w:r>
      <w:r>
        <w:rPr/>
        <w:t>tea</w:t>
      </w:r>
      <w:r>
        <w:rPr>
          <w:spacing w:val="-23"/>
        </w:rPr>
        <w:t> </w:t>
      </w:r>
      <w:r>
        <w:rPr/>
        <w:t>support</w:t>
      </w:r>
      <w:r>
        <w:rPr>
          <w:spacing w:val="-26"/>
        </w:rPr>
        <w:t> </w:t>
      </w:r>
      <w:r>
        <w:rPr/>
        <w:t>urinary</w:t>
      </w:r>
      <w:r>
        <w:rPr>
          <w:spacing w:val="-23"/>
        </w:rPr>
        <w:t> </w:t>
      </w:r>
      <w:r>
        <w:rPr/>
        <w:t>excretion</w:t>
      </w:r>
      <w:r>
        <w:rPr>
          <w:spacing w:val="-21"/>
        </w:rPr>
        <w:t> </w:t>
      </w:r>
      <w:r>
        <w:rPr/>
        <w:t>via</w:t>
      </w:r>
      <w:r>
        <w:rPr>
          <w:spacing w:val="-25"/>
        </w:rPr>
        <w:t> </w:t>
      </w:r>
      <w:r>
        <w:rPr/>
        <w:t>the</w:t>
      </w:r>
      <w:r>
        <w:rPr>
          <w:spacing w:val="-22"/>
        </w:rPr>
        <w:t> </w:t>
      </w:r>
      <w:r>
        <w:rPr/>
        <w:t>kidneys. Furthermore,</w:t>
      </w:r>
      <w:r>
        <w:rPr>
          <w:spacing w:val="-5"/>
        </w:rPr>
        <w:t> </w:t>
      </w:r>
      <w:r>
        <w:rPr/>
        <w:t>green</w:t>
      </w:r>
      <w:r>
        <w:rPr>
          <w:spacing w:val="-5"/>
        </w:rPr>
        <w:t> </w:t>
      </w:r>
      <w:r>
        <w:rPr/>
        <w:t>tea</w:t>
      </w:r>
      <w:r>
        <w:rPr>
          <w:spacing w:val="-6"/>
        </w:rPr>
        <w:t> </w:t>
      </w:r>
      <w:r>
        <w:rPr/>
        <w:t>has</w:t>
      </w:r>
      <w:r>
        <w:rPr>
          <w:spacing w:val="-7"/>
        </w:rPr>
        <w:t> </w:t>
      </w:r>
      <w:r>
        <w:rPr/>
        <w:t>a</w:t>
      </w:r>
      <w:r>
        <w:rPr>
          <w:spacing w:val="-6"/>
        </w:rPr>
        <w:t> </w:t>
      </w:r>
      <w:r>
        <w:rPr/>
        <w:t>basic</w:t>
      </w:r>
      <w:r>
        <w:rPr>
          <w:spacing w:val="-3"/>
        </w:rPr>
        <w:t> </w:t>
      </w:r>
      <w:r>
        <w:rPr/>
        <w:t>effect</w:t>
      </w:r>
      <w:r>
        <w:rPr>
          <w:spacing w:val="-6"/>
        </w:rPr>
        <w:t> </w:t>
      </w:r>
      <w:r>
        <w:rPr/>
        <w:t>against</w:t>
      </w:r>
      <w:r>
        <w:rPr>
          <w:spacing w:val="-8"/>
        </w:rPr>
        <w:t> </w:t>
      </w:r>
      <w:r>
        <w:rPr/>
        <w:t>acidity</w:t>
      </w:r>
      <w:r>
        <w:rPr>
          <w:spacing w:val="-4"/>
        </w:rPr>
        <w:t> </w:t>
      </w:r>
      <w:r>
        <w:rPr/>
        <w:t>in</w:t>
      </w:r>
      <w:r>
        <w:rPr>
          <w:spacing w:val="-5"/>
        </w:rPr>
        <w:t> </w:t>
      </w:r>
      <w:r>
        <w:rPr/>
        <w:t>the</w:t>
      </w:r>
      <w:r>
        <w:rPr>
          <w:spacing w:val="-4"/>
        </w:rPr>
        <w:t> </w:t>
      </w:r>
      <w:r>
        <w:rPr/>
        <w:t>body</w:t>
      </w:r>
      <w:r>
        <w:rPr>
          <w:spacing w:val="-6"/>
        </w:rPr>
        <w:t> </w:t>
      </w:r>
      <w:r>
        <w:rPr/>
        <w:t>and</w:t>
      </w:r>
      <w:r>
        <w:rPr>
          <w:spacing w:val="-5"/>
        </w:rPr>
        <w:t> </w:t>
      </w:r>
      <w:r>
        <w:rPr/>
        <w:t>should also curb the appetite for gout-promoting foods, such as alcohol or fatty</w:t>
      </w:r>
      <w:r>
        <w:rPr>
          <w:spacing w:val="-34"/>
        </w:rPr>
        <w:t> </w:t>
      </w:r>
      <w:r>
        <w:rPr/>
        <w:t>food.</w:t>
      </w:r>
    </w:p>
    <w:p>
      <w:pPr>
        <w:pStyle w:val="BodyText"/>
        <w:spacing w:line="276" w:lineRule="auto" w:before="241"/>
        <w:ind w:left="477" w:right="133"/>
        <w:jc w:val="both"/>
      </w:pPr>
      <w:r>
        <w:rPr/>
        <w:t>For each meal, drink a 1-2 cups of green tea (300 ml), infuse for about five minutes.</w:t>
      </w:r>
    </w:p>
    <w:p>
      <w:pPr>
        <w:pStyle w:val="BodyText"/>
        <w:spacing w:before="239"/>
        <w:ind w:left="477"/>
        <w:jc w:val="both"/>
      </w:pPr>
      <w:r>
        <w:rPr/>
        <w:t>Green Tea and its fatigue on chronic fatigue /Chronic Fatigue Syndrome (CFS)</w:t>
      </w:r>
    </w:p>
    <w:p>
      <w:pPr>
        <w:spacing w:after="0"/>
        <w:jc w:val="both"/>
        <w:sectPr>
          <w:pgSz w:w="14270" w:h="16850"/>
          <w:pgMar w:header="0" w:footer="1891" w:top="1600" w:bottom="2080" w:left="800" w:right="1280"/>
        </w:sectPr>
      </w:pPr>
    </w:p>
    <w:p>
      <w:pPr>
        <w:pStyle w:val="BodyText"/>
        <w:spacing w:line="276" w:lineRule="auto" w:before="181"/>
        <w:ind w:left="477" w:right="129"/>
        <w:jc w:val="both"/>
      </w:pPr>
      <w:r>
        <w:rPr/>
        <w:t>Chronic fatigue – other terms are ‘chronic fatigue syndrome’ (CFS) or some- times ‘myalgic encephalopathy’ – is a condition characterised by debilitating mental</w:t>
      </w:r>
      <w:r>
        <w:rPr>
          <w:spacing w:val="-16"/>
        </w:rPr>
        <w:t> </w:t>
      </w:r>
      <w:r>
        <w:rPr/>
        <w:t>and</w:t>
      </w:r>
      <w:r>
        <w:rPr>
          <w:spacing w:val="-14"/>
        </w:rPr>
        <w:t> </w:t>
      </w:r>
      <w:r>
        <w:rPr/>
        <w:t>physical</w:t>
      </w:r>
      <w:r>
        <w:rPr>
          <w:spacing w:val="-15"/>
        </w:rPr>
        <w:t> </w:t>
      </w:r>
      <w:r>
        <w:rPr/>
        <w:t>fatigue</w:t>
      </w:r>
      <w:r>
        <w:rPr>
          <w:spacing w:val="-15"/>
        </w:rPr>
        <w:t> </w:t>
      </w:r>
      <w:r>
        <w:rPr/>
        <w:t>in</w:t>
      </w:r>
      <w:r>
        <w:rPr>
          <w:spacing w:val="-14"/>
        </w:rPr>
        <w:t> </w:t>
      </w:r>
      <w:r>
        <w:rPr/>
        <w:t>combination</w:t>
      </w:r>
      <w:r>
        <w:rPr>
          <w:spacing w:val="-13"/>
        </w:rPr>
        <w:t> </w:t>
      </w:r>
      <w:r>
        <w:rPr/>
        <w:t>with</w:t>
      </w:r>
      <w:r>
        <w:rPr>
          <w:spacing w:val="-15"/>
        </w:rPr>
        <w:t> </w:t>
      </w:r>
      <w:r>
        <w:rPr/>
        <w:t>other</w:t>
      </w:r>
      <w:r>
        <w:rPr>
          <w:spacing w:val="-13"/>
        </w:rPr>
        <w:t> </w:t>
      </w:r>
      <w:r>
        <w:rPr/>
        <w:t>symptoms,</w:t>
      </w:r>
      <w:r>
        <w:rPr>
          <w:spacing w:val="-13"/>
        </w:rPr>
        <w:t> </w:t>
      </w:r>
      <w:r>
        <w:rPr/>
        <w:t>such</w:t>
      </w:r>
      <w:r>
        <w:rPr>
          <w:spacing w:val="-13"/>
        </w:rPr>
        <w:t> </w:t>
      </w:r>
      <w:r>
        <w:rPr/>
        <w:t>as</w:t>
      </w:r>
      <w:r>
        <w:rPr>
          <w:spacing w:val="-16"/>
        </w:rPr>
        <w:t> </w:t>
      </w:r>
      <w:r>
        <w:rPr/>
        <w:t>head- ache, joint discomfort, throat and limb pain, concentration and memory disor- ders as well as disturbed</w:t>
      </w:r>
      <w:r>
        <w:rPr>
          <w:spacing w:val="-1"/>
        </w:rPr>
        <w:t> </w:t>
      </w:r>
      <w:r>
        <w:rPr/>
        <w:t>sleep.</w:t>
      </w:r>
    </w:p>
    <w:p>
      <w:pPr>
        <w:pStyle w:val="BodyText"/>
        <w:spacing w:line="276" w:lineRule="auto" w:before="240"/>
        <w:ind w:left="477" w:right="145"/>
        <w:jc w:val="both"/>
      </w:pPr>
      <w:r>
        <w:rPr/>
        <w:t>The tannins contained in the green tea allow a mild, but steady caffeine effect, which counteracts the symptoms of fatigue.</w:t>
      </w:r>
    </w:p>
    <w:p>
      <w:pPr>
        <w:pStyle w:val="BodyText"/>
        <w:spacing w:line="276" w:lineRule="auto" w:before="241"/>
        <w:ind w:left="477" w:right="133"/>
        <w:jc w:val="both"/>
      </w:pPr>
      <w:r>
        <w:rPr/>
        <w:t>For breakfast and lunch, drink 1 cup (300 ml) of green tea, infuse for 5 min.</w:t>
      </w:r>
      <w:r>
        <w:rPr>
          <w:spacing w:val="-48"/>
        </w:rPr>
        <w:t> </w:t>
      </w:r>
      <w:r>
        <w:rPr/>
        <w:t>In the evening, you should do without green tea in order </w:t>
      </w:r>
      <w:r>
        <w:rPr>
          <w:spacing w:val="2"/>
        </w:rPr>
        <w:t>not </w:t>
      </w:r>
      <w:r>
        <w:rPr/>
        <w:t>to disturb sleep, which is already disturbed by</w:t>
      </w:r>
      <w:r>
        <w:rPr>
          <w:spacing w:val="1"/>
        </w:rPr>
        <w:t> </w:t>
      </w:r>
      <w:r>
        <w:rPr/>
        <w:t>CFS.</w:t>
      </w:r>
    </w:p>
    <w:p>
      <w:pPr>
        <w:pStyle w:val="Heading1"/>
      </w:pPr>
      <w:r>
        <w:rPr/>
        <w:t>Green tea with athlete's foot</w:t>
      </w:r>
    </w:p>
    <w:p>
      <w:pPr>
        <w:pStyle w:val="BodyText"/>
        <w:spacing w:line="276" w:lineRule="auto" w:before="297"/>
        <w:ind w:left="477" w:right="137"/>
        <w:jc w:val="both"/>
      </w:pPr>
      <w:r>
        <w:rPr/>
        <w:t>Athlete's foot (tinea pedis) is a fungal infection that makes life difficult, espe- cially between the toes and on the soles of the feet, due to so-called dermato- phytes (filamentous fungi).</w:t>
      </w:r>
    </w:p>
    <w:p>
      <w:pPr>
        <w:pStyle w:val="BodyText"/>
        <w:spacing w:line="276" w:lineRule="auto" w:before="241"/>
        <w:ind w:left="477" w:right="133"/>
        <w:jc w:val="both"/>
      </w:pPr>
      <w:r>
        <w:rPr/>
        <w:t>The</w:t>
      </w:r>
      <w:r>
        <w:rPr>
          <w:spacing w:val="-22"/>
        </w:rPr>
        <w:t> </w:t>
      </w:r>
      <w:r>
        <w:rPr/>
        <w:t>saponins</w:t>
      </w:r>
      <w:r>
        <w:rPr>
          <w:spacing w:val="-23"/>
        </w:rPr>
        <w:t> </w:t>
      </w:r>
      <w:r>
        <w:rPr/>
        <w:t>present</w:t>
      </w:r>
      <w:r>
        <w:rPr>
          <w:spacing w:val="-22"/>
        </w:rPr>
        <w:t> </w:t>
      </w:r>
      <w:r>
        <w:rPr/>
        <w:t>in</w:t>
      </w:r>
      <w:r>
        <w:rPr>
          <w:spacing w:val="-24"/>
        </w:rPr>
        <w:t> </w:t>
      </w:r>
      <w:r>
        <w:rPr/>
        <w:t>green</w:t>
      </w:r>
      <w:r>
        <w:rPr>
          <w:spacing w:val="-22"/>
        </w:rPr>
        <w:t> </w:t>
      </w:r>
      <w:r>
        <w:rPr/>
        <w:t>tea</w:t>
      </w:r>
      <w:r>
        <w:rPr>
          <w:spacing w:val="-22"/>
        </w:rPr>
        <w:t> </w:t>
      </w:r>
      <w:r>
        <w:rPr/>
        <w:t>are</w:t>
      </w:r>
      <w:r>
        <w:rPr>
          <w:spacing w:val="-22"/>
        </w:rPr>
        <w:t> </w:t>
      </w:r>
      <w:r>
        <w:rPr/>
        <w:t>herbal</w:t>
      </w:r>
      <w:r>
        <w:rPr>
          <w:spacing w:val="-22"/>
        </w:rPr>
        <w:t> </w:t>
      </w:r>
      <w:r>
        <w:rPr/>
        <w:t>glucosides,</w:t>
      </w:r>
      <w:r>
        <w:rPr>
          <w:spacing w:val="-20"/>
        </w:rPr>
        <w:t> </w:t>
      </w:r>
      <w:r>
        <w:rPr/>
        <w:t>which</w:t>
      </w:r>
      <w:r>
        <w:rPr>
          <w:spacing w:val="-24"/>
        </w:rPr>
        <w:t> </w:t>
      </w:r>
      <w:r>
        <w:rPr/>
        <w:t>have</w:t>
      </w:r>
      <w:r>
        <w:rPr>
          <w:spacing w:val="-19"/>
        </w:rPr>
        <w:t> </w:t>
      </w:r>
      <w:r>
        <w:rPr/>
        <w:t>been</w:t>
      </w:r>
      <w:r>
        <w:rPr>
          <w:spacing w:val="-22"/>
        </w:rPr>
        <w:t> </w:t>
      </w:r>
      <w:r>
        <w:rPr/>
        <w:t>shown to combat the athlete’s foot and skin fungi in</w:t>
      </w:r>
      <w:r>
        <w:rPr>
          <w:spacing w:val="-5"/>
        </w:rPr>
        <w:t> </w:t>
      </w:r>
      <w:r>
        <w:rPr/>
        <w:t>studies.</w:t>
      </w:r>
    </w:p>
    <w:p>
      <w:pPr>
        <w:pStyle w:val="BodyText"/>
        <w:spacing w:line="276" w:lineRule="auto" w:before="241"/>
        <w:ind w:left="477" w:right="145"/>
        <w:jc w:val="both"/>
      </w:pPr>
      <w:r>
        <w:rPr/>
        <w:t>Soak in a hot foot bath and add 5 tablespoons of green tea. After infusing for five minutes, place your feet in the tub for a period of 12-15 minutes.</w:t>
      </w:r>
    </w:p>
    <w:p>
      <w:pPr>
        <w:pStyle w:val="Heading1"/>
        <w:spacing w:before="222"/>
        <w:jc w:val="both"/>
      </w:pPr>
      <w:r>
        <w:rPr/>
        <w:t>Green tea and its effect on heart</w:t>
      </w:r>
      <w:r>
        <w:rPr>
          <w:spacing w:val="-74"/>
        </w:rPr>
        <w:t> </w:t>
      </w:r>
      <w:r>
        <w:rPr/>
        <w:t>failure</w:t>
      </w:r>
    </w:p>
    <w:p>
      <w:pPr>
        <w:spacing w:after="0"/>
        <w:jc w:val="both"/>
        <w:sectPr>
          <w:pgSz w:w="14270" w:h="16850"/>
          <w:pgMar w:header="0" w:footer="1891" w:top="1600" w:bottom="2080" w:left="800" w:right="1280"/>
        </w:sectPr>
      </w:pPr>
    </w:p>
    <w:p>
      <w:pPr>
        <w:pStyle w:val="BodyText"/>
        <w:spacing w:line="276" w:lineRule="auto" w:before="181"/>
        <w:ind w:left="477" w:right="141"/>
        <w:jc w:val="both"/>
      </w:pPr>
      <w:r>
        <w:rPr/>
        <w:t>Heart failure describes a pathological inability of the heart muscle to pump the amount of blood needed by the body without increasing the pressure in the atria.</w:t>
      </w:r>
    </w:p>
    <w:p>
      <w:pPr>
        <w:pStyle w:val="BodyText"/>
        <w:spacing w:line="276" w:lineRule="auto" w:before="242"/>
        <w:ind w:left="477" w:right="134"/>
        <w:jc w:val="both"/>
      </w:pPr>
      <w:r>
        <w:rPr/>
        <w:t>The tannins contained in green tea lower high blood pressure, strengthen the heart and counteract cardiac insufficiency via these mechanisms.</w:t>
      </w:r>
    </w:p>
    <w:p>
      <w:pPr>
        <w:pStyle w:val="BodyText"/>
        <w:spacing w:line="276" w:lineRule="auto" w:before="238"/>
        <w:ind w:left="477" w:right="138"/>
        <w:jc w:val="both"/>
      </w:pPr>
      <w:r>
        <w:rPr/>
        <w:t>For each meal, drink 1 cup (300 ml) of green tea, allow to infuse for about 5 min.</w:t>
      </w:r>
    </w:p>
    <w:p>
      <w:pPr>
        <w:pStyle w:val="Heading1"/>
      </w:pPr>
      <w:r>
        <w:rPr/>
        <w:t>Green tea and its effect on</w:t>
      </w:r>
      <w:r>
        <w:rPr>
          <w:spacing w:val="-56"/>
        </w:rPr>
        <w:t> </w:t>
      </w:r>
      <w:r>
        <w:rPr/>
        <w:t>cancer</w:t>
      </w:r>
    </w:p>
    <w:p>
      <w:pPr>
        <w:pStyle w:val="BodyText"/>
        <w:spacing w:line="276" w:lineRule="auto" w:before="299"/>
        <w:ind w:left="477" w:right="141"/>
        <w:jc w:val="both"/>
      </w:pPr>
      <w:r>
        <w:rPr/>
        <w:t>Cancer takes the life of one in four people, and so we should absolutely take preventive measures that defy cancer development without side effects.</w:t>
      </w:r>
    </w:p>
    <w:p>
      <w:pPr>
        <w:pStyle w:val="BodyText"/>
        <w:spacing w:line="276" w:lineRule="auto" w:before="241"/>
        <w:ind w:left="477" w:right="138"/>
        <w:jc w:val="both"/>
      </w:pPr>
      <w:r>
        <w:rPr/>
        <w:t>If you already suffer from cancer, it is even more important to take measures which demonstrably counteract cancer without side effects (see ‘Studies’).</w:t>
      </w:r>
    </w:p>
    <w:p>
      <w:pPr>
        <w:pStyle w:val="BodyText"/>
        <w:spacing w:line="276" w:lineRule="auto" w:before="239"/>
        <w:ind w:left="477" w:right="133"/>
        <w:jc w:val="both"/>
      </w:pPr>
      <w:r>
        <w:rPr/>
        <w:t>Green</w:t>
      </w:r>
      <w:r>
        <w:rPr>
          <w:spacing w:val="-14"/>
        </w:rPr>
        <w:t> </w:t>
      </w:r>
      <w:r>
        <w:rPr/>
        <w:t>tea</w:t>
      </w:r>
      <w:r>
        <w:rPr>
          <w:spacing w:val="-17"/>
        </w:rPr>
        <w:t> </w:t>
      </w:r>
      <w:r>
        <w:rPr/>
        <w:t>seems</w:t>
      </w:r>
      <w:r>
        <w:rPr>
          <w:spacing w:val="-15"/>
        </w:rPr>
        <w:t> </w:t>
      </w:r>
      <w:r>
        <w:rPr/>
        <w:t>to</w:t>
      </w:r>
      <w:r>
        <w:rPr>
          <w:spacing w:val="-16"/>
        </w:rPr>
        <w:t> </w:t>
      </w:r>
      <w:r>
        <w:rPr/>
        <w:t>have</w:t>
      </w:r>
      <w:r>
        <w:rPr>
          <w:spacing w:val="-15"/>
        </w:rPr>
        <w:t> </w:t>
      </w:r>
      <w:r>
        <w:rPr/>
        <w:t>a</w:t>
      </w:r>
      <w:r>
        <w:rPr>
          <w:spacing w:val="-15"/>
        </w:rPr>
        <w:t> </w:t>
      </w:r>
      <w:r>
        <w:rPr/>
        <w:t>preventive</w:t>
      </w:r>
      <w:r>
        <w:rPr>
          <w:spacing w:val="-14"/>
        </w:rPr>
        <w:t> </w:t>
      </w:r>
      <w:r>
        <w:rPr/>
        <w:t>and</w:t>
      </w:r>
      <w:r>
        <w:rPr>
          <w:spacing w:val="-15"/>
        </w:rPr>
        <w:t> </w:t>
      </w:r>
      <w:r>
        <w:rPr/>
        <w:t>curative</w:t>
      </w:r>
      <w:r>
        <w:rPr>
          <w:spacing w:val="-14"/>
        </w:rPr>
        <w:t> </w:t>
      </w:r>
      <w:r>
        <w:rPr/>
        <w:t>effect</w:t>
      </w:r>
      <w:r>
        <w:rPr>
          <w:spacing w:val="-14"/>
        </w:rPr>
        <w:t> </w:t>
      </w:r>
      <w:r>
        <w:rPr/>
        <w:t>against</w:t>
      </w:r>
      <w:r>
        <w:rPr>
          <w:spacing w:val="-14"/>
        </w:rPr>
        <w:t> </w:t>
      </w:r>
      <w:r>
        <w:rPr/>
        <w:t>cancer</w:t>
      </w:r>
      <w:r>
        <w:rPr>
          <w:spacing w:val="-15"/>
        </w:rPr>
        <w:t> </w:t>
      </w:r>
      <w:r>
        <w:rPr/>
        <w:t>in</w:t>
      </w:r>
      <w:r>
        <w:rPr>
          <w:spacing w:val="-14"/>
        </w:rPr>
        <w:t> </w:t>
      </w:r>
      <w:r>
        <w:rPr/>
        <w:t>many ways.</w:t>
      </w:r>
      <w:r>
        <w:rPr>
          <w:spacing w:val="-13"/>
        </w:rPr>
        <w:t> </w:t>
      </w:r>
      <w:r>
        <w:rPr/>
        <w:t>The</w:t>
      </w:r>
      <w:r>
        <w:rPr>
          <w:spacing w:val="-14"/>
        </w:rPr>
        <w:t> </w:t>
      </w:r>
      <w:r>
        <w:rPr/>
        <w:t>biofuel</w:t>
      </w:r>
      <w:r>
        <w:rPr>
          <w:spacing w:val="-14"/>
        </w:rPr>
        <w:t> </w:t>
      </w:r>
      <w:r>
        <w:rPr/>
        <w:t>EGCG</w:t>
      </w:r>
      <w:r>
        <w:rPr>
          <w:spacing w:val="-14"/>
        </w:rPr>
        <w:t> </w:t>
      </w:r>
      <w:r>
        <w:rPr/>
        <w:t>can</w:t>
      </w:r>
      <w:r>
        <w:rPr>
          <w:spacing w:val="-14"/>
        </w:rPr>
        <w:t> </w:t>
      </w:r>
      <w:r>
        <w:rPr/>
        <w:t>provide</w:t>
      </w:r>
      <w:r>
        <w:rPr>
          <w:spacing w:val="-13"/>
        </w:rPr>
        <w:t> </w:t>
      </w:r>
      <w:r>
        <w:rPr/>
        <w:t>protection</w:t>
      </w:r>
      <w:r>
        <w:rPr>
          <w:spacing w:val="-14"/>
        </w:rPr>
        <w:t> </w:t>
      </w:r>
      <w:r>
        <w:rPr/>
        <w:t>against</w:t>
      </w:r>
      <w:r>
        <w:rPr>
          <w:spacing w:val="-13"/>
        </w:rPr>
        <w:t> </w:t>
      </w:r>
      <w:r>
        <w:rPr/>
        <w:t>lung</w:t>
      </w:r>
      <w:r>
        <w:rPr>
          <w:spacing w:val="-14"/>
        </w:rPr>
        <w:t> </w:t>
      </w:r>
      <w:r>
        <w:rPr/>
        <w:t>cancer,</w:t>
      </w:r>
      <w:r>
        <w:rPr>
          <w:spacing w:val="-13"/>
        </w:rPr>
        <w:t> </w:t>
      </w:r>
      <w:r>
        <w:rPr/>
        <w:t>the</w:t>
      </w:r>
      <w:r>
        <w:rPr>
          <w:spacing w:val="-12"/>
        </w:rPr>
        <w:t> </w:t>
      </w:r>
      <w:r>
        <w:rPr/>
        <w:t>flavo- noids can reduce the risk of stomach cancer, colon cancer and breast cancer, the saponins have an effect on intestinal tumours.</w:t>
      </w:r>
    </w:p>
    <w:p>
      <w:pPr>
        <w:pStyle w:val="BodyText"/>
        <w:spacing w:line="276" w:lineRule="auto" w:before="241"/>
        <w:ind w:left="477" w:right="132"/>
        <w:jc w:val="both"/>
      </w:pPr>
      <w:r>
        <w:rPr/>
        <w:t>Drink at least 1 litre of green tea a day, spread over the day (e.g. a 300 ml jug for</w:t>
      </w:r>
      <w:r>
        <w:rPr>
          <w:spacing w:val="-23"/>
        </w:rPr>
        <w:t> </w:t>
      </w:r>
      <w:r>
        <w:rPr/>
        <w:t>each</w:t>
      </w:r>
      <w:r>
        <w:rPr>
          <w:spacing w:val="-22"/>
        </w:rPr>
        <w:t> </w:t>
      </w:r>
      <w:r>
        <w:rPr/>
        <w:t>meal).</w:t>
      </w:r>
      <w:r>
        <w:rPr>
          <w:spacing w:val="-22"/>
        </w:rPr>
        <w:t> </w:t>
      </w:r>
      <w:r>
        <w:rPr/>
        <w:t>Let</w:t>
      </w:r>
      <w:r>
        <w:rPr>
          <w:spacing w:val="-23"/>
        </w:rPr>
        <w:t> </w:t>
      </w:r>
      <w:r>
        <w:rPr/>
        <w:t>it</w:t>
      </w:r>
      <w:r>
        <w:rPr>
          <w:spacing w:val="-24"/>
        </w:rPr>
        <w:t> </w:t>
      </w:r>
      <w:r>
        <w:rPr/>
        <w:t>rest</w:t>
      </w:r>
      <w:r>
        <w:rPr>
          <w:spacing w:val="-23"/>
        </w:rPr>
        <w:t> </w:t>
      </w:r>
      <w:r>
        <w:rPr/>
        <w:t>for</w:t>
      </w:r>
      <w:r>
        <w:rPr>
          <w:spacing w:val="-22"/>
        </w:rPr>
        <w:t> </w:t>
      </w:r>
      <w:r>
        <w:rPr/>
        <w:t>about</w:t>
      </w:r>
      <w:r>
        <w:rPr>
          <w:spacing w:val="-23"/>
        </w:rPr>
        <w:t> </w:t>
      </w:r>
      <w:r>
        <w:rPr/>
        <w:t>5</w:t>
      </w:r>
      <w:r>
        <w:rPr>
          <w:spacing w:val="-23"/>
        </w:rPr>
        <w:t> </w:t>
      </w:r>
      <w:r>
        <w:rPr/>
        <w:t>minutes,</w:t>
      </w:r>
      <w:r>
        <w:rPr>
          <w:spacing w:val="-22"/>
        </w:rPr>
        <w:t> </w:t>
      </w:r>
      <w:r>
        <w:rPr/>
        <w:t>do</w:t>
      </w:r>
      <w:r>
        <w:rPr>
          <w:spacing w:val="-22"/>
        </w:rPr>
        <w:t> </w:t>
      </w:r>
      <w:r>
        <w:rPr/>
        <w:t>not</w:t>
      </w:r>
      <w:r>
        <w:rPr>
          <w:spacing w:val="-23"/>
        </w:rPr>
        <w:t> </w:t>
      </w:r>
      <w:r>
        <w:rPr/>
        <w:t>sweeten</w:t>
      </w:r>
      <w:r>
        <w:rPr>
          <w:spacing w:val="-22"/>
        </w:rPr>
        <w:t> </w:t>
      </w:r>
      <w:r>
        <w:rPr/>
        <w:t>with</w:t>
      </w:r>
      <w:r>
        <w:rPr>
          <w:spacing w:val="-22"/>
        </w:rPr>
        <w:t> </w:t>
      </w:r>
      <w:r>
        <w:rPr/>
        <w:t>sugar</w:t>
      </w:r>
      <w:r>
        <w:rPr>
          <w:spacing w:val="-20"/>
        </w:rPr>
        <w:t> </w:t>
      </w:r>
      <w:r>
        <w:rPr/>
        <w:t>(cancer loves sugar).</w:t>
      </w:r>
    </w:p>
    <w:p>
      <w:pPr>
        <w:pStyle w:val="Heading1"/>
        <w:spacing w:before="222"/>
        <w:jc w:val="both"/>
      </w:pPr>
      <w:r>
        <w:rPr/>
        <w:t>Green tea in diabetes mellitus</w:t>
      </w:r>
    </w:p>
    <w:p>
      <w:pPr>
        <w:spacing w:after="0"/>
        <w:jc w:val="both"/>
        <w:sectPr>
          <w:pgSz w:w="14270" w:h="16850"/>
          <w:pgMar w:header="0" w:footer="1891" w:top="1600" w:bottom="2080" w:left="800" w:right="1280"/>
        </w:sectPr>
      </w:pPr>
    </w:p>
    <w:p>
      <w:pPr>
        <w:pStyle w:val="BodyText"/>
        <w:spacing w:line="276" w:lineRule="auto" w:before="181"/>
        <w:ind w:left="477" w:right="137"/>
        <w:jc w:val="both"/>
      </w:pPr>
      <w:r>
        <w:rPr/>
        <w:t>Diabetes mellitus, popularly known as ‘diabetes’, is a chronic metabolic disease characterised by high blood sugar levels.</w:t>
      </w:r>
    </w:p>
    <w:p>
      <w:pPr>
        <w:pStyle w:val="BodyText"/>
        <w:spacing w:line="276" w:lineRule="auto" w:before="241"/>
        <w:ind w:left="477" w:right="129"/>
        <w:jc w:val="both"/>
      </w:pPr>
      <w:r>
        <w:rPr/>
        <w:t>Essentially, two forms of diabetes mellitus are distinguished, namely type 1 di- abetes and type 2 diabetes. Special forms of diabetes also include gestational diabetes, a disease that, as the name suggests, can occur during pregnancy. Di- abetes,</w:t>
      </w:r>
      <w:r>
        <w:rPr>
          <w:spacing w:val="-18"/>
        </w:rPr>
        <w:t> </w:t>
      </w:r>
      <w:r>
        <w:rPr/>
        <w:t>if</w:t>
      </w:r>
      <w:r>
        <w:rPr>
          <w:spacing w:val="-19"/>
        </w:rPr>
        <w:t> </w:t>
      </w:r>
      <w:r>
        <w:rPr/>
        <w:t>detected</w:t>
      </w:r>
      <w:r>
        <w:rPr>
          <w:spacing w:val="-19"/>
        </w:rPr>
        <w:t> </w:t>
      </w:r>
      <w:r>
        <w:rPr/>
        <w:t>late</w:t>
      </w:r>
      <w:r>
        <w:rPr>
          <w:spacing w:val="-19"/>
        </w:rPr>
        <w:t> </w:t>
      </w:r>
      <w:r>
        <w:rPr/>
        <w:t>or</w:t>
      </w:r>
      <w:r>
        <w:rPr>
          <w:spacing w:val="-13"/>
        </w:rPr>
        <w:t> </w:t>
      </w:r>
      <w:r>
        <w:rPr/>
        <w:t>improperly</w:t>
      </w:r>
      <w:r>
        <w:rPr>
          <w:spacing w:val="-20"/>
        </w:rPr>
        <w:t> </w:t>
      </w:r>
      <w:r>
        <w:rPr/>
        <w:t>tackled,</w:t>
      </w:r>
      <w:r>
        <w:rPr>
          <w:spacing w:val="-18"/>
        </w:rPr>
        <w:t> </w:t>
      </w:r>
      <w:r>
        <w:rPr/>
        <w:t>causes</w:t>
      </w:r>
      <w:r>
        <w:rPr>
          <w:spacing w:val="-17"/>
        </w:rPr>
        <w:t> </w:t>
      </w:r>
      <w:r>
        <w:rPr/>
        <w:t>some</w:t>
      </w:r>
      <w:r>
        <w:rPr>
          <w:spacing w:val="-18"/>
        </w:rPr>
        <w:t> </w:t>
      </w:r>
      <w:r>
        <w:rPr/>
        <w:t>unpleasant</w:t>
      </w:r>
      <w:r>
        <w:rPr>
          <w:spacing w:val="-18"/>
        </w:rPr>
        <w:t> </w:t>
      </w:r>
      <w:r>
        <w:rPr/>
        <w:t>secondary effects which may lead to diseases as wide-ranging as kidney damage and heart failure.</w:t>
      </w:r>
    </w:p>
    <w:p>
      <w:pPr>
        <w:pStyle w:val="BodyText"/>
        <w:spacing w:line="276" w:lineRule="auto" w:before="241"/>
        <w:ind w:left="477" w:right="137"/>
        <w:jc w:val="both"/>
      </w:pPr>
      <w:r>
        <w:rPr/>
        <w:t>Green tea has been shown to counteract diabetes and sequelae (see Studies). Among other things, green tea has the extraordinary ability to inhibit the con- version of polyhydric sugar into simple sugars and thus to prevent blood sugar spikes with subsequent abrupt blood sugar drops.</w:t>
      </w:r>
    </w:p>
    <w:p>
      <w:pPr>
        <w:pStyle w:val="BodyText"/>
        <w:spacing w:line="276" w:lineRule="auto" w:before="239"/>
        <w:ind w:left="477" w:right="133"/>
        <w:jc w:val="both"/>
      </w:pPr>
      <w:r>
        <w:rPr/>
        <w:t>In</w:t>
      </w:r>
      <w:r>
        <w:rPr>
          <w:spacing w:val="-6"/>
        </w:rPr>
        <w:t> </w:t>
      </w:r>
      <w:r>
        <w:rPr/>
        <w:t>this</w:t>
      </w:r>
      <w:r>
        <w:rPr>
          <w:spacing w:val="-6"/>
        </w:rPr>
        <w:t> </w:t>
      </w:r>
      <w:r>
        <w:rPr/>
        <w:t>way,</w:t>
      </w:r>
      <w:r>
        <w:rPr>
          <w:spacing w:val="-5"/>
        </w:rPr>
        <w:t> </w:t>
      </w:r>
      <w:r>
        <w:rPr/>
        <w:t>hypoglycaemia</w:t>
      </w:r>
      <w:r>
        <w:rPr>
          <w:spacing w:val="-7"/>
        </w:rPr>
        <w:t> </w:t>
      </w:r>
      <w:r>
        <w:rPr/>
        <w:t>is</w:t>
      </w:r>
      <w:r>
        <w:rPr>
          <w:spacing w:val="-6"/>
        </w:rPr>
        <w:t> </w:t>
      </w:r>
      <w:r>
        <w:rPr/>
        <w:t>prevented</w:t>
      </w:r>
      <w:r>
        <w:rPr>
          <w:spacing w:val="-7"/>
        </w:rPr>
        <w:t> </w:t>
      </w:r>
      <w:r>
        <w:rPr/>
        <w:t>and</w:t>
      </w:r>
      <w:r>
        <w:rPr>
          <w:spacing w:val="-6"/>
        </w:rPr>
        <w:t> </w:t>
      </w:r>
      <w:r>
        <w:rPr/>
        <w:t>the</w:t>
      </w:r>
      <w:r>
        <w:rPr>
          <w:spacing w:val="-6"/>
        </w:rPr>
        <w:t> </w:t>
      </w:r>
      <w:r>
        <w:rPr/>
        <w:t>blood</w:t>
      </w:r>
      <w:r>
        <w:rPr>
          <w:spacing w:val="-7"/>
        </w:rPr>
        <w:t> </w:t>
      </w:r>
      <w:r>
        <w:rPr/>
        <w:t>vessels</w:t>
      </w:r>
      <w:r>
        <w:rPr>
          <w:spacing w:val="-5"/>
        </w:rPr>
        <w:t> </w:t>
      </w:r>
      <w:r>
        <w:rPr/>
        <w:t>are</w:t>
      </w:r>
      <w:r>
        <w:rPr>
          <w:spacing w:val="-7"/>
        </w:rPr>
        <w:t> </w:t>
      </w:r>
      <w:r>
        <w:rPr/>
        <w:t>protected.</w:t>
      </w:r>
      <w:r>
        <w:rPr>
          <w:spacing w:val="-5"/>
        </w:rPr>
        <w:t> </w:t>
      </w:r>
      <w:r>
        <w:rPr/>
        <w:t>In studies, the activation of insulin production by the EGCG contained in green tea has been demonstrated to be more than 15-fold, and another study from Japan has demonstrated a preventive effect of green tea on diabetic nephropa- thy, diabetes-related kidney</w:t>
      </w:r>
      <w:r>
        <w:rPr>
          <w:spacing w:val="1"/>
        </w:rPr>
        <w:t> </w:t>
      </w:r>
      <w:r>
        <w:rPr/>
        <w:t>disease.</w:t>
      </w:r>
    </w:p>
    <w:p>
      <w:pPr>
        <w:pStyle w:val="BodyText"/>
        <w:spacing w:line="276" w:lineRule="auto" w:before="242"/>
        <w:ind w:left="477" w:right="139"/>
        <w:jc w:val="both"/>
      </w:pPr>
      <w:r>
        <w:rPr/>
        <w:t>Drink 1 cup (300 ml) of green tea with each, allow to infuse for at least five minutes.</w:t>
      </w:r>
    </w:p>
    <w:p>
      <w:pPr>
        <w:pStyle w:val="Heading1"/>
        <w:spacing w:before="222"/>
        <w:jc w:val="both"/>
      </w:pPr>
      <w:r>
        <w:rPr/>
        <w:t>Green tea and its effect on caries (tooth decay)</w:t>
      </w:r>
    </w:p>
    <w:p>
      <w:pPr>
        <w:spacing w:after="0"/>
        <w:jc w:val="both"/>
        <w:sectPr>
          <w:pgSz w:w="14270" w:h="16850"/>
          <w:pgMar w:header="0" w:footer="1891" w:top="1600" w:bottom="2080" w:left="800" w:right="1280"/>
        </w:sectPr>
      </w:pPr>
    </w:p>
    <w:p>
      <w:pPr>
        <w:pStyle w:val="BodyText"/>
        <w:spacing w:line="276" w:lineRule="auto" w:before="181"/>
        <w:ind w:left="477" w:right="140"/>
        <w:jc w:val="both"/>
      </w:pPr>
      <w:r>
        <w:rPr/>
        <w:t>Tooth</w:t>
      </w:r>
      <w:r>
        <w:rPr>
          <w:spacing w:val="-4"/>
        </w:rPr>
        <w:t> </w:t>
      </w:r>
      <w:r>
        <w:rPr/>
        <w:t>decay</w:t>
      </w:r>
      <w:r>
        <w:rPr>
          <w:spacing w:val="-5"/>
        </w:rPr>
        <w:t> </w:t>
      </w:r>
      <w:r>
        <w:rPr/>
        <w:t>is</w:t>
      </w:r>
      <w:r>
        <w:rPr>
          <w:spacing w:val="-7"/>
        </w:rPr>
        <w:t> </w:t>
      </w:r>
      <w:r>
        <w:rPr/>
        <w:t>increasingly</w:t>
      </w:r>
      <w:r>
        <w:rPr>
          <w:spacing w:val="-5"/>
        </w:rPr>
        <w:t> </w:t>
      </w:r>
      <w:r>
        <w:rPr/>
        <w:t>on</w:t>
      </w:r>
      <w:r>
        <w:rPr>
          <w:spacing w:val="-5"/>
        </w:rPr>
        <w:t> </w:t>
      </w:r>
      <w:r>
        <w:rPr/>
        <w:t>the</w:t>
      </w:r>
      <w:r>
        <w:rPr>
          <w:spacing w:val="-4"/>
        </w:rPr>
        <w:t> </w:t>
      </w:r>
      <w:r>
        <w:rPr/>
        <w:t>rise,</w:t>
      </w:r>
      <w:r>
        <w:rPr>
          <w:spacing w:val="-6"/>
        </w:rPr>
        <w:t> </w:t>
      </w:r>
      <w:r>
        <w:rPr/>
        <w:t>not</w:t>
      </w:r>
      <w:r>
        <w:rPr>
          <w:spacing w:val="-6"/>
        </w:rPr>
        <w:t> </w:t>
      </w:r>
      <w:r>
        <w:rPr/>
        <w:t>least</w:t>
      </w:r>
      <w:r>
        <w:rPr>
          <w:spacing w:val="-7"/>
        </w:rPr>
        <w:t> </w:t>
      </w:r>
      <w:r>
        <w:rPr/>
        <w:t>because</w:t>
      </w:r>
      <w:r>
        <w:rPr>
          <w:spacing w:val="-4"/>
        </w:rPr>
        <w:t> </w:t>
      </w:r>
      <w:r>
        <w:rPr/>
        <w:t>of</w:t>
      </w:r>
      <w:r>
        <w:rPr>
          <w:spacing w:val="-6"/>
        </w:rPr>
        <w:t> </w:t>
      </w:r>
      <w:r>
        <w:rPr/>
        <w:t>our</w:t>
      </w:r>
      <w:r>
        <w:rPr>
          <w:spacing w:val="-9"/>
        </w:rPr>
        <w:t> </w:t>
      </w:r>
      <w:r>
        <w:rPr/>
        <w:t>excessive</w:t>
      </w:r>
      <w:r>
        <w:rPr>
          <w:spacing w:val="-5"/>
        </w:rPr>
        <w:t> </w:t>
      </w:r>
      <w:r>
        <w:rPr/>
        <w:t>sugar intake (and the refusal of state licensing agencies to accept healthy alternatives, such as Stevia, as a sugar substitute). It is a disease of the hard tooth tissue, the enamel.</w:t>
      </w:r>
    </w:p>
    <w:p>
      <w:pPr>
        <w:pStyle w:val="BodyText"/>
        <w:spacing w:line="276" w:lineRule="auto" w:before="242"/>
        <w:ind w:left="477" w:right="135"/>
        <w:jc w:val="both"/>
      </w:pPr>
      <w:r>
        <w:rPr/>
        <w:t>Green tea counteracts caries on several fronts: on the one hand because of its high fluorine content (one of the main constituents of enamel), on the other hand, the EGCG present in green tea inhibits the proliferation of the bacteria that promote caries. In addition, green tea stimulates salivation, which neutral- ises</w:t>
      </w:r>
      <w:r>
        <w:rPr>
          <w:spacing w:val="-18"/>
        </w:rPr>
        <w:t> </w:t>
      </w:r>
      <w:r>
        <w:rPr/>
        <w:t>the</w:t>
      </w:r>
      <w:r>
        <w:rPr>
          <w:spacing w:val="-17"/>
        </w:rPr>
        <w:t> </w:t>
      </w:r>
      <w:r>
        <w:rPr/>
        <w:t>harmful</w:t>
      </w:r>
      <w:r>
        <w:rPr>
          <w:spacing w:val="-20"/>
        </w:rPr>
        <w:t> </w:t>
      </w:r>
      <w:r>
        <w:rPr/>
        <w:t>acids</w:t>
      </w:r>
      <w:r>
        <w:rPr>
          <w:spacing w:val="-18"/>
        </w:rPr>
        <w:t> </w:t>
      </w:r>
      <w:r>
        <w:rPr/>
        <w:t>in</w:t>
      </w:r>
      <w:r>
        <w:rPr>
          <w:spacing w:val="-19"/>
        </w:rPr>
        <w:t> </w:t>
      </w:r>
      <w:r>
        <w:rPr/>
        <w:t>the</w:t>
      </w:r>
      <w:r>
        <w:rPr>
          <w:spacing w:val="-17"/>
        </w:rPr>
        <w:t> </w:t>
      </w:r>
      <w:r>
        <w:rPr/>
        <w:t>mouth</w:t>
      </w:r>
      <w:r>
        <w:rPr>
          <w:spacing w:val="-18"/>
        </w:rPr>
        <w:t> </w:t>
      </w:r>
      <w:r>
        <w:rPr/>
        <w:t>and</w:t>
      </w:r>
      <w:r>
        <w:rPr>
          <w:spacing w:val="-18"/>
        </w:rPr>
        <w:t> </w:t>
      </w:r>
      <w:r>
        <w:rPr/>
        <w:t>supports</w:t>
      </w:r>
      <w:r>
        <w:rPr>
          <w:spacing w:val="-21"/>
        </w:rPr>
        <w:t> </w:t>
      </w:r>
      <w:r>
        <w:rPr/>
        <w:t>the</w:t>
      </w:r>
      <w:r>
        <w:rPr>
          <w:spacing w:val="-17"/>
        </w:rPr>
        <w:t> </w:t>
      </w:r>
      <w:r>
        <w:rPr/>
        <w:t>intestines</w:t>
      </w:r>
      <w:r>
        <w:rPr>
          <w:spacing w:val="-18"/>
        </w:rPr>
        <w:t> </w:t>
      </w:r>
      <w:r>
        <w:rPr/>
        <w:t>in</w:t>
      </w:r>
      <w:r>
        <w:rPr>
          <w:spacing w:val="-20"/>
        </w:rPr>
        <w:t> </w:t>
      </w:r>
      <w:r>
        <w:rPr/>
        <w:t>better</w:t>
      </w:r>
      <w:r>
        <w:rPr>
          <w:spacing w:val="-18"/>
        </w:rPr>
        <w:t> </w:t>
      </w:r>
      <w:r>
        <w:rPr/>
        <w:t>utilising minerals and storing them in the enamel.</w:t>
      </w:r>
    </w:p>
    <w:p>
      <w:pPr>
        <w:pStyle w:val="BodyText"/>
        <w:spacing w:line="276" w:lineRule="auto" w:before="240"/>
        <w:ind w:left="477" w:right="132"/>
        <w:jc w:val="both"/>
      </w:pPr>
      <w:r>
        <w:rPr/>
        <w:t>For</w:t>
      </w:r>
      <w:r>
        <w:rPr>
          <w:spacing w:val="-6"/>
        </w:rPr>
        <w:t> </w:t>
      </w:r>
      <w:r>
        <w:rPr/>
        <w:t>preventive</w:t>
      </w:r>
      <w:r>
        <w:rPr>
          <w:spacing w:val="-7"/>
        </w:rPr>
        <w:t> </w:t>
      </w:r>
      <w:r>
        <w:rPr/>
        <w:t>and</w:t>
      </w:r>
      <w:r>
        <w:rPr>
          <w:spacing w:val="-7"/>
        </w:rPr>
        <w:t> </w:t>
      </w:r>
      <w:r>
        <w:rPr/>
        <w:t>therapeutic</w:t>
      </w:r>
      <w:r>
        <w:rPr>
          <w:spacing w:val="-8"/>
        </w:rPr>
        <w:t> </w:t>
      </w:r>
      <w:r>
        <w:rPr/>
        <w:t>results,</w:t>
      </w:r>
      <w:r>
        <w:rPr>
          <w:spacing w:val="-6"/>
        </w:rPr>
        <w:t> </w:t>
      </w:r>
      <w:r>
        <w:rPr/>
        <w:t>drink</w:t>
      </w:r>
      <w:r>
        <w:rPr>
          <w:spacing w:val="-7"/>
        </w:rPr>
        <w:t> </w:t>
      </w:r>
      <w:r>
        <w:rPr/>
        <w:t>1</w:t>
      </w:r>
      <w:r>
        <w:rPr>
          <w:spacing w:val="-9"/>
        </w:rPr>
        <w:t> </w:t>
      </w:r>
      <w:r>
        <w:rPr/>
        <w:t>cup</w:t>
      </w:r>
      <w:r>
        <w:rPr>
          <w:spacing w:val="-7"/>
        </w:rPr>
        <w:t> </w:t>
      </w:r>
      <w:r>
        <w:rPr/>
        <w:t>of</w:t>
      </w:r>
      <w:r>
        <w:rPr>
          <w:spacing w:val="-9"/>
        </w:rPr>
        <w:t> </w:t>
      </w:r>
      <w:r>
        <w:rPr/>
        <w:t>green</w:t>
      </w:r>
      <w:r>
        <w:rPr>
          <w:spacing w:val="-8"/>
        </w:rPr>
        <w:t> </w:t>
      </w:r>
      <w:r>
        <w:rPr/>
        <w:t>tea</w:t>
      </w:r>
      <w:r>
        <w:rPr>
          <w:spacing w:val="-13"/>
        </w:rPr>
        <w:t> </w:t>
      </w:r>
      <w:r>
        <w:rPr/>
        <w:t>with</w:t>
      </w:r>
      <w:r>
        <w:rPr>
          <w:spacing w:val="-6"/>
        </w:rPr>
        <w:t> </w:t>
      </w:r>
      <w:r>
        <w:rPr/>
        <w:t>each</w:t>
      </w:r>
      <w:r>
        <w:rPr>
          <w:spacing w:val="-6"/>
        </w:rPr>
        <w:t> </w:t>
      </w:r>
      <w:r>
        <w:rPr/>
        <w:t>meal, allow to infuse for about 5mins</w:t>
      </w:r>
      <w:r>
        <w:rPr>
          <w:spacing w:val="-1"/>
        </w:rPr>
        <w:t> </w:t>
      </w:r>
      <w:r>
        <w:rPr/>
        <w:t>beforehand.</w:t>
      </w:r>
    </w:p>
    <w:p>
      <w:pPr>
        <w:pStyle w:val="BodyText"/>
        <w:rPr>
          <w:sz w:val="42"/>
        </w:rPr>
      </w:pPr>
    </w:p>
    <w:p>
      <w:pPr>
        <w:pStyle w:val="BodyText"/>
        <w:spacing w:before="2"/>
        <w:rPr>
          <w:sz w:val="39"/>
        </w:rPr>
      </w:pPr>
    </w:p>
    <w:p>
      <w:pPr>
        <w:pStyle w:val="Heading1"/>
        <w:spacing w:before="0"/>
      </w:pPr>
      <w:r>
        <w:rPr/>
        <w:t>Green</w:t>
      </w:r>
      <w:r>
        <w:rPr>
          <w:spacing w:val="-62"/>
        </w:rPr>
        <w:t> </w:t>
      </w:r>
      <w:r>
        <w:rPr/>
        <w:t>tea</w:t>
      </w:r>
      <w:r>
        <w:rPr>
          <w:spacing w:val="-61"/>
        </w:rPr>
        <w:t> </w:t>
      </w:r>
      <w:r>
        <w:rPr/>
        <w:t>for</w:t>
      </w:r>
      <w:r>
        <w:rPr>
          <w:spacing w:val="-62"/>
        </w:rPr>
        <w:t> </w:t>
      </w:r>
      <w:r>
        <w:rPr/>
        <w:t>sore</w:t>
      </w:r>
      <w:r>
        <w:rPr>
          <w:spacing w:val="-61"/>
        </w:rPr>
        <w:t> </w:t>
      </w:r>
      <w:r>
        <w:rPr/>
        <w:t>throat</w:t>
      </w:r>
      <w:r>
        <w:rPr>
          <w:spacing w:val="-61"/>
        </w:rPr>
        <w:t> </w:t>
      </w:r>
      <w:r>
        <w:rPr/>
        <w:t>and</w:t>
      </w:r>
      <w:r>
        <w:rPr>
          <w:spacing w:val="-61"/>
        </w:rPr>
        <w:t> </w:t>
      </w:r>
      <w:r>
        <w:rPr/>
        <w:t>pharyngitis</w:t>
      </w:r>
    </w:p>
    <w:p>
      <w:pPr>
        <w:pStyle w:val="BodyText"/>
        <w:spacing w:line="276" w:lineRule="auto" w:before="299"/>
        <w:ind w:left="477" w:right="143"/>
        <w:jc w:val="both"/>
      </w:pPr>
      <w:r>
        <w:rPr/>
        <w:t>Each of us has to fight it at least once in the course of a year: sore throat,</w:t>
      </w:r>
      <w:r>
        <w:rPr>
          <w:spacing w:val="-47"/>
        </w:rPr>
        <w:t> </w:t>
      </w:r>
      <w:r>
        <w:rPr/>
        <w:t>diffi- culty swallowing, inflamed pharyngeal mucous</w:t>
      </w:r>
      <w:r>
        <w:rPr>
          <w:spacing w:val="-2"/>
        </w:rPr>
        <w:t> </w:t>
      </w:r>
      <w:r>
        <w:rPr/>
        <w:t>membranes.</w:t>
      </w:r>
    </w:p>
    <w:p>
      <w:pPr>
        <w:pStyle w:val="BodyText"/>
        <w:spacing w:line="276" w:lineRule="auto" w:before="241"/>
        <w:ind w:left="477" w:right="134"/>
        <w:jc w:val="both"/>
      </w:pPr>
      <w:r>
        <w:rPr/>
        <w:t>Green tea contains remarkable anti-inflammatory agents in the form of flavo- noids and tannins and natural vitamin C, which is effective against inflamma- tion.</w:t>
      </w:r>
    </w:p>
    <w:p>
      <w:pPr>
        <w:spacing w:after="0" w:line="276" w:lineRule="auto"/>
        <w:jc w:val="both"/>
        <w:sectPr>
          <w:pgSz w:w="14270" w:h="16850"/>
          <w:pgMar w:header="0" w:footer="1891" w:top="1600" w:bottom="2080" w:left="800" w:right="1280"/>
        </w:sectPr>
      </w:pPr>
    </w:p>
    <w:p>
      <w:pPr>
        <w:pStyle w:val="BodyText"/>
        <w:spacing w:line="276" w:lineRule="auto" w:before="181"/>
        <w:ind w:left="477" w:right="136"/>
        <w:jc w:val="both"/>
      </w:pPr>
      <w:r>
        <w:rPr/>
        <w:t>In</w:t>
      </w:r>
      <w:r>
        <w:rPr>
          <w:spacing w:val="-14"/>
        </w:rPr>
        <w:t> </w:t>
      </w:r>
      <w:r>
        <w:rPr/>
        <w:t>case</w:t>
      </w:r>
      <w:r>
        <w:rPr>
          <w:spacing w:val="-13"/>
        </w:rPr>
        <w:t> </w:t>
      </w:r>
      <w:r>
        <w:rPr/>
        <w:t>of</w:t>
      </w:r>
      <w:r>
        <w:rPr>
          <w:spacing w:val="-14"/>
        </w:rPr>
        <w:t> </w:t>
      </w:r>
      <w:r>
        <w:rPr/>
        <w:t>sore</w:t>
      </w:r>
      <w:r>
        <w:rPr>
          <w:spacing w:val="-14"/>
        </w:rPr>
        <w:t> </w:t>
      </w:r>
      <w:r>
        <w:rPr/>
        <w:t>throat</w:t>
      </w:r>
      <w:r>
        <w:rPr>
          <w:spacing w:val="-15"/>
        </w:rPr>
        <w:t> </w:t>
      </w:r>
      <w:r>
        <w:rPr/>
        <w:t>and</w:t>
      </w:r>
      <w:r>
        <w:rPr>
          <w:spacing w:val="-13"/>
        </w:rPr>
        <w:t> </w:t>
      </w:r>
      <w:r>
        <w:rPr/>
        <w:t>pharyngitis,</w:t>
      </w:r>
      <w:r>
        <w:rPr>
          <w:spacing w:val="-13"/>
        </w:rPr>
        <w:t> </w:t>
      </w:r>
      <w:r>
        <w:rPr/>
        <w:t>you</w:t>
      </w:r>
      <w:r>
        <w:rPr>
          <w:spacing w:val="-15"/>
        </w:rPr>
        <w:t> </w:t>
      </w:r>
      <w:r>
        <w:rPr/>
        <w:t>should</w:t>
      </w:r>
      <w:r>
        <w:rPr>
          <w:spacing w:val="-15"/>
        </w:rPr>
        <w:t> </w:t>
      </w:r>
      <w:r>
        <w:rPr/>
        <w:t>drink</w:t>
      </w:r>
      <w:r>
        <w:rPr>
          <w:spacing w:val="-14"/>
        </w:rPr>
        <w:t> </w:t>
      </w:r>
      <w:r>
        <w:rPr/>
        <w:t>the</w:t>
      </w:r>
      <w:r>
        <w:rPr>
          <w:spacing w:val="-13"/>
        </w:rPr>
        <w:t> </w:t>
      </w:r>
      <w:r>
        <w:rPr/>
        <w:t>green</w:t>
      </w:r>
      <w:r>
        <w:rPr>
          <w:spacing w:val="-13"/>
        </w:rPr>
        <w:t> </w:t>
      </w:r>
      <w:r>
        <w:rPr/>
        <w:t>tea</w:t>
      </w:r>
      <w:r>
        <w:rPr>
          <w:spacing w:val="-15"/>
        </w:rPr>
        <w:t> </w:t>
      </w:r>
      <w:r>
        <w:rPr/>
        <w:t>and</w:t>
      </w:r>
      <w:r>
        <w:rPr>
          <w:spacing w:val="-14"/>
        </w:rPr>
        <w:t> </w:t>
      </w:r>
      <w:r>
        <w:rPr/>
        <w:t>gargle with it. If you want to save time and nobody in your presence objects, you can combine both (take a sip, gargle for 10 seconds, swallow), otherwise separate the two</w:t>
      </w:r>
      <w:r>
        <w:rPr>
          <w:spacing w:val="2"/>
        </w:rPr>
        <w:t> </w:t>
      </w:r>
      <w:r>
        <w:rPr/>
        <w:t>processes:</w:t>
      </w:r>
    </w:p>
    <w:p>
      <w:pPr>
        <w:pStyle w:val="BodyText"/>
        <w:spacing w:before="242"/>
        <w:ind w:left="477"/>
      </w:pPr>
      <w:r>
        <w:rPr/>
        <w:t>Drink</w:t>
      </w:r>
    </w:p>
    <w:p>
      <w:pPr>
        <w:pStyle w:val="BodyText"/>
        <w:spacing w:line="276" w:lineRule="auto" w:before="302"/>
        <w:ind w:left="477" w:right="132"/>
        <w:jc w:val="both"/>
      </w:pPr>
      <w:r>
        <w:rPr/>
        <w:t>Drink a small cup (300 ml) of green tea twice daily with meals (allow to infuse for about 5 minutes)</w:t>
      </w:r>
    </w:p>
    <w:p>
      <w:pPr>
        <w:pStyle w:val="BodyText"/>
        <w:spacing w:before="241"/>
        <w:ind w:left="477"/>
      </w:pPr>
      <w:r>
        <w:rPr/>
        <w:t>Gargle</w:t>
      </w:r>
    </w:p>
    <w:p>
      <w:pPr>
        <w:pStyle w:val="BodyText"/>
        <w:spacing w:line="276" w:lineRule="auto" w:before="305"/>
        <w:ind w:left="477" w:right="134"/>
        <w:jc w:val="both"/>
      </w:pPr>
      <w:r>
        <w:rPr/>
        <w:t>Prepare</w:t>
      </w:r>
      <w:r>
        <w:rPr>
          <w:spacing w:val="-10"/>
        </w:rPr>
        <w:t> </w:t>
      </w:r>
      <w:r>
        <w:rPr/>
        <w:t>1</w:t>
      </w:r>
      <w:r>
        <w:rPr>
          <w:spacing w:val="-11"/>
        </w:rPr>
        <w:t> </w:t>
      </w:r>
      <w:r>
        <w:rPr/>
        <w:t>cup</w:t>
      </w:r>
      <w:r>
        <w:rPr>
          <w:spacing w:val="-10"/>
        </w:rPr>
        <w:t> </w:t>
      </w:r>
      <w:r>
        <w:rPr/>
        <w:t>of</w:t>
      </w:r>
      <w:r>
        <w:rPr>
          <w:spacing w:val="-13"/>
        </w:rPr>
        <w:t> </w:t>
      </w:r>
      <w:r>
        <w:rPr/>
        <w:t>green</w:t>
      </w:r>
      <w:r>
        <w:rPr>
          <w:spacing w:val="-9"/>
        </w:rPr>
        <w:t> </w:t>
      </w:r>
      <w:r>
        <w:rPr/>
        <w:t>tea</w:t>
      </w:r>
      <w:r>
        <w:rPr>
          <w:spacing w:val="-11"/>
        </w:rPr>
        <w:t> </w:t>
      </w:r>
      <w:r>
        <w:rPr/>
        <w:t>in</w:t>
      </w:r>
      <w:r>
        <w:rPr>
          <w:spacing w:val="-11"/>
        </w:rPr>
        <w:t> </w:t>
      </w:r>
      <w:r>
        <w:rPr/>
        <w:t>the</w:t>
      </w:r>
      <w:r>
        <w:rPr>
          <w:spacing w:val="-13"/>
        </w:rPr>
        <w:t> </w:t>
      </w:r>
      <w:r>
        <w:rPr/>
        <w:t>morning</w:t>
      </w:r>
      <w:r>
        <w:rPr>
          <w:spacing w:val="-10"/>
        </w:rPr>
        <w:t> </w:t>
      </w:r>
      <w:r>
        <w:rPr/>
        <w:t>and</w:t>
      </w:r>
      <w:r>
        <w:rPr>
          <w:spacing w:val="-9"/>
        </w:rPr>
        <w:t> </w:t>
      </w:r>
      <w:r>
        <w:rPr/>
        <w:t>in</w:t>
      </w:r>
      <w:r>
        <w:rPr>
          <w:spacing w:val="-11"/>
        </w:rPr>
        <w:t> </w:t>
      </w:r>
      <w:r>
        <w:rPr/>
        <w:t>the</w:t>
      </w:r>
      <w:r>
        <w:rPr>
          <w:spacing w:val="-10"/>
        </w:rPr>
        <w:t> </w:t>
      </w:r>
      <w:r>
        <w:rPr/>
        <w:t>evening,</w:t>
      </w:r>
      <w:r>
        <w:rPr>
          <w:spacing w:val="-10"/>
        </w:rPr>
        <w:t> </w:t>
      </w:r>
      <w:r>
        <w:rPr/>
        <w:t>let</w:t>
      </w:r>
      <w:r>
        <w:rPr>
          <w:spacing w:val="-11"/>
        </w:rPr>
        <w:t> </w:t>
      </w:r>
      <w:r>
        <w:rPr/>
        <w:t>it</w:t>
      </w:r>
      <w:r>
        <w:rPr>
          <w:spacing w:val="-13"/>
        </w:rPr>
        <w:t> </w:t>
      </w:r>
      <w:r>
        <w:rPr/>
        <w:t>soak</w:t>
      </w:r>
      <w:r>
        <w:rPr>
          <w:spacing w:val="-12"/>
        </w:rPr>
        <w:t> </w:t>
      </w:r>
      <w:r>
        <w:rPr/>
        <w:t>for</w:t>
      </w:r>
      <w:r>
        <w:rPr>
          <w:spacing w:val="-9"/>
        </w:rPr>
        <w:t> </w:t>
      </w:r>
      <w:r>
        <w:rPr/>
        <w:t>five minutes, take one sip, gargle for ten seconds, add another sip and so on for about ten minutes per application.</w:t>
      </w:r>
    </w:p>
    <w:p>
      <w:pPr>
        <w:pStyle w:val="BodyText"/>
        <w:rPr>
          <w:sz w:val="42"/>
        </w:rPr>
      </w:pPr>
    </w:p>
    <w:p>
      <w:pPr>
        <w:pStyle w:val="BodyText"/>
        <w:spacing w:before="4"/>
        <w:rPr>
          <w:sz w:val="39"/>
        </w:rPr>
      </w:pPr>
    </w:p>
    <w:p>
      <w:pPr>
        <w:pStyle w:val="Heading1"/>
        <w:spacing w:before="0"/>
      </w:pPr>
      <w:r>
        <w:rPr/>
        <w:t>Green tea for bad breath</w:t>
      </w:r>
    </w:p>
    <w:p>
      <w:pPr>
        <w:pStyle w:val="BodyText"/>
        <w:spacing w:before="297"/>
        <w:ind w:left="477"/>
      </w:pPr>
      <w:r>
        <w:rPr/>
        <w:t>Bad breath is largely due to bacteria that accumulate on the tongue.</w:t>
      </w:r>
    </w:p>
    <w:p>
      <w:pPr>
        <w:pStyle w:val="BodyText"/>
        <w:spacing w:line="276" w:lineRule="auto" w:before="304"/>
        <w:ind w:left="477" w:right="143"/>
        <w:jc w:val="both"/>
      </w:pPr>
      <w:r>
        <w:rPr/>
        <w:t>Since green tea has an antibacterial effect, it prevents the proliferation of mi- croorganisms in the mouth area, can reduce acidity in the stomach and coun- teract putrefaction gases that also lead to bad breath when exhaling.</w:t>
      </w:r>
    </w:p>
    <w:p>
      <w:pPr>
        <w:spacing w:line="276" w:lineRule="auto" w:before="242"/>
        <w:ind w:left="477" w:right="136" w:firstLine="0"/>
        <w:jc w:val="both"/>
        <w:rPr>
          <w:i/>
          <w:sz w:val="38"/>
        </w:rPr>
      </w:pPr>
      <w:r>
        <w:rPr>
          <w:i/>
          <w:sz w:val="38"/>
        </w:rPr>
        <w:t>For mouth odour, both taking mouthwash (2-3 min) with green tea and drinking tea with </w:t>
      </w:r>
      <w:r>
        <w:rPr>
          <w:i/>
          <w:sz w:val="38"/>
        </w:rPr>
        <w:t>meals are recommended.</w:t>
      </w:r>
    </w:p>
    <w:p>
      <w:pPr>
        <w:spacing w:after="0" w:line="276" w:lineRule="auto"/>
        <w:jc w:val="both"/>
        <w:rPr>
          <w:sz w:val="38"/>
        </w:rPr>
        <w:sectPr>
          <w:pgSz w:w="14270" w:h="16850"/>
          <w:pgMar w:header="0" w:footer="1891" w:top="1600" w:bottom="2080" w:left="800" w:right="1280"/>
        </w:sectPr>
      </w:pPr>
    </w:p>
    <w:p>
      <w:pPr>
        <w:pStyle w:val="Heading1"/>
        <w:spacing w:before="164"/>
      </w:pPr>
      <w:r>
        <w:rPr/>
        <w:t>Green tea and its effect on irritable stomachs (functional dyspepsia)</w:t>
      </w:r>
    </w:p>
    <w:p>
      <w:pPr>
        <w:pStyle w:val="BodyText"/>
        <w:spacing w:line="276" w:lineRule="auto" w:before="299"/>
        <w:ind w:left="477" w:right="133"/>
        <w:jc w:val="both"/>
      </w:pPr>
      <w:r>
        <w:rPr/>
        <w:t>An irritable stomach, called functional ‘functional dyspepsia’ or ‘non-ulcer</w:t>
      </w:r>
      <w:r>
        <w:rPr>
          <w:spacing w:val="-34"/>
        </w:rPr>
        <w:t> </w:t>
      </w:r>
      <w:r>
        <w:rPr/>
        <w:t>dys- pepsia’ (NUD), manifests itself in recurrent or chronic pain as well as discom- fort in the upper part of the abdomen without organic causes being present. Symptoms of irritable stomach include nausea, stomach cramps, loss of appe- tite,</w:t>
      </w:r>
      <w:r>
        <w:rPr>
          <w:spacing w:val="-9"/>
        </w:rPr>
        <w:t> </w:t>
      </w:r>
      <w:r>
        <w:rPr/>
        <w:t>heartburn,</w:t>
      </w:r>
      <w:r>
        <w:rPr>
          <w:spacing w:val="-8"/>
        </w:rPr>
        <w:t> </w:t>
      </w:r>
      <w:r>
        <w:rPr/>
        <w:t>bloating,</w:t>
      </w:r>
      <w:r>
        <w:rPr>
          <w:spacing w:val="-8"/>
        </w:rPr>
        <w:t> </w:t>
      </w:r>
      <w:r>
        <w:rPr/>
        <w:t>flatulence</w:t>
      </w:r>
      <w:r>
        <w:rPr>
          <w:spacing w:val="-9"/>
        </w:rPr>
        <w:t> </w:t>
      </w:r>
      <w:r>
        <w:rPr/>
        <w:t>and</w:t>
      </w:r>
      <w:r>
        <w:rPr>
          <w:spacing w:val="-9"/>
        </w:rPr>
        <w:t> </w:t>
      </w:r>
      <w:r>
        <w:rPr/>
        <w:t>sickness.</w:t>
      </w:r>
      <w:r>
        <w:rPr>
          <w:spacing w:val="-13"/>
        </w:rPr>
        <w:t> </w:t>
      </w:r>
      <w:r>
        <w:rPr/>
        <w:t>Reasons</w:t>
      </w:r>
      <w:r>
        <w:rPr>
          <w:spacing w:val="-9"/>
        </w:rPr>
        <w:t> </w:t>
      </w:r>
      <w:r>
        <w:rPr/>
        <w:t>for</w:t>
      </w:r>
      <w:r>
        <w:rPr>
          <w:spacing w:val="-11"/>
        </w:rPr>
        <w:t> </w:t>
      </w:r>
      <w:r>
        <w:rPr/>
        <w:t>this</w:t>
      </w:r>
      <w:r>
        <w:rPr>
          <w:spacing w:val="-11"/>
        </w:rPr>
        <w:t> </w:t>
      </w:r>
      <w:r>
        <w:rPr/>
        <w:t>are</w:t>
      </w:r>
      <w:r>
        <w:rPr>
          <w:spacing w:val="-9"/>
        </w:rPr>
        <w:t> </w:t>
      </w:r>
      <w:r>
        <w:rPr/>
        <w:t>often</w:t>
      </w:r>
      <w:r>
        <w:rPr>
          <w:spacing w:val="-8"/>
        </w:rPr>
        <w:t> </w:t>
      </w:r>
      <w:r>
        <w:rPr/>
        <w:t>psy- chosomatic, but also an altered gastric</w:t>
      </w:r>
      <w:r>
        <w:rPr>
          <w:spacing w:val="-5"/>
        </w:rPr>
        <w:t> </w:t>
      </w:r>
      <w:r>
        <w:rPr/>
        <w:t>motility.</w:t>
      </w:r>
    </w:p>
    <w:p>
      <w:pPr>
        <w:pStyle w:val="BodyText"/>
        <w:spacing w:line="276" w:lineRule="auto" w:before="241"/>
        <w:ind w:left="477" w:right="140"/>
        <w:jc w:val="both"/>
      </w:pPr>
      <w:r>
        <w:rPr/>
        <w:t>The</w:t>
      </w:r>
      <w:r>
        <w:rPr>
          <w:spacing w:val="-12"/>
        </w:rPr>
        <w:t> </w:t>
      </w:r>
      <w:r>
        <w:rPr/>
        <w:t>basic</w:t>
      </w:r>
      <w:r>
        <w:rPr>
          <w:spacing w:val="-16"/>
        </w:rPr>
        <w:t> </w:t>
      </w:r>
      <w:r>
        <w:rPr/>
        <w:t>substances</w:t>
      </w:r>
      <w:r>
        <w:rPr>
          <w:spacing w:val="-12"/>
        </w:rPr>
        <w:t> </w:t>
      </w:r>
      <w:r>
        <w:rPr/>
        <w:t>contained</w:t>
      </w:r>
      <w:r>
        <w:rPr>
          <w:spacing w:val="-13"/>
        </w:rPr>
        <w:t> </w:t>
      </w:r>
      <w:r>
        <w:rPr/>
        <w:t>in</w:t>
      </w:r>
      <w:r>
        <w:rPr>
          <w:spacing w:val="-12"/>
        </w:rPr>
        <w:t> </w:t>
      </w:r>
      <w:r>
        <w:rPr/>
        <w:t>green</w:t>
      </w:r>
      <w:r>
        <w:rPr>
          <w:spacing w:val="-12"/>
        </w:rPr>
        <w:t> </w:t>
      </w:r>
      <w:r>
        <w:rPr/>
        <w:t>tea</w:t>
      </w:r>
      <w:r>
        <w:rPr>
          <w:spacing w:val="-15"/>
        </w:rPr>
        <w:t> </w:t>
      </w:r>
      <w:r>
        <w:rPr/>
        <w:t>neutralise</w:t>
      </w:r>
      <w:r>
        <w:rPr>
          <w:spacing w:val="-12"/>
        </w:rPr>
        <w:t> </w:t>
      </w:r>
      <w:r>
        <w:rPr/>
        <w:t>the</w:t>
      </w:r>
      <w:r>
        <w:rPr>
          <w:spacing w:val="-12"/>
        </w:rPr>
        <w:t> </w:t>
      </w:r>
      <w:r>
        <w:rPr/>
        <w:t>acidic</w:t>
      </w:r>
      <w:r>
        <w:rPr>
          <w:spacing w:val="-16"/>
        </w:rPr>
        <w:t> </w:t>
      </w:r>
      <w:r>
        <w:rPr/>
        <w:t>milieu</w:t>
      </w:r>
      <w:r>
        <w:rPr>
          <w:spacing w:val="-15"/>
        </w:rPr>
        <w:t> </w:t>
      </w:r>
      <w:r>
        <w:rPr/>
        <w:t>and</w:t>
      </w:r>
      <w:r>
        <w:rPr>
          <w:spacing w:val="-12"/>
        </w:rPr>
        <w:t> </w:t>
      </w:r>
      <w:r>
        <w:rPr/>
        <w:t>also facilitate the digestion of fats and</w:t>
      </w:r>
      <w:r>
        <w:rPr>
          <w:spacing w:val="-1"/>
        </w:rPr>
        <w:t> </w:t>
      </w:r>
      <w:r>
        <w:rPr/>
        <w:t>proteins.</w:t>
      </w:r>
    </w:p>
    <w:p>
      <w:pPr>
        <w:pStyle w:val="BodyText"/>
        <w:spacing w:line="276" w:lineRule="auto" w:before="241"/>
        <w:ind w:left="477" w:right="134"/>
        <w:jc w:val="both"/>
      </w:pPr>
      <w:r>
        <w:rPr/>
        <w:t>Prepare</w:t>
      </w:r>
      <w:r>
        <w:rPr>
          <w:spacing w:val="-15"/>
        </w:rPr>
        <w:t> </w:t>
      </w:r>
      <w:r>
        <w:rPr/>
        <w:t>green</w:t>
      </w:r>
      <w:r>
        <w:rPr>
          <w:spacing w:val="-14"/>
        </w:rPr>
        <w:t> </w:t>
      </w:r>
      <w:r>
        <w:rPr/>
        <w:t>tea</w:t>
      </w:r>
      <w:r>
        <w:rPr>
          <w:spacing w:val="-15"/>
        </w:rPr>
        <w:t> </w:t>
      </w:r>
      <w:r>
        <w:rPr/>
        <w:t>(½</w:t>
      </w:r>
      <w:r>
        <w:rPr>
          <w:spacing w:val="-16"/>
        </w:rPr>
        <w:t> </w:t>
      </w:r>
      <w:r>
        <w:rPr/>
        <w:t>litre,</w:t>
      </w:r>
      <w:r>
        <w:rPr>
          <w:spacing w:val="-13"/>
        </w:rPr>
        <w:t> </w:t>
      </w:r>
      <w:r>
        <w:rPr/>
        <w:t>allow</w:t>
      </w:r>
      <w:r>
        <w:rPr>
          <w:spacing w:val="-15"/>
        </w:rPr>
        <w:t> </w:t>
      </w:r>
      <w:r>
        <w:rPr/>
        <w:t>to</w:t>
      </w:r>
      <w:r>
        <w:rPr>
          <w:spacing w:val="-14"/>
        </w:rPr>
        <w:t> </w:t>
      </w:r>
      <w:r>
        <w:rPr/>
        <w:t>infuse</w:t>
      </w:r>
      <w:r>
        <w:rPr>
          <w:spacing w:val="-14"/>
        </w:rPr>
        <w:t> </w:t>
      </w:r>
      <w:r>
        <w:rPr/>
        <w:t>for</w:t>
      </w:r>
      <w:r>
        <w:rPr>
          <w:spacing w:val="-15"/>
        </w:rPr>
        <w:t> </w:t>
      </w:r>
      <w:r>
        <w:rPr/>
        <w:t>5</w:t>
      </w:r>
      <w:r>
        <w:rPr>
          <w:spacing w:val="-14"/>
        </w:rPr>
        <w:t> </w:t>
      </w:r>
      <w:r>
        <w:rPr/>
        <w:t>mins)</w:t>
      </w:r>
      <w:r>
        <w:rPr>
          <w:spacing w:val="-14"/>
        </w:rPr>
        <w:t> </w:t>
      </w:r>
      <w:r>
        <w:rPr/>
        <w:t>on</w:t>
      </w:r>
      <w:r>
        <w:rPr>
          <w:spacing w:val="-15"/>
        </w:rPr>
        <w:t> </w:t>
      </w:r>
      <w:r>
        <w:rPr/>
        <w:t>the</w:t>
      </w:r>
      <w:r>
        <w:rPr>
          <w:spacing w:val="-16"/>
        </w:rPr>
        <w:t> </w:t>
      </w:r>
      <w:r>
        <w:rPr/>
        <w:t>evening</w:t>
      </w:r>
      <w:r>
        <w:rPr>
          <w:spacing w:val="-13"/>
        </w:rPr>
        <w:t> </w:t>
      </w:r>
      <w:r>
        <w:rPr/>
        <w:t>before</w:t>
      </w:r>
      <w:r>
        <w:rPr>
          <w:spacing w:val="-15"/>
        </w:rPr>
        <w:t> </w:t>
      </w:r>
      <w:r>
        <w:rPr/>
        <w:t>and put it in a flask. Drink it before getting </w:t>
      </w:r>
      <w:r>
        <w:rPr>
          <w:spacing w:val="2"/>
        </w:rPr>
        <w:t>up </w:t>
      </w:r>
      <w:r>
        <w:rPr/>
        <w:t>the next morning. Then slowly roll on your back, stay in this position for five minutes, then roll over for five minutes on your right side and then for five minutes on your left side. Repeat this roll cure the next day and as often as your irritable stomach</w:t>
      </w:r>
      <w:r>
        <w:rPr>
          <w:spacing w:val="-16"/>
        </w:rPr>
        <w:t> </w:t>
      </w:r>
      <w:r>
        <w:rPr/>
        <w:t>requires.</w:t>
      </w:r>
    </w:p>
    <w:p>
      <w:pPr>
        <w:pStyle w:val="Heading1"/>
        <w:spacing w:before="222"/>
      </w:pPr>
      <w:r>
        <w:rPr/>
        <w:t>Green tea and its effect on</w:t>
      </w:r>
      <w:r>
        <w:rPr>
          <w:spacing w:val="-58"/>
        </w:rPr>
        <w:t> </w:t>
      </w:r>
      <w:r>
        <w:rPr/>
        <w:t>gastritis</w:t>
      </w:r>
    </w:p>
    <w:p>
      <w:pPr>
        <w:pStyle w:val="BodyText"/>
        <w:spacing w:line="276" w:lineRule="auto" w:before="299"/>
        <w:ind w:left="477" w:right="131"/>
        <w:jc w:val="both"/>
      </w:pPr>
      <w:r>
        <w:rPr/>
        <w:t>Gastritis is an inflammatory disease of the gastric mucosa caused by a</w:t>
      </w:r>
      <w:r>
        <w:rPr>
          <w:spacing w:val="-53"/>
        </w:rPr>
        <w:t> </w:t>
      </w:r>
      <w:r>
        <w:rPr/>
        <w:t>microor- ganism</w:t>
      </w:r>
      <w:r>
        <w:rPr>
          <w:spacing w:val="-7"/>
        </w:rPr>
        <w:t> </w:t>
      </w:r>
      <w:r>
        <w:rPr/>
        <w:t>called</w:t>
      </w:r>
      <w:r>
        <w:rPr>
          <w:spacing w:val="-11"/>
        </w:rPr>
        <w:t> </w:t>
      </w:r>
      <w:r>
        <w:rPr/>
        <w:t>‘Helicobacter</w:t>
      </w:r>
      <w:r>
        <w:rPr>
          <w:spacing w:val="-8"/>
        </w:rPr>
        <w:t> </w:t>
      </w:r>
      <w:r>
        <w:rPr/>
        <w:t>pylori’</w:t>
      </w:r>
      <w:r>
        <w:rPr>
          <w:spacing w:val="-6"/>
        </w:rPr>
        <w:t> </w:t>
      </w:r>
      <w:r>
        <w:rPr/>
        <w:t>and</w:t>
      </w:r>
      <w:r>
        <w:rPr>
          <w:spacing w:val="-8"/>
        </w:rPr>
        <w:t> </w:t>
      </w:r>
      <w:r>
        <w:rPr/>
        <w:t>its</w:t>
      </w:r>
      <w:r>
        <w:rPr>
          <w:spacing w:val="-10"/>
        </w:rPr>
        <w:t> </w:t>
      </w:r>
      <w:r>
        <w:rPr/>
        <w:t>symptoms</w:t>
      </w:r>
      <w:r>
        <w:rPr>
          <w:spacing w:val="-7"/>
        </w:rPr>
        <w:t> </w:t>
      </w:r>
      <w:r>
        <w:rPr/>
        <w:t>are</w:t>
      </w:r>
      <w:r>
        <w:rPr>
          <w:spacing w:val="-10"/>
        </w:rPr>
        <w:t> </w:t>
      </w:r>
      <w:r>
        <w:rPr/>
        <w:t>loss</w:t>
      </w:r>
      <w:r>
        <w:rPr>
          <w:spacing w:val="-9"/>
        </w:rPr>
        <w:t> </w:t>
      </w:r>
      <w:r>
        <w:rPr/>
        <w:t>of</w:t>
      </w:r>
      <w:r>
        <w:rPr>
          <w:spacing w:val="-10"/>
        </w:rPr>
        <w:t> </w:t>
      </w:r>
      <w:r>
        <w:rPr/>
        <w:t>appetite,</w:t>
      </w:r>
      <w:r>
        <w:rPr>
          <w:spacing w:val="-7"/>
        </w:rPr>
        <w:t> </w:t>
      </w:r>
      <w:r>
        <w:rPr/>
        <w:t>heart- burn, bloating, diarrhoea, constipation, stomach cramps or flatulence. The tan- nins</w:t>
      </w:r>
      <w:r>
        <w:rPr>
          <w:spacing w:val="-6"/>
        </w:rPr>
        <w:t> </w:t>
      </w:r>
      <w:r>
        <w:rPr/>
        <w:t>contained</w:t>
      </w:r>
      <w:r>
        <w:rPr>
          <w:spacing w:val="-6"/>
        </w:rPr>
        <w:t> </w:t>
      </w:r>
      <w:r>
        <w:rPr/>
        <w:t>in</w:t>
      </w:r>
      <w:r>
        <w:rPr>
          <w:spacing w:val="-6"/>
        </w:rPr>
        <w:t> </w:t>
      </w:r>
      <w:r>
        <w:rPr/>
        <w:t>green</w:t>
      </w:r>
      <w:r>
        <w:rPr>
          <w:spacing w:val="-5"/>
        </w:rPr>
        <w:t> </w:t>
      </w:r>
      <w:r>
        <w:rPr/>
        <w:t>tea</w:t>
      </w:r>
      <w:r>
        <w:rPr>
          <w:spacing w:val="-7"/>
        </w:rPr>
        <w:t> </w:t>
      </w:r>
      <w:r>
        <w:rPr/>
        <w:t>convert</w:t>
      </w:r>
      <w:r>
        <w:rPr>
          <w:spacing w:val="-5"/>
        </w:rPr>
        <w:t> </w:t>
      </w:r>
      <w:r>
        <w:rPr/>
        <w:t>the</w:t>
      </w:r>
      <w:r>
        <w:rPr>
          <w:spacing w:val="-5"/>
        </w:rPr>
        <w:t> </w:t>
      </w:r>
      <w:r>
        <w:rPr/>
        <w:t>proteins</w:t>
      </w:r>
      <w:r>
        <w:rPr>
          <w:spacing w:val="-8"/>
        </w:rPr>
        <w:t> </w:t>
      </w:r>
      <w:r>
        <w:rPr/>
        <w:t>in</w:t>
      </w:r>
      <w:r>
        <w:rPr>
          <w:spacing w:val="-7"/>
        </w:rPr>
        <w:t> </w:t>
      </w:r>
      <w:r>
        <w:rPr/>
        <w:t>the</w:t>
      </w:r>
      <w:r>
        <w:rPr>
          <w:spacing w:val="-5"/>
        </w:rPr>
        <w:t> </w:t>
      </w:r>
      <w:r>
        <w:rPr/>
        <w:t>gastric</w:t>
      </w:r>
      <w:r>
        <w:rPr>
          <w:spacing w:val="-6"/>
        </w:rPr>
        <w:t> </w:t>
      </w:r>
      <w:r>
        <w:rPr/>
        <w:t>mucosa</w:t>
      </w:r>
      <w:r>
        <w:rPr>
          <w:spacing w:val="-7"/>
        </w:rPr>
        <w:t> </w:t>
      </w:r>
      <w:r>
        <w:rPr/>
        <w:t>into</w:t>
      </w:r>
      <w:r>
        <w:rPr>
          <w:spacing w:val="-5"/>
        </w:rPr>
        <w:t> </w:t>
      </w:r>
      <w:r>
        <w:rPr/>
        <w:t>sub- stances that do not provide any nutritional value to the bacteria and literally starve</w:t>
      </w:r>
      <w:r>
        <w:rPr>
          <w:spacing w:val="25"/>
        </w:rPr>
        <w:t> </w:t>
      </w:r>
      <w:r>
        <w:rPr/>
        <w:t>them</w:t>
      </w:r>
      <w:r>
        <w:rPr>
          <w:spacing w:val="26"/>
        </w:rPr>
        <w:t> </w:t>
      </w:r>
      <w:r>
        <w:rPr/>
        <w:t>out.</w:t>
      </w:r>
      <w:r>
        <w:rPr>
          <w:spacing w:val="25"/>
        </w:rPr>
        <w:t> </w:t>
      </w:r>
      <w:r>
        <w:rPr/>
        <w:t>Furthermore,</w:t>
      </w:r>
      <w:r>
        <w:rPr>
          <w:spacing w:val="26"/>
        </w:rPr>
        <w:t> </w:t>
      </w:r>
      <w:r>
        <w:rPr/>
        <w:t>green</w:t>
      </w:r>
      <w:r>
        <w:rPr>
          <w:spacing w:val="26"/>
        </w:rPr>
        <w:t> </w:t>
      </w:r>
      <w:r>
        <w:rPr/>
        <w:t>tea</w:t>
      </w:r>
      <w:r>
        <w:rPr>
          <w:spacing w:val="24"/>
        </w:rPr>
        <w:t> </w:t>
      </w:r>
      <w:r>
        <w:rPr/>
        <w:t>is</w:t>
      </w:r>
      <w:r>
        <w:rPr>
          <w:spacing w:val="25"/>
        </w:rPr>
        <w:t> </w:t>
      </w:r>
      <w:r>
        <w:rPr/>
        <w:t>alkaline,</w:t>
      </w:r>
      <w:r>
        <w:rPr>
          <w:spacing w:val="26"/>
        </w:rPr>
        <w:t> </w:t>
      </w:r>
      <w:r>
        <w:rPr/>
        <w:t>neutralises</w:t>
      </w:r>
      <w:r>
        <w:rPr>
          <w:spacing w:val="26"/>
        </w:rPr>
        <w:t> </w:t>
      </w:r>
      <w:r>
        <w:rPr/>
        <w:t>stomach</w:t>
      </w:r>
      <w:r>
        <w:rPr>
          <w:spacing w:val="26"/>
        </w:rPr>
        <w:t> </w:t>
      </w:r>
      <w:r>
        <w:rPr/>
        <w:t>acids</w:t>
      </w:r>
    </w:p>
    <w:p>
      <w:pPr>
        <w:spacing w:after="0" w:line="276" w:lineRule="auto"/>
        <w:jc w:val="both"/>
        <w:sectPr>
          <w:pgSz w:w="14270" w:h="16850"/>
          <w:pgMar w:header="0" w:footer="1891" w:top="1600" w:bottom="2080" w:left="800" w:right="1280"/>
        </w:sectPr>
      </w:pPr>
    </w:p>
    <w:p>
      <w:pPr>
        <w:pStyle w:val="BodyText"/>
        <w:spacing w:line="276" w:lineRule="auto" w:before="181"/>
        <w:ind w:left="477" w:right="133"/>
        <w:jc w:val="both"/>
      </w:pPr>
      <w:r>
        <w:rPr/>
        <w:t>and</w:t>
      </w:r>
      <w:r>
        <w:rPr>
          <w:spacing w:val="-19"/>
        </w:rPr>
        <w:t> </w:t>
      </w:r>
      <w:r>
        <w:rPr/>
        <w:t>has</w:t>
      </w:r>
      <w:r>
        <w:rPr>
          <w:spacing w:val="-17"/>
        </w:rPr>
        <w:t> </w:t>
      </w:r>
      <w:r>
        <w:rPr/>
        <w:t>a</w:t>
      </w:r>
      <w:r>
        <w:rPr>
          <w:spacing w:val="-19"/>
        </w:rPr>
        <w:t> </w:t>
      </w:r>
      <w:r>
        <w:rPr/>
        <w:t>calming</w:t>
      </w:r>
      <w:r>
        <w:rPr>
          <w:spacing w:val="-18"/>
        </w:rPr>
        <w:t> </w:t>
      </w:r>
      <w:r>
        <w:rPr/>
        <w:t>effect</w:t>
      </w:r>
      <w:r>
        <w:rPr>
          <w:spacing w:val="-17"/>
        </w:rPr>
        <w:t> </w:t>
      </w:r>
      <w:r>
        <w:rPr/>
        <w:t>on</w:t>
      </w:r>
      <w:r>
        <w:rPr>
          <w:spacing w:val="-17"/>
        </w:rPr>
        <w:t> </w:t>
      </w:r>
      <w:r>
        <w:rPr/>
        <w:t>the</w:t>
      </w:r>
      <w:r>
        <w:rPr>
          <w:spacing w:val="-20"/>
        </w:rPr>
        <w:t> </w:t>
      </w:r>
      <w:r>
        <w:rPr/>
        <w:t>stomach</w:t>
      </w:r>
      <w:r>
        <w:rPr>
          <w:spacing w:val="-19"/>
        </w:rPr>
        <w:t> </w:t>
      </w:r>
      <w:r>
        <w:rPr/>
        <w:t>walls.</w:t>
      </w:r>
      <w:r>
        <w:rPr>
          <w:spacing w:val="-17"/>
        </w:rPr>
        <w:t> </w:t>
      </w:r>
      <w:r>
        <w:rPr/>
        <w:t>Only</w:t>
      </w:r>
      <w:r>
        <w:rPr>
          <w:spacing w:val="-19"/>
        </w:rPr>
        <w:t> </w:t>
      </w:r>
      <w:r>
        <w:rPr/>
        <w:t>the</w:t>
      </w:r>
      <w:r>
        <w:rPr>
          <w:spacing w:val="-18"/>
        </w:rPr>
        <w:t> </w:t>
      </w:r>
      <w:r>
        <w:rPr/>
        <w:t>second</w:t>
      </w:r>
      <w:r>
        <w:rPr>
          <w:spacing w:val="-18"/>
        </w:rPr>
        <w:t> </w:t>
      </w:r>
      <w:r>
        <w:rPr/>
        <w:t>infusion</w:t>
      </w:r>
      <w:r>
        <w:rPr>
          <w:spacing w:val="-17"/>
        </w:rPr>
        <w:t> </w:t>
      </w:r>
      <w:r>
        <w:rPr/>
        <w:t>is</w:t>
      </w:r>
      <w:r>
        <w:rPr>
          <w:spacing w:val="-19"/>
        </w:rPr>
        <w:t> </w:t>
      </w:r>
      <w:r>
        <w:rPr/>
        <w:t>used, the first one is infused for about three minutes and is then poured out. Allow the following infusion to steep for about six minutes, then</w:t>
      </w:r>
      <w:r>
        <w:rPr>
          <w:spacing w:val="4"/>
        </w:rPr>
        <w:t> </w:t>
      </w:r>
      <w:r>
        <w:rPr/>
        <w:t>drink.</w:t>
      </w:r>
    </w:p>
    <w:p>
      <w:pPr>
        <w:pStyle w:val="Heading1"/>
      </w:pPr>
      <w:r>
        <w:rPr/>
        <w:t>Green tea and its effect on weight loss, diet and fat burning</w:t>
      </w:r>
    </w:p>
    <w:p>
      <w:pPr>
        <w:pStyle w:val="BodyText"/>
        <w:spacing w:line="276" w:lineRule="auto" w:before="300"/>
        <w:ind w:left="477" w:right="130"/>
        <w:jc w:val="both"/>
      </w:pPr>
      <w:r>
        <w:rPr/>
        <w:t>In addition to its excellent benefits as a disease prophylactic, feel-good tonic and</w:t>
      </w:r>
      <w:r>
        <w:rPr>
          <w:spacing w:val="-9"/>
        </w:rPr>
        <w:t> </w:t>
      </w:r>
      <w:r>
        <w:rPr/>
        <w:t>energy</w:t>
      </w:r>
      <w:r>
        <w:rPr>
          <w:spacing w:val="-9"/>
        </w:rPr>
        <w:t> </w:t>
      </w:r>
      <w:r>
        <w:rPr/>
        <w:t>extract,</w:t>
      </w:r>
      <w:r>
        <w:rPr>
          <w:spacing w:val="-8"/>
        </w:rPr>
        <w:t> </w:t>
      </w:r>
      <w:r>
        <w:rPr/>
        <w:t>green</w:t>
      </w:r>
      <w:r>
        <w:rPr>
          <w:spacing w:val="-8"/>
        </w:rPr>
        <w:t> </w:t>
      </w:r>
      <w:r>
        <w:rPr/>
        <w:t>tea</w:t>
      </w:r>
      <w:r>
        <w:rPr>
          <w:spacing w:val="-10"/>
        </w:rPr>
        <w:t> </w:t>
      </w:r>
      <w:r>
        <w:rPr/>
        <w:t>is</w:t>
      </w:r>
      <w:r>
        <w:rPr>
          <w:spacing w:val="-8"/>
        </w:rPr>
        <w:t> </w:t>
      </w:r>
      <w:r>
        <w:rPr/>
        <w:t>becoming</w:t>
      </w:r>
      <w:r>
        <w:rPr>
          <w:spacing w:val="-9"/>
        </w:rPr>
        <w:t> </w:t>
      </w:r>
      <w:r>
        <w:rPr/>
        <w:t>more</w:t>
      </w:r>
      <w:r>
        <w:rPr>
          <w:spacing w:val="-9"/>
        </w:rPr>
        <w:t> </w:t>
      </w:r>
      <w:r>
        <w:rPr/>
        <w:t>and</w:t>
      </w:r>
      <w:r>
        <w:rPr>
          <w:spacing w:val="-8"/>
        </w:rPr>
        <w:t> </w:t>
      </w:r>
      <w:r>
        <w:rPr/>
        <w:t>more</w:t>
      </w:r>
      <w:r>
        <w:rPr>
          <w:spacing w:val="-9"/>
        </w:rPr>
        <w:t> </w:t>
      </w:r>
      <w:r>
        <w:rPr/>
        <w:t>popular</w:t>
      </w:r>
      <w:r>
        <w:rPr>
          <w:spacing w:val="-10"/>
        </w:rPr>
        <w:t> </w:t>
      </w:r>
      <w:r>
        <w:rPr/>
        <w:t>among</w:t>
      </w:r>
      <w:r>
        <w:rPr>
          <w:spacing w:val="-8"/>
        </w:rPr>
        <w:t> </w:t>
      </w:r>
      <w:r>
        <w:rPr/>
        <w:t>those who</w:t>
      </w:r>
      <w:r>
        <w:rPr>
          <w:spacing w:val="-24"/>
        </w:rPr>
        <w:t> </w:t>
      </w:r>
      <w:r>
        <w:rPr/>
        <w:t>want</w:t>
      </w:r>
      <w:r>
        <w:rPr>
          <w:spacing w:val="-25"/>
        </w:rPr>
        <w:t> </w:t>
      </w:r>
      <w:r>
        <w:rPr/>
        <w:t>to</w:t>
      </w:r>
      <w:r>
        <w:rPr>
          <w:spacing w:val="-23"/>
        </w:rPr>
        <w:t> </w:t>
      </w:r>
      <w:r>
        <w:rPr/>
        <w:t>lose</w:t>
      </w:r>
      <w:r>
        <w:rPr>
          <w:spacing w:val="-23"/>
        </w:rPr>
        <w:t> </w:t>
      </w:r>
      <w:r>
        <w:rPr/>
        <w:t>weight.</w:t>
      </w:r>
      <w:r>
        <w:rPr>
          <w:spacing w:val="-24"/>
        </w:rPr>
        <w:t> </w:t>
      </w:r>
      <w:r>
        <w:rPr/>
        <w:t>The</w:t>
      </w:r>
      <w:r>
        <w:rPr>
          <w:spacing w:val="-23"/>
        </w:rPr>
        <w:t> </w:t>
      </w:r>
      <w:r>
        <w:rPr/>
        <w:t>effect</w:t>
      </w:r>
      <w:r>
        <w:rPr>
          <w:spacing w:val="-25"/>
        </w:rPr>
        <w:t> </w:t>
      </w:r>
      <w:r>
        <w:rPr/>
        <w:t>of</w:t>
      </w:r>
      <w:r>
        <w:rPr>
          <w:spacing w:val="-24"/>
        </w:rPr>
        <w:t> </w:t>
      </w:r>
      <w:r>
        <w:rPr/>
        <w:t>weight</w:t>
      </w:r>
      <w:r>
        <w:rPr>
          <w:spacing w:val="-25"/>
        </w:rPr>
        <w:t> </w:t>
      </w:r>
      <w:r>
        <w:rPr/>
        <w:t>reduction</w:t>
      </w:r>
      <w:r>
        <w:rPr>
          <w:spacing w:val="-24"/>
        </w:rPr>
        <w:t> </w:t>
      </w:r>
      <w:r>
        <w:rPr/>
        <w:t>is</w:t>
      </w:r>
      <w:r>
        <w:rPr>
          <w:spacing w:val="-24"/>
        </w:rPr>
        <w:t> </w:t>
      </w:r>
      <w:r>
        <w:rPr/>
        <w:t>due</w:t>
      </w:r>
      <w:r>
        <w:rPr>
          <w:spacing w:val="-26"/>
        </w:rPr>
        <w:t> </w:t>
      </w:r>
      <w:r>
        <w:rPr/>
        <w:t>to</w:t>
      </w:r>
      <w:r>
        <w:rPr>
          <w:spacing w:val="-23"/>
        </w:rPr>
        <w:t> </w:t>
      </w:r>
      <w:r>
        <w:rPr/>
        <w:t>several</w:t>
      </w:r>
      <w:r>
        <w:rPr>
          <w:spacing w:val="-26"/>
        </w:rPr>
        <w:t> </w:t>
      </w:r>
      <w:r>
        <w:rPr/>
        <w:t>factors, such as the property of the saponins contained in it to bind dietary fats, before they can be deposited. The catechins and the caffeine contained in green tea synergistically increase thermogenesis and thus increase the fat burning.</w:t>
      </w:r>
      <w:r>
        <w:rPr>
          <w:position w:val="9"/>
          <w:sz w:val="25"/>
        </w:rPr>
        <w:t>403 </w:t>
      </w:r>
      <w:r>
        <w:rPr/>
        <w:t>This effect should last 24 hours, which promises a great support to any diet. The positive effect of green tea on our taste buds should not be understated.</w:t>
      </w:r>
      <w:r>
        <w:rPr>
          <w:spacing w:val="-61"/>
        </w:rPr>
        <w:t> </w:t>
      </w:r>
      <w:r>
        <w:rPr/>
        <w:t>Green tea helps to reprogram our sensation of sweet</w:t>
      </w:r>
      <w:r>
        <w:rPr>
          <w:spacing w:val="1"/>
        </w:rPr>
        <w:t> </w:t>
      </w:r>
      <w:r>
        <w:rPr/>
        <w:t>tastes.</w:t>
      </w:r>
    </w:p>
    <w:p>
      <w:pPr>
        <w:pStyle w:val="Heading1"/>
        <w:spacing w:before="222"/>
      </w:pPr>
      <w:r>
        <w:rPr/>
        <w:t>Green tea during fasting and</w:t>
      </w:r>
      <w:r>
        <w:rPr>
          <w:spacing w:val="-56"/>
        </w:rPr>
        <w:t> </w:t>
      </w:r>
      <w:r>
        <w:rPr/>
        <w:t>detoxification</w:t>
      </w:r>
    </w:p>
    <w:p>
      <w:pPr>
        <w:pStyle w:val="BodyText"/>
        <w:spacing w:line="276" w:lineRule="auto" w:before="299"/>
        <w:ind w:left="477" w:right="141"/>
        <w:jc w:val="both"/>
      </w:pPr>
      <w:r>
        <w:rPr/>
        <w:t>In addition to fruit juices and still water, green tea has secured a solid position in fasting. This is due to the properties in green tea that aid fasting:</w:t>
      </w:r>
    </w:p>
    <w:p>
      <w:pPr>
        <w:pStyle w:val="ListParagraph"/>
        <w:numPr>
          <w:ilvl w:val="0"/>
          <w:numId w:val="37"/>
        </w:numPr>
        <w:tabs>
          <w:tab w:pos="1197" w:val="left" w:leader="none"/>
          <w:tab w:pos="1198" w:val="left" w:leader="none"/>
        </w:tabs>
        <w:spacing w:line="240" w:lineRule="auto" w:before="242" w:after="0"/>
        <w:ind w:left="1197" w:right="0" w:hanging="360"/>
        <w:jc w:val="left"/>
        <w:rPr>
          <w:sz w:val="38"/>
        </w:rPr>
      </w:pPr>
      <w:r>
        <w:rPr>
          <w:sz w:val="38"/>
        </w:rPr>
        <w:t>It has a diuretic and detoxifying</w:t>
      </w:r>
      <w:r>
        <w:rPr>
          <w:spacing w:val="-2"/>
          <w:sz w:val="38"/>
        </w:rPr>
        <w:t> </w:t>
      </w:r>
      <w:r>
        <w:rPr>
          <w:sz w:val="38"/>
        </w:rPr>
        <w:t>effect</w:t>
      </w:r>
    </w:p>
    <w:p>
      <w:pPr>
        <w:pStyle w:val="ListParagraph"/>
        <w:numPr>
          <w:ilvl w:val="0"/>
          <w:numId w:val="37"/>
        </w:numPr>
        <w:tabs>
          <w:tab w:pos="1197" w:val="left" w:leader="none"/>
          <w:tab w:pos="1198" w:val="left" w:leader="none"/>
        </w:tabs>
        <w:spacing w:line="273" w:lineRule="auto" w:before="304" w:after="0"/>
        <w:ind w:left="1197" w:right="131" w:hanging="360"/>
        <w:jc w:val="left"/>
        <w:rPr>
          <w:sz w:val="38"/>
        </w:rPr>
      </w:pPr>
      <w:r>
        <w:rPr>
          <w:sz w:val="38"/>
        </w:rPr>
        <w:t>It maintains energy levels and the ability to concentrate, which decreases during</w:t>
      </w:r>
      <w:r>
        <w:rPr>
          <w:spacing w:val="10"/>
          <w:sz w:val="38"/>
        </w:rPr>
        <w:t> </w:t>
      </w:r>
      <w:r>
        <w:rPr>
          <w:sz w:val="38"/>
        </w:rPr>
        <w:t>fasting,</w:t>
      </w:r>
      <w:r>
        <w:rPr>
          <w:spacing w:val="12"/>
          <w:sz w:val="38"/>
        </w:rPr>
        <w:t> </w:t>
      </w:r>
      <w:r>
        <w:rPr>
          <w:sz w:val="38"/>
        </w:rPr>
        <w:t>by</w:t>
      </w:r>
      <w:r>
        <w:rPr>
          <w:spacing w:val="11"/>
          <w:sz w:val="38"/>
        </w:rPr>
        <w:t> </w:t>
      </w:r>
      <w:r>
        <w:rPr>
          <w:sz w:val="38"/>
        </w:rPr>
        <w:t>dosing</w:t>
      </w:r>
      <w:r>
        <w:rPr>
          <w:spacing w:val="11"/>
          <w:sz w:val="38"/>
        </w:rPr>
        <w:t> </w:t>
      </w:r>
      <w:r>
        <w:rPr>
          <w:sz w:val="38"/>
        </w:rPr>
        <w:t>its</w:t>
      </w:r>
      <w:r>
        <w:rPr>
          <w:spacing w:val="9"/>
          <w:sz w:val="38"/>
        </w:rPr>
        <w:t> </w:t>
      </w:r>
      <w:r>
        <w:rPr>
          <w:sz w:val="38"/>
        </w:rPr>
        <w:t>caffeine</w:t>
      </w:r>
      <w:r>
        <w:rPr>
          <w:spacing w:val="12"/>
          <w:sz w:val="38"/>
        </w:rPr>
        <w:t> </w:t>
      </w:r>
      <w:r>
        <w:rPr>
          <w:sz w:val="38"/>
        </w:rPr>
        <w:t>well</w:t>
      </w:r>
      <w:r>
        <w:rPr>
          <w:spacing w:val="9"/>
          <w:sz w:val="38"/>
        </w:rPr>
        <w:t> </w:t>
      </w:r>
      <w:r>
        <w:rPr>
          <w:sz w:val="38"/>
        </w:rPr>
        <w:t>and</w:t>
      </w:r>
      <w:r>
        <w:rPr>
          <w:spacing w:val="11"/>
          <w:sz w:val="38"/>
        </w:rPr>
        <w:t> </w:t>
      </w:r>
      <w:r>
        <w:rPr>
          <w:sz w:val="38"/>
        </w:rPr>
        <w:t>releasing</w:t>
      </w:r>
      <w:r>
        <w:rPr>
          <w:spacing w:val="11"/>
          <w:sz w:val="38"/>
        </w:rPr>
        <w:t> </w:t>
      </w:r>
      <w:r>
        <w:rPr>
          <w:sz w:val="38"/>
        </w:rPr>
        <w:t>it</w:t>
      </w:r>
      <w:r>
        <w:rPr>
          <w:spacing w:val="8"/>
          <w:sz w:val="38"/>
        </w:rPr>
        <w:t> </w:t>
      </w:r>
      <w:r>
        <w:rPr>
          <w:sz w:val="38"/>
        </w:rPr>
        <w:t>steadily</w:t>
      </w:r>
      <w:r>
        <w:rPr>
          <w:spacing w:val="12"/>
          <w:sz w:val="38"/>
        </w:rPr>
        <w:t> </w:t>
      </w:r>
      <w:r>
        <w:rPr>
          <w:sz w:val="38"/>
        </w:rPr>
        <w:t>into</w:t>
      </w:r>
      <w:r>
        <w:rPr>
          <w:spacing w:val="11"/>
          <w:sz w:val="38"/>
        </w:rPr>
        <w:t> </w:t>
      </w:r>
      <w:r>
        <w:rPr>
          <w:sz w:val="38"/>
        </w:rPr>
        <w:t>the</w:t>
      </w:r>
    </w:p>
    <w:p>
      <w:pPr>
        <w:pStyle w:val="BodyText"/>
        <w:rPr>
          <w:sz w:val="20"/>
        </w:rPr>
      </w:pPr>
    </w:p>
    <w:p>
      <w:pPr>
        <w:pStyle w:val="BodyText"/>
        <w:spacing w:before="9"/>
        <w:rPr>
          <w:sz w:val="26"/>
        </w:rPr>
      </w:pPr>
      <w:r>
        <w:rPr/>
        <w:pict>
          <v:line style="position:absolute;mso-position-horizontal-relative:page;mso-position-vertical-relative:paragraph;z-index:4736;mso-wrap-distance-left:0;mso-wrap-distance-right:0" from="63.863998pt,17.448706pt" to="207.883998pt,17.448706pt" stroked="true" strokeweight=".72003pt" strokecolor="#000000">
            <v:stroke dashstyle="solid"/>
            <w10:wrap type="topAndBottom"/>
          </v:line>
        </w:pict>
      </w:r>
    </w:p>
    <w:p>
      <w:pPr>
        <w:pStyle w:val="BodyText"/>
        <w:spacing w:before="7"/>
        <w:rPr>
          <w:sz w:val="18"/>
        </w:rPr>
      </w:pPr>
    </w:p>
    <w:p>
      <w:pPr>
        <w:spacing w:line="276" w:lineRule="auto" w:before="99"/>
        <w:ind w:left="477" w:right="156" w:firstLine="0"/>
        <w:jc w:val="left"/>
        <w:rPr>
          <w:sz w:val="20"/>
        </w:rPr>
      </w:pPr>
      <w:r>
        <w:rPr>
          <w:position w:val="5"/>
          <w:sz w:val="13"/>
        </w:rPr>
        <w:t>403 </w:t>
      </w:r>
      <w:r>
        <w:rPr>
          <w:sz w:val="20"/>
        </w:rPr>
        <w:t>Dulloo AG et al.: Efficacy of a green tea extract rich in catechins polyphenols and caffeine in increasing 24h energy expenditure and fat oxidation in humans, Am J. Clinc Nutr. 1999 (70) p. 1040-1045</w:t>
      </w:r>
    </w:p>
    <w:p>
      <w:pPr>
        <w:spacing w:after="0" w:line="276" w:lineRule="auto"/>
        <w:jc w:val="left"/>
        <w:rPr>
          <w:sz w:val="20"/>
        </w:rPr>
        <w:sectPr>
          <w:footerReference w:type="default" r:id="rId158"/>
          <w:pgSz w:w="14270" w:h="16850"/>
          <w:pgMar w:footer="1891" w:header="0" w:top="1600" w:bottom="2080" w:left="800" w:right="1280"/>
          <w:pgNumType w:start="630"/>
        </w:sectPr>
      </w:pPr>
    </w:p>
    <w:p>
      <w:pPr>
        <w:pStyle w:val="BodyText"/>
        <w:spacing w:before="181"/>
        <w:ind w:left="1197"/>
      </w:pPr>
      <w:r>
        <w:rPr/>
        <w:t>bloodstream.</w:t>
      </w:r>
    </w:p>
    <w:p>
      <w:pPr>
        <w:pStyle w:val="ListParagraph"/>
        <w:numPr>
          <w:ilvl w:val="0"/>
          <w:numId w:val="37"/>
        </w:numPr>
        <w:tabs>
          <w:tab w:pos="1197" w:val="left" w:leader="none"/>
          <w:tab w:pos="1198" w:val="left" w:leader="none"/>
        </w:tabs>
        <w:spacing w:line="240" w:lineRule="auto" w:before="306" w:after="0"/>
        <w:ind w:left="1197" w:right="0" w:hanging="360"/>
        <w:jc w:val="left"/>
        <w:rPr>
          <w:sz w:val="38"/>
        </w:rPr>
      </w:pPr>
      <w:r>
        <w:rPr>
          <w:sz w:val="38"/>
        </w:rPr>
        <w:t>It compensates for the lack of nutrient supply during</w:t>
      </w:r>
      <w:r>
        <w:rPr>
          <w:spacing w:val="-8"/>
          <w:sz w:val="38"/>
        </w:rPr>
        <w:t> </w:t>
      </w:r>
      <w:r>
        <w:rPr>
          <w:sz w:val="38"/>
        </w:rPr>
        <w:t>fasting.</w:t>
      </w:r>
    </w:p>
    <w:p>
      <w:pPr>
        <w:pStyle w:val="ListParagraph"/>
        <w:numPr>
          <w:ilvl w:val="0"/>
          <w:numId w:val="37"/>
        </w:numPr>
        <w:tabs>
          <w:tab w:pos="1198" w:val="left" w:leader="none"/>
        </w:tabs>
        <w:spacing w:line="273" w:lineRule="auto" w:before="304" w:after="0"/>
        <w:ind w:left="1197" w:right="124" w:hanging="360"/>
        <w:jc w:val="both"/>
        <w:rPr>
          <w:sz w:val="38"/>
        </w:rPr>
      </w:pPr>
      <w:r>
        <w:rPr>
          <w:sz w:val="38"/>
        </w:rPr>
        <w:t>It</w:t>
      </w:r>
      <w:r>
        <w:rPr>
          <w:spacing w:val="-12"/>
          <w:sz w:val="38"/>
        </w:rPr>
        <w:t> </w:t>
      </w:r>
      <w:r>
        <w:rPr>
          <w:sz w:val="38"/>
        </w:rPr>
        <w:t>calms</w:t>
      </w:r>
      <w:r>
        <w:rPr>
          <w:spacing w:val="-10"/>
          <w:sz w:val="38"/>
        </w:rPr>
        <w:t> </w:t>
      </w:r>
      <w:r>
        <w:rPr>
          <w:sz w:val="38"/>
        </w:rPr>
        <w:t>the</w:t>
      </w:r>
      <w:r>
        <w:rPr>
          <w:spacing w:val="-12"/>
          <w:sz w:val="38"/>
        </w:rPr>
        <w:t> </w:t>
      </w:r>
      <w:r>
        <w:rPr>
          <w:sz w:val="38"/>
        </w:rPr>
        <w:t>stomach</w:t>
      </w:r>
      <w:r>
        <w:rPr>
          <w:spacing w:val="-10"/>
          <w:sz w:val="38"/>
        </w:rPr>
        <w:t> </w:t>
      </w:r>
      <w:r>
        <w:rPr>
          <w:sz w:val="38"/>
        </w:rPr>
        <w:t>and</w:t>
      </w:r>
      <w:r>
        <w:rPr>
          <w:spacing w:val="-11"/>
          <w:sz w:val="38"/>
        </w:rPr>
        <w:t> </w:t>
      </w:r>
      <w:r>
        <w:rPr>
          <w:sz w:val="38"/>
        </w:rPr>
        <w:t>helps</w:t>
      </w:r>
      <w:r>
        <w:rPr>
          <w:spacing w:val="-12"/>
          <w:sz w:val="38"/>
        </w:rPr>
        <w:t> </w:t>
      </w:r>
      <w:r>
        <w:rPr>
          <w:sz w:val="38"/>
        </w:rPr>
        <w:t>to</w:t>
      </w:r>
      <w:r>
        <w:rPr>
          <w:spacing w:val="-10"/>
          <w:sz w:val="38"/>
        </w:rPr>
        <w:t> </w:t>
      </w:r>
      <w:r>
        <w:rPr>
          <w:sz w:val="38"/>
        </w:rPr>
        <w:t>counteract</w:t>
      </w:r>
      <w:r>
        <w:rPr>
          <w:spacing w:val="-10"/>
          <w:sz w:val="38"/>
        </w:rPr>
        <w:t> </w:t>
      </w:r>
      <w:r>
        <w:rPr>
          <w:sz w:val="38"/>
        </w:rPr>
        <w:t>the</w:t>
      </w:r>
      <w:r>
        <w:rPr>
          <w:spacing w:val="-10"/>
          <w:sz w:val="38"/>
        </w:rPr>
        <w:t> </w:t>
      </w:r>
      <w:r>
        <w:rPr>
          <w:sz w:val="38"/>
        </w:rPr>
        <w:t>side</w:t>
      </w:r>
      <w:r>
        <w:rPr>
          <w:spacing w:val="-14"/>
          <w:sz w:val="38"/>
        </w:rPr>
        <w:t> </w:t>
      </w:r>
      <w:r>
        <w:rPr>
          <w:sz w:val="38"/>
        </w:rPr>
        <w:t>effects</w:t>
      </w:r>
      <w:r>
        <w:rPr>
          <w:spacing w:val="-10"/>
          <w:sz w:val="38"/>
        </w:rPr>
        <w:t> </w:t>
      </w:r>
      <w:r>
        <w:rPr>
          <w:sz w:val="38"/>
        </w:rPr>
        <w:t>of</w:t>
      </w:r>
      <w:r>
        <w:rPr>
          <w:spacing w:val="-15"/>
          <w:sz w:val="38"/>
        </w:rPr>
        <w:t> </w:t>
      </w:r>
      <w:r>
        <w:rPr>
          <w:sz w:val="38"/>
        </w:rPr>
        <w:t>the</w:t>
      </w:r>
      <w:r>
        <w:rPr>
          <w:spacing w:val="-10"/>
          <w:sz w:val="38"/>
        </w:rPr>
        <w:t> </w:t>
      </w:r>
      <w:r>
        <w:rPr>
          <w:sz w:val="38"/>
        </w:rPr>
        <w:t>gastro- intestinal tract that occur during starvation.</w:t>
      </w:r>
    </w:p>
    <w:p>
      <w:pPr>
        <w:pStyle w:val="Heading1"/>
        <w:spacing w:before="228"/>
      </w:pPr>
      <w:r>
        <w:rPr/>
        <w:t>Buy green tea and keep it</w:t>
      </w:r>
      <w:r>
        <w:rPr>
          <w:spacing w:val="-55"/>
        </w:rPr>
        <w:t> </w:t>
      </w:r>
      <w:r>
        <w:rPr/>
        <w:t>properly</w:t>
      </w:r>
    </w:p>
    <w:p>
      <w:pPr>
        <w:pStyle w:val="BodyText"/>
        <w:spacing w:line="276" w:lineRule="auto" w:before="300"/>
        <w:ind w:left="477" w:right="136"/>
        <w:jc w:val="both"/>
      </w:pPr>
      <w:r>
        <w:rPr/>
        <w:t>It is not easy to find the right green tea from the many teas on offer, especially for a beginner. We would like to support your purchase decision with the fol- lowing points:</w:t>
      </w:r>
    </w:p>
    <w:p>
      <w:pPr>
        <w:pStyle w:val="ListParagraph"/>
        <w:numPr>
          <w:ilvl w:val="0"/>
          <w:numId w:val="37"/>
        </w:numPr>
        <w:tabs>
          <w:tab w:pos="1198" w:val="left" w:leader="none"/>
        </w:tabs>
        <w:spacing w:line="276" w:lineRule="auto" w:before="123" w:after="0"/>
        <w:ind w:left="1197" w:right="138" w:hanging="360"/>
        <w:jc w:val="both"/>
        <w:rPr>
          <w:sz w:val="38"/>
        </w:rPr>
      </w:pPr>
      <w:r>
        <w:rPr>
          <w:sz w:val="38"/>
        </w:rPr>
        <w:t>Never buy a tea that is not hermetically sealed. Ultimately, you have re- sorted to green tea, because in contrast to the black tea, it is not oxidised. However, air intake causes green tea to oxidize, causing it to lose its vital substances, in a similar manner to fermented black</w:t>
      </w:r>
      <w:r>
        <w:rPr>
          <w:spacing w:val="-1"/>
          <w:sz w:val="38"/>
        </w:rPr>
        <w:t> </w:t>
      </w:r>
      <w:r>
        <w:rPr>
          <w:sz w:val="38"/>
        </w:rPr>
        <w:t>tea.</w:t>
      </w:r>
    </w:p>
    <w:p>
      <w:pPr>
        <w:pStyle w:val="ListParagraph"/>
        <w:numPr>
          <w:ilvl w:val="0"/>
          <w:numId w:val="37"/>
        </w:numPr>
        <w:tabs>
          <w:tab w:pos="1198" w:val="left" w:leader="none"/>
        </w:tabs>
        <w:spacing w:line="273" w:lineRule="auto" w:before="237" w:after="0"/>
        <w:ind w:left="1197" w:right="143" w:hanging="360"/>
        <w:jc w:val="both"/>
        <w:rPr>
          <w:sz w:val="38"/>
        </w:rPr>
      </w:pPr>
      <w:r>
        <w:rPr>
          <w:sz w:val="38"/>
        </w:rPr>
        <w:t>Pay attention to the colour. Intense green colour indicates quality, while brown leaves indicate inferior mass-produced</w:t>
      </w:r>
      <w:r>
        <w:rPr>
          <w:spacing w:val="-1"/>
          <w:sz w:val="38"/>
        </w:rPr>
        <w:t> </w:t>
      </w:r>
      <w:r>
        <w:rPr>
          <w:sz w:val="38"/>
        </w:rPr>
        <w:t>goods.</w:t>
      </w:r>
    </w:p>
    <w:p>
      <w:pPr>
        <w:pStyle w:val="ListParagraph"/>
        <w:numPr>
          <w:ilvl w:val="0"/>
          <w:numId w:val="37"/>
        </w:numPr>
        <w:tabs>
          <w:tab w:pos="1198" w:val="left" w:leader="none"/>
        </w:tabs>
        <w:spacing w:line="273" w:lineRule="auto" w:before="247" w:after="0"/>
        <w:ind w:left="1197" w:right="137" w:hanging="360"/>
        <w:jc w:val="both"/>
        <w:rPr>
          <w:sz w:val="38"/>
        </w:rPr>
      </w:pPr>
      <w:r>
        <w:rPr>
          <w:sz w:val="38"/>
        </w:rPr>
        <w:t>Dispense with green tea in teabags; these are usually less aromatic and of- ten have fewer vital</w:t>
      </w:r>
      <w:r>
        <w:rPr>
          <w:spacing w:val="4"/>
          <w:sz w:val="38"/>
        </w:rPr>
        <w:t> </w:t>
      </w:r>
      <w:r>
        <w:rPr>
          <w:sz w:val="38"/>
        </w:rPr>
        <w:t>substances.</w:t>
      </w:r>
    </w:p>
    <w:p>
      <w:pPr>
        <w:pStyle w:val="ListParagraph"/>
        <w:numPr>
          <w:ilvl w:val="0"/>
          <w:numId w:val="37"/>
        </w:numPr>
        <w:tabs>
          <w:tab w:pos="1198" w:val="left" w:leader="none"/>
        </w:tabs>
        <w:spacing w:line="276" w:lineRule="auto" w:before="247" w:after="0"/>
        <w:ind w:left="1197" w:right="138" w:hanging="360"/>
        <w:jc w:val="both"/>
        <w:rPr>
          <w:sz w:val="38"/>
        </w:rPr>
      </w:pPr>
      <w:r>
        <w:rPr>
          <w:sz w:val="38"/>
        </w:rPr>
        <w:t>Green</w:t>
      </w:r>
      <w:r>
        <w:rPr>
          <w:spacing w:val="-23"/>
          <w:sz w:val="38"/>
        </w:rPr>
        <w:t> </w:t>
      </w:r>
      <w:r>
        <w:rPr>
          <w:sz w:val="38"/>
        </w:rPr>
        <w:t>tea</w:t>
      </w:r>
      <w:r>
        <w:rPr>
          <w:spacing w:val="-24"/>
          <w:sz w:val="38"/>
        </w:rPr>
        <w:t> </w:t>
      </w:r>
      <w:r>
        <w:rPr>
          <w:sz w:val="38"/>
        </w:rPr>
        <w:t>should</w:t>
      </w:r>
      <w:r>
        <w:rPr>
          <w:spacing w:val="-25"/>
          <w:sz w:val="38"/>
        </w:rPr>
        <w:t> </w:t>
      </w:r>
      <w:r>
        <w:rPr>
          <w:sz w:val="38"/>
        </w:rPr>
        <w:t>not</w:t>
      </w:r>
      <w:r>
        <w:rPr>
          <w:spacing w:val="-24"/>
          <w:sz w:val="38"/>
        </w:rPr>
        <w:t> </w:t>
      </w:r>
      <w:r>
        <w:rPr>
          <w:sz w:val="38"/>
        </w:rPr>
        <w:t>be</w:t>
      </w:r>
      <w:r>
        <w:rPr>
          <w:spacing w:val="-23"/>
          <w:sz w:val="38"/>
        </w:rPr>
        <w:t> </w:t>
      </w:r>
      <w:r>
        <w:rPr>
          <w:sz w:val="38"/>
        </w:rPr>
        <w:t>dry</w:t>
      </w:r>
      <w:r>
        <w:rPr>
          <w:spacing w:val="-23"/>
          <w:sz w:val="38"/>
        </w:rPr>
        <w:t> </w:t>
      </w:r>
      <w:r>
        <w:rPr>
          <w:sz w:val="38"/>
        </w:rPr>
        <w:t>like</w:t>
      </w:r>
      <w:r>
        <w:rPr>
          <w:spacing w:val="-25"/>
          <w:sz w:val="38"/>
        </w:rPr>
        <w:t> </w:t>
      </w:r>
      <w:r>
        <w:rPr>
          <w:sz w:val="38"/>
        </w:rPr>
        <w:t>tobacco.</w:t>
      </w:r>
      <w:r>
        <w:rPr>
          <w:spacing w:val="-23"/>
          <w:sz w:val="38"/>
        </w:rPr>
        <w:t> </w:t>
      </w:r>
      <w:r>
        <w:rPr>
          <w:sz w:val="38"/>
        </w:rPr>
        <w:t>Hold</w:t>
      </w:r>
      <w:r>
        <w:rPr>
          <w:spacing w:val="-23"/>
          <w:sz w:val="38"/>
        </w:rPr>
        <w:t> </w:t>
      </w:r>
      <w:r>
        <w:rPr>
          <w:sz w:val="38"/>
        </w:rPr>
        <w:t>the</w:t>
      </w:r>
      <w:r>
        <w:rPr>
          <w:spacing w:val="-23"/>
          <w:sz w:val="38"/>
        </w:rPr>
        <w:t> </w:t>
      </w:r>
      <w:r>
        <w:rPr>
          <w:sz w:val="38"/>
        </w:rPr>
        <w:t>packaging</w:t>
      </w:r>
      <w:r>
        <w:rPr>
          <w:spacing w:val="-23"/>
          <w:sz w:val="38"/>
        </w:rPr>
        <w:t> </w:t>
      </w:r>
      <w:r>
        <w:rPr>
          <w:sz w:val="38"/>
        </w:rPr>
        <w:t>by</w:t>
      </w:r>
      <w:r>
        <w:rPr>
          <w:spacing w:val="-24"/>
          <w:sz w:val="38"/>
        </w:rPr>
        <w:t> </w:t>
      </w:r>
      <w:r>
        <w:rPr>
          <w:sz w:val="38"/>
        </w:rPr>
        <w:t>the</w:t>
      </w:r>
      <w:r>
        <w:rPr>
          <w:spacing w:val="-23"/>
          <w:sz w:val="38"/>
        </w:rPr>
        <w:t> </w:t>
      </w:r>
      <w:r>
        <w:rPr>
          <w:sz w:val="38"/>
        </w:rPr>
        <w:t>corner and knead it carefully: if it rustles too much, it is too dry and of lower quality.</w:t>
      </w:r>
    </w:p>
    <w:p>
      <w:pPr>
        <w:spacing w:after="0" w:line="276" w:lineRule="auto"/>
        <w:jc w:val="both"/>
        <w:rPr>
          <w:sz w:val="38"/>
        </w:rPr>
        <w:sectPr>
          <w:pgSz w:w="14270" w:h="16850"/>
          <w:pgMar w:header="0" w:footer="1891" w:top="1600" w:bottom="2080" w:left="800" w:right="1280"/>
        </w:sectPr>
      </w:pPr>
    </w:p>
    <w:p>
      <w:pPr>
        <w:pStyle w:val="Heading2"/>
        <w:spacing w:before="181"/>
        <w:ind w:left="573"/>
      </w:pPr>
      <w:r>
        <w:rPr/>
        <w:t>Storing green tea properly</w:t>
      </w:r>
    </w:p>
    <w:p>
      <w:pPr>
        <w:pStyle w:val="ListParagraph"/>
        <w:numPr>
          <w:ilvl w:val="0"/>
          <w:numId w:val="37"/>
        </w:numPr>
        <w:tabs>
          <w:tab w:pos="1197" w:val="left" w:leader="none"/>
          <w:tab w:pos="1198" w:val="left" w:leader="none"/>
        </w:tabs>
        <w:spacing w:line="240" w:lineRule="auto" w:before="186" w:after="0"/>
        <w:ind w:left="1197" w:right="0" w:hanging="360"/>
        <w:jc w:val="left"/>
        <w:rPr>
          <w:sz w:val="38"/>
        </w:rPr>
      </w:pPr>
      <w:r>
        <w:rPr>
          <w:sz w:val="38"/>
        </w:rPr>
        <w:t>Always keep your tea airtight, cool, dark and dry.</w:t>
      </w:r>
    </w:p>
    <w:p>
      <w:pPr>
        <w:pStyle w:val="ListParagraph"/>
        <w:numPr>
          <w:ilvl w:val="0"/>
          <w:numId w:val="37"/>
        </w:numPr>
        <w:tabs>
          <w:tab w:pos="1198" w:val="left" w:leader="none"/>
        </w:tabs>
        <w:spacing w:line="273" w:lineRule="auto" w:before="304" w:after="0"/>
        <w:ind w:left="1197" w:right="136" w:hanging="360"/>
        <w:jc w:val="both"/>
        <w:rPr>
          <w:sz w:val="38"/>
        </w:rPr>
      </w:pPr>
      <w:r>
        <w:rPr>
          <w:sz w:val="38"/>
        </w:rPr>
        <w:t>You can store your tea in a special tea caddy, ideally not made of metal,</w:t>
      </w:r>
      <w:r>
        <w:rPr>
          <w:spacing w:val="-39"/>
          <w:sz w:val="38"/>
        </w:rPr>
        <w:t> </w:t>
      </w:r>
      <w:r>
        <w:rPr>
          <w:sz w:val="38"/>
        </w:rPr>
        <w:t>as it may react chemically with the tea, alter the aroma and reduce the nutri- ents.</w:t>
      </w:r>
    </w:p>
    <w:p>
      <w:pPr>
        <w:pStyle w:val="ListParagraph"/>
        <w:numPr>
          <w:ilvl w:val="0"/>
          <w:numId w:val="37"/>
        </w:numPr>
        <w:tabs>
          <w:tab w:pos="1198" w:val="left" w:leader="none"/>
        </w:tabs>
        <w:spacing w:line="273" w:lineRule="auto" w:before="252" w:after="0"/>
        <w:ind w:left="1197" w:right="137" w:hanging="360"/>
        <w:jc w:val="both"/>
        <w:rPr>
          <w:sz w:val="38"/>
        </w:rPr>
      </w:pPr>
      <w:r>
        <w:rPr>
          <w:sz w:val="38"/>
        </w:rPr>
        <w:t>It is better to buy smaller amounts instead of storing large amounts for years, because the storage time has a detrimental effect on the vital sub- stances and the</w:t>
      </w:r>
      <w:r>
        <w:rPr>
          <w:spacing w:val="2"/>
          <w:sz w:val="38"/>
        </w:rPr>
        <w:t> </w:t>
      </w:r>
      <w:r>
        <w:rPr>
          <w:sz w:val="38"/>
        </w:rPr>
        <w:t>aroma.</w:t>
      </w:r>
    </w:p>
    <w:p>
      <w:pPr>
        <w:pStyle w:val="BodyText"/>
        <w:rPr>
          <w:sz w:val="42"/>
        </w:rPr>
      </w:pPr>
    </w:p>
    <w:p>
      <w:pPr>
        <w:pStyle w:val="BodyText"/>
        <w:spacing w:before="9"/>
        <w:rPr>
          <w:sz w:val="43"/>
        </w:rPr>
      </w:pPr>
    </w:p>
    <w:p>
      <w:pPr>
        <w:pStyle w:val="Heading1"/>
        <w:spacing w:before="0"/>
      </w:pPr>
      <w:r>
        <w:rPr/>
        <w:t>Green</w:t>
      </w:r>
      <w:r>
        <w:rPr>
          <w:spacing w:val="-60"/>
        </w:rPr>
        <w:t> </w:t>
      </w:r>
      <w:r>
        <w:rPr/>
        <w:t>tea:</w:t>
      </w:r>
      <w:r>
        <w:rPr>
          <w:spacing w:val="-60"/>
        </w:rPr>
        <w:t> </w:t>
      </w:r>
      <w:r>
        <w:rPr/>
        <w:t>extract,</w:t>
      </w:r>
      <w:r>
        <w:rPr>
          <w:spacing w:val="-60"/>
        </w:rPr>
        <w:t> </w:t>
      </w:r>
      <w:r>
        <w:rPr/>
        <w:t>capsules,</w:t>
      </w:r>
      <w:r>
        <w:rPr>
          <w:spacing w:val="-59"/>
        </w:rPr>
        <w:t> </w:t>
      </w:r>
      <w:r>
        <w:rPr/>
        <w:t>powder</w:t>
      </w:r>
      <w:r>
        <w:rPr>
          <w:spacing w:val="-60"/>
        </w:rPr>
        <w:t> </w:t>
      </w:r>
      <w:r>
        <w:rPr/>
        <w:t>or</w:t>
      </w:r>
      <w:r>
        <w:rPr>
          <w:spacing w:val="-60"/>
        </w:rPr>
        <w:t> </w:t>
      </w:r>
      <w:r>
        <w:rPr/>
        <w:t>drops?</w:t>
      </w:r>
      <w:r>
        <w:rPr>
          <w:spacing w:val="-59"/>
        </w:rPr>
        <w:t> </w:t>
      </w:r>
      <w:r>
        <w:rPr/>
        <w:t>The</w:t>
      </w:r>
      <w:r>
        <w:rPr>
          <w:spacing w:val="-60"/>
        </w:rPr>
        <w:t> </w:t>
      </w:r>
      <w:r>
        <w:rPr/>
        <w:t>agony</w:t>
      </w:r>
      <w:r>
        <w:rPr>
          <w:spacing w:val="-59"/>
        </w:rPr>
        <w:t> </w:t>
      </w:r>
      <w:r>
        <w:rPr/>
        <w:t>of</w:t>
      </w:r>
      <w:r>
        <w:rPr>
          <w:spacing w:val="-59"/>
        </w:rPr>
        <w:t> </w:t>
      </w:r>
      <w:r>
        <w:rPr/>
        <w:t>choice.</w:t>
      </w:r>
    </w:p>
    <w:p>
      <w:pPr>
        <w:pStyle w:val="BodyText"/>
        <w:spacing w:line="276" w:lineRule="auto" w:before="299"/>
        <w:ind w:left="477" w:right="130"/>
        <w:jc w:val="both"/>
      </w:pPr>
      <w:r>
        <w:rPr/>
        <w:t>As</w:t>
      </w:r>
      <w:r>
        <w:rPr>
          <w:spacing w:val="-14"/>
        </w:rPr>
        <w:t> </w:t>
      </w:r>
      <w:r>
        <w:rPr/>
        <w:t>if</w:t>
      </w:r>
      <w:r>
        <w:rPr>
          <w:spacing w:val="-14"/>
        </w:rPr>
        <w:t> </w:t>
      </w:r>
      <w:r>
        <w:rPr/>
        <w:t>the</w:t>
      </w:r>
      <w:r>
        <w:rPr>
          <w:spacing w:val="-12"/>
        </w:rPr>
        <w:t> </w:t>
      </w:r>
      <w:r>
        <w:rPr/>
        <w:t>different</w:t>
      </w:r>
      <w:r>
        <w:rPr>
          <w:spacing w:val="-13"/>
        </w:rPr>
        <w:t> </w:t>
      </w:r>
      <w:r>
        <w:rPr/>
        <w:t>types</w:t>
      </w:r>
      <w:r>
        <w:rPr>
          <w:spacing w:val="-12"/>
        </w:rPr>
        <w:t> </w:t>
      </w:r>
      <w:r>
        <w:rPr/>
        <w:t>of</w:t>
      </w:r>
      <w:r>
        <w:rPr>
          <w:spacing w:val="-13"/>
        </w:rPr>
        <w:t> </w:t>
      </w:r>
      <w:r>
        <w:rPr/>
        <w:t>green</w:t>
      </w:r>
      <w:r>
        <w:rPr>
          <w:spacing w:val="-14"/>
        </w:rPr>
        <w:t> </w:t>
      </w:r>
      <w:r>
        <w:rPr/>
        <w:t>tea</w:t>
      </w:r>
      <w:r>
        <w:rPr>
          <w:spacing w:val="-14"/>
        </w:rPr>
        <w:t> </w:t>
      </w:r>
      <w:r>
        <w:rPr/>
        <w:t>on</w:t>
      </w:r>
      <w:r>
        <w:rPr>
          <w:spacing w:val="-12"/>
        </w:rPr>
        <w:t> </w:t>
      </w:r>
      <w:r>
        <w:rPr/>
        <w:t>offer</w:t>
      </w:r>
      <w:r>
        <w:rPr>
          <w:spacing w:val="-12"/>
        </w:rPr>
        <w:t> </w:t>
      </w:r>
      <w:r>
        <w:rPr/>
        <w:t>were</w:t>
      </w:r>
      <w:r>
        <w:rPr>
          <w:spacing w:val="-14"/>
        </w:rPr>
        <w:t> </w:t>
      </w:r>
      <w:r>
        <w:rPr/>
        <w:t>not</w:t>
      </w:r>
      <w:r>
        <w:rPr>
          <w:spacing w:val="-13"/>
        </w:rPr>
        <w:t> </w:t>
      </w:r>
      <w:r>
        <w:rPr/>
        <w:t>enough,</w:t>
      </w:r>
      <w:r>
        <w:rPr>
          <w:spacing w:val="-15"/>
        </w:rPr>
        <w:t> </w:t>
      </w:r>
      <w:r>
        <w:rPr/>
        <w:t>green</w:t>
      </w:r>
      <w:r>
        <w:rPr>
          <w:spacing w:val="-13"/>
        </w:rPr>
        <w:t> </w:t>
      </w:r>
      <w:r>
        <w:rPr/>
        <w:t>tea</w:t>
      </w:r>
      <w:r>
        <w:rPr>
          <w:spacing w:val="-14"/>
        </w:rPr>
        <w:t> </w:t>
      </w:r>
      <w:r>
        <w:rPr/>
        <w:t>is</w:t>
      </w:r>
      <w:r>
        <w:rPr>
          <w:spacing w:val="-13"/>
        </w:rPr>
        <w:t> </w:t>
      </w:r>
      <w:r>
        <w:rPr/>
        <w:t>now available</w:t>
      </w:r>
      <w:r>
        <w:rPr>
          <w:spacing w:val="-11"/>
        </w:rPr>
        <w:t> </w:t>
      </w:r>
      <w:r>
        <w:rPr/>
        <w:t>in</w:t>
      </w:r>
      <w:r>
        <w:rPr>
          <w:spacing w:val="-9"/>
        </w:rPr>
        <w:t> </w:t>
      </w:r>
      <w:r>
        <w:rPr/>
        <w:t>different</w:t>
      </w:r>
      <w:r>
        <w:rPr>
          <w:spacing w:val="-11"/>
        </w:rPr>
        <w:t> </w:t>
      </w:r>
      <w:r>
        <w:rPr/>
        <w:t>versions:</w:t>
      </w:r>
      <w:r>
        <w:rPr>
          <w:spacing w:val="-11"/>
        </w:rPr>
        <w:t> </w:t>
      </w:r>
      <w:r>
        <w:rPr/>
        <w:t>from</w:t>
      </w:r>
      <w:r>
        <w:rPr>
          <w:spacing w:val="-6"/>
        </w:rPr>
        <w:t> </w:t>
      </w:r>
      <w:r>
        <w:rPr/>
        <w:t>green</w:t>
      </w:r>
      <w:r>
        <w:rPr>
          <w:spacing w:val="-10"/>
        </w:rPr>
        <w:t> </w:t>
      </w:r>
      <w:r>
        <w:rPr/>
        <w:t>tea</w:t>
      </w:r>
      <w:r>
        <w:rPr>
          <w:spacing w:val="-11"/>
        </w:rPr>
        <w:t> </w:t>
      </w:r>
      <w:r>
        <w:rPr/>
        <w:t>extract</w:t>
      </w:r>
      <w:r>
        <w:rPr>
          <w:spacing w:val="-9"/>
        </w:rPr>
        <w:t> </w:t>
      </w:r>
      <w:r>
        <w:rPr/>
        <w:t>in</w:t>
      </w:r>
      <w:r>
        <w:rPr>
          <w:spacing w:val="-10"/>
        </w:rPr>
        <w:t> </w:t>
      </w:r>
      <w:r>
        <w:rPr/>
        <w:t>capsules</w:t>
      </w:r>
      <w:r>
        <w:rPr>
          <w:spacing w:val="-8"/>
        </w:rPr>
        <w:t> </w:t>
      </w:r>
      <w:r>
        <w:rPr/>
        <w:t>to</w:t>
      </w:r>
      <w:r>
        <w:rPr>
          <w:spacing w:val="-10"/>
        </w:rPr>
        <w:t> </w:t>
      </w:r>
      <w:r>
        <w:rPr/>
        <w:t>powder</w:t>
      </w:r>
      <w:r>
        <w:rPr>
          <w:spacing w:val="-9"/>
        </w:rPr>
        <w:t> </w:t>
      </w:r>
      <w:r>
        <w:rPr/>
        <w:t>and even to drops. What should one make of it? What is the right one for</w:t>
      </w:r>
      <w:r>
        <w:rPr>
          <w:spacing w:val="-18"/>
        </w:rPr>
        <w:t> </w:t>
      </w:r>
      <w:r>
        <w:rPr/>
        <w:t>me?</w:t>
      </w:r>
    </w:p>
    <w:p>
      <w:pPr>
        <w:pStyle w:val="BodyText"/>
        <w:spacing w:line="276" w:lineRule="auto" w:before="240"/>
        <w:ind w:left="477" w:right="135"/>
        <w:jc w:val="both"/>
      </w:pPr>
      <w:r>
        <w:rPr/>
        <w:t>The different alternatives to the classic green tea make sense, considering that not everyone likes the typical aroma of green tea, which can taste a bit bitter.</w:t>
      </w:r>
    </w:p>
    <w:p>
      <w:pPr>
        <w:pStyle w:val="BodyText"/>
        <w:spacing w:line="276" w:lineRule="auto" w:before="240"/>
        <w:ind w:left="477" w:right="132"/>
        <w:jc w:val="both"/>
      </w:pPr>
      <w:r>
        <w:rPr/>
        <w:t>Furthermore, good green tea extracts in the form of capsules, powders and drops can be quite helpful, since the active ingredients they contain are present in concentrated form and can defy a disease or illness in certain cases more effectively than one study or another suggests.</w:t>
      </w:r>
    </w:p>
    <w:p>
      <w:pPr>
        <w:spacing w:after="0" w:line="276" w:lineRule="auto"/>
        <w:jc w:val="both"/>
        <w:sectPr>
          <w:pgSz w:w="14270" w:h="16850"/>
          <w:pgMar w:header="0" w:footer="1891" w:top="1600" w:bottom="2080" w:left="800" w:right="1280"/>
        </w:sectPr>
      </w:pPr>
    </w:p>
    <w:p>
      <w:pPr>
        <w:spacing w:line="276" w:lineRule="auto" w:before="181"/>
        <w:ind w:left="477" w:right="130" w:firstLine="0"/>
        <w:jc w:val="both"/>
        <w:rPr>
          <w:sz w:val="25"/>
        </w:rPr>
      </w:pPr>
      <w:r>
        <w:rPr>
          <w:sz w:val="38"/>
        </w:rPr>
        <w:t>For example, just a few years ago, the </w:t>
      </w:r>
      <w:r>
        <w:rPr>
          <w:i/>
          <w:sz w:val="38"/>
        </w:rPr>
        <w:t>American Journal of Clinical Nutrition </w:t>
      </w:r>
      <w:r>
        <w:rPr>
          <w:sz w:val="38"/>
        </w:rPr>
        <w:t>docu- mented</w:t>
      </w:r>
      <w:r>
        <w:rPr>
          <w:spacing w:val="-19"/>
          <w:sz w:val="38"/>
        </w:rPr>
        <w:t> </w:t>
      </w:r>
      <w:r>
        <w:rPr>
          <w:sz w:val="38"/>
        </w:rPr>
        <w:t>a</w:t>
      </w:r>
      <w:r>
        <w:rPr>
          <w:spacing w:val="-20"/>
          <w:sz w:val="38"/>
        </w:rPr>
        <w:t> </w:t>
      </w:r>
      <w:r>
        <w:rPr>
          <w:sz w:val="38"/>
        </w:rPr>
        <w:t>study</w:t>
      </w:r>
      <w:r>
        <w:rPr>
          <w:spacing w:val="-18"/>
          <w:sz w:val="38"/>
        </w:rPr>
        <w:t> </w:t>
      </w:r>
      <w:r>
        <w:rPr>
          <w:sz w:val="38"/>
        </w:rPr>
        <w:t>claiming</w:t>
      </w:r>
      <w:r>
        <w:rPr>
          <w:spacing w:val="-18"/>
          <w:sz w:val="38"/>
        </w:rPr>
        <w:t> </w:t>
      </w:r>
      <w:r>
        <w:rPr>
          <w:sz w:val="38"/>
        </w:rPr>
        <w:t>that</w:t>
      </w:r>
      <w:r>
        <w:rPr>
          <w:spacing w:val="-19"/>
          <w:sz w:val="38"/>
        </w:rPr>
        <w:t> </w:t>
      </w:r>
      <w:r>
        <w:rPr>
          <w:sz w:val="38"/>
        </w:rPr>
        <w:t>green</w:t>
      </w:r>
      <w:r>
        <w:rPr>
          <w:spacing w:val="-17"/>
          <w:sz w:val="38"/>
        </w:rPr>
        <w:t> </w:t>
      </w:r>
      <w:r>
        <w:rPr>
          <w:sz w:val="38"/>
        </w:rPr>
        <w:t>tea</w:t>
      </w:r>
      <w:r>
        <w:rPr>
          <w:spacing w:val="-19"/>
          <w:sz w:val="38"/>
        </w:rPr>
        <w:t> </w:t>
      </w:r>
      <w:r>
        <w:rPr>
          <w:sz w:val="38"/>
        </w:rPr>
        <w:t>in</w:t>
      </w:r>
      <w:r>
        <w:rPr>
          <w:spacing w:val="-20"/>
          <w:sz w:val="38"/>
        </w:rPr>
        <w:t> </w:t>
      </w:r>
      <w:r>
        <w:rPr>
          <w:sz w:val="38"/>
        </w:rPr>
        <w:t>pill</w:t>
      </w:r>
      <w:r>
        <w:rPr>
          <w:spacing w:val="-20"/>
          <w:sz w:val="38"/>
        </w:rPr>
        <w:t> </w:t>
      </w:r>
      <w:r>
        <w:rPr>
          <w:sz w:val="38"/>
        </w:rPr>
        <w:t>form</w:t>
      </w:r>
      <w:r>
        <w:rPr>
          <w:spacing w:val="-21"/>
          <w:sz w:val="38"/>
        </w:rPr>
        <w:t> </w:t>
      </w:r>
      <w:r>
        <w:rPr>
          <w:sz w:val="38"/>
        </w:rPr>
        <w:t>has</w:t>
      </w:r>
      <w:r>
        <w:rPr>
          <w:spacing w:val="-20"/>
          <w:sz w:val="38"/>
        </w:rPr>
        <w:t> </w:t>
      </w:r>
      <w:r>
        <w:rPr>
          <w:sz w:val="38"/>
        </w:rPr>
        <w:t>better</w:t>
      </w:r>
      <w:r>
        <w:rPr>
          <w:spacing w:val="-21"/>
          <w:sz w:val="38"/>
        </w:rPr>
        <w:t> </w:t>
      </w:r>
      <w:r>
        <w:rPr>
          <w:sz w:val="38"/>
        </w:rPr>
        <w:t>bioavailability</w:t>
      </w:r>
      <w:r>
        <w:rPr>
          <w:spacing w:val="-19"/>
          <w:sz w:val="38"/>
        </w:rPr>
        <w:t> </w:t>
      </w:r>
      <w:r>
        <w:rPr>
          <w:sz w:val="38"/>
        </w:rPr>
        <w:t>than it does as a</w:t>
      </w:r>
      <w:r>
        <w:rPr>
          <w:spacing w:val="-1"/>
          <w:sz w:val="38"/>
        </w:rPr>
        <w:t> </w:t>
      </w:r>
      <w:r>
        <w:rPr>
          <w:sz w:val="38"/>
        </w:rPr>
        <w:t>beverage.</w:t>
      </w:r>
      <w:r>
        <w:rPr>
          <w:position w:val="9"/>
          <w:sz w:val="25"/>
        </w:rPr>
        <w:t>404</w:t>
      </w:r>
    </w:p>
    <w:p>
      <w:pPr>
        <w:pStyle w:val="BodyText"/>
        <w:spacing w:line="276" w:lineRule="auto" w:before="242"/>
        <w:ind w:left="477" w:right="134"/>
        <w:jc w:val="both"/>
      </w:pPr>
      <w:r>
        <w:rPr/>
        <w:t>Furthermore,</w:t>
      </w:r>
      <w:r>
        <w:rPr>
          <w:spacing w:val="-11"/>
        </w:rPr>
        <w:t> </w:t>
      </w:r>
      <w:r>
        <w:rPr/>
        <w:t>an</w:t>
      </w:r>
      <w:r>
        <w:rPr>
          <w:spacing w:val="-14"/>
        </w:rPr>
        <w:t> </w:t>
      </w:r>
      <w:r>
        <w:rPr/>
        <w:t>unnaturally</w:t>
      </w:r>
      <w:r>
        <w:rPr>
          <w:spacing w:val="-13"/>
        </w:rPr>
        <w:t> </w:t>
      </w:r>
      <w:r>
        <w:rPr/>
        <w:t>high</w:t>
      </w:r>
      <w:r>
        <w:rPr>
          <w:spacing w:val="-8"/>
        </w:rPr>
        <w:t> </w:t>
      </w:r>
      <w:r>
        <w:rPr/>
        <w:t>consumption</w:t>
      </w:r>
      <w:r>
        <w:rPr>
          <w:spacing w:val="-11"/>
        </w:rPr>
        <w:t> </w:t>
      </w:r>
      <w:r>
        <w:rPr/>
        <w:t>of</w:t>
      </w:r>
      <w:r>
        <w:rPr>
          <w:spacing w:val="-14"/>
        </w:rPr>
        <w:t> </w:t>
      </w:r>
      <w:r>
        <w:rPr/>
        <w:t>several</w:t>
      </w:r>
      <w:r>
        <w:rPr>
          <w:spacing w:val="-12"/>
        </w:rPr>
        <w:t> </w:t>
      </w:r>
      <w:r>
        <w:rPr/>
        <w:t>litres</w:t>
      </w:r>
      <w:r>
        <w:rPr>
          <w:spacing w:val="-11"/>
        </w:rPr>
        <w:t> </w:t>
      </w:r>
      <w:r>
        <w:rPr/>
        <w:t>of</w:t>
      </w:r>
      <w:r>
        <w:rPr>
          <w:spacing w:val="-14"/>
        </w:rPr>
        <w:t> </w:t>
      </w:r>
      <w:r>
        <w:rPr/>
        <w:t>green</w:t>
      </w:r>
      <w:r>
        <w:rPr>
          <w:spacing w:val="-11"/>
        </w:rPr>
        <w:t> </w:t>
      </w:r>
      <w:r>
        <w:rPr/>
        <w:t>tea</w:t>
      </w:r>
      <w:r>
        <w:rPr>
          <w:spacing w:val="-12"/>
        </w:rPr>
        <w:t> </w:t>
      </w:r>
      <w:r>
        <w:rPr/>
        <w:t>can lead to digestive problems. Green tea concentrates are quite a good alternative for obtaining a large amount of a particular active</w:t>
      </w:r>
      <w:r>
        <w:rPr>
          <w:spacing w:val="-4"/>
        </w:rPr>
        <w:t> </w:t>
      </w:r>
      <w:r>
        <w:rPr/>
        <w:t>ingredient.</w:t>
      </w:r>
    </w:p>
    <w:p>
      <w:pPr>
        <w:pStyle w:val="BodyText"/>
        <w:spacing w:line="276" w:lineRule="auto" w:before="239"/>
        <w:ind w:left="477" w:right="133"/>
        <w:jc w:val="both"/>
      </w:pPr>
      <w:r>
        <w:rPr/>
        <w:t>Anyone who has no objection to the taste of green tea and would like to take the time to enjoy it should definitely drink the natural green tea in its original form for prevention purposes.</w:t>
      </w:r>
    </w:p>
    <w:p>
      <w:pPr>
        <w:pStyle w:val="Heading2"/>
        <w:spacing w:before="241"/>
        <w:jc w:val="both"/>
      </w:pPr>
      <w:r>
        <w:rPr/>
        <w:t>Green tea: its preparation</w:t>
      </w:r>
    </w:p>
    <w:p>
      <w:pPr>
        <w:spacing w:before="287"/>
        <w:ind w:left="477" w:right="0" w:firstLine="0"/>
        <w:jc w:val="both"/>
        <w:rPr>
          <w:b/>
          <w:i/>
          <w:sz w:val="40"/>
        </w:rPr>
      </w:pPr>
      <w:r>
        <w:rPr>
          <w:b/>
          <w:i/>
          <w:sz w:val="40"/>
        </w:rPr>
        <w:t>The drinking water</w:t>
      </w:r>
    </w:p>
    <w:p>
      <w:pPr>
        <w:pStyle w:val="BodyText"/>
        <w:spacing w:line="276" w:lineRule="auto" w:before="297"/>
        <w:ind w:left="477" w:right="130"/>
        <w:jc w:val="both"/>
      </w:pPr>
      <w:r>
        <w:rPr/>
        <w:t>Again</w:t>
      </w:r>
      <w:r>
        <w:rPr>
          <w:spacing w:val="-19"/>
        </w:rPr>
        <w:t> </w:t>
      </w:r>
      <w:r>
        <w:rPr/>
        <w:t>and</w:t>
      </w:r>
      <w:r>
        <w:rPr>
          <w:spacing w:val="-19"/>
        </w:rPr>
        <w:t> </w:t>
      </w:r>
      <w:r>
        <w:rPr/>
        <w:t>again,</w:t>
      </w:r>
      <w:r>
        <w:rPr>
          <w:spacing w:val="-18"/>
        </w:rPr>
        <w:t> </w:t>
      </w:r>
      <w:r>
        <w:rPr/>
        <w:t>people</w:t>
      </w:r>
      <w:r>
        <w:rPr>
          <w:spacing w:val="-22"/>
        </w:rPr>
        <w:t> </w:t>
      </w:r>
      <w:r>
        <w:rPr/>
        <w:t>like</w:t>
      </w:r>
      <w:r>
        <w:rPr>
          <w:spacing w:val="-20"/>
        </w:rPr>
        <w:t> </w:t>
      </w:r>
      <w:r>
        <w:rPr/>
        <w:t>to</w:t>
      </w:r>
      <w:r>
        <w:rPr>
          <w:spacing w:val="-18"/>
        </w:rPr>
        <w:t> </w:t>
      </w:r>
      <w:r>
        <w:rPr/>
        <w:t>argue</w:t>
      </w:r>
      <w:r>
        <w:rPr>
          <w:spacing w:val="-19"/>
        </w:rPr>
        <w:t> </w:t>
      </w:r>
      <w:r>
        <w:rPr/>
        <w:t>that</w:t>
      </w:r>
      <w:r>
        <w:rPr>
          <w:spacing w:val="-19"/>
        </w:rPr>
        <w:t> </w:t>
      </w:r>
      <w:r>
        <w:rPr/>
        <w:t>you</w:t>
      </w:r>
      <w:r>
        <w:rPr>
          <w:spacing w:val="-19"/>
        </w:rPr>
        <w:t> </w:t>
      </w:r>
      <w:r>
        <w:rPr/>
        <w:t>do</w:t>
      </w:r>
      <w:r>
        <w:rPr>
          <w:spacing w:val="-21"/>
        </w:rPr>
        <w:t> </w:t>
      </w:r>
      <w:r>
        <w:rPr/>
        <w:t>not</w:t>
      </w:r>
      <w:r>
        <w:rPr>
          <w:spacing w:val="-19"/>
        </w:rPr>
        <w:t> </w:t>
      </w:r>
      <w:r>
        <w:rPr/>
        <w:t>need</w:t>
      </w:r>
      <w:r>
        <w:rPr>
          <w:spacing w:val="-18"/>
        </w:rPr>
        <w:t> </w:t>
      </w:r>
      <w:r>
        <w:rPr/>
        <w:t>drinking</w:t>
      </w:r>
      <w:r>
        <w:rPr>
          <w:spacing w:val="-16"/>
        </w:rPr>
        <w:t> </w:t>
      </w:r>
      <w:r>
        <w:rPr/>
        <w:t>water</w:t>
      </w:r>
      <w:r>
        <w:rPr>
          <w:spacing w:val="-18"/>
        </w:rPr>
        <w:t> </w:t>
      </w:r>
      <w:r>
        <w:rPr/>
        <w:t>filters, as</w:t>
      </w:r>
      <w:r>
        <w:rPr>
          <w:spacing w:val="-12"/>
        </w:rPr>
        <w:t> </w:t>
      </w:r>
      <w:r>
        <w:rPr/>
        <w:t>drinking</w:t>
      </w:r>
      <w:r>
        <w:rPr>
          <w:spacing w:val="-11"/>
        </w:rPr>
        <w:t> </w:t>
      </w:r>
      <w:r>
        <w:rPr/>
        <w:t>water</w:t>
      </w:r>
      <w:r>
        <w:rPr>
          <w:spacing w:val="-10"/>
        </w:rPr>
        <w:t> </w:t>
      </w:r>
      <w:r>
        <w:rPr/>
        <w:t>in</w:t>
      </w:r>
      <w:r>
        <w:rPr>
          <w:spacing w:val="-13"/>
        </w:rPr>
        <w:t> </w:t>
      </w:r>
      <w:r>
        <w:rPr/>
        <w:t>industrialized</w:t>
      </w:r>
      <w:r>
        <w:rPr>
          <w:spacing w:val="-10"/>
        </w:rPr>
        <w:t> </w:t>
      </w:r>
      <w:r>
        <w:rPr/>
        <w:t>nations</w:t>
      </w:r>
      <w:r>
        <w:rPr>
          <w:spacing w:val="-10"/>
        </w:rPr>
        <w:t> </w:t>
      </w:r>
      <w:r>
        <w:rPr/>
        <w:t>is</w:t>
      </w:r>
      <w:r>
        <w:rPr>
          <w:spacing w:val="-14"/>
        </w:rPr>
        <w:t> </w:t>
      </w:r>
      <w:r>
        <w:rPr/>
        <w:t>subject</w:t>
      </w:r>
      <w:r>
        <w:rPr>
          <w:spacing w:val="-10"/>
        </w:rPr>
        <w:t> </w:t>
      </w:r>
      <w:r>
        <w:rPr/>
        <w:t>to</w:t>
      </w:r>
      <w:r>
        <w:rPr>
          <w:spacing w:val="-11"/>
        </w:rPr>
        <w:t> </w:t>
      </w:r>
      <w:r>
        <w:rPr/>
        <w:t>the</w:t>
      </w:r>
      <w:r>
        <w:rPr>
          <w:spacing w:val="-12"/>
        </w:rPr>
        <w:t> </w:t>
      </w:r>
      <w:r>
        <w:rPr/>
        <w:t>strictest</w:t>
      </w:r>
      <w:r>
        <w:rPr>
          <w:spacing w:val="-12"/>
        </w:rPr>
        <w:t> </w:t>
      </w:r>
      <w:r>
        <w:rPr/>
        <w:t>controls</w:t>
      </w:r>
      <w:r>
        <w:rPr>
          <w:spacing w:val="-13"/>
        </w:rPr>
        <w:t> </w:t>
      </w:r>
      <w:r>
        <w:rPr/>
        <w:t>and is harmless to health. The ‘small’ catch in this statement, however, is that the drinking water quality or purity is tested in the waterworks themselves, but not behind</w:t>
      </w:r>
      <w:r>
        <w:rPr>
          <w:spacing w:val="-19"/>
        </w:rPr>
        <w:t> </w:t>
      </w:r>
      <w:r>
        <w:rPr/>
        <w:t>the</w:t>
      </w:r>
      <w:r>
        <w:rPr>
          <w:spacing w:val="-17"/>
        </w:rPr>
        <w:t> </w:t>
      </w:r>
      <w:r>
        <w:rPr/>
        <w:t>taps.</w:t>
      </w:r>
      <w:r>
        <w:rPr>
          <w:spacing w:val="-21"/>
        </w:rPr>
        <w:t> </w:t>
      </w:r>
      <w:r>
        <w:rPr/>
        <w:t>However,</w:t>
      </w:r>
      <w:r>
        <w:rPr>
          <w:spacing w:val="-17"/>
        </w:rPr>
        <w:t> </w:t>
      </w:r>
      <w:r>
        <w:rPr/>
        <w:t>it</w:t>
      </w:r>
      <w:r>
        <w:rPr>
          <w:spacing w:val="-19"/>
        </w:rPr>
        <w:t> </w:t>
      </w:r>
      <w:r>
        <w:rPr/>
        <w:t>is</w:t>
      </w:r>
      <w:r>
        <w:rPr>
          <w:spacing w:val="-18"/>
        </w:rPr>
        <w:t> </w:t>
      </w:r>
      <w:r>
        <w:rPr/>
        <w:t>the</w:t>
      </w:r>
      <w:r>
        <w:rPr>
          <w:spacing w:val="-17"/>
        </w:rPr>
        <w:t> </w:t>
      </w:r>
      <w:r>
        <w:rPr/>
        <w:t>pipes</w:t>
      </w:r>
      <w:r>
        <w:rPr>
          <w:spacing w:val="-18"/>
        </w:rPr>
        <w:t> </w:t>
      </w:r>
      <w:r>
        <w:rPr/>
        <w:t>from</w:t>
      </w:r>
      <w:r>
        <w:rPr>
          <w:spacing w:val="-20"/>
        </w:rPr>
        <w:t> </w:t>
      </w:r>
      <w:r>
        <w:rPr/>
        <w:t>the</w:t>
      </w:r>
      <w:r>
        <w:rPr>
          <w:spacing w:val="-19"/>
        </w:rPr>
        <w:t> </w:t>
      </w:r>
      <w:r>
        <w:rPr/>
        <w:t>waterworks</w:t>
      </w:r>
      <w:r>
        <w:rPr>
          <w:spacing w:val="-18"/>
        </w:rPr>
        <w:t> </w:t>
      </w:r>
      <w:r>
        <w:rPr/>
        <w:t>to</w:t>
      </w:r>
      <w:r>
        <w:rPr>
          <w:spacing w:val="-17"/>
        </w:rPr>
        <w:t> </w:t>
      </w:r>
      <w:r>
        <w:rPr/>
        <w:t>your</w:t>
      </w:r>
      <w:r>
        <w:rPr>
          <w:spacing w:val="-18"/>
        </w:rPr>
        <w:t> </w:t>
      </w:r>
      <w:r>
        <w:rPr/>
        <w:t>tap</w:t>
      </w:r>
      <w:r>
        <w:rPr>
          <w:spacing w:val="-17"/>
        </w:rPr>
        <w:t> </w:t>
      </w:r>
      <w:r>
        <w:rPr/>
        <w:t>which can be quite questionable, because here, the age of the pipes plays just as</w:t>
      </w:r>
      <w:r>
        <w:rPr>
          <w:spacing w:val="-56"/>
        </w:rPr>
        <w:t> </w:t>
      </w:r>
      <w:r>
        <w:rPr/>
        <w:t>much a role as the material of which they are</w:t>
      </w:r>
      <w:r>
        <w:rPr>
          <w:spacing w:val="-3"/>
        </w:rPr>
        <w:t> </w:t>
      </w:r>
      <w:r>
        <w:rPr/>
        <w:t>made.</w:t>
      </w:r>
    </w:p>
    <w:p>
      <w:pPr>
        <w:pStyle w:val="BodyText"/>
        <w:spacing w:before="241"/>
        <w:ind w:left="477"/>
        <w:jc w:val="both"/>
      </w:pPr>
      <w:r>
        <w:rPr/>
        <w:t>Everyone will have noticed that a very unpleasant ‘sludge’ can flow out when</w:t>
      </w:r>
    </w:p>
    <w:p>
      <w:pPr>
        <w:pStyle w:val="BodyText"/>
        <w:rPr>
          <w:sz w:val="20"/>
        </w:rPr>
      </w:pPr>
    </w:p>
    <w:p>
      <w:pPr>
        <w:pStyle w:val="BodyText"/>
        <w:rPr>
          <w:sz w:val="20"/>
        </w:rPr>
      </w:pPr>
    </w:p>
    <w:p>
      <w:pPr>
        <w:pStyle w:val="BodyText"/>
        <w:spacing w:before="10"/>
        <w:rPr>
          <w:sz w:val="16"/>
        </w:rPr>
      </w:pPr>
      <w:r>
        <w:rPr/>
        <w:pict>
          <v:line style="position:absolute;mso-position-horizontal-relative:page;mso-position-vertical-relative:paragraph;z-index:4760;mso-wrap-distance-left:0;mso-wrap-distance-right:0" from="63.863998pt,11.889985pt" to="207.883998pt,11.889985pt" stroked="true" strokeweight=".72003pt" strokecolor="#000000">
            <v:stroke dashstyle="solid"/>
            <w10:wrap type="topAndBottom"/>
          </v:line>
        </w:pict>
      </w:r>
    </w:p>
    <w:p>
      <w:pPr>
        <w:pStyle w:val="BodyText"/>
        <w:spacing w:before="7"/>
        <w:rPr>
          <w:sz w:val="18"/>
        </w:rPr>
      </w:pPr>
    </w:p>
    <w:p>
      <w:pPr>
        <w:spacing w:line="276" w:lineRule="auto" w:before="99"/>
        <w:ind w:left="477" w:right="0" w:firstLine="0"/>
        <w:jc w:val="left"/>
        <w:rPr>
          <w:sz w:val="20"/>
        </w:rPr>
      </w:pPr>
      <w:r>
        <w:rPr>
          <w:position w:val="5"/>
          <w:sz w:val="13"/>
        </w:rPr>
        <w:t>404 </w:t>
      </w:r>
      <w:r>
        <w:rPr>
          <w:sz w:val="20"/>
        </w:rPr>
        <w:t>Henning, SM et al.: Bioavailability and antioxidant activity of tea flavanols after consumption of green tea, black tea, or a green tea extract supple- ment, Am J. Clin Nutr. 2004; 80, p. 1558–1564.</w:t>
      </w:r>
    </w:p>
    <w:p>
      <w:pPr>
        <w:spacing w:after="0" w:line="276" w:lineRule="auto"/>
        <w:jc w:val="left"/>
        <w:rPr>
          <w:sz w:val="20"/>
        </w:rPr>
        <w:sectPr>
          <w:pgSz w:w="14270" w:h="16850"/>
          <w:pgMar w:header="0" w:footer="1891" w:top="1600" w:bottom="2080" w:left="800" w:right="1280"/>
        </w:sectPr>
      </w:pPr>
    </w:p>
    <w:p>
      <w:pPr>
        <w:pStyle w:val="BodyText"/>
        <w:spacing w:line="276" w:lineRule="auto" w:before="181"/>
        <w:ind w:left="477" w:right="141"/>
        <w:jc w:val="both"/>
      </w:pPr>
      <w:r>
        <w:rPr/>
        <w:t>the tap is turned. This is due to contamination and copper components from the copper pipeline (in 60 % of all households). Here, a copper carbonate</w:t>
      </w:r>
      <w:r>
        <w:rPr>
          <w:spacing w:val="-54"/>
        </w:rPr>
        <w:t> </w:t>
      </w:r>
      <w:r>
        <w:rPr/>
        <w:t>layer forms over time.</w:t>
      </w:r>
    </w:p>
    <w:p>
      <w:pPr>
        <w:pStyle w:val="BodyText"/>
        <w:spacing w:line="276" w:lineRule="auto" w:before="242"/>
        <w:ind w:left="477" w:right="140"/>
        <w:jc w:val="both"/>
      </w:pPr>
      <w:r>
        <w:rPr/>
        <w:t>Galvanised iron pipes are even more harmful, because over time, the zinc dis- solves and releases toxic substances, such as the heavy metal cadmium, which can cause damage in the liver and kidneys. The same applies to lead tubes (10</w:t>
      </w:r>
    </w:p>
    <w:p>
      <w:pPr>
        <w:pStyle w:val="BodyText"/>
        <w:spacing w:line="427" w:lineRule="exact"/>
        <w:ind w:left="477"/>
      </w:pPr>
      <w:r>
        <w:rPr/>
        <w:t>% of all households), which gradually release the smallest constituents of lead.</w:t>
      </w:r>
    </w:p>
    <w:p>
      <w:pPr>
        <w:pStyle w:val="BodyText"/>
        <w:spacing w:line="276" w:lineRule="auto" w:before="304"/>
        <w:ind w:left="477" w:right="143"/>
        <w:jc w:val="both"/>
      </w:pPr>
      <w:r>
        <w:rPr/>
        <w:t>So it makes a lot of sense to use drinking water filters, even if the opposite is often claimed.</w:t>
      </w:r>
    </w:p>
    <w:p>
      <w:pPr>
        <w:pStyle w:val="BodyText"/>
        <w:spacing w:line="276" w:lineRule="auto" w:before="241"/>
        <w:ind w:left="477" w:right="132"/>
        <w:jc w:val="both"/>
      </w:pPr>
      <w:r>
        <w:rPr/>
        <w:t>Furthermore, drinking water filters, if they have so-called ion exchangers, con- tribute to softening the drinking water; depending on the residential area, this may well be appropriate, and does not just help to improve the taste of the tea.</w:t>
      </w:r>
    </w:p>
    <w:p>
      <w:pPr>
        <w:pStyle w:val="Heading1"/>
        <w:spacing w:before="222"/>
      </w:pPr>
      <w:r>
        <w:rPr/>
        <w:t>The kettle</w:t>
      </w:r>
    </w:p>
    <w:p>
      <w:pPr>
        <w:pStyle w:val="BodyText"/>
        <w:spacing w:line="276" w:lineRule="auto" w:before="179"/>
        <w:ind w:left="477" w:right="137"/>
        <w:jc w:val="both"/>
      </w:pPr>
      <w:r>
        <w:rPr/>
        <w:t>Traditionally, green tea is prepared in a copper kettle; however, ordinary steel boilers are far more practical and less prone to oxidation.</w:t>
      </w:r>
    </w:p>
    <w:p>
      <w:pPr>
        <w:pStyle w:val="Heading1"/>
        <w:spacing w:before="223"/>
      </w:pPr>
      <w:r>
        <w:rPr/>
        <w:t>Drinking the tea</w:t>
      </w:r>
    </w:p>
    <w:p>
      <w:pPr>
        <w:pStyle w:val="BodyText"/>
        <w:spacing w:line="276" w:lineRule="auto" w:before="300"/>
        <w:ind w:left="477" w:right="132"/>
        <w:jc w:val="both"/>
      </w:pPr>
      <w:r>
        <w:rPr/>
        <w:t>Not</w:t>
      </w:r>
      <w:r>
        <w:rPr>
          <w:spacing w:val="-14"/>
        </w:rPr>
        <w:t> </w:t>
      </w:r>
      <w:r>
        <w:rPr/>
        <w:t>everyone</w:t>
      </w:r>
      <w:r>
        <w:rPr>
          <w:spacing w:val="-15"/>
        </w:rPr>
        <w:t> </w:t>
      </w:r>
      <w:r>
        <w:rPr/>
        <w:t>likes</w:t>
      </w:r>
      <w:r>
        <w:rPr>
          <w:spacing w:val="-13"/>
        </w:rPr>
        <w:t> </w:t>
      </w:r>
      <w:r>
        <w:rPr/>
        <w:t>to</w:t>
      </w:r>
      <w:r>
        <w:rPr>
          <w:spacing w:val="-16"/>
        </w:rPr>
        <w:t> </w:t>
      </w:r>
      <w:r>
        <w:rPr/>
        <w:t>enjoy</w:t>
      </w:r>
      <w:r>
        <w:rPr>
          <w:spacing w:val="-15"/>
        </w:rPr>
        <w:t> </w:t>
      </w:r>
      <w:r>
        <w:rPr/>
        <w:t>the</w:t>
      </w:r>
      <w:r>
        <w:rPr>
          <w:spacing w:val="-15"/>
        </w:rPr>
        <w:t> </w:t>
      </w:r>
      <w:r>
        <w:rPr/>
        <w:t>tea</w:t>
      </w:r>
      <w:r>
        <w:rPr>
          <w:spacing w:val="-15"/>
        </w:rPr>
        <w:t> </w:t>
      </w:r>
      <w:r>
        <w:rPr/>
        <w:t>unsweetened</w:t>
      </w:r>
      <w:r>
        <w:rPr>
          <w:spacing w:val="-13"/>
        </w:rPr>
        <w:t> </w:t>
      </w:r>
      <w:r>
        <w:rPr/>
        <w:t>in</w:t>
      </w:r>
      <w:r>
        <w:rPr>
          <w:spacing w:val="-14"/>
        </w:rPr>
        <w:t> </w:t>
      </w:r>
      <w:r>
        <w:rPr/>
        <w:t>a</w:t>
      </w:r>
      <w:r>
        <w:rPr>
          <w:spacing w:val="-16"/>
        </w:rPr>
        <w:t> </w:t>
      </w:r>
      <w:r>
        <w:rPr/>
        <w:t>cup,</w:t>
      </w:r>
      <w:r>
        <w:rPr>
          <w:spacing w:val="-15"/>
        </w:rPr>
        <w:t> </w:t>
      </w:r>
      <w:r>
        <w:rPr/>
        <w:t>even</w:t>
      </w:r>
      <w:r>
        <w:rPr>
          <w:spacing w:val="-14"/>
        </w:rPr>
        <w:t> </w:t>
      </w:r>
      <w:r>
        <w:rPr/>
        <w:t>if</w:t>
      </w:r>
      <w:r>
        <w:rPr>
          <w:spacing w:val="-15"/>
        </w:rPr>
        <w:t> </w:t>
      </w:r>
      <w:r>
        <w:rPr/>
        <w:t>it</w:t>
      </w:r>
      <w:r>
        <w:rPr>
          <w:spacing w:val="-13"/>
        </w:rPr>
        <w:t> </w:t>
      </w:r>
      <w:r>
        <w:rPr/>
        <w:t>corresponds to</w:t>
      </w:r>
      <w:r>
        <w:rPr>
          <w:spacing w:val="-14"/>
        </w:rPr>
        <w:t> </w:t>
      </w:r>
      <w:r>
        <w:rPr/>
        <w:t>the</w:t>
      </w:r>
      <w:r>
        <w:rPr>
          <w:spacing w:val="-12"/>
        </w:rPr>
        <w:t> </w:t>
      </w:r>
      <w:r>
        <w:rPr/>
        <w:t>traditional</w:t>
      </w:r>
      <w:r>
        <w:rPr>
          <w:spacing w:val="-11"/>
        </w:rPr>
        <w:t> </w:t>
      </w:r>
      <w:r>
        <w:rPr/>
        <w:t>custom.</w:t>
      </w:r>
      <w:r>
        <w:rPr>
          <w:spacing w:val="-12"/>
        </w:rPr>
        <w:t> </w:t>
      </w:r>
      <w:r>
        <w:rPr/>
        <w:t>Tea</w:t>
      </w:r>
      <w:r>
        <w:rPr>
          <w:spacing w:val="-15"/>
        </w:rPr>
        <w:t> </w:t>
      </w:r>
      <w:r>
        <w:rPr/>
        <w:t>infusions</w:t>
      </w:r>
      <w:r>
        <w:rPr>
          <w:spacing w:val="-12"/>
        </w:rPr>
        <w:t> </w:t>
      </w:r>
      <w:r>
        <w:rPr/>
        <w:t>and</w:t>
      </w:r>
      <w:r>
        <w:rPr>
          <w:spacing w:val="-13"/>
        </w:rPr>
        <w:t> </w:t>
      </w:r>
      <w:r>
        <w:rPr/>
        <w:t>tea</w:t>
      </w:r>
      <w:r>
        <w:rPr>
          <w:spacing w:val="-14"/>
        </w:rPr>
        <w:t> </w:t>
      </w:r>
      <w:r>
        <w:rPr/>
        <w:t>nets</w:t>
      </w:r>
      <w:r>
        <w:rPr>
          <w:spacing w:val="-13"/>
        </w:rPr>
        <w:t> </w:t>
      </w:r>
      <w:r>
        <w:rPr/>
        <w:t>are</w:t>
      </w:r>
      <w:r>
        <w:rPr>
          <w:spacing w:val="-13"/>
        </w:rPr>
        <w:t> </w:t>
      </w:r>
      <w:r>
        <w:rPr/>
        <w:t>fine;</w:t>
      </w:r>
      <w:r>
        <w:rPr>
          <w:spacing w:val="-13"/>
        </w:rPr>
        <w:t> </w:t>
      </w:r>
      <w:r>
        <w:rPr/>
        <w:t>tea</w:t>
      </w:r>
      <w:r>
        <w:rPr>
          <w:spacing w:val="-14"/>
        </w:rPr>
        <w:t> </w:t>
      </w:r>
      <w:r>
        <w:rPr/>
        <w:t>balls</w:t>
      </w:r>
      <w:r>
        <w:rPr>
          <w:spacing w:val="-13"/>
        </w:rPr>
        <w:t> </w:t>
      </w:r>
      <w:r>
        <w:rPr/>
        <w:t>should</w:t>
      </w:r>
      <w:r>
        <w:rPr>
          <w:spacing w:val="-14"/>
        </w:rPr>
        <w:t> </w:t>
      </w:r>
      <w:r>
        <w:rPr/>
        <w:t>be avoided, as this prevents the necessary tea leaf release during</w:t>
      </w:r>
      <w:r>
        <w:rPr>
          <w:spacing w:val="-11"/>
        </w:rPr>
        <w:t> </w:t>
      </w:r>
      <w:r>
        <w:rPr/>
        <w:t>infusion.</w:t>
      </w:r>
    </w:p>
    <w:p>
      <w:pPr>
        <w:pStyle w:val="BodyText"/>
        <w:spacing w:before="239"/>
        <w:ind w:left="477"/>
        <w:jc w:val="both"/>
      </w:pPr>
      <w:r>
        <w:rPr/>
        <w:t>It is crucial to enjoy the tea from small cups, as, with larger cups, the higher air</w:t>
      </w:r>
    </w:p>
    <w:p>
      <w:pPr>
        <w:spacing w:after="0"/>
        <w:jc w:val="both"/>
        <w:sectPr>
          <w:pgSz w:w="14270" w:h="16850"/>
          <w:pgMar w:header="0" w:footer="1891" w:top="1600" w:bottom="2080" w:left="800" w:right="1280"/>
        </w:sectPr>
      </w:pPr>
    </w:p>
    <w:p>
      <w:pPr>
        <w:pStyle w:val="BodyText"/>
        <w:spacing w:line="276" w:lineRule="auto" w:before="181"/>
        <w:ind w:left="477" w:right="134"/>
        <w:jc w:val="both"/>
      </w:pPr>
      <w:r>
        <w:rPr/>
        <w:t>contact</w:t>
      </w:r>
      <w:r>
        <w:rPr>
          <w:spacing w:val="-18"/>
        </w:rPr>
        <w:t> </w:t>
      </w:r>
      <w:r>
        <w:rPr/>
        <w:t>can</w:t>
      </w:r>
      <w:r>
        <w:rPr>
          <w:spacing w:val="-19"/>
        </w:rPr>
        <w:t> </w:t>
      </w:r>
      <w:r>
        <w:rPr/>
        <w:t>negatively</w:t>
      </w:r>
      <w:r>
        <w:rPr>
          <w:spacing w:val="-19"/>
        </w:rPr>
        <w:t> </w:t>
      </w:r>
      <w:r>
        <w:rPr/>
        <w:t>affect</w:t>
      </w:r>
      <w:r>
        <w:rPr>
          <w:spacing w:val="-19"/>
        </w:rPr>
        <w:t> </w:t>
      </w:r>
      <w:r>
        <w:rPr/>
        <w:t>the</w:t>
      </w:r>
      <w:r>
        <w:rPr>
          <w:spacing w:val="-19"/>
        </w:rPr>
        <w:t> </w:t>
      </w:r>
      <w:r>
        <w:rPr/>
        <w:t>aroma</w:t>
      </w:r>
      <w:r>
        <w:rPr>
          <w:spacing w:val="-18"/>
        </w:rPr>
        <w:t> </w:t>
      </w:r>
      <w:r>
        <w:rPr/>
        <w:t>and</w:t>
      </w:r>
      <w:r>
        <w:rPr>
          <w:spacing w:val="-17"/>
        </w:rPr>
        <w:t> </w:t>
      </w:r>
      <w:r>
        <w:rPr/>
        <w:t>reduce</w:t>
      </w:r>
      <w:r>
        <w:rPr>
          <w:spacing w:val="-17"/>
        </w:rPr>
        <w:t> </w:t>
      </w:r>
      <w:r>
        <w:rPr/>
        <w:t>the</w:t>
      </w:r>
      <w:r>
        <w:rPr>
          <w:spacing w:val="-16"/>
        </w:rPr>
        <w:t> </w:t>
      </w:r>
      <w:r>
        <w:rPr/>
        <w:t>nutritional</w:t>
      </w:r>
      <w:r>
        <w:rPr>
          <w:spacing w:val="-19"/>
        </w:rPr>
        <w:t> </w:t>
      </w:r>
      <w:r>
        <w:rPr/>
        <w:t>value.</w:t>
      </w:r>
      <w:r>
        <w:rPr>
          <w:spacing w:val="-17"/>
        </w:rPr>
        <w:t> </w:t>
      </w:r>
      <w:r>
        <w:rPr/>
        <w:t>A</w:t>
      </w:r>
      <w:r>
        <w:rPr>
          <w:spacing w:val="-18"/>
        </w:rPr>
        <w:t> </w:t>
      </w:r>
      <w:r>
        <w:rPr/>
        <w:t>max- imum cup size of 150 ml is considered optimal.</w:t>
      </w:r>
    </w:p>
    <w:p>
      <w:pPr>
        <w:pStyle w:val="Heading1"/>
      </w:pPr>
      <w:r>
        <w:rPr/>
        <w:t>The pot</w:t>
      </w:r>
    </w:p>
    <w:p>
      <w:pPr>
        <w:pStyle w:val="BodyText"/>
        <w:spacing w:line="276" w:lineRule="auto" w:before="299"/>
        <w:ind w:left="477" w:right="139"/>
        <w:jc w:val="both"/>
      </w:pPr>
      <w:r>
        <w:rPr/>
        <w:t>While true green tea professionals insist on stoneware pots, porcelain pots are quite practical and easy to clean. The pot itself should not be too big, because green tea tastes best from a smaller pot (max. 500 ml).</w:t>
      </w:r>
    </w:p>
    <w:p>
      <w:pPr>
        <w:pStyle w:val="BodyText"/>
        <w:spacing w:line="276" w:lineRule="auto" w:before="239"/>
        <w:ind w:left="477" w:right="136"/>
        <w:jc w:val="both"/>
      </w:pPr>
      <w:r>
        <w:rPr/>
        <w:t>Traditionally, green tea is prepared in a copper kettle, ordinary steel kettles are far more practical and less prone to oxidation.</w:t>
      </w:r>
    </w:p>
    <w:p>
      <w:pPr>
        <w:pStyle w:val="Heading1"/>
      </w:pPr>
      <w:r>
        <w:rPr/>
        <w:t>The cup</w:t>
      </w:r>
    </w:p>
    <w:p>
      <w:pPr>
        <w:pStyle w:val="BodyText"/>
        <w:spacing w:line="276" w:lineRule="auto" w:before="299"/>
        <w:ind w:left="477" w:right="133"/>
        <w:jc w:val="both"/>
      </w:pPr>
      <w:r>
        <w:rPr/>
        <w:t>It is crucial to enjoy the tea from small cups, as, with larger cups, the higher air contact</w:t>
      </w:r>
      <w:r>
        <w:rPr>
          <w:spacing w:val="-18"/>
        </w:rPr>
        <w:t> </w:t>
      </w:r>
      <w:r>
        <w:rPr/>
        <w:t>can</w:t>
      </w:r>
      <w:r>
        <w:rPr>
          <w:spacing w:val="-19"/>
        </w:rPr>
        <w:t> </w:t>
      </w:r>
      <w:r>
        <w:rPr/>
        <w:t>negatively</w:t>
      </w:r>
      <w:r>
        <w:rPr>
          <w:spacing w:val="-19"/>
        </w:rPr>
        <w:t> </w:t>
      </w:r>
      <w:r>
        <w:rPr/>
        <w:t>affect</w:t>
      </w:r>
      <w:r>
        <w:rPr>
          <w:spacing w:val="-19"/>
        </w:rPr>
        <w:t> </w:t>
      </w:r>
      <w:r>
        <w:rPr/>
        <w:t>the</w:t>
      </w:r>
      <w:r>
        <w:rPr>
          <w:spacing w:val="-19"/>
        </w:rPr>
        <w:t> </w:t>
      </w:r>
      <w:r>
        <w:rPr/>
        <w:t>aroma</w:t>
      </w:r>
      <w:r>
        <w:rPr>
          <w:spacing w:val="-18"/>
        </w:rPr>
        <w:t> </w:t>
      </w:r>
      <w:r>
        <w:rPr/>
        <w:t>and</w:t>
      </w:r>
      <w:r>
        <w:rPr>
          <w:spacing w:val="-17"/>
        </w:rPr>
        <w:t> </w:t>
      </w:r>
      <w:r>
        <w:rPr/>
        <w:t>reduce</w:t>
      </w:r>
      <w:r>
        <w:rPr>
          <w:spacing w:val="-17"/>
        </w:rPr>
        <w:t> </w:t>
      </w:r>
      <w:r>
        <w:rPr/>
        <w:t>the</w:t>
      </w:r>
      <w:r>
        <w:rPr>
          <w:spacing w:val="-19"/>
        </w:rPr>
        <w:t> </w:t>
      </w:r>
      <w:r>
        <w:rPr/>
        <w:t>nutritional</w:t>
      </w:r>
      <w:r>
        <w:rPr>
          <w:spacing w:val="-19"/>
        </w:rPr>
        <w:t> </w:t>
      </w:r>
      <w:r>
        <w:rPr/>
        <w:t>value.</w:t>
      </w:r>
      <w:r>
        <w:rPr>
          <w:spacing w:val="-17"/>
        </w:rPr>
        <w:t> </w:t>
      </w:r>
      <w:r>
        <w:rPr/>
        <w:t>A</w:t>
      </w:r>
      <w:r>
        <w:rPr>
          <w:spacing w:val="-18"/>
        </w:rPr>
        <w:t> </w:t>
      </w:r>
      <w:r>
        <w:rPr/>
        <w:t>max- imum cup size of 150 ml is considered optimal.</w:t>
      </w:r>
    </w:p>
    <w:p>
      <w:pPr>
        <w:pStyle w:val="Heading2"/>
        <w:spacing w:before="239"/>
      </w:pPr>
      <w:r>
        <w:rPr/>
        <w:t>The preparation of the green tea</w:t>
      </w:r>
    </w:p>
    <w:p>
      <w:pPr>
        <w:pStyle w:val="BodyText"/>
        <w:spacing w:line="276" w:lineRule="auto" w:before="305"/>
        <w:ind w:left="477" w:right="137"/>
        <w:jc w:val="both"/>
      </w:pPr>
      <w:r>
        <w:rPr/>
        <w:t>Green tea can be prepared in the traditional way or in the more usual way for us. Traditionally, both the pot and the cup are first tempered by pouring warm water into them.</w:t>
      </w:r>
    </w:p>
    <w:p>
      <w:pPr>
        <w:pStyle w:val="BodyText"/>
        <w:spacing w:line="276" w:lineRule="auto" w:before="241"/>
        <w:ind w:left="477" w:right="130"/>
        <w:jc w:val="both"/>
      </w:pPr>
      <w:r>
        <w:rPr/>
        <w:t>Next,</w:t>
      </w:r>
      <w:r>
        <w:rPr>
          <w:spacing w:val="-20"/>
        </w:rPr>
        <w:t> </w:t>
      </w:r>
      <w:r>
        <w:rPr/>
        <w:t>boil</w:t>
      </w:r>
      <w:r>
        <w:rPr>
          <w:spacing w:val="-22"/>
        </w:rPr>
        <w:t> </w:t>
      </w:r>
      <w:r>
        <w:rPr/>
        <w:t>the</w:t>
      </w:r>
      <w:r>
        <w:rPr>
          <w:spacing w:val="-19"/>
        </w:rPr>
        <w:t> </w:t>
      </w:r>
      <w:r>
        <w:rPr/>
        <w:t>water</w:t>
      </w:r>
      <w:r>
        <w:rPr>
          <w:spacing w:val="-19"/>
        </w:rPr>
        <w:t> </w:t>
      </w:r>
      <w:r>
        <w:rPr/>
        <w:t>in</w:t>
      </w:r>
      <w:r>
        <w:rPr>
          <w:spacing w:val="-20"/>
        </w:rPr>
        <w:t> </w:t>
      </w:r>
      <w:r>
        <w:rPr/>
        <w:t>the</w:t>
      </w:r>
      <w:r>
        <w:rPr>
          <w:spacing w:val="-18"/>
        </w:rPr>
        <w:t> </w:t>
      </w:r>
      <w:r>
        <w:rPr/>
        <w:t>kettle</w:t>
      </w:r>
      <w:r>
        <w:rPr>
          <w:spacing w:val="-24"/>
        </w:rPr>
        <w:t> </w:t>
      </w:r>
      <w:r>
        <w:rPr/>
        <w:t>and</w:t>
      </w:r>
      <w:r>
        <w:rPr>
          <w:spacing w:val="-20"/>
        </w:rPr>
        <w:t> </w:t>
      </w:r>
      <w:r>
        <w:rPr/>
        <w:t>then</w:t>
      </w:r>
      <w:r>
        <w:rPr>
          <w:spacing w:val="-19"/>
        </w:rPr>
        <w:t> </w:t>
      </w:r>
      <w:r>
        <w:rPr/>
        <w:t>let</w:t>
      </w:r>
      <w:r>
        <w:rPr>
          <w:spacing w:val="-21"/>
        </w:rPr>
        <w:t> </w:t>
      </w:r>
      <w:r>
        <w:rPr/>
        <w:t>it</w:t>
      </w:r>
      <w:r>
        <w:rPr>
          <w:spacing w:val="-21"/>
        </w:rPr>
        <w:t> </w:t>
      </w:r>
      <w:r>
        <w:rPr/>
        <w:t>cool</w:t>
      </w:r>
      <w:r>
        <w:rPr>
          <w:spacing w:val="-20"/>
        </w:rPr>
        <w:t> </w:t>
      </w:r>
      <w:r>
        <w:rPr/>
        <w:t>for</w:t>
      </w:r>
      <w:r>
        <w:rPr>
          <w:spacing w:val="-19"/>
        </w:rPr>
        <w:t> </w:t>
      </w:r>
      <w:r>
        <w:rPr/>
        <w:t>5</w:t>
      </w:r>
      <w:r>
        <w:rPr>
          <w:spacing w:val="-21"/>
        </w:rPr>
        <w:t> </w:t>
      </w:r>
      <w:r>
        <w:rPr/>
        <w:t>minutes</w:t>
      </w:r>
      <w:r>
        <w:rPr>
          <w:spacing w:val="-22"/>
        </w:rPr>
        <w:t> </w:t>
      </w:r>
      <w:r>
        <w:rPr/>
        <w:t>before</w:t>
      </w:r>
      <w:r>
        <w:rPr>
          <w:spacing w:val="-20"/>
        </w:rPr>
        <w:t> </w:t>
      </w:r>
      <w:r>
        <w:rPr/>
        <w:t>tipping the water out of the pot and pouring in the hot water from the</w:t>
      </w:r>
      <w:r>
        <w:rPr>
          <w:spacing w:val="-11"/>
        </w:rPr>
        <w:t> </w:t>
      </w:r>
      <w:r>
        <w:rPr/>
        <w:t>kettle.</w:t>
      </w:r>
    </w:p>
    <w:p>
      <w:pPr>
        <w:pStyle w:val="BodyText"/>
        <w:spacing w:before="239"/>
        <w:ind w:left="477"/>
        <w:jc w:val="both"/>
      </w:pPr>
      <w:r>
        <w:rPr/>
        <w:t>Use</w:t>
      </w:r>
      <w:r>
        <w:rPr>
          <w:spacing w:val="-16"/>
        </w:rPr>
        <w:t> </w:t>
      </w:r>
      <w:r>
        <w:rPr/>
        <w:t>1</w:t>
      </w:r>
      <w:r>
        <w:rPr>
          <w:spacing w:val="-16"/>
        </w:rPr>
        <w:t> </w:t>
      </w:r>
      <w:r>
        <w:rPr/>
        <w:t>level</w:t>
      </w:r>
      <w:r>
        <w:rPr>
          <w:spacing w:val="-18"/>
        </w:rPr>
        <w:t> </w:t>
      </w:r>
      <w:r>
        <w:rPr/>
        <w:t>teaspoon</w:t>
      </w:r>
      <w:r>
        <w:rPr>
          <w:spacing w:val="-14"/>
        </w:rPr>
        <w:t> </w:t>
      </w:r>
      <w:r>
        <w:rPr/>
        <w:t>(2</w:t>
      </w:r>
      <w:r>
        <w:rPr>
          <w:spacing w:val="-19"/>
        </w:rPr>
        <w:t> </w:t>
      </w:r>
      <w:r>
        <w:rPr/>
        <w:t>g)</w:t>
      </w:r>
      <w:r>
        <w:rPr>
          <w:spacing w:val="-18"/>
        </w:rPr>
        <w:t> </w:t>
      </w:r>
      <w:r>
        <w:rPr/>
        <w:t>of</w:t>
      </w:r>
      <w:r>
        <w:rPr>
          <w:spacing w:val="-15"/>
        </w:rPr>
        <w:t> </w:t>
      </w:r>
      <w:r>
        <w:rPr/>
        <w:t>green</w:t>
      </w:r>
      <w:r>
        <w:rPr>
          <w:spacing w:val="-15"/>
        </w:rPr>
        <w:t> </w:t>
      </w:r>
      <w:r>
        <w:rPr/>
        <w:t>tea</w:t>
      </w:r>
      <w:r>
        <w:rPr>
          <w:spacing w:val="-18"/>
        </w:rPr>
        <w:t> </w:t>
      </w:r>
      <w:r>
        <w:rPr/>
        <w:t>per</w:t>
      </w:r>
      <w:r>
        <w:rPr>
          <w:spacing w:val="-18"/>
        </w:rPr>
        <w:t> </w:t>
      </w:r>
      <w:r>
        <w:rPr/>
        <w:t>cup,</w:t>
      </w:r>
      <w:r>
        <w:rPr>
          <w:spacing w:val="-15"/>
        </w:rPr>
        <w:t> </w:t>
      </w:r>
      <w:r>
        <w:rPr/>
        <w:t>add</w:t>
      </w:r>
      <w:r>
        <w:rPr>
          <w:spacing w:val="-16"/>
        </w:rPr>
        <w:t> </w:t>
      </w:r>
      <w:r>
        <w:rPr/>
        <w:t>an</w:t>
      </w:r>
      <w:r>
        <w:rPr>
          <w:spacing w:val="-15"/>
        </w:rPr>
        <w:t> </w:t>
      </w:r>
      <w:r>
        <w:rPr/>
        <w:t>extra</w:t>
      </w:r>
      <w:r>
        <w:rPr>
          <w:spacing w:val="-16"/>
        </w:rPr>
        <w:t> </w:t>
      </w:r>
      <w:r>
        <w:rPr/>
        <w:t>teaspoon</w:t>
      </w:r>
      <w:r>
        <w:rPr>
          <w:spacing w:val="-15"/>
        </w:rPr>
        <w:t> </w:t>
      </w:r>
      <w:r>
        <w:rPr/>
        <w:t>for</w:t>
      </w:r>
      <w:r>
        <w:rPr>
          <w:spacing w:val="-16"/>
        </w:rPr>
        <w:t> </w:t>
      </w:r>
      <w:r>
        <w:rPr/>
        <w:t>5</w:t>
      </w:r>
      <w:r>
        <w:rPr>
          <w:spacing w:val="-19"/>
        </w:rPr>
        <w:t> </w:t>
      </w:r>
      <w:r>
        <w:rPr/>
        <w:t>cups</w:t>
      </w:r>
    </w:p>
    <w:p>
      <w:pPr>
        <w:spacing w:after="0"/>
        <w:jc w:val="both"/>
        <w:sectPr>
          <w:pgSz w:w="14270" w:h="16850"/>
          <w:pgMar w:header="0" w:footer="1891" w:top="1600" w:bottom="2080" w:left="800" w:right="1280"/>
        </w:sectPr>
      </w:pPr>
    </w:p>
    <w:p>
      <w:pPr>
        <w:pStyle w:val="BodyText"/>
        <w:spacing w:before="181"/>
        <w:ind w:left="477"/>
        <w:jc w:val="both"/>
      </w:pPr>
      <w:r>
        <w:rPr/>
        <w:t>or more.</w:t>
      </w:r>
    </w:p>
    <w:p>
      <w:pPr>
        <w:pStyle w:val="Heading2"/>
        <w:spacing w:before="305"/>
        <w:jc w:val="both"/>
      </w:pPr>
      <w:r>
        <w:rPr/>
        <w:t>Infusion times</w:t>
      </w:r>
    </w:p>
    <w:p>
      <w:pPr>
        <w:pStyle w:val="BodyText"/>
        <w:spacing w:before="184"/>
        <w:ind w:left="477"/>
        <w:jc w:val="both"/>
      </w:pPr>
      <w:r>
        <w:rPr/>
        <w:t>&lt;3 mins = mild aroma, strong stimulating caffeine effect</w:t>
      </w:r>
    </w:p>
    <w:p>
      <w:pPr>
        <w:pStyle w:val="ListParagraph"/>
        <w:numPr>
          <w:ilvl w:val="1"/>
          <w:numId w:val="38"/>
        </w:numPr>
        <w:tabs>
          <w:tab w:pos="1046" w:val="left" w:leader="none"/>
        </w:tabs>
        <w:spacing w:line="240" w:lineRule="auto" w:before="185" w:after="0"/>
        <w:ind w:left="1045" w:right="0" w:hanging="568"/>
        <w:jc w:val="both"/>
        <w:rPr>
          <w:sz w:val="38"/>
        </w:rPr>
      </w:pPr>
      <w:r>
        <w:rPr>
          <w:sz w:val="38"/>
        </w:rPr>
        <w:t>mins = the usual practice, moderate caffeine effect, stronger flavour</w:t>
      </w:r>
    </w:p>
    <w:p>
      <w:pPr>
        <w:pStyle w:val="BodyText"/>
        <w:spacing w:before="184"/>
        <w:ind w:left="477"/>
        <w:jc w:val="both"/>
      </w:pPr>
      <w:r>
        <w:rPr/>
        <w:t>&gt; 5 mins = gently stimulating caffeine effect, dominant aroma</w:t>
      </w:r>
    </w:p>
    <w:p>
      <w:pPr>
        <w:pStyle w:val="BodyText"/>
        <w:spacing w:line="276" w:lineRule="auto" w:before="183"/>
        <w:ind w:left="477" w:right="135"/>
        <w:jc w:val="both"/>
      </w:pPr>
      <w:r>
        <w:rPr/>
        <w:t>Now also pour the preheating water out of the cup. Then pour the tea into the cup;</w:t>
      </w:r>
      <w:r>
        <w:rPr>
          <w:spacing w:val="-6"/>
        </w:rPr>
        <w:t> </w:t>
      </w:r>
      <w:r>
        <w:rPr/>
        <w:t>as</w:t>
      </w:r>
      <w:r>
        <w:rPr>
          <w:spacing w:val="-9"/>
        </w:rPr>
        <w:t> </w:t>
      </w:r>
      <w:r>
        <w:rPr/>
        <w:t>the</w:t>
      </w:r>
      <w:r>
        <w:rPr>
          <w:spacing w:val="-6"/>
        </w:rPr>
        <w:t> </w:t>
      </w:r>
      <w:r>
        <w:rPr/>
        <w:t>tea</w:t>
      </w:r>
      <w:r>
        <w:rPr>
          <w:spacing w:val="-10"/>
        </w:rPr>
        <w:t> </w:t>
      </w:r>
      <w:r>
        <w:rPr/>
        <w:t>leaves</w:t>
      </w:r>
      <w:r>
        <w:rPr>
          <w:spacing w:val="-7"/>
        </w:rPr>
        <w:t> </w:t>
      </w:r>
      <w:r>
        <w:rPr/>
        <w:t>remain</w:t>
      </w:r>
      <w:r>
        <w:rPr>
          <w:spacing w:val="-7"/>
        </w:rPr>
        <w:t> </w:t>
      </w:r>
      <w:r>
        <w:rPr/>
        <w:t>in</w:t>
      </w:r>
      <w:r>
        <w:rPr>
          <w:spacing w:val="-9"/>
        </w:rPr>
        <w:t> </w:t>
      </w:r>
      <w:r>
        <w:rPr/>
        <w:t>the</w:t>
      </w:r>
      <w:r>
        <w:rPr>
          <w:spacing w:val="-6"/>
        </w:rPr>
        <w:t> </w:t>
      </w:r>
      <w:r>
        <w:rPr/>
        <w:t>pot,</w:t>
      </w:r>
      <w:r>
        <w:rPr>
          <w:spacing w:val="-7"/>
        </w:rPr>
        <w:t> </w:t>
      </w:r>
      <w:r>
        <w:rPr/>
        <w:t>you</w:t>
      </w:r>
      <w:r>
        <w:rPr>
          <w:spacing w:val="-8"/>
        </w:rPr>
        <w:t> </w:t>
      </w:r>
      <w:r>
        <w:rPr/>
        <w:t>can</w:t>
      </w:r>
      <w:r>
        <w:rPr>
          <w:spacing w:val="-11"/>
        </w:rPr>
        <w:t> </w:t>
      </w:r>
      <w:r>
        <w:rPr/>
        <w:t>also</w:t>
      </w:r>
      <w:r>
        <w:rPr>
          <w:spacing w:val="-7"/>
        </w:rPr>
        <w:t> </w:t>
      </w:r>
      <w:r>
        <w:rPr/>
        <w:t>prepare</w:t>
      </w:r>
      <w:r>
        <w:rPr>
          <w:spacing w:val="-9"/>
        </w:rPr>
        <w:t> </w:t>
      </w:r>
      <w:r>
        <w:rPr/>
        <w:t>several</w:t>
      </w:r>
      <w:r>
        <w:rPr>
          <w:spacing w:val="-8"/>
        </w:rPr>
        <w:t> </w:t>
      </w:r>
      <w:r>
        <w:rPr/>
        <w:t>more</w:t>
      </w:r>
      <w:r>
        <w:rPr>
          <w:spacing w:val="-8"/>
        </w:rPr>
        <w:t> </w:t>
      </w:r>
      <w:r>
        <w:rPr/>
        <w:t>infu- sions.</w:t>
      </w:r>
    </w:p>
    <w:p>
      <w:pPr>
        <w:pStyle w:val="Heading2"/>
        <w:spacing w:before="241"/>
        <w:jc w:val="both"/>
      </w:pPr>
      <w:r>
        <w:rPr/>
        <w:t>Green tea with milk, sugar or sweetener or without?</w:t>
      </w:r>
    </w:p>
    <w:p>
      <w:pPr>
        <w:pStyle w:val="BodyText"/>
        <w:spacing w:line="276" w:lineRule="auto" w:before="305"/>
        <w:ind w:left="477" w:right="140"/>
        <w:jc w:val="both"/>
      </w:pPr>
      <w:r>
        <w:rPr/>
        <w:t>Green tea connoisseurs insist on the pure enjoyment of green tea, i.e. without milk and sugar, so as not to diminish the aroma and healing properties of the tea.</w:t>
      </w:r>
    </w:p>
    <w:p>
      <w:pPr>
        <w:pStyle w:val="BodyText"/>
        <w:spacing w:line="276" w:lineRule="auto" w:before="239"/>
        <w:ind w:left="477" w:right="138"/>
        <w:jc w:val="both"/>
      </w:pPr>
      <w:r>
        <w:rPr/>
        <w:t>If</w:t>
      </w:r>
      <w:r>
        <w:rPr>
          <w:spacing w:val="-17"/>
        </w:rPr>
        <w:t> </w:t>
      </w:r>
      <w:r>
        <w:rPr/>
        <w:t>you</w:t>
      </w:r>
      <w:r>
        <w:rPr>
          <w:spacing w:val="-17"/>
        </w:rPr>
        <w:t> </w:t>
      </w:r>
      <w:r>
        <w:rPr/>
        <w:t>like</w:t>
      </w:r>
      <w:r>
        <w:rPr>
          <w:spacing w:val="-17"/>
        </w:rPr>
        <w:t> </w:t>
      </w:r>
      <w:r>
        <w:rPr/>
        <w:t>sweetening</w:t>
      </w:r>
      <w:r>
        <w:rPr>
          <w:spacing w:val="-15"/>
        </w:rPr>
        <w:t> </w:t>
      </w:r>
      <w:r>
        <w:rPr/>
        <w:t>things,</w:t>
      </w:r>
      <w:r>
        <w:rPr>
          <w:spacing w:val="-16"/>
        </w:rPr>
        <w:t> </w:t>
      </w:r>
      <w:r>
        <w:rPr/>
        <w:t>you</w:t>
      </w:r>
      <w:r>
        <w:rPr>
          <w:spacing w:val="-18"/>
        </w:rPr>
        <w:t> </w:t>
      </w:r>
      <w:r>
        <w:rPr/>
        <w:t>should</w:t>
      </w:r>
      <w:r>
        <w:rPr>
          <w:spacing w:val="-17"/>
        </w:rPr>
        <w:t> </w:t>
      </w:r>
      <w:r>
        <w:rPr/>
        <w:t>use</w:t>
      </w:r>
      <w:r>
        <w:rPr>
          <w:spacing w:val="-16"/>
        </w:rPr>
        <w:t> </w:t>
      </w:r>
      <w:r>
        <w:rPr/>
        <w:t>the</w:t>
      </w:r>
      <w:r>
        <w:rPr>
          <w:spacing w:val="-13"/>
        </w:rPr>
        <w:t> </w:t>
      </w:r>
      <w:r>
        <w:rPr/>
        <w:t>healthy</w:t>
      </w:r>
      <w:r>
        <w:rPr>
          <w:spacing w:val="-16"/>
        </w:rPr>
        <w:t> </w:t>
      </w:r>
      <w:r>
        <w:rPr/>
        <w:t>sugar</w:t>
      </w:r>
      <w:r>
        <w:rPr>
          <w:spacing w:val="-15"/>
        </w:rPr>
        <w:t> </w:t>
      </w:r>
      <w:r>
        <w:rPr/>
        <w:t>substitute</w:t>
      </w:r>
      <w:r>
        <w:rPr>
          <w:spacing w:val="-17"/>
        </w:rPr>
        <w:t> </w:t>
      </w:r>
      <w:r>
        <w:rPr/>
        <w:t>Stevia, since neither the normal table sugar nor artificial sweeteners offer a healthy al- ternative.</w:t>
      </w:r>
    </w:p>
    <w:p>
      <w:pPr>
        <w:pStyle w:val="Heading1"/>
        <w:jc w:val="both"/>
      </w:pPr>
      <w:r>
        <w:rPr/>
        <w:t>Green tea as a cosmetic: green tea makes you beautiful</w:t>
      </w:r>
    </w:p>
    <w:p>
      <w:pPr>
        <w:pStyle w:val="BodyText"/>
        <w:spacing w:line="276" w:lineRule="auto" w:before="299"/>
        <w:ind w:left="477" w:right="131"/>
        <w:jc w:val="both"/>
      </w:pPr>
      <w:r>
        <w:rPr/>
        <w:t>To</w:t>
      </w:r>
      <w:r>
        <w:rPr>
          <w:spacing w:val="-9"/>
        </w:rPr>
        <w:t> </w:t>
      </w:r>
      <w:r>
        <w:rPr/>
        <w:t>this</w:t>
      </w:r>
      <w:r>
        <w:rPr>
          <w:spacing w:val="-11"/>
        </w:rPr>
        <w:t> </w:t>
      </w:r>
      <w:r>
        <w:rPr/>
        <w:t>day,</w:t>
      </w:r>
      <w:r>
        <w:rPr>
          <w:spacing w:val="-11"/>
        </w:rPr>
        <w:t> </w:t>
      </w:r>
      <w:r>
        <w:rPr/>
        <w:t>word</w:t>
      </w:r>
      <w:r>
        <w:rPr>
          <w:spacing w:val="-8"/>
        </w:rPr>
        <w:t> </w:t>
      </w:r>
      <w:r>
        <w:rPr/>
        <w:t>has</w:t>
      </w:r>
      <w:r>
        <w:rPr>
          <w:spacing w:val="-11"/>
        </w:rPr>
        <w:t> </w:t>
      </w:r>
      <w:r>
        <w:rPr/>
        <w:t>not</w:t>
      </w:r>
      <w:r>
        <w:rPr>
          <w:spacing w:val="-11"/>
        </w:rPr>
        <w:t> </w:t>
      </w:r>
      <w:r>
        <w:rPr/>
        <w:t>got</w:t>
      </w:r>
      <w:r>
        <w:rPr>
          <w:spacing w:val="-12"/>
        </w:rPr>
        <w:t> </w:t>
      </w:r>
      <w:r>
        <w:rPr/>
        <w:t>around</w:t>
      </w:r>
      <w:r>
        <w:rPr>
          <w:spacing w:val="-9"/>
        </w:rPr>
        <w:t> </w:t>
      </w:r>
      <w:r>
        <w:rPr/>
        <w:t>that</w:t>
      </w:r>
      <w:r>
        <w:rPr>
          <w:spacing w:val="-9"/>
        </w:rPr>
        <w:t> </w:t>
      </w:r>
      <w:r>
        <w:rPr/>
        <w:t>beauty</w:t>
      </w:r>
      <w:r>
        <w:rPr>
          <w:spacing w:val="-9"/>
        </w:rPr>
        <w:t> </w:t>
      </w:r>
      <w:r>
        <w:rPr/>
        <w:t>comes</w:t>
      </w:r>
      <w:r>
        <w:rPr>
          <w:spacing w:val="-11"/>
        </w:rPr>
        <w:t> </w:t>
      </w:r>
      <w:r>
        <w:rPr/>
        <w:t>from</w:t>
      </w:r>
      <w:r>
        <w:rPr>
          <w:spacing w:val="-8"/>
        </w:rPr>
        <w:t> </w:t>
      </w:r>
      <w:r>
        <w:rPr/>
        <w:t>within</w:t>
      </w:r>
      <w:r>
        <w:rPr>
          <w:spacing w:val="-9"/>
        </w:rPr>
        <w:t> </w:t>
      </w:r>
      <w:r>
        <w:rPr/>
        <w:t>and</w:t>
      </w:r>
      <w:r>
        <w:rPr>
          <w:spacing w:val="-12"/>
        </w:rPr>
        <w:t> </w:t>
      </w:r>
      <w:r>
        <w:rPr/>
        <w:t>there- fore primarily our food and drinks decide on how our skin, our eyes and our hair look.</w:t>
      </w:r>
    </w:p>
    <w:p>
      <w:pPr>
        <w:spacing w:after="0" w:line="276" w:lineRule="auto"/>
        <w:jc w:val="both"/>
        <w:sectPr>
          <w:pgSz w:w="14270" w:h="16850"/>
          <w:pgMar w:header="0" w:footer="1891" w:top="1600" w:bottom="2080" w:left="800" w:right="1280"/>
        </w:sectPr>
      </w:pPr>
    </w:p>
    <w:p>
      <w:pPr>
        <w:pStyle w:val="BodyText"/>
        <w:spacing w:line="276" w:lineRule="auto" w:before="181"/>
        <w:ind w:left="477" w:right="133"/>
        <w:jc w:val="both"/>
      </w:pPr>
      <w:r>
        <w:rPr/>
        <w:t>In</w:t>
      </w:r>
      <w:r>
        <w:rPr>
          <w:spacing w:val="-11"/>
        </w:rPr>
        <w:t> </w:t>
      </w:r>
      <w:r>
        <w:rPr/>
        <w:t>the</w:t>
      </w:r>
      <w:r>
        <w:rPr>
          <w:spacing w:val="-11"/>
        </w:rPr>
        <w:t> </w:t>
      </w:r>
      <w:r>
        <w:rPr/>
        <w:t>case</w:t>
      </w:r>
      <w:r>
        <w:rPr>
          <w:spacing w:val="-12"/>
        </w:rPr>
        <w:t> </w:t>
      </w:r>
      <w:r>
        <w:rPr/>
        <w:t>of</w:t>
      </w:r>
      <w:r>
        <w:rPr>
          <w:spacing w:val="-11"/>
        </w:rPr>
        <w:t> </w:t>
      </w:r>
      <w:r>
        <w:rPr/>
        <w:t>green</w:t>
      </w:r>
      <w:r>
        <w:rPr>
          <w:spacing w:val="-11"/>
        </w:rPr>
        <w:t> </w:t>
      </w:r>
      <w:r>
        <w:rPr/>
        <w:t>tea,</w:t>
      </w:r>
      <w:r>
        <w:rPr>
          <w:spacing w:val="-10"/>
        </w:rPr>
        <w:t> </w:t>
      </w:r>
      <w:r>
        <w:rPr/>
        <w:t>both</w:t>
      </w:r>
      <w:r>
        <w:rPr>
          <w:spacing w:val="-11"/>
        </w:rPr>
        <w:t> </w:t>
      </w:r>
      <w:r>
        <w:rPr/>
        <w:t>can</w:t>
      </w:r>
      <w:r>
        <w:rPr>
          <w:spacing w:val="-11"/>
        </w:rPr>
        <w:t> </w:t>
      </w:r>
      <w:r>
        <w:rPr/>
        <w:t>be</w:t>
      </w:r>
      <w:r>
        <w:rPr>
          <w:spacing w:val="-10"/>
        </w:rPr>
        <w:t> </w:t>
      </w:r>
      <w:r>
        <w:rPr/>
        <w:t>wonderfully</w:t>
      </w:r>
      <w:r>
        <w:rPr>
          <w:spacing w:val="-13"/>
        </w:rPr>
        <w:t> </w:t>
      </w:r>
      <w:r>
        <w:rPr/>
        <w:t>combined:</w:t>
      </w:r>
      <w:r>
        <w:rPr>
          <w:spacing w:val="-12"/>
        </w:rPr>
        <w:t> </w:t>
      </w:r>
      <w:r>
        <w:rPr/>
        <w:t>apply</w:t>
      </w:r>
      <w:r>
        <w:rPr>
          <w:spacing w:val="-11"/>
        </w:rPr>
        <w:t> </w:t>
      </w:r>
      <w:r>
        <w:rPr/>
        <w:t>the</w:t>
      </w:r>
      <w:r>
        <w:rPr>
          <w:spacing w:val="-11"/>
        </w:rPr>
        <w:t> </w:t>
      </w:r>
      <w:r>
        <w:rPr/>
        <w:t>green</w:t>
      </w:r>
      <w:r>
        <w:rPr>
          <w:spacing w:val="-11"/>
        </w:rPr>
        <w:t> </w:t>
      </w:r>
      <w:r>
        <w:rPr/>
        <w:t>tea both internally as a tea beverage and externally in the form of self-prepared cleansing milk, skin creams, lotions and green tea</w:t>
      </w:r>
      <w:r>
        <w:rPr>
          <w:spacing w:val="-1"/>
        </w:rPr>
        <w:t> </w:t>
      </w:r>
      <w:r>
        <w:rPr/>
        <w:t>masks.</w:t>
      </w:r>
    </w:p>
    <w:p>
      <w:pPr>
        <w:pStyle w:val="Heading1"/>
        <w:spacing w:line="391" w:lineRule="auto"/>
        <w:ind w:right="6894"/>
      </w:pPr>
      <w:r>
        <w:rPr/>
        <w:t>Cleansing</w:t>
      </w:r>
      <w:r>
        <w:rPr>
          <w:spacing w:val="-65"/>
        </w:rPr>
        <w:t> </w:t>
      </w:r>
      <w:r>
        <w:rPr/>
        <w:t>milk</w:t>
      </w:r>
      <w:r>
        <w:rPr>
          <w:spacing w:val="-63"/>
        </w:rPr>
        <w:t> </w:t>
      </w:r>
      <w:r>
        <w:rPr/>
        <w:t>with</w:t>
      </w:r>
      <w:r>
        <w:rPr>
          <w:spacing w:val="-64"/>
        </w:rPr>
        <w:t> </w:t>
      </w:r>
      <w:r>
        <w:rPr/>
        <w:t>green</w:t>
      </w:r>
      <w:r>
        <w:rPr>
          <w:spacing w:val="-64"/>
        </w:rPr>
        <w:t> </w:t>
      </w:r>
      <w:r>
        <w:rPr/>
        <w:t>tea Ingredients</w:t>
      </w:r>
    </w:p>
    <w:p>
      <w:pPr>
        <w:pStyle w:val="ListParagraph"/>
        <w:numPr>
          <w:ilvl w:val="0"/>
          <w:numId w:val="33"/>
        </w:numPr>
        <w:tabs>
          <w:tab w:pos="1198" w:val="left" w:leader="none"/>
        </w:tabs>
        <w:spacing w:line="349" w:lineRule="exact" w:before="0" w:after="0"/>
        <w:ind w:left="1197" w:right="0" w:hanging="720"/>
        <w:jc w:val="both"/>
        <w:rPr>
          <w:sz w:val="38"/>
        </w:rPr>
      </w:pPr>
      <w:r>
        <w:rPr>
          <w:sz w:val="38"/>
        </w:rPr>
        <w:t>60 ml of vaseline</w:t>
      </w:r>
      <w:r>
        <w:rPr>
          <w:spacing w:val="-1"/>
          <w:sz w:val="38"/>
        </w:rPr>
        <w:t> </w:t>
      </w:r>
      <w:r>
        <w:rPr>
          <w:sz w:val="38"/>
        </w:rPr>
        <w:t>oil</w:t>
      </w:r>
    </w:p>
    <w:p>
      <w:pPr>
        <w:pStyle w:val="ListParagraph"/>
        <w:numPr>
          <w:ilvl w:val="0"/>
          <w:numId w:val="33"/>
        </w:numPr>
        <w:tabs>
          <w:tab w:pos="1198" w:val="left" w:leader="none"/>
        </w:tabs>
        <w:spacing w:line="240" w:lineRule="auto" w:before="186" w:after="0"/>
        <w:ind w:left="1197" w:right="0" w:hanging="720"/>
        <w:jc w:val="both"/>
        <w:rPr>
          <w:sz w:val="38"/>
        </w:rPr>
      </w:pPr>
      <w:r>
        <w:rPr>
          <w:sz w:val="38"/>
        </w:rPr>
        <w:t>25 g</w:t>
      </w:r>
      <w:r>
        <w:rPr>
          <w:spacing w:val="-1"/>
          <w:sz w:val="38"/>
        </w:rPr>
        <w:t> </w:t>
      </w:r>
      <w:r>
        <w:rPr>
          <w:sz w:val="38"/>
        </w:rPr>
        <w:t>lanolin</w:t>
      </w:r>
    </w:p>
    <w:p>
      <w:pPr>
        <w:pStyle w:val="ListParagraph"/>
        <w:numPr>
          <w:ilvl w:val="0"/>
          <w:numId w:val="33"/>
        </w:numPr>
        <w:tabs>
          <w:tab w:pos="1198" w:val="left" w:leader="none"/>
        </w:tabs>
        <w:spacing w:line="240" w:lineRule="auto" w:before="184" w:after="0"/>
        <w:ind w:left="1197" w:right="0" w:hanging="720"/>
        <w:jc w:val="both"/>
        <w:rPr>
          <w:sz w:val="38"/>
        </w:rPr>
      </w:pPr>
      <w:r>
        <w:rPr>
          <w:sz w:val="38"/>
        </w:rPr>
        <w:t>5 ml of wool wax</w:t>
      </w:r>
      <w:r>
        <w:rPr>
          <w:spacing w:val="-4"/>
          <w:sz w:val="38"/>
        </w:rPr>
        <w:t> </w:t>
      </w:r>
      <w:r>
        <w:rPr>
          <w:sz w:val="38"/>
        </w:rPr>
        <w:t>alcohol</w:t>
      </w:r>
    </w:p>
    <w:p>
      <w:pPr>
        <w:pStyle w:val="ListParagraph"/>
        <w:numPr>
          <w:ilvl w:val="0"/>
          <w:numId w:val="33"/>
        </w:numPr>
        <w:tabs>
          <w:tab w:pos="1198" w:val="left" w:leader="none"/>
        </w:tabs>
        <w:spacing w:line="240" w:lineRule="auto" w:before="184" w:after="0"/>
        <w:ind w:left="1197" w:right="0" w:hanging="720"/>
        <w:jc w:val="both"/>
        <w:rPr>
          <w:sz w:val="38"/>
        </w:rPr>
      </w:pPr>
      <w:r>
        <w:rPr>
          <w:sz w:val="38"/>
        </w:rPr>
        <w:t>2 teaspoons Tween 80 (available at the</w:t>
      </w:r>
      <w:r>
        <w:rPr>
          <w:spacing w:val="2"/>
          <w:sz w:val="38"/>
        </w:rPr>
        <w:t> </w:t>
      </w:r>
      <w:r>
        <w:rPr>
          <w:sz w:val="38"/>
        </w:rPr>
        <w:t>pharmacy)</w:t>
      </w:r>
    </w:p>
    <w:p>
      <w:pPr>
        <w:pStyle w:val="ListParagraph"/>
        <w:numPr>
          <w:ilvl w:val="0"/>
          <w:numId w:val="33"/>
        </w:numPr>
        <w:tabs>
          <w:tab w:pos="1198" w:val="left" w:leader="none"/>
        </w:tabs>
        <w:spacing w:line="240" w:lineRule="auto" w:before="183" w:after="0"/>
        <w:ind w:left="1197" w:right="0" w:hanging="720"/>
        <w:jc w:val="both"/>
        <w:rPr>
          <w:sz w:val="38"/>
        </w:rPr>
      </w:pPr>
      <w:r>
        <w:rPr>
          <w:sz w:val="38"/>
        </w:rPr>
        <w:t>200 ml green</w:t>
      </w:r>
      <w:r>
        <w:rPr>
          <w:spacing w:val="-1"/>
          <w:sz w:val="38"/>
        </w:rPr>
        <w:t> </w:t>
      </w:r>
      <w:r>
        <w:rPr>
          <w:sz w:val="38"/>
        </w:rPr>
        <w:t>tea</w:t>
      </w:r>
    </w:p>
    <w:p>
      <w:pPr>
        <w:pStyle w:val="Heading1"/>
        <w:spacing w:before="285"/>
        <w:jc w:val="both"/>
      </w:pPr>
      <w:r>
        <w:rPr/>
        <w:t>Preparation</w:t>
      </w:r>
    </w:p>
    <w:p>
      <w:pPr>
        <w:pStyle w:val="BodyText"/>
        <w:spacing w:line="276" w:lineRule="auto" w:before="300"/>
        <w:ind w:left="477"/>
      </w:pPr>
      <w:r>
        <w:rPr/>
        <w:t>Melt the vaseline oil, wool wax alcohol and Tween 80 over boiling water and heat at a temperature of 65-75°C.</w:t>
      </w:r>
    </w:p>
    <w:p>
      <w:pPr>
        <w:pStyle w:val="BodyText"/>
        <w:spacing w:line="276" w:lineRule="auto" w:before="240"/>
        <w:ind w:left="477"/>
      </w:pPr>
      <w:r>
        <w:rPr/>
        <w:t>Heat water to 70°C in a separate pot, add the hot water to the molten mixture and stir.</w:t>
      </w:r>
    </w:p>
    <w:p>
      <w:pPr>
        <w:pStyle w:val="BodyText"/>
        <w:spacing w:before="241"/>
        <w:ind w:left="477"/>
      </w:pPr>
      <w:r>
        <w:rPr/>
        <w:t>Boil 4 teaspoons of green tea and allow to soak for 5 minutes, then strain.</w:t>
      </w:r>
    </w:p>
    <w:p>
      <w:pPr>
        <w:pStyle w:val="BodyText"/>
        <w:spacing w:line="343" w:lineRule="auto" w:before="303"/>
        <w:ind w:left="477"/>
      </w:pPr>
      <w:r>
        <w:rPr/>
        <w:t>Add</w:t>
      </w:r>
      <w:r>
        <w:rPr>
          <w:spacing w:val="-13"/>
        </w:rPr>
        <w:t> </w:t>
      </w:r>
      <w:r>
        <w:rPr/>
        <w:t>200</w:t>
      </w:r>
      <w:r>
        <w:rPr>
          <w:spacing w:val="-14"/>
        </w:rPr>
        <w:t> </w:t>
      </w:r>
      <w:r>
        <w:rPr/>
        <w:t>ml</w:t>
      </w:r>
      <w:r>
        <w:rPr>
          <w:spacing w:val="-13"/>
        </w:rPr>
        <w:t> </w:t>
      </w:r>
      <w:r>
        <w:rPr/>
        <w:t>of</w:t>
      </w:r>
      <w:r>
        <w:rPr>
          <w:spacing w:val="-13"/>
        </w:rPr>
        <w:t> </w:t>
      </w:r>
      <w:r>
        <w:rPr/>
        <w:t>the</w:t>
      </w:r>
      <w:r>
        <w:rPr>
          <w:spacing w:val="-12"/>
        </w:rPr>
        <w:t> </w:t>
      </w:r>
      <w:r>
        <w:rPr/>
        <w:t>green</w:t>
      </w:r>
      <w:r>
        <w:rPr>
          <w:spacing w:val="-12"/>
        </w:rPr>
        <w:t> </w:t>
      </w:r>
      <w:r>
        <w:rPr/>
        <w:t>tea</w:t>
      </w:r>
      <w:r>
        <w:rPr>
          <w:spacing w:val="-14"/>
        </w:rPr>
        <w:t> </w:t>
      </w:r>
      <w:r>
        <w:rPr/>
        <w:t>to</w:t>
      </w:r>
      <w:r>
        <w:rPr>
          <w:spacing w:val="-13"/>
        </w:rPr>
        <w:t> </w:t>
      </w:r>
      <w:r>
        <w:rPr/>
        <w:t>the</w:t>
      </w:r>
      <w:r>
        <w:rPr>
          <w:spacing w:val="-13"/>
        </w:rPr>
        <w:t> </w:t>
      </w:r>
      <w:r>
        <w:rPr/>
        <w:t>mixture,</w:t>
      </w:r>
      <w:r>
        <w:rPr>
          <w:spacing w:val="-11"/>
        </w:rPr>
        <w:t> </w:t>
      </w:r>
      <w:r>
        <w:rPr/>
        <w:t>stir</w:t>
      </w:r>
      <w:r>
        <w:rPr>
          <w:spacing w:val="-12"/>
        </w:rPr>
        <w:t> </w:t>
      </w:r>
      <w:r>
        <w:rPr/>
        <w:t>until</w:t>
      </w:r>
      <w:r>
        <w:rPr>
          <w:spacing w:val="-14"/>
        </w:rPr>
        <w:t> </w:t>
      </w:r>
      <w:r>
        <w:rPr/>
        <w:t>it</w:t>
      </w:r>
      <w:r>
        <w:rPr>
          <w:spacing w:val="-14"/>
        </w:rPr>
        <w:t> </w:t>
      </w:r>
      <w:r>
        <w:rPr/>
        <w:t>becomes</w:t>
      </w:r>
      <w:r>
        <w:rPr>
          <w:spacing w:val="-12"/>
        </w:rPr>
        <w:t> </w:t>
      </w:r>
      <w:r>
        <w:rPr/>
        <w:t>creamy</w:t>
      </w:r>
      <w:r>
        <w:rPr>
          <w:spacing w:val="-11"/>
        </w:rPr>
        <w:t> </w:t>
      </w:r>
      <w:r>
        <w:rPr/>
        <w:t>–</w:t>
      </w:r>
      <w:r>
        <w:rPr>
          <w:spacing w:val="-12"/>
        </w:rPr>
        <w:t> </w:t>
      </w:r>
      <w:r>
        <w:rPr/>
        <w:t>done. The cooled mass is now best used as cleansing</w:t>
      </w:r>
      <w:r>
        <w:rPr>
          <w:spacing w:val="-4"/>
        </w:rPr>
        <w:t> </w:t>
      </w:r>
      <w:r>
        <w:rPr/>
        <w:t>milk.</w:t>
      </w:r>
    </w:p>
    <w:p>
      <w:pPr>
        <w:spacing w:after="0" w:line="343" w:lineRule="auto"/>
        <w:sectPr>
          <w:pgSz w:w="14270" w:h="16850"/>
          <w:pgMar w:header="0" w:footer="1891" w:top="1600" w:bottom="2080" w:left="800" w:right="1280"/>
        </w:sectPr>
      </w:pPr>
    </w:p>
    <w:p>
      <w:pPr>
        <w:pStyle w:val="BodyText"/>
        <w:rPr>
          <w:sz w:val="20"/>
        </w:rPr>
      </w:pPr>
    </w:p>
    <w:p>
      <w:pPr>
        <w:pStyle w:val="BodyText"/>
        <w:rPr>
          <w:sz w:val="20"/>
        </w:rPr>
      </w:pPr>
    </w:p>
    <w:p>
      <w:pPr>
        <w:pStyle w:val="BodyText"/>
        <w:spacing w:before="8"/>
        <w:rPr>
          <w:sz w:val="21"/>
        </w:rPr>
      </w:pPr>
    </w:p>
    <w:p>
      <w:pPr>
        <w:pStyle w:val="Heading2"/>
        <w:spacing w:before="99"/>
        <w:jc w:val="both"/>
      </w:pPr>
      <w:r>
        <w:rPr/>
        <w:t>Green tea face mask</w:t>
      </w:r>
    </w:p>
    <w:p>
      <w:pPr>
        <w:spacing w:before="167"/>
        <w:ind w:left="477" w:right="0" w:firstLine="0"/>
        <w:jc w:val="both"/>
        <w:rPr>
          <w:b/>
          <w:i/>
          <w:sz w:val="40"/>
        </w:rPr>
      </w:pPr>
      <w:r>
        <w:rPr>
          <w:b/>
          <w:i/>
          <w:sz w:val="40"/>
        </w:rPr>
        <w:t>Ingredients</w:t>
      </w:r>
    </w:p>
    <w:p>
      <w:pPr>
        <w:pStyle w:val="ListParagraph"/>
        <w:numPr>
          <w:ilvl w:val="0"/>
          <w:numId w:val="33"/>
        </w:numPr>
        <w:tabs>
          <w:tab w:pos="1198" w:val="left" w:leader="none"/>
        </w:tabs>
        <w:spacing w:line="240" w:lineRule="auto" w:before="301" w:after="0"/>
        <w:ind w:left="1197" w:right="0" w:hanging="720"/>
        <w:jc w:val="both"/>
        <w:rPr>
          <w:sz w:val="38"/>
        </w:rPr>
      </w:pPr>
      <w:r>
        <w:rPr>
          <w:sz w:val="38"/>
        </w:rPr>
        <w:t>6 tablespoons of wheat</w:t>
      </w:r>
      <w:r>
        <w:rPr>
          <w:spacing w:val="-3"/>
          <w:sz w:val="38"/>
        </w:rPr>
        <w:t> </w:t>
      </w:r>
      <w:r>
        <w:rPr>
          <w:sz w:val="38"/>
        </w:rPr>
        <w:t>germ</w:t>
      </w:r>
    </w:p>
    <w:p>
      <w:pPr>
        <w:pStyle w:val="ListParagraph"/>
        <w:numPr>
          <w:ilvl w:val="0"/>
          <w:numId w:val="33"/>
        </w:numPr>
        <w:tabs>
          <w:tab w:pos="1198" w:val="left" w:leader="none"/>
        </w:tabs>
        <w:spacing w:line="240" w:lineRule="auto" w:before="184" w:after="0"/>
        <w:ind w:left="1197" w:right="0" w:hanging="720"/>
        <w:jc w:val="both"/>
        <w:rPr>
          <w:sz w:val="38"/>
        </w:rPr>
      </w:pPr>
      <w:r>
        <w:rPr>
          <w:sz w:val="38"/>
        </w:rPr>
        <w:t>2 tablespoons of</w:t>
      </w:r>
      <w:r>
        <w:rPr>
          <w:spacing w:val="-4"/>
          <w:sz w:val="38"/>
        </w:rPr>
        <w:t> </w:t>
      </w:r>
      <w:r>
        <w:rPr>
          <w:sz w:val="38"/>
        </w:rPr>
        <w:t>honey</w:t>
      </w:r>
    </w:p>
    <w:p>
      <w:pPr>
        <w:pStyle w:val="ListParagraph"/>
        <w:numPr>
          <w:ilvl w:val="0"/>
          <w:numId w:val="33"/>
        </w:numPr>
        <w:tabs>
          <w:tab w:pos="1198" w:val="left" w:leader="none"/>
        </w:tabs>
        <w:spacing w:line="240" w:lineRule="auto" w:before="184" w:after="0"/>
        <w:ind w:left="1197" w:right="0" w:hanging="720"/>
        <w:jc w:val="both"/>
        <w:rPr>
          <w:sz w:val="38"/>
        </w:rPr>
      </w:pPr>
      <w:r>
        <w:rPr>
          <w:sz w:val="38"/>
        </w:rPr>
        <w:t>300 ml of</w:t>
      </w:r>
      <w:r>
        <w:rPr>
          <w:spacing w:val="-1"/>
          <w:sz w:val="38"/>
        </w:rPr>
        <w:t> </w:t>
      </w:r>
      <w:r>
        <w:rPr>
          <w:sz w:val="38"/>
        </w:rPr>
        <w:t>water</w:t>
      </w:r>
    </w:p>
    <w:p>
      <w:pPr>
        <w:pStyle w:val="ListParagraph"/>
        <w:numPr>
          <w:ilvl w:val="0"/>
          <w:numId w:val="33"/>
        </w:numPr>
        <w:tabs>
          <w:tab w:pos="1198" w:val="left" w:leader="none"/>
        </w:tabs>
        <w:spacing w:line="240" w:lineRule="auto" w:before="184" w:after="0"/>
        <w:ind w:left="1197" w:right="0" w:hanging="720"/>
        <w:jc w:val="both"/>
        <w:rPr>
          <w:sz w:val="38"/>
        </w:rPr>
      </w:pPr>
      <w:r>
        <w:rPr>
          <w:sz w:val="38"/>
        </w:rPr>
        <w:t>2 tablespoons of green</w:t>
      </w:r>
      <w:r>
        <w:rPr>
          <w:spacing w:val="-3"/>
          <w:sz w:val="38"/>
        </w:rPr>
        <w:t> </w:t>
      </w:r>
      <w:r>
        <w:rPr>
          <w:sz w:val="38"/>
        </w:rPr>
        <w:t>tea</w:t>
      </w:r>
    </w:p>
    <w:p>
      <w:pPr>
        <w:pStyle w:val="Heading1"/>
        <w:spacing w:before="287"/>
        <w:jc w:val="both"/>
      </w:pPr>
      <w:r>
        <w:rPr/>
        <w:t>Preparation</w:t>
      </w:r>
    </w:p>
    <w:p>
      <w:pPr>
        <w:pStyle w:val="BodyText"/>
        <w:spacing w:before="297"/>
        <w:ind w:left="477"/>
        <w:jc w:val="both"/>
      </w:pPr>
      <w:r>
        <w:rPr/>
        <w:t>Boil the water, pour over the green tea and leave for 5 mins.</w:t>
      </w:r>
    </w:p>
    <w:p>
      <w:pPr>
        <w:pStyle w:val="BodyText"/>
        <w:spacing w:line="276" w:lineRule="auto" w:before="184"/>
        <w:ind w:left="477" w:right="133"/>
        <w:jc w:val="both"/>
      </w:pPr>
      <w:r>
        <w:rPr/>
        <w:t>Mix the honey with the wheat germ, add the tea – the green tea mask is ready. The mask should be applied after using the cleansing milk and takes about 15- 20 minutes.</w:t>
      </w:r>
    </w:p>
    <w:p>
      <w:pPr>
        <w:pStyle w:val="BodyText"/>
        <w:rPr>
          <w:sz w:val="42"/>
        </w:rPr>
      </w:pPr>
    </w:p>
    <w:p>
      <w:pPr>
        <w:pStyle w:val="BodyText"/>
        <w:spacing w:before="6"/>
        <w:rPr>
          <w:sz w:val="44"/>
        </w:rPr>
      </w:pPr>
    </w:p>
    <w:p>
      <w:pPr>
        <w:pStyle w:val="Heading2"/>
        <w:jc w:val="both"/>
      </w:pPr>
      <w:r>
        <w:rPr/>
        <w:t>Green tea lotion</w:t>
      </w:r>
    </w:p>
    <w:p>
      <w:pPr>
        <w:spacing w:before="165"/>
        <w:ind w:left="477" w:right="0" w:firstLine="0"/>
        <w:jc w:val="both"/>
        <w:rPr>
          <w:b/>
          <w:i/>
          <w:sz w:val="40"/>
        </w:rPr>
      </w:pPr>
      <w:r>
        <w:rPr>
          <w:b/>
          <w:i/>
          <w:sz w:val="40"/>
        </w:rPr>
        <w:t>Ingredients</w:t>
      </w:r>
    </w:p>
    <w:p>
      <w:pPr>
        <w:pStyle w:val="ListParagraph"/>
        <w:numPr>
          <w:ilvl w:val="0"/>
          <w:numId w:val="33"/>
        </w:numPr>
        <w:tabs>
          <w:tab w:pos="1198" w:val="left" w:leader="none"/>
        </w:tabs>
        <w:spacing w:line="240" w:lineRule="auto" w:before="301" w:after="0"/>
        <w:ind w:left="1197" w:right="0" w:hanging="720"/>
        <w:jc w:val="both"/>
        <w:rPr>
          <w:sz w:val="38"/>
        </w:rPr>
      </w:pPr>
      <w:r>
        <w:rPr>
          <w:sz w:val="38"/>
        </w:rPr>
        <w:t>400 ml of</w:t>
      </w:r>
      <w:r>
        <w:rPr>
          <w:spacing w:val="-1"/>
          <w:sz w:val="38"/>
        </w:rPr>
        <w:t> </w:t>
      </w:r>
      <w:r>
        <w:rPr>
          <w:sz w:val="38"/>
        </w:rPr>
        <w:t>water</w:t>
      </w:r>
    </w:p>
    <w:p>
      <w:pPr>
        <w:pStyle w:val="ListParagraph"/>
        <w:numPr>
          <w:ilvl w:val="0"/>
          <w:numId w:val="33"/>
        </w:numPr>
        <w:tabs>
          <w:tab w:pos="1198" w:val="left" w:leader="none"/>
        </w:tabs>
        <w:spacing w:line="240" w:lineRule="auto" w:before="184" w:after="0"/>
        <w:ind w:left="1197" w:right="0" w:hanging="720"/>
        <w:jc w:val="both"/>
        <w:rPr>
          <w:sz w:val="38"/>
        </w:rPr>
      </w:pPr>
      <w:r>
        <w:rPr>
          <w:sz w:val="38"/>
        </w:rPr>
        <w:t>2 teaspoons of green tea</w:t>
      </w:r>
    </w:p>
    <w:p>
      <w:pPr>
        <w:pStyle w:val="ListParagraph"/>
        <w:numPr>
          <w:ilvl w:val="0"/>
          <w:numId w:val="33"/>
        </w:numPr>
        <w:tabs>
          <w:tab w:pos="1198" w:val="left" w:leader="none"/>
        </w:tabs>
        <w:spacing w:line="240" w:lineRule="auto" w:before="186" w:after="0"/>
        <w:ind w:left="1197" w:right="0" w:hanging="720"/>
        <w:jc w:val="both"/>
        <w:rPr>
          <w:sz w:val="38"/>
        </w:rPr>
      </w:pPr>
      <w:r>
        <w:rPr>
          <w:sz w:val="38"/>
        </w:rPr>
        <w:t>2 teaspoons of chamomile</w:t>
      </w:r>
      <w:r>
        <w:rPr>
          <w:spacing w:val="-2"/>
          <w:sz w:val="38"/>
        </w:rPr>
        <w:t> </w:t>
      </w:r>
      <w:r>
        <w:rPr>
          <w:sz w:val="38"/>
        </w:rPr>
        <w:t>flowers</w:t>
      </w:r>
    </w:p>
    <w:p>
      <w:pPr>
        <w:spacing w:after="0" w:line="240" w:lineRule="auto"/>
        <w:jc w:val="both"/>
        <w:rPr>
          <w:sz w:val="38"/>
        </w:rPr>
        <w:sectPr>
          <w:pgSz w:w="14270" w:h="16850"/>
          <w:pgMar w:header="0" w:footer="1891" w:top="1600" w:bottom="2080" w:left="800" w:right="1280"/>
        </w:sectPr>
      </w:pPr>
    </w:p>
    <w:p>
      <w:pPr>
        <w:pStyle w:val="BodyText"/>
        <w:spacing w:before="10"/>
        <w:rPr>
          <w:sz w:val="8"/>
        </w:rPr>
      </w:pPr>
    </w:p>
    <w:p>
      <w:pPr>
        <w:pStyle w:val="ListParagraph"/>
        <w:numPr>
          <w:ilvl w:val="0"/>
          <w:numId w:val="33"/>
        </w:numPr>
        <w:tabs>
          <w:tab w:pos="1197" w:val="left" w:leader="none"/>
          <w:tab w:pos="1198" w:val="left" w:leader="none"/>
        </w:tabs>
        <w:spacing w:line="240" w:lineRule="auto" w:before="83" w:after="0"/>
        <w:ind w:left="1197" w:right="0" w:hanging="720"/>
        <w:jc w:val="left"/>
        <w:rPr>
          <w:sz w:val="38"/>
        </w:rPr>
      </w:pPr>
      <w:r>
        <w:rPr>
          <w:sz w:val="38"/>
        </w:rPr>
        <w:t>50 ml of</w:t>
      </w:r>
      <w:r>
        <w:rPr>
          <w:spacing w:val="-9"/>
          <w:sz w:val="38"/>
        </w:rPr>
        <w:t> </w:t>
      </w:r>
      <w:r>
        <w:rPr>
          <w:sz w:val="38"/>
        </w:rPr>
        <w:t>alcohol</w:t>
      </w:r>
    </w:p>
    <w:p>
      <w:pPr>
        <w:pStyle w:val="ListParagraph"/>
        <w:numPr>
          <w:ilvl w:val="0"/>
          <w:numId w:val="33"/>
        </w:numPr>
        <w:tabs>
          <w:tab w:pos="1197" w:val="left" w:leader="none"/>
          <w:tab w:pos="1198" w:val="left" w:leader="none"/>
        </w:tabs>
        <w:spacing w:line="240" w:lineRule="auto" w:before="184" w:after="0"/>
        <w:ind w:left="1197" w:right="0" w:hanging="720"/>
        <w:jc w:val="left"/>
        <w:rPr>
          <w:sz w:val="38"/>
        </w:rPr>
      </w:pPr>
      <w:r>
        <w:rPr>
          <w:sz w:val="38"/>
        </w:rPr>
        <w:t>50 ml rose</w:t>
      </w:r>
      <w:r>
        <w:rPr>
          <w:spacing w:val="-7"/>
          <w:sz w:val="38"/>
        </w:rPr>
        <w:t> </w:t>
      </w:r>
      <w:r>
        <w:rPr>
          <w:sz w:val="38"/>
        </w:rPr>
        <w:t>water</w:t>
      </w:r>
    </w:p>
    <w:p>
      <w:pPr>
        <w:pStyle w:val="Heading1"/>
        <w:spacing w:before="287"/>
      </w:pPr>
      <w:r>
        <w:rPr/>
        <w:t>Preparation</w:t>
      </w:r>
    </w:p>
    <w:p>
      <w:pPr>
        <w:pStyle w:val="BodyText"/>
        <w:spacing w:before="297"/>
        <w:ind w:left="477"/>
      </w:pPr>
      <w:r>
        <w:rPr/>
        <w:t>Put the chamomile flowers in alcohol for about an hour.</w:t>
      </w:r>
    </w:p>
    <w:p>
      <w:pPr>
        <w:pStyle w:val="BodyText"/>
        <w:spacing w:line="276" w:lineRule="auto" w:before="304"/>
        <w:ind w:left="477"/>
      </w:pPr>
      <w:r>
        <w:rPr/>
        <w:t>Prepare green tea and pour over the chamomile flowers in alcohol while it is piping hot.</w:t>
      </w:r>
    </w:p>
    <w:p>
      <w:pPr>
        <w:pStyle w:val="BodyText"/>
        <w:spacing w:before="242"/>
        <w:ind w:left="477"/>
      </w:pPr>
      <w:r>
        <w:rPr/>
        <w:t>Leave for five minutes.</w:t>
      </w:r>
    </w:p>
    <w:p>
      <w:pPr>
        <w:pStyle w:val="BodyText"/>
        <w:spacing w:before="304"/>
        <w:ind w:left="477"/>
      </w:pPr>
      <w:r>
        <w:rPr/>
        <w:t>Pour the resulting liquid through a sieve into a dark bottle.</w:t>
      </w:r>
    </w:p>
    <w:p>
      <w:pPr>
        <w:pStyle w:val="BodyText"/>
        <w:spacing w:line="276" w:lineRule="auto" w:before="305"/>
        <w:ind w:left="477"/>
      </w:pPr>
      <w:r>
        <w:rPr/>
        <w:t>The green tea lotion is applied with a cotton ball, before cleaning the face with the green tea cleansing milk.</w:t>
      </w:r>
    </w:p>
    <w:p>
      <w:pPr>
        <w:pStyle w:val="BodyText"/>
        <w:rPr>
          <w:sz w:val="42"/>
        </w:rPr>
      </w:pPr>
    </w:p>
    <w:p>
      <w:pPr>
        <w:pStyle w:val="BodyText"/>
        <w:spacing w:before="3"/>
        <w:rPr>
          <w:sz w:val="44"/>
        </w:rPr>
      </w:pPr>
    </w:p>
    <w:p>
      <w:pPr>
        <w:pStyle w:val="Heading2"/>
      </w:pPr>
      <w:r>
        <w:rPr/>
        <w:t>Green tea skin cream</w:t>
      </w:r>
    </w:p>
    <w:p>
      <w:pPr>
        <w:spacing w:before="167"/>
        <w:ind w:left="477" w:right="0" w:firstLine="0"/>
        <w:jc w:val="left"/>
        <w:rPr>
          <w:b/>
          <w:i/>
          <w:sz w:val="40"/>
        </w:rPr>
      </w:pPr>
      <w:r>
        <w:rPr>
          <w:b/>
          <w:i/>
          <w:sz w:val="40"/>
        </w:rPr>
        <w:t>Ingredients</w:t>
      </w:r>
    </w:p>
    <w:p>
      <w:pPr>
        <w:pStyle w:val="ListParagraph"/>
        <w:numPr>
          <w:ilvl w:val="0"/>
          <w:numId w:val="33"/>
        </w:numPr>
        <w:tabs>
          <w:tab w:pos="1197" w:val="left" w:leader="none"/>
          <w:tab w:pos="1198" w:val="left" w:leader="none"/>
        </w:tabs>
        <w:spacing w:line="240" w:lineRule="auto" w:before="301" w:after="0"/>
        <w:ind w:left="1197" w:right="0" w:hanging="720"/>
        <w:jc w:val="left"/>
        <w:rPr>
          <w:sz w:val="38"/>
        </w:rPr>
      </w:pPr>
      <w:r>
        <w:rPr>
          <w:sz w:val="38"/>
        </w:rPr>
        <w:t>200 ml of</w:t>
      </w:r>
      <w:r>
        <w:rPr>
          <w:spacing w:val="-1"/>
          <w:sz w:val="38"/>
        </w:rPr>
        <w:t> </w:t>
      </w:r>
      <w:r>
        <w:rPr>
          <w:sz w:val="38"/>
        </w:rPr>
        <w:t>water</w:t>
      </w:r>
    </w:p>
    <w:p>
      <w:pPr>
        <w:pStyle w:val="ListParagraph"/>
        <w:numPr>
          <w:ilvl w:val="0"/>
          <w:numId w:val="33"/>
        </w:numPr>
        <w:tabs>
          <w:tab w:pos="1197" w:val="left" w:leader="none"/>
          <w:tab w:pos="1198" w:val="left" w:leader="none"/>
        </w:tabs>
        <w:spacing w:line="240" w:lineRule="auto" w:before="183" w:after="0"/>
        <w:ind w:left="1197" w:right="0" w:hanging="720"/>
        <w:jc w:val="left"/>
        <w:rPr>
          <w:sz w:val="38"/>
        </w:rPr>
      </w:pPr>
      <w:r>
        <w:rPr>
          <w:sz w:val="38"/>
        </w:rPr>
        <w:t>4 teaspoons green</w:t>
      </w:r>
      <w:r>
        <w:rPr>
          <w:spacing w:val="-1"/>
          <w:sz w:val="38"/>
        </w:rPr>
        <w:t> </w:t>
      </w:r>
      <w:r>
        <w:rPr>
          <w:sz w:val="38"/>
        </w:rPr>
        <w:t>tea</w:t>
      </w:r>
    </w:p>
    <w:p>
      <w:pPr>
        <w:pStyle w:val="ListParagraph"/>
        <w:numPr>
          <w:ilvl w:val="0"/>
          <w:numId w:val="33"/>
        </w:numPr>
        <w:tabs>
          <w:tab w:pos="1197" w:val="left" w:leader="none"/>
          <w:tab w:pos="1198" w:val="left" w:leader="none"/>
        </w:tabs>
        <w:spacing w:line="240" w:lineRule="auto" w:before="185" w:after="0"/>
        <w:ind w:left="1197" w:right="0" w:hanging="720"/>
        <w:jc w:val="left"/>
        <w:rPr>
          <w:sz w:val="38"/>
        </w:rPr>
      </w:pPr>
      <w:r>
        <w:rPr>
          <w:sz w:val="38"/>
        </w:rPr>
        <w:t>150 ml of olive</w:t>
      </w:r>
      <w:r>
        <w:rPr>
          <w:spacing w:val="-1"/>
          <w:sz w:val="38"/>
        </w:rPr>
        <w:t> </w:t>
      </w:r>
      <w:r>
        <w:rPr>
          <w:sz w:val="38"/>
        </w:rPr>
        <w:t>oil</w:t>
      </w:r>
    </w:p>
    <w:p>
      <w:pPr>
        <w:pStyle w:val="ListParagraph"/>
        <w:numPr>
          <w:ilvl w:val="0"/>
          <w:numId w:val="33"/>
        </w:numPr>
        <w:tabs>
          <w:tab w:pos="1197" w:val="left" w:leader="none"/>
          <w:tab w:pos="1198" w:val="left" w:leader="none"/>
        </w:tabs>
        <w:spacing w:line="240" w:lineRule="auto" w:before="183" w:after="0"/>
        <w:ind w:left="1197" w:right="0" w:hanging="720"/>
        <w:jc w:val="left"/>
        <w:rPr>
          <w:sz w:val="38"/>
        </w:rPr>
      </w:pPr>
      <w:r>
        <w:rPr>
          <w:sz w:val="38"/>
        </w:rPr>
        <w:t>40 g</w:t>
      </w:r>
      <w:r>
        <w:rPr>
          <w:spacing w:val="-1"/>
          <w:sz w:val="38"/>
        </w:rPr>
        <w:t> </w:t>
      </w:r>
      <w:r>
        <w:rPr>
          <w:sz w:val="38"/>
        </w:rPr>
        <w:t>lanolin</w:t>
      </w:r>
    </w:p>
    <w:p>
      <w:pPr>
        <w:spacing w:after="0" w:line="240" w:lineRule="auto"/>
        <w:jc w:val="left"/>
        <w:rPr>
          <w:sz w:val="38"/>
        </w:rPr>
        <w:sectPr>
          <w:pgSz w:w="14270" w:h="16850"/>
          <w:pgMar w:header="0" w:footer="1891" w:top="1600" w:bottom="2080" w:left="800" w:right="1280"/>
        </w:sectPr>
      </w:pPr>
    </w:p>
    <w:p>
      <w:pPr>
        <w:pStyle w:val="BodyText"/>
        <w:spacing w:before="10"/>
        <w:rPr>
          <w:sz w:val="8"/>
        </w:rPr>
      </w:pPr>
    </w:p>
    <w:p>
      <w:pPr>
        <w:pStyle w:val="ListParagraph"/>
        <w:numPr>
          <w:ilvl w:val="0"/>
          <w:numId w:val="33"/>
        </w:numPr>
        <w:tabs>
          <w:tab w:pos="1198" w:val="left" w:leader="none"/>
        </w:tabs>
        <w:spacing w:line="240" w:lineRule="auto" w:before="83" w:after="0"/>
        <w:ind w:left="1197" w:right="0" w:hanging="720"/>
        <w:jc w:val="both"/>
        <w:rPr>
          <w:sz w:val="38"/>
        </w:rPr>
      </w:pPr>
      <w:r>
        <w:rPr>
          <w:sz w:val="38"/>
        </w:rPr>
        <w:t>10 ml of alcohol (70</w:t>
      </w:r>
      <w:r>
        <w:rPr>
          <w:spacing w:val="-2"/>
          <w:sz w:val="38"/>
        </w:rPr>
        <w:t> </w:t>
      </w:r>
      <w:r>
        <w:rPr>
          <w:sz w:val="38"/>
        </w:rPr>
        <w:t>%)</w:t>
      </w:r>
    </w:p>
    <w:p>
      <w:pPr>
        <w:pStyle w:val="ListParagraph"/>
        <w:numPr>
          <w:ilvl w:val="0"/>
          <w:numId w:val="33"/>
        </w:numPr>
        <w:tabs>
          <w:tab w:pos="1198" w:val="left" w:leader="none"/>
        </w:tabs>
        <w:spacing w:line="240" w:lineRule="auto" w:before="184" w:after="0"/>
        <w:ind w:left="1197" w:right="0" w:hanging="720"/>
        <w:jc w:val="both"/>
        <w:rPr>
          <w:sz w:val="38"/>
        </w:rPr>
      </w:pPr>
      <w:r>
        <w:rPr>
          <w:sz w:val="38"/>
        </w:rPr>
        <w:t>10 g jojoba oil</w:t>
      </w:r>
    </w:p>
    <w:p>
      <w:pPr>
        <w:pStyle w:val="ListParagraph"/>
        <w:numPr>
          <w:ilvl w:val="0"/>
          <w:numId w:val="33"/>
        </w:numPr>
        <w:tabs>
          <w:tab w:pos="1198" w:val="left" w:leader="none"/>
        </w:tabs>
        <w:spacing w:line="240" w:lineRule="auto" w:before="186" w:after="0"/>
        <w:ind w:left="1197" w:right="0" w:hanging="720"/>
        <w:jc w:val="both"/>
        <w:rPr>
          <w:sz w:val="38"/>
        </w:rPr>
      </w:pPr>
      <w:r>
        <w:rPr>
          <w:sz w:val="38"/>
        </w:rPr>
        <w:t>20 g</w:t>
      </w:r>
      <w:r>
        <w:rPr>
          <w:spacing w:val="-1"/>
          <w:sz w:val="38"/>
        </w:rPr>
        <w:t> </w:t>
      </w:r>
      <w:r>
        <w:rPr>
          <w:sz w:val="38"/>
        </w:rPr>
        <w:t>beeswax</w:t>
      </w:r>
    </w:p>
    <w:p>
      <w:pPr>
        <w:pStyle w:val="ListParagraph"/>
        <w:numPr>
          <w:ilvl w:val="0"/>
          <w:numId w:val="33"/>
        </w:numPr>
        <w:tabs>
          <w:tab w:pos="1198" w:val="left" w:leader="none"/>
        </w:tabs>
        <w:spacing w:line="240" w:lineRule="auto" w:before="183" w:after="0"/>
        <w:ind w:left="1197" w:right="0" w:hanging="720"/>
        <w:jc w:val="both"/>
        <w:rPr>
          <w:sz w:val="38"/>
        </w:rPr>
      </w:pPr>
      <w:r>
        <w:rPr>
          <w:sz w:val="38"/>
        </w:rPr>
        <w:t>3 g</w:t>
      </w:r>
      <w:r>
        <w:rPr>
          <w:spacing w:val="-1"/>
          <w:sz w:val="38"/>
        </w:rPr>
        <w:t> </w:t>
      </w:r>
      <w:r>
        <w:rPr>
          <w:sz w:val="38"/>
        </w:rPr>
        <w:t>borax</w:t>
      </w:r>
    </w:p>
    <w:p>
      <w:pPr>
        <w:pStyle w:val="Heading1"/>
        <w:spacing w:before="285"/>
        <w:jc w:val="both"/>
      </w:pPr>
      <w:r>
        <w:rPr/>
        <w:t>Preparation</w:t>
      </w:r>
    </w:p>
    <w:p>
      <w:pPr>
        <w:pStyle w:val="BodyText"/>
        <w:spacing w:line="276" w:lineRule="auto" w:before="180"/>
        <w:ind w:left="477" w:right="139"/>
        <w:jc w:val="both"/>
      </w:pPr>
      <w:r>
        <w:rPr/>
        <w:t>Allow the green tea to infuse in the hot water for five minutes, then strain and leave the infusion cold. In a separate pot, melt the beeswax, jojoba oil and lan- olin in a water bath, add the olive oil and the alcohol and continue to heat.</w:t>
      </w:r>
    </w:p>
    <w:p>
      <w:pPr>
        <w:pStyle w:val="BodyText"/>
        <w:spacing w:line="276" w:lineRule="auto" w:before="239"/>
        <w:ind w:left="477" w:right="136"/>
        <w:jc w:val="both"/>
      </w:pPr>
      <w:r>
        <w:rPr/>
        <w:t>Add borax to the tea infusion, then mix with the molten beeswax, stirring con- stantly.</w:t>
      </w:r>
    </w:p>
    <w:p>
      <w:pPr>
        <w:pStyle w:val="BodyText"/>
        <w:spacing w:line="276" w:lineRule="auto" w:before="240"/>
        <w:ind w:left="477" w:right="130"/>
        <w:jc w:val="both"/>
      </w:pPr>
      <w:r>
        <w:rPr/>
        <w:t>Continue</w:t>
      </w:r>
      <w:r>
        <w:rPr>
          <w:spacing w:val="-7"/>
        </w:rPr>
        <w:t> </w:t>
      </w:r>
      <w:r>
        <w:rPr/>
        <w:t>stirring</w:t>
      </w:r>
      <w:r>
        <w:rPr>
          <w:spacing w:val="-6"/>
        </w:rPr>
        <w:t> </w:t>
      </w:r>
      <w:r>
        <w:rPr/>
        <w:t>until</w:t>
      </w:r>
      <w:r>
        <w:rPr>
          <w:spacing w:val="-8"/>
        </w:rPr>
        <w:t> </w:t>
      </w:r>
      <w:r>
        <w:rPr/>
        <w:t>the</w:t>
      </w:r>
      <w:r>
        <w:rPr>
          <w:spacing w:val="-8"/>
        </w:rPr>
        <w:t> </w:t>
      </w:r>
      <w:r>
        <w:rPr/>
        <w:t>resulting</w:t>
      </w:r>
      <w:r>
        <w:rPr>
          <w:spacing w:val="-5"/>
        </w:rPr>
        <w:t> </w:t>
      </w:r>
      <w:r>
        <w:rPr/>
        <w:t>green</w:t>
      </w:r>
      <w:r>
        <w:rPr>
          <w:spacing w:val="-8"/>
        </w:rPr>
        <w:t> </w:t>
      </w:r>
      <w:r>
        <w:rPr/>
        <w:t>tea</w:t>
      </w:r>
      <w:r>
        <w:rPr>
          <w:spacing w:val="-10"/>
        </w:rPr>
        <w:t> </w:t>
      </w:r>
      <w:r>
        <w:rPr/>
        <w:t>cream</w:t>
      </w:r>
      <w:r>
        <w:rPr>
          <w:spacing w:val="-7"/>
        </w:rPr>
        <w:t> </w:t>
      </w:r>
      <w:r>
        <w:rPr/>
        <w:t>cools</w:t>
      </w:r>
      <w:r>
        <w:rPr>
          <w:spacing w:val="-7"/>
        </w:rPr>
        <w:t> </w:t>
      </w:r>
      <w:r>
        <w:rPr/>
        <w:t>slightly,</w:t>
      </w:r>
      <w:r>
        <w:rPr>
          <w:spacing w:val="-6"/>
        </w:rPr>
        <w:t> </w:t>
      </w:r>
      <w:r>
        <w:rPr/>
        <w:t>then</w:t>
      </w:r>
      <w:r>
        <w:rPr>
          <w:spacing w:val="-7"/>
        </w:rPr>
        <w:t> </w:t>
      </w:r>
      <w:r>
        <w:rPr/>
        <w:t>this</w:t>
      </w:r>
      <w:r>
        <w:rPr>
          <w:spacing w:val="-8"/>
        </w:rPr>
        <w:t> </w:t>
      </w:r>
      <w:r>
        <w:rPr/>
        <w:t>can then be transferred to appropriate storage containers. The green tea cream is ready.</w:t>
      </w:r>
    </w:p>
    <w:p>
      <w:pPr>
        <w:pStyle w:val="BodyText"/>
        <w:spacing w:before="9"/>
        <w:rPr>
          <w:sz w:val="42"/>
        </w:rPr>
      </w:pPr>
    </w:p>
    <w:p>
      <w:pPr>
        <w:pStyle w:val="Heading2"/>
      </w:pPr>
      <w:r>
        <w:rPr/>
        <w:t>Does green tea have any side effects?</w:t>
      </w:r>
    </w:p>
    <w:p>
      <w:pPr>
        <w:pStyle w:val="BodyText"/>
        <w:spacing w:line="276" w:lineRule="auto" w:before="303"/>
        <w:ind w:left="477" w:right="136"/>
        <w:jc w:val="both"/>
      </w:pPr>
      <w:r>
        <w:rPr/>
        <w:t>In contrast to black tea, which is equally healthy, green tea maximises health benefits and minimises side effects, which can be caused by black tea. This in- cludes, among other things, black tea, suppression of iron absorption, some- thing that does not occur in green tea, quite the opposite: green tea even pro- motes iron utilisation due to its high vitamin content.</w:t>
      </w:r>
    </w:p>
    <w:p>
      <w:pPr>
        <w:spacing w:after="0" w:line="276" w:lineRule="auto"/>
        <w:jc w:val="both"/>
        <w:sectPr>
          <w:footerReference w:type="default" r:id="rId159"/>
          <w:pgSz w:w="14270" w:h="16850"/>
          <w:pgMar w:footer="1891" w:header="0" w:top="1600" w:bottom="2080" w:left="800" w:right="1280"/>
          <w:pgNumType w:start="640"/>
        </w:sectPr>
      </w:pPr>
    </w:p>
    <w:p>
      <w:pPr>
        <w:pStyle w:val="Heading1"/>
        <w:spacing w:before="164"/>
      </w:pPr>
      <w:r>
        <w:rPr/>
        <w:t>Excessive intake of green tea</w:t>
      </w:r>
    </w:p>
    <w:p>
      <w:pPr>
        <w:pStyle w:val="BodyText"/>
        <w:spacing w:line="276" w:lineRule="auto" w:before="299"/>
        <w:ind w:left="477" w:right="137"/>
        <w:jc w:val="both"/>
      </w:pPr>
      <w:r>
        <w:rPr/>
        <w:t>When consumed excessively, green tea may cause digestive problems as a side effect. But this is consumption in terms of litres, which is just unnatural, and hardly anyone will do this voluntarily.</w:t>
      </w:r>
    </w:p>
    <w:p>
      <w:pPr>
        <w:pStyle w:val="BodyText"/>
        <w:spacing w:line="276" w:lineRule="auto" w:before="242"/>
        <w:ind w:left="477" w:right="134"/>
        <w:jc w:val="both"/>
      </w:pPr>
      <w:r>
        <w:rPr/>
        <w:t>If there is an increased need, for example as a result of illness, you should use green tea concentrates in pills, powder or drops in addition to the tea beverage (see ‘Purchase decision, storage’).</w:t>
      </w:r>
    </w:p>
    <w:p>
      <w:pPr>
        <w:pStyle w:val="Heading2"/>
        <w:spacing w:before="239"/>
      </w:pPr>
      <w:r>
        <w:rPr/>
        <w:t>Pesticides in green tea?</w:t>
      </w:r>
    </w:p>
    <w:p>
      <w:pPr>
        <w:pStyle w:val="BodyText"/>
        <w:spacing w:line="276" w:lineRule="auto" w:before="304"/>
        <w:ind w:left="477" w:right="133"/>
        <w:jc w:val="both"/>
      </w:pPr>
      <w:r>
        <w:rPr/>
        <w:t>Pesticides are chemical insecticides that unfortunately affect tea as well. How- ever, as the state investigation office in Freiburg has shown in tests, about </w:t>
      </w:r>
      <w:r>
        <w:rPr>
          <w:spacing w:val="2"/>
        </w:rPr>
        <w:t>90- </w:t>
      </w:r>
      <w:r>
        <w:rPr/>
        <w:t>95 % of the pesticides remain on the tea leaves and thus do not get into the</w:t>
      </w:r>
      <w:r>
        <w:rPr>
          <w:spacing w:val="-63"/>
        </w:rPr>
        <w:t> </w:t>
      </w:r>
      <w:r>
        <w:rPr/>
        <w:t>tea infusion.</w:t>
      </w:r>
    </w:p>
    <w:p>
      <w:pPr>
        <w:pStyle w:val="Heading2"/>
        <w:spacing w:before="240"/>
      </w:pPr>
      <w:r>
        <w:rPr/>
        <w:t>Conclusion</w:t>
      </w:r>
    </w:p>
    <w:p>
      <w:pPr>
        <w:pStyle w:val="BodyText"/>
        <w:spacing w:line="276" w:lineRule="auto" w:before="304"/>
        <w:ind w:left="477" w:right="135"/>
        <w:jc w:val="both"/>
      </w:pPr>
      <w:r>
        <w:rPr/>
        <w:t>Apart from the digestive problems associated with an unnaturally high con- sumption of several litres per day mentioned above – no side effects of green tea have yet been found to date.</w:t>
      </w:r>
    </w:p>
    <w:p>
      <w:pPr>
        <w:spacing w:after="0" w:line="276" w:lineRule="auto"/>
        <w:jc w:val="both"/>
        <w:sectPr>
          <w:pgSz w:w="14270" w:h="16850"/>
          <w:pgMar w:header="0" w:footer="1891" w:top="1600" w:bottom="2080" w:left="800" w:right="1280"/>
        </w:sectPr>
      </w:pPr>
    </w:p>
    <w:p>
      <w:pPr>
        <w:spacing w:before="183"/>
        <w:ind w:left="477" w:right="0" w:firstLine="0"/>
        <w:jc w:val="left"/>
        <w:rPr>
          <w:rFonts w:ascii="Cambria"/>
          <w:b/>
          <w:sz w:val="28"/>
        </w:rPr>
      </w:pPr>
      <w:r>
        <w:rPr>
          <w:rFonts w:ascii="Cambria"/>
          <w:b/>
          <w:color w:val="365F91"/>
          <w:sz w:val="28"/>
        </w:rPr>
        <w:t>COLLOIDAL GOLD</w:t>
      </w:r>
    </w:p>
    <w:p>
      <w:pPr>
        <w:pStyle w:val="BodyText"/>
        <w:rPr>
          <w:rFonts w:ascii="Cambria"/>
          <w:b/>
          <w:sz w:val="32"/>
        </w:rPr>
      </w:pPr>
    </w:p>
    <w:p>
      <w:pPr>
        <w:pStyle w:val="BodyText"/>
        <w:spacing w:before="4"/>
        <w:rPr>
          <w:rFonts w:ascii="Cambria"/>
          <w:b/>
          <w:sz w:val="31"/>
        </w:rPr>
      </w:pPr>
    </w:p>
    <w:p>
      <w:pPr>
        <w:pStyle w:val="Heading2"/>
      </w:pPr>
      <w:r>
        <w:rPr/>
        <w:t>Colloidal gold – the most important elixir on earth?</w:t>
      </w:r>
    </w:p>
    <w:p>
      <w:pPr>
        <w:spacing w:line="278" w:lineRule="auto" w:before="262"/>
        <w:ind w:left="477" w:right="142" w:firstLine="0"/>
        <w:jc w:val="both"/>
        <w:rPr>
          <w:b/>
          <w:sz w:val="38"/>
        </w:rPr>
      </w:pPr>
      <w:r>
        <w:rPr>
          <w:sz w:val="38"/>
        </w:rPr>
        <w:t>‘</w:t>
      </w:r>
      <w:r>
        <w:rPr>
          <w:i/>
          <w:sz w:val="38"/>
        </w:rPr>
        <w:t>Of all elixirs, gold is the greatest and most important to us. Gold can make the body un- </w:t>
      </w:r>
      <w:r>
        <w:rPr>
          <w:i/>
          <w:sz w:val="38"/>
        </w:rPr>
        <w:t>breakable... drinkable gold heals all diseases, it renews and restores.’ </w:t>
      </w:r>
      <w:r>
        <w:rPr>
          <w:b/>
          <w:sz w:val="38"/>
        </w:rPr>
        <w:t>Paracelsus</w:t>
      </w:r>
    </w:p>
    <w:p>
      <w:pPr>
        <w:pStyle w:val="BodyText"/>
        <w:spacing w:line="276" w:lineRule="auto" w:before="273"/>
        <w:ind w:left="477" w:right="137"/>
        <w:jc w:val="both"/>
      </w:pPr>
      <w:r>
        <w:rPr/>
        <w:t>What prompted Paracelsus, the forefather of medicine, to put the precious metal gold, which he considered an all-round remedy, on the highest pedestal of all natural remedies?</w:t>
      </w:r>
    </w:p>
    <w:p>
      <w:pPr>
        <w:pStyle w:val="BodyText"/>
        <w:spacing w:line="276" w:lineRule="auto" w:before="277"/>
        <w:ind w:left="477" w:right="131"/>
        <w:jc w:val="both"/>
      </w:pPr>
      <w:r>
        <w:rPr/>
        <w:t>What invaluable gift from ‘Mother Nature’ is being hidden from us by profit- oriented</w:t>
      </w:r>
      <w:r>
        <w:rPr>
          <w:spacing w:val="-20"/>
        </w:rPr>
        <w:t> </w:t>
      </w:r>
      <w:r>
        <w:rPr/>
        <w:t>institutions</w:t>
      </w:r>
      <w:r>
        <w:rPr>
          <w:spacing w:val="-20"/>
        </w:rPr>
        <w:t> </w:t>
      </w:r>
      <w:r>
        <w:rPr/>
        <w:t>and</w:t>
      </w:r>
      <w:r>
        <w:rPr>
          <w:spacing w:val="-20"/>
        </w:rPr>
        <w:t> </w:t>
      </w:r>
      <w:r>
        <w:rPr/>
        <w:t>conventional</w:t>
      </w:r>
      <w:r>
        <w:rPr>
          <w:spacing w:val="-22"/>
        </w:rPr>
        <w:t> </w:t>
      </w:r>
      <w:r>
        <w:rPr/>
        <w:t>medicine,</w:t>
      </w:r>
      <w:r>
        <w:rPr>
          <w:spacing w:val="-19"/>
        </w:rPr>
        <w:t> </w:t>
      </w:r>
      <w:r>
        <w:rPr/>
        <w:t>which</w:t>
      </w:r>
      <w:r>
        <w:rPr>
          <w:spacing w:val="-20"/>
        </w:rPr>
        <w:t> </w:t>
      </w:r>
      <w:r>
        <w:rPr/>
        <w:t>has</w:t>
      </w:r>
      <w:r>
        <w:rPr>
          <w:spacing w:val="-20"/>
        </w:rPr>
        <w:t> </w:t>
      </w:r>
      <w:r>
        <w:rPr/>
        <w:t>already</w:t>
      </w:r>
      <w:r>
        <w:rPr>
          <w:spacing w:val="-20"/>
        </w:rPr>
        <w:t> </w:t>
      </w:r>
      <w:r>
        <w:rPr/>
        <w:t>been</w:t>
      </w:r>
      <w:r>
        <w:rPr>
          <w:spacing w:val="-23"/>
        </w:rPr>
        <w:t> </w:t>
      </w:r>
      <w:r>
        <w:rPr/>
        <w:t>praised by the ancient Egyptians, Romans and Greeks, Chinese and Indian doctors – long</w:t>
      </w:r>
      <w:r>
        <w:rPr>
          <w:spacing w:val="-12"/>
        </w:rPr>
        <w:t> </w:t>
      </w:r>
      <w:r>
        <w:rPr/>
        <w:t>before</w:t>
      </w:r>
      <w:r>
        <w:rPr>
          <w:spacing w:val="-14"/>
        </w:rPr>
        <w:t> </w:t>
      </w:r>
      <w:r>
        <w:rPr/>
        <w:t>Paracelsus</w:t>
      </w:r>
      <w:r>
        <w:rPr>
          <w:spacing w:val="-13"/>
        </w:rPr>
        <w:t> </w:t>
      </w:r>
      <w:r>
        <w:rPr/>
        <w:t>and</w:t>
      </w:r>
      <w:r>
        <w:rPr>
          <w:spacing w:val="-12"/>
        </w:rPr>
        <w:t> </w:t>
      </w:r>
      <w:r>
        <w:rPr/>
        <w:t>Avicenna,</w:t>
      </w:r>
      <w:r>
        <w:rPr>
          <w:spacing w:val="-13"/>
        </w:rPr>
        <w:t> </w:t>
      </w:r>
      <w:r>
        <w:rPr/>
        <w:t>St.</w:t>
      </w:r>
      <w:r>
        <w:rPr>
          <w:spacing w:val="-14"/>
        </w:rPr>
        <w:t> </w:t>
      </w:r>
      <w:r>
        <w:rPr/>
        <w:t>Hildegard</w:t>
      </w:r>
      <w:r>
        <w:rPr>
          <w:spacing w:val="-13"/>
        </w:rPr>
        <w:t> </w:t>
      </w:r>
      <w:r>
        <w:rPr/>
        <w:t>of</w:t>
      </w:r>
      <w:r>
        <w:rPr>
          <w:spacing w:val="-15"/>
        </w:rPr>
        <w:t> </w:t>
      </w:r>
      <w:r>
        <w:rPr/>
        <w:t>Bingen</w:t>
      </w:r>
      <w:r>
        <w:rPr>
          <w:spacing w:val="-13"/>
        </w:rPr>
        <w:t> </w:t>
      </w:r>
      <w:r>
        <w:rPr/>
        <w:t>and</w:t>
      </w:r>
      <w:r>
        <w:rPr>
          <w:spacing w:val="-15"/>
        </w:rPr>
        <w:t> </w:t>
      </w:r>
      <w:r>
        <w:rPr/>
        <w:t>finally,</w:t>
      </w:r>
      <w:r>
        <w:rPr>
          <w:spacing w:val="-12"/>
        </w:rPr>
        <w:t> </w:t>
      </w:r>
      <w:r>
        <w:rPr/>
        <w:t>in</w:t>
      </w:r>
      <w:r>
        <w:rPr>
          <w:spacing w:val="-13"/>
        </w:rPr>
        <w:t> </w:t>
      </w:r>
      <w:r>
        <w:rPr/>
        <w:t>the 19th century, even the bacteriologist Robert Koch...?</w:t>
      </w:r>
    </w:p>
    <w:p>
      <w:pPr>
        <w:pStyle w:val="BodyText"/>
        <w:spacing w:line="276" w:lineRule="auto" w:before="281"/>
        <w:ind w:left="477" w:right="141"/>
        <w:jc w:val="both"/>
      </w:pPr>
      <w:r>
        <w:rPr/>
        <w:t>Findings</w:t>
      </w:r>
      <w:r>
        <w:rPr>
          <w:spacing w:val="-8"/>
        </w:rPr>
        <w:t> </w:t>
      </w:r>
      <w:r>
        <w:rPr/>
        <w:t>which</w:t>
      </w:r>
      <w:r>
        <w:rPr>
          <w:spacing w:val="-10"/>
        </w:rPr>
        <w:t> </w:t>
      </w:r>
      <w:r>
        <w:rPr/>
        <w:t>are</w:t>
      </w:r>
      <w:r>
        <w:rPr>
          <w:spacing w:val="-9"/>
        </w:rPr>
        <w:t> </w:t>
      </w:r>
      <w:r>
        <w:rPr/>
        <w:t>underpinned</w:t>
      </w:r>
      <w:r>
        <w:rPr>
          <w:spacing w:val="-9"/>
        </w:rPr>
        <w:t> </w:t>
      </w:r>
      <w:r>
        <w:rPr/>
        <w:t>by</w:t>
      </w:r>
      <w:r>
        <w:rPr>
          <w:spacing w:val="-8"/>
        </w:rPr>
        <w:t> </w:t>
      </w:r>
      <w:r>
        <w:rPr/>
        <w:t>modern</w:t>
      </w:r>
      <w:r>
        <w:rPr>
          <w:spacing w:val="-8"/>
        </w:rPr>
        <w:t> </w:t>
      </w:r>
      <w:r>
        <w:rPr/>
        <w:t>research</w:t>
      </w:r>
      <w:r>
        <w:rPr>
          <w:spacing w:val="-8"/>
        </w:rPr>
        <w:t> </w:t>
      </w:r>
      <w:r>
        <w:rPr/>
        <w:t>but</w:t>
      </w:r>
      <w:r>
        <w:rPr>
          <w:spacing w:val="-10"/>
        </w:rPr>
        <w:t> </w:t>
      </w:r>
      <w:r>
        <w:rPr/>
        <w:t>receive</w:t>
      </w:r>
      <w:r>
        <w:rPr>
          <w:spacing w:val="-11"/>
        </w:rPr>
        <w:t> </w:t>
      </w:r>
      <w:r>
        <w:rPr/>
        <w:t>little</w:t>
      </w:r>
      <w:r>
        <w:rPr>
          <w:spacing w:val="-8"/>
        </w:rPr>
        <w:t> </w:t>
      </w:r>
      <w:r>
        <w:rPr/>
        <w:t>attention from the established medical</w:t>
      </w:r>
      <w:r>
        <w:rPr>
          <w:spacing w:val="1"/>
        </w:rPr>
        <w:t> </w:t>
      </w:r>
      <w:r>
        <w:rPr/>
        <w:t>establishment...</w:t>
      </w:r>
    </w:p>
    <w:p>
      <w:pPr>
        <w:pStyle w:val="BodyText"/>
        <w:spacing w:line="276" w:lineRule="auto" w:before="282"/>
        <w:ind w:left="477" w:right="132"/>
        <w:jc w:val="both"/>
      </w:pPr>
      <w:r>
        <w:rPr/>
        <w:t>Modern people are most likely to associate gold with jewellery, coins, luxury and, in recent years, a stable investment for the future. The fact that gold is so much more, that it is, first and foremost, an incredibly potent, almost funda- mental elixir of life and a fountain of youth par excellence, naturally occurring in our body as a trace element (particularly in the brain – for good reason) and</w:t>
      </w:r>
    </w:p>
    <w:p>
      <w:pPr>
        <w:spacing w:after="0" w:line="276" w:lineRule="auto"/>
        <w:jc w:val="both"/>
        <w:sectPr>
          <w:pgSz w:w="14270" w:h="16850"/>
          <w:pgMar w:header="0" w:footer="1891" w:top="1600" w:bottom="2080" w:left="800" w:right="1280"/>
        </w:sectPr>
      </w:pPr>
    </w:p>
    <w:p>
      <w:pPr>
        <w:pStyle w:val="BodyText"/>
        <w:spacing w:line="276" w:lineRule="auto" w:before="181"/>
        <w:ind w:left="477" w:right="146"/>
        <w:jc w:val="both"/>
      </w:pPr>
      <w:r>
        <w:rPr/>
        <w:t>exercises a phenomenal, holistic effect on our health, our life energy, youthful- ness and even our mind, may be known to just a small group of people.</w:t>
      </w:r>
    </w:p>
    <w:p>
      <w:pPr>
        <w:pStyle w:val="BodyText"/>
        <w:spacing w:line="276" w:lineRule="auto" w:before="282"/>
        <w:ind w:left="477" w:right="132"/>
        <w:jc w:val="both"/>
      </w:pPr>
      <w:r>
        <w:rPr/>
        <w:t>Far from any esoteric thought, colloidal gold (also referred to as </w:t>
      </w:r>
      <w:r>
        <w:rPr>
          <w:i/>
        </w:rPr>
        <w:t>nanogold</w:t>
      </w:r>
      <w:r>
        <w:rPr/>
        <w:t>, </w:t>
      </w:r>
      <w:r>
        <w:rPr>
          <w:i/>
        </w:rPr>
        <w:t>mesogold</w:t>
      </w:r>
      <w:r>
        <w:rPr/>
        <w:t>, </w:t>
      </w:r>
      <w:r>
        <w:rPr>
          <w:i/>
        </w:rPr>
        <w:t>gold colloid, </w:t>
      </w:r>
      <w:r>
        <w:rPr/>
        <w:t>and ‘</w:t>
      </w:r>
      <w:r>
        <w:rPr>
          <w:i/>
        </w:rPr>
        <w:t>drinkable gold’</w:t>
      </w:r>
      <w:r>
        <w:rPr/>
        <w:t>) is truly an all-around elixir on a whole new level, capable of phenomenal accomplishments in terms physical, mental and emotional wellbeing.</w:t>
      </w:r>
    </w:p>
    <w:p>
      <w:pPr>
        <w:pStyle w:val="BodyText"/>
        <w:spacing w:line="276" w:lineRule="auto" w:before="280"/>
        <w:ind w:left="477" w:right="141"/>
        <w:jc w:val="both"/>
      </w:pPr>
      <w:r>
        <w:rPr/>
        <w:t>In times of stress, permanent overload and lack of energy, the overall effect of colloidal gold on all our energetic systems is invaluable to modern humanity.</w:t>
      </w:r>
    </w:p>
    <w:p>
      <w:pPr>
        <w:pStyle w:val="BodyText"/>
        <w:spacing w:line="276" w:lineRule="auto" w:before="280"/>
        <w:ind w:left="477" w:right="129"/>
        <w:jc w:val="both"/>
      </w:pPr>
      <w:r>
        <w:rPr/>
        <w:t>Due to its electric and magnetic fields, colloidal gold is able to release</w:t>
      </w:r>
      <w:r>
        <w:rPr>
          <w:spacing w:val="-46"/>
        </w:rPr>
        <w:t> </w:t>
      </w:r>
      <w:r>
        <w:rPr/>
        <w:t>energetic blockages – bringing our body, mind and soul back into their intended vibra- tional patterns, noticeably restore life energy, mental freshness and physical strength, while lessening ailments and often causing even major diseases to de- part from the body...</w:t>
      </w:r>
    </w:p>
    <w:p>
      <w:pPr>
        <w:pStyle w:val="BodyText"/>
        <w:spacing w:line="276" w:lineRule="auto" w:before="280"/>
        <w:ind w:left="477" w:right="139"/>
        <w:jc w:val="both"/>
      </w:pPr>
      <w:r>
        <w:rPr/>
        <w:t>As a noble elixir, reserved for the rich and powerful at the time, gold was suc- cessfully used against a variety of diseases and conditions thousands of years ago. As a tradition, and as a preventative measure, the nobility drank water</w:t>
      </w:r>
      <w:r>
        <w:rPr>
          <w:spacing w:val="-52"/>
        </w:rPr>
        <w:t> </w:t>
      </w:r>
      <w:r>
        <w:rPr/>
        <w:t>and wine from a gold cup.</w:t>
      </w:r>
    </w:p>
    <w:p>
      <w:pPr>
        <w:pStyle w:val="BodyText"/>
        <w:spacing w:line="276" w:lineRule="auto" w:before="280"/>
        <w:ind w:left="477" w:right="139"/>
        <w:jc w:val="both"/>
      </w:pPr>
      <w:r>
        <w:rPr/>
        <w:t>Gold may even be the oldest remedy in human history. According to oldest medical records, gold was used 5000 years ago by Egyptians to strengthen the flow of energy and vitality, as well as for mental and physical cleansing.</w:t>
      </w:r>
    </w:p>
    <w:p>
      <w:pPr>
        <w:spacing w:after="0" w:line="276" w:lineRule="auto"/>
        <w:jc w:val="both"/>
        <w:sectPr>
          <w:pgSz w:w="14270" w:h="16850"/>
          <w:pgMar w:header="0" w:footer="1891" w:top="1600" w:bottom="2080" w:left="800" w:right="1280"/>
        </w:sectPr>
      </w:pPr>
    </w:p>
    <w:p>
      <w:pPr>
        <w:pStyle w:val="BodyText"/>
        <w:spacing w:line="276" w:lineRule="auto" w:before="181"/>
        <w:ind w:left="477" w:right="132"/>
        <w:jc w:val="both"/>
      </w:pPr>
      <w:r>
        <w:rPr/>
        <w:t>As</w:t>
      </w:r>
      <w:r>
        <w:rPr>
          <w:spacing w:val="-11"/>
        </w:rPr>
        <w:t> </w:t>
      </w:r>
      <w:r>
        <w:rPr/>
        <w:t>an</w:t>
      </w:r>
      <w:r>
        <w:rPr>
          <w:spacing w:val="-11"/>
        </w:rPr>
        <w:t> </w:t>
      </w:r>
      <w:r>
        <w:rPr/>
        <w:t>indispensable</w:t>
      </w:r>
      <w:r>
        <w:rPr>
          <w:spacing w:val="-10"/>
        </w:rPr>
        <w:t> </w:t>
      </w:r>
      <w:r>
        <w:rPr/>
        <w:t>remedy,</w:t>
      </w:r>
      <w:r>
        <w:rPr>
          <w:spacing w:val="-12"/>
        </w:rPr>
        <w:t> </w:t>
      </w:r>
      <w:r>
        <w:rPr/>
        <w:t>gold</w:t>
      </w:r>
      <w:r>
        <w:rPr>
          <w:spacing w:val="-12"/>
        </w:rPr>
        <w:t> </w:t>
      </w:r>
      <w:r>
        <w:rPr/>
        <w:t>has</w:t>
      </w:r>
      <w:r>
        <w:rPr>
          <w:spacing w:val="-10"/>
        </w:rPr>
        <w:t> </w:t>
      </w:r>
      <w:r>
        <w:rPr/>
        <w:t>been</w:t>
      </w:r>
      <w:r>
        <w:rPr>
          <w:spacing w:val="-11"/>
        </w:rPr>
        <w:t> </w:t>
      </w:r>
      <w:r>
        <w:rPr/>
        <w:t>used</w:t>
      </w:r>
      <w:r>
        <w:rPr>
          <w:spacing w:val="-12"/>
        </w:rPr>
        <w:t> </w:t>
      </w:r>
      <w:r>
        <w:rPr/>
        <w:t>for</w:t>
      </w:r>
      <w:r>
        <w:rPr>
          <w:spacing w:val="-10"/>
        </w:rPr>
        <w:t> </w:t>
      </w:r>
      <w:r>
        <w:rPr/>
        <w:t>thousands</w:t>
      </w:r>
      <w:r>
        <w:rPr>
          <w:spacing w:val="-13"/>
        </w:rPr>
        <w:t> </w:t>
      </w:r>
      <w:r>
        <w:rPr/>
        <w:t>of</w:t>
      </w:r>
      <w:r>
        <w:rPr>
          <w:spacing w:val="-13"/>
        </w:rPr>
        <w:t> </w:t>
      </w:r>
      <w:r>
        <w:rPr/>
        <w:t>years</w:t>
      </w:r>
      <w:r>
        <w:rPr>
          <w:spacing w:val="-10"/>
        </w:rPr>
        <w:t> </w:t>
      </w:r>
      <w:r>
        <w:rPr/>
        <w:t>in</w:t>
      </w:r>
      <w:r>
        <w:rPr>
          <w:spacing w:val="-12"/>
        </w:rPr>
        <w:t> </w:t>
      </w:r>
      <w:r>
        <w:rPr/>
        <w:t>TCM (Traditional</w:t>
      </w:r>
      <w:r>
        <w:rPr>
          <w:spacing w:val="-19"/>
        </w:rPr>
        <w:t> </w:t>
      </w:r>
      <w:r>
        <w:rPr/>
        <w:t>Chinese</w:t>
      </w:r>
      <w:r>
        <w:rPr>
          <w:spacing w:val="-17"/>
        </w:rPr>
        <w:t> </w:t>
      </w:r>
      <w:r>
        <w:rPr/>
        <w:t>Medicine)</w:t>
      </w:r>
      <w:r>
        <w:rPr>
          <w:spacing w:val="-18"/>
        </w:rPr>
        <w:t> </w:t>
      </w:r>
      <w:r>
        <w:rPr/>
        <w:t>and</w:t>
      </w:r>
      <w:r>
        <w:rPr>
          <w:spacing w:val="-17"/>
        </w:rPr>
        <w:t> </w:t>
      </w:r>
      <w:r>
        <w:rPr/>
        <w:t>Indian</w:t>
      </w:r>
      <w:r>
        <w:rPr>
          <w:spacing w:val="-18"/>
        </w:rPr>
        <w:t> </w:t>
      </w:r>
      <w:r>
        <w:rPr/>
        <w:t>Ayurveda.</w:t>
      </w:r>
      <w:r>
        <w:rPr>
          <w:spacing w:val="-17"/>
        </w:rPr>
        <w:t> </w:t>
      </w:r>
      <w:r>
        <w:rPr/>
        <w:t>Both</w:t>
      </w:r>
      <w:r>
        <w:rPr>
          <w:spacing w:val="-17"/>
        </w:rPr>
        <w:t> </w:t>
      </w:r>
      <w:r>
        <w:rPr/>
        <w:t>medical</w:t>
      </w:r>
      <w:r>
        <w:rPr>
          <w:spacing w:val="-18"/>
        </w:rPr>
        <w:t> </w:t>
      </w:r>
      <w:r>
        <w:rPr/>
        <w:t>cultures</w:t>
      </w:r>
      <w:r>
        <w:rPr>
          <w:spacing w:val="-17"/>
        </w:rPr>
        <w:t> </w:t>
      </w:r>
      <w:r>
        <w:rPr/>
        <w:t>use gold not only to strengthen or restore health, but also to bring fresh-minded- ness, rejuvenation and longevity.</w:t>
      </w:r>
    </w:p>
    <w:p>
      <w:pPr>
        <w:pStyle w:val="BodyText"/>
        <w:spacing w:line="276" w:lineRule="auto" w:before="280"/>
        <w:ind w:left="477" w:right="130"/>
        <w:jc w:val="both"/>
      </w:pPr>
      <w:r>
        <w:rPr/>
        <w:t>Slogans like ‘inheritance’ and ‘tradition’ raise alarm bells among sceptics – for- tunately, however, in the case of gold, we no longer have to rely solely on an- cient medical writings, traditions, and shamanic intuition. As you will read be- low, modern research, with its innovative measurement and analysis methods, has recently revealed the unbelievable truth, affirming the millennium of gold use within traditional medicine.</w:t>
      </w:r>
    </w:p>
    <w:p>
      <w:pPr>
        <w:spacing w:line="276" w:lineRule="auto" w:before="282"/>
        <w:ind w:left="477" w:right="142" w:firstLine="0"/>
        <w:jc w:val="both"/>
        <w:rPr>
          <w:sz w:val="38"/>
        </w:rPr>
      </w:pPr>
      <w:r>
        <w:rPr>
          <w:i/>
          <w:sz w:val="38"/>
        </w:rPr>
        <w:t>‘In</w:t>
      </w:r>
      <w:r>
        <w:rPr>
          <w:i/>
          <w:spacing w:val="-23"/>
          <w:sz w:val="38"/>
        </w:rPr>
        <w:t> </w:t>
      </w:r>
      <w:r>
        <w:rPr>
          <w:i/>
          <w:sz w:val="38"/>
        </w:rPr>
        <w:t>all</w:t>
      </w:r>
      <w:r>
        <w:rPr>
          <w:i/>
          <w:spacing w:val="-25"/>
          <w:sz w:val="38"/>
        </w:rPr>
        <w:t> </w:t>
      </w:r>
      <w:r>
        <w:rPr>
          <w:i/>
          <w:sz w:val="38"/>
        </w:rPr>
        <w:t>patients,</w:t>
      </w:r>
      <w:r>
        <w:rPr>
          <w:i/>
          <w:spacing w:val="-22"/>
          <w:sz w:val="38"/>
        </w:rPr>
        <w:t> </w:t>
      </w:r>
      <w:r>
        <w:rPr>
          <w:i/>
          <w:sz w:val="38"/>
        </w:rPr>
        <w:t>regardless</w:t>
      </w:r>
      <w:r>
        <w:rPr>
          <w:i/>
          <w:spacing w:val="-24"/>
          <w:sz w:val="38"/>
        </w:rPr>
        <w:t> </w:t>
      </w:r>
      <w:r>
        <w:rPr>
          <w:i/>
          <w:sz w:val="38"/>
        </w:rPr>
        <w:t>of</w:t>
      </w:r>
      <w:r>
        <w:rPr>
          <w:i/>
          <w:spacing w:val="-23"/>
          <w:sz w:val="38"/>
        </w:rPr>
        <w:t> </w:t>
      </w:r>
      <w:r>
        <w:rPr>
          <w:i/>
          <w:sz w:val="38"/>
        </w:rPr>
        <w:t>individual</w:t>
      </w:r>
      <w:r>
        <w:rPr>
          <w:i/>
          <w:spacing w:val="-22"/>
          <w:sz w:val="38"/>
        </w:rPr>
        <w:t> </w:t>
      </w:r>
      <w:r>
        <w:rPr>
          <w:i/>
          <w:sz w:val="38"/>
        </w:rPr>
        <w:t>diagnosis,</w:t>
      </w:r>
      <w:r>
        <w:rPr>
          <w:i/>
          <w:spacing w:val="-24"/>
          <w:sz w:val="38"/>
        </w:rPr>
        <w:t> </w:t>
      </w:r>
      <w:r>
        <w:rPr>
          <w:i/>
          <w:sz w:val="38"/>
        </w:rPr>
        <w:t>the</w:t>
      </w:r>
      <w:r>
        <w:rPr>
          <w:i/>
          <w:spacing w:val="-24"/>
          <w:sz w:val="38"/>
        </w:rPr>
        <w:t> </w:t>
      </w:r>
      <w:r>
        <w:rPr>
          <w:i/>
          <w:sz w:val="38"/>
        </w:rPr>
        <w:t>condition</w:t>
      </w:r>
      <w:r>
        <w:rPr>
          <w:i/>
          <w:spacing w:val="-21"/>
          <w:sz w:val="38"/>
        </w:rPr>
        <w:t> </w:t>
      </w:r>
      <w:r>
        <w:rPr>
          <w:i/>
          <w:sz w:val="38"/>
        </w:rPr>
        <w:t>of</w:t>
      </w:r>
      <w:r>
        <w:rPr>
          <w:i/>
          <w:spacing w:val="-23"/>
          <w:sz w:val="38"/>
        </w:rPr>
        <w:t> </w:t>
      </w:r>
      <w:r>
        <w:rPr>
          <w:i/>
          <w:sz w:val="38"/>
        </w:rPr>
        <w:t>red</w:t>
      </w:r>
      <w:r>
        <w:rPr>
          <w:i/>
          <w:spacing w:val="-24"/>
          <w:sz w:val="38"/>
        </w:rPr>
        <w:t> </w:t>
      </w:r>
      <w:r>
        <w:rPr>
          <w:i/>
          <w:sz w:val="38"/>
        </w:rPr>
        <w:t>cells,</w:t>
      </w:r>
      <w:r>
        <w:rPr>
          <w:i/>
          <w:spacing w:val="-21"/>
          <w:sz w:val="38"/>
        </w:rPr>
        <w:t> </w:t>
      </w:r>
      <w:r>
        <w:rPr>
          <w:i/>
          <w:sz w:val="38"/>
        </w:rPr>
        <w:t>cellular</w:t>
      </w:r>
      <w:r>
        <w:rPr>
          <w:i/>
          <w:spacing w:val="-23"/>
          <w:sz w:val="38"/>
        </w:rPr>
        <w:t> </w:t>
      </w:r>
      <w:r>
        <w:rPr>
          <w:i/>
          <w:sz w:val="38"/>
        </w:rPr>
        <w:t>respiration, </w:t>
      </w:r>
      <w:r>
        <w:rPr>
          <w:i/>
          <w:sz w:val="38"/>
        </w:rPr>
        <w:t>energy metabolism, and enzyme status improved; environmental toxins are increasingly elimi- nated, free radicals are better neutralised, the immune system is strengthened and the metabo- lism is</w:t>
      </w:r>
      <w:r>
        <w:rPr>
          <w:i/>
          <w:spacing w:val="-1"/>
          <w:sz w:val="38"/>
        </w:rPr>
        <w:t> </w:t>
      </w:r>
      <w:r>
        <w:rPr>
          <w:i/>
          <w:sz w:val="38"/>
        </w:rPr>
        <w:t>regulated’</w:t>
      </w:r>
      <w:r>
        <w:rPr>
          <w:i/>
          <w:position w:val="9"/>
          <w:sz w:val="25"/>
        </w:rPr>
        <w:t>405</w:t>
      </w:r>
      <w:r>
        <w:rPr>
          <w:sz w:val="38"/>
        </w:rPr>
        <w:t>,</w:t>
      </w:r>
    </w:p>
    <w:p>
      <w:pPr>
        <w:pStyle w:val="BodyText"/>
        <w:tabs>
          <w:tab w:pos="12044" w:val="right" w:leader="none"/>
        </w:tabs>
        <w:spacing w:line="276" w:lineRule="auto" w:before="280"/>
        <w:ind w:left="477" w:right="132"/>
        <w:jc w:val="both"/>
        <w:rPr>
          <w:sz w:val="25"/>
        </w:rPr>
      </w:pPr>
      <w:r>
        <w:rPr/>
        <w:t>This was the summary of the head of ‘Cytomed GmbH’, a specialist laboratory for blood cell analysis, environmental investigation and clinico-chemical exam- inations in Baden-Baden, for just a three-day intake of the gold essence ‘aurum potabile’</w:t>
        <w:tab/>
      </w:r>
      <w:r>
        <w:rPr>
          <w:position w:val="9"/>
          <w:sz w:val="25"/>
        </w:rPr>
        <w:t>406</w:t>
      </w:r>
    </w:p>
    <w:p>
      <w:pPr>
        <w:pStyle w:val="BodyText"/>
        <w:spacing w:line="427" w:lineRule="exact"/>
        <w:ind w:left="477"/>
        <w:jc w:val="both"/>
      </w:pPr>
      <w:r>
        <w:rPr/>
        <w:t>As</w:t>
      </w:r>
      <w:r>
        <w:rPr>
          <w:spacing w:val="35"/>
        </w:rPr>
        <w:t> </w:t>
      </w:r>
      <w:r>
        <w:rPr/>
        <w:t>you</w:t>
      </w:r>
      <w:r>
        <w:rPr>
          <w:spacing w:val="34"/>
        </w:rPr>
        <w:t> </w:t>
      </w:r>
      <w:r>
        <w:rPr/>
        <w:t>will</w:t>
      </w:r>
      <w:r>
        <w:rPr>
          <w:spacing w:val="33"/>
        </w:rPr>
        <w:t> </w:t>
      </w:r>
      <w:r>
        <w:rPr/>
        <w:t>come</w:t>
      </w:r>
      <w:r>
        <w:rPr>
          <w:spacing w:val="36"/>
        </w:rPr>
        <w:t> </w:t>
      </w:r>
      <w:r>
        <w:rPr/>
        <w:t>to</w:t>
      </w:r>
      <w:r>
        <w:rPr>
          <w:spacing w:val="35"/>
        </w:rPr>
        <w:t> </w:t>
      </w:r>
      <w:r>
        <w:rPr/>
        <w:t>read,</w:t>
      </w:r>
      <w:r>
        <w:rPr>
          <w:spacing w:val="36"/>
        </w:rPr>
        <w:t> </w:t>
      </w:r>
      <w:r>
        <w:rPr/>
        <w:t>modern</w:t>
      </w:r>
      <w:r>
        <w:rPr>
          <w:spacing w:val="36"/>
        </w:rPr>
        <w:t> </w:t>
      </w:r>
      <w:r>
        <w:rPr/>
        <w:t>day</w:t>
      </w:r>
      <w:r>
        <w:rPr>
          <w:spacing w:val="34"/>
        </w:rPr>
        <w:t> </w:t>
      </w:r>
      <w:r>
        <w:rPr/>
        <w:t>therapy</w:t>
      </w:r>
      <w:r>
        <w:rPr>
          <w:spacing w:val="36"/>
        </w:rPr>
        <w:t> </w:t>
      </w:r>
      <w:r>
        <w:rPr/>
        <w:t>and</w:t>
      </w:r>
      <w:r>
        <w:rPr>
          <w:spacing w:val="35"/>
        </w:rPr>
        <w:t> </w:t>
      </w:r>
      <w:r>
        <w:rPr/>
        <w:t>current</w:t>
      </w:r>
      <w:r>
        <w:rPr>
          <w:spacing w:val="36"/>
        </w:rPr>
        <w:t> </w:t>
      </w:r>
      <w:r>
        <w:rPr/>
        <w:t>research</w:t>
      </w:r>
      <w:r>
        <w:rPr>
          <w:spacing w:val="35"/>
        </w:rPr>
        <w:t> </w:t>
      </w:r>
      <w:r>
        <w:rPr/>
        <w:t>certifies</w:t>
      </w:r>
    </w:p>
    <w:p>
      <w:pPr>
        <w:spacing w:before="870"/>
        <w:ind w:left="477" w:right="0" w:firstLine="0"/>
        <w:jc w:val="left"/>
        <w:rPr>
          <w:sz w:val="20"/>
        </w:rPr>
      </w:pPr>
      <w:r>
        <w:rPr/>
        <w:pict>
          <v:line style="position:absolute;mso-position-horizontal-relative:page;mso-position-vertical-relative:paragraph;z-index:6832" from="63.863998pt,25.238142pt" to="207.883998pt,25.238142pt" stroked="true" strokeweight=".72003pt" strokecolor="#000000">
            <v:stroke dashstyle="solid"/>
            <w10:wrap type="none"/>
          </v:line>
        </w:pict>
      </w:r>
      <w:r>
        <w:rPr>
          <w:position w:val="5"/>
          <w:sz w:val="14"/>
        </w:rPr>
        <w:t>405</w:t>
      </w:r>
      <w:r>
        <w:rPr>
          <w:spacing w:val="-1"/>
          <w:position w:val="5"/>
          <w:sz w:val="14"/>
        </w:rPr>
        <w:t> </w:t>
      </w:r>
      <w:hyperlink r:id="rId160">
        <w:r>
          <w:rPr>
            <w:sz w:val="20"/>
          </w:rPr>
          <w:t>http://www.horusmedia.de/2012-aurum/aurum.php</w:t>
        </w:r>
      </w:hyperlink>
    </w:p>
    <w:p>
      <w:pPr>
        <w:spacing w:before="260"/>
        <w:ind w:left="477" w:right="0" w:firstLine="0"/>
        <w:jc w:val="left"/>
        <w:rPr>
          <w:sz w:val="20"/>
        </w:rPr>
      </w:pPr>
      <w:r>
        <w:rPr>
          <w:position w:val="5"/>
          <w:sz w:val="14"/>
        </w:rPr>
        <w:t>406</w:t>
      </w:r>
      <w:r>
        <w:rPr>
          <w:spacing w:val="-1"/>
          <w:position w:val="5"/>
          <w:sz w:val="14"/>
        </w:rPr>
        <w:t> </w:t>
      </w:r>
      <w:hyperlink r:id="rId160">
        <w:r>
          <w:rPr>
            <w:sz w:val="20"/>
          </w:rPr>
          <w:t>http://www.horusmedia.de/2012-aurum/aurum.php</w:t>
        </w:r>
      </w:hyperlink>
    </w:p>
    <w:p>
      <w:pPr>
        <w:spacing w:after="0"/>
        <w:jc w:val="left"/>
        <w:rPr>
          <w:sz w:val="20"/>
        </w:rPr>
        <w:sectPr>
          <w:pgSz w:w="14270" w:h="16850"/>
          <w:pgMar w:header="0" w:footer="1891" w:top="1600" w:bottom="2080" w:left="800" w:right="1280"/>
        </w:sectPr>
      </w:pPr>
    </w:p>
    <w:p>
      <w:pPr>
        <w:pStyle w:val="BodyText"/>
        <w:spacing w:line="276" w:lineRule="auto" w:before="181"/>
        <w:ind w:left="477"/>
      </w:pPr>
      <w:r>
        <w:rPr/>
        <w:t>colloidal gold’s efficacy in many conditions which are difficult to treat, and, at the same time, the safety to health of taking gold.</w:t>
      </w:r>
    </w:p>
    <w:p>
      <w:pPr>
        <w:pStyle w:val="Heading1"/>
        <w:spacing w:before="265"/>
      </w:pPr>
      <w:r>
        <w:rPr/>
        <w:t>Gold – the drinkable solar energy</w:t>
      </w:r>
    </w:p>
    <w:p>
      <w:pPr>
        <w:pStyle w:val="BodyText"/>
        <w:spacing w:line="276" w:lineRule="auto" w:before="337"/>
        <w:ind w:left="477" w:right="132"/>
        <w:jc w:val="both"/>
      </w:pPr>
      <w:r>
        <w:rPr/>
        <w:t>What would our life be without energy, and what would life energy be without sunlight? Traditionally, gold has always been associated with the sun. Thus, within TCM (Traditional Chinese Medicine), a central life energy is attributed to</w:t>
      </w:r>
      <w:r>
        <w:rPr>
          <w:spacing w:val="-16"/>
        </w:rPr>
        <w:t> </w:t>
      </w:r>
      <w:r>
        <w:rPr/>
        <w:t>gold</w:t>
      </w:r>
      <w:r>
        <w:rPr>
          <w:spacing w:val="-16"/>
        </w:rPr>
        <w:t> </w:t>
      </w:r>
      <w:r>
        <w:rPr/>
        <w:t>due</w:t>
      </w:r>
      <w:r>
        <w:rPr>
          <w:spacing w:val="-17"/>
        </w:rPr>
        <w:t> </w:t>
      </w:r>
      <w:r>
        <w:rPr/>
        <w:t>to</w:t>
      </w:r>
      <w:r>
        <w:rPr>
          <w:spacing w:val="-15"/>
        </w:rPr>
        <w:t> </w:t>
      </w:r>
      <w:r>
        <w:rPr/>
        <w:t>its</w:t>
      </w:r>
      <w:r>
        <w:rPr>
          <w:spacing w:val="-14"/>
        </w:rPr>
        <w:t> </w:t>
      </w:r>
      <w:r>
        <w:rPr/>
        <w:t>proximity</w:t>
      </w:r>
      <w:r>
        <w:rPr>
          <w:spacing w:val="-17"/>
        </w:rPr>
        <w:t> </w:t>
      </w:r>
      <w:r>
        <w:rPr/>
        <w:t>to</w:t>
      </w:r>
      <w:r>
        <w:rPr>
          <w:spacing w:val="-15"/>
        </w:rPr>
        <w:t> </w:t>
      </w:r>
      <w:r>
        <w:rPr/>
        <w:t>the</w:t>
      </w:r>
      <w:r>
        <w:rPr>
          <w:spacing w:val="-14"/>
        </w:rPr>
        <w:t> </w:t>
      </w:r>
      <w:r>
        <w:rPr/>
        <w:t>sun,</w:t>
      </w:r>
      <w:r>
        <w:rPr>
          <w:spacing w:val="-14"/>
        </w:rPr>
        <w:t> </w:t>
      </w:r>
      <w:r>
        <w:rPr/>
        <w:t>which</w:t>
      </w:r>
      <w:r>
        <w:rPr>
          <w:spacing w:val="-14"/>
        </w:rPr>
        <w:t> </w:t>
      </w:r>
      <w:r>
        <w:rPr/>
        <w:t>therefore</w:t>
      </w:r>
      <w:r>
        <w:rPr>
          <w:spacing w:val="-15"/>
        </w:rPr>
        <w:t> </w:t>
      </w:r>
      <w:r>
        <w:rPr/>
        <w:t>corresponds</w:t>
      </w:r>
      <w:r>
        <w:rPr>
          <w:spacing w:val="-15"/>
        </w:rPr>
        <w:t> </w:t>
      </w:r>
      <w:r>
        <w:rPr/>
        <w:t>to</w:t>
      </w:r>
      <w:r>
        <w:rPr>
          <w:spacing w:val="-15"/>
        </w:rPr>
        <w:t> </w:t>
      </w:r>
      <w:r>
        <w:rPr/>
        <w:t>the</w:t>
      </w:r>
      <w:r>
        <w:rPr>
          <w:spacing w:val="-14"/>
        </w:rPr>
        <w:t> </w:t>
      </w:r>
      <w:r>
        <w:rPr/>
        <w:t>male Yang principle. This may also be an important reason for the value of gold, which has stood since time immemorial, the properties of which are associated with vitality, growth and healing. And indeed, users of colloidal gold already report increased vitality, </w:t>
      </w:r>
      <w:r>
        <w:rPr>
          <w:i/>
        </w:rPr>
        <w:t>joie de vivre</w:t>
      </w:r>
      <w:r>
        <w:rPr/>
        <w:t>, inner balance, and creativity after a short period of regular use, while, at the same time, stress and depression disappear. The exact feelings and experiences that we get in spring with the first rays of sunshine...</w:t>
      </w:r>
    </w:p>
    <w:p>
      <w:pPr>
        <w:pStyle w:val="Heading1"/>
        <w:spacing w:before="264"/>
      </w:pPr>
      <w:r>
        <w:rPr/>
        <w:t>Gold as natural as our body itself</w:t>
      </w:r>
    </w:p>
    <w:p>
      <w:pPr>
        <w:pStyle w:val="BodyText"/>
        <w:spacing w:line="276" w:lineRule="auto" w:before="338"/>
        <w:ind w:left="477"/>
      </w:pPr>
      <w:r>
        <w:rPr/>
        <w:t>As a trace element, gold naturally occurs in our body, especially in the brain, where it performs important tasks.</w:t>
      </w:r>
    </w:p>
    <w:p>
      <w:pPr>
        <w:pStyle w:val="BodyText"/>
        <w:spacing w:line="276" w:lineRule="auto" w:before="281"/>
        <w:ind w:left="477"/>
      </w:pPr>
      <w:r>
        <w:rPr/>
        <w:t>Gold is also found in our food, in carrots, chicory, and it is especially abundant in shellfish (crayfish, clams, crabs). Incidentally, seawater contains 5-250 parts</w:t>
      </w:r>
    </w:p>
    <w:p>
      <w:pPr>
        <w:spacing w:after="0" w:line="276" w:lineRule="auto"/>
        <w:sectPr>
          <w:pgSz w:w="14270" w:h="16850"/>
          <w:pgMar w:header="0" w:footer="1891" w:top="1600" w:bottom="2080" w:left="800" w:right="1280"/>
        </w:sectPr>
      </w:pPr>
    </w:p>
    <w:p>
      <w:pPr>
        <w:pStyle w:val="BodyText"/>
        <w:spacing w:line="276" w:lineRule="auto" w:before="181"/>
        <w:ind w:left="477" w:right="132"/>
        <w:jc w:val="both"/>
        <w:rPr>
          <w:sz w:val="25"/>
        </w:rPr>
      </w:pPr>
      <w:r>
        <w:rPr/>
        <w:t>by</w:t>
      </w:r>
      <w:r>
        <w:rPr>
          <w:spacing w:val="-6"/>
        </w:rPr>
        <w:t> </w:t>
      </w:r>
      <w:r>
        <w:rPr/>
        <w:t>weight</w:t>
      </w:r>
      <w:r>
        <w:rPr>
          <w:spacing w:val="-9"/>
        </w:rPr>
        <w:t> </w:t>
      </w:r>
      <w:r>
        <w:rPr/>
        <w:t>of</w:t>
      </w:r>
      <w:r>
        <w:rPr>
          <w:spacing w:val="-6"/>
        </w:rPr>
        <w:t> </w:t>
      </w:r>
      <w:r>
        <w:rPr/>
        <w:t>gold</w:t>
      </w:r>
      <w:r>
        <w:rPr>
          <w:spacing w:val="-7"/>
        </w:rPr>
        <w:t> </w:t>
      </w:r>
      <w:r>
        <w:rPr/>
        <w:t>per</w:t>
      </w:r>
      <w:r>
        <w:rPr>
          <w:spacing w:val="-8"/>
        </w:rPr>
        <w:t> </w:t>
      </w:r>
      <w:r>
        <w:rPr/>
        <w:t>100</w:t>
      </w:r>
      <w:r>
        <w:rPr>
          <w:spacing w:val="-8"/>
        </w:rPr>
        <w:t> </w:t>
      </w:r>
      <w:r>
        <w:rPr/>
        <w:t>million</w:t>
      </w:r>
      <w:r>
        <w:rPr>
          <w:spacing w:val="-6"/>
        </w:rPr>
        <w:t> </w:t>
      </w:r>
      <w:r>
        <w:rPr/>
        <w:t>parts</w:t>
      </w:r>
      <w:r>
        <w:rPr>
          <w:spacing w:val="-8"/>
        </w:rPr>
        <w:t> </w:t>
      </w:r>
      <w:r>
        <w:rPr/>
        <w:t>of</w:t>
      </w:r>
      <w:r>
        <w:rPr>
          <w:spacing w:val="-9"/>
        </w:rPr>
        <w:t> </w:t>
      </w:r>
      <w:r>
        <w:rPr/>
        <w:t>water,</w:t>
      </w:r>
      <w:r>
        <w:rPr>
          <w:spacing w:val="-6"/>
        </w:rPr>
        <w:t> </w:t>
      </w:r>
      <w:r>
        <w:rPr/>
        <w:t>and</w:t>
      </w:r>
      <w:r>
        <w:rPr>
          <w:spacing w:val="-7"/>
        </w:rPr>
        <w:t> </w:t>
      </w:r>
      <w:r>
        <w:rPr/>
        <w:t>the</w:t>
      </w:r>
      <w:r>
        <w:rPr>
          <w:spacing w:val="-7"/>
        </w:rPr>
        <w:t> </w:t>
      </w:r>
      <w:r>
        <w:rPr/>
        <w:t>idea</w:t>
      </w:r>
      <w:r>
        <w:rPr>
          <w:spacing w:val="-8"/>
        </w:rPr>
        <w:t> </w:t>
      </w:r>
      <w:r>
        <w:rPr/>
        <w:t>that</w:t>
      </w:r>
      <w:r>
        <w:rPr>
          <w:spacing w:val="-7"/>
        </w:rPr>
        <w:t> </w:t>
      </w:r>
      <w:r>
        <w:rPr/>
        <w:t>all</w:t>
      </w:r>
      <w:r>
        <w:rPr>
          <w:spacing w:val="-7"/>
        </w:rPr>
        <w:t> </w:t>
      </w:r>
      <w:r>
        <w:rPr/>
        <w:t>life</w:t>
      </w:r>
      <w:r>
        <w:rPr>
          <w:spacing w:val="-8"/>
        </w:rPr>
        <w:t> </w:t>
      </w:r>
      <w:r>
        <w:rPr/>
        <w:t>comes from the sea is basically nothing</w:t>
      </w:r>
      <w:r>
        <w:rPr>
          <w:spacing w:val="-1"/>
        </w:rPr>
        <w:t> </w:t>
      </w:r>
      <w:r>
        <w:rPr/>
        <w:t>new...</w:t>
      </w:r>
      <w:r>
        <w:rPr>
          <w:position w:val="9"/>
          <w:sz w:val="25"/>
        </w:rPr>
        <w:t>407</w:t>
      </w:r>
    </w:p>
    <w:p>
      <w:pPr>
        <w:pStyle w:val="BodyText"/>
        <w:spacing w:line="276" w:lineRule="auto" w:before="282"/>
        <w:ind w:left="477" w:right="130"/>
        <w:jc w:val="both"/>
      </w:pPr>
      <w:r>
        <w:rPr/>
        <w:t>While colloidal silver (which is associated with proximity to the moon and</w:t>
      </w:r>
      <w:r>
        <w:rPr>
          <w:spacing w:val="-58"/>
        </w:rPr>
        <w:t> </w:t>
      </w:r>
      <w:r>
        <w:rPr/>
        <w:t>thus the female Yin principle) is currently experiencing a veritable renaissance and fortunately millions of people around the world are once again making use of the</w:t>
      </w:r>
      <w:r>
        <w:rPr>
          <w:spacing w:val="-7"/>
        </w:rPr>
        <w:t> </w:t>
      </w:r>
      <w:r>
        <w:rPr/>
        <w:t>spectacular</w:t>
      </w:r>
      <w:r>
        <w:rPr>
          <w:spacing w:val="-7"/>
        </w:rPr>
        <w:t> </w:t>
      </w:r>
      <w:r>
        <w:rPr/>
        <w:t>effects</w:t>
      </w:r>
      <w:r>
        <w:rPr>
          <w:spacing w:val="-6"/>
        </w:rPr>
        <w:t> </w:t>
      </w:r>
      <w:r>
        <w:rPr/>
        <w:t>of</w:t>
      </w:r>
      <w:r>
        <w:rPr>
          <w:spacing w:val="-7"/>
        </w:rPr>
        <w:t> </w:t>
      </w:r>
      <w:r>
        <w:rPr/>
        <w:t>this</w:t>
      </w:r>
      <w:r>
        <w:rPr>
          <w:spacing w:val="-8"/>
        </w:rPr>
        <w:t> </w:t>
      </w:r>
      <w:r>
        <w:rPr/>
        <w:t>almost</w:t>
      </w:r>
      <w:r>
        <w:rPr>
          <w:spacing w:val="-7"/>
        </w:rPr>
        <w:t> </w:t>
      </w:r>
      <w:r>
        <w:rPr/>
        <w:t>forgotten</w:t>
      </w:r>
      <w:r>
        <w:rPr>
          <w:spacing w:val="-10"/>
        </w:rPr>
        <w:t> </w:t>
      </w:r>
      <w:r>
        <w:rPr/>
        <w:t>elixir</w:t>
      </w:r>
      <w:r>
        <w:rPr>
          <w:spacing w:val="-7"/>
        </w:rPr>
        <w:t> </w:t>
      </w:r>
      <w:r>
        <w:rPr/>
        <w:t>every</w:t>
      </w:r>
      <w:r>
        <w:rPr>
          <w:spacing w:val="-7"/>
        </w:rPr>
        <w:t> </w:t>
      </w:r>
      <w:r>
        <w:rPr/>
        <w:t>day,</w:t>
      </w:r>
      <w:r>
        <w:rPr>
          <w:spacing w:val="-6"/>
        </w:rPr>
        <w:t> </w:t>
      </w:r>
      <w:r>
        <w:rPr/>
        <w:t>its</w:t>
      </w:r>
      <w:r>
        <w:rPr>
          <w:spacing w:val="-8"/>
        </w:rPr>
        <w:t> </w:t>
      </w:r>
      <w:r>
        <w:rPr/>
        <w:t>‘big</w:t>
      </w:r>
      <w:r>
        <w:rPr>
          <w:spacing w:val="-8"/>
        </w:rPr>
        <w:t> </w:t>
      </w:r>
      <w:r>
        <w:rPr/>
        <w:t>brother’, colloidal gold, is also on the rise, but until now it has been quite timid and has been a term only known to ‘health insiders’ with a thirst for</w:t>
      </w:r>
      <w:r>
        <w:rPr>
          <w:spacing w:val="-9"/>
        </w:rPr>
        <w:t> </w:t>
      </w:r>
      <w:r>
        <w:rPr/>
        <w:t>knowledge...</w:t>
      </w:r>
    </w:p>
    <w:p>
      <w:pPr>
        <w:pStyle w:val="BodyText"/>
        <w:rPr>
          <w:sz w:val="57"/>
        </w:rPr>
      </w:pPr>
    </w:p>
    <w:p>
      <w:pPr>
        <w:pStyle w:val="BodyText"/>
        <w:spacing w:line="276" w:lineRule="auto"/>
        <w:ind w:left="477" w:right="132"/>
        <w:jc w:val="both"/>
      </w:pPr>
      <w:r>
        <w:rPr/>
        <w:t>Now</w:t>
      </w:r>
      <w:r>
        <w:rPr>
          <w:spacing w:val="-13"/>
        </w:rPr>
        <w:t> </w:t>
      </w:r>
      <w:r>
        <w:rPr/>
        <w:t>is</w:t>
      </w:r>
      <w:r>
        <w:rPr>
          <w:spacing w:val="-11"/>
        </w:rPr>
        <w:t> </w:t>
      </w:r>
      <w:r>
        <w:rPr/>
        <w:t>the</w:t>
      </w:r>
      <w:r>
        <w:rPr>
          <w:spacing w:val="-10"/>
        </w:rPr>
        <w:t> </w:t>
      </w:r>
      <w:r>
        <w:rPr/>
        <w:t>time!</w:t>
      </w:r>
      <w:r>
        <w:rPr>
          <w:spacing w:val="-12"/>
        </w:rPr>
        <w:t> </w:t>
      </w:r>
      <w:r>
        <w:rPr/>
        <w:t>In</w:t>
      </w:r>
      <w:r>
        <w:rPr>
          <w:spacing w:val="-11"/>
        </w:rPr>
        <w:t> </w:t>
      </w:r>
      <w:r>
        <w:rPr/>
        <w:t>this</w:t>
      </w:r>
      <w:r>
        <w:rPr>
          <w:spacing w:val="-12"/>
        </w:rPr>
        <w:t> </w:t>
      </w:r>
      <w:r>
        <w:rPr/>
        <w:t>section,</w:t>
      </w:r>
      <w:r>
        <w:rPr>
          <w:spacing w:val="-12"/>
        </w:rPr>
        <w:t> </w:t>
      </w:r>
      <w:r>
        <w:rPr/>
        <w:t>we</w:t>
      </w:r>
      <w:r>
        <w:rPr>
          <w:spacing w:val="-11"/>
        </w:rPr>
        <w:t> </w:t>
      </w:r>
      <w:r>
        <w:rPr/>
        <w:t>want</w:t>
      </w:r>
      <w:r>
        <w:rPr>
          <w:spacing w:val="-10"/>
        </w:rPr>
        <w:t> </w:t>
      </w:r>
      <w:r>
        <w:rPr/>
        <w:t>to</w:t>
      </w:r>
      <w:r>
        <w:rPr>
          <w:spacing w:val="-11"/>
        </w:rPr>
        <w:t> </w:t>
      </w:r>
      <w:r>
        <w:rPr/>
        <w:t>put</w:t>
      </w:r>
      <w:r>
        <w:rPr>
          <w:spacing w:val="-12"/>
        </w:rPr>
        <w:t> </w:t>
      </w:r>
      <w:r>
        <w:rPr/>
        <w:t>the</w:t>
      </w:r>
      <w:r>
        <w:rPr>
          <w:spacing w:val="-10"/>
        </w:rPr>
        <w:t> </w:t>
      </w:r>
      <w:r>
        <w:rPr/>
        <w:t>health</w:t>
      </w:r>
      <w:r>
        <w:rPr>
          <w:spacing w:val="-11"/>
        </w:rPr>
        <w:t> </w:t>
      </w:r>
      <w:r>
        <w:rPr/>
        <w:t>effects</w:t>
      </w:r>
      <w:r>
        <w:rPr>
          <w:spacing w:val="-13"/>
        </w:rPr>
        <w:t> </w:t>
      </w:r>
      <w:r>
        <w:rPr/>
        <w:t>of</w:t>
      </w:r>
      <w:r>
        <w:rPr>
          <w:spacing w:val="-10"/>
        </w:rPr>
        <w:t> </w:t>
      </w:r>
      <w:r>
        <w:rPr/>
        <w:t>gold</w:t>
      </w:r>
      <w:r>
        <w:rPr>
          <w:spacing w:val="-11"/>
        </w:rPr>
        <w:t> </w:t>
      </w:r>
      <w:r>
        <w:rPr/>
        <w:t>under the microscope and close this unfortunate information gap within the popula- tion, which, in view of its inestimable value for the ‘human’ species (but also animals), should never actually</w:t>
      </w:r>
      <w:r>
        <w:rPr>
          <w:spacing w:val="2"/>
        </w:rPr>
        <w:t> </w:t>
      </w:r>
      <w:r>
        <w:rPr/>
        <w:t>exist!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r>
        <w:rPr/>
        <w:pict>
          <v:line style="position:absolute;mso-position-horizontal-relative:page;mso-position-vertical-relative:paragraph;z-index:4808;mso-wrap-distance-left:0;mso-wrap-distance-right:0" from="63.863998pt,14.502515pt" to="207.883998pt,14.50251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407 </w:t>
      </w:r>
      <w:hyperlink r:id="rId161">
        <w:r>
          <w:rPr>
            <w:sz w:val="20"/>
          </w:rPr>
          <w:t>http://www.oceanwell.de/inhalt-wirkstoff/meerwasser/</w:t>
        </w:r>
      </w:hyperlink>
    </w:p>
    <w:p>
      <w:pPr>
        <w:spacing w:after="0"/>
        <w:jc w:val="left"/>
        <w:rPr>
          <w:sz w:val="20"/>
        </w:rPr>
        <w:sectPr>
          <w:pgSz w:w="14270" w:h="16850"/>
          <w:pgMar w:header="0" w:footer="1891" w:top="1600" w:bottom="2080" w:left="800" w:right="1280"/>
        </w:sectPr>
      </w:pPr>
    </w:p>
    <w:p>
      <w:pPr>
        <w:pStyle w:val="Heading2"/>
        <w:spacing w:before="184"/>
      </w:pPr>
      <w:r>
        <w:rPr/>
        <w:t>Effect of gold</w:t>
      </w:r>
    </w:p>
    <w:p>
      <w:pPr>
        <w:spacing w:before="246"/>
        <w:ind w:left="477" w:right="0" w:firstLine="0"/>
        <w:jc w:val="left"/>
        <w:rPr>
          <w:b/>
          <w:i/>
          <w:sz w:val="40"/>
        </w:rPr>
      </w:pPr>
      <w:r>
        <w:rPr>
          <w:b/>
          <w:i/>
          <w:sz w:val="40"/>
        </w:rPr>
        <w:t>Effect of colloidal gold</w:t>
      </w:r>
    </w:p>
    <w:p>
      <w:pPr>
        <w:pStyle w:val="BodyText"/>
        <w:spacing w:line="276" w:lineRule="auto" w:before="259"/>
        <w:ind w:left="477" w:right="135"/>
        <w:jc w:val="both"/>
      </w:pPr>
      <w:r>
        <w:rPr/>
        <w:t>Before we explicitly go into the specific effects of colloidal gold for individual diseases, it makes sense to first discuss the general effect of colloidal gold.</w:t>
      </w:r>
    </w:p>
    <w:p>
      <w:pPr>
        <w:pStyle w:val="BodyText"/>
        <w:spacing w:before="202"/>
        <w:ind w:left="477"/>
      </w:pPr>
      <w:r>
        <w:rPr/>
        <w:t>Let's first of all clarify the term ‘colloidal’.</w:t>
      </w:r>
    </w:p>
    <w:p>
      <w:pPr>
        <w:pStyle w:val="BodyText"/>
        <w:spacing w:line="276" w:lineRule="auto" w:before="344"/>
        <w:ind w:left="477" w:right="132"/>
        <w:jc w:val="both"/>
      </w:pPr>
      <w:r>
        <w:rPr/>
        <w:t>The term ‘</w:t>
      </w:r>
      <w:r>
        <w:rPr>
          <w:i/>
        </w:rPr>
        <w:t>colloidal’ </w:t>
      </w:r>
      <w:r>
        <w:rPr/>
        <w:t>means the second smallest unit of matter, directly after the atom. It is also the smallest possible form into which matter (body, material) can be decomposed, without losing its original properties.</w:t>
      </w:r>
    </w:p>
    <w:p>
      <w:pPr>
        <w:pStyle w:val="BodyText"/>
        <w:spacing w:line="276" w:lineRule="auto" w:before="277"/>
        <w:ind w:left="477" w:right="136"/>
        <w:jc w:val="both"/>
      </w:pPr>
      <w:r>
        <w:rPr/>
        <w:t>Incidentally, colloidal forms are as familiar to our bodies as gold itself. Blood and lymph, our most important vital juices, are nothing but colloids.</w:t>
      </w:r>
    </w:p>
    <w:p>
      <w:pPr>
        <w:pStyle w:val="BodyText"/>
        <w:spacing w:line="276" w:lineRule="auto" w:before="281"/>
        <w:ind w:left="477" w:right="134"/>
        <w:jc w:val="both"/>
      </w:pPr>
      <w:r>
        <w:rPr/>
        <w:t>In this microscopically small, yet fully functional, form, gold is actually allowed to penetrate our bodies at the most remote and subtle angles to achieve the desired</w:t>
      </w:r>
      <w:r>
        <w:rPr>
          <w:spacing w:val="-8"/>
        </w:rPr>
        <w:t> </w:t>
      </w:r>
      <w:r>
        <w:rPr/>
        <w:t>effect.</w:t>
      </w:r>
      <w:r>
        <w:rPr>
          <w:spacing w:val="-7"/>
        </w:rPr>
        <w:t> </w:t>
      </w:r>
      <w:r>
        <w:rPr/>
        <w:t>In</w:t>
      </w:r>
      <w:r>
        <w:rPr>
          <w:spacing w:val="-7"/>
        </w:rPr>
        <w:t> </w:t>
      </w:r>
      <w:r>
        <w:rPr/>
        <w:t>this</w:t>
      </w:r>
      <w:r>
        <w:rPr>
          <w:spacing w:val="-7"/>
        </w:rPr>
        <w:t> </w:t>
      </w:r>
      <w:r>
        <w:rPr/>
        <w:t>way,</w:t>
      </w:r>
      <w:r>
        <w:rPr>
          <w:spacing w:val="-9"/>
        </w:rPr>
        <w:t> </w:t>
      </w:r>
      <w:r>
        <w:rPr/>
        <w:t>colloidal</w:t>
      </w:r>
      <w:r>
        <w:rPr>
          <w:spacing w:val="-8"/>
        </w:rPr>
        <w:t> </w:t>
      </w:r>
      <w:r>
        <w:rPr/>
        <w:t>gold</w:t>
      </w:r>
      <w:r>
        <w:rPr>
          <w:spacing w:val="-9"/>
        </w:rPr>
        <w:t> </w:t>
      </w:r>
      <w:r>
        <w:rPr/>
        <w:t>achieves</w:t>
      </w:r>
      <w:r>
        <w:rPr>
          <w:spacing w:val="-5"/>
        </w:rPr>
        <w:t> </w:t>
      </w:r>
      <w:r>
        <w:rPr/>
        <w:t>an</w:t>
      </w:r>
      <w:r>
        <w:rPr>
          <w:spacing w:val="-8"/>
        </w:rPr>
        <w:t> </w:t>
      </w:r>
      <w:r>
        <w:rPr/>
        <w:t>unsurpassable</w:t>
      </w:r>
      <w:r>
        <w:rPr>
          <w:spacing w:val="-8"/>
        </w:rPr>
        <w:t> </w:t>
      </w:r>
      <w:r>
        <w:rPr/>
        <w:t>effect,</w:t>
      </w:r>
      <w:r>
        <w:rPr>
          <w:spacing w:val="-6"/>
        </w:rPr>
        <w:t> </w:t>
      </w:r>
      <w:r>
        <w:rPr/>
        <w:t>even on the brain, which can only be reached by a tiny number of vital substances, in which it overcomes the blood-brain barrier and noticeably and measurably improves our thinking processes, our concentration, and our motor</w:t>
      </w:r>
      <w:r>
        <w:rPr>
          <w:spacing w:val="-12"/>
        </w:rPr>
        <w:t> </w:t>
      </w:r>
      <w:r>
        <w:rPr/>
        <w:t>skills.</w:t>
      </w:r>
    </w:p>
    <w:p>
      <w:pPr>
        <w:pStyle w:val="BodyText"/>
        <w:spacing w:line="276" w:lineRule="auto" w:before="75"/>
        <w:ind w:left="477" w:right="137"/>
        <w:jc w:val="both"/>
      </w:pPr>
      <w:r>
        <w:rPr/>
        <w:t>With a diameter of only 0.126nm, gold colloids are in the nano range (Greek ‘nannos’ = dwarf) and are about 2,000 times smaller than the smallest known bacterium. This directly allows gold to act even in body areas which are pro- tected by bacteria, such as the blood-brain barrier.</w:t>
      </w:r>
    </w:p>
    <w:p>
      <w:pPr>
        <w:spacing w:after="0" w:line="276" w:lineRule="auto"/>
        <w:jc w:val="both"/>
        <w:sectPr>
          <w:pgSz w:w="14270" w:h="16850"/>
          <w:pgMar w:header="0" w:footer="1891" w:top="1600" w:bottom="2080" w:left="800" w:right="1280"/>
        </w:sectPr>
      </w:pPr>
    </w:p>
    <w:p>
      <w:pPr>
        <w:pStyle w:val="BodyText"/>
        <w:spacing w:line="276" w:lineRule="auto" w:before="181"/>
        <w:ind w:left="477" w:right="137"/>
        <w:jc w:val="both"/>
      </w:pPr>
      <w:r>
        <w:rPr/>
        <w:t>On</w:t>
      </w:r>
      <w:r>
        <w:rPr>
          <w:spacing w:val="-11"/>
        </w:rPr>
        <w:t> </w:t>
      </w:r>
      <w:r>
        <w:rPr/>
        <w:t>the</w:t>
      </w:r>
      <w:r>
        <w:rPr>
          <w:spacing w:val="-11"/>
        </w:rPr>
        <w:t> </w:t>
      </w:r>
      <w:r>
        <w:rPr/>
        <w:t>other</w:t>
      </w:r>
      <w:r>
        <w:rPr>
          <w:spacing w:val="-11"/>
        </w:rPr>
        <w:t> </w:t>
      </w:r>
      <w:r>
        <w:rPr/>
        <w:t>hand,</w:t>
      </w:r>
      <w:r>
        <w:rPr>
          <w:spacing w:val="-9"/>
        </w:rPr>
        <w:t> </w:t>
      </w:r>
      <w:r>
        <w:rPr/>
        <w:t>due</w:t>
      </w:r>
      <w:r>
        <w:rPr>
          <w:spacing w:val="-13"/>
        </w:rPr>
        <w:t> </w:t>
      </w:r>
      <w:r>
        <w:rPr/>
        <w:t>to</w:t>
      </w:r>
      <w:r>
        <w:rPr>
          <w:spacing w:val="-9"/>
        </w:rPr>
        <w:t> </w:t>
      </w:r>
      <w:r>
        <w:rPr/>
        <w:t>its</w:t>
      </w:r>
      <w:r>
        <w:rPr>
          <w:spacing w:val="-13"/>
        </w:rPr>
        <w:t> </w:t>
      </w:r>
      <w:r>
        <w:rPr/>
        <w:t>microscopic</w:t>
      </w:r>
      <w:r>
        <w:rPr>
          <w:spacing w:val="-11"/>
        </w:rPr>
        <w:t> </w:t>
      </w:r>
      <w:r>
        <w:rPr/>
        <w:t>size,</w:t>
      </w:r>
      <w:r>
        <w:rPr>
          <w:spacing w:val="-11"/>
        </w:rPr>
        <w:t> </w:t>
      </w:r>
      <w:r>
        <w:rPr/>
        <w:t>colloidal</w:t>
      </w:r>
      <w:r>
        <w:rPr>
          <w:spacing w:val="-11"/>
        </w:rPr>
        <w:t> </w:t>
      </w:r>
      <w:r>
        <w:rPr/>
        <w:t>gold</w:t>
      </w:r>
      <w:r>
        <w:rPr>
          <w:spacing w:val="-11"/>
        </w:rPr>
        <w:t> </w:t>
      </w:r>
      <w:r>
        <w:rPr/>
        <w:t>is</w:t>
      </w:r>
      <w:r>
        <w:rPr>
          <w:spacing w:val="-9"/>
        </w:rPr>
        <w:t> </w:t>
      </w:r>
      <w:r>
        <w:rPr/>
        <w:t>capable</w:t>
      </w:r>
      <w:r>
        <w:rPr>
          <w:spacing w:val="-10"/>
        </w:rPr>
        <w:t> </w:t>
      </w:r>
      <w:r>
        <w:rPr/>
        <w:t>of</w:t>
      </w:r>
      <w:r>
        <w:rPr>
          <w:spacing w:val="-10"/>
        </w:rPr>
        <w:t> </w:t>
      </w:r>
      <w:r>
        <w:rPr/>
        <w:t>mul- tiplying the total surface area of gold particles in the body, enabling the even distribution of effects throughout the</w:t>
      </w:r>
      <w:r>
        <w:rPr>
          <w:spacing w:val="3"/>
        </w:rPr>
        <w:t> </w:t>
      </w:r>
      <w:r>
        <w:rPr/>
        <w:t>body.</w:t>
      </w:r>
    </w:p>
    <w:p>
      <w:pPr>
        <w:pStyle w:val="BodyText"/>
        <w:spacing w:line="276" w:lineRule="auto" w:before="201"/>
        <w:ind w:left="477" w:right="131"/>
        <w:jc w:val="both"/>
      </w:pPr>
      <w:r>
        <w:rPr/>
        <w:t>Due to the electric charge, gold colloids are always in a state of suspense. Due to its electric and magnetic fields, colloidal gold is able to disperse energetic blockages in the body, freeing up pathways for vital information transmission for health maintenance, activation and strengthening. More than that, our</w:t>
      </w:r>
      <w:r>
        <w:rPr>
          <w:spacing w:val="-53"/>
        </w:rPr>
        <w:t> </w:t>
      </w:r>
      <w:r>
        <w:rPr/>
        <w:t>bod- ies,</w:t>
      </w:r>
      <w:r>
        <w:rPr>
          <w:spacing w:val="-21"/>
        </w:rPr>
        <w:t> </w:t>
      </w:r>
      <w:r>
        <w:rPr/>
        <w:t>minds,</w:t>
      </w:r>
      <w:r>
        <w:rPr>
          <w:spacing w:val="-23"/>
        </w:rPr>
        <w:t> </w:t>
      </w:r>
      <w:r>
        <w:rPr/>
        <w:t>and</w:t>
      </w:r>
      <w:r>
        <w:rPr>
          <w:spacing w:val="-21"/>
        </w:rPr>
        <w:t> </w:t>
      </w:r>
      <w:r>
        <w:rPr/>
        <w:t>souls</w:t>
      </w:r>
      <w:r>
        <w:rPr>
          <w:spacing w:val="-21"/>
        </w:rPr>
        <w:t> </w:t>
      </w:r>
      <w:r>
        <w:rPr/>
        <w:t>get</w:t>
      </w:r>
      <w:r>
        <w:rPr>
          <w:spacing w:val="-21"/>
        </w:rPr>
        <w:t> </w:t>
      </w:r>
      <w:r>
        <w:rPr/>
        <w:t>back</w:t>
      </w:r>
      <w:r>
        <w:rPr>
          <w:spacing w:val="-21"/>
        </w:rPr>
        <w:t> </w:t>
      </w:r>
      <w:r>
        <w:rPr/>
        <w:t>their</w:t>
      </w:r>
      <w:r>
        <w:rPr>
          <w:spacing w:val="-21"/>
        </w:rPr>
        <w:t> </w:t>
      </w:r>
      <w:r>
        <w:rPr/>
        <w:t>original,</w:t>
      </w:r>
      <w:r>
        <w:rPr>
          <w:spacing w:val="-20"/>
        </w:rPr>
        <w:t> </w:t>
      </w:r>
      <w:r>
        <w:rPr/>
        <w:t>natural,</w:t>
      </w:r>
      <w:r>
        <w:rPr>
          <w:spacing w:val="-21"/>
        </w:rPr>
        <w:t> </w:t>
      </w:r>
      <w:r>
        <w:rPr/>
        <w:t>healthy</w:t>
      </w:r>
      <w:r>
        <w:rPr>
          <w:spacing w:val="-21"/>
        </w:rPr>
        <w:t> </w:t>
      </w:r>
      <w:r>
        <w:rPr/>
        <w:t>vibrational</w:t>
      </w:r>
      <w:r>
        <w:rPr>
          <w:spacing w:val="-21"/>
        </w:rPr>
        <w:t> </w:t>
      </w:r>
      <w:r>
        <w:rPr/>
        <w:t>patterns, which can be felt in a few days or weeks by an increase in their life energy, mental freshness, and physical</w:t>
      </w:r>
      <w:r>
        <w:rPr>
          <w:spacing w:val="1"/>
        </w:rPr>
        <w:t> </w:t>
      </w:r>
      <w:r>
        <w:rPr/>
        <w:t>strength.</w:t>
      </w:r>
    </w:p>
    <w:p>
      <w:pPr>
        <w:pStyle w:val="BodyText"/>
        <w:spacing w:line="276" w:lineRule="auto" w:before="75"/>
        <w:ind w:left="477" w:right="131"/>
        <w:jc w:val="both"/>
      </w:pPr>
      <w:r>
        <w:rPr/>
        <w:t>The electro-magnetic charge further causes the aged, dead cells to be pulled electromagnetically by the colloid particles and efficiently eliminated via the blood.</w:t>
      </w:r>
    </w:p>
    <w:p>
      <w:pPr>
        <w:pStyle w:val="BodyText"/>
        <w:spacing w:line="276" w:lineRule="auto" w:before="76"/>
        <w:ind w:left="477" w:right="133"/>
        <w:jc w:val="both"/>
      </w:pPr>
      <w:r>
        <w:rPr/>
        <w:t>These are already very interesting facts. However, in order for us, as medical laypeople, to be able to adequately understand the spectacular, even phenome- nal effect of colloidal gold on our health, our ability to function and our life expectancy,</w:t>
      </w:r>
      <w:r>
        <w:rPr>
          <w:spacing w:val="-10"/>
        </w:rPr>
        <w:t> </w:t>
      </w:r>
      <w:r>
        <w:rPr/>
        <w:t>it</w:t>
      </w:r>
      <w:r>
        <w:rPr>
          <w:spacing w:val="-12"/>
        </w:rPr>
        <w:t> </w:t>
      </w:r>
      <w:r>
        <w:rPr/>
        <w:t>is</w:t>
      </w:r>
      <w:r>
        <w:rPr>
          <w:spacing w:val="-15"/>
        </w:rPr>
        <w:t> </w:t>
      </w:r>
      <w:r>
        <w:rPr/>
        <w:t>indispensable</w:t>
      </w:r>
      <w:r>
        <w:rPr>
          <w:spacing w:val="-11"/>
        </w:rPr>
        <w:t> </w:t>
      </w:r>
      <w:r>
        <w:rPr/>
        <w:t>to</w:t>
      </w:r>
      <w:r>
        <w:rPr>
          <w:spacing w:val="-14"/>
        </w:rPr>
        <w:t> </w:t>
      </w:r>
      <w:r>
        <w:rPr/>
        <w:t>make</w:t>
      </w:r>
      <w:r>
        <w:rPr>
          <w:spacing w:val="-11"/>
        </w:rPr>
        <w:t> </w:t>
      </w:r>
      <w:r>
        <w:rPr/>
        <w:t>a</w:t>
      </w:r>
      <w:r>
        <w:rPr>
          <w:spacing w:val="-12"/>
        </w:rPr>
        <w:t> </w:t>
      </w:r>
      <w:r>
        <w:rPr/>
        <w:t>link</w:t>
      </w:r>
      <w:r>
        <w:rPr>
          <w:spacing w:val="-11"/>
        </w:rPr>
        <w:t> </w:t>
      </w:r>
      <w:r>
        <w:rPr/>
        <w:t>to</w:t>
      </w:r>
      <w:r>
        <w:rPr>
          <w:spacing w:val="-13"/>
        </w:rPr>
        <w:t> </w:t>
      </w:r>
      <w:r>
        <w:rPr/>
        <w:t>the</w:t>
      </w:r>
      <w:r>
        <w:rPr>
          <w:spacing w:val="-10"/>
        </w:rPr>
        <w:t> </w:t>
      </w:r>
      <w:r>
        <w:rPr/>
        <w:t>most</w:t>
      </w:r>
      <w:r>
        <w:rPr>
          <w:spacing w:val="-12"/>
        </w:rPr>
        <w:t> </w:t>
      </w:r>
      <w:r>
        <w:rPr/>
        <w:t>fundamental</w:t>
      </w:r>
      <w:r>
        <w:rPr>
          <w:spacing w:val="-12"/>
        </w:rPr>
        <w:t> </w:t>
      </w:r>
      <w:r>
        <w:rPr/>
        <w:t>aspect</w:t>
      </w:r>
      <w:r>
        <w:rPr>
          <w:spacing w:val="-11"/>
        </w:rPr>
        <w:t> </w:t>
      </w:r>
      <w:r>
        <w:rPr/>
        <w:t>of our existence,</w:t>
      </w:r>
      <w:r>
        <w:rPr>
          <w:spacing w:val="1"/>
        </w:rPr>
        <w:t> </w:t>
      </w:r>
      <w:r>
        <w:rPr/>
        <w:t>thus:</w:t>
      </w:r>
    </w:p>
    <w:p>
      <w:pPr>
        <w:pStyle w:val="Heading2"/>
        <w:spacing w:before="203"/>
        <w:jc w:val="both"/>
      </w:pPr>
      <w:r>
        <w:rPr/>
        <w:t>Health and vitality = energy flow &amp; communication!</w:t>
      </w:r>
    </w:p>
    <w:p>
      <w:pPr>
        <w:pStyle w:val="BodyText"/>
        <w:spacing w:line="276" w:lineRule="auto" w:before="262"/>
        <w:ind w:left="477" w:right="134"/>
        <w:jc w:val="both"/>
      </w:pPr>
      <w:r>
        <w:rPr/>
        <w:t>is the importance, especially in the case of colloidal gold, of being among these relatively</w:t>
      </w:r>
      <w:r>
        <w:rPr>
          <w:spacing w:val="-11"/>
        </w:rPr>
        <w:t> </w:t>
      </w:r>
      <w:r>
        <w:rPr/>
        <w:t>few</w:t>
      </w:r>
      <w:r>
        <w:rPr>
          <w:spacing w:val="-11"/>
        </w:rPr>
        <w:t> </w:t>
      </w:r>
      <w:r>
        <w:rPr/>
        <w:t>(‘privileged’)</w:t>
      </w:r>
      <w:r>
        <w:rPr>
          <w:spacing w:val="-10"/>
        </w:rPr>
        <w:t> </w:t>
      </w:r>
      <w:r>
        <w:rPr/>
        <w:t>insiders</w:t>
      </w:r>
      <w:r>
        <w:rPr>
          <w:spacing w:val="-10"/>
        </w:rPr>
        <w:t> </w:t>
      </w:r>
      <w:r>
        <w:rPr/>
        <w:t>who</w:t>
      </w:r>
      <w:r>
        <w:rPr>
          <w:spacing w:val="-8"/>
        </w:rPr>
        <w:t> </w:t>
      </w:r>
      <w:r>
        <w:rPr/>
        <w:t>are</w:t>
      </w:r>
      <w:r>
        <w:rPr>
          <w:spacing w:val="-10"/>
        </w:rPr>
        <w:t> </w:t>
      </w:r>
      <w:r>
        <w:rPr/>
        <w:t>aware</w:t>
      </w:r>
      <w:r>
        <w:rPr>
          <w:spacing w:val="-10"/>
        </w:rPr>
        <w:t> </w:t>
      </w:r>
      <w:r>
        <w:rPr/>
        <w:t>of</w:t>
      </w:r>
      <w:r>
        <w:rPr>
          <w:spacing w:val="-9"/>
        </w:rPr>
        <w:t> </w:t>
      </w:r>
      <w:r>
        <w:rPr/>
        <w:t>the</w:t>
      </w:r>
      <w:r>
        <w:rPr>
          <w:spacing w:val="-9"/>
        </w:rPr>
        <w:t> </w:t>
      </w:r>
      <w:r>
        <w:rPr/>
        <w:t>phenomenal</w:t>
      </w:r>
      <w:r>
        <w:rPr>
          <w:spacing w:val="-11"/>
        </w:rPr>
        <w:t> </w:t>
      </w:r>
      <w:r>
        <w:rPr/>
        <w:t>effects</w:t>
      </w:r>
      <w:r>
        <w:rPr>
          <w:spacing w:val="-9"/>
        </w:rPr>
        <w:t> </w:t>
      </w:r>
      <w:r>
        <w:rPr/>
        <w:t>of</w:t>
      </w:r>
    </w:p>
    <w:p>
      <w:pPr>
        <w:spacing w:after="0" w:line="276" w:lineRule="auto"/>
        <w:jc w:val="both"/>
        <w:sectPr>
          <w:pgSz w:w="14270" w:h="16850"/>
          <w:pgMar w:header="0" w:footer="1891" w:top="1600" w:bottom="2080" w:left="800" w:right="1280"/>
        </w:sectPr>
      </w:pPr>
    </w:p>
    <w:p>
      <w:pPr>
        <w:pStyle w:val="BodyText"/>
        <w:spacing w:line="278" w:lineRule="auto" w:before="181"/>
        <w:ind w:left="477" w:right="244"/>
      </w:pPr>
      <w:r>
        <w:rPr/>
        <w:t>gold becomes clear when you consider the following fundamental aspects of our lives...:</w:t>
      </w:r>
    </w:p>
    <w:p>
      <w:pPr>
        <w:pStyle w:val="ListParagraph"/>
        <w:numPr>
          <w:ilvl w:val="0"/>
          <w:numId w:val="39"/>
        </w:numPr>
        <w:tabs>
          <w:tab w:pos="1198" w:val="left" w:leader="none"/>
        </w:tabs>
        <w:spacing w:line="276" w:lineRule="auto" w:before="68" w:after="0"/>
        <w:ind w:left="1197" w:right="131" w:hanging="360"/>
        <w:jc w:val="both"/>
        <w:rPr>
          <w:sz w:val="38"/>
        </w:rPr>
      </w:pPr>
      <w:r>
        <w:rPr>
          <w:sz w:val="38"/>
        </w:rPr>
        <w:t>from head to toe, we humans consist of approximately 37,2 trillion cells. Our</w:t>
      </w:r>
      <w:r>
        <w:rPr>
          <w:spacing w:val="-8"/>
          <w:sz w:val="38"/>
        </w:rPr>
        <w:t> </w:t>
      </w:r>
      <w:r>
        <w:rPr>
          <w:i/>
          <w:sz w:val="38"/>
        </w:rPr>
        <w:t>skin</w:t>
      </w:r>
      <w:r>
        <w:rPr>
          <w:sz w:val="38"/>
        </w:rPr>
        <w:t>,</w:t>
      </w:r>
      <w:r>
        <w:rPr>
          <w:spacing w:val="-6"/>
          <w:sz w:val="38"/>
        </w:rPr>
        <w:t> </w:t>
      </w:r>
      <w:r>
        <w:rPr>
          <w:sz w:val="38"/>
        </w:rPr>
        <w:t>our</w:t>
      </w:r>
      <w:r>
        <w:rPr>
          <w:spacing w:val="-6"/>
          <w:sz w:val="38"/>
        </w:rPr>
        <w:t> </w:t>
      </w:r>
      <w:r>
        <w:rPr>
          <w:i/>
          <w:sz w:val="38"/>
        </w:rPr>
        <w:t>organs</w:t>
      </w:r>
      <w:r>
        <w:rPr>
          <w:sz w:val="38"/>
        </w:rPr>
        <w:t>,</w:t>
      </w:r>
      <w:r>
        <w:rPr>
          <w:spacing w:val="-6"/>
          <w:sz w:val="38"/>
        </w:rPr>
        <w:t> </w:t>
      </w:r>
      <w:r>
        <w:rPr>
          <w:sz w:val="38"/>
        </w:rPr>
        <w:t>our</w:t>
      </w:r>
      <w:r>
        <w:rPr>
          <w:spacing w:val="-6"/>
          <w:sz w:val="38"/>
        </w:rPr>
        <w:t> </w:t>
      </w:r>
      <w:r>
        <w:rPr>
          <w:i/>
          <w:sz w:val="38"/>
        </w:rPr>
        <w:t>blood</w:t>
      </w:r>
      <w:r>
        <w:rPr>
          <w:i/>
          <w:spacing w:val="-7"/>
          <w:sz w:val="38"/>
        </w:rPr>
        <w:t> </w:t>
      </w:r>
      <w:r>
        <w:rPr>
          <w:i/>
          <w:sz w:val="38"/>
        </w:rPr>
        <w:t>vessels</w:t>
      </w:r>
      <w:r>
        <w:rPr>
          <w:sz w:val="38"/>
        </w:rPr>
        <w:t>,</w:t>
      </w:r>
      <w:r>
        <w:rPr>
          <w:spacing w:val="-6"/>
          <w:sz w:val="38"/>
        </w:rPr>
        <w:t> </w:t>
      </w:r>
      <w:r>
        <w:rPr>
          <w:sz w:val="38"/>
        </w:rPr>
        <w:t>our</w:t>
      </w:r>
      <w:r>
        <w:rPr>
          <w:spacing w:val="-6"/>
          <w:sz w:val="38"/>
        </w:rPr>
        <w:t> </w:t>
      </w:r>
      <w:r>
        <w:rPr>
          <w:i/>
          <w:sz w:val="38"/>
        </w:rPr>
        <w:t>nerves,</w:t>
      </w:r>
      <w:r>
        <w:rPr>
          <w:i/>
          <w:spacing w:val="-6"/>
          <w:sz w:val="38"/>
        </w:rPr>
        <w:t> </w:t>
      </w:r>
      <w:r>
        <w:rPr>
          <w:sz w:val="38"/>
        </w:rPr>
        <w:t>our</w:t>
      </w:r>
      <w:r>
        <w:rPr>
          <w:spacing w:val="-7"/>
          <w:sz w:val="38"/>
        </w:rPr>
        <w:t> </w:t>
      </w:r>
      <w:r>
        <w:rPr>
          <w:i/>
          <w:sz w:val="38"/>
        </w:rPr>
        <w:t>bones</w:t>
      </w:r>
      <w:r>
        <w:rPr>
          <w:i/>
          <w:spacing w:val="-6"/>
          <w:sz w:val="38"/>
        </w:rPr>
        <w:t> </w:t>
      </w:r>
      <w:r>
        <w:rPr>
          <w:sz w:val="38"/>
        </w:rPr>
        <w:t>and</w:t>
      </w:r>
      <w:r>
        <w:rPr>
          <w:spacing w:val="-7"/>
          <w:sz w:val="38"/>
        </w:rPr>
        <w:t> </w:t>
      </w:r>
      <w:r>
        <w:rPr>
          <w:sz w:val="38"/>
        </w:rPr>
        <w:t>our</w:t>
      </w:r>
      <w:r>
        <w:rPr>
          <w:spacing w:val="-6"/>
          <w:sz w:val="38"/>
        </w:rPr>
        <w:t> </w:t>
      </w:r>
      <w:r>
        <w:rPr>
          <w:i/>
          <w:sz w:val="38"/>
        </w:rPr>
        <w:t>muscles</w:t>
      </w:r>
      <w:r>
        <w:rPr>
          <w:i/>
          <w:spacing w:val="-6"/>
          <w:sz w:val="38"/>
        </w:rPr>
        <w:t> </w:t>
      </w:r>
      <w:r>
        <w:rPr>
          <w:sz w:val="38"/>
        </w:rPr>
        <w:t>are nothing more than cell aggregates of countless specialised cells. The basic building block of the human body is therefore the single cell, and the 37,2 trillion</w:t>
      </w:r>
      <w:r>
        <w:rPr>
          <w:spacing w:val="-16"/>
          <w:sz w:val="38"/>
        </w:rPr>
        <w:t> </w:t>
      </w:r>
      <w:r>
        <w:rPr>
          <w:sz w:val="38"/>
        </w:rPr>
        <w:t>cells</w:t>
      </w:r>
      <w:r>
        <w:rPr>
          <w:spacing w:val="-16"/>
          <w:sz w:val="38"/>
        </w:rPr>
        <w:t> </w:t>
      </w:r>
      <w:r>
        <w:rPr>
          <w:sz w:val="38"/>
        </w:rPr>
        <w:t>that</w:t>
      </w:r>
      <w:r>
        <w:rPr>
          <w:spacing w:val="-19"/>
          <w:sz w:val="38"/>
        </w:rPr>
        <w:t> </w:t>
      </w:r>
      <w:r>
        <w:rPr>
          <w:sz w:val="38"/>
        </w:rPr>
        <w:t>compose</w:t>
      </w:r>
      <w:r>
        <w:rPr>
          <w:spacing w:val="-18"/>
          <w:sz w:val="38"/>
        </w:rPr>
        <w:t> </w:t>
      </w:r>
      <w:r>
        <w:rPr>
          <w:sz w:val="38"/>
        </w:rPr>
        <w:t>the</w:t>
      </w:r>
      <w:r>
        <w:rPr>
          <w:spacing w:val="-18"/>
          <w:sz w:val="38"/>
        </w:rPr>
        <w:t> </w:t>
      </w:r>
      <w:r>
        <w:rPr>
          <w:sz w:val="38"/>
        </w:rPr>
        <w:t>body</w:t>
      </w:r>
      <w:r>
        <w:rPr>
          <w:spacing w:val="-17"/>
          <w:sz w:val="38"/>
        </w:rPr>
        <w:t> </w:t>
      </w:r>
      <w:r>
        <w:rPr>
          <w:sz w:val="38"/>
        </w:rPr>
        <w:t>make</w:t>
      </w:r>
      <w:r>
        <w:rPr>
          <w:spacing w:val="-16"/>
          <w:sz w:val="38"/>
        </w:rPr>
        <w:t> </w:t>
      </w:r>
      <w:r>
        <w:rPr>
          <w:sz w:val="38"/>
        </w:rPr>
        <w:t>up</w:t>
      </w:r>
      <w:r>
        <w:rPr>
          <w:spacing w:val="-17"/>
          <w:sz w:val="38"/>
        </w:rPr>
        <w:t> </w:t>
      </w:r>
      <w:r>
        <w:rPr>
          <w:sz w:val="38"/>
        </w:rPr>
        <w:t>the</w:t>
      </w:r>
      <w:r>
        <w:rPr>
          <w:spacing w:val="-21"/>
          <w:sz w:val="38"/>
        </w:rPr>
        <w:t> </w:t>
      </w:r>
      <w:r>
        <w:rPr>
          <w:sz w:val="38"/>
        </w:rPr>
        <w:t>whole</w:t>
      </w:r>
      <w:r>
        <w:rPr>
          <w:spacing w:val="-15"/>
          <w:sz w:val="38"/>
        </w:rPr>
        <w:t> </w:t>
      </w:r>
      <w:r>
        <w:rPr>
          <w:sz w:val="38"/>
        </w:rPr>
        <w:t>human</w:t>
      </w:r>
      <w:r>
        <w:rPr>
          <w:spacing w:val="-15"/>
          <w:sz w:val="38"/>
        </w:rPr>
        <w:t> </w:t>
      </w:r>
      <w:r>
        <w:rPr>
          <w:sz w:val="38"/>
        </w:rPr>
        <w:t>being</w:t>
      </w:r>
      <w:r>
        <w:rPr>
          <w:spacing w:val="-16"/>
          <w:sz w:val="38"/>
        </w:rPr>
        <w:t> </w:t>
      </w:r>
      <w:r>
        <w:rPr>
          <w:sz w:val="38"/>
        </w:rPr>
        <w:t>(apart from its</w:t>
      </w:r>
      <w:r>
        <w:rPr>
          <w:spacing w:val="-1"/>
          <w:sz w:val="38"/>
        </w:rPr>
        <w:t> </w:t>
      </w:r>
      <w:r>
        <w:rPr>
          <w:sz w:val="38"/>
        </w:rPr>
        <w:t>soul)!</w:t>
      </w:r>
    </w:p>
    <w:p>
      <w:pPr>
        <w:pStyle w:val="BodyText"/>
        <w:spacing w:before="6"/>
        <w:rPr>
          <w:sz w:val="56"/>
        </w:rPr>
      </w:pPr>
    </w:p>
    <w:p>
      <w:pPr>
        <w:pStyle w:val="ListParagraph"/>
        <w:numPr>
          <w:ilvl w:val="0"/>
          <w:numId w:val="39"/>
        </w:numPr>
        <w:tabs>
          <w:tab w:pos="1198" w:val="left" w:leader="none"/>
        </w:tabs>
        <w:spacing w:line="273" w:lineRule="auto" w:before="0" w:after="0"/>
        <w:ind w:left="1197" w:right="137" w:hanging="360"/>
        <w:jc w:val="both"/>
        <w:rPr>
          <w:sz w:val="38"/>
        </w:rPr>
      </w:pPr>
      <w:r>
        <w:rPr>
          <w:sz w:val="38"/>
        </w:rPr>
        <w:t>the generation of every thought in the brain, every single breath and</w:t>
      </w:r>
      <w:r>
        <w:rPr>
          <w:spacing w:val="-39"/>
          <w:sz w:val="38"/>
        </w:rPr>
        <w:t> </w:t>
      </w:r>
      <w:r>
        <w:rPr>
          <w:sz w:val="38"/>
        </w:rPr>
        <w:t>every heartbeat, every movement, even the smallest blink of the eye, are based on a complex interplay of body cells,</w:t>
      </w:r>
      <w:r>
        <w:rPr>
          <w:spacing w:val="-5"/>
          <w:sz w:val="38"/>
        </w:rPr>
        <w:t> </w:t>
      </w:r>
      <w:r>
        <w:rPr>
          <w:sz w:val="38"/>
        </w:rPr>
        <w:t>which</w:t>
      </w:r>
    </w:p>
    <w:p>
      <w:pPr>
        <w:pStyle w:val="BodyText"/>
        <w:spacing w:before="3"/>
        <w:rPr>
          <w:sz w:val="44"/>
        </w:rPr>
      </w:pPr>
    </w:p>
    <w:p>
      <w:pPr>
        <w:pStyle w:val="ListParagraph"/>
        <w:numPr>
          <w:ilvl w:val="2"/>
          <w:numId w:val="38"/>
        </w:numPr>
        <w:tabs>
          <w:tab w:pos="1557" w:val="left" w:leader="none"/>
        </w:tabs>
        <w:spacing w:line="240" w:lineRule="auto" w:before="0" w:after="0"/>
        <w:ind w:left="1556" w:right="0" w:hanging="359"/>
        <w:jc w:val="left"/>
        <w:rPr>
          <w:sz w:val="38"/>
        </w:rPr>
      </w:pPr>
      <w:r>
        <w:rPr>
          <w:sz w:val="38"/>
        </w:rPr>
        <w:t>communicate with each other and b) need energy for</w:t>
      </w:r>
      <w:r>
        <w:rPr>
          <w:spacing w:val="1"/>
          <w:sz w:val="38"/>
        </w:rPr>
        <w:t> </w:t>
      </w:r>
      <w:r>
        <w:rPr>
          <w:sz w:val="38"/>
        </w:rPr>
        <w:t>this!</w:t>
      </w:r>
    </w:p>
    <w:p>
      <w:pPr>
        <w:pStyle w:val="BodyText"/>
        <w:spacing w:before="6"/>
        <w:rPr>
          <w:sz w:val="49"/>
        </w:rPr>
      </w:pPr>
    </w:p>
    <w:p>
      <w:pPr>
        <w:pStyle w:val="BodyText"/>
        <w:spacing w:line="278" w:lineRule="auto"/>
        <w:ind w:left="1197"/>
      </w:pPr>
      <w:r>
        <w:rPr/>
        <w:t>These facts justify the statement that our quality of life depends primarily on the quality (condition) of our cells!</w:t>
      </w:r>
    </w:p>
    <w:p>
      <w:pPr>
        <w:pStyle w:val="BodyText"/>
        <w:spacing w:before="3"/>
        <w:rPr>
          <w:sz w:val="56"/>
        </w:rPr>
      </w:pPr>
    </w:p>
    <w:p>
      <w:pPr>
        <w:pStyle w:val="ListParagraph"/>
        <w:numPr>
          <w:ilvl w:val="0"/>
          <w:numId w:val="39"/>
        </w:numPr>
        <w:tabs>
          <w:tab w:pos="1198" w:val="left" w:leader="none"/>
        </w:tabs>
        <w:spacing w:line="273" w:lineRule="auto" w:before="0" w:after="0"/>
        <w:ind w:left="1197" w:right="136" w:hanging="360"/>
        <w:jc w:val="both"/>
        <w:rPr>
          <w:sz w:val="38"/>
        </w:rPr>
      </w:pPr>
      <w:r>
        <w:rPr>
          <w:sz w:val="38"/>
        </w:rPr>
        <w:t>Despite</w:t>
      </w:r>
      <w:r>
        <w:rPr>
          <w:spacing w:val="-12"/>
          <w:sz w:val="38"/>
        </w:rPr>
        <w:t> </w:t>
      </w:r>
      <w:r>
        <w:rPr>
          <w:sz w:val="38"/>
        </w:rPr>
        <w:t>what</w:t>
      </w:r>
      <w:r>
        <w:rPr>
          <w:spacing w:val="-12"/>
          <w:sz w:val="38"/>
        </w:rPr>
        <w:t> </w:t>
      </w:r>
      <w:r>
        <w:rPr>
          <w:sz w:val="38"/>
        </w:rPr>
        <w:t>conventional</w:t>
      </w:r>
      <w:r>
        <w:rPr>
          <w:spacing w:val="-12"/>
          <w:sz w:val="38"/>
        </w:rPr>
        <w:t> </w:t>
      </w:r>
      <w:r>
        <w:rPr>
          <w:sz w:val="38"/>
        </w:rPr>
        <w:t>medicine</w:t>
      </w:r>
      <w:r>
        <w:rPr>
          <w:spacing w:val="-11"/>
          <w:sz w:val="38"/>
        </w:rPr>
        <w:t> </w:t>
      </w:r>
      <w:r>
        <w:rPr>
          <w:sz w:val="38"/>
        </w:rPr>
        <w:t>would</w:t>
      </w:r>
      <w:r>
        <w:rPr>
          <w:spacing w:val="-12"/>
          <w:sz w:val="38"/>
        </w:rPr>
        <w:t> </w:t>
      </w:r>
      <w:r>
        <w:rPr>
          <w:sz w:val="38"/>
        </w:rPr>
        <w:t>have</w:t>
      </w:r>
      <w:r>
        <w:rPr>
          <w:spacing w:val="-14"/>
          <w:sz w:val="38"/>
        </w:rPr>
        <w:t> </w:t>
      </w:r>
      <w:r>
        <w:rPr>
          <w:sz w:val="38"/>
        </w:rPr>
        <w:t>us</w:t>
      </w:r>
      <w:r>
        <w:rPr>
          <w:spacing w:val="-12"/>
          <w:sz w:val="38"/>
        </w:rPr>
        <w:t> </w:t>
      </w:r>
      <w:r>
        <w:rPr>
          <w:sz w:val="38"/>
        </w:rPr>
        <w:t>believe</w:t>
      </w:r>
      <w:r>
        <w:rPr>
          <w:spacing w:val="-13"/>
          <w:sz w:val="38"/>
        </w:rPr>
        <w:t> </w:t>
      </w:r>
      <w:r>
        <w:rPr>
          <w:sz w:val="38"/>
        </w:rPr>
        <w:t>in</w:t>
      </w:r>
      <w:r>
        <w:rPr>
          <w:spacing w:val="-14"/>
          <w:sz w:val="38"/>
        </w:rPr>
        <w:t> </w:t>
      </w:r>
      <w:r>
        <w:rPr>
          <w:sz w:val="38"/>
        </w:rPr>
        <w:t>its</w:t>
      </w:r>
      <w:r>
        <w:rPr>
          <w:spacing w:val="-13"/>
          <w:sz w:val="38"/>
        </w:rPr>
        <w:t> </w:t>
      </w:r>
      <w:r>
        <w:rPr>
          <w:sz w:val="38"/>
        </w:rPr>
        <w:t>efforts</w:t>
      </w:r>
      <w:r>
        <w:rPr>
          <w:spacing w:val="-11"/>
          <w:sz w:val="38"/>
        </w:rPr>
        <w:t> </w:t>
      </w:r>
      <w:r>
        <w:rPr>
          <w:sz w:val="38"/>
        </w:rPr>
        <w:t>to maximise its drug turnover, there is no external cure. Rather, all illnesses, conditions and injuries are healed from</w:t>
      </w:r>
      <w:r>
        <w:rPr>
          <w:spacing w:val="-1"/>
          <w:sz w:val="38"/>
        </w:rPr>
        <w:t> </w:t>
      </w:r>
      <w:r>
        <w:rPr>
          <w:sz w:val="38"/>
        </w:rPr>
        <w:t>within.</w:t>
      </w:r>
    </w:p>
    <w:p>
      <w:pPr>
        <w:spacing w:after="0" w:line="273" w:lineRule="auto"/>
        <w:jc w:val="both"/>
        <w:rPr>
          <w:sz w:val="38"/>
        </w:rPr>
        <w:sectPr>
          <w:pgSz w:w="14270" w:h="16850"/>
          <w:pgMar w:header="0" w:footer="1891" w:top="1600" w:bottom="2080" w:left="800" w:right="1280"/>
        </w:sectPr>
      </w:pPr>
    </w:p>
    <w:p>
      <w:pPr>
        <w:pStyle w:val="BodyText"/>
        <w:spacing w:line="276" w:lineRule="auto" w:before="181"/>
        <w:ind w:left="1197" w:right="136"/>
        <w:jc w:val="both"/>
      </w:pPr>
      <w:r>
        <w:rPr/>
        <w:t>In fact, it is the frequently cited ‘self-healing powers’ that lead to a disease being</w:t>
      </w:r>
      <w:r>
        <w:rPr>
          <w:spacing w:val="-22"/>
        </w:rPr>
        <w:t> </w:t>
      </w:r>
      <w:r>
        <w:rPr/>
        <w:t>cured,</w:t>
      </w:r>
      <w:r>
        <w:rPr>
          <w:spacing w:val="-20"/>
        </w:rPr>
        <w:t> </w:t>
      </w:r>
      <w:r>
        <w:rPr/>
        <w:t>and</w:t>
      </w:r>
      <w:r>
        <w:rPr>
          <w:spacing w:val="-22"/>
        </w:rPr>
        <w:t> </w:t>
      </w:r>
      <w:r>
        <w:rPr/>
        <w:t>the</w:t>
      </w:r>
      <w:r>
        <w:rPr>
          <w:spacing w:val="-20"/>
        </w:rPr>
        <w:t> </w:t>
      </w:r>
      <w:r>
        <w:rPr/>
        <w:t>intake</w:t>
      </w:r>
      <w:r>
        <w:rPr>
          <w:spacing w:val="-23"/>
        </w:rPr>
        <w:t> </w:t>
      </w:r>
      <w:r>
        <w:rPr/>
        <w:t>of</w:t>
      </w:r>
      <w:r>
        <w:rPr>
          <w:spacing w:val="-21"/>
        </w:rPr>
        <w:t> </w:t>
      </w:r>
      <w:r>
        <w:rPr/>
        <w:t>appropriate</w:t>
      </w:r>
      <w:r>
        <w:rPr>
          <w:spacing w:val="-24"/>
        </w:rPr>
        <w:t> </w:t>
      </w:r>
      <w:r>
        <w:rPr/>
        <w:t>(natural)</w:t>
      </w:r>
      <w:r>
        <w:rPr>
          <w:spacing w:val="-22"/>
        </w:rPr>
        <w:t> </w:t>
      </w:r>
      <w:r>
        <w:rPr/>
        <w:t>healing</w:t>
      </w:r>
      <w:r>
        <w:rPr>
          <w:spacing w:val="-20"/>
        </w:rPr>
        <w:t> </w:t>
      </w:r>
      <w:r>
        <w:rPr/>
        <w:t>substances</w:t>
      </w:r>
      <w:r>
        <w:rPr>
          <w:spacing w:val="-22"/>
        </w:rPr>
        <w:t> </w:t>
      </w:r>
      <w:r>
        <w:rPr/>
        <w:t>only supports this process by, among other things, supplying the necessary en- ergy and repair substances at the cell</w:t>
      </w:r>
      <w:r>
        <w:rPr>
          <w:spacing w:val="-2"/>
        </w:rPr>
        <w:t> </w:t>
      </w:r>
      <w:r>
        <w:rPr/>
        <w:t>level.</w:t>
      </w:r>
    </w:p>
    <w:p>
      <w:pPr>
        <w:pStyle w:val="BodyText"/>
        <w:spacing w:before="8"/>
        <w:rPr>
          <w:sz w:val="43"/>
        </w:rPr>
      </w:pPr>
    </w:p>
    <w:p>
      <w:pPr>
        <w:pStyle w:val="BodyText"/>
        <w:spacing w:line="276" w:lineRule="auto"/>
        <w:ind w:left="1197" w:right="134"/>
        <w:jc w:val="both"/>
      </w:pPr>
      <w:r>
        <w:rPr/>
        <w:t>But for a cure to occur, logically, the destroyed or disease-affected cells must</w:t>
      </w:r>
      <w:r>
        <w:rPr>
          <w:spacing w:val="-18"/>
        </w:rPr>
        <w:t> </w:t>
      </w:r>
      <w:r>
        <w:rPr/>
        <w:t>first</w:t>
      </w:r>
      <w:r>
        <w:rPr>
          <w:spacing w:val="-17"/>
        </w:rPr>
        <w:t> </w:t>
      </w:r>
      <w:r>
        <w:rPr/>
        <w:t>communicate</w:t>
      </w:r>
      <w:r>
        <w:rPr>
          <w:spacing w:val="-18"/>
        </w:rPr>
        <w:t> </w:t>
      </w:r>
      <w:r>
        <w:rPr/>
        <w:t>their</w:t>
      </w:r>
      <w:r>
        <w:rPr>
          <w:spacing w:val="-16"/>
        </w:rPr>
        <w:t> </w:t>
      </w:r>
      <w:r>
        <w:rPr/>
        <w:t>condition</w:t>
      </w:r>
      <w:r>
        <w:rPr>
          <w:spacing w:val="-17"/>
        </w:rPr>
        <w:t> </w:t>
      </w:r>
      <w:r>
        <w:rPr/>
        <w:t>to</w:t>
      </w:r>
      <w:r>
        <w:rPr>
          <w:spacing w:val="-16"/>
        </w:rPr>
        <w:t> </w:t>
      </w:r>
      <w:r>
        <w:rPr/>
        <w:t>the</w:t>
      </w:r>
      <w:r>
        <w:rPr>
          <w:spacing w:val="-16"/>
        </w:rPr>
        <w:t> </w:t>
      </w:r>
      <w:r>
        <w:rPr/>
        <w:t>other</w:t>
      </w:r>
      <w:r>
        <w:rPr>
          <w:spacing w:val="-17"/>
        </w:rPr>
        <w:t> </w:t>
      </w:r>
      <w:r>
        <w:rPr/>
        <w:t>cells,</w:t>
      </w:r>
      <w:r>
        <w:rPr>
          <w:spacing w:val="-19"/>
        </w:rPr>
        <w:t> </w:t>
      </w:r>
      <w:r>
        <w:rPr/>
        <w:t>narrow</w:t>
      </w:r>
      <w:r>
        <w:rPr>
          <w:spacing w:val="-17"/>
        </w:rPr>
        <w:t> </w:t>
      </w:r>
      <w:r>
        <w:rPr/>
        <w:t>the</w:t>
      </w:r>
      <w:r>
        <w:rPr>
          <w:spacing w:val="-17"/>
        </w:rPr>
        <w:t> </w:t>
      </w:r>
      <w:r>
        <w:rPr/>
        <w:t>focus work together to successfully coordinate the desired self-healing by inter- acting with one another (e.g. via activation of immune cells, to control a bacterial infection, produce stem cells to close a wound,</w:t>
      </w:r>
      <w:r>
        <w:rPr>
          <w:spacing w:val="-7"/>
        </w:rPr>
        <w:t> </w:t>
      </w:r>
      <w:r>
        <w:rPr/>
        <w:t>etc.)</w:t>
      </w:r>
    </w:p>
    <w:p>
      <w:pPr>
        <w:pStyle w:val="BodyText"/>
        <w:spacing w:before="9"/>
        <w:rPr>
          <w:sz w:val="43"/>
        </w:rPr>
      </w:pPr>
    </w:p>
    <w:p>
      <w:pPr>
        <w:pStyle w:val="ListParagraph"/>
        <w:numPr>
          <w:ilvl w:val="0"/>
          <w:numId w:val="39"/>
        </w:numPr>
        <w:tabs>
          <w:tab w:pos="1198" w:val="left" w:leader="none"/>
        </w:tabs>
        <w:spacing w:line="276" w:lineRule="auto" w:before="0" w:after="0"/>
        <w:ind w:left="1197" w:right="133" w:hanging="360"/>
        <w:jc w:val="both"/>
        <w:rPr>
          <w:sz w:val="38"/>
        </w:rPr>
      </w:pPr>
      <w:r>
        <w:rPr>
          <w:sz w:val="38"/>
        </w:rPr>
        <w:t>This principle of intercellular communication production and energy sup- ply does not preclude the prevention of ageing, since biological ageing means</w:t>
      </w:r>
      <w:r>
        <w:rPr>
          <w:spacing w:val="-9"/>
          <w:sz w:val="38"/>
        </w:rPr>
        <w:t> </w:t>
      </w:r>
      <w:r>
        <w:rPr>
          <w:sz w:val="38"/>
        </w:rPr>
        <w:t>nothing</w:t>
      </w:r>
      <w:r>
        <w:rPr>
          <w:spacing w:val="-13"/>
          <w:sz w:val="38"/>
        </w:rPr>
        <w:t> </w:t>
      </w:r>
      <w:r>
        <w:rPr>
          <w:sz w:val="38"/>
        </w:rPr>
        <w:t>more</w:t>
      </w:r>
      <w:r>
        <w:rPr>
          <w:spacing w:val="-9"/>
          <w:sz w:val="38"/>
        </w:rPr>
        <w:t> </w:t>
      </w:r>
      <w:r>
        <w:rPr>
          <w:sz w:val="38"/>
        </w:rPr>
        <w:t>than</w:t>
      </w:r>
      <w:r>
        <w:rPr>
          <w:spacing w:val="-7"/>
          <w:sz w:val="38"/>
        </w:rPr>
        <w:t> </w:t>
      </w:r>
      <w:r>
        <w:rPr>
          <w:sz w:val="38"/>
        </w:rPr>
        <w:t>the</w:t>
      </w:r>
      <w:r>
        <w:rPr>
          <w:spacing w:val="-11"/>
          <w:sz w:val="38"/>
        </w:rPr>
        <w:t> </w:t>
      </w:r>
      <w:r>
        <w:rPr>
          <w:sz w:val="38"/>
        </w:rPr>
        <w:t>progressive</w:t>
      </w:r>
      <w:r>
        <w:rPr>
          <w:spacing w:val="-9"/>
          <w:sz w:val="38"/>
        </w:rPr>
        <w:t> </w:t>
      </w:r>
      <w:r>
        <w:rPr>
          <w:sz w:val="38"/>
        </w:rPr>
        <w:t>decline</w:t>
      </w:r>
      <w:r>
        <w:rPr>
          <w:spacing w:val="-9"/>
          <w:sz w:val="38"/>
        </w:rPr>
        <w:t> </w:t>
      </w:r>
      <w:r>
        <w:rPr>
          <w:sz w:val="38"/>
        </w:rPr>
        <w:t>of</w:t>
      </w:r>
      <w:r>
        <w:rPr>
          <w:spacing w:val="-8"/>
          <w:sz w:val="38"/>
        </w:rPr>
        <w:t> </w:t>
      </w:r>
      <w:r>
        <w:rPr>
          <w:sz w:val="38"/>
        </w:rPr>
        <w:t>cell</w:t>
      </w:r>
      <w:r>
        <w:rPr>
          <w:spacing w:val="-9"/>
          <w:sz w:val="38"/>
        </w:rPr>
        <w:t> </w:t>
      </w:r>
      <w:r>
        <w:rPr>
          <w:sz w:val="38"/>
        </w:rPr>
        <w:t>functions.</w:t>
      </w:r>
      <w:r>
        <w:rPr>
          <w:spacing w:val="-8"/>
          <w:sz w:val="38"/>
        </w:rPr>
        <w:t> </w:t>
      </w:r>
      <w:r>
        <w:rPr>
          <w:sz w:val="38"/>
        </w:rPr>
        <w:t>Even</w:t>
      </w:r>
      <w:r>
        <w:rPr>
          <w:spacing w:val="-9"/>
          <w:sz w:val="38"/>
        </w:rPr>
        <w:t> </w:t>
      </w:r>
      <w:r>
        <w:rPr>
          <w:sz w:val="38"/>
        </w:rPr>
        <w:t>a reduction like this must first be recognised by the cells and</w:t>
      </w:r>
      <w:r>
        <w:rPr>
          <w:spacing w:val="-68"/>
          <w:sz w:val="38"/>
        </w:rPr>
        <w:t> </w:t>
      </w:r>
      <w:r>
        <w:rPr>
          <w:sz w:val="38"/>
        </w:rPr>
        <w:t>communicated among them for them to be able to successfully repair the degenerative processes we commonly call ‘biological</w:t>
      </w:r>
      <w:r>
        <w:rPr>
          <w:spacing w:val="-2"/>
          <w:sz w:val="38"/>
        </w:rPr>
        <w:t> </w:t>
      </w:r>
      <w:r>
        <w:rPr>
          <w:sz w:val="38"/>
        </w:rPr>
        <w:t>ageing’.</w:t>
      </w:r>
    </w:p>
    <w:p>
      <w:pPr>
        <w:pStyle w:val="BodyText"/>
        <w:spacing w:before="2"/>
        <w:rPr>
          <w:sz w:val="43"/>
        </w:rPr>
      </w:pPr>
    </w:p>
    <w:p>
      <w:pPr>
        <w:spacing w:line="278" w:lineRule="auto" w:before="1"/>
        <w:ind w:left="1197" w:right="133" w:firstLine="0"/>
        <w:jc w:val="both"/>
        <w:rPr>
          <w:sz w:val="38"/>
        </w:rPr>
      </w:pPr>
      <w:r>
        <w:rPr>
          <w:sz w:val="38"/>
        </w:rPr>
        <w:t>The interplay of </w:t>
      </w:r>
      <w:r>
        <w:rPr>
          <w:i/>
          <w:sz w:val="38"/>
        </w:rPr>
        <w:t>communication </w:t>
      </w:r>
      <w:r>
        <w:rPr>
          <w:sz w:val="38"/>
        </w:rPr>
        <w:t>and </w:t>
      </w:r>
      <w:r>
        <w:rPr>
          <w:i/>
          <w:sz w:val="38"/>
        </w:rPr>
        <w:t>energy flow</w:t>
      </w:r>
      <w:r>
        <w:rPr>
          <w:sz w:val="38"/>
        </w:rPr>
        <w:t>, in any case, as in the preven- tion of ageing, is the absolute prerequisite!</w:t>
      </w:r>
    </w:p>
    <w:p>
      <w:pPr>
        <w:pStyle w:val="BodyText"/>
        <w:spacing w:before="3"/>
        <w:rPr>
          <w:sz w:val="56"/>
        </w:rPr>
      </w:pPr>
    </w:p>
    <w:p>
      <w:pPr>
        <w:pStyle w:val="BodyText"/>
        <w:spacing w:line="278" w:lineRule="auto"/>
        <w:ind w:left="477"/>
      </w:pPr>
      <w:r>
        <w:rPr/>
        <w:t>There</w:t>
      </w:r>
      <w:r>
        <w:rPr>
          <w:spacing w:val="-10"/>
        </w:rPr>
        <w:t> </w:t>
      </w:r>
      <w:r>
        <w:rPr/>
        <w:t>are</w:t>
      </w:r>
      <w:r>
        <w:rPr>
          <w:spacing w:val="-11"/>
        </w:rPr>
        <w:t> </w:t>
      </w:r>
      <w:r>
        <w:rPr/>
        <w:t>certainly</w:t>
      </w:r>
      <w:r>
        <w:rPr>
          <w:spacing w:val="-10"/>
        </w:rPr>
        <w:t> </w:t>
      </w:r>
      <w:r>
        <w:rPr/>
        <w:t>many</w:t>
      </w:r>
      <w:r>
        <w:rPr>
          <w:spacing w:val="-9"/>
        </w:rPr>
        <w:t> </w:t>
      </w:r>
      <w:r>
        <w:rPr/>
        <w:t>definitions</w:t>
      </w:r>
      <w:r>
        <w:rPr>
          <w:spacing w:val="-11"/>
        </w:rPr>
        <w:t> </w:t>
      </w:r>
      <w:r>
        <w:rPr/>
        <w:t>of</w:t>
      </w:r>
      <w:r>
        <w:rPr>
          <w:spacing w:val="-9"/>
        </w:rPr>
        <w:t> </w:t>
      </w:r>
      <w:r>
        <w:rPr/>
        <w:t>health,</w:t>
      </w:r>
      <w:r>
        <w:rPr>
          <w:spacing w:val="-8"/>
        </w:rPr>
        <w:t> </w:t>
      </w:r>
      <w:r>
        <w:rPr/>
        <w:t>vitality</w:t>
      </w:r>
      <w:r>
        <w:rPr>
          <w:spacing w:val="-9"/>
        </w:rPr>
        <w:t> </w:t>
      </w:r>
      <w:r>
        <w:rPr/>
        <w:t>and</w:t>
      </w:r>
      <w:r>
        <w:rPr>
          <w:spacing w:val="-9"/>
        </w:rPr>
        <w:t> </w:t>
      </w:r>
      <w:r>
        <w:rPr/>
        <w:t>youth,</w:t>
      </w:r>
      <w:r>
        <w:rPr>
          <w:spacing w:val="-11"/>
        </w:rPr>
        <w:t> </w:t>
      </w:r>
      <w:r>
        <w:rPr/>
        <w:t>but</w:t>
      </w:r>
      <w:r>
        <w:rPr>
          <w:spacing w:val="-10"/>
        </w:rPr>
        <w:t> </w:t>
      </w:r>
      <w:r>
        <w:rPr/>
        <w:t>this</w:t>
      </w:r>
      <w:r>
        <w:rPr>
          <w:spacing w:val="-8"/>
        </w:rPr>
        <w:t> </w:t>
      </w:r>
      <w:r>
        <w:rPr/>
        <w:t>one</w:t>
      </w:r>
      <w:r>
        <w:rPr>
          <w:spacing w:val="-10"/>
        </w:rPr>
        <w:t> </w:t>
      </w:r>
      <w:r>
        <w:rPr/>
        <w:t>is very apt:</w:t>
      </w:r>
    </w:p>
    <w:p>
      <w:pPr>
        <w:spacing w:after="0" w:line="278" w:lineRule="auto"/>
        <w:sectPr>
          <w:footerReference w:type="default" r:id="rId162"/>
          <w:pgSz w:w="14270" w:h="16850"/>
          <w:pgMar w:footer="1891" w:header="0" w:top="1600" w:bottom="2080" w:left="800" w:right="1280"/>
          <w:pgNumType w:start="650"/>
        </w:sectPr>
      </w:pPr>
    </w:p>
    <w:p>
      <w:pPr>
        <w:pStyle w:val="BodyText"/>
        <w:spacing w:line="276" w:lineRule="auto" w:before="181"/>
        <w:ind w:left="477" w:right="137"/>
        <w:jc w:val="both"/>
      </w:pPr>
      <w:r>
        <w:rPr/>
        <w:t>the</w:t>
      </w:r>
      <w:r>
        <w:rPr>
          <w:spacing w:val="-9"/>
        </w:rPr>
        <w:t> </w:t>
      </w:r>
      <w:r>
        <w:rPr/>
        <w:t>basis</w:t>
      </w:r>
      <w:r>
        <w:rPr>
          <w:spacing w:val="-9"/>
        </w:rPr>
        <w:t> </w:t>
      </w:r>
      <w:r>
        <w:rPr/>
        <w:t>of</w:t>
      </w:r>
      <w:r>
        <w:rPr>
          <w:spacing w:val="-11"/>
        </w:rPr>
        <w:t> </w:t>
      </w:r>
      <w:r>
        <w:rPr/>
        <w:t>our</w:t>
      </w:r>
      <w:r>
        <w:rPr>
          <w:spacing w:val="-11"/>
        </w:rPr>
        <w:t> </w:t>
      </w:r>
      <w:r>
        <w:rPr/>
        <w:t>healthy,</w:t>
      </w:r>
      <w:r>
        <w:rPr>
          <w:spacing w:val="-9"/>
        </w:rPr>
        <w:t> </w:t>
      </w:r>
      <w:r>
        <w:rPr/>
        <w:t>fully</w:t>
      </w:r>
      <w:r>
        <w:rPr>
          <w:spacing w:val="-10"/>
        </w:rPr>
        <w:t> </w:t>
      </w:r>
      <w:r>
        <w:rPr/>
        <w:t>functional</w:t>
      </w:r>
      <w:r>
        <w:rPr>
          <w:spacing w:val="-11"/>
        </w:rPr>
        <w:t> </w:t>
      </w:r>
      <w:r>
        <w:rPr/>
        <w:t>and</w:t>
      </w:r>
      <w:r>
        <w:rPr>
          <w:spacing w:val="-10"/>
        </w:rPr>
        <w:t> </w:t>
      </w:r>
      <w:r>
        <w:rPr/>
        <w:t>vital</w:t>
      </w:r>
      <w:r>
        <w:rPr>
          <w:spacing w:val="-9"/>
        </w:rPr>
        <w:t> </w:t>
      </w:r>
      <w:r>
        <w:rPr/>
        <w:t>existence</w:t>
      </w:r>
      <w:r>
        <w:rPr>
          <w:spacing w:val="-9"/>
        </w:rPr>
        <w:t> </w:t>
      </w:r>
      <w:r>
        <w:rPr/>
        <w:t>is</w:t>
      </w:r>
      <w:r>
        <w:rPr>
          <w:spacing w:val="-9"/>
        </w:rPr>
        <w:t> </w:t>
      </w:r>
      <w:r>
        <w:rPr/>
        <w:t>undisturbed</w:t>
      </w:r>
      <w:r>
        <w:rPr>
          <w:spacing w:val="-10"/>
        </w:rPr>
        <w:t> </w:t>
      </w:r>
      <w:r>
        <w:rPr/>
        <w:t>com- munication</w:t>
      </w:r>
      <w:r>
        <w:rPr>
          <w:spacing w:val="-21"/>
        </w:rPr>
        <w:t> </w:t>
      </w:r>
      <w:r>
        <w:rPr/>
        <w:t>between</w:t>
      </w:r>
      <w:r>
        <w:rPr>
          <w:spacing w:val="-19"/>
        </w:rPr>
        <w:t> </w:t>
      </w:r>
      <w:r>
        <w:rPr/>
        <w:t>our</w:t>
      </w:r>
      <w:r>
        <w:rPr>
          <w:spacing w:val="-21"/>
        </w:rPr>
        <w:t> </w:t>
      </w:r>
      <w:r>
        <w:rPr/>
        <w:t>cells,</w:t>
      </w:r>
      <w:r>
        <w:rPr>
          <w:spacing w:val="-19"/>
        </w:rPr>
        <w:t> </w:t>
      </w:r>
      <w:r>
        <w:rPr/>
        <w:t>which,</w:t>
      </w:r>
      <w:r>
        <w:rPr>
          <w:spacing w:val="-20"/>
        </w:rPr>
        <w:t> </w:t>
      </w:r>
      <w:r>
        <w:rPr/>
        <w:t>however,</w:t>
      </w:r>
      <w:r>
        <w:rPr>
          <w:spacing w:val="-20"/>
        </w:rPr>
        <w:t> </w:t>
      </w:r>
      <w:r>
        <w:rPr/>
        <w:t>depends</w:t>
      </w:r>
      <w:r>
        <w:rPr>
          <w:spacing w:val="-21"/>
        </w:rPr>
        <w:t> </w:t>
      </w:r>
      <w:r>
        <w:rPr/>
        <w:t>on</w:t>
      </w:r>
      <w:r>
        <w:rPr>
          <w:spacing w:val="-19"/>
        </w:rPr>
        <w:t> </w:t>
      </w:r>
      <w:r>
        <w:rPr/>
        <w:t>an</w:t>
      </w:r>
      <w:r>
        <w:rPr>
          <w:spacing w:val="-21"/>
        </w:rPr>
        <w:t> </w:t>
      </w:r>
      <w:r>
        <w:rPr/>
        <w:t>undisturbed</w:t>
      </w:r>
      <w:r>
        <w:rPr>
          <w:spacing w:val="-21"/>
        </w:rPr>
        <w:t> </w:t>
      </w:r>
      <w:r>
        <w:rPr/>
        <w:t>flow of energy – health is the surplus cell energy!</w:t>
      </w:r>
    </w:p>
    <w:p>
      <w:pPr>
        <w:pStyle w:val="BodyText"/>
        <w:spacing w:before="9"/>
        <w:rPr>
          <w:sz w:val="55"/>
        </w:rPr>
      </w:pPr>
    </w:p>
    <w:p>
      <w:pPr>
        <w:pStyle w:val="Heading1"/>
        <w:spacing w:before="0"/>
      </w:pPr>
      <w:r>
        <w:rPr/>
        <w:t>CONCLUSION:</w:t>
      </w:r>
    </w:p>
    <w:p>
      <w:pPr>
        <w:pStyle w:val="BodyText"/>
        <w:spacing w:line="276" w:lineRule="auto" w:before="131"/>
        <w:ind w:left="477" w:right="130"/>
        <w:jc w:val="both"/>
      </w:pPr>
      <w:r>
        <w:rPr/>
        <w:t>only if the communication of our 37,2 trillion cells from which we are formed runs completely smoothly can we function, stay healthy and age much more slowly. For this, our cells need sufficient energy. This communication in the form of the transmission of information through stimulus transmission repre- sents</w:t>
      </w:r>
      <w:r>
        <w:rPr>
          <w:spacing w:val="-19"/>
        </w:rPr>
        <w:t> </w:t>
      </w:r>
      <w:r>
        <w:rPr/>
        <w:t>the</w:t>
      </w:r>
      <w:r>
        <w:rPr>
          <w:spacing w:val="-18"/>
        </w:rPr>
        <w:t> </w:t>
      </w:r>
      <w:r>
        <w:rPr/>
        <w:t>absolute</w:t>
      </w:r>
      <w:r>
        <w:rPr>
          <w:spacing w:val="-20"/>
        </w:rPr>
        <w:t> </w:t>
      </w:r>
      <w:r>
        <w:rPr/>
        <w:t>foundation</w:t>
      </w:r>
      <w:r>
        <w:rPr>
          <w:spacing w:val="-18"/>
        </w:rPr>
        <w:t> </w:t>
      </w:r>
      <w:r>
        <w:rPr/>
        <w:t>for</w:t>
      </w:r>
      <w:r>
        <w:rPr>
          <w:spacing w:val="-18"/>
        </w:rPr>
        <w:t> </w:t>
      </w:r>
      <w:r>
        <w:rPr/>
        <w:t>the</w:t>
      </w:r>
      <w:r>
        <w:rPr>
          <w:spacing w:val="-19"/>
        </w:rPr>
        <w:t> </w:t>
      </w:r>
      <w:r>
        <w:rPr/>
        <w:t>healthy</w:t>
      </w:r>
      <w:r>
        <w:rPr>
          <w:spacing w:val="-19"/>
        </w:rPr>
        <w:t> </w:t>
      </w:r>
      <w:r>
        <w:rPr/>
        <w:t>functioning</w:t>
      </w:r>
      <w:r>
        <w:rPr>
          <w:spacing w:val="-19"/>
        </w:rPr>
        <w:t> </w:t>
      </w:r>
      <w:r>
        <w:rPr/>
        <w:t>of</w:t>
      </w:r>
      <w:r>
        <w:rPr>
          <w:spacing w:val="-19"/>
        </w:rPr>
        <w:t> </w:t>
      </w:r>
      <w:r>
        <w:rPr/>
        <w:t>our</w:t>
      </w:r>
      <w:r>
        <w:rPr>
          <w:spacing w:val="-19"/>
        </w:rPr>
        <w:t> </w:t>
      </w:r>
      <w:r>
        <w:rPr/>
        <w:t>body,</w:t>
      </w:r>
      <w:r>
        <w:rPr>
          <w:spacing w:val="-19"/>
        </w:rPr>
        <w:t> </w:t>
      </w:r>
      <w:r>
        <w:rPr/>
        <w:t>our</w:t>
      </w:r>
      <w:r>
        <w:rPr>
          <w:spacing w:val="-19"/>
        </w:rPr>
        <w:t> </w:t>
      </w:r>
      <w:r>
        <w:rPr/>
        <w:t>mind and our</w:t>
      </w:r>
      <w:r>
        <w:rPr>
          <w:spacing w:val="1"/>
        </w:rPr>
        <w:t> </w:t>
      </w:r>
      <w:r>
        <w:rPr/>
        <w:t>soul.</w:t>
      </w:r>
    </w:p>
    <w:p>
      <w:pPr>
        <w:pStyle w:val="BodyText"/>
        <w:spacing w:line="276" w:lineRule="auto" w:before="75"/>
        <w:ind w:left="477" w:right="133"/>
        <w:jc w:val="both"/>
      </w:pPr>
      <w:r>
        <w:rPr/>
        <w:t>Traditional</w:t>
      </w:r>
      <w:r>
        <w:rPr>
          <w:spacing w:val="-22"/>
        </w:rPr>
        <w:t> </w:t>
      </w:r>
      <w:r>
        <w:rPr/>
        <w:t>healing</w:t>
      </w:r>
      <w:r>
        <w:rPr>
          <w:spacing w:val="-20"/>
        </w:rPr>
        <w:t> </w:t>
      </w:r>
      <w:r>
        <w:rPr/>
        <w:t>systems</w:t>
      </w:r>
      <w:r>
        <w:rPr>
          <w:spacing w:val="-23"/>
        </w:rPr>
        <w:t> </w:t>
      </w:r>
      <w:r>
        <w:rPr/>
        <w:t>such</w:t>
      </w:r>
      <w:r>
        <w:rPr>
          <w:spacing w:val="-23"/>
        </w:rPr>
        <w:t> </w:t>
      </w:r>
      <w:r>
        <w:rPr/>
        <w:t>as</w:t>
      </w:r>
      <w:r>
        <w:rPr>
          <w:spacing w:val="-21"/>
        </w:rPr>
        <w:t> </w:t>
      </w:r>
      <w:r>
        <w:rPr/>
        <w:t>TCM</w:t>
      </w:r>
      <w:r>
        <w:rPr>
          <w:spacing w:val="-21"/>
        </w:rPr>
        <w:t> </w:t>
      </w:r>
      <w:r>
        <w:rPr/>
        <w:t>(Traditional</w:t>
      </w:r>
      <w:r>
        <w:rPr>
          <w:spacing w:val="-20"/>
        </w:rPr>
        <w:t> </w:t>
      </w:r>
      <w:r>
        <w:rPr/>
        <w:t>Chinese</w:t>
      </w:r>
      <w:r>
        <w:rPr>
          <w:spacing w:val="-20"/>
        </w:rPr>
        <w:t> </w:t>
      </w:r>
      <w:r>
        <w:rPr/>
        <w:t>Medicine)</w:t>
      </w:r>
      <w:r>
        <w:rPr>
          <w:spacing w:val="-21"/>
        </w:rPr>
        <w:t> </w:t>
      </w:r>
      <w:r>
        <w:rPr/>
        <w:t>always emphasise</w:t>
      </w:r>
      <w:r>
        <w:rPr>
          <w:spacing w:val="-16"/>
        </w:rPr>
        <w:t> </w:t>
      </w:r>
      <w:r>
        <w:rPr/>
        <w:t>the</w:t>
      </w:r>
      <w:r>
        <w:rPr>
          <w:spacing w:val="-18"/>
        </w:rPr>
        <w:t> </w:t>
      </w:r>
      <w:r>
        <w:rPr/>
        <w:t>disturbed</w:t>
      </w:r>
      <w:r>
        <w:rPr>
          <w:spacing w:val="-17"/>
        </w:rPr>
        <w:t> </w:t>
      </w:r>
      <w:r>
        <w:rPr/>
        <w:t>flow</w:t>
      </w:r>
      <w:r>
        <w:rPr>
          <w:spacing w:val="-16"/>
        </w:rPr>
        <w:t> </w:t>
      </w:r>
      <w:r>
        <w:rPr/>
        <w:t>of</w:t>
      </w:r>
      <w:r>
        <w:rPr>
          <w:spacing w:val="-19"/>
        </w:rPr>
        <w:t> </w:t>
      </w:r>
      <w:r>
        <w:rPr/>
        <w:t>energy</w:t>
      </w:r>
      <w:r>
        <w:rPr>
          <w:spacing w:val="-16"/>
        </w:rPr>
        <w:t> </w:t>
      </w:r>
      <w:r>
        <w:rPr/>
        <w:t>as</w:t>
      </w:r>
      <w:r>
        <w:rPr>
          <w:spacing w:val="-18"/>
        </w:rPr>
        <w:t> </w:t>
      </w:r>
      <w:r>
        <w:rPr/>
        <w:t>the</w:t>
      </w:r>
      <w:r>
        <w:rPr>
          <w:spacing w:val="-18"/>
        </w:rPr>
        <w:t> </w:t>
      </w:r>
      <w:r>
        <w:rPr/>
        <w:t>cause</w:t>
      </w:r>
      <w:r>
        <w:rPr>
          <w:spacing w:val="-17"/>
        </w:rPr>
        <w:t> </w:t>
      </w:r>
      <w:r>
        <w:rPr/>
        <w:t>of</w:t>
      </w:r>
      <w:r>
        <w:rPr>
          <w:spacing w:val="-15"/>
        </w:rPr>
        <w:t> </w:t>
      </w:r>
      <w:r>
        <w:rPr/>
        <w:t>all</w:t>
      </w:r>
      <w:r>
        <w:rPr>
          <w:spacing w:val="-18"/>
        </w:rPr>
        <w:t> </w:t>
      </w:r>
      <w:r>
        <w:rPr/>
        <w:t>diseases.</w:t>
      </w:r>
      <w:r>
        <w:rPr>
          <w:spacing w:val="-16"/>
        </w:rPr>
        <w:t> </w:t>
      </w:r>
      <w:r>
        <w:rPr/>
        <w:t>Accordingly, healing takes place by dispersing blockages, which logically lead to blocking at one end and a shortage at the other and thus unbalance the organism. Only by dispersing the blockages can the energy flow unhindered again and the body return to</w:t>
      </w:r>
      <w:r>
        <w:rPr>
          <w:spacing w:val="1"/>
        </w:rPr>
        <w:t> </w:t>
      </w:r>
      <w:r>
        <w:rPr/>
        <w:t>health.</w:t>
      </w:r>
    </w:p>
    <w:p>
      <w:pPr>
        <w:spacing w:after="0" w:line="276" w:lineRule="auto"/>
        <w:jc w:val="both"/>
        <w:sectPr>
          <w:pgSz w:w="14270" w:h="16850"/>
          <w:pgMar w:header="0" w:footer="1891" w:top="1600" w:bottom="2080" w:left="800" w:right="12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6"/>
        </w:rPr>
      </w:pPr>
    </w:p>
    <w:p>
      <w:pPr>
        <w:pStyle w:val="Heading1"/>
        <w:spacing w:line="264" w:lineRule="auto" w:before="99"/>
        <w:ind w:right="145"/>
        <w:jc w:val="both"/>
      </w:pPr>
      <w:r>
        <w:rPr/>
        <w:t>Rare</w:t>
      </w:r>
      <w:r>
        <w:rPr>
          <w:spacing w:val="-38"/>
        </w:rPr>
        <w:t> </w:t>
      </w:r>
      <w:r>
        <w:rPr/>
        <w:t>agreement</w:t>
      </w:r>
      <w:r>
        <w:rPr>
          <w:spacing w:val="-38"/>
        </w:rPr>
        <w:t> </w:t>
      </w:r>
      <w:r>
        <w:rPr/>
        <w:t>between</w:t>
      </w:r>
      <w:r>
        <w:rPr>
          <w:spacing w:val="-38"/>
        </w:rPr>
        <w:t> </w:t>
      </w:r>
      <w:r>
        <w:rPr/>
        <w:t>conventional</w:t>
      </w:r>
      <w:r>
        <w:rPr>
          <w:spacing w:val="-37"/>
        </w:rPr>
        <w:t> </w:t>
      </w:r>
      <w:r>
        <w:rPr/>
        <w:t>medicine</w:t>
      </w:r>
      <w:r>
        <w:rPr>
          <w:spacing w:val="-38"/>
        </w:rPr>
        <w:t> </w:t>
      </w:r>
      <w:r>
        <w:rPr/>
        <w:t>and</w:t>
      </w:r>
      <w:r>
        <w:rPr>
          <w:spacing w:val="-37"/>
        </w:rPr>
        <w:t> </w:t>
      </w:r>
      <w:r>
        <w:rPr/>
        <w:t>traditional</w:t>
      </w:r>
      <w:r>
        <w:rPr>
          <w:spacing w:val="-36"/>
        </w:rPr>
        <w:t> </w:t>
      </w:r>
      <w:r>
        <w:rPr/>
        <w:t>medi- cine</w:t>
      </w:r>
    </w:p>
    <w:p>
      <w:pPr>
        <w:pStyle w:val="BodyText"/>
        <w:spacing w:line="276" w:lineRule="auto" w:before="86"/>
        <w:ind w:left="477" w:right="135"/>
        <w:jc w:val="both"/>
      </w:pPr>
      <w:r>
        <w:rPr/>
        <w:t>And indeed, conventional medicine is struggling with these basic, very logical, pearls of wisdom, but it must gradually acknowledge them. Did you know, for example, how long conventional medicine has recognised acupuncture from traditional Chinese medicine and which Western health insurance companies are increasingly subsidising?</w:t>
      </w:r>
    </w:p>
    <w:p>
      <w:pPr>
        <w:pStyle w:val="BodyText"/>
        <w:spacing w:line="276" w:lineRule="auto" w:before="77"/>
        <w:ind w:left="477" w:right="131"/>
        <w:jc w:val="both"/>
      </w:pPr>
      <w:r>
        <w:rPr/>
        <w:t>Correct, only since conventional medicine has had the equipment to measure the blocked energy flows that acupuncture mobilises! Acupuncture is just one example</w:t>
      </w:r>
      <w:r>
        <w:rPr>
          <w:spacing w:val="-22"/>
        </w:rPr>
        <w:t> </w:t>
      </w:r>
      <w:r>
        <w:rPr/>
        <w:t>of</w:t>
      </w:r>
      <w:r>
        <w:rPr>
          <w:spacing w:val="-21"/>
        </w:rPr>
        <w:t> </w:t>
      </w:r>
      <w:r>
        <w:rPr/>
        <w:t>the</w:t>
      </w:r>
      <w:r>
        <w:rPr>
          <w:spacing w:val="-20"/>
        </w:rPr>
        <w:t> </w:t>
      </w:r>
      <w:r>
        <w:rPr/>
        <w:t>intuitive</w:t>
      </w:r>
      <w:r>
        <w:rPr>
          <w:spacing w:val="-20"/>
        </w:rPr>
        <w:t> </w:t>
      </w:r>
      <w:r>
        <w:rPr/>
        <w:t>use</w:t>
      </w:r>
      <w:r>
        <w:rPr>
          <w:spacing w:val="-21"/>
        </w:rPr>
        <w:t> </w:t>
      </w:r>
      <w:r>
        <w:rPr/>
        <w:t>of</w:t>
      </w:r>
      <w:r>
        <w:rPr>
          <w:spacing w:val="-21"/>
        </w:rPr>
        <w:t> </w:t>
      </w:r>
      <w:r>
        <w:rPr/>
        <w:t>Traditional</w:t>
      </w:r>
      <w:r>
        <w:rPr>
          <w:spacing w:val="-20"/>
        </w:rPr>
        <w:t> </w:t>
      </w:r>
      <w:r>
        <w:rPr/>
        <w:t>Chinese</w:t>
      </w:r>
      <w:r>
        <w:rPr>
          <w:spacing w:val="-21"/>
        </w:rPr>
        <w:t> </w:t>
      </w:r>
      <w:r>
        <w:rPr/>
        <w:t>Medicine</w:t>
      </w:r>
      <w:r>
        <w:rPr>
          <w:spacing w:val="-21"/>
        </w:rPr>
        <w:t> </w:t>
      </w:r>
      <w:r>
        <w:rPr/>
        <w:t>that</w:t>
      </w:r>
      <w:r>
        <w:rPr>
          <w:spacing w:val="-21"/>
        </w:rPr>
        <w:t> </w:t>
      </w:r>
      <w:r>
        <w:rPr/>
        <w:t>has</w:t>
      </w:r>
      <w:r>
        <w:rPr>
          <w:spacing w:val="-21"/>
        </w:rPr>
        <w:t> </w:t>
      </w:r>
      <w:r>
        <w:rPr/>
        <w:t>been</w:t>
      </w:r>
      <w:r>
        <w:rPr>
          <w:spacing w:val="-21"/>
        </w:rPr>
        <w:t> </w:t>
      </w:r>
      <w:r>
        <w:rPr/>
        <w:t>prac- ticed successfully for thousands of years, while conventional medicine taunted and ridiculed it for more than a century... and finally had to learn a</w:t>
      </w:r>
      <w:r>
        <w:rPr>
          <w:spacing w:val="-17"/>
        </w:rPr>
        <w:t> </w:t>
      </w:r>
      <w:r>
        <w:rPr/>
        <w:t>lesson...!</w:t>
      </w:r>
    </w:p>
    <w:p>
      <w:pPr>
        <w:pStyle w:val="BodyText"/>
        <w:spacing w:before="7"/>
        <w:rPr>
          <w:sz w:val="55"/>
        </w:rPr>
      </w:pPr>
    </w:p>
    <w:p>
      <w:pPr>
        <w:pStyle w:val="Heading1"/>
        <w:spacing w:before="0"/>
      </w:pPr>
      <w:r>
        <w:rPr/>
        <w:t>The spiritual-energetic influence is measurable and demonstrable!</w:t>
      </w:r>
    </w:p>
    <w:p>
      <w:pPr>
        <w:pStyle w:val="BodyText"/>
        <w:spacing w:line="276" w:lineRule="auto" w:before="338"/>
        <w:ind w:left="477" w:right="131"/>
        <w:jc w:val="both"/>
      </w:pPr>
      <w:r>
        <w:rPr/>
        <w:t>And the spiritual energy has also been measurable and representable for a long time!</w:t>
      </w:r>
      <w:r>
        <w:rPr>
          <w:spacing w:val="-19"/>
        </w:rPr>
        <w:t> </w:t>
      </w:r>
      <w:r>
        <w:rPr/>
        <w:t>Dismissed</w:t>
      </w:r>
      <w:r>
        <w:rPr>
          <w:spacing w:val="-21"/>
        </w:rPr>
        <w:t> </w:t>
      </w:r>
      <w:r>
        <w:rPr/>
        <w:t>as</w:t>
      </w:r>
      <w:r>
        <w:rPr>
          <w:spacing w:val="-20"/>
        </w:rPr>
        <w:t> </w:t>
      </w:r>
      <w:r>
        <w:rPr/>
        <w:t>esoteric</w:t>
      </w:r>
      <w:r>
        <w:rPr>
          <w:spacing w:val="-18"/>
        </w:rPr>
        <w:t> </w:t>
      </w:r>
      <w:r>
        <w:rPr/>
        <w:t>nonsense</w:t>
      </w:r>
      <w:r>
        <w:rPr>
          <w:spacing w:val="-19"/>
        </w:rPr>
        <w:t> </w:t>
      </w:r>
      <w:r>
        <w:rPr/>
        <w:t>by</w:t>
      </w:r>
      <w:r>
        <w:rPr>
          <w:spacing w:val="-21"/>
        </w:rPr>
        <w:t> </w:t>
      </w:r>
      <w:r>
        <w:rPr/>
        <w:t>most</w:t>
      </w:r>
      <w:r>
        <w:rPr>
          <w:spacing w:val="-19"/>
        </w:rPr>
        <w:t> </w:t>
      </w:r>
      <w:r>
        <w:rPr/>
        <w:t>orthodox</w:t>
      </w:r>
      <w:r>
        <w:rPr>
          <w:spacing w:val="-21"/>
        </w:rPr>
        <w:t> </w:t>
      </w:r>
      <w:r>
        <w:rPr/>
        <w:t>physicians</w:t>
      </w:r>
      <w:r>
        <w:rPr>
          <w:spacing w:val="-18"/>
        </w:rPr>
        <w:t> </w:t>
      </w:r>
      <w:r>
        <w:rPr/>
        <w:t>and</w:t>
      </w:r>
      <w:r>
        <w:rPr>
          <w:spacing w:val="-20"/>
        </w:rPr>
        <w:t> </w:t>
      </w:r>
      <w:r>
        <w:rPr/>
        <w:t>by</w:t>
      </w:r>
      <w:r>
        <w:rPr>
          <w:spacing w:val="-15"/>
        </w:rPr>
        <w:t> </w:t>
      </w:r>
      <w:r>
        <w:rPr/>
        <w:t>those who regard themselves as the most progressively minded, alchemical essences (including</w:t>
      </w:r>
      <w:r>
        <w:rPr>
          <w:spacing w:val="-10"/>
        </w:rPr>
        <w:t> </w:t>
      </w:r>
      <w:r>
        <w:rPr/>
        <w:t>gold,</w:t>
      </w:r>
      <w:r>
        <w:rPr>
          <w:spacing w:val="-13"/>
        </w:rPr>
        <w:t> </w:t>
      </w:r>
      <w:r>
        <w:rPr/>
        <w:t>among</w:t>
      </w:r>
      <w:r>
        <w:rPr>
          <w:spacing w:val="-10"/>
        </w:rPr>
        <w:t> </w:t>
      </w:r>
      <w:r>
        <w:rPr/>
        <w:t>others)</w:t>
      </w:r>
      <w:r>
        <w:rPr>
          <w:spacing w:val="-10"/>
        </w:rPr>
        <w:t> </w:t>
      </w:r>
      <w:r>
        <w:rPr/>
        <w:t>have</w:t>
      </w:r>
      <w:r>
        <w:rPr>
          <w:spacing w:val="-11"/>
        </w:rPr>
        <w:t> </w:t>
      </w:r>
      <w:r>
        <w:rPr/>
        <w:t>recently</w:t>
      </w:r>
      <w:r>
        <w:rPr>
          <w:spacing w:val="-11"/>
        </w:rPr>
        <w:t> </w:t>
      </w:r>
      <w:r>
        <w:rPr/>
        <w:t>impressively</w:t>
      </w:r>
      <w:r>
        <w:rPr>
          <w:spacing w:val="-11"/>
        </w:rPr>
        <w:t> </w:t>
      </w:r>
      <w:r>
        <w:rPr/>
        <w:t>proved</w:t>
      </w:r>
      <w:r>
        <w:rPr>
          <w:spacing w:val="-14"/>
        </w:rPr>
        <w:t> </w:t>
      </w:r>
      <w:r>
        <w:rPr/>
        <w:t>their</w:t>
      </w:r>
      <w:r>
        <w:rPr>
          <w:spacing w:val="-9"/>
        </w:rPr>
        <w:t> </w:t>
      </w:r>
      <w:r>
        <w:rPr/>
        <w:t>effect</w:t>
      </w:r>
      <w:r>
        <w:rPr>
          <w:spacing w:val="-10"/>
        </w:rPr>
        <w:t> </w:t>
      </w:r>
      <w:r>
        <w:rPr/>
        <w:t>in scientific experiments.</w:t>
      </w:r>
    </w:p>
    <w:p>
      <w:pPr>
        <w:spacing w:after="0" w:line="276" w:lineRule="auto"/>
        <w:jc w:val="both"/>
        <w:sectPr>
          <w:pgSz w:w="14270" w:h="16850"/>
          <w:pgMar w:header="0" w:footer="1891" w:top="1600" w:bottom="2080" w:left="800" w:right="1280"/>
        </w:sectPr>
      </w:pPr>
    </w:p>
    <w:p>
      <w:pPr>
        <w:spacing w:line="276" w:lineRule="auto" w:before="181"/>
        <w:ind w:left="477" w:right="130" w:firstLine="0"/>
        <w:jc w:val="both"/>
        <w:rPr>
          <w:sz w:val="38"/>
        </w:rPr>
      </w:pPr>
      <w:r>
        <w:rPr>
          <w:sz w:val="38"/>
        </w:rPr>
        <w:t>In addition to the </w:t>
      </w:r>
      <w:r>
        <w:rPr>
          <w:i/>
          <w:sz w:val="38"/>
        </w:rPr>
        <w:t>meridian energy measurement </w:t>
      </w:r>
      <w:r>
        <w:rPr>
          <w:sz w:val="38"/>
        </w:rPr>
        <w:t>and </w:t>
      </w:r>
      <w:r>
        <w:rPr>
          <w:i/>
          <w:sz w:val="38"/>
        </w:rPr>
        <w:t>biophoton measurements</w:t>
      </w:r>
      <w:r>
        <w:rPr>
          <w:sz w:val="38"/>
        </w:rPr>
        <w:t>, the so- called</w:t>
      </w:r>
      <w:r>
        <w:rPr>
          <w:spacing w:val="-14"/>
          <w:sz w:val="38"/>
        </w:rPr>
        <w:t> </w:t>
      </w:r>
      <w:r>
        <w:rPr>
          <w:i/>
          <w:sz w:val="38"/>
        </w:rPr>
        <w:t>HFS</w:t>
      </w:r>
      <w:r>
        <w:rPr>
          <w:i/>
          <w:spacing w:val="-13"/>
          <w:sz w:val="38"/>
        </w:rPr>
        <w:t> </w:t>
      </w:r>
      <w:r>
        <w:rPr>
          <w:i/>
          <w:sz w:val="38"/>
        </w:rPr>
        <w:t>Kirlian</w:t>
      </w:r>
      <w:r>
        <w:rPr>
          <w:i/>
          <w:spacing w:val="-11"/>
          <w:sz w:val="38"/>
        </w:rPr>
        <w:t> </w:t>
      </w:r>
      <w:r>
        <w:rPr>
          <w:i/>
          <w:sz w:val="38"/>
        </w:rPr>
        <w:t>photography</w:t>
      </w:r>
      <w:r>
        <w:rPr>
          <w:i/>
          <w:spacing w:val="-8"/>
          <w:sz w:val="38"/>
        </w:rPr>
        <w:t> </w:t>
      </w:r>
      <w:r>
        <w:rPr>
          <w:sz w:val="38"/>
        </w:rPr>
        <w:t>confirmed</w:t>
      </w:r>
      <w:r>
        <w:rPr>
          <w:spacing w:val="-11"/>
          <w:sz w:val="38"/>
        </w:rPr>
        <w:t> </w:t>
      </w:r>
      <w:r>
        <w:rPr>
          <w:sz w:val="38"/>
        </w:rPr>
        <w:t>that</w:t>
      </w:r>
      <w:r>
        <w:rPr>
          <w:spacing w:val="-12"/>
          <w:sz w:val="38"/>
        </w:rPr>
        <w:t> </w:t>
      </w:r>
      <w:r>
        <w:rPr>
          <w:sz w:val="38"/>
        </w:rPr>
        <w:t>the</w:t>
      </w:r>
      <w:r>
        <w:rPr>
          <w:spacing w:val="-11"/>
          <w:sz w:val="38"/>
        </w:rPr>
        <w:t> </w:t>
      </w:r>
      <w:r>
        <w:rPr>
          <w:sz w:val="38"/>
        </w:rPr>
        <w:t>alchemical</w:t>
      </w:r>
      <w:r>
        <w:rPr>
          <w:spacing w:val="-13"/>
          <w:sz w:val="38"/>
        </w:rPr>
        <w:t> </w:t>
      </w:r>
      <w:r>
        <w:rPr>
          <w:sz w:val="38"/>
        </w:rPr>
        <w:t>essences</w:t>
      </w:r>
      <w:r>
        <w:rPr>
          <w:spacing w:val="-11"/>
          <w:sz w:val="38"/>
        </w:rPr>
        <w:t> </w:t>
      </w:r>
      <w:r>
        <w:rPr>
          <w:sz w:val="38"/>
        </w:rPr>
        <w:t>are</w:t>
      </w:r>
      <w:r>
        <w:rPr>
          <w:spacing w:val="-11"/>
          <w:sz w:val="38"/>
        </w:rPr>
        <w:t> </w:t>
      </w:r>
      <w:r>
        <w:rPr>
          <w:sz w:val="38"/>
        </w:rPr>
        <w:t>indeed able to activate and harmonise the human energy system in an extraordinary way and develop an energetic-mental power that is otherwise only achieved by very experienced meditators and top</w:t>
      </w:r>
      <w:r>
        <w:rPr>
          <w:spacing w:val="2"/>
          <w:sz w:val="38"/>
        </w:rPr>
        <w:t> </w:t>
      </w:r>
      <w:r>
        <w:rPr>
          <w:sz w:val="38"/>
        </w:rPr>
        <w:t>therapists.</w:t>
      </w:r>
    </w:p>
    <w:p>
      <w:pPr>
        <w:pStyle w:val="BodyText"/>
        <w:spacing w:line="276" w:lineRule="auto" w:before="281"/>
        <w:ind w:left="477" w:right="133"/>
        <w:jc w:val="both"/>
      </w:pPr>
      <w:r>
        <w:rPr/>
        <w:t>With</w:t>
      </w:r>
      <w:r>
        <w:rPr>
          <w:spacing w:val="-14"/>
        </w:rPr>
        <w:t> </w:t>
      </w:r>
      <w:r>
        <w:rPr/>
        <w:t>so-called</w:t>
      </w:r>
      <w:r>
        <w:rPr>
          <w:spacing w:val="-14"/>
        </w:rPr>
        <w:t> </w:t>
      </w:r>
      <w:r>
        <w:rPr/>
        <w:t>HFS</w:t>
      </w:r>
      <w:r>
        <w:rPr>
          <w:spacing w:val="-13"/>
        </w:rPr>
        <w:t> </w:t>
      </w:r>
      <w:r>
        <w:rPr/>
        <w:t>Kirlian</w:t>
      </w:r>
      <w:r>
        <w:rPr>
          <w:spacing w:val="-14"/>
        </w:rPr>
        <w:t> </w:t>
      </w:r>
      <w:r>
        <w:rPr/>
        <w:t>photography</w:t>
      </w:r>
      <w:r>
        <w:rPr>
          <w:spacing w:val="-13"/>
        </w:rPr>
        <w:t> </w:t>
      </w:r>
      <w:r>
        <w:rPr/>
        <w:t>(advanced</w:t>
      </w:r>
      <w:r>
        <w:rPr>
          <w:spacing w:val="-13"/>
        </w:rPr>
        <w:t> </w:t>
      </w:r>
      <w:r>
        <w:rPr/>
        <w:t>electrophotography),</w:t>
      </w:r>
      <w:r>
        <w:rPr>
          <w:spacing w:val="-17"/>
        </w:rPr>
        <w:t> </w:t>
      </w:r>
      <w:r>
        <w:rPr/>
        <w:t>an</w:t>
      </w:r>
      <w:r>
        <w:rPr>
          <w:spacing w:val="-13"/>
        </w:rPr>
        <w:t> </w:t>
      </w:r>
      <w:r>
        <w:rPr/>
        <w:t>at- tempt was made to verify, for example, that alchemical essences are actually capable of measurably activating and harmonising the human energy</w:t>
      </w:r>
      <w:r>
        <w:rPr>
          <w:spacing w:val="-15"/>
        </w:rPr>
        <w:t> </w:t>
      </w:r>
      <w:r>
        <w:rPr/>
        <w:t>system.</w:t>
      </w:r>
    </w:p>
    <w:p>
      <w:pPr>
        <w:pStyle w:val="BodyText"/>
        <w:spacing w:line="276" w:lineRule="auto" w:before="280"/>
        <w:ind w:left="477" w:right="136"/>
        <w:jc w:val="both"/>
      </w:pPr>
      <w:r>
        <w:rPr/>
        <w:t>For</w:t>
      </w:r>
      <w:r>
        <w:rPr>
          <w:spacing w:val="-16"/>
        </w:rPr>
        <w:t> </w:t>
      </w:r>
      <w:r>
        <w:rPr/>
        <w:t>several</w:t>
      </w:r>
      <w:r>
        <w:rPr>
          <w:spacing w:val="-18"/>
        </w:rPr>
        <w:t> </w:t>
      </w:r>
      <w:r>
        <w:rPr/>
        <w:t>years,</w:t>
      </w:r>
      <w:r>
        <w:rPr>
          <w:spacing w:val="-16"/>
        </w:rPr>
        <w:t> </w:t>
      </w:r>
      <w:r>
        <w:rPr/>
        <w:t>for</w:t>
      </w:r>
      <w:r>
        <w:rPr>
          <w:spacing w:val="-15"/>
        </w:rPr>
        <w:t> </w:t>
      </w:r>
      <w:r>
        <w:rPr/>
        <w:t>comparison</w:t>
      </w:r>
      <w:r>
        <w:rPr>
          <w:spacing w:val="-18"/>
        </w:rPr>
        <w:t> </w:t>
      </w:r>
      <w:r>
        <w:rPr/>
        <w:t>purposes,</w:t>
      </w:r>
      <w:r>
        <w:rPr>
          <w:spacing w:val="-17"/>
        </w:rPr>
        <w:t> </w:t>
      </w:r>
      <w:r>
        <w:rPr/>
        <w:t>over</w:t>
      </w:r>
      <w:r>
        <w:rPr>
          <w:spacing w:val="-18"/>
        </w:rPr>
        <w:t> </w:t>
      </w:r>
      <w:r>
        <w:rPr/>
        <w:t>500</w:t>
      </w:r>
      <w:r>
        <w:rPr>
          <w:spacing w:val="-18"/>
        </w:rPr>
        <w:t> </w:t>
      </w:r>
      <w:r>
        <w:rPr/>
        <w:t>subjects</w:t>
      </w:r>
      <w:r>
        <w:rPr>
          <w:spacing w:val="-16"/>
        </w:rPr>
        <w:t> </w:t>
      </w:r>
      <w:r>
        <w:rPr/>
        <w:t>who</w:t>
      </w:r>
      <w:r>
        <w:rPr>
          <w:spacing w:val="-16"/>
        </w:rPr>
        <w:t> </w:t>
      </w:r>
      <w:r>
        <w:rPr/>
        <w:t>practice</w:t>
      </w:r>
      <w:r>
        <w:rPr>
          <w:spacing w:val="-18"/>
        </w:rPr>
        <w:t> </w:t>
      </w:r>
      <w:r>
        <w:rPr/>
        <w:t>var- ious energetic or spiritual techniques and practices, ranging from meditation forms, Qi Gong and Mudra to Reiki, have been studied by means of HFS Kir- lian photography. Whenever the respective method (Qi Gong, Mudra, Reiki, etc.)</w:t>
      </w:r>
      <w:r>
        <w:rPr>
          <w:spacing w:val="-20"/>
        </w:rPr>
        <w:t> </w:t>
      </w:r>
      <w:r>
        <w:rPr/>
        <w:t>was</w:t>
      </w:r>
      <w:r>
        <w:rPr>
          <w:spacing w:val="-18"/>
        </w:rPr>
        <w:t> </w:t>
      </w:r>
      <w:r>
        <w:rPr/>
        <w:t>intensively</w:t>
      </w:r>
      <w:r>
        <w:rPr>
          <w:spacing w:val="-20"/>
        </w:rPr>
        <w:t> </w:t>
      </w:r>
      <w:r>
        <w:rPr/>
        <w:t>practised,</w:t>
      </w:r>
      <w:r>
        <w:rPr>
          <w:spacing w:val="-19"/>
        </w:rPr>
        <w:t> </w:t>
      </w:r>
      <w:r>
        <w:rPr/>
        <w:t>a</w:t>
      </w:r>
      <w:r>
        <w:rPr>
          <w:spacing w:val="-21"/>
        </w:rPr>
        <w:t> </w:t>
      </w:r>
      <w:r>
        <w:rPr/>
        <w:t>special</w:t>
      </w:r>
      <w:r>
        <w:rPr>
          <w:spacing w:val="-20"/>
        </w:rPr>
        <w:t> </w:t>
      </w:r>
      <w:r>
        <w:rPr/>
        <w:t>pattern</w:t>
      </w:r>
      <w:r>
        <w:rPr>
          <w:spacing w:val="-18"/>
        </w:rPr>
        <w:t> </w:t>
      </w:r>
      <w:r>
        <w:rPr/>
        <w:t>emerged</w:t>
      </w:r>
      <w:r>
        <w:rPr>
          <w:spacing w:val="-19"/>
        </w:rPr>
        <w:t> </w:t>
      </w:r>
      <w:r>
        <w:rPr/>
        <w:t>on</w:t>
      </w:r>
      <w:r>
        <w:rPr>
          <w:spacing w:val="-18"/>
        </w:rPr>
        <w:t> </w:t>
      </w:r>
      <w:r>
        <w:rPr/>
        <w:t>the</w:t>
      </w:r>
      <w:r>
        <w:rPr>
          <w:spacing w:val="-21"/>
        </w:rPr>
        <w:t> </w:t>
      </w:r>
      <w:r>
        <w:rPr/>
        <w:t>monitor,</w:t>
      </w:r>
      <w:r>
        <w:rPr>
          <w:spacing w:val="-18"/>
        </w:rPr>
        <w:t> </w:t>
      </w:r>
      <w:r>
        <w:rPr/>
        <w:t>known as the ‘energetic finger ring’.</w:t>
      </w:r>
    </w:p>
    <w:p>
      <w:pPr>
        <w:pStyle w:val="BodyText"/>
        <w:spacing w:line="276" w:lineRule="auto" w:before="281"/>
        <w:ind w:left="477" w:right="138"/>
        <w:jc w:val="both"/>
      </w:pPr>
      <w:r>
        <w:rPr/>
        <w:t>In the HFS Kirlian image, the otherwise separated radiation rims around the fingertips begin to connect into a single ring, which unites all fingers. The five finger rings form a common energy ring.</w:t>
      </w:r>
    </w:p>
    <w:p>
      <w:pPr>
        <w:pStyle w:val="BodyText"/>
        <w:spacing w:line="276" w:lineRule="auto" w:before="279"/>
        <w:ind w:left="477" w:right="142"/>
        <w:jc w:val="both"/>
      </w:pPr>
      <w:r>
        <w:rPr/>
        <w:t>This phenomenon is interpreted as a higher level of energetic control, which is activated and remains above the level of chakras and meridian energy.</w:t>
      </w:r>
    </w:p>
    <w:p>
      <w:pPr>
        <w:spacing w:after="0" w:line="276" w:lineRule="auto"/>
        <w:jc w:val="both"/>
        <w:sectPr>
          <w:pgSz w:w="14270" w:h="16850"/>
          <w:pgMar w:header="0" w:footer="1891" w:top="1600" w:bottom="2080" w:left="800" w:right="1280"/>
        </w:sectPr>
      </w:pPr>
    </w:p>
    <w:p>
      <w:pPr>
        <w:pStyle w:val="BodyText"/>
        <w:spacing w:line="276" w:lineRule="auto" w:before="181"/>
        <w:ind w:left="477" w:right="133"/>
        <w:jc w:val="both"/>
      </w:pPr>
      <w:r>
        <w:rPr/>
        <w:t>Christian</w:t>
      </w:r>
      <w:r>
        <w:rPr>
          <w:spacing w:val="-17"/>
        </w:rPr>
        <w:t> </w:t>
      </w:r>
      <w:r>
        <w:rPr/>
        <w:t>Seidel,</w:t>
      </w:r>
      <w:r>
        <w:rPr>
          <w:spacing w:val="-12"/>
        </w:rPr>
        <w:t> </w:t>
      </w:r>
      <w:r>
        <w:rPr/>
        <w:t>the</w:t>
      </w:r>
      <w:r>
        <w:rPr>
          <w:spacing w:val="-15"/>
        </w:rPr>
        <w:t> </w:t>
      </w:r>
      <w:r>
        <w:rPr/>
        <w:t>inventor</w:t>
      </w:r>
      <w:r>
        <w:rPr>
          <w:spacing w:val="-15"/>
        </w:rPr>
        <w:t> </w:t>
      </w:r>
      <w:r>
        <w:rPr/>
        <w:t>of</w:t>
      </w:r>
      <w:r>
        <w:rPr>
          <w:spacing w:val="-19"/>
        </w:rPr>
        <w:t> </w:t>
      </w:r>
      <w:r>
        <w:rPr/>
        <w:t>HFS</w:t>
      </w:r>
      <w:r>
        <w:rPr>
          <w:spacing w:val="-15"/>
        </w:rPr>
        <w:t> </w:t>
      </w:r>
      <w:r>
        <w:rPr/>
        <w:t>Kirlian</w:t>
      </w:r>
      <w:r>
        <w:rPr>
          <w:spacing w:val="-15"/>
        </w:rPr>
        <w:t> </w:t>
      </w:r>
      <w:r>
        <w:rPr/>
        <w:t>photography,</w:t>
      </w:r>
      <w:r>
        <w:rPr>
          <w:spacing w:val="-16"/>
        </w:rPr>
        <w:t> </w:t>
      </w:r>
      <w:r>
        <w:rPr/>
        <w:t>suggests</w:t>
      </w:r>
      <w:r>
        <w:rPr>
          <w:spacing w:val="-16"/>
        </w:rPr>
        <w:t> </w:t>
      </w:r>
      <w:r>
        <w:rPr/>
        <w:t>that</w:t>
      </w:r>
      <w:r>
        <w:rPr>
          <w:spacing w:val="-16"/>
        </w:rPr>
        <w:t> </w:t>
      </w:r>
      <w:r>
        <w:rPr/>
        <w:t>a</w:t>
      </w:r>
      <w:r>
        <w:rPr>
          <w:spacing w:val="-18"/>
        </w:rPr>
        <w:t> </w:t>
      </w:r>
      <w:r>
        <w:rPr/>
        <w:t>com- plete</w:t>
      </w:r>
      <w:r>
        <w:rPr>
          <w:spacing w:val="-5"/>
        </w:rPr>
        <w:t> </w:t>
      </w:r>
      <w:r>
        <w:rPr/>
        <w:t>fusion</w:t>
      </w:r>
      <w:r>
        <w:rPr>
          <w:spacing w:val="-4"/>
        </w:rPr>
        <w:t> </w:t>
      </w:r>
      <w:r>
        <w:rPr/>
        <w:t>of</w:t>
      </w:r>
      <w:r>
        <w:rPr>
          <w:spacing w:val="-6"/>
        </w:rPr>
        <w:t> </w:t>
      </w:r>
      <w:r>
        <w:rPr/>
        <w:t>the</w:t>
      </w:r>
      <w:r>
        <w:rPr>
          <w:spacing w:val="-4"/>
        </w:rPr>
        <w:t> </w:t>
      </w:r>
      <w:r>
        <w:rPr/>
        <w:t>finger</w:t>
      </w:r>
      <w:r>
        <w:rPr>
          <w:spacing w:val="-7"/>
        </w:rPr>
        <w:t> </w:t>
      </w:r>
      <w:r>
        <w:rPr/>
        <w:t>ring</w:t>
      </w:r>
      <w:r>
        <w:rPr>
          <w:spacing w:val="-7"/>
        </w:rPr>
        <w:t> </w:t>
      </w:r>
      <w:r>
        <w:rPr/>
        <w:t>is</w:t>
      </w:r>
      <w:r>
        <w:rPr>
          <w:spacing w:val="-7"/>
        </w:rPr>
        <w:t> </w:t>
      </w:r>
      <w:r>
        <w:rPr/>
        <w:t>a</w:t>
      </w:r>
      <w:r>
        <w:rPr>
          <w:spacing w:val="-6"/>
        </w:rPr>
        <w:t> </w:t>
      </w:r>
      <w:r>
        <w:rPr/>
        <w:t>kind</w:t>
      </w:r>
      <w:r>
        <w:rPr>
          <w:spacing w:val="-4"/>
        </w:rPr>
        <w:t> </w:t>
      </w:r>
      <w:r>
        <w:rPr/>
        <w:t>of</w:t>
      </w:r>
      <w:r>
        <w:rPr>
          <w:spacing w:val="-5"/>
        </w:rPr>
        <w:t> </w:t>
      </w:r>
      <w:r>
        <w:rPr/>
        <w:t>new,</w:t>
      </w:r>
      <w:r>
        <w:rPr>
          <w:spacing w:val="-7"/>
        </w:rPr>
        <w:t> </w:t>
      </w:r>
      <w:r>
        <w:rPr/>
        <w:t>much</w:t>
      </w:r>
      <w:r>
        <w:rPr>
          <w:spacing w:val="-4"/>
        </w:rPr>
        <w:t> </w:t>
      </w:r>
      <w:r>
        <w:rPr/>
        <w:t>more</w:t>
      </w:r>
      <w:r>
        <w:rPr>
          <w:spacing w:val="-3"/>
        </w:rPr>
        <w:t> </w:t>
      </w:r>
      <w:r>
        <w:rPr/>
        <w:t>powerful</w:t>
      </w:r>
      <w:r>
        <w:rPr>
          <w:spacing w:val="-2"/>
        </w:rPr>
        <w:t> </w:t>
      </w:r>
      <w:r>
        <w:rPr/>
        <w:t>‘operating system’, an energy synchronisation at a much higher level than</w:t>
      </w:r>
      <w:r>
        <w:rPr>
          <w:spacing w:val="-9"/>
        </w:rPr>
        <w:t> </w:t>
      </w:r>
      <w:r>
        <w:rPr/>
        <w:t>before.</w:t>
      </w:r>
    </w:p>
    <w:p>
      <w:pPr>
        <w:pStyle w:val="BodyText"/>
        <w:spacing w:line="276" w:lineRule="auto" w:before="280"/>
        <w:ind w:left="477" w:right="132"/>
        <w:jc w:val="both"/>
      </w:pPr>
      <w:r>
        <w:rPr/>
        <w:t>This exact image is formed when taking alchemical essences, such as gold. The energy system is generated in this way with each individual intake, thus gener- ating an energetic effect in the body, which otherwise can only be produced very elaborately by very intensive meditations or energetic treatments.</w:t>
      </w:r>
      <w:r>
        <w:rPr>
          <w:position w:val="9"/>
          <w:sz w:val="25"/>
        </w:rPr>
        <w:t>408 </w:t>
      </w:r>
      <w:r>
        <w:rPr/>
        <w:t>With this knowledge, we have, for the first time, not only scientific proof that these meditation methods stimulate the energy system, but also that the daily intake of alchemical substances (colloidal gold, silver, platinum) may even have the same, or even better, effects as time-consuming meditation!</w:t>
      </w:r>
    </w:p>
    <w:p>
      <w:pPr>
        <w:pStyle w:val="BodyText"/>
        <w:spacing w:line="276" w:lineRule="auto" w:before="282"/>
        <w:ind w:left="477" w:right="139"/>
        <w:jc w:val="both"/>
      </w:pPr>
      <w:r>
        <w:rPr/>
        <w:t>Considering that the principle of electrical stimulation for conventional medi- cine is no longer a pipe dream, the basic aversive attitude of a medicine that considers itself ‘modern’ means it has a lot to learn about the basic principles of energy flow in the body.</w:t>
      </w:r>
    </w:p>
    <w:p>
      <w:pPr>
        <w:pStyle w:val="BodyText"/>
        <w:spacing w:line="276" w:lineRule="auto" w:before="74"/>
        <w:ind w:left="477" w:right="136"/>
        <w:jc w:val="both"/>
      </w:pPr>
      <w:r>
        <w:rPr/>
        <w:t>For example, the acknowledged facts about which, fortunately, one no longer has to fight, are the importance of electrical stimulation within cell communi- cation, the best examples of which are our two most important organs: our brains</w:t>
      </w:r>
      <w:r>
        <w:rPr>
          <w:spacing w:val="-10"/>
        </w:rPr>
        <w:t> </w:t>
      </w:r>
      <w:r>
        <w:rPr/>
        <w:t>and</w:t>
      </w:r>
      <w:r>
        <w:rPr>
          <w:spacing w:val="-12"/>
        </w:rPr>
        <w:t> </w:t>
      </w:r>
      <w:r>
        <w:rPr/>
        <w:t>our</w:t>
      </w:r>
      <w:r>
        <w:rPr>
          <w:spacing w:val="-10"/>
        </w:rPr>
        <w:t> </w:t>
      </w:r>
      <w:r>
        <w:rPr/>
        <w:t>hearts!</w:t>
      </w:r>
      <w:r>
        <w:rPr>
          <w:spacing w:val="-7"/>
        </w:rPr>
        <w:t> </w:t>
      </w:r>
      <w:r>
        <w:rPr/>
        <w:t>It</w:t>
      </w:r>
      <w:r>
        <w:rPr>
          <w:spacing w:val="-12"/>
        </w:rPr>
        <w:t> </w:t>
      </w:r>
      <w:r>
        <w:rPr/>
        <w:t>has</w:t>
      </w:r>
      <w:r>
        <w:rPr>
          <w:spacing w:val="-12"/>
        </w:rPr>
        <w:t> </w:t>
      </w:r>
      <w:r>
        <w:rPr/>
        <w:t>been</w:t>
      </w:r>
      <w:r>
        <w:rPr>
          <w:spacing w:val="-9"/>
        </w:rPr>
        <w:t> </w:t>
      </w:r>
      <w:r>
        <w:rPr/>
        <w:t>proven</w:t>
      </w:r>
      <w:r>
        <w:rPr>
          <w:spacing w:val="-9"/>
        </w:rPr>
        <w:t> </w:t>
      </w:r>
      <w:r>
        <w:rPr/>
        <w:t>that</w:t>
      </w:r>
      <w:r>
        <w:rPr>
          <w:spacing w:val="-13"/>
        </w:rPr>
        <w:t> </w:t>
      </w:r>
      <w:r>
        <w:rPr/>
        <w:t>electrical</w:t>
      </w:r>
      <w:r>
        <w:rPr>
          <w:spacing w:val="-11"/>
        </w:rPr>
        <w:t> </w:t>
      </w:r>
      <w:r>
        <w:rPr/>
        <w:t>impulses</w:t>
      </w:r>
      <w:r>
        <w:rPr>
          <w:spacing w:val="-9"/>
        </w:rPr>
        <w:t> </w:t>
      </w:r>
      <w:r>
        <w:rPr/>
        <w:t>form</w:t>
      </w:r>
      <w:r>
        <w:rPr>
          <w:spacing w:val="-13"/>
        </w:rPr>
        <w:t> </w:t>
      </w:r>
      <w:r>
        <w:rPr/>
        <w:t>the</w:t>
      </w:r>
      <w:r>
        <w:rPr>
          <w:spacing w:val="-11"/>
        </w:rPr>
        <w:t> </w:t>
      </w:r>
      <w:r>
        <w:rPr/>
        <w:t>basis</w:t>
      </w:r>
    </w:p>
    <w:p>
      <w:pPr>
        <w:pStyle w:val="BodyText"/>
        <w:spacing w:before="2"/>
        <w:rPr>
          <w:sz w:val="21"/>
        </w:rPr>
      </w:pPr>
      <w:r>
        <w:rPr/>
        <w:pict>
          <v:line style="position:absolute;mso-position-horizontal-relative:page;mso-position-vertical-relative:paragraph;z-index:4832;mso-wrap-distance-left:0;mso-wrap-distance-right:0" from="63.863998pt,14.296265pt" to="207.883998pt,14.29626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408 </w:t>
      </w:r>
      <w:hyperlink r:id="rId163">
        <w:r>
          <w:rPr>
            <w:sz w:val="20"/>
          </w:rPr>
          <w:t>http://www.edelstein-essenzen.de/test3.php</w:t>
        </w:r>
      </w:hyperlink>
    </w:p>
    <w:p>
      <w:pPr>
        <w:spacing w:after="0"/>
        <w:jc w:val="left"/>
        <w:rPr>
          <w:sz w:val="20"/>
        </w:rPr>
        <w:sectPr>
          <w:pgSz w:w="14270" w:h="16850"/>
          <w:pgMar w:header="0" w:footer="1891" w:top="1600" w:bottom="2080" w:left="800" w:right="1280"/>
        </w:sectPr>
      </w:pPr>
    </w:p>
    <w:p>
      <w:pPr>
        <w:pStyle w:val="BodyText"/>
        <w:spacing w:line="276" w:lineRule="auto" w:before="181"/>
        <w:ind w:left="477" w:right="136"/>
        <w:jc w:val="both"/>
      </w:pPr>
      <w:r>
        <w:rPr/>
        <w:t>of sensory processing in the brain through which individual nerve cells com- municate. It is these signals that transmit information in the brain from one neuron</w:t>
      </w:r>
      <w:r>
        <w:rPr>
          <w:spacing w:val="-6"/>
        </w:rPr>
        <w:t> </w:t>
      </w:r>
      <w:r>
        <w:rPr/>
        <w:t>to</w:t>
      </w:r>
      <w:r>
        <w:rPr>
          <w:spacing w:val="-7"/>
        </w:rPr>
        <w:t> </w:t>
      </w:r>
      <w:r>
        <w:rPr/>
        <w:t>the</w:t>
      </w:r>
      <w:r>
        <w:rPr>
          <w:spacing w:val="-8"/>
        </w:rPr>
        <w:t> </w:t>
      </w:r>
      <w:r>
        <w:rPr/>
        <w:t>next.</w:t>
      </w:r>
      <w:r>
        <w:rPr>
          <w:spacing w:val="-7"/>
        </w:rPr>
        <w:t> </w:t>
      </w:r>
      <w:r>
        <w:rPr/>
        <w:t>The</w:t>
      </w:r>
      <w:r>
        <w:rPr>
          <w:spacing w:val="-6"/>
        </w:rPr>
        <w:t> </w:t>
      </w:r>
      <w:r>
        <w:rPr/>
        <w:t>same</w:t>
      </w:r>
      <w:r>
        <w:rPr>
          <w:spacing w:val="-7"/>
        </w:rPr>
        <w:t> </w:t>
      </w:r>
      <w:r>
        <w:rPr/>
        <w:t>applies</w:t>
      </w:r>
      <w:r>
        <w:rPr>
          <w:spacing w:val="-6"/>
        </w:rPr>
        <w:t> </w:t>
      </w:r>
      <w:r>
        <w:rPr/>
        <w:t>to</w:t>
      </w:r>
      <w:r>
        <w:rPr>
          <w:spacing w:val="-7"/>
        </w:rPr>
        <w:t> </w:t>
      </w:r>
      <w:r>
        <w:rPr/>
        <w:t>stimulus</w:t>
      </w:r>
      <w:r>
        <w:rPr>
          <w:spacing w:val="-7"/>
        </w:rPr>
        <w:t> </w:t>
      </w:r>
      <w:r>
        <w:rPr/>
        <w:t>transmission,</w:t>
      </w:r>
      <w:r>
        <w:rPr>
          <w:spacing w:val="-9"/>
        </w:rPr>
        <w:t> </w:t>
      </w:r>
      <w:r>
        <w:rPr/>
        <w:t>and</w:t>
      </w:r>
      <w:r>
        <w:rPr>
          <w:spacing w:val="-8"/>
        </w:rPr>
        <w:t> </w:t>
      </w:r>
      <w:r>
        <w:rPr/>
        <w:t>thus</w:t>
      </w:r>
      <w:r>
        <w:rPr>
          <w:spacing w:val="-6"/>
        </w:rPr>
        <w:t> </w:t>
      </w:r>
      <w:r>
        <w:rPr/>
        <w:t>activa- tion of the heart muscle and skeletal musculature.</w:t>
      </w:r>
    </w:p>
    <w:p>
      <w:pPr>
        <w:pStyle w:val="BodyText"/>
        <w:spacing w:line="276" w:lineRule="auto" w:before="76"/>
        <w:ind w:left="477" w:right="133"/>
        <w:jc w:val="both"/>
      </w:pPr>
      <w:r>
        <w:rPr/>
        <w:t>Every single pump of our heart muscle is preceded by an </w:t>
      </w:r>
      <w:r>
        <w:rPr>
          <w:b/>
        </w:rPr>
        <w:t>electrical stimulus</w:t>
      </w:r>
      <w:r>
        <w:rPr/>
        <w:t>. This is initiated by the sinus node and passes through the autonomous </w:t>
      </w:r>
      <w:r>
        <w:rPr>
          <w:b/>
        </w:rPr>
        <w:t>electri- cal conduction system </w:t>
      </w:r>
      <w:r>
        <w:rPr/>
        <w:t>to the heart muscle cells. The skeletal musculature is no exception here; electrical impulses, which are responsible for every tiny movement</w:t>
      </w:r>
      <w:r>
        <w:rPr>
          <w:spacing w:val="-19"/>
        </w:rPr>
        <w:t> </w:t>
      </w:r>
      <w:r>
        <w:rPr/>
        <w:t>of</w:t>
      </w:r>
      <w:r>
        <w:rPr>
          <w:spacing w:val="-20"/>
        </w:rPr>
        <w:t> </w:t>
      </w:r>
      <w:r>
        <w:rPr/>
        <w:t>our</w:t>
      </w:r>
      <w:r>
        <w:rPr>
          <w:spacing w:val="-19"/>
        </w:rPr>
        <w:t> </w:t>
      </w:r>
      <w:r>
        <w:rPr/>
        <w:t>limbs,</w:t>
      </w:r>
      <w:r>
        <w:rPr>
          <w:spacing w:val="-18"/>
        </w:rPr>
        <w:t> </w:t>
      </w:r>
      <w:r>
        <w:rPr/>
        <w:t>run</w:t>
      </w:r>
      <w:r>
        <w:rPr>
          <w:spacing w:val="-20"/>
        </w:rPr>
        <w:t> </w:t>
      </w:r>
      <w:r>
        <w:rPr/>
        <w:t>from</w:t>
      </w:r>
      <w:r>
        <w:rPr>
          <w:spacing w:val="-19"/>
        </w:rPr>
        <w:t> </w:t>
      </w:r>
      <w:r>
        <w:rPr/>
        <w:t>the</w:t>
      </w:r>
      <w:r>
        <w:rPr>
          <w:spacing w:val="-20"/>
        </w:rPr>
        <w:t> </w:t>
      </w:r>
      <w:r>
        <w:rPr/>
        <w:t>cerebrum</w:t>
      </w:r>
      <w:r>
        <w:rPr>
          <w:spacing w:val="-23"/>
        </w:rPr>
        <w:t> </w:t>
      </w:r>
      <w:r>
        <w:rPr/>
        <w:t>via</w:t>
      </w:r>
      <w:r>
        <w:rPr>
          <w:spacing w:val="-20"/>
        </w:rPr>
        <w:t> </w:t>
      </w:r>
      <w:r>
        <w:rPr/>
        <w:t>the</w:t>
      </w:r>
      <w:r>
        <w:rPr>
          <w:spacing w:val="-17"/>
        </w:rPr>
        <w:t> </w:t>
      </w:r>
      <w:r>
        <w:rPr/>
        <w:t>spinal</w:t>
      </w:r>
      <w:r>
        <w:rPr>
          <w:spacing w:val="-21"/>
        </w:rPr>
        <w:t> </w:t>
      </w:r>
      <w:r>
        <w:rPr/>
        <w:t>cord</w:t>
      </w:r>
      <w:r>
        <w:rPr>
          <w:spacing w:val="-19"/>
        </w:rPr>
        <w:t> </w:t>
      </w:r>
      <w:r>
        <w:rPr/>
        <w:t>to</w:t>
      </w:r>
      <w:r>
        <w:rPr>
          <w:spacing w:val="-17"/>
        </w:rPr>
        <w:t> </w:t>
      </w:r>
      <w:r>
        <w:rPr/>
        <w:t>the</w:t>
      </w:r>
      <w:r>
        <w:rPr>
          <w:spacing w:val="-19"/>
        </w:rPr>
        <w:t> </w:t>
      </w:r>
      <w:r>
        <w:rPr/>
        <w:t>motor nerve and finally to the muscle fibre. The unimpeded flow of energy, the cell communication via the electric stimulus transmission, are an indispensable</w:t>
      </w:r>
      <w:r>
        <w:rPr>
          <w:spacing w:val="-67"/>
        </w:rPr>
        <w:t> </w:t>
      </w:r>
      <w:r>
        <w:rPr/>
        <w:t>pre- requisite for our mental and physical well-being, starting with intuition,</w:t>
      </w:r>
      <w:r>
        <w:rPr>
          <w:spacing w:val="-43"/>
        </w:rPr>
        <w:t> </w:t>
      </w:r>
      <w:r>
        <w:rPr/>
        <w:t>passing through intelligence, the undisturbed work of our organs, to optimised muscle activity!</w:t>
      </w:r>
    </w:p>
    <w:p>
      <w:pPr>
        <w:pStyle w:val="BodyText"/>
        <w:spacing w:line="278" w:lineRule="auto" w:before="75"/>
        <w:ind w:left="477" w:right="144"/>
        <w:jc w:val="both"/>
      </w:pPr>
      <w:r>
        <w:rPr/>
        <w:t>You will rightly ask at this point about the role colloidal gold plays within the above statement...</w:t>
      </w:r>
    </w:p>
    <w:p>
      <w:pPr>
        <w:pStyle w:val="BodyText"/>
        <w:spacing w:line="276" w:lineRule="auto" w:before="66"/>
        <w:ind w:left="477" w:right="129"/>
        <w:jc w:val="both"/>
      </w:pPr>
      <w:r>
        <w:rPr/>
        <w:t>As described above, humans are largely ‘</w:t>
      </w:r>
      <w:r>
        <w:rPr>
          <w:i/>
        </w:rPr>
        <w:t>electrical beings’</w:t>
      </w:r>
      <w:r>
        <w:rPr/>
        <w:t>. From thinking pro- cesses,</w:t>
      </w:r>
      <w:r>
        <w:rPr>
          <w:spacing w:val="-22"/>
        </w:rPr>
        <w:t> </w:t>
      </w:r>
      <w:r>
        <w:rPr/>
        <w:t>through</w:t>
      </w:r>
      <w:r>
        <w:rPr>
          <w:spacing w:val="-18"/>
        </w:rPr>
        <w:t> </w:t>
      </w:r>
      <w:r>
        <w:rPr/>
        <w:t>language,</w:t>
      </w:r>
      <w:r>
        <w:rPr>
          <w:spacing w:val="-18"/>
        </w:rPr>
        <w:t> </w:t>
      </w:r>
      <w:r>
        <w:rPr/>
        <w:t>to</w:t>
      </w:r>
      <w:r>
        <w:rPr>
          <w:spacing w:val="-18"/>
        </w:rPr>
        <w:t> </w:t>
      </w:r>
      <w:r>
        <w:rPr/>
        <w:t>feelings,</w:t>
      </w:r>
      <w:r>
        <w:rPr>
          <w:spacing w:val="-20"/>
        </w:rPr>
        <w:t> </w:t>
      </w:r>
      <w:r>
        <w:rPr/>
        <w:t>to</w:t>
      </w:r>
      <w:r>
        <w:rPr>
          <w:spacing w:val="-21"/>
        </w:rPr>
        <w:t> </w:t>
      </w:r>
      <w:r>
        <w:rPr/>
        <w:t>muscle</w:t>
      </w:r>
      <w:r>
        <w:rPr>
          <w:spacing w:val="-19"/>
        </w:rPr>
        <w:t> </w:t>
      </w:r>
      <w:r>
        <w:rPr/>
        <w:t>contraction,</w:t>
      </w:r>
      <w:r>
        <w:rPr>
          <w:spacing w:val="-18"/>
        </w:rPr>
        <w:t> </w:t>
      </w:r>
      <w:r>
        <w:rPr/>
        <w:t>we</w:t>
      </w:r>
      <w:r>
        <w:rPr>
          <w:spacing w:val="-22"/>
        </w:rPr>
        <w:t> </w:t>
      </w:r>
      <w:r>
        <w:rPr/>
        <w:t>rely</w:t>
      </w:r>
      <w:r>
        <w:rPr>
          <w:spacing w:val="-19"/>
        </w:rPr>
        <w:t> </w:t>
      </w:r>
      <w:r>
        <w:rPr/>
        <w:t>on</w:t>
      </w:r>
      <w:r>
        <w:rPr>
          <w:spacing w:val="-21"/>
        </w:rPr>
        <w:t> </w:t>
      </w:r>
      <w:r>
        <w:rPr/>
        <w:t>electrical conduction within our bodies. All nerve cells communicate with each other via so-called</w:t>
      </w:r>
      <w:r>
        <w:rPr>
          <w:spacing w:val="-24"/>
        </w:rPr>
        <w:t> </w:t>
      </w:r>
      <w:r>
        <w:rPr/>
        <w:t>‘synapses’.</w:t>
      </w:r>
      <w:r>
        <w:rPr>
          <w:spacing w:val="-22"/>
        </w:rPr>
        <w:t> </w:t>
      </w:r>
      <w:r>
        <w:rPr/>
        <w:t>The</w:t>
      </w:r>
      <w:r>
        <w:rPr>
          <w:spacing w:val="-22"/>
        </w:rPr>
        <w:t> </w:t>
      </w:r>
      <w:r>
        <w:rPr/>
        <w:t>resulting</w:t>
      </w:r>
      <w:r>
        <w:rPr>
          <w:spacing w:val="-19"/>
        </w:rPr>
        <w:t> </w:t>
      </w:r>
      <w:r>
        <w:rPr/>
        <w:t>flow</w:t>
      </w:r>
      <w:r>
        <w:rPr>
          <w:spacing w:val="-21"/>
        </w:rPr>
        <w:t> </w:t>
      </w:r>
      <w:r>
        <w:rPr/>
        <w:t>of</w:t>
      </w:r>
      <w:r>
        <w:rPr>
          <w:spacing w:val="-22"/>
        </w:rPr>
        <w:t> </w:t>
      </w:r>
      <w:r>
        <w:rPr/>
        <w:t>information</w:t>
      </w:r>
      <w:r>
        <w:rPr>
          <w:spacing w:val="-20"/>
        </w:rPr>
        <w:t> </w:t>
      </w:r>
      <w:r>
        <w:rPr/>
        <w:t>determines,</w:t>
      </w:r>
      <w:r>
        <w:rPr>
          <w:spacing w:val="-19"/>
        </w:rPr>
        <w:t> </w:t>
      </w:r>
      <w:r>
        <w:rPr/>
        <w:t>among</w:t>
      </w:r>
      <w:r>
        <w:rPr>
          <w:spacing w:val="-23"/>
        </w:rPr>
        <w:t> </w:t>
      </w:r>
      <w:r>
        <w:rPr/>
        <w:t>other things, whether we are healthy, how much energy we feel, how well our body's own regeneration and repair processes work, how clearly and attentively</w:t>
      </w:r>
      <w:r>
        <w:rPr>
          <w:spacing w:val="-31"/>
        </w:rPr>
        <w:t> </w:t>
      </w:r>
      <w:r>
        <w:rPr/>
        <w:t>our</w:t>
      </w:r>
    </w:p>
    <w:p>
      <w:pPr>
        <w:spacing w:after="0" w:line="276" w:lineRule="auto"/>
        <w:jc w:val="both"/>
        <w:sectPr>
          <w:pgSz w:w="14270" w:h="16850"/>
          <w:pgMar w:header="0" w:footer="1891" w:top="1600" w:bottom="2080" w:left="800" w:right="1280"/>
        </w:sectPr>
      </w:pPr>
    </w:p>
    <w:p>
      <w:pPr>
        <w:pStyle w:val="BodyText"/>
        <w:spacing w:line="278" w:lineRule="auto" w:before="181"/>
        <w:ind w:left="477"/>
      </w:pPr>
      <w:r>
        <w:rPr/>
        <w:t>brains</w:t>
      </w:r>
      <w:r>
        <w:rPr>
          <w:spacing w:val="-19"/>
        </w:rPr>
        <w:t> </w:t>
      </w:r>
      <w:r>
        <w:rPr/>
        <w:t>and</w:t>
      </w:r>
      <w:r>
        <w:rPr>
          <w:spacing w:val="-22"/>
        </w:rPr>
        <w:t> </w:t>
      </w:r>
      <w:r>
        <w:rPr/>
        <w:t>sensory</w:t>
      </w:r>
      <w:r>
        <w:rPr>
          <w:spacing w:val="-19"/>
        </w:rPr>
        <w:t> </w:t>
      </w:r>
      <w:r>
        <w:rPr/>
        <w:t>organs</w:t>
      </w:r>
      <w:r>
        <w:rPr>
          <w:spacing w:val="-19"/>
        </w:rPr>
        <w:t> </w:t>
      </w:r>
      <w:r>
        <w:rPr/>
        <w:t>work,</w:t>
      </w:r>
      <w:r>
        <w:rPr>
          <w:spacing w:val="-22"/>
        </w:rPr>
        <w:t> </w:t>
      </w:r>
      <w:r>
        <w:rPr/>
        <w:t>how</w:t>
      </w:r>
      <w:r>
        <w:rPr>
          <w:spacing w:val="-21"/>
        </w:rPr>
        <w:t> </w:t>
      </w:r>
      <w:r>
        <w:rPr/>
        <w:t>efficiently</w:t>
      </w:r>
      <w:r>
        <w:rPr>
          <w:spacing w:val="-22"/>
        </w:rPr>
        <w:t> </w:t>
      </w:r>
      <w:r>
        <w:rPr/>
        <w:t>we</w:t>
      </w:r>
      <w:r>
        <w:rPr>
          <w:spacing w:val="-20"/>
        </w:rPr>
        <w:t> </w:t>
      </w:r>
      <w:r>
        <w:rPr/>
        <w:t>coordinate</w:t>
      </w:r>
      <w:r>
        <w:rPr>
          <w:spacing w:val="-20"/>
        </w:rPr>
        <w:t> </w:t>
      </w:r>
      <w:r>
        <w:rPr/>
        <w:t>muscle</w:t>
      </w:r>
      <w:r>
        <w:rPr>
          <w:spacing w:val="-21"/>
        </w:rPr>
        <w:t> </w:t>
      </w:r>
      <w:r>
        <w:rPr/>
        <w:t>activities, and much</w:t>
      </w:r>
      <w:r>
        <w:rPr>
          <w:spacing w:val="1"/>
        </w:rPr>
        <w:t> </w:t>
      </w:r>
      <w:r>
        <w:rPr/>
        <w:t>more.</w:t>
      </w:r>
    </w:p>
    <w:p>
      <w:pPr>
        <w:pStyle w:val="BodyText"/>
        <w:rPr>
          <w:sz w:val="42"/>
        </w:rPr>
      </w:pPr>
    </w:p>
    <w:p>
      <w:pPr>
        <w:pStyle w:val="Heading1"/>
        <w:spacing w:before="309"/>
      </w:pPr>
      <w:r>
        <w:rPr/>
        <w:t>At this point, the technology of medicine is far ahead!</w:t>
      </w:r>
    </w:p>
    <w:p>
      <w:pPr>
        <w:pStyle w:val="Heading2"/>
        <w:spacing w:before="300"/>
      </w:pPr>
      <w:r>
        <w:rPr/>
        <w:t>How is this to be understood?</w:t>
      </w:r>
    </w:p>
    <w:p>
      <w:pPr>
        <w:pStyle w:val="BodyText"/>
        <w:spacing w:line="276" w:lineRule="auto" w:before="305"/>
        <w:ind w:left="477" w:right="132"/>
        <w:jc w:val="both"/>
      </w:pPr>
      <w:r>
        <w:rPr/>
        <w:t>Quite simply: 90 % of people probably do a lot more for the transmission of their TV picture and their mobile phone ringtone than for their own health! Wherever</w:t>
      </w:r>
      <w:r>
        <w:rPr>
          <w:spacing w:val="-6"/>
        </w:rPr>
        <w:t> </w:t>
      </w:r>
      <w:r>
        <w:rPr/>
        <w:t>large</w:t>
      </w:r>
      <w:r>
        <w:rPr>
          <w:spacing w:val="-11"/>
        </w:rPr>
        <w:t> </w:t>
      </w:r>
      <w:r>
        <w:rPr/>
        <w:t>volumes</w:t>
      </w:r>
      <w:r>
        <w:rPr>
          <w:spacing w:val="-5"/>
        </w:rPr>
        <w:t> </w:t>
      </w:r>
      <w:r>
        <w:rPr/>
        <w:t>of</w:t>
      </w:r>
      <w:r>
        <w:rPr>
          <w:spacing w:val="-7"/>
        </w:rPr>
        <w:t> </w:t>
      </w:r>
      <w:r>
        <w:rPr/>
        <w:t>information</w:t>
      </w:r>
      <w:r>
        <w:rPr>
          <w:spacing w:val="-5"/>
        </w:rPr>
        <w:t> </w:t>
      </w:r>
      <w:r>
        <w:rPr/>
        <w:t>data</w:t>
      </w:r>
      <w:r>
        <w:rPr>
          <w:spacing w:val="-8"/>
        </w:rPr>
        <w:t> </w:t>
      </w:r>
      <w:r>
        <w:rPr/>
        <w:t>and</w:t>
      </w:r>
      <w:r>
        <w:rPr>
          <w:spacing w:val="-9"/>
        </w:rPr>
        <w:t> </w:t>
      </w:r>
      <w:r>
        <w:rPr/>
        <w:t>streams</w:t>
      </w:r>
      <w:r>
        <w:rPr>
          <w:spacing w:val="-5"/>
        </w:rPr>
        <w:t> </w:t>
      </w:r>
      <w:r>
        <w:rPr/>
        <w:t>need</w:t>
      </w:r>
      <w:r>
        <w:rPr>
          <w:spacing w:val="-9"/>
        </w:rPr>
        <w:t> </w:t>
      </w:r>
      <w:r>
        <w:rPr/>
        <w:t>to</w:t>
      </w:r>
      <w:r>
        <w:rPr>
          <w:spacing w:val="-10"/>
        </w:rPr>
        <w:t> </w:t>
      </w:r>
      <w:r>
        <w:rPr/>
        <w:t>be</w:t>
      </w:r>
      <w:r>
        <w:rPr>
          <w:spacing w:val="-6"/>
        </w:rPr>
        <w:t> </w:t>
      </w:r>
      <w:r>
        <w:rPr/>
        <w:t>forwarded intact at the highest speed, the technology uses the material ‘gold’; take, for example,</w:t>
      </w:r>
      <w:r>
        <w:rPr>
          <w:spacing w:val="-21"/>
        </w:rPr>
        <w:t> </w:t>
      </w:r>
      <w:r>
        <w:rPr/>
        <w:t>high-quality</w:t>
      </w:r>
      <w:r>
        <w:rPr>
          <w:spacing w:val="-21"/>
        </w:rPr>
        <w:t> </w:t>
      </w:r>
      <w:r>
        <w:rPr/>
        <w:t>printed</w:t>
      </w:r>
      <w:r>
        <w:rPr>
          <w:spacing w:val="-21"/>
        </w:rPr>
        <w:t> </w:t>
      </w:r>
      <w:r>
        <w:rPr/>
        <w:t>circuit</w:t>
      </w:r>
      <w:r>
        <w:rPr>
          <w:spacing w:val="-22"/>
        </w:rPr>
        <w:t> </w:t>
      </w:r>
      <w:r>
        <w:rPr/>
        <w:t>boards,</w:t>
      </w:r>
      <w:r>
        <w:rPr>
          <w:spacing w:val="-20"/>
        </w:rPr>
        <w:t> </w:t>
      </w:r>
      <w:r>
        <w:rPr/>
        <w:t>HDMI</w:t>
      </w:r>
      <w:r>
        <w:rPr>
          <w:spacing w:val="-20"/>
        </w:rPr>
        <w:t> </w:t>
      </w:r>
      <w:r>
        <w:rPr/>
        <w:t>plugs</w:t>
      </w:r>
      <w:r>
        <w:rPr>
          <w:spacing w:val="-21"/>
        </w:rPr>
        <w:t> </w:t>
      </w:r>
      <w:r>
        <w:rPr/>
        <w:t>and</w:t>
      </w:r>
      <w:r>
        <w:rPr>
          <w:spacing w:val="-24"/>
        </w:rPr>
        <w:t> </w:t>
      </w:r>
      <w:r>
        <w:rPr/>
        <w:t>microprocessors, which</w:t>
      </w:r>
      <w:r>
        <w:rPr>
          <w:spacing w:val="-12"/>
        </w:rPr>
        <w:t> </w:t>
      </w:r>
      <w:r>
        <w:rPr/>
        <w:t>are</w:t>
      </w:r>
      <w:r>
        <w:rPr>
          <w:spacing w:val="-11"/>
        </w:rPr>
        <w:t> </w:t>
      </w:r>
      <w:r>
        <w:rPr/>
        <w:t>known</w:t>
      </w:r>
      <w:r>
        <w:rPr>
          <w:spacing w:val="-11"/>
        </w:rPr>
        <w:t> </w:t>
      </w:r>
      <w:r>
        <w:rPr/>
        <w:t>to</w:t>
      </w:r>
      <w:r>
        <w:rPr>
          <w:spacing w:val="-14"/>
        </w:rPr>
        <w:t> </w:t>
      </w:r>
      <w:r>
        <w:rPr/>
        <w:t>be</w:t>
      </w:r>
      <w:r>
        <w:rPr>
          <w:spacing w:val="-13"/>
        </w:rPr>
        <w:t> </w:t>
      </w:r>
      <w:r>
        <w:rPr/>
        <w:t>made</w:t>
      </w:r>
      <w:r>
        <w:rPr>
          <w:spacing w:val="-12"/>
        </w:rPr>
        <w:t> </w:t>
      </w:r>
      <w:r>
        <w:rPr/>
        <w:t>of</w:t>
      </w:r>
      <w:r>
        <w:rPr>
          <w:spacing w:val="-16"/>
        </w:rPr>
        <w:t> </w:t>
      </w:r>
      <w:r>
        <w:rPr/>
        <w:t>gold!</w:t>
      </w:r>
      <w:r>
        <w:rPr>
          <w:spacing w:val="-12"/>
        </w:rPr>
        <w:t> </w:t>
      </w:r>
      <w:r>
        <w:rPr/>
        <w:t>So,</w:t>
      </w:r>
      <w:r>
        <w:rPr>
          <w:spacing w:val="-14"/>
        </w:rPr>
        <w:t> </w:t>
      </w:r>
      <w:r>
        <w:rPr/>
        <w:t>if</w:t>
      </w:r>
      <w:r>
        <w:rPr>
          <w:spacing w:val="-13"/>
        </w:rPr>
        <w:t> </w:t>
      </w:r>
      <w:r>
        <w:rPr/>
        <w:t>our</w:t>
      </w:r>
      <w:r>
        <w:rPr>
          <w:spacing w:val="-14"/>
        </w:rPr>
        <w:t> </w:t>
      </w:r>
      <w:r>
        <w:rPr/>
        <w:t>health,</w:t>
      </w:r>
      <w:r>
        <w:rPr>
          <w:spacing w:val="-12"/>
        </w:rPr>
        <w:t> </w:t>
      </w:r>
      <w:r>
        <w:rPr/>
        <w:t>our</w:t>
      </w:r>
      <w:r>
        <w:rPr>
          <w:spacing w:val="-11"/>
        </w:rPr>
        <w:t> </w:t>
      </w:r>
      <w:r>
        <w:rPr/>
        <w:t>functionality,</w:t>
      </w:r>
      <w:r>
        <w:rPr>
          <w:spacing w:val="-11"/>
        </w:rPr>
        <w:t> </w:t>
      </w:r>
      <w:r>
        <w:rPr/>
        <w:t>youth- fulness and vitality, as described in detail above, depends on the flow of infor- mation, which essentially takes place electronically, the (cell) protection we ex- perience and the maximum performance we are capable of are</w:t>
      </w:r>
      <w:r>
        <w:rPr>
          <w:spacing w:val="-49"/>
        </w:rPr>
        <w:t> </w:t>
      </w:r>
      <w:r>
        <w:rPr/>
        <w:t>self-explanatory when we provide our body with the most effective and safe medium of trans- mission available to us humans thanks to ‘Mother</w:t>
      </w:r>
      <w:r>
        <w:rPr>
          <w:spacing w:val="3"/>
        </w:rPr>
        <w:t> </w:t>
      </w:r>
      <w:r>
        <w:rPr/>
        <w:t>Nature’:</w:t>
      </w:r>
    </w:p>
    <w:p>
      <w:pPr>
        <w:pStyle w:val="Heading2"/>
        <w:spacing w:before="239"/>
        <w:ind w:left="5121"/>
      </w:pPr>
      <w:r>
        <w:rPr/>
        <w:t>colloidal gold!</w:t>
      </w:r>
    </w:p>
    <w:p>
      <w:pPr>
        <w:pStyle w:val="BodyText"/>
        <w:rPr>
          <w:b/>
          <w:sz w:val="42"/>
        </w:rPr>
      </w:pPr>
    </w:p>
    <w:p>
      <w:pPr>
        <w:pStyle w:val="BodyText"/>
        <w:spacing w:before="8"/>
        <w:rPr>
          <w:b/>
          <w:sz w:val="48"/>
        </w:rPr>
      </w:pPr>
    </w:p>
    <w:p>
      <w:pPr>
        <w:spacing w:line="261" w:lineRule="auto" w:before="0"/>
        <w:ind w:left="477" w:right="0" w:firstLine="0"/>
        <w:jc w:val="left"/>
        <w:rPr>
          <w:b/>
          <w:i/>
          <w:sz w:val="40"/>
        </w:rPr>
      </w:pPr>
      <w:r>
        <w:rPr>
          <w:b/>
          <w:i/>
          <w:sz w:val="40"/>
        </w:rPr>
        <w:t>Colloidal gold improves the information flow of our genome by up</w:t>
      </w:r>
      <w:r>
        <w:rPr>
          <w:b/>
          <w:i/>
          <w:spacing w:val="-70"/>
          <w:sz w:val="40"/>
        </w:rPr>
        <w:t> </w:t>
      </w:r>
      <w:r>
        <w:rPr>
          <w:b/>
          <w:i/>
          <w:sz w:val="40"/>
        </w:rPr>
        <w:t>to 10,000 times!</w:t>
      </w:r>
    </w:p>
    <w:p>
      <w:pPr>
        <w:spacing w:after="0" w:line="261" w:lineRule="auto"/>
        <w:jc w:val="left"/>
        <w:rPr>
          <w:sz w:val="40"/>
        </w:rPr>
        <w:sectPr>
          <w:pgSz w:w="14270" w:h="16850"/>
          <w:pgMar w:header="0" w:footer="1891" w:top="1600" w:bottom="2080" w:left="800" w:right="1280"/>
        </w:sectPr>
      </w:pPr>
    </w:p>
    <w:p>
      <w:pPr>
        <w:pStyle w:val="BodyText"/>
        <w:spacing w:line="276" w:lineRule="auto" w:before="181"/>
        <w:ind w:left="477" w:right="130"/>
        <w:jc w:val="both"/>
      </w:pPr>
      <w:r>
        <w:rPr/>
        <w:t>In view of this, in the context of the research results of the University of</w:t>
      </w:r>
      <w:r>
        <w:rPr>
          <w:spacing w:val="-65"/>
        </w:rPr>
        <w:t> </w:t>
      </w:r>
      <w:r>
        <w:rPr/>
        <w:t>Basel, it is not an exaggeration to speak of colloidal gold as a real sensation. In 1999, researchers</w:t>
      </w:r>
      <w:r>
        <w:rPr>
          <w:spacing w:val="-16"/>
        </w:rPr>
        <w:t> </w:t>
      </w:r>
      <w:r>
        <w:rPr/>
        <w:t>at</w:t>
      </w:r>
      <w:r>
        <w:rPr>
          <w:spacing w:val="-15"/>
        </w:rPr>
        <w:t> </w:t>
      </w:r>
      <w:r>
        <w:rPr/>
        <w:t>the</w:t>
      </w:r>
      <w:r>
        <w:rPr>
          <w:spacing w:val="-13"/>
        </w:rPr>
        <w:t> </w:t>
      </w:r>
      <w:r>
        <w:rPr/>
        <w:t>University</w:t>
      </w:r>
      <w:r>
        <w:rPr>
          <w:spacing w:val="-15"/>
        </w:rPr>
        <w:t> </w:t>
      </w:r>
      <w:r>
        <w:rPr/>
        <w:t>of</w:t>
      </w:r>
      <w:r>
        <w:rPr>
          <w:spacing w:val="-18"/>
        </w:rPr>
        <w:t> </w:t>
      </w:r>
      <w:r>
        <w:rPr/>
        <w:t>Basel</w:t>
      </w:r>
      <w:r>
        <w:rPr>
          <w:spacing w:val="-14"/>
        </w:rPr>
        <w:t> </w:t>
      </w:r>
      <w:r>
        <w:rPr/>
        <w:t>succeeded</w:t>
      </w:r>
      <w:r>
        <w:rPr>
          <w:spacing w:val="-13"/>
        </w:rPr>
        <w:t> </w:t>
      </w:r>
      <w:r>
        <w:rPr/>
        <w:t>in</w:t>
      </w:r>
      <w:r>
        <w:rPr>
          <w:spacing w:val="-14"/>
        </w:rPr>
        <w:t> </w:t>
      </w:r>
      <w:r>
        <w:rPr/>
        <w:t>measuring</w:t>
      </w:r>
      <w:r>
        <w:rPr>
          <w:spacing w:val="-13"/>
        </w:rPr>
        <w:t> </w:t>
      </w:r>
      <w:r>
        <w:rPr/>
        <w:t>the</w:t>
      </w:r>
      <w:r>
        <w:rPr>
          <w:spacing w:val="-15"/>
        </w:rPr>
        <w:t> </w:t>
      </w:r>
      <w:r>
        <w:rPr/>
        <w:t>electrical</w:t>
      </w:r>
      <w:r>
        <w:rPr>
          <w:spacing w:val="-14"/>
        </w:rPr>
        <w:t> </w:t>
      </w:r>
      <w:r>
        <w:rPr/>
        <w:t>con- ductivity of DNA molecules for the first</w:t>
      </w:r>
      <w:r>
        <w:rPr>
          <w:spacing w:val="1"/>
        </w:rPr>
        <w:t> </w:t>
      </w:r>
      <w:r>
        <w:rPr/>
        <w:t>time.</w:t>
      </w:r>
    </w:p>
    <w:p>
      <w:pPr>
        <w:pStyle w:val="BodyText"/>
        <w:spacing w:line="276" w:lineRule="auto" w:before="242"/>
        <w:ind w:left="477" w:right="140"/>
        <w:jc w:val="both"/>
      </w:pPr>
      <w:r>
        <w:rPr/>
        <w:t>Within</w:t>
      </w:r>
      <w:r>
        <w:rPr>
          <w:spacing w:val="-10"/>
        </w:rPr>
        <w:t> </w:t>
      </w:r>
      <w:r>
        <w:rPr/>
        <w:t>this</w:t>
      </w:r>
      <w:r>
        <w:rPr>
          <w:spacing w:val="-11"/>
        </w:rPr>
        <w:t> </w:t>
      </w:r>
      <w:r>
        <w:rPr/>
        <w:t>research,</w:t>
      </w:r>
      <w:r>
        <w:rPr>
          <w:spacing w:val="-10"/>
        </w:rPr>
        <w:t> </w:t>
      </w:r>
      <w:r>
        <w:rPr/>
        <w:t>it</w:t>
      </w:r>
      <w:r>
        <w:rPr>
          <w:spacing w:val="-12"/>
        </w:rPr>
        <w:t> </w:t>
      </w:r>
      <w:r>
        <w:rPr/>
        <w:t>was</w:t>
      </w:r>
      <w:r>
        <w:rPr>
          <w:spacing w:val="-11"/>
        </w:rPr>
        <w:t> </w:t>
      </w:r>
      <w:r>
        <w:rPr/>
        <w:t>shown</w:t>
      </w:r>
      <w:r>
        <w:rPr>
          <w:spacing w:val="-9"/>
        </w:rPr>
        <w:t> </w:t>
      </w:r>
      <w:r>
        <w:rPr/>
        <w:t>that</w:t>
      </w:r>
      <w:r>
        <w:rPr>
          <w:spacing w:val="-12"/>
        </w:rPr>
        <w:t> </w:t>
      </w:r>
      <w:r>
        <w:rPr/>
        <w:t>the</w:t>
      </w:r>
      <w:r>
        <w:rPr>
          <w:spacing w:val="-12"/>
        </w:rPr>
        <w:t> </w:t>
      </w:r>
      <w:r>
        <w:rPr/>
        <w:t>information</w:t>
      </w:r>
      <w:r>
        <w:rPr>
          <w:spacing w:val="-9"/>
        </w:rPr>
        <w:t> </w:t>
      </w:r>
      <w:r>
        <w:rPr/>
        <w:t>flow</w:t>
      </w:r>
      <w:r>
        <w:rPr>
          <w:spacing w:val="-10"/>
        </w:rPr>
        <w:t> </w:t>
      </w:r>
      <w:r>
        <w:rPr/>
        <w:t>of</w:t>
      </w:r>
      <w:r>
        <w:rPr>
          <w:spacing w:val="-12"/>
        </w:rPr>
        <w:t> </w:t>
      </w:r>
      <w:r>
        <w:rPr/>
        <w:t>the</w:t>
      </w:r>
      <w:r>
        <w:rPr>
          <w:spacing w:val="-9"/>
        </w:rPr>
        <w:t> </w:t>
      </w:r>
      <w:r>
        <w:rPr/>
        <w:t>DNA</w:t>
      </w:r>
      <w:r>
        <w:rPr>
          <w:spacing w:val="-11"/>
        </w:rPr>
        <w:t> </w:t>
      </w:r>
      <w:r>
        <w:rPr/>
        <w:t>could be improved by up to 10,000 times thanks to the application of colloidal</w:t>
      </w:r>
      <w:r>
        <w:rPr>
          <w:spacing w:val="-22"/>
        </w:rPr>
        <w:t> </w:t>
      </w:r>
      <w:r>
        <w:rPr/>
        <w:t>gold!</w:t>
      </w:r>
    </w:p>
    <w:p>
      <w:pPr>
        <w:pStyle w:val="BodyText"/>
        <w:spacing w:line="276" w:lineRule="auto" w:before="239"/>
        <w:ind w:left="477" w:right="131"/>
        <w:jc w:val="both"/>
      </w:pPr>
      <w:r>
        <w:rPr/>
        <w:t>We understand DNA as a complex molecule that stores all our genetic infor- mation.</w:t>
      </w:r>
      <w:r>
        <w:rPr>
          <w:spacing w:val="-11"/>
        </w:rPr>
        <w:t> </w:t>
      </w:r>
      <w:r>
        <w:rPr/>
        <w:t>The</w:t>
      </w:r>
      <w:r>
        <w:rPr>
          <w:spacing w:val="-10"/>
        </w:rPr>
        <w:t> </w:t>
      </w:r>
      <w:r>
        <w:rPr/>
        <w:t>DNA</w:t>
      </w:r>
      <w:r>
        <w:rPr>
          <w:spacing w:val="-10"/>
        </w:rPr>
        <w:t> </w:t>
      </w:r>
      <w:r>
        <w:rPr/>
        <w:t>of</w:t>
      </w:r>
      <w:r>
        <w:rPr>
          <w:spacing w:val="-10"/>
        </w:rPr>
        <w:t> </w:t>
      </w:r>
      <w:r>
        <w:rPr/>
        <w:t>a</w:t>
      </w:r>
      <w:r>
        <w:rPr>
          <w:spacing w:val="-13"/>
        </w:rPr>
        <w:t> </w:t>
      </w:r>
      <w:r>
        <w:rPr/>
        <w:t>cell</w:t>
      </w:r>
      <w:r>
        <w:rPr>
          <w:spacing w:val="-11"/>
        </w:rPr>
        <w:t> </w:t>
      </w:r>
      <w:r>
        <w:rPr/>
        <w:t>contains</w:t>
      </w:r>
      <w:r>
        <w:rPr>
          <w:spacing w:val="-10"/>
        </w:rPr>
        <w:t> </w:t>
      </w:r>
      <w:r>
        <w:rPr/>
        <w:t>all</w:t>
      </w:r>
      <w:r>
        <w:rPr>
          <w:spacing w:val="-12"/>
        </w:rPr>
        <w:t> </w:t>
      </w:r>
      <w:r>
        <w:rPr/>
        <w:t>the</w:t>
      </w:r>
      <w:r>
        <w:rPr>
          <w:spacing w:val="-10"/>
        </w:rPr>
        <w:t> </w:t>
      </w:r>
      <w:r>
        <w:rPr/>
        <w:t>coded</w:t>
      </w:r>
      <w:r>
        <w:rPr>
          <w:spacing w:val="-12"/>
        </w:rPr>
        <w:t> </w:t>
      </w:r>
      <w:r>
        <w:rPr/>
        <w:t>knowledge</w:t>
      </w:r>
      <w:r>
        <w:rPr>
          <w:spacing w:val="-10"/>
        </w:rPr>
        <w:t> </w:t>
      </w:r>
      <w:r>
        <w:rPr/>
        <w:t>that</w:t>
      </w:r>
      <w:r>
        <w:rPr>
          <w:spacing w:val="-11"/>
        </w:rPr>
        <w:t> </w:t>
      </w:r>
      <w:r>
        <w:rPr/>
        <w:t>the</w:t>
      </w:r>
      <w:r>
        <w:rPr>
          <w:spacing w:val="-10"/>
        </w:rPr>
        <w:t> </w:t>
      </w:r>
      <w:r>
        <w:rPr/>
        <w:t>cell</w:t>
      </w:r>
      <w:r>
        <w:rPr>
          <w:spacing w:val="-11"/>
        </w:rPr>
        <w:t> </w:t>
      </w:r>
      <w:r>
        <w:rPr/>
        <w:t>needs to function and survive.</w:t>
      </w:r>
    </w:p>
    <w:p>
      <w:pPr>
        <w:pStyle w:val="BodyText"/>
        <w:spacing w:line="276" w:lineRule="auto" w:before="241"/>
        <w:ind w:left="477" w:right="128"/>
        <w:jc w:val="both"/>
      </w:pPr>
      <w:r>
        <w:rPr/>
        <w:t>If one considers that said information flow of the DNA is the transmission of genetic</w:t>
      </w:r>
      <w:r>
        <w:rPr>
          <w:spacing w:val="-22"/>
        </w:rPr>
        <w:t> </w:t>
      </w:r>
      <w:r>
        <w:rPr/>
        <w:t>information,</w:t>
      </w:r>
      <w:r>
        <w:rPr>
          <w:spacing w:val="-20"/>
        </w:rPr>
        <w:t> </w:t>
      </w:r>
      <w:r>
        <w:rPr/>
        <w:t>which</w:t>
      </w:r>
      <w:r>
        <w:rPr>
          <w:spacing w:val="-20"/>
        </w:rPr>
        <w:t> </w:t>
      </w:r>
      <w:r>
        <w:rPr/>
        <w:t>must</w:t>
      </w:r>
      <w:r>
        <w:rPr>
          <w:spacing w:val="-24"/>
        </w:rPr>
        <w:t> </w:t>
      </w:r>
      <w:r>
        <w:rPr/>
        <w:t>be</w:t>
      </w:r>
      <w:r>
        <w:rPr>
          <w:spacing w:val="-21"/>
        </w:rPr>
        <w:t> </w:t>
      </w:r>
      <w:r>
        <w:rPr/>
        <w:t>passed</w:t>
      </w:r>
      <w:r>
        <w:rPr>
          <w:spacing w:val="-21"/>
        </w:rPr>
        <w:t> </w:t>
      </w:r>
      <w:r>
        <w:rPr/>
        <w:t>on</w:t>
      </w:r>
      <w:r>
        <w:rPr>
          <w:spacing w:val="-21"/>
        </w:rPr>
        <w:t> </w:t>
      </w:r>
      <w:r>
        <w:rPr/>
        <w:t>as</w:t>
      </w:r>
      <w:r>
        <w:rPr>
          <w:spacing w:val="-21"/>
        </w:rPr>
        <w:t> </w:t>
      </w:r>
      <w:r>
        <w:rPr/>
        <w:t>intact</w:t>
      </w:r>
      <w:r>
        <w:rPr>
          <w:spacing w:val="-21"/>
        </w:rPr>
        <w:t> </w:t>
      </w:r>
      <w:r>
        <w:rPr/>
        <w:t>as</w:t>
      </w:r>
      <w:r>
        <w:rPr>
          <w:spacing w:val="-21"/>
        </w:rPr>
        <w:t> </w:t>
      </w:r>
      <w:r>
        <w:rPr/>
        <w:t>possible</w:t>
      </w:r>
      <w:r>
        <w:rPr>
          <w:spacing w:val="-24"/>
        </w:rPr>
        <w:t> </w:t>
      </w:r>
      <w:r>
        <w:rPr/>
        <w:t>to</w:t>
      </w:r>
      <w:r>
        <w:rPr>
          <w:spacing w:val="-21"/>
        </w:rPr>
        <w:t> </w:t>
      </w:r>
      <w:r>
        <w:rPr/>
        <w:t>the</w:t>
      </w:r>
      <w:r>
        <w:rPr>
          <w:spacing w:val="-20"/>
        </w:rPr>
        <w:t> </w:t>
      </w:r>
      <w:r>
        <w:rPr/>
        <w:t>daugh- ter</w:t>
      </w:r>
      <w:r>
        <w:rPr>
          <w:spacing w:val="-6"/>
        </w:rPr>
        <w:t> </w:t>
      </w:r>
      <w:r>
        <w:rPr/>
        <w:t>cells</w:t>
      </w:r>
      <w:r>
        <w:rPr>
          <w:spacing w:val="-6"/>
        </w:rPr>
        <w:t> </w:t>
      </w:r>
      <w:r>
        <w:rPr/>
        <w:t>with</w:t>
      </w:r>
      <w:r>
        <w:rPr>
          <w:spacing w:val="-5"/>
        </w:rPr>
        <w:t> </w:t>
      </w:r>
      <w:r>
        <w:rPr/>
        <w:t>each</w:t>
      </w:r>
      <w:r>
        <w:rPr>
          <w:spacing w:val="-6"/>
        </w:rPr>
        <w:t> </w:t>
      </w:r>
      <w:r>
        <w:rPr/>
        <w:t>cell</w:t>
      </w:r>
      <w:r>
        <w:rPr>
          <w:spacing w:val="-6"/>
        </w:rPr>
        <w:t> </w:t>
      </w:r>
      <w:r>
        <w:rPr/>
        <w:t>division</w:t>
      </w:r>
      <w:r>
        <w:rPr>
          <w:spacing w:val="-6"/>
        </w:rPr>
        <w:t> </w:t>
      </w:r>
      <w:r>
        <w:rPr/>
        <w:t>(conventional</w:t>
      </w:r>
      <w:r>
        <w:rPr>
          <w:spacing w:val="-6"/>
        </w:rPr>
        <w:t> </w:t>
      </w:r>
      <w:r>
        <w:rPr/>
        <w:t>medicine</w:t>
      </w:r>
      <w:r>
        <w:rPr>
          <w:spacing w:val="-6"/>
        </w:rPr>
        <w:t> </w:t>
      </w:r>
      <w:r>
        <w:rPr/>
        <w:t>says</w:t>
      </w:r>
      <w:r>
        <w:rPr>
          <w:spacing w:val="-5"/>
        </w:rPr>
        <w:t> </w:t>
      </w:r>
      <w:r>
        <w:rPr/>
        <w:t>the</w:t>
      </w:r>
      <w:r>
        <w:rPr>
          <w:spacing w:val="-6"/>
        </w:rPr>
        <w:t> </w:t>
      </w:r>
      <w:r>
        <w:rPr/>
        <w:t>cause</w:t>
      </w:r>
      <w:r>
        <w:rPr>
          <w:spacing w:val="-5"/>
        </w:rPr>
        <w:t> </w:t>
      </w:r>
      <w:r>
        <w:rPr/>
        <w:t>of</w:t>
      </w:r>
      <w:r>
        <w:rPr>
          <w:spacing w:val="-7"/>
        </w:rPr>
        <w:t> </w:t>
      </w:r>
      <w:r>
        <w:rPr/>
        <w:t>carcin- ogenesis is defective genes passing on information during this process), then one becomes aware of the medical sensation revealed</w:t>
      </w:r>
      <w:r>
        <w:rPr>
          <w:spacing w:val="-3"/>
        </w:rPr>
        <w:t> </w:t>
      </w:r>
      <w:r>
        <w:rPr/>
        <w:t>here...!</w:t>
      </w:r>
    </w:p>
    <w:p>
      <w:pPr>
        <w:pStyle w:val="BodyText"/>
        <w:spacing w:line="276" w:lineRule="auto" w:before="240"/>
        <w:ind w:left="477" w:right="135"/>
        <w:jc w:val="both"/>
      </w:pPr>
      <w:r>
        <w:rPr/>
        <w:t>Energy</w:t>
      </w:r>
      <w:r>
        <w:rPr>
          <w:spacing w:val="-23"/>
        </w:rPr>
        <w:t> </w:t>
      </w:r>
      <w:r>
        <w:rPr/>
        <w:t>is</w:t>
      </w:r>
      <w:r>
        <w:rPr>
          <w:spacing w:val="-22"/>
        </w:rPr>
        <w:t> </w:t>
      </w:r>
      <w:r>
        <w:rPr/>
        <w:t>life</w:t>
      </w:r>
      <w:r>
        <w:rPr>
          <w:spacing w:val="-24"/>
        </w:rPr>
        <w:t> </w:t>
      </w:r>
      <w:r>
        <w:rPr/>
        <w:t>and</w:t>
      </w:r>
      <w:r>
        <w:rPr>
          <w:spacing w:val="-22"/>
        </w:rPr>
        <w:t> </w:t>
      </w:r>
      <w:r>
        <w:rPr/>
        <w:t>the</w:t>
      </w:r>
      <w:r>
        <w:rPr>
          <w:spacing w:val="-23"/>
        </w:rPr>
        <w:t> </w:t>
      </w:r>
      <w:r>
        <w:rPr/>
        <w:t>electrical</w:t>
      </w:r>
      <w:r>
        <w:rPr>
          <w:spacing w:val="-20"/>
        </w:rPr>
        <w:t> </w:t>
      </w:r>
      <w:r>
        <w:rPr/>
        <w:t>conductivity</w:t>
      </w:r>
      <w:r>
        <w:rPr>
          <w:spacing w:val="-22"/>
        </w:rPr>
        <w:t> </w:t>
      </w:r>
      <w:r>
        <w:rPr/>
        <w:t>of</w:t>
      </w:r>
      <w:r>
        <w:rPr>
          <w:spacing w:val="-20"/>
        </w:rPr>
        <w:t> </w:t>
      </w:r>
      <w:r>
        <w:rPr/>
        <w:t>our</w:t>
      </w:r>
      <w:r>
        <w:rPr>
          <w:spacing w:val="-22"/>
        </w:rPr>
        <w:t> </w:t>
      </w:r>
      <w:r>
        <w:rPr/>
        <w:t>DNA</w:t>
      </w:r>
      <w:r>
        <w:rPr>
          <w:spacing w:val="-21"/>
        </w:rPr>
        <w:t> </w:t>
      </w:r>
      <w:r>
        <w:rPr/>
        <w:t>is</w:t>
      </w:r>
      <w:r>
        <w:rPr>
          <w:spacing w:val="-22"/>
        </w:rPr>
        <w:t> </w:t>
      </w:r>
      <w:r>
        <w:rPr/>
        <w:t>a</w:t>
      </w:r>
      <w:r>
        <w:rPr>
          <w:spacing w:val="-22"/>
        </w:rPr>
        <w:t> </w:t>
      </w:r>
      <w:r>
        <w:rPr/>
        <w:t>fundamental</w:t>
      </w:r>
      <w:r>
        <w:rPr>
          <w:spacing w:val="-22"/>
        </w:rPr>
        <w:t> </w:t>
      </w:r>
      <w:r>
        <w:rPr/>
        <w:t>factor in the energy production of our</w:t>
      </w:r>
      <w:r>
        <w:rPr>
          <w:spacing w:val="2"/>
        </w:rPr>
        <w:t> </w:t>
      </w:r>
      <w:r>
        <w:rPr/>
        <w:t>cells!</w:t>
      </w:r>
    </w:p>
    <w:p>
      <w:pPr>
        <w:pStyle w:val="BodyText"/>
        <w:spacing w:line="276" w:lineRule="auto" w:before="241"/>
        <w:ind w:left="477" w:right="134"/>
        <w:jc w:val="both"/>
      </w:pPr>
      <w:r>
        <w:rPr/>
        <w:t>After just a few days or weeks of regular liquid (colloidal) gold intake, the elec- trical conduction within our entire body increases significantly. On the one hand, our cells are revitalised in an unprecedented manner. On the other hand, they</w:t>
      </w:r>
      <w:r>
        <w:rPr>
          <w:spacing w:val="-18"/>
        </w:rPr>
        <w:t> </w:t>
      </w:r>
      <w:r>
        <w:rPr/>
        <w:t>can</w:t>
      </w:r>
      <w:r>
        <w:rPr>
          <w:spacing w:val="-18"/>
        </w:rPr>
        <w:t> </w:t>
      </w:r>
      <w:r>
        <w:rPr/>
        <w:t>regenerate</w:t>
      </w:r>
      <w:r>
        <w:rPr>
          <w:spacing w:val="-19"/>
        </w:rPr>
        <w:t> </w:t>
      </w:r>
      <w:r>
        <w:rPr/>
        <w:t>much</w:t>
      </w:r>
      <w:r>
        <w:rPr>
          <w:spacing w:val="-18"/>
        </w:rPr>
        <w:t> </w:t>
      </w:r>
      <w:r>
        <w:rPr/>
        <w:t>better,</w:t>
      </w:r>
      <w:r>
        <w:rPr>
          <w:spacing w:val="-18"/>
        </w:rPr>
        <w:t> </w:t>
      </w:r>
      <w:r>
        <w:rPr/>
        <w:t>we</w:t>
      </w:r>
      <w:r>
        <w:rPr>
          <w:spacing w:val="-20"/>
        </w:rPr>
        <w:t> </w:t>
      </w:r>
      <w:r>
        <w:rPr/>
        <w:t>feel</w:t>
      </w:r>
      <w:r>
        <w:rPr>
          <w:spacing w:val="-18"/>
        </w:rPr>
        <w:t> </w:t>
      </w:r>
      <w:r>
        <w:rPr/>
        <w:t>energetic</w:t>
      </w:r>
      <w:r>
        <w:rPr>
          <w:spacing w:val="-19"/>
        </w:rPr>
        <w:t> </w:t>
      </w:r>
      <w:r>
        <w:rPr/>
        <w:t>and</w:t>
      </w:r>
      <w:r>
        <w:rPr>
          <w:spacing w:val="-18"/>
        </w:rPr>
        <w:t> </w:t>
      </w:r>
      <w:r>
        <w:rPr/>
        <w:t>mentally</w:t>
      </w:r>
      <w:r>
        <w:rPr>
          <w:spacing w:val="-18"/>
        </w:rPr>
        <w:t> </w:t>
      </w:r>
      <w:r>
        <w:rPr/>
        <w:t>balanced</w:t>
      </w:r>
      <w:r>
        <w:rPr>
          <w:spacing w:val="-19"/>
        </w:rPr>
        <w:t> </w:t>
      </w:r>
      <w:r>
        <w:rPr/>
        <w:t>during the day, but at night, we experience restful</w:t>
      </w:r>
      <w:r>
        <w:rPr>
          <w:spacing w:val="2"/>
        </w:rPr>
        <w:t> </w:t>
      </w:r>
      <w:r>
        <w:rPr/>
        <w:t>sleep.</w:t>
      </w:r>
    </w:p>
    <w:p>
      <w:pPr>
        <w:spacing w:after="0" w:line="276" w:lineRule="auto"/>
        <w:jc w:val="both"/>
        <w:sectPr>
          <w:pgSz w:w="14270" w:h="16850"/>
          <w:pgMar w:header="0" w:footer="1891" w:top="1600" w:bottom="2080" w:left="800" w:right="1280"/>
        </w:sectPr>
      </w:pPr>
    </w:p>
    <w:p>
      <w:pPr>
        <w:pStyle w:val="Heading1"/>
        <w:spacing w:before="164"/>
        <w:jc w:val="both"/>
      </w:pPr>
      <w:r>
        <w:rPr/>
        <w:t>Colloidal gold increases intelligence by 20</w:t>
      </w:r>
      <w:r>
        <w:rPr>
          <w:spacing w:val="-67"/>
        </w:rPr>
        <w:t> </w:t>
      </w:r>
      <w:r>
        <w:rPr/>
        <w:t>%</w:t>
      </w:r>
    </w:p>
    <w:p>
      <w:pPr>
        <w:pStyle w:val="BodyText"/>
        <w:spacing w:line="276" w:lineRule="auto" w:before="299"/>
        <w:ind w:left="477" w:right="132"/>
        <w:jc w:val="both"/>
      </w:pPr>
      <w:r>
        <w:rPr/>
        <w:t>As</w:t>
      </w:r>
      <w:r>
        <w:rPr>
          <w:spacing w:val="-25"/>
        </w:rPr>
        <w:t> </w:t>
      </w:r>
      <w:r>
        <w:rPr/>
        <w:t>already</w:t>
      </w:r>
      <w:r>
        <w:rPr>
          <w:spacing w:val="-24"/>
        </w:rPr>
        <w:t> </w:t>
      </w:r>
      <w:r>
        <w:rPr/>
        <w:t>described</w:t>
      </w:r>
      <w:r>
        <w:rPr>
          <w:spacing w:val="-25"/>
        </w:rPr>
        <w:t> </w:t>
      </w:r>
      <w:r>
        <w:rPr/>
        <w:t>in</w:t>
      </w:r>
      <w:r>
        <w:rPr>
          <w:spacing w:val="-24"/>
        </w:rPr>
        <w:t> </w:t>
      </w:r>
      <w:r>
        <w:rPr/>
        <w:t>the</w:t>
      </w:r>
      <w:r>
        <w:rPr>
          <w:spacing w:val="-25"/>
        </w:rPr>
        <w:t> </w:t>
      </w:r>
      <w:r>
        <w:rPr/>
        <w:t>introduction</w:t>
      </w:r>
      <w:r>
        <w:rPr>
          <w:spacing w:val="-24"/>
        </w:rPr>
        <w:t> </w:t>
      </w:r>
      <w:r>
        <w:rPr/>
        <w:t>and</w:t>
      </w:r>
      <w:r>
        <w:rPr>
          <w:spacing w:val="-25"/>
        </w:rPr>
        <w:t> </w:t>
      </w:r>
      <w:r>
        <w:rPr/>
        <w:t>as</w:t>
      </w:r>
      <w:r>
        <w:rPr>
          <w:spacing w:val="-25"/>
        </w:rPr>
        <w:t> </w:t>
      </w:r>
      <w:r>
        <w:rPr/>
        <w:t>probably</w:t>
      </w:r>
      <w:r>
        <w:rPr>
          <w:spacing w:val="-25"/>
        </w:rPr>
        <w:t> </w:t>
      </w:r>
      <w:r>
        <w:rPr/>
        <w:t>known</w:t>
      </w:r>
      <w:r>
        <w:rPr>
          <w:spacing w:val="-25"/>
        </w:rPr>
        <w:t> </w:t>
      </w:r>
      <w:r>
        <w:rPr/>
        <w:t>by</w:t>
      </w:r>
      <w:r>
        <w:rPr>
          <w:spacing w:val="-24"/>
        </w:rPr>
        <w:t> </w:t>
      </w:r>
      <w:r>
        <w:rPr/>
        <w:t>most</w:t>
      </w:r>
      <w:r>
        <w:rPr>
          <w:spacing w:val="-27"/>
        </w:rPr>
        <w:t> </w:t>
      </w:r>
      <w:r>
        <w:rPr/>
        <w:t>readers already, the nerve cells in the brain communicate via electrical impulses – only through these signals is information sent from one neuron to the next in the brain.</w:t>
      </w:r>
    </w:p>
    <w:p>
      <w:pPr>
        <w:pStyle w:val="BodyText"/>
        <w:spacing w:line="276" w:lineRule="auto" w:before="240"/>
        <w:ind w:left="477" w:right="134"/>
        <w:jc w:val="both"/>
      </w:pPr>
      <w:r>
        <w:rPr/>
        <w:t>The attentive reader might conclude that regular intake of colloidal gold not only increases the transmission of genetic information many times, but could also</w:t>
      </w:r>
      <w:r>
        <w:rPr>
          <w:spacing w:val="-11"/>
        </w:rPr>
        <w:t> </w:t>
      </w:r>
      <w:r>
        <w:rPr/>
        <w:t>have</w:t>
      </w:r>
      <w:r>
        <w:rPr>
          <w:spacing w:val="-11"/>
        </w:rPr>
        <w:t> </w:t>
      </w:r>
      <w:r>
        <w:rPr/>
        <w:t>a</w:t>
      </w:r>
      <w:r>
        <w:rPr>
          <w:spacing w:val="-15"/>
        </w:rPr>
        <w:t> </w:t>
      </w:r>
      <w:r>
        <w:rPr/>
        <w:t>noticeable</w:t>
      </w:r>
      <w:r>
        <w:rPr>
          <w:spacing w:val="-11"/>
        </w:rPr>
        <w:t> </w:t>
      </w:r>
      <w:r>
        <w:rPr/>
        <w:t>positive</w:t>
      </w:r>
      <w:r>
        <w:rPr>
          <w:spacing w:val="-12"/>
        </w:rPr>
        <w:t> </w:t>
      </w:r>
      <w:r>
        <w:rPr/>
        <w:t>effect</w:t>
      </w:r>
      <w:r>
        <w:rPr>
          <w:spacing w:val="-12"/>
        </w:rPr>
        <w:t> </w:t>
      </w:r>
      <w:r>
        <w:rPr/>
        <w:t>on</w:t>
      </w:r>
      <w:r>
        <w:rPr>
          <w:spacing w:val="-13"/>
        </w:rPr>
        <w:t> </w:t>
      </w:r>
      <w:r>
        <w:rPr/>
        <w:t>all</w:t>
      </w:r>
      <w:r>
        <w:rPr>
          <w:spacing w:val="-13"/>
        </w:rPr>
        <w:t> </w:t>
      </w:r>
      <w:r>
        <w:rPr/>
        <w:t>body</w:t>
      </w:r>
      <w:r>
        <w:rPr>
          <w:spacing w:val="-17"/>
        </w:rPr>
        <w:t> </w:t>
      </w:r>
      <w:r>
        <w:rPr/>
        <w:t>processes</w:t>
      </w:r>
      <w:r>
        <w:rPr>
          <w:spacing w:val="-12"/>
        </w:rPr>
        <w:t> </w:t>
      </w:r>
      <w:r>
        <w:rPr/>
        <w:t>that</w:t>
      </w:r>
      <w:r>
        <w:rPr>
          <w:spacing w:val="-14"/>
        </w:rPr>
        <w:t> </w:t>
      </w:r>
      <w:r>
        <w:rPr/>
        <w:t>depend</w:t>
      </w:r>
      <w:r>
        <w:rPr>
          <w:spacing w:val="-12"/>
        </w:rPr>
        <w:t> </w:t>
      </w:r>
      <w:r>
        <w:rPr/>
        <w:t>on</w:t>
      </w:r>
      <w:r>
        <w:rPr>
          <w:spacing w:val="-11"/>
        </w:rPr>
        <w:t> </w:t>
      </w:r>
      <w:r>
        <w:rPr/>
        <w:t>elec- trical impulses – including the brain</w:t>
      </w:r>
      <w:r>
        <w:rPr>
          <w:spacing w:val="5"/>
        </w:rPr>
        <w:t> </w:t>
      </w:r>
      <w:r>
        <w:rPr/>
        <w:t>power.</w:t>
      </w:r>
    </w:p>
    <w:p>
      <w:pPr>
        <w:pStyle w:val="BodyText"/>
        <w:spacing w:line="276" w:lineRule="auto" w:before="242"/>
        <w:ind w:left="477" w:right="132"/>
        <w:jc w:val="both"/>
        <w:rPr>
          <w:sz w:val="25"/>
        </w:rPr>
      </w:pPr>
      <w:r>
        <w:rPr/>
        <w:t>That's really how it is! Within a pilot study, participants' IQ score increased by a</w:t>
      </w:r>
      <w:r>
        <w:rPr>
          <w:spacing w:val="-19"/>
        </w:rPr>
        <w:t> </w:t>
      </w:r>
      <w:r>
        <w:rPr/>
        <w:t>whopping</w:t>
      </w:r>
      <w:r>
        <w:rPr>
          <w:spacing w:val="-18"/>
        </w:rPr>
        <w:t> </w:t>
      </w:r>
      <w:r>
        <w:rPr/>
        <w:t>20</w:t>
      </w:r>
      <w:r>
        <w:rPr>
          <w:spacing w:val="-20"/>
        </w:rPr>
        <w:t> </w:t>
      </w:r>
      <w:r>
        <w:rPr/>
        <w:t>%,</w:t>
      </w:r>
      <w:r>
        <w:rPr>
          <w:spacing w:val="-17"/>
        </w:rPr>
        <w:t> </w:t>
      </w:r>
      <w:r>
        <w:rPr/>
        <w:t>as</w:t>
      </w:r>
      <w:r>
        <w:rPr>
          <w:spacing w:val="-18"/>
        </w:rPr>
        <w:t> </w:t>
      </w:r>
      <w:r>
        <w:rPr/>
        <w:t>evidenced</w:t>
      </w:r>
      <w:r>
        <w:rPr>
          <w:spacing w:val="-19"/>
        </w:rPr>
        <w:t> </w:t>
      </w:r>
      <w:r>
        <w:rPr/>
        <w:t>by</w:t>
      </w:r>
      <w:r>
        <w:rPr>
          <w:spacing w:val="-18"/>
        </w:rPr>
        <w:t> </w:t>
      </w:r>
      <w:r>
        <w:rPr/>
        <w:t>an</w:t>
      </w:r>
      <w:r>
        <w:rPr>
          <w:spacing w:val="-17"/>
        </w:rPr>
        <w:t> </w:t>
      </w:r>
      <w:r>
        <w:rPr/>
        <w:t>IQ</w:t>
      </w:r>
      <w:r>
        <w:rPr>
          <w:spacing w:val="-18"/>
        </w:rPr>
        <w:t> </w:t>
      </w:r>
      <w:r>
        <w:rPr/>
        <w:t>test</w:t>
      </w:r>
      <w:r>
        <w:rPr>
          <w:spacing w:val="-20"/>
        </w:rPr>
        <w:t> </w:t>
      </w:r>
      <w:r>
        <w:rPr/>
        <w:t>that</w:t>
      </w:r>
      <w:r>
        <w:rPr>
          <w:spacing w:val="-17"/>
        </w:rPr>
        <w:t> </w:t>
      </w:r>
      <w:r>
        <w:rPr/>
        <w:t>subjects</w:t>
      </w:r>
      <w:r>
        <w:rPr>
          <w:spacing w:val="-17"/>
        </w:rPr>
        <w:t> </w:t>
      </w:r>
      <w:r>
        <w:rPr/>
        <w:t>took</w:t>
      </w:r>
      <w:r>
        <w:rPr>
          <w:spacing w:val="-17"/>
        </w:rPr>
        <w:t> </w:t>
      </w:r>
      <w:r>
        <w:rPr/>
        <w:t>at</w:t>
      </w:r>
      <w:r>
        <w:rPr>
          <w:spacing w:val="-18"/>
        </w:rPr>
        <w:t> </w:t>
      </w:r>
      <w:r>
        <w:rPr/>
        <w:t>the</w:t>
      </w:r>
      <w:r>
        <w:rPr>
          <w:spacing w:val="-17"/>
        </w:rPr>
        <w:t> </w:t>
      </w:r>
      <w:r>
        <w:rPr/>
        <w:t>beginning and after 3 months of gold</w:t>
      </w:r>
      <w:r>
        <w:rPr>
          <w:spacing w:val="1"/>
        </w:rPr>
        <w:t> </w:t>
      </w:r>
      <w:r>
        <w:rPr/>
        <w:t>intake.</w:t>
      </w:r>
      <w:r>
        <w:rPr>
          <w:position w:val="9"/>
          <w:sz w:val="25"/>
        </w:rPr>
        <w:t>409</w:t>
      </w:r>
    </w:p>
    <w:p>
      <w:pPr>
        <w:pStyle w:val="Heading1"/>
        <w:spacing w:before="221"/>
        <w:jc w:val="both"/>
      </w:pPr>
      <w:r>
        <w:rPr/>
        <w:t>Gold enhances mood</w:t>
      </w:r>
    </w:p>
    <w:p>
      <w:pPr>
        <w:pStyle w:val="BodyText"/>
        <w:spacing w:line="276" w:lineRule="auto" w:before="300"/>
        <w:ind w:left="477" w:right="135"/>
        <w:jc w:val="both"/>
      </w:pPr>
      <w:r>
        <w:rPr/>
        <w:t>By</w:t>
      </w:r>
      <w:r>
        <w:rPr>
          <w:spacing w:val="-11"/>
        </w:rPr>
        <w:t> </w:t>
      </w:r>
      <w:r>
        <w:rPr/>
        <w:t>dispersing</w:t>
      </w:r>
      <w:r>
        <w:rPr>
          <w:spacing w:val="-10"/>
        </w:rPr>
        <w:t> </w:t>
      </w:r>
      <w:r>
        <w:rPr/>
        <w:t>internal</w:t>
      </w:r>
      <w:r>
        <w:rPr>
          <w:spacing w:val="-11"/>
        </w:rPr>
        <w:t> </w:t>
      </w:r>
      <w:r>
        <w:rPr/>
        <w:t>blockages,</w:t>
      </w:r>
      <w:r>
        <w:rPr>
          <w:spacing w:val="-12"/>
        </w:rPr>
        <w:t> </w:t>
      </w:r>
      <w:r>
        <w:rPr/>
        <w:t>calming</w:t>
      </w:r>
      <w:r>
        <w:rPr>
          <w:spacing w:val="-9"/>
        </w:rPr>
        <w:t> </w:t>
      </w:r>
      <w:r>
        <w:rPr/>
        <w:t>the</w:t>
      </w:r>
      <w:r>
        <w:rPr>
          <w:spacing w:val="-9"/>
        </w:rPr>
        <w:t> </w:t>
      </w:r>
      <w:r>
        <w:rPr/>
        <w:t>nervous</w:t>
      </w:r>
      <w:r>
        <w:rPr>
          <w:spacing w:val="-10"/>
        </w:rPr>
        <w:t> </w:t>
      </w:r>
      <w:r>
        <w:rPr/>
        <w:t>system</w:t>
      </w:r>
      <w:r>
        <w:rPr>
          <w:spacing w:val="-9"/>
        </w:rPr>
        <w:t> </w:t>
      </w:r>
      <w:r>
        <w:rPr/>
        <w:t>and</w:t>
      </w:r>
      <w:r>
        <w:rPr>
          <w:spacing w:val="-12"/>
        </w:rPr>
        <w:t> </w:t>
      </w:r>
      <w:r>
        <w:rPr/>
        <w:t>activating</w:t>
      </w:r>
      <w:r>
        <w:rPr>
          <w:spacing w:val="-10"/>
        </w:rPr>
        <w:t> </w:t>
      </w:r>
      <w:r>
        <w:rPr/>
        <w:t>the inner energy, gold provides inner relaxation and a harmonious perspective. Gold is also proven to stimulate the production of endorphin-like hormones that create a good mood and a harmonious inner</w:t>
      </w:r>
      <w:r>
        <w:rPr>
          <w:spacing w:val="-6"/>
        </w:rPr>
        <w:t> </w:t>
      </w:r>
      <w:r>
        <w:rPr/>
        <w:t>feeling.</w:t>
      </w:r>
    </w:p>
    <w:p>
      <w:pPr>
        <w:pStyle w:val="BodyText"/>
        <w:rPr>
          <w:sz w:val="20"/>
        </w:rPr>
      </w:pPr>
    </w:p>
    <w:p>
      <w:pPr>
        <w:pStyle w:val="BodyText"/>
        <w:rPr>
          <w:sz w:val="20"/>
        </w:rPr>
      </w:pPr>
    </w:p>
    <w:p>
      <w:pPr>
        <w:pStyle w:val="BodyText"/>
        <w:spacing w:before="3"/>
        <w:rPr>
          <w:sz w:val="18"/>
        </w:rPr>
      </w:pPr>
      <w:r>
        <w:rPr/>
        <w:pict>
          <v:line style="position:absolute;mso-position-horizontal-relative:page;mso-position-vertical-relative:paragraph;z-index:4856;mso-wrap-distance-left:0;mso-wrap-distance-right:0" from="63.863998pt,12.671265pt" to="207.883998pt,12.67126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409 </w:t>
      </w:r>
      <w:hyperlink r:id="rId164">
        <w:r>
          <w:rPr>
            <w:sz w:val="20"/>
          </w:rPr>
          <w:t>http://www.mh-training.at/mediaCache/Kolloidales_Silber_Gold_u_Zink_695054.pdf</w:t>
        </w:r>
      </w:hyperlink>
    </w:p>
    <w:p>
      <w:pPr>
        <w:spacing w:after="0"/>
        <w:jc w:val="left"/>
        <w:rPr>
          <w:sz w:val="20"/>
        </w:rPr>
        <w:sectPr>
          <w:pgSz w:w="14270" w:h="16850"/>
          <w:pgMar w:header="0" w:footer="1891" w:top="1600" w:bottom="2080" w:left="800" w:right="1280"/>
        </w:sectPr>
      </w:pPr>
    </w:p>
    <w:p>
      <w:pPr>
        <w:pStyle w:val="Heading1"/>
        <w:spacing w:before="164"/>
      </w:pPr>
      <w:r>
        <w:rPr/>
        <w:t>Colloidal gold increases performance and</w:t>
      </w:r>
      <w:r>
        <w:rPr>
          <w:spacing w:val="-68"/>
        </w:rPr>
        <w:t> </w:t>
      </w:r>
      <w:r>
        <w:rPr/>
        <w:t>energy</w:t>
      </w:r>
    </w:p>
    <w:p>
      <w:pPr>
        <w:pStyle w:val="BodyText"/>
        <w:spacing w:line="276" w:lineRule="auto" w:before="299"/>
        <w:ind w:left="477" w:right="133"/>
        <w:jc w:val="both"/>
      </w:pPr>
      <w:r>
        <w:rPr/>
        <w:t>The nano-sized, tiny gold particles spread at a rapid speed in the entire body (also</w:t>
      </w:r>
      <w:r>
        <w:rPr>
          <w:spacing w:val="-6"/>
        </w:rPr>
        <w:t> </w:t>
      </w:r>
      <w:r>
        <w:rPr/>
        <w:t>in</w:t>
      </w:r>
      <w:r>
        <w:rPr>
          <w:spacing w:val="-7"/>
        </w:rPr>
        <w:t> </w:t>
      </w:r>
      <w:r>
        <w:rPr/>
        <w:t>the</w:t>
      </w:r>
      <w:r>
        <w:rPr>
          <w:spacing w:val="-6"/>
        </w:rPr>
        <w:t> </w:t>
      </w:r>
      <w:r>
        <w:rPr/>
        <w:t>mitochondria,</w:t>
      </w:r>
      <w:r>
        <w:rPr>
          <w:spacing w:val="-5"/>
        </w:rPr>
        <w:t> </w:t>
      </w:r>
      <w:r>
        <w:rPr/>
        <w:t>the</w:t>
      </w:r>
      <w:r>
        <w:rPr>
          <w:spacing w:val="-10"/>
        </w:rPr>
        <w:t> </w:t>
      </w:r>
      <w:r>
        <w:rPr/>
        <w:t>‘power</w:t>
      </w:r>
      <w:r>
        <w:rPr>
          <w:spacing w:val="-6"/>
        </w:rPr>
        <w:t> </w:t>
      </w:r>
      <w:r>
        <w:rPr/>
        <w:t>plants’</w:t>
      </w:r>
      <w:r>
        <w:rPr>
          <w:spacing w:val="-5"/>
        </w:rPr>
        <w:t> </w:t>
      </w:r>
      <w:r>
        <w:rPr/>
        <w:t>of</w:t>
      </w:r>
      <w:r>
        <w:rPr>
          <w:spacing w:val="-11"/>
        </w:rPr>
        <w:t> </w:t>
      </w:r>
      <w:r>
        <w:rPr/>
        <w:t>our</w:t>
      </w:r>
      <w:r>
        <w:rPr>
          <w:spacing w:val="-7"/>
        </w:rPr>
        <w:t> </w:t>
      </w:r>
      <w:r>
        <w:rPr/>
        <w:t>cells)</w:t>
      </w:r>
      <w:r>
        <w:rPr>
          <w:spacing w:val="-6"/>
        </w:rPr>
        <w:t> </w:t>
      </w:r>
      <w:r>
        <w:rPr/>
        <w:t>and</w:t>
      </w:r>
      <w:r>
        <w:rPr>
          <w:spacing w:val="-7"/>
        </w:rPr>
        <w:t> </w:t>
      </w:r>
      <w:r>
        <w:rPr/>
        <w:t>bring</w:t>
      </w:r>
      <w:r>
        <w:rPr>
          <w:spacing w:val="-7"/>
        </w:rPr>
        <w:t> </w:t>
      </w:r>
      <w:r>
        <w:rPr/>
        <w:t>us</w:t>
      </w:r>
      <w:r>
        <w:rPr>
          <w:spacing w:val="-6"/>
        </w:rPr>
        <w:t> </w:t>
      </w:r>
      <w:r>
        <w:rPr/>
        <w:t>an</w:t>
      </w:r>
      <w:r>
        <w:rPr>
          <w:spacing w:val="-7"/>
        </w:rPr>
        <w:t> </w:t>
      </w:r>
      <w:r>
        <w:rPr/>
        <w:t>unex- pected energy boost. Due to the optimised intercellular communication, our physiological and mental performance increases noticeably and</w:t>
      </w:r>
      <w:r>
        <w:rPr>
          <w:spacing w:val="-16"/>
        </w:rPr>
        <w:t> </w:t>
      </w:r>
      <w:r>
        <w:rPr/>
        <w:t>measurably.</w:t>
      </w:r>
    </w:p>
    <w:p>
      <w:pPr>
        <w:pStyle w:val="Heading1"/>
        <w:spacing w:before="222"/>
      </w:pPr>
      <w:r>
        <w:rPr/>
        <w:t>Gold increases movement coordination</w:t>
      </w:r>
    </w:p>
    <w:p>
      <w:pPr>
        <w:pStyle w:val="BodyText"/>
        <w:spacing w:line="276" w:lineRule="auto" w:before="300"/>
        <w:ind w:left="477" w:right="135"/>
        <w:jc w:val="both"/>
      </w:pPr>
      <w:r>
        <w:rPr/>
        <w:t>Our movement coordination depends on the neural interaction between the cerebrum, spinal cord, motor nerve and ultimately muscle fibres. This commu- nication is controlled by electrical impulses, and as we read above, gold has the best electrical conductivity of all metals. The intake of colloidal gold enhances the electrical impulses within the nerve cells and therefore intramuscular coor- dination – something that benefits everyone, especially the elderly and</w:t>
      </w:r>
      <w:r>
        <w:rPr>
          <w:spacing w:val="-63"/>
        </w:rPr>
        <w:t> </w:t>
      </w:r>
      <w:r>
        <w:rPr/>
        <w:t>compet- itive athletes!</w:t>
      </w:r>
    </w:p>
    <w:p>
      <w:pPr>
        <w:pStyle w:val="Heading1"/>
        <w:spacing w:before="223"/>
      </w:pPr>
      <w:r>
        <w:rPr/>
        <w:t>Gold – a potent scavenger of free</w:t>
      </w:r>
      <w:r>
        <w:rPr>
          <w:spacing w:val="-74"/>
        </w:rPr>
        <w:t> </w:t>
      </w:r>
      <w:r>
        <w:rPr/>
        <w:t>radicals</w:t>
      </w:r>
    </w:p>
    <w:p>
      <w:pPr>
        <w:pStyle w:val="BodyText"/>
        <w:spacing w:line="276" w:lineRule="auto" w:before="300"/>
        <w:ind w:left="477" w:right="133"/>
        <w:jc w:val="both"/>
      </w:pPr>
      <w:r>
        <w:rPr/>
        <w:t>So-called free radicals are crucially responsible for ageing processes and count- less</w:t>
      </w:r>
      <w:r>
        <w:rPr>
          <w:spacing w:val="-19"/>
        </w:rPr>
        <w:t> </w:t>
      </w:r>
      <w:r>
        <w:rPr/>
        <w:t>diseases,</w:t>
      </w:r>
      <w:r>
        <w:rPr>
          <w:spacing w:val="-18"/>
        </w:rPr>
        <w:t> </w:t>
      </w:r>
      <w:r>
        <w:rPr/>
        <w:t>ranging</w:t>
      </w:r>
      <w:r>
        <w:rPr>
          <w:spacing w:val="-20"/>
        </w:rPr>
        <w:t> </w:t>
      </w:r>
      <w:r>
        <w:rPr/>
        <w:t>from</w:t>
      </w:r>
      <w:r>
        <w:rPr>
          <w:spacing w:val="-19"/>
        </w:rPr>
        <w:t> </w:t>
      </w:r>
      <w:r>
        <w:rPr/>
        <w:t>ADHD,</w:t>
      </w:r>
      <w:r>
        <w:rPr>
          <w:spacing w:val="-19"/>
        </w:rPr>
        <w:t> </w:t>
      </w:r>
      <w:r>
        <w:rPr/>
        <w:t>to</w:t>
      </w:r>
      <w:r>
        <w:rPr>
          <w:spacing w:val="-18"/>
        </w:rPr>
        <w:t> </w:t>
      </w:r>
      <w:r>
        <w:rPr/>
        <w:t>cardiovascular</w:t>
      </w:r>
      <w:r>
        <w:rPr>
          <w:spacing w:val="-20"/>
        </w:rPr>
        <w:t> </w:t>
      </w:r>
      <w:r>
        <w:rPr/>
        <w:t>diseases,</w:t>
      </w:r>
      <w:r>
        <w:rPr>
          <w:spacing w:val="-18"/>
        </w:rPr>
        <w:t> </w:t>
      </w:r>
      <w:r>
        <w:rPr/>
        <w:t>autoimmune</w:t>
      </w:r>
      <w:r>
        <w:rPr>
          <w:spacing w:val="-20"/>
        </w:rPr>
        <w:t> </w:t>
      </w:r>
      <w:r>
        <w:rPr/>
        <w:t>dis- eases such as multiple sclerosis and cancer. Because colloidal gold contributes to the production of two extremely effective radical scavengers (so-called</w:t>
      </w:r>
      <w:r>
        <w:rPr>
          <w:spacing w:val="-47"/>
        </w:rPr>
        <w:t> </w:t>
      </w:r>
      <w:r>
        <w:rPr/>
        <w:t>‘anti- oxidants’), namely glutathione and SOD, it protects against countless diseases and slows down the ageing</w:t>
      </w:r>
      <w:r>
        <w:rPr>
          <w:spacing w:val="2"/>
        </w:rPr>
        <w:t> </w:t>
      </w:r>
      <w:r>
        <w:rPr/>
        <w:t>process.</w:t>
      </w:r>
    </w:p>
    <w:p>
      <w:pPr>
        <w:pStyle w:val="Heading1"/>
        <w:spacing w:before="223"/>
        <w:jc w:val="both"/>
      </w:pPr>
      <w:r>
        <w:rPr/>
        <w:t>Colloidal gold stimulates the ‘Methuselah</w:t>
      </w:r>
      <w:r>
        <w:rPr>
          <w:spacing w:val="-71"/>
        </w:rPr>
        <w:t> </w:t>
      </w:r>
      <w:r>
        <w:rPr/>
        <w:t>enzyme’</w:t>
      </w:r>
    </w:p>
    <w:p>
      <w:pPr>
        <w:spacing w:after="0"/>
        <w:jc w:val="both"/>
        <w:sectPr>
          <w:pgSz w:w="14270" w:h="16850"/>
          <w:pgMar w:header="0" w:footer="1891" w:top="1600" w:bottom="2080" w:left="800" w:right="1280"/>
        </w:sectPr>
      </w:pPr>
    </w:p>
    <w:p>
      <w:pPr>
        <w:pStyle w:val="BodyText"/>
        <w:spacing w:line="276" w:lineRule="auto" w:before="181"/>
        <w:ind w:left="477" w:right="129"/>
        <w:jc w:val="both"/>
      </w:pPr>
      <w:r>
        <w:rPr/>
        <w:t>The enzyme SOD is our most important enzymatic antioxidant and mainly fends</w:t>
      </w:r>
      <w:r>
        <w:rPr>
          <w:spacing w:val="-14"/>
        </w:rPr>
        <w:t> </w:t>
      </w:r>
      <w:r>
        <w:rPr/>
        <w:t>off</w:t>
      </w:r>
      <w:r>
        <w:rPr>
          <w:spacing w:val="-14"/>
        </w:rPr>
        <w:t> </w:t>
      </w:r>
      <w:r>
        <w:rPr/>
        <w:t>the</w:t>
      </w:r>
      <w:r>
        <w:rPr>
          <w:spacing w:val="-13"/>
        </w:rPr>
        <w:t> </w:t>
      </w:r>
      <w:r>
        <w:rPr/>
        <w:t>most</w:t>
      </w:r>
      <w:r>
        <w:rPr>
          <w:spacing w:val="-14"/>
        </w:rPr>
        <w:t> </w:t>
      </w:r>
      <w:r>
        <w:rPr/>
        <w:t>dangerous</w:t>
      </w:r>
      <w:r>
        <w:rPr>
          <w:spacing w:val="-14"/>
        </w:rPr>
        <w:t> </w:t>
      </w:r>
      <w:r>
        <w:rPr/>
        <w:t>radicals</w:t>
      </w:r>
      <w:r>
        <w:rPr>
          <w:spacing w:val="-14"/>
        </w:rPr>
        <w:t> </w:t>
      </w:r>
      <w:r>
        <w:rPr/>
        <w:t>for</w:t>
      </w:r>
      <w:r>
        <w:rPr>
          <w:spacing w:val="-13"/>
        </w:rPr>
        <w:t> </w:t>
      </w:r>
      <w:r>
        <w:rPr/>
        <w:t>us</w:t>
      </w:r>
      <w:r>
        <w:rPr>
          <w:spacing w:val="-13"/>
        </w:rPr>
        <w:t> </w:t>
      </w:r>
      <w:r>
        <w:rPr/>
        <w:t>humans,</w:t>
      </w:r>
      <w:r>
        <w:rPr>
          <w:spacing w:val="-13"/>
        </w:rPr>
        <w:t> </w:t>
      </w:r>
      <w:r>
        <w:rPr/>
        <w:t>the</w:t>
      </w:r>
      <w:r>
        <w:rPr>
          <w:spacing w:val="-8"/>
        </w:rPr>
        <w:t> </w:t>
      </w:r>
      <w:r>
        <w:rPr/>
        <w:t>‘superoxides’.</w:t>
      </w:r>
      <w:r>
        <w:rPr>
          <w:spacing w:val="-13"/>
        </w:rPr>
        <w:t> </w:t>
      </w:r>
      <w:r>
        <w:rPr/>
        <w:t>Not</w:t>
      </w:r>
      <w:r>
        <w:rPr>
          <w:spacing w:val="-13"/>
        </w:rPr>
        <w:t> </w:t>
      </w:r>
      <w:r>
        <w:rPr/>
        <w:t>for nothing</w:t>
      </w:r>
      <w:r>
        <w:rPr>
          <w:spacing w:val="-11"/>
        </w:rPr>
        <w:t> </w:t>
      </w:r>
      <w:r>
        <w:rPr/>
        <w:t>is</w:t>
      </w:r>
      <w:r>
        <w:rPr>
          <w:spacing w:val="-11"/>
        </w:rPr>
        <w:t> </w:t>
      </w:r>
      <w:r>
        <w:rPr/>
        <w:t>the</w:t>
      </w:r>
      <w:r>
        <w:rPr>
          <w:spacing w:val="-11"/>
        </w:rPr>
        <w:t> </w:t>
      </w:r>
      <w:r>
        <w:rPr/>
        <w:t>SOD</w:t>
      </w:r>
      <w:r>
        <w:rPr>
          <w:spacing w:val="-12"/>
        </w:rPr>
        <w:t> </w:t>
      </w:r>
      <w:r>
        <w:rPr/>
        <w:t>also</w:t>
      </w:r>
      <w:r>
        <w:rPr>
          <w:spacing w:val="-11"/>
        </w:rPr>
        <w:t> </w:t>
      </w:r>
      <w:r>
        <w:rPr/>
        <w:t>dubbed</w:t>
      </w:r>
      <w:r>
        <w:rPr>
          <w:spacing w:val="-10"/>
        </w:rPr>
        <w:t> </w:t>
      </w:r>
      <w:r>
        <w:rPr/>
        <w:t>the</w:t>
      </w:r>
      <w:r>
        <w:rPr>
          <w:spacing w:val="-8"/>
        </w:rPr>
        <w:t> </w:t>
      </w:r>
      <w:r>
        <w:rPr/>
        <w:t>‘Methuselah</w:t>
      </w:r>
      <w:r>
        <w:rPr>
          <w:spacing w:val="-11"/>
        </w:rPr>
        <w:t> </w:t>
      </w:r>
      <w:r>
        <w:rPr/>
        <w:t>enzyme’.</w:t>
      </w:r>
      <w:r>
        <w:rPr>
          <w:spacing w:val="-10"/>
        </w:rPr>
        <w:t> </w:t>
      </w:r>
      <w:r>
        <w:rPr/>
        <w:t>The</w:t>
      </w:r>
      <w:r>
        <w:rPr>
          <w:spacing w:val="-11"/>
        </w:rPr>
        <w:t> </w:t>
      </w:r>
      <w:r>
        <w:rPr/>
        <w:t>function</w:t>
      </w:r>
      <w:r>
        <w:rPr>
          <w:spacing w:val="-10"/>
        </w:rPr>
        <w:t> </w:t>
      </w:r>
      <w:r>
        <w:rPr/>
        <w:t>of</w:t>
      </w:r>
      <w:r>
        <w:rPr>
          <w:spacing w:val="-11"/>
        </w:rPr>
        <w:t> </w:t>
      </w:r>
      <w:r>
        <w:rPr/>
        <w:t>glu- tathione,</w:t>
      </w:r>
      <w:r>
        <w:rPr>
          <w:spacing w:val="-18"/>
        </w:rPr>
        <w:t> </w:t>
      </w:r>
      <w:r>
        <w:rPr/>
        <w:t>a</w:t>
      </w:r>
      <w:r>
        <w:rPr>
          <w:spacing w:val="-20"/>
        </w:rPr>
        <w:t> </w:t>
      </w:r>
      <w:r>
        <w:rPr/>
        <w:t>very</w:t>
      </w:r>
      <w:r>
        <w:rPr>
          <w:spacing w:val="-18"/>
        </w:rPr>
        <w:t> </w:t>
      </w:r>
      <w:r>
        <w:rPr/>
        <w:t>potent</w:t>
      </w:r>
      <w:r>
        <w:rPr>
          <w:spacing w:val="-17"/>
        </w:rPr>
        <w:t> </w:t>
      </w:r>
      <w:r>
        <w:rPr/>
        <w:t>antioxidant</w:t>
      </w:r>
      <w:r>
        <w:rPr>
          <w:spacing w:val="-19"/>
        </w:rPr>
        <w:t> </w:t>
      </w:r>
      <w:r>
        <w:rPr/>
        <w:t>that</w:t>
      </w:r>
      <w:r>
        <w:rPr>
          <w:spacing w:val="-19"/>
        </w:rPr>
        <w:t> </w:t>
      </w:r>
      <w:r>
        <w:rPr/>
        <w:t>also</w:t>
      </w:r>
      <w:r>
        <w:rPr>
          <w:spacing w:val="-18"/>
        </w:rPr>
        <w:t> </w:t>
      </w:r>
      <w:r>
        <w:rPr/>
        <w:t>frees</w:t>
      </w:r>
      <w:r>
        <w:rPr>
          <w:spacing w:val="-17"/>
        </w:rPr>
        <w:t> </w:t>
      </w:r>
      <w:r>
        <w:rPr/>
        <w:t>our</w:t>
      </w:r>
      <w:r>
        <w:rPr>
          <w:spacing w:val="-19"/>
        </w:rPr>
        <w:t> </w:t>
      </w:r>
      <w:r>
        <w:rPr/>
        <w:t>bodies</w:t>
      </w:r>
      <w:r>
        <w:rPr>
          <w:spacing w:val="-18"/>
        </w:rPr>
        <w:t> </w:t>
      </w:r>
      <w:r>
        <w:rPr/>
        <w:t>from</w:t>
      </w:r>
      <w:r>
        <w:rPr>
          <w:spacing w:val="-20"/>
        </w:rPr>
        <w:t> </w:t>
      </w:r>
      <w:r>
        <w:rPr/>
        <w:t>inflammation and poisons, should also not be</w:t>
      </w:r>
      <w:r>
        <w:rPr>
          <w:spacing w:val="-3"/>
        </w:rPr>
        <w:t> </w:t>
      </w:r>
      <w:r>
        <w:rPr/>
        <w:t>underestimated.</w:t>
      </w:r>
    </w:p>
    <w:p>
      <w:pPr>
        <w:pStyle w:val="Heading1"/>
        <w:spacing w:before="223"/>
      </w:pPr>
      <w:r>
        <w:rPr/>
        <w:t>Gold stimulates the immune system</w:t>
      </w:r>
    </w:p>
    <w:p>
      <w:pPr>
        <w:pStyle w:val="BodyText"/>
        <w:spacing w:line="276" w:lineRule="auto" w:before="299"/>
        <w:ind w:left="477" w:right="132"/>
        <w:jc w:val="both"/>
      </w:pPr>
      <w:r>
        <w:rPr/>
        <w:t>In several studies, it has been shown that gold stimulates the phagocytes of the immune</w:t>
      </w:r>
      <w:r>
        <w:rPr>
          <w:spacing w:val="-7"/>
        </w:rPr>
        <w:t> </w:t>
      </w:r>
      <w:r>
        <w:rPr/>
        <w:t>system</w:t>
      </w:r>
      <w:r>
        <w:rPr>
          <w:spacing w:val="-6"/>
        </w:rPr>
        <w:t> </w:t>
      </w:r>
      <w:r>
        <w:rPr/>
        <w:t>(the</w:t>
      </w:r>
      <w:r>
        <w:rPr>
          <w:spacing w:val="-8"/>
        </w:rPr>
        <w:t> </w:t>
      </w:r>
      <w:r>
        <w:rPr/>
        <w:t>‘macrophages’).</w:t>
      </w:r>
      <w:r>
        <w:rPr>
          <w:spacing w:val="-6"/>
        </w:rPr>
        <w:t> </w:t>
      </w:r>
      <w:r>
        <w:rPr/>
        <w:t>However,</w:t>
      </w:r>
      <w:r>
        <w:rPr>
          <w:spacing w:val="-6"/>
        </w:rPr>
        <w:t> </w:t>
      </w:r>
      <w:r>
        <w:rPr/>
        <w:t>gold</w:t>
      </w:r>
      <w:r>
        <w:rPr>
          <w:spacing w:val="-7"/>
        </w:rPr>
        <w:t> </w:t>
      </w:r>
      <w:r>
        <w:rPr/>
        <w:t>does</w:t>
      </w:r>
      <w:r>
        <w:rPr>
          <w:spacing w:val="-6"/>
        </w:rPr>
        <w:t> </w:t>
      </w:r>
      <w:r>
        <w:rPr/>
        <w:t>not</w:t>
      </w:r>
      <w:r>
        <w:rPr>
          <w:spacing w:val="-7"/>
        </w:rPr>
        <w:t> </w:t>
      </w:r>
      <w:r>
        <w:rPr/>
        <w:t>just</w:t>
      </w:r>
      <w:r>
        <w:rPr>
          <w:spacing w:val="-9"/>
        </w:rPr>
        <w:t> </w:t>
      </w:r>
      <w:r>
        <w:rPr/>
        <w:t>act</w:t>
      </w:r>
      <w:r>
        <w:rPr>
          <w:spacing w:val="-8"/>
        </w:rPr>
        <w:t> </w:t>
      </w:r>
      <w:r>
        <w:rPr/>
        <w:t>as</w:t>
      </w:r>
      <w:r>
        <w:rPr>
          <w:spacing w:val="-7"/>
        </w:rPr>
        <w:t> </w:t>
      </w:r>
      <w:r>
        <w:rPr/>
        <w:t>a</w:t>
      </w:r>
      <w:r>
        <w:rPr>
          <w:spacing w:val="-8"/>
        </w:rPr>
        <w:t> </w:t>
      </w:r>
      <w:r>
        <w:rPr/>
        <w:t>stim- ulator, but rather as an intelligent regulator. This has the advantage that it does not</w:t>
      </w:r>
      <w:r>
        <w:rPr>
          <w:spacing w:val="-17"/>
        </w:rPr>
        <w:t> </w:t>
      </w:r>
      <w:r>
        <w:rPr/>
        <w:t>cause</w:t>
      </w:r>
      <w:r>
        <w:rPr>
          <w:spacing w:val="-16"/>
        </w:rPr>
        <w:t> </w:t>
      </w:r>
      <w:r>
        <w:rPr/>
        <w:t>excessive</w:t>
      </w:r>
      <w:r>
        <w:rPr>
          <w:spacing w:val="-16"/>
        </w:rPr>
        <w:t> </w:t>
      </w:r>
      <w:r>
        <w:rPr/>
        <w:t>immune</w:t>
      </w:r>
      <w:r>
        <w:rPr>
          <w:spacing w:val="-16"/>
        </w:rPr>
        <w:t> </w:t>
      </w:r>
      <w:r>
        <w:rPr/>
        <w:t>reactions,</w:t>
      </w:r>
      <w:r>
        <w:rPr>
          <w:spacing w:val="-14"/>
        </w:rPr>
        <w:t> </w:t>
      </w:r>
      <w:r>
        <w:rPr/>
        <w:t>which</w:t>
      </w:r>
      <w:r>
        <w:rPr>
          <w:spacing w:val="-14"/>
        </w:rPr>
        <w:t> </w:t>
      </w:r>
      <w:r>
        <w:rPr/>
        <w:t>in</w:t>
      </w:r>
      <w:r>
        <w:rPr>
          <w:spacing w:val="-16"/>
        </w:rPr>
        <w:t> </w:t>
      </w:r>
      <w:r>
        <w:rPr/>
        <w:t>themselves</w:t>
      </w:r>
      <w:r>
        <w:rPr>
          <w:spacing w:val="-15"/>
        </w:rPr>
        <w:t> </w:t>
      </w:r>
      <w:r>
        <w:rPr/>
        <w:t>can</w:t>
      </w:r>
      <w:r>
        <w:rPr>
          <w:spacing w:val="-14"/>
        </w:rPr>
        <w:t> </w:t>
      </w:r>
      <w:r>
        <w:rPr/>
        <w:t>lead</w:t>
      </w:r>
      <w:r>
        <w:rPr>
          <w:spacing w:val="-17"/>
        </w:rPr>
        <w:t> </w:t>
      </w:r>
      <w:r>
        <w:rPr/>
        <w:t>to</w:t>
      </w:r>
      <w:r>
        <w:rPr>
          <w:spacing w:val="-15"/>
        </w:rPr>
        <w:t> </w:t>
      </w:r>
      <w:r>
        <w:rPr/>
        <w:t>unpleas- ant symptoms and diseases (allergies, arthritis,</w:t>
      </w:r>
      <w:r>
        <w:rPr>
          <w:spacing w:val="1"/>
        </w:rPr>
        <w:t> </w:t>
      </w:r>
      <w:r>
        <w:rPr/>
        <w:t>etc.).</w:t>
      </w:r>
    </w:p>
    <w:p>
      <w:pPr>
        <w:pStyle w:val="Heading1"/>
        <w:spacing w:before="223"/>
      </w:pPr>
      <w:r>
        <w:rPr/>
        <w:t>Antibacterial and antiviral effects of</w:t>
      </w:r>
      <w:r>
        <w:rPr>
          <w:spacing w:val="-55"/>
        </w:rPr>
        <w:t> </w:t>
      </w:r>
      <w:r>
        <w:rPr/>
        <w:t>gold</w:t>
      </w:r>
    </w:p>
    <w:p>
      <w:pPr>
        <w:pStyle w:val="BodyText"/>
        <w:spacing w:line="276" w:lineRule="auto" w:before="299"/>
        <w:ind w:left="477" w:right="132"/>
        <w:jc w:val="both"/>
      </w:pPr>
      <w:r>
        <w:rPr/>
        <w:t>While colloidal silver, the ‘little sister’ of colloidal gold, is known to eliminate bacteria, viruses and fungi in a very short time, colloidal gold is also capable of effectively fighting bacteria and viruses. As already described in the preamble, gold colloids are, at only 0.126nm, about 2,000 times smaller than the smallest known bacterium. Gold owes its ability to penetrate and destroy bacteria, vi- ruses and other parasites to this fact. In addition to the immune-stimulating properties, gold can also attack directly and free us from unpleasant parasites!</w:t>
      </w:r>
    </w:p>
    <w:p>
      <w:pPr>
        <w:spacing w:after="0" w:line="276" w:lineRule="auto"/>
        <w:jc w:val="both"/>
        <w:sectPr>
          <w:footerReference w:type="default" r:id="rId165"/>
          <w:pgSz w:w="14270" w:h="16850"/>
          <w:pgMar w:footer="1891" w:header="0" w:top="1600" w:bottom="2080" w:left="800" w:right="1280"/>
          <w:pgNumType w:start="660"/>
        </w:sectPr>
      </w:pPr>
    </w:p>
    <w:p>
      <w:pPr>
        <w:pStyle w:val="BodyText"/>
        <w:spacing w:line="276" w:lineRule="auto" w:before="181"/>
        <w:ind w:left="477" w:right="132"/>
        <w:jc w:val="both"/>
        <w:rPr>
          <w:sz w:val="25"/>
        </w:rPr>
      </w:pPr>
      <w:r>
        <w:rPr/>
        <w:t>As</w:t>
      </w:r>
      <w:r>
        <w:rPr>
          <w:spacing w:val="-10"/>
        </w:rPr>
        <w:t> </w:t>
      </w:r>
      <w:r>
        <w:rPr/>
        <w:t>Robert</w:t>
      </w:r>
      <w:r>
        <w:rPr>
          <w:spacing w:val="-11"/>
        </w:rPr>
        <w:t> </w:t>
      </w:r>
      <w:r>
        <w:rPr/>
        <w:t>Koch</w:t>
      </w:r>
      <w:r>
        <w:rPr>
          <w:spacing w:val="-11"/>
        </w:rPr>
        <w:t> </w:t>
      </w:r>
      <w:r>
        <w:rPr/>
        <w:t>discovered</w:t>
      </w:r>
      <w:r>
        <w:rPr>
          <w:spacing w:val="-12"/>
        </w:rPr>
        <w:t> </w:t>
      </w:r>
      <w:r>
        <w:rPr/>
        <w:t>in</w:t>
      </w:r>
      <w:r>
        <w:rPr>
          <w:spacing w:val="-10"/>
        </w:rPr>
        <w:t> </w:t>
      </w:r>
      <w:r>
        <w:rPr/>
        <w:t>1890,</w:t>
      </w:r>
      <w:r>
        <w:rPr>
          <w:spacing w:val="-10"/>
        </w:rPr>
        <w:t> </w:t>
      </w:r>
      <w:r>
        <w:rPr/>
        <w:t>tuberculosis</w:t>
      </w:r>
      <w:r>
        <w:rPr>
          <w:spacing w:val="-9"/>
        </w:rPr>
        <w:t> </w:t>
      </w:r>
      <w:r>
        <w:rPr/>
        <w:t>bacteria</w:t>
      </w:r>
      <w:r>
        <w:rPr>
          <w:spacing w:val="-12"/>
        </w:rPr>
        <w:t> </w:t>
      </w:r>
      <w:r>
        <w:rPr/>
        <w:t>cannot</w:t>
      </w:r>
      <w:r>
        <w:rPr>
          <w:spacing w:val="-10"/>
        </w:rPr>
        <w:t> </w:t>
      </w:r>
      <w:r>
        <w:rPr/>
        <w:t>survive</w:t>
      </w:r>
      <w:r>
        <w:rPr>
          <w:spacing w:val="-11"/>
        </w:rPr>
        <w:t> </w:t>
      </w:r>
      <w:r>
        <w:rPr/>
        <w:t>in</w:t>
      </w:r>
      <w:r>
        <w:rPr>
          <w:spacing w:val="-9"/>
        </w:rPr>
        <w:t> </w:t>
      </w:r>
      <w:r>
        <w:rPr/>
        <w:t>the immediate vicinity of gold. An interesting study from 2011 and another from 2013 demonstrated the efficacy of gold nanoparticles against</w:t>
      </w:r>
      <w:r>
        <w:rPr>
          <w:spacing w:val="-14"/>
        </w:rPr>
        <w:t> </w:t>
      </w:r>
      <w:r>
        <w:rPr/>
        <w:t>salmonella.</w:t>
      </w:r>
      <w:r>
        <w:rPr>
          <w:position w:val="9"/>
          <w:sz w:val="25"/>
        </w:rPr>
        <w:t>410</w:t>
      </w:r>
    </w:p>
    <w:p>
      <w:pPr>
        <w:pStyle w:val="Heading1"/>
      </w:pPr>
      <w:r>
        <w:rPr/>
        <w:t>Protection against inflammation</w:t>
      </w:r>
    </w:p>
    <w:p>
      <w:pPr>
        <w:pStyle w:val="BodyText"/>
        <w:spacing w:line="276" w:lineRule="auto" w:before="300"/>
        <w:ind w:left="477" w:right="131"/>
        <w:jc w:val="both"/>
      </w:pPr>
      <w:r>
        <w:rPr/>
        <w:t>Chronic</w:t>
      </w:r>
      <w:r>
        <w:rPr>
          <w:spacing w:val="-21"/>
        </w:rPr>
        <w:t> </w:t>
      </w:r>
      <w:r>
        <w:rPr/>
        <w:t>inflammation</w:t>
      </w:r>
      <w:r>
        <w:rPr>
          <w:spacing w:val="-17"/>
        </w:rPr>
        <w:t> </w:t>
      </w:r>
      <w:r>
        <w:rPr/>
        <w:t>are</w:t>
      </w:r>
      <w:r>
        <w:rPr>
          <w:spacing w:val="-20"/>
        </w:rPr>
        <w:t> </w:t>
      </w:r>
      <w:r>
        <w:rPr/>
        <w:t>symptoms</w:t>
      </w:r>
      <w:r>
        <w:rPr>
          <w:spacing w:val="-19"/>
        </w:rPr>
        <w:t> </w:t>
      </w:r>
      <w:r>
        <w:rPr/>
        <w:t>of</w:t>
      </w:r>
      <w:r>
        <w:rPr>
          <w:spacing w:val="-20"/>
        </w:rPr>
        <w:t> </w:t>
      </w:r>
      <w:r>
        <w:rPr/>
        <w:t>many</w:t>
      </w:r>
      <w:r>
        <w:rPr>
          <w:spacing w:val="-19"/>
        </w:rPr>
        <w:t> </w:t>
      </w:r>
      <w:r>
        <w:rPr/>
        <w:t>diseases</w:t>
      </w:r>
      <w:r>
        <w:rPr>
          <w:spacing w:val="-19"/>
        </w:rPr>
        <w:t> </w:t>
      </w:r>
      <w:r>
        <w:rPr/>
        <w:t>and</w:t>
      </w:r>
      <w:r>
        <w:rPr>
          <w:spacing w:val="-19"/>
        </w:rPr>
        <w:t> </w:t>
      </w:r>
      <w:r>
        <w:rPr/>
        <w:t>not</w:t>
      </w:r>
      <w:r>
        <w:rPr>
          <w:spacing w:val="-20"/>
        </w:rPr>
        <w:t> </w:t>
      </w:r>
      <w:r>
        <w:rPr/>
        <w:t>infrequently,</w:t>
      </w:r>
      <w:r>
        <w:rPr>
          <w:spacing w:val="-19"/>
        </w:rPr>
        <w:t> </w:t>
      </w:r>
      <w:r>
        <w:rPr/>
        <w:t>but unfortunately,</w:t>
      </w:r>
      <w:r>
        <w:rPr>
          <w:spacing w:val="-18"/>
        </w:rPr>
        <w:t> </w:t>
      </w:r>
      <w:r>
        <w:rPr/>
        <w:t>are</w:t>
      </w:r>
      <w:r>
        <w:rPr>
          <w:spacing w:val="-19"/>
        </w:rPr>
        <w:t> </w:t>
      </w:r>
      <w:r>
        <w:rPr/>
        <w:t>causes</w:t>
      </w:r>
      <w:r>
        <w:rPr>
          <w:spacing w:val="-17"/>
        </w:rPr>
        <w:t> </w:t>
      </w:r>
      <w:r>
        <w:rPr/>
        <w:t>of</w:t>
      </w:r>
      <w:r>
        <w:rPr>
          <w:spacing w:val="-21"/>
        </w:rPr>
        <w:t> </w:t>
      </w:r>
      <w:r>
        <w:rPr/>
        <w:t>other</w:t>
      </w:r>
      <w:r>
        <w:rPr>
          <w:spacing w:val="-20"/>
        </w:rPr>
        <w:t> </w:t>
      </w:r>
      <w:r>
        <w:rPr/>
        <w:t>emerging</w:t>
      </w:r>
      <w:r>
        <w:rPr>
          <w:spacing w:val="-19"/>
        </w:rPr>
        <w:t> </w:t>
      </w:r>
      <w:r>
        <w:rPr/>
        <w:t>diseases</w:t>
      </w:r>
      <w:r>
        <w:rPr>
          <w:spacing w:val="-18"/>
        </w:rPr>
        <w:t> </w:t>
      </w:r>
      <w:r>
        <w:rPr/>
        <w:t>at</w:t>
      </w:r>
      <w:r>
        <w:rPr>
          <w:spacing w:val="-19"/>
        </w:rPr>
        <w:t> </w:t>
      </w:r>
      <w:r>
        <w:rPr/>
        <w:t>the</w:t>
      </w:r>
      <w:r>
        <w:rPr>
          <w:spacing w:val="-21"/>
        </w:rPr>
        <w:t> </w:t>
      </w:r>
      <w:r>
        <w:rPr/>
        <w:t>same</w:t>
      </w:r>
      <w:r>
        <w:rPr>
          <w:spacing w:val="-18"/>
        </w:rPr>
        <w:t> </w:t>
      </w:r>
      <w:r>
        <w:rPr/>
        <w:t>time</w:t>
      </w:r>
      <w:r>
        <w:rPr>
          <w:spacing w:val="-16"/>
        </w:rPr>
        <w:t> </w:t>
      </w:r>
      <w:r>
        <w:rPr/>
        <w:t>–</w:t>
      </w:r>
      <w:r>
        <w:rPr>
          <w:spacing w:val="-19"/>
        </w:rPr>
        <w:t> </w:t>
      </w:r>
      <w:r>
        <w:rPr/>
        <w:t>a</w:t>
      </w:r>
      <w:r>
        <w:rPr>
          <w:spacing w:val="-20"/>
        </w:rPr>
        <w:t> </w:t>
      </w:r>
      <w:r>
        <w:rPr/>
        <w:t>vicious circle, which must be broken as soon as possible. Also, inflammation has been shown</w:t>
      </w:r>
      <w:r>
        <w:rPr>
          <w:spacing w:val="-24"/>
        </w:rPr>
        <w:t> </w:t>
      </w:r>
      <w:r>
        <w:rPr/>
        <w:t>to</w:t>
      </w:r>
      <w:r>
        <w:rPr>
          <w:spacing w:val="-24"/>
        </w:rPr>
        <w:t> </w:t>
      </w:r>
      <w:r>
        <w:rPr/>
        <w:t>accelerate</w:t>
      </w:r>
      <w:r>
        <w:rPr>
          <w:spacing w:val="-24"/>
        </w:rPr>
        <w:t> </w:t>
      </w:r>
      <w:r>
        <w:rPr/>
        <w:t>our</w:t>
      </w:r>
      <w:r>
        <w:rPr>
          <w:spacing w:val="-23"/>
        </w:rPr>
        <w:t> </w:t>
      </w:r>
      <w:r>
        <w:rPr/>
        <w:t>biological</w:t>
      </w:r>
      <w:r>
        <w:rPr>
          <w:spacing w:val="-25"/>
        </w:rPr>
        <w:t> </w:t>
      </w:r>
      <w:r>
        <w:rPr/>
        <w:t>ageing</w:t>
      </w:r>
      <w:r>
        <w:rPr>
          <w:spacing w:val="-22"/>
        </w:rPr>
        <w:t> </w:t>
      </w:r>
      <w:r>
        <w:rPr/>
        <w:t>by,</w:t>
      </w:r>
      <w:r>
        <w:rPr>
          <w:spacing w:val="-25"/>
        </w:rPr>
        <w:t> </w:t>
      </w:r>
      <w:r>
        <w:rPr/>
        <w:t>not</w:t>
      </w:r>
      <w:r>
        <w:rPr>
          <w:spacing w:val="-25"/>
        </w:rPr>
        <w:t> </w:t>
      </w:r>
      <w:r>
        <w:rPr/>
        <w:t>least,</w:t>
      </w:r>
      <w:r>
        <w:rPr>
          <w:spacing w:val="-24"/>
        </w:rPr>
        <w:t> </w:t>
      </w:r>
      <w:r>
        <w:rPr/>
        <w:t>contributing</w:t>
      </w:r>
      <w:r>
        <w:rPr>
          <w:spacing w:val="-23"/>
        </w:rPr>
        <w:t> </w:t>
      </w:r>
      <w:r>
        <w:rPr/>
        <w:t>to</w:t>
      </w:r>
      <w:r>
        <w:rPr>
          <w:spacing w:val="-24"/>
        </w:rPr>
        <w:t> </w:t>
      </w:r>
      <w:r>
        <w:rPr/>
        <w:t>the</w:t>
      </w:r>
      <w:r>
        <w:rPr>
          <w:spacing w:val="-26"/>
        </w:rPr>
        <w:t> </w:t>
      </w:r>
      <w:r>
        <w:rPr/>
        <w:t>short- ening of our telomeres (the so-called ‘life lights’)!</w:t>
      </w:r>
    </w:p>
    <w:p>
      <w:pPr>
        <w:pStyle w:val="BodyText"/>
        <w:spacing w:line="276" w:lineRule="auto" w:before="240"/>
        <w:ind w:left="477" w:right="136"/>
        <w:jc w:val="both"/>
      </w:pPr>
      <w:r>
        <w:rPr/>
        <w:t>Not only in everyday therapy, but also in scientific studies, gold was able to demonstrate pronounced anti-inflammatory effects. Researchers at Karolinska University Hospital in Stockholm (Sweden) have recently shown that colloidal gold stimulates a protein called ‘HMGB 1’, a process that helps to reduce in- flammation.</w:t>
      </w:r>
    </w:p>
    <w:p>
      <w:pPr>
        <w:pStyle w:val="BodyText"/>
        <w:spacing w:line="276" w:lineRule="auto" w:before="239"/>
        <w:ind w:left="477" w:right="135"/>
        <w:jc w:val="both"/>
      </w:pPr>
      <w:r>
        <w:rPr/>
        <w:t>It is therefore little wonder that gold was successfully used for rheumatic dis- eases 100 years ago, for example in rheumatoid arthritis. However, the</w:t>
      </w:r>
      <w:r>
        <w:rPr>
          <w:spacing w:val="87"/>
        </w:rPr>
        <w:t> </w:t>
      </w:r>
      <w:r>
        <w:rPr/>
        <w:t>former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r>
        <w:rPr/>
        <w:pict>
          <v:line style="position:absolute;mso-position-horizontal-relative:page;mso-position-vertical-relative:paragraph;z-index:4880;mso-wrap-distance-left:0;mso-wrap-distance-right:0" from="63.863998pt,15.521265pt" to="207.883998pt,15.52126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410 </w:t>
      </w:r>
      <w:r>
        <w:rPr>
          <w:sz w:val="20"/>
        </w:rPr>
        <w:t>Brigitte Hamann, ‘Heilen mit Gold’ (‘Healing with Gold’) 2nd Edition 2015, p. 87</w:t>
      </w:r>
    </w:p>
    <w:p>
      <w:pPr>
        <w:spacing w:after="0"/>
        <w:jc w:val="left"/>
        <w:rPr>
          <w:sz w:val="20"/>
        </w:rPr>
        <w:sectPr>
          <w:pgSz w:w="14270" w:h="16850"/>
          <w:pgMar w:header="0" w:footer="1891" w:top="1600" w:bottom="2080" w:left="800" w:right="1280"/>
        </w:sectPr>
      </w:pPr>
    </w:p>
    <w:p>
      <w:pPr>
        <w:pStyle w:val="BodyText"/>
        <w:spacing w:line="276" w:lineRule="auto" w:before="181"/>
        <w:ind w:left="477" w:right="134"/>
        <w:jc w:val="both"/>
      </w:pPr>
      <w:r>
        <w:rPr/>
        <w:t>method of administration, a gold salt injection, turned out to be disadvanta- geous, since the gold salt injections led to side effects that colloidal gold does not have on its own (due to its purity)!</w:t>
      </w:r>
    </w:p>
    <w:p>
      <w:pPr>
        <w:pStyle w:val="Heading1"/>
      </w:pPr>
      <w:r>
        <w:rPr/>
        <w:t>Colloidal gold repairs our DNA</w:t>
      </w:r>
    </w:p>
    <w:p>
      <w:pPr>
        <w:pStyle w:val="BodyText"/>
        <w:spacing w:line="276" w:lineRule="auto" w:before="300"/>
        <w:ind w:left="477" w:right="130"/>
        <w:jc w:val="both"/>
      </w:pPr>
      <w:r>
        <w:rPr/>
        <w:t>The entire genetic life programming of a cell is encoded within our DNA. In cooperation with the RNA, the DNA controls all body processes at the cell level, including the necessary repair of cell damage occurring daily within cell metabolism.</w:t>
      </w:r>
      <w:r>
        <w:rPr>
          <w:spacing w:val="-18"/>
        </w:rPr>
        <w:t> </w:t>
      </w:r>
      <w:r>
        <w:rPr/>
        <w:t>As</w:t>
      </w:r>
      <w:r>
        <w:rPr>
          <w:spacing w:val="-23"/>
        </w:rPr>
        <w:t> </w:t>
      </w:r>
      <w:r>
        <w:rPr/>
        <w:t>colloidal</w:t>
      </w:r>
      <w:r>
        <w:rPr>
          <w:spacing w:val="-20"/>
        </w:rPr>
        <w:t> </w:t>
      </w:r>
      <w:r>
        <w:rPr/>
        <w:t>gold</w:t>
      </w:r>
      <w:r>
        <w:rPr>
          <w:spacing w:val="-20"/>
        </w:rPr>
        <w:t> </w:t>
      </w:r>
      <w:r>
        <w:rPr/>
        <w:t>improves</w:t>
      </w:r>
      <w:r>
        <w:rPr>
          <w:spacing w:val="-20"/>
        </w:rPr>
        <w:t> </w:t>
      </w:r>
      <w:r>
        <w:rPr/>
        <w:t>the</w:t>
      </w:r>
      <w:r>
        <w:rPr>
          <w:spacing w:val="-18"/>
        </w:rPr>
        <w:t> </w:t>
      </w:r>
      <w:r>
        <w:rPr/>
        <w:t>flow</w:t>
      </w:r>
      <w:r>
        <w:rPr>
          <w:spacing w:val="-24"/>
        </w:rPr>
        <w:t> </w:t>
      </w:r>
      <w:r>
        <w:rPr/>
        <w:t>of</w:t>
      </w:r>
      <w:r>
        <w:rPr>
          <w:spacing w:val="-19"/>
        </w:rPr>
        <w:t> </w:t>
      </w:r>
      <w:r>
        <w:rPr/>
        <w:t>information</w:t>
      </w:r>
      <w:r>
        <w:rPr>
          <w:spacing w:val="-21"/>
        </w:rPr>
        <w:t> </w:t>
      </w:r>
      <w:r>
        <w:rPr/>
        <w:t>from</w:t>
      </w:r>
      <w:r>
        <w:rPr>
          <w:spacing w:val="-19"/>
        </w:rPr>
        <w:t> </w:t>
      </w:r>
      <w:r>
        <w:rPr/>
        <w:t>our</w:t>
      </w:r>
      <w:r>
        <w:rPr>
          <w:spacing w:val="-20"/>
        </w:rPr>
        <w:t> </w:t>
      </w:r>
      <w:r>
        <w:rPr/>
        <w:t>DNA (genetic material) by 10,000 times, gold plays a crucial role in DNA repair. The body uses gold molecules to repair DNA damage. Facts confirmed by Dr. Ga- briel Cousens, among</w:t>
      </w:r>
      <w:r>
        <w:rPr>
          <w:spacing w:val="1"/>
        </w:rPr>
        <w:t> </w:t>
      </w:r>
      <w:r>
        <w:rPr/>
        <w:t>others.</w:t>
      </w:r>
    </w:p>
    <w:p>
      <w:pPr>
        <w:pStyle w:val="BodyText"/>
        <w:spacing w:line="276" w:lineRule="auto" w:before="238"/>
        <w:ind w:left="477" w:right="140"/>
        <w:jc w:val="both"/>
      </w:pPr>
      <w:r>
        <w:rPr/>
        <w:t>It</w:t>
      </w:r>
      <w:r>
        <w:rPr>
          <w:spacing w:val="-8"/>
        </w:rPr>
        <w:t> </w:t>
      </w:r>
      <w:r>
        <w:rPr/>
        <w:t>has</w:t>
      </w:r>
      <w:r>
        <w:rPr>
          <w:spacing w:val="-7"/>
        </w:rPr>
        <w:t> </w:t>
      </w:r>
      <w:r>
        <w:rPr/>
        <w:t>been</w:t>
      </w:r>
      <w:r>
        <w:rPr>
          <w:spacing w:val="-6"/>
        </w:rPr>
        <w:t> </w:t>
      </w:r>
      <w:r>
        <w:rPr/>
        <w:t>proven</w:t>
      </w:r>
      <w:r>
        <w:rPr>
          <w:spacing w:val="-7"/>
        </w:rPr>
        <w:t> </w:t>
      </w:r>
      <w:r>
        <w:rPr/>
        <w:t>that</w:t>
      </w:r>
      <w:r>
        <w:rPr>
          <w:spacing w:val="-7"/>
        </w:rPr>
        <w:t> </w:t>
      </w:r>
      <w:r>
        <w:rPr/>
        <w:t>DNA</w:t>
      </w:r>
      <w:r>
        <w:rPr>
          <w:spacing w:val="-7"/>
        </w:rPr>
        <w:t> </w:t>
      </w:r>
      <w:r>
        <w:rPr/>
        <w:t>repair</w:t>
      </w:r>
      <w:r>
        <w:rPr>
          <w:spacing w:val="-6"/>
        </w:rPr>
        <w:t> </w:t>
      </w:r>
      <w:r>
        <w:rPr/>
        <w:t>is</w:t>
      </w:r>
      <w:r>
        <w:rPr>
          <w:spacing w:val="-8"/>
        </w:rPr>
        <w:t> </w:t>
      </w:r>
      <w:r>
        <w:rPr/>
        <w:t>also</w:t>
      </w:r>
      <w:r>
        <w:rPr>
          <w:spacing w:val="-7"/>
        </w:rPr>
        <w:t> </w:t>
      </w:r>
      <w:r>
        <w:rPr/>
        <w:t>supported</w:t>
      </w:r>
      <w:r>
        <w:rPr>
          <w:spacing w:val="-8"/>
        </w:rPr>
        <w:t> </w:t>
      </w:r>
      <w:r>
        <w:rPr/>
        <w:t>by</w:t>
      </w:r>
      <w:r>
        <w:rPr>
          <w:spacing w:val="-6"/>
        </w:rPr>
        <w:t> </w:t>
      </w:r>
      <w:r>
        <w:rPr/>
        <w:t>glutathione</w:t>
      </w:r>
      <w:r>
        <w:rPr>
          <w:spacing w:val="-8"/>
        </w:rPr>
        <w:t> </w:t>
      </w:r>
      <w:r>
        <w:rPr/>
        <w:t>contained in colloidal</w:t>
      </w:r>
      <w:r>
        <w:rPr>
          <w:spacing w:val="-1"/>
        </w:rPr>
        <w:t> </w:t>
      </w:r>
      <w:r>
        <w:rPr/>
        <w:t>gold.</w:t>
      </w:r>
    </w:p>
    <w:p>
      <w:pPr>
        <w:pStyle w:val="Heading1"/>
      </w:pPr>
      <w:r>
        <w:rPr/>
        <w:t>Colloidal gold reactivates our glandular</w:t>
      </w:r>
      <w:r>
        <w:rPr>
          <w:spacing w:val="-62"/>
        </w:rPr>
        <w:t> </w:t>
      </w:r>
      <w:r>
        <w:rPr/>
        <w:t>system</w:t>
      </w:r>
    </w:p>
    <w:p>
      <w:pPr>
        <w:pStyle w:val="BodyText"/>
        <w:spacing w:line="276" w:lineRule="auto" w:before="299"/>
        <w:ind w:left="477" w:right="138"/>
        <w:jc w:val="both"/>
      </w:pPr>
      <w:r>
        <w:rPr/>
        <w:t>Glands are important organs that control vital processes in the body, produce hormones, secretions and sweat.</w:t>
      </w:r>
    </w:p>
    <w:p>
      <w:pPr>
        <w:pStyle w:val="BodyText"/>
        <w:spacing w:line="276" w:lineRule="auto" w:before="241"/>
        <w:ind w:left="477" w:right="133"/>
        <w:jc w:val="both"/>
      </w:pPr>
      <w:r>
        <w:rPr/>
        <w:t>The</w:t>
      </w:r>
      <w:r>
        <w:rPr>
          <w:spacing w:val="-16"/>
        </w:rPr>
        <w:t> </w:t>
      </w:r>
      <w:r>
        <w:rPr/>
        <w:t>ageing</w:t>
      </w:r>
      <w:r>
        <w:rPr>
          <w:spacing w:val="-16"/>
        </w:rPr>
        <w:t> </w:t>
      </w:r>
      <w:r>
        <w:rPr/>
        <w:t>of</w:t>
      </w:r>
      <w:r>
        <w:rPr>
          <w:spacing w:val="-16"/>
        </w:rPr>
        <w:t> </w:t>
      </w:r>
      <w:r>
        <w:rPr/>
        <w:t>our</w:t>
      </w:r>
      <w:r>
        <w:rPr>
          <w:spacing w:val="-17"/>
        </w:rPr>
        <w:t> </w:t>
      </w:r>
      <w:r>
        <w:rPr/>
        <w:t>glandular</w:t>
      </w:r>
      <w:r>
        <w:rPr>
          <w:spacing w:val="-16"/>
        </w:rPr>
        <w:t> </w:t>
      </w:r>
      <w:r>
        <w:rPr/>
        <w:t>system</w:t>
      </w:r>
      <w:r>
        <w:rPr>
          <w:spacing w:val="-16"/>
        </w:rPr>
        <w:t> </w:t>
      </w:r>
      <w:r>
        <w:rPr/>
        <w:t>is</w:t>
      </w:r>
      <w:r>
        <w:rPr>
          <w:spacing w:val="-17"/>
        </w:rPr>
        <w:t> </w:t>
      </w:r>
      <w:r>
        <w:rPr/>
        <w:t>generally</w:t>
      </w:r>
      <w:r>
        <w:rPr>
          <w:spacing w:val="-16"/>
        </w:rPr>
        <w:t> </w:t>
      </w:r>
      <w:r>
        <w:rPr/>
        <w:t>associated</w:t>
      </w:r>
      <w:r>
        <w:rPr>
          <w:spacing w:val="-17"/>
        </w:rPr>
        <w:t> </w:t>
      </w:r>
      <w:r>
        <w:rPr/>
        <w:t>with</w:t>
      </w:r>
      <w:r>
        <w:rPr>
          <w:spacing w:val="-16"/>
        </w:rPr>
        <w:t> </w:t>
      </w:r>
      <w:r>
        <w:rPr/>
        <w:t>loss</w:t>
      </w:r>
      <w:r>
        <w:rPr>
          <w:spacing w:val="-16"/>
        </w:rPr>
        <w:t> </w:t>
      </w:r>
      <w:r>
        <w:rPr/>
        <w:t>of</w:t>
      </w:r>
      <w:r>
        <w:rPr>
          <w:spacing w:val="-16"/>
        </w:rPr>
        <w:t> </w:t>
      </w:r>
      <w:r>
        <w:rPr/>
        <w:t>functions and numerous diseases and complaints. From the release of hormones to the need-based regulation of our body temperature, glands take on vital</w:t>
      </w:r>
      <w:r>
        <w:rPr>
          <w:spacing w:val="-20"/>
        </w:rPr>
        <w:t> </w:t>
      </w:r>
      <w:r>
        <w:rPr/>
        <w:t>tasks.</w:t>
      </w:r>
    </w:p>
    <w:p>
      <w:pPr>
        <w:spacing w:after="0" w:line="276" w:lineRule="auto"/>
        <w:jc w:val="both"/>
        <w:sectPr>
          <w:pgSz w:w="14270" w:h="16850"/>
          <w:pgMar w:header="0" w:footer="1891" w:top="1600" w:bottom="2080" w:left="800" w:right="1280"/>
        </w:sectPr>
      </w:pPr>
    </w:p>
    <w:p>
      <w:pPr>
        <w:pStyle w:val="BodyText"/>
        <w:spacing w:line="276" w:lineRule="auto" w:before="181"/>
        <w:ind w:left="477" w:right="131"/>
        <w:jc w:val="both"/>
      </w:pPr>
      <w:r>
        <w:rPr/>
        <w:t>Millions of glands are distributed throughout the body of every human being. Depending on the place of release, a distinction is made between endocrine glands</w:t>
      </w:r>
      <w:r>
        <w:rPr>
          <w:spacing w:val="-12"/>
        </w:rPr>
        <w:t> </w:t>
      </w:r>
      <w:r>
        <w:rPr/>
        <w:t>and</w:t>
      </w:r>
      <w:r>
        <w:rPr>
          <w:spacing w:val="-11"/>
        </w:rPr>
        <w:t> </w:t>
      </w:r>
      <w:r>
        <w:rPr/>
        <w:t>exocrine</w:t>
      </w:r>
      <w:r>
        <w:rPr>
          <w:spacing w:val="-11"/>
        </w:rPr>
        <w:t> </w:t>
      </w:r>
      <w:r>
        <w:rPr/>
        <w:t>glands.</w:t>
      </w:r>
      <w:r>
        <w:rPr>
          <w:spacing w:val="-11"/>
        </w:rPr>
        <w:t> </w:t>
      </w:r>
      <w:r>
        <w:rPr/>
        <w:t>Endocrine</w:t>
      </w:r>
      <w:r>
        <w:rPr>
          <w:spacing w:val="-11"/>
        </w:rPr>
        <w:t> </w:t>
      </w:r>
      <w:r>
        <w:rPr/>
        <w:t>glands</w:t>
      </w:r>
      <w:r>
        <w:rPr>
          <w:spacing w:val="-10"/>
        </w:rPr>
        <w:t> </w:t>
      </w:r>
      <w:r>
        <w:rPr/>
        <w:t>give</w:t>
      </w:r>
      <w:r>
        <w:rPr>
          <w:spacing w:val="-14"/>
        </w:rPr>
        <w:t> </w:t>
      </w:r>
      <w:r>
        <w:rPr/>
        <w:t>off</w:t>
      </w:r>
      <w:r>
        <w:rPr>
          <w:spacing w:val="-11"/>
        </w:rPr>
        <w:t> </w:t>
      </w:r>
      <w:r>
        <w:rPr/>
        <w:t>secretions</w:t>
      </w:r>
      <w:r>
        <w:rPr>
          <w:spacing w:val="-12"/>
        </w:rPr>
        <w:t> </w:t>
      </w:r>
      <w:r>
        <w:rPr/>
        <w:t>into</w:t>
      </w:r>
      <w:r>
        <w:rPr>
          <w:spacing w:val="-11"/>
        </w:rPr>
        <w:t> </w:t>
      </w:r>
      <w:r>
        <w:rPr/>
        <w:t>the</w:t>
      </w:r>
      <w:r>
        <w:rPr>
          <w:spacing w:val="-11"/>
        </w:rPr>
        <w:t> </w:t>
      </w:r>
      <w:r>
        <w:rPr/>
        <w:t>blood vessel system, while exocrine glands secrete onto internal or external</w:t>
      </w:r>
      <w:r>
        <w:rPr>
          <w:spacing w:val="-24"/>
        </w:rPr>
        <w:t> </w:t>
      </w:r>
      <w:r>
        <w:rPr/>
        <w:t>surfaces.</w:t>
      </w:r>
    </w:p>
    <w:p>
      <w:pPr>
        <w:pStyle w:val="Heading2"/>
        <w:spacing w:before="242"/>
        <w:jc w:val="both"/>
      </w:pPr>
      <w:r>
        <w:rPr/>
        <w:t>Endocrine glands</w:t>
      </w:r>
    </w:p>
    <w:p>
      <w:pPr>
        <w:pStyle w:val="ListParagraph"/>
        <w:numPr>
          <w:ilvl w:val="0"/>
          <w:numId w:val="40"/>
        </w:numPr>
        <w:tabs>
          <w:tab w:pos="477" w:val="left" w:leader="none"/>
          <w:tab w:pos="478" w:val="left" w:leader="none"/>
        </w:tabs>
        <w:spacing w:line="240" w:lineRule="auto" w:before="302" w:after="0"/>
        <w:ind w:left="477" w:right="0" w:hanging="361"/>
        <w:jc w:val="left"/>
        <w:rPr>
          <w:rFonts w:ascii="Symbol"/>
          <w:sz w:val="20"/>
        </w:rPr>
      </w:pPr>
      <w:r>
        <w:rPr>
          <w:sz w:val="38"/>
        </w:rPr>
        <w:t>Parathyroid</w:t>
      </w:r>
      <w:r>
        <w:rPr>
          <w:spacing w:val="-2"/>
          <w:sz w:val="38"/>
        </w:rPr>
        <w:t> </w:t>
      </w:r>
      <w:r>
        <w:rPr>
          <w:sz w:val="38"/>
        </w:rPr>
        <w:t>gland</w:t>
      </w:r>
    </w:p>
    <w:p>
      <w:pPr>
        <w:pStyle w:val="ListParagraph"/>
        <w:numPr>
          <w:ilvl w:val="0"/>
          <w:numId w:val="40"/>
        </w:numPr>
        <w:tabs>
          <w:tab w:pos="477" w:val="left" w:leader="none"/>
          <w:tab w:pos="478" w:val="left" w:leader="none"/>
        </w:tabs>
        <w:spacing w:line="240" w:lineRule="auto" w:before="305" w:after="0"/>
        <w:ind w:left="477" w:right="0" w:hanging="361"/>
        <w:jc w:val="left"/>
        <w:rPr>
          <w:rFonts w:ascii="Symbol"/>
          <w:sz w:val="20"/>
        </w:rPr>
      </w:pPr>
      <w:r>
        <w:rPr>
          <w:sz w:val="38"/>
        </w:rPr>
        <w:t>Thyroid gland</w:t>
      </w:r>
    </w:p>
    <w:p>
      <w:pPr>
        <w:pStyle w:val="ListParagraph"/>
        <w:numPr>
          <w:ilvl w:val="0"/>
          <w:numId w:val="40"/>
        </w:numPr>
        <w:tabs>
          <w:tab w:pos="477" w:val="left" w:leader="none"/>
          <w:tab w:pos="478" w:val="left" w:leader="none"/>
        </w:tabs>
        <w:spacing w:line="240" w:lineRule="auto" w:before="305" w:after="0"/>
        <w:ind w:left="477" w:right="0" w:hanging="361"/>
        <w:jc w:val="left"/>
        <w:rPr>
          <w:rFonts w:ascii="Symbol"/>
          <w:sz w:val="20"/>
        </w:rPr>
      </w:pPr>
      <w:r>
        <w:rPr>
          <w:sz w:val="38"/>
        </w:rPr>
        <w:t>Pituitary gland</w:t>
      </w:r>
    </w:p>
    <w:p>
      <w:pPr>
        <w:pStyle w:val="ListParagraph"/>
        <w:numPr>
          <w:ilvl w:val="0"/>
          <w:numId w:val="40"/>
        </w:numPr>
        <w:tabs>
          <w:tab w:pos="477" w:val="left" w:leader="none"/>
          <w:tab w:pos="478" w:val="left" w:leader="none"/>
        </w:tabs>
        <w:spacing w:line="240" w:lineRule="auto" w:before="304" w:after="0"/>
        <w:ind w:left="477" w:right="0" w:hanging="361"/>
        <w:jc w:val="left"/>
        <w:rPr>
          <w:rFonts w:ascii="Symbol"/>
          <w:sz w:val="20"/>
        </w:rPr>
      </w:pPr>
      <w:r>
        <w:rPr>
          <w:sz w:val="38"/>
        </w:rPr>
        <w:t>Leydig cells of the</w:t>
      </w:r>
      <w:r>
        <w:rPr>
          <w:spacing w:val="4"/>
          <w:sz w:val="38"/>
        </w:rPr>
        <w:t> </w:t>
      </w:r>
      <w:r>
        <w:rPr>
          <w:sz w:val="38"/>
        </w:rPr>
        <w:t>testicle</w:t>
      </w:r>
    </w:p>
    <w:p>
      <w:pPr>
        <w:pStyle w:val="ListParagraph"/>
        <w:numPr>
          <w:ilvl w:val="0"/>
          <w:numId w:val="40"/>
        </w:numPr>
        <w:tabs>
          <w:tab w:pos="477" w:val="left" w:leader="none"/>
          <w:tab w:pos="478" w:val="left" w:leader="none"/>
        </w:tabs>
        <w:spacing w:line="240" w:lineRule="auto" w:before="305" w:after="0"/>
        <w:ind w:left="477" w:right="0" w:hanging="361"/>
        <w:jc w:val="left"/>
        <w:rPr>
          <w:rFonts w:ascii="Symbol"/>
          <w:sz w:val="20"/>
        </w:rPr>
      </w:pPr>
      <w:r>
        <w:rPr>
          <w:sz w:val="38"/>
        </w:rPr>
        <w:t>Enterochromaffin cell</w:t>
      </w:r>
    </w:p>
    <w:p>
      <w:pPr>
        <w:pStyle w:val="ListParagraph"/>
        <w:numPr>
          <w:ilvl w:val="0"/>
          <w:numId w:val="40"/>
        </w:numPr>
        <w:tabs>
          <w:tab w:pos="477" w:val="left" w:leader="none"/>
          <w:tab w:pos="478" w:val="left" w:leader="none"/>
        </w:tabs>
        <w:spacing w:line="240" w:lineRule="auto" w:before="305" w:after="0"/>
        <w:ind w:left="477" w:right="0" w:hanging="361"/>
        <w:jc w:val="left"/>
        <w:rPr>
          <w:rFonts w:ascii="Symbol"/>
          <w:sz w:val="20"/>
        </w:rPr>
      </w:pPr>
      <w:r>
        <w:rPr>
          <w:sz w:val="38"/>
        </w:rPr>
        <w:t>Islet cells of the pancreas</w:t>
      </w:r>
    </w:p>
    <w:p>
      <w:pPr>
        <w:pStyle w:val="ListParagraph"/>
        <w:numPr>
          <w:ilvl w:val="0"/>
          <w:numId w:val="40"/>
        </w:numPr>
        <w:tabs>
          <w:tab w:pos="477" w:val="left" w:leader="none"/>
          <w:tab w:pos="478" w:val="left" w:leader="none"/>
        </w:tabs>
        <w:spacing w:line="410" w:lineRule="auto" w:before="302" w:after="0"/>
        <w:ind w:left="477" w:right="9332" w:hanging="361"/>
        <w:jc w:val="left"/>
        <w:rPr>
          <w:rFonts w:ascii="Symbol"/>
          <w:sz w:val="20"/>
        </w:rPr>
      </w:pPr>
      <w:r>
        <w:rPr>
          <w:sz w:val="38"/>
        </w:rPr>
        <w:t>Pineal gland Exocrine</w:t>
      </w:r>
      <w:r>
        <w:rPr>
          <w:spacing w:val="-8"/>
          <w:sz w:val="38"/>
        </w:rPr>
        <w:t> </w:t>
      </w:r>
      <w:r>
        <w:rPr>
          <w:sz w:val="38"/>
        </w:rPr>
        <w:t>glands</w:t>
      </w:r>
    </w:p>
    <w:p>
      <w:pPr>
        <w:pStyle w:val="ListParagraph"/>
        <w:numPr>
          <w:ilvl w:val="0"/>
          <w:numId w:val="40"/>
        </w:numPr>
        <w:tabs>
          <w:tab w:pos="477" w:val="left" w:leader="none"/>
          <w:tab w:pos="478" w:val="left" w:leader="none"/>
        </w:tabs>
        <w:spacing w:line="240" w:lineRule="auto" w:before="2" w:after="0"/>
        <w:ind w:left="477" w:right="0" w:hanging="361"/>
        <w:jc w:val="left"/>
        <w:rPr>
          <w:rFonts w:ascii="Symbol"/>
          <w:sz w:val="20"/>
        </w:rPr>
      </w:pPr>
      <w:r>
        <w:rPr>
          <w:sz w:val="38"/>
        </w:rPr>
        <w:t>Sweat</w:t>
      </w:r>
    </w:p>
    <w:p>
      <w:pPr>
        <w:pStyle w:val="ListParagraph"/>
        <w:numPr>
          <w:ilvl w:val="0"/>
          <w:numId w:val="40"/>
        </w:numPr>
        <w:tabs>
          <w:tab w:pos="477" w:val="left" w:leader="none"/>
          <w:tab w:pos="478" w:val="left" w:leader="none"/>
        </w:tabs>
        <w:spacing w:line="240" w:lineRule="auto" w:before="304" w:after="0"/>
        <w:ind w:left="477" w:right="0" w:hanging="361"/>
        <w:jc w:val="left"/>
        <w:rPr>
          <w:rFonts w:ascii="Symbol"/>
          <w:sz w:val="20"/>
        </w:rPr>
      </w:pPr>
      <w:r>
        <w:rPr>
          <w:sz w:val="38"/>
        </w:rPr>
        <w:t>Sebaceous</w:t>
      </w:r>
      <w:r>
        <w:rPr>
          <w:spacing w:val="-1"/>
          <w:sz w:val="38"/>
        </w:rPr>
        <w:t> </w:t>
      </w:r>
      <w:r>
        <w:rPr>
          <w:sz w:val="38"/>
        </w:rPr>
        <w:t>glands</w:t>
      </w:r>
    </w:p>
    <w:p>
      <w:pPr>
        <w:pStyle w:val="ListParagraph"/>
        <w:numPr>
          <w:ilvl w:val="0"/>
          <w:numId w:val="40"/>
        </w:numPr>
        <w:tabs>
          <w:tab w:pos="477" w:val="left" w:leader="none"/>
          <w:tab w:pos="478" w:val="left" w:leader="none"/>
        </w:tabs>
        <w:spacing w:line="240" w:lineRule="auto" w:before="305" w:after="0"/>
        <w:ind w:left="477" w:right="0" w:hanging="361"/>
        <w:jc w:val="left"/>
        <w:rPr>
          <w:rFonts w:ascii="Symbol"/>
          <w:sz w:val="20"/>
        </w:rPr>
      </w:pPr>
      <w:r>
        <w:rPr>
          <w:sz w:val="38"/>
        </w:rPr>
        <w:t>Salivary</w:t>
      </w:r>
      <w:r>
        <w:rPr>
          <w:spacing w:val="-1"/>
          <w:sz w:val="38"/>
        </w:rPr>
        <w:t> </w:t>
      </w:r>
      <w:r>
        <w:rPr>
          <w:sz w:val="38"/>
        </w:rPr>
        <w:t>glands</w:t>
      </w:r>
    </w:p>
    <w:p>
      <w:pPr>
        <w:pStyle w:val="ListParagraph"/>
        <w:numPr>
          <w:ilvl w:val="0"/>
          <w:numId w:val="40"/>
        </w:numPr>
        <w:tabs>
          <w:tab w:pos="477" w:val="left" w:leader="none"/>
          <w:tab w:pos="478" w:val="left" w:leader="none"/>
        </w:tabs>
        <w:spacing w:line="240" w:lineRule="auto" w:before="305" w:after="0"/>
        <w:ind w:left="477" w:right="0" w:hanging="361"/>
        <w:jc w:val="left"/>
        <w:rPr>
          <w:rFonts w:ascii="Symbol"/>
          <w:sz w:val="20"/>
        </w:rPr>
      </w:pPr>
      <w:r>
        <w:rPr>
          <w:sz w:val="38"/>
        </w:rPr>
        <w:t>Lacrimal</w:t>
      </w:r>
      <w:r>
        <w:rPr>
          <w:spacing w:val="-2"/>
          <w:sz w:val="38"/>
        </w:rPr>
        <w:t> </w:t>
      </w:r>
      <w:r>
        <w:rPr>
          <w:sz w:val="38"/>
        </w:rPr>
        <w:t>glands</w:t>
      </w:r>
    </w:p>
    <w:p>
      <w:pPr>
        <w:spacing w:after="0" w:line="240" w:lineRule="auto"/>
        <w:jc w:val="left"/>
        <w:rPr>
          <w:rFonts w:ascii="Symbol"/>
          <w:sz w:val="20"/>
        </w:rPr>
        <w:sectPr>
          <w:pgSz w:w="14270" w:h="16850"/>
          <w:pgMar w:header="0" w:footer="1891" w:top="1600" w:bottom="2080" w:left="800" w:right="1280"/>
        </w:sectPr>
      </w:pPr>
    </w:p>
    <w:p>
      <w:pPr>
        <w:pStyle w:val="ListParagraph"/>
        <w:numPr>
          <w:ilvl w:val="0"/>
          <w:numId w:val="40"/>
        </w:numPr>
        <w:tabs>
          <w:tab w:pos="477" w:val="left" w:leader="none"/>
          <w:tab w:pos="478" w:val="left" w:leader="none"/>
        </w:tabs>
        <w:spacing w:line="240" w:lineRule="auto" w:before="181" w:after="0"/>
        <w:ind w:left="477" w:right="0" w:hanging="361"/>
        <w:jc w:val="left"/>
        <w:rPr>
          <w:rFonts w:ascii="Symbol"/>
          <w:sz w:val="20"/>
        </w:rPr>
      </w:pPr>
      <w:r>
        <w:rPr>
          <w:sz w:val="38"/>
        </w:rPr>
        <w:t>Bronchial</w:t>
      </w:r>
      <w:r>
        <w:rPr>
          <w:spacing w:val="-2"/>
          <w:sz w:val="38"/>
        </w:rPr>
        <w:t> </w:t>
      </w:r>
      <w:r>
        <w:rPr>
          <w:sz w:val="38"/>
        </w:rPr>
        <w:t>glands</w:t>
      </w:r>
    </w:p>
    <w:p>
      <w:pPr>
        <w:pStyle w:val="ListParagraph"/>
        <w:numPr>
          <w:ilvl w:val="0"/>
          <w:numId w:val="40"/>
        </w:numPr>
        <w:tabs>
          <w:tab w:pos="477" w:val="left" w:leader="none"/>
          <w:tab w:pos="478" w:val="left" w:leader="none"/>
        </w:tabs>
        <w:spacing w:line="240" w:lineRule="auto" w:before="305" w:after="0"/>
        <w:ind w:left="477" w:right="0" w:hanging="361"/>
        <w:jc w:val="left"/>
        <w:rPr>
          <w:rFonts w:ascii="Symbol"/>
          <w:sz w:val="20"/>
        </w:rPr>
      </w:pPr>
      <w:r>
        <w:rPr>
          <w:sz w:val="38"/>
        </w:rPr>
        <w:t>Prostate</w:t>
      </w:r>
    </w:p>
    <w:p>
      <w:pPr>
        <w:pStyle w:val="ListParagraph"/>
        <w:numPr>
          <w:ilvl w:val="0"/>
          <w:numId w:val="40"/>
        </w:numPr>
        <w:tabs>
          <w:tab w:pos="477" w:val="left" w:leader="none"/>
          <w:tab w:pos="478" w:val="left" w:leader="none"/>
        </w:tabs>
        <w:spacing w:line="240" w:lineRule="auto" w:before="304" w:after="0"/>
        <w:ind w:left="477" w:right="0" w:hanging="361"/>
        <w:jc w:val="left"/>
        <w:rPr>
          <w:rFonts w:ascii="Symbol"/>
          <w:sz w:val="20"/>
        </w:rPr>
      </w:pPr>
      <w:r>
        <w:rPr>
          <w:sz w:val="38"/>
        </w:rPr>
        <w:t>Exocrine pancreas</w:t>
      </w:r>
    </w:p>
    <w:p>
      <w:pPr>
        <w:pStyle w:val="ListParagraph"/>
        <w:numPr>
          <w:ilvl w:val="0"/>
          <w:numId w:val="40"/>
        </w:numPr>
        <w:tabs>
          <w:tab w:pos="477" w:val="left" w:leader="none"/>
          <w:tab w:pos="478" w:val="left" w:leader="none"/>
        </w:tabs>
        <w:spacing w:line="240" w:lineRule="auto" w:before="305" w:after="0"/>
        <w:ind w:left="477" w:right="0" w:hanging="361"/>
        <w:jc w:val="left"/>
        <w:rPr>
          <w:rFonts w:ascii="Symbol"/>
          <w:sz w:val="20"/>
        </w:rPr>
      </w:pPr>
      <w:r>
        <w:rPr>
          <w:sz w:val="38"/>
        </w:rPr>
        <w:t>Brunner's glands</w:t>
      </w:r>
    </w:p>
    <w:p>
      <w:pPr>
        <w:pStyle w:val="ListParagraph"/>
        <w:numPr>
          <w:ilvl w:val="0"/>
          <w:numId w:val="40"/>
        </w:numPr>
        <w:tabs>
          <w:tab w:pos="477" w:val="left" w:leader="none"/>
          <w:tab w:pos="478" w:val="left" w:leader="none"/>
        </w:tabs>
        <w:spacing w:line="240" w:lineRule="auto" w:before="304" w:after="0"/>
        <w:ind w:left="477" w:right="0" w:hanging="361"/>
        <w:jc w:val="left"/>
        <w:rPr>
          <w:rFonts w:ascii="Symbol"/>
          <w:sz w:val="20"/>
        </w:rPr>
      </w:pPr>
      <w:r>
        <w:rPr>
          <w:sz w:val="38"/>
        </w:rPr>
        <w:t>Gastric</w:t>
      </w:r>
      <w:r>
        <w:rPr>
          <w:spacing w:val="-4"/>
          <w:sz w:val="38"/>
        </w:rPr>
        <w:t> </w:t>
      </w:r>
      <w:r>
        <w:rPr>
          <w:sz w:val="38"/>
        </w:rPr>
        <w:t>glands</w:t>
      </w:r>
    </w:p>
    <w:p>
      <w:pPr>
        <w:pStyle w:val="ListParagraph"/>
        <w:numPr>
          <w:ilvl w:val="0"/>
          <w:numId w:val="40"/>
        </w:numPr>
        <w:tabs>
          <w:tab w:pos="477" w:val="left" w:leader="none"/>
          <w:tab w:pos="478" w:val="left" w:leader="none"/>
        </w:tabs>
        <w:spacing w:line="240" w:lineRule="auto" w:before="303" w:after="0"/>
        <w:ind w:left="477" w:right="0" w:hanging="361"/>
        <w:jc w:val="left"/>
        <w:rPr>
          <w:rFonts w:ascii="Symbol"/>
          <w:sz w:val="20"/>
        </w:rPr>
      </w:pPr>
      <w:r>
        <w:rPr>
          <w:sz w:val="38"/>
        </w:rPr>
        <w:t>Uterine</w:t>
      </w:r>
      <w:r>
        <w:rPr>
          <w:spacing w:val="-7"/>
          <w:sz w:val="38"/>
        </w:rPr>
        <w:t> </w:t>
      </w:r>
      <w:r>
        <w:rPr>
          <w:sz w:val="38"/>
        </w:rPr>
        <w:t>glands</w:t>
      </w:r>
    </w:p>
    <w:p>
      <w:pPr>
        <w:pStyle w:val="BodyText"/>
        <w:rPr>
          <w:sz w:val="42"/>
        </w:rPr>
      </w:pPr>
    </w:p>
    <w:p>
      <w:pPr>
        <w:pStyle w:val="BodyText"/>
        <w:spacing w:before="1"/>
        <w:rPr>
          <w:sz w:val="50"/>
        </w:rPr>
      </w:pPr>
    </w:p>
    <w:p>
      <w:pPr>
        <w:pStyle w:val="BodyText"/>
        <w:spacing w:line="276" w:lineRule="auto" w:before="1"/>
        <w:ind w:left="477" w:right="134"/>
        <w:jc w:val="both"/>
      </w:pPr>
      <w:r>
        <w:rPr/>
        <w:t>Colloidal gold is able to reactivate our complete endocrine system, prevent nu- merous signs of ageing and diseases associated with an aged glandular system, and repair existing functional deficits and counteract blockages.</w:t>
      </w:r>
    </w:p>
    <w:p>
      <w:pPr>
        <w:pStyle w:val="BodyText"/>
        <w:spacing w:line="276" w:lineRule="auto" w:before="241"/>
        <w:ind w:left="477" w:right="136"/>
        <w:jc w:val="both"/>
      </w:pPr>
      <w:r>
        <w:rPr/>
        <w:t>The effect of colloidal gold on a very special gland located in the centre of the brain – our pineal gland – is very interesting!</w:t>
      </w:r>
    </w:p>
    <w:p>
      <w:pPr>
        <w:pStyle w:val="Heading1"/>
        <w:spacing w:before="221"/>
      </w:pPr>
      <w:r>
        <w:rPr/>
        <w:t>Gold activates our ‘third eye’ – the pineal gland</w:t>
      </w:r>
    </w:p>
    <w:p>
      <w:pPr>
        <w:pStyle w:val="BodyText"/>
        <w:spacing w:line="276" w:lineRule="auto" w:before="299"/>
        <w:ind w:left="477" w:right="132"/>
        <w:jc w:val="both"/>
      </w:pPr>
      <w:r>
        <w:rPr/>
        <w:t>The pineal gland (also called ‘epiphysis’) is not only responsible for controlling our circadian rhythm in conjunction with melatonin production – it can do much more!</w:t>
      </w:r>
    </w:p>
    <w:p>
      <w:pPr>
        <w:pStyle w:val="BodyText"/>
        <w:spacing w:line="276" w:lineRule="auto" w:before="242"/>
        <w:ind w:left="477" w:right="132"/>
        <w:jc w:val="both"/>
      </w:pPr>
      <w:r>
        <w:rPr/>
        <w:t>Do</w:t>
      </w:r>
      <w:r>
        <w:rPr>
          <w:spacing w:val="-9"/>
        </w:rPr>
        <w:t> </w:t>
      </w:r>
      <w:r>
        <w:rPr/>
        <w:t>you</w:t>
      </w:r>
      <w:r>
        <w:rPr>
          <w:spacing w:val="-13"/>
        </w:rPr>
        <w:t> </w:t>
      </w:r>
      <w:r>
        <w:rPr/>
        <w:t>know</w:t>
      </w:r>
      <w:r>
        <w:rPr>
          <w:spacing w:val="-9"/>
        </w:rPr>
        <w:t> </w:t>
      </w:r>
      <w:r>
        <w:rPr/>
        <w:t>the</w:t>
      </w:r>
      <w:r>
        <w:rPr>
          <w:spacing w:val="-9"/>
        </w:rPr>
        <w:t> </w:t>
      </w:r>
      <w:r>
        <w:rPr/>
        <w:t>feeling</w:t>
      </w:r>
      <w:r>
        <w:rPr>
          <w:spacing w:val="-10"/>
        </w:rPr>
        <w:t> </w:t>
      </w:r>
      <w:r>
        <w:rPr/>
        <w:t>that</w:t>
      </w:r>
      <w:r>
        <w:rPr>
          <w:spacing w:val="-9"/>
        </w:rPr>
        <w:t> </w:t>
      </w:r>
      <w:r>
        <w:rPr/>
        <w:t>you</w:t>
      </w:r>
      <w:r>
        <w:rPr>
          <w:spacing w:val="-11"/>
        </w:rPr>
        <w:t> </w:t>
      </w:r>
      <w:r>
        <w:rPr/>
        <w:t>are</w:t>
      </w:r>
      <w:r>
        <w:rPr>
          <w:spacing w:val="-9"/>
        </w:rPr>
        <w:t> </w:t>
      </w:r>
      <w:r>
        <w:rPr/>
        <w:t>being</w:t>
      </w:r>
      <w:r>
        <w:rPr>
          <w:spacing w:val="-10"/>
        </w:rPr>
        <w:t> </w:t>
      </w:r>
      <w:r>
        <w:rPr/>
        <w:t>watched,</w:t>
      </w:r>
      <w:r>
        <w:rPr>
          <w:spacing w:val="-11"/>
        </w:rPr>
        <w:t> </w:t>
      </w:r>
      <w:r>
        <w:rPr/>
        <w:t>suddenly</w:t>
      </w:r>
      <w:r>
        <w:rPr>
          <w:spacing w:val="-7"/>
        </w:rPr>
        <w:t> </w:t>
      </w:r>
      <w:r>
        <w:rPr/>
        <w:t>turn</w:t>
      </w:r>
      <w:r>
        <w:rPr>
          <w:spacing w:val="-8"/>
        </w:rPr>
        <w:t> </w:t>
      </w:r>
      <w:r>
        <w:rPr/>
        <w:t>around</w:t>
      </w:r>
      <w:r>
        <w:rPr>
          <w:spacing w:val="-12"/>
        </w:rPr>
        <w:t> </w:t>
      </w:r>
      <w:r>
        <w:rPr/>
        <w:t>and actually discover someone staring at you from</w:t>
      </w:r>
      <w:r>
        <w:rPr>
          <w:spacing w:val="-6"/>
        </w:rPr>
        <w:t> </w:t>
      </w:r>
      <w:r>
        <w:rPr/>
        <w:t>behind?</w:t>
      </w:r>
    </w:p>
    <w:p>
      <w:pPr>
        <w:spacing w:after="0" w:line="276" w:lineRule="auto"/>
        <w:jc w:val="both"/>
        <w:sectPr>
          <w:pgSz w:w="14270" w:h="16850"/>
          <w:pgMar w:header="0" w:footer="1891" w:top="1600" w:bottom="2080" w:left="800" w:right="1280"/>
        </w:sectPr>
      </w:pPr>
    </w:p>
    <w:p>
      <w:pPr>
        <w:pStyle w:val="BodyText"/>
        <w:spacing w:line="276" w:lineRule="auto" w:before="181"/>
        <w:ind w:left="477" w:right="134"/>
        <w:jc w:val="both"/>
      </w:pPr>
      <w:r>
        <w:rPr/>
        <w:t>A</w:t>
      </w:r>
      <w:r>
        <w:rPr>
          <w:spacing w:val="-8"/>
        </w:rPr>
        <w:t> </w:t>
      </w:r>
      <w:r>
        <w:rPr/>
        <w:t>phenomenon</w:t>
      </w:r>
      <w:r>
        <w:rPr>
          <w:spacing w:val="-11"/>
        </w:rPr>
        <w:t> </w:t>
      </w:r>
      <w:r>
        <w:rPr/>
        <w:t>of</w:t>
      </w:r>
      <w:r>
        <w:rPr>
          <w:spacing w:val="-7"/>
        </w:rPr>
        <w:t> </w:t>
      </w:r>
      <w:r>
        <w:rPr/>
        <w:t>which</w:t>
      </w:r>
      <w:r>
        <w:rPr>
          <w:spacing w:val="-7"/>
        </w:rPr>
        <w:t> </w:t>
      </w:r>
      <w:r>
        <w:rPr/>
        <w:t>Plato</w:t>
      </w:r>
      <w:r>
        <w:rPr>
          <w:spacing w:val="-9"/>
        </w:rPr>
        <w:t> </w:t>
      </w:r>
      <w:r>
        <w:rPr/>
        <w:t>spoke</w:t>
      </w:r>
      <w:r>
        <w:rPr>
          <w:spacing w:val="-7"/>
        </w:rPr>
        <w:t> </w:t>
      </w:r>
      <w:r>
        <w:rPr/>
        <w:t>in</w:t>
      </w:r>
      <w:r>
        <w:rPr>
          <w:spacing w:val="-9"/>
        </w:rPr>
        <w:t> </w:t>
      </w:r>
      <w:r>
        <w:rPr/>
        <w:t>connection</w:t>
      </w:r>
      <w:r>
        <w:rPr>
          <w:spacing w:val="-7"/>
        </w:rPr>
        <w:t> </w:t>
      </w:r>
      <w:r>
        <w:rPr/>
        <w:t>with</w:t>
      </w:r>
      <w:r>
        <w:rPr>
          <w:spacing w:val="-6"/>
        </w:rPr>
        <w:t> </w:t>
      </w:r>
      <w:r>
        <w:rPr/>
        <w:t>the</w:t>
      </w:r>
      <w:r>
        <w:rPr>
          <w:spacing w:val="-8"/>
        </w:rPr>
        <w:t> </w:t>
      </w:r>
      <w:r>
        <w:rPr/>
        <w:t>so-called</w:t>
      </w:r>
      <w:r>
        <w:rPr>
          <w:spacing w:val="-7"/>
        </w:rPr>
        <w:t> </w:t>
      </w:r>
      <w:r>
        <w:rPr/>
        <w:t>‘seventh sense’.</w:t>
      </w:r>
    </w:p>
    <w:p>
      <w:pPr>
        <w:pStyle w:val="BodyText"/>
        <w:spacing w:line="276" w:lineRule="auto" w:before="241"/>
        <w:ind w:left="477" w:right="129"/>
        <w:jc w:val="both"/>
      </w:pPr>
      <w:r>
        <w:rPr/>
        <w:t>Do</w:t>
      </w:r>
      <w:r>
        <w:rPr>
          <w:spacing w:val="-21"/>
        </w:rPr>
        <w:t> </w:t>
      </w:r>
      <w:r>
        <w:rPr/>
        <w:t>we</w:t>
      </w:r>
      <w:r>
        <w:rPr>
          <w:spacing w:val="-22"/>
        </w:rPr>
        <w:t> </w:t>
      </w:r>
      <w:r>
        <w:rPr/>
        <w:t>really</w:t>
      </w:r>
      <w:r>
        <w:rPr>
          <w:spacing w:val="-21"/>
        </w:rPr>
        <w:t> </w:t>
      </w:r>
      <w:r>
        <w:rPr/>
        <w:t>need</w:t>
      </w:r>
      <w:r>
        <w:rPr>
          <w:spacing w:val="-22"/>
        </w:rPr>
        <w:t> </w:t>
      </w:r>
      <w:r>
        <w:rPr/>
        <w:t>to</w:t>
      </w:r>
      <w:r>
        <w:rPr>
          <w:spacing w:val="-23"/>
        </w:rPr>
        <w:t> </w:t>
      </w:r>
      <w:r>
        <w:rPr/>
        <w:t>see,</w:t>
      </w:r>
      <w:r>
        <w:rPr>
          <w:spacing w:val="-23"/>
        </w:rPr>
        <w:t> </w:t>
      </w:r>
      <w:r>
        <w:rPr/>
        <w:t>hear,</w:t>
      </w:r>
      <w:r>
        <w:rPr>
          <w:spacing w:val="-22"/>
        </w:rPr>
        <w:t> </w:t>
      </w:r>
      <w:r>
        <w:rPr/>
        <w:t>smell,</w:t>
      </w:r>
      <w:r>
        <w:rPr>
          <w:spacing w:val="-22"/>
        </w:rPr>
        <w:t> </w:t>
      </w:r>
      <w:r>
        <w:rPr/>
        <w:t>taste</w:t>
      </w:r>
      <w:r>
        <w:rPr>
          <w:spacing w:val="-21"/>
        </w:rPr>
        <w:t> </w:t>
      </w:r>
      <w:r>
        <w:rPr/>
        <w:t>and</w:t>
      </w:r>
      <w:r>
        <w:rPr>
          <w:spacing w:val="-20"/>
        </w:rPr>
        <w:t> </w:t>
      </w:r>
      <w:r>
        <w:rPr/>
        <w:t>feel</w:t>
      </w:r>
      <w:r>
        <w:rPr>
          <w:spacing w:val="-22"/>
        </w:rPr>
        <w:t> </w:t>
      </w:r>
      <w:r>
        <w:rPr/>
        <w:t>to</w:t>
      </w:r>
      <w:r>
        <w:rPr>
          <w:spacing w:val="-21"/>
        </w:rPr>
        <w:t> </w:t>
      </w:r>
      <w:r>
        <w:rPr/>
        <w:t>perceive</w:t>
      </w:r>
      <w:r>
        <w:rPr>
          <w:spacing w:val="-21"/>
        </w:rPr>
        <w:t> </w:t>
      </w:r>
      <w:r>
        <w:rPr/>
        <w:t>the</w:t>
      </w:r>
      <w:r>
        <w:rPr>
          <w:spacing w:val="-21"/>
        </w:rPr>
        <w:t> </w:t>
      </w:r>
      <w:r>
        <w:rPr/>
        <w:t>things</w:t>
      </w:r>
      <w:r>
        <w:rPr>
          <w:spacing w:val="-22"/>
        </w:rPr>
        <w:t> </w:t>
      </w:r>
      <w:r>
        <w:rPr/>
        <w:t>around us? Not at all!</w:t>
      </w:r>
    </w:p>
    <w:p>
      <w:pPr>
        <w:spacing w:line="276" w:lineRule="auto" w:before="241"/>
        <w:ind w:left="477" w:right="142" w:firstLine="0"/>
        <w:jc w:val="both"/>
        <w:rPr>
          <w:i/>
          <w:sz w:val="38"/>
        </w:rPr>
      </w:pPr>
      <w:r>
        <w:rPr>
          <w:sz w:val="38"/>
        </w:rPr>
        <w:t>‘</w:t>
      </w:r>
      <w:r>
        <w:rPr>
          <w:i/>
          <w:sz w:val="38"/>
        </w:rPr>
        <w:t>There is a small gland in the brain in which the soul performs its function more specifically </w:t>
      </w:r>
      <w:r>
        <w:rPr>
          <w:i/>
          <w:sz w:val="38"/>
        </w:rPr>
        <w:t>than in any other part of the body’.</w:t>
      </w:r>
    </w:p>
    <w:p>
      <w:pPr>
        <w:pStyle w:val="BodyText"/>
        <w:spacing w:line="276" w:lineRule="auto" w:before="239"/>
        <w:ind w:left="477" w:right="135"/>
        <w:jc w:val="both"/>
      </w:pPr>
      <w:r>
        <w:rPr/>
        <w:t>Even René Descartes (1596-1650), a famous French philosopher, scientist and mathematician, studied the pineal gland and came to the conclusion that the pineal gland is associated with vision.</w:t>
      </w:r>
    </w:p>
    <w:p>
      <w:pPr>
        <w:pStyle w:val="BodyText"/>
        <w:spacing w:line="276" w:lineRule="auto" w:before="241"/>
        <w:ind w:left="477" w:right="132"/>
        <w:jc w:val="both"/>
      </w:pPr>
      <w:r>
        <w:rPr/>
        <w:t>Do we humans have another eye, the ‘third eye’ that goes beyond the function of physiological ‘seeing’...?</w:t>
      </w:r>
    </w:p>
    <w:p>
      <w:pPr>
        <w:pStyle w:val="BodyText"/>
        <w:spacing w:before="239"/>
        <w:ind w:left="477"/>
      </w:pPr>
      <w:r>
        <w:rPr/>
        <w:t>.....’had’, i.e. the past tense, would be the right expression.</w:t>
      </w:r>
    </w:p>
    <w:p>
      <w:pPr>
        <w:pStyle w:val="BodyText"/>
        <w:spacing w:line="276" w:lineRule="auto" w:before="304"/>
        <w:ind w:left="477" w:right="131"/>
        <w:jc w:val="both"/>
      </w:pPr>
      <w:r>
        <w:rPr/>
        <w:t>While our ancestors had a pineal gland of around 3 cm in size, our lack of nat- ural</w:t>
      </w:r>
      <w:r>
        <w:rPr>
          <w:spacing w:val="-10"/>
        </w:rPr>
        <w:t> </w:t>
      </w:r>
      <w:r>
        <w:rPr/>
        <w:t>solar</w:t>
      </w:r>
      <w:r>
        <w:rPr>
          <w:spacing w:val="-9"/>
        </w:rPr>
        <w:t> </w:t>
      </w:r>
      <w:r>
        <w:rPr/>
        <w:t>energy,</w:t>
      </w:r>
      <w:r>
        <w:rPr>
          <w:spacing w:val="-8"/>
        </w:rPr>
        <w:t> </w:t>
      </w:r>
      <w:r>
        <w:rPr/>
        <w:t>harmful</w:t>
      </w:r>
      <w:r>
        <w:rPr>
          <w:spacing w:val="-11"/>
        </w:rPr>
        <w:t> </w:t>
      </w:r>
      <w:r>
        <w:rPr/>
        <w:t>environmental</w:t>
      </w:r>
      <w:r>
        <w:rPr>
          <w:spacing w:val="-10"/>
        </w:rPr>
        <w:t> </w:t>
      </w:r>
      <w:r>
        <w:rPr/>
        <w:t>influences</w:t>
      </w:r>
      <w:r>
        <w:rPr>
          <w:spacing w:val="-9"/>
        </w:rPr>
        <w:t> </w:t>
      </w:r>
      <w:r>
        <w:rPr/>
        <w:t>and</w:t>
      </w:r>
      <w:r>
        <w:rPr>
          <w:spacing w:val="-12"/>
        </w:rPr>
        <w:t> </w:t>
      </w:r>
      <w:r>
        <w:rPr/>
        <w:t>use</w:t>
      </w:r>
      <w:r>
        <w:rPr>
          <w:spacing w:val="-10"/>
        </w:rPr>
        <w:t> </w:t>
      </w:r>
      <w:r>
        <w:rPr/>
        <w:t>of</w:t>
      </w:r>
      <w:r>
        <w:rPr>
          <w:spacing w:val="-10"/>
        </w:rPr>
        <w:t> </w:t>
      </w:r>
      <w:r>
        <w:rPr/>
        <w:t>poisons,</w:t>
      </w:r>
      <w:r>
        <w:rPr>
          <w:spacing w:val="-11"/>
        </w:rPr>
        <w:t> </w:t>
      </w:r>
      <w:r>
        <w:rPr/>
        <w:t>such</w:t>
      </w:r>
      <w:r>
        <w:rPr>
          <w:spacing w:val="-11"/>
        </w:rPr>
        <w:t> </w:t>
      </w:r>
      <w:r>
        <w:rPr/>
        <w:t>as fluorides in our toothpaste, have gradually shrunk the pineal gland over many decades</w:t>
      </w:r>
      <w:r>
        <w:rPr>
          <w:spacing w:val="-16"/>
        </w:rPr>
        <w:t> </w:t>
      </w:r>
      <w:r>
        <w:rPr/>
        <w:t>to</w:t>
      </w:r>
      <w:r>
        <w:rPr>
          <w:spacing w:val="-16"/>
        </w:rPr>
        <w:t> </w:t>
      </w:r>
      <w:r>
        <w:rPr/>
        <w:t>the</w:t>
      </w:r>
      <w:r>
        <w:rPr>
          <w:spacing w:val="-14"/>
        </w:rPr>
        <w:t> </w:t>
      </w:r>
      <w:r>
        <w:rPr/>
        <w:t>present</w:t>
      </w:r>
      <w:r>
        <w:rPr>
          <w:spacing w:val="-17"/>
        </w:rPr>
        <w:t> </w:t>
      </w:r>
      <w:r>
        <w:rPr/>
        <w:t>3-5</w:t>
      </w:r>
      <w:r>
        <w:rPr>
          <w:spacing w:val="-17"/>
        </w:rPr>
        <w:t> </w:t>
      </w:r>
      <w:r>
        <w:rPr/>
        <w:t>mm.</w:t>
      </w:r>
      <w:r>
        <w:rPr>
          <w:spacing w:val="-17"/>
        </w:rPr>
        <w:t> </w:t>
      </w:r>
      <w:r>
        <w:rPr/>
        <w:t>Furthermore,</w:t>
      </w:r>
      <w:r>
        <w:rPr>
          <w:spacing w:val="-16"/>
        </w:rPr>
        <w:t> </w:t>
      </w:r>
      <w:r>
        <w:rPr/>
        <w:t>energy</w:t>
      </w:r>
      <w:r>
        <w:rPr>
          <w:spacing w:val="-15"/>
        </w:rPr>
        <w:t> </w:t>
      </w:r>
      <w:r>
        <w:rPr/>
        <w:t>blockages</w:t>
      </w:r>
      <w:r>
        <w:rPr>
          <w:spacing w:val="-16"/>
        </w:rPr>
        <w:t> </w:t>
      </w:r>
      <w:r>
        <w:rPr/>
        <w:t>in</w:t>
      </w:r>
      <w:r>
        <w:rPr>
          <w:spacing w:val="-16"/>
        </w:rPr>
        <w:t> </w:t>
      </w:r>
      <w:r>
        <w:rPr/>
        <w:t>the</w:t>
      </w:r>
      <w:r>
        <w:rPr>
          <w:spacing w:val="-14"/>
        </w:rPr>
        <w:t> </w:t>
      </w:r>
      <w:r>
        <w:rPr/>
        <w:t>brain</w:t>
      </w:r>
      <w:r>
        <w:rPr>
          <w:spacing w:val="-16"/>
        </w:rPr>
        <w:t> </w:t>
      </w:r>
      <w:r>
        <w:rPr/>
        <w:t>lead to insufficient energy flowing through this area – depriving us of the fabulous function of the third</w:t>
      </w:r>
      <w:r>
        <w:rPr>
          <w:spacing w:val="3"/>
        </w:rPr>
        <w:t> </w:t>
      </w:r>
      <w:r>
        <w:rPr/>
        <w:t>eye...</w:t>
      </w:r>
    </w:p>
    <w:p>
      <w:pPr>
        <w:spacing w:after="0" w:line="276" w:lineRule="auto"/>
        <w:jc w:val="both"/>
        <w:sectPr>
          <w:pgSz w:w="14270" w:h="16850"/>
          <w:pgMar w:header="0" w:footer="1891" w:top="1600" w:bottom="2080" w:left="800" w:right="1280"/>
        </w:sectPr>
      </w:pPr>
    </w:p>
    <w:p>
      <w:pPr>
        <w:pStyle w:val="BodyText"/>
        <w:spacing w:line="276" w:lineRule="auto" w:before="181"/>
        <w:ind w:left="477" w:right="142"/>
        <w:jc w:val="both"/>
      </w:pPr>
      <w:r>
        <w:rPr/>
        <w:t>Modern research has shown that internal energy is conducted directly through the centre of the pineal gland. The observations by René Descartes have been scientifically confirmed and even explained physiologically.</w:t>
      </w:r>
    </w:p>
    <w:p>
      <w:pPr>
        <w:pStyle w:val="BodyText"/>
        <w:spacing w:line="276" w:lineRule="auto" w:before="242"/>
        <w:ind w:left="477" w:right="132"/>
        <w:jc w:val="both"/>
      </w:pPr>
      <w:r>
        <w:rPr/>
        <w:t>Accordingly, the pineal gland gives us the extraordinary ability to perceive</w:t>
      </w:r>
      <w:r>
        <w:rPr>
          <w:spacing w:val="-60"/>
        </w:rPr>
        <w:t> </w:t>
      </w:r>
      <w:r>
        <w:rPr/>
        <w:t>elec- tromagnetic fields in another frequency range. By channelling energy through the pineal gland, we can perceive the electromagnetic fields surrounding us much more consciously and thereby improve our intuition. In addition to stronger intuition, this creates a sharpened perception and even awareness of spiritual experiences.</w:t>
      </w:r>
    </w:p>
    <w:p>
      <w:pPr>
        <w:pStyle w:val="BodyText"/>
        <w:spacing w:line="276" w:lineRule="auto" w:before="240"/>
        <w:ind w:left="477" w:right="135"/>
        <w:jc w:val="both"/>
      </w:pPr>
      <w:r>
        <w:rPr/>
        <w:t>These skills and experiences, which are already mystical to modern man, are denied to modern humans due to the lack of energy reaching the pineal gland. This means that the abilities described above for deeper intuition, spirituality, keen perception, but also sensitivity to reality, are very limited.</w:t>
      </w:r>
    </w:p>
    <w:p>
      <w:pPr>
        <w:pStyle w:val="BodyText"/>
        <w:spacing w:line="276" w:lineRule="auto" w:before="239"/>
        <w:ind w:left="477" w:right="133"/>
        <w:jc w:val="both"/>
      </w:pPr>
      <w:r>
        <w:rPr/>
        <w:t>Gold strengthens the flowing energy in this area of the brain and the function of our pineal gland, both of which can result in the recovery of the abovemen- tioned</w:t>
      </w:r>
      <w:r>
        <w:rPr>
          <w:spacing w:val="-22"/>
        </w:rPr>
        <w:t> </w:t>
      </w:r>
      <w:r>
        <w:rPr/>
        <w:t>abilities</w:t>
      </w:r>
      <w:r>
        <w:rPr>
          <w:spacing w:val="-21"/>
        </w:rPr>
        <w:t> </w:t>
      </w:r>
      <w:r>
        <w:rPr/>
        <w:t>-</w:t>
      </w:r>
      <w:r>
        <w:rPr>
          <w:spacing w:val="-23"/>
        </w:rPr>
        <w:t> </w:t>
      </w:r>
      <w:r>
        <w:rPr/>
        <w:t>with</w:t>
      </w:r>
      <w:r>
        <w:rPr>
          <w:spacing w:val="-21"/>
        </w:rPr>
        <w:t> </w:t>
      </w:r>
      <w:r>
        <w:rPr/>
        <w:t>this,</w:t>
      </w:r>
      <w:r>
        <w:rPr>
          <w:spacing w:val="-20"/>
        </w:rPr>
        <w:t> </w:t>
      </w:r>
      <w:r>
        <w:rPr/>
        <w:t>colloidal</w:t>
      </w:r>
      <w:r>
        <w:rPr>
          <w:spacing w:val="-23"/>
        </w:rPr>
        <w:t> </w:t>
      </w:r>
      <w:r>
        <w:rPr/>
        <w:t>gold</w:t>
      </w:r>
      <w:r>
        <w:rPr>
          <w:spacing w:val="-22"/>
        </w:rPr>
        <w:t> </w:t>
      </w:r>
      <w:r>
        <w:rPr/>
        <w:t>opens</w:t>
      </w:r>
      <w:r>
        <w:rPr>
          <w:spacing w:val="-23"/>
        </w:rPr>
        <w:t> </w:t>
      </w:r>
      <w:r>
        <w:rPr/>
        <w:t>our</w:t>
      </w:r>
      <w:r>
        <w:rPr>
          <w:spacing w:val="-20"/>
        </w:rPr>
        <w:t> </w:t>
      </w:r>
      <w:r>
        <w:rPr/>
        <w:t>‘third</w:t>
      </w:r>
      <w:r>
        <w:rPr>
          <w:spacing w:val="-24"/>
        </w:rPr>
        <w:t> </w:t>
      </w:r>
      <w:r>
        <w:rPr/>
        <w:t>eye’</w:t>
      </w:r>
      <w:r>
        <w:rPr>
          <w:spacing w:val="-23"/>
        </w:rPr>
        <w:t> </w:t>
      </w:r>
      <w:r>
        <w:rPr/>
        <w:t>–</w:t>
      </w:r>
      <w:r>
        <w:rPr>
          <w:spacing w:val="-22"/>
        </w:rPr>
        <w:t> </w:t>
      </w:r>
      <w:r>
        <w:rPr/>
        <w:t>‘seeing’</w:t>
      </w:r>
      <w:r>
        <w:rPr>
          <w:spacing w:val="-21"/>
        </w:rPr>
        <w:t> </w:t>
      </w:r>
      <w:r>
        <w:rPr/>
        <w:t>becomes ‘SEEING’ a dimension already unknown to modern</w:t>
      </w:r>
      <w:r>
        <w:rPr>
          <w:spacing w:val="-1"/>
        </w:rPr>
        <w:t> </w:t>
      </w:r>
      <w:r>
        <w:rPr/>
        <w:t>man!</w:t>
      </w:r>
    </w:p>
    <w:p>
      <w:pPr>
        <w:spacing w:before="242"/>
        <w:ind w:left="477" w:right="0" w:firstLine="0"/>
        <w:jc w:val="both"/>
        <w:rPr>
          <w:sz w:val="38"/>
        </w:rPr>
      </w:pPr>
      <w:r>
        <w:rPr>
          <w:sz w:val="38"/>
        </w:rPr>
        <w:t>‘</w:t>
      </w:r>
      <w:r>
        <w:rPr>
          <w:i/>
          <w:sz w:val="38"/>
        </w:rPr>
        <w:t>We experience more than we understand’ </w:t>
      </w:r>
      <w:r>
        <w:rPr>
          <w:sz w:val="38"/>
        </w:rPr>
        <w:t>(Hans-Peter Dürr, quantum physicist)</w:t>
      </w:r>
    </w:p>
    <w:p>
      <w:pPr>
        <w:pStyle w:val="BodyText"/>
        <w:spacing w:line="276" w:lineRule="auto" w:before="303"/>
        <w:ind w:left="477" w:right="141"/>
        <w:jc w:val="both"/>
      </w:pPr>
      <w:r>
        <w:rPr/>
        <w:t>As if that were not enough, the improved perception of electromagnetic influ- ences means that our body can not only better compensate for the negative sides of electrosmog, but is even able to turn electrosmog into useful energy.</w:t>
      </w:r>
    </w:p>
    <w:p>
      <w:pPr>
        <w:spacing w:after="0" w:line="276" w:lineRule="auto"/>
        <w:jc w:val="both"/>
        <w:sectPr>
          <w:pgSz w:w="14270" w:h="16850"/>
          <w:pgMar w:header="0" w:footer="1891" w:top="1600" w:bottom="2080" w:left="800" w:right="1280"/>
        </w:sectPr>
      </w:pPr>
    </w:p>
    <w:p>
      <w:pPr>
        <w:pStyle w:val="Heading1"/>
        <w:spacing w:before="164"/>
      </w:pPr>
      <w:r>
        <w:rPr/>
        <w:t>Gold renews the connective tissue and makes you beautiful</w:t>
      </w:r>
    </w:p>
    <w:p>
      <w:pPr>
        <w:pStyle w:val="BodyText"/>
        <w:spacing w:line="276" w:lineRule="auto" w:before="299"/>
        <w:ind w:left="477" w:right="136"/>
        <w:jc w:val="both"/>
      </w:pPr>
      <w:r>
        <w:rPr/>
        <w:t>One of the biggest problems of skin ageing, besides the influence of free radi- cals, is ‘glycation’. As the name implies, this is the negative effect of sugar on our connective tissue.</w:t>
      </w:r>
    </w:p>
    <w:p>
      <w:pPr>
        <w:pStyle w:val="BodyText"/>
        <w:spacing w:line="276" w:lineRule="auto" w:before="242"/>
        <w:ind w:left="477" w:right="133"/>
        <w:jc w:val="both"/>
      </w:pPr>
      <w:r>
        <w:rPr/>
        <w:t>With increasing sugar concentration in the blood (caused by excessive sugar consumption</w:t>
      </w:r>
      <w:r>
        <w:rPr>
          <w:spacing w:val="-16"/>
        </w:rPr>
        <w:t> </w:t>
      </w:r>
      <w:r>
        <w:rPr/>
        <w:t>or</w:t>
      </w:r>
      <w:r>
        <w:rPr>
          <w:spacing w:val="-18"/>
        </w:rPr>
        <w:t> </w:t>
      </w:r>
      <w:r>
        <w:rPr/>
        <w:t>diabetes),</w:t>
      </w:r>
      <w:r>
        <w:rPr>
          <w:spacing w:val="-15"/>
        </w:rPr>
        <w:t> </w:t>
      </w:r>
      <w:r>
        <w:rPr/>
        <w:t>AGEs</w:t>
      </w:r>
      <w:r>
        <w:rPr>
          <w:spacing w:val="-16"/>
        </w:rPr>
        <w:t> </w:t>
      </w:r>
      <w:r>
        <w:rPr/>
        <w:t>(advanced</w:t>
      </w:r>
      <w:r>
        <w:rPr>
          <w:spacing w:val="-14"/>
        </w:rPr>
        <w:t> </w:t>
      </w:r>
      <w:r>
        <w:rPr/>
        <w:t>glycation</w:t>
      </w:r>
      <w:r>
        <w:rPr>
          <w:spacing w:val="-16"/>
        </w:rPr>
        <w:t> </w:t>
      </w:r>
      <w:r>
        <w:rPr/>
        <w:t>end</w:t>
      </w:r>
      <w:r>
        <w:rPr>
          <w:spacing w:val="-16"/>
        </w:rPr>
        <w:t> </w:t>
      </w:r>
      <w:r>
        <w:rPr/>
        <w:t>products)</w:t>
      </w:r>
      <w:r>
        <w:rPr>
          <w:spacing w:val="-17"/>
        </w:rPr>
        <w:t> </w:t>
      </w:r>
      <w:r>
        <w:rPr/>
        <w:t>are</w:t>
      </w:r>
      <w:r>
        <w:rPr>
          <w:spacing w:val="-15"/>
        </w:rPr>
        <w:t> </w:t>
      </w:r>
      <w:r>
        <w:rPr/>
        <w:t>created as a result of uncontrolled reaction between sugars, lipids, and</w:t>
      </w:r>
      <w:r>
        <w:rPr>
          <w:spacing w:val="-21"/>
        </w:rPr>
        <w:t> </w:t>
      </w:r>
      <w:r>
        <w:rPr/>
        <w:t>proteins.</w:t>
      </w:r>
    </w:p>
    <w:p>
      <w:pPr>
        <w:pStyle w:val="BodyText"/>
        <w:rPr>
          <w:sz w:val="42"/>
        </w:rPr>
      </w:pPr>
    </w:p>
    <w:p>
      <w:pPr>
        <w:pStyle w:val="BodyText"/>
        <w:spacing w:before="3"/>
        <w:rPr>
          <w:sz w:val="44"/>
        </w:rPr>
      </w:pPr>
    </w:p>
    <w:p>
      <w:pPr>
        <w:pStyle w:val="BodyText"/>
        <w:spacing w:line="276" w:lineRule="auto"/>
        <w:ind w:left="477" w:right="134"/>
        <w:jc w:val="both"/>
      </w:pPr>
      <w:r>
        <w:rPr/>
        <w:t>The</w:t>
      </w:r>
      <w:r>
        <w:rPr>
          <w:spacing w:val="-19"/>
        </w:rPr>
        <w:t> </w:t>
      </w:r>
      <w:r>
        <w:rPr/>
        <w:t>collagen</w:t>
      </w:r>
      <w:r>
        <w:rPr>
          <w:spacing w:val="-19"/>
        </w:rPr>
        <w:t> </w:t>
      </w:r>
      <w:r>
        <w:rPr/>
        <w:t>fibres</w:t>
      </w:r>
      <w:r>
        <w:rPr>
          <w:spacing w:val="-19"/>
        </w:rPr>
        <w:t> </w:t>
      </w:r>
      <w:r>
        <w:rPr/>
        <w:t>of</w:t>
      </w:r>
      <w:r>
        <w:rPr>
          <w:spacing w:val="-21"/>
        </w:rPr>
        <w:t> </w:t>
      </w:r>
      <w:r>
        <w:rPr/>
        <w:t>our</w:t>
      </w:r>
      <w:r>
        <w:rPr>
          <w:spacing w:val="-20"/>
        </w:rPr>
        <w:t> </w:t>
      </w:r>
      <w:r>
        <w:rPr/>
        <w:t>connective</w:t>
      </w:r>
      <w:r>
        <w:rPr>
          <w:spacing w:val="-21"/>
        </w:rPr>
        <w:t> </w:t>
      </w:r>
      <w:r>
        <w:rPr/>
        <w:t>tissue</w:t>
      </w:r>
      <w:r>
        <w:rPr>
          <w:spacing w:val="-19"/>
        </w:rPr>
        <w:t> </w:t>
      </w:r>
      <w:r>
        <w:rPr/>
        <w:t>gradually</w:t>
      </w:r>
      <w:r>
        <w:rPr>
          <w:spacing w:val="-19"/>
        </w:rPr>
        <w:t> </w:t>
      </w:r>
      <w:r>
        <w:rPr/>
        <w:t>harden</w:t>
      </w:r>
      <w:r>
        <w:rPr>
          <w:spacing w:val="-19"/>
        </w:rPr>
        <w:t> </w:t>
      </w:r>
      <w:r>
        <w:rPr/>
        <w:t>and</w:t>
      </w:r>
      <w:r>
        <w:rPr>
          <w:spacing w:val="-19"/>
        </w:rPr>
        <w:t> </w:t>
      </w:r>
      <w:r>
        <w:rPr/>
        <w:t>lose</w:t>
      </w:r>
      <w:r>
        <w:rPr>
          <w:spacing w:val="-19"/>
        </w:rPr>
        <w:t> </w:t>
      </w:r>
      <w:r>
        <w:rPr/>
        <w:t>their</w:t>
      </w:r>
      <w:r>
        <w:rPr>
          <w:spacing w:val="-21"/>
        </w:rPr>
        <w:t> </w:t>
      </w:r>
      <w:r>
        <w:rPr/>
        <w:t>elas- ticity.</w:t>
      </w:r>
      <w:r>
        <w:rPr>
          <w:spacing w:val="-14"/>
        </w:rPr>
        <w:t> </w:t>
      </w:r>
      <w:r>
        <w:rPr/>
        <w:t>On</w:t>
      </w:r>
      <w:r>
        <w:rPr>
          <w:spacing w:val="-14"/>
        </w:rPr>
        <w:t> </w:t>
      </w:r>
      <w:r>
        <w:rPr/>
        <w:t>the</w:t>
      </w:r>
      <w:r>
        <w:rPr>
          <w:spacing w:val="-17"/>
        </w:rPr>
        <w:t> </w:t>
      </w:r>
      <w:r>
        <w:rPr/>
        <w:t>outside,</w:t>
      </w:r>
      <w:r>
        <w:rPr>
          <w:spacing w:val="-14"/>
        </w:rPr>
        <w:t> </w:t>
      </w:r>
      <w:r>
        <w:rPr/>
        <w:t>wrinkles</w:t>
      </w:r>
      <w:r>
        <w:rPr>
          <w:spacing w:val="-14"/>
        </w:rPr>
        <w:t> </w:t>
      </w:r>
      <w:r>
        <w:rPr/>
        <w:t>and</w:t>
      </w:r>
      <w:r>
        <w:rPr>
          <w:spacing w:val="-14"/>
        </w:rPr>
        <w:t> </w:t>
      </w:r>
      <w:r>
        <w:rPr/>
        <w:t>sagging</w:t>
      </w:r>
      <w:r>
        <w:rPr>
          <w:spacing w:val="-15"/>
        </w:rPr>
        <w:t> </w:t>
      </w:r>
      <w:r>
        <w:rPr/>
        <w:t>skin</w:t>
      </w:r>
      <w:r>
        <w:rPr>
          <w:spacing w:val="-19"/>
        </w:rPr>
        <w:t> </w:t>
      </w:r>
      <w:r>
        <w:rPr/>
        <w:t>characterise</w:t>
      </w:r>
      <w:r>
        <w:rPr>
          <w:spacing w:val="-14"/>
        </w:rPr>
        <w:t> </w:t>
      </w:r>
      <w:r>
        <w:rPr/>
        <w:t>this</w:t>
      </w:r>
      <w:r>
        <w:rPr>
          <w:spacing w:val="-18"/>
        </w:rPr>
        <w:t> </w:t>
      </w:r>
      <w:r>
        <w:rPr/>
        <w:t>process</w:t>
      </w:r>
      <w:r>
        <w:rPr>
          <w:spacing w:val="-16"/>
        </w:rPr>
        <w:t> </w:t>
      </w:r>
      <w:r>
        <w:rPr/>
        <w:t>as</w:t>
      </w:r>
      <w:r>
        <w:rPr>
          <w:spacing w:val="-16"/>
        </w:rPr>
        <w:t> </w:t>
      </w:r>
      <w:r>
        <w:rPr/>
        <w:t>part of an ageing process that can be effectively defeated with the ingestion of col- loidal gold. Worse than this primary visual deficiency is the effect of the same AGEs on our blood vessels, where glycation favours the development of ath- erosclerosis.</w:t>
      </w:r>
    </w:p>
    <w:p>
      <w:pPr>
        <w:pStyle w:val="Heading1"/>
        <w:spacing w:before="223"/>
        <w:jc w:val="both"/>
      </w:pPr>
      <w:r>
        <w:rPr/>
        <w:t>Colloidal gold reverses glycation</w:t>
      </w:r>
    </w:p>
    <w:p>
      <w:pPr>
        <w:pStyle w:val="BodyText"/>
        <w:spacing w:before="300"/>
        <w:ind w:left="477"/>
        <w:jc w:val="both"/>
      </w:pPr>
      <w:r>
        <w:rPr/>
        <w:t>In studies, colloidal gold has demonstrated a phenomenal anti-glycation </w:t>
      </w:r>
      <w:r>
        <w:rPr>
          <w:spacing w:val="3"/>
        </w:rPr>
        <w:t> </w:t>
      </w:r>
      <w:r>
        <w:rPr/>
        <w:t>effect</w:t>
      </w:r>
    </w:p>
    <w:p>
      <w:pPr>
        <w:pStyle w:val="BodyText"/>
        <w:spacing w:before="64"/>
        <w:ind w:left="477"/>
        <w:jc w:val="both"/>
      </w:pPr>
      <w:r>
        <w:rPr/>
        <w:t>–</w:t>
      </w:r>
      <w:r>
        <w:rPr>
          <w:spacing w:val="17"/>
        </w:rPr>
        <w:t> </w:t>
      </w:r>
      <w:r>
        <w:rPr/>
        <w:t>it</w:t>
      </w:r>
      <w:r>
        <w:rPr>
          <w:spacing w:val="17"/>
        </w:rPr>
        <w:t> </w:t>
      </w:r>
      <w:r>
        <w:rPr/>
        <w:t>has</w:t>
      </w:r>
      <w:r>
        <w:rPr>
          <w:spacing w:val="17"/>
        </w:rPr>
        <w:t> </w:t>
      </w:r>
      <w:r>
        <w:rPr/>
        <w:t>been</w:t>
      </w:r>
      <w:r>
        <w:rPr>
          <w:spacing w:val="18"/>
        </w:rPr>
        <w:t> </w:t>
      </w:r>
      <w:r>
        <w:rPr/>
        <w:t>shown</w:t>
      </w:r>
      <w:r>
        <w:rPr>
          <w:spacing w:val="17"/>
        </w:rPr>
        <w:t> </w:t>
      </w:r>
      <w:r>
        <w:rPr/>
        <w:t>that</w:t>
      </w:r>
      <w:r>
        <w:rPr>
          <w:spacing w:val="18"/>
        </w:rPr>
        <w:t> </w:t>
      </w:r>
      <w:r>
        <w:rPr/>
        <w:t>colloidal</w:t>
      </w:r>
      <w:r>
        <w:rPr>
          <w:spacing w:val="16"/>
        </w:rPr>
        <w:t> </w:t>
      </w:r>
      <w:r>
        <w:rPr/>
        <w:t>gold</w:t>
      </w:r>
      <w:r>
        <w:rPr>
          <w:spacing w:val="16"/>
        </w:rPr>
        <w:t> </w:t>
      </w:r>
      <w:r>
        <w:rPr/>
        <w:t>not</w:t>
      </w:r>
      <w:r>
        <w:rPr>
          <w:spacing w:val="17"/>
        </w:rPr>
        <w:t> </w:t>
      </w:r>
      <w:r>
        <w:rPr/>
        <w:t>only</w:t>
      </w:r>
      <w:r>
        <w:rPr>
          <w:spacing w:val="16"/>
        </w:rPr>
        <w:t> </w:t>
      </w:r>
      <w:r>
        <w:rPr/>
        <w:t>protects</w:t>
      </w:r>
      <w:r>
        <w:rPr>
          <w:spacing w:val="18"/>
        </w:rPr>
        <w:t> </w:t>
      </w:r>
      <w:r>
        <w:rPr/>
        <w:t>against</w:t>
      </w:r>
      <w:r>
        <w:rPr>
          <w:spacing w:val="17"/>
        </w:rPr>
        <w:t> </w:t>
      </w:r>
      <w:r>
        <w:rPr/>
        <w:t>harmful</w:t>
      </w:r>
      <w:r>
        <w:rPr>
          <w:spacing w:val="15"/>
        </w:rPr>
        <w:t> </w:t>
      </w:r>
      <w:r>
        <w:rPr/>
        <w:t>sac-</w:t>
      </w:r>
    </w:p>
    <w:p>
      <w:pPr>
        <w:spacing w:after="0"/>
        <w:jc w:val="both"/>
        <w:sectPr>
          <w:pgSz w:w="14270" w:h="16850"/>
          <w:pgMar w:header="0" w:footer="1891" w:top="1600" w:bottom="2080" w:left="800" w:right="1280"/>
        </w:sectPr>
      </w:pPr>
    </w:p>
    <w:p>
      <w:pPr>
        <w:pStyle w:val="BodyText"/>
        <w:spacing w:line="276" w:lineRule="auto" w:before="181"/>
        <w:ind w:left="477" w:right="133"/>
        <w:jc w:val="both"/>
        <w:rPr>
          <w:sz w:val="25"/>
        </w:rPr>
      </w:pPr>
      <w:r>
        <w:rPr/>
        <w:t>charification,</w:t>
      </w:r>
      <w:r>
        <w:rPr>
          <w:spacing w:val="-8"/>
        </w:rPr>
        <w:t> </w:t>
      </w:r>
      <w:r>
        <w:rPr/>
        <w:t>but</w:t>
      </w:r>
      <w:r>
        <w:rPr>
          <w:spacing w:val="-10"/>
        </w:rPr>
        <w:t> </w:t>
      </w:r>
      <w:r>
        <w:rPr/>
        <w:t>is</w:t>
      </w:r>
      <w:r>
        <w:rPr>
          <w:spacing w:val="-9"/>
        </w:rPr>
        <w:t> </w:t>
      </w:r>
      <w:r>
        <w:rPr/>
        <w:t>also</w:t>
      </w:r>
      <w:r>
        <w:rPr>
          <w:spacing w:val="-8"/>
        </w:rPr>
        <w:t> </w:t>
      </w:r>
      <w:r>
        <w:rPr/>
        <w:t>able</w:t>
      </w:r>
      <w:r>
        <w:rPr>
          <w:spacing w:val="-10"/>
        </w:rPr>
        <w:t> </w:t>
      </w:r>
      <w:r>
        <w:rPr/>
        <w:t>to</w:t>
      </w:r>
      <w:r>
        <w:rPr>
          <w:spacing w:val="-9"/>
        </w:rPr>
        <w:t> </w:t>
      </w:r>
      <w:r>
        <w:rPr/>
        <w:t>revise</w:t>
      </w:r>
      <w:r>
        <w:rPr>
          <w:spacing w:val="-9"/>
        </w:rPr>
        <w:t> </w:t>
      </w:r>
      <w:r>
        <w:rPr/>
        <w:t>significant</w:t>
      </w:r>
      <w:r>
        <w:rPr>
          <w:spacing w:val="-6"/>
        </w:rPr>
        <w:t> </w:t>
      </w:r>
      <w:r>
        <w:rPr/>
        <w:t>glycation</w:t>
      </w:r>
      <w:r>
        <w:rPr>
          <w:spacing w:val="-9"/>
        </w:rPr>
        <w:t> </w:t>
      </w:r>
      <w:r>
        <w:rPr/>
        <w:t>damage</w:t>
      </w:r>
      <w:r>
        <w:rPr>
          <w:spacing w:val="-9"/>
        </w:rPr>
        <w:t> </w:t>
      </w:r>
      <w:r>
        <w:rPr/>
        <w:t>to</w:t>
      </w:r>
      <w:r>
        <w:rPr>
          <w:spacing w:val="-9"/>
        </w:rPr>
        <w:t> </w:t>
      </w:r>
      <w:r>
        <w:rPr/>
        <w:t>a</w:t>
      </w:r>
      <w:r>
        <w:rPr>
          <w:spacing w:val="-9"/>
        </w:rPr>
        <w:t> </w:t>
      </w:r>
      <w:r>
        <w:rPr/>
        <w:t>remark- able extent! Glycation within human skin was reduced by 56 %.</w:t>
      </w:r>
      <w:r>
        <w:rPr>
          <w:position w:val="9"/>
          <w:sz w:val="25"/>
        </w:rPr>
        <w:t>411 </w:t>
      </w:r>
      <w:r>
        <w:rPr/>
        <w:t>The gly- cation-related distances between the tissue fibres in human skin further de- creased by 40</w:t>
      </w:r>
      <w:r>
        <w:rPr>
          <w:spacing w:val="2"/>
        </w:rPr>
        <w:t> </w:t>
      </w:r>
      <w:r>
        <w:rPr/>
        <w:t>%!</w:t>
      </w:r>
      <w:r>
        <w:rPr>
          <w:position w:val="9"/>
          <w:sz w:val="25"/>
        </w:rPr>
        <w:t>412</w:t>
      </w:r>
    </w:p>
    <w:p>
      <w:pPr>
        <w:pStyle w:val="BodyText"/>
        <w:rPr>
          <w:sz w:val="42"/>
        </w:rPr>
      </w:pPr>
    </w:p>
    <w:p>
      <w:pPr>
        <w:pStyle w:val="BodyText"/>
        <w:spacing w:before="9"/>
        <w:rPr>
          <w:sz w:val="42"/>
        </w:rPr>
      </w:pPr>
    </w:p>
    <w:p>
      <w:pPr>
        <w:pStyle w:val="Heading1"/>
        <w:spacing w:before="0"/>
      </w:pPr>
      <w:r>
        <w:rPr/>
        <w:t>Gold improves nutrient uptake and optimises metabolic processes</w:t>
      </w:r>
    </w:p>
    <w:p>
      <w:pPr>
        <w:pStyle w:val="BodyText"/>
        <w:spacing w:line="276" w:lineRule="auto" w:before="300"/>
        <w:ind w:left="477" w:right="135"/>
        <w:jc w:val="both"/>
      </w:pPr>
      <w:r>
        <w:rPr/>
        <w:t>By</w:t>
      </w:r>
      <w:r>
        <w:rPr>
          <w:spacing w:val="-12"/>
        </w:rPr>
        <w:t> </w:t>
      </w:r>
      <w:r>
        <w:rPr/>
        <w:t>improving</w:t>
      </w:r>
      <w:r>
        <w:rPr>
          <w:spacing w:val="-11"/>
        </w:rPr>
        <w:t> </w:t>
      </w:r>
      <w:r>
        <w:rPr/>
        <w:t>the</w:t>
      </w:r>
      <w:r>
        <w:rPr>
          <w:spacing w:val="-10"/>
        </w:rPr>
        <w:t> </w:t>
      </w:r>
      <w:r>
        <w:rPr/>
        <w:t>colloidal</w:t>
      </w:r>
      <w:r>
        <w:rPr>
          <w:spacing w:val="-13"/>
        </w:rPr>
        <w:t> </w:t>
      </w:r>
      <w:r>
        <w:rPr/>
        <w:t>properties</w:t>
      </w:r>
      <w:r>
        <w:rPr>
          <w:spacing w:val="-10"/>
        </w:rPr>
        <w:t> </w:t>
      </w:r>
      <w:r>
        <w:rPr/>
        <w:t>of</w:t>
      </w:r>
      <w:r>
        <w:rPr>
          <w:spacing w:val="-11"/>
        </w:rPr>
        <w:t> </w:t>
      </w:r>
      <w:r>
        <w:rPr/>
        <w:t>the</w:t>
      </w:r>
      <w:r>
        <w:rPr>
          <w:spacing w:val="-10"/>
        </w:rPr>
        <w:t> </w:t>
      </w:r>
      <w:r>
        <w:rPr/>
        <w:t>blood,</w:t>
      </w:r>
      <w:r>
        <w:rPr>
          <w:spacing w:val="-11"/>
        </w:rPr>
        <w:t> </w:t>
      </w:r>
      <w:r>
        <w:rPr/>
        <w:t>colloidal</w:t>
      </w:r>
      <w:r>
        <w:rPr>
          <w:spacing w:val="-13"/>
        </w:rPr>
        <w:t> </w:t>
      </w:r>
      <w:r>
        <w:rPr/>
        <w:t>gold</w:t>
      </w:r>
      <w:r>
        <w:rPr>
          <w:spacing w:val="-9"/>
        </w:rPr>
        <w:t> </w:t>
      </w:r>
      <w:r>
        <w:rPr/>
        <w:t>optimises</w:t>
      </w:r>
      <w:r>
        <w:rPr>
          <w:spacing w:val="-9"/>
        </w:rPr>
        <w:t> </w:t>
      </w:r>
      <w:r>
        <w:rPr/>
        <w:t>our entire metabolism. Nutrients are absorbed better, toxins are excreted more ef- ficiently and digestion is promoted. This not only benefits the cell metabolism of</w:t>
      </w:r>
      <w:r>
        <w:rPr>
          <w:spacing w:val="-17"/>
        </w:rPr>
        <w:t> </w:t>
      </w:r>
      <w:r>
        <w:rPr/>
        <w:t>all</w:t>
      </w:r>
      <w:r>
        <w:rPr>
          <w:spacing w:val="-18"/>
        </w:rPr>
        <w:t> </w:t>
      </w:r>
      <w:r>
        <w:rPr/>
        <w:t>our</w:t>
      </w:r>
      <w:r>
        <w:rPr>
          <w:spacing w:val="-19"/>
        </w:rPr>
        <w:t> </w:t>
      </w:r>
      <w:r>
        <w:rPr/>
        <w:t>tissue</w:t>
      </w:r>
      <w:r>
        <w:rPr>
          <w:spacing w:val="-17"/>
        </w:rPr>
        <w:t> </w:t>
      </w:r>
      <w:r>
        <w:rPr/>
        <w:t>forms</w:t>
      </w:r>
      <w:r>
        <w:rPr>
          <w:spacing w:val="-16"/>
        </w:rPr>
        <w:t> </w:t>
      </w:r>
      <w:r>
        <w:rPr/>
        <w:t>and</w:t>
      </w:r>
      <w:r>
        <w:rPr>
          <w:spacing w:val="-19"/>
        </w:rPr>
        <w:t> </w:t>
      </w:r>
      <w:r>
        <w:rPr/>
        <w:t>organs</w:t>
      </w:r>
      <w:r>
        <w:rPr>
          <w:spacing w:val="-18"/>
        </w:rPr>
        <w:t> </w:t>
      </w:r>
      <w:r>
        <w:rPr/>
        <w:t>but</w:t>
      </w:r>
      <w:r>
        <w:rPr>
          <w:spacing w:val="-18"/>
        </w:rPr>
        <w:t> </w:t>
      </w:r>
      <w:r>
        <w:rPr/>
        <w:t>colloidal</w:t>
      </w:r>
      <w:r>
        <w:rPr>
          <w:spacing w:val="-18"/>
        </w:rPr>
        <w:t> </w:t>
      </w:r>
      <w:r>
        <w:rPr/>
        <w:t>gold,</w:t>
      </w:r>
      <w:r>
        <w:rPr>
          <w:spacing w:val="-16"/>
        </w:rPr>
        <w:t> </w:t>
      </w:r>
      <w:r>
        <w:rPr/>
        <w:t>as</w:t>
      </w:r>
      <w:r>
        <w:rPr>
          <w:spacing w:val="-19"/>
        </w:rPr>
        <w:t> </w:t>
      </w:r>
      <w:r>
        <w:rPr/>
        <w:t>we</w:t>
      </w:r>
      <w:r>
        <w:rPr>
          <w:spacing w:val="-17"/>
        </w:rPr>
        <w:t> </w:t>
      </w:r>
      <w:r>
        <w:rPr/>
        <w:t>will</w:t>
      </w:r>
      <w:r>
        <w:rPr>
          <w:spacing w:val="-18"/>
        </w:rPr>
        <w:t> </w:t>
      </w:r>
      <w:r>
        <w:rPr/>
        <w:t>read</w:t>
      </w:r>
      <w:r>
        <w:rPr>
          <w:spacing w:val="-20"/>
        </w:rPr>
        <w:t> </w:t>
      </w:r>
      <w:r>
        <w:rPr/>
        <w:t>later,</w:t>
      </w:r>
      <w:r>
        <w:rPr>
          <w:spacing w:val="-18"/>
        </w:rPr>
        <w:t> </w:t>
      </w:r>
      <w:r>
        <w:rPr/>
        <w:t>proves to be an excellent remedy for chronic obesity due to these</w:t>
      </w:r>
      <w:r>
        <w:rPr>
          <w:spacing w:val="-10"/>
        </w:rPr>
        <w:t> </w:t>
      </w:r>
      <w:r>
        <w:rPr/>
        <w:t>properties.</w:t>
      </w:r>
    </w:p>
    <w:p>
      <w:pPr>
        <w:pStyle w:val="Heading1"/>
        <w:spacing w:before="222"/>
      </w:pPr>
      <w:r>
        <w:rPr/>
        <w:t>Gold detoxifies the organism and cleanses the body, mind and soul</w:t>
      </w:r>
    </w:p>
    <w:p>
      <w:pPr>
        <w:pStyle w:val="BodyText"/>
        <w:spacing w:line="276" w:lineRule="auto" w:before="300"/>
        <w:ind w:left="477" w:right="132"/>
        <w:jc w:val="both"/>
      </w:pPr>
      <w:r>
        <w:rPr/>
        <w:t>By optimising metabolic processes, gold purifies our body, the positive influ- ence</w:t>
      </w:r>
      <w:r>
        <w:rPr>
          <w:spacing w:val="-11"/>
        </w:rPr>
        <w:t> </w:t>
      </w:r>
      <w:r>
        <w:rPr/>
        <w:t>on</w:t>
      </w:r>
      <w:r>
        <w:rPr>
          <w:spacing w:val="-11"/>
        </w:rPr>
        <w:t> </w:t>
      </w:r>
      <w:r>
        <w:rPr/>
        <w:t>our</w:t>
      </w:r>
      <w:r>
        <w:rPr>
          <w:spacing w:val="-11"/>
        </w:rPr>
        <w:t> </w:t>
      </w:r>
      <w:r>
        <w:rPr/>
        <w:t>inner</w:t>
      </w:r>
      <w:r>
        <w:rPr>
          <w:spacing w:val="-11"/>
        </w:rPr>
        <w:t> </w:t>
      </w:r>
      <w:r>
        <w:rPr/>
        <w:t>balance</w:t>
      </w:r>
      <w:r>
        <w:rPr>
          <w:spacing w:val="-11"/>
        </w:rPr>
        <w:t> </w:t>
      </w:r>
      <w:r>
        <w:rPr/>
        <w:t>resulting</w:t>
      </w:r>
      <w:r>
        <w:rPr>
          <w:spacing w:val="-11"/>
        </w:rPr>
        <w:t> </w:t>
      </w:r>
      <w:r>
        <w:rPr/>
        <w:t>from</w:t>
      </w:r>
      <w:r>
        <w:rPr>
          <w:spacing w:val="-12"/>
        </w:rPr>
        <w:t> </w:t>
      </w:r>
      <w:r>
        <w:rPr/>
        <w:t>the</w:t>
      </w:r>
      <w:r>
        <w:rPr>
          <w:spacing w:val="-10"/>
        </w:rPr>
        <w:t> </w:t>
      </w:r>
      <w:r>
        <w:rPr/>
        <w:t>improved</w:t>
      </w:r>
      <w:r>
        <w:rPr>
          <w:spacing w:val="-12"/>
        </w:rPr>
        <w:t> </w:t>
      </w:r>
      <w:r>
        <w:rPr/>
        <w:t>electro-magnetic</w:t>
      </w:r>
      <w:r>
        <w:rPr>
          <w:spacing w:val="-12"/>
        </w:rPr>
        <w:t> </w:t>
      </w:r>
      <w:r>
        <w:rPr/>
        <w:t>energy flow,</w:t>
      </w:r>
      <w:r>
        <w:rPr>
          <w:spacing w:val="-18"/>
        </w:rPr>
        <w:t> </w:t>
      </w:r>
      <w:r>
        <w:rPr/>
        <w:t>intuition,</w:t>
      </w:r>
      <w:r>
        <w:rPr>
          <w:spacing w:val="-15"/>
        </w:rPr>
        <w:t> </w:t>
      </w:r>
      <w:r>
        <w:rPr/>
        <w:t>sharpened</w:t>
      </w:r>
      <w:r>
        <w:rPr>
          <w:spacing w:val="-16"/>
        </w:rPr>
        <w:t> </w:t>
      </w:r>
      <w:r>
        <w:rPr/>
        <w:t>perception,</w:t>
      </w:r>
      <w:r>
        <w:rPr>
          <w:spacing w:val="-15"/>
        </w:rPr>
        <w:t> </w:t>
      </w:r>
      <w:r>
        <w:rPr/>
        <w:t>harmonisation</w:t>
      </w:r>
      <w:r>
        <w:rPr>
          <w:spacing w:val="-11"/>
        </w:rPr>
        <w:t> </w:t>
      </w:r>
      <w:r>
        <w:rPr/>
        <w:t>and</w:t>
      </w:r>
      <w:r>
        <w:rPr>
          <w:spacing w:val="-15"/>
        </w:rPr>
        <w:t> </w:t>
      </w:r>
      <w:r>
        <w:rPr/>
        <w:t>de-stressing</w:t>
      </w:r>
      <w:r>
        <w:rPr>
          <w:spacing w:val="-15"/>
        </w:rPr>
        <w:t> </w:t>
      </w:r>
      <w:r>
        <w:rPr/>
        <w:t>‘cleanses’ our soul and our</w:t>
      </w:r>
      <w:r>
        <w:rPr>
          <w:spacing w:val="1"/>
        </w:rPr>
        <w:t> </w:t>
      </w:r>
      <w:r>
        <w:rPr/>
        <w:t>spirit.</w:t>
      </w:r>
    </w:p>
    <w:p>
      <w:pPr>
        <w:pStyle w:val="Heading1"/>
        <w:jc w:val="both"/>
      </w:pPr>
      <w:r>
        <w:rPr/>
        <w:t>In summary, gold has the following</w:t>
      </w:r>
      <w:r>
        <w:rPr>
          <w:spacing w:val="-67"/>
        </w:rPr>
        <w:t> </w:t>
      </w:r>
      <w:r>
        <w:rPr/>
        <w:t>effects:</w:t>
      </w:r>
    </w:p>
    <w:p>
      <w:pPr>
        <w:pStyle w:val="ListParagraph"/>
        <w:numPr>
          <w:ilvl w:val="0"/>
          <w:numId w:val="41"/>
        </w:numPr>
        <w:tabs>
          <w:tab w:pos="691" w:val="left" w:leader="none"/>
        </w:tabs>
        <w:spacing w:line="240" w:lineRule="auto" w:before="300" w:after="0"/>
        <w:ind w:left="477" w:right="0" w:firstLine="0"/>
        <w:jc w:val="both"/>
        <w:rPr>
          <w:sz w:val="38"/>
        </w:rPr>
      </w:pPr>
      <w:r>
        <w:rPr>
          <w:sz w:val="38"/>
        </w:rPr>
        <w:t>regulative</w:t>
      </w:r>
    </w:p>
    <w:p>
      <w:pPr>
        <w:pStyle w:val="BodyText"/>
        <w:spacing w:before="6"/>
        <w:rPr>
          <w:sz w:val="22"/>
        </w:rPr>
      </w:pPr>
      <w:r>
        <w:rPr/>
        <w:pict>
          <v:line style="position:absolute;mso-position-horizontal-relative:page;mso-position-vertical-relative:paragraph;z-index:4904;mso-wrap-distance-left:0;mso-wrap-distance-right:0" from="63.863998pt,15.058735pt" to="207.883998pt,15.058735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411 </w:t>
      </w:r>
      <w:r>
        <w:rPr>
          <w:sz w:val="20"/>
        </w:rPr>
        <w:t>https://</w:t>
      </w:r>
      <w:hyperlink r:id="rId166">
        <w:r>
          <w:rPr>
            <w:sz w:val="20"/>
          </w:rPr>
          <w:t>www.researchgate.net/publication/221794610_Anti-glycation_Effect_of_Gold_Nanoparticles_on_Collagen</w:t>
        </w:r>
      </w:hyperlink>
    </w:p>
    <w:p>
      <w:pPr>
        <w:spacing w:line="276" w:lineRule="auto" w:before="92"/>
        <w:ind w:left="477" w:right="422" w:firstLine="0"/>
        <w:jc w:val="left"/>
        <w:rPr>
          <w:sz w:val="20"/>
        </w:rPr>
      </w:pPr>
      <w:r>
        <w:rPr>
          <w:position w:val="5"/>
          <w:sz w:val="13"/>
        </w:rPr>
        <w:t>412 </w:t>
      </w:r>
      <w:hyperlink r:id="rId167">
        <w:r>
          <w:rPr>
            <w:sz w:val="20"/>
          </w:rPr>
          <w:t>http://info.kopp-verlag.de/medizin-und-gesundheit/gesundes-leben/brigitte-hamann/kolloidales-gold-entdecken-sie-eines-der-grossartigsten-</w:t>
        </w:r>
      </w:hyperlink>
      <w:r>
        <w:rPr>
          <w:sz w:val="20"/>
        </w:rPr>
        <w:t> heil-und-verjuengungsmittel.html</w:t>
      </w:r>
    </w:p>
    <w:p>
      <w:pPr>
        <w:spacing w:after="0" w:line="276" w:lineRule="auto"/>
        <w:jc w:val="left"/>
        <w:rPr>
          <w:sz w:val="20"/>
        </w:rPr>
        <w:sectPr>
          <w:pgSz w:w="14270" w:h="16850"/>
          <w:pgMar w:header="0" w:footer="1891" w:top="1600" w:bottom="2080" w:left="800" w:right="1280"/>
        </w:sectPr>
      </w:pPr>
    </w:p>
    <w:p>
      <w:pPr>
        <w:pStyle w:val="ListParagraph"/>
        <w:numPr>
          <w:ilvl w:val="0"/>
          <w:numId w:val="41"/>
        </w:numPr>
        <w:tabs>
          <w:tab w:pos="691" w:val="left" w:leader="none"/>
        </w:tabs>
        <w:spacing w:line="240" w:lineRule="auto" w:before="181" w:after="0"/>
        <w:ind w:left="477" w:right="0" w:firstLine="0"/>
        <w:jc w:val="left"/>
        <w:rPr>
          <w:sz w:val="38"/>
        </w:rPr>
      </w:pPr>
      <w:r>
        <w:rPr>
          <w:sz w:val="38"/>
        </w:rPr>
        <w:t>reparative</w:t>
      </w:r>
    </w:p>
    <w:p>
      <w:pPr>
        <w:pStyle w:val="ListParagraph"/>
        <w:numPr>
          <w:ilvl w:val="0"/>
          <w:numId w:val="41"/>
        </w:numPr>
        <w:tabs>
          <w:tab w:pos="691" w:val="left" w:leader="none"/>
        </w:tabs>
        <w:spacing w:line="240" w:lineRule="auto" w:before="305" w:after="0"/>
        <w:ind w:left="477" w:right="0" w:firstLine="0"/>
        <w:jc w:val="left"/>
        <w:rPr>
          <w:sz w:val="38"/>
        </w:rPr>
      </w:pPr>
      <w:r>
        <w:rPr>
          <w:sz w:val="38"/>
        </w:rPr>
        <w:t>regenerative</w:t>
      </w:r>
    </w:p>
    <w:p>
      <w:pPr>
        <w:pStyle w:val="ListParagraph"/>
        <w:numPr>
          <w:ilvl w:val="0"/>
          <w:numId w:val="41"/>
        </w:numPr>
        <w:tabs>
          <w:tab w:pos="691" w:val="left" w:leader="none"/>
        </w:tabs>
        <w:spacing w:line="240" w:lineRule="auto" w:before="304" w:after="0"/>
        <w:ind w:left="477" w:right="0" w:firstLine="0"/>
        <w:jc w:val="left"/>
        <w:rPr>
          <w:sz w:val="38"/>
        </w:rPr>
      </w:pPr>
      <w:r>
        <w:rPr>
          <w:sz w:val="38"/>
        </w:rPr>
        <w:t>energetic</w:t>
      </w:r>
    </w:p>
    <w:p>
      <w:pPr>
        <w:pStyle w:val="ListParagraph"/>
        <w:numPr>
          <w:ilvl w:val="0"/>
          <w:numId w:val="41"/>
        </w:numPr>
        <w:tabs>
          <w:tab w:pos="691" w:val="left" w:leader="none"/>
        </w:tabs>
        <w:spacing w:line="240" w:lineRule="auto" w:before="305" w:after="0"/>
        <w:ind w:left="477" w:right="0" w:firstLine="0"/>
        <w:jc w:val="left"/>
        <w:rPr>
          <w:sz w:val="38"/>
        </w:rPr>
      </w:pPr>
      <w:r>
        <w:rPr>
          <w:sz w:val="38"/>
        </w:rPr>
        <w:t>calming</w:t>
      </w:r>
    </w:p>
    <w:p>
      <w:pPr>
        <w:pStyle w:val="ListParagraph"/>
        <w:numPr>
          <w:ilvl w:val="0"/>
          <w:numId w:val="41"/>
        </w:numPr>
        <w:tabs>
          <w:tab w:pos="691" w:val="left" w:leader="none"/>
        </w:tabs>
        <w:spacing w:line="240" w:lineRule="auto" w:before="304" w:after="0"/>
        <w:ind w:left="477" w:right="0" w:firstLine="0"/>
        <w:jc w:val="left"/>
        <w:rPr>
          <w:sz w:val="38"/>
        </w:rPr>
      </w:pPr>
      <w:r>
        <w:rPr>
          <w:sz w:val="38"/>
        </w:rPr>
        <w:t>activating</w:t>
      </w:r>
    </w:p>
    <w:p>
      <w:pPr>
        <w:pStyle w:val="ListParagraph"/>
        <w:numPr>
          <w:ilvl w:val="0"/>
          <w:numId w:val="41"/>
        </w:numPr>
        <w:tabs>
          <w:tab w:pos="691" w:val="left" w:leader="none"/>
        </w:tabs>
        <w:spacing w:line="240" w:lineRule="auto" w:before="303" w:after="0"/>
        <w:ind w:left="477" w:right="0" w:firstLine="0"/>
        <w:jc w:val="left"/>
        <w:rPr>
          <w:sz w:val="38"/>
        </w:rPr>
      </w:pPr>
      <w:r>
        <w:rPr>
          <w:sz w:val="38"/>
        </w:rPr>
        <w:t>antioxidant (protects against free</w:t>
      </w:r>
      <w:r>
        <w:rPr>
          <w:spacing w:val="-3"/>
          <w:sz w:val="38"/>
        </w:rPr>
        <w:t> </w:t>
      </w:r>
      <w:r>
        <w:rPr>
          <w:sz w:val="38"/>
        </w:rPr>
        <w:t>radicals)</w:t>
      </w:r>
    </w:p>
    <w:p>
      <w:pPr>
        <w:pStyle w:val="ListParagraph"/>
        <w:numPr>
          <w:ilvl w:val="0"/>
          <w:numId w:val="41"/>
        </w:numPr>
        <w:tabs>
          <w:tab w:pos="691" w:val="left" w:leader="none"/>
        </w:tabs>
        <w:spacing w:line="240" w:lineRule="auto" w:before="305" w:after="0"/>
        <w:ind w:left="477" w:right="0" w:firstLine="0"/>
        <w:jc w:val="left"/>
        <w:rPr>
          <w:sz w:val="38"/>
        </w:rPr>
      </w:pPr>
      <w:r>
        <w:rPr>
          <w:sz w:val="38"/>
        </w:rPr>
        <w:t>anti-inflammatory</w:t>
      </w:r>
    </w:p>
    <w:p>
      <w:pPr>
        <w:pStyle w:val="ListParagraph"/>
        <w:numPr>
          <w:ilvl w:val="0"/>
          <w:numId w:val="41"/>
        </w:numPr>
        <w:tabs>
          <w:tab w:pos="691" w:val="left" w:leader="none"/>
        </w:tabs>
        <w:spacing w:line="240" w:lineRule="auto" w:before="304" w:after="0"/>
        <w:ind w:left="477" w:right="0" w:firstLine="0"/>
        <w:jc w:val="left"/>
        <w:rPr>
          <w:sz w:val="38"/>
        </w:rPr>
      </w:pPr>
      <w:r>
        <w:rPr>
          <w:sz w:val="38"/>
        </w:rPr>
        <w:t>antibacterial</w:t>
      </w:r>
    </w:p>
    <w:p>
      <w:pPr>
        <w:pStyle w:val="ListParagraph"/>
        <w:numPr>
          <w:ilvl w:val="0"/>
          <w:numId w:val="41"/>
        </w:numPr>
        <w:tabs>
          <w:tab w:pos="691" w:val="left" w:leader="none"/>
        </w:tabs>
        <w:spacing w:line="240" w:lineRule="auto" w:before="305" w:after="0"/>
        <w:ind w:left="477" w:right="0" w:firstLine="0"/>
        <w:jc w:val="left"/>
        <w:rPr>
          <w:sz w:val="38"/>
        </w:rPr>
      </w:pPr>
      <w:r>
        <w:rPr>
          <w:sz w:val="38"/>
        </w:rPr>
        <w:t>antiviral</w:t>
      </w:r>
    </w:p>
    <w:p>
      <w:pPr>
        <w:pStyle w:val="ListParagraph"/>
        <w:numPr>
          <w:ilvl w:val="0"/>
          <w:numId w:val="41"/>
        </w:numPr>
        <w:tabs>
          <w:tab w:pos="691" w:val="left" w:leader="none"/>
        </w:tabs>
        <w:spacing w:line="240" w:lineRule="auto" w:before="305" w:after="0"/>
        <w:ind w:left="477" w:right="0" w:firstLine="0"/>
        <w:jc w:val="left"/>
        <w:rPr>
          <w:sz w:val="38"/>
        </w:rPr>
      </w:pPr>
      <w:r>
        <w:rPr>
          <w:sz w:val="38"/>
        </w:rPr>
        <w:t>antitumoural</w:t>
      </w:r>
    </w:p>
    <w:p>
      <w:pPr>
        <w:pStyle w:val="ListParagraph"/>
        <w:numPr>
          <w:ilvl w:val="0"/>
          <w:numId w:val="41"/>
        </w:numPr>
        <w:tabs>
          <w:tab w:pos="691" w:val="left" w:leader="none"/>
        </w:tabs>
        <w:spacing w:line="240" w:lineRule="auto" w:before="304" w:after="0"/>
        <w:ind w:left="477" w:right="0" w:firstLine="0"/>
        <w:jc w:val="left"/>
        <w:rPr>
          <w:sz w:val="38"/>
        </w:rPr>
      </w:pPr>
      <w:r>
        <w:rPr>
          <w:sz w:val="38"/>
        </w:rPr>
        <w:t>mood-enhancing</w:t>
      </w:r>
    </w:p>
    <w:p>
      <w:pPr>
        <w:pStyle w:val="ListParagraph"/>
        <w:numPr>
          <w:ilvl w:val="0"/>
          <w:numId w:val="41"/>
        </w:numPr>
        <w:tabs>
          <w:tab w:pos="691" w:val="left" w:leader="none"/>
        </w:tabs>
        <w:spacing w:line="240" w:lineRule="auto" w:before="302" w:after="0"/>
        <w:ind w:left="477" w:right="0" w:firstLine="0"/>
        <w:jc w:val="left"/>
        <w:rPr>
          <w:sz w:val="38"/>
        </w:rPr>
      </w:pPr>
      <w:r>
        <w:rPr>
          <w:sz w:val="38"/>
        </w:rPr>
        <w:t>rejuvenating</w:t>
      </w:r>
    </w:p>
    <w:p>
      <w:pPr>
        <w:pStyle w:val="ListParagraph"/>
        <w:numPr>
          <w:ilvl w:val="0"/>
          <w:numId w:val="41"/>
        </w:numPr>
        <w:tabs>
          <w:tab w:pos="691" w:val="left" w:leader="none"/>
        </w:tabs>
        <w:spacing w:line="240" w:lineRule="auto" w:before="305" w:after="0"/>
        <w:ind w:left="477" w:right="0" w:firstLine="0"/>
        <w:jc w:val="left"/>
        <w:rPr>
          <w:sz w:val="38"/>
        </w:rPr>
      </w:pPr>
      <w:r>
        <w:rPr>
          <w:sz w:val="38"/>
        </w:rPr>
        <w:t>cell</w:t>
      </w:r>
      <w:r>
        <w:rPr>
          <w:spacing w:val="-1"/>
          <w:sz w:val="38"/>
        </w:rPr>
        <w:t> </w:t>
      </w:r>
      <w:r>
        <w:rPr>
          <w:sz w:val="38"/>
        </w:rPr>
        <w:t>renewing</w:t>
      </w:r>
    </w:p>
    <w:p>
      <w:pPr>
        <w:pStyle w:val="ListParagraph"/>
        <w:numPr>
          <w:ilvl w:val="0"/>
          <w:numId w:val="41"/>
        </w:numPr>
        <w:tabs>
          <w:tab w:pos="691" w:val="left" w:leader="none"/>
        </w:tabs>
        <w:spacing w:line="240" w:lineRule="auto" w:before="304" w:after="0"/>
        <w:ind w:left="477" w:right="0" w:firstLine="0"/>
        <w:jc w:val="left"/>
        <w:rPr>
          <w:sz w:val="38"/>
        </w:rPr>
      </w:pPr>
      <w:r>
        <w:rPr>
          <w:sz w:val="38"/>
        </w:rPr>
        <w:t>detoxifying</w:t>
      </w:r>
    </w:p>
    <w:p>
      <w:pPr>
        <w:pStyle w:val="ListParagraph"/>
        <w:numPr>
          <w:ilvl w:val="0"/>
          <w:numId w:val="41"/>
        </w:numPr>
        <w:tabs>
          <w:tab w:pos="691" w:val="left" w:leader="none"/>
        </w:tabs>
        <w:spacing w:line="240" w:lineRule="auto" w:before="305" w:after="0"/>
        <w:ind w:left="477" w:right="0" w:firstLine="0"/>
        <w:jc w:val="left"/>
        <w:rPr>
          <w:sz w:val="38"/>
        </w:rPr>
      </w:pPr>
      <w:r>
        <w:rPr>
          <w:sz w:val="38"/>
        </w:rPr>
        <w:t>sleep-inducing (at</w:t>
      </w:r>
      <w:r>
        <w:rPr>
          <w:spacing w:val="2"/>
          <w:sz w:val="38"/>
        </w:rPr>
        <w:t> </w:t>
      </w:r>
      <w:r>
        <w:rPr>
          <w:sz w:val="38"/>
        </w:rPr>
        <w:t>night)</w:t>
      </w:r>
    </w:p>
    <w:p>
      <w:pPr>
        <w:pStyle w:val="ListParagraph"/>
        <w:numPr>
          <w:ilvl w:val="0"/>
          <w:numId w:val="41"/>
        </w:numPr>
        <w:tabs>
          <w:tab w:pos="691" w:val="left" w:leader="none"/>
        </w:tabs>
        <w:spacing w:line="240" w:lineRule="auto" w:before="305" w:after="0"/>
        <w:ind w:left="477" w:right="0" w:firstLine="0"/>
        <w:jc w:val="left"/>
        <w:rPr>
          <w:sz w:val="38"/>
        </w:rPr>
      </w:pPr>
      <w:r>
        <w:rPr>
          <w:sz w:val="38"/>
        </w:rPr>
        <w:t>gold increases intercellular communication</w:t>
      </w:r>
    </w:p>
    <w:p>
      <w:pPr>
        <w:spacing w:after="0" w:line="240" w:lineRule="auto"/>
        <w:jc w:val="left"/>
        <w:rPr>
          <w:sz w:val="38"/>
        </w:rPr>
        <w:sectPr>
          <w:pgSz w:w="14270" w:h="16850"/>
          <w:pgMar w:header="0" w:footer="1891" w:top="1600" w:bottom="2080" w:left="800" w:right="1280"/>
        </w:sectPr>
      </w:pPr>
    </w:p>
    <w:p>
      <w:pPr>
        <w:pStyle w:val="ListParagraph"/>
        <w:numPr>
          <w:ilvl w:val="0"/>
          <w:numId w:val="41"/>
        </w:numPr>
        <w:tabs>
          <w:tab w:pos="691" w:val="left" w:leader="none"/>
        </w:tabs>
        <w:spacing w:line="240" w:lineRule="auto" w:before="181" w:after="0"/>
        <w:ind w:left="477" w:right="0" w:firstLine="0"/>
        <w:jc w:val="left"/>
        <w:rPr>
          <w:sz w:val="38"/>
        </w:rPr>
      </w:pPr>
      <w:r>
        <w:rPr>
          <w:sz w:val="38"/>
        </w:rPr>
        <w:t>gold harmonises our nervous</w:t>
      </w:r>
      <w:r>
        <w:rPr>
          <w:spacing w:val="-4"/>
          <w:sz w:val="38"/>
        </w:rPr>
        <w:t> </w:t>
      </w:r>
      <w:r>
        <w:rPr>
          <w:sz w:val="38"/>
        </w:rPr>
        <w:t>system</w:t>
      </w:r>
    </w:p>
    <w:p>
      <w:pPr>
        <w:pStyle w:val="ListParagraph"/>
        <w:numPr>
          <w:ilvl w:val="0"/>
          <w:numId w:val="41"/>
        </w:numPr>
        <w:tabs>
          <w:tab w:pos="691" w:val="left" w:leader="none"/>
        </w:tabs>
        <w:spacing w:line="240" w:lineRule="auto" w:before="305" w:after="0"/>
        <w:ind w:left="477" w:right="0" w:firstLine="0"/>
        <w:jc w:val="left"/>
        <w:rPr>
          <w:sz w:val="38"/>
        </w:rPr>
      </w:pPr>
      <w:r>
        <w:rPr>
          <w:sz w:val="38"/>
        </w:rPr>
        <w:t>it activates and regenerates our endocrine</w:t>
      </w:r>
      <w:r>
        <w:rPr>
          <w:spacing w:val="-1"/>
          <w:sz w:val="38"/>
        </w:rPr>
        <w:t> </w:t>
      </w:r>
      <w:r>
        <w:rPr>
          <w:sz w:val="38"/>
        </w:rPr>
        <w:t>system</w:t>
      </w:r>
    </w:p>
    <w:p>
      <w:pPr>
        <w:pStyle w:val="ListParagraph"/>
        <w:numPr>
          <w:ilvl w:val="0"/>
          <w:numId w:val="41"/>
        </w:numPr>
        <w:tabs>
          <w:tab w:pos="691" w:val="left" w:leader="none"/>
        </w:tabs>
        <w:spacing w:line="240" w:lineRule="auto" w:before="304" w:after="0"/>
        <w:ind w:left="477" w:right="0" w:firstLine="0"/>
        <w:jc w:val="left"/>
        <w:rPr>
          <w:sz w:val="38"/>
        </w:rPr>
      </w:pPr>
      <w:r>
        <w:rPr>
          <w:sz w:val="38"/>
        </w:rPr>
        <w:t>gold improves blood</w:t>
      </w:r>
      <w:r>
        <w:rPr>
          <w:spacing w:val="-2"/>
          <w:sz w:val="38"/>
        </w:rPr>
        <w:t> </w:t>
      </w:r>
      <w:r>
        <w:rPr>
          <w:sz w:val="38"/>
        </w:rPr>
        <w:t>circulation</w:t>
      </w:r>
    </w:p>
    <w:p>
      <w:pPr>
        <w:pStyle w:val="ListParagraph"/>
        <w:numPr>
          <w:ilvl w:val="0"/>
          <w:numId w:val="41"/>
        </w:numPr>
        <w:tabs>
          <w:tab w:pos="691" w:val="left" w:leader="none"/>
        </w:tabs>
        <w:spacing w:line="240" w:lineRule="auto" w:before="305" w:after="0"/>
        <w:ind w:left="477" w:right="0" w:firstLine="0"/>
        <w:jc w:val="left"/>
        <w:rPr>
          <w:sz w:val="38"/>
        </w:rPr>
      </w:pPr>
      <w:r>
        <w:rPr>
          <w:sz w:val="38"/>
        </w:rPr>
        <w:t>gold makes you more</w:t>
      </w:r>
      <w:r>
        <w:rPr>
          <w:spacing w:val="-15"/>
          <w:sz w:val="38"/>
        </w:rPr>
        <w:t> </w:t>
      </w:r>
      <w:r>
        <w:rPr>
          <w:sz w:val="38"/>
        </w:rPr>
        <w:t>agile</w:t>
      </w:r>
    </w:p>
    <w:p>
      <w:pPr>
        <w:pStyle w:val="ListParagraph"/>
        <w:numPr>
          <w:ilvl w:val="0"/>
          <w:numId w:val="41"/>
        </w:numPr>
        <w:tabs>
          <w:tab w:pos="691" w:val="left" w:leader="none"/>
        </w:tabs>
        <w:spacing w:line="240" w:lineRule="auto" w:before="304" w:after="0"/>
        <w:ind w:left="477" w:right="0" w:firstLine="0"/>
        <w:jc w:val="left"/>
        <w:rPr>
          <w:sz w:val="38"/>
        </w:rPr>
      </w:pPr>
      <w:r>
        <w:rPr>
          <w:sz w:val="38"/>
        </w:rPr>
        <w:t>it improves all motor</w:t>
      </w:r>
      <w:r>
        <w:rPr>
          <w:spacing w:val="-8"/>
          <w:sz w:val="38"/>
        </w:rPr>
        <w:t> </w:t>
      </w:r>
      <w:r>
        <w:rPr>
          <w:sz w:val="38"/>
        </w:rPr>
        <w:t>skills</w:t>
      </w:r>
    </w:p>
    <w:p>
      <w:pPr>
        <w:pStyle w:val="ListParagraph"/>
        <w:numPr>
          <w:ilvl w:val="0"/>
          <w:numId w:val="41"/>
        </w:numPr>
        <w:tabs>
          <w:tab w:pos="691" w:val="left" w:leader="none"/>
        </w:tabs>
        <w:spacing w:line="240" w:lineRule="auto" w:before="303" w:after="0"/>
        <w:ind w:left="477" w:right="0" w:firstLine="0"/>
        <w:jc w:val="left"/>
        <w:rPr>
          <w:sz w:val="38"/>
        </w:rPr>
      </w:pPr>
      <w:r>
        <w:rPr>
          <w:sz w:val="38"/>
        </w:rPr>
        <w:t>gold increases (self)</w:t>
      </w:r>
      <w:r>
        <w:rPr>
          <w:spacing w:val="-2"/>
          <w:sz w:val="38"/>
        </w:rPr>
        <w:t> </w:t>
      </w:r>
      <w:r>
        <w:rPr>
          <w:sz w:val="38"/>
        </w:rPr>
        <w:t>awareness</w:t>
      </w:r>
    </w:p>
    <w:p>
      <w:pPr>
        <w:pStyle w:val="ListParagraph"/>
        <w:numPr>
          <w:ilvl w:val="0"/>
          <w:numId w:val="41"/>
        </w:numPr>
        <w:tabs>
          <w:tab w:pos="691" w:val="left" w:leader="none"/>
        </w:tabs>
        <w:spacing w:line="240" w:lineRule="auto" w:before="305" w:after="0"/>
        <w:ind w:left="477" w:right="0" w:firstLine="0"/>
        <w:jc w:val="left"/>
        <w:rPr>
          <w:sz w:val="38"/>
        </w:rPr>
      </w:pPr>
      <w:r>
        <w:rPr>
          <w:sz w:val="38"/>
        </w:rPr>
        <w:t>it increases the ability to</w:t>
      </w:r>
      <w:r>
        <w:rPr>
          <w:spacing w:val="-3"/>
          <w:sz w:val="38"/>
        </w:rPr>
        <w:t> </w:t>
      </w:r>
      <w:r>
        <w:rPr>
          <w:sz w:val="38"/>
        </w:rPr>
        <w:t>coordinate</w:t>
      </w:r>
    </w:p>
    <w:p>
      <w:pPr>
        <w:pStyle w:val="ListParagraph"/>
        <w:numPr>
          <w:ilvl w:val="0"/>
          <w:numId w:val="41"/>
        </w:numPr>
        <w:tabs>
          <w:tab w:pos="691" w:val="left" w:leader="none"/>
        </w:tabs>
        <w:spacing w:line="240" w:lineRule="auto" w:before="304" w:after="0"/>
        <w:ind w:left="477" w:right="0" w:firstLine="0"/>
        <w:jc w:val="left"/>
        <w:rPr>
          <w:sz w:val="38"/>
        </w:rPr>
      </w:pPr>
      <w:r>
        <w:rPr>
          <w:sz w:val="38"/>
        </w:rPr>
        <w:t>gold boosts</w:t>
      </w:r>
      <w:r>
        <w:rPr>
          <w:spacing w:val="-3"/>
          <w:sz w:val="38"/>
        </w:rPr>
        <w:t> </w:t>
      </w:r>
      <w:r>
        <w:rPr>
          <w:sz w:val="38"/>
        </w:rPr>
        <w:t>intelligence</w:t>
      </w:r>
    </w:p>
    <w:p>
      <w:pPr>
        <w:pStyle w:val="ListParagraph"/>
        <w:numPr>
          <w:ilvl w:val="0"/>
          <w:numId w:val="41"/>
        </w:numPr>
        <w:tabs>
          <w:tab w:pos="691" w:val="left" w:leader="none"/>
        </w:tabs>
        <w:spacing w:line="240" w:lineRule="auto" w:before="305" w:after="0"/>
        <w:ind w:left="477" w:right="0" w:firstLine="0"/>
        <w:jc w:val="left"/>
        <w:rPr>
          <w:sz w:val="38"/>
        </w:rPr>
      </w:pPr>
      <w:r>
        <w:rPr>
          <w:sz w:val="38"/>
        </w:rPr>
        <w:t>it improves our sense of time</w:t>
      </w:r>
    </w:p>
    <w:p>
      <w:pPr>
        <w:pStyle w:val="ListParagraph"/>
        <w:numPr>
          <w:ilvl w:val="0"/>
          <w:numId w:val="41"/>
        </w:numPr>
        <w:tabs>
          <w:tab w:pos="691" w:val="left" w:leader="none"/>
        </w:tabs>
        <w:spacing w:line="240" w:lineRule="auto" w:before="305" w:after="0"/>
        <w:ind w:left="477" w:right="0" w:firstLine="0"/>
        <w:jc w:val="left"/>
        <w:rPr>
          <w:sz w:val="38"/>
        </w:rPr>
      </w:pPr>
      <w:r>
        <w:rPr>
          <w:sz w:val="38"/>
        </w:rPr>
        <w:t>it increases</w:t>
      </w:r>
      <w:r>
        <w:rPr>
          <w:spacing w:val="-1"/>
          <w:sz w:val="38"/>
        </w:rPr>
        <w:t> </w:t>
      </w:r>
      <w:r>
        <w:rPr>
          <w:sz w:val="38"/>
        </w:rPr>
        <w:t>intuition</w:t>
      </w:r>
    </w:p>
    <w:p>
      <w:pPr>
        <w:pStyle w:val="ListParagraph"/>
        <w:numPr>
          <w:ilvl w:val="0"/>
          <w:numId w:val="41"/>
        </w:numPr>
        <w:tabs>
          <w:tab w:pos="691" w:val="left" w:leader="none"/>
        </w:tabs>
        <w:spacing w:line="240" w:lineRule="auto" w:before="304" w:after="0"/>
        <w:ind w:left="477" w:right="0" w:firstLine="0"/>
        <w:jc w:val="left"/>
        <w:rPr>
          <w:sz w:val="38"/>
        </w:rPr>
      </w:pPr>
      <w:r>
        <w:rPr>
          <w:sz w:val="38"/>
        </w:rPr>
        <w:t>gold calms the</w:t>
      </w:r>
      <w:r>
        <w:rPr>
          <w:spacing w:val="-1"/>
          <w:sz w:val="38"/>
        </w:rPr>
        <w:t> </w:t>
      </w:r>
      <w:r>
        <w:rPr>
          <w:sz w:val="38"/>
        </w:rPr>
        <w:t>mind</w:t>
      </w:r>
    </w:p>
    <w:p>
      <w:pPr>
        <w:pStyle w:val="ListParagraph"/>
        <w:numPr>
          <w:ilvl w:val="0"/>
          <w:numId w:val="41"/>
        </w:numPr>
        <w:tabs>
          <w:tab w:pos="691" w:val="left" w:leader="none"/>
        </w:tabs>
        <w:spacing w:line="240" w:lineRule="auto" w:before="302" w:after="0"/>
        <w:ind w:left="477" w:right="0" w:firstLine="0"/>
        <w:jc w:val="left"/>
        <w:rPr>
          <w:sz w:val="38"/>
        </w:rPr>
      </w:pPr>
      <w:r>
        <w:rPr>
          <w:sz w:val="38"/>
        </w:rPr>
        <w:t>gold increases</w:t>
      </w:r>
      <w:r>
        <w:rPr>
          <w:spacing w:val="-2"/>
          <w:sz w:val="38"/>
        </w:rPr>
        <w:t> </w:t>
      </w:r>
      <w:r>
        <w:rPr>
          <w:sz w:val="38"/>
        </w:rPr>
        <w:t>perception</w:t>
      </w:r>
    </w:p>
    <w:p>
      <w:pPr>
        <w:pStyle w:val="ListParagraph"/>
        <w:numPr>
          <w:ilvl w:val="0"/>
          <w:numId w:val="41"/>
        </w:numPr>
        <w:tabs>
          <w:tab w:pos="691" w:val="left" w:leader="none"/>
        </w:tabs>
        <w:spacing w:line="410" w:lineRule="auto" w:before="305" w:after="0"/>
        <w:ind w:left="477" w:right="7386" w:firstLine="0"/>
        <w:jc w:val="left"/>
        <w:rPr>
          <w:sz w:val="38"/>
        </w:rPr>
      </w:pPr>
      <w:r>
        <w:rPr>
          <w:sz w:val="38"/>
        </w:rPr>
        <w:t>it accelerates wound healing and much</w:t>
      </w:r>
      <w:r>
        <w:rPr>
          <w:spacing w:val="1"/>
          <w:sz w:val="38"/>
        </w:rPr>
        <w:t> </w:t>
      </w:r>
      <w:r>
        <w:rPr>
          <w:sz w:val="38"/>
        </w:rPr>
        <w:t>more.</w:t>
      </w:r>
    </w:p>
    <w:p>
      <w:pPr>
        <w:spacing w:after="0" w:line="410" w:lineRule="auto"/>
        <w:jc w:val="left"/>
        <w:rPr>
          <w:sz w:val="38"/>
        </w:rPr>
        <w:sectPr>
          <w:footerReference w:type="default" r:id="rId168"/>
          <w:pgSz w:w="14270" w:h="16850"/>
          <w:pgMar w:footer="1891" w:header="0" w:top="1600" w:bottom="2080" w:left="800" w:right="1280"/>
          <w:pgNumType w:start="670"/>
        </w:sectPr>
      </w:pPr>
    </w:p>
    <w:p>
      <w:pPr>
        <w:pStyle w:val="Heading1"/>
        <w:spacing w:before="164"/>
      </w:pPr>
      <w:r>
        <w:rPr/>
        <w:t>Gold denied official recognition</w:t>
      </w:r>
    </w:p>
    <w:p>
      <w:pPr>
        <w:pStyle w:val="BodyText"/>
        <w:spacing w:line="276" w:lineRule="auto" w:before="299"/>
        <w:ind w:left="477" w:right="139"/>
        <w:jc w:val="both"/>
      </w:pPr>
      <w:r>
        <w:rPr/>
        <w:t>At this point, you may ask the perfectly legitimate question of how colloidal gold is not known to the average person or to their doctors, given these phe- nomenal benefits to human health?</w:t>
      </w:r>
    </w:p>
    <w:p>
      <w:pPr>
        <w:pStyle w:val="BodyText"/>
        <w:spacing w:line="276" w:lineRule="auto" w:before="242"/>
        <w:ind w:left="477" w:right="142"/>
        <w:jc w:val="both"/>
      </w:pPr>
      <w:r>
        <w:rPr/>
        <w:t>The answer is, first of all, because gold is neither approved as a remedy nor as a nutritional supplement!</w:t>
      </w:r>
    </w:p>
    <w:p>
      <w:pPr>
        <w:pStyle w:val="BodyText"/>
        <w:rPr>
          <w:sz w:val="42"/>
        </w:rPr>
      </w:pPr>
    </w:p>
    <w:p>
      <w:pPr>
        <w:pStyle w:val="BodyText"/>
        <w:spacing w:before="3"/>
        <w:rPr>
          <w:sz w:val="44"/>
        </w:rPr>
      </w:pPr>
    </w:p>
    <w:p>
      <w:pPr>
        <w:pStyle w:val="Heading2"/>
      </w:pPr>
      <w:r>
        <w:rPr/>
        <w:t>Several factors explain this:</w:t>
      </w:r>
    </w:p>
    <w:p>
      <w:pPr>
        <w:pStyle w:val="ListParagraph"/>
        <w:numPr>
          <w:ilvl w:val="1"/>
          <w:numId w:val="41"/>
        </w:numPr>
        <w:tabs>
          <w:tab w:pos="1198" w:val="left" w:leader="none"/>
        </w:tabs>
        <w:spacing w:line="273" w:lineRule="auto" w:before="305" w:after="0"/>
        <w:ind w:left="1197" w:right="138" w:hanging="360"/>
        <w:jc w:val="both"/>
        <w:rPr>
          <w:rFonts w:ascii="Symbol"/>
          <w:sz w:val="38"/>
        </w:rPr>
      </w:pPr>
      <w:r>
        <w:rPr>
          <w:sz w:val="38"/>
        </w:rPr>
        <w:t>The costly and expensive production of colloidal gold and the required, expensive drug approval studies would require patent protection for the pharmaceutical industry to profit from</w:t>
      </w:r>
      <w:r>
        <w:rPr>
          <w:spacing w:val="-3"/>
          <w:sz w:val="38"/>
        </w:rPr>
        <w:t> </w:t>
      </w:r>
      <w:r>
        <w:rPr>
          <w:sz w:val="38"/>
        </w:rPr>
        <w:t>it.</w:t>
      </w:r>
    </w:p>
    <w:p>
      <w:pPr>
        <w:pStyle w:val="ListParagraph"/>
        <w:numPr>
          <w:ilvl w:val="1"/>
          <w:numId w:val="41"/>
        </w:numPr>
        <w:tabs>
          <w:tab w:pos="1198" w:val="left" w:leader="none"/>
        </w:tabs>
        <w:spacing w:line="240" w:lineRule="auto" w:before="7" w:after="0"/>
        <w:ind w:left="1197" w:right="0" w:hanging="360"/>
        <w:jc w:val="left"/>
        <w:rPr>
          <w:rFonts w:ascii="Symbol"/>
          <w:sz w:val="38"/>
        </w:rPr>
      </w:pPr>
      <w:r>
        <w:rPr>
          <w:sz w:val="38"/>
        </w:rPr>
        <w:t>But gold is a natural product, and natural products cannot be</w:t>
      </w:r>
      <w:r>
        <w:rPr>
          <w:spacing w:val="-25"/>
          <w:sz w:val="38"/>
        </w:rPr>
        <w:t> </w:t>
      </w:r>
      <w:r>
        <w:rPr>
          <w:sz w:val="38"/>
        </w:rPr>
        <w:t>patented.</w:t>
      </w:r>
    </w:p>
    <w:p>
      <w:pPr>
        <w:pStyle w:val="ListParagraph"/>
        <w:numPr>
          <w:ilvl w:val="1"/>
          <w:numId w:val="41"/>
        </w:numPr>
        <w:tabs>
          <w:tab w:pos="1198" w:val="left" w:leader="none"/>
        </w:tabs>
        <w:spacing w:line="271" w:lineRule="auto" w:before="66" w:after="0"/>
        <w:ind w:left="1197" w:right="140" w:hanging="360"/>
        <w:jc w:val="both"/>
        <w:rPr>
          <w:rFonts w:ascii="Symbol"/>
          <w:sz w:val="38"/>
        </w:rPr>
      </w:pPr>
      <w:r>
        <w:rPr>
          <w:sz w:val="38"/>
        </w:rPr>
        <w:t>Gold competes too much with countless medications to which it is far superior in terms of its lack of side effects!</w:t>
      </w:r>
    </w:p>
    <w:p>
      <w:pPr>
        <w:pStyle w:val="BodyText"/>
        <w:spacing w:before="7"/>
        <w:rPr>
          <w:sz w:val="44"/>
        </w:rPr>
      </w:pPr>
    </w:p>
    <w:p>
      <w:pPr>
        <w:pStyle w:val="BodyText"/>
        <w:spacing w:line="276" w:lineRule="auto"/>
        <w:ind w:left="477" w:right="136"/>
        <w:jc w:val="both"/>
      </w:pPr>
      <w:r>
        <w:rPr/>
        <w:t>Furthermore, research into bioactive metal ions is still in its infancy and is cur- rently barely within the reach of nutrition science – the depressing principle is always:</w:t>
      </w:r>
    </w:p>
    <w:p>
      <w:pPr>
        <w:spacing w:before="2"/>
        <w:ind w:left="1197" w:right="0" w:firstLine="0"/>
        <w:jc w:val="left"/>
        <w:rPr>
          <w:i/>
          <w:sz w:val="38"/>
        </w:rPr>
      </w:pPr>
      <w:r>
        <w:rPr>
          <w:i/>
          <w:sz w:val="38"/>
        </w:rPr>
        <w:t>‘We reject even proven effects if we do not understand them!’</w:t>
      </w:r>
    </w:p>
    <w:p>
      <w:pPr>
        <w:spacing w:after="0"/>
        <w:jc w:val="left"/>
        <w:rPr>
          <w:sz w:val="38"/>
        </w:rPr>
        <w:sectPr>
          <w:pgSz w:w="14270" w:h="16850"/>
          <w:pgMar w:header="0" w:footer="1891" w:top="1600" w:bottom="2080" w:left="800" w:right="1280"/>
        </w:sectPr>
      </w:pPr>
    </w:p>
    <w:p>
      <w:pPr>
        <w:pStyle w:val="BodyText"/>
        <w:spacing w:before="181"/>
        <w:ind w:left="477"/>
      </w:pPr>
      <w:r>
        <w:rPr/>
        <w:t>What this means is explained by the chemist Noack as follows</w:t>
      </w:r>
      <w:r>
        <w:rPr>
          <w:position w:val="9"/>
          <w:sz w:val="25"/>
        </w:rPr>
        <w:t>413</w:t>
      </w:r>
      <w:r>
        <w:rPr/>
        <w:t>:</w:t>
      </w:r>
    </w:p>
    <w:p>
      <w:pPr>
        <w:pStyle w:val="BodyText"/>
        <w:spacing w:line="276" w:lineRule="auto" w:before="305"/>
        <w:ind w:left="477" w:right="136"/>
        <w:jc w:val="both"/>
      </w:pPr>
      <w:r>
        <w:rPr/>
        <w:t>What is considered nutritional is not even reconciled with basic biochemical knowledge, so recommendations made by nutritionists very often contradict fundamental biochemical principles.</w:t>
      </w:r>
    </w:p>
    <w:p>
      <w:pPr>
        <w:pStyle w:val="BodyText"/>
        <w:spacing w:line="276" w:lineRule="auto" w:before="241"/>
        <w:ind w:left="477" w:right="138"/>
        <w:jc w:val="both"/>
      </w:pPr>
      <w:r>
        <w:rPr/>
        <w:t>Ecotrophology assumes that 80 % of the elements contained in our body are unnecessary, i.e. nonessential or even accidental (coincidental).</w:t>
      </w:r>
    </w:p>
    <w:p>
      <w:pPr>
        <w:pStyle w:val="BodyText"/>
        <w:spacing w:line="276" w:lineRule="auto" w:before="239"/>
        <w:ind w:left="477" w:right="132"/>
        <w:jc w:val="both"/>
      </w:pPr>
      <w:r>
        <w:rPr/>
        <w:t>Thus, irrationally, 80 % of the elements in our body would be present in our body anyway and do not matter. And because the ecotrophologists see the world</w:t>
      </w:r>
      <w:r>
        <w:rPr>
          <w:spacing w:val="-16"/>
        </w:rPr>
        <w:t> </w:t>
      </w:r>
      <w:r>
        <w:rPr/>
        <w:t>in</w:t>
      </w:r>
      <w:r>
        <w:rPr>
          <w:spacing w:val="-15"/>
        </w:rPr>
        <w:t> </w:t>
      </w:r>
      <w:r>
        <w:rPr/>
        <w:t>black</w:t>
      </w:r>
      <w:r>
        <w:rPr>
          <w:spacing w:val="-16"/>
        </w:rPr>
        <w:t> </w:t>
      </w:r>
      <w:r>
        <w:rPr/>
        <w:t>and</w:t>
      </w:r>
      <w:r>
        <w:rPr>
          <w:spacing w:val="-15"/>
        </w:rPr>
        <w:t> </w:t>
      </w:r>
      <w:r>
        <w:rPr/>
        <w:t>white,</w:t>
      </w:r>
      <w:r>
        <w:rPr>
          <w:spacing w:val="-15"/>
        </w:rPr>
        <w:t> </w:t>
      </w:r>
      <w:r>
        <w:rPr/>
        <w:t>the</w:t>
      </w:r>
      <w:r>
        <w:rPr>
          <w:spacing w:val="-17"/>
        </w:rPr>
        <w:t> </w:t>
      </w:r>
      <w:r>
        <w:rPr/>
        <w:t>politicians</w:t>
      </w:r>
      <w:r>
        <w:rPr>
          <w:spacing w:val="-14"/>
        </w:rPr>
        <w:t> </w:t>
      </w:r>
      <w:r>
        <w:rPr/>
        <w:t>take</w:t>
      </w:r>
      <w:r>
        <w:rPr>
          <w:spacing w:val="-16"/>
        </w:rPr>
        <w:t> </w:t>
      </w:r>
      <w:r>
        <w:rPr/>
        <w:t>this</w:t>
      </w:r>
      <w:r>
        <w:rPr>
          <w:spacing w:val="-16"/>
        </w:rPr>
        <w:t> </w:t>
      </w:r>
      <w:r>
        <w:rPr/>
        <w:t>division</w:t>
      </w:r>
      <w:r>
        <w:rPr>
          <w:spacing w:val="-15"/>
        </w:rPr>
        <w:t> </w:t>
      </w:r>
      <w:r>
        <w:rPr/>
        <w:t>as</w:t>
      </w:r>
      <w:r>
        <w:rPr>
          <w:spacing w:val="-15"/>
        </w:rPr>
        <w:t> </w:t>
      </w:r>
      <w:r>
        <w:rPr/>
        <w:t>an</w:t>
      </w:r>
      <w:r>
        <w:rPr>
          <w:spacing w:val="-17"/>
        </w:rPr>
        <w:t> </w:t>
      </w:r>
      <w:r>
        <w:rPr/>
        <w:t>opportunity</w:t>
      </w:r>
      <w:r>
        <w:rPr>
          <w:spacing w:val="-16"/>
        </w:rPr>
        <w:t> </w:t>
      </w:r>
      <w:r>
        <w:rPr/>
        <w:t>and these recommendations become a basis for their prohibitions. That is, all ele- ments which ecotrophologists classify as ‘accidental’ may neither be fertilised nor supplemented. As a result, 80 % of these elements found in our bodies are gradually lost or depleted. These elements also include gold, which, for the above reasons, may only be sold as experimental water in the EU, whereas </w:t>
      </w:r>
      <w:r>
        <w:rPr>
          <w:spacing w:val="4"/>
        </w:rPr>
        <w:t>in </w:t>
      </w:r>
      <w:r>
        <w:rPr/>
        <w:t>the USA, all these beneficial trace elements of metallic origin (gold, silver, plat- inum...) may be purchased freely.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4"/>
        </w:rPr>
      </w:pPr>
      <w:r>
        <w:rPr/>
        <w:pict>
          <v:line style="position:absolute;mso-position-horizontal-relative:page;mso-position-vertical-relative:paragraph;z-index:4928;mso-wrap-distance-left:0;mso-wrap-distance-right:0" from="63.863998pt,16.296265pt" to="207.883998pt,16.29626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413 </w:t>
      </w:r>
      <w:hyperlink r:id="rId169">
        <w:r>
          <w:rPr>
            <w:sz w:val="20"/>
          </w:rPr>
          <w:t>http://www.ursprunc.de/videos/</w:t>
        </w:r>
      </w:hyperlink>
    </w:p>
    <w:p>
      <w:pPr>
        <w:spacing w:after="0"/>
        <w:jc w:val="left"/>
        <w:rPr>
          <w:sz w:val="20"/>
        </w:rPr>
        <w:sectPr>
          <w:pgSz w:w="14270" w:h="16850"/>
          <w:pgMar w:header="0" w:footer="1891" w:top="1600" w:bottom="2080" w:left="800" w:right="1280"/>
        </w:sectPr>
      </w:pPr>
    </w:p>
    <w:p>
      <w:pPr>
        <w:pStyle w:val="Heading2"/>
        <w:spacing w:before="181"/>
      </w:pPr>
      <w:r>
        <w:rPr/>
        <w:t>Specific effect of colloidal gold</w:t>
      </w:r>
    </w:p>
    <w:p>
      <w:pPr>
        <w:pStyle w:val="BodyText"/>
        <w:spacing w:line="276" w:lineRule="auto" w:before="305"/>
        <w:ind w:left="477" w:right="140"/>
        <w:jc w:val="both"/>
      </w:pPr>
      <w:r>
        <w:rPr/>
        <w:t>After examining the general effect of colloidal gold, let's take a look at the spe- cific</w:t>
      </w:r>
      <w:r>
        <w:rPr>
          <w:spacing w:val="-7"/>
        </w:rPr>
        <w:t> </w:t>
      </w:r>
      <w:r>
        <w:rPr/>
        <w:t>effects</w:t>
      </w:r>
      <w:r>
        <w:rPr>
          <w:spacing w:val="-6"/>
        </w:rPr>
        <w:t> </w:t>
      </w:r>
      <w:r>
        <w:rPr/>
        <w:t>of</w:t>
      </w:r>
      <w:r>
        <w:rPr>
          <w:spacing w:val="-7"/>
        </w:rPr>
        <w:t> </w:t>
      </w:r>
      <w:r>
        <w:rPr/>
        <w:t>colloidal</w:t>
      </w:r>
      <w:r>
        <w:rPr>
          <w:spacing w:val="-8"/>
        </w:rPr>
        <w:t> </w:t>
      </w:r>
      <w:r>
        <w:rPr/>
        <w:t>gold</w:t>
      </w:r>
      <w:r>
        <w:rPr>
          <w:spacing w:val="-8"/>
        </w:rPr>
        <w:t> </w:t>
      </w:r>
      <w:r>
        <w:rPr/>
        <w:t>on</w:t>
      </w:r>
      <w:r>
        <w:rPr>
          <w:spacing w:val="-5"/>
        </w:rPr>
        <w:t> </w:t>
      </w:r>
      <w:r>
        <w:rPr/>
        <w:t>diseases</w:t>
      </w:r>
      <w:r>
        <w:rPr>
          <w:spacing w:val="-6"/>
        </w:rPr>
        <w:t> </w:t>
      </w:r>
      <w:r>
        <w:rPr/>
        <w:t>and</w:t>
      </w:r>
      <w:r>
        <w:rPr>
          <w:spacing w:val="-7"/>
        </w:rPr>
        <w:t> </w:t>
      </w:r>
      <w:r>
        <w:rPr/>
        <w:t>conditions.</w:t>
      </w:r>
      <w:r>
        <w:rPr>
          <w:spacing w:val="-5"/>
        </w:rPr>
        <w:t> </w:t>
      </w:r>
      <w:r>
        <w:rPr/>
        <w:t>Because</w:t>
      </w:r>
      <w:r>
        <w:rPr>
          <w:spacing w:val="-6"/>
        </w:rPr>
        <w:t> </w:t>
      </w:r>
      <w:r>
        <w:rPr/>
        <w:t>colloidal</w:t>
      </w:r>
      <w:r>
        <w:rPr>
          <w:spacing w:val="-8"/>
        </w:rPr>
        <w:t> </w:t>
      </w:r>
      <w:r>
        <w:rPr/>
        <w:t>gold acts holistically on our body like almost no other substance, it is of course im- possible to list all the diseases and conditions that colloidal gold has a positive effect on.</w:t>
      </w:r>
    </w:p>
    <w:p>
      <w:pPr>
        <w:pStyle w:val="BodyText"/>
        <w:spacing w:line="276" w:lineRule="auto" w:before="240"/>
        <w:ind w:left="477" w:right="131"/>
        <w:jc w:val="both"/>
      </w:pPr>
      <w:r>
        <w:rPr/>
        <w:t>Among</w:t>
      </w:r>
      <w:r>
        <w:rPr>
          <w:spacing w:val="-18"/>
        </w:rPr>
        <w:t> </w:t>
      </w:r>
      <w:r>
        <w:rPr/>
        <w:t>other</w:t>
      </w:r>
      <w:r>
        <w:rPr>
          <w:spacing w:val="-18"/>
        </w:rPr>
        <w:t> </w:t>
      </w:r>
      <w:r>
        <w:rPr/>
        <w:t>things,</w:t>
      </w:r>
      <w:r>
        <w:rPr>
          <w:spacing w:val="-18"/>
        </w:rPr>
        <w:t> </w:t>
      </w:r>
      <w:r>
        <w:rPr/>
        <w:t>colloidal</w:t>
      </w:r>
      <w:r>
        <w:rPr>
          <w:spacing w:val="-20"/>
        </w:rPr>
        <w:t> </w:t>
      </w:r>
      <w:r>
        <w:rPr/>
        <w:t>gold</w:t>
      </w:r>
      <w:r>
        <w:rPr>
          <w:spacing w:val="-20"/>
        </w:rPr>
        <w:t> </w:t>
      </w:r>
      <w:r>
        <w:rPr/>
        <w:t>is</w:t>
      </w:r>
      <w:r>
        <w:rPr>
          <w:spacing w:val="-19"/>
        </w:rPr>
        <w:t> </w:t>
      </w:r>
      <w:r>
        <w:rPr/>
        <w:t>used</w:t>
      </w:r>
      <w:r>
        <w:rPr>
          <w:spacing w:val="-19"/>
        </w:rPr>
        <w:t> </w:t>
      </w:r>
      <w:r>
        <w:rPr/>
        <w:t>both</w:t>
      </w:r>
      <w:r>
        <w:rPr>
          <w:spacing w:val="-18"/>
        </w:rPr>
        <w:t> </w:t>
      </w:r>
      <w:r>
        <w:rPr/>
        <w:t>traditionally</w:t>
      </w:r>
      <w:r>
        <w:rPr>
          <w:spacing w:val="-20"/>
        </w:rPr>
        <w:t> </w:t>
      </w:r>
      <w:r>
        <w:rPr/>
        <w:t>and</w:t>
      </w:r>
      <w:r>
        <w:rPr>
          <w:spacing w:val="-19"/>
        </w:rPr>
        <w:t> </w:t>
      </w:r>
      <w:r>
        <w:rPr/>
        <w:t>within</w:t>
      </w:r>
      <w:r>
        <w:rPr>
          <w:spacing w:val="-17"/>
        </w:rPr>
        <w:t> </w:t>
      </w:r>
      <w:r>
        <w:rPr/>
        <w:t>modern medicine</w:t>
      </w:r>
      <w:r>
        <w:rPr>
          <w:spacing w:val="-20"/>
        </w:rPr>
        <w:t> </w:t>
      </w:r>
      <w:r>
        <w:rPr/>
        <w:t>against</w:t>
      </w:r>
      <w:r>
        <w:rPr>
          <w:spacing w:val="-19"/>
        </w:rPr>
        <w:t> </w:t>
      </w:r>
      <w:r>
        <w:rPr/>
        <w:t>the</w:t>
      </w:r>
      <w:r>
        <w:rPr>
          <w:spacing w:val="-19"/>
        </w:rPr>
        <w:t> </w:t>
      </w:r>
      <w:r>
        <w:rPr/>
        <w:t>following</w:t>
      </w:r>
      <w:r>
        <w:rPr>
          <w:spacing w:val="-19"/>
        </w:rPr>
        <w:t> </w:t>
      </w:r>
      <w:r>
        <w:rPr/>
        <w:t>ailments:</w:t>
      </w:r>
      <w:r>
        <w:rPr>
          <w:spacing w:val="-19"/>
        </w:rPr>
        <w:t> </w:t>
      </w:r>
      <w:r>
        <w:rPr/>
        <w:t>Arthritis,</w:t>
      </w:r>
      <w:r>
        <w:rPr>
          <w:spacing w:val="-22"/>
        </w:rPr>
        <w:t> </w:t>
      </w:r>
      <w:r>
        <w:rPr/>
        <w:t>asthma,</w:t>
      </w:r>
      <w:r>
        <w:rPr>
          <w:spacing w:val="-20"/>
        </w:rPr>
        <w:t> </w:t>
      </w:r>
      <w:r>
        <w:rPr/>
        <w:t>anxiety,</w:t>
      </w:r>
      <w:r>
        <w:rPr>
          <w:spacing w:val="-19"/>
        </w:rPr>
        <w:t> </w:t>
      </w:r>
      <w:r>
        <w:rPr/>
        <w:t>obesity,</w:t>
      </w:r>
      <w:r>
        <w:rPr>
          <w:spacing w:val="-19"/>
        </w:rPr>
        <w:t> </w:t>
      </w:r>
      <w:r>
        <w:rPr/>
        <w:t>joint diseases, rheumatism, addictions (nicotine, drugs), depression, low energy, chronic fatigue, burns, skin diseases (irritations, neurodermatitis), hot flashes (menopause), cancer, mood swings, cardiovascular problems, night sweats, di- gestive problems, nervous disorders, multiple sclerosis (MS), Alzheimer’s, de- mentia, all glandular diseases, coordination problems, sleep disorders, allergies, HIV and many</w:t>
      </w:r>
      <w:r>
        <w:rPr>
          <w:spacing w:val="1"/>
        </w:rPr>
        <w:t> </w:t>
      </w:r>
      <w:r>
        <w:rPr/>
        <w:t>more.</w:t>
      </w:r>
    </w:p>
    <w:p>
      <w:pPr>
        <w:pStyle w:val="Heading1"/>
      </w:pPr>
      <w:r>
        <w:rPr/>
        <w:t>Effect of colloidal gold against</w:t>
      </w:r>
      <w:r>
        <w:rPr>
          <w:spacing w:val="-53"/>
        </w:rPr>
        <w:t> </w:t>
      </w:r>
      <w:r>
        <w:rPr/>
        <w:t>allergies</w:t>
      </w:r>
    </w:p>
    <w:p>
      <w:pPr>
        <w:pStyle w:val="BodyText"/>
        <w:spacing w:line="276" w:lineRule="auto" w:before="299"/>
        <w:ind w:left="477" w:right="137"/>
        <w:jc w:val="both"/>
      </w:pPr>
      <w:r>
        <w:rPr/>
        <w:t>Modern</w:t>
      </w:r>
      <w:r>
        <w:rPr>
          <w:spacing w:val="-17"/>
        </w:rPr>
        <w:t> </w:t>
      </w:r>
      <w:r>
        <w:rPr/>
        <w:t>research</w:t>
      </w:r>
      <w:r>
        <w:rPr>
          <w:spacing w:val="-17"/>
        </w:rPr>
        <w:t> </w:t>
      </w:r>
      <w:r>
        <w:rPr/>
        <w:t>has</w:t>
      </w:r>
      <w:r>
        <w:rPr>
          <w:spacing w:val="-17"/>
        </w:rPr>
        <w:t> </w:t>
      </w:r>
      <w:r>
        <w:rPr/>
        <w:t>been</w:t>
      </w:r>
      <w:r>
        <w:rPr>
          <w:spacing w:val="-17"/>
        </w:rPr>
        <w:t> </w:t>
      </w:r>
      <w:r>
        <w:rPr/>
        <w:t>able</w:t>
      </w:r>
      <w:r>
        <w:rPr>
          <w:spacing w:val="-18"/>
        </w:rPr>
        <w:t> </w:t>
      </w:r>
      <w:r>
        <w:rPr/>
        <w:t>to</w:t>
      </w:r>
      <w:r>
        <w:rPr>
          <w:spacing w:val="-17"/>
        </w:rPr>
        <w:t> </w:t>
      </w:r>
      <w:r>
        <w:rPr/>
        <w:t>confirm</w:t>
      </w:r>
      <w:r>
        <w:rPr>
          <w:spacing w:val="-18"/>
        </w:rPr>
        <w:t> </w:t>
      </w:r>
      <w:r>
        <w:rPr/>
        <w:t>that</w:t>
      </w:r>
      <w:r>
        <w:rPr>
          <w:spacing w:val="-18"/>
        </w:rPr>
        <w:t> </w:t>
      </w:r>
      <w:r>
        <w:rPr/>
        <w:t>colloidal</w:t>
      </w:r>
      <w:r>
        <w:rPr>
          <w:spacing w:val="-19"/>
        </w:rPr>
        <w:t> </w:t>
      </w:r>
      <w:r>
        <w:rPr/>
        <w:t>gold</w:t>
      </w:r>
      <w:r>
        <w:rPr>
          <w:spacing w:val="-18"/>
        </w:rPr>
        <w:t> </w:t>
      </w:r>
      <w:r>
        <w:rPr/>
        <w:t>is</w:t>
      </w:r>
      <w:r>
        <w:rPr>
          <w:spacing w:val="-17"/>
        </w:rPr>
        <w:t> </w:t>
      </w:r>
      <w:r>
        <w:rPr/>
        <w:t>effective</w:t>
      </w:r>
      <w:r>
        <w:rPr>
          <w:spacing w:val="-18"/>
        </w:rPr>
        <w:t> </w:t>
      </w:r>
      <w:r>
        <w:rPr/>
        <w:t>against allergies. We owe very convincing findings in this context to Guy Abraham, who observed a significant decrease in the allergenic immunoglobulin E (IgE) while taking colloidal</w:t>
      </w:r>
      <w:r>
        <w:rPr>
          <w:spacing w:val="-1"/>
        </w:rPr>
        <w:t> </w:t>
      </w:r>
      <w:r>
        <w:rPr/>
        <w:t>gold.</w:t>
      </w:r>
    </w:p>
    <w:p>
      <w:pPr>
        <w:spacing w:after="0" w:line="276" w:lineRule="auto"/>
        <w:jc w:val="both"/>
        <w:sectPr>
          <w:pgSz w:w="14270" w:h="16850"/>
          <w:pgMar w:header="0" w:footer="1891" w:top="1600" w:bottom="2080" w:left="800" w:right="1280"/>
        </w:sectPr>
      </w:pPr>
    </w:p>
    <w:p>
      <w:pPr>
        <w:pStyle w:val="BodyText"/>
        <w:spacing w:line="276" w:lineRule="auto" w:before="181"/>
        <w:ind w:left="477" w:right="134"/>
        <w:jc w:val="both"/>
        <w:rPr>
          <w:sz w:val="25"/>
        </w:rPr>
      </w:pPr>
      <w:r>
        <w:rPr/>
        <w:t>About</w:t>
      </w:r>
      <w:r>
        <w:rPr>
          <w:spacing w:val="-18"/>
        </w:rPr>
        <w:t> </w:t>
      </w:r>
      <w:r>
        <w:rPr/>
        <w:t>90</w:t>
      </w:r>
      <w:r>
        <w:rPr>
          <w:spacing w:val="-17"/>
        </w:rPr>
        <w:t> </w:t>
      </w:r>
      <w:r>
        <w:rPr/>
        <w:t>%</w:t>
      </w:r>
      <w:r>
        <w:rPr>
          <w:spacing w:val="-17"/>
        </w:rPr>
        <w:t> </w:t>
      </w:r>
      <w:r>
        <w:rPr/>
        <w:t>of</w:t>
      </w:r>
      <w:r>
        <w:rPr>
          <w:spacing w:val="-15"/>
        </w:rPr>
        <w:t> </w:t>
      </w:r>
      <w:r>
        <w:rPr/>
        <w:t>all</w:t>
      </w:r>
      <w:r>
        <w:rPr>
          <w:spacing w:val="-18"/>
        </w:rPr>
        <w:t> </w:t>
      </w:r>
      <w:r>
        <w:rPr/>
        <w:t>allergies</w:t>
      </w:r>
      <w:r>
        <w:rPr>
          <w:spacing w:val="-15"/>
        </w:rPr>
        <w:t> </w:t>
      </w:r>
      <w:r>
        <w:rPr/>
        <w:t>are</w:t>
      </w:r>
      <w:r>
        <w:rPr>
          <w:spacing w:val="-15"/>
        </w:rPr>
        <w:t> </w:t>
      </w:r>
      <w:r>
        <w:rPr/>
        <w:t>IgE</w:t>
      </w:r>
      <w:r>
        <w:rPr>
          <w:spacing w:val="-16"/>
        </w:rPr>
        <w:t> </w:t>
      </w:r>
      <w:r>
        <w:rPr/>
        <w:t>allergies</w:t>
      </w:r>
      <w:r>
        <w:rPr>
          <w:spacing w:val="-16"/>
        </w:rPr>
        <w:t> </w:t>
      </w:r>
      <w:r>
        <w:rPr/>
        <w:t>that</w:t>
      </w:r>
      <w:r>
        <w:rPr>
          <w:spacing w:val="-17"/>
        </w:rPr>
        <w:t> </w:t>
      </w:r>
      <w:r>
        <w:rPr/>
        <w:t>belong</w:t>
      </w:r>
      <w:r>
        <w:rPr>
          <w:spacing w:val="-15"/>
        </w:rPr>
        <w:t> </w:t>
      </w:r>
      <w:r>
        <w:rPr/>
        <w:t>to</w:t>
      </w:r>
      <w:r>
        <w:rPr>
          <w:spacing w:val="-16"/>
        </w:rPr>
        <w:t> </w:t>
      </w:r>
      <w:r>
        <w:rPr/>
        <w:t>Type</w:t>
      </w:r>
      <w:r>
        <w:rPr>
          <w:spacing w:val="-18"/>
        </w:rPr>
        <w:t> </w:t>
      </w:r>
      <w:r>
        <w:rPr/>
        <w:t>I.</w:t>
      </w:r>
      <w:r>
        <w:rPr>
          <w:spacing w:val="-19"/>
        </w:rPr>
        <w:t> </w:t>
      </w:r>
      <w:r>
        <w:rPr/>
        <w:t>These</w:t>
      </w:r>
      <w:r>
        <w:rPr>
          <w:spacing w:val="-16"/>
        </w:rPr>
        <w:t> </w:t>
      </w:r>
      <w:r>
        <w:rPr/>
        <w:t>include hay</w:t>
      </w:r>
      <w:r>
        <w:rPr>
          <w:spacing w:val="-26"/>
        </w:rPr>
        <w:t> </w:t>
      </w:r>
      <w:r>
        <w:rPr/>
        <w:t>fever,</w:t>
      </w:r>
      <w:r>
        <w:rPr>
          <w:spacing w:val="-25"/>
        </w:rPr>
        <w:t> </w:t>
      </w:r>
      <w:r>
        <w:rPr/>
        <w:t>allergic</w:t>
      </w:r>
      <w:r>
        <w:rPr>
          <w:spacing w:val="-26"/>
        </w:rPr>
        <w:t> </w:t>
      </w:r>
      <w:r>
        <w:rPr/>
        <w:t>conjunctivitis,</w:t>
      </w:r>
      <w:r>
        <w:rPr>
          <w:spacing w:val="-25"/>
        </w:rPr>
        <w:t> </w:t>
      </w:r>
      <w:r>
        <w:rPr/>
        <w:t>allergic</w:t>
      </w:r>
      <w:r>
        <w:rPr>
          <w:spacing w:val="-26"/>
        </w:rPr>
        <w:t> </w:t>
      </w:r>
      <w:r>
        <w:rPr/>
        <w:t>asthma,</w:t>
      </w:r>
      <w:r>
        <w:rPr>
          <w:spacing w:val="-26"/>
        </w:rPr>
        <w:t> </w:t>
      </w:r>
      <w:r>
        <w:rPr/>
        <w:t>food</w:t>
      </w:r>
      <w:r>
        <w:rPr>
          <w:spacing w:val="-26"/>
        </w:rPr>
        <w:t> </w:t>
      </w:r>
      <w:r>
        <w:rPr/>
        <w:t>allergy,</w:t>
      </w:r>
      <w:r>
        <w:rPr>
          <w:spacing w:val="-25"/>
        </w:rPr>
        <w:t> </w:t>
      </w:r>
      <w:r>
        <w:rPr/>
        <w:t>Quincke's</w:t>
      </w:r>
      <w:r>
        <w:rPr>
          <w:spacing w:val="-25"/>
        </w:rPr>
        <w:t> </w:t>
      </w:r>
      <w:r>
        <w:rPr/>
        <w:t>oedema (hives), etc.</w:t>
      </w:r>
      <w:r>
        <w:rPr>
          <w:position w:val="9"/>
          <w:sz w:val="25"/>
        </w:rPr>
        <w:t>414</w:t>
      </w:r>
    </w:p>
    <w:p>
      <w:pPr>
        <w:pStyle w:val="Heading1"/>
        <w:jc w:val="both"/>
      </w:pPr>
      <w:r>
        <w:rPr/>
        <w:t>Effect of gold colloids against cancer</w:t>
      </w:r>
    </w:p>
    <w:p>
      <w:pPr>
        <w:pStyle w:val="BodyText"/>
        <w:spacing w:line="276" w:lineRule="auto" w:before="300"/>
        <w:ind w:left="477" w:right="135"/>
        <w:jc w:val="both"/>
      </w:pPr>
      <w:r>
        <w:rPr/>
        <w:t>Alongside stem cell research, nanomedicine has been ringing in a new medical age for a few years, with numerous promising treatment approaches, even for diseases that conventional medicine has given up the fight against.</w:t>
      </w:r>
    </w:p>
    <w:p>
      <w:pPr>
        <w:pStyle w:val="BodyText"/>
        <w:spacing w:line="276" w:lineRule="auto" w:before="239"/>
        <w:ind w:left="477" w:right="141"/>
        <w:jc w:val="both"/>
      </w:pPr>
      <w:r>
        <w:rPr/>
        <w:t>Cancer remains the greatest scourge on modern humanity, and unfortunately</w:t>
      </w:r>
      <w:r>
        <w:rPr>
          <w:spacing w:val="-52"/>
        </w:rPr>
        <w:t> </w:t>
      </w:r>
      <w:r>
        <w:rPr/>
        <w:t>it is on the rise.</w:t>
      </w:r>
    </w:p>
    <w:p>
      <w:pPr>
        <w:pStyle w:val="BodyText"/>
        <w:spacing w:line="276" w:lineRule="auto" w:before="241"/>
        <w:ind w:left="477" w:right="138"/>
        <w:jc w:val="both"/>
      </w:pPr>
      <w:r>
        <w:rPr/>
        <w:t>If the cancer development thesis, as propagated by conventional medicine, is given preference, then colloidal gold is the best way to prevent the onset of cancer.</w:t>
      </w:r>
    </w:p>
    <w:p>
      <w:pPr>
        <w:pStyle w:val="BodyText"/>
        <w:spacing w:line="276" w:lineRule="auto" w:before="239"/>
        <w:ind w:left="477" w:right="131"/>
        <w:jc w:val="both"/>
      </w:pPr>
      <w:r>
        <w:rPr/>
        <w:t>This assumes, in fact, that the malignant tumour arises during cell division, namely, if within our genome, the DNA, information from damaged genes is passed on to the daughter cell. Based on communication which improved by a factor</w:t>
      </w:r>
      <w:r>
        <w:rPr>
          <w:spacing w:val="-13"/>
        </w:rPr>
        <w:t> </w:t>
      </w:r>
      <w:r>
        <w:rPr/>
        <w:t>of</w:t>
      </w:r>
      <w:r>
        <w:rPr>
          <w:spacing w:val="-13"/>
        </w:rPr>
        <w:t> </w:t>
      </w:r>
      <w:r>
        <w:rPr/>
        <w:t>up</w:t>
      </w:r>
      <w:r>
        <w:rPr>
          <w:spacing w:val="-13"/>
        </w:rPr>
        <w:t> </w:t>
      </w:r>
      <w:r>
        <w:rPr/>
        <w:t>to</w:t>
      </w:r>
      <w:r>
        <w:rPr>
          <w:spacing w:val="-13"/>
        </w:rPr>
        <w:t> </w:t>
      </w:r>
      <w:r>
        <w:rPr/>
        <w:t>10,000</w:t>
      </w:r>
      <w:r>
        <w:rPr>
          <w:spacing w:val="-13"/>
        </w:rPr>
        <w:t> </w:t>
      </w:r>
      <w:r>
        <w:rPr/>
        <w:t>in</w:t>
      </w:r>
      <w:r>
        <w:rPr>
          <w:spacing w:val="-13"/>
        </w:rPr>
        <w:t> </w:t>
      </w:r>
      <w:r>
        <w:rPr/>
        <w:t>studies,</w:t>
      </w:r>
      <w:r>
        <w:rPr>
          <w:spacing w:val="-11"/>
        </w:rPr>
        <w:t> </w:t>
      </w:r>
      <w:r>
        <w:rPr/>
        <w:t>the</w:t>
      </w:r>
      <w:r>
        <w:rPr>
          <w:spacing w:val="-12"/>
        </w:rPr>
        <w:t> </w:t>
      </w:r>
      <w:r>
        <w:rPr/>
        <w:t>damage</w:t>
      </w:r>
      <w:r>
        <w:rPr>
          <w:spacing w:val="-13"/>
        </w:rPr>
        <w:t> </w:t>
      </w:r>
      <w:r>
        <w:rPr/>
        <w:t>would</w:t>
      </w:r>
      <w:r>
        <w:rPr>
          <w:spacing w:val="-14"/>
        </w:rPr>
        <w:t> </w:t>
      </w:r>
      <w:r>
        <w:rPr/>
        <w:t>probably</w:t>
      </w:r>
      <w:r>
        <w:rPr>
          <w:spacing w:val="-13"/>
        </w:rPr>
        <w:t> </w:t>
      </w:r>
      <w:r>
        <w:rPr/>
        <w:t>be</w:t>
      </w:r>
      <w:r>
        <w:rPr>
          <w:spacing w:val="-13"/>
        </w:rPr>
        <w:t> </w:t>
      </w:r>
      <w:r>
        <w:rPr/>
        <w:t>recognised</w:t>
      </w:r>
      <w:r>
        <w:rPr>
          <w:spacing w:val="-14"/>
        </w:rPr>
        <w:t> </w:t>
      </w:r>
      <w:r>
        <w:rPr/>
        <w:t>and corrected at this point and cancer would be</w:t>
      </w:r>
      <w:r>
        <w:rPr>
          <w:spacing w:val="-3"/>
        </w:rPr>
        <w:t> </w:t>
      </w:r>
      <w:r>
        <w:rPr/>
        <w:t>prevented.</w:t>
      </w:r>
    </w:p>
    <w:p>
      <w:pPr>
        <w:pStyle w:val="BodyText"/>
        <w:spacing w:line="276" w:lineRule="auto" w:before="242"/>
        <w:ind w:left="477" w:right="136"/>
        <w:jc w:val="both"/>
      </w:pPr>
      <w:r>
        <w:rPr/>
        <w:t>Both conventional medicine and alternative medicine agree at least that cancer is promoted by environmental toxins and free radicals play a</w:t>
      </w:r>
      <w:r>
        <w:rPr>
          <w:spacing w:val="-59"/>
        </w:rPr>
        <w:t> </w:t>
      </w:r>
      <w:r>
        <w:rPr/>
        <w:t>cancer-promoting</w:t>
      </w:r>
    </w:p>
    <w:p>
      <w:pPr>
        <w:pStyle w:val="BodyText"/>
        <w:rPr>
          <w:sz w:val="20"/>
        </w:rPr>
      </w:pPr>
    </w:p>
    <w:p>
      <w:pPr>
        <w:pStyle w:val="BodyText"/>
        <w:spacing w:before="4"/>
        <w:rPr>
          <w:sz w:val="20"/>
        </w:rPr>
      </w:pPr>
      <w:r>
        <w:rPr/>
        <w:pict>
          <v:line style="position:absolute;mso-position-horizontal-relative:page;mso-position-vertical-relative:paragraph;z-index:4952;mso-wrap-distance-left:0;mso-wrap-distance-right:0" from="63.863998pt,13.827485pt" to="207.883998pt,13.827485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414 </w:t>
      </w:r>
      <w:r>
        <w:rPr>
          <w:sz w:val="20"/>
        </w:rPr>
        <w:t>Brigitte Hamann, ‘Heilen mit Gold’ (‘Healing with Gold’) 2nd Edition 2015, p. 92</w:t>
      </w:r>
    </w:p>
    <w:p>
      <w:pPr>
        <w:spacing w:after="0"/>
        <w:jc w:val="left"/>
        <w:rPr>
          <w:sz w:val="20"/>
        </w:rPr>
        <w:sectPr>
          <w:pgSz w:w="14270" w:h="16850"/>
          <w:pgMar w:header="0" w:footer="1891" w:top="1600" w:bottom="2080" w:left="800" w:right="1280"/>
        </w:sectPr>
      </w:pPr>
    </w:p>
    <w:p>
      <w:pPr>
        <w:pStyle w:val="BodyText"/>
        <w:spacing w:line="276" w:lineRule="auto" w:before="181"/>
        <w:ind w:left="477" w:right="132"/>
        <w:jc w:val="both"/>
      </w:pPr>
      <w:r>
        <w:rPr/>
        <w:t>role</w:t>
      </w:r>
      <w:r>
        <w:rPr>
          <w:spacing w:val="-9"/>
        </w:rPr>
        <w:t> </w:t>
      </w:r>
      <w:r>
        <w:rPr/>
        <w:t>in</w:t>
      </w:r>
      <w:r>
        <w:rPr>
          <w:spacing w:val="-8"/>
        </w:rPr>
        <w:t> </w:t>
      </w:r>
      <w:r>
        <w:rPr/>
        <w:t>all</w:t>
      </w:r>
      <w:r>
        <w:rPr>
          <w:spacing w:val="-10"/>
        </w:rPr>
        <w:t> </w:t>
      </w:r>
      <w:r>
        <w:rPr/>
        <w:t>stages</w:t>
      </w:r>
      <w:r>
        <w:rPr>
          <w:spacing w:val="-6"/>
        </w:rPr>
        <w:t> </w:t>
      </w:r>
      <w:r>
        <w:rPr/>
        <w:t>of</w:t>
      </w:r>
      <w:r>
        <w:rPr>
          <w:spacing w:val="-8"/>
        </w:rPr>
        <w:t> </w:t>
      </w:r>
      <w:r>
        <w:rPr/>
        <w:t>cancer.</w:t>
      </w:r>
      <w:r>
        <w:rPr>
          <w:spacing w:val="-7"/>
        </w:rPr>
        <w:t> </w:t>
      </w:r>
      <w:r>
        <w:rPr/>
        <w:t>The</w:t>
      </w:r>
      <w:r>
        <w:rPr>
          <w:spacing w:val="-8"/>
        </w:rPr>
        <w:t> </w:t>
      </w:r>
      <w:r>
        <w:rPr/>
        <w:t>detoxifying</w:t>
      </w:r>
      <w:r>
        <w:rPr>
          <w:spacing w:val="-8"/>
        </w:rPr>
        <w:t> </w:t>
      </w:r>
      <w:r>
        <w:rPr/>
        <w:t>and</w:t>
      </w:r>
      <w:r>
        <w:rPr>
          <w:spacing w:val="-8"/>
        </w:rPr>
        <w:t> </w:t>
      </w:r>
      <w:r>
        <w:rPr/>
        <w:t>highly</w:t>
      </w:r>
      <w:r>
        <w:rPr>
          <w:spacing w:val="-9"/>
        </w:rPr>
        <w:t> </w:t>
      </w:r>
      <w:r>
        <w:rPr/>
        <w:t>antioxidant</w:t>
      </w:r>
      <w:r>
        <w:rPr>
          <w:spacing w:val="-6"/>
        </w:rPr>
        <w:t> </w:t>
      </w:r>
      <w:r>
        <w:rPr/>
        <w:t>effect</w:t>
      </w:r>
      <w:r>
        <w:rPr>
          <w:spacing w:val="-8"/>
        </w:rPr>
        <w:t> </w:t>
      </w:r>
      <w:r>
        <w:rPr/>
        <w:t>of</w:t>
      </w:r>
      <w:r>
        <w:rPr>
          <w:spacing w:val="-8"/>
        </w:rPr>
        <w:t> </w:t>
      </w:r>
      <w:r>
        <w:rPr/>
        <w:t>col- loidal gold counteracts these unfavourable</w:t>
      </w:r>
      <w:r>
        <w:rPr>
          <w:spacing w:val="-2"/>
        </w:rPr>
        <w:t> </w:t>
      </w:r>
      <w:r>
        <w:rPr/>
        <w:t>parameters.</w:t>
      </w:r>
    </w:p>
    <w:p>
      <w:pPr>
        <w:pStyle w:val="BodyText"/>
        <w:spacing w:line="276" w:lineRule="auto" w:before="241"/>
        <w:ind w:left="477" w:right="136"/>
        <w:jc w:val="both"/>
      </w:pPr>
      <w:r>
        <w:rPr/>
        <w:t>The demonstrable positive effect of colloidal gold on the immune system is further correlated with the successful use of gold colloids in cancer therapy.</w:t>
      </w:r>
    </w:p>
    <w:p>
      <w:pPr>
        <w:pStyle w:val="BodyText"/>
        <w:spacing w:line="276" w:lineRule="auto" w:before="241"/>
        <w:ind w:left="477" w:right="133"/>
        <w:jc w:val="both"/>
      </w:pPr>
      <w:r>
        <w:rPr/>
        <w:t>The US surgeon Edward H. Ochsner reported as early as 1935 in his article ‘Colloidal gold in inoperable cancer‘ that the administration of colloidal gold causes cancer cells to stop growing. More than that, the cancer pain subsides and</w:t>
      </w:r>
      <w:r>
        <w:rPr>
          <w:spacing w:val="-10"/>
        </w:rPr>
        <w:t> </w:t>
      </w:r>
      <w:r>
        <w:rPr/>
        <w:t>the</w:t>
      </w:r>
      <w:r>
        <w:rPr>
          <w:spacing w:val="-8"/>
        </w:rPr>
        <w:t> </w:t>
      </w:r>
      <w:r>
        <w:rPr/>
        <w:t>appetite</w:t>
      </w:r>
      <w:r>
        <w:rPr>
          <w:spacing w:val="-13"/>
        </w:rPr>
        <w:t> </w:t>
      </w:r>
      <w:r>
        <w:rPr/>
        <w:t>returns</w:t>
      </w:r>
      <w:r>
        <w:rPr>
          <w:spacing w:val="-8"/>
        </w:rPr>
        <w:t> </w:t>
      </w:r>
      <w:r>
        <w:rPr/>
        <w:t>–</w:t>
      </w:r>
      <w:r>
        <w:rPr>
          <w:spacing w:val="-11"/>
        </w:rPr>
        <w:t> </w:t>
      </w:r>
      <w:r>
        <w:rPr/>
        <w:t>so</w:t>
      </w:r>
      <w:r>
        <w:rPr>
          <w:spacing w:val="-10"/>
        </w:rPr>
        <w:t> </w:t>
      </w:r>
      <w:r>
        <w:rPr/>
        <w:t>colloidal</w:t>
      </w:r>
      <w:r>
        <w:rPr>
          <w:spacing w:val="-11"/>
        </w:rPr>
        <w:t> </w:t>
      </w:r>
      <w:r>
        <w:rPr/>
        <w:t>gold</w:t>
      </w:r>
      <w:r>
        <w:rPr>
          <w:spacing w:val="-10"/>
        </w:rPr>
        <w:t> </w:t>
      </w:r>
      <w:r>
        <w:rPr/>
        <w:t>not</w:t>
      </w:r>
      <w:r>
        <w:rPr>
          <w:spacing w:val="-10"/>
        </w:rPr>
        <w:t> </w:t>
      </w:r>
      <w:r>
        <w:rPr/>
        <w:t>only</w:t>
      </w:r>
      <w:r>
        <w:rPr>
          <w:spacing w:val="-10"/>
        </w:rPr>
        <w:t> </w:t>
      </w:r>
      <w:r>
        <w:rPr/>
        <w:t>counteracts</w:t>
      </w:r>
      <w:r>
        <w:rPr>
          <w:spacing w:val="-11"/>
        </w:rPr>
        <w:t> </w:t>
      </w:r>
      <w:r>
        <w:rPr/>
        <w:t>cancer</w:t>
      </w:r>
      <w:r>
        <w:rPr>
          <w:spacing w:val="-10"/>
        </w:rPr>
        <w:t> </w:t>
      </w:r>
      <w:r>
        <w:rPr/>
        <w:t>growth, but also cancer pain and cancer cachexia.</w:t>
      </w:r>
      <w:r>
        <w:rPr>
          <w:position w:val="9"/>
          <w:sz w:val="25"/>
        </w:rPr>
        <w:t>415 </w:t>
      </w:r>
      <w:r>
        <w:rPr/>
        <w:t>Therefore, it is not surprising that there are over 1,300 studies on cancer and colloidal gold in the largest medical study archive (pubmed.com) in the English language</w:t>
      </w:r>
      <w:r>
        <w:rPr>
          <w:spacing w:val="-2"/>
        </w:rPr>
        <w:t> </w:t>
      </w:r>
      <w:r>
        <w:rPr/>
        <w:t>alone!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4"/>
        </w:rPr>
      </w:pPr>
      <w:r>
        <w:rPr/>
        <w:pict>
          <v:line style="position:absolute;mso-position-horizontal-relative:page;mso-position-vertical-relative:paragraph;z-index:4976;mso-wrap-distance-left:0;mso-wrap-distance-right:0" from="63.863998pt,16.146265pt" to="207.883998pt,16.14626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415 </w:t>
      </w:r>
      <w:r>
        <w:rPr>
          <w:sz w:val="20"/>
        </w:rPr>
        <w:t>Brigitte Hamann, ‘Heilen mit Gold’ (‘Healing with Gold’) 2nd Edition 2015, p. 92</w:t>
      </w:r>
    </w:p>
    <w:p>
      <w:pPr>
        <w:spacing w:after="0"/>
        <w:jc w:val="left"/>
        <w:rPr>
          <w:sz w:val="20"/>
        </w:rPr>
        <w:sectPr>
          <w:pgSz w:w="14270" w:h="16850"/>
          <w:pgMar w:header="0" w:footer="1891" w:top="1600" w:bottom="2080" w:left="800" w:right="1280"/>
        </w:sectPr>
      </w:pPr>
    </w:p>
    <w:p>
      <w:pPr>
        <w:pStyle w:val="Heading1"/>
        <w:spacing w:before="164"/>
        <w:jc w:val="both"/>
      </w:pPr>
      <w:r>
        <w:rPr/>
        <w:t>Gold helps with cardiovascular problems</w:t>
      </w:r>
    </w:p>
    <w:p>
      <w:pPr>
        <w:pStyle w:val="BodyText"/>
        <w:spacing w:line="276" w:lineRule="auto" w:before="299"/>
        <w:ind w:left="477" w:right="131"/>
        <w:jc w:val="both"/>
      </w:pPr>
      <w:r>
        <w:rPr/>
        <w:t>Every</w:t>
      </w:r>
      <w:r>
        <w:rPr>
          <w:spacing w:val="-13"/>
        </w:rPr>
        <w:t> </w:t>
      </w:r>
      <w:r>
        <w:rPr/>
        <w:t>single</w:t>
      </w:r>
      <w:r>
        <w:rPr>
          <w:spacing w:val="-12"/>
        </w:rPr>
        <w:t> </w:t>
      </w:r>
      <w:r>
        <w:rPr/>
        <w:t>heartbeat</w:t>
      </w:r>
      <w:r>
        <w:rPr>
          <w:spacing w:val="-13"/>
        </w:rPr>
        <w:t> </w:t>
      </w:r>
      <w:r>
        <w:rPr/>
        <w:t>is</w:t>
      </w:r>
      <w:r>
        <w:rPr>
          <w:spacing w:val="-13"/>
        </w:rPr>
        <w:t> </w:t>
      </w:r>
      <w:r>
        <w:rPr/>
        <w:t>controlled</w:t>
      </w:r>
      <w:r>
        <w:rPr>
          <w:spacing w:val="-14"/>
        </w:rPr>
        <w:t> </w:t>
      </w:r>
      <w:r>
        <w:rPr/>
        <w:t>by</w:t>
      </w:r>
      <w:r>
        <w:rPr>
          <w:spacing w:val="-8"/>
        </w:rPr>
        <w:t> </w:t>
      </w:r>
      <w:r>
        <w:rPr>
          <w:b/>
        </w:rPr>
        <w:t>electrical</w:t>
      </w:r>
      <w:r>
        <w:rPr>
          <w:b/>
          <w:spacing w:val="-11"/>
        </w:rPr>
        <w:t> </w:t>
      </w:r>
      <w:r>
        <w:rPr>
          <w:b/>
        </w:rPr>
        <w:t>stimulation.</w:t>
      </w:r>
      <w:r>
        <w:rPr>
          <w:b/>
          <w:spacing w:val="-14"/>
        </w:rPr>
        <w:t> </w:t>
      </w:r>
      <w:r>
        <w:rPr/>
        <w:t>The</w:t>
      </w:r>
      <w:r>
        <w:rPr>
          <w:spacing w:val="-12"/>
        </w:rPr>
        <w:t> </w:t>
      </w:r>
      <w:r>
        <w:rPr/>
        <w:t>contraction of the heart muscle is initiated via the conduction system of the sinus node. By optimising intracellular communication, gold, as one of the world's best con- ductors, counteracts cardiac</w:t>
      </w:r>
      <w:r>
        <w:rPr>
          <w:spacing w:val="1"/>
        </w:rPr>
        <w:t> </w:t>
      </w:r>
      <w:r>
        <w:rPr/>
        <w:t>arrhythmias.</w:t>
      </w:r>
    </w:p>
    <w:p>
      <w:pPr>
        <w:pStyle w:val="Heading1"/>
        <w:spacing w:before="222"/>
        <w:jc w:val="both"/>
      </w:pPr>
      <w:r>
        <w:rPr/>
        <w:t>Ageing prophylaxis and rejuvenation with colloidal gold</w:t>
      </w:r>
    </w:p>
    <w:p>
      <w:pPr>
        <w:pStyle w:val="BodyText"/>
        <w:spacing w:line="276" w:lineRule="auto" w:before="300"/>
        <w:ind w:left="477" w:right="135"/>
        <w:jc w:val="both"/>
      </w:pPr>
      <w:r>
        <w:rPr/>
        <w:t>The effect of colloidal gold can be attributed to both the exciting category of ageing prophylaxis (retardation of biological ageing) and the far more fascinat- ing category of reverse ageing (biological rejuvenation)!</w:t>
      </w:r>
    </w:p>
    <w:p>
      <w:pPr>
        <w:pStyle w:val="BodyText"/>
        <w:spacing w:line="276" w:lineRule="auto" w:before="241"/>
        <w:ind w:left="477" w:right="129"/>
        <w:jc w:val="both"/>
      </w:pPr>
      <w:r>
        <w:rPr/>
        <w:t>All</w:t>
      </w:r>
      <w:r>
        <w:rPr>
          <w:spacing w:val="-14"/>
        </w:rPr>
        <w:t> </w:t>
      </w:r>
      <w:r>
        <w:rPr/>
        <w:t>aspects</w:t>
      </w:r>
      <w:r>
        <w:rPr>
          <w:spacing w:val="-12"/>
        </w:rPr>
        <w:t> </w:t>
      </w:r>
      <w:r>
        <w:rPr/>
        <w:t>of</w:t>
      </w:r>
      <w:r>
        <w:rPr>
          <w:spacing w:val="-12"/>
        </w:rPr>
        <w:t> </w:t>
      </w:r>
      <w:r>
        <w:rPr/>
        <w:t>ageing</w:t>
      </w:r>
      <w:r>
        <w:rPr>
          <w:spacing w:val="-12"/>
        </w:rPr>
        <w:t> </w:t>
      </w:r>
      <w:r>
        <w:rPr/>
        <w:t>prophylaxis,</w:t>
      </w:r>
      <w:r>
        <w:rPr>
          <w:spacing w:val="-12"/>
        </w:rPr>
        <w:t> </w:t>
      </w:r>
      <w:r>
        <w:rPr/>
        <w:t>as</w:t>
      </w:r>
      <w:r>
        <w:rPr>
          <w:spacing w:val="-13"/>
        </w:rPr>
        <w:t> </w:t>
      </w:r>
      <w:r>
        <w:rPr/>
        <w:t>well</w:t>
      </w:r>
      <w:r>
        <w:rPr>
          <w:spacing w:val="-13"/>
        </w:rPr>
        <w:t> </w:t>
      </w:r>
      <w:r>
        <w:rPr/>
        <w:t>as</w:t>
      </w:r>
      <w:r>
        <w:rPr>
          <w:spacing w:val="-15"/>
        </w:rPr>
        <w:t> </w:t>
      </w:r>
      <w:r>
        <w:rPr/>
        <w:t>biological</w:t>
      </w:r>
      <w:r>
        <w:rPr>
          <w:spacing w:val="-13"/>
        </w:rPr>
        <w:t> </w:t>
      </w:r>
      <w:r>
        <w:rPr/>
        <w:t>rejuvenation,</w:t>
      </w:r>
      <w:r>
        <w:rPr>
          <w:spacing w:val="-12"/>
        </w:rPr>
        <w:t> </w:t>
      </w:r>
      <w:r>
        <w:rPr/>
        <w:t>begin</w:t>
      </w:r>
      <w:r>
        <w:rPr>
          <w:spacing w:val="-13"/>
        </w:rPr>
        <w:t> </w:t>
      </w:r>
      <w:r>
        <w:rPr/>
        <w:t>at</w:t>
      </w:r>
      <w:r>
        <w:rPr>
          <w:spacing w:val="-14"/>
        </w:rPr>
        <w:t> </w:t>
      </w:r>
      <w:r>
        <w:rPr/>
        <w:t>the cellular</w:t>
      </w:r>
      <w:r>
        <w:rPr>
          <w:spacing w:val="-21"/>
        </w:rPr>
        <w:t> </w:t>
      </w:r>
      <w:r>
        <w:rPr/>
        <w:t>level.</w:t>
      </w:r>
      <w:r>
        <w:rPr>
          <w:spacing w:val="-20"/>
        </w:rPr>
        <w:t> </w:t>
      </w:r>
      <w:r>
        <w:rPr/>
        <w:t>Only</w:t>
      </w:r>
      <w:r>
        <w:rPr>
          <w:spacing w:val="-21"/>
        </w:rPr>
        <w:t> </w:t>
      </w:r>
      <w:r>
        <w:rPr/>
        <w:t>if</w:t>
      </w:r>
      <w:r>
        <w:rPr>
          <w:spacing w:val="-21"/>
        </w:rPr>
        <w:t> </w:t>
      </w:r>
      <w:r>
        <w:rPr/>
        <w:t>we</w:t>
      </w:r>
      <w:r>
        <w:rPr>
          <w:spacing w:val="-21"/>
        </w:rPr>
        <w:t> </w:t>
      </w:r>
      <w:r>
        <w:rPr/>
        <w:t>succeed</w:t>
      </w:r>
      <w:r>
        <w:rPr>
          <w:spacing w:val="-20"/>
        </w:rPr>
        <w:t> </w:t>
      </w:r>
      <w:r>
        <w:rPr/>
        <w:t>in</w:t>
      </w:r>
      <w:r>
        <w:rPr>
          <w:spacing w:val="-21"/>
        </w:rPr>
        <w:t> </w:t>
      </w:r>
      <w:r>
        <w:rPr/>
        <w:t>protecting</w:t>
      </w:r>
      <w:r>
        <w:rPr>
          <w:spacing w:val="-19"/>
        </w:rPr>
        <w:t> </w:t>
      </w:r>
      <w:r>
        <w:rPr/>
        <w:t>our</w:t>
      </w:r>
      <w:r>
        <w:rPr>
          <w:spacing w:val="-20"/>
        </w:rPr>
        <w:t> </w:t>
      </w:r>
      <w:r>
        <w:rPr/>
        <w:t>37,2</w:t>
      </w:r>
      <w:r>
        <w:rPr>
          <w:spacing w:val="-20"/>
        </w:rPr>
        <w:t> </w:t>
      </w:r>
      <w:r>
        <w:rPr/>
        <w:t>trillion</w:t>
      </w:r>
      <w:r>
        <w:rPr>
          <w:spacing w:val="-19"/>
        </w:rPr>
        <w:t> </w:t>
      </w:r>
      <w:r>
        <w:rPr/>
        <w:t>cells</w:t>
      </w:r>
      <w:r>
        <w:rPr>
          <w:spacing w:val="-21"/>
        </w:rPr>
        <w:t> </w:t>
      </w:r>
      <w:r>
        <w:rPr/>
        <w:t>from</w:t>
      </w:r>
      <w:r>
        <w:rPr>
          <w:spacing w:val="-20"/>
        </w:rPr>
        <w:t> </w:t>
      </w:r>
      <w:r>
        <w:rPr/>
        <w:t>further destruction will we successfully achieve anti-ageing effects. On the other hand, biological rejuvenation requires that we actively carry out cell</w:t>
      </w:r>
      <w:r>
        <w:rPr>
          <w:spacing w:val="-16"/>
        </w:rPr>
        <w:t> </w:t>
      </w:r>
      <w:r>
        <w:rPr/>
        <w:t>renewal.</w:t>
      </w:r>
    </w:p>
    <w:p>
      <w:pPr>
        <w:pStyle w:val="BodyText"/>
        <w:spacing w:line="276" w:lineRule="auto" w:before="240"/>
        <w:ind w:left="477" w:right="133"/>
        <w:jc w:val="both"/>
      </w:pPr>
      <w:r>
        <w:rPr/>
        <w:t>The former (anti-ageing) is a lot easier to implement, this is already relatively easy to achieve with a healthy diet, some potent antioxidants and two weekly training sessions in the fresh air. The prime discipline is and remains reverse ageing, which is not just the delay of ageing processes, but even the active re- versal of ageing!</w:t>
      </w:r>
    </w:p>
    <w:p>
      <w:pPr>
        <w:pStyle w:val="BodyText"/>
        <w:spacing w:line="276" w:lineRule="auto" w:before="240"/>
        <w:ind w:left="477" w:right="138"/>
        <w:jc w:val="both"/>
      </w:pPr>
      <w:r>
        <w:rPr/>
        <w:t>As we have seen above, colloidal gold acts as a very effective radical scavenger and counteracts glycation and inflammatory processes in the body. This would</w:t>
      </w:r>
    </w:p>
    <w:p>
      <w:pPr>
        <w:spacing w:after="0" w:line="276" w:lineRule="auto"/>
        <w:jc w:val="both"/>
        <w:sectPr>
          <w:pgSz w:w="14270" w:h="16850"/>
          <w:pgMar w:header="0" w:footer="1891" w:top="1600" w:bottom="2080" w:left="800" w:right="1280"/>
        </w:sectPr>
      </w:pPr>
    </w:p>
    <w:p>
      <w:pPr>
        <w:pStyle w:val="BodyText"/>
        <w:spacing w:line="276" w:lineRule="auto" w:before="181"/>
        <w:ind w:left="477" w:right="133"/>
        <w:jc w:val="both"/>
      </w:pPr>
      <w:r>
        <w:rPr/>
        <w:t>already be sufficient for colloidal gold to be classified as a highly potent anti- ageing agent. Colloidal gold goes much further...:</w:t>
      </w:r>
    </w:p>
    <w:p>
      <w:pPr>
        <w:pStyle w:val="BodyText"/>
        <w:spacing w:line="276" w:lineRule="auto" w:before="241"/>
        <w:ind w:left="477" w:right="132"/>
        <w:jc w:val="both"/>
      </w:pPr>
      <w:r>
        <w:rPr/>
        <w:t>The</w:t>
      </w:r>
      <w:r>
        <w:rPr>
          <w:spacing w:val="-12"/>
        </w:rPr>
        <w:t> </w:t>
      </w:r>
      <w:r>
        <w:rPr/>
        <w:t>DNA</w:t>
      </w:r>
      <w:r>
        <w:rPr>
          <w:spacing w:val="-11"/>
        </w:rPr>
        <w:t> </w:t>
      </w:r>
      <w:r>
        <w:rPr/>
        <w:t>(our</w:t>
      </w:r>
      <w:r>
        <w:rPr>
          <w:spacing w:val="-14"/>
        </w:rPr>
        <w:t> </w:t>
      </w:r>
      <w:r>
        <w:rPr/>
        <w:t>genome),</w:t>
      </w:r>
      <w:r>
        <w:rPr>
          <w:spacing w:val="-12"/>
        </w:rPr>
        <w:t> </w:t>
      </w:r>
      <w:r>
        <w:rPr/>
        <w:t>together</w:t>
      </w:r>
      <w:r>
        <w:rPr>
          <w:spacing w:val="-11"/>
        </w:rPr>
        <w:t> </w:t>
      </w:r>
      <w:r>
        <w:rPr/>
        <w:t>with</w:t>
      </w:r>
      <w:r>
        <w:rPr>
          <w:spacing w:val="-11"/>
        </w:rPr>
        <w:t> </w:t>
      </w:r>
      <w:r>
        <w:rPr/>
        <w:t>the</w:t>
      </w:r>
      <w:r>
        <w:rPr>
          <w:spacing w:val="-14"/>
        </w:rPr>
        <w:t> </w:t>
      </w:r>
      <w:r>
        <w:rPr/>
        <w:t>RNA,</w:t>
      </w:r>
      <w:r>
        <w:rPr>
          <w:spacing w:val="-11"/>
        </w:rPr>
        <w:t> </w:t>
      </w:r>
      <w:r>
        <w:rPr/>
        <w:t>controls</w:t>
      </w:r>
      <w:r>
        <w:rPr>
          <w:spacing w:val="-12"/>
        </w:rPr>
        <w:t> </w:t>
      </w:r>
      <w:r>
        <w:rPr/>
        <w:t>all</w:t>
      </w:r>
      <w:r>
        <w:rPr>
          <w:spacing w:val="-14"/>
        </w:rPr>
        <w:t> </w:t>
      </w:r>
      <w:r>
        <w:rPr/>
        <w:t>body</w:t>
      </w:r>
      <w:r>
        <w:rPr>
          <w:spacing w:val="-11"/>
        </w:rPr>
        <w:t> </w:t>
      </w:r>
      <w:r>
        <w:rPr/>
        <w:t>processes</w:t>
      </w:r>
      <w:r>
        <w:rPr>
          <w:spacing w:val="-13"/>
        </w:rPr>
        <w:t> </w:t>
      </w:r>
      <w:r>
        <w:rPr/>
        <w:t>at the cellular level. The vital repair of cell damage occurring daily within the cell metabolism is one of these processes. By improving the information flow of our DNA (genetic material) by up to 10,000 times, colloidal gold supports the repair of our 37,2 trillion cells, resulting in highly active reverse ageing, i.e. the reversal of biological ageing. This rejuvenation process is directly supported by the rejuvenation of the entire endocrine system already</w:t>
      </w:r>
      <w:r>
        <w:rPr>
          <w:spacing w:val="2"/>
        </w:rPr>
        <w:t> </w:t>
      </w:r>
      <w:r>
        <w:rPr/>
        <w:t>described.</w:t>
      </w:r>
    </w:p>
    <w:p>
      <w:pPr>
        <w:pStyle w:val="Heading1"/>
      </w:pPr>
      <w:r>
        <w:rPr/>
        <w:t>Effect of colloidal gold against</w:t>
      </w:r>
      <w:r>
        <w:rPr>
          <w:spacing w:val="-53"/>
        </w:rPr>
        <w:t> </w:t>
      </w:r>
      <w:r>
        <w:rPr/>
        <w:t>arthritis</w:t>
      </w:r>
    </w:p>
    <w:p>
      <w:pPr>
        <w:pStyle w:val="BodyText"/>
        <w:spacing w:line="276" w:lineRule="auto" w:before="299"/>
        <w:ind w:left="477" w:right="133"/>
        <w:jc w:val="both"/>
        <w:rPr>
          <w:sz w:val="25"/>
        </w:rPr>
      </w:pPr>
      <w:r>
        <w:rPr/>
        <w:t>Already in 1997, in a study to prove the analgesic and anti-inflammatory effect of colloidal gold on arthritis, Dr. Guy Abraham and Dr. Peter Himmel discov- ered that it increases the mobility of patients and minimises swelling. Motor activities were performed better after just a week of colloidal gold intake.</w:t>
      </w:r>
      <w:r>
        <w:rPr>
          <w:position w:val="9"/>
          <w:sz w:val="25"/>
        </w:rPr>
        <w:t>416</w:t>
      </w:r>
    </w:p>
    <w:p>
      <w:pPr>
        <w:pStyle w:val="Heading1"/>
        <w:spacing w:before="222"/>
      </w:pPr>
      <w:r>
        <w:rPr/>
        <w:t>Effect of colloidal gold on arthrosis</w:t>
      </w:r>
    </w:p>
    <w:p>
      <w:pPr>
        <w:pStyle w:val="BodyText"/>
        <w:spacing w:line="276" w:lineRule="auto" w:before="299"/>
        <w:ind w:left="477" w:right="132"/>
        <w:jc w:val="both"/>
      </w:pPr>
      <w:r>
        <w:rPr/>
        <w:t>Within</w:t>
      </w:r>
      <w:r>
        <w:rPr>
          <w:spacing w:val="-24"/>
        </w:rPr>
        <w:t> </w:t>
      </w:r>
      <w:r>
        <w:rPr/>
        <w:t>veterinary</w:t>
      </w:r>
      <w:r>
        <w:rPr>
          <w:spacing w:val="-23"/>
        </w:rPr>
        <w:t> </w:t>
      </w:r>
      <w:r>
        <w:rPr/>
        <w:t>medicine,</w:t>
      </w:r>
      <w:r>
        <w:rPr>
          <w:spacing w:val="-22"/>
        </w:rPr>
        <w:t> </w:t>
      </w:r>
      <w:r>
        <w:rPr/>
        <w:t>gold</w:t>
      </w:r>
      <w:r>
        <w:rPr>
          <w:spacing w:val="-25"/>
        </w:rPr>
        <w:t> </w:t>
      </w:r>
      <w:r>
        <w:rPr/>
        <w:t>implants</w:t>
      </w:r>
      <w:r>
        <w:rPr>
          <w:spacing w:val="-22"/>
        </w:rPr>
        <w:t> </w:t>
      </w:r>
      <w:r>
        <w:rPr/>
        <w:t>in</w:t>
      </w:r>
      <w:r>
        <w:rPr>
          <w:spacing w:val="-23"/>
        </w:rPr>
        <w:t> </w:t>
      </w:r>
      <w:r>
        <w:rPr/>
        <w:t>arthrosis</w:t>
      </w:r>
      <w:r>
        <w:rPr>
          <w:spacing w:val="-19"/>
        </w:rPr>
        <w:t> </w:t>
      </w:r>
      <w:r>
        <w:rPr/>
        <w:t>have</w:t>
      </w:r>
      <w:r>
        <w:rPr>
          <w:spacing w:val="-23"/>
        </w:rPr>
        <w:t> </w:t>
      </w:r>
      <w:r>
        <w:rPr/>
        <w:t>been</w:t>
      </w:r>
      <w:r>
        <w:rPr>
          <w:spacing w:val="-23"/>
        </w:rPr>
        <w:t> </w:t>
      </w:r>
      <w:r>
        <w:rPr/>
        <w:t>a</w:t>
      </w:r>
      <w:r>
        <w:rPr>
          <w:spacing w:val="-24"/>
        </w:rPr>
        <w:t> </w:t>
      </w:r>
      <w:r>
        <w:rPr/>
        <w:t>part</w:t>
      </w:r>
      <w:r>
        <w:rPr>
          <w:spacing w:val="-24"/>
        </w:rPr>
        <w:t> </w:t>
      </w:r>
      <w:r>
        <w:rPr/>
        <w:t>of</w:t>
      </w:r>
      <w:r>
        <w:rPr>
          <w:spacing w:val="-23"/>
        </w:rPr>
        <w:t> </w:t>
      </w:r>
      <w:r>
        <w:rPr/>
        <w:t>stand- ard</w:t>
      </w:r>
      <w:r>
        <w:rPr>
          <w:spacing w:val="-8"/>
        </w:rPr>
        <w:t> </w:t>
      </w:r>
      <w:r>
        <w:rPr/>
        <w:t>medical</w:t>
      </w:r>
      <w:r>
        <w:rPr>
          <w:spacing w:val="-7"/>
        </w:rPr>
        <w:t> </w:t>
      </w:r>
      <w:r>
        <w:rPr/>
        <w:t>care</w:t>
      </w:r>
      <w:r>
        <w:rPr>
          <w:spacing w:val="-6"/>
        </w:rPr>
        <w:t> </w:t>
      </w:r>
      <w:r>
        <w:rPr/>
        <w:t>since</w:t>
      </w:r>
      <w:r>
        <w:rPr>
          <w:spacing w:val="-9"/>
        </w:rPr>
        <w:t> </w:t>
      </w:r>
      <w:r>
        <w:rPr/>
        <w:t>1993,</w:t>
      </w:r>
      <w:r>
        <w:rPr>
          <w:spacing w:val="-7"/>
        </w:rPr>
        <w:t> </w:t>
      </w:r>
      <w:r>
        <w:rPr/>
        <w:t>with</w:t>
      </w:r>
      <w:r>
        <w:rPr>
          <w:spacing w:val="-6"/>
        </w:rPr>
        <w:t> </w:t>
      </w:r>
      <w:r>
        <w:rPr/>
        <w:t>the</w:t>
      </w:r>
      <w:r>
        <w:rPr>
          <w:spacing w:val="-8"/>
        </w:rPr>
        <w:t> </w:t>
      </w:r>
      <w:r>
        <w:rPr/>
        <w:t>first</w:t>
      </w:r>
      <w:r>
        <w:rPr>
          <w:spacing w:val="-7"/>
        </w:rPr>
        <w:t> </w:t>
      </w:r>
      <w:r>
        <w:rPr/>
        <w:t>gold</w:t>
      </w:r>
      <w:r>
        <w:rPr>
          <w:spacing w:val="-7"/>
        </w:rPr>
        <w:t> </w:t>
      </w:r>
      <w:r>
        <w:rPr/>
        <w:t>implants</w:t>
      </w:r>
      <w:r>
        <w:rPr>
          <w:spacing w:val="-7"/>
        </w:rPr>
        <w:t> </w:t>
      </w:r>
      <w:r>
        <w:rPr/>
        <w:t>successfully</w:t>
      </w:r>
      <w:r>
        <w:rPr>
          <w:spacing w:val="-7"/>
        </w:rPr>
        <w:t> </w:t>
      </w:r>
      <w:r>
        <w:rPr/>
        <w:t>completed as early as the</w:t>
      </w:r>
      <w:r>
        <w:rPr>
          <w:spacing w:val="2"/>
        </w:rPr>
        <w:t> </w:t>
      </w:r>
      <w:r>
        <w:rPr/>
        <w:t>mid-1980s.</w:t>
      </w:r>
    </w:p>
    <w:p>
      <w:pPr>
        <w:pStyle w:val="BodyText"/>
        <w:spacing w:before="7"/>
        <w:rPr>
          <w:sz w:val="14"/>
        </w:rPr>
      </w:pPr>
      <w:r>
        <w:rPr/>
        <w:pict>
          <v:line style="position:absolute;mso-position-horizontal-relative:page;mso-position-vertical-relative:paragraph;z-index:5000;mso-wrap-distance-left:0;mso-wrap-distance-right:0" from="63.863998pt,10.590015pt" to="207.883998pt,10.59001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416 </w:t>
      </w:r>
      <w:r>
        <w:rPr>
          <w:sz w:val="20"/>
        </w:rPr>
        <w:t>https://</w:t>
      </w:r>
      <w:hyperlink r:id="rId170">
        <w:r>
          <w:rPr>
            <w:sz w:val="20"/>
          </w:rPr>
          <w:t>www.purestcolloids.com/colloidal-gold-studies.php</w:t>
        </w:r>
      </w:hyperlink>
    </w:p>
    <w:p>
      <w:pPr>
        <w:spacing w:after="0"/>
        <w:jc w:val="left"/>
        <w:rPr>
          <w:sz w:val="20"/>
        </w:rPr>
        <w:sectPr>
          <w:pgSz w:w="14270" w:h="16850"/>
          <w:pgMar w:header="0" w:footer="1891" w:top="1600" w:bottom="2080" w:left="800" w:right="1280"/>
        </w:sectPr>
      </w:pPr>
    </w:p>
    <w:p>
      <w:pPr>
        <w:pStyle w:val="BodyText"/>
        <w:spacing w:line="276" w:lineRule="auto" w:before="181"/>
        <w:ind w:left="477" w:right="137"/>
        <w:jc w:val="both"/>
      </w:pPr>
      <w:r>
        <w:rPr/>
        <w:t>In 1996, three Danish human physicians began applying gold implants to hu- mans as well – currently, the number of arthrosis patients implanted with gold is estimated at least 8000 people.</w:t>
      </w:r>
    </w:p>
    <w:p>
      <w:pPr>
        <w:pStyle w:val="BodyText"/>
        <w:rPr>
          <w:sz w:val="42"/>
        </w:rPr>
      </w:pPr>
    </w:p>
    <w:p>
      <w:pPr>
        <w:pStyle w:val="BodyText"/>
        <w:spacing w:before="6"/>
        <w:rPr>
          <w:sz w:val="44"/>
        </w:rPr>
      </w:pPr>
    </w:p>
    <w:p>
      <w:pPr>
        <w:pStyle w:val="Heading2"/>
        <w:spacing w:line="276" w:lineRule="auto"/>
        <w:ind w:right="142"/>
        <w:jc w:val="both"/>
      </w:pPr>
      <w:r>
        <w:rPr/>
        <w:t>Gold implantation is successfully used, among others, in the following joints:</w:t>
      </w:r>
    </w:p>
    <w:p>
      <w:pPr>
        <w:pStyle w:val="ListParagraph"/>
        <w:numPr>
          <w:ilvl w:val="1"/>
          <w:numId w:val="41"/>
        </w:numPr>
        <w:tabs>
          <w:tab w:pos="1189" w:val="left" w:leader="none"/>
          <w:tab w:pos="1191" w:val="left" w:leader="none"/>
        </w:tabs>
        <w:spacing w:line="426" w:lineRule="exact" w:before="0" w:after="0"/>
        <w:ind w:left="1190" w:right="0" w:hanging="356"/>
        <w:jc w:val="left"/>
        <w:rPr>
          <w:rFonts w:ascii="Symbol"/>
          <w:sz w:val="20"/>
        </w:rPr>
      </w:pPr>
      <w:r>
        <w:rPr>
          <w:sz w:val="38"/>
        </w:rPr>
        <w:t>knee</w:t>
      </w:r>
    </w:p>
    <w:p>
      <w:pPr>
        <w:pStyle w:val="ListParagraph"/>
        <w:numPr>
          <w:ilvl w:val="1"/>
          <w:numId w:val="41"/>
        </w:numPr>
        <w:tabs>
          <w:tab w:pos="1189" w:val="left" w:leader="none"/>
          <w:tab w:pos="1191" w:val="left" w:leader="none"/>
        </w:tabs>
        <w:spacing w:line="240" w:lineRule="auto" w:before="65" w:after="0"/>
        <w:ind w:left="1190" w:right="0" w:hanging="356"/>
        <w:jc w:val="left"/>
        <w:rPr>
          <w:rFonts w:ascii="Symbol"/>
          <w:sz w:val="20"/>
        </w:rPr>
      </w:pPr>
      <w:r>
        <w:rPr>
          <w:sz w:val="38"/>
        </w:rPr>
        <w:t>hip</w:t>
      </w:r>
    </w:p>
    <w:p>
      <w:pPr>
        <w:pStyle w:val="ListParagraph"/>
        <w:numPr>
          <w:ilvl w:val="1"/>
          <w:numId w:val="41"/>
        </w:numPr>
        <w:tabs>
          <w:tab w:pos="1189" w:val="left" w:leader="none"/>
          <w:tab w:pos="1191" w:val="left" w:leader="none"/>
        </w:tabs>
        <w:spacing w:line="240" w:lineRule="auto" w:before="64" w:after="0"/>
        <w:ind w:left="1190" w:right="0" w:hanging="356"/>
        <w:jc w:val="left"/>
        <w:rPr>
          <w:rFonts w:ascii="Symbol"/>
          <w:sz w:val="20"/>
        </w:rPr>
      </w:pPr>
      <w:r>
        <w:rPr>
          <w:sz w:val="38"/>
        </w:rPr>
        <w:t>pain in the</w:t>
      </w:r>
      <w:r>
        <w:rPr>
          <w:spacing w:val="2"/>
          <w:sz w:val="38"/>
        </w:rPr>
        <w:t> </w:t>
      </w:r>
      <w:r>
        <w:rPr>
          <w:sz w:val="38"/>
        </w:rPr>
        <w:t>neck</w:t>
      </w:r>
    </w:p>
    <w:p>
      <w:pPr>
        <w:pStyle w:val="ListParagraph"/>
        <w:numPr>
          <w:ilvl w:val="1"/>
          <w:numId w:val="41"/>
        </w:numPr>
        <w:tabs>
          <w:tab w:pos="1189" w:val="left" w:leader="none"/>
          <w:tab w:pos="1191" w:val="left" w:leader="none"/>
        </w:tabs>
        <w:spacing w:line="240" w:lineRule="auto" w:before="65" w:after="0"/>
        <w:ind w:left="1190" w:right="0" w:hanging="356"/>
        <w:jc w:val="left"/>
        <w:rPr>
          <w:rFonts w:ascii="Symbol"/>
          <w:sz w:val="20"/>
        </w:rPr>
      </w:pPr>
      <w:r>
        <w:rPr>
          <w:sz w:val="38"/>
        </w:rPr>
        <w:t>small</w:t>
      </w:r>
      <w:r>
        <w:rPr>
          <w:spacing w:val="-2"/>
          <w:sz w:val="38"/>
        </w:rPr>
        <w:t> </w:t>
      </w:r>
      <w:r>
        <w:rPr>
          <w:sz w:val="38"/>
        </w:rPr>
        <w:t>joints</w:t>
      </w:r>
    </w:p>
    <w:p>
      <w:pPr>
        <w:pStyle w:val="ListParagraph"/>
        <w:numPr>
          <w:ilvl w:val="1"/>
          <w:numId w:val="41"/>
        </w:numPr>
        <w:tabs>
          <w:tab w:pos="1189" w:val="left" w:leader="none"/>
          <w:tab w:pos="1191" w:val="left" w:leader="none"/>
        </w:tabs>
        <w:spacing w:line="240" w:lineRule="auto" w:before="64" w:after="0"/>
        <w:ind w:left="1190" w:right="0" w:hanging="356"/>
        <w:jc w:val="left"/>
        <w:rPr>
          <w:rFonts w:ascii="Symbol"/>
          <w:sz w:val="20"/>
        </w:rPr>
      </w:pPr>
      <w:r>
        <w:rPr>
          <w:sz w:val="38"/>
        </w:rPr>
        <w:t>in the back</w:t>
      </w:r>
      <w:r>
        <w:rPr>
          <w:spacing w:val="3"/>
          <w:sz w:val="38"/>
        </w:rPr>
        <w:t> </w:t>
      </w:r>
      <w:r>
        <w:rPr>
          <w:sz w:val="38"/>
        </w:rPr>
        <w:t>area</w:t>
      </w:r>
    </w:p>
    <w:p>
      <w:pPr>
        <w:pStyle w:val="BodyText"/>
        <w:rPr>
          <w:sz w:val="42"/>
        </w:rPr>
      </w:pPr>
    </w:p>
    <w:p>
      <w:pPr>
        <w:pStyle w:val="BodyText"/>
        <w:spacing w:before="11"/>
        <w:rPr>
          <w:sz w:val="49"/>
        </w:rPr>
      </w:pPr>
    </w:p>
    <w:p>
      <w:pPr>
        <w:pStyle w:val="Heading2"/>
        <w:jc w:val="both"/>
      </w:pPr>
      <w:r>
        <w:rPr/>
        <w:t>How does such an intervention work?</w:t>
      </w:r>
    </w:p>
    <w:p>
      <w:pPr>
        <w:pStyle w:val="BodyText"/>
        <w:spacing w:line="276" w:lineRule="auto" w:before="304"/>
        <w:ind w:left="477" w:right="132"/>
        <w:jc w:val="both"/>
      </w:pPr>
      <w:r>
        <w:rPr/>
        <w:t>Under local anaesthesia, either gold platelets, gold wire pieces or gold beads (size</w:t>
      </w:r>
      <w:r>
        <w:rPr>
          <w:spacing w:val="-7"/>
        </w:rPr>
        <w:t> </w:t>
      </w:r>
      <w:r>
        <w:rPr/>
        <w:t>1-2mm)</w:t>
      </w:r>
      <w:r>
        <w:rPr>
          <w:spacing w:val="-7"/>
        </w:rPr>
        <w:t> </w:t>
      </w:r>
      <w:r>
        <w:rPr/>
        <w:t>consisting</w:t>
      </w:r>
      <w:r>
        <w:rPr>
          <w:spacing w:val="-7"/>
        </w:rPr>
        <w:t> </w:t>
      </w:r>
      <w:r>
        <w:rPr/>
        <w:t>of</w:t>
      </w:r>
      <w:r>
        <w:rPr>
          <w:spacing w:val="-9"/>
        </w:rPr>
        <w:t> </w:t>
      </w:r>
      <w:r>
        <w:rPr/>
        <w:t>24-carat</w:t>
      </w:r>
      <w:r>
        <w:rPr>
          <w:spacing w:val="-7"/>
        </w:rPr>
        <w:t> </w:t>
      </w:r>
      <w:r>
        <w:rPr/>
        <w:t>fine</w:t>
      </w:r>
      <w:r>
        <w:rPr>
          <w:spacing w:val="-6"/>
        </w:rPr>
        <w:t> </w:t>
      </w:r>
      <w:r>
        <w:rPr/>
        <w:t>gold</w:t>
      </w:r>
      <w:r>
        <w:rPr>
          <w:spacing w:val="-6"/>
        </w:rPr>
        <w:t> </w:t>
      </w:r>
      <w:r>
        <w:rPr/>
        <w:t>are</w:t>
      </w:r>
      <w:r>
        <w:rPr>
          <w:spacing w:val="-11"/>
        </w:rPr>
        <w:t> </w:t>
      </w:r>
      <w:r>
        <w:rPr/>
        <w:t>injected</w:t>
      </w:r>
      <w:r>
        <w:rPr>
          <w:spacing w:val="-7"/>
        </w:rPr>
        <w:t> </w:t>
      </w:r>
      <w:r>
        <w:rPr/>
        <w:t>into</w:t>
      </w:r>
      <w:r>
        <w:rPr>
          <w:spacing w:val="-6"/>
        </w:rPr>
        <w:t> </w:t>
      </w:r>
      <w:r>
        <w:rPr/>
        <w:t>the</w:t>
      </w:r>
      <w:r>
        <w:rPr>
          <w:spacing w:val="-8"/>
        </w:rPr>
        <w:t> </w:t>
      </w:r>
      <w:r>
        <w:rPr/>
        <w:t>tissue</w:t>
      </w:r>
      <w:r>
        <w:rPr>
          <w:spacing w:val="-9"/>
        </w:rPr>
        <w:t> </w:t>
      </w:r>
      <w:r>
        <w:rPr/>
        <w:t>around the affected joint. The minimally invasive procedure is associated with no fur- ther complications or pain apart from the injection</w:t>
      </w:r>
      <w:r>
        <w:rPr>
          <w:spacing w:val="-1"/>
        </w:rPr>
        <w:t> </w:t>
      </w:r>
      <w:r>
        <w:rPr/>
        <w:t>pain.</w:t>
      </w:r>
    </w:p>
    <w:p>
      <w:pPr>
        <w:pStyle w:val="Heading2"/>
        <w:spacing w:before="242"/>
        <w:jc w:val="both"/>
      </w:pPr>
      <w:r>
        <w:rPr/>
        <w:t>How does gold implantation affect arthrosis in joints?</w:t>
      </w:r>
    </w:p>
    <w:p>
      <w:pPr>
        <w:pStyle w:val="BodyText"/>
        <w:spacing w:before="302"/>
        <w:ind w:left="477"/>
        <w:jc w:val="both"/>
      </w:pPr>
      <w:r>
        <w:rPr/>
        <w:t>Gold implants constantly release the smallest amounts of gold ions.</w:t>
      </w:r>
    </w:p>
    <w:p>
      <w:pPr>
        <w:pStyle w:val="ListParagraph"/>
        <w:numPr>
          <w:ilvl w:val="1"/>
          <w:numId w:val="41"/>
        </w:numPr>
        <w:tabs>
          <w:tab w:pos="1189" w:val="left" w:leader="none"/>
          <w:tab w:pos="1191" w:val="left" w:leader="none"/>
        </w:tabs>
        <w:spacing w:line="240" w:lineRule="auto" w:before="65" w:after="0"/>
        <w:ind w:left="1190" w:right="0" w:hanging="356"/>
        <w:jc w:val="left"/>
        <w:rPr>
          <w:rFonts w:ascii="Symbol"/>
          <w:sz w:val="20"/>
        </w:rPr>
      </w:pPr>
      <w:r>
        <w:rPr>
          <w:sz w:val="38"/>
        </w:rPr>
        <w:t>These gold ions have an anti-inflammatory</w:t>
      </w:r>
      <w:r>
        <w:rPr>
          <w:spacing w:val="-3"/>
          <w:sz w:val="38"/>
        </w:rPr>
        <w:t> </w:t>
      </w:r>
      <w:r>
        <w:rPr>
          <w:sz w:val="38"/>
        </w:rPr>
        <w:t>effect</w:t>
      </w:r>
    </w:p>
    <w:p>
      <w:pPr>
        <w:spacing w:after="0" w:line="240" w:lineRule="auto"/>
        <w:jc w:val="left"/>
        <w:rPr>
          <w:rFonts w:ascii="Symbol"/>
          <w:sz w:val="20"/>
        </w:rPr>
        <w:sectPr>
          <w:pgSz w:w="14270" w:h="16850"/>
          <w:pgMar w:header="0" w:footer="1891" w:top="1600" w:bottom="2080" w:left="800" w:right="1280"/>
        </w:sectPr>
      </w:pPr>
    </w:p>
    <w:p>
      <w:pPr>
        <w:pStyle w:val="ListParagraph"/>
        <w:numPr>
          <w:ilvl w:val="1"/>
          <w:numId w:val="41"/>
        </w:numPr>
        <w:tabs>
          <w:tab w:pos="1189" w:val="left" w:leader="none"/>
          <w:tab w:pos="1191" w:val="left" w:leader="none"/>
        </w:tabs>
        <w:spacing w:line="240" w:lineRule="auto" w:before="181" w:after="0"/>
        <w:ind w:left="1190" w:right="0" w:hanging="356"/>
        <w:jc w:val="left"/>
        <w:rPr>
          <w:rFonts w:ascii="Symbol"/>
          <w:sz w:val="20"/>
        </w:rPr>
      </w:pPr>
      <w:r>
        <w:rPr>
          <w:sz w:val="38"/>
        </w:rPr>
        <w:t>The reduction of inflammation prevents</w:t>
      </w:r>
      <w:r>
        <w:rPr>
          <w:spacing w:val="9"/>
          <w:sz w:val="38"/>
        </w:rPr>
        <w:t> </w:t>
      </w:r>
      <w:r>
        <w:rPr>
          <w:sz w:val="38"/>
        </w:rPr>
        <w:t>pain</w:t>
      </w:r>
    </w:p>
    <w:p>
      <w:pPr>
        <w:pStyle w:val="ListParagraph"/>
        <w:numPr>
          <w:ilvl w:val="1"/>
          <w:numId w:val="41"/>
        </w:numPr>
        <w:tabs>
          <w:tab w:pos="1189" w:val="left" w:leader="none"/>
          <w:tab w:pos="1191" w:val="left" w:leader="none"/>
        </w:tabs>
        <w:spacing w:line="276" w:lineRule="auto" w:before="65" w:after="0"/>
        <w:ind w:left="1190" w:right="140" w:hanging="356"/>
        <w:jc w:val="left"/>
        <w:rPr>
          <w:rFonts w:ascii="Symbol"/>
          <w:sz w:val="20"/>
        </w:rPr>
      </w:pPr>
      <w:r>
        <w:rPr>
          <w:sz w:val="38"/>
        </w:rPr>
        <w:t>Due to the reduced pain, the problematic posture taken to reduce pain is no longer</w:t>
      </w:r>
      <w:r>
        <w:rPr>
          <w:spacing w:val="-1"/>
          <w:sz w:val="38"/>
        </w:rPr>
        <w:t> </w:t>
      </w:r>
      <w:r>
        <w:rPr>
          <w:sz w:val="38"/>
        </w:rPr>
        <w:t>necessary</w:t>
      </w:r>
    </w:p>
    <w:p>
      <w:pPr>
        <w:pStyle w:val="ListParagraph"/>
        <w:numPr>
          <w:ilvl w:val="1"/>
          <w:numId w:val="41"/>
        </w:numPr>
        <w:tabs>
          <w:tab w:pos="1189" w:val="left" w:leader="none"/>
          <w:tab w:pos="1191" w:val="left" w:leader="none"/>
        </w:tabs>
        <w:spacing w:line="240" w:lineRule="auto" w:before="1" w:after="0"/>
        <w:ind w:left="1190" w:right="0" w:hanging="356"/>
        <w:jc w:val="left"/>
        <w:rPr>
          <w:rFonts w:ascii="Symbol"/>
          <w:sz w:val="20"/>
        </w:rPr>
      </w:pPr>
      <w:r>
        <w:rPr>
          <w:sz w:val="38"/>
        </w:rPr>
        <w:t>This relieves the entire musculoskeletal system</w:t>
      </w:r>
    </w:p>
    <w:p>
      <w:pPr>
        <w:pStyle w:val="BodyText"/>
        <w:spacing w:line="276" w:lineRule="auto" w:before="304"/>
        <w:ind w:left="477" w:right="132"/>
        <w:jc w:val="both"/>
      </w:pPr>
      <w:r>
        <w:rPr/>
        <w:t>Many years of use in German dogs and horses shows that they can, in most cases, run without pain after gold implantation as soon as they have awakened from anaesthesia – as long as they live. If several joints are affected, these too will be provided with gold implants.</w:t>
      </w:r>
    </w:p>
    <w:p>
      <w:pPr>
        <w:pStyle w:val="BodyText"/>
        <w:spacing w:before="240"/>
        <w:ind w:left="477"/>
        <w:jc w:val="both"/>
      </w:pPr>
      <w:r>
        <w:rPr/>
        <w:t>Source: </w:t>
      </w:r>
      <w:hyperlink r:id="rId171">
        <w:r>
          <w:rPr>
            <w:u w:val="single"/>
          </w:rPr>
          <w:t>http://goldimplantation-fuer-menschen.de/</w:t>
        </w:r>
      </w:hyperlink>
    </w:p>
    <w:p>
      <w:pPr>
        <w:pStyle w:val="BodyText"/>
        <w:rPr>
          <w:sz w:val="20"/>
        </w:rPr>
      </w:pPr>
    </w:p>
    <w:p>
      <w:pPr>
        <w:pStyle w:val="BodyText"/>
        <w:rPr>
          <w:sz w:val="20"/>
        </w:rPr>
      </w:pPr>
    </w:p>
    <w:p>
      <w:pPr>
        <w:pStyle w:val="BodyText"/>
        <w:rPr>
          <w:sz w:val="20"/>
        </w:rPr>
      </w:pPr>
    </w:p>
    <w:p>
      <w:pPr>
        <w:pStyle w:val="BodyText"/>
        <w:spacing w:before="8"/>
        <w:rPr>
          <w:sz w:val="21"/>
        </w:rPr>
      </w:pPr>
    </w:p>
    <w:p>
      <w:pPr>
        <w:pStyle w:val="Heading1"/>
        <w:spacing w:before="100"/>
      </w:pPr>
      <w:r>
        <w:rPr/>
        <w:t>The ring finger phenomenon</w:t>
      </w:r>
    </w:p>
    <w:p>
      <w:pPr>
        <w:pStyle w:val="BodyText"/>
        <w:spacing w:line="276" w:lineRule="auto" w:before="297"/>
        <w:ind w:left="477" w:right="132"/>
        <w:jc w:val="both"/>
      </w:pPr>
      <w:r>
        <w:rPr/>
        <w:t>To</w:t>
      </w:r>
      <w:r>
        <w:rPr>
          <w:spacing w:val="-13"/>
        </w:rPr>
        <w:t> </w:t>
      </w:r>
      <w:r>
        <w:rPr/>
        <w:t>date,</w:t>
      </w:r>
      <w:r>
        <w:rPr>
          <w:spacing w:val="-13"/>
        </w:rPr>
        <w:t> </w:t>
      </w:r>
      <w:r>
        <w:rPr/>
        <w:t>conventional</w:t>
      </w:r>
      <w:r>
        <w:rPr>
          <w:spacing w:val="-13"/>
        </w:rPr>
        <w:t> </w:t>
      </w:r>
      <w:r>
        <w:rPr/>
        <w:t>medicine</w:t>
      </w:r>
      <w:r>
        <w:rPr>
          <w:spacing w:val="-12"/>
        </w:rPr>
        <w:t> </w:t>
      </w:r>
      <w:r>
        <w:rPr/>
        <w:t>speaks</w:t>
      </w:r>
      <w:r>
        <w:rPr>
          <w:spacing w:val="-13"/>
        </w:rPr>
        <w:t> </w:t>
      </w:r>
      <w:r>
        <w:rPr/>
        <w:t>of</w:t>
      </w:r>
      <w:r>
        <w:rPr>
          <w:spacing w:val="-15"/>
        </w:rPr>
        <w:t> </w:t>
      </w:r>
      <w:r>
        <w:rPr/>
        <w:t>a</w:t>
      </w:r>
      <w:r>
        <w:rPr>
          <w:spacing w:val="-14"/>
        </w:rPr>
        <w:t> </w:t>
      </w:r>
      <w:r>
        <w:rPr/>
        <w:t>phenomenon</w:t>
      </w:r>
      <w:r>
        <w:rPr>
          <w:spacing w:val="-12"/>
        </w:rPr>
        <w:t> </w:t>
      </w:r>
      <w:r>
        <w:rPr/>
        <w:t>that</w:t>
      </w:r>
      <w:r>
        <w:rPr>
          <w:spacing w:val="-13"/>
        </w:rPr>
        <w:t> </w:t>
      </w:r>
      <w:r>
        <w:rPr/>
        <w:t>presents</w:t>
      </w:r>
      <w:r>
        <w:rPr>
          <w:spacing w:val="-12"/>
        </w:rPr>
        <w:t> </w:t>
      </w:r>
      <w:r>
        <w:rPr/>
        <w:t>itself</w:t>
      </w:r>
      <w:r>
        <w:rPr>
          <w:spacing w:val="-9"/>
        </w:rPr>
        <w:t> </w:t>
      </w:r>
      <w:r>
        <w:rPr/>
        <w:t>on the ring finger of persons suffering from polyarthritis or arthrosis. While all fingers hurt and are motion-limited, only the ring finger, on which a gold ring is worn is pain-free and fully mobile. Furthermore, it is often observed that</w:t>
      </w:r>
      <w:r>
        <w:rPr>
          <w:spacing w:val="-52"/>
        </w:rPr>
        <w:t> </w:t>
      </w:r>
      <w:r>
        <w:rPr/>
        <w:t>the gold ring leaves a black border on the skin of a person suffering from joint disease.</w:t>
      </w:r>
    </w:p>
    <w:p>
      <w:pPr>
        <w:pStyle w:val="BodyText"/>
        <w:spacing w:line="276" w:lineRule="auto" w:before="242"/>
        <w:ind w:left="477" w:right="136"/>
        <w:jc w:val="both"/>
      </w:pPr>
      <w:r>
        <w:rPr/>
        <w:t>So, while orthodox medicine continues to be puzzled, alternative physicians have</w:t>
      </w:r>
      <w:r>
        <w:rPr>
          <w:spacing w:val="-15"/>
        </w:rPr>
        <w:t> </w:t>
      </w:r>
      <w:r>
        <w:rPr/>
        <w:t>long</w:t>
      </w:r>
      <w:r>
        <w:rPr>
          <w:spacing w:val="-15"/>
        </w:rPr>
        <w:t> </w:t>
      </w:r>
      <w:r>
        <w:rPr/>
        <w:t>been</w:t>
      </w:r>
      <w:r>
        <w:rPr>
          <w:spacing w:val="-16"/>
        </w:rPr>
        <w:t> </w:t>
      </w:r>
      <w:r>
        <w:rPr/>
        <w:t>unanimous</w:t>
      </w:r>
      <w:r>
        <w:rPr>
          <w:spacing w:val="-15"/>
        </w:rPr>
        <w:t> </w:t>
      </w:r>
      <w:r>
        <w:rPr/>
        <w:t>that</w:t>
      </w:r>
      <w:r>
        <w:rPr>
          <w:spacing w:val="-14"/>
        </w:rPr>
        <w:t> </w:t>
      </w:r>
      <w:r>
        <w:rPr/>
        <w:t>absorbs</w:t>
      </w:r>
      <w:r>
        <w:rPr>
          <w:spacing w:val="-16"/>
        </w:rPr>
        <w:t> </w:t>
      </w:r>
      <w:r>
        <w:rPr/>
        <w:t>the</w:t>
      </w:r>
      <w:r>
        <w:rPr>
          <w:spacing w:val="-13"/>
        </w:rPr>
        <w:t> </w:t>
      </w:r>
      <w:r>
        <w:rPr/>
        <w:t>gold</w:t>
      </w:r>
      <w:r>
        <w:rPr>
          <w:spacing w:val="-15"/>
        </w:rPr>
        <w:t> </w:t>
      </w:r>
      <w:r>
        <w:rPr/>
        <w:t>as</w:t>
      </w:r>
      <w:r>
        <w:rPr>
          <w:spacing w:val="-14"/>
        </w:rPr>
        <w:t> </w:t>
      </w:r>
      <w:r>
        <w:rPr/>
        <w:t>a</w:t>
      </w:r>
      <w:r>
        <w:rPr>
          <w:spacing w:val="-19"/>
        </w:rPr>
        <w:t> </w:t>
      </w:r>
      <w:r>
        <w:rPr/>
        <w:t>healing</w:t>
      </w:r>
      <w:r>
        <w:rPr>
          <w:spacing w:val="-13"/>
        </w:rPr>
        <w:t> </w:t>
      </w:r>
      <w:r>
        <w:rPr/>
        <w:t>substance</w:t>
      </w:r>
      <w:r>
        <w:rPr>
          <w:spacing w:val="-15"/>
        </w:rPr>
        <w:t> </w:t>
      </w:r>
      <w:r>
        <w:rPr/>
        <w:t>through the</w:t>
      </w:r>
      <w:r>
        <w:rPr>
          <w:spacing w:val="-15"/>
        </w:rPr>
        <w:t> </w:t>
      </w:r>
      <w:r>
        <w:rPr/>
        <w:t>skin</w:t>
      </w:r>
      <w:r>
        <w:rPr>
          <w:spacing w:val="-17"/>
        </w:rPr>
        <w:t> </w:t>
      </w:r>
      <w:r>
        <w:rPr/>
        <w:t>to</w:t>
      </w:r>
      <w:r>
        <w:rPr>
          <w:spacing w:val="-15"/>
        </w:rPr>
        <w:t> </w:t>
      </w:r>
      <w:r>
        <w:rPr/>
        <w:t>rid</w:t>
      </w:r>
      <w:r>
        <w:rPr>
          <w:spacing w:val="-17"/>
        </w:rPr>
        <w:t> </w:t>
      </w:r>
      <w:r>
        <w:rPr/>
        <w:t>itself</w:t>
      </w:r>
      <w:r>
        <w:rPr>
          <w:spacing w:val="-17"/>
        </w:rPr>
        <w:t> </w:t>
      </w:r>
      <w:r>
        <w:rPr/>
        <w:t>of</w:t>
      </w:r>
      <w:r>
        <w:rPr>
          <w:spacing w:val="-15"/>
        </w:rPr>
        <w:t> </w:t>
      </w:r>
      <w:r>
        <w:rPr/>
        <w:t>its</w:t>
      </w:r>
      <w:r>
        <w:rPr>
          <w:spacing w:val="-17"/>
        </w:rPr>
        <w:t> </w:t>
      </w:r>
      <w:r>
        <w:rPr/>
        <w:t>suffering,</w:t>
      </w:r>
      <w:r>
        <w:rPr>
          <w:spacing w:val="-16"/>
        </w:rPr>
        <w:t> </w:t>
      </w:r>
      <w:r>
        <w:rPr/>
        <w:t>which</w:t>
      </w:r>
      <w:r>
        <w:rPr>
          <w:spacing w:val="-14"/>
        </w:rPr>
        <w:t> </w:t>
      </w:r>
      <w:r>
        <w:rPr/>
        <w:t>is</w:t>
      </w:r>
      <w:r>
        <w:rPr>
          <w:spacing w:val="-17"/>
        </w:rPr>
        <w:t> </w:t>
      </w:r>
      <w:r>
        <w:rPr/>
        <w:t>why</w:t>
      </w:r>
      <w:r>
        <w:rPr>
          <w:spacing w:val="-16"/>
        </w:rPr>
        <w:t> </w:t>
      </w:r>
      <w:r>
        <w:rPr/>
        <w:t>the</w:t>
      </w:r>
      <w:r>
        <w:rPr>
          <w:spacing w:val="-15"/>
        </w:rPr>
        <w:t> </w:t>
      </w:r>
      <w:r>
        <w:rPr/>
        <w:t>ring</w:t>
      </w:r>
      <w:r>
        <w:rPr>
          <w:spacing w:val="-16"/>
        </w:rPr>
        <w:t> </w:t>
      </w:r>
      <w:r>
        <w:rPr/>
        <w:t>finger</w:t>
      </w:r>
      <w:r>
        <w:rPr>
          <w:spacing w:val="-18"/>
        </w:rPr>
        <w:t> </w:t>
      </w:r>
      <w:r>
        <w:rPr/>
        <w:t>remains</w:t>
      </w:r>
      <w:r>
        <w:rPr>
          <w:spacing w:val="-16"/>
        </w:rPr>
        <w:t> </w:t>
      </w:r>
      <w:r>
        <w:rPr/>
        <w:t>flexible and</w:t>
      </w:r>
      <w:r>
        <w:rPr>
          <w:spacing w:val="7"/>
        </w:rPr>
        <w:t> </w:t>
      </w:r>
      <w:r>
        <w:rPr/>
        <w:t>painless.</w:t>
      </w:r>
      <w:r>
        <w:rPr>
          <w:spacing w:val="9"/>
        </w:rPr>
        <w:t> </w:t>
      </w:r>
      <w:r>
        <w:rPr/>
        <w:t>The</w:t>
      </w:r>
      <w:r>
        <w:rPr>
          <w:spacing w:val="8"/>
        </w:rPr>
        <w:t> </w:t>
      </w:r>
      <w:r>
        <w:rPr/>
        <w:t>dark</w:t>
      </w:r>
      <w:r>
        <w:rPr>
          <w:spacing w:val="8"/>
        </w:rPr>
        <w:t> </w:t>
      </w:r>
      <w:r>
        <w:rPr/>
        <w:t>border</w:t>
      </w:r>
      <w:r>
        <w:rPr>
          <w:spacing w:val="7"/>
        </w:rPr>
        <w:t> </w:t>
      </w:r>
      <w:r>
        <w:rPr/>
        <w:t>on</w:t>
      </w:r>
      <w:r>
        <w:rPr>
          <w:spacing w:val="8"/>
        </w:rPr>
        <w:t> </w:t>
      </w:r>
      <w:r>
        <w:rPr/>
        <w:t>the</w:t>
      </w:r>
      <w:r>
        <w:rPr>
          <w:spacing w:val="9"/>
        </w:rPr>
        <w:t> </w:t>
      </w:r>
      <w:r>
        <w:rPr/>
        <w:t>skin</w:t>
      </w:r>
      <w:r>
        <w:rPr>
          <w:spacing w:val="8"/>
        </w:rPr>
        <w:t> </w:t>
      </w:r>
      <w:r>
        <w:rPr/>
        <w:t>is</w:t>
      </w:r>
      <w:r>
        <w:rPr>
          <w:spacing w:val="6"/>
        </w:rPr>
        <w:t> </w:t>
      </w:r>
      <w:r>
        <w:rPr/>
        <w:t>due</w:t>
      </w:r>
      <w:r>
        <w:rPr>
          <w:spacing w:val="7"/>
        </w:rPr>
        <w:t> </w:t>
      </w:r>
      <w:r>
        <w:rPr/>
        <w:t>to</w:t>
      </w:r>
      <w:r>
        <w:rPr>
          <w:spacing w:val="9"/>
        </w:rPr>
        <w:t> </w:t>
      </w:r>
      <w:r>
        <w:rPr/>
        <w:t>other</w:t>
      </w:r>
      <w:r>
        <w:rPr>
          <w:spacing w:val="7"/>
        </w:rPr>
        <w:t> </w:t>
      </w:r>
      <w:r>
        <w:rPr/>
        <w:t>alloys,</w:t>
      </w:r>
      <w:r>
        <w:rPr>
          <w:spacing w:val="6"/>
        </w:rPr>
        <w:t> </w:t>
      </w:r>
      <w:r>
        <w:rPr/>
        <w:t>as</w:t>
      </w:r>
      <w:r>
        <w:rPr>
          <w:spacing w:val="8"/>
        </w:rPr>
        <w:t> </w:t>
      </w:r>
      <w:r>
        <w:rPr/>
        <w:t>750</w:t>
      </w:r>
      <w:r>
        <w:rPr>
          <w:spacing w:val="7"/>
        </w:rPr>
        <w:t> </w:t>
      </w:r>
      <w:r>
        <w:rPr/>
        <w:t>gold</w:t>
      </w:r>
      <w:r>
        <w:rPr>
          <w:spacing w:val="7"/>
        </w:rPr>
        <w:t> </w:t>
      </w:r>
      <w:r>
        <w:rPr/>
        <w:t>is</w:t>
      </w:r>
    </w:p>
    <w:p>
      <w:pPr>
        <w:spacing w:after="0" w:line="276" w:lineRule="auto"/>
        <w:jc w:val="both"/>
        <w:sectPr>
          <w:pgSz w:w="14270" w:h="16850"/>
          <w:pgMar w:header="0" w:footer="1891" w:top="1600" w:bottom="2080" w:left="800" w:right="1280"/>
        </w:sectPr>
      </w:pPr>
    </w:p>
    <w:p>
      <w:pPr>
        <w:pStyle w:val="BodyText"/>
        <w:spacing w:line="276" w:lineRule="auto" w:before="181"/>
        <w:ind w:left="477" w:right="140"/>
        <w:jc w:val="both"/>
      </w:pPr>
      <w:r>
        <w:rPr/>
        <w:t>only 75 % pure gold and 25 % copper or nickel. These are not absorbed and remain visible on the skin.</w:t>
      </w:r>
    </w:p>
    <w:p>
      <w:pPr>
        <w:pStyle w:val="Heading1"/>
      </w:pPr>
      <w:r>
        <w:rPr/>
        <w:t>Colloidal gold works against salmonella</w:t>
      </w:r>
    </w:p>
    <w:p>
      <w:pPr>
        <w:pStyle w:val="BodyText"/>
        <w:spacing w:line="276" w:lineRule="auto" w:before="299"/>
        <w:ind w:left="477" w:right="134"/>
        <w:jc w:val="both"/>
        <w:rPr>
          <w:sz w:val="25"/>
        </w:rPr>
      </w:pPr>
      <w:r>
        <w:rPr/>
        <w:t>A study from 2011 and another from 2013 demonstrated the efficacy of gold nanoparticles against salmonella.</w:t>
      </w:r>
      <w:r>
        <w:rPr>
          <w:position w:val="9"/>
          <w:sz w:val="25"/>
        </w:rPr>
        <w:t>417</w:t>
      </w:r>
    </w:p>
    <w:p>
      <w:pPr>
        <w:pStyle w:val="Heading1"/>
        <w:spacing w:before="222"/>
      </w:pPr>
      <w:r>
        <w:rPr/>
        <w:t>Effect of gold against HIV viruses</w:t>
      </w:r>
      <w:r>
        <w:rPr>
          <w:spacing w:val="-64"/>
        </w:rPr>
        <w:t> </w:t>
      </w:r>
      <w:r>
        <w:rPr/>
        <w:t>(AIDS)</w:t>
      </w:r>
    </w:p>
    <w:p>
      <w:pPr>
        <w:pStyle w:val="BodyText"/>
        <w:spacing w:line="276" w:lineRule="auto" w:before="299"/>
        <w:ind w:left="477" w:right="133"/>
        <w:jc w:val="both"/>
        <w:rPr>
          <w:sz w:val="25"/>
        </w:rPr>
      </w:pPr>
      <w:r>
        <w:rPr/>
        <w:t>With</w:t>
      </w:r>
      <w:r>
        <w:rPr>
          <w:spacing w:val="-8"/>
        </w:rPr>
        <w:t> </w:t>
      </w:r>
      <w:r>
        <w:rPr/>
        <w:t>Auranofin</w:t>
      </w:r>
      <w:r>
        <w:rPr>
          <w:spacing w:val="-5"/>
        </w:rPr>
        <w:t> </w:t>
      </w:r>
      <w:r>
        <w:rPr/>
        <w:t>(trade</w:t>
      </w:r>
      <w:r>
        <w:rPr>
          <w:spacing w:val="-7"/>
        </w:rPr>
        <w:t> </w:t>
      </w:r>
      <w:r>
        <w:rPr/>
        <w:t>name:</w:t>
      </w:r>
      <w:r>
        <w:rPr>
          <w:spacing w:val="-4"/>
        </w:rPr>
        <w:t> </w:t>
      </w:r>
      <w:r>
        <w:rPr/>
        <w:t>‘Ridaura’),</w:t>
      </w:r>
      <w:r>
        <w:rPr>
          <w:spacing w:val="-6"/>
        </w:rPr>
        <w:t> </w:t>
      </w:r>
      <w:r>
        <w:rPr/>
        <w:t>an</w:t>
      </w:r>
      <w:r>
        <w:rPr>
          <w:spacing w:val="-8"/>
        </w:rPr>
        <w:t> </w:t>
      </w:r>
      <w:r>
        <w:rPr/>
        <w:t>organic</w:t>
      </w:r>
      <w:r>
        <w:rPr>
          <w:spacing w:val="-7"/>
        </w:rPr>
        <w:t> </w:t>
      </w:r>
      <w:r>
        <w:rPr/>
        <w:t>gold</w:t>
      </w:r>
      <w:r>
        <w:rPr>
          <w:spacing w:val="-9"/>
        </w:rPr>
        <w:t> </w:t>
      </w:r>
      <w:r>
        <w:rPr/>
        <w:t>compound</w:t>
      </w:r>
      <w:r>
        <w:rPr>
          <w:spacing w:val="-7"/>
        </w:rPr>
        <w:t> </w:t>
      </w:r>
      <w:r>
        <w:rPr/>
        <w:t>that</w:t>
      </w:r>
      <w:r>
        <w:rPr>
          <w:spacing w:val="-7"/>
        </w:rPr>
        <w:t> </w:t>
      </w:r>
      <w:r>
        <w:rPr/>
        <w:t>is</w:t>
      </w:r>
      <w:r>
        <w:rPr>
          <w:spacing w:val="-8"/>
        </w:rPr>
        <w:t> </w:t>
      </w:r>
      <w:r>
        <w:rPr/>
        <w:t>oth- erwise</w:t>
      </w:r>
      <w:r>
        <w:rPr>
          <w:spacing w:val="-7"/>
        </w:rPr>
        <w:t> </w:t>
      </w:r>
      <w:r>
        <w:rPr/>
        <w:t>used</w:t>
      </w:r>
      <w:r>
        <w:rPr>
          <w:spacing w:val="-7"/>
        </w:rPr>
        <w:t> </w:t>
      </w:r>
      <w:r>
        <w:rPr/>
        <w:t>as</w:t>
      </w:r>
      <w:r>
        <w:rPr>
          <w:spacing w:val="-7"/>
        </w:rPr>
        <w:t> </w:t>
      </w:r>
      <w:r>
        <w:rPr/>
        <w:t>a</w:t>
      </w:r>
      <w:r>
        <w:rPr>
          <w:spacing w:val="-10"/>
        </w:rPr>
        <w:t> </w:t>
      </w:r>
      <w:r>
        <w:rPr/>
        <w:t>basic</w:t>
      </w:r>
      <w:r>
        <w:rPr>
          <w:spacing w:val="-7"/>
        </w:rPr>
        <w:t> </w:t>
      </w:r>
      <w:r>
        <w:rPr/>
        <w:t>therapeutic</w:t>
      </w:r>
      <w:r>
        <w:rPr>
          <w:spacing w:val="-9"/>
        </w:rPr>
        <w:t> </w:t>
      </w:r>
      <w:r>
        <w:rPr/>
        <w:t>for</w:t>
      </w:r>
      <w:r>
        <w:rPr>
          <w:spacing w:val="-8"/>
        </w:rPr>
        <w:t> </w:t>
      </w:r>
      <w:r>
        <w:rPr/>
        <w:t>arthritis</w:t>
      </w:r>
      <w:r>
        <w:rPr>
          <w:spacing w:val="-3"/>
        </w:rPr>
        <w:t> </w:t>
      </w:r>
      <w:r>
        <w:rPr/>
        <w:t>to</w:t>
      </w:r>
      <w:r>
        <w:rPr>
          <w:spacing w:val="-11"/>
        </w:rPr>
        <w:t> </w:t>
      </w:r>
      <w:r>
        <w:rPr/>
        <w:t>treat</w:t>
      </w:r>
      <w:r>
        <w:rPr>
          <w:spacing w:val="-7"/>
        </w:rPr>
        <w:t> </w:t>
      </w:r>
      <w:r>
        <w:rPr/>
        <w:t>joint</w:t>
      </w:r>
      <w:r>
        <w:rPr>
          <w:spacing w:val="-8"/>
        </w:rPr>
        <w:t> </w:t>
      </w:r>
      <w:r>
        <w:rPr/>
        <w:t>swelling</w:t>
      </w:r>
      <w:r>
        <w:rPr>
          <w:spacing w:val="-6"/>
        </w:rPr>
        <w:t> </w:t>
      </w:r>
      <w:r>
        <w:rPr/>
        <w:t>and</w:t>
      </w:r>
      <w:r>
        <w:rPr>
          <w:spacing w:val="-7"/>
        </w:rPr>
        <w:t> </w:t>
      </w:r>
      <w:r>
        <w:rPr/>
        <w:t>inflam- mation, a research team was able to greatly reduce the stock of HIV-infected CD4 cells. This sounds very promising in that even antiretroviral therapy ‘ART’, which is considered to be a modern AIDS treatment, in contrast to auranofin, was not able to do</w:t>
      </w:r>
      <w:r>
        <w:rPr>
          <w:spacing w:val="2"/>
        </w:rPr>
        <w:t> </w:t>
      </w:r>
      <w:r>
        <w:rPr/>
        <w:t>this.</w:t>
      </w:r>
      <w:r>
        <w:rPr>
          <w:position w:val="9"/>
          <w:sz w:val="25"/>
        </w:rPr>
        <w:t>418</w:t>
      </w:r>
    </w:p>
    <w:p>
      <w:pPr>
        <w:pStyle w:val="Heading1"/>
        <w:spacing w:before="223"/>
      </w:pPr>
      <w:r>
        <w:rPr/>
        <w:t>Effect of colloidal gold against excess weight</w:t>
      </w:r>
    </w:p>
    <w:p>
      <w:pPr>
        <w:pStyle w:val="BodyText"/>
        <w:spacing w:line="276" w:lineRule="auto" w:before="299"/>
        <w:ind w:left="477" w:right="132"/>
        <w:jc w:val="both"/>
      </w:pPr>
      <w:r>
        <w:rPr/>
        <w:t>Colloidal gold reactivates and regulates our entire endocrine system, which has a very positive effect on our digestion and metabolism. Due to the metabolism and</w:t>
      </w:r>
      <w:r>
        <w:rPr>
          <w:spacing w:val="-10"/>
        </w:rPr>
        <w:t> </w:t>
      </w:r>
      <w:r>
        <w:rPr/>
        <w:t>digestion-stimulating</w:t>
      </w:r>
      <w:r>
        <w:rPr>
          <w:spacing w:val="-9"/>
        </w:rPr>
        <w:t> </w:t>
      </w:r>
      <w:r>
        <w:rPr/>
        <w:t>effect,</w:t>
      </w:r>
      <w:r>
        <w:rPr>
          <w:spacing w:val="-11"/>
        </w:rPr>
        <w:t> </w:t>
      </w:r>
      <w:r>
        <w:rPr/>
        <w:t>gold</w:t>
      </w:r>
      <w:r>
        <w:rPr>
          <w:spacing w:val="-10"/>
        </w:rPr>
        <w:t> </w:t>
      </w:r>
      <w:r>
        <w:rPr/>
        <w:t>is</w:t>
      </w:r>
      <w:r>
        <w:rPr>
          <w:spacing w:val="-9"/>
        </w:rPr>
        <w:t> </w:t>
      </w:r>
      <w:r>
        <w:rPr/>
        <w:t>an</w:t>
      </w:r>
      <w:r>
        <w:rPr>
          <w:spacing w:val="-9"/>
        </w:rPr>
        <w:t> </w:t>
      </w:r>
      <w:r>
        <w:rPr/>
        <w:t>important</w:t>
      </w:r>
      <w:r>
        <w:rPr>
          <w:spacing w:val="-9"/>
        </w:rPr>
        <w:t> </w:t>
      </w:r>
      <w:r>
        <w:rPr/>
        <w:t>aid</w:t>
      </w:r>
      <w:r>
        <w:rPr>
          <w:spacing w:val="-11"/>
        </w:rPr>
        <w:t> </w:t>
      </w:r>
      <w:r>
        <w:rPr/>
        <w:t>for</w:t>
      </w:r>
      <w:r>
        <w:rPr>
          <w:spacing w:val="-9"/>
        </w:rPr>
        <w:t> </w:t>
      </w:r>
      <w:r>
        <w:rPr/>
        <w:t>overweight</w:t>
      </w:r>
      <w:r>
        <w:rPr>
          <w:spacing w:val="-6"/>
        </w:rPr>
        <w:t> </w:t>
      </w:r>
      <w:r>
        <w:rPr/>
        <w:t>people who want to, or have to, lose weight.</w:t>
      </w:r>
    </w:p>
    <w:p>
      <w:pPr>
        <w:pStyle w:val="BodyText"/>
        <w:spacing w:line="276" w:lineRule="auto" w:before="242"/>
        <w:ind w:left="477" w:right="138"/>
        <w:jc w:val="both"/>
        <w:rPr>
          <w:sz w:val="25"/>
        </w:rPr>
      </w:pPr>
      <w:r>
        <w:rPr/>
        <w:t>For example, Brazilian doctors Nilo Cairo and A. Brinkmann ranked colloidal gold first for treating obesity in their ‘Materia Medica’.</w:t>
      </w:r>
      <w:r>
        <w:rPr>
          <w:position w:val="9"/>
          <w:sz w:val="25"/>
        </w:rPr>
        <w:t>419</w:t>
      </w:r>
    </w:p>
    <w:p>
      <w:pPr>
        <w:pStyle w:val="BodyText"/>
        <w:spacing w:before="4"/>
        <w:rPr>
          <w:sz w:val="17"/>
        </w:rPr>
      </w:pPr>
      <w:r>
        <w:rPr/>
        <w:pict>
          <v:line style="position:absolute;mso-position-horizontal-relative:page;mso-position-vertical-relative:paragraph;z-index:5024;mso-wrap-distance-left:0;mso-wrap-distance-right:0" from="63.863998pt,12.130015pt" to="207.883998pt,12.130015pt" stroked="true" strokeweight=".71997pt" strokecolor="#000000">
            <v:stroke dashstyle="solid"/>
            <w10:wrap type="topAndBottom"/>
          </v:line>
        </w:pict>
      </w:r>
    </w:p>
    <w:p>
      <w:pPr>
        <w:pStyle w:val="BodyText"/>
        <w:spacing w:before="7"/>
        <w:rPr>
          <w:sz w:val="18"/>
        </w:rPr>
      </w:pPr>
    </w:p>
    <w:p>
      <w:pPr>
        <w:spacing w:line="340" w:lineRule="auto" w:before="99"/>
        <w:ind w:left="477" w:right="5147" w:firstLine="0"/>
        <w:jc w:val="both"/>
        <w:rPr>
          <w:sz w:val="20"/>
        </w:rPr>
      </w:pPr>
      <w:r>
        <w:rPr/>
        <w:drawing>
          <wp:anchor distT="0" distB="0" distL="0" distR="0" allowOverlap="1" layoutInCell="1" locked="0" behindDoc="1" simplePos="0" relativeHeight="267172823">
            <wp:simplePos x="0" y="0"/>
            <wp:positionH relativeFrom="page">
              <wp:posOffset>896463</wp:posOffset>
            </wp:positionH>
            <wp:positionV relativeFrom="paragraph">
              <wp:posOffset>550521</wp:posOffset>
            </wp:positionV>
            <wp:extent cx="6379583" cy="902106"/>
            <wp:effectExtent l="0" t="0" r="0" b="0"/>
            <wp:wrapNone/>
            <wp:docPr id="253" name="image2.jpeg" descr=""/>
            <wp:cNvGraphicFramePr>
              <a:graphicFrameLocks noChangeAspect="1"/>
            </wp:cNvGraphicFramePr>
            <a:graphic>
              <a:graphicData uri="http://schemas.openxmlformats.org/drawingml/2006/picture">
                <pic:pic>
                  <pic:nvPicPr>
                    <pic:cNvPr id="254"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417 </w:t>
      </w:r>
      <w:r>
        <w:rPr>
          <w:sz w:val="20"/>
        </w:rPr>
        <w:t>Brigitte Hamann, ‘Heilen mit Gold’ (‘Healing with Gold’) 2nd Edition 2015, p. 87 </w:t>
      </w:r>
      <w:r>
        <w:rPr>
          <w:position w:val="5"/>
          <w:sz w:val="13"/>
        </w:rPr>
        <w:t>418 </w:t>
      </w:r>
      <w:r>
        <w:rPr>
          <w:sz w:val="20"/>
        </w:rPr>
        <w:t>Brigitte Hamann, ‘Heilen mit Gold’ (‘Healing with Gold’) 2nd Edition 2015, p. 89 </w:t>
      </w:r>
      <w:r>
        <w:rPr>
          <w:position w:val="5"/>
          <w:sz w:val="13"/>
        </w:rPr>
        <w:t>419 </w:t>
      </w:r>
      <w:r>
        <w:rPr>
          <w:sz w:val="20"/>
        </w:rPr>
        <w:t>Brigitte Hamann, ‘Heilen mit Gold’ (‘Healing with Gold’) 2nd Edition 2015, p. 74</w:t>
      </w:r>
    </w:p>
    <w:p>
      <w:pPr>
        <w:spacing w:after="0" w:line="340" w:lineRule="auto"/>
        <w:jc w:val="both"/>
        <w:rPr>
          <w:sz w:val="20"/>
        </w:rPr>
        <w:sectPr>
          <w:footerReference w:type="default" r:id="rId172"/>
          <w:pgSz w:w="14270" w:h="16850"/>
          <w:pgMar w:footer="527" w:header="0" w:top="1600" w:bottom="720" w:left="800" w:right="1280"/>
        </w:sectPr>
      </w:pPr>
    </w:p>
    <w:p>
      <w:pPr>
        <w:pStyle w:val="Heading1"/>
        <w:spacing w:before="164"/>
      </w:pPr>
      <w:r>
        <w:rPr/>
        <w:t>Effect of colloidal gold against depression and anxiety</w:t>
      </w:r>
    </w:p>
    <w:p>
      <w:pPr>
        <w:pStyle w:val="BodyText"/>
        <w:spacing w:line="276" w:lineRule="auto" w:before="299"/>
        <w:ind w:left="477" w:right="138"/>
        <w:jc w:val="both"/>
      </w:pPr>
      <w:r>
        <w:rPr/>
        <w:t>The activation and harmonisation of the entire endocrine system on the one hand, and the activation of life energy and calming of the nervous system by colloidal gold on the other hand, led to the successful treatment of depression and anxiety in the early years, particularly in the USA. After only a few days, patients report regular relief of symptoms and an increased zest for life.</w:t>
      </w:r>
    </w:p>
    <w:p>
      <w:pPr>
        <w:pStyle w:val="Heading1"/>
        <w:spacing w:before="223"/>
      </w:pPr>
      <w:r>
        <w:rPr/>
        <w:t>Effect of colloidal gold on sleep</w:t>
      </w:r>
      <w:r>
        <w:rPr>
          <w:spacing w:val="-67"/>
        </w:rPr>
        <w:t> </w:t>
      </w:r>
      <w:r>
        <w:rPr/>
        <w:t>problems</w:t>
      </w:r>
    </w:p>
    <w:p>
      <w:pPr>
        <w:pStyle w:val="BodyText"/>
        <w:spacing w:line="276" w:lineRule="auto" w:before="299"/>
        <w:ind w:left="477" w:right="138"/>
        <w:jc w:val="both"/>
      </w:pPr>
      <w:r>
        <w:rPr/>
        <w:t>Because the colloidal gold activates and regenerates our pineal gland, which in turn produces the sleep hormone ‘melatonin’ at night, the intake of colloidal gold has a very positive effect on sleeping disorders.</w:t>
      </w:r>
    </w:p>
    <w:p>
      <w:pPr>
        <w:pStyle w:val="Heading1"/>
      </w:pPr>
      <w:r>
        <w:rPr/>
        <w:t>Colloidal</w:t>
      </w:r>
      <w:r>
        <w:rPr>
          <w:spacing w:val="-41"/>
        </w:rPr>
        <w:t> </w:t>
      </w:r>
      <w:r>
        <w:rPr/>
        <w:t>gold</w:t>
      </w:r>
      <w:r>
        <w:rPr>
          <w:spacing w:val="-39"/>
        </w:rPr>
        <w:t> </w:t>
      </w:r>
      <w:r>
        <w:rPr/>
        <w:t>and</w:t>
      </w:r>
      <w:r>
        <w:rPr>
          <w:spacing w:val="-41"/>
        </w:rPr>
        <w:t> </w:t>
      </w:r>
      <w:r>
        <w:rPr/>
        <w:t>its</w:t>
      </w:r>
      <w:r>
        <w:rPr>
          <w:spacing w:val="-41"/>
        </w:rPr>
        <w:t> </w:t>
      </w:r>
      <w:r>
        <w:rPr/>
        <w:t>effect</w:t>
      </w:r>
      <w:r>
        <w:rPr>
          <w:spacing w:val="-41"/>
        </w:rPr>
        <w:t> </w:t>
      </w:r>
      <w:r>
        <w:rPr/>
        <w:t>on</w:t>
      </w:r>
      <w:r>
        <w:rPr>
          <w:spacing w:val="-41"/>
        </w:rPr>
        <w:t> </w:t>
      </w:r>
      <w:r>
        <w:rPr/>
        <w:t>alcohol</w:t>
      </w:r>
      <w:r>
        <w:rPr>
          <w:spacing w:val="-42"/>
        </w:rPr>
        <w:t> </w:t>
      </w:r>
      <w:r>
        <w:rPr/>
        <w:t>addiction</w:t>
      </w:r>
      <w:r>
        <w:rPr>
          <w:spacing w:val="-40"/>
        </w:rPr>
        <w:t> </w:t>
      </w:r>
      <w:r>
        <w:rPr/>
        <w:t>and</w:t>
      </w:r>
      <w:r>
        <w:rPr>
          <w:spacing w:val="-41"/>
        </w:rPr>
        <w:t> </w:t>
      </w:r>
      <w:r>
        <w:rPr/>
        <w:t>other</w:t>
      </w:r>
      <w:r>
        <w:rPr>
          <w:spacing w:val="-39"/>
        </w:rPr>
        <w:t> </w:t>
      </w:r>
      <w:r>
        <w:rPr/>
        <w:t>addictions</w:t>
      </w:r>
    </w:p>
    <w:p>
      <w:pPr>
        <w:pStyle w:val="BodyText"/>
        <w:spacing w:line="276" w:lineRule="auto" w:before="298"/>
        <w:ind w:left="477" w:right="134"/>
        <w:jc w:val="both"/>
      </w:pPr>
      <w:r>
        <w:rPr/>
        <w:t>Until</w:t>
      </w:r>
      <w:r>
        <w:rPr>
          <w:spacing w:val="-18"/>
        </w:rPr>
        <w:t> </w:t>
      </w:r>
      <w:r>
        <w:rPr/>
        <w:t>1885,</w:t>
      </w:r>
      <w:r>
        <w:rPr>
          <w:spacing w:val="-17"/>
        </w:rPr>
        <w:t> </w:t>
      </w:r>
      <w:r>
        <w:rPr/>
        <w:t>colloidal</w:t>
      </w:r>
      <w:r>
        <w:rPr>
          <w:spacing w:val="-18"/>
        </w:rPr>
        <w:t> </w:t>
      </w:r>
      <w:r>
        <w:rPr/>
        <w:t>gold</w:t>
      </w:r>
      <w:r>
        <w:rPr>
          <w:spacing w:val="-17"/>
        </w:rPr>
        <w:t> </w:t>
      </w:r>
      <w:r>
        <w:rPr/>
        <w:t>was</w:t>
      </w:r>
      <w:r>
        <w:rPr>
          <w:spacing w:val="-15"/>
        </w:rPr>
        <w:t> </w:t>
      </w:r>
      <w:r>
        <w:rPr/>
        <w:t>used</w:t>
      </w:r>
      <w:r>
        <w:rPr>
          <w:spacing w:val="-17"/>
        </w:rPr>
        <w:t> </w:t>
      </w:r>
      <w:r>
        <w:rPr/>
        <w:t>successfully</w:t>
      </w:r>
      <w:r>
        <w:rPr>
          <w:spacing w:val="-16"/>
        </w:rPr>
        <w:t> </w:t>
      </w:r>
      <w:r>
        <w:rPr/>
        <w:t>as</w:t>
      </w:r>
      <w:r>
        <w:rPr>
          <w:spacing w:val="-19"/>
        </w:rPr>
        <w:t> </w:t>
      </w:r>
      <w:r>
        <w:rPr/>
        <w:t>a</w:t>
      </w:r>
      <w:r>
        <w:rPr>
          <w:spacing w:val="-17"/>
        </w:rPr>
        <w:t> </w:t>
      </w:r>
      <w:r>
        <w:rPr/>
        <w:t>standard</w:t>
      </w:r>
      <w:r>
        <w:rPr>
          <w:spacing w:val="-17"/>
        </w:rPr>
        <w:t> </w:t>
      </w:r>
      <w:r>
        <w:rPr/>
        <w:t>therapeutic</w:t>
      </w:r>
      <w:r>
        <w:rPr>
          <w:spacing w:val="-17"/>
        </w:rPr>
        <w:t> </w:t>
      </w:r>
      <w:r>
        <w:rPr/>
        <w:t>for</w:t>
      </w:r>
      <w:r>
        <w:rPr>
          <w:spacing w:val="-15"/>
        </w:rPr>
        <w:t> </w:t>
      </w:r>
      <w:r>
        <w:rPr/>
        <w:t>the treatment of alcohol.</w:t>
      </w:r>
      <w:r>
        <w:rPr>
          <w:position w:val="9"/>
          <w:sz w:val="25"/>
        </w:rPr>
        <w:t>420 </w:t>
      </w:r>
      <w:r>
        <w:rPr/>
        <w:t>Even nicotine, medication and drug addiction do not escape the effect of gold. The reason for this is the positive effect of colloidal gold on three factors, which play a fundamental role in</w:t>
      </w:r>
      <w:r>
        <w:rPr>
          <w:spacing w:val="-8"/>
        </w:rPr>
        <w:t> </w:t>
      </w:r>
      <w:r>
        <w:rPr/>
        <w:t>addictions:</w:t>
      </w:r>
    </w:p>
    <w:p>
      <w:pPr>
        <w:pStyle w:val="ListParagraph"/>
        <w:numPr>
          <w:ilvl w:val="0"/>
          <w:numId w:val="42"/>
        </w:numPr>
        <w:tabs>
          <w:tab w:pos="861" w:val="left" w:leader="none"/>
        </w:tabs>
        <w:spacing w:line="240" w:lineRule="auto" w:before="241" w:after="0"/>
        <w:ind w:left="860" w:right="0" w:hanging="383"/>
        <w:jc w:val="both"/>
        <w:rPr>
          <w:sz w:val="38"/>
        </w:rPr>
      </w:pPr>
      <w:r>
        <w:rPr>
          <w:sz w:val="38"/>
        </w:rPr>
        <w:t>harmonisation of the whole endocrine</w:t>
      </w:r>
      <w:r>
        <w:rPr>
          <w:spacing w:val="1"/>
          <w:sz w:val="38"/>
        </w:rPr>
        <w:t> </w:t>
      </w:r>
      <w:r>
        <w:rPr>
          <w:sz w:val="38"/>
        </w:rPr>
        <w:t>system</w:t>
      </w:r>
    </w:p>
    <w:p>
      <w:pPr>
        <w:pStyle w:val="ListParagraph"/>
        <w:numPr>
          <w:ilvl w:val="0"/>
          <w:numId w:val="42"/>
        </w:numPr>
        <w:tabs>
          <w:tab w:pos="861" w:val="left" w:leader="none"/>
        </w:tabs>
        <w:spacing w:line="240" w:lineRule="auto" w:before="305" w:after="0"/>
        <w:ind w:left="860" w:right="0" w:hanging="383"/>
        <w:jc w:val="both"/>
        <w:rPr>
          <w:sz w:val="38"/>
        </w:rPr>
      </w:pPr>
      <w:r>
        <w:rPr>
          <w:sz w:val="38"/>
        </w:rPr>
        <w:t>activation of internal energy, and</w:t>
      </w:r>
    </w:p>
    <w:p>
      <w:pPr>
        <w:pStyle w:val="BodyText"/>
        <w:spacing w:before="3"/>
        <w:rPr>
          <w:sz w:val="21"/>
        </w:rPr>
      </w:pPr>
      <w:r>
        <w:rPr/>
        <w:pict>
          <v:line style="position:absolute;mso-position-horizontal-relative:page;mso-position-vertical-relative:paragraph;z-index:5072;mso-wrap-distance-left:0;mso-wrap-distance-right:0" from="63.863998pt,14.315015pt" to="207.883998pt,14.31501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420 </w:t>
      </w:r>
      <w:hyperlink r:id="rId174">
        <w:r>
          <w:rPr>
            <w:sz w:val="20"/>
          </w:rPr>
          <w:t>http://prolongevitygold.com/?lang=en</w:t>
        </w:r>
      </w:hyperlink>
    </w:p>
    <w:p>
      <w:pPr>
        <w:spacing w:after="0"/>
        <w:jc w:val="left"/>
        <w:rPr>
          <w:sz w:val="20"/>
        </w:rPr>
        <w:sectPr>
          <w:footerReference w:type="default" r:id="rId173"/>
          <w:pgSz w:w="14270" w:h="16850"/>
          <w:pgMar w:footer="1891" w:header="0" w:top="1600" w:bottom="2080" w:left="800" w:right="1280"/>
          <w:pgNumType w:start="681"/>
        </w:sectPr>
      </w:pPr>
    </w:p>
    <w:p>
      <w:pPr>
        <w:pStyle w:val="ListParagraph"/>
        <w:numPr>
          <w:ilvl w:val="0"/>
          <w:numId w:val="42"/>
        </w:numPr>
        <w:tabs>
          <w:tab w:pos="861" w:val="left" w:leader="none"/>
        </w:tabs>
        <w:spacing w:line="240" w:lineRule="auto" w:before="181" w:after="0"/>
        <w:ind w:left="860" w:right="0" w:hanging="383"/>
        <w:jc w:val="left"/>
        <w:rPr>
          <w:sz w:val="38"/>
        </w:rPr>
      </w:pPr>
      <w:r>
        <w:rPr>
          <w:sz w:val="38"/>
        </w:rPr>
        <w:t>simultaneous calming effect on the central nervous</w:t>
      </w:r>
      <w:r>
        <w:rPr>
          <w:spacing w:val="6"/>
          <w:sz w:val="38"/>
        </w:rPr>
        <w:t> </w:t>
      </w:r>
      <w:r>
        <w:rPr>
          <w:sz w:val="38"/>
        </w:rPr>
        <w:t>system.</w:t>
      </w:r>
    </w:p>
    <w:p>
      <w:pPr>
        <w:pStyle w:val="Heading1"/>
        <w:spacing w:before="288"/>
      </w:pPr>
      <w:r>
        <w:rPr/>
        <w:t>Libido-enhancing effect of colloidal gold</w:t>
      </w:r>
    </w:p>
    <w:p>
      <w:pPr>
        <w:pStyle w:val="BodyText"/>
        <w:spacing w:line="276" w:lineRule="auto" w:before="299"/>
        <w:ind w:left="477" w:right="138"/>
        <w:jc w:val="both"/>
      </w:pPr>
      <w:r>
        <w:rPr/>
        <w:t>Impotence can have a variety of causes, including stress, overwork, gland age- ing, and other blockages that can lead to the loss of our potency and libido.</w:t>
      </w:r>
    </w:p>
    <w:p>
      <w:pPr>
        <w:pStyle w:val="BodyText"/>
        <w:spacing w:line="276" w:lineRule="auto" w:before="241"/>
        <w:ind w:left="477" w:right="136"/>
        <w:jc w:val="both"/>
      </w:pPr>
      <w:r>
        <w:rPr/>
        <w:t>Through</w:t>
      </w:r>
      <w:r>
        <w:rPr>
          <w:spacing w:val="-7"/>
        </w:rPr>
        <w:t> </w:t>
      </w:r>
      <w:r>
        <w:rPr/>
        <w:t>the</w:t>
      </w:r>
      <w:r>
        <w:rPr>
          <w:spacing w:val="-9"/>
        </w:rPr>
        <w:t> </w:t>
      </w:r>
      <w:r>
        <w:rPr/>
        <w:t>reactivation</w:t>
      </w:r>
      <w:r>
        <w:rPr>
          <w:spacing w:val="-6"/>
        </w:rPr>
        <w:t> </w:t>
      </w:r>
      <w:r>
        <w:rPr/>
        <w:t>of</w:t>
      </w:r>
      <w:r>
        <w:rPr>
          <w:spacing w:val="-8"/>
        </w:rPr>
        <w:t> </w:t>
      </w:r>
      <w:r>
        <w:rPr/>
        <w:t>the</w:t>
      </w:r>
      <w:r>
        <w:rPr>
          <w:spacing w:val="-12"/>
        </w:rPr>
        <w:t> </w:t>
      </w:r>
      <w:r>
        <w:rPr/>
        <w:t>sexual</w:t>
      </w:r>
      <w:r>
        <w:rPr>
          <w:spacing w:val="-8"/>
        </w:rPr>
        <w:t> </w:t>
      </w:r>
      <w:r>
        <w:rPr/>
        <w:t>glands,</w:t>
      </w:r>
      <w:r>
        <w:rPr>
          <w:spacing w:val="-7"/>
        </w:rPr>
        <w:t> </w:t>
      </w:r>
      <w:r>
        <w:rPr/>
        <w:t>the</w:t>
      </w:r>
      <w:r>
        <w:rPr>
          <w:spacing w:val="-6"/>
        </w:rPr>
        <w:t> </w:t>
      </w:r>
      <w:r>
        <w:rPr/>
        <w:t>production</w:t>
      </w:r>
      <w:r>
        <w:rPr>
          <w:spacing w:val="-10"/>
        </w:rPr>
        <w:t> </w:t>
      </w:r>
      <w:r>
        <w:rPr/>
        <w:t>of</w:t>
      </w:r>
      <w:r>
        <w:rPr>
          <w:spacing w:val="-10"/>
        </w:rPr>
        <w:t> </w:t>
      </w:r>
      <w:r>
        <w:rPr/>
        <w:t>hormones</w:t>
      </w:r>
      <w:r>
        <w:rPr>
          <w:spacing w:val="-8"/>
        </w:rPr>
        <w:t> </w:t>
      </w:r>
      <w:r>
        <w:rPr/>
        <w:t>can be stimulated, and the harmonisation of our nervous system releases psycho- logical and physical blockages that affect our sex life. If taken longer, colloidal gold may act as a natural</w:t>
      </w:r>
      <w:r>
        <w:rPr>
          <w:spacing w:val="-6"/>
        </w:rPr>
        <w:t> </w:t>
      </w:r>
      <w:r>
        <w:rPr/>
        <w:t>aphrodisiac.</w:t>
      </w:r>
    </w:p>
    <w:p>
      <w:pPr>
        <w:pStyle w:val="Heading1"/>
        <w:spacing w:before="222"/>
      </w:pPr>
      <w:r>
        <w:rPr/>
        <w:t>Effect of gold against multiple sclerosis</w:t>
      </w:r>
      <w:r>
        <w:rPr>
          <w:spacing w:val="-70"/>
        </w:rPr>
        <w:t> </w:t>
      </w:r>
      <w:r>
        <w:rPr/>
        <w:t>(MS)</w:t>
      </w:r>
    </w:p>
    <w:p>
      <w:pPr>
        <w:pStyle w:val="BodyText"/>
        <w:spacing w:line="276" w:lineRule="auto" w:before="299"/>
        <w:ind w:left="477" w:right="135"/>
        <w:jc w:val="both"/>
      </w:pPr>
      <w:r>
        <w:rPr/>
        <w:t>According</w:t>
      </w:r>
      <w:r>
        <w:rPr>
          <w:spacing w:val="-16"/>
        </w:rPr>
        <w:t> </w:t>
      </w:r>
      <w:r>
        <w:rPr/>
        <w:t>to</w:t>
      </w:r>
      <w:r>
        <w:rPr>
          <w:spacing w:val="-16"/>
        </w:rPr>
        <w:t> </w:t>
      </w:r>
      <w:r>
        <w:rPr/>
        <w:t>Edgar</w:t>
      </w:r>
      <w:r>
        <w:rPr>
          <w:spacing w:val="-16"/>
        </w:rPr>
        <w:t> </w:t>
      </w:r>
      <w:r>
        <w:rPr/>
        <w:t>Cayce,</w:t>
      </w:r>
      <w:r>
        <w:rPr>
          <w:spacing w:val="-14"/>
        </w:rPr>
        <w:t> </w:t>
      </w:r>
      <w:r>
        <w:rPr/>
        <w:t>the</w:t>
      </w:r>
      <w:r>
        <w:rPr>
          <w:spacing w:val="-15"/>
        </w:rPr>
        <w:t> </w:t>
      </w:r>
      <w:r>
        <w:rPr/>
        <w:t>main</w:t>
      </w:r>
      <w:r>
        <w:rPr>
          <w:spacing w:val="-17"/>
        </w:rPr>
        <w:t> </w:t>
      </w:r>
      <w:r>
        <w:rPr/>
        <w:t>cause</w:t>
      </w:r>
      <w:r>
        <w:rPr>
          <w:spacing w:val="-17"/>
        </w:rPr>
        <w:t> </w:t>
      </w:r>
      <w:r>
        <w:rPr/>
        <w:t>of</w:t>
      </w:r>
      <w:r>
        <w:rPr>
          <w:spacing w:val="-15"/>
        </w:rPr>
        <w:t> </w:t>
      </w:r>
      <w:r>
        <w:rPr/>
        <w:t>MS</w:t>
      </w:r>
      <w:r>
        <w:rPr>
          <w:spacing w:val="-18"/>
        </w:rPr>
        <w:t> </w:t>
      </w:r>
      <w:r>
        <w:rPr/>
        <w:t>is</w:t>
      </w:r>
      <w:r>
        <w:rPr>
          <w:spacing w:val="-17"/>
        </w:rPr>
        <w:t> </w:t>
      </w:r>
      <w:r>
        <w:rPr/>
        <w:t>the</w:t>
      </w:r>
      <w:r>
        <w:rPr>
          <w:spacing w:val="-14"/>
        </w:rPr>
        <w:t> </w:t>
      </w:r>
      <w:r>
        <w:rPr/>
        <w:t>lack</w:t>
      </w:r>
      <w:r>
        <w:rPr>
          <w:spacing w:val="-18"/>
        </w:rPr>
        <w:t> </w:t>
      </w:r>
      <w:r>
        <w:rPr/>
        <w:t>of</w:t>
      </w:r>
      <w:r>
        <w:rPr>
          <w:spacing w:val="-16"/>
        </w:rPr>
        <w:t> </w:t>
      </w:r>
      <w:r>
        <w:rPr/>
        <w:t>gold</w:t>
      </w:r>
      <w:r>
        <w:rPr>
          <w:spacing w:val="-16"/>
        </w:rPr>
        <w:t> </w:t>
      </w:r>
      <w:r>
        <w:rPr/>
        <w:t>in</w:t>
      </w:r>
      <w:r>
        <w:rPr>
          <w:spacing w:val="-16"/>
        </w:rPr>
        <w:t> </w:t>
      </w:r>
      <w:r>
        <w:rPr/>
        <w:t>the</w:t>
      </w:r>
      <w:r>
        <w:rPr>
          <w:spacing w:val="-15"/>
        </w:rPr>
        <w:t> </w:t>
      </w:r>
      <w:r>
        <w:rPr/>
        <w:t>body, which prevents the glands from producing the substances important for the nervous system to function undisturbed.</w:t>
      </w:r>
    </w:p>
    <w:p>
      <w:pPr>
        <w:pStyle w:val="Heading1"/>
        <w:spacing w:before="222"/>
      </w:pPr>
      <w:r>
        <w:rPr/>
        <w:t>Effect of colloidal gold on PMS</w:t>
      </w:r>
    </w:p>
    <w:p>
      <w:pPr>
        <w:pStyle w:val="BodyText"/>
        <w:spacing w:line="276" w:lineRule="auto" w:before="299"/>
        <w:ind w:left="477" w:right="136"/>
        <w:jc w:val="both"/>
      </w:pPr>
      <w:r>
        <w:rPr/>
        <w:t>PMS (premenstrual syndrome) refers to the appearance of various complaints in about one in three woman which appear four to fourteen days before the onset of the female menstrual period and usually stop at the beginning.</w:t>
      </w:r>
    </w:p>
    <w:p>
      <w:pPr>
        <w:pStyle w:val="BodyText"/>
        <w:spacing w:line="276" w:lineRule="auto" w:before="242"/>
        <w:ind w:left="477" w:right="140"/>
        <w:jc w:val="both"/>
      </w:pPr>
      <w:r>
        <w:rPr/>
        <w:t>By harmonising all physical and mental functions, relaxing the body and acti- vating all the glands, colloidal gold can efficiently counteract PMS.</w:t>
      </w:r>
    </w:p>
    <w:p>
      <w:pPr>
        <w:spacing w:after="0" w:line="276" w:lineRule="auto"/>
        <w:jc w:val="both"/>
        <w:sectPr>
          <w:pgSz w:w="14270" w:h="16850"/>
          <w:pgMar w:header="0" w:footer="1891" w:top="1600" w:bottom="2080" w:left="800" w:right="1280"/>
        </w:sectPr>
      </w:pPr>
    </w:p>
    <w:p>
      <w:pPr>
        <w:pStyle w:val="Heading1"/>
        <w:spacing w:before="164"/>
      </w:pPr>
      <w:r>
        <w:rPr/>
        <w:t>How does colloidal gold work during the menopause?</w:t>
      </w:r>
    </w:p>
    <w:p>
      <w:pPr>
        <w:pStyle w:val="BodyText"/>
        <w:spacing w:line="276" w:lineRule="auto" w:before="299"/>
        <w:ind w:left="477" w:right="136"/>
        <w:jc w:val="both"/>
      </w:pPr>
      <w:r>
        <w:rPr/>
        <w:t>Even during menopause, women benefit from the holistically harmonising and simultaneously gland-activating effect of colloidal gold. Colloidal gold counter- acts hot flashes and sweats with its temperature-regulating effect.</w:t>
      </w:r>
    </w:p>
    <w:p>
      <w:pPr>
        <w:pStyle w:val="Heading2"/>
        <w:spacing w:before="242"/>
      </w:pPr>
      <w:r>
        <w:rPr/>
        <w:t>Taking colloidal gold</w:t>
      </w:r>
    </w:p>
    <w:p>
      <w:pPr>
        <w:pStyle w:val="BodyText"/>
        <w:spacing w:line="276" w:lineRule="auto" w:before="302"/>
        <w:ind w:left="477" w:right="132"/>
        <w:jc w:val="both"/>
      </w:pPr>
      <w:r>
        <w:rPr/>
        <w:t>Even at low doses, colloidal gold has proven to be very effective. Adult people can</w:t>
      </w:r>
      <w:r>
        <w:rPr>
          <w:spacing w:val="-23"/>
        </w:rPr>
        <w:t> </w:t>
      </w:r>
      <w:r>
        <w:rPr/>
        <w:t>take</w:t>
      </w:r>
      <w:r>
        <w:rPr>
          <w:spacing w:val="-23"/>
        </w:rPr>
        <w:t> </w:t>
      </w:r>
      <w:r>
        <w:rPr/>
        <w:t>two</w:t>
      </w:r>
      <w:r>
        <w:rPr>
          <w:spacing w:val="-22"/>
        </w:rPr>
        <w:t> </w:t>
      </w:r>
      <w:r>
        <w:rPr/>
        <w:t>teaspoons</w:t>
      </w:r>
      <w:r>
        <w:rPr>
          <w:spacing w:val="-22"/>
        </w:rPr>
        <w:t> </w:t>
      </w:r>
      <w:r>
        <w:rPr/>
        <w:t>(10-20ml)</w:t>
      </w:r>
      <w:r>
        <w:rPr>
          <w:spacing w:val="-22"/>
        </w:rPr>
        <w:t> </w:t>
      </w:r>
      <w:r>
        <w:rPr/>
        <w:t>daily,</w:t>
      </w:r>
      <w:r>
        <w:rPr>
          <w:spacing w:val="-22"/>
        </w:rPr>
        <w:t> </w:t>
      </w:r>
      <w:r>
        <w:rPr/>
        <w:t>while</w:t>
      </w:r>
      <w:r>
        <w:rPr>
          <w:spacing w:val="-21"/>
        </w:rPr>
        <w:t> </w:t>
      </w:r>
      <w:r>
        <w:rPr/>
        <w:t>1</w:t>
      </w:r>
      <w:r>
        <w:rPr>
          <w:spacing w:val="-23"/>
        </w:rPr>
        <w:t> </w:t>
      </w:r>
      <w:r>
        <w:rPr/>
        <w:t>teaspoon</w:t>
      </w:r>
      <w:r>
        <w:rPr>
          <w:spacing w:val="-22"/>
        </w:rPr>
        <w:t> </w:t>
      </w:r>
      <w:r>
        <w:rPr/>
        <w:t>is</w:t>
      </w:r>
      <w:r>
        <w:rPr>
          <w:spacing w:val="-23"/>
        </w:rPr>
        <w:t> </w:t>
      </w:r>
      <w:r>
        <w:rPr/>
        <w:t>enough</w:t>
      </w:r>
      <w:r>
        <w:rPr>
          <w:spacing w:val="-22"/>
        </w:rPr>
        <w:t> </w:t>
      </w:r>
      <w:r>
        <w:rPr/>
        <w:t>for</w:t>
      </w:r>
      <w:r>
        <w:rPr>
          <w:spacing w:val="-22"/>
        </w:rPr>
        <w:t> </w:t>
      </w:r>
      <w:r>
        <w:rPr/>
        <w:t>children. Here,</w:t>
      </w:r>
      <w:r>
        <w:rPr>
          <w:spacing w:val="-5"/>
        </w:rPr>
        <w:t> </w:t>
      </w:r>
      <w:r>
        <w:rPr/>
        <w:t>a</w:t>
      </w:r>
      <w:r>
        <w:rPr>
          <w:spacing w:val="-6"/>
        </w:rPr>
        <w:t> </w:t>
      </w:r>
      <w:r>
        <w:rPr/>
        <w:t>concentration</w:t>
      </w:r>
      <w:r>
        <w:rPr>
          <w:spacing w:val="-5"/>
        </w:rPr>
        <w:t> </w:t>
      </w:r>
      <w:r>
        <w:rPr/>
        <w:t>of</w:t>
      </w:r>
      <w:r>
        <w:rPr>
          <w:spacing w:val="-4"/>
        </w:rPr>
        <w:t> </w:t>
      </w:r>
      <w:r>
        <w:rPr/>
        <w:t>between</w:t>
      </w:r>
      <w:r>
        <w:rPr>
          <w:spacing w:val="-4"/>
        </w:rPr>
        <w:t> </w:t>
      </w:r>
      <w:r>
        <w:rPr/>
        <w:t>1</w:t>
      </w:r>
      <w:r>
        <w:rPr>
          <w:spacing w:val="-5"/>
        </w:rPr>
        <w:t> </w:t>
      </w:r>
      <w:r>
        <w:rPr/>
        <w:t>and</w:t>
      </w:r>
      <w:r>
        <w:rPr>
          <w:spacing w:val="-8"/>
        </w:rPr>
        <w:t> </w:t>
      </w:r>
      <w:r>
        <w:rPr/>
        <w:t>8</w:t>
      </w:r>
      <w:r>
        <w:rPr>
          <w:spacing w:val="-5"/>
        </w:rPr>
        <w:t> </w:t>
      </w:r>
      <w:r>
        <w:rPr/>
        <w:t>PPM</w:t>
      </w:r>
      <w:r>
        <w:rPr>
          <w:spacing w:val="-7"/>
        </w:rPr>
        <w:t> </w:t>
      </w:r>
      <w:r>
        <w:rPr/>
        <w:t>is</w:t>
      </w:r>
      <w:r>
        <w:rPr>
          <w:spacing w:val="-3"/>
        </w:rPr>
        <w:t> </w:t>
      </w:r>
      <w:r>
        <w:rPr/>
        <w:t>common.</w:t>
      </w:r>
      <w:r>
        <w:rPr>
          <w:spacing w:val="-7"/>
        </w:rPr>
        <w:t> </w:t>
      </w:r>
      <w:r>
        <w:rPr/>
        <w:t>Morning</w:t>
      </w:r>
      <w:r>
        <w:rPr>
          <w:spacing w:val="-4"/>
        </w:rPr>
        <w:t> </w:t>
      </w:r>
      <w:r>
        <w:rPr/>
        <w:t>intake</w:t>
      </w:r>
      <w:r>
        <w:rPr>
          <w:spacing w:val="-7"/>
        </w:rPr>
        <w:t> </w:t>
      </w:r>
      <w:r>
        <w:rPr/>
        <w:t>on an empty stomach is optimal. In order to support absorption through the oral mucosa, you should keep the gold water in the mouth for about two minutes before swallowing</w:t>
      </w:r>
      <w:r>
        <w:rPr>
          <w:spacing w:val="1"/>
        </w:rPr>
        <w:t> </w:t>
      </w:r>
      <w:r>
        <w:rPr/>
        <w:t>it.</w:t>
      </w:r>
    </w:p>
    <w:p>
      <w:pPr>
        <w:pStyle w:val="BodyText"/>
        <w:spacing w:before="240"/>
        <w:ind w:left="477"/>
      </w:pPr>
      <w:r>
        <w:rPr/>
        <w:t>Due</w:t>
      </w:r>
      <w:r>
        <w:rPr>
          <w:spacing w:val="-15"/>
        </w:rPr>
        <w:t> </w:t>
      </w:r>
      <w:r>
        <w:rPr/>
        <w:t>to</w:t>
      </w:r>
      <w:r>
        <w:rPr>
          <w:spacing w:val="-13"/>
        </w:rPr>
        <w:t> </w:t>
      </w:r>
      <w:r>
        <w:rPr/>
        <w:t>the</w:t>
      </w:r>
      <w:r>
        <w:rPr>
          <w:spacing w:val="-12"/>
        </w:rPr>
        <w:t> </w:t>
      </w:r>
      <w:r>
        <w:rPr/>
        <w:t>positive</w:t>
      </w:r>
      <w:r>
        <w:rPr>
          <w:spacing w:val="-13"/>
        </w:rPr>
        <w:t> </w:t>
      </w:r>
      <w:r>
        <w:rPr/>
        <w:t>electrical</w:t>
      </w:r>
      <w:r>
        <w:rPr>
          <w:spacing w:val="-13"/>
        </w:rPr>
        <w:t> </w:t>
      </w:r>
      <w:r>
        <w:rPr/>
        <w:t>charge,</w:t>
      </w:r>
      <w:r>
        <w:rPr>
          <w:spacing w:val="-12"/>
        </w:rPr>
        <w:t> </w:t>
      </w:r>
      <w:r>
        <w:rPr/>
        <w:t>you</w:t>
      </w:r>
      <w:r>
        <w:rPr>
          <w:spacing w:val="-14"/>
        </w:rPr>
        <w:t> </w:t>
      </w:r>
      <w:r>
        <w:rPr/>
        <w:t>should</w:t>
      </w:r>
      <w:r>
        <w:rPr>
          <w:spacing w:val="-17"/>
        </w:rPr>
        <w:t> </w:t>
      </w:r>
      <w:r>
        <w:rPr/>
        <w:t>use</w:t>
      </w:r>
      <w:r>
        <w:rPr>
          <w:spacing w:val="-13"/>
        </w:rPr>
        <w:t> </w:t>
      </w:r>
      <w:r>
        <w:rPr/>
        <w:t>a</w:t>
      </w:r>
      <w:r>
        <w:rPr>
          <w:spacing w:val="-14"/>
        </w:rPr>
        <w:t> </w:t>
      </w:r>
      <w:r>
        <w:rPr/>
        <w:t>plastic</w:t>
      </w:r>
      <w:r>
        <w:rPr>
          <w:spacing w:val="-13"/>
        </w:rPr>
        <w:t> </w:t>
      </w:r>
      <w:r>
        <w:rPr/>
        <w:t>or</w:t>
      </w:r>
      <w:r>
        <w:rPr>
          <w:spacing w:val="-12"/>
        </w:rPr>
        <w:t> </w:t>
      </w:r>
      <w:r>
        <w:rPr/>
        <w:t>wooden</w:t>
      </w:r>
      <w:r>
        <w:rPr>
          <w:spacing w:val="-13"/>
        </w:rPr>
        <w:t> </w:t>
      </w:r>
      <w:r>
        <w:rPr/>
        <w:t>spoon.</w:t>
      </w:r>
    </w:p>
    <w:p>
      <w:pPr>
        <w:pStyle w:val="Heading2"/>
        <w:spacing w:before="305"/>
      </w:pPr>
      <w:r>
        <w:rPr/>
        <w:t>Production of colloidal gold</w:t>
      </w:r>
    </w:p>
    <w:p>
      <w:pPr>
        <w:pStyle w:val="BodyText"/>
        <w:spacing w:line="276" w:lineRule="auto" w:before="304"/>
        <w:ind w:left="477" w:right="135"/>
        <w:jc w:val="both"/>
      </w:pPr>
      <w:r>
        <w:rPr/>
        <w:t>Colloidal gold is produced using an electrolyser, two gold electrodes and dis- tilled water. Depending on the water condition and the electrolyser, it takes about 4-12 hours to produce a concentration of 1 PPM of colloidal gold in a 200ml glass. It should then be stored in a brown or blue bottle, protected</w:t>
      </w:r>
      <w:r>
        <w:rPr>
          <w:spacing w:val="-57"/>
        </w:rPr>
        <w:t> </w:t>
      </w:r>
      <w:r>
        <w:rPr/>
        <w:t>from sunlight and heat. It is important to note that colloidal substances should not be</w:t>
      </w:r>
      <w:r>
        <w:rPr>
          <w:spacing w:val="-11"/>
        </w:rPr>
        <w:t> </w:t>
      </w:r>
      <w:r>
        <w:rPr/>
        <w:t>stored</w:t>
      </w:r>
      <w:r>
        <w:rPr>
          <w:spacing w:val="-12"/>
        </w:rPr>
        <w:t> </w:t>
      </w:r>
      <w:r>
        <w:rPr/>
        <w:t>in</w:t>
      </w:r>
      <w:r>
        <w:rPr>
          <w:spacing w:val="-13"/>
        </w:rPr>
        <w:t> </w:t>
      </w:r>
      <w:r>
        <w:rPr/>
        <w:t>the</w:t>
      </w:r>
      <w:r>
        <w:rPr>
          <w:spacing w:val="-13"/>
        </w:rPr>
        <w:t> </w:t>
      </w:r>
      <w:r>
        <w:rPr/>
        <w:t>refrigerator</w:t>
      </w:r>
      <w:r>
        <w:rPr>
          <w:spacing w:val="-12"/>
        </w:rPr>
        <w:t> </w:t>
      </w:r>
      <w:r>
        <w:rPr/>
        <w:t>or</w:t>
      </w:r>
      <w:r>
        <w:rPr>
          <w:spacing w:val="-10"/>
        </w:rPr>
        <w:t> </w:t>
      </w:r>
      <w:r>
        <w:rPr/>
        <w:t>in</w:t>
      </w:r>
      <w:r>
        <w:rPr>
          <w:spacing w:val="-14"/>
        </w:rPr>
        <w:t> </w:t>
      </w:r>
      <w:r>
        <w:rPr/>
        <w:t>the</w:t>
      </w:r>
      <w:r>
        <w:rPr>
          <w:spacing w:val="-11"/>
        </w:rPr>
        <w:t> </w:t>
      </w:r>
      <w:r>
        <w:rPr/>
        <w:t>immediate</w:t>
      </w:r>
      <w:r>
        <w:rPr>
          <w:spacing w:val="-11"/>
        </w:rPr>
        <w:t> </w:t>
      </w:r>
      <w:r>
        <w:rPr/>
        <w:t>vicinity</w:t>
      </w:r>
      <w:r>
        <w:rPr>
          <w:spacing w:val="-12"/>
        </w:rPr>
        <w:t> </w:t>
      </w:r>
      <w:r>
        <w:rPr/>
        <w:t>of</w:t>
      </w:r>
      <w:r>
        <w:rPr>
          <w:spacing w:val="-11"/>
        </w:rPr>
        <w:t> </w:t>
      </w:r>
      <w:r>
        <w:rPr/>
        <w:t>electrical</w:t>
      </w:r>
      <w:r>
        <w:rPr>
          <w:spacing w:val="-11"/>
        </w:rPr>
        <w:t> </w:t>
      </w:r>
      <w:r>
        <w:rPr/>
        <w:t>appliances. The effect of colloidal gold gradually decreases between the third and fourth month with the electrical discharge of the colloids.</w:t>
      </w:r>
    </w:p>
    <w:p>
      <w:pPr>
        <w:spacing w:after="0" w:line="276" w:lineRule="auto"/>
        <w:jc w:val="both"/>
        <w:sectPr>
          <w:pgSz w:w="14270" w:h="16850"/>
          <w:pgMar w:header="0" w:footer="1891" w:top="1600" w:bottom="2080" w:left="800" w:right="1280"/>
        </w:sectPr>
      </w:pPr>
    </w:p>
    <w:p>
      <w:pPr>
        <w:pStyle w:val="BodyText"/>
        <w:rPr>
          <w:sz w:val="20"/>
        </w:rPr>
      </w:pPr>
    </w:p>
    <w:p>
      <w:pPr>
        <w:pStyle w:val="BodyText"/>
        <w:rPr>
          <w:sz w:val="20"/>
        </w:rPr>
      </w:pPr>
    </w:p>
    <w:p>
      <w:pPr>
        <w:pStyle w:val="BodyText"/>
        <w:rPr>
          <w:sz w:val="20"/>
        </w:rPr>
      </w:pPr>
    </w:p>
    <w:p>
      <w:pPr>
        <w:pStyle w:val="Heading2"/>
        <w:spacing w:before="238"/>
      </w:pPr>
      <w:r>
        <w:rPr/>
        <w:t>Gold side effects</w:t>
      </w:r>
    </w:p>
    <w:p>
      <w:pPr>
        <w:pStyle w:val="BodyText"/>
        <w:spacing w:line="276" w:lineRule="auto" w:before="305"/>
        <w:ind w:left="477" w:right="130"/>
        <w:jc w:val="both"/>
      </w:pPr>
      <w:r>
        <w:rPr/>
        <w:t>No side effects have been identified with the intake of colloidal gold, in</w:t>
      </w:r>
      <w:r>
        <w:rPr>
          <w:spacing w:val="-53"/>
        </w:rPr>
        <w:t> </w:t>
      </w:r>
      <w:r>
        <w:rPr/>
        <w:t>studies or literature. Any problems described, such as in gold injections, are solely due to the accompanying substances which colloidal gold does not possess.</w:t>
      </w:r>
    </w:p>
    <w:p>
      <w:pPr>
        <w:pStyle w:val="BodyText"/>
        <w:spacing w:line="276" w:lineRule="auto" w:before="239"/>
        <w:ind w:left="477" w:right="139"/>
        <w:jc w:val="both"/>
      </w:pPr>
      <w:r>
        <w:rPr/>
        <w:t>After intake is stopped, colloidal gold particles are excreted away by the body itself after a few days or weeks.</w:t>
      </w:r>
    </w:p>
    <w:p>
      <w:pPr>
        <w:spacing w:after="0" w:line="276" w:lineRule="auto"/>
        <w:jc w:val="both"/>
        <w:sectPr>
          <w:pgSz w:w="14270" w:h="16850"/>
          <w:pgMar w:header="0" w:footer="1891" w:top="1600" w:bottom="2080" w:left="800" w:right="1280"/>
        </w:sectPr>
      </w:pPr>
    </w:p>
    <w:p>
      <w:pPr>
        <w:spacing w:before="183"/>
        <w:ind w:left="477" w:right="0" w:firstLine="0"/>
        <w:jc w:val="left"/>
        <w:rPr>
          <w:rFonts w:ascii="Cambria"/>
          <w:b/>
          <w:sz w:val="28"/>
        </w:rPr>
      </w:pPr>
      <w:r>
        <w:rPr>
          <w:rFonts w:ascii="Cambria"/>
          <w:b/>
          <w:color w:val="365F91"/>
          <w:sz w:val="28"/>
        </w:rPr>
        <w:t>COLLOIDAL SILVER</w:t>
      </w:r>
    </w:p>
    <w:p>
      <w:pPr>
        <w:pStyle w:val="BodyText"/>
        <w:rPr>
          <w:rFonts w:ascii="Cambria"/>
          <w:b/>
          <w:sz w:val="32"/>
        </w:rPr>
      </w:pPr>
    </w:p>
    <w:p>
      <w:pPr>
        <w:pStyle w:val="BodyText"/>
        <w:spacing w:before="2"/>
        <w:rPr>
          <w:rFonts w:ascii="Cambria"/>
          <w:b/>
          <w:sz w:val="31"/>
        </w:rPr>
      </w:pPr>
    </w:p>
    <w:p>
      <w:pPr>
        <w:spacing w:line="276" w:lineRule="auto" w:before="0"/>
        <w:ind w:left="477" w:right="239" w:firstLine="0"/>
        <w:jc w:val="left"/>
        <w:rPr>
          <w:i/>
          <w:sz w:val="38"/>
        </w:rPr>
      </w:pPr>
      <w:r>
        <w:rPr>
          <w:sz w:val="38"/>
        </w:rPr>
        <w:t>‘</w:t>
      </w:r>
      <w:r>
        <w:rPr>
          <w:i/>
          <w:sz w:val="38"/>
        </w:rPr>
        <w:t>Colloidal silver is one of the most effective killers of bacteria. Colloidal silver turns out to be </w:t>
      </w:r>
      <w:r>
        <w:rPr>
          <w:i/>
          <w:sz w:val="38"/>
        </w:rPr>
        <w:t>a miracle of modern medicine. A conventional antibiotic may eliminate a dozen different pathogens, but colloidal silver kills about 650!’</w:t>
      </w:r>
    </w:p>
    <w:p>
      <w:pPr>
        <w:pStyle w:val="Heading2"/>
        <w:spacing w:line="426" w:lineRule="exact"/>
      </w:pPr>
      <w:r>
        <w:rPr/>
        <w:t>Science Digest, March 1978</w:t>
      </w:r>
    </w:p>
    <w:p>
      <w:pPr>
        <w:pStyle w:val="BodyText"/>
        <w:rPr>
          <w:b/>
          <w:sz w:val="42"/>
        </w:rPr>
      </w:pPr>
    </w:p>
    <w:p>
      <w:pPr>
        <w:pStyle w:val="BodyText"/>
        <w:spacing w:line="276" w:lineRule="auto" w:before="284"/>
        <w:ind w:left="477" w:right="238"/>
      </w:pPr>
      <w:r>
        <w:rPr>
          <w:i/>
        </w:rPr>
        <w:t>Consumer Reports </w:t>
      </w:r>
      <w:r>
        <w:rPr/>
        <w:t>study of raw chicken breast samples from around the country found that most of them had some bacterial contamination and a good many had pathogenic varieties such as </w:t>
      </w:r>
      <w:r>
        <w:rPr>
          <w:i/>
        </w:rPr>
        <w:t>Campylobacter </w:t>
      </w:r>
      <w:r>
        <w:rPr/>
        <w:t>or </w:t>
      </w:r>
      <w:r>
        <w:rPr>
          <w:i/>
        </w:rPr>
        <w:t>Salmonella</w:t>
      </w:r>
      <w:r>
        <w:rPr/>
        <w:t>, the magazine re- ported yesterday.</w:t>
      </w:r>
    </w:p>
    <w:p>
      <w:pPr>
        <w:pStyle w:val="BodyText"/>
        <w:spacing w:before="244"/>
        <w:ind w:left="477" w:right="226"/>
      </w:pPr>
      <w:r>
        <w:rPr>
          <w:i/>
        </w:rPr>
        <w:t>Enterococcus </w:t>
      </w:r>
      <w:r>
        <w:rPr/>
        <w:t>species and </w:t>
      </w:r>
      <w:r>
        <w:rPr>
          <w:i/>
        </w:rPr>
        <w:t>Escherichia coli</w:t>
      </w:r>
      <w:r>
        <w:rPr/>
        <w:t>, which are part of the normal bacteria population in the human gut but may also indicate fecal contamination, were found on most of the 316 samples tested, the magazine said. </w:t>
      </w:r>
      <w:r>
        <w:rPr>
          <w:i/>
        </w:rPr>
        <w:t>Campylobacter </w:t>
      </w:r>
      <w:r>
        <w:rPr/>
        <w:t>and </w:t>
      </w:r>
      <w:r>
        <w:rPr>
          <w:i/>
        </w:rPr>
        <w:t>Salmonella </w:t>
      </w:r>
      <w:r>
        <w:rPr/>
        <w:t>were found on 43% and 10.8% of the samples, respectively.</w:t>
      </w:r>
    </w:p>
    <w:p>
      <w:pPr>
        <w:pStyle w:val="BodyText"/>
        <w:spacing w:before="239"/>
        <w:ind w:left="477" w:right="213"/>
        <w:jc w:val="both"/>
        <w:rPr>
          <w:sz w:val="25"/>
        </w:rPr>
      </w:pPr>
      <w:r>
        <w:rPr/>
        <w:t>In addition, almost half of the samples (49.7%) tested positive for at least one type of multidrug-resistant (MDR) bacteria (resistant to three or more antibio- tics).</w:t>
      </w:r>
      <w:r>
        <w:rPr>
          <w:position w:val="9"/>
          <w:sz w:val="25"/>
        </w:rPr>
        <w:t>421</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2"/>
        </w:rPr>
      </w:pPr>
      <w:r>
        <w:rPr/>
        <w:pict>
          <v:line style="position:absolute;mso-position-horizontal-relative:page;mso-position-vertical-relative:paragraph;z-index:5096;mso-wrap-distance-left:0;mso-wrap-distance-right:0" from="63.863998pt,9.617493pt" to="207.883998pt,9.617493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421 </w:t>
      </w:r>
      <w:hyperlink r:id="rId175">
        <w:r>
          <w:rPr>
            <w:sz w:val="20"/>
          </w:rPr>
          <w:t>http://www.cidrap.umn.edu/news-perspective/2013/12/consumer-reports-finds-bacteria-common-chicken-breasts</w:t>
        </w:r>
      </w:hyperlink>
    </w:p>
    <w:p>
      <w:pPr>
        <w:spacing w:after="0"/>
        <w:jc w:val="left"/>
        <w:rPr>
          <w:sz w:val="20"/>
        </w:rPr>
        <w:sectPr>
          <w:pgSz w:w="14270" w:h="16850"/>
          <w:pgMar w:header="0" w:footer="1891" w:top="1600" w:bottom="2080" w:left="800" w:right="1280"/>
        </w:sectPr>
      </w:pPr>
    </w:p>
    <w:p>
      <w:pPr>
        <w:pStyle w:val="BodyText"/>
        <w:spacing w:line="276" w:lineRule="auto" w:before="181"/>
        <w:ind w:left="477" w:right="133"/>
        <w:jc w:val="both"/>
      </w:pPr>
      <w:r>
        <w:rPr/>
        <w:t>In</w:t>
      </w:r>
      <w:r>
        <w:rPr>
          <w:spacing w:val="-8"/>
        </w:rPr>
        <w:t> </w:t>
      </w:r>
      <w:r>
        <w:rPr/>
        <w:t>times</w:t>
      </w:r>
      <w:r>
        <w:rPr>
          <w:spacing w:val="-8"/>
        </w:rPr>
        <w:t> </w:t>
      </w:r>
      <w:r>
        <w:rPr/>
        <w:t>when</w:t>
      </w:r>
      <w:r>
        <w:rPr>
          <w:spacing w:val="-6"/>
        </w:rPr>
        <w:t> </w:t>
      </w:r>
      <w:r>
        <w:rPr/>
        <w:t>new</w:t>
      </w:r>
      <w:r>
        <w:rPr>
          <w:spacing w:val="-9"/>
        </w:rPr>
        <w:t> </w:t>
      </w:r>
      <w:r>
        <w:rPr/>
        <w:t>viral</w:t>
      </w:r>
      <w:r>
        <w:rPr>
          <w:spacing w:val="-9"/>
        </w:rPr>
        <w:t> </w:t>
      </w:r>
      <w:r>
        <w:rPr/>
        <w:t>epidemics,</w:t>
      </w:r>
      <w:r>
        <w:rPr>
          <w:spacing w:val="-6"/>
        </w:rPr>
        <w:t> </w:t>
      </w:r>
      <w:r>
        <w:rPr/>
        <w:t>ranging</w:t>
      </w:r>
      <w:r>
        <w:rPr>
          <w:spacing w:val="-8"/>
        </w:rPr>
        <w:t> </w:t>
      </w:r>
      <w:r>
        <w:rPr/>
        <w:t>from</w:t>
      </w:r>
      <w:r>
        <w:rPr>
          <w:spacing w:val="-11"/>
        </w:rPr>
        <w:t> </w:t>
      </w:r>
      <w:r>
        <w:rPr/>
        <w:t>bird</w:t>
      </w:r>
      <w:r>
        <w:rPr>
          <w:spacing w:val="-8"/>
        </w:rPr>
        <w:t> </w:t>
      </w:r>
      <w:r>
        <w:rPr/>
        <w:t>flu</w:t>
      </w:r>
      <w:r>
        <w:rPr>
          <w:spacing w:val="-10"/>
        </w:rPr>
        <w:t> </w:t>
      </w:r>
      <w:r>
        <w:rPr/>
        <w:t>to</w:t>
      </w:r>
      <w:r>
        <w:rPr>
          <w:spacing w:val="-8"/>
        </w:rPr>
        <w:t> </w:t>
      </w:r>
      <w:r>
        <w:rPr/>
        <w:t>swine</w:t>
      </w:r>
      <w:r>
        <w:rPr>
          <w:spacing w:val="-5"/>
        </w:rPr>
        <w:t> </w:t>
      </w:r>
      <w:r>
        <w:rPr/>
        <w:t>flu</w:t>
      </w:r>
      <w:r>
        <w:rPr>
          <w:spacing w:val="-10"/>
        </w:rPr>
        <w:t> </w:t>
      </w:r>
      <w:r>
        <w:rPr/>
        <w:t>to</w:t>
      </w:r>
      <w:r>
        <w:rPr>
          <w:spacing w:val="-8"/>
        </w:rPr>
        <w:t> </w:t>
      </w:r>
      <w:r>
        <w:rPr/>
        <w:t>Ebola, are increasingly a cause for concern, and foods infested with antibiotics are causing appalling antibiotic resistance in humans, effective alternatives are be- coming</w:t>
      </w:r>
      <w:r>
        <w:rPr>
          <w:spacing w:val="-11"/>
        </w:rPr>
        <w:t> </w:t>
      </w:r>
      <w:r>
        <w:rPr/>
        <w:t>increasingly</w:t>
      </w:r>
      <w:r>
        <w:rPr>
          <w:spacing w:val="-10"/>
        </w:rPr>
        <w:t> </w:t>
      </w:r>
      <w:r>
        <w:rPr/>
        <w:t>important</w:t>
      </w:r>
      <w:r>
        <w:rPr>
          <w:spacing w:val="-9"/>
        </w:rPr>
        <w:t> </w:t>
      </w:r>
      <w:r>
        <w:rPr/>
        <w:t>–</w:t>
      </w:r>
      <w:r>
        <w:rPr>
          <w:spacing w:val="-11"/>
        </w:rPr>
        <w:t> </w:t>
      </w:r>
      <w:r>
        <w:rPr/>
        <w:t>because</w:t>
      </w:r>
      <w:r>
        <w:rPr>
          <w:spacing w:val="-12"/>
        </w:rPr>
        <w:t> </w:t>
      </w:r>
      <w:r>
        <w:rPr/>
        <w:t>they</w:t>
      </w:r>
      <w:r>
        <w:rPr>
          <w:spacing w:val="-10"/>
        </w:rPr>
        <w:t> </w:t>
      </w:r>
      <w:r>
        <w:rPr/>
        <w:t>could</w:t>
      </w:r>
      <w:r>
        <w:rPr>
          <w:spacing w:val="-11"/>
        </w:rPr>
        <w:t> </w:t>
      </w:r>
      <w:r>
        <w:rPr/>
        <w:t>be</w:t>
      </w:r>
      <w:r>
        <w:rPr>
          <w:spacing w:val="-10"/>
        </w:rPr>
        <w:t> </w:t>
      </w:r>
      <w:r>
        <w:rPr/>
        <w:t>life-saving</w:t>
      </w:r>
      <w:r>
        <w:rPr>
          <w:spacing w:val="-10"/>
        </w:rPr>
        <w:t> </w:t>
      </w:r>
      <w:r>
        <w:rPr/>
        <w:t>in</w:t>
      </w:r>
      <w:r>
        <w:rPr>
          <w:spacing w:val="-12"/>
        </w:rPr>
        <w:t> </w:t>
      </w:r>
      <w:r>
        <w:rPr/>
        <w:t>the</w:t>
      </w:r>
      <w:r>
        <w:rPr>
          <w:spacing w:val="-10"/>
        </w:rPr>
        <w:t> </w:t>
      </w:r>
      <w:r>
        <w:rPr/>
        <w:t>future!</w:t>
      </w:r>
    </w:p>
    <w:p>
      <w:pPr>
        <w:pStyle w:val="BodyText"/>
        <w:spacing w:before="8"/>
        <w:rPr>
          <w:sz w:val="43"/>
        </w:rPr>
      </w:pPr>
    </w:p>
    <w:p>
      <w:pPr>
        <w:pStyle w:val="BodyText"/>
        <w:spacing w:line="276" w:lineRule="auto"/>
        <w:ind w:left="477" w:right="137"/>
        <w:jc w:val="both"/>
      </w:pPr>
      <w:r>
        <w:rPr/>
        <w:t>The man who discovered penicillin (antibiotic), Alexander Fleming, already warned:</w:t>
      </w:r>
    </w:p>
    <w:p>
      <w:pPr>
        <w:pStyle w:val="BodyText"/>
        <w:spacing w:before="9"/>
        <w:rPr>
          <w:sz w:val="43"/>
        </w:rPr>
      </w:pPr>
    </w:p>
    <w:p>
      <w:pPr>
        <w:spacing w:line="276" w:lineRule="auto" w:before="0"/>
        <w:ind w:left="477" w:right="132" w:firstLine="0"/>
        <w:jc w:val="both"/>
        <w:rPr>
          <w:i/>
          <w:sz w:val="38"/>
        </w:rPr>
      </w:pPr>
      <w:r>
        <w:rPr>
          <w:sz w:val="38"/>
        </w:rPr>
        <w:t>‘</w:t>
      </w:r>
      <w:r>
        <w:rPr>
          <w:i/>
          <w:sz w:val="38"/>
        </w:rPr>
        <w:t>Microbes can be made resistant to penicillin in the lab when exposed to concentrations that </w:t>
      </w:r>
      <w:r>
        <w:rPr>
          <w:i/>
          <w:sz w:val="38"/>
        </w:rPr>
        <w:t>are insufficient to kill them. There is a danger that ignorant people may administer too low a dose and make the microbes resistant because they have exposed them to non-lethal</w:t>
      </w:r>
      <w:r>
        <w:rPr>
          <w:i/>
          <w:spacing w:val="-62"/>
          <w:sz w:val="38"/>
        </w:rPr>
        <w:t> </w:t>
      </w:r>
      <w:r>
        <w:rPr>
          <w:i/>
          <w:sz w:val="38"/>
        </w:rPr>
        <w:t>amounts’.</w:t>
      </w:r>
    </w:p>
    <w:p>
      <w:pPr>
        <w:pStyle w:val="BodyText"/>
        <w:spacing w:before="7"/>
        <w:rPr>
          <w:i/>
          <w:sz w:val="43"/>
        </w:rPr>
      </w:pPr>
    </w:p>
    <w:p>
      <w:pPr>
        <w:pStyle w:val="BodyText"/>
        <w:spacing w:line="276" w:lineRule="auto"/>
        <w:ind w:left="477" w:right="135"/>
        <w:jc w:val="both"/>
      </w:pPr>
      <w:r>
        <w:rPr/>
        <w:t>The</w:t>
      </w:r>
      <w:r>
        <w:rPr>
          <w:spacing w:val="-20"/>
        </w:rPr>
        <w:t> </w:t>
      </w:r>
      <w:r>
        <w:rPr/>
        <w:t>‘ignorant’</w:t>
      </w:r>
      <w:r>
        <w:rPr>
          <w:spacing w:val="-21"/>
        </w:rPr>
        <w:t> </w:t>
      </w:r>
      <w:r>
        <w:rPr/>
        <w:t>here</w:t>
      </w:r>
      <w:r>
        <w:rPr>
          <w:spacing w:val="-18"/>
        </w:rPr>
        <w:t> </w:t>
      </w:r>
      <w:r>
        <w:rPr/>
        <w:t>are</w:t>
      </w:r>
      <w:r>
        <w:rPr>
          <w:spacing w:val="-21"/>
        </w:rPr>
        <w:t> </w:t>
      </w:r>
      <w:r>
        <w:rPr/>
        <w:t>not</w:t>
      </w:r>
      <w:r>
        <w:rPr>
          <w:spacing w:val="-20"/>
        </w:rPr>
        <w:t> </w:t>
      </w:r>
      <w:r>
        <w:rPr/>
        <w:t>us,</w:t>
      </w:r>
      <w:r>
        <w:rPr>
          <w:spacing w:val="-21"/>
        </w:rPr>
        <w:t> </w:t>
      </w:r>
      <w:r>
        <w:rPr/>
        <w:t>but</w:t>
      </w:r>
      <w:r>
        <w:rPr>
          <w:spacing w:val="-21"/>
        </w:rPr>
        <w:t> </w:t>
      </w:r>
      <w:r>
        <w:rPr/>
        <w:t>our</w:t>
      </w:r>
      <w:r>
        <w:rPr>
          <w:spacing w:val="-19"/>
        </w:rPr>
        <w:t> </w:t>
      </w:r>
      <w:r>
        <w:rPr/>
        <w:t>doctors,</w:t>
      </w:r>
      <w:r>
        <w:rPr>
          <w:spacing w:val="-22"/>
        </w:rPr>
        <w:t> </w:t>
      </w:r>
      <w:r>
        <w:rPr/>
        <w:t>who</w:t>
      </w:r>
      <w:r>
        <w:rPr>
          <w:spacing w:val="-19"/>
        </w:rPr>
        <w:t> </w:t>
      </w:r>
      <w:r>
        <w:rPr/>
        <w:t>prescribe</w:t>
      </w:r>
      <w:r>
        <w:rPr>
          <w:spacing w:val="-21"/>
        </w:rPr>
        <w:t> </w:t>
      </w:r>
      <w:r>
        <w:rPr/>
        <w:t>antibiotics</w:t>
      </w:r>
      <w:r>
        <w:rPr>
          <w:spacing w:val="-18"/>
        </w:rPr>
        <w:t> </w:t>
      </w:r>
      <w:r>
        <w:rPr/>
        <w:t>almost indiscriminately, and the food industry, which is still allowed to contaminate meat with antibiotics, and increasingly does so. Becoming a vegetarian is no longer a solution, because antibiotics are also found in our drinking water – meaning that pathogens are made passively resistant, we pay with our health and in the worst case, our</w:t>
      </w:r>
      <w:r>
        <w:rPr>
          <w:spacing w:val="3"/>
        </w:rPr>
        <w:t> </w:t>
      </w:r>
      <w:r>
        <w:rPr/>
        <w:t>lives...!</w:t>
      </w:r>
    </w:p>
    <w:p>
      <w:pPr>
        <w:pStyle w:val="BodyText"/>
        <w:spacing w:before="9"/>
        <w:rPr>
          <w:sz w:val="43"/>
        </w:rPr>
      </w:pPr>
    </w:p>
    <w:p>
      <w:pPr>
        <w:pStyle w:val="BodyText"/>
        <w:spacing w:line="276" w:lineRule="auto"/>
        <w:ind w:left="477" w:right="136"/>
        <w:jc w:val="both"/>
      </w:pPr>
      <w:r>
        <w:rPr/>
        <w:t>Viruses,</w:t>
      </w:r>
      <w:r>
        <w:rPr>
          <w:spacing w:val="-12"/>
        </w:rPr>
        <w:t> </w:t>
      </w:r>
      <w:r>
        <w:rPr/>
        <w:t>bacteria,</w:t>
      </w:r>
      <w:r>
        <w:rPr>
          <w:spacing w:val="-13"/>
        </w:rPr>
        <w:t> </w:t>
      </w:r>
      <w:r>
        <w:rPr/>
        <w:t>fungi</w:t>
      </w:r>
      <w:r>
        <w:rPr>
          <w:spacing w:val="-10"/>
        </w:rPr>
        <w:t> </w:t>
      </w:r>
      <w:r>
        <w:rPr/>
        <w:t>and</w:t>
      </w:r>
      <w:r>
        <w:rPr>
          <w:spacing w:val="-15"/>
        </w:rPr>
        <w:t> </w:t>
      </w:r>
      <w:r>
        <w:rPr/>
        <w:t>other</w:t>
      </w:r>
      <w:r>
        <w:rPr>
          <w:spacing w:val="-14"/>
        </w:rPr>
        <w:t> </w:t>
      </w:r>
      <w:r>
        <w:rPr/>
        <w:t>pathogens</w:t>
      </w:r>
      <w:r>
        <w:rPr>
          <w:spacing w:val="-14"/>
        </w:rPr>
        <w:t> </w:t>
      </w:r>
      <w:r>
        <w:rPr/>
        <w:t>are</w:t>
      </w:r>
      <w:r>
        <w:rPr>
          <w:spacing w:val="-14"/>
        </w:rPr>
        <w:t> </w:t>
      </w:r>
      <w:r>
        <w:rPr/>
        <w:t>on</w:t>
      </w:r>
      <w:r>
        <w:rPr>
          <w:spacing w:val="-12"/>
        </w:rPr>
        <w:t> </w:t>
      </w:r>
      <w:r>
        <w:rPr/>
        <w:t>the</w:t>
      </w:r>
      <w:r>
        <w:rPr>
          <w:spacing w:val="-14"/>
        </w:rPr>
        <w:t> </w:t>
      </w:r>
      <w:r>
        <w:rPr/>
        <w:t>rise,</w:t>
      </w:r>
      <w:r>
        <w:rPr>
          <w:spacing w:val="-14"/>
        </w:rPr>
        <w:t> </w:t>
      </w:r>
      <w:r>
        <w:rPr/>
        <w:t>and</w:t>
      </w:r>
      <w:r>
        <w:rPr>
          <w:spacing w:val="-12"/>
        </w:rPr>
        <w:t> </w:t>
      </w:r>
      <w:r>
        <w:rPr/>
        <w:t>many</w:t>
      </w:r>
      <w:r>
        <w:rPr>
          <w:spacing w:val="-12"/>
        </w:rPr>
        <w:t> </w:t>
      </w:r>
      <w:r>
        <w:rPr/>
        <w:t>research- ers warn of serious epidemics in the near</w:t>
      </w:r>
      <w:r>
        <w:rPr>
          <w:spacing w:val="3"/>
        </w:rPr>
        <w:t> </w:t>
      </w:r>
      <w:r>
        <w:rPr/>
        <w:t>future.</w:t>
      </w:r>
    </w:p>
    <w:p>
      <w:pPr>
        <w:pStyle w:val="BodyText"/>
        <w:spacing w:line="276" w:lineRule="auto" w:before="1"/>
        <w:ind w:left="477" w:right="133"/>
        <w:jc w:val="both"/>
      </w:pPr>
      <w:r>
        <w:rPr/>
        <w:t>All</w:t>
      </w:r>
      <w:r>
        <w:rPr>
          <w:spacing w:val="-16"/>
        </w:rPr>
        <w:t> </w:t>
      </w:r>
      <w:r>
        <w:rPr/>
        <w:t>of</w:t>
      </w:r>
      <w:r>
        <w:rPr>
          <w:spacing w:val="-14"/>
        </w:rPr>
        <w:t> </w:t>
      </w:r>
      <w:r>
        <w:rPr/>
        <w:t>this,</w:t>
      </w:r>
      <w:r>
        <w:rPr>
          <w:spacing w:val="-15"/>
        </w:rPr>
        <w:t> </w:t>
      </w:r>
      <w:r>
        <w:rPr/>
        <w:t>while,</w:t>
      </w:r>
      <w:r>
        <w:rPr>
          <w:spacing w:val="-13"/>
        </w:rPr>
        <w:t> </w:t>
      </w:r>
      <w:r>
        <w:rPr/>
        <w:t>at</w:t>
      </w:r>
      <w:r>
        <w:rPr>
          <w:spacing w:val="-15"/>
        </w:rPr>
        <w:t> </w:t>
      </w:r>
      <w:r>
        <w:rPr/>
        <w:t>the</w:t>
      </w:r>
      <w:r>
        <w:rPr>
          <w:spacing w:val="-16"/>
        </w:rPr>
        <w:t> </w:t>
      </w:r>
      <w:r>
        <w:rPr/>
        <w:t>same</w:t>
      </w:r>
      <w:r>
        <w:rPr>
          <w:spacing w:val="-12"/>
        </w:rPr>
        <w:t> </w:t>
      </w:r>
      <w:r>
        <w:rPr/>
        <w:t>time,</w:t>
      </w:r>
      <w:r>
        <w:rPr>
          <w:spacing w:val="-13"/>
        </w:rPr>
        <w:t> </w:t>
      </w:r>
      <w:r>
        <w:rPr/>
        <w:t>the</w:t>
      </w:r>
      <w:r>
        <w:rPr>
          <w:spacing w:val="-16"/>
        </w:rPr>
        <w:t> </w:t>
      </w:r>
      <w:r>
        <w:rPr/>
        <w:t>strongest</w:t>
      </w:r>
      <w:r>
        <w:rPr>
          <w:spacing w:val="-17"/>
        </w:rPr>
        <w:t> </w:t>
      </w:r>
      <w:r>
        <w:rPr/>
        <w:t>weapons</w:t>
      </w:r>
      <w:r>
        <w:rPr>
          <w:spacing w:val="-13"/>
        </w:rPr>
        <w:t> </w:t>
      </w:r>
      <w:r>
        <w:rPr/>
        <w:t>of</w:t>
      </w:r>
      <w:r>
        <w:rPr>
          <w:spacing w:val="-16"/>
        </w:rPr>
        <w:t> </w:t>
      </w:r>
      <w:r>
        <w:rPr/>
        <w:t>conventional</w:t>
      </w:r>
      <w:r>
        <w:rPr>
          <w:spacing w:val="-14"/>
        </w:rPr>
        <w:t> </w:t>
      </w:r>
      <w:r>
        <w:rPr/>
        <w:t>med- icine (antibiotics) fail – we can only protect ourselves through our knowledge; at</w:t>
      </w:r>
      <w:r>
        <w:rPr>
          <w:spacing w:val="14"/>
        </w:rPr>
        <w:t> </w:t>
      </w:r>
      <w:r>
        <w:rPr/>
        <w:t>this</w:t>
      </w:r>
      <w:r>
        <w:rPr>
          <w:spacing w:val="18"/>
        </w:rPr>
        <w:t> </w:t>
      </w:r>
      <w:r>
        <w:rPr/>
        <w:t>point,</w:t>
      </w:r>
      <w:r>
        <w:rPr>
          <w:spacing w:val="17"/>
        </w:rPr>
        <w:t> </w:t>
      </w:r>
      <w:r>
        <w:rPr/>
        <w:t>it</w:t>
      </w:r>
      <w:r>
        <w:rPr>
          <w:spacing w:val="16"/>
        </w:rPr>
        <w:t> </w:t>
      </w:r>
      <w:r>
        <w:rPr/>
        <w:t>is</w:t>
      </w:r>
      <w:r>
        <w:rPr>
          <w:spacing w:val="17"/>
        </w:rPr>
        <w:t> </w:t>
      </w:r>
      <w:r>
        <w:rPr/>
        <w:t>the</w:t>
      </w:r>
      <w:r>
        <w:rPr>
          <w:spacing w:val="17"/>
        </w:rPr>
        <w:t> </w:t>
      </w:r>
      <w:r>
        <w:rPr/>
        <w:t>responsibility</w:t>
      </w:r>
      <w:r>
        <w:rPr>
          <w:spacing w:val="16"/>
        </w:rPr>
        <w:t> </w:t>
      </w:r>
      <w:r>
        <w:rPr/>
        <w:t>of</w:t>
      </w:r>
      <w:r>
        <w:rPr>
          <w:spacing w:val="17"/>
        </w:rPr>
        <w:t> </w:t>
      </w:r>
      <w:r>
        <w:rPr/>
        <w:t>every</w:t>
      </w:r>
      <w:r>
        <w:rPr>
          <w:spacing w:val="23"/>
        </w:rPr>
        <w:t> </w:t>
      </w:r>
      <w:r>
        <w:rPr/>
        <w:t>single</w:t>
      </w:r>
      <w:r>
        <w:rPr>
          <w:spacing w:val="15"/>
        </w:rPr>
        <w:t> </w:t>
      </w:r>
      <w:r>
        <w:rPr/>
        <w:t>citizen</w:t>
      </w:r>
      <w:r>
        <w:rPr>
          <w:spacing w:val="18"/>
        </w:rPr>
        <w:t> </w:t>
      </w:r>
      <w:r>
        <w:rPr/>
        <w:t>to</w:t>
      </w:r>
      <w:r>
        <w:rPr>
          <w:spacing w:val="18"/>
        </w:rPr>
        <w:t> </w:t>
      </w:r>
      <w:r>
        <w:rPr/>
        <w:t>stand</w:t>
      </w:r>
      <w:r>
        <w:rPr>
          <w:spacing w:val="16"/>
        </w:rPr>
        <w:t> </w:t>
      </w:r>
      <w:r>
        <w:rPr/>
        <w:t>for</w:t>
      </w:r>
      <w:r>
        <w:rPr>
          <w:spacing w:val="18"/>
        </w:rPr>
        <w:t> </w:t>
      </w:r>
      <w:r>
        <w:rPr/>
        <w:t>proven</w:t>
      </w:r>
    </w:p>
    <w:p>
      <w:pPr>
        <w:spacing w:after="0" w:line="276" w:lineRule="auto"/>
        <w:jc w:val="both"/>
        <w:sectPr>
          <w:pgSz w:w="14270" w:h="16850"/>
          <w:pgMar w:header="0" w:footer="1891" w:top="1600" w:bottom="2080" w:left="800" w:right="1280"/>
        </w:sectPr>
      </w:pPr>
    </w:p>
    <w:p>
      <w:pPr>
        <w:pStyle w:val="BodyText"/>
        <w:spacing w:line="276" w:lineRule="auto" w:before="181"/>
        <w:ind w:left="477" w:right="139"/>
        <w:jc w:val="both"/>
      </w:pPr>
      <w:r>
        <w:rPr/>
        <w:t>(and far more efficient) natural alternatives against which pathogens cannot be immunised, in order to protect themselves and their families!</w:t>
      </w:r>
    </w:p>
    <w:p>
      <w:pPr>
        <w:pStyle w:val="BodyText"/>
        <w:spacing w:before="9"/>
        <w:rPr>
          <w:sz w:val="43"/>
        </w:rPr>
      </w:pPr>
    </w:p>
    <w:p>
      <w:pPr>
        <w:pStyle w:val="BodyText"/>
        <w:spacing w:line="276" w:lineRule="auto"/>
        <w:ind w:left="477" w:right="132"/>
        <w:jc w:val="both"/>
      </w:pPr>
      <w:r>
        <w:rPr/>
        <w:t>Colloidal silver, as well as MMS, grapefruit seed extract and other substances that we discuss in detail in the ‘Codex Humanus’, are among these extremely effective alternatives to antibiotics – unfortunately, conventional medicine and Big</w:t>
      </w:r>
      <w:r>
        <w:rPr>
          <w:spacing w:val="-17"/>
        </w:rPr>
        <w:t> </w:t>
      </w:r>
      <w:r>
        <w:rPr/>
        <w:t>Pharma</w:t>
      </w:r>
      <w:r>
        <w:rPr>
          <w:spacing w:val="-17"/>
        </w:rPr>
        <w:t> </w:t>
      </w:r>
      <w:r>
        <w:rPr/>
        <w:t>have</w:t>
      </w:r>
      <w:r>
        <w:rPr>
          <w:spacing w:val="-16"/>
        </w:rPr>
        <w:t> </w:t>
      </w:r>
      <w:r>
        <w:rPr/>
        <w:t>put</w:t>
      </w:r>
      <w:r>
        <w:rPr>
          <w:spacing w:val="-18"/>
        </w:rPr>
        <w:t> </w:t>
      </w:r>
      <w:r>
        <w:rPr/>
        <w:t>a</w:t>
      </w:r>
      <w:r>
        <w:rPr>
          <w:spacing w:val="-20"/>
        </w:rPr>
        <w:t> </w:t>
      </w:r>
      <w:r>
        <w:rPr/>
        <w:t>great</w:t>
      </w:r>
      <w:r>
        <w:rPr>
          <w:spacing w:val="-17"/>
        </w:rPr>
        <w:t> </w:t>
      </w:r>
      <w:r>
        <w:rPr/>
        <w:t>deal</w:t>
      </w:r>
      <w:r>
        <w:rPr>
          <w:spacing w:val="-20"/>
        </w:rPr>
        <w:t> </w:t>
      </w:r>
      <w:r>
        <w:rPr/>
        <w:t>of</w:t>
      </w:r>
      <w:r>
        <w:rPr>
          <w:spacing w:val="-19"/>
        </w:rPr>
        <w:t> </w:t>
      </w:r>
      <w:r>
        <w:rPr/>
        <w:t>emphasis</w:t>
      </w:r>
      <w:r>
        <w:rPr>
          <w:spacing w:val="-18"/>
        </w:rPr>
        <w:t> </w:t>
      </w:r>
      <w:r>
        <w:rPr/>
        <w:t>on</w:t>
      </w:r>
      <w:r>
        <w:rPr>
          <w:spacing w:val="-20"/>
        </w:rPr>
        <w:t> </w:t>
      </w:r>
      <w:r>
        <w:rPr/>
        <w:t>erasing</w:t>
      </w:r>
      <w:r>
        <w:rPr>
          <w:spacing w:val="-16"/>
        </w:rPr>
        <w:t> </w:t>
      </w:r>
      <w:r>
        <w:rPr/>
        <w:t>these</w:t>
      </w:r>
      <w:r>
        <w:rPr>
          <w:spacing w:val="-19"/>
        </w:rPr>
        <w:t> </w:t>
      </w:r>
      <w:r>
        <w:rPr/>
        <w:t>traditionally</w:t>
      </w:r>
      <w:r>
        <w:rPr>
          <w:spacing w:val="-16"/>
        </w:rPr>
        <w:t> </w:t>
      </w:r>
      <w:r>
        <w:rPr/>
        <w:t>used protective</w:t>
      </w:r>
      <w:r>
        <w:rPr>
          <w:spacing w:val="-16"/>
        </w:rPr>
        <w:t> </w:t>
      </w:r>
      <w:r>
        <w:rPr/>
        <w:t>substances</w:t>
      </w:r>
      <w:r>
        <w:rPr>
          <w:spacing w:val="-13"/>
        </w:rPr>
        <w:t> </w:t>
      </w:r>
      <w:r>
        <w:rPr/>
        <w:t>from</w:t>
      </w:r>
      <w:r>
        <w:rPr>
          <w:spacing w:val="-14"/>
        </w:rPr>
        <w:t> </w:t>
      </w:r>
      <w:r>
        <w:rPr/>
        <w:t>the</w:t>
      </w:r>
      <w:r>
        <w:rPr>
          <w:spacing w:val="-15"/>
        </w:rPr>
        <w:t> </w:t>
      </w:r>
      <w:r>
        <w:rPr/>
        <w:t>memory</w:t>
      </w:r>
      <w:r>
        <w:rPr>
          <w:spacing w:val="-14"/>
        </w:rPr>
        <w:t> </w:t>
      </w:r>
      <w:r>
        <w:rPr/>
        <w:t>of</w:t>
      </w:r>
      <w:r>
        <w:rPr>
          <w:spacing w:val="-14"/>
        </w:rPr>
        <w:t> </w:t>
      </w:r>
      <w:r>
        <w:rPr/>
        <w:t>modern</w:t>
      </w:r>
      <w:r>
        <w:rPr>
          <w:spacing w:val="-14"/>
        </w:rPr>
        <w:t> </w:t>
      </w:r>
      <w:r>
        <w:rPr/>
        <w:t>humanity</w:t>
      </w:r>
      <w:r>
        <w:rPr>
          <w:spacing w:val="-14"/>
        </w:rPr>
        <w:t> </w:t>
      </w:r>
      <w:r>
        <w:rPr/>
        <w:t>for</w:t>
      </w:r>
      <w:r>
        <w:rPr>
          <w:spacing w:val="-13"/>
        </w:rPr>
        <w:t> </w:t>
      </w:r>
      <w:r>
        <w:rPr/>
        <w:t>their</w:t>
      </w:r>
      <w:r>
        <w:rPr>
          <w:spacing w:val="-13"/>
        </w:rPr>
        <w:t> </w:t>
      </w:r>
      <w:r>
        <w:rPr/>
        <w:t>own</w:t>
      </w:r>
      <w:r>
        <w:rPr>
          <w:spacing w:val="-14"/>
        </w:rPr>
        <w:t> </w:t>
      </w:r>
      <w:r>
        <w:rPr/>
        <w:t>ma- terial gain. Specifically, war was declared on these substances at the same time that penicillin was</w:t>
      </w:r>
      <w:r>
        <w:rPr>
          <w:spacing w:val="-1"/>
        </w:rPr>
        <w:t> </w:t>
      </w:r>
      <w:r>
        <w:rPr/>
        <w:t>patented!</w:t>
      </w:r>
    </w:p>
    <w:p>
      <w:pPr>
        <w:pStyle w:val="BodyText"/>
        <w:spacing w:line="276" w:lineRule="auto" w:before="1"/>
        <w:ind w:left="477" w:right="130"/>
        <w:jc w:val="both"/>
      </w:pPr>
      <w:r>
        <w:rPr/>
        <w:t>Colloidal silver is a highly efficient, inexpensive and usually side-effect-free treatment</w:t>
      </w:r>
      <w:r>
        <w:rPr>
          <w:spacing w:val="-8"/>
        </w:rPr>
        <w:t> </w:t>
      </w:r>
      <w:r>
        <w:rPr/>
        <w:t>against</w:t>
      </w:r>
      <w:r>
        <w:rPr>
          <w:spacing w:val="-8"/>
        </w:rPr>
        <w:t> </w:t>
      </w:r>
      <w:r>
        <w:rPr/>
        <w:t>all</w:t>
      </w:r>
      <w:r>
        <w:rPr>
          <w:spacing w:val="-9"/>
        </w:rPr>
        <w:t> </w:t>
      </w:r>
      <w:r>
        <w:rPr/>
        <w:t>parasites,</w:t>
      </w:r>
      <w:r>
        <w:rPr>
          <w:spacing w:val="-7"/>
        </w:rPr>
        <w:t> </w:t>
      </w:r>
      <w:r>
        <w:rPr/>
        <w:t>such</w:t>
      </w:r>
      <w:r>
        <w:rPr>
          <w:spacing w:val="-8"/>
        </w:rPr>
        <w:t> </w:t>
      </w:r>
      <w:r>
        <w:rPr/>
        <w:t>as</w:t>
      </w:r>
      <w:r>
        <w:rPr>
          <w:spacing w:val="-8"/>
        </w:rPr>
        <w:t> </w:t>
      </w:r>
      <w:r>
        <w:rPr/>
        <w:t>bacteria,</w:t>
      </w:r>
      <w:r>
        <w:rPr>
          <w:spacing w:val="-8"/>
        </w:rPr>
        <w:t> </w:t>
      </w:r>
      <w:r>
        <w:rPr/>
        <w:t>viruses,</w:t>
      </w:r>
      <w:r>
        <w:rPr>
          <w:spacing w:val="-7"/>
        </w:rPr>
        <w:t> </w:t>
      </w:r>
      <w:r>
        <w:rPr/>
        <w:t>fungi,</w:t>
      </w:r>
      <w:r>
        <w:rPr>
          <w:spacing w:val="-7"/>
        </w:rPr>
        <w:t> </w:t>
      </w:r>
      <w:r>
        <w:rPr>
          <w:i/>
        </w:rPr>
        <w:t>streptococci</w:t>
      </w:r>
      <w:r>
        <w:rPr>
          <w:i/>
          <w:spacing w:val="-7"/>
        </w:rPr>
        <w:t> </w:t>
      </w:r>
      <w:r>
        <w:rPr>
          <w:i/>
        </w:rPr>
        <w:t>,</w:t>
      </w:r>
      <w:r>
        <w:rPr>
          <w:i/>
          <w:spacing w:val="-9"/>
        </w:rPr>
        <w:t> </w:t>
      </w:r>
      <w:r>
        <w:rPr/>
        <w:t>staph- ylococci and other pathogenic</w:t>
      </w:r>
      <w:r>
        <w:rPr>
          <w:spacing w:val="-3"/>
        </w:rPr>
        <w:t> </w:t>
      </w:r>
      <w:r>
        <w:rPr/>
        <w:t>organisms.</w:t>
      </w:r>
    </w:p>
    <w:p>
      <w:pPr>
        <w:pStyle w:val="BodyText"/>
        <w:spacing w:before="7"/>
        <w:rPr>
          <w:sz w:val="43"/>
        </w:rPr>
      </w:pPr>
    </w:p>
    <w:p>
      <w:pPr>
        <w:pStyle w:val="BodyText"/>
        <w:spacing w:line="276" w:lineRule="auto" w:before="1"/>
        <w:ind w:left="477" w:right="136"/>
        <w:jc w:val="both"/>
      </w:pPr>
      <w:r>
        <w:rPr/>
        <w:t>Colloidal</w:t>
      </w:r>
      <w:r>
        <w:rPr>
          <w:spacing w:val="-25"/>
        </w:rPr>
        <w:t> </w:t>
      </w:r>
      <w:r>
        <w:rPr/>
        <w:t>silver</w:t>
      </w:r>
      <w:r>
        <w:rPr>
          <w:spacing w:val="-23"/>
        </w:rPr>
        <w:t> </w:t>
      </w:r>
      <w:r>
        <w:rPr/>
        <w:t>can</w:t>
      </w:r>
      <w:r>
        <w:rPr>
          <w:spacing w:val="-23"/>
        </w:rPr>
        <w:t> </w:t>
      </w:r>
      <w:r>
        <w:rPr/>
        <w:t>kill</w:t>
      </w:r>
      <w:r>
        <w:rPr>
          <w:spacing w:val="-26"/>
        </w:rPr>
        <w:t> </w:t>
      </w:r>
      <w:r>
        <w:rPr/>
        <w:t>as</w:t>
      </w:r>
      <w:r>
        <w:rPr>
          <w:spacing w:val="-24"/>
        </w:rPr>
        <w:t> </w:t>
      </w:r>
      <w:r>
        <w:rPr/>
        <w:t>many</w:t>
      </w:r>
      <w:r>
        <w:rPr>
          <w:spacing w:val="-24"/>
        </w:rPr>
        <w:t> </w:t>
      </w:r>
      <w:r>
        <w:rPr/>
        <w:t>as</w:t>
      </w:r>
      <w:r>
        <w:rPr>
          <w:spacing w:val="-24"/>
        </w:rPr>
        <w:t> </w:t>
      </w:r>
      <w:r>
        <w:rPr/>
        <w:t>650</w:t>
      </w:r>
      <w:r>
        <w:rPr>
          <w:spacing w:val="-25"/>
        </w:rPr>
        <w:t> </w:t>
      </w:r>
      <w:r>
        <w:rPr/>
        <w:t>pathogens</w:t>
      </w:r>
      <w:r>
        <w:rPr>
          <w:spacing w:val="-25"/>
        </w:rPr>
        <w:t> </w:t>
      </w:r>
      <w:r>
        <w:rPr/>
        <w:t>in</w:t>
      </w:r>
      <w:r>
        <w:rPr>
          <w:spacing w:val="-23"/>
        </w:rPr>
        <w:t> </w:t>
      </w:r>
      <w:r>
        <w:rPr/>
        <w:t>a</w:t>
      </w:r>
      <w:r>
        <w:rPr>
          <w:spacing w:val="-25"/>
        </w:rPr>
        <w:t> </w:t>
      </w:r>
      <w:r>
        <w:rPr/>
        <w:t>record</w:t>
      </w:r>
      <w:r>
        <w:rPr>
          <w:spacing w:val="-23"/>
        </w:rPr>
        <w:t> </w:t>
      </w:r>
      <w:r>
        <w:rPr/>
        <w:t>time</w:t>
      </w:r>
      <w:r>
        <w:rPr>
          <w:spacing w:val="-29"/>
        </w:rPr>
        <w:t> </w:t>
      </w:r>
      <w:r>
        <w:rPr/>
        <w:t>of</w:t>
      </w:r>
      <w:r>
        <w:rPr>
          <w:spacing w:val="-22"/>
        </w:rPr>
        <w:t> </w:t>
      </w:r>
      <w:r>
        <w:rPr/>
        <w:t>six</w:t>
      </w:r>
      <w:r>
        <w:rPr>
          <w:spacing w:val="-24"/>
        </w:rPr>
        <w:t> </w:t>
      </w:r>
      <w:r>
        <w:rPr/>
        <w:t>minutes, and if that's not enough, it also supports our immune system in its</w:t>
      </w:r>
      <w:r>
        <w:rPr>
          <w:spacing w:val="-19"/>
        </w:rPr>
        <w:t> </w:t>
      </w:r>
      <w:r>
        <w:rPr/>
        <w:t>work.</w:t>
      </w:r>
    </w:p>
    <w:p>
      <w:pPr>
        <w:pStyle w:val="BodyText"/>
        <w:spacing w:before="8"/>
        <w:rPr>
          <w:sz w:val="43"/>
        </w:rPr>
      </w:pPr>
    </w:p>
    <w:p>
      <w:pPr>
        <w:pStyle w:val="BodyText"/>
        <w:spacing w:line="276" w:lineRule="auto" w:before="1"/>
        <w:ind w:left="477" w:right="366"/>
        <w:jc w:val="both"/>
      </w:pPr>
      <w:r>
        <w:rPr/>
        <w:t>These are phenomenal facts that are becoming more and more known. Thus, colloidal silver enjoys a steadily growing fan base, which regularly appreciates its antibacterial and antiviral effect...</w:t>
      </w:r>
    </w:p>
    <w:p>
      <w:pPr>
        <w:spacing w:after="0" w:line="276" w:lineRule="auto"/>
        <w:jc w:val="both"/>
        <w:sectPr>
          <w:pgSz w:w="14270" w:h="16850"/>
          <w:pgMar w:header="0" w:footer="1891" w:top="1600" w:bottom="2080" w:left="800" w:right="1280"/>
        </w:sectPr>
      </w:pPr>
    </w:p>
    <w:p>
      <w:pPr>
        <w:pStyle w:val="BodyText"/>
        <w:spacing w:line="276" w:lineRule="auto" w:before="181"/>
        <w:ind w:left="477" w:right="168"/>
      </w:pPr>
      <w:r>
        <w:rPr/>
        <w:t>Far more unknown, however, is another, no less fascinating, effect of colloidal silver, which makes colloidal silver, together with its antibacterial effect, a downright sensational all-rounder:</w:t>
      </w:r>
    </w:p>
    <w:p>
      <w:pPr>
        <w:pStyle w:val="BodyText"/>
        <w:spacing w:before="6"/>
        <w:rPr>
          <w:sz w:val="61"/>
        </w:rPr>
      </w:pPr>
    </w:p>
    <w:p>
      <w:pPr>
        <w:pStyle w:val="BodyText"/>
        <w:spacing w:line="276" w:lineRule="auto"/>
        <w:ind w:left="477" w:right="144"/>
      </w:pPr>
      <w:r>
        <w:rPr/>
        <w:t>According to Dr. Robert O. Becker, a well-known biomedical scientist at Syra- cuse University (USA), silver not only destroys hostile life forms, but also sup- ports the regeneration of vital tissue. And in this case, ‘new formation’ re- quires an almost new definition, even for modern medicine’s level of stem cell research – read more about</w:t>
      </w:r>
      <w:r>
        <w:rPr>
          <w:spacing w:val="3"/>
        </w:rPr>
        <w:t> </w:t>
      </w:r>
      <w:r>
        <w:rPr/>
        <w:t>why...</w:t>
      </w:r>
    </w:p>
    <w:p>
      <w:pPr>
        <w:pStyle w:val="Heading1"/>
        <w:spacing w:before="223"/>
      </w:pPr>
      <w:r>
        <w:rPr>
          <w:w w:val="95"/>
        </w:rPr>
        <w:t>What exactly is colloidal</w:t>
      </w:r>
      <w:r>
        <w:rPr>
          <w:spacing w:val="-13"/>
          <w:w w:val="95"/>
        </w:rPr>
        <w:t> </w:t>
      </w:r>
      <w:r>
        <w:rPr>
          <w:w w:val="95"/>
        </w:rPr>
        <w:t>silver?</w:t>
      </w:r>
    </w:p>
    <w:p>
      <w:pPr>
        <w:pStyle w:val="BodyText"/>
        <w:spacing w:line="276" w:lineRule="auto" w:before="300"/>
        <w:ind w:left="477" w:right="127"/>
        <w:jc w:val="both"/>
      </w:pPr>
      <w:r>
        <w:rPr/>
        <w:t>Before we come to the properties of silver as the second word within the</w:t>
      </w:r>
      <w:r>
        <w:rPr>
          <w:spacing w:val="-39"/>
        </w:rPr>
        <w:t> </w:t>
      </w:r>
      <w:r>
        <w:rPr/>
        <w:t>com- pound</w:t>
      </w:r>
      <w:r>
        <w:rPr>
          <w:spacing w:val="-13"/>
        </w:rPr>
        <w:t> </w:t>
      </w:r>
      <w:r>
        <w:rPr/>
        <w:t>term</w:t>
      </w:r>
      <w:r>
        <w:rPr>
          <w:spacing w:val="-14"/>
        </w:rPr>
        <w:t> </w:t>
      </w:r>
      <w:r>
        <w:rPr/>
        <w:t>‘colloidal</w:t>
      </w:r>
      <w:r>
        <w:rPr>
          <w:spacing w:val="-13"/>
        </w:rPr>
        <w:t> </w:t>
      </w:r>
      <w:r>
        <w:rPr/>
        <w:t>silver’,</w:t>
      </w:r>
      <w:r>
        <w:rPr>
          <w:spacing w:val="-11"/>
        </w:rPr>
        <w:t> </w:t>
      </w:r>
      <w:r>
        <w:rPr/>
        <w:t>we</w:t>
      </w:r>
      <w:r>
        <w:rPr>
          <w:spacing w:val="-16"/>
        </w:rPr>
        <w:t> </w:t>
      </w:r>
      <w:r>
        <w:rPr/>
        <w:t>first</w:t>
      </w:r>
      <w:r>
        <w:rPr>
          <w:spacing w:val="-12"/>
        </w:rPr>
        <w:t> </w:t>
      </w:r>
      <w:r>
        <w:rPr/>
        <w:t>turn</w:t>
      </w:r>
      <w:r>
        <w:rPr>
          <w:spacing w:val="-11"/>
        </w:rPr>
        <w:t> </w:t>
      </w:r>
      <w:r>
        <w:rPr/>
        <w:t>to</w:t>
      </w:r>
      <w:r>
        <w:rPr>
          <w:spacing w:val="-14"/>
        </w:rPr>
        <w:t> </w:t>
      </w:r>
      <w:r>
        <w:rPr/>
        <w:t>the</w:t>
      </w:r>
      <w:r>
        <w:rPr>
          <w:spacing w:val="-14"/>
        </w:rPr>
        <w:t> </w:t>
      </w:r>
      <w:r>
        <w:rPr/>
        <w:t>first</w:t>
      </w:r>
      <w:r>
        <w:rPr>
          <w:spacing w:val="-12"/>
        </w:rPr>
        <w:t> </w:t>
      </w:r>
      <w:r>
        <w:rPr/>
        <w:t>word,</w:t>
      </w:r>
      <w:r>
        <w:rPr>
          <w:spacing w:val="-13"/>
        </w:rPr>
        <w:t> </w:t>
      </w:r>
      <w:r>
        <w:rPr/>
        <w:t>‘colloidal’.</w:t>
      </w:r>
      <w:r>
        <w:rPr>
          <w:spacing w:val="-11"/>
        </w:rPr>
        <w:t> </w:t>
      </w:r>
      <w:r>
        <w:rPr/>
        <w:t>A</w:t>
      </w:r>
      <w:r>
        <w:rPr>
          <w:spacing w:val="-13"/>
        </w:rPr>
        <w:t> </w:t>
      </w:r>
      <w:r>
        <w:rPr/>
        <w:t>colloid is</w:t>
      </w:r>
      <w:r>
        <w:rPr>
          <w:spacing w:val="-13"/>
        </w:rPr>
        <w:t> </w:t>
      </w:r>
      <w:r>
        <w:rPr/>
        <w:t>the</w:t>
      </w:r>
      <w:r>
        <w:rPr>
          <w:spacing w:val="-11"/>
        </w:rPr>
        <w:t> </w:t>
      </w:r>
      <w:r>
        <w:rPr/>
        <w:t>second-smallest</w:t>
      </w:r>
      <w:r>
        <w:rPr>
          <w:spacing w:val="-11"/>
        </w:rPr>
        <w:t> </w:t>
      </w:r>
      <w:r>
        <w:rPr/>
        <w:t>unit</w:t>
      </w:r>
      <w:r>
        <w:rPr>
          <w:spacing w:val="-13"/>
        </w:rPr>
        <w:t> </w:t>
      </w:r>
      <w:r>
        <w:rPr/>
        <w:t>of</w:t>
      </w:r>
      <w:r>
        <w:rPr>
          <w:spacing w:val="-11"/>
        </w:rPr>
        <w:t> </w:t>
      </w:r>
      <w:r>
        <w:rPr/>
        <w:t>matter,</w:t>
      </w:r>
      <w:r>
        <w:rPr>
          <w:spacing w:val="-11"/>
        </w:rPr>
        <w:t> </w:t>
      </w:r>
      <w:r>
        <w:rPr/>
        <w:t>directly</w:t>
      </w:r>
      <w:r>
        <w:rPr>
          <w:spacing w:val="-13"/>
        </w:rPr>
        <w:t> </w:t>
      </w:r>
      <w:r>
        <w:rPr/>
        <w:t>after</w:t>
      </w:r>
      <w:r>
        <w:rPr>
          <w:spacing w:val="-14"/>
        </w:rPr>
        <w:t> </w:t>
      </w:r>
      <w:r>
        <w:rPr/>
        <w:t>the</w:t>
      </w:r>
      <w:r>
        <w:rPr>
          <w:spacing w:val="-11"/>
        </w:rPr>
        <w:t> </w:t>
      </w:r>
      <w:r>
        <w:rPr/>
        <w:t>atom.</w:t>
      </w:r>
      <w:r>
        <w:rPr>
          <w:spacing w:val="-13"/>
        </w:rPr>
        <w:t> </w:t>
      </w:r>
      <w:r>
        <w:rPr/>
        <w:t>It</w:t>
      </w:r>
      <w:r>
        <w:rPr>
          <w:spacing w:val="-12"/>
        </w:rPr>
        <w:t> </w:t>
      </w:r>
      <w:r>
        <w:rPr/>
        <w:t>is</w:t>
      </w:r>
      <w:r>
        <w:rPr>
          <w:spacing w:val="-12"/>
        </w:rPr>
        <w:t> </w:t>
      </w:r>
      <w:r>
        <w:rPr/>
        <w:t>also</w:t>
      </w:r>
      <w:r>
        <w:rPr>
          <w:spacing w:val="-10"/>
        </w:rPr>
        <w:t> </w:t>
      </w:r>
      <w:r>
        <w:rPr/>
        <w:t>the</w:t>
      </w:r>
      <w:r>
        <w:rPr>
          <w:spacing w:val="-13"/>
        </w:rPr>
        <w:t> </w:t>
      </w:r>
      <w:r>
        <w:rPr/>
        <w:t>small- est possible form into which matter (body, material) can be decomposed with- out losing its original properties.</w:t>
      </w:r>
    </w:p>
    <w:p>
      <w:pPr>
        <w:pStyle w:val="BodyText"/>
        <w:spacing w:line="276" w:lineRule="auto" w:before="239"/>
        <w:ind w:left="477" w:right="129"/>
        <w:jc w:val="both"/>
      </w:pPr>
      <w:r>
        <w:rPr/>
        <w:t>In</w:t>
      </w:r>
      <w:r>
        <w:rPr>
          <w:spacing w:val="-11"/>
        </w:rPr>
        <w:t> </w:t>
      </w:r>
      <w:r>
        <w:rPr/>
        <w:t>this</w:t>
      </w:r>
      <w:r>
        <w:rPr>
          <w:spacing w:val="-11"/>
        </w:rPr>
        <w:t> </w:t>
      </w:r>
      <w:r>
        <w:rPr/>
        <w:t>microscopically</w:t>
      </w:r>
      <w:r>
        <w:rPr>
          <w:spacing w:val="-11"/>
        </w:rPr>
        <w:t> </w:t>
      </w:r>
      <w:r>
        <w:rPr/>
        <w:t>small</w:t>
      </w:r>
      <w:r>
        <w:rPr>
          <w:spacing w:val="-12"/>
        </w:rPr>
        <w:t> </w:t>
      </w:r>
      <w:r>
        <w:rPr/>
        <w:t>yet</w:t>
      </w:r>
      <w:r>
        <w:rPr>
          <w:spacing w:val="-9"/>
        </w:rPr>
        <w:t> </w:t>
      </w:r>
      <w:r>
        <w:rPr/>
        <w:t>fully</w:t>
      </w:r>
      <w:r>
        <w:rPr>
          <w:spacing w:val="-12"/>
        </w:rPr>
        <w:t> </w:t>
      </w:r>
      <w:r>
        <w:rPr/>
        <w:t>functional</w:t>
      </w:r>
      <w:r>
        <w:rPr>
          <w:spacing w:val="-13"/>
        </w:rPr>
        <w:t> </w:t>
      </w:r>
      <w:r>
        <w:rPr/>
        <w:t>form,</w:t>
      </w:r>
      <w:r>
        <w:rPr>
          <w:spacing w:val="-10"/>
        </w:rPr>
        <w:t> </w:t>
      </w:r>
      <w:r>
        <w:rPr/>
        <w:t>silver</w:t>
      </w:r>
      <w:r>
        <w:rPr>
          <w:spacing w:val="-11"/>
        </w:rPr>
        <w:t> </w:t>
      </w:r>
      <w:r>
        <w:rPr/>
        <w:t>is</w:t>
      </w:r>
      <w:r>
        <w:rPr>
          <w:spacing w:val="-12"/>
        </w:rPr>
        <w:t> </w:t>
      </w:r>
      <w:r>
        <w:rPr/>
        <w:t>able</w:t>
      </w:r>
      <w:r>
        <w:rPr>
          <w:spacing w:val="-11"/>
        </w:rPr>
        <w:t> </w:t>
      </w:r>
      <w:r>
        <w:rPr/>
        <w:t>to</w:t>
      </w:r>
      <w:r>
        <w:rPr>
          <w:spacing w:val="-10"/>
        </w:rPr>
        <w:t> </w:t>
      </w:r>
      <w:r>
        <w:rPr/>
        <w:t>penetrate into the most remote cells of our bodies to achieve the desired effect; the</w:t>
      </w:r>
      <w:r>
        <w:rPr>
          <w:spacing w:val="-44"/>
        </w:rPr>
        <w:t> </w:t>
      </w:r>
      <w:r>
        <w:rPr/>
        <w:t>elim- ination of all body damaging parasites, bacteria, viruses and</w:t>
      </w:r>
      <w:r>
        <w:rPr>
          <w:spacing w:val="-5"/>
        </w:rPr>
        <w:t> </w:t>
      </w:r>
      <w:r>
        <w:rPr/>
        <w:t>fungi.</w:t>
      </w:r>
    </w:p>
    <w:p>
      <w:pPr>
        <w:pStyle w:val="BodyText"/>
        <w:spacing w:line="276" w:lineRule="auto" w:before="242"/>
        <w:ind w:left="477" w:right="135"/>
        <w:jc w:val="both"/>
      </w:pPr>
      <w:r>
        <w:rPr/>
        <w:t>Another advantage of this extreme comminution is that it increases the overall surface area of the silver particles many times, which in turn means that much of the surface of the inside of the body can be covered with it.</w:t>
      </w:r>
    </w:p>
    <w:p>
      <w:pPr>
        <w:spacing w:after="0" w:line="276" w:lineRule="auto"/>
        <w:jc w:val="both"/>
        <w:sectPr>
          <w:pgSz w:w="14270" w:h="16850"/>
          <w:pgMar w:header="0" w:footer="1891" w:top="1600" w:bottom="2080" w:left="800" w:right="1280"/>
        </w:sectPr>
      </w:pPr>
    </w:p>
    <w:p>
      <w:pPr>
        <w:pStyle w:val="BodyText"/>
        <w:spacing w:line="410" w:lineRule="auto" w:before="181"/>
        <w:ind w:left="477" w:right="6832"/>
      </w:pPr>
      <w:r>
        <w:rPr/>
        <w:t>This explains the term ‘colloidal’. But what about silver?</w:t>
      </w: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spacing w:before="3"/>
        <w:rPr>
          <w:sz w:val="50"/>
        </w:rPr>
      </w:pPr>
    </w:p>
    <w:p>
      <w:pPr>
        <w:pStyle w:val="Heading2"/>
        <w:spacing w:before="1"/>
      </w:pPr>
      <w:r>
        <w:rPr/>
        <w:t>Effect of colloidal silver</w:t>
      </w:r>
    </w:p>
    <w:p>
      <w:pPr>
        <w:pStyle w:val="BodyText"/>
        <w:spacing w:line="276" w:lineRule="auto" w:before="304"/>
        <w:ind w:left="477" w:right="135"/>
        <w:jc w:val="both"/>
      </w:pPr>
      <w:r>
        <w:rPr/>
        <w:t>The</w:t>
      </w:r>
      <w:r>
        <w:rPr>
          <w:spacing w:val="-19"/>
        </w:rPr>
        <w:t> </w:t>
      </w:r>
      <w:r>
        <w:rPr/>
        <w:t>exact</w:t>
      </w:r>
      <w:r>
        <w:rPr>
          <w:spacing w:val="-19"/>
        </w:rPr>
        <w:t> </w:t>
      </w:r>
      <w:r>
        <w:rPr/>
        <w:t>mechanisms</w:t>
      </w:r>
      <w:r>
        <w:rPr>
          <w:spacing w:val="-19"/>
        </w:rPr>
        <w:t> </w:t>
      </w:r>
      <w:r>
        <w:rPr/>
        <w:t>of</w:t>
      </w:r>
      <w:r>
        <w:rPr>
          <w:spacing w:val="-19"/>
        </w:rPr>
        <w:t> </w:t>
      </w:r>
      <w:r>
        <w:rPr/>
        <w:t>action</w:t>
      </w:r>
      <w:r>
        <w:rPr>
          <w:spacing w:val="-22"/>
        </w:rPr>
        <w:t> </w:t>
      </w:r>
      <w:r>
        <w:rPr/>
        <w:t>of</w:t>
      </w:r>
      <w:r>
        <w:rPr>
          <w:spacing w:val="-19"/>
        </w:rPr>
        <w:t> </w:t>
      </w:r>
      <w:r>
        <w:rPr/>
        <w:t>colloidal</w:t>
      </w:r>
      <w:r>
        <w:rPr>
          <w:spacing w:val="-20"/>
        </w:rPr>
        <w:t> </w:t>
      </w:r>
      <w:r>
        <w:rPr/>
        <w:t>silver</w:t>
      </w:r>
      <w:r>
        <w:rPr>
          <w:spacing w:val="-18"/>
        </w:rPr>
        <w:t> </w:t>
      </w:r>
      <w:r>
        <w:rPr/>
        <w:t>have</w:t>
      </w:r>
      <w:r>
        <w:rPr>
          <w:spacing w:val="-19"/>
        </w:rPr>
        <w:t> </w:t>
      </w:r>
      <w:r>
        <w:rPr/>
        <w:t>not</w:t>
      </w:r>
      <w:r>
        <w:rPr>
          <w:spacing w:val="-22"/>
        </w:rPr>
        <w:t> </w:t>
      </w:r>
      <w:r>
        <w:rPr/>
        <w:t>yet</w:t>
      </w:r>
      <w:r>
        <w:rPr>
          <w:spacing w:val="-19"/>
        </w:rPr>
        <w:t> </w:t>
      </w:r>
      <w:r>
        <w:rPr/>
        <w:t>been</w:t>
      </w:r>
      <w:r>
        <w:rPr>
          <w:spacing w:val="-19"/>
        </w:rPr>
        <w:t> </w:t>
      </w:r>
      <w:r>
        <w:rPr/>
        <w:t>definitively clarified. A magnetic field of the silver atom group is believed to form around the silver particles and cause their amazing</w:t>
      </w:r>
      <w:r>
        <w:rPr>
          <w:spacing w:val="2"/>
        </w:rPr>
        <w:t> </w:t>
      </w:r>
      <w:r>
        <w:rPr/>
        <w:t>effect.</w:t>
      </w:r>
    </w:p>
    <w:p>
      <w:pPr>
        <w:pStyle w:val="BodyText"/>
        <w:spacing w:line="276" w:lineRule="auto" w:before="242"/>
        <w:ind w:left="477" w:right="136"/>
        <w:jc w:val="both"/>
      </w:pPr>
      <w:r>
        <w:rPr/>
        <w:t>In colloidal silver water, the so-called ‘Brownian motion’</w:t>
      </w:r>
      <w:r>
        <w:rPr>
          <w:i/>
        </w:rPr>
        <w:t>, </w:t>
      </w:r>
      <w:r>
        <w:rPr/>
        <w:t>i.e. a collective mag- netic field is generated, the electrical negative polarisation of which has a dis- ruptive effect on pathogens.</w:t>
      </w:r>
    </w:p>
    <w:p>
      <w:pPr>
        <w:pStyle w:val="BodyText"/>
        <w:spacing w:line="276" w:lineRule="auto" w:before="238"/>
        <w:ind w:left="477" w:right="133"/>
        <w:jc w:val="both"/>
      </w:pPr>
      <w:r>
        <w:rPr/>
        <w:t>This negative polarisation destroys enzymes that are responsible for oxygen production</w:t>
      </w:r>
      <w:r>
        <w:rPr>
          <w:spacing w:val="-21"/>
        </w:rPr>
        <w:t> </w:t>
      </w:r>
      <w:r>
        <w:rPr/>
        <w:t>in</w:t>
      </w:r>
      <w:r>
        <w:rPr>
          <w:spacing w:val="-22"/>
        </w:rPr>
        <w:t> </w:t>
      </w:r>
      <w:r>
        <w:rPr/>
        <w:t>unicellular</w:t>
      </w:r>
      <w:r>
        <w:rPr>
          <w:spacing w:val="-21"/>
        </w:rPr>
        <w:t> </w:t>
      </w:r>
      <w:r>
        <w:rPr/>
        <w:t>pathogens,</w:t>
      </w:r>
      <w:r>
        <w:rPr>
          <w:spacing w:val="-21"/>
        </w:rPr>
        <w:t> </w:t>
      </w:r>
      <w:r>
        <w:rPr/>
        <w:t>such</w:t>
      </w:r>
      <w:r>
        <w:rPr>
          <w:spacing w:val="-21"/>
        </w:rPr>
        <w:t> </w:t>
      </w:r>
      <w:r>
        <w:rPr/>
        <w:t>as</w:t>
      </w:r>
      <w:r>
        <w:rPr>
          <w:spacing w:val="-22"/>
        </w:rPr>
        <w:t> </w:t>
      </w:r>
      <w:r>
        <w:rPr/>
        <w:t>bacteria,</w:t>
      </w:r>
      <w:r>
        <w:rPr>
          <w:spacing w:val="-22"/>
        </w:rPr>
        <w:t> </w:t>
      </w:r>
      <w:r>
        <w:rPr/>
        <w:t>fungi</w:t>
      </w:r>
      <w:r>
        <w:rPr>
          <w:spacing w:val="-22"/>
        </w:rPr>
        <w:t> </w:t>
      </w:r>
      <w:r>
        <w:rPr/>
        <w:t>and</w:t>
      </w:r>
      <w:r>
        <w:rPr>
          <w:spacing w:val="-21"/>
        </w:rPr>
        <w:t> </w:t>
      </w:r>
      <w:r>
        <w:rPr/>
        <w:t>viruses.</w:t>
      </w:r>
      <w:r>
        <w:rPr>
          <w:spacing w:val="-22"/>
        </w:rPr>
        <w:t> </w:t>
      </w:r>
      <w:r>
        <w:rPr/>
        <w:t>Because the respiratory chain of these parasites is broken, they suffocate within a few minutes.</w:t>
      </w:r>
    </w:p>
    <w:p>
      <w:pPr>
        <w:pStyle w:val="BodyText"/>
        <w:spacing w:line="276" w:lineRule="auto" w:before="242"/>
        <w:ind w:left="477" w:right="132"/>
        <w:jc w:val="both"/>
      </w:pPr>
      <w:r>
        <w:rPr/>
        <w:t>Furthermore, the use of colloidal silver clearly benefits our immune system, which in turn can effectively fight against pathogens.</w:t>
      </w:r>
    </w:p>
    <w:p>
      <w:pPr>
        <w:spacing w:after="0" w:line="276" w:lineRule="auto"/>
        <w:jc w:val="both"/>
        <w:sectPr>
          <w:pgSz w:w="14270" w:h="16850"/>
          <w:pgMar w:header="0" w:footer="1891" w:top="1600" w:bottom="2080" w:left="800" w:right="1280"/>
        </w:sectPr>
      </w:pPr>
    </w:p>
    <w:p>
      <w:pPr>
        <w:pStyle w:val="BodyText"/>
        <w:spacing w:line="276" w:lineRule="auto" w:before="181"/>
        <w:ind w:left="477" w:right="139"/>
        <w:jc w:val="both"/>
      </w:pPr>
      <w:r>
        <w:rPr/>
        <w:t>The antibacterial, antiviral and antifungal effects of colloidal silver have been known for millennia. In the 19th century, it was used as a standard treatment and its effect has recently been officially confirmed at the University of Los Angeles Medical School.</w:t>
      </w:r>
    </w:p>
    <w:p>
      <w:pPr>
        <w:pStyle w:val="BodyText"/>
        <w:spacing w:line="276" w:lineRule="auto" w:before="242"/>
        <w:ind w:left="477" w:right="138"/>
        <w:jc w:val="both"/>
      </w:pPr>
      <w:r>
        <w:rPr/>
        <w:t>These following sections are dedicated to providing in-depth information on ‘Colloidal silver’ and are intended to provide answers to all of your questions.</w:t>
      </w:r>
    </w:p>
    <w:p>
      <w:pPr>
        <w:pStyle w:val="BodyText"/>
        <w:rPr>
          <w:sz w:val="42"/>
        </w:rPr>
      </w:pPr>
    </w:p>
    <w:p>
      <w:pPr>
        <w:pStyle w:val="BodyText"/>
        <w:rPr>
          <w:sz w:val="42"/>
        </w:rPr>
      </w:pPr>
    </w:p>
    <w:p>
      <w:pPr>
        <w:pStyle w:val="BodyText"/>
        <w:rPr>
          <w:sz w:val="42"/>
        </w:rPr>
      </w:pPr>
    </w:p>
    <w:p>
      <w:pPr>
        <w:spacing w:before="285"/>
        <w:ind w:left="477" w:right="0" w:firstLine="0"/>
        <w:jc w:val="left"/>
        <w:rPr>
          <w:i/>
          <w:sz w:val="38"/>
        </w:rPr>
      </w:pPr>
      <w:r>
        <w:rPr>
          <w:i/>
          <w:sz w:val="38"/>
        </w:rPr>
        <w:t>History of colloidal silver</w:t>
      </w:r>
    </w:p>
    <w:p>
      <w:pPr>
        <w:pStyle w:val="BodyText"/>
        <w:spacing w:line="276" w:lineRule="auto" w:before="305"/>
        <w:ind w:left="477" w:right="140"/>
        <w:jc w:val="both"/>
      </w:pPr>
      <w:r>
        <w:rPr/>
        <w:t>According to ancient scriptures, silver was used for healing many thousands of years ago in ancient Egypt and later in Greece, Rome, Persia, India and China.</w:t>
      </w:r>
    </w:p>
    <w:p>
      <w:pPr>
        <w:pStyle w:val="BodyText"/>
        <w:spacing w:line="276" w:lineRule="auto" w:before="239"/>
        <w:ind w:left="477" w:right="136"/>
        <w:jc w:val="both"/>
      </w:pPr>
      <w:r>
        <w:rPr/>
        <w:t>Paracelsus used silver to expel toxic mercury from the body, and St. Hildegard of Bingen described the healing advantages of silver in diseases such as cough- ing and congestion. The use of silver for healing purposes has a long tradition, and</w:t>
      </w:r>
      <w:r>
        <w:rPr>
          <w:spacing w:val="-15"/>
        </w:rPr>
        <w:t> </w:t>
      </w:r>
      <w:r>
        <w:rPr/>
        <w:t>crushed</w:t>
      </w:r>
      <w:r>
        <w:rPr>
          <w:spacing w:val="-13"/>
        </w:rPr>
        <w:t> </w:t>
      </w:r>
      <w:r>
        <w:rPr/>
        <w:t>silver</w:t>
      </w:r>
      <w:r>
        <w:rPr>
          <w:spacing w:val="-14"/>
        </w:rPr>
        <w:t> </w:t>
      </w:r>
      <w:r>
        <w:rPr/>
        <w:t>has</w:t>
      </w:r>
      <w:r>
        <w:rPr>
          <w:spacing w:val="-13"/>
        </w:rPr>
        <w:t> </w:t>
      </w:r>
      <w:r>
        <w:rPr/>
        <w:t>been</w:t>
      </w:r>
      <w:r>
        <w:rPr>
          <w:spacing w:val="-15"/>
        </w:rPr>
        <w:t> </w:t>
      </w:r>
      <w:r>
        <w:rPr/>
        <w:t>used</w:t>
      </w:r>
      <w:r>
        <w:rPr>
          <w:spacing w:val="-14"/>
        </w:rPr>
        <w:t> </w:t>
      </w:r>
      <w:r>
        <w:rPr/>
        <w:t>with</w:t>
      </w:r>
      <w:r>
        <w:rPr>
          <w:spacing w:val="-14"/>
        </w:rPr>
        <w:t> </w:t>
      </w:r>
      <w:r>
        <w:rPr/>
        <w:t>all</w:t>
      </w:r>
      <w:r>
        <w:rPr>
          <w:spacing w:val="-17"/>
        </w:rPr>
        <w:t> </w:t>
      </w:r>
      <w:r>
        <w:rPr/>
        <w:t>sorts</w:t>
      </w:r>
      <w:r>
        <w:rPr>
          <w:spacing w:val="-13"/>
        </w:rPr>
        <w:t> </w:t>
      </w:r>
      <w:r>
        <w:rPr/>
        <w:t>of</w:t>
      </w:r>
      <w:r>
        <w:rPr>
          <w:spacing w:val="-17"/>
        </w:rPr>
        <w:t> </w:t>
      </w:r>
      <w:r>
        <w:rPr/>
        <w:t>medicinal</w:t>
      </w:r>
      <w:r>
        <w:rPr>
          <w:spacing w:val="-14"/>
        </w:rPr>
        <w:t> </w:t>
      </w:r>
      <w:r>
        <w:rPr/>
        <w:t>plants</w:t>
      </w:r>
      <w:r>
        <w:rPr>
          <w:spacing w:val="-11"/>
        </w:rPr>
        <w:t> </w:t>
      </w:r>
      <w:r>
        <w:rPr/>
        <w:t>against</w:t>
      </w:r>
      <w:r>
        <w:rPr>
          <w:spacing w:val="-15"/>
        </w:rPr>
        <w:t> </w:t>
      </w:r>
      <w:r>
        <w:rPr/>
        <w:t>rabies and other diseases. For a long time, before refrigerators were available, silver coins were put into milk for preservation purposes in order to prevent the de- velopment of fermentation</w:t>
      </w:r>
      <w:r>
        <w:rPr>
          <w:spacing w:val="-1"/>
        </w:rPr>
        <w:t> </w:t>
      </w:r>
      <w:r>
        <w:rPr/>
        <w:t>bacteria.</w:t>
      </w:r>
    </w:p>
    <w:p>
      <w:pPr>
        <w:pStyle w:val="BodyText"/>
        <w:spacing w:line="276" w:lineRule="auto" w:before="240"/>
        <w:ind w:left="477" w:right="132"/>
        <w:jc w:val="both"/>
      </w:pPr>
      <w:r>
        <w:rPr/>
        <w:t>Ayurvedic medicine has used colloidal silver in combination with ashes against inflammation, liver complaints and for the purpose of rejuvenation.</w:t>
      </w:r>
    </w:p>
    <w:p>
      <w:pPr>
        <w:spacing w:after="0" w:line="276" w:lineRule="auto"/>
        <w:jc w:val="both"/>
        <w:sectPr>
          <w:footerReference w:type="default" r:id="rId176"/>
          <w:pgSz w:w="14270" w:h="16850"/>
          <w:pgMar w:footer="1891" w:header="0" w:top="1600" w:bottom="2080" w:left="800" w:right="1280"/>
          <w:pgNumType w:start="690"/>
        </w:sectPr>
      </w:pPr>
    </w:p>
    <w:p>
      <w:pPr>
        <w:pStyle w:val="BodyText"/>
        <w:spacing w:line="276" w:lineRule="auto" w:before="181"/>
        <w:ind w:left="477" w:right="133"/>
        <w:jc w:val="both"/>
      </w:pPr>
      <w:r>
        <w:rPr/>
        <w:t>It</w:t>
      </w:r>
      <w:r>
        <w:rPr>
          <w:spacing w:val="-9"/>
        </w:rPr>
        <w:t> </w:t>
      </w:r>
      <w:r>
        <w:rPr/>
        <w:t>has</w:t>
      </w:r>
      <w:r>
        <w:rPr>
          <w:spacing w:val="-8"/>
        </w:rPr>
        <w:t> </w:t>
      </w:r>
      <w:r>
        <w:rPr/>
        <w:t>been</w:t>
      </w:r>
      <w:r>
        <w:rPr>
          <w:spacing w:val="-7"/>
        </w:rPr>
        <w:t> </w:t>
      </w:r>
      <w:r>
        <w:rPr/>
        <w:t>known</w:t>
      </w:r>
      <w:r>
        <w:rPr>
          <w:spacing w:val="-8"/>
        </w:rPr>
        <w:t> </w:t>
      </w:r>
      <w:r>
        <w:rPr/>
        <w:t>for</w:t>
      </w:r>
      <w:r>
        <w:rPr>
          <w:spacing w:val="-7"/>
        </w:rPr>
        <w:t> </w:t>
      </w:r>
      <w:r>
        <w:rPr/>
        <w:t>3,000</w:t>
      </w:r>
      <w:r>
        <w:rPr>
          <w:spacing w:val="-8"/>
        </w:rPr>
        <w:t> </w:t>
      </w:r>
      <w:r>
        <w:rPr/>
        <w:t>years</w:t>
      </w:r>
      <w:r>
        <w:rPr>
          <w:spacing w:val="-7"/>
        </w:rPr>
        <w:t> </w:t>
      </w:r>
      <w:r>
        <w:rPr/>
        <w:t>that</w:t>
      </w:r>
      <w:r>
        <w:rPr>
          <w:spacing w:val="-8"/>
        </w:rPr>
        <w:t> </w:t>
      </w:r>
      <w:r>
        <w:rPr/>
        <w:t>water</w:t>
      </w:r>
      <w:r>
        <w:rPr>
          <w:spacing w:val="-7"/>
        </w:rPr>
        <w:t> </w:t>
      </w:r>
      <w:r>
        <w:rPr/>
        <w:t>in</w:t>
      </w:r>
      <w:r>
        <w:rPr>
          <w:spacing w:val="-8"/>
        </w:rPr>
        <w:t> </w:t>
      </w:r>
      <w:r>
        <w:rPr/>
        <w:t>silver</w:t>
      </w:r>
      <w:r>
        <w:rPr>
          <w:spacing w:val="-8"/>
        </w:rPr>
        <w:t> </w:t>
      </w:r>
      <w:r>
        <w:rPr/>
        <w:t>vessels</w:t>
      </w:r>
      <w:r>
        <w:rPr>
          <w:spacing w:val="-7"/>
        </w:rPr>
        <w:t> </w:t>
      </w:r>
      <w:r>
        <w:rPr/>
        <w:t>lasts</w:t>
      </w:r>
      <w:r>
        <w:rPr>
          <w:spacing w:val="-8"/>
        </w:rPr>
        <w:t> </w:t>
      </w:r>
      <w:r>
        <w:rPr/>
        <w:t>much</w:t>
      </w:r>
      <w:r>
        <w:rPr>
          <w:spacing w:val="-8"/>
        </w:rPr>
        <w:t> </w:t>
      </w:r>
      <w:r>
        <w:rPr/>
        <w:t>longer. In the 19th century, colloidal silver was a standard treatment in</w:t>
      </w:r>
      <w:r>
        <w:rPr>
          <w:spacing w:val="-6"/>
        </w:rPr>
        <w:t> </w:t>
      </w:r>
      <w:r>
        <w:rPr/>
        <w:t>medicine.</w:t>
      </w:r>
    </w:p>
    <w:p>
      <w:pPr>
        <w:spacing w:line="276" w:lineRule="auto" w:before="241"/>
        <w:ind w:left="477" w:right="135" w:firstLine="0"/>
        <w:jc w:val="both"/>
        <w:rPr>
          <w:sz w:val="38"/>
        </w:rPr>
      </w:pPr>
      <w:r>
        <w:rPr>
          <w:sz w:val="38"/>
        </w:rPr>
        <w:t>The first modern scientific research on colloidal silver as a remedy was con- ducted at the beginning of the 20th century. The scientific press, including the </w:t>
      </w:r>
      <w:r>
        <w:rPr>
          <w:i/>
          <w:sz w:val="38"/>
        </w:rPr>
        <w:t>British Medical Journal</w:t>
      </w:r>
      <w:r>
        <w:rPr>
          <w:sz w:val="38"/>
        </w:rPr>
        <w:t>, the </w:t>
      </w:r>
      <w:r>
        <w:rPr>
          <w:i/>
          <w:sz w:val="38"/>
        </w:rPr>
        <w:t>Lancet </w:t>
      </w:r>
      <w:r>
        <w:rPr>
          <w:sz w:val="38"/>
        </w:rPr>
        <w:t>or the </w:t>
      </w:r>
      <w:r>
        <w:rPr>
          <w:i/>
          <w:sz w:val="38"/>
        </w:rPr>
        <w:t>Journal of the American Medical Association</w:t>
      </w:r>
      <w:r>
        <w:rPr>
          <w:sz w:val="38"/>
        </w:rPr>
        <w:t>, responded with enthusiasm. No one reckoned with the resistance of Big Pharma.</w:t>
      </w:r>
    </w:p>
    <w:p>
      <w:pPr>
        <w:pStyle w:val="BodyText"/>
        <w:spacing w:line="276" w:lineRule="auto" w:before="240"/>
        <w:ind w:left="477" w:right="133"/>
        <w:jc w:val="both"/>
      </w:pPr>
      <w:r>
        <w:rPr/>
        <w:t>It had just discovered antibiotics and patented penicillin. In addition, since the customary</w:t>
      </w:r>
      <w:r>
        <w:rPr>
          <w:spacing w:val="-15"/>
        </w:rPr>
        <w:t> </w:t>
      </w:r>
      <w:r>
        <w:rPr/>
        <w:t>production</w:t>
      </w:r>
      <w:r>
        <w:rPr>
          <w:spacing w:val="-13"/>
        </w:rPr>
        <w:t> </w:t>
      </w:r>
      <w:r>
        <w:rPr/>
        <w:t>of</w:t>
      </w:r>
      <w:r>
        <w:rPr>
          <w:spacing w:val="-14"/>
        </w:rPr>
        <w:t> </w:t>
      </w:r>
      <w:r>
        <w:rPr/>
        <w:t>colloidal</w:t>
      </w:r>
      <w:r>
        <w:rPr>
          <w:spacing w:val="-16"/>
        </w:rPr>
        <w:t> </w:t>
      </w:r>
      <w:r>
        <w:rPr/>
        <w:t>silver</w:t>
      </w:r>
      <w:r>
        <w:rPr>
          <w:spacing w:val="-13"/>
        </w:rPr>
        <w:t> </w:t>
      </w:r>
      <w:r>
        <w:rPr/>
        <w:t>was</w:t>
      </w:r>
      <w:r>
        <w:rPr>
          <w:spacing w:val="-13"/>
        </w:rPr>
        <w:t> </w:t>
      </w:r>
      <w:r>
        <w:rPr/>
        <w:t>very</w:t>
      </w:r>
      <w:r>
        <w:rPr>
          <w:spacing w:val="-11"/>
        </w:rPr>
        <w:t> </w:t>
      </w:r>
      <w:r>
        <w:rPr/>
        <w:t>expensive</w:t>
      </w:r>
      <w:r>
        <w:rPr>
          <w:spacing w:val="-14"/>
        </w:rPr>
        <w:t> </w:t>
      </w:r>
      <w:r>
        <w:rPr/>
        <w:t>at</w:t>
      </w:r>
      <w:r>
        <w:rPr>
          <w:spacing w:val="-15"/>
        </w:rPr>
        <w:t> </w:t>
      </w:r>
      <w:r>
        <w:rPr/>
        <w:t>that</w:t>
      </w:r>
      <w:r>
        <w:rPr>
          <w:spacing w:val="-14"/>
        </w:rPr>
        <w:t> </w:t>
      </w:r>
      <w:r>
        <w:rPr/>
        <w:t>time,</w:t>
      </w:r>
      <w:r>
        <w:rPr>
          <w:spacing w:val="-13"/>
        </w:rPr>
        <w:t> </w:t>
      </w:r>
      <w:r>
        <w:rPr/>
        <w:t>people turned away from it and turned to penicillin, with the misconception that they were turning to a more advanced and thus better method of bacterial destruc- tion.</w:t>
      </w:r>
    </w:p>
    <w:p>
      <w:pPr>
        <w:pStyle w:val="BodyText"/>
        <w:spacing w:line="276" w:lineRule="auto" w:before="240"/>
        <w:ind w:left="477" w:right="136"/>
        <w:jc w:val="both"/>
      </w:pPr>
      <w:r>
        <w:rPr/>
        <w:t>Colloidal</w:t>
      </w:r>
      <w:r>
        <w:rPr>
          <w:spacing w:val="-12"/>
        </w:rPr>
        <w:t> </w:t>
      </w:r>
      <w:r>
        <w:rPr/>
        <w:t>silver</w:t>
      </w:r>
      <w:r>
        <w:rPr>
          <w:spacing w:val="-12"/>
        </w:rPr>
        <w:t> </w:t>
      </w:r>
      <w:r>
        <w:rPr/>
        <w:t>has</w:t>
      </w:r>
      <w:r>
        <w:rPr>
          <w:spacing w:val="-10"/>
        </w:rPr>
        <w:t> </w:t>
      </w:r>
      <w:r>
        <w:rPr/>
        <w:t>been</w:t>
      </w:r>
      <w:r>
        <w:rPr>
          <w:spacing w:val="-13"/>
        </w:rPr>
        <w:t> </w:t>
      </w:r>
      <w:r>
        <w:rPr/>
        <w:t>forgotten;</w:t>
      </w:r>
      <w:r>
        <w:rPr>
          <w:spacing w:val="-12"/>
        </w:rPr>
        <w:t> </w:t>
      </w:r>
      <w:r>
        <w:rPr/>
        <w:t>synthetic</w:t>
      </w:r>
      <w:r>
        <w:rPr>
          <w:spacing w:val="-10"/>
        </w:rPr>
        <w:t> </w:t>
      </w:r>
      <w:r>
        <w:rPr/>
        <w:t>drugs</w:t>
      </w:r>
      <w:r>
        <w:rPr>
          <w:spacing w:val="-10"/>
        </w:rPr>
        <w:t> </w:t>
      </w:r>
      <w:r>
        <w:rPr/>
        <w:t>have</w:t>
      </w:r>
      <w:r>
        <w:rPr>
          <w:spacing w:val="-14"/>
        </w:rPr>
        <w:t> </w:t>
      </w:r>
      <w:r>
        <w:rPr/>
        <w:t>taken</w:t>
      </w:r>
      <w:r>
        <w:rPr>
          <w:spacing w:val="-10"/>
        </w:rPr>
        <w:t> </w:t>
      </w:r>
      <w:r>
        <w:rPr/>
        <w:t>over</w:t>
      </w:r>
      <w:r>
        <w:rPr>
          <w:spacing w:val="-10"/>
        </w:rPr>
        <w:t> </w:t>
      </w:r>
      <w:r>
        <w:rPr/>
        <w:t>and</w:t>
      </w:r>
      <w:r>
        <w:rPr>
          <w:spacing w:val="-13"/>
        </w:rPr>
        <w:t> </w:t>
      </w:r>
      <w:r>
        <w:rPr/>
        <w:t>pushed it out of the market.</w:t>
      </w:r>
    </w:p>
    <w:p>
      <w:pPr>
        <w:pStyle w:val="BodyText"/>
        <w:spacing w:line="276" w:lineRule="auto" w:before="241"/>
        <w:ind w:left="477" w:right="133"/>
        <w:jc w:val="both"/>
      </w:pPr>
      <w:r>
        <w:rPr/>
        <w:t>To</w:t>
      </w:r>
      <w:r>
        <w:rPr>
          <w:spacing w:val="-19"/>
        </w:rPr>
        <w:t> </w:t>
      </w:r>
      <w:r>
        <w:rPr/>
        <w:t>this</w:t>
      </w:r>
      <w:r>
        <w:rPr>
          <w:spacing w:val="-18"/>
        </w:rPr>
        <w:t> </w:t>
      </w:r>
      <w:r>
        <w:rPr/>
        <w:t>day,</w:t>
      </w:r>
      <w:r>
        <w:rPr>
          <w:spacing w:val="-18"/>
        </w:rPr>
        <w:t> </w:t>
      </w:r>
      <w:r>
        <w:rPr/>
        <w:t>colloidal</w:t>
      </w:r>
      <w:r>
        <w:rPr>
          <w:spacing w:val="-19"/>
        </w:rPr>
        <w:t> </w:t>
      </w:r>
      <w:r>
        <w:rPr/>
        <w:t>silver</w:t>
      </w:r>
      <w:r>
        <w:rPr>
          <w:spacing w:val="-18"/>
        </w:rPr>
        <w:t> </w:t>
      </w:r>
      <w:r>
        <w:rPr/>
        <w:t>has</w:t>
      </w:r>
      <w:r>
        <w:rPr>
          <w:spacing w:val="-18"/>
        </w:rPr>
        <w:t> </w:t>
      </w:r>
      <w:r>
        <w:rPr/>
        <w:t>fared</w:t>
      </w:r>
      <w:r>
        <w:rPr>
          <w:spacing w:val="-17"/>
        </w:rPr>
        <w:t> </w:t>
      </w:r>
      <w:r>
        <w:rPr/>
        <w:t>the</w:t>
      </w:r>
      <w:r>
        <w:rPr>
          <w:spacing w:val="-18"/>
        </w:rPr>
        <w:t> </w:t>
      </w:r>
      <w:r>
        <w:rPr/>
        <w:t>same</w:t>
      </w:r>
      <w:r>
        <w:rPr>
          <w:spacing w:val="-18"/>
        </w:rPr>
        <w:t> </w:t>
      </w:r>
      <w:r>
        <w:rPr/>
        <w:t>as</w:t>
      </w:r>
      <w:r>
        <w:rPr>
          <w:spacing w:val="-21"/>
        </w:rPr>
        <w:t> </w:t>
      </w:r>
      <w:r>
        <w:rPr/>
        <w:t>many</w:t>
      </w:r>
      <w:r>
        <w:rPr>
          <w:spacing w:val="-17"/>
        </w:rPr>
        <w:t> </w:t>
      </w:r>
      <w:r>
        <w:rPr/>
        <w:t>highly</w:t>
      </w:r>
      <w:r>
        <w:rPr>
          <w:spacing w:val="-20"/>
        </w:rPr>
        <w:t> </w:t>
      </w:r>
      <w:r>
        <w:rPr/>
        <w:t>effective</w:t>
      </w:r>
      <w:r>
        <w:rPr>
          <w:spacing w:val="-19"/>
        </w:rPr>
        <w:t> </w:t>
      </w:r>
      <w:r>
        <w:rPr/>
        <w:t>and</w:t>
      </w:r>
      <w:r>
        <w:rPr>
          <w:spacing w:val="-18"/>
        </w:rPr>
        <w:t> </w:t>
      </w:r>
      <w:r>
        <w:rPr/>
        <w:t>side- effect-free natural products do year after year: despite their superiority in their effect, they are denounced by Big Pharma and sidelined by the market to pave the way for their own side-effect-heavy, synthetic and thus patentable medi- cines.</w:t>
      </w:r>
    </w:p>
    <w:p>
      <w:pPr>
        <w:pStyle w:val="BodyText"/>
        <w:spacing w:line="276" w:lineRule="auto" w:before="240"/>
        <w:ind w:left="477" w:right="137"/>
        <w:jc w:val="both"/>
      </w:pPr>
      <w:r>
        <w:rPr/>
        <w:t>Because antibiotics have come to be viewed very negatively by the population and therapists due to ever-increasing resistance and numerous side effects, and</w:t>
      </w:r>
    </w:p>
    <w:p>
      <w:pPr>
        <w:spacing w:after="0" w:line="276" w:lineRule="auto"/>
        <w:jc w:val="both"/>
        <w:sectPr>
          <w:pgSz w:w="14270" w:h="16850"/>
          <w:pgMar w:header="0" w:footer="1891" w:top="1600" w:bottom="2080" w:left="800" w:right="1280"/>
        </w:sectPr>
      </w:pPr>
    </w:p>
    <w:p>
      <w:pPr>
        <w:pStyle w:val="BodyText"/>
        <w:spacing w:line="276" w:lineRule="auto" w:before="181"/>
        <w:ind w:left="477" w:right="136"/>
        <w:jc w:val="both"/>
      </w:pPr>
      <w:r>
        <w:rPr/>
        <w:t>since the Internet has entered all households as an uncensored medium, bring- ing with it a rapidly expanding discussion between those seeking help around the world, and given that the techniques for the production of colloidal silver have become considerably cheaper, it is once again attracting interest and is currently experiencing a real renaissance.</w:t>
      </w:r>
    </w:p>
    <w:p>
      <w:pPr>
        <w:pStyle w:val="BodyText"/>
        <w:rPr>
          <w:sz w:val="42"/>
        </w:rPr>
      </w:pPr>
    </w:p>
    <w:p>
      <w:pPr>
        <w:pStyle w:val="BodyText"/>
        <w:spacing w:before="10"/>
        <w:rPr>
          <w:sz w:val="42"/>
        </w:rPr>
      </w:pPr>
    </w:p>
    <w:p>
      <w:pPr>
        <w:pStyle w:val="Heading1"/>
        <w:spacing w:before="0"/>
        <w:jc w:val="both"/>
      </w:pPr>
      <w:r>
        <w:rPr/>
        <w:t>What do the experts and the press</w:t>
      </w:r>
      <w:r>
        <w:rPr>
          <w:spacing w:val="-73"/>
        </w:rPr>
        <w:t> </w:t>
      </w:r>
      <w:r>
        <w:rPr/>
        <w:t>say?</w:t>
      </w:r>
    </w:p>
    <w:p>
      <w:pPr>
        <w:spacing w:line="276" w:lineRule="auto" w:before="299"/>
        <w:ind w:left="477" w:right="133" w:firstLine="0"/>
        <w:jc w:val="both"/>
        <w:rPr>
          <w:sz w:val="38"/>
        </w:rPr>
      </w:pPr>
      <w:r>
        <w:rPr>
          <w:i/>
          <w:sz w:val="38"/>
        </w:rPr>
        <w:t>‘Any type of fungus, virus, bacterium, streptococci, staphylococci and other pathogenic organ- </w:t>
      </w:r>
      <w:r>
        <w:rPr>
          <w:i/>
          <w:sz w:val="38"/>
        </w:rPr>
        <w:t>isms will be killed in three to four minutes. In fact, no bacterium is known which is not eliminated</w:t>
      </w:r>
      <w:r>
        <w:rPr>
          <w:i/>
          <w:spacing w:val="-6"/>
          <w:sz w:val="38"/>
        </w:rPr>
        <w:t> </w:t>
      </w:r>
      <w:r>
        <w:rPr>
          <w:i/>
          <w:sz w:val="38"/>
        </w:rPr>
        <w:t>by</w:t>
      </w:r>
      <w:r>
        <w:rPr>
          <w:i/>
          <w:spacing w:val="-6"/>
          <w:sz w:val="38"/>
        </w:rPr>
        <w:t> </w:t>
      </w:r>
      <w:r>
        <w:rPr>
          <w:i/>
          <w:sz w:val="38"/>
        </w:rPr>
        <w:t>colloidal</w:t>
      </w:r>
      <w:r>
        <w:rPr>
          <w:i/>
          <w:spacing w:val="-5"/>
          <w:sz w:val="38"/>
        </w:rPr>
        <w:t> </w:t>
      </w:r>
      <w:r>
        <w:rPr>
          <w:i/>
          <w:sz w:val="38"/>
        </w:rPr>
        <w:t>silver</w:t>
      </w:r>
      <w:r>
        <w:rPr>
          <w:i/>
          <w:spacing w:val="-6"/>
          <w:sz w:val="38"/>
        </w:rPr>
        <w:t> </w:t>
      </w:r>
      <w:r>
        <w:rPr>
          <w:i/>
          <w:sz w:val="38"/>
        </w:rPr>
        <w:t>within</w:t>
      </w:r>
      <w:r>
        <w:rPr>
          <w:i/>
          <w:spacing w:val="-5"/>
          <w:sz w:val="38"/>
        </w:rPr>
        <w:t> </w:t>
      </w:r>
      <w:r>
        <w:rPr>
          <w:i/>
          <w:sz w:val="38"/>
        </w:rPr>
        <w:t>a</w:t>
      </w:r>
      <w:r>
        <w:rPr>
          <w:i/>
          <w:spacing w:val="-4"/>
          <w:sz w:val="38"/>
        </w:rPr>
        <w:t> </w:t>
      </w:r>
      <w:r>
        <w:rPr>
          <w:i/>
          <w:sz w:val="38"/>
        </w:rPr>
        <w:t>maximum</w:t>
      </w:r>
      <w:r>
        <w:rPr>
          <w:i/>
          <w:spacing w:val="-6"/>
          <w:sz w:val="38"/>
        </w:rPr>
        <w:t> </w:t>
      </w:r>
      <w:r>
        <w:rPr>
          <w:i/>
          <w:sz w:val="38"/>
        </w:rPr>
        <w:t>of</w:t>
      </w:r>
      <w:r>
        <w:rPr>
          <w:i/>
          <w:spacing w:val="-5"/>
          <w:sz w:val="38"/>
        </w:rPr>
        <w:t> </w:t>
      </w:r>
      <w:r>
        <w:rPr>
          <w:i/>
          <w:sz w:val="38"/>
        </w:rPr>
        <w:t>six</w:t>
      </w:r>
      <w:r>
        <w:rPr>
          <w:i/>
          <w:spacing w:val="-7"/>
          <w:sz w:val="38"/>
        </w:rPr>
        <w:t> </w:t>
      </w:r>
      <w:r>
        <w:rPr>
          <w:i/>
          <w:sz w:val="38"/>
        </w:rPr>
        <w:t>minutes</w:t>
      </w:r>
      <w:r>
        <w:rPr>
          <w:i/>
          <w:spacing w:val="-6"/>
          <w:sz w:val="38"/>
        </w:rPr>
        <w:t> </w:t>
      </w:r>
      <w:r>
        <w:rPr>
          <w:i/>
          <w:sz w:val="38"/>
        </w:rPr>
        <w:t>at</w:t>
      </w:r>
      <w:r>
        <w:rPr>
          <w:i/>
          <w:spacing w:val="-6"/>
          <w:sz w:val="38"/>
        </w:rPr>
        <w:t> </w:t>
      </w:r>
      <w:r>
        <w:rPr>
          <w:i/>
          <w:sz w:val="38"/>
        </w:rPr>
        <w:t>a</w:t>
      </w:r>
      <w:r>
        <w:rPr>
          <w:i/>
          <w:spacing w:val="-6"/>
          <w:sz w:val="38"/>
        </w:rPr>
        <w:t> </w:t>
      </w:r>
      <w:r>
        <w:rPr>
          <w:i/>
          <w:sz w:val="38"/>
        </w:rPr>
        <w:t>concentration</w:t>
      </w:r>
      <w:r>
        <w:rPr>
          <w:i/>
          <w:spacing w:val="-5"/>
          <w:sz w:val="38"/>
        </w:rPr>
        <w:t> </w:t>
      </w:r>
      <w:r>
        <w:rPr>
          <w:i/>
          <w:sz w:val="38"/>
        </w:rPr>
        <w:t>of</w:t>
      </w:r>
      <w:r>
        <w:rPr>
          <w:i/>
          <w:spacing w:val="-5"/>
          <w:sz w:val="38"/>
        </w:rPr>
        <w:t> </w:t>
      </w:r>
      <w:r>
        <w:rPr>
          <w:i/>
          <w:sz w:val="38"/>
        </w:rPr>
        <w:t>only</w:t>
      </w:r>
      <w:r>
        <w:rPr>
          <w:i/>
          <w:spacing w:val="-7"/>
          <w:sz w:val="38"/>
        </w:rPr>
        <w:t> </w:t>
      </w:r>
      <w:r>
        <w:rPr>
          <w:i/>
          <w:sz w:val="38"/>
        </w:rPr>
        <w:t>five milligrams</w:t>
      </w:r>
      <w:r>
        <w:rPr>
          <w:i/>
          <w:spacing w:val="-7"/>
          <w:sz w:val="38"/>
        </w:rPr>
        <w:t> </w:t>
      </w:r>
      <w:r>
        <w:rPr>
          <w:i/>
          <w:sz w:val="38"/>
        </w:rPr>
        <w:t>per</w:t>
      </w:r>
      <w:r>
        <w:rPr>
          <w:i/>
          <w:spacing w:val="-6"/>
          <w:sz w:val="38"/>
        </w:rPr>
        <w:t> </w:t>
      </w:r>
      <w:r>
        <w:rPr>
          <w:i/>
          <w:sz w:val="38"/>
        </w:rPr>
        <w:t>litre</w:t>
      </w:r>
      <w:r>
        <w:rPr>
          <w:i/>
          <w:spacing w:val="-9"/>
          <w:sz w:val="38"/>
        </w:rPr>
        <w:t> </w:t>
      </w:r>
      <w:r>
        <w:rPr>
          <w:i/>
          <w:sz w:val="38"/>
        </w:rPr>
        <w:t>(ppm).</w:t>
      </w:r>
      <w:r>
        <w:rPr>
          <w:i/>
          <w:spacing w:val="-7"/>
          <w:sz w:val="38"/>
        </w:rPr>
        <w:t> </w:t>
      </w:r>
      <w:r>
        <w:rPr>
          <w:i/>
          <w:sz w:val="38"/>
        </w:rPr>
        <w:t>And</w:t>
      </w:r>
      <w:r>
        <w:rPr>
          <w:i/>
          <w:spacing w:val="-7"/>
          <w:sz w:val="38"/>
        </w:rPr>
        <w:t> </w:t>
      </w:r>
      <w:r>
        <w:rPr>
          <w:i/>
          <w:sz w:val="38"/>
        </w:rPr>
        <w:t>even</w:t>
      </w:r>
      <w:r>
        <w:rPr>
          <w:i/>
          <w:spacing w:val="-7"/>
          <w:sz w:val="38"/>
        </w:rPr>
        <w:t> </w:t>
      </w:r>
      <w:r>
        <w:rPr>
          <w:i/>
          <w:sz w:val="38"/>
        </w:rPr>
        <w:t>at</w:t>
      </w:r>
      <w:r>
        <w:rPr>
          <w:i/>
          <w:spacing w:val="-7"/>
          <w:sz w:val="38"/>
        </w:rPr>
        <w:t> </w:t>
      </w:r>
      <w:r>
        <w:rPr>
          <w:i/>
          <w:sz w:val="38"/>
        </w:rPr>
        <w:t>high</w:t>
      </w:r>
      <w:r>
        <w:rPr>
          <w:i/>
          <w:spacing w:val="-8"/>
          <w:sz w:val="38"/>
        </w:rPr>
        <w:t> </w:t>
      </w:r>
      <w:r>
        <w:rPr>
          <w:i/>
          <w:sz w:val="38"/>
        </w:rPr>
        <w:t>concentrations</w:t>
      </w:r>
      <w:r>
        <w:rPr>
          <w:i/>
          <w:spacing w:val="-6"/>
          <w:sz w:val="38"/>
        </w:rPr>
        <w:t> </w:t>
      </w:r>
      <w:r>
        <w:rPr>
          <w:i/>
          <w:sz w:val="38"/>
        </w:rPr>
        <w:t>above</w:t>
      </w:r>
      <w:r>
        <w:rPr>
          <w:i/>
          <w:spacing w:val="-7"/>
          <w:sz w:val="38"/>
        </w:rPr>
        <w:t> </w:t>
      </w:r>
      <w:r>
        <w:rPr>
          <w:i/>
          <w:sz w:val="38"/>
        </w:rPr>
        <w:t>100</w:t>
      </w:r>
      <w:r>
        <w:rPr>
          <w:i/>
          <w:spacing w:val="-7"/>
          <w:sz w:val="38"/>
        </w:rPr>
        <w:t> </w:t>
      </w:r>
      <w:r>
        <w:rPr>
          <w:i/>
          <w:sz w:val="38"/>
        </w:rPr>
        <w:t>ppm,</w:t>
      </w:r>
      <w:r>
        <w:rPr>
          <w:i/>
          <w:spacing w:val="-7"/>
          <w:sz w:val="38"/>
        </w:rPr>
        <w:t> </w:t>
      </w:r>
      <w:r>
        <w:rPr>
          <w:i/>
          <w:sz w:val="38"/>
        </w:rPr>
        <w:t>there</w:t>
      </w:r>
      <w:r>
        <w:rPr>
          <w:i/>
          <w:spacing w:val="-8"/>
          <w:sz w:val="38"/>
        </w:rPr>
        <w:t> </w:t>
      </w:r>
      <w:r>
        <w:rPr>
          <w:i/>
          <w:sz w:val="38"/>
        </w:rPr>
        <w:t>are</w:t>
      </w:r>
      <w:r>
        <w:rPr>
          <w:i/>
          <w:spacing w:val="-10"/>
          <w:sz w:val="38"/>
        </w:rPr>
        <w:t> </w:t>
      </w:r>
      <w:r>
        <w:rPr>
          <w:i/>
          <w:sz w:val="38"/>
        </w:rPr>
        <w:t>no</w:t>
      </w:r>
      <w:r>
        <w:rPr>
          <w:i/>
          <w:spacing w:val="-8"/>
          <w:sz w:val="38"/>
        </w:rPr>
        <w:t> </w:t>
      </w:r>
      <w:r>
        <w:rPr>
          <w:i/>
          <w:sz w:val="38"/>
        </w:rPr>
        <w:t>side effects’. </w:t>
      </w:r>
      <w:r>
        <w:rPr>
          <w:sz w:val="38"/>
        </w:rPr>
        <w:t>(Health Consciousness, Vol. 15,</w:t>
      </w:r>
      <w:r>
        <w:rPr>
          <w:spacing w:val="-1"/>
          <w:sz w:val="38"/>
        </w:rPr>
        <w:t> </w:t>
      </w:r>
      <w:r>
        <w:rPr>
          <w:sz w:val="38"/>
        </w:rPr>
        <w:t>4)</w:t>
      </w:r>
    </w:p>
    <w:p>
      <w:pPr>
        <w:spacing w:line="276" w:lineRule="auto" w:before="240"/>
        <w:ind w:left="477" w:right="143" w:firstLine="0"/>
        <w:jc w:val="both"/>
        <w:rPr>
          <w:sz w:val="38"/>
        </w:rPr>
      </w:pPr>
      <w:r>
        <w:rPr>
          <w:sz w:val="38"/>
        </w:rPr>
        <w:t>‘</w:t>
      </w:r>
      <w:r>
        <w:rPr>
          <w:i/>
          <w:sz w:val="38"/>
        </w:rPr>
        <w:t>It particularly promotes bone growth and accelerates healing of injured tissue by more than </w:t>
      </w:r>
      <w:r>
        <w:rPr>
          <w:i/>
          <w:sz w:val="38"/>
        </w:rPr>
        <w:t>fifty percent’. </w:t>
      </w:r>
      <w:r>
        <w:rPr>
          <w:sz w:val="38"/>
        </w:rPr>
        <w:t>(Dr. Robert O. Becker of Syracuse University</w:t>
      </w:r>
      <w:r>
        <w:rPr>
          <w:i/>
          <w:sz w:val="38"/>
        </w:rPr>
        <w:t>, </w:t>
      </w:r>
      <w:r>
        <w:rPr>
          <w:sz w:val="38"/>
        </w:rPr>
        <w:t>USA)</w:t>
      </w:r>
    </w:p>
    <w:p>
      <w:pPr>
        <w:spacing w:line="276" w:lineRule="auto" w:before="241"/>
        <w:ind w:left="477" w:right="133" w:firstLine="0"/>
        <w:jc w:val="both"/>
        <w:rPr>
          <w:sz w:val="38"/>
        </w:rPr>
      </w:pPr>
      <w:r>
        <w:rPr>
          <w:sz w:val="38"/>
        </w:rPr>
        <w:t>‘</w:t>
      </w:r>
      <w:r>
        <w:rPr>
          <w:i/>
          <w:sz w:val="38"/>
        </w:rPr>
        <w:t>Colloidal silver is one of the most effective killers of bacteria. Colloidal silver turns out to be </w:t>
      </w:r>
      <w:r>
        <w:rPr>
          <w:i/>
          <w:sz w:val="38"/>
        </w:rPr>
        <w:t>a</w:t>
      </w:r>
      <w:r>
        <w:rPr>
          <w:i/>
          <w:spacing w:val="-14"/>
          <w:sz w:val="38"/>
        </w:rPr>
        <w:t> </w:t>
      </w:r>
      <w:r>
        <w:rPr>
          <w:i/>
          <w:sz w:val="38"/>
        </w:rPr>
        <w:t>miracle</w:t>
      </w:r>
      <w:r>
        <w:rPr>
          <w:i/>
          <w:spacing w:val="-12"/>
          <w:sz w:val="38"/>
        </w:rPr>
        <w:t> </w:t>
      </w:r>
      <w:r>
        <w:rPr>
          <w:i/>
          <w:sz w:val="38"/>
        </w:rPr>
        <w:t>of</w:t>
      </w:r>
      <w:r>
        <w:rPr>
          <w:i/>
          <w:spacing w:val="-14"/>
          <w:sz w:val="38"/>
        </w:rPr>
        <w:t> </w:t>
      </w:r>
      <w:r>
        <w:rPr>
          <w:i/>
          <w:sz w:val="38"/>
        </w:rPr>
        <w:t>modern</w:t>
      </w:r>
      <w:r>
        <w:rPr>
          <w:i/>
          <w:spacing w:val="-12"/>
          <w:sz w:val="38"/>
        </w:rPr>
        <w:t> </w:t>
      </w:r>
      <w:r>
        <w:rPr>
          <w:i/>
          <w:sz w:val="38"/>
        </w:rPr>
        <w:t>medicine.</w:t>
      </w:r>
      <w:r>
        <w:rPr>
          <w:i/>
          <w:spacing w:val="-12"/>
          <w:sz w:val="38"/>
        </w:rPr>
        <w:t> </w:t>
      </w:r>
      <w:r>
        <w:rPr>
          <w:i/>
          <w:sz w:val="38"/>
        </w:rPr>
        <w:t>A</w:t>
      </w:r>
      <w:r>
        <w:rPr>
          <w:i/>
          <w:spacing w:val="-13"/>
          <w:sz w:val="38"/>
        </w:rPr>
        <w:t> </w:t>
      </w:r>
      <w:r>
        <w:rPr>
          <w:i/>
          <w:sz w:val="38"/>
        </w:rPr>
        <w:t>conventional</w:t>
      </w:r>
      <w:r>
        <w:rPr>
          <w:i/>
          <w:spacing w:val="-13"/>
          <w:sz w:val="38"/>
        </w:rPr>
        <w:t> </w:t>
      </w:r>
      <w:r>
        <w:rPr>
          <w:i/>
          <w:sz w:val="38"/>
        </w:rPr>
        <w:t>antibiotic</w:t>
      </w:r>
      <w:r>
        <w:rPr>
          <w:i/>
          <w:spacing w:val="-13"/>
          <w:sz w:val="38"/>
        </w:rPr>
        <w:t> </w:t>
      </w:r>
      <w:r>
        <w:rPr>
          <w:i/>
          <w:sz w:val="38"/>
        </w:rPr>
        <w:t>may</w:t>
      </w:r>
      <w:r>
        <w:rPr>
          <w:i/>
          <w:spacing w:val="-12"/>
          <w:sz w:val="38"/>
        </w:rPr>
        <w:t> </w:t>
      </w:r>
      <w:r>
        <w:rPr>
          <w:i/>
          <w:sz w:val="38"/>
        </w:rPr>
        <w:t>eliminate</w:t>
      </w:r>
      <w:r>
        <w:rPr>
          <w:i/>
          <w:spacing w:val="-13"/>
          <w:sz w:val="38"/>
        </w:rPr>
        <w:t> </w:t>
      </w:r>
      <w:r>
        <w:rPr>
          <w:i/>
          <w:sz w:val="38"/>
        </w:rPr>
        <w:t>a</w:t>
      </w:r>
      <w:r>
        <w:rPr>
          <w:i/>
          <w:spacing w:val="-15"/>
          <w:sz w:val="38"/>
        </w:rPr>
        <w:t> </w:t>
      </w:r>
      <w:r>
        <w:rPr>
          <w:i/>
          <w:sz w:val="38"/>
        </w:rPr>
        <w:t>dozen</w:t>
      </w:r>
      <w:r>
        <w:rPr>
          <w:i/>
          <w:spacing w:val="-11"/>
          <w:sz w:val="38"/>
        </w:rPr>
        <w:t> </w:t>
      </w:r>
      <w:r>
        <w:rPr>
          <w:i/>
          <w:sz w:val="38"/>
        </w:rPr>
        <w:t>different</w:t>
      </w:r>
      <w:r>
        <w:rPr>
          <w:i/>
          <w:spacing w:val="-12"/>
          <w:sz w:val="38"/>
        </w:rPr>
        <w:t> </w:t>
      </w:r>
      <w:r>
        <w:rPr>
          <w:i/>
          <w:sz w:val="38"/>
        </w:rPr>
        <w:t>path- ogens, but colloidal silver kills about 650!’ </w:t>
      </w:r>
      <w:r>
        <w:rPr>
          <w:sz w:val="38"/>
        </w:rPr>
        <w:t>(Science Digest, March</w:t>
      </w:r>
      <w:r>
        <w:rPr>
          <w:spacing w:val="-2"/>
          <w:sz w:val="38"/>
        </w:rPr>
        <w:t> </w:t>
      </w:r>
      <w:r>
        <w:rPr>
          <w:sz w:val="38"/>
        </w:rPr>
        <w:t>1978)</w:t>
      </w:r>
    </w:p>
    <w:p>
      <w:pPr>
        <w:spacing w:line="276" w:lineRule="auto" w:before="241"/>
        <w:ind w:left="477" w:right="136" w:firstLine="0"/>
        <w:jc w:val="both"/>
        <w:rPr>
          <w:i/>
          <w:sz w:val="38"/>
        </w:rPr>
      </w:pPr>
      <w:r>
        <w:rPr>
          <w:sz w:val="38"/>
        </w:rPr>
        <w:t>‘</w:t>
      </w:r>
      <w:r>
        <w:rPr>
          <w:i/>
          <w:sz w:val="38"/>
        </w:rPr>
        <w:t>It does not conflict with any other medication and does not cause stomach discomfort. In fact, </w:t>
      </w:r>
      <w:r>
        <w:rPr>
          <w:i/>
          <w:sz w:val="38"/>
        </w:rPr>
        <w:t>it is a digestive aid. It does not burn in the eyes. Medical journal reports and documented studies over the past one hundred years give no indication of any side effects from oral or intravenous silver colloid, either in animals or in humans.</w:t>
      </w:r>
    </w:p>
    <w:p>
      <w:pPr>
        <w:spacing w:after="0" w:line="276" w:lineRule="auto"/>
        <w:jc w:val="both"/>
        <w:rPr>
          <w:sz w:val="38"/>
        </w:rPr>
        <w:sectPr>
          <w:pgSz w:w="14270" w:h="16850"/>
          <w:pgMar w:header="0" w:footer="1891" w:top="1600" w:bottom="2080" w:left="800" w:right="1280"/>
        </w:sectPr>
      </w:pPr>
    </w:p>
    <w:p>
      <w:pPr>
        <w:spacing w:line="276" w:lineRule="auto" w:before="181"/>
        <w:ind w:left="477" w:right="134" w:firstLine="0"/>
        <w:jc w:val="both"/>
        <w:rPr>
          <w:sz w:val="38"/>
        </w:rPr>
      </w:pPr>
      <w:r>
        <w:rPr>
          <w:i/>
          <w:sz w:val="38"/>
        </w:rPr>
        <w:t>It has been used for highly acute health problems, with excellent results. Without wanting to </w:t>
      </w:r>
      <w:r>
        <w:rPr>
          <w:i/>
          <w:sz w:val="38"/>
        </w:rPr>
        <w:t>exaggerate:</w:t>
      </w:r>
      <w:r>
        <w:rPr>
          <w:i/>
          <w:spacing w:val="-14"/>
          <w:sz w:val="38"/>
        </w:rPr>
        <w:t> </w:t>
      </w:r>
      <w:r>
        <w:rPr>
          <w:i/>
          <w:sz w:val="38"/>
        </w:rPr>
        <w:t>it</w:t>
      </w:r>
      <w:r>
        <w:rPr>
          <w:i/>
          <w:spacing w:val="-14"/>
          <w:sz w:val="38"/>
        </w:rPr>
        <w:t> </w:t>
      </w:r>
      <w:r>
        <w:rPr>
          <w:i/>
          <w:sz w:val="38"/>
        </w:rPr>
        <w:t>is</w:t>
      </w:r>
      <w:r>
        <w:rPr>
          <w:i/>
          <w:spacing w:val="-14"/>
          <w:sz w:val="38"/>
        </w:rPr>
        <w:t> </w:t>
      </w:r>
      <w:r>
        <w:rPr>
          <w:i/>
          <w:sz w:val="38"/>
        </w:rPr>
        <w:t>time</w:t>
      </w:r>
      <w:r>
        <w:rPr>
          <w:i/>
          <w:spacing w:val="-14"/>
          <w:sz w:val="38"/>
        </w:rPr>
        <w:t> </w:t>
      </w:r>
      <w:r>
        <w:rPr>
          <w:i/>
          <w:sz w:val="38"/>
        </w:rPr>
        <w:t>to</w:t>
      </w:r>
      <w:r>
        <w:rPr>
          <w:i/>
          <w:spacing w:val="-16"/>
          <w:sz w:val="38"/>
        </w:rPr>
        <w:t> </w:t>
      </w:r>
      <w:r>
        <w:rPr>
          <w:i/>
          <w:sz w:val="38"/>
        </w:rPr>
        <w:t>recognise</w:t>
      </w:r>
      <w:r>
        <w:rPr>
          <w:i/>
          <w:spacing w:val="-15"/>
          <w:sz w:val="38"/>
        </w:rPr>
        <w:t> </w:t>
      </w:r>
      <w:r>
        <w:rPr>
          <w:i/>
          <w:sz w:val="38"/>
        </w:rPr>
        <w:t>colloidal</w:t>
      </w:r>
      <w:r>
        <w:rPr>
          <w:i/>
          <w:spacing w:val="-13"/>
          <w:sz w:val="38"/>
        </w:rPr>
        <w:t> </w:t>
      </w:r>
      <w:r>
        <w:rPr>
          <w:i/>
          <w:sz w:val="38"/>
        </w:rPr>
        <w:t>silver</w:t>
      </w:r>
      <w:r>
        <w:rPr>
          <w:i/>
          <w:spacing w:val="-14"/>
          <w:sz w:val="38"/>
        </w:rPr>
        <w:t> </w:t>
      </w:r>
      <w:r>
        <w:rPr>
          <w:i/>
          <w:sz w:val="38"/>
        </w:rPr>
        <w:t>not</w:t>
      </w:r>
      <w:r>
        <w:rPr>
          <w:i/>
          <w:spacing w:val="-14"/>
          <w:sz w:val="38"/>
        </w:rPr>
        <w:t> </w:t>
      </w:r>
      <w:r>
        <w:rPr>
          <w:i/>
          <w:sz w:val="38"/>
        </w:rPr>
        <w:t>only</w:t>
      </w:r>
      <w:r>
        <w:rPr>
          <w:i/>
          <w:spacing w:val="-16"/>
          <w:sz w:val="38"/>
        </w:rPr>
        <w:t> </w:t>
      </w:r>
      <w:r>
        <w:rPr>
          <w:i/>
          <w:sz w:val="38"/>
        </w:rPr>
        <w:t>as</w:t>
      </w:r>
      <w:r>
        <w:rPr>
          <w:i/>
          <w:spacing w:val="-17"/>
          <w:sz w:val="38"/>
        </w:rPr>
        <w:t> </w:t>
      </w:r>
      <w:r>
        <w:rPr>
          <w:i/>
          <w:sz w:val="38"/>
        </w:rPr>
        <w:t>the</w:t>
      </w:r>
      <w:r>
        <w:rPr>
          <w:i/>
          <w:spacing w:val="-14"/>
          <w:sz w:val="38"/>
        </w:rPr>
        <w:t> </w:t>
      </w:r>
      <w:r>
        <w:rPr>
          <w:i/>
          <w:sz w:val="38"/>
        </w:rPr>
        <w:t>safest</w:t>
      </w:r>
      <w:r>
        <w:rPr>
          <w:i/>
          <w:spacing w:val="-15"/>
          <w:sz w:val="38"/>
        </w:rPr>
        <w:t> </w:t>
      </w:r>
      <w:r>
        <w:rPr>
          <w:i/>
          <w:sz w:val="38"/>
        </w:rPr>
        <w:t>but</w:t>
      </w:r>
      <w:r>
        <w:rPr>
          <w:i/>
          <w:spacing w:val="-15"/>
          <w:sz w:val="38"/>
        </w:rPr>
        <w:t> </w:t>
      </w:r>
      <w:r>
        <w:rPr>
          <w:i/>
          <w:sz w:val="38"/>
        </w:rPr>
        <w:t>also</w:t>
      </w:r>
      <w:r>
        <w:rPr>
          <w:i/>
          <w:spacing w:val="-13"/>
          <w:sz w:val="38"/>
        </w:rPr>
        <w:t> </w:t>
      </w:r>
      <w:r>
        <w:rPr>
          <w:i/>
          <w:sz w:val="38"/>
        </w:rPr>
        <w:t>the</w:t>
      </w:r>
      <w:r>
        <w:rPr>
          <w:i/>
          <w:spacing w:val="-14"/>
          <w:sz w:val="38"/>
        </w:rPr>
        <w:t> </w:t>
      </w:r>
      <w:r>
        <w:rPr>
          <w:i/>
          <w:sz w:val="38"/>
        </w:rPr>
        <w:t>most</w:t>
      </w:r>
      <w:r>
        <w:rPr>
          <w:i/>
          <w:spacing w:val="-13"/>
          <w:sz w:val="38"/>
        </w:rPr>
        <w:t> </w:t>
      </w:r>
      <w:r>
        <w:rPr>
          <w:i/>
          <w:sz w:val="38"/>
        </w:rPr>
        <w:t>effective medicine in the world’. </w:t>
      </w:r>
      <w:r>
        <w:rPr>
          <w:sz w:val="38"/>
        </w:rPr>
        <w:t>(Perceptions</w:t>
      </w:r>
      <w:r>
        <w:rPr>
          <w:spacing w:val="1"/>
          <w:sz w:val="38"/>
        </w:rPr>
        <w:t> </w:t>
      </w:r>
      <w:r>
        <w:rPr>
          <w:sz w:val="38"/>
        </w:rPr>
        <w:t>Magazine)</w:t>
      </w:r>
    </w:p>
    <w:p>
      <w:pPr>
        <w:pStyle w:val="BodyText"/>
        <w:spacing w:line="276" w:lineRule="auto" w:before="242"/>
        <w:ind w:left="477" w:right="130"/>
        <w:jc w:val="both"/>
      </w:pPr>
      <w:r>
        <w:rPr/>
        <w:t>‘The</w:t>
      </w:r>
      <w:r>
        <w:rPr>
          <w:spacing w:val="-13"/>
        </w:rPr>
        <w:t> </w:t>
      </w:r>
      <w:r>
        <w:rPr/>
        <w:t>ever-growing</w:t>
      </w:r>
      <w:r>
        <w:rPr>
          <w:spacing w:val="-12"/>
        </w:rPr>
        <w:t> </w:t>
      </w:r>
      <w:r>
        <w:rPr/>
        <w:t>healthcare</w:t>
      </w:r>
      <w:r>
        <w:rPr>
          <w:spacing w:val="-12"/>
        </w:rPr>
        <w:t> </w:t>
      </w:r>
      <w:r>
        <w:rPr/>
        <w:t>crisis</w:t>
      </w:r>
      <w:r>
        <w:rPr>
          <w:spacing w:val="-12"/>
        </w:rPr>
        <w:t> </w:t>
      </w:r>
      <w:r>
        <w:rPr/>
        <w:t>and</w:t>
      </w:r>
      <w:r>
        <w:rPr>
          <w:spacing w:val="-13"/>
        </w:rPr>
        <w:t> </w:t>
      </w:r>
      <w:r>
        <w:rPr/>
        <w:t>the</w:t>
      </w:r>
      <w:r>
        <w:rPr>
          <w:spacing w:val="-14"/>
        </w:rPr>
        <w:t> </w:t>
      </w:r>
      <w:r>
        <w:rPr/>
        <w:t>ever-decreasing</w:t>
      </w:r>
      <w:r>
        <w:rPr>
          <w:spacing w:val="-12"/>
        </w:rPr>
        <w:t> </w:t>
      </w:r>
      <w:r>
        <w:rPr/>
        <w:t>efficacy</w:t>
      </w:r>
      <w:r>
        <w:rPr>
          <w:spacing w:val="-13"/>
        </w:rPr>
        <w:t> </w:t>
      </w:r>
      <w:r>
        <w:rPr/>
        <w:t>of</w:t>
      </w:r>
      <w:r>
        <w:rPr>
          <w:spacing w:val="-12"/>
        </w:rPr>
        <w:t> </w:t>
      </w:r>
      <w:r>
        <w:rPr/>
        <w:t>antibiot- ics</w:t>
      </w:r>
      <w:r>
        <w:rPr>
          <w:spacing w:val="-10"/>
        </w:rPr>
        <w:t> </w:t>
      </w:r>
      <w:r>
        <w:rPr/>
        <w:t>should</w:t>
      </w:r>
      <w:r>
        <w:rPr>
          <w:spacing w:val="-10"/>
        </w:rPr>
        <w:t> </w:t>
      </w:r>
      <w:r>
        <w:rPr/>
        <w:t>be</w:t>
      </w:r>
      <w:r>
        <w:rPr>
          <w:spacing w:val="-9"/>
        </w:rPr>
        <w:t> </w:t>
      </w:r>
      <w:r>
        <w:rPr/>
        <w:t>reason</w:t>
      </w:r>
      <w:r>
        <w:rPr>
          <w:spacing w:val="-10"/>
        </w:rPr>
        <w:t> </w:t>
      </w:r>
      <w:r>
        <w:rPr/>
        <w:t>enough,</w:t>
      </w:r>
      <w:r>
        <w:rPr>
          <w:spacing w:val="-10"/>
        </w:rPr>
        <w:t> </w:t>
      </w:r>
      <w:r>
        <w:rPr/>
        <w:t>especially</w:t>
      </w:r>
      <w:r>
        <w:rPr>
          <w:spacing w:val="-9"/>
        </w:rPr>
        <w:t> </w:t>
      </w:r>
      <w:r>
        <w:rPr/>
        <w:t>for</w:t>
      </w:r>
      <w:r>
        <w:rPr>
          <w:spacing w:val="-9"/>
        </w:rPr>
        <w:t> </w:t>
      </w:r>
      <w:r>
        <w:rPr/>
        <w:t>those</w:t>
      </w:r>
      <w:r>
        <w:rPr>
          <w:spacing w:val="-13"/>
        </w:rPr>
        <w:t> </w:t>
      </w:r>
      <w:r>
        <w:rPr/>
        <w:t>working</w:t>
      </w:r>
      <w:r>
        <w:rPr>
          <w:spacing w:val="-9"/>
        </w:rPr>
        <w:t> </w:t>
      </w:r>
      <w:r>
        <w:rPr/>
        <w:t>in</w:t>
      </w:r>
      <w:r>
        <w:rPr>
          <w:spacing w:val="-10"/>
        </w:rPr>
        <w:t> </w:t>
      </w:r>
      <w:r>
        <w:rPr/>
        <w:t>health</w:t>
      </w:r>
      <w:r>
        <w:rPr>
          <w:spacing w:val="-9"/>
        </w:rPr>
        <w:t> </w:t>
      </w:r>
      <w:r>
        <w:rPr/>
        <w:t>care</w:t>
      </w:r>
      <w:r>
        <w:rPr>
          <w:spacing w:val="-11"/>
        </w:rPr>
        <w:t> </w:t>
      </w:r>
      <w:r>
        <w:rPr/>
        <w:t>profes- sions, to turn their attention to colloid research’. (Grenzenlos, 7th Ed./No. 11/2000 - November, by Hans</w:t>
      </w:r>
      <w:r>
        <w:rPr>
          <w:spacing w:val="-2"/>
        </w:rPr>
        <w:t> </w:t>
      </w:r>
      <w:r>
        <w:rPr/>
        <w:t>Vaterrodt)</w:t>
      </w:r>
    </w:p>
    <w:p>
      <w:pPr>
        <w:pStyle w:val="BodyText"/>
        <w:spacing w:line="276" w:lineRule="auto" w:before="239"/>
        <w:ind w:left="477" w:right="139"/>
        <w:jc w:val="both"/>
      </w:pPr>
      <w:r>
        <w:rPr/>
        <w:t>‘Silver has a good antimicrobial effect in soluble or colloidal form. Therefore, silver compounds are used as preservatives, disinfectants and drugs. Even the smallest amounts of silver ions are bactericidal.</w:t>
      </w:r>
    </w:p>
    <w:p>
      <w:pPr>
        <w:pStyle w:val="BodyText"/>
        <w:spacing w:line="276" w:lineRule="auto" w:before="241"/>
        <w:ind w:left="477" w:right="135"/>
        <w:jc w:val="both"/>
        <w:rPr>
          <w:b/>
        </w:rPr>
      </w:pPr>
      <w:r>
        <w:rPr/>
        <w:t>Dr. Vanessa Stark from Ulm University Hospital recently commented on this topic</w:t>
      </w:r>
      <w:r>
        <w:rPr>
          <w:spacing w:val="-12"/>
        </w:rPr>
        <w:t> </w:t>
      </w:r>
      <w:r>
        <w:rPr/>
        <w:t>in</w:t>
      </w:r>
      <w:r>
        <w:rPr>
          <w:spacing w:val="-11"/>
        </w:rPr>
        <w:t> </w:t>
      </w:r>
      <w:r>
        <w:rPr/>
        <w:t>‘Medical</w:t>
      </w:r>
      <w:r>
        <w:rPr>
          <w:spacing w:val="-12"/>
        </w:rPr>
        <w:t> </w:t>
      </w:r>
      <w:r>
        <w:rPr/>
        <w:t>Tribune’.</w:t>
      </w:r>
      <w:r>
        <w:rPr>
          <w:spacing w:val="-11"/>
        </w:rPr>
        <w:t> </w:t>
      </w:r>
      <w:r>
        <w:rPr/>
        <w:t>Colloidal</w:t>
      </w:r>
      <w:r>
        <w:rPr>
          <w:spacing w:val="-13"/>
        </w:rPr>
        <w:t> </w:t>
      </w:r>
      <w:r>
        <w:rPr/>
        <w:t>silver</w:t>
      </w:r>
      <w:r>
        <w:rPr>
          <w:spacing w:val="-10"/>
        </w:rPr>
        <w:t> </w:t>
      </w:r>
      <w:r>
        <w:rPr/>
        <w:t>(CS)</w:t>
      </w:r>
      <w:r>
        <w:rPr>
          <w:spacing w:val="-13"/>
        </w:rPr>
        <w:t> </w:t>
      </w:r>
      <w:r>
        <w:rPr/>
        <w:t>has</w:t>
      </w:r>
      <w:r>
        <w:rPr>
          <w:spacing w:val="-11"/>
        </w:rPr>
        <w:t> </w:t>
      </w:r>
      <w:r>
        <w:rPr/>
        <w:t>been</w:t>
      </w:r>
      <w:r>
        <w:rPr>
          <w:spacing w:val="-10"/>
        </w:rPr>
        <w:t> </w:t>
      </w:r>
      <w:r>
        <w:rPr/>
        <w:t>increasingly</w:t>
      </w:r>
      <w:r>
        <w:rPr>
          <w:spacing w:val="-11"/>
        </w:rPr>
        <w:t> </w:t>
      </w:r>
      <w:r>
        <w:rPr/>
        <w:t>offered</w:t>
      </w:r>
      <w:r>
        <w:rPr>
          <w:spacing w:val="-11"/>
        </w:rPr>
        <w:t> </w:t>
      </w:r>
      <w:r>
        <w:rPr/>
        <w:t>as a dietary supplement in recent years. It is known to fight adenoviral allergies, blood parasites, candida fungus, inflammation and eczema, as well as bacterial and viral infections’. (</w:t>
      </w:r>
      <w:r>
        <w:rPr>
          <w:b/>
        </w:rPr>
        <w:t>BIO,</w:t>
      </w:r>
      <w:r>
        <w:rPr>
          <w:b/>
          <w:spacing w:val="-1"/>
        </w:rPr>
        <w:t> </w:t>
      </w:r>
      <w:r>
        <w:rPr>
          <w:b/>
        </w:rPr>
        <w:t>2005/2)</w:t>
      </w:r>
    </w:p>
    <w:p>
      <w:pPr>
        <w:pStyle w:val="BodyText"/>
        <w:spacing w:line="276" w:lineRule="auto" w:before="240"/>
        <w:ind w:left="477" w:right="132"/>
        <w:jc w:val="both"/>
      </w:pPr>
      <w:r>
        <w:rPr/>
        <w:t>‘Silver</w:t>
      </w:r>
      <w:r>
        <w:rPr>
          <w:spacing w:val="-18"/>
        </w:rPr>
        <w:t> </w:t>
      </w:r>
      <w:r>
        <w:rPr/>
        <w:t>was</w:t>
      </w:r>
      <w:r>
        <w:rPr>
          <w:spacing w:val="-17"/>
        </w:rPr>
        <w:t> </w:t>
      </w:r>
      <w:r>
        <w:rPr/>
        <w:t>known</w:t>
      </w:r>
      <w:r>
        <w:rPr>
          <w:spacing w:val="-19"/>
        </w:rPr>
        <w:t> </w:t>
      </w:r>
      <w:r>
        <w:rPr/>
        <w:t>as</w:t>
      </w:r>
      <w:r>
        <w:rPr>
          <w:spacing w:val="-18"/>
        </w:rPr>
        <w:t> </w:t>
      </w:r>
      <w:r>
        <w:rPr/>
        <w:t>a</w:t>
      </w:r>
      <w:r>
        <w:rPr>
          <w:spacing w:val="-21"/>
        </w:rPr>
        <w:t> </w:t>
      </w:r>
      <w:r>
        <w:rPr/>
        <w:t>bactericide</w:t>
      </w:r>
      <w:r>
        <w:rPr>
          <w:spacing w:val="-20"/>
        </w:rPr>
        <w:t> </w:t>
      </w:r>
      <w:r>
        <w:rPr/>
        <w:t>1200</w:t>
      </w:r>
      <w:r>
        <w:rPr>
          <w:spacing w:val="-19"/>
        </w:rPr>
        <w:t> </w:t>
      </w:r>
      <w:r>
        <w:rPr/>
        <w:t>years</w:t>
      </w:r>
      <w:r>
        <w:rPr>
          <w:spacing w:val="-17"/>
        </w:rPr>
        <w:t> </w:t>
      </w:r>
      <w:r>
        <w:rPr/>
        <w:t>ago.</w:t>
      </w:r>
      <w:r>
        <w:rPr>
          <w:spacing w:val="-21"/>
        </w:rPr>
        <w:t> </w:t>
      </w:r>
      <w:r>
        <w:rPr/>
        <w:t>It</w:t>
      </w:r>
      <w:r>
        <w:rPr>
          <w:spacing w:val="-19"/>
        </w:rPr>
        <w:t> </w:t>
      </w:r>
      <w:r>
        <w:rPr/>
        <w:t>was</w:t>
      </w:r>
      <w:r>
        <w:rPr>
          <w:spacing w:val="-17"/>
        </w:rPr>
        <w:t> </w:t>
      </w:r>
      <w:r>
        <w:rPr/>
        <w:t>said</w:t>
      </w:r>
      <w:r>
        <w:rPr>
          <w:spacing w:val="-19"/>
        </w:rPr>
        <w:t> </w:t>
      </w:r>
      <w:r>
        <w:rPr/>
        <w:t>that</w:t>
      </w:r>
      <w:r>
        <w:rPr>
          <w:spacing w:val="-18"/>
        </w:rPr>
        <w:t> </w:t>
      </w:r>
      <w:r>
        <w:rPr/>
        <w:t>illnesses</w:t>
      </w:r>
      <w:r>
        <w:rPr>
          <w:spacing w:val="-18"/>
        </w:rPr>
        <w:t> </w:t>
      </w:r>
      <w:r>
        <w:rPr/>
        <w:t>could not occur when drinking from a silver cup. Silver coins were placed in milk containers to prevent the milk from turning sour.</w:t>
      </w:r>
    </w:p>
    <w:p>
      <w:pPr>
        <w:pStyle w:val="BodyText"/>
        <w:spacing w:line="276" w:lineRule="auto" w:before="240"/>
        <w:ind w:left="477" w:right="133"/>
        <w:jc w:val="both"/>
      </w:pPr>
      <w:r>
        <w:rPr/>
        <w:t>Reports from influenza patients, people with recurring purulent processes, uri- nary tract infections, intestinal infections or scarlet fever, who overcame their symptoms</w:t>
      </w:r>
      <w:r>
        <w:rPr>
          <w:spacing w:val="-15"/>
        </w:rPr>
        <w:t> </w:t>
      </w:r>
      <w:r>
        <w:rPr/>
        <w:t>in</w:t>
      </w:r>
      <w:r>
        <w:rPr>
          <w:spacing w:val="-14"/>
        </w:rPr>
        <w:t> </w:t>
      </w:r>
      <w:r>
        <w:rPr/>
        <w:t>a</w:t>
      </w:r>
      <w:r>
        <w:rPr>
          <w:spacing w:val="-17"/>
        </w:rPr>
        <w:t> </w:t>
      </w:r>
      <w:r>
        <w:rPr/>
        <w:t>short</w:t>
      </w:r>
      <w:r>
        <w:rPr>
          <w:spacing w:val="-15"/>
        </w:rPr>
        <w:t> </w:t>
      </w:r>
      <w:r>
        <w:rPr/>
        <w:t>time</w:t>
      </w:r>
      <w:r>
        <w:rPr>
          <w:spacing w:val="-16"/>
        </w:rPr>
        <w:t> </w:t>
      </w:r>
      <w:r>
        <w:rPr/>
        <w:t>thanks</w:t>
      </w:r>
      <w:r>
        <w:rPr>
          <w:spacing w:val="-14"/>
        </w:rPr>
        <w:t> </w:t>
      </w:r>
      <w:r>
        <w:rPr/>
        <w:t>to</w:t>
      </w:r>
      <w:r>
        <w:rPr>
          <w:spacing w:val="-14"/>
        </w:rPr>
        <w:t> </w:t>
      </w:r>
      <w:r>
        <w:rPr/>
        <w:t>the</w:t>
      </w:r>
      <w:r>
        <w:rPr>
          <w:spacing w:val="-14"/>
        </w:rPr>
        <w:t> </w:t>
      </w:r>
      <w:r>
        <w:rPr/>
        <w:t>silver</w:t>
      </w:r>
      <w:r>
        <w:rPr>
          <w:spacing w:val="-14"/>
        </w:rPr>
        <w:t> </w:t>
      </w:r>
      <w:r>
        <w:rPr/>
        <w:t>solution,</w:t>
      </w:r>
      <w:r>
        <w:rPr>
          <w:spacing w:val="-15"/>
        </w:rPr>
        <w:t> </w:t>
      </w:r>
      <w:r>
        <w:rPr/>
        <w:t>make</w:t>
      </w:r>
      <w:r>
        <w:rPr>
          <w:spacing w:val="-15"/>
        </w:rPr>
        <w:t> </w:t>
      </w:r>
      <w:r>
        <w:rPr/>
        <w:t>one</w:t>
      </w:r>
      <w:r>
        <w:rPr>
          <w:spacing w:val="-14"/>
        </w:rPr>
        <w:t> </w:t>
      </w:r>
      <w:r>
        <w:rPr/>
        <w:t>sit</w:t>
      </w:r>
      <w:r>
        <w:rPr>
          <w:spacing w:val="-16"/>
        </w:rPr>
        <w:t> </w:t>
      </w:r>
      <w:r>
        <w:rPr/>
        <w:t>up</w:t>
      </w:r>
      <w:r>
        <w:rPr>
          <w:spacing w:val="-15"/>
        </w:rPr>
        <w:t> </w:t>
      </w:r>
      <w:r>
        <w:rPr/>
        <w:t>and</w:t>
      </w:r>
      <w:r>
        <w:rPr>
          <w:spacing w:val="-15"/>
        </w:rPr>
        <w:t> </w:t>
      </w:r>
      <w:r>
        <w:rPr/>
        <w:t>take</w:t>
      </w:r>
    </w:p>
    <w:p>
      <w:pPr>
        <w:spacing w:after="0" w:line="276" w:lineRule="auto"/>
        <w:jc w:val="both"/>
        <w:sectPr>
          <w:pgSz w:w="14270" w:h="16850"/>
          <w:pgMar w:header="0" w:footer="1891" w:top="1600" w:bottom="2080" w:left="800" w:right="1280"/>
        </w:sectPr>
      </w:pPr>
    </w:p>
    <w:p>
      <w:pPr>
        <w:pStyle w:val="BodyText"/>
        <w:spacing w:before="181"/>
        <w:ind w:left="477"/>
        <w:jc w:val="both"/>
      </w:pPr>
      <w:r>
        <w:rPr/>
        <w:t>notice.</w:t>
      </w:r>
    </w:p>
    <w:p>
      <w:pPr>
        <w:pStyle w:val="BodyText"/>
        <w:spacing w:line="276" w:lineRule="auto" w:before="305"/>
        <w:ind w:left="477" w:right="138"/>
        <w:jc w:val="both"/>
      </w:pPr>
      <w:r>
        <w:rPr/>
        <w:t>To use the precious metal for healing purposes, a suspension of microscopic silver particles in demineralised water is used. The resulting remedy is a</w:t>
      </w:r>
      <w:r>
        <w:rPr>
          <w:spacing w:val="-44"/>
        </w:rPr>
        <w:t> </w:t>
      </w:r>
      <w:r>
        <w:rPr/>
        <w:t>yellow- ish, slightly bitter liquid and is effective against bacteria, viruses, parasites and fungi.</w:t>
      </w:r>
    </w:p>
    <w:p>
      <w:pPr>
        <w:pStyle w:val="BodyText"/>
        <w:spacing w:line="276" w:lineRule="auto" w:before="239"/>
        <w:ind w:left="477" w:right="134"/>
        <w:jc w:val="both"/>
      </w:pPr>
      <w:r>
        <w:rPr/>
        <w:t>It has been extensively researched at various institutes and universities and has proven to be completely non-toxic, so it has no side effects with other drugs. Antibiotic-resistant strains cannot develop any further under silver therapy.</w:t>
      </w:r>
    </w:p>
    <w:p>
      <w:pPr>
        <w:pStyle w:val="BodyText"/>
        <w:spacing w:line="276" w:lineRule="auto" w:before="242"/>
        <w:ind w:left="477" w:right="131"/>
        <w:jc w:val="both"/>
      </w:pPr>
      <w:r>
        <w:rPr/>
        <w:t>Test tube experiments have shown that even the most resistant pathogen can- not</w:t>
      </w:r>
      <w:r>
        <w:rPr>
          <w:spacing w:val="-7"/>
        </w:rPr>
        <w:t> </w:t>
      </w:r>
      <w:r>
        <w:rPr/>
        <w:t>survive</w:t>
      </w:r>
      <w:r>
        <w:rPr>
          <w:spacing w:val="-6"/>
        </w:rPr>
        <w:t> </w:t>
      </w:r>
      <w:r>
        <w:rPr/>
        <w:t>for</w:t>
      </w:r>
      <w:r>
        <w:rPr>
          <w:spacing w:val="-7"/>
        </w:rPr>
        <w:t> </w:t>
      </w:r>
      <w:r>
        <w:rPr/>
        <w:t>6</w:t>
      </w:r>
      <w:r>
        <w:rPr>
          <w:spacing w:val="-6"/>
        </w:rPr>
        <w:t> </w:t>
      </w:r>
      <w:r>
        <w:rPr/>
        <w:t>minutes</w:t>
      </w:r>
      <w:r>
        <w:rPr>
          <w:spacing w:val="-6"/>
        </w:rPr>
        <w:t> </w:t>
      </w:r>
      <w:r>
        <w:rPr/>
        <w:t>in</w:t>
      </w:r>
      <w:r>
        <w:rPr>
          <w:spacing w:val="-6"/>
        </w:rPr>
        <w:t> </w:t>
      </w:r>
      <w:r>
        <w:rPr/>
        <w:t>a</w:t>
      </w:r>
      <w:r>
        <w:rPr>
          <w:spacing w:val="-9"/>
        </w:rPr>
        <w:t> </w:t>
      </w:r>
      <w:r>
        <w:rPr/>
        <w:t>solution</w:t>
      </w:r>
      <w:r>
        <w:rPr>
          <w:spacing w:val="-5"/>
        </w:rPr>
        <w:t> </w:t>
      </w:r>
      <w:r>
        <w:rPr/>
        <w:t>of</w:t>
      </w:r>
      <w:r>
        <w:rPr>
          <w:spacing w:val="-7"/>
        </w:rPr>
        <w:t> </w:t>
      </w:r>
      <w:r>
        <w:rPr/>
        <w:t>50</w:t>
      </w:r>
      <w:r>
        <w:rPr>
          <w:spacing w:val="-7"/>
        </w:rPr>
        <w:t> </w:t>
      </w:r>
      <w:r>
        <w:rPr/>
        <w:t>ppm</w:t>
      </w:r>
      <w:r>
        <w:rPr>
          <w:spacing w:val="-8"/>
        </w:rPr>
        <w:t> </w:t>
      </w:r>
      <w:r>
        <w:rPr/>
        <w:t>(parts</w:t>
      </w:r>
      <w:r>
        <w:rPr>
          <w:spacing w:val="-6"/>
        </w:rPr>
        <w:t> </w:t>
      </w:r>
      <w:r>
        <w:rPr/>
        <w:t>per</w:t>
      </w:r>
      <w:r>
        <w:rPr>
          <w:spacing w:val="-7"/>
        </w:rPr>
        <w:t> </w:t>
      </w:r>
      <w:r>
        <w:rPr/>
        <w:t>million).</w:t>
      </w:r>
      <w:r>
        <w:rPr>
          <w:spacing w:val="-5"/>
        </w:rPr>
        <w:t> </w:t>
      </w:r>
      <w:r>
        <w:rPr/>
        <w:t>The</w:t>
      </w:r>
      <w:r>
        <w:rPr>
          <w:spacing w:val="-8"/>
        </w:rPr>
        <w:t> </w:t>
      </w:r>
      <w:r>
        <w:rPr/>
        <w:t>silver ions break the respiratory chain of the microorganisms and paralyse their me- tabolism;</w:t>
      </w:r>
      <w:r>
        <w:rPr>
          <w:spacing w:val="-24"/>
        </w:rPr>
        <w:t> </w:t>
      </w:r>
      <w:r>
        <w:rPr/>
        <w:t>they</w:t>
      </w:r>
      <w:r>
        <w:rPr>
          <w:spacing w:val="-24"/>
        </w:rPr>
        <w:t> </w:t>
      </w:r>
      <w:r>
        <w:rPr/>
        <w:t>can</w:t>
      </w:r>
      <w:r>
        <w:rPr>
          <w:spacing w:val="-24"/>
        </w:rPr>
        <w:t> </w:t>
      </w:r>
      <w:r>
        <w:rPr/>
        <w:t>distinguish</w:t>
      </w:r>
      <w:r>
        <w:rPr>
          <w:spacing w:val="-24"/>
        </w:rPr>
        <w:t> </w:t>
      </w:r>
      <w:r>
        <w:rPr/>
        <w:t>between</w:t>
      </w:r>
      <w:r>
        <w:rPr>
          <w:spacing w:val="-24"/>
        </w:rPr>
        <w:t> </w:t>
      </w:r>
      <w:r>
        <w:rPr/>
        <w:t>physiological</w:t>
      </w:r>
      <w:r>
        <w:rPr>
          <w:spacing w:val="-25"/>
        </w:rPr>
        <w:t> </w:t>
      </w:r>
      <w:r>
        <w:rPr/>
        <w:t>bacteria</w:t>
      </w:r>
      <w:r>
        <w:rPr>
          <w:spacing w:val="-26"/>
        </w:rPr>
        <w:t> </w:t>
      </w:r>
      <w:r>
        <w:rPr/>
        <w:t>and</w:t>
      </w:r>
      <w:r>
        <w:rPr>
          <w:spacing w:val="-25"/>
        </w:rPr>
        <w:t> </w:t>
      </w:r>
      <w:r>
        <w:rPr/>
        <w:t>pathogens</w:t>
      </w:r>
      <w:r>
        <w:rPr>
          <w:spacing w:val="-24"/>
        </w:rPr>
        <w:t> </w:t>
      </w:r>
      <w:r>
        <w:rPr/>
        <w:t>due to pathogen size and metabolic environment. This indirect attack has the ad- vantage</w:t>
      </w:r>
      <w:r>
        <w:rPr>
          <w:spacing w:val="-14"/>
        </w:rPr>
        <w:t> </w:t>
      </w:r>
      <w:r>
        <w:rPr/>
        <w:t>that</w:t>
      </w:r>
      <w:r>
        <w:rPr>
          <w:spacing w:val="-14"/>
        </w:rPr>
        <w:t> </w:t>
      </w:r>
      <w:r>
        <w:rPr/>
        <w:t>the</w:t>
      </w:r>
      <w:r>
        <w:rPr>
          <w:spacing w:val="-11"/>
        </w:rPr>
        <w:t> </w:t>
      </w:r>
      <w:r>
        <w:rPr/>
        <w:t>germs</w:t>
      </w:r>
      <w:r>
        <w:rPr>
          <w:spacing w:val="-14"/>
        </w:rPr>
        <w:t> </w:t>
      </w:r>
      <w:r>
        <w:rPr/>
        <w:t>cannot</w:t>
      </w:r>
      <w:r>
        <w:rPr>
          <w:spacing w:val="-14"/>
        </w:rPr>
        <w:t> </w:t>
      </w:r>
      <w:r>
        <w:rPr/>
        <w:t>become</w:t>
      </w:r>
      <w:r>
        <w:rPr>
          <w:spacing w:val="-14"/>
        </w:rPr>
        <w:t> </w:t>
      </w:r>
      <w:r>
        <w:rPr/>
        <w:t>resistant</w:t>
      </w:r>
      <w:r>
        <w:rPr>
          <w:spacing w:val="-14"/>
        </w:rPr>
        <w:t> </w:t>
      </w:r>
      <w:r>
        <w:rPr/>
        <w:t>to</w:t>
      </w:r>
      <w:r>
        <w:rPr>
          <w:spacing w:val="-14"/>
        </w:rPr>
        <w:t> </w:t>
      </w:r>
      <w:r>
        <w:rPr/>
        <w:t>the</w:t>
      </w:r>
      <w:r>
        <w:rPr>
          <w:spacing w:val="-13"/>
        </w:rPr>
        <w:t> </w:t>
      </w:r>
      <w:r>
        <w:rPr/>
        <w:t>agent,</w:t>
      </w:r>
      <w:r>
        <w:rPr>
          <w:spacing w:val="-14"/>
        </w:rPr>
        <w:t> </w:t>
      </w:r>
      <w:r>
        <w:rPr/>
        <w:t>as</w:t>
      </w:r>
      <w:r>
        <w:rPr>
          <w:spacing w:val="-14"/>
        </w:rPr>
        <w:t> </w:t>
      </w:r>
      <w:r>
        <w:rPr/>
        <w:t>is</w:t>
      </w:r>
      <w:r>
        <w:rPr>
          <w:spacing w:val="-16"/>
        </w:rPr>
        <w:t> </w:t>
      </w:r>
      <w:r>
        <w:rPr/>
        <w:t>unfortunately often</w:t>
      </w:r>
      <w:r>
        <w:rPr>
          <w:spacing w:val="-18"/>
        </w:rPr>
        <w:t> </w:t>
      </w:r>
      <w:r>
        <w:rPr/>
        <w:t>the</w:t>
      </w:r>
      <w:r>
        <w:rPr>
          <w:spacing w:val="-18"/>
        </w:rPr>
        <w:t> </w:t>
      </w:r>
      <w:r>
        <w:rPr/>
        <w:t>case</w:t>
      </w:r>
      <w:r>
        <w:rPr>
          <w:spacing w:val="-18"/>
        </w:rPr>
        <w:t> </w:t>
      </w:r>
      <w:r>
        <w:rPr/>
        <w:t>with</w:t>
      </w:r>
      <w:r>
        <w:rPr>
          <w:spacing w:val="-18"/>
        </w:rPr>
        <w:t> </w:t>
      </w:r>
      <w:r>
        <w:rPr/>
        <w:t>antibiotics’.</w:t>
      </w:r>
      <w:r>
        <w:rPr>
          <w:spacing w:val="-18"/>
        </w:rPr>
        <w:t> </w:t>
      </w:r>
      <w:r>
        <w:rPr/>
        <w:t>(Mensch</w:t>
      </w:r>
      <w:r>
        <w:rPr>
          <w:spacing w:val="-18"/>
        </w:rPr>
        <w:t> </w:t>
      </w:r>
      <w:r>
        <w:rPr/>
        <w:t>&amp;</w:t>
      </w:r>
      <w:r>
        <w:rPr>
          <w:spacing w:val="-20"/>
        </w:rPr>
        <w:t> </w:t>
      </w:r>
      <w:r>
        <w:rPr/>
        <w:t>Sein</w:t>
      </w:r>
      <w:r>
        <w:rPr>
          <w:spacing w:val="-20"/>
        </w:rPr>
        <w:t> </w:t>
      </w:r>
      <w:r>
        <w:rPr/>
        <w:t>magazine,</w:t>
      </w:r>
      <w:r>
        <w:rPr>
          <w:spacing w:val="-18"/>
        </w:rPr>
        <w:t> </w:t>
      </w:r>
      <w:r>
        <w:rPr/>
        <w:t>August</w:t>
      </w:r>
      <w:r>
        <w:rPr>
          <w:spacing w:val="-19"/>
        </w:rPr>
        <w:t> </w:t>
      </w:r>
      <w:r>
        <w:rPr/>
        <w:t>2001</w:t>
      </w:r>
      <w:r>
        <w:rPr>
          <w:spacing w:val="-19"/>
        </w:rPr>
        <w:t> </w:t>
      </w:r>
      <w:r>
        <w:rPr/>
        <w:t>edition)</w:t>
      </w:r>
    </w:p>
    <w:p>
      <w:pPr>
        <w:pStyle w:val="BodyText"/>
        <w:tabs>
          <w:tab w:pos="2930" w:val="left" w:leader="none"/>
          <w:tab w:pos="4757" w:val="left" w:leader="none"/>
          <w:tab w:pos="7183" w:val="left" w:leader="none"/>
          <w:tab w:pos="9366" w:val="left" w:leader="none"/>
          <w:tab w:pos="10991" w:val="left" w:leader="none"/>
        </w:tabs>
        <w:spacing w:line="276" w:lineRule="auto" w:before="240"/>
        <w:ind w:left="477" w:right="132"/>
        <w:jc w:val="both"/>
      </w:pPr>
      <w:r>
        <w:rPr/>
        <w:t>‘Colloidal</w:t>
        <w:tab/>
        <w:t>silver</w:t>
        <w:tab/>
        <w:t>antibiotic</w:t>
        <w:tab/>
        <w:t>without</w:t>
        <w:tab/>
        <w:t>side</w:t>
        <w:tab/>
        <w:t>effects</w:t>
      </w:r>
      <w:r>
        <w:rPr>
          <w:i/>
        </w:rPr>
        <w:t>. </w:t>
      </w:r>
      <w:r>
        <w:rPr/>
        <w:t>It used to be common knowledge that you could keep food fresh longer with silver. Even Alexander the Great transported water in silver vessels during his long campaigns. And our great-grandmothers, who did not yet have refrigera- tors, put a silver coin in milk so that it would keep longer.</w:t>
      </w:r>
    </w:p>
    <w:p>
      <w:pPr>
        <w:pStyle w:val="BodyText"/>
        <w:spacing w:before="240"/>
        <w:ind w:left="477"/>
        <w:jc w:val="both"/>
      </w:pPr>
      <w:r>
        <w:rPr/>
        <w:t>The silver killed and destroyed the germs in water and milk that made them</w:t>
      </w:r>
    </w:p>
    <w:p>
      <w:pPr>
        <w:spacing w:after="0"/>
        <w:jc w:val="both"/>
        <w:sectPr>
          <w:pgSz w:w="14270" w:h="16850"/>
          <w:pgMar w:header="0" w:footer="1891" w:top="1600" w:bottom="2080" w:left="800" w:right="1280"/>
        </w:sectPr>
      </w:pPr>
    </w:p>
    <w:p>
      <w:pPr>
        <w:pStyle w:val="BodyText"/>
        <w:spacing w:line="276" w:lineRule="auto" w:before="181"/>
        <w:ind w:left="477" w:right="132"/>
        <w:jc w:val="both"/>
      </w:pPr>
      <w:r>
        <w:rPr/>
        <w:t>undrinkable. What was passed down through the generations for a long time finally became scientifically proven in the 19th century: the antibiotic effect of silver.</w:t>
      </w:r>
    </w:p>
    <w:p>
      <w:pPr>
        <w:pStyle w:val="BodyText"/>
        <w:spacing w:line="276" w:lineRule="auto" w:before="242"/>
        <w:ind w:left="477" w:right="134"/>
        <w:jc w:val="both"/>
      </w:pPr>
      <w:r>
        <w:rPr/>
        <w:t>Nobles</w:t>
      </w:r>
      <w:r>
        <w:rPr>
          <w:spacing w:val="-19"/>
        </w:rPr>
        <w:t> </w:t>
      </w:r>
      <w:r>
        <w:rPr/>
        <w:t>were</w:t>
      </w:r>
      <w:r>
        <w:rPr>
          <w:spacing w:val="-20"/>
        </w:rPr>
        <w:t> </w:t>
      </w:r>
      <w:r>
        <w:rPr/>
        <w:t>said</w:t>
      </w:r>
      <w:r>
        <w:rPr>
          <w:spacing w:val="-19"/>
        </w:rPr>
        <w:t> </w:t>
      </w:r>
      <w:r>
        <w:rPr/>
        <w:t>to</w:t>
      </w:r>
      <w:r>
        <w:rPr>
          <w:spacing w:val="-19"/>
        </w:rPr>
        <w:t> </w:t>
      </w:r>
      <w:r>
        <w:rPr/>
        <w:t>have</w:t>
      </w:r>
      <w:r>
        <w:rPr>
          <w:spacing w:val="-20"/>
        </w:rPr>
        <w:t> </w:t>
      </w:r>
      <w:r>
        <w:rPr/>
        <w:t>‘blue</w:t>
      </w:r>
      <w:r>
        <w:rPr>
          <w:spacing w:val="-20"/>
        </w:rPr>
        <w:t> </w:t>
      </w:r>
      <w:r>
        <w:rPr/>
        <w:t>blood’,</w:t>
      </w:r>
      <w:r>
        <w:rPr>
          <w:spacing w:val="-18"/>
        </w:rPr>
        <w:t> </w:t>
      </w:r>
      <w:r>
        <w:rPr/>
        <w:t>which</w:t>
      </w:r>
      <w:r>
        <w:rPr>
          <w:spacing w:val="-21"/>
        </w:rPr>
        <w:t> </w:t>
      </w:r>
      <w:r>
        <w:rPr/>
        <w:t>was</w:t>
      </w:r>
      <w:r>
        <w:rPr>
          <w:spacing w:val="-18"/>
        </w:rPr>
        <w:t> </w:t>
      </w:r>
      <w:r>
        <w:rPr/>
        <w:t>nothing</w:t>
      </w:r>
      <w:r>
        <w:rPr>
          <w:spacing w:val="-21"/>
        </w:rPr>
        <w:t> </w:t>
      </w:r>
      <w:r>
        <w:rPr/>
        <w:t>but</w:t>
      </w:r>
      <w:r>
        <w:rPr>
          <w:spacing w:val="-20"/>
        </w:rPr>
        <w:t> </w:t>
      </w:r>
      <w:r>
        <w:rPr/>
        <w:t>skin</w:t>
      </w:r>
      <w:r>
        <w:rPr>
          <w:spacing w:val="-18"/>
        </w:rPr>
        <w:t> </w:t>
      </w:r>
      <w:r>
        <w:rPr/>
        <w:t>discoloration due to silver overdose. The nobility contracted this due to eating with silver cutlery.</w:t>
      </w:r>
    </w:p>
    <w:p>
      <w:pPr>
        <w:pStyle w:val="BodyText"/>
        <w:spacing w:line="276" w:lineRule="auto" w:before="239"/>
        <w:ind w:left="477" w:right="133"/>
        <w:jc w:val="both"/>
      </w:pPr>
      <w:r>
        <w:rPr/>
        <w:t>Nobles</w:t>
      </w:r>
      <w:r>
        <w:rPr>
          <w:spacing w:val="-7"/>
        </w:rPr>
        <w:t> </w:t>
      </w:r>
      <w:r>
        <w:rPr/>
        <w:t>were</w:t>
      </w:r>
      <w:r>
        <w:rPr>
          <w:spacing w:val="-6"/>
        </w:rPr>
        <w:t> </w:t>
      </w:r>
      <w:r>
        <w:rPr/>
        <w:t>also</w:t>
      </w:r>
      <w:r>
        <w:rPr>
          <w:spacing w:val="-8"/>
        </w:rPr>
        <w:t> </w:t>
      </w:r>
      <w:r>
        <w:rPr/>
        <w:t>deemed</w:t>
      </w:r>
      <w:r>
        <w:rPr>
          <w:spacing w:val="-7"/>
        </w:rPr>
        <w:t> </w:t>
      </w:r>
      <w:r>
        <w:rPr/>
        <w:t>to</w:t>
      </w:r>
      <w:r>
        <w:rPr>
          <w:spacing w:val="-6"/>
        </w:rPr>
        <w:t> </w:t>
      </w:r>
      <w:r>
        <w:rPr/>
        <w:t>have</w:t>
      </w:r>
      <w:r>
        <w:rPr>
          <w:spacing w:val="-8"/>
        </w:rPr>
        <w:t> </w:t>
      </w:r>
      <w:r>
        <w:rPr/>
        <w:t>exceptionally</w:t>
      </w:r>
      <w:r>
        <w:rPr>
          <w:spacing w:val="-7"/>
        </w:rPr>
        <w:t> </w:t>
      </w:r>
      <w:r>
        <w:rPr/>
        <w:t>good</w:t>
      </w:r>
      <w:r>
        <w:rPr>
          <w:spacing w:val="-7"/>
        </w:rPr>
        <w:t> </w:t>
      </w:r>
      <w:r>
        <w:rPr/>
        <w:t>health.</w:t>
      </w:r>
      <w:r>
        <w:rPr>
          <w:spacing w:val="-8"/>
        </w:rPr>
        <w:t> </w:t>
      </w:r>
      <w:r>
        <w:rPr/>
        <w:t>The</w:t>
      </w:r>
      <w:r>
        <w:rPr>
          <w:spacing w:val="-9"/>
        </w:rPr>
        <w:t> </w:t>
      </w:r>
      <w:r>
        <w:rPr/>
        <w:t>reason:</w:t>
      </w:r>
      <w:r>
        <w:rPr>
          <w:spacing w:val="-6"/>
        </w:rPr>
        <w:t> </w:t>
      </w:r>
      <w:r>
        <w:rPr/>
        <w:t>Silver is not only antibiotic in milk or water, but also in bodily fluids. To capitalise</w:t>
      </w:r>
      <w:r>
        <w:rPr>
          <w:spacing w:val="-55"/>
        </w:rPr>
        <w:t> </w:t>
      </w:r>
      <w:r>
        <w:rPr/>
        <w:t>on this</w:t>
      </w:r>
      <w:r>
        <w:rPr>
          <w:spacing w:val="-11"/>
        </w:rPr>
        <w:t> </w:t>
      </w:r>
      <w:r>
        <w:rPr/>
        <w:t>effect,</w:t>
      </w:r>
      <w:r>
        <w:rPr>
          <w:spacing w:val="-10"/>
        </w:rPr>
        <w:t> </w:t>
      </w:r>
      <w:r>
        <w:rPr/>
        <w:t>doctors</w:t>
      </w:r>
      <w:r>
        <w:rPr>
          <w:spacing w:val="-10"/>
        </w:rPr>
        <w:t> </w:t>
      </w:r>
      <w:r>
        <w:rPr/>
        <w:t>ground</w:t>
      </w:r>
      <w:r>
        <w:rPr>
          <w:spacing w:val="-10"/>
        </w:rPr>
        <w:t> </w:t>
      </w:r>
      <w:r>
        <w:rPr/>
        <w:t>silver</w:t>
      </w:r>
      <w:r>
        <w:rPr>
          <w:spacing w:val="-11"/>
        </w:rPr>
        <w:t> </w:t>
      </w:r>
      <w:r>
        <w:rPr/>
        <w:t>in</w:t>
      </w:r>
      <w:r>
        <w:rPr>
          <w:spacing w:val="-11"/>
        </w:rPr>
        <w:t> </w:t>
      </w:r>
      <w:r>
        <w:rPr/>
        <w:t>water</w:t>
      </w:r>
      <w:r>
        <w:rPr>
          <w:spacing w:val="-12"/>
        </w:rPr>
        <w:t> </w:t>
      </w:r>
      <w:r>
        <w:rPr/>
        <w:t>–</w:t>
      </w:r>
      <w:r>
        <w:rPr>
          <w:spacing w:val="-11"/>
        </w:rPr>
        <w:t> </w:t>
      </w:r>
      <w:r>
        <w:rPr/>
        <w:t>or</w:t>
      </w:r>
      <w:r>
        <w:rPr>
          <w:spacing w:val="-11"/>
        </w:rPr>
        <w:t> </w:t>
      </w:r>
      <w:r>
        <w:rPr/>
        <w:t>dissolved</w:t>
      </w:r>
      <w:r>
        <w:rPr>
          <w:spacing w:val="-11"/>
        </w:rPr>
        <w:t> </w:t>
      </w:r>
      <w:r>
        <w:rPr/>
        <w:t>it</w:t>
      </w:r>
      <w:r>
        <w:rPr>
          <w:spacing w:val="-12"/>
        </w:rPr>
        <w:t> </w:t>
      </w:r>
      <w:r>
        <w:rPr/>
        <w:t>with</w:t>
      </w:r>
      <w:r>
        <w:rPr>
          <w:spacing w:val="-10"/>
        </w:rPr>
        <w:t> </w:t>
      </w:r>
      <w:r>
        <w:rPr/>
        <w:t>nitric</w:t>
      </w:r>
      <w:r>
        <w:rPr>
          <w:spacing w:val="-12"/>
        </w:rPr>
        <w:t> </w:t>
      </w:r>
      <w:r>
        <w:rPr/>
        <w:t>acid</w:t>
      </w:r>
      <w:r>
        <w:rPr>
          <w:spacing w:val="-8"/>
        </w:rPr>
        <w:t> </w:t>
      </w:r>
      <w:r>
        <w:rPr/>
        <w:t>–</w:t>
      </w:r>
      <w:r>
        <w:rPr>
          <w:spacing w:val="-11"/>
        </w:rPr>
        <w:t> </w:t>
      </w:r>
      <w:r>
        <w:rPr/>
        <w:t>and administered</w:t>
      </w:r>
      <w:r>
        <w:rPr>
          <w:spacing w:val="-19"/>
        </w:rPr>
        <w:t> </w:t>
      </w:r>
      <w:r>
        <w:rPr/>
        <w:t>it</w:t>
      </w:r>
      <w:r>
        <w:rPr>
          <w:spacing w:val="-20"/>
        </w:rPr>
        <w:t> </w:t>
      </w:r>
      <w:r>
        <w:rPr/>
        <w:t>to</w:t>
      </w:r>
      <w:r>
        <w:rPr>
          <w:spacing w:val="-18"/>
        </w:rPr>
        <w:t> </w:t>
      </w:r>
      <w:r>
        <w:rPr/>
        <w:t>combat</w:t>
      </w:r>
      <w:r>
        <w:rPr>
          <w:spacing w:val="-20"/>
        </w:rPr>
        <w:t> </w:t>
      </w:r>
      <w:r>
        <w:rPr/>
        <w:t>bacterial</w:t>
      </w:r>
      <w:r>
        <w:rPr>
          <w:spacing w:val="-20"/>
        </w:rPr>
        <w:t> </w:t>
      </w:r>
      <w:r>
        <w:rPr/>
        <w:t>and</w:t>
      </w:r>
      <w:r>
        <w:rPr>
          <w:spacing w:val="-20"/>
        </w:rPr>
        <w:t> </w:t>
      </w:r>
      <w:r>
        <w:rPr/>
        <w:t>viral</w:t>
      </w:r>
      <w:r>
        <w:rPr>
          <w:spacing w:val="-20"/>
        </w:rPr>
        <w:t> </w:t>
      </w:r>
      <w:r>
        <w:rPr/>
        <w:t>diseases.</w:t>
      </w:r>
      <w:r>
        <w:rPr>
          <w:spacing w:val="-18"/>
        </w:rPr>
        <w:t> </w:t>
      </w:r>
      <w:r>
        <w:rPr/>
        <w:t>(Tennis</w:t>
      </w:r>
      <w:r>
        <w:rPr>
          <w:spacing w:val="-21"/>
        </w:rPr>
        <w:t> </w:t>
      </w:r>
      <w:r>
        <w:rPr/>
        <w:t>live</w:t>
      </w:r>
      <w:r>
        <w:rPr>
          <w:spacing w:val="-23"/>
        </w:rPr>
        <w:t> </w:t>
      </w:r>
      <w:r>
        <w:rPr/>
        <w:t>No.</w:t>
      </w:r>
      <w:r>
        <w:rPr>
          <w:spacing w:val="-18"/>
        </w:rPr>
        <w:t> </w:t>
      </w:r>
      <w:r>
        <w:rPr/>
        <w:t>33/2001)</w:t>
      </w:r>
    </w:p>
    <w:p>
      <w:pPr>
        <w:spacing w:line="276" w:lineRule="auto" w:before="241"/>
        <w:ind w:left="477" w:right="135" w:firstLine="0"/>
        <w:jc w:val="both"/>
        <w:rPr>
          <w:i/>
          <w:sz w:val="38"/>
        </w:rPr>
      </w:pPr>
      <w:r>
        <w:rPr>
          <w:sz w:val="38"/>
        </w:rPr>
        <w:t>‘</w:t>
      </w:r>
      <w:r>
        <w:rPr>
          <w:i/>
          <w:sz w:val="38"/>
        </w:rPr>
        <w:t>According to the statements of the well-known biomedical scientist Dr. O. Becker, all path- </w:t>
      </w:r>
      <w:r>
        <w:rPr>
          <w:i/>
          <w:sz w:val="38"/>
        </w:rPr>
        <w:t>ogenic microorganisms that are already immune to antibiotics are killed by administering col- loidal silver. Pharmacologist Barnes explains: </w:t>
      </w:r>
      <w:r>
        <w:rPr>
          <w:sz w:val="38"/>
        </w:rPr>
        <w:t>‘</w:t>
      </w:r>
      <w:r>
        <w:rPr>
          <w:i/>
          <w:sz w:val="38"/>
        </w:rPr>
        <w:t>Many types of microbes, viruses and fungi are </w:t>
      </w:r>
      <w:r>
        <w:rPr>
          <w:i/>
          <w:sz w:val="38"/>
        </w:rPr>
        <w:t>killed by contact with colloidal silver and can no longer mutate’.</w:t>
      </w:r>
    </w:p>
    <w:p>
      <w:pPr>
        <w:spacing w:line="276" w:lineRule="auto" w:before="240"/>
        <w:ind w:left="477" w:right="134" w:firstLine="0"/>
        <w:jc w:val="both"/>
        <w:rPr>
          <w:i/>
          <w:sz w:val="38"/>
        </w:rPr>
      </w:pPr>
      <w:r>
        <w:rPr>
          <w:i/>
          <w:sz w:val="38"/>
        </w:rPr>
        <w:t>Unlike</w:t>
      </w:r>
      <w:r>
        <w:rPr>
          <w:i/>
          <w:spacing w:val="-13"/>
          <w:sz w:val="38"/>
        </w:rPr>
        <w:t> </w:t>
      </w:r>
      <w:r>
        <w:rPr>
          <w:i/>
          <w:sz w:val="38"/>
        </w:rPr>
        <w:t>antibiotics,</w:t>
      </w:r>
      <w:r>
        <w:rPr>
          <w:i/>
          <w:spacing w:val="-11"/>
          <w:sz w:val="38"/>
        </w:rPr>
        <w:t> </w:t>
      </w:r>
      <w:r>
        <w:rPr>
          <w:i/>
          <w:sz w:val="38"/>
        </w:rPr>
        <w:t>colloidal</w:t>
      </w:r>
      <w:r>
        <w:rPr>
          <w:i/>
          <w:spacing w:val="-11"/>
          <w:sz w:val="38"/>
        </w:rPr>
        <w:t> </w:t>
      </w:r>
      <w:r>
        <w:rPr>
          <w:i/>
          <w:sz w:val="38"/>
        </w:rPr>
        <w:t>silver</w:t>
      </w:r>
      <w:r>
        <w:rPr>
          <w:i/>
          <w:spacing w:val="-11"/>
          <w:sz w:val="38"/>
        </w:rPr>
        <w:t> </w:t>
      </w:r>
      <w:r>
        <w:rPr>
          <w:i/>
          <w:sz w:val="38"/>
        </w:rPr>
        <w:t>does</w:t>
      </w:r>
      <w:r>
        <w:rPr>
          <w:i/>
          <w:spacing w:val="-13"/>
          <w:sz w:val="38"/>
        </w:rPr>
        <w:t> </w:t>
      </w:r>
      <w:r>
        <w:rPr>
          <w:i/>
          <w:sz w:val="38"/>
        </w:rPr>
        <w:t>not</w:t>
      </w:r>
      <w:r>
        <w:rPr>
          <w:i/>
          <w:spacing w:val="-11"/>
          <w:sz w:val="38"/>
        </w:rPr>
        <w:t> </w:t>
      </w:r>
      <w:r>
        <w:rPr>
          <w:i/>
          <w:sz w:val="38"/>
        </w:rPr>
        <w:t>weaken</w:t>
      </w:r>
      <w:r>
        <w:rPr>
          <w:i/>
          <w:spacing w:val="-11"/>
          <w:sz w:val="38"/>
        </w:rPr>
        <w:t> </w:t>
      </w:r>
      <w:r>
        <w:rPr>
          <w:i/>
          <w:sz w:val="38"/>
        </w:rPr>
        <w:t>the</w:t>
      </w:r>
      <w:r>
        <w:rPr>
          <w:i/>
          <w:spacing w:val="-11"/>
          <w:sz w:val="38"/>
        </w:rPr>
        <w:t> </w:t>
      </w:r>
      <w:r>
        <w:rPr>
          <w:i/>
          <w:sz w:val="38"/>
        </w:rPr>
        <w:t>immune</w:t>
      </w:r>
      <w:r>
        <w:rPr>
          <w:i/>
          <w:spacing w:val="-12"/>
          <w:sz w:val="38"/>
        </w:rPr>
        <w:t> </w:t>
      </w:r>
      <w:r>
        <w:rPr>
          <w:i/>
          <w:sz w:val="38"/>
        </w:rPr>
        <w:t>system.</w:t>
      </w:r>
      <w:r>
        <w:rPr>
          <w:i/>
          <w:spacing w:val="-12"/>
          <w:sz w:val="38"/>
        </w:rPr>
        <w:t> </w:t>
      </w:r>
      <w:r>
        <w:rPr>
          <w:i/>
          <w:sz w:val="38"/>
        </w:rPr>
        <w:t>Dr.</w:t>
      </w:r>
      <w:r>
        <w:rPr>
          <w:i/>
          <w:spacing w:val="-13"/>
          <w:sz w:val="38"/>
        </w:rPr>
        <w:t> </w:t>
      </w:r>
      <w:r>
        <w:rPr>
          <w:i/>
          <w:sz w:val="38"/>
        </w:rPr>
        <w:t>Becker</w:t>
      </w:r>
      <w:r>
        <w:rPr>
          <w:i/>
          <w:spacing w:val="-11"/>
          <w:sz w:val="38"/>
        </w:rPr>
        <w:t> </w:t>
      </w:r>
      <w:r>
        <w:rPr>
          <w:i/>
          <w:sz w:val="38"/>
        </w:rPr>
        <w:t>recognised </w:t>
      </w:r>
      <w:r>
        <w:rPr>
          <w:i/>
          <w:sz w:val="38"/>
        </w:rPr>
        <w:t>a</w:t>
      </w:r>
      <w:r>
        <w:rPr>
          <w:i/>
          <w:spacing w:val="-18"/>
          <w:sz w:val="38"/>
        </w:rPr>
        <w:t> </w:t>
      </w:r>
      <w:r>
        <w:rPr>
          <w:i/>
          <w:sz w:val="38"/>
        </w:rPr>
        <w:t>link</w:t>
      </w:r>
      <w:r>
        <w:rPr>
          <w:i/>
          <w:spacing w:val="-17"/>
          <w:sz w:val="38"/>
        </w:rPr>
        <w:t> </w:t>
      </w:r>
      <w:r>
        <w:rPr>
          <w:i/>
          <w:sz w:val="38"/>
        </w:rPr>
        <w:t>between</w:t>
      </w:r>
      <w:r>
        <w:rPr>
          <w:i/>
          <w:spacing w:val="-16"/>
          <w:sz w:val="38"/>
        </w:rPr>
        <w:t> </w:t>
      </w:r>
      <w:r>
        <w:rPr>
          <w:i/>
          <w:sz w:val="38"/>
        </w:rPr>
        <w:t>low</w:t>
      </w:r>
      <w:r>
        <w:rPr>
          <w:i/>
          <w:spacing w:val="-15"/>
          <w:sz w:val="38"/>
        </w:rPr>
        <w:t> </w:t>
      </w:r>
      <w:r>
        <w:rPr>
          <w:i/>
          <w:sz w:val="38"/>
        </w:rPr>
        <w:t>silver</w:t>
      </w:r>
      <w:r>
        <w:rPr>
          <w:i/>
          <w:spacing w:val="-17"/>
          <w:sz w:val="38"/>
        </w:rPr>
        <w:t> </w:t>
      </w:r>
      <w:r>
        <w:rPr>
          <w:i/>
          <w:sz w:val="38"/>
        </w:rPr>
        <w:t>levels</w:t>
      </w:r>
      <w:r>
        <w:rPr>
          <w:i/>
          <w:spacing w:val="-16"/>
          <w:sz w:val="38"/>
        </w:rPr>
        <w:t> </w:t>
      </w:r>
      <w:r>
        <w:rPr>
          <w:i/>
          <w:sz w:val="38"/>
        </w:rPr>
        <w:t>and</w:t>
      </w:r>
      <w:r>
        <w:rPr>
          <w:i/>
          <w:spacing w:val="-16"/>
          <w:sz w:val="38"/>
        </w:rPr>
        <w:t> </w:t>
      </w:r>
      <w:r>
        <w:rPr>
          <w:i/>
          <w:sz w:val="38"/>
        </w:rPr>
        <w:t>diseases.</w:t>
      </w:r>
      <w:r>
        <w:rPr>
          <w:i/>
          <w:spacing w:val="-15"/>
          <w:sz w:val="38"/>
        </w:rPr>
        <w:t> </w:t>
      </w:r>
      <w:r>
        <w:rPr>
          <w:i/>
          <w:sz w:val="38"/>
        </w:rPr>
        <w:t>The</w:t>
      </w:r>
      <w:r>
        <w:rPr>
          <w:i/>
          <w:spacing w:val="-17"/>
          <w:sz w:val="38"/>
        </w:rPr>
        <w:t> </w:t>
      </w:r>
      <w:r>
        <w:rPr>
          <w:i/>
          <w:sz w:val="38"/>
        </w:rPr>
        <w:t>average</w:t>
      </w:r>
      <w:r>
        <w:rPr>
          <w:i/>
          <w:spacing w:val="-18"/>
          <w:sz w:val="38"/>
        </w:rPr>
        <w:t> </w:t>
      </w:r>
      <w:r>
        <w:rPr>
          <w:i/>
          <w:sz w:val="38"/>
        </w:rPr>
        <w:t>amount</w:t>
      </w:r>
      <w:r>
        <w:rPr>
          <w:i/>
          <w:spacing w:val="-15"/>
          <w:sz w:val="38"/>
        </w:rPr>
        <w:t> </w:t>
      </w:r>
      <w:r>
        <w:rPr>
          <w:i/>
          <w:sz w:val="38"/>
        </w:rPr>
        <w:t>of</w:t>
      </w:r>
      <w:r>
        <w:rPr>
          <w:i/>
          <w:spacing w:val="-16"/>
          <w:sz w:val="38"/>
        </w:rPr>
        <w:t> </w:t>
      </w:r>
      <w:r>
        <w:rPr>
          <w:i/>
          <w:sz w:val="38"/>
        </w:rPr>
        <w:t>silver</w:t>
      </w:r>
      <w:r>
        <w:rPr>
          <w:i/>
          <w:spacing w:val="-16"/>
          <w:sz w:val="38"/>
        </w:rPr>
        <w:t> </w:t>
      </w:r>
      <w:r>
        <w:rPr>
          <w:i/>
          <w:sz w:val="38"/>
        </w:rPr>
        <w:t>in</w:t>
      </w:r>
      <w:r>
        <w:rPr>
          <w:i/>
          <w:spacing w:val="-16"/>
          <w:sz w:val="38"/>
        </w:rPr>
        <w:t> </w:t>
      </w:r>
      <w:r>
        <w:rPr>
          <w:i/>
          <w:sz w:val="38"/>
        </w:rPr>
        <w:t>the</w:t>
      </w:r>
      <w:r>
        <w:rPr>
          <w:i/>
          <w:spacing w:val="-16"/>
          <w:sz w:val="38"/>
        </w:rPr>
        <w:t> </w:t>
      </w:r>
      <w:r>
        <w:rPr>
          <w:i/>
          <w:sz w:val="38"/>
        </w:rPr>
        <w:t>body</w:t>
      </w:r>
      <w:r>
        <w:rPr>
          <w:i/>
          <w:spacing w:val="-17"/>
          <w:sz w:val="38"/>
        </w:rPr>
        <w:t> </w:t>
      </w:r>
      <w:r>
        <w:rPr>
          <w:i/>
          <w:sz w:val="38"/>
        </w:rPr>
        <w:t>is</w:t>
      </w:r>
      <w:r>
        <w:rPr>
          <w:i/>
          <w:spacing w:val="-17"/>
          <w:sz w:val="38"/>
        </w:rPr>
        <w:t> </w:t>
      </w:r>
      <w:r>
        <w:rPr>
          <w:i/>
          <w:sz w:val="38"/>
        </w:rPr>
        <w:t>0.001</w:t>
      </w:r>
    </w:p>
    <w:p>
      <w:pPr>
        <w:spacing w:before="1"/>
        <w:ind w:left="477" w:right="0" w:firstLine="0"/>
        <w:jc w:val="both"/>
        <w:rPr>
          <w:i/>
          <w:sz w:val="38"/>
        </w:rPr>
      </w:pPr>
      <w:r>
        <w:rPr>
          <w:i/>
          <w:sz w:val="38"/>
        </w:rPr>
        <w:t>%.</w:t>
      </w:r>
      <w:r>
        <w:rPr>
          <w:i/>
          <w:spacing w:val="-13"/>
          <w:sz w:val="38"/>
        </w:rPr>
        <w:t> </w:t>
      </w:r>
      <w:r>
        <w:rPr>
          <w:i/>
          <w:sz w:val="38"/>
        </w:rPr>
        <w:t>He</w:t>
      </w:r>
      <w:r>
        <w:rPr>
          <w:i/>
          <w:spacing w:val="-13"/>
          <w:sz w:val="38"/>
        </w:rPr>
        <w:t> </w:t>
      </w:r>
      <w:r>
        <w:rPr>
          <w:i/>
          <w:sz w:val="38"/>
        </w:rPr>
        <w:t>claims</w:t>
      </w:r>
      <w:r>
        <w:rPr>
          <w:i/>
          <w:spacing w:val="-14"/>
          <w:sz w:val="38"/>
        </w:rPr>
        <w:t> </w:t>
      </w:r>
      <w:r>
        <w:rPr>
          <w:i/>
          <w:sz w:val="38"/>
        </w:rPr>
        <w:t>that</w:t>
      </w:r>
      <w:r>
        <w:rPr>
          <w:i/>
          <w:spacing w:val="-14"/>
          <w:sz w:val="38"/>
        </w:rPr>
        <w:t> </w:t>
      </w:r>
      <w:r>
        <w:rPr>
          <w:i/>
          <w:sz w:val="38"/>
        </w:rPr>
        <w:t>lowering</w:t>
      </w:r>
      <w:r>
        <w:rPr>
          <w:i/>
          <w:spacing w:val="-14"/>
          <w:sz w:val="38"/>
        </w:rPr>
        <w:t> </w:t>
      </w:r>
      <w:r>
        <w:rPr>
          <w:i/>
          <w:sz w:val="38"/>
        </w:rPr>
        <w:t>this</w:t>
      </w:r>
      <w:r>
        <w:rPr>
          <w:i/>
          <w:spacing w:val="-14"/>
          <w:sz w:val="38"/>
        </w:rPr>
        <w:t> </w:t>
      </w:r>
      <w:r>
        <w:rPr>
          <w:i/>
          <w:sz w:val="38"/>
        </w:rPr>
        <w:t>value</w:t>
      </w:r>
      <w:r>
        <w:rPr>
          <w:i/>
          <w:spacing w:val="-13"/>
          <w:sz w:val="38"/>
        </w:rPr>
        <w:t> </w:t>
      </w:r>
      <w:r>
        <w:rPr>
          <w:i/>
          <w:sz w:val="38"/>
        </w:rPr>
        <w:t>is</w:t>
      </w:r>
      <w:r>
        <w:rPr>
          <w:i/>
          <w:spacing w:val="-14"/>
          <w:sz w:val="38"/>
        </w:rPr>
        <w:t> </w:t>
      </w:r>
      <w:r>
        <w:rPr>
          <w:i/>
          <w:sz w:val="38"/>
        </w:rPr>
        <w:t>responsible</w:t>
      </w:r>
      <w:r>
        <w:rPr>
          <w:i/>
          <w:spacing w:val="-13"/>
          <w:sz w:val="38"/>
        </w:rPr>
        <w:t> </w:t>
      </w:r>
      <w:r>
        <w:rPr>
          <w:i/>
          <w:sz w:val="38"/>
        </w:rPr>
        <w:t>for</w:t>
      </w:r>
      <w:r>
        <w:rPr>
          <w:i/>
          <w:spacing w:val="-12"/>
          <w:sz w:val="38"/>
        </w:rPr>
        <w:t> </w:t>
      </w:r>
      <w:r>
        <w:rPr>
          <w:i/>
          <w:sz w:val="38"/>
        </w:rPr>
        <w:t>the</w:t>
      </w:r>
      <w:r>
        <w:rPr>
          <w:i/>
          <w:spacing w:val="-13"/>
          <w:sz w:val="38"/>
        </w:rPr>
        <w:t> </w:t>
      </w:r>
      <w:r>
        <w:rPr>
          <w:i/>
          <w:sz w:val="38"/>
        </w:rPr>
        <w:t>malfunction</w:t>
      </w:r>
      <w:r>
        <w:rPr>
          <w:i/>
          <w:spacing w:val="-13"/>
          <w:sz w:val="38"/>
        </w:rPr>
        <w:t> </w:t>
      </w:r>
      <w:r>
        <w:rPr>
          <w:i/>
          <w:sz w:val="38"/>
        </w:rPr>
        <w:t>of</w:t>
      </w:r>
      <w:r>
        <w:rPr>
          <w:i/>
          <w:spacing w:val="-13"/>
          <w:sz w:val="38"/>
        </w:rPr>
        <w:t> </w:t>
      </w:r>
      <w:r>
        <w:rPr>
          <w:i/>
          <w:sz w:val="38"/>
        </w:rPr>
        <w:t>the</w:t>
      </w:r>
      <w:r>
        <w:rPr>
          <w:i/>
          <w:spacing w:val="-16"/>
          <w:sz w:val="38"/>
        </w:rPr>
        <w:t> </w:t>
      </w:r>
      <w:r>
        <w:rPr>
          <w:i/>
          <w:sz w:val="38"/>
        </w:rPr>
        <w:t>immune</w:t>
      </w:r>
      <w:r>
        <w:rPr>
          <w:i/>
          <w:spacing w:val="-13"/>
          <w:sz w:val="38"/>
        </w:rPr>
        <w:t> </w:t>
      </w:r>
      <w:r>
        <w:rPr>
          <w:i/>
          <w:sz w:val="38"/>
        </w:rPr>
        <w:t>system.</w:t>
      </w:r>
    </w:p>
    <w:p>
      <w:pPr>
        <w:spacing w:line="276" w:lineRule="auto" w:before="304"/>
        <w:ind w:left="477" w:right="131" w:firstLine="0"/>
        <w:jc w:val="both"/>
        <w:rPr>
          <w:i/>
          <w:sz w:val="38"/>
        </w:rPr>
      </w:pPr>
      <w:r>
        <w:rPr>
          <w:i/>
          <w:sz w:val="38"/>
        </w:rPr>
        <w:t>Dr.</w:t>
      </w:r>
      <w:r>
        <w:rPr>
          <w:i/>
          <w:spacing w:val="-12"/>
          <w:sz w:val="38"/>
        </w:rPr>
        <w:t> </w:t>
      </w:r>
      <w:r>
        <w:rPr>
          <w:i/>
          <w:sz w:val="38"/>
        </w:rPr>
        <w:t>Becker</w:t>
      </w:r>
      <w:r>
        <w:rPr>
          <w:i/>
          <w:spacing w:val="-12"/>
          <w:sz w:val="38"/>
        </w:rPr>
        <w:t> </w:t>
      </w:r>
      <w:r>
        <w:rPr>
          <w:i/>
          <w:sz w:val="38"/>
        </w:rPr>
        <w:t>also</w:t>
      </w:r>
      <w:r>
        <w:rPr>
          <w:i/>
          <w:spacing w:val="-12"/>
          <w:sz w:val="38"/>
        </w:rPr>
        <w:t> </w:t>
      </w:r>
      <w:r>
        <w:rPr>
          <w:i/>
          <w:sz w:val="38"/>
        </w:rPr>
        <w:t>reports</w:t>
      </w:r>
      <w:r>
        <w:rPr>
          <w:i/>
          <w:spacing w:val="-13"/>
          <w:sz w:val="38"/>
        </w:rPr>
        <w:t> </w:t>
      </w:r>
      <w:r>
        <w:rPr>
          <w:i/>
          <w:sz w:val="38"/>
        </w:rPr>
        <w:t>on</w:t>
      </w:r>
      <w:r>
        <w:rPr>
          <w:i/>
          <w:spacing w:val="-13"/>
          <w:sz w:val="38"/>
        </w:rPr>
        <w:t> </w:t>
      </w:r>
      <w:r>
        <w:rPr>
          <w:i/>
          <w:sz w:val="38"/>
        </w:rPr>
        <w:t>experiences</w:t>
      </w:r>
      <w:r>
        <w:rPr>
          <w:i/>
          <w:spacing w:val="-12"/>
          <w:sz w:val="38"/>
        </w:rPr>
        <w:t> </w:t>
      </w:r>
      <w:r>
        <w:rPr>
          <w:i/>
          <w:sz w:val="38"/>
        </w:rPr>
        <w:t>with</w:t>
      </w:r>
      <w:r>
        <w:rPr>
          <w:i/>
          <w:spacing w:val="-12"/>
          <w:sz w:val="38"/>
        </w:rPr>
        <w:t> </w:t>
      </w:r>
      <w:r>
        <w:rPr>
          <w:i/>
          <w:sz w:val="38"/>
        </w:rPr>
        <w:t>patients</w:t>
      </w:r>
      <w:r>
        <w:rPr>
          <w:i/>
          <w:spacing w:val="-12"/>
          <w:sz w:val="38"/>
        </w:rPr>
        <w:t> </w:t>
      </w:r>
      <w:r>
        <w:rPr>
          <w:i/>
          <w:sz w:val="38"/>
        </w:rPr>
        <w:t>that</w:t>
      </w:r>
      <w:r>
        <w:rPr>
          <w:i/>
          <w:spacing w:val="-13"/>
          <w:sz w:val="38"/>
        </w:rPr>
        <w:t> </w:t>
      </w:r>
      <w:r>
        <w:rPr>
          <w:i/>
          <w:sz w:val="38"/>
        </w:rPr>
        <w:t>colloidal</w:t>
      </w:r>
      <w:r>
        <w:rPr>
          <w:i/>
          <w:spacing w:val="-13"/>
          <w:sz w:val="38"/>
        </w:rPr>
        <w:t> </w:t>
      </w:r>
      <w:r>
        <w:rPr>
          <w:i/>
          <w:sz w:val="38"/>
        </w:rPr>
        <w:t>silver</w:t>
      </w:r>
      <w:r>
        <w:rPr>
          <w:i/>
          <w:spacing w:val="-12"/>
          <w:sz w:val="38"/>
        </w:rPr>
        <w:t> </w:t>
      </w:r>
      <w:r>
        <w:rPr>
          <w:i/>
          <w:sz w:val="38"/>
        </w:rPr>
        <w:t>promotes</w:t>
      </w:r>
      <w:r>
        <w:rPr>
          <w:i/>
          <w:spacing w:val="-12"/>
          <w:sz w:val="38"/>
        </w:rPr>
        <w:t> </w:t>
      </w:r>
      <w:r>
        <w:rPr>
          <w:i/>
          <w:sz w:val="38"/>
        </w:rPr>
        <w:t>bone</w:t>
      </w:r>
      <w:r>
        <w:rPr>
          <w:i/>
          <w:spacing w:val="-12"/>
          <w:sz w:val="38"/>
        </w:rPr>
        <w:t> </w:t>
      </w:r>
      <w:r>
        <w:rPr>
          <w:i/>
          <w:sz w:val="38"/>
        </w:rPr>
        <w:t>growth </w:t>
      </w:r>
      <w:r>
        <w:rPr>
          <w:i/>
          <w:sz w:val="38"/>
        </w:rPr>
        <w:t>and accelerated healing of injured soft tissue in a special way, by more than 50</w:t>
      </w:r>
      <w:r>
        <w:rPr>
          <w:i/>
          <w:spacing w:val="-8"/>
          <w:sz w:val="38"/>
        </w:rPr>
        <w:t> </w:t>
      </w:r>
      <w:r>
        <w:rPr>
          <w:i/>
          <w:sz w:val="38"/>
        </w:rPr>
        <w:t>%.</w:t>
      </w:r>
    </w:p>
    <w:p>
      <w:pPr>
        <w:spacing w:line="276" w:lineRule="auto" w:before="239"/>
        <w:ind w:left="477" w:right="142" w:firstLine="0"/>
        <w:jc w:val="both"/>
        <w:rPr>
          <w:i/>
          <w:sz w:val="38"/>
        </w:rPr>
      </w:pPr>
      <w:r>
        <w:rPr>
          <w:i/>
          <w:sz w:val="38"/>
        </w:rPr>
        <w:t>This</w:t>
      </w:r>
      <w:r>
        <w:rPr>
          <w:i/>
          <w:spacing w:val="-20"/>
          <w:sz w:val="38"/>
        </w:rPr>
        <w:t> </w:t>
      </w:r>
      <w:r>
        <w:rPr>
          <w:i/>
          <w:sz w:val="38"/>
        </w:rPr>
        <w:t>finding</w:t>
      </w:r>
      <w:r>
        <w:rPr>
          <w:i/>
          <w:spacing w:val="-18"/>
          <w:sz w:val="38"/>
        </w:rPr>
        <w:t> </w:t>
      </w:r>
      <w:r>
        <w:rPr>
          <w:i/>
          <w:sz w:val="38"/>
        </w:rPr>
        <w:t>opened</w:t>
      </w:r>
      <w:r>
        <w:rPr>
          <w:i/>
          <w:spacing w:val="-17"/>
          <w:sz w:val="38"/>
        </w:rPr>
        <w:t> </w:t>
      </w:r>
      <w:r>
        <w:rPr>
          <w:i/>
          <w:sz w:val="38"/>
        </w:rPr>
        <w:t>up</w:t>
      </w:r>
      <w:r>
        <w:rPr>
          <w:i/>
          <w:spacing w:val="-19"/>
          <w:sz w:val="38"/>
        </w:rPr>
        <w:t> </w:t>
      </w:r>
      <w:r>
        <w:rPr>
          <w:i/>
          <w:sz w:val="38"/>
        </w:rPr>
        <w:t>unlimited</w:t>
      </w:r>
      <w:r>
        <w:rPr>
          <w:i/>
          <w:spacing w:val="-18"/>
          <w:sz w:val="38"/>
        </w:rPr>
        <w:t> </w:t>
      </w:r>
      <w:r>
        <w:rPr>
          <w:i/>
          <w:sz w:val="38"/>
        </w:rPr>
        <w:t>possibilities</w:t>
      </w:r>
      <w:r>
        <w:rPr>
          <w:i/>
          <w:spacing w:val="-19"/>
          <w:sz w:val="38"/>
        </w:rPr>
        <w:t> </w:t>
      </w:r>
      <w:r>
        <w:rPr>
          <w:i/>
          <w:sz w:val="38"/>
        </w:rPr>
        <w:t>and</w:t>
      </w:r>
      <w:r>
        <w:rPr>
          <w:i/>
          <w:spacing w:val="-17"/>
          <w:sz w:val="38"/>
        </w:rPr>
        <w:t> </w:t>
      </w:r>
      <w:r>
        <w:rPr>
          <w:i/>
          <w:sz w:val="38"/>
        </w:rPr>
        <w:t>led</w:t>
      </w:r>
      <w:r>
        <w:rPr>
          <w:i/>
          <w:spacing w:val="-18"/>
          <w:sz w:val="38"/>
        </w:rPr>
        <w:t> </w:t>
      </w:r>
      <w:r>
        <w:rPr>
          <w:i/>
          <w:sz w:val="38"/>
        </w:rPr>
        <w:t>to</w:t>
      </w:r>
      <w:r>
        <w:rPr>
          <w:i/>
          <w:spacing w:val="-18"/>
          <w:sz w:val="38"/>
        </w:rPr>
        <w:t> </w:t>
      </w:r>
      <w:r>
        <w:rPr>
          <w:i/>
          <w:sz w:val="38"/>
        </w:rPr>
        <w:t>rapid</w:t>
      </w:r>
      <w:r>
        <w:rPr>
          <w:i/>
          <w:spacing w:val="-19"/>
          <w:sz w:val="38"/>
        </w:rPr>
        <w:t> </w:t>
      </w:r>
      <w:r>
        <w:rPr>
          <w:i/>
          <w:sz w:val="38"/>
        </w:rPr>
        <w:t>advances</w:t>
      </w:r>
      <w:r>
        <w:rPr>
          <w:i/>
          <w:spacing w:val="-19"/>
          <w:sz w:val="38"/>
        </w:rPr>
        <w:t> </w:t>
      </w:r>
      <w:r>
        <w:rPr>
          <w:i/>
          <w:sz w:val="38"/>
        </w:rPr>
        <w:t>in</w:t>
      </w:r>
      <w:r>
        <w:rPr>
          <w:i/>
          <w:spacing w:val="-17"/>
          <w:sz w:val="38"/>
        </w:rPr>
        <w:t> </w:t>
      </w:r>
      <w:r>
        <w:rPr>
          <w:i/>
          <w:sz w:val="38"/>
        </w:rPr>
        <w:t>medical</w:t>
      </w:r>
      <w:r>
        <w:rPr>
          <w:i/>
          <w:spacing w:val="-17"/>
          <w:sz w:val="38"/>
        </w:rPr>
        <w:t> </w:t>
      </w:r>
      <w:r>
        <w:rPr>
          <w:i/>
          <w:sz w:val="38"/>
        </w:rPr>
        <w:t>treatments. </w:t>
      </w:r>
      <w:r>
        <w:rPr>
          <w:i/>
          <w:sz w:val="38"/>
        </w:rPr>
        <w:t>But the pharmaceutical industry’s far more profitable trade in synthesised antibiotics</w:t>
      </w:r>
      <w:r>
        <w:rPr>
          <w:i/>
          <w:spacing w:val="18"/>
          <w:sz w:val="38"/>
        </w:rPr>
        <w:t> </w:t>
      </w:r>
      <w:r>
        <w:rPr>
          <w:i/>
          <w:sz w:val="38"/>
        </w:rPr>
        <w:t>brought</w:t>
      </w:r>
    </w:p>
    <w:p>
      <w:pPr>
        <w:spacing w:after="0" w:line="276" w:lineRule="auto"/>
        <w:jc w:val="both"/>
        <w:rPr>
          <w:sz w:val="38"/>
        </w:rPr>
        <w:sectPr>
          <w:pgSz w:w="14270" w:h="16850"/>
          <w:pgMar w:header="0" w:footer="1891" w:top="1600" w:bottom="2080" w:left="800" w:right="1280"/>
        </w:sectPr>
      </w:pPr>
    </w:p>
    <w:p>
      <w:pPr>
        <w:spacing w:before="181"/>
        <w:ind w:left="477" w:right="0" w:firstLine="0"/>
        <w:jc w:val="left"/>
        <w:rPr>
          <w:i/>
          <w:sz w:val="38"/>
        </w:rPr>
      </w:pPr>
      <w:r>
        <w:rPr>
          <w:i/>
          <w:sz w:val="38"/>
        </w:rPr>
        <w:t>the triumph of colloid research to a premature halt.</w:t>
      </w:r>
    </w:p>
    <w:p>
      <w:pPr>
        <w:spacing w:line="276" w:lineRule="auto" w:before="305"/>
        <w:ind w:left="477" w:right="137" w:firstLine="0"/>
        <w:jc w:val="both"/>
        <w:rPr>
          <w:i/>
          <w:sz w:val="38"/>
        </w:rPr>
      </w:pPr>
      <w:r>
        <w:rPr>
          <w:i/>
          <w:sz w:val="38"/>
        </w:rPr>
        <w:t>Today's healthcare crisis and the ever-decreasing effectiveness of antibiotics draw attention to </w:t>
      </w:r>
      <w:r>
        <w:rPr>
          <w:i/>
          <w:sz w:val="38"/>
        </w:rPr>
        <w:t>colloids – especially the extremely versatile applications of colloidal silver.</w:t>
      </w:r>
    </w:p>
    <w:p>
      <w:pPr>
        <w:spacing w:line="276" w:lineRule="auto" w:before="241"/>
        <w:ind w:left="477" w:right="135" w:firstLine="0"/>
        <w:jc w:val="both"/>
        <w:rPr>
          <w:sz w:val="38"/>
        </w:rPr>
      </w:pPr>
      <w:r>
        <w:rPr>
          <w:i/>
          <w:sz w:val="38"/>
        </w:rPr>
        <w:t>Antibiotic-resistant pathogens cause epidemics in the United States. Infectious disease is the </w:t>
      </w:r>
      <w:r>
        <w:rPr>
          <w:i/>
          <w:sz w:val="38"/>
        </w:rPr>
        <w:t>third leading cause of illness and death in the United States’. </w:t>
      </w:r>
      <w:r>
        <w:rPr>
          <w:sz w:val="38"/>
        </w:rPr>
        <w:t>(Published in: </w:t>
      </w:r>
      <w:r>
        <w:rPr>
          <w:i/>
          <w:sz w:val="38"/>
        </w:rPr>
        <w:t>CoMed – </w:t>
      </w:r>
      <w:r>
        <w:rPr>
          <w:i/>
          <w:sz w:val="38"/>
        </w:rPr>
        <w:t>Specialist Magazine for Complementary Medicine </w:t>
      </w:r>
      <w:r>
        <w:rPr>
          <w:sz w:val="38"/>
        </w:rPr>
        <w:t>No. 04, 2001, author: Oliver Neu- mann, alternative practitioner)</w:t>
      </w:r>
    </w:p>
    <w:p>
      <w:pPr>
        <w:spacing w:line="276" w:lineRule="auto" w:before="239"/>
        <w:ind w:left="477" w:right="131" w:firstLine="0"/>
        <w:jc w:val="both"/>
        <w:rPr>
          <w:sz w:val="38"/>
        </w:rPr>
      </w:pPr>
      <w:r>
        <w:rPr>
          <w:i/>
          <w:sz w:val="38"/>
        </w:rPr>
        <w:t>‘Silver and silver compounds were used in the 19th century for the treatment of burn wounds </w:t>
      </w:r>
      <w:r>
        <w:rPr>
          <w:i/>
          <w:sz w:val="38"/>
        </w:rPr>
        <w:t>and for disinfection and have only disappeared from the market due to the use of specific antibiotics’, explains Dr. Michael Wagener from the IFAM. ‘In particular, material-bound solutions</w:t>
      </w:r>
      <w:r>
        <w:rPr>
          <w:i/>
          <w:spacing w:val="-22"/>
          <w:sz w:val="38"/>
        </w:rPr>
        <w:t> </w:t>
      </w:r>
      <w:r>
        <w:rPr>
          <w:i/>
          <w:sz w:val="38"/>
        </w:rPr>
        <w:t>for</w:t>
      </w:r>
      <w:r>
        <w:rPr>
          <w:i/>
          <w:spacing w:val="-20"/>
          <w:sz w:val="38"/>
        </w:rPr>
        <w:t> </w:t>
      </w:r>
      <w:r>
        <w:rPr>
          <w:i/>
          <w:sz w:val="38"/>
        </w:rPr>
        <w:t>infection</w:t>
      </w:r>
      <w:r>
        <w:rPr>
          <w:i/>
          <w:spacing w:val="-18"/>
          <w:sz w:val="38"/>
        </w:rPr>
        <w:t> </w:t>
      </w:r>
      <w:r>
        <w:rPr>
          <w:i/>
          <w:sz w:val="38"/>
        </w:rPr>
        <w:t>reduction</w:t>
      </w:r>
      <w:r>
        <w:rPr>
          <w:i/>
          <w:spacing w:val="-21"/>
          <w:sz w:val="38"/>
        </w:rPr>
        <w:t> </w:t>
      </w:r>
      <w:r>
        <w:rPr>
          <w:i/>
          <w:sz w:val="38"/>
        </w:rPr>
        <w:t>are</w:t>
      </w:r>
      <w:r>
        <w:rPr>
          <w:i/>
          <w:spacing w:val="-19"/>
          <w:sz w:val="38"/>
        </w:rPr>
        <w:t> </w:t>
      </w:r>
      <w:r>
        <w:rPr>
          <w:i/>
          <w:sz w:val="38"/>
        </w:rPr>
        <w:t>currently</w:t>
      </w:r>
      <w:r>
        <w:rPr>
          <w:i/>
          <w:spacing w:val="-20"/>
          <w:sz w:val="38"/>
        </w:rPr>
        <w:t> </w:t>
      </w:r>
      <w:r>
        <w:rPr>
          <w:i/>
          <w:sz w:val="38"/>
        </w:rPr>
        <w:t>experiencing</w:t>
      </w:r>
      <w:r>
        <w:rPr>
          <w:i/>
          <w:spacing w:val="-19"/>
          <w:sz w:val="38"/>
        </w:rPr>
        <w:t> </w:t>
      </w:r>
      <w:r>
        <w:rPr>
          <w:i/>
          <w:sz w:val="38"/>
        </w:rPr>
        <w:t>a</w:t>
      </w:r>
      <w:r>
        <w:rPr>
          <w:i/>
          <w:spacing w:val="-22"/>
          <w:sz w:val="38"/>
        </w:rPr>
        <w:t> </w:t>
      </w:r>
      <w:r>
        <w:rPr>
          <w:i/>
          <w:sz w:val="38"/>
        </w:rPr>
        <w:t>renaissance.</w:t>
      </w:r>
      <w:r>
        <w:rPr>
          <w:i/>
          <w:spacing w:val="-18"/>
          <w:sz w:val="38"/>
        </w:rPr>
        <w:t> </w:t>
      </w:r>
      <w:r>
        <w:rPr>
          <w:i/>
          <w:sz w:val="38"/>
        </w:rPr>
        <w:t>Silver</w:t>
      </w:r>
      <w:r>
        <w:rPr>
          <w:i/>
          <w:spacing w:val="-24"/>
          <w:sz w:val="38"/>
        </w:rPr>
        <w:t> </w:t>
      </w:r>
      <w:r>
        <w:rPr>
          <w:i/>
          <w:sz w:val="38"/>
        </w:rPr>
        <w:t>is</w:t>
      </w:r>
      <w:r>
        <w:rPr>
          <w:i/>
          <w:spacing w:val="-20"/>
          <w:sz w:val="38"/>
        </w:rPr>
        <w:t> </w:t>
      </w:r>
      <w:r>
        <w:rPr>
          <w:i/>
          <w:sz w:val="38"/>
        </w:rPr>
        <w:t>an</w:t>
      </w:r>
      <w:r>
        <w:rPr>
          <w:i/>
          <w:spacing w:val="-19"/>
          <w:sz w:val="38"/>
        </w:rPr>
        <w:t> </w:t>
      </w:r>
      <w:r>
        <w:rPr>
          <w:i/>
          <w:sz w:val="38"/>
        </w:rPr>
        <w:t>interesting alternative.’ </w:t>
      </w:r>
      <w:r>
        <w:rPr>
          <w:sz w:val="38"/>
        </w:rPr>
        <w:t>(Fraunhofer-Gesellschaft Press Release 04/2002)</w:t>
      </w:r>
    </w:p>
    <w:p>
      <w:pPr>
        <w:spacing w:line="276" w:lineRule="auto" w:before="240"/>
        <w:ind w:left="477" w:right="135" w:firstLine="0"/>
        <w:jc w:val="both"/>
        <w:rPr>
          <w:sz w:val="38"/>
        </w:rPr>
      </w:pPr>
      <w:r>
        <w:rPr>
          <w:i/>
          <w:sz w:val="38"/>
        </w:rPr>
        <w:t>‘Remedies: When electrically charged silver particles are released in water, a non-toxic silver </w:t>
      </w:r>
      <w:r>
        <w:rPr>
          <w:i/>
          <w:sz w:val="38"/>
        </w:rPr>
        <w:t>solution is produced which is said to be able to combat more than 650 pathogens such as bacteria, viruses, parasites and fungi. Farmers have already successfully treated diseases such as calf diarrhoea, feverish udder inflammation, etc.’ </w:t>
      </w:r>
      <w:r>
        <w:rPr>
          <w:sz w:val="38"/>
        </w:rPr>
        <w:t>(</w:t>
      </w:r>
      <w:r>
        <w:rPr>
          <w:i/>
          <w:sz w:val="38"/>
        </w:rPr>
        <w:t>Bayerisches Landwirtschaftliches Woch- </w:t>
      </w:r>
      <w:r>
        <w:rPr>
          <w:i/>
          <w:sz w:val="38"/>
        </w:rPr>
        <w:t>enblatt [Bavarian Agricultural Weekly]</w:t>
      </w:r>
      <w:r>
        <w:rPr>
          <w:sz w:val="38"/>
        </w:rPr>
        <w:t>, 27.01.2006 Issue</w:t>
      </w:r>
      <w:r>
        <w:rPr>
          <w:spacing w:val="-5"/>
          <w:sz w:val="38"/>
        </w:rPr>
        <w:t> </w:t>
      </w:r>
      <w:r>
        <w:rPr>
          <w:sz w:val="38"/>
        </w:rPr>
        <w:t>4/196)</w:t>
      </w:r>
    </w:p>
    <w:p>
      <w:pPr>
        <w:spacing w:after="0" w:line="276" w:lineRule="auto"/>
        <w:jc w:val="both"/>
        <w:rPr>
          <w:sz w:val="38"/>
        </w:rPr>
        <w:sectPr>
          <w:pgSz w:w="14270" w:h="16850"/>
          <w:pgMar w:header="0" w:footer="1891" w:top="1600" w:bottom="2080" w:left="800" w:right="1280"/>
        </w:sectPr>
      </w:pPr>
    </w:p>
    <w:p>
      <w:pPr>
        <w:pStyle w:val="Heading2"/>
        <w:spacing w:before="181"/>
      </w:pPr>
      <w:r>
        <w:rPr/>
        <w:t>Effect of colloidal silver</w:t>
      </w:r>
    </w:p>
    <w:p>
      <w:pPr>
        <w:pStyle w:val="BodyText"/>
        <w:spacing w:line="276" w:lineRule="auto" w:before="305"/>
        <w:ind w:left="477" w:right="131"/>
        <w:jc w:val="both"/>
      </w:pPr>
      <w:r>
        <w:rPr/>
        <w:t>The effect of colloidal silver is based on two factors: first, the previously men- tioned Brownian movement</w:t>
      </w:r>
      <w:r>
        <w:rPr>
          <w:i/>
        </w:rPr>
        <w:t>, </w:t>
      </w:r>
      <w:r>
        <w:rPr/>
        <w:t>whose electrical negative polarisation interferes with the respiratory chain of the pathogens and causes their suffocation, its</w:t>
      </w:r>
      <w:r>
        <w:rPr>
          <w:spacing w:val="-54"/>
        </w:rPr>
        <w:t> </w:t>
      </w:r>
      <w:r>
        <w:rPr/>
        <w:t>ap- plication also strengthens our immune system, which </w:t>
      </w:r>
      <w:r>
        <w:rPr>
          <w:spacing w:val="2"/>
        </w:rPr>
        <w:t>in </w:t>
      </w:r>
      <w:r>
        <w:rPr/>
        <w:t>turn can fight patho- gens better.</w:t>
      </w:r>
    </w:p>
    <w:p>
      <w:pPr>
        <w:pStyle w:val="BodyText"/>
        <w:spacing w:line="276" w:lineRule="auto" w:before="240"/>
        <w:ind w:left="477"/>
      </w:pPr>
      <w:r>
        <w:rPr/>
        <w:t>Added to this is the extraordinary ability to stimulate cell growth and accelerate the healing of injured tissue by more than 50 %.</w:t>
      </w:r>
    </w:p>
    <w:p>
      <w:pPr>
        <w:pStyle w:val="BodyText"/>
        <w:spacing w:line="276" w:lineRule="auto" w:before="241"/>
        <w:ind w:left="477" w:right="133"/>
        <w:jc w:val="both"/>
      </w:pPr>
      <w:r>
        <w:rPr/>
        <w:t>Due to the enormously broad spectrum of colloidal silver’s activity against about</w:t>
      </w:r>
      <w:r>
        <w:rPr>
          <w:spacing w:val="-26"/>
        </w:rPr>
        <w:t> </w:t>
      </w:r>
      <w:r>
        <w:rPr/>
        <w:t>650</w:t>
      </w:r>
      <w:r>
        <w:rPr>
          <w:spacing w:val="-25"/>
        </w:rPr>
        <w:t> </w:t>
      </w:r>
      <w:r>
        <w:rPr/>
        <w:t>pathogens</w:t>
      </w:r>
      <w:r>
        <w:rPr>
          <w:spacing w:val="-22"/>
        </w:rPr>
        <w:t> </w:t>
      </w:r>
      <w:r>
        <w:rPr/>
        <w:t>(bacteria,</w:t>
      </w:r>
      <w:r>
        <w:rPr>
          <w:spacing w:val="-24"/>
        </w:rPr>
        <w:t> </w:t>
      </w:r>
      <w:r>
        <w:rPr/>
        <w:t>viruses,</w:t>
      </w:r>
      <w:r>
        <w:rPr>
          <w:spacing w:val="-22"/>
        </w:rPr>
        <w:t> </w:t>
      </w:r>
      <w:r>
        <w:rPr/>
        <w:t>fungi,</w:t>
      </w:r>
      <w:r>
        <w:rPr>
          <w:spacing w:val="-23"/>
        </w:rPr>
        <w:t> </w:t>
      </w:r>
      <w:r>
        <w:rPr>
          <w:i/>
        </w:rPr>
        <w:t>streptococci,</w:t>
      </w:r>
      <w:r>
        <w:rPr>
          <w:i/>
          <w:spacing w:val="-23"/>
        </w:rPr>
        <w:t> </w:t>
      </w:r>
      <w:r>
        <w:rPr/>
        <w:t>staphylococci</w:t>
      </w:r>
      <w:r>
        <w:rPr>
          <w:spacing w:val="-23"/>
        </w:rPr>
        <w:t> </w:t>
      </w:r>
      <w:r>
        <w:rPr/>
        <w:t>and</w:t>
      </w:r>
      <w:r>
        <w:rPr>
          <w:spacing w:val="-24"/>
        </w:rPr>
        <w:t> </w:t>
      </w:r>
      <w:r>
        <w:rPr/>
        <w:t>other pathogenic organisms) and the promotion of cell growth, its effectiveness against countless diseases is just as understandable. Finally, many diseases are directly</w:t>
      </w:r>
      <w:r>
        <w:rPr>
          <w:spacing w:val="-22"/>
        </w:rPr>
        <w:t> </w:t>
      </w:r>
      <w:r>
        <w:rPr/>
        <w:t>or</w:t>
      </w:r>
      <w:r>
        <w:rPr>
          <w:spacing w:val="-20"/>
        </w:rPr>
        <w:t> </w:t>
      </w:r>
      <w:r>
        <w:rPr/>
        <w:t>indirectly</w:t>
      </w:r>
      <w:r>
        <w:rPr>
          <w:spacing w:val="-22"/>
        </w:rPr>
        <w:t> </w:t>
      </w:r>
      <w:r>
        <w:rPr/>
        <w:t>related</w:t>
      </w:r>
      <w:r>
        <w:rPr>
          <w:spacing w:val="-23"/>
        </w:rPr>
        <w:t> </w:t>
      </w:r>
      <w:r>
        <w:rPr/>
        <w:t>to</w:t>
      </w:r>
      <w:r>
        <w:rPr>
          <w:spacing w:val="-22"/>
        </w:rPr>
        <w:t> </w:t>
      </w:r>
      <w:r>
        <w:rPr/>
        <w:t>these</w:t>
      </w:r>
      <w:r>
        <w:rPr>
          <w:spacing w:val="-20"/>
        </w:rPr>
        <w:t> </w:t>
      </w:r>
      <w:r>
        <w:rPr/>
        <w:t>parasites</w:t>
      </w:r>
      <w:r>
        <w:rPr>
          <w:spacing w:val="-24"/>
        </w:rPr>
        <w:t> </w:t>
      </w:r>
      <w:r>
        <w:rPr/>
        <w:t>or</w:t>
      </w:r>
      <w:r>
        <w:rPr>
          <w:spacing w:val="-22"/>
        </w:rPr>
        <w:t> </w:t>
      </w:r>
      <w:r>
        <w:rPr/>
        <w:t>cell</w:t>
      </w:r>
      <w:r>
        <w:rPr>
          <w:spacing w:val="-23"/>
        </w:rPr>
        <w:t> </w:t>
      </w:r>
      <w:r>
        <w:rPr/>
        <w:t>destruction,</w:t>
      </w:r>
      <w:r>
        <w:rPr>
          <w:spacing w:val="-23"/>
        </w:rPr>
        <w:t> </w:t>
      </w:r>
      <w:r>
        <w:rPr/>
        <w:t>which</w:t>
      </w:r>
      <w:r>
        <w:rPr>
          <w:spacing w:val="-20"/>
        </w:rPr>
        <w:t> </w:t>
      </w:r>
      <w:r>
        <w:rPr/>
        <w:t>colloidal silver</w:t>
      </w:r>
      <w:r>
        <w:rPr>
          <w:spacing w:val="-10"/>
        </w:rPr>
        <w:t> </w:t>
      </w:r>
      <w:r>
        <w:rPr/>
        <w:t>can</w:t>
      </w:r>
      <w:r>
        <w:rPr>
          <w:spacing w:val="-8"/>
        </w:rPr>
        <w:t> </w:t>
      </w:r>
      <w:r>
        <w:rPr/>
        <w:t>help</w:t>
      </w:r>
      <w:r>
        <w:rPr>
          <w:spacing w:val="-12"/>
        </w:rPr>
        <w:t> </w:t>
      </w:r>
      <w:r>
        <w:rPr/>
        <w:t>repair.</w:t>
      </w:r>
      <w:r>
        <w:rPr>
          <w:spacing w:val="-10"/>
        </w:rPr>
        <w:t> </w:t>
      </w:r>
      <w:r>
        <w:rPr/>
        <w:t>Colloidal</w:t>
      </w:r>
      <w:r>
        <w:rPr>
          <w:spacing w:val="-9"/>
        </w:rPr>
        <w:t> </w:t>
      </w:r>
      <w:r>
        <w:rPr/>
        <w:t>silver</w:t>
      </w:r>
      <w:r>
        <w:rPr>
          <w:spacing w:val="-9"/>
        </w:rPr>
        <w:t> </w:t>
      </w:r>
      <w:r>
        <w:rPr/>
        <w:t>has</w:t>
      </w:r>
      <w:r>
        <w:rPr>
          <w:spacing w:val="-10"/>
        </w:rPr>
        <w:t> </w:t>
      </w:r>
      <w:r>
        <w:rPr/>
        <w:t>been</w:t>
      </w:r>
      <w:r>
        <w:rPr>
          <w:spacing w:val="-11"/>
        </w:rPr>
        <w:t> </w:t>
      </w:r>
      <w:r>
        <w:rPr/>
        <w:t>successful</w:t>
      </w:r>
      <w:r>
        <w:rPr>
          <w:spacing w:val="-10"/>
        </w:rPr>
        <w:t> </w:t>
      </w:r>
      <w:r>
        <w:rPr/>
        <w:t>in</w:t>
      </w:r>
      <w:r>
        <w:rPr>
          <w:spacing w:val="-10"/>
        </w:rPr>
        <w:t> </w:t>
      </w:r>
      <w:r>
        <w:rPr/>
        <w:t>treating</w:t>
      </w:r>
      <w:r>
        <w:rPr>
          <w:spacing w:val="-9"/>
        </w:rPr>
        <w:t> </w:t>
      </w:r>
      <w:r>
        <w:rPr/>
        <w:t>the</w:t>
      </w:r>
      <w:r>
        <w:rPr>
          <w:spacing w:val="-11"/>
        </w:rPr>
        <w:t> </w:t>
      </w:r>
      <w:r>
        <w:rPr/>
        <w:t>follow- ing diseases:</w:t>
      </w:r>
    </w:p>
    <w:p>
      <w:pPr>
        <w:pStyle w:val="BodyText"/>
        <w:rPr>
          <w:sz w:val="42"/>
        </w:rPr>
      </w:pPr>
    </w:p>
    <w:p>
      <w:pPr>
        <w:pStyle w:val="BodyText"/>
        <w:spacing w:before="5"/>
        <w:rPr>
          <w:sz w:val="44"/>
        </w:rPr>
      </w:pPr>
    </w:p>
    <w:p>
      <w:pPr>
        <w:pStyle w:val="Heading2"/>
      </w:pPr>
      <w:r>
        <w:rPr/>
        <w:t>Diseases of the eye</w:t>
      </w:r>
    </w:p>
    <w:p>
      <w:pPr>
        <w:pStyle w:val="BodyText"/>
        <w:rPr>
          <w:b/>
          <w:sz w:val="42"/>
        </w:rPr>
      </w:pPr>
    </w:p>
    <w:p>
      <w:pPr>
        <w:pStyle w:val="BodyText"/>
        <w:spacing w:line="276" w:lineRule="auto" w:before="284"/>
        <w:ind w:left="477" w:right="6940"/>
      </w:pPr>
      <w:r>
        <w:rPr/>
        <w:t>eye inflammation (ophthalmia) eyelid inflammation (blepharitis) conjunctivitis</w:t>
      </w:r>
    </w:p>
    <w:p>
      <w:pPr>
        <w:spacing w:after="0" w:line="276" w:lineRule="auto"/>
        <w:sectPr>
          <w:pgSz w:w="14270" w:h="16850"/>
          <w:pgMar w:header="0" w:footer="1891" w:top="1600" w:bottom="2080" w:left="800" w:right="1280"/>
        </w:sectPr>
      </w:pPr>
    </w:p>
    <w:p>
      <w:pPr>
        <w:pStyle w:val="BodyText"/>
        <w:spacing w:line="276" w:lineRule="auto" w:before="181"/>
        <w:ind w:left="477" w:right="7086"/>
      </w:pPr>
      <w:r>
        <w:rPr/>
        <w:t>corneal inflammation (keratitis) corneal ulcers</w:t>
      </w:r>
    </w:p>
    <w:p>
      <w:pPr>
        <w:pStyle w:val="BodyText"/>
        <w:spacing w:before="1"/>
        <w:ind w:left="477"/>
      </w:pPr>
      <w:r>
        <w:rPr/>
        <w:t>lacrimal sac inflammation</w:t>
      </w:r>
    </w:p>
    <w:p>
      <w:pPr>
        <w:pStyle w:val="Heading1"/>
        <w:spacing w:before="287"/>
      </w:pPr>
      <w:r>
        <w:rPr/>
        <w:t>Respiratory diseases</w:t>
      </w:r>
    </w:p>
    <w:p>
      <w:pPr>
        <w:pStyle w:val="BodyText"/>
        <w:spacing w:before="300"/>
        <w:ind w:left="477"/>
      </w:pPr>
      <w:r>
        <w:rPr/>
        <w:t>flu</w:t>
      </w:r>
    </w:p>
    <w:p>
      <w:pPr>
        <w:pStyle w:val="BodyText"/>
        <w:spacing w:line="276" w:lineRule="auto" w:before="62"/>
        <w:ind w:left="477" w:right="8625"/>
      </w:pPr>
      <w:r>
        <w:rPr/>
        <w:t>whooping cough Legionnaires' disease lung inflammation tonsillitis</w:t>
      </w:r>
    </w:p>
    <w:p>
      <w:pPr>
        <w:pStyle w:val="BodyText"/>
        <w:spacing w:line="276" w:lineRule="auto" w:before="2"/>
        <w:ind w:left="477" w:right="9844"/>
      </w:pPr>
      <w:r>
        <w:rPr/>
        <w:t>nasal catarrh pleurisy tuberculosis</w:t>
      </w:r>
    </w:p>
    <w:p>
      <w:pPr>
        <w:pStyle w:val="BodyText"/>
        <w:spacing w:line="426" w:lineRule="exact"/>
        <w:ind w:left="477"/>
      </w:pPr>
      <w:r>
        <w:rPr/>
        <w:t>rhinitis (nasal mucosal inflammation)</w:t>
      </w:r>
    </w:p>
    <w:p>
      <w:pPr>
        <w:pStyle w:val="Heading1"/>
        <w:spacing w:before="288"/>
      </w:pPr>
      <w:r>
        <w:rPr/>
        <w:t>Skin diseases</w:t>
      </w:r>
    </w:p>
    <w:p>
      <w:pPr>
        <w:pStyle w:val="BodyText"/>
        <w:spacing w:before="299"/>
        <w:ind w:left="477"/>
      </w:pPr>
      <w:r>
        <w:rPr/>
        <w:t>acne</w:t>
      </w:r>
    </w:p>
    <w:p>
      <w:pPr>
        <w:pStyle w:val="BodyText"/>
        <w:spacing w:line="276" w:lineRule="auto" w:before="64"/>
        <w:ind w:left="477" w:right="5352"/>
      </w:pPr>
      <w:r>
        <w:rPr/>
        <w:t>bromidrosis (foul-smelling sweat secretion) dermatitis</w:t>
      </w:r>
    </w:p>
    <w:p>
      <w:pPr>
        <w:pStyle w:val="BodyText"/>
        <w:spacing w:before="1"/>
        <w:ind w:left="477"/>
      </w:pPr>
      <w:r>
        <w:rPr/>
        <w:t>boils</w:t>
      </w:r>
    </w:p>
    <w:p>
      <w:pPr>
        <w:pStyle w:val="BodyText"/>
        <w:spacing w:before="62"/>
        <w:ind w:left="477"/>
      </w:pPr>
      <w:r>
        <w:rPr/>
        <w:t>skin cancer</w:t>
      </w:r>
    </w:p>
    <w:p>
      <w:pPr>
        <w:pStyle w:val="BodyText"/>
        <w:spacing w:line="276" w:lineRule="auto" w:before="65"/>
        <w:ind w:left="477" w:right="7996"/>
      </w:pPr>
      <w:r>
        <w:rPr/>
        <w:t>fungal skin infections skin tuberculosis (Lupus) herpes simplex</w:t>
      </w:r>
    </w:p>
    <w:p>
      <w:pPr>
        <w:spacing w:after="0" w:line="276" w:lineRule="auto"/>
        <w:sectPr>
          <w:pgSz w:w="14270" w:h="16850"/>
          <w:pgMar w:header="0" w:footer="1891" w:top="1600" w:bottom="2080" w:left="800" w:right="1280"/>
        </w:sectPr>
      </w:pPr>
    </w:p>
    <w:p>
      <w:pPr>
        <w:pStyle w:val="BodyText"/>
        <w:spacing w:before="181"/>
        <w:ind w:left="477"/>
      </w:pPr>
      <w:r>
        <w:rPr/>
        <w:t>herpes zoster (shingles)</w:t>
      </w:r>
    </w:p>
    <w:p>
      <w:pPr>
        <w:pStyle w:val="BodyText"/>
        <w:spacing w:line="276" w:lineRule="auto" w:before="65"/>
        <w:ind w:left="477" w:right="6746"/>
      </w:pPr>
      <w:r>
        <w:rPr/>
        <w:t>impetigo (purulent skin infection) rosacea (‘copper fins’)</w:t>
      </w:r>
    </w:p>
    <w:p>
      <w:pPr>
        <w:pStyle w:val="BodyText"/>
        <w:spacing w:before="1"/>
        <w:ind w:left="477"/>
      </w:pPr>
      <w:r>
        <w:rPr/>
        <w:t>cutting and puncture injuries of all kinds</w:t>
      </w:r>
    </w:p>
    <w:p>
      <w:pPr>
        <w:pStyle w:val="Heading1"/>
        <w:spacing w:before="287"/>
      </w:pPr>
      <w:r>
        <w:rPr/>
        <w:t>Diseases of the urological genital area</w:t>
      </w:r>
    </w:p>
    <w:p>
      <w:pPr>
        <w:pStyle w:val="BodyText"/>
        <w:spacing w:line="276" w:lineRule="auto" w:before="297"/>
        <w:ind w:left="477" w:right="8578"/>
      </w:pPr>
      <w:r>
        <w:rPr/>
        <w:t>cystitis (chronic) gonorrhoea (tripper )</w:t>
      </w:r>
    </w:p>
    <w:p>
      <w:pPr>
        <w:pStyle w:val="BodyText"/>
        <w:spacing w:line="276" w:lineRule="auto" w:before="1"/>
        <w:ind w:left="477" w:right="6243"/>
      </w:pPr>
      <w:r>
        <w:rPr/>
        <w:t>leucorrhoea (white vaginal discharge) epididymitis</w:t>
      </w:r>
    </w:p>
    <w:p>
      <w:pPr>
        <w:pStyle w:val="BodyText"/>
        <w:spacing w:before="1"/>
        <w:ind w:left="477"/>
      </w:pPr>
      <w:r>
        <w:rPr/>
        <w:t>prostate complaints</w:t>
      </w:r>
    </w:p>
    <w:p>
      <w:pPr>
        <w:pStyle w:val="Heading1"/>
        <w:spacing w:before="287"/>
      </w:pPr>
      <w:r>
        <w:rPr/>
        <w:t>Diseases of the digestive tract</w:t>
      </w:r>
    </w:p>
    <w:p>
      <w:pPr>
        <w:pStyle w:val="BodyText"/>
        <w:spacing w:line="276" w:lineRule="auto" w:before="297"/>
        <w:ind w:left="477" w:right="10299"/>
      </w:pPr>
      <w:r>
        <w:rPr/>
        <w:t>diarrhoea gastritis dysentery</w:t>
      </w:r>
    </w:p>
    <w:p>
      <w:pPr>
        <w:pStyle w:val="BodyText"/>
        <w:spacing w:before="1"/>
        <w:ind w:left="477"/>
      </w:pPr>
      <w:r>
        <w:rPr/>
        <w:t>salmonella infection</w:t>
      </w:r>
    </w:p>
    <w:p>
      <w:pPr>
        <w:pStyle w:val="Heading2"/>
        <w:spacing w:line="276" w:lineRule="auto" w:before="305"/>
      </w:pPr>
      <w:r>
        <w:rPr/>
        <w:t>Colloidal silver has also been reported to have been used successfully in the treatment of the following diseases:</w:t>
      </w:r>
    </w:p>
    <w:p>
      <w:pPr>
        <w:pStyle w:val="ListParagraph"/>
        <w:numPr>
          <w:ilvl w:val="1"/>
          <w:numId w:val="40"/>
        </w:numPr>
        <w:tabs>
          <w:tab w:pos="1197" w:val="left" w:leader="none"/>
          <w:tab w:pos="1198" w:val="left" w:leader="none"/>
        </w:tabs>
        <w:spacing w:line="240" w:lineRule="auto" w:before="241" w:after="0"/>
        <w:ind w:left="477" w:right="0" w:firstLine="0"/>
        <w:jc w:val="left"/>
        <w:rPr>
          <w:sz w:val="38"/>
        </w:rPr>
      </w:pPr>
      <w:r>
        <w:rPr>
          <w:sz w:val="38"/>
        </w:rPr>
        <w:t>adenovirus type 5</w:t>
      </w:r>
    </w:p>
    <w:p>
      <w:pPr>
        <w:pStyle w:val="ListParagraph"/>
        <w:numPr>
          <w:ilvl w:val="1"/>
          <w:numId w:val="40"/>
        </w:numPr>
        <w:tabs>
          <w:tab w:pos="1197" w:val="left" w:leader="none"/>
          <w:tab w:pos="1198" w:val="left" w:leader="none"/>
        </w:tabs>
        <w:spacing w:line="240" w:lineRule="auto" w:before="302" w:after="0"/>
        <w:ind w:left="477" w:right="0" w:firstLine="0"/>
        <w:jc w:val="left"/>
        <w:rPr>
          <w:sz w:val="38"/>
        </w:rPr>
      </w:pPr>
      <w:r>
        <w:rPr>
          <w:sz w:val="38"/>
        </w:rPr>
        <w:t>allergies</w:t>
      </w:r>
    </w:p>
    <w:p>
      <w:pPr>
        <w:pStyle w:val="ListParagraph"/>
        <w:numPr>
          <w:ilvl w:val="1"/>
          <w:numId w:val="40"/>
        </w:numPr>
        <w:tabs>
          <w:tab w:pos="1197" w:val="left" w:leader="none"/>
          <w:tab w:pos="1198" w:val="left" w:leader="none"/>
        </w:tabs>
        <w:spacing w:line="240" w:lineRule="auto" w:before="305" w:after="0"/>
        <w:ind w:left="477" w:right="0" w:firstLine="0"/>
        <w:jc w:val="left"/>
        <w:rPr>
          <w:sz w:val="38"/>
        </w:rPr>
      </w:pPr>
      <w:r>
        <w:rPr>
          <w:sz w:val="38"/>
        </w:rPr>
        <w:t>arthritis</w:t>
      </w:r>
    </w:p>
    <w:p>
      <w:pPr>
        <w:spacing w:after="0" w:line="240" w:lineRule="auto"/>
        <w:jc w:val="left"/>
        <w:rPr>
          <w:sz w:val="38"/>
        </w:rPr>
        <w:sectPr>
          <w:pgSz w:w="14270" w:h="16850"/>
          <w:pgMar w:header="0" w:footer="1891" w:top="1600" w:bottom="2080" w:left="800" w:right="1280"/>
        </w:sectPr>
      </w:pPr>
    </w:p>
    <w:p>
      <w:pPr>
        <w:pStyle w:val="ListParagraph"/>
        <w:numPr>
          <w:ilvl w:val="1"/>
          <w:numId w:val="40"/>
        </w:numPr>
        <w:tabs>
          <w:tab w:pos="1197" w:val="left" w:leader="none"/>
          <w:tab w:pos="1198" w:val="left" w:leader="none"/>
        </w:tabs>
        <w:spacing w:line="240" w:lineRule="auto" w:before="181" w:after="0"/>
        <w:ind w:left="477" w:right="0" w:firstLine="0"/>
        <w:jc w:val="left"/>
        <w:rPr>
          <w:sz w:val="38"/>
        </w:rPr>
      </w:pPr>
      <w:r>
        <w:rPr>
          <w:sz w:val="38"/>
        </w:rPr>
        <w:t>tapeworm</w:t>
      </w:r>
    </w:p>
    <w:p>
      <w:pPr>
        <w:pStyle w:val="ListParagraph"/>
        <w:numPr>
          <w:ilvl w:val="1"/>
          <w:numId w:val="40"/>
        </w:numPr>
        <w:tabs>
          <w:tab w:pos="1197" w:val="left" w:leader="none"/>
          <w:tab w:pos="1198" w:val="left" w:leader="none"/>
        </w:tabs>
        <w:spacing w:line="240" w:lineRule="auto" w:before="305" w:after="0"/>
        <w:ind w:left="477" w:right="0" w:firstLine="0"/>
        <w:jc w:val="left"/>
        <w:rPr>
          <w:sz w:val="38"/>
        </w:rPr>
      </w:pPr>
      <w:r>
        <w:rPr>
          <w:sz w:val="38"/>
        </w:rPr>
        <w:t>conjunctivitis</w:t>
      </w:r>
    </w:p>
    <w:p>
      <w:pPr>
        <w:pStyle w:val="ListParagraph"/>
        <w:numPr>
          <w:ilvl w:val="1"/>
          <w:numId w:val="40"/>
        </w:numPr>
        <w:tabs>
          <w:tab w:pos="1197" w:val="left" w:leader="none"/>
          <w:tab w:pos="1198" w:val="left" w:leader="none"/>
        </w:tabs>
        <w:spacing w:line="240" w:lineRule="auto" w:before="304" w:after="0"/>
        <w:ind w:left="477" w:right="0" w:firstLine="0"/>
        <w:jc w:val="left"/>
        <w:rPr>
          <w:sz w:val="38"/>
        </w:rPr>
      </w:pPr>
      <w:r>
        <w:rPr>
          <w:sz w:val="38"/>
        </w:rPr>
        <w:t>blepharitis</w:t>
      </w:r>
    </w:p>
    <w:p>
      <w:pPr>
        <w:pStyle w:val="ListParagraph"/>
        <w:numPr>
          <w:ilvl w:val="1"/>
          <w:numId w:val="40"/>
        </w:numPr>
        <w:tabs>
          <w:tab w:pos="1197" w:val="left" w:leader="none"/>
          <w:tab w:pos="1198" w:val="left" w:leader="none"/>
        </w:tabs>
        <w:spacing w:line="240" w:lineRule="auto" w:before="305" w:after="0"/>
        <w:ind w:left="477" w:right="0" w:firstLine="0"/>
        <w:jc w:val="left"/>
        <w:rPr>
          <w:sz w:val="38"/>
        </w:rPr>
      </w:pPr>
      <w:r>
        <w:rPr>
          <w:sz w:val="38"/>
        </w:rPr>
        <w:t>blood</w:t>
      </w:r>
      <w:r>
        <w:rPr>
          <w:spacing w:val="-1"/>
          <w:sz w:val="38"/>
        </w:rPr>
        <w:t> </w:t>
      </w:r>
      <w:r>
        <w:rPr>
          <w:sz w:val="38"/>
        </w:rPr>
        <w:t>parasites</w:t>
      </w:r>
    </w:p>
    <w:p>
      <w:pPr>
        <w:pStyle w:val="ListParagraph"/>
        <w:numPr>
          <w:ilvl w:val="1"/>
          <w:numId w:val="40"/>
        </w:numPr>
        <w:tabs>
          <w:tab w:pos="1197" w:val="left" w:leader="none"/>
          <w:tab w:pos="1198" w:val="left" w:leader="none"/>
        </w:tabs>
        <w:spacing w:line="240" w:lineRule="auto" w:before="304" w:after="0"/>
        <w:ind w:left="477" w:right="0" w:firstLine="0"/>
        <w:jc w:val="left"/>
        <w:rPr>
          <w:sz w:val="38"/>
        </w:rPr>
      </w:pPr>
      <w:r>
        <w:rPr>
          <w:sz w:val="38"/>
        </w:rPr>
        <w:t>Candida</w:t>
      </w:r>
      <w:r>
        <w:rPr>
          <w:spacing w:val="-2"/>
          <w:sz w:val="38"/>
        </w:rPr>
        <w:t> </w:t>
      </w:r>
      <w:r>
        <w:rPr>
          <w:sz w:val="38"/>
        </w:rPr>
        <w:t>albicans</w:t>
      </w:r>
    </w:p>
    <w:p>
      <w:pPr>
        <w:pStyle w:val="ListParagraph"/>
        <w:numPr>
          <w:ilvl w:val="1"/>
          <w:numId w:val="40"/>
        </w:numPr>
        <w:tabs>
          <w:tab w:pos="1197" w:val="left" w:leader="none"/>
          <w:tab w:pos="1198" w:val="left" w:leader="none"/>
        </w:tabs>
        <w:spacing w:line="240" w:lineRule="auto" w:before="303" w:after="0"/>
        <w:ind w:left="477" w:right="0" w:firstLine="0"/>
        <w:jc w:val="left"/>
        <w:rPr>
          <w:sz w:val="38"/>
        </w:rPr>
      </w:pPr>
      <w:r>
        <w:rPr>
          <w:sz w:val="38"/>
        </w:rPr>
        <w:t>diabetes</w:t>
      </w:r>
    </w:p>
    <w:p>
      <w:pPr>
        <w:pStyle w:val="ListParagraph"/>
        <w:numPr>
          <w:ilvl w:val="1"/>
          <w:numId w:val="40"/>
        </w:numPr>
        <w:tabs>
          <w:tab w:pos="1197" w:val="left" w:leader="none"/>
          <w:tab w:pos="1198" w:val="left" w:leader="none"/>
        </w:tabs>
        <w:spacing w:line="240" w:lineRule="auto" w:before="305" w:after="0"/>
        <w:ind w:left="477" w:right="0" w:firstLine="0"/>
        <w:jc w:val="left"/>
        <w:rPr>
          <w:sz w:val="38"/>
        </w:rPr>
      </w:pPr>
      <w:r>
        <w:rPr>
          <w:sz w:val="38"/>
        </w:rPr>
        <w:t>inflammation of the</w:t>
      </w:r>
      <w:r>
        <w:rPr>
          <w:spacing w:val="3"/>
          <w:sz w:val="38"/>
        </w:rPr>
        <w:t> </w:t>
      </w:r>
      <w:r>
        <w:rPr>
          <w:sz w:val="38"/>
        </w:rPr>
        <w:t>colon</w:t>
      </w:r>
    </w:p>
    <w:p>
      <w:pPr>
        <w:pStyle w:val="ListParagraph"/>
        <w:numPr>
          <w:ilvl w:val="1"/>
          <w:numId w:val="40"/>
        </w:numPr>
        <w:tabs>
          <w:tab w:pos="1197" w:val="left" w:leader="none"/>
          <w:tab w:pos="1198" w:val="left" w:leader="none"/>
        </w:tabs>
        <w:spacing w:line="240" w:lineRule="auto" w:before="304" w:after="0"/>
        <w:ind w:left="477" w:right="0" w:firstLine="0"/>
        <w:jc w:val="left"/>
        <w:rPr>
          <w:sz w:val="38"/>
        </w:rPr>
      </w:pPr>
      <w:r>
        <w:rPr>
          <w:sz w:val="38"/>
        </w:rPr>
        <w:t>diphtheria</w:t>
      </w:r>
    </w:p>
    <w:p>
      <w:pPr>
        <w:pStyle w:val="ListParagraph"/>
        <w:numPr>
          <w:ilvl w:val="1"/>
          <w:numId w:val="40"/>
        </w:numPr>
        <w:tabs>
          <w:tab w:pos="1197" w:val="left" w:leader="none"/>
          <w:tab w:pos="1198" w:val="left" w:leader="none"/>
        </w:tabs>
        <w:spacing w:line="240" w:lineRule="auto" w:before="305" w:after="0"/>
        <w:ind w:left="477" w:right="0" w:firstLine="0"/>
        <w:jc w:val="left"/>
        <w:rPr>
          <w:sz w:val="38"/>
        </w:rPr>
      </w:pPr>
      <w:r>
        <w:rPr>
          <w:sz w:val="38"/>
        </w:rPr>
        <w:t>impetigo</w:t>
      </w:r>
    </w:p>
    <w:p>
      <w:pPr>
        <w:pStyle w:val="ListParagraph"/>
        <w:numPr>
          <w:ilvl w:val="1"/>
          <w:numId w:val="40"/>
        </w:numPr>
        <w:tabs>
          <w:tab w:pos="1197" w:val="left" w:leader="none"/>
          <w:tab w:pos="1198" w:val="left" w:leader="none"/>
        </w:tabs>
        <w:spacing w:line="240" w:lineRule="auto" w:before="305" w:after="0"/>
        <w:ind w:left="477" w:right="0" w:firstLine="0"/>
        <w:jc w:val="left"/>
        <w:rPr>
          <w:sz w:val="38"/>
        </w:rPr>
      </w:pPr>
      <w:r>
        <w:rPr>
          <w:sz w:val="38"/>
        </w:rPr>
        <w:t>eczema</w:t>
      </w:r>
    </w:p>
    <w:p>
      <w:pPr>
        <w:pStyle w:val="ListParagraph"/>
        <w:numPr>
          <w:ilvl w:val="1"/>
          <w:numId w:val="40"/>
        </w:numPr>
        <w:tabs>
          <w:tab w:pos="1197" w:val="left" w:leader="none"/>
          <w:tab w:pos="1198" w:val="left" w:leader="none"/>
        </w:tabs>
        <w:spacing w:line="240" w:lineRule="auto" w:before="304" w:after="0"/>
        <w:ind w:left="477" w:right="0" w:firstLine="0"/>
        <w:jc w:val="left"/>
        <w:rPr>
          <w:sz w:val="38"/>
        </w:rPr>
      </w:pPr>
      <w:r>
        <w:rPr>
          <w:sz w:val="38"/>
        </w:rPr>
        <w:t>inflammation</w:t>
      </w:r>
    </w:p>
    <w:p>
      <w:pPr>
        <w:pStyle w:val="ListParagraph"/>
        <w:numPr>
          <w:ilvl w:val="1"/>
          <w:numId w:val="40"/>
        </w:numPr>
        <w:tabs>
          <w:tab w:pos="1197" w:val="left" w:leader="none"/>
          <w:tab w:pos="1198" w:val="left" w:leader="none"/>
        </w:tabs>
        <w:spacing w:line="240" w:lineRule="auto" w:before="302" w:after="0"/>
        <w:ind w:left="477" w:right="0" w:firstLine="0"/>
        <w:jc w:val="left"/>
        <w:rPr>
          <w:sz w:val="38"/>
        </w:rPr>
      </w:pPr>
      <w:r>
        <w:rPr>
          <w:sz w:val="38"/>
        </w:rPr>
        <w:t>inflammation of the ear</w:t>
      </w:r>
      <w:r>
        <w:rPr>
          <w:spacing w:val="7"/>
          <w:sz w:val="38"/>
        </w:rPr>
        <w:t> </w:t>
      </w:r>
      <w:r>
        <w:rPr>
          <w:sz w:val="38"/>
        </w:rPr>
        <w:t>canal</w:t>
      </w:r>
    </w:p>
    <w:p>
      <w:pPr>
        <w:pStyle w:val="ListParagraph"/>
        <w:numPr>
          <w:ilvl w:val="1"/>
          <w:numId w:val="40"/>
        </w:numPr>
        <w:tabs>
          <w:tab w:pos="1197" w:val="left" w:leader="none"/>
          <w:tab w:pos="1198" w:val="left" w:leader="none"/>
        </w:tabs>
        <w:spacing w:line="240" w:lineRule="auto" w:before="305" w:after="0"/>
        <w:ind w:left="477" w:right="0" w:firstLine="0"/>
        <w:jc w:val="left"/>
        <w:rPr>
          <w:sz w:val="38"/>
        </w:rPr>
      </w:pPr>
      <w:r>
        <w:rPr>
          <w:sz w:val="38"/>
        </w:rPr>
        <w:t>boils</w:t>
      </w:r>
    </w:p>
    <w:p>
      <w:pPr>
        <w:pStyle w:val="ListParagraph"/>
        <w:numPr>
          <w:ilvl w:val="1"/>
          <w:numId w:val="40"/>
        </w:numPr>
        <w:tabs>
          <w:tab w:pos="1197" w:val="left" w:leader="none"/>
          <w:tab w:pos="1198" w:val="left" w:leader="none"/>
        </w:tabs>
        <w:spacing w:line="240" w:lineRule="auto" w:before="304" w:after="0"/>
        <w:ind w:left="477" w:right="0" w:firstLine="0"/>
        <w:jc w:val="left"/>
        <w:rPr>
          <w:sz w:val="38"/>
        </w:rPr>
      </w:pPr>
      <w:r>
        <w:rPr>
          <w:sz w:val="38"/>
        </w:rPr>
        <w:t>ulcers</w:t>
      </w:r>
    </w:p>
    <w:p>
      <w:pPr>
        <w:pStyle w:val="ListParagraph"/>
        <w:numPr>
          <w:ilvl w:val="1"/>
          <w:numId w:val="40"/>
        </w:numPr>
        <w:tabs>
          <w:tab w:pos="1197" w:val="left" w:leader="none"/>
          <w:tab w:pos="1198" w:val="left" w:leader="none"/>
        </w:tabs>
        <w:spacing w:line="240" w:lineRule="auto" w:before="305" w:after="0"/>
        <w:ind w:left="477" w:right="0" w:firstLine="0"/>
        <w:jc w:val="left"/>
        <w:rPr>
          <w:sz w:val="38"/>
        </w:rPr>
      </w:pPr>
      <w:r>
        <w:rPr>
          <w:sz w:val="38"/>
        </w:rPr>
        <w:t>gingivitis</w:t>
      </w:r>
    </w:p>
    <w:p>
      <w:pPr>
        <w:pStyle w:val="ListParagraph"/>
        <w:numPr>
          <w:ilvl w:val="1"/>
          <w:numId w:val="40"/>
        </w:numPr>
        <w:tabs>
          <w:tab w:pos="1197" w:val="left" w:leader="none"/>
          <w:tab w:pos="1198" w:val="left" w:leader="none"/>
        </w:tabs>
        <w:spacing w:line="240" w:lineRule="auto" w:before="305" w:after="0"/>
        <w:ind w:left="477" w:right="0" w:firstLine="0"/>
        <w:jc w:val="left"/>
        <w:rPr>
          <w:sz w:val="38"/>
        </w:rPr>
      </w:pPr>
      <w:r>
        <w:rPr>
          <w:sz w:val="38"/>
        </w:rPr>
        <w:t>gonorrhoea</w:t>
      </w:r>
    </w:p>
    <w:p>
      <w:pPr>
        <w:spacing w:after="0" w:line="240" w:lineRule="auto"/>
        <w:jc w:val="left"/>
        <w:rPr>
          <w:sz w:val="38"/>
        </w:rPr>
        <w:sectPr>
          <w:footerReference w:type="default" r:id="rId177"/>
          <w:pgSz w:w="14270" w:h="16850"/>
          <w:pgMar w:footer="1891" w:header="0" w:top="1600" w:bottom="2080" w:left="800" w:right="1280"/>
          <w:pgNumType w:start="700"/>
        </w:sectPr>
      </w:pPr>
    </w:p>
    <w:p>
      <w:pPr>
        <w:pStyle w:val="ListParagraph"/>
        <w:numPr>
          <w:ilvl w:val="1"/>
          <w:numId w:val="40"/>
        </w:numPr>
        <w:tabs>
          <w:tab w:pos="1197" w:val="left" w:leader="none"/>
          <w:tab w:pos="1198" w:val="left" w:leader="none"/>
        </w:tabs>
        <w:spacing w:line="240" w:lineRule="auto" w:before="181" w:after="0"/>
        <w:ind w:left="477" w:right="0" w:firstLine="0"/>
        <w:jc w:val="left"/>
        <w:rPr>
          <w:sz w:val="38"/>
        </w:rPr>
      </w:pPr>
      <w:r>
        <w:rPr>
          <w:sz w:val="38"/>
        </w:rPr>
        <w:t>shingles</w:t>
      </w:r>
    </w:p>
    <w:p>
      <w:pPr>
        <w:pStyle w:val="ListParagraph"/>
        <w:numPr>
          <w:ilvl w:val="1"/>
          <w:numId w:val="40"/>
        </w:numPr>
        <w:tabs>
          <w:tab w:pos="1197" w:val="left" w:leader="none"/>
          <w:tab w:pos="1198" w:val="left" w:leader="none"/>
        </w:tabs>
        <w:spacing w:line="240" w:lineRule="auto" w:before="305" w:after="0"/>
        <w:ind w:left="477" w:right="0" w:firstLine="0"/>
        <w:jc w:val="left"/>
        <w:rPr>
          <w:sz w:val="38"/>
        </w:rPr>
      </w:pPr>
      <w:r>
        <w:rPr>
          <w:sz w:val="38"/>
        </w:rPr>
        <w:t>skin rash</w:t>
      </w:r>
    </w:p>
    <w:p>
      <w:pPr>
        <w:pStyle w:val="ListParagraph"/>
        <w:numPr>
          <w:ilvl w:val="1"/>
          <w:numId w:val="40"/>
        </w:numPr>
        <w:tabs>
          <w:tab w:pos="1197" w:val="left" w:leader="none"/>
          <w:tab w:pos="1198" w:val="left" w:leader="none"/>
        </w:tabs>
        <w:spacing w:line="240" w:lineRule="auto" w:before="304" w:after="0"/>
        <w:ind w:left="477" w:right="0" w:firstLine="0"/>
        <w:jc w:val="left"/>
        <w:rPr>
          <w:sz w:val="38"/>
        </w:rPr>
      </w:pPr>
      <w:r>
        <w:rPr>
          <w:sz w:val="38"/>
        </w:rPr>
        <w:t>sore</w:t>
      </w:r>
      <w:r>
        <w:rPr>
          <w:spacing w:val="-3"/>
          <w:sz w:val="38"/>
        </w:rPr>
        <w:t> </w:t>
      </w:r>
      <w:r>
        <w:rPr>
          <w:sz w:val="38"/>
        </w:rPr>
        <w:t>throat</w:t>
      </w:r>
    </w:p>
    <w:p>
      <w:pPr>
        <w:pStyle w:val="ListParagraph"/>
        <w:numPr>
          <w:ilvl w:val="1"/>
          <w:numId w:val="40"/>
        </w:numPr>
        <w:tabs>
          <w:tab w:pos="1197" w:val="left" w:leader="none"/>
          <w:tab w:pos="1198" w:val="left" w:leader="none"/>
        </w:tabs>
        <w:spacing w:line="240" w:lineRule="auto" w:before="305" w:after="0"/>
        <w:ind w:left="477" w:right="0" w:firstLine="0"/>
        <w:jc w:val="left"/>
        <w:rPr>
          <w:sz w:val="38"/>
        </w:rPr>
      </w:pPr>
      <w:r>
        <w:rPr>
          <w:sz w:val="38"/>
        </w:rPr>
        <w:t>skin</w:t>
      </w:r>
      <w:r>
        <w:rPr>
          <w:spacing w:val="-7"/>
          <w:sz w:val="38"/>
        </w:rPr>
        <w:t> </w:t>
      </w:r>
      <w:r>
        <w:rPr>
          <w:sz w:val="38"/>
        </w:rPr>
        <w:t>cracks</w:t>
      </w:r>
    </w:p>
    <w:p>
      <w:pPr>
        <w:pStyle w:val="ListParagraph"/>
        <w:numPr>
          <w:ilvl w:val="1"/>
          <w:numId w:val="40"/>
        </w:numPr>
        <w:tabs>
          <w:tab w:pos="1197" w:val="left" w:leader="none"/>
          <w:tab w:pos="1198" w:val="left" w:leader="none"/>
        </w:tabs>
        <w:spacing w:line="240" w:lineRule="auto" w:before="304" w:after="0"/>
        <w:ind w:left="477" w:right="0" w:firstLine="0"/>
        <w:jc w:val="left"/>
        <w:rPr>
          <w:sz w:val="38"/>
        </w:rPr>
      </w:pPr>
      <w:r>
        <w:rPr>
          <w:sz w:val="38"/>
        </w:rPr>
        <w:t>lupus</w:t>
      </w:r>
    </w:p>
    <w:p>
      <w:pPr>
        <w:pStyle w:val="ListParagraph"/>
        <w:numPr>
          <w:ilvl w:val="1"/>
          <w:numId w:val="40"/>
        </w:numPr>
        <w:tabs>
          <w:tab w:pos="1197" w:val="left" w:leader="none"/>
          <w:tab w:pos="1198" w:val="left" w:leader="none"/>
        </w:tabs>
        <w:spacing w:line="240" w:lineRule="auto" w:before="303" w:after="0"/>
        <w:ind w:left="477" w:right="0" w:firstLine="0"/>
        <w:jc w:val="left"/>
        <w:rPr>
          <w:sz w:val="38"/>
        </w:rPr>
      </w:pPr>
      <w:r>
        <w:rPr>
          <w:sz w:val="38"/>
        </w:rPr>
        <w:t>hepatitis</w:t>
      </w:r>
    </w:p>
    <w:p>
      <w:pPr>
        <w:pStyle w:val="ListParagraph"/>
        <w:numPr>
          <w:ilvl w:val="1"/>
          <w:numId w:val="40"/>
        </w:numPr>
        <w:tabs>
          <w:tab w:pos="1197" w:val="left" w:leader="none"/>
          <w:tab w:pos="1198" w:val="left" w:leader="none"/>
        </w:tabs>
        <w:spacing w:line="240" w:lineRule="auto" w:before="305" w:after="0"/>
        <w:ind w:left="477" w:right="0" w:firstLine="0"/>
        <w:jc w:val="left"/>
        <w:rPr>
          <w:sz w:val="38"/>
        </w:rPr>
      </w:pPr>
      <w:r>
        <w:rPr>
          <w:sz w:val="38"/>
        </w:rPr>
        <w:t>hay</w:t>
      </w:r>
      <w:r>
        <w:rPr>
          <w:spacing w:val="-2"/>
          <w:sz w:val="38"/>
        </w:rPr>
        <w:t> </w:t>
      </w:r>
      <w:r>
        <w:rPr>
          <w:sz w:val="38"/>
        </w:rPr>
        <w:t>fever</w:t>
      </w:r>
    </w:p>
    <w:p>
      <w:pPr>
        <w:pStyle w:val="ListParagraph"/>
        <w:numPr>
          <w:ilvl w:val="1"/>
          <w:numId w:val="40"/>
        </w:numPr>
        <w:tabs>
          <w:tab w:pos="1197" w:val="left" w:leader="none"/>
          <w:tab w:pos="1198" w:val="left" w:leader="none"/>
        </w:tabs>
        <w:spacing w:line="240" w:lineRule="auto" w:before="304" w:after="0"/>
        <w:ind w:left="477" w:right="0" w:firstLine="0"/>
        <w:jc w:val="left"/>
        <w:rPr>
          <w:sz w:val="38"/>
        </w:rPr>
      </w:pPr>
      <w:r>
        <w:rPr>
          <w:sz w:val="38"/>
        </w:rPr>
        <w:t>poliomyelitis</w:t>
      </w:r>
    </w:p>
    <w:p>
      <w:pPr>
        <w:pStyle w:val="ListParagraph"/>
        <w:numPr>
          <w:ilvl w:val="1"/>
          <w:numId w:val="40"/>
        </w:numPr>
        <w:tabs>
          <w:tab w:pos="1197" w:val="left" w:leader="none"/>
          <w:tab w:pos="1198" w:val="left" w:leader="none"/>
        </w:tabs>
        <w:spacing w:line="240" w:lineRule="auto" w:before="305" w:after="0"/>
        <w:ind w:left="477" w:right="0" w:firstLine="0"/>
        <w:jc w:val="left"/>
        <w:rPr>
          <w:sz w:val="38"/>
        </w:rPr>
      </w:pPr>
      <w:r>
        <w:rPr>
          <w:sz w:val="38"/>
        </w:rPr>
        <w:t>stomach</w:t>
      </w:r>
      <w:r>
        <w:rPr>
          <w:spacing w:val="1"/>
          <w:sz w:val="38"/>
        </w:rPr>
        <w:t> </w:t>
      </w:r>
      <w:r>
        <w:rPr>
          <w:sz w:val="38"/>
        </w:rPr>
        <w:t>inflammation</w:t>
      </w:r>
    </w:p>
    <w:p>
      <w:pPr>
        <w:pStyle w:val="ListParagraph"/>
        <w:numPr>
          <w:ilvl w:val="1"/>
          <w:numId w:val="40"/>
        </w:numPr>
        <w:tabs>
          <w:tab w:pos="1197" w:val="left" w:leader="none"/>
          <w:tab w:pos="1198" w:val="left" w:leader="none"/>
        </w:tabs>
        <w:spacing w:line="240" w:lineRule="auto" w:before="305" w:after="0"/>
        <w:ind w:left="477" w:right="0" w:firstLine="0"/>
        <w:jc w:val="left"/>
        <w:rPr>
          <w:sz w:val="38"/>
        </w:rPr>
      </w:pPr>
      <w:r>
        <w:rPr>
          <w:sz w:val="38"/>
        </w:rPr>
        <w:t>gastritis</w:t>
      </w:r>
    </w:p>
    <w:p>
      <w:pPr>
        <w:pStyle w:val="ListParagraph"/>
        <w:numPr>
          <w:ilvl w:val="1"/>
          <w:numId w:val="40"/>
        </w:numPr>
        <w:tabs>
          <w:tab w:pos="1197" w:val="left" w:leader="none"/>
          <w:tab w:pos="1198" w:val="left" w:leader="none"/>
        </w:tabs>
        <w:spacing w:line="240" w:lineRule="auto" w:before="304" w:after="0"/>
        <w:ind w:left="477" w:right="0" w:firstLine="0"/>
        <w:jc w:val="left"/>
        <w:rPr>
          <w:sz w:val="38"/>
        </w:rPr>
      </w:pPr>
      <w:r>
        <w:rPr>
          <w:sz w:val="38"/>
        </w:rPr>
        <w:t>tonsillitis</w:t>
      </w:r>
    </w:p>
    <w:p>
      <w:pPr>
        <w:pStyle w:val="ListParagraph"/>
        <w:numPr>
          <w:ilvl w:val="1"/>
          <w:numId w:val="40"/>
        </w:numPr>
        <w:tabs>
          <w:tab w:pos="1197" w:val="left" w:leader="none"/>
          <w:tab w:pos="1198" w:val="left" w:leader="none"/>
        </w:tabs>
        <w:spacing w:line="240" w:lineRule="auto" w:before="302" w:after="0"/>
        <w:ind w:left="477" w:right="0" w:firstLine="0"/>
        <w:jc w:val="left"/>
        <w:rPr>
          <w:sz w:val="38"/>
        </w:rPr>
      </w:pPr>
      <w:r>
        <w:rPr>
          <w:sz w:val="38"/>
        </w:rPr>
        <w:t>meningitis</w:t>
      </w:r>
    </w:p>
    <w:p>
      <w:pPr>
        <w:pStyle w:val="ListParagraph"/>
        <w:numPr>
          <w:ilvl w:val="1"/>
          <w:numId w:val="40"/>
        </w:numPr>
        <w:tabs>
          <w:tab w:pos="1197" w:val="left" w:leader="none"/>
          <w:tab w:pos="1198" w:val="left" w:leader="none"/>
        </w:tabs>
        <w:spacing w:line="240" w:lineRule="auto" w:before="305" w:after="0"/>
        <w:ind w:left="477" w:right="0" w:firstLine="0"/>
        <w:jc w:val="left"/>
        <w:rPr>
          <w:sz w:val="38"/>
        </w:rPr>
      </w:pPr>
      <w:r>
        <w:rPr>
          <w:sz w:val="38"/>
        </w:rPr>
        <w:t>otitis</w:t>
      </w:r>
    </w:p>
    <w:p>
      <w:pPr>
        <w:pStyle w:val="ListParagraph"/>
        <w:numPr>
          <w:ilvl w:val="1"/>
          <w:numId w:val="40"/>
        </w:numPr>
        <w:tabs>
          <w:tab w:pos="1197" w:val="left" w:leader="none"/>
          <w:tab w:pos="1198" w:val="left" w:leader="none"/>
        </w:tabs>
        <w:spacing w:line="240" w:lineRule="auto" w:before="304" w:after="0"/>
        <w:ind w:left="477" w:right="0" w:firstLine="0"/>
        <w:jc w:val="left"/>
        <w:rPr>
          <w:sz w:val="38"/>
        </w:rPr>
      </w:pPr>
      <w:r>
        <w:rPr>
          <w:sz w:val="38"/>
        </w:rPr>
        <w:t>halitosis</w:t>
      </w:r>
    </w:p>
    <w:p>
      <w:pPr>
        <w:pStyle w:val="ListParagraph"/>
        <w:numPr>
          <w:ilvl w:val="1"/>
          <w:numId w:val="40"/>
        </w:numPr>
        <w:tabs>
          <w:tab w:pos="1197" w:val="left" w:leader="none"/>
          <w:tab w:pos="1198" w:val="left" w:leader="none"/>
        </w:tabs>
        <w:spacing w:line="240" w:lineRule="auto" w:before="305" w:after="0"/>
        <w:ind w:left="477" w:right="0" w:firstLine="0"/>
        <w:jc w:val="left"/>
        <w:rPr>
          <w:sz w:val="38"/>
        </w:rPr>
      </w:pPr>
      <w:r>
        <w:rPr>
          <w:sz w:val="38"/>
        </w:rPr>
        <w:t>neurasthenia</w:t>
      </w:r>
    </w:p>
    <w:p>
      <w:pPr>
        <w:pStyle w:val="ListParagraph"/>
        <w:numPr>
          <w:ilvl w:val="1"/>
          <w:numId w:val="40"/>
        </w:numPr>
        <w:tabs>
          <w:tab w:pos="1197" w:val="left" w:leader="none"/>
          <w:tab w:pos="1198" w:val="left" w:leader="none"/>
        </w:tabs>
        <w:spacing w:line="240" w:lineRule="auto" w:before="305" w:after="0"/>
        <w:ind w:left="477" w:right="0" w:firstLine="0"/>
        <w:jc w:val="left"/>
        <w:rPr>
          <w:sz w:val="38"/>
        </w:rPr>
      </w:pPr>
      <w:r>
        <w:rPr>
          <w:sz w:val="38"/>
        </w:rPr>
        <w:t>ear</w:t>
      </w:r>
      <w:r>
        <w:rPr>
          <w:spacing w:val="-7"/>
          <w:sz w:val="38"/>
        </w:rPr>
        <w:t> </w:t>
      </w:r>
      <w:r>
        <w:rPr>
          <w:sz w:val="38"/>
        </w:rPr>
        <w:t>disorders</w:t>
      </w:r>
    </w:p>
    <w:p>
      <w:pPr>
        <w:spacing w:after="0" w:line="240" w:lineRule="auto"/>
        <w:jc w:val="left"/>
        <w:rPr>
          <w:sz w:val="38"/>
        </w:rPr>
        <w:sectPr>
          <w:pgSz w:w="14270" w:h="16850"/>
          <w:pgMar w:header="0" w:footer="1891" w:top="1600" w:bottom="2080" w:left="800" w:right="1280"/>
        </w:sectPr>
      </w:pPr>
    </w:p>
    <w:p>
      <w:pPr>
        <w:pStyle w:val="ListParagraph"/>
        <w:numPr>
          <w:ilvl w:val="1"/>
          <w:numId w:val="40"/>
        </w:numPr>
        <w:tabs>
          <w:tab w:pos="1197" w:val="left" w:leader="none"/>
          <w:tab w:pos="1198" w:val="left" w:leader="none"/>
        </w:tabs>
        <w:spacing w:line="240" w:lineRule="auto" w:before="181" w:after="0"/>
        <w:ind w:left="477" w:right="0" w:firstLine="0"/>
        <w:jc w:val="left"/>
        <w:rPr>
          <w:sz w:val="38"/>
        </w:rPr>
      </w:pPr>
      <w:r>
        <w:rPr>
          <w:sz w:val="38"/>
        </w:rPr>
        <w:t>fungal</w:t>
      </w:r>
      <w:r>
        <w:rPr>
          <w:spacing w:val="-1"/>
          <w:sz w:val="38"/>
        </w:rPr>
        <w:t> </w:t>
      </w:r>
      <w:r>
        <w:rPr>
          <w:sz w:val="38"/>
        </w:rPr>
        <w:t>infections</w:t>
      </w:r>
    </w:p>
    <w:p>
      <w:pPr>
        <w:pStyle w:val="ListParagraph"/>
        <w:numPr>
          <w:ilvl w:val="1"/>
          <w:numId w:val="40"/>
        </w:numPr>
        <w:tabs>
          <w:tab w:pos="1197" w:val="left" w:leader="none"/>
          <w:tab w:pos="1198" w:val="left" w:leader="none"/>
        </w:tabs>
        <w:spacing w:line="240" w:lineRule="auto" w:before="305" w:after="0"/>
        <w:ind w:left="477" w:right="0" w:firstLine="0"/>
        <w:jc w:val="left"/>
        <w:rPr>
          <w:sz w:val="38"/>
        </w:rPr>
      </w:pPr>
      <w:r>
        <w:rPr>
          <w:sz w:val="38"/>
        </w:rPr>
        <w:t>rheumatism</w:t>
      </w:r>
    </w:p>
    <w:p>
      <w:pPr>
        <w:pStyle w:val="ListParagraph"/>
        <w:numPr>
          <w:ilvl w:val="1"/>
          <w:numId w:val="40"/>
        </w:numPr>
        <w:tabs>
          <w:tab w:pos="1197" w:val="left" w:leader="none"/>
          <w:tab w:pos="1198" w:val="left" w:leader="none"/>
        </w:tabs>
        <w:spacing w:line="240" w:lineRule="auto" w:before="304" w:after="0"/>
        <w:ind w:left="477" w:right="0" w:firstLine="0"/>
        <w:jc w:val="left"/>
        <w:rPr>
          <w:sz w:val="38"/>
        </w:rPr>
      </w:pPr>
      <w:r>
        <w:rPr>
          <w:sz w:val="38"/>
        </w:rPr>
        <w:t>acid-base balance</w:t>
      </w:r>
    </w:p>
    <w:p>
      <w:pPr>
        <w:pStyle w:val="ListParagraph"/>
        <w:numPr>
          <w:ilvl w:val="1"/>
          <w:numId w:val="40"/>
        </w:numPr>
        <w:tabs>
          <w:tab w:pos="1197" w:val="left" w:leader="none"/>
          <w:tab w:pos="1198" w:val="left" w:leader="none"/>
        </w:tabs>
        <w:spacing w:line="240" w:lineRule="auto" w:before="305" w:after="0"/>
        <w:ind w:left="477" w:right="0" w:firstLine="0"/>
        <w:jc w:val="left"/>
        <w:rPr>
          <w:sz w:val="38"/>
        </w:rPr>
      </w:pPr>
      <w:r>
        <w:rPr>
          <w:sz w:val="38"/>
        </w:rPr>
        <w:t>scarlet fever</w:t>
      </w:r>
    </w:p>
    <w:p>
      <w:pPr>
        <w:pStyle w:val="ListParagraph"/>
        <w:numPr>
          <w:ilvl w:val="1"/>
          <w:numId w:val="40"/>
        </w:numPr>
        <w:tabs>
          <w:tab w:pos="1197" w:val="left" w:leader="none"/>
          <w:tab w:pos="1198" w:val="left" w:leader="none"/>
        </w:tabs>
        <w:spacing w:line="240" w:lineRule="auto" w:before="304" w:after="0"/>
        <w:ind w:left="477" w:right="0" w:firstLine="0"/>
        <w:jc w:val="left"/>
        <w:rPr>
          <w:sz w:val="38"/>
        </w:rPr>
      </w:pPr>
      <w:r>
        <w:rPr>
          <w:sz w:val="38"/>
        </w:rPr>
        <w:t>cuts and puncture</w:t>
      </w:r>
      <w:r>
        <w:rPr>
          <w:spacing w:val="2"/>
          <w:sz w:val="38"/>
        </w:rPr>
        <w:t> </w:t>
      </w:r>
      <w:r>
        <w:rPr>
          <w:sz w:val="38"/>
        </w:rPr>
        <w:t>wounds</w:t>
      </w:r>
    </w:p>
    <w:p>
      <w:pPr>
        <w:pStyle w:val="ListParagraph"/>
        <w:numPr>
          <w:ilvl w:val="1"/>
          <w:numId w:val="40"/>
        </w:numPr>
        <w:tabs>
          <w:tab w:pos="1197" w:val="left" w:leader="none"/>
          <w:tab w:pos="1198" w:val="left" w:leader="none"/>
        </w:tabs>
        <w:spacing w:line="240" w:lineRule="auto" w:before="303" w:after="0"/>
        <w:ind w:left="477" w:right="0" w:firstLine="0"/>
        <w:jc w:val="left"/>
        <w:rPr>
          <w:sz w:val="38"/>
        </w:rPr>
      </w:pPr>
      <w:r>
        <w:rPr>
          <w:sz w:val="38"/>
        </w:rPr>
        <w:t>psoriasis</w:t>
      </w:r>
    </w:p>
    <w:p>
      <w:pPr>
        <w:pStyle w:val="ListParagraph"/>
        <w:numPr>
          <w:ilvl w:val="1"/>
          <w:numId w:val="40"/>
        </w:numPr>
        <w:tabs>
          <w:tab w:pos="1197" w:val="left" w:leader="none"/>
          <w:tab w:pos="1198" w:val="left" w:leader="none"/>
        </w:tabs>
        <w:spacing w:line="240" w:lineRule="auto" w:before="305" w:after="0"/>
        <w:ind w:left="477" w:right="0" w:firstLine="0"/>
        <w:jc w:val="left"/>
        <w:rPr>
          <w:sz w:val="38"/>
        </w:rPr>
      </w:pPr>
      <w:r>
        <w:rPr>
          <w:sz w:val="38"/>
        </w:rPr>
        <w:t>seborrhoea</w:t>
      </w:r>
    </w:p>
    <w:p>
      <w:pPr>
        <w:pStyle w:val="ListParagraph"/>
        <w:numPr>
          <w:ilvl w:val="1"/>
          <w:numId w:val="40"/>
        </w:numPr>
        <w:tabs>
          <w:tab w:pos="1197" w:val="left" w:leader="none"/>
          <w:tab w:pos="1198" w:val="left" w:leader="none"/>
        </w:tabs>
        <w:spacing w:line="240" w:lineRule="auto" w:before="304" w:after="0"/>
        <w:ind w:left="477" w:right="0" w:firstLine="0"/>
        <w:jc w:val="left"/>
        <w:rPr>
          <w:sz w:val="38"/>
        </w:rPr>
      </w:pPr>
      <w:r>
        <w:rPr>
          <w:sz w:val="38"/>
        </w:rPr>
        <w:t>sepsis</w:t>
      </w:r>
    </w:p>
    <w:p>
      <w:pPr>
        <w:pStyle w:val="ListParagraph"/>
        <w:numPr>
          <w:ilvl w:val="1"/>
          <w:numId w:val="40"/>
        </w:numPr>
        <w:tabs>
          <w:tab w:pos="1197" w:val="left" w:leader="none"/>
          <w:tab w:pos="1198" w:val="left" w:leader="none"/>
        </w:tabs>
        <w:spacing w:line="240" w:lineRule="auto" w:before="305" w:after="0"/>
        <w:ind w:left="477" w:right="0" w:firstLine="0"/>
        <w:jc w:val="left"/>
        <w:rPr>
          <w:sz w:val="38"/>
        </w:rPr>
      </w:pPr>
      <w:r>
        <w:rPr>
          <w:sz w:val="38"/>
        </w:rPr>
        <w:t>staphylococcal</w:t>
      </w:r>
      <w:r>
        <w:rPr>
          <w:spacing w:val="-1"/>
          <w:sz w:val="38"/>
        </w:rPr>
        <w:t> </w:t>
      </w:r>
      <w:r>
        <w:rPr>
          <w:sz w:val="38"/>
        </w:rPr>
        <w:t>infection</w:t>
      </w:r>
    </w:p>
    <w:p>
      <w:pPr>
        <w:pStyle w:val="ListParagraph"/>
        <w:numPr>
          <w:ilvl w:val="1"/>
          <w:numId w:val="40"/>
        </w:numPr>
        <w:tabs>
          <w:tab w:pos="1197" w:val="left" w:leader="none"/>
          <w:tab w:pos="1198" w:val="left" w:leader="none"/>
        </w:tabs>
        <w:spacing w:line="240" w:lineRule="auto" w:before="305" w:after="0"/>
        <w:ind w:left="477" w:right="0" w:firstLine="0"/>
        <w:jc w:val="left"/>
        <w:rPr>
          <w:sz w:val="38"/>
        </w:rPr>
      </w:pPr>
      <w:r>
        <w:rPr>
          <w:sz w:val="38"/>
        </w:rPr>
        <w:t>streptococcal</w:t>
      </w:r>
      <w:r>
        <w:rPr>
          <w:spacing w:val="-1"/>
          <w:sz w:val="38"/>
        </w:rPr>
        <w:t> </w:t>
      </w:r>
      <w:r>
        <w:rPr>
          <w:sz w:val="38"/>
        </w:rPr>
        <w:t>infection</w:t>
      </w:r>
    </w:p>
    <w:p>
      <w:pPr>
        <w:pStyle w:val="ListParagraph"/>
        <w:numPr>
          <w:ilvl w:val="1"/>
          <w:numId w:val="40"/>
        </w:numPr>
        <w:tabs>
          <w:tab w:pos="1197" w:val="left" w:leader="none"/>
          <w:tab w:pos="1198" w:val="left" w:leader="none"/>
        </w:tabs>
        <w:spacing w:line="240" w:lineRule="auto" w:before="304" w:after="0"/>
        <w:ind w:left="477" w:right="0" w:firstLine="0"/>
        <w:jc w:val="left"/>
        <w:rPr>
          <w:sz w:val="38"/>
        </w:rPr>
      </w:pPr>
      <w:r>
        <w:rPr>
          <w:sz w:val="38"/>
        </w:rPr>
        <w:t>burns</w:t>
      </w:r>
    </w:p>
    <w:p>
      <w:pPr>
        <w:pStyle w:val="ListParagraph"/>
        <w:numPr>
          <w:ilvl w:val="1"/>
          <w:numId w:val="40"/>
        </w:numPr>
        <w:tabs>
          <w:tab w:pos="1197" w:val="left" w:leader="none"/>
          <w:tab w:pos="1198" w:val="left" w:leader="none"/>
        </w:tabs>
        <w:spacing w:line="240" w:lineRule="auto" w:before="302" w:after="0"/>
        <w:ind w:left="477" w:right="0" w:firstLine="0"/>
        <w:jc w:val="left"/>
        <w:rPr>
          <w:sz w:val="38"/>
        </w:rPr>
      </w:pPr>
      <w:r>
        <w:rPr>
          <w:sz w:val="38"/>
        </w:rPr>
        <w:t>warts</w:t>
      </w:r>
    </w:p>
    <w:p>
      <w:pPr>
        <w:pStyle w:val="ListParagraph"/>
        <w:numPr>
          <w:ilvl w:val="1"/>
          <w:numId w:val="40"/>
        </w:numPr>
        <w:tabs>
          <w:tab w:pos="1197" w:val="left" w:leader="none"/>
          <w:tab w:pos="1198" w:val="left" w:leader="none"/>
        </w:tabs>
        <w:spacing w:line="240" w:lineRule="auto" w:before="305" w:after="0"/>
        <w:ind w:left="477" w:right="0" w:firstLine="0"/>
        <w:jc w:val="left"/>
        <w:rPr>
          <w:sz w:val="38"/>
        </w:rPr>
      </w:pPr>
      <w:r>
        <w:rPr>
          <w:sz w:val="38"/>
        </w:rPr>
        <w:t>wounds</w:t>
      </w:r>
    </w:p>
    <w:p>
      <w:pPr>
        <w:pStyle w:val="ListParagraph"/>
        <w:numPr>
          <w:ilvl w:val="1"/>
          <w:numId w:val="40"/>
        </w:numPr>
        <w:tabs>
          <w:tab w:pos="1197" w:val="left" w:leader="none"/>
          <w:tab w:pos="1198" w:val="left" w:leader="none"/>
        </w:tabs>
        <w:spacing w:line="240" w:lineRule="auto" w:before="304" w:after="0"/>
        <w:ind w:left="477" w:right="0" w:firstLine="0"/>
        <w:jc w:val="left"/>
        <w:rPr>
          <w:sz w:val="38"/>
        </w:rPr>
      </w:pPr>
      <w:r>
        <w:rPr>
          <w:sz w:val="38"/>
        </w:rPr>
        <w:t>plaque</w:t>
      </w:r>
    </w:p>
    <w:p>
      <w:pPr>
        <w:pStyle w:val="ListParagraph"/>
        <w:numPr>
          <w:ilvl w:val="1"/>
          <w:numId w:val="40"/>
        </w:numPr>
        <w:tabs>
          <w:tab w:pos="1197" w:val="left" w:leader="none"/>
          <w:tab w:pos="1198" w:val="left" w:leader="none"/>
        </w:tabs>
        <w:spacing w:line="240" w:lineRule="auto" w:before="305" w:after="0"/>
        <w:ind w:left="477" w:right="0" w:firstLine="0"/>
        <w:jc w:val="left"/>
        <w:rPr>
          <w:sz w:val="38"/>
        </w:rPr>
      </w:pPr>
      <w:r>
        <w:rPr>
          <w:sz w:val="38"/>
        </w:rPr>
        <w:t>gum</w:t>
      </w:r>
      <w:r>
        <w:rPr>
          <w:spacing w:val="-1"/>
          <w:sz w:val="38"/>
        </w:rPr>
        <w:t> </w:t>
      </w:r>
      <w:r>
        <w:rPr>
          <w:sz w:val="38"/>
        </w:rPr>
        <w:t>disease</w:t>
      </w:r>
    </w:p>
    <w:p>
      <w:pPr>
        <w:pStyle w:val="ListParagraph"/>
        <w:numPr>
          <w:ilvl w:val="1"/>
          <w:numId w:val="40"/>
        </w:numPr>
        <w:tabs>
          <w:tab w:pos="1197" w:val="left" w:leader="none"/>
          <w:tab w:pos="1198" w:val="left" w:leader="none"/>
        </w:tabs>
        <w:spacing w:line="240" w:lineRule="auto" w:before="305" w:after="0"/>
        <w:ind w:left="477" w:right="0" w:firstLine="0"/>
        <w:jc w:val="left"/>
        <w:rPr>
          <w:sz w:val="38"/>
        </w:rPr>
      </w:pPr>
      <w:r>
        <w:rPr>
          <w:sz w:val="38"/>
        </w:rPr>
        <w:t>gum</w:t>
      </w:r>
      <w:r>
        <w:rPr>
          <w:spacing w:val="-1"/>
          <w:sz w:val="38"/>
        </w:rPr>
        <w:t> </w:t>
      </w:r>
      <w:r>
        <w:rPr>
          <w:sz w:val="38"/>
        </w:rPr>
        <w:t>bleeding</w:t>
      </w:r>
    </w:p>
    <w:p>
      <w:pPr>
        <w:spacing w:after="0" w:line="240" w:lineRule="auto"/>
        <w:jc w:val="left"/>
        <w:rPr>
          <w:sz w:val="38"/>
        </w:rPr>
        <w:sectPr>
          <w:pgSz w:w="14270" w:h="16850"/>
          <w:pgMar w:header="0" w:footer="1891" w:top="1600" w:bottom="2080" w:left="800" w:right="1280"/>
        </w:sectPr>
      </w:pPr>
    </w:p>
    <w:p>
      <w:pPr>
        <w:pStyle w:val="ListParagraph"/>
        <w:numPr>
          <w:ilvl w:val="1"/>
          <w:numId w:val="40"/>
        </w:numPr>
        <w:tabs>
          <w:tab w:pos="1197" w:val="left" w:leader="none"/>
          <w:tab w:pos="1198" w:val="left" w:leader="none"/>
        </w:tabs>
        <w:spacing w:line="240" w:lineRule="auto" w:before="181" w:after="0"/>
        <w:ind w:left="477" w:right="0" w:firstLine="0"/>
        <w:jc w:val="left"/>
        <w:rPr>
          <w:sz w:val="38"/>
        </w:rPr>
      </w:pPr>
      <w:r>
        <w:rPr>
          <w:sz w:val="38"/>
        </w:rPr>
        <w:t>tick</w:t>
      </w:r>
      <w:r>
        <w:rPr>
          <w:spacing w:val="-2"/>
          <w:sz w:val="38"/>
        </w:rPr>
        <w:t> </w:t>
      </w:r>
      <w:r>
        <w:rPr>
          <w:sz w:val="38"/>
        </w:rPr>
        <w:t>bites</w:t>
      </w:r>
    </w:p>
    <w:p>
      <w:pPr>
        <w:pStyle w:val="BodyText"/>
        <w:rPr>
          <w:sz w:val="42"/>
        </w:rPr>
      </w:pPr>
    </w:p>
    <w:p>
      <w:pPr>
        <w:pStyle w:val="BodyText"/>
        <w:spacing w:before="2"/>
        <w:rPr>
          <w:sz w:val="50"/>
        </w:rPr>
      </w:pPr>
    </w:p>
    <w:p>
      <w:pPr>
        <w:pStyle w:val="Heading2"/>
      </w:pPr>
      <w:r>
        <w:rPr/>
        <w:t>Colloidal silver as a healthy alternative to antibiotics</w:t>
      </w:r>
    </w:p>
    <w:p>
      <w:pPr>
        <w:pStyle w:val="BodyText"/>
        <w:spacing w:line="276" w:lineRule="auto" w:before="304"/>
        <w:ind w:left="477" w:right="133"/>
        <w:jc w:val="both"/>
      </w:pPr>
      <w:r>
        <w:rPr/>
        <w:t>The following statement from the renowned scientific journal </w:t>
      </w:r>
      <w:r>
        <w:rPr>
          <w:i/>
        </w:rPr>
        <w:t>Science Digest </w:t>
      </w:r>
      <w:r>
        <w:rPr/>
        <w:t>on colloidal</w:t>
      </w:r>
      <w:r>
        <w:rPr>
          <w:spacing w:val="-18"/>
        </w:rPr>
        <w:t> </w:t>
      </w:r>
      <w:r>
        <w:rPr/>
        <w:t>silver</w:t>
      </w:r>
      <w:r>
        <w:rPr>
          <w:spacing w:val="-16"/>
        </w:rPr>
        <w:t> </w:t>
      </w:r>
      <w:r>
        <w:rPr/>
        <w:t>in</w:t>
      </w:r>
      <w:r>
        <w:rPr>
          <w:spacing w:val="-15"/>
        </w:rPr>
        <w:t> </w:t>
      </w:r>
      <w:r>
        <w:rPr/>
        <w:t>comparison</w:t>
      </w:r>
      <w:r>
        <w:rPr>
          <w:spacing w:val="-18"/>
        </w:rPr>
        <w:t> </w:t>
      </w:r>
      <w:r>
        <w:rPr/>
        <w:t>to</w:t>
      </w:r>
      <w:r>
        <w:rPr>
          <w:spacing w:val="-19"/>
        </w:rPr>
        <w:t> </w:t>
      </w:r>
      <w:r>
        <w:rPr/>
        <w:t>antibiotics</w:t>
      </w:r>
      <w:r>
        <w:rPr>
          <w:spacing w:val="-15"/>
        </w:rPr>
        <w:t> </w:t>
      </w:r>
      <w:r>
        <w:rPr/>
        <w:t>shows</w:t>
      </w:r>
      <w:r>
        <w:rPr>
          <w:spacing w:val="-17"/>
        </w:rPr>
        <w:t> </w:t>
      </w:r>
      <w:r>
        <w:rPr/>
        <w:t>that</w:t>
      </w:r>
      <w:r>
        <w:rPr>
          <w:spacing w:val="-16"/>
        </w:rPr>
        <w:t> </w:t>
      </w:r>
      <w:r>
        <w:rPr/>
        <w:t>colloidal</w:t>
      </w:r>
      <w:r>
        <w:rPr>
          <w:spacing w:val="-15"/>
        </w:rPr>
        <w:t> </w:t>
      </w:r>
      <w:r>
        <w:rPr/>
        <w:t>silver</w:t>
      </w:r>
      <w:r>
        <w:rPr>
          <w:spacing w:val="-16"/>
        </w:rPr>
        <w:t> </w:t>
      </w:r>
      <w:r>
        <w:rPr/>
        <w:t>is</w:t>
      </w:r>
      <w:r>
        <w:rPr>
          <w:spacing w:val="-16"/>
        </w:rPr>
        <w:t> </w:t>
      </w:r>
      <w:r>
        <w:rPr/>
        <w:t>not</w:t>
      </w:r>
      <w:r>
        <w:rPr>
          <w:spacing w:val="-17"/>
        </w:rPr>
        <w:t> </w:t>
      </w:r>
      <w:r>
        <w:rPr/>
        <w:t>just a healthy alternative to antibiotics, but is also superior in</w:t>
      </w:r>
      <w:r>
        <w:rPr>
          <w:spacing w:val="-9"/>
        </w:rPr>
        <w:t> </w:t>
      </w:r>
      <w:r>
        <w:rPr/>
        <w:t>effect:</w:t>
      </w:r>
    </w:p>
    <w:p>
      <w:pPr>
        <w:spacing w:line="276" w:lineRule="auto" w:before="240"/>
        <w:ind w:left="477" w:right="132" w:firstLine="0"/>
        <w:jc w:val="both"/>
        <w:rPr>
          <w:sz w:val="38"/>
        </w:rPr>
      </w:pPr>
      <w:r>
        <w:rPr>
          <w:sz w:val="38"/>
        </w:rPr>
        <w:t>‘</w:t>
      </w:r>
      <w:r>
        <w:rPr>
          <w:i/>
          <w:sz w:val="38"/>
        </w:rPr>
        <w:t>Colloidal silver is one of the most effective killers of bacteria. Colloidal silver turns out to be </w:t>
      </w:r>
      <w:r>
        <w:rPr>
          <w:i/>
          <w:sz w:val="38"/>
        </w:rPr>
        <w:t>a</w:t>
      </w:r>
      <w:r>
        <w:rPr>
          <w:i/>
          <w:spacing w:val="-14"/>
          <w:sz w:val="38"/>
        </w:rPr>
        <w:t> </w:t>
      </w:r>
      <w:r>
        <w:rPr>
          <w:i/>
          <w:sz w:val="38"/>
        </w:rPr>
        <w:t>miracle</w:t>
      </w:r>
      <w:r>
        <w:rPr>
          <w:i/>
          <w:spacing w:val="-12"/>
          <w:sz w:val="38"/>
        </w:rPr>
        <w:t> </w:t>
      </w:r>
      <w:r>
        <w:rPr>
          <w:i/>
          <w:sz w:val="38"/>
        </w:rPr>
        <w:t>of</w:t>
      </w:r>
      <w:r>
        <w:rPr>
          <w:i/>
          <w:spacing w:val="-14"/>
          <w:sz w:val="38"/>
        </w:rPr>
        <w:t> </w:t>
      </w:r>
      <w:r>
        <w:rPr>
          <w:i/>
          <w:sz w:val="38"/>
        </w:rPr>
        <w:t>modern</w:t>
      </w:r>
      <w:r>
        <w:rPr>
          <w:i/>
          <w:spacing w:val="-12"/>
          <w:sz w:val="38"/>
        </w:rPr>
        <w:t> </w:t>
      </w:r>
      <w:r>
        <w:rPr>
          <w:i/>
          <w:sz w:val="38"/>
        </w:rPr>
        <w:t>medicine.</w:t>
      </w:r>
      <w:r>
        <w:rPr>
          <w:i/>
          <w:spacing w:val="-12"/>
          <w:sz w:val="38"/>
        </w:rPr>
        <w:t> </w:t>
      </w:r>
      <w:r>
        <w:rPr>
          <w:i/>
          <w:sz w:val="38"/>
        </w:rPr>
        <w:t>A</w:t>
      </w:r>
      <w:r>
        <w:rPr>
          <w:i/>
          <w:spacing w:val="-13"/>
          <w:sz w:val="38"/>
        </w:rPr>
        <w:t> </w:t>
      </w:r>
      <w:r>
        <w:rPr>
          <w:i/>
          <w:sz w:val="38"/>
        </w:rPr>
        <w:t>conventional</w:t>
      </w:r>
      <w:r>
        <w:rPr>
          <w:i/>
          <w:spacing w:val="-13"/>
          <w:sz w:val="38"/>
        </w:rPr>
        <w:t> </w:t>
      </w:r>
      <w:r>
        <w:rPr>
          <w:i/>
          <w:sz w:val="38"/>
        </w:rPr>
        <w:t>antibiotic</w:t>
      </w:r>
      <w:r>
        <w:rPr>
          <w:i/>
          <w:spacing w:val="-13"/>
          <w:sz w:val="38"/>
        </w:rPr>
        <w:t> </w:t>
      </w:r>
      <w:r>
        <w:rPr>
          <w:i/>
          <w:sz w:val="38"/>
        </w:rPr>
        <w:t>may</w:t>
      </w:r>
      <w:r>
        <w:rPr>
          <w:i/>
          <w:spacing w:val="-12"/>
          <w:sz w:val="38"/>
        </w:rPr>
        <w:t> </w:t>
      </w:r>
      <w:r>
        <w:rPr>
          <w:i/>
          <w:sz w:val="38"/>
        </w:rPr>
        <w:t>eliminate</w:t>
      </w:r>
      <w:r>
        <w:rPr>
          <w:i/>
          <w:spacing w:val="-12"/>
          <w:sz w:val="38"/>
        </w:rPr>
        <w:t> </w:t>
      </w:r>
      <w:r>
        <w:rPr>
          <w:i/>
          <w:sz w:val="38"/>
        </w:rPr>
        <w:t>a</w:t>
      </w:r>
      <w:r>
        <w:rPr>
          <w:i/>
          <w:spacing w:val="-16"/>
          <w:sz w:val="38"/>
        </w:rPr>
        <w:t> </w:t>
      </w:r>
      <w:r>
        <w:rPr>
          <w:i/>
          <w:sz w:val="38"/>
        </w:rPr>
        <w:t>dozen</w:t>
      </w:r>
      <w:r>
        <w:rPr>
          <w:i/>
          <w:spacing w:val="-11"/>
          <w:sz w:val="38"/>
        </w:rPr>
        <w:t> </w:t>
      </w:r>
      <w:r>
        <w:rPr>
          <w:i/>
          <w:sz w:val="38"/>
        </w:rPr>
        <w:t>different</w:t>
      </w:r>
      <w:r>
        <w:rPr>
          <w:i/>
          <w:spacing w:val="-12"/>
          <w:sz w:val="38"/>
        </w:rPr>
        <w:t> </w:t>
      </w:r>
      <w:r>
        <w:rPr>
          <w:i/>
          <w:sz w:val="38"/>
        </w:rPr>
        <w:t>path- ogens, but colloidal silver kills about 650!’ </w:t>
      </w:r>
      <w:r>
        <w:rPr>
          <w:sz w:val="38"/>
        </w:rPr>
        <w:t>(</w:t>
      </w:r>
      <w:r>
        <w:rPr>
          <w:i/>
          <w:sz w:val="38"/>
        </w:rPr>
        <w:t>Science Digest, </w:t>
      </w:r>
      <w:r>
        <w:rPr>
          <w:sz w:val="38"/>
        </w:rPr>
        <w:t>March 1978)</w:t>
      </w:r>
    </w:p>
    <w:p>
      <w:pPr>
        <w:pStyle w:val="Heading1"/>
      </w:pPr>
      <w:r>
        <w:rPr/>
        <w:t>The failure of antibiotics</w:t>
      </w:r>
    </w:p>
    <w:p>
      <w:pPr>
        <w:pStyle w:val="BodyText"/>
        <w:spacing w:line="276" w:lineRule="auto" w:before="299"/>
        <w:ind w:left="477" w:right="129"/>
        <w:jc w:val="both"/>
      </w:pPr>
      <w:r>
        <w:rPr/>
        <w:t>Judging</w:t>
      </w:r>
      <w:r>
        <w:rPr>
          <w:spacing w:val="-9"/>
        </w:rPr>
        <w:t> </w:t>
      </w:r>
      <w:r>
        <w:rPr/>
        <w:t>by</w:t>
      </w:r>
      <w:r>
        <w:rPr>
          <w:spacing w:val="-8"/>
        </w:rPr>
        <w:t> </w:t>
      </w:r>
      <w:r>
        <w:rPr/>
        <w:t>statistics,</w:t>
      </w:r>
      <w:r>
        <w:rPr>
          <w:spacing w:val="-9"/>
        </w:rPr>
        <w:t> </w:t>
      </w:r>
      <w:r>
        <w:rPr/>
        <w:t>we</w:t>
      </w:r>
      <w:r>
        <w:rPr>
          <w:spacing w:val="-9"/>
        </w:rPr>
        <w:t> </w:t>
      </w:r>
      <w:r>
        <w:rPr/>
        <w:t>find</w:t>
      </w:r>
      <w:r>
        <w:rPr>
          <w:spacing w:val="-8"/>
        </w:rPr>
        <w:t> </w:t>
      </w:r>
      <w:r>
        <w:rPr/>
        <w:t>that</w:t>
      </w:r>
      <w:r>
        <w:rPr>
          <w:spacing w:val="-9"/>
        </w:rPr>
        <w:t> </w:t>
      </w:r>
      <w:r>
        <w:rPr/>
        <w:t>modern</w:t>
      </w:r>
      <w:r>
        <w:rPr>
          <w:spacing w:val="-8"/>
        </w:rPr>
        <w:t> </w:t>
      </w:r>
      <w:r>
        <w:rPr/>
        <w:t>civilisation</w:t>
      </w:r>
      <w:r>
        <w:rPr>
          <w:spacing w:val="-9"/>
        </w:rPr>
        <w:t> </w:t>
      </w:r>
      <w:r>
        <w:rPr/>
        <w:t>has</w:t>
      </w:r>
      <w:r>
        <w:rPr>
          <w:spacing w:val="-8"/>
        </w:rPr>
        <w:t> </w:t>
      </w:r>
      <w:r>
        <w:rPr/>
        <w:t>taken</w:t>
      </w:r>
      <w:r>
        <w:rPr>
          <w:spacing w:val="-8"/>
        </w:rPr>
        <w:t> </w:t>
      </w:r>
      <w:r>
        <w:rPr/>
        <w:t>a</w:t>
      </w:r>
      <w:r>
        <w:rPr>
          <w:spacing w:val="-10"/>
        </w:rPr>
        <w:t> </w:t>
      </w:r>
      <w:r>
        <w:rPr/>
        <w:t>giant</w:t>
      </w:r>
      <w:r>
        <w:rPr>
          <w:spacing w:val="-9"/>
        </w:rPr>
        <w:t> </w:t>
      </w:r>
      <w:r>
        <w:rPr/>
        <w:t>leap</w:t>
      </w:r>
      <w:r>
        <w:rPr>
          <w:spacing w:val="-8"/>
        </w:rPr>
        <w:t> </w:t>
      </w:r>
      <w:r>
        <w:rPr/>
        <w:t>into the</w:t>
      </w:r>
      <w:r>
        <w:rPr>
          <w:spacing w:val="-12"/>
        </w:rPr>
        <w:t> </w:t>
      </w:r>
      <w:r>
        <w:rPr/>
        <w:t>Dark</w:t>
      </w:r>
      <w:r>
        <w:rPr>
          <w:spacing w:val="-12"/>
        </w:rPr>
        <w:t> </w:t>
      </w:r>
      <w:r>
        <w:rPr/>
        <w:t>Ages</w:t>
      </w:r>
      <w:r>
        <w:rPr>
          <w:spacing w:val="-11"/>
        </w:rPr>
        <w:t> </w:t>
      </w:r>
      <w:r>
        <w:rPr/>
        <w:t>thanks</w:t>
      </w:r>
      <w:r>
        <w:rPr>
          <w:spacing w:val="-12"/>
        </w:rPr>
        <w:t> </w:t>
      </w:r>
      <w:r>
        <w:rPr/>
        <w:t>to</w:t>
      </w:r>
      <w:r>
        <w:rPr>
          <w:spacing w:val="-11"/>
        </w:rPr>
        <w:t> </w:t>
      </w:r>
      <w:r>
        <w:rPr/>
        <w:t>self-induced</w:t>
      </w:r>
      <w:r>
        <w:rPr>
          <w:spacing w:val="-13"/>
        </w:rPr>
        <w:t> </w:t>
      </w:r>
      <w:r>
        <w:rPr/>
        <w:t>global</w:t>
      </w:r>
      <w:r>
        <w:rPr>
          <w:spacing w:val="-13"/>
        </w:rPr>
        <w:t> </w:t>
      </w:r>
      <w:r>
        <w:rPr/>
        <w:t>resistance</w:t>
      </w:r>
      <w:r>
        <w:rPr>
          <w:spacing w:val="-11"/>
        </w:rPr>
        <w:t> </w:t>
      </w:r>
      <w:r>
        <w:rPr/>
        <w:t>to</w:t>
      </w:r>
      <w:r>
        <w:rPr>
          <w:spacing w:val="-12"/>
        </w:rPr>
        <w:t> </w:t>
      </w:r>
      <w:r>
        <w:rPr/>
        <w:t>traditional</w:t>
      </w:r>
      <w:r>
        <w:rPr>
          <w:spacing w:val="-11"/>
        </w:rPr>
        <w:t> </w:t>
      </w:r>
      <w:r>
        <w:rPr/>
        <w:t>antibiotics, and</w:t>
      </w:r>
      <w:r>
        <w:rPr>
          <w:spacing w:val="-17"/>
        </w:rPr>
        <w:t> </w:t>
      </w:r>
      <w:r>
        <w:rPr/>
        <w:t>one</w:t>
      </w:r>
      <w:r>
        <w:rPr>
          <w:spacing w:val="-19"/>
        </w:rPr>
        <w:t> </w:t>
      </w:r>
      <w:r>
        <w:rPr/>
        <w:t>must</w:t>
      </w:r>
      <w:r>
        <w:rPr>
          <w:spacing w:val="-18"/>
        </w:rPr>
        <w:t> </w:t>
      </w:r>
      <w:r>
        <w:rPr/>
        <w:t>realise</w:t>
      </w:r>
      <w:r>
        <w:rPr>
          <w:spacing w:val="-16"/>
        </w:rPr>
        <w:t> </w:t>
      </w:r>
      <w:r>
        <w:rPr/>
        <w:t>with</w:t>
      </w:r>
      <w:r>
        <w:rPr>
          <w:spacing w:val="-16"/>
        </w:rPr>
        <w:t> </w:t>
      </w:r>
      <w:r>
        <w:rPr/>
        <w:t>horror</w:t>
      </w:r>
      <w:r>
        <w:rPr>
          <w:spacing w:val="-20"/>
        </w:rPr>
        <w:t> </w:t>
      </w:r>
      <w:r>
        <w:rPr/>
        <w:t>that,</w:t>
      </w:r>
      <w:r>
        <w:rPr>
          <w:spacing w:val="-18"/>
        </w:rPr>
        <w:t> </w:t>
      </w:r>
      <w:r>
        <w:rPr/>
        <w:t>like</w:t>
      </w:r>
      <w:r>
        <w:rPr>
          <w:spacing w:val="-18"/>
        </w:rPr>
        <w:t> </w:t>
      </w:r>
      <w:r>
        <w:rPr/>
        <w:t>middle-aged</w:t>
      </w:r>
      <w:r>
        <w:rPr>
          <w:spacing w:val="-18"/>
        </w:rPr>
        <w:t> </w:t>
      </w:r>
      <w:r>
        <w:rPr/>
        <w:t>people,</w:t>
      </w:r>
      <w:r>
        <w:rPr>
          <w:spacing w:val="-18"/>
        </w:rPr>
        <w:t> </w:t>
      </w:r>
      <w:r>
        <w:rPr/>
        <w:t>we</w:t>
      </w:r>
      <w:r>
        <w:rPr>
          <w:spacing w:val="-17"/>
        </w:rPr>
        <w:t> </w:t>
      </w:r>
      <w:r>
        <w:rPr/>
        <w:t>have</w:t>
      </w:r>
      <w:r>
        <w:rPr>
          <w:spacing w:val="-20"/>
        </w:rPr>
        <w:t> </w:t>
      </w:r>
      <w:r>
        <w:rPr/>
        <w:t>become quite defenceless against bacteria and</w:t>
      </w:r>
      <w:r>
        <w:rPr>
          <w:spacing w:val="-1"/>
        </w:rPr>
        <w:t> </w:t>
      </w:r>
      <w:r>
        <w:rPr/>
        <w:t>viruses.</w:t>
      </w:r>
    </w:p>
    <w:p>
      <w:pPr>
        <w:pStyle w:val="BodyText"/>
        <w:spacing w:line="276" w:lineRule="auto" w:before="239"/>
        <w:ind w:left="477" w:right="131"/>
        <w:jc w:val="both"/>
      </w:pPr>
      <w:r>
        <w:rPr/>
        <w:t>With horror, we hear that 80 % of all bacteria are resistant to penicillin – i.e. it has no effect on them!</w:t>
      </w:r>
    </w:p>
    <w:p>
      <w:pPr>
        <w:pStyle w:val="BodyText"/>
        <w:spacing w:line="276" w:lineRule="auto" w:before="241"/>
        <w:ind w:left="477" w:right="144"/>
        <w:jc w:val="both"/>
      </w:pPr>
      <w:r>
        <w:rPr/>
        <w:t>In the US, infectious diseases are now the third most common cause of death within the population; our situation might not be so different!</w:t>
      </w:r>
    </w:p>
    <w:p>
      <w:pPr>
        <w:pStyle w:val="BodyText"/>
        <w:spacing w:before="239"/>
        <w:ind w:left="477"/>
        <w:jc w:val="both"/>
      </w:pPr>
      <w:r>
        <w:rPr/>
        <w:t>Paradoxically,</w:t>
      </w:r>
      <w:r>
        <w:rPr>
          <w:spacing w:val="-18"/>
        </w:rPr>
        <w:t> </w:t>
      </w:r>
      <w:r>
        <w:rPr/>
        <w:t>greedy</w:t>
      </w:r>
      <w:r>
        <w:rPr>
          <w:spacing w:val="-18"/>
        </w:rPr>
        <w:t> </w:t>
      </w:r>
      <w:r>
        <w:rPr/>
        <w:t>Big</w:t>
      </w:r>
      <w:r>
        <w:rPr>
          <w:spacing w:val="-18"/>
        </w:rPr>
        <w:t> </w:t>
      </w:r>
      <w:r>
        <w:rPr/>
        <w:t>Pharma</w:t>
      </w:r>
      <w:r>
        <w:rPr>
          <w:spacing w:val="-21"/>
        </w:rPr>
        <w:t> </w:t>
      </w:r>
      <w:r>
        <w:rPr/>
        <w:t>is</w:t>
      </w:r>
      <w:r>
        <w:rPr>
          <w:spacing w:val="-21"/>
        </w:rPr>
        <w:t> </w:t>
      </w:r>
      <w:r>
        <w:rPr/>
        <w:t>responding</w:t>
      </w:r>
      <w:r>
        <w:rPr>
          <w:spacing w:val="-19"/>
        </w:rPr>
        <w:t> </w:t>
      </w:r>
      <w:r>
        <w:rPr/>
        <w:t>to</w:t>
      </w:r>
      <w:r>
        <w:rPr>
          <w:spacing w:val="-21"/>
        </w:rPr>
        <w:t> </w:t>
      </w:r>
      <w:r>
        <w:rPr/>
        <w:t>this</w:t>
      </w:r>
      <w:r>
        <w:rPr>
          <w:spacing w:val="-20"/>
        </w:rPr>
        <w:t> </w:t>
      </w:r>
      <w:r>
        <w:rPr/>
        <w:t>problem</w:t>
      </w:r>
      <w:r>
        <w:rPr>
          <w:spacing w:val="-19"/>
        </w:rPr>
        <w:t> </w:t>
      </w:r>
      <w:r>
        <w:rPr/>
        <w:t>by</w:t>
      </w:r>
      <w:r>
        <w:rPr>
          <w:spacing w:val="-22"/>
        </w:rPr>
        <w:t> </w:t>
      </w:r>
      <w:r>
        <w:rPr/>
        <w:t>churning</w:t>
      </w:r>
      <w:r>
        <w:rPr>
          <w:spacing w:val="-19"/>
        </w:rPr>
        <w:t> </w:t>
      </w:r>
      <w:r>
        <w:rPr/>
        <w:t>out</w:t>
      </w:r>
    </w:p>
    <w:p>
      <w:pPr>
        <w:spacing w:after="0"/>
        <w:jc w:val="both"/>
        <w:sectPr>
          <w:pgSz w:w="14270" w:h="16850"/>
          <w:pgMar w:header="0" w:footer="1891" w:top="1600" w:bottom="2080" w:left="800" w:right="1280"/>
        </w:sectPr>
      </w:pPr>
    </w:p>
    <w:p>
      <w:pPr>
        <w:pStyle w:val="BodyText"/>
        <w:spacing w:line="276" w:lineRule="auto" w:before="181"/>
        <w:ind w:left="477" w:right="137"/>
        <w:jc w:val="both"/>
      </w:pPr>
      <w:r>
        <w:rPr/>
        <w:t>new</w:t>
      </w:r>
      <w:r>
        <w:rPr>
          <w:spacing w:val="-11"/>
        </w:rPr>
        <w:t> </w:t>
      </w:r>
      <w:r>
        <w:rPr/>
        <w:t>antibiotics</w:t>
      </w:r>
      <w:r>
        <w:rPr>
          <w:spacing w:val="-7"/>
        </w:rPr>
        <w:t> </w:t>
      </w:r>
      <w:r>
        <w:rPr/>
        <w:t>without</w:t>
      </w:r>
      <w:r>
        <w:rPr>
          <w:spacing w:val="-11"/>
        </w:rPr>
        <w:t> </w:t>
      </w:r>
      <w:r>
        <w:rPr/>
        <w:t>taking</w:t>
      </w:r>
      <w:r>
        <w:rPr>
          <w:spacing w:val="-10"/>
        </w:rPr>
        <w:t> </w:t>
      </w:r>
      <w:r>
        <w:rPr/>
        <w:t>away</w:t>
      </w:r>
      <w:r>
        <w:rPr>
          <w:spacing w:val="-6"/>
        </w:rPr>
        <w:t> </w:t>
      </w:r>
      <w:r>
        <w:rPr/>
        <w:t>the</w:t>
      </w:r>
      <w:r>
        <w:rPr>
          <w:spacing w:val="-8"/>
        </w:rPr>
        <w:t> </w:t>
      </w:r>
      <w:r>
        <w:rPr/>
        <w:t>old</w:t>
      </w:r>
      <w:r>
        <w:rPr>
          <w:spacing w:val="-9"/>
        </w:rPr>
        <w:t> </w:t>
      </w:r>
      <w:r>
        <w:rPr/>
        <w:t>ones</w:t>
      </w:r>
      <w:r>
        <w:rPr>
          <w:spacing w:val="-9"/>
        </w:rPr>
        <w:t> </w:t>
      </w:r>
      <w:r>
        <w:rPr/>
        <w:t>that</w:t>
      </w:r>
      <w:r>
        <w:rPr>
          <w:spacing w:val="-9"/>
        </w:rPr>
        <w:t> </w:t>
      </w:r>
      <w:r>
        <w:rPr/>
        <w:t>bacteria</w:t>
      </w:r>
      <w:r>
        <w:rPr>
          <w:spacing w:val="-8"/>
        </w:rPr>
        <w:t> </w:t>
      </w:r>
      <w:r>
        <w:rPr/>
        <w:t>are</w:t>
      </w:r>
      <w:r>
        <w:rPr>
          <w:spacing w:val="-9"/>
        </w:rPr>
        <w:t> </w:t>
      </w:r>
      <w:r>
        <w:rPr/>
        <w:t>long</w:t>
      </w:r>
      <w:r>
        <w:rPr>
          <w:spacing w:val="-9"/>
        </w:rPr>
        <w:t> </w:t>
      </w:r>
      <w:r>
        <w:rPr/>
        <w:t>immune to. As a result, there are now 8,000 allegedly different antibiotics in circulation; the effects and side effects are very</w:t>
      </w:r>
      <w:r>
        <w:rPr>
          <w:spacing w:val="4"/>
        </w:rPr>
        <w:t> </w:t>
      </w:r>
      <w:r>
        <w:rPr/>
        <w:t>dubious.</w:t>
      </w:r>
    </w:p>
    <w:p>
      <w:pPr>
        <w:pStyle w:val="BodyText"/>
        <w:spacing w:line="276" w:lineRule="auto" w:before="242"/>
        <w:ind w:left="477" w:right="132"/>
        <w:jc w:val="both"/>
      </w:pPr>
      <w:r>
        <w:rPr/>
        <w:t>Colloidal silver is a prime example of how misguided modern medicine can be, so it is not surprising that patients acquired in the year 2011 721 800 infections at hospitals. According to the US Centers of Disease Control and Prevention 75 000 of them died.</w:t>
      </w:r>
      <w:r>
        <w:rPr>
          <w:position w:val="9"/>
          <w:sz w:val="25"/>
        </w:rPr>
        <w:t>422 </w:t>
      </w:r>
      <w:r>
        <w:rPr/>
        <w:t>And 60-80 % of all patients have become partly or wholly resistant to antibiotic treatment!</w:t>
      </w:r>
    </w:p>
    <w:p>
      <w:pPr>
        <w:pStyle w:val="Heading1"/>
        <w:spacing w:before="222"/>
        <w:jc w:val="both"/>
      </w:pPr>
      <w:r>
        <w:rPr/>
        <w:t>Reasons for the failure of antibiotics:</w:t>
      </w:r>
    </w:p>
    <w:p>
      <w:pPr>
        <w:pStyle w:val="BodyText"/>
        <w:spacing w:line="276" w:lineRule="auto" w:before="300"/>
        <w:ind w:left="477" w:right="136"/>
        <w:jc w:val="both"/>
      </w:pPr>
      <w:r>
        <w:rPr/>
        <w:t>Since colloidal silver is not patentable as a natural substance, it makes no sense for Big Pharma to prefer it to its own synthetic – and thus patentable – antibi- otics.</w:t>
      </w:r>
    </w:p>
    <w:p>
      <w:pPr>
        <w:pStyle w:val="BodyText"/>
        <w:spacing w:line="276" w:lineRule="auto" w:before="239"/>
        <w:ind w:left="477" w:right="133"/>
        <w:jc w:val="both"/>
      </w:pPr>
      <w:r>
        <w:rPr/>
        <w:t>The powerful, politically very influential Big Pharma fights tooth and nail against these unpatentable alternatives from nature – which not only compete with the synthetic drugs but are mostly far superior to them in terms of effect- side effect comparison! Therefore, it is in the financial interest of Big Pharma not only to prevent the global therapeutic use of substances such as colloidal silver, but to suppress as much information on the subject as possible.</w:t>
      </w:r>
    </w:p>
    <w:p>
      <w:pPr>
        <w:pStyle w:val="BodyText"/>
        <w:rPr>
          <w:sz w:val="20"/>
        </w:rPr>
      </w:pPr>
    </w:p>
    <w:p>
      <w:pPr>
        <w:pStyle w:val="BodyText"/>
        <w:rPr>
          <w:sz w:val="16"/>
        </w:rPr>
      </w:pPr>
      <w:r>
        <w:rPr/>
        <w:pict>
          <v:line style="position:absolute;mso-position-horizontal-relative:page;mso-position-vertical-relative:paragraph;z-index:5120;mso-wrap-distance-left:0;mso-wrap-distance-right:0" from="63.863998pt,11.358765pt" to="207.883998pt,11.35876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422 </w:t>
      </w:r>
      <w:r>
        <w:rPr>
          <w:sz w:val="20"/>
        </w:rPr>
        <w:t>https://edition.cnn.com/2014/03/26/health/hospital-infections/index.html</w:t>
      </w:r>
    </w:p>
    <w:p>
      <w:pPr>
        <w:spacing w:after="0"/>
        <w:jc w:val="left"/>
        <w:rPr>
          <w:sz w:val="20"/>
        </w:rPr>
        <w:sectPr>
          <w:pgSz w:w="14270" w:h="16850"/>
          <w:pgMar w:header="0" w:footer="1891" w:top="1600" w:bottom="2080" w:left="800" w:right="1280"/>
        </w:sectPr>
      </w:pPr>
    </w:p>
    <w:p>
      <w:pPr>
        <w:pStyle w:val="BodyText"/>
        <w:spacing w:line="276" w:lineRule="auto" w:before="181"/>
        <w:ind w:left="477" w:right="131"/>
        <w:jc w:val="both"/>
      </w:pPr>
      <w:r>
        <w:rPr/>
        <w:t>Thankfully, thanks to the Internet, this is no longer possible; people are begin- ning to experience the useless and dangerous treatments being used on them – and what kind of beneficial substances Mother Nature is withholding from them!</w:t>
      </w:r>
    </w:p>
    <w:p>
      <w:pPr>
        <w:pStyle w:val="Heading1"/>
        <w:spacing w:before="225"/>
        <w:jc w:val="both"/>
      </w:pPr>
      <w:r>
        <w:rPr/>
        <w:t>Our self-imposed antibiotic resistance</w:t>
      </w:r>
    </w:p>
    <w:p>
      <w:pPr>
        <w:pStyle w:val="BodyText"/>
        <w:spacing w:line="276" w:lineRule="auto" w:before="297"/>
        <w:ind w:left="477" w:right="135"/>
        <w:jc w:val="both"/>
      </w:pPr>
      <w:r>
        <w:rPr/>
        <w:t>The reasons for the increasing antibiotic resistance are of our own making: on the one hand, these reasons are related to the unconscious intake of antibiotics via animals fed on antibiotics; on the other hand, they consist in the excessive tendency</w:t>
      </w:r>
      <w:r>
        <w:rPr>
          <w:spacing w:val="-8"/>
        </w:rPr>
        <w:t> </w:t>
      </w:r>
      <w:r>
        <w:rPr/>
        <w:t>of</w:t>
      </w:r>
      <w:r>
        <w:rPr>
          <w:spacing w:val="-8"/>
        </w:rPr>
        <w:t> </w:t>
      </w:r>
      <w:r>
        <w:rPr/>
        <w:t>doctors</w:t>
      </w:r>
      <w:r>
        <w:rPr>
          <w:spacing w:val="-7"/>
        </w:rPr>
        <w:t> </w:t>
      </w:r>
      <w:r>
        <w:rPr/>
        <w:t>to</w:t>
      </w:r>
      <w:r>
        <w:rPr>
          <w:spacing w:val="-7"/>
        </w:rPr>
        <w:t> </w:t>
      </w:r>
      <w:r>
        <w:rPr/>
        <w:t>prescribe</w:t>
      </w:r>
      <w:r>
        <w:rPr>
          <w:spacing w:val="-9"/>
        </w:rPr>
        <w:t> </w:t>
      </w:r>
      <w:r>
        <w:rPr/>
        <w:t>antibiotics,</w:t>
      </w:r>
      <w:r>
        <w:rPr>
          <w:spacing w:val="-7"/>
        </w:rPr>
        <w:t> </w:t>
      </w:r>
      <w:r>
        <w:rPr/>
        <w:t>which</w:t>
      </w:r>
      <w:r>
        <w:rPr>
          <w:spacing w:val="-7"/>
        </w:rPr>
        <w:t> </w:t>
      </w:r>
      <w:r>
        <w:rPr/>
        <w:t>results</w:t>
      </w:r>
      <w:r>
        <w:rPr>
          <w:spacing w:val="-7"/>
        </w:rPr>
        <w:t> </w:t>
      </w:r>
      <w:r>
        <w:rPr/>
        <w:t>in</w:t>
      </w:r>
      <w:r>
        <w:rPr>
          <w:spacing w:val="-8"/>
        </w:rPr>
        <w:t> </w:t>
      </w:r>
      <w:r>
        <w:rPr/>
        <w:t>acclimation</w:t>
      </w:r>
      <w:r>
        <w:rPr>
          <w:spacing w:val="-7"/>
        </w:rPr>
        <w:t> </w:t>
      </w:r>
      <w:r>
        <w:rPr/>
        <w:t>of</w:t>
      </w:r>
      <w:r>
        <w:rPr>
          <w:spacing w:val="-8"/>
        </w:rPr>
        <w:t> </w:t>
      </w:r>
      <w:r>
        <w:rPr/>
        <w:t>the bacterial</w:t>
      </w:r>
      <w:r>
        <w:rPr>
          <w:spacing w:val="-2"/>
        </w:rPr>
        <w:t> </w:t>
      </w:r>
      <w:r>
        <w:rPr/>
        <w:t>strains.</w:t>
      </w:r>
    </w:p>
    <w:p>
      <w:pPr>
        <w:pStyle w:val="BodyText"/>
        <w:spacing w:line="276" w:lineRule="auto" w:before="242"/>
        <w:ind w:left="477" w:right="137"/>
        <w:jc w:val="both"/>
      </w:pPr>
      <w:r>
        <w:rPr/>
        <w:t>The extent of the danger becomes clear when one hears at regular intervals of new bacteria, such as the EHEC pathogen currently under discussion, which endanger the lives of people due to a non-response to antibiotics.</w:t>
      </w:r>
    </w:p>
    <w:p>
      <w:pPr>
        <w:pStyle w:val="BodyText"/>
        <w:spacing w:line="276" w:lineRule="auto" w:before="239"/>
        <w:ind w:left="477" w:right="132"/>
        <w:jc w:val="both"/>
      </w:pPr>
      <w:r>
        <w:rPr/>
        <w:t>Should</w:t>
      </w:r>
      <w:r>
        <w:rPr>
          <w:spacing w:val="-15"/>
        </w:rPr>
        <w:t> </w:t>
      </w:r>
      <w:r>
        <w:rPr/>
        <w:t>we</w:t>
      </w:r>
      <w:r>
        <w:rPr>
          <w:spacing w:val="-14"/>
        </w:rPr>
        <w:t> </w:t>
      </w:r>
      <w:r>
        <w:rPr/>
        <w:t>one</w:t>
      </w:r>
      <w:r>
        <w:rPr>
          <w:spacing w:val="-13"/>
        </w:rPr>
        <w:t> </w:t>
      </w:r>
      <w:r>
        <w:rPr/>
        <w:t>day</w:t>
      </w:r>
      <w:r>
        <w:rPr>
          <w:spacing w:val="-15"/>
        </w:rPr>
        <w:t> </w:t>
      </w:r>
      <w:r>
        <w:rPr/>
        <w:t>be</w:t>
      </w:r>
      <w:r>
        <w:rPr>
          <w:spacing w:val="-13"/>
        </w:rPr>
        <w:t> </w:t>
      </w:r>
      <w:r>
        <w:rPr/>
        <w:t>exposed</w:t>
      </w:r>
      <w:r>
        <w:rPr>
          <w:spacing w:val="-13"/>
        </w:rPr>
        <w:t> </w:t>
      </w:r>
      <w:r>
        <w:rPr/>
        <w:t>to</w:t>
      </w:r>
      <w:r>
        <w:rPr>
          <w:spacing w:val="-13"/>
        </w:rPr>
        <w:t> </w:t>
      </w:r>
      <w:r>
        <w:rPr/>
        <w:t>a</w:t>
      </w:r>
      <w:r>
        <w:rPr>
          <w:spacing w:val="-14"/>
        </w:rPr>
        <w:t> </w:t>
      </w:r>
      <w:r>
        <w:rPr/>
        <w:t>real</w:t>
      </w:r>
      <w:r>
        <w:rPr>
          <w:spacing w:val="-16"/>
        </w:rPr>
        <w:t> </w:t>
      </w:r>
      <w:r>
        <w:rPr/>
        <w:t>epidemic,</w:t>
      </w:r>
      <w:r>
        <w:rPr>
          <w:spacing w:val="-10"/>
        </w:rPr>
        <w:t> </w:t>
      </w:r>
      <w:r>
        <w:rPr/>
        <w:t>such</w:t>
      </w:r>
      <w:r>
        <w:rPr>
          <w:spacing w:val="-12"/>
        </w:rPr>
        <w:t> </w:t>
      </w:r>
      <w:r>
        <w:rPr/>
        <w:t>as</w:t>
      </w:r>
      <w:r>
        <w:rPr>
          <w:spacing w:val="-14"/>
        </w:rPr>
        <w:t> </w:t>
      </w:r>
      <w:r>
        <w:rPr/>
        <w:t>cholera</w:t>
      </w:r>
      <w:r>
        <w:rPr>
          <w:spacing w:val="-14"/>
        </w:rPr>
        <w:t> </w:t>
      </w:r>
      <w:r>
        <w:rPr/>
        <w:t>or</w:t>
      </w:r>
      <w:r>
        <w:rPr>
          <w:spacing w:val="-12"/>
        </w:rPr>
        <w:t> </w:t>
      </w:r>
      <w:r>
        <w:rPr/>
        <w:t>the</w:t>
      </w:r>
      <w:r>
        <w:rPr>
          <w:spacing w:val="-13"/>
        </w:rPr>
        <w:t> </w:t>
      </w:r>
      <w:r>
        <w:rPr/>
        <w:t>plague, that claimed tens of thousands of human lives, we would be vulnerable to</w:t>
      </w:r>
      <w:r>
        <w:rPr>
          <w:spacing w:val="-57"/>
        </w:rPr>
        <w:t> </w:t>
      </w:r>
      <w:r>
        <w:rPr/>
        <w:t>such a terrible scenario</w:t>
      </w:r>
      <w:r>
        <w:rPr>
          <w:spacing w:val="-2"/>
        </w:rPr>
        <w:t> </w:t>
      </w:r>
      <w:r>
        <w:rPr/>
        <w:t>again!</w:t>
      </w:r>
    </w:p>
    <w:p>
      <w:pPr>
        <w:pStyle w:val="Heading1"/>
        <w:jc w:val="both"/>
      </w:pPr>
      <w:r>
        <w:rPr/>
        <w:t>Side effects of antibiotics</w:t>
      </w:r>
    </w:p>
    <w:p>
      <w:pPr>
        <w:pStyle w:val="BodyText"/>
        <w:spacing w:line="276" w:lineRule="auto" w:before="299"/>
        <w:ind w:left="477" w:right="139"/>
        <w:jc w:val="both"/>
      </w:pPr>
      <w:r>
        <w:rPr/>
        <w:t>While</w:t>
      </w:r>
      <w:r>
        <w:rPr>
          <w:spacing w:val="-21"/>
        </w:rPr>
        <w:t> </w:t>
      </w:r>
      <w:r>
        <w:rPr/>
        <w:t>people</w:t>
      </w:r>
      <w:r>
        <w:rPr>
          <w:spacing w:val="-20"/>
        </w:rPr>
        <w:t> </w:t>
      </w:r>
      <w:r>
        <w:rPr/>
        <w:t>are</w:t>
      </w:r>
      <w:r>
        <w:rPr>
          <w:spacing w:val="-17"/>
        </w:rPr>
        <w:t> </w:t>
      </w:r>
      <w:r>
        <w:rPr/>
        <w:t>gradually</w:t>
      </w:r>
      <w:r>
        <w:rPr>
          <w:spacing w:val="-20"/>
        </w:rPr>
        <w:t> </w:t>
      </w:r>
      <w:r>
        <w:rPr/>
        <w:t>hearing</w:t>
      </w:r>
      <w:r>
        <w:rPr>
          <w:spacing w:val="-20"/>
        </w:rPr>
        <w:t> </w:t>
      </w:r>
      <w:r>
        <w:rPr/>
        <w:t>more</w:t>
      </w:r>
      <w:r>
        <w:rPr>
          <w:spacing w:val="-19"/>
        </w:rPr>
        <w:t> </w:t>
      </w:r>
      <w:r>
        <w:rPr/>
        <w:t>and</w:t>
      </w:r>
      <w:r>
        <w:rPr>
          <w:spacing w:val="-20"/>
        </w:rPr>
        <w:t> </w:t>
      </w:r>
      <w:r>
        <w:rPr/>
        <w:t>more,</w:t>
      </w:r>
      <w:r>
        <w:rPr>
          <w:spacing w:val="-18"/>
        </w:rPr>
        <w:t> </w:t>
      </w:r>
      <w:r>
        <w:rPr/>
        <w:t>albeit</w:t>
      </w:r>
      <w:r>
        <w:rPr>
          <w:spacing w:val="-21"/>
        </w:rPr>
        <w:t> </w:t>
      </w:r>
      <w:r>
        <w:rPr/>
        <w:t>incidentally,</w:t>
      </w:r>
      <w:r>
        <w:rPr>
          <w:spacing w:val="-18"/>
        </w:rPr>
        <w:t> </w:t>
      </w:r>
      <w:r>
        <w:rPr/>
        <w:t>about</w:t>
      </w:r>
      <w:r>
        <w:rPr>
          <w:spacing w:val="-22"/>
        </w:rPr>
        <w:t> </w:t>
      </w:r>
      <w:r>
        <w:rPr/>
        <w:t>the increasing</w:t>
      </w:r>
      <w:r>
        <w:rPr>
          <w:spacing w:val="-13"/>
        </w:rPr>
        <w:t> </w:t>
      </w:r>
      <w:r>
        <w:rPr/>
        <w:t>resistance</w:t>
      </w:r>
      <w:r>
        <w:rPr>
          <w:spacing w:val="-12"/>
        </w:rPr>
        <w:t> </w:t>
      </w:r>
      <w:r>
        <w:rPr/>
        <w:t>of</w:t>
      </w:r>
      <w:r>
        <w:rPr>
          <w:spacing w:val="-12"/>
        </w:rPr>
        <w:t> </w:t>
      </w:r>
      <w:r>
        <w:rPr/>
        <w:t>bacteria</w:t>
      </w:r>
      <w:r>
        <w:rPr>
          <w:spacing w:val="-17"/>
        </w:rPr>
        <w:t> </w:t>
      </w:r>
      <w:r>
        <w:rPr/>
        <w:t>to</w:t>
      </w:r>
      <w:r>
        <w:rPr>
          <w:spacing w:val="-12"/>
        </w:rPr>
        <w:t> </w:t>
      </w:r>
      <w:r>
        <w:rPr/>
        <w:t>antibiotics,</w:t>
      </w:r>
      <w:r>
        <w:rPr>
          <w:spacing w:val="-12"/>
        </w:rPr>
        <w:t> </w:t>
      </w:r>
      <w:r>
        <w:rPr/>
        <w:t>very</w:t>
      </w:r>
      <w:r>
        <w:rPr>
          <w:spacing w:val="-13"/>
        </w:rPr>
        <w:t> </w:t>
      </w:r>
      <w:r>
        <w:rPr/>
        <w:t>few</w:t>
      </w:r>
      <w:r>
        <w:rPr>
          <w:spacing w:val="-14"/>
        </w:rPr>
        <w:t> </w:t>
      </w:r>
      <w:r>
        <w:rPr/>
        <w:t>people</w:t>
      </w:r>
      <w:r>
        <w:rPr>
          <w:spacing w:val="-16"/>
        </w:rPr>
        <w:t> </w:t>
      </w:r>
      <w:r>
        <w:rPr/>
        <w:t>really</w:t>
      </w:r>
      <w:r>
        <w:rPr>
          <w:spacing w:val="-12"/>
        </w:rPr>
        <w:t> </w:t>
      </w:r>
      <w:r>
        <w:rPr/>
        <w:t>know</w:t>
      </w:r>
      <w:r>
        <w:rPr>
          <w:spacing w:val="-14"/>
        </w:rPr>
        <w:t> </w:t>
      </w:r>
      <w:r>
        <w:rPr/>
        <w:t>how serious the side effects of antibiotics are. These are not restricted to stomach and</w:t>
      </w:r>
      <w:r>
        <w:rPr>
          <w:spacing w:val="18"/>
        </w:rPr>
        <w:t> </w:t>
      </w:r>
      <w:r>
        <w:rPr/>
        <w:t>intestinal</w:t>
      </w:r>
      <w:r>
        <w:rPr>
          <w:spacing w:val="18"/>
        </w:rPr>
        <w:t> </w:t>
      </w:r>
      <w:r>
        <w:rPr/>
        <w:t>problems,</w:t>
      </w:r>
      <w:r>
        <w:rPr>
          <w:spacing w:val="19"/>
        </w:rPr>
        <w:t> </w:t>
      </w:r>
      <w:r>
        <w:rPr/>
        <w:t>which</w:t>
      </w:r>
      <w:r>
        <w:rPr>
          <w:spacing w:val="19"/>
        </w:rPr>
        <w:t> </w:t>
      </w:r>
      <w:r>
        <w:rPr/>
        <w:t>can</w:t>
      </w:r>
      <w:r>
        <w:rPr>
          <w:spacing w:val="19"/>
        </w:rPr>
        <w:t> </w:t>
      </w:r>
      <w:r>
        <w:rPr/>
        <w:t>typically</w:t>
      </w:r>
      <w:r>
        <w:rPr>
          <w:spacing w:val="18"/>
        </w:rPr>
        <w:t> </w:t>
      </w:r>
      <w:r>
        <w:rPr/>
        <w:t>occur</w:t>
      </w:r>
      <w:r>
        <w:rPr>
          <w:spacing w:val="18"/>
        </w:rPr>
        <w:t> </w:t>
      </w:r>
      <w:r>
        <w:rPr/>
        <w:t>after</w:t>
      </w:r>
      <w:r>
        <w:rPr>
          <w:spacing w:val="18"/>
        </w:rPr>
        <w:t> </w:t>
      </w:r>
      <w:r>
        <w:rPr/>
        <w:t>taking</w:t>
      </w:r>
      <w:r>
        <w:rPr>
          <w:spacing w:val="20"/>
        </w:rPr>
        <w:t> </w:t>
      </w:r>
      <w:r>
        <w:rPr/>
        <w:t>antibiotics,</w:t>
      </w:r>
      <w:r>
        <w:rPr>
          <w:spacing w:val="19"/>
        </w:rPr>
        <w:t> </w:t>
      </w:r>
      <w:r>
        <w:rPr/>
        <w:t>but</w:t>
      </w:r>
    </w:p>
    <w:p>
      <w:pPr>
        <w:spacing w:after="0" w:line="276" w:lineRule="auto"/>
        <w:jc w:val="both"/>
        <w:sectPr>
          <w:pgSz w:w="14270" w:h="16850"/>
          <w:pgMar w:header="0" w:footer="1891" w:top="1600" w:bottom="2080" w:left="800" w:right="1280"/>
        </w:sectPr>
      </w:pPr>
    </w:p>
    <w:p>
      <w:pPr>
        <w:pStyle w:val="BodyText"/>
        <w:spacing w:line="276" w:lineRule="auto" w:before="181"/>
        <w:ind w:left="477" w:right="132"/>
        <w:jc w:val="both"/>
        <w:rPr>
          <w:sz w:val="25"/>
        </w:rPr>
      </w:pPr>
      <w:r>
        <w:rPr/>
        <w:t>relevant studies point to much more dangerous side effects. As already de- scribed above, the antibiotic ‘neomycin’ causes liver dysfunction, ‘tetracyclines’ cause yellowing of the teeth in children, and ‘chloramphenicol’ causes bone marrow depressions, known as ‘anaemic intake’. In addition, antibiotics are as- sociated with hyperactivity in children, allergies, psoriasis, endocrine disorders, Crohn's disease, ulcerative colitis, irritable bowel syndrome, multiple sclerosis and cancer!</w:t>
      </w:r>
      <w:r>
        <w:rPr>
          <w:position w:val="9"/>
          <w:sz w:val="25"/>
        </w:rPr>
        <w:t>423</w:t>
      </w:r>
    </w:p>
    <w:p>
      <w:pPr>
        <w:pStyle w:val="BodyText"/>
        <w:spacing w:line="276" w:lineRule="auto" w:before="241"/>
        <w:ind w:left="477" w:right="130"/>
        <w:jc w:val="both"/>
      </w:pPr>
      <w:r>
        <w:rPr/>
        <w:t>Furthermore, antibiotics can destroy vital intestinal bacteria and thus put our intestinal</w:t>
      </w:r>
      <w:r>
        <w:rPr>
          <w:spacing w:val="-15"/>
        </w:rPr>
        <w:t> </w:t>
      </w:r>
      <w:r>
        <w:rPr/>
        <w:t>flora</w:t>
      </w:r>
      <w:r>
        <w:rPr>
          <w:spacing w:val="-15"/>
        </w:rPr>
        <w:t> </w:t>
      </w:r>
      <w:r>
        <w:rPr/>
        <w:t>out</w:t>
      </w:r>
      <w:r>
        <w:rPr>
          <w:spacing w:val="-15"/>
        </w:rPr>
        <w:t> </w:t>
      </w:r>
      <w:r>
        <w:rPr/>
        <w:t>of</w:t>
      </w:r>
      <w:r>
        <w:rPr>
          <w:spacing w:val="-14"/>
        </w:rPr>
        <w:t> </w:t>
      </w:r>
      <w:r>
        <w:rPr/>
        <w:t>balance.</w:t>
      </w:r>
      <w:r>
        <w:rPr>
          <w:spacing w:val="-14"/>
        </w:rPr>
        <w:t> </w:t>
      </w:r>
      <w:r>
        <w:rPr/>
        <w:t>An</w:t>
      </w:r>
      <w:r>
        <w:rPr>
          <w:spacing w:val="-14"/>
        </w:rPr>
        <w:t> </w:t>
      </w:r>
      <w:r>
        <w:rPr/>
        <w:t>upset</w:t>
      </w:r>
      <w:r>
        <w:rPr>
          <w:spacing w:val="-15"/>
        </w:rPr>
        <w:t> </w:t>
      </w:r>
      <w:r>
        <w:rPr/>
        <w:t>intestinal</w:t>
      </w:r>
      <w:r>
        <w:rPr>
          <w:spacing w:val="-15"/>
        </w:rPr>
        <w:t> </w:t>
      </w:r>
      <w:r>
        <w:rPr/>
        <w:t>flora</w:t>
      </w:r>
      <w:r>
        <w:rPr>
          <w:spacing w:val="-14"/>
        </w:rPr>
        <w:t> </w:t>
      </w:r>
      <w:r>
        <w:rPr/>
        <w:t>has</w:t>
      </w:r>
      <w:r>
        <w:rPr>
          <w:spacing w:val="-16"/>
        </w:rPr>
        <w:t> </w:t>
      </w:r>
      <w:r>
        <w:rPr/>
        <w:t>a</w:t>
      </w:r>
      <w:r>
        <w:rPr>
          <w:spacing w:val="-15"/>
        </w:rPr>
        <w:t> </w:t>
      </w:r>
      <w:r>
        <w:rPr/>
        <w:t>tragic</w:t>
      </w:r>
      <w:r>
        <w:rPr>
          <w:spacing w:val="-13"/>
        </w:rPr>
        <w:t> </w:t>
      </w:r>
      <w:r>
        <w:rPr/>
        <w:t>effect</w:t>
      </w:r>
      <w:r>
        <w:rPr>
          <w:spacing w:val="-16"/>
        </w:rPr>
        <w:t> </w:t>
      </w:r>
      <w:r>
        <w:rPr/>
        <w:t>on</w:t>
      </w:r>
      <w:r>
        <w:rPr>
          <w:spacing w:val="-14"/>
        </w:rPr>
        <w:t> </w:t>
      </w:r>
      <w:r>
        <w:rPr/>
        <w:t>our health, because it is an invitation for harmful bacteria to multiply and at the same time it prevents efficient nutrient</w:t>
      </w:r>
      <w:r>
        <w:rPr>
          <w:spacing w:val="-1"/>
        </w:rPr>
        <w:t> </w:t>
      </w:r>
      <w:r>
        <w:rPr/>
        <w:t>absorption!</w:t>
      </w:r>
    </w:p>
    <w:p>
      <w:pPr>
        <w:pStyle w:val="Heading1"/>
        <w:spacing w:before="222"/>
      </w:pPr>
      <w:r>
        <w:rPr/>
        <w:t>Colloidal silver as a healthy alternative to antibiotics</w:t>
      </w:r>
    </w:p>
    <w:p>
      <w:pPr>
        <w:pStyle w:val="BodyText"/>
        <w:spacing w:line="276" w:lineRule="auto" w:before="300"/>
        <w:ind w:left="477" w:right="131"/>
        <w:jc w:val="both"/>
      </w:pPr>
      <w:r>
        <w:rPr/>
        <w:t>Thus, while antibiotics only eliminate about a dozen bacteria, but perform this task</w:t>
      </w:r>
      <w:r>
        <w:rPr>
          <w:spacing w:val="-7"/>
        </w:rPr>
        <w:t> </w:t>
      </w:r>
      <w:r>
        <w:rPr/>
        <w:t>inadequately</w:t>
      </w:r>
      <w:r>
        <w:rPr>
          <w:spacing w:val="-7"/>
        </w:rPr>
        <w:t> </w:t>
      </w:r>
      <w:r>
        <w:rPr/>
        <w:t>due</w:t>
      </w:r>
      <w:r>
        <w:rPr>
          <w:spacing w:val="-7"/>
        </w:rPr>
        <w:t> </w:t>
      </w:r>
      <w:r>
        <w:rPr/>
        <w:t>to</w:t>
      </w:r>
      <w:r>
        <w:rPr>
          <w:spacing w:val="-6"/>
        </w:rPr>
        <w:t> </w:t>
      </w:r>
      <w:r>
        <w:rPr/>
        <w:t>increasing</w:t>
      </w:r>
      <w:r>
        <w:rPr>
          <w:spacing w:val="-5"/>
        </w:rPr>
        <w:t> </w:t>
      </w:r>
      <w:r>
        <w:rPr/>
        <w:t>resistance</w:t>
      </w:r>
      <w:r>
        <w:rPr>
          <w:spacing w:val="-8"/>
        </w:rPr>
        <w:t> </w:t>
      </w:r>
      <w:r>
        <w:rPr/>
        <w:t>and</w:t>
      </w:r>
      <w:r>
        <w:rPr>
          <w:spacing w:val="-7"/>
        </w:rPr>
        <w:t> </w:t>
      </w:r>
      <w:r>
        <w:rPr/>
        <w:t>cause</w:t>
      </w:r>
      <w:r>
        <w:rPr>
          <w:spacing w:val="-6"/>
        </w:rPr>
        <w:t> </w:t>
      </w:r>
      <w:r>
        <w:rPr/>
        <w:t>severe</w:t>
      </w:r>
      <w:r>
        <w:rPr>
          <w:spacing w:val="-7"/>
        </w:rPr>
        <w:t> </w:t>
      </w:r>
      <w:r>
        <w:rPr/>
        <w:t>side</w:t>
      </w:r>
      <w:r>
        <w:rPr>
          <w:spacing w:val="-6"/>
        </w:rPr>
        <w:t> </w:t>
      </w:r>
      <w:r>
        <w:rPr/>
        <w:t>effects,</w:t>
      </w:r>
      <w:r>
        <w:rPr>
          <w:spacing w:val="-5"/>
        </w:rPr>
        <w:t> </w:t>
      </w:r>
      <w:r>
        <w:rPr/>
        <w:t>col- loidal silver successfully fights about 650 of all imaginable parasites; bacteria, viruses, fungi, </w:t>
      </w:r>
      <w:r>
        <w:rPr>
          <w:i/>
        </w:rPr>
        <w:t>streptococci, </w:t>
      </w:r>
      <w:r>
        <w:rPr/>
        <w:t>staphylococci or other pathogenic organisms – with no side</w:t>
      </w:r>
      <w:r>
        <w:rPr>
          <w:spacing w:val="1"/>
        </w:rPr>
        <w:t> </w:t>
      </w:r>
      <w:r>
        <w:rPr/>
        <w:t>effects!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r>
        <w:rPr/>
        <w:pict>
          <v:line style="position:absolute;mso-position-horizontal-relative:page;mso-position-vertical-relative:paragraph;z-index:5144;mso-wrap-distance-left:0;mso-wrap-distance-right:0" from="63.863998pt,14.190015pt" to="207.883998pt,14.19001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423 </w:t>
      </w:r>
      <w:hyperlink r:id="rId83">
        <w:r>
          <w:rPr>
            <w:sz w:val="20"/>
          </w:rPr>
          <w:t>http://www.naturheilt.com/Inhalt/Antibio.htm</w:t>
        </w:r>
      </w:hyperlink>
    </w:p>
    <w:p>
      <w:pPr>
        <w:spacing w:after="0"/>
        <w:jc w:val="left"/>
        <w:rPr>
          <w:sz w:val="20"/>
        </w:rPr>
        <w:sectPr>
          <w:pgSz w:w="14270" w:h="16850"/>
          <w:pgMar w:header="0" w:footer="1891" w:top="1600" w:bottom="2080" w:left="800" w:right="1280"/>
        </w:sectPr>
      </w:pPr>
    </w:p>
    <w:p>
      <w:pPr>
        <w:pStyle w:val="BodyText"/>
        <w:spacing w:line="276" w:lineRule="auto" w:before="181"/>
        <w:ind w:left="477" w:right="133"/>
        <w:jc w:val="both"/>
      </w:pPr>
      <w:r>
        <w:rPr/>
        <w:t>And while many people are allergic to antibiotics, allergic reactions to colloidal silver are completely unheard of. The typical resistance that bacteria develop</w:t>
      </w:r>
      <w:r>
        <w:rPr>
          <w:spacing w:val="-59"/>
        </w:rPr>
        <w:t> </w:t>
      </w:r>
      <w:r>
        <w:rPr/>
        <w:t>to antibiotics</w:t>
      </w:r>
      <w:r>
        <w:rPr>
          <w:spacing w:val="-9"/>
        </w:rPr>
        <w:t> </w:t>
      </w:r>
      <w:r>
        <w:rPr/>
        <w:t>rarely</w:t>
      </w:r>
      <w:r>
        <w:rPr>
          <w:spacing w:val="-9"/>
        </w:rPr>
        <w:t> </w:t>
      </w:r>
      <w:r>
        <w:rPr/>
        <w:t>occurs</w:t>
      </w:r>
      <w:r>
        <w:rPr>
          <w:spacing w:val="-8"/>
        </w:rPr>
        <w:t> </w:t>
      </w:r>
      <w:r>
        <w:rPr/>
        <w:t>when</w:t>
      </w:r>
      <w:r>
        <w:rPr>
          <w:spacing w:val="-8"/>
        </w:rPr>
        <w:t> </w:t>
      </w:r>
      <w:r>
        <w:rPr/>
        <w:t>colloidal</w:t>
      </w:r>
      <w:r>
        <w:rPr>
          <w:spacing w:val="-11"/>
        </w:rPr>
        <w:t> </w:t>
      </w:r>
      <w:r>
        <w:rPr/>
        <w:t>silver</w:t>
      </w:r>
      <w:r>
        <w:rPr>
          <w:spacing w:val="-7"/>
        </w:rPr>
        <w:t> </w:t>
      </w:r>
      <w:r>
        <w:rPr/>
        <w:t>is</w:t>
      </w:r>
      <w:r>
        <w:rPr>
          <w:spacing w:val="-9"/>
        </w:rPr>
        <w:t> </w:t>
      </w:r>
      <w:r>
        <w:rPr/>
        <w:t>used</w:t>
      </w:r>
      <w:r>
        <w:rPr>
          <w:spacing w:val="-10"/>
        </w:rPr>
        <w:t> </w:t>
      </w:r>
      <w:r>
        <w:rPr/>
        <w:t>to</w:t>
      </w:r>
      <w:r>
        <w:rPr>
          <w:spacing w:val="-9"/>
        </w:rPr>
        <w:t> </w:t>
      </w:r>
      <w:r>
        <w:rPr/>
        <w:t>treat</w:t>
      </w:r>
      <w:r>
        <w:rPr>
          <w:spacing w:val="-9"/>
        </w:rPr>
        <w:t> </w:t>
      </w:r>
      <w:r>
        <w:rPr/>
        <w:t>them,</w:t>
      </w:r>
      <w:r>
        <w:rPr>
          <w:spacing w:val="-9"/>
        </w:rPr>
        <w:t> </w:t>
      </w:r>
      <w:r>
        <w:rPr/>
        <w:t>if</w:t>
      </w:r>
      <w:r>
        <w:rPr>
          <w:spacing w:val="-9"/>
        </w:rPr>
        <w:t> </w:t>
      </w:r>
      <w:r>
        <w:rPr/>
        <w:t>at</w:t>
      </w:r>
      <w:r>
        <w:rPr>
          <w:spacing w:val="-11"/>
        </w:rPr>
        <w:t> </w:t>
      </w:r>
      <w:r>
        <w:rPr/>
        <w:t>all.</w:t>
      </w:r>
      <w:r>
        <w:rPr>
          <w:spacing w:val="-8"/>
        </w:rPr>
        <w:t> </w:t>
      </w:r>
      <w:r>
        <w:rPr/>
        <w:t>Col- loidal</w:t>
      </w:r>
      <w:r>
        <w:rPr>
          <w:spacing w:val="-12"/>
        </w:rPr>
        <w:t> </w:t>
      </w:r>
      <w:r>
        <w:rPr/>
        <w:t>silver</w:t>
      </w:r>
      <w:r>
        <w:rPr>
          <w:spacing w:val="-9"/>
        </w:rPr>
        <w:t> </w:t>
      </w:r>
      <w:r>
        <w:rPr/>
        <w:t>effectively</w:t>
      </w:r>
      <w:r>
        <w:rPr>
          <w:spacing w:val="-10"/>
        </w:rPr>
        <w:t> </w:t>
      </w:r>
      <w:r>
        <w:rPr/>
        <w:t>combats</w:t>
      </w:r>
      <w:r>
        <w:rPr>
          <w:spacing w:val="-12"/>
        </w:rPr>
        <w:t> </w:t>
      </w:r>
      <w:r>
        <w:rPr/>
        <w:t>those</w:t>
      </w:r>
      <w:r>
        <w:rPr>
          <w:spacing w:val="-9"/>
        </w:rPr>
        <w:t> </w:t>
      </w:r>
      <w:r>
        <w:rPr/>
        <w:t>bacteria</w:t>
      </w:r>
      <w:r>
        <w:rPr>
          <w:spacing w:val="-12"/>
        </w:rPr>
        <w:t> </w:t>
      </w:r>
      <w:r>
        <w:rPr/>
        <w:t>that</w:t>
      </w:r>
      <w:r>
        <w:rPr>
          <w:spacing w:val="-11"/>
        </w:rPr>
        <w:t> </w:t>
      </w:r>
      <w:r>
        <w:rPr/>
        <w:t>are</w:t>
      </w:r>
      <w:r>
        <w:rPr>
          <w:spacing w:val="-10"/>
        </w:rPr>
        <w:t> </w:t>
      </w:r>
      <w:r>
        <w:rPr/>
        <w:t>already</w:t>
      </w:r>
      <w:r>
        <w:rPr>
          <w:spacing w:val="-10"/>
        </w:rPr>
        <w:t> </w:t>
      </w:r>
      <w:r>
        <w:rPr/>
        <w:t>resistant</w:t>
      </w:r>
      <w:r>
        <w:rPr>
          <w:spacing w:val="-10"/>
        </w:rPr>
        <w:t> </w:t>
      </w:r>
      <w:r>
        <w:rPr/>
        <w:t>to</w:t>
      </w:r>
      <w:r>
        <w:rPr>
          <w:spacing w:val="-9"/>
        </w:rPr>
        <w:t> </w:t>
      </w:r>
      <w:r>
        <w:rPr/>
        <w:t>tradi- tional antibiotics and no longer respond to them.</w:t>
      </w:r>
    </w:p>
    <w:p>
      <w:pPr>
        <w:pStyle w:val="BodyText"/>
        <w:spacing w:line="276" w:lineRule="auto" w:before="240"/>
        <w:ind w:left="477" w:right="134"/>
        <w:jc w:val="both"/>
      </w:pPr>
      <w:r>
        <w:rPr/>
        <w:t>Based</w:t>
      </w:r>
      <w:r>
        <w:rPr>
          <w:spacing w:val="-5"/>
        </w:rPr>
        <w:t> </w:t>
      </w:r>
      <w:r>
        <w:rPr/>
        <w:t>on</w:t>
      </w:r>
      <w:r>
        <w:rPr>
          <w:spacing w:val="-7"/>
        </w:rPr>
        <w:t> </w:t>
      </w:r>
      <w:r>
        <w:rPr/>
        <w:t>all</w:t>
      </w:r>
      <w:r>
        <w:rPr>
          <w:spacing w:val="-7"/>
        </w:rPr>
        <w:t> </w:t>
      </w:r>
      <w:r>
        <w:rPr/>
        <w:t>these</w:t>
      </w:r>
      <w:r>
        <w:rPr>
          <w:spacing w:val="-4"/>
        </w:rPr>
        <w:t> </w:t>
      </w:r>
      <w:r>
        <w:rPr/>
        <w:t>facts,</w:t>
      </w:r>
      <w:r>
        <w:rPr>
          <w:spacing w:val="-7"/>
        </w:rPr>
        <w:t> </w:t>
      </w:r>
      <w:r>
        <w:rPr/>
        <w:t>colloidal</w:t>
      </w:r>
      <w:r>
        <w:rPr>
          <w:spacing w:val="-7"/>
        </w:rPr>
        <w:t> </w:t>
      </w:r>
      <w:r>
        <w:rPr/>
        <w:t>silver</w:t>
      </w:r>
      <w:r>
        <w:rPr>
          <w:spacing w:val="-4"/>
        </w:rPr>
        <w:t> </w:t>
      </w:r>
      <w:r>
        <w:rPr/>
        <w:t>is</w:t>
      </w:r>
      <w:r>
        <w:rPr>
          <w:spacing w:val="-9"/>
        </w:rPr>
        <w:t> </w:t>
      </w:r>
      <w:r>
        <w:rPr/>
        <w:t>actually</w:t>
      </w:r>
      <w:r>
        <w:rPr>
          <w:spacing w:val="-4"/>
        </w:rPr>
        <w:t> </w:t>
      </w:r>
      <w:r>
        <w:rPr/>
        <w:t>not</w:t>
      </w:r>
      <w:r>
        <w:rPr>
          <w:spacing w:val="-7"/>
        </w:rPr>
        <w:t> </w:t>
      </w:r>
      <w:r>
        <w:rPr/>
        <w:t>an</w:t>
      </w:r>
      <w:r>
        <w:rPr>
          <w:spacing w:val="-8"/>
        </w:rPr>
        <w:t> </w:t>
      </w:r>
      <w:r>
        <w:rPr/>
        <w:t>alternative</w:t>
      </w:r>
      <w:r>
        <w:rPr>
          <w:spacing w:val="-6"/>
        </w:rPr>
        <w:t> </w:t>
      </w:r>
      <w:r>
        <w:rPr/>
        <w:t>to</w:t>
      </w:r>
      <w:r>
        <w:rPr>
          <w:spacing w:val="-4"/>
        </w:rPr>
        <w:t> </w:t>
      </w:r>
      <w:r>
        <w:rPr/>
        <w:t>antibiot- ics,</w:t>
      </w:r>
      <w:r>
        <w:rPr>
          <w:spacing w:val="-26"/>
        </w:rPr>
        <w:t> </w:t>
      </w:r>
      <w:r>
        <w:rPr/>
        <w:t>but</w:t>
      </w:r>
      <w:r>
        <w:rPr>
          <w:spacing w:val="-26"/>
        </w:rPr>
        <w:t> </w:t>
      </w:r>
      <w:r>
        <w:rPr>
          <w:i/>
        </w:rPr>
        <w:t>the</w:t>
      </w:r>
      <w:r>
        <w:rPr>
          <w:i/>
          <w:spacing w:val="-26"/>
        </w:rPr>
        <w:t> </w:t>
      </w:r>
      <w:r>
        <w:rPr/>
        <w:t>therapy</w:t>
      </w:r>
      <w:r>
        <w:rPr>
          <w:spacing w:val="-27"/>
        </w:rPr>
        <w:t> </w:t>
      </w:r>
      <w:r>
        <w:rPr/>
        <w:t>of</w:t>
      </w:r>
      <w:r>
        <w:rPr>
          <w:spacing w:val="-26"/>
        </w:rPr>
        <w:t> </w:t>
      </w:r>
      <w:r>
        <w:rPr/>
        <w:t>choice,</w:t>
      </w:r>
      <w:r>
        <w:rPr>
          <w:spacing w:val="-25"/>
        </w:rPr>
        <w:t> </w:t>
      </w:r>
      <w:r>
        <w:rPr/>
        <w:t>albeit</w:t>
      </w:r>
      <w:r>
        <w:rPr>
          <w:spacing w:val="-26"/>
        </w:rPr>
        <w:t> </w:t>
      </w:r>
      <w:r>
        <w:rPr/>
        <w:t>a</w:t>
      </w:r>
      <w:r>
        <w:rPr>
          <w:spacing w:val="-28"/>
        </w:rPr>
        <w:t> </w:t>
      </w:r>
      <w:r>
        <w:rPr/>
        <w:t>hitherto</w:t>
      </w:r>
      <w:r>
        <w:rPr>
          <w:spacing w:val="-25"/>
        </w:rPr>
        <w:t> </w:t>
      </w:r>
      <w:r>
        <w:rPr/>
        <w:t>suppressed</w:t>
      </w:r>
      <w:r>
        <w:rPr>
          <w:spacing w:val="-26"/>
        </w:rPr>
        <w:t> </w:t>
      </w:r>
      <w:r>
        <w:rPr/>
        <w:t>and</w:t>
      </w:r>
      <w:r>
        <w:rPr>
          <w:spacing w:val="-27"/>
        </w:rPr>
        <w:t> </w:t>
      </w:r>
      <w:r>
        <w:rPr/>
        <w:t>therefore</w:t>
      </w:r>
      <w:r>
        <w:rPr>
          <w:spacing w:val="-26"/>
        </w:rPr>
        <w:t> </w:t>
      </w:r>
      <w:r>
        <w:rPr/>
        <w:t>relatively unknown</w:t>
      </w:r>
      <w:r>
        <w:rPr>
          <w:spacing w:val="-1"/>
        </w:rPr>
        <w:t> </w:t>
      </w:r>
      <w:r>
        <w:rPr/>
        <w:t>one.</w:t>
      </w:r>
    </w:p>
    <w:p>
      <w:pPr>
        <w:pStyle w:val="Heading2"/>
        <w:spacing w:before="242"/>
        <w:jc w:val="both"/>
      </w:pPr>
      <w:r>
        <w:rPr/>
        <w:t>Silver produces stem cells that allow entire limbs to regrow...!</w:t>
      </w:r>
    </w:p>
    <w:p>
      <w:pPr>
        <w:pStyle w:val="BodyText"/>
        <w:spacing w:line="276" w:lineRule="auto" w:before="304"/>
        <w:ind w:left="477" w:right="132"/>
        <w:jc w:val="both"/>
      </w:pPr>
      <w:r>
        <w:rPr/>
        <w:t>As</w:t>
      </w:r>
      <w:r>
        <w:rPr>
          <w:spacing w:val="-7"/>
        </w:rPr>
        <w:t> </w:t>
      </w:r>
      <w:r>
        <w:rPr/>
        <w:t>mentioned</w:t>
      </w:r>
      <w:r>
        <w:rPr>
          <w:spacing w:val="-10"/>
        </w:rPr>
        <w:t> </w:t>
      </w:r>
      <w:r>
        <w:rPr/>
        <w:t>in</w:t>
      </w:r>
      <w:r>
        <w:rPr>
          <w:spacing w:val="-7"/>
        </w:rPr>
        <w:t> </w:t>
      </w:r>
      <w:r>
        <w:rPr/>
        <w:t>the</w:t>
      </w:r>
      <w:r>
        <w:rPr>
          <w:spacing w:val="-9"/>
        </w:rPr>
        <w:t> </w:t>
      </w:r>
      <w:r>
        <w:rPr/>
        <w:t>preface,</w:t>
      </w:r>
      <w:r>
        <w:rPr>
          <w:spacing w:val="-8"/>
        </w:rPr>
        <w:t> </w:t>
      </w:r>
      <w:r>
        <w:rPr/>
        <w:t>combating</w:t>
      </w:r>
      <w:r>
        <w:rPr>
          <w:spacing w:val="-7"/>
        </w:rPr>
        <w:t> </w:t>
      </w:r>
      <w:r>
        <w:rPr/>
        <w:t>viruses,</w:t>
      </w:r>
      <w:r>
        <w:rPr>
          <w:spacing w:val="-6"/>
        </w:rPr>
        <w:t> </w:t>
      </w:r>
      <w:r>
        <w:rPr/>
        <w:t>bacteria</w:t>
      </w:r>
      <w:r>
        <w:rPr>
          <w:spacing w:val="-8"/>
        </w:rPr>
        <w:t> </w:t>
      </w:r>
      <w:r>
        <w:rPr/>
        <w:t>and</w:t>
      </w:r>
      <w:r>
        <w:rPr>
          <w:spacing w:val="-8"/>
        </w:rPr>
        <w:t> </w:t>
      </w:r>
      <w:r>
        <w:rPr/>
        <w:t>all</w:t>
      </w:r>
      <w:r>
        <w:rPr>
          <w:spacing w:val="-11"/>
        </w:rPr>
        <w:t> </w:t>
      </w:r>
      <w:r>
        <w:rPr/>
        <w:t>other</w:t>
      </w:r>
      <w:r>
        <w:rPr>
          <w:spacing w:val="-7"/>
        </w:rPr>
        <w:t> </w:t>
      </w:r>
      <w:r>
        <w:rPr/>
        <w:t>parasites is by no means the only discipline that colloidal silver masters with flying col- ours – quite the</w:t>
      </w:r>
      <w:r>
        <w:rPr>
          <w:spacing w:val="2"/>
        </w:rPr>
        <w:t> </w:t>
      </w:r>
      <w:r>
        <w:rPr/>
        <w:t>contrary!</w:t>
      </w:r>
    </w:p>
    <w:p>
      <w:pPr>
        <w:pStyle w:val="BodyText"/>
        <w:spacing w:line="276" w:lineRule="auto" w:before="239"/>
        <w:ind w:left="477" w:right="132"/>
        <w:jc w:val="both"/>
      </w:pPr>
      <w:r>
        <w:rPr/>
        <w:t>Stem cell research is on everyone's lips, whether in connection with emergency and reconstructive surgery, or very advanced techniques of cosmetic surgery (especially in connection with anti-ageing).</w:t>
      </w:r>
    </w:p>
    <w:p>
      <w:pPr>
        <w:pStyle w:val="Heading1"/>
        <w:jc w:val="both"/>
      </w:pPr>
      <w:r>
        <w:rPr/>
        <w:t>What is so interesting about stem</w:t>
      </w:r>
      <w:r>
        <w:rPr>
          <w:spacing w:val="-64"/>
        </w:rPr>
        <w:t> </w:t>
      </w:r>
      <w:r>
        <w:rPr/>
        <w:t>cells?</w:t>
      </w:r>
    </w:p>
    <w:p>
      <w:pPr>
        <w:pStyle w:val="BodyText"/>
        <w:spacing w:line="276" w:lineRule="auto" w:before="299"/>
        <w:ind w:left="477" w:right="136"/>
        <w:jc w:val="both"/>
      </w:pPr>
      <w:r>
        <w:rPr/>
        <w:t>Stem</w:t>
      </w:r>
      <w:r>
        <w:rPr>
          <w:spacing w:val="-11"/>
        </w:rPr>
        <w:t> </w:t>
      </w:r>
      <w:r>
        <w:rPr/>
        <w:t>cells</w:t>
      </w:r>
      <w:r>
        <w:rPr>
          <w:spacing w:val="-13"/>
        </w:rPr>
        <w:t> </w:t>
      </w:r>
      <w:r>
        <w:rPr/>
        <w:t>have</w:t>
      </w:r>
      <w:r>
        <w:rPr>
          <w:spacing w:val="-10"/>
        </w:rPr>
        <w:t> </w:t>
      </w:r>
      <w:r>
        <w:rPr/>
        <w:t>the</w:t>
      </w:r>
      <w:r>
        <w:rPr>
          <w:spacing w:val="-11"/>
        </w:rPr>
        <w:t> </w:t>
      </w:r>
      <w:r>
        <w:rPr/>
        <w:t>extraordinary</w:t>
      </w:r>
      <w:r>
        <w:rPr>
          <w:spacing w:val="-10"/>
        </w:rPr>
        <w:t> </w:t>
      </w:r>
      <w:r>
        <w:rPr/>
        <w:t>ability</w:t>
      </w:r>
      <w:r>
        <w:rPr>
          <w:spacing w:val="-13"/>
        </w:rPr>
        <w:t> </w:t>
      </w:r>
      <w:r>
        <w:rPr/>
        <w:t>to</w:t>
      </w:r>
      <w:r>
        <w:rPr>
          <w:spacing w:val="-10"/>
        </w:rPr>
        <w:t> </w:t>
      </w:r>
      <w:r>
        <w:rPr/>
        <w:t>accelerate</w:t>
      </w:r>
      <w:r>
        <w:rPr>
          <w:spacing w:val="-12"/>
        </w:rPr>
        <w:t> </w:t>
      </w:r>
      <w:r>
        <w:rPr/>
        <w:t>wound</w:t>
      </w:r>
      <w:r>
        <w:rPr>
          <w:spacing w:val="-10"/>
        </w:rPr>
        <w:t> </w:t>
      </w:r>
      <w:r>
        <w:rPr/>
        <w:t>healing</w:t>
      </w:r>
      <w:r>
        <w:rPr>
          <w:spacing w:val="-11"/>
        </w:rPr>
        <w:t> </w:t>
      </w:r>
      <w:r>
        <w:rPr/>
        <w:t>and</w:t>
      </w:r>
      <w:r>
        <w:rPr>
          <w:spacing w:val="-13"/>
        </w:rPr>
        <w:t> </w:t>
      </w:r>
      <w:r>
        <w:rPr/>
        <w:t>regen- erate even entire organs and limbs when needed! Stem cell research could one day</w:t>
      </w:r>
      <w:r>
        <w:rPr>
          <w:spacing w:val="-13"/>
        </w:rPr>
        <w:t> </w:t>
      </w:r>
      <w:r>
        <w:rPr/>
        <w:t>help</w:t>
      </w:r>
      <w:r>
        <w:rPr>
          <w:spacing w:val="-12"/>
        </w:rPr>
        <w:t> </w:t>
      </w:r>
      <w:r>
        <w:rPr/>
        <w:t>to</w:t>
      </w:r>
      <w:r>
        <w:rPr>
          <w:spacing w:val="-12"/>
        </w:rPr>
        <w:t> </w:t>
      </w:r>
      <w:r>
        <w:rPr/>
        <w:t>avoid</w:t>
      </w:r>
      <w:r>
        <w:rPr>
          <w:spacing w:val="-12"/>
        </w:rPr>
        <w:t> </w:t>
      </w:r>
      <w:r>
        <w:rPr/>
        <w:t>thousands</w:t>
      </w:r>
      <w:r>
        <w:rPr>
          <w:spacing w:val="-12"/>
        </w:rPr>
        <w:t> </w:t>
      </w:r>
      <w:r>
        <w:rPr/>
        <w:t>of</w:t>
      </w:r>
      <w:r>
        <w:rPr>
          <w:spacing w:val="-11"/>
        </w:rPr>
        <w:t> </w:t>
      </w:r>
      <w:r>
        <w:rPr/>
        <w:t>amputations,</w:t>
      </w:r>
      <w:r>
        <w:rPr>
          <w:spacing w:val="-11"/>
        </w:rPr>
        <w:t> </w:t>
      </w:r>
      <w:r>
        <w:rPr/>
        <w:t>and</w:t>
      </w:r>
      <w:r>
        <w:rPr>
          <w:spacing w:val="-11"/>
        </w:rPr>
        <w:t> </w:t>
      </w:r>
      <w:r>
        <w:rPr/>
        <w:t>even</w:t>
      </w:r>
      <w:r>
        <w:rPr>
          <w:spacing w:val="-11"/>
        </w:rPr>
        <w:t> </w:t>
      </w:r>
      <w:r>
        <w:rPr/>
        <w:t>rebuild</w:t>
      </w:r>
      <w:r>
        <w:rPr>
          <w:spacing w:val="-14"/>
        </w:rPr>
        <w:t> </w:t>
      </w:r>
      <w:r>
        <w:rPr/>
        <w:t>limbs</w:t>
      </w:r>
      <w:r>
        <w:rPr>
          <w:spacing w:val="-11"/>
        </w:rPr>
        <w:t> </w:t>
      </w:r>
      <w:r>
        <w:rPr/>
        <w:t>and</w:t>
      </w:r>
      <w:r>
        <w:rPr>
          <w:spacing w:val="-12"/>
        </w:rPr>
        <w:t> </w:t>
      </w:r>
      <w:r>
        <w:rPr/>
        <w:t>organs damaged</w:t>
      </w:r>
      <w:r>
        <w:rPr>
          <w:spacing w:val="30"/>
        </w:rPr>
        <w:t> </w:t>
      </w:r>
      <w:r>
        <w:rPr/>
        <w:t>by</w:t>
      </w:r>
      <w:r>
        <w:rPr>
          <w:spacing w:val="31"/>
        </w:rPr>
        <w:t> </w:t>
      </w:r>
      <w:r>
        <w:rPr/>
        <w:t>bruises,</w:t>
      </w:r>
      <w:r>
        <w:rPr>
          <w:spacing w:val="28"/>
        </w:rPr>
        <w:t> </w:t>
      </w:r>
      <w:r>
        <w:rPr/>
        <w:t>cuts,</w:t>
      </w:r>
      <w:r>
        <w:rPr>
          <w:spacing w:val="29"/>
        </w:rPr>
        <w:t> </w:t>
      </w:r>
      <w:r>
        <w:rPr/>
        <w:t>or</w:t>
      </w:r>
      <w:r>
        <w:rPr>
          <w:spacing w:val="29"/>
        </w:rPr>
        <w:t> </w:t>
      </w:r>
      <w:r>
        <w:rPr/>
        <w:t>disease.</w:t>
      </w:r>
      <w:r>
        <w:rPr>
          <w:spacing w:val="32"/>
        </w:rPr>
        <w:t> </w:t>
      </w:r>
      <w:r>
        <w:rPr/>
        <w:t>Furthermore,</w:t>
      </w:r>
      <w:r>
        <w:rPr>
          <w:spacing w:val="29"/>
        </w:rPr>
        <w:t> </w:t>
      </w:r>
      <w:r>
        <w:rPr/>
        <w:t>the</w:t>
      </w:r>
      <w:r>
        <w:rPr>
          <w:spacing w:val="30"/>
        </w:rPr>
        <w:t> </w:t>
      </w:r>
      <w:r>
        <w:rPr/>
        <w:t>stem</w:t>
      </w:r>
      <w:r>
        <w:rPr>
          <w:spacing w:val="31"/>
        </w:rPr>
        <w:t> </w:t>
      </w:r>
      <w:r>
        <w:rPr/>
        <w:t>cell</w:t>
      </w:r>
      <w:r>
        <w:rPr>
          <w:spacing w:val="30"/>
        </w:rPr>
        <w:t> </w:t>
      </w:r>
      <w:r>
        <w:rPr/>
        <w:t>research</w:t>
      </w:r>
      <w:r>
        <w:rPr>
          <w:spacing w:val="30"/>
        </w:rPr>
        <w:t> </w:t>
      </w:r>
      <w:r>
        <w:rPr/>
        <w:t>for</w:t>
      </w:r>
    </w:p>
    <w:p>
      <w:pPr>
        <w:spacing w:after="0" w:line="276" w:lineRule="auto"/>
        <w:jc w:val="both"/>
        <w:sectPr>
          <w:pgSz w:w="14270" w:h="16850"/>
          <w:pgMar w:header="0" w:footer="1891" w:top="1600" w:bottom="2080" w:left="800" w:right="1280"/>
        </w:sectPr>
      </w:pPr>
    </w:p>
    <w:p>
      <w:pPr>
        <w:pStyle w:val="BodyText"/>
        <w:spacing w:line="276" w:lineRule="auto" w:before="181"/>
        <w:ind w:left="477" w:right="141"/>
        <w:jc w:val="both"/>
      </w:pPr>
      <w:r>
        <w:rPr/>
        <w:t>gerontology (ageing research) is very interesting, in the future, all aged human organs could be brought back to the condition there were in decades before!</w:t>
      </w:r>
    </w:p>
    <w:p>
      <w:pPr>
        <w:pStyle w:val="BodyText"/>
        <w:spacing w:line="276" w:lineRule="auto" w:before="241"/>
        <w:ind w:left="477" w:right="139"/>
        <w:jc w:val="both"/>
      </w:pPr>
      <w:r>
        <w:rPr/>
        <w:t>Unfortunately, stem cell research is a very complex field and stem cell produc- tion, according to the official current state of medicine, is more than difficult, or is morally questionable.</w:t>
      </w:r>
    </w:p>
    <w:p>
      <w:pPr>
        <w:pStyle w:val="BodyText"/>
        <w:spacing w:line="276" w:lineRule="auto" w:before="239"/>
        <w:ind w:left="477" w:right="134"/>
        <w:jc w:val="both"/>
      </w:pPr>
      <w:r>
        <w:rPr/>
        <w:t>For</w:t>
      </w:r>
      <w:r>
        <w:rPr>
          <w:spacing w:val="-11"/>
        </w:rPr>
        <w:t> </w:t>
      </w:r>
      <w:r>
        <w:rPr/>
        <w:t>example,</w:t>
      </w:r>
      <w:r>
        <w:rPr>
          <w:spacing w:val="-12"/>
        </w:rPr>
        <w:t> </w:t>
      </w:r>
      <w:r>
        <w:rPr/>
        <w:t>mothers</w:t>
      </w:r>
      <w:r>
        <w:rPr>
          <w:spacing w:val="-13"/>
        </w:rPr>
        <w:t> </w:t>
      </w:r>
      <w:r>
        <w:rPr/>
        <w:t>in</w:t>
      </w:r>
      <w:r>
        <w:rPr>
          <w:spacing w:val="-12"/>
        </w:rPr>
        <w:t> </w:t>
      </w:r>
      <w:r>
        <w:rPr/>
        <w:t>laboratories</w:t>
      </w:r>
      <w:r>
        <w:rPr>
          <w:spacing w:val="-12"/>
        </w:rPr>
        <w:t> </w:t>
      </w:r>
      <w:r>
        <w:rPr/>
        <w:t>even</w:t>
      </w:r>
      <w:r>
        <w:rPr>
          <w:spacing w:val="-13"/>
        </w:rPr>
        <w:t> </w:t>
      </w:r>
      <w:r>
        <w:rPr/>
        <w:t>breed</w:t>
      </w:r>
      <w:r>
        <w:rPr>
          <w:spacing w:val="-15"/>
        </w:rPr>
        <w:t> </w:t>
      </w:r>
      <w:r>
        <w:rPr/>
        <w:t>embryos</w:t>
      </w:r>
      <w:r>
        <w:rPr>
          <w:spacing w:val="-13"/>
        </w:rPr>
        <w:t> </w:t>
      </w:r>
      <w:r>
        <w:rPr/>
        <w:t>for</w:t>
      </w:r>
      <w:r>
        <w:rPr>
          <w:spacing w:val="-14"/>
        </w:rPr>
        <w:t> </w:t>
      </w:r>
      <w:r>
        <w:rPr/>
        <w:t>stem</w:t>
      </w:r>
      <w:r>
        <w:rPr>
          <w:spacing w:val="-12"/>
        </w:rPr>
        <w:t> </w:t>
      </w:r>
      <w:r>
        <w:rPr/>
        <w:t>cell</w:t>
      </w:r>
      <w:r>
        <w:rPr>
          <w:spacing w:val="-12"/>
        </w:rPr>
        <w:t> </w:t>
      </w:r>
      <w:r>
        <w:rPr/>
        <w:t>produc- tion, for example, to help a sick family member. However, our immune system repels foreign DNA, causing it to weaken, with all the associated risks to our health.</w:t>
      </w:r>
    </w:p>
    <w:p>
      <w:pPr>
        <w:pStyle w:val="BodyText"/>
        <w:spacing w:line="276" w:lineRule="auto" w:before="242"/>
        <w:ind w:left="477" w:right="137"/>
        <w:jc w:val="both"/>
      </w:pPr>
      <w:r>
        <w:rPr/>
        <w:t>Stem</w:t>
      </w:r>
      <w:r>
        <w:rPr>
          <w:spacing w:val="-13"/>
        </w:rPr>
        <w:t> </w:t>
      </w:r>
      <w:r>
        <w:rPr/>
        <w:t>cells</w:t>
      </w:r>
      <w:r>
        <w:rPr>
          <w:spacing w:val="-15"/>
        </w:rPr>
        <w:t> </w:t>
      </w:r>
      <w:r>
        <w:rPr/>
        <w:t>can</w:t>
      </w:r>
      <w:r>
        <w:rPr>
          <w:spacing w:val="-12"/>
        </w:rPr>
        <w:t> </w:t>
      </w:r>
      <w:r>
        <w:rPr/>
        <w:t>also</w:t>
      </w:r>
      <w:r>
        <w:rPr>
          <w:spacing w:val="-14"/>
        </w:rPr>
        <w:t> </w:t>
      </w:r>
      <w:r>
        <w:rPr/>
        <w:t>be</w:t>
      </w:r>
      <w:r>
        <w:rPr>
          <w:spacing w:val="-15"/>
        </w:rPr>
        <w:t> </w:t>
      </w:r>
      <w:r>
        <w:rPr/>
        <w:t>obtained</w:t>
      </w:r>
      <w:r>
        <w:rPr>
          <w:spacing w:val="-13"/>
        </w:rPr>
        <w:t> </w:t>
      </w:r>
      <w:r>
        <w:rPr/>
        <w:t>from</w:t>
      </w:r>
      <w:r>
        <w:rPr>
          <w:spacing w:val="-13"/>
        </w:rPr>
        <w:t> </w:t>
      </w:r>
      <w:r>
        <w:rPr/>
        <w:t>the</w:t>
      </w:r>
      <w:r>
        <w:rPr>
          <w:spacing w:val="-14"/>
        </w:rPr>
        <w:t> </w:t>
      </w:r>
      <w:r>
        <w:rPr/>
        <w:t>blood</w:t>
      </w:r>
      <w:r>
        <w:rPr>
          <w:spacing w:val="-13"/>
        </w:rPr>
        <w:t> </w:t>
      </w:r>
      <w:r>
        <w:rPr/>
        <w:t>via</w:t>
      </w:r>
      <w:r>
        <w:rPr>
          <w:spacing w:val="-14"/>
        </w:rPr>
        <w:t> </w:t>
      </w:r>
      <w:r>
        <w:rPr/>
        <w:t>complicated</w:t>
      </w:r>
      <w:r>
        <w:rPr>
          <w:spacing w:val="-12"/>
        </w:rPr>
        <w:t> </w:t>
      </w:r>
      <w:r>
        <w:rPr/>
        <w:t>procedures,</w:t>
      </w:r>
      <w:r>
        <w:rPr>
          <w:spacing w:val="-14"/>
        </w:rPr>
        <w:t> </w:t>
      </w:r>
      <w:r>
        <w:rPr/>
        <w:t>but it is so expensive and time-consuming that it is out of the question for all but the smallest minority of</w:t>
      </w:r>
      <w:r>
        <w:rPr>
          <w:spacing w:val="2"/>
        </w:rPr>
        <w:t> </w:t>
      </w:r>
      <w:r>
        <w:rPr/>
        <w:t>patients...</w:t>
      </w:r>
    </w:p>
    <w:p>
      <w:pPr>
        <w:pStyle w:val="BodyText"/>
        <w:spacing w:line="276" w:lineRule="auto" w:before="239"/>
        <w:ind w:left="477" w:right="142"/>
        <w:jc w:val="both"/>
      </w:pPr>
      <w:r>
        <w:rPr/>
        <w:t>You can imagine how helpful it would be if there were a method of producing body cells that was completely uncomplicated and cost-effective.</w:t>
      </w:r>
    </w:p>
    <w:p>
      <w:pPr>
        <w:pStyle w:val="Heading1"/>
        <w:spacing w:line="261" w:lineRule="auto"/>
        <w:ind w:right="134"/>
        <w:jc w:val="both"/>
      </w:pPr>
      <w:r>
        <w:rPr/>
        <w:t>But</w:t>
      </w:r>
      <w:r>
        <w:rPr>
          <w:spacing w:val="-36"/>
        </w:rPr>
        <w:t> </w:t>
      </w:r>
      <w:r>
        <w:rPr/>
        <w:t>what</w:t>
      </w:r>
      <w:r>
        <w:rPr>
          <w:spacing w:val="-35"/>
        </w:rPr>
        <w:t> </w:t>
      </w:r>
      <w:r>
        <w:rPr/>
        <w:t>if</w:t>
      </w:r>
      <w:r>
        <w:rPr>
          <w:spacing w:val="-35"/>
        </w:rPr>
        <w:t> </w:t>
      </w:r>
      <w:r>
        <w:rPr/>
        <w:t>we</w:t>
      </w:r>
      <w:r>
        <w:rPr>
          <w:spacing w:val="-33"/>
        </w:rPr>
        <w:t> </w:t>
      </w:r>
      <w:r>
        <w:rPr/>
        <w:t>are</w:t>
      </w:r>
      <w:r>
        <w:rPr>
          <w:spacing w:val="-34"/>
        </w:rPr>
        <w:t> </w:t>
      </w:r>
      <w:r>
        <w:rPr/>
        <w:t>not</w:t>
      </w:r>
      <w:r>
        <w:rPr>
          <w:spacing w:val="-34"/>
        </w:rPr>
        <w:t> </w:t>
      </w:r>
      <w:r>
        <w:rPr/>
        <w:t>speaking</w:t>
      </w:r>
      <w:r>
        <w:rPr>
          <w:spacing w:val="-35"/>
        </w:rPr>
        <w:t> </w:t>
      </w:r>
      <w:r>
        <w:rPr/>
        <w:t>of</w:t>
      </w:r>
      <w:r>
        <w:rPr>
          <w:spacing w:val="-34"/>
        </w:rPr>
        <w:t> </w:t>
      </w:r>
      <w:r>
        <w:rPr/>
        <w:t>futuristic</w:t>
      </w:r>
      <w:r>
        <w:rPr>
          <w:spacing w:val="-34"/>
        </w:rPr>
        <w:t> </w:t>
      </w:r>
      <w:r>
        <w:rPr/>
        <w:t>visions</w:t>
      </w:r>
      <w:r>
        <w:rPr>
          <w:spacing w:val="-35"/>
        </w:rPr>
        <w:t> </w:t>
      </w:r>
      <w:r>
        <w:rPr/>
        <w:t>at</w:t>
      </w:r>
      <w:r>
        <w:rPr>
          <w:spacing w:val="-35"/>
        </w:rPr>
        <w:t> </w:t>
      </w:r>
      <w:r>
        <w:rPr/>
        <w:t>this</w:t>
      </w:r>
      <w:r>
        <w:rPr>
          <w:spacing w:val="-33"/>
        </w:rPr>
        <w:t> </w:t>
      </w:r>
      <w:r>
        <w:rPr/>
        <w:t>point</w:t>
      </w:r>
      <w:r>
        <w:rPr>
          <w:spacing w:val="-26"/>
        </w:rPr>
        <w:t> </w:t>
      </w:r>
      <w:r>
        <w:rPr/>
        <w:t>–</w:t>
      </w:r>
      <w:r>
        <w:rPr>
          <w:spacing w:val="-32"/>
        </w:rPr>
        <w:t> </w:t>
      </w:r>
      <w:r>
        <w:rPr/>
        <w:t>what if</w:t>
      </w:r>
      <w:r>
        <w:rPr>
          <w:spacing w:val="-58"/>
        </w:rPr>
        <w:t> </w:t>
      </w:r>
      <w:r>
        <w:rPr/>
        <w:t>this</w:t>
      </w:r>
      <w:r>
        <w:rPr>
          <w:spacing w:val="-57"/>
        </w:rPr>
        <w:t> </w:t>
      </w:r>
      <w:r>
        <w:rPr/>
        <w:t>method</w:t>
      </w:r>
      <w:r>
        <w:rPr>
          <w:spacing w:val="-57"/>
        </w:rPr>
        <w:t> </w:t>
      </w:r>
      <w:r>
        <w:rPr/>
        <w:t>already</w:t>
      </w:r>
      <w:r>
        <w:rPr>
          <w:spacing w:val="-57"/>
        </w:rPr>
        <w:t> </w:t>
      </w:r>
      <w:r>
        <w:rPr/>
        <w:t>exists</w:t>
      </w:r>
      <w:r>
        <w:rPr>
          <w:spacing w:val="-58"/>
        </w:rPr>
        <w:t> </w:t>
      </w:r>
      <w:r>
        <w:rPr/>
        <w:t>in</w:t>
      </w:r>
      <w:r>
        <w:rPr>
          <w:spacing w:val="-57"/>
        </w:rPr>
        <w:t> </w:t>
      </w:r>
      <w:r>
        <w:rPr/>
        <w:t>the</w:t>
      </w:r>
      <w:r>
        <w:rPr>
          <w:spacing w:val="-58"/>
        </w:rPr>
        <w:t> </w:t>
      </w:r>
      <w:r>
        <w:rPr/>
        <w:t>form</w:t>
      </w:r>
      <w:r>
        <w:rPr>
          <w:spacing w:val="-57"/>
        </w:rPr>
        <w:t> </w:t>
      </w:r>
      <w:r>
        <w:rPr/>
        <w:t>of</w:t>
      </w:r>
      <w:r>
        <w:rPr>
          <w:spacing w:val="-58"/>
        </w:rPr>
        <w:t> </w:t>
      </w:r>
      <w:r>
        <w:rPr/>
        <w:t>a</w:t>
      </w:r>
      <w:r>
        <w:rPr>
          <w:spacing w:val="-56"/>
        </w:rPr>
        <w:t> </w:t>
      </w:r>
      <w:r>
        <w:rPr/>
        <w:t>cost-effective</w:t>
      </w:r>
      <w:r>
        <w:rPr>
          <w:spacing w:val="-57"/>
        </w:rPr>
        <w:t> </w:t>
      </w:r>
      <w:r>
        <w:rPr/>
        <w:t>method</w:t>
      </w:r>
      <w:r>
        <w:rPr>
          <w:spacing w:val="-58"/>
        </w:rPr>
        <w:t> </w:t>
      </w:r>
      <w:r>
        <w:rPr/>
        <w:t>based on a natural</w:t>
      </w:r>
      <w:r>
        <w:rPr>
          <w:spacing w:val="-21"/>
        </w:rPr>
        <w:t> </w:t>
      </w:r>
      <w:r>
        <w:rPr/>
        <w:t>substance?</w:t>
      </w:r>
    </w:p>
    <w:p>
      <w:pPr>
        <w:pStyle w:val="BodyText"/>
        <w:spacing w:line="276" w:lineRule="auto" w:before="261"/>
        <w:ind w:left="477" w:right="132"/>
        <w:jc w:val="both"/>
      </w:pPr>
      <w:r>
        <w:rPr/>
        <w:t>Prof. Dr. Robert O. Becker, author of the book ‘</w:t>
      </w:r>
      <w:r>
        <w:rPr>
          <w:i/>
        </w:rPr>
        <w:t>Cross Currents and The Body </w:t>
      </w:r>
      <w:r>
        <w:rPr>
          <w:i/>
        </w:rPr>
        <w:t>Electric’</w:t>
      </w:r>
      <w:r>
        <w:rPr>
          <w:i/>
          <w:spacing w:val="-13"/>
        </w:rPr>
        <w:t> </w:t>
      </w:r>
      <w:r>
        <w:rPr/>
        <w:t>and</w:t>
      </w:r>
      <w:r>
        <w:rPr>
          <w:spacing w:val="-12"/>
        </w:rPr>
        <w:t> </w:t>
      </w:r>
      <w:r>
        <w:rPr/>
        <w:t>former</w:t>
      </w:r>
      <w:r>
        <w:rPr>
          <w:spacing w:val="-12"/>
        </w:rPr>
        <w:t> </w:t>
      </w:r>
      <w:r>
        <w:rPr/>
        <w:t>Director</w:t>
      </w:r>
      <w:r>
        <w:rPr>
          <w:spacing w:val="-11"/>
        </w:rPr>
        <w:t> </w:t>
      </w:r>
      <w:r>
        <w:rPr/>
        <w:t>of</w:t>
      </w:r>
      <w:r>
        <w:rPr>
          <w:spacing w:val="-12"/>
        </w:rPr>
        <w:t> </w:t>
      </w:r>
      <w:r>
        <w:rPr/>
        <w:t>Orthopaedic</w:t>
      </w:r>
      <w:r>
        <w:rPr>
          <w:spacing w:val="-12"/>
        </w:rPr>
        <w:t> </w:t>
      </w:r>
      <w:r>
        <w:rPr/>
        <w:t>Surgery</w:t>
      </w:r>
      <w:r>
        <w:rPr>
          <w:spacing w:val="-12"/>
        </w:rPr>
        <w:t> </w:t>
      </w:r>
      <w:r>
        <w:rPr/>
        <w:t>at</w:t>
      </w:r>
      <w:r>
        <w:rPr>
          <w:spacing w:val="-14"/>
        </w:rPr>
        <w:t> </w:t>
      </w:r>
      <w:r>
        <w:rPr/>
        <w:t>Veterans</w:t>
      </w:r>
      <w:r>
        <w:rPr>
          <w:spacing w:val="-12"/>
        </w:rPr>
        <w:t> </w:t>
      </w:r>
      <w:r>
        <w:rPr/>
        <w:t>Hospital</w:t>
      </w:r>
      <w:r>
        <w:rPr>
          <w:spacing w:val="-14"/>
        </w:rPr>
        <w:t> </w:t>
      </w:r>
      <w:r>
        <w:rPr/>
        <w:t>Syra- cuse,</w:t>
      </w:r>
      <w:r>
        <w:rPr>
          <w:spacing w:val="36"/>
        </w:rPr>
        <w:t> </w:t>
      </w:r>
      <w:r>
        <w:rPr/>
        <w:t>New</w:t>
      </w:r>
      <w:r>
        <w:rPr>
          <w:spacing w:val="36"/>
        </w:rPr>
        <w:t> </w:t>
      </w:r>
      <w:r>
        <w:rPr/>
        <w:t>York,</w:t>
      </w:r>
      <w:r>
        <w:rPr>
          <w:spacing w:val="37"/>
        </w:rPr>
        <w:t> </w:t>
      </w:r>
      <w:r>
        <w:rPr/>
        <w:t>can</w:t>
      </w:r>
      <w:r>
        <w:rPr>
          <w:spacing w:val="37"/>
        </w:rPr>
        <w:t> </w:t>
      </w:r>
      <w:r>
        <w:rPr/>
        <w:t>prove</w:t>
      </w:r>
      <w:r>
        <w:rPr>
          <w:spacing w:val="35"/>
        </w:rPr>
        <w:t> </w:t>
      </w:r>
      <w:r>
        <w:rPr/>
        <w:t>these</w:t>
      </w:r>
      <w:r>
        <w:rPr>
          <w:spacing w:val="36"/>
        </w:rPr>
        <w:t> </w:t>
      </w:r>
      <w:r>
        <w:rPr/>
        <w:t>successes</w:t>
      </w:r>
      <w:r>
        <w:rPr>
          <w:spacing w:val="38"/>
        </w:rPr>
        <w:t> </w:t>
      </w:r>
      <w:r>
        <w:rPr/>
        <w:t>with</w:t>
      </w:r>
      <w:r>
        <w:rPr>
          <w:spacing w:val="34"/>
        </w:rPr>
        <w:t> </w:t>
      </w:r>
      <w:r>
        <w:rPr/>
        <w:t>the</w:t>
      </w:r>
      <w:r>
        <w:rPr>
          <w:spacing w:val="45"/>
        </w:rPr>
        <w:t> </w:t>
      </w:r>
      <w:r>
        <w:rPr/>
        <w:t>precious</w:t>
      </w:r>
      <w:r>
        <w:rPr>
          <w:spacing w:val="38"/>
        </w:rPr>
        <w:t> </w:t>
      </w:r>
      <w:r>
        <w:rPr/>
        <w:t>metal</w:t>
      </w:r>
      <w:r>
        <w:rPr>
          <w:spacing w:val="35"/>
        </w:rPr>
        <w:t> </w:t>
      </w:r>
      <w:r>
        <w:rPr/>
        <w:t>silver</w:t>
      </w:r>
      <w:r>
        <w:rPr>
          <w:spacing w:val="38"/>
        </w:rPr>
        <w:t> </w:t>
      </w:r>
      <w:r>
        <w:rPr/>
        <w:t>in</w:t>
      </w:r>
    </w:p>
    <w:p>
      <w:pPr>
        <w:spacing w:after="0" w:line="276" w:lineRule="auto"/>
        <w:jc w:val="both"/>
        <w:sectPr>
          <w:pgSz w:w="14270" w:h="16850"/>
          <w:pgMar w:header="0" w:footer="1891" w:top="1600" w:bottom="2080" w:left="800" w:right="1280"/>
        </w:sectPr>
      </w:pPr>
    </w:p>
    <w:p>
      <w:pPr>
        <w:pStyle w:val="BodyText"/>
        <w:spacing w:line="276" w:lineRule="auto" w:before="181"/>
        <w:ind w:left="477" w:right="131"/>
        <w:jc w:val="both"/>
      </w:pPr>
      <w:r>
        <w:rPr/>
        <w:t>conjunction with an uncomplicated DC procedure on hundreds of patients – regrowing limbs lost due to accidents or diseases...!</w:t>
      </w:r>
    </w:p>
    <w:p>
      <w:pPr>
        <w:pStyle w:val="BodyText"/>
        <w:spacing w:before="241"/>
        <w:ind w:left="477"/>
      </w:pPr>
      <w:r>
        <w:rPr/>
        <w:t>In his book, he writes on page 175:</w:t>
      </w:r>
    </w:p>
    <w:p>
      <w:pPr>
        <w:spacing w:line="276" w:lineRule="auto" w:before="305"/>
        <w:ind w:left="477" w:right="137" w:firstLine="0"/>
        <w:jc w:val="both"/>
        <w:rPr>
          <w:i/>
          <w:sz w:val="38"/>
        </w:rPr>
      </w:pPr>
      <w:r>
        <w:rPr>
          <w:sz w:val="38"/>
        </w:rPr>
        <w:t>‘</w:t>
      </w:r>
      <w:r>
        <w:rPr>
          <w:i/>
          <w:sz w:val="38"/>
        </w:rPr>
        <w:t>...Electrically generated silver ions can produce enough cells to form human blastema (the </w:t>
      </w:r>
      <w:r>
        <w:rPr>
          <w:i/>
          <w:sz w:val="38"/>
        </w:rPr>
        <w:t>stem-cell-derived</w:t>
      </w:r>
      <w:r>
        <w:rPr>
          <w:i/>
          <w:spacing w:val="-8"/>
          <w:sz w:val="38"/>
        </w:rPr>
        <w:t> </w:t>
      </w:r>
      <w:r>
        <w:rPr>
          <w:i/>
          <w:sz w:val="38"/>
        </w:rPr>
        <w:t>material</w:t>
      </w:r>
      <w:r>
        <w:rPr>
          <w:i/>
          <w:spacing w:val="-8"/>
          <w:sz w:val="38"/>
        </w:rPr>
        <w:t> </w:t>
      </w:r>
      <w:r>
        <w:rPr>
          <w:i/>
          <w:sz w:val="38"/>
        </w:rPr>
        <w:t>that</w:t>
      </w:r>
      <w:r>
        <w:rPr>
          <w:i/>
          <w:spacing w:val="-6"/>
          <w:sz w:val="38"/>
        </w:rPr>
        <w:t> </w:t>
      </w:r>
      <w:r>
        <w:rPr>
          <w:i/>
          <w:sz w:val="38"/>
        </w:rPr>
        <w:t>becomes</w:t>
      </w:r>
      <w:r>
        <w:rPr>
          <w:i/>
          <w:spacing w:val="-9"/>
          <w:sz w:val="38"/>
        </w:rPr>
        <w:t> </w:t>
      </w:r>
      <w:r>
        <w:rPr>
          <w:i/>
          <w:sz w:val="38"/>
        </w:rPr>
        <w:t>healthy,</w:t>
      </w:r>
      <w:r>
        <w:rPr>
          <w:i/>
          <w:spacing w:val="-6"/>
          <w:sz w:val="38"/>
        </w:rPr>
        <w:t> </w:t>
      </w:r>
      <w:r>
        <w:rPr>
          <w:i/>
          <w:sz w:val="38"/>
        </w:rPr>
        <w:t>healed</w:t>
      </w:r>
      <w:r>
        <w:rPr>
          <w:i/>
          <w:spacing w:val="-8"/>
          <w:sz w:val="38"/>
        </w:rPr>
        <w:t> </w:t>
      </w:r>
      <w:r>
        <w:rPr>
          <w:i/>
          <w:sz w:val="38"/>
        </w:rPr>
        <w:t>tissue)</w:t>
      </w:r>
      <w:r>
        <w:rPr>
          <w:i/>
          <w:spacing w:val="-7"/>
          <w:sz w:val="38"/>
        </w:rPr>
        <w:t> </w:t>
      </w:r>
      <w:r>
        <w:rPr>
          <w:i/>
          <w:sz w:val="38"/>
        </w:rPr>
        <w:t>and</w:t>
      </w:r>
      <w:r>
        <w:rPr>
          <w:i/>
          <w:spacing w:val="-8"/>
          <w:sz w:val="38"/>
        </w:rPr>
        <w:t> </w:t>
      </w:r>
      <w:r>
        <w:rPr>
          <w:i/>
          <w:sz w:val="38"/>
        </w:rPr>
        <w:t>have</w:t>
      </w:r>
      <w:r>
        <w:rPr>
          <w:i/>
          <w:spacing w:val="-8"/>
          <w:sz w:val="38"/>
        </w:rPr>
        <w:t> </w:t>
      </w:r>
      <w:r>
        <w:rPr>
          <w:i/>
          <w:sz w:val="38"/>
        </w:rPr>
        <w:t>restored</w:t>
      </w:r>
      <w:r>
        <w:rPr>
          <w:i/>
          <w:spacing w:val="-8"/>
          <w:sz w:val="38"/>
        </w:rPr>
        <w:t> </w:t>
      </w:r>
      <w:r>
        <w:rPr>
          <w:i/>
          <w:sz w:val="38"/>
        </w:rPr>
        <w:t>my</w:t>
      </w:r>
      <w:r>
        <w:rPr>
          <w:i/>
          <w:spacing w:val="-6"/>
          <w:sz w:val="38"/>
        </w:rPr>
        <w:t> </w:t>
      </w:r>
      <w:r>
        <w:rPr>
          <w:i/>
          <w:sz w:val="38"/>
        </w:rPr>
        <w:t>belief</w:t>
      </w:r>
      <w:r>
        <w:rPr>
          <w:i/>
          <w:spacing w:val="-8"/>
          <w:sz w:val="38"/>
        </w:rPr>
        <w:t> </w:t>
      </w:r>
      <w:r>
        <w:rPr>
          <w:i/>
          <w:sz w:val="38"/>
        </w:rPr>
        <w:t>in</w:t>
      </w:r>
      <w:r>
        <w:rPr>
          <w:i/>
          <w:spacing w:val="-6"/>
          <w:sz w:val="38"/>
        </w:rPr>
        <w:t> </w:t>
      </w:r>
      <w:r>
        <w:rPr>
          <w:i/>
          <w:sz w:val="38"/>
        </w:rPr>
        <w:t>a complete regeneration of limbs and other body parts in</w:t>
      </w:r>
      <w:r>
        <w:rPr>
          <w:i/>
          <w:spacing w:val="1"/>
          <w:sz w:val="38"/>
        </w:rPr>
        <w:t> </w:t>
      </w:r>
      <w:r>
        <w:rPr>
          <w:i/>
          <w:sz w:val="38"/>
        </w:rPr>
        <w:t>humans...’</w:t>
      </w:r>
    </w:p>
    <w:p>
      <w:pPr>
        <w:pStyle w:val="Heading1"/>
        <w:spacing w:before="222"/>
      </w:pPr>
      <w:r>
        <w:rPr/>
        <w:t>More on this later, first of all, let’s clarify what stem cells are...</w:t>
      </w:r>
    </w:p>
    <w:p>
      <w:pPr>
        <w:pStyle w:val="BodyText"/>
        <w:spacing w:line="276" w:lineRule="auto" w:before="299"/>
        <w:ind w:left="477" w:right="133"/>
        <w:jc w:val="both"/>
      </w:pPr>
      <w:r>
        <w:rPr/>
        <w:t>Stem</w:t>
      </w:r>
      <w:r>
        <w:rPr>
          <w:spacing w:val="-9"/>
        </w:rPr>
        <w:t> </w:t>
      </w:r>
      <w:r>
        <w:rPr/>
        <w:t>cells,</w:t>
      </w:r>
      <w:r>
        <w:rPr>
          <w:spacing w:val="-8"/>
        </w:rPr>
        <w:t> </w:t>
      </w:r>
      <w:r>
        <w:rPr/>
        <w:t>as</w:t>
      </w:r>
      <w:r>
        <w:rPr>
          <w:spacing w:val="-10"/>
        </w:rPr>
        <w:t> </w:t>
      </w:r>
      <w:r>
        <w:rPr/>
        <w:t>the</w:t>
      </w:r>
      <w:r>
        <w:rPr>
          <w:spacing w:val="-9"/>
        </w:rPr>
        <w:t> </w:t>
      </w:r>
      <w:r>
        <w:rPr/>
        <w:t>name</w:t>
      </w:r>
      <w:r>
        <w:rPr>
          <w:spacing w:val="-9"/>
        </w:rPr>
        <w:t> </w:t>
      </w:r>
      <w:r>
        <w:rPr/>
        <w:t>implies,</w:t>
      </w:r>
      <w:r>
        <w:rPr>
          <w:spacing w:val="-10"/>
        </w:rPr>
        <w:t> </w:t>
      </w:r>
      <w:r>
        <w:rPr/>
        <w:t>are</w:t>
      </w:r>
      <w:r>
        <w:rPr>
          <w:spacing w:val="-9"/>
        </w:rPr>
        <w:t> </w:t>
      </w:r>
      <w:r>
        <w:rPr/>
        <w:t>the</w:t>
      </w:r>
      <w:r>
        <w:rPr>
          <w:spacing w:val="-8"/>
        </w:rPr>
        <w:t> </w:t>
      </w:r>
      <w:r>
        <w:rPr/>
        <w:t>most</w:t>
      </w:r>
      <w:r>
        <w:rPr>
          <w:spacing w:val="-9"/>
        </w:rPr>
        <w:t> </w:t>
      </w:r>
      <w:r>
        <w:rPr/>
        <w:t>primitive</w:t>
      </w:r>
      <w:r>
        <w:rPr>
          <w:spacing w:val="-10"/>
        </w:rPr>
        <w:t> </w:t>
      </w:r>
      <w:r>
        <w:rPr/>
        <w:t>of</w:t>
      </w:r>
      <w:r>
        <w:rPr>
          <w:spacing w:val="-8"/>
        </w:rPr>
        <w:t> </w:t>
      </w:r>
      <w:r>
        <w:rPr/>
        <w:t>all</w:t>
      </w:r>
      <w:r>
        <w:rPr>
          <w:spacing w:val="-11"/>
        </w:rPr>
        <w:t> </w:t>
      </w:r>
      <w:r>
        <w:rPr/>
        <w:t>cell</w:t>
      </w:r>
      <w:r>
        <w:rPr>
          <w:spacing w:val="-7"/>
        </w:rPr>
        <w:t> </w:t>
      </w:r>
      <w:r>
        <w:rPr/>
        <w:t>types,</w:t>
      </w:r>
      <w:r>
        <w:rPr>
          <w:spacing w:val="-8"/>
        </w:rPr>
        <w:t> </w:t>
      </w:r>
      <w:r>
        <w:rPr/>
        <w:t>found</w:t>
      </w:r>
      <w:r>
        <w:rPr>
          <w:spacing w:val="-8"/>
        </w:rPr>
        <w:t> </w:t>
      </w:r>
      <w:r>
        <w:rPr/>
        <w:t>in embryos, foetuses and the umbilical cord, for example. Stem cells have the extraordinary ability to transform themselves into every imaginable body cell when needed, to heal injuries, to regenerate organs and even whole limbs if necessary.</w:t>
      </w:r>
    </w:p>
    <w:p>
      <w:pPr>
        <w:pStyle w:val="BodyText"/>
        <w:spacing w:line="276" w:lineRule="auto" w:before="240"/>
        <w:ind w:left="477" w:right="141"/>
        <w:jc w:val="both"/>
      </w:pPr>
      <w:r>
        <w:rPr/>
        <w:t>Stem cells are therefore the perfect starting material for all cells, so they can form fresh skin cells, hair cells, bone cells, liver cells, heart cells, etc.</w:t>
      </w:r>
    </w:p>
    <w:p>
      <w:pPr>
        <w:pStyle w:val="BodyText"/>
        <w:spacing w:line="276" w:lineRule="auto" w:before="241"/>
        <w:ind w:left="477" w:right="137"/>
        <w:jc w:val="both"/>
      </w:pPr>
      <w:r>
        <w:rPr/>
        <w:t>Possibilities that can counteract the worst injuries, diseases and even biological ageing.</w:t>
      </w:r>
    </w:p>
    <w:p>
      <w:pPr>
        <w:pStyle w:val="BodyText"/>
        <w:spacing w:line="276" w:lineRule="auto" w:before="240"/>
        <w:ind w:left="477" w:right="139"/>
        <w:jc w:val="both"/>
      </w:pPr>
      <w:r>
        <w:rPr/>
        <w:t>While</w:t>
      </w:r>
      <w:r>
        <w:rPr>
          <w:spacing w:val="-15"/>
        </w:rPr>
        <w:t> </w:t>
      </w:r>
      <w:r>
        <w:rPr/>
        <w:t>these</w:t>
      </w:r>
      <w:r>
        <w:rPr>
          <w:spacing w:val="-13"/>
        </w:rPr>
        <w:t> </w:t>
      </w:r>
      <w:r>
        <w:rPr/>
        <w:t>are</w:t>
      </w:r>
      <w:r>
        <w:rPr>
          <w:spacing w:val="-13"/>
        </w:rPr>
        <w:t> </w:t>
      </w:r>
      <w:r>
        <w:rPr/>
        <w:t>well-known</w:t>
      </w:r>
      <w:r>
        <w:rPr>
          <w:spacing w:val="-13"/>
        </w:rPr>
        <w:t> </w:t>
      </w:r>
      <w:r>
        <w:rPr/>
        <w:t>facts</w:t>
      </w:r>
      <w:r>
        <w:rPr>
          <w:spacing w:val="-12"/>
        </w:rPr>
        <w:t> </w:t>
      </w:r>
      <w:r>
        <w:rPr/>
        <w:t>about</w:t>
      </w:r>
      <w:r>
        <w:rPr>
          <w:spacing w:val="-15"/>
        </w:rPr>
        <w:t> </w:t>
      </w:r>
      <w:r>
        <w:rPr/>
        <w:t>stem</w:t>
      </w:r>
      <w:r>
        <w:rPr>
          <w:spacing w:val="-12"/>
        </w:rPr>
        <w:t> </w:t>
      </w:r>
      <w:r>
        <w:rPr/>
        <w:t>cell</w:t>
      </w:r>
      <w:r>
        <w:rPr>
          <w:spacing w:val="-12"/>
        </w:rPr>
        <w:t> </w:t>
      </w:r>
      <w:r>
        <w:rPr/>
        <w:t>research,</w:t>
      </w:r>
      <w:r>
        <w:rPr>
          <w:spacing w:val="-12"/>
        </w:rPr>
        <w:t> </w:t>
      </w:r>
      <w:r>
        <w:rPr/>
        <w:t>it</w:t>
      </w:r>
      <w:r>
        <w:rPr>
          <w:spacing w:val="-14"/>
        </w:rPr>
        <w:t> </w:t>
      </w:r>
      <w:r>
        <w:rPr/>
        <w:t>is</w:t>
      </w:r>
      <w:r>
        <w:rPr>
          <w:spacing w:val="-13"/>
        </w:rPr>
        <w:t> </w:t>
      </w:r>
      <w:r>
        <w:rPr/>
        <w:t>an</w:t>
      </w:r>
      <w:r>
        <w:rPr>
          <w:spacing w:val="-14"/>
        </w:rPr>
        <w:t> </w:t>
      </w:r>
      <w:r>
        <w:rPr/>
        <w:t>absolute</w:t>
      </w:r>
      <w:r>
        <w:rPr>
          <w:spacing w:val="-14"/>
        </w:rPr>
        <w:t> </w:t>
      </w:r>
      <w:r>
        <w:rPr/>
        <w:t>nov- elty in medicine that these stem cells can also be naturally produced, and our body</w:t>
      </w:r>
      <w:r>
        <w:rPr>
          <w:spacing w:val="19"/>
        </w:rPr>
        <w:t> </w:t>
      </w:r>
      <w:r>
        <w:rPr/>
        <w:t>can</w:t>
      </w:r>
      <w:r>
        <w:rPr>
          <w:spacing w:val="21"/>
        </w:rPr>
        <w:t> </w:t>
      </w:r>
      <w:r>
        <w:rPr/>
        <w:t>create</w:t>
      </w:r>
      <w:r>
        <w:rPr>
          <w:spacing w:val="17"/>
        </w:rPr>
        <w:t> </w:t>
      </w:r>
      <w:r>
        <w:rPr/>
        <w:t>the</w:t>
      </w:r>
      <w:r>
        <w:rPr>
          <w:spacing w:val="21"/>
        </w:rPr>
        <w:t> </w:t>
      </w:r>
      <w:r>
        <w:rPr/>
        <w:t>number</w:t>
      </w:r>
      <w:r>
        <w:rPr>
          <w:spacing w:val="21"/>
        </w:rPr>
        <w:t> </w:t>
      </w:r>
      <w:r>
        <w:rPr/>
        <w:t>of</w:t>
      </w:r>
      <w:r>
        <w:rPr>
          <w:spacing w:val="18"/>
        </w:rPr>
        <w:t> </w:t>
      </w:r>
      <w:r>
        <w:rPr/>
        <w:t>stem</w:t>
      </w:r>
      <w:r>
        <w:rPr>
          <w:spacing w:val="21"/>
        </w:rPr>
        <w:t> </w:t>
      </w:r>
      <w:r>
        <w:rPr/>
        <w:t>cells</w:t>
      </w:r>
      <w:r>
        <w:rPr>
          <w:spacing w:val="20"/>
        </w:rPr>
        <w:t> </w:t>
      </w:r>
      <w:r>
        <w:rPr/>
        <w:t>it</w:t>
      </w:r>
      <w:r>
        <w:rPr>
          <w:spacing w:val="19"/>
        </w:rPr>
        <w:t> </w:t>
      </w:r>
      <w:r>
        <w:rPr/>
        <w:t>needs</w:t>
      </w:r>
      <w:r>
        <w:rPr>
          <w:spacing w:val="19"/>
        </w:rPr>
        <w:t> </w:t>
      </w:r>
      <w:r>
        <w:rPr/>
        <w:t>to</w:t>
      </w:r>
      <w:r>
        <w:rPr>
          <w:spacing w:val="21"/>
        </w:rPr>
        <w:t> </w:t>
      </w:r>
      <w:r>
        <w:rPr/>
        <w:t>heal</w:t>
      </w:r>
      <w:r>
        <w:rPr>
          <w:spacing w:val="19"/>
        </w:rPr>
        <w:t> </w:t>
      </w:r>
      <w:r>
        <w:rPr/>
        <w:t>a</w:t>
      </w:r>
      <w:r>
        <w:rPr>
          <w:spacing w:val="19"/>
        </w:rPr>
        <w:t> </w:t>
      </w:r>
      <w:r>
        <w:rPr/>
        <w:t>wound,</w:t>
      </w:r>
      <w:r>
        <w:rPr>
          <w:spacing w:val="21"/>
        </w:rPr>
        <w:t> </w:t>
      </w:r>
      <w:r>
        <w:rPr/>
        <w:t>a</w:t>
      </w:r>
      <w:r>
        <w:rPr>
          <w:spacing w:val="19"/>
        </w:rPr>
        <w:t> </w:t>
      </w:r>
      <w:r>
        <w:rPr/>
        <w:t>limb</w:t>
      </w:r>
      <w:r>
        <w:rPr>
          <w:spacing w:val="20"/>
        </w:rPr>
        <w:t> </w:t>
      </w:r>
      <w:r>
        <w:rPr/>
        <w:t>or</w:t>
      </w:r>
    </w:p>
    <w:p>
      <w:pPr>
        <w:spacing w:after="0" w:line="276" w:lineRule="auto"/>
        <w:jc w:val="both"/>
        <w:sectPr>
          <w:pgSz w:w="14270" w:h="16850"/>
          <w:pgMar w:header="0" w:footer="1891" w:top="1600" w:bottom="2080" w:left="800" w:right="1280"/>
        </w:sectPr>
      </w:pPr>
    </w:p>
    <w:p>
      <w:pPr>
        <w:pStyle w:val="BodyText"/>
        <w:spacing w:line="276" w:lineRule="auto" w:before="181"/>
        <w:ind w:left="477" w:right="138"/>
        <w:jc w:val="both"/>
      </w:pPr>
      <w:r>
        <w:rPr/>
        <w:t>organ itself and can direct the produced stem cells to the respective organ that is damaged!</w:t>
      </w:r>
    </w:p>
    <w:p>
      <w:pPr>
        <w:pStyle w:val="BodyText"/>
        <w:spacing w:line="276" w:lineRule="auto" w:before="241"/>
        <w:ind w:left="477" w:right="136"/>
        <w:jc w:val="both"/>
      </w:pPr>
      <w:r>
        <w:rPr/>
        <w:t>Even</w:t>
      </w:r>
      <w:r>
        <w:rPr>
          <w:spacing w:val="-6"/>
        </w:rPr>
        <w:t> </w:t>
      </w:r>
      <w:r>
        <w:rPr/>
        <w:t>more</w:t>
      </w:r>
      <w:r>
        <w:rPr>
          <w:spacing w:val="-8"/>
        </w:rPr>
        <w:t> </w:t>
      </w:r>
      <w:r>
        <w:rPr/>
        <w:t>astonishing,</w:t>
      </w:r>
      <w:r>
        <w:rPr>
          <w:spacing w:val="-8"/>
        </w:rPr>
        <w:t> </w:t>
      </w:r>
      <w:r>
        <w:rPr/>
        <w:t>however,</w:t>
      </w:r>
      <w:r>
        <w:rPr>
          <w:spacing w:val="-6"/>
        </w:rPr>
        <w:t> </w:t>
      </w:r>
      <w:r>
        <w:rPr/>
        <w:t>is</w:t>
      </w:r>
      <w:r>
        <w:rPr>
          <w:spacing w:val="-9"/>
        </w:rPr>
        <w:t> </w:t>
      </w:r>
      <w:r>
        <w:rPr/>
        <w:t>the</w:t>
      </w:r>
      <w:r>
        <w:rPr>
          <w:spacing w:val="-8"/>
        </w:rPr>
        <w:t> </w:t>
      </w:r>
      <w:r>
        <w:rPr/>
        <w:t>fact</w:t>
      </w:r>
      <w:r>
        <w:rPr>
          <w:spacing w:val="-8"/>
        </w:rPr>
        <w:t> </w:t>
      </w:r>
      <w:r>
        <w:rPr/>
        <w:t>that</w:t>
      </w:r>
      <w:r>
        <w:rPr>
          <w:spacing w:val="-9"/>
        </w:rPr>
        <w:t> </w:t>
      </w:r>
      <w:r>
        <w:rPr/>
        <w:t>each</w:t>
      </w:r>
      <w:r>
        <w:rPr>
          <w:spacing w:val="-8"/>
        </w:rPr>
        <w:t> </w:t>
      </w:r>
      <w:r>
        <w:rPr/>
        <w:t>of</w:t>
      </w:r>
      <w:r>
        <w:rPr>
          <w:spacing w:val="-7"/>
        </w:rPr>
        <w:t> </w:t>
      </w:r>
      <w:r>
        <w:rPr/>
        <w:t>us</w:t>
      </w:r>
      <w:r>
        <w:rPr>
          <w:spacing w:val="-10"/>
        </w:rPr>
        <w:t> </w:t>
      </w:r>
      <w:r>
        <w:rPr/>
        <w:t>can</w:t>
      </w:r>
      <w:r>
        <w:rPr>
          <w:spacing w:val="-6"/>
        </w:rPr>
        <w:t> </w:t>
      </w:r>
      <w:r>
        <w:rPr/>
        <w:t>easily</w:t>
      </w:r>
      <w:r>
        <w:rPr>
          <w:spacing w:val="-8"/>
        </w:rPr>
        <w:t> </w:t>
      </w:r>
      <w:r>
        <w:rPr/>
        <w:t>and</w:t>
      </w:r>
      <w:r>
        <w:rPr>
          <w:spacing w:val="-7"/>
        </w:rPr>
        <w:t> </w:t>
      </w:r>
      <w:r>
        <w:rPr/>
        <w:t>inex- pensively stimulate our own body to produce the necessary amount of stem cells in order to subsequently convert them into the tissue form required at a given time!</w:t>
      </w:r>
    </w:p>
    <w:p>
      <w:pPr>
        <w:pStyle w:val="BodyText"/>
        <w:spacing w:line="276" w:lineRule="auto" w:before="240"/>
        <w:ind w:left="477" w:right="133"/>
        <w:jc w:val="both"/>
      </w:pPr>
      <w:r>
        <w:rPr/>
        <w:t>As</w:t>
      </w:r>
      <w:r>
        <w:rPr>
          <w:spacing w:val="-9"/>
        </w:rPr>
        <w:t> </w:t>
      </w:r>
      <w:r>
        <w:rPr/>
        <w:t>Prof.</w:t>
      </w:r>
      <w:r>
        <w:rPr>
          <w:spacing w:val="-11"/>
        </w:rPr>
        <w:t> </w:t>
      </w:r>
      <w:r>
        <w:rPr/>
        <w:t>Becker</w:t>
      </w:r>
      <w:r>
        <w:rPr>
          <w:spacing w:val="-12"/>
        </w:rPr>
        <w:t> </w:t>
      </w:r>
      <w:r>
        <w:rPr/>
        <w:t>was</w:t>
      </w:r>
      <w:r>
        <w:rPr>
          <w:spacing w:val="-9"/>
        </w:rPr>
        <w:t> </w:t>
      </w:r>
      <w:r>
        <w:rPr/>
        <w:t>able</w:t>
      </w:r>
      <w:r>
        <w:rPr>
          <w:spacing w:val="-9"/>
        </w:rPr>
        <w:t> </w:t>
      </w:r>
      <w:r>
        <w:rPr/>
        <w:t>to</w:t>
      </w:r>
      <w:r>
        <w:rPr>
          <w:spacing w:val="-11"/>
        </w:rPr>
        <w:t> </w:t>
      </w:r>
      <w:r>
        <w:rPr/>
        <w:t>establish</w:t>
      </w:r>
      <w:r>
        <w:rPr>
          <w:spacing w:val="-8"/>
        </w:rPr>
        <w:t> </w:t>
      </w:r>
      <w:r>
        <w:rPr/>
        <w:t>this</w:t>
      </w:r>
      <w:r>
        <w:rPr>
          <w:spacing w:val="-9"/>
        </w:rPr>
        <w:t> </w:t>
      </w:r>
      <w:r>
        <w:rPr/>
        <w:t>–</w:t>
      </w:r>
      <w:r>
        <w:rPr>
          <w:spacing w:val="-12"/>
        </w:rPr>
        <w:t> </w:t>
      </w:r>
      <w:r>
        <w:rPr/>
        <w:t>the</w:t>
      </w:r>
      <w:r>
        <w:rPr>
          <w:spacing w:val="-10"/>
        </w:rPr>
        <w:t> </w:t>
      </w:r>
      <w:r>
        <w:rPr/>
        <w:t>prerequisite</w:t>
      </w:r>
      <w:r>
        <w:rPr>
          <w:spacing w:val="-10"/>
        </w:rPr>
        <w:t> </w:t>
      </w:r>
      <w:r>
        <w:rPr/>
        <w:t>for</w:t>
      </w:r>
      <w:r>
        <w:rPr>
          <w:spacing w:val="-7"/>
        </w:rPr>
        <w:t> </w:t>
      </w:r>
      <w:r>
        <w:rPr/>
        <w:t>this</w:t>
      </w:r>
      <w:r>
        <w:rPr>
          <w:spacing w:val="-9"/>
        </w:rPr>
        <w:t> </w:t>
      </w:r>
      <w:r>
        <w:rPr/>
        <w:t>is</w:t>
      </w:r>
      <w:r>
        <w:rPr>
          <w:spacing w:val="-12"/>
        </w:rPr>
        <w:t> </w:t>
      </w:r>
      <w:r>
        <w:rPr/>
        <w:t>the</w:t>
      </w:r>
      <w:r>
        <w:rPr>
          <w:spacing w:val="-10"/>
        </w:rPr>
        <w:t> </w:t>
      </w:r>
      <w:r>
        <w:rPr/>
        <w:t>exter- nal</w:t>
      </w:r>
      <w:r>
        <w:rPr>
          <w:spacing w:val="-17"/>
        </w:rPr>
        <w:t> </w:t>
      </w:r>
      <w:r>
        <w:rPr/>
        <w:t>delivery</w:t>
      </w:r>
      <w:r>
        <w:rPr>
          <w:spacing w:val="-15"/>
        </w:rPr>
        <w:t> </w:t>
      </w:r>
      <w:r>
        <w:rPr/>
        <w:t>of</w:t>
      </w:r>
      <w:r>
        <w:rPr>
          <w:spacing w:val="-15"/>
        </w:rPr>
        <w:t> </w:t>
      </w:r>
      <w:r>
        <w:rPr/>
        <w:t>sufficiently</w:t>
      </w:r>
      <w:r>
        <w:rPr>
          <w:spacing w:val="-15"/>
        </w:rPr>
        <w:t> </w:t>
      </w:r>
      <w:r>
        <w:rPr/>
        <w:t>positively</w:t>
      </w:r>
      <w:r>
        <w:rPr>
          <w:spacing w:val="-16"/>
        </w:rPr>
        <w:t> </w:t>
      </w:r>
      <w:r>
        <w:rPr/>
        <w:t>charged</w:t>
      </w:r>
      <w:r>
        <w:rPr>
          <w:spacing w:val="-16"/>
        </w:rPr>
        <w:t> </w:t>
      </w:r>
      <w:r>
        <w:rPr/>
        <w:t>silver</w:t>
      </w:r>
      <w:r>
        <w:rPr>
          <w:spacing w:val="-15"/>
        </w:rPr>
        <w:t> </w:t>
      </w:r>
      <w:r>
        <w:rPr/>
        <w:t>ions</w:t>
      </w:r>
      <w:r>
        <w:rPr>
          <w:spacing w:val="-15"/>
        </w:rPr>
        <w:t> </w:t>
      </w:r>
      <w:r>
        <w:rPr/>
        <w:t>(silver</w:t>
      </w:r>
      <w:r>
        <w:rPr>
          <w:spacing w:val="-15"/>
        </w:rPr>
        <w:t> </w:t>
      </w:r>
      <w:r>
        <w:rPr/>
        <w:t>particles)</w:t>
      </w:r>
      <w:r>
        <w:rPr>
          <w:spacing w:val="-16"/>
        </w:rPr>
        <w:t> </w:t>
      </w:r>
      <w:r>
        <w:rPr/>
        <w:t>–</w:t>
      </w:r>
      <w:r>
        <w:rPr>
          <w:spacing w:val="-15"/>
        </w:rPr>
        <w:t> </w:t>
      </w:r>
      <w:r>
        <w:rPr/>
        <w:t>in</w:t>
      </w:r>
      <w:r>
        <w:rPr>
          <w:spacing w:val="-15"/>
        </w:rPr>
        <w:t> </w:t>
      </w:r>
      <w:r>
        <w:rPr/>
        <w:t>the form of so-called colloidal</w:t>
      </w:r>
      <w:r>
        <w:rPr>
          <w:spacing w:val="-1"/>
        </w:rPr>
        <w:t> </w:t>
      </w:r>
      <w:r>
        <w:rPr/>
        <w:t>silver.</w:t>
      </w:r>
    </w:p>
    <w:p>
      <w:pPr>
        <w:pStyle w:val="BodyText"/>
        <w:spacing w:line="276" w:lineRule="auto" w:before="241"/>
        <w:ind w:left="477" w:right="133"/>
        <w:jc w:val="both"/>
      </w:pPr>
      <w:r>
        <w:rPr/>
        <w:t>In his seven years of research work, Prof. Dr. Robert O. Becker demonstrated that low DC electrical current flowing between a positive and negative silver electrode</w:t>
      </w:r>
      <w:r>
        <w:rPr>
          <w:spacing w:val="-9"/>
        </w:rPr>
        <w:t> </w:t>
      </w:r>
      <w:r>
        <w:rPr/>
        <w:t>is</w:t>
      </w:r>
      <w:r>
        <w:rPr>
          <w:spacing w:val="-11"/>
        </w:rPr>
        <w:t> </w:t>
      </w:r>
      <w:r>
        <w:rPr/>
        <w:t>able</w:t>
      </w:r>
      <w:r>
        <w:rPr>
          <w:spacing w:val="-11"/>
        </w:rPr>
        <w:t> </w:t>
      </w:r>
      <w:r>
        <w:rPr/>
        <w:t>to</w:t>
      </w:r>
      <w:r>
        <w:rPr>
          <w:spacing w:val="-8"/>
        </w:rPr>
        <w:t> </w:t>
      </w:r>
      <w:r>
        <w:rPr/>
        <w:t>strongly</w:t>
      </w:r>
      <w:r>
        <w:rPr>
          <w:spacing w:val="-9"/>
        </w:rPr>
        <w:t> </w:t>
      </w:r>
      <w:r>
        <w:rPr/>
        <w:t>promote</w:t>
      </w:r>
      <w:r>
        <w:rPr>
          <w:spacing w:val="-9"/>
        </w:rPr>
        <w:t> </w:t>
      </w:r>
      <w:r>
        <w:rPr/>
        <w:t>the</w:t>
      </w:r>
      <w:r>
        <w:rPr>
          <w:spacing w:val="-9"/>
        </w:rPr>
        <w:t> </w:t>
      </w:r>
      <w:r>
        <w:rPr/>
        <w:t>healing</w:t>
      </w:r>
      <w:r>
        <w:rPr>
          <w:spacing w:val="-8"/>
        </w:rPr>
        <w:t> </w:t>
      </w:r>
      <w:r>
        <w:rPr/>
        <w:t>properties</w:t>
      </w:r>
      <w:r>
        <w:rPr>
          <w:spacing w:val="-10"/>
        </w:rPr>
        <w:t> </w:t>
      </w:r>
      <w:r>
        <w:rPr/>
        <w:t>of</w:t>
      </w:r>
      <w:r>
        <w:rPr>
          <w:spacing w:val="-8"/>
        </w:rPr>
        <w:t> </w:t>
      </w:r>
      <w:r>
        <w:rPr/>
        <w:t>tissue.</w:t>
      </w:r>
      <w:r>
        <w:rPr>
          <w:spacing w:val="-8"/>
        </w:rPr>
        <w:t> </w:t>
      </w:r>
      <w:r>
        <w:rPr/>
        <w:t>Healing</w:t>
      </w:r>
      <w:r>
        <w:rPr>
          <w:spacing w:val="-8"/>
        </w:rPr>
        <w:t> </w:t>
      </w:r>
      <w:r>
        <w:rPr/>
        <w:t>is accelerated</w:t>
      </w:r>
      <w:r>
        <w:rPr>
          <w:spacing w:val="-15"/>
        </w:rPr>
        <w:t> </w:t>
      </w:r>
      <w:r>
        <w:rPr/>
        <w:t>by</w:t>
      </w:r>
      <w:r>
        <w:rPr>
          <w:spacing w:val="-14"/>
        </w:rPr>
        <w:t> </w:t>
      </w:r>
      <w:r>
        <w:rPr/>
        <w:t>about</w:t>
      </w:r>
      <w:r>
        <w:rPr>
          <w:spacing w:val="-15"/>
        </w:rPr>
        <w:t> </w:t>
      </w:r>
      <w:r>
        <w:rPr/>
        <w:t>50</w:t>
      </w:r>
      <w:r>
        <w:rPr>
          <w:spacing w:val="-10"/>
        </w:rPr>
        <w:t> </w:t>
      </w:r>
      <w:r>
        <w:rPr/>
        <w:t>%,</w:t>
      </w:r>
      <w:r>
        <w:rPr>
          <w:spacing w:val="-13"/>
        </w:rPr>
        <w:t> </w:t>
      </w:r>
      <w:r>
        <w:rPr/>
        <w:t>but</w:t>
      </w:r>
      <w:r>
        <w:rPr>
          <w:spacing w:val="-15"/>
        </w:rPr>
        <w:t> </w:t>
      </w:r>
      <w:r>
        <w:rPr/>
        <w:t>even</w:t>
      </w:r>
      <w:r>
        <w:rPr>
          <w:spacing w:val="-12"/>
        </w:rPr>
        <w:t> </w:t>
      </w:r>
      <w:r>
        <w:rPr/>
        <w:t>more</w:t>
      </w:r>
      <w:r>
        <w:rPr>
          <w:spacing w:val="-14"/>
        </w:rPr>
        <w:t> </w:t>
      </w:r>
      <w:r>
        <w:rPr/>
        <w:t>astonishing</w:t>
      </w:r>
      <w:r>
        <w:rPr>
          <w:spacing w:val="-14"/>
        </w:rPr>
        <w:t> </w:t>
      </w:r>
      <w:r>
        <w:rPr/>
        <w:t>is</w:t>
      </w:r>
      <w:r>
        <w:rPr>
          <w:spacing w:val="-13"/>
        </w:rPr>
        <w:t> </w:t>
      </w:r>
      <w:r>
        <w:rPr/>
        <w:t>the</w:t>
      </w:r>
      <w:r>
        <w:rPr>
          <w:spacing w:val="-13"/>
        </w:rPr>
        <w:t> </w:t>
      </w:r>
      <w:r>
        <w:rPr/>
        <w:t>fact</w:t>
      </w:r>
      <w:r>
        <w:rPr>
          <w:spacing w:val="-17"/>
        </w:rPr>
        <w:t> </w:t>
      </w:r>
      <w:r>
        <w:rPr/>
        <w:t>that</w:t>
      </w:r>
      <w:r>
        <w:rPr>
          <w:spacing w:val="-13"/>
        </w:rPr>
        <w:t> </w:t>
      </w:r>
      <w:r>
        <w:rPr/>
        <w:t>fully</w:t>
      </w:r>
      <w:r>
        <w:rPr>
          <w:spacing w:val="-15"/>
        </w:rPr>
        <w:t> </w:t>
      </w:r>
      <w:r>
        <w:rPr/>
        <w:t>func- tional,</w:t>
      </w:r>
      <w:r>
        <w:rPr>
          <w:spacing w:val="-8"/>
        </w:rPr>
        <w:t> </w:t>
      </w:r>
      <w:r>
        <w:rPr/>
        <w:t>scar-free,</w:t>
      </w:r>
      <w:r>
        <w:rPr>
          <w:spacing w:val="-8"/>
        </w:rPr>
        <w:t> </w:t>
      </w:r>
      <w:r>
        <w:rPr/>
        <w:t>healthy</w:t>
      </w:r>
      <w:r>
        <w:rPr>
          <w:spacing w:val="-7"/>
        </w:rPr>
        <w:t> </w:t>
      </w:r>
      <w:r>
        <w:rPr/>
        <w:t>tissue</w:t>
      </w:r>
      <w:r>
        <w:rPr>
          <w:spacing w:val="-7"/>
        </w:rPr>
        <w:t> </w:t>
      </w:r>
      <w:r>
        <w:rPr/>
        <w:t>will</w:t>
      </w:r>
      <w:r>
        <w:rPr>
          <w:spacing w:val="-7"/>
        </w:rPr>
        <w:t> </w:t>
      </w:r>
      <w:r>
        <w:rPr/>
        <w:t>regrow</w:t>
      </w:r>
      <w:r>
        <w:rPr>
          <w:spacing w:val="-7"/>
        </w:rPr>
        <w:t> </w:t>
      </w:r>
      <w:r>
        <w:rPr/>
        <w:t>even</w:t>
      </w:r>
      <w:r>
        <w:rPr>
          <w:spacing w:val="-7"/>
        </w:rPr>
        <w:t> </w:t>
      </w:r>
      <w:r>
        <w:rPr/>
        <w:t>in</w:t>
      </w:r>
      <w:r>
        <w:rPr>
          <w:spacing w:val="-9"/>
        </w:rPr>
        <w:t> </w:t>
      </w:r>
      <w:r>
        <w:rPr/>
        <w:t>wounds</w:t>
      </w:r>
      <w:r>
        <w:rPr>
          <w:spacing w:val="-6"/>
        </w:rPr>
        <w:t> </w:t>
      </w:r>
      <w:r>
        <w:rPr/>
        <w:t>that</w:t>
      </w:r>
      <w:r>
        <w:rPr>
          <w:spacing w:val="-7"/>
        </w:rPr>
        <w:t> </w:t>
      </w:r>
      <w:r>
        <w:rPr/>
        <w:t>would</w:t>
      </w:r>
      <w:r>
        <w:rPr>
          <w:spacing w:val="-7"/>
        </w:rPr>
        <w:t> </w:t>
      </w:r>
      <w:r>
        <w:rPr/>
        <w:t>normally leave large craters or never completely heal. A complete cure and recovery in such extreme cases is always solely attributable to the promotion of stem cell production in the</w:t>
      </w:r>
      <w:r>
        <w:rPr>
          <w:spacing w:val="2"/>
        </w:rPr>
        <w:t> </w:t>
      </w:r>
      <w:r>
        <w:rPr/>
        <w:t>body!</w:t>
      </w:r>
    </w:p>
    <w:p>
      <w:pPr>
        <w:pStyle w:val="BodyText"/>
        <w:spacing w:line="276" w:lineRule="auto" w:before="241"/>
        <w:ind w:left="477" w:right="131"/>
        <w:jc w:val="both"/>
      </w:pPr>
      <w:r>
        <w:rPr/>
        <w:t>The procedure is so successful that a patient’s finger that had been crushed in an accident completely recovered in just two and a half months – with positive functional tests, nerve conduction and blood flow.</w:t>
      </w:r>
    </w:p>
    <w:p>
      <w:pPr>
        <w:spacing w:after="0" w:line="276" w:lineRule="auto"/>
        <w:jc w:val="both"/>
        <w:sectPr>
          <w:footerReference w:type="default" r:id="rId178"/>
          <w:pgSz w:w="14270" w:h="16850"/>
          <w:pgMar w:footer="1891" w:header="0" w:top="1600" w:bottom="2080" w:left="800" w:right="1280"/>
          <w:pgNumType w:start="710"/>
        </w:sectPr>
      </w:pPr>
    </w:p>
    <w:p>
      <w:pPr>
        <w:pStyle w:val="BodyText"/>
        <w:spacing w:line="276" w:lineRule="auto" w:before="181"/>
        <w:ind w:left="477" w:right="138"/>
        <w:jc w:val="both"/>
      </w:pPr>
      <w:r>
        <w:rPr/>
        <w:t>Left untreated, the finger would soon turn black and fall off, and in fact the orthopaedists recommended an amputation of the finger – but the patient re- fused and, fortunately, opted for silver ion therapy!</w:t>
      </w:r>
    </w:p>
    <w:p>
      <w:pPr>
        <w:pStyle w:val="BodyText"/>
        <w:tabs>
          <w:tab w:pos="9260" w:val="left" w:leader="none"/>
        </w:tabs>
        <w:spacing w:line="276" w:lineRule="auto" w:before="242"/>
        <w:ind w:left="477" w:right="143"/>
        <w:jc w:val="both"/>
      </w:pPr>
      <w:r>
        <w:rPr/>
        <w:t>See        corresponding     </w:t>
      </w:r>
      <w:r>
        <w:rPr>
          <w:spacing w:val="88"/>
        </w:rPr>
        <w:t> </w:t>
      </w:r>
      <w:r>
        <w:rPr/>
        <w:t>pictures      </w:t>
      </w:r>
      <w:r>
        <w:rPr>
          <w:spacing w:val="46"/>
        </w:rPr>
        <w:t> </w:t>
      </w:r>
      <w:r>
        <w:rPr/>
        <w:t>here:</w:t>
        <w:tab/>
        <w:t>http://www.rexre- search.com/becker/becker1.htm</w:t>
      </w:r>
    </w:p>
    <w:p>
      <w:pPr>
        <w:pStyle w:val="BodyText"/>
        <w:spacing w:line="276" w:lineRule="auto" w:before="238"/>
        <w:ind w:left="477" w:right="138"/>
        <w:jc w:val="both"/>
      </w:pPr>
      <w:r>
        <w:rPr/>
        <w:t>It is precisely these positively charged silver particles that stimulate stem cell production</w:t>
      </w:r>
      <w:r>
        <w:rPr>
          <w:spacing w:val="-10"/>
        </w:rPr>
        <w:t> </w:t>
      </w:r>
      <w:r>
        <w:rPr/>
        <w:t>in</w:t>
      </w:r>
      <w:r>
        <w:rPr>
          <w:spacing w:val="-9"/>
        </w:rPr>
        <w:t> </w:t>
      </w:r>
      <w:r>
        <w:rPr/>
        <w:t>our</w:t>
      </w:r>
      <w:r>
        <w:rPr>
          <w:spacing w:val="-10"/>
        </w:rPr>
        <w:t> </w:t>
      </w:r>
      <w:r>
        <w:rPr/>
        <w:t>bodies,</w:t>
      </w:r>
      <w:r>
        <w:rPr>
          <w:spacing w:val="-9"/>
        </w:rPr>
        <w:t> </w:t>
      </w:r>
      <w:r>
        <w:rPr/>
        <w:t>resulting</w:t>
      </w:r>
      <w:r>
        <w:rPr>
          <w:spacing w:val="-9"/>
        </w:rPr>
        <w:t> </w:t>
      </w:r>
      <w:r>
        <w:rPr/>
        <w:t>in</w:t>
      </w:r>
      <w:r>
        <w:rPr>
          <w:spacing w:val="-9"/>
        </w:rPr>
        <w:t> </w:t>
      </w:r>
      <w:r>
        <w:rPr/>
        <w:t>fresh</w:t>
      </w:r>
      <w:r>
        <w:rPr>
          <w:spacing w:val="-11"/>
        </w:rPr>
        <w:t> </w:t>
      </w:r>
      <w:r>
        <w:rPr/>
        <w:t>stem</w:t>
      </w:r>
      <w:r>
        <w:rPr>
          <w:spacing w:val="-11"/>
        </w:rPr>
        <w:t> </w:t>
      </w:r>
      <w:r>
        <w:rPr/>
        <w:t>cells</w:t>
      </w:r>
      <w:r>
        <w:rPr>
          <w:spacing w:val="-9"/>
        </w:rPr>
        <w:t> </w:t>
      </w:r>
      <w:r>
        <w:rPr/>
        <w:t>that</w:t>
      </w:r>
      <w:r>
        <w:rPr>
          <w:spacing w:val="-10"/>
        </w:rPr>
        <w:t> </w:t>
      </w:r>
      <w:r>
        <w:rPr/>
        <w:t>have</w:t>
      </w:r>
      <w:r>
        <w:rPr>
          <w:spacing w:val="-9"/>
        </w:rPr>
        <w:t> </w:t>
      </w:r>
      <w:r>
        <w:rPr/>
        <w:t>our</w:t>
      </w:r>
      <w:r>
        <w:rPr>
          <w:spacing w:val="-9"/>
        </w:rPr>
        <w:t> </w:t>
      </w:r>
      <w:r>
        <w:rPr/>
        <w:t>body's</w:t>
      </w:r>
      <w:r>
        <w:rPr>
          <w:spacing w:val="-9"/>
        </w:rPr>
        <w:t> </w:t>
      </w:r>
      <w:r>
        <w:rPr/>
        <w:t>own DNA and are actually able not only to promote the healing of minor injuries, but also to reconstruct entire human (and animal)</w:t>
      </w:r>
      <w:r>
        <w:rPr>
          <w:spacing w:val="-2"/>
        </w:rPr>
        <w:t> </w:t>
      </w:r>
      <w:r>
        <w:rPr/>
        <w:t>limbs!</w:t>
      </w:r>
    </w:p>
    <w:p>
      <w:pPr>
        <w:pStyle w:val="BodyText"/>
        <w:spacing w:line="276" w:lineRule="auto" w:before="242"/>
        <w:ind w:left="477" w:right="131"/>
        <w:jc w:val="both"/>
      </w:pPr>
      <w:r>
        <w:rPr/>
        <w:t>Unlike colloidal silver produced by the Bredig process, silver nitrate produced by pulverisation of silver is toxic and can lead to argyria (blue discolouration</w:t>
      </w:r>
      <w:r>
        <w:rPr>
          <w:spacing w:val="-58"/>
        </w:rPr>
        <w:t> </w:t>
      </w:r>
      <w:r>
        <w:rPr/>
        <w:t>of the skin – the preferred deterrent of the pharmaceutical industry for warning against</w:t>
      </w:r>
      <w:r>
        <w:rPr>
          <w:spacing w:val="-10"/>
        </w:rPr>
        <w:t> </w:t>
      </w:r>
      <w:r>
        <w:rPr/>
        <w:t>colloidal</w:t>
      </w:r>
      <w:r>
        <w:rPr>
          <w:spacing w:val="-9"/>
        </w:rPr>
        <w:t> </w:t>
      </w:r>
      <w:r>
        <w:rPr/>
        <w:t>silver).</w:t>
      </w:r>
      <w:r>
        <w:rPr>
          <w:spacing w:val="-9"/>
        </w:rPr>
        <w:t> </w:t>
      </w:r>
      <w:r>
        <w:rPr/>
        <w:t>The</w:t>
      </w:r>
      <w:r>
        <w:rPr>
          <w:spacing w:val="-9"/>
        </w:rPr>
        <w:t> </w:t>
      </w:r>
      <w:r>
        <w:rPr/>
        <w:t>colloidal</w:t>
      </w:r>
      <w:r>
        <w:rPr>
          <w:spacing w:val="-11"/>
        </w:rPr>
        <w:t> </w:t>
      </w:r>
      <w:r>
        <w:rPr/>
        <w:t>silver</w:t>
      </w:r>
      <w:r>
        <w:rPr>
          <w:spacing w:val="-9"/>
        </w:rPr>
        <w:t> </w:t>
      </w:r>
      <w:r>
        <w:rPr/>
        <w:t>produced</w:t>
      </w:r>
      <w:r>
        <w:rPr>
          <w:spacing w:val="-9"/>
        </w:rPr>
        <w:t> </w:t>
      </w:r>
      <w:r>
        <w:rPr/>
        <w:t>by</w:t>
      </w:r>
      <w:r>
        <w:rPr>
          <w:spacing w:val="-9"/>
        </w:rPr>
        <w:t> </w:t>
      </w:r>
      <w:r>
        <w:rPr/>
        <w:t>the</w:t>
      </w:r>
      <w:r>
        <w:rPr>
          <w:spacing w:val="-11"/>
        </w:rPr>
        <w:t> </w:t>
      </w:r>
      <w:r>
        <w:rPr/>
        <w:t>Bredig</w:t>
      </w:r>
      <w:r>
        <w:rPr>
          <w:spacing w:val="-9"/>
        </w:rPr>
        <w:t> </w:t>
      </w:r>
      <w:r>
        <w:rPr/>
        <w:t>method</w:t>
      </w:r>
      <w:r>
        <w:rPr>
          <w:spacing w:val="-9"/>
        </w:rPr>
        <w:t> </w:t>
      </w:r>
      <w:r>
        <w:rPr/>
        <w:t>de- scribed above is non-toxic and cannot lead to</w:t>
      </w:r>
      <w:r>
        <w:rPr>
          <w:spacing w:val="-2"/>
        </w:rPr>
        <w:t> </w:t>
      </w:r>
      <w:r>
        <w:rPr/>
        <w:t>argyria!</w:t>
      </w:r>
    </w:p>
    <w:p>
      <w:pPr>
        <w:pStyle w:val="BodyText"/>
        <w:spacing w:line="276" w:lineRule="auto" w:before="240"/>
        <w:ind w:left="477" w:right="133"/>
        <w:jc w:val="both"/>
      </w:pPr>
      <w:r>
        <w:rPr/>
        <w:t>Colloidal</w:t>
      </w:r>
      <w:r>
        <w:rPr>
          <w:spacing w:val="-26"/>
        </w:rPr>
        <w:t> </w:t>
      </w:r>
      <w:r>
        <w:rPr/>
        <w:t>silver</w:t>
      </w:r>
      <w:r>
        <w:rPr>
          <w:spacing w:val="-24"/>
        </w:rPr>
        <w:t> </w:t>
      </w:r>
      <w:r>
        <w:rPr/>
        <w:t>can</w:t>
      </w:r>
      <w:r>
        <w:rPr>
          <w:spacing w:val="-24"/>
        </w:rPr>
        <w:t> </w:t>
      </w:r>
      <w:r>
        <w:rPr/>
        <w:t>be</w:t>
      </w:r>
      <w:r>
        <w:rPr>
          <w:spacing w:val="-25"/>
        </w:rPr>
        <w:t> </w:t>
      </w:r>
      <w:r>
        <w:rPr/>
        <w:t>easily</w:t>
      </w:r>
      <w:r>
        <w:rPr>
          <w:spacing w:val="-25"/>
        </w:rPr>
        <w:t> </w:t>
      </w:r>
      <w:r>
        <w:rPr/>
        <w:t>produced</w:t>
      </w:r>
      <w:r>
        <w:rPr>
          <w:spacing w:val="-25"/>
        </w:rPr>
        <w:t> </w:t>
      </w:r>
      <w:r>
        <w:rPr/>
        <w:t>by</w:t>
      </w:r>
      <w:r>
        <w:rPr>
          <w:spacing w:val="-25"/>
        </w:rPr>
        <w:t> </w:t>
      </w:r>
      <w:r>
        <w:rPr/>
        <w:t>anyone</w:t>
      </w:r>
      <w:r>
        <w:rPr>
          <w:spacing w:val="-25"/>
        </w:rPr>
        <w:t> </w:t>
      </w:r>
      <w:r>
        <w:rPr/>
        <w:t>today,</w:t>
      </w:r>
      <w:r>
        <w:rPr>
          <w:spacing w:val="-24"/>
        </w:rPr>
        <w:t> </w:t>
      </w:r>
      <w:r>
        <w:rPr/>
        <w:t>since</w:t>
      </w:r>
      <w:r>
        <w:rPr>
          <w:spacing w:val="-24"/>
        </w:rPr>
        <w:t> </w:t>
      </w:r>
      <w:r>
        <w:rPr/>
        <w:t>the</w:t>
      </w:r>
      <w:r>
        <w:rPr>
          <w:spacing w:val="-25"/>
        </w:rPr>
        <w:t> </w:t>
      </w:r>
      <w:r>
        <w:rPr/>
        <w:t>corresponding equipment, including the necessary silver rods, are very inexpensive. But since the</w:t>
      </w:r>
      <w:r>
        <w:rPr>
          <w:spacing w:val="-26"/>
        </w:rPr>
        <w:t> </w:t>
      </w:r>
      <w:r>
        <w:rPr/>
        <w:t>colloidal</w:t>
      </w:r>
      <w:r>
        <w:rPr>
          <w:spacing w:val="-27"/>
        </w:rPr>
        <w:t> </w:t>
      </w:r>
      <w:r>
        <w:rPr/>
        <w:t>silver</w:t>
      </w:r>
      <w:r>
        <w:rPr>
          <w:spacing w:val="-25"/>
        </w:rPr>
        <w:t> </w:t>
      </w:r>
      <w:r>
        <w:rPr/>
        <w:t>from</w:t>
      </w:r>
      <w:r>
        <w:rPr>
          <w:spacing w:val="-26"/>
        </w:rPr>
        <w:t> </w:t>
      </w:r>
      <w:r>
        <w:rPr/>
        <w:t>the</w:t>
      </w:r>
      <w:r>
        <w:rPr>
          <w:spacing w:val="-28"/>
        </w:rPr>
        <w:t> </w:t>
      </w:r>
      <w:r>
        <w:rPr/>
        <w:t>pharmacy</w:t>
      </w:r>
      <w:r>
        <w:rPr>
          <w:spacing w:val="-26"/>
        </w:rPr>
        <w:t> </w:t>
      </w:r>
      <w:r>
        <w:rPr/>
        <w:t>production</w:t>
      </w:r>
      <w:r>
        <w:rPr>
          <w:spacing w:val="-25"/>
        </w:rPr>
        <w:t> </w:t>
      </w:r>
      <w:r>
        <w:rPr/>
        <w:t>is</w:t>
      </w:r>
      <w:r>
        <w:rPr>
          <w:spacing w:val="-26"/>
        </w:rPr>
        <w:t> </w:t>
      </w:r>
      <w:r>
        <w:rPr/>
        <w:t>also</w:t>
      </w:r>
      <w:r>
        <w:rPr>
          <w:spacing w:val="-25"/>
        </w:rPr>
        <w:t> </w:t>
      </w:r>
      <w:r>
        <w:rPr/>
        <w:t>very</w:t>
      </w:r>
      <w:r>
        <w:rPr>
          <w:spacing w:val="-26"/>
        </w:rPr>
        <w:t> </w:t>
      </w:r>
      <w:r>
        <w:rPr/>
        <w:t>cheap</w:t>
      </w:r>
      <w:r>
        <w:rPr>
          <w:spacing w:val="-26"/>
        </w:rPr>
        <w:t> </w:t>
      </w:r>
      <w:r>
        <w:rPr/>
        <w:t>(from</w:t>
      </w:r>
      <w:r>
        <w:rPr>
          <w:spacing w:val="-26"/>
        </w:rPr>
        <w:t> </w:t>
      </w:r>
      <w:r>
        <w:rPr/>
        <w:t>about 40</w:t>
      </w:r>
      <w:r>
        <w:rPr>
          <w:spacing w:val="-5"/>
        </w:rPr>
        <w:t> </w:t>
      </w:r>
      <w:r>
        <w:rPr/>
        <w:t>euros</w:t>
      </w:r>
      <w:r>
        <w:rPr>
          <w:spacing w:val="-6"/>
        </w:rPr>
        <w:t> </w:t>
      </w:r>
      <w:r>
        <w:rPr/>
        <w:t>per</w:t>
      </w:r>
      <w:r>
        <w:rPr>
          <w:spacing w:val="-7"/>
        </w:rPr>
        <w:t> </w:t>
      </w:r>
      <w:r>
        <w:rPr/>
        <w:t>litre),</w:t>
      </w:r>
      <w:r>
        <w:rPr>
          <w:spacing w:val="-3"/>
        </w:rPr>
        <w:t> </w:t>
      </w:r>
      <w:r>
        <w:rPr/>
        <w:t>you</w:t>
      </w:r>
      <w:r>
        <w:rPr>
          <w:spacing w:val="-7"/>
        </w:rPr>
        <w:t> </w:t>
      </w:r>
      <w:r>
        <w:rPr/>
        <w:t>should</w:t>
      </w:r>
      <w:r>
        <w:rPr>
          <w:spacing w:val="-7"/>
        </w:rPr>
        <w:t> </w:t>
      </w:r>
      <w:r>
        <w:rPr/>
        <w:t>opt</w:t>
      </w:r>
      <w:r>
        <w:rPr>
          <w:spacing w:val="-4"/>
        </w:rPr>
        <w:t> </w:t>
      </w:r>
      <w:r>
        <w:rPr/>
        <w:t>for</w:t>
      </w:r>
      <w:r>
        <w:rPr>
          <w:spacing w:val="-6"/>
        </w:rPr>
        <w:t> </w:t>
      </w:r>
      <w:r>
        <w:rPr/>
        <w:t>ready-produced</w:t>
      </w:r>
      <w:r>
        <w:rPr>
          <w:spacing w:val="-5"/>
        </w:rPr>
        <w:t> </w:t>
      </w:r>
      <w:r>
        <w:rPr/>
        <w:t>colloidal</w:t>
      </w:r>
      <w:r>
        <w:rPr>
          <w:spacing w:val="-6"/>
        </w:rPr>
        <w:t> </w:t>
      </w:r>
      <w:r>
        <w:rPr/>
        <w:t>silver</w:t>
      </w:r>
      <w:r>
        <w:rPr>
          <w:spacing w:val="-3"/>
        </w:rPr>
        <w:t> </w:t>
      </w:r>
      <w:r>
        <w:rPr/>
        <w:t>if</w:t>
      </w:r>
      <w:r>
        <w:rPr>
          <w:spacing w:val="-5"/>
        </w:rPr>
        <w:t> </w:t>
      </w:r>
      <w:r>
        <w:rPr/>
        <w:t>you</w:t>
      </w:r>
      <w:r>
        <w:rPr>
          <w:spacing w:val="-8"/>
        </w:rPr>
        <w:t> </w:t>
      </w:r>
      <w:r>
        <w:rPr/>
        <w:t>are in any way</w:t>
      </w:r>
      <w:r>
        <w:rPr>
          <w:spacing w:val="2"/>
        </w:rPr>
        <w:t> </w:t>
      </w:r>
      <w:r>
        <w:rPr/>
        <w:t>uncertain.</w:t>
      </w:r>
    </w:p>
    <w:p>
      <w:pPr>
        <w:pStyle w:val="BodyText"/>
        <w:spacing w:line="276" w:lineRule="auto" w:before="240"/>
        <w:ind w:left="477" w:right="131"/>
        <w:jc w:val="both"/>
      </w:pPr>
      <w:r>
        <w:rPr/>
        <w:t>Dr. Robert O. Becker has investigated the mechanism by which silver ions en- able the rebuilding of tissue for almost a decade. Becker presented his findings</w:t>
      </w:r>
    </w:p>
    <w:p>
      <w:pPr>
        <w:spacing w:after="0" w:line="276" w:lineRule="auto"/>
        <w:jc w:val="both"/>
        <w:sectPr>
          <w:pgSz w:w="14270" w:h="16850"/>
          <w:pgMar w:header="0" w:footer="1891" w:top="1600" w:bottom="2080" w:left="800" w:right="1280"/>
        </w:sectPr>
      </w:pPr>
    </w:p>
    <w:p>
      <w:pPr>
        <w:pStyle w:val="BodyText"/>
        <w:spacing w:line="276" w:lineRule="auto" w:before="181"/>
        <w:ind w:left="477" w:right="136"/>
        <w:jc w:val="both"/>
      </w:pPr>
      <w:r>
        <w:rPr/>
        <w:t>for the first time at the first international conference on the use of silver and gold in medicine in 1987. Over the decade, this technique has been used by Mountain Medical Specialties of Lakemont, Georgia, where hundreds of pa- tients with various wounds have been treated.</w:t>
      </w:r>
    </w:p>
    <w:p>
      <w:pPr>
        <w:pStyle w:val="BodyText"/>
        <w:spacing w:line="276" w:lineRule="auto" w:before="242"/>
        <w:ind w:left="477" w:right="133"/>
        <w:jc w:val="both"/>
      </w:pPr>
      <w:r>
        <w:rPr/>
        <w:t>In addition, a laboratory study by the US Army Institute for Surgical Research at Fort Sam Houston has shown that experimental animals with burns treated with silver-nylon dressings recovered much faster under controlled conditions.</w:t>
      </w:r>
    </w:p>
    <w:p>
      <w:pPr>
        <w:spacing w:line="276" w:lineRule="auto" w:before="239"/>
        <w:ind w:left="477" w:right="131" w:firstLine="0"/>
        <w:jc w:val="both"/>
        <w:rPr>
          <w:i/>
          <w:sz w:val="38"/>
        </w:rPr>
      </w:pPr>
      <w:r>
        <w:rPr>
          <w:sz w:val="38"/>
        </w:rPr>
        <w:t>‘</w:t>
      </w:r>
      <w:r>
        <w:rPr>
          <w:i/>
          <w:sz w:val="38"/>
        </w:rPr>
        <w:t>The advantages of this technology’, </w:t>
      </w:r>
      <w:r>
        <w:rPr>
          <w:sz w:val="38"/>
        </w:rPr>
        <w:t>says Prof. Becker, ‘</w:t>
      </w:r>
      <w:r>
        <w:rPr>
          <w:i/>
          <w:sz w:val="38"/>
        </w:rPr>
        <w:t>are the ease of use, the use of the </w:t>
      </w:r>
      <w:r>
        <w:rPr>
          <w:i/>
          <w:sz w:val="38"/>
        </w:rPr>
        <w:t>patient's own cells, the absence of immune response, there is no need to use human foetuses as a</w:t>
      </w:r>
      <w:r>
        <w:rPr>
          <w:i/>
          <w:spacing w:val="-12"/>
          <w:sz w:val="38"/>
        </w:rPr>
        <w:t> </w:t>
      </w:r>
      <w:r>
        <w:rPr>
          <w:i/>
          <w:sz w:val="38"/>
        </w:rPr>
        <w:t>source</w:t>
      </w:r>
      <w:r>
        <w:rPr>
          <w:i/>
          <w:spacing w:val="-11"/>
          <w:sz w:val="38"/>
        </w:rPr>
        <w:t> </w:t>
      </w:r>
      <w:r>
        <w:rPr>
          <w:i/>
          <w:sz w:val="38"/>
        </w:rPr>
        <w:t>of</w:t>
      </w:r>
      <w:r>
        <w:rPr>
          <w:i/>
          <w:spacing w:val="-11"/>
          <w:sz w:val="38"/>
        </w:rPr>
        <w:t> </w:t>
      </w:r>
      <w:r>
        <w:rPr>
          <w:i/>
          <w:sz w:val="38"/>
        </w:rPr>
        <w:t>stem</w:t>
      </w:r>
      <w:r>
        <w:rPr>
          <w:i/>
          <w:spacing w:val="-12"/>
          <w:sz w:val="38"/>
        </w:rPr>
        <w:t> </w:t>
      </w:r>
      <w:r>
        <w:rPr>
          <w:i/>
          <w:sz w:val="38"/>
        </w:rPr>
        <w:t>cells,</w:t>
      </w:r>
      <w:r>
        <w:rPr>
          <w:i/>
          <w:spacing w:val="-10"/>
          <w:sz w:val="38"/>
        </w:rPr>
        <w:t> </w:t>
      </w:r>
      <w:r>
        <w:rPr>
          <w:i/>
          <w:sz w:val="38"/>
        </w:rPr>
        <w:t>no</w:t>
      </w:r>
      <w:r>
        <w:rPr>
          <w:i/>
          <w:spacing w:val="-13"/>
          <w:sz w:val="38"/>
        </w:rPr>
        <w:t> </w:t>
      </w:r>
      <w:r>
        <w:rPr>
          <w:i/>
          <w:sz w:val="38"/>
        </w:rPr>
        <w:t>need</w:t>
      </w:r>
      <w:r>
        <w:rPr>
          <w:i/>
          <w:spacing w:val="-12"/>
          <w:sz w:val="38"/>
        </w:rPr>
        <w:t> </w:t>
      </w:r>
      <w:r>
        <w:rPr>
          <w:i/>
          <w:sz w:val="38"/>
        </w:rPr>
        <w:t>to</w:t>
      </w:r>
      <w:r>
        <w:rPr>
          <w:i/>
          <w:spacing w:val="-12"/>
          <w:sz w:val="38"/>
        </w:rPr>
        <w:t> </w:t>
      </w:r>
      <w:r>
        <w:rPr>
          <w:i/>
          <w:sz w:val="38"/>
        </w:rPr>
        <w:t>use</w:t>
      </w:r>
      <w:r>
        <w:rPr>
          <w:i/>
          <w:spacing w:val="-14"/>
          <w:sz w:val="38"/>
        </w:rPr>
        <w:t> </w:t>
      </w:r>
      <w:r>
        <w:rPr>
          <w:i/>
          <w:sz w:val="38"/>
        </w:rPr>
        <w:t>immunosuppressants</w:t>
      </w:r>
      <w:r>
        <w:rPr>
          <w:i/>
          <w:spacing w:val="-7"/>
          <w:sz w:val="38"/>
        </w:rPr>
        <w:t> </w:t>
      </w:r>
      <w:r>
        <w:rPr>
          <w:sz w:val="38"/>
        </w:rPr>
        <w:t>(drugs</w:t>
      </w:r>
      <w:r>
        <w:rPr>
          <w:spacing w:val="-10"/>
          <w:sz w:val="38"/>
        </w:rPr>
        <w:t> </w:t>
      </w:r>
      <w:r>
        <w:rPr>
          <w:sz w:val="38"/>
        </w:rPr>
        <w:t>that</w:t>
      </w:r>
      <w:r>
        <w:rPr>
          <w:spacing w:val="-11"/>
          <w:sz w:val="38"/>
        </w:rPr>
        <w:t> </w:t>
      </w:r>
      <w:r>
        <w:rPr>
          <w:sz w:val="38"/>
        </w:rPr>
        <w:t>inhibit</w:t>
      </w:r>
      <w:r>
        <w:rPr>
          <w:spacing w:val="-10"/>
          <w:sz w:val="38"/>
        </w:rPr>
        <w:t> </w:t>
      </w:r>
      <w:r>
        <w:rPr>
          <w:sz w:val="38"/>
        </w:rPr>
        <w:t>the</w:t>
      </w:r>
      <w:r>
        <w:rPr>
          <w:spacing w:val="-10"/>
          <w:sz w:val="38"/>
        </w:rPr>
        <w:t> </w:t>
      </w:r>
      <w:r>
        <w:rPr>
          <w:sz w:val="38"/>
        </w:rPr>
        <w:t>immune system)</w:t>
      </w:r>
      <w:r>
        <w:rPr>
          <w:i/>
          <w:sz w:val="38"/>
        </w:rPr>
        <w:t>, and it's more</w:t>
      </w:r>
      <w:r>
        <w:rPr>
          <w:i/>
          <w:spacing w:val="1"/>
          <w:sz w:val="38"/>
        </w:rPr>
        <w:t> </w:t>
      </w:r>
      <w:r>
        <w:rPr>
          <w:i/>
          <w:sz w:val="38"/>
        </w:rPr>
        <w:t>economical’.</w:t>
      </w:r>
    </w:p>
    <w:p>
      <w:pPr>
        <w:pStyle w:val="BodyText"/>
        <w:spacing w:line="276" w:lineRule="auto" w:before="239"/>
        <w:ind w:left="477" w:right="133"/>
        <w:jc w:val="both"/>
      </w:pPr>
      <w:r>
        <w:rPr/>
        <w:t>After several hundred patient cases, Prof. Becker became convinced that the method works in three stages:</w:t>
      </w:r>
    </w:p>
    <w:p>
      <w:pPr>
        <w:pStyle w:val="Heading2"/>
        <w:spacing w:before="241"/>
      </w:pPr>
      <w:r>
        <w:rPr/>
        <w:t>Stage 1:</w:t>
      </w:r>
    </w:p>
    <w:p>
      <w:pPr>
        <w:pStyle w:val="BodyText"/>
        <w:spacing w:line="276" w:lineRule="auto" w:before="305"/>
        <w:ind w:left="477" w:right="140"/>
        <w:jc w:val="both"/>
      </w:pPr>
      <w:r>
        <w:rPr/>
        <w:t>chemical reaction of the highly active free silver ions with all bacteria or fungi in the wound, which are inactivated within 20 to 30 minutes.</w:t>
      </w:r>
    </w:p>
    <w:p>
      <w:pPr>
        <w:pStyle w:val="BodyText"/>
        <w:rPr>
          <w:sz w:val="42"/>
        </w:rPr>
      </w:pPr>
    </w:p>
    <w:p>
      <w:pPr>
        <w:pStyle w:val="BodyText"/>
        <w:spacing w:before="6"/>
        <w:rPr>
          <w:sz w:val="44"/>
        </w:rPr>
      </w:pPr>
    </w:p>
    <w:p>
      <w:pPr>
        <w:pStyle w:val="Heading2"/>
      </w:pPr>
      <w:r>
        <w:rPr/>
        <w:t>Stage 2:</w:t>
      </w:r>
    </w:p>
    <w:p>
      <w:pPr>
        <w:pStyle w:val="BodyText"/>
        <w:spacing w:line="276" w:lineRule="auto" w:before="302"/>
        <w:ind w:left="477" w:right="131"/>
        <w:jc w:val="both"/>
      </w:pPr>
      <w:r>
        <w:rPr/>
        <w:t>in</w:t>
      </w:r>
      <w:r>
        <w:rPr>
          <w:spacing w:val="-16"/>
        </w:rPr>
        <w:t> </w:t>
      </w:r>
      <w:r>
        <w:rPr/>
        <w:t>the</w:t>
      </w:r>
      <w:r>
        <w:rPr>
          <w:spacing w:val="-14"/>
        </w:rPr>
        <w:t> </w:t>
      </w:r>
      <w:r>
        <w:rPr/>
        <w:t>following</w:t>
      </w:r>
      <w:r>
        <w:rPr>
          <w:spacing w:val="-17"/>
        </w:rPr>
        <w:t> </w:t>
      </w:r>
      <w:r>
        <w:rPr/>
        <w:t>days,</w:t>
      </w:r>
      <w:r>
        <w:rPr>
          <w:spacing w:val="-15"/>
        </w:rPr>
        <w:t> </w:t>
      </w:r>
      <w:r>
        <w:rPr/>
        <w:t>Stage</w:t>
      </w:r>
      <w:r>
        <w:rPr>
          <w:spacing w:val="-15"/>
        </w:rPr>
        <w:t> </w:t>
      </w:r>
      <w:r>
        <w:rPr/>
        <w:t>2</w:t>
      </w:r>
      <w:r>
        <w:rPr>
          <w:spacing w:val="-16"/>
        </w:rPr>
        <w:t> </w:t>
      </w:r>
      <w:r>
        <w:rPr/>
        <w:t>follows.</w:t>
      </w:r>
      <w:r>
        <w:rPr>
          <w:spacing w:val="-15"/>
        </w:rPr>
        <w:t> </w:t>
      </w:r>
      <w:r>
        <w:rPr/>
        <w:t>Silver</w:t>
      </w:r>
      <w:r>
        <w:rPr>
          <w:spacing w:val="-15"/>
        </w:rPr>
        <w:t> </w:t>
      </w:r>
      <w:r>
        <w:rPr/>
        <w:t>acts</w:t>
      </w:r>
      <w:r>
        <w:rPr>
          <w:spacing w:val="-18"/>
        </w:rPr>
        <w:t> </w:t>
      </w:r>
      <w:r>
        <w:rPr/>
        <w:t>on</w:t>
      </w:r>
      <w:r>
        <w:rPr>
          <w:spacing w:val="-15"/>
        </w:rPr>
        <w:t> </w:t>
      </w:r>
      <w:r>
        <w:rPr/>
        <w:t>the</w:t>
      </w:r>
      <w:r>
        <w:rPr>
          <w:spacing w:val="-17"/>
        </w:rPr>
        <w:t> </w:t>
      </w:r>
      <w:r>
        <w:rPr/>
        <w:t>fibroblast</w:t>
      </w:r>
      <w:r>
        <w:rPr>
          <w:spacing w:val="-19"/>
        </w:rPr>
        <w:t> </w:t>
      </w:r>
      <w:r>
        <w:rPr/>
        <w:t>cells</w:t>
      </w:r>
      <w:r>
        <w:rPr>
          <w:spacing w:val="-15"/>
        </w:rPr>
        <w:t> </w:t>
      </w:r>
      <w:r>
        <w:rPr/>
        <w:t>(the</w:t>
      </w:r>
      <w:r>
        <w:rPr>
          <w:spacing w:val="-17"/>
        </w:rPr>
        <w:t> </w:t>
      </w:r>
      <w:r>
        <w:rPr/>
        <w:t>cells that usually cause scars to form in the course of wound healing), causing</w:t>
      </w:r>
      <w:r>
        <w:rPr>
          <w:spacing w:val="64"/>
        </w:rPr>
        <w:t> </w:t>
      </w:r>
      <w:r>
        <w:rPr/>
        <w:t>them</w:t>
      </w:r>
    </w:p>
    <w:p>
      <w:pPr>
        <w:spacing w:after="0" w:line="276" w:lineRule="auto"/>
        <w:jc w:val="both"/>
        <w:sectPr>
          <w:pgSz w:w="14270" w:h="16850"/>
          <w:pgMar w:header="0" w:footer="1891" w:top="1600" w:bottom="2080" w:left="800" w:right="1280"/>
        </w:sectPr>
      </w:pPr>
    </w:p>
    <w:p>
      <w:pPr>
        <w:pStyle w:val="BodyText"/>
        <w:spacing w:line="276" w:lineRule="auto" w:before="181"/>
        <w:ind w:left="477" w:right="132"/>
        <w:jc w:val="both"/>
      </w:pPr>
      <w:r>
        <w:rPr/>
        <w:t>to return to their embryonic state and become stem cells. These cells have the task</w:t>
      </w:r>
      <w:r>
        <w:rPr>
          <w:spacing w:val="-7"/>
        </w:rPr>
        <w:t> </w:t>
      </w:r>
      <w:r>
        <w:rPr/>
        <w:t>of</w:t>
      </w:r>
      <w:r>
        <w:rPr>
          <w:spacing w:val="-7"/>
        </w:rPr>
        <w:t> </w:t>
      </w:r>
      <w:r>
        <w:rPr/>
        <w:t>reconstructing</w:t>
      </w:r>
      <w:r>
        <w:rPr>
          <w:spacing w:val="-6"/>
        </w:rPr>
        <w:t> </w:t>
      </w:r>
      <w:r>
        <w:rPr/>
        <w:t>new</w:t>
      </w:r>
      <w:r>
        <w:rPr>
          <w:spacing w:val="-8"/>
        </w:rPr>
        <w:t> </w:t>
      </w:r>
      <w:r>
        <w:rPr/>
        <w:t>tissue</w:t>
      </w:r>
      <w:r>
        <w:rPr>
          <w:spacing w:val="-7"/>
        </w:rPr>
        <w:t> </w:t>
      </w:r>
      <w:r>
        <w:rPr/>
        <w:t>in</w:t>
      </w:r>
      <w:r>
        <w:rPr>
          <w:spacing w:val="-7"/>
        </w:rPr>
        <w:t> </w:t>
      </w:r>
      <w:r>
        <w:rPr/>
        <w:t>its</w:t>
      </w:r>
      <w:r>
        <w:rPr>
          <w:spacing w:val="-9"/>
        </w:rPr>
        <w:t> </w:t>
      </w:r>
      <w:r>
        <w:rPr/>
        <w:t>original</w:t>
      </w:r>
      <w:r>
        <w:rPr>
          <w:spacing w:val="-7"/>
        </w:rPr>
        <w:t> </w:t>
      </w:r>
      <w:r>
        <w:rPr/>
        <w:t>structure</w:t>
      </w:r>
      <w:r>
        <w:rPr>
          <w:spacing w:val="-7"/>
        </w:rPr>
        <w:t> </w:t>
      </w:r>
      <w:r>
        <w:rPr/>
        <w:t>without</w:t>
      </w:r>
      <w:r>
        <w:rPr>
          <w:spacing w:val="-5"/>
        </w:rPr>
        <w:t> </w:t>
      </w:r>
      <w:r>
        <w:rPr/>
        <w:t>forming</w:t>
      </w:r>
      <w:r>
        <w:rPr>
          <w:spacing w:val="-9"/>
        </w:rPr>
        <w:t> </w:t>
      </w:r>
      <w:r>
        <w:rPr/>
        <w:t>scars.</w:t>
      </w:r>
    </w:p>
    <w:p>
      <w:pPr>
        <w:pStyle w:val="Heading2"/>
        <w:spacing w:before="241"/>
      </w:pPr>
      <w:r>
        <w:rPr/>
        <w:t>Stage 3:</w:t>
      </w:r>
    </w:p>
    <w:p>
      <w:pPr>
        <w:pStyle w:val="BodyText"/>
        <w:spacing w:line="276" w:lineRule="auto" w:before="305"/>
        <w:ind w:left="477" w:right="132"/>
        <w:jc w:val="both"/>
      </w:pPr>
      <w:r>
        <w:rPr/>
        <w:t>In the final phase, the silver ions come into contact with the living cells in the wound area and immediately start to produce stem cells and transform into</w:t>
      </w:r>
      <w:r>
        <w:rPr>
          <w:spacing w:val="-47"/>
        </w:rPr>
        <w:t> </w:t>
      </w:r>
      <w:r>
        <w:rPr/>
        <w:t>the healthy tissue that was present before the</w:t>
      </w:r>
      <w:r>
        <w:rPr>
          <w:spacing w:val="1"/>
        </w:rPr>
        <w:t> </w:t>
      </w:r>
      <w:r>
        <w:rPr/>
        <w:t>wound!</w:t>
      </w:r>
    </w:p>
    <w:p>
      <w:pPr>
        <w:pStyle w:val="BodyText"/>
        <w:spacing w:line="276" w:lineRule="auto" w:before="239"/>
        <w:ind w:left="477" w:right="135"/>
        <w:jc w:val="both"/>
      </w:pPr>
      <w:r>
        <w:rPr/>
        <w:t>The result of this transformation is the complete restoration of all anatomical structures</w:t>
      </w:r>
      <w:r>
        <w:rPr>
          <w:spacing w:val="-7"/>
        </w:rPr>
        <w:t> </w:t>
      </w:r>
      <w:r>
        <w:rPr/>
        <w:t>without</w:t>
      </w:r>
      <w:r>
        <w:rPr>
          <w:spacing w:val="-9"/>
        </w:rPr>
        <w:t> </w:t>
      </w:r>
      <w:r>
        <w:rPr/>
        <w:t>scarring,</w:t>
      </w:r>
      <w:r>
        <w:rPr>
          <w:spacing w:val="-6"/>
        </w:rPr>
        <w:t> </w:t>
      </w:r>
      <w:r>
        <w:rPr/>
        <w:t>including</w:t>
      </w:r>
      <w:r>
        <w:rPr>
          <w:spacing w:val="-7"/>
        </w:rPr>
        <w:t> </w:t>
      </w:r>
      <w:r>
        <w:rPr/>
        <w:t>the</w:t>
      </w:r>
      <w:r>
        <w:rPr>
          <w:spacing w:val="-6"/>
        </w:rPr>
        <w:t> </w:t>
      </w:r>
      <w:r>
        <w:rPr/>
        <w:t>nerves</w:t>
      </w:r>
      <w:r>
        <w:rPr>
          <w:spacing w:val="-11"/>
        </w:rPr>
        <w:t> </w:t>
      </w:r>
      <w:r>
        <w:rPr/>
        <w:t>and</w:t>
      </w:r>
      <w:r>
        <w:rPr>
          <w:spacing w:val="-8"/>
        </w:rPr>
        <w:t> </w:t>
      </w:r>
      <w:r>
        <w:rPr/>
        <w:t>blood</w:t>
      </w:r>
      <w:r>
        <w:rPr>
          <w:spacing w:val="-7"/>
        </w:rPr>
        <w:t> </w:t>
      </w:r>
      <w:r>
        <w:rPr/>
        <w:t>supply.</w:t>
      </w:r>
      <w:r>
        <w:rPr>
          <w:spacing w:val="-6"/>
        </w:rPr>
        <w:t> </w:t>
      </w:r>
      <w:r>
        <w:rPr/>
        <w:t>No</w:t>
      </w:r>
      <w:r>
        <w:rPr>
          <w:spacing w:val="-9"/>
        </w:rPr>
        <w:t> </w:t>
      </w:r>
      <w:r>
        <w:rPr/>
        <w:t>cases</w:t>
      </w:r>
      <w:r>
        <w:rPr>
          <w:spacing w:val="-5"/>
        </w:rPr>
        <w:t> </w:t>
      </w:r>
      <w:r>
        <w:rPr/>
        <w:t>of argyria (discolouration of the skin) or any other side effect were detected. No other known treatment provides a sufficient number of embryonic cells (stem cells), which is essential for a proper regeneration of damaged or destroyed</w:t>
      </w:r>
      <w:r>
        <w:rPr>
          <w:spacing w:val="-57"/>
        </w:rPr>
        <w:t> </w:t>
      </w:r>
      <w:r>
        <w:rPr/>
        <w:t>hu- man and animal tissue. This success shows that silver ions not only have the potential to heal near-surface wounds, but also to restore internal organs such as the heart, liver, brain and spinal</w:t>
      </w:r>
      <w:r>
        <w:rPr>
          <w:spacing w:val="-4"/>
        </w:rPr>
        <w:t> </w:t>
      </w:r>
      <w:r>
        <w:rPr/>
        <w:t>cord.</w:t>
      </w:r>
    </w:p>
    <w:p>
      <w:pPr>
        <w:pStyle w:val="BodyText"/>
        <w:rPr>
          <w:sz w:val="42"/>
        </w:rPr>
      </w:pPr>
    </w:p>
    <w:p>
      <w:pPr>
        <w:pStyle w:val="BodyText"/>
        <w:spacing w:before="5"/>
        <w:rPr>
          <w:sz w:val="44"/>
        </w:rPr>
      </w:pPr>
    </w:p>
    <w:p>
      <w:pPr>
        <w:pStyle w:val="Heading2"/>
      </w:pPr>
      <w:r>
        <w:rPr/>
        <w:t>Application of colloidal silver</w:t>
      </w:r>
    </w:p>
    <w:p>
      <w:pPr>
        <w:pStyle w:val="BodyText"/>
        <w:spacing w:line="276" w:lineRule="auto" w:before="305"/>
        <w:ind w:left="477" w:right="131"/>
        <w:jc w:val="both"/>
      </w:pPr>
      <w:r>
        <w:rPr/>
        <w:t>After reading about the specific effect of colloidal silver on illnesses under ‘Ef- fect of colloidal silver’, it's time to learn about its uses. The exceptionally good tolerability of colloidal silver in any situation allows for specific application for a particular complaint or disease (even for eye infections and open wounds). Commercially, colloidal silver is sold in liquid form or as a cream; you should</w:t>
      </w:r>
    </w:p>
    <w:p>
      <w:pPr>
        <w:spacing w:after="0" w:line="276" w:lineRule="auto"/>
        <w:jc w:val="both"/>
        <w:sectPr>
          <w:pgSz w:w="14270" w:h="16850"/>
          <w:pgMar w:header="0" w:footer="1891" w:top="1600" w:bottom="2080" w:left="800" w:right="1280"/>
        </w:sectPr>
      </w:pPr>
    </w:p>
    <w:p>
      <w:pPr>
        <w:pStyle w:val="BodyText"/>
        <w:spacing w:before="181"/>
        <w:ind w:left="477"/>
      </w:pPr>
      <w:r>
        <w:rPr/>
        <w:t>make the appropriate choice depending on the intended application.</w:t>
      </w:r>
    </w:p>
    <w:p>
      <w:pPr>
        <w:pStyle w:val="Heading2"/>
        <w:spacing w:before="305"/>
      </w:pPr>
      <w:r>
        <w:rPr/>
        <w:t>Internal administration of colloidal silver</w:t>
      </w:r>
    </w:p>
    <w:p>
      <w:pPr>
        <w:pStyle w:val="BodyText"/>
        <w:spacing w:before="304"/>
        <w:ind w:left="477"/>
      </w:pPr>
      <w:r>
        <w:rPr/>
        <w:t>Internal administration is either oral, rectal, vaginal or intravenous.</w:t>
      </w:r>
    </w:p>
    <w:p>
      <w:pPr>
        <w:pStyle w:val="BodyText"/>
        <w:spacing w:line="276" w:lineRule="auto" w:before="305"/>
        <w:ind w:left="477" w:right="132"/>
        <w:jc w:val="both"/>
      </w:pPr>
      <w:r>
        <w:rPr/>
        <w:t>Orally: for inflammation and diseases of the mouth or throat, colloidal silver is rinsed or gargled in liquid form. In other cases of oral administration, the col- loidal silver is drunk. Here, you should first keep the liquid under the tongue for</w:t>
      </w:r>
      <w:r>
        <w:rPr>
          <w:spacing w:val="-11"/>
        </w:rPr>
        <w:t> </w:t>
      </w:r>
      <w:r>
        <w:rPr/>
        <w:t>a</w:t>
      </w:r>
      <w:r>
        <w:rPr>
          <w:spacing w:val="-13"/>
        </w:rPr>
        <w:t> </w:t>
      </w:r>
      <w:r>
        <w:rPr/>
        <w:t>few</w:t>
      </w:r>
      <w:r>
        <w:rPr>
          <w:spacing w:val="-14"/>
        </w:rPr>
        <w:t> </w:t>
      </w:r>
      <w:r>
        <w:rPr/>
        <w:t>seconds</w:t>
      </w:r>
      <w:r>
        <w:rPr>
          <w:spacing w:val="-11"/>
        </w:rPr>
        <w:t> </w:t>
      </w:r>
      <w:r>
        <w:rPr/>
        <w:t>to</w:t>
      </w:r>
      <w:r>
        <w:rPr>
          <w:spacing w:val="-11"/>
        </w:rPr>
        <w:t> </w:t>
      </w:r>
      <w:r>
        <w:rPr/>
        <w:t>allow</w:t>
      </w:r>
      <w:r>
        <w:rPr>
          <w:spacing w:val="-13"/>
        </w:rPr>
        <w:t> </w:t>
      </w:r>
      <w:r>
        <w:rPr/>
        <w:t>absorption</w:t>
      </w:r>
      <w:r>
        <w:rPr>
          <w:spacing w:val="-8"/>
        </w:rPr>
        <w:t> </w:t>
      </w:r>
      <w:r>
        <w:rPr/>
        <w:t>through</w:t>
      </w:r>
      <w:r>
        <w:rPr>
          <w:spacing w:val="-11"/>
        </w:rPr>
        <w:t> </w:t>
      </w:r>
      <w:r>
        <w:rPr/>
        <w:t>the</w:t>
      </w:r>
      <w:r>
        <w:rPr>
          <w:spacing w:val="-12"/>
        </w:rPr>
        <w:t> </w:t>
      </w:r>
      <w:r>
        <w:rPr/>
        <w:t>oral</w:t>
      </w:r>
      <w:r>
        <w:rPr>
          <w:spacing w:val="-13"/>
        </w:rPr>
        <w:t> </w:t>
      </w:r>
      <w:r>
        <w:rPr/>
        <w:t>mucosa</w:t>
      </w:r>
      <w:r>
        <w:rPr>
          <w:spacing w:val="-13"/>
        </w:rPr>
        <w:t> </w:t>
      </w:r>
      <w:r>
        <w:rPr/>
        <w:t>before</w:t>
      </w:r>
      <w:r>
        <w:rPr>
          <w:spacing w:val="-12"/>
        </w:rPr>
        <w:t> </w:t>
      </w:r>
      <w:r>
        <w:rPr/>
        <w:t>swallow- ing the liquid. However, to ensure its effectiveness in the gut, one should</w:t>
      </w:r>
      <w:r>
        <w:rPr>
          <w:spacing w:val="-48"/>
        </w:rPr>
        <w:t> </w:t>
      </w:r>
      <w:r>
        <w:rPr/>
        <w:t>drink the colloidal silver as quickly as possible with plenty of fluid to prevent</w:t>
      </w:r>
      <w:r>
        <w:rPr>
          <w:spacing w:val="-66"/>
        </w:rPr>
        <w:t> </w:t>
      </w:r>
      <w:r>
        <w:rPr/>
        <w:t>absorp- tion in the stomach. Another possibility lies in the use of colloidal silver in en- emas, i.e. rectally. In both cases, as a precaution, the natural intestinal flora should</w:t>
      </w:r>
      <w:r>
        <w:rPr>
          <w:spacing w:val="-14"/>
        </w:rPr>
        <w:t> </w:t>
      </w:r>
      <w:r>
        <w:rPr/>
        <w:t>be</w:t>
      </w:r>
      <w:r>
        <w:rPr>
          <w:spacing w:val="-14"/>
        </w:rPr>
        <w:t> </w:t>
      </w:r>
      <w:r>
        <w:rPr/>
        <w:t>replenished</w:t>
      </w:r>
      <w:r>
        <w:rPr>
          <w:spacing w:val="-12"/>
        </w:rPr>
        <w:t> </w:t>
      </w:r>
      <w:r>
        <w:rPr/>
        <w:t>(for</w:t>
      </w:r>
      <w:r>
        <w:rPr>
          <w:spacing w:val="-14"/>
        </w:rPr>
        <w:t> </w:t>
      </w:r>
      <w:r>
        <w:rPr/>
        <w:t>example,</w:t>
      </w:r>
      <w:r>
        <w:rPr>
          <w:spacing w:val="-12"/>
        </w:rPr>
        <w:t> </w:t>
      </w:r>
      <w:r>
        <w:rPr/>
        <w:t>with</w:t>
      </w:r>
      <w:r>
        <w:rPr>
          <w:spacing w:val="-12"/>
        </w:rPr>
        <w:t> </w:t>
      </w:r>
      <w:r>
        <w:rPr/>
        <w:t>the</w:t>
      </w:r>
      <w:r>
        <w:rPr>
          <w:spacing w:val="-16"/>
        </w:rPr>
        <w:t> </w:t>
      </w:r>
      <w:r>
        <w:rPr/>
        <w:t>help</w:t>
      </w:r>
      <w:r>
        <w:rPr>
          <w:spacing w:val="-13"/>
        </w:rPr>
        <w:t> </w:t>
      </w:r>
      <w:r>
        <w:rPr/>
        <w:t>of</w:t>
      </w:r>
      <w:r>
        <w:rPr>
          <w:spacing w:val="-15"/>
        </w:rPr>
        <w:t> </w:t>
      </w:r>
      <w:r>
        <w:rPr/>
        <w:t>probiotic</w:t>
      </w:r>
      <w:r>
        <w:rPr>
          <w:spacing w:val="-15"/>
        </w:rPr>
        <w:t> </w:t>
      </w:r>
      <w:r>
        <w:rPr/>
        <w:t>products</w:t>
      </w:r>
      <w:r>
        <w:rPr>
          <w:spacing w:val="-13"/>
        </w:rPr>
        <w:t> </w:t>
      </w:r>
      <w:r>
        <w:rPr/>
        <w:t>such</w:t>
      </w:r>
      <w:r>
        <w:rPr>
          <w:spacing w:val="-12"/>
        </w:rPr>
        <w:t> </w:t>
      </w:r>
      <w:r>
        <w:rPr/>
        <w:t>as yoghurt or kombucha</w:t>
      </w:r>
      <w:r>
        <w:rPr>
          <w:spacing w:val="-1"/>
        </w:rPr>
        <w:t> </w:t>
      </w:r>
      <w:r>
        <w:rPr/>
        <w:t>tea).</w:t>
      </w:r>
    </w:p>
    <w:p>
      <w:pPr>
        <w:pStyle w:val="BodyText"/>
        <w:spacing w:line="276" w:lineRule="auto" w:before="240"/>
        <w:ind w:left="477" w:right="134"/>
        <w:jc w:val="both"/>
      </w:pPr>
      <w:r>
        <w:rPr/>
        <w:t>Intravenous application: This is probably the rarest form of application of col- loidal silver and must be performed by an experienced therapist.</w:t>
      </w:r>
    </w:p>
    <w:p>
      <w:pPr>
        <w:pStyle w:val="BodyText"/>
        <w:spacing w:line="276" w:lineRule="auto" w:before="241"/>
        <w:ind w:left="477" w:right="132"/>
        <w:jc w:val="both"/>
      </w:pPr>
      <w:r>
        <w:rPr/>
        <w:t>Nonetheless,</w:t>
      </w:r>
      <w:r>
        <w:rPr>
          <w:spacing w:val="-26"/>
        </w:rPr>
        <w:t> </w:t>
      </w:r>
      <w:r>
        <w:rPr/>
        <w:t>blood</w:t>
      </w:r>
      <w:r>
        <w:rPr>
          <w:spacing w:val="-24"/>
        </w:rPr>
        <w:t> </w:t>
      </w:r>
      <w:r>
        <w:rPr/>
        <w:t>poisoning</w:t>
      </w:r>
      <w:r>
        <w:rPr>
          <w:spacing w:val="-26"/>
        </w:rPr>
        <w:t> </w:t>
      </w:r>
      <w:r>
        <w:rPr/>
        <w:t>has</w:t>
      </w:r>
      <w:r>
        <w:rPr>
          <w:spacing w:val="-23"/>
        </w:rPr>
        <w:t> </w:t>
      </w:r>
      <w:r>
        <w:rPr/>
        <w:t>been</w:t>
      </w:r>
      <w:r>
        <w:rPr>
          <w:spacing w:val="-23"/>
        </w:rPr>
        <w:t> </w:t>
      </w:r>
      <w:r>
        <w:rPr/>
        <w:t>treated</w:t>
      </w:r>
      <w:r>
        <w:rPr>
          <w:spacing w:val="-23"/>
        </w:rPr>
        <w:t> </w:t>
      </w:r>
      <w:r>
        <w:rPr/>
        <w:t>long</w:t>
      </w:r>
      <w:r>
        <w:rPr>
          <w:spacing w:val="-24"/>
        </w:rPr>
        <w:t> </w:t>
      </w:r>
      <w:r>
        <w:rPr/>
        <w:t>ago</w:t>
      </w:r>
      <w:r>
        <w:rPr>
          <w:spacing w:val="-24"/>
        </w:rPr>
        <w:t> </w:t>
      </w:r>
      <w:r>
        <w:rPr/>
        <w:t>using</w:t>
      </w:r>
      <w:r>
        <w:rPr>
          <w:spacing w:val="-23"/>
        </w:rPr>
        <w:t> </w:t>
      </w:r>
      <w:r>
        <w:rPr/>
        <w:t>this</w:t>
      </w:r>
      <w:r>
        <w:rPr>
          <w:spacing w:val="-25"/>
        </w:rPr>
        <w:t> </w:t>
      </w:r>
      <w:r>
        <w:rPr/>
        <w:t>method,</w:t>
      </w:r>
      <w:r>
        <w:rPr>
          <w:spacing w:val="-23"/>
        </w:rPr>
        <w:t> </w:t>
      </w:r>
      <w:r>
        <w:rPr/>
        <w:t>with no</w:t>
      </w:r>
      <w:r>
        <w:rPr>
          <w:spacing w:val="-6"/>
        </w:rPr>
        <w:t> </w:t>
      </w:r>
      <w:r>
        <w:rPr/>
        <w:t>side</w:t>
      </w:r>
      <w:r>
        <w:rPr>
          <w:spacing w:val="-9"/>
        </w:rPr>
        <w:t> </w:t>
      </w:r>
      <w:r>
        <w:rPr/>
        <w:t>effects</w:t>
      </w:r>
      <w:r>
        <w:rPr>
          <w:spacing w:val="-8"/>
        </w:rPr>
        <w:t> </w:t>
      </w:r>
      <w:r>
        <w:rPr/>
        <w:t>at</w:t>
      </w:r>
      <w:r>
        <w:rPr>
          <w:spacing w:val="-8"/>
        </w:rPr>
        <w:t> </w:t>
      </w:r>
      <w:r>
        <w:rPr/>
        <w:t>all.</w:t>
      </w:r>
      <w:r>
        <w:rPr>
          <w:spacing w:val="-6"/>
        </w:rPr>
        <w:t> </w:t>
      </w:r>
      <w:r>
        <w:rPr/>
        <w:t>This</w:t>
      </w:r>
      <w:r>
        <w:rPr>
          <w:spacing w:val="-9"/>
        </w:rPr>
        <w:t> </w:t>
      </w:r>
      <w:r>
        <w:rPr/>
        <w:t>too</w:t>
      </w:r>
      <w:r>
        <w:rPr>
          <w:spacing w:val="-7"/>
        </w:rPr>
        <w:t> </w:t>
      </w:r>
      <w:r>
        <w:rPr/>
        <w:t>is</w:t>
      </w:r>
      <w:r>
        <w:rPr>
          <w:spacing w:val="-9"/>
        </w:rPr>
        <w:t> </w:t>
      </w:r>
      <w:r>
        <w:rPr/>
        <w:t>proof</w:t>
      </w:r>
      <w:r>
        <w:rPr>
          <w:spacing w:val="-7"/>
        </w:rPr>
        <w:t> </w:t>
      </w:r>
      <w:r>
        <w:rPr/>
        <w:t>that</w:t>
      </w:r>
      <w:r>
        <w:rPr>
          <w:spacing w:val="-7"/>
        </w:rPr>
        <w:t> </w:t>
      </w:r>
      <w:r>
        <w:rPr/>
        <w:t>colloidal</w:t>
      </w:r>
      <w:r>
        <w:rPr>
          <w:spacing w:val="-8"/>
        </w:rPr>
        <w:t> </w:t>
      </w:r>
      <w:r>
        <w:rPr/>
        <w:t>silver</w:t>
      </w:r>
      <w:r>
        <w:rPr>
          <w:spacing w:val="-6"/>
        </w:rPr>
        <w:t> </w:t>
      </w:r>
      <w:r>
        <w:rPr/>
        <w:t>can</w:t>
      </w:r>
      <w:r>
        <w:rPr>
          <w:spacing w:val="-6"/>
        </w:rPr>
        <w:t> </w:t>
      </w:r>
      <w:r>
        <w:rPr/>
        <w:t>generally</w:t>
      </w:r>
      <w:r>
        <w:rPr>
          <w:spacing w:val="-7"/>
        </w:rPr>
        <w:t> </w:t>
      </w:r>
      <w:r>
        <w:rPr/>
        <w:t>be</w:t>
      </w:r>
      <w:r>
        <w:rPr>
          <w:spacing w:val="-6"/>
        </w:rPr>
        <w:t> </w:t>
      </w:r>
      <w:r>
        <w:rPr/>
        <w:t>used without side</w:t>
      </w:r>
      <w:r>
        <w:rPr>
          <w:spacing w:val="-1"/>
        </w:rPr>
        <w:t> </w:t>
      </w:r>
      <w:r>
        <w:rPr/>
        <w:t>effects.</w:t>
      </w:r>
    </w:p>
    <w:p>
      <w:pPr>
        <w:spacing w:after="0" w:line="276" w:lineRule="auto"/>
        <w:jc w:val="both"/>
        <w:sectPr>
          <w:pgSz w:w="14270" w:h="16850"/>
          <w:pgMar w:header="0" w:footer="1891" w:top="1600" w:bottom="2080" w:left="800" w:right="1280"/>
        </w:sectPr>
      </w:pPr>
    </w:p>
    <w:p>
      <w:pPr>
        <w:pStyle w:val="Heading2"/>
        <w:spacing w:before="181"/>
      </w:pPr>
      <w:r>
        <w:rPr/>
        <w:t>External administration of colloidal silver</w:t>
      </w:r>
    </w:p>
    <w:p>
      <w:pPr>
        <w:pStyle w:val="BodyText"/>
        <w:spacing w:line="276" w:lineRule="auto" w:before="305"/>
        <w:ind w:left="477" w:right="134"/>
        <w:jc w:val="both"/>
      </w:pPr>
      <w:r>
        <w:rPr/>
        <w:t>External application is recommended for inflammatory and bacterial condi- tions, but also acne, open wounds, burns, warts, herpes, athlete's foot, etc. col- loidal silver shows its tremendous versatility here: it can even be used in drop form for eye inflammations!</w:t>
      </w:r>
    </w:p>
    <w:p>
      <w:pPr>
        <w:pStyle w:val="Heading2"/>
        <w:spacing w:before="239"/>
      </w:pPr>
      <w:r>
        <w:rPr/>
        <w:t>Preventive application</w:t>
      </w:r>
    </w:p>
    <w:p>
      <w:pPr>
        <w:pStyle w:val="BodyText"/>
        <w:spacing w:line="276" w:lineRule="auto" w:before="305"/>
        <w:ind w:left="477" w:right="138"/>
        <w:jc w:val="both"/>
      </w:pPr>
      <w:r>
        <w:rPr/>
        <w:t>In order to ensure systematic prevention, it is best to drink colloidal silver</w:t>
      </w:r>
      <w:r>
        <w:rPr>
          <w:spacing w:val="-51"/>
        </w:rPr>
        <w:t> </w:t>
      </w:r>
      <w:r>
        <w:rPr/>
        <w:t>over several days.</w:t>
      </w:r>
    </w:p>
    <w:p>
      <w:pPr>
        <w:pStyle w:val="Heading2"/>
        <w:spacing w:before="241"/>
      </w:pPr>
      <w:r>
        <w:rPr/>
        <w:t>Dosage</w:t>
      </w:r>
    </w:p>
    <w:p>
      <w:pPr>
        <w:pStyle w:val="BodyText"/>
        <w:spacing w:line="276" w:lineRule="auto" w:before="304"/>
        <w:ind w:left="477" w:right="133"/>
        <w:jc w:val="both"/>
      </w:pPr>
      <w:r>
        <w:rPr/>
        <w:t>Josef Pies, the author of the book ‘Immun mit kolloidalem Silber’ (‘Immune with</w:t>
      </w:r>
      <w:r>
        <w:rPr>
          <w:spacing w:val="-14"/>
        </w:rPr>
        <w:t> </w:t>
      </w:r>
      <w:r>
        <w:rPr/>
        <w:t>Colloidal</w:t>
      </w:r>
      <w:r>
        <w:rPr>
          <w:spacing w:val="-15"/>
        </w:rPr>
        <w:t> </w:t>
      </w:r>
      <w:r>
        <w:rPr/>
        <w:t>Silver’),</w:t>
      </w:r>
      <w:r>
        <w:rPr>
          <w:spacing w:val="-14"/>
        </w:rPr>
        <w:t> </w:t>
      </w:r>
      <w:r>
        <w:rPr/>
        <w:t>recommends</w:t>
      </w:r>
      <w:r>
        <w:rPr>
          <w:spacing w:val="-13"/>
        </w:rPr>
        <w:t> </w:t>
      </w:r>
      <w:r>
        <w:rPr/>
        <w:t>a</w:t>
      </w:r>
      <w:r>
        <w:rPr>
          <w:spacing w:val="-15"/>
        </w:rPr>
        <w:t> </w:t>
      </w:r>
      <w:r>
        <w:rPr/>
        <w:t>low</w:t>
      </w:r>
      <w:r>
        <w:rPr>
          <w:spacing w:val="-14"/>
        </w:rPr>
        <w:t> </w:t>
      </w:r>
      <w:r>
        <w:rPr/>
        <w:t>dosage,</w:t>
      </w:r>
      <w:r>
        <w:rPr>
          <w:spacing w:val="-13"/>
        </w:rPr>
        <w:t> </w:t>
      </w:r>
      <w:r>
        <w:rPr/>
        <w:t>as</w:t>
      </w:r>
      <w:r>
        <w:rPr>
          <w:spacing w:val="-14"/>
        </w:rPr>
        <w:t> </w:t>
      </w:r>
      <w:r>
        <w:rPr/>
        <w:t>experience</w:t>
      </w:r>
      <w:r>
        <w:rPr>
          <w:spacing w:val="-16"/>
        </w:rPr>
        <w:t> </w:t>
      </w:r>
      <w:r>
        <w:rPr/>
        <w:t>shows</w:t>
      </w:r>
      <w:r>
        <w:rPr>
          <w:spacing w:val="-14"/>
        </w:rPr>
        <w:t> </w:t>
      </w:r>
      <w:r>
        <w:rPr/>
        <w:t>that</w:t>
      </w:r>
      <w:r>
        <w:rPr>
          <w:spacing w:val="-14"/>
        </w:rPr>
        <w:t> </w:t>
      </w:r>
      <w:r>
        <w:rPr/>
        <w:t>col- loidal silver helps in even the smallest amounts. The colloidal form, the micro- scopic silver particles, infiltrate every little corner of our body and our organs and can thus unfold their effect</w:t>
      </w:r>
      <w:r>
        <w:rPr>
          <w:spacing w:val="4"/>
        </w:rPr>
        <w:t> </w:t>
      </w:r>
      <w:r>
        <w:rPr/>
        <w:t>everywhere.</w:t>
      </w:r>
    </w:p>
    <w:p>
      <w:pPr>
        <w:pStyle w:val="BodyText"/>
        <w:spacing w:line="276" w:lineRule="auto" w:before="240"/>
        <w:ind w:left="477" w:right="144"/>
        <w:jc w:val="both"/>
      </w:pPr>
      <w:r>
        <w:rPr/>
        <w:t>In some cases, usually in chronic diseases, a higher dosage may be appropriate, but such a decision should be left to experienced naturopaths and therapists.</w:t>
      </w:r>
    </w:p>
    <w:p>
      <w:pPr>
        <w:pStyle w:val="BodyText"/>
        <w:spacing w:before="241"/>
        <w:ind w:left="477"/>
        <w:jc w:val="both"/>
      </w:pPr>
      <w:r>
        <w:rPr/>
        <w:t>According to a report from Heilbronn Naturheilpraxis (Heilbronn Naturopathy</w:t>
      </w:r>
    </w:p>
    <w:p>
      <w:pPr>
        <w:spacing w:after="0"/>
        <w:jc w:val="both"/>
        <w:sectPr>
          <w:pgSz w:w="14270" w:h="16850"/>
          <w:pgMar w:header="0" w:footer="1891" w:top="1600" w:bottom="2080" w:left="800" w:right="1280"/>
        </w:sectPr>
      </w:pPr>
    </w:p>
    <w:p>
      <w:pPr>
        <w:pStyle w:val="BodyText"/>
        <w:spacing w:line="276" w:lineRule="auto" w:before="181"/>
        <w:ind w:left="477" w:right="132"/>
        <w:jc w:val="both"/>
      </w:pPr>
      <w:r>
        <w:rPr/>
        <w:t>Practice)</w:t>
      </w:r>
      <w:r>
        <w:rPr>
          <w:position w:val="9"/>
          <w:sz w:val="25"/>
        </w:rPr>
        <w:t>424</w:t>
      </w:r>
      <w:r>
        <w:rPr/>
        <w:t>,</w:t>
      </w:r>
      <w:r>
        <w:rPr>
          <w:spacing w:val="-10"/>
        </w:rPr>
        <w:t> </w:t>
      </w:r>
      <w:r>
        <w:rPr/>
        <w:t>the</w:t>
      </w:r>
      <w:r>
        <w:rPr>
          <w:spacing w:val="-12"/>
        </w:rPr>
        <w:t> </w:t>
      </w:r>
      <w:r>
        <w:rPr/>
        <w:t>staff</w:t>
      </w:r>
      <w:r>
        <w:rPr>
          <w:spacing w:val="-11"/>
        </w:rPr>
        <w:t> </w:t>
      </w:r>
      <w:r>
        <w:rPr/>
        <w:t>first</w:t>
      </w:r>
      <w:r>
        <w:rPr>
          <w:spacing w:val="-11"/>
        </w:rPr>
        <w:t> </w:t>
      </w:r>
      <w:r>
        <w:rPr/>
        <w:t>tried</w:t>
      </w:r>
      <w:r>
        <w:rPr>
          <w:spacing w:val="-10"/>
        </w:rPr>
        <w:t> </w:t>
      </w:r>
      <w:r>
        <w:rPr/>
        <w:t>higher</w:t>
      </w:r>
      <w:r>
        <w:rPr>
          <w:spacing w:val="-10"/>
        </w:rPr>
        <w:t> </w:t>
      </w:r>
      <w:r>
        <w:rPr/>
        <w:t>doses</w:t>
      </w:r>
      <w:r>
        <w:rPr>
          <w:spacing w:val="-12"/>
        </w:rPr>
        <w:t> </w:t>
      </w:r>
      <w:r>
        <w:rPr/>
        <w:t>(100</w:t>
      </w:r>
      <w:r>
        <w:rPr>
          <w:spacing w:val="-12"/>
        </w:rPr>
        <w:t> </w:t>
      </w:r>
      <w:r>
        <w:rPr/>
        <w:t>ppm</w:t>
      </w:r>
      <w:r>
        <w:rPr>
          <w:spacing w:val="-11"/>
        </w:rPr>
        <w:t> </w:t>
      </w:r>
      <w:r>
        <w:rPr/>
        <w:t>up</w:t>
      </w:r>
      <w:r>
        <w:rPr>
          <w:spacing w:val="-11"/>
        </w:rPr>
        <w:t> </w:t>
      </w:r>
      <w:r>
        <w:rPr/>
        <w:t>to</w:t>
      </w:r>
      <w:r>
        <w:rPr>
          <w:spacing w:val="-10"/>
        </w:rPr>
        <w:t> </w:t>
      </w:r>
      <w:r>
        <w:rPr/>
        <w:t>4</w:t>
      </w:r>
      <w:r>
        <w:rPr>
          <w:spacing w:val="-10"/>
        </w:rPr>
        <w:t> </w:t>
      </w:r>
      <w:r>
        <w:rPr/>
        <w:t>x</w:t>
      </w:r>
      <w:r>
        <w:rPr>
          <w:spacing w:val="-12"/>
        </w:rPr>
        <w:t> </w:t>
      </w:r>
      <w:r>
        <w:rPr/>
        <w:t>200</w:t>
      </w:r>
      <w:r>
        <w:rPr>
          <w:spacing w:val="-14"/>
        </w:rPr>
        <w:t> </w:t>
      </w:r>
      <w:r>
        <w:rPr/>
        <w:t>ml</w:t>
      </w:r>
      <w:r>
        <w:rPr>
          <w:spacing w:val="-11"/>
        </w:rPr>
        <w:t> </w:t>
      </w:r>
      <w:r>
        <w:rPr/>
        <w:t>per</w:t>
      </w:r>
      <w:r>
        <w:rPr>
          <w:spacing w:val="-11"/>
        </w:rPr>
        <w:t> </w:t>
      </w:r>
      <w:r>
        <w:rPr/>
        <w:t>day) of colloidal silver on themselves, without experiencing any side effects and, ac- cording</w:t>
      </w:r>
      <w:r>
        <w:rPr>
          <w:spacing w:val="-16"/>
        </w:rPr>
        <w:t> </w:t>
      </w:r>
      <w:r>
        <w:rPr/>
        <w:t>to</w:t>
      </w:r>
      <w:r>
        <w:rPr>
          <w:spacing w:val="-18"/>
        </w:rPr>
        <w:t> </w:t>
      </w:r>
      <w:r>
        <w:rPr/>
        <w:t>their</w:t>
      </w:r>
      <w:r>
        <w:rPr>
          <w:spacing w:val="-18"/>
        </w:rPr>
        <w:t> </w:t>
      </w:r>
      <w:r>
        <w:rPr/>
        <w:t>own</w:t>
      </w:r>
      <w:r>
        <w:rPr>
          <w:spacing w:val="-15"/>
        </w:rPr>
        <w:t> </w:t>
      </w:r>
      <w:r>
        <w:rPr/>
        <w:t>statements,</w:t>
      </w:r>
      <w:r>
        <w:rPr>
          <w:spacing w:val="-18"/>
        </w:rPr>
        <w:t> </w:t>
      </w:r>
      <w:r>
        <w:rPr/>
        <w:t>subsequently</w:t>
      </w:r>
      <w:r>
        <w:rPr>
          <w:spacing w:val="-16"/>
        </w:rPr>
        <w:t> </w:t>
      </w:r>
      <w:r>
        <w:rPr/>
        <w:t>took</w:t>
      </w:r>
      <w:r>
        <w:rPr>
          <w:spacing w:val="-17"/>
        </w:rPr>
        <w:t> </w:t>
      </w:r>
      <w:r>
        <w:rPr/>
        <w:t>50-200</w:t>
      </w:r>
      <w:r>
        <w:rPr>
          <w:spacing w:val="-17"/>
        </w:rPr>
        <w:t> </w:t>
      </w:r>
      <w:r>
        <w:rPr/>
        <w:t>ml</w:t>
      </w:r>
      <w:r>
        <w:rPr>
          <w:spacing w:val="-17"/>
        </w:rPr>
        <w:t> </w:t>
      </w:r>
      <w:r>
        <w:rPr/>
        <w:t>of</w:t>
      </w:r>
      <w:r>
        <w:rPr>
          <w:spacing w:val="-18"/>
        </w:rPr>
        <w:t> </w:t>
      </w:r>
      <w:r>
        <w:rPr/>
        <w:t>colloidal</w:t>
      </w:r>
      <w:r>
        <w:rPr>
          <w:spacing w:val="-18"/>
        </w:rPr>
        <w:t> </w:t>
      </w:r>
      <w:r>
        <w:rPr/>
        <w:t>silver in a concentration of 25 ppm several times a day for all infectious diseases, achieving success in a ‘maximum number of cases without observing any</w:t>
      </w:r>
      <w:r>
        <w:rPr>
          <w:spacing w:val="-57"/>
        </w:rPr>
        <w:t> </w:t>
      </w:r>
      <w:r>
        <w:rPr/>
        <w:t>nega- tive side</w:t>
      </w:r>
      <w:r>
        <w:rPr>
          <w:spacing w:val="-2"/>
        </w:rPr>
        <w:t> </w:t>
      </w:r>
      <w:r>
        <w:rPr/>
        <w:t>effects’.</w:t>
      </w:r>
    </w:p>
    <w:p>
      <w:pPr>
        <w:pStyle w:val="BodyText"/>
        <w:spacing w:line="276" w:lineRule="auto" w:before="241"/>
        <w:ind w:left="477" w:right="137"/>
        <w:jc w:val="both"/>
        <w:rPr>
          <w:sz w:val="25"/>
        </w:rPr>
      </w:pPr>
      <w:r>
        <w:rPr/>
        <w:t>Naturopathic practice argues that quantities of 150-200 ml are appropriate and can produce positive results in adults.</w:t>
      </w:r>
      <w:r>
        <w:rPr>
          <w:position w:val="9"/>
          <w:sz w:val="25"/>
        </w:rPr>
        <w:t>425</w:t>
      </w:r>
    </w:p>
    <w:p>
      <w:pPr>
        <w:pStyle w:val="BodyText"/>
        <w:spacing w:line="276" w:lineRule="auto" w:before="241"/>
        <w:ind w:left="477" w:right="137"/>
        <w:jc w:val="both"/>
      </w:pPr>
      <w:r>
        <w:rPr/>
        <w:t>However, since colloidal silver effects both the direct destruction of the para- sites and indirectly effects the strengthening of the immune system and every human</w:t>
      </w:r>
      <w:r>
        <w:rPr>
          <w:spacing w:val="-12"/>
        </w:rPr>
        <w:t> </w:t>
      </w:r>
      <w:r>
        <w:rPr/>
        <w:t>(and</w:t>
      </w:r>
      <w:r>
        <w:rPr>
          <w:spacing w:val="-11"/>
        </w:rPr>
        <w:t> </w:t>
      </w:r>
      <w:r>
        <w:rPr/>
        <w:t>animal)</w:t>
      </w:r>
      <w:r>
        <w:rPr>
          <w:spacing w:val="-13"/>
        </w:rPr>
        <w:t> </w:t>
      </w:r>
      <w:r>
        <w:rPr/>
        <w:t>organism</w:t>
      </w:r>
      <w:r>
        <w:rPr>
          <w:spacing w:val="-11"/>
        </w:rPr>
        <w:t> </w:t>
      </w:r>
      <w:r>
        <w:rPr/>
        <w:t>is</w:t>
      </w:r>
      <w:r>
        <w:rPr>
          <w:spacing w:val="-12"/>
        </w:rPr>
        <w:t> </w:t>
      </w:r>
      <w:r>
        <w:rPr/>
        <w:t>unique,</w:t>
      </w:r>
      <w:r>
        <w:rPr>
          <w:spacing w:val="-11"/>
        </w:rPr>
        <w:t> </w:t>
      </w:r>
      <w:r>
        <w:rPr/>
        <w:t>one</w:t>
      </w:r>
      <w:r>
        <w:rPr>
          <w:spacing w:val="-11"/>
        </w:rPr>
        <w:t> </w:t>
      </w:r>
      <w:r>
        <w:rPr/>
        <w:t>cannot</w:t>
      </w:r>
      <w:r>
        <w:rPr>
          <w:spacing w:val="-11"/>
        </w:rPr>
        <w:t> </w:t>
      </w:r>
      <w:r>
        <w:rPr/>
        <w:t>give</w:t>
      </w:r>
      <w:r>
        <w:rPr>
          <w:spacing w:val="-12"/>
        </w:rPr>
        <w:t> </w:t>
      </w:r>
      <w:r>
        <w:rPr/>
        <w:t>blanket</w:t>
      </w:r>
      <w:r>
        <w:rPr>
          <w:spacing w:val="-12"/>
        </w:rPr>
        <w:t> </w:t>
      </w:r>
      <w:r>
        <w:rPr/>
        <w:t>dosing</w:t>
      </w:r>
      <w:r>
        <w:rPr>
          <w:spacing w:val="-11"/>
        </w:rPr>
        <w:t> </w:t>
      </w:r>
      <w:r>
        <w:rPr/>
        <w:t>advice. Rather, each person needs to approach the problem wisely and to test how much colloidal silver they need to gain enough powers of</w:t>
      </w:r>
      <w:r>
        <w:rPr>
          <w:spacing w:val="-8"/>
        </w:rPr>
        <w:t> </w:t>
      </w:r>
      <w:r>
        <w:rPr/>
        <w:t>resistance.</w:t>
      </w:r>
    </w:p>
    <w:p>
      <w:pPr>
        <w:pStyle w:val="BodyText"/>
        <w:spacing w:line="276" w:lineRule="auto" w:before="239"/>
        <w:ind w:left="477" w:right="133"/>
        <w:jc w:val="both"/>
      </w:pPr>
      <w:r>
        <w:rPr/>
        <w:t>The most important premise here is definitely the use of pure silver (instead of salt or proteins), since pure silver produces the greatest possible effect with</w:t>
      </w:r>
      <w:r>
        <w:rPr>
          <w:spacing w:val="-50"/>
        </w:rPr>
        <w:t> </w:t>
      </w:r>
      <w:r>
        <w:rPr/>
        <w:t>the least possible side effects.</w:t>
      </w:r>
    </w:p>
    <w:p>
      <w:pPr>
        <w:pStyle w:val="BodyText"/>
        <w:spacing w:line="276" w:lineRule="auto" w:before="242"/>
        <w:ind w:left="477" w:right="131"/>
        <w:jc w:val="both"/>
      </w:pPr>
      <w:r>
        <w:rPr/>
        <w:t>The</w:t>
      </w:r>
      <w:r>
        <w:rPr>
          <w:spacing w:val="-6"/>
        </w:rPr>
        <w:t> </w:t>
      </w:r>
      <w:r>
        <w:rPr/>
        <w:t>smaller</w:t>
      </w:r>
      <w:r>
        <w:rPr>
          <w:spacing w:val="-6"/>
        </w:rPr>
        <w:t> </w:t>
      </w:r>
      <w:r>
        <w:rPr/>
        <w:t>the</w:t>
      </w:r>
      <w:r>
        <w:rPr>
          <w:spacing w:val="-11"/>
        </w:rPr>
        <w:t> </w:t>
      </w:r>
      <w:r>
        <w:rPr/>
        <w:t>silver</w:t>
      </w:r>
      <w:r>
        <w:rPr>
          <w:spacing w:val="-6"/>
        </w:rPr>
        <w:t> </w:t>
      </w:r>
      <w:r>
        <w:rPr/>
        <w:t>particles,</w:t>
      </w:r>
      <w:r>
        <w:rPr>
          <w:spacing w:val="-5"/>
        </w:rPr>
        <w:t> </w:t>
      </w:r>
      <w:r>
        <w:rPr/>
        <w:t>the</w:t>
      </w:r>
      <w:r>
        <w:rPr>
          <w:spacing w:val="-6"/>
        </w:rPr>
        <w:t> </w:t>
      </w:r>
      <w:r>
        <w:rPr/>
        <w:t>fewer</w:t>
      </w:r>
      <w:r>
        <w:rPr>
          <w:spacing w:val="-9"/>
        </w:rPr>
        <w:t> </w:t>
      </w:r>
      <w:r>
        <w:rPr/>
        <w:t>needed</w:t>
      </w:r>
      <w:r>
        <w:rPr>
          <w:spacing w:val="-9"/>
        </w:rPr>
        <w:t> </w:t>
      </w:r>
      <w:r>
        <w:rPr/>
        <w:t>in</w:t>
      </w:r>
      <w:r>
        <w:rPr>
          <w:spacing w:val="-8"/>
        </w:rPr>
        <w:t> </w:t>
      </w:r>
      <w:r>
        <w:rPr/>
        <w:t>the</w:t>
      </w:r>
      <w:r>
        <w:rPr>
          <w:spacing w:val="-8"/>
        </w:rPr>
        <w:t> </w:t>
      </w:r>
      <w:r>
        <w:rPr/>
        <w:t>liquid</w:t>
      </w:r>
      <w:r>
        <w:rPr>
          <w:spacing w:val="-6"/>
        </w:rPr>
        <w:t> </w:t>
      </w:r>
      <w:r>
        <w:rPr/>
        <w:t>to</w:t>
      </w:r>
      <w:r>
        <w:rPr>
          <w:spacing w:val="-9"/>
        </w:rPr>
        <w:t> </w:t>
      </w:r>
      <w:r>
        <w:rPr/>
        <w:t>have</w:t>
      </w:r>
      <w:r>
        <w:rPr>
          <w:spacing w:val="-6"/>
        </w:rPr>
        <w:t> </w:t>
      </w:r>
      <w:r>
        <w:rPr/>
        <w:t>an</w:t>
      </w:r>
      <w:r>
        <w:rPr>
          <w:spacing w:val="-7"/>
        </w:rPr>
        <w:t> </w:t>
      </w:r>
      <w:r>
        <w:rPr/>
        <w:t>effect. Another premise has already been mentioned: consulting the advice of trained naturopaths on higher dosages of colloidal</w:t>
      </w:r>
      <w:r>
        <w:rPr>
          <w:spacing w:val="-1"/>
        </w:rPr>
        <w:t> </w:t>
      </w:r>
      <w:r>
        <w:rPr/>
        <w:t>silver.</w:t>
      </w:r>
    </w:p>
    <w:p>
      <w:pPr>
        <w:pStyle w:val="BodyText"/>
        <w:spacing w:before="239"/>
        <w:ind w:left="477"/>
        <w:jc w:val="both"/>
      </w:pPr>
      <w:r>
        <w:rPr/>
        <w:t>For internal use, rather low concentrations (number of silver particles in the</w:t>
      </w:r>
    </w:p>
    <w:p>
      <w:pPr>
        <w:pStyle w:val="BodyText"/>
        <w:spacing w:before="9"/>
        <w:rPr>
          <w:sz w:val="23"/>
        </w:rPr>
      </w:pPr>
      <w:r>
        <w:rPr/>
        <w:pict>
          <v:line style="position:absolute;mso-position-horizontal-relative:page;mso-position-vertical-relative:paragraph;z-index:5168;mso-wrap-distance-left:0;mso-wrap-distance-right:0" from="63.863998pt,15.771235pt" to="207.883998pt,15.771235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424 </w:t>
      </w:r>
      <w:r>
        <w:rPr>
          <w:sz w:val="20"/>
        </w:rPr>
        <w:t>Josef Pies: Immun mit kolloidalem Silber (‘Immune with Colloidal Silver’), 2009, p. 51</w:t>
      </w:r>
      <w:r>
        <w:rPr>
          <w:spacing w:val="-16"/>
          <w:sz w:val="20"/>
        </w:rPr>
        <w:t> </w:t>
      </w:r>
      <w:r>
        <w:rPr>
          <w:sz w:val="20"/>
        </w:rPr>
        <w:t>f.</w:t>
      </w:r>
    </w:p>
    <w:p>
      <w:pPr>
        <w:spacing w:before="94"/>
        <w:ind w:left="477" w:right="0" w:firstLine="0"/>
        <w:jc w:val="left"/>
        <w:rPr>
          <w:sz w:val="20"/>
        </w:rPr>
      </w:pPr>
      <w:r>
        <w:rPr>
          <w:position w:val="5"/>
          <w:sz w:val="13"/>
        </w:rPr>
        <w:t>425 </w:t>
      </w:r>
      <w:r>
        <w:rPr>
          <w:sz w:val="20"/>
        </w:rPr>
        <w:t>Josef Pies: Immun mit kolloidalem Silber (‘Immune with Colloidal Silver’), 2009, p. 51</w:t>
      </w:r>
      <w:r>
        <w:rPr>
          <w:spacing w:val="-16"/>
          <w:sz w:val="20"/>
        </w:rPr>
        <w:t> </w:t>
      </w:r>
      <w:r>
        <w:rPr>
          <w:sz w:val="20"/>
        </w:rPr>
        <w:t>f.</w:t>
      </w:r>
    </w:p>
    <w:p>
      <w:pPr>
        <w:spacing w:after="0"/>
        <w:jc w:val="left"/>
        <w:rPr>
          <w:sz w:val="20"/>
        </w:rPr>
        <w:sectPr>
          <w:pgSz w:w="14270" w:h="16850"/>
          <w:pgMar w:header="0" w:footer="1891" w:top="1600" w:bottom="2080" w:left="800" w:right="1280"/>
        </w:sectPr>
      </w:pPr>
    </w:p>
    <w:p>
      <w:pPr>
        <w:pStyle w:val="BodyText"/>
        <w:spacing w:line="276" w:lineRule="auto" w:before="181"/>
        <w:ind w:left="477" w:right="133"/>
        <w:jc w:val="both"/>
      </w:pPr>
      <w:r>
        <w:rPr/>
        <w:t>liquid)</w:t>
      </w:r>
      <w:r>
        <w:rPr>
          <w:spacing w:val="-21"/>
        </w:rPr>
        <w:t> </w:t>
      </w:r>
      <w:r>
        <w:rPr/>
        <w:t>are</w:t>
      </w:r>
      <w:r>
        <w:rPr>
          <w:spacing w:val="-19"/>
        </w:rPr>
        <w:t> </w:t>
      </w:r>
      <w:r>
        <w:rPr/>
        <w:t>common,</w:t>
      </w:r>
      <w:r>
        <w:rPr>
          <w:spacing w:val="-19"/>
        </w:rPr>
        <w:t> </w:t>
      </w:r>
      <w:r>
        <w:rPr/>
        <w:t>with</w:t>
      </w:r>
      <w:r>
        <w:rPr>
          <w:spacing w:val="-18"/>
        </w:rPr>
        <w:t> </w:t>
      </w:r>
      <w:r>
        <w:rPr/>
        <w:t>external</w:t>
      </w:r>
      <w:r>
        <w:rPr>
          <w:spacing w:val="-20"/>
        </w:rPr>
        <w:t> </w:t>
      </w:r>
      <w:r>
        <w:rPr/>
        <w:t>application,</w:t>
      </w:r>
      <w:r>
        <w:rPr>
          <w:spacing w:val="-21"/>
        </w:rPr>
        <w:t> </w:t>
      </w:r>
      <w:r>
        <w:rPr/>
        <w:t>one</w:t>
      </w:r>
      <w:r>
        <w:rPr>
          <w:spacing w:val="-19"/>
        </w:rPr>
        <w:t> </w:t>
      </w:r>
      <w:r>
        <w:rPr/>
        <w:t>can</w:t>
      </w:r>
      <w:r>
        <w:rPr>
          <w:spacing w:val="-21"/>
        </w:rPr>
        <w:t> </w:t>
      </w:r>
      <w:r>
        <w:rPr/>
        <w:t>use</w:t>
      </w:r>
      <w:r>
        <w:rPr>
          <w:spacing w:val="-21"/>
        </w:rPr>
        <w:t> </w:t>
      </w:r>
      <w:r>
        <w:rPr/>
        <w:t>higher-dose</w:t>
      </w:r>
      <w:r>
        <w:rPr>
          <w:spacing w:val="-19"/>
        </w:rPr>
        <w:t> </w:t>
      </w:r>
      <w:r>
        <w:rPr/>
        <w:t>colloidal silver.</w:t>
      </w:r>
    </w:p>
    <w:p>
      <w:pPr>
        <w:pStyle w:val="BodyText"/>
        <w:spacing w:line="276" w:lineRule="auto" w:before="241"/>
        <w:ind w:left="477" w:right="130"/>
        <w:jc w:val="both"/>
      </w:pPr>
      <w:r>
        <w:rPr/>
        <w:t>According to Jefferson (2003), to prevent disease, you can regularly take about a</w:t>
      </w:r>
      <w:r>
        <w:rPr>
          <w:spacing w:val="-10"/>
        </w:rPr>
        <w:t> </w:t>
      </w:r>
      <w:r>
        <w:rPr/>
        <w:t>teaspoon</w:t>
      </w:r>
      <w:r>
        <w:rPr>
          <w:spacing w:val="-10"/>
        </w:rPr>
        <w:t> </w:t>
      </w:r>
      <w:r>
        <w:rPr/>
        <w:t>5</w:t>
      </w:r>
      <w:r>
        <w:rPr>
          <w:spacing w:val="-12"/>
        </w:rPr>
        <w:t> </w:t>
      </w:r>
      <w:r>
        <w:rPr/>
        <w:t>ppm</w:t>
      </w:r>
      <w:r>
        <w:rPr>
          <w:spacing w:val="-9"/>
        </w:rPr>
        <w:t> </w:t>
      </w:r>
      <w:r>
        <w:rPr/>
        <w:t>(about</w:t>
      </w:r>
      <w:r>
        <w:rPr>
          <w:spacing w:val="-11"/>
        </w:rPr>
        <w:t> </w:t>
      </w:r>
      <w:r>
        <w:rPr/>
        <w:t>50</w:t>
      </w:r>
      <w:r>
        <w:rPr>
          <w:spacing w:val="-9"/>
        </w:rPr>
        <w:t> </w:t>
      </w:r>
      <w:r>
        <w:rPr/>
        <w:t>micrograms)</w:t>
      </w:r>
      <w:r>
        <w:rPr>
          <w:spacing w:val="-9"/>
        </w:rPr>
        <w:t> </w:t>
      </w:r>
      <w:r>
        <w:rPr/>
        <w:t>to</w:t>
      </w:r>
      <w:r>
        <w:rPr>
          <w:spacing w:val="-10"/>
        </w:rPr>
        <w:t> </w:t>
      </w:r>
      <w:r>
        <w:rPr/>
        <w:t>prevent</w:t>
      </w:r>
      <w:r>
        <w:rPr>
          <w:spacing w:val="-9"/>
        </w:rPr>
        <w:t> </w:t>
      </w:r>
      <w:r>
        <w:rPr/>
        <w:t>a</w:t>
      </w:r>
      <w:r>
        <w:rPr>
          <w:spacing w:val="-12"/>
        </w:rPr>
        <w:t> </w:t>
      </w:r>
      <w:r>
        <w:rPr/>
        <w:t>cold</w:t>
      </w:r>
      <w:r>
        <w:rPr>
          <w:spacing w:val="-10"/>
        </w:rPr>
        <w:t> </w:t>
      </w:r>
      <w:r>
        <w:rPr/>
        <w:t>in</w:t>
      </w:r>
      <w:r>
        <w:rPr>
          <w:spacing w:val="-11"/>
        </w:rPr>
        <w:t> </w:t>
      </w:r>
      <w:r>
        <w:rPr/>
        <w:t>winter,</w:t>
      </w:r>
      <w:r>
        <w:rPr>
          <w:spacing w:val="-8"/>
        </w:rPr>
        <w:t> </w:t>
      </w:r>
      <w:r>
        <w:rPr/>
        <w:t>for</w:t>
      </w:r>
      <w:r>
        <w:rPr>
          <w:spacing w:val="-10"/>
        </w:rPr>
        <w:t> </w:t>
      </w:r>
      <w:r>
        <w:rPr/>
        <w:t>exam- ple.</w:t>
      </w:r>
    </w:p>
    <w:p>
      <w:pPr>
        <w:pStyle w:val="BodyText"/>
        <w:spacing w:line="276" w:lineRule="auto" w:before="239"/>
        <w:ind w:left="477" w:right="135"/>
        <w:jc w:val="both"/>
      </w:pPr>
      <w:r>
        <w:rPr/>
        <w:t>In times of urgent need, you can also take 30 millilitres with a concentration of 5-10</w:t>
      </w:r>
      <w:r>
        <w:rPr>
          <w:spacing w:val="-23"/>
        </w:rPr>
        <w:t> </w:t>
      </w:r>
      <w:r>
        <w:rPr/>
        <w:t>ppm</w:t>
      </w:r>
      <w:r>
        <w:rPr>
          <w:spacing w:val="-21"/>
        </w:rPr>
        <w:t> </w:t>
      </w:r>
      <w:r>
        <w:rPr/>
        <w:t>and</w:t>
      </w:r>
      <w:r>
        <w:rPr>
          <w:spacing w:val="-21"/>
        </w:rPr>
        <w:t> </w:t>
      </w:r>
      <w:r>
        <w:rPr/>
        <w:t>for</w:t>
      </w:r>
      <w:r>
        <w:rPr>
          <w:spacing w:val="-22"/>
        </w:rPr>
        <w:t> </w:t>
      </w:r>
      <w:r>
        <w:rPr/>
        <w:t>severe</w:t>
      </w:r>
      <w:r>
        <w:rPr>
          <w:spacing w:val="-24"/>
        </w:rPr>
        <w:t> </w:t>
      </w:r>
      <w:r>
        <w:rPr/>
        <w:t>and</w:t>
      </w:r>
      <w:r>
        <w:rPr>
          <w:spacing w:val="-21"/>
        </w:rPr>
        <w:t> </w:t>
      </w:r>
      <w:r>
        <w:rPr/>
        <w:t>chronic</w:t>
      </w:r>
      <w:r>
        <w:rPr>
          <w:spacing w:val="-22"/>
        </w:rPr>
        <w:t> </w:t>
      </w:r>
      <w:r>
        <w:rPr/>
        <w:t>diseases,</w:t>
      </w:r>
      <w:r>
        <w:rPr>
          <w:spacing w:val="-23"/>
        </w:rPr>
        <w:t> </w:t>
      </w:r>
      <w:r>
        <w:rPr/>
        <w:t>this</w:t>
      </w:r>
      <w:r>
        <w:rPr>
          <w:spacing w:val="-21"/>
        </w:rPr>
        <w:t> </w:t>
      </w:r>
      <w:r>
        <w:rPr/>
        <w:t>amount</w:t>
      </w:r>
      <w:r>
        <w:rPr>
          <w:spacing w:val="-21"/>
        </w:rPr>
        <w:t> </w:t>
      </w:r>
      <w:r>
        <w:rPr/>
        <w:t>should</w:t>
      </w:r>
      <w:r>
        <w:rPr>
          <w:spacing w:val="-22"/>
        </w:rPr>
        <w:t> </w:t>
      </w:r>
      <w:r>
        <w:rPr/>
        <w:t>be</w:t>
      </w:r>
      <w:r>
        <w:rPr>
          <w:spacing w:val="-24"/>
        </w:rPr>
        <w:t> </w:t>
      </w:r>
      <w:r>
        <w:rPr/>
        <w:t>taken</w:t>
      </w:r>
      <w:r>
        <w:rPr>
          <w:spacing w:val="-21"/>
        </w:rPr>
        <w:t> </w:t>
      </w:r>
      <w:r>
        <w:rPr/>
        <w:t>over a period of three to four months and</w:t>
      </w:r>
      <w:r>
        <w:rPr>
          <w:spacing w:val="-1"/>
        </w:rPr>
        <w:t> </w:t>
      </w:r>
      <w:r>
        <w:rPr/>
        <w:t>longer.</w:t>
      </w:r>
    </w:p>
    <w:p>
      <w:pPr>
        <w:pStyle w:val="BodyText"/>
        <w:spacing w:line="276" w:lineRule="auto" w:before="242"/>
        <w:ind w:left="477" w:right="137"/>
        <w:jc w:val="both"/>
      </w:pPr>
      <w:r>
        <w:rPr/>
        <w:t>If you want to know a reliable maximum that should not be exceeded, the American FDA's maximum daily allowance can be a guideline that specifies a maximum daily allowance of 5 micrograms per kilogram of body weight.</w:t>
      </w:r>
    </w:p>
    <w:p>
      <w:pPr>
        <w:pStyle w:val="Heading2"/>
        <w:spacing w:before="238"/>
      </w:pPr>
      <w:r>
        <w:rPr/>
        <w:t>Colloidal silver for prophylaxis</w:t>
      </w:r>
    </w:p>
    <w:p>
      <w:pPr>
        <w:pStyle w:val="BodyText"/>
        <w:spacing w:line="276" w:lineRule="auto" w:before="305"/>
        <w:ind w:left="477" w:right="138"/>
        <w:jc w:val="both"/>
      </w:pPr>
      <w:r>
        <w:rPr/>
        <w:t>Adults: One teaspoon (plastic spoon) of colloidal silver once a day before a meal.</w:t>
      </w:r>
    </w:p>
    <w:p>
      <w:pPr>
        <w:pStyle w:val="BodyText"/>
        <w:spacing w:before="241"/>
        <w:ind w:left="477"/>
      </w:pPr>
      <w:r>
        <w:rPr/>
        <w:t>Children: see instructions for ‘Adults’, but only half a teaspoon.</w:t>
      </w:r>
    </w:p>
    <w:p>
      <w:pPr>
        <w:pStyle w:val="Heading2"/>
        <w:spacing w:before="304"/>
      </w:pPr>
      <w:r>
        <w:rPr/>
        <w:t>Colloidal silver in case of illness</w:t>
      </w:r>
    </w:p>
    <w:p>
      <w:pPr>
        <w:pStyle w:val="BodyText"/>
        <w:spacing w:line="276" w:lineRule="auto" w:before="305"/>
        <w:ind w:left="477" w:right="133"/>
        <w:jc w:val="both"/>
      </w:pPr>
      <w:r>
        <w:rPr/>
        <w:t>In</w:t>
      </w:r>
      <w:r>
        <w:rPr>
          <w:spacing w:val="-18"/>
        </w:rPr>
        <w:t> </w:t>
      </w:r>
      <w:r>
        <w:rPr/>
        <w:t>case</w:t>
      </w:r>
      <w:r>
        <w:rPr>
          <w:spacing w:val="-17"/>
        </w:rPr>
        <w:t> </w:t>
      </w:r>
      <w:r>
        <w:rPr/>
        <w:t>of</w:t>
      </w:r>
      <w:r>
        <w:rPr>
          <w:spacing w:val="-18"/>
        </w:rPr>
        <w:t> </w:t>
      </w:r>
      <w:r>
        <w:rPr/>
        <w:t>illness</w:t>
      </w:r>
      <w:r>
        <w:rPr>
          <w:spacing w:val="-19"/>
        </w:rPr>
        <w:t> </w:t>
      </w:r>
      <w:r>
        <w:rPr/>
        <w:t>or</w:t>
      </w:r>
      <w:r>
        <w:rPr>
          <w:spacing w:val="-17"/>
        </w:rPr>
        <w:t> </w:t>
      </w:r>
      <w:r>
        <w:rPr/>
        <w:t>in</w:t>
      </w:r>
      <w:r>
        <w:rPr>
          <w:spacing w:val="-18"/>
        </w:rPr>
        <w:t> </w:t>
      </w:r>
      <w:r>
        <w:rPr/>
        <w:t>case</w:t>
      </w:r>
      <w:r>
        <w:rPr>
          <w:spacing w:val="-17"/>
        </w:rPr>
        <w:t> </w:t>
      </w:r>
      <w:r>
        <w:rPr/>
        <w:t>of</w:t>
      </w:r>
      <w:r>
        <w:rPr>
          <w:spacing w:val="-18"/>
        </w:rPr>
        <w:t> </w:t>
      </w:r>
      <w:r>
        <w:rPr/>
        <w:t>acute</w:t>
      </w:r>
      <w:r>
        <w:rPr>
          <w:spacing w:val="-18"/>
        </w:rPr>
        <w:t> </w:t>
      </w:r>
      <w:r>
        <w:rPr/>
        <w:t>symptoms,</w:t>
      </w:r>
      <w:r>
        <w:rPr>
          <w:spacing w:val="-17"/>
        </w:rPr>
        <w:t> </w:t>
      </w:r>
      <w:r>
        <w:rPr/>
        <w:t>you</w:t>
      </w:r>
      <w:r>
        <w:rPr>
          <w:spacing w:val="-20"/>
        </w:rPr>
        <w:t> </w:t>
      </w:r>
      <w:r>
        <w:rPr/>
        <w:t>can</w:t>
      </w:r>
      <w:r>
        <w:rPr>
          <w:spacing w:val="-17"/>
        </w:rPr>
        <w:t> </w:t>
      </w:r>
      <w:r>
        <w:rPr/>
        <w:t>take</w:t>
      </w:r>
      <w:r>
        <w:rPr>
          <w:spacing w:val="-19"/>
        </w:rPr>
        <w:t> </w:t>
      </w:r>
      <w:r>
        <w:rPr/>
        <w:t>3</w:t>
      </w:r>
      <w:r>
        <w:rPr>
          <w:spacing w:val="-18"/>
        </w:rPr>
        <w:t> </w:t>
      </w:r>
      <w:r>
        <w:rPr/>
        <w:t>teaspoons</w:t>
      </w:r>
      <w:r>
        <w:rPr>
          <w:spacing w:val="-17"/>
        </w:rPr>
        <w:t> </w:t>
      </w:r>
      <w:r>
        <w:rPr/>
        <w:t>(plastic spoon) per day. Children should take half of this</w:t>
      </w:r>
      <w:r>
        <w:rPr>
          <w:spacing w:val="-8"/>
        </w:rPr>
        <w:t> </w:t>
      </w:r>
      <w:r>
        <w:rPr/>
        <w:t>dose.</w:t>
      </w:r>
    </w:p>
    <w:p>
      <w:pPr>
        <w:pStyle w:val="BodyText"/>
        <w:spacing w:before="239"/>
        <w:ind w:left="477"/>
        <w:jc w:val="both"/>
      </w:pPr>
      <w:r>
        <w:rPr/>
        <w:t>The dose can be increased up to 3 x 50 ml per day and left in the mouth for a</w:t>
      </w:r>
    </w:p>
    <w:p>
      <w:pPr>
        <w:spacing w:after="0"/>
        <w:jc w:val="both"/>
        <w:sectPr>
          <w:pgSz w:w="14270" w:h="16850"/>
          <w:pgMar w:header="0" w:footer="1891" w:top="1600" w:bottom="2080" w:left="800" w:right="1280"/>
        </w:sectPr>
      </w:pPr>
    </w:p>
    <w:p>
      <w:pPr>
        <w:pStyle w:val="BodyText"/>
        <w:spacing w:before="181"/>
        <w:ind w:left="477"/>
      </w:pPr>
      <w:r>
        <w:rPr/>
        <w:t>long time to ensure maximum absorption via the oral mucosa!</w:t>
      </w:r>
    </w:p>
    <w:p>
      <w:pPr>
        <w:pStyle w:val="Heading2"/>
        <w:spacing w:before="305"/>
      </w:pPr>
      <w:r>
        <w:rPr/>
        <w:t>Dosage in animals</w:t>
      </w:r>
    </w:p>
    <w:p>
      <w:pPr>
        <w:pStyle w:val="BodyText"/>
        <w:spacing w:line="276" w:lineRule="auto" w:before="304"/>
        <w:ind w:left="477" w:right="134"/>
        <w:jc w:val="both"/>
      </w:pPr>
      <w:r>
        <w:rPr/>
        <w:t>Here, the dosage can be derived from the dose recommended for humans, de- pending on body weight. 30-50 kg corresponds to a child and therefore half a teaspoon</w:t>
      </w:r>
      <w:r>
        <w:rPr>
          <w:spacing w:val="-14"/>
        </w:rPr>
        <w:t> </w:t>
      </w:r>
      <w:r>
        <w:rPr/>
        <w:t>of</w:t>
      </w:r>
      <w:r>
        <w:rPr>
          <w:spacing w:val="-13"/>
        </w:rPr>
        <w:t> </w:t>
      </w:r>
      <w:r>
        <w:rPr/>
        <w:t>colloidal</w:t>
      </w:r>
      <w:r>
        <w:rPr>
          <w:spacing w:val="-14"/>
        </w:rPr>
        <w:t> </w:t>
      </w:r>
      <w:r>
        <w:rPr/>
        <w:t>silver</w:t>
      </w:r>
      <w:r>
        <w:rPr>
          <w:spacing w:val="-12"/>
        </w:rPr>
        <w:t> </w:t>
      </w:r>
      <w:r>
        <w:rPr/>
        <w:t>is</w:t>
      </w:r>
      <w:r>
        <w:rPr>
          <w:spacing w:val="-14"/>
        </w:rPr>
        <w:t> </w:t>
      </w:r>
      <w:r>
        <w:rPr/>
        <w:t>recommended;</w:t>
      </w:r>
      <w:r>
        <w:rPr>
          <w:spacing w:val="-13"/>
        </w:rPr>
        <w:t> </w:t>
      </w:r>
      <w:r>
        <w:rPr/>
        <w:t>50-100</w:t>
      </w:r>
      <w:r>
        <w:rPr>
          <w:spacing w:val="-14"/>
        </w:rPr>
        <w:t> </w:t>
      </w:r>
      <w:r>
        <w:rPr/>
        <w:t>kg</w:t>
      </w:r>
      <w:r>
        <w:rPr>
          <w:spacing w:val="-13"/>
        </w:rPr>
        <w:t> </w:t>
      </w:r>
      <w:r>
        <w:rPr/>
        <w:t>corresponds</w:t>
      </w:r>
      <w:r>
        <w:rPr>
          <w:spacing w:val="-12"/>
        </w:rPr>
        <w:t> </w:t>
      </w:r>
      <w:r>
        <w:rPr/>
        <w:t>to</w:t>
      </w:r>
      <w:r>
        <w:rPr>
          <w:spacing w:val="-13"/>
        </w:rPr>
        <w:t> </w:t>
      </w:r>
      <w:r>
        <w:rPr/>
        <w:t>an</w:t>
      </w:r>
      <w:r>
        <w:rPr>
          <w:spacing w:val="-13"/>
        </w:rPr>
        <w:t> </w:t>
      </w:r>
      <w:r>
        <w:rPr/>
        <w:t>adult and therefore a teaspoon is</w:t>
      </w:r>
      <w:r>
        <w:rPr>
          <w:spacing w:val="-2"/>
        </w:rPr>
        <w:t> </w:t>
      </w:r>
      <w:r>
        <w:rPr/>
        <w:t>recommended.</w:t>
      </w:r>
    </w:p>
    <w:p>
      <w:pPr>
        <w:pStyle w:val="Heading2"/>
        <w:spacing w:before="240"/>
      </w:pPr>
      <w:r>
        <w:rPr/>
        <w:t>PPM – the concentration of colloidal silver</w:t>
      </w:r>
    </w:p>
    <w:p>
      <w:pPr>
        <w:pStyle w:val="BodyText"/>
        <w:spacing w:line="276" w:lineRule="auto" w:before="305"/>
        <w:ind w:left="477" w:right="132"/>
        <w:jc w:val="both"/>
      </w:pPr>
      <w:r>
        <w:rPr/>
        <w:t>The usual information on the concentration of colloidal silver includes the ab- breviation ‘ppm’. PPM is an English abbreviation and simply means ‘parts per million’.</w:t>
      </w:r>
    </w:p>
    <w:p>
      <w:pPr>
        <w:pStyle w:val="BodyText"/>
        <w:spacing w:line="276" w:lineRule="auto" w:before="241"/>
        <w:ind w:left="477" w:right="142"/>
        <w:jc w:val="both"/>
      </w:pPr>
      <w:r>
        <w:rPr/>
        <w:t>This refers to the number of active ingredients; in the present case, the silver colloids (silver particles) in relation to the solvent or carrier.</w:t>
      </w:r>
    </w:p>
    <w:p>
      <w:pPr>
        <w:pStyle w:val="BodyText"/>
        <w:spacing w:line="276" w:lineRule="auto" w:before="238"/>
        <w:ind w:left="477" w:right="130"/>
        <w:jc w:val="both"/>
      </w:pPr>
      <w:r>
        <w:rPr/>
        <w:t>For colloidal silver in liquid form, the number of silver colloids in relation to the solvent (distilled water) in ml and for colloidal silver in solid form (cream) is</w:t>
      </w:r>
      <w:r>
        <w:rPr>
          <w:spacing w:val="-11"/>
        </w:rPr>
        <w:t> </w:t>
      </w:r>
      <w:r>
        <w:rPr/>
        <w:t>the</w:t>
      </w:r>
      <w:r>
        <w:rPr>
          <w:spacing w:val="-10"/>
        </w:rPr>
        <w:t> </w:t>
      </w:r>
      <w:r>
        <w:rPr/>
        <w:t>number</w:t>
      </w:r>
      <w:r>
        <w:rPr>
          <w:spacing w:val="-10"/>
        </w:rPr>
        <w:t> </w:t>
      </w:r>
      <w:r>
        <w:rPr/>
        <w:t>of</w:t>
      </w:r>
      <w:r>
        <w:rPr>
          <w:spacing w:val="-9"/>
        </w:rPr>
        <w:t> </w:t>
      </w:r>
      <w:r>
        <w:rPr/>
        <w:t>silver</w:t>
      </w:r>
      <w:r>
        <w:rPr>
          <w:spacing w:val="-10"/>
        </w:rPr>
        <w:t> </w:t>
      </w:r>
      <w:r>
        <w:rPr/>
        <w:t>particles</w:t>
      </w:r>
      <w:r>
        <w:rPr>
          <w:spacing w:val="-11"/>
        </w:rPr>
        <w:t> </w:t>
      </w:r>
      <w:r>
        <w:rPr/>
        <w:t>(colloids)</w:t>
      </w:r>
      <w:r>
        <w:rPr>
          <w:spacing w:val="-11"/>
        </w:rPr>
        <w:t> </w:t>
      </w:r>
      <w:r>
        <w:rPr/>
        <w:t>in</w:t>
      </w:r>
      <w:r>
        <w:rPr>
          <w:spacing w:val="-10"/>
        </w:rPr>
        <w:t> </w:t>
      </w:r>
      <w:r>
        <w:rPr/>
        <w:t>relation</w:t>
      </w:r>
      <w:r>
        <w:rPr>
          <w:spacing w:val="-10"/>
        </w:rPr>
        <w:t> </w:t>
      </w:r>
      <w:r>
        <w:rPr/>
        <w:t>to</w:t>
      </w:r>
      <w:r>
        <w:rPr>
          <w:spacing w:val="-10"/>
        </w:rPr>
        <w:t> </w:t>
      </w:r>
      <w:r>
        <w:rPr/>
        <w:t>the</w:t>
      </w:r>
      <w:r>
        <w:rPr>
          <w:spacing w:val="-9"/>
        </w:rPr>
        <w:t> </w:t>
      </w:r>
      <w:r>
        <w:rPr/>
        <w:t>weight</w:t>
      </w:r>
      <w:r>
        <w:rPr>
          <w:spacing w:val="-11"/>
        </w:rPr>
        <w:t> </w:t>
      </w:r>
      <w:r>
        <w:rPr/>
        <w:t>of</w:t>
      </w:r>
      <w:r>
        <w:rPr>
          <w:spacing w:val="-10"/>
        </w:rPr>
        <w:t> </w:t>
      </w:r>
      <w:r>
        <w:rPr/>
        <w:t>the</w:t>
      </w:r>
      <w:r>
        <w:rPr>
          <w:spacing w:val="-10"/>
        </w:rPr>
        <w:t> </w:t>
      </w:r>
      <w:r>
        <w:rPr/>
        <w:t>carrier substance.</w:t>
      </w:r>
    </w:p>
    <w:p>
      <w:pPr>
        <w:pStyle w:val="BodyText"/>
        <w:spacing w:line="276" w:lineRule="auto" w:before="242"/>
        <w:ind w:left="477" w:right="136"/>
        <w:jc w:val="both"/>
      </w:pPr>
      <w:r>
        <w:rPr/>
        <w:t>Illustrative</w:t>
      </w:r>
      <w:r>
        <w:rPr>
          <w:spacing w:val="-17"/>
        </w:rPr>
        <w:t> </w:t>
      </w:r>
      <w:r>
        <w:rPr/>
        <w:t>example:</w:t>
      </w:r>
      <w:r>
        <w:rPr>
          <w:spacing w:val="-15"/>
        </w:rPr>
        <w:t> </w:t>
      </w:r>
      <w:r>
        <w:rPr/>
        <w:t>If</w:t>
      </w:r>
      <w:r>
        <w:rPr>
          <w:spacing w:val="-18"/>
        </w:rPr>
        <w:t> </w:t>
      </w:r>
      <w:r>
        <w:rPr/>
        <w:t>one</w:t>
      </w:r>
      <w:r>
        <w:rPr>
          <w:spacing w:val="-17"/>
        </w:rPr>
        <w:t> </w:t>
      </w:r>
      <w:r>
        <w:rPr/>
        <w:t>glass</w:t>
      </w:r>
      <w:r>
        <w:rPr>
          <w:spacing w:val="-17"/>
        </w:rPr>
        <w:t> </w:t>
      </w:r>
      <w:r>
        <w:rPr/>
        <w:t>of</w:t>
      </w:r>
      <w:r>
        <w:rPr>
          <w:spacing w:val="-15"/>
        </w:rPr>
        <w:t> </w:t>
      </w:r>
      <w:r>
        <w:rPr/>
        <w:t>water</w:t>
      </w:r>
      <w:r>
        <w:rPr>
          <w:spacing w:val="-15"/>
        </w:rPr>
        <w:t> </w:t>
      </w:r>
      <w:r>
        <w:rPr/>
        <w:t>(200</w:t>
      </w:r>
      <w:r>
        <w:rPr>
          <w:spacing w:val="-17"/>
        </w:rPr>
        <w:t> </w:t>
      </w:r>
      <w:r>
        <w:rPr/>
        <w:t>ml)</w:t>
      </w:r>
      <w:r>
        <w:rPr>
          <w:spacing w:val="-16"/>
        </w:rPr>
        <w:t> </w:t>
      </w:r>
      <w:r>
        <w:rPr/>
        <w:t>with</w:t>
      </w:r>
      <w:r>
        <w:rPr>
          <w:spacing w:val="-15"/>
        </w:rPr>
        <w:t> </w:t>
      </w:r>
      <w:r>
        <w:rPr/>
        <w:t>1</w:t>
      </w:r>
      <w:r>
        <w:rPr>
          <w:spacing w:val="-16"/>
        </w:rPr>
        <w:t> </w:t>
      </w:r>
      <w:r>
        <w:rPr/>
        <w:t>ppm</w:t>
      </w:r>
      <w:r>
        <w:rPr>
          <w:spacing w:val="-19"/>
        </w:rPr>
        <w:t> </w:t>
      </w:r>
      <w:r>
        <w:rPr/>
        <w:t>of</w:t>
      </w:r>
      <w:r>
        <w:rPr>
          <w:spacing w:val="-18"/>
        </w:rPr>
        <w:t> </w:t>
      </w:r>
      <w:r>
        <w:rPr/>
        <w:t>colloidal</w:t>
      </w:r>
      <w:r>
        <w:rPr>
          <w:spacing w:val="-17"/>
        </w:rPr>
        <w:t> </w:t>
      </w:r>
      <w:r>
        <w:rPr/>
        <w:t>silver is recommended, this glass of water will contain 0.2 mg of colloidal silver. If you want to increase this concentration, you must increase the ppm number accordingly.</w:t>
      </w:r>
    </w:p>
    <w:p>
      <w:pPr>
        <w:spacing w:after="0" w:line="276" w:lineRule="auto"/>
        <w:jc w:val="both"/>
        <w:sectPr>
          <w:pgSz w:w="14270" w:h="16850"/>
          <w:pgMar w:header="0" w:footer="1891" w:top="1600" w:bottom="2080" w:left="800" w:right="1280"/>
        </w:sectPr>
      </w:pPr>
    </w:p>
    <w:p>
      <w:pPr>
        <w:pStyle w:val="Heading2"/>
        <w:spacing w:before="181"/>
        <w:jc w:val="both"/>
      </w:pPr>
      <w:r>
        <w:rPr/>
        <w:t>Does colloidal silver cause side effects?</w:t>
      </w:r>
    </w:p>
    <w:p>
      <w:pPr>
        <w:pStyle w:val="BodyText"/>
        <w:spacing w:line="276" w:lineRule="auto" w:before="305"/>
        <w:ind w:left="477" w:right="137"/>
        <w:jc w:val="both"/>
      </w:pPr>
      <w:r>
        <w:rPr/>
        <w:t>Sometimes, not least in the so-called ‘free encyclopedia’, people read veritable horror stories about the side effects of colloidal silver. Unfortunately, these are insufficiently scientifically founded and usually confuse pure, colloidal silver with silver compounds such as silver proteins and silver nitrate.</w:t>
      </w:r>
    </w:p>
    <w:p>
      <w:pPr>
        <w:pStyle w:val="BodyText"/>
        <w:spacing w:line="276" w:lineRule="auto" w:before="239"/>
        <w:ind w:left="477" w:right="132"/>
        <w:jc w:val="both"/>
      </w:pPr>
      <w:r>
        <w:rPr/>
        <w:t>First of all, it is important to state that colloidal silver is not a chemical and should</w:t>
      </w:r>
      <w:r>
        <w:rPr>
          <w:spacing w:val="-8"/>
        </w:rPr>
        <w:t> </w:t>
      </w:r>
      <w:r>
        <w:rPr/>
        <w:t>in</w:t>
      </w:r>
      <w:r>
        <w:rPr>
          <w:spacing w:val="-6"/>
        </w:rPr>
        <w:t> </w:t>
      </w:r>
      <w:r>
        <w:rPr/>
        <w:t>no</w:t>
      </w:r>
      <w:r>
        <w:rPr>
          <w:spacing w:val="-6"/>
        </w:rPr>
        <w:t> </w:t>
      </w:r>
      <w:r>
        <w:rPr/>
        <w:t>way</w:t>
      </w:r>
      <w:r>
        <w:rPr>
          <w:spacing w:val="-6"/>
        </w:rPr>
        <w:t> </w:t>
      </w:r>
      <w:r>
        <w:rPr/>
        <w:t>be</w:t>
      </w:r>
      <w:r>
        <w:rPr>
          <w:spacing w:val="-6"/>
        </w:rPr>
        <w:t> </w:t>
      </w:r>
      <w:r>
        <w:rPr/>
        <w:t>confused</w:t>
      </w:r>
      <w:r>
        <w:rPr>
          <w:spacing w:val="-6"/>
        </w:rPr>
        <w:t> </w:t>
      </w:r>
      <w:r>
        <w:rPr/>
        <w:t>with,</w:t>
      </w:r>
      <w:r>
        <w:rPr>
          <w:spacing w:val="-6"/>
        </w:rPr>
        <w:t> </w:t>
      </w:r>
      <w:r>
        <w:rPr/>
        <w:t>for</w:t>
      </w:r>
      <w:r>
        <w:rPr>
          <w:spacing w:val="-4"/>
        </w:rPr>
        <w:t> </w:t>
      </w:r>
      <w:r>
        <w:rPr/>
        <w:t>example,</w:t>
      </w:r>
      <w:r>
        <w:rPr>
          <w:spacing w:val="-6"/>
        </w:rPr>
        <w:t> </w:t>
      </w:r>
      <w:r>
        <w:rPr/>
        <w:t>mercury</w:t>
      </w:r>
      <w:r>
        <w:rPr>
          <w:spacing w:val="-5"/>
        </w:rPr>
        <w:t> </w:t>
      </w:r>
      <w:r>
        <w:rPr/>
        <w:t>or</w:t>
      </w:r>
      <w:r>
        <w:rPr>
          <w:spacing w:val="-6"/>
        </w:rPr>
        <w:t> </w:t>
      </w:r>
      <w:r>
        <w:rPr/>
        <w:t>silver</w:t>
      </w:r>
      <w:r>
        <w:rPr>
          <w:spacing w:val="-5"/>
        </w:rPr>
        <w:t> </w:t>
      </w:r>
      <w:r>
        <w:rPr/>
        <w:t>salts</w:t>
      </w:r>
      <w:r>
        <w:rPr>
          <w:spacing w:val="-7"/>
        </w:rPr>
        <w:t> </w:t>
      </w:r>
      <w:r>
        <w:rPr/>
        <w:t>such</w:t>
      </w:r>
      <w:r>
        <w:rPr>
          <w:spacing w:val="-5"/>
        </w:rPr>
        <w:t> </w:t>
      </w:r>
      <w:r>
        <w:rPr/>
        <w:t>as silver nitrate.</w:t>
      </w:r>
    </w:p>
    <w:p>
      <w:pPr>
        <w:pStyle w:val="BodyText"/>
        <w:spacing w:line="276" w:lineRule="auto" w:before="242"/>
        <w:ind w:left="477" w:right="133"/>
        <w:jc w:val="both"/>
        <w:rPr>
          <w:sz w:val="25"/>
        </w:rPr>
      </w:pPr>
      <w:r>
        <w:rPr/>
        <w:t>When</w:t>
      </w:r>
      <w:r>
        <w:rPr>
          <w:spacing w:val="-11"/>
        </w:rPr>
        <w:t> </w:t>
      </w:r>
      <w:r>
        <w:rPr/>
        <w:t>used</w:t>
      </w:r>
      <w:r>
        <w:rPr>
          <w:spacing w:val="-11"/>
        </w:rPr>
        <w:t> </w:t>
      </w:r>
      <w:r>
        <w:rPr/>
        <w:t>in</w:t>
      </w:r>
      <w:r>
        <w:rPr>
          <w:spacing w:val="-12"/>
        </w:rPr>
        <w:t> </w:t>
      </w:r>
      <w:r>
        <w:rPr/>
        <w:t>normal</w:t>
      </w:r>
      <w:r>
        <w:rPr>
          <w:spacing w:val="-11"/>
        </w:rPr>
        <w:t> </w:t>
      </w:r>
      <w:r>
        <w:rPr/>
        <w:t>doses,</w:t>
      </w:r>
      <w:r>
        <w:rPr>
          <w:spacing w:val="-10"/>
        </w:rPr>
        <w:t> </w:t>
      </w:r>
      <w:r>
        <w:rPr/>
        <w:t>colloidal</w:t>
      </w:r>
      <w:r>
        <w:rPr>
          <w:spacing w:val="-12"/>
        </w:rPr>
        <w:t> </w:t>
      </w:r>
      <w:r>
        <w:rPr/>
        <w:t>silver</w:t>
      </w:r>
      <w:r>
        <w:rPr>
          <w:spacing w:val="-11"/>
        </w:rPr>
        <w:t> </w:t>
      </w:r>
      <w:r>
        <w:rPr/>
        <w:t>does</w:t>
      </w:r>
      <w:r>
        <w:rPr>
          <w:spacing w:val="-10"/>
        </w:rPr>
        <w:t> </w:t>
      </w:r>
      <w:r>
        <w:rPr/>
        <w:t>not</w:t>
      </w:r>
      <w:r>
        <w:rPr>
          <w:spacing w:val="-12"/>
        </w:rPr>
        <w:t> </w:t>
      </w:r>
      <w:r>
        <w:rPr/>
        <w:t>cause</w:t>
      </w:r>
      <w:r>
        <w:rPr>
          <w:spacing w:val="-11"/>
        </w:rPr>
        <w:t> </w:t>
      </w:r>
      <w:r>
        <w:rPr/>
        <w:t>any</w:t>
      </w:r>
      <w:r>
        <w:rPr>
          <w:spacing w:val="-10"/>
        </w:rPr>
        <w:t> </w:t>
      </w:r>
      <w:r>
        <w:rPr/>
        <w:t>side</w:t>
      </w:r>
      <w:r>
        <w:rPr>
          <w:spacing w:val="-12"/>
        </w:rPr>
        <w:t> </w:t>
      </w:r>
      <w:r>
        <w:rPr/>
        <w:t>effects,</w:t>
      </w:r>
      <w:r>
        <w:rPr>
          <w:spacing w:val="-9"/>
        </w:rPr>
        <w:t> </w:t>
      </w:r>
      <w:r>
        <w:rPr/>
        <w:t>and even</w:t>
      </w:r>
      <w:r>
        <w:rPr>
          <w:spacing w:val="-11"/>
        </w:rPr>
        <w:t> </w:t>
      </w:r>
      <w:r>
        <w:rPr/>
        <w:t>argyria</w:t>
      </w:r>
      <w:r>
        <w:rPr>
          <w:spacing w:val="-11"/>
        </w:rPr>
        <w:t> </w:t>
      </w:r>
      <w:r>
        <w:rPr/>
        <w:t>(a</w:t>
      </w:r>
      <w:r>
        <w:rPr>
          <w:spacing w:val="-11"/>
        </w:rPr>
        <w:t> </w:t>
      </w:r>
      <w:r>
        <w:rPr/>
        <w:t>cosmetic</w:t>
      </w:r>
      <w:r>
        <w:rPr>
          <w:spacing w:val="-11"/>
        </w:rPr>
        <w:t> </w:t>
      </w:r>
      <w:r>
        <w:rPr/>
        <w:t>problem</w:t>
      </w:r>
      <w:r>
        <w:rPr>
          <w:spacing w:val="-11"/>
        </w:rPr>
        <w:t> </w:t>
      </w:r>
      <w:r>
        <w:rPr/>
        <w:t>with</w:t>
      </w:r>
      <w:r>
        <w:rPr>
          <w:spacing w:val="-10"/>
        </w:rPr>
        <w:t> </w:t>
      </w:r>
      <w:r>
        <w:rPr/>
        <w:t>a</w:t>
      </w:r>
      <w:r>
        <w:rPr>
          <w:spacing w:val="-12"/>
        </w:rPr>
        <w:t> </w:t>
      </w:r>
      <w:r>
        <w:rPr/>
        <w:t>greyish-blue</w:t>
      </w:r>
      <w:r>
        <w:rPr>
          <w:spacing w:val="-12"/>
        </w:rPr>
        <w:t> </w:t>
      </w:r>
      <w:r>
        <w:rPr/>
        <w:t>colour</w:t>
      </w:r>
      <w:r>
        <w:rPr>
          <w:spacing w:val="-11"/>
        </w:rPr>
        <w:t> </w:t>
      </w:r>
      <w:r>
        <w:rPr/>
        <w:t>on</w:t>
      </w:r>
      <w:r>
        <w:rPr>
          <w:spacing w:val="-10"/>
        </w:rPr>
        <w:t> </w:t>
      </w:r>
      <w:r>
        <w:rPr/>
        <w:t>the</w:t>
      </w:r>
      <w:r>
        <w:rPr>
          <w:spacing w:val="-11"/>
        </w:rPr>
        <w:t> </w:t>
      </w:r>
      <w:r>
        <w:rPr/>
        <w:t>skin),</w:t>
      </w:r>
      <w:r>
        <w:rPr>
          <w:spacing w:val="-9"/>
        </w:rPr>
        <w:t> </w:t>
      </w:r>
      <w:r>
        <w:rPr/>
        <w:t>which is often brought up by colloidal silver sceptics, requires an average oral intake of 3.8 grams per day, which equates to </w:t>
      </w:r>
      <w:r>
        <w:rPr>
          <w:u w:val="single"/>
        </w:rPr>
        <w:t>millions of times</w:t>
      </w:r>
      <w:r>
        <w:rPr/>
        <w:t> the usual dosage of colloidal silver in adults!</w:t>
      </w:r>
      <w:r>
        <w:rPr>
          <w:position w:val="9"/>
          <w:sz w:val="25"/>
        </w:rPr>
        <w:t>426</w:t>
      </w:r>
    </w:p>
    <w:p>
      <w:pPr>
        <w:pStyle w:val="BodyText"/>
        <w:spacing w:line="276" w:lineRule="auto" w:before="240"/>
        <w:ind w:left="477" w:right="138"/>
        <w:jc w:val="both"/>
      </w:pPr>
      <w:r>
        <w:rPr/>
        <w:t>If one realises that this amount corresponds to an intake of about 375 litres in the concentration 10 ppm, equivalent to 1875 bottles of 200 ml per day, it be- comes clear that we are talking about a surreal scenario!</w:t>
      </w:r>
    </w:p>
    <w:p>
      <w:pPr>
        <w:pStyle w:val="BodyText"/>
        <w:spacing w:line="276" w:lineRule="auto" w:before="241"/>
        <w:ind w:left="477" w:right="140"/>
        <w:jc w:val="both"/>
      </w:pPr>
      <w:r>
        <w:rPr/>
        <w:t>Incidentally, argyria has so far only occurred in patients who have consumed high doses of silver proteins for years, which should not to be confused with</w:t>
      </w:r>
    </w:p>
    <w:p>
      <w:pPr>
        <w:pStyle w:val="BodyText"/>
        <w:spacing w:before="6"/>
        <w:rPr>
          <w:sz w:val="14"/>
        </w:rPr>
      </w:pPr>
      <w:r>
        <w:rPr/>
        <w:pict>
          <v:line style="position:absolute;mso-position-horizontal-relative:page;mso-position-vertical-relative:paragraph;z-index:5192;mso-wrap-distance-left:0;mso-wrap-distance-right:0" from="63.863998pt,10.533765pt" to="207.883998pt,10.53376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426 </w:t>
      </w:r>
      <w:r>
        <w:rPr>
          <w:sz w:val="20"/>
        </w:rPr>
        <w:t>Josef Pies: Immun mit kolloidalem Silber (‘Immune with Colloidal Silver’), 2009, p. 73</w:t>
      </w:r>
    </w:p>
    <w:p>
      <w:pPr>
        <w:spacing w:after="0"/>
        <w:jc w:val="left"/>
        <w:rPr>
          <w:sz w:val="20"/>
        </w:rPr>
        <w:sectPr>
          <w:pgSz w:w="14270" w:h="16850"/>
          <w:pgMar w:header="0" w:footer="1891" w:top="1600" w:bottom="2080" w:left="800" w:right="1280"/>
        </w:sectPr>
      </w:pPr>
    </w:p>
    <w:p>
      <w:pPr>
        <w:pStyle w:val="BodyText"/>
        <w:spacing w:before="181"/>
        <w:ind w:left="477"/>
      </w:pPr>
      <w:r>
        <w:rPr/>
        <w:t>pure colloidal silver.</w:t>
      </w:r>
    </w:p>
    <w:p>
      <w:pPr>
        <w:pStyle w:val="BodyText"/>
        <w:spacing w:line="276" w:lineRule="auto" w:before="305"/>
        <w:ind w:left="477" w:right="140"/>
        <w:jc w:val="both"/>
      </w:pPr>
      <w:r>
        <w:rPr/>
        <w:t>Pure colloidal silver can therefore be classified as safe, moreover: it even sup- ports our immune system!</w:t>
      </w:r>
    </w:p>
    <w:p>
      <w:pPr>
        <w:pStyle w:val="BodyText"/>
        <w:spacing w:line="276" w:lineRule="auto" w:before="241"/>
        <w:ind w:left="477" w:right="138"/>
        <w:jc w:val="both"/>
      </w:pPr>
      <w:r>
        <w:rPr/>
        <w:t>There</w:t>
      </w:r>
      <w:r>
        <w:rPr>
          <w:spacing w:val="-18"/>
        </w:rPr>
        <w:t> </w:t>
      </w:r>
      <w:r>
        <w:rPr/>
        <w:t>is</w:t>
      </w:r>
      <w:r>
        <w:rPr>
          <w:spacing w:val="-19"/>
        </w:rPr>
        <w:t> </w:t>
      </w:r>
      <w:r>
        <w:rPr/>
        <w:t>some</w:t>
      </w:r>
      <w:r>
        <w:rPr>
          <w:spacing w:val="-18"/>
        </w:rPr>
        <w:t> </w:t>
      </w:r>
      <w:r>
        <w:rPr/>
        <w:t>controversy</w:t>
      </w:r>
      <w:r>
        <w:rPr>
          <w:spacing w:val="-18"/>
        </w:rPr>
        <w:t> </w:t>
      </w:r>
      <w:r>
        <w:rPr/>
        <w:t>in</w:t>
      </w:r>
      <w:r>
        <w:rPr>
          <w:spacing w:val="-19"/>
        </w:rPr>
        <w:t> </w:t>
      </w:r>
      <w:r>
        <w:rPr/>
        <w:t>the</w:t>
      </w:r>
      <w:r>
        <w:rPr>
          <w:spacing w:val="-17"/>
        </w:rPr>
        <w:t> </w:t>
      </w:r>
      <w:r>
        <w:rPr/>
        <w:t>assessment</w:t>
      </w:r>
      <w:r>
        <w:rPr>
          <w:spacing w:val="-19"/>
        </w:rPr>
        <w:t> </w:t>
      </w:r>
      <w:r>
        <w:rPr/>
        <w:t>of</w:t>
      </w:r>
      <w:r>
        <w:rPr>
          <w:spacing w:val="-19"/>
        </w:rPr>
        <w:t> </w:t>
      </w:r>
      <w:r>
        <w:rPr/>
        <w:t>the</w:t>
      </w:r>
      <w:r>
        <w:rPr>
          <w:spacing w:val="-19"/>
        </w:rPr>
        <w:t> </w:t>
      </w:r>
      <w:r>
        <w:rPr/>
        <w:t>situation</w:t>
      </w:r>
      <w:r>
        <w:rPr>
          <w:spacing w:val="-18"/>
        </w:rPr>
        <w:t> </w:t>
      </w:r>
      <w:r>
        <w:rPr/>
        <w:t>regarding</w:t>
      </w:r>
      <w:r>
        <w:rPr>
          <w:spacing w:val="-19"/>
        </w:rPr>
        <w:t> </w:t>
      </w:r>
      <w:r>
        <w:rPr/>
        <w:t>the</w:t>
      </w:r>
      <w:r>
        <w:rPr>
          <w:spacing w:val="-17"/>
        </w:rPr>
        <w:t> </w:t>
      </w:r>
      <w:r>
        <w:rPr/>
        <w:t>good intestinal bacteria during long-term use of colloidal</w:t>
      </w:r>
      <w:r>
        <w:rPr>
          <w:spacing w:val="-3"/>
        </w:rPr>
        <w:t> </w:t>
      </w:r>
      <w:r>
        <w:rPr/>
        <w:t>silver.</w:t>
      </w:r>
    </w:p>
    <w:p>
      <w:pPr>
        <w:pStyle w:val="BodyText"/>
        <w:spacing w:line="276" w:lineRule="auto" w:before="239"/>
        <w:ind w:left="477" w:right="137"/>
        <w:jc w:val="both"/>
      </w:pPr>
      <w:r>
        <w:rPr/>
        <w:t>Some sources claim that colloidal silver selectively damages only the negative bacteria. However, this is not entirely clear from the theory of how colloidal silver works.</w:t>
      </w:r>
    </w:p>
    <w:p>
      <w:pPr>
        <w:spacing w:line="276" w:lineRule="auto" w:before="241"/>
        <w:ind w:left="477" w:right="136" w:firstLine="0"/>
        <w:jc w:val="both"/>
        <w:rPr>
          <w:sz w:val="25"/>
        </w:rPr>
      </w:pPr>
      <w:r>
        <w:rPr>
          <w:sz w:val="38"/>
        </w:rPr>
        <w:t>Therefore,</w:t>
      </w:r>
      <w:r>
        <w:rPr>
          <w:spacing w:val="-14"/>
          <w:sz w:val="38"/>
        </w:rPr>
        <w:t> </w:t>
      </w:r>
      <w:r>
        <w:rPr>
          <w:sz w:val="38"/>
        </w:rPr>
        <w:t>in</w:t>
      </w:r>
      <w:r>
        <w:rPr>
          <w:spacing w:val="-16"/>
          <w:sz w:val="38"/>
        </w:rPr>
        <w:t> </w:t>
      </w:r>
      <w:r>
        <w:rPr>
          <w:sz w:val="38"/>
        </w:rPr>
        <w:t>his</w:t>
      </w:r>
      <w:r>
        <w:rPr>
          <w:spacing w:val="-16"/>
          <w:sz w:val="38"/>
        </w:rPr>
        <w:t> </w:t>
      </w:r>
      <w:r>
        <w:rPr>
          <w:sz w:val="38"/>
        </w:rPr>
        <w:t>book</w:t>
      </w:r>
      <w:r>
        <w:rPr>
          <w:spacing w:val="-14"/>
          <w:sz w:val="38"/>
        </w:rPr>
        <w:t> </w:t>
      </w:r>
      <w:r>
        <w:rPr>
          <w:sz w:val="38"/>
        </w:rPr>
        <w:t>‘Immun</w:t>
      </w:r>
      <w:r>
        <w:rPr>
          <w:spacing w:val="-16"/>
          <w:sz w:val="38"/>
        </w:rPr>
        <w:t> </w:t>
      </w:r>
      <w:r>
        <w:rPr>
          <w:sz w:val="38"/>
        </w:rPr>
        <w:t>mit</w:t>
      </w:r>
      <w:r>
        <w:rPr>
          <w:spacing w:val="-16"/>
          <w:sz w:val="38"/>
        </w:rPr>
        <w:t> </w:t>
      </w:r>
      <w:r>
        <w:rPr>
          <w:sz w:val="38"/>
        </w:rPr>
        <w:t>kolloidalem</w:t>
      </w:r>
      <w:r>
        <w:rPr>
          <w:spacing w:val="-11"/>
          <w:sz w:val="38"/>
        </w:rPr>
        <w:t> </w:t>
      </w:r>
      <w:r>
        <w:rPr>
          <w:sz w:val="38"/>
        </w:rPr>
        <w:t>Silber’</w:t>
      </w:r>
      <w:r>
        <w:rPr>
          <w:spacing w:val="-13"/>
          <w:sz w:val="38"/>
        </w:rPr>
        <w:t> </w:t>
      </w:r>
      <w:r>
        <w:rPr>
          <w:sz w:val="38"/>
        </w:rPr>
        <w:t>(‘Immune</w:t>
      </w:r>
      <w:r>
        <w:rPr>
          <w:spacing w:val="-15"/>
          <w:sz w:val="38"/>
        </w:rPr>
        <w:t> </w:t>
      </w:r>
      <w:r>
        <w:rPr>
          <w:sz w:val="38"/>
        </w:rPr>
        <w:t>with</w:t>
      </w:r>
      <w:r>
        <w:rPr>
          <w:spacing w:val="-15"/>
          <w:sz w:val="38"/>
        </w:rPr>
        <w:t> </w:t>
      </w:r>
      <w:r>
        <w:rPr>
          <w:sz w:val="38"/>
        </w:rPr>
        <w:t>Colloidal Silver’), Josef Pies points out that ‘</w:t>
      </w:r>
      <w:r>
        <w:rPr>
          <w:i/>
          <w:sz w:val="38"/>
        </w:rPr>
        <w:t>if you consume large quantities of colloidal silver for </w:t>
      </w:r>
      <w:r>
        <w:rPr>
          <w:i/>
          <w:sz w:val="38"/>
        </w:rPr>
        <w:t>a longer period of time’</w:t>
      </w:r>
      <w:r>
        <w:rPr>
          <w:sz w:val="38"/>
        </w:rPr>
        <w:t>, you </w:t>
      </w:r>
      <w:r>
        <w:rPr>
          <w:sz w:val="38"/>
          <w:u w:val="single"/>
        </w:rPr>
        <w:t>may</w:t>
      </w:r>
      <w:r>
        <w:rPr>
          <w:sz w:val="38"/>
        </w:rPr>
        <w:t> kill bacteria in your digestive tract; you can com- pensate for this</w:t>
      </w:r>
      <w:r>
        <w:rPr>
          <w:i/>
          <w:sz w:val="38"/>
        </w:rPr>
        <w:t>, for example, by eating yoghurt’.</w:t>
      </w:r>
      <w:r>
        <w:rPr>
          <w:position w:val="9"/>
          <w:sz w:val="25"/>
        </w:rPr>
        <w:t>427</w:t>
      </w:r>
    </w:p>
    <w:p>
      <w:pPr>
        <w:pStyle w:val="BodyText"/>
        <w:spacing w:line="276" w:lineRule="auto" w:before="239"/>
        <w:ind w:left="477" w:right="134"/>
        <w:jc w:val="both"/>
      </w:pPr>
      <w:r>
        <w:rPr/>
        <w:t>At this point too, the American FDA's maximum daily allowance of 5 mi- crograms of colloidal silver per kg of body weight may be a good guide for interested parties.</w:t>
      </w:r>
    </w:p>
    <w:p>
      <w:pPr>
        <w:pStyle w:val="BodyText"/>
        <w:spacing w:line="276" w:lineRule="auto" w:before="241"/>
        <w:ind w:left="477" w:right="135"/>
        <w:jc w:val="both"/>
      </w:pPr>
      <w:r>
        <w:rPr/>
        <w:t>In any case, it is appropriate at this point to mention the so-called</w:t>
      </w:r>
      <w:r>
        <w:rPr>
          <w:spacing w:val="-49"/>
        </w:rPr>
        <w:t> </w:t>
      </w:r>
      <w:r>
        <w:rPr/>
        <w:t>‘Herxheimer reaction’,</w:t>
      </w:r>
      <w:r>
        <w:rPr>
          <w:spacing w:val="20"/>
        </w:rPr>
        <w:t> </w:t>
      </w:r>
      <w:r>
        <w:rPr/>
        <w:t>which</w:t>
      </w:r>
      <w:r>
        <w:rPr>
          <w:spacing w:val="19"/>
        </w:rPr>
        <w:t> </w:t>
      </w:r>
      <w:r>
        <w:rPr/>
        <w:t>may</w:t>
      </w:r>
      <w:r>
        <w:rPr>
          <w:spacing w:val="20"/>
        </w:rPr>
        <w:t> </w:t>
      </w:r>
      <w:r>
        <w:rPr/>
        <w:t>occasionally</w:t>
      </w:r>
      <w:r>
        <w:rPr>
          <w:spacing w:val="23"/>
        </w:rPr>
        <w:t> </w:t>
      </w:r>
      <w:r>
        <w:rPr/>
        <w:t>occur</w:t>
      </w:r>
      <w:r>
        <w:rPr>
          <w:spacing w:val="21"/>
        </w:rPr>
        <w:t> </w:t>
      </w:r>
      <w:r>
        <w:rPr/>
        <w:t>with</w:t>
      </w:r>
      <w:r>
        <w:rPr>
          <w:spacing w:val="19"/>
        </w:rPr>
        <w:t> </w:t>
      </w:r>
      <w:r>
        <w:rPr/>
        <w:t>oral</w:t>
      </w:r>
      <w:r>
        <w:rPr>
          <w:spacing w:val="20"/>
        </w:rPr>
        <w:t> </w:t>
      </w:r>
      <w:r>
        <w:rPr/>
        <w:t>ingestion</w:t>
      </w:r>
      <w:r>
        <w:rPr>
          <w:spacing w:val="19"/>
        </w:rPr>
        <w:t> </w:t>
      </w:r>
      <w:r>
        <w:rPr/>
        <w:t>of</w:t>
      </w:r>
      <w:r>
        <w:rPr>
          <w:spacing w:val="21"/>
        </w:rPr>
        <w:t> </w:t>
      </w:r>
      <w:r>
        <w:rPr/>
        <w:t>colloidal</w:t>
      </w:r>
      <w:r>
        <w:rPr>
          <w:spacing w:val="19"/>
        </w:rPr>
        <w:t> </w:t>
      </w:r>
      <w:r>
        <w:rPr/>
        <w:t>silver,</w:t>
      </w:r>
    </w:p>
    <w:p>
      <w:pPr>
        <w:pStyle w:val="BodyText"/>
        <w:rPr>
          <w:sz w:val="20"/>
        </w:rPr>
      </w:pPr>
    </w:p>
    <w:p>
      <w:pPr>
        <w:pStyle w:val="BodyText"/>
        <w:rPr>
          <w:sz w:val="17"/>
        </w:rPr>
      </w:pPr>
      <w:r>
        <w:rPr/>
        <w:pict>
          <v:line style="position:absolute;mso-position-horizontal-relative:page;mso-position-vertical-relative:paragraph;z-index:5216;mso-wrap-distance-left:0;mso-wrap-distance-right:0" from="63.863998pt,11.915015pt" to="207.883998pt,11.91501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427 </w:t>
      </w:r>
      <w:r>
        <w:rPr>
          <w:sz w:val="20"/>
        </w:rPr>
        <w:t>Josef Pies: Immun mit kolloidalem Silber (‘Immune with Colloidal Silver’), 2009, p. 75 f.</w:t>
      </w:r>
    </w:p>
    <w:p>
      <w:pPr>
        <w:spacing w:after="0"/>
        <w:jc w:val="left"/>
        <w:rPr>
          <w:sz w:val="20"/>
        </w:rPr>
        <w:sectPr>
          <w:footerReference w:type="default" r:id="rId179"/>
          <w:pgSz w:w="14270" w:h="16850"/>
          <w:pgMar w:footer="1891" w:header="0" w:top="1600" w:bottom="2080" w:left="800" w:right="1280"/>
          <w:pgNumType w:start="720"/>
        </w:sectPr>
      </w:pPr>
    </w:p>
    <w:p>
      <w:pPr>
        <w:pStyle w:val="BodyText"/>
        <w:spacing w:line="276" w:lineRule="auto" w:before="181"/>
        <w:ind w:left="477" w:right="134"/>
        <w:jc w:val="both"/>
      </w:pPr>
      <w:r>
        <w:rPr/>
        <w:t>and is basically an indication of its effectiveness. It manifests itself, if it occurs at all, in temporary malaise and possibly fever and fatigue, and is due to the mass,</w:t>
      </w:r>
      <w:r>
        <w:rPr>
          <w:spacing w:val="-6"/>
        </w:rPr>
        <w:t> </w:t>
      </w:r>
      <w:r>
        <w:rPr/>
        <w:t>sudden</w:t>
      </w:r>
      <w:r>
        <w:rPr>
          <w:spacing w:val="-8"/>
        </w:rPr>
        <w:t> </w:t>
      </w:r>
      <w:r>
        <w:rPr/>
        <w:t>death</w:t>
      </w:r>
      <w:r>
        <w:rPr>
          <w:spacing w:val="-6"/>
        </w:rPr>
        <w:t> </w:t>
      </w:r>
      <w:r>
        <w:rPr/>
        <w:t>of</w:t>
      </w:r>
      <w:r>
        <w:rPr>
          <w:spacing w:val="-7"/>
        </w:rPr>
        <w:t> </w:t>
      </w:r>
      <w:r>
        <w:rPr/>
        <w:t>all</w:t>
      </w:r>
      <w:r>
        <w:rPr>
          <w:spacing w:val="-10"/>
        </w:rPr>
        <w:t> </w:t>
      </w:r>
      <w:r>
        <w:rPr/>
        <w:t>parasites,</w:t>
      </w:r>
      <w:r>
        <w:rPr>
          <w:spacing w:val="-6"/>
        </w:rPr>
        <w:t> </w:t>
      </w:r>
      <w:r>
        <w:rPr/>
        <w:t>which</w:t>
      </w:r>
      <w:r>
        <w:rPr>
          <w:spacing w:val="-7"/>
        </w:rPr>
        <w:t> </w:t>
      </w:r>
      <w:r>
        <w:rPr/>
        <w:t>results</w:t>
      </w:r>
      <w:r>
        <w:rPr>
          <w:spacing w:val="-10"/>
        </w:rPr>
        <w:t> </w:t>
      </w:r>
      <w:r>
        <w:rPr/>
        <w:t>in</w:t>
      </w:r>
      <w:r>
        <w:rPr>
          <w:spacing w:val="-8"/>
        </w:rPr>
        <w:t> </w:t>
      </w:r>
      <w:r>
        <w:rPr/>
        <w:t>the</w:t>
      </w:r>
      <w:r>
        <w:rPr>
          <w:spacing w:val="-8"/>
        </w:rPr>
        <w:t> </w:t>
      </w:r>
      <w:r>
        <w:rPr/>
        <w:t>release</w:t>
      </w:r>
      <w:r>
        <w:rPr>
          <w:spacing w:val="-6"/>
        </w:rPr>
        <w:t> </w:t>
      </w:r>
      <w:r>
        <w:rPr/>
        <w:t>of</w:t>
      </w:r>
      <w:r>
        <w:rPr>
          <w:spacing w:val="-9"/>
        </w:rPr>
        <w:t> </w:t>
      </w:r>
      <w:r>
        <w:rPr/>
        <w:t>toxins,</w:t>
      </w:r>
      <w:r>
        <w:rPr>
          <w:spacing w:val="-8"/>
        </w:rPr>
        <w:t> </w:t>
      </w:r>
      <w:r>
        <w:rPr/>
        <w:t>which can lead to inflammatory processes. In such a case, it is necessary to reduce</w:t>
      </w:r>
      <w:r>
        <w:rPr>
          <w:spacing w:val="-51"/>
        </w:rPr>
        <w:t> </w:t>
      </w:r>
      <w:r>
        <w:rPr/>
        <w:t>the dose slightly or temporarily stop and gradually start</w:t>
      </w:r>
      <w:r>
        <w:rPr>
          <w:spacing w:val="-7"/>
        </w:rPr>
        <w:t> </w:t>
      </w:r>
      <w:r>
        <w:rPr/>
        <w:t>again.</w:t>
      </w:r>
    </w:p>
    <w:p>
      <w:pPr>
        <w:pStyle w:val="Heading1"/>
        <w:spacing w:before="223"/>
      </w:pPr>
      <w:r>
        <w:rPr/>
        <w:t>Does colloidal silver interact with other</w:t>
      </w:r>
      <w:r>
        <w:rPr>
          <w:spacing w:val="-70"/>
        </w:rPr>
        <w:t> </w:t>
      </w:r>
      <w:r>
        <w:rPr/>
        <w:t>drugs?</w:t>
      </w:r>
    </w:p>
    <w:p>
      <w:pPr>
        <w:pStyle w:val="BodyText"/>
        <w:spacing w:line="276" w:lineRule="auto" w:before="299"/>
        <w:ind w:left="477" w:right="136"/>
        <w:jc w:val="both"/>
      </w:pPr>
      <w:r>
        <w:rPr/>
        <w:t>Interactions with other drugs are completely unknown, quite the contrary: col- loidal silver is used with other medicines, including antibiotics (for example, ‘</w:t>
      </w:r>
      <w:r>
        <w:rPr>
          <w:i/>
        </w:rPr>
        <w:t>Dresdner Scheme’</w:t>
      </w:r>
      <w:r>
        <w:rPr/>
        <w:t>).</w:t>
      </w:r>
    </w:p>
    <w:p>
      <w:pPr>
        <w:pStyle w:val="BodyText"/>
        <w:rPr>
          <w:sz w:val="42"/>
        </w:rPr>
      </w:pPr>
    </w:p>
    <w:p>
      <w:pPr>
        <w:pStyle w:val="BodyText"/>
        <w:spacing w:before="6"/>
        <w:rPr>
          <w:sz w:val="44"/>
        </w:rPr>
      </w:pPr>
    </w:p>
    <w:p>
      <w:pPr>
        <w:pStyle w:val="Heading2"/>
      </w:pPr>
      <w:r>
        <w:rPr/>
        <w:t>Production of colloidal silver</w:t>
      </w:r>
    </w:p>
    <w:p>
      <w:pPr>
        <w:pStyle w:val="BodyText"/>
        <w:spacing w:line="276" w:lineRule="auto" w:before="303"/>
        <w:ind w:left="477" w:right="132"/>
        <w:jc w:val="both"/>
      </w:pPr>
      <w:r>
        <w:rPr/>
        <w:t>The production of colloidal silver focuses on producing the smallest possible particles. While the silver used to be ground with great effort in a colloid mill and was therefore very expensive until the 1930s, modern production variants make</w:t>
      </w:r>
      <w:r>
        <w:rPr>
          <w:spacing w:val="-26"/>
        </w:rPr>
        <w:t> </w:t>
      </w:r>
      <w:r>
        <w:rPr/>
        <w:t>it</w:t>
      </w:r>
      <w:r>
        <w:rPr>
          <w:spacing w:val="-26"/>
        </w:rPr>
        <w:t> </w:t>
      </w:r>
      <w:r>
        <w:rPr/>
        <w:t>possible</w:t>
      </w:r>
      <w:r>
        <w:rPr>
          <w:spacing w:val="-26"/>
        </w:rPr>
        <w:t> </w:t>
      </w:r>
      <w:r>
        <w:rPr/>
        <w:t>to</w:t>
      </w:r>
      <w:r>
        <w:rPr>
          <w:spacing w:val="-23"/>
        </w:rPr>
        <w:t> </w:t>
      </w:r>
      <w:r>
        <w:rPr/>
        <w:t>obtain</w:t>
      </w:r>
      <w:r>
        <w:rPr>
          <w:spacing w:val="-25"/>
        </w:rPr>
        <w:t> </w:t>
      </w:r>
      <w:r>
        <w:rPr/>
        <w:t>very</w:t>
      </w:r>
      <w:r>
        <w:rPr>
          <w:spacing w:val="-26"/>
        </w:rPr>
        <w:t> </w:t>
      </w:r>
      <w:r>
        <w:rPr/>
        <w:t>effective</w:t>
      </w:r>
      <w:r>
        <w:rPr>
          <w:spacing w:val="-26"/>
        </w:rPr>
        <w:t> </w:t>
      </w:r>
      <w:r>
        <w:rPr/>
        <w:t>colloidal</w:t>
      </w:r>
      <w:r>
        <w:rPr>
          <w:spacing w:val="-24"/>
        </w:rPr>
        <w:t> </w:t>
      </w:r>
      <w:r>
        <w:rPr/>
        <w:t>silver</w:t>
      </w:r>
      <w:r>
        <w:rPr>
          <w:spacing w:val="-25"/>
        </w:rPr>
        <w:t> </w:t>
      </w:r>
      <w:r>
        <w:rPr/>
        <w:t>which</w:t>
      </w:r>
      <w:r>
        <w:rPr>
          <w:spacing w:val="-24"/>
        </w:rPr>
        <w:t> </w:t>
      </w:r>
      <w:r>
        <w:rPr/>
        <w:t>consists</w:t>
      </w:r>
      <w:r>
        <w:rPr>
          <w:spacing w:val="-26"/>
        </w:rPr>
        <w:t> </w:t>
      </w:r>
      <w:r>
        <w:rPr/>
        <w:t>of</w:t>
      </w:r>
      <w:r>
        <w:rPr>
          <w:spacing w:val="-25"/>
        </w:rPr>
        <w:t> </w:t>
      </w:r>
      <w:r>
        <w:rPr/>
        <w:t>smaller particles and is therefore much</w:t>
      </w:r>
      <w:r>
        <w:rPr>
          <w:spacing w:val="2"/>
        </w:rPr>
        <w:t> </w:t>
      </w:r>
      <w:r>
        <w:rPr/>
        <w:t>cheaper.</w:t>
      </w:r>
    </w:p>
    <w:p>
      <w:pPr>
        <w:pStyle w:val="BodyText"/>
        <w:spacing w:line="276" w:lineRule="auto" w:before="241"/>
        <w:ind w:left="477" w:right="137"/>
        <w:jc w:val="both"/>
      </w:pPr>
      <w:r>
        <w:rPr/>
        <w:t>The colloid mill was detached from the Bredig apparatus, which, under electric current, stripped the silver from the silver wires with an electric arc.</w:t>
      </w:r>
    </w:p>
    <w:p>
      <w:pPr>
        <w:pStyle w:val="BodyText"/>
        <w:spacing w:line="276" w:lineRule="auto" w:before="239"/>
        <w:ind w:left="477" w:right="138"/>
        <w:jc w:val="both"/>
      </w:pPr>
      <w:r>
        <w:rPr/>
        <w:t>It was only much later that the silver generator followed, which is still used today</w:t>
      </w:r>
      <w:r>
        <w:rPr>
          <w:spacing w:val="-14"/>
        </w:rPr>
        <w:t> </w:t>
      </w:r>
      <w:r>
        <w:rPr/>
        <w:t>in</w:t>
      </w:r>
      <w:r>
        <w:rPr>
          <w:spacing w:val="-14"/>
        </w:rPr>
        <w:t> </w:t>
      </w:r>
      <w:r>
        <w:rPr/>
        <w:t>the</w:t>
      </w:r>
      <w:r>
        <w:rPr>
          <w:spacing w:val="-13"/>
        </w:rPr>
        <w:t> </w:t>
      </w:r>
      <w:r>
        <w:rPr/>
        <w:t>production</w:t>
      </w:r>
      <w:r>
        <w:rPr>
          <w:spacing w:val="-13"/>
        </w:rPr>
        <w:t> </w:t>
      </w:r>
      <w:r>
        <w:rPr/>
        <w:t>of</w:t>
      </w:r>
      <w:r>
        <w:rPr>
          <w:spacing w:val="-14"/>
        </w:rPr>
        <w:t> </w:t>
      </w:r>
      <w:r>
        <w:rPr/>
        <w:t>colloidal</w:t>
      </w:r>
      <w:r>
        <w:rPr>
          <w:spacing w:val="-14"/>
        </w:rPr>
        <w:t> </w:t>
      </w:r>
      <w:r>
        <w:rPr/>
        <w:t>silver.</w:t>
      </w:r>
      <w:r>
        <w:rPr>
          <w:spacing w:val="-13"/>
        </w:rPr>
        <w:t> </w:t>
      </w:r>
      <w:r>
        <w:rPr/>
        <w:t>It</w:t>
      </w:r>
      <w:r>
        <w:rPr>
          <w:spacing w:val="-12"/>
        </w:rPr>
        <w:t> </w:t>
      </w:r>
      <w:r>
        <w:rPr/>
        <w:t>works</w:t>
      </w:r>
      <w:r>
        <w:rPr>
          <w:spacing w:val="-13"/>
        </w:rPr>
        <w:t> </w:t>
      </w:r>
      <w:r>
        <w:rPr/>
        <w:t>at</w:t>
      </w:r>
      <w:r>
        <w:rPr>
          <w:spacing w:val="-15"/>
        </w:rPr>
        <w:t> </w:t>
      </w:r>
      <w:r>
        <w:rPr/>
        <w:t>low</w:t>
      </w:r>
      <w:r>
        <w:rPr>
          <w:spacing w:val="-12"/>
        </w:rPr>
        <w:t> </w:t>
      </w:r>
      <w:r>
        <w:rPr/>
        <w:t>voltage</w:t>
      </w:r>
      <w:r>
        <w:rPr>
          <w:spacing w:val="-11"/>
        </w:rPr>
        <w:t> </w:t>
      </w:r>
      <w:r>
        <w:rPr/>
        <w:t>and</w:t>
      </w:r>
      <w:r>
        <w:rPr>
          <w:spacing w:val="-14"/>
        </w:rPr>
        <w:t> </w:t>
      </w:r>
      <w:r>
        <w:rPr/>
        <w:t>produces</w:t>
      </w:r>
    </w:p>
    <w:p>
      <w:pPr>
        <w:spacing w:after="0" w:line="276" w:lineRule="auto"/>
        <w:jc w:val="both"/>
        <w:sectPr>
          <w:pgSz w:w="14270" w:h="16850"/>
          <w:pgMar w:header="0" w:footer="1891" w:top="1600" w:bottom="2080" w:left="800" w:right="1280"/>
        </w:sectPr>
      </w:pPr>
    </w:p>
    <w:p>
      <w:pPr>
        <w:pStyle w:val="BodyText"/>
        <w:spacing w:before="181"/>
        <w:ind w:left="477"/>
      </w:pPr>
      <w:r>
        <w:rPr/>
        <w:t>colloidal silver by electrolysis.</w:t>
      </w:r>
    </w:p>
    <w:p>
      <w:pPr>
        <w:pStyle w:val="Heading2"/>
        <w:spacing w:line="276" w:lineRule="auto" w:before="305"/>
      </w:pPr>
      <w:r>
        <w:rPr/>
        <w:t>Description</w:t>
      </w:r>
      <w:r>
        <w:rPr>
          <w:spacing w:val="-15"/>
        </w:rPr>
        <w:t> </w:t>
      </w:r>
      <w:r>
        <w:rPr/>
        <w:t>of</w:t>
      </w:r>
      <w:r>
        <w:rPr>
          <w:spacing w:val="-16"/>
        </w:rPr>
        <w:t> </w:t>
      </w:r>
      <w:r>
        <w:rPr/>
        <w:t>the</w:t>
      </w:r>
      <w:r>
        <w:rPr>
          <w:spacing w:val="-17"/>
        </w:rPr>
        <w:t> </w:t>
      </w:r>
      <w:r>
        <w:rPr/>
        <w:t>preparation</w:t>
      </w:r>
      <w:r>
        <w:rPr>
          <w:spacing w:val="-15"/>
        </w:rPr>
        <w:t> </w:t>
      </w:r>
      <w:r>
        <w:rPr/>
        <w:t>of</w:t>
      </w:r>
      <w:r>
        <w:rPr>
          <w:spacing w:val="-17"/>
        </w:rPr>
        <w:t> </w:t>
      </w:r>
      <w:r>
        <w:rPr/>
        <w:t>colloidal</w:t>
      </w:r>
      <w:r>
        <w:rPr>
          <w:spacing w:val="-15"/>
        </w:rPr>
        <w:t> </w:t>
      </w:r>
      <w:r>
        <w:rPr/>
        <w:t>silver</w:t>
      </w:r>
      <w:r>
        <w:rPr>
          <w:spacing w:val="-19"/>
        </w:rPr>
        <w:t> </w:t>
      </w:r>
      <w:r>
        <w:rPr/>
        <w:t>by</w:t>
      </w:r>
      <w:r>
        <w:rPr>
          <w:spacing w:val="-16"/>
        </w:rPr>
        <w:t> </w:t>
      </w:r>
      <w:r>
        <w:rPr/>
        <w:t>means</w:t>
      </w:r>
      <w:r>
        <w:rPr>
          <w:spacing w:val="-15"/>
        </w:rPr>
        <w:t> </w:t>
      </w:r>
      <w:r>
        <w:rPr/>
        <w:t>of</w:t>
      </w:r>
      <w:r>
        <w:rPr>
          <w:spacing w:val="-16"/>
        </w:rPr>
        <w:t> </w:t>
      </w:r>
      <w:r>
        <w:rPr/>
        <w:t>a</w:t>
      </w:r>
      <w:r>
        <w:rPr>
          <w:spacing w:val="-15"/>
        </w:rPr>
        <w:t> </w:t>
      </w:r>
      <w:r>
        <w:rPr/>
        <w:t>silver</w:t>
      </w:r>
      <w:r>
        <w:rPr>
          <w:spacing w:val="-18"/>
        </w:rPr>
        <w:t> </w:t>
      </w:r>
      <w:r>
        <w:rPr/>
        <w:t>gen- erator</w:t>
      </w:r>
    </w:p>
    <w:p>
      <w:pPr>
        <w:pStyle w:val="ListParagraph"/>
        <w:numPr>
          <w:ilvl w:val="0"/>
          <w:numId w:val="43"/>
        </w:numPr>
        <w:tabs>
          <w:tab w:pos="1197" w:val="left" w:leader="none"/>
          <w:tab w:pos="1198" w:val="left" w:leader="none"/>
        </w:tabs>
        <w:spacing w:line="240" w:lineRule="auto" w:before="242" w:after="0"/>
        <w:ind w:left="1197" w:right="0" w:hanging="360"/>
        <w:jc w:val="left"/>
        <w:rPr>
          <w:sz w:val="38"/>
        </w:rPr>
      </w:pPr>
      <w:r>
        <w:rPr>
          <w:sz w:val="38"/>
        </w:rPr>
        <w:t>Apply the current to two silver electrodes and hang in distilled</w:t>
      </w:r>
      <w:r>
        <w:rPr>
          <w:spacing w:val="-9"/>
          <w:sz w:val="38"/>
        </w:rPr>
        <w:t> </w:t>
      </w:r>
      <w:r>
        <w:rPr>
          <w:sz w:val="38"/>
        </w:rPr>
        <w:t>water,</w:t>
      </w:r>
    </w:p>
    <w:p>
      <w:pPr>
        <w:pStyle w:val="ListParagraph"/>
        <w:numPr>
          <w:ilvl w:val="0"/>
          <w:numId w:val="43"/>
        </w:numPr>
        <w:tabs>
          <w:tab w:pos="1197" w:val="left" w:leader="none"/>
          <w:tab w:pos="1198" w:val="left" w:leader="none"/>
        </w:tabs>
        <w:spacing w:line="273" w:lineRule="auto" w:before="304" w:after="0"/>
        <w:ind w:left="1197" w:right="142" w:hanging="360"/>
        <w:jc w:val="left"/>
        <w:rPr>
          <w:sz w:val="38"/>
        </w:rPr>
      </w:pPr>
      <w:r>
        <w:rPr>
          <w:sz w:val="38"/>
        </w:rPr>
        <w:t>one of the two silver wires acts as a positive pole, the other as a negative pole.</w:t>
      </w:r>
    </w:p>
    <w:p>
      <w:pPr>
        <w:pStyle w:val="ListParagraph"/>
        <w:numPr>
          <w:ilvl w:val="0"/>
          <w:numId w:val="43"/>
        </w:numPr>
        <w:tabs>
          <w:tab w:pos="1197" w:val="left" w:leader="none"/>
          <w:tab w:pos="1198" w:val="left" w:leader="none"/>
        </w:tabs>
        <w:spacing w:line="273" w:lineRule="auto" w:before="248" w:after="0"/>
        <w:ind w:left="1197" w:right="138" w:hanging="360"/>
        <w:jc w:val="left"/>
        <w:rPr>
          <w:sz w:val="38"/>
        </w:rPr>
      </w:pPr>
      <w:r>
        <w:rPr>
          <w:sz w:val="38"/>
        </w:rPr>
        <w:t>When the generator is connected, the current dissolves the silver particles and positively charged silver</w:t>
      </w:r>
      <w:r>
        <w:rPr>
          <w:spacing w:val="1"/>
          <w:sz w:val="38"/>
        </w:rPr>
        <w:t> </w:t>
      </w:r>
      <w:r>
        <w:rPr>
          <w:sz w:val="38"/>
        </w:rPr>
        <w:t>ions.</w:t>
      </w:r>
    </w:p>
    <w:p>
      <w:pPr>
        <w:pStyle w:val="ListParagraph"/>
        <w:numPr>
          <w:ilvl w:val="0"/>
          <w:numId w:val="43"/>
        </w:numPr>
        <w:tabs>
          <w:tab w:pos="1197" w:val="left" w:leader="none"/>
          <w:tab w:pos="1198" w:val="left" w:leader="none"/>
        </w:tabs>
        <w:spacing w:line="273" w:lineRule="auto" w:before="247" w:after="0"/>
        <w:ind w:left="1197" w:right="140" w:hanging="360"/>
        <w:jc w:val="left"/>
        <w:rPr>
          <w:sz w:val="38"/>
        </w:rPr>
      </w:pPr>
      <w:r>
        <w:rPr>
          <w:sz w:val="38"/>
        </w:rPr>
        <w:t>Hydrogen gas is formed at the negative pole; the electrons are replaced</w:t>
      </w:r>
      <w:r>
        <w:rPr>
          <w:spacing w:val="-45"/>
          <w:sz w:val="38"/>
        </w:rPr>
        <w:t> </w:t>
      </w:r>
      <w:r>
        <w:rPr>
          <w:sz w:val="38"/>
        </w:rPr>
        <w:t>by the positive pole when the silver particles are formed.</w:t>
      </w:r>
    </w:p>
    <w:p>
      <w:pPr>
        <w:pStyle w:val="ListParagraph"/>
        <w:numPr>
          <w:ilvl w:val="0"/>
          <w:numId w:val="43"/>
        </w:numPr>
        <w:tabs>
          <w:tab w:pos="1197" w:val="left" w:leader="none"/>
          <w:tab w:pos="1198" w:val="left" w:leader="none"/>
        </w:tabs>
        <w:spacing w:line="273" w:lineRule="auto" w:before="247" w:after="0"/>
        <w:ind w:left="1197" w:right="129" w:hanging="360"/>
        <w:jc w:val="left"/>
        <w:rPr>
          <w:sz w:val="38"/>
        </w:rPr>
      </w:pPr>
      <w:r>
        <w:rPr>
          <w:sz w:val="38"/>
        </w:rPr>
        <w:t>When the current flows through the silver, some of the silver atoms at</w:t>
      </w:r>
      <w:r>
        <w:rPr>
          <w:spacing w:val="-58"/>
          <w:sz w:val="38"/>
        </w:rPr>
        <w:t> </w:t>
      </w:r>
      <w:r>
        <w:rPr>
          <w:sz w:val="38"/>
        </w:rPr>
        <w:t>the interface with the water lose an electron and become an</w:t>
      </w:r>
      <w:r>
        <w:rPr>
          <w:spacing w:val="1"/>
          <w:sz w:val="38"/>
        </w:rPr>
        <w:t> </w:t>
      </w:r>
      <w:r>
        <w:rPr>
          <w:sz w:val="38"/>
        </w:rPr>
        <w:t>ion.</w:t>
      </w:r>
    </w:p>
    <w:p>
      <w:pPr>
        <w:pStyle w:val="ListParagraph"/>
        <w:numPr>
          <w:ilvl w:val="0"/>
          <w:numId w:val="43"/>
        </w:numPr>
        <w:tabs>
          <w:tab w:pos="1197" w:val="left" w:leader="none"/>
          <w:tab w:pos="1198" w:val="left" w:leader="none"/>
        </w:tabs>
        <w:spacing w:line="240" w:lineRule="auto" w:before="247" w:after="0"/>
        <w:ind w:left="1197" w:right="0" w:hanging="360"/>
        <w:jc w:val="left"/>
        <w:rPr>
          <w:sz w:val="38"/>
        </w:rPr>
      </w:pPr>
      <w:r>
        <w:rPr>
          <w:sz w:val="38"/>
        </w:rPr>
        <w:t>The silver ions dissolve in water and thus produce an ionic silver</w:t>
      </w:r>
      <w:r>
        <w:rPr>
          <w:spacing w:val="41"/>
          <w:sz w:val="38"/>
        </w:rPr>
        <w:t> </w:t>
      </w:r>
      <w:r>
        <w:rPr>
          <w:sz w:val="38"/>
        </w:rPr>
        <w:t>solution</w:t>
      </w:r>
    </w:p>
    <w:p>
      <w:pPr>
        <w:pStyle w:val="BodyText"/>
        <w:spacing w:before="62"/>
        <w:ind w:left="1197"/>
      </w:pPr>
      <w:r>
        <w:rPr/>
        <w:t>= electrolysis process.</w:t>
      </w:r>
    </w:p>
    <w:p>
      <w:pPr>
        <w:pStyle w:val="ListParagraph"/>
        <w:numPr>
          <w:ilvl w:val="0"/>
          <w:numId w:val="43"/>
        </w:numPr>
        <w:tabs>
          <w:tab w:pos="1197" w:val="left" w:leader="none"/>
          <w:tab w:pos="1198" w:val="left" w:leader="none"/>
        </w:tabs>
        <w:spacing w:line="273" w:lineRule="auto" w:before="306" w:after="0"/>
        <w:ind w:left="1197" w:right="132" w:hanging="360"/>
        <w:jc w:val="left"/>
        <w:rPr>
          <w:sz w:val="38"/>
        </w:rPr>
      </w:pPr>
      <w:r>
        <w:rPr>
          <w:sz w:val="38"/>
        </w:rPr>
        <w:t>Some</w:t>
      </w:r>
      <w:r>
        <w:rPr>
          <w:spacing w:val="-14"/>
          <w:sz w:val="38"/>
        </w:rPr>
        <w:t> </w:t>
      </w:r>
      <w:r>
        <w:rPr>
          <w:sz w:val="38"/>
        </w:rPr>
        <w:t>of</w:t>
      </w:r>
      <w:r>
        <w:rPr>
          <w:spacing w:val="-14"/>
          <w:sz w:val="38"/>
        </w:rPr>
        <w:t> </w:t>
      </w:r>
      <w:r>
        <w:rPr>
          <w:sz w:val="38"/>
        </w:rPr>
        <w:t>the</w:t>
      </w:r>
      <w:r>
        <w:rPr>
          <w:spacing w:val="-13"/>
          <w:sz w:val="38"/>
        </w:rPr>
        <w:t> </w:t>
      </w:r>
      <w:r>
        <w:rPr>
          <w:sz w:val="38"/>
        </w:rPr>
        <w:t>silver</w:t>
      </w:r>
      <w:r>
        <w:rPr>
          <w:spacing w:val="-13"/>
          <w:sz w:val="38"/>
        </w:rPr>
        <w:t> </w:t>
      </w:r>
      <w:r>
        <w:rPr>
          <w:sz w:val="38"/>
        </w:rPr>
        <w:t>ions</w:t>
      </w:r>
      <w:r>
        <w:rPr>
          <w:spacing w:val="-15"/>
          <w:sz w:val="38"/>
        </w:rPr>
        <w:t> </w:t>
      </w:r>
      <w:r>
        <w:rPr>
          <w:sz w:val="38"/>
        </w:rPr>
        <w:t>absorb</w:t>
      </w:r>
      <w:r>
        <w:rPr>
          <w:spacing w:val="-14"/>
          <w:sz w:val="38"/>
        </w:rPr>
        <w:t> </w:t>
      </w:r>
      <w:r>
        <w:rPr>
          <w:sz w:val="38"/>
        </w:rPr>
        <w:t>an</w:t>
      </w:r>
      <w:r>
        <w:rPr>
          <w:spacing w:val="-14"/>
          <w:sz w:val="38"/>
        </w:rPr>
        <w:t> </w:t>
      </w:r>
      <w:r>
        <w:rPr>
          <w:sz w:val="38"/>
        </w:rPr>
        <w:t>electron</w:t>
      </w:r>
      <w:r>
        <w:rPr>
          <w:spacing w:val="-14"/>
          <w:sz w:val="38"/>
        </w:rPr>
        <w:t> </w:t>
      </w:r>
      <w:r>
        <w:rPr>
          <w:sz w:val="38"/>
        </w:rPr>
        <w:t>from</w:t>
      </w:r>
      <w:r>
        <w:rPr>
          <w:spacing w:val="-16"/>
          <w:sz w:val="38"/>
        </w:rPr>
        <w:t> </w:t>
      </w:r>
      <w:r>
        <w:rPr>
          <w:sz w:val="38"/>
        </w:rPr>
        <w:t>the</w:t>
      </w:r>
      <w:r>
        <w:rPr>
          <w:spacing w:val="-12"/>
          <w:sz w:val="38"/>
        </w:rPr>
        <w:t> </w:t>
      </w:r>
      <w:r>
        <w:rPr>
          <w:sz w:val="38"/>
        </w:rPr>
        <w:t>flowing</w:t>
      </w:r>
      <w:r>
        <w:rPr>
          <w:spacing w:val="-13"/>
          <w:sz w:val="38"/>
        </w:rPr>
        <w:t> </w:t>
      </w:r>
      <w:r>
        <w:rPr>
          <w:sz w:val="38"/>
        </w:rPr>
        <w:t>current</w:t>
      </w:r>
      <w:r>
        <w:rPr>
          <w:spacing w:val="-14"/>
          <w:sz w:val="38"/>
        </w:rPr>
        <w:t> </w:t>
      </w:r>
      <w:r>
        <w:rPr>
          <w:sz w:val="38"/>
        </w:rPr>
        <w:t>during electrolysis and are converted back into an</w:t>
      </w:r>
      <w:r>
        <w:rPr>
          <w:spacing w:val="-3"/>
          <w:sz w:val="38"/>
        </w:rPr>
        <w:t> </w:t>
      </w:r>
      <w:r>
        <w:rPr>
          <w:sz w:val="38"/>
        </w:rPr>
        <w:t>atom.</w:t>
      </w:r>
    </w:p>
    <w:p>
      <w:pPr>
        <w:pStyle w:val="ListParagraph"/>
        <w:numPr>
          <w:ilvl w:val="0"/>
          <w:numId w:val="43"/>
        </w:numPr>
        <w:tabs>
          <w:tab w:pos="1197" w:val="left" w:leader="none"/>
          <w:tab w:pos="1198" w:val="left" w:leader="none"/>
        </w:tabs>
        <w:spacing w:line="273" w:lineRule="auto" w:before="248" w:after="0"/>
        <w:ind w:left="1197" w:right="144" w:hanging="360"/>
        <w:jc w:val="left"/>
        <w:rPr>
          <w:sz w:val="38"/>
        </w:rPr>
      </w:pPr>
      <w:r>
        <w:rPr>
          <w:sz w:val="38"/>
        </w:rPr>
        <w:t>These atoms are attracted to other atoms by the van der Waal's forces; small metal particles form. This creates both ions and</w:t>
      </w:r>
      <w:r>
        <w:rPr>
          <w:spacing w:val="-8"/>
          <w:sz w:val="38"/>
        </w:rPr>
        <w:t> </w:t>
      </w:r>
      <w:r>
        <w:rPr>
          <w:sz w:val="38"/>
        </w:rPr>
        <w:t>particles.</w:t>
      </w:r>
    </w:p>
    <w:p>
      <w:pPr>
        <w:spacing w:after="0" w:line="273" w:lineRule="auto"/>
        <w:jc w:val="left"/>
        <w:rPr>
          <w:sz w:val="38"/>
        </w:rPr>
        <w:sectPr>
          <w:pgSz w:w="14270" w:h="16850"/>
          <w:pgMar w:header="0" w:footer="1891" w:top="1600" w:bottom="2080" w:left="800" w:right="1280"/>
        </w:sectPr>
      </w:pPr>
    </w:p>
    <w:p>
      <w:pPr>
        <w:pStyle w:val="BodyText"/>
        <w:spacing w:before="10"/>
        <w:rPr>
          <w:sz w:val="8"/>
        </w:rPr>
      </w:pPr>
    </w:p>
    <w:p>
      <w:pPr>
        <w:pStyle w:val="ListParagraph"/>
        <w:numPr>
          <w:ilvl w:val="0"/>
          <w:numId w:val="43"/>
        </w:numPr>
        <w:tabs>
          <w:tab w:pos="1197" w:val="left" w:leader="none"/>
          <w:tab w:pos="1198" w:val="left" w:leader="none"/>
        </w:tabs>
        <w:spacing w:line="273" w:lineRule="auto" w:before="83" w:after="0"/>
        <w:ind w:left="1197" w:right="139" w:hanging="360"/>
        <w:jc w:val="left"/>
        <w:rPr>
          <w:sz w:val="38"/>
        </w:rPr>
      </w:pPr>
      <w:r>
        <w:rPr>
          <w:sz w:val="38"/>
        </w:rPr>
        <w:t>The positively charged cations move to the positively charged negative pole and pick up electrons</w:t>
      </w:r>
      <w:r>
        <w:rPr>
          <w:spacing w:val="-3"/>
          <w:sz w:val="38"/>
        </w:rPr>
        <w:t> </w:t>
      </w:r>
      <w:r>
        <w:rPr>
          <w:sz w:val="38"/>
        </w:rPr>
        <w:t>there.</w:t>
      </w:r>
    </w:p>
    <w:p>
      <w:pPr>
        <w:pStyle w:val="ListParagraph"/>
        <w:numPr>
          <w:ilvl w:val="0"/>
          <w:numId w:val="43"/>
        </w:numPr>
        <w:tabs>
          <w:tab w:pos="1197" w:val="left" w:leader="none"/>
          <w:tab w:pos="1198" w:val="left" w:leader="none"/>
        </w:tabs>
        <w:spacing w:line="273" w:lineRule="auto" w:before="247" w:after="0"/>
        <w:ind w:left="1197" w:right="139" w:hanging="360"/>
        <w:jc w:val="left"/>
        <w:rPr>
          <w:sz w:val="38"/>
        </w:rPr>
      </w:pPr>
      <w:r>
        <w:rPr>
          <w:sz w:val="38"/>
        </w:rPr>
        <w:t>The negatively charged anions move to the positively charged positive pole.</w:t>
      </w:r>
    </w:p>
    <w:p>
      <w:pPr>
        <w:pStyle w:val="ListParagraph"/>
        <w:numPr>
          <w:ilvl w:val="0"/>
          <w:numId w:val="43"/>
        </w:numPr>
        <w:tabs>
          <w:tab w:pos="1197" w:val="left" w:leader="none"/>
          <w:tab w:pos="1198" w:val="left" w:leader="none"/>
        </w:tabs>
        <w:spacing w:line="240" w:lineRule="auto" w:before="247" w:after="0"/>
        <w:ind w:left="1197" w:right="0" w:hanging="360"/>
        <w:jc w:val="left"/>
        <w:rPr>
          <w:sz w:val="38"/>
        </w:rPr>
      </w:pPr>
      <w:r>
        <w:rPr>
          <w:sz w:val="38"/>
        </w:rPr>
        <w:t>Where</w:t>
      </w:r>
      <w:r>
        <w:rPr>
          <w:spacing w:val="-18"/>
          <w:sz w:val="38"/>
        </w:rPr>
        <w:t> </w:t>
      </w:r>
      <w:r>
        <w:rPr>
          <w:sz w:val="38"/>
        </w:rPr>
        <w:t>there</w:t>
      </w:r>
      <w:r>
        <w:rPr>
          <w:spacing w:val="-18"/>
          <w:sz w:val="38"/>
        </w:rPr>
        <w:t> </w:t>
      </w:r>
      <w:r>
        <w:rPr>
          <w:sz w:val="38"/>
        </w:rPr>
        <w:t>are</w:t>
      </w:r>
      <w:r>
        <w:rPr>
          <w:spacing w:val="-20"/>
          <w:sz w:val="38"/>
        </w:rPr>
        <w:t> </w:t>
      </w:r>
      <w:r>
        <w:rPr>
          <w:sz w:val="38"/>
        </w:rPr>
        <w:t>cations</w:t>
      </w:r>
      <w:r>
        <w:rPr>
          <w:spacing w:val="-18"/>
          <w:sz w:val="38"/>
        </w:rPr>
        <w:t> </w:t>
      </w:r>
      <w:r>
        <w:rPr>
          <w:sz w:val="38"/>
        </w:rPr>
        <w:t>and</w:t>
      </w:r>
      <w:r>
        <w:rPr>
          <w:spacing w:val="-18"/>
          <w:sz w:val="38"/>
        </w:rPr>
        <w:t> </w:t>
      </w:r>
      <w:r>
        <w:rPr>
          <w:sz w:val="38"/>
        </w:rPr>
        <w:t>anions,</w:t>
      </w:r>
      <w:r>
        <w:rPr>
          <w:spacing w:val="-18"/>
          <w:sz w:val="38"/>
        </w:rPr>
        <w:t> </w:t>
      </w:r>
      <w:r>
        <w:rPr>
          <w:sz w:val="38"/>
        </w:rPr>
        <w:t>they</w:t>
      </w:r>
      <w:r>
        <w:rPr>
          <w:spacing w:val="-17"/>
          <w:sz w:val="38"/>
        </w:rPr>
        <w:t> </w:t>
      </w:r>
      <w:r>
        <w:rPr>
          <w:sz w:val="38"/>
        </w:rPr>
        <w:t>try</w:t>
      </w:r>
      <w:r>
        <w:rPr>
          <w:spacing w:val="-21"/>
          <w:sz w:val="38"/>
        </w:rPr>
        <w:t> </w:t>
      </w:r>
      <w:r>
        <w:rPr>
          <w:sz w:val="38"/>
        </w:rPr>
        <w:t>to</w:t>
      </w:r>
      <w:r>
        <w:rPr>
          <w:spacing w:val="-17"/>
          <w:sz w:val="38"/>
        </w:rPr>
        <w:t> </w:t>
      </w:r>
      <w:r>
        <w:rPr>
          <w:sz w:val="38"/>
        </w:rPr>
        <w:t>balance</w:t>
      </w:r>
      <w:r>
        <w:rPr>
          <w:spacing w:val="-18"/>
          <w:sz w:val="38"/>
        </w:rPr>
        <w:t> </w:t>
      </w:r>
      <w:r>
        <w:rPr>
          <w:sz w:val="38"/>
        </w:rPr>
        <w:t>each</w:t>
      </w:r>
      <w:r>
        <w:rPr>
          <w:spacing w:val="-17"/>
          <w:sz w:val="38"/>
        </w:rPr>
        <w:t> </w:t>
      </w:r>
      <w:r>
        <w:rPr>
          <w:sz w:val="38"/>
        </w:rPr>
        <w:t>other's</w:t>
      </w:r>
      <w:r>
        <w:rPr>
          <w:spacing w:val="-18"/>
          <w:sz w:val="38"/>
        </w:rPr>
        <w:t> </w:t>
      </w:r>
      <w:r>
        <w:rPr>
          <w:sz w:val="38"/>
        </w:rPr>
        <w:t>charge.</w:t>
      </w: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spacing w:before="3"/>
        <w:rPr>
          <w:sz w:val="44"/>
        </w:rPr>
      </w:pPr>
    </w:p>
    <w:p>
      <w:pPr>
        <w:pStyle w:val="Heading2"/>
      </w:pPr>
      <w:r>
        <w:rPr/>
        <w:t>What should be considered in the production of colloidal silver?</w:t>
      </w:r>
    </w:p>
    <w:p>
      <w:pPr>
        <w:pStyle w:val="ListParagraph"/>
        <w:numPr>
          <w:ilvl w:val="0"/>
          <w:numId w:val="43"/>
        </w:numPr>
        <w:tabs>
          <w:tab w:pos="1198" w:val="left" w:leader="none"/>
        </w:tabs>
        <w:spacing w:line="273" w:lineRule="auto" w:before="306" w:after="0"/>
        <w:ind w:left="1197" w:right="141" w:hanging="360"/>
        <w:jc w:val="both"/>
        <w:rPr>
          <w:sz w:val="38"/>
        </w:rPr>
      </w:pPr>
      <w:r>
        <w:rPr>
          <w:sz w:val="38"/>
        </w:rPr>
        <w:t>When buying a silver generator, pay attention to quality rather than a low price; the equipment should be standardised and, if possible, should indi- cate that it can be used for the production of colloidal</w:t>
      </w:r>
      <w:r>
        <w:rPr>
          <w:spacing w:val="-7"/>
          <w:sz w:val="38"/>
        </w:rPr>
        <w:t> </w:t>
      </w:r>
      <w:r>
        <w:rPr>
          <w:sz w:val="38"/>
        </w:rPr>
        <w:t>silver.</w:t>
      </w:r>
    </w:p>
    <w:p>
      <w:pPr>
        <w:pStyle w:val="ListParagraph"/>
        <w:numPr>
          <w:ilvl w:val="0"/>
          <w:numId w:val="43"/>
        </w:numPr>
        <w:tabs>
          <w:tab w:pos="1197" w:val="left" w:leader="none"/>
          <w:tab w:pos="1198" w:val="left" w:leader="none"/>
        </w:tabs>
        <w:spacing w:line="240" w:lineRule="auto" w:before="250" w:after="0"/>
        <w:ind w:left="1197" w:right="0" w:hanging="360"/>
        <w:jc w:val="left"/>
        <w:rPr>
          <w:sz w:val="38"/>
        </w:rPr>
      </w:pPr>
      <w:r>
        <w:rPr>
          <w:sz w:val="38"/>
        </w:rPr>
        <w:t>Use only 99.99 % pure silver</w:t>
      </w:r>
      <w:r>
        <w:rPr>
          <w:spacing w:val="-2"/>
          <w:sz w:val="38"/>
        </w:rPr>
        <w:t> </w:t>
      </w:r>
      <w:r>
        <w:rPr>
          <w:sz w:val="38"/>
        </w:rPr>
        <w:t>rods.</w:t>
      </w:r>
    </w:p>
    <w:p>
      <w:pPr>
        <w:pStyle w:val="ListParagraph"/>
        <w:numPr>
          <w:ilvl w:val="0"/>
          <w:numId w:val="43"/>
        </w:numPr>
        <w:tabs>
          <w:tab w:pos="1197" w:val="left" w:leader="none"/>
          <w:tab w:pos="1198" w:val="left" w:leader="none"/>
        </w:tabs>
        <w:spacing w:line="240" w:lineRule="auto" w:before="306" w:after="0"/>
        <w:ind w:left="1197" w:right="0" w:hanging="360"/>
        <w:jc w:val="left"/>
        <w:rPr>
          <w:sz w:val="38"/>
        </w:rPr>
      </w:pPr>
      <w:r>
        <w:rPr>
          <w:sz w:val="38"/>
        </w:rPr>
        <w:t>Avoid other silver material; this tends to have</w:t>
      </w:r>
      <w:r>
        <w:rPr>
          <w:spacing w:val="-2"/>
          <w:sz w:val="38"/>
        </w:rPr>
        <w:t> </w:t>
      </w:r>
      <w:r>
        <w:rPr>
          <w:sz w:val="38"/>
        </w:rPr>
        <w:t>impurities!</w:t>
      </w:r>
    </w:p>
    <w:p>
      <w:pPr>
        <w:pStyle w:val="ListParagraph"/>
        <w:numPr>
          <w:ilvl w:val="0"/>
          <w:numId w:val="43"/>
        </w:numPr>
        <w:tabs>
          <w:tab w:pos="1197" w:val="left" w:leader="none"/>
          <w:tab w:pos="1198" w:val="left" w:leader="none"/>
        </w:tabs>
        <w:spacing w:line="240" w:lineRule="auto" w:before="304" w:after="0"/>
        <w:ind w:left="1197" w:right="0" w:hanging="360"/>
        <w:jc w:val="left"/>
        <w:rPr>
          <w:sz w:val="38"/>
        </w:rPr>
      </w:pPr>
      <w:r>
        <w:rPr>
          <w:sz w:val="38"/>
        </w:rPr>
        <w:t>Purchase distilled water in a pharmacy; this is free of</w:t>
      </w:r>
      <w:r>
        <w:rPr>
          <w:spacing w:val="-3"/>
          <w:sz w:val="38"/>
        </w:rPr>
        <w:t> </w:t>
      </w:r>
      <w:r>
        <w:rPr>
          <w:sz w:val="38"/>
        </w:rPr>
        <w:t>impurities</w:t>
      </w:r>
    </w:p>
    <w:p>
      <w:pPr>
        <w:spacing w:after="0" w:line="240" w:lineRule="auto"/>
        <w:jc w:val="left"/>
        <w:rPr>
          <w:sz w:val="38"/>
        </w:rPr>
        <w:sectPr>
          <w:pgSz w:w="14270" w:h="16850"/>
          <w:pgMar w:header="0" w:footer="1891" w:top="1600" w:bottom="2080" w:left="800" w:right="1280"/>
        </w:sectPr>
      </w:pPr>
    </w:p>
    <w:p>
      <w:pPr>
        <w:pStyle w:val="BodyText"/>
        <w:spacing w:before="10"/>
        <w:rPr>
          <w:sz w:val="8"/>
        </w:rPr>
      </w:pPr>
    </w:p>
    <w:p>
      <w:pPr>
        <w:pStyle w:val="ListParagraph"/>
        <w:numPr>
          <w:ilvl w:val="0"/>
          <w:numId w:val="43"/>
        </w:numPr>
        <w:tabs>
          <w:tab w:pos="1197" w:val="left" w:leader="none"/>
          <w:tab w:pos="1198" w:val="left" w:leader="none"/>
        </w:tabs>
        <w:spacing w:line="240" w:lineRule="auto" w:before="83" w:after="0"/>
        <w:ind w:left="1197" w:right="0" w:hanging="360"/>
        <w:jc w:val="left"/>
        <w:rPr>
          <w:sz w:val="38"/>
        </w:rPr>
      </w:pPr>
      <w:r>
        <w:rPr>
          <w:sz w:val="38"/>
        </w:rPr>
        <w:t>Proceed according to the manufacturer's</w:t>
      </w:r>
      <w:r>
        <w:rPr>
          <w:spacing w:val="-1"/>
          <w:sz w:val="38"/>
        </w:rPr>
        <w:t> </w:t>
      </w:r>
      <w:r>
        <w:rPr>
          <w:sz w:val="38"/>
        </w:rPr>
        <w:t>instructions.</w:t>
      </w:r>
    </w:p>
    <w:p>
      <w:pPr>
        <w:pStyle w:val="BodyText"/>
        <w:rPr>
          <w:sz w:val="44"/>
        </w:rPr>
      </w:pPr>
    </w:p>
    <w:p>
      <w:pPr>
        <w:pStyle w:val="BodyText"/>
        <w:spacing w:before="4"/>
        <w:rPr>
          <w:sz w:val="46"/>
        </w:rPr>
      </w:pPr>
    </w:p>
    <w:p>
      <w:pPr>
        <w:pStyle w:val="Heading1"/>
        <w:spacing w:before="0"/>
      </w:pPr>
      <w:r>
        <w:rPr/>
        <w:t>Questions and answers</w:t>
      </w:r>
    </w:p>
    <w:p>
      <w:pPr>
        <w:pStyle w:val="BodyText"/>
        <w:spacing w:line="276" w:lineRule="auto" w:before="300"/>
        <w:ind w:left="477" w:right="135"/>
        <w:jc w:val="both"/>
      </w:pPr>
      <w:r>
        <w:rPr/>
        <w:t>Colloidal silver is an extraordinary, highly efficient and usually side-effect-free treatment against all parasites, such as bacteria, viruses and fungi.</w:t>
      </w:r>
    </w:p>
    <w:p>
      <w:pPr>
        <w:pStyle w:val="BodyText"/>
        <w:spacing w:line="276" w:lineRule="auto" w:before="241"/>
        <w:ind w:left="477" w:right="134"/>
        <w:jc w:val="both"/>
      </w:pPr>
      <w:r>
        <w:rPr/>
        <w:t>In a record time of 6 min, colloidal silver can literally kill up to 650 pathogens; at the same time, it spares the good bacteria that our body needs to function. For details, see the section ‘What is colloidal silver?’</w:t>
      </w:r>
    </w:p>
    <w:p>
      <w:pPr>
        <w:pStyle w:val="Heading1"/>
        <w:spacing w:before="221"/>
      </w:pPr>
      <w:r>
        <w:rPr/>
        <w:t>How does colloidal silver work?</w:t>
      </w:r>
    </w:p>
    <w:p>
      <w:pPr>
        <w:pStyle w:val="BodyText"/>
        <w:spacing w:line="276" w:lineRule="auto" w:before="300"/>
        <w:ind w:left="477" w:right="132"/>
        <w:jc w:val="both"/>
      </w:pPr>
      <w:r>
        <w:rPr/>
        <w:t>Its effect is based on two factors: On the one hand, the so-called ‘Brownian motion’, i.e. a collectively magnetic field, is produced in colloidal silver water, the electrical negative polarisation of which interferes with pathogens. On the other</w:t>
      </w:r>
      <w:r>
        <w:rPr>
          <w:spacing w:val="-6"/>
        </w:rPr>
        <w:t> </w:t>
      </w:r>
      <w:r>
        <w:rPr/>
        <w:t>hand,</w:t>
      </w:r>
      <w:r>
        <w:rPr>
          <w:spacing w:val="-5"/>
        </w:rPr>
        <w:t> </w:t>
      </w:r>
      <w:r>
        <w:rPr/>
        <w:t>the</w:t>
      </w:r>
      <w:r>
        <w:rPr>
          <w:spacing w:val="-7"/>
        </w:rPr>
        <w:t> </w:t>
      </w:r>
      <w:r>
        <w:rPr/>
        <w:t>use</w:t>
      </w:r>
      <w:r>
        <w:rPr>
          <w:spacing w:val="-6"/>
        </w:rPr>
        <w:t> </w:t>
      </w:r>
      <w:r>
        <w:rPr/>
        <w:t>of</w:t>
      </w:r>
      <w:r>
        <w:rPr>
          <w:spacing w:val="-6"/>
        </w:rPr>
        <w:t> </w:t>
      </w:r>
      <w:r>
        <w:rPr/>
        <w:t>colloidal</w:t>
      </w:r>
      <w:r>
        <w:rPr>
          <w:spacing w:val="-8"/>
        </w:rPr>
        <w:t> </w:t>
      </w:r>
      <w:r>
        <w:rPr/>
        <w:t>silver</w:t>
      </w:r>
      <w:r>
        <w:rPr>
          <w:spacing w:val="-6"/>
        </w:rPr>
        <w:t> </w:t>
      </w:r>
      <w:r>
        <w:rPr/>
        <w:t>promotes</w:t>
      </w:r>
      <w:r>
        <w:rPr>
          <w:spacing w:val="-5"/>
        </w:rPr>
        <w:t> </w:t>
      </w:r>
      <w:r>
        <w:rPr/>
        <w:t>our</w:t>
      </w:r>
      <w:r>
        <w:rPr>
          <w:spacing w:val="-6"/>
        </w:rPr>
        <w:t> </w:t>
      </w:r>
      <w:r>
        <w:rPr/>
        <w:t>immune</w:t>
      </w:r>
      <w:r>
        <w:rPr>
          <w:spacing w:val="-6"/>
        </w:rPr>
        <w:t> </w:t>
      </w:r>
      <w:r>
        <w:rPr/>
        <w:t>system,</w:t>
      </w:r>
      <w:r>
        <w:rPr>
          <w:spacing w:val="-6"/>
        </w:rPr>
        <w:t> </w:t>
      </w:r>
      <w:r>
        <w:rPr/>
        <w:t>which</w:t>
      </w:r>
      <w:r>
        <w:rPr>
          <w:spacing w:val="-5"/>
        </w:rPr>
        <w:t> </w:t>
      </w:r>
      <w:r>
        <w:rPr/>
        <w:t>can then also effectively fight against the</w:t>
      </w:r>
      <w:r>
        <w:rPr>
          <w:spacing w:val="3"/>
        </w:rPr>
        <w:t> </w:t>
      </w:r>
      <w:r>
        <w:rPr/>
        <w:t>pathogens.</w:t>
      </w:r>
    </w:p>
    <w:p>
      <w:pPr>
        <w:pStyle w:val="BodyText"/>
        <w:spacing w:line="276" w:lineRule="auto" w:before="239"/>
        <w:ind w:left="477" w:right="136"/>
        <w:jc w:val="both"/>
      </w:pPr>
      <w:r>
        <w:rPr/>
        <w:t>Added to this is the ability of colloidal silver to stimulate cell growth and</w:t>
      </w:r>
      <w:r>
        <w:rPr>
          <w:spacing w:val="-54"/>
        </w:rPr>
        <w:t> </w:t>
      </w:r>
      <w:r>
        <w:rPr/>
        <w:t>accel- erate healing of injured tissue by more than 50 </w:t>
      </w:r>
      <w:r>
        <w:rPr>
          <w:spacing w:val="-3"/>
        </w:rPr>
        <w:t>%.</w:t>
      </w:r>
    </w:p>
    <w:p>
      <w:pPr>
        <w:pStyle w:val="Heading1"/>
      </w:pPr>
      <w:r>
        <w:rPr/>
        <w:t>Which diseases does colloidal silver</w:t>
      </w:r>
      <w:r>
        <w:rPr>
          <w:spacing w:val="-70"/>
        </w:rPr>
        <w:t> </w:t>
      </w:r>
      <w:r>
        <w:rPr/>
        <w:t>counteract?</w:t>
      </w:r>
    </w:p>
    <w:p>
      <w:pPr>
        <w:pStyle w:val="BodyText"/>
        <w:spacing w:line="276" w:lineRule="auto" w:before="300"/>
        <w:ind w:left="477" w:right="133"/>
        <w:jc w:val="both"/>
      </w:pPr>
      <w:r>
        <w:rPr/>
        <w:t>Due</w:t>
      </w:r>
      <w:r>
        <w:rPr>
          <w:spacing w:val="-15"/>
        </w:rPr>
        <w:t> </w:t>
      </w:r>
      <w:r>
        <w:rPr/>
        <w:t>to</w:t>
      </w:r>
      <w:r>
        <w:rPr>
          <w:spacing w:val="-14"/>
        </w:rPr>
        <w:t> </w:t>
      </w:r>
      <w:r>
        <w:rPr/>
        <w:t>the</w:t>
      </w:r>
      <w:r>
        <w:rPr>
          <w:spacing w:val="-13"/>
        </w:rPr>
        <w:t> </w:t>
      </w:r>
      <w:r>
        <w:rPr/>
        <w:t>enormous</w:t>
      </w:r>
      <w:r>
        <w:rPr>
          <w:spacing w:val="-14"/>
        </w:rPr>
        <w:t> </w:t>
      </w:r>
      <w:r>
        <w:rPr/>
        <w:t>range</w:t>
      </w:r>
      <w:r>
        <w:rPr>
          <w:spacing w:val="-12"/>
        </w:rPr>
        <w:t> </w:t>
      </w:r>
      <w:r>
        <w:rPr/>
        <w:t>of</w:t>
      </w:r>
      <w:r>
        <w:rPr>
          <w:spacing w:val="-14"/>
        </w:rPr>
        <w:t> </w:t>
      </w:r>
      <w:r>
        <w:rPr/>
        <w:t>effects</w:t>
      </w:r>
      <w:r>
        <w:rPr>
          <w:spacing w:val="-14"/>
        </w:rPr>
        <w:t> </w:t>
      </w:r>
      <w:r>
        <w:rPr/>
        <w:t>of</w:t>
      </w:r>
      <w:r>
        <w:rPr>
          <w:spacing w:val="-14"/>
        </w:rPr>
        <w:t> </w:t>
      </w:r>
      <w:r>
        <w:rPr/>
        <w:t>colloidal</w:t>
      </w:r>
      <w:r>
        <w:rPr>
          <w:spacing w:val="-14"/>
        </w:rPr>
        <w:t> </w:t>
      </w:r>
      <w:r>
        <w:rPr/>
        <w:t>silver,</w:t>
      </w:r>
      <w:r>
        <w:rPr>
          <w:spacing w:val="-13"/>
        </w:rPr>
        <w:t> </w:t>
      </w:r>
      <w:r>
        <w:rPr/>
        <w:t>the</w:t>
      </w:r>
      <w:r>
        <w:rPr>
          <w:spacing w:val="-13"/>
        </w:rPr>
        <w:t> </w:t>
      </w:r>
      <w:r>
        <w:rPr/>
        <w:t>number</w:t>
      </w:r>
      <w:r>
        <w:rPr>
          <w:spacing w:val="-14"/>
        </w:rPr>
        <w:t> </w:t>
      </w:r>
      <w:r>
        <w:rPr/>
        <w:t>of</w:t>
      </w:r>
      <w:r>
        <w:rPr>
          <w:spacing w:val="-13"/>
        </w:rPr>
        <w:t> </w:t>
      </w:r>
      <w:r>
        <w:rPr/>
        <w:t>diseases it affects is also very</w:t>
      </w:r>
      <w:r>
        <w:rPr>
          <w:spacing w:val="-1"/>
        </w:rPr>
        <w:t> </w:t>
      </w:r>
      <w:r>
        <w:rPr/>
        <w:t>large.</w:t>
      </w:r>
    </w:p>
    <w:p>
      <w:pPr>
        <w:spacing w:after="0" w:line="276" w:lineRule="auto"/>
        <w:jc w:val="both"/>
        <w:sectPr>
          <w:pgSz w:w="14270" w:h="16850"/>
          <w:pgMar w:header="0" w:footer="1891" w:top="1600" w:bottom="2080" w:left="800" w:right="1280"/>
        </w:sectPr>
      </w:pPr>
    </w:p>
    <w:p>
      <w:pPr>
        <w:pStyle w:val="BodyText"/>
        <w:spacing w:before="181"/>
        <w:ind w:left="477"/>
      </w:pPr>
      <w:r>
        <w:rPr/>
        <w:t>These include:</w:t>
      </w:r>
    </w:p>
    <w:p>
      <w:pPr>
        <w:pStyle w:val="BodyText"/>
        <w:spacing w:line="276" w:lineRule="auto" w:before="305"/>
        <w:ind w:left="477" w:right="129"/>
        <w:jc w:val="both"/>
      </w:pPr>
      <w:r>
        <w:rPr/>
        <w:t>Abscesses, acne, aspergillus niger, appendicitis, arthritis, bedsores, bladder in- fection, bleeding, blepharitis, bloating, blood parasites, blood poisoning, burn- out</w:t>
      </w:r>
      <w:r>
        <w:rPr>
          <w:spacing w:val="-19"/>
        </w:rPr>
        <w:t> </w:t>
      </w:r>
      <w:r>
        <w:rPr/>
        <w:t>syndrome,</w:t>
      </w:r>
      <w:r>
        <w:rPr>
          <w:spacing w:val="-17"/>
        </w:rPr>
        <w:t> </w:t>
      </w:r>
      <w:r>
        <w:rPr/>
        <w:t>burns,</w:t>
      </w:r>
      <w:r>
        <w:rPr>
          <w:spacing w:val="-17"/>
        </w:rPr>
        <w:t> </w:t>
      </w:r>
      <w:r>
        <w:rPr/>
        <w:t>cancer,</w:t>
      </w:r>
      <w:r>
        <w:rPr>
          <w:spacing w:val="-17"/>
        </w:rPr>
        <w:t> </w:t>
      </w:r>
      <w:r>
        <w:rPr/>
        <w:t>Candida</w:t>
      </w:r>
      <w:r>
        <w:rPr>
          <w:spacing w:val="-18"/>
        </w:rPr>
        <w:t> </w:t>
      </w:r>
      <w:r>
        <w:rPr/>
        <w:t>albicans,</w:t>
      </w:r>
      <w:r>
        <w:rPr>
          <w:spacing w:val="-16"/>
        </w:rPr>
        <w:t> </w:t>
      </w:r>
      <w:r>
        <w:rPr/>
        <w:t>chicken</w:t>
      </w:r>
      <w:r>
        <w:rPr>
          <w:spacing w:val="-17"/>
        </w:rPr>
        <w:t> </w:t>
      </w:r>
      <w:r>
        <w:rPr/>
        <w:t>pox,</w:t>
      </w:r>
      <w:r>
        <w:rPr>
          <w:spacing w:val="-18"/>
        </w:rPr>
        <w:t> </w:t>
      </w:r>
      <w:r>
        <w:rPr/>
        <w:t>cholecystitis,</w:t>
      </w:r>
      <w:r>
        <w:rPr>
          <w:spacing w:val="-17"/>
        </w:rPr>
        <w:t> </w:t>
      </w:r>
      <w:r>
        <w:rPr/>
        <w:t>chol- era, cold, cold sores, colitis, conjunctivitis, corneal injury, cradle cap, cuts and abrasions, cystitis, dental plaque, diabetes, diarrhoea, diphtheria, tapeworm, ec- zema,</w:t>
      </w:r>
      <w:r>
        <w:rPr>
          <w:spacing w:val="-19"/>
        </w:rPr>
        <w:t> </w:t>
      </w:r>
      <w:r>
        <w:rPr/>
        <w:t>eczema,</w:t>
      </w:r>
      <w:r>
        <w:rPr>
          <w:spacing w:val="-19"/>
        </w:rPr>
        <w:t> </w:t>
      </w:r>
      <w:r>
        <w:rPr/>
        <w:t>encephalitis,</w:t>
      </w:r>
      <w:r>
        <w:rPr>
          <w:spacing w:val="-19"/>
        </w:rPr>
        <w:t> </w:t>
      </w:r>
      <w:r>
        <w:rPr/>
        <w:t>endocarditis,</w:t>
      </w:r>
      <w:r>
        <w:rPr>
          <w:spacing w:val="-19"/>
        </w:rPr>
        <w:t> </w:t>
      </w:r>
      <w:r>
        <w:rPr/>
        <w:t>enteritis,</w:t>
      </w:r>
      <w:r>
        <w:rPr>
          <w:spacing w:val="-19"/>
        </w:rPr>
        <w:t> </w:t>
      </w:r>
      <w:r>
        <w:rPr/>
        <w:t>exhaustion,</w:t>
      </w:r>
      <w:r>
        <w:rPr>
          <w:spacing w:val="-18"/>
        </w:rPr>
        <w:t> </w:t>
      </w:r>
      <w:r>
        <w:rPr/>
        <w:t>facial</w:t>
      </w:r>
      <w:r>
        <w:rPr>
          <w:spacing w:val="-20"/>
        </w:rPr>
        <w:t> </w:t>
      </w:r>
      <w:r>
        <w:rPr/>
        <w:t>pain,</w:t>
      </w:r>
      <w:r>
        <w:rPr>
          <w:spacing w:val="-19"/>
        </w:rPr>
        <w:t> </w:t>
      </w:r>
      <w:r>
        <w:rPr/>
        <w:t>fever, flu,</w:t>
      </w:r>
      <w:r>
        <w:rPr>
          <w:spacing w:val="-17"/>
        </w:rPr>
        <w:t> </w:t>
      </w:r>
      <w:r>
        <w:rPr/>
        <w:t>food</w:t>
      </w:r>
      <w:r>
        <w:rPr>
          <w:spacing w:val="-18"/>
        </w:rPr>
        <w:t> </w:t>
      </w:r>
      <w:r>
        <w:rPr/>
        <w:t>allergies,</w:t>
      </w:r>
      <w:r>
        <w:rPr>
          <w:spacing w:val="-17"/>
        </w:rPr>
        <w:t> </w:t>
      </w:r>
      <w:r>
        <w:rPr/>
        <w:t>food</w:t>
      </w:r>
      <w:r>
        <w:rPr>
          <w:spacing w:val="-20"/>
        </w:rPr>
        <w:t> </w:t>
      </w:r>
      <w:r>
        <w:rPr/>
        <w:t>poisoning,</w:t>
      </w:r>
      <w:r>
        <w:rPr>
          <w:spacing w:val="-17"/>
        </w:rPr>
        <w:t> </w:t>
      </w:r>
      <w:r>
        <w:rPr/>
        <w:t>frostbite,</w:t>
      </w:r>
      <w:r>
        <w:rPr>
          <w:spacing w:val="-17"/>
        </w:rPr>
        <w:t> </w:t>
      </w:r>
      <w:r>
        <w:rPr/>
        <w:t>fungus,</w:t>
      </w:r>
      <w:r>
        <w:rPr>
          <w:spacing w:val="-17"/>
        </w:rPr>
        <w:t> </w:t>
      </w:r>
      <w:r>
        <w:rPr/>
        <w:t>furunculosis,</w:t>
      </w:r>
      <w:r>
        <w:rPr>
          <w:spacing w:val="-16"/>
        </w:rPr>
        <w:t> </w:t>
      </w:r>
      <w:r>
        <w:rPr/>
        <w:t>gastritis,</w:t>
      </w:r>
      <w:r>
        <w:rPr>
          <w:spacing w:val="-16"/>
        </w:rPr>
        <w:t> </w:t>
      </w:r>
      <w:r>
        <w:rPr/>
        <w:t>gon- orrhoea, gum inflammation, hay fever, haemorrhoids, haemostasis, herpes, hives,</w:t>
      </w:r>
      <w:r>
        <w:rPr>
          <w:spacing w:val="-13"/>
        </w:rPr>
        <w:t> </w:t>
      </w:r>
      <w:r>
        <w:rPr/>
        <w:t>hoarseness,</w:t>
      </w:r>
      <w:r>
        <w:rPr>
          <w:spacing w:val="-11"/>
        </w:rPr>
        <w:t> </w:t>
      </w:r>
      <w:r>
        <w:rPr/>
        <w:t>immunodeficiency,</w:t>
      </w:r>
      <w:r>
        <w:rPr>
          <w:spacing w:val="-12"/>
        </w:rPr>
        <w:t> </w:t>
      </w:r>
      <w:r>
        <w:rPr/>
        <w:t>infections,</w:t>
      </w:r>
      <w:r>
        <w:rPr>
          <w:spacing w:val="-16"/>
        </w:rPr>
        <w:t> </w:t>
      </w:r>
      <w:r>
        <w:rPr/>
        <w:t>inflammation,</w:t>
      </w:r>
      <w:r>
        <w:rPr>
          <w:spacing w:val="-12"/>
        </w:rPr>
        <w:t> </w:t>
      </w:r>
      <w:r>
        <w:rPr/>
        <w:t>insect</w:t>
      </w:r>
      <w:r>
        <w:rPr>
          <w:spacing w:val="-14"/>
        </w:rPr>
        <w:t> </w:t>
      </w:r>
      <w:r>
        <w:rPr/>
        <w:t>bites</w:t>
      </w:r>
      <w:r>
        <w:rPr>
          <w:spacing w:val="-14"/>
        </w:rPr>
        <w:t> </w:t>
      </w:r>
      <w:r>
        <w:rPr/>
        <w:t>and stings, irritable bowel syndrome, itching, Legionnaires' disease, leprosy, lepto- spirosis, leucorrhoea (white vaginal discharge), leukaemia, lung inflammation, Lyme disease, lymphatic and lymph node inflammation, malaria, malleus, mas- titis,</w:t>
      </w:r>
      <w:r>
        <w:rPr>
          <w:spacing w:val="-11"/>
        </w:rPr>
        <w:t> </w:t>
      </w:r>
      <w:r>
        <w:rPr/>
        <w:t>measles,</w:t>
      </w:r>
      <w:r>
        <w:rPr>
          <w:spacing w:val="-12"/>
        </w:rPr>
        <w:t> </w:t>
      </w:r>
      <w:r>
        <w:rPr/>
        <w:t>meningitis,</w:t>
      </w:r>
      <w:r>
        <w:rPr>
          <w:spacing w:val="-12"/>
        </w:rPr>
        <w:t> </w:t>
      </w:r>
      <w:r>
        <w:rPr/>
        <w:t>mouth</w:t>
      </w:r>
      <w:r>
        <w:rPr>
          <w:spacing w:val="-12"/>
        </w:rPr>
        <w:t> </w:t>
      </w:r>
      <w:r>
        <w:rPr/>
        <w:t>rash,</w:t>
      </w:r>
      <w:r>
        <w:rPr>
          <w:spacing w:val="-12"/>
        </w:rPr>
        <w:t> </w:t>
      </w:r>
      <w:r>
        <w:rPr/>
        <w:t>mumps,</w:t>
      </w:r>
      <w:r>
        <w:rPr>
          <w:spacing w:val="-14"/>
        </w:rPr>
        <w:t> </w:t>
      </w:r>
      <w:r>
        <w:rPr/>
        <w:t>muscle</w:t>
      </w:r>
      <w:r>
        <w:rPr>
          <w:spacing w:val="-13"/>
        </w:rPr>
        <w:t> </w:t>
      </w:r>
      <w:r>
        <w:rPr/>
        <w:t>pain</w:t>
      </w:r>
      <w:r>
        <w:rPr>
          <w:spacing w:val="-11"/>
        </w:rPr>
        <w:t> </w:t>
      </w:r>
      <w:r>
        <w:rPr/>
        <w:t>(chronic),</w:t>
      </w:r>
      <w:r>
        <w:rPr>
          <w:spacing w:val="-12"/>
        </w:rPr>
        <w:t> </w:t>
      </w:r>
      <w:r>
        <w:rPr/>
        <w:t>leg</w:t>
      </w:r>
      <w:r>
        <w:rPr>
          <w:spacing w:val="-13"/>
        </w:rPr>
        <w:t> </w:t>
      </w:r>
      <w:r>
        <w:rPr/>
        <w:t>ulcers, osteomyelitis,</w:t>
      </w:r>
      <w:r>
        <w:rPr>
          <w:spacing w:val="-28"/>
        </w:rPr>
        <w:t> </w:t>
      </w:r>
      <w:r>
        <w:rPr/>
        <w:t>ovarian</w:t>
      </w:r>
      <w:r>
        <w:rPr>
          <w:spacing w:val="-27"/>
        </w:rPr>
        <w:t> </w:t>
      </w:r>
      <w:r>
        <w:rPr/>
        <w:t>inflammation,</w:t>
      </w:r>
      <w:r>
        <w:rPr>
          <w:spacing w:val="-28"/>
        </w:rPr>
        <w:t> </w:t>
      </w:r>
      <w:r>
        <w:rPr/>
        <w:t>paratyphoid,</w:t>
      </w:r>
      <w:r>
        <w:rPr>
          <w:spacing w:val="-27"/>
        </w:rPr>
        <w:t> </w:t>
      </w:r>
      <w:r>
        <w:rPr/>
        <w:t>paronychia,</w:t>
      </w:r>
      <w:r>
        <w:rPr>
          <w:spacing w:val="-29"/>
        </w:rPr>
        <w:t> </w:t>
      </w:r>
      <w:r>
        <w:rPr/>
        <w:t>pinworm</w:t>
      </w:r>
      <w:r>
        <w:rPr>
          <w:spacing w:val="-27"/>
        </w:rPr>
        <w:t> </w:t>
      </w:r>
      <w:r>
        <w:rPr/>
        <w:t>disease, pneumonia, poliomyelitis, prostate enlargement, psittacosis, psoriasis, pyelone- phritis, Ray fungus disease, regeneration, rheumatism, ringworm, rubella, sal- monella poisoning, scaling, scarlet fever, shingles, sinusitis, skin cancer, runny nose, sore throat, staphylococcal infection, stomatitis, streptococcal infection, streptomycosis,</w:t>
      </w:r>
      <w:r>
        <w:rPr>
          <w:spacing w:val="-14"/>
        </w:rPr>
        <w:t> </w:t>
      </w:r>
      <w:r>
        <w:rPr/>
        <w:t>syphilis,</w:t>
      </w:r>
      <w:r>
        <w:rPr>
          <w:spacing w:val="-11"/>
        </w:rPr>
        <w:t> </w:t>
      </w:r>
      <w:r>
        <w:rPr/>
        <w:t>summer</w:t>
      </w:r>
      <w:r>
        <w:rPr>
          <w:spacing w:val="-11"/>
        </w:rPr>
        <w:t> </w:t>
      </w:r>
      <w:r>
        <w:rPr/>
        <w:t>diarrhoea,</w:t>
      </w:r>
      <w:r>
        <w:rPr>
          <w:spacing w:val="-7"/>
        </w:rPr>
        <w:t> </w:t>
      </w:r>
      <w:r>
        <w:rPr/>
        <w:t>sunburn,</w:t>
      </w:r>
      <w:r>
        <w:rPr>
          <w:spacing w:val="-9"/>
        </w:rPr>
        <w:t> </w:t>
      </w:r>
      <w:r>
        <w:rPr/>
        <w:t>sunstroke,</w:t>
      </w:r>
      <w:r>
        <w:rPr>
          <w:spacing w:val="-12"/>
        </w:rPr>
        <w:t> </w:t>
      </w:r>
      <w:r>
        <w:rPr/>
        <w:t>tetanus,</w:t>
      </w:r>
      <w:r>
        <w:rPr>
          <w:spacing w:val="-10"/>
        </w:rPr>
        <w:t> </w:t>
      </w:r>
      <w:r>
        <w:rPr/>
        <w:t>throat laryngitis,</w:t>
      </w:r>
      <w:r>
        <w:rPr>
          <w:spacing w:val="-8"/>
        </w:rPr>
        <w:t> </w:t>
      </w:r>
      <w:r>
        <w:rPr/>
        <w:t>thrush</w:t>
      </w:r>
      <w:r>
        <w:rPr>
          <w:spacing w:val="-11"/>
        </w:rPr>
        <w:t> </w:t>
      </w:r>
      <w:r>
        <w:rPr/>
        <w:t>fungal</w:t>
      </w:r>
      <w:r>
        <w:rPr>
          <w:spacing w:val="-9"/>
        </w:rPr>
        <w:t> </w:t>
      </w:r>
      <w:r>
        <w:rPr/>
        <w:t>diseases,</w:t>
      </w:r>
      <w:r>
        <w:rPr>
          <w:spacing w:val="-10"/>
        </w:rPr>
        <w:t> </w:t>
      </w:r>
      <w:r>
        <w:rPr/>
        <w:t>tonsillitis,</w:t>
      </w:r>
      <w:r>
        <w:rPr>
          <w:spacing w:val="-7"/>
        </w:rPr>
        <w:t> </w:t>
      </w:r>
      <w:r>
        <w:rPr/>
        <w:t>travel</w:t>
      </w:r>
      <w:r>
        <w:rPr>
          <w:spacing w:val="-9"/>
        </w:rPr>
        <w:t> </w:t>
      </w:r>
      <w:r>
        <w:rPr/>
        <w:t>and</w:t>
      </w:r>
      <w:r>
        <w:rPr>
          <w:spacing w:val="-8"/>
        </w:rPr>
        <w:t> </w:t>
      </w:r>
      <w:r>
        <w:rPr/>
        <w:t>seasickness,</w:t>
      </w:r>
      <w:r>
        <w:rPr>
          <w:spacing w:val="-13"/>
        </w:rPr>
        <w:t> </w:t>
      </w:r>
      <w:r>
        <w:rPr/>
        <w:t>tubal</w:t>
      </w:r>
      <w:r>
        <w:rPr>
          <w:spacing w:val="-9"/>
        </w:rPr>
        <w:t> </w:t>
      </w:r>
      <w:r>
        <w:rPr/>
        <w:t>inflam- mation, tuberculosis, typhus, ulcers, urethritis, vaccination effects, warts, whooping cough, worms, wounds.</w:t>
      </w:r>
    </w:p>
    <w:p>
      <w:pPr>
        <w:spacing w:after="0" w:line="276" w:lineRule="auto"/>
        <w:jc w:val="both"/>
        <w:sectPr>
          <w:pgSz w:w="14270" w:h="16850"/>
          <w:pgMar w:header="0" w:footer="1891" w:top="1600" w:bottom="2080" w:left="800" w:right="1280"/>
        </w:sectPr>
      </w:pPr>
    </w:p>
    <w:p>
      <w:pPr>
        <w:pStyle w:val="Heading1"/>
        <w:spacing w:before="164"/>
      </w:pPr>
      <w:r>
        <w:rPr/>
        <w:t>Is the effect of colloidal silver scientifically proven?</w:t>
      </w:r>
    </w:p>
    <w:p>
      <w:pPr>
        <w:pStyle w:val="BodyText"/>
        <w:spacing w:line="276" w:lineRule="auto" w:before="299"/>
        <w:ind w:left="477"/>
      </w:pPr>
      <w:r>
        <w:rPr/>
        <w:t>The</w:t>
      </w:r>
      <w:r>
        <w:rPr>
          <w:spacing w:val="-18"/>
        </w:rPr>
        <w:t> </w:t>
      </w:r>
      <w:r>
        <w:rPr/>
        <w:t>antibacterial,</w:t>
      </w:r>
      <w:r>
        <w:rPr>
          <w:spacing w:val="-17"/>
        </w:rPr>
        <w:t> </w:t>
      </w:r>
      <w:r>
        <w:rPr/>
        <w:t>antiviral</w:t>
      </w:r>
      <w:r>
        <w:rPr>
          <w:spacing w:val="-20"/>
        </w:rPr>
        <w:t> </w:t>
      </w:r>
      <w:r>
        <w:rPr/>
        <w:t>and</w:t>
      </w:r>
      <w:r>
        <w:rPr>
          <w:spacing w:val="-17"/>
        </w:rPr>
        <w:t> </w:t>
      </w:r>
      <w:r>
        <w:rPr/>
        <w:t>antifungal</w:t>
      </w:r>
      <w:r>
        <w:rPr>
          <w:spacing w:val="-19"/>
        </w:rPr>
        <w:t> </w:t>
      </w:r>
      <w:r>
        <w:rPr/>
        <w:t>effects</w:t>
      </w:r>
      <w:r>
        <w:rPr>
          <w:spacing w:val="-17"/>
        </w:rPr>
        <w:t> </w:t>
      </w:r>
      <w:r>
        <w:rPr/>
        <w:t>of</w:t>
      </w:r>
      <w:r>
        <w:rPr>
          <w:spacing w:val="-17"/>
        </w:rPr>
        <w:t> </w:t>
      </w:r>
      <w:r>
        <w:rPr/>
        <w:t>colloidal</w:t>
      </w:r>
      <w:r>
        <w:rPr>
          <w:spacing w:val="-20"/>
        </w:rPr>
        <w:t> </w:t>
      </w:r>
      <w:r>
        <w:rPr/>
        <w:t>silver</w:t>
      </w:r>
      <w:r>
        <w:rPr>
          <w:spacing w:val="-17"/>
        </w:rPr>
        <w:t> </w:t>
      </w:r>
      <w:r>
        <w:rPr/>
        <w:t>have</w:t>
      </w:r>
      <w:r>
        <w:rPr>
          <w:spacing w:val="-17"/>
        </w:rPr>
        <w:t> </w:t>
      </w:r>
      <w:r>
        <w:rPr/>
        <w:t>recently been officially confirmed at the University of Los Angeles Medical</w:t>
      </w:r>
      <w:r>
        <w:rPr>
          <w:spacing w:val="-26"/>
        </w:rPr>
        <w:t> </w:t>
      </w:r>
      <w:r>
        <w:rPr/>
        <w:t>School.</w:t>
      </w:r>
    </w:p>
    <w:p>
      <w:pPr>
        <w:pStyle w:val="BodyText"/>
        <w:spacing w:line="276" w:lineRule="auto" w:before="241"/>
        <w:ind w:left="477"/>
      </w:pPr>
      <w:r>
        <w:rPr/>
        <w:t>Furthermore, there are many scientific publications and studies on the proven effect of colloidal silver which have been published over many decades.</w:t>
      </w:r>
    </w:p>
    <w:p>
      <w:pPr>
        <w:pStyle w:val="Heading1"/>
        <w:spacing w:before="222"/>
      </w:pPr>
      <w:r>
        <w:rPr/>
        <w:t>What is the dosage of colloidal</w:t>
      </w:r>
      <w:r>
        <w:rPr>
          <w:spacing w:val="-58"/>
        </w:rPr>
        <w:t> </w:t>
      </w:r>
      <w:r>
        <w:rPr/>
        <w:t>silver?</w:t>
      </w:r>
    </w:p>
    <w:p>
      <w:pPr>
        <w:pStyle w:val="BodyText"/>
        <w:spacing w:line="276" w:lineRule="auto" w:before="299"/>
        <w:ind w:left="477" w:right="131"/>
        <w:jc w:val="both"/>
      </w:pPr>
      <w:r>
        <w:rPr/>
        <w:t>There can be no uniform dosage of colloidal silver, since the human body and its reactions are too individual. In principle, however, rather a low dosage is recommended, since colloidal silver has been shown to help very successfully even in the smallest amounts; in some cases, mostly chronic diseases, a higher dosage</w:t>
      </w:r>
      <w:r>
        <w:rPr>
          <w:spacing w:val="-7"/>
        </w:rPr>
        <w:t> </w:t>
      </w:r>
      <w:r>
        <w:rPr/>
        <w:t>may</w:t>
      </w:r>
      <w:r>
        <w:rPr>
          <w:spacing w:val="-6"/>
        </w:rPr>
        <w:t> </w:t>
      </w:r>
      <w:r>
        <w:rPr/>
        <w:t>be</w:t>
      </w:r>
      <w:r>
        <w:rPr>
          <w:spacing w:val="-8"/>
        </w:rPr>
        <w:t> </w:t>
      </w:r>
      <w:r>
        <w:rPr/>
        <w:t>appropriate.</w:t>
      </w:r>
      <w:r>
        <w:rPr>
          <w:spacing w:val="-8"/>
        </w:rPr>
        <w:t> </w:t>
      </w:r>
      <w:r>
        <w:rPr/>
        <w:t>This</w:t>
      </w:r>
      <w:r>
        <w:rPr>
          <w:spacing w:val="-7"/>
        </w:rPr>
        <w:t> </w:t>
      </w:r>
      <w:r>
        <w:rPr/>
        <w:t>is,</w:t>
      </w:r>
      <w:r>
        <w:rPr>
          <w:spacing w:val="-6"/>
        </w:rPr>
        <w:t> </w:t>
      </w:r>
      <w:r>
        <w:rPr/>
        <w:t>however,</w:t>
      </w:r>
      <w:r>
        <w:rPr>
          <w:spacing w:val="-7"/>
        </w:rPr>
        <w:t> </w:t>
      </w:r>
      <w:r>
        <w:rPr/>
        <w:t>a</w:t>
      </w:r>
      <w:r>
        <w:rPr>
          <w:spacing w:val="-7"/>
        </w:rPr>
        <w:t> </w:t>
      </w:r>
      <w:r>
        <w:rPr/>
        <w:t>matter</w:t>
      </w:r>
      <w:r>
        <w:rPr>
          <w:spacing w:val="-2"/>
        </w:rPr>
        <w:t> </w:t>
      </w:r>
      <w:r>
        <w:rPr/>
        <w:t>to</w:t>
      </w:r>
      <w:r>
        <w:rPr>
          <w:spacing w:val="-5"/>
        </w:rPr>
        <w:t> </w:t>
      </w:r>
      <w:r>
        <w:rPr/>
        <w:t>be</w:t>
      </w:r>
      <w:r>
        <w:rPr>
          <w:spacing w:val="-8"/>
        </w:rPr>
        <w:t> </w:t>
      </w:r>
      <w:r>
        <w:rPr/>
        <w:t>left</w:t>
      </w:r>
      <w:r>
        <w:rPr>
          <w:spacing w:val="-7"/>
        </w:rPr>
        <w:t> </w:t>
      </w:r>
      <w:r>
        <w:rPr/>
        <w:t>in</w:t>
      </w:r>
      <w:r>
        <w:rPr>
          <w:spacing w:val="-8"/>
        </w:rPr>
        <w:t> </w:t>
      </w:r>
      <w:r>
        <w:rPr/>
        <w:t>the</w:t>
      </w:r>
      <w:r>
        <w:rPr>
          <w:spacing w:val="-8"/>
        </w:rPr>
        <w:t> </w:t>
      </w:r>
      <w:r>
        <w:rPr/>
        <w:t>hands</w:t>
      </w:r>
      <w:r>
        <w:rPr>
          <w:spacing w:val="-5"/>
        </w:rPr>
        <w:t> </w:t>
      </w:r>
      <w:r>
        <w:rPr/>
        <w:t>of experienced health practitioners and</w:t>
      </w:r>
      <w:r>
        <w:rPr>
          <w:spacing w:val="-4"/>
        </w:rPr>
        <w:t> </w:t>
      </w:r>
      <w:r>
        <w:rPr/>
        <w:t>therapists.</w:t>
      </w:r>
    </w:p>
    <w:p>
      <w:pPr>
        <w:pStyle w:val="BodyText"/>
        <w:spacing w:before="240"/>
        <w:ind w:left="477"/>
      </w:pPr>
      <w:r>
        <w:rPr/>
        <w:t>For prophylaxis purposes, the following intake schedule is useful:</w:t>
      </w:r>
    </w:p>
    <w:p>
      <w:pPr>
        <w:pStyle w:val="ListParagraph"/>
        <w:numPr>
          <w:ilvl w:val="2"/>
          <w:numId w:val="40"/>
        </w:numPr>
        <w:tabs>
          <w:tab w:pos="1198" w:val="left" w:leader="none"/>
        </w:tabs>
        <w:spacing w:line="271" w:lineRule="auto" w:before="306" w:after="0"/>
        <w:ind w:left="1197" w:right="140" w:hanging="360"/>
        <w:jc w:val="both"/>
        <w:rPr>
          <w:sz w:val="38"/>
        </w:rPr>
      </w:pPr>
      <w:r>
        <w:rPr>
          <w:sz w:val="38"/>
        </w:rPr>
        <w:t>Adults: take one teaspoon (not a metal spoon!) of colloidal silver once a day before a</w:t>
      </w:r>
      <w:r>
        <w:rPr>
          <w:spacing w:val="-2"/>
          <w:sz w:val="38"/>
        </w:rPr>
        <w:t> </w:t>
      </w:r>
      <w:r>
        <w:rPr>
          <w:sz w:val="38"/>
        </w:rPr>
        <w:t>meal.</w:t>
      </w:r>
    </w:p>
    <w:p>
      <w:pPr>
        <w:pStyle w:val="ListParagraph"/>
        <w:numPr>
          <w:ilvl w:val="2"/>
          <w:numId w:val="40"/>
        </w:numPr>
        <w:tabs>
          <w:tab w:pos="1198" w:val="left" w:leader="none"/>
        </w:tabs>
        <w:spacing w:line="240" w:lineRule="auto" w:before="253" w:after="0"/>
        <w:ind w:left="1197" w:right="0" w:hanging="360"/>
        <w:jc w:val="left"/>
        <w:rPr>
          <w:sz w:val="38"/>
        </w:rPr>
      </w:pPr>
      <w:r>
        <w:rPr>
          <w:sz w:val="38"/>
        </w:rPr>
        <w:t>Children: see instructions for ‘Adults’, but only half a</w:t>
      </w:r>
      <w:r>
        <w:rPr>
          <w:spacing w:val="-7"/>
          <w:sz w:val="38"/>
        </w:rPr>
        <w:t> </w:t>
      </w:r>
      <w:r>
        <w:rPr>
          <w:sz w:val="38"/>
        </w:rPr>
        <w:t>teaspoon.</w:t>
      </w:r>
    </w:p>
    <w:p>
      <w:pPr>
        <w:pStyle w:val="ListParagraph"/>
        <w:numPr>
          <w:ilvl w:val="2"/>
          <w:numId w:val="40"/>
        </w:numPr>
        <w:tabs>
          <w:tab w:pos="1198" w:val="left" w:leader="none"/>
        </w:tabs>
        <w:spacing w:line="273" w:lineRule="auto" w:before="303" w:after="0"/>
        <w:ind w:left="1197" w:right="135" w:hanging="360"/>
        <w:jc w:val="both"/>
        <w:rPr>
          <w:sz w:val="38"/>
        </w:rPr>
      </w:pPr>
      <w:r>
        <w:rPr>
          <w:sz w:val="38"/>
        </w:rPr>
        <w:t>For</w:t>
      </w:r>
      <w:r>
        <w:rPr>
          <w:spacing w:val="-5"/>
          <w:sz w:val="38"/>
        </w:rPr>
        <w:t> </w:t>
      </w:r>
      <w:r>
        <w:rPr>
          <w:sz w:val="38"/>
        </w:rPr>
        <w:t>acute</w:t>
      </w:r>
      <w:r>
        <w:rPr>
          <w:spacing w:val="-7"/>
          <w:sz w:val="38"/>
        </w:rPr>
        <w:t> </w:t>
      </w:r>
      <w:r>
        <w:rPr>
          <w:sz w:val="38"/>
        </w:rPr>
        <w:t>diseases:</w:t>
      </w:r>
      <w:r>
        <w:rPr>
          <w:spacing w:val="-4"/>
          <w:sz w:val="38"/>
        </w:rPr>
        <w:t> </w:t>
      </w:r>
      <w:r>
        <w:rPr>
          <w:sz w:val="38"/>
        </w:rPr>
        <w:t>in</w:t>
      </w:r>
      <w:r>
        <w:rPr>
          <w:spacing w:val="-9"/>
          <w:sz w:val="38"/>
        </w:rPr>
        <w:t> </w:t>
      </w:r>
      <w:r>
        <w:rPr>
          <w:sz w:val="38"/>
        </w:rPr>
        <w:t>case</w:t>
      </w:r>
      <w:r>
        <w:rPr>
          <w:spacing w:val="-8"/>
          <w:sz w:val="38"/>
        </w:rPr>
        <w:t> </w:t>
      </w:r>
      <w:r>
        <w:rPr>
          <w:sz w:val="38"/>
        </w:rPr>
        <w:t>of</w:t>
      </w:r>
      <w:r>
        <w:rPr>
          <w:spacing w:val="-7"/>
          <w:sz w:val="38"/>
        </w:rPr>
        <w:t> </w:t>
      </w:r>
      <w:r>
        <w:rPr>
          <w:sz w:val="38"/>
        </w:rPr>
        <w:t>illness</w:t>
      </w:r>
      <w:r>
        <w:rPr>
          <w:spacing w:val="-6"/>
          <w:sz w:val="38"/>
        </w:rPr>
        <w:t> </w:t>
      </w:r>
      <w:r>
        <w:rPr>
          <w:sz w:val="38"/>
        </w:rPr>
        <w:t>or</w:t>
      </w:r>
      <w:r>
        <w:rPr>
          <w:spacing w:val="-7"/>
          <w:sz w:val="38"/>
        </w:rPr>
        <w:t> </w:t>
      </w:r>
      <w:r>
        <w:rPr>
          <w:sz w:val="38"/>
        </w:rPr>
        <w:t>in</w:t>
      </w:r>
      <w:r>
        <w:rPr>
          <w:spacing w:val="-8"/>
          <w:sz w:val="38"/>
        </w:rPr>
        <w:t> </w:t>
      </w:r>
      <w:r>
        <w:rPr>
          <w:sz w:val="38"/>
        </w:rPr>
        <w:t>case</w:t>
      </w:r>
      <w:r>
        <w:rPr>
          <w:spacing w:val="-8"/>
          <w:sz w:val="38"/>
        </w:rPr>
        <w:t> </w:t>
      </w:r>
      <w:r>
        <w:rPr>
          <w:sz w:val="38"/>
        </w:rPr>
        <w:t>of</w:t>
      </w:r>
      <w:r>
        <w:rPr>
          <w:spacing w:val="-9"/>
          <w:sz w:val="38"/>
        </w:rPr>
        <w:t> </w:t>
      </w:r>
      <w:r>
        <w:rPr>
          <w:sz w:val="38"/>
        </w:rPr>
        <w:t>acute</w:t>
      </w:r>
      <w:r>
        <w:rPr>
          <w:spacing w:val="-7"/>
          <w:sz w:val="38"/>
        </w:rPr>
        <w:t> </w:t>
      </w:r>
      <w:r>
        <w:rPr>
          <w:sz w:val="38"/>
        </w:rPr>
        <w:t>symptoms,</w:t>
      </w:r>
      <w:r>
        <w:rPr>
          <w:spacing w:val="-6"/>
          <w:sz w:val="38"/>
        </w:rPr>
        <w:t> </w:t>
      </w:r>
      <w:r>
        <w:rPr>
          <w:sz w:val="38"/>
        </w:rPr>
        <w:t>you</w:t>
      </w:r>
      <w:r>
        <w:rPr>
          <w:spacing w:val="-8"/>
          <w:sz w:val="38"/>
        </w:rPr>
        <w:t> </w:t>
      </w:r>
      <w:r>
        <w:rPr>
          <w:sz w:val="38"/>
        </w:rPr>
        <w:t>can take 3 teaspoons (plastic spoon) per day. Children should take half of this dose.</w:t>
      </w:r>
    </w:p>
    <w:p>
      <w:pPr>
        <w:spacing w:after="0" w:line="273" w:lineRule="auto"/>
        <w:jc w:val="both"/>
        <w:rPr>
          <w:sz w:val="38"/>
        </w:rPr>
        <w:sectPr>
          <w:pgSz w:w="14270" w:h="16850"/>
          <w:pgMar w:header="0" w:footer="1891" w:top="1600" w:bottom="2080" w:left="800" w:right="1280"/>
        </w:sectPr>
      </w:pPr>
    </w:p>
    <w:p>
      <w:pPr>
        <w:pStyle w:val="Heading1"/>
        <w:spacing w:before="164"/>
      </w:pPr>
      <w:r>
        <w:rPr/>
        <w:t>Is colloidal silver better than</w:t>
      </w:r>
      <w:r>
        <w:rPr>
          <w:spacing w:val="-54"/>
        </w:rPr>
        <w:t> </w:t>
      </w:r>
      <w:r>
        <w:rPr/>
        <w:t>antibiotics?</w:t>
      </w:r>
    </w:p>
    <w:p>
      <w:pPr>
        <w:pStyle w:val="BodyText"/>
        <w:spacing w:line="276" w:lineRule="auto" w:before="299"/>
        <w:ind w:left="477" w:right="133"/>
        <w:jc w:val="both"/>
      </w:pPr>
      <w:r>
        <w:rPr/>
        <w:t>While</w:t>
      </w:r>
      <w:r>
        <w:rPr>
          <w:spacing w:val="-8"/>
        </w:rPr>
        <w:t> </w:t>
      </w:r>
      <w:r>
        <w:rPr/>
        <w:t>antibiotics</w:t>
      </w:r>
      <w:r>
        <w:rPr>
          <w:spacing w:val="-7"/>
        </w:rPr>
        <w:t> </w:t>
      </w:r>
      <w:r>
        <w:rPr/>
        <w:t>can</w:t>
      </w:r>
      <w:r>
        <w:rPr>
          <w:spacing w:val="-8"/>
        </w:rPr>
        <w:t> </w:t>
      </w:r>
      <w:r>
        <w:rPr/>
        <w:t>only</w:t>
      </w:r>
      <w:r>
        <w:rPr>
          <w:spacing w:val="-10"/>
        </w:rPr>
        <w:t> </w:t>
      </w:r>
      <w:r>
        <w:rPr/>
        <w:t>fight</w:t>
      </w:r>
      <w:r>
        <w:rPr>
          <w:spacing w:val="-8"/>
        </w:rPr>
        <w:t> </w:t>
      </w:r>
      <w:r>
        <w:rPr/>
        <w:t>bacteria</w:t>
      </w:r>
      <w:r>
        <w:rPr>
          <w:spacing w:val="-8"/>
        </w:rPr>
        <w:t> </w:t>
      </w:r>
      <w:r>
        <w:rPr/>
        <w:t>and</w:t>
      </w:r>
      <w:r>
        <w:rPr>
          <w:spacing w:val="-7"/>
        </w:rPr>
        <w:t> </w:t>
      </w:r>
      <w:r>
        <w:rPr/>
        <w:t>only</w:t>
      </w:r>
      <w:r>
        <w:rPr>
          <w:spacing w:val="-7"/>
        </w:rPr>
        <w:t> </w:t>
      </w:r>
      <w:r>
        <w:rPr/>
        <w:t>kill</w:t>
      </w:r>
      <w:r>
        <w:rPr>
          <w:spacing w:val="-9"/>
        </w:rPr>
        <w:t> </w:t>
      </w:r>
      <w:r>
        <w:rPr/>
        <w:t>a</w:t>
      </w:r>
      <w:r>
        <w:rPr>
          <w:spacing w:val="-8"/>
        </w:rPr>
        <w:t> </w:t>
      </w:r>
      <w:r>
        <w:rPr/>
        <w:t>dozen</w:t>
      </w:r>
      <w:r>
        <w:rPr>
          <w:spacing w:val="-6"/>
        </w:rPr>
        <w:t> </w:t>
      </w:r>
      <w:r>
        <w:rPr/>
        <w:t>of</w:t>
      </w:r>
      <w:r>
        <w:rPr>
          <w:spacing w:val="-11"/>
        </w:rPr>
        <w:t> </w:t>
      </w:r>
      <w:r>
        <w:rPr/>
        <w:t>them,</w:t>
      </w:r>
      <w:r>
        <w:rPr>
          <w:spacing w:val="-6"/>
        </w:rPr>
        <w:t> </w:t>
      </w:r>
      <w:r>
        <w:rPr/>
        <w:t>colloidal silver not only fights bacteria, but all bacteria, viruses, fungi, </w:t>
      </w:r>
      <w:r>
        <w:rPr>
          <w:i/>
        </w:rPr>
        <w:t>streptococci, </w:t>
      </w:r>
      <w:r>
        <w:rPr/>
        <w:t>staphy- lococci and other pathogenic</w:t>
      </w:r>
      <w:r>
        <w:rPr>
          <w:spacing w:val="-1"/>
        </w:rPr>
        <w:t> </w:t>
      </w:r>
      <w:r>
        <w:rPr/>
        <w:t>organisms.</w:t>
      </w:r>
    </w:p>
    <w:p>
      <w:pPr>
        <w:pStyle w:val="BodyText"/>
        <w:spacing w:line="276" w:lineRule="auto" w:before="242"/>
        <w:ind w:left="477" w:right="136"/>
        <w:jc w:val="both"/>
      </w:pPr>
      <w:r>
        <w:rPr/>
        <w:t>Colloidal</w:t>
      </w:r>
      <w:r>
        <w:rPr>
          <w:spacing w:val="-10"/>
        </w:rPr>
        <w:t> </w:t>
      </w:r>
      <w:r>
        <w:rPr/>
        <w:t>silver</w:t>
      </w:r>
      <w:r>
        <w:rPr>
          <w:spacing w:val="-8"/>
        </w:rPr>
        <w:t> </w:t>
      </w:r>
      <w:r>
        <w:rPr/>
        <w:t>is</w:t>
      </w:r>
      <w:r>
        <w:rPr>
          <w:spacing w:val="-9"/>
        </w:rPr>
        <w:t> </w:t>
      </w:r>
      <w:r>
        <w:rPr/>
        <w:t>known</w:t>
      </w:r>
      <w:r>
        <w:rPr>
          <w:spacing w:val="-8"/>
        </w:rPr>
        <w:t> </w:t>
      </w:r>
      <w:r>
        <w:rPr/>
        <w:t>to</w:t>
      </w:r>
      <w:r>
        <w:rPr>
          <w:spacing w:val="-9"/>
        </w:rPr>
        <w:t> </w:t>
      </w:r>
      <w:r>
        <w:rPr/>
        <w:t>kill</w:t>
      </w:r>
      <w:r>
        <w:rPr>
          <w:spacing w:val="-10"/>
        </w:rPr>
        <w:t> </w:t>
      </w:r>
      <w:r>
        <w:rPr/>
        <w:t>about</w:t>
      </w:r>
      <w:r>
        <w:rPr>
          <w:spacing w:val="-11"/>
        </w:rPr>
        <w:t> </w:t>
      </w:r>
      <w:r>
        <w:rPr/>
        <w:t>650</w:t>
      </w:r>
      <w:r>
        <w:rPr>
          <w:spacing w:val="-9"/>
        </w:rPr>
        <w:t> </w:t>
      </w:r>
      <w:r>
        <w:rPr/>
        <w:t>of</w:t>
      </w:r>
      <w:r>
        <w:rPr>
          <w:spacing w:val="-9"/>
        </w:rPr>
        <w:t> </w:t>
      </w:r>
      <w:r>
        <w:rPr/>
        <w:t>these</w:t>
      </w:r>
      <w:r>
        <w:rPr>
          <w:spacing w:val="-8"/>
        </w:rPr>
        <w:t> </w:t>
      </w:r>
      <w:r>
        <w:rPr/>
        <w:t>parasites</w:t>
      </w:r>
      <w:r>
        <w:rPr>
          <w:spacing w:val="-9"/>
        </w:rPr>
        <w:t> </w:t>
      </w:r>
      <w:r>
        <w:rPr/>
        <w:t>within</w:t>
      </w:r>
      <w:r>
        <w:rPr>
          <w:spacing w:val="-8"/>
        </w:rPr>
        <w:t> </w:t>
      </w:r>
      <w:r>
        <w:rPr/>
        <w:t>6</w:t>
      </w:r>
      <w:r>
        <w:rPr>
          <w:spacing w:val="-10"/>
        </w:rPr>
        <w:t> </w:t>
      </w:r>
      <w:r>
        <w:rPr/>
        <w:t>minutes</w:t>
      </w:r>
      <w:r>
        <w:rPr>
          <w:spacing w:val="-8"/>
        </w:rPr>
        <w:t> </w:t>
      </w:r>
      <w:r>
        <w:rPr/>
        <w:t>at most.</w:t>
      </w:r>
      <w:r>
        <w:rPr>
          <w:spacing w:val="-9"/>
        </w:rPr>
        <w:t> </w:t>
      </w:r>
      <w:r>
        <w:rPr/>
        <w:t>A</w:t>
      </w:r>
      <w:r>
        <w:rPr>
          <w:spacing w:val="-9"/>
        </w:rPr>
        <w:t> </w:t>
      </w:r>
      <w:r>
        <w:rPr/>
        <w:t>very</w:t>
      </w:r>
      <w:r>
        <w:rPr>
          <w:spacing w:val="-10"/>
        </w:rPr>
        <w:t> </w:t>
      </w:r>
      <w:r>
        <w:rPr/>
        <w:t>important</w:t>
      </w:r>
      <w:r>
        <w:rPr>
          <w:spacing w:val="-9"/>
        </w:rPr>
        <w:t> </w:t>
      </w:r>
      <w:r>
        <w:rPr/>
        <w:t>point</w:t>
      </w:r>
      <w:r>
        <w:rPr>
          <w:spacing w:val="-9"/>
        </w:rPr>
        <w:t> </w:t>
      </w:r>
      <w:r>
        <w:rPr/>
        <w:t>here</w:t>
      </w:r>
      <w:r>
        <w:rPr>
          <w:spacing w:val="-9"/>
        </w:rPr>
        <w:t> </w:t>
      </w:r>
      <w:r>
        <w:rPr/>
        <w:t>is</w:t>
      </w:r>
      <w:r>
        <w:rPr>
          <w:spacing w:val="-8"/>
        </w:rPr>
        <w:t> </w:t>
      </w:r>
      <w:r>
        <w:rPr/>
        <w:t>the</w:t>
      </w:r>
      <w:r>
        <w:rPr>
          <w:spacing w:val="-10"/>
        </w:rPr>
        <w:t> </w:t>
      </w:r>
      <w:r>
        <w:rPr/>
        <w:t>gentle</w:t>
      </w:r>
      <w:r>
        <w:rPr>
          <w:spacing w:val="-9"/>
        </w:rPr>
        <w:t> </w:t>
      </w:r>
      <w:r>
        <w:rPr/>
        <w:t>effect</w:t>
      </w:r>
      <w:r>
        <w:rPr>
          <w:spacing w:val="-10"/>
        </w:rPr>
        <w:t> </w:t>
      </w:r>
      <w:r>
        <w:rPr/>
        <w:t>of</w:t>
      </w:r>
      <w:r>
        <w:rPr>
          <w:spacing w:val="-8"/>
        </w:rPr>
        <w:t> </w:t>
      </w:r>
      <w:r>
        <w:rPr/>
        <w:t>colloidal</w:t>
      </w:r>
      <w:r>
        <w:rPr>
          <w:spacing w:val="-10"/>
        </w:rPr>
        <w:t> </w:t>
      </w:r>
      <w:r>
        <w:rPr/>
        <w:t>silver,</w:t>
      </w:r>
      <w:r>
        <w:rPr>
          <w:spacing w:val="-7"/>
        </w:rPr>
        <w:t> </w:t>
      </w:r>
      <w:r>
        <w:rPr/>
        <w:t>in</w:t>
      </w:r>
      <w:r>
        <w:rPr>
          <w:spacing w:val="-8"/>
        </w:rPr>
        <w:t> </w:t>
      </w:r>
      <w:r>
        <w:rPr/>
        <w:t>con- trast to antibiotics, which can lead to serious</w:t>
      </w:r>
      <w:r>
        <w:rPr>
          <w:spacing w:val="2"/>
        </w:rPr>
        <w:t> </w:t>
      </w:r>
      <w:r>
        <w:rPr/>
        <w:t>diseases!</w:t>
      </w:r>
    </w:p>
    <w:p>
      <w:pPr>
        <w:pStyle w:val="Heading1"/>
        <w:spacing w:before="222"/>
      </w:pPr>
      <w:r>
        <w:rPr/>
        <w:t>Does colloidal silver help if you are already resistant to antibiotics?</w:t>
      </w:r>
    </w:p>
    <w:p>
      <w:pPr>
        <w:pStyle w:val="BodyText"/>
        <w:spacing w:line="276" w:lineRule="auto" w:before="299"/>
        <w:ind w:left="477" w:right="133"/>
        <w:jc w:val="both"/>
      </w:pPr>
      <w:r>
        <w:rPr/>
        <w:t>This can also be answered with a clear ‘yes’! Colloidal silver can also eliminate those bacteria that already show resistance to antibiotics.</w:t>
      </w:r>
    </w:p>
    <w:p>
      <w:pPr>
        <w:pStyle w:val="Heading1"/>
        <w:spacing w:before="223"/>
      </w:pPr>
      <w:r>
        <w:rPr/>
        <w:t>Can you take colloidal silver</w:t>
      </w:r>
      <w:r>
        <w:rPr>
          <w:spacing w:val="-59"/>
        </w:rPr>
        <w:t> </w:t>
      </w:r>
      <w:r>
        <w:rPr/>
        <w:t>continuously?</w:t>
      </w:r>
    </w:p>
    <w:p>
      <w:pPr>
        <w:pStyle w:val="BodyText"/>
        <w:spacing w:line="276" w:lineRule="auto" w:before="298"/>
        <w:ind w:left="477" w:right="131"/>
        <w:jc w:val="both"/>
      </w:pPr>
      <w:r>
        <w:rPr/>
        <w:t>As with other forms of therapy, you should take colloidal silver if you need it</w:t>
      </w:r>
      <w:r>
        <w:rPr>
          <w:spacing w:val="-58"/>
        </w:rPr>
        <w:t> </w:t>
      </w:r>
      <w:r>
        <w:rPr/>
        <w:t>– taking it orally over a number of days for the purposes of preventing disease and</w:t>
      </w:r>
      <w:r>
        <w:rPr>
          <w:spacing w:val="-16"/>
        </w:rPr>
        <w:t> </w:t>
      </w:r>
      <w:r>
        <w:rPr/>
        <w:t>strengthening</w:t>
      </w:r>
      <w:r>
        <w:rPr>
          <w:spacing w:val="-16"/>
        </w:rPr>
        <w:t> </w:t>
      </w:r>
      <w:r>
        <w:rPr/>
        <w:t>the</w:t>
      </w:r>
      <w:r>
        <w:rPr>
          <w:spacing w:val="-18"/>
        </w:rPr>
        <w:t> </w:t>
      </w:r>
      <w:r>
        <w:rPr/>
        <w:t>immune</w:t>
      </w:r>
      <w:r>
        <w:rPr>
          <w:spacing w:val="-16"/>
        </w:rPr>
        <w:t> </w:t>
      </w:r>
      <w:r>
        <w:rPr/>
        <w:t>system</w:t>
      </w:r>
      <w:r>
        <w:rPr>
          <w:spacing w:val="-16"/>
        </w:rPr>
        <w:t> </w:t>
      </w:r>
      <w:r>
        <w:rPr/>
        <w:t>is</w:t>
      </w:r>
      <w:r>
        <w:rPr>
          <w:spacing w:val="-19"/>
        </w:rPr>
        <w:t> </w:t>
      </w:r>
      <w:r>
        <w:rPr/>
        <w:t>still</w:t>
      </w:r>
      <w:r>
        <w:rPr>
          <w:spacing w:val="-18"/>
        </w:rPr>
        <w:t> </w:t>
      </w:r>
      <w:r>
        <w:rPr/>
        <w:t>recommended</w:t>
      </w:r>
      <w:r>
        <w:rPr>
          <w:spacing w:val="-17"/>
        </w:rPr>
        <w:t> </w:t>
      </w:r>
      <w:r>
        <w:rPr/>
        <w:t>several</w:t>
      </w:r>
      <w:r>
        <w:rPr>
          <w:spacing w:val="-18"/>
        </w:rPr>
        <w:t> </w:t>
      </w:r>
      <w:r>
        <w:rPr/>
        <w:t>times</w:t>
      </w:r>
      <w:r>
        <w:rPr>
          <w:spacing w:val="-16"/>
        </w:rPr>
        <w:t> </w:t>
      </w:r>
      <w:r>
        <w:rPr/>
        <w:t>a</w:t>
      </w:r>
      <w:r>
        <w:rPr>
          <w:spacing w:val="-18"/>
        </w:rPr>
        <w:t> </w:t>
      </w:r>
      <w:r>
        <w:rPr/>
        <w:t>year.</w:t>
      </w:r>
    </w:p>
    <w:p>
      <w:pPr>
        <w:pStyle w:val="Heading1"/>
        <w:spacing w:before="223"/>
      </w:pPr>
      <w:r>
        <w:rPr/>
        <w:t>Is it possible to be allergic to colloidal silver?</w:t>
      </w:r>
    </w:p>
    <w:p>
      <w:pPr>
        <w:pStyle w:val="BodyText"/>
        <w:spacing w:line="276" w:lineRule="auto" w:before="300"/>
        <w:ind w:left="477" w:right="133"/>
        <w:jc w:val="both"/>
      </w:pPr>
      <w:r>
        <w:rPr/>
        <w:t>Silver allergies do not occur with pure silver, but some people are allergic to silver alloys, for example, silver-nickel alloys. Rather, experience shows that</w:t>
      </w:r>
      <w:r>
        <w:rPr>
          <w:spacing w:val="-52"/>
        </w:rPr>
        <w:t> </w:t>
      </w:r>
      <w:r>
        <w:rPr/>
        <w:t>us- ing colloidal, pure silver can even positively affect allergies!</w:t>
      </w:r>
    </w:p>
    <w:p>
      <w:pPr>
        <w:pStyle w:val="Heading1"/>
        <w:spacing w:before="222"/>
        <w:jc w:val="both"/>
      </w:pPr>
      <w:r>
        <w:rPr/>
        <w:t>Does treatment with colloidal silver cause side effects?</w:t>
      </w:r>
    </w:p>
    <w:p>
      <w:pPr>
        <w:spacing w:after="0"/>
        <w:jc w:val="both"/>
        <w:sectPr>
          <w:pgSz w:w="14270" w:h="16850"/>
          <w:pgMar w:header="0" w:footer="1891" w:top="1600" w:bottom="2080" w:left="800" w:right="1280"/>
        </w:sectPr>
      </w:pPr>
    </w:p>
    <w:p>
      <w:pPr>
        <w:pStyle w:val="BodyText"/>
        <w:spacing w:line="276" w:lineRule="auto" w:before="181"/>
        <w:ind w:left="477" w:right="45"/>
      </w:pPr>
      <w:r>
        <w:rPr/>
        <w:t>Under normal circumstances, no side effects are known. The occasional argyria (permanent grey-blue colouration of the skin) requires an average oral intake of</w:t>
      </w:r>
    </w:p>
    <w:p>
      <w:pPr>
        <w:pStyle w:val="BodyText"/>
        <w:spacing w:line="276" w:lineRule="auto" w:before="1"/>
        <w:ind w:left="477"/>
      </w:pPr>
      <w:r>
        <w:rPr/>
        <w:t>3.8 grams per day, which is equivalent to the </w:t>
      </w:r>
      <w:r>
        <w:rPr>
          <w:u w:val="single"/>
        </w:rPr>
        <w:t>millionfold</w:t>
      </w:r>
      <w:r>
        <w:rPr/>
        <w:t> amount of the usual dosage of colloidal silver in adults!</w:t>
      </w:r>
    </w:p>
    <w:p>
      <w:pPr>
        <w:pStyle w:val="BodyText"/>
        <w:spacing w:line="276" w:lineRule="auto" w:before="241"/>
        <w:ind w:left="477" w:right="132"/>
        <w:jc w:val="both"/>
      </w:pPr>
      <w:r>
        <w:rPr/>
        <w:t>Argyria</w:t>
      </w:r>
      <w:r>
        <w:rPr>
          <w:spacing w:val="-15"/>
        </w:rPr>
        <w:t> </w:t>
      </w:r>
      <w:r>
        <w:rPr/>
        <w:t>has</w:t>
      </w:r>
      <w:r>
        <w:rPr>
          <w:spacing w:val="-13"/>
        </w:rPr>
        <w:t> </w:t>
      </w:r>
      <w:r>
        <w:rPr/>
        <w:t>so</w:t>
      </w:r>
      <w:r>
        <w:rPr>
          <w:spacing w:val="-15"/>
        </w:rPr>
        <w:t> </w:t>
      </w:r>
      <w:r>
        <w:rPr/>
        <w:t>far</w:t>
      </w:r>
      <w:r>
        <w:rPr>
          <w:spacing w:val="-14"/>
        </w:rPr>
        <w:t> </w:t>
      </w:r>
      <w:r>
        <w:rPr/>
        <w:t>only</w:t>
      </w:r>
      <w:r>
        <w:rPr>
          <w:spacing w:val="-15"/>
        </w:rPr>
        <w:t> </w:t>
      </w:r>
      <w:r>
        <w:rPr/>
        <w:t>been</w:t>
      </w:r>
      <w:r>
        <w:rPr>
          <w:spacing w:val="-13"/>
        </w:rPr>
        <w:t> </w:t>
      </w:r>
      <w:r>
        <w:rPr/>
        <w:t>found</w:t>
      </w:r>
      <w:r>
        <w:rPr>
          <w:spacing w:val="-14"/>
        </w:rPr>
        <w:t> </w:t>
      </w:r>
      <w:r>
        <w:rPr/>
        <w:t>in</w:t>
      </w:r>
      <w:r>
        <w:rPr>
          <w:spacing w:val="-14"/>
        </w:rPr>
        <w:t> </w:t>
      </w:r>
      <w:r>
        <w:rPr/>
        <w:t>individuals</w:t>
      </w:r>
      <w:r>
        <w:rPr>
          <w:spacing w:val="-14"/>
        </w:rPr>
        <w:t> </w:t>
      </w:r>
      <w:r>
        <w:rPr/>
        <w:t>who</w:t>
      </w:r>
      <w:r>
        <w:rPr>
          <w:spacing w:val="-13"/>
        </w:rPr>
        <w:t> </w:t>
      </w:r>
      <w:r>
        <w:rPr/>
        <w:t>have</w:t>
      </w:r>
      <w:r>
        <w:rPr>
          <w:spacing w:val="-13"/>
        </w:rPr>
        <w:t> </w:t>
      </w:r>
      <w:r>
        <w:rPr/>
        <w:t>taken</w:t>
      </w:r>
      <w:r>
        <w:rPr>
          <w:spacing w:val="-14"/>
        </w:rPr>
        <w:t> </w:t>
      </w:r>
      <w:r>
        <w:rPr/>
        <w:t>silver</w:t>
      </w:r>
      <w:r>
        <w:rPr>
          <w:spacing w:val="-13"/>
        </w:rPr>
        <w:t> </w:t>
      </w:r>
      <w:r>
        <w:rPr/>
        <w:t>proteins for a long time – i.e. NOT pure silver, as is the case with colloidal silver. In</w:t>
      </w:r>
      <w:r>
        <w:rPr>
          <w:spacing w:val="-29"/>
        </w:rPr>
        <w:t> </w:t>
      </w:r>
      <w:r>
        <w:rPr/>
        <w:t>the opinion of Josef Pies (writer of ‘Immun mit kolloidalem Silber’ (‘Immune with Colloidal</w:t>
      </w:r>
      <w:r>
        <w:rPr>
          <w:spacing w:val="-20"/>
        </w:rPr>
        <w:t> </w:t>
      </w:r>
      <w:r>
        <w:rPr/>
        <w:t>Silver’)</w:t>
      </w:r>
      <w:r>
        <w:rPr>
          <w:spacing w:val="-17"/>
        </w:rPr>
        <w:t> </w:t>
      </w:r>
      <w:r>
        <w:rPr/>
        <w:t>it</w:t>
      </w:r>
      <w:r>
        <w:rPr>
          <w:spacing w:val="-19"/>
        </w:rPr>
        <w:t> </w:t>
      </w:r>
      <w:r>
        <w:rPr/>
        <w:t>takes</w:t>
      </w:r>
      <w:r>
        <w:rPr>
          <w:spacing w:val="-18"/>
        </w:rPr>
        <w:t> </w:t>
      </w:r>
      <w:r>
        <w:rPr/>
        <w:t>an</w:t>
      </w:r>
      <w:r>
        <w:rPr>
          <w:spacing w:val="-19"/>
        </w:rPr>
        <w:t> </w:t>
      </w:r>
      <w:r>
        <w:rPr/>
        <w:t>average</w:t>
      </w:r>
      <w:r>
        <w:rPr>
          <w:spacing w:val="-17"/>
        </w:rPr>
        <w:t> </w:t>
      </w:r>
      <w:r>
        <w:rPr/>
        <w:t>of</w:t>
      </w:r>
      <w:r>
        <w:rPr>
          <w:spacing w:val="-18"/>
        </w:rPr>
        <w:t> </w:t>
      </w:r>
      <w:r>
        <w:rPr/>
        <w:t>3.8</w:t>
      </w:r>
      <w:r>
        <w:rPr>
          <w:spacing w:val="-19"/>
        </w:rPr>
        <w:t> </w:t>
      </w:r>
      <w:r>
        <w:rPr/>
        <w:t>g</w:t>
      </w:r>
      <w:r>
        <w:rPr>
          <w:spacing w:val="-18"/>
        </w:rPr>
        <w:t> </w:t>
      </w:r>
      <w:r>
        <w:rPr/>
        <w:t>of</w:t>
      </w:r>
      <w:r>
        <w:rPr>
          <w:spacing w:val="-18"/>
        </w:rPr>
        <w:t> </w:t>
      </w:r>
      <w:r>
        <w:rPr/>
        <w:t>elemental</w:t>
      </w:r>
      <w:r>
        <w:rPr>
          <w:spacing w:val="-19"/>
        </w:rPr>
        <w:t> </w:t>
      </w:r>
      <w:r>
        <w:rPr/>
        <w:t>silver</w:t>
      </w:r>
      <w:r>
        <w:rPr>
          <w:spacing w:val="-18"/>
        </w:rPr>
        <w:t> </w:t>
      </w:r>
      <w:r>
        <w:rPr/>
        <w:t>to</w:t>
      </w:r>
      <w:r>
        <w:rPr>
          <w:spacing w:val="-17"/>
        </w:rPr>
        <w:t> </w:t>
      </w:r>
      <w:r>
        <w:rPr/>
        <w:t>trigger</w:t>
      </w:r>
      <w:r>
        <w:rPr>
          <w:spacing w:val="-17"/>
        </w:rPr>
        <w:t> </w:t>
      </w:r>
      <w:r>
        <w:rPr/>
        <w:t>argyria, which corresponds to 1875 200-ml bottles a</w:t>
      </w:r>
      <w:r>
        <w:rPr>
          <w:spacing w:val="-1"/>
        </w:rPr>
        <w:t> </w:t>
      </w:r>
      <w:r>
        <w:rPr/>
        <w:t>day!</w:t>
      </w:r>
    </w:p>
    <w:p>
      <w:pPr>
        <w:pStyle w:val="Heading1"/>
        <w:spacing w:before="223"/>
      </w:pPr>
      <w:r>
        <w:rPr/>
        <w:t>Can</w:t>
      </w:r>
      <w:r>
        <w:rPr>
          <w:spacing w:val="-67"/>
        </w:rPr>
        <w:t> </w:t>
      </w:r>
      <w:r>
        <w:rPr/>
        <w:t>one</w:t>
      </w:r>
      <w:r>
        <w:rPr>
          <w:spacing w:val="-66"/>
        </w:rPr>
        <w:t> </w:t>
      </w:r>
      <w:r>
        <w:rPr/>
        <w:t>become</w:t>
      </w:r>
      <w:r>
        <w:rPr>
          <w:spacing w:val="-66"/>
        </w:rPr>
        <w:t> </w:t>
      </w:r>
      <w:r>
        <w:rPr/>
        <w:t>resistant</w:t>
      </w:r>
      <w:r>
        <w:rPr>
          <w:spacing w:val="-67"/>
        </w:rPr>
        <w:t> </w:t>
      </w:r>
      <w:r>
        <w:rPr/>
        <w:t>to</w:t>
      </w:r>
      <w:r>
        <w:rPr>
          <w:spacing w:val="-65"/>
        </w:rPr>
        <w:t> </w:t>
      </w:r>
      <w:r>
        <w:rPr/>
        <w:t>colloidal</w:t>
      </w:r>
      <w:r>
        <w:rPr>
          <w:spacing w:val="-66"/>
        </w:rPr>
        <w:t> </w:t>
      </w:r>
      <w:r>
        <w:rPr/>
        <w:t>silver?</w:t>
      </w:r>
    </w:p>
    <w:p>
      <w:pPr>
        <w:pStyle w:val="BodyText"/>
        <w:spacing w:line="276" w:lineRule="auto" w:before="299"/>
        <w:ind w:left="477" w:right="53"/>
      </w:pPr>
      <w:r>
        <w:rPr/>
        <w:t>Resistance cannot be ruled out, but since colloidal silver acts in many ways, it is rare, unlike antibiotic resistance.</w:t>
      </w:r>
    </w:p>
    <w:p>
      <w:pPr>
        <w:pStyle w:val="Heading1"/>
        <w:spacing w:before="221"/>
      </w:pPr>
      <w:r>
        <w:rPr/>
        <w:t>Is it possible to use colloidal silver in animals?</w:t>
      </w:r>
    </w:p>
    <w:p>
      <w:pPr>
        <w:pStyle w:val="BodyText"/>
        <w:spacing w:line="276" w:lineRule="auto" w:before="300"/>
        <w:ind w:left="477" w:right="133"/>
        <w:jc w:val="both"/>
      </w:pPr>
      <w:r>
        <w:rPr/>
        <w:t>Colloidal silver is very effective in both humans and animals. The dosage must be adjusted according to the body weight and the concern (see point ‘Dosage colloidal silver’).</w:t>
      </w:r>
    </w:p>
    <w:p>
      <w:pPr>
        <w:pStyle w:val="Heading1"/>
      </w:pPr>
      <w:r>
        <w:rPr/>
        <w:t>Where can you buy colloidal silver?</w:t>
      </w:r>
    </w:p>
    <w:p>
      <w:pPr>
        <w:pStyle w:val="BodyText"/>
        <w:spacing w:line="276" w:lineRule="auto" w:before="299"/>
        <w:ind w:left="477"/>
      </w:pPr>
      <w:r>
        <w:rPr/>
        <w:t>Colloidal</w:t>
      </w:r>
      <w:r>
        <w:rPr>
          <w:spacing w:val="-23"/>
        </w:rPr>
        <w:t> </w:t>
      </w:r>
      <w:r>
        <w:rPr/>
        <w:t>silver</w:t>
      </w:r>
      <w:r>
        <w:rPr>
          <w:spacing w:val="-21"/>
        </w:rPr>
        <w:t> </w:t>
      </w:r>
      <w:r>
        <w:rPr/>
        <w:t>is</w:t>
      </w:r>
      <w:r>
        <w:rPr>
          <w:spacing w:val="-21"/>
        </w:rPr>
        <w:t> </w:t>
      </w:r>
      <w:r>
        <w:rPr/>
        <w:t>available</w:t>
      </w:r>
      <w:r>
        <w:rPr>
          <w:spacing w:val="-22"/>
        </w:rPr>
        <w:t> </w:t>
      </w:r>
      <w:r>
        <w:rPr/>
        <w:t>on</w:t>
      </w:r>
      <w:r>
        <w:rPr>
          <w:spacing w:val="-21"/>
        </w:rPr>
        <w:t> </w:t>
      </w:r>
      <w:r>
        <w:rPr/>
        <w:t>the</w:t>
      </w:r>
      <w:r>
        <w:rPr>
          <w:spacing w:val="-21"/>
        </w:rPr>
        <w:t> </w:t>
      </w:r>
      <w:r>
        <w:rPr/>
        <w:t>Internet</w:t>
      </w:r>
      <w:r>
        <w:rPr>
          <w:spacing w:val="-22"/>
        </w:rPr>
        <w:t> </w:t>
      </w:r>
      <w:r>
        <w:rPr/>
        <w:t>and</w:t>
      </w:r>
      <w:r>
        <w:rPr>
          <w:spacing w:val="-21"/>
        </w:rPr>
        <w:t> </w:t>
      </w:r>
      <w:r>
        <w:rPr/>
        <w:t>occasionally</w:t>
      </w:r>
      <w:r>
        <w:rPr>
          <w:spacing w:val="-23"/>
        </w:rPr>
        <w:t> </w:t>
      </w:r>
      <w:r>
        <w:rPr/>
        <w:t>in</w:t>
      </w:r>
      <w:r>
        <w:rPr>
          <w:spacing w:val="-21"/>
        </w:rPr>
        <w:t> </w:t>
      </w:r>
      <w:r>
        <w:rPr/>
        <w:t>some</w:t>
      </w:r>
      <w:r>
        <w:rPr>
          <w:spacing w:val="-21"/>
        </w:rPr>
        <w:t> </w:t>
      </w:r>
      <w:r>
        <w:rPr/>
        <w:t>pharmacies. It is important to ensure the product is of high</w:t>
      </w:r>
      <w:r>
        <w:rPr>
          <w:spacing w:val="-4"/>
        </w:rPr>
        <w:t> </w:t>
      </w:r>
      <w:r>
        <w:rPr/>
        <w:t>quality!</w:t>
      </w:r>
    </w:p>
    <w:p>
      <w:pPr>
        <w:pStyle w:val="Heading1"/>
        <w:spacing w:before="222"/>
        <w:jc w:val="both"/>
      </w:pPr>
      <w:r>
        <w:rPr/>
        <w:t>Is it possible to make colloidal silver yourself?</w:t>
      </w:r>
    </w:p>
    <w:p>
      <w:pPr>
        <w:spacing w:after="0"/>
        <w:jc w:val="both"/>
        <w:sectPr>
          <w:pgSz w:w="14270" w:h="16850"/>
          <w:pgMar w:header="0" w:footer="1891" w:top="1600" w:bottom="2080" w:left="800" w:right="1280"/>
        </w:sectPr>
      </w:pPr>
    </w:p>
    <w:p>
      <w:pPr>
        <w:pStyle w:val="BodyText"/>
        <w:spacing w:line="276" w:lineRule="auto" w:before="181"/>
        <w:ind w:left="477" w:right="135"/>
        <w:jc w:val="both"/>
      </w:pPr>
      <w:r>
        <w:rPr/>
        <w:t>You</w:t>
      </w:r>
      <w:r>
        <w:rPr>
          <w:spacing w:val="-7"/>
        </w:rPr>
        <w:t> </w:t>
      </w:r>
      <w:r>
        <w:rPr/>
        <w:t>can</w:t>
      </w:r>
      <w:r>
        <w:rPr>
          <w:spacing w:val="-5"/>
        </w:rPr>
        <w:t> </w:t>
      </w:r>
      <w:r>
        <w:rPr/>
        <w:t>also</w:t>
      </w:r>
      <w:r>
        <w:rPr>
          <w:spacing w:val="-5"/>
        </w:rPr>
        <w:t> </w:t>
      </w:r>
      <w:r>
        <w:rPr/>
        <w:t>make</w:t>
      </w:r>
      <w:r>
        <w:rPr>
          <w:spacing w:val="-6"/>
        </w:rPr>
        <w:t> </w:t>
      </w:r>
      <w:r>
        <w:rPr/>
        <w:t>colloidal</w:t>
      </w:r>
      <w:r>
        <w:rPr>
          <w:spacing w:val="-6"/>
        </w:rPr>
        <w:t> </w:t>
      </w:r>
      <w:r>
        <w:rPr/>
        <w:t>silver</w:t>
      </w:r>
      <w:r>
        <w:rPr>
          <w:spacing w:val="-6"/>
        </w:rPr>
        <w:t> </w:t>
      </w:r>
      <w:r>
        <w:rPr/>
        <w:t>yourself.</w:t>
      </w:r>
      <w:r>
        <w:rPr>
          <w:spacing w:val="-5"/>
        </w:rPr>
        <w:t> </w:t>
      </w:r>
      <w:r>
        <w:rPr/>
        <w:t>It</w:t>
      </w:r>
      <w:r>
        <w:rPr>
          <w:spacing w:val="-5"/>
        </w:rPr>
        <w:t> </w:t>
      </w:r>
      <w:r>
        <w:rPr/>
        <w:t>can</w:t>
      </w:r>
      <w:r>
        <w:rPr>
          <w:spacing w:val="-7"/>
        </w:rPr>
        <w:t> </w:t>
      </w:r>
      <w:r>
        <w:rPr/>
        <w:t>be</w:t>
      </w:r>
      <w:r>
        <w:rPr>
          <w:spacing w:val="-4"/>
        </w:rPr>
        <w:t> </w:t>
      </w:r>
      <w:r>
        <w:rPr/>
        <w:t>made</w:t>
      </w:r>
      <w:r>
        <w:rPr>
          <w:spacing w:val="-6"/>
        </w:rPr>
        <w:t> </w:t>
      </w:r>
      <w:r>
        <w:rPr/>
        <w:t>using</w:t>
      </w:r>
      <w:r>
        <w:rPr>
          <w:spacing w:val="-4"/>
        </w:rPr>
        <w:t> </w:t>
      </w:r>
      <w:r>
        <w:rPr/>
        <w:t>a</w:t>
      </w:r>
      <w:r>
        <w:rPr>
          <w:spacing w:val="-7"/>
        </w:rPr>
        <w:t> </w:t>
      </w:r>
      <w:r>
        <w:rPr/>
        <w:t>silver</w:t>
      </w:r>
      <w:r>
        <w:rPr>
          <w:spacing w:val="-5"/>
        </w:rPr>
        <w:t> </w:t>
      </w:r>
      <w:r>
        <w:rPr/>
        <w:t>gener- ator</w:t>
      </w:r>
      <w:r>
        <w:rPr>
          <w:spacing w:val="-19"/>
        </w:rPr>
        <w:t> </w:t>
      </w:r>
      <w:r>
        <w:rPr/>
        <w:t>using</w:t>
      </w:r>
      <w:r>
        <w:rPr>
          <w:spacing w:val="-17"/>
        </w:rPr>
        <w:t> </w:t>
      </w:r>
      <w:r>
        <w:rPr/>
        <w:t>silver</w:t>
      </w:r>
      <w:r>
        <w:rPr>
          <w:spacing w:val="-17"/>
        </w:rPr>
        <w:t> </w:t>
      </w:r>
      <w:r>
        <w:rPr/>
        <w:t>electrodes</w:t>
      </w:r>
      <w:r>
        <w:rPr>
          <w:spacing w:val="-18"/>
        </w:rPr>
        <w:t> </w:t>
      </w:r>
      <w:r>
        <w:rPr/>
        <w:t>and</w:t>
      </w:r>
      <w:r>
        <w:rPr>
          <w:spacing w:val="-18"/>
        </w:rPr>
        <w:t> </w:t>
      </w:r>
      <w:r>
        <w:rPr/>
        <w:t>distilled</w:t>
      </w:r>
      <w:r>
        <w:rPr>
          <w:spacing w:val="-17"/>
        </w:rPr>
        <w:t> </w:t>
      </w:r>
      <w:r>
        <w:rPr/>
        <w:t>water.</w:t>
      </w:r>
      <w:r>
        <w:rPr>
          <w:spacing w:val="-17"/>
        </w:rPr>
        <w:t> </w:t>
      </w:r>
      <w:r>
        <w:rPr/>
        <w:t>You</w:t>
      </w:r>
      <w:r>
        <w:rPr>
          <w:spacing w:val="-19"/>
        </w:rPr>
        <w:t> </w:t>
      </w:r>
      <w:r>
        <w:rPr/>
        <w:t>can</w:t>
      </w:r>
      <w:r>
        <w:rPr>
          <w:spacing w:val="-18"/>
        </w:rPr>
        <w:t> </w:t>
      </w:r>
      <w:r>
        <w:rPr/>
        <w:t>find</w:t>
      </w:r>
      <w:r>
        <w:rPr>
          <w:spacing w:val="-18"/>
        </w:rPr>
        <w:t> </w:t>
      </w:r>
      <w:r>
        <w:rPr/>
        <w:t>out</w:t>
      </w:r>
      <w:r>
        <w:rPr>
          <w:spacing w:val="-20"/>
        </w:rPr>
        <w:t> </w:t>
      </w:r>
      <w:r>
        <w:rPr/>
        <w:t>more</w:t>
      </w:r>
      <w:r>
        <w:rPr>
          <w:spacing w:val="-17"/>
        </w:rPr>
        <w:t> </w:t>
      </w:r>
      <w:r>
        <w:rPr/>
        <w:t>about</w:t>
      </w:r>
      <w:r>
        <w:rPr>
          <w:spacing w:val="-21"/>
        </w:rPr>
        <w:t> </w:t>
      </w:r>
      <w:r>
        <w:rPr/>
        <w:t>this in the section ‘Production of colloidal</w:t>
      </w:r>
      <w:r>
        <w:rPr>
          <w:spacing w:val="1"/>
        </w:rPr>
        <w:t> </w:t>
      </w:r>
      <w:r>
        <w:rPr/>
        <w:t>silver’.</w:t>
      </w:r>
    </w:p>
    <w:p>
      <w:pPr>
        <w:pStyle w:val="Heading1"/>
      </w:pPr>
      <w:r>
        <w:rPr/>
        <w:t>What do I need to make colloidal silver?</w:t>
      </w:r>
    </w:p>
    <w:p>
      <w:pPr>
        <w:pStyle w:val="BodyText"/>
        <w:spacing w:line="276" w:lineRule="auto" w:before="300"/>
        <w:ind w:left="477"/>
      </w:pPr>
      <w:r>
        <w:rPr/>
        <w:t>To make colloidal silver, you need a silver generator, distilled water and silver electrodes. For details, see ‘Production of colloidal silver’</w:t>
      </w:r>
    </w:p>
    <w:p>
      <w:pPr>
        <w:pStyle w:val="Heading1"/>
        <w:spacing w:before="221"/>
      </w:pPr>
      <w:r>
        <w:rPr/>
        <w:t>What should you look for when buying a silver generator?</w:t>
      </w:r>
    </w:p>
    <w:p>
      <w:pPr>
        <w:pStyle w:val="BodyText"/>
        <w:spacing w:line="276" w:lineRule="auto" w:before="299"/>
        <w:ind w:left="477" w:right="49"/>
      </w:pPr>
      <w:r>
        <w:rPr/>
        <w:t>You should value a high-quality device that is standardised and has an indicator to measure the colloidal silver being produced.</w:t>
      </w:r>
    </w:p>
    <w:p>
      <w:pPr>
        <w:pStyle w:val="Heading1"/>
      </w:pPr>
      <w:r>
        <w:rPr/>
        <w:t>How much does a silver generator or silver pulser cost?</w:t>
      </w:r>
    </w:p>
    <w:p>
      <w:pPr>
        <w:pStyle w:val="BodyText"/>
        <w:spacing w:line="276" w:lineRule="auto" w:before="299"/>
        <w:ind w:left="477"/>
      </w:pPr>
      <w:r>
        <w:rPr/>
        <w:t>A good silver generator (also called ‘silver pulser’) costs between 150 and 200 euros; be wary of cheaper devices.</w:t>
      </w:r>
    </w:p>
    <w:p>
      <w:pPr>
        <w:pStyle w:val="Heading1"/>
        <w:spacing w:before="222"/>
      </w:pPr>
      <w:r>
        <w:rPr/>
        <w:t>What do the required silver electrodes</w:t>
      </w:r>
      <w:r>
        <w:rPr>
          <w:spacing w:val="-71"/>
        </w:rPr>
        <w:t> </w:t>
      </w:r>
      <w:r>
        <w:rPr/>
        <w:t>cost?</w:t>
      </w:r>
    </w:p>
    <w:p>
      <w:pPr>
        <w:pStyle w:val="BodyText"/>
        <w:spacing w:line="276" w:lineRule="auto" w:before="299"/>
        <w:ind w:left="477"/>
      </w:pPr>
      <w:r>
        <w:rPr/>
        <w:t>The silver electrodes cost about 30 euros per pair, or more; it is important that the purity of the silver is 99.99 %</w:t>
      </w:r>
    </w:p>
    <w:p>
      <w:pPr>
        <w:pStyle w:val="Heading1"/>
        <w:spacing w:before="223"/>
      </w:pPr>
      <w:r>
        <w:rPr/>
        <w:t>How long do silver electrodes last?</w:t>
      </w:r>
    </w:p>
    <w:p>
      <w:pPr>
        <w:pStyle w:val="BodyText"/>
        <w:spacing w:line="276" w:lineRule="auto" w:before="300"/>
        <w:ind w:left="477"/>
      </w:pPr>
      <w:r>
        <w:rPr/>
        <w:t>Silver electrodes last a very long time; one can usually make 500-600 litres of colloidal silver with a pair of silver electrodes.</w:t>
      </w:r>
    </w:p>
    <w:p>
      <w:pPr>
        <w:spacing w:after="0" w:line="276" w:lineRule="auto"/>
        <w:sectPr>
          <w:pgSz w:w="14270" w:h="16850"/>
          <w:pgMar w:header="0" w:footer="1891" w:top="1600" w:bottom="2080" w:left="800" w:right="1280"/>
        </w:sectPr>
      </w:pPr>
    </w:p>
    <w:p>
      <w:pPr>
        <w:pStyle w:val="Heading1"/>
        <w:spacing w:before="164"/>
      </w:pPr>
      <w:r>
        <w:rPr/>
        <w:t>What should I look for when using distilled water?</w:t>
      </w:r>
    </w:p>
    <w:p>
      <w:pPr>
        <w:pStyle w:val="BodyText"/>
        <w:spacing w:line="276" w:lineRule="auto" w:before="299"/>
        <w:ind w:left="477" w:right="135"/>
        <w:jc w:val="both"/>
      </w:pPr>
      <w:r>
        <w:rPr/>
        <w:t>You</w:t>
      </w:r>
      <w:r>
        <w:rPr>
          <w:spacing w:val="-11"/>
        </w:rPr>
        <w:t> </w:t>
      </w:r>
      <w:r>
        <w:rPr/>
        <w:t>should</w:t>
      </w:r>
      <w:r>
        <w:rPr>
          <w:spacing w:val="-10"/>
        </w:rPr>
        <w:t> </w:t>
      </w:r>
      <w:r>
        <w:rPr/>
        <w:t>pay</w:t>
      </w:r>
      <w:r>
        <w:rPr>
          <w:spacing w:val="-14"/>
        </w:rPr>
        <w:t> </w:t>
      </w:r>
      <w:r>
        <w:rPr/>
        <w:t>attention</w:t>
      </w:r>
      <w:r>
        <w:rPr>
          <w:spacing w:val="-9"/>
        </w:rPr>
        <w:t> </w:t>
      </w:r>
      <w:r>
        <w:rPr/>
        <w:t>to</w:t>
      </w:r>
      <w:r>
        <w:rPr>
          <w:spacing w:val="-9"/>
        </w:rPr>
        <w:t> </w:t>
      </w:r>
      <w:r>
        <w:rPr/>
        <w:t>the</w:t>
      </w:r>
      <w:r>
        <w:rPr>
          <w:spacing w:val="-13"/>
        </w:rPr>
        <w:t> </w:t>
      </w:r>
      <w:r>
        <w:rPr/>
        <w:t>absolute</w:t>
      </w:r>
      <w:r>
        <w:rPr>
          <w:spacing w:val="-10"/>
        </w:rPr>
        <w:t> </w:t>
      </w:r>
      <w:r>
        <w:rPr/>
        <w:t>purity</w:t>
      </w:r>
      <w:r>
        <w:rPr>
          <w:spacing w:val="-11"/>
        </w:rPr>
        <w:t> </w:t>
      </w:r>
      <w:r>
        <w:rPr/>
        <w:t>of</w:t>
      </w:r>
      <w:r>
        <w:rPr>
          <w:spacing w:val="-10"/>
        </w:rPr>
        <w:t> </w:t>
      </w:r>
      <w:r>
        <w:rPr/>
        <w:t>the</w:t>
      </w:r>
      <w:r>
        <w:rPr>
          <w:spacing w:val="-11"/>
        </w:rPr>
        <w:t> </w:t>
      </w:r>
      <w:r>
        <w:rPr/>
        <w:t>distilled</w:t>
      </w:r>
      <w:r>
        <w:rPr>
          <w:spacing w:val="-9"/>
        </w:rPr>
        <w:t> </w:t>
      </w:r>
      <w:r>
        <w:rPr/>
        <w:t>water;</w:t>
      </w:r>
      <w:r>
        <w:rPr>
          <w:spacing w:val="-8"/>
        </w:rPr>
        <w:t> </w:t>
      </w:r>
      <w:r>
        <w:rPr/>
        <w:t>this</w:t>
      </w:r>
      <w:r>
        <w:rPr>
          <w:spacing w:val="-11"/>
        </w:rPr>
        <w:t> </w:t>
      </w:r>
      <w:r>
        <w:rPr/>
        <w:t>is</w:t>
      </w:r>
      <w:r>
        <w:rPr>
          <w:spacing w:val="-13"/>
        </w:rPr>
        <w:t> </w:t>
      </w:r>
      <w:r>
        <w:rPr/>
        <w:t>not always guaranteed with distilled water from retail trade. The safest choice is therefore to buy the distilled water in the</w:t>
      </w:r>
      <w:r>
        <w:rPr>
          <w:spacing w:val="-1"/>
        </w:rPr>
        <w:t> </w:t>
      </w:r>
      <w:r>
        <w:rPr/>
        <w:t>pharmacy.</w:t>
      </w:r>
    </w:p>
    <w:p>
      <w:pPr>
        <w:pStyle w:val="Heading2"/>
        <w:spacing w:before="242"/>
      </w:pPr>
      <w:r>
        <w:rPr/>
        <w:t>How should one store colloidal silver?</w:t>
      </w:r>
    </w:p>
    <w:p>
      <w:pPr>
        <w:pStyle w:val="BodyText"/>
        <w:spacing w:line="276" w:lineRule="auto" w:before="302"/>
        <w:ind w:left="477" w:right="137"/>
        <w:jc w:val="both"/>
      </w:pPr>
      <w:r>
        <w:rPr/>
        <w:t>Colloidal silver should be stored cool, but not in the refrigerator. It is essential not to store the colloidal silver near magnetic fields, such as near a television, mobile</w:t>
      </w:r>
      <w:r>
        <w:rPr>
          <w:spacing w:val="-7"/>
        </w:rPr>
        <w:t> </w:t>
      </w:r>
      <w:r>
        <w:rPr/>
        <w:t>phones,</w:t>
      </w:r>
      <w:r>
        <w:rPr>
          <w:spacing w:val="-8"/>
        </w:rPr>
        <w:t> </w:t>
      </w:r>
      <w:r>
        <w:rPr/>
        <w:t>telephones,</w:t>
      </w:r>
      <w:r>
        <w:rPr>
          <w:spacing w:val="-7"/>
        </w:rPr>
        <w:t> </w:t>
      </w:r>
      <w:r>
        <w:rPr/>
        <w:t>VCRs</w:t>
      </w:r>
      <w:r>
        <w:rPr>
          <w:spacing w:val="-7"/>
        </w:rPr>
        <w:t> </w:t>
      </w:r>
      <w:r>
        <w:rPr/>
        <w:t>and</w:t>
      </w:r>
      <w:r>
        <w:rPr>
          <w:spacing w:val="-7"/>
        </w:rPr>
        <w:t> </w:t>
      </w:r>
      <w:r>
        <w:rPr/>
        <w:t>the</w:t>
      </w:r>
      <w:r>
        <w:rPr>
          <w:spacing w:val="-6"/>
        </w:rPr>
        <w:t> </w:t>
      </w:r>
      <w:r>
        <w:rPr/>
        <w:t>like,</w:t>
      </w:r>
      <w:r>
        <w:rPr>
          <w:spacing w:val="-10"/>
        </w:rPr>
        <w:t> </w:t>
      </w:r>
      <w:r>
        <w:rPr/>
        <w:t>since</w:t>
      </w:r>
      <w:r>
        <w:rPr>
          <w:spacing w:val="-6"/>
        </w:rPr>
        <w:t> </w:t>
      </w:r>
      <w:r>
        <w:rPr/>
        <w:t>it</w:t>
      </w:r>
      <w:r>
        <w:rPr>
          <w:spacing w:val="-8"/>
        </w:rPr>
        <w:t> </w:t>
      </w:r>
      <w:r>
        <w:rPr/>
        <w:t>will</w:t>
      </w:r>
      <w:r>
        <w:rPr>
          <w:spacing w:val="-7"/>
        </w:rPr>
        <w:t> </w:t>
      </w:r>
      <w:r>
        <w:rPr/>
        <w:t>discharge</w:t>
      </w:r>
      <w:r>
        <w:rPr>
          <w:spacing w:val="-6"/>
        </w:rPr>
        <w:t> </w:t>
      </w:r>
      <w:r>
        <w:rPr/>
        <w:t>faster</w:t>
      </w:r>
      <w:r>
        <w:rPr>
          <w:spacing w:val="-6"/>
        </w:rPr>
        <w:t> </w:t>
      </w:r>
      <w:r>
        <w:rPr/>
        <w:t>and lose its</w:t>
      </w:r>
      <w:r>
        <w:rPr>
          <w:spacing w:val="1"/>
        </w:rPr>
        <w:t> </w:t>
      </w:r>
      <w:r>
        <w:rPr/>
        <w:t>effectiveness.</w:t>
      </w:r>
    </w:p>
    <w:p>
      <w:pPr>
        <w:pStyle w:val="Heading1"/>
      </w:pPr>
      <w:r>
        <w:rPr/>
        <w:t>How long does colloidal silver last?</w:t>
      </w:r>
    </w:p>
    <w:p>
      <w:pPr>
        <w:pStyle w:val="BodyText"/>
        <w:spacing w:line="276" w:lineRule="auto" w:before="300"/>
        <w:ind w:left="477" w:right="138"/>
        <w:jc w:val="both"/>
      </w:pPr>
      <w:r>
        <w:rPr/>
        <w:t>Colloidal silver, like colloidal gold, can be stored for around four months from the date of manufacture, after which the silver particles slowly discharge, as we know from batteries.</w:t>
      </w:r>
    </w:p>
    <w:p>
      <w:pPr>
        <w:spacing w:after="0" w:line="276" w:lineRule="auto"/>
        <w:jc w:val="both"/>
        <w:sectPr>
          <w:footerReference w:type="default" r:id="rId180"/>
          <w:pgSz w:w="14270" w:h="16850"/>
          <w:pgMar w:footer="1891" w:header="0" w:top="1600" w:bottom="2080" w:left="800" w:right="1280"/>
          <w:pgNumType w:start="730"/>
        </w:sectPr>
      </w:pPr>
    </w:p>
    <w:p>
      <w:pPr>
        <w:spacing w:before="183"/>
        <w:ind w:left="477" w:right="0" w:firstLine="0"/>
        <w:jc w:val="left"/>
        <w:rPr>
          <w:rFonts w:ascii="Cambria"/>
          <w:b/>
          <w:sz w:val="28"/>
        </w:rPr>
      </w:pPr>
      <w:r>
        <w:rPr>
          <w:rFonts w:ascii="Cambria"/>
          <w:b/>
          <w:color w:val="365F91"/>
          <w:sz w:val="28"/>
        </w:rPr>
        <w:t>KOMBUCHA</w:t>
      </w:r>
    </w:p>
    <w:p>
      <w:pPr>
        <w:pStyle w:val="BodyText"/>
        <w:spacing w:before="5"/>
        <w:rPr>
          <w:rFonts w:ascii="Cambria"/>
          <w:b/>
          <w:sz w:val="47"/>
        </w:rPr>
      </w:pPr>
    </w:p>
    <w:p>
      <w:pPr>
        <w:pStyle w:val="Heading2"/>
      </w:pPr>
      <w:r>
        <w:rPr/>
        <w:t>Is kombucha a miracle fungus?</w:t>
      </w:r>
    </w:p>
    <w:p>
      <w:pPr>
        <w:pStyle w:val="BodyText"/>
        <w:spacing w:before="4"/>
        <w:rPr>
          <w:b/>
          <w:sz w:val="48"/>
        </w:rPr>
      </w:pPr>
    </w:p>
    <w:p>
      <w:pPr>
        <w:spacing w:before="0"/>
        <w:ind w:left="477" w:right="0" w:firstLine="0"/>
        <w:jc w:val="left"/>
        <w:rPr>
          <w:b/>
          <w:sz w:val="38"/>
        </w:rPr>
      </w:pPr>
      <w:r>
        <w:rPr>
          <w:b/>
          <w:sz w:val="38"/>
        </w:rPr>
        <w:t>Kombucha tea fungus drink. Introducing: a mythical elixir...</w:t>
      </w:r>
    </w:p>
    <w:p>
      <w:pPr>
        <w:pStyle w:val="BodyText"/>
        <w:spacing w:line="276" w:lineRule="auto" w:before="305"/>
        <w:ind w:left="477" w:right="138"/>
        <w:jc w:val="both"/>
      </w:pPr>
      <w:r>
        <w:rPr/>
        <w:t>We all know that a myth is created when incredible stories are entwined with something that has both phenomenal and incomprehensible qualities or pow- ers.</w:t>
      </w:r>
    </w:p>
    <w:p>
      <w:pPr>
        <w:pStyle w:val="BodyText"/>
        <w:spacing w:line="276" w:lineRule="auto" w:before="241"/>
        <w:ind w:left="477" w:right="133"/>
        <w:jc w:val="both"/>
      </w:pPr>
      <w:r>
        <w:rPr/>
        <w:t>Nothing warrants this description more than the Kombucha tea fungus, often called the ‘miracle fungus’, which has inspired real success stories for around 2200</w:t>
      </w:r>
      <w:r>
        <w:rPr>
          <w:spacing w:val="-21"/>
        </w:rPr>
        <w:t> </w:t>
      </w:r>
      <w:r>
        <w:rPr/>
        <w:t>years,</w:t>
      </w:r>
      <w:r>
        <w:rPr>
          <w:spacing w:val="-19"/>
        </w:rPr>
        <w:t> </w:t>
      </w:r>
      <w:r>
        <w:rPr/>
        <w:t>which</w:t>
      </w:r>
      <w:r>
        <w:rPr>
          <w:spacing w:val="-19"/>
        </w:rPr>
        <w:t> </w:t>
      </w:r>
      <w:r>
        <w:rPr/>
        <w:t>are</w:t>
      </w:r>
      <w:r>
        <w:rPr>
          <w:spacing w:val="-22"/>
        </w:rPr>
        <w:t> </w:t>
      </w:r>
      <w:r>
        <w:rPr/>
        <w:t>passed</w:t>
      </w:r>
      <w:r>
        <w:rPr>
          <w:spacing w:val="-21"/>
        </w:rPr>
        <w:t> </w:t>
      </w:r>
      <w:r>
        <w:rPr/>
        <w:t>down</w:t>
      </w:r>
      <w:r>
        <w:rPr>
          <w:spacing w:val="-20"/>
        </w:rPr>
        <w:t> </w:t>
      </w:r>
      <w:r>
        <w:rPr/>
        <w:t>from</w:t>
      </w:r>
      <w:r>
        <w:rPr>
          <w:spacing w:val="-22"/>
        </w:rPr>
        <w:t> </w:t>
      </w:r>
      <w:r>
        <w:rPr/>
        <w:t>generation</w:t>
      </w:r>
      <w:r>
        <w:rPr>
          <w:spacing w:val="-19"/>
        </w:rPr>
        <w:t> </w:t>
      </w:r>
      <w:r>
        <w:rPr/>
        <w:t>to</w:t>
      </w:r>
      <w:r>
        <w:rPr>
          <w:spacing w:val="-21"/>
        </w:rPr>
        <w:t> </w:t>
      </w:r>
      <w:r>
        <w:rPr/>
        <w:t>generation.</w:t>
      </w:r>
      <w:r>
        <w:rPr>
          <w:spacing w:val="-19"/>
        </w:rPr>
        <w:t> </w:t>
      </w:r>
      <w:r>
        <w:rPr/>
        <w:t>These</w:t>
      </w:r>
      <w:r>
        <w:rPr>
          <w:spacing w:val="-22"/>
        </w:rPr>
        <w:t> </w:t>
      </w:r>
      <w:r>
        <w:rPr/>
        <w:t>stories encompass a wide spectrum and range from increasing vitality, health,</w:t>
      </w:r>
      <w:r>
        <w:rPr>
          <w:spacing w:val="-45"/>
        </w:rPr>
        <w:t> </w:t>
      </w:r>
      <w:r>
        <w:rPr/>
        <w:t>beautifi- cation to miraculous</w:t>
      </w:r>
      <w:r>
        <w:rPr>
          <w:spacing w:val="1"/>
        </w:rPr>
        <w:t> </w:t>
      </w:r>
      <w:r>
        <w:rPr/>
        <w:t>healings.</w:t>
      </w:r>
    </w:p>
    <w:p>
      <w:pPr>
        <w:pStyle w:val="BodyText"/>
        <w:spacing w:line="276" w:lineRule="auto" w:before="240"/>
        <w:ind w:left="477" w:right="131"/>
        <w:jc w:val="both"/>
      </w:pPr>
      <w:r>
        <w:rPr/>
        <w:t>Kombucha</w:t>
      </w:r>
      <w:r>
        <w:rPr>
          <w:spacing w:val="-16"/>
        </w:rPr>
        <w:t> </w:t>
      </w:r>
      <w:r>
        <w:rPr/>
        <w:t>–</w:t>
      </w:r>
      <w:r>
        <w:rPr>
          <w:spacing w:val="-14"/>
        </w:rPr>
        <w:t> </w:t>
      </w:r>
      <w:r>
        <w:rPr/>
        <w:t>a</w:t>
      </w:r>
      <w:r>
        <w:rPr>
          <w:spacing w:val="-16"/>
        </w:rPr>
        <w:t> </w:t>
      </w:r>
      <w:r>
        <w:rPr/>
        <w:t>universal</w:t>
      </w:r>
      <w:r>
        <w:rPr>
          <w:spacing w:val="-16"/>
        </w:rPr>
        <w:t> </w:t>
      </w:r>
      <w:r>
        <w:rPr/>
        <w:t>wonder</w:t>
      </w:r>
      <w:r>
        <w:rPr>
          <w:spacing w:val="-17"/>
        </w:rPr>
        <w:t> </w:t>
      </w:r>
      <w:r>
        <w:rPr/>
        <w:t>drug?</w:t>
      </w:r>
      <w:r>
        <w:rPr>
          <w:spacing w:val="-14"/>
        </w:rPr>
        <w:t> </w:t>
      </w:r>
      <w:r>
        <w:rPr/>
        <w:t>But</w:t>
      </w:r>
      <w:r>
        <w:rPr>
          <w:spacing w:val="-15"/>
        </w:rPr>
        <w:t> </w:t>
      </w:r>
      <w:r>
        <w:rPr/>
        <w:t>what</w:t>
      </w:r>
      <w:r>
        <w:rPr>
          <w:spacing w:val="-15"/>
        </w:rPr>
        <w:t> </w:t>
      </w:r>
      <w:r>
        <w:rPr/>
        <w:t>is</w:t>
      </w:r>
      <w:r>
        <w:rPr>
          <w:spacing w:val="-14"/>
        </w:rPr>
        <w:t> </w:t>
      </w:r>
      <w:r>
        <w:rPr/>
        <w:t>kombucha,</w:t>
      </w:r>
      <w:r>
        <w:rPr>
          <w:spacing w:val="-14"/>
        </w:rPr>
        <w:t> </w:t>
      </w:r>
      <w:r>
        <w:rPr/>
        <w:t>what</w:t>
      </w:r>
      <w:r>
        <w:rPr>
          <w:spacing w:val="-16"/>
        </w:rPr>
        <w:t> </w:t>
      </w:r>
      <w:r>
        <w:rPr/>
        <w:t>advantages does</w:t>
      </w:r>
      <w:r>
        <w:rPr>
          <w:spacing w:val="-11"/>
        </w:rPr>
        <w:t> </w:t>
      </w:r>
      <w:r>
        <w:rPr/>
        <w:t>it</w:t>
      </w:r>
      <w:r>
        <w:rPr>
          <w:spacing w:val="-14"/>
        </w:rPr>
        <w:t> </w:t>
      </w:r>
      <w:r>
        <w:rPr/>
        <w:t>offer,</w:t>
      </w:r>
      <w:r>
        <w:rPr>
          <w:spacing w:val="-12"/>
        </w:rPr>
        <w:t> </w:t>
      </w:r>
      <w:r>
        <w:rPr/>
        <w:t>what</w:t>
      </w:r>
      <w:r>
        <w:rPr>
          <w:spacing w:val="-12"/>
        </w:rPr>
        <w:t> </w:t>
      </w:r>
      <w:r>
        <w:rPr/>
        <w:t>benefits</w:t>
      </w:r>
      <w:r>
        <w:rPr>
          <w:spacing w:val="-11"/>
        </w:rPr>
        <w:t> </w:t>
      </w:r>
      <w:r>
        <w:rPr/>
        <w:t>can</w:t>
      </w:r>
      <w:r>
        <w:rPr>
          <w:spacing w:val="-12"/>
        </w:rPr>
        <w:t> </w:t>
      </w:r>
      <w:r>
        <w:rPr/>
        <w:t>we</w:t>
      </w:r>
      <w:r>
        <w:rPr>
          <w:spacing w:val="-12"/>
        </w:rPr>
        <w:t> </w:t>
      </w:r>
      <w:r>
        <w:rPr/>
        <w:t>take</w:t>
      </w:r>
      <w:r>
        <w:rPr>
          <w:spacing w:val="-11"/>
        </w:rPr>
        <w:t> </w:t>
      </w:r>
      <w:r>
        <w:rPr/>
        <w:t>from</w:t>
      </w:r>
      <w:r>
        <w:rPr>
          <w:spacing w:val="-13"/>
        </w:rPr>
        <w:t> </w:t>
      </w:r>
      <w:r>
        <w:rPr/>
        <w:t>it,</w:t>
      </w:r>
      <w:r>
        <w:rPr>
          <w:spacing w:val="-14"/>
        </w:rPr>
        <w:t> </w:t>
      </w:r>
      <w:r>
        <w:rPr/>
        <w:t>what</w:t>
      </w:r>
      <w:r>
        <w:rPr>
          <w:spacing w:val="-11"/>
        </w:rPr>
        <w:t> </w:t>
      </w:r>
      <w:r>
        <w:rPr/>
        <w:t>has</w:t>
      </w:r>
      <w:r>
        <w:rPr>
          <w:spacing w:val="-12"/>
        </w:rPr>
        <w:t> </w:t>
      </w:r>
      <w:r>
        <w:rPr/>
        <w:t>been</w:t>
      </w:r>
      <w:r>
        <w:rPr>
          <w:spacing w:val="-12"/>
        </w:rPr>
        <w:t> </w:t>
      </w:r>
      <w:r>
        <w:rPr/>
        <w:t>proven</w:t>
      </w:r>
      <w:r>
        <w:rPr>
          <w:spacing w:val="-11"/>
        </w:rPr>
        <w:t> </w:t>
      </w:r>
      <w:r>
        <w:rPr/>
        <w:t>and</w:t>
      </w:r>
      <w:r>
        <w:rPr>
          <w:spacing w:val="-10"/>
        </w:rPr>
        <w:t> </w:t>
      </w:r>
      <w:r>
        <w:rPr/>
        <w:t>what has ‘merely’ been passed on in these</w:t>
      </w:r>
      <w:r>
        <w:rPr>
          <w:spacing w:val="3"/>
        </w:rPr>
        <w:t> </w:t>
      </w:r>
      <w:r>
        <w:rPr/>
        <w:t>tales?</w:t>
      </w:r>
    </w:p>
    <w:p>
      <w:pPr>
        <w:pStyle w:val="BodyText"/>
        <w:spacing w:line="276" w:lineRule="auto" w:before="239"/>
        <w:ind w:left="477" w:right="129"/>
        <w:jc w:val="both"/>
      </w:pPr>
      <w:r>
        <w:rPr/>
        <w:t>First of all, it should be made clear that kombucha is not a classic fungus in</w:t>
      </w:r>
      <w:r>
        <w:rPr>
          <w:spacing w:val="-67"/>
        </w:rPr>
        <w:t> </w:t>
      </w:r>
      <w:r>
        <w:rPr/>
        <w:t>the true sense, but rather a gelatinous, elastic mass, formed from a variety of yeast cells and microbes living in a symbiosis, which, apparently, is capable of amaz- ing effects for of our health, ability to function and appearance.</w:t>
      </w:r>
    </w:p>
    <w:p>
      <w:pPr>
        <w:pStyle w:val="BodyText"/>
        <w:spacing w:before="242"/>
        <w:ind w:left="477"/>
        <w:jc w:val="both"/>
      </w:pPr>
      <w:r>
        <w:rPr/>
        <w:t>In terms of appearance, the kombucha tea fungus looks like a pancake. It is a</w:t>
      </w:r>
    </w:p>
    <w:p>
      <w:pPr>
        <w:spacing w:after="0"/>
        <w:jc w:val="both"/>
        <w:sectPr>
          <w:pgSz w:w="14270" w:h="16850"/>
          <w:pgMar w:header="0" w:footer="1891" w:top="1600" w:bottom="2080" w:left="800" w:right="1280"/>
        </w:sectPr>
      </w:pPr>
    </w:p>
    <w:p>
      <w:pPr>
        <w:pStyle w:val="BodyText"/>
        <w:spacing w:line="276" w:lineRule="auto" w:before="181"/>
        <w:ind w:left="477" w:right="131"/>
        <w:jc w:val="both"/>
      </w:pPr>
      <w:r>
        <w:rPr/>
        <w:t>gelatinous disc, which, depending on the type of tea with which one ‘feeds’ the tea fungus, can assume a grey-white, brown or reddish colour.</w:t>
      </w:r>
    </w:p>
    <w:p>
      <w:pPr>
        <w:pStyle w:val="BodyText"/>
        <w:spacing w:line="276" w:lineRule="auto" w:before="241"/>
        <w:ind w:left="477" w:right="132"/>
        <w:jc w:val="both"/>
      </w:pPr>
      <w:r>
        <w:rPr/>
        <w:t>Even the name ‘kombucha’ causes some confusion. According to tradition, kombucha owes its name and discovery to a Korean wandering monk named ‘Kombu’, who, in 414 AD, was summoned to the Japanese Emperor Inkyo, who suffered from severe gastritis and was freed from his suffering by Kombu thanks to a tea drink.</w:t>
      </w:r>
    </w:p>
    <w:p>
      <w:pPr>
        <w:pStyle w:val="BodyText"/>
        <w:spacing w:line="276" w:lineRule="auto" w:before="240"/>
        <w:ind w:left="477" w:right="134"/>
        <w:jc w:val="both"/>
      </w:pPr>
      <w:r>
        <w:rPr/>
        <w:t>In</w:t>
      </w:r>
      <w:r>
        <w:rPr>
          <w:spacing w:val="-8"/>
        </w:rPr>
        <w:t> </w:t>
      </w:r>
      <w:r>
        <w:rPr/>
        <w:t>no</w:t>
      </w:r>
      <w:r>
        <w:rPr>
          <w:spacing w:val="-7"/>
        </w:rPr>
        <w:t> </w:t>
      </w:r>
      <w:r>
        <w:rPr/>
        <w:t>time</w:t>
      </w:r>
      <w:r>
        <w:rPr>
          <w:spacing w:val="-8"/>
        </w:rPr>
        <w:t> </w:t>
      </w:r>
      <w:r>
        <w:rPr/>
        <w:t>at</w:t>
      </w:r>
      <w:r>
        <w:rPr>
          <w:spacing w:val="-10"/>
        </w:rPr>
        <w:t> </w:t>
      </w:r>
      <w:r>
        <w:rPr/>
        <w:t>all,</w:t>
      </w:r>
      <w:r>
        <w:rPr>
          <w:spacing w:val="-6"/>
        </w:rPr>
        <w:t> </w:t>
      </w:r>
      <w:r>
        <w:rPr/>
        <w:t>word</w:t>
      </w:r>
      <w:r>
        <w:rPr>
          <w:spacing w:val="-7"/>
        </w:rPr>
        <w:t> </w:t>
      </w:r>
      <w:r>
        <w:rPr/>
        <w:t>of</w:t>
      </w:r>
      <w:r>
        <w:rPr>
          <w:spacing w:val="-7"/>
        </w:rPr>
        <w:t> </w:t>
      </w:r>
      <w:r>
        <w:rPr/>
        <w:t>this</w:t>
      </w:r>
      <w:r>
        <w:rPr>
          <w:spacing w:val="-7"/>
        </w:rPr>
        <w:t> </w:t>
      </w:r>
      <w:r>
        <w:rPr/>
        <w:t>miraculous</w:t>
      </w:r>
      <w:r>
        <w:rPr>
          <w:spacing w:val="-8"/>
        </w:rPr>
        <w:t> </w:t>
      </w:r>
      <w:r>
        <w:rPr/>
        <w:t>healing</w:t>
      </w:r>
      <w:r>
        <w:rPr>
          <w:spacing w:val="-8"/>
        </w:rPr>
        <w:t> </w:t>
      </w:r>
      <w:r>
        <w:rPr/>
        <w:t>got</w:t>
      </w:r>
      <w:r>
        <w:rPr>
          <w:spacing w:val="-9"/>
        </w:rPr>
        <w:t> </w:t>
      </w:r>
      <w:r>
        <w:rPr/>
        <w:t>around,</w:t>
      </w:r>
      <w:r>
        <w:rPr>
          <w:spacing w:val="-7"/>
        </w:rPr>
        <w:t> </w:t>
      </w:r>
      <w:r>
        <w:rPr/>
        <w:t>and</w:t>
      </w:r>
      <w:r>
        <w:rPr>
          <w:spacing w:val="-8"/>
        </w:rPr>
        <w:t> </w:t>
      </w:r>
      <w:r>
        <w:rPr/>
        <w:t>the</w:t>
      </w:r>
      <w:r>
        <w:rPr>
          <w:spacing w:val="-6"/>
        </w:rPr>
        <w:t> </w:t>
      </w:r>
      <w:r>
        <w:rPr/>
        <w:t>tea</w:t>
      </w:r>
      <w:r>
        <w:rPr>
          <w:spacing w:val="-9"/>
        </w:rPr>
        <w:t> </w:t>
      </w:r>
      <w:r>
        <w:rPr/>
        <w:t>got</w:t>
      </w:r>
      <w:r>
        <w:rPr>
          <w:spacing w:val="-9"/>
        </w:rPr>
        <w:t> </w:t>
      </w:r>
      <w:r>
        <w:rPr/>
        <w:t>its name: ‘Kombu-Cha’ = the tea of</w:t>
      </w:r>
      <w:r>
        <w:rPr>
          <w:spacing w:val="2"/>
        </w:rPr>
        <w:t> </w:t>
      </w:r>
      <w:r>
        <w:rPr/>
        <w:t>Kombu.</w:t>
      </w:r>
    </w:p>
    <w:p>
      <w:pPr>
        <w:pStyle w:val="BodyText"/>
        <w:spacing w:line="276" w:lineRule="auto" w:before="241"/>
        <w:ind w:left="477" w:right="133"/>
        <w:jc w:val="both"/>
      </w:pPr>
      <w:r>
        <w:rPr/>
        <w:t>According</w:t>
      </w:r>
      <w:r>
        <w:rPr>
          <w:spacing w:val="-21"/>
        </w:rPr>
        <w:t> </w:t>
      </w:r>
      <w:r>
        <w:rPr/>
        <w:t>to</w:t>
      </w:r>
      <w:r>
        <w:rPr>
          <w:spacing w:val="-19"/>
        </w:rPr>
        <w:t> </w:t>
      </w:r>
      <w:r>
        <w:rPr/>
        <w:t>another</w:t>
      </w:r>
      <w:r>
        <w:rPr>
          <w:spacing w:val="-19"/>
        </w:rPr>
        <w:t> </w:t>
      </w:r>
      <w:r>
        <w:rPr/>
        <w:t>traditional</w:t>
      </w:r>
      <w:r>
        <w:rPr>
          <w:spacing w:val="-20"/>
        </w:rPr>
        <w:t> </w:t>
      </w:r>
      <w:r>
        <w:rPr/>
        <w:t>story,</w:t>
      </w:r>
      <w:r>
        <w:rPr>
          <w:spacing w:val="-19"/>
        </w:rPr>
        <w:t> </w:t>
      </w:r>
      <w:r>
        <w:rPr/>
        <w:t>the</w:t>
      </w:r>
      <w:r>
        <w:rPr>
          <w:spacing w:val="-22"/>
        </w:rPr>
        <w:t> </w:t>
      </w:r>
      <w:r>
        <w:rPr/>
        <w:t>name</w:t>
      </w:r>
      <w:r>
        <w:rPr>
          <w:spacing w:val="-23"/>
        </w:rPr>
        <w:t> </w:t>
      </w:r>
      <w:r>
        <w:rPr/>
        <w:t>‘kombucha’</w:t>
      </w:r>
      <w:r>
        <w:rPr>
          <w:spacing w:val="-19"/>
        </w:rPr>
        <w:t> </w:t>
      </w:r>
      <w:r>
        <w:rPr/>
        <w:t>or</w:t>
      </w:r>
      <w:r>
        <w:rPr>
          <w:spacing w:val="-19"/>
        </w:rPr>
        <w:t> </w:t>
      </w:r>
      <w:r>
        <w:rPr/>
        <w:t>‘combucha’</w:t>
      </w:r>
      <w:r>
        <w:rPr>
          <w:spacing w:val="-20"/>
        </w:rPr>
        <w:t> </w:t>
      </w:r>
      <w:r>
        <w:rPr/>
        <w:t>can be traced to a low-cost alternative to expensive tea, which the impoverished population in Japan prepared from algae – and still does</w:t>
      </w:r>
      <w:r>
        <w:rPr>
          <w:spacing w:val="1"/>
        </w:rPr>
        <w:t> </w:t>
      </w:r>
      <w:r>
        <w:rPr/>
        <w:t>today.</w:t>
      </w:r>
    </w:p>
    <w:p>
      <w:pPr>
        <w:pStyle w:val="BodyText"/>
        <w:spacing w:line="276" w:lineRule="auto" w:before="239"/>
        <w:ind w:left="477" w:right="138"/>
        <w:jc w:val="both"/>
      </w:pPr>
      <w:r>
        <w:rPr/>
        <w:t>The word ‘combu’ refers to the Japanese brown alga of the same name, the ending ‘cha’ is the Japanese word for tea = algae tea.</w:t>
      </w:r>
    </w:p>
    <w:p>
      <w:pPr>
        <w:pStyle w:val="BodyText"/>
        <w:spacing w:line="276" w:lineRule="auto" w:before="241"/>
        <w:ind w:left="477" w:right="133"/>
        <w:jc w:val="both"/>
      </w:pPr>
      <w:r>
        <w:rPr/>
        <w:t>In China, it was said to have been drunk to gain immortality – or, at least, this is what people believed. Political figures such as Stalin or Ronald Reagan (for his cancer) are said to have consumed the tea regularly.</w:t>
      </w:r>
    </w:p>
    <w:p>
      <w:pPr>
        <w:pStyle w:val="BodyText"/>
        <w:spacing w:line="276" w:lineRule="auto" w:before="241"/>
        <w:ind w:left="477" w:right="139"/>
        <w:jc w:val="both"/>
      </w:pPr>
      <w:r>
        <w:rPr/>
        <w:t>And if you believe the press, stars like Madonna, Barbara Streisand, Naomi Campbell, Claudia Schiffer, Kate Moss and many others rely on this</w:t>
      </w:r>
      <w:r>
        <w:rPr>
          <w:spacing w:val="65"/>
        </w:rPr>
        <w:t> </w:t>
      </w:r>
      <w:r>
        <w:rPr/>
        <w:t>legendary</w:t>
      </w:r>
    </w:p>
    <w:p>
      <w:pPr>
        <w:spacing w:after="0" w:line="276" w:lineRule="auto"/>
        <w:jc w:val="both"/>
        <w:sectPr>
          <w:pgSz w:w="14270" w:h="16850"/>
          <w:pgMar w:header="0" w:footer="1891" w:top="1600" w:bottom="2080" w:left="800" w:right="1280"/>
        </w:sectPr>
      </w:pPr>
    </w:p>
    <w:p>
      <w:pPr>
        <w:pStyle w:val="BodyText"/>
        <w:spacing w:line="276" w:lineRule="auto" w:before="181"/>
        <w:ind w:left="477" w:right="140"/>
        <w:jc w:val="both"/>
        <w:rPr>
          <w:sz w:val="25"/>
        </w:rPr>
      </w:pPr>
      <w:r>
        <w:rPr/>
        <w:t>elixir called ‘kombucha’. All of Hollywood seems to rave about kombucha as a fitness and beauty elixir, including such famous names as director Oliver Stone and actresses Daryl Hannah and Linda Evans.</w:t>
      </w:r>
      <w:r>
        <w:rPr>
          <w:position w:val="9"/>
          <w:sz w:val="25"/>
        </w:rPr>
        <w:t>428</w:t>
      </w:r>
    </w:p>
    <w:p>
      <w:pPr>
        <w:pStyle w:val="BodyText"/>
        <w:spacing w:line="276" w:lineRule="auto" w:before="242"/>
        <w:ind w:left="477" w:right="132"/>
        <w:jc w:val="both"/>
      </w:pPr>
      <w:r>
        <w:rPr/>
        <w:t>But is not it the case that stars like Madonna have high-priced advisers to un- cover the really worthwhile insider tips and gain a head start on the relentless competition in terms of beauty, performance and health? These people also only have a stomach that has a limited intake of food – the fact that they are very picky with food is obvious.</w:t>
      </w:r>
    </w:p>
    <w:p>
      <w:pPr>
        <w:pStyle w:val="BodyText"/>
        <w:spacing w:line="276" w:lineRule="auto" w:before="240"/>
        <w:ind w:left="477" w:right="136"/>
        <w:jc w:val="both"/>
      </w:pPr>
      <w:r>
        <w:rPr/>
        <w:t>Join us on an exciting journey to the heart of this myth-enshrouded magic po- tion and be enraptured with facts and narratives and, where appropriate, bring light into the darkness of a true myth.</w:t>
      </w:r>
    </w:p>
    <w:p>
      <w:pPr>
        <w:pStyle w:val="Heading1"/>
        <w:spacing w:before="221"/>
        <w:jc w:val="both"/>
      </w:pPr>
      <w:r>
        <w:rPr/>
        <w:t>Kombucha tea – appearance, smell, taste</w:t>
      </w:r>
    </w:p>
    <w:p>
      <w:pPr>
        <w:pStyle w:val="BodyText"/>
        <w:spacing w:line="276" w:lineRule="auto" w:before="300"/>
        <w:ind w:left="477" w:right="131"/>
        <w:jc w:val="both"/>
      </w:pPr>
      <w:r>
        <w:rPr/>
        <w:t>Kombucha</w:t>
      </w:r>
      <w:r>
        <w:rPr>
          <w:spacing w:val="-7"/>
        </w:rPr>
        <w:t> </w:t>
      </w:r>
      <w:r>
        <w:rPr/>
        <w:t>tea</w:t>
      </w:r>
      <w:r>
        <w:rPr>
          <w:spacing w:val="-6"/>
        </w:rPr>
        <w:t> </w:t>
      </w:r>
      <w:r>
        <w:rPr/>
        <w:t>adopts</w:t>
      </w:r>
      <w:r>
        <w:rPr>
          <w:spacing w:val="-5"/>
        </w:rPr>
        <w:t> </w:t>
      </w:r>
      <w:r>
        <w:rPr/>
        <w:t>the</w:t>
      </w:r>
      <w:r>
        <w:rPr>
          <w:spacing w:val="-7"/>
        </w:rPr>
        <w:t> </w:t>
      </w:r>
      <w:r>
        <w:rPr/>
        <w:t>colour</w:t>
      </w:r>
      <w:r>
        <w:rPr>
          <w:spacing w:val="-8"/>
        </w:rPr>
        <w:t> </w:t>
      </w:r>
      <w:r>
        <w:rPr/>
        <w:t>of</w:t>
      </w:r>
      <w:r>
        <w:rPr>
          <w:spacing w:val="-6"/>
        </w:rPr>
        <w:t> </w:t>
      </w:r>
      <w:r>
        <w:rPr/>
        <w:t>the</w:t>
      </w:r>
      <w:r>
        <w:rPr>
          <w:spacing w:val="-7"/>
        </w:rPr>
        <w:t> </w:t>
      </w:r>
      <w:r>
        <w:rPr/>
        <w:t>tea</w:t>
      </w:r>
      <w:r>
        <w:rPr>
          <w:spacing w:val="-6"/>
        </w:rPr>
        <w:t> </w:t>
      </w:r>
      <w:r>
        <w:rPr/>
        <w:t>type</w:t>
      </w:r>
      <w:r>
        <w:rPr>
          <w:spacing w:val="-10"/>
        </w:rPr>
        <w:t> </w:t>
      </w:r>
      <w:r>
        <w:rPr/>
        <w:t>used</w:t>
      </w:r>
      <w:r>
        <w:rPr>
          <w:spacing w:val="-6"/>
        </w:rPr>
        <w:t> </w:t>
      </w:r>
      <w:r>
        <w:rPr/>
        <w:t>(even</w:t>
      </w:r>
      <w:r>
        <w:rPr>
          <w:spacing w:val="-5"/>
        </w:rPr>
        <w:t> </w:t>
      </w:r>
      <w:r>
        <w:rPr/>
        <w:t>the</w:t>
      </w:r>
      <w:r>
        <w:rPr>
          <w:spacing w:val="-7"/>
        </w:rPr>
        <w:t> </w:t>
      </w:r>
      <w:r>
        <w:rPr/>
        <w:t>kombucha</w:t>
      </w:r>
      <w:r>
        <w:rPr>
          <w:spacing w:val="-7"/>
        </w:rPr>
        <w:t> </w:t>
      </w:r>
      <w:r>
        <w:rPr/>
        <w:t>fun- gus does this itself in time); meaning it turns green in green tea, dark in black tea and red in herbal tea. The smell can be classified as slightly sweet and</w:t>
      </w:r>
      <w:r>
        <w:rPr>
          <w:spacing w:val="-20"/>
        </w:rPr>
        <w:t> </w:t>
      </w:r>
      <w:r>
        <w:rPr/>
        <w:t>sour.</w:t>
      </w:r>
    </w:p>
    <w:p>
      <w:pPr>
        <w:pStyle w:val="BodyText"/>
        <w:spacing w:before="241"/>
        <w:ind w:left="477"/>
        <w:jc w:val="both"/>
      </w:pPr>
      <w:r>
        <w:rPr/>
        <w:t>There is no question that all lemonade drinks originated from the basic charac-</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7"/>
        </w:rPr>
      </w:pPr>
      <w:r>
        <w:rPr/>
        <w:pict>
          <v:line style="position:absolute;mso-position-horizontal-relative:page;mso-position-vertical-relative:paragraph;z-index:5240;mso-wrap-distance-left:0;mso-wrap-distance-right:0" from="63.863998pt,17.927515pt" to="207.883998pt,17.92751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428 </w:t>
      </w:r>
      <w:r>
        <w:rPr>
          <w:sz w:val="20"/>
        </w:rPr>
        <w:t>FOCUS No. 34 of 21 August 1995, p. 128</w:t>
      </w:r>
    </w:p>
    <w:p>
      <w:pPr>
        <w:spacing w:after="0"/>
        <w:jc w:val="left"/>
        <w:rPr>
          <w:sz w:val="20"/>
        </w:rPr>
        <w:sectPr>
          <w:pgSz w:w="14270" w:h="16850"/>
          <w:pgMar w:header="0" w:footer="1891" w:top="1600" w:bottom="2080" w:left="800" w:right="1280"/>
        </w:sectPr>
      </w:pPr>
    </w:p>
    <w:p>
      <w:pPr>
        <w:pStyle w:val="BodyText"/>
        <w:spacing w:line="276" w:lineRule="auto" w:before="181"/>
        <w:ind w:left="477" w:right="135"/>
        <w:jc w:val="both"/>
      </w:pPr>
      <w:r>
        <w:rPr/>
        <w:t>teristics</w:t>
      </w:r>
      <w:r>
        <w:rPr>
          <w:spacing w:val="-9"/>
        </w:rPr>
        <w:t> </w:t>
      </w:r>
      <w:r>
        <w:rPr/>
        <w:t>of</w:t>
      </w:r>
      <w:r>
        <w:rPr>
          <w:spacing w:val="-8"/>
        </w:rPr>
        <w:t> </w:t>
      </w:r>
      <w:r>
        <w:rPr/>
        <w:t>kombucha</w:t>
      </w:r>
      <w:r>
        <w:rPr>
          <w:spacing w:val="-9"/>
        </w:rPr>
        <w:t> </w:t>
      </w:r>
      <w:r>
        <w:rPr/>
        <w:t>tea.</w:t>
      </w:r>
      <w:r>
        <w:rPr>
          <w:spacing w:val="-9"/>
        </w:rPr>
        <w:t> </w:t>
      </w:r>
      <w:r>
        <w:rPr/>
        <w:t>So,</w:t>
      </w:r>
      <w:r>
        <w:rPr>
          <w:spacing w:val="-7"/>
        </w:rPr>
        <w:t> </w:t>
      </w:r>
      <w:r>
        <w:rPr/>
        <w:t>one</w:t>
      </w:r>
      <w:r>
        <w:rPr>
          <w:spacing w:val="-9"/>
        </w:rPr>
        <w:t> </w:t>
      </w:r>
      <w:r>
        <w:rPr/>
        <w:t>might</w:t>
      </w:r>
      <w:r>
        <w:rPr>
          <w:spacing w:val="-9"/>
        </w:rPr>
        <w:t> </w:t>
      </w:r>
      <w:r>
        <w:rPr/>
        <w:t>assume</w:t>
      </w:r>
      <w:r>
        <w:rPr>
          <w:spacing w:val="-9"/>
        </w:rPr>
        <w:t> </w:t>
      </w:r>
      <w:r>
        <w:rPr/>
        <w:t>that</w:t>
      </w:r>
      <w:r>
        <w:rPr>
          <w:spacing w:val="-9"/>
        </w:rPr>
        <w:t> </w:t>
      </w:r>
      <w:r>
        <w:rPr/>
        <w:t>kombucha</w:t>
      </w:r>
      <w:r>
        <w:rPr>
          <w:spacing w:val="-7"/>
        </w:rPr>
        <w:t> </w:t>
      </w:r>
      <w:r>
        <w:rPr/>
        <w:t>was</w:t>
      </w:r>
      <w:r>
        <w:rPr>
          <w:spacing w:val="-8"/>
        </w:rPr>
        <w:t> </w:t>
      </w:r>
      <w:r>
        <w:rPr/>
        <w:t>the</w:t>
      </w:r>
      <w:r>
        <w:rPr>
          <w:spacing w:val="-8"/>
        </w:rPr>
        <w:t> </w:t>
      </w:r>
      <w:r>
        <w:rPr/>
        <w:t>godfa- ther of their</w:t>
      </w:r>
      <w:r>
        <w:rPr>
          <w:spacing w:val="2"/>
        </w:rPr>
        <w:t> </w:t>
      </w:r>
      <w:r>
        <w:rPr/>
        <w:t>creation.</w:t>
      </w:r>
    </w:p>
    <w:p>
      <w:pPr>
        <w:pStyle w:val="BodyText"/>
        <w:spacing w:line="276" w:lineRule="auto" w:before="241"/>
        <w:ind w:left="477" w:right="142"/>
        <w:jc w:val="both"/>
      </w:pPr>
      <w:r>
        <w:rPr/>
        <w:t>While the sparkling, refreshing gas bubbles in modern lemonade or cola are artificially produced by the addition of carbon dioxide, the same bubbles are naturally produced by kombucha during the fermentation process.</w:t>
      </w:r>
    </w:p>
    <w:p>
      <w:pPr>
        <w:pStyle w:val="BodyText"/>
        <w:spacing w:line="276" w:lineRule="auto" w:before="239"/>
        <w:ind w:left="477" w:right="137"/>
        <w:jc w:val="both"/>
      </w:pPr>
      <w:r>
        <w:rPr/>
        <w:t>The slightly acidic taste in lemonade is created by unhealthy flavours and</w:t>
      </w:r>
      <w:r>
        <w:rPr>
          <w:spacing w:val="-44"/>
        </w:rPr>
        <w:t> </w:t>
      </w:r>
      <w:r>
        <w:rPr/>
        <w:t>acids; kombucha tea acquires this taste naturally due to the formation of very healthy acids, such as glucuronic acid and dextrorotatory lactic</w:t>
      </w:r>
      <w:r>
        <w:rPr>
          <w:spacing w:val="-5"/>
        </w:rPr>
        <w:t> </w:t>
      </w:r>
      <w:r>
        <w:rPr/>
        <w:t>acid.</w:t>
      </w:r>
    </w:p>
    <w:p>
      <w:pPr>
        <w:pStyle w:val="BodyText"/>
        <w:spacing w:line="276" w:lineRule="auto" w:before="242"/>
        <w:ind w:left="477" w:right="133"/>
        <w:jc w:val="both"/>
      </w:pPr>
      <w:r>
        <w:rPr/>
        <w:t>In</w:t>
      </w:r>
      <w:r>
        <w:rPr>
          <w:spacing w:val="-16"/>
        </w:rPr>
        <w:t> </w:t>
      </w:r>
      <w:r>
        <w:rPr/>
        <w:t>his</w:t>
      </w:r>
      <w:r>
        <w:rPr>
          <w:spacing w:val="-16"/>
        </w:rPr>
        <w:t> </w:t>
      </w:r>
      <w:r>
        <w:rPr/>
        <w:t>book</w:t>
      </w:r>
      <w:r>
        <w:rPr>
          <w:spacing w:val="-15"/>
        </w:rPr>
        <w:t> </w:t>
      </w:r>
      <w:r>
        <w:rPr/>
        <w:t>‘Kombucha</w:t>
      </w:r>
      <w:r>
        <w:rPr>
          <w:spacing w:val="-16"/>
        </w:rPr>
        <w:t> </w:t>
      </w:r>
      <w:r>
        <w:rPr/>
        <w:t>–</w:t>
      </w:r>
      <w:r>
        <w:rPr>
          <w:spacing w:val="-17"/>
        </w:rPr>
        <w:t> </w:t>
      </w:r>
      <w:r>
        <w:rPr/>
        <w:t>Mythos,</w:t>
      </w:r>
      <w:r>
        <w:rPr>
          <w:spacing w:val="-16"/>
        </w:rPr>
        <w:t> </w:t>
      </w:r>
      <w:r>
        <w:rPr/>
        <w:t>Wahrheit,</w:t>
      </w:r>
      <w:r>
        <w:rPr>
          <w:spacing w:val="-17"/>
        </w:rPr>
        <w:t> </w:t>
      </w:r>
      <w:r>
        <w:rPr/>
        <w:t>Faszination’</w:t>
      </w:r>
      <w:r>
        <w:rPr>
          <w:spacing w:val="-15"/>
        </w:rPr>
        <w:t> </w:t>
      </w:r>
      <w:r>
        <w:rPr/>
        <w:t>(‘Kombucha</w:t>
      </w:r>
      <w:r>
        <w:rPr>
          <w:spacing w:val="-16"/>
        </w:rPr>
        <w:t> </w:t>
      </w:r>
      <w:r>
        <w:rPr/>
        <w:t>–</w:t>
      </w:r>
      <w:r>
        <w:rPr>
          <w:spacing w:val="-16"/>
        </w:rPr>
        <w:t> </w:t>
      </w:r>
      <w:r>
        <w:rPr/>
        <w:t>Myth, Truth, Fascination’), Günther W. Frank aptly describes the taste of kombucha drink as ‘</w:t>
      </w:r>
      <w:r>
        <w:rPr>
          <w:i/>
        </w:rPr>
        <w:t>delicious, sparkling and</w:t>
      </w:r>
      <w:r>
        <w:rPr>
          <w:i/>
          <w:spacing w:val="2"/>
        </w:rPr>
        <w:t> </w:t>
      </w:r>
      <w:r>
        <w:rPr>
          <w:i/>
        </w:rPr>
        <w:t>fruity’</w:t>
      </w:r>
      <w:r>
        <w:rPr/>
        <w:t>.</w:t>
      </w:r>
    </w:p>
    <w:p>
      <w:pPr>
        <w:pStyle w:val="BodyText"/>
        <w:spacing w:line="276" w:lineRule="auto" w:before="238"/>
        <w:ind w:left="477" w:right="139"/>
        <w:jc w:val="both"/>
      </w:pPr>
      <w:r>
        <w:rPr/>
        <w:t>In fact, kombucha tea simply serves as a refreshing, delicious drink for many people – an alternative to lemonade, if you prefer. However, the vast majority of kombucha consumers are interested in its legendary, mysterious health ef- fects. We want to get to the bottom of this in the following chapters.</w:t>
      </w:r>
    </w:p>
    <w:p>
      <w:pPr>
        <w:pStyle w:val="Heading2"/>
        <w:spacing w:before="242"/>
        <w:jc w:val="both"/>
      </w:pPr>
      <w:r>
        <w:rPr/>
        <w:t>Mode of action and active ingredients of kombucha tea fungus</w:t>
      </w:r>
    </w:p>
    <w:p>
      <w:pPr>
        <w:pStyle w:val="BodyText"/>
        <w:spacing w:line="276" w:lineRule="auto" w:before="305"/>
        <w:ind w:left="477" w:right="133"/>
        <w:jc w:val="both"/>
      </w:pPr>
      <w:r>
        <w:rPr/>
        <w:t>Despite numerous investigations and analyses by scientists all over the world, to this day neither the exact composition nor the exact mode of action of kombucha has been completely clarified.</w:t>
      </w:r>
    </w:p>
    <w:p>
      <w:pPr>
        <w:pStyle w:val="BodyText"/>
        <w:spacing w:before="239"/>
        <w:ind w:left="477"/>
        <w:jc w:val="both"/>
      </w:pPr>
      <w:r>
        <w:rPr/>
        <w:t>Given the healing stories passed on and written through the centuries by users</w:t>
      </w:r>
    </w:p>
    <w:p>
      <w:pPr>
        <w:spacing w:after="0"/>
        <w:jc w:val="both"/>
        <w:sectPr>
          <w:pgSz w:w="14270" w:h="16850"/>
          <w:pgMar w:header="0" w:footer="1891" w:top="1600" w:bottom="2080" w:left="800" w:right="1280"/>
        </w:sectPr>
      </w:pPr>
    </w:p>
    <w:p>
      <w:pPr>
        <w:pStyle w:val="BodyText"/>
        <w:spacing w:line="276" w:lineRule="auto" w:before="181"/>
        <w:ind w:left="477" w:right="130"/>
        <w:jc w:val="both"/>
      </w:pPr>
      <w:r>
        <w:rPr/>
        <w:t>and</w:t>
      </w:r>
      <w:r>
        <w:rPr>
          <w:spacing w:val="-12"/>
        </w:rPr>
        <w:t> </w:t>
      </w:r>
      <w:r>
        <w:rPr/>
        <w:t>therapists</w:t>
      </w:r>
      <w:r>
        <w:rPr>
          <w:spacing w:val="-11"/>
        </w:rPr>
        <w:t> </w:t>
      </w:r>
      <w:r>
        <w:rPr/>
        <w:t>of</w:t>
      </w:r>
      <w:r>
        <w:rPr>
          <w:spacing w:val="-14"/>
        </w:rPr>
        <w:t> </w:t>
      </w:r>
      <w:r>
        <w:rPr/>
        <w:t>the</w:t>
      </w:r>
      <w:r>
        <w:rPr>
          <w:spacing w:val="-11"/>
        </w:rPr>
        <w:t> </w:t>
      </w:r>
      <w:r>
        <w:rPr/>
        <w:t>kombucha</w:t>
      </w:r>
      <w:r>
        <w:rPr>
          <w:spacing w:val="-13"/>
        </w:rPr>
        <w:t> </w:t>
      </w:r>
      <w:r>
        <w:rPr/>
        <w:t>tea</w:t>
      </w:r>
      <w:r>
        <w:rPr>
          <w:spacing w:val="-12"/>
        </w:rPr>
        <w:t> </w:t>
      </w:r>
      <w:r>
        <w:rPr/>
        <w:t>fungus</w:t>
      </w:r>
      <w:r>
        <w:rPr>
          <w:spacing w:val="-12"/>
        </w:rPr>
        <w:t> </w:t>
      </w:r>
      <w:r>
        <w:rPr/>
        <w:t>drink,</w:t>
      </w:r>
      <w:r>
        <w:rPr>
          <w:spacing w:val="-14"/>
        </w:rPr>
        <w:t> </w:t>
      </w:r>
      <w:r>
        <w:rPr/>
        <w:t>traditionally</w:t>
      </w:r>
      <w:r>
        <w:rPr>
          <w:spacing w:val="-12"/>
        </w:rPr>
        <w:t> </w:t>
      </w:r>
      <w:r>
        <w:rPr/>
        <w:t>used</w:t>
      </w:r>
      <w:r>
        <w:rPr>
          <w:spacing w:val="-12"/>
        </w:rPr>
        <w:t> </w:t>
      </w:r>
      <w:r>
        <w:rPr/>
        <w:t>in</w:t>
      </w:r>
      <w:r>
        <w:rPr>
          <w:spacing w:val="-12"/>
        </w:rPr>
        <w:t> </w:t>
      </w:r>
      <w:r>
        <w:rPr/>
        <w:t>East</w:t>
      </w:r>
      <w:r>
        <w:rPr>
          <w:spacing w:val="-14"/>
        </w:rPr>
        <w:t> </w:t>
      </w:r>
      <w:r>
        <w:rPr/>
        <w:t>Asia and Eastern Europe as a folk and home remedy, it is not a question of </w:t>
      </w:r>
      <w:r>
        <w:rPr>
          <w:i/>
        </w:rPr>
        <w:t>WHETHER </w:t>
      </w:r>
      <w:r>
        <w:rPr/>
        <w:t>kombucha has an effect or not, but rather </w:t>
      </w:r>
      <w:r>
        <w:rPr>
          <w:i/>
        </w:rPr>
        <w:t>HOW </w:t>
      </w:r>
      <w:r>
        <w:rPr/>
        <w:t>the tea works and </w:t>
      </w:r>
      <w:r>
        <w:rPr>
          <w:i/>
        </w:rPr>
        <w:t>WHAT </w:t>
      </w:r>
      <w:r>
        <w:rPr/>
        <w:t>it has an effect</w:t>
      </w:r>
      <w:r>
        <w:rPr>
          <w:spacing w:val="1"/>
        </w:rPr>
        <w:t> </w:t>
      </w:r>
      <w:r>
        <w:rPr/>
        <w:t>on...</w:t>
      </w:r>
    </w:p>
    <w:p>
      <w:pPr>
        <w:pStyle w:val="BodyText"/>
        <w:spacing w:line="276" w:lineRule="auto" w:before="242"/>
        <w:ind w:left="477" w:right="135"/>
        <w:jc w:val="both"/>
      </w:pPr>
      <w:r>
        <w:rPr/>
        <w:t>The actual origins are believed to have been in China 2200 years ago; the fact that stories of the positive effects of kombucha on body and soul have been passed down to this day should make every sceptic take notice!</w:t>
      </w:r>
    </w:p>
    <w:p>
      <w:pPr>
        <w:pStyle w:val="BodyText"/>
        <w:spacing w:line="276" w:lineRule="auto" w:before="239"/>
        <w:ind w:left="477" w:right="137"/>
        <w:jc w:val="both"/>
      </w:pPr>
      <w:r>
        <w:rPr/>
        <w:t>The preference amongst Russians for fermented drinks is probably due to the fact that kombucha quickly spread throughout Russia and the Baltic countries and,</w:t>
      </w:r>
      <w:r>
        <w:rPr>
          <w:spacing w:val="-13"/>
        </w:rPr>
        <w:t> </w:t>
      </w:r>
      <w:r>
        <w:rPr/>
        <w:t>around</w:t>
      </w:r>
      <w:r>
        <w:rPr>
          <w:spacing w:val="-14"/>
        </w:rPr>
        <w:t> </w:t>
      </w:r>
      <w:r>
        <w:rPr/>
        <w:t>the</w:t>
      </w:r>
      <w:r>
        <w:rPr>
          <w:spacing w:val="-12"/>
        </w:rPr>
        <w:t> </w:t>
      </w:r>
      <w:r>
        <w:rPr/>
        <w:t>time</w:t>
      </w:r>
      <w:r>
        <w:rPr>
          <w:spacing w:val="-14"/>
        </w:rPr>
        <w:t> </w:t>
      </w:r>
      <w:r>
        <w:rPr/>
        <w:t>of</w:t>
      </w:r>
      <w:r>
        <w:rPr>
          <w:spacing w:val="-14"/>
        </w:rPr>
        <w:t> </w:t>
      </w:r>
      <w:r>
        <w:rPr/>
        <w:t>the</w:t>
      </w:r>
      <w:r>
        <w:rPr>
          <w:spacing w:val="-12"/>
        </w:rPr>
        <w:t> </w:t>
      </w:r>
      <w:r>
        <w:rPr/>
        <w:t>First</w:t>
      </w:r>
      <w:r>
        <w:rPr>
          <w:spacing w:val="-17"/>
        </w:rPr>
        <w:t> </w:t>
      </w:r>
      <w:r>
        <w:rPr/>
        <w:t>World</w:t>
      </w:r>
      <w:r>
        <w:rPr>
          <w:spacing w:val="-13"/>
        </w:rPr>
        <w:t> </w:t>
      </w:r>
      <w:r>
        <w:rPr/>
        <w:t>War,</w:t>
      </w:r>
      <w:r>
        <w:rPr>
          <w:spacing w:val="-13"/>
        </w:rPr>
        <w:t> </w:t>
      </w:r>
      <w:r>
        <w:rPr/>
        <w:t>its</w:t>
      </w:r>
      <w:r>
        <w:rPr>
          <w:spacing w:val="-14"/>
        </w:rPr>
        <w:t> </w:t>
      </w:r>
      <w:r>
        <w:rPr/>
        <w:t>use</w:t>
      </w:r>
      <w:r>
        <w:rPr>
          <w:spacing w:val="-13"/>
        </w:rPr>
        <w:t> </w:t>
      </w:r>
      <w:r>
        <w:rPr/>
        <w:t>spread</w:t>
      </w:r>
      <w:r>
        <w:rPr>
          <w:spacing w:val="-15"/>
        </w:rPr>
        <w:t> </w:t>
      </w:r>
      <w:r>
        <w:rPr/>
        <w:t>through</w:t>
      </w:r>
      <w:r>
        <w:rPr>
          <w:spacing w:val="-14"/>
        </w:rPr>
        <w:t> </w:t>
      </w:r>
      <w:r>
        <w:rPr/>
        <w:t>Poland</w:t>
      </w:r>
      <w:r>
        <w:rPr>
          <w:spacing w:val="-13"/>
        </w:rPr>
        <w:t> </w:t>
      </w:r>
      <w:r>
        <w:rPr/>
        <w:t>and the</w:t>
      </w:r>
      <w:r>
        <w:rPr>
          <w:spacing w:val="-18"/>
        </w:rPr>
        <w:t> </w:t>
      </w:r>
      <w:r>
        <w:rPr/>
        <w:t>former</w:t>
      </w:r>
      <w:r>
        <w:rPr>
          <w:spacing w:val="-17"/>
        </w:rPr>
        <w:t> </w:t>
      </w:r>
      <w:r>
        <w:rPr/>
        <w:t>German</w:t>
      </w:r>
      <w:r>
        <w:rPr>
          <w:spacing w:val="-19"/>
        </w:rPr>
        <w:t> </w:t>
      </w:r>
      <w:r>
        <w:rPr/>
        <w:t>territories</w:t>
      </w:r>
      <w:r>
        <w:rPr>
          <w:spacing w:val="-17"/>
        </w:rPr>
        <w:t> </w:t>
      </w:r>
      <w:r>
        <w:rPr/>
        <w:t>and</w:t>
      </w:r>
      <w:r>
        <w:rPr>
          <w:spacing w:val="-19"/>
        </w:rPr>
        <w:t> </w:t>
      </w:r>
      <w:r>
        <w:rPr/>
        <w:t>eventually</w:t>
      </w:r>
      <w:r>
        <w:rPr>
          <w:spacing w:val="-15"/>
        </w:rPr>
        <w:t> </w:t>
      </w:r>
      <w:r>
        <w:rPr/>
        <w:t>found</w:t>
      </w:r>
      <w:r>
        <w:rPr>
          <w:spacing w:val="-18"/>
        </w:rPr>
        <w:t> </w:t>
      </w:r>
      <w:r>
        <w:rPr/>
        <w:t>its</w:t>
      </w:r>
      <w:r>
        <w:rPr>
          <w:spacing w:val="-18"/>
        </w:rPr>
        <w:t> </w:t>
      </w:r>
      <w:r>
        <w:rPr/>
        <w:t>way</w:t>
      </w:r>
      <w:r>
        <w:rPr>
          <w:spacing w:val="-18"/>
        </w:rPr>
        <w:t> </w:t>
      </w:r>
      <w:r>
        <w:rPr/>
        <w:t>to</w:t>
      </w:r>
      <w:r>
        <w:rPr>
          <w:spacing w:val="-18"/>
        </w:rPr>
        <w:t> </w:t>
      </w:r>
      <w:r>
        <w:rPr/>
        <w:t>the</w:t>
      </w:r>
      <w:r>
        <w:rPr>
          <w:spacing w:val="-17"/>
        </w:rPr>
        <w:t> </w:t>
      </w:r>
      <w:r>
        <w:rPr/>
        <w:t>West</w:t>
      </w:r>
      <w:r>
        <w:rPr>
          <w:spacing w:val="-19"/>
        </w:rPr>
        <w:t> </w:t>
      </w:r>
      <w:r>
        <w:rPr/>
        <w:t>through the exchange of German and Russian prisoners of war.</w:t>
      </w:r>
    </w:p>
    <w:p>
      <w:pPr>
        <w:pStyle w:val="Heading1"/>
        <w:spacing w:before="223"/>
        <w:jc w:val="both"/>
      </w:pPr>
      <w:r>
        <w:rPr/>
        <w:t>How kombucha works</w:t>
      </w:r>
    </w:p>
    <w:p>
      <w:pPr>
        <w:pStyle w:val="BodyText"/>
        <w:spacing w:line="276" w:lineRule="auto" w:before="299"/>
        <w:ind w:left="477" w:right="132"/>
        <w:jc w:val="both"/>
      </w:pPr>
      <w:r>
        <w:rPr/>
        <w:t>From a biochemical point of view, kombucha tea fungus is a marvel of nature. Supplied with sugar and green, black or herbal tea, at a temperature of 23 °C (+/- 5), a true machinery of complex, biochemical reactions (assimilation and dissimilation processes) is triggered in the kombucha fungus which gradually releases a flood of numerous valuable substances into the tea that were not in it</w:t>
      </w:r>
      <w:r>
        <w:rPr>
          <w:spacing w:val="-2"/>
        </w:rPr>
        <w:t> </w:t>
      </w:r>
      <w:r>
        <w:rPr/>
        <w:t>before!</w:t>
      </w:r>
    </w:p>
    <w:p>
      <w:pPr>
        <w:pStyle w:val="BodyText"/>
        <w:spacing w:line="276" w:lineRule="auto" w:before="241"/>
        <w:ind w:left="477" w:right="131"/>
        <w:jc w:val="both"/>
      </w:pPr>
      <w:r>
        <w:rPr/>
        <w:t>These processes are by no means unorganised. On the contrary – every ingre- dient fulfils a role: The yeasts present in the fungus ferment the added sugar to</w:t>
      </w:r>
    </w:p>
    <w:p>
      <w:pPr>
        <w:spacing w:after="0" w:line="276" w:lineRule="auto"/>
        <w:jc w:val="both"/>
        <w:sectPr>
          <w:pgSz w:w="14270" w:h="16850"/>
          <w:pgMar w:header="0" w:footer="1891" w:top="1600" w:bottom="2080" w:left="800" w:right="1280"/>
        </w:sectPr>
      </w:pPr>
    </w:p>
    <w:p>
      <w:pPr>
        <w:pStyle w:val="BodyText"/>
        <w:spacing w:line="276" w:lineRule="auto" w:before="181"/>
        <w:ind w:left="477" w:right="139"/>
        <w:jc w:val="both"/>
      </w:pPr>
      <w:r>
        <w:rPr/>
        <w:t>make carbon dioxide (the cause of the tingling taste) and small amounts of al- cohol, which in turn serves as a food source for the positive microorganisms present in the fungus.</w:t>
      </w:r>
    </w:p>
    <w:p>
      <w:pPr>
        <w:pStyle w:val="BodyText"/>
        <w:spacing w:line="276" w:lineRule="auto" w:before="242"/>
        <w:ind w:left="477" w:right="136"/>
        <w:jc w:val="both"/>
      </w:pPr>
      <w:r>
        <w:rPr/>
        <w:t>These convert the sugar into cellulose, which makes the fungus grow. While this</w:t>
      </w:r>
      <w:r>
        <w:rPr>
          <w:spacing w:val="-21"/>
        </w:rPr>
        <w:t> </w:t>
      </w:r>
      <w:r>
        <w:rPr/>
        <w:t>digests</w:t>
      </w:r>
      <w:r>
        <w:rPr>
          <w:spacing w:val="-24"/>
        </w:rPr>
        <w:t> </w:t>
      </w:r>
      <w:r>
        <w:rPr/>
        <w:t>the</w:t>
      </w:r>
      <w:r>
        <w:rPr>
          <w:spacing w:val="-23"/>
        </w:rPr>
        <w:t> </w:t>
      </w:r>
      <w:r>
        <w:rPr/>
        <w:t>alcohol,</w:t>
      </w:r>
      <w:r>
        <w:rPr>
          <w:spacing w:val="-24"/>
        </w:rPr>
        <w:t> </w:t>
      </w:r>
      <w:r>
        <w:rPr/>
        <w:t>the</w:t>
      </w:r>
      <w:r>
        <w:rPr>
          <w:spacing w:val="-24"/>
        </w:rPr>
        <w:t> </w:t>
      </w:r>
      <w:r>
        <w:rPr/>
        <w:t>positive</w:t>
      </w:r>
      <w:r>
        <w:rPr>
          <w:spacing w:val="-21"/>
        </w:rPr>
        <w:t> </w:t>
      </w:r>
      <w:r>
        <w:rPr/>
        <w:t>bacteria</w:t>
      </w:r>
      <w:r>
        <w:rPr>
          <w:spacing w:val="-24"/>
        </w:rPr>
        <w:t> </w:t>
      </w:r>
      <w:r>
        <w:rPr/>
        <w:t>convert</w:t>
      </w:r>
      <w:r>
        <w:rPr>
          <w:spacing w:val="-22"/>
        </w:rPr>
        <w:t> </w:t>
      </w:r>
      <w:r>
        <w:rPr/>
        <w:t>it</w:t>
      </w:r>
      <w:r>
        <w:rPr>
          <w:spacing w:val="-23"/>
        </w:rPr>
        <w:t> </w:t>
      </w:r>
      <w:r>
        <w:rPr/>
        <w:t>into</w:t>
      </w:r>
      <w:r>
        <w:rPr>
          <w:spacing w:val="-24"/>
        </w:rPr>
        <w:t> </w:t>
      </w:r>
      <w:r>
        <w:rPr/>
        <w:t>glucuronic,</w:t>
      </w:r>
      <w:r>
        <w:rPr>
          <w:spacing w:val="-23"/>
        </w:rPr>
        <w:t> </w:t>
      </w:r>
      <w:r>
        <w:rPr/>
        <w:t>gluconic, acetic, and lactic acids (the reason for its refreshing, sour taste), producing nu- merous vitamins along the</w:t>
      </w:r>
      <w:r>
        <w:rPr>
          <w:spacing w:val="5"/>
        </w:rPr>
        <w:t> </w:t>
      </w:r>
      <w:r>
        <w:rPr/>
        <w:t>way.</w:t>
      </w:r>
    </w:p>
    <w:p>
      <w:pPr>
        <w:pStyle w:val="BodyText"/>
        <w:spacing w:line="276" w:lineRule="auto" w:before="239"/>
        <w:ind w:left="477" w:right="140"/>
        <w:jc w:val="both"/>
      </w:pPr>
      <w:r>
        <w:rPr/>
        <w:t>It</w:t>
      </w:r>
      <w:r>
        <w:rPr>
          <w:spacing w:val="-5"/>
        </w:rPr>
        <w:t> </w:t>
      </w:r>
      <w:r>
        <w:rPr/>
        <w:t>is</w:t>
      </w:r>
      <w:r>
        <w:rPr>
          <w:spacing w:val="-4"/>
        </w:rPr>
        <w:t> </w:t>
      </w:r>
      <w:r>
        <w:rPr/>
        <w:t>the</w:t>
      </w:r>
      <w:r>
        <w:rPr>
          <w:spacing w:val="-6"/>
        </w:rPr>
        <w:t> </w:t>
      </w:r>
      <w:r>
        <w:rPr/>
        <w:t>resulting</w:t>
      </w:r>
      <w:r>
        <w:rPr>
          <w:spacing w:val="-4"/>
        </w:rPr>
        <w:t> </w:t>
      </w:r>
      <w:r>
        <w:rPr/>
        <w:t>drink</w:t>
      </w:r>
      <w:r>
        <w:rPr>
          <w:spacing w:val="-5"/>
        </w:rPr>
        <w:t> </w:t>
      </w:r>
      <w:r>
        <w:rPr/>
        <w:t>that</w:t>
      </w:r>
      <w:r>
        <w:rPr>
          <w:spacing w:val="-4"/>
        </w:rPr>
        <w:t> </w:t>
      </w:r>
      <w:r>
        <w:rPr/>
        <w:t>is</w:t>
      </w:r>
      <w:r>
        <w:rPr>
          <w:spacing w:val="-4"/>
        </w:rPr>
        <w:t> </w:t>
      </w:r>
      <w:r>
        <w:rPr/>
        <w:t>available</w:t>
      </w:r>
      <w:r>
        <w:rPr>
          <w:spacing w:val="-4"/>
        </w:rPr>
        <w:t> </w:t>
      </w:r>
      <w:r>
        <w:rPr/>
        <w:t>to</w:t>
      </w:r>
      <w:r>
        <w:rPr>
          <w:spacing w:val="-4"/>
        </w:rPr>
        <w:t> </w:t>
      </w:r>
      <w:r>
        <w:rPr/>
        <w:t>us</w:t>
      </w:r>
      <w:r>
        <w:rPr>
          <w:spacing w:val="-5"/>
        </w:rPr>
        <w:t> </w:t>
      </w:r>
      <w:r>
        <w:rPr/>
        <w:t>after</w:t>
      </w:r>
      <w:r>
        <w:rPr>
          <w:spacing w:val="-4"/>
        </w:rPr>
        <w:t> </w:t>
      </w:r>
      <w:r>
        <w:rPr/>
        <w:t>about</w:t>
      </w:r>
      <w:r>
        <w:rPr>
          <w:spacing w:val="-5"/>
        </w:rPr>
        <w:t> </w:t>
      </w:r>
      <w:r>
        <w:rPr/>
        <w:t>eight</w:t>
      </w:r>
      <w:r>
        <w:rPr>
          <w:spacing w:val="-5"/>
        </w:rPr>
        <w:t> </w:t>
      </w:r>
      <w:r>
        <w:rPr/>
        <w:t>to</w:t>
      </w:r>
      <w:r>
        <w:rPr>
          <w:spacing w:val="-9"/>
        </w:rPr>
        <w:t> </w:t>
      </w:r>
      <w:r>
        <w:rPr/>
        <w:t>twelve</w:t>
      </w:r>
      <w:r>
        <w:rPr>
          <w:spacing w:val="-4"/>
        </w:rPr>
        <w:t> </w:t>
      </w:r>
      <w:r>
        <w:rPr/>
        <w:t>days</w:t>
      </w:r>
      <w:r>
        <w:rPr>
          <w:spacing w:val="-4"/>
        </w:rPr>
        <w:t> </w:t>
      </w:r>
      <w:r>
        <w:rPr/>
        <w:t>of cultivation which has numerous positive effects on the human (and animal) body. But what makes kombucha so</w:t>
      </w:r>
      <w:r>
        <w:rPr>
          <w:spacing w:val="1"/>
        </w:rPr>
        <w:t> </w:t>
      </w:r>
      <w:r>
        <w:rPr/>
        <w:t>effective?</w:t>
      </w:r>
    </w:p>
    <w:p>
      <w:pPr>
        <w:pStyle w:val="BodyText"/>
        <w:rPr>
          <w:sz w:val="42"/>
        </w:rPr>
      </w:pPr>
    </w:p>
    <w:p>
      <w:pPr>
        <w:pStyle w:val="BodyText"/>
        <w:rPr>
          <w:sz w:val="42"/>
        </w:rPr>
      </w:pPr>
    </w:p>
    <w:p>
      <w:pPr>
        <w:pStyle w:val="BodyText"/>
        <w:rPr>
          <w:sz w:val="42"/>
        </w:rPr>
      </w:pPr>
    </w:p>
    <w:p>
      <w:pPr>
        <w:pStyle w:val="Heading1"/>
        <w:spacing w:before="269"/>
        <w:jc w:val="both"/>
      </w:pPr>
      <w:r>
        <w:rPr/>
        <w:t>Active ingredients of kombucha</w:t>
      </w:r>
    </w:p>
    <w:p>
      <w:pPr>
        <w:pStyle w:val="BodyText"/>
        <w:spacing w:line="276" w:lineRule="auto" w:before="299"/>
        <w:ind w:left="477" w:right="134"/>
        <w:jc w:val="both"/>
      </w:pPr>
      <w:r>
        <w:rPr/>
        <w:t>It</w:t>
      </w:r>
      <w:r>
        <w:rPr>
          <w:spacing w:val="-6"/>
        </w:rPr>
        <w:t> </w:t>
      </w:r>
      <w:r>
        <w:rPr/>
        <w:t>is</w:t>
      </w:r>
      <w:r>
        <w:rPr>
          <w:spacing w:val="-7"/>
        </w:rPr>
        <w:t> </w:t>
      </w:r>
      <w:r>
        <w:rPr/>
        <w:t>the</w:t>
      </w:r>
      <w:r>
        <w:rPr>
          <w:spacing w:val="-6"/>
        </w:rPr>
        <w:t> </w:t>
      </w:r>
      <w:r>
        <w:rPr/>
        <w:t>interaction</w:t>
      </w:r>
      <w:r>
        <w:rPr>
          <w:spacing w:val="-4"/>
        </w:rPr>
        <w:t> </w:t>
      </w:r>
      <w:r>
        <w:rPr/>
        <w:t>of</w:t>
      </w:r>
      <w:r>
        <w:rPr>
          <w:spacing w:val="-6"/>
        </w:rPr>
        <w:t> </w:t>
      </w:r>
      <w:r>
        <w:rPr/>
        <w:t>all</w:t>
      </w:r>
      <w:r>
        <w:rPr>
          <w:spacing w:val="-6"/>
        </w:rPr>
        <w:t> </w:t>
      </w:r>
      <w:r>
        <w:rPr/>
        <w:t>the</w:t>
      </w:r>
      <w:r>
        <w:rPr>
          <w:spacing w:val="-6"/>
        </w:rPr>
        <w:t> </w:t>
      </w:r>
      <w:r>
        <w:rPr/>
        <w:t>vital</w:t>
      </w:r>
      <w:r>
        <w:rPr>
          <w:spacing w:val="-5"/>
        </w:rPr>
        <w:t> </w:t>
      </w:r>
      <w:r>
        <w:rPr/>
        <w:t>substances</w:t>
      </w:r>
      <w:r>
        <w:rPr>
          <w:spacing w:val="-5"/>
        </w:rPr>
        <w:t> </w:t>
      </w:r>
      <w:r>
        <w:rPr/>
        <w:t>in</w:t>
      </w:r>
      <w:r>
        <w:rPr>
          <w:spacing w:val="-7"/>
        </w:rPr>
        <w:t> </w:t>
      </w:r>
      <w:r>
        <w:rPr/>
        <w:t>kombucha</w:t>
      </w:r>
      <w:r>
        <w:rPr>
          <w:spacing w:val="-5"/>
        </w:rPr>
        <w:t> </w:t>
      </w:r>
      <w:r>
        <w:rPr/>
        <w:t>tea,</w:t>
      </w:r>
      <w:r>
        <w:rPr>
          <w:spacing w:val="-6"/>
        </w:rPr>
        <w:t> </w:t>
      </w:r>
      <w:r>
        <w:rPr/>
        <w:t>produced</w:t>
      </w:r>
      <w:r>
        <w:rPr>
          <w:spacing w:val="-4"/>
        </w:rPr>
        <w:t> </w:t>
      </w:r>
      <w:r>
        <w:rPr/>
        <w:t>in</w:t>
      </w:r>
      <w:r>
        <w:rPr>
          <w:spacing w:val="-4"/>
        </w:rPr>
        <w:t> </w:t>
      </w:r>
      <w:r>
        <w:rPr/>
        <w:t>the right</w:t>
      </w:r>
      <w:r>
        <w:rPr>
          <w:spacing w:val="-20"/>
        </w:rPr>
        <w:t> </w:t>
      </w:r>
      <w:r>
        <w:rPr/>
        <w:t>proportion</w:t>
      </w:r>
      <w:r>
        <w:rPr>
          <w:spacing w:val="-22"/>
        </w:rPr>
        <w:t> </w:t>
      </w:r>
      <w:r>
        <w:rPr/>
        <w:t>to</w:t>
      </w:r>
      <w:r>
        <w:rPr>
          <w:spacing w:val="-19"/>
        </w:rPr>
        <w:t> </w:t>
      </w:r>
      <w:r>
        <w:rPr/>
        <w:t>each</w:t>
      </w:r>
      <w:r>
        <w:rPr>
          <w:spacing w:val="-19"/>
        </w:rPr>
        <w:t> </w:t>
      </w:r>
      <w:r>
        <w:rPr/>
        <w:t>other,</w:t>
      </w:r>
      <w:r>
        <w:rPr>
          <w:spacing w:val="-19"/>
        </w:rPr>
        <w:t> </w:t>
      </w:r>
      <w:r>
        <w:rPr/>
        <w:t>which</w:t>
      </w:r>
      <w:r>
        <w:rPr>
          <w:spacing w:val="-19"/>
        </w:rPr>
        <w:t> </w:t>
      </w:r>
      <w:r>
        <w:rPr/>
        <w:t>explains</w:t>
      </w:r>
      <w:r>
        <w:rPr>
          <w:spacing w:val="-19"/>
        </w:rPr>
        <w:t> </w:t>
      </w:r>
      <w:r>
        <w:rPr/>
        <w:t>its</w:t>
      </w:r>
      <w:r>
        <w:rPr>
          <w:spacing w:val="-20"/>
        </w:rPr>
        <w:t> </w:t>
      </w:r>
      <w:r>
        <w:rPr/>
        <w:t>phenomenal</w:t>
      </w:r>
      <w:r>
        <w:rPr>
          <w:spacing w:val="-21"/>
        </w:rPr>
        <w:t> </w:t>
      </w:r>
      <w:r>
        <w:rPr/>
        <w:t>effect</w:t>
      </w:r>
      <w:r>
        <w:rPr>
          <w:spacing w:val="-20"/>
        </w:rPr>
        <w:t> </w:t>
      </w:r>
      <w:r>
        <w:rPr/>
        <w:t>on</w:t>
      </w:r>
      <w:r>
        <w:rPr>
          <w:spacing w:val="-19"/>
        </w:rPr>
        <w:t> </w:t>
      </w:r>
      <w:r>
        <w:rPr/>
        <w:t>all</w:t>
      </w:r>
      <w:r>
        <w:rPr>
          <w:spacing w:val="-21"/>
        </w:rPr>
        <w:t> </w:t>
      </w:r>
      <w:r>
        <w:rPr/>
        <w:t>sorts of diseases and</w:t>
      </w:r>
      <w:r>
        <w:rPr>
          <w:spacing w:val="2"/>
        </w:rPr>
        <w:t> </w:t>
      </w:r>
      <w:r>
        <w:rPr/>
        <w:t>complaints.</w:t>
      </w:r>
    </w:p>
    <w:p>
      <w:pPr>
        <w:pStyle w:val="BodyText"/>
        <w:spacing w:line="276" w:lineRule="auto" w:before="241"/>
        <w:ind w:left="477" w:right="133"/>
        <w:jc w:val="both"/>
      </w:pPr>
      <w:r>
        <w:rPr/>
        <w:t>The</w:t>
      </w:r>
      <w:r>
        <w:rPr>
          <w:spacing w:val="-9"/>
        </w:rPr>
        <w:t> </w:t>
      </w:r>
      <w:r>
        <w:rPr/>
        <w:t>following</w:t>
      </w:r>
      <w:r>
        <w:rPr>
          <w:spacing w:val="-8"/>
        </w:rPr>
        <w:t> </w:t>
      </w:r>
      <w:r>
        <w:rPr/>
        <w:t>active</w:t>
      </w:r>
      <w:r>
        <w:rPr>
          <w:spacing w:val="-10"/>
        </w:rPr>
        <w:t> </w:t>
      </w:r>
      <w:r>
        <w:rPr/>
        <w:t>ingredients</w:t>
      </w:r>
      <w:r>
        <w:rPr>
          <w:spacing w:val="-7"/>
        </w:rPr>
        <w:t> </w:t>
      </w:r>
      <w:r>
        <w:rPr/>
        <w:t>have</w:t>
      </w:r>
      <w:r>
        <w:rPr>
          <w:spacing w:val="-9"/>
        </w:rPr>
        <w:t> </w:t>
      </w:r>
      <w:r>
        <w:rPr/>
        <w:t>been</w:t>
      </w:r>
      <w:r>
        <w:rPr>
          <w:spacing w:val="-8"/>
        </w:rPr>
        <w:t> </w:t>
      </w:r>
      <w:r>
        <w:rPr/>
        <w:t>found</w:t>
      </w:r>
      <w:r>
        <w:rPr>
          <w:spacing w:val="-7"/>
        </w:rPr>
        <w:t> </w:t>
      </w:r>
      <w:r>
        <w:rPr/>
        <w:t>in</w:t>
      </w:r>
      <w:r>
        <w:rPr>
          <w:spacing w:val="-9"/>
        </w:rPr>
        <w:t> </w:t>
      </w:r>
      <w:r>
        <w:rPr/>
        <w:t>kombucha</w:t>
      </w:r>
      <w:r>
        <w:rPr>
          <w:spacing w:val="-9"/>
        </w:rPr>
        <w:t> </w:t>
      </w:r>
      <w:r>
        <w:rPr/>
        <w:t>tea;</w:t>
      </w:r>
      <w:r>
        <w:rPr>
          <w:spacing w:val="-9"/>
        </w:rPr>
        <w:t> </w:t>
      </w:r>
      <w:r>
        <w:rPr/>
        <w:t>however,</w:t>
      </w:r>
      <w:r>
        <w:rPr>
          <w:spacing w:val="-8"/>
        </w:rPr>
        <w:t> </w:t>
      </w:r>
      <w:r>
        <w:rPr/>
        <w:t>it is believed that it has numerous other ingredients that have so far remained undetected,</w:t>
      </w:r>
      <w:r>
        <w:rPr>
          <w:spacing w:val="-20"/>
        </w:rPr>
        <w:t> </w:t>
      </w:r>
      <w:r>
        <w:rPr/>
        <w:t>but,</w:t>
      </w:r>
      <w:r>
        <w:rPr>
          <w:spacing w:val="-19"/>
        </w:rPr>
        <w:t> </w:t>
      </w:r>
      <w:r>
        <w:rPr/>
        <w:t>in</w:t>
      </w:r>
      <w:r>
        <w:rPr>
          <w:spacing w:val="-20"/>
        </w:rPr>
        <w:t> </w:t>
      </w:r>
      <w:r>
        <w:rPr/>
        <w:t>the</w:t>
      </w:r>
      <w:r>
        <w:rPr>
          <w:spacing w:val="-20"/>
        </w:rPr>
        <w:t> </w:t>
      </w:r>
      <w:r>
        <w:rPr/>
        <w:t>interaction</w:t>
      </w:r>
      <w:r>
        <w:rPr>
          <w:spacing w:val="-21"/>
        </w:rPr>
        <w:t> </w:t>
      </w:r>
      <w:r>
        <w:rPr/>
        <w:t>of</w:t>
      </w:r>
      <w:r>
        <w:rPr>
          <w:spacing w:val="-20"/>
        </w:rPr>
        <w:t> </w:t>
      </w:r>
      <w:r>
        <w:rPr/>
        <w:t>all</w:t>
      </w:r>
      <w:r>
        <w:rPr>
          <w:spacing w:val="-23"/>
        </w:rPr>
        <w:t> </w:t>
      </w:r>
      <w:r>
        <w:rPr/>
        <w:t>components,</w:t>
      </w:r>
      <w:r>
        <w:rPr>
          <w:spacing w:val="-19"/>
        </w:rPr>
        <w:t> </w:t>
      </w:r>
      <w:r>
        <w:rPr/>
        <w:t>are</w:t>
      </w:r>
      <w:r>
        <w:rPr>
          <w:spacing w:val="-21"/>
        </w:rPr>
        <w:t> </w:t>
      </w:r>
      <w:r>
        <w:rPr/>
        <w:t>no</w:t>
      </w:r>
      <w:r>
        <w:rPr>
          <w:spacing w:val="-20"/>
        </w:rPr>
        <w:t> </w:t>
      </w:r>
      <w:r>
        <w:rPr/>
        <w:t>less</w:t>
      </w:r>
      <w:r>
        <w:rPr>
          <w:spacing w:val="-19"/>
        </w:rPr>
        <w:t> </w:t>
      </w:r>
      <w:r>
        <w:rPr/>
        <w:t>potent</w:t>
      </w:r>
      <w:r>
        <w:rPr>
          <w:spacing w:val="-22"/>
        </w:rPr>
        <w:t> </w:t>
      </w:r>
      <w:r>
        <w:rPr/>
        <w:t>in</w:t>
      </w:r>
      <w:r>
        <w:rPr>
          <w:spacing w:val="-20"/>
        </w:rPr>
        <w:t> </w:t>
      </w:r>
      <w:r>
        <w:rPr/>
        <w:t>terms of their effect on the</w:t>
      </w:r>
      <w:r>
        <w:rPr>
          <w:spacing w:val="5"/>
        </w:rPr>
        <w:t> </w:t>
      </w:r>
      <w:r>
        <w:rPr/>
        <w:t>body:</w:t>
      </w:r>
    </w:p>
    <w:p>
      <w:pPr>
        <w:spacing w:after="0" w:line="276" w:lineRule="auto"/>
        <w:jc w:val="both"/>
        <w:sectPr>
          <w:pgSz w:w="14270" w:h="16850"/>
          <w:pgMar w:header="0" w:footer="1891" w:top="1600" w:bottom="2080" w:left="800" w:right="1280"/>
        </w:sectPr>
      </w:pPr>
    </w:p>
    <w:p>
      <w:pPr>
        <w:pStyle w:val="BodyText"/>
        <w:spacing w:before="10"/>
        <w:rPr>
          <w:sz w:val="8"/>
        </w:rPr>
      </w:pPr>
    </w:p>
    <w:p>
      <w:pPr>
        <w:pStyle w:val="ListParagraph"/>
        <w:numPr>
          <w:ilvl w:val="0"/>
          <w:numId w:val="44"/>
        </w:numPr>
        <w:tabs>
          <w:tab w:pos="1228" w:val="left" w:leader="none"/>
          <w:tab w:pos="1229" w:val="left" w:leader="none"/>
        </w:tabs>
        <w:spacing w:line="240" w:lineRule="auto" w:before="83" w:after="0"/>
        <w:ind w:left="1228" w:right="0" w:hanging="751"/>
        <w:jc w:val="left"/>
        <w:rPr>
          <w:sz w:val="38"/>
        </w:rPr>
      </w:pPr>
      <w:r>
        <w:rPr>
          <w:sz w:val="38"/>
        </w:rPr>
        <w:t>vitamins (vitamins B, C, D,</w:t>
      </w:r>
      <w:r>
        <w:rPr>
          <w:spacing w:val="4"/>
          <w:sz w:val="38"/>
        </w:rPr>
        <w:t> </w:t>
      </w:r>
      <w:r>
        <w:rPr>
          <w:sz w:val="38"/>
        </w:rPr>
        <w:t>K),</w:t>
      </w:r>
    </w:p>
    <w:p>
      <w:pPr>
        <w:pStyle w:val="ListParagraph"/>
        <w:numPr>
          <w:ilvl w:val="0"/>
          <w:numId w:val="44"/>
        </w:numPr>
        <w:tabs>
          <w:tab w:pos="1228" w:val="left" w:leader="none"/>
          <w:tab w:pos="1229" w:val="left" w:leader="none"/>
        </w:tabs>
        <w:spacing w:line="240" w:lineRule="auto" w:before="184" w:after="0"/>
        <w:ind w:left="1228" w:right="0" w:hanging="751"/>
        <w:jc w:val="left"/>
        <w:rPr>
          <w:sz w:val="38"/>
        </w:rPr>
      </w:pPr>
      <w:r>
        <w:rPr>
          <w:sz w:val="38"/>
        </w:rPr>
        <w:t>folic acid,</w:t>
      </w:r>
    </w:p>
    <w:p>
      <w:pPr>
        <w:pStyle w:val="ListParagraph"/>
        <w:numPr>
          <w:ilvl w:val="0"/>
          <w:numId w:val="44"/>
        </w:numPr>
        <w:tabs>
          <w:tab w:pos="1228" w:val="left" w:leader="none"/>
          <w:tab w:pos="1229" w:val="left" w:leader="none"/>
        </w:tabs>
        <w:spacing w:line="240" w:lineRule="auto" w:before="186" w:after="0"/>
        <w:ind w:left="1228" w:right="0" w:hanging="751"/>
        <w:jc w:val="left"/>
        <w:rPr>
          <w:sz w:val="38"/>
        </w:rPr>
      </w:pPr>
      <w:r>
        <w:rPr>
          <w:sz w:val="38"/>
        </w:rPr>
        <w:t>iron,</w:t>
      </w:r>
    </w:p>
    <w:p>
      <w:pPr>
        <w:pStyle w:val="ListParagraph"/>
        <w:numPr>
          <w:ilvl w:val="0"/>
          <w:numId w:val="44"/>
        </w:numPr>
        <w:tabs>
          <w:tab w:pos="1228" w:val="left" w:leader="none"/>
          <w:tab w:pos="1229" w:val="left" w:leader="none"/>
        </w:tabs>
        <w:spacing w:line="240" w:lineRule="auto" w:before="183" w:after="0"/>
        <w:ind w:left="1228" w:right="0" w:hanging="751"/>
        <w:jc w:val="left"/>
        <w:rPr>
          <w:sz w:val="38"/>
        </w:rPr>
      </w:pPr>
      <w:r>
        <w:rPr>
          <w:sz w:val="38"/>
        </w:rPr>
        <w:t>yeast,</w:t>
      </w:r>
    </w:p>
    <w:p>
      <w:pPr>
        <w:pStyle w:val="ListParagraph"/>
        <w:numPr>
          <w:ilvl w:val="0"/>
          <w:numId w:val="44"/>
        </w:numPr>
        <w:tabs>
          <w:tab w:pos="1228" w:val="left" w:leader="none"/>
          <w:tab w:pos="1229" w:val="left" w:leader="none"/>
        </w:tabs>
        <w:spacing w:line="240" w:lineRule="auto" w:before="184" w:after="0"/>
        <w:ind w:left="1228" w:right="0" w:hanging="751"/>
        <w:jc w:val="left"/>
        <w:rPr>
          <w:sz w:val="38"/>
        </w:rPr>
      </w:pPr>
      <w:r>
        <w:rPr>
          <w:sz w:val="38"/>
        </w:rPr>
        <w:t>glucuronic acid,</w:t>
      </w:r>
    </w:p>
    <w:p>
      <w:pPr>
        <w:pStyle w:val="ListParagraph"/>
        <w:numPr>
          <w:ilvl w:val="0"/>
          <w:numId w:val="44"/>
        </w:numPr>
        <w:tabs>
          <w:tab w:pos="1228" w:val="left" w:leader="none"/>
          <w:tab w:pos="1229" w:val="left" w:leader="none"/>
        </w:tabs>
        <w:spacing w:line="240" w:lineRule="auto" w:before="184" w:after="0"/>
        <w:ind w:left="1228" w:right="0" w:hanging="751"/>
        <w:jc w:val="left"/>
        <w:rPr>
          <w:sz w:val="38"/>
        </w:rPr>
      </w:pPr>
      <w:r>
        <w:rPr>
          <w:sz w:val="38"/>
        </w:rPr>
        <w:t>gluconic</w:t>
      </w:r>
      <w:r>
        <w:rPr>
          <w:spacing w:val="-2"/>
          <w:sz w:val="38"/>
        </w:rPr>
        <w:t> </w:t>
      </w:r>
      <w:r>
        <w:rPr>
          <w:sz w:val="38"/>
        </w:rPr>
        <w:t>acid,</w:t>
      </w:r>
    </w:p>
    <w:p>
      <w:pPr>
        <w:pStyle w:val="ListParagraph"/>
        <w:numPr>
          <w:ilvl w:val="0"/>
          <w:numId w:val="44"/>
        </w:numPr>
        <w:tabs>
          <w:tab w:pos="1228" w:val="left" w:leader="none"/>
          <w:tab w:pos="1229" w:val="left" w:leader="none"/>
        </w:tabs>
        <w:spacing w:line="240" w:lineRule="auto" w:before="184" w:after="0"/>
        <w:ind w:left="1228" w:right="0" w:hanging="751"/>
        <w:jc w:val="left"/>
        <w:rPr>
          <w:sz w:val="38"/>
        </w:rPr>
      </w:pPr>
      <w:r>
        <w:rPr>
          <w:sz w:val="38"/>
        </w:rPr>
        <w:t>dextrorotatory lactic</w:t>
      </w:r>
      <w:r>
        <w:rPr>
          <w:spacing w:val="1"/>
          <w:sz w:val="38"/>
        </w:rPr>
        <w:t> </w:t>
      </w:r>
      <w:r>
        <w:rPr>
          <w:sz w:val="38"/>
        </w:rPr>
        <w:t>acid,</w:t>
      </w:r>
    </w:p>
    <w:p>
      <w:pPr>
        <w:pStyle w:val="ListParagraph"/>
        <w:numPr>
          <w:ilvl w:val="0"/>
          <w:numId w:val="44"/>
        </w:numPr>
        <w:tabs>
          <w:tab w:pos="1228" w:val="left" w:leader="none"/>
          <w:tab w:pos="1229" w:val="left" w:leader="none"/>
        </w:tabs>
        <w:spacing w:line="240" w:lineRule="auto" w:before="186" w:after="0"/>
        <w:ind w:left="1228" w:right="0" w:hanging="751"/>
        <w:jc w:val="left"/>
        <w:rPr>
          <w:sz w:val="38"/>
        </w:rPr>
      </w:pPr>
      <w:r>
        <w:rPr>
          <w:sz w:val="38"/>
        </w:rPr>
        <w:t>probiotic lactic acid</w:t>
      </w:r>
      <w:r>
        <w:rPr>
          <w:spacing w:val="-1"/>
          <w:sz w:val="38"/>
        </w:rPr>
        <w:t> </w:t>
      </w:r>
      <w:r>
        <w:rPr>
          <w:sz w:val="38"/>
        </w:rPr>
        <w:t>bacteria,</w:t>
      </w:r>
    </w:p>
    <w:p>
      <w:pPr>
        <w:pStyle w:val="ListParagraph"/>
        <w:numPr>
          <w:ilvl w:val="0"/>
          <w:numId w:val="44"/>
        </w:numPr>
        <w:tabs>
          <w:tab w:pos="1228" w:val="left" w:leader="none"/>
          <w:tab w:pos="1229" w:val="left" w:leader="none"/>
        </w:tabs>
        <w:spacing w:line="240" w:lineRule="auto" w:before="183" w:after="0"/>
        <w:ind w:left="1228" w:right="0" w:hanging="751"/>
        <w:jc w:val="left"/>
        <w:rPr>
          <w:sz w:val="38"/>
        </w:rPr>
      </w:pPr>
      <w:r>
        <w:rPr>
          <w:sz w:val="38"/>
        </w:rPr>
        <w:t>various enzymes,</w:t>
      </w:r>
    </w:p>
    <w:p>
      <w:pPr>
        <w:pStyle w:val="ListParagraph"/>
        <w:numPr>
          <w:ilvl w:val="0"/>
          <w:numId w:val="44"/>
        </w:numPr>
        <w:tabs>
          <w:tab w:pos="1228" w:val="left" w:leader="none"/>
          <w:tab w:pos="1229" w:val="left" w:leader="none"/>
        </w:tabs>
        <w:spacing w:line="240" w:lineRule="auto" w:before="184" w:after="0"/>
        <w:ind w:left="1228" w:right="0" w:hanging="751"/>
        <w:jc w:val="left"/>
        <w:rPr>
          <w:sz w:val="38"/>
        </w:rPr>
      </w:pPr>
      <w:r>
        <w:rPr>
          <w:sz w:val="38"/>
        </w:rPr>
        <w:t>antibiotic</w:t>
      </w:r>
      <w:r>
        <w:rPr>
          <w:spacing w:val="-1"/>
          <w:sz w:val="38"/>
        </w:rPr>
        <w:t> </w:t>
      </w:r>
      <w:r>
        <w:rPr>
          <w:sz w:val="38"/>
        </w:rPr>
        <w:t>substances,</w:t>
      </w:r>
    </w:p>
    <w:p>
      <w:pPr>
        <w:pStyle w:val="ListParagraph"/>
        <w:numPr>
          <w:ilvl w:val="0"/>
          <w:numId w:val="44"/>
        </w:numPr>
        <w:tabs>
          <w:tab w:pos="1228" w:val="left" w:leader="none"/>
          <w:tab w:pos="1229" w:val="left" w:leader="none"/>
        </w:tabs>
        <w:spacing w:line="240" w:lineRule="auto" w:before="184" w:after="0"/>
        <w:ind w:left="1228" w:right="0" w:hanging="751"/>
        <w:jc w:val="left"/>
        <w:rPr>
          <w:sz w:val="38"/>
        </w:rPr>
      </w:pPr>
      <w:r>
        <w:rPr>
          <w:sz w:val="38"/>
        </w:rPr>
        <w:t>organic</w:t>
      </w:r>
      <w:r>
        <w:rPr>
          <w:spacing w:val="-2"/>
          <w:sz w:val="38"/>
        </w:rPr>
        <w:t> </w:t>
      </w:r>
      <w:r>
        <w:rPr>
          <w:sz w:val="38"/>
        </w:rPr>
        <w:t>acids.</w:t>
      </w:r>
    </w:p>
    <w:p>
      <w:pPr>
        <w:pStyle w:val="BodyText"/>
        <w:rPr>
          <w:sz w:val="44"/>
        </w:rPr>
      </w:pPr>
    </w:p>
    <w:p>
      <w:pPr>
        <w:pStyle w:val="BodyText"/>
        <w:spacing w:before="4"/>
        <w:rPr>
          <w:sz w:val="46"/>
        </w:rPr>
      </w:pPr>
    </w:p>
    <w:p>
      <w:pPr>
        <w:pStyle w:val="Heading1"/>
        <w:spacing w:before="0"/>
      </w:pPr>
      <w:r>
        <w:rPr/>
        <w:t>Vitamin complex</w:t>
      </w:r>
    </w:p>
    <w:p>
      <w:pPr>
        <w:pStyle w:val="ListParagraph"/>
        <w:numPr>
          <w:ilvl w:val="1"/>
          <w:numId w:val="44"/>
        </w:numPr>
        <w:tabs>
          <w:tab w:pos="1198" w:val="left" w:leader="none"/>
        </w:tabs>
        <w:spacing w:line="266" w:lineRule="auto" w:before="300" w:after="0"/>
        <w:ind w:left="1197" w:right="138" w:hanging="360"/>
        <w:jc w:val="left"/>
        <w:rPr>
          <w:sz w:val="38"/>
        </w:rPr>
      </w:pPr>
      <w:r>
        <w:rPr>
          <w:sz w:val="38"/>
        </w:rPr>
        <w:t>Vitamin B1, also called thiamine, regulates our fat and carbohydrate me- tabolism.</w:t>
      </w:r>
    </w:p>
    <w:p>
      <w:pPr>
        <w:pStyle w:val="ListParagraph"/>
        <w:numPr>
          <w:ilvl w:val="1"/>
          <w:numId w:val="44"/>
        </w:numPr>
        <w:tabs>
          <w:tab w:pos="1198" w:val="left" w:leader="none"/>
        </w:tabs>
        <w:spacing w:line="268" w:lineRule="auto" w:before="260" w:after="0"/>
        <w:ind w:left="1197" w:right="141" w:hanging="360"/>
        <w:jc w:val="left"/>
        <w:rPr>
          <w:sz w:val="38"/>
        </w:rPr>
      </w:pPr>
      <w:r>
        <w:rPr>
          <w:sz w:val="38"/>
        </w:rPr>
        <w:t>Vitamin B2, also called riboflavin, plays an important role in the metabo- lism; it is especially important in the respiratory</w:t>
      </w:r>
      <w:r>
        <w:rPr>
          <w:spacing w:val="-5"/>
          <w:sz w:val="38"/>
        </w:rPr>
        <w:t> </w:t>
      </w:r>
      <w:r>
        <w:rPr>
          <w:sz w:val="38"/>
        </w:rPr>
        <w:t>metabolism.</w:t>
      </w:r>
    </w:p>
    <w:p>
      <w:pPr>
        <w:pStyle w:val="ListParagraph"/>
        <w:numPr>
          <w:ilvl w:val="1"/>
          <w:numId w:val="44"/>
        </w:numPr>
        <w:tabs>
          <w:tab w:pos="1198" w:val="left" w:leader="none"/>
        </w:tabs>
        <w:spacing w:line="240" w:lineRule="auto" w:before="253" w:after="0"/>
        <w:ind w:left="1197" w:right="0" w:hanging="360"/>
        <w:jc w:val="left"/>
        <w:rPr>
          <w:sz w:val="38"/>
        </w:rPr>
      </w:pPr>
      <w:r>
        <w:rPr>
          <w:sz w:val="38"/>
        </w:rPr>
        <w:t>Vitamins</w:t>
      </w:r>
      <w:r>
        <w:rPr>
          <w:spacing w:val="17"/>
          <w:sz w:val="38"/>
        </w:rPr>
        <w:t> </w:t>
      </w:r>
      <w:r>
        <w:rPr>
          <w:sz w:val="38"/>
        </w:rPr>
        <w:t>B3</w:t>
      </w:r>
      <w:r>
        <w:rPr>
          <w:spacing w:val="17"/>
          <w:sz w:val="38"/>
        </w:rPr>
        <w:t> </w:t>
      </w:r>
      <w:r>
        <w:rPr>
          <w:sz w:val="38"/>
        </w:rPr>
        <w:t>and</w:t>
      </w:r>
      <w:r>
        <w:rPr>
          <w:spacing w:val="17"/>
          <w:sz w:val="38"/>
        </w:rPr>
        <w:t> </w:t>
      </w:r>
      <w:r>
        <w:rPr>
          <w:sz w:val="38"/>
        </w:rPr>
        <w:t>B6</w:t>
      </w:r>
      <w:r>
        <w:rPr>
          <w:spacing w:val="16"/>
          <w:sz w:val="38"/>
        </w:rPr>
        <w:t> </w:t>
      </w:r>
      <w:r>
        <w:rPr>
          <w:sz w:val="38"/>
        </w:rPr>
        <w:t>influence</w:t>
      </w:r>
      <w:r>
        <w:rPr>
          <w:spacing w:val="18"/>
          <w:sz w:val="38"/>
        </w:rPr>
        <w:t> </w:t>
      </w:r>
      <w:r>
        <w:rPr>
          <w:sz w:val="38"/>
        </w:rPr>
        <w:t>the</w:t>
      </w:r>
      <w:r>
        <w:rPr>
          <w:spacing w:val="19"/>
          <w:sz w:val="38"/>
        </w:rPr>
        <w:t> </w:t>
      </w:r>
      <w:r>
        <w:rPr>
          <w:sz w:val="38"/>
        </w:rPr>
        <w:t>protein</w:t>
      </w:r>
      <w:r>
        <w:rPr>
          <w:spacing w:val="17"/>
          <w:sz w:val="38"/>
        </w:rPr>
        <w:t> </w:t>
      </w:r>
      <w:r>
        <w:rPr>
          <w:sz w:val="38"/>
        </w:rPr>
        <w:t>metabolism</w:t>
      </w:r>
      <w:r>
        <w:rPr>
          <w:spacing w:val="18"/>
          <w:sz w:val="38"/>
        </w:rPr>
        <w:t> </w:t>
      </w:r>
      <w:r>
        <w:rPr>
          <w:sz w:val="38"/>
        </w:rPr>
        <w:t>as</w:t>
      </w:r>
      <w:r>
        <w:rPr>
          <w:spacing w:val="18"/>
          <w:sz w:val="38"/>
        </w:rPr>
        <w:t> </w:t>
      </w:r>
      <w:r>
        <w:rPr>
          <w:sz w:val="38"/>
        </w:rPr>
        <w:t>well</w:t>
      </w:r>
      <w:r>
        <w:rPr>
          <w:spacing w:val="16"/>
          <w:sz w:val="38"/>
        </w:rPr>
        <w:t> </w:t>
      </w:r>
      <w:r>
        <w:rPr>
          <w:sz w:val="38"/>
        </w:rPr>
        <w:t>as</w:t>
      </w:r>
      <w:r>
        <w:rPr>
          <w:spacing w:val="17"/>
          <w:sz w:val="38"/>
        </w:rPr>
        <w:t> </w:t>
      </w:r>
      <w:r>
        <w:rPr>
          <w:sz w:val="38"/>
        </w:rPr>
        <w:t>all</w:t>
      </w:r>
      <w:r>
        <w:rPr>
          <w:spacing w:val="16"/>
          <w:sz w:val="38"/>
        </w:rPr>
        <w:t> </w:t>
      </w:r>
      <w:r>
        <w:rPr>
          <w:sz w:val="38"/>
        </w:rPr>
        <w:t>sorts</w:t>
      </w:r>
    </w:p>
    <w:p>
      <w:pPr>
        <w:spacing w:after="0" w:line="240" w:lineRule="auto"/>
        <w:jc w:val="left"/>
        <w:rPr>
          <w:sz w:val="38"/>
        </w:rPr>
        <w:sectPr>
          <w:pgSz w:w="14270" w:h="16850"/>
          <w:pgMar w:header="0" w:footer="1891" w:top="1600" w:bottom="2080" w:left="800" w:right="1280"/>
        </w:sectPr>
      </w:pPr>
    </w:p>
    <w:p>
      <w:pPr>
        <w:pStyle w:val="BodyText"/>
        <w:spacing w:before="181"/>
        <w:ind w:left="1197"/>
      </w:pPr>
      <w:r>
        <w:rPr/>
        <w:t>of enzyme functions.</w:t>
      </w:r>
    </w:p>
    <w:p>
      <w:pPr>
        <w:pStyle w:val="ListParagraph"/>
        <w:numPr>
          <w:ilvl w:val="1"/>
          <w:numId w:val="44"/>
        </w:numPr>
        <w:tabs>
          <w:tab w:pos="1198" w:val="left" w:leader="none"/>
        </w:tabs>
        <w:spacing w:line="273" w:lineRule="auto" w:before="305" w:after="0"/>
        <w:ind w:left="1197" w:right="139" w:hanging="360"/>
        <w:jc w:val="both"/>
        <w:rPr>
          <w:sz w:val="38"/>
        </w:rPr>
      </w:pPr>
      <w:r>
        <w:rPr>
          <w:sz w:val="38"/>
        </w:rPr>
        <w:t>Vitamin B12, also called ‘cobalamin’, plays a key role in the formation of red blood cells and is involved in cell regeneration as well as cell division and is therefore also crucial for the nervous system (production of neuro- transmitters).</w:t>
      </w:r>
    </w:p>
    <w:p>
      <w:pPr>
        <w:pStyle w:val="ListParagraph"/>
        <w:numPr>
          <w:ilvl w:val="1"/>
          <w:numId w:val="44"/>
        </w:numPr>
        <w:tabs>
          <w:tab w:pos="1198" w:val="left" w:leader="none"/>
        </w:tabs>
        <w:spacing w:line="268" w:lineRule="auto" w:before="242" w:after="0"/>
        <w:ind w:left="1197" w:right="135" w:hanging="360"/>
        <w:jc w:val="both"/>
        <w:rPr>
          <w:sz w:val="38"/>
        </w:rPr>
      </w:pPr>
      <w:r>
        <w:rPr>
          <w:sz w:val="38"/>
        </w:rPr>
        <w:t>Vitamins D and K are critical for the healthy development of bones,</w:t>
      </w:r>
      <w:r>
        <w:rPr>
          <w:spacing w:val="-55"/>
          <w:sz w:val="38"/>
        </w:rPr>
        <w:t> </w:t>
      </w:r>
      <w:r>
        <w:rPr>
          <w:sz w:val="38"/>
        </w:rPr>
        <w:t>teeth and skin.</w:t>
      </w:r>
    </w:p>
    <w:p>
      <w:pPr>
        <w:pStyle w:val="BodyText"/>
        <w:rPr>
          <w:sz w:val="42"/>
        </w:rPr>
      </w:pPr>
    </w:p>
    <w:p>
      <w:pPr>
        <w:pStyle w:val="BodyText"/>
        <w:spacing w:before="10"/>
        <w:rPr>
          <w:sz w:val="43"/>
        </w:rPr>
      </w:pPr>
    </w:p>
    <w:p>
      <w:pPr>
        <w:pStyle w:val="Heading1"/>
        <w:spacing w:before="1"/>
      </w:pPr>
      <w:r>
        <w:rPr/>
        <w:t>Folic acid</w:t>
      </w:r>
    </w:p>
    <w:p>
      <w:pPr>
        <w:pStyle w:val="BodyText"/>
        <w:spacing w:line="276" w:lineRule="auto" w:before="299"/>
        <w:ind w:left="477"/>
      </w:pPr>
      <w:r>
        <w:rPr/>
        <w:t>Among other things, folic acid affects metabolism and helps in the prevention of atherosclerosis.</w:t>
      </w:r>
    </w:p>
    <w:p>
      <w:pPr>
        <w:pStyle w:val="Heading1"/>
        <w:spacing w:before="221"/>
      </w:pPr>
      <w:r>
        <w:rPr/>
        <w:t>Iron</w:t>
      </w:r>
    </w:p>
    <w:p>
      <w:pPr>
        <w:pStyle w:val="BodyText"/>
        <w:spacing w:before="300"/>
        <w:ind w:left="477"/>
      </w:pPr>
      <w:r>
        <w:rPr/>
        <w:t>Iron is involved in the formation of blood.</w:t>
      </w:r>
    </w:p>
    <w:p>
      <w:pPr>
        <w:pStyle w:val="BodyText"/>
        <w:rPr>
          <w:sz w:val="42"/>
        </w:rPr>
      </w:pPr>
    </w:p>
    <w:p>
      <w:pPr>
        <w:pStyle w:val="BodyText"/>
        <w:spacing w:before="6"/>
        <w:rPr>
          <w:sz w:val="48"/>
        </w:rPr>
      </w:pPr>
    </w:p>
    <w:p>
      <w:pPr>
        <w:pStyle w:val="Heading1"/>
        <w:spacing w:before="0"/>
      </w:pPr>
      <w:r>
        <w:rPr/>
        <w:t>Yeast</w:t>
      </w:r>
    </w:p>
    <w:p>
      <w:pPr>
        <w:pStyle w:val="BodyText"/>
        <w:spacing w:line="276" w:lineRule="auto" w:before="300"/>
        <w:ind w:left="477" w:right="133"/>
        <w:jc w:val="both"/>
      </w:pPr>
      <w:r>
        <w:rPr/>
        <w:t>Countless</w:t>
      </w:r>
      <w:r>
        <w:rPr>
          <w:spacing w:val="-21"/>
        </w:rPr>
        <w:t> </w:t>
      </w:r>
      <w:r>
        <w:rPr/>
        <w:t>vital</w:t>
      </w:r>
      <w:r>
        <w:rPr>
          <w:spacing w:val="-21"/>
        </w:rPr>
        <w:t> </w:t>
      </w:r>
      <w:r>
        <w:rPr/>
        <w:t>yeasts</w:t>
      </w:r>
      <w:r>
        <w:rPr>
          <w:spacing w:val="-20"/>
        </w:rPr>
        <w:t> </w:t>
      </w:r>
      <w:r>
        <w:rPr/>
        <w:t>perform</w:t>
      </w:r>
      <w:r>
        <w:rPr>
          <w:spacing w:val="-22"/>
        </w:rPr>
        <w:t> </w:t>
      </w:r>
      <w:r>
        <w:rPr/>
        <w:t>many</w:t>
      </w:r>
      <w:r>
        <w:rPr>
          <w:spacing w:val="-21"/>
        </w:rPr>
        <w:t> </w:t>
      </w:r>
      <w:r>
        <w:rPr/>
        <w:t>different</w:t>
      </w:r>
      <w:r>
        <w:rPr>
          <w:spacing w:val="-21"/>
        </w:rPr>
        <w:t> </w:t>
      </w:r>
      <w:r>
        <w:rPr/>
        <w:t>tasks</w:t>
      </w:r>
      <w:r>
        <w:rPr>
          <w:spacing w:val="-20"/>
        </w:rPr>
        <w:t> </w:t>
      </w:r>
      <w:r>
        <w:rPr/>
        <w:t>in</w:t>
      </w:r>
      <w:r>
        <w:rPr>
          <w:spacing w:val="-22"/>
        </w:rPr>
        <w:t> </w:t>
      </w:r>
      <w:r>
        <w:rPr/>
        <w:t>our</w:t>
      </w:r>
      <w:r>
        <w:rPr>
          <w:spacing w:val="-21"/>
        </w:rPr>
        <w:t> </w:t>
      </w:r>
      <w:r>
        <w:rPr/>
        <w:t>body;</w:t>
      </w:r>
      <w:r>
        <w:rPr>
          <w:spacing w:val="-20"/>
        </w:rPr>
        <w:t> </w:t>
      </w:r>
      <w:r>
        <w:rPr/>
        <w:t>they</w:t>
      </w:r>
      <w:r>
        <w:rPr>
          <w:spacing w:val="-19"/>
        </w:rPr>
        <w:t> </w:t>
      </w:r>
      <w:r>
        <w:rPr/>
        <w:t>strengthen the immune system and ensure the purity of the skin. The immune-boosting effect</w:t>
      </w:r>
      <w:r>
        <w:rPr>
          <w:spacing w:val="71"/>
        </w:rPr>
        <w:t> </w:t>
      </w:r>
      <w:r>
        <w:rPr/>
        <w:t>of</w:t>
      </w:r>
      <w:r>
        <w:rPr>
          <w:spacing w:val="71"/>
        </w:rPr>
        <w:t> </w:t>
      </w:r>
      <w:r>
        <w:rPr/>
        <w:t>kombucha</w:t>
      </w:r>
      <w:r>
        <w:rPr>
          <w:spacing w:val="71"/>
        </w:rPr>
        <w:t> </w:t>
      </w:r>
      <w:r>
        <w:rPr/>
        <w:t>has</w:t>
      </w:r>
      <w:r>
        <w:rPr>
          <w:spacing w:val="71"/>
        </w:rPr>
        <w:t> </w:t>
      </w:r>
      <w:r>
        <w:rPr/>
        <w:t>also</w:t>
      </w:r>
      <w:r>
        <w:rPr>
          <w:spacing w:val="71"/>
        </w:rPr>
        <w:t> </w:t>
      </w:r>
      <w:r>
        <w:rPr/>
        <w:t>seen</w:t>
      </w:r>
      <w:r>
        <w:rPr>
          <w:spacing w:val="72"/>
        </w:rPr>
        <w:t> </w:t>
      </w:r>
      <w:r>
        <w:rPr/>
        <w:t>it</w:t>
      </w:r>
      <w:r>
        <w:rPr>
          <w:spacing w:val="69"/>
        </w:rPr>
        <w:t> </w:t>
      </w:r>
      <w:r>
        <w:rPr/>
        <w:t>dubbed</w:t>
      </w:r>
      <w:r>
        <w:rPr>
          <w:spacing w:val="68"/>
        </w:rPr>
        <w:t> </w:t>
      </w:r>
      <w:r>
        <w:rPr/>
        <w:t>as</w:t>
      </w:r>
      <w:r>
        <w:rPr>
          <w:spacing w:val="71"/>
        </w:rPr>
        <w:t> </w:t>
      </w:r>
      <w:r>
        <w:rPr/>
        <w:t>a</w:t>
      </w:r>
      <w:r>
        <w:rPr>
          <w:spacing w:val="71"/>
        </w:rPr>
        <w:t> </w:t>
      </w:r>
      <w:r>
        <w:rPr/>
        <w:t>‘virus</w:t>
      </w:r>
      <w:r>
        <w:rPr>
          <w:spacing w:val="70"/>
        </w:rPr>
        <w:t> </w:t>
      </w:r>
      <w:r>
        <w:rPr/>
        <w:t>killer’.</w:t>
      </w:r>
      <w:r>
        <w:rPr>
          <w:spacing w:val="72"/>
        </w:rPr>
        <w:t> </w:t>
      </w:r>
      <w:r>
        <w:rPr/>
        <w:t>In</w:t>
      </w:r>
      <w:r>
        <w:rPr>
          <w:spacing w:val="69"/>
        </w:rPr>
        <w:t> </w:t>
      </w:r>
      <w:r>
        <w:rPr/>
        <w:t>1</w:t>
      </w:r>
      <w:r>
        <w:rPr>
          <w:spacing w:val="70"/>
        </w:rPr>
        <w:t> </w:t>
      </w:r>
      <w:r>
        <w:rPr/>
        <w:t>ml</w:t>
      </w:r>
      <w:r>
        <w:rPr>
          <w:spacing w:val="71"/>
        </w:rPr>
        <w:t> </w:t>
      </w:r>
      <w:r>
        <w:rPr/>
        <w:t>of</w:t>
      </w:r>
    </w:p>
    <w:p>
      <w:pPr>
        <w:spacing w:after="0" w:line="276" w:lineRule="auto"/>
        <w:jc w:val="both"/>
        <w:sectPr>
          <w:pgSz w:w="14270" w:h="16850"/>
          <w:pgMar w:header="0" w:footer="1891" w:top="1600" w:bottom="2080" w:left="800" w:right="1280"/>
        </w:sectPr>
      </w:pPr>
    </w:p>
    <w:p>
      <w:pPr>
        <w:pStyle w:val="BodyText"/>
        <w:spacing w:line="276" w:lineRule="auto" w:before="181"/>
        <w:ind w:left="477" w:right="137"/>
        <w:jc w:val="both"/>
        <w:rPr>
          <w:sz w:val="25"/>
        </w:rPr>
      </w:pPr>
      <w:r>
        <w:rPr/>
        <w:t>kombucha,</w:t>
      </w:r>
      <w:r>
        <w:rPr>
          <w:spacing w:val="-8"/>
        </w:rPr>
        <w:t> </w:t>
      </w:r>
      <w:r>
        <w:rPr/>
        <w:t>there</w:t>
      </w:r>
      <w:r>
        <w:rPr>
          <w:spacing w:val="-7"/>
        </w:rPr>
        <w:t> </w:t>
      </w:r>
      <w:r>
        <w:rPr/>
        <w:t>is</w:t>
      </w:r>
      <w:r>
        <w:rPr>
          <w:spacing w:val="-8"/>
        </w:rPr>
        <w:t> </w:t>
      </w:r>
      <w:r>
        <w:rPr/>
        <w:t>the</w:t>
      </w:r>
      <w:r>
        <w:rPr>
          <w:spacing w:val="-6"/>
        </w:rPr>
        <w:t> </w:t>
      </w:r>
      <w:r>
        <w:rPr/>
        <w:t>unbelievable</w:t>
      </w:r>
      <w:r>
        <w:rPr>
          <w:spacing w:val="-7"/>
        </w:rPr>
        <w:t> </w:t>
      </w:r>
      <w:r>
        <w:rPr/>
        <w:t>amount</w:t>
      </w:r>
      <w:r>
        <w:rPr>
          <w:spacing w:val="-8"/>
        </w:rPr>
        <w:t> </w:t>
      </w:r>
      <w:r>
        <w:rPr/>
        <w:t>of</w:t>
      </w:r>
      <w:r>
        <w:rPr>
          <w:spacing w:val="-7"/>
        </w:rPr>
        <w:t> </w:t>
      </w:r>
      <w:r>
        <w:rPr/>
        <w:t>10</w:t>
      </w:r>
      <w:r>
        <w:rPr>
          <w:spacing w:val="-8"/>
        </w:rPr>
        <w:t> </w:t>
      </w:r>
      <w:r>
        <w:rPr/>
        <w:t>million</w:t>
      </w:r>
      <w:r>
        <w:rPr>
          <w:spacing w:val="-7"/>
        </w:rPr>
        <w:t> </w:t>
      </w:r>
      <w:r>
        <w:rPr/>
        <w:t>living</w:t>
      </w:r>
      <w:r>
        <w:rPr>
          <w:spacing w:val="-6"/>
        </w:rPr>
        <w:t> </w:t>
      </w:r>
      <w:r>
        <w:rPr/>
        <w:t>and</w:t>
      </w:r>
      <w:r>
        <w:rPr>
          <w:spacing w:val="-8"/>
        </w:rPr>
        <w:t> </w:t>
      </w:r>
      <w:r>
        <w:rPr/>
        <w:t>highly</w:t>
      </w:r>
      <w:r>
        <w:rPr>
          <w:spacing w:val="-7"/>
        </w:rPr>
        <w:t> </w:t>
      </w:r>
      <w:r>
        <w:rPr/>
        <w:t>po- tent yeasts.</w:t>
      </w:r>
      <w:r>
        <w:rPr>
          <w:position w:val="9"/>
          <w:sz w:val="25"/>
        </w:rPr>
        <w:t>429</w:t>
      </w:r>
    </w:p>
    <w:p>
      <w:pPr>
        <w:pStyle w:val="Heading1"/>
      </w:pPr>
      <w:r>
        <w:rPr/>
        <w:t>Glucuronic acid</w:t>
      </w:r>
    </w:p>
    <w:p>
      <w:pPr>
        <w:pStyle w:val="BodyText"/>
        <w:spacing w:line="276" w:lineRule="auto" w:before="299"/>
        <w:ind w:left="477" w:right="137"/>
        <w:jc w:val="both"/>
      </w:pPr>
      <w:r>
        <w:rPr/>
        <w:t>Glucuronic acid is probably one of the most important acids contained in kombucha tea. The liver has been shown to produce glucuronic acid to bind the body's metabolic toxins and foreign substances such as medication.</w:t>
      </w:r>
    </w:p>
    <w:p>
      <w:pPr>
        <w:pStyle w:val="BodyText"/>
        <w:spacing w:line="276" w:lineRule="auto" w:before="239"/>
        <w:ind w:left="477" w:right="132"/>
        <w:jc w:val="both"/>
      </w:pPr>
      <w:r>
        <w:rPr/>
        <w:t>Furthermore, glucuronic acid is involved in the formation of other acids in the body which are important for connective tissue, such as hyaluronic acid, which is</w:t>
      </w:r>
      <w:r>
        <w:rPr>
          <w:spacing w:val="-7"/>
        </w:rPr>
        <w:t> </w:t>
      </w:r>
      <w:r>
        <w:rPr/>
        <w:t>an</w:t>
      </w:r>
      <w:r>
        <w:rPr>
          <w:spacing w:val="-7"/>
        </w:rPr>
        <w:t> </w:t>
      </w:r>
      <w:r>
        <w:rPr/>
        <w:t>important</w:t>
      </w:r>
      <w:r>
        <w:rPr>
          <w:spacing w:val="-7"/>
        </w:rPr>
        <w:t> </w:t>
      </w:r>
      <w:r>
        <w:rPr/>
        <w:t>component</w:t>
      </w:r>
      <w:r>
        <w:rPr>
          <w:spacing w:val="-7"/>
        </w:rPr>
        <w:t> </w:t>
      </w:r>
      <w:r>
        <w:rPr/>
        <w:t>of</w:t>
      </w:r>
      <w:r>
        <w:rPr>
          <w:spacing w:val="-7"/>
        </w:rPr>
        <w:t> </w:t>
      </w:r>
      <w:r>
        <w:rPr/>
        <w:t>connective</w:t>
      </w:r>
      <w:r>
        <w:rPr>
          <w:spacing w:val="-7"/>
        </w:rPr>
        <w:t> </w:t>
      </w:r>
      <w:r>
        <w:rPr/>
        <w:t>tissue,</w:t>
      </w:r>
      <w:r>
        <w:rPr>
          <w:spacing w:val="-6"/>
        </w:rPr>
        <w:t> </w:t>
      </w:r>
      <w:r>
        <w:rPr/>
        <w:t>inter</w:t>
      </w:r>
      <w:r>
        <w:rPr>
          <w:spacing w:val="-6"/>
        </w:rPr>
        <w:t> </w:t>
      </w:r>
      <w:r>
        <w:rPr/>
        <w:t>alia,</w:t>
      </w:r>
      <w:r>
        <w:rPr>
          <w:spacing w:val="-7"/>
        </w:rPr>
        <w:t> </w:t>
      </w:r>
      <w:r>
        <w:rPr/>
        <w:t>in</w:t>
      </w:r>
      <w:r>
        <w:rPr>
          <w:spacing w:val="-7"/>
        </w:rPr>
        <w:t> </w:t>
      </w:r>
      <w:r>
        <w:rPr/>
        <w:t>the</w:t>
      </w:r>
      <w:r>
        <w:rPr>
          <w:spacing w:val="-3"/>
        </w:rPr>
        <w:t> </w:t>
      </w:r>
      <w:r>
        <w:rPr/>
        <w:t>synovial</w:t>
      </w:r>
      <w:r>
        <w:rPr>
          <w:spacing w:val="-8"/>
        </w:rPr>
        <w:t> </w:t>
      </w:r>
      <w:r>
        <w:rPr/>
        <w:t>fluid, in the skin (it makes up 55 % of the skin’s substance) and in</w:t>
      </w:r>
      <w:r>
        <w:rPr>
          <w:spacing w:val="-7"/>
        </w:rPr>
        <w:t> </w:t>
      </w:r>
      <w:r>
        <w:rPr/>
        <w:t>bones.</w:t>
      </w:r>
    </w:p>
    <w:p>
      <w:pPr>
        <w:pStyle w:val="BodyText"/>
        <w:spacing w:line="276" w:lineRule="auto" w:before="242"/>
        <w:ind w:left="477" w:right="134"/>
        <w:jc w:val="both"/>
      </w:pPr>
      <w:r>
        <w:rPr/>
        <w:t>Glucuronic acid is also a building block of mucoitin sulfuric acid (responsible for the gastric mucosa and vitreous bodies of the eye) and heparin, a liver-de- rived substance that delays blood clotting. Last but not least, glucuronic acid is involved in the production of chondroitin, which forms another important component</w:t>
      </w:r>
      <w:r>
        <w:rPr>
          <w:spacing w:val="-23"/>
        </w:rPr>
        <w:t> </w:t>
      </w:r>
      <w:r>
        <w:rPr/>
        <w:t>within</w:t>
      </w:r>
      <w:r>
        <w:rPr>
          <w:spacing w:val="-21"/>
        </w:rPr>
        <w:t> </w:t>
      </w:r>
      <w:r>
        <w:rPr/>
        <w:t>our</w:t>
      </w:r>
      <w:r>
        <w:rPr>
          <w:spacing w:val="-21"/>
        </w:rPr>
        <w:t> </w:t>
      </w:r>
      <w:r>
        <w:rPr/>
        <w:t>joints.</w:t>
      </w:r>
      <w:r>
        <w:rPr>
          <w:spacing w:val="-21"/>
        </w:rPr>
        <w:t> </w:t>
      </w:r>
      <w:r>
        <w:rPr/>
        <w:t>Glucuronic</w:t>
      </w:r>
      <w:r>
        <w:rPr>
          <w:spacing w:val="-18"/>
        </w:rPr>
        <w:t> </w:t>
      </w:r>
      <w:r>
        <w:rPr/>
        <w:t>acid</w:t>
      </w:r>
      <w:r>
        <w:rPr>
          <w:spacing w:val="-22"/>
        </w:rPr>
        <w:t> </w:t>
      </w:r>
      <w:r>
        <w:rPr/>
        <w:t>is</w:t>
      </w:r>
      <w:r>
        <w:rPr>
          <w:spacing w:val="-23"/>
        </w:rPr>
        <w:t> </w:t>
      </w:r>
      <w:r>
        <w:rPr/>
        <w:t>believed</w:t>
      </w:r>
      <w:r>
        <w:rPr>
          <w:spacing w:val="-22"/>
        </w:rPr>
        <w:t> </w:t>
      </w:r>
      <w:r>
        <w:rPr/>
        <w:t>to</w:t>
      </w:r>
      <w:r>
        <w:rPr>
          <w:spacing w:val="-21"/>
        </w:rPr>
        <w:t> </w:t>
      </w:r>
      <w:r>
        <w:rPr/>
        <w:t>be</w:t>
      </w:r>
      <w:r>
        <w:rPr>
          <w:spacing w:val="-22"/>
        </w:rPr>
        <w:t> </w:t>
      </w:r>
      <w:r>
        <w:rPr/>
        <w:t>the</w:t>
      </w:r>
      <w:r>
        <w:rPr>
          <w:spacing w:val="-21"/>
        </w:rPr>
        <w:t> </w:t>
      </w:r>
      <w:r>
        <w:rPr/>
        <w:t>major</w:t>
      </w:r>
      <w:r>
        <w:rPr>
          <w:spacing w:val="-20"/>
        </w:rPr>
        <w:t> </w:t>
      </w:r>
      <w:r>
        <w:rPr/>
        <w:t>reason for kombucha having positive effects on all kinds of joint problems, such as arthritis,</w:t>
      </w:r>
      <w:r>
        <w:rPr>
          <w:spacing w:val="-8"/>
        </w:rPr>
        <w:t> </w:t>
      </w:r>
      <w:r>
        <w:rPr/>
        <w:t>arthrosis,</w:t>
      </w:r>
      <w:r>
        <w:rPr>
          <w:spacing w:val="-7"/>
        </w:rPr>
        <w:t> </w:t>
      </w:r>
      <w:r>
        <w:rPr/>
        <w:t>gout</w:t>
      </w:r>
      <w:r>
        <w:rPr>
          <w:spacing w:val="-9"/>
        </w:rPr>
        <w:t> </w:t>
      </w:r>
      <w:r>
        <w:rPr/>
        <w:t>and</w:t>
      </w:r>
      <w:r>
        <w:rPr>
          <w:spacing w:val="-8"/>
        </w:rPr>
        <w:t> </w:t>
      </w:r>
      <w:r>
        <w:rPr/>
        <w:t>rheumatism,</w:t>
      </w:r>
      <w:r>
        <w:rPr>
          <w:spacing w:val="-7"/>
        </w:rPr>
        <w:t> </w:t>
      </w:r>
      <w:r>
        <w:rPr/>
        <w:t>and,</w:t>
      </w:r>
      <w:r>
        <w:rPr>
          <w:spacing w:val="-8"/>
        </w:rPr>
        <w:t> </w:t>
      </w:r>
      <w:r>
        <w:rPr/>
        <w:t>beyond</w:t>
      </w:r>
      <w:r>
        <w:rPr>
          <w:spacing w:val="-8"/>
        </w:rPr>
        <w:t> </w:t>
      </w:r>
      <w:r>
        <w:rPr/>
        <w:t>that,</w:t>
      </w:r>
      <w:r>
        <w:rPr>
          <w:spacing w:val="-10"/>
        </w:rPr>
        <w:t> </w:t>
      </w:r>
      <w:r>
        <w:rPr/>
        <w:t>has</w:t>
      </w:r>
      <w:r>
        <w:rPr>
          <w:spacing w:val="-7"/>
        </w:rPr>
        <w:t> </w:t>
      </w:r>
      <w:r>
        <w:rPr/>
        <w:t>a</w:t>
      </w:r>
      <w:r>
        <w:rPr>
          <w:spacing w:val="-11"/>
        </w:rPr>
        <w:t> </w:t>
      </w:r>
      <w:r>
        <w:rPr/>
        <w:t>positive</w:t>
      </w:r>
      <w:r>
        <w:rPr>
          <w:spacing w:val="-9"/>
        </w:rPr>
        <w:t> </w:t>
      </w:r>
      <w:r>
        <w:rPr/>
        <w:t>effect on connective tissue weakness, thrombosis, problems of the vitreous bodies and gastric mucosal problems.</w:t>
      </w:r>
    </w:p>
    <w:p>
      <w:pPr>
        <w:pStyle w:val="BodyText"/>
        <w:rPr>
          <w:sz w:val="20"/>
        </w:rPr>
      </w:pPr>
    </w:p>
    <w:p>
      <w:pPr>
        <w:pStyle w:val="BodyText"/>
        <w:rPr>
          <w:sz w:val="20"/>
        </w:rPr>
      </w:pPr>
    </w:p>
    <w:p>
      <w:pPr>
        <w:pStyle w:val="BodyText"/>
        <w:spacing w:before="8"/>
        <w:rPr>
          <w:sz w:val="14"/>
        </w:rPr>
      </w:pPr>
      <w:r>
        <w:rPr/>
        <w:pict>
          <v:line style="position:absolute;mso-position-horizontal-relative:page;mso-position-vertical-relative:paragraph;z-index:5264;mso-wrap-distance-left:0;mso-wrap-distance-right:0" from="63.863998pt,10.667515pt" to="207.883998pt,10.667515pt" stroked="true" strokeweight=".71997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429 </w:t>
      </w:r>
      <w:r>
        <w:rPr>
          <w:sz w:val="20"/>
        </w:rPr>
        <w:t>Günther W. Frank: Kombucha – Mythos, Wahrheit, Faszination (‘Kombucha – Myth, Truth, Fascination’), 1999, p. 44</w:t>
      </w:r>
    </w:p>
    <w:p>
      <w:pPr>
        <w:spacing w:after="0"/>
        <w:jc w:val="left"/>
        <w:rPr>
          <w:sz w:val="20"/>
        </w:rPr>
        <w:sectPr>
          <w:pgSz w:w="14270" w:h="16850"/>
          <w:pgMar w:header="0" w:footer="1891" w:top="1600" w:bottom="2080" w:left="800" w:right="1280"/>
        </w:sectPr>
      </w:pPr>
    </w:p>
    <w:p>
      <w:pPr>
        <w:spacing w:line="276" w:lineRule="auto" w:before="181"/>
        <w:ind w:left="477" w:right="130" w:firstLine="0"/>
        <w:jc w:val="both"/>
        <w:rPr>
          <w:sz w:val="25"/>
        </w:rPr>
      </w:pPr>
      <w:r>
        <w:rPr>
          <w:sz w:val="38"/>
        </w:rPr>
        <w:t>Furthermore,</w:t>
      </w:r>
      <w:r>
        <w:rPr>
          <w:spacing w:val="-18"/>
          <w:sz w:val="38"/>
        </w:rPr>
        <w:t> </w:t>
      </w:r>
      <w:r>
        <w:rPr>
          <w:sz w:val="38"/>
        </w:rPr>
        <w:t>Dr.</w:t>
      </w:r>
      <w:r>
        <w:rPr>
          <w:spacing w:val="-16"/>
          <w:sz w:val="38"/>
        </w:rPr>
        <w:t> </w:t>
      </w:r>
      <w:r>
        <w:rPr>
          <w:sz w:val="38"/>
        </w:rPr>
        <w:t>Valentin</w:t>
      </w:r>
      <w:r>
        <w:rPr>
          <w:spacing w:val="-18"/>
          <w:sz w:val="38"/>
        </w:rPr>
        <w:t> </w:t>
      </w:r>
      <w:r>
        <w:rPr>
          <w:sz w:val="38"/>
        </w:rPr>
        <w:t>Köhler</w:t>
      </w:r>
      <w:r>
        <w:rPr>
          <w:spacing w:val="-18"/>
          <w:sz w:val="38"/>
        </w:rPr>
        <w:t> </w:t>
      </w:r>
      <w:r>
        <w:rPr>
          <w:sz w:val="38"/>
        </w:rPr>
        <w:t>achieved</w:t>
      </w:r>
      <w:r>
        <w:rPr>
          <w:spacing w:val="-16"/>
          <w:sz w:val="38"/>
        </w:rPr>
        <w:t> </w:t>
      </w:r>
      <w:r>
        <w:rPr>
          <w:sz w:val="38"/>
        </w:rPr>
        <w:t>‘</w:t>
      </w:r>
      <w:r>
        <w:rPr>
          <w:i/>
          <w:sz w:val="38"/>
        </w:rPr>
        <w:t>remarkably</w:t>
      </w:r>
      <w:r>
        <w:rPr>
          <w:i/>
          <w:spacing w:val="-17"/>
          <w:sz w:val="38"/>
        </w:rPr>
        <w:t> </w:t>
      </w:r>
      <w:r>
        <w:rPr>
          <w:i/>
          <w:sz w:val="38"/>
        </w:rPr>
        <w:t>good</w:t>
      </w:r>
      <w:r>
        <w:rPr>
          <w:i/>
          <w:spacing w:val="-19"/>
          <w:sz w:val="38"/>
        </w:rPr>
        <w:t> </w:t>
      </w:r>
      <w:r>
        <w:rPr>
          <w:i/>
          <w:sz w:val="38"/>
        </w:rPr>
        <w:t>healing</w:t>
      </w:r>
      <w:r>
        <w:rPr>
          <w:i/>
          <w:spacing w:val="-22"/>
          <w:sz w:val="38"/>
        </w:rPr>
        <w:t> </w:t>
      </w:r>
      <w:r>
        <w:rPr>
          <w:i/>
          <w:sz w:val="38"/>
        </w:rPr>
        <w:t>results’</w:t>
      </w:r>
      <w:r>
        <w:rPr>
          <w:i/>
          <w:spacing w:val="-19"/>
          <w:sz w:val="38"/>
        </w:rPr>
        <w:t> </w:t>
      </w:r>
      <w:r>
        <w:rPr>
          <w:sz w:val="38"/>
        </w:rPr>
        <w:t>in</w:t>
      </w:r>
      <w:r>
        <w:rPr>
          <w:spacing w:val="-21"/>
          <w:sz w:val="38"/>
        </w:rPr>
        <w:t> </w:t>
      </w:r>
      <w:r>
        <w:rPr>
          <w:sz w:val="38"/>
        </w:rPr>
        <w:t>can- cer, even in the advanced stage of the</w:t>
      </w:r>
      <w:r>
        <w:rPr>
          <w:spacing w:val="4"/>
          <w:sz w:val="38"/>
        </w:rPr>
        <w:t> </w:t>
      </w:r>
      <w:r>
        <w:rPr>
          <w:sz w:val="38"/>
        </w:rPr>
        <w:t>disease.</w:t>
      </w:r>
      <w:r>
        <w:rPr>
          <w:position w:val="9"/>
          <w:sz w:val="25"/>
        </w:rPr>
        <w:t>430</w:t>
      </w:r>
    </w:p>
    <w:p>
      <w:pPr>
        <w:pStyle w:val="Heading1"/>
        <w:jc w:val="both"/>
      </w:pPr>
      <w:r>
        <w:rPr/>
        <w:t>Gluconic acid</w:t>
      </w:r>
    </w:p>
    <w:p>
      <w:pPr>
        <w:pStyle w:val="BodyText"/>
        <w:spacing w:line="276" w:lineRule="auto" w:before="299"/>
        <w:ind w:left="477" w:right="130"/>
        <w:jc w:val="both"/>
      </w:pPr>
      <w:r>
        <w:rPr/>
        <w:t>Gluconic acid is an intermediate product of glucose metabolism and is formed when carbohydrates are broken down in combination with oxygen. Thus, glu- conic acid is a component of all living cells; it supports the action of antioxi- dants, such as vitamin C, OPC, vitamin E, Q10, etc, by acting as a complex- forming agent on iron ions and calcium.</w:t>
      </w:r>
    </w:p>
    <w:p>
      <w:pPr>
        <w:pStyle w:val="BodyText"/>
        <w:spacing w:line="276" w:lineRule="auto" w:before="240"/>
        <w:ind w:left="477" w:right="137"/>
        <w:jc w:val="both"/>
        <w:rPr>
          <w:sz w:val="25"/>
        </w:rPr>
      </w:pPr>
      <w:r>
        <w:rPr/>
        <w:t>Kombucha researcher Dr. Siegwart Hermann, from the University of Prague, has been able to show in his research that kombucha fungus excels acetic acid bacteria's ability to produce gluconic acid.</w:t>
      </w:r>
      <w:r>
        <w:rPr>
          <w:position w:val="9"/>
          <w:sz w:val="25"/>
        </w:rPr>
        <w:t>431</w:t>
      </w:r>
    </w:p>
    <w:p>
      <w:pPr>
        <w:pStyle w:val="Heading1"/>
        <w:spacing w:before="222"/>
        <w:jc w:val="both"/>
      </w:pPr>
      <w:r>
        <w:rPr/>
        <w:t>Dextrorotatory lactic acid</w:t>
      </w:r>
    </w:p>
    <w:p>
      <w:pPr>
        <w:pStyle w:val="BodyText"/>
        <w:spacing w:line="276" w:lineRule="auto" w:before="299"/>
        <w:ind w:left="477" w:right="140"/>
        <w:jc w:val="both"/>
      </w:pPr>
      <w:r>
        <w:rPr/>
        <w:t>In addition to glucuronic acid, kombucha also owes its strong antibiotic effect to</w:t>
      </w:r>
      <w:r>
        <w:rPr>
          <w:spacing w:val="-17"/>
        </w:rPr>
        <w:t> </w:t>
      </w:r>
      <w:r>
        <w:rPr/>
        <w:t>dextrorotatory</w:t>
      </w:r>
      <w:r>
        <w:rPr>
          <w:spacing w:val="-17"/>
        </w:rPr>
        <w:t> </w:t>
      </w:r>
      <w:r>
        <w:rPr/>
        <w:t>lactic</w:t>
      </w:r>
      <w:r>
        <w:rPr>
          <w:spacing w:val="-16"/>
        </w:rPr>
        <w:t> </w:t>
      </w:r>
      <w:r>
        <w:rPr/>
        <w:t>acid.</w:t>
      </w:r>
      <w:r>
        <w:rPr>
          <w:spacing w:val="-17"/>
        </w:rPr>
        <w:t> </w:t>
      </w:r>
      <w:r>
        <w:rPr/>
        <w:t>Dextrorotatory</w:t>
      </w:r>
      <w:r>
        <w:rPr>
          <w:spacing w:val="-17"/>
        </w:rPr>
        <w:t> </w:t>
      </w:r>
      <w:r>
        <w:rPr/>
        <w:t>lactic</w:t>
      </w:r>
      <w:r>
        <w:rPr>
          <w:spacing w:val="-17"/>
        </w:rPr>
        <w:t> </w:t>
      </w:r>
      <w:r>
        <w:rPr/>
        <w:t>acid</w:t>
      </w:r>
      <w:r>
        <w:rPr>
          <w:spacing w:val="-18"/>
        </w:rPr>
        <w:t> </w:t>
      </w:r>
      <w:r>
        <w:rPr/>
        <w:t>suppresses</w:t>
      </w:r>
      <w:r>
        <w:rPr>
          <w:spacing w:val="-18"/>
        </w:rPr>
        <w:t> </w:t>
      </w:r>
      <w:r>
        <w:rPr/>
        <w:t>the</w:t>
      </w:r>
      <w:r>
        <w:rPr>
          <w:spacing w:val="-16"/>
        </w:rPr>
        <w:t> </w:t>
      </w:r>
      <w:r>
        <w:rPr/>
        <w:t>spread</w:t>
      </w:r>
      <w:r>
        <w:rPr>
          <w:spacing w:val="-18"/>
        </w:rPr>
        <w:t> </w:t>
      </w:r>
      <w:r>
        <w:rPr/>
        <w:t>of putrefactive bacteria in the intestine and thus ensures a healthy intestinal</w:t>
      </w:r>
      <w:r>
        <w:rPr>
          <w:spacing w:val="-33"/>
        </w:rPr>
        <w:t> </w:t>
      </w:r>
      <w:r>
        <w:rPr/>
        <w:t>flora.</w:t>
      </w:r>
    </w:p>
    <w:p>
      <w:pPr>
        <w:pStyle w:val="BodyText"/>
        <w:spacing w:line="276" w:lineRule="auto" w:before="241"/>
        <w:ind w:left="477" w:right="135"/>
        <w:jc w:val="both"/>
      </w:pPr>
      <w:r>
        <w:rPr/>
        <w:t>While it is known that an overacidified body is anything but healthy, this may also involve levorotatory D(-) lactic acid, which contributes to this dangerous acidity. In contrast, kombucha (or microorganisms) produces dextrorotatory lactic acid.</w:t>
      </w:r>
    </w:p>
    <w:p>
      <w:pPr>
        <w:pStyle w:val="BodyText"/>
        <w:rPr>
          <w:sz w:val="20"/>
        </w:rPr>
      </w:pPr>
    </w:p>
    <w:p>
      <w:pPr>
        <w:pStyle w:val="BodyText"/>
        <w:spacing w:before="6"/>
        <w:rPr>
          <w:sz w:val="20"/>
        </w:rPr>
      </w:pPr>
      <w:r>
        <w:rPr/>
        <w:pict>
          <v:line style="position:absolute;mso-position-horizontal-relative:page;mso-position-vertical-relative:paragraph;z-index:5288;mso-wrap-distance-left:0;mso-wrap-distance-right:0" from="63.863998pt,13.908735pt" to="207.883998pt,13.908735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430 </w:t>
      </w:r>
      <w:r>
        <w:rPr>
          <w:sz w:val="20"/>
        </w:rPr>
        <w:t>Dr. Günter Harnisch: Kombucha – geballte Heilkraft aus der Natur ‘Kombucha – Concentrated Healing Power from Nature’ 1991, p.</w:t>
      </w:r>
      <w:r>
        <w:rPr>
          <w:spacing w:val="-27"/>
          <w:sz w:val="20"/>
        </w:rPr>
        <w:t> </w:t>
      </w:r>
      <w:r>
        <w:rPr>
          <w:sz w:val="20"/>
        </w:rPr>
        <w:t>52</w:t>
      </w:r>
    </w:p>
    <w:p>
      <w:pPr>
        <w:spacing w:before="94"/>
        <w:ind w:left="477" w:right="0" w:firstLine="0"/>
        <w:jc w:val="left"/>
        <w:rPr>
          <w:sz w:val="20"/>
        </w:rPr>
      </w:pPr>
      <w:r>
        <w:rPr>
          <w:position w:val="5"/>
          <w:sz w:val="13"/>
        </w:rPr>
        <w:t>431 </w:t>
      </w:r>
      <w:r>
        <w:rPr>
          <w:sz w:val="20"/>
        </w:rPr>
        <w:t>Dr. Günter Harnisch: Kombucha – geballte Heilkraft aus der Natur ‘Kombucha – Concentrated Healing Power from Nature’ 1991, p.</w:t>
      </w:r>
      <w:r>
        <w:rPr>
          <w:spacing w:val="-26"/>
          <w:sz w:val="20"/>
        </w:rPr>
        <w:t> </w:t>
      </w:r>
      <w:r>
        <w:rPr>
          <w:sz w:val="20"/>
        </w:rPr>
        <w:t>51</w:t>
      </w:r>
    </w:p>
    <w:p>
      <w:pPr>
        <w:spacing w:after="0"/>
        <w:jc w:val="left"/>
        <w:rPr>
          <w:sz w:val="20"/>
        </w:rPr>
        <w:sectPr>
          <w:footerReference w:type="default" r:id="rId181"/>
          <w:pgSz w:w="14270" w:h="16850"/>
          <w:pgMar w:footer="1891" w:header="0" w:top="1600" w:bottom="2080" w:left="800" w:right="1280"/>
          <w:pgNumType w:start="740"/>
        </w:sectPr>
      </w:pPr>
    </w:p>
    <w:p>
      <w:pPr>
        <w:pStyle w:val="BodyText"/>
        <w:spacing w:line="276" w:lineRule="auto" w:before="181"/>
        <w:ind w:left="477" w:right="136"/>
        <w:jc w:val="both"/>
      </w:pPr>
      <w:r>
        <w:rPr/>
        <w:t>According to Warburg, levorotatory lactic acid is increasingly found in malig- nant tumours; according to his thesis, the cancer cannot develop if dextrorota- tory lactic acid predominates.</w:t>
      </w:r>
    </w:p>
    <w:p>
      <w:pPr>
        <w:pStyle w:val="BodyText"/>
        <w:spacing w:line="276" w:lineRule="auto" w:before="242"/>
        <w:ind w:left="477" w:right="140"/>
        <w:jc w:val="both"/>
      </w:pPr>
      <w:r>
        <w:rPr/>
        <w:t>While dextrorotatory L(+) lactic acid is a natural component of the human body, for example, during carbohydrate metabolism, levorotatory lactic acid is a foreign substance.</w:t>
      </w:r>
    </w:p>
    <w:p>
      <w:pPr>
        <w:pStyle w:val="BodyText"/>
        <w:spacing w:line="276" w:lineRule="auto" w:before="239"/>
        <w:ind w:left="477" w:right="139"/>
        <w:jc w:val="both"/>
      </w:pPr>
      <w:r>
        <w:rPr/>
        <w:t>Dextrorotatory lactic acid is body-specific, can therefore be optimally utilised by the body and makes a significant contribution to the health of our intestinal flora – an excess of levorotatory lactic acid, however, leads to disorders in the body and diseases; even the WHO recommends a maximum intake of 100 mg levorotatory lactic acid/kg of body weight per day.</w:t>
      </w:r>
    </w:p>
    <w:p>
      <w:pPr>
        <w:pStyle w:val="BodyText"/>
        <w:spacing w:line="276" w:lineRule="auto" w:before="239"/>
        <w:ind w:left="477" w:right="137"/>
        <w:jc w:val="both"/>
      </w:pPr>
      <w:r>
        <w:rPr/>
        <w:t>The statement by leading scientists that 80 % of all degenerative diseases are caused by the disturbance of intestinal flora is worthy of note!</w:t>
      </w:r>
    </w:p>
    <w:p>
      <w:pPr>
        <w:pStyle w:val="Heading1"/>
        <w:jc w:val="both"/>
      </w:pPr>
      <w:r>
        <w:rPr/>
        <w:t>Probiotic lactic acid bacteria</w:t>
      </w:r>
    </w:p>
    <w:p>
      <w:pPr>
        <w:pStyle w:val="BodyText"/>
        <w:spacing w:line="276" w:lineRule="auto" w:before="299"/>
        <w:ind w:left="477" w:right="133"/>
        <w:jc w:val="both"/>
      </w:pPr>
      <w:r>
        <w:rPr/>
        <w:t>The</w:t>
      </w:r>
      <w:r>
        <w:rPr>
          <w:spacing w:val="-20"/>
        </w:rPr>
        <w:t> </w:t>
      </w:r>
      <w:r>
        <w:rPr/>
        <w:t>good,</w:t>
      </w:r>
      <w:r>
        <w:rPr>
          <w:spacing w:val="-21"/>
        </w:rPr>
        <w:t> </w:t>
      </w:r>
      <w:r>
        <w:rPr/>
        <w:t>dextrorotatory</w:t>
      </w:r>
      <w:r>
        <w:rPr>
          <w:spacing w:val="-20"/>
        </w:rPr>
        <w:t> </w:t>
      </w:r>
      <w:r>
        <w:rPr/>
        <w:t>lactic</w:t>
      </w:r>
      <w:r>
        <w:rPr>
          <w:spacing w:val="-19"/>
        </w:rPr>
        <w:t> </w:t>
      </w:r>
      <w:r>
        <w:rPr/>
        <w:t>acid,</w:t>
      </w:r>
      <w:r>
        <w:rPr>
          <w:spacing w:val="-21"/>
        </w:rPr>
        <w:t> </w:t>
      </w:r>
      <w:r>
        <w:rPr/>
        <w:t>which</w:t>
      </w:r>
      <w:r>
        <w:rPr>
          <w:spacing w:val="-19"/>
        </w:rPr>
        <w:t> </w:t>
      </w:r>
      <w:r>
        <w:rPr/>
        <w:t>intensively</w:t>
      </w:r>
      <w:r>
        <w:rPr>
          <w:spacing w:val="-19"/>
        </w:rPr>
        <w:t> </w:t>
      </w:r>
      <w:r>
        <w:rPr/>
        <w:t>produces</w:t>
      </w:r>
      <w:r>
        <w:rPr>
          <w:spacing w:val="-20"/>
        </w:rPr>
        <w:t> </w:t>
      </w:r>
      <w:r>
        <w:rPr/>
        <w:t>kombucha,</w:t>
      </w:r>
      <w:r>
        <w:rPr>
          <w:spacing w:val="-20"/>
        </w:rPr>
        <w:t> </w:t>
      </w:r>
      <w:r>
        <w:rPr/>
        <w:t>en- sures a healthy intestinal flora. The resulting good microorganisms (probiotic lactic acid bacteria) in turn produce innumerable nutrients which are indispen- sable</w:t>
      </w:r>
      <w:r>
        <w:rPr>
          <w:spacing w:val="-10"/>
        </w:rPr>
        <w:t> </w:t>
      </w:r>
      <w:r>
        <w:rPr/>
        <w:t>for</w:t>
      </w:r>
      <w:r>
        <w:rPr>
          <w:spacing w:val="-8"/>
        </w:rPr>
        <w:t> </w:t>
      </w:r>
      <w:r>
        <w:rPr/>
        <w:t>our</w:t>
      </w:r>
      <w:r>
        <w:rPr>
          <w:spacing w:val="-9"/>
        </w:rPr>
        <w:t> </w:t>
      </w:r>
      <w:r>
        <w:rPr/>
        <w:t>health,</w:t>
      </w:r>
      <w:r>
        <w:rPr>
          <w:spacing w:val="-8"/>
        </w:rPr>
        <w:t> </w:t>
      </w:r>
      <w:r>
        <w:rPr/>
        <w:t>such</w:t>
      </w:r>
      <w:r>
        <w:rPr>
          <w:spacing w:val="-8"/>
        </w:rPr>
        <w:t> </w:t>
      </w:r>
      <w:r>
        <w:rPr/>
        <w:t>as</w:t>
      </w:r>
      <w:r>
        <w:rPr>
          <w:spacing w:val="-10"/>
        </w:rPr>
        <w:t> </w:t>
      </w:r>
      <w:r>
        <w:rPr/>
        <w:t>folic</w:t>
      </w:r>
      <w:r>
        <w:rPr>
          <w:spacing w:val="-11"/>
        </w:rPr>
        <w:t> </w:t>
      </w:r>
      <w:r>
        <w:rPr/>
        <w:t>acid,</w:t>
      </w:r>
      <w:r>
        <w:rPr>
          <w:spacing w:val="-9"/>
        </w:rPr>
        <w:t> </w:t>
      </w:r>
      <w:r>
        <w:rPr/>
        <w:t>biotin,</w:t>
      </w:r>
      <w:r>
        <w:rPr>
          <w:spacing w:val="-9"/>
        </w:rPr>
        <w:t> </w:t>
      </w:r>
      <w:r>
        <w:rPr/>
        <w:t>nicotinic</w:t>
      </w:r>
      <w:r>
        <w:rPr>
          <w:spacing w:val="-9"/>
        </w:rPr>
        <w:t> </w:t>
      </w:r>
      <w:r>
        <w:rPr/>
        <w:t>acid,</w:t>
      </w:r>
      <w:r>
        <w:rPr>
          <w:spacing w:val="-10"/>
        </w:rPr>
        <w:t> </w:t>
      </w:r>
      <w:r>
        <w:rPr/>
        <w:t>vitamin</w:t>
      </w:r>
      <w:r>
        <w:rPr>
          <w:spacing w:val="-8"/>
        </w:rPr>
        <w:t> </w:t>
      </w:r>
      <w:r>
        <w:rPr/>
        <w:t>K,</w:t>
      </w:r>
      <w:r>
        <w:rPr>
          <w:spacing w:val="-9"/>
        </w:rPr>
        <w:t> </w:t>
      </w:r>
      <w:r>
        <w:rPr/>
        <w:t>vitamin B12 and many others (principle of probiotic</w:t>
      </w:r>
      <w:r>
        <w:rPr>
          <w:spacing w:val="-3"/>
        </w:rPr>
        <w:t> </w:t>
      </w:r>
      <w:r>
        <w:rPr/>
        <w:t>products).</w:t>
      </w:r>
    </w:p>
    <w:p>
      <w:pPr>
        <w:pStyle w:val="BodyText"/>
        <w:spacing w:line="276" w:lineRule="auto" w:before="241"/>
        <w:ind w:left="477" w:right="134"/>
        <w:jc w:val="both"/>
      </w:pPr>
      <w:r>
        <w:rPr/>
        <w:t>Healthy intestinal flora is vital; it is not for nothing that the following guiding principle is held by naturopaths and non-medical practitioners: ‘Death is in the</w:t>
      </w:r>
    </w:p>
    <w:p>
      <w:pPr>
        <w:spacing w:after="0" w:line="276" w:lineRule="auto"/>
        <w:jc w:val="both"/>
        <w:sectPr>
          <w:pgSz w:w="14270" w:h="16850"/>
          <w:pgMar w:header="0" w:footer="1891" w:top="1600" w:bottom="2080" w:left="800" w:right="1280"/>
        </w:sectPr>
      </w:pPr>
    </w:p>
    <w:p>
      <w:pPr>
        <w:pStyle w:val="BodyText"/>
        <w:spacing w:line="276" w:lineRule="auto" w:before="181"/>
        <w:ind w:left="477" w:right="135"/>
        <w:jc w:val="both"/>
      </w:pPr>
      <w:r>
        <w:rPr/>
        <w:t>gut’. A functioning, healthy intestinal flora consists of countless, vital bacterial strains that live in balance with each other. It is essential for a functioning im- mune system, and metabolism can only work if the intestinal flora is healthy. Thus, the intake of important nutrients, such as vitamins, takes place primarily with the support of the colon bacteria. On the other hand, the malignant in- vaders, such as the pathogenic, bad bacteria (such as the dreaded </w:t>
      </w:r>
      <w:r>
        <w:rPr>
          <w:i/>
        </w:rPr>
        <w:t>Candida albi- </w:t>
      </w:r>
      <w:r>
        <w:rPr>
          <w:i/>
        </w:rPr>
        <w:t>cans</w:t>
      </w:r>
      <w:r>
        <w:rPr/>
        <w:t>), are successfully repulsed by the good gut bacteria that kombucha pro- motes.</w:t>
      </w:r>
      <w:r>
        <w:rPr>
          <w:spacing w:val="-7"/>
        </w:rPr>
        <w:t> </w:t>
      </w:r>
      <w:r>
        <w:rPr/>
        <w:t>The</w:t>
      </w:r>
      <w:r>
        <w:rPr>
          <w:spacing w:val="-9"/>
        </w:rPr>
        <w:t> </w:t>
      </w:r>
      <w:r>
        <w:rPr/>
        <w:t>bad</w:t>
      </w:r>
      <w:r>
        <w:rPr>
          <w:spacing w:val="-7"/>
        </w:rPr>
        <w:t> </w:t>
      </w:r>
      <w:r>
        <w:rPr/>
        <w:t>bacteria</w:t>
      </w:r>
      <w:r>
        <w:rPr>
          <w:spacing w:val="-8"/>
        </w:rPr>
        <w:t> </w:t>
      </w:r>
      <w:r>
        <w:rPr/>
        <w:t>can</w:t>
      </w:r>
      <w:r>
        <w:rPr>
          <w:spacing w:val="-6"/>
        </w:rPr>
        <w:t> </w:t>
      </w:r>
      <w:r>
        <w:rPr/>
        <w:t>only</w:t>
      </w:r>
      <w:r>
        <w:rPr>
          <w:spacing w:val="-7"/>
        </w:rPr>
        <w:t> </w:t>
      </w:r>
      <w:r>
        <w:rPr/>
        <w:t>multiply</w:t>
      </w:r>
      <w:r>
        <w:rPr>
          <w:spacing w:val="-7"/>
        </w:rPr>
        <w:t> </w:t>
      </w:r>
      <w:r>
        <w:rPr/>
        <w:t>if</w:t>
      </w:r>
      <w:r>
        <w:rPr>
          <w:spacing w:val="-8"/>
        </w:rPr>
        <w:t> </w:t>
      </w:r>
      <w:r>
        <w:rPr/>
        <w:t>the</w:t>
      </w:r>
      <w:r>
        <w:rPr>
          <w:spacing w:val="-6"/>
        </w:rPr>
        <w:t> </w:t>
      </w:r>
      <w:r>
        <w:rPr/>
        <w:t>good</w:t>
      </w:r>
      <w:r>
        <w:rPr>
          <w:spacing w:val="-7"/>
        </w:rPr>
        <w:t> </w:t>
      </w:r>
      <w:r>
        <w:rPr/>
        <w:t>microorganisms</w:t>
      </w:r>
      <w:r>
        <w:rPr>
          <w:spacing w:val="-6"/>
        </w:rPr>
        <w:t> </w:t>
      </w:r>
      <w:r>
        <w:rPr/>
        <w:t>are</w:t>
      </w:r>
      <w:r>
        <w:rPr>
          <w:spacing w:val="-7"/>
        </w:rPr>
        <w:t> </w:t>
      </w:r>
      <w:r>
        <w:rPr/>
        <w:t>infe- rior in</w:t>
      </w:r>
      <w:r>
        <w:rPr>
          <w:spacing w:val="1"/>
        </w:rPr>
        <w:t> </w:t>
      </w:r>
      <w:r>
        <w:rPr/>
        <w:t>number.</w:t>
      </w:r>
    </w:p>
    <w:p>
      <w:pPr>
        <w:pStyle w:val="BodyText"/>
        <w:spacing w:line="276" w:lineRule="auto" w:before="242"/>
        <w:ind w:left="477" w:right="133"/>
        <w:jc w:val="both"/>
      </w:pPr>
      <w:r>
        <w:rPr/>
        <w:t>Regular</w:t>
      </w:r>
      <w:r>
        <w:rPr>
          <w:spacing w:val="-10"/>
        </w:rPr>
        <w:t> </w:t>
      </w:r>
      <w:r>
        <w:rPr/>
        <w:t>consumption</w:t>
      </w:r>
      <w:r>
        <w:rPr>
          <w:spacing w:val="-9"/>
        </w:rPr>
        <w:t> </w:t>
      </w:r>
      <w:r>
        <w:rPr/>
        <w:t>of</w:t>
      </w:r>
      <w:r>
        <w:rPr>
          <w:spacing w:val="-9"/>
        </w:rPr>
        <w:t> </w:t>
      </w:r>
      <w:r>
        <w:rPr/>
        <w:t>kombucha</w:t>
      </w:r>
      <w:r>
        <w:rPr>
          <w:spacing w:val="-11"/>
        </w:rPr>
        <w:t> </w:t>
      </w:r>
      <w:r>
        <w:rPr/>
        <w:t>tea</w:t>
      </w:r>
      <w:r>
        <w:rPr>
          <w:spacing w:val="-10"/>
        </w:rPr>
        <w:t> </w:t>
      </w:r>
      <w:r>
        <w:rPr/>
        <w:t>is</w:t>
      </w:r>
      <w:r>
        <w:rPr>
          <w:spacing w:val="-9"/>
        </w:rPr>
        <w:t> </w:t>
      </w:r>
      <w:r>
        <w:rPr/>
        <w:t>therefore</w:t>
      </w:r>
      <w:r>
        <w:rPr>
          <w:spacing w:val="-9"/>
        </w:rPr>
        <w:t> </w:t>
      </w:r>
      <w:r>
        <w:rPr/>
        <w:t>a</w:t>
      </w:r>
      <w:r>
        <w:rPr>
          <w:spacing w:val="-11"/>
        </w:rPr>
        <w:t> </w:t>
      </w:r>
      <w:r>
        <w:rPr/>
        <w:t>guarantee</w:t>
      </w:r>
      <w:r>
        <w:rPr>
          <w:spacing w:val="-8"/>
        </w:rPr>
        <w:t> </w:t>
      </w:r>
      <w:r>
        <w:rPr/>
        <w:t>that</w:t>
      </w:r>
      <w:r>
        <w:rPr>
          <w:spacing w:val="-10"/>
        </w:rPr>
        <w:t> </w:t>
      </w:r>
      <w:r>
        <w:rPr/>
        <w:t>this</w:t>
      </w:r>
      <w:r>
        <w:rPr>
          <w:spacing w:val="-8"/>
        </w:rPr>
        <w:t> </w:t>
      </w:r>
      <w:r>
        <w:rPr/>
        <w:t>cannot occur!</w:t>
      </w:r>
    </w:p>
    <w:p>
      <w:pPr>
        <w:pStyle w:val="BodyText"/>
        <w:spacing w:line="273" w:lineRule="auto" w:before="221"/>
        <w:ind w:left="477" w:right="140"/>
        <w:jc w:val="both"/>
      </w:pPr>
      <w:r>
        <w:rPr>
          <w:b/>
          <w:i/>
          <w:sz w:val="40"/>
        </w:rPr>
        <w:t>Various</w:t>
      </w:r>
      <w:r>
        <w:rPr>
          <w:b/>
          <w:i/>
          <w:spacing w:val="-13"/>
          <w:sz w:val="40"/>
        </w:rPr>
        <w:t> </w:t>
      </w:r>
      <w:r>
        <w:rPr>
          <w:b/>
          <w:i/>
          <w:sz w:val="40"/>
        </w:rPr>
        <w:t>enzymes:</w:t>
      </w:r>
      <w:r>
        <w:rPr>
          <w:b/>
          <w:i/>
          <w:spacing w:val="-14"/>
          <w:sz w:val="40"/>
        </w:rPr>
        <w:t> </w:t>
      </w:r>
      <w:r>
        <w:rPr/>
        <w:t>enzymes</w:t>
      </w:r>
      <w:r>
        <w:rPr>
          <w:spacing w:val="-7"/>
        </w:rPr>
        <w:t> </w:t>
      </w:r>
      <w:r>
        <w:rPr/>
        <w:t>are</w:t>
      </w:r>
      <w:r>
        <w:rPr>
          <w:spacing w:val="-10"/>
        </w:rPr>
        <w:t> </w:t>
      </w:r>
      <w:r>
        <w:rPr/>
        <w:t>biocatalysts</w:t>
      </w:r>
      <w:r>
        <w:rPr>
          <w:spacing w:val="-7"/>
        </w:rPr>
        <w:t> </w:t>
      </w:r>
      <w:r>
        <w:rPr/>
        <w:t>that</w:t>
      </w:r>
      <w:r>
        <w:rPr>
          <w:spacing w:val="-7"/>
        </w:rPr>
        <w:t> </w:t>
      </w:r>
      <w:r>
        <w:rPr/>
        <w:t>perform</w:t>
      </w:r>
      <w:r>
        <w:rPr>
          <w:spacing w:val="-10"/>
        </w:rPr>
        <w:t> </w:t>
      </w:r>
      <w:r>
        <w:rPr/>
        <w:t>vital</w:t>
      </w:r>
      <w:r>
        <w:rPr>
          <w:spacing w:val="-8"/>
        </w:rPr>
        <w:t> </w:t>
      </w:r>
      <w:r>
        <w:rPr/>
        <w:t>tasks</w:t>
      </w:r>
      <w:r>
        <w:rPr>
          <w:spacing w:val="-7"/>
        </w:rPr>
        <w:t> </w:t>
      </w:r>
      <w:r>
        <w:rPr/>
        <w:t>in</w:t>
      </w:r>
      <w:r>
        <w:rPr>
          <w:spacing w:val="-8"/>
        </w:rPr>
        <w:t> </w:t>
      </w:r>
      <w:r>
        <w:rPr/>
        <w:t>collab- oration</w:t>
      </w:r>
      <w:r>
        <w:rPr>
          <w:spacing w:val="-9"/>
        </w:rPr>
        <w:t> </w:t>
      </w:r>
      <w:r>
        <w:rPr/>
        <w:t>with</w:t>
      </w:r>
      <w:r>
        <w:rPr>
          <w:spacing w:val="-7"/>
        </w:rPr>
        <w:t> </w:t>
      </w:r>
      <w:r>
        <w:rPr/>
        <w:t>numerous</w:t>
      </w:r>
      <w:r>
        <w:rPr>
          <w:spacing w:val="-9"/>
        </w:rPr>
        <w:t> </w:t>
      </w:r>
      <w:r>
        <w:rPr/>
        <w:t>biochemical</w:t>
      </w:r>
      <w:r>
        <w:rPr>
          <w:spacing w:val="-9"/>
        </w:rPr>
        <w:t> </w:t>
      </w:r>
      <w:r>
        <w:rPr/>
        <w:t>processes</w:t>
      </w:r>
      <w:r>
        <w:rPr>
          <w:spacing w:val="-10"/>
        </w:rPr>
        <w:t> </w:t>
      </w:r>
      <w:r>
        <w:rPr/>
        <w:t>throughout</w:t>
      </w:r>
      <w:r>
        <w:rPr>
          <w:spacing w:val="-9"/>
        </w:rPr>
        <w:t> </w:t>
      </w:r>
      <w:r>
        <w:rPr/>
        <w:t>our</w:t>
      </w:r>
      <w:r>
        <w:rPr>
          <w:spacing w:val="-9"/>
        </w:rPr>
        <w:t> </w:t>
      </w:r>
      <w:r>
        <w:rPr/>
        <w:t>bodies.</w:t>
      </w:r>
      <w:r>
        <w:rPr>
          <w:spacing w:val="-7"/>
        </w:rPr>
        <w:t> </w:t>
      </w:r>
      <w:r>
        <w:rPr/>
        <w:t>In</w:t>
      </w:r>
      <w:r>
        <w:rPr>
          <w:spacing w:val="-8"/>
        </w:rPr>
        <w:t> </w:t>
      </w:r>
      <w:r>
        <w:rPr/>
        <w:t>short: no life is possible without enzymes! Listing the functions of enzymes could fill whole libraries; the most important tasks</w:t>
      </w:r>
      <w:r>
        <w:rPr>
          <w:spacing w:val="6"/>
        </w:rPr>
        <w:t> </w:t>
      </w:r>
      <w:r>
        <w:rPr/>
        <w:t>are:</w:t>
      </w:r>
    </w:p>
    <w:p>
      <w:pPr>
        <w:pStyle w:val="ListParagraph"/>
        <w:numPr>
          <w:ilvl w:val="0"/>
          <w:numId w:val="45"/>
        </w:numPr>
        <w:tabs>
          <w:tab w:pos="1228" w:val="left" w:leader="none"/>
          <w:tab w:pos="1229" w:val="left" w:leader="none"/>
        </w:tabs>
        <w:spacing w:line="240" w:lineRule="auto" w:before="252" w:after="0"/>
        <w:ind w:left="1228" w:right="0" w:hanging="391"/>
        <w:jc w:val="left"/>
        <w:rPr>
          <w:sz w:val="38"/>
        </w:rPr>
      </w:pPr>
      <w:r>
        <w:rPr>
          <w:sz w:val="38"/>
        </w:rPr>
        <w:t>digestion,</w:t>
      </w:r>
    </w:p>
    <w:p>
      <w:pPr>
        <w:pStyle w:val="ListParagraph"/>
        <w:numPr>
          <w:ilvl w:val="0"/>
          <w:numId w:val="45"/>
        </w:numPr>
        <w:tabs>
          <w:tab w:pos="1228" w:val="left" w:leader="none"/>
          <w:tab w:pos="1229" w:val="left" w:leader="none"/>
        </w:tabs>
        <w:spacing w:line="240" w:lineRule="auto" w:before="184" w:after="0"/>
        <w:ind w:left="1228" w:right="0" w:hanging="391"/>
        <w:jc w:val="left"/>
        <w:rPr>
          <w:sz w:val="38"/>
        </w:rPr>
      </w:pPr>
      <w:r>
        <w:rPr>
          <w:sz w:val="38"/>
        </w:rPr>
        <w:t>strengthening the immune</w:t>
      </w:r>
      <w:r>
        <w:rPr>
          <w:spacing w:val="2"/>
          <w:sz w:val="38"/>
        </w:rPr>
        <w:t> </w:t>
      </w:r>
      <w:r>
        <w:rPr>
          <w:sz w:val="38"/>
        </w:rPr>
        <w:t>system,</w:t>
      </w:r>
    </w:p>
    <w:p>
      <w:pPr>
        <w:pStyle w:val="ListParagraph"/>
        <w:numPr>
          <w:ilvl w:val="0"/>
          <w:numId w:val="45"/>
        </w:numPr>
        <w:tabs>
          <w:tab w:pos="1228" w:val="left" w:leader="none"/>
          <w:tab w:pos="1229" w:val="left" w:leader="none"/>
        </w:tabs>
        <w:spacing w:line="240" w:lineRule="auto" w:before="183" w:after="0"/>
        <w:ind w:left="1228" w:right="0" w:hanging="391"/>
        <w:jc w:val="left"/>
        <w:rPr>
          <w:sz w:val="38"/>
        </w:rPr>
      </w:pPr>
      <w:r>
        <w:rPr>
          <w:sz w:val="38"/>
        </w:rPr>
        <w:t>regulation of the</w:t>
      </w:r>
      <w:r>
        <w:rPr>
          <w:spacing w:val="3"/>
          <w:sz w:val="38"/>
        </w:rPr>
        <w:t> </w:t>
      </w:r>
      <w:r>
        <w:rPr>
          <w:sz w:val="38"/>
        </w:rPr>
        <w:t>metabolism,</w:t>
      </w:r>
    </w:p>
    <w:p>
      <w:pPr>
        <w:pStyle w:val="ListParagraph"/>
        <w:numPr>
          <w:ilvl w:val="0"/>
          <w:numId w:val="45"/>
        </w:numPr>
        <w:tabs>
          <w:tab w:pos="1228" w:val="left" w:leader="none"/>
          <w:tab w:pos="1229" w:val="left" w:leader="none"/>
        </w:tabs>
        <w:spacing w:line="240" w:lineRule="auto" w:before="185" w:after="0"/>
        <w:ind w:left="1228" w:right="0" w:hanging="391"/>
        <w:jc w:val="left"/>
        <w:rPr>
          <w:sz w:val="38"/>
        </w:rPr>
      </w:pPr>
      <w:r>
        <w:rPr>
          <w:sz w:val="38"/>
        </w:rPr>
        <w:t>detoxification of the</w:t>
      </w:r>
      <w:r>
        <w:rPr>
          <w:spacing w:val="3"/>
          <w:sz w:val="38"/>
        </w:rPr>
        <w:t> </w:t>
      </w:r>
      <w:r>
        <w:rPr>
          <w:sz w:val="38"/>
        </w:rPr>
        <w:t>body,</w:t>
      </w:r>
    </w:p>
    <w:p>
      <w:pPr>
        <w:pStyle w:val="ListParagraph"/>
        <w:numPr>
          <w:ilvl w:val="0"/>
          <w:numId w:val="45"/>
        </w:numPr>
        <w:tabs>
          <w:tab w:pos="1228" w:val="left" w:leader="none"/>
          <w:tab w:pos="1229" w:val="left" w:leader="none"/>
        </w:tabs>
        <w:spacing w:line="240" w:lineRule="auto" w:before="186" w:after="0"/>
        <w:ind w:left="1228" w:right="0" w:hanging="391"/>
        <w:jc w:val="left"/>
        <w:rPr>
          <w:sz w:val="38"/>
        </w:rPr>
      </w:pPr>
      <w:r>
        <w:rPr>
          <w:sz w:val="38"/>
        </w:rPr>
        <w:t>reduction of</w:t>
      </w:r>
      <w:r>
        <w:rPr>
          <w:spacing w:val="1"/>
          <w:sz w:val="38"/>
        </w:rPr>
        <w:t> </w:t>
      </w:r>
      <w:r>
        <w:rPr>
          <w:sz w:val="38"/>
        </w:rPr>
        <w:t>inflammation,</w:t>
      </w:r>
    </w:p>
    <w:p>
      <w:pPr>
        <w:pStyle w:val="ListParagraph"/>
        <w:numPr>
          <w:ilvl w:val="0"/>
          <w:numId w:val="45"/>
        </w:numPr>
        <w:tabs>
          <w:tab w:pos="1228" w:val="left" w:leader="none"/>
          <w:tab w:pos="1229" w:val="left" w:leader="none"/>
        </w:tabs>
        <w:spacing w:line="240" w:lineRule="auto" w:before="183" w:after="0"/>
        <w:ind w:left="1228" w:right="0" w:hanging="391"/>
        <w:jc w:val="left"/>
        <w:rPr>
          <w:sz w:val="38"/>
        </w:rPr>
      </w:pPr>
      <w:r>
        <w:rPr>
          <w:sz w:val="38"/>
        </w:rPr>
        <w:t>wound</w:t>
      </w:r>
      <w:r>
        <w:rPr>
          <w:spacing w:val="-1"/>
          <w:sz w:val="38"/>
        </w:rPr>
        <w:t> </w:t>
      </w:r>
      <w:r>
        <w:rPr>
          <w:sz w:val="38"/>
        </w:rPr>
        <w:t>healing,</w:t>
      </w:r>
    </w:p>
    <w:p>
      <w:pPr>
        <w:spacing w:after="0" w:line="240" w:lineRule="auto"/>
        <w:jc w:val="left"/>
        <w:rPr>
          <w:sz w:val="38"/>
        </w:rPr>
        <w:sectPr>
          <w:pgSz w:w="14270" w:h="16850"/>
          <w:pgMar w:header="0" w:footer="1891" w:top="1600" w:bottom="2080" w:left="800" w:right="1280"/>
        </w:sectPr>
      </w:pPr>
    </w:p>
    <w:p>
      <w:pPr>
        <w:pStyle w:val="BodyText"/>
        <w:spacing w:before="10"/>
        <w:rPr>
          <w:sz w:val="8"/>
        </w:rPr>
      </w:pPr>
    </w:p>
    <w:p>
      <w:pPr>
        <w:pStyle w:val="ListParagraph"/>
        <w:numPr>
          <w:ilvl w:val="0"/>
          <w:numId w:val="45"/>
        </w:numPr>
        <w:tabs>
          <w:tab w:pos="1228" w:val="left" w:leader="none"/>
          <w:tab w:pos="1229" w:val="left" w:leader="none"/>
        </w:tabs>
        <w:spacing w:line="240" w:lineRule="auto" w:before="83" w:after="0"/>
        <w:ind w:left="1228" w:right="0" w:hanging="391"/>
        <w:jc w:val="left"/>
        <w:rPr>
          <w:sz w:val="38"/>
        </w:rPr>
      </w:pPr>
      <w:r>
        <w:rPr>
          <w:sz w:val="38"/>
        </w:rPr>
        <w:t>antiviral and antibacterial</w:t>
      </w:r>
      <w:r>
        <w:rPr>
          <w:spacing w:val="-4"/>
          <w:sz w:val="38"/>
        </w:rPr>
        <w:t> </w:t>
      </w:r>
      <w:r>
        <w:rPr>
          <w:sz w:val="38"/>
        </w:rPr>
        <w:t>effect,</w:t>
      </w:r>
    </w:p>
    <w:p>
      <w:pPr>
        <w:pStyle w:val="ListParagraph"/>
        <w:numPr>
          <w:ilvl w:val="0"/>
          <w:numId w:val="45"/>
        </w:numPr>
        <w:tabs>
          <w:tab w:pos="1228" w:val="left" w:leader="none"/>
          <w:tab w:pos="1229" w:val="left" w:leader="none"/>
        </w:tabs>
        <w:spacing w:line="240" w:lineRule="auto" w:before="184" w:after="0"/>
        <w:ind w:left="1228" w:right="0" w:hanging="391"/>
        <w:jc w:val="left"/>
        <w:rPr>
          <w:sz w:val="38"/>
        </w:rPr>
      </w:pPr>
      <w:r>
        <w:rPr>
          <w:sz w:val="38"/>
        </w:rPr>
        <w:t>delay of biological</w:t>
      </w:r>
      <w:r>
        <w:rPr>
          <w:spacing w:val="-4"/>
          <w:sz w:val="38"/>
        </w:rPr>
        <w:t> </w:t>
      </w:r>
      <w:r>
        <w:rPr>
          <w:sz w:val="38"/>
        </w:rPr>
        <w:t>ageing,</w:t>
      </w:r>
    </w:p>
    <w:p>
      <w:pPr>
        <w:pStyle w:val="ListParagraph"/>
        <w:numPr>
          <w:ilvl w:val="0"/>
          <w:numId w:val="45"/>
        </w:numPr>
        <w:tabs>
          <w:tab w:pos="1228" w:val="left" w:leader="none"/>
          <w:tab w:pos="1229" w:val="left" w:leader="none"/>
        </w:tabs>
        <w:spacing w:line="240" w:lineRule="auto" w:before="186" w:after="0"/>
        <w:ind w:left="1228" w:right="0" w:hanging="391"/>
        <w:jc w:val="left"/>
        <w:rPr>
          <w:sz w:val="38"/>
        </w:rPr>
      </w:pPr>
      <w:r>
        <w:rPr>
          <w:sz w:val="38"/>
        </w:rPr>
        <w:t>prevention of diseases such as cardiovascular</w:t>
      </w:r>
      <w:r>
        <w:rPr>
          <w:spacing w:val="-2"/>
          <w:sz w:val="38"/>
        </w:rPr>
        <w:t> </w:t>
      </w:r>
      <w:r>
        <w:rPr>
          <w:sz w:val="38"/>
        </w:rPr>
        <w:t>degeneration.</w:t>
      </w:r>
    </w:p>
    <w:p>
      <w:pPr>
        <w:pStyle w:val="BodyText"/>
        <w:spacing w:line="276" w:lineRule="auto" w:before="302"/>
        <w:ind w:left="477" w:right="148"/>
        <w:jc w:val="both"/>
      </w:pPr>
      <w:r>
        <w:rPr/>
        <w:t>The enzymes which have been discovered in kombucha to date are amylase, invertase, catalase, lab enzyme, sucrase and the proteolytic enzyme.</w:t>
      </w:r>
    </w:p>
    <w:p>
      <w:pPr>
        <w:pStyle w:val="Heading1"/>
        <w:spacing w:before="221"/>
      </w:pPr>
      <w:r>
        <w:rPr/>
        <w:t>Antibiotic substances</w:t>
      </w:r>
    </w:p>
    <w:p>
      <w:pPr>
        <w:pStyle w:val="BodyText"/>
        <w:spacing w:line="276" w:lineRule="auto" w:before="300"/>
        <w:ind w:left="477" w:right="134"/>
        <w:jc w:val="both"/>
      </w:pPr>
      <w:r>
        <w:rPr/>
        <w:t>As already mentioned, 80 % of all bacteria are now resistant to the antibiotic ‘penicillin’,</w:t>
      </w:r>
      <w:r>
        <w:rPr>
          <w:spacing w:val="-6"/>
        </w:rPr>
        <w:t> </w:t>
      </w:r>
      <w:r>
        <w:rPr/>
        <w:t>i.e.</w:t>
      </w:r>
      <w:r>
        <w:rPr>
          <w:spacing w:val="-6"/>
        </w:rPr>
        <w:t> </w:t>
      </w:r>
      <w:r>
        <w:rPr/>
        <w:t>it</w:t>
      </w:r>
      <w:r>
        <w:rPr>
          <w:spacing w:val="-9"/>
        </w:rPr>
        <w:t> </w:t>
      </w:r>
      <w:r>
        <w:rPr/>
        <w:t>does</w:t>
      </w:r>
      <w:r>
        <w:rPr>
          <w:spacing w:val="-9"/>
        </w:rPr>
        <w:t> </w:t>
      </w:r>
      <w:r>
        <w:rPr/>
        <w:t>not</w:t>
      </w:r>
      <w:r>
        <w:rPr>
          <w:spacing w:val="-7"/>
        </w:rPr>
        <w:t> </w:t>
      </w:r>
      <w:r>
        <w:rPr/>
        <w:t>affect</w:t>
      </w:r>
      <w:r>
        <w:rPr>
          <w:spacing w:val="-9"/>
        </w:rPr>
        <w:t> </w:t>
      </w:r>
      <w:r>
        <w:rPr/>
        <w:t>them.</w:t>
      </w:r>
      <w:r>
        <w:rPr>
          <w:spacing w:val="-6"/>
        </w:rPr>
        <w:t> </w:t>
      </w:r>
      <w:r>
        <w:rPr/>
        <w:t>This</w:t>
      </w:r>
      <w:r>
        <w:rPr>
          <w:spacing w:val="-5"/>
        </w:rPr>
        <w:t> </w:t>
      </w:r>
      <w:r>
        <w:rPr/>
        <w:t>is</w:t>
      </w:r>
      <w:r>
        <w:rPr>
          <w:spacing w:val="-9"/>
        </w:rPr>
        <w:t> </w:t>
      </w:r>
      <w:r>
        <w:rPr/>
        <w:t>without</w:t>
      </w:r>
      <w:r>
        <w:rPr>
          <w:spacing w:val="-9"/>
        </w:rPr>
        <w:t> </w:t>
      </w:r>
      <w:r>
        <w:rPr/>
        <w:t>question</w:t>
      </w:r>
      <w:r>
        <w:rPr>
          <w:spacing w:val="-6"/>
        </w:rPr>
        <w:t> </w:t>
      </w:r>
      <w:r>
        <w:rPr/>
        <w:t>due</w:t>
      </w:r>
      <w:r>
        <w:rPr>
          <w:spacing w:val="-8"/>
        </w:rPr>
        <w:t> </w:t>
      </w:r>
      <w:r>
        <w:rPr/>
        <w:t>to</w:t>
      </w:r>
      <w:r>
        <w:rPr>
          <w:spacing w:val="-5"/>
        </w:rPr>
        <w:t> </w:t>
      </w:r>
      <w:r>
        <w:rPr/>
        <w:t>the</w:t>
      </w:r>
      <w:r>
        <w:rPr>
          <w:spacing w:val="-8"/>
        </w:rPr>
        <w:t> </w:t>
      </w:r>
      <w:r>
        <w:rPr/>
        <w:t>non- sensical use of antibiotics in animal husbandry and the tendency of many doc- tors to prescribe antibiotics far too readily for all kinds of</w:t>
      </w:r>
      <w:r>
        <w:rPr>
          <w:spacing w:val="-9"/>
        </w:rPr>
        <w:t> </w:t>
      </w:r>
      <w:r>
        <w:rPr/>
        <w:t>conditions.</w:t>
      </w:r>
    </w:p>
    <w:p>
      <w:pPr>
        <w:pStyle w:val="BodyText"/>
        <w:spacing w:line="276" w:lineRule="auto" w:before="241"/>
        <w:ind w:left="477" w:right="137"/>
        <w:jc w:val="both"/>
      </w:pPr>
      <w:r>
        <w:rPr/>
        <w:t>If, one day, we are indeed infected by a dangerous bacterium, it often turns</w:t>
      </w:r>
      <w:r>
        <w:rPr>
          <w:spacing w:val="-65"/>
        </w:rPr>
        <w:t> </w:t>
      </w:r>
      <w:r>
        <w:rPr/>
        <w:t>out that</w:t>
      </w:r>
      <w:r>
        <w:rPr>
          <w:spacing w:val="-17"/>
        </w:rPr>
        <w:t> </w:t>
      </w:r>
      <w:r>
        <w:rPr/>
        <w:t>the</w:t>
      </w:r>
      <w:r>
        <w:rPr>
          <w:spacing w:val="-15"/>
        </w:rPr>
        <w:t> </w:t>
      </w:r>
      <w:r>
        <w:rPr/>
        <w:t>frequent</w:t>
      </w:r>
      <w:r>
        <w:rPr>
          <w:spacing w:val="-15"/>
        </w:rPr>
        <w:t> </w:t>
      </w:r>
      <w:r>
        <w:rPr/>
        <w:t>use</w:t>
      </w:r>
      <w:r>
        <w:rPr>
          <w:spacing w:val="-17"/>
        </w:rPr>
        <w:t> </w:t>
      </w:r>
      <w:r>
        <w:rPr/>
        <w:t>of</w:t>
      </w:r>
      <w:r>
        <w:rPr>
          <w:spacing w:val="-16"/>
        </w:rPr>
        <w:t> </w:t>
      </w:r>
      <w:r>
        <w:rPr/>
        <w:t>antibiotics</w:t>
      </w:r>
      <w:r>
        <w:rPr>
          <w:spacing w:val="-16"/>
        </w:rPr>
        <w:t> </w:t>
      </w:r>
      <w:r>
        <w:rPr/>
        <w:t>has</w:t>
      </w:r>
      <w:r>
        <w:rPr>
          <w:spacing w:val="-16"/>
        </w:rPr>
        <w:t> </w:t>
      </w:r>
      <w:r>
        <w:rPr/>
        <w:t>gradually</w:t>
      </w:r>
      <w:r>
        <w:rPr>
          <w:spacing w:val="-16"/>
        </w:rPr>
        <w:t> </w:t>
      </w:r>
      <w:r>
        <w:rPr/>
        <w:t>developed</w:t>
      </w:r>
      <w:r>
        <w:rPr>
          <w:spacing w:val="-16"/>
        </w:rPr>
        <w:t> </w:t>
      </w:r>
      <w:r>
        <w:rPr/>
        <w:t>a</w:t>
      </w:r>
      <w:r>
        <w:rPr>
          <w:spacing w:val="-18"/>
        </w:rPr>
        <w:t> </w:t>
      </w:r>
      <w:r>
        <w:rPr/>
        <w:t>resistance</w:t>
      </w:r>
      <w:r>
        <w:rPr>
          <w:spacing w:val="-16"/>
        </w:rPr>
        <w:t> </w:t>
      </w:r>
      <w:r>
        <w:rPr/>
        <w:t>and</w:t>
      </w:r>
      <w:r>
        <w:rPr>
          <w:spacing w:val="-16"/>
        </w:rPr>
        <w:t> </w:t>
      </w:r>
      <w:r>
        <w:rPr/>
        <w:t>that we are defenceless and</w:t>
      </w:r>
      <w:r>
        <w:rPr>
          <w:spacing w:val="2"/>
        </w:rPr>
        <w:t> </w:t>
      </w:r>
      <w:r>
        <w:rPr/>
        <w:t>helpless.</w:t>
      </w:r>
    </w:p>
    <w:p>
      <w:pPr>
        <w:pStyle w:val="BodyText"/>
        <w:spacing w:line="276" w:lineRule="auto" w:before="239"/>
        <w:ind w:left="477" w:right="132"/>
        <w:jc w:val="both"/>
      </w:pPr>
      <w:r>
        <w:rPr/>
        <w:t>It is all the more interesting to look for alternatives from nature, which have comparable bactericidal effects and much fewer side effects. However, if one considers that penicillin, the best-known antibiotic in the world, is extracted from a fungus, it should not surprise us that the kombucha fungus has an anti- biotic effect.</w:t>
      </w:r>
    </w:p>
    <w:p>
      <w:pPr>
        <w:spacing w:after="0" w:line="276" w:lineRule="auto"/>
        <w:jc w:val="both"/>
        <w:sectPr>
          <w:pgSz w:w="14270" w:h="16850"/>
          <w:pgMar w:header="0" w:footer="1891" w:top="1600" w:bottom="2080" w:left="800" w:right="1280"/>
        </w:sectPr>
      </w:pPr>
    </w:p>
    <w:p>
      <w:pPr>
        <w:pStyle w:val="BodyText"/>
        <w:spacing w:line="276" w:lineRule="auto" w:before="181"/>
        <w:ind w:left="477" w:right="132"/>
        <w:jc w:val="both"/>
      </w:pPr>
      <w:r>
        <w:rPr/>
        <w:t>The application possibilities of kombucha have undergone thorough scientific study; numerous Russian scientists (Sakarjan, Danielova, Naumova, Sukiasyan, Barbanicik, Ermoleva, Konovalov, Litvinov, Zakman, and others </w:t>
      </w:r>
      <w:r>
        <w:rPr>
          <w:position w:val="9"/>
          <w:sz w:val="25"/>
        </w:rPr>
        <w:t>432 </w:t>
      </w:r>
      <w:r>
        <w:rPr/>
        <w:t>) have demonstrated the antibiotic effect of kombucha. The growth-promoting and antibiotic effects of kombucha tea were thoroughly studied and described by the researchers Sakarjan and Danielova. Konovalov, Litvinov and Zakmann (1959) in a report on the important antimicrobial properties of kombucha in a Moscow journal (Bot. Journal).</w:t>
      </w:r>
    </w:p>
    <w:p>
      <w:pPr>
        <w:pStyle w:val="BodyText"/>
        <w:spacing w:line="276" w:lineRule="auto" w:before="242"/>
        <w:ind w:left="477" w:right="138"/>
        <w:jc w:val="both"/>
        <w:rPr>
          <w:sz w:val="25"/>
        </w:rPr>
      </w:pPr>
      <w:r>
        <w:rPr/>
        <w:t>The</w:t>
      </w:r>
      <w:r>
        <w:rPr>
          <w:spacing w:val="-19"/>
        </w:rPr>
        <w:t> </w:t>
      </w:r>
      <w:r>
        <w:rPr/>
        <w:t>antibiotic</w:t>
      </w:r>
      <w:r>
        <w:rPr>
          <w:spacing w:val="-19"/>
        </w:rPr>
        <w:t> </w:t>
      </w:r>
      <w:r>
        <w:rPr/>
        <w:t>components</w:t>
      </w:r>
      <w:r>
        <w:rPr>
          <w:spacing w:val="-19"/>
        </w:rPr>
        <w:t> </w:t>
      </w:r>
      <w:r>
        <w:rPr/>
        <w:t>in</w:t>
      </w:r>
      <w:r>
        <w:rPr>
          <w:spacing w:val="-19"/>
        </w:rPr>
        <w:t> </w:t>
      </w:r>
      <w:r>
        <w:rPr/>
        <w:t>kombucha</w:t>
      </w:r>
      <w:r>
        <w:rPr>
          <w:spacing w:val="-21"/>
        </w:rPr>
        <w:t> </w:t>
      </w:r>
      <w:r>
        <w:rPr/>
        <w:t>are</w:t>
      </w:r>
      <w:r>
        <w:rPr>
          <w:spacing w:val="-19"/>
        </w:rPr>
        <w:t> </w:t>
      </w:r>
      <w:r>
        <w:rPr/>
        <w:t>not</w:t>
      </w:r>
      <w:r>
        <w:rPr>
          <w:spacing w:val="-19"/>
        </w:rPr>
        <w:t> </w:t>
      </w:r>
      <w:r>
        <w:rPr/>
        <w:t>comparable</w:t>
      </w:r>
      <w:r>
        <w:rPr>
          <w:spacing w:val="-21"/>
        </w:rPr>
        <w:t> </w:t>
      </w:r>
      <w:r>
        <w:rPr/>
        <w:t>with</w:t>
      </w:r>
      <w:r>
        <w:rPr>
          <w:spacing w:val="-18"/>
        </w:rPr>
        <w:t> </w:t>
      </w:r>
      <w:r>
        <w:rPr/>
        <w:t>those</w:t>
      </w:r>
      <w:r>
        <w:rPr>
          <w:spacing w:val="-19"/>
        </w:rPr>
        <w:t> </w:t>
      </w:r>
      <w:r>
        <w:rPr/>
        <w:t>of</w:t>
      </w:r>
      <w:r>
        <w:rPr>
          <w:spacing w:val="-19"/>
        </w:rPr>
        <w:t> </w:t>
      </w:r>
      <w:r>
        <w:rPr/>
        <w:t>con- ventional antibiotics and are completely harmless even when used continu- ously.</w:t>
      </w:r>
      <w:r>
        <w:rPr>
          <w:position w:val="9"/>
          <w:sz w:val="25"/>
        </w:rPr>
        <w:t>433</w:t>
      </w:r>
    </w:p>
    <w:p>
      <w:pPr>
        <w:pStyle w:val="Heading1"/>
        <w:spacing w:before="221"/>
        <w:jc w:val="both"/>
      </w:pPr>
      <w:r>
        <w:rPr/>
        <w:t>Organic acids</w:t>
      </w:r>
    </w:p>
    <w:p>
      <w:pPr>
        <w:pStyle w:val="BodyText"/>
        <w:spacing w:line="276" w:lineRule="auto" w:before="300"/>
        <w:ind w:left="477" w:right="141"/>
        <w:jc w:val="both"/>
      </w:pPr>
      <w:r>
        <w:rPr/>
        <w:t>In</w:t>
      </w:r>
      <w:r>
        <w:rPr>
          <w:spacing w:val="-8"/>
        </w:rPr>
        <w:t> </w:t>
      </w:r>
      <w:r>
        <w:rPr/>
        <w:t>addition</w:t>
      </w:r>
      <w:r>
        <w:rPr>
          <w:spacing w:val="-7"/>
        </w:rPr>
        <w:t> </w:t>
      </w:r>
      <w:r>
        <w:rPr/>
        <w:t>to</w:t>
      </w:r>
      <w:r>
        <w:rPr>
          <w:spacing w:val="-8"/>
        </w:rPr>
        <w:t> </w:t>
      </w:r>
      <w:r>
        <w:rPr/>
        <w:t>gluconic</w:t>
      </w:r>
      <w:r>
        <w:rPr>
          <w:spacing w:val="-8"/>
        </w:rPr>
        <w:t> </w:t>
      </w:r>
      <w:r>
        <w:rPr/>
        <w:t>acid</w:t>
      </w:r>
      <w:r>
        <w:rPr>
          <w:spacing w:val="-9"/>
        </w:rPr>
        <w:t> </w:t>
      </w:r>
      <w:r>
        <w:rPr/>
        <w:t>and</w:t>
      </w:r>
      <w:r>
        <w:rPr>
          <w:spacing w:val="-6"/>
        </w:rPr>
        <w:t> </w:t>
      </w:r>
      <w:r>
        <w:rPr/>
        <w:t>dextrorotatory</w:t>
      </w:r>
      <w:r>
        <w:rPr>
          <w:spacing w:val="-7"/>
        </w:rPr>
        <w:t> </w:t>
      </w:r>
      <w:r>
        <w:rPr/>
        <w:t>lactic</w:t>
      </w:r>
      <w:r>
        <w:rPr>
          <w:spacing w:val="-8"/>
        </w:rPr>
        <w:t> </w:t>
      </w:r>
      <w:r>
        <w:rPr/>
        <w:t>acid,</w:t>
      </w:r>
      <w:r>
        <w:rPr>
          <w:spacing w:val="-9"/>
        </w:rPr>
        <w:t> </w:t>
      </w:r>
      <w:r>
        <w:rPr/>
        <w:t>kombucha</w:t>
      </w:r>
      <w:r>
        <w:rPr>
          <w:spacing w:val="-8"/>
        </w:rPr>
        <w:t> </w:t>
      </w:r>
      <w:r>
        <w:rPr/>
        <w:t>produces many other acids such as tannins, citric acid, oxalic acid, carbonic acid, 14 dif- ferent amino acids, succinic acid, malonic acid, malic acid and</w:t>
      </w:r>
      <w:r>
        <w:rPr>
          <w:spacing w:val="-13"/>
        </w:rPr>
        <w:t> </w:t>
      </w:r>
      <w:r>
        <w:rPr/>
        <w:t>others.</w:t>
      </w:r>
    </w:p>
    <w:p>
      <w:pPr>
        <w:pStyle w:val="BodyText"/>
        <w:spacing w:line="276" w:lineRule="auto" w:before="241"/>
        <w:ind w:left="477" w:right="137"/>
        <w:jc w:val="both"/>
      </w:pPr>
      <w:r>
        <w:rPr/>
        <w:t>The interaction of these acids, which are produced in the right proportion to each other, has a positive effect on our health; citric acid provides the fresh taste, while the carbonation creates a tingling, invigorating sensation that we</w:t>
      </w:r>
    </w:p>
    <w:p>
      <w:pPr>
        <w:pStyle w:val="BodyText"/>
        <w:rPr>
          <w:sz w:val="20"/>
        </w:rPr>
      </w:pPr>
    </w:p>
    <w:p>
      <w:pPr>
        <w:pStyle w:val="BodyText"/>
        <w:rPr>
          <w:sz w:val="20"/>
        </w:rPr>
      </w:pPr>
    </w:p>
    <w:p>
      <w:pPr>
        <w:pStyle w:val="BodyText"/>
        <w:rPr>
          <w:sz w:val="20"/>
        </w:rPr>
      </w:pPr>
    </w:p>
    <w:p>
      <w:pPr>
        <w:pStyle w:val="BodyText"/>
        <w:spacing w:before="3"/>
        <w:rPr>
          <w:sz w:val="10"/>
        </w:rPr>
      </w:pPr>
      <w:r>
        <w:rPr/>
        <w:pict>
          <v:line style="position:absolute;mso-position-horizontal-relative:page;mso-position-vertical-relative:paragraph;z-index:5312;mso-wrap-distance-left:0;mso-wrap-distance-right:0" from="63.863998pt,8.158735pt" to="207.883998pt,8.158735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432 </w:t>
      </w:r>
      <w:r>
        <w:rPr>
          <w:sz w:val="20"/>
        </w:rPr>
        <w:t>Günther W. Frank: Kombucha – Mythos, Wahrheit, Faszination ‘Kombucha – Myth, Truth, Fascination’, 1999, p.</w:t>
      </w:r>
      <w:r>
        <w:rPr>
          <w:spacing w:val="-29"/>
          <w:sz w:val="20"/>
        </w:rPr>
        <w:t> </w:t>
      </w:r>
      <w:r>
        <w:rPr>
          <w:sz w:val="20"/>
        </w:rPr>
        <w:t>62</w:t>
      </w:r>
    </w:p>
    <w:p>
      <w:pPr>
        <w:spacing w:before="92"/>
        <w:ind w:left="477" w:right="0" w:firstLine="0"/>
        <w:jc w:val="left"/>
        <w:rPr>
          <w:sz w:val="20"/>
        </w:rPr>
      </w:pPr>
      <w:r>
        <w:rPr>
          <w:position w:val="5"/>
          <w:sz w:val="13"/>
        </w:rPr>
        <w:t>433 </w:t>
      </w:r>
      <w:r>
        <w:rPr>
          <w:sz w:val="20"/>
        </w:rPr>
        <w:t>Günther W. Frank: Kombucha – Mythos, Wahrheit, Faszination ‘Kombucha – Myth, Truth, Fascination’, 1999, p.</w:t>
      </w:r>
      <w:r>
        <w:rPr>
          <w:spacing w:val="-29"/>
          <w:sz w:val="20"/>
        </w:rPr>
        <w:t> </w:t>
      </w:r>
      <w:r>
        <w:rPr>
          <w:sz w:val="20"/>
        </w:rPr>
        <w:t>63</w:t>
      </w:r>
    </w:p>
    <w:p>
      <w:pPr>
        <w:spacing w:after="0"/>
        <w:jc w:val="left"/>
        <w:rPr>
          <w:sz w:val="20"/>
        </w:rPr>
        <w:sectPr>
          <w:pgSz w:w="14270" w:h="16850"/>
          <w:pgMar w:header="0" w:footer="1891" w:top="1600" w:bottom="2080" w:left="800" w:right="1280"/>
        </w:sectPr>
      </w:pPr>
    </w:p>
    <w:p>
      <w:pPr>
        <w:pStyle w:val="BodyText"/>
        <w:spacing w:before="181"/>
        <w:ind w:left="477"/>
      </w:pPr>
      <w:r>
        <w:rPr/>
        <w:t>know from lemonade.</w:t>
      </w:r>
    </w:p>
    <w:p>
      <w:pPr>
        <w:pStyle w:val="BodyText"/>
        <w:rPr>
          <w:sz w:val="42"/>
        </w:rPr>
      </w:pPr>
    </w:p>
    <w:p>
      <w:pPr>
        <w:pStyle w:val="BodyText"/>
        <w:spacing w:before="2"/>
        <w:rPr>
          <w:sz w:val="50"/>
        </w:rPr>
      </w:pPr>
    </w:p>
    <w:p>
      <w:pPr>
        <w:pStyle w:val="Heading2"/>
      </w:pPr>
      <w:r>
        <w:rPr/>
        <w:t>Effect of kombucha on diseases</w:t>
      </w:r>
    </w:p>
    <w:p>
      <w:pPr>
        <w:pStyle w:val="BodyText"/>
        <w:spacing w:line="276" w:lineRule="auto" w:before="304"/>
        <w:ind w:left="477" w:right="136"/>
        <w:jc w:val="both"/>
      </w:pPr>
      <w:r>
        <w:rPr/>
        <w:t>It is far from easy to spell out the effects of a substance or natural remedy that appears to be as broad-based as kombucha tea fungus and is also based on countless</w:t>
      </w:r>
      <w:r>
        <w:rPr>
          <w:spacing w:val="-13"/>
        </w:rPr>
        <w:t> </w:t>
      </w:r>
      <w:r>
        <w:rPr/>
        <w:t>statements</w:t>
      </w:r>
      <w:r>
        <w:rPr>
          <w:spacing w:val="-12"/>
        </w:rPr>
        <w:t> </w:t>
      </w:r>
      <w:r>
        <w:rPr/>
        <w:t>by</w:t>
      </w:r>
      <w:r>
        <w:rPr>
          <w:spacing w:val="-13"/>
        </w:rPr>
        <w:t> </w:t>
      </w:r>
      <w:r>
        <w:rPr/>
        <w:t>many</w:t>
      </w:r>
      <w:r>
        <w:rPr>
          <w:spacing w:val="-12"/>
        </w:rPr>
        <w:t> </w:t>
      </w:r>
      <w:r>
        <w:rPr/>
        <w:t>therapists</w:t>
      </w:r>
      <w:r>
        <w:rPr>
          <w:spacing w:val="-13"/>
        </w:rPr>
        <w:t> </w:t>
      </w:r>
      <w:r>
        <w:rPr/>
        <w:t>and</w:t>
      </w:r>
      <w:r>
        <w:rPr>
          <w:spacing w:val="-12"/>
        </w:rPr>
        <w:t> </w:t>
      </w:r>
      <w:r>
        <w:rPr/>
        <w:t>patients</w:t>
      </w:r>
      <w:r>
        <w:rPr>
          <w:spacing w:val="-12"/>
        </w:rPr>
        <w:t> </w:t>
      </w:r>
      <w:r>
        <w:rPr/>
        <w:t>across</w:t>
      </w:r>
      <w:r>
        <w:rPr>
          <w:spacing w:val="-13"/>
        </w:rPr>
        <w:t> </w:t>
      </w:r>
      <w:r>
        <w:rPr/>
        <w:t>many</w:t>
      </w:r>
      <w:r>
        <w:rPr>
          <w:spacing w:val="-9"/>
        </w:rPr>
        <w:t> </w:t>
      </w:r>
      <w:r>
        <w:rPr/>
        <w:t>eras,</w:t>
      </w:r>
      <w:r>
        <w:rPr>
          <w:spacing w:val="-13"/>
        </w:rPr>
        <w:t> </w:t>
      </w:r>
      <w:r>
        <w:rPr/>
        <w:t>cultures and continents.</w:t>
      </w:r>
    </w:p>
    <w:p>
      <w:pPr>
        <w:pStyle w:val="BodyText"/>
        <w:spacing w:line="276" w:lineRule="auto" w:before="240"/>
        <w:ind w:left="477" w:right="134"/>
        <w:jc w:val="both"/>
      </w:pPr>
      <w:r>
        <w:rPr/>
        <w:t>The question of the effect of kombucha should therefore first be divided into effects of a general nature, organ-specific effects and, lastly, effects on certain diseases, and we should then attempt to answer each of these in turn.</w:t>
      </w:r>
    </w:p>
    <w:p>
      <w:pPr>
        <w:pStyle w:val="Heading1"/>
        <w:jc w:val="both"/>
      </w:pPr>
      <w:r>
        <w:rPr/>
        <w:t>Effects of a general nature</w:t>
      </w:r>
    </w:p>
    <w:p>
      <w:pPr>
        <w:pStyle w:val="ListParagraph"/>
        <w:numPr>
          <w:ilvl w:val="1"/>
          <w:numId w:val="40"/>
        </w:numPr>
        <w:tabs>
          <w:tab w:pos="1197" w:val="left" w:leader="none"/>
          <w:tab w:pos="1198" w:val="left" w:leader="none"/>
        </w:tabs>
        <w:spacing w:line="240" w:lineRule="auto" w:before="297" w:after="0"/>
        <w:ind w:left="477" w:right="0" w:firstLine="0"/>
        <w:jc w:val="both"/>
        <w:rPr>
          <w:sz w:val="38"/>
        </w:rPr>
      </w:pPr>
      <w:r>
        <w:rPr>
          <w:sz w:val="38"/>
        </w:rPr>
        <w:t>blood purification,</w:t>
      </w:r>
    </w:p>
    <w:p>
      <w:pPr>
        <w:pStyle w:val="ListParagraph"/>
        <w:numPr>
          <w:ilvl w:val="1"/>
          <w:numId w:val="40"/>
        </w:numPr>
        <w:tabs>
          <w:tab w:pos="1197" w:val="left" w:leader="none"/>
          <w:tab w:pos="1198" w:val="left" w:leader="none"/>
        </w:tabs>
        <w:spacing w:line="240" w:lineRule="auto" w:before="185" w:after="0"/>
        <w:ind w:left="477" w:right="0" w:firstLine="0"/>
        <w:jc w:val="both"/>
        <w:rPr>
          <w:sz w:val="38"/>
        </w:rPr>
      </w:pPr>
      <w:r>
        <w:rPr>
          <w:sz w:val="38"/>
        </w:rPr>
        <w:t>strengthening of</w:t>
      </w:r>
      <w:r>
        <w:rPr>
          <w:spacing w:val="-1"/>
          <w:sz w:val="38"/>
        </w:rPr>
        <w:t> </w:t>
      </w:r>
      <w:r>
        <w:rPr>
          <w:sz w:val="38"/>
        </w:rPr>
        <w:t>cells,</w:t>
      </w:r>
    </w:p>
    <w:p>
      <w:pPr>
        <w:pStyle w:val="ListParagraph"/>
        <w:numPr>
          <w:ilvl w:val="1"/>
          <w:numId w:val="40"/>
        </w:numPr>
        <w:tabs>
          <w:tab w:pos="1197" w:val="left" w:leader="none"/>
          <w:tab w:pos="1198" w:val="left" w:leader="none"/>
        </w:tabs>
        <w:spacing w:line="240" w:lineRule="auto" w:before="184" w:after="0"/>
        <w:ind w:left="477" w:right="0" w:firstLine="0"/>
        <w:jc w:val="both"/>
        <w:rPr>
          <w:sz w:val="38"/>
        </w:rPr>
      </w:pPr>
      <w:r>
        <w:rPr>
          <w:sz w:val="38"/>
        </w:rPr>
        <w:t>antibiotic</w:t>
      </w:r>
      <w:r>
        <w:rPr>
          <w:spacing w:val="-1"/>
          <w:sz w:val="38"/>
        </w:rPr>
        <w:t> </w:t>
      </w:r>
      <w:r>
        <w:rPr>
          <w:sz w:val="38"/>
        </w:rPr>
        <w:t>effect,</w:t>
      </w:r>
    </w:p>
    <w:p>
      <w:pPr>
        <w:pStyle w:val="ListParagraph"/>
        <w:numPr>
          <w:ilvl w:val="1"/>
          <w:numId w:val="40"/>
        </w:numPr>
        <w:tabs>
          <w:tab w:pos="1197" w:val="left" w:leader="none"/>
          <w:tab w:pos="1198" w:val="left" w:leader="none"/>
        </w:tabs>
        <w:spacing w:line="240" w:lineRule="auto" w:before="185" w:after="0"/>
        <w:ind w:left="477" w:right="0" w:firstLine="0"/>
        <w:jc w:val="both"/>
        <w:rPr>
          <w:sz w:val="38"/>
        </w:rPr>
      </w:pPr>
      <w:r>
        <w:rPr>
          <w:sz w:val="38"/>
        </w:rPr>
        <w:t>antiviral</w:t>
      </w:r>
      <w:r>
        <w:rPr>
          <w:spacing w:val="-2"/>
          <w:sz w:val="38"/>
        </w:rPr>
        <w:t> </w:t>
      </w:r>
      <w:r>
        <w:rPr>
          <w:sz w:val="38"/>
        </w:rPr>
        <w:t>effect,</w:t>
      </w:r>
    </w:p>
    <w:p>
      <w:pPr>
        <w:pStyle w:val="ListParagraph"/>
        <w:numPr>
          <w:ilvl w:val="1"/>
          <w:numId w:val="40"/>
        </w:numPr>
        <w:tabs>
          <w:tab w:pos="1197" w:val="left" w:leader="none"/>
          <w:tab w:pos="1198" w:val="left" w:leader="none"/>
        </w:tabs>
        <w:spacing w:line="240" w:lineRule="auto" w:before="184" w:after="0"/>
        <w:ind w:left="477" w:right="0" w:firstLine="0"/>
        <w:jc w:val="both"/>
        <w:rPr>
          <w:sz w:val="38"/>
        </w:rPr>
      </w:pPr>
      <w:r>
        <w:rPr>
          <w:sz w:val="38"/>
        </w:rPr>
        <w:t>increase in</w:t>
      </w:r>
      <w:r>
        <w:rPr>
          <w:spacing w:val="2"/>
          <w:sz w:val="38"/>
        </w:rPr>
        <w:t> </w:t>
      </w:r>
      <w:r>
        <w:rPr>
          <w:sz w:val="38"/>
        </w:rPr>
        <w:t>well-being,</w:t>
      </w:r>
    </w:p>
    <w:p>
      <w:pPr>
        <w:pStyle w:val="ListParagraph"/>
        <w:numPr>
          <w:ilvl w:val="1"/>
          <w:numId w:val="40"/>
        </w:numPr>
        <w:tabs>
          <w:tab w:pos="1197" w:val="left" w:leader="none"/>
          <w:tab w:pos="1198" w:val="left" w:leader="none"/>
        </w:tabs>
        <w:spacing w:line="240" w:lineRule="auto" w:before="185" w:after="0"/>
        <w:ind w:left="477" w:right="0" w:firstLine="0"/>
        <w:jc w:val="both"/>
        <w:rPr>
          <w:sz w:val="38"/>
        </w:rPr>
      </w:pPr>
      <w:r>
        <w:rPr>
          <w:sz w:val="38"/>
        </w:rPr>
        <w:t>increase in</w:t>
      </w:r>
      <w:r>
        <w:rPr>
          <w:spacing w:val="-5"/>
          <w:sz w:val="38"/>
        </w:rPr>
        <w:t> </w:t>
      </w:r>
      <w:r>
        <w:rPr>
          <w:sz w:val="38"/>
        </w:rPr>
        <w:t>energy,</w:t>
      </w:r>
    </w:p>
    <w:p>
      <w:pPr>
        <w:pStyle w:val="ListParagraph"/>
        <w:numPr>
          <w:ilvl w:val="1"/>
          <w:numId w:val="40"/>
        </w:numPr>
        <w:tabs>
          <w:tab w:pos="1197" w:val="left" w:leader="none"/>
          <w:tab w:pos="1198" w:val="left" w:leader="none"/>
        </w:tabs>
        <w:spacing w:line="240" w:lineRule="auto" w:before="185" w:after="0"/>
        <w:ind w:left="477" w:right="0" w:firstLine="0"/>
        <w:jc w:val="both"/>
        <w:rPr>
          <w:sz w:val="38"/>
        </w:rPr>
      </w:pPr>
      <w:r>
        <w:rPr>
          <w:sz w:val="38"/>
        </w:rPr>
        <w:t>increase in</w:t>
      </w:r>
      <w:r>
        <w:rPr>
          <w:spacing w:val="-3"/>
          <w:sz w:val="38"/>
        </w:rPr>
        <w:t> </w:t>
      </w:r>
      <w:r>
        <w:rPr>
          <w:sz w:val="38"/>
        </w:rPr>
        <w:t>vitality,</w:t>
      </w:r>
    </w:p>
    <w:p>
      <w:pPr>
        <w:pStyle w:val="ListParagraph"/>
        <w:numPr>
          <w:ilvl w:val="1"/>
          <w:numId w:val="40"/>
        </w:numPr>
        <w:tabs>
          <w:tab w:pos="1197" w:val="left" w:leader="none"/>
          <w:tab w:pos="1198" w:val="left" w:leader="none"/>
        </w:tabs>
        <w:spacing w:line="240" w:lineRule="auto" w:before="182" w:after="0"/>
        <w:ind w:left="477" w:right="0" w:firstLine="0"/>
        <w:jc w:val="both"/>
        <w:rPr>
          <w:sz w:val="38"/>
        </w:rPr>
      </w:pPr>
      <w:r>
        <w:rPr>
          <w:sz w:val="38"/>
        </w:rPr>
        <w:t>improvement of</w:t>
      </w:r>
      <w:r>
        <w:rPr>
          <w:spacing w:val="-3"/>
          <w:sz w:val="38"/>
        </w:rPr>
        <w:t> </w:t>
      </w:r>
      <w:r>
        <w:rPr>
          <w:sz w:val="38"/>
        </w:rPr>
        <w:t>digestion,</w:t>
      </w:r>
    </w:p>
    <w:p>
      <w:pPr>
        <w:spacing w:after="0" w:line="240" w:lineRule="auto"/>
        <w:jc w:val="both"/>
        <w:rPr>
          <w:sz w:val="38"/>
        </w:rPr>
        <w:sectPr>
          <w:pgSz w:w="14270" w:h="16850"/>
          <w:pgMar w:header="0" w:footer="1891" w:top="1600" w:bottom="2080" w:left="800" w:right="1280"/>
        </w:sectPr>
      </w:pPr>
    </w:p>
    <w:p>
      <w:pPr>
        <w:pStyle w:val="ListParagraph"/>
        <w:numPr>
          <w:ilvl w:val="1"/>
          <w:numId w:val="40"/>
        </w:numPr>
        <w:tabs>
          <w:tab w:pos="1197" w:val="left" w:leader="none"/>
          <w:tab w:pos="1198" w:val="left" w:leader="none"/>
        </w:tabs>
        <w:spacing w:line="240" w:lineRule="auto" w:before="181" w:after="0"/>
        <w:ind w:left="477" w:right="0" w:firstLine="0"/>
        <w:jc w:val="left"/>
        <w:rPr>
          <w:sz w:val="38"/>
        </w:rPr>
      </w:pPr>
      <w:r>
        <w:rPr>
          <w:sz w:val="38"/>
        </w:rPr>
        <w:t>regulation of</w:t>
      </w:r>
      <w:r>
        <w:rPr>
          <w:spacing w:val="1"/>
          <w:sz w:val="38"/>
        </w:rPr>
        <w:t> </w:t>
      </w:r>
      <w:r>
        <w:rPr>
          <w:sz w:val="38"/>
        </w:rPr>
        <w:t>appetite,</w:t>
      </w:r>
    </w:p>
    <w:p>
      <w:pPr>
        <w:pStyle w:val="ListParagraph"/>
        <w:numPr>
          <w:ilvl w:val="1"/>
          <w:numId w:val="40"/>
        </w:numPr>
        <w:tabs>
          <w:tab w:pos="1197" w:val="left" w:leader="none"/>
          <w:tab w:pos="1198" w:val="left" w:leader="none"/>
        </w:tabs>
        <w:spacing w:line="240" w:lineRule="auto" w:before="185" w:after="0"/>
        <w:ind w:left="477" w:right="0" w:firstLine="0"/>
        <w:jc w:val="left"/>
        <w:rPr>
          <w:sz w:val="38"/>
        </w:rPr>
      </w:pPr>
      <w:r>
        <w:rPr>
          <w:sz w:val="38"/>
        </w:rPr>
        <w:t>increase in</w:t>
      </w:r>
      <w:r>
        <w:rPr>
          <w:spacing w:val="2"/>
          <w:sz w:val="38"/>
        </w:rPr>
        <w:t> </w:t>
      </w:r>
      <w:r>
        <w:rPr>
          <w:sz w:val="38"/>
        </w:rPr>
        <w:t>concentration,</w:t>
      </w:r>
    </w:p>
    <w:p>
      <w:pPr>
        <w:pStyle w:val="ListParagraph"/>
        <w:numPr>
          <w:ilvl w:val="1"/>
          <w:numId w:val="40"/>
        </w:numPr>
        <w:tabs>
          <w:tab w:pos="1197" w:val="left" w:leader="none"/>
          <w:tab w:pos="1198" w:val="left" w:leader="none"/>
        </w:tabs>
        <w:spacing w:line="240" w:lineRule="auto" w:before="184" w:after="0"/>
        <w:ind w:left="477" w:right="0" w:firstLine="0"/>
        <w:jc w:val="left"/>
        <w:rPr>
          <w:sz w:val="38"/>
        </w:rPr>
      </w:pPr>
      <w:r>
        <w:rPr>
          <w:sz w:val="38"/>
        </w:rPr>
        <w:t>purification,</w:t>
      </w:r>
    </w:p>
    <w:p>
      <w:pPr>
        <w:pStyle w:val="ListParagraph"/>
        <w:numPr>
          <w:ilvl w:val="1"/>
          <w:numId w:val="40"/>
        </w:numPr>
        <w:tabs>
          <w:tab w:pos="1197" w:val="left" w:leader="none"/>
          <w:tab w:pos="1198" w:val="left" w:leader="none"/>
        </w:tabs>
        <w:spacing w:line="240" w:lineRule="auto" w:before="185" w:after="0"/>
        <w:ind w:left="477" w:right="0" w:firstLine="0"/>
        <w:jc w:val="left"/>
        <w:rPr>
          <w:sz w:val="38"/>
        </w:rPr>
      </w:pPr>
      <w:r>
        <w:rPr>
          <w:sz w:val="38"/>
        </w:rPr>
        <w:t>detoxification,</w:t>
      </w:r>
    </w:p>
    <w:p>
      <w:pPr>
        <w:pStyle w:val="ListParagraph"/>
        <w:numPr>
          <w:ilvl w:val="1"/>
          <w:numId w:val="40"/>
        </w:numPr>
        <w:tabs>
          <w:tab w:pos="1197" w:val="left" w:leader="none"/>
          <w:tab w:pos="1198" w:val="left" w:leader="none"/>
        </w:tabs>
        <w:spacing w:line="240" w:lineRule="auto" w:before="184" w:after="0"/>
        <w:ind w:left="477" w:right="0" w:firstLine="0"/>
        <w:jc w:val="left"/>
        <w:rPr>
          <w:sz w:val="38"/>
        </w:rPr>
      </w:pPr>
      <w:r>
        <w:rPr>
          <w:sz w:val="38"/>
        </w:rPr>
        <w:t>regulation of the acid-base</w:t>
      </w:r>
      <w:r>
        <w:rPr>
          <w:spacing w:val="3"/>
          <w:sz w:val="38"/>
        </w:rPr>
        <w:t> </w:t>
      </w:r>
      <w:r>
        <w:rPr>
          <w:sz w:val="38"/>
        </w:rPr>
        <w:t>balance,</w:t>
      </w:r>
    </w:p>
    <w:p>
      <w:pPr>
        <w:pStyle w:val="ListParagraph"/>
        <w:numPr>
          <w:ilvl w:val="1"/>
          <w:numId w:val="40"/>
        </w:numPr>
        <w:tabs>
          <w:tab w:pos="1197" w:val="left" w:leader="none"/>
          <w:tab w:pos="1198" w:val="left" w:leader="none"/>
        </w:tabs>
        <w:spacing w:line="240" w:lineRule="auto" w:before="183" w:after="0"/>
        <w:ind w:left="477" w:right="0" w:firstLine="0"/>
        <w:jc w:val="left"/>
        <w:rPr>
          <w:sz w:val="38"/>
        </w:rPr>
      </w:pPr>
      <w:r>
        <w:rPr>
          <w:sz w:val="38"/>
        </w:rPr>
        <w:t>increase in</w:t>
      </w:r>
      <w:r>
        <w:rPr>
          <w:spacing w:val="2"/>
          <w:sz w:val="38"/>
        </w:rPr>
        <w:t> </w:t>
      </w:r>
      <w:r>
        <w:rPr>
          <w:sz w:val="38"/>
        </w:rPr>
        <w:t>energy,</w:t>
      </w:r>
    </w:p>
    <w:p>
      <w:pPr>
        <w:pStyle w:val="ListParagraph"/>
        <w:numPr>
          <w:ilvl w:val="1"/>
          <w:numId w:val="40"/>
        </w:numPr>
        <w:tabs>
          <w:tab w:pos="1197" w:val="left" w:leader="none"/>
          <w:tab w:pos="1198" w:val="left" w:leader="none"/>
        </w:tabs>
        <w:spacing w:line="240" w:lineRule="auto" w:before="185" w:after="0"/>
        <w:ind w:left="477" w:right="0" w:firstLine="0"/>
        <w:jc w:val="left"/>
        <w:rPr>
          <w:sz w:val="38"/>
        </w:rPr>
      </w:pPr>
      <w:r>
        <w:rPr>
          <w:sz w:val="38"/>
        </w:rPr>
        <w:t>regulation of intestinal</w:t>
      </w:r>
      <w:r>
        <w:rPr>
          <w:spacing w:val="1"/>
          <w:sz w:val="38"/>
        </w:rPr>
        <w:t> </w:t>
      </w:r>
      <w:r>
        <w:rPr>
          <w:sz w:val="38"/>
        </w:rPr>
        <w:t>flora,</w:t>
      </w:r>
    </w:p>
    <w:p>
      <w:pPr>
        <w:pStyle w:val="ListParagraph"/>
        <w:numPr>
          <w:ilvl w:val="1"/>
          <w:numId w:val="40"/>
        </w:numPr>
        <w:tabs>
          <w:tab w:pos="1197" w:val="left" w:leader="none"/>
          <w:tab w:pos="1198" w:val="left" w:leader="none"/>
        </w:tabs>
        <w:spacing w:line="240" w:lineRule="auto" w:before="184" w:after="0"/>
        <w:ind w:left="477" w:right="0" w:firstLine="0"/>
        <w:jc w:val="left"/>
        <w:rPr>
          <w:sz w:val="38"/>
        </w:rPr>
      </w:pPr>
      <w:r>
        <w:rPr>
          <w:sz w:val="38"/>
        </w:rPr>
        <w:t>increase in athletic</w:t>
      </w:r>
      <w:r>
        <w:rPr>
          <w:spacing w:val="1"/>
          <w:sz w:val="38"/>
        </w:rPr>
        <w:t> </w:t>
      </w:r>
      <w:r>
        <w:rPr>
          <w:sz w:val="38"/>
        </w:rPr>
        <w:t>performance,</w:t>
      </w:r>
    </w:p>
    <w:p>
      <w:pPr>
        <w:pStyle w:val="ListParagraph"/>
        <w:numPr>
          <w:ilvl w:val="1"/>
          <w:numId w:val="40"/>
        </w:numPr>
        <w:tabs>
          <w:tab w:pos="1197" w:val="left" w:leader="none"/>
          <w:tab w:pos="1198" w:val="left" w:leader="none"/>
        </w:tabs>
        <w:spacing w:line="240" w:lineRule="auto" w:before="185" w:after="0"/>
        <w:ind w:left="477" w:right="0" w:firstLine="0"/>
        <w:jc w:val="left"/>
        <w:rPr>
          <w:sz w:val="38"/>
        </w:rPr>
      </w:pPr>
      <w:r>
        <w:rPr>
          <w:sz w:val="38"/>
        </w:rPr>
        <w:t>prevention of muscle</w:t>
      </w:r>
      <w:r>
        <w:rPr>
          <w:spacing w:val="1"/>
          <w:sz w:val="38"/>
        </w:rPr>
        <w:t> </w:t>
      </w:r>
      <w:r>
        <w:rPr>
          <w:sz w:val="38"/>
        </w:rPr>
        <w:t>soreness,</w:t>
      </w:r>
    </w:p>
    <w:p>
      <w:pPr>
        <w:pStyle w:val="ListParagraph"/>
        <w:numPr>
          <w:ilvl w:val="1"/>
          <w:numId w:val="40"/>
        </w:numPr>
        <w:tabs>
          <w:tab w:pos="1197" w:val="left" w:leader="none"/>
          <w:tab w:pos="1198" w:val="left" w:leader="none"/>
        </w:tabs>
        <w:spacing w:line="240" w:lineRule="auto" w:before="184" w:after="0"/>
        <w:ind w:left="477" w:right="0" w:firstLine="0"/>
        <w:jc w:val="left"/>
        <w:rPr>
          <w:sz w:val="38"/>
        </w:rPr>
      </w:pPr>
      <w:r>
        <w:rPr>
          <w:sz w:val="38"/>
        </w:rPr>
        <w:t>stimulation of</w:t>
      </w:r>
      <w:r>
        <w:rPr>
          <w:spacing w:val="1"/>
          <w:sz w:val="38"/>
        </w:rPr>
        <w:t> </w:t>
      </w:r>
      <w:r>
        <w:rPr>
          <w:sz w:val="38"/>
        </w:rPr>
        <w:t>metabolism,</w:t>
      </w:r>
    </w:p>
    <w:p>
      <w:pPr>
        <w:pStyle w:val="ListParagraph"/>
        <w:numPr>
          <w:ilvl w:val="1"/>
          <w:numId w:val="40"/>
        </w:numPr>
        <w:tabs>
          <w:tab w:pos="1197" w:val="left" w:leader="none"/>
          <w:tab w:pos="1198" w:val="left" w:leader="none"/>
        </w:tabs>
        <w:spacing w:line="240" w:lineRule="auto" w:before="185" w:after="0"/>
        <w:ind w:left="477" w:right="0" w:firstLine="0"/>
        <w:jc w:val="left"/>
        <w:rPr>
          <w:sz w:val="38"/>
        </w:rPr>
      </w:pPr>
      <w:r>
        <w:rPr>
          <w:sz w:val="38"/>
        </w:rPr>
        <w:t>relief of the</w:t>
      </w:r>
      <w:r>
        <w:rPr>
          <w:spacing w:val="-2"/>
          <w:sz w:val="38"/>
        </w:rPr>
        <w:t> </w:t>
      </w:r>
      <w:r>
        <w:rPr>
          <w:sz w:val="38"/>
        </w:rPr>
        <w:t>liver,</w:t>
      </w:r>
    </w:p>
    <w:p>
      <w:pPr>
        <w:pStyle w:val="ListParagraph"/>
        <w:numPr>
          <w:ilvl w:val="1"/>
          <w:numId w:val="40"/>
        </w:numPr>
        <w:tabs>
          <w:tab w:pos="1197" w:val="left" w:leader="none"/>
          <w:tab w:pos="1198" w:val="left" w:leader="none"/>
        </w:tabs>
        <w:spacing w:line="240" w:lineRule="auto" w:before="182" w:after="0"/>
        <w:ind w:left="477" w:right="0" w:firstLine="0"/>
        <w:jc w:val="left"/>
        <w:rPr>
          <w:sz w:val="38"/>
        </w:rPr>
      </w:pPr>
      <w:r>
        <w:rPr>
          <w:sz w:val="38"/>
        </w:rPr>
        <w:t>stimulation of intestinal</w:t>
      </w:r>
      <w:r>
        <w:rPr>
          <w:spacing w:val="3"/>
          <w:sz w:val="38"/>
        </w:rPr>
        <w:t> </w:t>
      </w:r>
      <w:r>
        <w:rPr>
          <w:sz w:val="38"/>
        </w:rPr>
        <w:t>activity,</w:t>
      </w:r>
    </w:p>
    <w:p>
      <w:pPr>
        <w:pStyle w:val="ListParagraph"/>
        <w:numPr>
          <w:ilvl w:val="1"/>
          <w:numId w:val="40"/>
        </w:numPr>
        <w:tabs>
          <w:tab w:pos="1197" w:val="left" w:leader="none"/>
          <w:tab w:pos="1198" w:val="left" w:leader="none"/>
        </w:tabs>
        <w:spacing w:line="240" w:lineRule="auto" w:before="185" w:after="0"/>
        <w:ind w:left="477" w:right="0" w:firstLine="0"/>
        <w:jc w:val="left"/>
        <w:rPr>
          <w:sz w:val="38"/>
        </w:rPr>
      </w:pPr>
      <w:r>
        <w:rPr>
          <w:sz w:val="38"/>
        </w:rPr>
        <w:t>normalisation of blood</w:t>
      </w:r>
      <w:r>
        <w:rPr>
          <w:spacing w:val="2"/>
          <w:sz w:val="38"/>
        </w:rPr>
        <w:t> </w:t>
      </w:r>
      <w:r>
        <w:rPr>
          <w:sz w:val="38"/>
        </w:rPr>
        <w:t>pressure,</w:t>
      </w:r>
    </w:p>
    <w:p>
      <w:pPr>
        <w:pStyle w:val="ListParagraph"/>
        <w:numPr>
          <w:ilvl w:val="1"/>
          <w:numId w:val="40"/>
        </w:numPr>
        <w:tabs>
          <w:tab w:pos="1197" w:val="left" w:leader="none"/>
          <w:tab w:pos="1198" w:val="left" w:leader="none"/>
        </w:tabs>
        <w:spacing w:line="240" w:lineRule="auto" w:before="184" w:after="0"/>
        <w:ind w:left="477" w:right="0" w:firstLine="0"/>
        <w:jc w:val="left"/>
        <w:rPr>
          <w:sz w:val="38"/>
        </w:rPr>
      </w:pPr>
      <w:r>
        <w:rPr>
          <w:sz w:val="38"/>
        </w:rPr>
        <w:t>reduction of cholesterol</w:t>
      </w:r>
      <w:r>
        <w:rPr>
          <w:spacing w:val="-11"/>
          <w:sz w:val="38"/>
        </w:rPr>
        <w:t> </w:t>
      </w:r>
      <w:r>
        <w:rPr>
          <w:sz w:val="38"/>
        </w:rPr>
        <w:t>levels,</w:t>
      </w:r>
    </w:p>
    <w:p>
      <w:pPr>
        <w:pStyle w:val="ListParagraph"/>
        <w:numPr>
          <w:ilvl w:val="1"/>
          <w:numId w:val="40"/>
        </w:numPr>
        <w:tabs>
          <w:tab w:pos="1197" w:val="left" w:leader="none"/>
          <w:tab w:pos="1198" w:val="left" w:leader="none"/>
        </w:tabs>
        <w:spacing w:line="240" w:lineRule="auto" w:before="185" w:after="0"/>
        <w:ind w:left="477" w:right="0" w:firstLine="0"/>
        <w:jc w:val="left"/>
        <w:rPr>
          <w:sz w:val="38"/>
        </w:rPr>
      </w:pPr>
      <w:r>
        <w:rPr>
          <w:sz w:val="38"/>
        </w:rPr>
        <w:t>reduction of triglyceride</w:t>
      </w:r>
      <w:r>
        <w:rPr>
          <w:spacing w:val="-12"/>
          <w:sz w:val="38"/>
        </w:rPr>
        <w:t> </w:t>
      </w:r>
      <w:r>
        <w:rPr>
          <w:sz w:val="38"/>
        </w:rPr>
        <w:t>levels,</w:t>
      </w:r>
    </w:p>
    <w:p>
      <w:pPr>
        <w:pStyle w:val="ListParagraph"/>
        <w:numPr>
          <w:ilvl w:val="1"/>
          <w:numId w:val="40"/>
        </w:numPr>
        <w:tabs>
          <w:tab w:pos="1197" w:val="left" w:leader="none"/>
          <w:tab w:pos="1198" w:val="left" w:leader="none"/>
        </w:tabs>
        <w:spacing w:line="240" w:lineRule="auto" w:before="184" w:after="0"/>
        <w:ind w:left="477" w:right="0" w:firstLine="0"/>
        <w:jc w:val="left"/>
        <w:rPr>
          <w:sz w:val="38"/>
        </w:rPr>
      </w:pPr>
      <w:r>
        <w:rPr>
          <w:sz w:val="38"/>
        </w:rPr>
        <w:t>is</w:t>
      </w:r>
      <w:r>
        <w:rPr>
          <w:spacing w:val="-1"/>
          <w:sz w:val="38"/>
        </w:rPr>
        <w:t> </w:t>
      </w:r>
      <w:r>
        <w:rPr>
          <w:sz w:val="38"/>
        </w:rPr>
        <w:t>anti-inflammatory,</w:t>
      </w:r>
    </w:p>
    <w:p>
      <w:pPr>
        <w:pStyle w:val="ListParagraph"/>
        <w:numPr>
          <w:ilvl w:val="1"/>
          <w:numId w:val="40"/>
        </w:numPr>
        <w:tabs>
          <w:tab w:pos="1197" w:val="left" w:leader="none"/>
          <w:tab w:pos="1198" w:val="left" w:leader="none"/>
        </w:tabs>
        <w:spacing w:line="240" w:lineRule="auto" w:before="185" w:after="0"/>
        <w:ind w:left="477" w:right="0" w:firstLine="0"/>
        <w:jc w:val="left"/>
        <w:rPr>
          <w:sz w:val="38"/>
        </w:rPr>
      </w:pPr>
      <w:r>
        <w:rPr>
          <w:sz w:val="38"/>
        </w:rPr>
        <w:t>strengthening the immune</w:t>
      </w:r>
      <w:r>
        <w:rPr>
          <w:spacing w:val="2"/>
          <w:sz w:val="38"/>
        </w:rPr>
        <w:t> </w:t>
      </w:r>
      <w:r>
        <w:rPr>
          <w:sz w:val="38"/>
        </w:rPr>
        <w:t>system,</w:t>
      </w:r>
    </w:p>
    <w:p>
      <w:pPr>
        <w:pStyle w:val="ListParagraph"/>
        <w:numPr>
          <w:ilvl w:val="1"/>
          <w:numId w:val="40"/>
        </w:numPr>
        <w:tabs>
          <w:tab w:pos="1197" w:val="left" w:leader="none"/>
          <w:tab w:pos="1198" w:val="left" w:leader="none"/>
        </w:tabs>
        <w:spacing w:line="410" w:lineRule="auto" w:before="185" w:after="0"/>
        <w:ind w:left="477" w:right="7090" w:firstLine="0"/>
        <w:jc w:val="left"/>
        <w:rPr>
          <w:sz w:val="38"/>
        </w:rPr>
      </w:pPr>
      <w:r>
        <w:rPr>
          <w:sz w:val="38"/>
        </w:rPr>
        <w:t>increase in sexual potency. organ-specific</w:t>
      </w:r>
      <w:r>
        <w:rPr>
          <w:spacing w:val="-1"/>
          <w:sz w:val="38"/>
        </w:rPr>
        <w:t> </w:t>
      </w:r>
      <w:r>
        <w:rPr>
          <w:sz w:val="38"/>
        </w:rPr>
        <w:t>effect</w:t>
      </w:r>
    </w:p>
    <w:p>
      <w:pPr>
        <w:spacing w:after="0" w:line="410" w:lineRule="auto"/>
        <w:jc w:val="left"/>
        <w:rPr>
          <w:sz w:val="38"/>
        </w:rPr>
        <w:sectPr>
          <w:pgSz w:w="14270" w:h="16850"/>
          <w:pgMar w:header="0" w:footer="1891" w:top="1600" w:bottom="2080" w:left="800" w:right="1280"/>
        </w:sectPr>
      </w:pPr>
    </w:p>
    <w:p>
      <w:pPr>
        <w:pStyle w:val="ListParagraph"/>
        <w:numPr>
          <w:ilvl w:val="1"/>
          <w:numId w:val="40"/>
        </w:numPr>
        <w:tabs>
          <w:tab w:pos="1197" w:val="left" w:leader="none"/>
          <w:tab w:pos="1198" w:val="left" w:leader="none"/>
        </w:tabs>
        <w:spacing w:line="240" w:lineRule="auto" w:before="181" w:after="0"/>
        <w:ind w:left="477" w:right="0" w:firstLine="0"/>
        <w:jc w:val="left"/>
        <w:rPr>
          <w:sz w:val="38"/>
        </w:rPr>
      </w:pPr>
      <w:r>
        <w:rPr>
          <w:sz w:val="38"/>
        </w:rPr>
        <w:t>hair,</w:t>
      </w:r>
    </w:p>
    <w:p>
      <w:pPr>
        <w:pStyle w:val="ListParagraph"/>
        <w:numPr>
          <w:ilvl w:val="1"/>
          <w:numId w:val="40"/>
        </w:numPr>
        <w:tabs>
          <w:tab w:pos="1197" w:val="left" w:leader="none"/>
          <w:tab w:pos="1198" w:val="left" w:leader="none"/>
        </w:tabs>
        <w:spacing w:line="240" w:lineRule="auto" w:before="185" w:after="0"/>
        <w:ind w:left="477" w:right="0" w:firstLine="0"/>
        <w:jc w:val="left"/>
        <w:rPr>
          <w:sz w:val="38"/>
        </w:rPr>
      </w:pPr>
      <w:r>
        <w:rPr>
          <w:sz w:val="38"/>
        </w:rPr>
        <w:t>skin,</w:t>
      </w:r>
    </w:p>
    <w:p>
      <w:pPr>
        <w:pStyle w:val="ListParagraph"/>
        <w:numPr>
          <w:ilvl w:val="1"/>
          <w:numId w:val="40"/>
        </w:numPr>
        <w:tabs>
          <w:tab w:pos="1197" w:val="left" w:leader="none"/>
          <w:tab w:pos="1198" w:val="left" w:leader="none"/>
        </w:tabs>
        <w:spacing w:line="240" w:lineRule="auto" w:before="184" w:after="0"/>
        <w:ind w:left="477" w:right="0" w:firstLine="0"/>
        <w:jc w:val="left"/>
        <w:rPr>
          <w:sz w:val="38"/>
        </w:rPr>
      </w:pPr>
      <w:r>
        <w:rPr>
          <w:sz w:val="38"/>
        </w:rPr>
        <w:t>eyes,</w:t>
      </w:r>
    </w:p>
    <w:p>
      <w:pPr>
        <w:pStyle w:val="ListParagraph"/>
        <w:numPr>
          <w:ilvl w:val="1"/>
          <w:numId w:val="40"/>
        </w:numPr>
        <w:tabs>
          <w:tab w:pos="1197" w:val="left" w:leader="none"/>
          <w:tab w:pos="1198" w:val="left" w:leader="none"/>
        </w:tabs>
        <w:spacing w:line="240" w:lineRule="auto" w:before="185" w:after="0"/>
        <w:ind w:left="477" w:right="0" w:firstLine="0"/>
        <w:jc w:val="left"/>
        <w:rPr>
          <w:sz w:val="38"/>
        </w:rPr>
      </w:pPr>
      <w:r>
        <w:rPr>
          <w:sz w:val="38"/>
        </w:rPr>
        <w:t>cardiovascular system,</w:t>
      </w:r>
    </w:p>
    <w:p>
      <w:pPr>
        <w:pStyle w:val="ListParagraph"/>
        <w:numPr>
          <w:ilvl w:val="1"/>
          <w:numId w:val="40"/>
        </w:numPr>
        <w:tabs>
          <w:tab w:pos="1197" w:val="left" w:leader="none"/>
          <w:tab w:pos="1198" w:val="left" w:leader="none"/>
        </w:tabs>
        <w:spacing w:line="240" w:lineRule="auto" w:before="184" w:after="0"/>
        <w:ind w:left="477" w:right="0" w:firstLine="0"/>
        <w:jc w:val="left"/>
        <w:rPr>
          <w:sz w:val="38"/>
        </w:rPr>
      </w:pPr>
      <w:r>
        <w:rPr>
          <w:sz w:val="38"/>
        </w:rPr>
        <w:t>liver,</w:t>
      </w:r>
    </w:p>
    <w:p>
      <w:pPr>
        <w:pStyle w:val="ListParagraph"/>
        <w:numPr>
          <w:ilvl w:val="1"/>
          <w:numId w:val="40"/>
        </w:numPr>
        <w:tabs>
          <w:tab w:pos="1197" w:val="left" w:leader="none"/>
          <w:tab w:pos="1198" w:val="left" w:leader="none"/>
        </w:tabs>
        <w:spacing w:line="240" w:lineRule="auto" w:before="183" w:after="0"/>
        <w:ind w:left="477" w:right="0" w:firstLine="0"/>
        <w:jc w:val="left"/>
        <w:rPr>
          <w:sz w:val="38"/>
        </w:rPr>
      </w:pPr>
      <w:r>
        <w:rPr>
          <w:sz w:val="38"/>
        </w:rPr>
        <w:t>kidneys,</w:t>
      </w:r>
    </w:p>
    <w:p>
      <w:pPr>
        <w:pStyle w:val="ListParagraph"/>
        <w:numPr>
          <w:ilvl w:val="1"/>
          <w:numId w:val="40"/>
        </w:numPr>
        <w:tabs>
          <w:tab w:pos="1197" w:val="left" w:leader="none"/>
          <w:tab w:pos="1198" w:val="left" w:leader="none"/>
        </w:tabs>
        <w:spacing w:line="240" w:lineRule="auto" w:before="185" w:after="0"/>
        <w:ind w:left="477" w:right="0" w:firstLine="0"/>
        <w:jc w:val="left"/>
        <w:rPr>
          <w:sz w:val="38"/>
        </w:rPr>
      </w:pPr>
      <w:r>
        <w:rPr>
          <w:sz w:val="38"/>
        </w:rPr>
        <w:t>intestine,</w:t>
      </w:r>
    </w:p>
    <w:p>
      <w:pPr>
        <w:pStyle w:val="ListParagraph"/>
        <w:numPr>
          <w:ilvl w:val="1"/>
          <w:numId w:val="40"/>
        </w:numPr>
        <w:tabs>
          <w:tab w:pos="1197" w:val="left" w:leader="none"/>
          <w:tab w:pos="1198" w:val="left" w:leader="none"/>
        </w:tabs>
        <w:spacing w:line="240" w:lineRule="auto" w:before="184" w:after="0"/>
        <w:ind w:left="477" w:right="0" w:firstLine="0"/>
        <w:jc w:val="left"/>
        <w:rPr>
          <w:sz w:val="38"/>
        </w:rPr>
      </w:pPr>
      <w:r>
        <w:rPr>
          <w:sz w:val="38"/>
        </w:rPr>
        <w:t>lymphatic and glandular</w:t>
      </w:r>
      <w:r>
        <w:rPr>
          <w:spacing w:val="-1"/>
          <w:sz w:val="38"/>
        </w:rPr>
        <w:t> </w:t>
      </w:r>
      <w:r>
        <w:rPr>
          <w:sz w:val="38"/>
        </w:rPr>
        <w:t>system,</w:t>
      </w:r>
    </w:p>
    <w:p>
      <w:pPr>
        <w:pStyle w:val="ListParagraph"/>
        <w:numPr>
          <w:ilvl w:val="1"/>
          <w:numId w:val="40"/>
        </w:numPr>
        <w:tabs>
          <w:tab w:pos="1197" w:val="left" w:leader="none"/>
          <w:tab w:pos="1198" w:val="left" w:leader="none"/>
        </w:tabs>
        <w:spacing w:line="240" w:lineRule="auto" w:before="185" w:after="0"/>
        <w:ind w:left="477" w:right="0" w:firstLine="0"/>
        <w:jc w:val="left"/>
        <w:rPr>
          <w:sz w:val="38"/>
        </w:rPr>
      </w:pPr>
      <w:r>
        <w:rPr>
          <w:sz w:val="38"/>
        </w:rPr>
        <w:t>muscles,</w:t>
      </w:r>
    </w:p>
    <w:p>
      <w:pPr>
        <w:pStyle w:val="ListParagraph"/>
        <w:numPr>
          <w:ilvl w:val="1"/>
          <w:numId w:val="40"/>
        </w:numPr>
        <w:tabs>
          <w:tab w:pos="1197" w:val="left" w:leader="none"/>
          <w:tab w:pos="1198" w:val="left" w:leader="none"/>
        </w:tabs>
        <w:spacing w:line="240" w:lineRule="auto" w:before="184" w:after="0"/>
        <w:ind w:left="477" w:right="0" w:firstLine="0"/>
        <w:jc w:val="left"/>
        <w:rPr>
          <w:sz w:val="38"/>
        </w:rPr>
      </w:pPr>
      <w:r>
        <w:rPr>
          <w:sz w:val="38"/>
        </w:rPr>
        <w:t>joints.</w:t>
      </w:r>
    </w:p>
    <w:p>
      <w:pPr>
        <w:spacing w:before="305"/>
        <w:ind w:left="477" w:right="0" w:firstLine="0"/>
        <w:jc w:val="left"/>
        <w:rPr>
          <w:i/>
          <w:sz w:val="38"/>
        </w:rPr>
      </w:pPr>
      <w:r>
        <w:rPr>
          <w:sz w:val="38"/>
        </w:rPr>
        <w:t>E</w:t>
      </w:r>
      <w:r>
        <w:rPr>
          <w:i/>
          <w:sz w:val="38"/>
        </w:rPr>
        <w:t>ffect on certain diseases (reported or confirmed by therapists and studies)</w:t>
      </w:r>
    </w:p>
    <w:p>
      <w:pPr>
        <w:pStyle w:val="ListParagraph"/>
        <w:numPr>
          <w:ilvl w:val="1"/>
          <w:numId w:val="40"/>
        </w:numPr>
        <w:tabs>
          <w:tab w:pos="1197" w:val="left" w:leader="none"/>
          <w:tab w:pos="1198" w:val="left" w:leader="none"/>
        </w:tabs>
        <w:spacing w:line="240" w:lineRule="auto" w:before="302" w:after="0"/>
        <w:ind w:left="477" w:right="0" w:firstLine="0"/>
        <w:jc w:val="left"/>
        <w:rPr>
          <w:sz w:val="38"/>
        </w:rPr>
      </w:pPr>
      <w:r>
        <w:rPr>
          <w:sz w:val="38"/>
        </w:rPr>
        <w:t>cataracts,</w:t>
      </w:r>
    </w:p>
    <w:p>
      <w:pPr>
        <w:pStyle w:val="ListParagraph"/>
        <w:numPr>
          <w:ilvl w:val="1"/>
          <w:numId w:val="40"/>
        </w:numPr>
        <w:tabs>
          <w:tab w:pos="1197" w:val="left" w:leader="none"/>
          <w:tab w:pos="1198" w:val="left" w:leader="none"/>
        </w:tabs>
        <w:spacing w:line="240" w:lineRule="auto" w:before="185" w:after="0"/>
        <w:ind w:left="477" w:right="0" w:firstLine="0"/>
        <w:jc w:val="left"/>
        <w:rPr>
          <w:sz w:val="38"/>
        </w:rPr>
      </w:pPr>
      <w:r>
        <w:rPr>
          <w:sz w:val="38"/>
        </w:rPr>
        <w:t>allergies,</w:t>
      </w:r>
    </w:p>
    <w:p>
      <w:pPr>
        <w:pStyle w:val="ListParagraph"/>
        <w:numPr>
          <w:ilvl w:val="1"/>
          <w:numId w:val="40"/>
        </w:numPr>
        <w:tabs>
          <w:tab w:pos="1197" w:val="left" w:leader="none"/>
          <w:tab w:pos="1198" w:val="left" w:leader="none"/>
        </w:tabs>
        <w:spacing w:line="240" w:lineRule="auto" w:before="184" w:after="0"/>
        <w:ind w:left="477" w:right="0" w:firstLine="0"/>
        <w:jc w:val="left"/>
        <w:rPr>
          <w:sz w:val="38"/>
        </w:rPr>
      </w:pPr>
      <w:r>
        <w:rPr>
          <w:sz w:val="38"/>
        </w:rPr>
        <w:t>atherosclerosis (hardening of the</w:t>
      </w:r>
      <w:r>
        <w:rPr>
          <w:spacing w:val="2"/>
          <w:sz w:val="38"/>
        </w:rPr>
        <w:t> </w:t>
      </w:r>
      <w:r>
        <w:rPr>
          <w:sz w:val="38"/>
        </w:rPr>
        <w:t>arteries),</w:t>
      </w:r>
    </w:p>
    <w:p>
      <w:pPr>
        <w:pStyle w:val="ListParagraph"/>
        <w:numPr>
          <w:ilvl w:val="1"/>
          <w:numId w:val="40"/>
        </w:numPr>
        <w:tabs>
          <w:tab w:pos="1197" w:val="left" w:leader="none"/>
          <w:tab w:pos="1198" w:val="left" w:leader="none"/>
        </w:tabs>
        <w:spacing w:line="240" w:lineRule="auto" w:before="185" w:after="0"/>
        <w:ind w:left="477" w:right="0" w:firstLine="0"/>
        <w:jc w:val="left"/>
        <w:rPr>
          <w:sz w:val="38"/>
        </w:rPr>
      </w:pPr>
      <w:r>
        <w:rPr>
          <w:sz w:val="38"/>
        </w:rPr>
        <w:t>myocardial infarction prophylaxis,</w:t>
      </w:r>
    </w:p>
    <w:p>
      <w:pPr>
        <w:pStyle w:val="ListParagraph"/>
        <w:numPr>
          <w:ilvl w:val="1"/>
          <w:numId w:val="40"/>
        </w:numPr>
        <w:tabs>
          <w:tab w:pos="1197" w:val="left" w:leader="none"/>
          <w:tab w:pos="1198" w:val="left" w:leader="none"/>
        </w:tabs>
        <w:spacing w:line="240" w:lineRule="auto" w:before="184" w:after="0"/>
        <w:ind w:left="477" w:right="0" w:firstLine="0"/>
        <w:jc w:val="left"/>
        <w:rPr>
          <w:sz w:val="38"/>
        </w:rPr>
      </w:pPr>
      <w:r>
        <w:rPr>
          <w:sz w:val="38"/>
        </w:rPr>
        <w:t>almost all signs of</w:t>
      </w:r>
      <w:r>
        <w:rPr>
          <w:spacing w:val="-1"/>
          <w:sz w:val="38"/>
        </w:rPr>
        <w:t> </w:t>
      </w:r>
      <w:r>
        <w:rPr>
          <w:sz w:val="38"/>
        </w:rPr>
        <w:t>ageing,</w:t>
      </w:r>
    </w:p>
    <w:p>
      <w:pPr>
        <w:pStyle w:val="ListParagraph"/>
        <w:numPr>
          <w:ilvl w:val="1"/>
          <w:numId w:val="40"/>
        </w:numPr>
        <w:tabs>
          <w:tab w:pos="1197" w:val="left" w:leader="none"/>
          <w:tab w:pos="1198" w:val="left" w:leader="none"/>
        </w:tabs>
        <w:spacing w:line="240" w:lineRule="auto" w:before="185" w:after="0"/>
        <w:ind w:left="477" w:right="0" w:firstLine="0"/>
        <w:jc w:val="left"/>
        <w:rPr>
          <w:sz w:val="38"/>
        </w:rPr>
      </w:pPr>
      <w:r>
        <w:rPr>
          <w:sz w:val="38"/>
        </w:rPr>
        <w:t>rejuvenation of the skin, reversal of</w:t>
      </w:r>
      <w:r>
        <w:rPr>
          <w:spacing w:val="1"/>
          <w:sz w:val="38"/>
        </w:rPr>
        <w:t> </w:t>
      </w:r>
      <w:r>
        <w:rPr>
          <w:sz w:val="38"/>
        </w:rPr>
        <w:t>wrinkles,</w:t>
      </w:r>
    </w:p>
    <w:p>
      <w:pPr>
        <w:pStyle w:val="ListParagraph"/>
        <w:numPr>
          <w:ilvl w:val="1"/>
          <w:numId w:val="40"/>
        </w:numPr>
        <w:tabs>
          <w:tab w:pos="1197" w:val="left" w:leader="none"/>
          <w:tab w:pos="1198" w:val="left" w:leader="none"/>
        </w:tabs>
        <w:spacing w:line="240" w:lineRule="auto" w:before="185" w:after="0"/>
        <w:ind w:left="477" w:right="0" w:firstLine="0"/>
        <w:jc w:val="left"/>
        <w:rPr>
          <w:sz w:val="38"/>
        </w:rPr>
      </w:pPr>
      <w:r>
        <w:rPr>
          <w:sz w:val="38"/>
        </w:rPr>
        <w:t>acne,</w:t>
      </w:r>
    </w:p>
    <w:p>
      <w:pPr>
        <w:pStyle w:val="ListParagraph"/>
        <w:numPr>
          <w:ilvl w:val="1"/>
          <w:numId w:val="40"/>
        </w:numPr>
        <w:tabs>
          <w:tab w:pos="1197" w:val="left" w:leader="none"/>
          <w:tab w:pos="1198" w:val="left" w:leader="none"/>
        </w:tabs>
        <w:spacing w:line="240" w:lineRule="auto" w:before="182" w:after="0"/>
        <w:ind w:left="477" w:right="0" w:firstLine="0"/>
        <w:jc w:val="left"/>
        <w:rPr>
          <w:sz w:val="38"/>
        </w:rPr>
      </w:pPr>
      <w:r>
        <w:rPr>
          <w:sz w:val="38"/>
        </w:rPr>
        <w:t>rheumatism,</w:t>
      </w:r>
    </w:p>
    <w:p>
      <w:pPr>
        <w:spacing w:after="0" w:line="240" w:lineRule="auto"/>
        <w:jc w:val="left"/>
        <w:rPr>
          <w:sz w:val="38"/>
        </w:rPr>
        <w:sectPr>
          <w:pgSz w:w="14270" w:h="16850"/>
          <w:pgMar w:header="0" w:footer="1891" w:top="1600" w:bottom="2080" w:left="800" w:right="1280"/>
        </w:sectPr>
      </w:pPr>
    </w:p>
    <w:p>
      <w:pPr>
        <w:pStyle w:val="ListParagraph"/>
        <w:numPr>
          <w:ilvl w:val="1"/>
          <w:numId w:val="40"/>
        </w:numPr>
        <w:tabs>
          <w:tab w:pos="1197" w:val="left" w:leader="none"/>
          <w:tab w:pos="1198" w:val="left" w:leader="none"/>
        </w:tabs>
        <w:spacing w:line="240" w:lineRule="auto" w:before="181" w:after="0"/>
        <w:ind w:left="477" w:right="0" w:firstLine="0"/>
        <w:jc w:val="left"/>
        <w:rPr>
          <w:sz w:val="38"/>
        </w:rPr>
      </w:pPr>
      <w:r>
        <w:rPr>
          <w:sz w:val="38"/>
        </w:rPr>
        <w:t>joint problems (especially joint</w:t>
      </w:r>
      <w:r>
        <w:rPr>
          <w:spacing w:val="-1"/>
          <w:sz w:val="38"/>
        </w:rPr>
        <w:t> </w:t>
      </w:r>
      <w:r>
        <w:rPr>
          <w:sz w:val="38"/>
        </w:rPr>
        <w:t>inflammations),</w:t>
      </w:r>
    </w:p>
    <w:p>
      <w:pPr>
        <w:pStyle w:val="ListParagraph"/>
        <w:numPr>
          <w:ilvl w:val="1"/>
          <w:numId w:val="40"/>
        </w:numPr>
        <w:tabs>
          <w:tab w:pos="1197" w:val="left" w:leader="none"/>
          <w:tab w:pos="1198" w:val="left" w:leader="none"/>
        </w:tabs>
        <w:spacing w:line="240" w:lineRule="auto" w:before="185" w:after="0"/>
        <w:ind w:left="477" w:right="0" w:firstLine="0"/>
        <w:jc w:val="left"/>
        <w:rPr>
          <w:sz w:val="38"/>
        </w:rPr>
      </w:pPr>
      <w:r>
        <w:rPr>
          <w:sz w:val="38"/>
        </w:rPr>
        <w:t>back problems,</w:t>
      </w:r>
    </w:p>
    <w:p>
      <w:pPr>
        <w:pStyle w:val="ListParagraph"/>
        <w:numPr>
          <w:ilvl w:val="1"/>
          <w:numId w:val="40"/>
        </w:numPr>
        <w:tabs>
          <w:tab w:pos="1197" w:val="left" w:leader="none"/>
          <w:tab w:pos="1198" w:val="left" w:leader="none"/>
        </w:tabs>
        <w:spacing w:line="240" w:lineRule="auto" w:before="184" w:after="0"/>
        <w:ind w:left="477" w:right="0" w:firstLine="0"/>
        <w:jc w:val="left"/>
        <w:rPr>
          <w:sz w:val="38"/>
        </w:rPr>
      </w:pPr>
      <w:r>
        <w:rPr>
          <w:sz w:val="38"/>
        </w:rPr>
        <w:t>arthritis,</w:t>
      </w:r>
    </w:p>
    <w:p>
      <w:pPr>
        <w:pStyle w:val="ListParagraph"/>
        <w:numPr>
          <w:ilvl w:val="1"/>
          <w:numId w:val="40"/>
        </w:numPr>
        <w:tabs>
          <w:tab w:pos="1197" w:val="left" w:leader="none"/>
          <w:tab w:pos="1198" w:val="left" w:leader="none"/>
        </w:tabs>
        <w:spacing w:line="240" w:lineRule="auto" w:before="185" w:after="0"/>
        <w:ind w:left="477" w:right="0" w:firstLine="0"/>
        <w:jc w:val="left"/>
        <w:rPr>
          <w:sz w:val="38"/>
        </w:rPr>
      </w:pPr>
      <w:r>
        <w:rPr>
          <w:sz w:val="38"/>
        </w:rPr>
        <w:t>arthrosis,</w:t>
      </w:r>
    </w:p>
    <w:p>
      <w:pPr>
        <w:pStyle w:val="ListParagraph"/>
        <w:numPr>
          <w:ilvl w:val="1"/>
          <w:numId w:val="40"/>
        </w:numPr>
        <w:tabs>
          <w:tab w:pos="1197" w:val="left" w:leader="none"/>
          <w:tab w:pos="1198" w:val="left" w:leader="none"/>
        </w:tabs>
        <w:spacing w:line="240" w:lineRule="auto" w:before="184" w:after="0"/>
        <w:ind w:left="477" w:right="0" w:firstLine="0"/>
        <w:jc w:val="left"/>
        <w:rPr>
          <w:sz w:val="38"/>
        </w:rPr>
      </w:pPr>
      <w:r>
        <w:rPr>
          <w:sz w:val="38"/>
        </w:rPr>
        <w:t>excess weight,</w:t>
      </w:r>
    </w:p>
    <w:p>
      <w:pPr>
        <w:pStyle w:val="ListParagraph"/>
        <w:numPr>
          <w:ilvl w:val="1"/>
          <w:numId w:val="40"/>
        </w:numPr>
        <w:tabs>
          <w:tab w:pos="1197" w:val="left" w:leader="none"/>
          <w:tab w:pos="1198" w:val="left" w:leader="none"/>
        </w:tabs>
        <w:spacing w:line="240" w:lineRule="auto" w:before="183" w:after="0"/>
        <w:ind w:left="477" w:right="0" w:firstLine="0"/>
        <w:jc w:val="left"/>
        <w:rPr>
          <w:sz w:val="38"/>
        </w:rPr>
      </w:pPr>
      <w:r>
        <w:rPr>
          <w:sz w:val="38"/>
        </w:rPr>
        <w:t>flu,</w:t>
      </w:r>
    </w:p>
    <w:p>
      <w:pPr>
        <w:pStyle w:val="ListParagraph"/>
        <w:numPr>
          <w:ilvl w:val="1"/>
          <w:numId w:val="40"/>
        </w:numPr>
        <w:tabs>
          <w:tab w:pos="1197" w:val="left" w:leader="none"/>
          <w:tab w:pos="1198" w:val="left" w:leader="none"/>
        </w:tabs>
        <w:spacing w:line="240" w:lineRule="auto" w:before="185" w:after="0"/>
        <w:ind w:left="477" w:right="0" w:firstLine="0"/>
        <w:jc w:val="left"/>
        <w:rPr>
          <w:sz w:val="38"/>
        </w:rPr>
      </w:pPr>
      <w:r>
        <w:rPr>
          <w:sz w:val="38"/>
        </w:rPr>
        <w:t>cold,</w:t>
      </w:r>
    </w:p>
    <w:p>
      <w:pPr>
        <w:pStyle w:val="ListParagraph"/>
        <w:numPr>
          <w:ilvl w:val="1"/>
          <w:numId w:val="40"/>
        </w:numPr>
        <w:tabs>
          <w:tab w:pos="1197" w:val="left" w:leader="none"/>
          <w:tab w:pos="1198" w:val="left" w:leader="none"/>
        </w:tabs>
        <w:spacing w:line="240" w:lineRule="auto" w:before="184" w:after="0"/>
        <w:ind w:left="477" w:right="0" w:firstLine="0"/>
        <w:jc w:val="left"/>
        <w:rPr>
          <w:sz w:val="38"/>
        </w:rPr>
      </w:pPr>
      <w:r>
        <w:rPr>
          <w:sz w:val="38"/>
        </w:rPr>
        <w:t>gastrointestinal disease,</w:t>
      </w:r>
    </w:p>
    <w:p>
      <w:pPr>
        <w:pStyle w:val="ListParagraph"/>
        <w:numPr>
          <w:ilvl w:val="1"/>
          <w:numId w:val="40"/>
        </w:numPr>
        <w:tabs>
          <w:tab w:pos="1197" w:val="left" w:leader="none"/>
          <w:tab w:pos="1198" w:val="left" w:leader="none"/>
        </w:tabs>
        <w:spacing w:line="240" w:lineRule="auto" w:before="185" w:after="0"/>
        <w:ind w:left="477" w:right="0" w:firstLine="0"/>
        <w:jc w:val="left"/>
        <w:rPr>
          <w:sz w:val="38"/>
        </w:rPr>
      </w:pPr>
      <w:r>
        <w:rPr>
          <w:sz w:val="38"/>
        </w:rPr>
        <w:t>tonsillitis,</w:t>
      </w:r>
    </w:p>
    <w:p>
      <w:pPr>
        <w:pStyle w:val="ListParagraph"/>
        <w:numPr>
          <w:ilvl w:val="1"/>
          <w:numId w:val="40"/>
        </w:numPr>
        <w:tabs>
          <w:tab w:pos="1197" w:val="left" w:leader="none"/>
          <w:tab w:pos="1198" w:val="left" w:leader="none"/>
        </w:tabs>
        <w:spacing w:line="240" w:lineRule="auto" w:before="184" w:after="0"/>
        <w:ind w:left="477" w:right="0" w:firstLine="0"/>
        <w:jc w:val="left"/>
        <w:rPr>
          <w:sz w:val="38"/>
        </w:rPr>
      </w:pPr>
      <w:r>
        <w:rPr>
          <w:sz w:val="38"/>
        </w:rPr>
        <w:t>large/small intestinal</w:t>
      </w:r>
      <w:r>
        <w:rPr>
          <w:spacing w:val="-2"/>
          <w:sz w:val="38"/>
        </w:rPr>
        <w:t> </w:t>
      </w:r>
      <w:r>
        <w:rPr>
          <w:sz w:val="38"/>
        </w:rPr>
        <w:t>inflammation,</w:t>
      </w:r>
    </w:p>
    <w:p>
      <w:pPr>
        <w:pStyle w:val="ListParagraph"/>
        <w:numPr>
          <w:ilvl w:val="1"/>
          <w:numId w:val="40"/>
        </w:numPr>
        <w:tabs>
          <w:tab w:pos="1197" w:val="left" w:leader="none"/>
          <w:tab w:pos="1198" w:val="left" w:leader="none"/>
        </w:tabs>
        <w:spacing w:line="240" w:lineRule="auto" w:before="185" w:after="0"/>
        <w:ind w:left="477" w:right="0" w:firstLine="0"/>
        <w:jc w:val="left"/>
        <w:rPr>
          <w:sz w:val="38"/>
        </w:rPr>
      </w:pPr>
      <w:r>
        <w:rPr>
          <w:sz w:val="38"/>
        </w:rPr>
        <w:t>gastritis,</w:t>
      </w:r>
    </w:p>
    <w:p>
      <w:pPr>
        <w:pStyle w:val="ListParagraph"/>
        <w:numPr>
          <w:ilvl w:val="1"/>
          <w:numId w:val="40"/>
        </w:numPr>
        <w:tabs>
          <w:tab w:pos="1197" w:val="left" w:leader="none"/>
          <w:tab w:pos="1198" w:val="left" w:leader="none"/>
        </w:tabs>
        <w:spacing w:line="240" w:lineRule="auto" w:before="182" w:after="0"/>
        <w:ind w:left="477" w:right="0" w:firstLine="0"/>
        <w:jc w:val="left"/>
        <w:rPr>
          <w:sz w:val="38"/>
        </w:rPr>
      </w:pPr>
      <w:r>
        <w:rPr>
          <w:sz w:val="38"/>
        </w:rPr>
        <w:t>restless sleep and insomnia,</w:t>
      </w:r>
    </w:p>
    <w:p>
      <w:pPr>
        <w:pStyle w:val="ListParagraph"/>
        <w:numPr>
          <w:ilvl w:val="1"/>
          <w:numId w:val="40"/>
        </w:numPr>
        <w:tabs>
          <w:tab w:pos="1197" w:val="left" w:leader="none"/>
          <w:tab w:pos="1198" w:val="left" w:leader="none"/>
        </w:tabs>
        <w:spacing w:line="240" w:lineRule="auto" w:before="185" w:after="0"/>
        <w:ind w:left="477" w:right="0" w:firstLine="0"/>
        <w:jc w:val="left"/>
        <w:rPr>
          <w:sz w:val="38"/>
        </w:rPr>
      </w:pPr>
      <w:r>
        <w:rPr>
          <w:sz w:val="38"/>
        </w:rPr>
        <w:t>sclerosis,</w:t>
      </w:r>
    </w:p>
    <w:p>
      <w:pPr>
        <w:pStyle w:val="ListParagraph"/>
        <w:numPr>
          <w:ilvl w:val="1"/>
          <w:numId w:val="40"/>
        </w:numPr>
        <w:tabs>
          <w:tab w:pos="1197" w:val="left" w:leader="none"/>
          <w:tab w:pos="1198" w:val="left" w:leader="none"/>
        </w:tabs>
        <w:spacing w:line="240" w:lineRule="auto" w:before="184" w:after="0"/>
        <w:ind w:left="477" w:right="0" w:firstLine="0"/>
        <w:jc w:val="left"/>
        <w:rPr>
          <w:sz w:val="38"/>
        </w:rPr>
      </w:pPr>
      <w:r>
        <w:rPr>
          <w:sz w:val="38"/>
        </w:rPr>
        <w:t>fatigue,</w:t>
      </w:r>
    </w:p>
    <w:p>
      <w:pPr>
        <w:pStyle w:val="ListParagraph"/>
        <w:numPr>
          <w:ilvl w:val="1"/>
          <w:numId w:val="40"/>
        </w:numPr>
        <w:tabs>
          <w:tab w:pos="1197" w:val="left" w:leader="none"/>
          <w:tab w:pos="1198" w:val="left" w:leader="none"/>
        </w:tabs>
        <w:spacing w:line="240" w:lineRule="auto" w:before="185" w:after="0"/>
        <w:ind w:left="477" w:right="0" w:firstLine="0"/>
        <w:jc w:val="left"/>
        <w:rPr>
          <w:sz w:val="38"/>
        </w:rPr>
      </w:pPr>
      <w:r>
        <w:rPr>
          <w:sz w:val="38"/>
        </w:rPr>
        <w:t>soreness</w:t>
      </w:r>
      <w:r>
        <w:rPr>
          <w:spacing w:val="-1"/>
          <w:sz w:val="38"/>
        </w:rPr>
        <w:t> </w:t>
      </w:r>
      <w:r>
        <w:rPr>
          <w:sz w:val="38"/>
        </w:rPr>
        <w:t>diffraction,</w:t>
      </w:r>
    </w:p>
    <w:p>
      <w:pPr>
        <w:pStyle w:val="ListParagraph"/>
        <w:numPr>
          <w:ilvl w:val="1"/>
          <w:numId w:val="40"/>
        </w:numPr>
        <w:tabs>
          <w:tab w:pos="1197" w:val="left" w:leader="none"/>
          <w:tab w:pos="1198" w:val="left" w:leader="none"/>
        </w:tabs>
        <w:spacing w:line="240" w:lineRule="auto" w:before="184" w:after="0"/>
        <w:ind w:left="477" w:right="0" w:firstLine="0"/>
        <w:jc w:val="left"/>
        <w:rPr>
          <w:sz w:val="38"/>
        </w:rPr>
      </w:pPr>
      <w:r>
        <w:rPr>
          <w:sz w:val="38"/>
        </w:rPr>
        <w:t>nervousness,</w:t>
      </w:r>
    </w:p>
    <w:p>
      <w:pPr>
        <w:pStyle w:val="ListParagraph"/>
        <w:numPr>
          <w:ilvl w:val="1"/>
          <w:numId w:val="40"/>
        </w:numPr>
        <w:tabs>
          <w:tab w:pos="1197" w:val="left" w:leader="none"/>
          <w:tab w:pos="1198" w:val="left" w:leader="none"/>
        </w:tabs>
        <w:spacing w:line="240" w:lineRule="auto" w:before="185" w:after="0"/>
        <w:ind w:left="477" w:right="0" w:firstLine="0"/>
        <w:jc w:val="left"/>
        <w:rPr>
          <w:sz w:val="38"/>
        </w:rPr>
      </w:pPr>
      <w:r>
        <w:rPr>
          <w:sz w:val="38"/>
        </w:rPr>
        <w:t>constipation,</w:t>
      </w:r>
    </w:p>
    <w:p>
      <w:pPr>
        <w:pStyle w:val="ListParagraph"/>
        <w:numPr>
          <w:ilvl w:val="1"/>
          <w:numId w:val="40"/>
        </w:numPr>
        <w:tabs>
          <w:tab w:pos="1197" w:val="left" w:leader="none"/>
          <w:tab w:pos="1198" w:val="left" w:leader="none"/>
        </w:tabs>
        <w:spacing w:line="240" w:lineRule="auto" w:before="185" w:after="0"/>
        <w:ind w:left="477" w:right="0" w:firstLine="0"/>
        <w:jc w:val="left"/>
        <w:rPr>
          <w:sz w:val="38"/>
        </w:rPr>
      </w:pPr>
      <w:r>
        <w:rPr>
          <w:sz w:val="38"/>
        </w:rPr>
        <w:t>eczema,</w:t>
      </w:r>
    </w:p>
    <w:p>
      <w:pPr>
        <w:pStyle w:val="ListParagraph"/>
        <w:numPr>
          <w:ilvl w:val="1"/>
          <w:numId w:val="40"/>
        </w:numPr>
        <w:tabs>
          <w:tab w:pos="1197" w:val="left" w:leader="none"/>
          <w:tab w:pos="1198" w:val="left" w:leader="none"/>
        </w:tabs>
        <w:spacing w:line="240" w:lineRule="auto" w:before="182" w:after="0"/>
        <w:ind w:left="477" w:right="0" w:firstLine="0"/>
        <w:jc w:val="left"/>
        <w:rPr>
          <w:sz w:val="38"/>
        </w:rPr>
      </w:pPr>
      <w:r>
        <w:rPr>
          <w:sz w:val="38"/>
        </w:rPr>
        <w:t>neurodermitis,</w:t>
      </w:r>
    </w:p>
    <w:p>
      <w:pPr>
        <w:spacing w:after="0" w:line="240" w:lineRule="auto"/>
        <w:jc w:val="left"/>
        <w:rPr>
          <w:sz w:val="38"/>
        </w:rPr>
        <w:sectPr>
          <w:pgSz w:w="14270" w:h="16850"/>
          <w:pgMar w:header="0" w:footer="1891" w:top="1600" w:bottom="2080" w:left="800" w:right="1280"/>
        </w:sectPr>
      </w:pPr>
    </w:p>
    <w:p>
      <w:pPr>
        <w:pStyle w:val="ListParagraph"/>
        <w:numPr>
          <w:ilvl w:val="1"/>
          <w:numId w:val="40"/>
        </w:numPr>
        <w:tabs>
          <w:tab w:pos="1197" w:val="left" w:leader="none"/>
          <w:tab w:pos="1198" w:val="left" w:leader="none"/>
        </w:tabs>
        <w:spacing w:line="240" w:lineRule="auto" w:before="181" w:after="0"/>
        <w:ind w:left="477" w:right="0" w:firstLine="0"/>
        <w:jc w:val="left"/>
        <w:rPr>
          <w:sz w:val="38"/>
        </w:rPr>
      </w:pPr>
      <w:r>
        <w:rPr>
          <w:sz w:val="38"/>
        </w:rPr>
        <w:t>psoriasis</w:t>
      </w:r>
    </w:p>
    <w:p>
      <w:pPr>
        <w:pStyle w:val="ListParagraph"/>
        <w:numPr>
          <w:ilvl w:val="1"/>
          <w:numId w:val="40"/>
        </w:numPr>
        <w:tabs>
          <w:tab w:pos="1197" w:val="left" w:leader="none"/>
          <w:tab w:pos="1198" w:val="left" w:leader="none"/>
        </w:tabs>
        <w:spacing w:line="240" w:lineRule="auto" w:before="185" w:after="0"/>
        <w:ind w:left="477" w:right="0" w:firstLine="0"/>
        <w:jc w:val="left"/>
        <w:rPr>
          <w:sz w:val="38"/>
        </w:rPr>
      </w:pPr>
      <w:r>
        <w:rPr>
          <w:sz w:val="38"/>
        </w:rPr>
        <w:t>indigestion,</w:t>
      </w:r>
    </w:p>
    <w:p>
      <w:pPr>
        <w:pStyle w:val="ListParagraph"/>
        <w:numPr>
          <w:ilvl w:val="1"/>
          <w:numId w:val="40"/>
        </w:numPr>
        <w:tabs>
          <w:tab w:pos="1197" w:val="left" w:leader="none"/>
          <w:tab w:pos="1198" w:val="left" w:leader="none"/>
        </w:tabs>
        <w:spacing w:line="240" w:lineRule="auto" w:before="184" w:after="0"/>
        <w:ind w:left="477" w:right="0" w:firstLine="0"/>
        <w:jc w:val="left"/>
        <w:rPr>
          <w:sz w:val="38"/>
        </w:rPr>
      </w:pPr>
      <w:r>
        <w:rPr>
          <w:sz w:val="38"/>
        </w:rPr>
        <w:t>Constipation</w:t>
      </w:r>
    </w:p>
    <w:p>
      <w:pPr>
        <w:pStyle w:val="ListParagraph"/>
        <w:numPr>
          <w:ilvl w:val="1"/>
          <w:numId w:val="40"/>
        </w:numPr>
        <w:tabs>
          <w:tab w:pos="1197" w:val="left" w:leader="none"/>
          <w:tab w:pos="1198" w:val="left" w:leader="none"/>
        </w:tabs>
        <w:spacing w:line="240" w:lineRule="auto" w:before="185" w:after="0"/>
        <w:ind w:left="477" w:right="0" w:firstLine="0"/>
        <w:jc w:val="left"/>
        <w:rPr>
          <w:sz w:val="38"/>
        </w:rPr>
      </w:pPr>
      <w:r>
        <w:rPr>
          <w:sz w:val="38"/>
        </w:rPr>
        <w:t>high blood</w:t>
      </w:r>
      <w:r>
        <w:rPr>
          <w:spacing w:val="2"/>
          <w:sz w:val="38"/>
        </w:rPr>
        <w:t> </w:t>
      </w:r>
      <w:r>
        <w:rPr>
          <w:sz w:val="38"/>
        </w:rPr>
        <w:t>pressure,</w:t>
      </w:r>
    </w:p>
    <w:p>
      <w:pPr>
        <w:pStyle w:val="ListParagraph"/>
        <w:numPr>
          <w:ilvl w:val="1"/>
          <w:numId w:val="40"/>
        </w:numPr>
        <w:tabs>
          <w:tab w:pos="1197" w:val="left" w:leader="none"/>
          <w:tab w:pos="1198" w:val="left" w:leader="none"/>
        </w:tabs>
        <w:spacing w:line="240" w:lineRule="auto" w:before="184" w:after="0"/>
        <w:ind w:left="477" w:right="0" w:firstLine="0"/>
        <w:jc w:val="left"/>
        <w:rPr>
          <w:sz w:val="38"/>
        </w:rPr>
      </w:pPr>
      <w:r>
        <w:rPr>
          <w:sz w:val="38"/>
        </w:rPr>
        <w:t>oedemas</w:t>
      </w:r>
    </w:p>
    <w:p>
      <w:pPr>
        <w:pStyle w:val="ListParagraph"/>
        <w:numPr>
          <w:ilvl w:val="1"/>
          <w:numId w:val="40"/>
        </w:numPr>
        <w:tabs>
          <w:tab w:pos="1197" w:val="left" w:leader="none"/>
          <w:tab w:pos="1198" w:val="left" w:leader="none"/>
        </w:tabs>
        <w:spacing w:line="240" w:lineRule="auto" w:before="183" w:after="0"/>
        <w:ind w:left="477" w:right="0" w:firstLine="0"/>
        <w:jc w:val="left"/>
        <w:rPr>
          <w:sz w:val="38"/>
        </w:rPr>
      </w:pPr>
      <w:r>
        <w:rPr>
          <w:sz w:val="38"/>
        </w:rPr>
        <w:t>persistent</w:t>
      </w:r>
      <w:r>
        <w:rPr>
          <w:spacing w:val="-1"/>
          <w:sz w:val="38"/>
        </w:rPr>
        <w:t> </w:t>
      </w:r>
      <w:r>
        <w:rPr>
          <w:sz w:val="38"/>
        </w:rPr>
        <w:t>headaches,</w:t>
      </w:r>
    </w:p>
    <w:p>
      <w:pPr>
        <w:pStyle w:val="ListParagraph"/>
        <w:numPr>
          <w:ilvl w:val="1"/>
          <w:numId w:val="40"/>
        </w:numPr>
        <w:tabs>
          <w:tab w:pos="1197" w:val="left" w:leader="none"/>
          <w:tab w:pos="1198" w:val="left" w:leader="none"/>
        </w:tabs>
        <w:spacing w:line="240" w:lineRule="auto" w:before="185" w:after="0"/>
        <w:ind w:left="477" w:right="0" w:firstLine="0"/>
        <w:jc w:val="left"/>
        <w:rPr>
          <w:sz w:val="38"/>
        </w:rPr>
      </w:pPr>
      <w:r>
        <w:rPr>
          <w:sz w:val="38"/>
        </w:rPr>
        <w:t>stimulates liver</w:t>
      </w:r>
      <w:r>
        <w:rPr>
          <w:spacing w:val="1"/>
          <w:sz w:val="38"/>
        </w:rPr>
        <w:t> </w:t>
      </w:r>
      <w:r>
        <w:rPr>
          <w:sz w:val="38"/>
        </w:rPr>
        <w:t>function,</w:t>
      </w:r>
    </w:p>
    <w:p>
      <w:pPr>
        <w:pStyle w:val="ListParagraph"/>
        <w:numPr>
          <w:ilvl w:val="1"/>
          <w:numId w:val="40"/>
        </w:numPr>
        <w:tabs>
          <w:tab w:pos="1197" w:val="left" w:leader="none"/>
          <w:tab w:pos="1198" w:val="left" w:leader="none"/>
        </w:tabs>
        <w:spacing w:line="240" w:lineRule="auto" w:before="184" w:after="0"/>
        <w:ind w:left="477" w:right="0" w:firstLine="0"/>
        <w:jc w:val="left"/>
        <w:rPr>
          <w:sz w:val="38"/>
        </w:rPr>
      </w:pPr>
      <w:r>
        <w:rPr>
          <w:sz w:val="38"/>
        </w:rPr>
        <w:t>stimulates kidney</w:t>
      </w:r>
      <w:r>
        <w:rPr>
          <w:spacing w:val="2"/>
          <w:sz w:val="38"/>
        </w:rPr>
        <w:t> </w:t>
      </w:r>
      <w:r>
        <w:rPr>
          <w:sz w:val="38"/>
        </w:rPr>
        <w:t>function,</w:t>
      </w:r>
    </w:p>
    <w:p>
      <w:pPr>
        <w:pStyle w:val="ListParagraph"/>
        <w:numPr>
          <w:ilvl w:val="1"/>
          <w:numId w:val="40"/>
        </w:numPr>
        <w:tabs>
          <w:tab w:pos="1197" w:val="left" w:leader="none"/>
          <w:tab w:pos="1198" w:val="left" w:leader="none"/>
        </w:tabs>
        <w:spacing w:line="240" w:lineRule="auto" w:before="185" w:after="0"/>
        <w:ind w:left="477" w:right="0" w:firstLine="0"/>
        <w:jc w:val="left"/>
        <w:rPr>
          <w:sz w:val="38"/>
        </w:rPr>
      </w:pPr>
      <w:r>
        <w:rPr>
          <w:sz w:val="38"/>
        </w:rPr>
        <w:t>furunculosis,</w:t>
      </w:r>
    </w:p>
    <w:p>
      <w:pPr>
        <w:pStyle w:val="ListParagraph"/>
        <w:numPr>
          <w:ilvl w:val="1"/>
          <w:numId w:val="40"/>
        </w:numPr>
        <w:tabs>
          <w:tab w:pos="1197" w:val="left" w:leader="none"/>
          <w:tab w:pos="1198" w:val="left" w:leader="none"/>
        </w:tabs>
        <w:spacing w:line="240" w:lineRule="auto" w:before="184" w:after="0"/>
        <w:ind w:left="477" w:right="0" w:firstLine="0"/>
        <w:jc w:val="left"/>
        <w:rPr>
          <w:sz w:val="38"/>
        </w:rPr>
      </w:pPr>
      <w:r>
        <w:rPr>
          <w:sz w:val="38"/>
        </w:rPr>
        <w:t>obesity,</w:t>
      </w:r>
    </w:p>
    <w:p>
      <w:pPr>
        <w:pStyle w:val="ListParagraph"/>
        <w:numPr>
          <w:ilvl w:val="1"/>
          <w:numId w:val="40"/>
        </w:numPr>
        <w:tabs>
          <w:tab w:pos="1197" w:val="left" w:leader="none"/>
          <w:tab w:pos="1198" w:val="left" w:leader="none"/>
        </w:tabs>
        <w:spacing w:line="240" w:lineRule="auto" w:before="185" w:after="0"/>
        <w:ind w:left="477" w:right="0" w:firstLine="0"/>
        <w:jc w:val="left"/>
        <w:rPr>
          <w:sz w:val="38"/>
        </w:rPr>
      </w:pPr>
      <w:r>
        <w:rPr>
          <w:sz w:val="38"/>
        </w:rPr>
        <w:t>diarrhoea</w:t>
      </w:r>
    </w:p>
    <w:p>
      <w:pPr>
        <w:pStyle w:val="ListParagraph"/>
        <w:numPr>
          <w:ilvl w:val="1"/>
          <w:numId w:val="40"/>
        </w:numPr>
        <w:tabs>
          <w:tab w:pos="1197" w:val="left" w:leader="none"/>
          <w:tab w:pos="1198" w:val="left" w:leader="none"/>
        </w:tabs>
        <w:spacing w:line="240" w:lineRule="auto" w:before="182" w:after="0"/>
        <w:ind w:left="477" w:right="0" w:firstLine="0"/>
        <w:jc w:val="left"/>
        <w:rPr>
          <w:sz w:val="38"/>
        </w:rPr>
      </w:pPr>
      <w:r>
        <w:rPr>
          <w:sz w:val="38"/>
        </w:rPr>
        <w:t>liver</w:t>
      </w:r>
      <w:r>
        <w:rPr>
          <w:spacing w:val="-1"/>
          <w:sz w:val="38"/>
        </w:rPr>
        <w:t> </w:t>
      </w:r>
      <w:r>
        <w:rPr>
          <w:sz w:val="38"/>
        </w:rPr>
        <w:t>disorder,</w:t>
      </w:r>
    </w:p>
    <w:p>
      <w:pPr>
        <w:pStyle w:val="ListParagraph"/>
        <w:numPr>
          <w:ilvl w:val="1"/>
          <w:numId w:val="40"/>
        </w:numPr>
        <w:tabs>
          <w:tab w:pos="1197" w:val="left" w:leader="none"/>
          <w:tab w:pos="1198" w:val="left" w:leader="none"/>
        </w:tabs>
        <w:spacing w:line="240" w:lineRule="auto" w:before="185" w:after="0"/>
        <w:ind w:left="477" w:right="0" w:firstLine="0"/>
        <w:jc w:val="left"/>
        <w:rPr>
          <w:sz w:val="38"/>
        </w:rPr>
      </w:pPr>
      <w:r>
        <w:rPr>
          <w:sz w:val="38"/>
        </w:rPr>
        <w:t>gallstones,</w:t>
      </w:r>
    </w:p>
    <w:p>
      <w:pPr>
        <w:pStyle w:val="ListParagraph"/>
        <w:numPr>
          <w:ilvl w:val="1"/>
          <w:numId w:val="40"/>
        </w:numPr>
        <w:tabs>
          <w:tab w:pos="1197" w:val="left" w:leader="none"/>
          <w:tab w:pos="1198" w:val="left" w:leader="none"/>
        </w:tabs>
        <w:spacing w:line="240" w:lineRule="auto" w:before="184" w:after="0"/>
        <w:ind w:left="477" w:right="0" w:firstLine="0"/>
        <w:jc w:val="left"/>
        <w:rPr>
          <w:sz w:val="38"/>
        </w:rPr>
      </w:pPr>
      <w:r>
        <w:rPr>
          <w:sz w:val="38"/>
        </w:rPr>
        <w:t>shingles,</w:t>
      </w:r>
    </w:p>
    <w:p>
      <w:pPr>
        <w:pStyle w:val="ListParagraph"/>
        <w:numPr>
          <w:ilvl w:val="1"/>
          <w:numId w:val="40"/>
        </w:numPr>
        <w:tabs>
          <w:tab w:pos="1197" w:val="left" w:leader="none"/>
          <w:tab w:pos="1198" w:val="left" w:leader="none"/>
        </w:tabs>
        <w:spacing w:line="240" w:lineRule="auto" w:before="185" w:after="0"/>
        <w:ind w:left="477" w:right="0" w:firstLine="0"/>
        <w:jc w:val="left"/>
        <w:rPr>
          <w:sz w:val="38"/>
        </w:rPr>
      </w:pPr>
      <w:r>
        <w:rPr>
          <w:sz w:val="38"/>
        </w:rPr>
        <w:t>ulcers,</w:t>
      </w:r>
    </w:p>
    <w:p>
      <w:pPr>
        <w:pStyle w:val="ListParagraph"/>
        <w:numPr>
          <w:ilvl w:val="1"/>
          <w:numId w:val="40"/>
        </w:numPr>
        <w:tabs>
          <w:tab w:pos="1197" w:val="left" w:leader="none"/>
          <w:tab w:pos="1198" w:val="left" w:leader="none"/>
        </w:tabs>
        <w:spacing w:line="240" w:lineRule="auto" w:before="184" w:after="0"/>
        <w:ind w:left="477" w:right="0" w:firstLine="0"/>
        <w:jc w:val="left"/>
        <w:rPr>
          <w:sz w:val="38"/>
        </w:rPr>
      </w:pPr>
      <w:r>
        <w:rPr>
          <w:sz w:val="38"/>
        </w:rPr>
        <w:t>cancer,</w:t>
      </w:r>
    </w:p>
    <w:p>
      <w:pPr>
        <w:pStyle w:val="ListParagraph"/>
        <w:numPr>
          <w:ilvl w:val="1"/>
          <w:numId w:val="40"/>
        </w:numPr>
        <w:tabs>
          <w:tab w:pos="1197" w:val="left" w:leader="none"/>
          <w:tab w:pos="1198" w:val="left" w:leader="none"/>
        </w:tabs>
        <w:spacing w:line="240" w:lineRule="auto" w:before="185" w:after="0"/>
        <w:ind w:left="477" w:right="0" w:firstLine="0"/>
        <w:jc w:val="left"/>
        <w:rPr>
          <w:sz w:val="38"/>
        </w:rPr>
      </w:pPr>
      <w:r>
        <w:rPr>
          <w:sz w:val="38"/>
        </w:rPr>
        <w:t>chickenpox,</w:t>
      </w:r>
    </w:p>
    <w:p>
      <w:pPr>
        <w:pStyle w:val="ListParagraph"/>
        <w:numPr>
          <w:ilvl w:val="1"/>
          <w:numId w:val="40"/>
        </w:numPr>
        <w:tabs>
          <w:tab w:pos="1197" w:val="left" w:leader="none"/>
          <w:tab w:pos="1198" w:val="left" w:leader="none"/>
        </w:tabs>
        <w:spacing w:line="240" w:lineRule="auto" w:before="185" w:after="0"/>
        <w:ind w:left="477" w:right="0" w:firstLine="0"/>
        <w:jc w:val="left"/>
        <w:rPr>
          <w:sz w:val="38"/>
        </w:rPr>
      </w:pPr>
      <w:r>
        <w:rPr>
          <w:sz w:val="38"/>
        </w:rPr>
        <w:t>haemorrhoids,</w:t>
      </w:r>
    </w:p>
    <w:p>
      <w:pPr>
        <w:pStyle w:val="ListParagraph"/>
        <w:numPr>
          <w:ilvl w:val="1"/>
          <w:numId w:val="40"/>
        </w:numPr>
        <w:tabs>
          <w:tab w:pos="1197" w:val="left" w:leader="none"/>
          <w:tab w:pos="1198" w:val="left" w:leader="none"/>
        </w:tabs>
        <w:spacing w:line="240" w:lineRule="auto" w:before="182" w:after="0"/>
        <w:ind w:left="477" w:right="0" w:firstLine="0"/>
        <w:jc w:val="left"/>
        <w:rPr>
          <w:sz w:val="38"/>
        </w:rPr>
      </w:pPr>
      <w:r>
        <w:rPr>
          <w:sz w:val="38"/>
        </w:rPr>
        <w:t>menopausal</w:t>
      </w:r>
      <w:r>
        <w:rPr>
          <w:spacing w:val="-1"/>
          <w:sz w:val="38"/>
        </w:rPr>
        <w:t> </w:t>
      </w:r>
      <w:r>
        <w:rPr>
          <w:sz w:val="38"/>
        </w:rPr>
        <w:t>symptoms.</w:t>
      </w:r>
    </w:p>
    <w:p>
      <w:pPr>
        <w:spacing w:after="0" w:line="240" w:lineRule="auto"/>
        <w:jc w:val="left"/>
        <w:rPr>
          <w:sz w:val="38"/>
        </w:rPr>
        <w:sectPr>
          <w:pgSz w:w="14270" w:h="16850"/>
          <w:pgMar w:header="0" w:footer="1891" w:top="1600" w:bottom="2080" w:left="800" w:right="1280"/>
        </w:sectPr>
      </w:pPr>
    </w:p>
    <w:p>
      <w:pPr>
        <w:pStyle w:val="Heading1"/>
        <w:spacing w:before="164"/>
        <w:jc w:val="both"/>
      </w:pPr>
      <w:r>
        <w:rPr/>
        <w:t>How can the broad spectrum of kombucha tea’s effect be explained?</w:t>
      </w:r>
    </w:p>
    <w:p>
      <w:pPr>
        <w:pStyle w:val="BodyText"/>
        <w:spacing w:line="276" w:lineRule="auto" w:before="299"/>
        <w:ind w:left="477" w:right="138"/>
        <w:jc w:val="both"/>
      </w:pPr>
      <w:r>
        <w:rPr/>
        <w:t>First of all, we should be completely honest about the fact that kombucha has not yet been researched in every detail by scientists, despite all the fascinating reports on its effects on countless symptoms and pathological conditions for around 2000 years. However, for many decades now, there have been serious, positive studies from Eastern Europe as well as countless enthusiastic state- ments</w:t>
      </w:r>
      <w:r>
        <w:rPr>
          <w:spacing w:val="-10"/>
        </w:rPr>
        <w:t> </w:t>
      </w:r>
      <w:r>
        <w:rPr/>
        <w:t>from</w:t>
      </w:r>
      <w:r>
        <w:rPr>
          <w:spacing w:val="-9"/>
        </w:rPr>
        <w:t> </w:t>
      </w:r>
      <w:r>
        <w:rPr/>
        <w:t>doctors</w:t>
      </w:r>
      <w:r>
        <w:rPr>
          <w:spacing w:val="-9"/>
        </w:rPr>
        <w:t> </w:t>
      </w:r>
      <w:r>
        <w:rPr/>
        <w:t>and</w:t>
      </w:r>
      <w:r>
        <w:rPr>
          <w:spacing w:val="-10"/>
        </w:rPr>
        <w:t> </w:t>
      </w:r>
      <w:r>
        <w:rPr/>
        <w:t>therapists</w:t>
      </w:r>
      <w:r>
        <w:rPr>
          <w:spacing w:val="-9"/>
        </w:rPr>
        <w:t> </w:t>
      </w:r>
      <w:r>
        <w:rPr/>
        <w:t>who</w:t>
      </w:r>
      <w:r>
        <w:rPr>
          <w:spacing w:val="-8"/>
        </w:rPr>
        <w:t> </w:t>
      </w:r>
      <w:r>
        <w:rPr/>
        <w:t>have</w:t>
      </w:r>
      <w:r>
        <w:rPr>
          <w:spacing w:val="-10"/>
        </w:rPr>
        <w:t> </w:t>
      </w:r>
      <w:r>
        <w:rPr/>
        <w:t>successfully</w:t>
      </w:r>
      <w:r>
        <w:rPr>
          <w:spacing w:val="-9"/>
        </w:rPr>
        <w:t> </w:t>
      </w:r>
      <w:r>
        <w:rPr/>
        <w:t>trialled</w:t>
      </w:r>
      <w:r>
        <w:rPr>
          <w:spacing w:val="-7"/>
        </w:rPr>
        <w:t> </w:t>
      </w:r>
      <w:r>
        <w:rPr/>
        <w:t>kombucha</w:t>
      </w:r>
      <w:r>
        <w:rPr>
          <w:spacing w:val="-11"/>
        </w:rPr>
        <w:t> </w:t>
      </w:r>
      <w:r>
        <w:rPr/>
        <w:t>on their patients. More on this later in the</w:t>
      </w:r>
      <w:r>
        <w:rPr>
          <w:spacing w:val="1"/>
        </w:rPr>
        <w:t> </w:t>
      </w:r>
      <w:r>
        <w:rPr/>
        <w:t>chapter.</w:t>
      </w:r>
    </w:p>
    <w:p>
      <w:pPr>
        <w:pStyle w:val="BodyText"/>
        <w:spacing w:line="276" w:lineRule="auto" w:before="241"/>
        <w:ind w:left="477" w:right="137"/>
        <w:jc w:val="both"/>
      </w:pPr>
      <w:r>
        <w:rPr/>
        <w:t>And so, the legitimate question arises for the professional world, how a single agent can achieve such a broad spectrum of effects against all sorts of diseases which are ascribed to it in traditional folk wisdom and the findings of many therapists and doctors.</w:t>
      </w:r>
    </w:p>
    <w:p>
      <w:pPr>
        <w:pStyle w:val="Heading2"/>
        <w:spacing w:before="240"/>
        <w:jc w:val="both"/>
      </w:pPr>
      <w:r>
        <w:rPr/>
        <w:t>Thoughts on the broad spectrum of kombucha's activities</w:t>
      </w:r>
    </w:p>
    <w:p>
      <w:pPr>
        <w:spacing w:line="261" w:lineRule="auto" w:before="287"/>
        <w:ind w:left="477" w:right="138" w:firstLine="0"/>
        <w:jc w:val="both"/>
        <w:rPr>
          <w:b/>
          <w:i/>
          <w:sz w:val="40"/>
        </w:rPr>
      </w:pPr>
      <w:r>
        <w:rPr>
          <w:b/>
          <w:i/>
          <w:sz w:val="40"/>
        </w:rPr>
        <w:t>Thesis</w:t>
      </w:r>
      <w:r>
        <w:rPr>
          <w:b/>
          <w:i/>
          <w:spacing w:val="-62"/>
          <w:sz w:val="40"/>
        </w:rPr>
        <w:t> </w:t>
      </w:r>
      <w:r>
        <w:rPr>
          <w:b/>
          <w:i/>
          <w:sz w:val="40"/>
        </w:rPr>
        <w:t>on</w:t>
      </w:r>
      <w:r>
        <w:rPr>
          <w:b/>
          <w:i/>
          <w:spacing w:val="-61"/>
          <w:sz w:val="40"/>
        </w:rPr>
        <w:t> </w:t>
      </w:r>
      <w:r>
        <w:rPr>
          <w:b/>
          <w:i/>
          <w:sz w:val="40"/>
        </w:rPr>
        <w:t>the</w:t>
      </w:r>
      <w:r>
        <w:rPr>
          <w:b/>
          <w:i/>
          <w:spacing w:val="-62"/>
          <w:sz w:val="40"/>
        </w:rPr>
        <w:t> </w:t>
      </w:r>
      <w:r>
        <w:rPr>
          <w:b/>
          <w:i/>
          <w:sz w:val="40"/>
        </w:rPr>
        <w:t>effect</w:t>
      </w:r>
      <w:r>
        <w:rPr>
          <w:b/>
          <w:i/>
          <w:spacing w:val="-62"/>
          <w:sz w:val="40"/>
        </w:rPr>
        <w:t> </w:t>
      </w:r>
      <w:r>
        <w:rPr>
          <w:b/>
          <w:i/>
          <w:sz w:val="40"/>
        </w:rPr>
        <w:t>of</w:t>
      </w:r>
      <w:r>
        <w:rPr>
          <w:b/>
          <w:i/>
          <w:spacing w:val="-61"/>
          <w:sz w:val="40"/>
        </w:rPr>
        <w:t> </w:t>
      </w:r>
      <w:r>
        <w:rPr>
          <w:b/>
          <w:i/>
          <w:sz w:val="40"/>
        </w:rPr>
        <w:t>kombucha</w:t>
      </w:r>
      <w:r>
        <w:rPr>
          <w:b/>
          <w:i/>
          <w:spacing w:val="-61"/>
          <w:sz w:val="40"/>
        </w:rPr>
        <w:t> </w:t>
      </w:r>
      <w:r>
        <w:rPr>
          <w:b/>
          <w:i/>
          <w:sz w:val="40"/>
        </w:rPr>
        <w:t>using</w:t>
      </w:r>
      <w:r>
        <w:rPr>
          <w:b/>
          <w:i/>
          <w:spacing w:val="-62"/>
          <w:sz w:val="40"/>
        </w:rPr>
        <w:t> </w:t>
      </w:r>
      <w:r>
        <w:rPr>
          <w:b/>
          <w:i/>
          <w:sz w:val="40"/>
        </w:rPr>
        <w:t>four</w:t>
      </w:r>
      <w:r>
        <w:rPr>
          <w:b/>
          <w:i/>
          <w:spacing w:val="-61"/>
          <w:sz w:val="40"/>
        </w:rPr>
        <w:t> </w:t>
      </w:r>
      <w:r>
        <w:rPr>
          <w:b/>
          <w:i/>
          <w:sz w:val="40"/>
        </w:rPr>
        <w:t>important</w:t>
      </w:r>
      <w:r>
        <w:rPr>
          <w:b/>
          <w:i/>
          <w:spacing w:val="-62"/>
          <w:sz w:val="40"/>
        </w:rPr>
        <w:t> </w:t>
      </w:r>
      <w:r>
        <w:rPr>
          <w:b/>
          <w:i/>
          <w:sz w:val="40"/>
        </w:rPr>
        <w:t>ingredients</w:t>
      </w:r>
      <w:r>
        <w:rPr>
          <w:b/>
          <w:i/>
          <w:spacing w:val="-61"/>
          <w:sz w:val="40"/>
        </w:rPr>
        <w:t> </w:t>
      </w:r>
      <w:r>
        <w:rPr>
          <w:b/>
          <w:i/>
          <w:sz w:val="40"/>
        </w:rPr>
        <w:t>as</w:t>
      </w:r>
      <w:r>
        <w:rPr>
          <w:b/>
          <w:i/>
          <w:spacing w:val="-61"/>
          <w:sz w:val="40"/>
        </w:rPr>
        <w:t> </w:t>
      </w:r>
      <w:r>
        <w:rPr>
          <w:b/>
          <w:i/>
          <w:sz w:val="40"/>
        </w:rPr>
        <w:t>an example</w:t>
      </w:r>
    </w:p>
    <w:p>
      <w:pPr>
        <w:pStyle w:val="BodyText"/>
        <w:spacing w:line="276" w:lineRule="auto" w:before="260"/>
        <w:ind w:left="477" w:right="129"/>
        <w:jc w:val="both"/>
      </w:pPr>
      <w:r>
        <w:rPr/>
        <w:t>Without</w:t>
      </w:r>
      <w:r>
        <w:rPr>
          <w:spacing w:val="-16"/>
        </w:rPr>
        <w:t> </w:t>
      </w:r>
      <w:r>
        <w:rPr/>
        <w:t>question,</w:t>
      </w:r>
      <w:r>
        <w:rPr>
          <w:spacing w:val="-12"/>
        </w:rPr>
        <w:t> </w:t>
      </w:r>
      <w:r>
        <w:rPr/>
        <w:t>it</w:t>
      </w:r>
      <w:r>
        <w:rPr>
          <w:spacing w:val="-16"/>
        </w:rPr>
        <w:t> </w:t>
      </w:r>
      <w:r>
        <w:rPr/>
        <w:t>is</w:t>
      </w:r>
      <w:r>
        <w:rPr>
          <w:spacing w:val="-14"/>
        </w:rPr>
        <w:t> </w:t>
      </w:r>
      <w:r>
        <w:rPr/>
        <w:t>kombucha</w:t>
      </w:r>
      <w:r>
        <w:rPr>
          <w:spacing w:val="-15"/>
        </w:rPr>
        <w:t> </w:t>
      </w:r>
      <w:r>
        <w:rPr/>
        <w:t>tea</w:t>
      </w:r>
      <w:r>
        <w:rPr>
          <w:spacing w:val="-14"/>
        </w:rPr>
        <w:t> </w:t>
      </w:r>
      <w:r>
        <w:rPr/>
        <w:t>as</w:t>
      </w:r>
      <w:r>
        <w:rPr>
          <w:spacing w:val="-14"/>
        </w:rPr>
        <w:t> </w:t>
      </w:r>
      <w:r>
        <w:rPr/>
        <w:t>a</w:t>
      </w:r>
      <w:r>
        <w:rPr>
          <w:spacing w:val="-16"/>
        </w:rPr>
        <w:t> </w:t>
      </w:r>
      <w:r>
        <w:rPr/>
        <w:t>whole</w:t>
      </w:r>
      <w:r>
        <w:rPr>
          <w:spacing w:val="-14"/>
        </w:rPr>
        <w:t> </w:t>
      </w:r>
      <w:r>
        <w:rPr/>
        <w:t>entity</w:t>
      </w:r>
      <w:r>
        <w:rPr>
          <w:spacing w:val="-15"/>
        </w:rPr>
        <w:t> </w:t>
      </w:r>
      <w:r>
        <w:rPr/>
        <w:t>that</w:t>
      </w:r>
      <w:r>
        <w:rPr>
          <w:spacing w:val="-13"/>
        </w:rPr>
        <w:t> </w:t>
      </w:r>
      <w:r>
        <w:rPr/>
        <w:t>unfolds</w:t>
      </w:r>
      <w:r>
        <w:rPr>
          <w:spacing w:val="-12"/>
        </w:rPr>
        <w:t> </w:t>
      </w:r>
      <w:r>
        <w:rPr/>
        <w:t>this</w:t>
      </w:r>
      <w:r>
        <w:rPr>
          <w:spacing w:val="-15"/>
        </w:rPr>
        <w:t> </w:t>
      </w:r>
      <w:r>
        <w:rPr/>
        <w:t>concen- trated cargo of fascinating effect. You have to consider the kombucha mush- room as a fungus and consider the effect of this complete, living</w:t>
      </w:r>
      <w:r>
        <w:rPr>
          <w:spacing w:val="-21"/>
        </w:rPr>
        <w:t> </w:t>
      </w:r>
      <w:r>
        <w:rPr/>
        <w:t>organism.</w:t>
      </w:r>
    </w:p>
    <w:p>
      <w:pPr>
        <w:pStyle w:val="BodyText"/>
        <w:spacing w:line="276" w:lineRule="auto" w:before="240"/>
        <w:ind w:left="477" w:right="131"/>
        <w:jc w:val="both"/>
      </w:pPr>
      <w:r>
        <w:rPr/>
        <w:t>This</w:t>
      </w:r>
      <w:r>
        <w:rPr>
          <w:spacing w:val="-18"/>
        </w:rPr>
        <w:t> </w:t>
      </w:r>
      <w:r>
        <w:rPr/>
        <w:t>approach</w:t>
      </w:r>
      <w:r>
        <w:rPr>
          <w:spacing w:val="-19"/>
        </w:rPr>
        <w:t> </w:t>
      </w:r>
      <w:r>
        <w:rPr/>
        <w:t>is</w:t>
      </w:r>
      <w:r>
        <w:rPr>
          <w:spacing w:val="-21"/>
        </w:rPr>
        <w:t> </w:t>
      </w:r>
      <w:r>
        <w:rPr/>
        <w:t>justified</w:t>
      </w:r>
      <w:r>
        <w:rPr>
          <w:spacing w:val="-17"/>
        </w:rPr>
        <w:t> </w:t>
      </w:r>
      <w:r>
        <w:rPr/>
        <w:t>by</w:t>
      </w:r>
      <w:r>
        <w:rPr>
          <w:spacing w:val="-19"/>
        </w:rPr>
        <w:t> </w:t>
      </w:r>
      <w:r>
        <w:rPr/>
        <w:t>unsuccessful</w:t>
      </w:r>
      <w:r>
        <w:rPr>
          <w:spacing w:val="-20"/>
        </w:rPr>
        <w:t> </w:t>
      </w:r>
      <w:r>
        <w:rPr/>
        <w:t>trials</w:t>
      </w:r>
      <w:r>
        <w:rPr>
          <w:spacing w:val="-19"/>
        </w:rPr>
        <w:t> </w:t>
      </w:r>
      <w:r>
        <w:rPr/>
        <w:t>which</w:t>
      </w:r>
      <w:r>
        <w:rPr>
          <w:spacing w:val="-17"/>
        </w:rPr>
        <w:t> </w:t>
      </w:r>
      <w:r>
        <w:rPr/>
        <w:t>investigated</w:t>
      </w:r>
      <w:r>
        <w:rPr>
          <w:spacing w:val="-20"/>
        </w:rPr>
        <w:t> </w:t>
      </w:r>
      <w:r>
        <w:rPr/>
        <w:t>the</w:t>
      </w:r>
      <w:r>
        <w:rPr>
          <w:spacing w:val="-18"/>
        </w:rPr>
        <w:t> </w:t>
      </w:r>
      <w:r>
        <w:rPr/>
        <w:t>effective- ness of individual isolated kombucha compounds. Here, one came to the fol- lowing</w:t>
      </w:r>
      <w:r>
        <w:rPr>
          <w:spacing w:val="-9"/>
        </w:rPr>
        <w:t> </w:t>
      </w:r>
      <w:r>
        <w:rPr/>
        <w:t>wise</w:t>
      </w:r>
      <w:r>
        <w:rPr>
          <w:spacing w:val="-8"/>
        </w:rPr>
        <w:t> </w:t>
      </w:r>
      <w:r>
        <w:rPr/>
        <w:t>conclusion:</w:t>
      </w:r>
      <w:r>
        <w:rPr>
          <w:spacing w:val="-7"/>
        </w:rPr>
        <w:t> </w:t>
      </w:r>
      <w:r>
        <w:rPr/>
        <w:t>The</w:t>
      </w:r>
      <w:r>
        <w:rPr>
          <w:spacing w:val="-9"/>
        </w:rPr>
        <w:t> </w:t>
      </w:r>
      <w:r>
        <w:rPr/>
        <w:t>kombucha</w:t>
      </w:r>
      <w:r>
        <w:rPr>
          <w:spacing w:val="-10"/>
        </w:rPr>
        <w:t> </w:t>
      </w:r>
      <w:r>
        <w:rPr/>
        <w:t>fungus</w:t>
      </w:r>
      <w:r>
        <w:rPr>
          <w:spacing w:val="-8"/>
        </w:rPr>
        <w:t> </w:t>
      </w:r>
      <w:r>
        <w:rPr/>
        <w:t>only</w:t>
      </w:r>
      <w:r>
        <w:rPr>
          <w:spacing w:val="-10"/>
        </w:rPr>
        <w:t> </w:t>
      </w:r>
      <w:r>
        <w:rPr/>
        <w:t>functions</w:t>
      </w:r>
      <w:r>
        <w:rPr>
          <w:spacing w:val="-8"/>
        </w:rPr>
        <w:t> </w:t>
      </w:r>
      <w:r>
        <w:rPr/>
        <w:t>as</w:t>
      </w:r>
      <w:r>
        <w:rPr>
          <w:spacing w:val="-9"/>
        </w:rPr>
        <w:t> </w:t>
      </w:r>
      <w:r>
        <w:rPr/>
        <w:t>a</w:t>
      </w:r>
      <w:r>
        <w:rPr>
          <w:spacing w:val="-10"/>
        </w:rPr>
        <w:t> </w:t>
      </w:r>
      <w:r>
        <w:rPr/>
        <w:t>whole</w:t>
      </w:r>
      <w:r>
        <w:rPr>
          <w:spacing w:val="-10"/>
        </w:rPr>
        <w:t> </w:t>
      </w:r>
      <w:r>
        <w:rPr/>
        <w:t>and</w:t>
      </w:r>
      <w:r>
        <w:rPr>
          <w:spacing w:val="-9"/>
        </w:rPr>
        <w:t> </w:t>
      </w:r>
      <w:r>
        <w:rPr/>
        <w:t>it</w:t>
      </w:r>
    </w:p>
    <w:p>
      <w:pPr>
        <w:spacing w:after="0" w:line="276" w:lineRule="auto"/>
        <w:jc w:val="both"/>
        <w:sectPr>
          <w:footerReference w:type="default" r:id="rId182"/>
          <w:pgSz w:w="14270" w:h="16850"/>
          <w:pgMar w:footer="1891" w:header="0" w:top="1600" w:bottom="2080" w:left="800" w:right="1280"/>
          <w:pgNumType w:start="750"/>
        </w:sectPr>
      </w:pPr>
    </w:p>
    <w:p>
      <w:pPr>
        <w:pStyle w:val="BodyText"/>
        <w:spacing w:before="181"/>
        <w:ind w:left="477"/>
      </w:pPr>
      <w:r>
        <w:rPr/>
        <w:t>makes no sense to break it down into its components.</w:t>
      </w:r>
    </w:p>
    <w:p>
      <w:pPr>
        <w:pStyle w:val="Heading1"/>
        <w:spacing w:before="288"/>
      </w:pPr>
      <w:r>
        <w:rPr/>
        <w:t>Example 1): glucuronic acid in kombucha tea</w:t>
      </w:r>
    </w:p>
    <w:p>
      <w:pPr>
        <w:pStyle w:val="BodyText"/>
        <w:spacing w:line="276" w:lineRule="auto" w:before="299"/>
        <w:ind w:left="477" w:right="131"/>
        <w:jc w:val="both"/>
      </w:pPr>
      <w:r>
        <w:rPr/>
        <w:t>When dealing with diseases that are counted among the ‘civilisation diseases’ and increasingly occur in recent years and decades (allergies, cancer, arthritis, asthma, etc.), and being aware of the links with our environmental impact as well</w:t>
      </w:r>
      <w:r>
        <w:rPr>
          <w:spacing w:val="-8"/>
        </w:rPr>
        <w:t> </w:t>
      </w:r>
      <w:r>
        <w:rPr/>
        <w:t>as</w:t>
      </w:r>
      <w:r>
        <w:rPr>
          <w:spacing w:val="-6"/>
        </w:rPr>
        <w:t> </w:t>
      </w:r>
      <w:r>
        <w:rPr/>
        <w:t>the</w:t>
      </w:r>
      <w:r>
        <w:rPr>
          <w:spacing w:val="-5"/>
        </w:rPr>
        <w:t> </w:t>
      </w:r>
      <w:r>
        <w:rPr/>
        <w:t>toxins</w:t>
      </w:r>
      <w:r>
        <w:rPr>
          <w:spacing w:val="-6"/>
        </w:rPr>
        <w:t> </w:t>
      </w:r>
      <w:r>
        <w:rPr/>
        <w:t>in</w:t>
      </w:r>
      <w:r>
        <w:rPr>
          <w:spacing w:val="-8"/>
        </w:rPr>
        <w:t> </w:t>
      </w:r>
      <w:r>
        <w:rPr/>
        <w:t>food,</w:t>
      </w:r>
      <w:r>
        <w:rPr>
          <w:spacing w:val="-8"/>
        </w:rPr>
        <w:t> </w:t>
      </w:r>
      <w:r>
        <w:rPr/>
        <w:t>clothing,</w:t>
      </w:r>
      <w:r>
        <w:rPr>
          <w:spacing w:val="-5"/>
        </w:rPr>
        <w:t> </w:t>
      </w:r>
      <w:r>
        <w:rPr/>
        <w:t>cosmetics,</w:t>
      </w:r>
      <w:r>
        <w:rPr>
          <w:spacing w:val="-8"/>
        </w:rPr>
        <w:t> </w:t>
      </w:r>
      <w:r>
        <w:rPr/>
        <w:t>etc.,</w:t>
      </w:r>
      <w:r>
        <w:rPr>
          <w:spacing w:val="-8"/>
        </w:rPr>
        <w:t> </w:t>
      </w:r>
      <w:r>
        <w:rPr/>
        <w:t>it</w:t>
      </w:r>
      <w:r>
        <w:rPr>
          <w:spacing w:val="-7"/>
        </w:rPr>
        <w:t> </w:t>
      </w:r>
      <w:r>
        <w:rPr/>
        <w:t>is</w:t>
      </w:r>
      <w:r>
        <w:rPr>
          <w:spacing w:val="-8"/>
        </w:rPr>
        <w:t> </w:t>
      </w:r>
      <w:r>
        <w:rPr/>
        <w:t>most</w:t>
      </w:r>
      <w:r>
        <w:rPr>
          <w:spacing w:val="-8"/>
        </w:rPr>
        <w:t> </w:t>
      </w:r>
      <w:r>
        <w:rPr/>
        <w:t>likely</w:t>
      </w:r>
      <w:r>
        <w:rPr>
          <w:spacing w:val="-7"/>
        </w:rPr>
        <w:t> </w:t>
      </w:r>
      <w:r>
        <w:rPr/>
        <w:t>true</w:t>
      </w:r>
      <w:r>
        <w:rPr>
          <w:spacing w:val="-6"/>
        </w:rPr>
        <w:t> </w:t>
      </w:r>
      <w:r>
        <w:rPr/>
        <w:t>that</w:t>
      </w:r>
      <w:r>
        <w:rPr>
          <w:spacing w:val="-6"/>
        </w:rPr>
        <w:t> </w:t>
      </w:r>
      <w:r>
        <w:rPr/>
        <w:t>the glucuronic acid contained in kombucha tea is able to bind those poisons </w:t>
      </w:r>
      <w:r>
        <w:rPr>
          <w:spacing w:val="3"/>
        </w:rPr>
        <w:t>and </w:t>
      </w:r>
      <w:r>
        <w:rPr/>
        <w:t>plays a very large role within the whole.</w:t>
      </w:r>
    </w:p>
    <w:p>
      <w:pPr>
        <w:pStyle w:val="BodyText"/>
        <w:spacing w:line="276" w:lineRule="auto" w:before="240"/>
        <w:ind w:left="477" w:right="134"/>
        <w:jc w:val="both"/>
      </w:pPr>
      <w:r>
        <w:rPr/>
        <w:t>So,</w:t>
      </w:r>
      <w:r>
        <w:rPr>
          <w:spacing w:val="-11"/>
        </w:rPr>
        <w:t> </w:t>
      </w:r>
      <w:r>
        <w:rPr/>
        <w:t>while</w:t>
      </w:r>
      <w:r>
        <w:rPr>
          <w:spacing w:val="-10"/>
        </w:rPr>
        <w:t> </w:t>
      </w:r>
      <w:r>
        <w:rPr/>
        <w:t>we</w:t>
      </w:r>
      <w:r>
        <w:rPr>
          <w:spacing w:val="-9"/>
        </w:rPr>
        <w:t> </w:t>
      </w:r>
      <w:r>
        <w:rPr/>
        <w:t>are</w:t>
      </w:r>
      <w:r>
        <w:rPr>
          <w:spacing w:val="-13"/>
        </w:rPr>
        <w:t> </w:t>
      </w:r>
      <w:r>
        <w:rPr/>
        <w:t>usually</w:t>
      </w:r>
      <w:r>
        <w:rPr>
          <w:spacing w:val="-10"/>
        </w:rPr>
        <w:t> </w:t>
      </w:r>
      <w:r>
        <w:rPr/>
        <w:t>exposed</w:t>
      </w:r>
      <w:r>
        <w:rPr>
          <w:spacing w:val="-10"/>
        </w:rPr>
        <w:t> </w:t>
      </w:r>
      <w:r>
        <w:rPr/>
        <w:t>to</w:t>
      </w:r>
      <w:r>
        <w:rPr>
          <w:spacing w:val="-9"/>
        </w:rPr>
        <w:t> </w:t>
      </w:r>
      <w:r>
        <w:rPr/>
        <w:t>an</w:t>
      </w:r>
      <w:r>
        <w:rPr>
          <w:spacing w:val="-12"/>
        </w:rPr>
        <w:t> </w:t>
      </w:r>
      <w:r>
        <w:rPr/>
        <w:t>enormous</w:t>
      </w:r>
      <w:r>
        <w:rPr>
          <w:spacing w:val="-14"/>
        </w:rPr>
        <w:t> </w:t>
      </w:r>
      <w:r>
        <w:rPr/>
        <w:t>burden</w:t>
      </w:r>
      <w:r>
        <w:rPr>
          <w:spacing w:val="-8"/>
        </w:rPr>
        <w:t> </w:t>
      </w:r>
      <w:r>
        <w:rPr/>
        <w:t>of</w:t>
      </w:r>
      <w:r>
        <w:rPr>
          <w:spacing w:val="-11"/>
        </w:rPr>
        <w:t> </w:t>
      </w:r>
      <w:r>
        <w:rPr/>
        <w:t>environmental</w:t>
      </w:r>
      <w:r>
        <w:rPr>
          <w:spacing w:val="-10"/>
        </w:rPr>
        <w:t> </w:t>
      </w:r>
      <w:r>
        <w:rPr/>
        <w:t>tox- ins and toxins in our food without protection and are virtually predestined for the</w:t>
      </w:r>
      <w:r>
        <w:rPr>
          <w:spacing w:val="-24"/>
        </w:rPr>
        <w:t> </w:t>
      </w:r>
      <w:r>
        <w:rPr/>
        <w:t>diseases</w:t>
      </w:r>
      <w:r>
        <w:rPr>
          <w:spacing w:val="-23"/>
        </w:rPr>
        <w:t> </w:t>
      </w:r>
      <w:r>
        <w:rPr/>
        <w:t>described</w:t>
      </w:r>
      <w:r>
        <w:rPr>
          <w:spacing w:val="-24"/>
        </w:rPr>
        <w:t> </w:t>
      </w:r>
      <w:r>
        <w:rPr/>
        <w:t>here,</w:t>
      </w:r>
      <w:r>
        <w:rPr>
          <w:spacing w:val="-23"/>
        </w:rPr>
        <w:t> </w:t>
      </w:r>
      <w:r>
        <w:rPr/>
        <w:t>regularly</w:t>
      </w:r>
      <w:r>
        <w:rPr>
          <w:spacing w:val="-24"/>
        </w:rPr>
        <w:t> </w:t>
      </w:r>
      <w:r>
        <w:rPr/>
        <w:t>taking</w:t>
      </w:r>
      <w:r>
        <w:rPr>
          <w:spacing w:val="-24"/>
        </w:rPr>
        <w:t> </w:t>
      </w:r>
      <w:r>
        <w:rPr/>
        <w:t>kombucha,</w:t>
      </w:r>
      <w:r>
        <w:rPr>
          <w:spacing w:val="-18"/>
        </w:rPr>
        <w:t> </w:t>
      </w:r>
      <w:r>
        <w:rPr/>
        <w:t>and</w:t>
      </w:r>
      <w:r>
        <w:rPr>
          <w:spacing w:val="-25"/>
        </w:rPr>
        <w:t> </w:t>
      </w:r>
      <w:r>
        <w:rPr/>
        <w:t>thus</w:t>
      </w:r>
      <w:r>
        <w:rPr>
          <w:spacing w:val="-23"/>
        </w:rPr>
        <w:t> </w:t>
      </w:r>
      <w:r>
        <w:rPr/>
        <w:t>also</w:t>
      </w:r>
      <w:r>
        <w:rPr>
          <w:spacing w:val="-23"/>
        </w:rPr>
        <w:t> </w:t>
      </w:r>
      <w:r>
        <w:rPr/>
        <w:t>glucuronic acid,</w:t>
      </w:r>
      <w:r>
        <w:rPr>
          <w:spacing w:val="-22"/>
        </w:rPr>
        <w:t> </w:t>
      </w:r>
      <w:r>
        <w:rPr/>
        <w:t>helps</w:t>
      </w:r>
      <w:r>
        <w:rPr>
          <w:spacing w:val="-21"/>
        </w:rPr>
        <w:t> </w:t>
      </w:r>
      <w:r>
        <w:rPr/>
        <w:t>our</w:t>
      </w:r>
      <w:r>
        <w:rPr>
          <w:spacing w:val="-22"/>
        </w:rPr>
        <w:t> </w:t>
      </w:r>
      <w:r>
        <w:rPr/>
        <w:t>body</w:t>
      </w:r>
      <w:r>
        <w:rPr>
          <w:spacing w:val="-22"/>
        </w:rPr>
        <w:t> </w:t>
      </w:r>
      <w:r>
        <w:rPr/>
        <w:t>neutralise</w:t>
      </w:r>
      <w:r>
        <w:rPr>
          <w:spacing w:val="-22"/>
        </w:rPr>
        <w:t> </w:t>
      </w:r>
      <w:r>
        <w:rPr/>
        <w:t>all</w:t>
      </w:r>
      <w:r>
        <w:rPr>
          <w:spacing w:val="-22"/>
        </w:rPr>
        <w:t> </w:t>
      </w:r>
      <w:r>
        <w:rPr/>
        <w:t>these</w:t>
      </w:r>
      <w:r>
        <w:rPr>
          <w:spacing w:val="-22"/>
        </w:rPr>
        <w:t> </w:t>
      </w:r>
      <w:r>
        <w:rPr/>
        <w:t>poisons</w:t>
      </w:r>
      <w:r>
        <w:rPr>
          <w:spacing w:val="-22"/>
        </w:rPr>
        <w:t> </w:t>
      </w:r>
      <w:r>
        <w:rPr/>
        <w:t>and</w:t>
      </w:r>
      <w:r>
        <w:rPr>
          <w:spacing w:val="-22"/>
        </w:rPr>
        <w:t> </w:t>
      </w:r>
      <w:r>
        <w:rPr/>
        <w:t>thus</w:t>
      </w:r>
      <w:r>
        <w:rPr>
          <w:spacing w:val="-22"/>
        </w:rPr>
        <w:t> </w:t>
      </w:r>
      <w:r>
        <w:rPr/>
        <w:t>protect</w:t>
      </w:r>
      <w:r>
        <w:rPr>
          <w:spacing w:val="-25"/>
        </w:rPr>
        <w:t> </w:t>
      </w:r>
      <w:r>
        <w:rPr/>
        <w:t>us</w:t>
      </w:r>
      <w:r>
        <w:rPr>
          <w:spacing w:val="-23"/>
        </w:rPr>
        <w:t> </w:t>
      </w:r>
      <w:r>
        <w:rPr/>
        <w:t>preventively and therapeutically against these diseases and act against</w:t>
      </w:r>
      <w:r>
        <w:rPr>
          <w:spacing w:val="-10"/>
        </w:rPr>
        <w:t> </w:t>
      </w:r>
      <w:r>
        <w:rPr/>
        <w:t>them.</w:t>
      </w:r>
    </w:p>
    <w:p>
      <w:pPr>
        <w:pStyle w:val="BodyText"/>
        <w:spacing w:line="276" w:lineRule="auto" w:before="240"/>
        <w:ind w:left="477" w:right="139"/>
        <w:jc w:val="both"/>
      </w:pPr>
      <w:r>
        <w:rPr/>
        <w:t>For example, Dr. Köhler and Dr. Valentin</w:t>
      </w:r>
      <w:r>
        <w:rPr>
          <w:position w:val="9"/>
          <w:sz w:val="25"/>
        </w:rPr>
        <w:t>434 </w:t>
      </w:r>
      <w:r>
        <w:rPr/>
        <w:t>from the University of Munich proved that glucuronic acid protects the lives of trees in the wild by binding more</w:t>
      </w:r>
      <w:r>
        <w:rPr>
          <w:spacing w:val="-12"/>
        </w:rPr>
        <w:t> </w:t>
      </w:r>
      <w:r>
        <w:rPr/>
        <w:t>than</w:t>
      </w:r>
      <w:r>
        <w:rPr>
          <w:spacing w:val="-11"/>
        </w:rPr>
        <w:t> </w:t>
      </w:r>
      <w:r>
        <w:rPr/>
        <w:t>200</w:t>
      </w:r>
      <w:r>
        <w:rPr>
          <w:spacing w:val="-13"/>
        </w:rPr>
        <w:t> </w:t>
      </w:r>
      <w:r>
        <w:rPr/>
        <w:t>pollutants</w:t>
      </w:r>
      <w:r>
        <w:rPr>
          <w:spacing w:val="-11"/>
        </w:rPr>
        <w:t> </w:t>
      </w:r>
      <w:r>
        <w:rPr/>
        <w:t>that</w:t>
      </w:r>
      <w:r>
        <w:rPr>
          <w:spacing w:val="-13"/>
        </w:rPr>
        <w:t> </w:t>
      </w:r>
      <w:r>
        <w:rPr/>
        <w:t>occur</w:t>
      </w:r>
      <w:r>
        <w:rPr>
          <w:spacing w:val="-12"/>
        </w:rPr>
        <w:t> </w:t>
      </w:r>
      <w:r>
        <w:rPr/>
        <w:t>due</w:t>
      </w:r>
      <w:r>
        <w:rPr>
          <w:spacing w:val="-13"/>
        </w:rPr>
        <w:t> </w:t>
      </w:r>
      <w:r>
        <w:rPr/>
        <w:t>to</w:t>
      </w:r>
      <w:r>
        <w:rPr>
          <w:spacing w:val="-11"/>
        </w:rPr>
        <w:t> </w:t>
      </w:r>
      <w:r>
        <w:rPr/>
        <w:t>acid</w:t>
      </w:r>
      <w:r>
        <w:rPr>
          <w:spacing w:val="-13"/>
        </w:rPr>
        <w:t> </w:t>
      </w:r>
      <w:r>
        <w:rPr/>
        <w:t>and</w:t>
      </w:r>
      <w:r>
        <w:rPr>
          <w:spacing w:val="-12"/>
        </w:rPr>
        <w:t> </w:t>
      </w:r>
      <w:r>
        <w:rPr/>
        <w:t>radioactive</w:t>
      </w:r>
      <w:r>
        <w:rPr>
          <w:spacing w:val="-13"/>
        </w:rPr>
        <w:t> </w:t>
      </w:r>
      <w:r>
        <w:rPr/>
        <w:t>rain,</w:t>
      </w:r>
      <w:r>
        <w:rPr>
          <w:spacing w:val="-11"/>
        </w:rPr>
        <w:t> </w:t>
      </w:r>
      <w:r>
        <w:rPr/>
        <w:t>but</w:t>
      </w:r>
      <w:r>
        <w:rPr>
          <w:spacing w:val="-13"/>
        </w:rPr>
        <w:t> </w:t>
      </w:r>
      <w:r>
        <w:rPr/>
        <w:t>also</w:t>
      </w:r>
      <w:r>
        <w:rPr>
          <w:spacing w:val="-12"/>
        </w:rPr>
        <w:t> </w:t>
      </w:r>
      <w:r>
        <w:rPr/>
        <w:t>in sulphur dioxide, ozone and nitrites.</w:t>
      </w:r>
    </w:p>
    <w:p>
      <w:pPr>
        <w:pStyle w:val="BodyText"/>
        <w:spacing w:before="242"/>
        <w:ind w:left="477"/>
        <w:jc w:val="both"/>
      </w:pPr>
      <w:r>
        <w:rPr/>
        <w:t>These detoxification discoveries can be applied directly to the human</w:t>
      </w:r>
      <w:r>
        <w:rPr>
          <w:spacing w:val="54"/>
        </w:rPr>
        <w:t> </w:t>
      </w:r>
      <w:r>
        <w:rPr/>
        <w:t>body,</w:t>
      </w:r>
    </w:p>
    <w:p>
      <w:pPr>
        <w:pStyle w:val="BodyText"/>
        <w:spacing w:before="2"/>
        <w:rPr>
          <w:sz w:val="20"/>
        </w:rPr>
      </w:pPr>
      <w:r>
        <w:rPr/>
        <w:pict>
          <v:line style="position:absolute;mso-position-horizontal-relative:page;mso-position-vertical-relative:paragraph;z-index:5336;mso-wrap-distance-left:0;mso-wrap-distance-right:0" from="63.863998pt,13.721265pt" to="207.883998pt,13.72126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434 </w:t>
      </w:r>
      <w:r>
        <w:rPr>
          <w:sz w:val="20"/>
        </w:rPr>
        <w:t>Köhler, V. and Köhler J.: Glucuronsäure als ökologische Hilfe (‘Glucuronic Acid as an Ecological Aid’), pp. 56-62</w:t>
      </w:r>
    </w:p>
    <w:p>
      <w:pPr>
        <w:spacing w:after="0"/>
        <w:jc w:val="left"/>
        <w:rPr>
          <w:sz w:val="20"/>
        </w:rPr>
        <w:sectPr>
          <w:pgSz w:w="14270" w:h="16850"/>
          <w:pgMar w:header="0" w:footer="1891" w:top="1600" w:bottom="2080" w:left="800" w:right="1280"/>
        </w:sectPr>
      </w:pPr>
    </w:p>
    <w:p>
      <w:pPr>
        <w:pStyle w:val="BodyText"/>
        <w:spacing w:line="276" w:lineRule="auto" w:before="181"/>
        <w:ind w:left="477" w:right="135"/>
        <w:jc w:val="both"/>
      </w:pPr>
      <w:r>
        <w:rPr/>
        <w:t>both to the body's own toxins and foreign toxins, and reveal the enormous de- toxification potential of kombucha tea, providing a huge relief to humanity, which is increasingly endangered by toxins.</w:t>
      </w:r>
    </w:p>
    <w:p>
      <w:pPr>
        <w:pStyle w:val="BodyText"/>
        <w:spacing w:line="276" w:lineRule="auto" w:before="242"/>
        <w:ind w:left="477" w:right="134"/>
        <w:jc w:val="both"/>
      </w:pPr>
      <w:r>
        <w:rPr/>
        <w:t>This probably explains the increasing well-being which the regular Kombucha consumer reports, as well as the preventive and therapeutic effect against all kinds</w:t>
      </w:r>
      <w:r>
        <w:rPr>
          <w:spacing w:val="-11"/>
        </w:rPr>
        <w:t> </w:t>
      </w:r>
      <w:r>
        <w:rPr/>
        <w:t>of</w:t>
      </w:r>
      <w:r>
        <w:rPr>
          <w:spacing w:val="-14"/>
        </w:rPr>
        <w:t> </w:t>
      </w:r>
      <w:r>
        <w:rPr/>
        <w:t>illnesses,</w:t>
      </w:r>
      <w:r>
        <w:rPr>
          <w:spacing w:val="-9"/>
        </w:rPr>
        <w:t> </w:t>
      </w:r>
      <w:r>
        <w:rPr/>
        <w:t>which</w:t>
      </w:r>
      <w:r>
        <w:rPr>
          <w:spacing w:val="-13"/>
        </w:rPr>
        <w:t> </w:t>
      </w:r>
      <w:r>
        <w:rPr/>
        <w:t>may</w:t>
      </w:r>
      <w:r>
        <w:rPr>
          <w:spacing w:val="-14"/>
        </w:rPr>
        <w:t> </w:t>
      </w:r>
      <w:r>
        <w:rPr/>
        <w:t>be</w:t>
      </w:r>
      <w:r>
        <w:rPr>
          <w:spacing w:val="-15"/>
        </w:rPr>
        <w:t> </w:t>
      </w:r>
      <w:r>
        <w:rPr/>
        <w:t>directly</w:t>
      </w:r>
      <w:r>
        <w:rPr>
          <w:spacing w:val="-12"/>
        </w:rPr>
        <w:t> </w:t>
      </w:r>
      <w:r>
        <w:rPr/>
        <w:t>or</w:t>
      </w:r>
      <w:r>
        <w:rPr>
          <w:spacing w:val="-12"/>
        </w:rPr>
        <w:t> </w:t>
      </w:r>
      <w:r>
        <w:rPr/>
        <w:t>indirectly</w:t>
      </w:r>
      <w:r>
        <w:rPr>
          <w:spacing w:val="-12"/>
        </w:rPr>
        <w:t> </w:t>
      </w:r>
      <w:r>
        <w:rPr/>
        <w:t>connected</w:t>
      </w:r>
      <w:r>
        <w:rPr>
          <w:spacing w:val="-13"/>
        </w:rPr>
        <w:t> </w:t>
      </w:r>
      <w:r>
        <w:rPr/>
        <w:t>with</w:t>
      </w:r>
      <w:r>
        <w:rPr>
          <w:spacing w:val="-11"/>
        </w:rPr>
        <w:t> </w:t>
      </w:r>
      <w:r>
        <w:rPr/>
        <w:t>poisons</w:t>
      </w:r>
      <w:r>
        <w:rPr>
          <w:spacing w:val="-13"/>
        </w:rPr>
        <w:t> </w:t>
      </w:r>
      <w:r>
        <w:rPr/>
        <w:t>in the environment and in food as well as drug</w:t>
      </w:r>
      <w:r>
        <w:rPr>
          <w:spacing w:val="-8"/>
        </w:rPr>
        <w:t> </w:t>
      </w:r>
      <w:r>
        <w:rPr/>
        <w:t>consumption.</w:t>
      </w:r>
    </w:p>
    <w:p>
      <w:pPr>
        <w:pStyle w:val="BodyText"/>
        <w:spacing w:line="276" w:lineRule="auto" w:before="239"/>
        <w:ind w:left="477" w:right="135"/>
        <w:jc w:val="both"/>
      </w:pPr>
      <w:r>
        <w:rPr/>
        <w:t>Furthermore,</w:t>
      </w:r>
      <w:r>
        <w:rPr>
          <w:spacing w:val="-26"/>
        </w:rPr>
        <w:t> </w:t>
      </w:r>
      <w:r>
        <w:rPr/>
        <w:t>such</w:t>
      </w:r>
      <w:r>
        <w:rPr>
          <w:spacing w:val="-24"/>
        </w:rPr>
        <w:t> </w:t>
      </w:r>
      <w:r>
        <w:rPr/>
        <w:t>detoxification</w:t>
      </w:r>
      <w:r>
        <w:rPr>
          <w:spacing w:val="-21"/>
        </w:rPr>
        <w:t> </w:t>
      </w:r>
      <w:r>
        <w:rPr/>
        <w:t>always</w:t>
      </w:r>
      <w:r>
        <w:rPr>
          <w:spacing w:val="-25"/>
        </w:rPr>
        <w:t> </w:t>
      </w:r>
      <w:r>
        <w:rPr/>
        <w:t>leads</w:t>
      </w:r>
      <w:r>
        <w:rPr>
          <w:spacing w:val="-25"/>
        </w:rPr>
        <w:t> </w:t>
      </w:r>
      <w:r>
        <w:rPr/>
        <w:t>to</w:t>
      </w:r>
      <w:r>
        <w:rPr>
          <w:spacing w:val="-23"/>
        </w:rPr>
        <w:t> </w:t>
      </w:r>
      <w:r>
        <w:rPr/>
        <w:t>the</w:t>
      </w:r>
      <w:r>
        <w:rPr>
          <w:spacing w:val="-25"/>
        </w:rPr>
        <w:t> </w:t>
      </w:r>
      <w:r>
        <w:rPr/>
        <w:t>strengthening</w:t>
      </w:r>
      <w:r>
        <w:rPr>
          <w:spacing w:val="-26"/>
        </w:rPr>
        <w:t> </w:t>
      </w:r>
      <w:r>
        <w:rPr/>
        <w:t>of</w:t>
      </w:r>
      <w:r>
        <w:rPr>
          <w:spacing w:val="-26"/>
        </w:rPr>
        <w:t> </w:t>
      </w:r>
      <w:r>
        <w:rPr/>
        <w:t>the</w:t>
      </w:r>
      <w:r>
        <w:rPr>
          <w:spacing w:val="-26"/>
        </w:rPr>
        <w:t> </w:t>
      </w:r>
      <w:r>
        <w:rPr/>
        <w:t>body's defences; the immune system has found an ally that relieves it and can then effectively fight diseases! However, we should not dwell too long on the find- ings from the plant world; Dr. Köhler has reported on the success in treating cancer patients with glucuronic acid in the journal </w:t>
      </w:r>
      <w:r>
        <w:rPr>
          <w:i/>
        </w:rPr>
        <w:t>Medical Practice</w:t>
      </w:r>
      <w:r>
        <w:rPr/>
        <w:t>; but more on this</w:t>
      </w:r>
      <w:r>
        <w:rPr>
          <w:spacing w:val="1"/>
        </w:rPr>
        <w:t> </w:t>
      </w:r>
      <w:r>
        <w:rPr/>
        <w:t>later.</w:t>
      </w:r>
    </w:p>
    <w:p>
      <w:pPr>
        <w:pStyle w:val="BodyText"/>
        <w:spacing w:line="276" w:lineRule="auto" w:before="240"/>
        <w:ind w:left="477" w:right="141"/>
        <w:jc w:val="both"/>
      </w:pPr>
      <w:r>
        <w:rPr/>
        <w:t>Glucuronic acid alone can have an enormous potential for healing power due to the detoxifying and immune system-building effect.</w:t>
      </w:r>
    </w:p>
    <w:p>
      <w:pPr>
        <w:pStyle w:val="Heading1"/>
        <w:jc w:val="both"/>
      </w:pPr>
      <w:r>
        <w:rPr/>
        <w:t>Example 2): dextrorotatory lactic acid in kombucha tea</w:t>
      </w:r>
    </w:p>
    <w:p>
      <w:pPr>
        <w:pStyle w:val="BodyText"/>
        <w:spacing w:line="276" w:lineRule="auto" w:before="299"/>
        <w:ind w:left="477" w:right="136"/>
        <w:jc w:val="both"/>
      </w:pPr>
      <w:r>
        <w:rPr/>
        <w:t>An antibiotic effect can be ascribed to the dextrorotatory lactic acid in kombucha tea. It achieves this effect by regulating our intestinal flora, prevent- ing</w:t>
      </w:r>
      <w:r>
        <w:rPr>
          <w:spacing w:val="-18"/>
        </w:rPr>
        <w:t> </w:t>
      </w:r>
      <w:r>
        <w:rPr/>
        <w:t>the</w:t>
      </w:r>
      <w:r>
        <w:rPr>
          <w:spacing w:val="-19"/>
        </w:rPr>
        <w:t> </w:t>
      </w:r>
      <w:r>
        <w:rPr/>
        <w:t>spread</w:t>
      </w:r>
      <w:r>
        <w:rPr>
          <w:spacing w:val="-21"/>
        </w:rPr>
        <w:t> </w:t>
      </w:r>
      <w:r>
        <w:rPr/>
        <w:t>of</w:t>
      </w:r>
      <w:r>
        <w:rPr>
          <w:spacing w:val="-20"/>
        </w:rPr>
        <w:t> </w:t>
      </w:r>
      <w:r>
        <w:rPr/>
        <w:t>putrefactive</w:t>
      </w:r>
      <w:r>
        <w:rPr>
          <w:spacing w:val="-19"/>
        </w:rPr>
        <w:t> </w:t>
      </w:r>
      <w:r>
        <w:rPr/>
        <w:t>intestinal</w:t>
      </w:r>
      <w:r>
        <w:rPr>
          <w:spacing w:val="-18"/>
        </w:rPr>
        <w:t> </w:t>
      </w:r>
      <w:r>
        <w:rPr/>
        <w:t>bacteria</w:t>
      </w:r>
      <w:r>
        <w:rPr>
          <w:spacing w:val="-19"/>
        </w:rPr>
        <w:t> </w:t>
      </w:r>
      <w:r>
        <w:rPr/>
        <w:t>and</w:t>
      </w:r>
      <w:r>
        <w:rPr>
          <w:spacing w:val="-17"/>
        </w:rPr>
        <w:t> </w:t>
      </w:r>
      <w:r>
        <w:rPr/>
        <w:t>maintaining</w:t>
      </w:r>
      <w:r>
        <w:rPr>
          <w:spacing w:val="-18"/>
        </w:rPr>
        <w:t> </w:t>
      </w:r>
      <w:r>
        <w:rPr/>
        <w:t>a</w:t>
      </w:r>
      <w:r>
        <w:rPr>
          <w:spacing w:val="-19"/>
        </w:rPr>
        <w:t> </w:t>
      </w:r>
      <w:r>
        <w:rPr/>
        <w:t>slightly</w:t>
      </w:r>
      <w:r>
        <w:rPr>
          <w:spacing w:val="-18"/>
        </w:rPr>
        <w:t> </w:t>
      </w:r>
      <w:r>
        <w:rPr/>
        <w:t>acidic climate in the</w:t>
      </w:r>
      <w:r>
        <w:rPr>
          <w:spacing w:val="2"/>
        </w:rPr>
        <w:t> </w:t>
      </w:r>
      <w:r>
        <w:rPr/>
        <w:t>intestine.</w:t>
      </w:r>
    </w:p>
    <w:p>
      <w:pPr>
        <w:spacing w:after="0" w:line="276" w:lineRule="auto"/>
        <w:jc w:val="both"/>
        <w:sectPr>
          <w:pgSz w:w="14270" w:h="16850"/>
          <w:pgMar w:header="0" w:footer="1891" w:top="1600" w:bottom="2080" w:left="800" w:right="1280"/>
        </w:sectPr>
      </w:pPr>
    </w:p>
    <w:p>
      <w:pPr>
        <w:pStyle w:val="BodyText"/>
        <w:spacing w:line="276" w:lineRule="auto" w:before="181"/>
        <w:ind w:left="477" w:right="130"/>
        <w:jc w:val="both"/>
      </w:pPr>
      <w:r>
        <w:rPr/>
        <w:t>Furthermore, dextrorotatory lactic acid has a huge influence on the</w:t>
      </w:r>
      <w:r>
        <w:rPr>
          <w:spacing w:val="-67"/>
        </w:rPr>
        <w:t> </w:t>
      </w:r>
      <w:r>
        <w:rPr/>
        <w:t>deacidifica- tion of our body and thus makes kombucha tea an alkaline food, despite the slightly</w:t>
      </w:r>
      <w:r>
        <w:rPr>
          <w:spacing w:val="-6"/>
        </w:rPr>
        <w:t> </w:t>
      </w:r>
      <w:r>
        <w:rPr/>
        <w:t>sour</w:t>
      </w:r>
      <w:r>
        <w:rPr>
          <w:spacing w:val="-6"/>
        </w:rPr>
        <w:t> </w:t>
      </w:r>
      <w:r>
        <w:rPr/>
        <w:t>taste.</w:t>
      </w:r>
      <w:r>
        <w:rPr>
          <w:spacing w:val="-5"/>
        </w:rPr>
        <w:t> </w:t>
      </w:r>
      <w:r>
        <w:rPr/>
        <w:t>Relieving</w:t>
      </w:r>
      <w:r>
        <w:rPr>
          <w:spacing w:val="-4"/>
        </w:rPr>
        <w:t> </w:t>
      </w:r>
      <w:r>
        <w:rPr/>
        <w:t>the</w:t>
      </w:r>
      <w:r>
        <w:rPr>
          <w:spacing w:val="-5"/>
        </w:rPr>
        <w:t> </w:t>
      </w:r>
      <w:r>
        <w:rPr/>
        <w:t>intestine</w:t>
      </w:r>
      <w:r>
        <w:rPr>
          <w:spacing w:val="-5"/>
        </w:rPr>
        <w:t> </w:t>
      </w:r>
      <w:r>
        <w:rPr/>
        <w:t>and</w:t>
      </w:r>
      <w:r>
        <w:rPr>
          <w:spacing w:val="-6"/>
        </w:rPr>
        <w:t> </w:t>
      </w:r>
      <w:r>
        <w:rPr/>
        <w:t>the</w:t>
      </w:r>
      <w:r>
        <w:rPr>
          <w:spacing w:val="-6"/>
        </w:rPr>
        <w:t> </w:t>
      </w:r>
      <w:r>
        <w:rPr/>
        <w:t>liver</w:t>
      </w:r>
      <w:r>
        <w:rPr>
          <w:spacing w:val="-6"/>
        </w:rPr>
        <w:t> </w:t>
      </w:r>
      <w:r>
        <w:rPr/>
        <w:t>results</w:t>
      </w:r>
      <w:r>
        <w:rPr>
          <w:spacing w:val="-6"/>
        </w:rPr>
        <w:t> </w:t>
      </w:r>
      <w:r>
        <w:rPr/>
        <w:t>in</w:t>
      </w:r>
      <w:r>
        <w:rPr>
          <w:spacing w:val="-5"/>
        </w:rPr>
        <w:t> </w:t>
      </w:r>
      <w:r>
        <w:rPr/>
        <w:t>a</w:t>
      </w:r>
      <w:r>
        <w:rPr>
          <w:spacing w:val="-7"/>
        </w:rPr>
        <w:t> </w:t>
      </w:r>
      <w:r>
        <w:rPr/>
        <w:t>very</w:t>
      </w:r>
      <w:r>
        <w:rPr>
          <w:spacing w:val="-5"/>
        </w:rPr>
        <w:t> </w:t>
      </w:r>
      <w:r>
        <w:rPr/>
        <w:t>effective improvement in the detoxification and deacidification performance of the liver.</w:t>
      </w:r>
    </w:p>
    <w:p>
      <w:pPr>
        <w:pStyle w:val="BodyText"/>
        <w:spacing w:line="276" w:lineRule="auto" w:before="240"/>
        <w:ind w:left="477" w:right="135"/>
        <w:jc w:val="both"/>
      </w:pPr>
      <w:r>
        <w:rPr/>
        <w:t>Around 80 % of the population in industrialised countries, including us, are chronically</w:t>
      </w:r>
      <w:r>
        <w:rPr>
          <w:spacing w:val="-28"/>
        </w:rPr>
        <w:t> </w:t>
      </w:r>
      <w:r>
        <w:rPr/>
        <w:t>acidified.</w:t>
      </w:r>
      <w:r>
        <w:rPr>
          <w:spacing w:val="-25"/>
        </w:rPr>
        <w:t> </w:t>
      </w:r>
      <w:r>
        <w:rPr/>
        <w:t>Acids</w:t>
      </w:r>
      <w:r>
        <w:rPr>
          <w:spacing w:val="-27"/>
        </w:rPr>
        <w:t> </w:t>
      </w:r>
      <w:r>
        <w:rPr/>
        <w:t>are</w:t>
      </w:r>
      <w:r>
        <w:rPr>
          <w:spacing w:val="-26"/>
        </w:rPr>
        <w:t> </w:t>
      </w:r>
      <w:r>
        <w:rPr/>
        <w:t>caused</w:t>
      </w:r>
      <w:r>
        <w:rPr>
          <w:spacing w:val="-27"/>
        </w:rPr>
        <w:t> </w:t>
      </w:r>
      <w:r>
        <w:rPr/>
        <w:t>by</w:t>
      </w:r>
      <w:r>
        <w:rPr>
          <w:spacing w:val="-26"/>
        </w:rPr>
        <w:t> </w:t>
      </w:r>
      <w:r>
        <w:rPr/>
        <w:t>stress,</w:t>
      </w:r>
      <w:r>
        <w:rPr>
          <w:spacing w:val="-26"/>
        </w:rPr>
        <w:t> </w:t>
      </w:r>
      <w:r>
        <w:rPr/>
        <w:t>environmental</w:t>
      </w:r>
      <w:r>
        <w:rPr>
          <w:spacing w:val="-27"/>
        </w:rPr>
        <w:t> </w:t>
      </w:r>
      <w:r>
        <w:rPr/>
        <w:t>toxins,</w:t>
      </w:r>
      <w:r>
        <w:rPr>
          <w:spacing w:val="-26"/>
        </w:rPr>
        <w:t> </w:t>
      </w:r>
      <w:r>
        <w:rPr/>
        <w:t>by</w:t>
      </w:r>
      <w:r>
        <w:rPr>
          <w:spacing w:val="-26"/>
        </w:rPr>
        <w:t> </w:t>
      </w:r>
      <w:r>
        <w:rPr/>
        <w:t>energy production, but above all by a bad diet, which we Central Europeans have be- come accustomed to.</w:t>
      </w:r>
    </w:p>
    <w:p>
      <w:pPr>
        <w:pStyle w:val="BodyText"/>
        <w:spacing w:line="276" w:lineRule="auto" w:before="242"/>
        <w:ind w:left="477" w:right="132"/>
        <w:jc w:val="both"/>
      </w:pPr>
      <w:r>
        <w:rPr/>
        <w:t>To stay healthy, we need a balanced acid-base balance; this regulates our cardi- ovascular system, our respiration, our digestion and our hormone production. In order for these important functions to function undisturbed, a balanced pH (acid-base</w:t>
      </w:r>
      <w:r>
        <w:rPr>
          <w:spacing w:val="-6"/>
        </w:rPr>
        <w:t> </w:t>
      </w:r>
      <w:r>
        <w:rPr/>
        <w:t>value)</w:t>
      </w:r>
      <w:r>
        <w:rPr>
          <w:spacing w:val="-5"/>
        </w:rPr>
        <w:t> </w:t>
      </w:r>
      <w:r>
        <w:rPr/>
        <w:t>must</w:t>
      </w:r>
      <w:r>
        <w:rPr>
          <w:spacing w:val="-6"/>
        </w:rPr>
        <w:t> </w:t>
      </w:r>
      <w:r>
        <w:rPr/>
        <w:t>be</w:t>
      </w:r>
      <w:r>
        <w:rPr>
          <w:spacing w:val="-5"/>
        </w:rPr>
        <w:t> </w:t>
      </w:r>
      <w:r>
        <w:rPr/>
        <w:t>ensured,</w:t>
      </w:r>
      <w:r>
        <w:rPr>
          <w:spacing w:val="-3"/>
        </w:rPr>
        <w:t> </w:t>
      </w:r>
      <w:r>
        <w:rPr/>
        <w:t>and</w:t>
      </w:r>
      <w:r>
        <w:rPr>
          <w:spacing w:val="-6"/>
        </w:rPr>
        <w:t> </w:t>
      </w:r>
      <w:r>
        <w:rPr/>
        <w:t>this</w:t>
      </w:r>
      <w:r>
        <w:rPr>
          <w:spacing w:val="-5"/>
        </w:rPr>
        <w:t> </w:t>
      </w:r>
      <w:r>
        <w:rPr/>
        <w:t>is,</w:t>
      </w:r>
      <w:r>
        <w:rPr>
          <w:spacing w:val="-5"/>
        </w:rPr>
        <w:t> </w:t>
      </w:r>
      <w:r>
        <w:rPr/>
        <w:t>as</w:t>
      </w:r>
      <w:r>
        <w:rPr>
          <w:spacing w:val="-6"/>
        </w:rPr>
        <w:t> </w:t>
      </w:r>
      <w:r>
        <w:rPr/>
        <w:t>stated,</w:t>
      </w:r>
      <w:r>
        <w:rPr>
          <w:spacing w:val="-4"/>
        </w:rPr>
        <w:t> </w:t>
      </w:r>
      <w:r>
        <w:rPr/>
        <w:t>not</w:t>
      </w:r>
      <w:r>
        <w:rPr>
          <w:spacing w:val="-6"/>
        </w:rPr>
        <w:t> </w:t>
      </w:r>
      <w:r>
        <w:rPr/>
        <w:t>the</w:t>
      </w:r>
      <w:r>
        <w:rPr>
          <w:spacing w:val="-5"/>
        </w:rPr>
        <w:t> </w:t>
      </w:r>
      <w:r>
        <w:rPr/>
        <w:t>case</w:t>
      </w:r>
      <w:r>
        <w:rPr>
          <w:spacing w:val="-5"/>
        </w:rPr>
        <w:t> </w:t>
      </w:r>
      <w:r>
        <w:rPr/>
        <w:t>in</w:t>
      </w:r>
      <w:r>
        <w:rPr>
          <w:spacing w:val="-6"/>
        </w:rPr>
        <w:t> </w:t>
      </w:r>
      <w:r>
        <w:rPr/>
        <w:t>80</w:t>
      </w:r>
      <w:r>
        <w:rPr>
          <w:spacing w:val="-3"/>
        </w:rPr>
        <w:t> </w:t>
      </w:r>
      <w:r>
        <w:rPr/>
        <w:t>%</w:t>
      </w:r>
      <w:r>
        <w:rPr>
          <w:spacing w:val="-6"/>
        </w:rPr>
        <w:t> </w:t>
      </w:r>
      <w:r>
        <w:rPr/>
        <w:t>of the population: We are simply</w:t>
      </w:r>
      <w:r>
        <w:rPr>
          <w:spacing w:val="-2"/>
        </w:rPr>
        <w:t> </w:t>
      </w:r>
      <w:r>
        <w:rPr/>
        <w:t>over-acidified!</w:t>
      </w:r>
    </w:p>
    <w:p>
      <w:pPr>
        <w:pStyle w:val="BodyText"/>
        <w:spacing w:line="276" w:lineRule="auto" w:before="240"/>
        <w:ind w:left="477" w:right="133"/>
        <w:jc w:val="both"/>
      </w:pPr>
      <w:r>
        <w:rPr/>
        <w:t>Considering that holistic practicing physicians and therapists believe that the vast majority of disease states are caused by a low pH, i.e. overacidity of our body, these connections quickly become clear. These include diseases and symptoms such as:</w:t>
      </w:r>
    </w:p>
    <w:p>
      <w:pPr>
        <w:pStyle w:val="ListParagraph"/>
        <w:numPr>
          <w:ilvl w:val="0"/>
          <w:numId w:val="44"/>
        </w:numPr>
        <w:tabs>
          <w:tab w:pos="1198" w:val="left" w:leader="none"/>
        </w:tabs>
        <w:spacing w:line="240" w:lineRule="auto" w:before="240" w:after="0"/>
        <w:ind w:left="1197" w:right="0" w:hanging="720"/>
        <w:jc w:val="both"/>
        <w:rPr>
          <w:sz w:val="38"/>
        </w:rPr>
      </w:pPr>
      <w:r>
        <w:rPr>
          <w:sz w:val="38"/>
        </w:rPr>
        <w:t>allergies,</w:t>
      </w:r>
    </w:p>
    <w:p>
      <w:pPr>
        <w:pStyle w:val="ListParagraph"/>
        <w:numPr>
          <w:ilvl w:val="0"/>
          <w:numId w:val="44"/>
        </w:numPr>
        <w:tabs>
          <w:tab w:pos="1198" w:val="left" w:leader="none"/>
        </w:tabs>
        <w:spacing w:line="240" w:lineRule="auto" w:before="187" w:after="0"/>
        <w:ind w:left="1197" w:right="0" w:hanging="720"/>
        <w:jc w:val="both"/>
        <w:rPr>
          <w:sz w:val="38"/>
        </w:rPr>
      </w:pPr>
      <w:r>
        <w:rPr>
          <w:sz w:val="38"/>
        </w:rPr>
        <w:t>excess</w:t>
      </w:r>
      <w:r>
        <w:rPr>
          <w:spacing w:val="1"/>
          <w:sz w:val="38"/>
        </w:rPr>
        <w:t> </w:t>
      </w:r>
      <w:r>
        <w:rPr>
          <w:sz w:val="38"/>
        </w:rPr>
        <w:t>weight,</w:t>
      </w:r>
    </w:p>
    <w:p>
      <w:pPr>
        <w:pStyle w:val="ListParagraph"/>
        <w:numPr>
          <w:ilvl w:val="0"/>
          <w:numId w:val="44"/>
        </w:numPr>
        <w:tabs>
          <w:tab w:pos="1198" w:val="left" w:leader="none"/>
        </w:tabs>
        <w:spacing w:line="240" w:lineRule="auto" w:before="184" w:after="0"/>
        <w:ind w:left="1197" w:right="0" w:hanging="720"/>
        <w:jc w:val="both"/>
        <w:rPr>
          <w:sz w:val="38"/>
        </w:rPr>
      </w:pPr>
      <w:r>
        <w:rPr>
          <w:sz w:val="38"/>
        </w:rPr>
        <w:t>headaches,</w:t>
      </w:r>
    </w:p>
    <w:p>
      <w:pPr>
        <w:spacing w:after="0" w:line="240" w:lineRule="auto"/>
        <w:jc w:val="both"/>
        <w:rPr>
          <w:sz w:val="38"/>
        </w:rPr>
        <w:sectPr>
          <w:pgSz w:w="14270" w:h="16850"/>
          <w:pgMar w:header="0" w:footer="1891" w:top="1600" w:bottom="2080" w:left="800" w:right="1280"/>
        </w:sectPr>
      </w:pPr>
    </w:p>
    <w:p>
      <w:pPr>
        <w:pStyle w:val="BodyText"/>
        <w:spacing w:before="10"/>
        <w:rPr>
          <w:sz w:val="8"/>
        </w:rPr>
      </w:pPr>
    </w:p>
    <w:p>
      <w:pPr>
        <w:pStyle w:val="ListParagraph"/>
        <w:numPr>
          <w:ilvl w:val="0"/>
          <w:numId w:val="44"/>
        </w:numPr>
        <w:tabs>
          <w:tab w:pos="1197" w:val="left" w:leader="none"/>
          <w:tab w:pos="1198" w:val="left" w:leader="none"/>
        </w:tabs>
        <w:spacing w:line="240" w:lineRule="auto" w:before="83" w:after="0"/>
        <w:ind w:left="1197" w:right="0" w:hanging="720"/>
        <w:jc w:val="left"/>
        <w:rPr>
          <w:sz w:val="38"/>
        </w:rPr>
      </w:pPr>
      <w:r>
        <w:rPr>
          <w:sz w:val="38"/>
        </w:rPr>
        <w:t>hair loss,</w:t>
      </w:r>
    </w:p>
    <w:p>
      <w:pPr>
        <w:pStyle w:val="ListParagraph"/>
        <w:numPr>
          <w:ilvl w:val="0"/>
          <w:numId w:val="44"/>
        </w:numPr>
        <w:tabs>
          <w:tab w:pos="1197" w:val="left" w:leader="none"/>
          <w:tab w:pos="1198" w:val="left" w:leader="none"/>
        </w:tabs>
        <w:spacing w:line="240" w:lineRule="auto" w:before="184" w:after="0"/>
        <w:ind w:left="1197" w:right="0" w:hanging="720"/>
        <w:jc w:val="left"/>
        <w:rPr>
          <w:sz w:val="38"/>
        </w:rPr>
      </w:pPr>
      <w:r>
        <w:rPr>
          <w:sz w:val="38"/>
        </w:rPr>
        <w:t>grey hair,</w:t>
      </w:r>
    </w:p>
    <w:p>
      <w:pPr>
        <w:pStyle w:val="ListParagraph"/>
        <w:numPr>
          <w:ilvl w:val="0"/>
          <w:numId w:val="44"/>
        </w:numPr>
        <w:tabs>
          <w:tab w:pos="1197" w:val="left" w:leader="none"/>
          <w:tab w:pos="1198" w:val="left" w:leader="none"/>
        </w:tabs>
        <w:spacing w:line="240" w:lineRule="auto" w:before="186" w:after="0"/>
        <w:ind w:left="1197" w:right="0" w:hanging="720"/>
        <w:jc w:val="left"/>
        <w:rPr>
          <w:sz w:val="38"/>
        </w:rPr>
      </w:pPr>
      <w:r>
        <w:rPr>
          <w:sz w:val="38"/>
        </w:rPr>
        <w:t>heartburn,</w:t>
      </w:r>
    </w:p>
    <w:p>
      <w:pPr>
        <w:pStyle w:val="ListParagraph"/>
        <w:numPr>
          <w:ilvl w:val="0"/>
          <w:numId w:val="44"/>
        </w:numPr>
        <w:tabs>
          <w:tab w:pos="1197" w:val="left" w:leader="none"/>
          <w:tab w:pos="1198" w:val="left" w:leader="none"/>
        </w:tabs>
        <w:spacing w:line="240" w:lineRule="auto" w:before="183" w:after="0"/>
        <w:ind w:left="1197" w:right="0" w:hanging="720"/>
        <w:jc w:val="left"/>
        <w:rPr>
          <w:sz w:val="38"/>
        </w:rPr>
      </w:pPr>
      <w:r>
        <w:rPr>
          <w:sz w:val="38"/>
        </w:rPr>
        <w:t>migraine,</w:t>
      </w:r>
    </w:p>
    <w:p>
      <w:pPr>
        <w:pStyle w:val="ListParagraph"/>
        <w:numPr>
          <w:ilvl w:val="0"/>
          <w:numId w:val="44"/>
        </w:numPr>
        <w:tabs>
          <w:tab w:pos="1197" w:val="left" w:leader="none"/>
          <w:tab w:pos="1198" w:val="left" w:leader="none"/>
        </w:tabs>
        <w:spacing w:line="240" w:lineRule="auto" w:before="184" w:after="0"/>
        <w:ind w:left="1197" w:right="0" w:hanging="720"/>
        <w:jc w:val="left"/>
        <w:rPr>
          <w:sz w:val="38"/>
        </w:rPr>
      </w:pPr>
      <w:r>
        <w:rPr>
          <w:sz w:val="38"/>
        </w:rPr>
        <w:t>inflammation,</w:t>
      </w:r>
    </w:p>
    <w:p>
      <w:pPr>
        <w:pStyle w:val="ListParagraph"/>
        <w:numPr>
          <w:ilvl w:val="0"/>
          <w:numId w:val="44"/>
        </w:numPr>
        <w:tabs>
          <w:tab w:pos="1197" w:val="left" w:leader="none"/>
          <w:tab w:pos="1198" w:val="left" w:leader="none"/>
        </w:tabs>
        <w:spacing w:line="240" w:lineRule="auto" w:before="184" w:after="0"/>
        <w:ind w:left="1197" w:right="0" w:hanging="720"/>
        <w:jc w:val="left"/>
        <w:rPr>
          <w:sz w:val="38"/>
        </w:rPr>
      </w:pPr>
      <w:r>
        <w:rPr>
          <w:sz w:val="38"/>
        </w:rPr>
        <w:t>sleep</w:t>
      </w:r>
      <w:r>
        <w:rPr>
          <w:spacing w:val="1"/>
          <w:sz w:val="38"/>
        </w:rPr>
        <w:t> </w:t>
      </w:r>
      <w:r>
        <w:rPr>
          <w:sz w:val="38"/>
        </w:rPr>
        <w:t>disorders,</w:t>
      </w:r>
    </w:p>
    <w:p>
      <w:pPr>
        <w:pStyle w:val="ListParagraph"/>
        <w:numPr>
          <w:ilvl w:val="0"/>
          <w:numId w:val="44"/>
        </w:numPr>
        <w:tabs>
          <w:tab w:pos="1197" w:val="left" w:leader="none"/>
          <w:tab w:pos="1198" w:val="left" w:leader="none"/>
        </w:tabs>
        <w:spacing w:line="240" w:lineRule="auto" w:before="184" w:after="0"/>
        <w:ind w:left="1197" w:right="0" w:hanging="720"/>
        <w:jc w:val="left"/>
        <w:rPr>
          <w:sz w:val="38"/>
        </w:rPr>
      </w:pPr>
      <w:r>
        <w:rPr>
          <w:sz w:val="38"/>
        </w:rPr>
        <w:t>digestive</w:t>
      </w:r>
      <w:r>
        <w:rPr>
          <w:spacing w:val="-8"/>
          <w:sz w:val="38"/>
        </w:rPr>
        <w:t> </w:t>
      </w:r>
      <w:r>
        <w:rPr>
          <w:sz w:val="38"/>
        </w:rPr>
        <w:t>problems,</w:t>
      </w:r>
    </w:p>
    <w:p>
      <w:pPr>
        <w:pStyle w:val="ListParagraph"/>
        <w:numPr>
          <w:ilvl w:val="0"/>
          <w:numId w:val="44"/>
        </w:numPr>
        <w:tabs>
          <w:tab w:pos="1197" w:val="left" w:leader="none"/>
          <w:tab w:pos="1198" w:val="left" w:leader="none"/>
        </w:tabs>
        <w:spacing w:line="240" w:lineRule="auto" w:before="186" w:after="0"/>
        <w:ind w:left="1197" w:right="0" w:hanging="720"/>
        <w:jc w:val="left"/>
        <w:rPr>
          <w:sz w:val="38"/>
        </w:rPr>
      </w:pPr>
      <w:r>
        <w:rPr>
          <w:sz w:val="38"/>
        </w:rPr>
        <w:t>gum</w:t>
      </w:r>
      <w:r>
        <w:rPr>
          <w:spacing w:val="-2"/>
          <w:sz w:val="38"/>
        </w:rPr>
        <w:t> </w:t>
      </w:r>
      <w:r>
        <w:rPr>
          <w:sz w:val="38"/>
        </w:rPr>
        <w:t>inflammation,</w:t>
      </w:r>
    </w:p>
    <w:p>
      <w:pPr>
        <w:pStyle w:val="ListParagraph"/>
        <w:numPr>
          <w:ilvl w:val="0"/>
          <w:numId w:val="44"/>
        </w:numPr>
        <w:tabs>
          <w:tab w:pos="1197" w:val="left" w:leader="none"/>
          <w:tab w:pos="1198" w:val="left" w:leader="none"/>
        </w:tabs>
        <w:spacing w:line="240" w:lineRule="auto" w:before="183" w:after="0"/>
        <w:ind w:left="1197" w:right="0" w:hanging="720"/>
        <w:jc w:val="left"/>
        <w:rPr>
          <w:sz w:val="38"/>
        </w:rPr>
      </w:pPr>
      <w:r>
        <w:rPr>
          <w:sz w:val="38"/>
        </w:rPr>
        <w:t>menstrual</w:t>
      </w:r>
      <w:r>
        <w:rPr>
          <w:spacing w:val="-2"/>
          <w:sz w:val="38"/>
        </w:rPr>
        <w:t> </w:t>
      </w:r>
      <w:r>
        <w:rPr>
          <w:sz w:val="38"/>
        </w:rPr>
        <w:t>cramps,</w:t>
      </w:r>
    </w:p>
    <w:p>
      <w:pPr>
        <w:pStyle w:val="ListParagraph"/>
        <w:numPr>
          <w:ilvl w:val="0"/>
          <w:numId w:val="44"/>
        </w:numPr>
        <w:tabs>
          <w:tab w:pos="1197" w:val="left" w:leader="none"/>
          <w:tab w:pos="1198" w:val="left" w:leader="none"/>
        </w:tabs>
        <w:spacing w:line="240" w:lineRule="auto" w:before="184" w:after="0"/>
        <w:ind w:left="1197" w:right="0" w:hanging="720"/>
        <w:jc w:val="left"/>
        <w:rPr>
          <w:sz w:val="38"/>
        </w:rPr>
      </w:pPr>
      <w:r>
        <w:rPr>
          <w:sz w:val="38"/>
        </w:rPr>
        <w:t>diabetes,</w:t>
      </w:r>
    </w:p>
    <w:p>
      <w:pPr>
        <w:pStyle w:val="ListParagraph"/>
        <w:numPr>
          <w:ilvl w:val="0"/>
          <w:numId w:val="44"/>
        </w:numPr>
        <w:tabs>
          <w:tab w:pos="1197" w:val="left" w:leader="none"/>
          <w:tab w:pos="1198" w:val="left" w:leader="none"/>
        </w:tabs>
        <w:spacing w:line="240" w:lineRule="auto" w:before="184" w:after="0"/>
        <w:ind w:left="1197" w:right="0" w:hanging="720"/>
        <w:jc w:val="left"/>
        <w:rPr>
          <w:sz w:val="38"/>
        </w:rPr>
      </w:pPr>
      <w:r>
        <w:rPr>
          <w:sz w:val="38"/>
        </w:rPr>
        <w:t>blemishes</w:t>
      </w:r>
      <w:r>
        <w:rPr>
          <w:spacing w:val="1"/>
          <w:sz w:val="38"/>
        </w:rPr>
        <w:t> </w:t>
      </w:r>
      <w:r>
        <w:rPr>
          <w:sz w:val="38"/>
        </w:rPr>
        <w:t>(pimples),</w:t>
      </w:r>
    </w:p>
    <w:p>
      <w:pPr>
        <w:pStyle w:val="ListParagraph"/>
        <w:numPr>
          <w:ilvl w:val="0"/>
          <w:numId w:val="44"/>
        </w:numPr>
        <w:tabs>
          <w:tab w:pos="1197" w:val="left" w:leader="none"/>
          <w:tab w:pos="1198" w:val="left" w:leader="none"/>
        </w:tabs>
        <w:spacing w:line="240" w:lineRule="auto" w:before="184" w:after="0"/>
        <w:ind w:left="1197" w:right="0" w:hanging="720"/>
        <w:jc w:val="left"/>
        <w:rPr>
          <w:sz w:val="38"/>
        </w:rPr>
      </w:pPr>
      <w:r>
        <w:rPr>
          <w:sz w:val="38"/>
        </w:rPr>
        <w:t>insufficient</w:t>
      </w:r>
      <w:r>
        <w:rPr>
          <w:spacing w:val="-1"/>
          <w:sz w:val="38"/>
        </w:rPr>
        <w:t> </w:t>
      </w:r>
      <w:r>
        <w:rPr>
          <w:sz w:val="38"/>
        </w:rPr>
        <w:t>weight,</w:t>
      </w:r>
    </w:p>
    <w:p>
      <w:pPr>
        <w:pStyle w:val="ListParagraph"/>
        <w:numPr>
          <w:ilvl w:val="0"/>
          <w:numId w:val="44"/>
        </w:numPr>
        <w:tabs>
          <w:tab w:pos="1197" w:val="left" w:leader="none"/>
          <w:tab w:pos="1198" w:val="left" w:leader="none"/>
        </w:tabs>
        <w:spacing w:line="240" w:lineRule="auto" w:before="186" w:after="0"/>
        <w:ind w:left="1197" w:right="0" w:hanging="720"/>
        <w:jc w:val="left"/>
        <w:rPr>
          <w:sz w:val="38"/>
        </w:rPr>
      </w:pPr>
      <w:r>
        <w:rPr>
          <w:sz w:val="38"/>
        </w:rPr>
        <w:t>cellulitis,</w:t>
      </w:r>
    </w:p>
    <w:p>
      <w:pPr>
        <w:pStyle w:val="ListParagraph"/>
        <w:numPr>
          <w:ilvl w:val="0"/>
          <w:numId w:val="44"/>
        </w:numPr>
        <w:tabs>
          <w:tab w:pos="1197" w:val="left" w:leader="none"/>
          <w:tab w:pos="1198" w:val="left" w:leader="none"/>
        </w:tabs>
        <w:spacing w:line="240" w:lineRule="auto" w:before="183" w:after="0"/>
        <w:ind w:left="1197" w:right="0" w:hanging="720"/>
        <w:jc w:val="left"/>
        <w:rPr>
          <w:sz w:val="38"/>
        </w:rPr>
      </w:pPr>
      <w:r>
        <w:rPr>
          <w:sz w:val="38"/>
        </w:rPr>
        <w:t>concentration problems</w:t>
      </w:r>
    </w:p>
    <w:p>
      <w:pPr>
        <w:pStyle w:val="ListParagraph"/>
        <w:numPr>
          <w:ilvl w:val="0"/>
          <w:numId w:val="44"/>
        </w:numPr>
        <w:tabs>
          <w:tab w:pos="1197" w:val="left" w:leader="none"/>
          <w:tab w:pos="1198" w:val="left" w:leader="none"/>
        </w:tabs>
        <w:spacing w:line="240" w:lineRule="auto" w:before="184" w:after="0"/>
        <w:ind w:left="1197" w:right="0" w:hanging="720"/>
        <w:jc w:val="left"/>
        <w:rPr>
          <w:sz w:val="38"/>
        </w:rPr>
      </w:pPr>
      <w:r>
        <w:rPr>
          <w:sz w:val="38"/>
        </w:rPr>
        <w:t>infections,</w:t>
      </w:r>
    </w:p>
    <w:p>
      <w:pPr>
        <w:pStyle w:val="ListParagraph"/>
        <w:numPr>
          <w:ilvl w:val="0"/>
          <w:numId w:val="44"/>
        </w:numPr>
        <w:tabs>
          <w:tab w:pos="1197" w:val="left" w:leader="none"/>
          <w:tab w:pos="1198" w:val="left" w:leader="none"/>
        </w:tabs>
        <w:spacing w:line="240" w:lineRule="auto" w:before="184" w:after="0"/>
        <w:ind w:left="1197" w:right="0" w:hanging="720"/>
        <w:jc w:val="left"/>
        <w:rPr>
          <w:sz w:val="38"/>
        </w:rPr>
      </w:pPr>
      <w:r>
        <w:rPr>
          <w:sz w:val="38"/>
        </w:rPr>
        <w:t>muscle</w:t>
      </w:r>
      <w:r>
        <w:rPr>
          <w:spacing w:val="-1"/>
          <w:sz w:val="38"/>
        </w:rPr>
        <w:t> </w:t>
      </w:r>
      <w:r>
        <w:rPr>
          <w:sz w:val="38"/>
        </w:rPr>
        <w:t>cramps,</w:t>
      </w:r>
    </w:p>
    <w:p>
      <w:pPr>
        <w:pStyle w:val="ListParagraph"/>
        <w:numPr>
          <w:ilvl w:val="0"/>
          <w:numId w:val="44"/>
        </w:numPr>
        <w:tabs>
          <w:tab w:pos="1197" w:val="left" w:leader="none"/>
          <w:tab w:pos="1198" w:val="left" w:leader="none"/>
        </w:tabs>
        <w:spacing w:line="240" w:lineRule="auto" w:before="186" w:after="0"/>
        <w:ind w:left="1197" w:right="0" w:hanging="720"/>
        <w:jc w:val="left"/>
        <w:rPr>
          <w:sz w:val="38"/>
        </w:rPr>
      </w:pPr>
      <w:r>
        <w:rPr>
          <w:sz w:val="38"/>
        </w:rPr>
        <w:t>joint</w:t>
      </w:r>
      <w:r>
        <w:rPr>
          <w:spacing w:val="-1"/>
          <w:sz w:val="38"/>
        </w:rPr>
        <w:t> </w:t>
      </w:r>
      <w:r>
        <w:rPr>
          <w:sz w:val="38"/>
        </w:rPr>
        <w:t>pain,</w:t>
      </w:r>
    </w:p>
    <w:p>
      <w:pPr>
        <w:pStyle w:val="ListParagraph"/>
        <w:numPr>
          <w:ilvl w:val="0"/>
          <w:numId w:val="44"/>
        </w:numPr>
        <w:tabs>
          <w:tab w:pos="1197" w:val="left" w:leader="none"/>
          <w:tab w:pos="1198" w:val="left" w:leader="none"/>
        </w:tabs>
        <w:spacing w:line="240" w:lineRule="auto" w:before="184" w:after="0"/>
        <w:ind w:left="1197" w:right="0" w:hanging="720"/>
        <w:jc w:val="left"/>
        <w:rPr>
          <w:sz w:val="38"/>
        </w:rPr>
      </w:pPr>
      <w:r>
        <w:rPr>
          <w:sz w:val="38"/>
        </w:rPr>
        <w:t>high blood</w:t>
      </w:r>
      <w:r>
        <w:rPr>
          <w:spacing w:val="3"/>
          <w:sz w:val="38"/>
        </w:rPr>
        <w:t> </w:t>
      </w:r>
      <w:r>
        <w:rPr>
          <w:sz w:val="38"/>
        </w:rPr>
        <w:t>pressure.</w:t>
      </w:r>
    </w:p>
    <w:p>
      <w:pPr>
        <w:spacing w:after="0" w:line="240" w:lineRule="auto"/>
        <w:jc w:val="left"/>
        <w:rPr>
          <w:sz w:val="38"/>
        </w:rPr>
        <w:sectPr>
          <w:pgSz w:w="14270" w:h="16850"/>
          <w:pgMar w:header="0" w:footer="1891" w:top="1600" w:bottom="2080" w:left="800" w:right="1280"/>
        </w:sectPr>
      </w:pPr>
    </w:p>
    <w:p>
      <w:pPr>
        <w:pStyle w:val="BodyText"/>
        <w:spacing w:line="276" w:lineRule="auto" w:before="181"/>
        <w:ind w:left="477" w:right="135"/>
        <w:jc w:val="both"/>
      </w:pPr>
      <w:r>
        <w:rPr/>
        <w:t>However,</w:t>
      </w:r>
      <w:r>
        <w:rPr>
          <w:spacing w:val="-21"/>
        </w:rPr>
        <w:t> </w:t>
      </w:r>
      <w:r>
        <w:rPr/>
        <w:t>on</w:t>
      </w:r>
      <w:r>
        <w:rPr>
          <w:spacing w:val="-23"/>
        </w:rPr>
        <w:t> </w:t>
      </w:r>
      <w:r>
        <w:rPr/>
        <w:t>the</w:t>
      </w:r>
      <w:r>
        <w:rPr>
          <w:spacing w:val="-24"/>
        </w:rPr>
        <w:t> </w:t>
      </w:r>
      <w:r>
        <w:rPr/>
        <w:t>other</w:t>
      </w:r>
      <w:r>
        <w:rPr>
          <w:spacing w:val="-23"/>
        </w:rPr>
        <w:t> </w:t>
      </w:r>
      <w:r>
        <w:rPr/>
        <w:t>hand,</w:t>
      </w:r>
      <w:r>
        <w:rPr>
          <w:spacing w:val="-23"/>
        </w:rPr>
        <w:t> </w:t>
      </w:r>
      <w:r>
        <w:rPr/>
        <w:t>the</w:t>
      </w:r>
      <w:r>
        <w:rPr>
          <w:spacing w:val="-26"/>
        </w:rPr>
        <w:t> </w:t>
      </w:r>
      <w:r>
        <w:rPr/>
        <w:t>dextrorotatory</w:t>
      </w:r>
      <w:r>
        <w:rPr>
          <w:spacing w:val="-22"/>
        </w:rPr>
        <w:t> </w:t>
      </w:r>
      <w:r>
        <w:rPr/>
        <w:t>lactic</w:t>
      </w:r>
      <w:r>
        <w:rPr>
          <w:spacing w:val="-22"/>
        </w:rPr>
        <w:t> </w:t>
      </w:r>
      <w:r>
        <w:rPr/>
        <w:t>acid</w:t>
      </w:r>
      <w:r>
        <w:rPr>
          <w:spacing w:val="-22"/>
        </w:rPr>
        <w:t> </w:t>
      </w:r>
      <w:r>
        <w:rPr/>
        <w:t>present</w:t>
      </w:r>
      <w:r>
        <w:rPr>
          <w:spacing w:val="-27"/>
        </w:rPr>
        <w:t> </w:t>
      </w:r>
      <w:r>
        <w:rPr/>
        <w:t>in</w:t>
      </w:r>
      <w:r>
        <w:rPr>
          <w:spacing w:val="-22"/>
        </w:rPr>
        <w:t> </w:t>
      </w:r>
      <w:r>
        <w:rPr/>
        <w:t>kombucha tea</w:t>
      </w:r>
      <w:r>
        <w:rPr>
          <w:spacing w:val="-20"/>
        </w:rPr>
        <w:t> </w:t>
      </w:r>
      <w:r>
        <w:rPr/>
        <w:t>prevents</w:t>
      </w:r>
      <w:r>
        <w:rPr>
          <w:spacing w:val="-19"/>
        </w:rPr>
        <w:t> </w:t>
      </w:r>
      <w:r>
        <w:rPr/>
        <w:t>this</w:t>
      </w:r>
      <w:r>
        <w:rPr>
          <w:spacing w:val="-20"/>
        </w:rPr>
        <w:t> </w:t>
      </w:r>
      <w:r>
        <w:rPr/>
        <w:t>hyperacidity,</w:t>
      </w:r>
      <w:r>
        <w:rPr>
          <w:spacing w:val="-19"/>
        </w:rPr>
        <w:t> </w:t>
      </w:r>
      <w:r>
        <w:rPr/>
        <w:t>another</w:t>
      </w:r>
      <w:r>
        <w:rPr>
          <w:spacing w:val="-19"/>
        </w:rPr>
        <w:t> </w:t>
      </w:r>
      <w:r>
        <w:rPr/>
        <w:t>ingredient</w:t>
      </w:r>
      <w:r>
        <w:rPr>
          <w:spacing w:val="-20"/>
        </w:rPr>
        <w:t> </w:t>
      </w:r>
      <w:r>
        <w:rPr/>
        <w:t>in</w:t>
      </w:r>
      <w:r>
        <w:rPr>
          <w:spacing w:val="-20"/>
        </w:rPr>
        <w:t> </w:t>
      </w:r>
      <w:r>
        <w:rPr/>
        <w:t>kombucha</w:t>
      </w:r>
      <w:r>
        <w:rPr>
          <w:spacing w:val="-21"/>
        </w:rPr>
        <w:t> </w:t>
      </w:r>
      <w:r>
        <w:rPr/>
        <w:t>tea</w:t>
      </w:r>
      <w:r>
        <w:rPr>
          <w:spacing w:val="-18"/>
        </w:rPr>
        <w:t> </w:t>
      </w:r>
      <w:r>
        <w:rPr/>
        <w:t>has</w:t>
      </w:r>
      <w:r>
        <w:rPr>
          <w:spacing w:val="-19"/>
        </w:rPr>
        <w:t> </w:t>
      </w:r>
      <w:r>
        <w:rPr/>
        <w:t>also</w:t>
      </w:r>
      <w:r>
        <w:rPr>
          <w:spacing w:val="-19"/>
        </w:rPr>
        <w:t> </w:t>
      </w:r>
      <w:r>
        <w:rPr/>
        <w:t>been found, which, in addition to glucuronic acid, can prevent a very wide range of diseases and conditions, namely: dextrorotatory lactic</w:t>
      </w:r>
      <w:r>
        <w:rPr>
          <w:spacing w:val="-1"/>
        </w:rPr>
        <w:t> </w:t>
      </w:r>
      <w:r>
        <w:rPr/>
        <w:t>acid.</w:t>
      </w:r>
    </w:p>
    <w:p>
      <w:pPr>
        <w:pStyle w:val="Heading1"/>
        <w:spacing w:before="225"/>
      </w:pPr>
      <w:r>
        <w:rPr/>
        <w:t>Example 3): Probiotic cultures in</w:t>
      </w:r>
      <w:r>
        <w:rPr>
          <w:spacing w:val="-63"/>
        </w:rPr>
        <w:t> </w:t>
      </w:r>
      <w:r>
        <w:rPr/>
        <w:t>kombucha</w:t>
      </w:r>
    </w:p>
    <w:p>
      <w:pPr>
        <w:pStyle w:val="BodyText"/>
        <w:spacing w:line="276" w:lineRule="auto" w:before="297"/>
        <w:ind w:left="477" w:right="132"/>
        <w:jc w:val="both"/>
      </w:pPr>
      <w:r>
        <w:rPr/>
        <w:t>As</w:t>
      </w:r>
      <w:r>
        <w:rPr>
          <w:spacing w:val="-24"/>
        </w:rPr>
        <w:t> </w:t>
      </w:r>
      <w:r>
        <w:rPr/>
        <w:t>the</w:t>
      </w:r>
      <w:r>
        <w:rPr>
          <w:spacing w:val="-24"/>
        </w:rPr>
        <w:t> </w:t>
      </w:r>
      <w:r>
        <w:rPr/>
        <w:t>name</w:t>
      </w:r>
      <w:r>
        <w:rPr>
          <w:spacing w:val="-23"/>
        </w:rPr>
        <w:t> </w:t>
      </w:r>
      <w:r>
        <w:rPr/>
        <w:t>‘probiotic</w:t>
      </w:r>
      <w:r>
        <w:rPr>
          <w:spacing w:val="-25"/>
        </w:rPr>
        <w:t> </w:t>
      </w:r>
      <w:r>
        <w:rPr/>
        <w:t>bacteria’</w:t>
      </w:r>
      <w:r>
        <w:rPr>
          <w:i/>
        </w:rPr>
        <w:t>,</w:t>
      </w:r>
      <w:r>
        <w:rPr>
          <w:i/>
          <w:spacing w:val="-23"/>
        </w:rPr>
        <w:t> </w:t>
      </w:r>
      <w:r>
        <w:rPr/>
        <w:t>literally</w:t>
      </w:r>
      <w:r>
        <w:rPr>
          <w:spacing w:val="-24"/>
        </w:rPr>
        <w:t> </w:t>
      </w:r>
      <w:r>
        <w:rPr/>
        <w:t>translated</w:t>
      </w:r>
      <w:r>
        <w:rPr>
          <w:spacing w:val="-24"/>
        </w:rPr>
        <w:t> </w:t>
      </w:r>
      <w:r>
        <w:rPr/>
        <w:t>as</w:t>
      </w:r>
      <w:r>
        <w:rPr>
          <w:spacing w:val="-25"/>
        </w:rPr>
        <w:t> </w:t>
      </w:r>
      <w:r>
        <w:rPr/>
        <w:t>bacteria</w:t>
      </w:r>
      <w:r>
        <w:rPr>
          <w:spacing w:val="-22"/>
        </w:rPr>
        <w:t> </w:t>
      </w:r>
      <w:r>
        <w:rPr/>
        <w:t>‘for</w:t>
      </w:r>
      <w:r>
        <w:rPr>
          <w:spacing w:val="-26"/>
        </w:rPr>
        <w:t> </w:t>
      </w:r>
      <w:r>
        <w:rPr/>
        <w:t>life’</w:t>
      </w:r>
      <w:r>
        <w:rPr>
          <w:i/>
        </w:rPr>
        <w:t>,</w:t>
      </w:r>
      <w:r>
        <w:rPr>
          <w:i/>
          <w:spacing w:val="-23"/>
        </w:rPr>
        <w:t> </w:t>
      </w:r>
      <w:r>
        <w:rPr/>
        <w:t>suggests</w:t>
      </w:r>
      <w:r>
        <w:rPr>
          <w:i/>
        </w:rPr>
        <w:t>, </w:t>
      </w:r>
      <w:r>
        <w:rPr/>
        <w:t>probiotic bacteria are vital, health-promoting bacterial strains. Kombucha tea contains many of these vital ‘good’</w:t>
      </w:r>
      <w:r>
        <w:rPr>
          <w:spacing w:val="5"/>
        </w:rPr>
        <w:t> </w:t>
      </w:r>
      <w:r>
        <w:rPr/>
        <w:t>bacteria.</w:t>
      </w:r>
    </w:p>
    <w:p>
      <w:pPr>
        <w:pStyle w:val="BodyText"/>
        <w:spacing w:line="276" w:lineRule="auto" w:before="241"/>
        <w:ind w:left="477" w:right="130"/>
        <w:jc w:val="both"/>
      </w:pPr>
      <w:r>
        <w:rPr/>
        <w:t>According to Keusemann and Krewer, it has been </w:t>
      </w:r>
      <w:r>
        <w:rPr>
          <w:u w:val="single"/>
        </w:rPr>
        <w:t>proven</w:t>
      </w:r>
      <w:r>
        <w:rPr/>
        <w:t> that the following health benefits can be attributed to probiotic bacteria:</w:t>
      </w:r>
    </w:p>
    <w:p>
      <w:pPr>
        <w:pStyle w:val="ListParagraph"/>
        <w:numPr>
          <w:ilvl w:val="0"/>
          <w:numId w:val="46"/>
        </w:numPr>
        <w:tabs>
          <w:tab w:pos="1197" w:val="left" w:leader="none"/>
          <w:tab w:pos="1198" w:val="left" w:leader="none"/>
        </w:tabs>
        <w:spacing w:line="240" w:lineRule="auto" w:before="3" w:after="0"/>
        <w:ind w:left="1197" w:right="0" w:hanging="360"/>
        <w:jc w:val="left"/>
        <w:rPr>
          <w:sz w:val="38"/>
        </w:rPr>
      </w:pPr>
      <w:r>
        <w:rPr>
          <w:sz w:val="38"/>
        </w:rPr>
        <w:t>promotion of lactose digestion in lactose</w:t>
      </w:r>
      <w:r>
        <w:rPr>
          <w:spacing w:val="-1"/>
          <w:sz w:val="38"/>
        </w:rPr>
        <w:t> </w:t>
      </w:r>
      <w:r>
        <w:rPr>
          <w:sz w:val="38"/>
        </w:rPr>
        <w:t>malabsorbents</w:t>
      </w:r>
    </w:p>
    <w:p>
      <w:pPr>
        <w:pStyle w:val="ListParagraph"/>
        <w:numPr>
          <w:ilvl w:val="0"/>
          <w:numId w:val="46"/>
        </w:numPr>
        <w:tabs>
          <w:tab w:pos="1197" w:val="left" w:leader="none"/>
          <w:tab w:pos="1198" w:val="left" w:leader="none"/>
        </w:tabs>
        <w:spacing w:line="273" w:lineRule="auto" w:before="303" w:after="0"/>
        <w:ind w:left="1197" w:right="133" w:hanging="360"/>
        <w:jc w:val="left"/>
        <w:rPr>
          <w:sz w:val="38"/>
        </w:rPr>
      </w:pPr>
      <w:r>
        <w:rPr>
          <w:sz w:val="38"/>
        </w:rPr>
        <w:t>reduced frequency and duration of various diarrhoeal diseases (clostridia and rotavirus or after antibiotic treatment or</w:t>
      </w:r>
      <w:r>
        <w:rPr>
          <w:spacing w:val="-8"/>
          <w:sz w:val="38"/>
        </w:rPr>
        <w:t> </w:t>
      </w:r>
      <w:r>
        <w:rPr>
          <w:sz w:val="38"/>
        </w:rPr>
        <w:t>chemotherapy)</w:t>
      </w:r>
    </w:p>
    <w:p>
      <w:pPr>
        <w:pStyle w:val="ListParagraph"/>
        <w:numPr>
          <w:ilvl w:val="0"/>
          <w:numId w:val="46"/>
        </w:numPr>
        <w:tabs>
          <w:tab w:pos="1198" w:val="left" w:leader="none"/>
        </w:tabs>
        <w:spacing w:line="273" w:lineRule="auto" w:before="248" w:after="0"/>
        <w:ind w:left="1197" w:right="132" w:hanging="360"/>
        <w:jc w:val="both"/>
        <w:rPr>
          <w:sz w:val="38"/>
        </w:rPr>
      </w:pPr>
      <w:r>
        <w:rPr>
          <w:sz w:val="38"/>
        </w:rPr>
        <w:t>reducing the concentration of some harmful metabolites and cancer-caus- ing</w:t>
      </w:r>
      <w:r>
        <w:rPr>
          <w:spacing w:val="-18"/>
          <w:sz w:val="38"/>
        </w:rPr>
        <w:t> </w:t>
      </w:r>
      <w:r>
        <w:rPr>
          <w:sz w:val="38"/>
        </w:rPr>
        <w:t>enzymes</w:t>
      </w:r>
      <w:r>
        <w:rPr>
          <w:spacing w:val="-18"/>
          <w:sz w:val="38"/>
        </w:rPr>
        <w:t> </w:t>
      </w:r>
      <w:r>
        <w:rPr>
          <w:sz w:val="38"/>
        </w:rPr>
        <w:t>in</w:t>
      </w:r>
      <w:r>
        <w:rPr>
          <w:spacing w:val="-18"/>
          <w:sz w:val="38"/>
        </w:rPr>
        <w:t> </w:t>
      </w:r>
      <w:r>
        <w:rPr>
          <w:sz w:val="38"/>
        </w:rPr>
        <w:t>the</w:t>
      </w:r>
      <w:r>
        <w:rPr>
          <w:spacing w:val="-19"/>
          <w:sz w:val="38"/>
        </w:rPr>
        <w:t> </w:t>
      </w:r>
      <w:r>
        <w:rPr>
          <w:sz w:val="38"/>
        </w:rPr>
        <w:t>colon</w:t>
      </w:r>
      <w:r>
        <w:rPr>
          <w:spacing w:val="-17"/>
          <w:sz w:val="38"/>
        </w:rPr>
        <w:t> </w:t>
      </w:r>
      <w:r>
        <w:rPr>
          <w:sz w:val="38"/>
        </w:rPr>
        <w:t>(there</w:t>
      </w:r>
      <w:r>
        <w:rPr>
          <w:spacing w:val="-18"/>
          <w:sz w:val="38"/>
        </w:rPr>
        <w:t> </w:t>
      </w:r>
      <w:r>
        <w:rPr>
          <w:sz w:val="38"/>
        </w:rPr>
        <w:t>is</w:t>
      </w:r>
      <w:r>
        <w:rPr>
          <w:spacing w:val="-17"/>
          <w:sz w:val="38"/>
        </w:rPr>
        <w:t> </w:t>
      </w:r>
      <w:r>
        <w:rPr>
          <w:sz w:val="38"/>
        </w:rPr>
        <w:t>no</w:t>
      </w:r>
      <w:r>
        <w:rPr>
          <w:spacing w:val="-18"/>
          <w:sz w:val="38"/>
        </w:rPr>
        <w:t> </w:t>
      </w:r>
      <w:r>
        <w:rPr>
          <w:sz w:val="38"/>
        </w:rPr>
        <w:t>evidence</w:t>
      </w:r>
      <w:r>
        <w:rPr>
          <w:spacing w:val="-18"/>
          <w:sz w:val="38"/>
        </w:rPr>
        <w:t> </w:t>
      </w:r>
      <w:r>
        <w:rPr>
          <w:sz w:val="38"/>
        </w:rPr>
        <w:t>yet</w:t>
      </w:r>
      <w:r>
        <w:rPr>
          <w:spacing w:val="-18"/>
          <w:sz w:val="38"/>
        </w:rPr>
        <w:t> </w:t>
      </w:r>
      <w:r>
        <w:rPr>
          <w:sz w:val="38"/>
        </w:rPr>
        <w:t>for</w:t>
      </w:r>
      <w:r>
        <w:rPr>
          <w:spacing w:val="-18"/>
          <w:sz w:val="38"/>
        </w:rPr>
        <w:t> </w:t>
      </w:r>
      <w:r>
        <w:rPr>
          <w:sz w:val="38"/>
        </w:rPr>
        <w:t>the</w:t>
      </w:r>
      <w:r>
        <w:rPr>
          <w:spacing w:val="-17"/>
          <w:sz w:val="38"/>
        </w:rPr>
        <w:t> </w:t>
      </w:r>
      <w:r>
        <w:rPr>
          <w:sz w:val="38"/>
        </w:rPr>
        <w:t>actual</w:t>
      </w:r>
      <w:r>
        <w:rPr>
          <w:spacing w:val="-20"/>
          <w:sz w:val="38"/>
        </w:rPr>
        <w:t> </w:t>
      </w:r>
      <w:r>
        <w:rPr>
          <w:sz w:val="38"/>
        </w:rPr>
        <w:t>prevention of cancer)</w:t>
      </w:r>
    </w:p>
    <w:p>
      <w:pPr>
        <w:pStyle w:val="ListParagraph"/>
        <w:numPr>
          <w:ilvl w:val="0"/>
          <w:numId w:val="46"/>
        </w:numPr>
        <w:tabs>
          <w:tab w:pos="1197" w:val="left" w:leader="none"/>
          <w:tab w:pos="1198" w:val="left" w:leader="none"/>
        </w:tabs>
        <w:spacing w:line="240" w:lineRule="auto" w:before="251" w:after="0"/>
        <w:ind w:left="1197" w:right="0" w:hanging="360"/>
        <w:jc w:val="left"/>
        <w:rPr>
          <w:sz w:val="38"/>
        </w:rPr>
      </w:pPr>
      <w:r>
        <w:rPr>
          <w:sz w:val="38"/>
        </w:rPr>
        <w:t>stimulation of the immune</w:t>
      </w:r>
      <w:r>
        <w:rPr>
          <w:spacing w:val="3"/>
          <w:sz w:val="38"/>
        </w:rPr>
        <w:t> </w:t>
      </w:r>
      <w:r>
        <w:rPr>
          <w:sz w:val="38"/>
        </w:rPr>
        <w:t>system</w:t>
      </w:r>
    </w:p>
    <w:p>
      <w:pPr>
        <w:pStyle w:val="Heading1"/>
        <w:spacing w:line="261" w:lineRule="auto" w:before="286"/>
        <w:ind w:right="142"/>
        <w:jc w:val="both"/>
      </w:pPr>
      <w:r>
        <w:rPr>
          <w:w w:val="95"/>
        </w:rPr>
        <w:t>Example</w:t>
      </w:r>
      <w:r>
        <w:rPr>
          <w:spacing w:val="-20"/>
          <w:w w:val="95"/>
        </w:rPr>
        <w:t> </w:t>
      </w:r>
      <w:r>
        <w:rPr>
          <w:w w:val="95"/>
        </w:rPr>
        <w:t>4):</w:t>
      </w:r>
      <w:r>
        <w:rPr>
          <w:spacing w:val="-19"/>
          <w:w w:val="95"/>
        </w:rPr>
        <w:t> </w:t>
      </w:r>
      <w:r>
        <w:rPr>
          <w:w w:val="95"/>
        </w:rPr>
        <w:t>polysaccharides</w:t>
      </w:r>
      <w:r>
        <w:rPr>
          <w:spacing w:val="-19"/>
          <w:w w:val="95"/>
        </w:rPr>
        <w:t> </w:t>
      </w:r>
      <w:r>
        <w:rPr>
          <w:w w:val="95"/>
        </w:rPr>
        <w:t>as</w:t>
      </w:r>
      <w:r>
        <w:rPr>
          <w:spacing w:val="-18"/>
          <w:w w:val="95"/>
        </w:rPr>
        <w:t> </w:t>
      </w:r>
      <w:r>
        <w:rPr>
          <w:w w:val="95"/>
        </w:rPr>
        <w:t>immunostimulants</w:t>
      </w:r>
      <w:r>
        <w:rPr>
          <w:spacing w:val="-19"/>
          <w:w w:val="95"/>
        </w:rPr>
        <w:t> </w:t>
      </w:r>
      <w:r>
        <w:rPr>
          <w:w w:val="95"/>
        </w:rPr>
        <w:t>and</w:t>
      </w:r>
      <w:r>
        <w:rPr>
          <w:spacing w:val="-20"/>
          <w:w w:val="95"/>
        </w:rPr>
        <w:t> </w:t>
      </w:r>
      <w:r>
        <w:rPr>
          <w:w w:val="95"/>
        </w:rPr>
        <w:t>antibiotic</w:t>
      </w:r>
      <w:r>
        <w:rPr>
          <w:spacing w:val="-19"/>
          <w:w w:val="95"/>
        </w:rPr>
        <w:t> </w:t>
      </w:r>
      <w:r>
        <w:rPr>
          <w:w w:val="95"/>
        </w:rPr>
        <w:t>agents </w:t>
      </w:r>
      <w:r>
        <w:rPr/>
        <w:t>in kombucha</w:t>
      </w:r>
      <w:r>
        <w:rPr>
          <w:spacing w:val="-14"/>
        </w:rPr>
        <w:t> </w:t>
      </w:r>
      <w:r>
        <w:rPr/>
        <w:t>tea</w:t>
      </w:r>
    </w:p>
    <w:p>
      <w:pPr>
        <w:spacing w:after="0" w:line="261" w:lineRule="auto"/>
        <w:jc w:val="both"/>
        <w:sectPr>
          <w:pgSz w:w="14270" w:h="16850"/>
          <w:pgMar w:header="0" w:footer="1891" w:top="1600" w:bottom="2080" w:left="800" w:right="1280"/>
        </w:sectPr>
      </w:pPr>
    </w:p>
    <w:p>
      <w:pPr>
        <w:pStyle w:val="BodyText"/>
        <w:spacing w:line="276" w:lineRule="auto" w:before="181"/>
        <w:ind w:left="477" w:right="132"/>
        <w:jc w:val="both"/>
      </w:pPr>
      <w:r>
        <w:rPr/>
        <w:t>As with the active substances and effect of Kombucha, the antibiotic effect is well studied and unlike conventional antibiotics (such as penicillin), are com- pletely free of side effects and suitable for continuous use. However, this anti- bacterial</w:t>
      </w:r>
      <w:r>
        <w:rPr>
          <w:spacing w:val="-23"/>
        </w:rPr>
        <w:t> </w:t>
      </w:r>
      <w:r>
        <w:rPr/>
        <w:t>effect,</w:t>
      </w:r>
      <w:r>
        <w:rPr>
          <w:spacing w:val="-23"/>
        </w:rPr>
        <w:t> </w:t>
      </w:r>
      <w:r>
        <w:rPr/>
        <w:t>which</w:t>
      </w:r>
      <w:r>
        <w:rPr>
          <w:spacing w:val="-20"/>
        </w:rPr>
        <w:t> </w:t>
      </w:r>
      <w:r>
        <w:rPr/>
        <w:t>sets</w:t>
      </w:r>
      <w:r>
        <w:rPr>
          <w:spacing w:val="-22"/>
        </w:rPr>
        <w:t> </w:t>
      </w:r>
      <w:r>
        <w:rPr/>
        <w:t>in</w:t>
      </w:r>
      <w:r>
        <w:rPr>
          <w:spacing w:val="-23"/>
        </w:rPr>
        <w:t> </w:t>
      </w:r>
      <w:r>
        <w:rPr/>
        <w:t>every</w:t>
      </w:r>
      <w:r>
        <w:rPr>
          <w:spacing w:val="-21"/>
        </w:rPr>
        <w:t> </w:t>
      </w:r>
      <w:r>
        <w:rPr/>
        <w:t>day,</w:t>
      </w:r>
      <w:r>
        <w:rPr>
          <w:spacing w:val="-23"/>
        </w:rPr>
        <w:t> </w:t>
      </w:r>
      <w:r>
        <w:rPr/>
        <w:t>if</w:t>
      </w:r>
      <w:r>
        <w:rPr>
          <w:spacing w:val="-22"/>
        </w:rPr>
        <w:t> </w:t>
      </w:r>
      <w:r>
        <w:rPr/>
        <w:t>you</w:t>
      </w:r>
      <w:r>
        <w:rPr>
          <w:spacing w:val="-22"/>
        </w:rPr>
        <w:t> </w:t>
      </w:r>
      <w:r>
        <w:rPr/>
        <w:t>consume</w:t>
      </w:r>
      <w:r>
        <w:rPr>
          <w:spacing w:val="-21"/>
        </w:rPr>
        <w:t> </w:t>
      </w:r>
      <w:r>
        <w:rPr/>
        <w:t>the</w:t>
      </w:r>
      <w:r>
        <w:rPr>
          <w:spacing w:val="-23"/>
        </w:rPr>
        <w:t> </w:t>
      </w:r>
      <w:r>
        <w:rPr/>
        <w:t>Kombucha</w:t>
      </w:r>
      <w:r>
        <w:rPr>
          <w:spacing w:val="-22"/>
        </w:rPr>
        <w:t> </w:t>
      </w:r>
      <w:r>
        <w:rPr/>
        <w:t>tea</w:t>
      </w:r>
      <w:r>
        <w:rPr>
          <w:spacing w:val="-22"/>
        </w:rPr>
        <w:t> </w:t>
      </w:r>
      <w:r>
        <w:rPr/>
        <w:t>daily, keeps us free of uninvited bacteria! Considering how many diseases are caused by bacteria, this feature of kombucha tea is not recognised</w:t>
      </w:r>
      <w:r>
        <w:rPr>
          <w:spacing w:val="-11"/>
        </w:rPr>
        <w:t> </w:t>
      </w:r>
      <w:r>
        <w:rPr/>
        <w:t>enough!</w:t>
      </w:r>
    </w:p>
    <w:p>
      <w:pPr>
        <w:pStyle w:val="BodyText"/>
        <w:spacing w:line="276" w:lineRule="auto" w:before="241"/>
        <w:ind w:left="477" w:right="136"/>
        <w:jc w:val="both"/>
        <w:rPr>
          <w:sz w:val="25"/>
        </w:rPr>
      </w:pPr>
      <w:r>
        <w:rPr/>
        <w:t>However, kombucha tea can do a lot more: In his book ‘Kombucha – Myth, Truth, Fascination’, Günther W. Frank mentions that, according to the pre- sumption of Dr. Schuitemaker, the polysaccharides contained in kombucha have the remarkable ability to alert the immune system to bacteria, viruses, and yeasts so it can respond accordingly!</w:t>
      </w:r>
      <w:r>
        <w:rPr>
          <w:position w:val="9"/>
          <w:sz w:val="25"/>
        </w:rPr>
        <w:t>435</w:t>
      </w:r>
    </w:p>
    <w:p>
      <w:pPr>
        <w:pStyle w:val="Heading2"/>
        <w:spacing w:before="239"/>
      </w:pPr>
      <w:r>
        <w:rPr/>
        <w:t>Conclusion</w:t>
      </w:r>
    </w:p>
    <w:p>
      <w:pPr>
        <w:pStyle w:val="BodyText"/>
        <w:spacing w:line="276" w:lineRule="auto" w:before="305"/>
        <w:ind w:left="477" w:right="132"/>
        <w:jc w:val="both"/>
      </w:pPr>
      <w:r>
        <w:rPr/>
        <w:t>Thus, there is already an impressive spectrum of diseases and conditions that the</w:t>
      </w:r>
      <w:r>
        <w:rPr>
          <w:spacing w:val="-14"/>
        </w:rPr>
        <w:t> </w:t>
      </w:r>
      <w:r>
        <w:rPr/>
        <w:t>four</w:t>
      </w:r>
      <w:r>
        <w:rPr>
          <w:spacing w:val="-15"/>
        </w:rPr>
        <w:t> </w:t>
      </w:r>
      <w:r>
        <w:rPr/>
        <w:t>ingredients</w:t>
      </w:r>
      <w:r>
        <w:rPr>
          <w:spacing w:val="-13"/>
        </w:rPr>
        <w:t> </w:t>
      </w:r>
      <w:r>
        <w:rPr/>
        <w:t>mentioned</w:t>
      </w:r>
      <w:r>
        <w:rPr>
          <w:spacing w:val="-15"/>
        </w:rPr>
        <w:t> </w:t>
      </w:r>
      <w:r>
        <w:rPr/>
        <w:t>(glucuronic</w:t>
      </w:r>
      <w:r>
        <w:rPr>
          <w:spacing w:val="-14"/>
        </w:rPr>
        <w:t> </w:t>
      </w:r>
      <w:r>
        <w:rPr/>
        <w:t>acid,</w:t>
      </w:r>
      <w:r>
        <w:rPr>
          <w:spacing w:val="-15"/>
        </w:rPr>
        <w:t> </w:t>
      </w:r>
      <w:r>
        <w:rPr/>
        <w:t>dextrorotatory</w:t>
      </w:r>
      <w:r>
        <w:rPr>
          <w:spacing w:val="-13"/>
        </w:rPr>
        <w:t> </w:t>
      </w:r>
      <w:r>
        <w:rPr/>
        <w:t>lactic</w:t>
      </w:r>
      <w:r>
        <w:rPr>
          <w:spacing w:val="-14"/>
        </w:rPr>
        <w:t> </w:t>
      </w:r>
      <w:r>
        <w:rPr/>
        <w:t>acid,</w:t>
      </w:r>
      <w:r>
        <w:rPr>
          <w:spacing w:val="-14"/>
        </w:rPr>
        <w:t> </w:t>
      </w:r>
      <w:r>
        <w:rPr/>
        <w:t>pro- biotic bacterial strains and immune stimulants) can benefit. The variety of the other listed vital substances, as incredible as it may seem, extends this potential many</w:t>
      </w:r>
      <w:r>
        <w:rPr>
          <w:spacing w:val="-14"/>
        </w:rPr>
        <w:t> </w:t>
      </w:r>
      <w:r>
        <w:rPr/>
        <w:t>times</w:t>
      </w:r>
      <w:r>
        <w:rPr>
          <w:spacing w:val="-14"/>
        </w:rPr>
        <w:t> </w:t>
      </w:r>
      <w:r>
        <w:rPr/>
        <w:t>over,</w:t>
      </w:r>
      <w:r>
        <w:rPr>
          <w:spacing w:val="-14"/>
        </w:rPr>
        <w:t> </w:t>
      </w:r>
      <w:r>
        <w:rPr/>
        <w:t>and</w:t>
      </w:r>
      <w:r>
        <w:rPr>
          <w:spacing w:val="-15"/>
        </w:rPr>
        <w:t> </w:t>
      </w:r>
      <w:r>
        <w:rPr/>
        <w:t>at</w:t>
      </w:r>
      <w:r>
        <w:rPr>
          <w:spacing w:val="-17"/>
        </w:rPr>
        <w:t> </w:t>
      </w:r>
      <w:r>
        <w:rPr/>
        <w:t>the</w:t>
      </w:r>
      <w:r>
        <w:rPr>
          <w:spacing w:val="-15"/>
        </w:rPr>
        <w:t> </w:t>
      </w:r>
      <w:r>
        <w:rPr/>
        <w:t>same</w:t>
      </w:r>
      <w:r>
        <w:rPr>
          <w:spacing w:val="-13"/>
        </w:rPr>
        <w:t> </w:t>
      </w:r>
      <w:r>
        <w:rPr/>
        <w:t>time</w:t>
      </w:r>
      <w:r>
        <w:rPr>
          <w:spacing w:val="-15"/>
        </w:rPr>
        <w:t> </w:t>
      </w:r>
      <w:r>
        <w:rPr/>
        <w:t>synergistically</w:t>
      </w:r>
      <w:r>
        <w:rPr>
          <w:spacing w:val="-14"/>
        </w:rPr>
        <w:t> </w:t>
      </w:r>
      <w:r>
        <w:rPr/>
        <w:t>enhances</w:t>
      </w:r>
      <w:r>
        <w:rPr>
          <w:spacing w:val="-13"/>
        </w:rPr>
        <w:t> </w:t>
      </w:r>
      <w:r>
        <w:rPr/>
        <w:t>the</w:t>
      </w:r>
      <w:r>
        <w:rPr>
          <w:spacing w:val="-15"/>
        </w:rPr>
        <w:t> </w:t>
      </w:r>
      <w:r>
        <w:rPr/>
        <w:t>effect</w:t>
      </w:r>
      <w:r>
        <w:rPr>
          <w:spacing w:val="-14"/>
        </w:rPr>
        <w:t> </w:t>
      </w:r>
      <w:r>
        <w:rPr/>
        <w:t>on</w:t>
      </w:r>
      <w:r>
        <w:rPr>
          <w:spacing w:val="-14"/>
        </w:rPr>
        <w:t> </w:t>
      </w:r>
      <w:r>
        <w:rPr/>
        <w:t>the symptoms and diseases</w:t>
      </w:r>
      <w:r>
        <w:rPr>
          <w:spacing w:val="2"/>
        </w:rPr>
        <w:t> </w:t>
      </w:r>
      <w:r>
        <w:rPr/>
        <w:t>mentioned.</w:t>
      </w:r>
    </w:p>
    <w:p>
      <w:pPr>
        <w:pStyle w:val="BodyText"/>
        <w:rPr>
          <w:sz w:val="20"/>
        </w:rPr>
      </w:pPr>
    </w:p>
    <w:p>
      <w:pPr>
        <w:pStyle w:val="BodyText"/>
        <w:rPr>
          <w:sz w:val="20"/>
        </w:rPr>
      </w:pPr>
    </w:p>
    <w:p>
      <w:pPr>
        <w:pStyle w:val="BodyText"/>
        <w:spacing w:before="4"/>
        <w:rPr>
          <w:sz w:val="17"/>
        </w:rPr>
      </w:pPr>
      <w:r>
        <w:rPr/>
        <w:pict>
          <v:line style="position:absolute;mso-position-horizontal-relative:page;mso-position-vertical-relative:paragraph;z-index:5360;mso-wrap-distance-left:0;mso-wrap-distance-right:0" from="63.863998pt,12.133765pt" to="207.883998pt,12.13376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435 </w:t>
      </w:r>
      <w:r>
        <w:rPr>
          <w:sz w:val="20"/>
        </w:rPr>
        <w:t>Schuitemaker (Baarn, Netherlands): Immunkrankheiten (‘Immune Diseases’), No. 1, 1988, p. 1–3</w:t>
      </w:r>
    </w:p>
    <w:p>
      <w:pPr>
        <w:spacing w:after="0"/>
        <w:jc w:val="left"/>
        <w:rPr>
          <w:sz w:val="20"/>
        </w:rPr>
        <w:sectPr>
          <w:pgSz w:w="14270" w:h="16850"/>
          <w:pgMar w:header="0" w:footer="1891" w:top="1600" w:bottom="2080" w:left="800" w:right="1280"/>
        </w:sectPr>
      </w:pPr>
    </w:p>
    <w:p>
      <w:pPr>
        <w:pStyle w:val="BodyText"/>
        <w:spacing w:before="181"/>
        <w:ind w:left="477"/>
        <w:jc w:val="both"/>
      </w:pPr>
      <w:r>
        <w:rPr/>
        <w:t>In summary it can be said that the effect of kombucha tea is mainly due to its</w:t>
      </w:r>
    </w:p>
    <w:p>
      <w:pPr>
        <w:pStyle w:val="ListParagraph"/>
        <w:numPr>
          <w:ilvl w:val="0"/>
          <w:numId w:val="44"/>
        </w:numPr>
        <w:tabs>
          <w:tab w:pos="1198" w:val="left" w:leader="none"/>
        </w:tabs>
        <w:spacing w:line="240" w:lineRule="auto" w:before="186" w:after="0"/>
        <w:ind w:left="1197" w:right="0" w:hanging="720"/>
        <w:jc w:val="both"/>
        <w:rPr>
          <w:sz w:val="38"/>
        </w:rPr>
      </w:pPr>
      <w:r>
        <w:rPr>
          <w:sz w:val="38"/>
        </w:rPr>
        <w:t>detoxifying,</w:t>
      </w:r>
    </w:p>
    <w:p>
      <w:pPr>
        <w:pStyle w:val="ListParagraph"/>
        <w:numPr>
          <w:ilvl w:val="0"/>
          <w:numId w:val="44"/>
        </w:numPr>
        <w:tabs>
          <w:tab w:pos="1198" w:val="left" w:leader="none"/>
        </w:tabs>
        <w:spacing w:line="240" w:lineRule="auto" w:before="184" w:after="0"/>
        <w:ind w:left="1197" w:right="0" w:hanging="720"/>
        <w:jc w:val="both"/>
        <w:rPr>
          <w:sz w:val="38"/>
        </w:rPr>
      </w:pPr>
      <w:r>
        <w:rPr>
          <w:sz w:val="38"/>
        </w:rPr>
        <w:t>antibacterial,</w:t>
      </w:r>
    </w:p>
    <w:p>
      <w:pPr>
        <w:pStyle w:val="ListParagraph"/>
        <w:numPr>
          <w:ilvl w:val="0"/>
          <w:numId w:val="44"/>
        </w:numPr>
        <w:tabs>
          <w:tab w:pos="1198" w:val="left" w:leader="none"/>
        </w:tabs>
        <w:spacing w:line="240" w:lineRule="auto" w:before="184" w:after="0"/>
        <w:ind w:left="1197" w:right="0" w:hanging="720"/>
        <w:jc w:val="both"/>
        <w:rPr>
          <w:sz w:val="38"/>
        </w:rPr>
      </w:pPr>
      <w:r>
        <w:rPr>
          <w:sz w:val="38"/>
        </w:rPr>
        <w:t>cell</w:t>
      </w:r>
      <w:r>
        <w:rPr>
          <w:spacing w:val="-1"/>
          <w:sz w:val="38"/>
        </w:rPr>
        <w:t> </w:t>
      </w:r>
      <w:r>
        <w:rPr>
          <w:sz w:val="38"/>
        </w:rPr>
        <w:t>strengthening,</w:t>
      </w:r>
    </w:p>
    <w:p>
      <w:pPr>
        <w:pStyle w:val="ListParagraph"/>
        <w:numPr>
          <w:ilvl w:val="0"/>
          <w:numId w:val="44"/>
        </w:numPr>
        <w:tabs>
          <w:tab w:pos="1198" w:val="left" w:leader="none"/>
        </w:tabs>
        <w:spacing w:line="240" w:lineRule="auto" w:before="186" w:after="0"/>
        <w:ind w:left="1197" w:right="0" w:hanging="720"/>
        <w:jc w:val="both"/>
        <w:rPr>
          <w:sz w:val="38"/>
        </w:rPr>
      </w:pPr>
      <w:r>
        <w:rPr>
          <w:sz w:val="38"/>
        </w:rPr>
        <w:t>immune system-boosting,</w:t>
      </w:r>
    </w:p>
    <w:p>
      <w:pPr>
        <w:pStyle w:val="ListParagraph"/>
        <w:numPr>
          <w:ilvl w:val="0"/>
          <w:numId w:val="44"/>
        </w:numPr>
        <w:tabs>
          <w:tab w:pos="1198" w:val="left" w:leader="none"/>
        </w:tabs>
        <w:spacing w:line="240" w:lineRule="auto" w:before="184" w:after="0"/>
        <w:ind w:left="1197" w:right="0" w:hanging="720"/>
        <w:jc w:val="both"/>
        <w:rPr>
          <w:sz w:val="38"/>
        </w:rPr>
      </w:pPr>
      <w:r>
        <w:rPr>
          <w:sz w:val="38"/>
        </w:rPr>
        <w:t>antiviral,</w:t>
      </w:r>
    </w:p>
    <w:p>
      <w:pPr>
        <w:pStyle w:val="ListParagraph"/>
        <w:numPr>
          <w:ilvl w:val="0"/>
          <w:numId w:val="44"/>
        </w:numPr>
        <w:tabs>
          <w:tab w:pos="1198" w:val="left" w:leader="none"/>
        </w:tabs>
        <w:spacing w:line="240" w:lineRule="auto" w:before="184" w:after="0"/>
        <w:ind w:left="1197" w:right="0" w:hanging="720"/>
        <w:jc w:val="both"/>
        <w:rPr>
          <w:sz w:val="38"/>
        </w:rPr>
      </w:pPr>
      <w:r>
        <w:rPr>
          <w:sz w:val="38"/>
        </w:rPr>
        <w:t>deacidifying and</w:t>
      </w:r>
    </w:p>
    <w:p>
      <w:pPr>
        <w:pStyle w:val="ListParagraph"/>
        <w:numPr>
          <w:ilvl w:val="0"/>
          <w:numId w:val="44"/>
        </w:numPr>
        <w:tabs>
          <w:tab w:pos="1198" w:val="left" w:leader="none"/>
        </w:tabs>
        <w:spacing w:line="240" w:lineRule="auto" w:before="183" w:after="0"/>
        <w:ind w:left="1197" w:right="0" w:hanging="720"/>
        <w:jc w:val="both"/>
        <w:rPr>
          <w:sz w:val="38"/>
        </w:rPr>
      </w:pPr>
      <w:r>
        <w:rPr>
          <w:sz w:val="38"/>
        </w:rPr>
        <w:t>detoxifying properties.</w:t>
      </w:r>
    </w:p>
    <w:p>
      <w:pPr>
        <w:pStyle w:val="BodyText"/>
        <w:spacing w:line="276" w:lineRule="auto" w:before="302"/>
        <w:ind w:left="477" w:right="135"/>
        <w:jc w:val="both"/>
      </w:pPr>
      <w:r>
        <w:rPr/>
        <w:t>Nevertheless, kombucha should never be considered an all-round remedy. Ra- ther,</w:t>
      </w:r>
      <w:r>
        <w:rPr>
          <w:spacing w:val="-8"/>
        </w:rPr>
        <w:t> </w:t>
      </w:r>
      <w:r>
        <w:rPr/>
        <w:t>its</w:t>
      </w:r>
      <w:r>
        <w:rPr>
          <w:spacing w:val="-9"/>
        </w:rPr>
        <w:t> </w:t>
      </w:r>
      <w:r>
        <w:rPr/>
        <w:t>strengths</w:t>
      </w:r>
      <w:r>
        <w:rPr>
          <w:spacing w:val="-9"/>
        </w:rPr>
        <w:t> </w:t>
      </w:r>
      <w:r>
        <w:rPr/>
        <w:t>lie</w:t>
      </w:r>
      <w:r>
        <w:rPr>
          <w:spacing w:val="-9"/>
        </w:rPr>
        <w:t> </w:t>
      </w:r>
      <w:r>
        <w:rPr/>
        <w:t>in</w:t>
      </w:r>
      <w:r>
        <w:rPr>
          <w:spacing w:val="-8"/>
        </w:rPr>
        <w:t> </w:t>
      </w:r>
      <w:r>
        <w:rPr/>
        <w:t>regeneration</w:t>
      </w:r>
      <w:r>
        <w:rPr>
          <w:spacing w:val="-9"/>
        </w:rPr>
        <w:t> </w:t>
      </w:r>
      <w:r>
        <w:rPr/>
        <w:t>and</w:t>
      </w:r>
      <w:r>
        <w:rPr>
          <w:spacing w:val="-8"/>
        </w:rPr>
        <w:t> </w:t>
      </w:r>
      <w:r>
        <w:rPr/>
        <w:t>compensation,</w:t>
      </w:r>
      <w:r>
        <w:rPr>
          <w:spacing w:val="-7"/>
        </w:rPr>
        <w:t> </w:t>
      </w:r>
      <w:r>
        <w:rPr/>
        <w:t>which</w:t>
      </w:r>
      <w:r>
        <w:rPr>
          <w:spacing w:val="-8"/>
        </w:rPr>
        <w:t> </w:t>
      </w:r>
      <w:r>
        <w:rPr/>
        <w:t>is</w:t>
      </w:r>
      <w:r>
        <w:rPr>
          <w:spacing w:val="-8"/>
        </w:rPr>
        <w:t> </w:t>
      </w:r>
      <w:r>
        <w:rPr/>
        <w:t>why</w:t>
      </w:r>
      <w:r>
        <w:rPr>
          <w:spacing w:val="-8"/>
        </w:rPr>
        <w:t> </w:t>
      </w:r>
      <w:r>
        <w:rPr/>
        <w:t>it</w:t>
      </w:r>
      <w:r>
        <w:rPr>
          <w:spacing w:val="-11"/>
        </w:rPr>
        <w:t> </w:t>
      </w:r>
      <w:r>
        <w:rPr/>
        <w:t>primar- ily promotes the self-healing powers of the body. However, these abilities should not be abused to compensate for everyday sins (bad nutrition and be- haviours). But there are also concrete studies and statements from physicians on</w:t>
      </w:r>
      <w:r>
        <w:rPr>
          <w:spacing w:val="-16"/>
        </w:rPr>
        <w:t> </w:t>
      </w:r>
      <w:r>
        <w:rPr/>
        <w:t>the</w:t>
      </w:r>
      <w:r>
        <w:rPr>
          <w:spacing w:val="-18"/>
        </w:rPr>
        <w:t> </w:t>
      </w:r>
      <w:r>
        <w:rPr/>
        <w:t>alleviation</w:t>
      </w:r>
      <w:r>
        <w:rPr>
          <w:spacing w:val="-16"/>
        </w:rPr>
        <w:t> </w:t>
      </w:r>
      <w:r>
        <w:rPr/>
        <w:t>of</w:t>
      </w:r>
      <w:r>
        <w:rPr>
          <w:spacing w:val="-19"/>
        </w:rPr>
        <w:t> </w:t>
      </w:r>
      <w:r>
        <w:rPr/>
        <w:t>diseases</w:t>
      </w:r>
      <w:r>
        <w:rPr>
          <w:spacing w:val="-18"/>
        </w:rPr>
        <w:t> </w:t>
      </w:r>
      <w:r>
        <w:rPr/>
        <w:t>with</w:t>
      </w:r>
      <w:r>
        <w:rPr>
          <w:spacing w:val="-16"/>
        </w:rPr>
        <w:t> </w:t>
      </w:r>
      <w:r>
        <w:rPr/>
        <w:t>kombucha.</w:t>
      </w:r>
      <w:r>
        <w:rPr>
          <w:spacing w:val="-19"/>
        </w:rPr>
        <w:t> </w:t>
      </w:r>
      <w:r>
        <w:rPr/>
        <w:t>A</w:t>
      </w:r>
      <w:r>
        <w:rPr>
          <w:spacing w:val="-19"/>
        </w:rPr>
        <w:t> </w:t>
      </w:r>
      <w:r>
        <w:rPr/>
        <w:t>summary</w:t>
      </w:r>
      <w:r>
        <w:rPr>
          <w:spacing w:val="-16"/>
        </w:rPr>
        <w:t> </w:t>
      </w:r>
      <w:r>
        <w:rPr/>
        <w:t>of</w:t>
      </w:r>
      <w:r>
        <w:rPr>
          <w:spacing w:val="-16"/>
        </w:rPr>
        <w:t> </w:t>
      </w:r>
      <w:r>
        <w:rPr/>
        <w:t>these</w:t>
      </w:r>
      <w:r>
        <w:rPr>
          <w:spacing w:val="-16"/>
        </w:rPr>
        <w:t> </w:t>
      </w:r>
      <w:r>
        <w:rPr/>
        <w:t>can</w:t>
      </w:r>
      <w:r>
        <w:rPr>
          <w:spacing w:val="-17"/>
        </w:rPr>
        <w:t> </w:t>
      </w:r>
      <w:r>
        <w:rPr/>
        <w:t>be</w:t>
      </w:r>
      <w:r>
        <w:rPr>
          <w:spacing w:val="-18"/>
        </w:rPr>
        <w:t> </w:t>
      </w:r>
      <w:r>
        <w:rPr/>
        <w:t>found in the next section ‘Effect according to physicians and therapists’.</w:t>
      </w:r>
    </w:p>
    <w:p>
      <w:pPr>
        <w:pStyle w:val="Heading2"/>
        <w:spacing w:before="241"/>
      </w:pPr>
      <w:r>
        <w:rPr/>
        <w:t>Effect of kombucha according to doctor and therapists statements</w:t>
      </w:r>
    </w:p>
    <w:p>
      <w:pPr>
        <w:pStyle w:val="BodyText"/>
        <w:spacing w:line="276" w:lineRule="auto" w:before="304"/>
        <w:ind w:left="477" w:right="135"/>
        <w:jc w:val="both"/>
      </w:pPr>
      <w:r>
        <w:rPr/>
        <w:t>The</w:t>
      </w:r>
      <w:r>
        <w:rPr>
          <w:spacing w:val="-14"/>
        </w:rPr>
        <w:t> </w:t>
      </w:r>
      <w:r>
        <w:rPr/>
        <w:t>kombucha</w:t>
      </w:r>
      <w:r>
        <w:rPr>
          <w:spacing w:val="-15"/>
        </w:rPr>
        <w:t> </w:t>
      </w:r>
      <w:r>
        <w:rPr/>
        <w:t>tea</w:t>
      </w:r>
      <w:r>
        <w:rPr>
          <w:spacing w:val="-15"/>
        </w:rPr>
        <w:t> </w:t>
      </w:r>
      <w:r>
        <w:rPr/>
        <w:t>fungus</w:t>
      </w:r>
      <w:r>
        <w:rPr>
          <w:spacing w:val="-14"/>
        </w:rPr>
        <w:t> </w:t>
      </w:r>
      <w:r>
        <w:rPr/>
        <w:t>is</w:t>
      </w:r>
      <w:r>
        <w:rPr>
          <w:spacing w:val="-14"/>
        </w:rPr>
        <w:t> </w:t>
      </w:r>
      <w:r>
        <w:rPr/>
        <w:t>enjoying</w:t>
      </w:r>
      <w:r>
        <w:rPr>
          <w:spacing w:val="-14"/>
        </w:rPr>
        <w:t> </w:t>
      </w:r>
      <w:r>
        <w:rPr/>
        <w:t>a</w:t>
      </w:r>
      <w:r>
        <w:rPr>
          <w:spacing w:val="-16"/>
        </w:rPr>
        <w:t> </w:t>
      </w:r>
      <w:r>
        <w:rPr/>
        <w:t>veritable</w:t>
      </w:r>
      <w:r>
        <w:rPr>
          <w:spacing w:val="-14"/>
        </w:rPr>
        <w:t> </w:t>
      </w:r>
      <w:r>
        <w:rPr/>
        <w:t>renaissance;</w:t>
      </w:r>
      <w:r>
        <w:rPr>
          <w:spacing w:val="-13"/>
        </w:rPr>
        <w:t> </w:t>
      </w:r>
      <w:r>
        <w:rPr/>
        <w:t>a</w:t>
      </w:r>
      <w:r>
        <w:rPr>
          <w:spacing w:val="-15"/>
        </w:rPr>
        <w:t> </w:t>
      </w:r>
      <w:r>
        <w:rPr/>
        <w:t>large</w:t>
      </w:r>
      <w:r>
        <w:rPr>
          <w:spacing w:val="-14"/>
        </w:rPr>
        <w:t> </w:t>
      </w:r>
      <w:r>
        <w:rPr/>
        <w:t>proportion of the records of doctors and therapists come from the first half of the last century. Most of the quotes below come from the book of Kombucha expert Günther W. Frank ‘Kombucha – Mythos, Wahrheit, Faszination’</w:t>
      </w:r>
      <w:r>
        <w:rPr>
          <w:spacing w:val="43"/>
        </w:rPr>
        <w:t> </w:t>
      </w:r>
      <w:r>
        <w:rPr/>
        <w:t>(‘Kombucha</w:t>
      </w:r>
    </w:p>
    <w:p>
      <w:pPr>
        <w:spacing w:after="0" w:line="276" w:lineRule="auto"/>
        <w:jc w:val="both"/>
        <w:sectPr>
          <w:pgSz w:w="14270" w:h="16850"/>
          <w:pgMar w:header="0" w:footer="1891" w:top="1600" w:bottom="2080" w:left="800" w:right="1280"/>
        </w:sectPr>
      </w:pPr>
    </w:p>
    <w:p>
      <w:pPr>
        <w:pStyle w:val="BodyText"/>
        <w:tabs>
          <w:tab w:pos="954" w:val="left" w:leader="none"/>
          <w:tab w:pos="2105" w:val="left" w:leader="none"/>
          <w:tab w:pos="3326" w:val="left" w:leader="none"/>
          <w:tab w:pos="5577" w:val="left" w:leader="none"/>
          <w:tab w:pos="6752" w:val="left" w:leader="none"/>
          <w:tab w:pos="7545" w:val="left" w:leader="none"/>
          <w:tab w:pos="8184" w:val="left" w:leader="none"/>
          <w:tab w:pos="9617" w:val="left" w:leader="none"/>
          <w:tab w:pos="10320" w:val="left" w:leader="none"/>
          <w:tab w:pos="10943" w:val="left" w:leader="none"/>
        </w:tabs>
        <w:spacing w:line="276" w:lineRule="auto" w:before="181"/>
        <w:ind w:left="477" w:right="135"/>
      </w:pPr>
      <w:r>
        <w:rPr/>
        <w:t>–</w:t>
        <w:tab/>
        <w:t>Myth,</w:t>
        <w:tab/>
        <w:t>Truth,</w:t>
        <w:tab/>
        <w:t>Fascination’)</w:t>
      </w:r>
      <w:r>
        <w:rPr>
          <w:i/>
        </w:rPr>
        <w:t>,</w:t>
        <w:tab/>
      </w:r>
      <w:r>
        <w:rPr/>
        <w:t>which</w:t>
        <w:tab/>
        <w:t>can</w:t>
        <w:tab/>
        <w:t>be</w:t>
        <w:tab/>
        <w:t>ordered</w:t>
        <w:tab/>
        <w:t>via</w:t>
        <w:tab/>
        <w:t>its</w:t>
        <w:tab/>
        <w:t>website</w:t>
      </w:r>
      <w:r>
        <w:rPr>
          <w:u w:val="single"/>
        </w:rPr>
        <w:t> </w:t>
      </w:r>
      <w:hyperlink r:id="rId183">
        <w:r>
          <w:rPr>
            <w:u w:val="single"/>
          </w:rPr>
          <w:t>www.kombu.de</w:t>
        </w:r>
        <w:r>
          <w:rPr/>
          <w:t>.</w:t>
        </w:r>
      </w:hyperlink>
    </w:p>
    <w:p>
      <w:pPr>
        <w:pStyle w:val="Heading1"/>
      </w:pPr>
      <w:r>
        <w:rPr/>
        <w:t>Amazing effect of kombucha on</w:t>
      </w:r>
      <w:r>
        <w:rPr>
          <w:spacing w:val="-58"/>
        </w:rPr>
        <w:t> </w:t>
      </w:r>
      <w:r>
        <w:rPr/>
        <w:t>rheumatism</w:t>
      </w:r>
    </w:p>
    <w:p>
      <w:pPr>
        <w:spacing w:line="276" w:lineRule="auto" w:before="299"/>
        <w:ind w:left="477" w:right="132" w:firstLine="0"/>
        <w:jc w:val="both"/>
        <w:rPr>
          <w:sz w:val="38"/>
        </w:rPr>
      </w:pPr>
      <w:r>
        <w:rPr>
          <w:i/>
          <w:sz w:val="38"/>
        </w:rPr>
        <w:t>‘When it comes to rheumatism, I have had success with kombucha worldwide. I have had </w:t>
      </w:r>
      <w:r>
        <w:rPr>
          <w:i/>
          <w:sz w:val="38"/>
        </w:rPr>
        <w:t>patients</w:t>
      </w:r>
      <w:r>
        <w:rPr>
          <w:i/>
          <w:spacing w:val="-7"/>
          <w:sz w:val="38"/>
        </w:rPr>
        <w:t> </w:t>
      </w:r>
      <w:r>
        <w:rPr>
          <w:i/>
          <w:sz w:val="38"/>
        </w:rPr>
        <w:t>who</w:t>
      </w:r>
      <w:r>
        <w:rPr>
          <w:i/>
          <w:spacing w:val="-7"/>
          <w:sz w:val="38"/>
        </w:rPr>
        <w:t> </w:t>
      </w:r>
      <w:r>
        <w:rPr>
          <w:i/>
          <w:sz w:val="38"/>
        </w:rPr>
        <w:t>could</w:t>
      </w:r>
      <w:r>
        <w:rPr>
          <w:i/>
          <w:spacing w:val="-6"/>
          <w:sz w:val="38"/>
        </w:rPr>
        <w:t> </w:t>
      </w:r>
      <w:r>
        <w:rPr>
          <w:i/>
          <w:sz w:val="38"/>
        </w:rPr>
        <w:t>not</w:t>
      </w:r>
      <w:r>
        <w:rPr>
          <w:i/>
          <w:spacing w:val="-6"/>
          <w:sz w:val="38"/>
        </w:rPr>
        <w:t> </w:t>
      </w:r>
      <w:r>
        <w:rPr>
          <w:i/>
          <w:sz w:val="38"/>
        </w:rPr>
        <w:t>get</w:t>
      </w:r>
      <w:r>
        <w:rPr>
          <w:i/>
          <w:spacing w:val="-6"/>
          <w:sz w:val="38"/>
        </w:rPr>
        <w:t> </w:t>
      </w:r>
      <w:r>
        <w:rPr>
          <w:i/>
          <w:sz w:val="38"/>
        </w:rPr>
        <w:t>out</w:t>
      </w:r>
      <w:r>
        <w:rPr>
          <w:i/>
          <w:spacing w:val="-6"/>
          <w:sz w:val="38"/>
        </w:rPr>
        <w:t> </w:t>
      </w:r>
      <w:r>
        <w:rPr>
          <w:i/>
          <w:sz w:val="38"/>
        </w:rPr>
        <w:t>of</w:t>
      </w:r>
      <w:r>
        <w:rPr>
          <w:i/>
          <w:spacing w:val="-6"/>
          <w:sz w:val="38"/>
        </w:rPr>
        <w:t> </w:t>
      </w:r>
      <w:r>
        <w:rPr>
          <w:i/>
          <w:sz w:val="38"/>
        </w:rPr>
        <w:t>bed</w:t>
      </w:r>
      <w:r>
        <w:rPr>
          <w:i/>
          <w:spacing w:val="-7"/>
          <w:sz w:val="38"/>
        </w:rPr>
        <w:t> </w:t>
      </w:r>
      <w:r>
        <w:rPr>
          <w:i/>
          <w:sz w:val="38"/>
        </w:rPr>
        <w:t>in</w:t>
      </w:r>
      <w:r>
        <w:rPr>
          <w:i/>
          <w:spacing w:val="-6"/>
          <w:sz w:val="38"/>
        </w:rPr>
        <w:t> </w:t>
      </w:r>
      <w:r>
        <w:rPr>
          <w:i/>
          <w:sz w:val="38"/>
        </w:rPr>
        <w:t>the</w:t>
      </w:r>
      <w:r>
        <w:rPr>
          <w:i/>
          <w:spacing w:val="-7"/>
          <w:sz w:val="38"/>
        </w:rPr>
        <w:t> </w:t>
      </w:r>
      <w:r>
        <w:rPr>
          <w:i/>
          <w:sz w:val="38"/>
        </w:rPr>
        <w:t>morning</w:t>
      </w:r>
      <w:r>
        <w:rPr>
          <w:i/>
          <w:spacing w:val="-5"/>
          <w:sz w:val="38"/>
        </w:rPr>
        <w:t> </w:t>
      </w:r>
      <w:r>
        <w:rPr>
          <w:i/>
          <w:sz w:val="38"/>
        </w:rPr>
        <w:t>due</w:t>
      </w:r>
      <w:r>
        <w:rPr>
          <w:i/>
          <w:spacing w:val="-7"/>
          <w:sz w:val="38"/>
        </w:rPr>
        <w:t> </w:t>
      </w:r>
      <w:r>
        <w:rPr>
          <w:i/>
          <w:sz w:val="38"/>
        </w:rPr>
        <w:t>to</w:t>
      </w:r>
      <w:r>
        <w:rPr>
          <w:i/>
          <w:spacing w:val="-8"/>
          <w:sz w:val="38"/>
        </w:rPr>
        <w:t> </w:t>
      </w:r>
      <w:r>
        <w:rPr>
          <w:i/>
          <w:sz w:val="38"/>
        </w:rPr>
        <w:t>rheumatic</w:t>
      </w:r>
      <w:r>
        <w:rPr>
          <w:i/>
          <w:spacing w:val="-7"/>
          <w:sz w:val="38"/>
        </w:rPr>
        <w:t> </w:t>
      </w:r>
      <w:r>
        <w:rPr>
          <w:i/>
          <w:sz w:val="38"/>
        </w:rPr>
        <w:t>pains.</w:t>
      </w:r>
      <w:r>
        <w:rPr>
          <w:i/>
          <w:spacing w:val="-6"/>
          <w:sz w:val="38"/>
        </w:rPr>
        <w:t> </w:t>
      </w:r>
      <w:r>
        <w:rPr>
          <w:i/>
          <w:sz w:val="38"/>
        </w:rPr>
        <w:t>Their</w:t>
      </w:r>
      <w:r>
        <w:rPr>
          <w:i/>
          <w:spacing w:val="-7"/>
          <w:sz w:val="38"/>
        </w:rPr>
        <w:t> </w:t>
      </w:r>
      <w:r>
        <w:rPr>
          <w:i/>
          <w:sz w:val="38"/>
        </w:rPr>
        <w:t>joints</w:t>
      </w:r>
      <w:r>
        <w:rPr>
          <w:i/>
          <w:spacing w:val="-7"/>
          <w:sz w:val="38"/>
        </w:rPr>
        <w:t> </w:t>
      </w:r>
      <w:r>
        <w:rPr>
          <w:i/>
          <w:sz w:val="38"/>
        </w:rPr>
        <w:t>were stiff. I prescribed them kombucha. The result: After one month, they were able to move their joints again without pain’. </w:t>
      </w:r>
      <w:r>
        <w:rPr>
          <w:sz w:val="38"/>
        </w:rPr>
        <w:t>(Prof. Dr. Winfried Laakmann, Director of the Univer- sity of San</w:t>
      </w:r>
      <w:r>
        <w:rPr>
          <w:spacing w:val="2"/>
          <w:sz w:val="38"/>
        </w:rPr>
        <w:t> </w:t>
      </w:r>
      <w:r>
        <w:rPr>
          <w:sz w:val="38"/>
        </w:rPr>
        <w:t>Salvador)</w:t>
      </w:r>
    </w:p>
    <w:p>
      <w:pPr>
        <w:pStyle w:val="Heading1"/>
        <w:spacing w:before="223"/>
        <w:jc w:val="both"/>
      </w:pPr>
      <w:r>
        <w:rPr/>
        <w:t>Kombucha effect in general</w:t>
      </w:r>
    </w:p>
    <w:p>
      <w:pPr>
        <w:spacing w:before="299"/>
        <w:ind w:left="477" w:right="0" w:firstLine="0"/>
        <w:jc w:val="both"/>
        <w:rPr>
          <w:sz w:val="38"/>
        </w:rPr>
      </w:pPr>
      <w:r>
        <w:rPr>
          <w:sz w:val="38"/>
        </w:rPr>
        <w:t>A </w:t>
      </w:r>
      <w:r>
        <w:rPr>
          <w:i/>
          <w:sz w:val="38"/>
        </w:rPr>
        <w:t>‘wonderful healing power for many diseases’ </w:t>
      </w:r>
      <w:r>
        <w:rPr>
          <w:sz w:val="38"/>
        </w:rPr>
        <w:t>has been attributed to kombucha (Prof.</w:t>
      </w:r>
    </w:p>
    <w:p>
      <w:pPr>
        <w:pStyle w:val="BodyText"/>
        <w:spacing w:before="65"/>
        <w:ind w:left="477"/>
        <w:jc w:val="both"/>
      </w:pPr>
      <w:r>
        <w:rPr/>
        <w:t>S. Bazerewski)</w:t>
      </w:r>
    </w:p>
    <w:p>
      <w:pPr>
        <w:pStyle w:val="Heading1"/>
        <w:spacing w:before="285"/>
        <w:jc w:val="both"/>
      </w:pPr>
      <w:r>
        <w:rPr/>
        <w:t>Kombucha’s effect against haemorrhoids</w:t>
      </w:r>
    </w:p>
    <w:p>
      <w:pPr>
        <w:spacing w:line="276" w:lineRule="auto" w:before="299"/>
        <w:ind w:left="477" w:right="0" w:firstLine="0"/>
        <w:jc w:val="left"/>
        <w:rPr>
          <w:sz w:val="38"/>
        </w:rPr>
      </w:pPr>
      <w:r>
        <w:rPr>
          <w:sz w:val="38"/>
        </w:rPr>
        <w:t>‘</w:t>
      </w:r>
      <w:r>
        <w:rPr>
          <w:i/>
          <w:sz w:val="38"/>
        </w:rPr>
        <w:t>...this</w:t>
      </w:r>
      <w:r>
        <w:rPr>
          <w:i/>
          <w:spacing w:val="-10"/>
          <w:sz w:val="38"/>
        </w:rPr>
        <w:t> </w:t>
      </w:r>
      <w:r>
        <w:rPr>
          <w:i/>
          <w:sz w:val="38"/>
        </w:rPr>
        <w:t>drink</w:t>
      </w:r>
      <w:r>
        <w:rPr>
          <w:i/>
          <w:spacing w:val="-10"/>
          <w:sz w:val="38"/>
        </w:rPr>
        <w:t> </w:t>
      </w:r>
      <w:r>
        <w:rPr>
          <w:i/>
          <w:sz w:val="38"/>
        </w:rPr>
        <w:t>was</w:t>
      </w:r>
      <w:r>
        <w:rPr>
          <w:i/>
          <w:spacing w:val="-9"/>
          <w:sz w:val="38"/>
        </w:rPr>
        <w:t> </w:t>
      </w:r>
      <w:r>
        <w:rPr>
          <w:i/>
          <w:sz w:val="38"/>
        </w:rPr>
        <w:t>recommended</w:t>
      </w:r>
      <w:r>
        <w:rPr>
          <w:i/>
          <w:spacing w:val="-8"/>
          <w:sz w:val="38"/>
        </w:rPr>
        <w:t> </w:t>
      </w:r>
      <w:r>
        <w:rPr>
          <w:i/>
          <w:sz w:val="38"/>
        </w:rPr>
        <w:t>years</w:t>
      </w:r>
      <w:r>
        <w:rPr>
          <w:i/>
          <w:spacing w:val="-6"/>
          <w:sz w:val="38"/>
        </w:rPr>
        <w:t> </w:t>
      </w:r>
      <w:r>
        <w:rPr>
          <w:i/>
          <w:sz w:val="38"/>
        </w:rPr>
        <w:t>ago</w:t>
      </w:r>
      <w:r>
        <w:rPr>
          <w:i/>
          <w:spacing w:val="-9"/>
          <w:sz w:val="38"/>
        </w:rPr>
        <w:t> </w:t>
      </w:r>
      <w:r>
        <w:rPr>
          <w:i/>
          <w:sz w:val="38"/>
        </w:rPr>
        <w:t>in</w:t>
      </w:r>
      <w:r>
        <w:rPr>
          <w:i/>
          <w:spacing w:val="-8"/>
          <w:sz w:val="38"/>
        </w:rPr>
        <w:t> </w:t>
      </w:r>
      <w:r>
        <w:rPr>
          <w:i/>
          <w:sz w:val="38"/>
        </w:rPr>
        <w:t>Thorn</w:t>
      </w:r>
      <w:r>
        <w:rPr>
          <w:i/>
          <w:spacing w:val="-7"/>
          <w:sz w:val="38"/>
        </w:rPr>
        <w:t> </w:t>
      </w:r>
      <w:r>
        <w:rPr>
          <w:i/>
          <w:sz w:val="38"/>
        </w:rPr>
        <w:t>as</w:t>
      </w:r>
      <w:r>
        <w:rPr>
          <w:i/>
          <w:spacing w:val="-10"/>
          <w:sz w:val="38"/>
        </w:rPr>
        <w:t> </w:t>
      </w:r>
      <w:r>
        <w:rPr>
          <w:i/>
          <w:sz w:val="38"/>
        </w:rPr>
        <w:t>a</w:t>
      </w:r>
      <w:r>
        <w:rPr>
          <w:i/>
          <w:spacing w:val="-9"/>
          <w:sz w:val="38"/>
        </w:rPr>
        <w:t> </w:t>
      </w:r>
      <w:r>
        <w:rPr>
          <w:i/>
          <w:sz w:val="38"/>
        </w:rPr>
        <w:t>remedy</w:t>
      </w:r>
      <w:r>
        <w:rPr>
          <w:i/>
          <w:spacing w:val="-8"/>
          <w:sz w:val="38"/>
        </w:rPr>
        <w:t> </w:t>
      </w:r>
      <w:r>
        <w:rPr>
          <w:i/>
          <w:sz w:val="38"/>
        </w:rPr>
        <w:t>for</w:t>
      </w:r>
      <w:r>
        <w:rPr>
          <w:i/>
          <w:spacing w:val="-7"/>
          <w:sz w:val="38"/>
        </w:rPr>
        <w:t> </w:t>
      </w:r>
      <w:r>
        <w:rPr>
          <w:i/>
          <w:sz w:val="38"/>
        </w:rPr>
        <w:t>haemorrhoids</w:t>
      </w:r>
      <w:r>
        <w:rPr>
          <w:i/>
          <w:spacing w:val="-8"/>
          <w:sz w:val="38"/>
        </w:rPr>
        <w:t> </w:t>
      </w:r>
      <w:r>
        <w:rPr>
          <w:i/>
          <w:sz w:val="38"/>
        </w:rPr>
        <w:t>,</w:t>
      </w:r>
      <w:r>
        <w:rPr>
          <w:i/>
          <w:spacing w:val="-7"/>
          <w:sz w:val="38"/>
        </w:rPr>
        <w:t> </w:t>
      </w:r>
      <w:r>
        <w:rPr>
          <w:i/>
          <w:sz w:val="38"/>
        </w:rPr>
        <w:t>and</w:t>
      </w:r>
      <w:r>
        <w:rPr>
          <w:i/>
          <w:spacing w:val="-8"/>
          <w:sz w:val="38"/>
        </w:rPr>
        <w:t> </w:t>
      </w:r>
      <w:r>
        <w:rPr>
          <w:i/>
          <w:sz w:val="38"/>
        </w:rPr>
        <w:t>a</w:t>
      </w:r>
      <w:r>
        <w:rPr>
          <w:i/>
          <w:spacing w:val="-9"/>
          <w:sz w:val="38"/>
        </w:rPr>
        <w:t> </w:t>
      </w:r>
      <w:r>
        <w:rPr>
          <w:i/>
          <w:sz w:val="38"/>
        </w:rPr>
        <w:t>cure </w:t>
      </w:r>
      <w:r>
        <w:rPr>
          <w:i/>
          <w:sz w:val="38"/>
        </w:rPr>
        <w:t>has been found in its regular consumption’. (</w:t>
      </w:r>
      <w:r>
        <w:rPr>
          <w:sz w:val="38"/>
        </w:rPr>
        <w:t>Prof. P.</w:t>
      </w:r>
      <w:r>
        <w:rPr>
          <w:spacing w:val="-1"/>
          <w:sz w:val="38"/>
        </w:rPr>
        <w:t> </w:t>
      </w:r>
      <w:r>
        <w:rPr>
          <w:sz w:val="38"/>
        </w:rPr>
        <w:t>Lindner)</w:t>
      </w:r>
    </w:p>
    <w:p>
      <w:pPr>
        <w:pStyle w:val="Heading1"/>
      </w:pPr>
      <w:r>
        <w:rPr/>
        <w:t>Effect of kombucha on tonsillitis, gout pain and atherosclerosis</w:t>
      </w:r>
    </w:p>
    <w:p>
      <w:pPr>
        <w:spacing w:line="276" w:lineRule="auto" w:before="299"/>
        <w:ind w:left="477" w:right="138" w:firstLine="0"/>
        <w:jc w:val="both"/>
        <w:rPr>
          <w:i/>
          <w:sz w:val="38"/>
        </w:rPr>
      </w:pPr>
      <w:r>
        <w:rPr>
          <w:sz w:val="38"/>
        </w:rPr>
        <w:t>‘</w:t>
      </w:r>
      <w:r>
        <w:rPr>
          <w:i/>
          <w:sz w:val="38"/>
        </w:rPr>
        <w:t>In tonsillitis, especially when there is a coating on the tonsils, it is</w:t>
      </w:r>
      <w:r>
        <w:rPr>
          <w:i/>
          <w:spacing w:val="-69"/>
          <w:sz w:val="38"/>
        </w:rPr>
        <w:t> </w:t>
      </w:r>
      <w:r>
        <w:rPr>
          <w:i/>
          <w:sz w:val="38"/>
        </w:rPr>
        <w:t>not only necessary to gargle </w:t>
      </w:r>
      <w:r>
        <w:rPr>
          <w:i/>
          <w:sz w:val="38"/>
        </w:rPr>
        <w:t>with the drink, but also to drink it, in order to destroy the bacteria that have reached the stomach in food and drink.</w:t>
      </w:r>
    </w:p>
    <w:p>
      <w:pPr>
        <w:spacing w:before="239"/>
        <w:ind w:left="477" w:right="0" w:firstLine="0"/>
        <w:jc w:val="both"/>
        <w:rPr>
          <w:i/>
          <w:sz w:val="38"/>
        </w:rPr>
      </w:pPr>
      <w:r>
        <w:rPr>
          <w:i/>
          <w:sz w:val="38"/>
        </w:rPr>
        <w:t>Gargling quickly causes recovery from tonsillitis, and in severe cases, astonishing results</w:t>
      </w:r>
      <w:r>
        <w:rPr>
          <w:i/>
          <w:spacing w:val="58"/>
          <w:sz w:val="38"/>
        </w:rPr>
        <w:t> </w:t>
      </w:r>
      <w:r>
        <w:rPr>
          <w:i/>
          <w:sz w:val="38"/>
        </w:rPr>
        <w:t>have</w:t>
      </w:r>
    </w:p>
    <w:p>
      <w:pPr>
        <w:spacing w:after="0"/>
        <w:jc w:val="both"/>
        <w:rPr>
          <w:sz w:val="38"/>
        </w:rPr>
        <w:sectPr>
          <w:pgSz w:w="14270" w:h="16850"/>
          <w:pgMar w:header="0" w:footer="1891" w:top="1600" w:bottom="2080" w:left="800" w:right="1280"/>
        </w:sectPr>
      </w:pPr>
    </w:p>
    <w:p>
      <w:pPr>
        <w:spacing w:before="181"/>
        <w:ind w:left="477" w:right="0" w:firstLine="0"/>
        <w:jc w:val="both"/>
        <w:rPr>
          <w:sz w:val="38"/>
        </w:rPr>
      </w:pPr>
      <w:r>
        <w:rPr>
          <w:i/>
          <w:sz w:val="38"/>
        </w:rPr>
        <w:t>been produced with gout pain and atherosclerosis...’ </w:t>
      </w:r>
      <w:r>
        <w:rPr>
          <w:sz w:val="38"/>
        </w:rPr>
        <w:t>(Dr. L. Mollenda)</w:t>
      </w:r>
    </w:p>
    <w:p>
      <w:pPr>
        <w:pStyle w:val="Heading1"/>
        <w:spacing w:before="288"/>
        <w:jc w:val="both"/>
      </w:pPr>
      <w:r>
        <w:rPr/>
        <w:t>Effect of kombucha against rheumatism</w:t>
      </w:r>
    </w:p>
    <w:p>
      <w:pPr>
        <w:spacing w:before="179"/>
        <w:ind w:left="477" w:right="0" w:firstLine="0"/>
        <w:jc w:val="both"/>
        <w:rPr>
          <w:sz w:val="38"/>
        </w:rPr>
      </w:pPr>
      <w:r>
        <w:rPr>
          <w:sz w:val="38"/>
        </w:rPr>
        <w:t>‘</w:t>
      </w:r>
      <w:r>
        <w:rPr>
          <w:i/>
          <w:sz w:val="38"/>
        </w:rPr>
        <w:t>...infallible remedy for rheumatoid arthritis’. </w:t>
      </w:r>
      <w:r>
        <w:rPr>
          <w:sz w:val="38"/>
        </w:rPr>
        <w:t>(Prof. Dr. Rudolf Kobert)</w:t>
      </w:r>
    </w:p>
    <w:p>
      <w:pPr>
        <w:pStyle w:val="Heading1"/>
        <w:spacing w:before="287"/>
        <w:jc w:val="both"/>
      </w:pPr>
      <w:r>
        <w:rPr/>
        <w:t>Kombucha’s effect against constipation</w:t>
      </w:r>
    </w:p>
    <w:p>
      <w:pPr>
        <w:spacing w:line="276" w:lineRule="auto" w:before="299"/>
        <w:ind w:left="477" w:right="0" w:firstLine="0"/>
        <w:jc w:val="left"/>
        <w:rPr>
          <w:sz w:val="38"/>
        </w:rPr>
      </w:pPr>
      <w:r>
        <w:rPr>
          <w:sz w:val="38"/>
        </w:rPr>
        <w:t>‘</w:t>
      </w:r>
      <w:r>
        <w:rPr>
          <w:i/>
          <w:sz w:val="38"/>
        </w:rPr>
        <w:t>... remedy against all sorts of diseases, especially against constipation</w:t>
      </w:r>
      <w:r>
        <w:rPr>
          <w:sz w:val="38"/>
        </w:rPr>
        <w:t>‘ ( Prof. Dr. Wilhelm Henneberg)</w:t>
      </w:r>
    </w:p>
    <w:p>
      <w:pPr>
        <w:pStyle w:val="BodyText"/>
        <w:rPr>
          <w:sz w:val="42"/>
        </w:rPr>
      </w:pPr>
    </w:p>
    <w:p>
      <w:pPr>
        <w:pStyle w:val="BodyText"/>
        <w:spacing w:before="9"/>
        <w:rPr>
          <w:sz w:val="42"/>
        </w:rPr>
      </w:pPr>
    </w:p>
    <w:p>
      <w:pPr>
        <w:pStyle w:val="Heading1"/>
        <w:spacing w:before="0"/>
      </w:pPr>
      <w:r>
        <w:rPr/>
        <w:t>Kombucha’s effect on indigestion and against age-related disorders</w:t>
      </w:r>
    </w:p>
    <w:p>
      <w:pPr>
        <w:spacing w:line="276" w:lineRule="auto" w:before="299"/>
        <w:ind w:left="477" w:right="131" w:firstLine="0"/>
        <w:jc w:val="both"/>
        <w:rPr>
          <w:sz w:val="38"/>
        </w:rPr>
      </w:pPr>
      <w:r>
        <w:rPr>
          <w:sz w:val="38"/>
        </w:rPr>
        <w:t>‘</w:t>
      </w:r>
      <w:r>
        <w:rPr>
          <w:i/>
          <w:sz w:val="38"/>
        </w:rPr>
        <w:t>A widespread use of tea fungus in the use and production of tea kvass as a remedy for indi- </w:t>
      </w:r>
      <w:r>
        <w:rPr>
          <w:i/>
          <w:sz w:val="38"/>
        </w:rPr>
        <w:t>gestion and all sorts of age complaints is quite desirable across all sections of the population, as</w:t>
      </w:r>
      <w:r>
        <w:rPr>
          <w:i/>
          <w:spacing w:val="-20"/>
          <w:sz w:val="38"/>
        </w:rPr>
        <w:t> </w:t>
      </w:r>
      <w:r>
        <w:rPr>
          <w:i/>
          <w:sz w:val="38"/>
        </w:rPr>
        <w:t>well</w:t>
      </w:r>
      <w:r>
        <w:rPr>
          <w:i/>
          <w:spacing w:val="-18"/>
          <w:sz w:val="38"/>
        </w:rPr>
        <w:t> </w:t>
      </w:r>
      <w:r>
        <w:rPr>
          <w:i/>
          <w:sz w:val="38"/>
        </w:rPr>
        <w:t>as</w:t>
      </w:r>
      <w:r>
        <w:rPr>
          <w:i/>
          <w:spacing w:val="-22"/>
          <w:sz w:val="38"/>
        </w:rPr>
        <w:t> </w:t>
      </w:r>
      <w:r>
        <w:rPr>
          <w:i/>
          <w:sz w:val="38"/>
        </w:rPr>
        <w:t>its</w:t>
      </w:r>
      <w:r>
        <w:rPr>
          <w:i/>
          <w:spacing w:val="-18"/>
          <w:sz w:val="38"/>
        </w:rPr>
        <w:t> </w:t>
      </w:r>
      <w:r>
        <w:rPr>
          <w:i/>
          <w:sz w:val="38"/>
        </w:rPr>
        <w:t>production</w:t>
      </w:r>
      <w:r>
        <w:rPr>
          <w:i/>
          <w:spacing w:val="-18"/>
          <w:sz w:val="38"/>
        </w:rPr>
        <w:t> </w:t>
      </w:r>
      <w:r>
        <w:rPr>
          <w:i/>
          <w:sz w:val="38"/>
        </w:rPr>
        <w:t>and</w:t>
      </w:r>
      <w:r>
        <w:rPr>
          <w:i/>
          <w:spacing w:val="-21"/>
          <w:sz w:val="38"/>
        </w:rPr>
        <w:t> </w:t>
      </w:r>
      <w:r>
        <w:rPr>
          <w:i/>
          <w:sz w:val="38"/>
        </w:rPr>
        <w:t>distribution</w:t>
      </w:r>
      <w:r>
        <w:rPr>
          <w:i/>
          <w:spacing w:val="-18"/>
          <w:sz w:val="38"/>
        </w:rPr>
        <w:t> </w:t>
      </w:r>
      <w:r>
        <w:rPr>
          <w:i/>
          <w:sz w:val="38"/>
        </w:rPr>
        <w:t>by</w:t>
      </w:r>
      <w:r>
        <w:rPr>
          <w:i/>
          <w:spacing w:val="-16"/>
          <w:sz w:val="38"/>
        </w:rPr>
        <w:t> </w:t>
      </w:r>
      <w:r>
        <w:rPr>
          <w:i/>
          <w:sz w:val="38"/>
        </w:rPr>
        <w:t>pharmacies</w:t>
      </w:r>
      <w:r>
        <w:rPr>
          <w:i/>
          <w:spacing w:val="-19"/>
          <w:sz w:val="38"/>
        </w:rPr>
        <w:t> </w:t>
      </w:r>
      <w:r>
        <w:rPr>
          <w:i/>
          <w:sz w:val="38"/>
        </w:rPr>
        <w:t>and</w:t>
      </w:r>
      <w:r>
        <w:rPr>
          <w:i/>
          <w:spacing w:val="-17"/>
          <w:sz w:val="38"/>
        </w:rPr>
        <w:t> </w:t>
      </w:r>
      <w:r>
        <w:rPr>
          <w:i/>
          <w:sz w:val="38"/>
        </w:rPr>
        <w:t>apothecaries’.</w:t>
      </w:r>
      <w:r>
        <w:rPr>
          <w:i/>
          <w:spacing w:val="-18"/>
          <w:sz w:val="38"/>
        </w:rPr>
        <w:t> </w:t>
      </w:r>
      <w:r>
        <w:rPr>
          <w:sz w:val="38"/>
        </w:rPr>
        <w:t>(Prof.</w:t>
      </w:r>
      <w:r>
        <w:rPr>
          <w:spacing w:val="-17"/>
          <w:sz w:val="38"/>
        </w:rPr>
        <w:t> </w:t>
      </w:r>
      <w:r>
        <w:rPr>
          <w:sz w:val="38"/>
        </w:rPr>
        <w:t>Dr.</w:t>
      </w:r>
      <w:r>
        <w:rPr>
          <w:spacing w:val="-19"/>
          <w:sz w:val="38"/>
        </w:rPr>
        <w:t> </w:t>
      </w:r>
      <w:r>
        <w:rPr>
          <w:sz w:val="38"/>
        </w:rPr>
        <w:t>Lako- witz)</w:t>
      </w:r>
    </w:p>
    <w:p>
      <w:pPr>
        <w:pStyle w:val="Heading1"/>
        <w:spacing w:before="223"/>
      </w:pPr>
      <w:r>
        <w:rPr/>
        <w:t>Effect of kombucha against arteriosclerosis , gout, constipation</w:t>
      </w:r>
    </w:p>
    <w:p>
      <w:pPr>
        <w:spacing w:line="276" w:lineRule="auto" w:before="299"/>
        <w:ind w:left="477" w:right="132" w:firstLine="0"/>
        <w:jc w:val="both"/>
        <w:rPr>
          <w:sz w:val="38"/>
        </w:rPr>
      </w:pPr>
      <w:r>
        <w:rPr>
          <w:i/>
          <w:sz w:val="38"/>
        </w:rPr>
        <w:t>‘...very effective means of combating arteriosclerosis , gout and constipation’ </w:t>
      </w:r>
      <w:r>
        <w:rPr>
          <w:sz w:val="38"/>
        </w:rPr>
        <w:t>there are</w:t>
      </w:r>
      <w:r>
        <w:rPr>
          <w:spacing w:val="-67"/>
          <w:sz w:val="38"/>
        </w:rPr>
        <w:t> </w:t>
      </w:r>
      <w:r>
        <w:rPr>
          <w:sz w:val="38"/>
        </w:rPr>
        <w:t>‘</w:t>
      </w:r>
      <w:r>
        <w:rPr>
          <w:i/>
          <w:sz w:val="38"/>
        </w:rPr>
        <w:t>benefi- </w:t>
      </w:r>
      <w:r>
        <w:rPr>
          <w:i/>
          <w:sz w:val="38"/>
        </w:rPr>
        <w:t>cial effects on arterial calcification, the lowering of blood pressure, reduction of anxiety, irrita- bility and pain, headache, dizziness and so </w:t>
      </w:r>
      <w:r>
        <w:rPr>
          <w:i/>
          <w:spacing w:val="2"/>
          <w:sz w:val="38"/>
        </w:rPr>
        <w:t>on’. </w:t>
      </w:r>
      <w:r>
        <w:rPr>
          <w:sz w:val="38"/>
        </w:rPr>
        <w:t>C</w:t>
      </w:r>
      <w:r>
        <w:rPr>
          <w:i/>
          <w:sz w:val="38"/>
        </w:rPr>
        <w:t>onstipation and its concomitants can also </w:t>
      </w:r>
      <w:r>
        <w:rPr>
          <w:i/>
          <w:sz w:val="38"/>
        </w:rPr>
        <w:t>be improved rapidly. There are particularly favourable results on calcification of the kidney and the capillaries of the brain’. </w:t>
      </w:r>
      <w:r>
        <w:rPr>
          <w:sz w:val="38"/>
        </w:rPr>
        <w:t>(Dr. Maxim Bing)</w:t>
      </w:r>
    </w:p>
    <w:p>
      <w:pPr>
        <w:pStyle w:val="Heading1"/>
        <w:spacing w:before="223"/>
        <w:jc w:val="both"/>
      </w:pPr>
      <w:r>
        <w:rPr/>
        <w:t>Stabilisation of the immune system</w:t>
      </w:r>
    </w:p>
    <w:p>
      <w:pPr>
        <w:spacing w:after="0"/>
        <w:jc w:val="both"/>
        <w:sectPr>
          <w:pgSz w:w="14270" w:h="16850"/>
          <w:pgMar w:header="0" w:footer="1891" w:top="1600" w:bottom="2080" w:left="800" w:right="1280"/>
        </w:sectPr>
      </w:pPr>
    </w:p>
    <w:p>
      <w:pPr>
        <w:spacing w:line="276" w:lineRule="auto" w:before="181"/>
        <w:ind w:left="477" w:right="0" w:firstLine="0"/>
        <w:jc w:val="left"/>
        <w:rPr>
          <w:sz w:val="38"/>
        </w:rPr>
      </w:pPr>
      <w:r>
        <w:rPr>
          <w:sz w:val="38"/>
        </w:rPr>
        <w:t>‘</w:t>
      </w:r>
      <w:r>
        <w:rPr>
          <w:i/>
          <w:sz w:val="38"/>
        </w:rPr>
        <w:t>By triggering a special activation of the body's own defences, kombucha is well-suited for sta- </w:t>
      </w:r>
      <w:r>
        <w:rPr>
          <w:i/>
          <w:sz w:val="38"/>
        </w:rPr>
        <w:t>bilising the immune system’. </w:t>
      </w:r>
      <w:r>
        <w:rPr>
          <w:sz w:val="38"/>
        </w:rPr>
        <w:t>(Dr. Helmut</w:t>
      </w:r>
      <w:r>
        <w:rPr>
          <w:spacing w:val="-4"/>
          <w:sz w:val="38"/>
        </w:rPr>
        <w:t> </w:t>
      </w:r>
      <w:r>
        <w:rPr>
          <w:sz w:val="38"/>
        </w:rPr>
        <w:t>Golz)</w:t>
      </w:r>
    </w:p>
    <w:p>
      <w:pPr>
        <w:pStyle w:val="Heading1"/>
      </w:pPr>
      <w:r>
        <w:rPr>
          <w:w w:val="95"/>
        </w:rPr>
        <w:t>Promoting and stimulating</w:t>
      </w:r>
      <w:r>
        <w:rPr>
          <w:spacing w:val="-19"/>
          <w:w w:val="95"/>
        </w:rPr>
        <w:t> </w:t>
      </w:r>
      <w:r>
        <w:rPr>
          <w:w w:val="95"/>
        </w:rPr>
        <w:t>metabolism</w:t>
      </w:r>
    </w:p>
    <w:p>
      <w:pPr>
        <w:spacing w:line="276" w:lineRule="auto" w:before="179"/>
        <w:ind w:left="477" w:right="132" w:firstLine="0"/>
        <w:jc w:val="both"/>
        <w:rPr>
          <w:sz w:val="38"/>
        </w:rPr>
      </w:pPr>
      <w:r>
        <w:rPr>
          <w:sz w:val="38"/>
        </w:rPr>
        <w:t>‘</w:t>
      </w:r>
      <w:r>
        <w:rPr>
          <w:i/>
          <w:sz w:val="38"/>
        </w:rPr>
        <w:t>The enjoyment of the drink, which is referred to as tea kvass, causes a striking revival of the </w:t>
      </w:r>
      <w:r>
        <w:rPr>
          <w:i/>
          <w:sz w:val="38"/>
        </w:rPr>
        <w:t>body’s entire endocrine system and a promotion of the metabolism. Tee kvass is recommended as</w:t>
      </w:r>
      <w:r>
        <w:rPr>
          <w:i/>
          <w:spacing w:val="-13"/>
          <w:sz w:val="38"/>
        </w:rPr>
        <w:t> </w:t>
      </w:r>
      <w:r>
        <w:rPr>
          <w:i/>
          <w:sz w:val="38"/>
        </w:rPr>
        <w:t>an</w:t>
      </w:r>
      <w:r>
        <w:rPr>
          <w:i/>
          <w:spacing w:val="-10"/>
          <w:sz w:val="38"/>
        </w:rPr>
        <w:t> </w:t>
      </w:r>
      <w:r>
        <w:rPr>
          <w:i/>
          <w:sz w:val="38"/>
        </w:rPr>
        <w:t>excellent</w:t>
      </w:r>
      <w:r>
        <w:rPr>
          <w:i/>
          <w:spacing w:val="-10"/>
          <w:sz w:val="38"/>
        </w:rPr>
        <w:t> </w:t>
      </w:r>
      <w:r>
        <w:rPr>
          <w:i/>
          <w:sz w:val="38"/>
        </w:rPr>
        <w:t>preventive</w:t>
      </w:r>
      <w:r>
        <w:rPr>
          <w:i/>
          <w:spacing w:val="-11"/>
          <w:sz w:val="38"/>
        </w:rPr>
        <w:t> </w:t>
      </w:r>
      <w:r>
        <w:rPr>
          <w:i/>
          <w:sz w:val="38"/>
        </w:rPr>
        <w:t>measure</w:t>
      </w:r>
      <w:r>
        <w:rPr>
          <w:i/>
          <w:spacing w:val="-12"/>
          <w:sz w:val="38"/>
        </w:rPr>
        <w:t> </w:t>
      </w:r>
      <w:r>
        <w:rPr>
          <w:i/>
          <w:sz w:val="38"/>
        </w:rPr>
        <w:t>against</w:t>
      </w:r>
      <w:r>
        <w:rPr>
          <w:i/>
          <w:spacing w:val="-10"/>
          <w:sz w:val="38"/>
        </w:rPr>
        <w:t> </w:t>
      </w:r>
      <w:r>
        <w:rPr>
          <w:i/>
          <w:sz w:val="38"/>
        </w:rPr>
        <w:t>gout</w:t>
      </w:r>
      <w:r>
        <w:rPr>
          <w:i/>
          <w:spacing w:val="-9"/>
          <w:sz w:val="38"/>
        </w:rPr>
        <w:t> </w:t>
      </w:r>
      <w:r>
        <w:rPr>
          <w:i/>
          <w:sz w:val="38"/>
        </w:rPr>
        <w:t>and</w:t>
      </w:r>
      <w:r>
        <w:rPr>
          <w:i/>
          <w:spacing w:val="-10"/>
          <w:sz w:val="38"/>
        </w:rPr>
        <w:t> </w:t>
      </w:r>
      <w:r>
        <w:rPr>
          <w:i/>
          <w:sz w:val="38"/>
        </w:rPr>
        <w:t>rheumatism,</w:t>
      </w:r>
      <w:r>
        <w:rPr>
          <w:i/>
          <w:spacing w:val="-11"/>
          <w:sz w:val="38"/>
        </w:rPr>
        <w:t> </w:t>
      </w:r>
      <w:r>
        <w:rPr>
          <w:i/>
          <w:sz w:val="38"/>
        </w:rPr>
        <w:t>furunculosis,</w:t>
      </w:r>
      <w:r>
        <w:rPr>
          <w:i/>
          <w:spacing w:val="-11"/>
          <w:sz w:val="38"/>
        </w:rPr>
        <w:t> </w:t>
      </w:r>
      <w:r>
        <w:rPr>
          <w:i/>
          <w:sz w:val="38"/>
        </w:rPr>
        <w:t>arteriosclerosis, high blood pressure, nervousness, constipation and signs of ageing’. </w:t>
      </w:r>
      <w:r>
        <w:rPr>
          <w:sz w:val="38"/>
        </w:rPr>
        <w:t>(Hans</w:t>
      </w:r>
      <w:r>
        <w:rPr>
          <w:spacing w:val="-7"/>
          <w:sz w:val="38"/>
        </w:rPr>
        <w:t> </w:t>
      </w:r>
      <w:r>
        <w:rPr>
          <w:sz w:val="38"/>
        </w:rPr>
        <w:t>Irion)</w:t>
      </w:r>
    </w:p>
    <w:p>
      <w:pPr>
        <w:pStyle w:val="Heading1"/>
        <w:spacing w:before="223"/>
      </w:pPr>
      <w:r>
        <w:rPr/>
        <w:t>Effect of kombucha against viruses</w:t>
      </w:r>
    </w:p>
    <w:p>
      <w:pPr>
        <w:spacing w:line="276" w:lineRule="auto" w:before="299"/>
        <w:ind w:left="477" w:right="0" w:firstLine="0"/>
        <w:jc w:val="left"/>
        <w:rPr>
          <w:i/>
          <w:sz w:val="38"/>
        </w:rPr>
      </w:pPr>
      <w:r>
        <w:rPr>
          <w:sz w:val="38"/>
        </w:rPr>
        <w:t>‘</w:t>
      </w:r>
      <w:r>
        <w:rPr>
          <w:i/>
          <w:sz w:val="38"/>
        </w:rPr>
        <w:t>The comparison of measured values suggests that kombucha effectively promotes the body's </w:t>
      </w:r>
      <w:r>
        <w:rPr>
          <w:i/>
          <w:sz w:val="38"/>
        </w:rPr>
        <w:t>defences and initiates the body's own healing processes.</w:t>
      </w:r>
    </w:p>
    <w:p>
      <w:pPr>
        <w:spacing w:line="276" w:lineRule="auto" w:before="241"/>
        <w:ind w:left="477" w:right="123" w:firstLine="0"/>
        <w:jc w:val="left"/>
        <w:rPr>
          <w:sz w:val="38"/>
        </w:rPr>
      </w:pPr>
      <w:r>
        <w:rPr>
          <w:i/>
          <w:sz w:val="38"/>
        </w:rPr>
        <w:t>Kombucha can be regarded as a highly potent organic food with an antiviral effect, with the </w:t>
      </w:r>
      <w:r>
        <w:rPr>
          <w:i/>
          <w:sz w:val="38"/>
        </w:rPr>
        <w:t>advantage that it does not produce any unwanted side effects or intolerances’. </w:t>
      </w:r>
      <w:r>
        <w:rPr>
          <w:sz w:val="38"/>
        </w:rPr>
        <w:t>(Dr. Wiesner)</w:t>
      </w:r>
    </w:p>
    <w:p>
      <w:pPr>
        <w:pStyle w:val="Heading1"/>
        <w:spacing w:before="221"/>
      </w:pPr>
      <w:r>
        <w:rPr/>
        <w:t>Kombucha’s effect against cancer</w:t>
      </w:r>
    </w:p>
    <w:p>
      <w:pPr>
        <w:spacing w:line="276" w:lineRule="auto" w:before="299"/>
        <w:ind w:left="477" w:right="133" w:firstLine="0"/>
        <w:jc w:val="both"/>
        <w:rPr>
          <w:sz w:val="38"/>
        </w:rPr>
      </w:pPr>
      <w:r>
        <w:rPr>
          <w:sz w:val="38"/>
        </w:rPr>
        <w:t>‘</w:t>
      </w:r>
      <w:r>
        <w:rPr>
          <w:i/>
          <w:sz w:val="38"/>
        </w:rPr>
        <w:t>Kombucha inhibits malignant cell growth’ – ‘I gave kombucha to my patients. The results </w:t>
      </w:r>
      <w:r>
        <w:rPr>
          <w:i/>
          <w:sz w:val="38"/>
        </w:rPr>
        <w:t>are good and the patients are very satisfied. Kombucha has been used successfully against prostate problems, rheumatoid arthritis, bone marrow, uterine fibroarthritis, connective tissue inflammation in the lungs, etc’. </w:t>
      </w:r>
      <w:r>
        <w:rPr>
          <w:sz w:val="38"/>
        </w:rPr>
        <w:t>(Dr. Soraya Shantiay)</w:t>
      </w:r>
    </w:p>
    <w:p>
      <w:pPr>
        <w:pStyle w:val="Heading1"/>
        <w:spacing w:before="225"/>
        <w:jc w:val="both"/>
      </w:pPr>
      <w:r>
        <w:rPr/>
        <w:t>Effect of kombucha on angina</w:t>
      </w:r>
      <w:r>
        <w:rPr>
          <w:spacing w:val="-52"/>
        </w:rPr>
        <w:t> </w:t>
      </w:r>
      <w:r>
        <w:rPr/>
        <w:t>pectoris</w:t>
      </w:r>
    </w:p>
    <w:p>
      <w:pPr>
        <w:spacing w:before="297"/>
        <w:ind w:left="477" w:right="0" w:firstLine="0"/>
        <w:jc w:val="both"/>
        <w:rPr>
          <w:i/>
          <w:sz w:val="38"/>
        </w:rPr>
      </w:pPr>
      <w:r>
        <w:rPr>
          <w:i/>
          <w:sz w:val="38"/>
        </w:rPr>
        <w:t>‘Experience that suggests that kombucha is also able to influence the extremely distressing</w:t>
      </w:r>
    </w:p>
    <w:p>
      <w:pPr>
        <w:spacing w:after="0"/>
        <w:jc w:val="both"/>
        <w:rPr>
          <w:sz w:val="38"/>
        </w:rPr>
        <w:sectPr>
          <w:footerReference w:type="default" r:id="rId184"/>
          <w:pgSz w:w="14270" w:h="16850"/>
          <w:pgMar w:footer="1891" w:header="0" w:top="1600" w:bottom="2080" w:left="800" w:right="1280"/>
          <w:pgNumType w:start="760"/>
        </w:sectPr>
      </w:pPr>
    </w:p>
    <w:p>
      <w:pPr>
        <w:spacing w:before="181"/>
        <w:ind w:left="477" w:right="0" w:firstLine="0"/>
        <w:jc w:val="left"/>
        <w:rPr>
          <w:sz w:val="38"/>
        </w:rPr>
      </w:pPr>
      <w:r>
        <w:rPr>
          <w:i/>
          <w:sz w:val="38"/>
        </w:rPr>
        <w:t>seizures of angina pectoris’. </w:t>
      </w:r>
      <w:r>
        <w:rPr>
          <w:sz w:val="38"/>
        </w:rPr>
        <w:t>(Prof. Dr. W. Wichowski)</w:t>
      </w:r>
    </w:p>
    <w:p>
      <w:pPr>
        <w:spacing w:line="276" w:lineRule="auto" w:before="305"/>
        <w:ind w:left="477" w:right="132" w:firstLine="0"/>
        <w:jc w:val="both"/>
        <w:rPr>
          <w:sz w:val="38"/>
        </w:rPr>
      </w:pPr>
      <w:r>
        <w:rPr>
          <w:sz w:val="38"/>
        </w:rPr>
        <w:t>‘</w:t>
      </w:r>
      <w:r>
        <w:rPr>
          <w:i/>
          <w:sz w:val="38"/>
        </w:rPr>
        <w:t>The fact that the frequent use of kombucha has often eliminated distressing subjective com- </w:t>
      </w:r>
      <w:r>
        <w:rPr>
          <w:i/>
          <w:sz w:val="38"/>
        </w:rPr>
        <w:t>plaints</w:t>
      </w:r>
      <w:r>
        <w:rPr>
          <w:i/>
          <w:spacing w:val="-24"/>
          <w:sz w:val="38"/>
        </w:rPr>
        <w:t> </w:t>
      </w:r>
      <w:r>
        <w:rPr>
          <w:i/>
          <w:sz w:val="38"/>
        </w:rPr>
        <w:t>in</w:t>
      </w:r>
      <w:r>
        <w:rPr>
          <w:i/>
          <w:spacing w:val="-23"/>
          <w:sz w:val="38"/>
        </w:rPr>
        <w:t> </w:t>
      </w:r>
      <w:r>
        <w:rPr>
          <w:i/>
          <w:sz w:val="38"/>
        </w:rPr>
        <w:t>many</w:t>
      </w:r>
      <w:r>
        <w:rPr>
          <w:i/>
          <w:spacing w:val="-22"/>
          <w:sz w:val="38"/>
        </w:rPr>
        <w:t> </w:t>
      </w:r>
      <w:r>
        <w:rPr>
          <w:i/>
          <w:sz w:val="38"/>
        </w:rPr>
        <w:t>individuals</w:t>
      </w:r>
      <w:r>
        <w:rPr>
          <w:i/>
          <w:spacing w:val="-23"/>
          <w:sz w:val="38"/>
        </w:rPr>
        <w:t> </w:t>
      </w:r>
      <w:r>
        <w:rPr>
          <w:i/>
          <w:sz w:val="38"/>
        </w:rPr>
        <w:t>should,</w:t>
      </w:r>
      <w:r>
        <w:rPr>
          <w:i/>
          <w:spacing w:val="-23"/>
          <w:sz w:val="38"/>
        </w:rPr>
        <w:t> </w:t>
      </w:r>
      <w:r>
        <w:rPr>
          <w:i/>
          <w:sz w:val="38"/>
        </w:rPr>
        <w:t>on</w:t>
      </w:r>
      <w:r>
        <w:rPr>
          <w:i/>
          <w:spacing w:val="-24"/>
          <w:sz w:val="38"/>
        </w:rPr>
        <w:t> </w:t>
      </w:r>
      <w:r>
        <w:rPr>
          <w:i/>
          <w:sz w:val="38"/>
        </w:rPr>
        <w:t>its</w:t>
      </w:r>
      <w:r>
        <w:rPr>
          <w:i/>
          <w:spacing w:val="-24"/>
          <w:sz w:val="38"/>
        </w:rPr>
        <w:t> </w:t>
      </w:r>
      <w:r>
        <w:rPr>
          <w:i/>
          <w:sz w:val="38"/>
        </w:rPr>
        <w:t>own,</w:t>
      </w:r>
      <w:r>
        <w:rPr>
          <w:i/>
          <w:spacing w:val="-23"/>
          <w:sz w:val="38"/>
        </w:rPr>
        <w:t> </w:t>
      </w:r>
      <w:r>
        <w:rPr>
          <w:i/>
          <w:sz w:val="38"/>
        </w:rPr>
        <w:t>be</w:t>
      </w:r>
      <w:r>
        <w:rPr>
          <w:i/>
          <w:spacing w:val="-24"/>
          <w:sz w:val="38"/>
        </w:rPr>
        <w:t> </w:t>
      </w:r>
      <w:r>
        <w:rPr>
          <w:i/>
          <w:sz w:val="38"/>
        </w:rPr>
        <w:t>enough</w:t>
      </w:r>
      <w:r>
        <w:rPr>
          <w:i/>
          <w:spacing w:val="-26"/>
          <w:sz w:val="38"/>
        </w:rPr>
        <w:t> </w:t>
      </w:r>
      <w:r>
        <w:rPr>
          <w:i/>
          <w:sz w:val="38"/>
        </w:rPr>
        <w:t>reason</w:t>
      </w:r>
      <w:r>
        <w:rPr>
          <w:i/>
          <w:spacing w:val="-22"/>
          <w:sz w:val="38"/>
        </w:rPr>
        <w:t> </w:t>
      </w:r>
      <w:r>
        <w:rPr>
          <w:i/>
          <w:sz w:val="38"/>
        </w:rPr>
        <w:t>to</w:t>
      </w:r>
      <w:r>
        <w:rPr>
          <w:i/>
          <w:spacing w:val="-24"/>
          <w:sz w:val="38"/>
        </w:rPr>
        <w:t> </w:t>
      </w:r>
      <w:r>
        <w:rPr>
          <w:i/>
          <w:sz w:val="38"/>
        </w:rPr>
        <w:t>make</w:t>
      </w:r>
      <w:r>
        <w:rPr>
          <w:i/>
          <w:spacing w:val="-25"/>
          <w:sz w:val="38"/>
        </w:rPr>
        <w:t> </w:t>
      </w:r>
      <w:r>
        <w:rPr>
          <w:i/>
          <w:sz w:val="38"/>
        </w:rPr>
        <w:t>this</w:t>
      </w:r>
      <w:r>
        <w:rPr>
          <w:i/>
          <w:spacing w:val="-23"/>
          <w:sz w:val="38"/>
        </w:rPr>
        <w:t> </w:t>
      </w:r>
      <w:r>
        <w:rPr>
          <w:i/>
          <w:sz w:val="38"/>
        </w:rPr>
        <w:t>remedy</w:t>
      </w:r>
      <w:r>
        <w:rPr>
          <w:i/>
          <w:spacing w:val="-24"/>
          <w:sz w:val="38"/>
        </w:rPr>
        <w:t> </w:t>
      </w:r>
      <w:r>
        <w:rPr>
          <w:i/>
          <w:sz w:val="38"/>
        </w:rPr>
        <w:t>available to as many people as possible at the present stage, irrespective of whether or not scientific medicine is able to give an explanation for this efficacy or not’.</w:t>
      </w:r>
      <w:r>
        <w:rPr>
          <w:i/>
          <w:spacing w:val="-6"/>
          <w:sz w:val="38"/>
        </w:rPr>
        <w:t> </w:t>
      </w:r>
      <w:r>
        <w:rPr>
          <w:sz w:val="38"/>
        </w:rPr>
        <w:t>(Ders.)</w:t>
      </w:r>
    </w:p>
    <w:p>
      <w:pPr>
        <w:pStyle w:val="Heading1"/>
        <w:spacing w:before="222"/>
      </w:pPr>
      <w:r>
        <w:rPr/>
        <w:t>Metabolism-regulating effect of kombucha</w:t>
      </w:r>
    </w:p>
    <w:p>
      <w:pPr>
        <w:spacing w:line="276" w:lineRule="auto" w:before="300"/>
        <w:ind w:left="477" w:right="139" w:firstLine="0"/>
        <w:jc w:val="both"/>
        <w:rPr>
          <w:sz w:val="38"/>
        </w:rPr>
      </w:pPr>
      <w:r>
        <w:rPr>
          <w:sz w:val="38"/>
        </w:rPr>
        <w:t>‘</w:t>
      </w:r>
      <w:r>
        <w:rPr>
          <w:i/>
          <w:sz w:val="38"/>
        </w:rPr>
        <w:t>Kombucha is a complex compound drink. Just think of the enzymes at work in it. Such as </w:t>
      </w:r>
      <w:r>
        <w:rPr>
          <w:i/>
          <w:sz w:val="38"/>
        </w:rPr>
        <w:t>biocatalysts, which are very important for certain metabolic reactions. Then it is quite clear that they can stimulate metabolic processes in the gut that you would not benefit from without this drink’. </w:t>
      </w:r>
      <w:r>
        <w:rPr>
          <w:sz w:val="38"/>
        </w:rPr>
        <w:t>(Prof. Dr. Karl Heinz Schmidt, University of Tübingen)</w:t>
      </w:r>
    </w:p>
    <w:p>
      <w:pPr>
        <w:pStyle w:val="Heading1"/>
      </w:pPr>
      <w:r>
        <w:rPr/>
        <w:t>Degradation of harmful deposits</w:t>
      </w:r>
    </w:p>
    <w:p>
      <w:pPr>
        <w:spacing w:line="276" w:lineRule="auto" w:before="297"/>
        <w:ind w:left="477" w:right="145" w:firstLine="0"/>
        <w:jc w:val="both"/>
        <w:rPr>
          <w:sz w:val="38"/>
        </w:rPr>
      </w:pPr>
      <w:r>
        <w:rPr>
          <w:sz w:val="38"/>
        </w:rPr>
        <w:t>‘</w:t>
      </w:r>
      <w:r>
        <w:rPr>
          <w:i/>
          <w:sz w:val="38"/>
        </w:rPr>
        <w:t>It detoxifies the entire body via the liver. Harmful deposits such as uric acid and cholesterol </w:t>
      </w:r>
      <w:r>
        <w:rPr>
          <w:i/>
          <w:sz w:val="38"/>
        </w:rPr>
        <w:t>are thereby reduced’. </w:t>
      </w:r>
      <w:r>
        <w:rPr>
          <w:sz w:val="38"/>
        </w:rPr>
        <w:t>(Dr. Reinhold Wiesner, Schwanewede)</w:t>
      </w:r>
    </w:p>
    <w:p>
      <w:pPr>
        <w:pStyle w:val="Heading1"/>
        <w:spacing w:line="261" w:lineRule="auto"/>
        <w:ind w:right="136"/>
        <w:jc w:val="both"/>
      </w:pPr>
      <w:r>
        <w:rPr/>
        <w:t>Effect</w:t>
      </w:r>
      <w:r>
        <w:rPr>
          <w:spacing w:val="-29"/>
        </w:rPr>
        <w:t> </w:t>
      </w:r>
      <w:r>
        <w:rPr/>
        <w:t>of</w:t>
      </w:r>
      <w:r>
        <w:rPr>
          <w:spacing w:val="-28"/>
        </w:rPr>
        <w:t> </w:t>
      </w:r>
      <w:r>
        <w:rPr/>
        <w:t>kombucha</w:t>
      </w:r>
      <w:r>
        <w:rPr>
          <w:spacing w:val="-28"/>
        </w:rPr>
        <w:t> </w:t>
      </w:r>
      <w:r>
        <w:rPr/>
        <w:t>against</w:t>
      </w:r>
      <w:r>
        <w:rPr>
          <w:spacing w:val="-28"/>
        </w:rPr>
        <w:t> </w:t>
      </w:r>
      <w:r>
        <w:rPr/>
        <w:t>fatigue,</w:t>
      </w:r>
      <w:r>
        <w:rPr>
          <w:spacing w:val="-29"/>
        </w:rPr>
        <w:t> </w:t>
      </w:r>
      <w:r>
        <w:rPr/>
        <w:t>nervousness,</w:t>
      </w:r>
      <w:r>
        <w:rPr>
          <w:spacing w:val="-28"/>
        </w:rPr>
        <w:t> </w:t>
      </w:r>
      <w:r>
        <w:rPr/>
        <w:t>haemorrhoids,</w:t>
      </w:r>
      <w:r>
        <w:rPr>
          <w:spacing w:val="-28"/>
        </w:rPr>
        <w:t> </w:t>
      </w:r>
      <w:r>
        <w:rPr/>
        <w:t>high blood</w:t>
      </w:r>
      <w:r>
        <w:rPr>
          <w:spacing w:val="-8"/>
        </w:rPr>
        <w:t> </w:t>
      </w:r>
      <w:r>
        <w:rPr/>
        <w:t>pressure</w:t>
      </w:r>
    </w:p>
    <w:p>
      <w:pPr>
        <w:spacing w:line="276" w:lineRule="auto" w:before="260"/>
        <w:ind w:left="477" w:right="135" w:firstLine="0"/>
        <w:jc w:val="both"/>
        <w:rPr>
          <w:sz w:val="38"/>
        </w:rPr>
      </w:pPr>
      <w:r>
        <w:rPr>
          <w:i/>
          <w:sz w:val="38"/>
        </w:rPr>
        <w:t>‘In summary, it can be said that the tea fungus or the extract formed by it has shown itself to </w:t>
      </w:r>
      <w:r>
        <w:rPr>
          <w:i/>
          <w:sz w:val="38"/>
        </w:rPr>
        <w:t>be an excellent preventive measure against diabetes, but especially signs of ageing, such as arteriosclerosis,</w:t>
      </w:r>
      <w:r>
        <w:rPr>
          <w:i/>
          <w:spacing w:val="-8"/>
          <w:sz w:val="38"/>
        </w:rPr>
        <w:t> </w:t>
      </w:r>
      <w:r>
        <w:rPr>
          <w:i/>
          <w:sz w:val="38"/>
        </w:rPr>
        <w:t>high</w:t>
      </w:r>
      <w:r>
        <w:rPr>
          <w:i/>
          <w:spacing w:val="-8"/>
          <w:sz w:val="38"/>
        </w:rPr>
        <w:t> </w:t>
      </w:r>
      <w:r>
        <w:rPr>
          <w:i/>
          <w:sz w:val="38"/>
        </w:rPr>
        <w:t>blood</w:t>
      </w:r>
      <w:r>
        <w:rPr>
          <w:i/>
          <w:spacing w:val="-8"/>
          <w:sz w:val="38"/>
        </w:rPr>
        <w:t> </w:t>
      </w:r>
      <w:r>
        <w:rPr>
          <w:i/>
          <w:sz w:val="38"/>
        </w:rPr>
        <w:t>pressure</w:t>
      </w:r>
      <w:r>
        <w:rPr>
          <w:i/>
          <w:spacing w:val="-8"/>
          <w:sz w:val="38"/>
        </w:rPr>
        <w:t> </w:t>
      </w:r>
      <w:r>
        <w:rPr>
          <w:i/>
          <w:sz w:val="38"/>
        </w:rPr>
        <w:t>with</w:t>
      </w:r>
      <w:r>
        <w:rPr>
          <w:i/>
          <w:spacing w:val="-9"/>
          <w:sz w:val="38"/>
        </w:rPr>
        <w:t> </w:t>
      </w:r>
      <w:r>
        <w:rPr>
          <w:i/>
          <w:sz w:val="38"/>
        </w:rPr>
        <w:t>sequelae,</w:t>
      </w:r>
      <w:r>
        <w:rPr>
          <w:i/>
          <w:spacing w:val="-7"/>
          <w:sz w:val="38"/>
        </w:rPr>
        <w:t> </w:t>
      </w:r>
      <w:r>
        <w:rPr>
          <w:i/>
          <w:sz w:val="38"/>
        </w:rPr>
        <w:t>such</w:t>
      </w:r>
      <w:r>
        <w:rPr>
          <w:i/>
          <w:spacing w:val="-10"/>
          <w:sz w:val="38"/>
        </w:rPr>
        <w:t> </w:t>
      </w:r>
      <w:r>
        <w:rPr>
          <w:i/>
          <w:sz w:val="38"/>
        </w:rPr>
        <w:t>as</w:t>
      </w:r>
      <w:r>
        <w:rPr>
          <w:i/>
          <w:spacing w:val="-11"/>
          <w:sz w:val="38"/>
        </w:rPr>
        <w:t> </w:t>
      </w:r>
      <w:r>
        <w:rPr>
          <w:i/>
          <w:sz w:val="38"/>
        </w:rPr>
        <w:t>dizziness,</w:t>
      </w:r>
      <w:r>
        <w:rPr>
          <w:i/>
          <w:spacing w:val="-7"/>
          <w:sz w:val="38"/>
        </w:rPr>
        <w:t> </w:t>
      </w:r>
      <w:r>
        <w:rPr>
          <w:i/>
          <w:sz w:val="38"/>
        </w:rPr>
        <w:t>gout</w:t>
      </w:r>
      <w:r>
        <w:rPr>
          <w:i/>
          <w:spacing w:val="-10"/>
          <w:sz w:val="38"/>
        </w:rPr>
        <w:t> </w:t>
      </w:r>
      <w:r>
        <w:rPr>
          <w:sz w:val="38"/>
        </w:rPr>
        <w:t>and</w:t>
      </w:r>
      <w:r>
        <w:rPr>
          <w:spacing w:val="-8"/>
          <w:sz w:val="38"/>
        </w:rPr>
        <w:t> </w:t>
      </w:r>
      <w:r>
        <w:rPr>
          <w:i/>
          <w:sz w:val="38"/>
        </w:rPr>
        <w:t>haemorrhoids</w:t>
      </w:r>
      <w:r>
        <w:rPr>
          <w:sz w:val="38"/>
        </w:rPr>
        <w:t>‘. (Dr. E. Arauner)</w:t>
      </w:r>
    </w:p>
    <w:p>
      <w:pPr>
        <w:pStyle w:val="Heading1"/>
        <w:spacing w:before="222"/>
        <w:jc w:val="both"/>
      </w:pPr>
      <w:r>
        <w:rPr/>
        <w:t>Effect of kombucha against cancer</w:t>
      </w:r>
    </w:p>
    <w:p>
      <w:pPr>
        <w:spacing w:after="0"/>
        <w:jc w:val="both"/>
        <w:sectPr>
          <w:pgSz w:w="14270" w:h="16850"/>
          <w:pgMar w:header="0" w:footer="1891" w:top="1600" w:bottom="2080" w:left="800" w:right="1280"/>
        </w:sectPr>
      </w:pPr>
    </w:p>
    <w:p>
      <w:pPr>
        <w:spacing w:before="181"/>
        <w:ind w:left="573" w:right="0" w:firstLine="0"/>
        <w:jc w:val="left"/>
        <w:rPr>
          <w:i/>
          <w:sz w:val="38"/>
        </w:rPr>
      </w:pPr>
      <w:r>
        <w:rPr>
          <w:i/>
          <w:sz w:val="38"/>
        </w:rPr>
        <w:t>‘In the 1980s, we prescribed Kombucha tea to our cancer patients and were impressed by it’.</w:t>
      </w:r>
    </w:p>
    <w:p>
      <w:pPr>
        <w:pStyle w:val="BodyText"/>
        <w:spacing w:before="65"/>
        <w:ind w:left="477"/>
      </w:pPr>
      <w:r>
        <w:rPr/>
        <w:t>(Dr. Josef Issels)</w:t>
      </w:r>
    </w:p>
    <w:p>
      <w:pPr>
        <w:spacing w:line="276" w:lineRule="auto" w:before="304"/>
        <w:ind w:left="477" w:right="135" w:firstLine="0"/>
        <w:jc w:val="both"/>
        <w:rPr>
          <w:sz w:val="38"/>
        </w:rPr>
      </w:pPr>
      <w:r>
        <w:rPr>
          <w:sz w:val="38"/>
        </w:rPr>
        <w:t>‘T</w:t>
      </w:r>
      <w:r>
        <w:rPr>
          <w:i/>
          <w:sz w:val="38"/>
        </w:rPr>
        <w:t>he</w:t>
      </w:r>
      <w:r>
        <w:rPr>
          <w:i/>
          <w:spacing w:val="-12"/>
          <w:sz w:val="38"/>
        </w:rPr>
        <w:t> </w:t>
      </w:r>
      <w:r>
        <w:rPr>
          <w:i/>
          <w:sz w:val="38"/>
        </w:rPr>
        <w:t>lactic</w:t>
      </w:r>
      <w:r>
        <w:rPr>
          <w:i/>
          <w:spacing w:val="-13"/>
          <w:sz w:val="38"/>
        </w:rPr>
        <w:t> </w:t>
      </w:r>
      <w:r>
        <w:rPr>
          <w:i/>
          <w:sz w:val="38"/>
        </w:rPr>
        <w:t>acid</w:t>
      </w:r>
      <w:r>
        <w:rPr>
          <w:i/>
          <w:spacing w:val="-13"/>
          <w:sz w:val="38"/>
        </w:rPr>
        <w:t> </w:t>
      </w:r>
      <w:r>
        <w:rPr>
          <w:i/>
          <w:sz w:val="38"/>
        </w:rPr>
        <w:t>in</w:t>
      </w:r>
      <w:r>
        <w:rPr>
          <w:i/>
          <w:spacing w:val="-13"/>
          <w:sz w:val="38"/>
        </w:rPr>
        <w:t> </w:t>
      </w:r>
      <w:r>
        <w:rPr>
          <w:i/>
          <w:sz w:val="38"/>
        </w:rPr>
        <w:t>kombucha</w:t>
      </w:r>
      <w:r>
        <w:rPr>
          <w:i/>
          <w:spacing w:val="-12"/>
          <w:sz w:val="38"/>
        </w:rPr>
        <w:t> </w:t>
      </w:r>
      <w:r>
        <w:rPr>
          <w:i/>
          <w:sz w:val="38"/>
        </w:rPr>
        <w:t>tea</w:t>
      </w:r>
      <w:r>
        <w:rPr>
          <w:i/>
          <w:spacing w:val="-11"/>
          <w:sz w:val="38"/>
        </w:rPr>
        <w:t> </w:t>
      </w:r>
      <w:r>
        <w:rPr>
          <w:i/>
          <w:sz w:val="38"/>
        </w:rPr>
        <w:t>is</w:t>
      </w:r>
      <w:r>
        <w:rPr>
          <w:i/>
          <w:spacing w:val="-13"/>
          <w:sz w:val="38"/>
        </w:rPr>
        <w:t> </w:t>
      </w:r>
      <w:r>
        <w:rPr>
          <w:i/>
          <w:sz w:val="38"/>
        </w:rPr>
        <w:t>particularly</w:t>
      </w:r>
      <w:r>
        <w:rPr>
          <w:i/>
          <w:spacing w:val="-12"/>
          <w:sz w:val="38"/>
        </w:rPr>
        <w:t> </w:t>
      </w:r>
      <w:r>
        <w:rPr>
          <w:i/>
          <w:sz w:val="38"/>
        </w:rPr>
        <w:t>important</w:t>
      </w:r>
      <w:r>
        <w:rPr>
          <w:i/>
          <w:spacing w:val="-13"/>
          <w:sz w:val="38"/>
        </w:rPr>
        <w:t> </w:t>
      </w:r>
      <w:r>
        <w:rPr>
          <w:i/>
          <w:sz w:val="38"/>
        </w:rPr>
        <w:t>for</w:t>
      </w:r>
      <w:r>
        <w:rPr>
          <w:i/>
          <w:spacing w:val="-12"/>
          <w:sz w:val="38"/>
        </w:rPr>
        <w:t> </w:t>
      </w:r>
      <w:r>
        <w:rPr>
          <w:i/>
          <w:sz w:val="38"/>
        </w:rPr>
        <w:t>the</w:t>
      </w:r>
      <w:r>
        <w:rPr>
          <w:i/>
          <w:spacing w:val="-14"/>
          <w:sz w:val="38"/>
        </w:rPr>
        <w:t> </w:t>
      </w:r>
      <w:r>
        <w:rPr>
          <w:i/>
          <w:sz w:val="38"/>
        </w:rPr>
        <w:t>treatment</w:t>
      </w:r>
      <w:r>
        <w:rPr>
          <w:i/>
          <w:spacing w:val="-13"/>
          <w:sz w:val="38"/>
        </w:rPr>
        <w:t> </w:t>
      </w:r>
      <w:r>
        <w:rPr>
          <w:i/>
          <w:sz w:val="38"/>
        </w:rPr>
        <w:t>of</w:t>
      </w:r>
      <w:r>
        <w:rPr>
          <w:i/>
          <w:spacing w:val="-13"/>
          <w:sz w:val="38"/>
        </w:rPr>
        <w:t> </w:t>
      </w:r>
      <w:r>
        <w:rPr>
          <w:i/>
          <w:sz w:val="38"/>
        </w:rPr>
        <w:t>cancer</w:t>
      </w:r>
      <w:r>
        <w:rPr>
          <w:i/>
          <w:spacing w:val="-13"/>
          <w:sz w:val="38"/>
        </w:rPr>
        <w:t> </w:t>
      </w:r>
      <w:r>
        <w:rPr>
          <w:i/>
          <w:sz w:val="38"/>
        </w:rPr>
        <w:t>patients. </w:t>
      </w:r>
      <w:r>
        <w:rPr>
          <w:i/>
          <w:sz w:val="38"/>
        </w:rPr>
        <w:t>I</w:t>
      </w:r>
      <w:r>
        <w:rPr>
          <w:i/>
          <w:spacing w:val="-5"/>
          <w:sz w:val="38"/>
        </w:rPr>
        <w:t> </w:t>
      </w:r>
      <w:r>
        <w:rPr>
          <w:i/>
          <w:sz w:val="38"/>
        </w:rPr>
        <w:t>advise</w:t>
      </w:r>
      <w:r>
        <w:rPr>
          <w:i/>
          <w:spacing w:val="-6"/>
          <w:sz w:val="38"/>
        </w:rPr>
        <w:t> </w:t>
      </w:r>
      <w:r>
        <w:rPr>
          <w:i/>
          <w:sz w:val="38"/>
        </w:rPr>
        <w:t>all</w:t>
      </w:r>
      <w:r>
        <w:rPr>
          <w:i/>
          <w:spacing w:val="-4"/>
          <w:sz w:val="38"/>
        </w:rPr>
        <w:t> </w:t>
      </w:r>
      <w:r>
        <w:rPr>
          <w:i/>
          <w:sz w:val="38"/>
        </w:rPr>
        <w:t>patients:</w:t>
      </w:r>
      <w:r>
        <w:rPr>
          <w:i/>
          <w:spacing w:val="-4"/>
          <w:sz w:val="38"/>
        </w:rPr>
        <w:t> </w:t>
      </w:r>
      <w:r>
        <w:rPr>
          <w:i/>
          <w:sz w:val="38"/>
        </w:rPr>
        <w:t>drink</w:t>
      </w:r>
      <w:r>
        <w:rPr>
          <w:i/>
          <w:spacing w:val="-6"/>
          <w:sz w:val="38"/>
        </w:rPr>
        <w:t> </w:t>
      </w:r>
      <w:r>
        <w:rPr>
          <w:i/>
          <w:sz w:val="38"/>
        </w:rPr>
        <w:t>the</w:t>
      </w:r>
      <w:r>
        <w:rPr>
          <w:i/>
          <w:spacing w:val="-7"/>
          <w:sz w:val="38"/>
        </w:rPr>
        <w:t> </w:t>
      </w:r>
      <w:r>
        <w:rPr>
          <w:i/>
          <w:sz w:val="38"/>
        </w:rPr>
        <w:t>fungus</w:t>
      </w:r>
      <w:r>
        <w:rPr>
          <w:i/>
          <w:spacing w:val="-7"/>
          <w:sz w:val="38"/>
        </w:rPr>
        <w:t> </w:t>
      </w:r>
      <w:r>
        <w:rPr>
          <w:i/>
          <w:sz w:val="38"/>
        </w:rPr>
        <w:t>tea</w:t>
      </w:r>
      <w:r>
        <w:rPr>
          <w:i/>
          <w:spacing w:val="-5"/>
          <w:sz w:val="38"/>
        </w:rPr>
        <w:t> </w:t>
      </w:r>
      <w:r>
        <w:rPr>
          <w:i/>
          <w:sz w:val="38"/>
        </w:rPr>
        <w:t>daily,</w:t>
      </w:r>
      <w:r>
        <w:rPr>
          <w:i/>
          <w:spacing w:val="-4"/>
          <w:sz w:val="38"/>
        </w:rPr>
        <w:t> </w:t>
      </w:r>
      <w:r>
        <w:rPr>
          <w:i/>
          <w:sz w:val="38"/>
        </w:rPr>
        <w:t>even</w:t>
      </w:r>
      <w:r>
        <w:rPr>
          <w:i/>
          <w:spacing w:val="-2"/>
          <w:sz w:val="38"/>
        </w:rPr>
        <w:t> </w:t>
      </w:r>
      <w:r>
        <w:rPr>
          <w:i/>
          <w:sz w:val="38"/>
        </w:rPr>
        <w:t>if</w:t>
      </w:r>
      <w:r>
        <w:rPr>
          <w:i/>
          <w:spacing w:val="-7"/>
          <w:sz w:val="38"/>
        </w:rPr>
        <w:t> </w:t>
      </w:r>
      <w:r>
        <w:rPr>
          <w:i/>
          <w:sz w:val="38"/>
        </w:rPr>
        <w:t>it</w:t>
      </w:r>
      <w:r>
        <w:rPr>
          <w:i/>
          <w:spacing w:val="-6"/>
          <w:sz w:val="38"/>
        </w:rPr>
        <w:t> </w:t>
      </w:r>
      <w:r>
        <w:rPr>
          <w:i/>
          <w:sz w:val="38"/>
        </w:rPr>
        <w:t>is</w:t>
      </w:r>
      <w:r>
        <w:rPr>
          <w:i/>
          <w:spacing w:val="-5"/>
          <w:sz w:val="38"/>
        </w:rPr>
        <w:t> </w:t>
      </w:r>
      <w:r>
        <w:rPr>
          <w:i/>
          <w:sz w:val="38"/>
        </w:rPr>
        <w:t>just</w:t>
      </w:r>
      <w:r>
        <w:rPr>
          <w:i/>
          <w:spacing w:val="-6"/>
          <w:sz w:val="38"/>
        </w:rPr>
        <w:t> </w:t>
      </w:r>
      <w:r>
        <w:rPr>
          <w:i/>
          <w:sz w:val="38"/>
        </w:rPr>
        <w:t>one</w:t>
      </w:r>
      <w:r>
        <w:rPr>
          <w:i/>
          <w:spacing w:val="-6"/>
          <w:sz w:val="38"/>
        </w:rPr>
        <w:t> </w:t>
      </w:r>
      <w:r>
        <w:rPr>
          <w:i/>
          <w:sz w:val="38"/>
        </w:rPr>
        <w:t>glass.</w:t>
      </w:r>
      <w:r>
        <w:rPr>
          <w:i/>
          <w:spacing w:val="-4"/>
          <w:sz w:val="38"/>
        </w:rPr>
        <w:t> </w:t>
      </w:r>
      <w:r>
        <w:rPr>
          <w:i/>
          <w:sz w:val="38"/>
        </w:rPr>
        <w:t>It</w:t>
      </w:r>
      <w:r>
        <w:rPr>
          <w:i/>
          <w:spacing w:val="-6"/>
          <w:sz w:val="38"/>
        </w:rPr>
        <w:t> </w:t>
      </w:r>
      <w:r>
        <w:rPr>
          <w:i/>
          <w:sz w:val="38"/>
        </w:rPr>
        <w:t>helps</w:t>
      </w:r>
      <w:r>
        <w:rPr>
          <w:i/>
          <w:spacing w:val="-3"/>
          <w:sz w:val="38"/>
        </w:rPr>
        <w:t> </w:t>
      </w:r>
      <w:r>
        <w:rPr>
          <w:i/>
          <w:sz w:val="38"/>
        </w:rPr>
        <w:t>with</w:t>
      </w:r>
      <w:r>
        <w:rPr>
          <w:i/>
          <w:spacing w:val="-3"/>
          <w:sz w:val="38"/>
        </w:rPr>
        <w:t> </w:t>
      </w:r>
      <w:r>
        <w:rPr>
          <w:i/>
          <w:sz w:val="38"/>
        </w:rPr>
        <w:t>many diseases’. </w:t>
      </w:r>
      <w:r>
        <w:rPr>
          <w:sz w:val="38"/>
        </w:rPr>
        <w:t>(Dr. Veronika</w:t>
      </w:r>
      <w:r>
        <w:rPr>
          <w:spacing w:val="3"/>
          <w:sz w:val="38"/>
        </w:rPr>
        <w:t> </w:t>
      </w:r>
      <w:r>
        <w:rPr>
          <w:sz w:val="38"/>
        </w:rPr>
        <w:t>Carstens)</w:t>
      </w:r>
    </w:p>
    <w:p>
      <w:pPr>
        <w:pStyle w:val="Heading1"/>
        <w:spacing w:before="222"/>
      </w:pPr>
      <w:r>
        <w:rPr/>
        <w:t>Effect of kombucha on the detoxification of the organism</w:t>
      </w:r>
    </w:p>
    <w:p>
      <w:pPr>
        <w:spacing w:line="276" w:lineRule="auto" w:before="300"/>
        <w:ind w:left="477" w:right="132" w:firstLine="0"/>
        <w:jc w:val="both"/>
        <w:rPr>
          <w:sz w:val="38"/>
        </w:rPr>
      </w:pPr>
      <w:r>
        <w:rPr>
          <w:sz w:val="38"/>
        </w:rPr>
        <w:t>‘</w:t>
      </w:r>
      <w:r>
        <w:rPr>
          <w:i/>
          <w:sz w:val="38"/>
        </w:rPr>
        <w:t>An excellent natural remedy is the ingestion of a fungus drink called kombucha, which de- </w:t>
      </w:r>
      <w:r>
        <w:rPr>
          <w:i/>
          <w:sz w:val="38"/>
        </w:rPr>
        <w:t>toxifies</w:t>
      </w:r>
      <w:r>
        <w:rPr>
          <w:i/>
          <w:spacing w:val="-17"/>
          <w:sz w:val="38"/>
        </w:rPr>
        <w:t> </w:t>
      </w:r>
      <w:r>
        <w:rPr>
          <w:i/>
          <w:sz w:val="38"/>
        </w:rPr>
        <w:t>in</w:t>
      </w:r>
      <w:r>
        <w:rPr>
          <w:i/>
          <w:spacing w:val="-15"/>
          <w:sz w:val="38"/>
        </w:rPr>
        <w:t> </w:t>
      </w:r>
      <w:r>
        <w:rPr>
          <w:i/>
          <w:sz w:val="38"/>
        </w:rPr>
        <w:t>every</w:t>
      </w:r>
      <w:r>
        <w:rPr>
          <w:i/>
          <w:spacing w:val="-15"/>
          <w:sz w:val="38"/>
        </w:rPr>
        <w:t> </w:t>
      </w:r>
      <w:r>
        <w:rPr>
          <w:i/>
          <w:sz w:val="38"/>
        </w:rPr>
        <w:t>respect</w:t>
      </w:r>
      <w:r>
        <w:rPr>
          <w:i/>
          <w:spacing w:val="-16"/>
          <w:sz w:val="38"/>
        </w:rPr>
        <w:t> </w:t>
      </w:r>
      <w:r>
        <w:rPr>
          <w:i/>
          <w:sz w:val="38"/>
        </w:rPr>
        <w:t>and</w:t>
      </w:r>
      <w:r>
        <w:rPr>
          <w:i/>
          <w:spacing w:val="-15"/>
          <w:sz w:val="38"/>
        </w:rPr>
        <w:t> </w:t>
      </w:r>
      <w:r>
        <w:rPr>
          <w:i/>
          <w:sz w:val="38"/>
        </w:rPr>
        <w:t>dissolves</w:t>
      </w:r>
      <w:r>
        <w:rPr>
          <w:i/>
          <w:spacing w:val="-16"/>
          <w:sz w:val="38"/>
        </w:rPr>
        <w:t> </w:t>
      </w:r>
      <w:r>
        <w:rPr>
          <w:i/>
          <w:sz w:val="38"/>
        </w:rPr>
        <w:t>microorganisms</w:t>
      </w:r>
      <w:r>
        <w:rPr>
          <w:i/>
          <w:spacing w:val="-16"/>
          <w:sz w:val="38"/>
        </w:rPr>
        <w:t> </w:t>
      </w:r>
      <w:r>
        <w:rPr>
          <w:i/>
          <w:sz w:val="38"/>
        </w:rPr>
        <w:t>as</w:t>
      </w:r>
      <w:r>
        <w:rPr>
          <w:i/>
          <w:spacing w:val="-17"/>
          <w:sz w:val="38"/>
        </w:rPr>
        <w:t> </w:t>
      </w:r>
      <w:r>
        <w:rPr>
          <w:i/>
          <w:sz w:val="38"/>
        </w:rPr>
        <w:t>well</w:t>
      </w:r>
      <w:r>
        <w:rPr>
          <w:i/>
          <w:spacing w:val="-14"/>
          <w:sz w:val="38"/>
        </w:rPr>
        <w:t> </w:t>
      </w:r>
      <w:r>
        <w:rPr>
          <w:i/>
          <w:sz w:val="38"/>
        </w:rPr>
        <w:t>as</w:t>
      </w:r>
      <w:r>
        <w:rPr>
          <w:i/>
          <w:spacing w:val="-18"/>
          <w:sz w:val="38"/>
        </w:rPr>
        <w:t> </w:t>
      </w:r>
      <w:r>
        <w:rPr>
          <w:i/>
          <w:sz w:val="38"/>
        </w:rPr>
        <w:t>uric</w:t>
      </w:r>
      <w:r>
        <w:rPr>
          <w:i/>
          <w:spacing w:val="-15"/>
          <w:sz w:val="38"/>
        </w:rPr>
        <w:t> </w:t>
      </w:r>
      <w:r>
        <w:rPr>
          <w:i/>
          <w:sz w:val="38"/>
        </w:rPr>
        <w:t>acid</w:t>
      </w:r>
      <w:r>
        <w:rPr>
          <w:i/>
          <w:spacing w:val="-17"/>
          <w:sz w:val="38"/>
        </w:rPr>
        <w:t> </w:t>
      </w:r>
      <w:r>
        <w:rPr>
          <w:i/>
          <w:sz w:val="38"/>
        </w:rPr>
        <w:t>and</w:t>
      </w:r>
      <w:r>
        <w:rPr>
          <w:i/>
          <w:spacing w:val="-7"/>
          <w:sz w:val="38"/>
        </w:rPr>
        <w:t> </w:t>
      </w:r>
      <w:r>
        <w:rPr>
          <w:i/>
          <w:sz w:val="38"/>
        </w:rPr>
        <w:t>cholesterol’.</w:t>
      </w:r>
      <w:r>
        <w:rPr>
          <w:i/>
          <w:spacing w:val="-15"/>
          <w:sz w:val="38"/>
        </w:rPr>
        <w:t> </w:t>
      </w:r>
      <w:r>
        <w:rPr>
          <w:sz w:val="38"/>
        </w:rPr>
        <w:t>(Dr. Rudolf Sklenar, Lich)</w:t>
      </w:r>
    </w:p>
    <w:p>
      <w:pPr>
        <w:pStyle w:val="Heading1"/>
        <w:spacing w:line="261" w:lineRule="auto"/>
        <w:ind w:right="133"/>
        <w:jc w:val="both"/>
      </w:pPr>
      <w:r>
        <w:rPr>
          <w:w w:val="95"/>
        </w:rPr>
        <w:t>General effect on metabolic diseases (gout, rheumatism),</w:t>
      </w:r>
      <w:r>
        <w:rPr>
          <w:spacing w:val="-54"/>
          <w:w w:val="95"/>
        </w:rPr>
        <w:t> </w:t>
      </w:r>
      <w:r>
        <w:rPr>
          <w:w w:val="95"/>
        </w:rPr>
        <w:t>haemorrhoids, </w:t>
      </w:r>
      <w:r>
        <w:rPr/>
        <w:t>atherosclerosis</w:t>
      </w:r>
    </w:p>
    <w:p>
      <w:pPr>
        <w:spacing w:line="276" w:lineRule="auto" w:before="258"/>
        <w:ind w:left="477" w:right="134" w:firstLine="0"/>
        <w:jc w:val="both"/>
        <w:rPr>
          <w:i/>
          <w:sz w:val="38"/>
        </w:rPr>
      </w:pPr>
      <w:r>
        <w:rPr>
          <w:sz w:val="38"/>
        </w:rPr>
        <w:t>The pharmacist Bergold believes kombucha ‘</w:t>
      </w:r>
      <w:r>
        <w:rPr>
          <w:i/>
          <w:sz w:val="38"/>
        </w:rPr>
        <w:t>is highly recommended as a daily drink </w:t>
      </w:r>
      <w:r>
        <w:rPr>
          <w:i/>
          <w:sz w:val="38"/>
        </w:rPr>
        <w:t>for</w:t>
      </w:r>
      <w:r>
        <w:rPr>
          <w:i/>
          <w:spacing w:val="-9"/>
          <w:sz w:val="38"/>
        </w:rPr>
        <w:t> </w:t>
      </w:r>
      <w:r>
        <w:rPr>
          <w:i/>
          <w:sz w:val="38"/>
        </w:rPr>
        <w:t>tackling</w:t>
      </w:r>
      <w:r>
        <w:rPr>
          <w:i/>
          <w:spacing w:val="-10"/>
          <w:sz w:val="38"/>
        </w:rPr>
        <w:t> </w:t>
      </w:r>
      <w:r>
        <w:rPr>
          <w:i/>
          <w:sz w:val="38"/>
        </w:rPr>
        <w:t>metabolic</w:t>
      </w:r>
      <w:r>
        <w:rPr>
          <w:i/>
          <w:spacing w:val="-9"/>
          <w:sz w:val="38"/>
        </w:rPr>
        <w:t> </w:t>
      </w:r>
      <w:r>
        <w:rPr>
          <w:i/>
          <w:sz w:val="38"/>
        </w:rPr>
        <w:t>diseases</w:t>
      </w:r>
      <w:r>
        <w:rPr>
          <w:i/>
          <w:spacing w:val="-12"/>
          <w:sz w:val="38"/>
        </w:rPr>
        <w:t> </w:t>
      </w:r>
      <w:r>
        <w:rPr>
          <w:i/>
          <w:sz w:val="38"/>
        </w:rPr>
        <w:t>(gout,</w:t>
      </w:r>
      <w:r>
        <w:rPr>
          <w:i/>
          <w:spacing w:val="-9"/>
          <w:sz w:val="38"/>
        </w:rPr>
        <w:t> </w:t>
      </w:r>
      <w:r>
        <w:rPr>
          <w:i/>
          <w:sz w:val="38"/>
        </w:rPr>
        <w:t>rheumatism,</w:t>
      </w:r>
      <w:r>
        <w:rPr>
          <w:i/>
          <w:spacing w:val="-10"/>
          <w:sz w:val="38"/>
        </w:rPr>
        <w:t> </w:t>
      </w:r>
      <w:r>
        <w:rPr>
          <w:i/>
          <w:sz w:val="38"/>
        </w:rPr>
        <w:t>haemorrhoids),</w:t>
      </w:r>
      <w:r>
        <w:rPr>
          <w:i/>
          <w:spacing w:val="-10"/>
          <w:sz w:val="38"/>
        </w:rPr>
        <w:t> </w:t>
      </w:r>
      <w:r>
        <w:rPr>
          <w:i/>
          <w:sz w:val="38"/>
        </w:rPr>
        <w:t>early</w:t>
      </w:r>
      <w:r>
        <w:rPr>
          <w:i/>
          <w:spacing w:val="-9"/>
          <w:sz w:val="38"/>
        </w:rPr>
        <w:t> </w:t>
      </w:r>
      <w:r>
        <w:rPr>
          <w:i/>
          <w:sz w:val="38"/>
        </w:rPr>
        <w:t>arteriosclerosis</w:t>
      </w:r>
      <w:r>
        <w:rPr>
          <w:i/>
          <w:spacing w:val="-12"/>
          <w:sz w:val="38"/>
        </w:rPr>
        <w:t> </w:t>
      </w:r>
      <w:r>
        <w:rPr>
          <w:i/>
          <w:sz w:val="38"/>
        </w:rPr>
        <w:t>and</w:t>
      </w:r>
      <w:r>
        <w:rPr>
          <w:i/>
          <w:spacing w:val="-10"/>
          <w:sz w:val="38"/>
        </w:rPr>
        <w:t> </w:t>
      </w:r>
      <w:r>
        <w:rPr>
          <w:i/>
          <w:sz w:val="38"/>
        </w:rPr>
        <w:t>its side</w:t>
      </w:r>
      <w:r>
        <w:rPr>
          <w:i/>
          <w:spacing w:val="-7"/>
          <w:sz w:val="38"/>
        </w:rPr>
        <w:t> </w:t>
      </w:r>
      <w:r>
        <w:rPr>
          <w:i/>
          <w:sz w:val="38"/>
        </w:rPr>
        <w:t>effects,</w:t>
      </w:r>
      <w:r>
        <w:rPr>
          <w:i/>
          <w:spacing w:val="-8"/>
          <w:sz w:val="38"/>
        </w:rPr>
        <w:t> </w:t>
      </w:r>
      <w:r>
        <w:rPr>
          <w:i/>
          <w:sz w:val="38"/>
        </w:rPr>
        <w:t>against</w:t>
      </w:r>
      <w:r>
        <w:rPr>
          <w:i/>
          <w:spacing w:val="-6"/>
          <w:sz w:val="38"/>
        </w:rPr>
        <w:t> </w:t>
      </w:r>
      <w:r>
        <w:rPr>
          <w:i/>
          <w:sz w:val="38"/>
        </w:rPr>
        <w:t>physical</w:t>
      </w:r>
      <w:r>
        <w:rPr>
          <w:i/>
          <w:spacing w:val="-5"/>
          <w:sz w:val="38"/>
        </w:rPr>
        <w:t> </w:t>
      </w:r>
      <w:r>
        <w:rPr>
          <w:i/>
          <w:sz w:val="38"/>
        </w:rPr>
        <w:t>and</w:t>
      </w:r>
      <w:r>
        <w:rPr>
          <w:i/>
          <w:spacing w:val="-5"/>
          <w:sz w:val="38"/>
        </w:rPr>
        <w:t> </w:t>
      </w:r>
      <w:r>
        <w:rPr>
          <w:i/>
          <w:sz w:val="38"/>
        </w:rPr>
        <w:t>mental</w:t>
      </w:r>
      <w:r>
        <w:rPr>
          <w:i/>
          <w:spacing w:val="-7"/>
          <w:sz w:val="38"/>
        </w:rPr>
        <w:t> </w:t>
      </w:r>
      <w:r>
        <w:rPr>
          <w:i/>
          <w:sz w:val="38"/>
        </w:rPr>
        <w:t>fatigue</w:t>
      </w:r>
      <w:r>
        <w:rPr>
          <w:i/>
          <w:spacing w:val="-5"/>
          <w:sz w:val="38"/>
        </w:rPr>
        <w:t> </w:t>
      </w:r>
      <w:r>
        <w:rPr>
          <w:i/>
          <w:sz w:val="38"/>
        </w:rPr>
        <w:t>(due</w:t>
      </w:r>
      <w:r>
        <w:rPr>
          <w:i/>
          <w:spacing w:val="-7"/>
          <w:sz w:val="38"/>
        </w:rPr>
        <w:t> </w:t>
      </w:r>
      <w:r>
        <w:rPr>
          <w:i/>
          <w:sz w:val="38"/>
        </w:rPr>
        <w:t>to</w:t>
      </w:r>
      <w:r>
        <w:rPr>
          <w:i/>
          <w:spacing w:val="-8"/>
          <w:sz w:val="38"/>
        </w:rPr>
        <w:t> </w:t>
      </w:r>
      <w:r>
        <w:rPr>
          <w:i/>
          <w:sz w:val="38"/>
        </w:rPr>
        <w:t>overexertion,</w:t>
      </w:r>
      <w:r>
        <w:rPr>
          <w:i/>
          <w:spacing w:val="-5"/>
          <w:sz w:val="38"/>
        </w:rPr>
        <w:t> </w:t>
      </w:r>
      <w:r>
        <w:rPr>
          <w:i/>
          <w:sz w:val="38"/>
        </w:rPr>
        <w:t>in</w:t>
      </w:r>
      <w:r>
        <w:rPr>
          <w:i/>
          <w:spacing w:val="-7"/>
          <w:sz w:val="38"/>
        </w:rPr>
        <w:t> </w:t>
      </w:r>
      <w:r>
        <w:rPr>
          <w:i/>
          <w:sz w:val="38"/>
        </w:rPr>
        <w:t>agriculture,</w:t>
      </w:r>
      <w:r>
        <w:rPr>
          <w:i/>
          <w:spacing w:val="-7"/>
          <w:sz w:val="38"/>
        </w:rPr>
        <w:t> </w:t>
      </w:r>
      <w:r>
        <w:rPr>
          <w:i/>
          <w:sz w:val="38"/>
        </w:rPr>
        <w:t>in</w:t>
      </w:r>
      <w:r>
        <w:rPr>
          <w:i/>
          <w:spacing w:val="-6"/>
          <w:sz w:val="38"/>
        </w:rPr>
        <w:t> </w:t>
      </w:r>
      <w:r>
        <w:rPr>
          <w:i/>
          <w:sz w:val="38"/>
        </w:rPr>
        <w:t>sports), for stimulating bowel activity (constipation, obesity, feeling of fullness), for improving the gen- eral condition (sexual problems) and in</w:t>
      </w:r>
      <w:r>
        <w:rPr>
          <w:i/>
          <w:spacing w:val="1"/>
          <w:sz w:val="38"/>
        </w:rPr>
        <w:t> </w:t>
      </w:r>
      <w:r>
        <w:rPr>
          <w:i/>
          <w:sz w:val="38"/>
        </w:rPr>
        <w:t>convalescence’.</w:t>
      </w:r>
    </w:p>
    <w:p>
      <w:pPr>
        <w:pStyle w:val="Heading1"/>
      </w:pPr>
      <w:r>
        <w:rPr/>
        <w:t>Effect of kombucha against high</w:t>
      </w:r>
      <w:r>
        <w:rPr>
          <w:spacing w:val="-60"/>
        </w:rPr>
        <w:t> </w:t>
      </w:r>
      <w:r>
        <w:rPr/>
        <w:t>cholesterol</w:t>
      </w:r>
    </w:p>
    <w:p>
      <w:pPr>
        <w:spacing w:line="276" w:lineRule="auto" w:before="300"/>
        <w:ind w:left="477" w:right="134" w:firstLine="0"/>
        <w:jc w:val="both"/>
        <w:rPr>
          <w:sz w:val="38"/>
        </w:rPr>
      </w:pPr>
      <w:r>
        <w:rPr>
          <w:i/>
          <w:sz w:val="38"/>
        </w:rPr>
        <w:t>‘The glucuronic acid contained in kombucha tea lowers cholesterol in the blood because it </w:t>
      </w:r>
      <w:r>
        <w:rPr>
          <w:i/>
          <w:sz w:val="38"/>
        </w:rPr>
        <w:t>reduces</w:t>
      </w:r>
      <w:r>
        <w:rPr>
          <w:i/>
          <w:spacing w:val="-10"/>
          <w:sz w:val="38"/>
        </w:rPr>
        <w:t> </w:t>
      </w:r>
      <w:r>
        <w:rPr>
          <w:i/>
          <w:sz w:val="38"/>
        </w:rPr>
        <w:t>the</w:t>
      </w:r>
      <w:r>
        <w:rPr>
          <w:i/>
          <w:spacing w:val="-9"/>
          <w:sz w:val="38"/>
        </w:rPr>
        <w:t> </w:t>
      </w:r>
      <w:r>
        <w:rPr>
          <w:i/>
          <w:sz w:val="38"/>
        </w:rPr>
        <w:t>number</w:t>
      </w:r>
      <w:r>
        <w:rPr>
          <w:i/>
          <w:spacing w:val="-11"/>
          <w:sz w:val="38"/>
        </w:rPr>
        <w:t> </w:t>
      </w:r>
      <w:r>
        <w:rPr>
          <w:i/>
          <w:sz w:val="38"/>
        </w:rPr>
        <w:t>of</w:t>
      </w:r>
      <w:r>
        <w:rPr>
          <w:i/>
          <w:spacing w:val="-9"/>
          <w:sz w:val="38"/>
        </w:rPr>
        <w:t> </w:t>
      </w:r>
      <w:r>
        <w:rPr>
          <w:i/>
          <w:sz w:val="38"/>
        </w:rPr>
        <w:t>so-called</w:t>
      </w:r>
      <w:r>
        <w:rPr>
          <w:i/>
          <w:spacing w:val="-10"/>
          <w:sz w:val="38"/>
        </w:rPr>
        <w:t> </w:t>
      </w:r>
      <w:r>
        <w:rPr>
          <w:i/>
          <w:sz w:val="38"/>
        </w:rPr>
        <w:t>chylo-crowns</w:t>
      </w:r>
      <w:r>
        <w:rPr>
          <w:i/>
          <w:spacing w:val="-9"/>
          <w:sz w:val="38"/>
        </w:rPr>
        <w:t> </w:t>
      </w:r>
      <w:r>
        <w:rPr>
          <w:i/>
          <w:sz w:val="38"/>
        </w:rPr>
        <w:t>–</w:t>
      </w:r>
      <w:r>
        <w:rPr>
          <w:i/>
          <w:spacing w:val="-10"/>
          <w:sz w:val="38"/>
        </w:rPr>
        <w:t> </w:t>
      </w:r>
      <w:r>
        <w:rPr>
          <w:i/>
          <w:sz w:val="38"/>
        </w:rPr>
        <w:t>these</w:t>
      </w:r>
      <w:r>
        <w:rPr>
          <w:i/>
          <w:spacing w:val="-9"/>
          <w:sz w:val="38"/>
        </w:rPr>
        <w:t> </w:t>
      </w:r>
      <w:r>
        <w:rPr>
          <w:i/>
          <w:sz w:val="38"/>
        </w:rPr>
        <w:t>are</w:t>
      </w:r>
      <w:r>
        <w:rPr>
          <w:i/>
          <w:spacing w:val="-10"/>
          <w:sz w:val="38"/>
        </w:rPr>
        <w:t> </w:t>
      </w:r>
      <w:r>
        <w:rPr>
          <w:i/>
          <w:sz w:val="38"/>
        </w:rPr>
        <w:t>small</w:t>
      </w:r>
      <w:r>
        <w:rPr>
          <w:i/>
          <w:spacing w:val="-8"/>
          <w:sz w:val="38"/>
        </w:rPr>
        <w:t> </w:t>
      </w:r>
      <w:r>
        <w:rPr>
          <w:i/>
          <w:sz w:val="38"/>
        </w:rPr>
        <w:t>droplets</w:t>
      </w:r>
      <w:r>
        <w:rPr>
          <w:i/>
          <w:spacing w:val="-12"/>
          <w:sz w:val="38"/>
        </w:rPr>
        <w:t> </w:t>
      </w:r>
      <w:r>
        <w:rPr>
          <w:i/>
          <w:sz w:val="38"/>
        </w:rPr>
        <w:t>that</w:t>
      </w:r>
      <w:r>
        <w:rPr>
          <w:i/>
          <w:spacing w:val="-8"/>
          <w:sz w:val="38"/>
        </w:rPr>
        <w:t> </w:t>
      </w:r>
      <w:r>
        <w:rPr>
          <w:i/>
          <w:sz w:val="38"/>
        </w:rPr>
        <w:t>carry</w:t>
      </w:r>
      <w:r>
        <w:rPr>
          <w:i/>
          <w:spacing w:val="-8"/>
          <w:sz w:val="38"/>
        </w:rPr>
        <w:t> </w:t>
      </w:r>
      <w:r>
        <w:rPr>
          <w:i/>
          <w:sz w:val="38"/>
        </w:rPr>
        <w:t>the</w:t>
      </w:r>
      <w:r>
        <w:rPr>
          <w:i/>
          <w:spacing w:val="-12"/>
          <w:sz w:val="38"/>
        </w:rPr>
        <w:t> </w:t>
      </w:r>
      <w:r>
        <w:rPr>
          <w:i/>
          <w:sz w:val="38"/>
        </w:rPr>
        <w:t>fat</w:t>
      </w:r>
      <w:r>
        <w:rPr>
          <w:i/>
          <w:spacing w:val="-8"/>
          <w:sz w:val="38"/>
        </w:rPr>
        <w:t> </w:t>
      </w:r>
      <w:r>
        <w:rPr>
          <w:i/>
          <w:sz w:val="38"/>
        </w:rPr>
        <w:t>in</w:t>
      </w:r>
      <w:r>
        <w:rPr>
          <w:i/>
          <w:spacing w:val="-10"/>
          <w:sz w:val="38"/>
        </w:rPr>
        <w:t> </w:t>
      </w:r>
      <w:r>
        <w:rPr>
          <w:i/>
          <w:sz w:val="38"/>
        </w:rPr>
        <w:t>the blood’. </w:t>
      </w:r>
      <w:r>
        <w:rPr>
          <w:sz w:val="38"/>
        </w:rPr>
        <w:t>(Dr.</w:t>
      </w:r>
      <w:r>
        <w:rPr>
          <w:spacing w:val="3"/>
          <w:sz w:val="38"/>
        </w:rPr>
        <w:t> </w:t>
      </w:r>
      <w:r>
        <w:rPr>
          <w:sz w:val="38"/>
        </w:rPr>
        <w:t>Rebholz)</w:t>
      </w:r>
    </w:p>
    <w:p>
      <w:pPr>
        <w:spacing w:after="0" w:line="276" w:lineRule="auto"/>
        <w:jc w:val="both"/>
        <w:rPr>
          <w:sz w:val="38"/>
        </w:rPr>
        <w:sectPr>
          <w:pgSz w:w="14270" w:h="16850"/>
          <w:pgMar w:header="0" w:footer="1891" w:top="1600" w:bottom="2080" w:left="800" w:right="1280"/>
        </w:sectPr>
      </w:pPr>
    </w:p>
    <w:p>
      <w:pPr>
        <w:pStyle w:val="Heading1"/>
        <w:spacing w:before="164"/>
      </w:pPr>
      <w:r>
        <w:rPr/>
        <w:t>Effect as an advantageous milieu shift</w:t>
      </w:r>
    </w:p>
    <w:p>
      <w:pPr>
        <w:spacing w:line="276" w:lineRule="auto" w:before="299"/>
        <w:ind w:left="477" w:right="135" w:firstLine="0"/>
        <w:jc w:val="both"/>
        <w:rPr>
          <w:sz w:val="38"/>
        </w:rPr>
      </w:pPr>
      <w:r>
        <w:rPr>
          <w:i/>
          <w:sz w:val="38"/>
        </w:rPr>
        <w:t>‘First</w:t>
      </w:r>
      <w:r>
        <w:rPr>
          <w:i/>
          <w:spacing w:val="-7"/>
          <w:sz w:val="38"/>
        </w:rPr>
        <w:t> </w:t>
      </w:r>
      <w:r>
        <w:rPr>
          <w:i/>
          <w:sz w:val="38"/>
        </w:rPr>
        <w:t>of</w:t>
      </w:r>
      <w:r>
        <w:rPr>
          <w:i/>
          <w:spacing w:val="-8"/>
          <w:sz w:val="38"/>
        </w:rPr>
        <w:t> </w:t>
      </w:r>
      <w:r>
        <w:rPr>
          <w:i/>
          <w:sz w:val="38"/>
        </w:rPr>
        <w:t>all,</w:t>
      </w:r>
      <w:r>
        <w:rPr>
          <w:i/>
          <w:spacing w:val="-9"/>
          <w:sz w:val="38"/>
        </w:rPr>
        <w:t> </w:t>
      </w:r>
      <w:r>
        <w:rPr>
          <w:i/>
          <w:sz w:val="38"/>
        </w:rPr>
        <w:t>I</w:t>
      </w:r>
      <w:r>
        <w:rPr>
          <w:i/>
          <w:spacing w:val="-10"/>
          <w:sz w:val="38"/>
        </w:rPr>
        <w:t> </w:t>
      </w:r>
      <w:r>
        <w:rPr>
          <w:i/>
          <w:sz w:val="38"/>
        </w:rPr>
        <w:t>would</w:t>
      </w:r>
      <w:r>
        <w:rPr>
          <w:i/>
          <w:spacing w:val="-8"/>
          <w:sz w:val="38"/>
        </w:rPr>
        <w:t> </w:t>
      </w:r>
      <w:r>
        <w:rPr>
          <w:i/>
          <w:sz w:val="38"/>
        </w:rPr>
        <w:t>like</w:t>
      </w:r>
      <w:r>
        <w:rPr>
          <w:i/>
          <w:spacing w:val="-9"/>
          <w:sz w:val="38"/>
        </w:rPr>
        <w:t> </w:t>
      </w:r>
      <w:r>
        <w:rPr>
          <w:i/>
          <w:sz w:val="38"/>
        </w:rPr>
        <w:t>to</w:t>
      </w:r>
      <w:r>
        <w:rPr>
          <w:i/>
          <w:spacing w:val="-9"/>
          <w:sz w:val="38"/>
        </w:rPr>
        <w:t> </w:t>
      </w:r>
      <w:r>
        <w:rPr>
          <w:i/>
          <w:sz w:val="38"/>
        </w:rPr>
        <w:t>address</w:t>
      </w:r>
      <w:r>
        <w:rPr>
          <w:i/>
          <w:spacing w:val="-7"/>
          <w:sz w:val="38"/>
        </w:rPr>
        <w:t> </w:t>
      </w:r>
      <w:r>
        <w:rPr>
          <w:i/>
          <w:sz w:val="38"/>
        </w:rPr>
        <w:t>the</w:t>
      </w:r>
      <w:r>
        <w:rPr>
          <w:i/>
          <w:spacing w:val="-7"/>
          <w:sz w:val="38"/>
        </w:rPr>
        <w:t> </w:t>
      </w:r>
      <w:r>
        <w:rPr>
          <w:i/>
          <w:sz w:val="38"/>
        </w:rPr>
        <w:t>gastrointestinal</w:t>
      </w:r>
      <w:r>
        <w:rPr>
          <w:i/>
          <w:spacing w:val="-9"/>
          <w:sz w:val="38"/>
        </w:rPr>
        <w:t> </w:t>
      </w:r>
      <w:r>
        <w:rPr>
          <w:i/>
          <w:sz w:val="38"/>
        </w:rPr>
        <w:t>area.</w:t>
      </w:r>
      <w:r>
        <w:rPr>
          <w:i/>
          <w:spacing w:val="-8"/>
          <w:sz w:val="38"/>
        </w:rPr>
        <w:t> </w:t>
      </w:r>
      <w:r>
        <w:rPr>
          <w:i/>
          <w:sz w:val="38"/>
        </w:rPr>
        <w:t>The</w:t>
      </w:r>
      <w:r>
        <w:rPr>
          <w:i/>
          <w:spacing w:val="-8"/>
          <w:sz w:val="38"/>
        </w:rPr>
        <w:t> </w:t>
      </w:r>
      <w:r>
        <w:rPr>
          <w:i/>
          <w:sz w:val="38"/>
        </w:rPr>
        <w:t>properties</w:t>
      </w:r>
      <w:r>
        <w:rPr>
          <w:i/>
          <w:spacing w:val="-8"/>
          <w:sz w:val="38"/>
        </w:rPr>
        <w:t> </w:t>
      </w:r>
      <w:r>
        <w:rPr>
          <w:i/>
          <w:sz w:val="38"/>
        </w:rPr>
        <w:t>of</w:t>
      </w:r>
      <w:r>
        <w:rPr>
          <w:i/>
          <w:spacing w:val="-6"/>
          <w:sz w:val="38"/>
        </w:rPr>
        <w:t> </w:t>
      </w:r>
      <w:r>
        <w:rPr>
          <w:i/>
          <w:sz w:val="38"/>
        </w:rPr>
        <w:t>kombucha</w:t>
      </w:r>
      <w:r>
        <w:rPr>
          <w:i/>
          <w:spacing w:val="-9"/>
          <w:sz w:val="38"/>
        </w:rPr>
        <w:t> </w:t>
      </w:r>
      <w:r>
        <w:rPr>
          <w:i/>
          <w:sz w:val="38"/>
        </w:rPr>
        <w:t>tea </w:t>
      </w:r>
      <w:r>
        <w:rPr>
          <w:i/>
          <w:sz w:val="38"/>
        </w:rPr>
        <w:t>ensure that a milieu shift takes place’. </w:t>
      </w:r>
      <w:r>
        <w:rPr>
          <w:sz w:val="38"/>
        </w:rPr>
        <w:t>(Prof. Manfred Rimpler (Hannover Medical School)</w:t>
      </w:r>
    </w:p>
    <w:p>
      <w:pPr>
        <w:pStyle w:val="Heading1"/>
      </w:pPr>
      <w:r>
        <w:rPr/>
        <w:t>The strengthening of the immune system by kombucha</w:t>
      </w:r>
    </w:p>
    <w:p>
      <w:pPr>
        <w:spacing w:line="276" w:lineRule="auto" w:before="298"/>
        <w:ind w:left="477" w:right="134" w:firstLine="0"/>
        <w:jc w:val="both"/>
        <w:rPr>
          <w:sz w:val="38"/>
        </w:rPr>
      </w:pPr>
      <w:r>
        <w:rPr>
          <w:sz w:val="38"/>
        </w:rPr>
        <w:t>‘</w:t>
      </w:r>
      <w:r>
        <w:rPr>
          <w:i/>
          <w:sz w:val="38"/>
        </w:rPr>
        <w:t>Degenerative diseases are accompanied by a weakening of the immune system. Strengthening </w:t>
      </w:r>
      <w:r>
        <w:rPr>
          <w:i/>
          <w:sz w:val="38"/>
        </w:rPr>
        <w:t>the</w:t>
      </w:r>
      <w:r>
        <w:rPr>
          <w:i/>
          <w:spacing w:val="-14"/>
          <w:sz w:val="38"/>
        </w:rPr>
        <w:t> </w:t>
      </w:r>
      <w:r>
        <w:rPr>
          <w:i/>
          <w:sz w:val="38"/>
        </w:rPr>
        <w:t>immune</w:t>
      </w:r>
      <w:r>
        <w:rPr>
          <w:i/>
          <w:spacing w:val="-13"/>
          <w:sz w:val="38"/>
        </w:rPr>
        <w:t> </w:t>
      </w:r>
      <w:r>
        <w:rPr>
          <w:i/>
          <w:sz w:val="38"/>
        </w:rPr>
        <w:t>system</w:t>
      </w:r>
      <w:r>
        <w:rPr>
          <w:i/>
          <w:spacing w:val="-15"/>
          <w:sz w:val="38"/>
        </w:rPr>
        <w:t> </w:t>
      </w:r>
      <w:r>
        <w:rPr>
          <w:i/>
          <w:sz w:val="38"/>
        </w:rPr>
        <w:t>is</w:t>
      </w:r>
      <w:r>
        <w:rPr>
          <w:i/>
          <w:spacing w:val="-14"/>
          <w:sz w:val="38"/>
        </w:rPr>
        <w:t> </w:t>
      </w:r>
      <w:r>
        <w:rPr>
          <w:i/>
          <w:sz w:val="38"/>
        </w:rPr>
        <w:t>the</w:t>
      </w:r>
      <w:r>
        <w:rPr>
          <w:i/>
          <w:spacing w:val="-13"/>
          <w:sz w:val="38"/>
        </w:rPr>
        <w:t> </w:t>
      </w:r>
      <w:r>
        <w:rPr>
          <w:i/>
          <w:sz w:val="38"/>
        </w:rPr>
        <w:t>main</w:t>
      </w:r>
      <w:r>
        <w:rPr>
          <w:i/>
          <w:spacing w:val="-14"/>
          <w:sz w:val="38"/>
        </w:rPr>
        <w:t> </w:t>
      </w:r>
      <w:r>
        <w:rPr>
          <w:i/>
          <w:sz w:val="38"/>
        </w:rPr>
        <w:t>aspect</w:t>
      </w:r>
      <w:r>
        <w:rPr>
          <w:i/>
          <w:spacing w:val="-12"/>
          <w:sz w:val="38"/>
        </w:rPr>
        <w:t> </w:t>
      </w:r>
      <w:r>
        <w:rPr>
          <w:i/>
          <w:sz w:val="38"/>
        </w:rPr>
        <w:t>of</w:t>
      </w:r>
      <w:r>
        <w:rPr>
          <w:i/>
          <w:spacing w:val="-12"/>
          <w:sz w:val="38"/>
        </w:rPr>
        <w:t> </w:t>
      </w:r>
      <w:r>
        <w:rPr>
          <w:i/>
          <w:sz w:val="38"/>
        </w:rPr>
        <w:t>treatment.</w:t>
      </w:r>
      <w:r>
        <w:rPr>
          <w:i/>
          <w:spacing w:val="-14"/>
          <w:sz w:val="38"/>
        </w:rPr>
        <w:t> </w:t>
      </w:r>
      <w:r>
        <w:rPr>
          <w:i/>
          <w:sz w:val="38"/>
        </w:rPr>
        <w:t>Fungi,</w:t>
      </w:r>
      <w:r>
        <w:rPr>
          <w:i/>
          <w:spacing w:val="-15"/>
          <w:sz w:val="38"/>
        </w:rPr>
        <w:t> </w:t>
      </w:r>
      <w:r>
        <w:rPr>
          <w:i/>
          <w:sz w:val="38"/>
        </w:rPr>
        <w:t>such</w:t>
      </w:r>
      <w:r>
        <w:rPr>
          <w:i/>
          <w:spacing w:val="-13"/>
          <w:sz w:val="38"/>
        </w:rPr>
        <w:t> </w:t>
      </w:r>
      <w:r>
        <w:rPr>
          <w:i/>
          <w:sz w:val="38"/>
        </w:rPr>
        <w:t>as</w:t>
      </w:r>
      <w:r>
        <w:rPr>
          <w:i/>
          <w:spacing w:val="-15"/>
          <w:sz w:val="38"/>
        </w:rPr>
        <w:t> </w:t>
      </w:r>
      <w:r>
        <w:rPr>
          <w:i/>
          <w:sz w:val="38"/>
        </w:rPr>
        <w:t>the</w:t>
      </w:r>
      <w:r>
        <w:rPr>
          <w:i/>
          <w:spacing w:val="-13"/>
          <w:sz w:val="38"/>
        </w:rPr>
        <w:t> </w:t>
      </w:r>
      <w:r>
        <w:rPr>
          <w:i/>
          <w:sz w:val="38"/>
        </w:rPr>
        <w:t>kombucha</w:t>
      </w:r>
      <w:r>
        <w:rPr>
          <w:i/>
          <w:spacing w:val="-14"/>
          <w:sz w:val="38"/>
        </w:rPr>
        <w:t> </w:t>
      </w:r>
      <w:r>
        <w:rPr>
          <w:i/>
          <w:sz w:val="38"/>
        </w:rPr>
        <w:t>fungus,</w:t>
      </w:r>
      <w:r>
        <w:rPr>
          <w:i/>
          <w:spacing w:val="-12"/>
          <w:sz w:val="38"/>
        </w:rPr>
        <w:t> </w:t>
      </w:r>
      <w:r>
        <w:rPr>
          <w:i/>
          <w:sz w:val="38"/>
        </w:rPr>
        <w:t>seem to exhibit the required effect to a great extent’. </w:t>
      </w:r>
      <w:r>
        <w:rPr>
          <w:sz w:val="38"/>
        </w:rPr>
        <w:t>(Dr. GE</w:t>
      </w:r>
      <w:r>
        <w:rPr>
          <w:spacing w:val="-16"/>
          <w:sz w:val="38"/>
        </w:rPr>
        <w:t> </w:t>
      </w:r>
      <w:r>
        <w:rPr>
          <w:sz w:val="38"/>
        </w:rPr>
        <w:t>Schuitenmaker)</w:t>
      </w:r>
    </w:p>
    <w:p>
      <w:pPr>
        <w:pStyle w:val="BodyText"/>
        <w:rPr>
          <w:sz w:val="42"/>
        </w:rPr>
      </w:pPr>
    </w:p>
    <w:p>
      <w:pPr>
        <w:pStyle w:val="BodyText"/>
        <w:spacing w:before="5"/>
        <w:rPr>
          <w:sz w:val="44"/>
        </w:rPr>
      </w:pPr>
    </w:p>
    <w:p>
      <w:pPr>
        <w:pStyle w:val="Heading2"/>
      </w:pPr>
      <w:r>
        <w:rPr/>
        <w:t>Kombucha – a fountain of youth?</w:t>
      </w:r>
    </w:p>
    <w:p>
      <w:pPr>
        <w:pStyle w:val="BodyText"/>
        <w:spacing w:line="276" w:lineRule="auto" w:before="305"/>
        <w:ind w:left="477" w:right="134"/>
        <w:jc w:val="both"/>
      </w:pPr>
      <w:r>
        <w:rPr/>
        <w:t>Eternal youth and vitality – who desire these things now and then, at least in secret? Our society is characterised in this respect by mission statements and expectations that cannot be fulfilled; nevertheless, the power to maintain our vitality</w:t>
      </w:r>
      <w:r>
        <w:rPr>
          <w:spacing w:val="-9"/>
        </w:rPr>
        <w:t> </w:t>
      </w:r>
      <w:r>
        <w:rPr/>
        <w:t>and</w:t>
      </w:r>
      <w:r>
        <w:rPr>
          <w:spacing w:val="-9"/>
        </w:rPr>
        <w:t> </w:t>
      </w:r>
      <w:r>
        <w:rPr/>
        <w:t>youth</w:t>
      </w:r>
      <w:r>
        <w:rPr>
          <w:spacing w:val="-7"/>
        </w:rPr>
        <w:t> </w:t>
      </w:r>
      <w:r>
        <w:rPr/>
        <w:t>into</w:t>
      </w:r>
      <w:r>
        <w:rPr>
          <w:spacing w:val="-9"/>
        </w:rPr>
        <w:t> </w:t>
      </w:r>
      <w:r>
        <w:rPr/>
        <w:t>old</w:t>
      </w:r>
      <w:r>
        <w:rPr>
          <w:spacing w:val="-6"/>
        </w:rPr>
        <w:t> </w:t>
      </w:r>
      <w:r>
        <w:rPr/>
        <w:t>age</w:t>
      </w:r>
      <w:r>
        <w:rPr>
          <w:spacing w:val="-10"/>
        </w:rPr>
        <w:t> </w:t>
      </w:r>
      <w:r>
        <w:rPr/>
        <w:t>lies</w:t>
      </w:r>
      <w:r>
        <w:rPr>
          <w:spacing w:val="-8"/>
        </w:rPr>
        <w:t> </w:t>
      </w:r>
      <w:r>
        <w:rPr/>
        <w:t>in</w:t>
      </w:r>
      <w:r>
        <w:rPr>
          <w:spacing w:val="-9"/>
        </w:rPr>
        <w:t> </w:t>
      </w:r>
      <w:r>
        <w:rPr/>
        <w:t>our</w:t>
      </w:r>
      <w:r>
        <w:rPr>
          <w:spacing w:val="-9"/>
        </w:rPr>
        <w:t> </w:t>
      </w:r>
      <w:r>
        <w:rPr/>
        <w:t>hands,</w:t>
      </w:r>
      <w:r>
        <w:rPr>
          <w:spacing w:val="-10"/>
        </w:rPr>
        <w:t> </w:t>
      </w:r>
      <w:r>
        <w:rPr/>
        <w:t>with</w:t>
      </w:r>
      <w:r>
        <w:rPr>
          <w:spacing w:val="-9"/>
        </w:rPr>
        <w:t> </w:t>
      </w:r>
      <w:r>
        <w:rPr/>
        <w:t>a</w:t>
      </w:r>
      <w:r>
        <w:rPr>
          <w:spacing w:val="-9"/>
        </w:rPr>
        <w:t> </w:t>
      </w:r>
      <w:r>
        <w:rPr/>
        <w:t>healthy</w:t>
      </w:r>
      <w:r>
        <w:rPr>
          <w:spacing w:val="-10"/>
        </w:rPr>
        <w:t> </w:t>
      </w:r>
      <w:r>
        <w:rPr/>
        <w:t>diet</w:t>
      </w:r>
      <w:r>
        <w:rPr>
          <w:spacing w:val="-8"/>
        </w:rPr>
        <w:t> </w:t>
      </w:r>
      <w:r>
        <w:rPr/>
        <w:t>and</w:t>
      </w:r>
      <w:r>
        <w:rPr>
          <w:spacing w:val="-9"/>
        </w:rPr>
        <w:t> </w:t>
      </w:r>
      <w:r>
        <w:rPr/>
        <w:t>lifestyle. People</w:t>
      </w:r>
      <w:r>
        <w:rPr>
          <w:spacing w:val="-20"/>
        </w:rPr>
        <w:t> </w:t>
      </w:r>
      <w:r>
        <w:rPr/>
        <w:t>are</w:t>
      </w:r>
      <w:r>
        <w:rPr>
          <w:spacing w:val="-19"/>
        </w:rPr>
        <w:t> </w:t>
      </w:r>
      <w:r>
        <w:rPr/>
        <w:t>ageing</w:t>
      </w:r>
      <w:r>
        <w:rPr>
          <w:spacing w:val="-18"/>
        </w:rPr>
        <w:t> </w:t>
      </w:r>
      <w:r>
        <w:rPr/>
        <w:t>more</w:t>
      </w:r>
      <w:r>
        <w:rPr>
          <w:spacing w:val="-20"/>
        </w:rPr>
        <w:t> </w:t>
      </w:r>
      <w:r>
        <w:rPr/>
        <w:t>and</w:t>
      </w:r>
      <w:r>
        <w:rPr>
          <w:spacing w:val="-19"/>
        </w:rPr>
        <w:t> </w:t>
      </w:r>
      <w:r>
        <w:rPr/>
        <w:t>more</w:t>
      </w:r>
      <w:r>
        <w:rPr>
          <w:spacing w:val="-18"/>
        </w:rPr>
        <w:t> </w:t>
      </w:r>
      <w:r>
        <w:rPr/>
        <w:t>quickly;</w:t>
      </w:r>
      <w:r>
        <w:rPr>
          <w:spacing w:val="-19"/>
        </w:rPr>
        <w:t> </w:t>
      </w:r>
      <w:r>
        <w:rPr/>
        <w:t>this</w:t>
      </w:r>
      <w:r>
        <w:rPr>
          <w:spacing w:val="-18"/>
        </w:rPr>
        <w:t> </w:t>
      </w:r>
      <w:r>
        <w:rPr/>
        <w:t>is</w:t>
      </w:r>
      <w:r>
        <w:rPr>
          <w:spacing w:val="-22"/>
        </w:rPr>
        <w:t> </w:t>
      </w:r>
      <w:r>
        <w:rPr/>
        <w:t>primarily</w:t>
      </w:r>
      <w:r>
        <w:rPr>
          <w:spacing w:val="-19"/>
        </w:rPr>
        <w:t> </w:t>
      </w:r>
      <w:r>
        <w:rPr/>
        <w:t>attributable</w:t>
      </w:r>
      <w:r>
        <w:rPr>
          <w:spacing w:val="-20"/>
        </w:rPr>
        <w:t> </w:t>
      </w:r>
      <w:r>
        <w:rPr/>
        <w:t>to</w:t>
      </w:r>
      <w:r>
        <w:rPr>
          <w:spacing w:val="-18"/>
        </w:rPr>
        <w:t> </w:t>
      </w:r>
      <w:r>
        <w:rPr/>
        <w:t>chang- ing</w:t>
      </w:r>
      <w:r>
        <w:rPr>
          <w:spacing w:val="-11"/>
        </w:rPr>
        <w:t> </w:t>
      </w:r>
      <w:r>
        <w:rPr/>
        <w:t>environmental</w:t>
      </w:r>
      <w:r>
        <w:rPr>
          <w:spacing w:val="-12"/>
        </w:rPr>
        <w:t> </w:t>
      </w:r>
      <w:r>
        <w:rPr/>
        <w:t>conditions</w:t>
      </w:r>
      <w:r>
        <w:rPr>
          <w:spacing w:val="-10"/>
        </w:rPr>
        <w:t> </w:t>
      </w:r>
      <w:r>
        <w:rPr/>
        <w:t>(poisons</w:t>
      </w:r>
      <w:r>
        <w:rPr>
          <w:spacing w:val="-11"/>
        </w:rPr>
        <w:t> </w:t>
      </w:r>
      <w:r>
        <w:rPr/>
        <w:t>in</w:t>
      </w:r>
      <w:r>
        <w:rPr>
          <w:spacing w:val="-11"/>
        </w:rPr>
        <w:t> </w:t>
      </w:r>
      <w:r>
        <w:rPr/>
        <w:t>the</w:t>
      </w:r>
      <w:r>
        <w:rPr>
          <w:spacing w:val="-10"/>
        </w:rPr>
        <w:t> </w:t>
      </w:r>
      <w:r>
        <w:rPr/>
        <w:t>air,</w:t>
      </w:r>
      <w:r>
        <w:rPr>
          <w:spacing w:val="-13"/>
        </w:rPr>
        <w:t> </w:t>
      </w:r>
      <w:r>
        <w:rPr/>
        <w:t>food,</w:t>
      </w:r>
      <w:r>
        <w:rPr>
          <w:spacing w:val="-10"/>
        </w:rPr>
        <w:t> </w:t>
      </w:r>
      <w:r>
        <w:rPr/>
        <w:t>clothing,</w:t>
      </w:r>
      <w:r>
        <w:rPr>
          <w:spacing w:val="-12"/>
        </w:rPr>
        <w:t> </w:t>
      </w:r>
      <w:r>
        <w:rPr/>
        <w:t>etc.),</w:t>
      </w:r>
      <w:r>
        <w:rPr>
          <w:spacing w:val="-10"/>
        </w:rPr>
        <w:t> </w:t>
      </w:r>
      <w:r>
        <w:rPr/>
        <w:t>the</w:t>
      </w:r>
      <w:r>
        <w:rPr>
          <w:spacing w:val="-11"/>
        </w:rPr>
        <w:t> </w:t>
      </w:r>
      <w:r>
        <w:rPr/>
        <w:t>stress of modern life and bad, acidifying dietary</w:t>
      </w:r>
      <w:r>
        <w:rPr>
          <w:spacing w:val="3"/>
        </w:rPr>
        <w:t> </w:t>
      </w:r>
      <w:r>
        <w:rPr/>
        <w:t>habits.</w:t>
      </w:r>
    </w:p>
    <w:p>
      <w:pPr>
        <w:pStyle w:val="BodyText"/>
        <w:spacing w:line="276" w:lineRule="auto" w:before="241"/>
        <w:ind w:left="477" w:right="132"/>
        <w:jc w:val="both"/>
      </w:pPr>
      <w:r>
        <w:rPr/>
        <w:t>While</w:t>
      </w:r>
      <w:r>
        <w:rPr>
          <w:spacing w:val="-26"/>
        </w:rPr>
        <w:t> </w:t>
      </w:r>
      <w:r>
        <w:rPr/>
        <w:t>we</w:t>
      </w:r>
      <w:r>
        <w:rPr>
          <w:spacing w:val="-25"/>
        </w:rPr>
        <w:t> </w:t>
      </w:r>
      <w:r>
        <w:rPr/>
        <w:t>have</w:t>
      </w:r>
      <w:r>
        <w:rPr>
          <w:spacing w:val="-24"/>
        </w:rPr>
        <w:t> </w:t>
      </w:r>
      <w:r>
        <w:rPr/>
        <w:t>very</w:t>
      </w:r>
      <w:r>
        <w:rPr>
          <w:spacing w:val="-23"/>
        </w:rPr>
        <w:t> </w:t>
      </w:r>
      <w:r>
        <w:rPr/>
        <w:t>little</w:t>
      </w:r>
      <w:r>
        <w:rPr>
          <w:spacing w:val="-24"/>
        </w:rPr>
        <w:t> </w:t>
      </w:r>
      <w:r>
        <w:rPr/>
        <w:t>personal</w:t>
      </w:r>
      <w:r>
        <w:rPr>
          <w:spacing w:val="-26"/>
        </w:rPr>
        <w:t> </w:t>
      </w:r>
      <w:r>
        <w:rPr/>
        <w:t>impact</w:t>
      </w:r>
      <w:r>
        <w:rPr>
          <w:spacing w:val="-23"/>
        </w:rPr>
        <w:t> </w:t>
      </w:r>
      <w:r>
        <w:rPr/>
        <w:t>on</w:t>
      </w:r>
      <w:r>
        <w:rPr>
          <w:spacing w:val="-23"/>
        </w:rPr>
        <w:t> </w:t>
      </w:r>
      <w:r>
        <w:rPr/>
        <w:t>the</w:t>
      </w:r>
      <w:r>
        <w:rPr>
          <w:spacing w:val="-23"/>
        </w:rPr>
        <w:t> </w:t>
      </w:r>
      <w:r>
        <w:rPr/>
        <w:t>environment</w:t>
      </w:r>
      <w:r>
        <w:rPr>
          <w:spacing w:val="-25"/>
        </w:rPr>
        <w:t> </w:t>
      </w:r>
      <w:r>
        <w:rPr/>
        <w:t>and</w:t>
      </w:r>
      <w:r>
        <w:rPr>
          <w:spacing w:val="-26"/>
        </w:rPr>
        <w:t> </w:t>
      </w:r>
      <w:r>
        <w:rPr/>
        <w:t>toxins</w:t>
      </w:r>
      <w:r>
        <w:rPr>
          <w:spacing w:val="-23"/>
        </w:rPr>
        <w:t> </w:t>
      </w:r>
      <w:r>
        <w:rPr/>
        <w:t>around us, we owe it to our health to neutralise and flush out these ever-increasing toxins</w:t>
      </w:r>
      <w:r>
        <w:rPr>
          <w:spacing w:val="26"/>
        </w:rPr>
        <w:t> </w:t>
      </w:r>
      <w:r>
        <w:rPr/>
        <w:t>in</w:t>
      </w:r>
      <w:r>
        <w:rPr>
          <w:spacing w:val="26"/>
        </w:rPr>
        <w:t> </w:t>
      </w:r>
      <w:r>
        <w:rPr/>
        <w:t>our</w:t>
      </w:r>
      <w:r>
        <w:rPr>
          <w:spacing w:val="27"/>
        </w:rPr>
        <w:t> </w:t>
      </w:r>
      <w:r>
        <w:rPr/>
        <w:t>bodies</w:t>
      </w:r>
      <w:r>
        <w:rPr>
          <w:spacing w:val="25"/>
        </w:rPr>
        <w:t> </w:t>
      </w:r>
      <w:r>
        <w:rPr/>
        <w:t>with</w:t>
      </w:r>
      <w:r>
        <w:rPr>
          <w:spacing w:val="27"/>
        </w:rPr>
        <w:t> </w:t>
      </w:r>
      <w:r>
        <w:rPr/>
        <w:t>the</w:t>
      </w:r>
      <w:r>
        <w:rPr>
          <w:spacing w:val="26"/>
        </w:rPr>
        <w:t> </w:t>
      </w:r>
      <w:r>
        <w:rPr/>
        <w:t>help</w:t>
      </w:r>
      <w:r>
        <w:rPr>
          <w:spacing w:val="26"/>
        </w:rPr>
        <w:t> </w:t>
      </w:r>
      <w:r>
        <w:rPr/>
        <w:t>of</w:t>
      </w:r>
      <w:r>
        <w:rPr>
          <w:spacing w:val="27"/>
        </w:rPr>
        <w:t> </w:t>
      </w:r>
      <w:r>
        <w:rPr/>
        <w:t>certain</w:t>
      </w:r>
      <w:r>
        <w:rPr>
          <w:spacing w:val="25"/>
        </w:rPr>
        <w:t> </w:t>
      </w:r>
      <w:r>
        <w:rPr/>
        <w:t>dietary</w:t>
      </w:r>
      <w:r>
        <w:rPr>
          <w:spacing w:val="27"/>
        </w:rPr>
        <w:t> </w:t>
      </w:r>
      <w:r>
        <w:rPr/>
        <w:t>supplements</w:t>
      </w:r>
      <w:r>
        <w:rPr>
          <w:spacing w:val="28"/>
        </w:rPr>
        <w:t> </w:t>
      </w:r>
      <w:r>
        <w:rPr/>
        <w:t>and</w:t>
      </w:r>
      <w:r>
        <w:rPr>
          <w:spacing w:val="25"/>
        </w:rPr>
        <w:t> </w:t>
      </w:r>
      <w:r>
        <w:rPr/>
        <w:t>natural</w:t>
      </w:r>
    </w:p>
    <w:p>
      <w:pPr>
        <w:spacing w:after="0" w:line="276" w:lineRule="auto"/>
        <w:jc w:val="both"/>
        <w:sectPr>
          <w:pgSz w:w="14270" w:h="16850"/>
          <w:pgMar w:header="0" w:footer="1891" w:top="1600" w:bottom="2080" w:left="800" w:right="1280"/>
        </w:sectPr>
      </w:pPr>
    </w:p>
    <w:p>
      <w:pPr>
        <w:pStyle w:val="BodyText"/>
        <w:spacing w:before="181"/>
        <w:ind w:left="477"/>
        <w:jc w:val="both"/>
      </w:pPr>
      <w:r>
        <w:rPr/>
        <w:t>products.</w:t>
      </w:r>
    </w:p>
    <w:p>
      <w:pPr>
        <w:pStyle w:val="BodyText"/>
        <w:spacing w:line="276" w:lineRule="auto" w:before="305"/>
        <w:ind w:left="477" w:right="140"/>
        <w:jc w:val="both"/>
      </w:pPr>
      <w:r>
        <w:rPr/>
        <w:t>As</w:t>
      </w:r>
      <w:r>
        <w:rPr>
          <w:spacing w:val="-20"/>
        </w:rPr>
        <w:t> </w:t>
      </w:r>
      <w:r>
        <w:rPr/>
        <w:t>we</w:t>
      </w:r>
      <w:r>
        <w:rPr>
          <w:spacing w:val="-20"/>
        </w:rPr>
        <w:t> </w:t>
      </w:r>
      <w:r>
        <w:rPr/>
        <w:t>have</w:t>
      </w:r>
      <w:r>
        <w:rPr>
          <w:spacing w:val="-20"/>
        </w:rPr>
        <w:t> </w:t>
      </w:r>
      <w:r>
        <w:rPr/>
        <w:t>already</w:t>
      </w:r>
      <w:r>
        <w:rPr>
          <w:spacing w:val="-19"/>
        </w:rPr>
        <w:t> </w:t>
      </w:r>
      <w:r>
        <w:rPr/>
        <w:t>seen,</w:t>
      </w:r>
      <w:r>
        <w:rPr>
          <w:spacing w:val="-19"/>
        </w:rPr>
        <w:t> </w:t>
      </w:r>
      <w:r>
        <w:rPr/>
        <w:t>kombucha's</w:t>
      </w:r>
      <w:r>
        <w:rPr>
          <w:spacing w:val="-19"/>
        </w:rPr>
        <w:t> </w:t>
      </w:r>
      <w:r>
        <w:rPr/>
        <w:t>glucuronic</w:t>
      </w:r>
      <w:r>
        <w:rPr>
          <w:spacing w:val="-20"/>
        </w:rPr>
        <w:t> </w:t>
      </w:r>
      <w:r>
        <w:rPr/>
        <w:t>acid</w:t>
      </w:r>
      <w:r>
        <w:rPr>
          <w:spacing w:val="-19"/>
        </w:rPr>
        <w:t> </w:t>
      </w:r>
      <w:r>
        <w:rPr/>
        <w:t>has</w:t>
      </w:r>
      <w:r>
        <w:rPr>
          <w:spacing w:val="-19"/>
        </w:rPr>
        <w:t> </w:t>
      </w:r>
      <w:r>
        <w:rPr/>
        <w:t>the</w:t>
      </w:r>
      <w:r>
        <w:rPr>
          <w:spacing w:val="-18"/>
        </w:rPr>
        <w:t> </w:t>
      </w:r>
      <w:r>
        <w:rPr/>
        <w:t>extraordinary</w:t>
      </w:r>
      <w:r>
        <w:rPr>
          <w:spacing w:val="-19"/>
        </w:rPr>
        <w:t> </w:t>
      </w:r>
      <w:r>
        <w:rPr/>
        <w:t>abil- ity to simultaneously neutralise over 200 toxins. Furthermore, the dextrorota- tory lactic acid ensures that our body is deacidified and</w:t>
      </w:r>
      <w:r>
        <w:rPr>
          <w:spacing w:val="-7"/>
        </w:rPr>
        <w:t> </w:t>
      </w:r>
      <w:r>
        <w:rPr/>
        <w:t>purified.</w:t>
      </w:r>
    </w:p>
    <w:p>
      <w:pPr>
        <w:pStyle w:val="BodyText"/>
        <w:spacing w:line="276" w:lineRule="auto" w:before="241"/>
        <w:ind w:left="477" w:right="130"/>
        <w:jc w:val="both"/>
      </w:pPr>
      <w:r>
        <w:rPr/>
        <w:t>Furthermore, glucuronic acid is involved in building acids that are hugely im- portant</w:t>
      </w:r>
      <w:r>
        <w:rPr>
          <w:spacing w:val="-23"/>
        </w:rPr>
        <w:t> </w:t>
      </w:r>
      <w:r>
        <w:rPr/>
        <w:t>for</w:t>
      </w:r>
      <w:r>
        <w:rPr>
          <w:spacing w:val="-21"/>
        </w:rPr>
        <w:t> </w:t>
      </w:r>
      <w:r>
        <w:rPr/>
        <w:t>connective</w:t>
      </w:r>
      <w:r>
        <w:rPr>
          <w:spacing w:val="-22"/>
        </w:rPr>
        <w:t> </w:t>
      </w:r>
      <w:r>
        <w:rPr/>
        <w:t>tissue,</w:t>
      </w:r>
      <w:r>
        <w:rPr>
          <w:spacing w:val="-21"/>
        </w:rPr>
        <w:t> </w:t>
      </w:r>
      <w:r>
        <w:rPr/>
        <w:t>such</w:t>
      </w:r>
      <w:r>
        <w:rPr>
          <w:spacing w:val="-21"/>
        </w:rPr>
        <w:t> </w:t>
      </w:r>
      <w:r>
        <w:rPr/>
        <w:t>as</w:t>
      </w:r>
      <w:r>
        <w:rPr>
          <w:spacing w:val="-22"/>
        </w:rPr>
        <w:t> </w:t>
      </w:r>
      <w:r>
        <w:rPr/>
        <w:t>hyaluronic</w:t>
      </w:r>
      <w:r>
        <w:rPr>
          <w:spacing w:val="-21"/>
        </w:rPr>
        <w:t> </w:t>
      </w:r>
      <w:r>
        <w:rPr/>
        <w:t>acid.</w:t>
      </w:r>
      <w:r>
        <w:rPr>
          <w:spacing w:val="-21"/>
        </w:rPr>
        <w:t> </w:t>
      </w:r>
      <w:r>
        <w:rPr/>
        <w:t>This</w:t>
      </w:r>
      <w:r>
        <w:rPr>
          <w:spacing w:val="-21"/>
        </w:rPr>
        <w:t> </w:t>
      </w:r>
      <w:r>
        <w:rPr/>
        <w:t>is</w:t>
      </w:r>
      <w:r>
        <w:rPr>
          <w:spacing w:val="-23"/>
        </w:rPr>
        <w:t> </w:t>
      </w:r>
      <w:r>
        <w:rPr/>
        <w:t>an</w:t>
      </w:r>
      <w:r>
        <w:rPr>
          <w:spacing w:val="-24"/>
        </w:rPr>
        <w:t> </w:t>
      </w:r>
      <w:r>
        <w:rPr/>
        <w:t>important</w:t>
      </w:r>
      <w:r>
        <w:rPr>
          <w:spacing w:val="-23"/>
        </w:rPr>
        <w:t> </w:t>
      </w:r>
      <w:r>
        <w:rPr/>
        <w:t>com- ponent of connective tissue and accounts for 55 % of the skin's substance, which contributes to a noticeable and visible elasticity of the skin and can even make deeper wrinkles disappear over</w:t>
      </w:r>
      <w:r>
        <w:rPr>
          <w:spacing w:val="3"/>
        </w:rPr>
        <w:t> </w:t>
      </w:r>
      <w:r>
        <w:rPr/>
        <w:t>time.</w:t>
      </w:r>
    </w:p>
    <w:p>
      <w:pPr>
        <w:pStyle w:val="BodyText"/>
        <w:spacing w:line="276" w:lineRule="auto" w:before="240"/>
        <w:ind w:left="477" w:right="137"/>
        <w:jc w:val="both"/>
      </w:pPr>
      <w:r>
        <w:rPr/>
        <w:t>The many vitamins and enzymes support the detoxification and rejuvenation process</w:t>
      </w:r>
      <w:r>
        <w:rPr>
          <w:spacing w:val="-10"/>
        </w:rPr>
        <w:t> </w:t>
      </w:r>
      <w:r>
        <w:rPr/>
        <w:t>in</w:t>
      </w:r>
      <w:r>
        <w:rPr>
          <w:spacing w:val="-12"/>
        </w:rPr>
        <w:t> </w:t>
      </w:r>
      <w:r>
        <w:rPr/>
        <w:t>an</w:t>
      </w:r>
      <w:r>
        <w:rPr>
          <w:spacing w:val="-11"/>
        </w:rPr>
        <w:t> </w:t>
      </w:r>
      <w:r>
        <w:rPr/>
        <w:t>optimal</w:t>
      </w:r>
      <w:r>
        <w:rPr>
          <w:spacing w:val="-10"/>
        </w:rPr>
        <w:t> </w:t>
      </w:r>
      <w:r>
        <w:rPr/>
        <w:t>way;</w:t>
      </w:r>
      <w:r>
        <w:rPr>
          <w:spacing w:val="-11"/>
        </w:rPr>
        <w:t> </w:t>
      </w:r>
      <w:r>
        <w:rPr/>
        <w:t>kombucha</w:t>
      </w:r>
      <w:r>
        <w:rPr>
          <w:spacing w:val="-13"/>
        </w:rPr>
        <w:t> </w:t>
      </w:r>
      <w:r>
        <w:rPr/>
        <w:t>contains</w:t>
      </w:r>
      <w:r>
        <w:rPr>
          <w:spacing w:val="-10"/>
        </w:rPr>
        <w:t> </w:t>
      </w:r>
      <w:r>
        <w:rPr/>
        <w:t>about</w:t>
      </w:r>
      <w:r>
        <w:rPr>
          <w:spacing w:val="-13"/>
        </w:rPr>
        <w:t> </w:t>
      </w:r>
      <w:r>
        <w:rPr/>
        <w:t>1000</w:t>
      </w:r>
      <w:r>
        <w:rPr>
          <w:spacing w:val="-12"/>
        </w:rPr>
        <w:t> </w:t>
      </w:r>
      <w:r>
        <w:rPr/>
        <w:t>mg</w:t>
      </w:r>
      <w:r>
        <w:rPr>
          <w:spacing w:val="-11"/>
        </w:rPr>
        <w:t> </w:t>
      </w:r>
      <w:r>
        <w:rPr/>
        <w:t>of</w:t>
      </w:r>
      <w:r>
        <w:rPr>
          <w:spacing w:val="-9"/>
        </w:rPr>
        <w:t> </w:t>
      </w:r>
      <w:r>
        <w:rPr/>
        <w:t>vitamin</w:t>
      </w:r>
      <w:r>
        <w:rPr>
          <w:spacing w:val="-9"/>
        </w:rPr>
        <w:t> </w:t>
      </w:r>
      <w:r>
        <w:rPr/>
        <w:t>C</w:t>
      </w:r>
      <w:r>
        <w:rPr>
          <w:spacing w:val="-12"/>
        </w:rPr>
        <w:t> </w:t>
      </w:r>
      <w:r>
        <w:rPr/>
        <w:t>per litre; vitamin C is responsible for collagen and elastin synthesis of our connec- tive tissue, including the</w:t>
      </w:r>
      <w:r>
        <w:rPr>
          <w:spacing w:val="3"/>
        </w:rPr>
        <w:t> </w:t>
      </w:r>
      <w:r>
        <w:rPr/>
        <w:t>skin.</w:t>
      </w:r>
    </w:p>
    <w:p>
      <w:pPr>
        <w:pStyle w:val="BodyText"/>
        <w:rPr>
          <w:sz w:val="42"/>
        </w:rPr>
      </w:pPr>
    </w:p>
    <w:p>
      <w:pPr>
        <w:pStyle w:val="BodyText"/>
        <w:spacing w:before="9"/>
        <w:rPr>
          <w:sz w:val="42"/>
        </w:rPr>
      </w:pPr>
    </w:p>
    <w:p>
      <w:pPr>
        <w:pStyle w:val="Heading1"/>
        <w:spacing w:before="0"/>
        <w:jc w:val="both"/>
      </w:pPr>
      <w:r>
        <w:rPr/>
        <w:t>Preparation of kombucha tea</w:t>
      </w:r>
    </w:p>
    <w:p>
      <w:pPr>
        <w:pStyle w:val="BodyText"/>
        <w:spacing w:line="276" w:lineRule="auto" w:before="300"/>
        <w:ind w:left="477" w:right="135"/>
        <w:jc w:val="both"/>
      </w:pPr>
      <w:r>
        <w:rPr/>
        <w:t>There are several recipes for the successful preparation of kombucha tea. This chapter will give you a practical guide on how to successfully prepare your kombucha</w:t>
      </w:r>
      <w:r>
        <w:rPr>
          <w:spacing w:val="-9"/>
        </w:rPr>
        <w:t> </w:t>
      </w:r>
      <w:r>
        <w:rPr/>
        <w:t>drink</w:t>
      </w:r>
      <w:r>
        <w:rPr>
          <w:spacing w:val="-7"/>
        </w:rPr>
        <w:t> </w:t>
      </w:r>
      <w:r>
        <w:rPr/>
        <w:t>explain</w:t>
      </w:r>
      <w:r>
        <w:rPr>
          <w:spacing w:val="-8"/>
        </w:rPr>
        <w:t> </w:t>
      </w:r>
      <w:r>
        <w:rPr/>
        <w:t>the</w:t>
      </w:r>
      <w:r>
        <w:rPr>
          <w:spacing w:val="-6"/>
        </w:rPr>
        <w:t> </w:t>
      </w:r>
      <w:r>
        <w:rPr/>
        <w:t>advantages</w:t>
      </w:r>
      <w:r>
        <w:rPr>
          <w:spacing w:val="-6"/>
        </w:rPr>
        <w:t> </w:t>
      </w:r>
      <w:r>
        <w:rPr/>
        <w:t>and</w:t>
      </w:r>
      <w:r>
        <w:rPr>
          <w:spacing w:val="-8"/>
        </w:rPr>
        <w:t> </w:t>
      </w:r>
      <w:r>
        <w:rPr/>
        <w:t>disadvantages</w:t>
      </w:r>
      <w:r>
        <w:rPr>
          <w:spacing w:val="-6"/>
        </w:rPr>
        <w:t> </w:t>
      </w:r>
      <w:r>
        <w:rPr/>
        <w:t>of</w:t>
      </w:r>
      <w:r>
        <w:rPr>
          <w:spacing w:val="-8"/>
        </w:rPr>
        <w:t> </w:t>
      </w:r>
      <w:r>
        <w:rPr/>
        <w:t>different</w:t>
      </w:r>
      <w:r>
        <w:rPr>
          <w:spacing w:val="-7"/>
        </w:rPr>
        <w:t> </w:t>
      </w:r>
      <w:r>
        <w:rPr/>
        <w:t>types</w:t>
      </w:r>
      <w:r>
        <w:rPr>
          <w:spacing w:val="-7"/>
        </w:rPr>
        <w:t> </w:t>
      </w:r>
      <w:r>
        <w:rPr/>
        <w:t>of use.</w:t>
      </w:r>
    </w:p>
    <w:p>
      <w:pPr>
        <w:pStyle w:val="BodyText"/>
        <w:spacing w:before="239"/>
        <w:ind w:left="477"/>
        <w:jc w:val="both"/>
      </w:pPr>
      <w:r>
        <w:rPr/>
        <w:t>To prepare 1 litre of tea, you will need the following:</w:t>
      </w:r>
    </w:p>
    <w:p>
      <w:pPr>
        <w:spacing w:after="0"/>
        <w:jc w:val="both"/>
        <w:sectPr>
          <w:pgSz w:w="14270" w:h="16850"/>
          <w:pgMar w:header="0" w:footer="1891" w:top="1600" w:bottom="2080" w:left="800" w:right="1280"/>
        </w:sectPr>
      </w:pPr>
    </w:p>
    <w:p>
      <w:pPr>
        <w:pStyle w:val="ListParagraph"/>
        <w:numPr>
          <w:ilvl w:val="0"/>
          <w:numId w:val="47"/>
        </w:numPr>
        <w:tabs>
          <w:tab w:pos="1197" w:val="left" w:leader="none"/>
          <w:tab w:pos="1198" w:val="left" w:leader="none"/>
        </w:tabs>
        <w:spacing w:line="240" w:lineRule="auto" w:before="181" w:after="0"/>
        <w:ind w:left="1197" w:right="0" w:hanging="360"/>
        <w:jc w:val="left"/>
        <w:rPr>
          <w:sz w:val="38"/>
        </w:rPr>
      </w:pPr>
      <w:r>
        <w:rPr>
          <w:sz w:val="38"/>
        </w:rPr>
        <w:t>100 g kombucha tea fungus culture (including the starter</w:t>
      </w:r>
      <w:r>
        <w:rPr>
          <w:spacing w:val="-2"/>
          <w:sz w:val="38"/>
        </w:rPr>
        <w:t> </w:t>
      </w:r>
      <w:r>
        <w:rPr>
          <w:sz w:val="38"/>
        </w:rPr>
        <w:t>fluid),</w:t>
      </w:r>
    </w:p>
    <w:p>
      <w:pPr>
        <w:pStyle w:val="ListParagraph"/>
        <w:numPr>
          <w:ilvl w:val="0"/>
          <w:numId w:val="47"/>
        </w:numPr>
        <w:tabs>
          <w:tab w:pos="1197" w:val="left" w:leader="none"/>
          <w:tab w:pos="1198" w:val="left" w:leader="none"/>
        </w:tabs>
        <w:spacing w:line="240" w:lineRule="auto" w:before="185" w:after="0"/>
        <w:ind w:left="1197" w:right="0" w:hanging="360"/>
        <w:jc w:val="left"/>
        <w:rPr>
          <w:sz w:val="38"/>
        </w:rPr>
      </w:pPr>
      <w:r>
        <w:rPr>
          <w:sz w:val="38"/>
        </w:rPr>
        <w:t>60-100 g of sugar,</w:t>
      </w:r>
    </w:p>
    <w:p>
      <w:pPr>
        <w:pStyle w:val="ListParagraph"/>
        <w:numPr>
          <w:ilvl w:val="0"/>
          <w:numId w:val="47"/>
        </w:numPr>
        <w:tabs>
          <w:tab w:pos="1197" w:val="left" w:leader="none"/>
          <w:tab w:pos="1198" w:val="left" w:leader="none"/>
        </w:tabs>
        <w:spacing w:line="240" w:lineRule="auto" w:before="184" w:after="0"/>
        <w:ind w:left="1197" w:right="0" w:hanging="360"/>
        <w:jc w:val="left"/>
        <w:rPr>
          <w:sz w:val="38"/>
        </w:rPr>
      </w:pPr>
      <w:r>
        <w:rPr>
          <w:sz w:val="38"/>
        </w:rPr>
        <w:t>2 tablespoons of</w:t>
      </w:r>
      <w:r>
        <w:rPr>
          <w:spacing w:val="-4"/>
          <w:sz w:val="38"/>
        </w:rPr>
        <w:t> </w:t>
      </w:r>
      <w:r>
        <w:rPr>
          <w:sz w:val="38"/>
        </w:rPr>
        <w:t>tea,</w:t>
      </w:r>
    </w:p>
    <w:p>
      <w:pPr>
        <w:pStyle w:val="ListParagraph"/>
        <w:numPr>
          <w:ilvl w:val="0"/>
          <w:numId w:val="47"/>
        </w:numPr>
        <w:tabs>
          <w:tab w:pos="1197" w:val="left" w:leader="none"/>
          <w:tab w:pos="1198" w:val="left" w:leader="none"/>
        </w:tabs>
        <w:spacing w:line="240" w:lineRule="auto" w:before="185" w:after="0"/>
        <w:ind w:left="1197" w:right="0" w:hanging="360"/>
        <w:jc w:val="left"/>
        <w:rPr>
          <w:sz w:val="38"/>
        </w:rPr>
      </w:pPr>
      <w:r>
        <w:rPr>
          <w:sz w:val="38"/>
        </w:rPr>
        <w:t>1 litre of water,</w:t>
      </w:r>
    </w:p>
    <w:p>
      <w:pPr>
        <w:pStyle w:val="ListParagraph"/>
        <w:numPr>
          <w:ilvl w:val="0"/>
          <w:numId w:val="47"/>
        </w:numPr>
        <w:tabs>
          <w:tab w:pos="1197" w:val="left" w:leader="none"/>
          <w:tab w:pos="1198" w:val="left" w:leader="none"/>
        </w:tabs>
        <w:spacing w:line="240" w:lineRule="auto" w:before="184" w:after="0"/>
        <w:ind w:left="1197" w:right="0" w:hanging="360"/>
        <w:jc w:val="left"/>
        <w:rPr>
          <w:sz w:val="38"/>
        </w:rPr>
      </w:pPr>
      <w:r>
        <w:rPr>
          <w:sz w:val="38"/>
        </w:rPr>
        <w:t>a glass jar (gherkin jar, 2-3 l) with a large</w:t>
      </w:r>
      <w:r>
        <w:rPr>
          <w:spacing w:val="-15"/>
          <w:sz w:val="38"/>
        </w:rPr>
        <w:t> </w:t>
      </w:r>
      <w:r>
        <w:rPr>
          <w:sz w:val="38"/>
        </w:rPr>
        <w:t>opening,</w:t>
      </w:r>
    </w:p>
    <w:p>
      <w:pPr>
        <w:pStyle w:val="ListParagraph"/>
        <w:numPr>
          <w:ilvl w:val="0"/>
          <w:numId w:val="47"/>
        </w:numPr>
        <w:tabs>
          <w:tab w:pos="1197" w:val="left" w:leader="none"/>
          <w:tab w:pos="1198" w:val="left" w:leader="none"/>
        </w:tabs>
        <w:spacing w:line="240" w:lineRule="auto" w:before="183" w:after="0"/>
        <w:ind w:left="1197" w:right="0" w:hanging="360"/>
        <w:jc w:val="left"/>
        <w:rPr>
          <w:sz w:val="38"/>
        </w:rPr>
      </w:pPr>
      <w:r>
        <w:rPr>
          <w:sz w:val="38"/>
        </w:rPr>
        <w:t>a paper towel or cotton cloth for covering the</w:t>
      </w:r>
      <w:r>
        <w:rPr>
          <w:spacing w:val="-15"/>
          <w:sz w:val="38"/>
        </w:rPr>
        <w:t> </w:t>
      </w:r>
      <w:r>
        <w:rPr>
          <w:sz w:val="38"/>
        </w:rPr>
        <w:t>jar,</w:t>
      </w:r>
    </w:p>
    <w:p>
      <w:pPr>
        <w:pStyle w:val="ListParagraph"/>
        <w:numPr>
          <w:ilvl w:val="0"/>
          <w:numId w:val="47"/>
        </w:numPr>
        <w:tabs>
          <w:tab w:pos="1197" w:val="left" w:leader="none"/>
          <w:tab w:pos="1198" w:val="left" w:leader="none"/>
        </w:tabs>
        <w:spacing w:line="240" w:lineRule="auto" w:before="185" w:after="0"/>
        <w:ind w:left="1197" w:right="0" w:hanging="360"/>
        <w:jc w:val="left"/>
        <w:rPr>
          <w:sz w:val="38"/>
        </w:rPr>
      </w:pPr>
      <w:r>
        <w:rPr>
          <w:sz w:val="38"/>
        </w:rPr>
        <w:t>a rubber ring to cover the jar tightly with the paper</w:t>
      </w:r>
      <w:r>
        <w:rPr>
          <w:spacing w:val="-3"/>
          <w:sz w:val="38"/>
        </w:rPr>
        <w:t> </w:t>
      </w:r>
      <w:r>
        <w:rPr>
          <w:sz w:val="38"/>
        </w:rPr>
        <w:t>towel,</w:t>
      </w:r>
    </w:p>
    <w:p>
      <w:pPr>
        <w:pStyle w:val="ListParagraph"/>
        <w:numPr>
          <w:ilvl w:val="0"/>
          <w:numId w:val="47"/>
        </w:numPr>
        <w:tabs>
          <w:tab w:pos="1197" w:val="left" w:leader="none"/>
          <w:tab w:pos="1198" w:val="left" w:leader="none"/>
        </w:tabs>
        <w:spacing w:line="240" w:lineRule="auto" w:before="304" w:after="0"/>
        <w:ind w:left="1197" w:right="0" w:hanging="360"/>
        <w:jc w:val="left"/>
        <w:rPr>
          <w:sz w:val="38"/>
        </w:rPr>
      </w:pPr>
      <w:r>
        <w:rPr>
          <w:sz w:val="38"/>
        </w:rPr>
        <w:t>a tea</w:t>
      </w:r>
      <w:r>
        <w:rPr>
          <w:spacing w:val="-1"/>
          <w:sz w:val="38"/>
        </w:rPr>
        <w:t> </w:t>
      </w:r>
      <w:r>
        <w:rPr>
          <w:sz w:val="38"/>
        </w:rPr>
        <w:t>filter,</w:t>
      </w:r>
    </w:p>
    <w:p>
      <w:pPr>
        <w:pStyle w:val="ListParagraph"/>
        <w:numPr>
          <w:ilvl w:val="0"/>
          <w:numId w:val="47"/>
        </w:numPr>
        <w:tabs>
          <w:tab w:pos="1197" w:val="left" w:leader="none"/>
          <w:tab w:pos="1198" w:val="left" w:leader="none"/>
        </w:tabs>
        <w:spacing w:line="240" w:lineRule="auto" w:before="305" w:after="0"/>
        <w:ind w:left="1197" w:right="0" w:hanging="360"/>
        <w:jc w:val="left"/>
        <w:rPr>
          <w:sz w:val="38"/>
        </w:rPr>
      </w:pPr>
      <w:r>
        <w:rPr>
          <w:sz w:val="38"/>
        </w:rPr>
        <w:t>a plastic</w:t>
      </w:r>
      <w:r>
        <w:rPr>
          <w:spacing w:val="-3"/>
          <w:sz w:val="38"/>
        </w:rPr>
        <w:t> </w:t>
      </w:r>
      <w:r>
        <w:rPr>
          <w:sz w:val="38"/>
        </w:rPr>
        <w:t>sieve,</w:t>
      </w:r>
    </w:p>
    <w:p>
      <w:pPr>
        <w:pStyle w:val="ListParagraph"/>
        <w:numPr>
          <w:ilvl w:val="0"/>
          <w:numId w:val="47"/>
        </w:numPr>
        <w:tabs>
          <w:tab w:pos="1197" w:val="left" w:leader="none"/>
          <w:tab w:pos="1198" w:val="left" w:leader="none"/>
        </w:tabs>
        <w:spacing w:line="240" w:lineRule="auto" w:before="304" w:after="0"/>
        <w:ind w:left="1197" w:right="0" w:hanging="360"/>
        <w:jc w:val="left"/>
        <w:rPr>
          <w:sz w:val="38"/>
        </w:rPr>
      </w:pPr>
      <w:r>
        <w:rPr>
          <w:sz w:val="38"/>
        </w:rPr>
        <w:t>an optional heating plate for</w:t>
      </w:r>
      <w:r>
        <w:rPr>
          <w:spacing w:val="1"/>
          <w:sz w:val="38"/>
        </w:rPr>
        <w:t> </w:t>
      </w:r>
      <w:r>
        <w:rPr>
          <w:sz w:val="38"/>
        </w:rPr>
        <w:t>winter.</w:t>
      </w:r>
    </w:p>
    <w:p>
      <w:pPr>
        <w:pStyle w:val="BodyText"/>
        <w:rPr>
          <w:sz w:val="42"/>
        </w:rPr>
      </w:pPr>
    </w:p>
    <w:p>
      <w:pPr>
        <w:pStyle w:val="BodyText"/>
        <w:rPr>
          <w:sz w:val="42"/>
        </w:rPr>
      </w:pPr>
    </w:p>
    <w:p>
      <w:pPr>
        <w:pStyle w:val="BodyText"/>
        <w:rPr>
          <w:sz w:val="42"/>
        </w:rPr>
      </w:pPr>
    </w:p>
    <w:p>
      <w:pPr>
        <w:pStyle w:val="Heading2"/>
        <w:spacing w:line="410" w:lineRule="auto" w:before="349"/>
        <w:ind w:right="5925"/>
      </w:pPr>
      <w:r>
        <w:rPr/>
        <w:t>Explanation of the required utensils Tea fungus culture</w:t>
      </w:r>
    </w:p>
    <w:p>
      <w:pPr>
        <w:pStyle w:val="BodyText"/>
        <w:spacing w:line="276" w:lineRule="auto" w:before="2"/>
        <w:ind w:left="477" w:right="134"/>
        <w:jc w:val="both"/>
      </w:pPr>
      <w:r>
        <w:rPr/>
        <w:t>For a litre of kombucha tea, you need a 100 g kombucha fungus (200 g for 2 litres, 300 g for 5-10 litres). As the kombucha multiplies constantly, it has be- come a traditional custom amongst kombucha-lovers to pass on their</w:t>
      </w:r>
    </w:p>
    <w:p>
      <w:pPr>
        <w:spacing w:after="0" w:line="276" w:lineRule="auto"/>
        <w:jc w:val="both"/>
        <w:sectPr>
          <w:pgSz w:w="14270" w:h="16850"/>
          <w:pgMar w:header="0" w:footer="1891" w:top="1600" w:bottom="2080" w:left="800" w:right="1280"/>
        </w:sectPr>
      </w:pPr>
    </w:p>
    <w:p>
      <w:pPr>
        <w:pStyle w:val="BodyText"/>
        <w:spacing w:line="276" w:lineRule="auto" w:before="181"/>
        <w:ind w:left="477" w:right="134"/>
        <w:jc w:val="both"/>
      </w:pPr>
      <w:r>
        <w:rPr/>
        <w:t>‘kombucha</w:t>
      </w:r>
      <w:r>
        <w:rPr>
          <w:spacing w:val="-16"/>
        </w:rPr>
        <w:t> </w:t>
      </w:r>
      <w:r>
        <w:rPr/>
        <w:t>babies’,</w:t>
      </w:r>
      <w:r>
        <w:rPr>
          <w:spacing w:val="-16"/>
        </w:rPr>
        <w:t> </w:t>
      </w:r>
      <w:r>
        <w:rPr/>
        <w:t>the</w:t>
      </w:r>
      <w:r>
        <w:rPr>
          <w:spacing w:val="-16"/>
        </w:rPr>
        <w:t> </w:t>
      </w:r>
      <w:r>
        <w:rPr/>
        <w:t>offshoots</w:t>
      </w:r>
      <w:r>
        <w:rPr>
          <w:spacing w:val="-13"/>
        </w:rPr>
        <w:t> </w:t>
      </w:r>
      <w:r>
        <w:rPr/>
        <w:t>of</w:t>
      </w:r>
      <w:r>
        <w:rPr>
          <w:spacing w:val="-17"/>
        </w:rPr>
        <w:t> </w:t>
      </w:r>
      <w:r>
        <w:rPr/>
        <w:t>a</w:t>
      </w:r>
      <w:r>
        <w:rPr>
          <w:spacing w:val="-15"/>
        </w:rPr>
        <w:t> </w:t>
      </w:r>
      <w:r>
        <w:rPr/>
        <w:t>kombucha</w:t>
      </w:r>
      <w:r>
        <w:rPr>
          <w:spacing w:val="-17"/>
        </w:rPr>
        <w:t> </w:t>
      </w:r>
      <w:r>
        <w:rPr/>
        <w:t>fungus,</w:t>
      </w:r>
      <w:r>
        <w:rPr>
          <w:spacing w:val="-13"/>
        </w:rPr>
        <w:t> </w:t>
      </w:r>
      <w:r>
        <w:rPr/>
        <w:t>to</w:t>
      </w:r>
      <w:r>
        <w:rPr>
          <w:spacing w:val="-16"/>
        </w:rPr>
        <w:t> </w:t>
      </w:r>
      <w:r>
        <w:rPr/>
        <w:t>their</w:t>
      </w:r>
      <w:r>
        <w:rPr>
          <w:spacing w:val="-17"/>
        </w:rPr>
        <w:t> </w:t>
      </w:r>
      <w:r>
        <w:rPr/>
        <w:t>dear</w:t>
      </w:r>
      <w:r>
        <w:rPr>
          <w:spacing w:val="-14"/>
        </w:rPr>
        <w:t> </w:t>
      </w:r>
      <w:r>
        <w:rPr/>
        <w:t>acquaint- ances, family, and</w:t>
      </w:r>
      <w:r>
        <w:rPr>
          <w:spacing w:val="2"/>
        </w:rPr>
        <w:t> </w:t>
      </w:r>
      <w:r>
        <w:rPr/>
        <w:t>friends.</w:t>
      </w:r>
    </w:p>
    <w:p>
      <w:pPr>
        <w:pStyle w:val="BodyText"/>
        <w:spacing w:line="276" w:lineRule="auto" w:before="241"/>
        <w:ind w:left="477" w:right="132"/>
        <w:jc w:val="both"/>
      </w:pPr>
      <w:r>
        <w:rPr/>
        <w:t>Not</w:t>
      </w:r>
      <w:r>
        <w:rPr>
          <w:spacing w:val="-16"/>
        </w:rPr>
        <w:t> </w:t>
      </w:r>
      <w:r>
        <w:rPr/>
        <w:t>everyone,</w:t>
      </w:r>
      <w:r>
        <w:rPr>
          <w:spacing w:val="-18"/>
        </w:rPr>
        <w:t> </w:t>
      </w:r>
      <w:r>
        <w:rPr/>
        <w:t>however,</w:t>
      </w:r>
      <w:r>
        <w:rPr>
          <w:spacing w:val="-14"/>
        </w:rPr>
        <w:t> </w:t>
      </w:r>
      <w:r>
        <w:rPr/>
        <w:t>will</w:t>
      </w:r>
      <w:r>
        <w:rPr>
          <w:spacing w:val="-16"/>
        </w:rPr>
        <w:t> </w:t>
      </w:r>
      <w:r>
        <w:rPr/>
        <w:t>have</w:t>
      </w:r>
      <w:r>
        <w:rPr>
          <w:spacing w:val="-16"/>
        </w:rPr>
        <w:t> </w:t>
      </w:r>
      <w:r>
        <w:rPr/>
        <w:t>this</w:t>
      </w:r>
      <w:r>
        <w:rPr>
          <w:spacing w:val="-17"/>
        </w:rPr>
        <w:t> </w:t>
      </w:r>
      <w:r>
        <w:rPr/>
        <w:t>opportunity.</w:t>
      </w:r>
      <w:r>
        <w:rPr>
          <w:spacing w:val="-14"/>
        </w:rPr>
        <w:t> </w:t>
      </w:r>
      <w:r>
        <w:rPr/>
        <w:t>This</w:t>
      </w:r>
      <w:r>
        <w:rPr>
          <w:spacing w:val="-17"/>
        </w:rPr>
        <w:t> </w:t>
      </w:r>
      <w:r>
        <w:rPr/>
        <w:t>is</w:t>
      </w:r>
      <w:r>
        <w:rPr>
          <w:spacing w:val="-17"/>
        </w:rPr>
        <w:t> </w:t>
      </w:r>
      <w:r>
        <w:rPr/>
        <w:t>no</w:t>
      </w:r>
      <w:r>
        <w:rPr>
          <w:spacing w:val="-17"/>
        </w:rPr>
        <w:t> </w:t>
      </w:r>
      <w:r>
        <w:rPr/>
        <w:t>reason</w:t>
      </w:r>
      <w:r>
        <w:rPr>
          <w:spacing w:val="-14"/>
        </w:rPr>
        <w:t> </w:t>
      </w:r>
      <w:r>
        <w:rPr/>
        <w:t>to</w:t>
      </w:r>
      <w:r>
        <w:rPr>
          <w:spacing w:val="-17"/>
        </w:rPr>
        <w:t> </w:t>
      </w:r>
      <w:r>
        <w:rPr/>
        <w:t>despair, because there are reliable sources for obtaining a healthy, vital kombucha fun- gus</w:t>
      </w:r>
      <w:r>
        <w:rPr>
          <w:spacing w:val="-11"/>
        </w:rPr>
        <w:t> </w:t>
      </w:r>
      <w:r>
        <w:rPr/>
        <w:t>on</w:t>
      </w:r>
      <w:r>
        <w:rPr>
          <w:spacing w:val="-10"/>
        </w:rPr>
        <w:t> </w:t>
      </w:r>
      <w:r>
        <w:rPr/>
        <w:t>the</w:t>
      </w:r>
      <w:r>
        <w:rPr>
          <w:spacing w:val="-10"/>
        </w:rPr>
        <w:t> </w:t>
      </w:r>
      <w:r>
        <w:rPr/>
        <w:t>Internet!</w:t>
      </w:r>
      <w:r>
        <w:rPr>
          <w:spacing w:val="-11"/>
        </w:rPr>
        <w:t> </w:t>
      </w:r>
      <w:r>
        <w:rPr/>
        <w:t>Make</w:t>
      </w:r>
      <w:r>
        <w:rPr>
          <w:spacing w:val="-10"/>
        </w:rPr>
        <w:t> </w:t>
      </w:r>
      <w:r>
        <w:rPr/>
        <w:t>sure</w:t>
      </w:r>
      <w:r>
        <w:rPr>
          <w:spacing w:val="-10"/>
        </w:rPr>
        <w:t> </w:t>
      </w:r>
      <w:r>
        <w:rPr/>
        <w:t>that</w:t>
      </w:r>
      <w:r>
        <w:rPr>
          <w:spacing w:val="-12"/>
        </w:rPr>
        <w:t> </w:t>
      </w:r>
      <w:r>
        <w:rPr/>
        <w:t>your</w:t>
      </w:r>
      <w:r>
        <w:rPr>
          <w:spacing w:val="-11"/>
        </w:rPr>
        <w:t> </w:t>
      </w:r>
      <w:r>
        <w:rPr/>
        <w:t>kombucha</w:t>
      </w:r>
      <w:r>
        <w:rPr>
          <w:spacing w:val="-12"/>
        </w:rPr>
        <w:t> </w:t>
      </w:r>
      <w:r>
        <w:rPr/>
        <w:t>tea</w:t>
      </w:r>
      <w:r>
        <w:rPr>
          <w:spacing w:val="-11"/>
        </w:rPr>
        <w:t> </w:t>
      </w:r>
      <w:r>
        <w:rPr/>
        <w:t>fungus</w:t>
      </w:r>
      <w:r>
        <w:rPr>
          <w:spacing w:val="-12"/>
        </w:rPr>
        <w:t> </w:t>
      </w:r>
      <w:r>
        <w:rPr/>
        <w:t>culture</w:t>
      </w:r>
      <w:r>
        <w:rPr>
          <w:spacing w:val="-11"/>
        </w:rPr>
        <w:t> </w:t>
      </w:r>
      <w:r>
        <w:rPr/>
        <w:t>has</w:t>
      </w:r>
      <w:r>
        <w:rPr>
          <w:spacing w:val="-10"/>
        </w:rPr>
        <w:t> </w:t>
      </w:r>
      <w:r>
        <w:rPr/>
        <w:t>been produced under optimal hygienic conditions in a laboratory and is certified ac- cordingly.</w:t>
      </w:r>
    </w:p>
    <w:p>
      <w:pPr>
        <w:pStyle w:val="BodyText"/>
        <w:spacing w:line="276" w:lineRule="auto" w:before="240"/>
        <w:ind w:left="477" w:right="138"/>
        <w:jc w:val="both"/>
      </w:pPr>
      <w:r>
        <w:rPr/>
        <w:t>The danger of getting an unusable, or even a sick fungus, via private purchase, is great. A musty odour, a spongy consistency and many dark threads are com- mon signs of a useless fungus.</w:t>
      </w:r>
    </w:p>
    <w:p>
      <w:pPr>
        <w:pStyle w:val="BodyText"/>
        <w:spacing w:line="276" w:lineRule="auto" w:before="241"/>
        <w:ind w:left="477" w:right="131"/>
        <w:jc w:val="both"/>
      </w:pPr>
      <w:r>
        <w:rPr/>
        <w:t>Your kombucha fungus, however, should smell neutral to slightly acidic and have a tough, gelatinous consistency. Whether it is infused in black tea, green tea</w:t>
      </w:r>
      <w:r>
        <w:rPr>
          <w:spacing w:val="-7"/>
        </w:rPr>
        <w:t> </w:t>
      </w:r>
      <w:r>
        <w:rPr/>
        <w:t>or</w:t>
      </w:r>
      <w:r>
        <w:rPr>
          <w:spacing w:val="-7"/>
        </w:rPr>
        <w:t> </w:t>
      </w:r>
      <w:r>
        <w:rPr/>
        <w:t>fruit</w:t>
      </w:r>
      <w:r>
        <w:rPr>
          <w:spacing w:val="-9"/>
        </w:rPr>
        <w:t> </w:t>
      </w:r>
      <w:r>
        <w:rPr/>
        <w:t>tea,</w:t>
      </w:r>
      <w:r>
        <w:rPr>
          <w:spacing w:val="-5"/>
        </w:rPr>
        <w:t> </w:t>
      </w:r>
      <w:r>
        <w:rPr/>
        <w:t>it</w:t>
      </w:r>
      <w:r>
        <w:rPr>
          <w:spacing w:val="-10"/>
        </w:rPr>
        <w:t> </w:t>
      </w:r>
      <w:r>
        <w:rPr/>
        <w:t>assumes</w:t>
      </w:r>
      <w:r>
        <w:rPr>
          <w:spacing w:val="-8"/>
        </w:rPr>
        <w:t> </w:t>
      </w:r>
      <w:r>
        <w:rPr/>
        <w:t>the</w:t>
      </w:r>
      <w:r>
        <w:rPr>
          <w:spacing w:val="-6"/>
        </w:rPr>
        <w:t> </w:t>
      </w:r>
      <w:r>
        <w:rPr/>
        <w:t>corresponding</w:t>
      </w:r>
      <w:r>
        <w:rPr>
          <w:spacing w:val="-8"/>
        </w:rPr>
        <w:t> </w:t>
      </w:r>
      <w:r>
        <w:rPr/>
        <w:t>colour,</w:t>
      </w:r>
      <w:r>
        <w:rPr>
          <w:spacing w:val="-8"/>
        </w:rPr>
        <w:t> </w:t>
      </w:r>
      <w:r>
        <w:rPr/>
        <w:t>which</w:t>
      </w:r>
      <w:r>
        <w:rPr>
          <w:spacing w:val="-5"/>
        </w:rPr>
        <w:t> </w:t>
      </w:r>
      <w:r>
        <w:rPr/>
        <w:t>may</w:t>
      </w:r>
      <w:r>
        <w:rPr>
          <w:spacing w:val="-8"/>
        </w:rPr>
        <w:t> </w:t>
      </w:r>
      <w:r>
        <w:rPr/>
        <w:t>then</w:t>
      </w:r>
      <w:r>
        <w:rPr>
          <w:spacing w:val="-7"/>
        </w:rPr>
        <w:t> </w:t>
      </w:r>
      <w:r>
        <w:rPr/>
        <w:t>vary</w:t>
      </w:r>
      <w:r>
        <w:rPr>
          <w:spacing w:val="-9"/>
        </w:rPr>
        <w:t> </w:t>
      </w:r>
      <w:r>
        <w:rPr/>
        <w:t>from light brown to a milky colour to</w:t>
      </w:r>
      <w:r>
        <w:rPr>
          <w:spacing w:val="-2"/>
        </w:rPr>
        <w:t> </w:t>
      </w:r>
      <w:r>
        <w:rPr/>
        <w:t>pink.</w:t>
      </w:r>
    </w:p>
    <w:p>
      <w:pPr>
        <w:pStyle w:val="BodyText"/>
        <w:spacing w:line="276" w:lineRule="auto" w:before="240"/>
        <w:ind w:left="477" w:right="133"/>
        <w:jc w:val="both"/>
      </w:pPr>
      <w:r>
        <w:rPr/>
        <w:t>A starter/base liquid is absolutely recommended for the first brew. It contains all the acids kombucha needs to protect itself from possible negative intruders and to start work immediately. For further uses, always leave 10-20 % of the resulting</w:t>
      </w:r>
      <w:r>
        <w:rPr>
          <w:spacing w:val="-19"/>
        </w:rPr>
        <w:t> </w:t>
      </w:r>
      <w:r>
        <w:rPr/>
        <w:t>kombucha</w:t>
      </w:r>
      <w:r>
        <w:rPr>
          <w:spacing w:val="-20"/>
        </w:rPr>
        <w:t> </w:t>
      </w:r>
      <w:r>
        <w:rPr/>
        <w:t>tea</w:t>
      </w:r>
      <w:r>
        <w:rPr>
          <w:spacing w:val="-19"/>
        </w:rPr>
        <w:t> </w:t>
      </w:r>
      <w:r>
        <w:rPr/>
        <w:t>for</w:t>
      </w:r>
      <w:r>
        <w:rPr>
          <w:spacing w:val="-19"/>
        </w:rPr>
        <w:t> </w:t>
      </w:r>
      <w:r>
        <w:rPr/>
        <w:t>this</w:t>
      </w:r>
      <w:r>
        <w:rPr>
          <w:spacing w:val="-21"/>
        </w:rPr>
        <w:t> </w:t>
      </w:r>
      <w:r>
        <w:rPr/>
        <w:t>fungus,</w:t>
      </w:r>
      <w:r>
        <w:rPr>
          <w:spacing w:val="-18"/>
        </w:rPr>
        <w:t> </w:t>
      </w:r>
      <w:r>
        <w:rPr/>
        <w:t>this</w:t>
      </w:r>
      <w:r>
        <w:rPr>
          <w:spacing w:val="-19"/>
        </w:rPr>
        <w:t> </w:t>
      </w:r>
      <w:r>
        <w:rPr/>
        <w:t>protects</w:t>
      </w:r>
      <w:r>
        <w:rPr>
          <w:spacing w:val="-18"/>
        </w:rPr>
        <w:t> </w:t>
      </w:r>
      <w:r>
        <w:rPr/>
        <w:t>the</w:t>
      </w:r>
      <w:r>
        <w:rPr>
          <w:spacing w:val="-18"/>
        </w:rPr>
        <w:t> </w:t>
      </w:r>
      <w:r>
        <w:rPr/>
        <w:t>fungus</w:t>
      </w:r>
      <w:r>
        <w:rPr>
          <w:spacing w:val="-20"/>
        </w:rPr>
        <w:t> </w:t>
      </w:r>
      <w:r>
        <w:rPr/>
        <w:t>from</w:t>
      </w:r>
      <w:r>
        <w:rPr>
          <w:spacing w:val="-18"/>
        </w:rPr>
        <w:t> </w:t>
      </w:r>
      <w:r>
        <w:rPr/>
        <w:t>germs</w:t>
      </w:r>
      <w:r>
        <w:rPr>
          <w:spacing w:val="-20"/>
        </w:rPr>
        <w:t> </w:t>
      </w:r>
      <w:r>
        <w:rPr/>
        <w:t>and bacteria and accelerates its further tea</w:t>
      </w:r>
      <w:r>
        <w:rPr>
          <w:spacing w:val="-2"/>
        </w:rPr>
        <w:t> </w:t>
      </w:r>
      <w:r>
        <w:rPr/>
        <w:t>production.</w:t>
      </w:r>
    </w:p>
    <w:p>
      <w:pPr>
        <w:pStyle w:val="BodyText"/>
        <w:rPr>
          <w:sz w:val="42"/>
        </w:rPr>
      </w:pPr>
    </w:p>
    <w:p>
      <w:pPr>
        <w:pStyle w:val="BodyText"/>
        <w:spacing w:before="4"/>
        <w:rPr>
          <w:sz w:val="44"/>
        </w:rPr>
      </w:pPr>
    </w:p>
    <w:p>
      <w:pPr>
        <w:pStyle w:val="Heading2"/>
        <w:jc w:val="both"/>
      </w:pPr>
      <w:r>
        <w:rPr/>
        <w:t>Sugar in kombucha</w:t>
      </w:r>
    </w:p>
    <w:p>
      <w:pPr>
        <w:spacing w:after="0"/>
        <w:jc w:val="both"/>
        <w:sectPr>
          <w:pgSz w:w="14270" w:h="16850"/>
          <w:pgMar w:header="0" w:footer="1891" w:top="1600" w:bottom="2080" w:left="800" w:right="1280"/>
        </w:sectPr>
      </w:pPr>
    </w:p>
    <w:p>
      <w:pPr>
        <w:spacing w:line="276" w:lineRule="auto" w:before="181"/>
        <w:ind w:left="477" w:right="139" w:firstLine="0"/>
        <w:jc w:val="both"/>
        <w:rPr>
          <w:sz w:val="38"/>
        </w:rPr>
      </w:pPr>
      <w:r>
        <w:rPr>
          <w:sz w:val="38"/>
        </w:rPr>
        <w:t>‘</w:t>
      </w:r>
      <w:r>
        <w:rPr>
          <w:i/>
          <w:sz w:val="38"/>
        </w:rPr>
        <w:t>So much sugar? Can that be healthy?’ </w:t>
      </w:r>
      <w:r>
        <w:rPr>
          <w:sz w:val="38"/>
        </w:rPr>
        <w:t>That's how many a health-conscious person may think...</w:t>
      </w:r>
    </w:p>
    <w:p>
      <w:pPr>
        <w:pStyle w:val="BodyText"/>
        <w:spacing w:line="276" w:lineRule="auto" w:before="241"/>
        <w:ind w:left="477" w:right="139"/>
        <w:jc w:val="both"/>
      </w:pPr>
      <w:r>
        <w:rPr/>
        <w:t>Do not worry, the sugar is only a food for the kombucha and is recycled by it during fermentation and converted into valuable substances. When the kombucha tea is ready, it contains no more sugar than fruit juices, often less.</w:t>
      </w:r>
    </w:p>
    <w:p>
      <w:pPr>
        <w:pStyle w:val="BodyText"/>
        <w:spacing w:line="276" w:lineRule="auto" w:before="239"/>
        <w:ind w:left="477" w:right="132"/>
        <w:jc w:val="both"/>
      </w:pPr>
      <w:r>
        <w:rPr/>
        <w:t>The recommendations range from 60-100 g of sugar per litre of kombucha</w:t>
      </w:r>
      <w:r>
        <w:rPr>
          <w:spacing w:val="-68"/>
        </w:rPr>
        <w:t> </w:t>
      </w:r>
      <w:r>
        <w:rPr/>
        <w:t>tea. This is subject to individual sweetening habits; in general, however, 70 g is enough. Raw cane sugar is recommended for brewing, but normal, white table sugar can also be used. On the other hand, fructose is not suitable for use in brewing, and honey is also not suitable. Depending on the quantity and the desired</w:t>
      </w:r>
      <w:r>
        <w:rPr>
          <w:spacing w:val="-11"/>
        </w:rPr>
        <w:t> </w:t>
      </w:r>
      <w:r>
        <w:rPr/>
        <w:t>flavour</w:t>
      </w:r>
      <w:r>
        <w:rPr>
          <w:spacing w:val="-12"/>
        </w:rPr>
        <w:t> </w:t>
      </w:r>
      <w:r>
        <w:rPr/>
        <w:t>(sweet</w:t>
      </w:r>
      <w:r>
        <w:rPr>
          <w:spacing w:val="-11"/>
        </w:rPr>
        <w:t> </w:t>
      </w:r>
      <w:r>
        <w:rPr/>
        <w:t>or</w:t>
      </w:r>
      <w:r>
        <w:rPr>
          <w:spacing w:val="-13"/>
        </w:rPr>
        <w:t> </w:t>
      </w:r>
      <w:r>
        <w:rPr/>
        <w:t>sour),</w:t>
      </w:r>
      <w:r>
        <w:rPr>
          <w:spacing w:val="-13"/>
        </w:rPr>
        <w:t> </w:t>
      </w:r>
      <w:r>
        <w:rPr/>
        <w:t>take</w:t>
      </w:r>
      <w:r>
        <w:rPr>
          <w:spacing w:val="-13"/>
        </w:rPr>
        <w:t> </w:t>
      </w:r>
      <w:r>
        <w:rPr/>
        <w:t>between</w:t>
      </w:r>
      <w:r>
        <w:rPr>
          <w:spacing w:val="-10"/>
        </w:rPr>
        <w:t> </w:t>
      </w:r>
      <w:r>
        <w:rPr/>
        <w:t>60-100</w:t>
      </w:r>
      <w:r>
        <w:rPr>
          <w:spacing w:val="-13"/>
        </w:rPr>
        <w:t> </w:t>
      </w:r>
      <w:r>
        <w:rPr/>
        <w:t>g</w:t>
      </w:r>
      <w:r>
        <w:rPr>
          <w:spacing w:val="-11"/>
        </w:rPr>
        <w:t> </w:t>
      </w:r>
      <w:r>
        <w:rPr/>
        <w:t>of</w:t>
      </w:r>
      <w:r>
        <w:rPr>
          <w:spacing w:val="-13"/>
        </w:rPr>
        <w:t> </w:t>
      </w:r>
      <w:r>
        <w:rPr/>
        <w:t>sugar</w:t>
      </w:r>
      <w:r>
        <w:rPr>
          <w:spacing w:val="-13"/>
        </w:rPr>
        <w:t> </w:t>
      </w:r>
      <w:r>
        <w:rPr/>
        <w:t>per</w:t>
      </w:r>
      <w:r>
        <w:rPr>
          <w:spacing w:val="-10"/>
        </w:rPr>
        <w:t> </w:t>
      </w:r>
      <w:r>
        <w:rPr/>
        <w:t>litre</w:t>
      </w:r>
      <w:r>
        <w:rPr>
          <w:spacing w:val="-13"/>
        </w:rPr>
        <w:t> </w:t>
      </w:r>
      <w:r>
        <w:rPr/>
        <w:t>of</w:t>
      </w:r>
      <w:r>
        <w:rPr>
          <w:spacing w:val="-13"/>
        </w:rPr>
        <w:t> </w:t>
      </w:r>
      <w:r>
        <w:rPr/>
        <w:t>brew or 4-7 tablespoons of sugar (double for 2 litres, triple for 3 litres,</w:t>
      </w:r>
      <w:r>
        <w:rPr>
          <w:spacing w:val="-14"/>
        </w:rPr>
        <w:t> </w:t>
      </w:r>
      <w:r>
        <w:rPr/>
        <w:t>etc.)</w:t>
      </w:r>
    </w:p>
    <w:p>
      <w:pPr>
        <w:pStyle w:val="Heading2"/>
        <w:spacing w:before="241"/>
      </w:pPr>
      <w:r>
        <w:rPr/>
        <w:t>Which tea is suitable?</w:t>
      </w:r>
    </w:p>
    <w:p>
      <w:pPr>
        <w:pStyle w:val="BodyText"/>
        <w:spacing w:line="276" w:lineRule="auto" w:before="305"/>
        <w:ind w:left="477" w:right="136"/>
        <w:jc w:val="both"/>
      </w:pPr>
      <w:r>
        <w:rPr/>
        <w:t>Basically, black tea, green tea and herbal tea are all suitable. The tea serves as a nutrient for the kombucha, like sugar. Many swear that black tea makes kombucha fungi thrive best, due to the high purine content and the many tan- nins in black tea. The kombucha expert, Günther W. Frank, recommends</w:t>
      </w:r>
      <w:r>
        <w:rPr>
          <w:spacing w:val="-50"/>
        </w:rPr>
        <w:t> </w:t>
      </w:r>
      <w:r>
        <w:rPr/>
        <w:t>both black and green tea, both in equal proportions, combined even with herbal tea if desired (the latter must not contain essential oils, as is the case with pepper- mint tea!).</w:t>
      </w:r>
    </w:p>
    <w:p>
      <w:pPr>
        <w:pStyle w:val="BodyText"/>
        <w:spacing w:before="240"/>
        <w:ind w:left="477"/>
        <w:jc w:val="both"/>
      </w:pPr>
      <w:r>
        <w:rPr/>
        <w:t>Green tea works very well and because of its much higher nutritional content</w:t>
      </w:r>
    </w:p>
    <w:p>
      <w:pPr>
        <w:spacing w:after="0"/>
        <w:jc w:val="both"/>
        <w:sectPr>
          <w:pgSz w:w="14270" w:h="16850"/>
          <w:pgMar w:header="0" w:footer="1891" w:top="1600" w:bottom="2080" w:left="800" w:right="1280"/>
        </w:sectPr>
      </w:pPr>
    </w:p>
    <w:p>
      <w:pPr>
        <w:pStyle w:val="BodyText"/>
        <w:spacing w:line="276" w:lineRule="auto" w:before="181"/>
        <w:ind w:left="477" w:right="140"/>
        <w:jc w:val="both"/>
      </w:pPr>
      <w:r>
        <w:rPr/>
        <w:t>compared to black tea (see comparison chart) it also has a higher value for our health. The following table shows the difference between the levels of 4 vita- mins in green tea and black tea. These are likely to be representative of many other active ingredients:</w:t>
      </w:r>
    </w:p>
    <w:p>
      <w:pPr>
        <w:pStyle w:val="BodyText"/>
        <w:spacing w:before="6"/>
        <w:rPr>
          <w:sz w:val="21"/>
        </w:rPr>
      </w:pPr>
    </w:p>
    <w:tbl>
      <w:tblPr>
        <w:tblW w:w="0" w:type="auto"/>
        <w:jc w:val="left"/>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13"/>
        <w:gridCol w:w="1008"/>
        <w:gridCol w:w="1163"/>
        <w:gridCol w:w="1153"/>
        <w:gridCol w:w="1077"/>
      </w:tblGrid>
      <w:tr>
        <w:trPr>
          <w:trHeight w:val="949" w:hRule="atLeast"/>
        </w:trPr>
        <w:tc>
          <w:tcPr>
            <w:tcW w:w="1413" w:type="dxa"/>
          </w:tcPr>
          <w:p>
            <w:pPr>
              <w:pStyle w:val="TableParagraph"/>
              <w:spacing w:line="427" w:lineRule="exact"/>
              <w:ind w:left="96" w:right="155"/>
              <w:jc w:val="center"/>
              <w:rPr>
                <w:b/>
                <w:sz w:val="38"/>
              </w:rPr>
            </w:pPr>
            <w:r>
              <w:rPr>
                <w:b/>
                <w:sz w:val="38"/>
              </w:rPr>
              <w:t>per 100</w:t>
            </w:r>
          </w:p>
          <w:p>
            <w:pPr>
              <w:pStyle w:val="TableParagraph"/>
              <w:spacing w:before="62"/>
              <w:ind w:left="96" w:right="153"/>
              <w:jc w:val="center"/>
              <w:rPr>
                <w:b/>
                <w:sz w:val="38"/>
              </w:rPr>
            </w:pPr>
            <w:r>
              <w:rPr>
                <w:b/>
                <w:sz w:val="38"/>
              </w:rPr>
              <w:t>mg</w:t>
            </w:r>
          </w:p>
        </w:tc>
        <w:tc>
          <w:tcPr>
            <w:tcW w:w="1008" w:type="dxa"/>
          </w:tcPr>
          <w:p>
            <w:pPr>
              <w:pStyle w:val="TableParagraph"/>
              <w:spacing w:line="427" w:lineRule="exact"/>
              <w:ind w:left="110"/>
              <w:rPr>
                <w:b/>
                <w:sz w:val="38"/>
              </w:rPr>
            </w:pPr>
            <w:r>
              <w:rPr>
                <w:b/>
                <w:sz w:val="38"/>
              </w:rPr>
              <w:t>Vita-</w:t>
            </w:r>
          </w:p>
          <w:p>
            <w:pPr>
              <w:pStyle w:val="TableParagraph"/>
              <w:spacing w:before="62"/>
              <w:ind w:left="184"/>
              <w:rPr>
                <w:b/>
                <w:sz w:val="38"/>
              </w:rPr>
            </w:pPr>
            <w:r>
              <w:rPr>
                <w:b/>
                <w:sz w:val="38"/>
              </w:rPr>
              <w:t>min</w:t>
            </w:r>
          </w:p>
        </w:tc>
        <w:tc>
          <w:tcPr>
            <w:tcW w:w="1163" w:type="dxa"/>
          </w:tcPr>
          <w:p>
            <w:pPr>
              <w:pStyle w:val="TableParagraph"/>
              <w:spacing w:line="427" w:lineRule="exact"/>
              <w:ind w:left="120" w:right="107"/>
              <w:jc w:val="center"/>
              <w:rPr>
                <w:b/>
                <w:sz w:val="38"/>
              </w:rPr>
            </w:pPr>
            <w:r>
              <w:rPr>
                <w:b/>
                <w:sz w:val="38"/>
              </w:rPr>
              <w:t>Caro-</w:t>
            </w:r>
          </w:p>
          <w:p>
            <w:pPr>
              <w:pStyle w:val="TableParagraph"/>
              <w:spacing w:before="62"/>
              <w:ind w:left="120" w:right="106"/>
              <w:jc w:val="center"/>
              <w:rPr>
                <w:b/>
                <w:sz w:val="38"/>
              </w:rPr>
            </w:pPr>
            <w:r>
              <w:rPr>
                <w:b/>
                <w:sz w:val="38"/>
              </w:rPr>
              <w:t>tene</w:t>
            </w:r>
          </w:p>
        </w:tc>
        <w:tc>
          <w:tcPr>
            <w:tcW w:w="1153" w:type="dxa"/>
          </w:tcPr>
          <w:p>
            <w:pPr>
              <w:pStyle w:val="TableParagraph"/>
              <w:spacing w:line="427" w:lineRule="exact"/>
              <w:ind w:left="210"/>
              <w:rPr>
                <w:b/>
                <w:sz w:val="38"/>
              </w:rPr>
            </w:pPr>
            <w:r>
              <w:rPr>
                <w:b/>
                <w:sz w:val="38"/>
              </w:rPr>
              <w:t>Vita-</w:t>
            </w:r>
          </w:p>
          <w:p>
            <w:pPr>
              <w:pStyle w:val="TableParagraph"/>
              <w:spacing w:before="62"/>
              <w:ind w:left="287"/>
              <w:rPr>
                <w:b/>
                <w:sz w:val="38"/>
              </w:rPr>
            </w:pPr>
            <w:r>
              <w:rPr>
                <w:b/>
                <w:sz w:val="38"/>
              </w:rPr>
              <w:t>min</w:t>
            </w:r>
          </w:p>
        </w:tc>
        <w:tc>
          <w:tcPr>
            <w:tcW w:w="1077" w:type="dxa"/>
          </w:tcPr>
          <w:p>
            <w:pPr>
              <w:pStyle w:val="TableParagraph"/>
              <w:spacing w:line="427" w:lineRule="exact"/>
              <w:ind w:left="235"/>
              <w:rPr>
                <w:b/>
                <w:sz w:val="38"/>
              </w:rPr>
            </w:pPr>
            <w:r>
              <w:rPr>
                <w:b/>
                <w:sz w:val="38"/>
              </w:rPr>
              <w:t>Vita-</w:t>
            </w:r>
          </w:p>
          <w:p>
            <w:pPr>
              <w:pStyle w:val="TableParagraph"/>
              <w:spacing w:before="62"/>
              <w:ind w:left="312"/>
              <w:rPr>
                <w:b/>
                <w:sz w:val="38"/>
              </w:rPr>
            </w:pPr>
            <w:r>
              <w:rPr>
                <w:b/>
                <w:sz w:val="38"/>
              </w:rPr>
              <w:t>min</w:t>
            </w:r>
          </w:p>
        </w:tc>
      </w:tr>
      <w:tr>
        <w:trPr>
          <w:trHeight w:val="492" w:hRule="atLeast"/>
        </w:trPr>
        <w:tc>
          <w:tcPr>
            <w:tcW w:w="1413" w:type="dxa"/>
          </w:tcPr>
          <w:p>
            <w:pPr>
              <w:pStyle w:val="TableParagraph"/>
              <w:rPr>
                <w:rFonts w:ascii="Times New Roman"/>
                <w:sz w:val="36"/>
              </w:rPr>
            </w:pPr>
          </w:p>
        </w:tc>
        <w:tc>
          <w:tcPr>
            <w:tcW w:w="1008" w:type="dxa"/>
          </w:tcPr>
          <w:p>
            <w:pPr>
              <w:pStyle w:val="TableParagraph"/>
              <w:spacing w:before="32"/>
              <w:jc w:val="center"/>
              <w:rPr>
                <w:b/>
                <w:sz w:val="38"/>
              </w:rPr>
            </w:pPr>
            <w:r>
              <w:rPr>
                <w:b/>
                <w:w w:val="99"/>
                <w:sz w:val="38"/>
              </w:rPr>
              <w:t>C</w:t>
            </w:r>
          </w:p>
        </w:tc>
        <w:tc>
          <w:tcPr>
            <w:tcW w:w="1163" w:type="dxa"/>
          </w:tcPr>
          <w:p>
            <w:pPr>
              <w:pStyle w:val="TableParagraph"/>
              <w:rPr>
                <w:rFonts w:ascii="Times New Roman"/>
                <w:sz w:val="36"/>
              </w:rPr>
            </w:pPr>
          </w:p>
        </w:tc>
        <w:tc>
          <w:tcPr>
            <w:tcW w:w="1153" w:type="dxa"/>
          </w:tcPr>
          <w:p>
            <w:pPr>
              <w:pStyle w:val="TableParagraph"/>
              <w:spacing w:before="32"/>
              <w:ind w:left="426"/>
              <w:rPr>
                <w:b/>
                <w:sz w:val="38"/>
              </w:rPr>
            </w:pPr>
            <w:r>
              <w:rPr>
                <w:b/>
                <w:sz w:val="38"/>
              </w:rPr>
              <w:t>B</w:t>
            </w:r>
            <w:r>
              <w:rPr>
                <w:b/>
                <w:sz w:val="38"/>
                <w:vertAlign w:val="subscript"/>
              </w:rPr>
              <w:t>1</w:t>
            </w:r>
          </w:p>
        </w:tc>
        <w:tc>
          <w:tcPr>
            <w:tcW w:w="1077" w:type="dxa"/>
          </w:tcPr>
          <w:p>
            <w:pPr>
              <w:pStyle w:val="TableParagraph"/>
              <w:spacing w:before="32"/>
              <w:ind w:left="442"/>
              <w:rPr>
                <w:b/>
                <w:sz w:val="38"/>
              </w:rPr>
            </w:pPr>
            <w:r>
              <w:rPr>
                <w:b/>
                <w:sz w:val="38"/>
              </w:rPr>
              <w:t>B</w:t>
            </w:r>
            <w:r>
              <w:rPr>
                <w:b/>
                <w:sz w:val="38"/>
                <w:vertAlign w:val="subscript"/>
              </w:rPr>
              <w:t>2</w:t>
            </w:r>
          </w:p>
        </w:tc>
      </w:tr>
      <w:tr>
        <w:trPr>
          <w:trHeight w:val="492" w:hRule="atLeast"/>
        </w:trPr>
        <w:tc>
          <w:tcPr>
            <w:tcW w:w="1413" w:type="dxa"/>
          </w:tcPr>
          <w:p>
            <w:pPr>
              <w:pStyle w:val="TableParagraph"/>
              <w:spacing w:before="32"/>
              <w:ind w:left="50"/>
              <w:rPr>
                <w:sz w:val="38"/>
              </w:rPr>
            </w:pPr>
            <w:r>
              <w:rPr>
                <w:sz w:val="38"/>
              </w:rPr>
              <w:t>Green</w:t>
            </w:r>
          </w:p>
        </w:tc>
        <w:tc>
          <w:tcPr>
            <w:tcW w:w="1008" w:type="dxa"/>
          </w:tcPr>
          <w:p>
            <w:pPr>
              <w:pStyle w:val="TableParagraph"/>
              <w:spacing w:before="32"/>
              <w:ind w:left="108"/>
              <w:rPr>
                <w:sz w:val="38"/>
              </w:rPr>
            </w:pPr>
            <w:r>
              <w:rPr>
                <w:sz w:val="38"/>
              </w:rPr>
              <w:t>60</w:t>
            </w:r>
          </w:p>
        </w:tc>
        <w:tc>
          <w:tcPr>
            <w:tcW w:w="1163" w:type="dxa"/>
          </w:tcPr>
          <w:p>
            <w:pPr>
              <w:pStyle w:val="TableParagraph"/>
              <w:spacing w:before="32"/>
              <w:ind w:left="108"/>
              <w:rPr>
                <w:sz w:val="38"/>
              </w:rPr>
            </w:pPr>
            <w:r>
              <w:rPr>
                <w:sz w:val="38"/>
              </w:rPr>
              <w:t>29 mg</w:t>
            </w:r>
          </w:p>
        </w:tc>
        <w:tc>
          <w:tcPr>
            <w:tcW w:w="1153" w:type="dxa"/>
          </w:tcPr>
          <w:p>
            <w:pPr>
              <w:pStyle w:val="TableParagraph"/>
              <w:spacing w:before="32"/>
              <w:ind w:left="124"/>
              <w:rPr>
                <w:sz w:val="38"/>
              </w:rPr>
            </w:pPr>
            <w:r>
              <w:rPr>
                <w:sz w:val="38"/>
              </w:rPr>
              <w:t>0.6</w:t>
            </w:r>
          </w:p>
        </w:tc>
        <w:tc>
          <w:tcPr>
            <w:tcW w:w="1077" w:type="dxa"/>
          </w:tcPr>
          <w:p>
            <w:pPr>
              <w:pStyle w:val="TableParagraph"/>
              <w:spacing w:before="32"/>
              <w:ind w:left="149"/>
              <w:rPr>
                <w:sz w:val="38"/>
              </w:rPr>
            </w:pPr>
            <w:r>
              <w:rPr>
                <w:sz w:val="38"/>
              </w:rPr>
              <w:t>1.35</w:t>
            </w:r>
          </w:p>
        </w:tc>
      </w:tr>
      <w:tr>
        <w:trPr>
          <w:trHeight w:val="492" w:hRule="atLeast"/>
        </w:trPr>
        <w:tc>
          <w:tcPr>
            <w:tcW w:w="1413" w:type="dxa"/>
          </w:tcPr>
          <w:p>
            <w:pPr>
              <w:pStyle w:val="TableParagraph"/>
              <w:spacing w:before="32"/>
              <w:ind w:left="50"/>
              <w:rPr>
                <w:sz w:val="38"/>
              </w:rPr>
            </w:pPr>
            <w:r>
              <w:rPr>
                <w:sz w:val="38"/>
              </w:rPr>
              <w:t>tea</w:t>
            </w:r>
          </w:p>
        </w:tc>
        <w:tc>
          <w:tcPr>
            <w:tcW w:w="1008" w:type="dxa"/>
          </w:tcPr>
          <w:p>
            <w:pPr>
              <w:pStyle w:val="TableParagraph"/>
              <w:spacing w:before="32"/>
              <w:ind w:left="108"/>
              <w:rPr>
                <w:sz w:val="38"/>
              </w:rPr>
            </w:pPr>
            <w:r>
              <w:rPr>
                <w:sz w:val="38"/>
              </w:rPr>
              <w:t>mg</w:t>
            </w:r>
          </w:p>
        </w:tc>
        <w:tc>
          <w:tcPr>
            <w:tcW w:w="1163" w:type="dxa"/>
          </w:tcPr>
          <w:p>
            <w:pPr>
              <w:pStyle w:val="TableParagraph"/>
              <w:rPr>
                <w:rFonts w:ascii="Times New Roman"/>
                <w:sz w:val="36"/>
              </w:rPr>
            </w:pPr>
          </w:p>
        </w:tc>
        <w:tc>
          <w:tcPr>
            <w:tcW w:w="1153" w:type="dxa"/>
          </w:tcPr>
          <w:p>
            <w:pPr>
              <w:pStyle w:val="TableParagraph"/>
              <w:spacing w:before="32"/>
              <w:ind w:left="124"/>
              <w:rPr>
                <w:sz w:val="38"/>
              </w:rPr>
            </w:pPr>
            <w:r>
              <w:rPr>
                <w:sz w:val="38"/>
              </w:rPr>
              <w:t>mg</w:t>
            </w:r>
          </w:p>
        </w:tc>
        <w:tc>
          <w:tcPr>
            <w:tcW w:w="1077" w:type="dxa"/>
          </w:tcPr>
          <w:p>
            <w:pPr>
              <w:pStyle w:val="TableParagraph"/>
              <w:spacing w:before="32"/>
              <w:ind w:left="149"/>
              <w:rPr>
                <w:sz w:val="38"/>
              </w:rPr>
            </w:pPr>
            <w:r>
              <w:rPr>
                <w:sz w:val="38"/>
              </w:rPr>
              <w:t>mg</w:t>
            </w:r>
          </w:p>
        </w:tc>
      </w:tr>
      <w:tr>
        <w:trPr>
          <w:trHeight w:val="491" w:hRule="atLeast"/>
        </w:trPr>
        <w:tc>
          <w:tcPr>
            <w:tcW w:w="1413" w:type="dxa"/>
          </w:tcPr>
          <w:p>
            <w:pPr>
              <w:pStyle w:val="TableParagraph"/>
              <w:spacing w:before="32"/>
              <w:ind w:left="50"/>
              <w:rPr>
                <w:sz w:val="38"/>
              </w:rPr>
            </w:pPr>
            <w:r>
              <w:rPr>
                <w:sz w:val="38"/>
              </w:rPr>
              <w:t>‘Matcha’</w:t>
            </w:r>
          </w:p>
        </w:tc>
        <w:tc>
          <w:tcPr>
            <w:tcW w:w="1008" w:type="dxa"/>
          </w:tcPr>
          <w:p>
            <w:pPr>
              <w:pStyle w:val="TableParagraph"/>
              <w:rPr>
                <w:rFonts w:ascii="Times New Roman"/>
                <w:sz w:val="36"/>
              </w:rPr>
            </w:pPr>
          </w:p>
        </w:tc>
        <w:tc>
          <w:tcPr>
            <w:tcW w:w="1163" w:type="dxa"/>
          </w:tcPr>
          <w:p>
            <w:pPr>
              <w:pStyle w:val="TableParagraph"/>
              <w:rPr>
                <w:rFonts w:ascii="Times New Roman"/>
                <w:sz w:val="36"/>
              </w:rPr>
            </w:pPr>
          </w:p>
        </w:tc>
        <w:tc>
          <w:tcPr>
            <w:tcW w:w="1153" w:type="dxa"/>
          </w:tcPr>
          <w:p>
            <w:pPr>
              <w:pStyle w:val="TableParagraph"/>
              <w:rPr>
                <w:rFonts w:ascii="Times New Roman"/>
                <w:sz w:val="36"/>
              </w:rPr>
            </w:pPr>
          </w:p>
        </w:tc>
        <w:tc>
          <w:tcPr>
            <w:tcW w:w="1077" w:type="dxa"/>
          </w:tcPr>
          <w:p>
            <w:pPr>
              <w:pStyle w:val="TableParagraph"/>
              <w:rPr>
                <w:rFonts w:ascii="Times New Roman"/>
                <w:sz w:val="36"/>
              </w:rPr>
            </w:pPr>
          </w:p>
        </w:tc>
      </w:tr>
      <w:tr>
        <w:trPr>
          <w:trHeight w:val="981" w:hRule="atLeast"/>
        </w:trPr>
        <w:tc>
          <w:tcPr>
            <w:tcW w:w="1413" w:type="dxa"/>
          </w:tcPr>
          <w:p>
            <w:pPr>
              <w:pStyle w:val="TableParagraph"/>
              <w:spacing w:before="32"/>
              <w:ind w:left="50"/>
              <w:rPr>
                <w:sz w:val="38"/>
              </w:rPr>
            </w:pPr>
            <w:r>
              <w:rPr>
                <w:sz w:val="38"/>
              </w:rPr>
              <w:t>Green</w:t>
            </w:r>
          </w:p>
          <w:p>
            <w:pPr>
              <w:pStyle w:val="TableParagraph"/>
              <w:spacing w:before="62"/>
              <w:ind w:left="50"/>
              <w:rPr>
                <w:sz w:val="38"/>
              </w:rPr>
            </w:pPr>
            <w:r>
              <w:rPr>
                <w:sz w:val="38"/>
              </w:rPr>
              <w:t>tea:</w:t>
            </w:r>
          </w:p>
        </w:tc>
        <w:tc>
          <w:tcPr>
            <w:tcW w:w="1008" w:type="dxa"/>
          </w:tcPr>
          <w:p>
            <w:pPr>
              <w:pStyle w:val="TableParagraph"/>
              <w:spacing w:before="32"/>
              <w:ind w:left="108"/>
              <w:rPr>
                <w:sz w:val="38"/>
              </w:rPr>
            </w:pPr>
            <w:r>
              <w:rPr>
                <w:sz w:val="38"/>
              </w:rPr>
              <w:t>250</w:t>
            </w:r>
          </w:p>
          <w:p>
            <w:pPr>
              <w:pStyle w:val="TableParagraph"/>
              <w:spacing w:before="62"/>
              <w:ind w:left="108"/>
              <w:rPr>
                <w:sz w:val="38"/>
              </w:rPr>
            </w:pPr>
            <w:r>
              <w:rPr>
                <w:sz w:val="38"/>
              </w:rPr>
              <w:t>mg</w:t>
            </w:r>
          </w:p>
        </w:tc>
        <w:tc>
          <w:tcPr>
            <w:tcW w:w="1163" w:type="dxa"/>
          </w:tcPr>
          <w:p>
            <w:pPr>
              <w:pStyle w:val="TableParagraph"/>
              <w:spacing w:before="32"/>
              <w:ind w:left="108"/>
              <w:rPr>
                <w:sz w:val="38"/>
              </w:rPr>
            </w:pPr>
            <w:r>
              <w:rPr>
                <w:sz w:val="38"/>
              </w:rPr>
              <w:t>13 mg</w:t>
            </w:r>
          </w:p>
        </w:tc>
        <w:tc>
          <w:tcPr>
            <w:tcW w:w="1153" w:type="dxa"/>
          </w:tcPr>
          <w:p>
            <w:pPr>
              <w:pStyle w:val="TableParagraph"/>
              <w:spacing w:before="32"/>
              <w:ind w:left="124"/>
              <w:rPr>
                <w:sz w:val="38"/>
              </w:rPr>
            </w:pPr>
            <w:r>
              <w:rPr>
                <w:sz w:val="38"/>
              </w:rPr>
              <w:t>0.35</w:t>
            </w:r>
          </w:p>
          <w:p>
            <w:pPr>
              <w:pStyle w:val="TableParagraph"/>
              <w:spacing w:before="62"/>
              <w:ind w:left="124"/>
              <w:rPr>
                <w:sz w:val="38"/>
              </w:rPr>
            </w:pPr>
            <w:r>
              <w:rPr>
                <w:sz w:val="38"/>
              </w:rPr>
              <w:t>mg</w:t>
            </w:r>
          </w:p>
        </w:tc>
        <w:tc>
          <w:tcPr>
            <w:tcW w:w="1077" w:type="dxa"/>
          </w:tcPr>
          <w:p>
            <w:pPr>
              <w:pStyle w:val="TableParagraph"/>
              <w:spacing w:before="32"/>
              <w:ind w:left="149"/>
              <w:rPr>
                <w:sz w:val="38"/>
              </w:rPr>
            </w:pPr>
            <w:r>
              <w:rPr>
                <w:sz w:val="38"/>
              </w:rPr>
              <w:t>1.4</w:t>
            </w:r>
          </w:p>
          <w:p>
            <w:pPr>
              <w:pStyle w:val="TableParagraph"/>
              <w:spacing w:before="62"/>
              <w:ind w:left="149"/>
              <w:rPr>
                <w:sz w:val="38"/>
              </w:rPr>
            </w:pPr>
            <w:r>
              <w:rPr>
                <w:sz w:val="38"/>
              </w:rPr>
              <w:t>mg</w:t>
            </w:r>
          </w:p>
        </w:tc>
      </w:tr>
      <w:tr>
        <w:trPr>
          <w:trHeight w:val="492" w:hRule="atLeast"/>
        </w:trPr>
        <w:tc>
          <w:tcPr>
            <w:tcW w:w="1413" w:type="dxa"/>
          </w:tcPr>
          <w:p>
            <w:pPr>
              <w:pStyle w:val="TableParagraph"/>
              <w:spacing w:before="32"/>
              <w:ind w:left="50"/>
              <w:rPr>
                <w:sz w:val="38"/>
              </w:rPr>
            </w:pPr>
            <w:r>
              <w:rPr>
                <w:sz w:val="38"/>
              </w:rPr>
              <w:t>‘Sencha’</w:t>
            </w:r>
          </w:p>
        </w:tc>
        <w:tc>
          <w:tcPr>
            <w:tcW w:w="1008" w:type="dxa"/>
          </w:tcPr>
          <w:p>
            <w:pPr>
              <w:pStyle w:val="TableParagraph"/>
              <w:rPr>
                <w:rFonts w:ascii="Times New Roman"/>
                <w:sz w:val="36"/>
              </w:rPr>
            </w:pPr>
          </w:p>
        </w:tc>
        <w:tc>
          <w:tcPr>
            <w:tcW w:w="1163" w:type="dxa"/>
          </w:tcPr>
          <w:p>
            <w:pPr>
              <w:pStyle w:val="TableParagraph"/>
              <w:rPr>
                <w:rFonts w:ascii="Times New Roman"/>
                <w:sz w:val="36"/>
              </w:rPr>
            </w:pPr>
          </w:p>
        </w:tc>
        <w:tc>
          <w:tcPr>
            <w:tcW w:w="1153" w:type="dxa"/>
          </w:tcPr>
          <w:p>
            <w:pPr>
              <w:pStyle w:val="TableParagraph"/>
              <w:rPr>
                <w:rFonts w:ascii="Times New Roman"/>
                <w:sz w:val="36"/>
              </w:rPr>
            </w:pPr>
          </w:p>
        </w:tc>
        <w:tc>
          <w:tcPr>
            <w:tcW w:w="1077" w:type="dxa"/>
          </w:tcPr>
          <w:p>
            <w:pPr>
              <w:pStyle w:val="TableParagraph"/>
              <w:rPr>
                <w:rFonts w:ascii="Times New Roman"/>
                <w:sz w:val="36"/>
              </w:rPr>
            </w:pPr>
          </w:p>
        </w:tc>
      </w:tr>
      <w:tr>
        <w:trPr>
          <w:trHeight w:val="492" w:hRule="atLeast"/>
        </w:trPr>
        <w:tc>
          <w:tcPr>
            <w:tcW w:w="1413" w:type="dxa"/>
          </w:tcPr>
          <w:p>
            <w:pPr>
              <w:pStyle w:val="TableParagraph"/>
              <w:spacing w:before="32"/>
              <w:ind w:left="50"/>
              <w:rPr>
                <w:sz w:val="38"/>
              </w:rPr>
            </w:pPr>
            <w:r>
              <w:rPr>
                <w:sz w:val="38"/>
              </w:rPr>
              <w:t>Black</w:t>
            </w:r>
          </w:p>
        </w:tc>
        <w:tc>
          <w:tcPr>
            <w:tcW w:w="1008" w:type="dxa"/>
          </w:tcPr>
          <w:p>
            <w:pPr>
              <w:pStyle w:val="TableParagraph"/>
              <w:spacing w:before="32"/>
              <w:ind w:left="108"/>
              <w:rPr>
                <w:sz w:val="38"/>
              </w:rPr>
            </w:pPr>
            <w:r>
              <w:rPr>
                <w:sz w:val="38"/>
              </w:rPr>
              <w:t>0 mg</w:t>
            </w:r>
          </w:p>
        </w:tc>
        <w:tc>
          <w:tcPr>
            <w:tcW w:w="1163" w:type="dxa"/>
          </w:tcPr>
          <w:p>
            <w:pPr>
              <w:pStyle w:val="TableParagraph"/>
              <w:spacing w:before="32"/>
              <w:ind w:left="108"/>
              <w:rPr>
                <w:sz w:val="38"/>
              </w:rPr>
            </w:pPr>
            <w:r>
              <w:rPr>
                <w:sz w:val="38"/>
              </w:rPr>
              <w:t>0.9</w:t>
            </w:r>
          </w:p>
        </w:tc>
        <w:tc>
          <w:tcPr>
            <w:tcW w:w="1153" w:type="dxa"/>
          </w:tcPr>
          <w:p>
            <w:pPr>
              <w:pStyle w:val="TableParagraph"/>
              <w:spacing w:before="32"/>
              <w:ind w:left="124"/>
              <w:rPr>
                <w:sz w:val="38"/>
              </w:rPr>
            </w:pPr>
            <w:r>
              <w:rPr>
                <w:sz w:val="38"/>
              </w:rPr>
              <w:t>0.1</w:t>
            </w:r>
          </w:p>
        </w:tc>
        <w:tc>
          <w:tcPr>
            <w:tcW w:w="1077" w:type="dxa"/>
          </w:tcPr>
          <w:p>
            <w:pPr>
              <w:pStyle w:val="TableParagraph"/>
              <w:spacing w:before="32"/>
              <w:ind w:left="149"/>
              <w:rPr>
                <w:sz w:val="38"/>
              </w:rPr>
            </w:pPr>
            <w:r>
              <w:rPr>
                <w:sz w:val="38"/>
              </w:rPr>
              <w:t>0.8</w:t>
            </w:r>
          </w:p>
        </w:tc>
      </w:tr>
      <w:tr>
        <w:trPr>
          <w:trHeight w:val="459" w:hRule="atLeast"/>
        </w:trPr>
        <w:tc>
          <w:tcPr>
            <w:tcW w:w="1413" w:type="dxa"/>
          </w:tcPr>
          <w:p>
            <w:pPr>
              <w:pStyle w:val="TableParagraph"/>
              <w:spacing w:line="407" w:lineRule="exact" w:before="32"/>
              <w:ind w:left="50"/>
              <w:rPr>
                <w:sz w:val="38"/>
              </w:rPr>
            </w:pPr>
            <w:r>
              <w:rPr>
                <w:sz w:val="38"/>
              </w:rPr>
              <w:t>tea</w:t>
            </w:r>
          </w:p>
        </w:tc>
        <w:tc>
          <w:tcPr>
            <w:tcW w:w="1008" w:type="dxa"/>
          </w:tcPr>
          <w:p>
            <w:pPr>
              <w:pStyle w:val="TableParagraph"/>
              <w:rPr>
                <w:rFonts w:ascii="Times New Roman"/>
                <w:sz w:val="36"/>
              </w:rPr>
            </w:pPr>
          </w:p>
        </w:tc>
        <w:tc>
          <w:tcPr>
            <w:tcW w:w="1163" w:type="dxa"/>
          </w:tcPr>
          <w:p>
            <w:pPr>
              <w:pStyle w:val="TableParagraph"/>
              <w:spacing w:line="407" w:lineRule="exact" w:before="32"/>
              <w:ind w:left="108"/>
              <w:rPr>
                <w:sz w:val="38"/>
              </w:rPr>
            </w:pPr>
            <w:r>
              <w:rPr>
                <w:sz w:val="38"/>
              </w:rPr>
              <w:t>mg</w:t>
            </w:r>
          </w:p>
        </w:tc>
        <w:tc>
          <w:tcPr>
            <w:tcW w:w="1153" w:type="dxa"/>
          </w:tcPr>
          <w:p>
            <w:pPr>
              <w:pStyle w:val="TableParagraph"/>
              <w:spacing w:line="407" w:lineRule="exact" w:before="32"/>
              <w:ind w:left="124"/>
              <w:rPr>
                <w:sz w:val="38"/>
              </w:rPr>
            </w:pPr>
            <w:r>
              <w:rPr>
                <w:sz w:val="38"/>
              </w:rPr>
              <w:t>mg</w:t>
            </w:r>
          </w:p>
        </w:tc>
        <w:tc>
          <w:tcPr>
            <w:tcW w:w="1077" w:type="dxa"/>
          </w:tcPr>
          <w:p>
            <w:pPr>
              <w:pStyle w:val="TableParagraph"/>
              <w:spacing w:line="407" w:lineRule="exact" w:before="32"/>
              <w:ind w:left="149"/>
              <w:rPr>
                <w:sz w:val="38"/>
              </w:rPr>
            </w:pPr>
            <w:r>
              <w:rPr>
                <w:sz w:val="38"/>
              </w:rPr>
              <w:t>mg</w:t>
            </w:r>
          </w:p>
        </w:tc>
      </w:tr>
    </w:tbl>
    <w:p>
      <w:pPr>
        <w:pStyle w:val="BodyText"/>
        <w:spacing w:before="64"/>
        <w:ind w:left="477"/>
      </w:pPr>
      <w:r>
        <w:rPr/>
        <w:t>Source: Japan Tea Exporters Association</w:t>
      </w:r>
    </w:p>
    <w:p>
      <w:pPr>
        <w:pStyle w:val="BodyText"/>
        <w:rPr>
          <w:sz w:val="42"/>
        </w:rPr>
      </w:pPr>
    </w:p>
    <w:p>
      <w:pPr>
        <w:pStyle w:val="BodyText"/>
        <w:spacing w:line="276" w:lineRule="auto" w:before="324"/>
        <w:ind w:left="477" w:right="133"/>
        <w:jc w:val="both"/>
      </w:pPr>
      <w:r>
        <w:rPr/>
        <w:t>For each litre of kombucha brew, you should take 1-2 teaspoons of tea (for 2 litres, 2-4 teaspoons, etc.). However, the tea should not be flavoured; you can get natural tea in a health food store.</w:t>
      </w:r>
    </w:p>
    <w:p>
      <w:pPr>
        <w:pStyle w:val="Heading2"/>
        <w:spacing w:before="240"/>
        <w:jc w:val="both"/>
      </w:pPr>
      <w:r>
        <w:rPr/>
        <w:t>The water</w:t>
      </w:r>
    </w:p>
    <w:p>
      <w:pPr>
        <w:pStyle w:val="BodyText"/>
        <w:spacing w:before="304"/>
        <w:ind w:left="477"/>
        <w:jc w:val="both"/>
      </w:pPr>
      <w:r>
        <w:rPr/>
        <w:t>You can use normal tap water. Of course, 1 litre of water is boiled per litre of</w:t>
      </w:r>
    </w:p>
    <w:p>
      <w:pPr>
        <w:spacing w:after="0"/>
        <w:jc w:val="both"/>
        <w:sectPr>
          <w:pgSz w:w="14270" w:h="16850"/>
          <w:pgMar w:header="0" w:footer="1891" w:top="1600" w:bottom="2080" w:left="800" w:right="1280"/>
        </w:sectPr>
      </w:pPr>
    </w:p>
    <w:p>
      <w:pPr>
        <w:pStyle w:val="BodyText"/>
        <w:spacing w:before="181"/>
        <w:ind w:left="477"/>
      </w:pPr>
      <w:r>
        <w:rPr/>
        <w:t>kombucha tea.</w:t>
      </w:r>
    </w:p>
    <w:p>
      <w:pPr>
        <w:pStyle w:val="Heading2"/>
        <w:spacing w:before="305"/>
      </w:pPr>
      <w:r>
        <w:rPr/>
        <w:t>The fermentation glass</w:t>
      </w:r>
    </w:p>
    <w:p>
      <w:pPr>
        <w:pStyle w:val="BodyText"/>
        <w:spacing w:line="276" w:lineRule="auto" w:before="304"/>
        <w:ind w:left="477" w:right="131"/>
        <w:jc w:val="both"/>
      </w:pPr>
      <w:r>
        <w:rPr/>
        <w:t>Basically,</w:t>
      </w:r>
      <w:r>
        <w:rPr>
          <w:spacing w:val="-6"/>
        </w:rPr>
        <w:t> </w:t>
      </w:r>
      <w:r>
        <w:rPr/>
        <w:t>each</w:t>
      </w:r>
      <w:r>
        <w:rPr>
          <w:spacing w:val="-5"/>
        </w:rPr>
        <w:t> </w:t>
      </w:r>
      <w:r>
        <w:rPr/>
        <w:t>vessel</w:t>
      </w:r>
      <w:r>
        <w:rPr>
          <w:spacing w:val="-6"/>
        </w:rPr>
        <w:t> </w:t>
      </w:r>
      <w:r>
        <w:rPr/>
        <w:t>is</w:t>
      </w:r>
      <w:r>
        <w:rPr>
          <w:spacing w:val="-6"/>
        </w:rPr>
        <w:t> </w:t>
      </w:r>
      <w:r>
        <w:rPr/>
        <w:t>made</w:t>
      </w:r>
      <w:r>
        <w:rPr>
          <w:spacing w:val="-6"/>
        </w:rPr>
        <w:t> </w:t>
      </w:r>
      <w:r>
        <w:rPr/>
        <w:t>of</w:t>
      </w:r>
      <w:r>
        <w:rPr>
          <w:spacing w:val="-8"/>
        </w:rPr>
        <w:t> </w:t>
      </w:r>
      <w:r>
        <w:rPr/>
        <w:t>glass,</w:t>
      </w:r>
      <w:r>
        <w:rPr>
          <w:spacing w:val="-5"/>
        </w:rPr>
        <w:t> </w:t>
      </w:r>
      <w:r>
        <w:rPr/>
        <w:t>porcelain,</w:t>
      </w:r>
      <w:r>
        <w:rPr>
          <w:spacing w:val="-7"/>
        </w:rPr>
        <w:t> </w:t>
      </w:r>
      <w:r>
        <w:rPr/>
        <w:t>food</w:t>
      </w:r>
      <w:r>
        <w:rPr>
          <w:spacing w:val="-6"/>
        </w:rPr>
        <w:t> </w:t>
      </w:r>
      <w:r>
        <w:rPr/>
        <w:t>grade</w:t>
      </w:r>
      <w:r>
        <w:rPr>
          <w:spacing w:val="-7"/>
        </w:rPr>
        <w:t> </w:t>
      </w:r>
      <w:r>
        <w:rPr/>
        <w:t>plastic</w:t>
      </w:r>
      <w:r>
        <w:rPr>
          <w:spacing w:val="-6"/>
        </w:rPr>
        <w:t> </w:t>
      </w:r>
      <w:r>
        <w:rPr/>
        <w:t>or</w:t>
      </w:r>
      <w:r>
        <w:rPr>
          <w:spacing w:val="-5"/>
        </w:rPr>
        <w:t> </w:t>
      </w:r>
      <w:r>
        <w:rPr/>
        <w:t>clay.</w:t>
      </w:r>
      <w:r>
        <w:rPr>
          <w:spacing w:val="-6"/>
        </w:rPr>
        <w:t> </w:t>
      </w:r>
      <w:r>
        <w:rPr/>
        <w:t>The opening should be quite large, since the kombucha fungus needs a sufficient oxygen supply. For 1-2 litre of tea, a 2-3 litre fermentation vessel is</w:t>
      </w:r>
      <w:r>
        <w:rPr>
          <w:spacing w:val="-16"/>
        </w:rPr>
        <w:t> </w:t>
      </w:r>
      <w:r>
        <w:rPr/>
        <w:t>needed.</w:t>
      </w:r>
    </w:p>
    <w:p>
      <w:pPr>
        <w:pStyle w:val="BodyText"/>
        <w:spacing w:line="276" w:lineRule="auto" w:before="240"/>
        <w:ind w:left="477" w:right="138"/>
        <w:jc w:val="both"/>
      </w:pPr>
      <w:r>
        <w:rPr/>
        <w:t>On the Internet, you will also find special Kombucha fermenting barrels with 12 litres capacity. If you do not want to use several glasses in parallel, but you want to consume a little more kombucha tea, or if it is intended for several people, a large-volume kombucha fermentation keg made of food-safe plastic is recommended.</w:t>
      </w:r>
    </w:p>
    <w:p>
      <w:pPr>
        <w:spacing w:after="0" w:line="276" w:lineRule="auto"/>
        <w:jc w:val="both"/>
        <w:sectPr>
          <w:pgSz w:w="14270" w:h="16850"/>
          <w:pgMar w:header="0" w:footer="1891" w:top="1600" w:bottom="2080" w:left="800" w:right="1280"/>
        </w:sectPr>
      </w:pPr>
    </w:p>
    <w:p>
      <w:pPr>
        <w:pStyle w:val="BodyText"/>
        <w:spacing w:before="5"/>
        <w:rPr>
          <w:sz w:val="16"/>
        </w:rPr>
      </w:pPr>
    </w:p>
    <w:p>
      <w:pPr>
        <w:pStyle w:val="BodyText"/>
        <w:ind w:left="506"/>
        <w:rPr>
          <w:sz w:val="20"/>
        </w:rPr>
      </w:pPr>
      <w:r>
        <w:rPr>
          <w:sz w:val="20"/>
        </w:rPr>
        <w:drawing>
          <wp:inline distT="0" distB="0" distL="0" distR="0">
            <wp:extent cx="2638425" cy="4010025"/>
            <wp:effectExtent l="0" t="0" r="0" b="0"/>
            <wp:docPr id="275" name="image7.jpeg" descr=""/>
            <wp:cNvGraphicFramePr>
              <a:graphicFrameLocks noChangeAspect="1"/>
            </wp:cNvGraphicFramePr>
            <a:graphic>
              <a:graphicData uri="http://schemas.openxmlformats.org/drawingml/2006/picture">
                <pic:pic>
                  <pic:nvPicPr>
                    <pic:cNvPr id="276" name="image7.jpeg"/>
                    <pic:cNvPicPr/>
                  </pic:nvPicPr>
                  <pic:blipFill>
                    <a:blip r:embed="rId186" cstate="print"/>
                    <a:stretch>
                      <a:fillRect/>
                    </a:stretch>
                  </pic:blipFill>
                  <pic:spPr>
                    <a:xfrm>
                      <a:off x="0" y="0"/>
                      <a:ext cx="2638425" cy="4010025"/>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3"/>
        </w:rPr>
      </w:pPr>
    </w:p>
    <w:p>
      <w:pPr>
        <w:pStyle w:val="Heading2"/>
        <w:spacing w:before="100"/>
      </w:pPr>
      <w:r>
        <w:rPr/>
        <w:t>Paper or cotton cloth for covering</w:t>
      </w:r>
    </w:p>
    <w:p>
      <w:pPr>
        <w:pStyle w:val="BodyText"/>
        <w:spacing w:line="276" w:lineRule="auto" w:before="304"/>
        <w:ind w:left="477" w:right="131"/>
        <w:jc w:val="both"/>
      </w:pPr>
      <w:r>
        <w:rPr/>
        <w:t>In order to protect the drink against vinegar flies and dirt particles on the one hand and to provide enough oxygen for the kombucha fungus on the other, you should cover the glass with a tight-meshed cotton cloth or a paper towel (single-ply kitchen roll) and seal tightly with the rubber band.</w:t>
      </w:r>
    </w:p>
    <w:p>
      <w:pPr>
        <w:pStyle w:val="Heading2"/>
        <w:spacing w:before="240"/>
        <w:jc w:val="both"/>
      </w:pPr>
      <w:r>
        <w:rPr/>
        <w:t>Tea filter and plastic sieve</w:t>
      </w:r>
    </w:p>
    <w:p>
      <w:pPr>
        <w:pStyle w:val="BodyText"/>
        <w:spacing w:before="304"/>
        <w:ind w:left="477"/>
        <w:jc w:val="both"/>
      </w:pPr>
      <w:r>
        <w:rPr/>
        <w:t>You will need a standard tea filter and a plastic sieve to remove the tea leaves</w:t>
      </w:r>
    </w:p>
    <w:p>
      <w:pPr>
        <w:spacing w:after="0"/>
        <w:jc w:val="both"/>
        <w:sectPr>
          <w:footerReference w:type="default" r:id="rId185"/>
          <w:pgSz w:w="14270" w:h="16850"/>
          <w:pgMar w:footer="1891" w:header="0" w:top="1600" w:bottom="2080" w:left="800" w:right="1280"/>
          <w:pgNumType w:start="770"/>
        </w:sectPr>
      </w:pPr>
    </w:p>
    <w:p>
      <w:pPr>
        <w:pStyle w:val="BodyText"/>
        <w:spacing w:line="276" w:lineRule="auto" w:before="181"/>
        <w:ind w:left="477" w:right="132"/>
        <w:jc w:val="both"/>
      </w:pPr>
      <w:r>
        <w:rPr/>
        <w:t>from the tea before placing the fungus in the tea, cooled to body temperature. It</w:t>
      </w:r>
      <w:r>
        <w:rPr>
          <w:spacing w:val="-17"/>
        </w:rPr>
        <w:t> </w:t>
      </w:r>
      <w:r>
        <w:rPr/>
        <w:t>is</w:t>
      </w:r>
      <w:r>
        <w:rPr>
          <w:spacing w:val="-16"/>
        </w:rPr>
        <w:t> </w:t>
      </w:r>
      <w:r>
        <w:rPr/>
        <w:t>best</w:t>
      </w:r>
      <w:r>
        <w:rPr>
          <w:spacing w:val="-15"/>
        </w:rPr>
        <w:t> </w:t>
      </w:r>
      <w:r>
        <w:rPr/>
        <w:t>to</w:t>
      </w:r>
      <w:r>
        <w:rPr>
          <w:spacing w:val="-15"/>
        </w:rPr>
        <w:t> </w:t>
      </w:r>
      <w:r>
        <w:rPr/>
        <w:t>avoid</w:t>
      </w:r>
      <w:r>
        <w:rPr>
          <w:spacing w:val="-17"/>
        </w:rPr>
        <w:t> </w:t>
      </w:r>
      <w:r>
        <w:rPr/>
        <w:t>touching</w:t>
      </w:r>
      <w:r>
        <w:rPr>
          <w:spacing w:val="-15"/>
        </w:rPr>
        <w:t> </w:t>
      </w:r>
      <w:r>
        <w:rPr/>
        <w:t>the</w:t>
      </w:r>
      <w:r>
        <w:rPr>
          <w:spacing w:val="-14"/>
        </w:rPr>
        <w:t> </w:t>
      </w:r>
      <w:r>
        <w:rPr/>
        <w:t>kombucha</w:t>
      </w:r>
      <w:r>
        <w:rPr>
          <w:spacing w:val="-17"/>
        </w:rPr>
        <w:t> </w:t>
      </w:r>
      <w:r>
        <w:rPr/>
        <w:t>fungus</w:t>
      </w:r>
      <w:r>
        <w:rPr>
          <w:spacing w:val="-15"/>
        </w:rPr>
        <w:t> </w:t>
      </w:r>
      <w:r>
        <w:rPr/>
        <w:t>with</w:t>
      </w:r>
      <w:r>
        <w:rPr>
          <w:spacing w:val="-15"/>
        </w:rPr>
        <w:t> </w:t>
      </w:r>
      <w:r>
        <w:rPr/>
        <w:t>metal.</w:t>
      </w:r>
      <w:r>
        <w:rPr>
          <w:spacing w:val="-15"/>
        </w:rPr>
        <w:t> </w:t>
      </w:r>
      <w:r>
        <w:rPr/>
        <w:t>You</w:t>
      </w:r>
      <w:r>
        <w:rPr>
          <w:spacing w:val="-15"/>
        </w:rPr>
        <w:t> </w:t>
      </w:r>
      <w:r>
        <w:rPr/>
        <w:t>should</w:t>
      </w:r>
      <w:r>
        <w:rPr>
          <w:spacing w:val="-17"/>
        </w:rPr>
        <w:t> </w:t>
      </w:r>
      <w:r>
        <w:rPr/>
        <w:t>there- fore</w:t>
      </w:r>
      <w:r>
        <w:rPr>
          <w:spacing w:val="-21"/>
        </w:rPr>
        <w:t> </w:t>
      </w:r>
      <w:r>
        <w:rPr/>
        <w:t>use</w:t>
      </w:r>
      <w:r>
        <w:rPr>
          <w:spacing w:val="-21"/>
        </w:rPr>
        <w:t> </w:t>
      </w:r>
      <w:r>
        <w:rPr/>
        <w:t>a</w:t>
      </w:r>
      <w:r>
        <w:rPr>
          <w:spacing w:val="-22"/>
        </w:rPr>
        <w:t> </w:t>
      </w:r>
      <w:r>
        <w:rPr/>
        <w:t>plastic</w:t>
      </w:r>
      <w:r>
        <w:rPr>
          <w:spacing w:val="-21"/>
        </w:rPr>
        <w:t> </w:t>
      </w:r>
      <w:r>
        <w:rPr/>
        <w:t>sieve</w:t>
      </w:r>
      <w:r>
        <w:rPr>
          <w:spacing w:val="-21"/>
        </w:rPr>
        <w:t> </w:t>
      </w:r>
      <w:r>
        <w:rPr/>
        <w:t>(and,</w:t>
      </w:r>
      <w:r>
        <w:rPr>
          <w:spacing w:val="-21"/>
        </w:rPr>
        <w:t> </w:t>
      </w:r>
      <w:r>
        <w:rPr/>
        <w:t>if</w:t>
      </w:r>
      <w:r>
        <w:rPr>
          <w:spacing w:val="-22"/>
        </w:rPr>
        <w:t> </w:t>
      </w:r>
      <w:r>
        <w:rPr/>
        <w:t>necessary,</w:t>
      </w:r>
      <w:r>
        <w:rPr>
          <w:spacing w:val="-21"/>
        </w:rPr>
        <w:t> </w:t>
      </w:r>
      <w:r>
        <w:rPr/>
        <w:t>if</w:t>
      </w:r>
      <w:r>
        <w:rPr>
          <w:spacing w:val="-22"/>
        </w:rPr>
        <w:t> </w:t>
      </w:r>
      <w:r>
        <w:rPr/>
        <w:t>you</w:t>
      </w:r>
      <w:r>
        <w:rPr>
          <w:spacing w:val="-22"/>
        </w:rPr>
        <w:t> </w:t>
      </w:r>
      <w:r>
        <w:rPr/>
        <w:t>want</w:t>
      </w:r>
      <w:r>
        <w:rPr>
          <w:spacing w:val="-21"/>
        </w:rPr>
        <w:t> </w:t>
      </w:r>
      <w:r>
        <w:rPr/>
        <w:t>to</w:t>
      </w:r>
      <w:r>
        <w:rPr>
          <w:spacing w:val="-21"/>
        </w:rPr>
        <w:t> </w:t>
      </w:r>
      <w:r>
        <w:rPr/>
        <w:t>divide</w:t>
      </w:r>
      <w:r>
        <w:rPr>
          <w:spacing w:val="-23"/>
        </w:rPr>
        <w:t> </w:t>
      </w:r>
      <w:r>
        <w:rPr/>
        <w:t>the</w:t>
      </w:r>
      <w:r>
        <w:rPr>
          <w:spacing w:val="-20"/>
        </w:rPr>
        <w:t> </w:t>
      </w:r>
      <w:r>
        <w:rPr/>
        <w:t>fungus,</w:t>
      </w:r>
      <w:r>
        <w:rPr>
          <w:spacing w:val="-21"/>
        </w:rPr>
        <w:t> </w:t>
      </w:r>
      <w:r>
        <w:rPr/>
        <w:t>plastic scissors or a plastic</w:t>
      </w:r>
      <w:r>
        <w:rPr>
          <w:spacing w:val="-2"/>
        </w:rPr>
        <w:t> </w:t>
      </w:r>
      <w:r>
        <w:rPr/>
        <w:t>knife).</w:t>
      </w:r>
    </w:p>
    <w:p>
      <w:pPr>
        <w:pStyle w:val="Heading2"/>
        <w:spacing w:before="242"/>
      </w:pPr>
      <w:r>
        <w:rPr/>
        <w:t>Warming plate for winter</w:t>
      </w:r>
    </w:p>
    <w:p>
      <w:pPr>
        <w:pStyle w:val="BodyText"/>
        <w:spacing w:line="276" w:lineRule="auto" w:before="302"/>
        <w:ind w:left="477" w:right="133"/>
        <w:jc w:val="both"/>
      </w:pPr>
      <w:r>
        <w:rPr/>
        <w:t>Since the kombucha requires a constant temperature of 22-25 °C to work and develop, and can cope very well without light and should actually be protected from</w:t>
      </w:r>
      <w:r>
        <w:rPr>
          <w:spacing w:val="-7"/>
        </w:rPr>
        <w:t> </w:t>
      </w:r>
      <w:r>
        <w:rPr/>
        <w:t>sunlight,</w:t>
      </w:r>
      <w:r>
        <w:rPr>
          <w:spacing w:val="-5"/>
        </w:rPr>
        <w:t> </w:t>
      </w:r>
      <w:r>
        <w:rPr/>
        <w:t>a</w:t>
      </w:r>
      <w:r>
        <w:rPr>
          <w:spacing w:val="-10"/>
        </w:rPr>
        <w:t> </w:t>
      </w:r>
      <w:r>
        <w:rPr/>
        <w:t>heat</w:t>
      </w:r>
      <w:r>
        <w:rPr>
          <w:spacing w:val="-7"/>
        </w:rPr>
        <w:t> </w:t>
      </w:r>
      <w:r>
        <w:rPr/>
        <w:t>plate</w:t>
      </w:r>
      <w:r>
        <w:rPr>
          <w:spacing w:val="-6"/>
        </w:rPr>
        <w:t> </w:t>
      </w:r>
      <w:r>
        <w:rPr/>
        <w:t>for</w:t>
      </w:r>
      <w:r>
        <w:rPr>
          <w:spacing w:val="-5"/>
        </w:rPr>
        <w:t> </w:t>
      </w:r>
      <w:r>
        <w:rPr/>
        <w:t>the</w:t>
      </w:r>
      <w:r>
        <w:rPr>
          <w:spacing w:val="-6"/>
        </w:rPr>
        <w:t> </w:t>
      </w:r>
      <w:r>
        <w:rPr/>
        <w:t>fermenting</w:t>
      </w:r>
      <w:r>
        <w:rPr>
          <w:spacing w:val="-5"/>
        </w:rPr>
        <w:t> </w:t>
      </w:r>
      <w:r>
        <w:rPr/>
        <w:t>keg</w:t>
      </w:r>
      <w:r>
        <w:rPr>
          <w:spacing w:val="-7"/>
        </w:rPr>
        <w:t> </w:t>
      </w:r>
      <w:r>
        <w:rPr/>
        <w:t>can</w:t>
      </w:r>
      <w:r>
        <w:rPr>
          <w:spacing w:val="-5"/>
        </w:rPr>
        <w:t> </w:t>
      </w:r>
      <w:r>
        <w:rPr/>
        <w:t>be</w:t>
      </w:r>
      <w:r>
        <w:rPr>
          <w:spacing w:val="-6"/>
        </w:rPr>
        <w:t> </w:t>
      </w:r>
      <w:r>
        <w:rPr/>
        <w:t>acquired;</w:t>
      </w:r>
      <w:r>
        <w:rPr>
          <w:spacing w:val="-5"/>
        </w:rPr>
        <w:t> </w:t>
      </w:r>
      <w:r>
        <w:rPr/>
        <w:t>this</w:t>
      </w:r>
      <w:r>
        <w:rPr>
          <w:spacing w:val="-5"/>
        </w:rPr>
        <w:t> </w:t>
      </w:r>
      <w:r>
        <w:rPr/>
        <w:t>is</w:t>
      </w:r>
      <w:r>
        <w:rPr>
          <w:spacing w:val="-7"/>
        </w:rPr>
        <w:t> </w:t>
      </w:r>
      <w:r>
        <w:rPr/>
        <w:t>a</w:t>
      </w:r>
      <w:r>
        <w:rPr>
          <w:spacing w:val="-7"/>
        </w:rPr>
        <w:t> </w:t>
      </w:r>
      <w:r>
        <w:rPr/>
        <w:t>very patent possibility for winter production (electricity costs: approx.</w:t>
      </w:r>
      <w:r>
        <w:rPr>
          <w:spacing w:val="-22"/>
        </w:rPr>
        <w:t> </w:t>
      </w:r>
      <w:r>
        <w:rPr/>
        <w:t>€0.07/day).</w:t>
      </w:r>
    </w:p>
    <w:p>
      <w:pPr>
        <w:pStyle w:val="BodyText"/>
        <w:rPr>
          <w:sz w:val="20"/>
        </w:rPr>
      </w:pPr>
    </w:p>
    <w:p>
      <w:pPr>
        <w:pStyle w:val="BodyText"/>
        <w:rPr>
          <w:sz w:val="20"/>
        </w:rPr>
      </w:pPr>
    </w:p>
    <w:p>
      <w:pPr>
        <w:pStyle w:val="BodyText"/>
        <w:rPr>
          <w:sz w:val="20"/>
        </w:rPr>
      </w:pPr>
    </w:p>
    <w:p>
      <w:pPr>
        <w:pStyle w:val="BodyText"/>
        <w:spacing w:before="4"/>
        <w:rPr>
          <w:sz w:val="23"/>
        </w:rPr>
      </w:pPr>
      <w:r>
        <w:rPr/>
        <w:drawing>
          <wp:anchor distT="0" distB="0" distL="0" distR="0" allowOverlap="1" layoutInCell="1" locked="0" behindDoc="0" simplePos="0" relativeHeight="5384">
            <wp:simplePos x="0" y="0"/>
            <wp:positionH relativeFrom="page">
              <wp:posOffset>829310</wp:posOffset>
            </wp:positionH>
            <wp:positionV relativeFrom="paragraph">
              <wp:posOffset>191706</wp:posOffset>
            </wp:positionV>
            <wp:extent cx="2601099" cy="2133600"/>
            <wp:effectExtent l="0" t="0" r="0" b="0"/>
            <wp:wrapTopAndBottom/>
            <wp:docPr id="277" name="image8.jpeg" descr=""/>
            <wp:cNvGraphicFramePr>
              <a:graphicFrameLocks noChangeAspect="1"/>
            </wp:cNvGraphicFramePr>
            <a:graphic>
              <a:graphicData uri="http://schemas.openxmlformats.org/drawingml/2006/picture">
                <pic:pic>
                  <pic:nvPicPr>
                    <pic:cNvPr id="278" name="image8.jpeg"/>
                    <pic:cNvPicPr/>
                  </pic:nvPicPr>
                  <pic:blipFill>
                    <a:blip r:embed="rId187" cstate="print"/>
                    <a:stretch>
                      <a:fillRect/>
                    </a:stretch>
                  </pic:blipFill>
                  <pic:spPr>
                    <a:xfrm>
                      <a:off x="0" y="0"/>
                      <a:ext cx="2601099" cy="2133600"/>
                    </a:xfrm>
                    <a:prstGeom prst="rect">
                      <a:avLst/>
                    </a:prstGeom>
                  </pic:spPr>
                </pic:pic>
              </a:graphicData>
            </a:graphic>
          </wp:anchor>
        </w:drawing>
      </w:r>
    </w:p>
    <w:p>
      <w:pPr>
        <w:pStyle w:val="Heading2"/>
        <w:spacing w:before="271"/>
        <w:jc w:val="both"/>
      </w:pPr>
      <w:r>
        <w:rPr/>
        <w:t>How to prepare kombucha tea successfully</w:t>
      </w:r>
    </w:p>
    <w:p>
      <w:pPr>
        <w:pStyle w:val="BodyText"/>
        <w:spacing w:before="305"/>
        <w:ind w:left="477"/>
        <w:jc w:val="both"/>
      </w:pPr>
      <w:r>
        <w:rPr/>
        <w:t>Preparation for 1 litre of kombucha tea:</w:t>
      </w:r>
    </w:p>
    <w:p>
      <w:pPr>
        <w:pStyle w:val="ListParagraph"/>
        <w:numPr>
          <w:ilvl w:val="0"/>
          <w:numId w:val="48"/>
        </w:numPr>
        <w:tabs>
          <w:tab w:pos="915" w:val="left" w:leader="none"/>
        </w:tabs>
        <w:spacing w:line="240" w:lineRule="auto" w:before="305" w:after="0"/>
        <w:ind w:left="818" w:right="0" w:hanging="360"/>
        <w:jc w:val="both"/>
        <w:rPr>
          <w:sz w:val="38"/>
        </w:rPr>
      </w:pPr>
      <w:r>
        <w:rPr>
          <w:sz w:val="38"/>
        </w:rPr>
        <w:t>Bring 1 litre of water to a</w:t>
      </w:r>
      <w:r>
        <w:rPr>
          <w:spacing w:val="-1"/>
          <w:sz w:val="38"/>
        </w:rPr>
        <w:t> </w:t>
      </w:r>
      <w:r>
        <w:rPr>
          <w:sz w:val="38"/>
        </w:rPr>
        <w:t>boil.</w:t>
      </w:r>
    </w:p>
    <w:p>
      <w:pPr>
        <w:spacing w:after="0" w:line="240" w:lineRule="auto"/>
        <w:jc w:val="both"/>
        <w:rPr>
          <w:sz w:val="38"/>
        </w:rPr>
        <w:sectPr>
          <w:pgSz w:w="14270" w:h="16850"/>
          <w:pgMar w:header="0" w:footer="1891" w:top="1600" w:bottom="2080" w:left="800" w:right="1280"/>
        </w:sectPr>
      </w:pPr>
    </w:p>
    <w:p>
      <w:pPr>
        <w:pStyle w:val="ListParagraph"/>
        <w:numPr>
          <w:ilvl w:val="0"/>
          <w:numId w:val="48"/>
        </w:numPr>
        <w:tabs>
          <w:tab w:pos="915" w:val="left" w:leader="none"/>
        </w:tabs>
        <w:spacing w:line="240" w:lineRule="auto" w:before="181" w:after="0"/>
        <w:ind w:left="818" w:right="0" w:hanging="360"/>
        <w:jc w:val="left"/>
        <w:rPr>
          <w:sz w:val="38"/>
        </w:rPr>
      </w:pPr>
      <w:r>
        <w:rPr>
          <w:sz w:val="38"/>
        </w:rPr>
        <w:t>Remove the pot from the</w:t>
      </w:r>
      <w:r>
        <w:rPr>
          <w:spacing w:val="-2"/>
          <w:sz w:val="38"/>
        </w:rPr>
        <w:t> </w:t>
      </w:r>
      <w:r>
        <w:rPr>
          <w:sz w:val="38"/>
        </w:rPr>
        <w:t>heat.</w:t>
      </w:r>
    </w:p>
    <w:p>
      <w:pPr>
        <w:pStyle w:val="ListParagraph"/>
        <w:numPr>
          <w:ilvl w:val="0"/>
          <w:numId w:val="48"/>
        </w:numPr>
        <w:tabs>
          <w:tab w:pos="915" w:val="left" w:leader="none"/>
        </w:tabs>
        <w:spacing w:line="276" w:lineRule="auto" w:before="185" w:after="0"/>
        <w:ind w:left="818" w:right="136" w:hanging="360"/>
        <w:jc w:val="both"/>
        <w:rPr>
          <w:sz w:val="38"/>
        </w:rPr>
      </w:pPr>
      <w:r>
        <w:rPr>
          <w:sz w:val="38"/>
        </w:rPr>
        <w:t>Add 2 teaspoons (5 g) of green or black tea or 1 teaspoon of it, leave to infuse for about 10-15 minutes (the nitrogen necessary for the fungus only dissolves in the tea from this</w:t>
      </w:r>
      <w:r>
        <w:rPr>
          <w:spacing w:val="5"/>
          <w:sz w:val="38"/>
        </w:rPr>
        <w:t> </w:t>
      </w:r>
      <w:r>
        <w:rPr>
          <w:sz w:val="38"/>
        </w:rPr>
        <w:t>time!).</w:t>
      </w:r>
    </w:p>
    <w:p>
      <w:pPr>
        <w:pStyle w:val="ListParagraph"/>
        <w:numPr>
          <w:ilvl w:val="0"/>
          <w:numId w:val="48"/>
        </w:numPr>
        <w:tabs>
          <w:tab w:pos="915" w:val="left" w:leader="none"/>
        </w:tabs>
        <w:spacing w:line="240" w:lineRule="auto" w:before="121" w:after="0"/>
        <w:ind w:left="818" w:right="0" w:hanging="360"/>
        <w:jc w:val="left"/>
        <w:rPr>
          <w:sz w:val="38"/>
        </w:rPr>
      </w:pPr>
      <w:r>
        <w:rPr>
          <w:sz w:val="38"/>
        </w:rPr>
        <w:t>Strain the tea leaves through a sieve.</w:t>
      </w:r>
    </w:p>
    <w:p>
      <w:pPr>
        <w:pStyle w:val="ListParagraph"/>
        <w:numPr>
          <w:ilvl w:val="0"/>
          <w:numId w:val="48"/>
        </w:numPr>
        <w:tabs>
          <w:tab w:pos="915" w:val="left" w:leader="none"/>
        </w:tabs>
        <w:spacing w:line="276" w:lineRule="auto" w:before="182" w:after="0"/>
        <w:ind w:left="818" w:right="131" w:hanging="360"/>
        <w:jc w:val="left"/>
        <w:rPr>
          <w:sz w:val="38"/>
        </w:rPr>
      </w:pPr>
      <w:r>
        <w:rPr>
          <w:sz w:val="38"/>
        </w:rPr>
        <w:t>Add</w:t>
      </w:r>
      <w:r>
        <w:rPr>
          <w:spacing w:val="-13"/>
          <w:sz w:val="38"/>
        </w:rPr>
        <w:t> </w:t>
      </w:r>
      <w:r>
        <w:rPr>
          <w:sz w:val="38"/>
        </w:rPr>
        <w:t>about</w:t>
      </w:r>
      <w:r>
        <w:rPr>
          <w:spacing w:val="-15"/>
          <w:sz w:val="38"/>
        </w:rPr>
        <w:t> </w:t>
      </w:r>
      <w:r>
        <w:rPr>
          <w:sz w:val="38"/>
        </w:rPr>
        <w:t>60-100</w:t>
      </w:r>
      <w:r>
        <w:rPr>
          <w:spacing w:val="-14"/>
          <w:sz w:val="38"/>
        </w:rPr>
        <w:t> </w:t>
      </w:r>
      <w:r>
        <w:rPr>
          <w:sz w:val="38"/>
        </w:rPr>
        <w:t>g</w:t>
      </w:r>
      <w:r>
        <w:rPr>
          <w:spacing w:val="-13"/>
          <w:sz w:val="38"/>
        </w:rPr>
        <w:t> </w:t>
      </w:r>
      <w:r>
        <w:rPr>
          <w:sz w:val="38"/>
        </w:rPr>
        <w:t>of</w:t>
      </w:r>
      <w:r>
        <w:rPr>
          <w:spacing w:val="-15"/>
          <w:sz w:val="38"/>
        </w:rPr>
        <w:t> </w:t>
      </w:r>
      <w:r>
        <w:rPr>
          <w:sz w:val="38"/>
        </w:rPr>
        <w:t>sugar</w:t>
      </w:r>
      <w:r>
        <w:rPr>
          <w:spacing w:val="-13"/>
          <w:sz w:val="38"/>
        </w:rPr>
        <w:t> </w:t>
      </w:r>
      <w:r>
        <w:rPr>
          <w:sz w:val="38"/>
        </w:rPr>
        <w:t>to</w:t>
      </w:r>
      <w:r>
        <w:rPr>
          <w:spacing w:val="-13"/>
          <w:sz w:val="38"/>
        </w:rPr>
        <w:t> </w:t>
      </w:r>
      <w:r>
        <w:rPr>
          <w:sz w:val="38"/>
        </w:rPr>
        <w:t>the</w:t>
      </w:r>
      <w:r>
        <w:rPr>
          <w:spacing w:val="-13"/>
          <w:sz w:val="38"/>
        </w:rPr>
        <w:t> </w:t>
      </w:r>
      <w:r>
        <w:rPr>
          <w:sz w:val="38"/>
        </w:rPr>
        <w:t>hot</w:t>
      </w:r>
      <w:r>
        <w:rPr>
          <w:spacing w:val="-16"/>
          <w:sz w:val="38"/>
        </w:rPr>
        <w:t> </w:t>
      </w:r>
      <w:r>
        <w:rPr>
          <w:sz w:val="38"/>
        </w:rPr>
        <w:t>tea</w:t>
      </w:r>
      <w:r>
        <w:rPr>
          <w:spacing w:val="-14"/>
          <w:sz w:val="38"/>
        </w:rPr>
        <w:t> </w:t>
      </w:r>
      <w:r>
        <w:rPr>
          <w:sz w:val="38"/>
        </w:rPr>
        <w:t>and</w:t>
      </w:r>
      <w:r>
        <w:rPr>
          <w:spacing w:val="-13"/>
          <w:sz w:val="38"/>
        </w:rPr>
        <w:t> </w:t>
      </w:r>
      <w:r>
        <w:rPr>
          <w:sz w:val="38"/>
        </w:rPr>
        <w:t>stir</w:t>
      </w:r>
      <w:r>
        <w:rPr>
          <w:spacing w:val="-13"/>
          <w:sz w:val="38"/>
        </w:rPr>
        <w:t> </w:t>
      </w:r>
      <w:r>
        <w:rPr>
          <w:sz w:val="38"/>
        </w:rPr>
        <w:t>well,</w:t>
      </w:r>
      <w:r>
        <w:rPr>
          <w:spacing w:val="-12"/>
          <w:sz w:val="38"/>
        </w:rPr>
        <w:t> </w:t>
      </w:r>
      <w:r>
        <w:rPr>
          <w:sz w:val="38"/>
        </w:rPr>
        <w:t>so</w:t>
      </w:r>
      <w:r>
        <w:rPr>
          <w:spacing w:val="-12"/>
          <w:sz w:val="38"/>
        </w:rPr>
        <w:t> </w:t>
      </w:r>
      <w:r>
        <w:rPr>
          <w:sz w:val="38"/>
        </w:rPr>
        <w:t>that</w:t>
      </w:r>
      <w:r>
        <w:rPr>
          <w:spacing w:val="-13"/>
          <w:sz w:val="38"/>
        </w:rPr>
        <w:t> </w:t>
      </w:r>
      <w:r>
        <w:rPr>
          <w:sz w:val="38"/>
        </w:rPr>
        <w:t>it</w:t>
      </w:r>
      <w:r>
        <w:rPr>
          <w:spacing w:val="-17"/>
          <w:sz w:val="38"/>
        </w:rPr>
        <w:t> </w:t>
      </w:r>
      <w:r>
        <w:rPr>
          <w:sz w:val="38"/>
        </w:rPr>
        <w:t>completely dissolves.</w:t>
      </w:r>
    </w:p>
    <w:p>
      <w:pPr>
        <w:pStyle w:val="ListParagraph"/>
        <w:numPr>
          <w:ilvl w:val="0"/>
          <w:numId w:val="48"/>
        </w:numPr>
        <w:tabs>
          <w:tab w:pos="1139" w:val="left" w:leader="none"/>
          <w:tab w:pos="1140" w:val="left" w:leader="none"/>
        </w:tabs>
        <w:spacing w:line="240" w:lineRule="auto" w:before="121" w:after="0"/>
        <w:ind w:left="1139" w:right="0" w:hanging="662"/>
        <w:jc w:val="left"/>
        <w:rPr>
          <w:sz w:val="38"/>
        </w:rPr>
      </w:pPr>
      <w:r>
        <w:rPr>
          <w:sz w:val="38"/>
        </w:rPr>
        <w:t>Put the tea away and allow to cool to room temperature (20-25 °</w:t>
      </w:r>
      <w:r>
        <w:rPr>
          <w:spacing w:val="-10"/>
          <w:sz w:val="38"/>
        </w:rPr>
        <w:t> </w:t>
      </w:r>
      <w:r>
        <w:rPr>
          <w:sz w:val="38"/>
        </w:rPr>
        <w:t>C).</w:t>
      </w:r>
    </w:p>
    <w:p>
      <w:pPr>
        <w:pStyle w:val="ListParagraph"/>
        <w:numPr>
          <w:ilvl w:val="0"/>
          <w:numId w:val="48"/>
        </w:numPr>
        <w:tabs>
          <w:tab w:pos="1170" w:val="left" w:leader="none"/>
          <w:tab w:pos="1171" w:val="left" w:leader="none"/>
        </w:tabs>
        <w:spacing w:line="240" w:lineRule="auto" w:before="185" w:after="0"/>
        <w:ind w:left="1170" w:right="0" w:hanging="693"/>
        <w:jc w:val="left"/>
        <w:rPr>
          <w:sz w:val="38"/>
        </w:rPr>
      </w:pPr>
      <w:r>
        <w:rPr>
          <w:sz w:val="38"/>
        </w:rPr>
        <w:t>Then pour into the appropriate fermentation</w:t>
      </w:r>
      <w:r>
        <w:rPr>
          <w:spacing w:val="-5"/>
          <w:sz w:val="38"/>
        </w:rPr>
        <w:t> </w:t>
      </w:r>
      <w:r>
        <w:rPr>
          <w:sz w:val="38"/>
        </w:rPr>
        <w:t>vessel.</w:t>
      </w:r>
    </w:p>
    <w:p>
      <w:pPr>
        <w:pStyle w:val="ListParagraph"/>
        <w:numPr>
          <w:ilvl w:val="0"/>
          <w:numId w:val="48"/>
        </w:numPr>
        <w:tabs>
          <w:tab w:pos="1170" w:val="left" w:leader="none"/>
          <w:tab w:pos="1171" w:val="left" w:leader="none"/>
        </w:tabs>
        <w:spacing w:line="276" w:lineRule="auto" w:before="184" w:after="0"/>
        <w:ind w:left="978" w:right="131" w:hanging="501"/>
        <w:jc w:val="left"/>
        <w:rPr>
          <w:sz w:val="38"/>
        </w:rPr>
      </w:pPr>
      <w:r>
        <w:rPr>
          <w:sz w:val="38"/>
        </w:rPr>
        <w:t>Now pour in the starter liquid (from the second batch, 10 % of the pre- pared kombucha</w:t>
      </w:r>
      <w:r>
        <w:rPr>
          <w:spacing w:val="-1"/>
          <w:sz w:val="38"/>
        </w:rPr>
        <w:t> </w:t>
      </w:r>
      <w:r>
        <w:rPr>
          <w:sz w:val="38"/>
        </w:rPr>
        <w:t>tea).</w:t>
      </w:r>
    </w:p>
    <w:p>
      <w:pPr>
        <w:pStyle w:val="ListParagraph"/>
        <w:numPr>
          <w:ilvl w:val="0"/>
          <w:numId w:val="48"/>
        </w:numPr>
        <w:tabs>
          <w:tab w:pos="1170" w:val="left" w:leader="none"/>
          <w:tab w:pos="1171" w:val="left" w:leader="none"/>
        </w:tabs>
        <w:spacing w:line="276" w:lineRule="auto" w:before="119" w:after="0"/>
        <w:ind w:left="978" w:right="136" w:hanging="501"/>
        <w:jc w:val="left"/>
        <w:rPr>
          <w:sz w:val="38"/>
        </w:rPr>
      </w:pPr>
      <w:r>
        <w:rPr>
          <w:sz w:val="38"/>
        </w:rPr>
        <w:t>Carefully place the kombucha tea fungus in the cooled tea with the bright side up.</w:t>
      </w:r>
    </w:p>
    <w:p>
      <w:pPr>
        <w:pStyle w:val="ListParagraph"/>
        <w:numPr>
          <w:ilvl w:val="0"/>
          <w:numId w:val="48"/>
        </w:numPr>
        <w:tabs>
          <w:tab w:pos="1140" w:val="left" w:leader="none"/>
        </w:tabs>
        <w:spacing w:line="276" w:lineRule="auto" w:before="121" w:after="0"/>
        <w:ind w:left="1043" w:right="134" w:hanging="566"/>
        <w:jc w:val="left"/>
        <w:rPr>
          <w:sz w:val="38"/>
        </w:rPr>
      </w:pPr>
      <w:r>
        <w:rPr>
          <w:sz w:val="38"/>
        </w:rPr>
        <w:t>Cover</w:t>
      </w:r>
      <w:r>
        <w:rPr>
          <w:spacing w:val="-10"/>
          <w:sz w:val="38"/>
        </w:rPr>
        <w:t> </w:t>
      </w:r>
      <w:r>
        <w:rPr>
          <w:sz w:val="38"/>
        </w:rPr>
        <w:t>the</w:t>
      </w:r>
      <w:r>
        <w:rPr>
          <w:spacing w:val="-8"/>
          <w:sz w:val="38"/>
        </w:rPr>
        <w:t> </w:t>
      </w:r>
      <w:r>
        <w:rPr>
          <w:sz w:val="38"/>
        </w:rPr>
        <w:t>opening</w:t>
      </w:r>
      <w:r>
        <w:rPr>
          <w:spacing w:val="-9"/>
          <w:sz w:val="38"/>
        </w:rPr>
        <w:t> </w:t>
      </w:r>
      <w:r>
        <w:rPr>
          <w:sz w:val="38"/>
        </w:rPr>
        <w:t>of</w:t>
      </w:r>
      <w:r>
        <w:rPr>
          <w:spacing w:val="-9"/>
          <w:sz w:val="38"/>
        </w:rPr>
        <w:t> </w:t>
      </w:r>
      <w:r>
        <w:rPr>
          <w:sz w:val="38"/>
        </w:rPr>
        <w:t>the</w:t>
      </w:r>
      <w:r>
        <w:rPr>
          <w:spacing w:val="-8"/>
          <w:sz w:val="38"/>
        </w:rPr>
        <w:t> </w:t>
      </w:r>
      <w:r>
        <w:rPr>
          <w:sz w:val="38"/>
        </w:rPr>
        <w:t>fermentation</w:t>
      </w:r>
      <w:r>
        <w:rPr>
          <w:spacing w:val="-9"/>
          <w:sz w:val="38"/>
        </w:rPr>
        <w:t> </w:t>
      </w:r>
      <w:r>
        <w:rPr>
          <w:sz w:val="38"/>
        </w:rPr>
        <w:t>vessel</w:t>
      </w:r>
      <w:r>
        <w:rPr>
          <w:spacing w:val="-9"/>
          <w:sz w:val="38"/>
        </w:rPr>
        <w:t> </w:t>
      </w:r>
      <w:r>
        <w:rPr>
          <w:sz w:val="38"/>
        </w:rPr>
        <w:t>with</w:t>
      </w:r>
      <w:r>
        <w:rPr>
          <w:spacing w:val="-8"/>
          <w:sz w:val="38"/>
        </w:rPr>
        <w:t> </w:t>
      </w:r>
      <w:r>
        <w:rPr>
          <w:sz w:val="38"/>
        </w:rPr>
        <w:t>a</w:t>
      </w:r>
      <w:r>
        <w:rPr>
          <w:spacing w:val="-10"/>
          <w:sz w:val="38"/>
        </w:rPr>
        <w:t> </w:t>
      </w:r>
      <w:r>
        <w:rPr>
          <w:sz w:val="38"/>
        </w:rPr>
        <w:t>single-layer</w:t>
      </w:r>
      <w:r>
        <w:rPr>
          <w:spacing w:val="-9"/>
          <w:sz w:val="38"/>
        </w:rPr>
        <w:t> </w:t>
      </w:r>
      <w:r>
        <w:rPr>
          <w:sz w:val="38"/>
        </w:rPr>
        <w:t>kitchen</w:t>
      </w:r>
      <w:r>
        <w:rPr>
          <w:spacing w:val="-9"/>
          <w:sz w:val="38"/>
        </w:rPr>
        <w:t> </w:t>
      </w:r>
      <w:r>
        <w:rPr>
          <w:sz w:val="38"/>
        </w:rPr>
        <w:t>or linen cloth and fasten with the rubber</w:t>
      </w:r>
      <w:r>
        <w:rPr>
          <w:spacing w:val="4"/>
          <w:sz w:val="38"/>
        </w:rPr>
        <w:t> </w:t>
      </w:r>
      <w:r>
        <w:rPr>
          <w:sz w:val="38"/>
        </w:rPr>
        <w:t>band.</w:t>
      </w:r>
    </w:p>
    <w:p>
      <w:pPr>
        <w:pStyle w:val="ListParagraph"/>
        <w:numPr>
          <w:ilvl w:val="0"/>
          <w:numId w:val="48"/>
        </w:numPr>
        <w:tabs>
          <w:tab w:pos="1140" w:val="left" w:leader="none"/>
        </w:tabs>
        <w:spacing w:line="276" w:lineRule="auto" w:before="121" w:after="0"/>
        <w:ind w:left="1043" w:right="134" w:hanging="566"/>
        <w:jc w:val="left"/>
        <w:rPr>
          <w:sz w:val="38"/>
        </w:rPr>
      </w:pPr>
      <w:r>
        <w:rPr>
          <w:sz w:val="38"/>
        </w:rPr>
        <w:t>Place the fermentation keg in a quiet, smoke-free, well-ventilated, warm place away from sunlight (20-25 ° C), allow to ferment for 8-12</w:t>
      </w:r>
      <w:r>
        <w:rPr>
          <w:spacing w:val="-11"/>
          <w:sz w:val="38"/>
        </w:rPr>
        <w:t> </w:t>
      </w:r>
      <w:r>
        <w:rPr>
          <w:sz w:val="38"/>
        </w:rPr>
        <w:t>days.</w:t>
      </w:r>
    </w:p>
    <w:p>
      <w:pPr>
        <w:pStyle w:val="ListParagraph"/>
        <w:numPr>
          <w:ilvl w:val="0"/>
          <w:numId w:val="48"/>
        </w:numPr>
        <w:tabs>
          <w:tab w:pos="1140" w:val="left" w:leader="none"/>
        </w:tabs>
        <w:spacing w:line="276" w:lineRule="auto" w:before="120" w:after="0"/>
        <w:ind w:left="1043" w:right="140" w:hanging="566"/>
        <w:jc w:val="left"/>
        <w:rPr>
          <w:sz w:val="38"/>
        </w:rPr>
      </w:pPr>
      <w:r>
        <w:rPr>
          <w:sz w:val="38"/>
        </w:rPr>
        <w:t>Then remove the fungus with clean hands and place it on a clean plate or in a clean container, cover the</w:t>
      </w:r>
      <w:r>
        <w:rPr>
          <w:spacing w:val="1"/>
          <w:sz w:val="38"/>
        </w:rPr>
        <w:t> </w:t>
      </w:r>
      <w:r>
        <w:rPr>
          <w:sz w:val="38"/>
        </w:rPr>
        <w:t>fungus.</w:t>
      </w:r>
    </w:p>
    <w:p>
      <w:pPr>
        <w:pStyle w:val="ListParagraph"/>
        <w:numPr>
          <w:ilvl w:val="0"/>
          <w:numId w:val="48"/>
        </w:numPr>
        <w:tabs>
          <w:tab w:pos="1140" w:val="left" w:leader="none"/>
        </w:tabs>
        <w:spacing w:line="276" w:lineRule="auto" w:before="119" w:after="0"/>
        <w:ind w:left="1043" w:right="133" w:hanging="566"/>
        <w:jc w:val="left"/>
        <w:rPr>
          <w:sz w:val="38"/>
        </w:rPr>
      </w:pPr>
      <w:r>
        <w:rPr>
          <w:sz w:val="38"/>
        </w:rPr>
        <w:t>Bottle the kombucha tea and place in a cold place, leaving 10 % for the next</w:t>
      </w:r>
      <w:r>
        <w:rPr>
          <w:spacing w:val="-2"/>
          <w:sz w:val="38"/>
        </w:rPr>
        <w:t> </w:t>
      </w:r>
      <w:r>
        <w:rPr>
          <w:sz w:val="38"/>
        </w:rPr>
        <w:t>fermentation.</w:t>
      </w:r>
    </w:p>
    <w:p>
      <w:pPr>
        <w:spacing w:after="0" w:line="276" w:lineRule="auto"/>
        <w:jc w:val="left"/>
        <w:rPr>
          <w:sz w:val="38"/>
        </w:rPr>
        <w:sectPr>
          <w:pgSz w:w="14270" w:h="16850"/>
          <w:pgMar w:header="0" w:footer="1891" w:top="1600" w:bottom="2080" w:left="800" w:right="1280"/>
        </w:sectPr>
      </w:pPr>
    </w:p>
    <w:p>
      <w:pPr>
        <w:pStyle w:val="ListParagraph"/>
        <w:numPr>
          <w:ilvl w:val="0"/>
          <w:numId w:val="48"/>
        </w:numPr>
        <w:tabs>
          <w:tab w:pos="1140" w:val="left" w:leader="none"/>
        </w:tabs>
        <w:spacing w:line="276" w:lineRule="auto" w:before="181" w:after="0"/>
        <w:ind w:left="1043" w:right="136" w:hanging="566"/>
        <w:jc w:val="left"/>
        <w:rPr>
          <w:sz w:val="38"/>
        </w:rPr>
      </w:pPr>
      <w:r>
        <w:rPr>
          <w:sz w:val="38"/>
        </w:rPr>
        <w:t>Put the fungus back into the container with the bright side up (clean it about every four weeks).</w:t>
      </w:r>
    </w:p>
    <w:p>
      <w:pPr>
        <w:pStyle w:val="ListParagraph"/>
        <w:numPr>
          <w:ilvl w:val="0"/>
          <w:numId w:val="48"/>
        </w:numPr>
        <w:tabs>
          <w:tab w:pos="1075" w:val="left" w:leader="none"/>
        </w:tabs>
        <w:spacing w:line="240" w:lineRule="auto" w:before="121" w:after="0"/>
        <w:ind w:left="1074" w:right="0" w:hanging="597"/>
        <w:jc w:val="left"/>
        <w:rPr>
          <w:sz w:val="38"/>
        </w:rPr>
      </w:pPr>
      <w:r>
        <w:rPr>
          <w:sz w:val="38"/>
        </w:rPr>
        <w:t>Start again from Step</w:t>
      </w:r>
      <w:r>
        <w:rPr>
          <w:spacing w:val="1"/>
          <w:sz w:val="38"/>
        </w:rPr>
        <w:t> </w:t>
      </w:r>
      <w:r>
        <w:rPr>
          <w:sz w:val="38"/>
        </w:rPr>
        <w:t>1.</w:t>
      </w:r>
    </w:p>
    <w:p>
      <w:pPr>
        <w:pStyle w:val="BodyText"/>
        <w:rPr>
          <w:sz w:val="42"/>
        </w:rPr>
      </w:pPr>
    </w:p>
    <w:p>
      <w:pPr>
        <w:pStyle w:val="BodyText"/>
        <w:spacing w:before="1"/>
        <w:rPr>
          <w:sz w:val="50"/>
        </w:rPr>
      </w:pPr>
    </w:p>
    <w:p>
      <w:pPr>
        <w:pStyle w:val="Heading2"/>
        <w:spacing w:before="1"/>
      </w:pPr>
      <w:r>
        <w:rPr/>
        <w:t>Why you should not buy prepared kombucha tea</w:t>
      </w:r>
    </w:p>
    <w:p>
      <w:pPr>
        <w:pStyle w:val="BodyText"/>
        <w:spacing w:line="276" w:lineRule="auto" w:before="302"/>
        <w:ind w:left="477" w:right="133"/>
        <w:jc w:val="both"/>
      </w:pPr>
      <w:r>
        <w:rPr/>
        <w:t>Because of their longer shelf life, kombucha drinks, which you can buy ready- made</w:t>
      </w:r>
      <w:r>
        <w:rPr>
          <w:spacing w:val="-14"/>
        </w:rPr>
        <w:t> </w:t>
      </w:r>
      <w:r>
        <w:rPr/>
        <w:t>in</w:t>
      </w:r>
      <w:r>
        <w:rPr>
          <w:spacing w:val="-13"/>
        </w:rPr>
        <w:t> </w:t>
      </w:r>
      <w:r>
        <w:rPr/>
        <w:t>the</w:t>
      </w:r>
      <w:r>
        <w:rPr>
          <w:spacing w:val="-14"/>
        </w:rPr>
        <w:t> </w:t>
      </w:r>
      <w:r>
        <w:rPr/>
        <w:t>store,</w:t>
      </w:r>
      <w:r>
        <w:rPr>
          <w:spacing w:val="-12"/>
        </w:rPr>
        <w:t> </w:t>
      </w:r>
      <w:r>
        <w:rPr/>
        <w:t>are</w:t>
      </w:r>
      <w:r>
        <w:rPr>
          <w:spacing w:val="-15"/>
        </w:rPr>
        <w:t> </w:t>
      </w:r>
      <w:r>
        <w:rPr/>
        <w:t>pasteurised,</w:t>
      </w:r>
      <w:r>
        <w:rPr>
          <w:spacing w:val="-13"/>
        </w:rPr>
        <w:t> </w:t>
      </w:r>
      <w:r>
        <w:rPr/>
        <w:t>with</w:t>
      </w:r>
      <w:r>
        <w:rPr>
          <w:spacing w:val="-12"/>
        </w:rPr>
        <w:t> </w:t>
      </w:r>
      <w:r>
        <w:rPr/>
        <w:t>the</w:t>
      </w:r>
      <w:r>
        <w:rPr>
          <w:spacing w:val="-14"/>
        </w:rPr>
        <w:t> </w:t>
      </w:r>
      <w:r>
        <w:rPr/>
        <w:t>consequence</w:t>
      </w:r>
      <w:r>
        <w:rPr>
          <w:spacing w:val="-12"/>
        </w:rPr>
        <w:t> </w:t>
      </w:r>
      <w:r>
        <w:rPr/>
        <w:t>being</w:t>
      </w:r>
      <w:r>
        <w:rPr>
          <w:spacing w:val="-13"/>
        </w:rPr>
        <w:t> </w:t>
      </w:r>
      <w:r>
        <w:rPr/>
        <w:t>that</w:t>
      </w:r>
      <w:r>
        <w:rPr>
          <w:spacing w:val="-13"/>
        </w:rPr>
        <w:t> </w:t>
      </w:r>
      <w:r>
        <w:rPr/>
        <w:t>kombucha's health-promoting components are killed</w:t>
      </w:r>
      <w:r>
        <w:rPr>
          <w:spacing w:val="1"/>
        </w:rPr>
        <w:t> </w:t>
      </w:r>
      <w:r>
        <w:rPr/>
        <w:t>off.</w:t>
      </w:r>
    </w:p>
    <w:p>
      <w:pPr>
        <w:pStyle w:val="BodyText"/>
        <w:spacing w:line="276" w:lineRule="auto" w:before="121"/>
        <w:ind w:left="477" w:right="137"/>
        <w:jc w:val="both"/>
      </w:pPr>
      <w:r>
        <w:rPr/>
        <w:t>The consumer advice centres of Baden-Württemberg, Brandenburg and North Rhine-Westphalia make the following statement:</w:t>
      </w:r>
    </w:p>
    <w:p>
      <w:pPr>
        <w:spacing w:line="276" w:lineRule="auto" w:before="241"/>
        <w:ind w:left="477" w:right="131" w:firstLine="0"/>
        <w:jc w:val="both"/>
        <w:rPr>
          <w:sz w:val="38"/>
        </w:rPr>
      </w:pPr>
      <w:r>
        <w:rPr>
          <w:sz w:val="38"/>
        </w:rPr>
        <w:t>‘</w:t>
      </w:r>
      <w:r>
        <w:rPr>
          <w:i/>
          <w:sz w:val="38"/>
        </w:rPr>
        <w:t>Kombucha is a slightly alcoholic fermentation drink based on green, black or herbal tea.</w:t>
      </w:r>
      <w:r>
        <w:rPr>
          <w:i/>
          <w:spacing w:val="-56"/>
          <w:sz w:val="38"/>
        </w:rPr>
        <w:t> </w:t>
      </w:r>
      <w:r>
        <w:rPr>
          <w:i/>
          <w:sz w:val="38"/>
        </w:rPr>
        <w:t>For </w:t>
      </w:r>
      <w:r>
        <w:rPr>
          <w:i/>
          <w:sz w:val="38"/>
        </w:rPr>
        <w:t>production,</w:t>
      </w:r>
      <w:r>
        <w:rPr>
          <w:i/>
          <w:spacing w:val="-15"/>
          <w:sz w:val="38"/>
        </w:rPr>
        <w:t> </w:t>
      </w:r>
      <w:r>
        <w:rPr>
          <w:i/>
          <w:sz w:val="38"/>
        </w:rPr>
        <w:t>the</w:t>
      </w:r>
      <w:r>
        <w:rPr>
          <w:i/>
          <w:spacing w:val="-18"/>
          <w:sz w:val="38"/>
        </w:rPr>
        <w:t> </w:t>
      </w:r>
      <w:r>
        <w:rPr>
          <w:i/>
          <w:sz w:val="38"/>
        </w:rPr>
        <w:t>sweetened</w:t>
      </w:r>
      <w:r>
        <w:rPr>
          <w:i/>
          <w:spacing w:val="-16"/>
          <w:sz w:val="38"/>
        </w:rPr>
        <w:t> </w:t>
      </w:r>
      <w:r>
        <w:rPr>
          <w:i/>
          <w:sz w:val="38"/>
        </w:rPr>
        <w:t>tea</w:t>
      </w:r>
      <w:r>
        <w:rPr>
          <w:i/>
          <w:spacing w:val="-16"/>
          <w:sz w:val="38"/>
        </w:rPr>
        <w:t> </w:t>
      </w:r>
      <w:r>
        <w:rPr>
          <w:i/>
          <w:sz w:val="38"/>
        </w:rPr>
        <w:t>is</w:t>
      </w:r>
      <w:r>
        <w:rPr>
          <w:i/>
          <w:spacing w:val="-17"/>
          <w:sz w:val="38"/>
        </w:rPr>
        <w:t> </w:t>
      </w:r>
      <w:r>
        <w:rPr>
          <w:i/>
          <w:sz w:val="38"/>
        </w:rPr>
        <w:t>fermented</w:t>
      </w:r>
      <w:r>
        <w:rPr>
          <w:i/>
          <w:spacing w:val="-17"/>
          <w:sz w:val="38"/>
        </w:rPr>
        <w:t> </w:t>
      </w:r>
      <w:r>
        <w:rPr>
          <w:i/>
          <w:sz w:val="38"/>
        </w:rPr>
        <w:t>with</w:t>
      </w:r>
      <w:r>
        <w:rPr>
          <w:i/>
          <w:spacing w:val="-15"/>
          <w:sz w:val="38"/>
        </w:rPr>
        <w:t> </w:t>
      </w:r>
      <w:r>
        <w:rPr>
          <w:i/>
          <w:sz w:val="38"/>
        </w:rPr>
        <w:t>the</w:t>
      </w:r>
      <w:r>
        <w:rPr>
          <w:i/>
          <w:spacing w:val="-16"/>
          <w:sz w:val="38"/>
        </w:rPr>
        <w:t> </w:t>
      </w:r>
      <w:r>
        <w:rPr>
          <w:i/>
          <w:sz w:val="38"/>
        </w:rPr>
        <w:t>gelatinous</w:t>
      </w:r>
      <w:r>
        <w:rPr>
          <w:i/>
          <w:spacing w:val="-16"/>
          <w:sz w:val="38"/>
        </w:rPr>
        <w:t> </w:t>
      </w:r>
      <w:r>
        <w:rPr>
          <w:i/>
          <w:sz w:val="38"/>
        </w:rPr>
        <w:t>kombucha</w:t>
      </w:r>
      <w:r>
        <w:rPr>
          <w:i/>
          <w:spacing w:val="-16"/>
          <w:sz w:val="38"/>
        </w:rPr>
        <w:t> </w:t>
      </w:r>
      <w:r>
        <w:rPr>
          <w:i/>
          <w:sz w:val="38"/>
        </w:rPr>
        <w:t>fungus,</w:t>
      </w:r>
      <w:r>
        <w:rPr>
          <w:i/>
          <w:spacing w:val="-16"/>
          <w:sz w:val="38"/>
        </w:rPr>
        <w:t> </w:t>
      </w:r>
      <w:r>
        <w:rPr>
          <w:i/>
          <w:sz w:val="38"/>
        </w:rPr>
        <w:t>which</w:t>
      </w:r>
      <w:r>
        <w:rPr>
          <w:i/>
          <w:spacing w:val="-15"/>
          <w:sz w:val="38"/>
        </w:rPr>
        <w:t> </w:t>
      </w:r>
      <w:r>
        <w:rPr>
          <w:i/>
          <w:sz w:val="38"/>
        </w:rPr>
        <w:t>consists of bacteria and yeasts. Gluconic acid, acetic acid, and small amounts of alcohol (0.1 to 1.5 percent) are the predominant substances produced. Industrially manufactured kombucha is pasteurised to make it last longer. This kills the microorganisms in the fermentation drink – they become ineffective.</w:t>
      </w:r>
      <w:r>
        <w:rPr>
          <w:sz w:val="38"/>
        </w:rPr>
        <w:t>’</w:t>
      </w:r>
    </w:p>
    <w:p>
      <w:pPr>
        <w:spacing w:after="0" w:line="276" w:lineRule="auto"/>
        <w:jc w:val="both"/>
        <w:rPr>
          <w:sz w:val="38"/>
        </w:rPr>
        <w:sectPr>
          <w:pgSz w:w="14270" w:h="16850"/>
          <w:pgMar w:header="0" w:footer="1891" w:top="1600" w:bottom="2080" w:left="800" w:right="1280"/>
        </w:sectPr>
      </w:pPr>
    </w:p>
    <w:p>
      <w:pPr>
        <w:pStyle w:val="Heading1"/>
        <w:spacing w:before="164"/>
      </w:pPr>
      <w:r>
        <w:rPr/>
        <w:t>Other use</w:t>
      </w:r>
    </w:p>
    <w:p>
      <w:pPr>
        <w:spacing w:before="282"/>
        <w:ind w:left="477" w:right="0" w:firstLine="0"/>
        <w:jc w:val="left"/>
        <w:rPr>
          <w:b/>
          <w:i/>
          <w:sz w:val="40"/>
        </w:rPr>
      </w:pPr>
      <w:r>
        <w:rPr>
          <w:b/>
          <w:i/>
          <w:sz w:val="40"/>
        </w:rPr>
        <w:t>Kombucha as a healthy vinegar</w:t>
      </w:r>
    </w:p>
    <w:p>
      <w:pPr>
        <w:pStyle w:val="BodyText"/>
        <w:spacing w:line="276" w:lineRule="auto" w:before="179"/>
        <w:ind w:left="477" w:right="138"/>
        <w:jc w:val="both"/>
      </w:pPr>
      <w:r>
        <w:rPr/>
        <w:t>The production of a kombucha vinegar is very simple: Let the kombucha fer- ment</w:t>
      </w:r>
      <w:r>
        <w:rPr>
          <w:spacing w:val="-10"/>
        </w:rPr>
        <w:t> </w:t>
      </w:r>
      <w:r>
        <w:rPr/>
        <w:t>longer!</w:t>
      </w:r>
      <w:r>
        <w:rPr>
          <w:spacing w:val="-7"/>
        </w:rPr>
        <w:t> </w:t>
      </w:r>
      <w:r>
        <w:rPr/>
        <w:t>For</w:t>
      </w:r>
      <w:r>
        <w:rPr>
          <w:spacing w:val="-8"/>
        </w:rPr>
        <w:t> </w:t>
      </w:r>
      <w:r>
        <w:rPr/>
        <w:t>this</w:t>
      </w:r>
      <w:r>
        <w:rPr>
          <w:spacing w:val="-7"/>
        </w:rPr>
        <w:t> </w:t>
      </w:r>
      <w:r>
        <w:rPr/>
        <w:t>purpose,</w:t>
      </w:r>
      <w:r>
        <w:rPr>
          <w:spacing w:val="-9"/>
        </w:rPr>
        <w:t> </w:t>
      </w:r>
      <w:r>
        <w:rPr/>
        <w:t>a</w:t>
      </w:r>
      <w:r>
        <w:rPr>
          <w:spacing w:val="-9"/>
        </w:rPr>
        <w:t> </w:t>
      </w:r>
      <w:r>
        <w:rPr/>
        <w:t>duration</w:t>
      </w:r>
      <w:r>
        <w:rPr>
          <w:spacing w:val="-7"/>
        </w:rPr>
        <w:t> </w:t>
      </w:r>
      <w:r>
        <w:rPr/>
        <w:t>of</w:t>
      </w:r>
      <w:r>
        <w:rPr>
          <w:spacing w:val="-8"/>
        </w:rPr>
        <w:t> </w:t>
      </w:r>
      <w:r>
        <w:rPr/>
        <w:t>14</w:t>
      </w:r>
      <w:r>
        <w:rPr>
          <w:spacing w:val="-8"/>
        </w:rPr>
        <w:t> </w:t>
      </w:r>
      <w:r>
        <w:rPr/>
        <w:t>days</w:t>
      </w:r>
      <w:r>
        <w:rPr>
          <w:spacing w:val="-8"/>
        </w:rPr>
        <w:t> </w:t>
      </w:r>
      <w:r>
        <w:rPr/>
        <w:t>or</w:t>
      </w:r>
      <w:r>
        <w:rPr>
          <w:spacing w:val="-7"/>
        </w:rPr>
        <w:t> </w:t>
      </w:r>
      <w:r>
        <w:rPr/>
        <w:t>longer</w:t>
      </w:r>
      <w:r>
        <w:rPr>
          <w:spacing w:val="-7"/>
        </w:rPr>
        <w:t> </w:t>
      </w:r>
      <w:r>
        <w:rPr/>
        <w:t>is</w:t>
      </w:r>
      <w:r>
        <w:rPr>
          <w:spacing w:val="-9"/>
        </w:rPr>
        <w:t> </w:t>
      </w:r>
      <w:r>
        <w:rPr/>
        <w:t>recommended at normal</w:t>
      </w:r>
      <w:r>
        <w:rPr>
          <w:spacing w:val="-2"/>
        </w:rPr>
        <w:t> </w:t>
      </w:r>
      <w:r>
        <w:rPr/>
        <w:t>temperatures.</w:t>
      </w:r>
    </w:p>
    <w:p>
      <w:pPr>
        <w:pStyle w:val="Heading1"/>
        <w:spacing w:before="222"/>
      </w:pPr>
      <w:r>
        <w:rPr/>
        <w:t>Kombucha for preservation purposes</w:t>
      </w:r>
    </w:p>
    <w:p>
      <w:pPr>
        <w:pStyle w:val="BodyText"/>
        <w:spacing w:line="276" w:lineRule="auto" w:before="180"/>
        <w:ind w:left="477"/>
      </w:pPr>
      <w:r>
        <w:rPr/>
        <w:t>To use kombucha to make your vegetables last longer, use kombucha vinegar (see above). Cut your vegetables and pour over the vinegar.</w:t>
      </w:r>
    </w:p>
    <w:p>
      <w:pPr>
        <w:pStyle w:val="Heading1"/>
        <w:spacing w:before="223"/>
      </w:pPr>
      <w:r>
        <w:rPr/>
        <w:t>Kombucha as a facial cleanser</w:t>
      </w:r>
    </w:p>
    <w:p>
      <w:pPr>
        <w:pStyle w:val="BodyText"/>
        <w:spacing w:line="278" w:lineRule="auto" w:before="179"/>
        <w:ind w:left="477"/>
      </w:pPr>
      <w:r>
        <w:rPr/>
        <w:t>Apply kombucha normally and clean the facial skin with a cotton ball at bed- time.</w:t>
      </w:r>
    </w:p>
    <w:p>
      <w:pPr>
        <w:pStyle w:val="Heading2"/>
        <w:spacing w:before="192"/>
      </w:pPr>
      <w:r>
        <w:rPr/>
        <w:t>Kombucha as a skin compress</w:t>
      </w:r>
    </w:p>
    <w:p>
      <w:pPr>
        <w:spacing w:before="266"/>
        <w:ind w:left="477" w:right="0" w:firstLine="0"/>
        <w:jc w:val="left"/>
        <w:rPr>
          <w:i/>
          <w:sz w:val="38"/>
        </w:rPr>
      </w:pPr>
      <w:r>
        <w:rPr>
          <w:i/>
          <w:sz w:val="38"/>
        </w:rPr>
        <w:t>Soak a cloth in kombucha tea and leave it on the face for 10-15 minutes.</w:t>
      </w:r>
    </w:p>
    <w:p>
      <w:pPr>
        <w:pStyle w:val="Heading1"/>
        <w:spacing w:before="285"/>
      </w:pPr>
      <w:r>
        <w:rPr/>
        <w:t>Kombucha as a face mask</w:t>
      </w:r>
    </w:p>
    <w:p>
      <w:pPr>
        <w:pStyle w:val="BodyText"/>
        <w:spacing w:line="276" w:lineRule="auto" w:before="179"/>
        <w:ind w:left="477" w:right="133"/>
        <w:jc w:val="both"/>
      </w:pPr>
      <w:r>
        <w:rPr/>
        <w:t>Alternatively, you can puree a young kombucha fungus and mix it with some kombucha</w:t>
      </w:r>
      <w:r>
        <w:rPr>
          <w:spacing w:val="-18"/>
        </w:rPr>
        <w:t> </w:t>
      </w:r>
      <w:r>
        <w:rPr/>
        <w:t>tea</w:t>
      </w:r>
      <w:r>
        <w:rPr>
          <w:spacing w:val="-16"/>
        </w:rPr>
        <w:t> </w:t>
      </w:r>
      <w:r>
        <w:rPr/>
        <w:t>to</w:t>
      </w:r>
      <w:r>
        <w:rPr>
          <w:spacing w:val="-16"/>
        </w:rPr>
        <w:t> </w:t>
      </w:r>
      <w:r>
        <w:rPr/>
        <w:t>make</w:t>
      </w:r>
      <w:r>
        <w:rPr>
          <w:spacing w:val="-16"/>
        </w:rPr>
        <w:t> </w:t>
      </w:r>
      <w:r>
        <w:rPr/>
        <w:t>a</w:t>
      </w:r>
      <w:r>
        <w:rPr>
          <w:spacing w:val="-18"/>
        </w:rPr>
        <w:t> </w:t>
      </w:r>
      <w:r>
        <w:rPr/>
        <w:t>paste.</w:t>
      </w:r>
      <w:r>
        <w:rPr>
          <w:spacing w:val="-17"/>
        </w:rPr>
        <w:t> </w:t>
      </w:r>
      <w:r>
        <w:rPr/>
        <w:t>Spread</w:t>
      </w:r>
      <w:r>
        <w:rPr>
          <w:spacing w:val="-17"/>
        </w:rPr>
        <w:t> </w:t>
      </w:r>
      <w:r>
        <w:rPr/>
        <w:t>this</w:t>
      </w:r>
      <w:r>
        <w:rPr>
          <w:spacing w:val="-14"/>
        </w:rPr>
        <w:t> </w:t>
      </w:r>
      <w:r>
        <w:rPr/>
        <w:t>paste</w:t>
      </w:r>
      <w:r>
        <w:rPr>
          <w:spacing w:val="-20"/>
        </w:rPr>
        <w:t> </w:t>
      </w:r>
      <w:r>
        <w:rPr/>
        <w:t>on</w:t>
      </w:r>
      <w:r>
        <w:rPr>
          <w:spacing w:val="-16"/>
        </w:rPr>
        <w:t> </w:t>
      </w:r>
      <w:r>
        <w:rPr/>
        <w:t>the</w:t>
      </w:r>
      <w:r>
        <w:rPr>
          <w:spacing w:val="-17"/>
        </w:rPr>
        <w:t> </w:t>
      </w:r>
      <w:r>
        <w:rPr/>
        <w:t>face</w:t>
      </w:r>
      <w:r>
        <w:rPr>
          <w:spacing w:val="-17"/>
        </w:rPr>
        <w:t> </w:t>
      </w:r>
      <w:r>
        <w:rPr/>
        <w:t>and</w:t>
      </w:r>
      <w:r>
        <w:rPr>
          <w:spacing w:val="-18"/>
        </w:rPr>
        <w:t> </w:t>
      </w:r>
      <w:r>
        <w:rPr/>
        <w:t>chest</w:t>
      </w:r>
      <w:r>
        <w:rPr>
          <w:spacing w:val="-16"/>
        </w:rPr>
        <w:t> </w:t>
      </w:r>
      <w:r>
        <w:rPr/>
        <w:t>and</w:t>
      </w:r>
      <w:r>
        <w:rPr>
          <w:spacing w:val="-15"/>
        </w:rPr>
        <w:t> </w:t>
      </w:r>
      <w:r>
        <w:rPr/>
        <w:t>leave on for 15-20 minutes. Then rinse off normally.</w:t>
      </w:r>
    </w:p>
    <w:p>
      <w:pPr>
        <w:spacing w:after="0" w:line="276" w:lineRule="auto"/>
        <w:jc w:val="both"/>
        <w:sectPr>
          <w:pgSz w:w="14270" w:h="16850"/>
          <w:pgMar w:header="0" w:footer="1891" w:top="1600" w:bottom="2080" w:left="800" w:right="1280"/>
        </w:sectPr>
      </w:pPr>
    </w:p>
    <w:p>
      <w:pPr>
        <w:pStyle w:val="Heading1"/>
        <w:spacing w:before="164"/>
      </w:pPr>
      <w:r>
        <w:rPr/>
        <w:t>Kombucha as hair conditioner</w:t>
      </w:r>
    </w:p>
    <w:p>
      <w:pPr>
        <w:pStyle w:val="BodyText"/>
        <w:spacing w:line="276" w:lineRule="auto" w:before="179"/>
        <w:ind w:left="477"/>
      </w:pPr>
      <w:r>
        <w:rPr/>
        <w:t>Massage the kombucha vinegar into the hair and scalp after conventional hair washing and allow to act for about 10-15 minutes, then rinse.</w:t>
      </w:r>
    </w:p>
    <w:p>
      <w:pPr>
        <w:spacing w:before="241"/>
        <w:ind w:left="477" w:right="0" w:firstLine="0"/>
        <w:jc w:val="left"/>
        <w:rPr>
          <w:i/>
          <w:sz w:val="38"/>
        </w:rPr>
      </w:pPr>
      <w:r>
        <w:rPr>
          <w:i/>
          <w:sz w:val="38"/>
        </w:rPr>
        <w:t>QUESTIONS AND ANSWERS</w:t>
      </w:r>
    </w:p>
    <w:p>
      <w:pPr>
        <w:pStyle w:val="Heading1"/>
        <w:spacing w:before="287"/>
      </w:pPr>
      <w:r>
        <w:rPr/>
        <w:t>Is Kombucha a fungus?</w:t>
      </w:r>
    </w:p>
    <w:p>
      <w:pPr>
        <w:pStyle w:val="BodyText"/>
        <w:spacing w:line="276" w:lineRule="auto" w:before="298"/>
        <w:ind w:left="477" w:right="36"/>
      </w:pPr>
      <w:r>
        <w:rPr/>
        <w:t>Kombucha is not a fungus in the traditional sense. Kombucha is a symbiosis of beneficial yeasts and microbes (positive bacterial strains).</w:t>
      </w:r>
    </w:p>
    <w:p>
      <w:pPr>
        <w:pStyle w:val="BodyText"/>
        <w:spacing w:line="276" w:lineRule="auto" w:before="241"/>
        <w:ind w:left="477" w:right="134"/>
        <w:jc w:val="both"/>
      </w:pPr>
      <w:r>
        <w:rPr/>
        <w:t>Superficially, kombucha tea fungus resembles a pancake; it is a jelly-like slice that can turn from white to brown to red, depending on the type of tea with which</w:t>
      </w:r>
      <w:r>
        <w:rPr>
          <w:spacing w:val="-23"/>
        </w:rPr>
        <w:t> </w:t>
      </w:r>
      <w:r>
        <w:rPr/>
        <w:t>it</w:t>
      </w:r>
      <w:r>
        <w:rPr>
          <w:spacing w:val="-25"/>
        </w:rPr>
        <w:t> </w:t>
      </w:r>
      <w:r>
        <w:rPr/>
        <w:t>is</w:t>
      </w:r>
      <w:r>
        <w:rPr>
          <w:spacing w:val="-28"/>
        </w:rPr>
        <w:t> </w:t>
      </w:r>
      <w:r>
        <w:rPr/>
        <w:t>‘fed’.</w:t>
      </w:r>
      <w:r>
        <w:rPr>
          <w:spacing w:val="-27"/>
        </w:rPr>
        <w:t> </w:t>
      </w:r>
      <w:r>
        <w:rPr/>
        <w:t>Combined</w:t>
      </w:r>
      <w:r>
        <w:rPr>
          <w:spacing w:val="-23"/>
        </w:rPr>
        <w:t> </w:t>
      </w:r>
      <w:r>
        <w:rPr/>
        <w:t>with</w:t>
      </w:r>
      <w:r>
        <w:rPr>
          <w:spacing w:val="-23"/>
        </w:rPr>
        <w:t> </w:t>
      </w:r>
      <w:r>
        <w:rPr/>
        <w:t>sugar</w:t>
      </w:r>
      <w:r>
        <w:rPr>
          <w:spacing w:val="-23"/>
        </w:rPr>
        <w:t> </w:t>
      </w:r>
      <w:r>
        <w:rPr/>
        <w:t>and</w:t>
      </w:r>
      <w:r>
        <w:rPr>
          <w:spacing w:val="-23"/>
        </w:rPr>
        <w:t> </w:t>
      </w:r>
      <w:r>
        <w:rPr/>
        <w:t>tea,</w:t>
      </w:r>
      <w:r>
        <w:rPr>
          <w:spacing w:val="-23"/>
        </w:rPr>
        <w:t> </w:t>
      </w:r>
      <w:r>
        <w:rPr/>
        <w:t>Kombucha</w:t>
      </w:r>
      <w:r>
        <w:rPr>
          <w:spacing w:val="-25"/>
        </w:rPr>
        <w:t> </w:t>
      </w:r>
      <w:r>
        <w:rPr/>
        <w:t>develops</w:t>
      </w:r>
      <w:r>
        <w:rPr>
          <w:spacing w:val="-23"/>
        </w:rPr>
        <w:t> </w:t>
      </w:r>
      <w:r>
        <w:rPr/>
        <w:t>biochemical reactions</w:t>
      </w:r>
      <w:r>
        <w:rPr>
          <w:spacing w:val="-27"/>
        </w:rPr>
        <w:t> </w:t>
      </w:r>
      <w:r>
        <w:rPr/>
        <w:t>that</w:t>
      </w:r>
      <w:r>
        <w:rPr>
          <w:spacing w:val="-28"/>
        </w:rPr>
        <w:t> </w:t>
      </w:r>
      <w:r>
        <w:rPr/>
        <w:t>produce</w:t>
      </w:r>
      <w:r>
        <w:rPr>
          <w:spacing w:val="-29"/>
        </w:rPr>
        <w:t> </w:t>
      </w:r>
      <w:r>
        <w:rPr/>
        <w:t>highly</w:t>
      </w:r>
      <w:r>
        <w:rPr>
          <w:spacing w:val="-29"/>
        </w:rPr>
        <w:t> </w:t>
      </w:r>
      <w:r>
        <w:rPr/>
        <w:t>active</w:t>
      </w:r>
      <w:r>
        <w:rPr>
          <w:spacing w:val="-27"/>
        </w:rPr>
        <w:t> </w:t>
      </w:r>
      <w:r>
        <w:rPr/>
        <w:t>and</w:t>
      </w:r>
      <w:r>
        <w:rPr>
          <w:spacing w:val="-28"/>
        </w:rPr>
        <w:t> </w:t>
      </w:r>
      <w:r>
        <w:rPr/>
        <w:t>extremely</w:t>
      </w:r>
      <w:r>
        <w:rPr>
          <w:spacing w:val="-26"/>
        </w:rPr>
        <w:t> </w:t>
      </w:r>
      <w:r>
        <w:rPr/>
        <w:t>healthy</w:t>
      </w:r>
      <w:r>
        <w:rPr>
          <w:spacing w:val="-29"/>
        </w:rPr>
        <w:t> </w:t>
      </w:r>
      <w:r>
        <w:rPr/>
        <w:t>acids,</w:t>
      </w:r>
      <w:r>
        <w:rPr>
          <w:spacing w:val="-28"/>
        </w:rPr>
        <w:t> </w:t>
      </w:r>
      <w:r>
        <w:rPr/>
        <w:t>yeasts,</w:t>
      </w:r>
      <w:r>
        <w:rPr>
          <w:spacing w:val="-27"/>
        </w:rPr>
        <w:t> </w:t>
      </w:r>
      <w:r>
        <w:rPr/>
        <w:t>vitamins and enzymes.</w:t>
      </w:r>
    </w:p>
    <w:p>
      <w:pPr>
        <w:pStyle w:val="BodyText"/>
        <w:spacing w:line="276" w:lineRule="auto" w:before="239"/>
        <w:ind w:left="477" w:right="133"/>
        <w:jc w:val="both"/>
      </w:pPr>
      <w:r>
        <w:rPr/>
        <w:t>Kombucha tea has traditionally been successfully used for over 2200 years against all sorts of diseases and ailments (see ‘Effect according to doctor and therapist statements’).</w:t>
      </w:r>
    </w:p>
    <w:p>
      <w:pPr>
        <w:pStyle w:val="BodyText"/>
        <w:rPr>
          <w:sz w:val="42"/>
        </w:rPr>
      </w:pPr>
    </w:p>
    <w:p>
      <w:pPr>
        <w:pStyle w:val="BodyText"/>
        <w:rPr>
          <w:sz w:val="42"/>
        </w:rPr>
      </w:pPr>
    </w:p>
    <w:p>
      <w:pPr>
        <w:pStyle w:val="BodyText"/>
        <w:rPr>
          <w:sz w:val="42"/>
        </w:rPr>
      </w:pPr>
    </w:p>
    <w:p>
      <w:pPr>
        <w:pStyle w:val="Heading1"/>
        <w:spacing w:before="271"/>
        <w:jc w:val="both"/>
      </w:pPr>
      <w:r>
        <w:rPr/>
        <w:t>Which diseases and health problems does kombucha tea help with?</w:t>
      </w:r>
    </w:p>
    <w:p>
      <w:pPr>
        <w:pStyle w:val="BodyText"/>
        <w:spacing w:before="297"/>
        <w:ind w:left="477"/>
        <w:jc w:val="both"/>
      </w:pPr>
      <w:r>
        <w:rPr/>
        <w:t>Kombucha's spectrum of activity is very diverse, ranging from flu to cancer.</w:t>
      </w:r>
    </w:p>
    <w:p>
      <w:pPr>
        <w:spacing w:after="0"/>
        <w:jc w:val="both"/>
        <w:sectPr>
          <w:pgSz w:w="14270" w:h="16850"/>
          <w:pgMar w:header="0" w:footer="1891" w:top="1600" w:bottom="2080" w:left="800" w:right="1280"/>
        </w:sectPr>
      </w:pPr>
    </w:p>
    <w:p>
      <w:pPr>
        <w:pStyle w:val="BodyText"/>
        <w:spacing w:line="276" w:lineRule="auto" w:before="181"/>
        <w:ind w:left="477" w:right="134"/>
        <w:jc w:val="both"/>
      </w:pPr>
      <w:r>
        <w:rPr/>
        <w:t>You can find the diseases and conditions which kombucha tea can positively influence in ‘Effect on diseases’ and ‘Effect according to doctor and therapist statements’).</w:t>
      </w:r>
    </w:p>
    <w:p>
      <w:pPr>
        <w:pStyle w:val="BodyText"/>
        <w:spacing w:before="242"/>
        <w:ind w:left="477"/>
        <w:jc w:val="both"/>
      </w:pPr>
      <w:r>
        <w:rPr/>
        <w:t>Are the health statements on the effects of kombucha scientifically proven?</w:t>
      </w:r>
    </w:p>
    <w:p>
      <w:pPr>
        <w:pStyle w:val="BodyText"/>
        <w:spacing w:line="276" w:lineRule="auto" w:before="304"/>
        <w:ind w:left="477" w:right="132"/>
        <w:jc w:val="both"/>
      </w:pPr>
      <w:r>
        <w:rPr/>
        <w:t>Kombucha tea has been prepared for 2200 years, so since a time when writing was still in its infancy in many places and there was no medical ‘science’ in the true sense of the term. The effect of kombucha is superficially based on folk traditions; there are countless positive statements and also some studies on kombucha tea by doctors and therapists (see: ‘Effect according to doctor and therapist statements’)</w:t>
      </w:r>
    </w:p>
    <w:p>
      <w:pPr>
        <w:pStyle w:val="Heading1"/>
        <w:spacing w:before="223"/>
        <w:jc w:val="both"/>
      </w:pPr>
      <w:r>
        <w:rPr/>
        <w:t>Does kombucha tea cause any side</w:t>
      </w:r>
      <w:r>
        <w:rPr>
          <w:spacing w:val="-67"/>
        </w:rPr>
        <w:t> </w:t>
      </w:r>
      <w:r>
        <w:rPr/>
        <w:t>effects?</w:t>
      </w:r>
    </w:p>
    <w:p>
      <w:pPr>
        <w:pStyle w:val="BodyText"/>
        <w:spacing w:line="276" w:lineRule="auto" w:before="297"/>
        <w:ind w:left="477" w:right="132"/>
        <w:jc w:val="both"/>
      </w:pPr>
      <w:r>
        <w:rPr/>
        <w:t>So far (we are talking about a period of time of around 2200 years in which kombucha has been consumed), no noteworthy side effects have become known. Since kombucha has a strong detoxifying effect, the detoxifying pro- cesses</w:t>
      </w:r>
      <w:r>
        <w:rPr>
          <w:spacing w:val="-8"/>
        </w:rPr>
        <w:t> </w:t>
      </w:r>
      <w:r>
        <w:rPr/>
        <w:t>in</w:t>
      </w:r>
      <w:r>
        <w:rPr>
          <w:spacing w:val="-8"/>
        </w:rPr>
        <w:t> </w:t>
      </w:r>
      <w:r>
        <w:rPr/>
        <w:t>the</w:t>
      </w:r>
      <w:r>
        <w:rPr>
          <w:spacing w:val="-10"/>
        </w:rPr>
        <w:t> </w:t>
      </w:r>
      <w:r>
        <w:rPr/>
        <w:t>body</w:t>
      </w:r>
      <w:r>
        <w:rPr>
          <w:spacing w:val="-10"/>
        </w:rPr>
        <w:t> </w:t>
      </w:r>
      <w:r>
        <w:rPr/>
        <w:t>can</w:t>
      </w:r>
      <w:r>
        <w:rPr>
          <w:spacing w:val="-7"/>
        </w:rPr>
        <w:t> </w:t>
      </w:r>
      <w:r>
        <w:rPr/>
        <w:t>lead</w:t>
      </w:r>
      <w:r>
        <w:rPr>
          <w:spacing w:val="-9"/>
        </w:rPr>
        <w:t> </w:t>
      </w:r>
      <w:r>
        <w:rPr/>
        <w:t>to</w:t>
      </w:r>
      <w:r>
        <w:rPr>
          <w:spacing w:val="-9"/>
        </w:rPr>
        <w:t> </w:t>
      </w:r>
      <w:r>
        <w:rPr/>
        <w:t>instant</w:t>
      </w:r>
      <w:r>
        <w:rPr>
          <w:spacing w:val="-8"/>
        </w:rPr>
        <w:t> </w:t>
      </w:r>
      <w:r>
        <w:rPr/>
        <w:t>discomfort</w:t>
      </w:r>
      <w:r>
        <w:rPr>
          <w:spacing w:val="-8"/>
        </w:rPr>
        <w:t> </w:t>
      </w:r>
      <w:r>
        <w:rPr/>
        <w:t>after</w:t>
      </w:r>
      <w:r>
        <w:rPr>
          <w:spacing w:val="-9"/>
        </w:rPr>
        <w:t> </w:t>
      </w:r>
      <w:r>
        <w:rPr/>
        <w:t>the</w:t>
      </w:r>
      <w:r>
        <w:rPr>
          <w:spacing w:val="-8"/>
        </w:rPr>
        <w:t> </w:t>
      </w:r>
      <w:r>
        <w:rPr/>
        <w:t>consumption</w:t>
      </w:r>
      <w:r>
        <w:rPr>
          <w:spacing w:val="-8"/>
        </w:rPr>
        <w:t> </w:t>
      </w:r>
      <w:r>
        <w:rPr/>
        <w:t>of</w:t>
      </w:r>
      <w:r>
        <w:rPr>
          <w:spacing w:val="-8"/>
        </w:rPr>
        <w:t> </w:t>
      </w:r>
      <w:r>
        <w:rPr/>
        <w:t>high amounts</w:t>
      </w:r>
      <w:r>
        <w:rPr>
          <w:spacing w:val="-9"/>
        </w:rPr>
        <w:t> </w:t>
      </w:r>
      <w:r>
        <w:rPr/>
        <w:t>of</w:t>
      </w:r>
      <w:r>
        <w:rPr>
          <w:spacing w:val="-9"/>
        </w:rPr>
        <w:t> </w:t>
      </w:r>
      <w:r>
        <w:rPr/>
        <w:t>kombucha.</w:t>
      </w:r>
      <w:r>
        <w:rPr>
          <w:spacing w:val="-9"/>
        </w:rPr>
        <w:t> </w:t>
      </w:r>
      <w:r>
        <w:rPr/>
        <w:t>This</w:t>
      </w:r>
      <w:r>
        <w:rPr>
          <w:spacing w:val="-8"/>
        </w:rPr>
        <w:t> </w:t>
      </w:r>
      <w:r>
        <w:rPr/>
        <w:t>is</w:t>
      </w:r>
      <w:r>
        <w:rPr>
          <w:spacing w:val="-9"/>
        </w:rPr>
        <w:t> </w:t>
      </w:r>
      <w:r>
        <w:rPr/>
        <w:t>due</w:t>
      </w:r>
      <w:r>
        <w:rPr>
          <w:spacing w:val="-11"/>
        </w:rPr>
        <w:t> </w:t>
      </w:r>
      <w:r>
        <w:rPr/>
        <w:t>to</w:t>
      </w:r>
      <w:r>
        <w:rPr>
          <w:spacing w:val="-9"/>
        </w:rPr>
        <w:t> </w:t>
      </w:r>
      <w:r>
        <w:rPr/>
        <w:t>the</w:t>
      </w:r>
      <w:r>
        <w:rPr>
          <w:spacing w:val="-8"/>
        </w:rPr>
        <w:t> </w:t>
      </w:r>
      <w:r>
        <w:rPr/>
        <w:t>Herxheimer</w:t>
      </w:r>
      <w:r>
        <w:rPr>
          <w:spacing w:val="-8"/>
        </w:rPr>
        <w:t> </w:t>
      </w:r>
      <w:r>
        <w:rPr/>
        <w:t>reaction,</w:t>
      </w:r>
      <w:r>
        <w:rPr>
          <w:spacing w:val="-8"/>
        </w:rPr>
        <w:t> </w:t>
      </w:r>
      <w:r>
        <w:rPr/>
        <w:t>in</w:t>
      </w:r>
      <w:r>
        <w:rPr>
          <w:spacing w:val="-9"/>
        </w:rPr>
        <w:t> </w:t>
      </w:r>
      <w:r>
        <w:rPr/>
        <w:t>which</w:t>
      </w:r>
      <w:r>
        <w:rPr>
          <w:spacing w:val="-8"/>
        </w:rPr>
        <w:t> </w:t>
      </w:r>
      <w:r>
        <w:rPr/>
        <w:t>toxins are suddenly released in the body and are removed at</w:t>
      </w:r>
      <w:r>
        <w:rPr>
          <w:spacing w:val="1"/>
        </w:rPr>
        <w:t> </w:t>
      </w:r>
      <w:r>
        <w:rPr/>
        <w:t>once.</w:t>
      </w:r>
    </w:p>
    <w:p>
      <w:pPr>
        <w:pStyle w:val="BodyText"/>
        <w:spacing w:line="276" w:lineRule="auto" w:before="243"/>
        <w:ind w:left="477" w:right="131"/>
        <w:jc w:val="both"/>
      </w:pPr>
      <w:r>
        <w:rPr/>
        <w:t>In this case, you should reduce kombucha consumption and gradually build up to the desired amount. Furthermore, you should drink plenty of still water to help with the removal of toxins from the body. Kombucha also improves</w:t>
      </w:r>
      <w:r>
        <w:rPr>
          <w:spacing w:val="76"/>
        </w:rPr>
        <w:t> </w:t>
      </w:r>
      <w:r>
        <w:rPr/>
        <w:t>the</w:t>
      </w:r>
    </w:p>
    <w:p>
      <w:pPr>
        <w:spacing w:after="0" w:line="276" w:lineRule="auto"/>
        <w:jc w:val="both"/>
        <w:sectPr>
          <w:pgSz w:w="14270" w:h="16850"/>
          <w:pgMar w:header="0" w:footer="1891" w:top="1600" w:bottom="2080" w:left="800" w:right="1280"/>
        </w:sectPr>
      </w:pPr>
    </w:p>
    <w:p>
      <w:pPr>
        <w:pStyle w:val="BodyText"/>
        <w:spacing w:line="276" w:lineRule="auto" w:before="181"/>
        <w:ind w:left="477" w:right="137"/>
        <w:jc w:val="both"/>
      </w:pPr>
      <w:r>
        <w:rPr/>
        <w:t>intestinal flora and stimulates digestion, which for a short time can lead to in- creased intestinal activity and thus more frequent toilet visits.</w:t>
      </w:r>
    </w:p>
    <w:p>
      <w:pPr>
        <w:spacing w:line="276" w:lineRule="auto" w:before="241"/>
        <w:ind w:left="477" w:right="134" w:firstLine="0"/>
        <w:jc w:val="both"/>
        <w:rPr>
          <w:sz w:val="25"/>
        </w:rPr>
      </w:pPr>
      <w:r>
        <w:rPr>
          <w:sz w:val="38"/>
        </w:rPr>
        <w:t>‘</w:t>
      </w:r>
      <w:r>
        <w:rPr>
          <w:i/>
          <w:sz w:val="38"/>
        </w:rPr>
        <w:t>This drink has no known side effects, and one can hardly imagine it would have, even as a </w:t>
      </w:r>
      <w:r>
        <w:rPr>
          <w:i/>
          <w:sz w:val="38"/>
        </w:rPr>
        <w:t>result of the natural preservatives in the short production time’. </w:t>
      </w:r>
      <w:r>
        <w:rPr>
          <w:sz w:val="38"/>
        </w:rPr>
        <w:t>(Professor Staib Robert Koch Institute) </w:t>
      </w:r>
      <w:r>
        <w:rPr>
          <w:position w:val="9"/>
          <w:sz w:val="25"/>
        </w:rPr>
        <w:t>436</w:t>
      </w:r>
    </w:p>
    <w:p>
      <w:pPr>
        <w:spacing w:line="276" w:lineRule="auto" w:before="239"/>
        <w:ind w:left="477" w:right="139" w:firstLine="0"/>
        <w:jc w:val="both"/>
        <w:rPr>
          <w:sz w:val="25"/>
        </w:rPr>
      </w:pPr>
      <w:r>
        <w:rPr>
          <w:i/>
          <w:sz w:val="38"/>
        </w:rPr>
        <w:t>‘Kombucha</w:t>
      </w:r>
      <w:r>
        <w:rPr>
          <w:i/>
          <w:spacing w:val="-25"/>
          <w:sz w:val="38"/>
        </w:rPr>
        <w:t> </w:t>
      </w:r>
      <w:r>
        <w:rPr>
          <w:i/>
          <w:sz w:val="38"/>
        </w:rPr>
        <w:t>is</w:t>
      </w:r>
      <w:r>
        <w:rPr>
          <w:i/>
          <w:spacing w:val="-25"/>
          <w:sz w:val="38"/>
        </w:rPr>
        <w:t> </w:t>
      </w:r>
      <w:r>
        <w:rPr>
          <w:i/>
          <w:sz w:val="38"/>
        </w:rPr>
        <w:t>a</w:t>
      </w:r>
      <w:r>
        <w:rPr>
          <w:i/>
          <w:spacing w:val="-25"/>
          <w:sz w:val="38"/>
        </w:rPr>
        <w:t> </w:t>
      </w:r>
      <w:r>
        <w:rPr>
          <w:i/>
          <w:sz w:val="38"/>
        </w:rPr>
        <w:t>harmless</w:t>
      </w:r>
      <w:r>
        <w:rPr>
          <w:i/>
          <w:spacing w:val="-25"/>
          <w:sz w:val="38"/>
        </w:rPr>
        <w:t> </w:t>
      </w:r>
      <w:r>
        <w:rPr>
          <w:i/>
          <w:sz w:val="38"/>
        </w:rPr>
        <w:t>soft</w:t>
      </w:r>
      <w:r>
        <w:rPr>
          <w:i/>
          <w:spacing w:val="-22"/>
          <w:sz w:val="38"/>
        </w:rPr>
        <w:t> </w:t>
      </w:r>
      <w:r>
        <w:rPr>
          <w:i/>
          <w:sz w:val="38"/>
        </w:rPr>
        <w:t>drink</w:t>
      </w:r>
      <w:r>
        <w:rPr>
          <w:i/>
          <w:spacing w:val="-25"/>
          <w:sz w:val="38"/>
        </w:rPr>
        <w:t> </w:t>
      </w:r>
      <w:r>
        <w:rPr>
          <w:i/>
          <w:sz w:val="38"/>
        </w:rPr>
        <w:t>when</w:t>
      </w:r>
      <w:r>
        <w:rPr>
          <w:i/>
          <w:spacing w:val="-23"/>
          <w:sz w:val="38"/>
        </w:rPr>
        <w:t> </w:t>
      </w:r>
      <w:r>
        <w:rPr>
          <w:i/>
          <w:sz w:val="38"/>
        </w:rPr>
        <w:t>properly</w:t>
      </w:r>
      <w:r>
        <w:rPr>
          <w:i/>
          <w:spacing w:val="-23"/>
          <w:sz w:val="38"/>
        </w:rPr>
        <w:t> </w:t>
      </w:r>
      <w:r>
        <w:rPr>
          <w:i/>
          <w:sz w:val="38"/>
        </w:rPr>
        <w:t>prepared...’</w:t>
      </w:r>
      <w:r>
        <w:rPr>
          <w:i/>
          <w:spacing w:val="47"/>
          <w:sz w:val="38"/>
        </w:rPr>
        <w:t> </w:t>
      </w:r>
      <w:r>
        <w:rPr>
          <w:sz w:val="38"/>
        </w:rPr>
        <w:t>(Consumer</w:t>
      </w:r>
      <w:r>
        <w:rPr>
          <w:spacing w:val="-25"/>
          <w:sz w:val="38"/>
        </w:rPr>
        <w:t> </w:t>
      </w:r>
      <w:r>
        <w:rPr>
          <w:sz w:val="38"/>
        </w:rPr>
        <w:t>Advice</w:t>
      </w:r>
      <w:r>
        <w:rPr>
          <w:spacing w:val="-24"/>
          <w:sz w:val="38"/>
        </w:rPr>
        <w:t> </w:t>
      </w:r>
      <w:r>
        <w:rPr>
          <w:sz w:val="38"/>
        </w:rPr>
        <w:t>Centre of Lower</w:t>
      </w:r>
      <w:r>
        <w:rPr>
          <w:spacing w:val="1"/>
          <w:sz w:val="38"/>
        </w:rPr>
        <w:t> </w:t>
      </w:r>
      <w:r>
        <w:rPr>
          <w:sz w:val="38"/>
        </w:rPr>
        <w:t>Saxony)</w:t>
      </w:r>
      <w:r>
        <w:rPr>
          <w:position w:val="9"/>
          <w:sz w:val="25"/>
        </w:rPr>
        <w:t>437</w:t>
      </w:r>
    </w:p>
    <w:p>
      <w:pPr>
        <w:pStyle w:val="Heading1"/>
        <w:spacing w:line="261" w:lineRule="auto"/>
        <w:ind w:right="144"/>
        <w:jc w:val="both"/>
        <w:rPr>
          <w:b w:val="0"/>
          <w:i/>
          <w:sz w:val="38"/>
        </w:rPr>
      </w:pPr>
      <w:r>
        <w:rPr/>
        <w:t>Is</w:t>
      </w:r>
      <w:r>
        <w:rPr>
          <w:spacing w:val="-50"/>
        </w:rPr>
        <w:t> </w:t>
      </w:r>
      <w:r>
        <w:rPr/>
        <w:t>homemade</w:t>
      </w:r>
      <w:r>
        <w:rPr>
          <w:spacing w:val="-49"/>
        </w:rPr>
        <w:t> </w:t>
      </w:r>
      <w:r>
        <w:rPr/>
        <w:t>kombucha</w:t>
      </w:r>
      <w:r>
        <w:rPr>
          <w:spacing w:val="-49"/>
        </w:rPr>
        <w:t> </w:t>
      </w:r>
      <w:r>
        <w:rPr/>
        <w:t>tea</w:t>
      </w:r>
      <w:r>
        <w:rPr>
          <w:spacing w:val="-48"/>
        </w:rPr>
        <w:t> </w:t>
      </w:r>
      <w:r>
        <w:rPr/>
        <w:t>comparable</w:t>
      </w:r>
      <w:r>
        <w:rPr>
          <w:spacing w:val="-50"/>
        </w:rPr>
        <w:t> </w:t>
      </w:r>
      <w:r>
        <w:rPr/>
        <w:t>to</w:t>
      </w:r>
      <w:r>
        <w:rPr>
          <w:spacing w:val="-49"/>
        </w:rPr>
        <w:t> </w:t>
      </w:r>
      <w:r>
        <w:rPr/>
        <w:t>the</w:t>
      </w:r>
      <w:r>
        <w:rPr>
          <w:spacing w:val="-49"/>
        </w:rPr>
        <w:t> </w:t>
      </w:r>
      <w:r>
        <w:rPr/>
        <w:t>commercially</w:t>
      </w:r>
      <w:r>
        <w:rPr>
          <w:spacing w:val="-50"/>
        </w:rPr>
        <w:t> </w:t>
      </w:r>
      <w:r>
        <w:rPr/>
        <w:t>available type</w:t>
      </w:r>
      <w:r>
        <w:rPr>
          <w:b w:val="0"/>
          <w:i/>
          <w:sz w:val="38"/>
        </w:rPr>
        <w:t>?</w:t>
      </w:r>
    </w:p>
    <w:p>
      <w:pPr>
        <w:pStyle w:val="BodyText"/>
        <w:spacing w:line="276" w:lineRule="auto" w:before="260"/>
        <w:ind w:left="477" w:right="133"/>
        <w:jc w:val="both"/>
      </w:pPr>
      <w:r>
        <w:rPr/>
        <w:t>Absolutely</w:t>
      </w:r>
      <w:r>
        <w:rPr>
          <w:spacing w:val="-12"/>
        </w:rPr>
        <w:t> </w:t>
      </w:r>
      <w:r>
        <w:rPr/>
        <w:t>not</w:t>
      </w:r>
      <w:r>
        <w:rPr>
          <w:spacing w:val="-7"/>
        </w:rPr>
        <w:t> </w:t>
      </w:r>
      <w:r>
        <w:rPr/>
        <w:t>–</w:t>
      </w:r>
      <w:r>
        <w:rPr>
          <w:spacing w:val="-12"/>
        </w:rPr>
        <w:t> </w:t>
      </w:r>
      <w:r>
        <w:rPr/>
        <w:t>for</w:t>
      </w:r>
      <w:r>
        <w:rPr>
          <w:spacing w:val="-10"/>
        </w:rPr>
        <w:t> </w:t>
      </w:r>
      <w:r>
        <w:rPr/>
        <w:t>many</w:t>
      </w:r>
      <w:r>
        <w:rPr>
          <w:spacing w:val="-11"/>
        </w:rPr>
        <w:t> </w:t>
      </w:r>
      <w:r>
        <w:rPr/>
        <w:t>reasons!</w:t>
      </w:r>
      <w:r>
        <w:rPr>
          <w:spacing w:val="-10"/>
        </w:rPr>
        <w:t> </w:t>
      </w:r>
      <w:r>
        <w:rPr/>
        <w:t>First,</w:t>
      </w:r>
      <w:r>
        <w:rPr>
          <w:spacing w:val="-11"/>
        </w:rPr>
        <w:t> </w:t>
      </w:r>
      <w:r>
        <w:rPr/>
        <w:t>the</w:t>
      </w:r>
      <w:r>
        <w:rPr>
          <w:spacing w:val="-11"/>
        </w:rPr>
        <w:t> </w:t>
      </w:r>
      <w:r>
        <w:rPr/>
        <w:t>kombucha</w:t>
      </w:r>
      <w:r>
        <w:rPr>
          <w:spacing w:val="-10"/>
        </w:rPr>
        <w:t> </w:t>
      </w:r>
      <w:r>
        <w:rPr/>
        <w:t>tea</w:t>
      </w:r>
      <w:r>
        <w:rPr>
          <w:spacing w:val="-10"/>
        </w:rPr>
        <w:t> </w:t>
      </w:r>
      <w:r>
        <w:rPr/>
        <w:t>on</w:t>
      </w:r>
      <w:r>
        <w:rPr>
          <w:spacing w:val="-10"/>
        </w:rPr>
        <w:t> </w:t>
      </w:r>
      <w:r>
        <w:rPr/>
        <w:t>commercial</w:t>
      </w:r>
      <w:r>
        <w:rPr>
          <w:spacing w:val="-10"/>
        </w:rPr>
        <w:t> </w:t>
      </w:r>
      <w:r>
        <w:rPr/>
        <w:t>sale is very expensive at around 5 euros per litre, while home-made kombucha tea costs</w:t>
      </w:r>
      <w:r>
        <w:rPr>
          <w:spacing w:val="-28"/>
        </w:rPr>
        <w:t> </w:t>
      </w:r>
      <w:r>
        <w:rPr/>
        <w:t>hardly</w:t>
      </w:r>
      <w:r>
        <w:rPr>
          <w:spacing w:val="-25"/>
        </w:rPr>
        <w:t> </w:t>
      </w:r>
      <w:r>
        <w:rPr/>
        <w:t>anything.</w:t>
      </w:r>
      <w:r>
        <w:rPr>
          <w:spacing w:val="-24"/>
        </w:rPr>
        <w:t> </w:t>
      </w:r>
      <w:r>
        <w:rPr/>
        <w:t>Furthermore,</w:t>
      </w:r>
      <w:r>
        <w:rPr>
          <w:spacing w:val="-24"/>
        </w:rPr>
        <w:t> </w:t>
      </w:r>
      <w:r>
        <w:rPr/>
        <w:t>the</w:t>
      </w:r>
      <w:r>
        <w:rPr>
          <w:spacing w:val="-26"/>
        </w:rPr>
        <w:t> </w:t>
      </w:r>
      <w:r>
        <w:rPr/>
        <w:t>kombucha</w:t>
      </w:r>
      <w:r>
        <w:rPr>
          <w:spacing w:val="-26"/>
        </w:rPr>
        <w:t> </w:t>
      </w:r>
      <w:r>
        <w:rPr/>
        <w:t>beverage</w:t>
      </w:r>
      <w:r>
        <w:rPr>
          <w:spacing w:val="-26"/>
        </w:rPr>
        <w:t> </w:t>
      </w:r>
      <w:r>
        <w:rPr/>
        <w:t>on</w:t>
      </w:r>
      <w:r>
        <w:rPr>
          <w:spacing w:val="-26"/>
        </w:rPr>
        <w:t> </w:t>
      </w:r>
      <w:r>
        <w:rPr/>
        <w:t>commercial</w:t>
      </w:r>
      <w:r>
        <w:rPr>
          <w:spacing w:val="-26"/>
        </w:rPr>
        <w:t> </w:t>
      </w:r>
      <w:r>
        <w:rPr/>
        <w:t>sale has no positive effects; this is because it is pasteurised to make it keep longer. This has the consequence that the health-promoting components (yeast and bacterial cultures) of kombucha are</w:t>
      </w:r>
      <w:r>
        <w:rPr>
          <w:spacing w:val="-2"/>
        </w:rPr>
        <w:t> </w:t>
      </w:r>
      <w:r>
        <w:rPr/>
        <w:t>killed.</w:t>
      </w:r>
    </w:p>
    <w:p>
      <w:pPr>
        <w:pStyle w:val="Heading1"/>
        <w:spacing w:before="223"/>
      </w:pPr>
      <w:r>
        <w:rPr/>
        <w:t>How do you buy kombucha fungus?</w:t>
      </w:r>
    </w:p>
    <w:p>
      <w:pPr>
        <w:pStyle w:val="BodyText"/>
        <w:spacing w:line="276" w:lineRule="auto" w:before="299"/>
        <w:ind w:left="477" w:right="136"/>
        <w:jc w:val="both"/>
      </w:pPr>
      <w:r>
        <w:rPr/>
        <w:t>Traditionally, kombucha, which grows constantly, is passed on to loved ones and acquaintances. As kombucha tea is currently experiencing a renaissance, it is a lucky coincidence if you happen to know someone personally who has a</w:t>
      </w:r>
    </w:p>
    <w:p>
      <w:pPr>
        <w:pStyle w:val="BodyText"/>
        <w:rPr>
          <w:sz w:val="20"/>
        </w:rPr>
      </w:pPr>
    </w:p>
    <w:p>
      <w:pPr>
        <w:pStyle w:val="BodyText"/>
        <w:spacing w:before="5"/>
        <w:rPr>
          <w:sz w:val="20"/>
        </w:rPr>
      </w:pPr>
      <w:r>
        <w:rPr/>
        <w:pict>
          <v:line style="position:absolute;mso-position-horizontal-relative:page;mso-position-vertical-relative:paragraph;z-index:5408;mso-wrap-distance-left:0;mso-wrap-distance-right:0" from="63.863998pt,13.889985pt" to="207.883998pt,13.889985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436 </w:t>
      </w:r>
      <w:r>
        <w:rPr>
          <w:sz w:val="20"/>
        </w:rPr>
        <w:t>Hessische Allgemeine Sonntagszeitung (Hessen Sunday News), June 14, 1992, p. 24</w:t>
      </w:r>
    </w:p>
    <w:p>
      <w:pPr>
        <w:spacing w:before="94"/>
        <w:ind w:left="477" w:right="0" w:firstLine="0"/>
        <w:jc w:val="left"/>
        <w:rPr>
          <w:sz w:val="20"/>
        </w:rPr>
      </w:pPr>
      <w:r>
        <w:rPr>
          <w:position w:val="5"/>
          <w:sz w:val="13"/>
        </w:rPr>
        <w:t>437 </w:t>
      </w:r>
      <w:hyperlink r:id="rId188">
        <w:r>
          <w:rPr>
            <w:sz w:val="20"/>
          </w:rPr>
          <w:t>http://en.wikipedia.org/wiki/Kombucha</w:t>
        </w:r>
      </w:hyperlink>
    </w:p>
    <w:p>
      <w:pPr>
        <w:spacing w:after="0"/>
        <w:jc w:val="left"/>
        <w:rPr>
          <w:sz w:val="20"/>
        </w:rPr>
        <w:sectPr>
          <w:pgSz w:w="14270" w:h="16850"/>
          <w:pgMar w:header="0" w:footer="1891" w:top="1600" w:bottom="2080" w:left="800" w:right="1280"/>
        </w:sectPr>
      </w:pPr>
    </w:p>
    <w:p>
      <w:pPr>
        <w:pStyle w:val="BodyText"/>
        <w:spacing w:line="276" w:lineRule="auto" w:before="181"/>
        <w:ind w:left="477"/>
      </w:pPr>
      <w:r>
        <w:rPr/>
        <w:t>kombucha fungus to share. No reason to despair, however. You can find relia- ble sources on the Internet to get a healthy, vital kombucha fungus!</w:t>
      </w:r>
    </w:p>
    <w:p>
      <w:pPr>
        <w:pStyle w:val="Heading1"/>
      </w:pPr>
      <w:r>
        <w:rPr/>
        <w:t>How do I recognise a healthy kombucha fungus?</w:t>
      </w:r>
    </w:p>
    <w:p>
      <w:pPr>
        <w:pStyle w:val="BodyText"/>
        <w:spacing w:line="276" w:lineRule="auto" w:before="299"/>
        <w:ind w:left="477" w:right="133"/>
        <w:jc w:val="both"/>
      </w:pPr>
      <w:r>
        <w:rPr/>
        <w:t>A healthy kombucha fungus should smell neutral or slightly acidic and have a tough, gelatinous consistency. Whether it is infused in black tea, green tea or fruit tea, it assumes the corresponding colour, which may then vary from light brown to a milky colour to pink.</w:t>
      </w:r>
    </w:p>
    <w:p>
      <w:pPr>
        <w:pStyle w:val="Heading1"/>
        <w:spacing w:before="223"/>
      </w:pPr>
      <w:r>
        <w:rPr/>
        <w:t>How do I recognise a useless, possibly sick kombucha fungus?</w:t>
      </w:r>
    </w:p>
    <w:p>
      <w:pPr>
        <w:pStyle w:val="BodyText"/>
        <w:spacing w:line="276" w:lineRule="auto" w:before="299"/>
        <w:ind w:left="477" w:right="132"/>
        <w:jc w:val="both"/>
      </w:pPr>
      <w:r>
        <w:rPr/>
        <w:t>An</w:t>
      </w:r>
      <w:r>
        <w:rPr>
          <w:spacing w:val="-12"/>
        </w:rPr>
        <w:t> </w:t>
      </w:r>
      <w:r>
        <w:rPr/>
        <w:t>unusable</w:t>
      </w:r>
      <w:r>
        <w:rPr>
          <w:spacing w:val="-11"/>
        </w:rPr>
        <w:t> </w:t>
      </w:r>
      <w:r>
        <w:rPr/>
        <w:t>kombucha</w:t>
      </w:r>
      <w:r>
        <w:rPr>
          <w:spacing w:val="-13"/>
        </w:rPr>
        <w:t> </w:t>
      </w:r>
      <w:r>
        <w:rPr/>
        <w:t>fungus</w:t>
      </w:r>
      <w:r>
        <w:rPr>
          <w:spacing w:val="-13"/>
        </w:rPr>
        <w:t> </w:t>
      </w:r>
      <w:r>
        <w:rPr/>
        <w:t>is</w:t>
      </w:r>
      <w:r>
        <w:rPr>
          <w:spacing w:val="-12"/>
        </w:rPr>
        <w:t> </w:t>
      </w:r>
      <w:r>
        <w:rPr/>
        <w:t>often</w:t>
      </w:r>
      <w:r>
        <w:rPr>
          <w:spacing w:val="-13"/>
        </w:rPr>
        <w:t> </w:t>
      </w:r>
      <w:r>
        <w:rPr/>
        <w:t>characterised</w:t>
      </w:r>
      <w:r>
        <w:rPr>
          <w:spacing w:val="-11"/>
        </w:rPr>
        <w:t> </w:t>
      </w:r>
      <w:r>
        <w:rPr/>
        <w:t>by</w:t>
      </w:r>
      <w:r>
        <w:rPr>
          <w:spacing w:val="-14"/>
        </w:rPr>
        <w:t> </w:t>
      </w:r>
      <w:r>
        <w:rPr/>
        <w:t>a</w:t>
      </w:r>
      <w:r>
        <w:rPr>
          <w:spacing w:val="-13"/>
        </w:rPr>
        <w:t> </w:t>
      </w:r>
      <w:r>
        <w:rPr/>
        <w:t>musty</w:t>
      </w:r>
      <w:r>
        <w:rPr>
          <w:spacing w:val="-14"/>
        </w:rPr>
        <w:t> </w:t>
      </w:r>
      <w:r>
        <w:rPr/>
        <w:t>odour,</w:t>
      </w:r>
      <w:r>
        <w:rPr>
          <w:spacing w:val="-11"/>
        </w:rPr>
        <w:t> </w:t>
      </w:r>
      <w:r>
        <w:rPr/>
        <w:t>spongy texture and many dark threads. In the worst case scenario, you can even dis- cover mould on it!</w:t>
      </w:r>
    </w:p>
    <w:p>
      <w:pPr>
        <w:pStyle w:val="BodyText"/>
        <w:rPr>
          <w:sz w:val="42"/>
        </w:rPr>
      </w:pPr>
    </w:p>
    <w:p>
      <w:pPr>
        <w:pStyle w:val="BodyText"/>
        <w:rPr>
          <w:sz w:val="42"/>
        </w:rPr>
      </w:pPr>
    </w:p>
    <w:p>
      <w:pPr>
        <w:pStyle w:val="BodyText"/>
        <w:rPr>
          <w:sz w:val="42"/>
        </w:rPr>
      </w:pPr>
    </w:p>
    <w:p>
      <w:pPr>
        <w:pStyle w:val="Heading1"/>
        <w:spacing w:before="268"/>
      </w:pPr>
      <w:r>
        <w:rPr/>
        <w:t>How expensive is a kombucha fungus?</w:t>
      </w:r>
    </w:p>
    <w:p>
      <w:pPr>
        <w:pStyle w:val="BodyText"/>
        <w:spacing w:line="276" w:lineRule="auto" w:before="299"/>
        <w:ind w:left="477" w:right="244"/>
      </w:pPr>
      <w:r>
        <w:rPr/>
        <w:t>The prices vary depending on the provider and usually range between 15 and 40 euros for 100 g kombucha culture including starter fluid.</w:t>
      </w:r>
    </w:p>
    <w:p>
      <w:pPr>
        <w:pStyle w:val="Heading1"/>
        <w:spacing w:before="225"/>
      </w:pPr>
      <w:r>
        <w:rPr/>
        <w:t>What is a starter fluid?</w:t>
      </w:r>
    </w:p>
    <w:p>
      <w:pPr>
        <w:pStyle w:val="BodyText"/>
        <w:spacing w:line="276" w:lineRule="auto" w:before="299"/>
        <w:ind w:left="477"/>
      </w:pPr>
      <w:r>
        <w:rPr/>
        <w:t>A</w:t>
      </w:r>
      <w:r>
        <w:rPr>
          <w:spacing w:val="-14"/>
        </w:rPr>
        <w:t> </w:t>
      </w:r>
      <w:r>
        <w:rPr/>
        <w:t>starter/base</w:t>
      </w:r>
      <w:r>
        <w:rPr>
          <w:spacing w:val="-14"/>
        </w:rPr>
        <w:t> </w:t>
      </w:r>
      <w:r>
        <w:rPr/>
        <w:t>liquid</w:t>
      </w:r>
      <w:r>
        <w:rPr>
          <w:spacing w:val="-13"/>
        </w:rPr>
        <w:t> </w:t>
      </w:r>
      <w:r>
        <w:rPr/>
        <w:t>is</w:t>
      </w:r>
      <w:r>
        <w:rPr>
          <w:spacing w:val="-14"/>
        </w:rPr>
        <w:t> </w:t>
      </w:r>
      <w:r>
        <w:rPr/>
        <w:t>absolutely</w:t>
      </w:r>
      <w:r>
        <w:rPr>
          <w:spacing w:val="-14"/>
        </w:rPr>
        <w:t> </w:t>
      </w:r>
      <w:r>
        <w:rPr/>
        <w:t>recommended</w:t>
      </w:r>
      <w:r>
        <w:rPr>
          <w:spacing w:val="-16"/>
        </w:rPr>
        <w:t> </w:t>
      </w:r>
      <w:r>
        <w:rPr/>
        <w:t>for</w:t>
      </w:r>
      <w:r>
        <w:rPr>
          <w:spacing w:val="-13"/>
        </w:rPr>
        <w:t> </w:t>
      </w:r>
      <w:r>
        <w:rPr/>
        <w:t>the</w:t>
      </w:r>
      <w:r>
        <w:rPr>
          <w:spacing w:val="-13"/>
        </w:rPr>
        <w:t> </w:t>
      </w:r>
      <w:r>
        <w:rPr/>
        <w:t>very</w:t>
      </w:r>
      <w:r>
        <w:rPr>
          <w:spacing w:val="-13"/>
        </w:rPr>
        <w:t> </w:t>
      </w:r>
      <w:r>
        <w:rPr/>
        <w:t>first</w:t>
      </w:r>
      <w:r>
        <w:rPr>
          <w:spacing w:val="-19"/>
        </w:rPr>
        <w:t> </w:t>
      </w:r>
      <w:r>
        <w:rPr/>
        <w:t>batch.</w:t>
      </w:r>
      <w:r>
        <w:rPr>
          <w:spacing w:val="-13"/>
        </w:rPr>
        <w:t> </w:t>
      </w:r>
      <w:r>
        <w:rPr/>
        <w:t>It</w:t>
      </w:r>
      <w:r>
        <w:rPr>
          <w:spacing w:val="-14"/>
        </w:rPr>
        <w:t> </w:t>
      </w:r>
      <w:r>
        <w:rPr/>
        <w:t>con- tains</w:t>
      </w:r>
      <w:r>
        <w:rPr>
          <w:spacing w:val="10"/>
        </w:rPr>
        <w:t> </w:t>
      </w:r>
      <w:r>
        <w:rPr/>
        <w:t>all</w:t>
      </w:r>
      <w:r>
        <w:rPr>
          <w:spacing w:val="9"/>
        </w:rPr>
        <w:t> </w:t>
      </w:r>
      <w:r>
        <w:rPr/>
        <w:t>the</w:t>
      </w:r>
      <w:r>
        <w:rPr>
          <w:spacing w:val="14"/>
        </w:rPr>
        <w:t> </w:t>
      </w:r>
      <w:r>
        <w:rPr/>
        <w:t>acids</w:t>
      </w:r>
      <w:r>
        <w:rPr>
          <w:spacing w:val="11"/>
        </w:rPr>
        <w:t> </w:t>
      </w:r>
      <w:r>
        <w:rPr/>
        <w:t>needed</w:t>
      </w:r>
      <w:r>
        <w:rPr>
          <w:spacing w:val="11"/>
        </w:rPr>
        <w:t> </w:t>
      </w:r>
      <w:r>
        <w:rPr/>
        <w:t>by</w:t>
      </w:r>
      <w:r>
        <w:rPr>
          <w:spacing w:val="11"/>
        </w:rPr>
        <w:t> </w:t>
      </w:r>
      <w:r>
        <w:rPr/>
        <w:t>the</w:t>
      </w:r>
      <w:r>
        <w:rPr>
          <w:spacing w:val="11"/>
        </w:rPr>
        <w:t> </w:t>
      </w:r>
      <w:r>
        <w:rPr/>
        <w:t>kombucha</w:t>
      </w:r>
      <w:r>
        <w:rPr>
          <w:spacing w:val="10"/>
        </w:rPr>
        <w:t> </w:t>
      </w:r>
      <w:r>
        <w:rPr/>
        <w:t>to</w:t>
      </w:r>
      <w:r>
        <w:rPr>
          <w:spacing w:val="11"/>
        </w:rPr>
        <w:t> </w:t>
      </w:r>
      <w:r>
        <w:rPr/>
        <w:t>quickly</w:t>
      </w:r>
      <w:r>
        <w:rPr>
          <w:spacing w:val="9"/>
        </w:rPr>
        <w:t> </w:t>
      </w:r>
      <w:r>
        <w:rPr/>
        <w:t>get</w:t>
      </w:r>
      <w:r>
        <w:rPr>
          <w:spacing w:val="10"/>
        </w:rPr>
        <w:t> </w:t>
      </w:r>
      <w:r>
        <w:rPr/>
        <w:t>to</w:t>
      </w:r>
      <w:r>
        <w:rPr>
          <w:spacing w:val="11"/>
        </w:rPr>
        <w:t> </w:t>
      </w:r>
      <w:r>
        <w:rPr/>
        <w:t>work</w:t>
      </w:r>
      <w:r>
        <w:rPr>
          <w:spacing w:val="10"/>
        </w:rPr>
        <w:t> </w:t>
      </w:r>
      <w:r>
        <w:rPr/>
        <w:t>and</w:t>
      </w:r>
      <w:r>
        <w:rPr>
          <w:spacing w:val="11"/>
        </w:rPr>
        <w:t> </w:t>
      </w:r>
      <w:r>
        <w:rPr/>
        <w:t>protect</w:t>
      </w:r>
    </w:p>
    <w:p>
      <w:pPr>
        <w:spacing w:after="0" w:line="276" w:lineRule="auto"/>
        <w:sectPr>
          <w:pgSz w:w="14270" w:h="16850"/>
          <w:pgMar w:header="0" w:footer="1891" w:top="1600" w:bottom="2080" w:left="800" w:right="1280"/>
        </w:sectPr>
      </w:pPr>
    </w:p>
    <w:p>
      <w:pPr>
        <w:pStyle w:val="BodyText"/>
        <w:spacing w:line="276" w:lineRule="auto" w:before="181"/>
        <w:ind w:left="477" w:right="129"/>
        <w:jc w:val="both"/>
      </w:pPr>
      <w:r>
        <w:rPr/>
        <w:t>itself from bacteria and intruders. For further batches, simply leave 10-20 % of the resulting kombucha tea for the fungus and mix this with the new batch</w:t>
      </w:r>
      <w:r>
        <w:rPr>
          <w:spacing w:val="-65"/>
        </w:rPr>
        <w:t> </w:t>
      </w:r>
      <w:r>
        <w:rPr/>
        <w:t>(tea</w:t>
      </w:r>
    </w:p>
    <w:p>
      <w:pPr>
        <w:pStyle w:val="BodyText"/>
        <w:spacing w:before="1"/>
        <w:ind w:left="477"/>
      </w:pPr>
      <w:r>
        <w:rPr/>
        <w:t>+ sugar).</w:t>
      </w:r>
    </w:p>
    <w:p>
      <w:pPr>
        <w:pStyle w:val="Heading1"/>
        <w:spacing w:before="287"/>
      </w:pPr>
      <w:r>
        <w:rPr/>
        <w:t>How long does it take for the kombucha tea to be ready?</w:t>
      </w:r>
    </w:p>
    <w:p>
      <w:pPr>
        <w:pStyle w:val="BodyText"/>
        <w:spacing w:line="276" w:lineRule="auto" w:before="300"/>
        <w:ind w:left="477" w:right="133"/>
        <w:jc w:val="both"/>
      </w:pPr>
      <w:r>
        <w:rPr/>
        <w:t>It depends on many factors, such as the temperature to which the fermenting kombucha</w:t>
      </w:r>
      <w:r>
        <w:rPr>
          <w:spacing w:val="-8"/>
        </w:rPr>
        <w:t> </w:t>
      </w:r>
      <w:r>
        <w:rPr/>
        <w:t>fungus</w:t>
      </w:r>
      <w:r>
        <w:rPr>
          <w:spacing w:val="-6"/>
        </w:rPr>
        <w:t> </w:t>
      </w:r>
      <w:r>
        <w:rPr/>
        <w:t>is</w:t>
      </w:r>
      <w:r>
        <w:rPr>
          <w:spacing w:val="-6"/>
        </w:rPr>
        <w:t> </w:t>
      </w:r>
      <w:r>
        <w:rPr/>
        <w:t>exposed,</w:t>
      </w:r>
      <w:r>
        <w:rPr>
          <w:spacing w:val="-5"/>
        </w:rPr>
        <w:t> </w:t>
      </w:r>
      <w:r>
        <w:rPr/>
        <w:t>but</w:t>
      </w:r>
      <w:r>
        <w:rPr>
          <w:spacing w:val="-7"/>
        </w:rPr>
        <w:t> </w:t>
      </w:r>
      <w:r>
        <w:rPr/>
        <w:t>also</w:t>
      </w:r>
      <w:r>
        <w:rPr>
          <w:spacing w:val="-6"/>
        </w:rPr>
        <w:t> </w:t>
      </w:r>
      <w:r>
        <w:rPr/>
        <w:t>the</w:t>
      </w:r>
      <w:r>
        <w:rPr>
          <w:spacing w:val="-6"/>
        </w:rPr>
        <w:t> </w:t>
      </w:r>
      <w:r>
        <w:rPr/>
        <w:t>desired</w:t>
      </w:r>
      <w:r>
        <w:rPr>
          <w:spacing w:val="-6"/>
        </w:rPr>
        <w:t> </w:t>
      </w:r>
      <w:r>
        <w:rPr/>
        <w:t>taste</w:t>
      </w:r>
      <w:r>
        <w:rPr>
          <w:spacing w:val="-6"/>
        </w:rPr>
        <w:t> </w:t>
      </w:r>
      <w:r>
        <w:rPr/>
        <w:t>(the</w:t>
      </w:r>
      <w:r>
        <w:rPr>
          <w:spacing w:val="-6"/>
        </w:rPr>
        <w:t> </w:t>
      </w:r>
      <w:r>
        <w:rPr/>
        <w:t>longer</w:t>
      </w:r>
      <w:r>
        <w:rPr>
          <w:spacing w:val="-4"/>
        </w:rPr>
        <w:t> </w:t>
      </w:r>
      <w:r>
        <w:rPr/>
        <w:t>the</w:t>
      </w:r>
      <w:r>
        <w:rPr>
          <w:spacing w:val="-6"/>
        </w:rPr>
        <w:t> </w:t>
      </w:r>
      <w:r>
        <w:rPr/>
        <w:t>process, the</w:t>
      </w:r>
      <w:r>
        <w:rPr>
          <w:spacing w:val="-7"/>
        </w:rPr>
        <w:t> </w:t>
      </w:r>
      <w:r>
        <w:rPr/>
        <w:t>more</w:t>
      </w:r>
      <w:r>
        <w:rPr>
          <w:spacing w:val="-8"/>
        </w:rPr>
        <w:t> </w:t>
      </w:r>
      <w:r>
        <w:rPr/>
        <w:t>acidic</w:t>
      </w:r>
      <w:r>
        <w:rPr>
          <w:spacing w:val="-8"/>
        </w:rPr>
        <w:t> </w:t>
      </w:r>
      <w:r>
        <w:rPr/>
        <w:t>–</w:t>
      </w:r>
      <w:r>
        <w:rPr>
          <w:spacing w:val="-7"/>
        </w:rPr>
        <w:t> </w:t>
      </w:r>
      <w:r>
        <w:rPr/>
        <w:t>and</w:t>
      </w:r>
      <w:r>
        <w:rPr>
          <w:spacing w:val="-8"/>
        </w:rPr>
        <w:t> </w:t>
      </w:r>
      <w:r>
        <w:rPr/>
        <w:t>healthier</w:t>
      </w:r>
      <w:r>
        <w:rPr>
          <w:spacing w:val="-7"/>
        </w:rPr>
        <w:t> </w:t>
      </w:r>
      <w:r>
        <w:rPr/>
        <w:t>–</w:t>
      </w:r>
      <w:r>
        <w:rPr>
          <w:spacing w:val="-8"/>
        </w:rPr>
        <w:t> </w:t>
      </w:r>
      <w:r>
        <w:rPr/>
        <w:t>the</w:t>
      </w:r>
      <w:r>
        <w:rPr>
          <w:spacing w:val="-6"/>
        </w:rPr>
        <w:t> </w:t>
      </w:r>
      <w:r>
        <w:rPr/>
        <w:t>drink!).</w:t>
      </w:r>
      <w:r>
        <w:rPr>
          <w:spacing w:val="-7"/>
        </w:rPr>
        <w:t> </w:t>
      </w:r>
      <w:r>
        <w:rPr/>
        <w:t>The</w:t>
      </w:r>
      <w:r>
        <w:rPr>
          <w:spacing w:val="-7"/>
        </w:rPr>
        <w:t> </w:t>
      </w:r>
      <w:r>
        <w:rPr/>
        <w:t>temperature</w:t>
      </w:r>
      <w:r>
        <w:rPr>
          <w:spacing w:val="-8"/>
        </w:rPr>
        <w:t> </w:t>
      </w:r>
      <w:r>
        <w:rPr/>
        <w:t>should</w:t>
      </w:r>
      <w:r>
        <w:rPr>
          <w:spacing w:val="-8"/>
        </w:rPr>
        <w:t> </w:t>
      </w:r>
      <w:r>
        <w:rPr/>
        <w:t>ideally</w:t>
      </w:r>
      <w:r>
        <w:rPr>
          <w:spacing w:val="-8"/>
        </w:rPr>
        <w:t> </w:t>
      </w:r>
      <w:r>
        <w:rPr/>
        <w:t>be 22-25 °C. The warmer the temperature, the faster the fungus works and devel- ops.</w:t>
      </w:r>
    </w:p>
    <w:p>
      <w:pPr>
        <w:pStyle w:val="BodyText"/>
        <w:spacing w:line="276" w:lineRule="auto" w:before="240"/>
        <w:ind w:left="477" w:right="137"/>
        <w:jc w:val="both"/>
      </w:pPr>
      <w:r>
        <w:rPr/>
        <w:t>Basically, it takes about 5-12 days for the batch to be finished. (Using the heat plate,</w:t>
      </w:r>
      <w:r>
        <w:rPr>
          <w:spacing w:val="-11"/>
        </w:rPr>
        <w:t> </w:t>
      </w:r>
      <w:r>
        <w:rPr/>
        <w:t>my</w:t>
      </w:r>
      <w:r>
        <w:rPr>
          <w:spacing w:val="-10"/>
        </w:rPr>
        <w:t> </w:t>
      </w:r>
      <w:r>
        <w:rPr/>
        <w:t>second</w:t>
      </w:r>
      <w:r>
        <w:rPr>
          <w:spacing w:val="-12"/>
        </w:rPr>
        <w:t> </w:t>
      </w:r>
      <w:r>
        <w:rPr/>
        <w:t>batch</w:t>
      </w:r>
      <w:r>
        <w:rPr>
          <w:spacing w:val="-10"/>
        </w:rPr>
        <w:t> </w:t>
      </w:r>
      <w:r>
        <w:rPr/>
        <w:t>was</w:t>
      </w:r>
      <w:r>
        <w:rPr>
          <w:spacing w:val="-11"/>
        </w:rPr>
        <w:t> </w:t>
      </w:r>
      <w:r>
        <w:rPr/>
        <w:t>finished</w:t>
      </w:r>
      <w:r>
        <w:rPr>
          <w:spacing w:val="-10"/>
        </w:rPr>
        <w:t> </w:t>
      </w:r>
      <w:r>
        <w:rPr/>
        <w:t>in</w:t>
      </w:r>
      <w:r>
        <w:rPr>
          <w:spacing w:val="-12"/>
        </w:rPr>
        <w:t> </w:t>
      </w:r>
      <w:r>
        <w:rPr/>
        <w:t>just</w:t>
      </w:r>
      <w:r>
        <w:rPr>
          <w:spacing w:val="-10"/>
        </w:rPr>
        <w:t> </w:t>
      </w:r>
      <w:r>
        <w:rPr/>
        <w:t>2.5</w:t>
      </w:r>
      <w:r>
        <w:rPr>
          <w:spacing w:val="-11"/>
        </w:rPr>
        <w:t> </w:t>
      </w:r>
      <w:r>
        <w:rPr/>
        <w:t>days.</w:t>
      </w:r>
      <w:r>
        <w:rPr>
          <w:spacing w:val="-9"/>
        </w:rPr>
        <w:t> </w:t>
      </w:r>
      <w:r>
        <w:rPr/>
        <w:t>My</w:t>
      </w:r>
      <w:r>
        <w:rPr>
          <w:spacing w:val="-11"/>
        </w:rPr>
        <w:t> </w:t>
      </w:r>
      <w:r>
        <w:rPr/>
        <w:t>fungus</w:t>
      </w:r>
      <w:r>
        <w:rPr>
          <w:spacing w:val="-11"/>
        </w:rPr>
        <w:t> </w:t>
      </w:r>
      <w:r>
        <w:rPr/>
        <w:t>must</w:t>
      </w:r>
      <w:r>
        <w:rPr>
          <w:spacing w:val="-11"/>
        </w:rPr>
        <w:t> </w:t>
      </w:r>
      <w:r>
        <w:rPr/>
        <w:t>have</w:t>
      </w:r>
      <w:r>
        <w:rPr>
          <w:spacing w:val="-10"/>
        </w:rPr>
        <w:t> </w:t>
      </w:r>
      <w:r>
        <w:rPr/>
        <w:t>been very</w:t>
      </w:r>
      <w:r>
        <w:rPr>
          <w:spacing w:val="-10"/>
        </w:rPr>
        <w:t> </w:t>
      </w:r>
      <w:r>
        <w:rPr/>
        <w:t>active!).</w:t>
      </w:r>
      <w:r>
        <w:rPr>
          <w:spacing w:val="-10"/>
        </w:rPr>
        <w:t> </w:t>
      </w:r>
      <w:r>
        <w:rPr/>
        <w:t>Also,</w:t>
      </w:r>
      <w:r>
        <w:rPr>
          <w:spacing w:val="-9"/>
        </w:rPr>
        <w:t> </w:t>
      </w:r>
      <w:r>
        <w:rPr/>
        <w:t>the</w:t>
      </w:r>
      <w:r>
        <w:rPr>
          <w:spacing w:val="-12"/>
        </w:rPr>
        <w:t> </w:t>
      </w:r>
      <w:r>
        <w:rPr/>
        <w:t>batch</w:t>
      </w:r>
      <w:r>
        <w:rPr>
          <w:spacing w:val="-12"/>
        </w:rPr>
        <w:t> </w:t>
      </w:r>
      <w:r>
        <w:rPr/>
        <w:t>becomes</w:t>
      </w:r>
      <w:r>
        <w:rPr>
          <w:spacing w:val="-9"/>
        </w:rPr>
        <w:t> </w:t>
      </w:r>
      <w:r>
        <w:rPr/>
        <w:t>increasingly</w:t>
      </w:r>
      <w:r>
        <w:rPr>
          <w:spacing w:val="-10"/>
        </w:rPr>
        <w:t> </w:t>
      </w:r>
      <w:r>
        <w:rPr/>
        <w:t>sour</w:t>
      </w:r>
      <w:r>
        <w:rPr>
          <w:spacing w:val="-11"/>
        </w:rPr>
        <w:t> </w:t>
      </w:r>
      <w:r>
        <w:rPr/>
        <w:t>and</w:t>
      </w:r>
      <w:r>
        <w:rPr>
          <w:spacing w:val="-13"/>
        </w:rPr>
        <w:t> </w:t>
      </w:r>
      <w:r>
        <w:rPr/>
        <w:t>can</w:t>
      </w:r>
      <w:r>
        <w:rPr>
          <w:spacing w:val="-9"/>
        </w:rPr>
        <w:t> </w:t>
      </w:r>
      <w:r>
        <w:rPr/>
        <w:t>later</w:t>
      </w:r>
      <w:r>
        <w:rPr>
          <w:spacing w:val="-10"/>
        </w:rPr>
        <w:t> </w:t>
      </w:r>
      <w:r>
        <w:rPr/>
        <w:t>be</w:t>
      </w:r>
      <w:r>
        <w:rPr>
          <w:spacing w:val="-12"/>
        </w:rPr>
        <w:t> </w:t>
      </w:r>
      <w:r>
        <w:rPr/>
        <w:t>used</w:t>
      </w:r>
      <w:r>
        <w:rPr>
          <w:spacing w:val="-10"/>
        </w:rPr>
        <w:t> </w:t>
      </w:r>
      <w:r>
        <w:rPr/>
        <w:t>as an extremely healthy vinegar for</w:t>
      </w:r>
      <w:r>
        <w:rPr>
          <w:spacing w:val="5"/>
        </w:rPr>
        <w:t> </w:t>
      </w:r>
      <w:r>
        <w:rPr/>
        <w:t>cooking.</w:t>
      </w:r>
    </w:p>
    <w:p>
      <w:pPr>
        <w:pStyle w:val="Heading1"/>
        <w:spacing w:before="222"/>
      </w:pPr>
      <w:r>
        <w:rPr/>
        <w:t>How do I properly brew kombucha</w:t>
      </w:r>
      <w:r>
        <w:rPr>
          <w:spacing w:val="-62"/>
        </w:rPr>
        <w:t> </w:t>
      </w:r>
      <w:r>
        <w:rPr/>
        <w:t>tea?</w:t>
      </w:r>
    </w:p>
    <w:p>
      <w:pPr>
        <w:pStyle w:val="BodyText"/>
        <w:spacing w:line="276" w:lineRule="auto" w:before="299"/>
        <w:ind w:left="477" w:right="128"/>
        <w:jc w:val="both"/>
      </w:pPr>
      <w:r>
        <w:rPr/>
        <w:t>Detailed instructions for kombucha brewing can be found in the section ‘Pre- paring the kombucha tea’</w:t>
      </w:r>
    </w:p>
    <w:p>
      <w:pPr>
        <w:pStyle w:val="Heading1"/>
      </w:pPr>
      <w:r>
        <w:rPr/>
        <w:t>How do I store the kombucha</w:t>
      </w:r>
      <w:r>
        <w:rPr>
          <w:spacing w:val="-56"/>
        </w:rPr>
        <w:t> </w:t>
      </w:r>
      <w:r>
        <w:rPr/>
        <w:t>fungus?</w:t>
      </w:r>
    </w:p>
    <w:p>
      <w:pPr>
        <w:pStyle w:val="BodyText"/>
        <w:spacing w:line="276" w:lineRule="auto" w:before="300"/>
        <w:ind w:left="477" w:right="135"/>
        <w:jc w:val="both"/>
      </w:pPr>
      <w:r>
        <w:rPr/>
        <w:t>In general, it is advisable to brew the kombucha fungus promptly, because this allows you to provide the fungus with the best living conditions. If this is not possible,</w:t>
      </w:r>
      <w:r>
        <w:rPr>
          <w:spacing w:val="-9"/>
        </w:rPr>
        <w:t> </w:t>
      </w:r>
      <w:r>
        <w:rPr/>
        <w:t>you</w:t>
      </w:r>
      <w:r>
        <w:rPr>
          <w:spacing w:val="-7"/>
        </w:rPr>
        <w:t> </w:t>
      </w:r>
      <w:r>
        <w:rPr/>
        <w:t>can</w:t>
      </w:r>
      <w:r>
        <w:rPr>
          <w:spacing w:val="-6"/>
        </w:rPr>
        <w:t> </w:t>
      </w:r>
      <w:r>
        <w:rPr/>
        <w:t>store</w:t>
      </w:r>
      <w:r>
        <w:rPr>
          <w:spacing w:val="-7"/>
        </w:rPr>
        <w:t> </w:t>
      </w:r>
      <w:r>
        <w:rPr/>
        <w:t>it</w:t>
      </w:r>
      <w:r>
        <w:rPr>
          <w:spacing w:val="-8"/>
        </w:rPr>
        <w:t> </w:t>
      </w:r>
      <w:r>
        <w:rPr/>
        <w:t>in</w:t>
      </w:r>
      <w:r>
        <w:rPr>
          <w:spacing w:val="-6"/>
        </w:rPr>
        <w:t> </w:t>
      </w:r>
      <w:r>
        <w:rPr/>
        <w:t>a</w:t>
      </w:r>
      <w:r>
        <w:rPr>
          <w:spacing w:val="-10"/>
        </w:rPr>
        <w:t> </w:t>
      </w:r>
      <w:r>
        <w:rPr/>
        <w:t>sealed</w:t>
      </w:r>
      <w:r>
        <w:rPr>
          <w:spacing w:val="-7"/>
        </w:rPr>
        <w:t> </w:t>
      </w:r>
      <w:r>
        <w:rPr/>
        <w:t>container</w:t>
      </w:r>
      <w:r>
        <w:rPr>
          <w:spacing w:val="-7"/>
        </w:rPr>
        <w:t> </w:t>
      </w:r>
      <w:r>
        <w:rPr/>
        <w:t>together</w:t>
      </w:r>
      <w:r>
        <w:rPr>
          <w:spacing w:val="-6"/>
        </w:rPr>
        <w:t> </w:t>
      </w:r>
      <w:r>
        <w:rPr/>
        <w:t>with</w:t>
      </w:r>
      <w:r>
        <w:rPr>
          <w:spacing w:val="-6"/>
        </w:rPr>
        <w:t> </w:t>
      </w:r>
      <w:r>
        <w:rPr/>
        <w:t>the</w:t>
      </w:r>
      <w:r>
        <w:rPr>
          <w:spacing w:val="-5"/>
        </w:rPr>
        <w:t> </w:t>
      </w:r>
      <w:r>
        <w:rPr/>
        <w:t>starter</w:t>
      </w:r>
      <w:r>
        <w:rPr>
          <w:spacing w:val="-6"/>
        </w:rPr>
        <w:t> </w:t>
      </w:r>
      <w:r>
        <w:rPr/>
        <w:t>liquid</w:t>
      </w:r>
      <w:r>
        <w:rPr>
          <w:spacing w:val="-7"/>
        </w:rPr>
        <w:t> </w:t>
      </w:r>
      <w:r>
        <w:rPr/>
        <w:t>in</w:t>
      </w:r>
    </w:p>
    <w:p>
      <w:pPr>
        <w:spacing w:after="0" w:line="276" w:lineRule="auto"/>
        <w:jc w:val="both"/>
        <w:sectPr>
          <w:pgSz w:w="14270" w:h="16850"/>
          <w:pgMar w:header="0" w:footer="1891" w:top="1600" w:bottom="2080" w:left="800" w:right="1280"/>
        </w:sectPr>
      </w:pPr>
    </w:p>
    <w:p>
      <w:pPr>
        <w:pStyle w:val="BodyText"/>
        <w:spacing w:before="181"/>
        <w:ind w:left="477"/>
      </w:pPr>
      <w:r>
        <w:rPr/>
        <w:t>the refrigerator (at about 6-8 °C).</w:t>
      </w:r>
    </w:p>
    <w:p>
      <w:pPr>
        <w:pStyle w:val="Heading1"/>
        <w:spacing w:before="288"/>
      </w:pPr>
      <w:r>
        <w:rPr/>
        <w:t>Can I share the kombucha fungus?</w:t>
      </w:r>
    </w:p>
    <w:p>
      <w:pPr>
        <w:pStyle w:val="BodyText"/>
        <w:spacing w:line="276" w:lineRule="auto" w:before="299"/>
        <w:ind w:left="477" w:right="134"/>
        <w:jc w:val="both"/>
      </w:pPr>
      <w:r>
        <w:rPr/>
        <w:t>Kombucha grows and multiplies constantly; this provokes the idea of sharing the fungus regularly, in order to put it in several fermentation vessels or to</w:t>
      </w:r>
      <w:r>
        <w:rPr>
          <w:spacing w:val="-58"/>
        </w:rPr>
        <w:t> </w:t>
      </w:r>
      <w:r>
        <w:rPr/>
        <w:t>give it</w:t>
      </w:r>
      <w:r>
        <w:rPr>
          <w:spacing w:val="-20"/>
        </w:rPr>
        <w:t> </w:t>
      </w:r>
      <w:r>
        <w:rPr/>
        <w:t>to</w:t>
      </w:r>
      <w:r>
        <w:rPr>
          <w:spacing w:val="-18"/>
        </w:rPr>
        <w:t> </w:t>
      </w:r>
      <w:r>
        <w:rPr/>
        <w:t>friends</w:t>
      </w:r>
      <w:r>
        <w:rPr>
          <w:spacing w:val="-18"/>
        </w:rPr>
        <w:t> </w:t>
      </w:r>
      <w:r>
        <w:rPr/>
        <w:t>and</w:t>
      </w:r>
      <w:r>
        <w:rPr>
          <w:spacing w:val="-18"/>
        </w:rPr>
        <w:t> </w:t>
      </w:r>
      <w:r>
        <w:rPr/>
        <w:t>acquaintances.</w:t>
      </w:r>
      <w:r>
        <w:rPr>
          <w:spacing w:val="-18"/>
        </w:rPr>
        <w:t> </w:t>
      </w:r>
      <w:r>
        <w:rPr/>
        <w:t>Splitting</w:t>
      </w:r>
      <w:r>
        <w:rPr>
          <w:spacing w:val="-18"/>
        </w:rPr>
        <w:t> </w:t>
      </w:r>
      <w:r>
        <w:rPr/>
        <w:t>the</w:t>
      </w:r>
      <w:r>
        <w:rPr>
          <w:spacing w:val="-18"/>
        </w:rPr>
        <w:t> </w:t>
      </w:r>
      <w:r>
        <w:rPr/>
        <w:t>kombucha</w:t>
      </w:r>
      <w:r>
        <w:rPr>
          <w:spacing w:val="-19"/>
        </w:rPr>
        <w:t> </w:t>
      </w:r>
      <w:r>
        <w:rPr/>
        <w:t>fungus</w:t>
      </w:r>
      <w:r>
        <w:rPr>
          <w:spacing w:val="-19"/>
        </w:rPr>
        <w:t> </w:t>
      </w:r>
      <w:r>
        <w:rPr/>
        <w:t>is</w:t>
      </w:r>
      <w:r>
        <w:rPr>
          <w:spacing w:val="-17"/>
        </w:rPr>
        <w:t> </w:t>
      </w:r>
      <w:r>
        <w:rPr/>
        <w:t>not</w:t>
      </w:r>
      <w:r>
        <w:rPr>
          <w:spacing w:val="-19"/>
        </w:rPr>
        <w:t> </w:t>
      </w:r>
      <w:r>
        <w:rPr/>
        <w:t>a</w:t>
      </w:r>
      <w:r>
        <w:rPr>
          <w:spacing w:val="-19"/>
        </w:rPr>
        <w:t> </w:t>
      </w:r>
      <w:r>
        <w:rPr/>
        <w:t>problem, but</w:t>
      </w:r>
      <w:r>
        <w:rPr>
          <w:spacing w:val="-25"/>
        </w:rPr>
        <w:t> </w:t>
      </w:r>
      <w:r>
        <w:rPr/>
        <w:t>you</w:t>
      </w:r>
      <w:r>
        <w:rPr>
          <w:spacing w:val="-24"/>
        </w:rPr>
        <w:t> </w:t>
      </w:r>
      <w:r>
        <w:rPr/>
        <w:t>should</w:t>
      </w:r>
      <w:r>
        <w:rPr>
          <w:spacing w:val="-24"/>
        </w:rPr>
        <w:t> </w:t>
      </w:r>
      <w:r>
        <w:rPr/>
        <w:t>avoid</w:t>
      </w:r>
      <w:r>
        <w:rPr>
          <w:spacing w:val="-23"/>
        </w:rPr>
        <w:t> </w:t>
      </w:r>
      <w:r>
        <w:rPr/>
        <w:t>touching</w:t>
      </w:r>
      <w:r>
        <w:rPr>
          <w:spacing w:val="-22"/>
        </w:rPr>
        <w:t> </w:t>
      </w:r>
      <w:r>
        <w:rPr/>
        <w:t>the</w:t>
      </w:r>
      <w:r>
        <w:rPr>
          <w:spacing w:val="-23"/>
        </w:rPr>
        <w:t> </w:t>
      </w:r>
      <w:r>
        <w:rPr/>
        <w:t>fungus</w:t>
      </w:r>
      <w:r>
        <w:rPr>
          <w:spacing w:val="-23"/>
        </w:rPr>
        <w:t> </w:t>
      </w:r>
      <w:r>
        <w:rPr/>
        <w:t>with</w:t>
      </w:r>
      <w:r>
        <w:rPr>
          <w:spacing w:val="-21"/>
        </w:rPr>
        <w:t> </w:t>
      </w:r>
      <w:r>
        <w:rPr/>
        <w:t>metal!</w:t>
      </w:r>
      <w:r>
        <w:rPr>
          <w:spacing w:val="-22"/>
        </w:rPr>
        <w:t> </w:t>
      </w:r>
      <w:r>
        <w:rPr/>
        <w:t>For</w:t>
      </w:r>
      <w:r>
        <w:rPr>
          <w:spacing w:val="-21"/>
        </w:rPr>
        <w:t> </w:t>
      </w:r>
      <w:r>
        <w:rPr/>
        <w:t>cutting</w:t>
      </w:r>
      <w:r>
        <w:rPr>
          <w:spacing w:val="-21"/>
        </w:rPr>
        <w:t> </w:t>
      </w:r>
      <w:r>
        <w:rPr/>
        <w:t>the</w:t>
      </w:r>
      <w:r>
        <w:rPr>
          <w:spacing w:val="-22"/>
        </w:rPr>
        <w:t> </w:t>
      </w:r>
      <w:r>
        <w:rPr/>
        <w:t>kombucha you should therefore use a plastic knife or plastic</w:t>
      </w:r>
      <w:r>
        <w:rPr>
          <w:spacing w:val="-9"/>
        </w:rPr>
        <w:t> </w:t>
      </w:r>
      <w:r>
        <w:rPr/>
        <w:t>scissors.</w:t>
      </w:r>
    </w:p>
    <w:p>
      <w:pPr>
        <w:pStyle w:val="Heading1"/>
        <w:spacing w:before="223"/>
      </w:pPr>
      <w:r>
        <w:rPr/>
        <w:t>Where should I keep kombucha if I am going away?</w:t>
      </w:r>
    </w:p>
    <w:p>
      <w:pPr>
        <w:pStyle w:val="BodyText"/>
        <w:spacing w:line="276" w:lineRule="auto" w:before="299"/>
        <w:ind w:left="477" w:right="135"/>
        <w:jc w:val="both"/>
      </w:pPr>
      <w:r>
        <w:rPr/>
        <w:t>The easiest method is to put the fungus in a batch in the fridge (not in the freezer – it would die!); here, the fungus is not too active and can survive for a few</w:t>
      </w:r>
      <w:r>
        <w:rPr>
          <w:spacing w:val="-14"/>
        </w:rPr>
        <w:t> </w:t>
      </w:r>
      <w:r>
        <w:rPr/>
        <w:t>weeks</w:t>
      </w:r>
      <w:r>
        <w:rPr>
          <w:spacing w:val="-12"/>
        </w:rPr>
        <w:t> </w:t>
      </w:r>
      <w:r>
        <w:rPr/>
        <w:t>without</w:t>
      </w:r>
      <w:r>
        <w:rPr>
          <w:spacing w:val="-13"/>
        </w:rPr>
        <w:t> </w:t>
      </w:r>
      <w:r>
        <w:rPr/>
        <w:t>being</w:t>
      </w:r>
      <w:r>
        <w:rPr>
          <w:spacing w:val="-11"/>
        </w:rPr>
        <w:t> </w:t>
      </w:r>
      <w:r>
        <w:rPr/>
        <w:t>damaged.</w:t>
      </w:r>
      <w:r>
        <w:rPr>
          <w:spacing w:val="-11"/>
        </w:rPr>
        <w:t> </w:t>
      </w:r>
      <w:r>
        <w:rPr/>
        <w:t>Over</w:t>
      </w:r>
      <w:r>
        <w:rPr>
          <w:spacing w:val="-11"/>
        </w:rPr>
        <w:t> </w:t>
      </w:r>
      <w:r>
        <w:rPr/>
        <w:t>longer</w:t>
      </w:r>
      <w:r>
        <w:rPr>
          <w:spacing w:val="-14"/>
        </w:rPr>
        <w:t> </w:t>
      </w:r>
      <w:r>
        <w:rPr/>
        <w:t>periods</w:t>
      </w:r>
      <w:r>
        <w:rPr>
          <w:spacing w:val="-11"/>
        </w:rPr>
        <w:t> </w:t>
      </w:r>
      <w:r>
        <w:rPr/>
        <w:t>of</w:t>
      </w:r>
      <w:r>
        <w:rPr>
          <w:spacing w:val="-14"/>
        </w:rPr>
        <w:t> </w:t>
      </w:r>
      <w:r>
        <w:rPr/>
        <w:t>time,</w:t>
      </w:r>
      <w:r>
        <w:rPr>
          <w:spacing w:val="-13"/>
        </w:rPr>
        <w:t> </w:t>
      </w:r>
      <w:r>
        <w:rPr/>
        <w:t>the</w:t>
      </w:r>
      <w:r>
        <w:rPr>
          <w:spacing w:val="-12"/>
        </w:rPr>
        <w:t> </w:t>
      </w:r>
      <w:r>
        <w:rPr/>
        <w:t>fungus</w:t>
      </w:r>
      <w:r>
        <w:rPr>
          <w:spacing w:val="-12"/>
        </w:rPr>
        <w:t> </w:t>
      </w:r>
      <w:r>
        <w:rPr/>
        <w:t>will survive and will have produced a healthy vinegar in the</w:t>
      </w:r>
      <w:r>
        <w:rPr>
          <w:spacing w:val="-6"/>
        </w:rPr>
        <w:t> </w:t>
      </w:r>
      <w:r>
        <w:rPr/>
        <w:t>meantime!</w:t>
      </w:r>
    </w:p>
    <w:p>
      <w:pPr>
        <w:pStyle w:val="Heading1"/>
        <w:spacing w:line="261" w:lineRule="auto" w:before="222"/>
        <w:ind w:right="141"/>
        <w:jc w:val="both"/>
      </w:pPr>
      <w:r>
        <w:rPr/>
        <w:t>How</w:t>
      </w:r>
      <w:r>
        <w:rPr>
          <w:spacing w:val="-26"/>
        </w:rPr>
        <w:t> </w:t>
      </w:r>
      <w:r>
        <w:rPr/>
        <w:t>many</w:t>
      </w:r>
      <w:r>
        <w:rPr>
          <w:spacing w:val="-26"/>
        </w:rPr>
        <w:t> </w:t>
      </w:r>
      <w:r>
        <w:rPr/>
        <w:t>batches</w:t>
      </w:r>
      <w:r>
        <w:rPr>
          <w:spacing w:val="-26"/>
        </w:rPr>
        <w:t> </w:t>
      </w:r>
      <w:r>
        <w:rPr/>
        <w:t>can</w:t>
      </w:r>
      <w:r>
        <w:rPr>
          <w:spacing w:val="-27"/>
        </w:rPr>
        <w:t> </w:t>
      </w:r>
      <w:r>
        <w:rPr/>
        <w:t>I</w:t>
      </w:r>
      <w:r>
        <w:rPr>
          <w:spacing w:val="-26"/>
        </w:rPr>
        <w:t> </w:t>
      </w:r>
      <w:r>
        <w:rPr/>
        <w:t>make</w:t>
      </w:r>
      <w:r>
        <w:rPr>
          <w:spacing w:val="-26"/>
        </w:rPr>
        <w:t> </w:t>
      </w:r>
      <w:r>
        <w:rPr/>
        <w:t>with</w:t>
      </w:r>
      <w:r>
        <w:rPr>
          <w:spacing w:val="-27"/>
        </w:rPr>
        <w:t> </w:t>
      </w:r>
      <w:r>
        <w:rPr/>
        <w:t>one</w:t>
      </w:r>
      <w:r>
        <w:rPr>
          <w:spacing w:val="-26"/>
        </w:rPr>
        <w:t> </w:t>
      </w:r>
      <w:r>
        <w:rPr/>
        <w:t>and</w:t>
      </w:r>
      <w:r>
        <w:rPr>
          <w:spacing w:val="-27"/>
        </w:rPr>
        <w:t> </w:t>
      </w:r>
      <w:r>
        <w:rPr/>
        <w:t>the</w:t>
      </w:r>
      <w:r>
        <w:rPr>
          <w:spacing w:val="-26"/>
        </w:rPr>
        <w:t> </w:t>
      </w:r>
      <w:r>
        <w:rPr/>
        <w:t>same</w:t>
      </w:r>
      <w:r>
        <w:rPr>
          <w:spacing w:val="-27"/>
        </w:rPr>
        <w:t> </w:t>
      </w:r>
      <w:r>
        <w:rPr/>
        <w:t>kombucha</w:t>
      </w:r>
      <w:r>
        <w:rPr>
          <w:spacing w:val="-27"/>
        </w:rPr>
        <w:t> </w:t>
      </w:r>
      <w:r>
        <w:rPr/>
        <w:t>fun- gus?</w:t>
      </w:r>
    </w:p>
    <w:p>
      <w:pPr>
        <w:pStyle w:val="BodyText"/>
        <w:spacing w:line="276" w:lineRule="auto" w:before="260"/>
        <w:ind w:left="477" w:right="145"/>
        <w:jc w:val="both"/>
      </w:pPr>
      <w:r>
        <w:rPr/>
        <w:t>There are sometimes contradictory opinions on the internet; but the vast ma- jority of considered opinions agree: with good care, you may be lucky enough to use the same fungus for years!</w:t>
      </w:r>
    </w:p>
    <w:p>
      <w:pPr>
        <w:pStyle w:val="Heading1"/>
        <w:spacing w:before="225"/>
      </w:pPr>
      <w:r>
        <w:rPr/>
        <w:t>Does the kombucha drink contain</w:t>
      </w:r>
      <w:r>
        <w:rPr>
          <w:spacing w:val="-60"/>
        </w:rPr>
        <w:t> </w:t>
      </w:r>
      <w:r>
        <w:rPr/>
        <w:t>alcohol?</w:t>
      </w:r>
    </w:p>
    <w:p>
      <w:pPr>
        <w:pStyle w:val="BodyText"/>
        <w:spacing w:line="276" w:lineRule="auto" w:before="297"/>
        <w:ind w:left="477" w:right="134"/>
        <w:jc w:val="both"/>
      </w:pPr>
      <w:r>
        <w:rPr/>
        <w:t>Kombucha drink can contain up to 3 % alcohol (for comparison: the alcohol content of normal beer in the USA is usually 4.1-5,9 %). This depends, among</w:t>
      </w:r>
    </w:p>
    <w:p>
      <w:pPr>
        <w:spacing w:after="0" w:line="276" w:lineRule="auto"/>
        <w:jc w:val="both"/>
        <w:sectPr>
          <w:footerReference w:type="default" r:id="rId189"/>
          <w:pgSz w:w="14270" w:h="16850"/>
          <w:pgMar w:footer="1891" w:header="0" w:top="1600" w:bottom="2080" w:left="800" w:right="1280"/>
          <w:pgNumType w:start="780"/>
        </w:sectPr>
      </w:pPr>
    </w:p>
    <w:p>
      <w:pPr>
        <w:pStyle w:val="BodyText"/>
        <w:spacing w:line="276" w:lineRule="auto" w:before="181"/>
        <w:ind w:left="477"/>
      </w:pPr>
      <w:r>
        <w:rPr/>
        <w:t>other things, on the duration of fermentation and the activity of the fungus as well as its size and temperature.</w:t>
      </w:r>
    </w:p>
    <w:p>
      <w:pPr>
        <w:pStyle w:val="BodyText"/>
        <w:spacing w:line="276" w:lineRule="auto" w:before="241"/>
        <w:ind w:left="477"/>
      </w:pPr>
      <w:r>
        <w:rPr/>
        <w:t>This is also the reason why the kombucha tea is not suitable for alcoholics or recovered alcoholics!</w:t>
      </w:r>
    </w:p>
    <w:p>
      <w:pPr>
        <w:pStyle w:val="Heading1"/>
      </w:pPr>
      <w:r>
        <w:rPr/>
        <w:t>Is kombucha tea suitable for diabetics?</w:t>
      </w:r>
    </w:p>
    <w:p>
      <w:pPr>
        <w:pStyle w:val="BodyText"/>
        <w:spacing w:line="276" w:lineRule="auto" w:before="297"/>
        <w:ind w:left="477"/>
      </w:pPr>
      <w:r>
        <w:rPr/>
        <w:t>Prepared</w:t>
      </w:r>
      <w:r>
        <w:rPr>
          <w:spacing w:val="-15"/>
        </w:rPr>
        <w:t> </w:t>
      </w:r>
      <w:r>
        <w:rPr/>
        <w:t>kombucha</w:t>
      </w:r>
      <w:r>
        <w:rPr>
          <w:spacing w:val="-15"/>
        </w:rPr>
        <w:t> </w:t>
      </w:r>
      <w:r>
        <w:rPr/>
        <w:t>tea</w:t>
      </w:r>
      <w:r>
        <w:rPr>
          <w:spacing w:val="-15"/>
        </w:rPr>
        <w:t> </w:t>
      </w:r>
      <w:r>
        <w:rPr/>
        <w:t>still</w:t>
      </w:r>
      <w:r>
        <w:rPr>
          <w:spacing w:val="-16"/>
        </w:rPr>
        <w:t> </w:t>
      </w:r>
      <w:r>
        <w:rPr/>
        <w:t>contains</w:t>
      </w:r>
      <w:r>
        <w:rPr>
          <w:spacing w:val="-14"/>
        </w:rPr>
        <w:t> </w:t>
      </w:r>
      <w:r>
        <w:rPr/>
        <w:t>about</w:t>
      </w:r>
      <w:r>
        <w:rPr>
          <w:spacing w:val="-16"/>
        </w:rPr>
        <w:t> </w:t>
      </w:r>
      <w:r>
        <w:rPr/>
        <w:t>as</w:t>
      </w:r>
      <w:r>
        <w:rPr>
          <w:spacing w:val="-15"/>
        </w:rPr>
        <w:t> </w:t>
      </w:r>
      <w:r>
        <w:rPr/>
        <w:t>much</w:t>
      </w:r>
      <w:r>
        <w:rPr>
          <w:spacing w:val="-13"/>
        </w:rPr>
        <w:t> </w:t>
      </w:r>
      <w:r>
        <w:rPr/>
        <w:t>sugar</w:t>
      </w:r>
      <w:r>
        <w:rPr>
          <w:spacing w:val="-13"/>
        </w:rPr>
        <w:t> </w:t>
      </w:r>
      <w:r>
        <w:rPr/>
        <w:t>as</w:t>
      </w:r>
      <w:r>
        <w:rPr>
          <w:spacing w:val="-17"/>
        </w:rPr>
        <w:t> </w:t>
      </w:r>
      <w:r>
        <w:rPr/>
        <w:t>fruit</w:t>
      </w:r>
      <w:r>
        <w:rPr>
          <w:spacing w:val="-18"/>
        </w:rPr>
        <w:t> </w:t>
      </w:r>
      <w:r>
        <w:rPr/>
        <w:t>juice.</w:t>
      </w:r>
      <w:r>
        <w:rPr>
          <w:spacing w:val="-14"/>
        </w:rPr>
        <w:t> </w:t>
      </w:r>
      <w:r>
        <w:rPr/>
        <w:t>Diabet- ics can drink kombucha tea, but must include this in their balance</w:t>
      </w:r>
      <w:r>
        <w:rPr>
          <w:spacing w:val="-7"/>
        </w:rPr>
        <w:t> </w:t>
      </w:r>
      <w:r>
        <w:rPr/>
        <w:t>sheet.</w:t>
      </w:r>
    </w:p>
    <w:p>
      <w:pPr>
        <w:pStyle w:val="BodyText"/>
        <w:spacing w:line="276" w:lineRule="auto" w:before="241"/>
        <w:ind w:left="477" w:right="132"/>
        <w:jc w:val="both"/>
      </w:pPr>
      <w:r>
        <w:rPr/>
        <w:t>It is best to brew the tea for about 12 days and longer, because then the sugar is almost completely degraded. There are reviews and therapeutic reports in which kombucha tea aided diabetes.</w:t>
      </w:r>
    </w:p>
    <w:p>
      <w:pPr>
        <w:pStyle w:val="BodyText"/>
        <w:rPr>
          <w:sz w:val="42"/>
        </w:rPr>
      </w:pPr>
    </w:p>
    <w:p>
      <w:pPr>
        <w:pStyle w:val="BodyText"/>
        <w:spacing w:before="9"/>
        <w:rPr>
          <w:sz w:val="42"/>
        </w:rPr>
      </w:pPr>
    </w:p>
    <w:p>
      <w:pPr>
        <w:pStyle w:val="Heading1"/>
        <w:spacing w:before="0"/>
      </w:pPr>
      <w:r>
        <w:rPr/>
        <w:t>Can children drink kombucha tea as</w:t>
      </w:r>
      <w:r>
        <w:rPr>
          <w:spacing w:val="-63"/>
        </w:rPr>
        <w:t> </w:t>
      </w:r>
      <w:r>
        <w:rPr/>
        <w:t>well?</w:t>
      </w:r>
    </w:p>
    <w:p>
      <w:pPr>
        <w:pStyle w:val="BodyText"/>
        <w:spacing w:line="276" w:lineRule="auto" w:before="299"/>
        <w:ind w:left="477" w:right="135"/>
        <w:jc w:val="both"/>
      </w:pPr>
      <w:r>
        <w:rPr/>
        <w:t>Due</w:t>
      </w:r>
      <w:r>
        <w:rPr>
          <w:spacing w:val="-11"/>
        </w:rPr>
        <w:t> </w:t>
      </w:r>
      <w:r>
        <w:rPr/>
        <w:t>to</w:t>
      </w:r>
      <w:r>
        <w:rPr>
          <w:spacing w:val="-9"/>
        </w:rPr>
        <w:t> </w:t>
      </w:r>
      <w:r>
        <w:rPr/>
        <w:t>the</w:t>
      </w:r>
      <w:r>
        <w:rPr>
          <w:spacing w:val="-9"/>
        </w:rPr>
        <w:t> </w:t>
      </w:r>
      <w:r>
        <w:rPr/>
        <w:t>small,</w:t>
      </w:r>
      <w:r>
        <w:rPr>
          <w:spacing w:val="-8"/>
        </w:rPr>
        <w:t> </w:t>
      </w:r>
      <w:r>
        <w:rPr/>
        <w:t>yet</w:t>
      </w:r>
      <w:r>
        <w:rPr>
          <w:spacing w:val="-10"/>
        </w:rPr>
        <w:t> </w:t>
      </w:r>
      <w:r>
        <w:rPr/>
        <w:t>present</w:t>
      </w:r>
      <w:r>
        <w:rPr>
          <w:spacing w:val="-10"/>
        </w:rPr>
        <w:t> </w:t>
      </w:r>
      <w:r>
        <w:rPr/>
        <w:t>alcohol</w:t>
      </w:r>
      <w:r>
        <w:rPr>
          <w:spacing w:val="-10"/>
        </w:rPr>
        <w:t> </w:t>
      </w:r>
      <w:r>
        <w:rPr/>
        <w:t>content</w:t>
      </w:r>
      <w:r>
        <w:rPr>
          <w:spacing w:val="-10"/>
        </w:rPr>
        <w:t> </w:t>
      </w:r>
      <w:r>
        <w:rPr/>
        <w:t>in</w:t>
      </w:r>
      <w:r>
        <w:rPr>
          <w:spacing w:val="-9"/>
        </w:rPr>
        <w:t> </w:t>
      </w:r>
      <w:r>
        <w:rPr/>
        <w:t>the</w:t>
      </w:r>
      <w:r>
        <w:rPr>
          <w:spacing w:val="-10"/>
        </w:rPr>
        <w:t> </w:t>
      </w:r>
      <w:r>
        <w:rPr/>
        <w:t>kombucha,</w:t>
      </w:r>
      <w:r>
        <w:rPr>
          <w:spacing w:val="-9"/>
        </w:rPr>
        <w:t> </w:t>
      </w:r>
      <w:r>
        <w:rPr/>
        <w:t>children</w:t>
      </w:r>
      <w:r>
        <w:rPr>
          <w:spacing w:val="-10"/>
        </w:rPr>
        <w:t> </w:t>
      </w:r>
      <w:r>
        <w:rPr/>
        <w:t>should consume a maximum of one cup (125 ml) per day, preferably split throughout the</w:t>
      </w:r>
      <w:r>
        <w:rPr>
          <w:spacing w:val="1"/>
        </w:rPr>
        <w:t> </w:t>
      </w:r>
      <w:r>
        <w:rPr/>
        <w:t>day.</w:t>
      </w:r>
    </w:p>
    <w:p>
      <w:pPr>
        <w:pStyle w:val="Heading1"/>
      </w:pPr>
      <w:r>
        <w:rPr/>
        <w:t>Can pregnant women drink kombucha</w:t>
      </w:r>
      <w:r>
        <w:rPr>
          <w:spacing w:val="-58"/>
        </w:rPr>
        <w:t> </w:t>
      </w:r>
      <w:r>
        <w:rPr/>
        <w:t>tea?</w:t>
      </w:r>
    </w:p>
    <w:p>
      <w:pPr>
        <w:pStyle w:val="BodyText"/>
        <w:spacing w:line="276" w:lineRule="auto" w:before="300"/>
        <w:ind w:left="477"/>
      </w:pPr>
      <w:r>
        <w:rPr/>
        <w:t>Due</w:t>
      </w:r>
      <w:r>
        <w:rPr>
          <w:spacing w:val="-13"/>
        </w:rPr>
        <w:t> </w:t>
      </w:r>
      <w:r>
        <w:rPr/>
        <w:t>to</w:t>
      </w:r>
      <w:r>
        <w:rPr>
          <w:spacing w:val="-12"/>
        </w:rPr>
        <w:t> </w:t>
      </w:r>
      <w:r>
        <w:rPr/>
        <w:t>the</w:t>
      </w:r>
      <w:r>
        <w:rPr>
          <w:spacing w:val="-13"/>
        </w:rPr>
        <w:t> </w:t>
      </w:r>
      <w:r>
        <w:rPr/>
        <w:t>alcohol</w:t>
      </w:r>
      <w:r>
        <w:rPr>
          <w:spacing w:val="-14"/>
        </w:rPr>
        <w:t> </w:t>
      </w:r>
      <w:r>
        <w:rPr/>
        <w:t>content,</w:t>
      </w:r>
      <w:r>
        <w:rPr>
          <w:spacing w:val="-12"/>
        </w:rPr>
        <w:t> </w:t>
      </w:r>
      <w:r>
        <w:rPr/>
        <w:t>women</w:t>
      </w:r>
      <w:r>
        <w:rPr>
          <w:spacing w:val="-11"/>
        </w:rPr>
        <w:t> </w:t>
      </w:r>
      <w:r>
        <w:rPr/>
        <w:t>should</w:t>
      </w:r>
      <w:r>
        <w:rPr>
          <w:spacing w:val="-13"/>
        </w:rPr>
        <w:t> </w:t>
      </w:r>
      <w:r>
        <w:rPr/>
        <w:t>not</w:t>
      </w:r>
      <w:r>
        <w:rPr>
          <w:spacing w:val="-15"/>
        </w:rPr>
        <w:t> </w:t>
      </w:r>
      <w:r>
        <w:rPr/>
        <w:t>take</w:t>
      </w:r>
      <w:r>
        <w:rPr>
          <w:spacing w:val="-12"/>
        </w:rPr>
        <w:t> </w:t>
      </w:r>
      <w:r>
        <w:rPr/>
        <w:t>kombucha</w:t>
      </w:r>
      <w:r>
        <w:rPr>
          <w:spacing w:val="-14"/>
        </w:rPr>
        <w:t> </w:t>
      </w:r>
      <w:r>
        <w:rPr/>
        <w:t>tea</w:t>
      </w:r>
      <w:r>
        <w:rPr>
          <w:spacing w:val="-13"/>
        </w:rPr>
        <w:t> </w:t>
      </w:r>
      <w:r>
        <w:rPr/>
        <w:t>during</w:t>
      </w:r>
      <w:r>
        <w:rPr>
          <w:spacing w:val="-12"/>
        </w:rPr>
        <w:t> </w:t>
      </w:r>
      <w:r>
        <w:rPr/>
        <w:t>preg- nancy.</w:t>
      </w:r>
    </w:p>
    <w:p>
      <w:pPr>
        <w:pStyle w:val="Heading1"/>
        <w:spacing w:before="221"/>
        <w:jc w:val="both"/>
      </w:pPr>
      <w:r>
        <w:rPr/>
        <w:t>Where should the kombucha fungus go in the fermentation glass?</w:t>
      </w:r>
    </w:p>
    <w:p>
      <w:pPr>
        <w:spacing w:after="0"/>
        <w:jc w:val="both"/>
        <w:sectPr>
          <w:pgSz w:w="14270" w:h="16850"/>
          <w:pgMar w:header="0" w:footer="1891" w:top="1600" w:bottom="2080" w:left="800" w:right="1280"/>
        </w:sectPr>
      </w:pPr>
    </w:p>
    <w:p>
      <w:pPr>
        <w:pStyle w:val="BodyText"/>
        <w:spacing w:line="276" w:lineRule="auto" w:before="181"/>
        <w:ind w:left="477" w:right="133"/>
        <w:jc w:val="both"/>
      </w:pPr>
      <w:r>
        <w:rPr/>
        <w:t>Normally, there are two legitimate options: the fungus may swim or submerge on top of the surface. If it floats on top, another fungus forms on its surface (‘kombucha</w:t>
      </w:r>
      <w:r>
        <w:rPr>
          <w:spacing w:val="-9"/>
        </w:rPr>
        <w:t> </w:t>
      </w:r>
      <w:r>
        <w:rPr/>
        <w:t>baby’);</w:t>
      </w:r>
      <w:r>
        <w:rPr>
          <w:spacing w:val="-10"/>
        </w:rPr>
        <w:t> </w:t>
      </w:r>
      <w:r>
        <w:rPr/>
        <w:t>this</w:t>
      </w:r>
      <w:r>
        <w:rPr>
          <w:spacing w:val="-8"/>
        </w:rPr>
        <w:t> </w:t>
      </w:r>
      <w:r>
        <w:rPr/>
        <w:t>submerges,</w:t>
      </w:r>
      <w:r>
        <w:rPr>
          <w:spacing w:val="-8"/>
        </w:rPr>
        <w:t> </w:t>
      </w:r>
      <w:r>
        <w:rPr/>
        <w:t>then</w:t>
      </w:r>
      <w:r>
        <w:rPr>
          <w:spacing w:val="-8"/>
        </w:rPr>
        <w:t> </w:t>
      </w:r>
      <w:r>
        <w:rPr/>
        <w:t>forms</w:t>
      </w:r>
      <w:r>
        <w:rPr>
          <w:spacing w:val="-9"/>
        </w:rPr>
        <w:t> </w:t>
      </w:r>
      <w:r>
        <w:rPr/>
        <w:t>another</w:t>
      </w:r>
      <w:r>
        <w:rPr>
          <w:spacing w:val="-8"/>
        </w:rPr>
        <w:t> </w:t>
      </w:r>
      <w:r>
        <w:rPr/>
        <w:t>mushroom</w:t>
      </w:r>
      <w:r>
        <w:rPr>
          <w:spacing w:val="-9"/>
        </w:rPr>
        <w:t> </w:t>
      </w:r>
      <w:r>
        <w:rPr/>
        <w:t>on</w:t>
      </w:r>
      <w:r>
        <w:rPr>
          <w:spacing w:val="-8"/>
        </w:rPr>
        <w:t> </w:t>
      </w:r>
      <w:r>
        <w:rPr/>
        <w:t>the</w:t>
      </w:r>
      <w:r>
        <w:rPr>
          <w:spacing w:val="-8"/>
        </w:rPr>
        <w:t> </w:t>
      </w:r>
      <w:r>
        <w:rPr/>
        <w:t>tea’s surface.</w:t>
      </w:r>
    </w:p>
    <w:p>
      <w:pPr>
        <w:pStyle w:val="BodyText"/>
        <w:spacing w:line="276" w:lineRule="auto" w:before="242"/>
        <w:ind w:left="477" w:right="133"/>
        <w:jc w:val="both"/>
      </w:pPr>
      <w:r>
        <w:rPr/>
        <w:t>In</w:t>
      </w:r>
      <w:r>
        <w:rPr>
          <w:spacing w:val="-18"/>
        </w:rPr>
        <w:t> </w:t>
      </w:r>
      <w:r>
        <w:rPr/>
        <w:t>the</w:t>
      </w:r>
      <w:r>
        <w:rPr>
          <w:spacing w:val="-17"/>
        </w:rPr>
        <w:t> </w:t>
      </w:r>
      <w:r>
        <w:rPr/>
        <w:t>next</w:t>
      </w:r>
      <w:r>
        <w:rPr>
          <w:spacing w:val="-20"/>
        </w:rPr>
        <w:t> </w:t>
      </w:r>
      <w:r>
        <w:rPr/>
        <w:t>few</w:t>
      </w:r>
      <w:r>
        <w:rPr>
          <w:spacing w:val="-19"/>
        </w:rPr>
        <w:t> </w:t>
      </w:r>
      <w:r>
        <w:rPr/>
        <w:t>days,</w:t>
      </w:r>
      <w:r>
        <w:rPr>
          <w:spacing w:val="-18"/>
        </w:rPr>
        <w:t> </w:t>
      </w:r>
      <w:r>
        <w:rPr/>
        <w:t>you</w:t>
      </w:r>
      <w:r>
        <w:rPr>
          <w:spacing w:val="-19"/>
        </w:rPr>
        <w:t> </w:t>
      </w:r>
      <w:r>
        <w:rPr/>
        <w:t>should</w:t>
      </w:r>
      <w:r>
        <w:rPr>
          <w:spacing w:val="-19"/>
        </w:rPr>
        <w:t> </w:t>
      </w:r>
      <w:r>
        <w:rPr/>
        <w:t>avoid</w:t>
      </w:r>
      <w:r>
        <w:rPr>
          <w:spacing w:val="-18"/>
        </w:rPr>
        <w:t> </w:t>
      </w:r>
      <w:r>
        <w:rPr/>
        <w:t>touching</w:t>
      </w:r>
      <w:r>
        <w:rPr>
          <w:spacing w:val="-18"/>
        </w:rPr>
        <w:t> </w:t>
      </w:r>
      <w:r>
        <w:rPr/>
        <w:t>the</w:t>
      </w:r>
      <w:r>
        <w:rPr>
          <w:spacing w:val="-19"/>
        </w:rPr>
        <w:t> </w:t>
      </w:r>
      <w:r>
        <w:rPr/>
        <w:t>glass,</w:t>
      </w:r>
      <w:r>
        <w:rPr>
          <w:spacing w:val="-17"/>
        </w:rPr>
        <w:t> </w:t>
      </w:r>
      <w:r>
        <w:rPr/>
        <w:t>so</w:t>
      </w:r>
      <w:r>
        <w:rPr>
          <w:spacing w:val="-19"/>
        </w:rPr>
        <w:t> </w:t>
      </w:r>
      <w:r>
        <w:rPr/>
        <w:t>that</w:t>
      </w:r>
      <w:r>
        <w:rPr>
          <w:spacing w:val="-18"/>
        </w:rPr>
        <w:t> </w:t>
      </w:r>
      <w:r>
        <w:rPr/>
        <w:t>the</w:t>
      </w:r>
      <w:r>
        <w:rPr>
          <w:spacing w:val="-17"/>
        </w:rPr>
        <w:t> </w:t>
      </w:r>
      <w:r>
        <w:rPr/>
        <w:t>kombucha baby</w:t>
      </w:r>
      <w:r>
        <w:rPr>
          <w:spacing w:val="-9"/>
        </w:rPr>
        <w:t> </w:t>
      </w:r>
      <w:r>
        <w:rPr/>
        <w:t>can</w:t>
      </w:r>
      <w:r>
        <w:rPr>
          <w:spacing w:val="-7"/>
        </w:rPr>
        <w:t> </w:t>
      </w:r>
      <w:r>
        <w:rPr/>
        <w:t>develop.</w:t>
      </w:r>
      <w:r>
        <w:rPr>
          <w:spacing w:val="-7"/>
        </w:rPr>
        <w:t> </w:t>
      </w:r>
      <w:r>
        <w:rPr/>
        <w:t>This</w:t>
      </w:r>
      <w:r>
        <w:rPr>
          <w:spacing w:val="-8"/>
        </w:rPr>
        <w:t> </w:t>
      </w:r>
      <w:r>
        <w:rPr/>
        <w:t>will</w:t>
      </w:r>
      <w:r>
        <w:rPr>
          <w:spacing w:val="-10"/>
        </w:rPr>
        <w:t> </w:t>
      </w:r>
      <w:r>
        <w:rPr/>
        <w:t>allow</w:t>
      </w:r>
      <w:r>
        <w:rPr>
          <w:spacing w:val="-9"/>
        </w:rPr>
        <w:t> </w:t>
      </w:r>
      <w:r>
        <w:rPr/>
        <w:t>you</w:t>
      </w:r>
      <w:r>
        <w:rPr>
          <w:spacing w:val="-9"/>
        </w:rPr>
        <w:t> </w:t>
      </w:r>
      <w:r>
        <w:rPr/>
        <w:t>to</w:t>
      </w:r>
      <w:r>
        <w:rPr>
          <w:spacing w:val="-8"/>
        </w:rPr>
        <w:t> </w:t>
      </w:r>
      <w:r>
        <w:rPr/>
        <w:t>breed</w:t>
      </w:r>
      <w:r>
        <w:rPr>
          <w:spacing w:val="-9"/>
        </w:rPr>
        <w:t> </w:t>
      </w:r>
      <w:r>
        <w:rPr/>
        <w:t>another</w:t>
      </w:r>
      <w:r>
        <w:rPr>
          <w:spacing w:val="-7"/>
        </w:rPr>
        <w:t> </w:t>
      </w:r>
      <w:r>
        <w:rPr/>
        <w:t>kombucha</w:t>
      </w:r>
      <w:r>
        <w:rPr>
          <w:spacing w:val="-9"/>
        </w:rPr>
        <w:t> </w:t>
      </w:r>
      <w:r>
        <w:rPr/>
        <w:t>fungus</w:t>
      </w:r>
      <w:r>
        <w:rPr>
          <w:spacing w:val="-8"/>
        </w:rPr>
        <w:t> </w:t>
      </w:r>
      <w:r>
        <w:rPr/>
        <w:t>–</w:t>
      </w:r>
      <w:r>
        <w:rPr>
          <w:spacing w:val="-10"/>
        </w:rPr>
        <w:t> </w:t>
      </w:r>
      <w:r>
        <w:rPr/>
        <w:t>use it yourself or give it to someone you know!</w:t>
      </w:r>
    </w:p>
    <w:p>
      <w:pPr>
        <w:pStyle w:val="BodyText"/>
        <w:spacing w:line="276" w:lineRule="auto" w:before="239"/>
        <w:ind w:left="477" w:right="139"/>
        <w:jc w:val="both"/>
      </w:pPr>
      <w:r>
        <w:rPr/>
        <w:t>What you should ensure is that the mushroom does not grow so much that it grows upwards out of the tea due to. It would dry out and die. If the fungus is too big, put it in a larger fermentation vessel or cut it with a plastic knife!</w:t>
      </w:r>
    </w:p>
    <w:p>
      <w:pPr>
        <w:pStyle w:val="Heading1"/>
        <w:jc w:val="both"/>
      </w:pPr>
      <w:r>
        <w:rPr/>
        <w:t>What should you do if the kombucha forms mould?</w:t>
      </w:r>
    </w:p>
    <w:p>
      <w:pPr>
        <w:pStyle w:val="BodyText"/>
        <w:spacing w:line="276" w:lineRule="auto" w:before="297"/>
        <w:ind w:left="477" w:right="135"/>
        <w:jc w:val="both"/>
      </w:pPr>
      <w:r>
        <w:rPr/>
        <w:t>Young fungi are particularly dependent on hygiene, an optimal temperature (about 25 °C) and protection against mould sprouts. Rarely, but every now</w:t>
      </w:r>
      <w:r>
        <w:rPr>
          <w:spacing w:val="-64"/>
        </w:rPr>
        <w:t> </w:t>
      </w:r>
      <w:r>
        <w:rPr/>
        <w:t>and then, there is a moment of carelessness and the fungus forms mould on the surface. First of all, you should keep calm and check whether it is actually mould; the typical mouldy hair must be visible!</w:t>
      </w:r>
    </w:p>
    <w:p>
      <w:pPr>
        <w:pStyle w:val="BodyText"/>
        <w:spacing w:line="276" w:lineRule="auto" w:before="242"/>
        <w:ind w:left="477" w:right="131"/>
        <w:jc w:val="both"/>
      </w:pPr>
      <w:r>
        <w:rPr/>
        <w:t>If you have discovered the mould as such, you can try to save the kombucha fungus: Pour the drink away, wipe the mould from the kombucha and put the kombucha in a little vinegar. With a bit of luck, the mould will be history – but if it comes back, you have to discard your kombucha. You should always be prepared for such scenarios and breed a replacement fungus in parallel.</w:t>
      </w:r>
    </w:p>
    <w:p>
      <w:pPr>
        <w:spacing w:after="0" w:line="276" w:lineRule="auto"/>
        <w:jc w:val="both"/>
        <w:sectPr>
          <w:pgSz w:w="14270" w:h="16850"/>
          <w:pgMar w:header="0" w:footer="1891" w:top="1600" w:bottom="2080" w:left="800" w:right="1280"/>
        </w:sectPr>
      </w:pPr>
    </w:p>
    <w:p>
      <w:pPr>
        <w:pStyle w:val="Heading2"/>
        <w:spacing w:before="181"/>
      </w:pPr>
      <w:r>
        <w:rPr/>
        <w:t>Book recommendations</w:t>
      </w:r>
    </w:p>
    <w:p>
      <w:pPr>
        <w:pStyle w:val="BodyText"/>
        <w:spacing w:before="305"/>
        <w:ind w:left="477"/>
      </w:pPr>
      <w:r>
        <w:rPr/>
        <w:t>The following books on kombucha are highly recommended:</w:t>
      </w:r>
    </w:p>
    <w:p>
      <w:pPr>
        <w:spacing w:before="304"/>
        <w:ind w:left="477" w:right="0" w:firstLine="0"/>
        <w:jc w:val="left"/>
        <w:rPr>
          <w:i/>
          <w:sz w:val="38"/>
        </w:rPr>
      </w:pPr>
      <w:r>
        <w:rPr>
          <w:i/>
          <w:sz w:val="38"/>
        </w:rPr>
        <w:t>‘Kombucha – Mythos, Wahrheit, Faszination’ (‘Kombucha – Myth, Truth, Fascination’)</w:t>
      </w:r>
    </w:p>
    <w:p>
      <w:pPr>
        <w:pStyle w:val="BodyText"/>
        <w:spacing w:before="65"/>
        <w:ind w:left="477"/>
      </w:pPr>
      <w:r>
        <w:rPr/>
        <w:t>by Günther W. Frank (the classic, which you may have read!)</w:t>
      </w:r>
    </w:p>
    <w:p>
      <w:pPr>
        <w:spacing w:line="276" w:lineRule="auto" w:before="304"/>
        <w:ind w:left="477" w:right="0" w:firstLine="0"/>
        <w:jc w:val="left"/>
        <w:rPr>
          <w:sz w:val="38"/>
        </w:rPr>
      </w:pPr>
      <w:r>
        <w:rPr>
          <w:i/>
          <w:sz w:val="38"/>
        </w:rPr>
        <w:t>Kombucha – geballte Heilkraft aus der Natur ‘Kombucha – Concentrated Healing Power </w:t>
      </w:r>
      <w:r>
        <w:rPr>
          <w:i/>
          <w:sz w:val="38"/>
        </w:rPr>
        <w:t>from Nature’ </w:t>
      </w:r>
      <w:r>
        <w:rPr>
          <w:sz w:val="38"/>
        </w:rPr>
        <w:t>by Dr. Günter Harnisch</w:t>
      </w:r>
    </w:p>
    <w:p>
      <w:pPr>
        <w:spacing w:before="239"/>
        <w:ind w:left="477" w:right="0" w:firstLine="0"/>
        <w:jc w:val="left"/>
        <w:rPr>
          <w:sz w:val="38"/>
        </w:rPr>
      </w:pPr>
      <w:r>
        <w:rPr>
          <w:sz w:val="38"/>
        </w:rPr>
        <w:t>‘</w:t>
      </w:r>
      <w:r>
        <w:rPr>
          <w:i/>
          <w:sz w:val="38"/>
        </w:rPr>
        <w:t>Teepilz Kombucha’ </w:t>
      </w:r>
      <w:r>
        <w:rPr>
          <w:sz w:val="38"/>
        </w:rPr>
        <w:t>(‘Kombucha Tea Fungus’) by R. Fasching</w:t>
      </w:r>
    </w:p>
    <w:p>
      <w:pPr>
        <w:pStyle w:val="BodyText"/>
        <w:rPr>
          <w:sz w:val="42"/>
        </w:rPr>
      </w:pPr>
    </w:p>
    <w:p>
      <w:pPr>
        <w:pStyle w:val="BodyText"/>
        <w:rPr>
          <w:sz w:val="42"/>
        </w:rPr>
      </w:pPr>
    </w:p>
    <w:p>
      <w:pPr>
        <w:spacing w:before="321"/>
        <w:ind w:left="477" w:right="0" w:firstLine="0"/>
        <w:jc w:val="left"/>
        <w:rPr>
          <w:rFonts w:ascii="Cambria" w:hAnsi="Cambria"/>
          <w:b/>
          <w:sz w:val="28"/>
        </w:rPr>
      </w:pPr>
      <w:r>
        <w:rPr>
          <w:rFonts w:ascii="Cambria" w:hAnsi="Cambria"/>
          <w:b/>
          <w:color w:val="365F91"/>
          <w:sz w:val="28"/>
        </w:rPr>
        <w:t>LAETRILE – VITAMIN B17</w:t>
      </w:r>
    </w:p>
    <w:p>
      <w:pPr>
        <w:pStyle w:val="BodyText"/>
        <w:rPr>
          <w:rFonts w:ascii="Cambria"/>
          <w:b/>
          <w:sz w:val="45"/>
        </w:rPr>
      </w:pPr>
    </w:p>
    <w:p>
      <w:pPr>
        <w:pStyle w:val="Heading2"/>
      </w:pPr>
      <w:r>
        <w:rPr/>
        <w:t>Laetrile (vitamin B17) – a natural remedy for cancer?</w:t>
      </w:r>
    </w:p>
    <w:p>
      <w:pPr>
        <w:pStyle w:val="BodyText"/>
        <w:spacing w:line="276" w:lineRule="auto" w:before="305"/>
        <w:ind w:left="477" w:right="282"/>
      </w:pPr>
      <w:r>
        <w:rPr/>
        <w:t>To this day, the disease ‘cancer‘ represents a form of horror beyond compare, with increasing significance – and yet, it does not have to be this way at all.</w:t>
      </w:r>
    </w:p>
    <w:p>
      <w:pPr>
        <w:pStyle w:val="BodyText"/>
        <w:spacing w:line="276" w:lineRule="auto"/>
        <w:ind w:left="477" w:right="299"/>
      </w:pPr>
      <w:r>
        <w:rPr/>
        <w:t>One in three people is diagnosed with cancer, while one in four dies of it. Fu- ture prospects look anything but rosy, with the World Health Organization (WHO) expecting new cases to go up by 70 % in the coming years...!</w:t>
      </w:r>
    </w:p>
    <w:p>
      <w:pPr>
        <w:pStyle w:val="BodyText"/>
        <w:spacing w:before="8"/>
        <w:rPr>
          <w:sz w:val="43"/>
        </w:rPr>
      </w:pPr>
    </w:p>
    <w:p>
      <w:pPr>
        <w:pStyle w:val="BodyText"/>
        <w:spacing w:line="276" w:lineRule="auto"/>
        <w:ind w:left="477" w:right="331"/>
      </w:pPr>
      <w:r>
        <w:rPr/>
        <w:t>A scourge of modern humanity, which would no longer exist in this form if only conventional medicine would finally cooperate with alternative medicine and take a complementary approach, making it an equal partner.</w:t>
      </w:r>
    </w:p>
    <w:p>
      <w:pPr>
        <w:spacing w:after="0" w:line="276" w:lineRule="auto"/>
        <w:sectPr>
          <w:pgSz w:w="14270" w:h="16850"/>
          <w:pgMar w:header="0" w:footer="1891" w:top="1600" w:bottom="2080" w:left="800" w:right="1280"/>
        </w:sectPr>
      </w:pPr>
    </w:p>
    <w:p>
      <w:pPr>
        <w:pStyle w:val="BodyText"/>
        <w:spacing w:line="276" w:lineRule="auto" w:before="181"/>
        <w:ind w:left="477" w:right="294"/>
        <w:jc w:val="both"/>
      </w:pPr>
      <w:r>
        <w:rPr/>
        <w:t>However, the interests of the powerful Big Pharma and the established medi- cal profession clash with this notion, since natural substances are not patenta- ble and their global use simply does not pay off financially!</w:t>
      </w:r>
    </w:p>
    <w:p>
      <w:pPr>
        <w:pStyle w:val="BodyText"/>
        <w:spacing w:before="10"/>
        <w:rPr>
          <w:sz w:val="43"/>
        </w:rPr>
      </w:pPr>
    </w:p>
    <w:p>
      <w:pPr>
        <w:pStyle w:val="BodyText"/>
        <w:spacing w:line="276" w:lineRule="auto"/>
        <w:ind w:left="477" w:right="271"/>
      </w:pPr>
      <w:r>
        <w:rPr/>
        <w:t>Undoubtedly, one of these extremely effective natural substances, largely kept from the public, against which the worst campaign of opposition was waged, is laetrile, an active ingredient derived from bitter apricot kernels, also known by the synonym ‘vitamin B17’.</w:t>
      </w:r>
    </w:p>
    <w:p>
      <w:pPr>
        <w:pStyle w:val="BodyText"/>
        <w:spacing w:before="8"/>
        <w:rPr>
          <w:sz w:val="43"/>
        </w:rPr>
      </w:pPr>
    </w:p>
    <w:p>
      <w:pPr>
        <w:pStyle w:val="BodyText"/>
        <w:spacing w:line="276" w:lineRule="auto"/>
        <w:ind w:left="477" w:right="134"/>
        <w:jc w:val="both"/>
      </w:pPr>
      <w:r>
        <w:rPr/>
        <w:t>Laetrile,</w:t>
      </w:r>
      <w:r>
        <w:rPr>
          <w:spacing w:val="-10"/>
        </w:rPr>
        <w:t> </w:t>
      </w:r>
      <w:r>
        <w:rPr/>
        <w:t>amygdalin,</w:t>
      </w:r>
      <w:r>
        <w:rPr>
          <w:spacing w:val="-9"/>
        </w:rPr>
        <w:t> </w:t>
      </w:r>
      <w:r>
        <w:rPr/>
        <w:t>vitamin</w:t>
      </w:r>
      <w:r>
        <w:rPr>
          <w:spacing w:val="-9"/>
        </w:rPr>
        <w:t> </w:t>
      </w:r>
      <w:r>
        <w:rPr/>
        <w:t>B17</w:t>
      </w:r>
      <w:r>
        <w:rPr>
          <w:spacing w:val="-4"/>
        </w:rPr>
        <w:t> </w:t>
      </w:r>
      <w:r>
        <w:rPr/>
        <w:t>–</w:t>
      </w:r>
      <w:r>
        <w:rPr>
          <w:spacing w:val="-11"/>
        </w:rPr>
        <w:t> </w:t>
      </w:r>
      <w:r>
        <w:rPr/>
        <w:t>three</w:t>
      </w:r>
      <w:r>
        <w:rPr>
          <w:spacing w:val="-9"/>
        </w:rPr>
        <w:t> </w:t>
      </w:r>
      <w:r>
        <w:rPr/>
        <w:t>terms</w:t>
      </w:r>
      <w:r>
        <w:rPr>
          <w:spacing w:val="-9"/>
        </w:rPr>
        <w:t> </w:t>
      </w:r>
      <w:r>
        <w:rPr/>
        <w:t>that</w:t>
      </w:r>
      <w:r>
        <w:rPr>
          <w:spacing w:val="-11"/>
        </w:rPr>
        <w:t> </w:t>
      </w:r>
      <w:r>
        <w:rPr/>
        <w:t>describe</w:t>
      </w:r>
      <w:r>
        <w:rPr>
          <w:spacing w:val="-9"/>
        </w:rPr>
        <w:t> </w:t>
      </w:r>
      <w:r>
        <w:rPr/>
        <w:t>the</w:t>
      </w:r>
      <w:r>
        <w:rPr>
          <w:spacing w:val="-9"/>
        </w:rPr>
        <w:t> </w:t>
      </w:r>
      <w:r>
        <w:rPr/>
        <w:t>same</w:t>
      </w:r>
      <w:r>
        <w:rPr>
          <w:spacing w:val="-10"/>
        </w:rPr>
        <w:t> </w:t>
      </w:r>
      <w:r>
        <w:rPr/>
        <w:t>thing,</w:t>
      </w:r>
      <w:r>
        <w:rPr>
          <w:spacing w:val="-9"/>
        </w:rPr>
        <w:t> </w:t>
      </w:r>
      <w:r>
        <w:rPr/>
        <w:t>the most</w:t>
      </w:r>
      <w:r>
        <w:rPr>
          <w:spacing w:val="-13"/>
        </w:rPr>
        <w:t> </w:t>
      </w:r>
      <w:r>
        <w:rPr/>
        <w:t>controversial,</w:t>
      </w:r>
      <w:r>
        <w:rPr>
          <w:spacing w:val="-12"/>
        </w:rPr>
        <w:t> </w:t>
      </w:r>
      <w:r>
        <w:rPr/>
        <w:t>most</w:t>
      </w:r>
      <w:r>
        <w:rPr>
          <w:spacing w:val="-12"/>
        </w:rPr>
        <w:t> </w:t>
      </w:r>
      <w:r>
        <w:rPr/>
        <w:t>thoroughly</w:t>
      </w:r>
      <w:r>
        <w:rPr>
          <w:spacing w:val="-12"/>
        </w:rPr>
        <w:t> </w:t>
      </w:r>
      <w:r>
        <w:rPr/>
        <w:t>researched</w:t>
      </w:r>
      <w:r>
        <w:rPr>
          <w:spacing w:val="-15"/>
        </w:rPr>
        <w:t> </w:t>
      </w:r>
      <w:r>
        <w:rPr/>
        <w:t>and</w:t>
      </w:r>
      <w:r>
        <w:rPr>
          <w:spacing w:val="-12"/>
        </w:rPr>
        <w:t> </w:t>
      </w:r>
      <w:r>
        <w:rPr/>
        <w:t>most</w:t>
      </w:r>
      <w:r>
        <w:rPr>
          <w:spacing w:val="-12"/>
        </w:rPr>
        <w:t> </w:t>
      </w:r>
      <w:r>
        <w:rPr/>
        <w:t>bitterly</w:t>
      </w:r>
      <w:r>
        <w:rPr>
          <w:spacing w:val="-12"/>
        </w:rPr>
        <w:t> </w:t>
      </w:r>
      <w:r>
        <w:rPr/>
        <w:t>opposed</w:t>
      </w:r>
      <w:r>
        <w:rPr>
          <w:spacing w:val="-12"/>
        </w:rPr>
        <w:t> </w:t>
      </w:r>
      <w:r>
        <w:rPr/>
        <w:t>nat- ural active ingredient in the history of medicine – derived from bitter apricot kernels!</w:t>
      </w:r>
      <w:r>
        <w:rPr>
          <w:spacing w:val="-24"/>
        </w:rPr>
        <w:t> </w:t>
      </w:r>
      <w:r>
        <w:rPr/>
        <w:t>No</w:t>
      </w:r>
      <w:r>
        <w:rPr>
          <w:spacing w:val="-26"/>
        </w:rPr>
        <w:t> </w:t>
      </w:r>
      <w:r>
        <w:rPr/>
        <w:t>alternative</w:t>
      </w:r>
      <w:r>
        <w:rPr>
          <w:spacing w:val="-26"/>
        </w:rPr>
        <w:t> </w:t>
      </w:r>
      <w:r>
        <w:rPr/>
        <w:t>cancer</w:t>
      </w:r>
      <w:r>
        <w:rPr>
          <w:spacing w:val="-24"/>
        </w:rPr>
        <w:t> </w:t>
      </w:r>
      <w:r>
        <w:rPr/>
        <w:t>treatment</w:t>
      </w:r>
      <w:r>
        <w:rPr>
          <w:spacing w:val="-24"/>
        </w:rPr>
        <w:t> </w:t>
      </w:r>
      <w:r>
        <w:rPr/>
        <w:t>has</w:t>
      </w:r>
      <w:r>
        <w:rPr>
          <w:spacing w:val="-24"/>
        </w:rPr>
        <w:t> </w:t>
      </w:r>
      <w:r>
        <w:rPr/>
        <w:t>ever</w:t>
      </w:r>
      <w:r>
        <w:rPr>
          <w:spacing w:val="-26"/>
        </w:rPr>
        <w:t> </w:t>
      </w:r>
      <w:r>
        <w:rPr/>
        <w:t>been</w:t>
      </w:r>
      <w:r>
        <w:rPr>
          <w:spacing w:val="-23"/>
        </w:rPr>
        <w:t> </w:t>
      </w:r>
      <w:r>
        <w:rPr/>
        <w:t>discussed</w:t>
      </w:r>
      <w:r>
        <w:rPr>
          <w:spacing w:val="-27"/>
        </w:rPr>
        <w:t> </w:t>
      </w:r>
      <w:r>
        <w:rPr/>
        <w:t>more</w:t>
      </w:r>
      <w:r>
        <w:rPr>
          <w:spacing w:val="-25"/>
        </w:rPr>
        <w:t> </w:t>
      </w:r>
      <w:r>
        <w:rPr/>
        <w:t>intensely. Vitamin B17 is more than just another active ingredient: It epitomises the sci- entific and philosophical controversy between supporters of alternative cancer therapies and members of the medical establishment.</w:t>
      </w:r>
    </w:p>
    <w:p>
      <w:pPr>
        <w:pStyle w:val="BodyText"/>
        <w:spacing w:line="276" w:lineRule="auto" w:before="240"/>
        <w:ind w:left="477" w:right="135"/>
        <w:jc w:val="both"/>
      </w:pPr>
      <w:r>
        <w:rPr/>
        <w:t>In the following chapters, you will learn the entire history of vitamin B17, the background</w:t>
      </w:r>
      <w:r>
        <w:rPr>
          <w:spacing w:val="-11"/>
        </w:rPr>
        <w:t> </w:t>
      </w:r>
      <w:r>
        <w:rPr/>
        <w:t>to</w:t>
      </w:r>
      <w:r>
        <w:rPr>
          <w:spacing w:val="-9"/>
        </w:rPr>
        <w:t> </w:t>
      </w:r>
      <w:r>
        <w:rPr/>
        <w:t>an</w:t>
      </w:r>
      <w:r>
        <w:rPr>
          <w:spacing w:val="-9"/>
        </w:rPr>
        <w:t> </w:t>
      </w:r>
      <w:r>
        <w:rPr/>
        <w:t>incredible</w:t>
      </w:r>
      <w:r>
        <w:rPr>
          <w:spacing w:val="-9"/>
        </w:rPr>
        <w:t> </w:t>
      </w:r>
      <w:r>
        <w:rPr/>
        <w:t>conspiracy;</w:t>
      </w:r>
      <w:r>
        <w:rPr>
          <w:spacing w:val="-10"/>
        </w:rPr>
        <w:t> </w:t>
      </w:r>
      <w:r>
        <w:rPr/>
        <w:t>you</w:t>
      </w:r>
      <w:r>
        <w:rPr>
          <w:spacing w:val="-10"/>
        </w:rPr>
        <w:t> </w:t>
      </w:r>
      <w:r>
        <w:rPr/>
        <w:t>will</w:t>
      </w:r>
      <w:r>
        <w:rPr>
          <w:spacing w:val="-13"/>
        </w:rPr>
        <w:t> </w:t>
      </w:r>
      <w:r>
        <w:rPr/>
        <w:t>read</w:t>
      </w:r>
      <w:r>
        <w:rPr>
          <w:spacing w:val="-10"/>
        </w:rPr>
        <w:t> </w:t>
      </w:r>
      <w:r>
        <w:rPr/>
        <w:t>objective</w:t>
      </w:r>
      <w:r>
        <w:rPr>
          <w:spacing w:val="-10"/>
        </w:rPr>
        <w:t> </w:t>
      </w:r>
      <w:r>
        <w:rPr/>
        <w:t>facts</w:t>
      </w:r>
      <w:r>
        <w:rPr>
          <w:spacing w:val="-9"/>
        </w:rPr>
        <w:t> </w:t>
      </w:r>
      <w:r>
        <w:rPr/>
        <w:t>from</w:t>
      </w:r>
      <w:r>
        <w:rPr>
          <w:spacing w:val="-12"/>
        </w:rPr>
        <w:t> </w:t>
      </w:r>
      <w:r>
        <w:rPr/>
        <w:t>both sides, facts that could be of interest to anyone, including healthy people,</w:t>
      </w:r>
      <w:r>
        <w:rPr>
          <w:spacing w:val="64"/>
        </w:rPr>
        <w:t> </w:t>
      </w:r>
      <w:r>
        <w:rPr/>
        <w:t>given</w:t>
      </w:r>
    </w:p>
    <w:p>
      <w:pPr>
        <w:spacing w:after="0" w:line="276" w:lineRule="auto"/>
        <w:jc w:val="both"/>
        <w:sectPr>
          <w:pgSz w:w="14270" w:h="16850"/>
          <w:pgMar w:header="0" w:footer="1891" w:top="1600" w:bottom="2080" w:left="800" w:right="1280"/>
        </w:sectPr>
      </w:pPr>
    </w:p>
    <w:p>
      <w:pPr>
        <w:pStyle w:val="BodyText"/>
        <w:spacing w:line="276" w:lineRule="auto" w:before="181"/>
        <w:ind w:left="477" w:right="133"/>
        <w:jc w:val="both"/>
      </w:pPr>
      <w:r>
        <w:rPr/>
        <w:t>the fact that, statistically speaking, one in two people</w:t>
      </w:r>
      <w:r>
        <w:rPr>
          <w:position w:val="9"/>
          <w:sz w:val="25"/>
        </w:rPr>
        <w:t>438 </w:t>
      </w:r>
      <w:r>
        <w:rPr/>
        <w:t>in industrial nations al- ready suffers from cancer – a trend which is growing, by the way! Make your own judgement about vitamin B17!</w:t>
      </w:r>
    </w:p>
    <w:p>
      <w:pPr>
        <w:pStyle w:val="Heading2"/>
        <w:spacing w:before="242"/>
      </w:pPr>
      <w:r>
        <w:rPr/>
        <w:t>History of vitamin B17 or laetrile, amygdalin</w:t>
      </w:r>
    </w:p>
    <w:p>
      <w:pPr>
        <w:pStyle w:val="BodyText"/>
        <w:spacing w:line="276" w:lineRule="auto" w:before="304"/>
        <w:ind w:left="477" w:right="131"/>
        <w:jc w:val="both"/>
      </w:pPr>
      <w:r>
        <w:rPr/>
        <w:t>After several studies commissioned by the NCI (National Cancer Institute in the USA) on vitamin B17 (laetrile) went well, a longer series of tests was con- ducted at the world's most prestigious cancer research centre, Memorial Sloan- Kettering, by Dr. Sugiura. The late Dr. Sugiura was considered a luminary in the</w:t>
      </w:r>
      <w:r>
        <w:rPr>
          <w:spacing w:val="-6"/>
        </w:rPr>
        <w:t> </w:t>
      </w:r>
      <w:r>
        <w:rPr/>
        <w:t>field</w:t>
      </w:r>
      <w:r>
        <w:rPr>
          <w:spacing w:val="-8"/>
        </w:rPr>
        <w:t> </w:t>
      </w:r>
      <w:r>
        <w:rPr/>
        <w:t>of</w:t>
      </w:r>
      <w:r>
        <w:rPr>
          <w:spacing w:val="-8"/>
        </w:rPr>
        <w:t> </w:t>
      </w:r>
      <w:r>
        <w:rPr/>
        <w:t>research,</w:t>
      </w:r>
      <w:r>
        <w:rPr>
          <w:spacing w:val="-8"/>
        </w:rPr>
        <w:t> </w:t>
      </w:r>
      <w:r>
        <w:rPr/>
        <w:t>with</w:t>
      </w:r>
      <w:r>
        <w:rPr>
          <w:spacing w:val="-5"/>
        </w:rPr>
        <w:t> </w:t>
      </w:r>
      <w:r>
        <w:rPr/>
        <w:t>60</w:t>
      </w:r>
      <w:r>
        <w:rPr>
          <w:spacing w:val="-8"/>
        </w:rPr>
        <w:t> </w:t>
      </w:r>
      <w:r>
        <w:rPr/>
        <w:t>years</w:t>
      </w:r>
      <w:r>
        <w:rPr>
          <w:spacing w:val="-5"/>
        </w:rPr>
        <w:t> </w:t>
      </w:r>
      <w:r>
        <w:rPr/>
        <w:t>of</w:t>
      </w:r>
      <w:r>
        <w:rPr>
          <w:spacing w:val="-9"/>
        </w:rPr>
        <w:t> </w:t>
      </w:r>
      <w:r>
        <w:rPr/>
        <w:t>professional</w:t>
      </w:r>
      <w:r>
        <w:rPr>
          <w:spacing w:val="-7"/>
        </w:rPr>
        <w:t> </w:t>
      </w:r>
      <w:r>
        <w:rPr/>
        <w:t>experience</w:t>
      </w:r>
      <w:r>
        <w:rPr>
          <w:spacing w:val="-6"/>
        </w:rPr>
        <w:t> </w:t>
      </w:r>
      <w:r>
        <w:rPr/>
        <w:t>at</w:t>
      </w:r>
      <w:r>
        <w:rPr>
          <w:spacing w:val="-9"/>
        </w:rPr>
        <w:t> </w:t>
      </w:r>
      <w:r>
        <w:rPr/>
        <w:t>the</w:t>
      </w:r>
      <w:r>
        <w:rPr>
          <w:spacing w:val="-7"/>
        </w:rPr>
        <w:t> </w:t>
      </w:r>
      <w:r>
        <w:rPr/>
        <w:t>time.</w:t>
      </w:r>
      <w:r>
        <w:rPr>
          <w:spacing w:val="-6"/>
        </w:rPr>
        <w:t> </w:t>
      </w:r>
      <w:r>
        <w:rPr/>
        <w:t>If</w:t>
      </w:r>
      <w:r>
        <w:rPr>
          <w:spacing w:val="-8"/>
        </w:rPr>
        <w:t> </w:t>
      </w:r>
      <w:r>
        <w:rPr/>
        <w:t>the pure truth were the most important thing, Dr. Sugiura would have been the most suitable man for this job worldwide; but that's not what mattered and Sloan-Kettering did not reckon with Dr.</w:t>
      </w:r>
      <w:r>
        <w:rPr>
          <w:spacing w:val="5"/>
        </w:rPr>
        <w:t> </w:t>
      </w:r>
      <w:r>
        <w:rPr/>
        <w:t>Sugiura.</w:t>
      </w:r>
    </w:p>
    <w:p>
      <w:pPr>
        <w:pStyle w:val="Heading2"/>
        <w:spacing w:before="239"/>
      </w:pPr>
      <w:r>
        <w:rPr/>
        <w:t>Looking back</w:t>
      </w:r>
    </w:p>
    <w:p>
      <w:pPr>
        <w:pStyle w:val="BodyText"/>
        <w:spacing w:line="276" w:lineRule="auto" w:before="305"/>
        <w:ind w:left="477" w:right="135"/>
        <w:jc w:val="both"/>
      </w:pPr>
      <w:r>
        <w:rPr/>
        <w:t>Let’s</w:t>
      </w:r>
      <w:r>
        <w:rPr>
          <w:spacing w:val="-9"/>
        </w:rPr>
        <w:t> </w:t>
      </w:r>
      <w:r>
        <w:rPr/>
        <w:t>look</w:t>
      </w:r>
      <w:r>
        <w:rPr>
          <w:spacing w:val="-9"/>
        </w:rPr>
        <w:t> </w:t>
      </w:r>
      <w:r>
        <w:rPr/>
        <w:t>back</w:t>
      </w:r>
      <w:r>
        <w:rPr>
          <w:spacing w:val="-12"/>
        </w:rPr>
        <w:t> </w:t>
      </w:r>
      <w:r>
        <w:rPr/>
        <w:t>to</w:t>
      </w:r>
      <w:r>
        <w:rPr>
          <w:spacing w:val="-9"/>
        </w:rPr>
        <w:t> </w:t>
      </w:r>
      <w:r>
        <w:rPr/>
        <w:t>the</w:t>
      </w:r>
      <w:r>
        <w:rPr>
          <w:spacing w:val="-11"/>
        </w:rPr>
        <w:t> </w:t>
      </w:r>
      <w:r>
        <w:rPr/>
        <w:t>1970’s,</w:t>
      </w:r>
      <w:r>
        <w:rPr>
          <w:spacing w:val="-10"/>
        </w:rPr>
        <w:t> </w:t>
      </w:r>
      <w:r>
        <w:rPr/>
        <w:t>to</w:t>
      </w:r>
      <w:r>
        <w:rPr>
          <w:spacing w:val="-9"/>
        </w:rPr>
        <w:t> </w:t>
      </w:r>
      <w:r>
        <w:rPr/>
        <w:t>the</w:t>
      </w:r>
      <w:r>
        <w:rPr>
          <w:spacing w:val="-9"/>
        </w:rPr>
        <w:t> </w:t>
      </w:r>
      <w:r>
        <w:rPr/>
        <w:t>scene</w:t>
      </w:r>
      <w:r>
        <w:rPr>
          <w:spacing w:val="-12"/>
        </w:rPr>
        <w:t> </w:t>
      </w:r>
      <w:r>
        <w:rPr/>
        <w:t>of</w:t>
      </w:r>
      <w:r>
        <w:rPr>
          <w:spacing w:val="-9"/>
        </w:rPr>
        <w:t> </w:t>
      </w:r>
      <w:r>
        <w:rPr/>
        <w:t>events,</w:t>
      </w:r>
      <w:r>
        <w:rPr>
          <w:spacing w:val="-8"/>
        </w:rPr>
        <w:t> </w:t>
      </w:r>
      <w:r>
        <w:rPr/>
        <w:t>the</w:t>
      </w:r>
      <w:r>
        <w:rPr>
          <w:spacing w:val="-11"/>
        </w:rPr>
        <w:t> </w:t>
      </w:r>
      <w:r>
        <w:rPr/>
        <w:t>legendary</w:t>
      </w:r>
      <w:r>
        <w:rPr>
          <w:spacing w:val="-11"/>
        </w:rPr>
        <w:t> </w:t>
      </w:r>
      <w:r>
        <w:rPr/>
        <w:t>Cancer</w:t>
      </w:r>
      <w:r>
        <w:rPr>
          <w:spacing w:val="-9"/>
        </w:rPr>
        <w:t> </w:t>
      </w:r>
      <w:r>
        <w:rPr/>
        <w:t>Cen- tre at </w:t>
      </w:r>
      <w:r>
        <w:rPr>
          <w:i/>
        </w:rPr>
        <w:t>Memorial Sloan-Kettering </w:t>
      </w:r>
      <w:r>
        <w:rPr/>
        <w:t>in New York, where the history of vitamin B17 (laetrile, amygdalin)</w:t>
      </w:r>
      <w:r>
        <w:rPr>
          <w:spacing w:val="-1"/>
        </w:rPr>
        <w:t> </w:t>
      </w:r>
      <w:r>
        <w:rPr/>
        <w:t>began.</w:t>
      </w:r>
    </w:p>
    <w:p>
      <w:pPr>
        <w:pStyle w:val="BodyText"/>
        <w:spacing w:line="276" w:lineRule="auto" w:before="241"/>
        <w:ind w:left="477" w:right="140"/>
        <w:jc w:val="both"/>
      </w:pPr>
      <w:r>
        <w:rPr/>
        <w:t>The series of tests by Dr. Sugiura provided studies on different, partially trans- planted</w:t>
      </w:r>
      <w:r>
        <w:rPr>
          <w:spacing w:val="-20"/>
        </w:rPr>
        <w:t> </w:t>
      </w:r>
      <w:r>
        <w:rPr/>
        <w:t>and</w:t>
      </w:r>
      <w:r>
        <w:rPr>
          <w:spacing w:val="-19"/>
        </w:rPr>
        <w:t> </w:t>
      </w:r>
      <w:r>
        <w:rPr/>
        <w:t>partially</w:t>
      </w:r>
      <w:r>
        <w:rPr>
          <w:spacing w:val="-20"/>
        </w:rPr>
        <w:t> </w:t>
      </w:r>
      <w:r>
        <w:rPr/>
        <w:t>naturally</w:t>
      </w:r>
      <w:r>
        <w:rPr>
          <w:spacing w:val="-20"/>
        </w:rPr>
        <w:t> </w:t>
      </w:r>
      <w:r>
        <w:rPr/>
        <w:t>occurring</w:t>
      </w:r>
      <w:r>
        <w:rPr>
          <w:spacing w:val="-19"/>
        </w:rPr>
        <w:t> </w:t>
      </w:r>
      <w:r>
        <w:rPr/>
        <w:t>tumours</w:t>
      </w:r>
      <w:r>
        <w:rPr>
          <w:spacing w:val="-16"/>
        </w:rPr>
        <w:t> </w:t>
      </w:r>
      <w:r>
        <w:rPr/>
        <w:t>in</w:t>
      </w:r>
      <w:r>
        <w:rPr>
          <w:spacing w:val="-19"/>
        </w:rPr>
        <w:t> </w:t>
      </w:r>
      <w:r>
        <w:rPr/>
        <w:t>different</w:t>
      </w:r>
      <w:r>
        <w:rPr>
          <w:spacing w:val="-19"/>
        </w:rPr>
        <w:t> </w:t>
      </w:r>
      <w:r>
        <w:rPr/>
        <w:t>animal</w:t>
      </w:r>
      <w:r>
        <w:rPr>
          <w:spacing w:val="-20"/>
        </w:rPr>
        <w:t> </w:t>
      </w:r>
      <w:r>
        <w:rPr/>
        <w:t>species</w:t>
      </w:r>
      <w:r>
        <w:rPr>
          <w:spacing w:val="-19"/>
        </w:rPr>
        <w:t> </w:t>
      </w:r>
      <w:r>
        <w:rPr/>
        <w:t>and</w:t>
      </w:r>
    </w:p>
    <w:p>
      <w:pPr>
        <w:pStyle w:val="BodyText"/>
        <w:spacing w:before="6"/>
        <w:rPr>
          <w:sz w:val="14"/>
        </w:rPr>
      </w:pPr>
      <w:r>
        <w:rPr/>
        <w:pict>
          <v:line style="position:absolute;mso-position-horizontal-relative:page;mso-position-vertical-relative:paragraph;z-index:5432;mso-wrap-distance-left:0;mso-wrap-distance-right:0" from="63.863998pt,10.540015pt" to="207.883998pt,10.54001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438 </w:t>
      </w:r>
      <w:r>
        <w:rPr>
          <w:sz w:val="20"/>
        </w:rPr>
        <w:t>https://</w:t>
      </w:r>
      <w:hyperlink r:id="rId7">
        <w:r>
          <w:rPr>
            <w:sz w:val="20"/>
          </w:rPr>
          <w:t>www.medicalnewstoday.com/articles/288916.php</w:t>
        </w:r>
      </w:hyperlink>
    </w:p>
    <w:p>
      <w:pPr>
        <w:spacing w:after="0"/>
        <w:jc w:val="left"/>
        <w:rPr>
          <w:sz w:val="20"/>
        </w:rPr>
        <w:sectPr>
          <w:pgSz w:w="14270" w:h="16850"/>
          <w:pgMar w:header="0" w:footer="1891" w:top="1600" w:bottom="2080" w:left="800" w:right="1280"/>
        </w:sectPr>
      </w:pPr>
    </w:p>
    <w:p>
      <w:pPr>
        <w:pStyle w:val="BodyText"/>
        <w:spacing w:before="181"/>
        <w:ind w:left="477"/>
        <w:jc w:val="both"/>
      </w:pPr>
      <w:r>
        <w:rPr/>
        <w:t>extended across a five whole years!</w:t>
      </w:r>
    </w:p>
    <w:p>
      <w:pPr>
        <w:pStyle w:val="BodyText"/>
        <w:spacing w:before="305"/>
        <w:ind w:left="477"/>
        <w:jc w:val="both"/>
      </w:pPr>
      <w:r>
        <w:rPr/>
        <w:t>As a result of the studies, Dr. Sugiura reported on the following five findings:</w:t>
      </w:r>
    </w:p>
    <w:p>
      <w:pPr>
        <w:pStyle w:val="ListParagraph"/>
        <w:numPr>
          <w:ilvl w:val="0"/>
          <w:numId w:val="49"/>
        </w:numPr>
        <w:tabs>
          <w:tab w:pos="1186" w:val="left" w:leader="none"/>
        </w:tabs>
        <w:spacing w:line="240" w:lineRule="auto" w:before="304" w:after="0"/>
        <w:ind w:left="1185" w:right="0" w:hanging="708"/>
        <w:jc w:val="both"/>
        <w:rPr>
          <w:sz w:val="38"/>
        </w:rPr>
      </w:pPr>
      <w:r>
        <w:rPr>
          <w:sz w:val="38"/>
        </w:rPr>
        <w:t>Vitamin B 17 (laetrile, amygdalin) prevents metastasis in</w:t>
      </w:r>
      <w:r>
        <w:rPr>
          <w:spacing w:val="-4"/>
          <w:sz w:val="38"/>
        </w:rPr>
        <w:t> </w:t>
      </w:r>
      <w:r>
        <w:rPr>
          <w:sz w:val="38"/>
        </w:rPr>
        <w:t>mice.</w:t>
      </w:r>
    </w:p>
    <w:p>
      <w:pPr>
        <w:pStyle w:val="ListParagraph"/>
        <w:numPr>
          <w:ilvl w:val="0"/>
          <w:numId w:val="49"/>
        </w:numPr>
        <w:tabs>
          <w:tab w:pos="1198" w:val="left" w:leader="none"/>
        </w:tabs>
        <w:spacing w:line="240" w:lineRule="auto" w:before="185" w:after="0"/>
        <w:ind w:left="1197" w:right="0" w:hanging="720"/>
        <w:jc w:val="both"/>
        <w:rPr>
          <w:sz w:val="38"/>
        </w:rPr>
      </w:pPr>
      <w:r>
        <w:rPr>
          <w:sz w:val="38"/>
        </w:rPr>
        <w:t>Laetrile has a growth-inhibiting effect on small</w:t>
      </w:r>
      <w:r>
        <w:rPr>
          <w:spacing w:val="-4"/>
          <w:sz w:val="38"/>
        </w:rPr>
        <w:t> </w:t>
      </w:r>
      <w:r>
        <w:rPr>
          <w:sz w:val="38"/>
        </w:rPr>
        <w:t>tumours.</w:t>
      </w:r>
    </w:p>
    <w:p>
      <w:pPr>
        <w:pStyle w:val="ListParagraph"/>
        <w:numPr>
          <w:ilvl w:val="0"/>
          <w:numId w:val="49"/>
        </w:numPr>
        <w:tabs>
          <w:tab w:pos="1198" w:val="left" w:leader="none"/>
        </w:tabs>
        <w:spacing w:line="240" w:lineRule="auto" w:before="184" w:after="0"/>
        <w:ind w:left="1197" w:right="0" w:hanging="720"/>
        <w:jc w:val="both"/>
        <w:rPr>
          <w:sz w:val="38"/>
        </w:rPr>
      </w:pPr>
      <w:r>
        <w:rPr>
          <w:sz w:val="38"/>
        </w:rPr>
        <w:t>Laetrile (vitamin B17) has a preventative effect against</w:t>
      </w:r>
      <w:r>
        <w:rPr>
          <w:spacing w:val="-6"/>
          <w:sz w:val="38"/>
        </w:rPr>
        <w:t> </w:t>
      </w:r>
      <w:r>
        <w:rPr>
          <w:sz w:val="38"/>
        </w:rPr>
        <w:t>cancer.</w:t>
      </w:r>
    </w:p>
    <w:p>
      <w:pPr>
        <w:pStyle w:val="ListParagraph"/>
        <w:numPr>
          <w:ilvl w:val="0"/>
          <w:numId w:val="49"/>
        </w:numPr>
        <w:tabs>
          <w:tab w:pos="1198" w:val="left" w:leader="none"/>
        </w:tabs>
        <w:spacing w:line="240" w:lineRule="auto" w:before="183" w:after="0"/>
        <w:ind w:left="1197" w:right="0" w:hanging="720"/>
        <w:jc w:val="both"/>
        <w:rPr>
          <w:sz w:val="38"/>
        </w:rPr>
      </w:pPr>
      <w:r>
        <w:rPr>
          <w:sz w:val="38"/>
        </w:rPr>
        <w:t>The general condition improved.</w:t>
      </w:r>
    </w:p>
    <w:p>
      <w:pPr>
        <w:pStyle w:val="ListParagraph"/>
        <w:numPr>
          <w:ilvl w:val="0"/>
          <w:numId w:val="49"/>
        </w:numPr>
        <w:tabs>
          <w:tab w:pos="1198" w:val="left" w:leader="none"/>
        </w:tabs>
        <w:spacing w:line="240" w:lineRule="auto" w:before="185" w:after="0"/>
        <w:ind w:left="1197" w:right="0" w:hanging="720"/>
        <w:jc w:val="both"/>
        <w:rPr>
          <w:sz w:val="38"/>
        </w:rPr>
      </w:pPr>
      <w:r>
        <w:rPr>
          <w:sz w:val="38"/>
        </w:rPr>
        <w:t>Vitamin B17 (laetrile) relieves cancer</w:t>
      </w:r>
      <w:r>
        <w:rPr>
          <w:spacing w:val="-2"/>
          <w:sz w:val="38"/>
        </w:rPr>
        <w:t> </w:t>
      </w:r>
      <w:r>
        <w:rPr>
          <w:sz w:val="38"/>
        </w:rPr>
        <w:t>pain.</w:t>
      </w:r>
    </w:p>
    <w:p>
      <w:pPr>
        <w:pStyle w:val="BodyText"/>
        <w:spacing w:line="276" w:lineRule="auto" w:before="304"/>
        <w:ind w:left="477"/>
      </w:pPr>
      <w:r>
        <w:rPr/>
        <w:t>The summary of the effects of amygdalin in mice with primary breast tumours in Sloan-Kettering's report of 13 June 1973 can be read as follows:</w:t>
      </w:r>
    </w:p>
    <w:p>
      <w:pPr>
        <w:spacing w:line="276" w:lineRule="auto" w:before="241"/>
        <w:ind w:left="477" w:right="132" w:firstLine="0"/>
        <w:jc w:val="both"/>
        <w:rPr>
          <w:i/>
          <w:sz w:val="38"/>
        </w:rPr>
      </w:pPr>
      <w:r>
        <w:rPr>
          <w:sz w:val="38"/>
        </w:rPr>
        <w:t>‘</w:t>
      </w:r>
      <w:r>
        <w:rPr>
          <w:i/>
          <w:sz w:val="38"/>
        </w:rPr>
        <w:t>The</w:t>
      </w:r>
      <w:r>
        <w:rPr>
          <w:i/>
          <w:spacing w:val="-15"/>
          <w:sz w:val="38"/>
        </w:rPr>
        <w:t> </w:t>
      </w:r>
      <w:r>
        <w:rPr>
          <w:i/>
          <w:sz w:val="38"/>
        </w:rPr>
        <w:t>results</w:t>
      </w:r>
      <w:r>
        <w:rPr>
          <w:i/>
          <w:spacing w:val="-13"/>
          <w:sz w:val="38"/>
        </w:rPr>
        <w:t> </w:t>
      </w:r>
      <w:r>
        <w:rPr>
          <w:i/>
          <w:sz w:val="38"/>
        </w:rPr>
        <w:t>clearly</w:t>
      </w:r>
      <w:r>
        <w:rPr>
          <w:i/>
          <w:spacing w:val="-14"/>
          <w:sz w:val="38"/>
        </w:rPr>
        <w:t> </w:t>
      </w:r>
      <w:r>
        <w:rPr>
          <w:i/>
          <w:sz w:val="38"/>
        </w:rPr>
        <w:t>show</w:t>
      </w:r>
      <w:r>
        <w:rPr>
          <w:i/>
          <w:spacing w:val="-13"/>
          <w:sz w:val="38"/>
        </w:rPr>
        <w:t> </w:t>
      </w:r>
      <w:r>
        <w:rPr>
          <w:i/>
          <w:sz w:val="38"/>
        </w:rPr>
        <w:t>that</w:t>
      </w:r>
      <w:r>
        <w:rPr>
          <w:i/>
          <w:spacing w:val="-12"/>
          <w:sz w:val="38"/>
        </w:rPr>
        <w:t> </w:t>
      </w:r>
      <w:r>
        <w:rPr>
          <w:i/>
          <w:sz w:val="38"/>
        </w:rPr>
        <w:t>amygdalin</w:t>
      </w:r>
      <w:r>
        <w:rPr>
          <w:i/>
          <w:spacing w:val="-14"/>
          <w:sz w:val="38"/>
        </w:rPr>
        <w:t> </w:t>
      </w:r>
      <w:r>
        <w:rPr>
          <w:i/>
          <w:sz w:val="38"/>
        </w:rPr>
        <w:t>significantly</w:t>
      </w:r>
      <w:r>
        <w:rPr>
          <w:i/>
          <w:spacing w:val="-12"/>
          <w:sz w:val="38"/>
        </w:rPr>
        <w:t> </w:t>
      </w:r>
      <w:r>
        <w:rPr>
          <w:i/>
          <w:sz w:val="38"/>
        </w:rPr>
        <w:t>inhibits</w:t>
      </w:r>
      <w:r>
        <w:rPr>
          <w:i/>
          <w:spacing w:val="-13"/>
          <w:sz w:val="38"/>
        </w:rPr>
        <w:t> </w:t>
      </w:r>
      <w:r>
        <w:rPr>
          <w:i/>
          <w:sz w:val="38"/>
        </w:rPr>
        <w:t>the</w:t>
      </w:r>
      <w:r>
        <w:rPr>
          <w:i/>
          <w:spacing w:val="-13"/>
          <w:sz w:val="38"/>
        </w:rPr>
        <w:t> </w:t>
      </w:r>
      <w:r>
        <w:rPr>
          <w:i/>
          <w:sz w:val="38"/>
        </w:rPr>
        <w:t>occurrence</w:t>
      </w:r>
      <w:r>
        <w:rPr>
          <w:i/>
          <w:spacing w:val="-13"/>
          <w:sz w:val="38"/>
        </w:rPr>
        <w:t> </w:t>
      </w:r>
      <w:r>
        <w:rPr>
          <w:i/>
          <w:sz w:val="38"/>
        </w:rPr>
        <w:t>of</w:t>
      </w:r>
      <w:r>
        <w:rPr>
          <w:i/>
          <w:spacing w:val="-15"/>
          <w:sz w:val="38"/>
        </w:rPr>
        <w:t> </w:t>
      </w:r>
      <w:r>
        <w:rPr>
          <w:i/>
          <w:sz w:val="38"/>
        </w:rPr>
        <w:t>lung</w:t>
      </w:r>
      <w:r>
        <w:rPr>
          <w:i/>
          <w:spacing w:val="-15"/>
          <w:sz w:val="38"/>
        </w:rPr>
        <w:t> </w:t>
      </w:r>
      <w:r>
        <w:rPr>
          <w:i/>
          <w:sz w:val="38"/>
        </w:rPr>
        <w:t>metastases </w:t>
      </w:r>
      <w:r>
        <w:rPr>
          <w:i/>
          <w:sz w:val="38"/>
        </w:rPr>
        <w:t>in mice with primary breast tumours and significantly increases the inhibition of primary tu- mour growth ... laetrile also appeared to slightly reduce the incidence of new tumours ... Gen- erally, there is always an improvement in the health and appearance of the treated animals compared to the control</w:t>
      </w:r>
      <w:r>
        <w:rPr>
          <w:i/>
          <w:spacing w:val="-1"/>
          <w:sz w:val="38"/>
        </w:rPr>
        <w:t> </w:t>
      </w:r>
      <w:r>
        <w:rPr>
          <w:i/>
          <w:sz w:val="38"/>
        </w:rPr>
        <w:t>group...’</w:t>
      </w:r>
    </w:p>
    <w:p>
      <w:pPr>
        <w:pStyle w:val="BodyText"/>
        <w:spacing w:line="276" w:lineRule="auto" w:before="240"/>
        <w:ind w:left="477"/>
        <w:rPr>
          <w:sz w:val="25"/>
        </w:rPr>
      </w:pPr>
      <w:r>
        <w:rPr/>
        <w:t>In his extensive experience with chemotherapeutic agents, Dr. Sugiura had never observed a complete regression of these tumours.</w:t>
      </w:r>
      <w:r>
        <w:rPr>
          <w:position w:val="9"/>
          <w:sz w:val="25"/>
        </w:rPr>
        <w:t>439</w:t>
      </w:r>
    </w:p>
    <w:p>
      <w:pPr>
        <w:pStyle w:val="BodyText"/>
        <w:rPr>
          <w:sz w:val="20"/>
        </w:rPr>
      </w:pPr>
    </w:p>
    <w:p>
      <w:pPr>
        <w:pStyle w:val="BodyText"/>
        <w:rPr>
          <w:sz w:val="20"/>
        </w:rPr>
      </w:pPr>
    </w:p>
    <w:p>
      <w:pPr>
        <w:pStyle w:val="BodyText"/>
        <w:spacing w:before="3"/>
        <w:rPr>
          <w:sz w:val="19"/>
        </w:rPr>
      </w:pPr>
      <w:r>
        <w:rPr/>
        <w:pict>
          <v:line style="position:absolute;mso-position-horizontal-relative:page;mso-position-vertical-relative:paragraph;z-index:5456;mso-wrap-distance-left:0;mso-wrap-distance-right:0" from="63.863998pt,13.233765pt" to="207.883998pt,13.23376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439 </w:t>
      </w:r>
      <w:r>
        <w:rPr>
          <w:sz w:val="20"/>
        </w:rPr>
        <w:t>A Summary of the Effect of Amygdalin on Spontaneous Mammary Tumors in Mice – Report by Sloan-Kettering, 13 June 1973</w:t>
      </w:r>
    </w:p>
    <w:p>
      <w:pPr>
        <w:spacing w:after="0"/>
        <w:jc w:val="left"/>
        <w:rPr>
          <w:sz w:val="20"/>
        </w:rPr>
        <w:sectPr>
          <w:pgSz w:w="14270" w:h="16850"/>
          <w:pgMar w:header="0" w:footer="1891" w:top="1600" w:bottom="2080" w:left="800" w:right="1280"/>
        </w:sectPr>
      </w:pPr>
    </w:p>
    <w:p>
      <w:pPr>
        <w:pStyle w:val="BodyText"/>
        <w:spacing w:line="276" w:lineRule="auto" w:before="181"/>
        <w:ind w:left="477" w:right="136"/>
        <w:jc w:val="both"/>
      </w:pPr>
      <w:r>
        <w:rPr/>
        <w:t>The scene was set for the hitherto unanimous reputation of the world's largest cancer research centre, </w:t>
      </w:r>
      <w:r>
        <w:rPr>
          <w:i/>
        </w:rPr>
        <w:t>Sloan-Kettering </w:t>
      </w:r>
      <w:r>
        <w:rPr/>
        <w:t>to be crowned once and for all; Sugiura met his colleague Ralph Moss, who was responsible for the public relations at </w:t>
      </w:r>
      <w:r>
        <w:rPr>
          <w:i/>
        </w:rPr>
        <w:t>Sloan-Kettering </w:t>
      </w:r>
      <w:r>
        <w:rPr/>
        <w:t>and whose job it was, among other things, to report to the</w:t>
      </w:r>
      <w:r>
        <w:rPr>
          <w:spacing w:val="-54"/>
        </w:rPr>
        <w:t> </w:t>
      </w:r>
      <w:r>
        <w:rPr/>
        <w:t>media about the research results at </w:t>
      </w:r>
      <w:r>
        <w:rPr>
          <w:i/>
        </w:rPr>
        <w:t>Sloan-Kettering</w:t>
      </w:r>
      <w:r>
        <w:rPr/>
        <w:t>.</w:t>
      </w:r>
    </w:p>
    <w:p>
      <w:pPr>
        <w:pStyle w:val="BodyText"/>
        <w:spacing w:line="276" w:lineRule="auto" w:before="240"/>
        <w:ind w:left="477" w:right="133"/>
        <w:jc w:val="both"/>
      </w:pPr>
      <w:r>
        <w:rPr/>
        <w:t>When Dr. Sugiura repeatedly asked Dr. Moss what kind of nonsense he was reporting, and Dr. Ralph Moss was taken aback when his colleague from the lab</w:t>
      </w:r>
      <w:r>
        <w:rPr>
          <w:spacing w:val="-4"/>
        </w:rPr>
        <w:t> </w:t>
      </w:r>
      <w:r>
        <w:rPr/>
        <w:t>told</w:t>
      </w:r>
      <w:r>
        <w:rPr>
          <w:spacing w:val="-4"/>
        </w:rPr>
        <w:t> </w:t>
      </w:r>
      <w:r>
        <w:rPr/>
        <w:t>him</w:t>
      </w:r>
      <w:r>
        <w:rPr>
          <w:spacing w:val="-7"/>
        </w:rPr>
        <w:t> </w:t>
      </w:r>
      <w:r>
        <w:rPr/>
        <w:t>that</w:t>
      </w:r>
      <w:r>
        <w:rPr>
          <w:spacing w:val="-4"/>
        </w:rPr>
        <w:t> </w:t>
      </w:r>
      <w:r>
        <w:rPr/>
        <w:t>he</w:t>
      </w:r>
      <w:r>
        <w:rPr>
          <w:spacing w:val="-6"/>
        </w:rPr>
        <w:t> </w:t>
      </w:r>
      <w:r>
        <w:rPr/>
        <w:t>had</w:t>
      </w:r>
      <w:r>
        <w:rPr>
          <w:spacing w:val="-7"/>
        </w:rPr>
        <w:t> </w:t>
      </w:r>
      <w:r>
        <w:rPr/>
        <w:t>never</w:t>
      </w:r>
      <w:r>
        <w:rPr>
          <w:spacing w:val="-6"/>
        </w:rPr>
        <w:t> </w:t>
      </w:r>
      <w:r>
        <w:rPr/>
        <w:t>seen</w:t>
      </w:r>
      <w:r>
        <w:rPr>
          <w:spacing w:val="-4"/>
        </w:rPr>
        <w:t> </w:t>
      </w:r>
      <w:r>
        <w:rPr/>
        <w:t>anything</w:t>
      </w:r>
      <w:r>
        <w:rPr>
          <w:spacing w:val="-6"/>
        </w:rPr>
        <w:t> </w:t>
      </w:r>
      <w:r>
        <w:rPr/>
        <w:t>that</w:t>
      </w:r>
      <w:r>
        <w:rPr>
          <w:spacing w:val="-6"/>
        </w:rPr>
        <w:t> </w:t>
      </w:r>
      <w:r>
        <w:rPr/>
        <w:t>worked</w:t>
      </w:r>
      <w:r>
        <w:rPr>
          <w:spacing w:val="-3"/>
        </w:rPr>
        <w:t> </w:t>
      </w:r>
      <w:r>
        <w:rPr/>
        <w:t>as</w:t>
      </w:r>
      <w:r>
        <w:rPr>
          <w:spacing w:val="-7"/>
        </w:rPr>
        <w:t> </w:t>
      </w:r>
      <w:r>
        <w:rPr/>
        <w:t>well</w:t>
      </w:r>
      <w:r>
        <w:rPr>
          <w:spacing w:val="-8"/>
        </w:rPr>
        <w:t> </w:t>
      </w:r>
      <w:r>
        <w:rPr/>
        <w:t>against</w:t>
      </w:r>
      <w:r>
        <w:rPr>
          <w:spacing w:val="-5"/>
        </w:rPr>
        <w:t> </w:t>
      </w:r>
      <w:r>
        <w:rPr/>
        <w:t>cancer as vitamin B17 (laetrile,</w:t>
      </w:r>
      <w:r>
        <w:rPr>
          <w:spacing w:val="-1"/>
        </w:rPr>
        <w:t> </w:t>
      </w:r>
      <w:r>
        <w:rPr/>
        <w:t>amygdalin).</w:t>
      </w:r>
    </w:p>
    <w:p>
      <w:pPr>
        <w:pStyle w:val="BodyText"/>
        <w:spacing w:line="276" w:lineRule="auto" w:before="242"/>
        <w:ind w:left="477" w:right="138"/>
        <w:jc w:val="both"/>
      </w:pPr>
      <w:r>
        <w:rPr/>
        <w:t>The plot in the executive floors was obvious! But how was Ralph Moss sup- posed to react?</w:t>
      </w:r>
    </w:p>
    <w:p>
      <w:pPr>
        <w:pStyle w:val="BodyText"/>
        <w:spacing w:line="276" w:lineRule="auto" w:before="238"/>
        <w:ind w:left="477" w:right="133"/>
        <w:jc w:val="both"/>
      </w:pPr>
      <w:r>
        <w:rPr/>
        <w:t>He</w:t>
      </w:r>
      <w:r>
        <w:rPr>
          <w:spacing w:val="-24"/>
        </w:rPr>
        <w:t> </w:t>
      </w:r>
      <w:r>
        <w:rPr/>
        <w:t>did</w:t>
      </w:r>
      <w:r>
        <w:rPr>
          <w:spacing w:val="-25"/>
        </w:rPr>
        <w:t> </w:t>
      </w:r>
      <w:r>
        <w:rPr/>
        <w:t>what</w:t>
      </w:r>
      <w:r>
        <w:rPr>
          <w:spacing w:val="-23"/>
        </w:rPr>
        <w:t> </w:t>
      </w:r>
      <w:r>
        <w:rPr/>
        <w:t>decent</w:t>
      </w:r>
      <w:r>
        <w:rPr>
          <w:spacing w:val="-24"/>
        </w:rPr>
        <w:t> </w:t>
      </w:r>
      <w:r>
        <w:rPr/>
        <w:t>citizens</w:t>
      </w:r>
      <w:r>
        <w:rPr>
          <w:spacing w:val="-23"/>
        </w:rPr>
        <w:t> </w:t>
      </w:r>
      <w:r>
        <w:rPr/>
        <w:t>do,</w:t>
      </w:r>
      <w:r>
        <w:rPr>
          <w:spacing w:val="-22"/>
        </w:rPr>
        <w:t> </w:t>
      </w:r>
      <w:r>
        <w:rPr/>
        <w:t>and</w:t>
      </w:r>
      <w:r>
        <w:rPr>
          <w:spacing w:val="-23"/>
        </w:rPr>
        <w:t> </w:t>
      </w:r>
      <w:r>
        <w:rPr/>
        <w:t>went</w:t>
      </w:r>
      <w:r>
        <w:rPr>
          <w:spacing w:val="-24"/>
        </w:rPr>
        <w:t> </w:t>
      </w:r>
      <w:r>
        <w:rPr/>
        <w:t>straight</w:t>
      </w:r>
      <w:r>
        <w:rPr>
          <w:spacing w:val="-25"/>
        </w:rPr>
        <w:t> </w:t>
      </w:r>
      <w:r>
        <w:rPr/>
        <w:t>to</w:t>
      </w:r>
      <w:r>
        <w:rPr>
          <w:spacing w:val="-23"/>
        </w:rPr>
        <w:t> </w:t>
      </w:r>
      <w:r>
        <w:rPr/>
        <w:t>his</w:t>
      </w:r>
      <w:r>
        <w:rPr>
          <w:spacing w:val="-24"/>
        </w:rPr>
        <w:t> </w:t>
      </w:r>
      <w:r>
        <w:rPr/>
        <w:t>boss's</w:t>
      </w:r>
      <w:r>
        <w:rPr>
          <w:spacing w:val="-26"/>
        </w:rPr>
        <w:t> </w:t>
      </w:r>
      <w:r>
        <w:rPr/>
        <w:t>office</w:t>
      </w:r>
      <w:r>
        <w:rPr>
          <w:spacing w:val="-23"/>
        </w:rPr>
        <w:t> </w:t>
      </w:r>
      <w:r>
        <w:rPr/>
        <w:t>to</w:t>
      </w:r>
      <w:r>
        <w:rPr>
          <w:spacing w:val="-22"/>
        </w:rPr>
        <w:t> </w:t>
      </w:r>
      <w:r>
        <w:rPr/>
        <w:t>confront him about the</w:t>
      </w:r>
      <w:r>
        <w:rPr>
          <w:spacing w:val="1"/>
        </w:rPr>
        <w:t> </w:t>
      </w:r>
      <w:r>
        <w:rPr/>
        <w:t>discrepancy!</w:t>
      </w:r>
    </w:p>
    <w:p>
      <w:pPr>
        <w:pStyle w:val="BodyText"/>
        <w:spacing w:line="276" w:lineRule="auto" w:before="241"/>
        <w:ind w:left="477" w:right="130"/>
        <w:jc w:val="both"/>
      </w:pPr>
      <w:r>
        <w:rPr/>
        <w:t>The clear answer and unmistakable message to Moss was: ‘Report what we tell you to, that’s your job!’</w:t>
      </w:r>
    </w:p>
    <w:p>
      <w:pPr>
        <w:pStyle w:val="BodyText"/>
        <w:spacing w:line="276" w:lineRule="auto" w:before="241"/>
        <w:ind w:left="477" w:right="133"/>
        <w:jc w:val="both"/>
      </w:pPr>
      <w:r>
        <w:rPr/>
        <w:t>Dr.</w:t>
      </w:r>
      <w:r>
        <w:rPr>
          <w:spacing w:val="-4"/>
        </w:rPr>
        <w:t> </w:t>
      </w:r>
      <w:r>
        <w:rPr/>
        <w:t>Moss</w:t>
      </w:r>
      <w:r>
        <w:rPr>
          <w:spacing w:val="-5"/>
        </w:rPr>
        <w:t> </w:t>
      </w:r>
      <w:r>
        <w:rPr/>
        <w:t>was</w:t>
      </w:r>
      <w:r>
        <w:rPr>
          <w:spacing w:val="-2"/>
        </w:rPr>
        <w:t> </w:t>
      </w:r>
      <w:r>
        <w:rPr/>
        <w:t>in</w:t>
      </w:r>
      <w:r>
        <w:rPr>
          <w:spacing w:val="-6"/>
        </w:rPr>
        <w:t> </w:t>
      </w:r>
      <w:r>
        <w:rPr/>
        <w:t>a</w:t>
      </w:r>
      <w:r>
        <w:rPr>
          <w:spacing w:val="-4"/>
        </w:rPr>
        <w:t> </w:t>
      </w:r>
      <w:r>
        <w:rPr/>
        <w:t>real</w:t>
      </w:r>
      <w:r>
        <w:rPr>
          <w:spacing w:val="-7"/>
        </w:rPr>
        <w:t> </w:t>
      </w:r>
      <w:r>
        <w:rPr/>
        <w:t>dilemma,</w:t>
      </w:r>
      <w:r>
        <w:rPr>
          <w:spacing w:val="-5"/>
        </w:rPr>
        <w:t> </w:t>
      </w:r>
      <w:r>
        <w:rPr/>
        <w:t>as</w:t>
      </w:r>
      <w:r>
        <w:rPr>
          <w:spacing w:val="-3"/>
        </w:rPr>
        <w:t> </w:t>
      </w:r>
      <w:r>
        <w:rPr/>
        <w:t>he</w:t>
      </w:r>
      <w:r>
        <w:rPr>
          <w:spacing w:val="-6"/>
        </w:rPr>
        <w:t> </w:t>
      </w:r>
      <w:r>
        <w:rPr/>
        <w:t>was</w:t>
      </w:r>
      <w:r>
        <w:rPr>
          <w:spacing w:val="-2"/>
        </w:rPr>
        <w:t> </w:t>
      </w:r>
      <w:r>
        <w:rPr/>
        <w:t>well</w:t>
      </w:r>
      <w:r>
        <w:rPr>
          <w:spacing w:val="-4"/>
        </w:rPr>
        <w:t> </w:t>
      </w:r>
      <w:r>
        <w:rPr/>
        <w:t>on</w:t>
      </w:r>
      <w:r>
        <w:rPr>
          <w:spacing w:val="-3"/>
        </w:rPr>
        <w:t> </w:t>
      </w:r>
      <w:r>
        <w:rPr/>
        <w:t>the</w:t>
      </w:r>
      <w:r>
        <w:rPr>
          <w:spacing w:val="-5"/>
        </w:rPr>
        <w:t> </w:t>
      </w:r>
      <w:r>
        <w:rPr/>
        <w:t>way</w:t>
      </w:r>
      <w:r>
        <w:rPr>
          <w:spacing w:val="-2"/>
        </w:rPr>
        <w:t> </w:t>
      </w:r>
      <w:r>
        <w:rPr/>
        <w:t>to</w:t>
      </w:r>
      <w:r>
        <w:rPr>
          <w:spacing w:val="-5"/>
        </w:rPr>
        <w:t> </w:t>
      </w:r>
      <w:r>
        <w:rPr/>
        <w:t>a</w:t>
      </w:r>
      <w:r>
        <w:rPr>
          <w:spacing w:val="-5"/>
        </w:rPr>
        <w:t> </w:t>
      </w:r>
      <w:r>
        <w:rPr/>
        <w:t>decent</w:t>
      </w:r>
      <w:r>
        <w:rPr>
          <w:spacing w:val="-4"/>
        </w:rPr>
        <w:t> </w:t>
      </w:r>
      <w:r>
        <w:rPr/>
        <w:t>career</w:t>
      </w:r>
      <w:r>
        <w:rPr>
          <w:spacing w:val="-6"/>
        </w:rPr>
        <w:t> </w:t>
      </w:r>
      <w:r>
        <w:rPr/>
        <w:t>at </w:t>
      </w:r>
      <w:r>
        <w:rPr>
          <w:i/>
        </w:rPr>
        <w:t>Sloan-Kettering</w:t>
      </w:r>
      <w:r>
        <w:rPr/>
        <w:t>,</w:t>
      </w:r>
      <w:r>
        <w:rPr>
          <w:spacing w:val="-23"/>
        </w:rPr>
        <w:t> </w:t>
      </w:r>
      <w:r>
        <w:rPr/>
        <w:t>receiving</w:t>
      </w:r>
      <w:r>
        <w:rPr>
          <w:spacing w:val="-23"/>
        </w:rPr>
        <w:t> </w:t>
      </w:r>
      <w:r>
        <w:rPr/>
        <w:t>regular</w:t>
      </w:r>
      <w:r>
        <w:rPr>
          <w:spacing w:val="-23"/>
        </w:rPr>
        <w:t> </w:t>
      </w:r>
      <w:r>
        <w:rPr/>
        <w:t>pay</w:t>
      </w:r>
      <w:r>
        <w:rPr>
          <w:spacing w:val="-24"/>
        </w:rPr>
        <w:t> </w:t>
      </w:r>
      <w:r>
        <w:rPr/>
        <w:t>raises,</w:t>
      </w:r>
      <w:r>
        <w:rPr>
          <w:spacing w:val="-23"/>
        </w:rPr>
        <w:t> </w:t>
      </w:r>
      <w:r>
        <w:rPr/>
        <w:t>and</w:t>
      </w:r>
      <w:r>
        <w:rPr>
          <w:spacing w:val="-24"/>
        </w:rPr>
        <w:t> </w:t>
      </w:r>
      <w:r>
        <w:rPr/>
        <w:t>had</w:t>
      </w:r>
      <w:r>
        <w:rPr>
          <w:spacing w:val="-24"/>
        </w:rPr>
        <w:t> </w:t>
      </w:r>
      <w:r>
        <w:rPr/>
        <w:t>a</w:t>
      </w:r>
      <w:r>
        <w:rPr>
          <w:spacing w:val="-24"/>
        </w:rPr>
        <w:t> </w:t>
      </w:r>
      <w:r>
        <w:rPr/>
        <w:t>family</w:t>
      </w:r>
      <w:r>
        <w:rPr>
          <w:spacing w:val="-24"/>
        </w:rPr>
        <w:t> </w:t>
      </w:r>
      <w:r>
        <w:rPr/>
        <w:t>to</w:t>
      </w:r>
      <w:r>
        <w:rPr>
          <w:spacing w:val="-23"/>
        </w:rPr>
        <w:t> </w:t>
      </w:r>
      <w:r>
        <w:rPr/>
        <w:t>feed.</w:t>
      </w:r>
      <w:r>
        <w:rPr>
          <w:spacing w:val="-23"/>
        </w:rPr>
        <w:t> </w:t>
      </w:r>
      <w:r>
        <w:rPr/>
        <w:t>But</w:t>
      </w:r>
      <w:r>
        <w:rPr>
          <w:spacing w:val="-24"/>
        </w:rPr>
        <w:t> </w:t>
      </w:r>
      <w:r>
        <w:rPr/>
        <w:t>he</w:t>
      </w:r>
      <w:r>
        <w:rPr>
          <w:spacing w:val="-24"/>
        </w:rPr>
        <w:t> </w:t>
      </w:r>
      <w:r>
        <w:rPr/>
        <w:t>could never have looked himself in the mirror again if he kept telling the public this bizarre, misanthropic</w:t>
      </w:r>
      <w:r>
        <w:rPr>
          <w:spacing w:val="1"/>
        </w:rPr>
        <w:t> </w:t>
      </w:r>
      <w:r>
        <w:rPr/>
        <w:t>lie.</w:t>
      </w:r>
    </w:p>
    <w:p>
      <w:pPr>
        <w:pStyle w:val="BodyText"/>
        <w:spacing w:line="276" w:lineRule="auto" w:before="240"/>
        <w:ind w:left="477" w:right="134"/>
        <w:jc w:val="both"/>
      </w:pPr>
      <w:r>
        <w:rPr/>
        <w:t>So, he decided on to hold a separate press conference at the Hilton Hotel on 17</w:t>
      </w:r>
      <w:r>
        <w:rPr>
          <w:spacing w:val="-8"/>
        </w:rPr>
        <w:t> </w:t>
      </w:r>
      <w:r>
        <w:rPr/>
        <w:t>November</w:t>
      </w:r>
      <w:r>
        <w:rPr>
          <w:spacing w:val="-5"/>
        </w:rPr>
        <w:t> </w:t>
      </w:r>
      <w:r>
        <w:rPr/>
        <w:t>1977</w:t>
      </w:r>
      <w:r>
        <w:rPr>
          <w:spacing w:val="-8"/>
        </w:rPr>
        <w:t> </w:t>
      </w:r>
      <w:r>
        <w:rPr/>
        <w:t>in</w:t>
      </w:r>
      <w:r>
        <w:rPr>
          <w:spacing w:val="-6"/>
        </w:rPr>
        <w:t> </w:t>
      </w:r>
      <w:r>
        <w:rPr/>
        <w:t>front</w:t>
      </w:r>
      <w:r>
        <w:rPr>
          <w:spacing w:val="-6"/>
        </w:rPr>
        <w:t> </w:t>
      </w:r>
      <w:r>
        <w:rPr/>
        <w:t>of</w:t>
      </w:r>
      <w:r>
        <w:rPr>
          <w:spacing w:val="-9"/>
        </w:rPr>
        <w:t> </w:t>
      </w:r>
      <w:r>
        <w:rPr/>
        <w:t>numerous</w:t>
      </w:r>
      <w:r>
        <w:rPr>
          <w:spacing w:val="-6"/>
        </w:rPr>
        <w:t> </w:t>
      </w:r>
      <w:r>
        <w:rPr/>
        <w:t>invited</w:t>
      </w:r>
      <w:r>
        <w:rPr>
          <w:spacing w:val="-4"/>
        </w:rPr>
        <w:t> </w:t>
      </w:r>
      <w:r>
        <w:rPr/>
        <w:t>journalists</w:t>
      </w:r>
      <w:r>
        <w:rPr>
          <w:spacing w:val="-6"/>
        </w:rPr>
        <w:t> </w:t>
      </w:r>
      <w:r>
        <w:rPr/>
        <w:t>and</w:t>
      </w:r>
      <w:r>
        <w:rPr>
          <w:spacing w:val="-6"/>
        </w:rPr>
        <w:t> </w:t>
      </w:r>
      <w:r>
        <w:rPr/>
        <w:t>expose</w:t>
      </w:r>
      <w:r>
        <w:rPr>
          <w:spacing w:val="-5"/>
        </w:rPr>
        <w:t> </w:t>
      </w:r>
      <w:r>
        <w:rPr/>
        <w:t>the</w:t>
      </w:r>
      <w:r>
        <w:rPr>
          <w:spacing w:val="-6"/>
        </w:rPr>
        <w:t> </w:t>
      </w:r>
      <w:r>
        <w:rPr/>
        <w:t>lies</w:t>
      </w:r>
    </w:p>
    <w:p>
      <w:pPr>
        <w:spacing w:after="0" w:line="276" w:lineRule="auto"/>
        <w:jc w:val="both"/>
        <w:sectPr>
          <w:pgSz w:w="14270" w:h="16850"/>
          <w:pgMar w:header="0" w:footer="1891" w:top="1600" w:bottom="2080" w:left="800" w:right="1280"/>
        </w:sectPr>
      </w:pPr>
    </w:p>
    <w:p>
      <w:pPr>
        <w:pStyle w:val="BodyText"/>
        <w:spacing w:line="276" w:lineRule="auto" w:before="181"/>
        <w:ind w:left="477" w:right="132"/>
        <w:jc w:val="both"/>
      </w:pPr>
      <w:r>
        <w:rPr/>
        <w:t>of</w:t>
      </w:r>
      <w:r>
        <w:rPr>
          <w:spacing w:val="-13"/>
        </w:rPr>
        <w:t> </w:t>
      </w:r>
      <w:r>
        <w:rPr>
          <w:i/>
        </w:rPr>
        <w:t>Sloan-Kettering</w:t>
      </w:r>
      <w:r>
        <w:rPr/>
        <w:t>!</w:t>
      </w:r>
      <w:r>
        <w:rPr>
          <w:spacing w:val="-15"/>
        </w:rPr>
        <w:t> </w:t>
      </w:r>
      <w:r>
        <w:rPr/>
        <w:t>As</w:t>
      </w:r>
      <w:r>
        <w:rPr>
          <w:spacing w:val="-14"/>
        </w:rPr>
        <w:t> </w:t>
      </w:r>
      <w:r>
        <w:rPr/>
        <w:t>expected,</w:t>
      </w:r>
      <w:r>
        <w:rPr>
          <w:spacing w:val="-12"/>
        </w:rPr>
        <w:t> </w:t>
      </w:r>
      <w:r>
        <w:rPr/>
        <w:t>he</w:t>
      </w:r>
      <w:r>
        <w:rPr>
          <w:spacing w:val="-16"/>
        </w:rPr>
        <w:t> </w:t>
      </w:r>
      <w:r>
        <w:rPr/>
        <w:t>was</w:t>
      </w:r>
      <w:r>
        <w:rPr>
          <w:spacing w:val="-12"/>
        </w:rPr>
        <w:t> </w:t>
      </w:r>
      <w:r>
        <w:rPr/>
        <w:t>fired</w:t>
      </w:r>
      <w:r>
        <w:rPr>
          <w:spacing w:val="-14"/>
        </w:rPr>
        <w:t> </w:t>
      </w:r>
      <w:r>
        <w:rPr/>
        <w:t>the</w:t>
      </w:r>
      <w:r>
        <w:rPr>
          <w:spacing w:val="-12"/>
        </w:rPr>
        <w:t> </w:t>
      </w:r>
      <w:r>
        <w:rPr/>
        <w:t>next</w:t>
      </w:r>
      <w:r>
        <w:rPr>
          <w:spacing w:val="-14"/>
        </w:rPr>
        <w:t> </w:t>
      </w:r>
      <w:r>
        <w:rPr/>
        <w:t>day</w:t>
      </w:r>
      <w:r>
        <w:rPr>
          <w:spacing w:val="-14"/>
        </w:rPr>
        <w:t> </w:t>
      </w:r>
      <w:r>
        <w:rPr/>
        <w:t>and</w:t>
      </w:r>
      <w:r>
        <w:rPr>
          <w:spacing w:val="-14"/>
        </w:rPr>
        <w:t> </w:t>
      </w:r>
      <w:r>
        <w:rPr/>
        <w:t>has</w:t>
      </w:r>
      <w:r>
        <w:rPr>
          <w:spacing w:val="-12"/>
        </w:rPr>
        <w:t> </w:t>
      </w:r>
      <w:r>
        <w:rPr/>
        <w:t>since</w:t>
      </w:r>
      <w:r>
        <w:rPr>
          <w:spacing w:val="-14"/>
        </w:rPr>
        <w:t> </w:t>
      </w:r>
      <w:r>
        <w:rPr/>
        <w:t>been</w:t>
      </w:r>
      <w:r>
        <w:rPr>
          <w:spacing w:val="-12"/>
        </w:rPr>
        <w:t> </w:t>
      </w:r>
      <w:r>
        <w:rPr/>
        <w:t>very successful in exploring alternative cancer therapies.</w:t>
      </w:r>
    </w:p>
    <w:p>
      <w:pPr>
        <w:pStyle w:val="BodyText"/>
        <w:spacing w:line="276" w:lineRule="auto" w:before="241"/>
        <w:ind w:left="477" w:right="134"/>
        <w:jc w:val="both"/>
      </w:pPr>
      <w:r>
        <w:rPr/>
        <w:t>This</w:t>
      </w:r>
      <w:r>
        <w:rPr>
          <w:spacing w:val="-12"/>
        </w:rPr>
        <w:t> </w:t>
      </w:r>
      <w:r>
        <w:rPr/>
        <w:t>press</w:t>
      </w:r>
      <w:r>
        <w:rPr>
          <w:spacing w:val="-12"/>
        </w:rPr>
        <w:t> </w:t>
      </w:r>
      <w:r>
        <w:rPr/>
        <w:t>conference</w:t>
      </w:r>
      <w:r>
        <w:rPr>
          <w:spacing w:val="-12"/>
        </w:rPr>
        <w:t> </w:t>
      </w:r>
      <w:r>
        <w:rPr/>
        <w:t>triggered</w:t>
      </w:r>
      <w:r>
        <w:rPr>
          <w:spacing w:val="-14"/>
        </w:rPr>
        <w:t> </w:t>
      </w:r>
      <w:r>
        <w:rPr/>
        <w:t>a</w:t>
      </w:r>
      <w:r>
        <w:rPr>
          <w:spacing w:val="-13"/>
        </w:rPr>
        <w:t> </w:t>
      </w:r>
      <w:r>
        <w:rPr/>
        <w:t>veritable</w:t>
      </w:r>
      <w:r>
        <w:rPr>
          <w:spacing w:val="-12"/>
        </w:rPr>
        <w:t> </w:t>
      </w:r>
      <w:r>
        <w:rPr/>
        <w:t>avalanche</w:t>
      </w:r>
      <w:r>
        <w:rPr>
          <w:spacing w:val="-11"/>
        </w:rPr>
        <w:t> </w:t>
      </w:r>
      <w:r>
        <w:rPr/>
        <w:t>of</w:t>
      </w:r>
      <w:r>
        <w:rPr>
          <w:spacing w:val="-11"/>
        </w:rPr>
        <w:t> </w:t>
      </w:r>
      <w:r>
        <w:rPr/>
        <w:t>interest</w:t>
      </w:r>
      <w:r>
        <w:rPr>
          <w:spacing w:val="-12"/>
        </w:rPr>
        <w:t> </w:t>
      </w:r>
      <w:r>
        <w:rPr/>
        <w:t>in</w:t>
      </w:r>
      <w:r>
        <w:rPr>
          <w:spacing w:val="-14"/>
        </w:rPr>
        <w:t> </w:t>
      </w:r>
      <w:r>
        <w:rPr/>
        <w:t>vitamin</w:t>
      </w:r>
      <w:r>
        <w:rPr>
          <w:spacing w:val="-11"/>
        </w:rPr>
        <w:t> </w:t>
      </w:r>
      <w:r>
        <w:rPr/>
        <w:t>B17, which was confronted by a billion-dollar campaign on behalf of Big Pharma. This</w:t>
      </w:r>
      <w:r>
        <w:rPr>
          <w:spacing w:val="-11"/>
        </w:rPr>
        <w:t> </w:t>
      </w:r>
      <w:r>
        <w:rPr/>
        <w:t>campaign</w:t>
      </w:r>
      <w:r>
        <w:rPr>
          <w:spacing w:val="-9"/>
        </w:rPr>
        <w:t> </w:t>
      </w:r>
      <w:r>
        <w:rPr/>
        <w:t>went</w:t>
      </w:r>
      <w:r>
        <w:rPr>
          <w:spacing w:val="-11"/>
        </w:rPr>
        <w:t> </w:t>
      </w:r>
      <w:r>
        <w:rPr/>
        <w:t>to</w:t>
      </w:r>
      <w:r>
        <w:rPr>
          <w:spacing w:val="-11"/>
        </w:rPr>
        <w:t> </w:t>
      </w:r>
      <w:r>
        <w:rPr/>
        <w:t>the</w:t>
      </w:r>
      <w:r>
        <w:rPr>
          <w:spacing w:val="-10"/>
        </w:rPr>
        <w:t> </w:t>
      </w:r>
      <w:r>
        <w:rPr/>
        <w:t>highest</w:t>
      </w:r>
      <w:r>
        <w:rPr>
          <w:spacing w:val="-11"/>
        </w:rPr>
        <w:t> </w:t>
      </w:r>
      <w:r>
        <w:rPr/>
        <w:t>reaches</w:t>
      </w:r>
      <w:r>
        <w:rPr>
          <w:spacing w:val="-11"/>
        </w:rPr>
        <w:t> </w:t>
      </w:r>
      <w:r>
        <w:rPr/>
        <w:t>of</w:t>
      </w:r>
      <w:r>
        <w:rPr>
          <w:spacing w:val="-10"/>
        </w:rPr>
        <w:t> </w:t>
      </w:r>
      <w:r>
        <w:rPr/>
        <w:t>government</w:t>
      </w:r>
      <w:r>
        <w:rPr>
          <w:spacing w:val="-12"/>
        </w:rPr>
        <w:t> </w:t>
      </w:r>
      <w:r>
        <w:rPr/>
        <w:t>and</w:t>
      </w:r>
      <w:r>
        <w:rPr>
          <w:spacing w:val="-10"/>
        </w:rPr>
        <w:t> </w:t>
      </w:r>
      <w:r>
        <w:rPr/>
        <w:t>the</w:t>
      </w:r>
      <w:r>
        <w:rPr>
          <w:spacing w:val="-11"/>
        </w:rPr>
        <w:t> </w:t>
      </w:r>
      <w:r>
        <w:rPr/>
        <w:t>famous</w:t>
      </w:r>
      <w:r>
        <w:rPr>
          <w:spacing w:val="-11"/>
        </w:rPr>
        <w:t> </w:t>
      </w:r>
      <w:r>
        <w:rPr/>
        <w:t>doc- tor and researcher Dr. Hans Nieper likened it to the scandal surrounding the Vietnam War.</w:t>
      </w:r>
    </w:p>
    <w:p>
      <w:pPr>
        <w:pStyle w:val="BodyText"/>
        <w:spacing w:line="276" w:lineRule="auto" w:before="240"/>
        <w:ind w:left="477" w:right="133"/>
        <w:jc w:val="both"/>
      </w:pPr>
      <w:r>
        <w:rPr/>
        <w:t>A story that could fill entire libraries. Anyone keen to learn more should the book ‘A World Without Cancer. The History of Vitamin B17 and its Repres- sion’ by G. Edward Griffin.</w:t>
      </w:r>
    </w:p>
    <w:p>
      <w:pPr>
        <w:pStyle w:val="BodyText"/>
        <w:spacing w:line="276" w:lineRule="auto" w:before="241"/>
        <w:ind w:left="477" w:right="134"/>
        <w:jc w:val="both"/>
      </w:pPr>
      <w:r>
        <w:rPr/>
        <w:t>To</w:t>
      </w:r>
      <w:r>
        <w:rPr>
          <w:spacing w:val="-15"/>
        </w:rPr>
        <w:t> </w:t>
      </w:r>
      <w:r>
        <w:rPr/>
        <w:t>put</w:t>
      </w:r>
      <w:r>
        <w:rPr>
          <w:spacing w:val="-17"/>
        </w:rPr>
        <w:t> </w:t>
      </w:r>
      <w:r>
        <w:rPr/>
        <w:t>it</w:t>
      </w:r>
      <w:r>
        <w:rPr>
          <w:spacing w:val="-17"/>
        </w:rPr>
        <w:t> </w:t>
      </w:r>
      <w:r>
        <w:rPr/>
        <w:t>briefly:</w:t>
      </w:r>
      <w:r>
        <w:rPr>
          <w:spacing w:val="-13"/>
        </w:rPr>
        <w:t> </w:t>
      </w:r>
      <w:r>
        <w:rPr/>
        <w:t>in</w:t>
      </w:r>
      <w:r>
        <w:rPr>
          <w:spacing w:val="-15"/>
        </w:rPr>
        <w:t> </w:t>
      </w:r>
      <w:r>
        <w:rPr/>
        <w:t>the</w:t>
      </w:r>
      <w:r>
        <w:rPr>
          <w:spacing w:val="-14"/>
        </w:rPr>
        <w:t> </w:t>
      </w:r>
      <w:r>
        <w:rPr/>
        <w:t>USA,</w:t>
      </w:r>
      <w:r>
        <w:rPr>
          <w:spacing w:val="-15"/>
        </w:rPr>
        <w:t> </w:t>
      </w:r>
      <w:r>
        <w:rPr/>
        <w:t>lots</w:t>
      </w:r>
      <w:r>
        <w:rPr>
          <w:spacing w:val="-14"/>
        </w:rPr>
        <w:t> </w:t>
      </w:r>
      <w:r>
        <w:rPr/>
        <w:t>of</w:t>
      </w:r>
      <w:r>
        <w:rPr>
          <w:spacing w:val="-15"/>
        </w:rPr>
        <w:t> </w:t>
      </w:r>
      <w:r>
        <w:rPr/>
        <w:t>people</w:t>
      </w:r>
      <w:r>
        <w:rPr>
          <w:spacing w:val="-16"/>
        </w:rPr>
        <w:t> </w:t>
      </w:r>
      <w:r>
        <w:rPr/>
        <w:t>were</w:t>
      </w:r>
      <w:r>
        <w:rPr>
          <w:spacing w:val="-15"/>
        </w:rPr>
        <w:t> </w:t>
      </w:r>
      <w:r>
        <w:rPr/>
        <w:t>arrested</w:t>
      </w:r>
      <w:r>
        <w:rPr>
          <w:spacing w:val="-14"/>
        </w:rPr>
        <w:t> </w:t>
      </w:r>
      <w:r>
        <w:rPr/>
        <w:t>and</w:t>
      </w:r>
      <w:r>
        <w:rPr>
          <w:spacing w:val="-15"/>
        </w:rPr>
        <w:t> </w:t>
      </w:r>
      <w:r>
        <w:rPr/>
        <w:t>many</w:t>
      </w:r>
      <w:r>
        <w:rPr>
          <w:spacing w:val="-15"/>
        </w:rPr>
        <w:t> </w:t>
      </w:r>
      <w:r>
        <w:rPr/>
        <w:t>doctors</w:t>
      </w:r>
      <w:r>
        <w:rPr>
          <w:spacing w:val="-14"/>
        </w:rPr>
        <w:t> </w:t>
      </w:r>
      <w:r>
        <w:rPr/>
        <w:t>lost their practice license. Vitamin B17 was quickly declared toxic and useless, its use in treatment was banned, and even the trade in bitter apricot kernels was banned in the US and</w:t>
      </w:r>
      <w:r>
        <w:rPr>
          <w:spacing w:val="3"/>
        </w:rPr>
        <w:t> </w:t>
      </w:r>
      <w:r>
        <w:rPr/>
        <w:t>Canada!</w:t>
      </w:r>
    </w:p>
    <w:p>
      <w:pPr>
        <w:pStyle w:val="BodyText"/>
        <w:spacing w:line="276" w:lineRule="auto" w:before="240"/>
        <w:ind w:left="477" w:right="137"/>
        <w:jc w:val="both"/>
      </w:pPr>
      <w:r>
        <w:rPr/>
        <w:t>In the meantime, Dr. Ralph Moss has dedicated his life to exploring</w:t>
      </w:r>
      <w:r>
        <w:rPr>
          <w:spacing w:val="-47"/>
        </w:rPr>
        <w:t> </w:t>
      </w:r>
      <w:r>
        <w:rPr/>
        <w:t>alternative cancer therapies, is one of the most respected medical writers, and has written and published twelve books on ‘cancer‘ as a recognised expert and</w:t>
      </w:r>
      <w:r>
        <w:rPr>
          <w:spacing w:val="-25"/>
        </w:rPr>
        <w:t> </w:t>
      </w:r>
      <w:r>
        <w:rPr/>
        <w:t>consultant.</w:t>
      </w:r>
    </w:p>
    <w:p>
      <w:pPr>
        <w:pStyle w:val="Heading2"/>
        <w:spacing w:before="241"/>
        <w:jc w:val="both"/>
      </w:pPr>
      <w:r>
        <w:rPr/>
        <w:t>The patent dilemma</w:t>
      </w:r>
    </w:p>
    <w:p>
      <w:pPr>
        <w:pStyle w:val="BodyText"/>
        <w:spacing w:line="276" w:lineRule="auto" w:before="303"/>
        <w:ind w:left="477" w:right="135"/>
        <w:jc w:val="both"/>
      </w:pPr>
      <w:r>
        <w:rPr/>
        <w:t>If one asks for the reasons why studies concerning natural substances are ma- nipulated,</w:t>
      </w:r>
      <w:r>
        <w:rPr>
          <w:spacing w:val="-13"/>
        </w:rPr>
        <w:t> </w:t>
      </w:r>
      <w:r>
        <w:rPr/>
        <w:t>which</w:t>
      </w:r>
      <w:r>
        <w:rPr>
          <w:spacing w:val="-10"/>
        </w:rPr>
        <w:t> </w:t>
      </w:r>
      <w:r>
        <w:rPr/>
        <w:t>unfortunately</w:t>
      </w:r>
      <w:r>
        <w:rPr>
          <w:spacing w:val="-13"/>
        </w:rPr>
        <w:t> </w:t>
      </w:r>
      <w:r>
        <w:rPr/>
        <w:t>is</w:t>
      </w:r>
      <w:r>
        <w:rPr>
          <w:spacing w:val="-13"/>
        </w:rPr>
        <w:t> </w:t>
      </w:r>
      <w:r>
        <w:rPr/>
        <w:t>still</w:t>
      </w:r>
      <w:r>
        <w:rPr>
          <w:spacing w:val="-13"/>
        </w:rPr>
        <w:t> </w:t>
      </w:r>
      <w:r>
        <w:rPr/>
        <w:t>an</w:t>
      </w:r>
      <w:r>
        <w:rPr>
          <w:spacing w:val="-12"/>
        </w:rPr>
        <w:t> </w:t>
      </w:r>
      <w:r>
        <w:rPr/>
        <w:t>issue,</w:t>
      </w:r>
      <w:r>
        <w:rPr>
          <w:spacing w:val="-13"/>
        </w:rPr>
        <w:t> </w:t>
      </w:r>
      <w:r>
        <w:rPr/>
        <w:t>but</w:t>
      </w:r>
      <w:r>
        <w:rPr>
          <w:spacing w:val="-13"/>
        </w:rPr>
        <w:t> </w:t>
      </w:r>
      <w:r>
        <w:rPr/>
        <w:t>which</w:t>
      </w:r>
      <w:r>
        <w:rPr>
          <w:spacing w:val="-11"/>
        </w:rPr>
        <w:t> </w:t>
      </w:r>
      <w:r>
        <w:rPr/>
        <w:t>will</w:t>
      </w:r>
      <w:r>
        <w:rPr>
          <w:spacing w:val="-14"/>
        </w:rPr>
        <w:t> </w:t>
      </w:r>
      <w:r>
        <w:rPr/>
        <w:t>surely</w:t>
      </w:r>
      <w:r>
        <w:rPr>
          <w:spacing w:val="-12"/>
        </w:rPr>
        <w:t> </w:t>
      </w:r>
      <w:r>
        <w:rPr/>
        <w:t>never</w:t>
      </w:r>
      <w:r>
        <w:rPr>
          <w:spacing w:val="-12"/>
        </w:rPr>
        <w:t> </w:t>
      </w:r>
      <w:r>
        <w:rPr/>
        <w:t>reach the</w:t>
      </w:r>
      <w:r>
        <w:rPr>
          <w:spacing w:val="21"/>
        </w:rPr>
        <w:t> </w:t>
      </w:r>
      <w:r>
        <w:rPr/>
        <w:t>scope</w:t>
      </w:r>
      <w:r>
        <w:rPr>
          <w:spacing w:val="20"/>
        </w:rPr>
        <w:t> </w:t>
      </w:r>
      <w:r>
        <w:rPr/>
        <w:t>of</w:t>
      </w:r>
      <w:r>
        <w:rPr>
          <w:spacing w:val="21"/>
        </w:rPr>
        <w:t> </w:t>
      </w:r>
      <w:r>
        <w:rPr/>
        <w:t>the</w:t>
      </w:r>
      <w:r>
        <w:rPr>
          <w:spacing w:val="18"/>
        </w:rPr>
        <w:t> </w:t>
      </w:r>
      <w:r>
        <w:rPr/>
        <w:t>vitamin</w:t>
      </w:r>
      <w:r>
        <w:rPr>
          <w:spacing w:val="23"/>
        </w:rPr>
        <w:t> </w:t>
      </w:r>
      <w:r>
        <w:rPr/>
        <w:t>B17</w:t>
      </w:r>
      <w:r>
        <w:rPr>
          <w:spacing w:val="19"/>
        </w:rPr>
        <w:t> </w:t>
      </w:r>
      <w:r>
        <w:rPr/>
        <w:t>scandal</w:t>
      </w:r>
      <w:r>
        <w:rPr>
          <w:spacing w:val="19"/>
        </w:rPr>
        <w:t> </w:t>
      </w:r>
      <w:r>
        <w:rPr/>
        <w:t>which</w:t>
      </w:r>
      <w:r>
        <w:rPr>
          <w:spacing w:val="20"/>
        </w:rPr>
        <w:t> </w:t>
      </w:r>
      <w:r>
        <w:rPr/>
        <w:t>we</w:t>
      </w:r>
      <w:r>
        <w:rPr>
          <w:spacing w:val="23"/>
        </w:rPr>
        <w:t> </w:t>
      </w:r>
      <w:r>
        <w:rPr/>
        <w:t>have</w:t>
      </w:r>
      <w:r>
        <w:rPr>
          <w:spacing w:val="20"/>
        </w:rPr>
        <w:t> </w:t>
      </w:r>
      <w:r>
        <w:rPr/>
        <w:t>touched</w:t>
      </w:r>
      <w:r>
        <w:rPr>
          <w:spacing w:val="20"/>
        </w:rPr>
        <w:t> </w:t>
      </w:r>
      <w:r>
        <w:rPr/>
        <w:t>on,</w:t>
      </w:r>
      <w:r>
        <w:rPr>
          <w:spacing w:val="21"/>
        </w:rPr>
        <w:t> </w:t>
      </w:r>
      <w:r>
        <w:rPr/>
        <w:t>one</w:t>
      </w:r>
      <w:r>
        <w:rPr>
          <w:spacing w:val="20"/>
        </w:rPr>
        <w:t> </w:t>
      </w:r>
      <w:r>
        <w:rPr/>
        <w:t>should</w:t>
      </w:r>
    </w:p>
    <w:p>
      <w:pPr>
        <w:spacing w:after="0" w:line="276" w:lineRule="auto"/>
        <w:jc w:val="both"/>
        <w:sectPr>
          <w:pgSz w:w="14270" w:h="16850"/>
          <w:pgMar w:header="0" w:footer="1891" w:top="1600" w:bottom="2080" w:left="800" w:right="1280"/>
        </w:sectPr>
      </w:pPr>
    </w:p>
    <w:p>
      <w:pPr>
        <w:pStyle w:val="BodyText"/>
        <w:spacing w:line="276" w:lineRule="auto" w:before="181"/>
        <w:ind w:left="477" w:right="148"/>
        <w:jc w:val="both"/>
      </w:pPr>
      <w:r>
        <w:rPr/>
        <w:t>first deal with the basics of this problem, which degenerates into a veritable dilemma for the pharmaceutical industry:</w:t>
      </w:r>
    </w:p>
    <w:p>
      <w:pPr>
        <w:pStyle w:val="ListParagraph"/>
        <w:numPr>
          <w:ilvl w:val="0"/>
          <w:numId w:val="50"/>
        </w:numPr>
        <w:tabs>
          <w:tab w:pos="1080" w:val="left" w:leader="none"/>
        </w:tabs>
        <w:spacing w:line="273" w:lineRule="auto" w:before="243" w:after="0"/>
        <w:ind w:left="1079" w:right="136" w:hanging="360"/>
        <w:jc w:val="both"/>
        <w:rPr>
          <w:sz w:val="38"/>
        </w:rPr>
      </w:pPr>
      <w:r>
        <w:rPr>
          <w:sz w:val="38"/>
        </w:rPr>
        <w:t>vitamin B17 (laetrile, amygdalin) is a natural substance and cannot be pa- tented because it is natural! (It goes without saying that you cannot patent a kernel of an apricot fruit that grows on the apricot</w:t>
      </w:r>
      <w:r>
        <w:rPr>
          <w:spacing w:val="-10"/>
          <w:sz w:val="38"/>
        </w:rPr>
        <w:t> </w:t>
      </w:r>
      <w:r>
        <w:rPr>
          <w:sz w:val="38"/>
        </w:rPr>
        <w:t>tree.)</w:t>
      </w:r>
    </w:p>
    <w:p>
      <w:pPr>
        <w:pStyle w:val="ListParagraph"/>
        <w:numPr>
          <w:ilvl w:val="0"/>
          <w:numId w:val="50"/>
        </w:numPr>
        <w:tabs>
          <w:tab w:pos="1080" w:val="left" w:leader="none"/>
        </w:tabs>
        <w:spacing w:line="276" w:lineRule="auto" w:before="251" w:after="0"/>
        <w:ind w:left="1079" w:right="131" w:hanging="360"/>
        <w:jc w:val="both"/>
        <w:rPr>
          <w:sz w:val="38"/>
        </w:rPr>
      </w:pPr>
      <w:r>
        <w:rPr>
          <w:sz w:val="38"/>
        </w:rPr>
        <w:t>On the other hand, as mentioned above, a non-patentable substance does not justify expensive licensing studies for a pharmaceutical company, as</w:t>
      </w:r>
      <w:r>
        <w:rPr>
          <w:spacing w:val="-64"/>
          <w:sz w:val="38"/>
        </w:rPr>
        <w:t> </w:t>
      </w:r>
      <w:r>
        <w:rPr>
          <w:sz w:val="38"/>
        </w:rPr>
        <w:t>re- quired</w:t>
      </w:r>
      <w:r>
        <w:rPr>
          <w:spacing w:val="-9"/>
          <w:sz w:val="38"/>
        </w:rPr>
        <w:t> </w:t>
      </w:r>
      <w:r>
        <w:rPr>
          <w:sz w:val="38"/>
        </w:rPr>
        <w:t>by</w:t>
      </w:r>
      <w:r>
        <w:rPr>
          <w:spacing w:val="-9"/>
          <w:sz w:val="38"/>
        </w:rPr>
        <w:t> </w:t>
      </w:r>
      <w:r>
        <w:rPr>
          <w:sz w:val="38"/>
        </w:rPr>
        <w:t>the</w:t>
      </w:r>
      <w:r>
        <w:rPr>
          <w:spacing w:val="-7"/>
          <w:sz w:val="38"/>
        </w:rPr>
        <w:t> </w:t>
      </w:r>
      <w:r>
        <w:rPr>
          <w:sz w:val="38"/>
        </w:rPr>
        <w:t>authorities</w:t>
      </w:r>
      <w:r>
        <w:rPr>
          <w:spacing w:val="-9"/>
          <w:sz w:val="38"/>
        </w:rPr>
        <w:t> </w:t>
      </w:r>
      <w:r>
        <w:rPr>
          <w:sz w:val="38"/>
        </w:rPr>
        <w:t>of</w:t>
      </w:r>
      <w:r>
        <w:rPr>
          <w:spacing w:val="-9"/>
          <w:sz w:val="38"/>
        </w:rPr>
        <w:t> </w:t>
      </w:r>
      <w:r>
        <w:rPr>
          <w:sz w:val="38"/>
        </w:rPr>
        <w:t>a</w:t>
      </w:r>
      <w:r>
        <w:rPr>
          <w:spacing w:val="-9"/>
          <w:sz w:val="38"/>
        </w:rPr>
        <w:t> </w:t>
      </w:r>
      <w:r>
        <w:rPr>
          <w:sz w:val="38"/>
        </w:rPr>
        <w:t>particular</w:t>
      </w:r>
      <w:r>
        <w:rPr>
          <w:spacing w:val="-9"/>
          <w:sz w:val="38"/>
        </w:rPr>
        <w:t> </w:t>
      </w:r>
      <w:r>
        <w:rPr>
          <w:sz w:val="38"/>
        </w:rPr>
        <w:t>country</w:t>
      </w:r>
      <w:r>
        <w:rPr>
          <w:spacing w:val="-8"/>
          <w:sz w:val="38"/>
        </w:rPr>
        <w:t> </w:t>
      </w:r>
      <w:r>
        <w:rPr>
          <w:sz w:val="38"/>
        </w:rPr>
        <w:t>for</w:t>
      </w:r>
      <w:r>
        <w:rPr>
          <w:spacing w:val="-8"/>
          <w:sz w:val="38"/>
        </w:rPr>
        <w:t> </w:t>
      </w:r>
      <w:r>
        <w:rPr>
          <w:sz w:val="38"/>
        </w:rPr>
        <w:t>new</w:t>
      </w:r>
      <w:r>
        <w:rPr>
          <w:spacing w:val="-10"/>
          <w:sz w:val="38"/>
        </w:rPr>
        <w:t> </w:t>
      </w:r>
      <w:r>
        <w:rPr>
          <w:sz w:val="38"/>
        </w:rPr>
        <w:t>medicines,</w:t>
      </w:r>
      <w:r>
        <w:rPr>
          <w:spacing w:val="-7"/>
          <w:sz w:val="38"/>
        </w:rPr>
        <w:t> </w:t>
      </w:r>
      <w:r>
        <w:rPr>
          <w:sz w:val="38"/>
        </w:rPr>
        <w:t>nor</w:t>
      </w:r>
      <w:r>
        <w:rPr>
          <w:spacing w:val="-9"/>
          <w:sz w:val="38"/>
        </w:rPr>
        <w:t> </w:t>
      </w:r>
      <w:r>
        <w:rPr>
          <w:sz w:val="38"/>
        </w:rPr>
        <w:t>any subsequent multi-million marketing campaign to successfully market the new</w:t>
      </w:r>
      <w:r>
        <w:rPr>
          <w:spacing w:val="-1"/>
          <w:sz w:val="38"/>
        </w:rPr>
        <w:t> </w:t>
      </w:r>
      <w:r>
        <w:rPr>
          <w:sz w:val="38"/>
        </w:rPr>
        <w:t>drug.</w:t>
      </w:r>
    </w:p>
    <w:p>
      <w:pPr>
        <w:pStyle w:val="BodyText"/>
        <w:spacing w:line="276" w:lineRule="auto" w:before="237"/>
        <w:ind w:left="477" w:right="131"/>
        <w:jc w:val="both"/>
      </w:pPr>
      <w:r>
        <w:rPr/>
        <w:t>Nevertheless, if a pharmaceutical company were to embark on this hugely ex- pensive endeavour, it would automatically accept that competitors could also lay</w:t>
      </w:r>
      <w:r>
        <w:rPr>
          <w:spacing w:val="-13"/>
        </w:rPr>
        <w:t> </w:t>
      </w:r>
      <w:r>
        <w:rPr/>
        <w:t>claim</w:t>
      </w:r>
      <w:r>
        <w:rPr>
          <w:spacing w:val="-12"/>
        </w:rPr>
        <w:t> </w:t>
      </w:r>
      <w:r>
        <w:rPr/>
        <w:t>to</w:t>
      </w:r>
      <w:r>
        <w:rPr>
          <w:spacing w:val="-11"/>
        </w:rPr>
        <w:t> </w:t>
      </w:r>
      <w:r>
        <w:rPr/>
        <w:t>the</w:t>
      </w:r>
      <w:r>
        <w:rPr>
          <w:spacing w:val="-11"/>
        </w:rPr>
        <w:t> </w:t>
      </w:r>
      <w:r>
        <w:rPr/>
        <w:t>now</w:t>
      </w:r>
      <w:r>
        <w:rPr>
          <w:spacing w:val="-12"/>
        </w:rPr>
        <w:t> </w:t>
      </w:r>
      <w:r>
        <w:rPr/>
        <w:t>universally</w:t>
      </w:r>
      <w:r>
        <w:rPr>
          <w:spacing w:val="-9"/>
        </w:rPr>
        <w:t> </w:t>
      </w:r>
      <w:r>
        <w:rPr/>
        <w:t>valid,</w:t>
      </w:r>
      <w:r>
        <w:rPr>
          <w:spacing w:val="-11"/>
        </w:rPr>
        <w:t> </w:t>
      </w:r>
      <w:r>
        <w:rPr/>
        <w:t>published</w:t>
      </w:r>
      <w:r>
        <w:rPr>
          <w:spacing w:val="-9"/>
        </w:rPr>
        <w:t> </w:t>
      </w:r>
      <w:r>
        <w:rPr/>
        <w:t>studies</w:t>
      </w:r>
      <w:r>
        <w:rPr>
          <w:spacing w:val="-12"/>
        </w:rPr>
        <w:t> </w:t>
      </w:r>
      <w:r>
        <w:rPr/>
        <w:t>and,</w:t>
      </w:r>
      <w:r>
        <w:rPr>
          <w:spacing w:val="-11"/>
        </w:rPr>
        <w:t> </w:t>
      </w:r>
      <w:r>
        <w:rPr/>
        <w:t>due</w:t>
      </w:r>
      <w:r>
        <w:rPr>
          <w:spacing w:val="-13"/>
        </w:rPr>
        <w:t> </w:t>
      </w:r>
      <w:r>
        <w:rPr/>
        <w:t>to</w:t>
      </w:r>
      <w:r>
        <w:rPr>
          <w:spacing w:val="-10"/>
        </w:rPr>
        <w:t> </w:t>
      </w:r>
      <w:r>
        <w:rPr/>
        <w:t>the</w:t>
      </w:r>
      <w:r>
        <w:rPr>
          <w:spacing w:val="-11"/>
        </w:rPr>
        <w:t> </w:t>
      </w:r>
      <w:r>
        <w:rPr/>
        <w:t>millions they</w:t>
      </w:r>
      <w:r>
        <w:rPr>
          <w:spacing w:val="-18"/>
        </w:rPr>
        <w:t> </w:t>
      </w:r>
      <w:r>
        <w:rPr/>
        <w:t>would</w:t>
      </w:r>
      <w:r>
        <w:rPr>
          <w:spacing w:val="-18"/>
        </w:rPr>
        <w:t> </w:t>
      </w:r>
      <w:r>
        <w:rPr/>
        <w:t>save</w:t>
      </w:r>
      <w:r>
        <w:rPr>
          <w:spacing w:val="-18"/>
        </w:rPr>
        <w:t> </w:t>
      </w:r>
      <w:r>
        <w:rPr/>
        <w:t>in</w:t>
      </w:r>
      <w:r>
        <w:rPr>
          <w:spacing w:val="-18"/>
        </w:rPr>
        <w:t> </w:t>
      </w:r>
      <w:r>
        <w:rPr/>
        <w:t>not</w:t>
      </w:r>
      <w:r>
        <w:rPr>
          <w:spacing w:val="-19"/>
        </w:rPr>
        <w:t> </w:t>
      </w:r>
      <w:r>
        <w:rPr/>
        <w:t>having</w:t>
      </w:r>
      <w:r>
        <w:rPr>
          <w:spacing w:val="-17"/>
        </w:rPr>
        <w:t> </w:t>
      </w:r>
      <w:r>
        <w:rPr/>
        <w:t>to</w:t>
      </w:r>
      <w:r>
        <w:rPr>
          <w:spacing w:val="-18"/>
        </w:rPr>
        <w:t> </w:t>
      </w:r>
      <w:r>
        <w:rPr/>
        <w:t>conduct</w:t>
      </w:r>
      <w:r>
        <w:rPr>
          <w:spacing w:val="-18"/>
        </w:rPr>
        <w:t> </w:t>
      </w:r>
      <w:r>
        <w:rPr/>
        <w:t>the</w:t>
      </w:r>
      <w:r>
        <w:rPr>
          <w:spacing w:val="-18"/>
        </w:rPr>
        <w:t> </w:t>
      </w:r>
      <w:r>
        <w:rPr/>
        <w:t>study,</w:t>
      </w:r>
      <w:r>
        <w:rPr>
          <w:spacing w:val="-17"/>
        </w:rPr>
        <w:t> </w:t>
      </w:r>
      <w:r>
        <w:rPr/>
        <w:t>could</w:t>
      </w:r>
      <w:r>
        <w:rPr>
          <w:spacing w:val="-19"/>
        </w:rPr>
        <w:t> </w:t>
      </w:r>
      <w:r>
        <w:rPr/>
        <w:t>bring</w:t>
      </w:r>
      <w:r>
        <w:rPr>
          <w:spacing w:val="-17"/>
        </w:rPr>
        <w:t> </w:t>
      </w:r>
      <w:r>
        <w:rPr/>
        <w:t>a</w:t>
      </w:r>
      <w:r>
        <w:rPr>
          <w:spacing w:val="-20"/>
        </w:rPr>
        <w:t> </w:t>
      </w:r>
      <w:r>
        <w:rPr/>
        <w:t>much</w:t>
      </w:r>
      <w:r>
        <w:rPr>
          <w:spacing w:val="-17"/>
        </w:rPr>
        <w:t> </w:t>
      </w:r>
      <w:r>
        <w:rPr/>
        <w:t>cheaper drug onto the market with the same active ingredient only a short while</w:t>
      </w:r>
      <w:r>
        <w:rPr>
          <w:spacing w:val="-22"/>
        </w:rPr>
        <w:t> </w:t>
      </w:r>
      <w:r>
        <w:rPr/>
        <w:t>later.</w:t>
      </w:r>
    </w:p>
    <w:p>
      <w:pPr>
        <w:pStyle w:val="BodyText"/>
        <w:spacing w:line="276" w:lineRule="auto" w:before="242"/>
        <w:ind w:left="477" w:right="132"/>
        <w:jc w:val="both"/>
      </w:pPr>
      <w:r>
        <w:rPr/>
        <w:t>But</w:t>
      </w:r>
      <w:r>
        <w:rPr>
          <w:spacing w:val="-11"/>
        </w:rPr>
        <w:t> </w:t>
      </w:r>
      <w:r>
        <w:rPr/>
        <w:t>if</w:t>
      </w:r>
      <w:r>
        <w:rPr>
          <w:spacing w:val="-11"/>
        </w:rPr>
        <w:t> </w:t>
      </w:r>
      <w:r>
        <w:rPr/>
        <w:t>these</w:t>
      </w:r>
      <w:r>
        <w:rPr>
          <w:spacing w:val="-10"/>
        </w:rPr>
        <w:t> </w:t>
      </w:r>
      <w:r>
        <w:rPr/>
        <w:t>inexpensive</w:t>
      </w:r>
      <w:r>
        <w:rPr>
          <w:spacing w:val="-11"/>
        </w:rPr>
        <w:t> </w:t>
      </w:r>
      <w:r>
        <w:rPr/>
        <w:t>(non-patentable)</w:t>
      </w:r>
      <w:r>
        <w:rPr>
          <w:spacing w:val="-10"/>
        </w:rPr>
        <w:t> </w:t>
      </w:r>
      <w:r>
        <w:rPr/>
        <w:t>natural</w:t>
      </w:r>
      <w:r>
        <w:rPr>
          <w:spacing w:val="-9"/>
        </w:rPr>
        <w:t> </w:t>
      </w:r>
      <w:r>
        <w:rPr/>
        <w:t>products,</w:t>
      </w:r>
      <w:r>
        <w:rPr>
          <w:spacing w:val="-12"/>
        </w:rPr>
        <w:t> </w:t>
      </w:r>
      <w:r>
        <w:rPr/>
        <w:t>such</w:t>
      </w:r>
      <w:r>
        <w:rPr>
          <w:spacing w:val="-13"/>
        </w:rPr>
        <w:t> </w:t>
      </w:r>
      <w:r>
        <w:rPr/>
        <w:t>as,</w:t>
      </w:r>
      <w:r>
        <w:rPr>
          <w:spacing w:val="-10"/>
        </w:rPr>
        <w:t> </w:t>
      </w:r>
      <w:r>
        <w:rPr/>
        <w:t>in</w:t>
      </w:r>
      <w:r>
        <w:rPr>
          <w:spacing w:val="-13"/>
        </w:rPr>
        <w:t> </w:t>
      </w:r>
      <w:r>
        <w:rPr/>
        <w:t>this</w:t>
      </w:r>
      <w:r>
        <w:rPr>
          <w:spacing w:val="-12"/>
        </w:rPr>
        <w:t> </w:t>
      </w:r>
      <w:r>
        <w:rPr/>
        <w:t>case, laetrile from bitter apricot kernels, have a favourable ‘benefit-risk profile’, they ultimately</w:t>
      </w:r>
      <w:r>
        <w:rPr>
          <w:spacing w:val="-22"/>
        </w:rPr>
        <w:t> </w:t>
      </w:r>
      <w:r>
        <w:rPr/>
        <w:t>act</w:t>
      </w:r>
      <w:r>
        <w:rPr>
          <w:spacing w:val="-21"/>
        </w:rPr>
        <w:t> </w:t>
      </w:r>
      <w:r>
        <w:rPr/>
        <w:t>without</w:t>
      </w:r>
      <w:r>
        <w:rPr>
          <w:spacing w:val="-21"/>
        </w:rPr>
        <w:t> </w:t>
      </w:r>
      <w:r>
        <w:rPr/>
        <w:t>damaging</w:t>
      </w:r>
      <w:r>
        <w:rPr>
          <w:spacing w:val="-19"/>
        </w:rPr>
        <w:t> </w:t>
      </w:r>
      <w:r>
        <w:rPr/>
        <w:t>our</w:t>
      </w:r>
      <w:r>
        <w:rPr>
          <w:spacing w:val="-20"/>
        </w:rPr>
        <w:t> </w:t>
      </w:r>
      <w:r>
        <w:rPr/>
        <w:t>health,</w:t>
      </w:r>
      <w:r>
        <w:rPr>
          <w:spacing w:val="-20"/>
        </w:rPr>
        <w:t> </w:t>
      </w:r>
      <w:r>
        <w:rPr/>
        <w:t>meaning</w:t>
      </w:r>
      <w:r>
        <w:rPr>
          <w:spacing w:val="-19"/>
        </w:rPr>
        <w:t> </w:t>
      </w:r>
      <w:r>
        <w:rPr/>
        <w:t>that,</w:t>
      </w:r>
      <w:r>
        <w:rPr>
          <w:spacing w:val="-19"/>
        </w:rPr>
        <w:t> </w:t>
      </w:r>
      <w:r>
        <w:rPr/>
        <w:t>from</w:t>
      </w:r>
      <w:r>
        <w:rPr>
          <w:spacing w:val="-20"/>
        </w:rPr>
        <w:t> </w:t>
      </w:r>
      <w:r>
        <w:rPr/>
        <w:t>the</w:t>
      </w:r>
      <w:r>
        <w:rPr>
          <w:spacing w:val="-19"/>
        </w:rPr>
        <w:t> </w:t>
      </w:r>
      <w:r>
        <w:rPr/>
        <w:t>time</w:t>
      </w:r>
      <w:r>
        <w:rPr>
          <w:spacing w:val="-20"/>
        </w:rPr>
        <w:t> </w:t>
      </w:r>
      <w:r>
        <w:rPr/>
        <w:t>of</w:t>
      </w:r>
      <w:r>
        <w:rPr>
          <w:spacing w:val="-22"/>
        </w:rPr>
        <w:t> </w:t>
      </w:r>
      <w:r>
        <w:rPr/>
        <w:t>their market launch, they are in direct competition with the expensive drugs of the pharmaceutical industry, which are also often associated with significant side effects.</w:t>
      </w:r>
      <w:r>
        <w:rPr>
          <w:spacing w:val="12"/>
        </w:rPr>
        <w:t> </w:t>
      </w:r>
      <w:r>
        <w:rPr/>
        <w:t>This</w:t>
      </w:r>
      <w:r>
        <w:rPr>
          <w:spacing w:val="11"/>
        </w:rPr>
        <w:t> </w:t>
      </w:r>
      <w:r>
        <w:rPr/>
        <w:t>will</w:t>
      </w:r>
      <w:r>
        <w:rPr>
          <w:spacing w:val="11"/>
        </w:rPr>
        <w:t> </w:t>
      </w:r>
      <w:r>
        <w:rPr/>
        <w:t>automatically</w:t>
      </w:r>
      <w:r>
        <w:rPr>
          <w:spacing w:val="11"/>
        </w:rPr>
        <w:t> </w:t>
      </w:r>
      <w:r>
        <w:rPr/>
        <w:t>make</w:t>
      </w:r>
      <w:r>
        <w:rPr>
          <w:spacing w:val="10"/>
        </w:rPr>
        <w:t> </w:t>
      </w:r>
      <w:r>
        <w:rPr/>
        <w:t>you</w:t>
      </w:r>
      <w:r>
        <w:rPr>
          <w:spacing w:val="9"/>
        </w:rPr>
        <w:t> </w:t>
      </w:r>
      <w:r>
        <w:rPr/>
        <w:t>the</w:t>
      </w:r>
      <w:r>
        <w:rPr>
          <w:spacing w:val="11"/>
        </w:rPr>
        <w:t> </w:t>
      </w:r>
      <w:r>
        <w:rPr/>
        <w:t>target</w:t>
      </w:r>
      <w:r>
        <w:rPr>
          <w:spacing w:val="11"/>
        </w:rPr>
        <w:t> </w:t>
      </w:r>
      <w:r>
        <w:rPr/>
        <w:t>of</w:t>
      </w:r>
      <w:r>
        <w:rPr>
          <w:spacing w:val="11"/>
        </w:rPr>
        <w:t> </w:t>
      </w:r>
      <w:r>
        <w:rPr/>
        <w:t>the</w:t>
      </w:r>
      <w:r>
        <w:rPr>
          <w:spacing w:val="11"/>
        </w:rPr>
        <w:t> </w:t>
      </w:r>
      <w:r>
        <w:rPr/>
        <w:t>mighty</w:t>
      </w:r>
      <w:r>
        <w:rPr>
          <w:spacing w:val="11"/>
        </w:rPr>
        <w:t> </w:t>
      </w:r>
      <w:r>
        <w:rPr/>
        <w:t>Big</w:t>
      </w:r>
      <w:r>
        <w:rPr>
          <w:spacing w:val="11"/>
        </w:rPr>
        <w:t> </w:t>
      </w:r>
      <w:r>
        <w:rPr/>
        <w:t>Pharma,</w:t>
      </w:r>
    </w:p>
    <w:p>
      <w:pPr>
        <w:spacing w:after="0" w:line="276" w:lineRule="auto"/>
        <w:jc w:val="both"/>
        <w:sectPr>
          <w:pgSz w:w="14270" w:h="16850"/>
          <w:pgMar w:header="0" w:footer="1891" w:top="1600" w:bottom="2080" w:left="800" w:right="1280"/>
        </w:sectPr>
      </w:pPr>
    </w:p>
    <w:p>
      <w:pPr>
        <w:pStyle w:val="BodyText"/>
        <w:spacing w:line="276" w:lineRule="auto" w:before="181"/>
        <w:ind w:left="477" w:right="132"/>
        <w:jc w:val="both"/>
      </w:pPr>
      <w:r>
        <w:rPr/>
        <w:t>which</w:t>
      </w:r>
      <w:r>
        <w:rPr>
          <w:spacing w:val="-6"/>
        </w:rPr>
        <w:t> </w:t>
      </w:r>
      <w:r>
        <w:rPr/>
        <w:t>is</w:t>
      </w:r>
      <w:r>
        <w:rPr>
          <w:spacing w:val="-7"/>
        </w:rPr>
        <w:t> </w:t>
      </w:r>
      <w:r>
        <w:rPr/>
        <w:t>ruthless</w:t>
      </w:r>
      <w:r>
        <w:rPr>
          <w:spacing w:val="-5"/>
        </w:rPr>
        <w:t> </w:t>
      </w:r>
      <w:r>
        <w:rPr/>
        <w:t>and</w:t>
      </w:r>
      <w:r>
        <w:rPr>
          <w:spacing w:val="-7"/>
        </w:rPr>
        <w:t> </w:t>
      </w:r>
      <w:r>
        <w:rPr/>
        <w:t>spares</w:t>
      </w:r>
      <w:r>
        <w:rPr>
          <w:spacing w:val="-5"/>
        </w:rPr>
        <w:t> </w:t>
      </w:r>
      <w:r>
        <w:rPr/>
        <w:t>no</w:t>
      </w:r>
      <w:r>
        <w:rPr>
          <w:spacing w:val="-8"/>
        </w:rPr>
        <w:t> </w:t>
      </w:r>
      <w:r>
        <w:rPr/>
        <w:t>effort</w:t>
      </w:r>
      <w:r>
        <w:rPr>
          <w:spacing w:val="-6"/>
        </w:rPr>
        <w:t> </w:t>
      </w:r>
      <w:r>
        <w:rPr/>
        <w:t>or</w:t>
      </w:r>
      <w:r>
        <w:rPr>
          <w:spacing w:val="-6"/>
        </w:rPr>
        <w:t> </w:t>
      </w:r>
      <w:r>
        <w:rPr/>
        <w:t>money</w:t>
      </w:r>
      <w:r>
        <w:rPr>
          <w:spacing w:val="-8"/>
        </w:rPr>
        <w:t> </w:t>
      </w:r>
      <w:r>
        <w:rPr/>
        <w:t>in</w:t>
      </w:r>
      <w:r>
        <w:rPr>
          <w:spacing w:val="-7"/>
        </w:rPr>
        <w:t> </w:t>
      </w:r>
      <w:r>
        <w:rPr/>
        <w:t>killing</w:t>
      </w:r>
      <w:r>
        <w:rPr>
          <w:spacing w:val="-5"/>
        </w:rPr>
        <w:t> </w:t>
      </w:r>
      <w:r>
        <w:rPr/>
        <w:t>the</w:t>
      </w:r>
      <w:r>
        <w:rPr>
          <w:spacing w:val="-6"/>
        </w:rPr>
        <w:t> </w:t>
      </w:r>
      <w:r>
        <w:rPr/>
        <w:t>competitor</w:t>
      </w:r>
      <w:r>
        <w:rPr>
          <w:spacing w:val="-6"/>
        </w:rPr>
        <w:t> </w:t>
      </w:r>
      <w:r>
        <w:rPr/>
        <w:t>that</w:t>
      </w:r>
      <w:r>
        <w:rPr>
          <w:spacing w:val="-6"/>
        </w:rPr>
        <w:t> </w:t>
      </w:r>
      <w:r>
        <w:rPr/>
        <w:t>is better, safer and</w:t>
      </w:r>
      <w:r>
        <w:rPr>
          <w:spacing w:val="-1"/>
        </w:rPr>
        <w:t> </w:t>
      </w:r>
      <w:r>
        <w:rPr/>
        <w:t>cheaper!</w:t>
      </w:r>
    </w:p>
    <w:p>
      <w:pPr>
        <w:pStyle w:val="BodyText"/>
        <w:spacing w:line="276" w:lineRule="auto" w:before="241"/>
        <w:ind w:left="477" w:right="136"/>
        <w:jc w:val="both"/>
      </w:pPr>
      <w:r>
        <w:rPr/>
        <w:t>Incidentally, it has been revealed that pharmaceutical companies have made very elaborate attempts to synthetically produce vitamin B17, because only this would make it possible to patent it. However, all these attempts have failed miserably, which at the same time has meant a declaration of war on vitamin B17!</w:t>
      </w:r>
    </w:p>
    <w:p>
      <w:pPr>
        <w:pStyle w:val="Heading2"/>
        <w:spacing w:before="240"/>
        <w:jc w:val="both"/>
      </w:pPr>
      <w:r>
        <w:rPr/>
        <w:t>SUMMARY</w:t>
      </w:r>
    </w:p>
    <w:p>
      <w:pPr>
        <w:pStyle w:val="BodyText"/>
        <w:spacing w:line="276" w:lineRule="auto" w:before="305"/>
        <w:ind w:left="477" w:right="132"/>
        <w:jc w:val="both"/>
      </w:pPr>
      <w:r>
        <w:rPr/>
        <w:t>Non-patentable substances (natural substances) do not earn any money, on</w:t>
      </w:r>
      <w:r>
        <w:rPr>
          <w:spacing w:val="-51"/>
        </w:rPr>
        <w:t> </w:t>
      </w:r>
      <w:r>
        <w:rPr/>
        <w:t>the contrary: they are a threat to a billion-dollar business!</w:t>
      </w:r>
    </w:p>
    <w:p>
      <w:pPr>
        <w:pStyle w:val="BodyText"/>
        <w:spacing w:line="276" w:lineRule="auto" w:before="240"/>
        <w:ind w:left="477" w:right="131"/>
        <w:jc w:val="both"/>
      </w:pPr>
      <w:r>
        <w:rPr/>
        <w:t>However,</w:t>
      </w:r>
      <w:r>
        <w:rPr>
          <w:spacing w:val="-18"/>
        </w:rPr>
        <w:t> </w:t>
      </w:r>
      <w:r>
        <w:rPr/>
        <w:t>cancer</w:t>
      </w:r>
      <w:r>
        <w:rPr>
          <w:spacing w:val="-17"/>
        </w:rPr>
        <w:t> </w:t>
      </w:r>
      <w:r>
        <w:rPr/>
        <w:t>accounts</w:t>
      </w:r>
      <w:r>
        <w:rPr>
          <w:spacing w:val="-18"/>
        </w:rPr>
        <w:t> </w:t>
      </w:r>
      <w:r>
        <w:rPr/>
        <w:t>for</w:t>
      </w:r>
      <w:r>
        <w:rPr>
          <w:spacing w:val="-17"/>
        </w:rPr>
        <w:t> </w:t>
      </w:r>
      <w:r>
        <w:rPr/>
        <w:t>about</w:t>
      </w:r>
      <w:r>
        <w:rPr>
          <w:spacing w:val="-20"/>
        </w:rPr>
        <w:t> </w:t>
      </w:r>
      <w:r>
        <w:rPr/>
        <w:t>10</w:t>
      </w:r>
      <w:r>
        <w:rPr>
          <w:spacing w:val="-14"/>
        </w:rPr>
        <w:t> </w:t>
      </w:r>
      <w:r>
        <w:rPr/>
        <w:t>%</w:t>
      </w:r>
      <w:r>
        <w:rPr>
          <w:spacing w:val="-19"/>
        </w:rPr>
        <w:t> </w:t>
      </w:r>
      <w:r>
        <w:rPr/>
        <w:t>of</w:t>
      </w:r>
      <w:r>
        <w:rPr>
          <w:spacing w:val="-17"/>
        </w:rPr>
        <w:t> </w:t>
      </w:r>
      <w:r>
        <w:rPr/>
        <w:t>the</w:t>
      </w:r>
      <w:r>
        <w:rPr>
          <w:spacing w:val="-20"/>
        </w:rPr>
        <w:t> </w:t>
      </w:r>
      <w:r>
        <w:rPr/>
        <w:t>pharmaceutical</w:t>
      </w:r>
      <w:r>
        <w:rPr>
          <w:spacing w:val="-19"/>
        </w:rPr>
        <w:t> </w:t>
      </w:r>
      <w:r>
        <w:rPr/>
        <w:t>industry's</w:t>
      </w:r>
      <w:r>
        <w:rPr>
          <w:spacing w:val="-17"/>
        </w:rPr>
        <w:t> </w:t>
      </w:r>
      <w:r>
        <w:rPr/>
        <w:t>total sales,</w:t>
      </w:r>
      <w:r>
        <w:rPr>
          <w:spacing w:val="-5"/>
        </w:rPr>
        <w:t> </w:t>
      </w:r>
      <w:r>
        <w:rPr/>
        <w:t>which</w:t>
      </w:r>
      <w:r>
        <w:rPr>
          <w:spacing w:val="-5"/>
        </w:rPr>
        <w:t> </w:t>
      </w:r>
      <w:r>
        <w:rPr/>
        <w:t>is</w:t>
      </w:r>
      <w:r>
        <w:rPr>
          <w:spacing w:val="-6"/>
        </w:rPr>
        <w:t> </w:t>
      </w:r>
      <w:r>
        <w:rPr/>
        <w:t>about</w:t>
      </w:r>
      <w:r>
        <w:rPr>
          <w:spacing w:val="-8"/>
        </w:rPr>
        <w:t> </w:t>
      </w:r>
      <w:r>
        <w:rPr/>
        <w:t>$40</w:t>
      </w:r>
      <w:r>
        <w:rPr>
          <w:spacing w:val="-6"/>
        </w:rPr>
        <w:t> </w:t>
      </w:r>
      <w:r>
        <w:rPr/>
        <w:t>billion</w:t>
      </w:r>
      <w:r>
        <w:rPr>
          <w:spacing w:val="-5"/>
        </w:rPr>
        <w:t> </w:t>
      </w:r>
      <w:r>
        <w:rPr/>
        <w:t>a</w:t>
      </w:r>
      <w:r>
        <w:rPr>
          <w:spacing w:val="-7"/>
        </w:rPr>
        <w:t> </w:t>
      </w:r>
      <w:r>
        <w:rPr/>
        <w:t>year!</w:t>
      </w:r>
      <w:r>
        <w:rPr>
          <w:spacing w:val="-5"/>
        </w:rPr>
        <w:t> </w:t>
      </w:r>
      <w:r>
        <w:rPr/>
        <w:t>It</w:t>
      </w:r>
      <w:r>
        <w:rPr>
          <w:spacing w:val="-6"/>
        </w:rPr>
        <w:t> </w:t>
      </w:r>
      <w:r>
        <w:rPr/>
        <w:t>goes</w:t>
      </w:r>
      <w:r>
        <w:rPr>
          <w:spacing w:val="-7"/>
        </w:rPr>
        <w:t> </w:t>
      </w:r>
      <w:r>
        <w:rPr/>
        <w:t>without</w:t>
      </w:r>
      <w:r>
        <w:rPr>
          <w:spacing w:val="-8"/>
        </w:rPr>
        <w:t> </w:t>
      </w:r>
      <w:r>
        <w:rPr/>
        <w:t>saying</w:t>
      </w:r>
      <w:r>
        <w:rPr>
          <w:spacing w:val="-6"/>
        </w:rPr>
        <w:t> </w:t>
      </w:r>
      <w:r>
        <w:rPr/>
        <w:t>that</w:t>
      </w:r>
      <w:r>
        <w:rPr>
          <w:spacing w:val="-6"/>
        </w:rPr>
        <w:t> </w:t>
      </w:r>
      <w:r>
        <w:rPr/>
        <w:t>the</w:t>
      </w:r>
      <w:r>
        <w:rPr>
          <w:spacing w:val="-5"/>
        </w:rPr>
        <w:t> </w:t>
      </w:r>
      <w:r>
        <w:rPr/>
        <w:t>powerful pharmaceutical industry would not want to do without this source of</w:t>
      </w:r>
      <w:r>
        <w:rPr>
          <w:spacing w:val="-21"/>
        </w:rPr>
        <w:t> </w:t>
      </w:r>
      <w:r>
        <w:rPr/>
        <w:t>income.</w:t>
      </w:r>
    </w:p>
    <w:p>
      <w:pPr>
        <w:pStyle w:val="BodyText"/>
        <w:spacing w:before="7"/>
        <w:rPr>
          <w:sz w:val="42"/>
        </w:rPr>
      </w:pPr>
    </w:p>
    <w:p>
      <w:pPr>
        <w:pStyle w:val="Heading2"/>
        <w:jc w:val="both"/>
      </w:pPr>
      <w:r>
        <w:rPr/>
        <w:t>Vitamin B17 (laetrile, amygdalin) – the studies</w:t>
      </w:r>
    </w:p>
    <w:p>
      <w:pPr>
        <w:pStyle w:val="BodyText"/>
        <w:spacing w:line="276" w:lineRule="auto" w:before="305"/>
        <w:ind w:left="477" w:right="133"/>
        <w:jc w:val="both"/>
      </w:pPr>
      <w:r>
        <w:rPr/>
        <w:t>Earlier, we mentioned the five-year study at Memorial Sloan-Kettering, which caused a worldwide sensation and put the cancer-healing benefits of vitamin B17 in the limelight of media attention and thus the public eye.</w:t>
      </w:r>
    </w:p>
    <w:p>
      <w:pPr>
        <w:pStyle w:val="BodyText"/>
        <w:spacing w:line="276" w:lineRule="auto" w:before="241"/>
        <w:ind w:left="477" w:right="141"/>
        <w:jc w:val="both"/>
      </w:pPr>
      <w:r>
        <w:rPr/>
        <w:t>This five-year study by Dr. Kanematsu Sugiura attributed consistently positive results to laetrile; however, it was just the proverbial tip of the iceberg, having been</w:t>
      </w:r>
      <w:r>
        <w:rPr>
          <w:spacing w:val="-7"/>
        </w:rPr>
        <w:t> </w:t>
      </w:r>
      <w:r>
        <w:rPr/>
        <w:t>preceded</w:t>
      </w:r>
      <w:r>
        <w:rPr>
          <w:spacing w:val="-8"/>
        </w:rPr>
        <w:t> </w:t>
      </w:r>
      <w:r>
        <w:rPr/>
        <w:t>by</w:t>
      </w:r>
      <w:r>
        <w:rPr>
          <w:spacing w:val="-8"/>
        </w:rPr>
        <w:t> </w:t>
      </w:r>
      <w:r>
        <w:rPr/>
        <w:t>some</w:t>
      </w:r>
      <w:r>
        <w:rPr>
          <w:spacing w:val="-10"/>
        </w:rPr>
        <w:t> </w:t>
      </w:r>
      <w:r>
        <w:rPr/>
        <w:t>significant</w:t>
      </w:r>
      <w:r>
        <w:rPr>
          <w:spacing w:val="-8"/>
        </w:rPr>
        <w:t> </w:t>
      </w:r>
      <w:r>
        <w:rPr/>
        <w:t>studies</w:t>
      </w:r>
      <w:r>
        <w:rPr>
          <w:spacing w:val="-8"/>
        </w:rPr>
        <w:t> </w:t>
      </w:r>
      <w:r>
        <w:rPr/>
        <w:t>by</w:t>
      </w:r>
      <w:r>
        <w:rPr>
          <w:spacing w:val="-7"/>
        </w:rPr>
        <w:t> </w:t>
      </w:r>
      <w:r>
        <w:rPr/>
        <w:t>the</w:t>
      </w:r>
      <w:r>
        <w:rPr>
          <w:spacing w:val="-9"/>
        </w:rPr>
        <w:t> </w:t>
      </w:r>
      <w:r>
        <w:rPr/>
        <w:t>National</w:t>
      </w:r>
      <w:r>
        <w:rPr>
          <w:spacing w:val="-8"/>
        </w:rPr>
        <w:t> </w:t>
      </w:r>
      <w:r>
        <w:rPr/>
        <w:t>Cancer</w:t>
      </w:r>
      <w:r>
        <w:rPr>
          <w:spacing w:val="-7"/>
        </w:rPr>
        <w:t> </w:t>
      </w:r>
      <w:r>
        <w:rPr/>
        <w:t>Institute</w:t>
      </w:r>
      <w:r>
        <w:rPr>
          <w:spacing w:val="-8"/>
        </w:rPr>
        <w:t> </w:t>
      </w:r>
      <w:r>
        <w:rPr/>
        <w:t>and</w:t>
      </w:r>
    </w:p>
    <w:p>
      <w:pPr>
        <w:spacing w:after="0" w:line="276" w:lineRule="auto"/>
        <w:jc w:val="both"/>
        <w:sectPr>
          <w:footerReference w:type="default" r:id="rId190"/>
          <w:pgSz w:w="14270" w:h="16850"/>
          <w:pgMar w:footer="1891" w:header="0" w:top="1600" w:bottom="2080" w:left="800" w:right="1280"/>
          <w:pgNumType w:start="790"/>
        </w:sectPr>
      </w:pPr>
    </w:p>
    <w:p>
      <w:pPr>
        <w:pStyle w:val="BodyText"/>
        <w:spacing w:before="181"/>
        <w:ind w:left="477"/>
      </w:pPr>
      <w:r>
        <w:rPr/>
        <w:t>other institutes, all of which showed positive results for vitamin B17.</w:t>
      </w:r>
    </w:p>
    <w:p>
      <w:pPr>
        <w:pStyle w:val="BodyText"/>
        <w:rPr>
          <w:sz w:val="42"/>
        </w:rPr>
      </w:pPr>
    </w:p>
    <w:p>
      <w:pPr>
        <w:pStyle w:val="BodyText"/>
        <w:spacing w:before="7"/>
        <w:rPr>
          <w:sz w:val="48"/>
        </w:rPr>
      </w:pPr>
    </w:p>
    <w:p>
      <w:pPr>
        <w:pStyle w:val="Heading1"/>
        <w:spacing w:before="0"/>
      </w:pPr>
      <w:r>
        <w:rPr/>
        <w:t>1953:</w:t>
      </w:r>
      <w:r>
        <w:rPr>
          <w:spacing w:val="-60"/>
        </w:rPr>
        <w:t> </w:t>
      </w:r>
      <w:r>
        <w:rPr/>
        <w:t>Report</w:t>
      </w:r>
      <w:r>
        <w:rPr>
          <w:spacing w:val="-59"/>
        </w:rPr>
        <w:t> </w:t>
      </w:r>
      <w:r>
        <w:rPr/>
        <w:t>by</w:t>
      </w:r>
      <w:r>
        <w:rPr>
          <w:spacing w:val="-60"/>
        </w:rPr>
        <w:t> </w:t>
      </w:r>
      <w:r>
        <w:rPr/>
        <w:t>the</w:t>
      </w:r>
      <w:r>
        <w:rPr>
          <w:spacing w:val="-60"/>
        </w:rPr>
        <w:t> </w:t>
      </w:r>
      <w:r>
        <w:rPr/>
        <w:t>California</w:t>
      </w:r>
      <w:r>
        <w:rPr>
          <w:spacing w:val="-59"/>
        </w:rPr>
        <w:t> </w:t>
      </w:r>
      <w:r>
        <w:rPr/>
        <w:t>Medical</w:t>
      </w:r>
      <w:r>
        <w:rPr>
          <w:spacing w:val="-59"/>
        </w:rPr>
        <w:t> </w:t>
      </w:r>
      <w:r>
        <w:rPr/>
        <w:t>Association</w:t>
      </w:r>
      <w:r>
        <w:rPr>
          <w:spacing w:val="-59"/>
        </w:rPr>
        <w:t> </w:t>
      </w:r>
      <w:r>
        <w:rPr/>
        <w:t>Cancer</w:t>
      </w:r>
      <w:r>
        <w:rPr>
          <w:spacing w:val="-59"/>
        </w:rPr>
        <w:t> </w:t>
      </w:r>
      <w:r>
        <w:rPr/>
        <w:t>Commission</w:t>
      </w:r>
    </w:p>
    <w:p>
      <w:pPr>
        <w:pStyle w:val="BodyText"/>
        <w:spacing w:line="276" w:lineRule="auto" w:before="299"/>
        <w:ind w:left="477" w:right="139"/>
        <w:jc w:val="both"/>
      </w:pPr>
      <w:r>
        <w:rPr/>
        <w:t>Probably the largest public relations setback for laetrile (vitamin B17) came in 1953 with the pseudo-scientific report by the California Medical Association Cancer</w:t>
      </w:r>
      <w:r>
        <w:rPr>
          <w:spacing w:val="-17"/>
        </w:rPr>
        <w:t> </w:t>
      </w:r>
      <w:r>
        <w:rPr/>
        <w:t>Commission,</w:t>
      </w:r>
      <w:r>
        <w:rPr>
          <w:spacing w:val="-17"/>
        </w:rPr>
        <w:t> </w:t>
      </w:r>
      <w:r>
        <w:rPr/>
        <w:t>which</w:t>
      </w:r>
      <w:r>
        <w:rPr>
          <w:spacing w:val="-15"/>
        </w:rPr>
        <w:t> </w:t>
      </w:r>
      <w:r>
        <w:rPr/>
        <w:t>had</w:t>
      </w:r>
      <w:r>
        <w:rPr>
          <w:spacing w:val="-20"/>
        </w:rPr>
        <w:t> </w:t>
      </w:r>
      <w:r>
        <w:rPr/>
        <w:t>an</w:t>
      </w:r>
      <w:r>
        <w:rPr>
          <w:spacing w:val="-16"/>
        </w:rPr>
        <w:t> </w:t>
      </w:r>
      <w:r>
        <w:rPr/>
        <w:t>impressive</w:t>
      </w:r>
      <w:r>
        <w:rPr>
          <w:spacing w:val="-18"/>
        </w:rPr>
        <w:t> </w:t>
      </w:r>
      <w:r>
        <w:rPr/>
        <w:t>amount</w:t>
      </w:r>
      <w:r>
        <w:rPr>
          <w:spacing w:val="-18"/>
        </w:rPr>
        <w:t> </w:t>
      </w:r>
      <w:r>
        <w:rPr/>
        <w:t>of</w:t>
      </w:r>
      <w:r>
        <w:rPr>
          <w:spacing w:val="-16"/>
        </w:rPr>
        <w:t> </w:t>
      </w:r>
      <w:r>
        <w:rPr/>
        <w:t>individual</w:t>
      </w:r>
      <w:r>
        <w:rPr>
          <w:spacing w:val="-19"/>
        </w:rPr>
        <w:t> </w:t>
      </w:r>
      <w:r>
        <w:rPr/>
        <w:t>evaluations on laetrile and gave the impression that laetrile (obtained from bitter apricot kernels) was being subjected to thorough scientific research.</w:t>
      </w:r>
    </w:p>
    <w:p>
      <w:pPr>
        <w:spacing w:line="276" w:lineRule="auto" w:before="240"/>
        <w:ind w:left="477" w:right="139" w:firstLine="0"/>
        <w:jc w:val="both"/>
        <w:rPr>
          <w:i/>
          <w:sz w:val="25"/>
        </w:rPr>
      </w:pPr>
      <w:r>
        <w:rPr>
          <w:sz w:val="38"/>
        </w:rPr>
        <w:t>The final report on laetrile/amygdalin was: ‘</w:t>
      </w:r>
      <w:r>
        <w:rPr>
          <w:i/>
          <w:sz w:val="38"/>
        </w:rPr>
        <w:t>There is no satisfactory evidence of a sig- </w:t>
      </w:r>
      <w:r>
        <w:rPr>
          <w:i/>
          <w:sz w:val="38"/>
        </w:rPr>
        <w:t>nificant cytotoxic effect of laetrile on cancer cells’.</w:t>
      </w:r>
      <w:r>
        <w:rPr>
          <w:i/>
          <w:position w:val="9"/>
          <w:sz w:val="25"/>
        </w:rPr>
        <w:t>440</w:t>
      </w:r>
    </w:p>
    <w:p>
      <w:pPr>
        <w:pStyle w:val="BodyText"/>
        <w:spacing w:line="276" w:lineRule="auto" w:before="241"/>
        <w:ind w:left="477" w:right="134"/>
        <w:jc w:val="both"/>
      </w:pPr>
      <w:r>
        <w:rPr/>
        <w:t>Interestingly enough, two of the seven authors of the report are well known. Dr. Ian Mac Donald, who led the commission, and Dr. Henry Garland, the Secretary of the Commission, were among the most important representatives of the AMA (American Medical Association). On 9 July 1964, they caused a nationwide stir when Garland told the Public Health Committee of the Com- monwealth Club of San Francisco:</w:t>
      </w:r>
    </w:p>
    <w:p>
      <w:pPr>
        <w:spacing w:before="240"/>
        <w:ind w:left="477" w:right="0" w:firstLine="0"/>
        <w:jc w:val="both"/>
        <w:rPr>
          <w:i/>
          <w:sz w:val="38"/>
        </w:rPr>
      </w:pPr>
      <w:r>
        <w:rPr>
          <w:i/>
          <w:sz w:val="38"/>
        </w:rPr>
        <w:t>‘According to a current widely held hypothesis, there is a causal link between smoking and a</w:t>
      </w:r>
    </w:p>
    <w:p>
      <w:pPr>
        <w:pStyle w:val="BodyText"/>
        <w:rPr>
          <w:i/>
          <w:sz w:val="20"/>
        </w:rPr>
      </w:pPr>
    </w:p>
    <w:p>
      <w:pPr>
        <w:pStyle w:val="BodyText"/>
        <w:spacing w:before="7"/>
        <w:rPr>
          <w:i/>
          <w:sz w:val="22"/>
        </w:rPr>
      </w:pPr>
      <w:r>
        <w:rPr/>
        <w:pict>
          <v:line style="position:absolute;mso-position-horizontal-relative:page;mso-position-vertical-relative:paragraph;z-index:5480;mso-wrap-distance-left:0;mso-wrap-distance-right:0" from="63.863998pt,15.108765pt" to="207.883998pt,15.108765pt" stroked="true" strokeweight=".71997pt" strokecolor="#000000">
            <v:stroke dashstyle="solid"/>
            <w10:wrap type="topAndBottom"/>
          </v:line>
        </w:pict>
      </w:r>
    </w:p>
    <w:p>
      <w:pPr>
        <w:pStyle w:val="BodyText"/>
        <w:spacing w:before="7"/>
        <w:rPr>
          <w:i/>
          <w:sz w:val="18"/>
        </w:rPr>
      </w:pPr>
    </w:p>
    <w:p>
      <w:pPr>
        <w:spacing w:before="100"/>
        <w:ind w:left="477" w:right="0" w:firstLine="0"/>
        <w:jc w:val="left"/>
        <w:rPr>
          <w:sz w:val="20"/>
        </w:rPr>
      </w:pPr>
      <w:r>
        <w:rPr>
          <w:position w:val="5"/>
          <w:sz w:val="13"/>
        </w:rPr>
        <w:t>440 </w:t>
      </w:r>
      <w:r>
        <w:rPr>
          <w:sz w:val="20"/>
        </w:rPr>
        <w:t>G. Edward Griffin: A World Without Cancer , 4th Edition, December 2007, p. 33,</w:t>
      </w:r>
    </w:p>
    <w:p>
      <w:pPr>
        <w:spacing w:after="0"/>
        <w:jc w:val="left"/>
        <w:rPr>
          <w:sz w:val="20"/>
        </w:rPr>
        <w:sectPr>
          <w:pgSz w:w="14270" w:h="16850"/>
          <w:pgMar w:header="0" w:footer="1891" w:top="1600" w:bottom="2080" w:left="800" w:right="1280"/>
        </w:sectPr>
      </w:pPr>
    </w:p>
    <w:p>
      <w:pPr>
        <w:spacing w:line="276" w:lineRule="auto" w:before="181"/>
        <w:ind w:left="477" w:right="139" w:firstLine="0"/>
        <w:jc w:val="both"/>
        <w:rPr>
          <w:i/>
          <w:sz w:val="38"/>
        </w:rPr>
      </w:pPr>
      <w:r>
        <w:rPr>
          <w:i/>
          <w:sz w:val="38"/>
        </w:rPr>
        <w:t>wide range of diseases, from cancer to atherosclerosis. After years of addressing this issue, and </w:t>
      </w:r>
      <w:r>
        <w:rPr>
          <w:i/>
          <w:sz w:val="38"/>
        </w:rPr>
        <w:t>in particular the reported association with primary bronchogenic carcinoma (lung cancer), I came to the well-considered conclusion that there is no evidence for this hypothesis’.</w:t>
      </w:r>
    </w:p>
    <w:p>
      <w:pPr>
        <w:spacing w:line="276" w:lineRule="auto" w:before="242"/>
        <w:ind w:left="477" w:right="131" w:firstLine="0"/>
        <w:jc w:val="both"/>
        <w:rPr>
          <w:sz w:val="38"/>
        </w:rPr>
      </w:pPr>
      <w:r>
        <w:rPr>
          <w:sz w:val="38"/>
        </w:rPr>
        <w:t>MacDonald in turn crowned the whole affair when, in the US magazine </w:t>
      </w:r>
      <w:r>
        <w:rPr>
          <w:i/>
          <w:sz w:val="38"/>
        </w:rPr>
        <w:t>News </w:t>
      </w:r>
      <w:r>
        <w:rPr>
          <w:i/>
          <w:sz w:val="38"/>
        </w:rPr>
        <w:t>&amp;</w:t>
      </w:r>
      <w:r>
        <w:rPr>
          <w:i/>
          <w:spacing w:val="-13"/>
          <w:sz w:val="38"/>
        </w:rPr>
        <w:t> </w:t>
      </w:r>
      <w:r>
        <w:rPr>
          <w:i/>
          <w:sz w:val="38"/>
        </w:rPr>
        <w:t>World</w:t>
      </w:r>
      <w:r>
        <w:rPr>
          <w:i/>
          <w:spacing w:val="-10"/>
          <w:sz w:val="38"/>
        </w:rPr>
        <w:t> </w:t>
      </w:r>
      <w:r>
        <w:rPr>
          <w:i/>
          <w:sz w:val="38"/>
        </w:rPr>
        <w:t>Report</w:t>
      </w:r>
      <w:r>
        <w:rPr>
          <w:sz w:val="38"/>
        </w:rPr>
        <w:t>,</w:t>
      </w:r>
      <w:r>
        <w:rPr>
          <w:spacing w:val="-16"/>
          <w:sz w:val="38"/>
        </w:rPr>
        <w:t> </w:t>
      </w:r>
      <w:r>
        <w:rPr>
          <w:sz w:val="38"/>
        </w:rPr>
        <w:t>photographed</w:t>
      </w:r>
      <w:r>
        <w:rPr>
          <w:spacing w:val="-13"/>
          <w:sz w:val="38"/>
        </w:rPr>
        <w:t> </w:t>
      </w:r>
      <w:r>
        <w:rPr>
          <w:sz w:val="38"/>
        </w:rPr>
        <w:t>with</w:t>
      </w:r>
      <w:r>
        <w:rPr>
          <w:spacing w:val="-11"/>
          <w:sz w:val="38"/>
        </w:rPr>
        <w:t> </w:t>
      </w:r>
      <w:r>
        <w:rPr>
          <w:sz w:val="38"/>
        </w:rPr>
        <w:t>a</w:t>
      </w:r>
      <w:r>
        <w:rPr>
          <w:spacing w:val="-12"/>
          <w:sz w:val="38"/>
        </w:rPr>
        <w:t> </w:t>
      </w:r>
      <w:r>
        <w:rPr>
          <w:sz w:val="38"/>
        </w:rPr>
        <w:t>cigarette</w:t>
      </w:r>
      <w:r>
        <w:rPr>
          <w:spacing w:val="-12"/>
          <w:sz w:val="38"/>
        </w:rPr>
        <w:t> </w:t>
      </w:r>
      <w:r>
        <w:rPr>
          <w:sz w:val="38"/>
        </w:rPr>
        <w:t>in</w:t>
      </w:r>
      <w:r>
        <w:rPr>
          <w:spacing w:val="-15"/>
          <w:sz w:val="38"/>
        </w:rPr>
        <w:t> </w:t>
      </w:r>
      <w:r>
        <w:rPr>
          <w:sz w:val="38"/>
        </w:rPr>
        <w:t>his</w:t>
      </w:r>
      <w:r>
        <w:rPr>
          <w:spacing w:val="-11"/>
          <w:sz w:val="38"/>
        </w:rPr>
        <w:t> </w:t>
      </w:r>
      <w:r>
        <w:rPr>
          <w:sz w:val="38"/>
        </w:rPr>
        <w:t>hand,</w:t>
      </w:r>
      <w:r>
        <w:rPr>
          <w:spacing w:val="-13"/>
          <w:sz w:val="38"/>
        </w:rPr>
        <w:t> </w:t>
      </w:r>
      <w:r>
        <w:rPr>
          <w:sz w:val="38"/>
        </w:rPr>
        <w:t>he</w:t>
      </w:r>
      <w:r>
        <w:rPr>
          <w:spacing w:val="-12"/>
          <w:sz w:val="38"/>
        </w:rPr>
        <w:t> </w:t>
      </w:r>
      <w:r>
        <w:rPr>
          <w:sz w:val="38"/>
        </w:rPr>
        <w:t>said</w:t>
      </w:r>
      <w:r>
        <w:rPr>
          <w:spacing w:val="-14"/>
          <w:sz w:val="38"/>
        </w:rPr>
        <w:t> </w:t>
      </w:r>
      <w:r>
        <w:rPr>
          <w:sz w:val="38"/>
        </w:rPr>
        <w:t>that</w:t>
      </w:r>
      <w:r>
        <w:rPr>
          <w:spacing w:val="-11"/>
          <w:sz w:val="38"/>
        </w:rPr>
        <w:t> </w:t>
      </w:r>
      <w:r>
        <w:rPr>
          <w:sz w:val="38"/>
        </w:rPr>
        <w:t>smoking ‘</w:t>
      </w:r>
      <w:r>
        <w:rPr>
          <w:i/>
          <w:sz w:val="38"/>
        </w:rPr>
        <w:t>up to 24 cigarettes a day is a harmless</w:t>
      </w:r>
      <w:r>
        <w:rPr>
          <w:i/>
          <w:spacing w:val="-3"/>
          <w:sz w:val="38"/>
        </w:rPr>
        <w:t> </w:t>
      </w:r>
      <w:r>
        <w:rPr>
          <w:i/>
          <w:sz w:val="38"/>
        </w:rPr>
        <w:t>pastime’</w:t>
      </w:r>
      <w:r>
        <w:rPr>
          <w:sz w:val="38"/>
        </w:rPr>
        <w:t>!</w:t>
      </w:r>
    </w:p>
    <w:p>
      <w:pPr>
        <w:spacing w:line="276" w:lineRule="auto" w:before="239"/>
        <w:ind w:left="477" w:right="134" w:firstLine="0"/>
        <w:jc w:val="both"/>
        <w:rPr>
          <w:sz w:val="25"/>
        </w:rPr>
      </w:pPr>
      <w:r>
        <w:rPr>
          <w:sz w:val="38"/>
        </w:rPr>
        <w:t>And</w:t>
      </w:r>
      <w:r>
        <w:rPr>
          <w:spacing w:val="-13"/>
          <w:sz w:val="38"/>
        </w:rPr>
        <w:t> </w:t>
      </w:r>
      <w:r>
        <w:rPr>
          <w:sz w:val="38"/>
        </w:rPr>
        <w:t>as</w:t>
      </w:r>
      <w:r>
        <w:rPr>
          <w:spacing w:val="-13"/>
          <w:sz w:val="38"/>
        </w:rPr>
        <w:t> </w:t>
      </w:r>
      <w:r>
        <w:rPr>
          <w:sz w:val="38"/>
        </w:rPr>
        <w:t>if</w:t>
      </w:r>
      <w:r>
        <w:rPr>
          <w:spacing w:val="-14"/>
          <w:sz w:val="38"/>
        </w:rPr>
        <w:t> </w:t>
      </w:r>
      <w:r>
        <w:rPr>
          <w:sz w:val="38"/>
        </w:rPr>
        <w:t>this</w:t>
      </w:r>
      <w:r>
        <w:rPr>
          <w:spacing w:val="-12"/>
          <w:sz w:val="38"/>
        </w:rPr>
        <w:t> </w:t>
      </w:r>
      <w:r>
        <w:rPr>
          <w:sz w:val="38"/>
        </w:rPr>
        <w:t>was</w:t>
      </w:r>
      <w:r>
        <w:rPr>
          <w:spacing w:val="-12"/>
          <w:sz w:val="38"/>
        </w:rPr>
        <w:t> </w:t>
      </w:r>
      <w:r>
        <w:rPr>
          <w:sz w:val="38"/>
        </w:rPr>
        <w:t>not</w:t>
      </w:r>
      <w:r>
        <w:rPr>
          <w:spacing w:val="-13"/>
          <w:sz w:val="38"/>
        </w:rPr>
        <w:t> </w:t>
      </w:r>
      <w:r>
        <w:rPr>
          <w:sz w:val="38"/>
        </w:rPr>
        <w:t>enough,</w:t>
      </w:r>
      <w:r>
        <w:rPr>
          <w:spacing w:val="-12"/>
          <w:sz w:val="38"/>
        </w:rPr>
        <w:t> </w:t>
      </w:r>
      <w:r>
        <w:rPr>
          <w:sz w:val="38"/>
        </w:rPr>
        <w:t>he</w:t>
      </w:r>
      <w:r>
        <w:rPr>
          <w:spacing w:val="-15"/>
          <w:sz w:val="38"/>
        </w:rPr>
        <w:t> </w:t>
      </w:r>
      <w:r>
        <w:rPr>
          <w:sz w:val="38"/>
        </w:rPr>
        <w:t>added:</w:t>
      </w:r>
      <w:r>
        <w:rPr>
          <w:spacing w:val="-10"/>
          <w:sz w:val="38"/>
        </w:rPr>
        <w:t> </w:t>
      </w:r>
      <w:r>
        <w:rPr>
          <w:sz w:val="38"/>
        </w:rPr>
        <w:t>‘</w:t>
      </w:r>
      <w:r>
        <w:rPr>
          <w:i/>
          <w:sz w:val="38"/>
        </w:rPr>
        <w:t>In</w:t>
      </w:r>
      <w:r>
        <w:rPr>
          <w:i/>
          <w:spacing w:val="-12"/>
          <w:sz w:val="38"/>
        </w:rPr>
        <w:t> </w:t>
      </w:r>
      <w:r>
        <w:rPr>
          <w:i/>
          <w:sz w:val="38"/>
        </w:rPr>
        <w:t>a</w:t>
      </w:r>
      <w:r>
        <w:rPr>
          <w:i/>
          <w:spacing w:val="-14"/>
          <w:sz w:val="38"/>
        </w:rPr>
        <w:t> </w:t>
      </w:r>
      <w:r>
        <w:rPr>
          <w:i/>
          <w:sz w:val="38"/>
        </w:rPr>
        <w:t>modification</w:t>
      </w:r>
      <w:r>
        <w:rPr>
          <w:i/>
          <w:spacing w:val="-13"/>
          <w:sz w:val="38"/>
        </w:rPr>
        <w:t> </w:t>
      </w:r>
      <w:r>
        <w:rPr>
          <w:i/>
          <w:sz w:val="38"/>
        </w:rPr>
        <w:t>of</w:t>
      </w:r>
      <w:r>
        <w:rPr>
          <w:i/>
          <w:spacing w:val="-13"/>
          <w:sz w:val="38"/>
        </w:rPr>
        <w:t> </w:t>
      </w:r>
      <w:r>
        <w:rPr>
          <w:i/>
          <w:sz w:val="38"/>
        </w:rPr>
        <w:t>an</w:t>
      </w:r>
      <w:r>
        <w:rPr>
          <w:i/>
          <w:spacing w:val="-13"/>
          <w:sz w:val="38"/>
        </w:rPr>
        <w:t> </w:t>
      </w:r>
      <w:r>
        <w:rPr>
          <w:i/>
          <w:sz w:val="38"/>
        </w:rPr>
        <w:t>old</w:t>
      </w:r>
      <w:r>
        <w:rPr>
          <w:i/>
          <w:spacing w:val="-13"/>
          <w:sz w:val="38"/>
        </w:rPr>
        <w:t> </w:t>
      </w:r>
      <w:r>
        <w:rPr>
          <w:i/>
          <w:sz w:val="38"/>
        </w:rPr>
        <w:t>proverb</w:t>
      </w:r>
      <w:r>
        <w:rPr>
          <w:i/>
          <w:spacing w:val="-14"/>
          <w:sz w:val="38"/>
        </w:rPr>
        <w:t> </w:t>
      </w:r>
      <w:r>
        <w:rPr>
          <w:i/>
          <w:sz w:val="38"/>
        </w:rPr>
        <w:t>you</w:t>
      </w:r>
      <w:r>
        <w:rPr>
          <w:i/>
          <w:spacing w:val="-12"/>
          <w:sz w:val="38"/>
        </w:rPr>
        <w:t> </w:t>
      </w:r>
      <w:r>
        <w:rPr>
          <w:i/>
          <w:sz w:val="38"/>
        </w:rPr>
        <w:t>could </w:t>
      </w:r>
      <w:r>
        <w:rPr>
          <w:i/>
          <w:sz w:val="38"/>
        </w:rPr>
        <w:t>say: One pack a day, and you do not need a doctor for lung</w:t>
      </w:r>
      <w:r>
        <w:rPr>
          <w:i/>
          <w:spacing w:val="-10"/>
          <w:sz w:val="38"/>
        </w:rPr>
        <w:t> </w:t>
      </w:r>
      <w:r>
        <w:rPr>
          <w:i/>
          <w:sz w:val="38"/>
        </w:rPr>
        <w:t>cancer’.</w:t>
      </w:r>
      <w:r>
        <w:rPr>
          <w:position w:val="9"/>
          <w:sz w:val="25"/>
        </w:rPr>
        <w:t>441</w:t>
      </w:r>
    </w:p>
    <w:p>
      <w:pPr>
        <w:pStyle w:val="BodyText"/>
        <w:spacing w:line="276" w:lineRule="auto" w:before="241"/>
        <w:ind w:left="477" w:right="132"/>
        <w:jc w:val="both"/>
      </w:pPr>
      <w:r>
        <w:rPr/>
        <w:t>It should be noted that these innovative, ‘philanthropic’ test results were pub- lished</w:t>
      </w:r>
      <w:r>
        <w:rPr>
          <w:spacing w:val="-24"/>
        </w:rPr>
        <w:t> </w:t>
      </w:r>
      <w:r>
        <w:rPr/>
        <w:t>at</w:t>
      </w:r>
      <w:r>
        <w:rPr>
          <w:spacing w:val="-23"/>
        </w:rPr>
        <w:t> </w:t>
      </w:r>
      <w:r>
        <w:rPr/>
        <w:t>the</w:t>
      </w:r>
      <w:r>
        <w:rPr>
          <w:spacing w:val="-22"/>
        </w:rPr>
        <w:t> </w:t>
      </w:r>
      <w:r>
        <w:rPr/>
        <w:t>exact</w:t>
      </w:r>
      <w:r>
        <w:rPr>
          <w:spacing w:val="-23"/>
        </w:rPr>
        <w:t> </w:t>
      </w:r>
      <w:r>
        <w:rPr/>
        <w:t>time</w:t>
      </w:r>
      <w:r>
        <w:rPr>
          <w:spacing w:val="-23"/>
        </w:rPr>
        <w:t> </w:t>
      </w:r>
      <w:r>
        <w:rPr/>
        <w:t>when</w:t>
      </w:r>
      <w:r>
        <w:rPr>
          <w:spacing w:val="-22"/>
        </w:rPr>
        <w:t> </w:t>
      </w:r>
      <w:r>
        <w:rPr/>
        <w:t>the</w:t>
      </w:r>
      <w:r>
        <w:rPr>
          <w:spacing w:val="-22"/>
        </w:rPr>
        <w:t> </w:t>
      </w:r>
      <w:r>
        <w:rPr/>
        <w:t>tobacco</w:t>
      </w:r>
      <w:r>
        <w:rPr>
          <w:spacing w:val="-23"/>
        </w:rPr>
        <w:t> </w:t>
      </w:r>
      <w:r>
        <w:rPr/>
        <w:t>industry</w:t>
      </w:r>
      <w:r>
        <w:rPr>
          <w:spacing w:val="-22"/>
        </w:rPr>
        <w:t> </w:t>
      </w:r>
      <w:r>
        <w:rPr/>
        <w:t>had</w:t>
      </w:r>
      <w:r>
        <w:rPr>
          <w:spacing w:val="-23"/>
        </w:rPr>
        <w:t> </w:t>
      </w:r>
      <w:r>
        <w:rPr/>
        <w:t>lost</w:t>
      </w:r>
      <w:r>
        <w:rPr>
          <w:spacing w:val="-23"/>
        </w:rPr>
        <w:t> </w:t>
      </w:r>
      <w:r>
        <w:rPr/>
        <w:t>considerable</w:t>
      </w:r>
      <w:r>
        <w:rPr>
          <w:spacing w:val="-23"/>
        </w:rPr>
        <w:t> </w:t>
      </w:r>
      <w:r>
        <w:rPr/>
        <w:t>revenue due to initial research on ‘smoking and lung cancer’ and the industry paid 10 out of a total of 18 million dollars to the AMA for ‘research</w:t>
      </w:r>
      <w:r>
        <w:rPr>
          <w:spacing w:val="-9"/>
        </w:rPr>
        <w:t> </w:t>
      </w:r>
      <w:r>
        <w:rPr/>
        <w:t>purposes’!</w:t>
      </w:r>
    </w:p>
    <w:p>
      <w:pPr>
        <w:spacing w:line="276" w:lineRule="auto" w:before="239"/>
        <w:ind w:left="477" w:right="135" w:firstLine="0"/>
        <w:jc w:val="both"/>
        <w:rPr>
          <w:sz w:val="25"/>
        </w:rPr>
      </w:pPr>
      <w:r>
        <w:rPr>
          <w:sz w:val="38"/>
        </w:rPr>
        <w:t>In the AMA report, this industry donation is justified as being for scientific causes as follows: ‘</w:t>
      </w:r>
      <w:r>
        <w:rPr>
          <w:i/>
          <w:sz w:val="38"/>
        </w:rPr>
        <w:t>At present, about $14 million has been made available by the tobacco </w:t>
      </w:r>
      <w:r>
        <w:rPr>
          <w:i/>
          <w:sz w:val="38"/>
        </w:rPr>
        <w:t>industry for 203 individual research projects at 90 universities. As a direct result of these donations, 450 reports have been published in scientific journals’. </w:t>
      </w:r>
      <w:r>
        <w:rPr>
          <w:position w:val="9"/>
          <w:sz w:val="25"/>
        </w:rPr>
        <w:t>442</w:t>
      </w:r>
    </w:p>
    <w:p>
      <w:pPr>
        <w:pStyle w:val="BodyText"/>
        <w:spacing w:line="276" w:lineRule="auto" w:before="242"/>
        <w:ind w:left="477" w:right="137"/>
        <w:jc w:val="both"/>
        <w:rPr>
          <w:sz w:val="25"/>
        </w:rPr>
      </w:pPr>
      <w:r>
        <w:rPr/>
        <w:t>By the way, there are wicked rumours (are they really that wicked?) that Mac- Donald and Garland received $50,000 for their claims on tobacco health! </w:t>
      </w:r>
      <w:r>
        <w:rPr>
          <w:position w:val="9"/>
          <w:sz w:val="25"/>
        </w:rPr>
        <w:t>443</w:t>
      </w:r>
    </w:p>
    <w:p>
      <w:pPr>
        <w:spacing w:before="239"/>
        <w:ind w:left="477" w:right="0" w:firstLine="0"/>
        <w:jc w:val="both"/>
        <w:rPr>
          <w:sz w:val="38"/>
        </w:rPr>
      </w:pPr>
      <w:r>
        <w:rPr>
          <w:sz w:val="38"/>
        </w:rPr>
        <w:t>But to return to the </w:t>
      </w:r>
      <w:r>
        <w:rPr>
          <w:i/>
          <w:sz w:val="38"/>
        </w:rPr>
        <w:t>California Report </w:t>
      </w:r>
      <w:r>
        <w:rPr>
          <w:sz w:val="38"/>
        </w:rPr>
        <w:t>and thus to vitamin B17: apart from the</w:t>
      </w:r>
    </w:p>
    <w:p>
      <w:pPr>
        <w:pStyle w:val="BodyText"/>
        <w:rPr>
          <w:sz w:val="20"/>
        </w:rPr>
      </w:pPr>
    </w:p>
    <w:p>
      <w:pPr>
        <w:pStyle w:val="BodyText"/>
        <w:spacing w:before="9"/>
        <w:rPr>
          <w:sz w:val="29"/>
        </w:rPr>
      </w:pPr>
      <w:r>
        <w:rPr/>
        <w:pict>
          <v:line style="position:absolute;mso-position-horizontal-relative:page;mso-position-vertical-relative:paragraph;z-index:5504;mso-wrap-distance-left:0;mso-wrap-distance-right:0" from="63.863998pt,19.142515pt" to="207.883998pt,19.142515pt" stroked="true" strokeweight=".71997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441</w:t>
      </w:r>
      <w:r>
        <w:rPr>
          <w:sz w:val="20"/>
        </w:rPr>
        <w:t>‘Here's Another View: Tobacco May Be Harmless’ US News &amp; World Report, 2 August 1957, p. 85 f.</w:t>
      </w:r>
    </w:p>
    <w:p>
      <w:pPr>
        <w:spacing w:before="94"/>
        <w:ind w:left="477" w:right="0" w:firstLine="0"/>
        <w:jc w:val="left"/>
        <w:rPr>
          <w:sz w:val="20"/>
        </w:rPr>
      </w:pPr>
      <w:r>
        <w:rPr>
          <w:position w:val="5"/>
          <w:sz w:val="13"/>
        </w:rPr>
        <w:t>442 </w:t>
      </w:r>
      <w:r>
        <w:rPr>
          <w:sz w:val="20"/>
        </w:rPr>
        <w:t>Third Research Conference, Committee for Research on Tobacco and Health, AMA Education and Research Foundation, 7 to 9 May 1972, p. 4</w:t>
      </w:r>
    </w:p>
    <w:p>
      <w:pPr>
        <w:spacing w:line="276" w:lineRule="auto" w:before="95"/>
        <w:ind w:left="477" w:right="153" w:firstLine="0"/>
        <w:jc w:val="left"/>
        <w:rPr>
          <w:sz w:val="20"/>
        </w:rPr>
      </w:pPr>
      <w:r>
        <w:rPr/>
        <w:drawing>
          <wp:anchor distT="0" distB="0" distL="0" distR="0" allowOverlap="1" layoutInCell="1" locked="0" behindDoc="1" simplePos="0" relativeHeight="267173303">
            <wp:simplePos x="0" y="0"/>
            <wp:positionH relativeFrom="page">
              <wp:posOffset>896463</wp:posOffset>
            </wp:positionH>
            <wp:positionV relativeFrom="paragraph">
              <wp:posOffset>104497</wp:posOffset>
            </wp:positionV>
            <wp:extent cx="6379583" cy="902106"/>
            <wp:effectExtent l="0" t="0" r="0" b="0"/>
            <wp:wrapNone/>
            <wp:docPr id="283" name="image2.jpeg" descr=""/>
            <wp:cNvGraphicFramePr>
              <a:graphicFrameLocks noChangeAspect="1"/>
            </wp:cNvGraphicFramePr>
            <a:graphic>
              <a:graphicData uri="http://schemas.openxmlformats.org/drawingml/2006/picture">
                <pic:pic>
                  <pic:nvPicPr>
                    <pic:cNvPr id="284"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443 </w:t>
      </w:r>
      <w:r>
        <w:rPr>
          <w:sz w:val="20"/>
        </w:rPr>
        <w:t>‘Cancer News Journal’ January/April 1971, p. 3 and ‘The Immoral Banning of Vitamin B17’ by Stewart M. Jones, MS, MD, Palo Alto, Calif., Janu- ary 1974, p. 1</w:t>
      </w:r>
    </w:p>
    <w:p>
      <w:pPr>
        <w:spacing w:after="0" w:line="276" w:lineRule="auto"/>
        <w:jc w:val="left"/>
        <w:rPr>
          <w:sz w:val="20"/>
        </w:rPr>
        <w:sectPr>
          <w:footerReference w:type="default" r:id="rId191"/>
          <w:pgSz w:w="14270" w:h="16850"/>
          <w:pgMar w:footer="527" w:header="0" w:top="1600" w:bottom="720" w:left="800" w:right="1280"/>
          <w:pgNumType w:start="792"/>
        </w:sectPr>
      </w:pPr>
    </w:p>
    <w:p>
      <w:pPr>
        <w:pStyle w:val="BodyText"/>
        <w:spacing w:line="276" w:lineRule="auto" w:before="181"/>
        <w:ind w:left="477" w:right="134"/>
        <w:jc w:val="both"/>
      </w:pPr>
      <w:r>
        <w:rPr/>
        <w:t>dubious</w:t>
      </w:r>
      <w:r>
        <w:rPr>
          <w:spacing w:val="-8"/>
        </w:rPr>
        <w:t> </w:t>
      </w:r>
      <w:r>
        <w:rPr/>
        <w:t>statements</w:t>
      </w:r>
      <w:r>
        <w:rPr>
          <w:spacing w:val="-6"/>
        </w:rPr>
        <w:t> </w:t>
      </w:r>
      <w:r>
        <w:rPr/>
        <w:t>of</w:t>
      </w:r>
      <w:r>
        <w:rPr>
          <w:spacing w:val="-9"/>
        </w:rPr>
        <w:t> </w:t>
      </w:r>
      <w:r>
        <w:rPr/>
        <w:t>the</w:t>
      </w:r>
      <w:r>
        <w:rPr>
          <w:spacing w:val="-6"/>
        </w:rPr>
        <w:t> </w:t>
      </w:r>
      <w:r>
        <w:rPr/>
        <w:t>pair,</w:t>
      </w:r>
      <w:r>
        <w:rPr>
          <w:spacing w:val="-10"/>
        </w:rPr>
        <w:t> </w:t>
      </w:r>
      <w:r>
        <w:rPr/>
        <w:t>the</w:t>
      </w:r>
      <w:r>
        <w:rPr>
          <w:spacing w:val="-6"/>
        </w:rPr>
        <w:t> </w:t>
      </w:r>
      <w:r>
        <w:rPr/>
        <w:t>studies</w:t>
      </w:r>
      <w:r>
        <w:rPr>
          <w:spacing w:val="-7"/>
        </w:rPr>
        <w:t> </w:t>
      </w:r>
      <w:r>
        <w:rPr/>
        <w:t>were</w:t>
      </w:r>
      <w:r>
        <w:rPr>
          <w:spacing w:val="-9"/>
        </w:rPr>
        <w:t> </w:t>
      </w:r>
      <w:r>
        <w:rPr/>
        <w:t>already</w:t>
      </w:r>
      <w:r>
        <w:rPr>
          <w:spacing w:val="-7"/>
        </w:rPr>
        <w:t> </w:t>
      </w:r>
      <w:r>
        <w:rPr/>
        <w:t>deprived</w:t>
      </w:r>
      <w:r>
        <w:rPr>
          <w:spacing w:val="-6"/>
        </w:rPr>
        <w:t> </w:t>
      </w:r>
      <w:r>
        <w:rPr/>
        <w:t>of</w:t>
      </w:r>
      <w:r>
        <w:rPr>
          <w:spacing w:val="-7"/>
        </w:rPr>
        <w:t> </w:t>
      </w:r>
      <w:r>
        <w:rPr/>
        <w:t>a</w:t>
      </w:r>
      <w:r>
        <w:rPr>
          <w:spacing w:val="-8"/>
        </w:rPr>
        <w:t> </w:t>
      </w:r>
      <w:r>
        <w:rPr/>
        <w:t>meaning- ful</w:t>
      </w:r>
      <w:r>
        <w:rPr>
          <w:spacing w:val="-22"/>
        </w:rPr>
        <w:t> </w:t>
      </w:r>
      <w:r>
        <w:rPr/>
        <w:t>foundation</w:t>
      </w:r>
      <w:r>
        <w:rPr>
          <w:spacing w:val="-20"/>
        </w:rPr>
        <w:t> </w:t>
      </w:r>
      <w:r>
        <w:rPr/>
        <w:t>due</w:t>
      </w:r>
      <w:r>
        <w:rPr>
          <w:spacing w:val="-21"/>
        </w:rPr>
        <w:t> </w:t>
      </w:r>
      <w:r>
        <w:rPr/>
        <w:t>to</w:t>
      </w:r>
      <w:r>
        <w:rPr>
          <w:spacing w:val="-20"/>
        </w:rPr>
        <w:t> </w:t>
      </w:r>
      <w:r>
        <w:rPr/>
        <w:t>the</w:t>
      </w:r>
      <w:r>
        <w:rPr>
          <w:spacing w:val="-20"/>
        </w:rPr>
        <w:t> </w:t>
      </w:r>
      <w:r>
        <w:rPr/>
        <w:t>use</w:t>
      </w:r>
      <w:r>
        <w:rPr>
          <w:spacing w:val="-20"/>
        </w:rPr>
        <w:t> </w:t>
      </w:r>
      <w:r>
        <w:rPr/>
        <w:t>of</w:t>
      </w:r>
      <w:r>
        <w:rPr>
          <w:spacing w:val="-20"/>
        </w:rPr>
        <w:t> </w:t>
      </w:r>
      <w:r>
        <w:rPr/>
        <w:t>a</w:t>
      </w:r>
      <w:r>
        <w:rPr>
          <w:spacing w:val="-21"/>
        </w:rPr>
        <w:t> </w:t>
      </w:r>
      <w:r>
        <w:rPr/>
        <w:t>dosage</w:t>
      </w:r>
      <w:r>
        <w:rPr>
          <w:spacing w:val="-20"/>
        </w:rPr>
        <w:t> </w:t>
      </w:r>
      <w:r>
        <w:rPr/>
        <w:t>that</w:t>
      </w:r>
      <w:r>
        <w:rPr>
          <w:spacing w:val="-20"/>
        </w:rPr>
        <w:t> </w:t>
      </w:r>
      <w:r>
        <w:rPr/>
        <w:t>contained</w:t>
      </w:r>
      <w:r>
        <w:rPr>
          <w:spacing w:val="-21"/>
        </w:rPr>
        <w:t> </w:t>
      </w:r>
      <w:r>
        <w:rPr/>
        <w:t>only</w:t>
      </w:r>
      <w:r>
        <w:rPr>
          <w:spacing w:val="-21"/>
        </w:rPr>
        <w:t> </w:t>
      </w:r>
      <w:r>
        <w:rPr/>
        <w:t>1/50</w:t>
      </w:r>
      <w:r>
        <w:rPr>
          <w:spacing w:val="-19"/>
        </w:rPr>
        <w:t> </w:t>
      </w:r>
      <w:r>
        <w:rPr/>
        <w:t>(one</w:t>
      </w:r>
      <w:r>
        <w:rPr>
          <w:spacing w:val="-20"/>
        </w:rPr>
        <w:t> </w:t>
      </w:r>
      <w:r>
        <w:rPr/>
        <w:t>fiftieth!) of the dosage of the drug laetrile, which is commonly used for cancer patients to achieve optimal</w:t>
      </w:r>
      <w:r>
        <w:rPr>
          <w:spacing w:val="1"/>
        </w:rPr>
        <w:t> </w:t>
      </w:r>
      <w:r>
        <w:rPr/>
        <w:t>results!</w:t>
      </w:r>
    </w:p>
    <w:p>
      <w:pPr>
        <w:spacing w:line="268" w:lineRule="auto" w:before="225"/>
        <w:ind w:left="477" w:right="133" w:firstLine="0"/>
        <w:jc w:val="both"/>
        <w:rPr>
          <w:sz w:val="38"/>
        </w:rPr>
      </w:pPr>
      <w:r>
        <w:rPr>
          <w:b/>
          <w:sz w:val="38"/>
        </w:rPr>
        <w:t>On page 3 of the </w:t>
      </w:r>
      <w:r>
        <w:rPr>
          <w:b/>
          <w:i/>
          <w:sz w:val="40"/>
        </w:rPr>
        <w:t>California Report</w:t>
      </w:r>
      <w:r>
        <w:rPr>
          <w:b/>
          <w:sz w:val="38"/>
        </w:rPr>
        <w:t>, MacDonald and Garland had to</w:t>
      </w:r>
      <w:r>
        <w:rPr>
          <w:b/>
          <w:spacing w:val="-48"/>
          <w:sz w:val="38"/>
        </w:rPr>
        <w:t> </w:t>
      </w:r>
      <w:r>
        <w:rPr>
          <w:b/>
          <w:sz w:val="38"/>
        </w:rPr>
        <w:t>ad- </w:t>
      </w:r>
      <w:r>
        <w:rPr>
          <w:b/>
          <w:w w:val="95"/>
          <w:sz w:val="38"/>
        </w:rPr>
        <w:t>mit: ‘</w:t>
      </w:r>
      <w:r>
        <w:rPr>
          <w:b/>
          <w:i/>
          <w:w w:val="95"/>
          <w:sz w:val="40"/>
        </w:rPr>
        <w:t>All physicians whose patients were reviewed reported</w:t>
      </w:r>
      <w:r>
        <w:rPr>
          <w:b/>
          <w:i/>
          <w:spacing w:val="-56"/>
          <w:w w:val="95"/>
          <w:sz w:val="40"/>
        </w:rPr>
        <w:t> </w:t>
      </w:r>
      <w:r>
        <w:rPr>
          <w:b/>
          <w:i/>
          <w:w w:val="95"/>
          <w:sz w:val="40"/>
        </w:rPr>
        <w:t>improvement </w:t>
      </w:r>
      <w:r>
        <w:rPr>
          <w:b/>
          <w:i/>
          <w:sz w:val="40"/>
        </w:rPr>
        <w:t>in</w:t>
      </w:r>
      <w:r>
        <w:rPr>
          <w:b/>
          <w:i/>
          <w:spacing w:val="-31"/>
          <w:sz w:val="40"/>
        </w:rPr>
        <w:t> </w:t>
      </w:r>
      <w:r>
        <w:rPr>
          <w:b/>
          <w:i/>
          <w:sz w:val="40"/>
        </w:rPr>
        <w:t>mood,</w:t>
      </w:r>
      <w:r>
        <w:rPr>
          <w:b/>
          <w:i/>
          <w:spacing w:val="-29"/>
          <w:sz w:val="40"/>
        </w:rPr>
        <w:t> </w:t>
      </w:r>
      <w:r>
        <w:rPr>
          <w:b/>
          <w:i/>
          <w:sz w:val="40"/>
        </w:rPr>
        <w:t>appetite,</w:t>
      </w:r>
      <w:r>
        <w:rPr>
          <w:b/>
          <w:i/>
          <w:spacing w:val="-29"/>
          <w:sz w:val="40"/>
        </w:rPr>
        <w:t> </w:t>
      </w:r>
      <w:r>
        <w:rPr>
          <w:b/>
          <w:i/>
          <w:sz w:val="40"/>
        </w:rPr>
        <w:t>weight</w:t>
      </w:r>
      <w:r>
        <w:rPr>
          <w:b/>
          <w:i/>
          <w:spacing w:val="-30"/>
          <w:sz w:val="40"/>
        </w:rPr>
        <w:t> </w:t>
      </w:r>
      <w:r>
        <w:rPr>
          <w:b/>
          <w:i/>
          <w:sz w:val="40"/>
        </w:rPr>
        <w:t>gain</w:t>
      </w:r>
      <w:r>
        <w:rPr>
          <w:b/>
          <w:i/>
          <w:spacing w:val="-31"/>
          <w:sz w:val="40"/>
        </w:rPr>
        <w:t> </w:t>
      </w:r>
      <w:r>
        <w:rPr>
          <w:b/>
          <w:i/>
          <w:sz w:val="40"/>
        </w:rPr>
        <w:t>and</w:t>
      </w:r>
      <w:r>
        <w:rPr>
          <w:b/>
          <w:i/>
          <w:spacing w:val="-29"/>
          <w:sz w:val="40"/>
        </w:rPr>
        <w:t> </w:t>
      </w:r>
      <w:r>
        <w:rPr>
          <w:b/>
          <w:i/>
          <w:sz w:val="40"/>
        </w:rPr>
        <w:t>pain</w:t>
      </w:r>
      <w:r>
        <w:rPr>
          <w:b/>
          <w:i/>
          <w:spacing w:val="-30"/>
          <w:sz w:val="40"/>
        </w:rPr>
        <w:t> </w:t>
      </w:r>
      <w:r>
        <w:rPr>
          <w:b/>
          <w:i/>
          <w:sz w:val="40"/>
        </w:rPr>
        <w:t>relief’</w:t>
      </w:r>
      <w:r>
        <w:rPr>
          <w:b/>
          <w:i/>
          <w:spacing w:val="-28"/>
          <w:sz w:val="40"/>
        </w:rPr>
        <w:t> </w:t>
      </w:r>
      <w:r>
        <w:rPr>
          <w:sz w:val="38"/>
        </w:rPr>
        <w:t>and</w:t>
      </w:r>
      <w:r>
        <w:rPr>
          <w:spacing w:val="-24"/>
          <w:sz w:val="38"/>
        </w:rPr>
        <w:t> </w:t>
      </w:r>
      <w:r>
        <w:rPr>
          <w:sz w:val="38"/>
        </w:rPr>
        <w:t>discredited</w:t>
      </w:r>
      <w:r>
        <w:rPr>
          <w:spacing w:val="-24"/>
          <w:sz w:val="38"/>
        </w:rPr>
        <w:t> </w:t>
      </w:r>
      <w:r>
        <w:rPr>
          <w:sz w:val="38"/>
        </w:rPr>
        <w:t>themselves and their entire report further with the continuation ‘... </w:t>
      </w:r>
      <w:r>
        <w:rPr>
          <w:i/>
          <w:sz w:val="38"/>
        </w:rPr>
        <w:t>as if these observations</w:t>
      </w:r>
      <w:r>
        <w:rPr>
          <w:i/>
          <w:spacing w:val="-46"/>
          <w:sz w:val="38"/>
        </w:rPr>
        <w:t> </w:t>
      </w:r>
      <w:r>
        <w:rPr>
          <w:i/>
          <w:sz w:val="38"/>
        </w:rPr>
        <w:t>were </w:t>
      </w:r>
      <w:r>
        <w:rPr>
          <w:i/>
          <w:sz w:val="38"/>
        </w:rPr>
        <w:t>evidence of a definitive therapeutic</w:t>
      </w:r>
      <w:r>
        <w:rPr>
          <w:i/>
          <w:spacing w:val="-2"/>
          <w:sz w:val="38"/>
        </w:rPr>
        <w:t> </w:t>
      </w:r>
      <w:r>
        <w:rPr>
          <w:i/>
          <w:sz w:val="38"/>
        </w:rPr>
        <w:t>effect’</w:t>
      </w:r>
      <w:r>
        <w:rPr>
          <w:sz w:val="38"/>
        </w:rPr>
        <w:t>.</w:t>
      </w:r>
    </w:p>
    <w:p>
      <w:pPr>
        <w:pStyle w:val="BodyText"/>
        <w:spacing w:line="276" w:lineRule="auto" w:before="246"/>
        <w:ind w:left="477" w:right="133"/>
        <w:jc w:val="both"/>
      </w:pPr>
      <w:r>
        <w:rPr/>
        <w:t>You</w:t>
      </w:r>
      <w:r>
        <w:rPr>
          <w:spacing w:val="-11"/>
        </w:rPr>
        <w:t> </w:t>
      </w:r>
      <w:r>
        <w:rPr/>
        <w:t>have</w:t>
      </w:r>
      <w:r>
        <w:rPr>
          <w:spacing w:val="-9"/>
        </w:rPr>
        <w:t> </w:t>
      </w:r>
      <w:r>
        <w:rPr/>
        <w:t>savour</w:t>
      </w:r>
      <w:r>
        <w:rPr>
          <w:spacing w:val="-9"/>
        </w:rPr>
        <w:t> </w:t>
      </w:r>
      <w:r>
        <w:rPr/>
        <w:t>that</w:t>
      </w:r>
      <w:r>
        <w:rPr>
          <w:spacing w:val="-9"/>
        </w:rPr>
        <w:t> </w:t>
      </w:r>
      <w:r>
        <w:rPr/>
        <w:t>one!</w:t>
      </w:r>
      <w:r>
        <w:rPr>
          <w:spacing w:val="-10"/>
        </w:rPr>
        <w:t> </w:t>
      </w:r>
      <w:r>
        <w:rPr/>
        <w:t>Advanced</w:t>
      </w:r>
      <w:r>
        <w:rPr>
          <w:spacing w:val="-9"/>
        </w:rPr>
        <w:t> </w:t>
      </w:r>
      <w:r>
        <w:rPr/>
        <w:t>cancer</w:t>
      </w:r>
      <w:r>
        <w:rPr>
          <w:spacing w:val="-9"/>
        </w:rPr>
        <w:t> </w:t>
      </w:r>
      <w:r>
        <w:rPr/>
        <w:t>patients,</w:t>
      </w:r>
      <w:r>
        <w:rPr>
          <w:spacing w:val="-8"/>
        </w:rPr>
        <w:t> </w:t>
      </w:r>
      <w:r>
        <w:rPr/>
        <w:t>all</w:t>
      </w:r>
      <w:r>
        <w:rPr>
          <w:spacing w:val="-12"/>
        </w:rPr>
        <w:t> </w:t>
      </w:r>
      <w:r>
        <w:rPr/>
        <w:t>of</w:t>
      </w:r>
      <w:r>
        <w:rPr>
          <w:spacing w:val="-9"/>
        </w:rPr>
        <w:t> </w:t>
      </w:r>
      <w:r>
        <w:rPr/>
        <w:t>whom</w:t>
      </w:r>
      <w:r>
        <w:rPr>
          <w:spacing w:val="-8"/>
        </w:rPr>
        <w:t> </w:t>
      </w:r>
      <w:r>
        <w:rPr/>
        <w:t>experiencing better health, improved appetite, weight gain and pain relief – NO evidence of therapeutic effect? What</w:t>
      </w:r>
      <w:r>
        <w:rPr>
          <w:spacing w:val="-2"/>
        </w:rPr>
        <w:t> </w:t>
      </w:r>
      <w:r>
        <w:rPr/>
        <w:t>then?</w:t>
      </w:r>
    </w:p>
    <w:p>
      <w:pPr>
        <w:pStyle w:val="BodyText"/>
        <w:spacing w:line="276" w:lineRule="auto" w:before="239"/>
        <w:ind w:left="477" w:right="133"/>
        <w:jc w:val="both"/>
      </w:pPr>
      <w:r>
        <w:rPr/>
        <w:t>What do you think of that – and what else should one think of a study on vita- min</w:t>
      </w:r>
      <w:r>
        <w:rPr>
          <w:spacing w:val="-6"/>
        </w:rPr>
        <w:t> </w:t>
      </w:r>
      <w:r>
        <w:rPr/>
        <w:t>B17,</w:t>
      </w:r>
      <w:r>
        <w:rPr>
          <w:spacing w:val="-6"/>
        </w:rPr>
        <w:t> </w:t>
      </w:r>
      <w:r>
        <w:rPr/>
        <w:t>the</w:t>
      </w:r>
      <w:r>
        <w:rPr>
          <w:spacing w:val="-6"/>
        </w:rPr>
        <w:t> </w:t>
      </w:r>
      <w:r>
        <w:rPr>
          <w:i/>
        </w:rPr>
        <w:t>California</w:t>
      </w:r>
      <w:r>
        <w:rPr>
          <w:i/>
          <w:spacing w:val="-7"/>
        </w:rPr>
        <w:t> </w:t>
      </w:r>
      <w:r>
        <w:rPr>
          <w:i/>
        </w:rPr>
        <w:t>Report</w:t>
      </w:r>
      <w:r>
        <w:rPr/>
        <w:t>,</w:t>
      </w:r>
      <w:r>
        <w:rPr>
          <w:spacing w:val="-5"/>
        </w:rPr>
        <w:t> </w:t>
      </w:r>
      <w:r>
        <w:rPr/>
        <w:t>written</w:t>
      </w:r>
      <w:r>
        <w:rPr>
          <w:spacing w:val="-6"/>
        </w:rPr>
        <w:t> </w:t>
      </w:r>
      <w:r>
        <w:rPr/>
        <w:t>by</w:t>
      </w:r>
      <w:r>
        <w:rPr>
          <w:spacing w:val="-5"/>
        </w:rPr>
        <w:t> </w:t>
      </w:r>
      <w:r>
        <w:rPr/>
        <w:t>the</w:t>
      </w:r>
      <w:r>
        <w:rPr>
          <w:spacing w:val="-5"/>
        </w:rPr>
        <w:t> </w:t>
      </w:r>
      <w:r>
        <w:rPr/>
        <w:t>same</w:t>
      </w:r>
      <w:r>
        <w:rPr>
          <w:spacing w:val="-6"/>
        </w:rPr>
        <w:t> </w:t>
      </w:r>
      <w:r>
        <w:rPr/>
        <w:t>‘scientists’</w:t>
      </w:r>
      <w:r>
        <w:rPr>
          <w:spacing w:val="-8"/>
        </w:rPr>
        <w:t> </w:t>
      </w:r>
      <w:r>
        <w:rPr/>
        <w:t>who</w:t>
      </w:r>
      <w:r>
        <w:rPr>
          <w:spacing w:val="-5"/>
        </w:rPr>
        <w:t> </w:t>
      </w:r>
      <w:r>
        <w:rPr/>
        <w:t>have</w:t>
      </w:r>
      <w:r>
        <w:rPr>
          <w:spacing w:val="-6"/>
        </w:rPr>
        <w:t> </w:t>
      </w:r>
      <w:r>
        <w:rPr/>
        <w:t>been</w:t>
      </w:r>
      <w:r>
        <w:rPr>
          <w:spacing w:val="-5"/>
        </w:rPr>
        <w:t> </w:t>
      </w:r>
      <w:r>
        <w:rPr/>
        <w:t>so committed to the tobacco industry that they officially gave nicotine a health clearance certificate and thus endangered millions of</w:t>
      </w:r>
      <w:r>
        <w:rPr>
          <w:spacing w:val="1"/>
        </w:rPr>
        <w:t> </w:t>
      </w:r>
      <w:r>
        <w:rPr/>
        <w:t>lives?</w:t>
      </w:r>
    </w:p>
    <w:p>
      <w:pPr>
        <w:pStyle w:val="BodyText"/>
        <w:spacing w:before="241"/>
        <w:ind w:left="477"/>
        <w:jc w:val="both"/>
      </w:pPr>
      <w:r>
        <w:rPr/>
        <w:t>Please answer this question yourself!</w:t>
      </w:r>
    </w:p>
    <w:p>
      <w:pPr>
        <w:pStyle w:val="BodyText"/>
        <w:spacing w:before="305"/>
        <w:ind w:left="477"/>
        <w:jc w:val="both"/>
      </w:pPr>
      <w:r>
        <w:rPr/>
        <w:t>By</w:t>
      </w:r>
      <w:r>
        <w:rPr>
          <w:spacing w:val="67"/>
        </w:rPr>
        <w:t> </w:t>
      </w:r>
      <w:r>
        <w:rPr/>
        <w:t>the</w:t>
      </w:r>
      <w:r>
        <w:rPr>
          <w:spacing w:val="69"/>
        </w:rPr>
        <w:t> </w:t>
      </w:r>
      <w:r>
        <w:rPr/>
        <w:t>way,</w:t>
      </w:r>
      <w:r>
        <w:rPr>
          <w:spacing w:val="68"/>
        </w:rPr>
        <w:t> </w:t>
      </w:r>
      <w:r>
        <w:rPr/>
        <w:t>in</w:t>
      </w:r>
      <w:r>
        <w:rPr>
          <w:spacing w:val="63"/>
        </w:rPr>
        <w:t> </w:t>
      </w:r>
      <w:r>
        <w:rPr/>
        <w:t>1963,</w:t>
      </w:r>
      <w:r>
        <w:rPr>
          <w:spacing w:val="68"/>
        </w:rPr>
        <w:t> </w:t>
      </w:r>
      <w:r>
        <w:rPr/>
        <w:t>ten</w:t>
      </w:r>
      <w:r>
        <w:rPr>
          <w:spacing w:val="68"/>
        </w:rPr>
        <w:t> </w:t>
      </w:r>
      <w:r>
        <w:rPr/>
        <w:t>years</w:t>
      </w:r>
      <w:r>
        <w:rPr>
          <w:spacing w:val="67"/>
        </w:rPr>
        <w:t> </w:t>
      </w:r>
      <w:r>
        <w:rPr/>
        <w:t>later,</w:t>
      </w:r>
      <w:r>
        <w:rPr>
          <w:spacing w:val="68"/>
        </w:rPr>
        <w:t> </w:t>
      </w:r>
      <w:r>
        <w:rPr/>
        <w:t>the</w:t>
      </w:r>
      <w:r>
        <w:rPr>
          <w:spacing w:val="67"/>
        </w:rPr>
        <w:t> </w:t>
      </w:r>
      <w:r>
        <w:rPr/>
        <w:t>California</w:t>
      </w:r>
      <w:r>
        <w:rPr>
          <w:spacing w:val="68"/>
        </w:rPr>
        <w:t> </w:t>
      </w:r>
      <w:r>
        <w:rPr/>
        <w:t>Department</w:t>
      </w:r>
      <w:r>
        <w:rPr>
          <w:spacing w:val="67"/>
        </w:rPr>
        <w:t> </w:t>
      </w:r>
      <w:r>
        <w:rPr/>
        <w:t>of</w:t>
      </w:r>
      <w:r>
        <w:rPr>
          <w:spacing w:val="68"/>
        </w:rPr>
        <w:t> </w:t>
      </w:r>
      <w:r>
        <w:rPr/>
        <w:t>Health,</w:t>
      </w:r>
    </w:p>
    <w:p>
      <w:pPr>
        <w:spacing w:after="0"/>
        <w:jc w:val="both"/>
        <w:sectPr>
          <w:footerReference w:type="default" r:id="rId192"/>
          <w:pgSz w:w="14270" w:h="16850"/>
          <w:pgMar w:footer="1891" w:header="0" w:top="1600" w:bottom="2080" w:left="800" w:right="1280"/>
          <w:pgNumType w:start="793"/>
        </w:sectPr>
      </w:pPr>
    </w:p>
    <w:p>
      <w:pPr>
        <w:spacing w:before="181"/>
        <w:ind w:left="477" w:right="0" w:firstLine="0"/>
        <w:jc w:val="left"/>
        <w:rPr>
          <w:sz w:val="25"/>
        </w:rPr>
      </w:pPr>
      <w:r>
        <w:rPr>
          <w:sz w:val="38"/>
        </w:rPr>
        <w:t>adopted the </w:t>
      </w:r>
      <w:r>
        <w:rPr>
          <w:i/>
          <w:sz w:val="38"/>
        </w:rPr>
        <w:t>California Report </w:t>
      </w:r>
      <w:r>
        <w:rPr>
          <w:sz w:val="38"/>
        </w:rPr>
        <w:t>as its own and declared it to be ‘true’.</w:t>
      </w:r>
      <w:r>
        <w:rPr>
          <w:position w:val="9"/>
          <w:sz w:val="25"/>
        </w:rPr>
        <w:t>444</w:t>
      </w:r>
    </w:p>
    <w:p>
      <w:pPr>
        <w:pStyle w:val="BodyText"/>
        <w:spacing w:line="276" w:lineRule="auto" w:before="305"/>
        <w:ind w:left="477" w:right="131"/>
        <w:jc w:val="both"/>
      </w:pPr>
      <w:r>
        <w:rPr/>
        <w:t>So-called ‘experts’ – people who have never come into contact with laetrile – still repeatedly refer to the </w:t>
      </w:r>
      <w:r>
        <w:rPr>
          <w:i/>
        </w:rPr>
        <w:t>California Report </w:t>
      </w:r>
      <w:r>
        <w:rPr/>
        <w:t>as a showcase against the efficacy</w:t>
      </w:r>
      <w:r>
        <w:rPr>
          <w:spacing w:val="-56"/>
        </w:rPr>
        <w:t> </w:t>
      </w:r>
      <w:r>
        <w:rPr/>
        <w:t>of laetrile (vitamin B17), and it is considered THE main argument for the legal restrictions on laetrile in the USA!</w:t>
      </w:r>
    </w:p>
    <w:p>
      <w:pPr>
        <w:spacing w:line="276" w:lineRule="auto" w:before="239"/>
        <w:ind w:left="477" w:right="133" w:firstLine="0"/>
        <w:jc w:val="both"/>
        <w:rPr>
          <w:i/>
          <w:sz w:val="25"/>
        </w:rPr>
      </w:pPr>
      <w:r>
        <w:rPr>
          <w:sz w:val="38"/>
        </w:rPr>
        <w:t>More</w:t>
      </w:r>
      <w:r>
        <w:rPr>
          <w:spacing w:val="-19"/>
          <w:sz w:val="38"/>
        </w:rPr>
        <w:t> </w:t>
      </w:r>
      <w:r>
        <w:rPr>
          <w:sz w:val="38"/>
        </w:rPr>
        <w:t>dubious</w:t>
      </w:r>
      <w:r>
        <w:rPr>
          <w:spacing w:val="-18"/>
          <w:sz w:val="38"/>
        </w:rPr>
        <w:t> </w:t>
      </w:r>
      <w:r>
        <w:rPr>
          <w:sz w:val="38"/>
        </w:rPr>
        <w:t>studies</w:t>
      </w:r>
      <w:r>
        <w:rPr>
          <w:spacing w:val="-18"/>
          <w:sz w:val="38"/>
        </w:rPr>
        <w:t> </w:t>
      </w:r>
      <w:r>
        <w:rPr>
          <w:sz w:val="38"/>
        </w:rPr>
        <w:t>to</w:t>
      </w:r>
      <w:r>
        <w:rPr>
          <w:spacing w:val="-17"/>
          <w:sz w:val="38"/>
        </w:rPr>
        <w:t> </w:t>
      </w:r>
      <w:r>
        <w:rPr>
          <w:sz w:val="38"/>
        </w:rPr>
        <w:t>prove</w:t>
      </w:r>
      <w:r>
        <w:rPr>
          <w:spacing w:val="-18"/>
          <w:sz w:val="38"/>
        </w:rPr>
        <w:t> </w:t>
      </w:r>
      <w:r>
        <w:rPr>
          <w:sz w:val="38"/>
        </w:rPr>
        <w:t>the</w:t>
      </w:r>
      <w:r>
        <w:rPr>
          <w:spacing w:val="-17"/>
          <w:sz w:val="38"/>
        </w:rPr>
        <w:t> </w:t>
      </w:r>
      <w:r>
        <w:rPr>
          <w:sz w:val="38"/>
        </w:rPr>
        <w:t>failure</w:t>
      </w:r>
      <w:r>
        <w:rPr>
          <w:spacing w:val="-18"/>
          <w:sz w:val="38"/>
        </w:rPr>
        <w:t> </w:t>
      </w:r>
      <w:r>
        <w:rPr>
          <w:sz w:val="38"/>
        </w:rPr>
        <w:t>of</w:t>
      </w:r>
      <w:r>
        <w:rPr>
          <w:spacing w:val="-18"/>
          <w:sz w:val="38"/>
        </w:rPr>
        <w:t> </w:t>
      </w:r>
      <w:r>
        <w:rPr>
          <w:sz w:val="38"/>
        </w:rPr>
        <w:t>vitamin</w:t>
      </w:r>
      <w:r>
        <w:rPr>
          <w:spacing w:val="-19"/>
          <w:sz w:val="38"/>
        </w:rPr>
        <w:t> </w:t>
      </w:r>
      <w:r>
        <w:rPr>
          <w:sz w:val="38"/>
        </w:rPr>
        <w:t>B17</w:t>
      </w:r>
      <w:r>
        <w:rPr>
          <w:spacing w:val="-19"/>
          <w:sz w:val="38"/>
        </w:rPr>
        <w:t> </w:t>
      </w:r>
      <w:r>
        <w:rPr>
          <w:sz w:val="38"/>
        </w:rPr>
        <w:t>were</w:t>
      </w:r>
      <w:r>
        <w:rPr>
          <w:spacing w:val="-17"/>
          <w:sz w:val="38"/>
        </w:rPr>
        <w:t> </w:t>
      </w:r>
      <w:r>
        <w:rPr>
          <w:sz w:val="38"/>
        </w:rPr>
        <w:t>yet</w:t>
      </w:r>
      <w:r>
        <w:rPr>
          <w:spacing w:val="-18"/>
          <w:sz w:val="38"/>
        </w:rPr>
        <w:t> </w:t>
      </w:r>
      <w:r>
        <w:rPr>
          <w:sz w:val="38"/>
        </w:rPr>
        <w:t>to</w:t>
      </w:r>
      <w:r>
        <w:rPr>
          <w:spacing w:val="-17"/>
          <w:sz w:val="38"/>
        </w:rPr>
        <w:t> </w:t>
      </w:r>
      <w:r>
        <w:rPr>
          <w:sz w:val="38"/>
        </w:rPr>
        <w:t>come;</w:t>
      </w:r>
      <w:r>
        <w:rPr>
          <w:spacing w:val="-18"/>
          <w:sz w:val="38"/>
        </w:rPr>
        <w:t> </w:t>
      </w:r>
      <w:r>
        <w:rPr>
          <w:sz w:val="38"/>
        </w:rPr>
        <w:t>they all had the same characteristics in common: ‘</w:t>
      </w:r>
      <w:r>
        <w:rPr>
          <w:i/>
          <w:sz w:val="38"/>
        </w:rPr>
        <w:t>scientific incompetence, bias and plain </w:t>
      </w:r>
      <w:r>
        <w:rPr>
          <w:i/>
          <w:sz w:val="38"/>
        </w:rPr>
        <w:t>deception’.</w:t>
      </w:r>
      <w:r>
        <w:rPr>
          <w:i/>
          <w:position w:val="9"/>
          <w:sz w:val="25"/>
        </w:rPr>
        <w:t>445</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8"/>
        <w:rPr>
          <w:i/>
          <w:sz w:val="26"/>
        </w:rPr>
      </w:pPr>
      <w:r>
        <w:rPr/>
        <w:pict>
          <v:line style="position:absolute;mso-position-horizontal-relative:page;mso-position-vertical-relative:paragraph;z-index:5552;mso-wrap-distance-left:0;mso-wrap-distance-right:0" from="63.863998pt,17.396235pt" to="207.883998pt,17.396235pt" stroked="true" strokeweight=".72003pt" strokecolor="#000000">
            <v:stroke dashstyle="solid"/>
            <w10:wrap type="topAndBottom"/>
          </v:line>
        </w:pict>
      </w:r>
    </w:p>
    <w:p>
      <w:pPr>
        <w:pStyle w:val="BodyText"/>
        <w:spacing w:before="7"/>
        <w:rPr>
          <w:i/>
          <w:sz w:val="18"/>
        </w:rPr>
      </w:pPr>
    </w:p>
    <w:p>
      <w:pPr>
        <w:spacing w:before="99"/>
        <w:ind w:left="477" w:right="0" w:firstLine="0"/>
        <w:jc w:val="left"/>
        <w:rPr>
          <w:sz w:val="20"/>
        </w:rPr>
      </w:pPr>
      <w:r>
        <w:rPr>
          <w:position w:val="5"/>
          <w:sz w:val="13"/>
        </w:rPr>
        <w:t>444 </w:t>
      </w:r>
      <w:r>
        <w:rPr>
          <w:sz w:val="20"/>
        </w:rPr>
        <w:t>G. Edward Griffin: A World Without Cancer , 4th Ed., December 2007, p.</w:t>
      </w:r>
      <w:r>
        <w:rPr>
          <w:spacing w:val="-15"/>
          <w:sz w:val="20"/>
        </w:rPr>
        <w:t> </w:t>
      </w:r>
      <w:r>
        <w:rPr>
          <w:sz w:val="20"/>
        </w:rPr>
        <w:t>37</w:t>
      </w:r>
    </w:p>
    <w:p>
      <w:pPr>
        <w:spacing w:before="94"/>
        <w:ind w:left="477" w:right="0" w:firstLine="0"/>
        <w:jc w:val="left"/>
        <w:rPr>
          <w:sz w:val="20"/>
        </w:rPr>
      </w:pPr>
      <w:r>
        <w:rPr>
          <w:position w:val="5"/>
          <w:sz w:val="13"/>
        </w:rPr>
        <w:t>445 </w:t>
      </w:r>
      <w:r>
        <w:rPr>
          <w:sz w:val="20"/>
        </w:rPr>
        <w:t>G. Edward Griffin: A World Without Cancer , 4th Ed., December 2007, p.</w:t>
      </w:r>
      <w:r>
        <w:rPr>
          <w:spacing w:val="-13"/>
          <w:sz w:val="20"/>
        </w:rPr>
        <w:t> </w:t>
      </w:r>
      <w:r>
        <w:rPr>
          <w:sz w:val="20"/>
        </w:rPr>
        <w:t>33</w:t>
      </w:r>
    </w:p>
    <w:p>
      <w:pPr>
        <w:spacing w:after="0"/>
        <w:jc w:val="left"/>
        <w:rPr>
          <w:sz w:val="20"/>
        </w:rPr>
        <w:sectPr>
          <w:pgSz w:w="14270" w:h="16850"/>
          <w:pgMar w:header="0" w:footer="1891" w:top="1600" w:bottom="2080" w:left="800" w:right="1280"/>
        </w:sectPr>
      </w:pPr>
    </w:p>
    <w:p>
      <w:pPr>
        <w:pStyle w:val="Heading2"/>
        <w:spacing w:line="276" w:lineRule="auto" w:before="181"/>
        <w:ind w:right="145"/>
        <w:jc w:val="both"/>
      </w:pPr>
      <w:r>
        <w:rPr/>
        <w:t>1973: Report by the Southern Institute in Birmingham for the NCI (Na- tional Cancer Institute)</w:t>
      </w:r>
    </w:p>
    <w:p>
      <w:pPr>
        <w:pStyle w:val="BodyText"/>
        <w:spacing w:line="276" w:lineRule="auto" w:before="241"/>
        <w:ind w:left="477" w:right="131"/>
        <w:jc w:val="both"/>
      </w:pPr>
      <w:r>
        <w:rPr/>
        <w:t>After months of testing on mice, the Southern Institute in Birmingham, Ala- bama,</w:t>
      </w:r>
      <w:r>
        <w:rPr>
          <w:spacing w:val="-18"/>
        </w:rPr>
        <w:t> </w:t>
      </w:r>
      <w:r>
        <w:rPr/>
        <w:t>presented</w:t>
      </w:r>
      <w:r>
        <w:rPr>
          <w:spacing w:val="-19"/>
        </w:rPr>
        <w:t> </w:t>
      </w:r>
      <w:r>
        <w:rPr/>
        <w:t>a</w:t>
      </w:r>
      <w:r>
        <w:rPr>
          <w:spacing w:val="-22"/>
        </w:rPr>
        <w:t> </w:t>
      </w:r>
      <w:r>
        <w:rPr/>
        <w:t>report</w:t>
      </w:r>
      <w:r>
        <w:rPr>
          <w:spacing w:val="-21"/>
        </w:rPr>
        <w:t> </w:t>
      </w:r>
      <w:r>
        <w:rPr/>
        <w:t>in</w:t>
      </w:r>
      <w:r>
        <w:rPr>
          <w:spacing w:val="-21"/>
        </w:rPr>
        <w:t> </w:t>
      </w:r>
      <w:r>
        <w:rPr/>
        <w:t>1973</w:t>
      </w:r>
      <w:r>
        <w:rPr>
          <w:spacing w:val="-22"/>
        </w:rPr>
        <w:t> </w:t>
      </w:r>
      <w:r>
        <w:rPr/>
        <w:t>that,</w:t>
      </w:r>
      <w:r>
        <w:rPr>
          <w:spacing w:val="-18"/>
        </w:rPr>
        <w:t> </w:t>
      </w:r>
      <w:r>
        <w:rPr/>
        <w:t>according</w:t>
      </w:r>
      <w:r>
        <w:rPr>
          <w:spacing w:val="-21"/>
        </w:rPr>
        <w:t> </w:t>
      </w:r>
      <w:r>
        <w:rPr/>
        <w:t>to</w:t>
      </w:r>
      <w:r>
        <w:rPr>
          <w:spacing w:val="-18"/>
        </w:rPr>
        <w:t> </w:t>
      </w:r>
      <w:r>
        <w:rPr/>
        <w:t>the</w:t>
      </w:r>
      <w:r>
        <w:rPr>
          <w:spacing w:val="-20"/>
        </w:rPr>
        <w:t> </w:t>
      </w:r>
      <w:r>
        <w:rPr/>
        <w:t>NCI,</w:t>
      </w:r>
      <w:r>
        <w:rPr>
          <w:spacing w:val="-21"/>
        </w:rPr>
        <w:t> </w:t>
      </w:r>
      <w:r>
        <w:rPr/>
        <w:t>claimed</w:t>
      </w:r>
      <w:r>
        <w:rPr>
          <w:spacing w:val="-19"/>
        </w:rPr>
        <w:t> </w:t>
      </w:r>
      <w:r>
        <w:rPr/>
        <w:t>once</w:t>
      </w:r>
      <w:r>
        <w:rPr>
          <w:spacing w:val="-21"/>
        </w:rPr>
        <w:t> </w:t>
      </w:r>
      <w:r>
        <w:rPr/>
        <w:t>again that laetrile had no effect during cancer</w:t>
      </w:r>
      <w:r>
        <w:rPr>
          <w:spacing w:val="-2"/>
        </w:rPr>
        <w:t> </w:t>
      </w:r>
      <w:r>
        <w:rPr/>
        <w:t>treatment.</w:t>
      </w:r>
    </w:p>
    <w:p>
      <w:pPr>
        <w:pStyle w:val="BodyText"/>
        <w:spacing w:line="276" w:lineRule="auto" w:before="239"/>
        <w:ind w:left="477" w:right="131"/>
        <w:jc w:val="both"/>
      </w:pPr>
      <w:r>
        <w:rPr/>
        <w:t>After</w:t>
      </w:r>
      <w:r>
        <w:rPr>
          <w:spacing w:val="-11"/>
        </w:rPr>
        <w:t> </w:t>
      </w:r>
      <w:r>
        <w:rPr/>
        <w:t>Dr.</w:t>
      </w:r>
      <w:r>
        <w:rPr>
          <w:spacing w:val="-11"/>
        </w:rPr>
        <w:t> </w:t>
      </w:r>
      <w:r>
        <w:rPr/>
        <w:t>Dean</w:t>
      </w:r>
      <w:r>
        <w:rPr>
          <w:spacing w:val="-15"/>
        </w:rPr>
        <w:t> </w:t>
      </w:r>
      <w:r>
        <w:rPr/>
        <w:t>Burk</w:t>
      </w:r>
      <w:r>
        <w:rPr>
          <w:spacing w:val="-13"/>
        </w:rPr>
        <w:t> </w:t>
      </w:r>
      <w:r>
        <w:rPr/>
        <w:t>of</w:t>
      </w:r>
      <w:r>
        <w:rPr>
          <w:spacing w:val="-11"/>
        </w:rPr>
        <w:t> </w:t>
      </w:r>
      <w:r>
        <w:rPr/>
        <w:t>the</w:t>
      </w:r>
      <w:r>
        <w:rPr>
          <w:spacing w:val="-11"/>
        </w:rPr>
        <w:t> </w:t>
      </w:r>
      <w:r>
        <w:rPr/>
        <w:t>National</w:t>
      </w:r>
      <w:r>
        <w:rPr>
          <w:spacing w:val="-14"/>
        </w:rPr>
        <w:t> </w:t>
      </w:r>
      <w:r>
        <w:rPr/>
        <w:t>Cancer</w:t>
      </w:r>
      <w:r>
        <w:rPr>
          <w:spacing w:val="-11"/>
        </w:rPr>
        <w:t> </w:t>
      </w:r>
      <w:r>
        <w:rPr/>
        <w:t>Institute</w:t>
      </w:r>
      <w:r>
        <w:rPr>
          <w:spacing w:val="-12"/>
        </w:rPr>
        <w:t> </w:t>
      </w:r>
      <w:r>
        <w:rPr/>
        <w:t>reviewed</w:t>
      </w:r>
      <w:r>
        <w:rPr>
          <w:spacing w:val="-12"/>
        </w:rPr>
        <w:t> </w:t>
      </w:r>
      <w:r>
        <w:rPr/>
        <w:t>the</w:t>
      </w:r>
      <w:r>
        <w:rPr>
          <w:spacing w:val="-11"/>
        </w:rPr>
        <w:t> </w:t>
      </w:r>
      <w:r>
        <w:rPr/>
        <w:t>report</w:t>
      </w:r>
      <w:r>
        <w:rPr>
          <w:spacing w:val="-12"/>
        </w:rPr>
        <w:t> </w:t>
      </w:r>
      <w:r>
        <w:rPr/>
        <w:t>thor- oughly, he found that the tests had basic</w:t>
      </w:r>
      <w:r>
        <w:rPr>
          <w:spacing w:val="3"/>
        </w:rPr>
        <w:t> </w:t>
      </w:r>
      <w:r>
        <w:rPr/>
        <w:t>‘errors’!</w:t>
      </w:r>
    </w:p>
    <w:p>
      <w:pPr>
        <w:pStyle w:val="BodyText"/>
        <w:spacing w:line="276" w:lineRule="auto" w:before="241"/>
        <w:ind w:left="477" w:right="136"/>
        <w:jc w:val="both"/>
      </w:pPr>
      <w:r>
        <w:rPr/>
        <w:t>The test mice were thus divided into three groups: Group 1 received too little laetrile, Group 2 received too much laetrile and Group 3 received the optimal amount of laetrile.</w:t>
      </w:r>
    </w:p>
    <w:p>
      <w:pPr>
        <w:pStyle w:val="BodyText"/>
        <w:spacing w:line="410" w:lineRule="auto" w:before="241"/>
        <w:ind w:left="477" w:right="255"/>
      </w:pPr>
      <w:r>
        <w:rPr/>
        <w:t>In Group 1, the mice died just as fast as those that did not receive any laetrile. In Group 2, mice died faster than those in the control group.</w:t>
      </w:r>
    </w:p>
    <w:p>
      <w:pPr>
        <w:pStyle w:val="BodyText"/>
        <w:spacing w:line="276" w:lineRule="auto"/>
        <w:ind w:left="477" w:right="136"/>
        <w:jc w:val="both"/>
      </w:pPr>
      <w:r>
        <w:rPr/>
        <w:t>But those in Group 3, i.e. those who received the optimal dose, survived</w:t>
      </w:r>
      <w:r>
        <w:rPr>
          <w:spacing w:val="-35"/>
        </w:rPr>
        <w:t> </w:t>
      </w:r>
      <w:r>
        <w:rPr/>
        <w:t>much longer than those in the control group without</w:t>
      </w:r>
      <w:r>
        <w:rPr>
          <w:spacing w:val="3"/>
        </w:rPr>
        <w:t> </w:t>
      </w:r>
      <w:r>
        <w:rPr/>
        <w:t>laetrile.</w:t>
      </w:r>
    </w:p>
    <w:p>
      <w:pPr>
        <w:pStyle w:val="BodyText"/>
        <w:spacing w:line="276" w:lineRule="auto" w:before="241"/>
        <w:ind w:left="477" w:right="142"/>
        <w:jc w:val="both"/>
      </w:pPr>
      <w:r>
        <w:rPr/>
        <w:t>So far so good. Another gratifying result in favour of vitamin B17, one would think... So, what do you do with positive results if you do not want the results to be positive?</w:t>
      </w:r>
    </w:p>
    <w:p>
      <w:pPr>
        <w:pStyle w:val="BodyText"/>
        <w:spacing w:line="276" w:lineRule="auto" w:before="242"/>
        <w:ind w:left="477" w:right="132"/>
        <w:jc w:val="both"/>
      </w:pPr>
      <w:r>
        <w:rPr/>
        <w:t>It’s</w:t>
      </w:r>
      <w:r>
        <w:rPr>
          <w:spacing w:val="-21"/>
        </w:rPr>
        <w:t> </w:t>
      </w:r>
      <w:r>
        <w:rPr/>
        <w:t>very</w:t>
      </w:r>
      <w:r>
        <w:rPr>
          <w:spacing w:val="-23"/>
        </w:rPr>
        <w:t> </w:t>
      </w:r>
      <w:r>
        <w:rPr/>
        <w:t>simple:</w:t>
      </w:r>
      <w:r>
        <w:rPr>
          <w:spacing w:val="-25"/>
        </w:rPr>
        <w:t> </w:t>
      </w:r>
      <w:r>
        <w:rPr/>
        <w:t>you</w:t>
      </w:r>
      <w:r>
        <w:rPr>
          <w:spacing w:val="-22"/>
        </w:rPr>
        <w:t> </w:t>
      </w:r>
      <w:r>
        <w:rPr/>
        <w:t>fiddle</w:t>
      </w:r>
      <w:r>
        <w:rPr>
          <w:spacing w:val="-22"/>
        </w:rPr>
        <w:t> </w:t>
      </w:r>
      <w:r>
        <w:rPr/>
        <w:t>with</w:t>
      </w:r>
      <w:r>
        <w:rPr>
          <w:spacing w:val="-21"/>
        </w:rPr>
        <w:t> </w:t>
      </w:r>
      <w:r>
        <w:rPr/>
        <w:t>the</w:t>
      </w:r>
      <w:r>
        <w:rPr>
          <w:spacing w:val="-21"/>
        </w:rPr>
        <w:t> </w:t>
      </w:r>
      <w:r>
        <w:rPr/>
        <w:t>numbers</w:t>
      </w:r>
      <w:r>
        <w:rPr>
          <w:spacing w:val="-23"/>
        </w:rPr>
        <w:t> </w:t>
      </w:r>
      <w:r>
        <w:rPr/>
        <w:t>by</w:t>
      </w:r>
      <w:r>
        <w:rPr>
          <w:spacing w:val="-23"/>
        </w:rPr>
        <w:t> </w:t>
      </w:r>
      <w:r>
        <w:rPr/>
        <w:t>compiling</w:t>
      </w:r>
      <w:r>
        <w:rPr>
          <w:spacing w:val="-21"/>
        </w:rPr>
        <w:t> </w:t>
      </w:r>
      <w:r>
        <w:rPr/>
        <w:t>the</w:t>
      </w:r>
      <w:r>
        <w:rPr>
          <w:spacing w:val="-23"/>
        </w:rPr>
        <w:t> </w:t>
      </w:r>
      <w:r>
        <w:rPr/>
        <w:t>results</w:t>
      </w:r>
      <w:r>
        <w:rPr>
          <w:spacing w:val="-22"/>
        </w:rPr>
        <w:t> </w:t>
      </w:r>
      <w:r>
        <w:rPr/>
        <w:t>of</w:t>
      </w:r>
      <w:r>
        <w:rPr>
          <w:spacing w:val="-21"/>
        </w:rPr>
        <w:t> </w:t>
      </w:r>
      <w:r>
        <w:rPr/>
        <w:t>all</w:t>
      </w:r>
      <w:r>
        <w:rPr>
          <w:spacing w:val="-23"/>
        </w:rPr>
        <w:t> </w:t>
      </w:r>
      <w:r>
        <w:rPr/>
        <w:t>three groups and calculating the average! On average, due to the fact that two out of three</w:t>
      </w:r>
      <w:r>
        <w:rPr>
          <w:spacing w:val="23"/>
        </w:rPr>
        <w:t> </w:t>
      </w:r>
      <w:r>
        <w:rPr/>
        <w:t>test</w:t>
      </w:r>
      <w:r>
        <w:rPr>
          <w:spacing w:val="20"/>
        </w:rPr>
        <w:t> </w:t>
      </w:r>
      <w:r>
        <w:rPr/>
        <w:t>groups</w:t>
      </w:r>
      <w:r>
        <w:rPr>
          <w:spacing w:val="23"/>
        </w:rPr>
        <w:t> </w:t>
      </w:r>
      <w:r>
        <w:rPr/>
        <w:t>included</w:t>
      </w:r>
      <w:r>
        <w:rPr>
          <w:spacing w:val="22"/>
        </w:rPr>
        <w:t> </w:t>
      </w:r>
      <w:r>
        <w:rPr/>
        <w:t>an</w:t>
      </w:r>
      <w:r>
        <w:rPr>
          <w:spacing w:val="20"/>
        </w:rPr>
        <w:t> </w:t>
      </w:r>
      <w:r>
        <w:rPr/>
        <w:t>incorrect</w:t>
      </w:r>
      <w:r>
        <w:rPr>
          <w:spacing w:val="23"/>
        </w:rPr>
        <w:t> </w:t>
      </w:r>
      <w:r>
        <w:rPr/>
        <w:t>dose</w:t>
      </w:r>
      <w:r>
        <w:rPr>
          <w:spacing w:val="21"/>
        </w:rPr>
        <w:t> </w:t>
      </w:r>
      <w:r>
        <w:rPr/>
        <w:t>of</w:t>
      </w:r>
      <w:r>
        <w:rPr>
          <w:spacing w:val="18"/>
        </w:rPr>
        <w:t> </w:t>
      </w:r>
      <w:r>
        <w:rPr/>
        <w:t>laetrile</w:t>
      </w:r>
      <w:r>
        <w:rPr>
          <w:spacing w:val="26"/>
        </w:rPr>
        <w:t> </w:t>
      </w:r>
      <w:r>
        <w:rPr/>
        <w:t>–</w:t>
      </w:r>
      <w:r>
        <w:rPr>
          <w:spacing w:val="23"/>
        </w:rPr>
        <w:t> </w:t>
      </w:r>
      <w:r>
        <w:rPr/>
        <w:t>of</w:t>
      </w:r>
      <w:r>
        <w:rPr>
          <w:spacing w:val="21"/>
        </w:rPr>
        <w:t> </w:t>
      </w:r>
      <w:r>
        <w:rPr/>
        <w:t>course</w:t>
      </w:r>
      <w:r>
        <w:rPr>
          <w:spacing w:val="23"/>
        </w:rPr>
        <w:t> </w:t>
      </w:r>
      <w:r>
        <w:rPr/>
        <w:t>the</w:t>
      </w:r>
      <w:r>
        <w:rPr>
          <w:spacing w:val="21"/>
        </w:rPr>
        <w:t> </w:t>
      </w:r>
      <w:r>
        <w:rPr/>
        <w:t>results</w:t>
      </w:r>
    </w:p>
    <w:p>
      <w:pPr>
        <w:spacing w:after="0" w:line="276" w:lineRule="auto"/>
        <w:jc w:val="both"/>
        <w:sectPr>
          <w:pgSz w:w="14270" w:h="16850"/>
          <w:pgMar w:header="0" w:footer="1891" w:top="1600" w:bottom="2080" w:left="800" w:right="1280"/>
        </w:sectPr>
      </w:pPr>
    </w:p>
    <w:p>
      <w:pPr>
        <w:pStyle w:val="BodyText"/>
        <w:spacing w:before="181"/>
        <w:ind w:left="477"/>
      </w:pPr>
      <w:r>
        <w:rPr/>
        <w:t>came out negative!</w:t>
      </w:r>
    </w:p>
    <w:p>
      <w:pPr>
        <w:pStyle w:val="BodyText"/>
        <w:spacing w:line="276" w:lineRule="auto" w:before="305"/>
        <w:ind w:left="477" w:right="135"/>
        <w:jc w:val="both"/>
        <w:rPr>
          <w:sz w:val="25"/>
        </w:rPr>
      </w:pPr>
      <w:r>
        <w:rPr/>
        <w:t>On</w:t>
      </w:r>
      <w:r>
        <w:rPr>
          <w:spacing w:val="-11"/>
        </w:rPr>
        <w:t> </w:t>
      </w:r>
      <w:r>
        <w:rPr/>
        <w:t>March</w:t>
      </w:r>
      <w:r>
        <w:rPr>
          <w:spacing w:val="-10"/>
        </w:rPr>
        <w:t> </w:t>
      </w:r>
      <w:r>
        <w:rPr/>
        <w:t>22,</w:t>
      </w:r>
      <w:r>
        <w:rPr>
          <w:spacing w:val="-10"/>
        </w:rPr>
        <w:t> </w:t>
      </w:r>
      <w:r>
        <w:rPr/>
        <w:t>1974,</w:t>
      </w:r>
      <w:r>
        <w:rPr>
          <w:spacing w:val="-11"/>
        </w:rPr>
        <w:t> </w:t>
      </w:r>
      <w:r>
        <w:rPr/>
        <w:t>in</w:t>
      </w:r>
      <w:r>
        <w:rPr>
          <w:spacing w:val="-10"/>
        </w:rPr>
        <w:t> </w:t>
      </w:r>
      <w:r>
        <w:rPr/>
        <w:t>a</w:t>
      </w:r>
      <w:r>
        <w:rPr>
          <w:spacing w:val="-12"/>
        </w:rPr>
        <w:t> </w:t>
      </w:r>
      <w:r>
        <w:rPr/>
        <w:t>14-page</w:t>
      </w:r>
      <w:r>
        <w:rPr>
          <w:spacing w:val="-10"/>
        </w:rPr>
        <w:t> </w:t>
      </w:r>
      <w:r>
        <w:rPr/>
        <w:t>letter</w:t>
      </w:r>
      <w:r>
        <w:rPr>
          <w:spacing w:val="-11"/>
        </w:rPr>
        <w:t> </w:t>
      </w:r>
      <w:r>
        <w:rPr/>
        <w:t>to</w:t>
      </w:r>
      <w:r>
        <w:rPr>
          <w:spacing w:val="-9"/>
        </w:rPr>
        <w:t> </w:t>
      </w:r>
      <w:r>
        <w:rPr/>
        <w:t>Dr.</w:t>
      </w:r>
      <w:r>
        <w:rPr>
          <w:spacing w:val="-9"/>
        </w:rPr>
        <w:t> </w:t>
      </w:r>
      <w:r>
        <w:rPr/>
        <w:t>Seymour</w:t>
      </w:r>
      <w:r>
        <w:rPr>
          <w:spacing w:val="-11"/>
        </w:rPr>
        <w:t> </w:t>
      </w:r>
      <w:r>
        <w:rPr/>
        <w:t>Perry</w:t>
      </w:r>
      <w:r>
        <w:rPr>
          <w:spacing w:val="-10"/>
        </w:rPr>
        <w:t> </w:t>
      </w:r>
      <w:r>
        <w:rPr/>
        <w:t>of</w:t>
      </w:r>
      <w:r>
        <w:rPr>
          <w:spacing w:val="-13"/>
        </w:rPr>
        <w:t> </w:t>
      </w:r>
      <w:r>
        <w:rPr/>
        <w:t>NCI,</w:t>
      </w:r>
      <w:r>
        <w:rPr>
          <w:spacing w:val="-9"/>
        </w:rPr>
        <w:t> </w:t>
      </w:r>
      <w:r>
        <w:rPr/>
        <w:t>Dr.</w:t>
      </w:r>
      <w:r>
        <w:rPr>
          <w:spacing w:val="-9"/>
        </w:rPr>
        <w:t> </w:t>
      </w:r>
      <w:r>
        <w:rPr/>
        <w:t>Dean Burk proposed a damning analysis of this statistical</w:t>
      </w:r>
      <w:r>
        <w:rPr>
          <w:spacing w:val="-5"/>
        </w:rPr>
        <w:t> </w:t>
      </w:r>
      <w:r>
        <w:rPr/>
        <w:t>manipulation.</w:t>
      </w:r>
      <w:r>
        <w:rPr>
          <w:position w:val="9"/>
          <w:sz w:val="25"/>
        </w:rPr>
        <w:t>446</w:t>
      </w:r>
    </w:p>
    <w:p>
      <w:pPr>
        <w:pStyle w:val="BodyText"/>
        <w:spacing w:before="8"/>
        <w:rPr>
          <w:sz w:val="42"/>
        </w:rPr>
      </w:pPr>
    </w:p>
    <w:p>
      <w:pPr>
        <w:pStyle w:val="Heading2"/>
      </w:pPr>
      <w:r>
        <w:rPr/>
        <w:t>NCI study as concession for vitamin B17 due to popular resistance</w:t>
      </w:r>
    </w:p>
    <w:p>
      <w:pPr>
        <w:pStyle w:val="BodyText"/>
        <w:spacing w:line="276" w:lineRule="auto" w:before="305"/>
        <w:ind w:left="477" w:right="131"/>
        <w:jc w:val="both"/>
        <w:rPr>
          <w:i/>
        </w:rPr>
      </w:pPr>
      <w:r>
        <w:rPr/>
        <w:t>‘He who heals is right!’ And so it is not surprising that Americans, increasing numbers</w:t>
      </w:r>
      <w:r>
        <w:rPr>
          <w:spacing w:val="-19"/>
        </w:rPr>
        <w:t> </w:t>
      </w:r>
      <w:r>
        <w:rPr/>
        <w:t>of</w:t>
      </w:r>
      <w:r>
        <w:rPr>
          <w:spacing w:val="-20"/>
        </w:rPr>
        <w:t> </w:t>
      </w:r>
      <w:r>
        <w:rPr/>
        <w:t>whom</w:t>
      </w:r>
      <w:r>
        <w:rPr>
          <w:spacing w:val="-20"/>
        </w:rPr>
        <w:t> </w:t>
      </w:r>
      <w:r>
        <w:rPr/>
        <w:t>recovered</w:t>
      </w:r>
      <w:r>
        <w:rPr>
          <w:spacing w:val="-20"/>
        </w:rPr>
        <w:t> </w:t>
      </w:r>
      <w:r>
        <w:rPr/>
        <w:t>from</w:t>
      </w:r>
      <w:r>
        <w:rPr>
          <w:spacing w:val="-20"/>
        </w:rPr>
        <w:t> </w:t>
      </w:r>
      <w:r>
        <w:rPr/>
        <w:t>cancer</w:t>
      </w:r>
      <w:r>
        <w:rPr>
          <w:spacing w:val="-19"/>
        </w:rPr>
        <w:t> </w:t>
      </w:r>
      <w:r>
        <w:rPr/>
        <w:t>after</w:t>
      </w:r>
      <w:r>
        <w:rPr>
          <w:spacing w:val="-19"/>
        </w:rPr>
        <w:t> </w:t>
      </w:r>
      <w:r>
        <w:rPr/>
        <w:t>laetrile</w:t>
      </w:r>
      <w:r>
        <w:rPr>
          <w:spacing w:val="-19"/>
        </w:rPr>
        <w:t> </w:t>
      </w:r>
      <w:r>
        <w:rPr/>
        <w:t>therapy,</w:t>
      </w:r>
      <w:r>
        <w:rPr>
          <w:spacing w:val="-19"/>
        </w:rPr>
        <w:t> </w:t>
      </w:r>
      <w:r>
        <w:rPr/>
        <w:t>organised</w:t>
      </w:r>
      <w:r>
        <w:rPr>
          <w:spacing w:val="-20"/>
        </w:rPr>
        <w:t> </w:t>
      </w:r>
      <w:r>
        <w:rPr/>
        <w:t>them- selves into groups and founded a national grassroots organisation called the </w:t>
      </w:r>
      <w:r>
        <w:rPr>
          <w:i/>
        </w:rPr>
        <w:t>Committee for Freedom of Choice in Cancer</w:t>
      </w:r>
      <w:r>
        <w:rPr>
          <w:i/>
          <w:spacing w:val="-1"/>
        </w:rPr>
        <w:t> </w:t>
      </w:r>
      <w:r>
        <w:rPr>
          <w:i/>
        </w:rPr>
        <w:t>Therapy.</w:t>
      </w:r>
    </w:p>
    <w:p>
      <w:pPr>
        <w:pStyle w:val="BodyText"/>
        <w:spacing w:line="276" w:lineRule="auto" w:before="239"/>
        <w:ind w:left="477" w:right="130"/>
        <w:jc w:val="both"/>
      </w:pPr>
      <w:r>
        <w:rPr/>
        <w:t>Hundreds of local groups and thousands of people held press conferences and meetings calling for the approval of vitamin B17 (laetrile/amygdalin). The Na- tional</w:t>
      </w:r>
      <w:r>
        <w:rPr>
          <w:spacing w:val="-9"/>
        </w:rPr>
        <w:t> </w:t>
      </w:r>
      <w:r>
        <w:rPr/>
        <w:t>Cancer</w:t>
      </w:r>
      <w:r>
        <w:rPr>
          <w:spacing w:val="-6"/>
        </w:rPr>
        <w:t> </w:t>
      </w:r>
      <w:r>
        <w:rPr/>
        <w:t>Institute</w:t>
      </w:r>
      <w:r>
        <w:rPr>
          <w:spacing w:val="-7"/>
        </w:rPr>
        <w:t> </w:t>
      </w:r>
      <w:r>
        <w:rPr/>
        <w:t>had</w:t>
      </w:r>
      <w:r>
        <w:rPr>
          <w:spacing w:val="-7"/>
        </w:rPr>
        <w:t> </w:t>
      </w:r>
      <w:r>
        <w:rPr/>
        <w:t>no</w:t>
      </w:r>
      <w:r>
        <w:rPr>
          <w:spacing w:val="-7"/>
        </w:rPr>
        <w:t> </w:t>
      </w:r>
      <w:r>
        <w:rPr/>
        <w:t>choice</w:t>
      </w:r>
      <w:r>
        <w:rPr>
          <w:spacing w:val="-7"/>
        </w:rPr>
        <w:t> </w:t>
      </w:r>
      <w:r>
        <w:rPr/>
        <w:t>but</w:t>
      </w:r>
      <w:r>
        <w:rPr>
          <w:spacing w:val="-9"/>
        </w:rPr>
        <w:t> </w:t>
      </w:r>
      <w:r>
        <w:rPr/>
        <w:t>to</w:t>
      </w:r>
      <w:r>
        <w:rPr>
          <w:spacing w:val="-6"/>
        </w:rPr>
        <w:t> </w:t>
      </w:r>
      <w:r>
        <w:rPr/>
        <w:t>respond.</w:t>
      </w:r>
      <w:r>
        <w:rPr>
          <w:spacing w:val="-7"/>
        </w:rPr>
        <w:t> </w:t>
      </w:r>
      <w:r>
        <w:rPr/>
        <w:t>Subsequently,</w:t>
      </w:r>
      <w:r>
        <w:rPr>
          <w:spacing w:val="-6"/>
        </w:rPr>
        <w:t> </w:t>
      </w:r>
      <w:r>
        <w:rPr/>
        <w:t>93</w:t>
      </w:r>
      <w:r>
        <w:rPr>
          <w:spacing w:val="-9"/>
        </w:rPr>
        <w:t> </w:t>
      </w:r>
      <w:r>
        <w:rPr/>
        <w:t>patients suffering from cancer who had been treated with laetrile, as well as clear docu- mentation suggesting treatment with laetrile, were sought and submitted to twelve experts for</w:t>
      </w:r>
      <w:r>
        <w:rPr>
          <w:spacing w:val="2"/>
        </w:rPr>
        <w:t> </w:t>
      </w:r>
      <w:r>
        <w:rPr/>
        <w:t>evaluation.</w:t>
      </w:r>
    </w:p>
    <w:p>
      <w:pPr>
        <w:pStyle w:val="BodyText"/>
        <w:spacing w:line="276" w:lineRule="auto" w:before="241"/>
        <w:ind w:left="477" w:right="133"/>
        <w:jc w:val="both"/>
      </w:pPr>
      <w:r>
        <w:rPr/>
        <w:t>Patients</w:t>
      </w:r>
      <w:r>
        <w:rPr>
          <w:spacing w:val="-11"/>
        </w:rPr>
        <w:t> </w:t>
      </w:r>
      <w:r>
        <w:rPr/>
        <w:t>who</w:t>
      </w:r>
      <w:r>
        <w:rPr>
          <w:spacing w:val="-9"/>
        </w:rPr>
        <w:t> </w:t>
      </w:r>
      <w:r>
        <w:rPr/>
        <w:t>had</w:t>
      </w:r>
      <w:r>
        <w:rPr>
          <w:spacing w:val="-10"/>
        </w:rPr>
        <w:t> </w:t>
      </w:r>
      <w:r>
        <w:rPr/>
        <w:t>been</w:t>
      </w:r>
      <w:r>
        <w:rPr>
          <w:spacing w:val="-10"/>
        </w:rPr>
        <w:t> </w:t>
      </w:r>
      <w:r>
        <w:rPr/>
        <w:t>treated</w:t>
      </w:r>
      <w:r>
        <w:rPr>
          <w:spacing w:val="-10"/>
        </w:rPr>
        <w:t> </w:t>
      </w:r>
      <w:r>
        <w:rPr/>
        <w:t>conventionally</w:t>
      </w:r>
      <w:r>
        <w:rPr>
          <w:spacing w:val="-11"/>
        </w:rPr>
        <w:t> </w:t>
      </w:r>
      <w:r>
        <w:rPr/>
        <w:t>(conventional</w:t>
      </w:r>
      <w:r>
        <w:rPr>
          <w:spacing w:val="-11"/>
        </w:rPr>
        <w:t> </w:t>
      </w:r>
      <w:r>
        <w:rPr/>
        <w:t>medicine)</w:t>
      </w:r>
      <w:r>
        <w:rPr>
          <w:spacing w:val="-11"/>
        </w:rPr>
        <w:t> </w:t>
      </w:r>
      <w:r>
        <w:rPr/>
        <w:t>had</w:t>
      </w:r>
      <w:r>
        <w:rPr>
          <w:spacing w:val="-10"/>
        </w:rPr>
        <w:t> </w:t>
      </w:r>
      <w:r>
        <w:rPr/>
        <w:t>also been</w:t>
      </w:r>
      <w:r>
        <w:rPr>
          <w:spacing w:val="-13"/>
        </w:rPr>
        <w:t> </w:t>
      </w:r>
      <w:r>
        <w:rPr/>
        <w:t>mixed</w:t>
      </w:r>
      <w:r>
        <w:rPr>
          <w:spacing w:val="-14"/>
        </w:rPr>
        <w:t> </w:t>
      </w:r>
      <w:r>
        <w:rPr/>
        <w:t>in</w:t>
      </w:r>
      <w:r>
        <w:rPr>
          <w:spacing w:val="-14"/>
        </w:rPr>
        <w:t> </w:t>
      </w:r>
      <w:r>
        <w:rPr/>
        <w:t>with</w:t>
      </w:r>
      <w:r>
        <w:rPr>
          <w:spacing w:val="-13"/>
        </w:rPr>
        <w:t> </w:t>
      </w:r>
      <w:r>
        <w:rPr/>
        <w:t>this</w:t>
      </w:r>
      <w:r>
        <w:rPr>
          <w:spacing w:val="-13"/>
        </w:rPr>
        <w:t> </w:t>
      </w:r>
      <w:r>
        <w:rPr/>
        <w:t>group,</w:t>
      </w:r>
      <w:r>
        <w:rPr>
          <w:spacing w:val="-12"/>
        </w:rPr>
        <w:t> </w:t>
      </w:r>
      <w:r>
        <w:rPr/>
        <w:t>with</w:t>
      </w:r>
      <w:r>
        <w:rPr>
          <w:spacing w:val="-14"/>
        </w:rPr>
        <w:t> </w:t>
      </w:r>
      <w:r>
        <w:rPr/>
        <w:t>the</w:t>
      </w:r>
      <w:r>
        <w:rPr>
          <w:spacing w:val="-12"/>
        </w:rPr>
        <w:t> </w:t>
      </w:r>
      <w:r>
        <w:rPr/>
        <w:t>experts</w:t>
      </w:r>
      <w:r>
        <w:rPr>
          <w:spacing w:val="-14"/>
        </w:rPr>
        <w:t> </w:t>
      </w:r>
      <w:r>
        <w:rPr/>
        <w:t>unaware</w:t>
      </w:r>
      <w:r>
        <w:rPr>
          <w:spacing w:val="-13"/>
        </w:rPr>
        <w:t> </w:t>
      </w:r>
      <w:r>
        <w:rPr/>
        <w:t>of</w:t>
      </w:r>
      <w:r>
        <w:rPr>
          <w:spacing w:val="-14"/>
        </w:rPr>
        <w:t> </w:t>
      </w:r>
      <w:r>
        <w:rPr/>
        <w:t>who</w:t>
      </w:r>
      <w:r>
        <w:rPr>
          <w:spacing w:val="-12"/>
        </w:rPr>
        <w:t> </w:t>
      </w:r>
      <w:r>
        <w:rPr/>
        <w:t>had</w:t>
      </w:r>
      <w:r>
        <w:rPr>
          <w:spacing w:val="-14"/>
        </w:rPr>
        <w:t> </w:t>
      </w:r>
      <w:r>
        <w:rPr/>
        <w:t>undergone laetrile</w:t>
      </w:r>
      <w:r>
        <w:rPr>
          <w:spacing w:val="-15"/>
        </w:rPr>
        <w:t> </w:t>
      </w:r>
      <w:r>
        <w:rPr/>
        <w:t>treatment</w:t>
      </w:r>
      <w:r>
        <w:rPr>
          <w:spacing w:val="-14"/>
        </w:rPr>
        <w:t> </w:t>
      </w:r>
      <w:r>
        <w:rPr/>
        <w:t>and</w:t>
      </w:r>
      <w:r>
        <w:rPr>
          <w:spacing w:val="-14"/>
        </w:rPr>
        <w:t> </w:t>
      </w:r>
      <w:r>
        <w:rPr/>
        <w:t>who</w:t>
      </w:r>
      <w:r>
        <w:rPr>
          <w:spacing w:val="-13"/>
        </w:rPr>
        <w:t> </w:t>
      </w:r>
      <w:r>
        <w:rPr/>
        <w:t>had</w:t>
      </w:r>
      <w:r>
        <w:rPr>
          <w:spacing w:val="-14"/>
        </w:rPr>
        <w:t> </w:t>
      </w:r>
      <w:r>
        <w:rPr/>
        <w:t>undergone</w:t>
      </w:r>
      <w:r>
        <w:rPr>
          <w:spacing w:val="-14"/>
        </w:rPr>
        <w:t> </w:t>
      </w:r>
      <w:r>
        <w:rPr/>
        <w:t>conventional</w:t>
      </w:r>
      <w:r>
        <w:rPr>
          <w:spacing w:val="-14"/>
        </w:rPr>
        <w:t> </w:t>
      </w:r>
      <w:r>
        <w:rPr/>
        <w:t>cancer</w:t>
      </w:r>
      <w:r>
        <w:rPr>
          <w:spacing w:val="-13"/>
        </w:rPr>
        <w:t> </w:t>
      </w:r>
      <w:r>
        <w:rPr/>
        <w:t>therapy</w:t>
      </w:r>
      <w:r>
        <w:rPr>
          <w:spacing w:val="-14"/>
        </w:rPr>
        <w:t> </w:t>
      </w:r>
      <w:r>
        <w:rPr/>
        <w:t>(chemo,</w:t>
      </w:r>
    </w:p>
    <w:p>
      <w:pPr>
        <w:pStyle w:val="BodyText"/>
        <w:rPr>
          <w:sz w:val="20"/>
        </w:rPr>
      </w:pPr>
    </w:p>
    <w:p>
      <w:pPr>
        <w:pStyle w:val="BodyText"/>
        <w:spacing w:before="10"/>
        <w:rPr>
          <w:sz w:val="16"/>
        </w:rPr>
      </w:pPr>
      <w:r>
        <w:rPr/>
        <w:pict>
          <v:line style="position:absolute;mso-position-horizontal-relative:page;mso-position-vertical-relative:paragraph;z-index:5576;mso-wrap-distance-left:0;mso-wrap-distance-right:0" from="63.863998pt,11.896265pt" to="207.883998pt,11.89626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446 446 </w:t>
      </w:r>
      <w:r>
        <w:rPr>
          <w:sz w:val="20"/>
        </w:rPr>
        <w:t>G. Edward Griffin ‘A World Without Cancer‘ p.45, 4 Edition December 2007</w:t>
      </w:r>
    </w:p>
    <w:p>
      <w:pPr>
        <w:spacing w:after="0"/>
        <w:jc w:val="left"/>
        <w:rPr>
          <w:sz w:val="20"/>
        </w:rPr>
        <w:sectPr>
          <w:pgSz w:w="14270" w:h="16850"/>
          <w:pgMar w:header="0" w:footer="1891" w:top="1600" w:bottom="2080" w:left="800" w:right="1280"/>
        </w:sectPr>
      </w:pPr>
    </w:p>
    <w:p>
      <w:pPr>
        <w:pStyle w:val="BodyText"/>
        <w:spacing w:before="181"/>
        <w:ind w:left="477"/>
      </w:pPr>
      <w:r>
        <w:rPr/>
        <w:t>radiation). The review commission came to the conclusion:</w:t>
      </w:r>
    </w:p>
    <w:p>
      <w:pPr>
        <w:pStyle w:val="ListParagraph"/>
        <w:numPr>
          <w:ilvl w:val="1"/>
          <w:numId w:val="50"/>
        </w:numPr>
        <w:tabs>
          <w:tab w:pos="1197" w:val="left" w:leader="none"/>
          <w:tab w:pos="1198" w:val="left" w:leader="none"/>
        </w:tabs>
        <w:spacing w:line="273" w:lineRule="auto" w:before="306" w:after="0"/>
        <w:ind w:left="1197" w:right="146" w:hanging="360"/>
        <w:jc w:val="left"/>
        <w:rPr>
          <w:i/>
          <w:sz w:val="38"/>
        </w:rPr>
      </w:pPr>
      <w:r>
        <w:rPr>
          <w:i/>
          <w:sz w:val="38"/>
        </w:rPr>
        <w:t>Two of the tested laetrile cases showed a complete remission (tumour completely disap- </w:t>
      </w:r>
      <w:r>
        <w:rPr>
          <w:i/>
          <w:sz w:val="38"/>
        </w:rPr>
        <w:t>peared),</w:t>
      </w:r>
    </w:p>
    <w:p>
      <w:pPr>
        <w:pStyle w:val="ListParagraph"/>
        <w:numPr>
          <w:ilvl w:val="1"/>
          <w:numId w:val="50"/>
        </w:numPr>
        <w:tabs>
          <w:tab w:pos="1197" w:val="left" w:leader="none"/>
          <w:tab w:pos="1198" w:val="left" w:leader="none"/>
        </w:tabs>
        <w:spacing w:line="273" w:lineRule="auto" w:before="248" w:after="0"/>
        <w:ind w:left="1197" w:right="147" w:hanging="360"/>
        <w:jc w:val="left"/>
        <w:rPr>
          <w:i/>
          <w:sz w:val="38"/>
        </w:rPr>
      </w:pPr>
      <w:r>
        <w:rPr>
          <w:i/>
          <w:sz w:val="38"/>
        </w:rPr>
        <w:t>four of the people treated with laetrile showed a partial remission (tumour reduced by </w:t>
      </w:r>
      <w:r>
        <w:rPr>
          <w:i/>
          <w:sz w:val="38"/>
        </w:rPr>
        <w:t>more than 50</w:t>
      </w:r>
      <w:r>
        <w:rPr>
          <w:i/>
          <w:spacing w:val="1"/>
          <w:sz w:val="38"/>
        </w:rPr>
        <w:t> </w:t>
      </w:r>
      <w:r>
        <w:rPr>
          <w:i/>
          <w:sz w:val="38"/>
        </w:rPr>
        <w:t>%),</w:t>
      </w:r>
    </w:p>
    <w:p>
      <w:pPr>
        <w:pStyle w:val="ListParagraph"/>
        <w:numPr>
          <w:ilvl w:val="1"/>
          <w:numId w:val="50"/>
        </w:numPr>
        <w:tabs>
          <w:tab w:pos="1197" w:val="left" w:leader="none"/>
          <w:tab w:pos="1198" w:val="left" w:leader="none"/>
        </w:tabs>
        <w:spacing w:line="240" w:lineRule="auto" w:before="247" w:after="0"/>
        <w:ind w:left="1197" w:right="0" w:hanging="360"/>
        <w:jc w:val="left"/>
        <w:rPr>
          <w:i/>
          <w:sz w:val="38"/>
        </w:rPr>
      </w:pPr>
      <w:r>
        <w:rPr>
          <w:i/>
          <w:sz w:val="38"/>
        </w:rPr>
        <w:t>nine of the laetrile patients were ‘stabilised’ (tumour growth</w:t>
      </w:r>
      <w:r>
        <w:rPr>
          <w:i/>
          <w:spacing w:val="-3"/>
          <w:sz w:val="38"/>
        </w:rPr>
        <w:t> </w:t>
      </w:r>
      <w:r>
        <w:rPr>
          <w:i/>
          <w:sz w:val="38"/>
        </w:rPr>
        <w:t>stopped!),</w:t>
      </w:r>
    </w:p>
    <w:p>
      <w:pPr>
        <w:pStyle w:val="ListParagraph"/>
        <w:numPr>
          <w:ilvl w:val="1"/>
          <w:numId w:val="50"/>
        </w:numPr>
        <w:tabs>
          <w:tab w:pos="1197" w:val="left" w:leader="none"/>
          <w:tab w:pos="1198" w:val="left" w:leader="none"/>
        </w:tabs>
        <w:spacing w:line="240" w:lineRule="auto" w:before="304" w:after="0"/>
        <w:ind w:left="1197" w:right="0" w:hanging="360"/>
        <w:jc w:val="left"/>
        <w:rPr>
          <w:i/>
          <w:sz w:val="38"/>
        </w:rPr>
      </w:pPr>
      <w:r>
        <w:rPr>
          <w:i/>
          <w:sz w:val="38"/>
        </w:rPr>
        <w:t>three of the laetrile patients had ‘more time free from</w:t>
      </w:r>
      <w:r>
        <w:rPr>
          <w:i/>
          <w:spacing w:val="-8"/>
          <w:sz w:val="38"/>
        </w:rPr>
        <w:t> </w:t>
      </w:r>
      <w:r>
        <w:rPr>
          <w:i/>
          <w:sz w:val="38"/>
        </w:rPr>
        <w:t>disease’.</w:t>
      </w:r>
    </w:p>
    <w:p>
      <w:pPr>
        <w:pStyle w:val="Heading1"/>
        <w:spacing w:before="287"/>
      </w:pPr>
      <w:r>
        <w:rPr/>
        <w:t>SUMMARY</w:t>
      </w:r>
    </w:p>
    <w:p>
      <w:pPr>
        <w:spacing w:line="276" w:lineRule="auto" w:before="297"/>
        <w:ind w:left="477" w:right="123" w:firstLine="0"/>
        <w:jc w:val="left"/>
        <w:rPr>
          <w:i/>
          <w:sz w:val="38"/>
        </w:rPr>
      </w:pPr>
      <w:r>
        <w:rPr>
          <w:i/>
          <w:sz w:val="38"/>
        </w:rPr>
        <w:t>18 out of 22 patients treated with vitamin B17 (laetrile) reacted positively, that is a huge 82 </w:t>
      </w:r>
      <w:r>
        <w:rPr>
          <w:i/>
          <w:sz w:val="38"/>
        </w:rPr>
        <w:t>percent!</w:t>
      </w:r>
    </w:p>
    <w:p>
      <w:pPr>
        <w:spacing w:line="276" w:lineRule="auto" w:before="241"/>
        <w:ind w:left="477" w:right="156" w:firstLine="0"/>
        <w:jc w:val="left"/>
        <w:rPr>
          <w:sz w:val="25"/>
        </w:rPr>
      </w:pPr>
      <w:r>
        <w:rPr>
          <w:sz w:val="38"/>
        </w:rPr>
        <w:t>And how did the NCI's official final report turn out? This stated: ‘</w:t>
      </w:r>
      <w:r>
        <w:rPr>
          <w:i/>
          <w:sz w:val="38"/>
        </w:rPr>
        <w:t>These results </w:t>
      </w:r>
      <w:r>
        <w:rPr>
          <w:i/>
          <w:sz w:val="38"/>
        </w:rPr>
        <w:t>do not allow for definitive conclusions in support of a cancer-inhibiting effect from laetrile</w:t>
      </w:r>
      <w:r>
        <w:rPr>
          <w:sz w:val="38"/>
        </w:rPr>
        <w:t>’.</w:t>
      </w:r>
      <w:r>
        <w:rPr>
          <w:position w:val="9"/>
          <w:sz w:val="25"/>
        </w:rPr>
        <w:t>447</w:t>
      </w:r>
    </w:p>
    <w:p>
      <w:pPr>
        <w:pStyle w:val="Heading1"/>
      </w:pPr>
      <w:r>
        <w:rPr/>
        <w:t>1977: The Manner study</w:t>
      </w:r>
    </w:p>
    <w:p>
      <w:pPr>
        <w:pStyle w:val="BodyText"/>
        <w:spacing w:line="276" w:lineRule="auto" w:before="299"/>
        <w:ind w:left="477"/>
      </w:pPr>
      <w:r>
        <w:rPr/>
        <w:t>In</w:t>
      </w:r>
      <w:r>
        <w:rPr>
          <w:spacing w:val="-12"/>
        </w:rPr>
        <w:t> </w:t>
      </w:r>
      <w:r>
        <w:rPr/>
        <w:t>September</w:t>
      </w:r>
      <w:r>
        <w:rPr>
          <w:spacing w:val="-13"/>
        </w:rPr>
        <w:t> </w:t>
      </w:r>
      <w:r>
        <w:rPr/>
        <w:t>1977,</w:t>
      </w:r>
      <w:r>
        <w:rPr>
          <w:spacing w:val="-12"/>
        </w:rPr>
        <w:t> </w:t>
      </w:r>
      <w:r>
        <w:rPr/>
        <w:t>Dr.</w:t>
      </w:r>
      <w:r>
        <w:rPr>
          <w:spacing w:val="-11"/>
        </w:rPr>
        <w:t> </w:t>
      </w:r>
      <w:r>
        <w:rPr/>
        <w:t>Harold</w:t>
      </w:r>
      <w:r>
        <w:rPr>
          <w:spacing w:val="-15"/>
        </w:rPr>
        <w:t> </w:t>
      </w:r>
      <w:r>
        <w:rPr/>
        <w:t>W.</w:t>
      </w:r>
      <w:r>
        <w:rPr>
          <w:spacing w:val="-11"/>
        </w:rPr>
        <w:t> </w:t>
      </w:r>
      <w:r>
        <w:rPr/>
        <w:t>Manner,</w:t>
      </w:r>
      <w:r>
        <w:rPr>
          <w:spacing w:val="-13"/>
        </w:rPr>
        <w:t> </w:t>
      </w:r>
      <w:r>
        <w:rPr/>
        <w:t>chairman</w:t>
      </w:r>
      <w:r>
        <w:rPr>
          <w:spacing w:val="-11"/>
        </w:rPr>
        <w:t> </w:t>
      </w:r>
      <w:r>
        <w:rPr/>
        <w:t>of</w:t>
      </w:r>
      <w:r>
        <w:rPr>
          <w:spacing w:val="-11"/>
        </w:rPr>
        <w:t> </w:t>
      </w:r>
      <w:r>
        <w:rPr/>
        <w:t>the</w:t>
      </w:r>
      <w:r>
        <w:rPr>
          <w:spacing w:val="-11"/>
        </w:rPr>
        <w:t> </w:t>
      </w:r>
      <w:r>
        <w:rPr/>
        <w:t>Faculty</w:t>
      </w:r>
      <w:r>
        <w:rPr>
          <w:spacing w:val="-12"/>
        </w:rPr>
        <w:t> </w:t>
      </w:r>
      <w:r>
        <w:rPr/>
        <w:t>of</w:t>
      </w:r>
      <w:r>
        <w:rPr>
          <w:spacing w:val="-11"/>
        </w:rPr>
        <w:t> </w:t>
      </w:r>
      <w:r>
        <w:rPr/>
        <w:t>Biology at the </w:t>
      </w:r>
      <w:r>
        <w:rPr>
          <w:i/>
        </w:rPr>
        <w:t>Loyola University </w:t>
      </w:r>
      <w:r>
        <w:rPr/>
        <w:t>of Chicago, published notable study</w:t>
      </w:r>
      <w:r>
        <w:rPr>
          <w:spacing w:val="-7"/>
        </w:rPr>
        <w:t> </w:t>
      </w:r>
      <w:r>
        <w:rPr/>
        <w:t>results.</w:t>
      </w:r>
    </w:p>
    <w:p>
      <w:pPr>
        <w:pStyle w:val="BodyText"/>
        <w:spacing w:line="276" w:lineRule="auto" w:before="238"/>
        <w:ind w:left="477"/>
      </w:pPr>
      <w:r>
        <w:rPr/>
        <w:t>Manner combined a vitamin B17 extract (laetrile) with pancreatic enzymes and vitamin A in a series of tests on 84 mice affected by breast</w:t>
      </w:r>
      <w:r>
        <w:rPr>
          <w:spacing w:val="-8"/>
        </w:rPr>
        <w:t> </w:t>
      </w:r>
      <w:r>
        <w:rPr/>
        <w:t>cancer.</w:t>
      </w:r>
    </w:p>
    <w:p>
      <w:pPr>
        <w:pStyle w:val="BodyText"/>
        <w:rPr>
          <w:sz w:val="20"/>
        </w:rPr>
      </w:pPr>
    </w:p>
    <w:p>
      <w:pPr>
        <w:pStyle w:val="BodyText"/>
        <w:spacing w:before="7"/>
        <w:rPr>
          <w:sz w:val="23"/>
        </w:rPr>
      </w:pPr>
      <w:r>
        <w:rPr/>
        <w:pict>
          <v:line style="position:absolute;mso-position-horizontal-relative:page;mso-position-vertical-relative:paragraph;z-index:5600;mso-wrap-distance-left:0;mso-wrap-distance-right:0" from="63.863998pt,15.657427pt" to="207.883998pt,15.657427pt" stroked="true" strokeweight=".72003pt" strokecolor="#000000">
            <v:stroke dashstyle="solid"/>
            <w10:wrap type="topAndBottom"/>
          </v:line>
        </w:pict>
      </w:r>
    </w:p>
    <w:p>
      <w:pPr>
        <w:pStyle w:val="BodyText"/>
        <w:spacing w:before="7"/>
        <w:rPr>
          <w:sz w:val="18"/>
        </w:rPr>
      </w:pPr>
    </w:p>
    <w:p>
      <w:pPr>
        <w:spacing w:line="276" w:lineRule="auto" w:before="99"/>
        <w:ind w:left="477" w:right="0" w:firstLine="0"/>
        <w:jc w:val="left"/>
        <w:rPr>
          <w:sz w:val="20"/>
        </w:rPr>
      </w:pPr>
      <w:r>
        <w:rPr>
          <w:position w:val="5"/>
          <w:sz w:val="13"/>
        </w:rPr>
        <w:t>447 </w:t>
      </w:r>
      <w:r>
        <w:rPr>
          <w:sz w:val="20"/>
        </w:rPr>
        <w:t>NM Ellisons: Special Report on Laetrile: The NCI Laetrile Review. Results of the National Cancer Institute's Retrospective Laetrile Analysis. New England Journal of Medicine 299, 7. September 1978, p. 549–552.</w:t>
      </w:r>
    </w:p>
    <w:p>
      <w:pPr>
        <w:spacing w:after="0" w:line="276" w:lineRule="auto"/>
        <w:jc w:val="left"/>
        <w:rPr>
          <w:sz w:val="20"/>
        </w:rPr>
        <w:sectPr>
          <w:pgSz w:w="14270" w:h="16850"/>
          <w:pgMar w:header="0" w:footer="1891" w:top="1600" w:bottom="2080" w:left="800" w:right="1280"/>
        </w:sectPr>
      </w:pPr>
    </w:p>
    <w:p>
      <w:pPr>
        <w:pStyle w:val="BodyText"/>
        <w:spacing w:line="276" w:lineRule="auto" w:before="181"/>
        <w:ind w:left="477" w:right="138"/>
        <w:jc w:val="both"/>
      </w:pPr>
      <w:r>
        <w:rPr/>
        <w:t>The result of his study was a remarkable cure rate (total disappearance of can- cer!)</w:t>
      </w:r>
      <w:r>
        <w:rPr>
          <w:spacing w:val="-23"/>
        </w:rPr>
        <w:t> </w:t>
      </w:r>
      <w:r>
        <w:rPr/>
        <w:t>in</w:t>
      </w:r>
      <w:r>
        <w:rPr>
          <w:spacing w:val="-22"/>
        </w:rPr>
        <w:t> </w:t>
      </w:r>
      <w:r>
        <w:rPr/>
        <w:t>75</w:t>
      </w:r>
      <w:r>
        <w:rPr>
          <w:spacing w:val="-24"/>
        </w:rPr>
        <w:t> </w:t>
      </w:r>
      <w:r>
        <w:rPr/>
        <w:t>of</w:t>
      </w:r>
      <w:r>
        <w:rPr>
          <w:spacing w:val="-22"/>
        </w:rPr>
        <w:t> </w:t>
      </w:r>
      <w:r>
        <w:rPr/>
        <w:t>the</w:t>
      </w:r>
      <w:r>
        <w:rPr>
          <w:spacing w:val="-22"/>
        </w:rPr>
        <w:t> </w:t>
      </w:r>
      <w:r>
        <w:rPr/>
        <w:t>84</w:t>
      </w:r>
      <w:r>
        <w:rPr>
          <w:spacing w:val="-24"/>
        </w:rPr>
        <w:t> </w:t>
      </w:r>
      <w:r>
        <w:rPr/>
        <w:t>cancer-affected</w:t>
      </w:r>
      <w:r>
        <w:rPr>
          <w:spacing w:val="-22"/>
        </w:rPr>
        <w:t> </w:t>
      </w:r>
      <w:r>
        <w:rPr/>
        <w:t>mice,</w:t>
      </w:r>
      <w:r>
        <w:rPr>
          <w:spacing w:val="-23"/>
        </w:rPr>
        <w:t> </w:t>
      </w:r>
      <w:r>
        <w:rPr/>
        <w:t>while</w:t>
      </w:r>
      <w:r>
        <w:rPr>
          <w:spacing w:val="-23"/>
        </w:rPr>
        <w:t> </w:t>
      </w:r>
      <w:r>
        <w:rPr/>
        <w:t>the</w:t>
      </w:r>
      <w:r>
        <w:rPr>
          <w:spacing w:val="-22"/>
        </w:rPr>
        <w:t> </w:t>
      </w:r>
      <w:r>
        <w:rPr/>
        <w:t>remaining</w:t>
      </w:r>
      <w:r>
        <w:rPr>
          <w:spacing w:val="-23"/>
        </w:rPr>
        <w:t> </w:t>
      </w:r>
      <w:r>
        <w:rPr/>
        <w:t>nine</w:t>
      </w:r>
      <w:r>
        <w:rPr>
          <w:spacing w:val="-22"/>
        </w:rPr>
        <w:t> </w:t>
      </w:r>
      <w:r>
        <w:rPr/>
        <w:t>mice</w:t>
      </w:r>
      <w:r>
        <w:rPr>
          <w:spacing w:val="-23"/>
        </w:rPr>
        <w:t> </w:t>
      </w:r>
      <w:r>
        <w:rPr/>
        <w:t>showed a partial decline in</w:t>
      </w:r>
      <w:r>
        <w:rPr>
          <w:spacing w:val="-1"/>
        </w:rPr>
        <w:t> </w:t>
      </w:r>
      <w:r>
        <w:rPr/>
        <w:t>cancer.</w:t>
      </w:r>
    </w:p>
    <w:p>
      <w:pPr>
        <w:pStyle w:val="Heading1"/>
      </w:pPr>
      <w:r>
        <w:rPr/>
        <w:t>1977: Study by the McNaughton</w:t>
      </w:r>
      <w:r>
        <w:rPr>
          <w:spacing w:val="-60"/>
        </w:rPr>
        <w:t> </w:t>
      </w:r>
      <w:r>
        <w:rPr/>
        <w:t>Foundation</w:t>
      </w:r>
    </w:p>
    <w:p>
      <w:pPr>
        <w:pStyle w:val="BodyText"/>
        <w:spacing w:line="276" w:lineRule="auto" w:before="300"/>
        <w:ind w:left="477" w:right="135"/>
        <w:jc w:val="both"/>
      </w:pPr>
      <w:r>
        <w:rPr/>
        <w:t>In a study sponsored by the </w:t>
      </w:r>
      <w:r>
        <w:rPr>
          <w:i/>
        </w:rPr>
        <w:t>McNaughton Foundation</w:t>
      </w:r>
      <w:r>
        <w:rPr/>
        <w:t>, mice were injected with laetrile at a dose equivalent to 500 mg/kg. The mean survival time of the mice treated with vitamin B17 was 70 % longer than that of the control group!</w:t>
      </w:r>
    </w:p>
    <w:p>
      <w:pPr>
        <w:pStyle w:val="BodyText"/>
        <w:spacing w:line="276" w:lineRule="auto" w:before="239"/>
        <w:ind w:left="477" w:right="144"/>
        <w:jc w:val="both"/>
      </w:pPr>
      <w:r>
        <w:rPr/>
        <w:t>The results of this study were submitted in July 1977 to the Senate Committee on the hearing on ‘laetrile’.</w:t>
      </w:r>
    </w:p>
    <w:p>
      <w:pPr>
        <w:pStyle w:val="BodyText"/>
        <w:spacing w:line="276" w:lineRule="auto" w:before="241"/>
        <w:ind w:left="477" w:right="139"/>
        <w:jc w:val="both"/>
      </w:pPr>
      <w:r>
        <w:rPr/>
        <w:t>Other studies at the Institut Pasteur in Paris showed that the survival rate in mice with adenocarcinoma doubled compared to the control group!</w:t>
      </w:r>
    </w:p>
    <w:p>
      <w:pPr>
        <w:pStyle w:val="BodyText"/>
        <w:rPr>
          <w:sz w:val="42"/>
        </w:rPr>
      </w:pPr>
    </w:p>
    <w:p>
      <w:pPr>
        <w:pStyle w:val="BodyText"/>
        <w:rPr>
          <w:sz w:val="42"/>
        </w:rPr>
      </w:pPr>
    </w:p>
    <w:p>
      <w:pPr>
        <w:pStyle w:val="Heading2"/>
        <w:spacing w:before="265"/>
      </w:pPr>
      <w:r>
        <w:rPr/>
        <w:t>1982: Another attempt at deception</w:t>
      </w:r>
    </w:p>
    <w:p>
      <w:pPr>
        <w:pStyle w:val="BodyText"/>
        <w:spacing w:line="276" w:lineRule="auto" w:before="305"/>
        <w:ind w:left="477" w:right="132"/>
        <w:jc w:val="both"/>
      </w:pPr>
      <w:r>
        <w:rPr/>
        <w:t>In 1982, the NCI decided to investigate laetrile with prospective clinical trials scheduled to take place at the Mayo Clinic. The study was conducted on 178 patients, and the report in the </w:t>
      </w:r>
      <w:r>
        <w:rPr>
          <w:i/>
        </w:rPr>
        <w:t>New England Journal of Medicine </w:t>
      </w:r>
      <w:r>
        <w:rPr/>
        <w:t>in 1982 claimed that laetrile was ineffective in the treatment of cancer!</w:t>
      </w:r>
    </w:p>
    <w:p>
      <w:pPr>
        <w:pStyle w:val="BodyText"/>
        <w:spacing w:line="276" w:lineRule="auto" w:before="242"/>
        <w:ind w:left="477" w:right="132"/>
        <w:jc w:val="both"/>
      </w:pPr>
      <w:r>
        <w:rPr/>
        <w:t>On</w:t>
      </w:r>
      <w:r>
        <w:rPr>
          <w:spacing w:val="-12"/>
        </w:rPr>
        <w:t> </w:t>
      </w:r>
      <w:r>
        <w:rPr/>
        <w:t>the</w:t>
      </w:r>
      <w:r>
        <w:rPr>
          <w:spacing w:val="-11"/>
        </w:rPr>
        <w:t> </w:t>
      </w:r>
      <w:r>
        <w:rPr/>
        <w:t>one</w:t>
      </w:r>
      <w:r>
        <w:rPr>
          <w:spacing w:val="-10"/>
        </w:rPr>
        <w:t> </w:t>
      </w:r>
      <w:r>
        <w:rPr/>
        <w:t>hand,</w:t>
      </w:r>
      <w:r>
        <w:rPr>
          <w:spacing w:val="-12"/>
        </w:rPr>
        <w:t> </w:t>
      </w:r>
      <w:r>
        <w:rPr/>
        <w:t>66</w:t>
      </w:r>
      <w:r>
        <w:rPr>
          <w:spacing w:val="-11"/>
        </w:rPr>
        <w:t> </w:t>
      </w:r>
      <w:r>
        <w:rPr/>
        <w:t>%</w:t>
      </w:r>
      <w:r>
        <w:rPr>
          <w:spacing w:val="-12"/>
        </w:rPr>
        <w:t> </w:t>
      </w:r>
      <w:r>
        <w:rPr/>
        <w:t>of</w:t>
      </w:r>
      <w:r>
        <w:rPr>
          <w:spacing w:val="-10"/>
        </w:rPr>
        <w:t> </w:t>
      </w:r>
      <w:r>
        <w:rPr/>
        <w:t>all</w:t>
      </w:r>
      <w:r>
        <w:rPr>
          <w:spacing w:val="-13"/>
        </w:rPr>
        <w:t> </w:t>
      </w:r>
      <w:r>
        <w:rPr/>
        <w:t>subjects</w:t>
      </w:r>
      <w:r>
        <w:rPr>
          <w:spacing w:val="-10"/>
        </w:rPr>
        <w:t> </w:t>
      </w:r>
      <w:r>
        <w:rPr/>
        <w:t>were</w:t>
      </w:r>
      <w:r>
        <w:rPr>
          <w:spacing w:val="-11"/>
        </w:rPr>
        <w:t> </w:t>
      </w:r>
      <w:r>
        <w:rPr/>
        <w:t>already</w:t>
      </w:r>
      <w:r>
        <w:rPr>
          <w:spacing w:val="-11"/>
        </w:rPr>
        <w:t> </w:t>
      </w:r>
      <w:r>
        <w:rPr/>
        <w:t>pre-loaded</w:t>
      </w:r>
      <w:r>
        <w:rPr>
          <w:spacing w:val="-12"/>
        </w:rPr>
        <w:t> </w:t>
      </w:r>
      <w:r>
        <w:rPr/>
        <w:t>with</w:t>
      </w:r>
      <w:r>
        <w:rPr>
          <w:spacing w:val="-9"/>
        </w:rPr>
        <w:t> </w:t>
      </w:r>
      <w:r>
        <w:rPr/>
        <w:t>chemother- apy, which is known to lower the chances of recovery many times over; on</w:t>
      </w:r>
      <w:r>
        <w:rPr>
          <w:spacing w:val="-12"/>
        </w:rPr>
        <w:t> </w:t>
      </w:r>
      <w:r>
        <w:rPr/>
        <w:t>the</w:t>
      </w:r>
    </w:p>
    <w:p>
      <w:pPr>
        <w:spacing w:after="0" w:line="276" w:lineRule="auto"/>
        <w:jc w:val="both"/>
        <w:sectPr>
          <w:pgSz w:w="14270" w:h="16850"/>
          <w:pgMar w:header="0" w:footer="1891" w:top="1600" w:bottom="2080" w:left="800" w:right="1280"/>
        </w:sectPr>
      </w:pPr>
    </w:p>
    <w:p>
      <w:pPr>
        <w:pStyle w:val="BodyText"/>
        <w:spacing w:line="276" w:lineRule="auto" w:before="181"/>
        <w:ind w:left="477" w:right="136"/>
        <w:jc w:val="both"/>
      </w:pPr>
      <w:r>
        <w:rPr/>
        <w:t>other hand, the quality of the laetrile used in these studies was extremely ques- tionable!</w:t>
      </w:r>
    </w:p>
    <w:p>
      <w:pPr>
        <w:pStyle w:val="BodyText"/>
        <w:spacing w:line="276" w:lineRule="auto" w:before="241"/>
        <w:ind w:left="477" w:right="134"/>
        <w:jc w:val="both"/>
      </w:pPr>
      <w:r>
        <w:rPr/>
        <w:t>One</w:t>
      </w:r>
      <w:r>
        <w:rPr>
          <w:spacing w:val="-25"/>
        </w:rPr>
        <w:t> </w:t>
      </w:r>
      <w:r>
        <w:rPr/>
        <w:t>of</w:t>
      </w:r>
      <w:r>
        <w:rPr>
          <w:spacing w:val="-23"/>
        </w:rPr>
        <w:t> </w:t>
      </w:r>
      <w:r>
        <w:rPr/>
        <w:t>the</w:t>
      </w:r>
      <w:r>
        <w:rPr>
          <w:spacing w:val="-23"/>
        </w:rPr>
        <w:t> </w:t>
      </w:r>
      <w:r>
        <w:rPr/>
        <w:t>clinics</w:t>
      </w:r>
      <w:r>
        <w:rPr>
          <w:spacing w:val="-24"/>
        </w:rPr>
        <w:t> </w:t>
      </w:r>
      <w:r>
        <w:rPr/>
        <w:t>that</w:t>
      </w:r>
      <w:r>
        <w:rPr>
          <w:spacing w:val="-24"/>
        </w:rPr>
        <w:t> </w:t>
      </w:r>
      <w:r>
        <w:rPr/>
        <w:t>has</w:t>
      </w:r>
      <w:r>
        <w:rPr>
          <w:spacing w:val="-23"/>
        </w:rPr>
        <w:t> </w:t>
      </w:r>
      <w:r>
        <w:rPr/>
        <w:t>already</w:t>
      </w:r>
      <w:r>
        <w:rPr>
          <w:spacing w:val="-26"/>
        </w:rPr>
        <w:t> </w:t>
      </w:r>
      <w:r>
        <w:rPr/>
        <w:t>performed</w:t>
      </w:r>
      <w:r>
        <w:rPr>
          <w:spacing w:val="-27"/>
        </w:rPr>
        <w:t> </w:t>
      </w:r>
      <w:r>
        <w:rPr/>
        <w:t>successful</w:t>
      </w:r>
      <w:r>
        <w:rPr>
          <w:spacing w:val="-25"/>
        </w:rPr>
        <w:t> </w:t>
      </w:r>
      <w:r>
        <w:rPr/>
        <w:t>treatments</w:t>
      </w:r>
      <w:r>
        <w:rPr>
          <w:spacing w:val="-23"/>
        </w:rPr>
        <w:t> </w:t>
      </w:r>
      <w:r>
        <w:rPr/>
        <w:t>using</w:t>
      </w:r>
      <w:r>
        <w:rPr>
          <w:spacing w:val="-23"/>
        </w:rPr>
        <w:t> </w:t>
      </w:r>
      <w:r>
        <w:rPr/>
        <w:t>laetrile offered it to this study to ensure the test was conducted as properly as</w:t>
      </w:r>
      <w:r>
        <w:rPr>
          <w:spacing w:val="-34"/>
        </w:rPr>
        <w:t> </w:t>
      </w:r>
      <w:r>
        <w:rPr/>
        <w:t>possible</w:t>
      </w:r>
    </w:p>
    <w:p>
      <w:pPr>
        <w:pStyle w:val="BodyText"/>
        <w:spacing w:before="1"/>
        <w:ind w:left="477"/>
      </w:pPr>
      <w:r>
        <w:rPr/>
        <w:t>– this offer was rejected. I wonder why?</w:t>
      </w:r>
    </w:p>
    <w:p>
      <w:pPr>
        <w:pStyle w:val="BodyText"/>
        <w:spacing w:line="276" w:lineRule="auto" w:before="302"/>
        <w:ind w:left="477" w:right="133"/>
        <w:jc w:val="both"/>
      </w:pPr>
      <w:r>
        <w:rPr/>
        <w:t>Dr.</w:t>
      </w:r>
      <w:r>
        <w:rPr>
          <w:spacing w:val="-16"/>
        </w:rPr>
        <w:t> </w:t>
      </w:r>
      <w:r>
        <w:rPr/>
        <w:t>James</w:t>
      </w:r>
      <w:r>
        <w:rPr>
          <w:spacing w:val="-18"/>
        </w:rPr>
        <w:t> </w:t>
      </w:r>
      <w:r>
        <w:rPr/>
        <w:t>Cason</w:t>
      </w:r>
      <w:r>
        <w:rPr>
          <w:spacing w:val="-18"/>
        </w:rPr>
        <w:t> </w:t>
      </w:r>
      <w:r>
        <w:rPr/>
        <w:t>from</w:t>
      </w:r>
      <w:r>
        <w:rPr>
          <w:spacing w:val="-19"/>
        </w:rPr>
        <w:t> </w:t>
      </w:r>
      <w:r>
        <w:rPr/>
        <w:t>the</w:t>
      </w:r>
      <w:r>
        <w:rPr>
          <w:spacing w:val="-15"/>
        </w:rPr>
        <w:t> </w:t>
      </w:r>
      <w:r>
        <w:rPr/>
        <w:t>University</w:t>
      </w:r>
      <w:r>
        <w:rPr>
          <w:spacing w:val="-16"/>
        </w:rPr>
        <w:t> </w:t>
      </w:r>
      <w:r>
        <w:rPr/>
        <w:t>of</w:t>
      </w:r>
      <w:r>
        <w:rPr>
          <w:spacing w:val="-15"/>
        </w:rPr>
        <w:t> </w:t>
      </w:r>
      <w:r>
        <w:rPr/>
        <w:t>California</w:t>
      </w:r>
      <w:r>
        <w:rPr>
          <w:spacing w:val="-17"/>
        </w:rPr>
        <w:t> </w:t>
      </w:r>
      <w:r>
        <w:rPr/>
        <w:t>in</w:t>
      </w:r>
      <w:r>
        <w:rPr>
          <w:spacing w:val="-16"/>
        </w:rPr>
        <w:t> </w:t>
      </w:r>
      <w:r>
        <w:rPr/>
        <w:t>Berkeley</w:t>
      </w:r>
      <w:r>
        <w:rPr>
          <w:spacing w:val="-17"/>
        </w:rPr>
        <w:t> </w:t>
      </w:r>
      <w:r>
        <w:rPr/>
        <w:t>tested</w:t>
      </w:r>
      <w:r>
        <w:rPr>
          <w:spacing w:val="-17"/>
        </w:rPr>
        <w:t> </w:t>
      </w:r>
      <w:r>
        <w:rPr/>
        <w:t>the</w:t>
      </w:r>
      <w:r>
        <w:rPr>
          <w:spacing w:val="-15"/>
        </w:rPr>
        <w:t> </w:t>
      </w:r>
      <w:r>
        <w:rPr/>
        <w:t>laetrile used in the study and found that it was not laetrile!!</w:t>
      </w:r>
    </w:p>
    <w:p>
      <w:pPr>
        <w:pStyle w:val="Heading2"/>
        <w:spacing w:before="241"/>
      </w:pPr>
      <w:r>
        <w:rPr/>
        <w:t>Worldwide research on laetrile/vitamin B17</w:t>
      </w:r>
    </w:p>
    <w:p>
      <w:pPr>
        <w:pStyle w:val="BodyText"/>
        <w:spacing w:line="276" w:lineRule="auto" w:before="305"/>
        <w:ind w:left="477" w:right="136"/>
        <w:jc w:val="both"/>
      </w:pPr>
      <w:r>
        <w:rPr/>
        <w:t>In other countries with less industrial and governmental impact on research, studies on laetrile/vitamin B17 continued. For example, Dr. David Rubin in Israel,</w:t>
      </w:r>
      <w:r>
        <w:rPr>
          <w:spacing w:val="-17"/>
        </w:rPr>
        <w:t> </w:t>
      </w:r>
      <w:r>
        <w:rPr/>
        <w:t>who</w:t>
      </w:r>
      <w:r>
        <w:rPr>
          <w:spacing w:val="-14"/>
        </w:rPr>
        <w:t> </w:t>
      </w:r>
      <w:r>
        <w:rPr/>
        <w:t>claims</w:t>
      </w:r>
      <w:r>
        <w:rPr>
          <w:spacing w:val="-16"/>
        </w:rPr>
        <w:t> </w:t>
      </w:r>
      <w:r>
        <w:rPr/>
        <w:t>to</w:t>
      </w:r>
      <w:r>
        <w:rPr>
          <w:spacing w:val="-15"/>
        </w:rPr>
        <w:t> </w:t>
      </w:r>
      <w:r>
        <w:rPr/>
        <w:t>have</w:t>
      </w:r>
      <w:r>
        <w:rPr>
          <w:spacing w:val="-16"/>
        </w:rPr>
        <w:t> </w:t>
      </w:r>
      <w:r>
        <w:rPr/>
        <w:t>achieved</w:t>
      </w:r>
      <w:r>
        <w:rPr>
          <w:spacing w:val="-15"/>
        </w:rPr>
        <w:t> </w:t>
      </w:r>
      <w:r>
        <w:rPr/>
        <w:t>good</w:t>
      </w:r>
      <w:r>
        <w:rPr>
          <w:spacing w:val="-16"/>
        </w:rPr>
        <w:t> </w:t>
      </w:r>
      <w:r>
        <w:rPr/>
        <w:t>results</w:t>
      </w:r>
      <w:r>
        <w:rPr>
          <w:spacing w:val="-16"/>
        </w:rPr>
        <w:t> </w:t>
      </w:r>
      <w:r>
        <w:rPr/>
        <w:t>with</w:t>
      </w:r>
      <w:r>
        <w:rPr>
          <w:spacing w:val="-16"/>
        </w:rPr>
        <w:t> </w:t>
      </w:r>
      <w:r>
        <w:rPr/>
        <w:t>a</w:t>
      </w:r>
      <w:r>
        <w:rPr>
          <w:spacing w:val="-17"/>
        </w:rPr>
        <w:t> </w:t>
      </w:r>
      <w:r>
        <w:rPr/>
        <w:t>high</w:t>
      </w:r>
      <w:r>
        <w:rPr>
          <w:spacing w:val="-15"/>
        </w:rPr>
        <w:t> </w:t>
      </w:r>
      <w:r>
        <w:rPr/>
        <w:t>dose</w:t>
      </w:r>
      <w:r>
        <w:rPr>
          <w:spacing w:val="-13"/>
        </w:rPr>
        <w:t> </w:t>
      </w:r>
      <w:r>
        <w:rPr/>
        <w:t>of</w:t>
      </w:r>
      <w:r>
        <w:rPr>
          <w:spacing w:val="-16"/>
        </w:rPr>
        <w:t> </w:t>
      </w:r>
      <w:r>
        <w:rPr/>
        <w:t>70</w:t>
      </w:r>
      <w:r>
        <w:rPr>
          <w:spacing w:val="-16"/>
        </w:rPr>
        <w:t> </w:t>
      </w:r>
      <w:r>
        <w:rPr/>
        <w:t>g</w:t>
      </w:r>
      <w:r>
        <w:rPr>
          <w:spacing w:val="-16"/>
        </w:rPr>
        <w:t> </w:t>
      </w:r>
      <w:r>
        <w:rPr/>
        <w:t>laetrile per</w:t>
      </w:r>
      <w:r>
        <w:rPr>
          <w:spacing w:val="-5"/>
        </w:rPr>
        <w:t> </w:t>
      </w:r>
      <w:r>
        <w:rPr/>
        <w:t>day</w:t>
      </w:r>
      <w:r>
        <w:rPr>
          <w:spacing w:val="-8"/>
        </w:rPr>
        <w:t> </w:t>
      </w:r>
      <w:r>
        <w:rPr/>
        <w:t>in</w:t>
      </w:r>
      <w:r>
        <w:rPr>
          <w:spacing w:val="-8"/>
        </w:rPr>
        <w:t> </w:t>
      </w:r>
      <w:r>
        <w:rPr/>
        <w:t>breast</w:t>
      </w:r>
      <w:r>
        <w:rPr>
          <w:spacing w:val="-7"/>
        </w:rPr>
        <w:t> </w:t>
      </w:r>
      <w:r>
        <w:rPr/>
        <w:t>cancer</w:t>
      </w:r>
      <w:r>
        <w:rPr>
          <w:spacing w:val="-7"/>
        </w:rPr>
        <w:t> </w:t>
      </w:r>
      <w:r>
        <w:rPr/>
        <w:t>patients</w:t>
      </w:r>
      <w:r>
        <w:rPr>
          <w:spacing w:val="-10"/>
        </w:rPr>
        <w:t> </w:t>
      </w:r>
      <w:r>
        <w:rPr/>
        <w:t>as</w:t>
      </w:r>
      <w:r>
        <w:rPr>
          <w:spacing w:val="-5"/>
        </w:rPr>
        <w:t> </w:t>
      </w:r>
      <w:r>
        <w:rPr/>
        <w:t>well</w:t>
      </w:r>
      <w:r>
        <w:rPr>
          <w:spacing w:val="-5"/>
        </w:rPr>
        <w:t> </w:t>
      </w:r>
      <w:r>
        <w:rPr/>
        <w:t>as</w:t>
      </w:r>
      <w:r>
        <w:rPr>
          <w:spacing w:val="-8"/>
        </w:rPr>
        <w:t> </w:t>
      </w:r>
      <w:r>
        <w:rPr/>
        <w:t>patients</w:t>
      </w:r>
      <w:r>
        <w:rPr>
          <w:spacing w:val="-4"/>
        </w:rPr>
        <w:t> </w:t>
      </w:r>
      <w:r>
        <w:rPr/>
        <w:t>with</w:t>
      </w:r>
      <w:r>
        <w:rPr>
          <w:spacing w:val="-5"/>
        </w:rPr>
        <w:t> </w:t>
      </w:r>
      <w:r>
        <w:rPr/>
        <w:t>bone</w:t>
      </w:r>
      <w:r>
        <w:rPr>
          <w:spacing w:val="-7"/>
        </w:rPr>
        <w:t> </w:t>
      </w:r>
      <w:r>
        <w:rPr/>
        <w:t>metastases.</w:t>
      </w:r>
      <w:r>
        <w:rPr>
          <w:spacing w:val="-5"/>
        </w:rPr>
        <w:t> </w:t>
      </w:r>
      <w:r>
        <w:rPr/>
        <w:t>(Leu- kaemia patients did not respond to laetrile treatment!)</w:t>
      </w:r>
    </w:p>
    <w:p>
      <w:pPr>
        <w:pStyle w:val="BodyText"/>
        <w:spacing w:line="276" w:lineRule="auto" w:before="240"/>
        <w:ind w:left="477" w:right="134"/>
        <w:jc w:val="both"/>
      </w:pPr>
      <w:r>
        <w:rPr/>
        <w:t>Dr.</w:t>
      </w:r>
      <w:r>
        <w:rPr>
          <w:spacing w:val="-13"/>
        </w:rPr>
        <w:t> </w:t>
      </w:r>
      <w:r>
        <w:rPr/>
        <w:t>Manuel</w:t>
      </w:r>
      <w:r>
        <w:rPr>
          <w:spacing w:val="-15"/>
        </w:rPr>
        <w:t> </w:t>
      </w:r>
      <w:r>
        <w:rPr/>
        <w:t>D.</w:t>
      </w:r>
      <w:r>
        <w:rPr>
          <w:spacing w:val="-12"/>
        </w:rPr>
        <w:t> </w:t>
      </w:r>
      <w:r>
        <w:rPr/>
        <w:t>Navarro,</w:t>
      </w:r>
      <w:r>
        <w:rPr>
          <w:spacing w:val="-13"/>
        </w:rPr>
        <w:t> </w:t>
      </w:r>
      <w:r>
        <w:rPr/>
        <w:t>Professor</w:t>
      </w:r>
      <w:r>
        <w:rPr>
          <w:spacing w:val="-13"/>
        </w:rPr>
        <w:t> </w:t>
      </w:r>
      <w:r>
        <w:rPr/>
        <w:t>of</w:t>
      </w:r>
      <w:r>
        <w:rPr>
          <w:spacing w:val="-14"/>
        </w:rPr>
        <w:t> </w:t>
      </w:r>
      <w:r>
        <w:rPr/>
        <w:t>Medicine</w:t>
      </w:r>
      <w:r>
        <w:rPr>
          <w:spacing w:val="-15"/>
        </w:rPr>
        <w:t> </w:t>
      </w:r>
      <w:r>
        <w:rPr/>
        <w:t>and</w:t>
      </w:r>
      <w:r>
        <w:rPr>
          <w:spacing w:val="-14"/>
        </w:rPr>
        <w:t> </w:t>
      </w:r>
      <w:r>
        <w:rPr/>
        <w:t>Surgery</w:t>
      </w:r>
      <w:r>
        <w:rPr>
          <w:spacing w:val="-13"/>
        </w:rPr>
        <w:t> </w:t>
      </w:r>
      <w:r>
        <w:rPr/>
        <w:t>at</w:t>
      </w:r>
      <w:r>
        <w:rPr>
          <w:spacing w:val="-15"/>
        </w:rPr>
        <w:t> </w:t>
      </w:r>
      <w:r>
        <w:rPr/>
        <w:t>the</w:t>
      </w:r>
      <w:r>
        <w:rPr>
          <w:spacing w:val="-12"/>
        </w:rPr>
        <w:t> </w:t>
      </w:r>
      <w:r>
        <w:rPr/>
        <w:t>University</w:t>
      </w:r>
      <w:r>
        <w:rPr>
          <w:spacing w:val="-15"/>
        </w:rPr>
        <w:t> </w:t>
      </w:r>
      <w:r>
        <w:rPr/>
        <w:t>of Santo Tomas in the Philippines, was one of laetrile’s leading supporters world- wide.</w:t>
      </w:r>
    </w:p>
    <w:p>
      <w:pPr>
        <w:pStyle w:val="BodyText"/>
        <w:spacing w:line="276" w:lineRule="auto" w:before="241"/>
        <w:ind w:left="477" w:right="132"/>
        <w:jc w:val="both"/>
      </w:pPr>
      <w:r>
        <w:rPr/>
        <w:t>In 1962, at the 8th International Cancer Congress, he held a lecture on laetrile and described some case studies that have been treated very successfully with much</w:t>
      </w:r>
      <w:r>
        <w:rPr>
          <w:spacing w:val="-14"/>
        </w:rPr>
        <w:t> </w:t>
      </w:r>
      <w:r>
        <w:rPr/>
        <w:t>higher</w:t>
      </w:r>
      <w:r>
        <w:rPr>
          <w:spacing w:val="-13"/>
        </w:rPr>
        <w:t> </w:t>
      </w:r>
      <w:r>
        <w:rPr/>
        <w:t>doses</w:t>
      </w:r>
      <w:r>
        <w:rPr>
          <w:spacing w:val="-13"/>
        </w:rPr>
        <w:t> </w:t>
      </w:r>
      <w:r>
        <w:rPr/>
        <w:t>of</w:t>
      </w:r>
      <w:r>
        <w:rPr>
          <w:spacing w:val="-14"/>
        </w:rPr>
        <w:t> </w:t>
      </w:r>
      <w:r>
        <w:rPr/>
        <w:t>laetrile.</w:t>
      </w:r>
      <w:r>
        <w:rPr>
          <w:spacing w:val="-12"/>
        </w:rPr>
        <w:t> </w:t>
      </w:r>
      <w:r>
        <w:rPr/>
        <w:t>Regardless,</w:t>
      </w:r>
      <w:r>
        <w:rPr>
          <w:spacing w:val="-12"/>
        </w:rPr>
        <w:t> </w:t>
      </w:r>
      <w:r>
        <w:rPr/>
        <w:t>many</w:t>
      </w:r>
      <w:r>
        <w:rPr>
          <w:spacing w:val="-16"/>
        </w:rPr>
        <w:t> </w:t>
      </w:r>
      <w:r>
        <w:rPr/>
        <w:t>well-known</w:t>
      </w:r>
      <w:r>
        <w:rPr>
          <w:spacing w:val="-14"/>
        </w:rPr>
        <w:t> </w:t>
      </w:r>
      <w:r>
        <w:rPr/>
        <w:t>doctors</w:t>
      </w:r>
      <w:r>
        <w:rPr>
          <w:spacing w:val="-12"/>
        </w:rPr>
        <w:t> </w:t>
      </w:r>
      <w:r>
        <w:rPr/>
        <w:t>around</w:t>
      </w:r>
      <w:r>
        <w:rPr>
          <w:spacing w:val="-14"/>
        </w:rPr>
        <w:t> </w:t>
      </w:r>
      <w:r>
        <w:rPr/>
        <w:t>the world</w:t>
      </w:r>
      <w:r>
        <w:rPr>
          <w:spacing w:val="-6"/>
        </w:rPr>
        <w:t> </w:t>
      </w:r>
      <w:r>
        <w:rPr/>
        <w:t>continue</w:t>
      </w:r>
      <w:r>
        <w:rPr>
          <w:spacing w:val="-7"/>
        </w:rPr>
        <w:t> </w:t>
      </w:r>
      <w:r>
        <w:rPr/>
        <w:t>to</w:t>
      </w:r>
      <w:r>
        <w:rPr>
          <w:spacing w:val="-5"/>
        </w:rPr>
        <w:t> </w:t>
      </w:r>
      <w:r>
        <w:rPr/>
        <w:t>use</w:t>
      </w:r>
      <w:r>
        <w:rPr>
          <w:spacing w:val="-7"/>
        </w:rPr>
        <w:t> </w:t>
      </w:r>
      <w:r>
        <w:rPr/>
        <w:t>laetrile</w:t>
      </w:r>
      <w:r>
        <w:rPr>
          <w:spacing w:val="-7"/>
        </w:rPr>
        <w:t> </w:t>
      </w:r>
      <w:r>
        <w:rPr/>
        <w:t>(amygdalin,</w:t>
      </w:r>
      <w:r>
        <w:rPr>
          <w:spacing w:val="-5"/>
        </w:rPr>
        <w:t> </w:t>
      </w:r>
      <w:r>
        <w:rPr/>
        <w:t>vitamin</w:t>
      </w:r>
      <w:r>
        <w:rPr>
          <w:spacing w:val="-6"/>
        </w:rPr>
        <w:t> </w:t>
      </w:r>
      <w:r>
        <w:rPr/>
        <w:t>B17)</w:t>
      </w:r>
      <w:r>
        <w:rPr>
          <w:spacing w:val="-8"/>
        </w:rPr>
        <w:t> </w:t>
      </w:r>
      <w:r>
        <w:rPr/>
        <w:t>in</w:t>
      </w:r>
      <w:r>
        <w:rPr>
          <w:spacing w:val="-6"/>
        </w:rPr>
        <w:t> </w:t>
      </w:r>
      <w:r>
        <w:rPr/>
        <w:t>the</w:t>
      </w:r>
      <w:r>
        <w:rPr>
          <w:spacing w:val="-5"/>
        </w:rPr>
        <w:t> </w:t>
      </w:r>
      <w:r>
        <w:rPr/>
        <w:t>treatment</w:t>
      </w:r>
      <w:r>
        <w:rPr>
          <w:spacing w:val="-6"/>
        </w:rPr>
        <w:t> </w:t>
      </w:r>
      <w:r>
        <w:rPr/>
        <w:t>of</w:t>
      </w:r>
      <w:r>
        <w:rPr>
          <w:spacing w:val="-7"/>
        </w:rPr>
        <w:t> </w:t>
      </w:r>
      <w:r>
        <w:rPr/>
        <w:t>can- cer, such as Dr. Contreras, Dr. Navarro, Dr. Puttich from Germany and</w:t>
      </w:r>
      <w:r>
        <w:rPr>
          <w:spacing w:val="46"/>
        </w:rPr>
        <w:t> </w:t>
      </w:r>
      <w:r>
        <w:rPr/>
        <w:t>many</w:t>
      </w:r>
    </w:p>
    <w:p>
      <w:pPr>
        <w:spacing w:after="0" w:line="276" w:lineRule="auto"/>
        <w:jc w:val="both"/>
        <w:sectPr>
          <w:pgSz w:w="14270" w:h="16850"/>
          <w:pgMar w:header="0" w:footer="1891" w:top="1600" w:bottom="2080" w:left="800" w:right="1280"/>
        </w:sectPr>
      </w:pPr>
    </w:p>
    <w:p>
      <w:pPr>
        <w:pStyle w:val="BodyText"/>
        <w:spacing w:before="181"/>
        <w:ind w:left="477"/>
      </w:pPr>
      <w:r>
        <w:rPr/>
        <w:t>others.</w:t>
      </w:r>
    </w:p>
    <w:p>
      <w:pPr>
        <w:pStyle w:val="BodyText"/>
        <w:spacing w:line="276" w:lineRule="auto" w:before="305"/>
        <w:ind w:left="477" w:right="136"/>
        <w:jc w:val="both"/>
      </w:pPr>
      <w:r>
        <w:rPr/>
        <w:t>According to Dr. Ernesto Contreras, who has over 30 years of experience in treatment with vitamin B17, about 60 % of patients in the advanced stages re- cover, while about 15 % experience a partial decline in cancer and about 5 % even experience a complete disappearance in cancer!</w:t>
      </w:r>
    </w:p>
    <w:p>
      <w:pPr>
        <w:pStyle w:val="BodyText"/>
        <w:spacing w:before="7"/>
        <w:rPr>
          <w:sz w:val="42"/>
        </w:rPr>
      </w:pPr>
    </w:p>
    <w:p>
      <w:pPr>
        <w:pStyle w:val="Heading2"/>
      </w:pPr>
      <w:r>
        <w:rPr/>
        <w:t>How does Vitamin B 17 (laetrile, amygdalin) work?</w:t>
      </w:r>
    </w:p>
    <w:p>
      <w:pPr>
        <w:pStyle w:val="BodyText"/>
        <w:spacing w:line="276" w:lineRule="auto" w:before="305"/>
        <w:ind w:left="477" w:right="133"/>
        <w:jc w:val="both"/>
      </w:pPr>
      <w:r>
        <w:rPr/>
        <w:t>Due to the massive resistance of the medical establishment and studies that have obviously been manipulated, the principle of action of vitamin B17 (lae- trile, amygdalin) has never been objectively scientifically clarified with the ut- most</w:t>
      </w:r>
      <w:r>
        <w:rPr>
          <w:spacing w:val="-7"/>
        </w:rPr>
        <w:t> </w:t>
      </w:r>
      <w:r>
        <w:rPr/>
        <w:t>assurance,</w:t>
      </w:r>
      <w:r>
        <w:rPr>
          <w:spacing w:val="-8"/>
        </w:rPr>
        <w:t> </w:t>
      </w:r>
      <w:r>
        <w:rPr/>
        <w:t>or,</w:t>
      </w:r>
      <w:r>
        <w:rPr>
          <w:spacing w:val="-6"/>
        </w:rPr>
        <w:t> </w:t>
      </w:r>
      <w:r>
        <w:rPr/>
        <w:t>such</w:t>
      </w:r>
      <w:r>
        <w:rPr>
          <w:spacing w:val="-6"/>
        </w:rPr>
        <w:t> </w:t>
      </w:r>
      <w:r>
        <w:rPr/>
        <w:t>research</w:t>
      </w:r>
      <w:r>
        <w:rPr>
          <w:spacing w:val="-6"/>
        </w:rPr>
        <w:t> </w:t>
      </w:r>
      <w:r>
        <w:rPr/>
        <w:t>results</w:t>
      </w:r>
      <w:r>
        <w:rPr>
          <w:spacing w:val="-7"/>
        </w:rPr>
        <w:t> </w:t>
      </w:r>
      <w:r>
        <w:rPr/>
        <w:t>have</w:t>
      </w:r>
      <w:r>
        <w:rPr>
          <w:spacing w:val="-7"/>
        </w:rPr>
        <w:t> </w:t>
      </w:r>
      <w:r>
        <w:rPr/>
        <w:t>never</w:t>
      </w:r>
      <w:r>
        <w:rPr>
          <w:spacing w:val="-6"/>
        </w:rPr>
        <w:t> </w:t>
      </w:r>
      <w:r>
        <w:rPr/>
        <w:t>been</w:t>
      </w:r>
      <w:r>
        <w:rPr>
          <w:spacing w:val="-6"/>
        </w:rPr>
        <w:t> </w:t>
      </w:r>
      <w:r>
        <w:rPr/>
        <w:t>disclosed</w:t>
      </w:r>
      <w:r>
        <w:rPr>
          <w:spacing w:val="-7"/>
        </w:rPr>
        <w:t> </w:t>
      </w:r>
      <w:r>
        <w:rPr/>
        <w:t>to</w:t>
      </w:r>
      <w:r>
        <w:rPr>
          <w:spacing w:val="-6"/>
        </w:rPr>
        <w:t> </w:t>
      </w:r>
      <w:r>
        <w:rPr/>
        <w:t>the</w:t>
      </w:r>
      <w:r>
        <w:rPr>
          <w:spacing w:val="-6"/>
        </w:rPr>
        <w:t> </w:t>
      </w:r>
      <w:r>
        <w:rPr/>
        <w:t>pub- lic.</w:t>
      </w:r>
    </w:p>
    <w:p>
      <w:pPr>
        <w:pStyle w:val="BodyText"/>
        <w:spacing w:line="276" w:lineRule="auto" w:before="239"/>
        <w:ind w:left="477" w:right="141"/>
        <w:jc w:val="both"/>
      </w:pPr>
      <w:r>
        <w:rPr/>
        <w:t>In most cases, the following theory is mentioned in connection with the mode of action of vitamin B17:</w:t>
      </w:r>
    </w:p>
    <w:p>
      <w:pPr>
        <w:pStyle w:val="BodyText"/>
        <w:spacing w:line="276" w:lineRule="auto" w:before="241"/>
        <w:ind w:left="477" w:right="132"/>
        <w:jc w:val="both"/>
      </w:pPr>
      <w:r>
        <w:rPr/>
        <w:t>Laetrile, also called vitamin B17, was used by Dr. Ernst Krebs Jr., who isolated it from bitter apricot kernels.</w:t>
      </w:r>
    </w:p>
    <w:p>
      <w:pPr>
        <w:pStyle w:val="BodyText"/>
        <w:spacing w:line="276" w:lineRule="auto" w:before="241"/>
        <w:ind w:left="477" w:right="133"/>
        <w:jc w:val="both"/>
      </w:pPr>
      <w:r>
        <w:rPr/>
        <w:t>Laetrile belongs to the group of cyanide-containing substances, also called ‘ni- trilosides’. These are naturally found in certain plants, including:</w:t>
      </w:r>
    </w:p>
    <w:p>
      <w:pPr>
        <w:pStyle w:val="ListParagraph"/>
        <w:numPr>
          <w:ilvl w:val="0"/>
          <w:numId w:val="51"/>
        </w:numPr>
        <w:tabs>
          <w:tab w:pos="691" w:val="left" w:leader="none"/>
        </w:tabs>
        <w:spacing w:line="240" w:lineRule="auto" w:before="241" w:after="0"/>
        <w:ind w:left="690" w:right="0" w:hanging="213"/>
        <w:jc w:val="both"/>
        <w:rPr>
          <w:sz w:val="38"/>
        </w:rPr>
      </w:pPr>
      <w:r>
        <w:rPr>
          <w:sz w:val="38"/>
        </w:rPr>
        <w:t>bitter apricot</w:t>
      </w:r>
      <w:r>
        <w:rPr>
          <w:spacing w:val="1"/>
          <w:sz w:val="38"/>
        </w:rPr>
        <w:t> </w:t>
      </w:r>
      <w:r>
        <w:rPr>
          <w:sz w:val="38"/>
        </w:rPr>
        <w:t>kernels</w:t>
      </w:r>
    </w:p>
    <w:p>
      <w:pPr>
        <w:pStyle w:val="ListParagraph"/>
        <w:numPr>
          <w:ilvl w:val="0"/>
          <w:numId w:val="51"/>
        </w:numPr>
        <w:tabs>
          <w:tab w:pos="691" w:val="left" w:leader="none"/>
        </w:tabs>
        <w:spacing w:line="240" w:lineRule="auto" w:before="182" w:after="0"/>
        <w:ind w:left="690" w:right="0" w:hanging="213"/>
        <w:jc w:val="both"/>
        <w:rPr>
          <w:sz w:val="38"/>
        </w:rPr>
      </w:pPr>
      <w:r>
        <w:rPr>
          <w:sz w:val="38"/>
        </w:rPr>
        <w:t>peaches</w:t>
      </w:r>
    </w:p>
    <w:p>
      <w:pPr>
        <w:spacing w:after="0" w:line="240" w:lineRule="auto"/>
        <w:jc w:val="both"/>
        <w:rPr>
          <w:sz w:val="38"/>
        </w:rPr>
        <w:sectPr>
          <w:footerReference w:type="default" r:id="rId193"/>
          <w:pgSz w:w="14270" w:h="16850"/>
          <w:pgMar w:footer="1891" w:header="0" w:top="1600" w:bottom="2080" w:left="800" w:right="1280"/>
          <w:pgNumType w:start="800"/>
        </w:sectPr>
      </w:pPr>
    </w:p>
    <w:p>
      <w:pPr>
        <w:pStyle w:val="ListParagraph"/>
        <w:numPr>
          <w:ilvl w:val="0"/>
          <w:numId w:val="51"/>
        </w:numPr>
        <w:tabs>
          <w:tab w:pos="691" w:val="left" w:leader="none"/>
        </w:tabs>
        <w:spacing w:line="240" w:lineRule="auto" w:before="181" w:after="0"/>
        <w:ind w:left="690" w:right="0" w:hanging="213"/>
        <w:jc w:val="left"/>
        <w:rPr>
          <w:sz w:val="38"/>
        </w:rPr>
      </w:pPr>
      <w:r>
        <w:rPr>
          <w:sz w:val="38"/>
        </w:rPr>
        <w:t>berries</w:t>
      </w:r>
    </w:p>
    <w:p>
      <w:pPr>
        <w:pStyle w:val="ListParagraph"/>
        <w:numPr>
          <w:ilvl w:val="0"/>
          <w:numId w:val="51"/>
        </w:numPr>
        <w:tabs>
          <w:tab w:pos="691" w:val="left" w:leader="none"/>
        </w:tabs>
        <w:spacing w:line="240" w:lineRule="auto" w:before="185" w:after="0"/>
        <w:ind w:left="690" w:right="0" w:hanging="213"/>
        <w:jc w:val="left"/>
        <w:rPr>
          <w:sz w:val="38"/>
        </w:rPr>
      </w:pPr>
      <w:r>
        <w:rPr>
          <w:sz w:val="38"/>
        </w:rPr>
        <w:t>cherries</w:t>
      </w:r>
    </w:p>
    <w:p>
      <w:pPr>
        <w:pStyle w:val="ListParagraph"/>
        <w:numPr>
          <w:ilvl w:val="0"/>
          <w:numId w:val="51"/>
        </w:numPr>
        <w:tabs>
          <w:tab w:pos="691" w:val="left" w:leader="none"/>
        </w:tabs>
        <w:spacing w:line="240" w:lineRule="auto" w:before="184" w:after="0"/>
        <w:ind w:left="690" w:right="0" w:hanging="213"/>
        <w:jc w:val="left"/>
        <w:rPr>
          <w:sz w:val="38"/>
        </w:rPr>
      </w:pPr>
      <w:r>
        <w:rPr>
          <w:sz w:val="38"/>
        </w:rPr>
        <w:t>millet and in some</w:t>
      </w:r>
      <w:r>
        <w:rPr>
          <w:spacing w:val="1"/>
          <w:sz w:val="38"/>
        </w:rPr>
        <w:t> </w:t>
      </w:r>
      <w:r>
        <w:rPr>
          <w:sz w:val="38"/>
        </w:rPr>
        <w:t>grasses.</w:t>
      </w:r>
    </w:p>
    <w:p>
      <w:pPr>
        <w:pStyle w:val="BodyText"/>
        <w:spacing w:line="276" w:lineRule="auto" w:before="305"/>
        <w:ind w:left="477" w:right="136"/>
        <w:jc w:val="both"/>
      </w:pPr>
      <w:r>
        <w:rPr/>
        <w:t>It is estimated that vitamin B17 (laetrile, amygdalin) is found in around 1200 different plant species, but mostly in the seeds of non-citrus fruits.</w:t>
      </w:r>
    </w:p>
    <w:p>
      <w:pPr>
        <w:pStyle w:val="BodyText"/>
        <w:spacing w:line="276" w:lineRule="auto" w:before="119"/>
        <w:ind w:left="477" w:right="131"/>
        <w:jc w:val="both"/>
      </w:pPr>
      <w:r>
        <w:rPr/>
        <w:t>Bitter</w:t>
      </w:r>
      <w:r>
        <w:rPr>
          <w:spacing w:val="-6"/>
        </w:rPr>
        <w:t> </w:t>
      </w:r>
      <w:r>
        <w:rPr/>
        <w:t>apricot</w:t>
      </w:r>
      <w:r>
        <w:rPr>
          <w:spacing w:val="-7"/>
        </w:rPr>
        <w:t> </w:t>
      </w:r>
      <w:r>
        <w:rPr/>
        <w:t>kernels</w:t>
      </w:r>
      <w:r>
        <w:rPr>
          <w:spacing w:val="-6"/>
        </w:rPr>
        <w:t> </w:t>
      </w:r>
      <w:r>
        <w:rPr/>
        <w:t>(and</w:t>
      </w:r>
      <w:r>
        <w:rPr>
          <w:spacing w:val="-7"/>
        </w:rPr>
        <w:t> </w:t>
      </w:r>
      <w:r>
        <w:rPr/>
        <w:t>only</w:t>
      </w:r>
      <w:r>
        <w:rPr>
          <w:spacing w:val="-10"/>
        </w:rPr>
        <w:t> </w:t>
      </w:r>
      <w:r>
        <w:rPr/>
        <w:t>bitter</w:t>
      </w:r>
      <w:r>
        <w:rPr>
          <w:spacing w:val="-7"/>
        </w:rPr>
        <w:t> </w:t>
      </w:r>
      <w:r>
        <w:rPr/>
        <w:t>ones!)</w:t>
      </w:r>
      <w:r>
        <w:rPr>
          <w:spacing w:val="-7"/>
        </w:rPr>
        <w:t> </w:t>
      </w:r>
      <w:r>
        <w:rPr/>
        <w:t>contain</w:t>
      </w:r>
      <w:r>
        <w:rPr>
          <w:spacing w:val="-7"/>
        </w:rPr>
        <w:t> </w:t>
      </w:r>
      <w:r>
        <w:rPr/>
        <w:t>the</w:t>
      </w:r>
      <w:r>
        <w:rPr>
          <w:spacing w:val="-6"/>
        </w:rPr>
        <w:t> </w:t>
      </w:r>
      <w:r>
        <w:rPr/>
        <w:t>world's</w:t>
      </w:r>
      <w:r>
        <w:rPr>
          <w:spacing w:val="-6"/>
        </w:rPr>
        <w:t> </w:t>
      </w:r>
      <w:r>
        <w:rPr/>
        <w:t>largest</w:t>
      </w:r>
      <w:r>
        <w:rPr>
          <w:spacing w:val="-7"/>
        </w:rPr>
        <w:t> </w:t>
      </w:r>
      <w:r>
        <w:rPr/>
        <w:t>concen- tration of vitamin</w:t>
      </w:r>
      <w:r>
        <w:rPr>
          <w:spacing w:val="2"/>
        </w:rPr>
        <w:t> </w:t>
      </w:r>
      <w:r>
        <w:rPr/>
        <w:t>B17!</w:t>
      </w:r>
    </w:p>
    <w:p>
      <w:pPr>
        <w:pStyle w:val="BodyText"/>
        <w:spacing w:line="276" w:lineRule="auto" w:before="121"/>
        <w:ind w:left="477" w:right="132"/>
        <w:jc w:val="both"/>
      </w:pPr>
      <w:r>
        <w:rPr/>
        <w:t>Laetrile is broken down into a benzaldehyde molecule and a hydrogen cyanide molecule</w:t>
      </w:r>
      <w:r>
        <w:rPr>
          <w:spacing w:val="-7"/>
        </w:rPr>
        <w:t> </w:t>
      </w:r>
      <w:r>
        <w:rPr/>
        <w:t>after</w:t>
      </w:r>
      <w:r>
        <w:rPr>
          <w:spacing w:val="-7"/>
        </w:rPr>
        <w:t> </w:t>
      </w:r>
      <w:r>
        <w:rPr/>
        <w:t>ingestion</w:t>
      </w:r>
      <w:r>
        <w:rPr>
          <w:spacing w:val="-5"/>
        </w:rPr>
        <w:t> </w:t>
      </w:r>
      <w:r>
        <w:rPr/>
        <w:t>in</w:t>
      </w:r>
      <w:r>
        <w:rPr>
          <w:spacing w:val="-9"/>
        </w:rPr>
        <w:t> </w:t>
      </w:r>
      <w:r>
        <w:rPr/>
        <w:t>the</w:t>
      </w:r>
      <w:r>
        <w:rPr>
          <w:spacing w:val="-8"/>
        </w:rPr>
        <w:t> </w:t>
      </w:r>
      <w:r>
        <w:rPr/>
        <w:t>liver</w:t>
      </w:r>
      <w:r>
        <w:rPr>
          <w:spacing w:val="-7"/>
        </w:rPr>
        <w:t> </w:t>
      </w:r>
      <w:r>
        <w:rPr/>
        <w:t>using</w:t>
      </w:r>
      <w:r>
        <w:rPr>
          <w:spacing w:val="-6"/>
        </w:rPr>
        <w:t> </w:t>
      </w:r>
      <w:r>
        <w:rPr/>
        <w:t>the</w:t>
      </w:r>
      <w:r>
        <w:rPr>
          <w:spacing w:val="-7"/>
        </w:rPr>
        <w:t> </w:t>
      </w:r>
      <w:r>
        <w:rPr/>
        <w:t>enzyme</w:t>
      </w:r>
      <w:r>
        <w:rPr>
          <w:spacing w:val="-7"/>
        </w:rPr>
        <w:t> </w:t>
      </w:r>
      <w:r>
        <w:rPr/>
        <w:t>beta-glycosidase.</w:t>
      </w:r>
      <w:r>
        <w:rPr>
          <w:spacing w:val="-5"/>
        </w:rPr>
        <w:t> </w:t>
      </w:r>
      <w:r>
        <w:rPr/>
        <w:t>The</w:t>
      </w:r>
      <w:r>
        <w:rPr>
          <w:spacing w:val="-9"/>
        </w:rPr>
        <w:t> </w:t>
      </w:r>
      <w:r>
        <w:rPr/>
        <w:t>lat- ter is highly</w:t>
      </w:r>
      <w:r>
        <w:rPr>
          <w:spacing w:val="-1"/>
        </w:rPr>
        <w:t> </w:t>
      </w:r>
      <w:r>
        <w:rPr/>
        <w:t>toxic!</w:t>
      </w:r>
    </w:p>
    <w:p>
      <w:pPr>
        <w:pStyle w:val="BodyText"/>
        <w:spacing w:line="276" w:lineRule="auto" w:before="121"/>
        <w:ind w:left="477" w:right="133"/>
        <w:jc w:val="both"/>
      </w:pPr>
      <w:r>
        <w:rPr/>
        <w:t>Since the enzyme </w:t>
      </w:r>
      <w:r>
        <w:rPr>
          <w:i/>
        </w:rPr>
        <w:t>beta-glycosidase has </w:t>
      </w:r>
      <w:r>
        <w:rPr/>
        <w:t>been found to be 100 to 3600 times more common in cancer cells than in healthy ones, it means certain death for the cancer cell, as it produces 100 to 3600 times more toxic hydrogen cyanide.</w:t>
      </w:r>
    </w:p>
    <w:p>
      <w:pPr>
        <w:pStyle w:val="BodyText"/>
        <w:spacing w:line="276" w:lineRule="auto" w:before="119"/>
        <w:ind w:left="477" w:right="132"/>
        <w:jc w:val="both"/>
      </w:pPr>
      <w:r>
        <w:rPr/>
        <w:t>However,</w:t>
      </w:r>
      <w:r>
        <w:rPr>
          <w:spacing w:val="-18"/>
        </w:rPr>
        <w:t> </w:t>
      </w:r>
      <w:r>
        <w:rPr/>
        <w:t>in</w:t>
      </w:r>
      <w:r>
        <w:rPr>
          <w:spacing w:val="-19"/>
        </w:rPr>
        <w:t> </w:t>
      </w:r>
      <w:r>
        <w:rPr/>
        <w:t>a</w:t>
      </w:r>
      <w:r>
        <w:rPr>
          <w:spacing w:val="-20"/>
        </w:rPr>
        <w:t> </w:t>
      </w:r>
      <w:r>
        <w:rPr/>
        <w:t>healthy</w:t>
      </w:r>
      <w:r>
        <w:rPr>
          <w:spacing w:val="-18"/>
        </w:rPr>
        <w:t> </w:t>
      </w:r>
      <w:r>
        <w:rPr/>
        <w:t>body</w:t>
      </w:r>
      <w:r>
        <w:rPr>
          <w:spacing w:val="-19"/>
        </w:rPr>
        <w:t> </w:t>
      </w:r>
      <w:r>
        <w:rPr/>
        <w:t>cell,</w:t>
      </w:r>
      <w:r>
        <w:rPr>
          <w:spacing w:val="-18"/>
        </w:rPr>
        <w:t> </w:t>
      </w:r>
      <w:r>
        <w:rPr/>
        <w:t>another</w:t>
      </w:r>
      <w:r>
        <w:rPr>
          <w:spacing w:val="-18"/>
        </w:rPr>
        <w:t> </w:t>
      </w:r>
      <w:r>
        <w:rPr/>
        <w:t>enzyme</w:t>
      </w:r>
      <w:r>
        <w:rPr>
          <w:spacing w:val="-20"/>
        </w:rPr>
        <w:t> </w:t>
      </w:r>
      <w:r>
        <w:rPr/>
        <w:t>called</w:t>
      </w:r>
      <w:r>
        <w:rPr>
          <w:spacing w:val="-21"/>
        </w:rPr>
        <w:t> </w:t>
      </w:r>
      <w:r>
        <w:rPr/>
        <w:t>‘rhodanese’</w:t>
      </w:r>
      <w:r>
        <w:rPr>
          <w:spacing w:val="-18"/>
        </w:rPr>
        <w:t> </w:t>
      </w:r>
      <w:r>
        <w:rPr/>
        <w:t>is</w:t>
      </w:r>
      <w:r>
        <w:rPr>
          <w:spacing w:val="-19"/>
        </w:rPr>
        <w:t> </w:t>
      </w:r>
      <w:r>
        <w:rPr/>
        <w:t>abundant, which neutralises the toxic substance immediately, the cancer cell has insuffi- cient amounts of this protective enzyme! Vitamin B17 or laetrile should always be</w:t>
      </w:r>
      <w:r>
        <w:rPr>
          <w:spacing w:val="-13"/>
        </w:rPr>
        <w:t> </w:t>
      </w:r>
      <w:r>
        <w:rPr/>
        <w:t>used</w:t>
      </w:r>
      <w:r>
        <w:rPr>
          <w:spacing w:val="-13"/>
        </w:rPr>
        <w:t> </w:t>
      </w:r>
      <w:r>
        <w:rPr/>
        <w:t>in</w:t>
      </w:r>
      <w:r>
        <w:rPr>
          <w:spacing w:val="-13"/>
        </w:rPr>
        <w:t> </w:t>
      </w:r>
      <w:r>
        <w:rPr/>
        <w:t>conjunction</w:t>
      </w:r>
      <w:r>
        <w:rPr>
          <w:spacing w:val="-11"/>
        </w:rPr>
        <w:t> </w:t>
      </w:r>
      <w:r>
        <w:rPr/>
        <w:t>with</w:t>
      </w:r>
      <w:r>
        <w:rPr>
          <w:spacing w:val="-12"/>
        </w:rPr>
        <w:t> </w:t>
      </w:r>
      <w:r>
        <w:rPr/>
        <w:t>pineapple</w:t>
      </w:r>
      <w:r>
        <w:rPr>
          <w:spacing w:val="-13"/>
        </w:rPr>
        <w:t> </w:t>
      </w:r>
      <w:r>
        <w:rPr/>
        <w:t>and</w:t>
      </w:r>
      <w:r>
        <w:rPr>
          <w:spacing w:val="-12"/>
        </w:rPr>
        <w:t> </w:t>
      </w:r>
      <w:r>
        <w:rPr/>
        <w:t>papaya</w:t>
      </w:r>
      <w:r>
        <w:rPr>
          <w:spacing w:val="-14"/>
        </w:rPr>
        <w:t> </w:t>
      </w:r>
      <w:r>
        <w:rPr/>
        <w:t>(bromelain,</w:t>
      </w:r>
      <w:r>
        <w:rPr>
          <w:spacing w:val="-13"/>
        </w:rPr>
        <w:t> </w:t>
      </w:r>
      <w:r>
        <w:rPr/>
        <w:t>papain)</w:t>
      </w:r>
      <w:r>
        <w:rPr>
          <w:spacing w:val="-13"/>
        </w:rPr>
        <w:t> </w:t>
      </w:r>
      <w:r>
        <w:rPr/>
        <w:t>enzymes as they break the ‘protective armour’ of the tumour, making it easier for the laetrile to enter the cancer</w:t>
      </w:r>
      <w:r>
        <w:rPr>
          <w:spacing w:val="3"/>
        </w:rPr>
        <w:t> </w:t>
      </w:r>
      <w:r>
        <w:rPr/>
        <w:t>cell.</w:t>
      </w:r>
    </w:p>
    <w:p>
      <w:pPr>
        <w:pStyle w:val="Heading2"/>
        <w:spacing w:before="120"/>
        <w:jc w:val="both"/>
      </w:pPr>
      <w:r>
        <w:rPr/>
        <w:t>In summary, the following can be said:</w:t>
      </w:r>
    </w:p>
    <w:p>
      <w:pPr>
        <w:spacing w:after="0"/>
        <w:jc w:val="both"/>
        <w:sectPr>
          <w:pgSz w:w="14270" w:h="16850"/>
          <w:pgMar w:header="0" w:footer="1891" w:top="1600" w:bottom="2080" w:left="800" w:right="1280"/>
        </w:sectPr>
      </w:pPr>
    </w:p>
    <w:p>
      <w:pPr>
        <w:pStyle w:val="BodyText"/>
        <w:spacing w:line="276" w:lineRule="auto" w:before="181"/>
        <w:ind w:left="477" w:right="130"/>
        <w:jc w:val="both"/>
      </w:pPr>
      <w:r>
        <w:rPr/>
        <w:t>Laetrile has a very selective effect on the cancer cells by releasing the toxic hy- drogen cyanide molecule in the cancer cell in a concentration of 100 to 3600 times (compared to the release in a healthy cell). At the same time, the cancer cell</w:t>
      </w:r>
      <w:r>
        <w:rPr>
          <w:spacing w:val="-9"/>
        </w:rPr>
        <w:t> </w:t>
      </w:r>
      <w:r>
        <w:rPr/>
        <w:t>has</w:t>
      </w:r>
      <w:r>
        <w:rPr>
          <w:spacing w:val="-9"/>
        </w:rPr>
        <w:t> </w:t>
      </w:r>
      <w:r>
        <w:rPr/>
        <w:t>only</w:t>
      </w:r>
      <w:r>
        <w:rPr>
          <w:spacing w:val="-8"/>
        </w:rPr>
        <w:t> </w:t>
      </w:r>
      <w:r>
        <w:rPr/>
        <w:t>insufficient</w:t>
      </w:r>
      <w:r>
        <w:rPr>
          <w:spacing w:val="-8"/>
        </w:rPr>
        <w:t> </w:t>
      </w:r>
      <w:r>
        <w:rPr/>
        <w:t>amounts</w:t>
      </w:r>
      <w:r>
        <w:rPr>
          <w:spacing w:val="-7"/>
        </w:rPr>
        <w:t> </w:t>
      </w:r>
      <w:r>
        <w:rPr/>
        <w:t>of</w:t>
      </w:r>
      <w:r>
        <w:rPr>
          <w:spacing w:val="-10"/>
        </w:rPr>
        <w:t> </w:t>
      </w:r>
      <w:r>
        <w:rPr/>
        <w:t>the</w:t>
      </w:r>
      <w:r>
        <w:rPr>
          <w:spacing w:val="-9"/>
        </w:rPr>
        <w:t> </w:t>
      </w:r>
      <w:r>
        <w:rPr/>
        <w:t>enzyme</w:t>
      </w:r>
      <w:r>
        <w:rPr>
          <w:spacing w:val="-8"/>
        </w:rPr>
        <w:t> </w:t>
      </w:r>
      <w:r>
        <w:rPr>
          <w:i/>
        </w:rPr>
        <w:t>rhodanese</w:t>
      </w:r>
      <w:r>
        <w:rPr/>
        <w:t>,</w:t>
      </w:r>
      <w:r>
        <w:rPr>
          <w:spacing w:val="-7"/>
        </w:rPr>
        <w:t> </w:t>
      </w:r>
      <w:r>
        <w:rPr/>
        <w:t>which</w:t>
      </w:r>
      <w:r>
        <w:rPr>
          <w:spacing w:val="-8"/>
        </w:rPr>
        <w:t> </w:t>
      </w:r>
      <w:r>
        <w:rPr/>
        <w:t>is</w:t>
      </w:r>
      <w:r>
        <w:rPr>
          <w:spacing w:val="-7"/>
        </w:rPr>
        <w:t> </w:t>
      </w:r>
      <w:r>
        <w:rPr/>
        <w:t>abundant</w:t>
      </w:r>
      <w:r>
        <w:rPr>
          <w:spacing w:val="-8"/>
        </w:rPr>
        <w:t> </w:t>
      </w:r>
      <w:r>
        <w:rPr/>
        <w:t>in the healthy cell and neutralises the incoming toxins are instantly converted</w:t>
      </w:r>
      <w:r>
        <w:rPr>
          <w:spacing w:val="-62"/>
        </w:rPr>
        <w:t> </w:t>
      </w:r>
      <w:r>
        <w:rPr/>
        <w:t>into the harmless enzyme</w:t>
      </w:r>
      <w:r>
        <w:rPr>
          <w:spacing w:val="6"/>
        </w:rPr>
        <w:t> </w:t>
      </w:r>
      <w:r>
        <w:rPr/>
        <w:t>‘rhodanide’!</w:t>
      </w:r>
    </w:p>
    <w:p>
      <w:pPr>
        <w:pStyle w:val="BodyText"/>
        <w:spacing w:line="276" w:lineRule="auto" w:before="121"/>
        <w:ind w:left="477" w:right="140"/>
        <w:jc w:val="both"/>
      </w:pPr>
      <w:r>
        <w:rPr/>
        <w:t>Incidentally, the benzaldehyde molecule is responsible for the analgesic effect of laetrile against cancer pain.</w:t>
      </w:r>
    </w:p>
    <w:p>
      <w:pPr>
        <w:pStyle w:val="Heading2"/>
        <w:spacing w:before="241"/>
        <w:jc w:val="both"/>
      </w:pPr>
      <w:r>
        <w:rPr/>
        <w:t>Natural chemotherapy – no side effects!</w:t>
      </w:r>
    </w:p>
    <w:p>
      <w:pPr>
        <w:pStyle w:val="BodyText"/>
        <w:spacing w:before="5"/>
        <w:rPr>
          <w:b/>
          <w:sz w:val="49"/>
        </w:rPr>
      </w:pPr>
    </w:p>
    <w:p>
      <w:pPr>
        <w:pStyle w:val="BodyText"/>
        <w:spacing w:line="276" w:lineRule="auto"/>
        <w:ind w:left="477" w:right="136"/>
        <w:jc w:val="both"/>
      </w:pPr>
      <w:r>
        <w:rPr/>
        <w:t>Similar to the active ingredient curcumin from the Indian spice turmeric (see corresponding chapter) and numerous other substances mentioned in this book, laetrile has a veritable </w:t>
      </w:r>
      <w:r>
        <w:rPr>
          <w:i/>
        </w:rPr>
        <w:t>cytotoxic </w:t>
      </w:r>
      <w:r>
        <w:rPr/>
        <w:t>and </w:t>
      </w:r>
      <w:r>
        <w:rPr>
          <w:i/>
        </w:rPr>
        <w:t>cytostatic </w:t>
      </w:r>
      <w:r>
        <w:rPr/>
        <w:t>effect...</w:t>
      </w:r>
    </w:p>
    <w:p>
      <w:pPr>
        <w:pStyle w:val="BodyText"/>
        <w:spacing w:line="276" w:lineRule="auto"/>
        <w:ind w:left="477" w:right="131"/>
        <w:jc w:val="both"/>
      </w:pPr>
      <w:r>
        <w:rPr/>
        <w:t>By way of explanation, ‘</w:t>
      </w:r>
      <w:r>
        <w:rPr>
          <w:i/>
        </w:rPr>
        <w:t>cytotoxic’, </w:t>
      </w:r>
      <w:r>
        <w:rPr/>
        <w:t>from Greek, means ‘cell-destroying’ and ‘</w:t>
      </w:r>
      <w:r>
        <w:rPr>
          <w:i/>
        </w:rPr>
        <w:t>cyto- </w:t>
      </w:r>
      <w:r>
        <w:rPr>
          <w:i/>
        </w:rPr>
        <w:t>static’ </w:t>
      </w:r>
      <w:r>
        <w:rPr/>
        <w:t>means ‘cell growth-inhibiting’. We know these very mechanisms from chemotherapy, but with the one essential difference:</w:t>
      </w:r>
    </w:p>
    <w:p>
      <w:pPr>
        <w:pStyle w:val="BodyText"/>
        <w:spacing w:before="8"/>
        <w:rPr>
          <w:sz w:val="43"/>
        </w:rPr>
      </w:pPr>
    </w:p>
    <w:p>
      <w:pPr>
        <w:pStyle w:val="BodyText"/>
        <w:spacing w:line="276" w:lineRule="auto"/>
        <w:ind w:left="477" w:right="133"/>
        <w:jc w:val="both"/>
      </w:pPr>
      <w:r>
        <w:rPr/>
        <w:t>Mother</w:t>
      </w:r>
      <w:r>
        <w:rPr>
          <w:spacing w:val="-25"/>
        </w:rPr>
        <w:t> </w:t>
      </w:r>
      <w:r>
        <w:rPr/>
        <w:t>Nature</w:t>
      </w:r>
      <w:r>
        <w:rPr>
          <w:spacing w:val="-25"/>
        </w:rPr>
        <w:t> </w:t>
      </w:r>
      <w:r>
        <w:rPr/>
        <w:t>cares</w:t>
      </w:r>
      <w:r>
        <w:rPr>
          <w:spacing w:val="-24"/>
        </w:rPr>
        <w:t> </w:t>
      </w:r>
      <w:r>
        <w:rPr/>
        <w:t>for</w:t>
      </w:r>
      <w:r>
        <w:rPr>
          <w:spacing w:val="-24"/>
        </w:rPr>
        <w:t> </w:t>
      </w:r>
      <w:r>
        <w:rPr/>
        <w:t>us</w:t>
      </w:r>
      <w:r>
        <w:rPr>
          <w:spacing w:val="-26"/>
        </w:rPr>
        <w:t> </w:t>
      </w:r>
      <w:r>
        <w:rPr/>
        <w:t>and</w:t>
      </w:r>
      <w:r>
        <w:rPr>
          <w:spacing w:val="-25"/>
        </w:rPr>
        <w:t> </w:t>
      </w:r>
      <w:r>
        <w:rPr/>
        <w:t>does</w:t>
      </w:r>
      <w:r>
        <w:rPr>
          <w:spacing w:val="-24"/>
        </w:rPr>
        <w:t> </w:t>
      </w:r>
      <w:r>
        <w:rPr/>
        <w:t>not</w:t>
      </w:r>
      <w:r>
        <w:rPr>
          <w:spacing w:val="-25"/>
        </w:rPr>
        <w:t> </w:t>
      </w:r>
      <w:r>
        <w:rPr/>
        <w:t>want</w:t>
      </w:r>
      <w:r>
        <w:rPr>
          <w:spacing w:val="-25"/>
        </w:rPr>
        <w:t> </w:t>
      </w:r>
      <w:r>
        <w:rPr/>
        <w:t>to</w:t>
      </w:r>
      <w:r>
        <w:rPr>
          <w:spacing w:val="-27"/>
        </w:rPr>
        <w:t> </w:t>
      </w:r>
      <w:r>
        <w:rPr/>
        <w:t>harm</w:t>
      </w:r>
      <w:r>
        <w:rPr>
          <w:spacing w:val="-25"/>
        </w:rPr>
        <w:t> </w:t>
      </w:r>
      <w:r>
        <w:rPr/>
        <w:t>us!</w:t>
      </w:r>
      <w:r>
        <w:rPr>
          <w:spacing w:val="-24"/>
        </w:rPr>
        <w:t> </w:t>
      </w:r>
      <w:r>
        <w:rPr/>
        <w:t>Thus,</w:t>
      </w:r>
      <w:r>
        <w:rPr>
          <w:spacing w:val="-24"/>
        </w:rPr>
        <w:t> </w:t>
      </w:r>
      <w:r>
        <w:rPr/>
        <w:t>these</w:t>
      </w:r>
      <w:r>
        <w:rPr>
          <w:spacing w:val="-25"/>
        </w:rPr>
        <w:t> </w:t>
      </w:r>
      <w:r>
        <w:rPr/>
        <w:t>extremely efficient, cell-destroying and cell-growth-inhibiting properties relate exclusively to the malignant cells, the cancer cell – the healthy cells are completely</w:t>
      </w:r>
      <w:r>
        <w:rPr>
          <w:spacing w:val="-25"/>
        </w:rPr>
        <w:t> </w:t>
      </w:r>
      <w:r>
        <w:rPr/>
        <w:t>spared!</w:t>
      </w:r>
    </w:p>
    <w:p>
      <w:pPr>
        <w:pStyle w:val="BodyText"/>
        <w:spacing w:before="8"/>
        <w:rPr>
          <w:sz w:val="43"/>
        </w:rPr>
      </w:pPr>
    </w:p>
    <w:p>
      <w:pPr>
        <w:pStyle w:val="BodyText"/>
        <w:spacing w:line="276" w:lineRule="auto"/>
        <w:ind w:left="477" w:right="140"/>
        <w:jc w:val="both"/>
      </w:pPr>
      <w:r>
        <w:rPr/>
        <w:t>From a biochemical and functional point of view, therefore, in vitamin B17 (laetrile) we have a proven, fully natural chemotherapy, the effectiveness and</w:t>
      </w:r>
    </w:p>
    <w:p>
      <w:pPr>
        <w:spacing w:after="0" w:line="276" w:lineRule="auto"/>
        <w:jc w:val="both"/>
        <w:sectPr>
          <w:pgSz w:w="14270" w:h="16850"/>
          <w:pgMar w:header="0" w:footer="1891" w:top="1600" w:bottom="2080" w:left="800" w:right="1280"/>
        </w:sectPr>
      </w:pPr>
    </w:p>
    <w:p>
      <w:pPr>
        <w:pStyle w:val="BodyText"/>
        <w:spacing w:line="276" w:lineRule="auto" w:before="181"/>
        <w:ind w:left="477" w:right="139"/>
        <w:jc w:val="both"/>
      </w:pPr>
      <w:r>
        <w:rPr/>
        <w:t>safety of which has since been confirmed by over 50 years of therapy and nu- merous representative studies.</w:t>
      </w:r>
    </w:p>
    <w:p>
      <w:pPr>
        <w:pStyle w:val="BodyText"/>
        <w:spacing w:line="276" w:lineRule="auto" w:before="1"/>
        <w:ind w:left="477" w:right="132"/>
        <w:jc w:val="both"/>
      </w:pPr>
      <w:r>
        <w:rPr/>
        <w:t>What</w:t>
      </w:r>
      <w:r>
        <w:rPr>
          <w:spacing w:val="-23"/>
        </w:rPr>
        <w:t> </w:t>
      </w:r>
      <w:r>
        <w:rPr/>
        <w:t>remains</w:t>
      </w:r>
      <w:r>
        <w:rPr>
          <w:spacing w:val="-21"/>
        </w:rPr>
        <w:t> </w:t>
      </w:r>
      <w:r>
        <w:rPr/>
        <w:t>is</w:t>
      </w:r>
      <w:r>
        <w:rPr>
          <w:spacing w:val="-27"/>
        </w:rPr>
        <w:t> </w:t>
      </w:r>
      <w:r>
        <w:rPr/>
        <w:t>the</w:t>
      </w:r>
      <w:r>
        <w:rPr>
          <w:spacing w:val="-21"/>
        </w:rPr>
        <w:t> </w:t>
      </w:r>
      <w:r>
        <w:rPr/>
        <w:t>bitter</w:t>
      </w:r>
      <w:r>
        <w:rPr>
          <w:spacing w:val="-23"/>
        </w:rPr>
        <w:t> </w:t>
      </w:r>
      <w:r>
        <w:rPr/>
        <w:t>aftertaste,</w:t>
      </w:r>
      <w:r>
        <w:rPr>
          <w:spacing w:val="-24"/>
        </w:rPr>
        <w:t> </w:t>
      </w:r>
      <w:r>
        <w:rPr/>
        <w:t>not</w:t>
      </w:r>
      <w:r>
        <w:rPr>
          <w:spacing w:val="-25"/>
        </w:rPr>
        <w:t> </w:t>
      </w:r>
      <w:r>
        <w:rPr/>
        <w:t>of</w:t>
      </w:r>
      <w:r>
        <w:rPr>
          <w:spacing w:val="-21"/>
        </w:rPr>
        <w:t> </w:t>
      </w:r>
      <w:r>
        <w:rPr/>
        <w:t>the</w:t>
      </w:r>
      <w:r>
        <w:rPr>
          <w:spacing w:val="-26"/>
        </w:rPr>
        <w:t> </w:t>
      </w:r>
      <w:r>
        <w:rPr/>
        <w:t>bitter</w:t>
      </w:r>
      <w:r>
        <w:rPr>
          <w:spacing w:val="-22"/>
        </w:rPr>
        <w:t> </w:t>
      </w:r>
      <w:r>
        <w:rPr/>
        <w:t>apricot</w:t>
      </w:r>
      <w:r>
        <w:rPr>
          <w:spacing w:val="-24"/>
        </w:rPr>
        <w:t> </w:t>
      </w:r>
      <w:r>
        <w:rPr/>
        <w:t>kernels...</w:t>
      </w:r>
      <w:r>
        <w:rPr>
          <w:spacing w:val="-22"/>
        </w:rPr>
        <w:t> </w:t>
      </w:r>
      <w:r>
        <w:rPr/>
        <w:t>but</w:t>
      </w:r>
      <w:r>
        <w:rPr>
          <w:spacing w:val="-26"/>
        </w:rPr>
        <w:t> </w:t>
      </w:r>
      <w:r>
        <w:rPr/>
        <w:t>rather that all these studies are not known to conventional cancer physicians, while they continue to practice on the principle of </w:t>
      </w:r>
      <w:r>
        <w:rPr>
          <w:i/>
        </w:rPr>
        <w:t>‘steel, radiation, poison’</w:t>
      </w:r>
      <w:r>
        <w:rPr/>
        <w:t>(surgery, radi- otherapy and chemotherapy) and they do not tire of citing the so-called ‘</w:t>
      </w:r>
      <w:r>
        <w:rPr>
          <w:i/>
        </w:rPr>
        <w:t>repre- </w:t>
      </w:r>
      <w:r>
        <w:rPr>
          <w:i/>
        </w:rPr>
        <w:t>sentative’ </w:t>
      </w:r>
      <w:r>
        <w:rPr/>
        <w:t>drug studies of the pharmaceutical industry, which, unfortunately, ac- cording to physician and pharmacist Wolfgang Becker-Brüser, the publisher of the </w:t>
      </w:r>
      <w:r>
        <w:rPr>
          <w:i/>
        </w:rPr>
        <w:t>‘Remedy Telegram’ </w:t>
      </w:r>
      <w:r>
        <w:rPr/>
        <w:t>are manipulated in up to 90 % of cases anyway!</w:t>
      </w:r>
      <w:r>
        <w:rPr>
          <w:position w:val="9"/>
          <w:sz w:val="25"/>
        </w:rPr>
        <w:t>448 </w:t>
      </w:r>
      <w:r>
        <w:rPr/>
        <w:t>But there is also the hope that one day the truth will prevail and that man will re- member that he is just a part of nature, and has not sprung from a test tube in the chemistry</w:t>
      </w:r>
      <w:r>
        <w:rPr>
          <w:spacing w:val="2"/>
        </w:rPr>
        <w:t> </w:t>
      </w:r>
      <w:r>
        <w:rPr/>
        <w:t>lab...</w:t>
      </w:r>
    </w:p>
    <w:p>
      <w:pPr>
        <w:pStyle w:val="Heading2"/>
        <w:spacing w:before="240"/>
      </w:pPr>
      <w:r>
        <w:rPr/>
        <w:t>What dosages are recommended for laetrile/vitamin B17?</w:t>
      </w:r>
    </w:p>
    <w:p>
      <w:pPr>
        <w:pStyle w:val="BodyText"/>
        <w:spacing w:line="276" w:lineRule="auto" w:before="305"/>
        <w:ind w:left="477" w:right="141"/>
        <w:jc w:val="both"/>
      </w:pPr>
      <w:r>
        <w:rPr/>
        <w:t>For legal reasons, we distance ourselves from the following dosages and only give the opinion or the suggestions of renowned laetrile researchers for pur- poses of illustration!</w:t>
      </w:r>
    </w:p>
    <w:p>
      <w:pPr>
        <w:pStyle w:val="Heading2"/>
        <w:spacing w:before="241"/>
        <w:jc w:val="both"/>
      </w:pPr>
      <w:r>
        <w:rPr/>
        <w:t>Dosage of vitamin B17 for preventive purposes (cancer preventative!)</w:t>
      </w:r>
    </w:p>
    <w:p>
      <w:pPr>
        <w:pStyle w:val="BodyText"/>
        <w:spacing w:before="304"/>
        <w:ind w:left="477"/>
        <w:jc w:val="both"/>
      </w:pPr>
      <w:r>
        <w:rPr/>
        <w:t>According to the author of the bestselling book, ‘World Without Cancer’, G.</w:t>
      </w:r>
    </w:p>
    <w:p>
      <w:pPr>
        <w:pStyle w:val="BodyText"/>
        <w:rPr>
          <w:sz w:val="20"/>
        </w:rPr>
      </w:pPr>
    </w:p>
    <w:p>
      <w:pPr>
        <w:pStyle w:val="BodyText"/>
        <w:spacing w:before="6"/>
        <w:rPr>
          <w:sz w:val="21"/>
        </w:rPr>
      </w:pPr>
      <w:r>
        <w:rPr/>
        <w:pict>
          <v:line style="position:absolute;mso-position-horizontal-relative:page;mso-position-vertical-relative:paragraph;z-index:5624;mso-wrap-distance-left:0;mso-wrap-distance-right:0" from="63.863998pt,14.496265pt" to="207.883998pt,14.49626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4"/>
          <w:sz w:val="12"/>
        </w:rPr>
        <w:t>448 </w:t>
      </w:r>
      <w:hyperlink r:id="rId194">
        <w:r>
          <w:rPr>
            <w:sz w:val="20"/>
          </w:rPr>
          <w:t>http://www.swr.de/odysso/es-geht-um-viel-geld-gefaelschte-pharmastudien/-/id=1046894/nid=1046894/did=2258782/um7mvw/index.html</w:t>
        </w:r>
      </w:hyperlink>
    </w:p>
    <w:p>
      <w:pPr>
        <w:spacing w:after="0"/>
        <w:jc w:val="left"/>
        <w:rPr>
          <w:sz w:val="20"/>
        </w:rPr>
        <w:sectPr>
          <w:pgSz w:w="14270" w:h="16850"/>
          <w:pgMar w:header="0" w:footer="1891" w:top="1600" w:bottom="2080" w:left="800" w:right="1280"/>
        </w:sectPr>
      </w:pPr>
    </w:p>
    <w:p>
      <w:pPr>
        <w:pStyle w:val="BodyText"/>
        <w:spacing w:line="276" w:lineRule="auto" w:before="181"/>
        <w:ind w:left="477" w:right="142"/>
        <w:jc w:val="both"/>
      </w:pPr>
      <w:r>
        <w:rPr/>
        <w:t>Edward. Krebs , who discovered laetrile, for prevention purposes, a minimum of 50 mg laetrile is recommended for normal, healthy adults.</w:t>
      </w:r>
    </w:p>
    <w:p>
      <w:pPr>
        <w:pStyle w:val="BodyText"/>
        <w:spacing w:line="276" w:lineRule="auto" w:before="241"/>
        <w:ind w:left="477" w:right="132"/>
        <w:jc w:val="both"/>
      </w:pPr>
      <w:r>
        <w:rPr/>
        <w:t>The</w:t>
      </w:r>
      <w:r>
        <w:rPr>
          <w:spacing w:val="-6"/>
        </w:rPr>
        <w:t> </w:t>
      </w:r>
      <w:r>
        <w:rPr/>
        <w:t>average</w:t>
      </w:r>
      <w:r>
        <w:rPr>
          <w:spacing w:val="-6"/>
        </w:rPr>
        <w:t> </w:t>
      </w:r>
      <w:r>
        <w:rPr/>
        <w:t>amount</w:t>
      </w:r>
      <w:r>
        <w:rPr>
          <w:spacing w:val="-7"/>
        </w:rPr>
        <w:t> </w:t>
      </w:r>
      <w:r>
        <w:rPr/>
        <w:t>of</w:t>
      </w:r>
      <w:r>
        <w:rPr>
          <w:spacing w:val="-6"/>
        </w:rPr>
        <w:t> </w:t>
      </w:r>
      <w:r>
        <w:rPr/>
        <w:t>laetrile</w:t>
      </w:r>
      <w:r>
        <w:rPr>
          <w:spacing w:val="-8"/>
        </w:rPr>
        <w:t> </w:t>
      </w:r>
      <w:r>
        <w:rPr/>
        <w:t>in</w:t>
      </w:r>
      <w:r>
        <w:rPr>
          <w:spacing w:val="-6"/>
        </w:rPr>
        <w:t> </w:t>
      </w:r>
      <w:r>
        <w:rPr/>
        <w:t>a</w:t>
      </w:r>
      <w:r>
        <w:rPr>
          <w:spacing w:val="-8"/>
        </w:rPr>
        <w:t> </w:t>
      </w:r>
      <w:r>
        <w:rPr/>
        <w:t>bitter</w:t>
      </w:r>
      <w:r>
        <w:rPr>
          <w:spacing w:val="-7"/>
        </w:rPr>
        <w:t> </w:t>
      </w:r>
      <w:r>
        <w:rPr/>
        <w:t>apricot</w:t>
      </w:r>
      <w:r>
        <w:rPr>
          <w:spacing w:val="-7"/>
        </w:rPr>
        <w:t> </w:t>
      </w:r>
      <w:r>
        <w:rPr/>
        <w:t>kernel</w:t>
      </w:r>
      <w:r>
        <w:rPr>
          <w:spacing w:val="-6"/>
        </w:rPr>
        <w:t> </w:t>
      </w:r>
      <w:r>
        <w:rPr/>
        <w:t>is</w:t>
      </w:r>
      <w:r>
        <w:rPr>
          <w:spacing w:val="-9"/>
        </w:rPr>
        <w:t> </w:t>
      </w:r>
      <w:r>
        <w:rPr/>
        <w:t>about</w:t>
      </w:r>
      <w:r>
        <w:rPr>
          <w:spacing w:val="-10"/>
        </w:rPr>
        <w:t> </w:t>
      </w:r>
      <w:r>
        <w:rPr/>
        <w:t>4-5</w:t>
      </w:r>
      <w:r>
        <w:rPr>
          <w:spacing w:val="-7"/>
        </w:rPr>
        <w:t> </w:t>
      </w:r>
      <w:r>
        <w:rPr/>
        <w:t>mg</w:t>
      </w:r>
      <w:r>
        <w:rPr>
          <w:spacing w:val="-5"/>
        </w:rPr>
        <w:t> </w:t>
      </w:r>
      <w:r>
        <w:rPr/>
        <w:t>laetrile; this amount can vary by up to a factor of</w:t>
      </w:r>
      <w:r>
        <w:rPr>
          <w:spacing w:val="5"/>
        </w:rPr>
        <w:t> </w:t>
      </w:r>
      <w:r>
        <w:rPr/>
        <w:t>6!</w:t>
      </w:r>
    </w:p>
    <w:p>
      <w:pPr>
        <w:pStyle w:val="BodyText"/>
        <w:spacing w:line="276" w:lineRule="auto" w:before="241"/>
        <w:ind w:left="477" w:right="133"/>
        <w:jc w:val="both"/>
      </w:pPr>
      <w:r>
        <w:rPr/>
        <w:t>The</w:t>
      </w:r>
      <w:r>
        <w:rPr>
          <w:spacing w:val="-6"/>
        </w:rPr>
        <w:t> </w:t>
      </w:r>
      <w:r>
        <w:rPr/>
        <w:t>most</w:t>
      </w:r>
      <w:r>
        <w:rPr>
          <w:spacing w:val="-6"/>
        </w:rPr>
        <w:t> </w:t>
      </w:r>
      <w:r>
        <w:rPr/>
        <w:t>commonly</w:t>
      </w:r>
      <w:r>
        <w:rPr>
          <w:spacing w:val="-7"/>
        </w:rPr>
        <w:t> </w:t>
      </w:r>
      <w:r>
        <w:rPr/>
        <w:t>cited</w:t>
      </w:r>
      <w:r>
        <w:rPr>
          <w:spacing w:val="-6"/>
        </w:rPr>
        <w:t> </w:t>
      </w:r>
      <w:r>
        <w:rPr/>
        <w:t>number</w:t>
      </w:r>
      <w:r>
        <w:rPr>
          <w:spacing w:val="-5"/>
        </w:rPr>
        <w:t> </w:t>
      </w:r>
      <w:r>
        <w:rPr/>
        <w:t>of</w:t>
      </w:r>
      <w:r>
        <w:rPr>
          <w:spacing w:val="-7"/>
        </w:rPr>
        <w:t> </w:t>
      </w:r>
      <w:r>
        <w:rPr/>
        <w:t>bitter</w:t>
      </w:r>
      <w:r>
        <w:rPr>
          <w:spacing w:val="-6"/>
        </w:rPr>
        <w:t> </w:t>
      </w:r>
      <w:r>
        <w:rPr/>
        <w:t>apricot</w:t>
      </w:r>
      <w:r>
        <w:rPr>
          <w:spacing w:val="-6"/>
        </w:rPr>
        <w:t> </w:t>
      </w:r>
      <w:r>
        <w:rPr/>
        <w:t>kernels</w:t>
      </w:r>
      <w:r>
        <w:rPr>
          <w:spacing w:val="-6"/>
        </w:rPr>
        <w:t> </w:t>
      </w:r>
      <w:r>
        <w:rPr/>
        <w:t>per</w:t>
      </w:r>
      <w:r>
        <w:rPr>
          <w:spacing w:val="-6"/>
        </w:rPr>
        <w:t> </w:t>
      </w:r>
      <w:r>
        <w:rPr/>
        <w:t>day</w:t>
      </w:r>
      <w:r>
        <w:rPr>
          <w:spacing w:val="-6"/>
        </w:rPr>
        <w:t> </w:t>
      </w:r>
      <w:r>
        <w:rPr/>
        <w:t>for</w:t>
      </w:r>
      <w:r>
        <w:rPr>
          <w:spacing w:val="-5"/>
        </w:rPr>
        <w:t> </w:t>
      </w:r>
      <w:r>
        <w:rPr/>
        <w:t>preven- tion purposes is seven, in the vast majority of cases, ten kernels, which roughly matches the recommendation. According to numerous sources, there have so far</w:t>
      </w:r>
      <w:r>
        <w:rPr>
          <w:spacing w:val="-9"/>
        </w:rPr>
        <w:t> </w:t>
      </w:r>
      <w:r>
        <w:rPr/>
        <w:t>been</w:t>
      </w:r>
      <w:r>
        <w:rPr>
          <w:spacing w:val="-9"/>
        </w:rPr>
        <w:t> </w:t>
      </w:r>
      <w:r>
        <w:rPr/>
        <w:t>no</w:t>
      </w:r>
      <w:r>
        <w:rPr>
          <w:spacing w:val="-8"/>
        </w:rPr>
        <w:t> </w:t>
      </w:r>
      <w:r>
        <w:rPr/>
        <w:t>documented</w:t>
      </w:r>
      <w:r>
        <w:rPr>
          <w:spacing w:val="-8"/>
        </w:rPr>
        <w:t> </w:t>
      </w:r>
      <w:r>
        <w:rPr/>
        <w:t>cases</w:t>
      </w:r>
      <w:r>
        <w:rPr>
          <w:spacing w:val="-8"/>
        </w:rPr>
        <w:t> </w:t>
      </w:r>
      <w:r>
        <w:rPr/>
        <w:t>of</w:t>
      </w:r>
      <w:r>
        <w:rPr>
          <w:spacing w:val="-9"/>
        </w:rPr>
        <w:t> </w:t>
      </w:r>
      <w:r>
        <w:rPr/>
        <w:t>anyone</w:t>
      </w:r>
      <w:r>
        <w:rPr>
          <w:spacing w:val="-8"/>
        </w:rPr>
        <w:t> </w:t>
      </w:r>
      <w:r>
        <w:rPr/>
        <w:t>who</w:t>
      </w:r>
      <w:r>
        <w:rPr>
          <w:spacing w:val="-8"/>
        </w:rPr>
        <w:t> </w:t>
      </w:r>
      <w:r>
        <w:rPr/>
        <w:t>has</w:t>
      </w:r>
      <w:r>
        <w:rPr>
          <w:spacing w:val="-9"/>
        </w:rPr>
        <w:t> </w:t>
      </w:r>
      <w:r>
        <w:rPr/>
        <w:t>fallen</w:t>
      </w:r>
      <w:r>
        <w:rPr>
          <w:spacing w:val="-8"/>
        </w:rPr>
        <w:t> </w:t>
      </w:r>
      <w:r>
        <w:rPr/>
        <w:t>victim</w:t>
      </w:r>
      <w:r>
        <w:rPr>
          <w:spacing w:val="-9"/>
        </w:rPr>
        <w:t> </w:t>
      </w:r>
      <w:r>
        <w:rPr/>
        <w:t>to</w:t>
      </w:r>
      <w:r>
        <w:rPr>
          <w:spacing w:val="-7"/>
        </w:rPr>
        <w:t> </w:t>
      </w:r>
      <w:r>
        <w:rPr/>
        <w:t>cancer</w:t>
      </w:r>
      <w:r>
        <w:rPr>
          <w:spacing w:val="-8"/>
        </w:rPr>
        <w:t> </w:t>
      </w:r>
      <w:r>
        <w:rPr/>
        <w:t>whilst consuming</w:t>
      </w:r>
      <w:r>
        <w:rPr>
          <w:spacing w:val="-19"/>
        </w:rPr>
        <w:t> </w:t>
      </w:r>
      <w:r>
        <w:rPr/>
        <w:t>bitter</w:t>
      </w:r>
      <w:r>
        <w:rPr>
          <w:spacing w:val="-17"/>
        </w:rPr>
        <w:t> </w:t>
      </w:r>
      <w:r>
        <w:rPr/>
        <w:t>apricot</w:t>
      </w:r>
      <w:r>
        <w:rPr>
          <w:spacing w:val="-18"/>
        </w:rPr>
        <w:t> </w:t>
      </w:r>
      <w:r>
        <w:rPr/>
        <w:t>kernels,</w:t>
      </w:r>
      <w:r>
        <w:rPr>
          <w:spacing w:val="-21"/>
        </w:rPr>
        <w:t> </w:t>
      </w:r>
      <w:r>
        <w:rPr/>
        <w:t>a</w:t>
      </w:r>
      <w:r>
        <w:rPr>
          <w:spacing w:val="-19"/>
        </w:rPr>
        <w:t> </w:t>
      </w:r>
      <w:r>
        <w:rPr/>
        <w:t>noteworthy</w:t>
      </w:r>
      <w:r>
        <w:rPr>
          <w:spacing w:val="-17"/>
        </w:rPr>
        <w:t> </w:t>
      </w:r>
      <w:r>
        <w:rPr/>
        <w:t>fact</w:t>
      </w:r>
      <w:r>
        <w:rPr>
          <w:spacing w:val="-19"/>
        </w:rPr>
        <w:t> </w:t>
      </w:r>
      <w:r>
        <w:rPr/>
        <w:t>given</w:t>
      </w:r>
      <w:r>
        <w:rPr>
          <w:spacing w:val="-17"/>
        </w:rPr>
        <w:t> </w:t>
      </w:r>
      <w:r>
        <w:rPr/>
        <w:t>that</w:t>
      </w:r>
      <w:r>
        <w:rPr>
          <w:spacing w:val="-18"/>
        </w:rPr>
        <w:t> </w:t>
      </w:r>
      <w:r>
        <w:rPr/>
        <w:t>bitter</w:t>
      </w:r>
      <w:r>
        <w:rPr>
          <w:spacing w:val="-18"/>
        </w:rPr>
        <w:t> </w:t>
      </w:r>
      <w:r>
        <w:rPr/>
        <w:t>apricot</w:t>
      </w:r>
      <w:r>
        <w:rPr>
          <w:spacing w:val="-18"/>
        </w:rPr>
        <w:t> </w:t>
      </w:r>
      <w:r>
        <w:rPr/>
        <w:t>ker- nels have been used for decades by billions of people worldwide for preventa- tive</w:t>
      </w:r>
      <w:r>
        <w:rPr>
          <w:spacing w:val="-7"/>
        </w:rPr>
        <w:t> </w:t>
      </w:r>
      <w:r>
        <w:rPr/>
        <w:t>purposes</w:t>
      </w:r>
      <w:r>
        <w:rPr>
          <w:spacing w:val="-5"/>
        </w:rPr>
        <w:t> </w:t>
      </w:r>
      <w:r>
        <w:rPr/>
        <w:t>and,</w:t>
      </w:r>
      <w:r>
        <w:rPr>
          <w:spacing w:val="-6"/>
        </w:rPr>
        <w:t> </w:t>
      </w:r>
      <w:r>
        <w:rPr/>
        <w:t>viewed</w:t>
      </w:r>
      <w:r>
        <w:rPr>
          <w:spacing w:val="-6"/>
        </w:rPr>
        <w:t> </w:t>
      </w:r>
      <w:r>
        <w:rPr/>
        <w:t>statistically</w:t>
      </w:r>
      <w:r>
        <w:rPr>
          <w:spacing w:val="-7"/>
        </w:rPr>
        <w:t> </w:t>
      </w:r>
      <w:r>
        <w:rPr/>
        <w:t>from</w:t>
      </w:r>
      <w:r>
        <w:rPr>
          <w:spacing w:val="-6"/>
        </w:rPr>
        <w:t> </w:t>
      </w:r>
      <w:r>
        <w:rPr/>
        <w:t>the</w:t>
      </w:r>
      <w:r>
        <w:rPr>
          <w:spacing w:val="-6"/>
        </w:rPr>
        <w:t> </w:t>
      </w:r>
      <w:r>
        <w:rPr/>
        <w:t>other</w:t>
      </w:r>
      <w:r>
        <w:rPr>
          <w:spacing w:val="-5"/>
        </w:rPr>
        <w:t> </w:t>
      </w:r>
      <w:r>
        <w:rPr/>
        <w:t>side,</w:t>
      </w:r>
      <w:r>
        <w:rPr>
          <w:spacing w:val="-6"/>
        </w:rPr>
        <w:t> </w:t>
      </w:r>
      <w:r>
        <w:rPr/>
        <w:t>one</w:t>
      </w:r>
      <w:r>
        <w:rPr>
          <w:spacing w:val="-6"/>
        </w:rPr>
        <w:t> </w:t>
      </w:r>
      <w:r>
        <w:rPr/>
        <w:t>in</w:t>
      </w:r>
      <w:r>
        <w:rPr>
          <w:spacing w:val="-8"/>
        </w:rPr>
        <w:t> </w:t>
      </w:r>
      <w:r>
        <w:rPr/>
        <w:t>two</w:t>
      </w:r>
      <w:r>
        <w:rPr>
          <w:spacing w:val="-5"/>
        </w:rPr>
        <w:t> </w:t>
      </w:r>
      <w:r>
        <w:rPr/>
        <w:t>people</w:t>
      </w:r>
      <w:r>
        <w:rPr>
          <w:spacing w:val="-6"/>
        </w:rPr>
        <w:t> </w:t>
      </w:r>
      <w:r>
        <w:rPr/>
        <w:t>in the developed world suffers from cancer. Don’t you</w:t>
      </w:r>
      <w:r>
        <w:rPr>
          <w:spacing w:val="-1"/>
        </w:rPr>
        <w:t> </w:t>
      </w:r>
      <w:r>
        <w:rPr/>
        <w:t>agree?</w:t>
      </w:r>
    </w:p>
    <w:p>
      <w:pPr>
        <w:pStyle w:val="Heading2"/>
        <w:spacing w:before="239"/>
      </w:pPr>
      <w:r>
        <w:rPr/>
        <w:t>Dosage of laetrile for cancer treatment</w:t>
      </w:r>
    </w:p>
    <w:p>
      <w:pPr>
        <w:pStyle w:val="BodyText"/>
        <w:spacing w:line="276" w:lineRule="auto" w:before="305"/>
        <w:ind w:left="477" w:right="138"/>
        <w:jc w:val="both"/>
      </w:pPr>
      <w:r>
        <w:rPr/>
        <w:t>In the case of cancer, the usual dose would be about 6 g of laetrile injected intravenously,</w:t>
      </w:r>
      <w:r>
        <w:rPr>
          <w:spacing w:val="-22"/>
        </w:rPr>
        <w:t> </w:t>
      </w:r>
      <w:r>
        <w:rPr/>
        <w:t>usually</w:t>
      </w:r>
      <w:r>
        <w:rPr>
          <w:spacing w:val="-21"/>
        </w:rPr>
        <w:t> </w:t>
      </w:r>
      <w:r>
        <w:rPr/>
        <w:t>over</w:t>
      </w:r>
      <w:r>
        <w:rPr>
          <w:spacing w:val="-20"/>
        </w:rPr>
        <w:t> </w:t>
      </w:r>
      <w:r>
        <w:rPr/>
        <w:t>a</w:t>
      </w:r>
      <w:r>
        <w:rPr>
          <w:spacing w:val="-22"/>
        </w:rPr>
        <w:t> </w:t>
      </w:r>
      <w:r>
        <w:rPr/>
        <w:t>period</w:t>
      </w:r>
      <w:r>
        <w:rPr>
          <w:spacing w:val="-21"/>
        </w:rPr>
        <w:t> </w:t>
      </w:r>
      <w:r>
        <w:rPr/>
        <w:t>of</w:t>
      </w:r>
      <w:r>
        <w:rPr>
          <w:spacing w:val="-21"/>
        </w:rPr>
        <w:t> </w:t>
      </w:r>
      <w:r>
        <w:rPr/>
        <w:t>three</w:t>
      </w:r>
      <w:r>
        <w:rPr>
          <w:spacing w:val="-22"/>
        </w:rPr>
        <w:t> </w:t>
      </w:r>
      <w:r>
        <w:rPr/>
        <w:t>weeks.</w:t>
      </w:r>
      <w:r>
        <w:rPr>
          <w:spacing w:val="-20"/>
        </w:rPr>
        <w:t> </w:t>
      </w:r>
      <w:r>
        <w:rPr/>
        <w:t>Of</w:t>
      </w:r>
      <w:r>
        <w:rPr>
          <w:spacing w:val="-23"/>
        </w:rPr>
        <w:t> </w:t>
      </w:r>
      <w:r>
        <w:rPr/>
        <w:t>course,</w:t>
      </w:r>
      <w:r>
        <w:rPr>
          <w:spacing w:val="-20"/>
        </w:rPr>
        <w:t> </w:t>
      </w:r>
      <w:r>
        <w:rPr/>
        <w:t>you</w:t>
      </w:r>
      <w:r>
        <w:rPr>
          <w:spacing w:val="-25"/>
        </w:rPr>
        <w:t> </w:t>
      </w:r>
      <w:r>
        <w:rPr/>
        <w:t>should</w:t>
      </w:r>
      <w:r>
        <w:rPr>
          <w:spacing w:val="-22"/>
        </w:rPr>
        <w:t> </w:t>
      </w:r>
      <w:r>
        <w:rPr/>
        <w:t>never attempt such intensive therapy alone, but always in the context of holistic met- abolic therapy, guided and supervised by a physician experienced in this</w:t>
      </w:r>
      <w:r>
        <w:rPr>
          <w:spacing w:val="-20"/>
        </w:rPr>
        <w:t> </w:t>
      </w:r>
      <w:r>
        <w:rPr/>
        <w:t>field!</w:t>
      </w:r>
    </w:p>
    <w:p>
      <w:pPr>
        <w:pStyle w:val="BodyText"/>
        <w:spacing w:line="276" w:lineRule="auto" w:before="241"/>
        <w:ind w:left="477" w:right="135"/>
        <w:jc w:val="both"/>
      </w:pPr>
      <w:r>
        <w:rPr/>
        <w:t>This is because, according to laetrile experts, the mass death of cancer cells causes</w:t>
      </w:r>
      <w:r>
        <w:rPr>
          <w:spacing w:val="-13"/>
        </w:rPr>
        <w:t> </w:t>
      </w:r>
      <w:r>
        <w:rPr/>
        <w:t>toxins</w:t>
      </w:r>
      <w:r>
        <w:rPr>
          <w:spacing w:val="-12"/>
        </w:rPr>
        <w:t> </w:t>
      </w:r>
      <w:r>
        <w:rPr/>
        <w:t>and</w:t>
      </w:r>
      <w:r>
        <w:rPr>
          <w:spacing w:val="-14"/>
        </w:rPr>
        <w:t> </w:t>
      </w:r>
      <w:r>
        <w:rPr/>
        <w:t>their</w:t>
      </w:r>
      <w:r>
        <w:rPr>
          <w:spacing w:val="-12"/>
        </w:rPr>
        <w:t> </w:t>
      </w:r>
      <w:r>
        <w:rPr/>
        <w:t>excretion</w:t>
      </w:r>
      <w:r>
        <w:rPr>
          <w:spacing w:val="-12"/>
        </w:rPr>
        <w:t> </w:t>
      </w:r>
      <w:r>
        <w:rPr/>
        <w:t>from</w:t>
      </w:r>
      <w:r>
        <w:rPr>
          <w:spacing w:val="-13"/>
        </w:rPr>
        <w:t> </w:t>
      </w:r>
      <w:r>
        <w:rPr/>
        <w:t>the</w:t>
      </w:r>
      <w:r>
        <w:rPr>
          <w:spacing w:val="-13"/>
        </w:rPr>
        <w:t> </w:t>
      </w:r>
      <w:r>
        <w:rPr/>
        <w:t>body</w:t>
      </w:r>
      <w:r>
        <w:rPr>
          <w:spacing w:val="-13"/>
        </w:rPr>
        <w:t> </w:t>
      </w:r>
      <w:r>
        <w:rPr/>
        <w:t>could</w:t>
      </w:r>
      <w:r>
        <w:rPr>
          <w:spacing w:val="-13"/>
        </w:rPr>
        <w:t> </w:t>
      </w:r>
      <w:r>
        <w:rPr/>
        <w:t>lead</w:t>
      </w:r>
      <w:r>
        <w:rPr>
          <w:spacing w:val="-13"/>
        </w:rPr>
        <w:t> </w:t>
      </w:r>
      <w:r>
        <w:rPr/>
        <w:t>to</w:t>
      </w:r>
      <w:r>
        <w:rPr>
          <w:spacing w:val="-13"/>
        </w:rPr>
        <w:t> </w:t>
      </w:r>
      <w:r>
        <w:rPr/>
        <w:t>poisoning;</w:t>
      </w:r>
      <w:r>
        <w:rPr>
          <w:spacing w:val="-13"/>
        </w:rPr>
        <w:t> </w:t>
      </w:r>
      <w:r>
        <w:rPr/>
        <w:t>laetrile is</w:t>
      </w:r>
      <w:r>
        <w:rPr>
          <w:spacing w:val="-26"/>
        </w:rPr>
        <w:t> </w:t>
      </w:r>
      <w:r>
        <w:rPr/>
        <w:t>therefore</w:t>
      </w:r>
      <w:r>
        <w:rPr>
          <w:spacing w:val="-25"/>
        </w:rPr>
        <w:t> </w:t>
      </w:r>
      <w:r>
        <w:rPr/>
        <w:t>administered</w:t>
      </w:r>
      <w:r>
        <w:rPr>
          <w:spacing w:val="-24"/>
        </w:rPr>
        <w:t> </w:t>
      </w:r>
      <w:r>
        <w:rPr/>
        <w:t>in</w:t>
      </w:r>
      <w:r>
        <w:rPr>
          <w:spacing w:val="-25"/>
        </w:rPr>
        <w:t> </w:t>
      </w:r>
      <w:r>
        <w:rPr/>
        <w:t>conjunction</w:t>
      </w:r>
      <w:r>
        <w:rPr>
          <w:spacing w:val="-23"/>
        </w:rPr>
        <w:t> </w:t>
      </w:r>
      <w:r>
        <w:rPr/>
        <w:t>with</w:t>
      </w:r>
      <w:r>
        <w:rPr>
          <w:spacing w:val="-24"/>
        </w:rPr>
        <w:t> </w:t>
      </w:r>
      <w:r>
        <w:rPr/>
        <w:t>several</w:t>
      </w:r>
      <w:r>
        <w:rPr>
          <w:spacing w:val="-26"/>
        </w:rPr>
        <w:t> </w:t>
      </w:r>
      <w:r>
        <w:rPr/>
        <w:t>other</w:t>
      </w:r>
      <w:r>
        <w:rPr>
          <w:spacing w:val="-25"/>
        </w:rPr>
        <w:t> </w:t>
      </w:r>
      <w:r>
        <w:rPr/>
        <w:t>drugs,</w:t>
      </w:r>
      <w:r>
        <w:rPr>
          <w:spacing w:val="-24"/>
        </w:rPr>
        <w:t> </w:t>
      </w:r>
      <w:r>
        <w:rPr/>
        <w:t>including</w:t>
      </w:r>
      <w:r>
        <w:rPr>
          <w:spacing w:val="-25"/>
        </w:rPr>
        <w:t> </w:t>
      </w:r>
      <w:r>
        <w:rPr/>
        <w:t>high intravenous doses of vitamin</w:t>
      </w:r>
      <w:r>
        <w:rPr>
          <w:spacing w:val="3"/>
        </w:rPr>
        <w:t> </w:t>
      </w:r>
      <w:r>
        <w:rPr/>
        <w:t>C.</w:t>
      </w:r>
    </w:p>
    <w:p>
      <w:pPr>
        <w:spacing w:after="0" w:line="276" w:lineRule="auto"/>
        <w:jc w:val="both"/>
        <w:sectPr>
          <w:pgSz w:w="14270" w:h="16850"/>
          <w:pgMar w:header="0" w:footer="1891" w:top="1600" w:bottom="2080" w:left="800" w:right="1280"/>
        </w:sectPr>
      </w:pPr>
    </w:p>
    <w:p>
      <w:pPr>
        <w:pStyle w:val="Heading2"/>
        <w:spacing w:before="181"/>
      </w:pPr>
      <w:r>
        <w:rPr/>
        <w:t>Dosage of laetrile for the control of metastases</w:t>
      </w:r>
    </w:p>
    <w:p>
      <w:pPr>
        <w:pStyle w:val="BodyText"/>
        <w:spacing w:line="276" w:lineRule="auto" w:before="305"/>
        <w:ind w:left="477" w:right="136"/>
        <w:jc w:val="both"/>
      </w:pPr>
      <w:r>
        <w:rPr/>
        <w:t>For the purpose of metastasis control, laetrile can also be taken orally. Recom- mended doses are usually up to 3 g per day.</w:t>
      </w:r>
    </w:p>
    <w:p>
      <w:pPr>
        <w:pStyle w:val="Heading2"/>
        <w:spacing w:before="241"/>
      </w:pPr>
      <w:r>
        <w:rPr/>
        <w:t>What are the side effects of laetrile?</w:t>
      </w:r>
    </w:p>
    <w:p>
      <w:pPr>
        <w:pStyle w:val="BodyText"/>
        <w:spacing w:line="276" w:lineRule="auto" w:before="304"/>
        <w:ind w:left="477" w:right="137"/>
        <w:jc w:val="both"/>
      </w:pPr>
      <w:r>
        <w:rPr/>
        <w:t>For legal reasons, we hereby expressly distance ourselves personally from the following statements and only provide the opinion and suggestions of others for illustrative purposes only! In a shocking experiment on himself, the</w:t>
      </w:r>
      <w:r>
        <w:rPr>
          <w:spacing w:val="-30"/>
        </w:rPr>
        <w:t> </w:t>
      </w:r>
      <w:r>
        <w:rPr/>
        <w:t>discov- erer</w:t>
      </w:r>
      <w:r>
        <w:rPr>
          <w:spacing w:val="-22"/>
        </w:rPr>
        <w:t> </w:t>
      </w:r>
      <w:r>
        <w:rPr/>
        <w:t>of</w:t>
      </w:r>
      <w:r>
        <w:rPr>
          <w:spacing w:val="-22"/>
        </w:rPr>
        <w:t> </w:t>
      </w:r>
      <w:r>
        <w:rPr/>
        <w:t>laetrile,</w:t>
      </w:r>
      <w:r>
        <w:rPr>
          <w:spacing w:val="-22"/>
        </w:rPr>
        <w:t> </w:t>
      </w:r>
      <w:r>
        <w:rPr/>
        <w:t>Dr.</w:t>
      </w:r>
      <w:r>
        <w:rPr>
          <w:spacing w:val="-21"/>
        </w:rPr>
        <w:t> </w:t>
      </w:r>
      <w:r>
        <w:rPr/>
        <w:t>Ernst</w:t>
      </w:r>
      <w:r>
        <w:rPr>
          <w:spacing w:val="-23"/>
        </w:rPr>
        <w:t> </w:t>
      </w:r>
      <w:r>
        <w:rPr/>
        <w:t>Krebs</w:t>
      </w:r>
      <w:r>
        <w:rPr>
          <w:spacing w:val="-21"/>
        </w:rPr>
        <w:t> </w:t>
      </w:r>
      <w:r>
        <w:rPr/>
        <w:t>,</w:t>
      </w:r>
      <w:r>
        <w:rPr>
          <w:spacing w:val="-22"/>
        </w:rPr>
        <w:t> </w:t>
      </w:r>
      <w:r>
        <w:rPr/>
        <w:t>shown</w:t>
      </w:r>
      <w:r>
        <w:rPr>
          <w:spacing w:val="-23"/>
        </w:rPr>
        <w:t> </w:t>
      </w:r>
      <w:r>
        <w:rPr/>
        <w:t>that</w:t>
      </w:r>
      <w:r>
        <w:rPr>
          <w:spacing w:val="-23"/>
        </w:rPr>
        <w:t> </w:t>
      </w:r>
      <w:r>
        <w:rPr/>
        <w:t>laetrile</w:t>
      </w:r>
      <w:r>
        <w:rPr>
          <w:spacing w:val="-22"/>
        </w:rPr>
        <w:t> </w:t>
      </w:r>
      <w:r>
        <w:rPr/>
        <w:t>is</w:t>
      </w:r>
      <w:r>
        <w:rPr>
          <w:spacing w:val="-23"/>
        </w:rPr>
        <w:t> </w:t>
      </w:r>
      <w:r>
        <w:rPr/>
        <w:t>generally</w:t>
      </w:r>
      <w:r>
        <w:rPr>
          <w:spacing w:val="-22"/>
        </w:rPr>
        <w:t> </w:t>
      </w:r>
      <w:r>
        <w:rPr/>
        <w:t>safe.</w:t>
      </w:r>
      <w:r>
        <w:rPr>
          <w:spacing w:val="-22"/>
        </w:rPr>
        <w:t> </w:t>
      </w:r>
      <w:r>
        <w:rPr/>
        <w:t>He</w:t>
      </w:r>
      <w:r>
        <w:rPr>
          <w:spacing w:val="-23"/>
        </w:rPr>
        <w:t> </w:t>
      </w:r>
      <w:r>
        <w:rPr/>
        <w:t>injected a mega dose of concentrated laetrile into his own arm, completely free from side effects!</w:t>
      </w:r>
    </w:p>
    <w:p>
      <w:pPr>
        <w:pStyle w:val="BodyText"/>
        <w:spacing w:line="276" w:lineRule="auto" w:before="241"/>
        <w:ind w:left="477" w:right="132"/>
        <w:jc w:val="both"/>
      </w:pPr>
      <w:r>
        <w:rPr/>
        <w:t>However, there have been some reports of people who have had difficulty breathing or muscle weakness as a side effect; these reports cover people who have undergone self-treatment with excessively high doses. Also, from time to time, side effects such as dizziness, nausea, vomiting, diarrhoea, and</w:t>
      </w:r>
      <w:r>
        <w:rPr>
          <w:spacing w:val="-49"/>
        </w:rPr>
        <w:t> </w:t>
      </w:r>
      <w:r>
        <w:rPr/>
        <w:t>fever have been</w:t>
      </w:r>
      <w:r>
        <w:rPr>
          <w:spacing w:val="-10"/>
        </w:rPr>
        <w:t> </w:t>
      </w:r>
      <w:r>
        <w:rPr/>
        <w:t>reported.</w:t>
      </w:r>
      <w:r>
        <w:rPr>
          <w:spacing w:val="-6"/>
        </w:rPr>
        <w:t> </w:t>
      </w:r>
      <w:r>
        <w:rPr/>
        <w:t>It</w:t>
      </w:r>
      <w:r>
        <w:rPr>
          <w:spacing w:val="-10"/>
        </w:rPr>
        <w:t> </w:t>
      </w:r>
      <w:r>
        <w:rPr/>
        <w:t>is</w:t>
      </w:r>
      <w:r>
        <w:rPr>
          <w:spacing w:val="-9"/>
        </w:rPr>
        <w:t> </w:t>
      </w:r>
      <w:r>
        <w:rPr/>
        <w:t>believed</w:t>
      </w:r>
      <w:r>
        <w:rPr>
          <w:spacing w:val="-10"/>
        </w:rPr>
        <w:t> </w:t>
      </w:r>
      <w:r>
        <w:rPr/>
        <w:t>that</w:t>
      </w:r>
      <w:r>
        <w:rPr>
          <w:spacing w:val="-9"/>
        </w:rPr>
        <w:t> </w:t>
      </w:r>
      <w:r>
        <w:rPr/>
        <w:t>these</w:t>
      </w:r>
      <w:r>
        <w:rPr>
          <w:spacing w:val="-9"/>
        </w:rPr>
        <w:t> </w:t>
      </w:r>
      <w:r>
        <w:rPr/>
        <w:t>symptoms</w:t>
      </w:r>
      <w:r>
        <w:rPr>
          <w:spacing w:val="-11"/>
        </w:rPr>
        <w:t> </w:t>
      </w:r>
      <w:r>
        <w:rPr/>
        <w:t>are</w:t>
      </w:r>
      <w:r>
        <w:rPr>
          <w:spacing w:val="-9"/>
        </w:rPr>
        <w:t> </w:t>
      </w:r>
      <w:r>
        <w:rPr/>
        <w:t>due</w:t>
      </w:r>
      <w:r>
        <w:rPr>
          <w:spacing w:val="-11"/>
        </w:rPr>
        <w:t> </w:t>
      </w:r>
      <w:r>
        <w:rPr/>
        <w:t>to</w:t>
      </w:r>
      <w:r>
        <w:rPr>
          <w:spacing w:val="-9"/>
        </w:rPr>
        <w:t> </w:t>
      </w:r>
      <w:r>
        <w:rPr/>
        <w:t>the</w:t>
      </w:r>
      <w:r>
        <w:rPr>
          <w:spacing w:val="-8"/>
        </w:rPr>
        <w:t> </w:t>
      </w:r>
      <w:r>
        <w:rPr/>
        <w:t>toxins</w:t>
      </w:r>
      <w:r>
        <w:rPr>
          <w:spacing w:val="-10"/>
        </w:rPr>
        <w:t> </w:t>
      </w:r>
      <w:r>
        <w:rPr/>
        <w:t>of</w:t>
      </w:r>
      <w:r>
        <w:rPr>
          <w:spacing w:val="-9"/>
        </w:rPr>
        <w:t> </w:t>
      </w:r>
      <w:r>
        <w:rPr/>
        <w:t>dying cancer cells already described. Despite the greatest effort, however, we were unable to investigate reports of deaths as a clear side effect of laetrile medical treatment, and this after approximately 60 years of therapeutic use on millions of patients!</w:t>
      </w:r>
    </w:p>
    <w:p>
      <w:pPr>
        <w:spacing w:after="0" w:line="276" w:lineRule="auto"/>
        <w:jc w:val="both"/>
        <w:sectPr>
          <w:pgSz w:w="14270" w:h="16850"/>
          <w:pgMar w:header="0" w:footer="1891" w:top="1600" w:bottom="2080" w:left="800" w:right="1280"/>
        </w:sectPr>
      </w:pPr>
    </w:p>
    <w:p>
      <w:pPr>
        <w:pStyle w:val="Heading2"/>
        <w:spacing w:before="181"/>
      </w:pPr>
      <w:r>
        <w:rPr/>
        <w:t>Is laetrile, amygdalin, vitamin B17 toxic?</w:t>
      </w:r>
    </w:p>
    <w:p>
      <w:pPr>
        <w:pStyle w:val="BodyText"/>
        <w:spacing w:line="276" w:lineRule="auto" w:before="305"/>
        <w:ind w:left="477" w:right="134"/>
        <w:jc w:val="both"/>
      </w:pPr>
      <w:r>
        <w:rPr/>
        <w:t>The so-called </w:t>
      </w:r>
      <w:r>
        <w:rPr>
          <w:i/>
        </w:rPr>
        <w:t>LD50 dose </w:t>
      </w:r>
      <w:r>
        <w:rPr/>
        <w:t>is a recognised benchmark for determining a toxicity value in foods. It is the dose that causes death in 50 % of animals. In the case of orally administered laetrile (vitamin B17), a value between 600 mg/kg and 800 mg/kg body weight was determined in rats.</w:t>
      </w:r>
    </w:p>
    <w:p>
      <w:pPr>
        <w:pStyle w:val="Heading2"/>
        <w:spacing w:before="239"/>
      </w:pPr>
      <w:r>
        <w:rPr/>
        <w:t>Laetrile/amygdalin three times as toxic as glucose?</w:t>
      </w:r>
    </w:p>
    <w:p>
      <w:pPr>
        <w:pStyle w:val="BodyText"/>
        <w:spacing w:line="276" w:lineRule="auto" w:before="305"/>
        <w:ind w:left="477" w:right="131"/>
        <w:jc w:val="both"/>
      </w:pPr>
      <w:r>
        <w:rPr/>
        <w:t>This corresponds to 7500-11000 mg of bitter apricot kernels per kg of body weight,</w:t>
      </w:r>
      <w:r>
        <w:rPr>
          <w:spacing w:val="-9"/>
        </w:rPr>
        <w:t> </w:t>
      </w:r>
      <w:r>
        <w:rPr/>
        <w:t>assuming</w:t>
      </w:r>
      <w:r>
        <w:rPr>
          <w:spacing w:val="-11"/>
        </w:rPr>
        <w:t> </w:t>
      </w:r>
      <w:r>
        <w:rPr/>
        <w:t>an</w:t>
      </w:r>
      <w:r>
        <w:rPr>
          <w:spacing w:val="-10"/>
        </w:rPr>
        <w:t> </w:t>
      </w:r>
      <w:r>
        <w:rPr/>
        <w:t>amygdalin</w:t>
      </w:r>
      <w:r>
        <w:rPr>
          <w:spacing w:val="-11"/>
        </w:rPr>
        <w:t> </w:t>
      </w:r>
      <w:r>
        <w:rPr/>
        <w:t>content</w:t>
      </w:r>
      <w:r>
        <w:rPr>
          <w:spacing w:val="-12"/>
        </w:rPr>
        <w:t> </w:t>
      </w:r>
      <w:r>
        <w:rPr/>
        <w:t>of</w:t>
      </w:r>
      <w:r>
        <w:rPr>
          <w:spacing w:val="-8"/>
        </w:rPr>
        <w:t> </w:t>
      </w:r>
      <w:r>
        <w:rPr/>
        <w:t>8</w:t>
      </w:r>
      <w:r>
        <w:rPr>
          <w:spacing w:val="-12"/>
        </w:rPr>
        <w:t> </w:t>
      </w:r>
      <w:r>
        <w:rPr/>
        <w:t>%,</w:t>
      </w:r>
      <w:r>
        <w:rPr>
          <w:position w:val="9"/>
          <w:sz w:val="25"/>
        </w:rPr>
        <w:t>449</w:t>
      </w:r>
      <w:r>
        <w:rPr>
          <w:spacing w:val="30"/>
          <w:position w:val="9"/>
          <w:sz w:val="25"/>
        </w:rPr>
        <w:t> </w:t>
      </w:r>
      <w:r>
        <w:rPr/>
        <w:t>which</w:t>
      </w:r>
      <w:r>
        <w:rPr>
          <w:spacing w:val="-11"/>
        </w:rPr>
        <w:t> </w:t>
      </w:r>
      <w:r>
        <w:rPr/>
        <w:t>is</w:t>
      </w:r>
      <w:r>
        <w:rPr>
          <w:spacing w:val="-10"/>
        </w:rPr>
        <w:t> </w:t>
      </w:r>
      <w:r>
        <w:rPr/>
        <w:t>ranked</w:t>
      </w:r>
      <w:r>
        <w:rPr>
          <w:spacing w:val="-12"/>
        </w:rPr>
        <w:t> </w:t>
      </w:r>
      <w:r>
        <w:rPr/>
        <w:t>between</w:t>
      </w:r>
      <w:r>
        <w:rPr>
          <w:spacing w:val="-11"/>
        </w:rPr>
        <w:t> </w:t>
      </w:r>
      <w:r>
        <w:rPr/>
        <w:t>glu- cose and saline. The LD50 value of saline is 3000 mg per kg, which is 3 times as</w:t>
      </w:r>
      <w:r>
        <w:rPr>
          <w:spacing w:val="-13"/>
        </w:rPr>
        <w:t> </w:t>
      </w:r>
      <w:r>
        <w:rPr/>
        <w:t>‘dangerous’</w:t>
      </w:r>
      <w:r>
        <w:rPr>
          <w:spacing w:val="-12"/>
        </w:rPr>
        <w:t> </w:t>
      </w:r>
      <w:r>
        <w:rPr/>
        <w:t>as</w:t>
      </w:r>
      <w:r>
        <w:rPr>
          <w:spacing w:val="-13"/>
        </w:rPr>
        <w:t> </w:t>
      </w:r>
      <w:r>
        <w:rPr/>
        <w:t>laetrile,</w:t>
      </w:r>
      <w:r>
        <w:rPr>
          <w:spacing w:val="-12"/>
        </w:rPr>
        <w:t> </w:t>
      </w:r>
      <w:r>
        <w:rPr/>
        <w:t>while</w:t>
      </w:r>
      <w:r>
        <w:rPr>
          <w:spacing w:val="-13"/>
        </w:rPr>
        <w:t> </w:t>
      </w:r>
      <w:r>
        <w:rPr/>
        <w:t>glucose</w:t>
      </w:r>
      <w:r>
        <w:rPr>
          <w:spacing w:val="-12"/>
        </w:rPr>
        <w:t> </w:t>
      </w:r>
      <w:r>
        <w:rPr/>
        <w:t>is</w:t>
      </w:r>
      <w:r>
        <w:rPr>
          <w:spacing w:val="-13"/>
        </w:rPr>
        <w:t> </w:t>
      </w:r>
      <w:r>
        <w:rPr/>
        <w:t>25800</w:t>
      </w:r>
      <w:r>
        <w:rPr>
          <w:spacing w:val="-12"/>
        </w:rPr>
        <w:t> </w:t>
      </w:r>
      <w:r>
        <w:rPr/>
        <w:t>mg/kg</w:t>
      </w:r>
      <w:r>
        <w:rPr>
          <w:position w:val="9"/>
          <w:sz w:val="25"/>
        </w:rPr>
        <w:t>450</w:t>
      </w:r>
      <w:r>
        <w:rPr/>
        <w:t>,</w:t>
      </w:r>
      <w:r>
        <w:rPr>
          <w:spacing w:val="-12"/>
        </w:rPr>
        <w:t> </w:t>
      </w:r>
      <w:r>
        <w:rPr/>
        <w:t>which</w:t>
      </w:r>
      <w:r>
        <w:rPr>
          <w:spacing w:val="-11"/>
        </w:rPr>
        <w:t> </w:t>
      </w:r>
      <w:r>
        <w:rPr/>
        <w:t>makes</w:t>
      </w:r>
      <w:r>
        <w:rPr>
          <w:spacing w:val="-13"/>
        </w:rPr>
        <w:t> </w:t>
      </w:r>
      <w:r>
        <w:rPr/>
        <w:t>glucose one-third less ‘dangerous’ than</w:t>
      </w:r>
      <w:r>
        <w:rPr>
          <w:spacing w:val="3"/>
        </w:rPr>
        <w:t> </w:t>
      </w:r>
      <w:r>
        <w:rPr/>
        <w:t>laetrile!</w:t>
      </w:r>
    </w:p>
    <w:p>
      <w:pPr>
        <w:pStyle w:val="BodyText"/>
        <w:spacing w:line="276" w:lineRule="auto" w:before="240"/>
        <w:ind w:left="477" w:right="132"/>
        <w:jc w:val="both"/>
      </w:pPr>
      <w:r>
        <w:rPr/>
        <w:t>In principle, far higher doses can be tolerated if administered intravenously, as confirmed by a study on mice commissioned by Dr. Ernesto Contrearas. This resulted in a value of 6670 mg/kg</w:t>
      </w:r>
      <w:r>
        <w:rPr>
          <w:position w:val="9"/>
          <w:sz w:val="25"/>
        </w:rPr>
        <w:t>451</w:t>
      </w:r>
      <w:r>
        <w:rPr/>
        <w:t>, while, for example, the chemotherapeutic agent ‘cisplatin’ in mice has a value of 13 mg/kg</w:t>
      </w:r>
      <w:r>
        <w:rPr>
          <w:position w:val="9"/>
          <w:sz w:val="25"/>
        </w:rPr>
        <w:t>452 </w:t>
      </w:r>
      <w:r>
        <w:rPr/>
        <w:t>body weight!</w:t>
      </w:r>
    </w:p>
    <w:p>
      <w:pPr>
        <w:pStyle w:val="Heading2"/>
        <w:spacing w:before="241"/>
      </w:pPr>
      <w:r>
        <w:rPr/>
        <w:t>CONCLUSION:</w:t>
      </w:r>
    </w:p>
    <w:p>
      <w:pPr>
        <w:pStyle w:val="BodyText"/>
        <w:spacing w:line="276" w:lineRule="auto" w:before="305"/>
        <w:ind w:left="477" w:right="133"/>
        <w:jc w:val="both"/>
      </w:pPr>
      <w:r>
        <w:rPr/>
        <w:t>Laetrile, amygdalin, vitamin B17 is therefore administered intravenously (in mice)</w:t>
      </w:r>
      <w:r>
        <w:rPr>
          <w:spacing w:val="-17"/>
        </w:rPr>
        <w:t> </w:t>
      </w:r>
      <w:r>
        <w:rPr/>
        <w:t>more</w:t>
      </w:r>
      <w:r>
        <w:rPr>
          <w:spacing w:val="-15"/>
        </w:rPr>
        <w:t> </w:t>
      </w:r>
      <w:r>
        <w:rPr/>
        <w:t>than</w:t>
      </w:r>
      <w:r>
        <w:rPr>
          <w:spacing w:val="-16"/>
        </w:rPr>
        <w:t> </w:t>
      </w:r>
      <w:r>
        <w:rPr/>
        <w:t>500</w:t>
      </w:r>
      <w:r>
        <w:rPr>
          <w:spacing w:val="-17"/>
        </w:rPr>
        <w:t> </w:t>
      </w:r>
      <w:r>
        <w:rPr/>
        <w:t>times</w:t>
      </w:r>
      <w:r>
        <w:rPr>
          <w:spacing w:val="-16"/>
        </w:rPr>
        <w:t> </w:t>
      </w:r>
      <w:r>
        <w:rPr/>
        <w:t>safer</w:t>
      </w:r>
      <w:r>
        <w:rPr>
          <w:spacing w:val="-15"/>
        </w:rPr>
        <w:t> </w:t>
      </w:r>
      <w:r>
        <w:rPr/>
        <w:t>than</w:t>
      </w:r>
      <w:r>
        <w:rPr>
          <w:spacing w:val="-15"/>
        </w:rPr>
        <w:t> </w:t>
      </w:r>
      <w:r>
        <w:rPr/>
        <w:t>the</w:t>
      </w:r>
      <w:r>
        <w:rPr>
          <w:spacing w:val="-15"/>
        </w:rPr>
        <w:t> </w:t>
      </w:r>
      <w:r>
        <w:rPr/>
        <w:t>chemotherapy</w:t>
      </w:r>
      <w:r>
        <w:rPr>
          <w:spacing w:val="-15"/>
        </w:rPr>
        <w:t> </w:t>
      </w:r>
      <w:r>
        <w:rPr/>
        <w:t>drug</w:t>
      </w:r>
      <w:r>
        <w:rPr>
          <w:spacing w:val="-16"/>
        </w:rPr>
        <w:t> </w:t>
      </w:r>
      <w:r>
        <w:rPr>
          <w:i/>
        </w:rPr>
        <w:t>cisplatin</w:t>
      </w:r>
      <w:r>
        <w:rPr>
          <w:i/>
          <w:spacing w:val="-14"/>
        </w:rPr>
        <w:t> </w:t>
      </w:r>
      <w:r>
        <w:rPr/>
        <w:t>and,</w:t>
      </w:r>
      <w:r>
        <w:rPr>
          <w:spacing w:val="-16"/>
        </w:rPr>
        <w:t> </w:t>
      </w:r>
      <w:r>
        <w:rPr/>
        <w:t>taken orally, about 3 times as ‘dangerous’ as</w:t>
      </w:r>
      <w:r>
        <w:rPr>
          <w:spacing w:val="4"/>
        </w:rPr>
        <w:t> </w:t>
      </w:r>
      <w:r>
        <w:rPr/>
        <w:t>glucose!</w:t>
      </w:r>
    </w:p>
    <w:p>
      <w:pPr>
        <w:pStyle w:val="BodyText"/>
        <w:rPr>
          <w:sz w:val="20"/>
        </w:rPr>
      </w:pPr>
    </w:p>
    <w:p>
      <w:pPr>
        <w:pStyle w:val="BodyText"/>
        <w:spacing w:before="8"/>
        <w:rPr>
          <w:sz w:val="18"/>
        </w:rPr>
      </w:pPr>
      <w:r>
        <w:rPr/>
        <w:pict>
          <v:line style="position:absolute;mso-position-horizontal-relative:page;mso-position-vertical-relative:paragraph;z-index:5648;mso-wrap-distance-left:0;mso-wrap-distance-right:0" from="63.863998pt,12.905015pt" to="207.883998pt,12.905015pt" stroked="true" strokeweight=".71997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449 </w:t>
      </w:r>
      <w:hyperlink r:id="rId196">
        <w:r>
          <w:rPr>
            <w:sz w:val="20"/>
          </w:rPr>
          <w:t>http://www.giftpflanzen.com/prunoidae.html</w:t>
        </w:r>
      </w:hyperlink>
    </w:p>
    <w:p>
      <w:pPr>
        <w:spacing w:before="94"/>
        <w:ind w:left="477" w:right="0" w:firstLine="0"/>
        <w:jc w:val="left"/>
        <w:rPr>
          <w:sz w:val="20"/>
        </w:rPr>
      </w:pPr>
      <w:r>
        <w:rPr>
          <w:position w:val="5"/>
          <w:sz w:val="13"/>
        </w:rPr>
        <w:t>450 </w:t>
      </w:r>
      <w:hyperlink r:id="rId197">
        <w:r>
          <w:rPr>
            <w:sz w:val="20"/>
          </w:rPr>
          <w:t>http://avogadro.chem.iastate.edu/MSDS/dextrose.htm</w:t>
        </w:r>
      </w:hyperlink>
    </w:p>
    <w:p>
      <w:pPr>
        <w:spacing w:before="95"/>
        <w:ind w:left="477" w:right="0" w:firstLine="0"/>
        <w:jc w:val="left"/>
        <w:rPr>
          <w:sz w:val="20"/>
        </w:rPr>
      </w:pPr>
      <w:r>
        <w:rPr/>
        <w:drawing>
          <wp:anchor distT="0" distB="0" distL="0" distR="0" allowOverlap="1" layoutInCell="1" locked="0" behindDoc="1" simplePos="0" relativeHeight="267173447">
            <wp:simplePos x="0" y="0"/>
            <wp:positionH relativeFrom="page">
              <wp:posOffset>896463</wp:posOffset>
            </wp:positionH>
            <wp:positionV relativeFrom="paragraph">
              <wp:posOffset>142597</wp:posOffset>
            </wp:positionV>
            <wp:extent cx="6379583" cy="902106"/>
            <wp:effectExtent l="0" t="0" r="0" b="0"/>
            <wp:wrapNone/>
            <wp:docPr id="289" name="image2.jpeg" descr=""/>
            <wp:cNvGraphicFramePr>
              <a:graphicFrameLocks noChangeAspect="1"/>
            </wp:cNvGraphicFramePr>
            <a:graphic>
              <a:graphicData uri="http://schemas.openxmlformats.org/drawingml/2006/picture">
                <pic:pic>
                  <pic:nvPicPr>
                    <pic:cNvPr id="290"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451 </w:t>
      </w:r>
      <w:hyperlink r:id="rId198">
        <w:r>
          <w:rPr>
            <w:sz w:val="20"/>
          </w:rPr>
          <w:t>http://www.worldwithoutcancer.org.uk/analysis7.html</w:t>
        </w:r>
      </w:hyperlink>
    </w:p>
    <w:p>
      <w:pPr>
        <w:spacing w:before="94"/>
        <w:ind w:left="477" w:right="0" w:firstLine="0"/>
        <w:jc w:val="left"/>
        <w:rPr>
          <w:sz w:val="20"/>
        </w:rPr>
      </w:pPr>
      <w:r>
        <w:rPr>
          <w:position w:val="5"/>
          <w:sz w:val="13"/>
        </w:rPr>
        <w:t>452 </w:t>
      </w:r>
      <w:hyperlink r:id="rId199">
        <w:r>
          <w:rPr>
            <w:sz w:val="20"/>
          </w:rPr>
          <w:t>http://www.chemcases.com/cisplat/cisplat08.htm</w:t>
        </w:r>
      </w:hyperlink>
    </w:p>
    <w:p>
      <w:pPr>
        <w:spacing w:after="0"/>
        <w:jc w:val="left"/>
        <w:rPr>
          <w:sz w:val="20"/>
        </w:rPr>
        <w:sectPr>
          <w:footerReference w:type="default" r:id="rId195"/>
          <w:pgSz w:w="14270" w:h="16850"/>
          <w:pgMar w:footer="527" w:header="0" w:top="1600" w:bottom="720" w:left="800" w:right="1280"/>
          <w:pgNumType w:start="806"/>
        </w:sectPr>
      </w:pPr>
    </w:p>
    <w:p>
      <w:pPr>
        <w:pStyle w:val="Heading2"/>
        <w:spacing w:before="181"/>
      </w:pPr>
      <w:r>
        <w:rPr/>
        <w:t>Incompatibilities between laetrile and other drugs</w:t>
      </w:r>
    </w:p>
    <w:p>
      <w:pPr>
        <w:pStyle w:val="BodyText"/>
        <w:spacing w:line="276" w:lineRule="auto" w:before="305"/>
        <w:ind w:left="477"/>
      </w:pPr>
      <w:r>
        <w:rPr/>
        <w:t>Taking laetrile in combination with potent probiotics will increase the amount of hydrogen cyanide released, leading to unwanted side effects.</w:t>
      </w:r>
    </w:p>
    <w:p>
      <w:pPr>
        <w:pStyle w:val="BodyText"/>
        <w:rPr>
          <w:sz w:val="42"/>
        </w:rPr>
      </w:pPr>
    </w:p>
    <w:p>
      <w:pPr>
        <w:pStyle w:val="BodyText"/>
        <w:rPr>
          <w:sz w:val="42"/>
        </w:rPr>
      </w:pPr>
    </w:p>
    <w:p>
      <w:pPr>
        <w:spacing w:before="359"/>
        <w:ind w:left="477" w:right="0" w:firstLine="0"/>
        <w:jc w:val="left"/>
        <w:rPr>
          <w:i/>
          <w:sz w:val="38"/>
        </w:rPr>
      </w:pPr>
      <w:r>
        <w:rPr>
          <w:i/>
          <w:sz w:val="38"/>
        </w:rPr>
        <w:t>QUESTIONS AND ANSWERS</w:t>
      </w:r>
    </w:p>
    <w:p>
      <w:pPr>
        <w:pStyle w:val="Heading1"/>
        <w:spacing w:before="288"/>
      </w:pPr>
      <w:r>
        <w:rPr/>
        <w:t>What is vitamin B17 (laetrile,</w:t>
      </w:r>
      <w:r>
        <w:rPr>
          <w:spacing w:val="-57"/>
        </w:rPr>
        <w:t> </w:t>
      </w:r>
      <w:r>
        <w:rPr/>
        <w:t>amygdalin)?</w:t>
      </w:r>
    </w:p>
    <w:p>
      <w:pPr>
        <w:pStyle w:val="BodyText"/>
        <w:spacing w:line="276" w:lineRule="auto" w:before="297"/>
        <w:ind w:left="477" w:right="133"/>
        <w:jc w:val="both"/>
      </w:pPr>
      <w:r>
        <w:rPr/>
        <w:t>Vitamin</w:t>
      </w:r>
      <w:r>
        <w:rPr>
          <w:spacing w:val="-23"/>
        </w:rPr>
        <w:t> </w:t>
      </w:r>
      <w:r>
        <w:rPr/>
        <w:t>B17,</w:t>
      </w:r>
      <w:r>
        <w:rPr>
          <w:spacing w:val="-22"/>
        </w:rPr>
        <w:t> </w:t>
      </w:r>
      <w:r>
        <w:rPr/>
        <w:t>also</w:t>
      </w:r>
      <w:r>
        <w:rPr>
          <w:spacing w:val="-22"/>
        </w:rPr>
        <w:t> </w:t>
      </w:r>
      <w:r>
        <w:rPr/>
        <w:t>called</w:t>
      </w:r>
      <w:r>
        <w:rPr>
          <w:spacing w:val="-22"/>
        </w:rPr>
        <w:t> </w:t>
      </w:r>
      <w:r>
        <w:rPr/>
        <w:t>laetrile</w:t>
      </w:r>
      <w:r>
        <w:rPr>
          <w:spacing w:val="-22"/>
        </w:rPr>
        <w:t> </w:t>
      </w:r>
      <w:r>
        <w:rPr/>
        <w:t>or</w:t>
      </w:r>
      <w:r>
        <w:rPr>
          <w:spacing w:val="-21"/>
        </w:rPr>
        <w:t> </w:t>
      </w:r>
      <w:r>
        <w:rPr/>
        <w:t>amygdalin,</w:t>
      </w:r>
      <w:r>
        <w:rPr>
          <w:spacing w:val="-21"/>
        </w:rPr>
        <w:t> </w:t>
      </w:r>
      <w:r>
        <w:rPr/>
        <w:t>is</w:t>
      </w:r>
      <w:r>
        <w:rPr>
          <w:spacing w:val="-23"/>
        </w:rPr>
        <w:t> </w:t>
      </w:r>
      <w:r>
        <w:rPr/>
        <w:t>referred</w:t>
      </w:r>
      <w:r>
        <w:rPr>
          <w:spacing w:val="-22"/>
        </w:rPr>
        <w:t> </w:t>
      </w:r>
      <w:r>
        <w:rPr/>
        <w:t>to</w:t>
      </w:r>
      <w:r>
        <w:rPr>
          <w:spacing w:val="-21"/>
        </w:rPr>
        <w:t> </w:t>
      </w:r>
      <w:r>
        <w:rPr/>
        <w:t>by</w:t>
      </w:r>
      <w:r>
        <w:rPr>
          <w:spacing w:val="-22"/>
        </w:rPr>
        <w:t> </w:t>
      </w:r>
      <w:r>
        <w:rPr/>
        <w:t>alternative</w:t>
      </w:r>
      <w:r>
        <w:rPr>
          <w:spacing w:val="-23"/>
        </w:rPr>
        <w:t> </w:t>
      </w:r>
      <w:r>
        <w:rPr/>
        <w:t>cancer physicians</w:t>
      </w:r>
      <w:r>
        <w:rPr>
          <w:spacing w:val="-26"/>
        </w:rPr>
        <w:t> </w:t>
      </w:r>
      <w:r>
        <w:rPr/>
        <w:t>and</w:t>
      </w:r>
      <w:r>
        <w:rPr>
          <w:spacing w:val="-27"/>
        </w:rPr>
        <w:t> </w:t>
      </w:r>
      <w:r>
        <w:rPr/>
        <w:t>laetrile</w:t>
      </w:r>
      <w:r>
        <w:rPr>
          <w:spacing w:val="-28"/>
        </w:rPr>
        <w:t> </w:t>
      </w:r>
      <w:r>
        <w:rPr/>
        <w:t>researchers</w:t>
      </w:r>
      <w:r>
        <w:rPr>
          <w:spacing w:val="-29"/>
        </w:rPr>
        <w:t> </w:t>
      </w:r>
      <w:r>
        <w:rPr/>
        <w:t>as</w:t>
      </w:r>
      <w:r>
        <w:rPr>
          <w:spacing w:val="-27"/>
        </w:rPr>
        <w:t> </w:t>
      </w:r>
      <w:r>
        <w:rPr/>
        <w:t>a</w:t>
      </w:r>
      <w:r>
        <w:rPr>
          <w:spacing w:val="-24"/>
        </w:rPr>
        <w:t> </w:t>
      </w:r>
      <w:r>
        <w:rPr/>
        <w:t>‘natural</w:t>
      </w:r>
      <w:r>
        <w:rPr>
          <w:spacing w:val="-27"/>
        </w:rPr>
        <w:t> </w:t>
      </w:r>
      <w:r>
        <w:rPr/>
        <w:t>chemotherapeutic’</w:t>
      </w:r>
      <w:r>
        <w:rPr>
          <w:spacing w:val="-26"/>
        </w:rPr>
        <w:t> </w:t>
      </w:r>
      <w:r>
        <w:rPr/>
        <w:t>found</w:t>
      </w:r>
      <w:r>
        <w:rPr>
          <w:spacing w:val="-26"/>
        </w:rPr>
        <w:t> </w:t>
      </w:r>
      <w:r>
        <w:rPr/>
        <w:t>in</w:t>
      </w:r>
      <w:r>
        <w:rPr>
          <w:spacing w:val="-27"/>
        </w:rPr>
        <w:t> </w:t>
      </w:r>
      <w:r>
        <w:rPr/>
        <w:t>more than</w:t>
      </w:r>
      <w:r>
        <w:rPr>
          <w:spacing w:val="-16"/>
        </w:rPr>
        <w:t> </w:t>
      </w:r>
      <w:r>
        <w:rPr/>
        <w:t>1,200</w:t>
      </w:r>
      <w:r>
        <w:rPr>
          <w:spacing w:val="-17"/>
        </w:rPr>
        <w:t> </w:t>
      </w:r>
      <w:r>
        <w:rPr/>
        <w:t>plants.</w:t>
      </w:r>
      <w:r>
        <w:rPr>
          <w:spacing w:val="-15"/>
        </w:rPr>
        <w:t> </w:t>
      </w:r>
      <w:r>
        <w:rPr/>
        <w:t>Bitter</w:t>
      </w:r>
      <w:r>
        <w:rPr>
          <w:spacing w:val="-16"/>
        </w:rPr>
        <w:t> </w:t>
      </w:r>
      <w:r>
        <w:rPr/>
        <w:t>apricot</w:t>
      </w:r>
      <w:r>
        <w:rPr>
          <w:spacing w:val="-16"/>
        </w:rPr>
        <w:t> </w:t>
      </w:r>
      <w:r>
        <w:rPr/>
        <w:t>kernels,</w:t>
      </w:r>
      <w:r>
        <w:rPr>
          <w:spacing w:val="-16"/>
        </w:rPr>
        <w:t> </w:t>
      </w:r>
      <w:r>
        <w:rPr/>
        <w:t>however,</w:t>
      </w:r>
      <w:r>
        <w:rPr>
          <w:spacing w:val="-16"/>
        </w:rPr>
        <w:t> </w:t>
      </w:r>
      <w:r>
        <w:rPr/>
        <w:t>have</w:t>
      </w:r>
      <w:r>
        <w:rPr>
          <w:spacing w:val="-16"/>
        </w:rPr>
        <w:t> </w:t>
      </w:r>
      <w:r>
        <w:rPr/>
        <w:t>the</w:t>
      </w:r>
      <w:r>
        <w:rPr>
          <w:spacing w:val="-15"/>
        </w:rPr>
        <w:t> </w:t>
      </w:r>
      <w:r>
        <w:rPr/>
        <w:t>largest</w:t>
      </w:r>
      <w:r>
        <w:rPr>
          <w:spacing w:val="-18"/>
        </w:rPr>
        <w:t> </w:t>
      </w:r>
      <w:r>
        <w:rPr/>
        <w:t>deposits;</w:t>
      </w:r>
      <w:r>
        <w:rPr>
          <w:spacing w:val="-16"/>
        </w:rPr>
        <w:t> </w:t>
      </w:r>
      <w:r>
        <w:rPr/>
        <w:t>fur- thermore, laetrile can be found in apples, plums and</w:t>
      </w:r>
      <w:r>
        <w:rPr>
          <w:spacing w:val="-3"/>
        </w:rPr>
        <w:t> </w:t>
      </w:r>
      <w:r>
        <w:rPr/>
        <w:t>peaches.</w:t>
      </w:r>
    </w:p>
    <w:p>
      <w:pPr>
        <w:pStyle w:val="Heading1"/>
      </w:pPr>
      <w:r>
        <w:rPr/>
        <w:t>How does vitamin B17 (laetrile, amygdalin) work?</w:t>
      </w:r>
    </w:p>
    <w:p>
      <w:pPr>
        <w:pStyle w:val="BodyText"/>
        <w:spacing w:line="276" w:lineRule="auto" w:before="299"/>
        <w:ind w:left="477" w:right="129"/>
        <w:jc w:val="both"/>
      </w:pPr>
      <w:r>
        <w:rPr/>
        <w:t>According</w:t>
      </w:r>
      <w:r>
        <w:rPr>
          <w:spacing w:val="-11"/>
        </w:rPr>
        <w:t> </w:t>
      </w:r>
      <w:r>
        <w:rPr/>
        <w:t>to</w:t>
      </w:r>
      <w:r>
        <w:rPr>
          <w:spacing w:val="-11"/>
        </w:rPr>
        <w:t> </w:t>
      </w:r>
      <w:r>
        <w:rPr/>
        <w:t>its</w:t>
      </w:r>
      <w:r>
        <w:rPr>
          <w:spacing w:val="-14"/>
        </w:rPr>
        <w:t> </w:t>
      </w:r>
      <w:r>
        <w:rPr/>
        <w:t>discoverer</w:t>
      </w:r>
      <w:r>
        <w:rPr>
          <w:spacing w:val="-9"/>
        </w:rPr>
        <w:t> </w:t>
      </w:r>
      <w:r>
        <w:rPr/>
        <w:t>Dr.</w:t>
      </w:r>
      <w:r>
        <w:rPr>
          <w:spacing w:val="-13"/>
        </w:rPr>
        <w:t> </w:t>
      </w:r>
      <w:r>
        <w:rPr/>
        <w:t>Krebs,</w:t>
      </w:r>
      <w:r>
        <w:rPr>
          <w:spacing w:val="-10"/>
        </w:rPr>
        <w:t> </w:t>
      </w:r>
      <w:r>
        <w:rPr/>
        <w:t>it</w:t>
      </w:r>
      <w:r>
        <w:rPr>
          <w:spacing w:val="-13"/>
        </w:rPr>
        <w:t> </w:t>
      </w:r>
      <w:r>
        <w:rPr/>
        <w:t>acts</w:t>
      </w:r>
      <w:r>
        <w:rPr>
          <w:spacing w:val="-12"/>
        </w:rPr>
        <w:t> </w:t>
      </w:r>
      <w:r>
        <w:rPr/>
        <w:t>very</w:t>
      </w:r>
      <w:r>
        <w:rPr>
          <w:spacing w:val="-11"/>
        </w:rPr>
        <w:t> </w:t>
      </w:r>
      <w:r>
        <w:rPr/>
        <w:t>selectively</w:t>
      </w:r>
      <w:r>
        <w:rPr>
          <w:spacing w:val="-11"/>
        </w:rPr>
        <w:t> </w:t>
      </w:r>
      <w:r>
        <w:rPr/>
        <w:t>and</w:t>
      </w:r>
      <w:r>
        <w:rPr>
          <w:spacing w:val="-10"/>
        </w:rPr>
        <w:t> </w:t>
      </w:r>
      <w:r>
        <w:rPr/>
        <w:t>exclusively</w:t>
      </w:r>
      <w:r>
        <w:rPr>
          <w:spacing w:val="-12"/>
        </w:rPr>
        <w:t> </w:t>
      </w:r>
      <w:r>
        <w:rPr/>
        <w:t>on the cancer cells, releasing high concentrations of the toxic hydrogen cyanide molecule in these cells; at the same time, the healthy cell is protected by the enzyme</w:t>
      </w:r>
      <w:r>
        <w:rPr>
          <w:spacing w:val="-14"/>
        </w:rPr>
        <w:t> </w:t>
      </w:r>
      <w:r>
        <w:rPr>
          <w:i/>
        </w:rPr>
        <w:t>rhodanese</w:t>
      </w:r>
      <w:r>
        <w:rPr/>
        <w:t>,</w:t>
      </w:r>
      <w:r>
        <w:rPr>
          <w:spacing w:val="-13"/>
        </w:rPr>
        <w:t> </w:t>
      </w:r>
      <w:r>
        <w:rPr/>
        <w:t>whereby</w:t>
      </w:r>
      <w:r>
        <w:rPr>
          <w:spacing w:val="-14"/>
        </w:rPr>
        <w:t> </w:t>
      </w:r>
      <w:r>
        <w:rPr/>
        <w:t>the</w:t>
      </w:r>
      <w:r>
        <w:rPr>
          <w:spacing w:val="-13"/>
        </w:rPr>
        <w:t> </w:t>
      </w:r>
      <w:r>
        <w:rPr/>
        <w:t>incoming</w:t>
      </w:r>
      <w:r>
        <w:rPr>
          <w:spacing w:val="-13"/>
        </w:rPr>
        <w:t> </w:t>
      </w:r>
      <w:r>
        <w:rPr/>
        <w:t>poisons</w:t>
      </w:r>
      <w:r>
        <w:rPr>
          <w:spacing w:val="-16"/>
        </w:rPr>
        <w:t> </w:t>
      </w:r>
      <w:r>
        <w:rPr/>
        <w:t>are</w:t>
      </w:r>
      <w:r>
        <w:rPr>
          <w:spacing w:val="-14"/>
        </w:rPr>
        <w:t> </w:t>
      </w:r>
      <w:r>
        <w:rPr/>
        <w:t>instantly</w:t>
      </w:r>
      <w:r>
        <w:rPr>
          <w:spacing w:val="-14"/>
        </w:rPr>
        <w:t> </w:t>
      </w:r>
      <w:r>
        <w:rPr/>
        <w:t>neutralised</w:t>
      </w:r>
      <w:r>
        <w:rPr>
          <w:spacing w:val="-14"/>
        </w:rPr>
        <w:t> </w:t>
      </w:r>
      <w:r>
        <w:rPr/>
        <w:t>by</w:t>
      </w:r>
      <w:r>
        <w:rPr>
          <w:spacing w:val="-14"/>
        </w:rPr>
        <w:t> </w:t>
      </w:r>
      <w:r>
        <w:rPr/>
        <w:t>be- ing converted to the harmless enzyme </w:t>
      </w:r>
      <w:r>
        <w:rPr>
          <w:i/>
        </w:rPr>
        <w:t>rhodanide</w:t>
      </w:r>
      <w:r>
        <w:rPr/>
        <w:t>.</w:t>
      </w:r>
    </w:p>
    <w:p>
      <w:pPr>
        <w:pStyle w:val="Heading1"/>
        <w:spacing w:before="223"/>
        <w:jc w:val="both"/>
      </w:pPr>
      <w:r>
        <w:rPr/>
        <w:t>Can all apricot kernels be used, or just the bitter ones?</w:t>
      </w:r>
    </w:p>
    <w:p>
      <w:pPr>
        <w:spacing w:after="0"/>
        <w:jc w:val="both"/>
        <w:sectPr>
          <w:footerReference w:type="default" r:id="rId200"/>
          <w:pgSz w:w="14270" w:h="16850"/>
          <w:pgMar w:footer="1891" w:header="0" w:top="1600" w:bottom="2080" w:left="800" w:right="1280"/>
          <w:pgNumType w:start="807"/>
        </w:sectPr>
      </w:pPr>
    </w:p>
    <w:p>
      <w:pPr>
        <w:pStyle w:val="BodyText"/>
        <w:spacing w:line="276" w:lineRule="auto" w:before="181"/>
        <w:ind w:left="477" w:right="135"/>
        <w:jc w:val="both"/>
      </w:pPr>
      <w:r>
        <w:rPr/>
        <w:t>Only the bitter apricot kernels contain the active ingredient vitamin B17 (lae- trile, amygdalin) – all other apricot kernels contain little of it or none at all and are therefore ineffective!</w:t>
      </w:r>
    </w:p>
    <w:p>
      <w:pPr>
        <w:pStyle w:val="Heading1"/>
      </w:pPr>
      <w:r>
        <w:rPr/>
        <w:t>Does vitamin B17 have an analgesic</w:t>
      </w:r>
      <w:r>
        <w:rPr>
          <w:spacing w:val="-64"/>
        </w:rPr>
        <w:t> </w:t>
      </w:r>
      <w:r>
        <w:rPr/>
        <w:t>effect?</w:t>
      </w:r>
    </w:p>
    <w:p>
      <w:pPr>
        <w:pStyle w:val="BodyText"/>
        <w:spacing w:line="276" w:lineRule="auto" w:before="300"/>
        <w:ind w:left="477" w:right="141"/>
        <w:jc w:val="both"/>
      </w:pPr>
      <w:r>
        <w:rPr/>
        <w:t>The benzaldehyde molecule in laetrile is an effective, natural, analgesic that works against cancer pain.</w:t>
      </w:r>
    </w:p>
    <w:p>
      <w:pPr>
        <w:spacing w:after="0" w:line="276" w:lineRule="auto"/>
        <w:jc w:val="both"/>
        <w:sectPr>
          <w:pgSz w:w="14270" w:h="16850"/>
          <w:pgMar w:header="0" w:footer="1891" w:top="1600" w:bottom="2080" w:left="800" w:right="1280"/>
        </w:sectPr>
      </w:pPr>
    </w:p>
    <w:p>
      <w:pPr>
        <w:pStyle w:val="Heading1"/>
        <w:spacing w:before="164"/>
        <w:jc w:val="both"/>
      </w:pPr>
      <w:r>
        <w:rPr/>
        <w:t>Is vitamin B17 sufficient for cancer</w:t>
      </w:r>
      <w:r>
        <w:rPr>
          <w:spacing w:val="-66"/>
        </w:rPr>
        <w:t> </w:t>
      </w:r>
      <w:r>
        <w:rPr/>
        <w:t>therapy?</w:t>
      </w:r>
    </w:p>
    <w:p>
      <w:pPr>
        <w:pStyle w:val="BodyText"/>
        <w:spacing w:line="276" w:lineRule="auto" w:before="299"/>
        <w:ind w:left="477" w:right="135"/>
        <w:jc w:val="both"/>
      </w:pPr>
      <w:r>
        <w:rPr/>
        <w:t>No</w:t>
      </w:r>
      <w:r>
        <w:rPr>
          <w:spacing w:val="-7"/>
        </w:rPr>
        <w:t> </w:t>
      </w:r>
      <w:r>
        <w:rPr/>
        <w:t>way!</w:t>
      </w:r>
      <w:r>
        <w:rPr>
          <w:spacing w:val="-6"/>
        </w:rPr>
        <w:t> </w:t>
      </w:r>
      <w:r>
        <w:rPr/>
        <w:t>Many</w:t>
      </w:r>
      <w:r>
        <w:rPr>
          <w:spacing w:val="-9"/>
        </w:rPr>
        <w:t> </w:t>
      </w:r>
      <w:r>
        <w:rPr/>
        <w:t>success</w:t>
      </w:r>
      <w:r>
        <w:rPr>
          <w:spacing w:val="-7"/>
        </w:rPr>
        <w:t> </w:t>
      </w:r>
      <w:r>
        <w:rPr/>
        <w:t>stories</w:t>
      </w:r>
      <w:r>
        <w:rPr>
          <w:spacing w:val="-9"/>
        </w:rPr>
        <w:t> </w:t>
      </w:r>
      <w:r>
        <w:rPr/>
        <w:t>of</w:t>
      </w:r>
      <w:r>
        <w:rPr>
          <w:spacing w:val="-9"/>
        </w:rPr>
        <w:t> </w:t>
      </w:r>
      <w:r>
        <w:rPr/>
        <w:t>former</w:t>
      </w:r>
      <w:r>
        <w:rPr>
          <w:spacing w:val="-9"/>
        </w:rPr>
        <w:t> </w:t>
      </w:r>
      <w:r>
        <w:rPr/>
        <w:t>cancer</w:t>
      </w:r>
      <w:r>
        <w:rPr>
          <w:spacing w:val="-9"/>
        </w:rPr>
        <w:t> </w:t>
      </w:r>
      <w:r>
        <w:rPr/>
        <w:t>patients,</w:t>
      </w:r>
      <w:r>
        <w:rPr>
          <w:spacing w:val="-6"/>
        </w:rPr>
        <w:t> </w:t>
      </w:r>
      <w:r>
        <w:rPr/>
        <w:t>who</w:t>
      </w:r>
      <w:r>
        <w:rPr>
          <w:spacing w:val="-6"/>
        </w:rPr>
        <w:t> </w:t>
      </w:r>
      <w:r>
        <w:rPr/>
        <w:t>have</w:t>
      </w:r>
      <w:r>
        <w:rPr>
          <w:spacing w:val="-8"/>
        </w:rPr>
        <w:t> </w:t>
      </w:r>
      <w:r>
        <w:rPr/>
        <w:t>fought</w:t>
      </w:r>
      <w:r>
        <w:rPr>
          <w:spacing w:val="-7"/>
        </w:rPr>
        <w:t> </w:t>
      </w:r>
      <w:r>
        <w:rPr/>
        <w:t>their cancer</w:t>
      </w:r>
      <w:r>
        <w:rPr>
          <w:spacing w:val="-15"/>
        </w:rPr>
        <w:t> </w:t>
      </w:r>
      <w:r>
        <w:rPr/>
        <w:t>with</w:t>
      </w:r>
      <w:r>
        <w:rPr>
          <w:spacing w:val="-14"/>
        </w:rPr>
        <w:t> </w:t>
      </w:r>
      <w:r>
        <w:rPr/>
        <w:t>the</w:t>
      </w:r>
      <w:r>
        <w:rPr>
          <w:spacing w:val="-13"/>
        </w:rPr>
        <w:t> </w:t>
      </w:r>
      <w:r>
        <w:rPr/>
        <w:t>bitter</w:t>
      </w:r>
      <w:r>
        <w:rPr>
          <w:spacing w:val="-15"/>
        </w:rPr>
        <w:t> </w:t>
      </w:r>
      <w:r>
        <w:rPr/>
        <w:t>apricot</w:t>
      </w:r>
      <w:r>
        <w:rPr>
          <w:spacing w:val="-14"/>
        </w:rPr>
        <w:t> </w:t>
      </w:r>
      <w:r>
        <w:rPr/>
        <w:t>kernels</w:t>
      </w:r>
      <w:r>
        <w:rPr>
          <w:spacing w:val="-14"/>
        </w:rPr>
        <w:t> </w:t>
      </w:r>
      <w:r>
        <w:rPr/>
        <w:t>alone</w:t>
      </w:r>
      <w:r>
        <w:rPr>
          <w:spacing w:val="-14"/>
        </w:rPr>
        <w:t> </w:t>
      </w:r>
      <w:r>
        <w:rPr/>
        <w:t>(vitamin</w:t>
      </w:r>
      <w:r>
        <w:rPr>
          <w:spacing w:val="-15"/>
        </w:rPr>
        <w:t> </w:t>
      </w:r>
      <w:r>
        <w:rPr/>
        <w:t>B17),</w:t>
      </w:r>
      <w:r>
        <w:rPr>
          <w:spacing w:val="-13"/>
        </w:rPr>
        <w:t> </w:t>
      </w:r>
      <w:r>
        <w:rPr/>
        <w:t>could</w:t>
      </w:r>
      <w:r>
        <w:rPr>
          <w:spacing w:val="-12"/>
        </w:rPr>
        <w:t> </w:t>
      </w:r>
      <w:r>
        <w:rPr/>
        <w:t>lead</w:t>
      </w:r>
      <w:r>
        <w:rPr>
          <w:spacing w:val="-15"/>
        </w:rPr>
        <w:t> </w:t>
      </w:r>
      <w:r>
        <w:rPr/>
        <w:t>one</w:t>
      </w:r>
      <w:r>
        <w:rPr>
          <w:spacing w:val="-15"/>
        </w:rPr>
        <w:t> </w:t>
      </w:r>
      <w:r>
        <w:rPr/>
        <w:t>to</w:t>
      </w:r>
      <w:r>
        <w:rPr>
          <w:spacing w:val="-14"/>
        </w:rPr>
        <w:t> </w:t>
      </w:r>
      <w:r>
        <w:rPr/>
        <w:t>this conclusion, but one thing should nevertheless be clear: while vitamin B17 is likely to have a positive effect on every type of cancer, every human and every type of cancer may react</w:t>
      </w:r>
      <w:r>
        <w:rPr>
          <w:spacing w:val="-2"/>
        </w:rPr>
        <w:t> </w:t>
      </w:r>
      <w:r>
        <w:rPr/>
        <w:t>differently!</w:t>
      </w:r>
    </w:p>
    <w:p>
      <w:pPr>
        <w:pStyle w:val="BodyText"/>
        <w:spacing w:line="276" w:lineRule="auto" w:before="240"/>
        <w:ind w:left="477" w:right="132"/>
        <w:jc w:val="both"/>
      </w:pPr>
      <w:r>
        <w:rPr/>
        <w:t>In most cases, it would be negligent to gamble on a life-threatening condition such as cancer, arm yourself with a few pounds of bitter apricot kernels and go it alone! Rather, vitamin B17 should be used in conjunction with a holistic</w:t>
      </w:r>
      <w:r>
        <w:rPr>
          <w:spacing w:val="-51"/>
        </w:rPr>
        <w:t> </w:t>
      </w:r>
      <w:r>
        <w:rPr/>
        <w:t>can- cer therapy, which is guided and accompanied by laetrile doctors!</w:t>
      </w:r>
    </w:p>
    <w:p>
      <w:pPr>
        <w:pStyle w:val="BodyText"/>
        <w:spacing w:line="276" w:lineRule="auto" w:before="242"/>
        <w:ind w:left="477" w:right="135"/>
        <w:jc w:val="both"/>
      </w:pPr>
      <w:r>
        <w:rPr/>
        <w:t>Furthermore,</w:t>
      </w:r>
      <w:r>
        <w:rPr>
          <w:spacing w:val="-15"/>
        </w:rPr>
        <w:t> </w:t>
      </w:r>
      <w:r>
        <w:rPr/>
        <w:t>vitamin</w:t>
      </w:r>
      <w:r>
        <w:rPr>
          <w:spacing w:val="-15"/>
        </w:rPr>
        <w:t> </w:t>
      </w:r>
      <w:r>
        <w:rPr/>
        <w:t>B-17</w:t>
      </w:r>
      <w:r>
        <w:rPr>
          <w:spacing w:val="-16"/>
        </w:rPr>
        <w:t> </w:t>
      </w:r>
      <w:r>
        <w:rPr/>
        <w:t>(laetrile)</w:t>
      </w:r>
      <w:r>
        <w:rPr>
          <w:spacing w:val="-15"/>
        </w:rPr>
        <w:t> </w:t>
      </w:r>
      <w:r>
        <w:rPr/>
        <w:t>should</w:t>
      </w:r>
      <w:r>
        <w:rPr>
          <w:spacing w:val="-16"/>
        </w:rPr>
        <w:t> </w:t>
      </w:r>
      <w:r>
        <w:rPr/>
        <w:t>always</w:t>
      </w:r>
      <w:r>
        <w:rPr>
          <w:spacing w:val="-14"/>
        </w:rPr>
        <w:t> </w:t>
      </w:r>
      <w:r>
        <w:rPr/>
        <w:t>be</w:t>
      </w:r>
      <w:r>
        <w:rPr>
          <w:spacing w:val="-17"/>
        </w:rPr>
        <w:t> </w:t>
      </w:r>
      <w:r>
        <w:rPr/>
        <w:t>taken</w:t>
      </w:r>
      <w:r>
        <w:rPr>
          <w:spacing w:val="-15"/>
        </w:rPr>
        <w:t> </w:t>
      </w:r>
      <w:r>
        <w:rPr/>
        <w:t>in</w:t>
      </w:r>
      <w:r>
        <w:rPr>
          <w:spacing w:val="-17"/>
        </w:rPr>
        <w:t> </w:t>
      </w:r>
      <w:r>
        <w:rPr/>
        <w:t>conjunction</w:t>
      </w:r>
      <w:r>
        <w:rPr>
          <w:spacing w:val="-14"/>
        </w:rPr>
        <w:t> </w:t>
      </w:r>
      <w:r>
        <w:rPr/>
        <w:t>with enzymes from pineapple and papaya fruit (bromelain, papain). These help to crack the ‘protective armour’ of the tumour, allowing the laetrile to better pen- etrate the cancer</w:t>
      </w:r>
      <w:r>
        <w:rPr>
          <w:spacing w:val="1"/>
        </w:rPr>
        <w:t> </w:t>
      </w:r>
      <w:r>
        <w:rPr/>
        <w:t>cell.</w:t>
      </w:r>
    </w:p>
    <w:p>
      <w:pPr>
        <w:pStyle w:val="Heading1"/>
        <w:spacing w:before="222"/>
        <w:jc w:val="both"/>
      </w:pPr>
      <w:r>
        <w:rPr/>
        <w:t>Is laetrile, amygdalin (vitamin B17) legal or is it banned?</w:t>
      </w:r>
    </w:p>
    <w:p>
      <w:pPr>
        <w:pStyle w:val="BodyText"/>
        <w:spacing w:line="276" w:lineRule="auto" w:before="299"/>
        <w:ind w:left="477" w:right="135"/>
        <w:jc w:val="both"/>
      </w:pPr>
      <w:r>
        <w:rPr/>
        <w:t>At the moment, apricot kernels and thus vitamin B17 are approved as a</w:t>
      </w:r>
      <w:r>
        <w:rPr>
          <w:spacing w:val="-43"/>
        </w:rPr>
        <w:t> </w:t>
      </w:r>
      <w:r>
        <w:rPr/>
        <w:t>dietary supplement</w:t>
      </w:r>
      <w:r>
        <w:rPr>
          <w:spacing w:val="-7"/>
        </w:rPr>
        <w:t> </w:t>
      </w:r>
      <w:r>
        <w:rPr/>
        <w:t>in</w:t>
      </w:r>
      <w:r>
        <w:rPr>
          <w:spacing w:val="-6"/>
        </w:rPr>
        <w:t> </w:t>
      </w:r>
      <w:r>
        <w:rPr/>
        <w:t>the</w:t>
      </w:r>
      <w:r>
        <w:rPr>
          <w:spacing w:val="-6"/>
        </w:rPr>
        <w:t> </w:t>
      </w:r>
      <w:r>
        <w:rPr/>
        <w:t>EU</w:t>
      </w:r>
      <w:r>
        <w:rPr>
          <w:spacing w:val="-5"/>
        </w:rPr>
        <w:t> </w:t>
      </w:r>
      <w:r>
        <w:rPr/>
        <w:t>and</w:t>
      </w:r>
      <w:r>
        <w:rPr>
          <w:spacing w:val="-8"/>
        </w:rPr>
        <w:t> </w:t>
      </w:r>
      <w:r>
        <w:rPr/>
        <w:t>therefore</w:t>
      </w:r>
      <w:r>
        <w:rPr>
          <w:spacing w:val="-7"/>
        </w:rPr>
        <w:t> </w:t>
      </w:r>
      <w:r>
        <w:rPr/>
        <w:t>legal!</w:t>
      </w:r>
      <w:r>
        <w:rPr>
          <w:spacing w:val="-6"/>
        </w:rPr>
        <w:t> </w:t>
      </w:r>
      <w:r>
        <w:rPr/>
        <w:t>In</w:t>
      </w:r>
      <w:r>
        <w:rPr>
          <w:spacing w:val="-7"/>
        </w:rPr>
        <w:t> </w:t>
      </w:r>
      <w:r>
        <w:rPr/>
        <w:t>the</w:t>
      </w:r>
      <w:r>
        <w:rPr>
          <w:spacing w:val="-8"/>
        </w:rPr>
        <w:t> </w:t>
      </w:r>
      <w:r>
        <w:rPr/>
        <w:t>US,</w:t>
      </w:r>
      <w:r>
        <w:rPr>
          <w:spacing w:val="-7"/>
        </w:rPr>
        <w:t> </w:t>
      </w:r>
      <w:r>
        <w:rPr/>
        <w:t>laetrile</w:t>
      </w:r>
      <w:r>
        <w:rPr>
          <w:spacing w:val="-7"/>
        </w:rPr>
        <w:t> </w:t>
      </w:r>
      <w:r>
        <w:rPr/>
        <w:t>is</w:t>
      </w:r>
      <w:r>
        <w:rPr>
          <w:spacing w:val="-7"/>
        </w:rPr>
        <w:t> </w:t>
      </w:r>
      <w:r>
        <w:rPr/>
        <w:t>restricted</w:t>
      </w:r>
      <w:r>
        <w:rPr>
          <w:spacing w:val="-6"/>
        </w:rPr>
        <w:t> </w:t>
      </w:r>
      <w:r>
        <w:rPr/>
        <w:t>and</w:t>
      </w:r>
      <w:r>
        <w:rPr>
          <w:spacing w:val="-6"/>
        </w:rPr>
        <w:t> </w:t>
      </w:r>
      <w:r>
        <w:rPr/>
        <w:t>in California, for example, the use of laetrile/amygdalin (vitamin B17) for cancer in humans is prohibited under certain circumstances.</w:t>
      </w:r>
    </w:p>
    <w:p>
      <w:pPr>
        <w:pStyle w:val="Heading1"/>
        <w:spacing w:line="432" w:lineRule="exact" w:before="0"/>
        <w:jc w:val="both"/>
      </w:pPr>
      <w:r>
        <w:rPr/>
        <w:t>What dose of laetrile is recommended for the prevention of cancer?</w:t>
      </w:r>
    </w:p>
    <w:p>
      <w:pPr>
        <w:pStyle w:val="BodyText"/>
        <w:spacing w:before="300"/>
        <w:ind w:left="477"/>
        <w:jc w:val="both"/>
      </w:pPr>
      <w:r>
        <w:rPr/>
        <w:t>At this point, laetrile therapists distinguish between the following three states:</w:t>
      </w:r>
    </w:p>
    <w:p>
      <w:pPr>
        <w:spacing w:after="0"/>
        <w:jc w:val="both"/>
        <w:sectPr>
          <w:pgSz w:w="14270" w:h="16850"/>
          <w:pgMar w:header="0" w:footer="1891" w:top="1600" w:bottom="2080" w:left="800" w:right="1280"/>
        </w:sectPr>
      </w:pPr>
    </w:p>
    <w:p>
      <w:pPr>
        <w:pStyle w:val="ListParagraph"/>
        <w:numPr>
          <w:ilvl w:val="0"/>
          <w:numId w:val="52"/>
        </w:numPr>
        <w:tabs>
          <w:tab w:pos="855" w:val="left" w:leader="none"/>
        </w:tabs>
        <w:spacing w:line="240" w:lineRule="auto" w:before="181" w:after="0"/>
        <w:ind w:left="854" w:right="0" w:hanging="377"/>
        <w:jc w:val="both"/>
        <w:rPr>
          <w:i/>
          <w:sz w:val="38"/>
        </w:rPr>
      </w:pPr>
      <w:r>
        <w:rPr>
          <w:i/>
          <w:sz w:val="38"/>
        </w:rPr>
        <w:t>One is healthy and would like to take apricot kernels</w:t>
      </w:r>
      <w:r>
        <w:rPr>
          <w:i/>
          <w:spacing w:val="-6"/>
          <w:sz w:val="38"/>
        </w:rPr>
        <w:t> </w:t>
      </w:r>
      <w:r>
        <w:rPr>
          <w:i/>
          <w:sz w:val="38"/>
        </w:rPr>
        <w:t>preventively:</w:t>
      </w:r>
    </w:p>
    <w:p>
      <w:pPr>
        <w:pStyle w:val="BodyText"/>
        <w:spacing w:line="276" w:lineRule="auto" w:before="305"/>
        <w:ind w:left="477" w:right="138"/>
        <w:jc w:val="both"/>
      </w:pPr>
      <w:r>
        <w:rPr/>
        <w:t>Dr.</w:t>
      </w:r>
      <w:r>
        <w:rPr>
          <w:spacing w:val="-7"/>
        </w:rPr>
        <w:t> </w:t>
      </w:r>
      <w:r>
        <w:rPr/>
        <w:t>Krebs,</w:t>
      </w:r>
      <w:r>
        <w:rPr>
          <w:spacing w:val="-6"/>
        </w:rPr>
        <w:t> </w:t>
      </w:r>
      <w:r>
        <w:rPr/>
        <w:t>the</w:t>
      </w:r>
      <w:r>
        <w:rPr>
          <w:spacing w:val="-6"/>
        </w:rPr>
        <w:t> </w:t>
      </w:r>
      <w:r>
        <w:rPr/>
        <w:t>discoverer,</w:t>
      </w:r>
      <w:r>
        <w:rPr>
          <w:spacing w:val="-7"/>
        </w:rPr>
        <w:t> </w:t>
      </w:r>
      <w:r>
        <w:rPr/>
        <w:t>recommends</w:t>
      </w:r>
      <w:r>
        <w:rPr>
          <w:spacing w:val="-6"/>
        </w:rPr>
        <w:t> </w:t>
      </w:r>
      <w:r>
        <w:rPr/>
        <w:t>a</w:t>
      </w:r>
      <w:r>
        <w:rPr>
          <w:spacing w:val="-8"/>
        </w:rPr>
        <w:t> </w:t>
      </w:r>
      <w:r>
        <w:rPr/>
        <w:t>minimum</w:t>
      </w:r>
      <w:r>
        <w:rPr>
          <w:spacing w:val="-8"/>
        </w:rPr>
        <w:t> </w:t>
      </w:r>
      <w:r>
        <w:rPr/>
        <w:t>of</w:t>
      </w:r>
      <w:r>
        <w:rPr>
          <w:spacing w:val="-7"/>
        </w:rPr>
        <w:t> </w:t>
      </w:r>
      <w:r>
        <w:rPr/>
        <w:t>50</w:t>
      </w:r>
      <w:r>
        <w:rPr>
          <w:spacing w:val="-8"/>
        </w:rPr>
        <w:t> </w:t>
      </w:r>
      <w:r>
        <w:rPr/>
        <w:t>mg</w:t>
      </w:r>
      <w:r>
        <w:rPr>
          <w:spacing w:val="-7"/>
        </w:rPr>
        <w:t> </w:t>
      </w:r>
      <w:r>
        <w:rPr/>
        <w:t>laetrile</w:t>
      </w:r>
      <w:r>
        <w:rPr>
          <w:spacing w:val="-8"/>
        </w:rPr>
        <w:t> </w:t>
      </w:r>
      <w:r>
        <w:rPr/>
        <w:t>in</w:t>
      </w:r>
      <w:r>
        <w:rPr>
          <w:spacing w:val="-7"/>
        </w:rPr>
        <w:t> </w:t>
      </w:r>
      <w:r>
        <w:rPr/>
        <w:t>healthy adults</w:t>
      </w:r>
      <w:r>
        <w:rPr>
          <w:spacing w:val="-24"/>
        </w:rPr>
        <w:t> </w:t>
      </w:r>
      <w:r>
        <w:rPr/>
        <w:t>for</w:t>
      </w:r>
      <w:r>
        <w:rPr>
          <w:spacing w:val="-22"/>
        </w:rPr>
        <w:t> </w:t>
      </w:r>
      <w:r>
        <w:rPr/>
        <w:t>prevention</w:t>
      </w:r>
      <w:r>
        <w:rPr>
          <w:spacing w:val="-22"/>
        </w:rPr>
        <w:t> </w:t>
      </w:r>
      <w:r>
        <w:rPr/>
        <w:t>purposes.</w:t>
      </w:r>
      <w:r>
        <w:rPr>
          <w:spacing w:val="-28"/>
        </w:rPr>
        <w:t> </w:t>
      </w:r>
      <w:r>
        <w:rPr/>
        <w:t>The</w:t>
      </w:r>
      <w:r>
        <w:rPr>
          <w:spacing w:val="-22"/>
        </w:rPr>
        <w:t> </w:t>
      </w:r>
      <w:r>
        <w:rPr/>
        <w:t>average</w:t>
      </w:r>
      <w:r>
        <w:rPr>
          <w:spacing w:val="-23"/>
        </w:rPr>
        <w:t> </w:t>
      </w:r>
      <w:r>
        <w:rPr/>
        <w:t>amount</w:t>
      </w:r>
      <w:r>
        <w:rPr>
          <w:spacing w:val="-22"/>
        </w:rPr>
        <w:t> </w:t>
      </w:r>
      <w:r>
        <w:rPr/>
        <w:t>of</w:t>
      </w:r>
      <w:r>
        <w:rPr>
          <w:spacing w:val="-25"/>
        </w:rPr>
        <w:t> </w:t>
      </w:r>
      <w:r>
        <w:rPr/>
        <w:t>laetrile</w:t>
      </w:r>
      <w:r>
        <w:rPr>
          <w:spacing w:val="-23"/>
        </w:rPr>
        <w:t> </w:t>
      </w:r>
      <w:r>
        <w:rPr/>
        <w:t>in</w:t>
      </w:r>
      <w:r>
        <w:rPr>
          <w:spacing w:val="-23"/>
        </w:rPr>
        <w:t> </w:t>
      </w:r>
      <w:r>
        <w:rPr/>
        <w:t>a</w:t>
      </w:r>
      <w:r>
        <w:rPr>
          <w:spacing w:val="-25"/>
        </w:rPr>
        <w:t> </w:t>
      </w:r>
      <w:r>
        <w:rPr/>
        <w:t>bitter</w:t>
      </w:r>
      <w:r>
        <w:rPr>
          <w:spacing w:val="-23"/>
        </w:rPr>
        <w:t> </w:t>
      </w:r>
      <w:r>
        <w:rPr/>
        <w:t>apricot kernel is about 4-5 mg laetrile, but this can vary by a factor of</w:t>
      </w:r>
      <w:r>
        <w:rPr>
          <w:spacing w:val="-8"/>
        </w:rPr>
        <w:t> </w:t>
      </w:r>
      <w:r>
        <w:rPr/>
        <w:t>6!</w:t>
      </w:r>
    </w:p>
    <w:p>
      <w:pPr>
        <w:pStyle w:val="BodyText"/>
        <w:spacing w:line="276" w:lineRule="auto" w:before="241"/>
        <w:ind w:left="477" w:right="135"/>
        <w:jc w:val="both"/>
      </w:pPr>
      <w:r>
        <w:rPr/>
        <w:t>The number of bitter apricot kernels recommended for preventive purposes is about seven to ten bitter apricot kernels a day, which roughly matches the rec- ommendation!</w:t>
      </w:r>
    </w:p>
    <w:p>
      <w:pPr>
        <w:pStyle w:val="ListParagraph"/>
        <w:numPr>
          <w:ilvl w:val="0"/>
          <w:numId w:val="52"/>
        </w:numPr>
        <w:tabs>
          <w:tab w:pos="855" w:val="left" w:leader="none"/>
        </w:tabs>
        <w:spacing w:line="240" w:lineRule="auto" w:before="239" w:after="0"/>
        <w:ind w:left="854" w:right="0" w:hanging="377"/>
        <w:jc w:val="both"/>
        <w:rPr>
          <w:i/>
          <w:sz w:val="38"/>
        </w:rPr>
      </w:pPr>
      <w:r>
        <w:rPr>
          <w:i/>
          <w:sz w:val="38"/>
        </w:rPr>
        <w:t>You currently have cancer that you want to fight with</w:t>
      </w:r>
      <w:r>
        <w:rPr>
          <w:i/>
          <w:spacing w:val="3"/>
          <w:sz w:val="38"/>
        </w:rPr>
        <w:t> </w:t>
      </w:r>
      <w:r>
        <w:rPr>
          <w:i/>
          <w:sz w:val="38"/>
        </w:rPr>
        <w:t>laetrile:</w:t>
      </w:r>
    </w:p>
    <w:p>
      <w:pPr>
        <w:pStyle w:val="BodyText"/>
        <w:spacing w:line="276" w:lineRule="auto" w:before="305"/>
        <w:ind w:left="477" w:right="138"/>
        <w:jc w:val="both"/>
      </w:pPr>
      <w:r>
        <w:rPr/>
        <w:t>For people already suffering from cancer, laetrile researchers usually recom- mend a dose of approximately 6 g laetrile, given intravenously over a period of usually three weeks.</w:t>
      </w:r>
    </w:p>
    <w:p>
      <w:pPr>
        <w:pStyle w:val="BodyText"/>
        <w:spacing w:line="276" w:lineRule="auto" w:before="239"/>
        <w:ind w:left="477" w:right="135"/>
        <w:jc w:val="both"/>
      </w:pPr>
      <w:r>
        <w:rPr/>
        <w:t>This should never be attempted in isolation, but always as part of holistic met- abolic therapy, guided by an experienced doctor, since, according to laetrile ex- perts,</w:t>
      </w:r>
      <w:r>
        <w:rPr>
          <w:spacing w:val="-9"/>
        </w:rPr>
        <w:t> </w:t>
      </w:r>
      <w:r>
        <w:rPr/>
        <w:t>the</w:t>
      </w:r>
      <w:r>
        <w:rPr>
          <w:spacing w:val="-10"/>
        </w:rPr>
        <w:t> </w:t>
      </w:r>
      <w:r>
        <w:rPr/>
        <w:t>death</w:t>
      </w:r>
      <w:r>
        <w:rPr>
          <w:spacing w:val="-13"/>
        </w:rPr>
        <w:t> </w:t>
      </w:r>
      <w:r>
        <w:rPr/>
        <w:t>of</w:t>
      </w:r>
      <w:r>
        <w:rPr>
          <w:spacing w:val="-10"/>
        </w:rPr>
        <w:t> </w:t>
      </w:r>
      <w:r>
        <w:rPr/>
        <w:t>the</w:t>
      </w:r>
      <w:r>
        <w:rPr>
          <w:spacing w:val="-9"/>
        </w:rPr>
        <w:t> </w:t>
      </w:r>
      <w:r>
        <w:rPr/>
        <w:t>cancerous</w:t>
      </w:r>
      <w:r>
        <w:rPr>
          <w:spacing w:val="-10"/>
        </w:rPr>
        <w:t> </w:t>
      </w:r>
      <w:r>
        <w:rPr/>
        <w:t>cells</w:t>
      </w:r>
      <w:r>
        <w:rPr>
          <w:spacing w:val="-9"/>
        </w:rPr>
        <w:t> </w:t>
      </w:r>
      <w:r>
        <w:rPr/>
        <w:t>produces</w:t>
      </w:r>
      <w:r>
        <w:rPr>
          <w:spacing w:val="-12"/>
        </w:rPr>
        <w:t> </w:t>
      </w:r>
      <w:r>
        <w:rPr/>
        <w:t>toxins</w:t>
      </w:r>
      <w:r>
        <w:rPr>
          <w:spacing w:val="-10"/>
        </w:rPr>
        <w:t> </w:t>
      </w:r>
      <w:r>
        <w:rPr/>
        <w:t>and</w:t>
      </w:r>
      <w:r>
        <w:rPr>
          <w:spacing w:val="-10"/>
        </w:rPr>
        <w:t> </w:t>
      </w:r>
      <w:r>
        <w:rPr/>
        <w:t>their</w:t>
      </w:r>
      <w:r>
        <w:rPr>
          <w:spacing w:val="-9"/>
        </w:rPr>
        <w:t> </w:t>
      </w:r>
      <w:r>
        <w:rPr/>
        <w:t>excretion</w:t>
      </w:r>
      <w:r>
        <w:rPr>
          <w:spacing w:val="-9"/>
        </w:rPr>
        <w:t> </w:t>
      </w:r>
      <w:r>
        <w:rPr/>
        <w:t>from the organism could lead to poisoning; laetrile is therefore administered in con- junction with several other agents, including high intravenous doses of vitamin C.</w:t>
      </w:r>
    </w:p>
    <w:p>
      <w:pPr>
        <w:pStyle w:val="ListParagraph"/>
        <w:numPr>
          <w:ilvl w:val="0"/>
          <w:numId w:val="52"/>
        </w:numPr>
        <w:tabs>
          <w:tab w:pos="855" w:val="left" w:leader="none"/>
        </w:tabs>
        <w:spacing w:line="240" w:lineRule="auto" w:before="242" w:after="0"/>
        <w:ind w:left="854" w:right="0" w:hanging="377"/>
        <w:jc w:val="both"/>
        <w:rPr>
          <w:i/>
          <w:sz w:val="38"/>
        </w:rPr>
      </w:pPr>
      <w:r>
        <w:rPr>
          <w:i/>
          <w:sz w:val="38"/>
        </w:rPr>
        <w:t>You want to prevent</w:t>
      </w:r>
      <w:r>
        <w:rPr>
          <w:i/>
          <w:spacing w:val="-1"/>
          <w:sz w:val="38"/>
        </w:rPr>
        <w:t> </w:t>
      </w:r>
      <w:r>
        <w:rPr>
          <w:i/>
          <w:sz w:val="38"/>
        </w:rPr>
        <w:t>metastases:</w:t>
      </w:r>
    </w:p>
    <w:p>
      <w:pPr>
        <w:pStyle w:val="BodyText"/>
        <w:spacing w:line="276" w:lineRule="auto" w:before="303"/>
        <w:ind w:left="477" w:right="134"/>
        <w:jc w:val="both"/>
      </w:pPr>
      <w:r>
        <w:rPr/>
        <w:t>According to laetrile experts, laetrile can also be taken orally for the</w:t>
      </w:r>
      <w:r>
        <w:rPr>
          <w:spacing w:val="-64"/>
        </w:rPr>
        <w:t> </w:t>
      </w:r>
      <w:r>
        <w:rPr/>
        <w:t>prevention of metastases. The suggested doses in this case is up to 3 g per day.</w:t>
      </w:r>
    </w:p>
    <w:p>
      <w:pPr>
        <w:spacing w:after="0" w:line="276" w:lineRule="auto"/>
        <w:jc w:val="both"/>
        <w:sectPr>
          <w:footerReference w:type="default" r:id="rId201"/>
          <w:pgSz w:w="14270" w:h="16850"/>
          <w:pgMar w:footer="1891" w:header="0" w:top="1600" w:bottom="2080" w:left="800" w:right="1280"/>
          <w:pgNumType w:start="810"/>
        </w:sectPr>
      </w:pPr>
    </w:p>
    <w:p>
      <w:pPr>
        <w:pStyle w:val="Heading1"/>
        <w:spacing w:before="164"/>
        <w:jc w:val="both"/>
      </w:pPr>
      <w:r>
        <w:rPr/>
        <w:t>Is</w:t>
      </w:r>
      <w:r>
        <w:rPr>
          <w:spacing w:val="-59"/>
        </w:rPr>
        <w:t> </w:t>
      </w:r>
      <w:r>
        <w:rPr/>
        <w:t>there</w:t>
      </w:r>
      <w:r>
        <w:rPr>
          <w:spacing w:val="-60"/>
        </w:rPr>
        <w:t> </w:t>
      </w:r>
      <w:r>
        <w:rPr/>
        <w:t>a</w:t>
      </w:r>
      <w:r>
        <w:rPr>
          <w:spacing w:val="-59"/>
        </w:rPr>
        <w:t> </w:t>
      </w:r>
      <w:r>
        <w:rPr/>
        <w:t>maximum</w:t>
      </w:r>
      <w:r>
        <w:rPr>
          <w:spacing w:val="-59"/>
        </w:rPr>
        <w:t> </w:t>
      </w:r>
      <w:r>
        <w:rPr/>
        <w:t>dose</w:t>
      </w:r>
      <w:r>
        <w:rPr>
          <w:spacing w:val="-58"/>
        </w:rPr>
        <w:t> </w:t>
      </w:r>
      <w:r>
        <w:rPr/>
        <w:t>of</w:t>
      </w:r>
      <w:r>
        <w:rPr>
          <w:spacing w:val="-60"/>
        </w:rPr>
        <w:t> </w:t>
      </w:r>
      <w:r>
        <w:rPr/>
        <w:t>apricot</w:t>
      </w:r>
      <w:r>
        <w:rPr>
          <w:spacing w:val="-59"/>
        </w:rPr>
        <w:t> </w:t>
      </w:r>
      <w:r>
        <w:rPr/>
        <w:t>kernels</w:t>
      </w:r>
      <w:r>
        <w:rPr>
          <w:spacing w:val="-58"/>
        </w:rPr>
        <w:t> </w:t>
      </w:r>
      <w:r>
        <w:rPr/>
        <w:t>that</w:t>
      </w:r>
      <w:r>
        <w:rPr>
          <w:spacing w:val="-60"/>
        </w:rPr>
        <w:t> </w:t>
      </w:r>
      <w:r>
        <w:rPr/>
        <w:t>should</w:t>
      </w:r>
      <w:r>
        <w:rPr>
          <w:spacing w:val="-59"/>
        </w:rPr>
        <w:t> </w:t>
      </w:r>
      <w:r>
        <w:rPr/>
        <w:t>not</w:t>
      </w:r>
      <w:r>
        <w:rPr>
          <w:spacing w:val="-59"/>
        </w:rPr>
        <w:t> </w:t>
      </w:r>
      <w:r>
        <w:rPr/>
        <w:t>be</w:t>
      </w:r>
      <w:r>
        <w:rPr>
          <w:spacing w:val="-59"/>
        </w:rPr>
        <w:t> </w:t>
      </w:r>
      <w:r>
        <w:rPr/>
        <w:t>exceeded?</w:t>
      </w:r>
    </w:p>
    <w:p>
      <w:pPr>
        <w:pStyle w:val="BodyText"/>
        <w:spacing w:line="276" w:lineRule="auto" w:before="299"/>
        <w:ind w:left="477" w:right="133"/>
        <w:jc w:val="both"/>
      </w:pPr>
      <w:r>
        <w:rPr/>
        <w:t>Everything has its limit, which should not be exceeded. With clear water, for example, a person can only tolerate a maximum of 10 litres before it becomes poisonous! This also applied to bitter apricot kernels; thus, according to</w:t>
      </w:r>
      <w:r>
        <w:rPr>
          <w:spacing w:val="-56"/>
        </w:rPr>
        <w:t> </w:t>
      </w:r>
      <w:r>
        <w:rPr/>
        <w:t>laetrile experts, a quantity of max. 30-35 kernels distributed over the day is recom- mended to prevent any side effects (maximum 6 per hour!).</w:t>
      </w:r>
    </w:p>
    <w:p>
      <w:pPr>
        <w:pStyle w:val="BodyText"/>
        <w:spacing w:line="276" w:lineRule="auto" w:before="240"/>
        <w:ind w:left="477" w:right="132"/>
        <w:jc w:val="both"/>
      </w:pPr>
      <w:r>
        <w:rPr/>
        <w:t>The toxicity of laetrile itself, however, is only 3 times that of glucose; see ‘Side effects vitamin B17’.</w:t>
      </w:r>
    </w:p>
    <w:p>
      <w:pPr>
        <w:pStyle w:val="Heading1"/>
        <w:spacing w:line="261" w:lineRule="auto"/>
        <w:ind w:right="135"/>
        <w:jc w:val="both"/>
      </w:pPr>
      <w:r>
        <w:rPr/>
        <w:t>What</w:t>
      </w:r>
      <w:r>
        <w:rPr>
          <w:spacing w:val="-27"/>
        </w:rPr>
        <w:t> </w:t>
      </w:r>
      <w:r>
        <w:rPr/>
        <w:t>is</w:t>
      </w:r>
      <w:r>
        <w:rPr>
          <w:spacing w:val="-25"/>
        </w:rPr>
        <w:t> </w:t>
      </w:r>
      <w:r>
        <w:rPr/>
        <w:t>the</w:t>
      </w:r>
      <w:r>
        <w:rPr>
          <w:spacing w:val="-25"/>
        </w:rPr>
        <w:t> </w:t>
      </w:r>
      <w:r>
        <w:rPr/>
        <w:t>difference</w:t>
      </w:r>
      <w:r>
        <w:rPr>
          <w:spacing w:val="-26"/>
        </w:rPr>
        <w:t> </w:t>
      </w:r>
      <w:r>
        <w:rPr/>
        <w:t>between</w:t>
      </w:r>
      <w:r>
        <w:rPr>
          <w:spacing w:val="-27"/>
        </w:rPr>
        <w:t> </w:t>
      </w:r>
      <w:r>
        <w:rPr/>
        <w:t>apricot</w:t>
      </w:r>
      <w:r>
        <w:rPr>
          <w:spacing w:val="-27"/>
        </w:rPr>
        <w:t> </w:t>
      </w:r>
      <w:r>
        <w:rPr/>
        <w:t>kernels</w:t>
      </w:r>
      <w:r>
        <w:rPr>
          <w:spacing w:val="-25"/>
        </w:rPr>
        <w:t> </w:t>
      </w:r>
      <w:r>
        <w:rPr/>
        <w:t>and</w:t>
      </w:r>
      <w:r>
        <w:rPr>
          <w:spacing w:val="-27"/>
        </w:rPr>
        <w:t> </w:t>
      </w:r>
      <w:r>
        <w:rPr/>
        <w:t>B17</w:t>
      </w:r>
      <w:r>
        <w:rPr>
          <w:spacing w:val="-24"/>
        </w:rPr>
        <w:t> </w:t>
      </w:r>
      <w:r>
        <w:rPr/>
        <w:t>tablets</w:t>
      </w:r>
      <w:r>
        <w:rPr>
          <w:spacing w:val="-24"/>
        </w:rPr>
        <w:t> </w:t>
      </w:r>
      <w:r>
        <w:rPr/>
        <w:t>or</w:t>
      </w:r>
      <w:r>
        <w:rPr>
          <w:spacing w:val="-26"/>
        </w:rPr>
        <w:t> </w:t>
      </w:r>
      <w:r>
        <w:rPr/>
        <w:t>infu- sions? And what is better for the prevention of cancer and in cases of acute</w:t>
      </w:r>
      <w:r>
        <w:rPr>
          <w:spacing w:val="-8"/>
        </w:rPr>
        <w:t> </w:t>
      </w:r>
      <w:r>
        <w:rPr/>
        <w:t>cancer?</w:t>
      </w:r>
    </w:p>
    <w:p>
      <w:pPr>
        <w:pStyle w:val="BodyText"/>
        <w:spacing w:line="276" w:lineRule="auto" w:before="259"/>
        <w:ind w:left="477" w:right="132"/>
        <w:jc w:val="both"/>
      </w:pPr>
      <w:r>
        <w:rPr/>
        <w:t>The raw form of vitamin B17 is bitter apricot kernels. According to Dr.</w:t>
      </w:r>
      <w:r>
        <w:rPr>
          <w:spacing w:val="-47"/>
        </w:rPr>
        <w:t> </w:t>
      </w:r>
      <w:r>
        <w:rPr/>
        <w:t>Krebs, these are more suitable for prevention purposes than tablets, if only because they contain a huge amount of phytochemicals that are also</w:t>
      </w:r>
      <w:r>
        <w:rPr>
          <w:spacing w:val="-11"/>
        </w:rPr>
        <w:t> </w:t>
      </w:r>
      <w:r>
        <w:rPr/>
        <w:t>healthy.</w:t>
      </w:r>
    </w:p>
    <w:p>
      <w:pPr>
        <w:pStyle w:val="BodyText"/>
        <w:spacing w:line="276" w:lineRule="auto" w:before="242"/>
        <w:ind w:left="477" w:right="136"/>
        <w:jc w:val="both"/>
      </w:pPr>
      <w:r>
        <w:rPr/>
        <w:t>If you do not mind the aftertaste (similar to marzipan) of the apricot kernels and you have no problems with chewing, you should use bitter apricot kernels for prevention purposes.</w:t>
      </w:r>
    </w:p>
    <w:p>
      <w:pPr>
        <w:pStyle w:val="BodyText"/>
        <w:spacing w:line="276" w:lineRule="auto" w:before="241"/>
        <w:ind w:left="477" w:right="139"/>
        <w:jc w:val="both"/>
      </w:pPr>
      <w:r>
        <w:rPr/>
        <w:t>For all other purposes, the tablets are a good alternative for preventive pur- poses.</w:t>
      </w:r>
      <w:r>
        <w:rPr>
          <w:spacing w:val="-24"/>
        </w:rPr>
        <w:t> </w:t>
      </w:r>
      <w:r>
        <w:rPr/>
        <w:t>Infusions</w:t>
      </w:r>
      <w:r>
        <w:rPr>
          <w:spacing w:val="-27"/>
        </w:rPr>
        <w:t> </w:t>
      </w:r>
      <w:r>
        <w:rPr/>
        <w:t>are</w:t>
      </w:r>
      <w:r>
        <w:rPr>
          <w:spacing w:val="-22"/>
        </w:rPr>
        <w:t> </w:t>
      </w:r>
      <w:r>
        <w:rPr/>
        <w:t>recommended</w:t>
      </w:r>
      <w:r>
        <w:rPr>
          <w:spacing w:val="-24"/>
        </w:rPr>
        <w:t> </w:t>
      </w:r>
      <w:r>
        <w:rPr/>
        <w:t>for</w:t>
      </w:r>
      <w:r>
        <w:rPr>
          <w:spacing w:val="-23"/>
        </w:rPr>
        <w:t> </w:t>
      </w:r>
      <w:r>
        <w:rPr/>
        <w:t>acute</w:t>
      </w:r>
      <w:r>
        <w:rPr>
          <w:spacing w:val="-22"/>
        </w:rPr>
        <w:t> </w:t>
      </w:r>
      <w:r>
        <w:rPr/>
        <w:t>cancer,</w:t>
      </w:r>
      <w:r>
        <w:rPr>
          <w:spacing w:val="-24"/>
        </w:rPr>
        <w:t> </w:t>
      </w:r>
      <w:r>
        <w:rPr/>
        <w:t>but</w:t>
      </w:r>
      <w:r>
        <w:rPr>
          <w:spacing w:val="-24"/>
        </w:rPr>
        <w:t> </w:t>
      </w:r>
      <w:r>
        <w:rPr/>
        <w:t>should,</w:t>
      </w:r>
      <w:r>
        <w:rPr>
          <w:spacing w:val="-22"/>
        </w:rPr>
        <w:t> </w:t>
      </w:r>
      <w:r>
        <w:rPr/>
        <w:t>as</w:t>
      </w:r>
      <w:r>
        <w:rPr>
          <w:spacing w:val="-26"/>
        </w:rPr>
        <w:t> </w:t>
      </w:r>
      <w:r>
        <w:rPr/>
        <w:t>already</w:t>
      </w:r>
      <w:r>
        <w:rPr>
          <w:spacing w:val="-23"/>
        </w:rPr>
        <w:t> </w:t>
      </w:r>
      <w:r>
        <w:rPr/>
        <w:t>men- tioned several times, only take place under the supervision of an experienced physician in the context of a holistic metabolic cancer</w:t>
      </w:r>
      <w:r>
        <w:rPr>
          <w:spacing w:val="-5"/>
        </w:rPr>
        <w:t> </w:t>
      </w:r>
      <w:r>
        <w:rPr/>
        <w:t>therapy.</w:t>
      </w:r>
    </w:p>
    <w:p>
      <w:pPr>
        <w:spacing w:after="0" w:line="276" w:lineRule="auto"/>
        <w:jc w:val="both"/>
        <w:sectPr>
          <w:pgSz w:w="14270" w:h="16850"/>
          <w:pgMar w:header="0" w:footer="1891" w:top="1600" w:bottom="2080" w:left="800" w:right="1280"/>
        </w:sectPr>
      </w:pPr>
    </w:p>
    <w:p>
      <w:pPr>
        <w:pStyle w:val="BodyText"/>
        <w:spacing w:line="276" w:lineRule="auto" w:before="181"/>
        <w:ind w:left="477" w:right="136"/>
        <w:jc w:val="both"/>
      </w:pPr>
      <w:r>
        <w:rPr/>
        <w:t>In all cases, supplementing treatment with apricot kernels makes a lot of sense as they have many other nutrients and enzymes that support laetrile and pro- mote good health!</w:t>
      </w:r>
    </w:p>
    <w:p>
      <w:pPr>
        <w:pStyle w:val="Heading1"/>
      </w:pPr>
      <w:r>
        <w:rPr/>
        <w:t>Does vitamin B17 work for every type of cancer?</w:t>
      </w:r>
    </w:p>
    <w:p>
      <w:pPr>
        <w:pStyle w:val="BodyText"/>
        <w:spacing w:line="276" w:lineRule="auto" w:before="300"/>
        <w:ind w:left="477" w:right="132"/>
        <w:jc w:val="both"/>
      </w:pPr>
      <w:r>
        <w:rPr/>
        <w:t>According to Dr. Krebs, yes! According to him, cancer cells have exactly the same</w:t>
      </w:r>
      <w:r>
        <w:rPr>
          <w:spacing w:val="-24"/>
        </w:rPr>
        <w:t> </w:t>
      </w:r>
      <w:r>
        <w:rPr/>
        <w:t>characteristics</w:t>
      </w:r>
      <w:r>
        <w:rPr>
          <w:spacing w:val="-23"/>
        </w:rPr>
        <w:t> </w:t>
      </w:r>
      <w:r>
        <w:rPr/>
        <w:t>and</w:t>
      </w:r>
      <w:r>
        <w:rPr>
          <w:spacing w:val="-24"/>
        </w:rPr>
        <w:t> </w:t>
      </w:r>
      <w:r>
        <w:rPr/>
        <w:t>would</w:t>
      </w:r>
      <w:r>
        <w:rPr>
          <w:spacing w:val="-24"/>
        </w:rPr>
        <w:t> </w:t>
      </w:r>
      <w:r>
        <w:rPr/>
        <w:t>be</w:t>
      </w:r>
      <w:r>
        <w:rPr>
          <w:spacing w:val="-23"/>
        </w:rPr>
        <w:t> </w:t>
      </w:r>
      <w:r>
        <w:rPr/>
        <w:t>destroyed</w:t>
      </w:r>
      <w:r>
        <w:rPr>
          <w:spacing w:val="-26"/>
        </w:rPr>
        <w:t> </w:t>
      </w:r>
      <w:r>
        <w:rPr/>
        <w:t>in</w:t>
      </w:r>
      <w:r>
        <w:rPr>
          <w:spacing w:val="-24"/>
        </w:rPr>
        <w:t> </w:t>
      </w:r>
      <w:r>
        <w:rPr/>
        <w:t>the</w:t>
      </w:r>
      <w:r>
        <w:rPr>
          <w:spacing w:val="-23"/>
        </w:rPr>
        <w:t> </w:t>
      </w:r>
      <w:r>
        <w:rPr/>
        <w:t>same</w:t>
      </w:r>
      <w:r>
        <w:rPr>
          <w:spacing w:val="-23"/>
        </w:rPr>
        <w:t> </w:t>
      </w:r>
      <w:r>
        <w:rPr/>
        <w:t>way,</w:t>
      </w:r>
      <w:r>
        <w:rPr>
          <w:spacing w:val="-25"/>
        </w:rPr>
        <w:t> </w:t>
      </w:r>
      <w:r>
        <w:rPr/>
        <w:t>isolated</w:t>
      </w:r>
      <w:r>
        <w:rPr>
          <w:spacing w:val="-25"/>
        </w:rPr>
        <w:t> </w:t>
      </w:r>
      <w:r>
        <w:rPr/>
        <w:t>by</w:t>
      </w:r>
      <w:r>
        <w:rPr>
          <w:spacing w:val="-19"/>
        </w:rPr>
        <w:t> </w:t>
      </w:r>
      <w:r>
        <w:rPr/>
        <w:t>laetrile.</w:t>
      </w:r>
    </w:p>
    <w:p>
      <w:pPr>
        <w:pStyle w:val="BodyText"/>
        <w:spacing w:line="276" w:lineRule="auto" w:before="238"/>
        <w:ind w:left="477" w:right="132"/>
        <w:jc w:val="both"/>
      </w:pPr>
      <w:r>
        <w:rPr/>
        <w:t>But</w:t>
      </w:r>
      <w:r>
        <w:rPr>
          <w:spacing w:val="-7"/>
        </w:rPr>
        <w:t> </w:t>
      </w:r>
      <w:r>
        <w:rPr/>
        <w:t>as</w:t>
      </w:r>
      <w:r>
        <w:rPr>
          <w:spacing w:val="-6"/>
        </w:rPr>
        <w:t> </w:t>
      </w:r>
      <w:r>
        <w:rPr/>
        <w:t>we</w:t>
      </w:r>
      <w:r>
        <w:rPr>
          <w:spacing w:val="-6"/>
        </w:rPr>
        <w:t> </w:t>
      </w:r>
      <w:r>
        <w:rPr/>
        <w:t>said</w:t>
      </w:r>
      <w:r>
        <w:rPr>
          <w:spacing w:val="-7"/>
        </w:rPr>
        <w:t> </w:t>
      </w:r>
      <w:r>
        <w:rPr/>
        <w:t>before,</w:t>
      </w:r>
      <w:r>
        <w:rPr>
          <w:spacing w:val="-5"/>
        </w:rPr>
        <w:t> </w:t>
      </w:r>
      <w:r>
        <w:rPr/>
        <w:t>it</w:t>
      </w:r>
      <w:r>
        <w:rPr>
          <w:spacing w:val="-7"/>
        </w:rPr>
        <w:t> </w:t>
      </w:r>
      <w:r>
        <w:rPr/>
        <w:t>would</w:t>
      </w:r>
      <w:r>
        <w:rPr>
          <w:spacing w:val="-6"/>
        </w:rPr>
        <w:t> </w:t>
      </w:r>
      <w:r>
        <w:rPr/>
        <w:t>be</w:t>
      </w:r>
      <w:r>
        <w:rPr>
          <w:spacing w:val="-5"/>
        </w:rPr>
        <w:t> </w:t>
      </w:r>
      <w:r>
        <w:rPr/>
        <w:t>irresponsible</w:t>
      </w:r>
      <w:r>
        <w:rPr>
          <w:spacing w:val="-6"/>
        </w:rPr>
        <w:t> </w:t>
      </w:r>
      <w:r>
        <w:rPr/>
        <w:t>to</w:t>
      </w:r>
      <w:r>
        <w:rPr>
          <w:spacing w:val="-6"/>
        </w:rPr>
        <w:t> </w:t>
      </w:r>
      <w:r>
        <w:rPr/>
        <w:t>rely</w:t>
      </w:r>
      <w:r>
        <w:rPr>
          <w:spacing w:val="-6"/>
        </w:rPr>
        <w:t> </w:t>
      </w:r>
      <w:r>
        <w:rPr/>
        <w:t>on</w:t>
      </w:r>
      <w:r>
        <w:rPr>
          <w:spacing w:val="-5"/>
        </w:rPr>
        <w:t> </w:t>
      </w:r>
      <w:r>
        <w:rPr/>
        <w:t>laetrile</w:t>
      </w:r>
      <w:r>
        <w:rPr>
          <w:spacing w:val="-7"/>
        </w:rPr>
        <w:t> </w:t>
      </w:r>
      <w:r>
        <w:rPr/>
        <w:t>alone!</w:t>
      </w:r>
      <w:r>
        <w:rPr>
          <w:spacing w:val="-5"/>
        </w:rPr>
        <w:t> </w:t>
      </w:r>
      <w:r>
        <w:rPr/>
        <w:t>On</w:t>
      </w:r>
      <w:r>
        <w:rPr>
          <w:spacing w:val="-6"/>
        </w:rPr>
        <w:t> </w:t>
      </w:r>
      <w:r>
        <w:rPr/>
        <w:t>the other hand, one should holistically tackle a life-threatening disease such as can- cer through the described principle of the ‘golden triangle of curing cancer’. (See my cancer</w:t>
      </w:r>
      <w:r>
        <w:rPr>
          <w:spacing w:val="-1"/>
        </w:rPr>
        <w:t> </w:t>
      </w:r>
      <w:r>
        <w:rPr/>
        <w:t>book!)</w:t>
      </w:r>
    </w:p>
    <w:p>
      <w:pPr>
        <w:pStyle w:val="BodyText"/>
        <w:rPr>
          <w:sz w:val="42"/>
        </w:rPr>
      </w:pPr>
    </w:p>
    <w:p>
      <w:pPr>
        <w:pStyle w:val="BodyText"/>
        <w:spacing w:before="10"/>
        <w:rPr>
          <w:sz w:val="42"/>
        </w:rPr>
      </w:pPr>
    </w:p>
    <w:p>
      <w:pPr>
        <w:pStyle w:val="Heading1"/>
        <w:spacing w:before="0"/>
      </w:pPr>
      <w:r>
        <w:rPr/>
        <w:t>Should you take apricot kernels in any case?</w:t>
      </w:r>
    </w:p>
    <w:p>
      <w:pPr>
        <w:pStyle w:val="BodyText"/>
        <w:spacing w:line="276" w:lineRule="auto" w:before="299"/>
        <w:ind w:left="477" w:right="132"/>
        <w:jc w:val="both"/>
      </w:pPr>
      <w:r>
        <w:rPr/>
        <w:t>Both</w:t>
      </w:r>
      <w:r>
        <w:rPr>
          <w:spacing w:val="-13"/>
        </w:rPr>
        <w:t> </w:t>
      </w:r>
      <w:r>
        <w:rPr/>
        <w:t>Dr.</w:t>
      </w:r>
      <w:r>
        <w:rPr>
          <w:spacing w:val="-12"/>
        </w:rPr>
        <w:t> </w:t>
      </w:r>
      <w:r>
        <w:rPr/>
        <w:t>Krebs</w:t>
      </w:r>
      <w:r>
        <w:rPr>
          <w:spacing w:val="-15"/>
        </w:rPr>
        <w:t> </w:t>
      </w:r>
      <w:r>
        <w:rPr/>
        <w:t>and</w:t>
      </w:r>
      <w:r>
        <w:rPr>
          <w:spacing w:val="-13"/>
        </w:rPr>
        <w:t> </w:t>
      </w:r>
      <w:r>
        <w:rPr/>
        <w:t>Dr.</w:t>
      </w:r>
      <w:r>
        <w:rPr>
          <w:spacing w:val="-12"/>
        </w:rPr>
        <w:t> </w:t>
      </w:r>
      <w:r>
        <w:rPr/>
        <w:t>Contreras</w:t>
      </w:r>
      <w:r>
        <w:rPr>
          <w:spacing w:val="-13"/>
        </w:rPr>
        <w:t> </w:t>
      </w:r>
      <w:r>
        <w:rPr/>
        <w:t>say</w:t>
      </w:r>
      <w:r>
        <w:rPr>
          <w:spacing w:val="-15"/>
        </w:rPr>
        <w:t> </w:t>
      </w:r>
      <w:r>
        <w:rPr/>
        <w:t>‘yes’.</w:t>
      </w:r>
      <w:r>
        <w:rPr>
          <w:spacing w:val="-12"/>
        </w:rPr>
        <w:t> </w:t>
      </w:r>
      <w:r>
        <w:rPr/>
        <w:t>Bitter</w:t>
      </w:r>
      <w:r>
        <w:rPr>
          <w:spacing w:val="-12"/>
        </w:rPr>
        <w:t> </w:t>
      </w:r>
      <w:r>
        <w:rPr/>
        <w:t>apricot</w:t>
      </w:r>
      <w:r>
        <w:rPr>
          <w:spacing w:val="-14"/>
        </w:rPr>
        <w:t> </w:t>
      </w:r>
      <w:r>
        <w:rPr/>
        <w:t>kernels</w:t>
      </w:r>
      <w:r>
        <w:rPr>
          <w:spacing w:val="-15"/>
        </w:rPr>
        <w:t> </w:t>
      </w:r>
      <w:r>
        <w:rPr/>
        <w:t>not</w:t>
      </w:r>
      <w:r>
        <w:rPr>
          <w:spacing w:val="-13"/>
        </w:rPr>
        <w:t> </w:t>
      </w:r>
      <w:r>
        <w:rPr/>
        <w:t>only</w:t>
      </w:r>
      <w:r>
        <w:rPr>
          <w:spacing w:val="-15"/>
        </w:rPr>
        <w:t> </w:t>
      </w:r>
      <w:r>
        <w:rPr/>
        <w:t>have the isolated active ingredient </w:t>
      </w:r>
      <w:r>
        <w:rPr>
          <w:i/>
        </w:rPr>
        <w:t>laetrile </w:t>
      </w:r>
      <w:r>
        <w:rPr/>
        <w:t>(vitamin B17), but also provide many im- portant</w:t>
      </w:r>
      <w:r>
        <w:rPr>
          <w:spacing w:val="-21"/>
        </w:rPr>
        <w:t> </w:t>
      </w:r>
      <w:r>
        <w:rPr/>
        <w:t>nutrients</w:t>
      </w:r>
      <w:r>
        <w:rPr>
          <w:spacing w:val="-20"/>
        </w:rPr>
        <w:t> </w:t>
      </w:r>
      <w:r>
        <w:rPr/>
        <w:t>and</w:t>
      </w:r>
      <w:r>
        <w:rPr>
          <w:spacing w:val="-20"/>
        </w:rPr>
        <w:t> </w:t>
      </w:r>
      <w:r>
        <w:rPr/>
        <w:t>minerals</w:t>
      </w:r>
      <w:r>
        <w:rPr>
          <w:spacing w:val="-21"/>
        </w:rPr>
        <w:t> </w:t>
      </w:r>
      <w:r>
        <w:rPr/>
        <w:t>which</w:t>
      </w:r>
      <w:r>
        <w:rPr>
          <w:spacing w:val="-19"/>
        </w:rPr>
        <w:t> </w:t>
      </w:r>
      <w:r>
        <w:rPr/>
        <w:t>support</w:t>
      </w:r>
      <w:r>
        <w:rPr>
          <w:spacing w:val="-21"/>
        </w:rPr>
        <w:t> </w:t>
      </w:r>
      <w:r>
        <w:rPr/>
        <w:t>recovery</w:t>
      </w:r>
      <w:r>
        <w:rPr>
          <w:spacing w:val="-19"/>
        </w:rPr>
        <w:t> </w:t>
      </w:r>
      <w:r>
        <w:rPr/>
        <w:t>or</w:t>
      </w:r>
      <w:r>
        <w:rPr>
          <w:spacing w:val="-20"/>
        </w:rPr>
        <w:t> </w:t>
      </w:r>
      <w:r>
        <w:rPr/>
        <w:t>maintain</w:t>
      </w:r>
      <w:r>
        <w:rPr>
          <w:spacing w:val="-21"/>
        </w:rPr>
        <w:t> </w:t>
      </w:r>
      <w:r>
        <w:rPr/>
        <w:t>good</w:t>
      </w:r>
      <w:r>
        <w:rPr>
          <w:spacing w:val="-19"/>
        </w:rPr>
        <w:t> </w:t>
      </w:r>
      <w:r>
        <w:rPr/>
        <w:t>health. If you are sensitive to the kernels, you should not chew them on an empty stomach!</w:t>
      </w:r>
    </w:p>
    <w:p>
      <w:pPr>
        <w:pStyle w:val="Heading1"/>
        <w:spacing w:before="225"/>
      </w:pPr>
      <w:r>
        <w:rPr/>
        <w:t>Can you also take vitamin B17 during chemotherapy or radiation?</w:t>
      </w:r>
    </w:p>
    <w:p>
      <w:pPr>
        <w:pStyle w:val="BodyText"/>
        <w:spacing w:line="276" w:lineRule="auto" w:before="297"/>
        <w:ind w:left="477" w:right="137"/>
        <w:jc w:val="both"/>
      </w:pPr>
      <w:r>
        <w:rPr/>
        <w:t>Experienced physicians who use metabolic cancer therapy insist that this is</w:t>
      </w:r>
      <w:r>
        <w:rPr>
          <w:spacing w:val="-46"/>
        </w:rPr>
        <w:t> </w:t>
      </w:r>
      <w:r>
        <w:rPr/>
        <w:t>not only recommended, but even necessary under the circumstances</w:t>
      </w:r>
      <w:r>
        <w:rPr>
          <w:spacing w:val="-19"/>
        </w:rPr>
        <w:t> </w:t>
      </w:r>
      <w:r>
        <w:rPr/>
        <w:t>mentioned.</w:t>
      </w:r>
    </w:p>
    <w:p>
      <w:pPr>
        <w:spacing w:after="0" w:line="276" w:lineRule="auto"/>
        <w:jc w:val="both"/>
        <w:sectPr>
          <w:pgSz w:w="14270" w:h="16850"/>
          <w:pgMar w:header="0" w:footer="1891" w:top="1600" w:bottom="2080" w:left="800" w:right="1280"/>
        </w:sectPr>
      </w:pPr>
    </w:p>
    <w:p>
      <w:pPr>
        <w:pStyle w:val="Heading1"/>
        <w:spacing w:before="164"/>
        <w:jc w:val="both"/>
      </w:pPr>
      <w:r>
        <w:rPr/>
        <w:t>Can</w:t>
      </w:r>
      <w:r>
        <w:rPr>
          <w:spacing w:val="-38"/>
        </w:rPr>
        <w:t> </w:t>
      </w:r>
      <w:r>
        <w:rPr/>
        <w:t>vitamin</w:t>
      </w:r>
      <w:r>
        <w:rPr>
          <w:spacing w:val="-40"/>
        </w:rPr>
        <w:t> </w:t>
      </w:r>
      <w:r>
        <w:rPr/>
        <w:t>B17</w:t>
      </w:r>
      <w:r>
        <w:rPr>
          <w:spacing w:val="-37"/>
        </w:rPr>
        <w:t> </w:t>
      </w:r>
      <w:r>
        <w:rPr/>
        <w:t>still</w:t>
      </w:r>
      <w:r>
        <w:rPr>
          <w:spacing w:val="-38"/>
        </w:rPr>
        <w:t> </w:t>
      </w:r>
      <w:r>
        <w:rPr/>
        <w:t>help</w:t>
      </w:r>
      <w:r>
        <w:rPr>
          <w:spacing w:val="-39"/>
        </w:rPr>
        <w:t> </w:t>
      </w:r>
      <w:r>
        <w:rPr/>
        <w:t>after</w:t>
      </w:r>
      <w:r>
        <w:rPr>
          <w:spacing w:val="-38"/>
        </w:rPr>
        <w:t> </w:t>
      </w:r>
      <w:r>
        <w:rPr/>
        <w:t>chemo</w:t>
      </w:r>
      <w:r>
        <w:rPr>
          <w:spacing w:val="-39"/>
        </w:rPr>
        <w:t> </w:t>
      </w:r>
      <w:r>
        <w:rPr/>
        <w:t>and</w:t>
      </w:r>
      <w:r>
        <w:rPr>
          <w:spacing w:val="-39"/>
        </w:rPr>
        <w:t> </w:t>
      </w:r>
      <w:r>
        <w:rPr/>
        <w:t>radiation</w:t>
      </w:r>
      <w:r>
        <w:rPr>
          <w:spacing w:val="-38"/>
        </w:rPr>
        <w:t> </w:t>
      </w:r>
      <w:r>
        <w:rPr/>
        <w:t>have</w:t>
      </w:r>
      <w:r>
        <w:rPr>
          <w:spacing w:val="-37"/>
        </w:rPr>
        <w:t> </w:t>
      </w:r>
      <w:r>
        <w:rPr/>
        <w:t>both</w:t>
      </w:r>
      <w:r>
        <w:rPr>
          <w:spacing w:val="-38"/>
        </w:rPr>
        <w:t> </w:t>
      </w:r>
      <w:r>
        <w:rPr/>
        <w:t>failed?</w:t>
      </w:r>
    </w:p>
    <w:p>
      <w:pPr>
        <w:pStyle w:val="BodyText"/>
        <w:spacing w:line="276" w:lineRule="auto" w:before="299"/>
        <w:ind w:left="477" w:right="132"/>
        <w:jc w:val="both"/>
      </w:pPr>
      <w:r>
        <w:rPr/>
        <w:t>According to Dr. Krebs and many other therapists, it can help even if chemo- therapy</w:t>
      </w:r>
      <w:r>
        <w:rPr>
          <w:spacing w:val="-11"/>
        </w:rPr>
        <w:t> </w:t>
      </w:r>
      <w:r>
        <w:rPr/>
        <w:t>and</w:t>
      </w:r>
      <w:r>
        <w:rPr>
          <w:spacing w:val="-11"/>
        </w:rPr>
        <w:t> </w:t>
      </w:r>
      <w:r>
        <w:rPr/>
        <w:t>radiation</w:t>
      </w:r>
      <w:r>
        <w:rPr>
          <w:spacing w:val="-11"/>
        </w:rPr>
        <w:t> </w:t>
      </w:r>
      <w:r>
        <w:rPr/>
        <w:t>fail.</w:t>
      </w:r>
      <w:r>
        <w:rPr>
          <w:spacing w:val="-11"/>
        </w:rPr>
        <w:t> </w:t>
      </w:r>
      <w:r>
        <w:rPr/>
        <w:t>However,</w:t>
      </w:r>
      <w:r>
        <w:rPr>
          <w:spacing w:val="-9"/>
        </w:rPr>
        <w:t> </w:t>
      </w:r>
      <w:r>
        <w:rPr/>
        <w:t>one</w:t>
      </w:r>
      <w:r>
        <w:rPr>
          <w:spacing w:val="-14"/>
        </w:rPr>
        <w:t> </w:t>
      </w:r>
      <w:r>
        <w:rPr/>
        <w:t>should</w:t>
      </w:r>
      <w:r>
        <w:rPr>
          <w:spacing w:val="-13"/>
        </w:rPr>
        <w:t> </w:t>
      </w:r>
      <w:r>
        <w:rPr/>
        <w:t>not</w:t>
      </w:r>
      <w:r>
        <w:rPr>
          <w:spacing w:val="-12"/>
        </w:rPr>
        <w:t> </w:t>
      </w:r>
      <w:r>
        <w:rPr/>
        <w:t>forget</w:t>
      </w:r>
      <w:r>
        <w:rPr>
          <w:spacing w:val="-13"/>
        </w:rPr>
        <w:t> </w:t>
      </w:r>
      <w:r>
        <w:rPr/>
        <w:t>that</w:t>
      </w:r>
      <w:r>
        <w:rPr>
          <w:spacing w:val="-12"/>
        </w:rPr>
        <w:t> </w:t>
      </w:r>
      <w:r>
        <w:rPr/>
        <w:t>it</w:t>
      </w:r>
      <w:r>
        <w:rPr>
          <w:spacing w:val="-13"/>
        </w:rPr>
        <w:t> </w:t>
      </w:r>
      <w:r>
        <w:rPr/>
        <w:t>is</w:t>
      </w:r>
      <w:r>
        <w:rPr>
          <w:spacing w:val="-12"/>
        </w:rPr>
        <w:t> </w:t>
      </w:r>
      <w:r>
        <w:rPr/>
        <w:t>not</w:t>
      </w:r>
      <w:r>
        <w:rPr>
          <w:spacing w:val="-13"/>
        </w:rPr>
        <w:t> </w:t>
      </w:r>
      <w:r>
        <w:rPr/>
        <w:t>uncom- mon for chemotherapy and radiation to cause the actual damage which often leads to death. Everybody can benefit for metabolic cancer treatment with lae- trile!</w:t>
      </w:r>
    </w:p>
    <w:p>
      <w:pPr>
        <w:pStyle w:val="Heading1"/>
        <w:spacing w:before="223"/>
        <w:jc w:val="both"/>
      </w:pPr>
      <w:r>
        <w:rPr/>
        <w:t>How long does it take for the first results to become apparent?</w:t>
      </w:r>
    </w:p>
    <w:p>
      <w:pPr>
        <w:pStyle w:val="BodyText"/>
        <w:spacing w:line="276" w:lineRule="auto" w:before="299"/>
        <w:ind w:left="477" w:right="136"/>
        <w:jc w:val="both"/>
      </w:pPr>
      <w:r>
        <w:rPr/>
        <w:t>This</w:t>
      </w:r>
      <w:r>
        <w:rPr>
          <w:spacing w:val="-12"/>
        </w:rPr>
        <w:t> </w:t>
      </w:r>
      <w:r>
        <w:rPr/>
        <w:t>is</w:t>
      </w:r>
      <w:r>
        <w:rPr>
          <w:spacing w:val="-12"/>
        </w:rPr>
        <w:t> </w:t>
      </w:r>
      <w:r>
        <w:rPr/>
        <w:t>a</w:t>
      </w:r>
      <w:r>
        <w:rPr>
          <w:spacing w:val="-15"/>
        </w:rPr>
        <w:t> </w:t>
      </w:r>
      <w:r>
        <w:rPr/>
        <w:t>question</w:t>
      </w:r>
      <w:r>
        <w:rPr>
          <w:spacing w:val="-11"/>
        </w:rPr>
        <w:t> </w:t>
      </w:r>
      <w:r>
        <w:rPr/>
        <w:t>that</w:t>
      </w:r>
      <w:r>
        <w:rPr>
          <w:spacing w:val="-12"/>
        </w:rPr>
        <w:t> </w:t>
      </w:r>
      <w:r>
        <w:rPr/>
        <w:t>depends</w:t>
      </w:r>
      <w:r>
        <w:rPr>
          <w:spacing w:val="-13"/>
        </w:rPr>
        <w:t> </w:t>
      </w:r>
      <w:r>
        <w:rPr/>
        <w:t>on</w:t>
      </w:r>
      <w:r>
        <w:rPr>
          <w:spacing w:val="-11"/>
        </w:rPr>
        <w:t> </w:t>
      </w:r>
      <w:r>
        <w:rPr/>
        <w:t>the</w:t>
      </w:r>
      <w:r>
        <w:rPr>
          <w:spacing w:val="-13"/>
        </w:rPr>
        <w:t> </w:t>
      </w:r>
      <w:r>
        <w:rPr/>
        <w:t>particular</w:t>
      </w:r>
      <w:r>
        <w:rPr>
          <w:spacing w:val="-12"/>
        </w:rPr>
        <w:t> </w:t>
      </w:r>
      <w:r>
        <w:rPr/>
        <w:t>viewpoint</w:t>
      </w:r>
      <w:r>
        <w:rPr>
          <w:spacing w:val="-12"/>
        </w:rPr>
        <w:t> </w:t>
      </w:r>
      <w:r>
        <w:rPr/>
        <w:t>and</w:t>
      </w:r>
      <w:r>
        <w:rPr>
          <w:spacing w:val="-11"/>
        </w:rPr>
        <w:t> </w:t>
      </w:r>
      <w:r>
        <w:rPr/>
        <w:t>includes</w:t>
      </w:r>
      <w:r>
        <w:rPr>
          <w:spacing w:val="-13"/>
        </w:rPr>
        <w:t> </w:t>
      </w:r>
      <w:r>
        <w:rPr/>
        <w:t>subjec- tive and objective outcomes. The subjective results, which can occur immedi- ately after the start of therapeutic treatment, include increased well-being, in- creased appetite, increased energy and a decrease in pain.</w:t>
      </w:r>
    </w:p>
    <w:p>
      <w:pPr>
        <w:pStyle w:val="BodyText"/>
        <w:spacing w:line="276" w:lineRule="auto" w:before="240"/>
        <w:ind w:left="477" w:right="135"/>
        <w:jc w:val="both"/>
      </w:pPr>
      <w:r>
        <w:rPr/>
        <w:t>Objective results should provide confirmation in the form of blood tests over a few days or weeks (generally better blood counts, decreased tumour markers, etc.).</w:t>
      </w:r>
    </w:p>
    <w:p>
      <w:pPr>
        <w:pStyle w:val="BodyText"/>
        <w:spacing w:line="276" w:lineRule="auto" w:before="241"/>
        <w:ind w:left="477" w:right="127"/>
        <w:jc w:val="both"/>
      </w:pPr>
      <w:r>
        <w:rPr/>
        <w:t>While skin tumours should respond most quickly and success should be</w:t>
      </w:r>
      <w:r>
        <w:rPr>
          <w:spacing w:val="-46"/>
        </w:rPr>
        <w:t> </w:t>
      </w:r>
      <w:r>
        <w:rPr/>
        <w:t>visible within</w:t>
      </w:r>
      <w:r>
        <w:rPr>
          <w:spacing w:val="-9"/>
        </w:rPr>
        <w:t> </w:t>
      </w:r>
      <w:r>
        <w:rPr/>
        <w:t>a</w:t>
      </w:r>
      <w:r>
        <w:rPr>
          <w:spacing w:val="-9"/>
        </w:rPr>
        <w:t> </w:t>
      </w:r>
      <w:r>
        <w:rPr/>
        <w:t>week,</w:t>
      </w:r>
      <w:r>
        <w:rPr>
          <w:spacing w:val="-8"/>
        </w:rPr>
        <w:t> </w:t>
      </w:r>
      <w:r>
        <w:rPr/>
        <w:t>with</w:t>
      </w:r>
      <w:r>
        <w:rPr>
          <w:spacing w:val="-8"/>
        </w:rPr>
        <w:t> </w:t>
      </w:r>
      <w:r>
        <w:rPr/>
        <w:t>cervical</w:t>
      </w:r>
      <w:r>
        <w:rPr>
          <w:spacing w:val="-11"/>
        </w:rPr>
        <w:t> </w:t>
      </w:r>
      <w:r>
        <w:rPr/>
        <w:t>cancer,</w:t>
      </w:r>
      <w:r>
        <w:rPr>
          <w:spacing w:val="-7"/>
        </w:rPr>
        <w:t> </w:t>
      </w:r>
      <w:r>
        <w:rPr/>
        <w:t>it</w:t>
      </w:r>
      <w:r>
        <w:rPr>
          <w:spacing w:val="-12"/>
        </w:rPr>
        <w:t> </w:t>
      </w:r>
      <w:r>
        <w:rPr/>
        <w:t>usually</w:t>
      </w:r>
      <w:r>
        <w:rPr>
          <w:spacing w:val="-8"/>
        </w:rPr>
        <w:t> </w:t>
      </w:r>
      <w:r>
        <w:rPr/>
        <w:t>takes</w:t>
      </w:r>
      <w:r>
        <w:rPr>
          <w:spacing w:val="-8"/>
        </w:rPr>
        <w:t> </w:t>
      </w:r>
      <w:r>
        <w:rPr/>
        <w:t>less</w:t>
      </w:r>
      <w:r>
        <w:rPr>
          <w:spacing w:val="-11"/>
        </w:rPr>
        <w:t> </w:t>
      </w:r>
      <w:r>
        <w:rPr/>
        <w:t>than</w:t>
      </w:r>
      <w:r>
        <w:rPr>
          <w:spacing w:val="-10"/>
        </w:rPr>
        <w:t> </w:t>
      </w:r>
      <w:r>
        <w:rPr/>
        <w:t>three</w:t>
      </w:r>
      <w:r>
        <w:rPr>
          <w:spacing w:val="-13"/>
        </w:rPr>
        <w:t> </w:t>
      </w:r>
      <w:r>
        <w:rPr/>
        <w:t>weeks</w:t>
      </w:r>
      <w:r>
        <w:rPr>
          <w:spacing w:val="-8"/>
        </w:rPr>
        <w:t> </w:t>
      </w:r>
      <w:r>
        <w:rPr/>
        <w:t>for</w:t>
      </w:r>
      <w:r>
        <w:rPr>
          <w:spacing w:val="-7"/>
        </w:rPr>
        <w:t> </w:t>
      </w:r>
      <w:r>
        <w:rPr/>
        <w:t>the patient to begin to recover, in many cases they will recover</w:t>
      </w:r>
      <w:r>
        <w:rPr>
          <w:spacing w:val="-9"/>
        </w:rPr>
        <w:t> </w:t>
      </w:r>
      <w:r>
        <w:rPr/>
        <w:t>completely.</w:t>
      </w:r>
    </w:p>
    <w:p>
      <w:pPr>
        <w:pStyle w:val="BodyText"/>
        <w:tabs>
          <w:tab w:pos="4657" w:val="left" w:leader="none"/>
          <w:tab w:pos="8253" w:val="left" w:leader="none"/>
          <w:tab w:pos="11282" w:val="left" w:leader="none"/>
        </w:tabs>
        <w:spacing w:line="276" w:lineRule="auto" w:before="241"/>
        <w:ind w:left="477" w:right="132"/>
        <w:jc w:val="both"/>
      </w:pPr>
      <w:r>
        <w:rPr/>
        <w:t>According</w:t>
      </w:r>
      <w:r>
        <w:rPr>
          <w:spacing w:val="-23"/>
        </w:rPr>
        <w:t> </w:t>
      </w:r>
      <w:r>
        <w:rPr/>
        <w:t>to</w:t>
      </w:r>
      <w:r>
        <w:rPr>
          <w:spacing w:val="-24"/>
        </w:rPr>
        <w:t> </w:t>
      </w:r>
      <w:r>
        <w:rPr/>
        <w:t>Dr.</w:t>
      </w:r>
      <w:r>
        <w:rPr>
          <w:spacing w:val="-24"/>
        </w:rPr>
        <w:t> </w:t>
      </w:r>
      <w:r>
        <w:rPr/>
        <w:t>Krebs,</w:t>
      </w:r>
      <w:r>
        <w:rPr>
          <w:spacing w:val="-26"/>
        </w:rPr>
        <w:t> </w:t>
      </w:r>
      <w:r>
        <w:rPr/>
        <w:t>1000</w:t>
      </w:r>
      <w:r>
        <w:rPr>
          <w:spacing w:val="-24"/>
        </w:rPr>
        <w:t> </w:t>
      </w:r>
      <w:r>
        <w:rPr/>
        <w:t>mg</w:t>
      </w:r>
      <w:r>
        <w:rPr>
          <w:spacing w:val="-23"/>
        </w:rPr>
        <w:t> </w:t>
      </w:r>
      <w:r>
        <w:rPr/>
        <w:t>of</w:t>
      </w:r>
      <w:r>
        <w:rPr>
          <w:spacing w:val="-26"/>
        </w:rPr>
        <w:t> </w:t>
      </w:r>
      <w:r>
        <w:rPr/>
        <w:t>vitamin</w:t>
      </w:r>
      <w:r>
        <w:rPr>
          <w:spacing w:val="-23"/>
        </w:rPr>
        <w:t> </w:t>
      </w:r>
      <w:r>
        <w:rPr/>
        <w:t>B17</w:t>
      </w:r>
      <w:r>
        <w:rPr>
          <w:spacing w:val="-24"/>
        </w:rPr>
        <w:t> </w:t>
      </w:r>
      <w:r>
        <w:rPr/>
        <w:t>should</w:t>
      </w:r>
      <w:r>
        <w:rPr>
          <w:spacing w:val="-25"/>
        </w:rPr>
        <w:t> </w:t>
      </w:r>
      <w:r>
        <w:rPr/>
        <w:t>be</w:t>
      </w:r>
      <w:r>
        <w:rPr>
          <w:spacing w:val="-23"/>
        </w:rPr>
        <w:t> </w:t>
      </w:r>
      <w:r>
        <w:rPr/>
        <w:t>taken</w:t>
      </w:r>
      <w:r>
        <w:rPr>
          <w:spacing w:val="-28"/>
        </w:rPr>
        <w:t> </w:t>
      </w:r>
      <w:r>
        <w:rPr/>
        <w:t>orally</w:t>
      </w:r>
      <w:r>
        <w:rPr>
          <w:spacing w:val="-22"/>
        </w:rPr>
        <w:t> </w:t>
      </w:r>
      <w:r>
        <w:rPr/>
        <w:t>in</w:t>
      </w:r>
      <w:r>
        <w:rPr>
          <w:spacing w:val="-23"/>
        </w:rPr>
        <w:t> </w:t>
      </w:r>
      <w:r>
        <w:rPr/>
        <w:t>tablet form as a maintenance dose to prevent recurrence. Other laetrile experts rec- ommend</w:t>
        <w:tab/>
        <w:t>1.5-2</w:t>
        <w:tab/>
        <w:t>g</w:t>
        <w:tab/>
        <w:t>daily!</w:t>
      </w:r>
    </w:p>
    <w:p>
      <w:pPr>
        <w:spacing w:after="0" w:line="276" w:lineRule="auto"/>
        <w:jc w:val="both"/>
        <w:sectPr>
          <w:pgSz w:w="14270" w:h="16850"/>
          <w:pgMar w:header="0" w:footer="1891" w:top="1600" w:bottom="2080" w:left="800" w:right="1280"/>
        </w:sectPr>
      </w:pPr>
    </w:p>
    <w:p>
      <w:pPr>
        <w:pStyle w:val="Heading1"/>
        <w:spacing w:before="164"/>
      </w:pPr>
      <w:r>
        <w:rPr/>
        <w:t>How</w:t>
      </w:r>
      <w:r>
        <w:rPr>
          <w:spacing w:val="-41"/>
        </w:rPr>
        <w:t> </w:t>
      </w:r>
      <w:r>
        <w:rPr/>
        <w:t>should</w:t>
      </w:r>
      <w:r>
        <w:rPr>
          <w:spacing w:val="-41"/>
        </w:rPr>
        <w:t> </w:t>
      </w:r>
      <w:r>
        <w:rPr/>
        <w:t>the</w:t>
      </w:r>
      <w:r>
        <w:rPr>
          <w:spacing w:val="-42"/>
        </w:rPr>
        <w:t> </w:t>
      </w:r>
      <w:r>
        <w:rPr/>
        <w:t>apricot</w:t>
      </w:r>
      <w:r>
        <w:rPr>
          <w:spacing w:val="-42"/>
        </w:rPr>
        <w:t> </w:t>
      </w:r>
      <w:r>
        <w:rPr/>
        <w:t>kernels</w:t>
      </w:r>
      <w:r>
        <w:rPr>
          <w:spacing w:val="-41"/>
        </w:rPr>
        <w:t> </w:t>
      </w:r>
      <w:r>
        <w:rPr/>
        <w:t>be</w:t>
      </w:r>
      <w:r>
        <w:rPr>
          <w:spacing w:val="-42"/>
        </w:rPr>
        <w:t> </w:t>
      </w:r>
      <w:r>
        <w:rPr/>
        <w:t>kept</w:t>
      </w:r>
      <w:r>
        <w:rPr>
          <w:spacing w:val="-38"/>
        </w:rPr>
        <w:t> </w:t>
      </w:r>
      <w:r>
        <w:rPr/>
        <w:t>so</w:t>
      </w:r>
      <w:r>
        <w:rPr>
          <w:spacing w:val="-41"/>
        </w:rPr>
        <w:t> </w:t>
      </w:r>
      <w:r>
        <w:rPr/>
        <w:t>they</w:t>
      </w:r>
      <w:r>
        <w:rPr>
          <w:spacing w:val="-41"/>
        </w:rPr>
        <w:t> </w:t>
      </w:r>
      <w:r>
        <w:rPr/>
        <w:t>last</w:t>
      </w:r>
      <w:r>
        <w:rPr>
          <w:spacing w:val="-41"/>
        </w:rPr>
        <w:t> </w:t>
      </w:r>
      <w:r>
        <w:rPr/>
        <w:t>as</w:t>
      </w:r>
      <w:r>
        <w:rPr>
          <w:spacing w:val="-41"/>
        </w:rPr>
        <w:t> </w:t>
      </w:r>
      <w:r>
        <w:rPr/>
        <w:t>long</w:t>
      </w:r>
      <w:r>
        <w:rPr>
          <w:spacing w:val="-40"/>
        </w:rPr>
        <w:t> </w:t>
      </w:r>
      <w:r>
        <w:rPr/>
        <w:t>as</w:t>
      </w:r>
      <w:r>
        <w:rPr>
          <w:spacing w:val="-40"/>
        </w:rPr>
        <w:t> </w:t>
      </w:r>
      <w:r>
        <w:rPr/>
        <w:t>possible?</w:t>
      </w:r>
    </w:p>
    <w:p>
      <w:pPr>
        <w:pStyle w:val="BodyText"/>
        <w:spacing w:line="276" w:lineRule="auto" w:before="299"/>
        <w:ind w:left="477" w:right="143"/>
        <w:jc w:val="both"/>
      </w:pPr>
      <w:r>
        <w:rPr/>
        <w:t>Apricot kernels should be stored in a cool and dark place; you can also store them in the fridge to prolong their shelf life (do not use after the expiry date!)</w:t>
      </w:r>
    </w:p>
    <w:p>
      <w:pPr>
        <w:pStyle w:val="BodyText"/>
        <w:rPr>
          <w:sz w:val="42"/>
        </w:rPr>
      </w:pPr>
    </w:p>
    <w:p>
      <w:pPr>
        <w:pStyle w:val="BodyText"/>
        <w:spacing w:before="11"/>
        <w:rPr>
          <w:sz w:val="42"/>
        </w:rPr>
      </w:pPr>
    </w:p>
    <w:p>
      <w:pPr>
        <w:pStyle w:val="Heading1"/>
        <w:spacing w:line="261" w:lineRule="auto" w:before="0"/>
        <w:ind w:right="138"/>
        <w:jc w:val="both"/>
      </w:pPr>
      <w:r>
        <w:rPr/>
        <w:t>Can</w:t>
      </w:r>
      <w:r>
        <w:rPr>
          <w:spacing w:val="-54"/>
        </w:rPr>
        <w:t> </w:t>
      </w:r>
      <w:r>
        <w:rPr/>
        <w:t>the</w:t>
      </w:r>
      <w:r>
        <w:rPr>
          <w:spacing w:val="-55"/>
        </w:rPr>
        <w:t> </w:t>
      </w:r>
      <w:r>
        <w:rPr/>
        <w:t>toxic</w:t>
      </w:r>
      <w:r>
        <w:rPr>
          <w:spacing w:val="-54"/>
        </w:rPr>
        <w:t> </w:t>
      </w:r>
      <w:r>
        <w:rPr/>
        <w:t>cyanide</w:t>
      </w:r>
      <w:r>
        <w:rPr>
          <w:spacing w:val="-54"/>
        </w:rPr>
        <w:t> </w:t>
      </w:r>
      <w:r>
        <w:rPr/>
        <w:t>in</w:t>
      </w:r>
      <w:r>
        <w:rPr>
          <w:spacing w:val="-54"/>
        </w:rPr>
        <w:t> </w:t>
      </w:r>
      <w:r>
        <w:rPr/>
        <w:t>vitamin</w:t>
      </w:r>
      <w:r>
        <w:rPr>
          <w:spacing w:val="-54"/>
        </w:rPr>
        <w:t> </w:t>
      </w:r>
      <w:r>
        <w:rPr/>
        <w:t>B17</w:t>
      </w:r>
      <w:r>
        <w:rPr>
          <w:spacing w:val="-54"/>
        </w:rPr>
        <w:t> </w:t>
      </w:r>
      <w:r>
        <w:rPr/>
        <w:t>damage</w:t>
      </w:r>
      <w:r>
        <w:rPr>
          <w:spacing w:val="-53"/>
        </w:rPr>
        <w:t> </w:t>
      </w:r>
      <w:r>
        <w:rPr/>
        <w:t>healthy</w:t>
      </w:r>
      <w:r>
        <w:rPr>
          <w:spacing w:val="-55"/>
        </w:rPr>
        <w:t> </w:t>
      </w:r>
      <w:r>
        <w:rPr/>
        <w:t>cells</w:t>
      </w:r>
      <w:r>
        <w:rPr>
          <w:spacing w:val="-53"/>
        </w:rPr>
        <w:t> </w:t>
      </w:r>
      <w:r>
        <w:rPr/>
        <w:t>in</w:t>
      </w:r>
      <w:r>
        <w:rPr>
          <w:spacing w:val="-55"/>
        </w:rPr>
        <w:t> </w:t>
      </w:r>
      <w:r>
        <w:rPr/>
        <w:t>addition</w:t>
      </w:r>
      <w:r>
        <w:rPr>
          <w:spacing w:val="-54"/>
        </w:rPr>
        <w:t> </w:t>
      </w:r>
      <w:r>
        <w:rPr/>
        <w:t>to the cancer cells?</w:t>
      </w:r>
    </w:p>
    <w:p>
      <w:pPr>
        <w:pStyle w:val="BodyText"/>
        <w:spacing w:before="258"/>
        <w:ind w:left="477"/>
      </w:pPr>
      <w:r>
        <w:rPr/>
        <w:t>According to Dr. Krebs and other laetrile researchers, absolutely not!</w:t>
      </w:r>
    </w:p>
    <w:p>
      <w:pPr>
        <w:pStyle w:val="Heading2"/>
        <w:spacing w:before="305"/>
      </w:pPr>
      <w:r>
        <w:rPr/>
        <w:t>Laetrile therapy under medical supervision</w:t>
      </w:r>
    </w:p>
    <w:p>
      <w:pPr>
        <w:pStyle w:val="BodyText"/>
        <w:spacing w:line="276" w:lineRule="auto" w:before="304"/>
        <w:ind w:left="477" w:right="136"/>
        <w:jc w:val="both"/>
      </w:pPr>
      <w:r>
        <w:rPr/>
        <w:t>Several reasons speak in favour of not carrying out laetrile therapy without su- pervision. In addition, by far the most successful form of laetrile treatment is the</w:t>
      </w:r>
      <w:r>
        <w:rPr>
          <w:spacing w:val="-19"/>
        </w:rPr>
        <w:t> </w:t>
      </w:r>
      <w:r>
        <w:rPr/>
        <w:t>intravenous</w:t>
      </w:r>
      <w:r>
        <w:rPr>
          <w:spacing w:val="-20"/>
        </w:rPr>
        <w:t> </w:t>
      </w:r>
      <w:r>
        <w:rPr/>
        <w:t>administration</w:t>
      </w:r>
      <w:r>
        <w:rPr>
          <w:spacing w:val="-19"/>
        </w:rPr>
        <w:t> </w:t>
      </w:r>
      <w:r>
        <w:rPr/>
        <w:t>of</w:t>
      </w:r>
      <w:r>
        <w:rPr>
          <w:spacing w:val="-20"/>
        </w:rPr>
        <w:t> </w:t>
      </w:r>
      <w:r>
        <w:rPr/>
        <w:t>the</w:t>
      </w:r>
      <w:r>
        <w:rPr>
          <w:spacing w:val="-19"/>
        </w:rPr>
        <w:t> </w:t>
      </w:r>
      <w:r>
        <w:rPr/>
        <w:t>drug,</w:t>
      </w:r>
      <w:r>
        <w:rPr>
          <w:spacing w:val="-18"/>
        </w:rPr>
        <w:t> </w:t>
      </w:r>
      <w:r>
        <w:rPr/>
        <w:t>which</w:t>
      </w:r>
      <w:r>
        <w:rPr>
          <w:spacing w:val="-19"/>
        </w:rPr>
        <w:t> </w:t>
      </w:r>
      <w:r>
        <w:rPr/>
        <w:t>is</w:t>
      </w:r>
      <w:r>
        <w:rPr>
          <w:spacing w:val="-20"/>
        </w:rPr>
        <w:t> </w:t>
      </w:r>
      <w:r>
        <w:rPr/>
        <w:t>equivalent</w:t>
      </w:r>
      <w:r>
        <w:rPr>
          <w:spacing w:val="-19"/>
        </w:rPr>
        <w:t> </w:t>
      </w:r>
      <w:r>
        <w:rPr/>
        <w:t>to</w:t>
      </w:r>
      <w:r>
        <w:rPr>
          <w:spacing w:val="-19"/>
        </w:rPr>
        <w:t> </w:t>
      </w:r>
      <w:r>
        <w:rPr/>
        <w:t>natural</w:t>
      </w:r>
      <w:r>
        <w:rPr>
          <w:spacing w:val="-21"/>
        </w:rPr>
        <w:t> </w:t>
      </w:r>
      <w:r>
        <w:rPr/>
        <w:t>chem- otherapy. According to Dr. Krebs, it takes longer with some types of tumours for vitamin B17 can take effect deep inside the body. This includes bone and brain</w:t>
      </w:r>
      <w:r>
        <w:rPr>
          <w:spacing w:val="-1"/>
        </w:rPr>
        <w:t> </w:t>
      </w:r>
      <w:r>
        <w:rPr/>
        <w:t>tumours.</w:t>
      </w:r>
    </w:p>
    <w:p>
      <w:pPr>
        <w:pStyle w:val="Heading1"/>
        <w:spacing w:line="261" w:lineRule="auto" w:before="223"/>
        <w:ind w:right="142"/>
        <w:jc w:val="both"/>
      </w:pPr>
      <w:r>
        <w:rPr/>
        <w:t>How much vitamin B17 should you take as a maintenance dose after overcoming cancer?</w:t>
      </w:r>
    </w:p>
    <w:p>
      <w:pPr>
        <w:pStyle w:val="BodyText"/>
        <w:spacing w:line="276" w:lineRule="auto" w:before="261"/>
        <w:ind w:left="477" w:right="133"/>
        <w:jc w:val="both"/>
      </w:pPr>
      <w:r>
        <w:rPr/>
        <w:t>Symptoms of intoxication can be expected during laetrile therapy, when the cancer cells release toxins as they die. In order to achieve the greatest possible therapeutic benefit and not endanger yourself, you should, if possible, consult an experienced laetrile therapist. Unfortunately, since the death of Dr.</w:t>
      </w:r>
      <w:r>
        <w:rPr>
          <w:spacing w:val="85"/>
        </w:rPr>
        <w:t> </w:t>
      </w:r>
      <w:r>
        <w:rPr/>
        <w:t>Nieper,</w:t>
      </w:r>
    </w:p>
    <w:p>
      <w:pPr>
        <w:spacing w:after="0" w:line="276" w:lineRule="auto"/>
        <w:jc w:val="both"/>
        <w:sectPr>
          <w:pgSz w:w="14270" w:h="16850"/>
          <w:pgMar w:header="0" w:footer="1891" w:top="1600" w:bottom="2080" w:left="800" w:right="1280"/>
        </w:sectPr>
      </w:pPr>
    </w:p>
    <w:p>
      <w:pPr>
        <w:pStyle w:val="BodyText"/>
        <w:spacing w:line="276" w:lineRule="auto" w:before="181"/>
        <w:ind w:left="477" w:right="134"/>
        <w:jc w:val="both"/>
      </w:pPr>
      <w:r>
        <w:rPr/>
        <w:t>a leader in the field of alternative cancer treatment, who successfully treated people from around the world (including celebrities such as Caroline of Mon- aco,</w:t>
      </w:r>
      <w:r>
        <w:rPr>
          <w:spacing w:val="-23"/>
        </w:rPr>
        <w:t> </w:t>
      </w:r>
      <w:r>
        <w:rPr/>
        <w:t>Ronald</w:t>
      </w:r>
      <w:r>
        <w:rPr>
          <w:spacing w:val="-23"/>
        </w:rPr>
        <w:t> </w:t>
      </w:r>
      <w:r>
        <w:rPr/>
        <w:t>Reagan,</w:t>
      </w:r>
      <w:r>
        <w:rPr>
          <w:spacing w:val="-23"/>
        </w:rPr>
        <w:t> </w:t>
      </w:r>
      <w:r>
        <w:rPr/>
        <w:t>members</w:t>
      </w:r>
      <w:r>
        <w:rPr>
          <w:spacing w:val="-22"/>
        </w:rPr>
        <w:t> </w:t>
      </w:r>
      <w:r>
        <w:rPr/>
        <w:t>of</w:t>
      </w:r>
      <w:r>
        <w:rPr>
          <w:spacing w:val="-26"/>
        </w:rPr>
        <w:t> </w:t>
      </w:r>
      <w:r>
        <w:rPr/>
        <w:t>the</w:t>
      </w:r>
      <w:r>
        <w:rPr>
          <w:spacing w:val="-22"/>
        </w:rPr>
        <w:t> </w:t>
      </w:r>
      <w:r>
        <w:rPr/>
        <w:t>Kennedy</w:t>
      </w:r>
      <w:r>
        <w:rPr>
          <w:spacing w:val="-23"/>
        </w:rPr>
        <w:t> </w:t>
      </w:r>
      <w:r>
        <w:rPr/>
        <w:t>clan,</w:t>
      </w:r>
      <w:r>
        <w:rPr>
          <w:spacing w:val="-23"/>
        </w:rPr>
        <w:t> </w:t>
      </w:r>
      <w:r>
        <w:rPr/>
        <w:t>etc.)</w:t>
      </w:r>
      <w:r>
        <w:rPr>
          <w:spacing w:val="-23"/>
        </w:rPr>
        <w:t> </w:t>
      </w:r>
      <w:r>
        <w:rPr/>
        <w:t>in</w:t>
      </w:r>
      <w:r>
        <w:rPr>
          <w:spacing w:val="-23"/>
        </w:rPr>
        <w:t> </w:t>
      </w:r>
      <w:r>
        <w:rPr/>
        <w:t>Hanover,</w:t>
      </w:r>
      <w:r>
        <w:rPr>
          <w:spacing w:val="-22"/>
        </w:rPr>
        <w:t> </w:t>
      </w:r>
      <w:r>
        <w:rPr/>
        <w:t>these</w:t>
      </w:r>
      <w:r>
        <w:rPr>
          <w:spacing w:val="-23"/>
        </w:rPr>
        <w:t> </w:t>
      </w:r>
      <w:r>
        <w:rPr/>
        <w:t>have become very rare in</w:t>
      </w:r>
      <w:r>
        <w:rPr>
          <w:spacing w:val="1"/>
        </w:rPr>
        <w:t> </w:t>
      </w:r>
      <w:r>
        <w:rPr/>
        <w:t>Germany.</w:t>
      </w:r>
    </w:p>
    <w:p>
      <w:pPr>
        <w:pStyle w:val="BodyText"/>
        <w:rPr>
          <w:sz w:val="42"/>
        </w:rPr>
      </w:pPr>
    </w:p>
    <w:p>
      <w:pPr>
        <w:pStyle w:val="BodyText"/>
        <w:rPr>
          <w:sz w:val="42"/>
        </w:rPr>
      </w:pPr>
    </w:p>
    <w:p>
      <w:pPr>
        <w:spacing w:before="269"/>
        <w:ind w:left="477" w:right="0" w:firstLine="0"/>
        <w:jc w:val="both"/>
        <w:rPr>
          <w:rFonts w:ascii="Cambria"/>
          <w:b/>
          <w:sz w:val="28"/>
        </w:rPr>
      </w:pPr>
      <w:r>
        <w:rPr>
          <w:rFonts w:ascii="Cambria"/>
          <w:b/>
          <w:color w:val="365F91"/>
          <w:sz w:val="28"/>
        </w:rPr>
        <w:t>LAPACHO TEA</w:t>
      </w:r>
    </w:p>
    <w:p>
      <w:pPr>
        <w:pStyle w:val="BodyText"/>
        <w:spacing w:before="7"/>
        <w:rPr>
          <w:rFonts w:ascii="Cambria"/>
          <w:b/>
          <w:sz w:val="47"/>
        </w:rPr>
      </w:pPr>
    </w:p>
    <w:p>
      <w:pPr>
        <w:pStyle w:val="Heading2"/>
        <w:jc w:val="both"/>
      </w:pPr>
      <w:r>
        <w:rPr/>
        <w:t>Foreword to this great</w:t>
      </w:r>
      <w:r>
        <w:rPr>
          <w:spacing w:val="-16"/>
        </w:rPr>
        <w:t> </w:t>
      </w:r>
      <w:r>
        <w:rPr/>
        <w:t>remedy</w:t>
      </w:r>
    </w:p>
    <w:p>
      <w:pPr>
        <w:pStyle w:val="BodyText"/>
        <w:spacing w:line="276" w:lineRule="auto" w:before="304"/>
        <w:ind w:left="477" w:right="133"/>
        <w:jc w:val="both"/>
      </w:pPr>
      <w:r>
        <w:rPr/>
        <w:t>Still relatively unknown in this country, lapacho tea enjoys great popularity throughout South America, where it is considered a natural remedy for count- less</w:t>
      </w:r>
      <w:r>
        <w:rPr>
          <w:spacing w:val="-4"/>
        </w:rPr>
        <w:t> </w:t>
      </w:r>
      <w:r>
        <w:rPr/>
        <w:t>ailments</w:t>
      </w:r>
      <w:r>
        <w:rPr>
          <w:spacing w:val="-3"/>
        </w:rPr>
        <w:t> </w:t>
      </w:r>
      <w:r>
        <w:rPr/>
        <w:t>as</w:t>
      </w:r>
      <w:r>
        <w:rPr>
          <w:spacing w:val="-8"/>
        </w:rPr>
        <w:t> </w:t>
      </w:r>
      <w:r>
        <w:rPr/>
        <w:t>well</w:t>
      </w:r>
      <w:r>
        <w:rPr>
          <w:spacing w:val="-6"/>
        </w:rPr>
        <w:t> </w:t>
      </w:r>
      <w:r>
        <w:rPr/>
        <w:t>as</w:t>
      </w:r>
      <w:r>
        <w:rPr>
          <w:spacing w:val="-4"/>
        </w:rPr>
        <w:t> </w:t>
      </w:r>
      <w:r>
        <w:rPr/>
        <w:t>purely</w:t>
      </w:r>
      <w:r>
        <w:rPr>
          <w:spacing w:val="-4"/>
        </w:rPr>
        <w:t> </w:t>
      </w:r>
      <w:r>
        <w:rPr/>
        <w:t>for</w:t>
      </w:r>
      <w:r>
        <w:rPr>
          <w:spacing w:val="-4"/>
        </w:rPr>
        <w:t> </w:t>
      </w:r>
      <w:r>
        <w:rPr/>
        <w:t>pleasure</w:t>
      </w:r>
      <w:r>
        <w:rPr>
          <w:spacing w:val="-4"/>
        </w:rPr>
        <w:t> </w:t>
      </w:r>
      <w:r>
        <w:rPr/>
        <w:t>as</w:t>
      </w:r>
      <w:r>
        <w:rPr>
          <w:spacing w:val="-4"/>
        </w:rPr>
        <w:t> </w:t>
      </w:r>
      <w:r>
        <w:rPr/>
        <w:t>a</w:t>
      </w:r>
      <w:r>
        <w:rPr>
          <w:spacing w:val="-6"/>
        </w:rPr>
        <w:t> </w:t>
      </w:r>
      <w:r>
        <w:rPr/>
        <w:t>tea</w:t>
      </w:r>
      <w:r>
        <w:rPr>
          <w:spacing w:val="-5"/>
        </w:rPr>
        <w:t> </w:t>
      </w:r>
      <w:r>
        <w:rPr/>
        <w:t>that</w:t>
      </w:r>
      <w:r>
        <w:rPr>
          <w:spacing w:val="-4"/>
        </w:rPr>
        <w:t> </w:t>
      </w:r>
      <w:r>
        <w:rPr/>
        <w:t>people</w:t>
      </w:r>
      <w:r>
        <w:rPr>
          <w:spacing w:val="-5"/>
        </w:rPr>
        <w:t> </w:t>
      </w:r>
      <w:r>
        <w:rPr/>
        <w:t>consume</w:t>
      </w:r>
      <w:r>
        <w:rPr>
          <w:spacing w:val="-3"/>
        </w:rPr>
        <w:t> </w:t>
      </w:r>
      <w:r>
        <w:rPr/>
        <w:t>daily</w:t>
      </w:r>
      <w:r>
        <w:rPr>
          <w:spacing w:val="-6"/>
        </w:rPr>
        <w:t> </w:t>
      </w:r>
      <w:r>
        <w:rPr/>
        <w:t>in the company of their loved</w:t>
      </w:r>
      <w:r>
        <w:rPr>
          <w:spacing w:val="1"/>
        </w:rPr>
        <w:t> </w:t>
      </w:r>
      <w:r>
        <w:rPr/>
        <w:t>ones.</w:t>
      </w:r>
    </w:p>
    <w:p>
      <w:pPr>
        <w:pStyle w:val="BodyText"/>
        <w:spacing w:line="276" w:lineRule="auto" w:before="240"/>
        <w:ind w:left="477" w:right="138"/>
        <w:jc w:val="both"/>
      </w:pPr>
      <w:r>
        <w:rPr/>
        <w:t>Given</w:t>
      </w:r>
      <w:r>
        <w:rPr>
          <w:spacing w:val="-25"/>
        </w:rPr>
        <w:t> </w:t>
      </w:r>
      <w:r>
        <w:rPr/>
        <w:t>the</w:t>
      </w:r>
      <w:r>
        <w:rPr>
          <w:spacing w:val="-25"/>
        </w:rPr>
        <w:t> </w:t>
      </w:r>
      <w:r>
        <w:rPr/>
        <w:t>ever-growing,</w:t>
      </w:r>
      <w:r>
        <w:rPr>
          <w:spacing w:val="-25"/>
        </w:rPr>
        <w:t> </w:t>
      </w:r>
      <w:r>
        <w:rPr/>
        <w:t>well-founded</w:t>
      </w:r>
      <w:r>
        <w:rPr>
          <w:spacing w:val="-25"/>
        </w:rPr>
        <w:t> </w:t>
      </w:r>
      <w:r>
        <w:rPr/>
        <w:t>scepticism</w:t>
      </w:r>
      <w:r>
        <w:rPr>
          <w:spacing w:val="-28"/>
        </w:rPr>
        <w:t> </w:t>
      </w:r>
      <w:r>
        <w:rPr/>
        <w:t>regarding</w:t>
      </w:r>
      <w:r>
        <w:rPr>
          <w:spacing w:val="-25"/>
        </w:rPr>
        <w:t> </w:t>
      </w:r>
      <w:r>
        <w:rPr/>
        <w:t>traditional</w:t>
      </w:r>
      <w:r>
        <w:rPr>
          <w:spacing w:val="-26"/>
        </w:rPr>
        <w:t> </w:t>
      </w:r>
      <w:r>
        <w:rPr/>
        <w:t>medicine and the growing interest in healthy alternatives from nature, it is only a matter of time before lapacho tea makes a breakthrough into our</w:t>
      </w:r>
      <w:r>
        <w:rPr>
          <w:spacing w:val="-9"/>
        </w:rPr>
        <w:t> </w:t>
      </w:r>
      <w:r>
        <w:rPr/>
        <w:t>culture.</w:t>
      </w:r>
    </w:p>
    <w:p>
      <w:pPr>
        <w:pStyle w:val="BodyText"/>
        <w:spacing w:line="276" w:lineRule="auto" w:before="119"/>
        <w:ind w:left="477" w:right="135"/>
        <w:jc w:val="both"/>
      </w:pPr>
      <w:r>
        <w:rPr/>
        <w:t>An increased interest would be more than comprehensible given its wide spec- trum of effects, especially since lapacho tea has a wide-ranging impact against numerous diseases and conditions and, in contrast to traditional drugs, is com- pletely free of side effects.</w:t>
      </w:r>
    </w:p>
    <w:p>
      <w:pPr>
        <w:pStyle w:val="Heading2"/>
        <w:spacing w:before="362"/>
        <w:jc w:val="both"/>
      </w:pPr>
      <w:r>
        <w:rPr/>
        <w:t>Lapacho – the plant and the tradition</w:t>
      </w:r>
    </w:p>
    <w:p>
      <w:pPr>
        <w:spacing w:after="0"/>
        <w:jc w:val="both"/>
        <w:sectPr>
          <w:pgSz w:w="14270" w:h="16850"/>
          <w:pgMar w:header="0" w:footer="1891" w:top="1600" w:bottom="2080" w:left="800" w:right="1280"/>
        </w:sectPr>
      </w:pPr>
    </w:p>
    <w:p>
      <w:pPr>
        <w:pStyle w:val="BodyText"/>
        <w:spacing w:line="276" w:lineRule="auto" w:before="181"/>
        <w:ind w:left="477" w:right="131"/>
        <w:jc w:val="both"/>
      </w:pPr>
      <w:r>
        <w:rPr/>
        <w:t>Without question, lapacho tea, obtained from the lapacho tree (scientific name ‘Tabebuia avellanedeae’), which the Indians respectfully refer to as the ‘tree of life’ or ‘protector of the life force’, is one of the elite medicinal herbs. Revered for centuries as a healer and source of pleasure, it has a very long tradition among the indigenous Indian peoples to look back on.</w:t>
      </w:r>
    </w:p>
    <w:p>
      <w:pPr>
        <w:pStyle w:val="BodyText"/>
        <w:spacing w:line="276" w:lineRule="auto" w:before="240"/>
        <w:ind w:left="477" w:right="135"/>
        <w:jc w:val="both"/>
      </w:pPr>
      <w:r>
        <w:rPr/>
        <w:t>Lapacho strengthens the immune system, detoxifies, counteracts inflammation and</w:t>
      </w:r>
      <w:r>
        <w:rPr>
          <w:spacing w:val="-8"/>
        </w:rPr>
        <w:t> </w:t>
      </w:r>
      <w:r>
        <w:rPr/>
        <w:t>assists</w:t>
      </w:r>
      <w:r>
        <w:rPr>
          <w:spacing w:val="-7"/>
        </w:rPr>
        <w:t> </w:t>
      </w:r>
      <w:r>
        <w:rPr/>
        <w:t>peaceful</w:t>
      </w:r>
      <w:r>
        <w:rPr>
          <w:spacing w:val="-9"/>
        </w:rPr>
        <w:t> </w:t>
      </w:r>
      <w:r>
        <w:rPr/>
        <w:t>sleep.</w:t>
      </w:r>
      <w:r>
        <w:rPr>
          <w:spacing w:val="-6"/>
        </w:rPr>
        <w:t> </w:t>
      </w:r>
      <w:r>
        <w:rPr/>
        <w:t>In</w:t>
      </w:r>
      <w:r>
        <w:rPr>
          <w:spacing w:val="-7"/>
        </w:rPr>
        <w:t> </w:t>
      </w:r>
      <w:r>
        <w:rPr/>
        <w:t>addition,</w:t>
      </w:r>
      <w:r>
        <w:rPr>
          <w:spacing w:val="-7"/>
        </w:rPr>
        <w:t> </w:t>
      </w:r>
      <w:r>
        <w:rPr/>
        <w:t>it</w:t>
      </w:r>
      <w:r>
        <w:rPr>
          <w:spacing w:val="-8"/>
        </w:rPr>
        <w:t> </w:t>
      </w:r>
      <w:r>
        <w:rPr/>
        <w:t>has</w:t>
      </w:r>
      <w:r>
        <w:rPr>
          <w:spacing w:val="-6"/>
        </w:rPr>
        <w:t> </w:t>
      </w:r>
      <w:r>
        <w:rPr/>
        <w:t>proven</w:t>
      </w:r>
      <w:r>
        <w:rPr>
          <w:spacing w:val="-7"/>
        </w:rPr>
        <w:t> </w:t>
      </w:r>
      <w:r>
        <w:rPr/>
        <w:t>itself</w:t>
      </w:r>
      <w:r>
        <w:rPr>
          <w:spacing w:val="-7"/>
        </w:rPr>
        <w:t> </w:t>
      </w:r>
      <w:r>
        <w:rPr/>
        <w:t>against</w:t>
      </w:r>
      <w:r>
        <w:rPr>
          <w:spacing w:val="-6"/>
        </w:rPr>
        <w:t> </w:t>
      </w:r>
      <w:r>
        <w:rPr/>
        <w:t>diseases</w:t>
      </w:r>
      <w:r>
        <w:rPr>
          <w:spacing w:val="-7"/>
        </w:rPr>
        <w:t> </w:t>
      </w:r>
      <w:r>
        <w:rPr/>
        <w:t>rang- ing from arthritis, neurodermatitis to gum inflammation. And, in studies, lapacho</w:t>
      </w:r>
      <w:r>
        <w:rPr>
          <w:spacing w:val="-12"/>
        </w:rPr>
        <w:t> </w:t>
      </w:r>
      <w:r>
        <w:rPr/>
        <w:t>tea</w:t>
      </w:r>
      <w:r>
        <w:rPr>
          <w:spacing w:val="-12"/>
        </w:rPr>
        <w:t> </w:t>
      </w:r>
      <w:r>
        <w:rPr/>
        <w:t>has</w:t>
      </w:r>
      <w:r>
        <w:rPr>
          <w:spacing w:val="-17"/>
        </w:rPr>
        <w:t> </w:t>
      </w:r>
      <w:r>
        <w:rPr/>
        <w:t>even</w:t>
      </w:r>
      <w:r>
        <w:rPr>
          <w:spacing w:val="-11"/>
        </w:rPr>
        <w:t> </w:t>
      </w:r>
      <w:r>
        <w:rPr/>
        <w:t>been</w:t>
      </w:r>
      <w:r>
        <w:rPr>
          <w:spacing w:val="-14"/>
        </w:rPr>
        <w:t> </w:t>
      </w:r>
      <w:r>
        <w:rPr/>
        <w:t>shown</w:t>
      </w:r>
      <w:r>
        <w:rPr>
          <w:spacing w:val="-12"/>
        </w:rPr>
        <w:t> </w:t>
      </w:r>
      <w:r>
        <w:rPr/>
        <w:t>to</w:t>
      </w:r>
      <w:r>
        <w:rPr>
          <w:spacing w:val="-15"/>
        </w:rPr>
        <w:t> </w:t>
      </w:r>
      <w:r>
        <w:rPr/>
        <w:t>be</w:t>
      </w:r>
      <w:r>
        <w:rPr>
          <w:spacing w:val="-13"/>
        </w:rPr>
        <w:t> </w:t>
      </w:r>
      <w:r>
        <w:rPr/>
        <w:t>beneficial</w:t>
      </w:r>
      <w:r>
        <w:rPr>
          <w:spacing w:val="-13"/>
        </w:rPr>
        <w:t> </w:t>
      </w:r>
      <w:r>
        <w:rPr/>
        <w:t>against</w:t>
      </w:r>
      <w:r>
        <w:rPr>
          <w:spacing w:val="-13"/>
        </w:rPr>
        <w:t> </w:t>
      </w:r>
      <w:r>
        <w:rPr/>
        <w:t>more</w:t>
      </w:r>
      <w:r>
        <w:rPr>
          <w:spacing w:val="-13"/>
        </w:rPr>
        <w:t> </w:t>
      </w:r>
      <w:r>
        <w:rPr/>
        <w:t>serious</w:t>
      </w:r>
      <w:r>
        <w:rPr>
          <w:spacing w:val="-13"/>
        </w:rPr>
        <w:t> </w:t>
      </w:r>
      <w:r>
        <w:rPr/>
        <w:t>illnesses, such as cancer.</w:t>
      </w:r>
    </w:p>
    <w:p>
      <w:pPr>
        <w:pStyle w:val="BodyText"/>
        <w:spacing w:line="276" w:lineRule="auto" w:before="242"/>
        <w:ind w:left="477" w:right="137"/>
        <w:jc w:val="both"/>
      </w:pPr>
      <w:r>
        <w:rPr/>
        <w:t>The name </w:t>
      </w:r>
      <w:r>
        <w:rPr>
          <w:i/>
        </w:rPr>
        <w:t>lapacho </w:t>
      </w:r>
      <w:r>
        <w:rPr/>
        <w:t>refers to several tree species measuring up to 35m in height in the rainforests of Brazil, Argentina and Paraguay (including Handroanthus impetiginosus, Handroanthus serratifolius, Handroanthus heptaphyllus),</w:t>
      </w:r>
      <w:r>
        <w:rPr>
          <w:spacing w:val="-54"/>
        </w:rPr>
        <w:t> </w:t>
      </w:r>
      <w:r>
        <w:rPr/>
        <w:t>which belong to the family of the Bignoniaceae and, in the flowering period between May and August, bear beautiful red or purple bell-shaped flowers.</w:t>
      </w:r>
    </w:p>
    <w:p>
      <w:pPr>
        <w:pStyle w:val="BodyText"/>
        <w:spacing w:line="276" w:lineRule="auto" w:before="240"/>
        <w:ind w:left="477" w:right="128"/>
        <w:jc w:val="both"/>
      </w:pPr>
      <w:r>
        <w:rPr/>
        <w:t>But it is not the flowers but the bark of the lapacho tree that is the sole focus of interest. Even the Incas used the aqueous extracts of the lapacho bark for the healing and alleviation of small ailments and serious illnesses. For this pur- pose, the inner bark (the so-called bast layer) of the otherwise very hard wood is processed into the corresponding extract. Since the bark quickly grows back after harvest, there is no reason to worry about the health of the tree.</w:t>
      </w:r>
    </w:p>
    <w:p>
      <w:pPr>
        <w:pStyle w:val="BodyText"/>
        <w:spacing w:before="241"/>
        <w:ind w:left="477"/>
        <w:jc w:val="both"/>
      </w:pPr>
      <w:r>
        <w:rPr/>
        <w:t>Later, it was the Peruvian Indians and Indian tribes from Bolivia and Paraguay</w:t>
      </w:r>
    </w:p>
    <w:p>
      <w:pPr>
        <w:spacing w:after="0"/>
        <w:jc w:val="both"/>
        <w:sectPr>
          <w:pgSz w:w="14270" w:h="16850"/>
          <w:pgMar w:header="0" w:footer="1891" w:top="1600" w:bottom="2080" w:left="800" w:right="1280"/>
        </w:sectPr>
      </w:pPr>
    </w:p>
    <w:p>
      <w:pPr>
        <w:pStyle w:val="BodyText"/>
        <w:spacing w:before="181"/>
        <w:ind w:left="477"/>
      </w:pPr>
      <w:r>
        <w:rPr/>
        <w:t>who continued the tradition of drinking lapacho tea.</w:t>
      </w:r>
    </w:p>
    <w:p>
      <w:pPr>
        <w:pStyle w:val="BodyText"/>
        <w:spacing w:before="8"/>
        <w:rPr>
          <w:sz w:val="37"/>
        </w:rPr>
      </w:pPr>
    </w:p>
    <w:p>
      <w:pPr>
        <w:pStyle w:val="Heading2"/>
        <w:spacing w:before="1"/>
      </w:pPr>
      <w:r>
        <w:rPr/>
        <w:t>The taste</w:t>
      </w:r>
    </w:p>
    <w:p>
      <w:pPr>
        <w:pStyle w:val="BodyText"/>
        <w:spacing w:line="276" w:lineRule="auto" w:before="184"/>
        <w:ind w:left="477" w:right="132"/>
        <w:jc w:val="both"/>
      </w:pPr>
      <w:r>
        <w:rPr/>
        <w:t>The taste of lapacho tea depends on the brewing time and the vessel in which the tea is brewed and stored. It usually tastes similar to rooibos tea and has a light vanilla aftertaste. If you let the lapacho tea infuse longer, it assumes a tart, spicy aroma.</w:t>
      </w:r>
    </w:p>
    <w:p>
      <w:pPr>
        <w:spacing w:before="360"/>
        <w:ind w:left="477" w:right="0" w:firstLine="0"/>
        <w:jc w:val="left"/>
        <w:rPr>
          <w:i/>
          <w:sz w:val="38"/>
        </w:rPr>
      </w:pPr>
      <w:r>
        <w:rPr>
          <w:i/>
          <w:sz w:val="38"/>
        </w:rPr>
        <w:t>What ingredients does lapacho tea contain?</w:t>
      </w:r>
    </w:p>
    <w:p>
      <w:pPr>
        <w:pStyle w:val="BodyText"/>
        <w:spacing w:line="276" w:lineRule="auto" w:before="304"/>
        <w:ind w:left="477" w:right="132"/>
        <w:jc w:val="both"/>
      </w:pPr>
      <w:r>
        <w:rPr/>
        <w:t>Lapacho</w:t>
      </w:r>
      <w:r>
        <w:rPr>
          <w:spacing w:val="-23"/>
        </w:rPr>
        <w:t> </w:t>
      </w:r>
      <w:r>
        <w:rPr/>
        <w:t>tea</w:t>
      </w:r>
      <w:r>
        <w:rPr>
          <w:spacing w:val="-24"/>
        </w:rPr>
        <w:t> </w:t>
      </w:r>
      <w:r>
        <w:rPr/>
        <w:t>has</w:t>
      </w:r>
      <w:r>
        <w:rPr>
          <w:spacing w:val="-23"/>
        </w:rPr>
        <w:t> </w:t>
      </w:r>
      <w:r>
        <w:rPr/>
        <w:t>a</w:t>
      </w:r>
      <w:r>
        <w:rPr>
          <w:spacing w:val="-25"/>
        </w:rPr>
        <w:t> </w:t>
      </w:r>
      <w:r>
        <w:rPr/>
        <w:t>variety</w:t>
      </w:r>
      <w:r>
        <w:rPr>
          <w:spacing w:val="-24"/>
        </w:rPr>
        <w:t> </w:t>
      </w:r>
      <w:r>
        <w:rPr/>
        <w:t>of</w:t>
      </w:r>
      <w:r>
        <w:rPr>
          <w:spacing w:val="-23"/>
        </w:rPr>
        <w:t> </w:t>
      </w:r>
      <w:r>
        <w:rPr/>
        <w:t>optimally</w:t>
      </w:r>
      <w:r>
        <w:rPr>
          <w:spacing w:val="-22"/>
        </w:rPr>
        <w:t> </w:t>
      </w:r>
      <w:r>
        <w:rPr/>
        <w:t>coordinated</w:t>
      </w:r>
      <w:r>
        <w:rPr>
          <w:spacing w:val="-24"/>
        </w:rPr>
        <w:t> </w:t>
      </w:r>
      <w:r>
        <w:rPr/>
        <w:t>active</w:t>
      </w:r>
      <w:r>
        <w:rPr>
          <w:spacing w:val="-25"/>
        </w:rPr>
        <w:t> </w:t>
      </w:r>
      <w:r>
        <w:rPr/>
        <w:t>ingredients</w:t>
      </w:r>
      <w:r>
        <w:rPr>
          <w:spacing w:val="-23"/>
        </w:rPr>
        <w:t> </w:t>
      </w:r>
      <w:r>
        <w:rPr/>
        <w:t>in</w:t>
      </w:r>
      <w:r>
        <w:rPr>
          <w:spacing w:val="-20"/>
        </w:rPr>
        <w:t> </w:t>
      </w:r>
      <w:r>
        <w:rPr/>
        <w:t>the</w:t>
      </w:r>
      <w:r>
        <w:rPr>
          <w:spacing w:val="-25"/>
        </w:rPr>
        <w:t> </w:t>
      </w:r>
      <w:r>
        <w:rPr/>
        <w:t>form of</w:t>
      </w:r>
      <w:r>
        <w:rPr>
          <w:spacing w:val="-13"/>
        </w:rPr>
        <w:t> </w:t>
      </w:r>
      <w:r>
        <w:rPr/>
        <w:t>minerals,</w:t>
      </w:r>
      <w:r>
        <w:rPr>
          <w:spacing w:val="-12"/>
        </w:rPr>
        <w:t> </w:t>
      </w:r>
      <w:r>
        <w:rPr/>
        <w:t>trace</w:t>
      </w:r>
      <w:r>
        <w:rPr>
          <w:spacing w:val="-12"/>
        </w:rPr>
        <w:t> </w:t>
      </w:r>
      <w:r>
        <w:rPr/>
        <w:t>elements,</w:t>
      </w:r>
      <w:r>
        <w:rPr>
          <w:spacing w:val="-14"/>
        </w:rPr>
        <w:t> </w:t>
      </w:r>
      <w:r>
        <w:rPr/>
        <w:t>saponins</w:t>
      </w:r>
      <w:r>
        <w:rPr>
          <w:spacing w:val="-12"/>
        </w:rPr>
        <w:t> </w:t>
      </w:r>
      <w:r>
        <w:rPr/>
        <w:t>and</w:t>
      </w:r>
      <w:r>
        <w:rPr>
          <w:spacing w:val="-12"/>
        </w:rPr>
        <w:t> </w:t>
      </w:r>
      <w:r>
        <w:rPr/>
        <w:t>other</w:t>
      </w:r>
      <w:r>
        <w:rPr>
          <w:spacing w:val="-13"/>
        </w:rPr>
        <w:t> </w:t>
      </w:r>
      <w:r>
        <w:rPr/>
        <w:t>phytochemicals</w:t>
      </w:r>
      <w:r>
        <w:rPr>
          <w:spacing w:val="-12"/>
        </w:rPr>
        <w:t> </w:t>
      </w:r>
      <w:r>
        <w:rPr/>
        <w:t>which</w:t>
      </w:r>
      <w:r>
        <w:rPr>
          <w:spacing w:val="-12"/>
        </w:rPr>
        <w:t> </w:t>
      </w:r>
      <w:r>
        <w:rPr/>
        <w:t>synergis- tically release their health</w:t>
      </w:r>
      <w:r>
        <w:rPr>
          <w:spacing w:val="-1"/>
        </w:rPr>
        <w:t> </w:t>
      </w:r>
      <w:r>
        <w:rPr/>
        <w:t>benefits.</w:t>
      </w:r>
    </w:p>
    <w:p>
      <w:pPr>
        <w:pStyle w:val="BodyText"/>
        <w:spacing w:line="276" w:lineRule="auto" w:before="241"/>
        <w:ind w:left="477" w:right="136"/>
        <w:jc w:val="both"/>
      </w:pPr>
      <w:r>
        <w:rPr/>
        <w:t>It is precisely the wondrous composition of all these ingredients in a perfect whole, which the human being is unable to imitate, which gives lapacho tea its full healing power.</w:t>
      </w:r>
    </w:p>
    <w:p>
      <w:pPr>
        <w:pStyle w:val="BodyText"/>
        <w:spacing w:before="240"/>
        <w:ind w:left="477"/>
        <w:jc w:val="both"/>
      </w:pPr>
      <w:r>
        <w:rPr/>
        <w:t>These include:</w:t>
      </w:r>
    </w:p>
    <w:p>
      <w:pPr>
        <w:pStyle w:val="ListParagraph"/>
        <w:numPr>
          <w:ilvl w:val="0"/>
          <w:numId w:val="53"/>
        </w:numPr>
        <w:tabs>
          <w:tab w:pos="893" w:val="left" w:leader="none"/>
        </w:tabs>
        <w:spacing w:line="240" w:lineRule="auto" w:before="186" w:after="0"/>
        <w:ind w:left="892" w:right="0" w:hanging="415"/>
        <w:jc w:val="both"/>
        <w:rPr>
          <w:sz w:val="38"/>
        </w:rPr>
      </w:pPr>
      <w:r>
        <w:rPr>
          <w:sz w:val="38"/>
        </w:rPr>
        <w:t>calcium</w:t>
      </w:r>
    </w:p>
    <w:p>
      <w:pPr>
        <w:pStyle w:val="ListParagraph"/>
        <w:numPr>
          <w:ilvl w:val="0"/>
          <w:numId w:val="53"/>
        </w:numPr>
        <w:tabs>
          <w:tab w:pos="893" w:val="left" w:leader="none"/>
        </w:tabs>
        <w:spacing w:line="240" w:lineRule="auto" w:before="63" w:after="0"/>
        <w:ind w:left="892" w:right="0" w:hanging="415"/>
        <w:jc w:val="both"/>
        <w:rPr>
          <w:sz w:val="38"/>
        </w:rPr>
      </w:pPr>
      <w:r>
        <w:rPr>
          <w:sz w:val="38"/>
        </w:rPr>
        <w:t>iron</w:t>
      </w:r>
    </w:p>
    <w:p>
      <w:pPr>
        <w:pStyle w:val="ListParagraph"/>
        <w:numPr>
          <w:ilvl w:val="0"/>
          <w:numId w:val="53"/>
        </w:numPr>
        <w:tabs>
          <w:tab w:pos="893" w:val="left" w:leader="none"/>
        </w:tabs>
        <w:spacing w:line="240" w:lineRule="auto" w:before="64" w:after="0"/>
        <w:ind w:left="892" w:right="0" w:hanging="415"/>
        <w:jc w:val="both"/>
        <w:rPr>
          <w:sz w:val="38"/>
        </w:rPr>
      </w:pPr>
      <w:r>
        <w:rPr>
          <w:sz w:val="38"/>
        </w:rPr>
        <w:t>potassium</w:t>
      </w:r>
    </w:p>
    <w:p>
      <w:pPr>
        <w:pStyle w:val="ListParagraph"/>
        <w:numPr>
          <w:ilvl w:val="0"/>
          <w:numId w:val="53"/>
        </w:numPr>
        <w:tabs>
          <w:tab w:pos="893" w:val="left" w:leader="none"/>
        </w:tabs>
        <w:spacing w:line="240" w:lineRule="auto" w:before="67" w:after="0"/>
        <w:ind w:left="892" w:right="0" w:hanging="415"/>
        <w:jc w:val="both"/>
        <w:rPr>
          <w:sz w:val="38"/>
        </w:rPr>
      </w:pPr>
      <w:r>
        <w:rPr>
          <w:sz w:val="38"/>
        </w:rPr>
        <w:t>copper</w:t>
      </w:r>
    </w:p>
    <w:p>
      <w:pPr>
        <w:pStyle w:val="ListParagraph"/>
        <w:numPr>
          <w:ilvl w:val="0"/>
          <w:numId w:val="53"/>
        </w:numPr>
        <w:tabs>
          <w:tab w:pos="893" w:val="left" w:leader="none"/>
        </w:tabs>
        <w:spacing w:line="240" w:lineRule="auto" w:before="63" w:after="0"/>
        <w:ind w:left="892" w:right="0" w:hanging="415"/>
        <w:jc w:val="both"/>
        <w:rPr>
          <w:sz w:val="38"/>
        </w:rPr>
      </w:pPr>
      <w:r>
        <w:rPr>
          <w:sz w:val="38"/>
        </w:rPr>
        <w:t>magnesium</w:t>
      </w:r>
    </w:p>
    <w:p>
      <w:pPr>
        <w:pStyle w:val="ListParagraph"/>
        <w:numPr>
          <w:ilvl w:val="0"/>
          <w:numId w:val="53"/>
        </w:numPr>
        <w:tabs>
          <w:tab w:pos="893" w:val="left" w:leader="none"/>
        </w:tabs>
        <w:spacing w:line="240" w:lineRule="auto" w:before="64" w:after="0"/>
        <w:ind w:left="892" w:right="0" w:hanging="415"/>
        <w:jc w:val="both"/>
        <w:rPr>
          <w:sz w:val="38"/>
        </w:rPr>
      </w:pPr>
      <w:r>
        <w:rPr>
          <w:sz w:val="38"/>
        </w:rPr>
        <w:t>manganese</w:t>
      </w:r>
    </w:p>
    <w:p>
      <w:pPr>
        <w:spacing w:after="0" w:line="240" w:lineRule="auto"/>
        <w:jc w:val="both"/>
        <w:rPr>
          <w:sz w:val="38"/>
        </w:rPr>
        <w:sectPr>
          <w:pgSz w:w="14270" w:h="16850"/>
          <w:pgMar w:header="0" w:footer="1891" w:top="1600" w:bottom="2080" w:left="800" w:right="1280"/>
        </w:sectPr>
      </w:pPr>
    </w:p>
    <w:p>
      <w:pPr>
        <w:pStyle w:val="BodyText"/>
        <w:spacing w:before="10"/>
        <w:rPr>
          <w:sz w:val="8"/>
        </w:rPr>
      </w:pPr>
    </w:p>
    <w:p>
      <w:pPr>
        <w:pStyle w:val="ListParagraph"/>
        <w:numPr>
          <w:ilvl w:val="0"/>
          <w:numId w:val="53"/>
        </w:numPr>
        <w:tabs>
          <w:tab w:pos="893" w:val="left" w:leader="none"/>
        </w:tabs>
        <w:spacing w:line="240" w:lineRule="auto" w:before="83" w:after="0"/>
        <w:ind w:left="892" w:right="0" w:hanging="415"/>
        <w:jc w:val="both"/>
        <w:rPr>
          <w:sz w:val="38"/>
        </w:rPr>
      </w:pPr>
      <w:r>
        <w:rPr>
          <w:sz w:val="38"/>
        </w:rPr>
        <w:t>sodium</w:t>
      </w:r>
    </w:p>
    <w:p>
      <w:pPr>
        <w:pStyle w:val="ListParagraph"/>
        <w:numPr>
          <w:ilvl w:val="0"/>
          <w:numId w:val="53"/>
        </w:numPr>
        <w:tabs>
          <w:tab w:pos="893" w:val="left" w:leader="none"/>
        </w:tabs>
        <w:spacing w:line="240" w:lineRule="auto" w:before="64" w:after="0"/>
        <w:ind w:left="892" w:right="0" w:hanging="415"/>
        <w:jc w:val="both"/>
        <w:rPr>
          <w:sz w:val="38"/>
        </w:rPr>
      </w:pPr>
      <w:r>
        <w:rPr>
          <w:sz w:val="38"/>
        </w:rPr>
        <w:t>iodine</w:t>
      </w:r>
    </w:p>
    <w:p>
      <w:pPr>
        <w:pStyle w:val="ListParagraph"/>
        <w:numPr>
          <w:ilvl w:val="0"/>
          <w:numId w:val="53"/>
        </w:numPr>
        <w:tabs>
          <w:tab w:pos="893" w:val="left" w:leader="none"/>
        </w:tabs>
        <w:spacing w:line="240" w:lineRule="auto" w:before="66" w:after="0"/>
        <w:ind w:left="892" w:right="0" w:hanging="415"/>
        <w:jc w:val="both"/>
        <w:rPr>
          <w:sz w:val="38"/>
        </w:rPr>
      </w:pPr>
      <w:r>
        <w:rPr>
          <w:sz w:val="38"/>
        </w:rPr>
        <w:t>selenium</w:t>
      </w:r>
    </w:p>
    <w:p>
      <w:pPr>
        <w:pStyle w:val="ListParagraph"/>
        <w:numPr>
          <w:ilvl w:val="0"/>
          <w:numId w:val="53"/>
        </w:numPr>
        <w:tabs>
          <w:tab w:pos="893" w:val="left" w:leader="none"/>
        </w:tabs>
        <w:spacing w:line="240" w:lineRule="auto" w:before="63" w:after="0"/>
        <w:ind w:left="892" w:right="0" w:hanging="415"/>
        <w:jc w:val="both"/>
        <w:rPr>
          <w:sz w:val="38"/>
        </w:rPr>
      </w:pPr>
      <w:r>
        <w:rPr>
          <w:sz w:val="38"/>
        </w:rPr>
        <w:t>chrome</w:t>
      </w:r>
    </w:p>
    <w:p>
      <w:pPr>
        <w:pStyle w:val="ListParagraph"/>
        <w:numPr>
          <w:ilvl w:val="0"/>
          <w:numId w:val="53"/>
        </w:numPr>
        <w:tabs>
          <w:tab w:pos="893" w:val="left" w:leader="none"/>
        </w:tabs>
        <w:spacing w:line="240" w:lineRule="auto" w:before="64" w:after="0"/>
        <w:ind w:left="892" w:right="0" w:hanging="415"/>
        <w:jc w:val="both"/>
        <w:rPr>
          <w:sz w:val="38"/>
        </w:rPr>
      </w:pPr>
      <w:r>
        <w:rPr>
          <w:sz w:val="38"/>
        </w:rPr>
        <w:t>gold</w:t>
      </w:r>
    </w:p>
    <w:p>
      <w:pPr>
        <w:pStyle w:val="ListParagraph"/>
        <w:numPr>
          <w:ilvl w:val="0"/>
          <w:numId w:val="53"/>
        </w:numPr>
        <w:tabs>
          <w:tab w:pos="893" w:val="left" w:leader="none"/>
        </w:tabs>
        <w:spacing w:line="240" w:lineRule="auto" w:before="63" w:after="0"/>
        <w:ind w:left="892" w:right="0" w:hanging="415"/>
        <w:jc w:val="both"/>
        <w:rPr>
          <w:sz w:val="38"/>
        </w:rPr>
      </w:pPr>
      <w:r>
        <w:rPr>
          <w:sz w:val="38"/>
        </w:rPr>
        <w:t>barium</w:t>
      </w:r>
    </w:p>
    <w:p>
      <w:pPr>
        <w:pStyle w:val="ListParagraph"/>
        <w:numPr>
          <w:ilvl w:val="0"/>
          <w:numId w:val="53"/>
        </w:numPr>
        <w:tabs>
          <w:tab w:pos="893" w:val="left" w:leader="none"/>
        </w:tabs>
        <w:spacing w:line="240" w:lineRule="auto" w:before="65" w:after="0"/>
        <w:ind w:left="892" w:right="0" w:hanging="415"/>
        <w:jc w:val="both"/>
        <w:rPr>
          <w:sz w:val="38"/>
        </w:rPr>
      </w:pPr>
      <w:r>
        <w:rPr>
          <w:sz w:val="38"/>
        </w:rPr>
        <w:t>boron</w:t>
      </w:r>
    </w:p>
    <w:p>
      <w:pPr>
        <w:pStyle w:val="ListParagraph"/>
        <w:numPr>
          <w:ilvl w:val="0"/>
          <w:numId w:val="53"/>
        </w:numPr>
        <w:tabs>
          <w:tab w:pos="893" w:val="left" w:leader="none"/>
        </w:tabs>
        <w:spacing w:line="240" w:lineRule="auto" w:before="66" w:after="0"/>
        <w:ind w:left="892" w:right="0" w:hanging="415"/>
        <w:jc w:val="both"/>
        <w:rPr>
          <w:sz w:val="38"/>
        </w:rPr>
      </w:pPr>
      <w:r>
        <w:rPr>
          <w:sz w:val="38"/>
        </w:rPr>
        <w:t>cobalt</w:t>
      </w:r>
    </w:p>
    <w:p>
      <w:pPr>
        <w:pStyle w:val="ListParagraph"/>
        <w:numPr>
          <w:ilvl w:val="0"/>
          <w:numId w:val="53"/>
        </w:numPr>
        <w:tabs>
          <w:tab w:pos="893" w:val="left" w:leader="none"/>
        </w:tabs>
        <w:spacing w:line="240" w:lineRule="auto" w:before="63" w:after="0"/>
        <w:ind w:left="892" w:right="0" w:hanging="415"/>
        <w:jc w:val="both"/>
        <w:rPr>
          <w:sz w:val="38"/>
        </w:rPr>
      </w:pPr>
      <w:r>
        <w:rPr>
          <w:sz w:val="38"/>
        </w:rPr>
        <w:t>phosphorus</w:t>
      </w:r>
    </w:p>
    <w:p>
      <w:pPr>
        <w:pStyle w:val="ListParagraph"/>
        <w:numPr>
          <w:ilvl w:val="0"/>
          <w:numId w:val="53"/>
        </w:numPr>
        <w:tabs>
          <w:tab w:pos="893" w:val="left" w:leader="none"/>
        </w:tabs>
        <w:spacing w:line="240" w:lineRule="auto" w:before="64" w:after="0"/>
        <w:ind w:left="892" w:right="0" w:hanging="415"/>
        <w:jc w:val="both"/>
        <w:rPr>
          <w:sz w:val="38"/>
        </w:rPr>
      </w:pPr>
      <w:r>
        <w:rPr>
          <w:sz w:val="38"/>
        </w:rPr>
        <w:t>strontium</w:t>
      </w:r>
    </w:p>
    <w:p>
      <w:pPr>
        <w:pStyle w:val="ListParagraph"/>
        <w:numPr>
          <w:ilvl w:val="0"/>
          <w:numId w:val="53"/>
        </w:numPr>
        <w:tabs>
          <w:tab w:pos="893" w:val="left" w:leader="none"/>
        </w:tabs>
        <w:spacing w:line="240" w:lineRule="auto" w:before="64" w:after="0"/>
        <w:ind w:left="892" w:right="0" w:hanging="415"/>
        <w:jc w:val="both"/>
        <w:rPr>
          <w:sz w:val="38"/>
        </w:rPr>
      </w:pPr>
      <w:r>
        <w:rPr>
          <w:sz w:val="38"/>
        </w:rPr>
        <w:t>saponins</w:t>
      </w:r>
    </w:p>
    <w:p>
      <w:pPr>
        <w:pStyle w:val="ListParagraph"/>
        <w:numPr>
          <w:ilvl w:val="0"/>
          <w:numId w:val="53"/>
        </w:numPr>
        <w:tabs>
          <w:tab w:pos="893" w:val="left" w:leader="none"/>
        </w:tabs>
        <w:spacing w:line="240" w:lineRule="auto" w:before="63" w:after="0"/>
        <w:ind w:left="892" w:right="0" w:hanging="415"/>
        <w:jc w:val="both"/>
        <w:rPr>
          <w:sz w:val="38"/>
        </w:rPr>
      </w:pPr>
      <w:r>
        <w:rPr>
          <w:sz w:val="38"/>
        </w:rPr>
        <w:t>silicon</w:t>
      </w:r>
    </w:p>
    <w:p>
      <w:pPr>
        <w:pStyle w:val="ListParagraph"/>
        <w:numPr>
          <w:ilvl w:val="0"/>
          <w:numId w:val="53"/>
        </w:numPr>
        <w:tabs>
          <w:tab w:pos="893" w:val="left" w:leader="none"/>
        </w:tabs>
        <w:spacing w:line="240" w:lineRule="auto" w:before="66" w:after="0"/>
        <w:ind w:left="892" w:right="0" w:hanging="415"/>
        <w:jc w:val="both"/>
        <w:rPr>
          <w:sz w:val="38"/>
        </w:rPr>
      </w:pPr>
      <w:r>
        <w:rPr>
          <w:sz w:val="38"/>
        </w:rPr>
        <w:t>lapachol</w:t>
      </w:r>
    </w:p>
    <w:p>
      <w:pPr>
        <w:pStyle w:val="ListParagraph"/>
        <w:numPr>
          <w:ilvl w:val="0"/>
          <w:numId w:val="53"/>
        </w:numPr>
        <w:tabs>
          <w:tab w:pos="893" w:val="left" w:leader="none"/>
        </w:tabs>
        <w:spacing w:line="240" w:lineRule="auto" w:before="64" w:after="0"/>
        <w:ind w:left="892" w:right="0" w:hanging="415"/>
        <w:jc w:val="both"/>
        <w:rPr>
          <w:sz w:val="38"/>
        </w:rPr>
      </w:pPr>
      <w:r>
        <w:rPr>
          <w:sz w:val="38"/>
        </w:rPr>
        <w:t>xylodion</w:t>
      </w:r>
    </w:p>
    <w:p>
      <w:pPr>
        <w:pStyle w:val="ListParagraph"/>
        <w:numPr>
          <w:ilvl w:val="0"/>
          <w:numId w:val="53"/>
        </w:numPr>
        <w:tabs>
          <w:tab w:pos="893" w:val="left" w:leader="none"/>
        </w:tabs>
        <w:spacing w:line="240" w:lineRule="auto" w:before="64" w:after="0"/>
        <w:ind w:left="892" w:right="0" w:hanging="415"/>
        <w:jc w:val="both"/>
        <w:rPr>
          <w:sz w:val="38"/>
        </w:rPr>
      </w:pPr>
      <w:r>
        <w:rPr>
          <w:sz w:val="38"/>
        </w:rPr>
        <w:t>veratraldehyde</w:t>
      </w:r>
    </w:p>
    <w:p>
      <w:pPr>
        <w:pStyle w:val="ListParagraph"/>
        <w:numPr>
          <w:ilvl w:val="0"/>
          <w:numId w:val="53"/>
        </w:numPr>
        <w:tabs>
          <w:tab w:pos="893" w:val="left" w:leader="none"/>
        </w:tabs>
        <w:spacing w:line="240" w:lineRule="auto" w:before="64" w:after="0"/>
        <w:ind w:left="892" w:right="0" w:hanging="415"/>
        <w:jc w:val="both"/>
        <w:rPr>
          <w:sz w:val="38"/>
        </w:rPr>
      </w:pPr>
      <w:r>
        <w:rPr>
          <w:sz w:val="38"/>
        </w:rPr>
        <w:t>veratric</w:t>
      </w:r>
      <w:r>
        <w:rPr>
          <w:spacing w:val="-2"/>
          <w:sz w:val="38"/>
        </w:rPr>
        <w:t> </w:t>
      </w:r>
      <w:r>
        <w:rPr>
          <w:sz w:val="38"/>
        </w:rPr>
        <w:t>acid</w:t>
      </w:r>
    </w:p>
    <w:p>
      <w:pPr>
        <w:pStyle w:val="ListParagraph"/>
        <w:numPr>
          <w:ilvl w:val="0"/>
          <w:numId w:val="53"/>
        </w:numPr>
        <w:tabs>
          <w:tab w:pos="891" w:val="left" w:leader="none"/>
        </w:tabs>
        <w:spacing w:line="240" w:lineRule="auto" w:before="66" w:after="0"/>
        <w:ind w:left="890" w:right="0" w:hanging="413"/>
        <w:jc w:val="both"/>
        <w:rPr>
          <w:sz w:val="38"/>
        </w:rPr>
      </w:pPr>
      <w:r>
        <w:rPr>
          <w:sz w:val="38"/>
        </w:rPr>
        <w:t>zinc</w:t>
      </w:r>
    </w:p>
    <w:p>
      <w:pPr>
        <w:pStyle w:val="Heading1"/>
        <w:spacing w:before="284"/>
        <w:jc w:val="both"/>
      </w:pPr>
      <w:r>
        <w:rPr/>
        <w:t>The</w:t>
      </w:r>
      <w:r>
        <w:rPr>
          <w:spacing w:val="-51"/>
        </w:rPr>
        <w:t> </w:t>
      </w:r>
      <w:r>
        <w:rPr/>
        <w:t>nature</w:t>
      </w:r>
      <w:r>
        <w:rPr>
          <w:spacing w:val="-50"/>
        </w:rPr>
        <w:t> </w:t>
      </w:r>
      <w:r>
        <w:rPr/>
        <w:t>and</w:t>
      </w:r>
      <w:r>
        <w:rPr>
          <w:spacing w:val="-50"/>
        </w:rPr>
        <w:t> </w:t>
      </w:r>
      <w:r>
        <w:rPr/>
        <w:t>qualities</w:t>
      </w:r>
      <w:r>
        <w:rPr>
          <w:spacing w:val="-51"/>
        </w:rPr>
        <w:t> </w:t>
      </w:r>
      <w:r>
        <w:rPr/>
        <w:t>of</w:t>
      </w:r>
      <w:r>
        <w:rPr>
          <w:spacing w:val="-50"/>
        </w:rPr>
        <w:t> </w:t>
      </w:r>
      <w:r>
        <w:rPr/>
        <w:t>the</w:t>
      </w:r>
      <w:r>
        <w:rPr>
          <w:spacing w:val="-50"/>
        </w:rPr>
        <w:t> </w:t>
      </w:r>
      <w:r>
        <w:rPr/>
        <w:t>lapacho</w:t>
      </w:r>
      <w:r>
        <w:rPr>
          <w:spacing w:val="-51"/>
        </w:rPr>
        <w:t> </w:t>
      </w:r>
      <w:r>
        <w:rPr/>
        <w:t>bark</w:t>
      </w:r>
      <w:r>
        <w:rPr>
          <w:spacing w:val="-50"/>
        </w:rPr>
        <w:t> </w:t>
      </w:r>
      <w:r>
        <w:rPr/>
        <w:t>increase</w:t>
      </w:r>
      <w:r>
        <w:rPr>
          <w:spacing w:val="-50"/>
        </w:rPr>
        <w:t> </w:t>
      </w:r>
      <w:r>
        <w:rPr/>
        <w:t>the</w:t>
      </w:r>
      <w:r>
        <w:rPr>
          <w:spacing w:val="-48"/>
        </w:rPr>
        <w:t> </w:t>
      </w:r>
      <w:r>
        <w:rPr/>
        <w:t>oxygen</w:t>
      </w:r>
      <w:r>
        <w:rPr>
          <w:spacing w:val="-51"/>
        </w:rPr>
        <w:t> </w:t>
      </w:r>
      <w:r>
        <w:rPr/>
        <w:t>supply</w:t>
      </w:r>
    </w:p>
    <w:p>
      <w:pPr>
        <w:pStyle w:val="BodyText"/>
        <w:spacing w:line="276" w:lineRule="auto" w:before="300"/>
        <w:ind w:left="477" w:right="140"/>
        <w:jc w:val="both"/>
      </w:pPr>
      <w:r>
        <w:rPr/>
        <w:t>It is the red inner bark of the lapacho tree, which is able to bind the oxygen in a special and valuable form that is readily available for humans. Lapacho not only supplies the healthy body cells with a lot of oxygen, but also successfully eliminates bacteria, viruses and fungi and can even reverse atherosclerosis.</w:t>
      </w:r>
    </w:p>
    <w:p>
      <w:pPr>
        <w:spacing w:after="0" w:line="276" w:lineRule="auto"/>
        <w:jc w:val="both"/>
        <w:sectPr>
          <w:pgSz w:w="14270" w:h="16850"/>
          <w:pgMar w:header="0" w:footer="1891" w:top="1600" w:bottom="2080" w:left="800" w:right="1280"/>
        </w:sectPr>
      </w:pPr>
    </w:p>
    <w:p>
      <w:pPr>
        <w:pStyle w:val="BodyText"/>
        <w:spacing w:line="276" w:lineRule="auto" w:before="181"/>
        <w:ind w:left="477"/>
      </w:pPr>
      <w:r>
        <w:rPr/>
        <w:t>The oxygenating effect is enhanced by the ingredients calcium and iron, which are known to be involved in oxygen transportation.</w:t>
      </w:r>
    </w:p>
    <w:p>
      <w:pPr>
        <w:pStyle w:val="BodyText"/>
        <w:rPr>
          <w:sz w:val="42"/>
        </w:rPr>
      </w:pPr>
    </w:p>
    <w:p>
      <w:pPr>
        <w:pStyle w:val="BodyText"/>
        <w:spacing w:before="5"/>
        <w:rPr>
          <w:sz w:val="44"/>
        </w:rPr>
      </w:pPr>
    </w:p>
    <w:p>
      <w:pPr>
        <w:pStyle w:val="Heading2"/>
        <w:spacing w:before="1"/>
      </w:pPr>
      <w:r>
        <w:rPr/>
        <w:t>Lapachol as a versatile active ingredient</w:t>
      </w:r>
    </w:p>
    <w:p>
      <w:pPr>
        <w:pStyle w:val="BodyText"/>
        <w:spacing w:line="276" w:lineRule="auto" w:before="304"/>
        <w:ind w:left="477" w:right="134"/>
        <w:jc w:val="both"/>
      </w:pPr>
      <w:r>
        <w:rPr/>
        <w:t>‘Lapachol’</w:t>
      </w:r>
      <w:r>
        <w:rPr>
          <w:spacing w:val="-18"/>
        </w:rPr>
        <w:t> </w:t>
      </w:r>
      <w:r>
        <w:rPr/>
        <w:t>is</w:t>
      </w:r>
      <w:r>
        <w:rPr>
          <w:spacing w:val="-18"/>
        </w:rPr>
        <w:t> </w:t>
      </w:r>
      <w:r>
        <w:rPr/>
        <w:t>one</w:t>
      </w:r>
      <w:r>
        <w:rPr>
          <w:spacing w:val="-18"/>
        </w:rPr>
        <w:t> </w:t>
      </w:r>
      <w:r>
        <w:rPr/>
        <w:t>of</w:t>
      </w:r>
      <w:r>
        <w:rPr>
          <w:spacing w:val="-18"/>
        </w:rPr>
        <w:t> </w:t>
      </w:r>
      <w:r>
        <w:rPr/>
        <w:t>twelve</w:t>
      </w:r>
      <w:r>
        <w:rPr>
          <w:spacing w:val="-17"/>
        </w:rPr>
        <w:t> </w:t>
      </w:r>
      <w:r>
        <w:rPr/>
        <w:t>quinones</w:t>
      </w:r>
      <w:r>
        <w:rPr>
          <w:spacing w:val="-17"/>
        </w:rPr>
        <w:t> </w:t>
      </w:r>
      <w:r>
        <w:rPr/>
        <w:t>in</w:t>
      </w:r>
      <w:r>
        <w:rPr>
          <w:spacing w:val="-19"/>
        </w:rPr>
        <w:t> </w:t>
      </w:r>
      <w:r>
        <w:rPr/>
        <w:t>lapacho</w:t>
      </w:r>
      <w:r>
        <w:rPr>
          <w:spacing w:val="-17"/>
        </w:rPr>
        <w:t> </w:t>
      </w:r>
      <w:r>
        <w:rPr/>
        <w:t>tea</w:t>
      </w:r>
      <w:r>
        <w:rPr>
          <w:spacing w:val="-19"/>
        </w:rPr>
        <w:t> </w:t>
      </w:r>
      <w:r>
        <w:rPr/>
        <w:t>that</w:t>
      </w:r>
      <w:r>
        <w:rPr>
          <w:spacing w:val="-18"/>
        </w:rPr>
        <w:t> </w:t>
      </w:r>
      <w:r>
        <w:rPr/>
        <w:t>has</w:t>
      </w:r>
      <w:r>
        <w:rPr>
          <w:spacing w:val="-18"/>
        </w:rPr>
        <w:t> </w:t>
      </w:r>
      <w:r>
        <w:rPr/>
        <w:t>been</w:t>
      </w:r>
      <w:r>
        <w:rPr>
          <w:spacing w:val="-17"/>
        </w:rPr>
        <w:t> </w:t>
      </w:r>
      <w:r>
        <w:rPr/>
        <w:t>shown</w:t>
      </w:r>
      <w:r>
        <w:rPr>
          <w:spacing w:val="-18"/>
        </w:rPr>
        <w:t> </w:t>
      </w:r>
      <w:r>
        <w:rPr/>
        <w:t>to</w:t>
      </w:r>
      <w:r>
        <w:rPr>
          <w:spacing w:val="-17"/>
        </w:rPr>
        <w:t> </w:t>
      </w:r>
      <w:r>
        <w:rPr/>
        <w:t>have an</w:t>
      </w:r>
      <w:r>
        <w:rPr>
          <w:spacing w:val="-24"/>
        </w:rPr>
        <w:t> </w:t>
      </w:r>
      <w:r>
        <w:rPr/>
        <w:t>antibiotic</w:t>
      </w:r>
      <w:r>
        <w:rPr>
          <w:spacing w:val="-24"/>
        </w:rPr>
        <w:t> </w:t>
      </w:r>
      <w:r>
        <w:rPr/>
        <w:t>effect.</w:t>
      </w:r>
      <w:r>
        <w:rPr>
          <w:spacing w:val="-22"/>
        </w:rPr>
        <w:t> </w:t>
      </w:r>
      <w:r>
        <w:rPr/>
        <w:t>Lapachol</w:t>
      </w:r>
      <w:r>
        <w:rPr>
          <w:spacing w:val="-23"/>
        </w:rPr>
        <w:t> </w:t>
      </w:r>
      <w:r>
        <w:rPr/>
        <w:t>also</w:t>
      </w:r>
      <w:r>
        <w:rPr>
          <w:spacing w:val="-24"/>
        </w:rPr>
        <w:t> </w:t>
      </w:r>
      <w:r>
        <w:rPr/>
        <w:t>has</w:t>
      </w:r>
      <w:r>
        <w:rPr>
          <w:spacing w:val="-22"/>
        </w:rPr>
        <w:t> </w:t>
      </w:r>
      <w:r>
        <w:rPr/>
        <w:t>antiviral,</w:t>
      </w:r>
      <w:r>
        <w:rPr>
          <w:spacing w:val="-24"/>
        </w:rPr>
        <w:t> </w:t>
      </w:r>
      <w:r>
        <w:rPr/>
        <w:t>anti-inflammatory,</w:t>
      </w:r>
      <w:r>
        <w:rPr>
          <w:spacing w:val="-23"/>
        </w:rPr>
        <w:t> </w:t>
      </w:r>
      <w:r>
        <w:rPr/>
        <w:t>analgesic</w:t>
      </w:r>
      <w:r>
        <w:rPr>
          <w:spacing w:val="-24"/>
        </w:rPr>
        <w:t> </w:t>
      </w:r>
      <w:r>
        <w:rPr/>
        <w:t>and anti-ulcer</w:t>
      </w:r>
      <w:r>
        <w:rPr>
          <w:spacing w:val="-19"/>
        </w:rPr>
        <w:t> </w:t>
      </w:r>
      <w:r>
        <w:rPr/>
        <w:t>effects.</w:t>
      </w:r>
      <w:r>
        <w:rPr>
          <w:spacing w:val="-18"/>
        </w:rPr>
        <w:t> </w:t>
      </w:r>
      <w:r>
        <w:rPr/>
        <w:t>It</w:t>
      </w:r>
      <w:r>
        <w:rPr>
          <w:spacing w:val="-20"/>
        </w:rPr>
        <w:t> </w:t>
      </w:r>
      <w:r>
        <w:rPr/>
        <w:t>also</w:t>
      </w:r>
      <w:r>
        <w:rPr>
          <w:spacing w:val="-18"/>
        </w:rPr>
        <w:t> </w:t>
      </w:r>
      <w:r>
        <w:rPr/>
        <w:t>has</w:t>
      </w:r>
      <w:r>
        <w:rPr>
          <w:spacing w:val="-18"/>
        </w:rPr>
        <w:t> </w:t>
      </w:r>
      <w:r>
        <w:rPr/>
        <w:t>tumour-inhibiting</w:t>
      </w:r>
      <w:r>
        <w:rPr>
          <w:spacing w:val="-18"/>
        </w:rPr>
        <w:t> </w:t>
      </w:r>
      <w:r>
        <w:rPr/>
        <w:t>properties</w:t>
      </w:r>
      <w:r>
        <w:rPr>
          <w:spacing w:val="-18"/>
        </w:rPr>
        <w:t> </w:t>
      </w:r>
      <w:r>
        <w:rPr/>
        <w:t>and</w:t>
      </w:r>
      <w:r>
        <w:rPr>
          <w:spacing w:val="-19"/>
        </w:rPr>
        <w:t> </w:t>
      </w:r>
      <w:r>
        <w:rPr/>
        <w:t>can</w:t>
      </w:r>
      <w:r>
        <w:rPr>
          <w:spacing w:val="-19"/>
        </w:rPr>
        <w:t> </w:t>
      </w:r>
      <w:r>
        <w:rPr/>
        <w:t>even</w:t>
      </w:r>
      <w:r>
        <w:rPr>
          <w:spacing w:val="-18"/>
        </w:rPr>
        <w:t> </w:t>
      </w:r>
      <w:r>
        <w:rPr/>
        <w:t>success- fully treat malaria.</w:t>
      </w:r>
    </w:p>
    <w:p>
      <w:pPr>
        <w:pStyle w:val="BodyText"/>
        <w:spacing w:before="240"/>
        <w:ind w:left="477"/>
        <w:jc w:val="both"/>
      </w:pPr>
      <w:r>
        <w:rPr/>
        <w:t>The quinones (including lapachol) also have</w:t>
      </w:r>
    </w:p>
    <w:p>
      <w:pPr>
        <w:pStyle w:val="ListParagraph"/>
        <w:numPr>
          <w:ilvl w:val="0"/>
          <w:numId w:val="53"/>
        </w:numPr>
        <w:tabs>
          <w:tab w:pos="893" w:val="left" w:leader="none"/>
        </w:tabs>
        <w:spacing w:line="240" w:lineRule="auto" w:before="306" w:after="0"/>
        <w:ind w:left="892" w:right="0" w:hanging="415"/>
        <w:jc w:val="both"/>
        <w:rPr>
          <w:sz w:val="38"/>
        </w:rPr>
      </w:pPr>
      <w:r>
        <w:rPr>
          <w:sz w:val="38"/>
        </w:rPr>
        <w:t>cytotoxic (cancer-cell</w:t>
      </w:r>
      <w:r>
        <w:rPr>
          <w:spacing w:val="-1"/>
          <w:sz w:val="38"/>
        </w:rPr>
        <w:t> </w:t>
      </w:r>
      <w:r>
        <w:rPr>
          <w:sz w:val="38"/>
        </w:rPr>
        <w:t>killing),</w:t>
      </w:r>
    </w:p>
    <w:p>
      <w:pPr>
        <w:pStyle w:val="ListParagraph"/>
        <w:numPr>
          <w:ilvl w:val="0"/>
          <w:numId w:val="53"/>
        </w:numPr>
        <w:tabs>
          <w:tab w:pos="893" w:val="left" w:leader="none"/>
        </w:tabs>
        <w:spacing w:line="240" w:lineRule="auto" w:before="64" w:after="0"/>
        <w:ind w:left="892" w:right="0" w:hanging="415"/>
        <w:jc w:val="both"/>
        <w:rPr>
          <w:sz w:val="38"/>
        </w:rPr>
      </w:pPr>
      <w:r>
        <w:rPr>
          <w:sz w:val="38"/>
        </w:rPr>
        <w:t>cytostatic (cancer growth-inhibiting)</w:t>
      </w:r>
    </w:p>
    <w:p>
      <w:pPr>
        <w:pStyle w:val="ListParagraph"/>
        <w:numPr>
          <w:ilvl w:val="0"/>
          <w:numId w:val="53"/>
        </w:numPr>
        <w:tabs>
          <w:tab w:pos="893" w:val="left" w:leader="none"/>
        </w:tabs>
        <w:spacing w:line="240" w:lineRule="auto" w:before="64" w:after="0"/>
        <w:ind w:left="892" w:right="0" w:hanging="415"/>
        <w:jc w:val="both"/>
        <w:rPr>
          <w:sz w:val="38"/>
        </w:rPr>
      </w:pPr>
      <w:r>
        <w:rPr>
          <w:sz w:val="38"/>
        </w:rPr>
        <w:t>anti-metastatic</w:t>
      </w:r>
      <w:r>
        <w:rPr>
          <w:spacing w:val="1"/>
          <w:sz w:val="38"/>
        </w:rPr>
        <w:t> </w:t>
      </w:r>
      <w:r>
        <w:rPr>
          <w:sz w:val="38"/>
        </w:rPr>
        <w:t>and</w:t>
      </w:r>
    </w:p>
    <w:p>
      <w:pPr>
        <w:pStyle w:val="ListParagraph"/>
        <w:numPr>
          <w:ilvl w:val="0"/>
          <w:numId w:val="53"/>
        </w:numPr>
        <w:tabs>
          <w:tab w:pos="893" w:val="left" w:leader="none"/>
        </w:tabs>
        <w:spacing w:line="240" w:lineRule="auto" w:before="63" w:after="0"/>
        <w:ind w:left="892" w:right="0" w:hanging="415"/>
        <w:jc w:val="both"/>
        <w:rPr>
          <w:sz w:val="38"/>
        </w:rPr>
      </w:pPr>
      <w:r>
        <w:rPr>
          <w:sz w:val="38"/>
        </w:rPr>
        <w:t>immune-building (immune</w:t>
      </w:r>
      <w:r>
        <w:rPr>
          <w:spacing w:val="1"/>
          <w:sz w:val="38"/>
        </w:rPr>
        <w:t> </w:t>
      </w:r>
      <w:r>
        <w:rPr>
          <w:sz w:val="38"/>
        </w:rPr>
        <w:t>system-strengthening)</w:t>
      </w:r>
    </w:p>
    <w:p>
      <w:pPr>
        <w:pStyle w:val="BodyText"/>
        <w:spacing w:before="185"/>
        <w:ind w:left="477"/>
        <w:jc w:val="both"/>
      </w:pPr>
      <w:r>
        <w:rPr/>
        <w:t>properties and are therefore currently the subject of intensive cancer research.</w:t>
      </w:r>
    </w:p>
    <w:p>
      <w:pPr>
        <w:pStyle w:val="Heading1"/>
        <w:spacing w:before="285"/>
        <w:jc w:val="both"/>
      </w:pPr>
      <w:r>
        <w:rPr/>
        <w:t>Stimulating, revitalising effect of lapachol</w:t>
      </w:r>
    </w:p>
    <w:p>
      <w:pPr>
        <w:pStyle w:val="BodyText"/>
        <w:tabs>
          <w:tab w:pos="1298" w:val="left" w:leader="none"/>
          <w:tab w:pos="3150" w:val="left" w:leader="none"/>
          <w:tab w:pos="4214" w:val="left" w:leader="none"/>
          <w:tab w:pos="4766" w:val="left" w:leader="none"/>
          <w:tab w:pos="5462" w:val="left" w:leader="none"/>
          <w:tab w:pos="8127" w:val="left" w:leader="none"/>
          <w:tab w:pos="10107" w:val="left" w:leader="none"/>
          <w:tab w:pos="11727" w:val="left" w:leader="none"/>
        </w:tabs>
        <w:spacing w:line="276" w:lineRule="auto" w:before="299"/>
        <w:ind w:left="477" w:right="134"/>
      </w:pPr>
      <w:r>
        <w:rPr/>
        <w:t>The</w:t>
        <w:tab/>
        <w:t>stimulating</w:t>
        <w:tab/>
        <w:t>effect</w:t>
        <w:tab/>
        <w:t>of</w:t>
        <w:tab/>
        <w:t>the</w:t>
        <w:tab/>
        <w:t>naphthoquinone</w:t>
        <w:tab/>
        <w:t>compounds</w:t>
        <w:tab/>
        <w:t>‘lapachol’</w:t>
        <w:tab/>
        <w:t>or ‘lapachone’ is also worth</w:t>
      </w:r>
      <w:r>
        <w:rPr>
          <w:spacing w:val="1"/>
        </w:rPr>
        <w:t> </w:t>
      </w:r>
      <w:r>
        <w:rPr/>
        <w:t>mentioning.</w:t>
      </w:r>
    </w:p>
    <w:p>
      <w:pPr>
        <w:pStyle w:val="Heading1"/>
        <w:jc w:val="both"/>
      </w:pPr>
      <w:r>
        <w:rPr/>
        <w:t>Immune-enhancing effects of lapachol</w:t>
      </w:r>
    </w:p>
    <w:p>
      <w:pPr>
        <w:spacing w:after="0"/>
        <w:jc w:val="both"/>
        <w:sectPr>
          <w:pgSz w:w="14270" w:h="16850"/>
          <w:pgMar w:header="0" w:footer="1891" w:top="1600" w:bottom="2080" w:left="800" w:right="1280"/>
        </w:sectPr>
      </w:pPr>
    </w:p>
    <w:p>
      <w:pPr>
        <w:pStyle w:val="BodyText"/>
        <w:spacing w:line="276" w:lineRule="auto" w:before="181"/>
        <w:ind w:left="477"/>
      </w:pPr>
      <w:r>
        <w:rPr/>
        <w:t>In addition, lapacho's active ingredient ‘lapachol’ activates immune cells, lym- phocytes and granulocytes, strengthening our immune system.</w:t>
      </w:r>
    </w:p>
    <w:p>
      <w:pPr>
        <w:pStyle w:val="BodyText"/>
        <w:rPr>
          <w:sz w:val="42"/>
        </w:rPr>
      </w:pPr>
    </w:p>
    <w:p>
      <w:pPr>
        <w:pStyle w:val="BodyText"/>
        <w:spacing w:before="11"/>
        <w:rPr>
          <w:sz w:val="42"/>
        </w:rPr>
      </w:pPr>
    </w:p>
    <w:p>
      <w:pPr>
        <w:pStyle w:val="Heading1"/>
        <w:spacing w:before="0"/>
        <w:jc w:val="both"/>
      </w:pPr>
      <w:r>
        <w:rPr/>
        <w:t>Veratraldehyde</w:t>
      </w:r>
    </w:p>
    <w:p>
      <w:pPr>
        <w:pStyle w:val="BodyText"/>
        <w:spacing w:before="299"/>
        <w:ind w:left="477"/>
        <w:jc w:val="both"/>
      </w:pPr>
      <w:r>
        <w:rPr/>
        <w:t>Plays a role in strengthening the immune system.</w:t>
      </w:r>
    </w:p>
    <w:p>
      <w:pPr>
        <w:pStyle w:val="Heading1"/>
        <w:spacing w:before="286"/>
        <w:jc w:val="both"/>
      </w:pPr>
      <w:r>
        <w:rPr/>
        <w:t>Veratric acid</w:t>
      </w:r>
    </w:p>
    <w:p>
      <w:pPr>
        <w:pStyle w:val="BodyText"/>
        <w:spacing w:before="299"/>
        <w:ind w:left="477"/>
        <w:jc w:val="both"/>
      </w:pPr>
      <w:r>
        <w:rPr/>
        <w:t>Strengthens the immune system.</w:t>
      </w:r>
    </w:p>
    <w:p>
      <w:pPr>
        <w:pStyle w:val="Heading1"/>
        <w:spacing w:before="287"/>
        <w:jc w:val="both"/>
      </w:pPr>
      <w:r>
        <w:rPr/>
        <w:t>saponins</w:t>
      </w:r>
    </w:p>
    <w:p>
      <w:pPr>
        <w:pStyle w:val="BodyText"/>
        <w:spacing w:line="276" w:lineRule="auto" w:before="299"/>
        <w:ind w:left="477" w:right="137"/>
        <w:jc w:val="both"/>
        <w:rPr>
          <w:sz w:val="25"/>
        </w:rPr>
      </w:pPr>
      <w:r>
        <w:rPr/>
        <w:t>Lapacho contains many saponins. These protect against any kind of fungi and can</w:t>
      </w:r>
      <w:r>
        <w:rPr>
          <w:spacing w:val="-19"/>
        </w:rPr>
        <w:t> </w:t>
      </w:r>
      <w:r>
        <w:rPr/>
        <w:t>even</w:t>
      </w:r>
      <w:r>
        <w:rPr>
          <w:spacing w:val="-18"/>
        </w:rPr>
        <w:t> </w:t>
      </w:r>
      <w:r>
        <w:rPr/>
        <w:t>inhibit</w:t>
      </w:r>
      <w:r>
        <w:rPr>
          <w:spacing w:val="-22"/>
        </w:rPr>
        <w:t> </w:t>
      </w:r>
      <w:r>
        <w:rPr/>
        <w:t>cancer</w:t>
      </w:r>
      <w:r>
        <w:rPr>
          <w:spacing w:val="-18"/>
        </w:rPr>
        <w:t> </w:t>
      </w:r>
      <w:r>
        <w:rPr/>
        <w:t>growth.</w:t>
      </w:r>
      <w:r>
        <w:rPr>
          <w:spacing w:val="-23"/>
        </w:rPr>
        <w:t> </w:t>
      </w:r>
      <w:r>
        <w:rPr/>
        <w:t>The</w:t>
      </w:r>
      <w:r>
        <w:rPr>
          <w:spacing w:val="-18"/>
        </w:rPr>
        <w:t> </w:t>
      </w:r>
      <w:r>
        <w:rPr/>
        <w:t>latter</w:t>
      </w:r>
      <w:r>
        <w:rPr>
          <w:spacing w:val="-18"/>
        </w:rPr>
        <w:t> </w:t>
      </w:r>
      <w:r>
        <w:rPr/>
        <w:t>has</w:t>
      </w:r>
      <w:r>
        <w:rPr>
          <w:spacing w:val="-18"/>
        </w:rPr>
        <w:t> </w:t>
      </w:r>
      <w:r>
        <w:rPr/>
        <w:t>led</w:t>
      </w:r>
      <w:r>
        <w:rPr>
          <w:spacing w:val="-20"/>
        </w:rPr>
        <w:t> </w:t>
      </w:r>
      <w:r>
        <w:rPr/>
        <w:t>Japanese</w:t>
      </w:r>
      <w:r>
        <w:rPr>
          <w:spacing w:val="-18"/>
        </w:rPr>
        <w:t> </w:t>
      </w:r>
      <w:r>
        <w:rPr/>
        <w:t>researchers</w:t>
      </w:r>
      <w:r>
        <w:rPr>
          <w:spacing w:val="-18"/>
        </w:rPr>
        <w:t> </w:t>
      </w:r>
      <w:r>
        <w:rPr/>
        <w:t>to</w:t>
      </w:r>
      <w:r>
        <w:rPr>
          <w:spacing w:val="-21"/>
        </w:rPr>
        <w:t> </w:t>
      </w:r>
      <w:r>
        <w:rPr/>
        <w:t>patent special lapacho saponins as anti-cancer</w:t>
      </w:r>
      <w:r>
        <w:rPr>
          <w:spacing w:val="1"/>
        </w:rPr>
        <w:t> </w:t>
      </w:r>
      <w:r>
        <w:rPr/>
        <w:t>drugs.</w:t>
      </w:r>
      <w:r>
        <w:rPr>
          <w:position w:val="9"/>
          <w:sz w:val="25"/>
        </w:rPr>
        <w:t>453</w:t>
      </w:r>
    </w:p>
    <w:p>
      <w:pPr>
        <w:pStyle w:val="BodyText"/>
        <w:spacing w:line="276" w:lineRule="auto" w:before="239"/>
        <w:ind w:left="477"/>
      </w:pPr>
      <w:r>
        <w:rPr/>
        <w:t>In doses of 1500 mg, lapachol isolated from lapacho tea showed a marked an- titumour effect.</w:t>
      </w:r>
    </w:p>
    <w:p>
      <w:pPr>
        <w:pStyle w:val="Heading1"/>
      </w:pPr>
      <w:r>
        <w:rPr/>
        <w:t>Selenium as a cell-protecting antioxidant and detoxifying agent</w:t>
      </w:r>
    </w:p>
    <w:p>
      <w:pPr>
        <w:pStyle w:val="BodyText"/>
        <w:spacing w:line="276" w:lineRule="auto" w:before="299"/>
        <w:ind w:left="477"/>
      </w:pPr>
      <w:r>
        <w:rPr/>
        <w:t>Another important component of lapacho tea is the antioxidant </w:t>
      </w:r>
      <w:r>
        <w:rPr>
          <w:i/>
        </w:rPr>
        <w:t>selenium</w:t>
      </w:r>
      <w:r>
        <w:rPr/>
        <w:t>, which protects our cells from being destroyed by neutralising free radicals. The im-</w:t>
      </w:r>
    </w:p>
    <w:p>
      <w:pPr>
        <w:pStyle w:val="BodyText"/>
        <w:rPr>
          <w:sz w:val="20"/>
        </w:rPr>
      </w:pPr>
    </w:p>
    <w:p>
      <w:pPr>
        <w:pStyle w:val="BodyText"/>
        <w:rPr>
          <w:sz w:val="20"/>
        </w:rPr>
      </w:pPr>
    </w:p>
    <w:p>
      <w:pPr>
        <w:pStyle w:val="BodyText"/>
        <w:rPr>
          <w:sz w:val="20"/>
        </w:rPr>
      </w:pPr>
    </w:p>
    <w:p>
      <w:pPr>
        <w:pStyle w:val="BodyText"/>
        <w:spacing w:before="3"/>
        <w:rPr>
          <w:sz w:val="26"/>
        </w:rPr>
      </w:pPr>
      <w:r>
        <w:rPr/>
        <w:pict>
          <v:line style="position:absolute;mso-position-horizontal-relative:page;mso-position-vertical-relative:paragraph;z-index:5696;mso-wrap-distance-left:0;mso-wrap-distance-right:0" from="63.863998pt,17.158735pt" to="207.883998pt,17.158735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453 </w:t>
      </w:r>
      <w:r>
        <w:rPr>
          <w:sz w:val="20"/>
        </w:rPr>
        <w:t>Walter Lübeck: Heilen mit Lapacho-Tee (‘Healing with Lapacho Tea’), 8th Edition 1999, p. 36</w:t>
      </w:r>
    </w:p>
    <w:p>
      <w:pPr>
        <w:spacing w:after="0"/>
        <w:jc w:val="left"/>
        <w:rPr>
          <w:sz w:val="20"/>
        </w:rPr>
        <w:sectPr>
          <w:footerReference w:type="default" r:id="rId202"/>
          <w:pgSz w:w="14270" w:h="16850"/>
          <w:pgMar w:footer="1891" w:header="0" w:top="1600" w:bottom="2080" w:left="800" w:right="1280"/>
          <w:pgNumType w:start="820"/>
        </w:sectPr>
      </w:pPr>
    </w:p>
    <w:p>
      <w:pPr>
        <w:pStyle w:val="BodyText"/>
        <w:spacing w:line="276" w:lineRule="auto" w:before="181"/>
        <w:ind w:left="477" w:right="136"/>
        <w:jc w:val="both"/>
      </w:pPr>
      <w:r>
        <w:rPr/>
        <w:t>portance of this becomes clear when one considers that most diseases and</w:t>
      </w:r>
      <w:r>
        <w:rPr>
          <w:spacing w:val="-56"/>
        </w:rPr>
        <w:t> </w:t>
      </w:r>
      <w:r>
        <w:rPr/>
        <w:t>age- ing processes are caused by the harmful effects of free radicals.</w:t>
      </w:r>
    </w:p>
    <w:p>
      <w:pPr>
        <w:pStyle w:val="BodyText"/>
        <w:spacing w:line="276" w:lineRule="auto" w:before="241"/>
        <w:ind w:left="477" w:right="133"/>
        <w:jc w:val="both"/>
      </w:pPr>
      <w:r>
        <w:rPr/>
        <w:t>Furthermore, selenium is able to detoxify the human body and cleanse it of heavy metals such as cadmium.</w:t>
      </w:r>
    </w:p>
    <w:p>
      <w:pPr>
        <w:pStyle w:val="Heading1"/>
      </w:pPr>
      <w:r>
        <w:rPr/>
        <w:t>Xylodion has antibacterial, antiviral and antifungal properties</w:t>
      </w:r>
    </w:p>
    <w:p>
      <w:pPr>
        <w:pStyle w:val="BodyText"/>
        <w:spacing w:line="276" w:lineRule="auto" w:before="297"/>
        <w:ind w:left="477" w:right="134"/>
        <w:jc w:val="both"/>
      </w:pPr>
      <w:r>
        <w:rPr/>
        <w:t>The abundant organic compound ‘xylodion’ in lapacho has been shown to be antibacterial,</w:t>
      </w:r>
      <w:r>
        <w:rPr>
          <w:spacing w:val="-9"/>
        </w:rPr>
        <w:t> </w:t>
      </w:r>
      <w:r>
        <w:rPr/>
        <w:t>antiviral</w:t>
      </w:r>
      <w:r>
        <w:rPr>
          <w:spacing w:val="-11"/>
        </w:rPr>
        <w:t> </w:t>
      </w:r>
      <w:r>
        <w:rPr/>
        <w:t>and</w:t>
      </w:r>
      <w:r>
        <w:rPr>
          <w:spacing w:val="-7"/>
        </w:rPr>
        <w:t> </w:t>
      </w:r>
      <w:r>
        <w:rPr/>
        <w:t>fungicidal.</w:t>
      </w:r>
      <w:r>
        <w:rPr>
          <w:spacing w:val="-9"/>
        </w:rPr>
        <w:t> </w:t>
      </w:r>
      <w:r>
        <w:rPr/>
        <w:t>In</w:t>
      </w:r>
      <w:r>
        <w:rPr>
          <w:spacing w:val="-9"/>
        </w:rPr>
        <w:t> </w:t>
      </w:r>
      <w:r>
        <w:rPr/>
        <w:t>this</w:t>
      </w:r>
      <w:r>
        <w:rPr>
          <w:spacing w:val="-8"/>
        </w:rPr>
        <w:t> </w:t>
      </w:r>
      <w:r>
        <w:rPr/>
        <w:t>capacity,</w:t>
      </w:r>
      <w:r>
        <w:rPr>
          <w:spacing w:val="-10"/>
        </w:rPr>
        <w:t> </w:t>
      </w:r>
      <w:r>
        <w:rPr/>
        <w:t>xylodion</w:t>
      </w:r>
      <w:r>
        <w:rPr>
          <w:spacing w:val="-9"/>
        </w:rPr>
        <w:t> </w:t>
      </w:r>
      <w:r>
        <w:rPr/>
        <w:t>can</w:t>
      </w:r>
      <w:r>
        <w:rPr>
          <w:spacing w:val="-6"/>
        </w:rPr>
        <w:t> </w:t>
      </w:r>
      <w:r>
        <w:rPr/>
        <w:t>even</w:t>
      </w:r>
      <w:r>
        <w:rPr>
          <w:spacing w:val="-9"/>
        </w:rPr>
        <w:t> </w:t>
      </w:r>
      <w:r>
        <w:rPr/>
        <w:t>kill</w:t>
      </w:r>
      <w:r>
        <w:rPr>
          <w:spacing w:val="-11"/>
        </w:rPr>
        <w:t> </w:t>
      </w:r>
      <w:r>
        <w:rPr/>
        <w:t>the dangerous Candida</w:t>
      </w:r>
      <w:r>
        <w:rPr>
          <w:spacing w:val="-1"/>
        </w:rPr>
        <w:t> </w:t>
      </w:r>
      <w:r>
        <w:rPr/>
        <w:t>fungus.</w:t>
      </w:r>
    </w:p>
    <w:p>
      <w:pPr>
        <w:spacing w:before="361"/>
        <w:ind w:left="477" w:right="0" w:firstLine="0"/>
        <w:jc w:val="left"/>
        <w:rPr>
          <w:i/>
          <w:sz w:val="38"/>
        </w:rPr>
      </w:pPr>
      <w:r>
        <w:rPr>
          <w:i/>
          <w:sz w:val="38"/>
        </w:rPr>
        <w:t>Effect of lapacho tea</w:t>
      </w:r>
    </w:p>
    <w:p>
      <w:pPr>
        <w:pStyle w:val="BodyText"/>
        <w:spacing w:line="276" w:lineRule="auto" w:before="305"/>
        <w:ind w:left="477" w:right="132"/>
        <w:jc w:val="both"/>
      </w:pPr>
      <w:r>
        <w:rPr/>
        <w:t>The Indians used and still use the Lapacho tea as an all-round health drink,</w:t>
      </w:r>
      <w:r>
        <w:rPr>
          <w:spacing w:val="-52"/>
        </w:rPr>
        <w:t> </w:t>
      </w:r>
      <w:r>
        <w:rPr/>
        <w:t>but also</w:t>
      </w:r>
      <w:r>
        <w:rPr>
          <w:spacing w:val="-5"/>
        </w:rPr>
        <w:t> </w:t>
      </w:r>
      <w:r>
        <w:rPr/>
        <w:t>purely</w:t>
      </w:r>
      <w:r>
        <w:rPr>
          <w:spacing w:val="-5"/>
        </w:rPr>
        <w:t> </w:t>
      </w:r>
      <w:r>
        <w:rPr/>
        <w:t>as</w:t>
      </w:r>
      <w:r>
        <w:rPr>
          <w:spacing w:val="-7"/>
        </w:rPr>
        <w:t> </w:t>
      </w:r>
      <w:r>
        <w:rPr/>
        <w:t>a</w:t>
      </w:r>
      <w:r>
        <w:rPr>
          <w:spacing w:val="-9"/>
        </w:rPr>
        <w:t> </w:t>
      </w:r>
      <w:r>
        <w:rPr/>
        <w:t>source</w:t>
      </w:r>
      <w:r>
        <w:rPr>
          <w:spacing w:val="-4"/>
        </w:rPr>
        <w:t> </w:t>
      </w:r>
      <w:r>
        <w:rPr/>
        <w:t>of</w:t>
      </w:r>
      <w:r>
        <w:rPr>
          <w:spacing w:val="-7"/>
        </w:rPr>
        <w:t> </w:t>
      </w:r>
      <w:r>
        <w:rPr/>
        <w:t>pleasure.</w:t>
      </w:r>
      <w:r>
        <w:rPr>
          <w:spacing w:val="-5"/>
        </w:rPr>
        <w:t> </w:t>
      </w:r>
      <w:r>
        <w:rPr/>
        <w:t>In</w:t>
      </w:r>
      <w:r>
        <w:rPr>
          <w:spacing w:val="-6"/>
        </w:rPr>
        <w:t> </w:t>
      </w:r>
      <w:r>
        <w:rPr/>
        <w:t>addition</w:t>
      </w:r>
      <w:r>
        <w:rPr>
          <w:spacing w:val="-4"/>
        </w:rPr>
        <w:t> </w:t>
      </w:r>
      <w:r>
        <w:rPr/>
        <w:t>to</w:t>
      </w:r>
      <w:r>
        <w:rPr>
          <w:spacing w:val="-10"/>
        </w:rPr>
        <w:t> </w:t>
      </w:r>
      <w:r>
        <w:rPr/>
        <w:t>its</w:t>
      </w:r>
      <w:r>
        <w:rPr>
          <w:spacing w:val="-5"/>
        </w:rPr>
        <w:t> </w:t>
      </w:r>
      <w:r>
        <w:rPr/>
        <w:t>analgesic</w:t>
      </w:r>
      <w:r>
        <w:rPr>
          <w:spacing w:val="-6"/>
        </w:rPr>
        <w:t> </w:t>
      </w:r>
      <w:r>
        <w:rPr/>
        <w:t>effect,</w:t>
      </w:r>
      <w:r>
        <w:rPr>
          <w:spacing w:val="-4"/>
        </w:rPr>
        <w:t> </w:t>
      </w:r>
      <w:r>
        <w:rPr/>
        <w:t>it</w:t>
      </w:r>
      <w:r>
        <w:rPr>
          <w:spacing w:val="-6"/>
        </w:rPr>
        <w:t> </w:t>
      </w:r>
      <w:r>
        <w:rPr/>
        <w:t>is</w:t>
      </w:r>
      <w:r>
        <w:rPr>
          <w:spacing w:val="-8"/>
        </w:rPr>
        <w:t> </w:t>
      </w:r>
      <w:r>
        <w:rPr/>
        <w:t>above all its property to significantly increase the number of red blood cells which makes it so interesting for us humans.</w:t>
      </w:r>
    </w:p>
    <w:p>
      <w:pPr>
        <w:pStyle w:val="BodyText"/>
        <w:spacing w:line="276" w:lineRule="auto" w:before="239"/>
        <w:ind w:left="477" w:right="133"/>
        <w:jc w:val="both"/>
      </w:pPr>
      <w:r>
        <w:rPr/>
        <w:t>Oxygen is known to mean life. Now, when one realises that the role of the red blood cells is to transport oxygen and lapacho tea has been shown to signifi- cantly increase red blood cell counts, it becomes clear just how valuable this property of lapacho can be to our health and well-being and how comprehen- sively it could influence the healing of many diseases.</w:t>
      </w:r>
    </w:p>
    <w:p>
      <w:pPr>
        <w:pStyle w:val="BodyText"/>
        <w:spacing w:line="276" w:lineRule="auto" w:before="240"/>
        <w:ind w:left="477" w:right="141"/>
        <w:jc w:val="both"/>
      </w:pPr>
      <w:r>
        <w:rPr/>
        <w:t>It is the red inner bark of the lapacho tree that binds large amounts of oxygen in a form that is particularly valuable and readily available to the human body.</w:t>
      </w:r>
    </w:p>
    <w:p>
      <w:pPr>
        <w:spacing w:after="0" w:line="276" w:lineRule="auto"/>
        <w:jc w:val="both"/>
        <w:sectPr>
          <w:pgSz w:w="14270" w:h="16850"/>
          <w:pgMar w:header="0" w:footer="1891" w:top="1600" w:bottom="2080" w:left="800" w:right="1280"/>
        </w:sectPr>
      </w:pPr>
    </w:p>
    <w:p>
      <w:pPr>
        <w:pStyle w:val="BodyText"/>
        <w:spacing w:line="276" w:lineRule="auto" w:before="181"/>
        <w:ind w:left="477" w:right="135"/>
        <w:jc w:val="both"/>
      </w:pPr>
      <w:r>
        <w:rPr/>
        <w:t>On the one hand, this form of bound oxygen is able to optimally supply the body's cells, on the other hand, it can kill whole bacterial strains, viruses, fungi and protozoa and remove harmful deposits (atherosclerosis) from our blood vessels, and even restore the flexibility of our arteries.</w:t>
      </w:r>
    </w:p>
    <w:p>
      <w:pPr>
        <w:pStyle w:val="BodyText"/>
        <w:spacing w:line="276" w:lineRule="auto" w:before="242"/>
        <w:ind w:left="477" w:right="133"/>
        <w:jc w:val="both"/>
        <w:rPr>
          <w:sz w:val="25"/>
        </w:rPr>
      </w:pPr>
      <w:r>
        <w:rPr/>
        <w:t>In this context, a newspaper interview with Prof. Walter Accorsi from the Mu- nicipal</w:t>
      </w:r>
      <w:r>
        <w:rPr>
          <w:spacing w:val="-26"/>
        </w:rPr>
        <w:t> </w:t>
      </w:r>
      <w:r>
        <w:rPr/>
        <w:t>Hospital</w:t>
      </w:r>
      <w:r>
        <w:rPr>
          <w:spacing w:val="-22"/>
        </w:rPr>
        <w:t> </w:t>
      </w:r>
      <w:r>
        <w:rPr/>
        <w:t>of</w:t>
      </w:r>
      <w:r>
        <w:rPr>
          <w:spacing w:val="-24"/>
        </w:rPr>
        <w:t> </w:t>
      </w:r>
      <w:r>
        <w:rPr/>
        <w:t>Santo</w:t>
      </w:r>
      <w:r>
        <w:rPr>
          <w:spacing w:val="-23"/>
        </w:rPr>
        <w:t> </w:t>
      </w:r>
      <w:r>
        <w:rPr/>
        <w:t>André</w:t>
      </w:r>
      <w:r>
        <w:rPr>
          <w:spacing w:val="-23"/>
        </w:rPr>
        <w:t> </w:t>
      </w:r>
      <w:r>
        <w:rPr/>
        <w:t>aroused</w:t>
      </w:r>
      <w:r>
        <w:rPr>
          <w:spacing w:val="-25"/>
        </w:rPr>
        <w:t> </w:t>
      </w:r>
      <w:r>
        <w:rPr/>
        <w:t>great</w:t>
      </w:r>
      <w:r>
        <w:rPr>
          <w:spacing w:val="-24"/>
        </w:rPr>
        <w:t> </w:t>
      </w:r>
      <w:r>
        <w:rPr/>
        <w:t>curiosity</w:t>
      </w:r>
      <w:r>
        <w:rPr>
          <w:spacing w:val="-25"/>
        </w:rPr>
        <w:t> </w:t>
      </w:r>
      <w:r>
        <w:rPr/>
        <w:t>when</w:t>
      </w:r>
      <w:r>
        <w:rPr>
          <w:spacing w:val="-21"/>
        </w:rPr>
        <w:t> </w:t>
      </w:r>
      <w:r>
        <w:rPr/>
        <w:t>he</w:t>
      </w:r>
      <w:r>
        <w:rPr>
          <w:spacing w:val="-24"/>
        </w:rPr>
        <w:t> </w:t>
      </w:r>
      <w:r>
        <w:rPr/>
        <w:t>stated</w:t>
      </w:r>
      <w:r>
        <w:rPr>
          <w:spacing w:val="-26"/>
        </w:rPr>
        <w:t> </w:t>
      </w:r>
      <w:r>
        <w:rPr/>
        <w:t>that</w:t>
      </w:r>
      <w:r>
        <w:rPr>
          <w:spacing w:val="-24"/>
        </w:rPr>
        <w:t> </w:t>
      </w:r>
      <w:r>
        <w:rPr/>
        <w:t>right at</w:t>
      </w:r>
      <w:r>
        <w:rPr>
          <w:spacing w:val="-22"/>
        </w:rPr>
        <w:t> </w:t>
      </w:r>
      <w:r>
        <w:rPr/>
        <w:t>the</w:t>
      </w:r>
      <w:r>
        <w:rPr>
          <w:spacing w:val="-20"/>
        </w:rPr>
        <w:t> </w:t>
      </w:r>
      <w:r>
        <w:rPr/>
        <w:t>beginning</w:t>
      </w:r>
      <w:r>
        <w:rPr>
          <w:spacing w:val="-20"/>
        </w:rPr>
        <w:t> </w:t>
      </w:r>
      <w:r>
        <w:rPr/>
        <w:t>of</w:t>
      </w:r>
      <w:r>
        <w:rPr>
          <w:spacing w:val="-21"/>
        </w:rPr>
        <w:t> </w:t>
      </w:r>
      <w:r>
        <w:rPr/>
        <w:t>his</w:t>
      </w:r>
      <w:r>
        <w:rPr>
          <w:spacing w:val="-19"/>
        </w:rPr>
        <w:t> </w:t>
      </w:r>
      <w:r>
        <w:rPr/>
        <w:t>experiments</w:t>
      </w:r>
      <w:r>
        <w:rPr>
          <w:spacing w:val="-21"/>
        </w:rPr>
        <w:t> </w:t>
      </w:r>
      <w:r>
        <w:rPr/>
        <w:t>on</w:t>
      </w:r>
      <w:r>
        <w:rPr>
          <w:spacing w:val="-19"/>
        </w:rPr>
        <w:t> </w:t>
      </w:r>
      <w:r>
        <w:rPr/>
        <w:t>lapacho,</w:t>
      </w:r>
      <w:r>
        <w:rPr>
          <w:spacing w:val="-20"/>
        </w:rPr>
        <w:t> </w:t>
      </w:r>
      <w:r>
        <w:rPr/>
        <w:t>he</w:t>
      </w:r>
      <w:r>
        <w:rPr>
          <w:spacing w:val="-22"/>
        </w:rPr>
        <w:t> </w:t>
      </w:r>
      <w:r>
        <w:rPr/>
        <w:t>noticed</w:t>
      </w:r>
      <w:r>
        <w:rPr>
          <w:spacing w:val="-22"/>
        </w:rPr>
        <w:t> </w:t>
      </w:r>
      <w:r>
        <w:rPr/>
        <w:t>these</w:t>
      </w:r>
      <w:r>
        <w:rPr>
          <w:spacing w:val="-20"/>
        </w:rPr>
        <w:t> </w:t>
      </w:r>
      <w:r>
        <w:rPr/>
        <w:t>two</w:t>
      </w:r>
      <w:r>
        <w:rPr>
          <w:spacing w:val="-21"/>
        </w:rPr>
        <w:t> </w:t>
      </w:r>
      <w:r>
        <w:rPr/>
        <w:t>properties: the analgesic and oxygenating effect. Even in advanced cancer patients who suffered unbearable pain, lapacho made the pain ‘</w:t>
      </w:r>
      <w:r>
        <w:rPr>
          <w:i/>
        </w:rPr>
        <w:t>disappear</w:t>
      </w:r>
      <w:r>
        <w:rPr/>
        <w:t>’. At the same time, treatment with Lapacho caused the number of red blood cells to multiply rap- idly, resulting in a more efficient oxygenation of the</w:t>
      </w:r>
      <w:r>
        <w:rPr>
          <w:spacing w:val="-1"/>
        </w:rPr>
        <w:t> </w:t>
      </w:r>
      <w:r>
        <w:rPr/>
        <w:t>body.</w:t>
      </w:r>
      <w:r>
        <w:rPr>
          <w:position w:val="9"/>
          <w:sz w:val="25"/>
        </w:rPr>
        <w:t>454</w:t>
      </w:r>
    </w:p>
    <w:p>
      <w:pPr>
        <w:pStyle w:val="BodyText"/>
        <w:spacing w:line="276" w:lineRule="auto" w:before="238"/>
        <w:ind w:left="477" w:right="138"/>
        <w:jc w:val="both"/>
      </w:pPr>
      <w:r>
        <w:rPr/>
        <w:t>This statement by Professor Accorsi on the wide-ranging healing potential of lapacho is very significant:</w:t>
      </w:r>
    </w:p>
    <w:p>
      <w:pPr>
        <w:spacing w:line="276" w:lineRule="auto" w:before="241"/>
        <w:ind w:left="477" w:right="133" w:firstLine="0"/>
        <w:jc w:val="both"/>
        <w:rPr>
          <w:i/>
          <w:sz w:val="38"/>
        </w:rPr>
      </w:pPr>
      <w:r>
        <w:rPr>
          <w:sz w:val="38"/>
        </w:rPr>
        <w:t>‘</w:t>
      </w:r>
      <w:r>
        <w:rPr>
          <w:i/>
          <w:sz w:val="38"/>
        </w:rPr>
        <w:t>From the very first experiments that I performed with the remedy, I discovered two factors </w:t>
      </w:r>
      <w:r>
        <w:rPr>
          <w:i/>
          <w:sz w:val="38"/>
        </w:rPr>
        <w:t>that</w:t>
      </w:r>
      <w:r>
        <w:rPr>
          <w:i/>
          <w:spacing w:val="-18"/>
          <w:sz w:val="38"/>
        </w:rPr>
        <w:t> </w:t>
      </w:r>
      <w:r>
        <w:rPr>
          <w:i/>
          <w:sz w:val="38"/>
        </w:rPr>
        <w:t>I</w:t>
      </w:r>
      <w:r>
        <w:rPr>
          <w:i/>
          <w:spacing w:val="-18"/>
          <w:sz w:val="38"/>
        </w:rPr>
        <w:t> </w:t>
      </w:r>
      <w:r>
        <w:rPr>
          <w:i/>
          <w:sz w:val="38"/>
        </w:rPr>
        <w:t>considered</w:t>
      </w:r>
      <w:r>
        <w:rPr>
          <w:i/>
          <w:spacing w:val="-18"/>
          <w:sz w:val="38"/>
        </w:rPr>
        <w:t> </w:t>
      </w:r>
      <w:r>
        <w:rPr>
          <w:i/>
          <w:sz w:val="38"/>
        </w:rPr>
        <w:t>to</w:t>
      </w:r>
      <w:r>
        <w:rPr>
          <w:i/>
          <w:spacing w:val="-18"/>
          <w:sz w:val="38"/>
        </w:rPr>
        <w:t> </w:t>
      </w:r>
      <w:r>
        <w:rPr>
          <w:i/>
          <w:sz w:val="38"/>
        </w:rPr>
        <w:t>be</w:t>
      </w:r>
      <w:r>
        <w:rPr>
          <w:i/>
          <w:spacing w:val="-19"/>
          <w:sz w:val="38"/>
        </w:rPr>
        <w:t> </w:t>
      </w:r>
      <w:r>
        <w:rPr>
          <w:i/>
          <w:sz w:val="38"/>
        </w:rPr>
        <w:t>particularly</w:t>
      </w:r>
      <w:r>
        <w:rPr>
          <w:i/>
          <w:spacing w:val="-17"/>
          <w:sz w:val="38"/>
        </w:rPr>
        <w:t> </w:t>
      </w:r>
      <w:r>
        <w:rPr>
          <w:i/>
          <w:sz w:val="38"/>
        </w:rPr>
        <w:t>relevant</w:t>
      </w:r>
      <w:r>
        <w:rPr>
          <w:i/>
          <w:spacing w:val="-17"/>
          <w:sz w:val="38"/>
        </w:rPr>
        <w:t> </w:t>
      </w:r>
      <w:r>
        <w:rPr>
          <w:i/>
          <w:sz w:val="38"/>
        </w:rPr>
        <w:t>to</w:t>
      </w:r>
      <w:r>
        <w:rPr>
          <w:i/>
          <w:spacing w:val="-18"/>
          <w:sz w:val="38"/>
        </w:rPr>
        <w:t> </w:t>
      </w:r>
      <w:r>
        <w:rPr>
          <w:i/>
          <w:sz w:val="38"/>
        </w:rPr>
        <w:t>the</w:t>
      </w:r>
      <w:r>
        <w:rPr>
          <w:i/>
          <w:spacing w:val="-21"/>
          <w:sz w:val="38"/>
        </w:rPr>
        <w:t> </w:t>
      </w:r>
      <w:r>
        <w:rPr>
          <w:i/>
          <w:sz w:val="38"/>
        </w:rPr>
        <w:t>treatment</w:t>
      </w:r>
      <w:r>
        <w:rPr>
          <w:i/>
          <w:spacing w:val="-19"/>
          <w:sz w:val="38"/>
        </w:rPr>
        <w:t> </w:t>
      </w:r>
      <w:r>
        <w:rPr>
          <w:i/>
          <w:sz w:val="38"/>
        </w:rPr>
        <w:t>of</w:t>
      </w:r>
      <w:r>
        <w:rPr>
          <w:i/>
          <w:spacing w:val="-17"/>
          <w:sz w:val="38"/>
        </w:rPr>
        <w:t> </w:t>
      </w:r>
      <w:r>
        <w:rPr>
          <w:i/>
          <w:sz w:val="38"/>
        </w:rPr>
        <w:t>cancer:</w:t>
      </w:r>
      <w:r>
        <w:rPr>
          <w:i/>
          <w:spacing w:val="-17"/>
          <w:sz w:val="38"/>
        </w:rPr>
        <w:t> </w:t>
      </w:r>
      <w:r>
        <w:rPr>
          <w:i/>
          <w:sz w:val="38"/>
        </w:rPr>
        <w:t>on</w:t>
      </w:r>
      <w:r>
        <w:rPr>
          <w:i/>
          <w:spacing w:val="-19"/>
          <w:sz w:val="38"/>
        </w:rPr>
        <w:t> </w:t>
      </w:r>
      <w:r>
        <w:rPr>
          <w:i/>
          <w:sz w:val="38"/>
        </w:rPr>
        <w:t>the</w:t>
      </w:r>
      <w:r>
        <w:rPr>
          <w:i/>
          <w:spacing w:val="-19"/>
          <w:sz w:val="38"/>
        </w:rPr>
        <w:t> </w:t>
      </w:r>
      <w:r>
        <w:rPr>
          <w:i/>
          <w:sz w:val="38"/>
        </w:rPr>
        <w:t>one</w:t>
      </w:r>
      <w:r>
        <w:rPr>
          <w:i/>
          <w:spacing w:val="-19"/>
          <w:sz w:val="38"/>
        </w:rPr>
        <w:t> </w:t>
      </w:r>
      <w:r>
        <w:rPr>
          <w:i/>
          <w:sz w:val="38"/>
        </w:rPr>
        <w:t>hand,</w:t>
      </w:r>
      <w:r>
        <w:rPr>
          <w:i/>
          <w:spacing w:val="-18"/>
          <w:sz w:val="38"/>
        </w:rPr>
        <w:t> </w:t>
      </w:r>
      <w:r>
        <w:rPr>
          <w:i/>
          <w:sz w:val="38"/>
        </w:rPr>
        <w:t>lapacho relieves the pain caused by the disease, and on the other hand it increases the number of red blood cells.</w:t>
      </w:r>
    </w:p>
    <w:p>
      <w:pPr>
        <w:spacing w:before="242"/>
        <w:ind w:left="477" w:right="0" w:firstLine="0"/>
        <w:jc w:val="left"/>
        <w:rPr>
          <w:i/>
          <w:sz w:val="38"/>
        </w:rPr>
      </w:pPr>
      <w:r>
        <w:rPr>
          <w:i/>
          <w:sz w:val="38"/>
        </w:rPr>
        <w:t>Our</w:t>
      </w:r>
      <w:r>
        <w:rPr>
          <w:i/>
          <w:spacing w:val="-24"/>
          <w:sz w:val="38"/>
        </w:rPr>
        <w:t> </w:t>
      </w:r>
      <w:r>
        <w:rPr>
          <w:i/>
          <w:sz w:val="38"/>
        </w:rPr>
        <w:t>astonishment</w:t>
      </w:r>
      <w:r>
        <w:rPr>
          <w:i/>
          <w:spacing w:val="-23"/>
          <w:sz w:val="38"/>
        </w:rPr>
        <w:t> </w:t>
      </w:r>
      <w:r>
        <w:rPr>
          <w:i/>
          <w:sz w:val="38"/>
        </w:rPr>
        <w:t>got</w:t>
      </w:r>
      <w:r>
        <w:rPr>
          <w:i/>
          <w:spacing w:val="-23"/>
          <w:sz w:val="38"/>
        </w:rPr>
        <w:t> </w:t>
      </w:r>
      <w:r>
        <w:rPr>
          <w:i/>
          <w:sz w:val="38"/>
        </w:rPr>
        <w:t>greater</w:t>
      </w:r>
      <w:r>
        <w:rPr>
          <w:i/>
          <w:spacing w:val="-22"/>
          <w:sz w:val="38"/>
        </w:rPr>
        <w:t> </w:t>
      </w:r>
      <w:r>
        <w:rPr>
          <w:i/>
          <w:sz w:val="38"/>
        </w:rPr>
        <w:t>and</w:t>
      </w:r>
      <w:r>
        <w:rPr>
          <w:i/>
          <w:spacing w:val="-26"/>
          <w:sz w:val="38"/>
        </w:rPr>
        <w:t> </w:t>
      </w:r>
      <w:r>
        <w:rPr>
          <w:i/>
          <w:sz w:val="38"/>
        </w:rPr>
        <w:t>greater!</w:t>
      </w:r>
      <w:r>
        <w:rPr>
          <w:i/>
          <w:spacing w:val="-22"/>
          <w:sz w:val="38"/>
        </w:rPr>
        <w:t> </w:t>
      </w:r>
      <w:r>
        <w:rPr>
          <w:i/>
          <w:sz w:val="38"/>
        </w:rPr>
        <w:t>The</w:t>
      </w:r>
      <w:r>
        <w:rPr>
          <w:i/>
          <w:spacing w:val="-24"/>
          <w:sz w:val="38"/>
        </w:rPr>
        <w:t> </w:t>
      </w:r>
      <w:r>
        <w:rPr>
          <w:i/>
          <w:sz w:val="38"/>
        </w:rPr>
        <w:t>lapacho</w:t>
      </w:r>
      <w:r>
        <w:rPr>
          <w:i/>
          <w:spacing w:val="-23"/>
          <w:sz w:val="38"/>
        </w:rPr>
        <w:t> </w:t>
      </w:r>
      <w:r>
        <w:rPr>
          <w:i/>
          <w:sz w:val="38"/>
        </w:rPr>
        <w:t>cortex</w:t>
      </w:r>
      <w:r>
        <w:rPr>
          <w:i/>
          <w:spacing w:val="-23"/>
          <w:sz w:val="38"/>
        </w:rPr>
        <w:t> </w:t>
      </w:r>
      <w:r>
        <w:rPr>
          <w:i/>
          <w:sz w:val="38"/>
        </w:rPr>
        <w:t>literally</w:t>
      </w:r>
      <w:r>
        <w:rPr>
          <w:i/>
          <w:spacing w:val="-26"/>
          <w:sz w:val="38"/>
        </w:rPr>
        <w:t> </w:t>
      </w:r>
      <w:r>
        <w:rPr>
          <w:i/>
          <w:sz w:val="38"/>
        </w:rPr>
        <w:t>seemed</w:t>
      </w:r>
      <w:r>
        <w:rPr>
          <w:i/>
          <w:spacing w:val="-24"/>
          <w:sz w:val="38"/>
        </w:rPr>
        <w:t> </w:t>
      </w:r>
      <w:r>
        <w:rPr>
          <w:i/>
          <w:sz w:val="38"/>
        </w:rPr>
        <w:t>to</w:t>
      </w:r>
      <w:r>
        <w:rPr>
          <w:i/>
          <w:spacing w:val="-25"/>
          <w:sz w:val="38"/>
        </w:rPr>
        <w:t> </w:t>
      </w:r>
      <w:r>
        <w:rPr>
          <w:i/>
          <w:sz w:val="38"/>
        </w:rPr>
        <w:t>heal</w:t>
      </w:r>
      <w:r>
        <w:rPr>
          <w:i/>
          <w:spacing w:val="-23"/>
          <w:sz w:val="38"/>
        </w:rPr>
        <w:t> </w:t>
      </w:r>
      <w:r>
        <w:rPr>
          <w:i/>
          <w:sz w:val="38"/>
        </w:rPr>
        <w:t>everything</w:t>
      </w:r>
    </w:p>
    <w:p>
      <w:pPr>
        <w:spacing w:line="276" w:lineRule="auto" w:before="62"/>
        <w:ind w:left="477" w:right="140" w:firstLine="0"/>
        <w:jc w:val="both"/>
        <w:rPr>
          <w:i/>
          <w:sz w:val="38"/>
        </w:rPr>
      </w:pPr>
      <w:r>
        <w:rPr>
          <w:i/>
          <w:sz w:val="38"/>
        </w:rPr>
        <w:t>–</w:t>
      </w:r>
      <w:r>
        <w:rPr>
          <w:i/>
          <w:spacing w:val="-7"/>
          <w:sz w:val="38"/>
        </w:rPr>
        <w:t> </w:t>
      </w:r>
      <w:r>
        <w:rPr>
          <w:i/>
          <w:sz w:val="38"/>
        </w:rPr>
        <w:t>ulcers</w:t>
      </w:r>
      <w:r>
        <w:rPr>
          <w:i/>
          <w:spacing w:val="-7"/>
          <w:sz w:val="38"/>
        </w:rPr>
        <w:t> </w:t>
      </w:r>
      <w:r>
        <w:rPr>
          <w:i/>
          <w:sz w:val="38"/>
        </w:rPr>
        <w:t>,</w:t>
      </w:r>
      <w:r>
        <w:rPr>
          <w:i/>
          <w:spacing w:val="-6"/>
          <w:sz w:val="38"/>
        </w:rPr>
        <w:t> </w:t>
      </w:r>
      <w:r>
        <w:rPr>
          <w:i/>
          <w:sz w:val="38"/>
        </w:rPr>
        <w:t>diabetes,</w:t>
      </w:r>
      <w:r>
        <w:rPr>
          <w:i/>
          <w:spacing w:val="-6"/>
          <w:sz w:val="38"/>
        </w:rPr>
        <w:t> </w:t>
      </w:r>
      <w:r>
        <w:rPr>
          <w:i/>
          <w:sz w:val="38"/>
        </w:rPr>
        <w:t>rheumatism</w:t>
      </w:r>
      <w:r>
        <w:rPr>
          <w:i/>
          <w:spacing w:val="-6"/>
          <w:sz w:val="38"/>
        </w:rPr>
        <w:t> </w:t>
      </w:r>
      <w:r>
        <w:rPr>
          <w:i/>
          <w:sz w:val="38"/>
        </w:rPr>
        <w:t>–</w:t>
      </w:r>
      <w:r>
        <w:rPr>
          <w:i/>
          <w:spacing w:val="-7"/>
          <w:sz w:val="38"/>
        </w:rPr>
        <w:t> </w:t>
      </w:r>
      <w:r>
        <w:rPr>
          <w:i/>
          <w:sz w:val="38"/>
        </w:rPr>
        <w:t>just</w:t>
      </w:r>
      <w:r>
        <w:rPr>
          <w:i/>
          <w:spacing w:val="-6"/>
          <w:sz w:val="38"/>
        </w:rPr>
        <w:t> </w:t>
      </w:r>
      <w:r>
        <w:rPr>
          <w:i/>
          <w:sz w:val="38"/>
        </w:rPr>
        <w:t>about</w:t>
      </w:r>
      <w:r>
        <w:rPr>
          <w:i/>
          <w:spacing w:val="-6"/>
          <w:sz w:val="38"/>
        </w:rPr>
        <w:t> </w:t>
      </w:r>
      <w:r>
        <w:rPr>
          <w:i/>
          <w:sz w:val="38"/>
        </w:rPr>
        <w:t>anything.</w:t>
      </w:r>
      <w:r>
        <w:rPr>
          <w:i/>
          <w:spacing w:val="-5"/>
          <w:sz w:val="38"/>
        </w:rPr>
        <w:t> </w:t>
      </w:r>
      <w:r>
        <w:rPr>
          <w:i/>
          <w:sz w:val="38"/>
        </w:rPr>
        <w:t>Above</w:t>
      </w:r>
      <w:r>
        <w:rPr>
          <w:i/>
          <w:spacing w:val="-9"/>
          <w:sz w:val="38"/>
        </w:rPr>
        <w:t> </w:t>
      </w:r>
      <w:r>
        <w:rPr>
          <w:i/>
          <w:sz w:val="38"/>
        </w:rPr>
        <w:t>all,</w:t>
      </w:r>
      <w:r>
        <w:rPr>
          <w:i/>
          <w:spacing w:val="-6"/>
          <w:sz w:val="38"/>
        </w:rPr>
        <w:t> </w:t>
      </w:r>
      <w:r>
        <w:rPr>
          <w:i/>
          <w:sz w:val="38"/>
        </w:rPr>
        <w:t>it</w:t>
      </w:r>
      <w:r>
        <w:rPr>
          <w:i/>
          <w:spacing w:val="-6"/>
          <w:sz w:val="38"/>
        </w:rPr>
        <w:t> </w:t>
      </w:r>
      <w:r>
        <w:rPr>
          <w:i/>
          <w:sz w:val="38"/>
        </w:rPr>
        <w:t>was</w:t>
      </w:r>
      <w:r>
        <w:rPr>
          <w:i/>
          <w:spacing w:val="-8"/>
          <w:sz w:val="38"/>
        </w:rPr>
        <w:t> </w:t>
      </w:r>
      <w:r>
        <w:rPr>
          <w:i/>
          <w:sz w:val="38"/>
        </w:rPr>
        <w:t>the</w:t>
      </w:r>
      <w:r>
        <w:rPr>
          <w:i/>
          <w:spacing w:val="-4"/>
          <w:sz w:val="38"/>
        </w:rPr>
        <w:t> </w:t>
      </w:r>
      <w:r>
        <w:rPr>
          <w:i/>
          <w:sz w:val="38"/>
        </w:rPr>
        <w:t>speed</w:t>
      </w:r>
      <w:r>
        <w:rPr>
          <w:i/>
          <w:spacing w:val="-8"/>
          <w:sz w:val="38"/>
        </w:rPr>
        <w:t> </w:t>
      </w:r>
      <w:r>
        <w:rPr>
          <w:i/>
          <w:sz w:val="38"/>
        </w:rPr>
        <w:t>with</w:t>
      </w:r>
      <w:r>
        <w:rPr>
          <w:i/>
          <w:spacing w:val="-6"/>
          <w:sz w:val="38"/>
        </w:rPr>
        <w:t> </w:t>
      </w:r>
      <w:r>
        <w:rPr>
          <w:i/>
          <w:sz w:val="38"/>
        </w:rPr>
        <w:t>which </w:t>
      </w:r>
      <w:r>
        <w:rPr>
          <w:i/>
          <w:sz w:val="38"/>
        </w:rPr>
        <w:t>the</w:t>
      </w:r>
      <w:r>
        <w:rPr>
          <w:i/>
          <w:spacing w:val="37"/>
          <w:sz w:val="38"/>
        </w:rPr>
        <w:t> </w:t>
      </w:r>
      <w:r>
        <w:rPr>
          <w:i/>
          <w:sz w:val="38"/>
        </w:rPr>
        <w:t>healing</w:t>
      </w:r>
      <w:r>
        <w:rPr>
          <w:i/>
          <w:spacing w:val="36"/>
          <w:sz w:val="38"/>
        </w:rPr>
        <w:t> </w:t>
      </w:r>
      <w:r>
        <w:rPr>
          <w:i/>
          <w:sz w:val="38"/>
        </w:rPr>
        <w:t>took</w:t>
      </w:r>
      <w:r>
        <w:rPr>
          <w:i/>
          <w:spacing w:val="37"/>
          <w:sz w:val="38"/>
        </w:rPr>
        <w:t> </w:t>
      </w:r>
      <w:r>
        <w:rPr>
          <w:i/>
          <w:sz w:val="38"/>
        </w:rPr>
        <w:t>place</w:t>
      </w:r>
      <w:r>
        <w:rPr>
          <w:i/>
          <w:spacing w:val="37"/>
          <w:sz w:val="38"/>
        </w:rPr>
        <w:t> </w:t>
      </w:r>
      <w:r>
        <w:rPr>
          <w:i/>
          <w:sz w:val="38"/>
        </w:rPr>
        <w:t>that</w:t>
      </w:r>
      <w:r>
        <w:rPr>
          <w:i/>
          <w:spacing w:val="40"/>
          <w:sz w:val="38"/>
        </w:rPr>
        <w:t> </w:t>
      </w:r>
      <w:r>
        <w:rPr>
          <w:i/>
          <w:sz w:val="38"/>
        </w:rPr>
        <w:t>was</w:t>
      </w:r>
      <w:r>
        <w:rPr>
          <w:i/>
          <w:spacing w:val="36"/>
          <w:sz w:val="38"/>
        </w:rPr>
        <w:t> </w:t>
      </w:r>
      <w:r>
        <w:rPr>
          <w:i/>
          <w:sz w:val="38"/>
        </w:rPr>
        <w:t>impressive.</w:t>
      </w:r>
      <w:r>
        <w:rPr>
          <w:i/>
          <w:spacing w:val="39"/>
          <w:sz w:val="38"/>
        </w:rPr>
        <w:t> </w:t>
      </w:r>
      <w:r>
        <w:rPr>
          <w:i/>
          <w:sz w:val="38"/>
        </w:rPr>
        <w:t>Most</w:t>
      </w:r>
      <w:r>
        <w:rPr>
          <w:i/>
          <w:spacing w:val="38"/>
          <w:sz w:val="38"/>
        </w:rPr>
        <w:t> </w:t>
      </w:r>
      <w:r>
        <w:rPr>
          <w:i/>
          <w:sz w:val="38"/>
        </w:rPr>
        <w:t>patients</w:t>
      </w:r>
      <w:r>
        <w:rPr>
          <w:i/>
          <w:spacing w:val="38"/>
          <w:sz w:val="38"/>
        </w:rPr>
        <w:t> </w:t>
      </w:r>
      <w:r>
        <w:rPr>
          <w:i/>
          <w:sz w:val="38"/>
        </w:rPr>
        <w:t>were</w:t>
      </w:r>
      <w:r>
        <w:rPr>
          <w:i/>
          <w:spacing w:val="38"/>
          <w:sz w:val="38"/>
        </w:rPr>
        <w:t> </w:t>
      </w:r>
      <w:r>
        <w:rPr>
          <w:i/>
          <w:sz w:val="38"/>
        </w:rPr>
        <w:t>free</w:t>
      </w:r>
      <w:r>
        <w:rPr>
          <w:i/>
          <w:spacing w:val="37"/>
          <w:sz w:val="38"/>
        </w:rPr>
        <w:t> </w:t>
      </w:r>
      <w:r>
        <w:rPr>
          <w:i/>
          <w:sz w:val="38"/>
        </w:rPr>
        <w:t>of</w:t>
      </w:r>
      <w:r>
        <w:rPr>
          <w:i/>
          <w:spacing w:val="39"/>
          <w:sz w:val="38"/>
        </w:rPr>
        <w:t> </w:t>
      </w:r>
      <w:r>
        <w:rPr>
          <w:i/>
          <w:sz w:val="38"/>
        </w:rPr>
        <w:t>symptoms</w:t>
      </w:r>
      <w:r>
        <w:rPr>
          <w:i/>
          <w:spacing w:val="38"/>
          <w:sz w:val="38"/>
        </w:rPr>
        <w:t> </w:t>
      </w:r>
      <w:r>
        <w:rPr>
          <w:i/>
          <w:sz w:val="38"/>
        </w:rPr>
        <w:t>within</w:t>
      </w:r>
      <w:r>
        <w:rPr>
          <w:i/>
          <w:spacing w:val="38"/>
          <w:sz w:val="38"/>
        </w:rPr>
        <w:t> </w:t>
      </w:r>
      <w:r>
        <w:rPr>
          <w:i/>
          <w:sz w:val="38"/>
        </w:rPr>
        <w:t>a</w:t>
      </w:r>
    </w:p>
    <w:p>
      <w:pPr>
        <w:pStyle w:val="BodyText"/>
        <w:rPr>
          <w:i/>
          <w:sz w:val="20"/>
        </w:rPr>
      </w:pPr>
    </w:p>
    <w:p>
      <w:pPr>
        <w:pStyle w:val="BodyText"/>
        <w:rPr>
          <w:i/>
          <w:sz w:val="20"/>
        </w:rPr>
      </w:pPr>
    </w:p>
    <w:p>
      <w:pPr>
        <w:pStyle w:val="BodyText"/>
        <w:spacing w:before="10"/>
        <w:rPr>
          <w:i/>
          <w:sz w:val="27"/>
        </w:rPr>
      </w:pPr>
      <w:r>
        <w:rPr/>
        <w:pict>
          <v:line style="position:absolute;mso-position-horizontal-relative:page;mso-position-vertical-relative:paragraph;z-index:5720;mso-wrap-distance-left:0;mso-wrap-distance-right:0" from="63.863998pt,18.081264pt" to="207.883998pt,18.081264pt" stroked="true" strokeweight=".71997pt" strokecolor="#000000">
            <v:stroke dashstyle="solid"/>
            <w10:wrap type="topAndBottom"/>
          </v:line>
        </w:pict>
      </w:r>
    </w:p>
    <w:p>
      <w:pPr>
        <w:pStyle w:val="BodyText"/>
        <w:spacing w:before="7"/>
        <w:rPr>
          <w:i/>
          <w:sz w:val="18"/>
        </w:rPr>
      </w:pPr>
    </w:p>
    <w:p>
      <w:pPr>
        <w:spacing w:before="99"/>
        <w:ind w:left="477" w:right="0" w:firstLine="0"/>
        <w:jc w:val="left"/>
        <w:rPr>
          <w:sz w:val="20"/>
        </w:rPr>
      </w:pPr>
      <w:r>
        <w:rPr>
          <w:position w:val="5"/>
          <w:sz w:val="13"/>
        </w:rPr>
        <w:t>454 </w:t>
      </w:r>
      <w:r>
        <w:rPr>
          <w:sz w:val="20"/>
        </w:rPr>
        <w:t>Walter Lübeck: Heilen mit Lapacho-Tee (‘Healing with Lapacho Tea’), 8th Edition 1999, p. 29-30</w:t>
      </w:r>
    </w:p>
    <w:p>
      <w:pPr>
        <w:spacing w:after="0"/>
        <w:jc w:val="left"/>
        <w:rPr>
          <w:sz w:val="20"/>
        </w:rPr>
        <w:sectPr>
          <w:pgSz w:w="14270" w:h="16850"/>
          <w:pgMar w:header="0" w:footer="1891" w:top="1600" w:bottom="2080" w:left="800" w:right="1280"/>
        </w:sectPr>
      </w:pPr>
    </w:p>
    <w:p>
      <w:pPr>
        <w:spacing w:before="181"/>
        <w:ind w:left="477" w:right="0" w:firstLine="0"/>
        <w:jc w:val="left"/>
        <w:rPr>
          <w:sz w:val="25"/>
        </w:rPr>
      </w:pPr>
      <w:r>
        <w:rPr>
          <w:i/>
          <w:sz w:val="38"/>
        </w:rPr>
        <w:t>month.’</w:t>
      </w:r>
      <w:r>
        <w:rPr>
          <w:position w:val="9"/>
          <w:sz w:val="25"/>
        </w:rPr>
        <w:t>455</w:t>
      </w:r>
    </w:p>
    <w:p>
      <w:pPr>
        <w:pStyle w:val="BodyText"/>
        <w:spacing w:line="276" w:lineRule="auto" w:before="305"/>
        <w:ind w:left="477"/>
      </w:pPr>
      <w:r>
        <w:rPr/>
        <w:t>Before we devote ourselves to the specific effect of lapacho tea, it seems very sensible to first look at its general effect.</w:t>
      </w:r>
    </w:p>
    <w:p>
      <w:pPr>
        <w:pStyle w:val="Heading1"/>
        <w:spacing w:before="223"/>
      </w:pPr>
      <w:r>
        <w:rPr/>
        <w:t>Lapacho tea generally has the following effects:</w:t>
      </w:r>
    </w:p>
    <w:p>
      <w:pPr>
        <w:pStyle w:val="ListParagraph"/>
        <w:numPr>
          <w:ilvl w:val="0"/>
          <w:numId w:val="54"/>
        </w:numPr>
        <w:tabs>
          <w:tab w:pos="892" w:val="left" w:leader="none"/>
          <w:tab w:pos="893" w:val="left" w:leader="none"/>
        </w:tabs>
        <w:spacing w:line="240" w:lineRule="auto" w:before="301" w:after="0"/>
        <w:ind w:left="892" w:right="0" w:hanging="415"/>
        <w:jc w:val="left"/>
        <w:rPr>
          <w:sz w:val="38"/>
        </w:rPr>
      </w:pPr>
      <w:r>
        <w:rPr>
          <w:sz w:val="38"/>
        </w:rPr>
        <w:t>oxygenating</w:t>
      </w:r>
    </w:p>
    <w:p>
      <w:pPr>
        <w:pStyle w:val="ListParagraph"/>
        <w:numPr>
          <w:ilvl w:val="0"/>
          <w:numId w:val="54"/>
        </w:numPr>
        <w:tabs>
          <w:tab w:pos="892" w:val="left" w:leader="none"/>
          <w:tab w:pos="893" w:val="left" w:leader="none"/>
        </w:tabs>
        <w:spacing w:line="240" w:lineRule="auto" w:before="64" w:after="0"/>
        <w:ind w:left="892" w:right="0" w:hanging="415"/>
        <w:jc w:val="left"/>
        <w:rPr>
          <w:sz w:val="38"/>
        </w:rPr>
      </w:pPr>
      <w:r>
        <w:rPr>
          <w:sz w:val="38"/>
        </w:rPr>
        <w:t>increase in the number of red blood</w:t>
      </w:r>
      <w:r>
        <w:rPr>
          <w:spacing w:val="-4"/>
          <w:sz w:val="38"/>
        </w:rPr>
        <w:t> </w:t>
      </w:r>
      <w:r>
        <w:rPr>
          <w:sz w:val="38"/>
        </w:rPr>
        <w:t>cells,</w:t>
      </w:r>
    </w:p>
    <w:p>
      <w:pPr>
        <w:pStyle w:val="ListParagraph"/>
        <w:numPr>
          <w:ilvl w:val="0"/>
          <w:numId w:val="54"/>
        </w:numPr>
        <w:tabs>
          <w:tab w:pos="892" w:val="left" w:leader="none"/>
          <w:tab w:pos="893" w:val="left" w:leader="none"/>
        </w:tabs>
        <w:spacing w:line="240" w:lineRule="auto" w:before="64" w:after="0"/>
        <w:ind w:left="892" w:right="0" w:hanging="415"/>
        <w:jc w:val="left"/>
        <w:rPr>
          <w:sz w:val="38"/>
        </w:rPr>
      </w:pPr>
      <w:r>
        <w:rPr>
          <w:sz w:val="38"/>
        </w:rPr>
        <w:t>blood</w:t>
      </w:r>
      <w:r>
        <w:rPr>
          <w:spacing w:val="-1"/>
          <w:sz w:val="38"/>
        </w:rPr>
        <w:t> </w:t>
      </w:r>
      <w:r>
        <w:rPr>
          <w:sz w:val="38"/>
        </w:rPr>
        <w:t>purifying,</w:t>
      </w:r>
    </w:p>
    <w:p>
      <w:pPr>
        <w:pStyle w:val="ListParagraph"/>
        <w:numPr>
          <w:ilvl w:val="0"/>
          <w:numId w:val="54"/>
        </w:numPr>
        <w:tabs>
          <w:tab w:pos="892" w:val="left" w:leader="none"/>
          <w:tab w:pos="893" w:val="left" w:leader="none"/>
        </w:tabs>
        <w:spacing w:line="240" w:lineRule="auto" w:before="64" w:after="0"/>
        <w:ind w:left="892" w:right="0" w:hanging="415"/>
        <w:jc w:val="left"/>
        <w:rPr>
          <w:sz w:val="38"/>
        </w:rPr>
      </w:pPr>
      <w:r>
        <w:rPr>
          <w:sz w:val="38"/>
        </w:rPr>
        <w:t>anti-inflammatory,</w:t>
      </w:r>
    </w:p>
    <w:p>
      <w:pPr>
        <w:pStyle w:val="ListParagraph"/>
        <w:numPr>
          <w:ilvl w:val="0"/>
          <w:numId w:val="54"/>
        </w:numPr>
        <w:tabs>
          <w:tab w:pos="892" w:val="left" w:leader="none"/>
          <w:tab w:pos="893" w:val="left" w:leader="none"/>
        </w:tabs>
        <w:spacing w:line="240" w:lineRule="auto" w:before="63" w:after="0"/>
        <w:ind w:left="892" w:right="0" w:hanging="415"/>
        <w:jc w:val="left"/>
        <w:rPr>
          <w:sz w:val="38"/>
        </w:rPr>
      </w:pPr>
      <w:r>
        <w:rPr>
          <w:sz w:val="38"/>
        </w:rPr>
        <w:t>antibacterial,</w:t>
      </w:r>
    </w:p>
    <w:p>
      <w:pPr>
        <w:pStyle w:val="ListParagraph"/>
        <w:numPr>
          <w:ilvl w:val="0"/>
          <w:numId w:val="54"/>
        </w:numPr>
        <w:tabs>
          <w:tab w:pos="892" w:val="left" w:leader="none"/>
          <w:tab w:pos="893" w:val="left" w:leader="none"/>
        </w:tabs>
        <w:spacing w:line="240" w:lineRule="auto" w:before="66" w:after="0"/>
        <w:ind w:left="892" w:right="0" w:hanging="415"/>
        <w:jc w:val="left"/>
        <w:rPr>
          <w:sz w:val="38"/>
        </w:rPr>
      </w:pPr>
      <w:r>
        <w:rPr>
          <w:sz w:val="38"/>
        </w:rPr>
        <w:t>antitumoural,</w:t>
      </w:r>
    </w:p>
    <w:p>
      <w:pPr>
        <w:pStyle w:val="ListParagraph"/>
        <w:numPr>
          <w:ilvl w:val="0"/>
          <w:numId w:val="54"/>
        </w:numPr>
        <w:tabs>
          <w:tab w:pos="892" w:val="left" w:leader="none"/>
          <w:tab w:pos="893" w:val="left" w:leader="none"/>
        </w:tabs>
        <w:spacing w:line="240" w:lineRule="auto" w:before="64" w:after="0"/>
        <w:ind w:left="892" w:right="0" w:hanging="415"/>
        <w:jc w:val="left"/>
        <w:rPr>
          <w:sz w:val="38"/>
        </w:rPr>
      </w:pPr>
      <w:r>
        <w:rPr>
          <w:sz w:val="38"/>
        </w:rPr>
        <w:t>antiviral,</w:t>
      </w:r>
    </w:p>
    <w:p>
      <w:pPr>
        <w:pStyle w:val="ListParagraph"/>
        <w:numPr>
          <w:ilvl w:val="0"/>
          <w:numId w:val="54"/>
        </w:numPr>
        <w:tabs>
          <w:tab w:pos="892" w:val="left" w:leader="none"/>
          <w:tab w:pos="893" w:val="left" w:leader="none"/>
        </w:tabs>
        <w:spacing w:line="240" w:lineRule="auto" w:before="64" w:after="0"/>
        <w:ind w:left="892" w:right="0" w:hanging="415"/>
        <w:jc w:val="left"/>
        <w:rPr>
          <w:sz w:val="38"/>
        </w:rPr>
      </w:pPr>
      <w:r>
        <w:rPr>
          <w:sz w:val="38"/>
        </w:rPr>
        <w:t>antifungal</w:t>
      </w:r>
      <w:r>
        <w:rPr>
          <w:spacing w:val="-2"/>
          <w:sz w:val="38"/>
        </w:rPr>
        <w:t> </w:t>
      </w:r>
      <w:r>
        <w:rPr>
          <w:sz w:val="38"/>
        </w:rPr>
        <w:t>(fungicidal),</w:t>
      </w:r>
    </w:p>
    <w:p>
      <w:pPr>
        <w:pStyle w:val="ListParagraph"/>
        <w:numPr>
          <w:ilvl w:val="0"/>
          <w:numId w:val="54"/>
        </w:numPr>
        <w:tabs>
          <w:tab w:pos="892" w:val="left" w:leader="none"/>
          <w:tab w:pos="893" w:val="left" w:leader="none"/>
        </w:tabs>
        <w:spacing w:line="240" w:lineRule="auto" w:before="64" w:after="0"/>
        <w:ind w:left="892" w:right="0" w:hanging="415"/>
        <w:jc w:val="left"/>
        <w:rPr>
          <w:sz w:val="38"/>
        </w:rPr>
      </w:pPr>
      <w:r>
        <w:rPr>
          <w:sz w:val="38"/>
        </w:rPr>
        <w:t>antioxidant,</w:t>
      </w:r>
    </w:p>
    <w:p>
      <w:pPr>
        <w:pStyle w:val="ListParagraph"/>
        <w:numPr>
          <w:ilvl w:val="0"/>
          <w:numId w:val="54"/>
        </w:numPr>
        <w:tabs>
          <w:tab w:pos="892" w:val="left" w:leader="none"/>
          <w:tab w:pos="893" w:val="left" w:leader="none"/>
        </w:tabs>
        <w:spacing w:line="240" w:lineRule="auto" w:before="63" w:after="0"/>
        <w:ind w:left="892" w:right="0" w:hanging="415"/>
        <w:jc w:val="left"/>
        <w:rPr>
          <w:sz w:val="38"/>
        </w:rPr>
      </w:pPr>
      <w:r>
        <w:rPr>
          <w:sz w:val="38"/>
        </w:rPr>
        <w:t>immune system-invigorating,</w:t>
      </w:r>
    </w:p>
    <w:p>
      <w:pPr>
        <w:pStyle w:val="ListParagraph"/>
        <w:numPr>
          <w:ilvl w:val="0"/>
          <w:numId w:val="54"/>
        </w:numPr>
        <w:tabs>
          <w:tab w:pos="892" w:val="left" w:leader="none"/>
          <w:tab w:pos="893" w:val="left" w:leader="none"/>
        </w:tabs>
        <w:spacing w:line="240" w:lineRule="auto" w:before="66" w:after="0"/>
        <w:ind w:left="892" w:right="0" w:hanging="415"/>
        <w:jc w:val="left"/>
        <w:rPr>
          <w:sz w:val="38"/>
        </w:rPr>
      </w:pPr>
      <w:r>
        <w:rPr>
          <w:sz w:val="38"/>
        </w:rPr>
        <w:t>blood</w:t>
      </w:r>
      <w:r>
        <w:rPr>
          <w:spacing w:val="-1"/>
          <w:sz w:val="38"/>
        </w:rPr>
        <w:t> </w:t>
      </w:r>
      <w:r>
        <w:rPr>
          <w:sz w:val="38"/>
        </w:rPr>
        <w:t>pressure-regulating,</w:t>
      </w:r>
    </w:p>
    <w:p>
      <w:pPr>
        <w:pStyle w:val="ListParagraph"/>
        <w:numPr>
          <w:ilvl w:val="0"/>
          <w:numId w:val="54"/>
        </w:numPr>
        <w:tabs>
          <w:tab w:pos="892" w:val="left" w:leader="none"/>
          <w:tab w:pos="893" w:val="left" w:leader="none"/>
        </w:tabs>
        <w:spacing w:line="240" w:lineRule="auto" w:before="64" w:after="0"/>
        <w:ind w:left="892" w:right="0" w:hanging="415"/>
        <w:jc w:val="left"/>
        <w:rPr>
          <w:sz w:val="38"/>
        </w:rPr>
      </w:pPr>
      <w:r>
        <w:rPr>
          <w:sz w:val="38"/>
        </w:rPr>
        <w:t>base-forming,</w:t>
      </w:r>
    </w:p>
    <w:p>
      <w:pPr>
        <w:pStyle w:val="ListParagraph"/>
        <w:numPr>
          <w:ilvl w:val="0"/>
          <w:numId w:val="54"/>
        </w:numPr>
        <w:tabs>
          <w:tab w:pos="892" w:val="left" w:leader="none"/>
          <w:tab w:pos="893" w:val="left" w:leader="none"/>
        </w:tabs>
        <w:spacing w:line="240" w:lineRule="auto" w:before="63" w:after="0"/>
        <w:ind w:left="892" w:right="0" w:hanging="415"/>
        <w:jc w:val="left"/>
        <w:rPr>
          <w:sz w:val="38"/>
        </w:rPr>
      </w:pPr>
      <w:r>
        <w:rPr>
          <w:sz w:val="38"/>
        </w:rPr>
        <w:t>analgesic,</w:t>
      </w:r>
    </w:p>
    <w:p>
      <w:pPr>
        <w:pStyle w:val="ListParagraph"/>
        <w:numPr>
          <w:ilvl w:val="0"/>
          <w:numId w:val="54"/>
        </w:numPr>
        <w:tabs>
          <w:tab w:pos="892" w:val="left" w:leader="none"/>
          <w:tab w:pos="893" w:val="left" w:leader="none"/>
        </w:tabs>
        <w:spacing w:line="240" w:lineRule="auto" w:before="64" w:after="0"/>
        <w:ind w:left="892" w:right="0" w:hanging="415"/>
        <w:jc w:val="left"/>
        <w:rPr>
          <w:sz w:val="38"/>
        </w:rPr>
      </w:pPr>
      <w:r>
        <w:rPr>
          <w:sz w:val="38"/>
        </w:rPr>
        <w:t>detoxifying,</w:t>
      </w:r>
    </w:p>
    <w:p>
      <w:pPr>
        <w:pStyle w:val="BodyText"/>
        <w:spacing w:before="11"/>
        <w:rPr>
          <w:sz w:val="28"/>
        </w:rPr>
      </w:pPr>
      <w:r>
        <w:rPr/>
        <w:pict>
          <v:line style="position:absolute;mso-position-horizontal-relative:page;mso-position-vertical-relative:paragraph;z-index:5744;mso-wrap-distance-left:0;mso-wrap-distance-right:0" from="63.863998pt,18.659742pt" to="207.883998pt,18.659742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455 </w:t>
      </w:r>
      <w:r>
        <w:rPr>
          <w:sz w:val="20"/>
        </w:rPr>
        <w:t>Ronald P. Schweppe and Alyosha A. Schwarz: Natürlich gesund mit Lapacho (‘Naturally Healthy with Lapacho’), 2nd Edition 1998, p. 12</w:t>
      </w:r>
    </w:p>
    <w:p>
      <w:pPr>
        <w:spacing w:after="0"/>
        <w:jc w:val="left"/>
        <w:rPr>
          <w:sz w:val="20"/>
        </w:rPr>
        <w:sectPr>
          <w:pgSz w:w="14270" w:h="16850"/>
          <w:pgMar w:header="0" w:footer="1891" w:top="1600" w:bottom="2080" w:left="800" w:right="1280"/>
        </w:sectPr>
      </w:pPr>
    </w:p>
    <w:p>
      <w:pPr>
        <w:pStyle w:val="BodyText"/>
        <w:spacing w:before="10"/>
        <w:rPr>
          <w:sz w:val="8"/>
        </w:rPr>
      </w:pPr>
    </w:p>
    <w:p>
      <w:pPr>
        <w:pStyle w:val="ListParagraph"/>
        <w:numPr>
          <w:ilvl w:val="0"/>
          <w:numId w:val="54"/>
        </w:numPr>
        <w:tabs>
          <w:tab w:pos="893" w:val="left" w:leader="none"/>
        </w:tabs>
        <w:spacing w:line="240" w:lineRule="auto" w:before="83" w:after="0"/>
        <w:ind w:left="892" w:right="0" w:hanging="415"/>
        <w:jc w:val="both"/>
        <w:rPr>
          <w:sz w:val="38"/>
        </w:rPr>
      </w:pPr>
      <w:r>
        <w:rPr>
          <w:sz w:val="38"/>
        </w:rPr>
        <w:t>purifying,</w:t>
      </w:r>
    </w:p>
    <w:p>
      <w:pPr>
        <w:pStyle w:val="ListParagraph"/>
        <w:numPr>
          <w:ilvl w:val="0"/>
          <w:numId w:val="54"/>
        </w:numPr>
        <w:tabs>
          <w:tab w:pos="893" w:val="left" w:leader="none"/>
        </w:tabs>
        <w:spacing w:line="240" w:lineRule="auto" w:before="64" w:after="0"/>
        <w:ind w:left="892" w:right="0" w:hanging="415"/>
        <w:jc w:val="both"/>
        <w:rPr>
          <w:sz w:val="38"/>
        </w:rPr>
      </w:pPr>
      <w:r>
        <w:rPr>
          <w:sz w:val="38"/>
        </w:rPr>
        <w:t>antipyretic,</w:t>
      </w:r>
    </w:p>
    <w:p>
      <w:pPr>
        <w:pStyle w:val="ListParagraph"/>
        <w:numPr>
          <w:ilvl w:val="0"/>
          <w:numId w:val="54"/>
        </w:numPr>
        <w:tabs>
          <w:tab w:pos="893" w:val="left" w:leader="none"/>
        </w:tabs>
        <w:spacing w:line="240" w:lineRule="auto" w:before="66" w:after="0"/>
        <w:ind w:left="892" w:right="0" w:hanging="415"/>
        <w:jc w:val="both"/>
        <w:rPr>
          <w:sz w:val="38"/>
        </w:rPr>
      </w:pPr>
      <w:r>
        <w:rPr>
          <w:sz w:val="38"/>
        </w:rPr>
        <w:t>wound</w:t>
      </w:r>
      <w:r>
        <w:rPr>
          <w:spacing w:val="-1"/>
          <w:sz w:val="38"/>
        </w:rPr>
        <w:t> </w:t>
      </w:r>
      <w:r>
        <w:rPr>
          <w:sz w:val="38"/>
        </w:rPr>
        <w:t>healing,</w:t>
      </w:r>
    </w:p>
    <w:p>
      <w:pPr>
        <w:pStyle w:val="ListParagraph"/>
        <w:numPr>
          <w:ilvl w:val="0"/>
          <w:numId w:val="54"/>
        </w:numPr>
        <w:tabs>
          <w:tab w:pos="893" w:val="left" w:leader="none"/>
        </w:tabs>
        <w:spacing w:line="240" w:lineRule="auto" w:before="63" w:after="0"/>
        <w:ind w:left="892" w:right="0" w:hanging="415"/>
        <w:jc w:val="both"/>
        <w:rPr>
          <w:sz w:val="38"/>
        </w:rPr>
      </w:pPr>
      <w:r>
        <w:rPr>
          <w:sz w:val="38"/>
        </w:rPr>
        <w:t>skin</w:t>
      </w:r>
      <w:r>
        <w:rPr>
          <w:spacing w:val="-2"/>
          <w:sz w:val="38"/>
        </w:rPr>
        <w:t> </w:t>
      </w:r>
      <w:r>
        <w:rPr>
          <w:sz w:val="38"/>
        </w:rPr>
        <w:t>cleansing,</w:t>
      </w:r>
    </w:p>
    <w:p>
      <w:pPr>
        <w:pStyle w:val="ListParagraph"/>
        <w:numPr>
          <w:ilvl w:val="0"/>
          <w:numId w:val="54"/>
        </w:numPr>
        <w:tabs>
          <w:tab w:pos="893" w:val="left" w:leader="none"/>
        </w:tabs>
        <w:spacing w:line="240" w:lineRule="auto" w:before="64" w:after="0"/>
        <w:ind w:left="892" w:right="0" w:hanging="415"/>
        <w:jc w:val="both"/>
        <w:rPr>
          <w:sz w:val="38"/>
        </w:rPr>
      </w:pPr>
      <w:r>
        <w:rPr>
          <w:sz w:val="38"/>
        </w:rPr>
        <w:t>decongestant</w:t>
      </w:r>
    </w:p>
    <w:p>
      <w:pPr>
        <w:pStyle w:val="ListParagraph"/>
        <w:numPr>
          <w:ilvl w:val="0"/>
          <w:numId w:val="54"/>
        </w:numPr>
        <w:tabs>
          <w:tab w:pos="893" w:val="left" w:leader="none"/>
        </w:tabs>
        <w:spacing w:line="240" w:lineRule="auto" w:before="63" w:after="0"/>
        <w:ind w:left="892" w:right="0" w:hanging="415"/>
        <w:jc w:val="both"/>
        <w:rPr>
          <w:sz w:val="38"/>
        </w:rPr>
      </w:pPr>
      <w:r>
        <w:rPr>
          <w:sz w:val="38"/>
        </w:rPr>
        <w:t>toning,</w:t>
      </w:r>
    </w:p>
    <w:p>
      <w:pPr>
        <w:pStyle w:val="ListParagraph"/>
        <w:numPr>
          <w:ilvl w:val="0"/>
          <w:numId w:val="54"/>
        </w:numPr>
        <w:tabs>
          <w:tab w:pos="893" w:val="left" w:leader="none"/>
        </w:tabs>
        <w:spacing w:line="240" w:lineRule="auto" w:before="65" w:after="0"/>
        <w:ind w:left="892" w:right="0" w:hanging="415"/>
        <w:jc w:val="both"/>
        <w:rPr>
          <w:sz w:val="38"/>
        </w:rPr>
      </w:pPr>
      <w:r>
        <w:rPr>
          <w:sz w:val="38"/>
        </w:rPr>
        <w:t>revitalising,</w:t>
      </w:r>
    </w:p>
    <w:p>
      <w:pPr>
        <w:pStyle w:val="ListParagraph"/>
        <w:numPr>
          <w:ilvl w:val="0"/>
          <w:numId w:val="54"/>
        </w:numPr>
        <w:tabs>
          <w:tab w:pos="893" w:val="left" w:leader="none"/>
        </w:tabs>
        <w:spacing w:line="240" w:lineRule="auto" w:before="66" w:after="0"/>
        <w:ind w:left="892" w:right="0" w:hanging="415"/>
        <w:jc w:val="both"/>
        <w:rPr>
          <w:sz w:val="38"/>
        </w:rPr>
      </w:pPr>
      <w:r>
        <w:rPr>
          <w:sz w:val="38"/>
        </w:rPr>
        <w:t>diaphoretic,</w:t>
      </w:r>
    </w:p>
    <w:p>
      <w:pPr>
        <w:pStyle w:val="ListParagraph"/>
        <w:numPr>
          <w:ilvl w:val="0"/>
          <w:numId w:val="54"/>
        </w:numPr>
        <w:tabs>
          <w:tab w:pos="893" w:val="left" w:leader="none"/>
        </w:tabs>
        <w:spacing w:line="240" w:lineRule="auto" w:before="63" w:after="0"/>
        <w:ind w:left="892" w:right="0" w:hanging="415"/>
        <w:jc w:val="both"/>
        <w:rPr>
          <w:sz w:val="38"/>
        </w:rPr>
      </w:pPr>
      <w:r>
        <w:rPr>
          <w:sz w:val="38"/>
        </w:rPr>
        <w:t>diuretic,</w:t>
      </w:r>
    </w:p>
    <w:p>
      <w:pPr>
        <w:pStyle w:val="ListParagraph"/>
        <w:numPr>
          <w:ilvl w:val="0"/>
          <w:numId w:val="54"/>
        </w:numPr>
        <w:tabs>
          <w:tab w:pos="893" w:val="left" w:leader="none"/>
        </w:tabs>
        <w:spacing w:line="240" w:lineRule="auto" w:before="64" w:after="0"/>
        <w:ind w:left="892" w:right="0" w:hanging="415"/>
        <w:jc w:val="both"/>
        <w:rPr>
          <w:sz w:val="38"/>
        </w:rPr>
      </w:pPr>
      <w:r>
        <w:rPr>
          <w:sz w:val="38"/>
        </w:rPr>
        <w:t>calming</w:t>
      </w:r>
    </w:p>
    <w:p>
      <w:pPr>
        <w:pStyle w:val="ListParagraph"/>
        <w:numPr>
          <w:ilvl w:val="0"/>
          <w:numId w:val="54"/>
        </w:numPr>
        <w:tabs>
          <w:tab w:pos="893" w:val="left" w:leader="none"/>
        </w:tabs>
        <w:spacing w:line="240" w:lineRule="auto" w:before="64" w:after="0"/>
        <w:ind w:left="892" w:right="0" w:hanging="415"/>
        <w:jc w:val="both"/>
        <w:rPr>
          <w:sz w:val="38"/>
        </w:rPr>
      </w:pPr>
      <w:r>
        <w:rPr>
          <w:sz w:val="38"/>
        </w:rPr>
        <w:t>digestive.</w:t>
      </w:r>
    </w:p>
    <w:p>
      <w:pPr>
        <w:pStyle w:val="BodyText"/>
        <w:rPr>
          <w:sz w:val="44"/>
        </w:rPr>
      </w:pPr>
    </w:p>
    <w:p>
      <w:pPr>
        <w:pStyle w:val="Heading1"/>
        <w:spacing w:before="281"/>
        <w:jc w:val="both"/>
      </w:pPr>
      <w:r>
        <w:rPr/>
        <w:t>Oxygenating effect</w:t>
      </w:r>
    </w:p>
    <w:p>
      <w:pPr>
        <w:pStyle w:val="BodyText"/>
        <w:spacing w:line="276" w:lineRule="auto" w:before="300"/>
        <w:ind w:left="477" w:right="134"/>
        <w:jc w:val="both"/>
      </w:pPr>
      <w:r>
        <w:rPr/>
        <w:t>The astonishing, oxygenating action of lapacho tea invigorates the body's cells and effectively destroys bacteria, protozoa, fungi and viruses in this particular, bound form. Atherosclerosis (vascular calcification) is reduced and the blood vessels become flexible again.</w:t>
      </w:r>
    </w:p>
    <w:p>
      <w:pPr>
        <w:pStyle w:val="Heading1"/>
        <w:spacing w:before="186"/>
      </w:pPr>
      <w:r>
        <w:rPr/>
        <w:t>Anti-inflammatory effect</w:t>
      </w:r>
    </w:p>
    <w:p>
      <w:pPr>
        <w:pStyle w:val="BodyText"/>
        <w:spacing w:line="276" w:lineRule="auto" w:before="257"/>
        <w:ind w:left="477"/>
      </w:pPr>
      <w:r>
        <w:rPr/>
        <w:t>Due to its anti-inflammatory effect, lapacho tea has been successfully used for inflammatory</w:t>
      </w:r>
      <w:r>
        <w:rPr>
          <w:spacing w:val="-14"/>
        </w:rPr>
        <w:t> </w:t>
      </w:r>
      <w:r>
        <w:rPr/>
        <w:t>diseases</w:t>
      </w:r>
      <w:r>
        <w:rPr>
          <w:spacing w:val="-12"/>
        </w:rPr>
        <w:t> </w:t>
      </w:r>
      <w:r>
        <w:rPr/>
        <w:t>by</w:t>
      </w:r>
      <w:r>
        <w:rPr>
          <w:spacing w:val="-14"/>
        </w:rPr>
        <w:t> </w:t>
      </w:r>
      <w:r>
        <w:rPr/>
        <w:t>Indian</w:t>
      </w:r>
      <w:r>
        <w:rPr>
          <w:spacing w:val="-16"/>
        </w:rPr>
        <w:t> </w:t>
      </w:r>
      <w:r>
        <w:rPr/>
        <w:t>tribes</w:t>
      </w:r>
      <w:r>
        <w:rPr>
          <w:spacing w:val="-12"/>
        </w:rPr>
        <w:t> </w:t>
      </w:r>
      <w:r>
        <w:rPr/>
        <w:t>for</w:t>
      </w:r>
      <w:r>
        <w:rPr>
          <w:spacing w:val="-13"/>
        </w:rPr>
        <w:t> </w:t>
      </w:r>
      <w:r>
        <w:rPr/>
        <w:t>hundreds</w:t>
      </w:r>
      <w:r>
        <w:rPr>
          <w:spacing w:val="-13"/>
        </w:rPr>
        <w:t> </w:t>
      </w:r>
      <w:r>
        <w:rPr/>
        <w:t>of</w:t>
      </w:r>
      <w:r>
        <w:rPr>
          <w:spacing w:val="-9"/>
        </w:rPr>
        <w:t> </w:t>
      </w:r>
      <w:r>
        <w:rPr/>
        <w:t>years.</w:t>
      </w:r>
      <w:r>
        <w:rPr>
          <w:spacing w:val="-13"/>
        </w:rPr>
        <w:t> </w:t>
      </w:r>
      <w:r>
        <w:rPr/>
        <w:t>Not</w:t>
      </w:r>
      <w:r>
        <w:rPr>
          <w:spacing w:val="-14"/>
        </w:rPr>
        <w:t> </w:t>
      </w:r>
      <w:r>
        <w:rPr/>
        <w:t>only</w:t>
      </w:r>
      <w:r>
        <w:rPr>
          <w:spacing w:val="-14"/>
        </w:rPr>
        <w:t> </w:t>
      </w:r>
      <w:r>
        <w:rPr/>
        <w:t>are</w:t>
      </w:r>
      <w:r>
        <w:rPr>
          <w:spacing w:val="-14"/>
        </w:rPr>
        <w:t> </w:t>
      </w:r>
      <w:r>
        <w:rPr/>
        <w:t>such</w:t>
      </w:r>
    </w:p>
    <w:p>
      <w:pPr>
        <w:spacing w:after="0" w:line="276" w:lineRule="auto"/>
        <w:sectPr>
          <w:pgSz w:w="14270" w:h="16850"/>
          <w:pgMar w:header="0" w:footer="1891" w:top="1600" w:bottom="2080" w:left="800" w:right="1280"/>
        </w:sectPr>
      </w:pPr>
    </w:p>
    <w:p>
      <w:pPr>
        <w:pStyle w:val="BodyText"/>
        <w:spacing w:line="278" w:lineRule="auto" w:before="181"/>
        <w:ind w:left="477" w:right="144"/>
        <w:jc w:val="both"/>
      </w:pPr>
      <w:r>
        <w:rPr/>
        <w:t>conditions alleviated, but even complete healings of severe inflammatory dis- eases such as arthritis have been reported.</w:t>
      </w:r>
    </w:p>
    <w:p>
      <w:pPr>
        <w:pStyle w:val="BodyText"/>
        <w:rPr>
          <w:sz w:val="42"/>
        </w:rPr>
      </w:pPr>
    </w:p>
    <w:p>
      <w:pPr>
        <w:pStyle w:val="BodyText"/>
        <w:spacing w:before="2"/>
        <w:rPr>
          <w:sz w:val="35"/>
        </w:rPr>
      </w:pPr>
    </w:p>
    <w:p>
      <w:pPr>
        <w:pStyle w:val="Heading1"/>
        <w:spacing w:before="0"/>
      </w:pPr>
      <w:r>
        <w:rPr/>
        <w:t>Antibacterial and antiviral effects</w:t>
      </w:r>
    </w:p>
    <w:p>
      <w:pPr>
        <w:pStyle w:val="BodyText"/>
        <w:spacing w:line="276" w:lineRule="auto" w:before="258"/>
        <w:ind w:left="477" w:right="131"/>
        <w:jc w:val="both"/>
      </w:pPr>
      <w:r>
        <w:rPr/>
        <w:t>Lapacho tea is extremely antibiotic and antiviral, which is why it has been used as a natural antibiotic for centuries and has proven itself against herpes, HIV and malaria. In particular, the ingredient lapachol and another twelve quinones which have been researched have extraordinary antibiotic properties.</w:t>
      </w:r>
    </w:p>
    <w:p>
      <w:pPr>
        <w:pStyle w:val="Heading1"/>
        <w:spacing w:before="184"/>
      </w:pPr>
      <w:r>
        <w:rPr/>
        <w:t>Antifungal (fungicidal) effect</w:t>
      </w:r>
    </w:p>
    <w:p>
      <w:pPr>
        <w:pStyle w:val="BodyText"/>
        <w:spacing w:line="278" w:lineRule="auto" w:before="256"/>
        <w:ind w:left="477" w:right="135"/>
        <w:jc w:val="both"/>
      </w:pPr>
      <w:r>
        <w:rPr/>
        <w:t>Lapacho</w:t>
      </w:r>
      <w:r>
        <w:rPr>
          <w:spacing w:val="-25"/>
        </w:rPr>
        <w:t> </w:t>
      </w:r>
      <w:r>
        <w:rPr/>
        <w:t>tea</w:t>
      </w:r>
      <w:r>
        <w:rPr>
          <w:spacing w:val="-26"/>
        </w:rPr>
        <w:t> </w:t>
      </w:r>
      <w:r>
        <w:rPr/>
        <w:t>has</w:t>
      </w:r>
      <w:r>
        <w:rPr>
          <w:spacing w:val="-23"/>
        </w:rPr>
        <w:t> </w:t>
      </w:r>
      <w:r>
        <w:rPr/>
        <w:t>an</w:t>
      </w:r>
      <w:r>
        <w:rPr>
          <w:spacing w:val="-25"/>
        </w:rPr>
        <w:t> </w:t>
      </w:r>
      <w:r>
        <w:rPr/>
        <w:t>antifungal</w:t>
      </w:r>
      <w:r>
        <w:rPr>
          <w:spacing w:val="-27"/>
        </w:rPr>
        <w:t> </w:t>
      </w:r>
      <w:r>
        <w:rPr/>
        <w:t>(fungicidal)</w:t>
      </w:r>
      <w:r>
        <w:rPr>
          <w:spacing w:val="-26"/>
        </w:rPr>
        <w:t> </w:t>
      </w:r>
      <w:r>
        <w:rPr/>
        <w:t>effect,</w:t>
      </w:r>
      <w:r>
        <w:rPr>
          <w:spacing w:val="-22"/>
        </w:rPr>
        <w:t> </w:t>
      </w:r>
      <w:r>
        <w:rPr/>
        <w:t>which</w:t>
      </w:r>
      <w:r>
        <w:rPr>
          <w:spacing w:val="-25"/>
        </w:rPr>
        <w:t> </w:t>
      </w:r>
      <w:r>
        <w:rPr/>
        <w:t>is</w:t>
      </w:r>
      <w:r>
        <w:rPr>
          <w:spacing w:val="-26"/>
        </w:rPr>
        <w:t> </w:t>
      </w:r>
      <w:r>
        <w:rPr/>
        <w:t>why</w:t>
      </w:r>
      <w:r>
        <w:rPr>
          <w:spacing w:val="-25"/>
        </w:rPr>
        <w:t> </w:t>
      </w:r>
      <w:r>
        <w:rPr/>
        <w:t>it</w:t>
      </w:r>
      <w:r>
        <w:rPr>
          <w:spacing w:val="-27"/>
        </w:rPr>
        <w:t> </w:t>
      </w:r>
      <w:r>
        <w:rPr/>
        <w:t>has</w:t>
      </w:r>
      <w:r>
        <w:rPr>
          <w:spacing w:val="-26"/>
        </w:rPr>
        <w:t> </w:t>
      </w:r>
      <w:r>
        <w:rPr/>
        <w:t>traditionally been used against even stubborn fungus species such as Candida</w:t>
      </w:r>
      <w:r>
        <w:rPr>
          <w:spacing w:val="-15"/>
        </w:rPr>
        <w:t> </w:t>
      </w:r>
      <w:r>
        <w:rPr/>
        <w:t>albicans.</w:t>
      </w:r>
    </w:p>
    <w:p>
      <w:pPr>
        <w:pStyle w:val="Heading1"/>
        <w:spacing w:before="177"/>
      </w:pPr>
      <w:r>
        <w:rPr/>
        <w:t>Antioxidant effect</w:t>
      </w:r>
    </w:p>
    <w:p>
      <w:pPr>
        <w:pStyle w:val="BodyText"/>
        <w:spacing w:line="276" w:lineRule="auto" w:before="259"/>
        <w:ind w:left="477" w:right="131"/>
        <w:jc w:val="both"/>
      </w:pPr>
      <w:r>
        <w:rPr/>
        <w:t>The quinones in lapacho tea bind free radicals and give lapacho tea its antioxi- dative effect. One cannot overstate this, considering that every single one of our</w:t>
      </w:r>
      <w:r>
        <w:rPr>
          <w:spacing w:val="-11"/>
        </w:rPr>
        <w:t> </w:t>
      </w:r>
      <w:r>
        <w:rPr/>
        <w:t>body</w:t>
      </w:r>
      <w:r>
        <w:rPr>
          <w:spacing w:val="-13"/>
        </w:rPr>
        <w:t> </w:t>
      </w:r>
      <w:r>
        <w:rPr/>
        <w:t>cells</w:t>
      </w:r>
      <w:r>
        <w:rPr>
          <w:spacing w:val="-11"/>
        </w:rPr>
        <w:t> </w:t>
      </w:r>
      <w:r>
        <w:rPr/>
        <w:t>is</w:t>
      </w:r>
      <w:r>
        <w:rPr>
          <w:spacing w:val="-15"/>
        </w:rPr>
        <w:t> </w:t>
      </w:r>
      <w:r>
        <w:rPr/>
        <w:t>attacked</w:t>
      </w:r>
      <w:r>
        <w:rPr>
          <w:spacing w:val="-10"/>
        </w:rPr>
        <w:t> </w:t>
      </w:r>
      <w:r>
        <w:rPr/>
        <w:t>on</w:t>
      </w:r>
      <w:r>
        <w:rPr>
          <w:spacing w:val="-11"/>
        </w:rPr>
        <w:t> </w:t>
      </w:r>
      <w:r>
        <w:rPr/>
        <w:t>a</w:t>
      </w:r>
      <w:r>
        <w:rPr>
          <w:spacing w:val="-12"/>
        </w:rPr>
        <w:t> </w:t>
      </w:r>
      <w:r>
        <w:rPr/>
        <w:t>daily</w:t>
      </w:r>
      <w:r>
        <w:rPr>
          <w:spacing w:val="-11"/>
        </w:rPr>
        <w:t> </w:t>
      </w:r>
      <w:r>
        <w:rPr/>
        <w:t>basis</w:t>
      </w:r>
      <w:r>
        <w:rPr>
          <w:spacing w:val="-14"/>
        </w:rPr>
        <w:t> </w:t>
      </w:r>
      <w:r>
        <w:rPr/>
        <w:t>by</w:t>
      </w:r>
      <w:r>
        <w:rPr>
          <w:spacing w:val="-12"/>
        </w:rPr>
        <w:t> </w:t>
      </w:r>
      <w:r>
        <w:rPr/>
        <w:t>up</w:t>
      </w:r>
      <w:r>
        <w:rPr>
          <w:spacing w:val="-12"/>
        </w:rPr>
        <w:t> </w:t>
      </w:r>
      <w:r>
        <w:rPr/>
        <w:t>to</w:t>
      </w:r>
      <w:r>
        <w:rPr>
          <w:spacing w:val="-15"/>
        </w:rPr>
        <w:t> </w:t>
      </w:r>
      <w:r>
        <w:rPr/>
        <w:t>10</w:t>
      </w:r>
      <w:r>
        <w:rPr>
          <w:spacing w:val="-11"/>
        </w:rPr>
        <w:t> </w:t>
      </w:r>
      <w:r>
        <w:rPr/>
        <w:t>000</w:t>
      </w:r>
      <w:r>
        <w:rPr>
          <w:spacing w:val="-13"/>
        </w:rPr>
        <w:t> </w:t>
      </w:r>
      <w:r>
        <w:rPr/>
        <w:t>free</w:t>
      </w:r>
      <w:r>
        <w:rPr>
          <w:spacing w:val="-12"/>
        </w:rPr>
        <w:t> </w:t>
      </w:r>
      <w:r>
        <w:rPr/>
        <w:t>radicals</w:t>
      </w:r>
      <w:r>
        <w:rPr>
          <w:spacing w:val="-11"/>
        </w:rPr>
        <w:t> </w:t>
      </w:r>
      <w:r>
        <w:rPr/>
        <w:t>and</w:t>
      </w:r>
      <w:r>
        <w:rPr>
          <w:spacing w:val="-11"/>
        </w:rPr>
        <w:t> </w:t>
      </w:r>
      <w:r>
        <w:rPr/>
        <w:t>these are responsible for most diseases and cell ageing.</w:t>
      </w:r>
    </w:p>
    <w:p>
      <w:pPr>
        <w:pStyle w:val="Heading1"/>
        <w:spacing w:before="181"/>
      </w:pPr>
      <w:r>
        <w:rPr/>
        <w:t>Immune-system-strengthening effect</w:t>
      </w:r>
    </w:p>
    <w:p>
      <w:pPr>
        <w:pStyle w:val="BodyText"/>
        <w:spacing w:line="276" w:lineRule="auto" w:before="300"/>
        <w:ind w:left="477" w:right="132"/>
        <w:jc w:val="both"/>
      </w:pPr>
      <w:r>
        <w:rPr/>
        <w:t>Lapacho tea stimulates the activity of the macrophages and phagocytes, which tackle</w:t>
      </w:r>
      <w:r>
        <w:rPr>
          <w:spacing w:val="-17"/>
        </w:rPr>
        <w:t> </w:t>
      </w:r>
      <w:r>
        <w:rPr/>
        <w:t>hostile</w:t>
      </w:r>
      <w:r>
        <w:rPr>
          <w:spacing w:val="-16"/>
        </w:rPr>
        <w:t> </w:t>
      </w:r>
      <w:r>
        <w:rPr/>
        <w:t>invaders</w:t>
      </w:r>
      <w:r>
        <w:rPr>
          <w:spacing w:val="-16"/>
        </w:rPr>
        <w:t> </w:t>
      </w:r>
      <w:r>
        <w:rPr/>
        <w:t>in</w:t>
      </w:r>
      <w:r>
        <w:rPr>
          <w:spacing w:val="-16"/>
        </w:rPr>
        <w:t> </w:t>
      </w:r>
      <w:r>
        <w:rPr/>
        <w:t>our</w:t>
      </w:r>
      <w:r>
        <w:rPr>
          <w:spacing w:val="-15"/>
        </w:rPr>
        <w:t> </w:t>
      </w:r>
      <w:r>
        <w:rPr/>
        <w:t>bodies</w:t>
      </w:r>
      <w:r>
        <w:rPr>
          <w:spacing w:val="-16"/>
        </w:rPr>
        <w:t> </w:t>
      </w:r>
      <w:r>
        <w:rPr/>
        <w:t>which</w:t>
      </w:r>
      <w:r>
        <w:rPr>
          <w:spacing w:val="-14"/>
        </w:rPr>
        <w:t> </w:t>
      </w:r>
      <w:r>
        <w:rPr/>
        <w:t>cause</w:t>
      </w:r>
      <w:r>
        <w:rPr>
          <w:spacing w:val="-17"/>
        </w:rPr>
        <w:t> </w:t>
      </w:r>
      <w:r>
        <w:rPr/>
        <w:t>diseases.</w:t>
      </w:r>
      <w:r>
        <w:rPr>
          <w:spacing w:val="-14"/>
        </w:rPr>
        <w:t> </w:t>
      </w:r>
      <w:r>
        <w:rPr/>
        <w:t>In</w:t>
      </w:r>
      <w:r>
        <w:rPr>
          <w:spacing w:val="-16"/>
        </w:rPr>
        <w:t> </w:t>
      </w:r>
      <w:r>
        <w:rPr/>
        <w:t>his</w:t>
      </w:r>
      <w:r>
        <w:rPr>
          <w:spacing w:val="-17"/>
        </w:rPr>
        <w:t> </w:t>
      </w:r>
      <w:r>
        <w:rPr/>
        <w:t>doctoral</w:t>
      </w:r>
      <w:r>
        <w:rPr>
          <w:spacing w:val="-16"/>
        </w:rPr>
        <w:t> </w:t>
      </w:r>
      <w:r>
        <w:rPr/>
        <w:t>thesis, the researcher Bernhard Kreher analysed the effect of lapacho and came to the conclusion</w:t>
      </w:r>
      <w:r>
        <w:rPr>
          <w:spacing w:val="16"/>
        </w:rPr>
        <w:t> </w:t>
      </w:r>
      <w:r>
        <w:rPr/>
        <w:t>that</w:t>
      </w:r>
      <w:r>
        <w:rPr>
          <w:spacing w:val="14"/>
        </w:rPr>
        <w:t> </w:t>
      </w:r>
      <w:r>
        <w:rPr/>
        <w:t>the</w:t>
      </w:r>
      <w:r>
        <w:rPr>
          <w:spacing w:val="18"/>
        </w:rPr>
        <w:t> </w:t>
      </w:r>
      <w:r>
        <w:rPr/>
        <w:t>activity</w:t>
      </w:r>
      <w:r>
        <w:rPr>
          <w:spacing w:val="16"/>
        </w:rPr>
        <w:t> </w:t>
      </w:r>
      <w:r>
        <w:rPr/>
        <w:t>of</w:t>
      </w:r>
      <w:r>
        <w:rPr>
          <w:spacing w:val="17"/>
        </w:rPr>
        <w:t> </w:t>
      </w:r>
      <w:r>
        <w:rPr/>
        <w:t>the</w:t>
      </w:r>
      <w:r>
        <w:rPr>
          <w:spacing w:val="17"/>
        </w:rPr>
        <w:t> </w:t>
      </w:r>
      <w:r>
        <w:rPr/>
        <w:t>body's</w:t>
      </w:r>
      <w:r>
        <w:rPr>
          <w:spacing w:val="15"/>
        </w:rPr>
        <w:t> </w:t>
      </w:r>
      <w:r>
        <w:rPr/>
        <w:t>immune</w:t>
      </w:r>
      <w:r>
        <w:rPr>
          <w:spacing w:val="17"/>
        </w:rPr>
        <w:t> </w:t>
      </w:r>
      <w:r>
        <w:rPr/>
        <w:t>system</w:t>
      </w:r>
      <w:r>
        <w:rPr>
          <w:spacing w:val="14"/>
        </w:rPr>
        <w:t> </w:t>
      </w:r>
      <w:r>
        <w:rPr/>
        <w:t>is</w:t>
      </w:r>
      <w:r>
        <w:rPr>
          <w:spacing w:val="17"/>
        </w:rPr>
        <w:t> </w:t>
      </w:r>
      <w:r>
        <w:rPr/>
        <w:t>increased</w:t>
      </w:r>
      <w:r>
        <w:rPr>
          <w:spacing w:val="17"/>
        </w:rPr>
        <w:t> </w:t>
      </w:r>
      <w:r>
        <w:rPr/>
        <w:t>by</w:t>
      </w:r>
      <w:r>
        <w:rPr>
          <w:spacing w:val="13"/>
        </w:rPr>
        <w:t> </w:t>
      </w:r>
      <w:r>
        <w:rPr/>
        <w:t>over</w:t>
      </w:r>
    </w:p>
    <w:p>
      <w:pPr>
        <w:spacing w:after="0" w:line="276" w:lineRule="auto"/>
        <w:jc w:val="both"/>
        <w:sectPr>
          <w:pgSz w:w="14270" w:h="16850"/>
          <w:pgMar w:header="0" w:footer="1891" w:top="1600" w:bottom="2080" w:left="800" w:right="1280"/>
        </w:sectPr>
      </w:pPr>
    </w:p>
    <w:p>
      <w:pPr>
        <w:spacing w:before="181"/>
        <w:ind w:left="477" w:right="0" w:firstLine="0"/>
        <w:jc w:val="left"/>
        <w:rPr>
          <w:sz w:val="25"/>
        </w:rPr>
      </w:pPr>
      <w:r>
        <w:rPr>
          <w:sz w:val="38"/>
        </w:rPr>
        <w:t>48 %.</w:t>
      </w:r>
      <w:r>
        <w:rPr>
          <w:position w:val="9"/>
          <w:sz w:val="25"/>
        </w:rPr>
        <w:t>456</w:t>
      </w:r>
    </w:p>
    <w:p>
      <w:pPr>
        <w:pStyle w:val="Heading1"/>
        <w:spacing w:before="288"/>
      </w:pPr>
      <w:r>
        <w:rPr/>
        <w:t>Analgesic effect</w:t>
      </w:r>
    </w:p>
    <w:p>
      <w:pPr>
        <w:pStyle w:val="BodyText"/>
        <w:spacing w:line="276" w:lineRule="auto" w:before="299"/>
        <w:ind w:left="477"/>
      </w:pPr>
      <w:r>
        <w:rPr/>
        <w:t>Lapacho tea has an analgesic effect against many diseases, especially cancers such as breast, liver and prostate cancer.</w:t>
      </w:r>
    </w:p>
    <w:p>
      <w:pPr>
        <w:pStyle w:val="Heading1"/>
        <w:spacing w:before="223"/>
      </w:pPr>
      <w:r>
        <w:rPr/>
        <w:t>Detoxifying effect</w:t>
      </w:r>
    </w:p>
    <w:p>
      <w:pPr>
        <w:pStyle w:val="BodyText"/>
        <w:spacing w:line="276" w:lineRule="auto" w:before="298"/>
        <w:ind w:left="477"/>
      </w:pPr>
      <w:r>
        <w:rPr/>
        <w:t>Lapacho tea has a harmonising effect on the digestive organs, stimulates liver and kidney function and thus helps detoxify the body.</w:t>
      </w:r>
    </w:p>
    <w:p>
      <w:pPr>
        <w:pStyle w:val="Heading1"/>
        <w:spacing w:before="223"/>
      </w:pPr>
      <w:r>
        <w:rPr/>
        <w:t>Wound-healing effect of lapacho</w:t>
      </w:r>
    </w:p>
    <w:p>
      <w:pPr>
        <w:pStyle w:val="BodyText"/>
        <w:spacing w:line="276" w:lineRule="auto" w:before="300"/>
        <w:ind w:left="477" w:right="135"/>
        <w:jc w:val="both"/>
      </w:pPr>
      <w:r>
        <w:rPr/>
        <w:t>Traditionally, lapacho tea has been used by Indian tribes to accelerate wound healing for centuries, due to the high content of tannin and calcium oxalate. Here, the astringent effect of the lapacho is utilised. This refers to the ability</w:t>
      </w:r>
      <w:r>
        <w:rPr>
          <w:spacing w:val="-54"/>
        </w:rPr>
        <w:t> </w:t>
      </w:r>
      <w:r>
        <w:rPr/>
        <w:t>to tighten the mucous membranes and skin during bleeding, allowing accelerated wound healing.</w:t>
      </w:r>
    </w:p>
    <w:p>
      <w:pPr>
        <w:pStyle w:val="BodyText"/>
        <w:rPr>
          <w:sz w:val="42"/>
        </w:rPr>
      </w:pPr>
    </w:p>
    <w:p>
      <w:pPr>
        <w:pStyle w:val="BodyText"/>
        <w:rPr>
          <w:sz w:val="42"/>
        </w:rPr>
      </w:pPr>
    </w:p>
    <w:p>
      <w:pPr>
        <w:pStyle w:val="BodyText"/>
        <w:rPr>
          <w:sz w:val="42"/>
        </w:rPr>
      </w:pPr>
    </w:p>
    <w:p>
      <w:pPr>
        <w:pStyle w:val="Heading1"/>
        <w:spacing w:before="269"/>
      </w:pPr>
      <w:r>
        <w:rPr/>
        <w:t>Specific effects of lapacho tea</w:t>
      </w:r>
    </w:p>
    <w:p>
      <w:pPr>
        <w:pStyle w:val="BodyText"/>
        <w:spacing w:before="300"/>
        <w:ind w:left="477"/>
      </w:pPr>
      <w:r>
        <w:rPr/>
        <w:t>The general, highly varied effects of lapacho tea already suggest that it is able to</w:t>
      </w:r>
    </w:p>
    <w:p>
      <w:pPr>
        <w:pStyle w:val="BodyText"/>
        <w:rPr>
          <w:sz w:val="20"/>
        </w:rPr>
      </w:pPr>
    </w:p>
    <w:p>
      <w:pPr>
        <w:pStyle w:val="BodyText"/>
        <w:spacing w:before="1"/>
        <w:rPr>
          <w:sz w:val="28"/>
        </w:rPr>
      </w:pPr>
      <w:r>
        <w:rPr/>
        <w:pict>
          <v:line style="position:absolute;mso-position-horizontal-relative:page;mso-position-vertical-relative:paragraph;z-index:5768;mso-wrap-distance-left:0;mso-wrap-distance-right:0" from="63.863998pt,18.183735pt" to="207.883998pt,18.183735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456 </w:t>
      </w:r>
      <w:r>
        <w:rPr>
          <w:sz w:val="20"/>
        </w:rPr>
        <w:t>Walter Lübeck: Heilen mit Lapacho-Tee (‘Healing with Lapacho Tea’), 8th Edition 1999, p. 35</w:t>
      </w:r>
    </w:p>
    <w:p>
      <w:pPr>
        <w:spacing w:after="0"/>
        <w:jc w:val="left"/>
        <w:rPr>
          <w:sz w:val="20"/>
        </w:rPr>
        <w:sectPr>
          <w:pgSz w:w="14270" w:h="16850"/>
          <w:pgMar w:header="0" w:footer="1891" w:top="1600" w:bottom="2080" w:left="800" w:right="1280"/>
        </w:sectPr>
      </w:pPr>
    </w:p>
    <w:p>
      <w:pPr>
        <w:pStyle w:val="BodyText"/>
        <w:spacing w:before="181"/>
        <w:ind w:left="477"/>
      </w:pPr>
      <w:r>
        <w:rPr/>
        <w:t>treat many illnesses and physical ills.</w:t>
      </w:r>
    </w:p>
    <w:p>
      <w:pPr>
        <w:pStyle w:val="BodyText"/>
        <w:spacing w:line="276" w:lineRule="auto" w:before="305"/>
        <w:ind w:left="477"/>
      </w:pPr>
      <w:r>
        <w:rPr/>
        <w:t>Lapacho tea has been used successfully against the following diseases and con- ditions:</w:t>
      </w:r>
    </w:p>
    <w:p>
      <w:pPr>
        <w:pStyle w:val="ListParagraph"/>
        <w:numPr>
          <w:ilvl w:val="1"/>
          <w:numId w:val="54"/>
        </w:numPr>
        <w:tabs>
          <w:tab w:pos="976" w:val="left" w:leader="none"/>
          <w:tab w:pos="977" w:val="left" w:leader="none"/>
        </w:tabs>
        <w:spacing w:line="240" w:lineRule="auto" w:before="242" w:after="0"/>
        <w:ind w:left="976" w:right="0" w:hanging="360"/>
        <w:jc w:val="left"/>
        <w:rPr>
          <w:sz w:val="38"/>
        </w:rPr>
      </w:pPr>
      <w:r>
        <w:rPr>
          <w:sz w:val="38"/>
        </w:rPr>
        <w:t>immune deficiency</w:t>
      </w:r>
    </w:p>
    <w:p>
      <w:pPr>
        <w:pStyle w:val="ListParagraph"/>
        <w:numPr>
          <w:ilvl w:val="1"/>
          <w:numId w:val="54"/>
        </w:numPr>
        <w:tabs>
          <w:tab w:pos="976" w:val="left" w:leader="none"/>
          <w:tab w:pos="977" w:val="left" w:leader="none"/>
        </w:tabs>
        <w:spacing w:line="240" w:lineRule="auto" w:before="64" w:after="0"/>
        <w:ind w:left="976" w:right="0" w:hanging="360"/>
        <w:jc w:val="left"/>
        <w:rPr>
          <w:sz w:val="38"/>
        </w:rPr>
      </w:pPr>
      <w:r>
        <w:rPr>
          <w:sz w:val="38"/>
        </w:rPr>
        <w:t>AIDS</w:t>
      </w:r>
    </w:p>
    <w:p>
      <w:pPr>
        <w:pStyle w:val="ListParagraph"/>
        <w:numPr>
          <w:ilvl w:val="1"/>
          <w:numId w:val="54"/>
        </w:numPr>
        <w:tabs>
          <w:tab w:pos="976" w:val="left" w:leader="none"/>
          <w:tab w:pos="977" w:val="left" w:leader="none"/>
        </w:tabs>
        <w:spacing w:line="240" w:lineRule="auto" w:before="63" w:after="0"/>
        <w:ind w:left="976" w:right="0" w:hanging="360"/>
        <w:jc w:val="left"/>
        <w:rPr>
          <w:sz w:val="38"/>
        </w:rPr>
      </w:pPr>
      <w:r>
        <w:rPr>
          <w:sz w:val="38"/>
        </w:rPr>
        <w:t>allergies</w:t>
      </w:r>
    </w:p>
    <w:p>
      <w:pPr>
        <w:pStyle w:val="ListParagraph"/>
        <w:numPr>
          <w:ilvl w:val="1"/>
          <w:numId w:val="54"/>
        </w:numPr>
        <w:tabs>
          <w:tab w:pos="976" w:val="left" w:leader="none"/>
          <w:tab w:pos="977" w:val="left" w:leader="none"/>
        </w:tabs>
        <w:spacing w:line="240" w:lineRule="auto" w:before="65" w:after="0"/>
        <w:ind w:left="976" w:right="0" w:hanging="360"/>
        <w:jc w:val="left"/>
        <w:rPr>
          <w:sz w:val="38"/>
        </w:rPr>
      </w:pPr>
      <w:r>
        <w:rPr>
          <w:sz w:val="38"/>
        </w:rPr>
        <w:t>atherosclerosis (vascular</w:t>
      </w:r>
      <w:r>
        <w:rPr>
          <w:spacing w:val="2"/>
          <w:sz w:val="38"/>
        </w:rPr>
        <w:t> </w:t>
      </w:r>
      <w:r>
        <w:rPr>
          <w:sz w:val="38"/>
        </w:rPr>
        <w:t>calcification)</w:t>
      </w:r>
    </w:p>
    <w:p>
      <w:pPr>
        <w:pStyle w:val="ListParagraph"/>
        <w:numPr>
          <w:ilvl w:val="1"/>
          <w:numId w:val="54"/>
        </w:numPr>
        <w:tabs>
          <w:tab w:pos="976" w:val="left" w:leader="none"/>
          <w:tab w:pos="977" w:val="left" w:leader="none"/>
        </w:tabs>
        <w:spacing w:line="240" w:lineRule="auto" w:before="66" w:after="0"/>
        <w:ind w:left="976" w:right="0" w:hanging="360"/>
        <w:jc w:val="left"/>
        <w:rPr>
          <w:sz w:val="38"/>
        </w:rPr>
      </w:pPr>
      <w:r>
        <w:rPr>
          <w:sz w:val="38"/>
        </w:rPr>
        <w:t>arthritis</w:t>
      </w:r>
    </w:p>
    <w:p>
      <w:pPr>
        <w:pStyle w:val="ListParagraph"/>
        <w:numPr>
          <w:ilvl w:val="1"/>
          <w:numId w:val="54"/>
        </w:numPr>
        <w:tabs>
          <w:tab w:pos="976" w:val="left" w:leader="none"/>
          <w:tab w:pos="977" w:val="left" w:leader="none"/>
        </w:tabs>
        <w:spacing w:line="240" w:lineRule="auto" w:before="63" w:after="0"/>
        <w:ind w:left="976" w:right="0" w:hanging="360"/>
        <w:jc w:val="left"/>
        <w:rPr>
          <w:sz w:val="38"/>
        </w:rPr>
      </w:pPr>
      <w:r>
        <w:rPr>
          <w:sz w:val="38"/>
        </w:rPr>
        <w:t>respiratory diseases (asthma,</w:t>
      </w:r>
      <w:r>
        <w:rPr>
          <w:spacing w:val="3"/>
          <w:sz w:val="38"/>
        </w:rPr>
        <w:t> </w:t>
      </w:r>
      <w:r>
        <w:rPr>
          <w:sz w:val="38"/>
        </w:rPr>
        <w:t>bronchitis)</w:t>
      </w:r>
    </w:p>
    <w:p>
      <w:pPr>
        <w:pStyle w:val="ListParagraph"/>
        <w:numPr>
          <w:ilvl w:val="1"/>
          <w:numId w:val="54"/>
        </w:numPr>
        <w:tabs>
          <w:tab w:pos="976" w:val="left" w:leader="none"/>
          <w:tab w:pos="977" w:val="left" w:leader="none"/>
        </w:tabs>
        <w:spacing w:line="240" w:lineRule="auto" w:before="64" w:after="0"/>
        <w:ind w:left="976" w:right="0" w:hanging="360"/>
        <w:jc w:val="left"/>
        <w:rPr>
          <w:sz w:val="38"/>
        </w:rPr>
      </w:pPr>
      <w:r>
        <w:rPr>
          <w:sz w:val="38"/>
        </w:rPr>
        <w:t>anaemia</w:t>
      </w:r>
    </w:p>
    <w:p>
      <w:pPr>
        <w:pStyle w:val="ListParagraph"/>
        <w:numPr>
          <w:ilvl w:val="1"/>
          <w:numId w:val="54"/>
        </w:numPr>
        <w:tabs>
          <w:tab w:pos="976" w:val="left" w:leader="none"/>
          <w:tab w:pos="977" w:val="left" w:leader="none"/>
        </w:tabs>
        <w:spacing w:line="240" w:lineRule="auto" w:before="64" w:after="0"/>
        <w:ind w:left="976" w:right="0" w:hanging="360"/>
        <w:jc w:val="left"/>
        <w:rPr>
          <w:sz w:val="38"/>
        </w:rPr>
      </w:pPr>
      <w:r>
        <w:rPr>
          <w:sz w:val="38"/>
        </w:rPr>
        <w:t>Candida</w:t>
      </w:r>
      <w:r>
        <w:rPr>
          <w:spacing w:val="-2"/>
          <w:sz w:val="38"/>
        </w:rPr>
        <w:t> </w:t>
      </w:r>
      <w:r>
        <w:rPr>
          <w:sz w:val="38"/>
        </w:rPr>
        <w:t>albicans</w:t>
      </w:r>
    </w:p>
    <w:p>
      <w:pPr>
        <w:pStyle w:val="ListParagraph"/>
        <w:numPr>
          <w:ilvl w:val="1"/>
          <w:numId w:val="54"/>
        </w:numPr>
        <w:tabs>
          <w:tab w:pos="976" w:val="left" w:leader="none"/>
          <w:tab w:pos="977" w:val="left" w:leader="none"/>
        </w:tabs>
        <w:spacing w:line="240" w:lineRule="auto" w:before="63" w:after="0"/>
        <w:ind w:left="976" w:right="0" w:hanging="360"/>
        <w:jc w:val="left"/>
        <w:rPr>
          <w:sz w:val="38"/>
        </w:rPr>
      </w:pPr>
      <w:r>
        <w:rPr>
          <w:sz w:val="38"/>
        </w:rPr>
        <w:t>chemotherapy</w:t>
      </w:r>
    </w:p>
    <w:p>
      <w:pPr>
        <w:pStyle w:val="ListParagraph"/>
        <w:numPr>
          <w:ilvl w:val="1"/>
          <w:numId w:val="54"/>
        </w:numPr>
        <w:tabs>
          <w:tab w:pos="976" w:val="left" w:leader="none"/>
          <w:tab w:pos="977" w:val="left" w:leader="none"/>
        </w:tabs>
        <w:spacing w:line="240" w:lineRule="auto" w:before="67" w:after="0"/>
        <w:ind w:left="976" w:right="0" w:hanging="360"/>
        <w:jc w:val="left"/>
        <w:rPr>
          <w:sz w:val="38"/>
        </w:rPr>
      </w:pPr>
      <w:r>
        <w:rPr>
          <w:sz w:val="38"/>
        </w:rPr>
        <w:t>intestinal</w:t>
      </w:r>
      <w:r>
        <w:rPr>
          <w:spacing w:val="-1"/>
          <w:sz w:val="38"/>
        </w:rPr>
        <w:t> </w:t>
      </w:r>
      <w:r>
        <w:rPr>
          <w:sz w:val="38"/>
        </w:rPr>
        <w:t>pain</w:t>
      </w:r>
    </w:p>
    <w:p>
      <w:pPr>
        <w:pStyle w:val="ListParagraph"/>
        <w:numPr>
          <w:ilvl w:val="1"/>
          <w:numId w:val="54"/>
        </w:numPr>
        <w:tabs>
          <w:tab w:pos="976" w:val="left" w:leader="none"/>
          <w:tab w:pos="977" w:val="left" w:leader="none"/>
        </w:tabs>
        <w:spacing w:line="240" w:lineRule="auto" w:before="63" w:after="0"/>
        <w:ind w:left="976" w:right="0" w:hanging="360"/>
        <w:jc w:val="left"/>
        <w:rPr>
          <w:sz w:val="38"/>
        </w:rPr>
      </w:pPr>
      <w:r>
        <w:rPr>
          <w:sz w:val="38"/>
        </w:rPr>
        <w:t>diabetes</w:t>
      </w:r>
    </w:p>
    <w:p>
      <w:pPr>
        <w:pStyle w:val="ListParagraph"/>
        <w:numPr>
          <w:ilvl w:val="1"/>
          <w:numId w:val="54"/>
        </w:numPr>
        <w:tabs>
          <w:tab w:pos="976" w:val="left" w:leader="none"/>
          <w:tab w:pos="977" w:val="left" w:leader="none"/>
        </w:tabs>
        <w:spacing w:line="240" w:lineRule="auto" w:before="64" w:after="0"/>
        <w:ind w:left="976" w:right="0" w:hanging="360"/>
        <w:jc w:val="left"/>
        <w:rPr>
          <w:sz w:val="38"/>
        </w:rPr>
      </w:pPr>
      <w:r>
        <w:rPr>
          <w:sz w:val="38"/>
        </w:rPr>
        <w:t>eczema</w:t>
      </w:r>
    </w:p>
    <w:p>
      <w:pPr>
        <w:pStyle w:val="ListParagraph"/>
        <w:numPr>
          <w:ilvl w:val="1"/>
          <w:numId w:val="54"/>
        </w:numPr>
        <w:tabs>
          <w:tab w:pos="976" w:val="left" w:leader="none"/>
          <w:tab w:pos="977" w:val="left" w:leader="none"/>
        </w:tabs>
        <w:spacing w:line="240" w:lineRule="auto" w:before="63" w:after="0"/>
        <w:ind w:left="976" w:right="0" w:hanging="360"/>
        <w:jc w:val="left"/>
        <w:rPr>
          <w:sz w:val="38"/>
        </w:rPr>
      </w:pPr>
      <w:r>
        <w:rPr>
          <w:sz w:val="38"/>
        </w:rPr>
        <w:t>detoxification (e.g. alcoholism and other substance</w:t>
      </w:r>
      <w:r>
        <w:rPr>
          <w:spacing w:val="2"/>
          <w:sz w:val="38"/>
        </w:rPr>
        <w:t> </w:t>
      </w:r>
      <w:r>
        <w:rPr>
          <w:sz w:val="38"/>
        </w:rPr>
        <w:t>abuse)</w:t>
      </w:r>
    </w:p>
    <w:p>
      <w:pPr>
        <w:pStyle w:val="ListParagraph"/>
        <w:numPr>
          <w:ilvl w:val="1"/>
          <w:numId w:val="54"/>
        </w:numPr>
        <w:tabs>
          <w:tab w:pos="976" w:val="left" w:leader="none"/>
          <w:tab w:pos="977" w:val="left" w:leader="none"/>
        </w:tabs>
        <w:spacing w:line="240" w:lineRule="auto" w:before="64" w:after="0"/>
        <w:ind w:left="976" w:right="0" w:hanging="360"/>
        <w:jc w:val="left"/>
        <w:rPr>
          <w:sz w:val="38"/>
        </w:rPr>
      </w:pPr>
      <w:r>
        <w:rPr>
          <w:sz w:val="38"/>
        </w:rPr>
        <w:t>cold</w:t>
      </w:r>
    </w:p>
    <w:p>
      <w:pPr>
        <w:pStyle w:val="ListParagraph"/>
        <w:numPr>
          <w:ilvl w:val="1"/>
          <w:numId w:val="54"/>
        </w:numPr>
        <w:tabs>
          <w:tab w:pos="976" w:val="left" w:leader="none"/>
          <w:tab w:pos="977" w:val="left" w:leader="none"/>
        </w:tabs>
        <w:spacing w:line="240" w:lineRule="auto" w:before="66" w:after="0"/>
        <w:ind w:left="976" w:right="0" w:hanging="360"/>
        <w:jc w:val="left"/>
        <w:rPr>
          <w:sz w:val="38"/>
        </w:rPr>
      </w:pPr>
      <w:r>
        <w:rPr>
          <w:sz w:val="38"/>
        </w:rPr>
        <w:t>erysipelas</w:t>
      </w:r>
    </w:p>
    <w:p>
      <w:pPr>
        <w:pStyle w:val="ListParagraph"/>
        <w:numPr>
          <w:ilvl w:val="1"/>
          <w:numId w:val="54"/>
        </w:numPr>
        <w:tabs>
          <w:tab w:pos="976" w:val="left" w:leader="none"/>
          <w:tab w:pos="977" w:val="left" w:leader="none"/>
        </w:tabs>
        <w:spacing w:line="240" w:lineRule="auto" w:before="64" w:after="0"/>
        <w:ind w:left="976" w:right="0" w:hanging="360"/>
        <w:jc w:val="left"/>
        <w:rPr>
          <w:sz w:val="38"/>
        </w:rPr>
      </w:pPr>
      <w:r>
        <w:rPr>
          <w:sz w:val="38"/>
        </w:rPr>
        <w:t>athlete’s foot</w:t>
      </w:r>
    </w:p>
    <w:p>
      <w:pPr>
        <w:pStyle w:val="ListParagraph"/>
        <w:numPr>
          <w:ilvl w:val="1"/>
          <w:numId w:val="54"/>
        </w:numPr>
        <w:tabs>
          <w:tab w:pos="976" w:val="left" w:leader="none"/>
          <w:tab w:pos="977" w:val="left" w:leader="none"/>
        </w:tabs>
        <w:spacing w:line="240" w:lineRule="auto" w:before="64" w:after="0"/>
        <w:ind w:left="976" w:right="0" w:hanging="360"/>
        <w:jc w:val="left"/>
        <w:rPr>
          <w:sz w:val="38"/>
        </w:rPr>
      </w:pPr>
      <w:r>
        <w:rPr>
          <w:sz w:val="38"/>
        </w:rPr>
        <w:t>gastritis</w:t>
      </w:r>
    </w:p>
    <w:p>
      <w:pPr>
        <w:pStyle w:val="ListParagraph"/>
        <w:numPr>
          <w:ilvl w:val="1"/>
          <w:numId w:val="54"/>
        </w:numPr>
        <w:tabs>
          <w:tab w:pos="976" w:val="left" w:leader="none"/>
          <w:tab w:pos="977" w:val="left" w:leader="none"/>
        </w:tabs>
        <w:spacing w:line="240" w:lineRule="auto" w:before="64" w:after="0"/>
        <w:ind w:left="976" w:right="0" w:hanging="360"/>
        <w:jc w:val="left"/>
        <w:rPr>
          <w:sz w:val="38"/>
        </w:rPr>
      </w:pPr>
      <w:r>
        <w:rPr>
          <w:sz w:val="38"/>
        </w:rPr>
        <w:t>joint</w:t>
      </w:r>
      <w:r>
        <w:rPr>
          <w:spacing w:val="-1"/>
          <w:sz w:val="38"/>
        </w:rPr>
        <w:t> </w:t>
      </w:r>
      <w:r>
        <w:rPr>
          <w:sz w:val="38"/>
        </w:rPr>
        <w:t>pain</w:t>
      </w:r>
    </w:p>
    <w:p>
      <w:pPr>
        <w:pStyle w:val="ListParagraph"/>
        <w:numPr>
          <w:ilvl w:val="1"/>
          <w:numId w:val="54"/>
        </w:numPr>
        <w:tabs>
          <w:tab w:pos="976" w:val="left" w:leader="none"/>
          <w:tab w:pos="977" w:val="left" w:leader="none"/>
        </w:tabs>
        <w:spacing w:line="240" w:lineRule="auto" w:before="63" w:after="0"/>
        <w:ind w:left="976" w:right="0" w:hanging="360"/>
        <w:jc w:val="left"/>
        <w:rPr>
          <w:sz w:val="38"/>
        </w:rPr>
      </w:pPr>
      <w:r>
        <w:rPr>
          <w:sz w:val="38"/>
        </w:rPr>
        <w:t>cataracts</w:t>
      </w:r>
    </w:p>
    <w:p>
      <w:pPr>
        <w:spacing w:after="0" w:line="240" w:lineRule="auto"/>
        <w:jc w:val="left"/>
        <w:rPr>
          <w:sz w:val="38"/>
        </w:rPr>
        <w:sectPr>
          <w:pgSz w:w="14270" w:h="16850"/>
          <w:pgMar w:header="0" w:footer="1891" w:top="1600" w:bottom="2080" w:left="800" w:right="1280"/>
        </w:sectPr>
      </w:pPr>
    </w:p>
    <w:p>
      <w:pPr>
        <w:pStyle w:val="BodyText"/>
        <w:spacing w:before="10"/>
        <w:rPr>
          <w:sz w:val="8"/>
        </w:rPr>
      </w:pPr>
    </w:p>
    <w:p>
      <w:pPr>
        <w:pStyle w:val="ListParagraph"/>
        <w:numPr>
          <w:ilvl w:val="1"/>
          <w:numId w:val="54"/>
        </w:numPr>
        <w:tabs>
          <w:tab w:pos="976" w:val="left" w:leader="none"/>
          <w:tab w:pos="977" w:val="left" w:leader="none"/>
        </w:tabs>
        <w:spacing w:line="240" w:lineRule="auto" w:before="83" w:after="0"/>
        <w:ind w:left="976" w:right="0" w:hanging="360"/>
        <w:jc w:val="left"/>
        <w:rPr>
          <w:sz w:val="38"/>
        </w:rPr>
      </w:pPr>
      <w:r>
        <w:rPr>
          <w:sz w:val="38"/>
        </w:rPr>
        <w:t>flu</w:t>
      </w:r>
    </w:p>
    <w:p>
      <w:pPr>
        <w:pStyle w:val="ListParagraph"/>
        <w:numPr>
          <w:ilvl w:val="1"/>
          <w:numId w:val="54"/>
        </w:numPr>
        <w:tabs>
          <w:tab w:pos="976" w:val="left" w:leader="none"/>
          <w:tab w:pos="977" w:val="left" w:leader="none"/>
        </w:tabs>
        <w:spacing w:line="240" w:lineRule="auto" w:before="64" w:after="0"/>
        <w:ind w:left="976" w:right="0" w:hanging="360"/>
        <w:jc w:val="left"/>
        <w:rPr>
          <w:sz w:val="38"/>
        </w:rPr>
      </w:pPr>
      <w:r>
        <w:rPr>
          <w:sz w:val="38"/>
        </w:rPr>
        <w:t>shingles</w:t>
      </w:r>
    </w:p>
    <w:p>
      <w:pPr>
        <w:pStyle w:val="ListParagraph"/>
        <w:numPr>
          <w:ilvl w:val="1"/>
          <w:numId w:val="54"/>
        </w:numPr>
        <w:tabs>
          <w:tab w:pos="976" w:val="left" w:leader="none"/>
          <w:tab w:pos="977" w:val="left" w:leader="none"/>
        </w:tabs>
        <w:spacing w:line="240" w:lineRule="auto" w:before="66" w:after="0"/>
        <w:ind w:left="976" w:right="0" w:hanging="360"/>
        <w:jc w:val="left"/>
        <w:rPr>
          <w:sz w:val="38"/>
        </w:rPr>
      </w:pPr>
      <w:r>
        <w:rPr>
          <w:sz w:val="38"/>
        </w:rPr>
        <w:t>sore throat</w:t>
      </w:r>
    </w:p>
    <w:p>
      <w:pPr>
        <w:pStyle w:val="ListParagraph"/>
        <w:numPr>
          <w:ilvl w:val="1"/>
          <w:numId w:val="54"/>
        </w:numPr>
        <w:tabs>
          <w:tab w:pos="976" w:val="left" w:leader="none"/>
          <w:tab w:pos="977" w:val="left" w:leader="none"/>
        </w:tabs>
        <w:spacing w:line="240" w:lineRule="auto" w:before="63" w:after="0"/>
        <w:ind w:left="976" w:right="0" w:hanging="360"/>
        <w:jc w:val="left"/>
        <w:rPr>
          <w:sz w:val="38"/>
        </w:rPr>
      </w:pPr>
      <w:r>
        <w:rPr>
          <w:sz w:val="38"/>
        </w:rPr>
        <w:t>skin diseases</w:t>
      </w:r>
    </w:p>
    <w:p>
      <w:pPr>
        <w:pStyle w:val="ListParagraph"/>
        <w:numPr>
          <w:ilvl w:val="1"/>
          <w:numId w:val="54"/>
        </w:numPr>
        <w:tabs>
          <w:tab w:pos="976" w:val="left" w:leader="none"/>
          <w:tab w:pos="977" w:val="left" w:leader="none"/>
        </w:tabs>
        <w:spacing w:line="240" w:lineRule="auto" w:before="64" w:after="0"/>
        <w:ind w:left="976" w:right="0" w:hanging="360"/>
        <w:jc w:val="left"/>
        <w:rPr>
          <w:sz w:val="38"/>
        </w:rPr>
      </w:pPr>
      <w:r>
        <w:rPr>
          <w:sz w:val="38"/>
        </w:rPr>
        <w:t>blemishes</w:t>
      </w:r>
    </w:p>
    <w:p>
      <w:pPr>
        <w:pStyle w:val="ListParagraph"/>
        <w:numPr>
          <w:ilvl w:val="1"/>
          <w:numId w:val="54"/>
        </w:numPr>
        <w:tabs>
          <w:tab w:pos="976" w:val="left" w:leader="none"/>
          <w:tab w:pos="977" w:val="left" w:leader="none"/>
        </w:tabs>
        <w:spacing w:line="240" w:lineRule="auto" w:before="63" w:after="0"/>
        <w:ind w:left="976" w:right="0" w:hanging="360"/>
        <w:jc w:val="left"/>
        <w:rPr>
          <w:sz w:val="38"/>
        </w:rPr>
      </w:pPr>
      <w:r>
        <w:rPr>
          <w:sz w:val="38"/>
        </w:rPr>
        <w:t>haemorrhoids</w:t>
      </w:r>
    </w:p>
    <w:p>
      <w:pPr>
        <w:pStyle w:val="ListParagraph"/>
        <w:numPr>
          <w:ilvl w:val="1"/>
          <w:numId w:val="54"/>
        </w:numPr>
        <w:tabs>
          <w:tab w:pos="976" w:val="left" w:leader="none"/>
          <w:tab w:pos="977" w:val="left" w:leader="none"/>
        </w:tabs>
        <w:spacing w:line="240" w:lineRule="auto" w:before="65" w:after="0"/>
        <w:ind w:left="976" w:right="0" w:hanging="360"/>
        <w:jc w:val="left"/>
        <w:rPr>
          <w:sz w:val="38"/>
        </w:rPr>
      </w:pPr>
      <w:r>
        <w:rPr>
          <w:sz w:val="38"/>
        </w:rPr>
        <w:t>yeast</w:t>
      </w:r>
      <w:r>
        <w:rPr>
          <w:spacing w:val="-1"/>
          <w:sz w:val="38"/>
        </w:rPr>
        <w:t> </w:t>
      </w:r>
      <w:r>
        <w:rPr>
          <w:sz w:val="38"/>
        </w:rPr>
        <w:t>infections</w:t>
      </w:r>
    </w:p>
    <w:p>
      <w:pPr>
        <w:pStyle w:val="ListParagraph"/>
        <w:numPr>
          <w:ilvl w:val="1"/>
          <w:numId w:val="54"/>
        </w:numPr>
        <w:tabs>
          <w:tab w:pos="976" w:val="left" w:leader="none"/>
          <w:tab w:pos="977" w:val="left" w:leader="none"/>
        </w:tabs>
        <w:spacing w:line="240" w:lineRule="auto" w:before="66" w:after="0"/>
        <w:ind w:left="976" w:right="0" w:hanging="360"/>
        <w:jc w:val="left"/>
        <w:rPr>
          <w:sz w:val="38"/>
        </w:rPr>
      </w:pPr>
      <w:r>
        <w:rPr>
          <w:sz w:val="38"/>
        </w:rPr>
        <w:t>cough</w:t>
      </w:r>
    </w:p>
    <w:p>
      <w:pPr>
        <w:pStyle w:val="ListParagraph"/>
        <w:numPr>
          <w:ilvl w:val="1"/>
          <w:numId w:val="54"/>
        </w:numPr>
        <w:tabs>
          <w:tab w:pos="976" w:val="left" w:leader="none"/>
          <w:tab w:pos="977" w:val="left" w:leader="none"/>
        </w:tabs>
        <w:spacing w:line="240" w:lineRule="auto" w:before="63" w:after="0"/>
        <w:ind w:left="976" w:right="0" w:hanging="360"/>
        <w:jc w:val="left"/>
        <w:rPr>
          <w:sz w:val="38"/>
        </w:rPr>
      </w:pPr>
      <w:r>
        <w:rPr>
          <w:sz w:val="38"/>
        </w:rPr>
        <w:t>periostitis</w:t>
      </w:r>
    </w:p>
    <w:p>
      <w:pPr>
        <w:pStyle w:val="ListParagraph"/>
        <w:numPr>
          <w:ilvl w:val="1"/>
          <w:numId w:val="54"/>
        </w:numPr>
        <w:tabs>
          <w:tab w:pos="976" w:val="left" w:leader="none"/>
          <w:tab w:pos="977" w:val="left" w:leader="none"/>
        </w:tabs>
        <w:spacing w:line="240" w:lineRule="auto" w:before="64" w:after="0"/>
        <w:ind w:left="976" w:right="0" w:hanging="360"/>
        <w:jc w:val="left"/>
        <w:rPr>
          <w:sz w:val="38"/>
        </w:rPr>
      </w:pPr>
      <w:r>
        <w:rPr>
          <w:sz w:val="38"/>
        </w:rPr>
        <w:t>varicose veins</w:t>
      </w:r>
    </w:p>
    <w:p>
      <w:pPr>
        <w:pStyle w:val="ListParagraph"/>
        <w:numPr>
          <w:ilvl w:val="1"/>
          <w:numId w:val="54"/>
        </w:numPr>
        <w:tabs>
          <w:tab w:pos="976" w:val="left" w:leader="none"/>
          <w:tab w:pos="977" w:val="left" w:leader="none"/>
        </w:tabs>
        <w:spacing w:line="240" w:lineRule="auto" w:before="64" w:after="0"/>
        <w:ind w:left="976" w:right="0" w:hanging="360"/>
        <w:jc w:val="left"/>
        <w:rPr>
          <w:sz w:val="38"/>
        </w:rPr>
      </w:pPr>
      <w:r>
        <w:rPr>
          <w:sz w:val="38"/>
        </w:rPr>
        <w:t>cancer</w:t>
      </w:r>
    </w:p>
    <w:p>
      <w:pPr>
        <w:pStyle w:val="ListParagraph"/>
        <w:numPr>
          <w:ilvl w:val="1"/>
          <w:numId w:val="54"/>
        </w:numPr>
        <w:tabs>
          <w:tab w:pos="976" w:val="left" w:leader="none"/>
          <w:tab w:pos="977" w:val="left" w:leader="none"/>
        </w:tabs>
        <w:spacing w:line="240" w:lineRule="auto" w:before="63" w:after="0"/>
        <w:ind w:left="976" w:right="0" w:hanging="360"/>
        <w:jc w:val="left"/>
        <w:rPr>
          <w:sz w:val="38"/>
        </w:rPr>
      </w:pPr>
      <w:r>
        <w:rPr>
          <w:sz w:val="38"/>
        </w:rPr>
        <w:t>leukaemia</w:t>
      </w:r>
    </w:p>
    <w:p>
      <w:pPr>
        <w:pStyle w:val="ListParagraph"/>
        <w:numPr>
          <w:ilvl w:val="1"/>
          <w:numId w:val="54"/>
        </w:numPr>
        <w:tabs>
          <w:tab w:pos="976" w:val="left" w:leader="none"/>
          <w:tab w:pos="977" w:val="left" w:leader="none"/>
        </w:tabs>
        <w:spacing w:line="240" w:lineRule="auto" w:before="66" w:after="0"/>
        <w:ind w:left="976" w:right="0" w:hanging="360"/>
        <w:jc w:val="left"/>
        <w:rPr>
          <w:sz w:val="38"/>
        </w:rPr>
      </w:pPr>
      <w:r>
        <w:rPr>
          <w:sz w:val="38"/>
        </w:rPr>
        <w:t>liver disease</w:t>
      </w:r>
    </w:p>
    <w:p>
      <w:pPr>
        <w:pStyle w:val="ListParagraph"/>
        <w:numPr>
          <w:ilvl w:val="1"/>
          <w:numId w:val="54"/>
        </w:numPr>
        <w:tabs>
          <w:tab w:pos="976" w:val="left" w:leader="none"/>
          <w:tab w:pos="977" w:val="left" w:leader="none"/>
        </w:tabs>
        <w:spacing w:line="240" w:lineRule="auto" w:before="64" w:after="0"/>
        <w:ind w:left="976" w:right="0" w:hanging="360"/>
        <w:jc w:val="left"/>
        <w:rPr>
          <w:sz w:val="38"/>
        </w:rPr>
      </w:pPr>
      <w:r>
        <w:rPr>
          <w:sz w:val="38"/>
        </w:rPr>
        <w:t>hernia</w:t>
      </w:r>
    </w:p>
    <w:p>
      <w:pPr>
        <w:pStyle w:val="ListParagraph"/>
        <w:numPr>
          <w:ilvl w:val="1"/>
          <w:numId w:val="54"/>
        </w:numPr>
        <w:tabs>
          <w:tab w:pos="976" w:val="left" w:leader="none"/>
          <w:tab w:pos="977" w:val="left" w:leader="none"/>
        </w:tabs>
        <w:spacing w:line="240" w:lineRule="auto" w:before="64" w:after="0"/>
        <w:ind w:left="976" w:right="0" w:hanging="360"/>
        <w:jc w:val="left"/>
        <w:rPr>
          <w:sz w:val="38"/>
        </w:rPr>
      </w:pPr>
      <w:r>
        <w:rPr>
          <w:sz w:val="38"/>
        </w:rPr>
        <w:t>lupus</w:t>
      </w:r>
    </w:p>
    <w:p>
      <w:pPr>
        <w:pStyle w:val="ListParagraph"/>
        <w:numPr>
          <w:ilvl w:val="1"/>
          <w:numId w:val="54"/>
        </w:numPr>
        <w:tabs>
          <w:tab w:pos="976" w:val="left" w:leader="none"/>
          <w:tab w:pos="977" w:val="left" w:leader="none"/>
        </w:tabs>
        <w:spacing w:line="240" w:lineRule="auto" w:before="64" w:after="0"/>
        <w:ind w:left="976" w:right="0" w:hanging="360"/>
        <w:jc w:val="left"/>
        <w:rPr>
          <w:sz w:val="38"/>
        </w:rPr>
      </w:pPr>
      <w:r>
        <w:rPr>
          <w:sz w:val="38"/>
        </w:rPr>
        <w:t>malaria</w:t>
      </w:r>
    </w:p>
    <w:p>
      <w:pPr>
        <w:pStyle w:val="ListParagraph"/>
        <w:numPr>
          <w:ilvl w:val="1"/>
          <w:numId w:val="54"/>
        </w:numPr>
        <w:tabs>
          <w:tab w:pos="976" w:val="left" w:leader="none"/>
          <w:tab w:pos="977" w:val="left" w:leader="none"/>
        </w:tabs>
        <w:spacing w:line="240" w:lineRule="auto" w:before="66" w:after="0"/>
        <w:ind w:left="976" w:right="0" w:hanging="360"/>
        <w:jc w:val="left"/>
        <w:rPr>
          <w:sz w:val="38"/>
        </w:rPr>
      </w:pPr>
      <w:r>
        <w:rPr>
          <w:sz w:val="38"/>
        </w:rPr>
        <w:t>migraines</w:t>
      </w:r>
    </w:p>
    <w:p>
      <w:pPr>
        <w:pStyle w:val="ListParagraph"/>
        <w:numPr>
          <w:ilvl w:val="1"/>
          <w:numId w:val="54"/>
        </w:numPr>
        <w:tabs>
          <w:tab w:pos="976" w:val="left" w:leader="none"/>
          <w:tab w:pos="977" w:val="left" w:leader="none"/>
        </w:tabs>
        <w:spacing w:line="240" w:lineRule="auto" w:before="63" w:after="0"/>
        <w:ind w:left="976" w:right="0" w:hanging="360"/>
        <w:jc w:val="left"/>
        <w:rPr>
          <w:sz w:val="38"/>
        </w:rPr>
      </w:pPr>
      <w:r>
        <w:rPr>
          <w:sz w:val="38"/>
        </w:rPr>
        <w:t>spleen</w:t>
      </w:r>
      <w:r>
        <w:rPr>
          <w:spacing w:val="1"/>
          <w:sz w:val="38"/>
        </w:rPr>
        <w:t> </w:t>
      </w:r>
      <w:r>
        <w:rPr>
          <w:sz w:val="38"/>
        </w:rPr>
        <w:t>infections</w:t>
      </w:r>
    </w:p>
    <w:p>
      <w:pPr>
        <w:pStyle w:val="ListParagraph"/>
        <w:numPr>
          <w:ilvl w:val="1"/>
          <w:numId w:val="54"/>
        </w:numPr>
        <w:tabs>
          <w:tab w:pos="976" w:val="left" w:leader="none"/>
          <w:tab w:pos="977" w:val="left" w:leader="none"/>
        </w:tabs>
        <w:spacing w:line="240" w:lineRule="auto" w:before="64" w:after="0"/>
        <w:ind w:left="976" w:right="0" w:hanging="360"/>
        <w:jc w:val="left"/>
        <w:rPr>
          <w:sz w:val="38"/>
        </w:rPr>
      </w:pPr>
      <w:r>
        <w:rPr>
          <w:sz w:val="38"/>
        </w:rPr>
        <w:t>multiple sclerosis (MS)</w:t>
      </w:r>
    </w:p>
    <w:p>
      <w:pPr>
        <w:pStyle w:val="ListParagraph"/>
        <w:numPr>
          <w:ilvl w:val="1"/>
          <w:numId w:val="54"/>
        </w:numPr>
        <w:tabs>
          <w:tab w:pos="976" w:val="left" w:leader="none"/>
          <w:tab w:pos="977" w:val="left" w:leader="none"/>
        </w:tabs>
        <w:spacing w:line="240" w:lineRule="auto" w:before="63" w:after="0"/>
        <w:ind w:left="976" w:right="0" w:hanging="360"/>
        <w:jc w:val="left"/>
        <w:rPr>
          <w:sz w:val="38"/>
        </w:rPr>
      </w:pPr>
      <w:r>
        <w:rPr>
          <w:sz w:val="38"/>
        </w:rPr>
        <w:t>sinusitis</w:t>
      </w:r>
    </w:p>
    <w:p>
      <w:pPr>
        <w:pStyle w:val="ListParagraph"/>
        <w:numPr>
          <w:ilvl w:val="1"/>
          <w:numId w:val="54"/>
        </w:numPr>
        <w:tabs>
          <w:tab w:pos="976" w:val="left" w:leader="none"/>
          <w:tab w:pos="977" w:val="left" w:leader="none"/>
        </w:tabs>
        <w:spacing w:line="240" w:lineRule="auto" w:before="65" w:after="0"/>
        <w:ind w:left="976" w:right="0" w:hanging="360"/>
        <w:jc w:val="left"/>
        <w:rPr>
          <w:sz w:val="38"/>
        </w:rPr>
      </w:pPr>
      <w:r>
        <w:rPr>
          <w:sz w:val="38"/>
        </w:rPr>
        <w:t>eczema</w:t>
      </w:r>
    </w:p>
    <w:p>
      <w:pPr>
        <w:pStyle w:val="ListParagraph"/>
        <w:numPr>
          <w:ilvl w:val="1"/>
          <w:numId w:val="54"/>
        </w:numPr>
        <w:tabs>
          <w:tab w:pos="976" w:val="left" w:leader="none"/>
          <w:tab w:pos="977" w:val="left" w:leader="none"/>
        </w:tabs>
        <w:spacing w:line="240" w:lineRule="auto" w:before="66" w:after="0"/>
        <w:ind w:left="976" w:right="0" w:hanging="360"/>
        <w:jc w:val="left"/>
        <w:rPr>
          <w:sz w:val="38"/>
        </w:rPr>
      </w:pPr>
      <w:r>
        <w:rPr>
          <w:sz w:val="38"/>
        </w:rPr>
        <w:t>oedema</w:t>
      </w:r>
    </w:p>
    <w:p>
      <w:pPr>
        <w:spacing w:after="0" w:line="240" w:lineRule="auto"/>
        <w:jc w:val="left"/>
        <w:rPr>
          <w:sz w:val="38"/>
        </w:rPr>
        <w:sectPr>
          <w:pgSz w:w="14270" w:h="16850"/>
          <w:pgMar w:header="0" w:footer="1891" w:top="1600" w:bottom="2080" w:left="800" w:right="1280"/>
        </w:sectPr>
      </w:pPr>
    </w:p>
    <w:p>
      <w:pPr>
        <w:pStyle w:val="BodyText"/>
        <w:spacing w:before="10"/>
        <w:rPr>
          <w:sz w:val="8"/>
        </w:rPr>
      </w:pPr>
    </w:p>
    <w:p>
      <w:pPr>
        <w:pStyle w:val="ListParagraph"/>
        <w:numPr>
          <w:ilvl w:val="1"/>
          <w:numId w:val="54"/>
        </w:numPr>
        <w:tabs>
          <w:tab w:pos="976" w:val="left" w:leader="none"/>
          <w:tab w:pos="977" w:val="left" w:leader="none"/>
        </w:tabs>
        <w:spacing w:line="240" w:lineRule="auto" w:before="83" w:after="0"/>
        <w:ind w:left="976" w:right="0" w:hanging="360"/>
        <w:jc w:val="left"/>
        <w:rPr>
          <w:sz w:val="38"/>
        </w:rPr>
      </w:pPr>
      <w:r>
        <w:rPr>
          <w:sz w:val="38"/>
        </w:rPr>
        <w:t>fungal diseases of all kinds/vaginal fungus</w:t>
      </w:r>
    </w:p>
    <w:p>
      <w:pPr>
        <w:pStyle w:val="ListParagraph"/>
        <w:numPr>
          <w:ilvl w:val="1"/>
          <w:numId w:val="54"/>
        </w:numPr>
        <w:tabs>
          <w:tab w:pos="976" w:val="left" w:leader="none"/>
          <w:tab w:pos="977" w:val="left" w:leader="none"/>
        </w:tabs>
        <w:spacing w:line="240" w:lineRule="auto" w:before="64" w:after="0"/>
        <w:ind w:left="976" w:right="0" w:hanging="360"/>
        <w:jc w:val="left"/>
        <w:rPr>
          <w:sz w:val="38"/>
        </w:rPr>
      </w:pPr>
      <w:r>
        <w:rPr>
          <w:sz w:val="38"/>
        </w:rPr>
        <w:t>polyps</w:t>
      </w:r>
    </w:p>
    <w:p>
      <w:pPr>
        <w:pStyle w:val="ListParagraph"/>
        <w:numPr>
          <w:ilvl w:val="1"/>
          <w:numId w:val="54"/>
        </w:numPr>
        <w:tabs>
          <w:tab w:pos="976" w:val="left" w:leader="none"/>
          <w:tab w:pos="977" w:val="left" w:leader="none"/>
        </w:tabs>
        <w:spacing w:line="240" w:lineRule="auto" w:before="66" w:after="0"/>
        <w:ind w:left="976" w:right="0" w:hanging="360"/>
        <w:jc w:val="left"/>
        <w:rPr>
          <w:sz w:val="38"/>
        </w:rPr>
      </w:pPr>
      <w:r>
        <w:rPr>
          <w:sz w:val="38"/>
        </w:rPr>
        <w:t>prostatitis</w:t>
      </w:r>
    </w:p>
    <w:p>
      <w:pPr>
        <w:pStyle w:val="ListParagraph"/>
        <w:numPr>
          <w:ilvl w:val="1"/>
          <w:numId w:val="54"/>
        </w:numPr>
        <w:tabs>
          <w:tab w:pos="976" w:val="left" w:leader="none"/>
          <w:tab w:pos="977" w:val="left" w:leader="none"/>
        </w:tabs>
        <w:spacing w:line="240" w:lineRule="auto" w:before="63" w:after="0"/>
        <w:ind w:left="976" w:right="0" w:hanging="360"/>
        <w:jc w:val="left"/>
        <w:rPr>
          <w:sz w:val="38"/>
        </w:rPr>
      </w:pPr>
      <w:r>
        <w:rPr>
          <w:sz w:val="38"/>
        </w:rPr>
        <w:t>rheumatism</w:t>
      </w:r>
    </w:p>
    <w:p>
      <w:pPr>
        <w:pStyle w:val="ListParagraph"/>
        <w:numPr>
          <w:ilvl w:val="1"/>
          <w:numId w:val="54"/>
        </w:numPr>
        <w:tabs>
          <w:tab w:pos="976" w:val="left" w:leader="none"/>
          <w:tab w:pos="977" w:val="left" w:leader="none"/>
        </w:tabs>
        <w:spacing w:line="240" w:lineRule="auto" w:before="64" w:after="0"/>
        <w:ind w:left="976" w:right="0" w:hanging="360"/>
        <w:jc w:val="left"/>
        <w:rPr>
          <w:sz w:val="38"/>
        </w:rPr>
      </w:pPr>
      <w:r>
        <w:rPr>
          <w:sz w:val="38"/>
        </w:rPr>
        <w:t>pain of all</w:t>
      </w:r>
      <w:r>
        <w:rPr>
          <w:spacing w:val="-1"/>
          <w:sz w:val="38"/>
        </w:rPr>
        <w:t> </w:t>
      </w:r>
      <w:r>
        <w:rPr>
          <w:sz w:val="38"/>
        </w:rPr>
        <w:t>kinds</w:t>
      </w:r>
    </w:p>
    <w:p>
      <w:pPr>
        <w:pStyle w:val="ListParagraph"/>
        <w:numPr>
          <w:ilvl w:val="1"/>
          <w:numId w:val="54"/>
        </w:numPr>
        <w:tabs>
          <w:tab w:pos="976" w:val="left" w:leader="none"/>
          <w:tab w:pos="977" w:val="left" w:leader="none"/>
        </w:tabs>
        <w:spacing w:line="240" w:lineRule="auto" w:before="63" w:after="0"/>
        <w:ind w:left="976" w:right="0" w:hanging="360"/>
        <w:jc w:val="left"/>
        <w:rPr>
          <w:sz w:val="38"/>
        </w:rPr>
      </w:pPr>
      <w:r>
        <w:rPr>
          <w:sz w:val="38"/>
        </w:rPr>
        <w:t>psoriasis</w:t>
      </w:r>
    </w:p>
    <w:p>
      <w:pPr>
        <w:pStyle w:val="ListParagraph"/>
        <w:numPr>
          <w:ilvl w:val="1"/>
          <w:numId w:val="54"/>
        </w:numPr>
        <w:tabs>
          <w:tab w:pos="976" w:val="left" w:leader="none"/>
          <w:tab w:pos="977" w:val="left" w:leader="none"/>
        </w:tabs>
        <w:spacing w:line="240" w:lineRule="auto" w:before="65" w:after="0"/>
        <w:ind w:left="976" w:right="0" w:hanging="360"/>
        <w:jc w:val="left"/>
        <w:rPr>
          <w:sz w:val="38"/>
        </w:rPr>
      </w:pPr>
      <w:r>
        <w:rPr>
          <w:sz w:val="38"/>
        </w:rPr>
        <w:t>mental</w:t>
      </w:r>
      <w:r>
        <w:rPr>
          <w:spacing w:val="-1"/>
          <w:sz w:val="38"/>
        </w:rPr>
        <w:t> </w:t>
      </w:r>
      <w:r>
        <w:rPr>
          <w:sz w:val="38"/>
        </w:rPr>
        <w:t>balance</w:t>
      </w:r>
    </w:p>
    <w:p>
      <w:pPr>
        <w:pStyle w:val="ListParagraph"/>
        <w:numPr>
          <w:ilvl w:val="1"/>
          <w:numId w:val="54"/>
        </w:numPr>
        <w:tabs>
          <w:tab w:pos="976" w:val="left" w:leader="none"/>
          <w:tab w:pos="977" w:val="left" w:leader="none"/>
        </w:tabs>
        <w:spacing w:line="240" w:lineRule="auto" w:before="66" w:after="0"/>
        <w:ind w:left="976" w:right="0" w:hanging="360"/>
        <w:jc w:val="left"/>
        <w:rPr>
          <w:sz w:val="38"/>
        </w:rPr>
      </w:pPr>
      <w:r>
        <w:rPr>
          <w:sz w:val="38"/>
        </w:rPr>
        <w:t>vaginal</w:t>
      </w:r>
      <w:r>
        <w:rPr>
          <w:spacing w:val="-1"/>
          <w:sz w:val="38"/>
        </w:rPr>
        <w:t> </w:t>
      </w:r>
      <w:r>
        <w:rPr>
          <w:sz w:val="38"/>
        </w:rPr>
        <w:t>discharge</w:t>
      </w:r>
    </w:p>
    <w:p>
      <w:pPr>
        <w:pStyle w:val="ListParagraph"/>
        <w:numPr>
          <w:ilvl w:val="1"/>
          <w:numId w:val="54"/>
        </w:numPr>
        <w:tabs>
          <w:tab w:pos="976" w:val="left" w:leader="none"/>
          <w:tab w:pos="977" w:val="left" w:leader="none"/>
        </w:tabs>
        <w:spacing w:line="240" w:lineRule="auto" w:before="63" w:after="0"/>
        <w:ind w:left="976" w:right="0" w:hanging="360"/>
        <w:jc w:val="left"/>
        <w:rPr>
          <w:sz w:val="38"/>
        </w:rPr>
      </w:pPr>
      <w:r>
        <w:rPr>
          <w:sz w:val="38"/>
        </w:rPr>
        <w:t>burns</w:t>
      </w:r>
    </w:p>
    <w:p>
      <w:pPr>
        <w:pStyle w:val="ListParagraph"/>
        <w:numPr>
          <w:ilvl w:val="1"/>
          <w:numId w:val="54"/>
        </w:numPr>
        <w:tabs>
          <w:tab w:pos="976" w:val="left" w:leader="none"/>
          <w:tab w:pos="977" w:val="left" w:leader="none"/>
        </w:tabs>
        <w:spacing w:line="240" w:lineRule="auto" w:before="64" w:after="0"/>
        <w:ind w:left="976" w:right="0" w:hanging="360"/>
        <w:jc w:val="left"/>
        <w:rPr>
          <w:sz w:val="38"/>
        </w:rPr>
      </w:pPr>
      <w:r>
        <w:rPr>
          <w:sz w:val="38"/>
        </w:rPr>
        <w:t>indigestion</w:t>
      </w:r>
    </w:p>
    <w:p>
      <w:pPr>
        <w:pStyle w:val="ListParagraph"/>
        <w:numPr>
          <w:ilvl w:val="1"/>
          <w:numId w:val="54"/>
        </w:numPr>
        <w:tabs>
          <w:tab w:pos="976" w:val="left" w:leader="none"/>
          <w:tab w:pos="977" w:val="left" w:leader="none"/>
        </w:tabs>
        <w:spacing w:line="240" w:lineRule="auto" w:before="64" w:after="0"/>
        <w:ind w:left="976" w:right="0" w:hanging="360"/>
        <w:jc w:val="left"/>
        <w:rPr>
          <w:sz w:val="38"/>
        </w:rPr>
      </w:pPr>
      <w:r>
        <w:rPr>
          <w:sz w:val="38"/>
        </w:rPr>
        <w:t>warts</w:t>
      </w:r>
    </w:p>
    <w:p>
      <w:pPr>
        <w:pStyle w:val="ListParagraph"/>
        <w:numPr>
          <w:ilvl w:val="1"/>
          <w:numId w:val="54"/>
        </w:numPr>
        <w:tabs>
          <w:tab w:pos="976" w:val="left" w:leader="none"/>
          <w:tab w:pos="977" w:val="left" w:leader="none"/>
        </w:tabs>
        <w:spacing w:line="240" w:lineRule="auto" w:before="63" w:after="0"/>
        <w:ind w:left="976" w:right="0" w:hanging="360"/>
        <w:jc w:val="left"/>
        <w:rPr>
          <w:sz w:val="38"/>
        </w:rPr>
      </w:pPr>
      <w:r>
        <w:rPr>
          <w:sz w:val="38"/>
        </w:rPr>
        <w:t>wounds</w:t>
      </w:r>
    </w:p>
    <w:p>
      <w:pPr>
        <w:pStyle w:val="ListParagraph"/>
        <w:numPr>
          <w:ilvl w:val="1"/>
          <w:numId w:val="54"/>
        </w:numPr>
        <w:tabs>
          <w:tab w:pos="976" w:val="left" w:leader="none"/>
          <w:tab w:pos="977" w:val="left" w:leader="none"/>
        </w:tabs>
        <w:spacing w:line="240" w:lineRule="auto" w:before="66" w:after="0"/>
        <w:ind w:left="976" w:right="0" w:hanging="360"/>
        <w:jc w:val="left"/>
        <w:rPr>
          <w:sz w:val="38"/>
        </w:rPr>
      </w:pPr>
      <w:r>
        <w:rPr>
          <w:sz w:val="38"/>
        </w:rPr>
        <w:t>gum</w:t>
      </w:r>
      <w:r>
        <w:rPr>
          <w:spacing w:val="-1"/>
          <w:sz w:val="38"/>
        </w:rPr>
        <w:t> </w:t>
      </w:r>
      <w:r>
        <w:rPr>
          <w:sz w:val="38"/>
        </w:rPr>
        <w:t>inflammation</w:t>
      </w:r>
    </w:p>
    <w:p>
      <w:pPr>
        <w:pStyle w:val="Heading1"/>
        <w:spacing w:before="285"/>
        <w:jc w:val="both"/>
      </w:pPr>
      <w:r>
        <w:rPr/>
        <w:t>Effect on immune deficiency</w:t>
      </w:r>
    </w:p>
    <w:p>
      <w:pPr>
        <w:pStyle w:val="BodyText"/>
        <w:spacing w:line="276" w:lineRule="auto" w:before="300"/>
        <w:ind w:left="477" w:right="133"/>
        <w:jc w:val="both"/>
      </w:pPr>
      <w:r>
        <w:rPr/>
        <w:t>Lapacho tea has been shown to be immunostimulating (see ‘Immune system- strengthening effect’)</w:t>
      </w:r>
    </w:p>
    <w:p>
      <w:pPr>
        <w:pStyle w:val="Heading1"/>
        <w:spacing w:before="221"/>
      </w:pPr>
      <w:r>
        <w:rPr/>
        <w:t>Effect on AIDS</w:t>
      </w:r>
    </w:p>
    <w:p>
      <w:pPr>
        <w:pStyle w:val="BodyText"/>
        <w:spacing w:line="276" w:lineRule="auto" w:before="299"/>
        <w:ind w:left="477" w:right="131"/>
        <w:jc w:val="both"/>
      </w:pPr>
      <w:r>
        <w:rPr/>
        <w:t>Due to the immune-building effect, lapacho tea can also help treat AIDS. It strengthens</w:t>
      </w:r>
      <w:r>
        <w:rPr>
          <w:spacing w:val="-18"/>
        </w:rPr>
        <w:t> </w:t>
      </w:r>
      <w:r>
        <w:rPr/>
        <w:t>the</w:t>
      </w:r>
      <w:r>
        <w:rPr>
          <w:spacing w:val="-18"/>
        </w:rPr>
        <w:t> </w:t>
      </w:r>
      <w:r>
        <w:rPr/>
        <w:t>immune</w:t>
      </w:r>
      <w:r>
        <w:rPr>
          <w:spacing w:val="-18"/>
        </w:rPr>
        <w:t> </w:t>
      </w:r>
      <w:r>
        <w:rPr/>
        <w:t>system,</w:t>
      </w:r>
      <w:r>
        <w:rPr>
          <w:spacing w:val="-17"/>
        </w:rPr>
        <w:t> </w:t>
      </w:r>
      <w:r>
        <w:rPr/>
        <w:t>strengthens</w:t>
      </w:r>
      <w:r>
        <w:rPr>
          <w:spacing w:val="-18"/>
        </w:rPr>
        <w:t> </w:t>
      </w:r>
      <w:r>
        <w:rPr/>
        <w:t>the</w:t>
      </w:r>
      <w:r>
        <w:rPr>
          <w:spacing w:val="-20"/>
        </w:rPr>
        <w:t> </w:t>
      </w:r>
      <w:r>
        <w:rPr/>
        <w:t>organs</w:t>
      </w:r>
      <w:r>
        <w:rPr>
          <w:spacing w:val="-18"/>
        </w:rPr>
        <w:t> </w:t>
      </w:r>
      <w:r>
        <w:rPr/>
        <w:t>and</w:t>
      </w:r>
      <w:r>
        <w:rPr>
          <w:spacing w:val="-18"/>
        </w:rPr>
        <w:t> </w:t>
      </w:r>
      <w:r>
        <w:rPr/>
        <w:t>prevents</w:t>
      </w:r>
      <w:r>
        <w:rPr>
          <w:spacing w:val="-18"/>
        </w:rPr>
        <w:t> </w:t>
      </w:r>
      <w:r>
        <w:rPr/>
        <w:t>secondary infections typical of</w:t>
      </w:r>
      <w:r>
        <w:rPr>
          <w:spacing w:val="2"/>
        </w:rPr>
        <w:t> </w:t>
      </w:r>
      <w:r>
        <w:rPr/>
        <w:t>AIDS.</w:t>
      </w:r>
    </w:p>
    <w:p>
      <w:pPr>
        <w:spacing w:after="0" w:line="276" w:lineRule="auto"/>
        <w:jc w:val="both"/>
        <w:sectPr>
          <w:pgSz w:w="14270" w:h="16850"/>
          <w:pgMar w:header="0" w:footer="1891" w:top="1600" w:bottom="2080" w:left="800" w:right="1280"/>
        </w:sectPr>
      </w:pPr>
    </w:p>
    <w:p>
      <w:pPr>
        <w:pStyle w:val="Heading1"/>
        <w:spacing w:before="164"/>
      </w:pPr>
      <w:r>
        <w:rPr/>
        <w:t>Effect on allergies</w:t>
      </w:r>
    </w:p>
    <w:p>
      <w:pPr>
        <w:pStyle w:val="BodyText"/>
        <w:spacing w:line="276" w:lineRule="auto" w:before="299"/>
        <w:ind w:left="477" w:right="135"/>
        <w:jc w:val="both"/>
      </w:pPr>
      <w:r>
        <w:rPr/>
        <w:t>Lapacho tea has been proven to counteract allergies of all kinds due to its im- munoregulatory effect (see also ‘Using Lapacho’).</w:t>
      </w:r>
    </w:p>
    <w:p>
      <w:pPr>
        <w:pStyle w:val="Heading1"/>
      </w:pPr>
      <w:r>
        <w:rPr/>
        <w:t>Effect against atherosclerosis</w:t>
      </w:r>
    </w:p>
    <w:p>
      <w:pPr>
        <w:pStyle w:val="BodyText"/>
        <w:spacing w:line="276" w:lineRule="auto" w:before="299"/>
        <w:ind w:left="477" w:right="134"/>
        <w:jc w:val="both"/>
      </w:pPr>
      <w:r>
        <w:rPr/>
        <w:t>Atherosclerosis</w:t>
      </w:r>
      <w:r>
        <w:rPr>
          <w:spacing w:val="-14"/>
        </w:rPr>
        <w:t> </w:t>
      </w:r>
      <w:r>
        <w:rPr/>
        <w:t>is</w:t>
      </w:r>
      <w:r>
        <w:rPr>
          <w:spacing w:val="-14"/>
        </w:rPr>
        <w:t> </w:t>
      </w:r>
      <w:r>
        <w:rPr/>
        <w:t>commonly</w:t>
      </w:r>
      <w:r>
        <w:rPr>
          <w:spacing w:val="-17"/>
        </w:rPr>
        <w:t> </w:t>
      </w:r>
      <w:r>
        <w:rPr/>
        <w:t>referred</w:t>
      </w:r>
      <w:r>
        <w:rPr>
          <w:spacing w:val="-16"/>
        </w:rPr>
        <w:t> </w:t>
      </w:r>
      <w:r>
        <w:rPr/>
        <w:t>to</w:t>
      </w:r>
      <w:r>
        <w:rPr>
          <w:spacing w:val="-15"/>
        </w:rPr>
        <w:t> </w:t>
      </w:r>
      <w:r>
        <w:rPr/>
        <w:t>as</w:t>
      </w:r>
      <w:r>
        <w:rPr>
          <w:spacing w:val="-16"/>
        </w:rPr>
        <w:t> </w:t>
      </w:r>
      <w:r>
        <w:rPr/>
        <w:t>‘vascular</w:t>
      </w:r>
      <w:r>
        <w:rPr>
          <w:spacing w:val="-16"/>
        </w:rPr>
        <w:t> </w:t>
      </w:r>
      <w:r>
        <w:rPr/>
        <w:t>calcification’</w:t>
      </w:r>
      <w:r>
        <w:rPr>
          <w:spacing w:val="-14"/>
        </w:rPr>
        <w:t> </w:t>
      </w:r>
      <w:r>
        <w:rPr/>
        <w:t>and</w:t>
      </w:r>
      <w:r>
        <w:rPr>
          <w:spacing w:val="-15"/>
        </w:rPr>
        <w:t> </w:t>
      </w:r>
      <w:r>
        <w:rPr/>
        <w:t>describes a</w:t>
      </w:r>
      <w:r>
        <w:rPr>
          <w:spacing w:val="-11"/>
        </w:rPr>
        <w:t> </w:t>
      </w:r>
      <w:r>
        <w:rPr/>
        <w:t>degenerative</w:t>
      </w:r>
      <w:r>
        <w:rPr>
          <w:spacing w:val="-10"/>
        </w:rPr>
        <w:t> </w:t>
      </w:r>
      <w:r>
        <w:rPr/>
        <w:t>state</w:t>
      </w:r>
      <w:r>
        <w:rPr>
          <w:spacing w:val="-10"/>
        </w:rPr>
        <w:t> </w:t>
      </w:r>
      <w:r>
        <w:rPr/>
        <w:t>of</w:t>
      </w:r>
      <w:r>
        <w:rPr>
          <w:spacing w:val="-10"/>
        </w:rPr>
        <w:t> </w:t>
      </w:r>
      <w:r>
        <w:rPr/>
        <w:t>change</w:t>
      </w:r>
      <w:r>
        <w:rPr>
          <w:spacing w:val="-12"/>
        </w:rPr>
        <w:t> </w:t>
      </w:r>
      <w:r>
        <w:rPr/>
        <w:t>within</w:t>
      </w:r>
      <w:r>
        <w:rPr>
          <w:spacing w:val="-10"/>
        </w:rPr>
        <w:t> </w:t>
      </w:r>
      <w:r>
        <w:rPr/>
        <w:t>our</w:t>
      </w:r>
      <w:r>
        <w:rPr>
          <w:spacing w:val="-11"/>
        </w:rPr>
        <w:t> </w:t>
      </w:r>
      <w:r>
        <w:rPr/>
        <w:t>blood</w:t>
      </w:r>
      <w:r>
        <w:rPr>
          <w:spacing w:val="-10"/>
        </w:rPr>
        <w:t> </w:t>
      </w:r>
      <w:r>
        <w:rPr/>
        <w:t>vessels,</w:t>
      </w:r>
      <w:r>
        <w:rPr>
          <w:spacing w:val="-10"/>
        </w:rPr>
        <w:t> </w:t>
      </w:r>
      <w:r>
        <w:rPr/>
        <w:t>which</w:t>
      </w:r>
      <w:r>
        <w:rPr>
          <w:spacing w:val="-9"/>
        </w:rPr>
        <w:t> </w:t>
      </w:r>
      <w:r>
        <w:rPr/>
        <w:t>often</w:t>
      </w:r>
      <w:r>
        <w:rPr>
          <w:spacing w:val="-10"/>
        </w:rPr>
        <w:t> </w:t>
      </w:r>
      <w:r>
        <w:rPr/>
        <w:t>leads</w:t>
      </w:r>
      <w:r>
        <w:rPr>
          <w:spacing w:val="-9"/>
        </w:rPr>
        <w:t> </w:t>
      </w:r>
      <w:r>
        <w:rPr/>
        <w:t>to</w:t>
      </w:r>
      <w:r>
        <w:rPr>
          <w:spacing w:val="-12"/>
        </w:rPr>
        <w:t> </w:t>
      </w:r>
      <w:r>
        <w:rPr/>
        <w:t>an advanced</w:t>
      </w:r>
      <w:r>
        <w:rPr>
          <w:spacing w:val="-15"/>
        </w:rPr>
        <w:t> </w:t>
      </w:r>
      <w:r>
        <w:rPr/>
        <w:t>stage</w:t>
      </w:r>
      <w:r>
        <w:rPr>
          <w:spacing w:val="-13"/>
        </w:rPr>
        <w:t> </w:t>
      </w:r>
      <w:r>
        <w:rPr/>
        <w:t>heart</w:t>
      </w:r>
      <w:r>
        <w:rPr>
          <w:spacing w:val="-15"/>
        </w:rPr>
        <w:t> </w:t>
      </w:r>
      <w:r>
        <w:rPr/>
        <w:t>attack</w:t>
      </w:r>
      <w:r>
        <w:rPr>
          <w:spacing w:val="-14"/>
        </w:rPr>
        <w:t> </w:t>
      </w:r>
      <w:r>
        <w:rPr/>
        <w:t>or</w:t>
      </w:r>
      <w:r>
        <w:rPr>
          <w:spacing w:val="-14"/>
        </w:rPr>
        <w:t> </w:t>
      </w:r>
      <w:r>
        <w:rPr/>
        <w:t>stroke.</w:t>
      </w:r>
      <w:r>
        <w:rPr>
          <w:spacing w:val="-13"/>
        </w:rPr>
        <w:t> </w:t>
      </w:r>
      <w:r>
        <w:rPr/>
        <w:t>Lapacho</w:t>
      </w:r>
      <w:r>
        <w:rPr>
          <w:spacing w:val="-15"/>
        </w:rPr>
        <w:t> </w:t>
      </w:r>
      <w:r>
        <w:rPr/>
        <w:t>tea</w:t>
      </w:r>
      <w:r>
        <w:rPr>
          <w:spacing w:val="-15"/>
        </w:rPr>
        <w:t> </w:t>
      </w:r>
      <w:r>
        <w:rPr/>
        <w:t>is</w:t>
      </w:r>
      <w:r>
        <w:rPr>
          <w:spacing w:val="-15"/>
        </w:rPr>
        <w:t> </w:t>
      </w:r>
      <w:r>
        <w:rPr/>
        <w:t>able</w:t>
      </w:r>
      <w:r>
        <w:rPr>
          <w:spacing w:val="-14"/>
        </w:rPr>
        <w:t> </w:t>
      </w:r>
      <w:r>
        <w:rPr/>
        <w:t>to</w:t>
      </w:r>
      <w:r>
        <w:rPr>
          <w:spacing w:val="-15"/>
        </w:rPr>
        <w:t> </w:t>
      </w:r>
      <w:r>
        <w:rPr/>
        <w:t>loosen</w:t>
      </w:r>
      <w:r>
        <w:rPr>
          <w:spacing w:val="-14"/>
        </w:rPr>
        <w:t> </w:t>
      </w:r>
      <w:r>
        <w:rPr/>
        <w:t>the</w:t>
      </w:r>
      <w:r>
        <w:rPr>
          <w:spacing w:val="-14"/>
        </w:rPr>
        <w:t> </w:t>
      </w:r>
      <w:r>
        <w:rPr/>
        <w:t>deposits in the arteries in the longer term, make the blood vessels elastic again and at least partially reverse</w:t>
      </w:r>
      <w:r>
        <w:rPr>
          <w:spacing w:val="-1"/>
        </w:rPr>
        <w:t> </w:t>
      </w:r>
      <w:r>
        <w:rPr/>
        <w:t>atherosclerosis.</w:t>
      </w:r>
    </w:p>
    <w:p>
      <w:pPr>
        <w:pStyle w:val="Heading1"/>
        <w:spacing w:before="223"/>
      </w:pPr>
      <w:r>
        <w:rPr/>
        <w:t>Effect on arthritis</w:t>
      </w:r>
    </w:p>
    <w:p>
      <w:pPr>
        <w:pStyle w:val="BodyText"/>
        <w:spacing w:line="276" w:lineRule="auto" w:before="299"/>
        <w:ind w:left="477" w:right="133"/>
        <w:jc w:val="both"/>
      </w:pPr>
      <w:r>
        <w:rPr/>
        <w:t>Lapacho tea, with its proven anti-inflammatory and detoxifying properties, is particularly</w:t>
      </w:r>
      <w:r>
        <w:rPr>
          <w:spacing w:val="-17"/>
        </w:rPr>
        <w:t> </w:t>
      </w:r>
      <w:r>
        <w:rPr/>
        <w:t>effective</w:t>
      </w:r>
      <w:r>
        <w:rPr>
          <w:spacing w:val="-17"/>
        </w:rPr>
        <w:t> </w:t>
      </w:r>
      <w:r>
        <w:rPr/>
        <w:t>for</w:t>
      </w:r>
      <w:r>
        <w:rPr>
          <w:spacing w:val="-16"/>
        </w:rPr>
        <w:t> </w:t>
      </w:r>
      <w:r>
        <w:rPr/>
        <w:t>arthritis</w:t>
      </w:r>
      <w:r>
        <w:rPr>
          <w:spacing w:val="-18"/>
        </w:rPr>
        <w:t> </w:t>
      </w:r>
      <w:r>
        <w:rPr/>
        <w:t>and</w:t>
      </w:r>
      <w:r>
        <w:rPr>
          <w:spacing w:val="-16"/>
        </w:rPr>
        <w:t> </w:t>
      </w:r>
      <w:r>
        <w:rPr/>
        <w:t>can</w:t>
      </w:r>
      <w:r>
        <w:rPr>
          <w:spacing w:val="-15"/>
        </w:rPr>
        <w:t> </w:t>
      </w:r>
      <w:r>
        <w:rPr/>
        <w:t>both</w:t>
      </w:r>
      <w:r>
        <w:rPr>
          <w:spacing w:val="-19"/>
        </w:rPr>
        <w:t> </w:t>
      </w:r>
      <w:r>
        <w:rPr/>
        <w:t>relieve</w:t>
      </w:r>
      <w:r>
        <w:rPr>
          <w:spacing w:val="-17"/>
        </w:rPr>
        <w:t> </w:t>
      </w:r>
      <w:r>
        <w:rPr/>
        <w:t>the</w:t>
      </w:r>
      <w:r>
        <w:rPr>
          <w:spacing w:val="-15"/>
        </w:rPr>
        <w:t> </w:t>
      </w:r>
      <w:r>
        <w:rPr/>
        <w:t>pain</w:t>
      </w:r>
      <w:r>
        <w:rPr>
          <w:spacing w:val="-16"/>
        </w:rPr>
        <w:t> </w:t>
      </w:r>
      <w:r>
        <w:rPr/>
        <w:t>and</w:t>
      </w:r>
      <w:r>
        <w:rPr>
          <w:spacing w:val="-21"/>
        </w:rPr>
        <w:t> </w:t>
      </w:r>
      <w:r>
        <w:rPr/>
        <w:t>strongly</w:t>
      </w:r>
      <w:r>
        <w:rPr>
          <w:spacing w:val="-16"/>
        </w:rPr>
        <w:t> </w:t>
      </w:r>
      <w:r>
        <w:rPr/>
        <w:t>sup- port recovery from the</w:t>
      </w:r>
      <w:r>
        <w:rPr>
          <w:spacing w:val="1"/>
        </w:rPr>
        <w:t> </w:t>
      </w:r>
      <w:r>
        <w:rPr/>
        <w:t>disease.</w:t>
      </w:r>
    </w:p>
    <w:p>
      <w:pPr>
        <w:pStyle w:val="Heading1"/>
        <w:spacing w:before="222"/>
      </w:pPr>
      <w:r>
        <w:rPr/>
        <w:t>Respiratory effects (asthma, bronchitis)</w:t>
      </w:r>
    </w:p>
    <w:p>
      <w:pPr>
        <w:pStyle w:val="BodyText"/>
        <w:spacing w:line="276" w:lineRule="auto" w:before="299"/>
        <w:ind w:left="477" w:right="135"/>
        <w:jc w:val="both"/>
      </w:pPr>
      <w:r>
        <w:rPr/>
        <w:t>The cleansing and anti-inflammatory properties strongly promote recovery from</w:t>
      </w:r>
      <w:r>
        <w:rPr>
          <w:spacing w:val="-7"/>
        </w:rPr>
        <w:t> </w:t>
      </w:r>
      <w:r>
        <w:rPr/>
        <w:t>respiratory</w:t>
      </w:r>
      <w:r>
        <w:rPr>
          <w:spacing w:val="-9"/>
        </w:rPr>
        <w:t> </w:t>
      </w:r>
      <w:r>
        <w:rPr/>
        <w:t>diseases</w:t>
      </w:r>
      <w:r>
        <w:rPr>
          <w:spacing w:val="-6"/>
        </w:rPr>
        <w:t> </w:t>
      </w:r>
      <w:r>
        <w:rPr/>
        <w:t>such</w:t>
      </w:r>
      <w:r>
        <w:rPr>
          <w:spacing w:val="-6"/>
        </w:rPr>
        <w:t> </w:t>
      </w:r>
      <w:r>
        <w:rPr/>
        <w:t>as</w:t>
      </w:r>
      <w:r>
        <w:rPr>
          <w:spacing w:val="-7"/>
        </w:rPr>
        <w:t> </w:t>
      </w:r>
      <w:r>
        <w:rPr/>
        <w:t>asthma</w:t>
      </w:r>
      <w:r>
        <w:rPr>
          <w:spacing w:val="-5"/>
        </w:rPr>
        <w:t> </w:t>
      </w:r>
      <w:r>
        <w:rPr/>
        <w:t>and</w:t>
      </w:r>
      <w:r>
        <w:rPr>
          <w:spacing w:val="-7"/>
        </w:rPr>
        <w:t> </w:t>
      </w:r>
      <w:r>
        <w:rPr/>
        <w:t>bronchitis.</w:t>
      </w:r>
      <w:r>
        <w:rPr>
          <w:spacing w:val="-6"/>
        </w:rPr>
        <w:t> </w:t>
      </w:r>
      <w:r>
        <w:rPr/>
        <w:t>The</w:t>
      </w:r>
      <w:r>
        <w:rPr>
          <w:spacing w:val="-6"/>
        </w:rPr>
        <w:t> </w:t>
      </w:r>
      <w:r>
        <w:rPr/>
        <w:t>antiviral</w:t>
      </w:r>
      <w:r>
        <w:rPr>
          <w:spacing w:val="-8"/>
        </w:rPr>
        <w:t> </w:t>
      </w:r>
      <w:r>
        <w:rPr/>
        <w:t>and</w:t>
      </w:r>
      <w:r>
        <w:rPr>
          <w:spacing w:val="-7"/>
        </w:rPr>
        <w:t> </w:t>
      </w:r>
      <w:r>
        <w:rPr/>
        <w:t>anti- septic effects of lapacho and its immunostimulating effect have a significant impact.</w:t>
      </w:r>
    </w:p>
    <w:p>
      <w:pPr>
        <w:pStyle w:val="Heading1"/>
        <w:spacing w:before="223"/>
        <w:jc w:val="both"/>
      </w:pPr>
      <w:r>
        <w:rPr/>
        <w:t>Effect on blood iron deficiency</w:t>
      </w:r>
    </w:p>
    <w:p>
      <w:pPr>
        <w:spacing w:after="0"/>
        <w:jc w:val="both"/>
        <w:sectPr>
          <w:footerReference w:type="default" r:id="rId203"/>
          <w:pgSz w:w="14270" w:h="16850"/>
          <w:pgMar w:footer="1891" w:header="0" w:top="1600" w:bottom="2080" w:left="800" w:right="1280"/>
          <w:pgNumType w:start="830"/>
        </w:sectPr>
      </w:pPr>
    </w:p>
    <w:p>
      <w:pPr>
        <w:pStyle w:val="BodyText"/>
        <w:spacing w:line="276" w:lineRule="auto" w:before="181"/>
        <w:ind w:left="477" w:right="129"/>
        <w:jc w:val="both"/>
      </w:pPr>
      <w:r>
        <w:rPr/>
        <w:t>Anaemia, also known as iron deficiency, is often characterised by insufficient absorption</w:t>
      </w:r>
      <w:r>
        <w:rPr>
          <w:spacing w:val="-10"/>
        </w:rPr>
        <w:t> </w:t>
      </w:r>
      <w:r>
        <w:rPr/>
        <w:t>of</w:t>
      </w:r>
      <w:r>
        <w:rPr>
          <w:spacing w:val="-7"/>
        </w:rPr>
        <w:t> </w:t>
      </w:r>
      <w:r>
        <w:rPr/>
        <w:t>iron</w:t>
      </w:r>
      <w:r>
        <w:rPr>
          <w:spacing w:val="-6"/>
        </w:rPr>
        <w:t> </w:t>
      </w:r>
      <w:r>
        <w:rPr/>
        <w:t>from</w:t>
      </w:r>
      <w:r>
        <w:rPr>
          <w:spacing w:val="-6"/>
        </w:rPr>
        <w:t> </w:t>
      </w:r>
      <w:r>
        <w:rPr/>
        <w:t>food</w:t>
      </w:r>
      <w:r>
        <w:rPr>
          <w:spacing w:val="-8"/>
        </w:rPr>
        <w:t> </w:t>
      </w:r>
      <w:r>
        <w:rPr/>
        <w:t>and</w:t>
      </w:r>
      <w:r>
        <w:rPr>
          <w:spacing w:val="-7"/>
        </w:rPr>
        <w:t> </w:t>
      </w:r>
      <w:r>
        <w:rPr/>
        <w:t>tumours</w:t>
      </w:r>
      <w:r>
        <w:rPr>
          <w:spacing w:val="-7"/>
        </w:rPr>
        <w:t> </w:t>
      </w:r>
      <w:r>
        <w:rPr/>
        <w:t>in</w:t>
      </w:r>
      <w:r>
        <w:rPr>
          <w:spacing w:val="-9"/>
        </w:rPr>
        <w:t> </w:t>
      </w:r>
      <w:r>
        <w:rPr/>
        <w:t>the</w:t>
      </w:r>
      <w:r>
        <w:rPr>
          <w:spacing w:val="-9"/>
        </w:rPr>
        <w:t> </w:t>
      </w:r>
      <w:r>
        <w:rPr/>
        <w:t>gastrointestinal</w:t>
      </w:r>
      <w:r>
        <w:rPr>
          <w:spacing w:val="-9"/>
        </w:rPr>
        <w:t> </w:t>
      </w:r>
      <w:r>
        <w:rPr/>
        <w:t>tract</w:t>
      </w:r>
      <w:r>
        <w:rPr>
          <w:spacing w:val="-7"/>
        </w:rPr>
        <w:t> </w:t>
      </w:r>
      <w:r>
        <w:rPr/>
        <w:t>that</w:t>
      </w:r>
      <w:r>
        <w:rPr>
          <w:spacing w:val="-7"/>
        </w:rPr>
        <w:t> </w:t>
      </w:r>
      <w:r>
        <w:rPr/>
        <w:t>lead to blood</w:t>
      </w:r>
      <w:r>
        <w:rPr>
          <w:spacing w:val="1"/>
        </w:rPr>
        <w:t> </w:t>
      </w:r>
      <w:r>
        <w:rPr/>
        <w:t>loss.</w:t>
      </w:r>
    </w:p>
    <w:p>
      <w:pPr>
        <w:pStyle w:val="BodyText"/>
        <w:spacing w:line="276" w:lineRule="auto" w:before="242"/>
        <w:ind w:left="477" w:right="137"/>
        <w:jc w:val="both"/>
      </w:pPr>
      <w:r>
        <w:rPr/>
        <w:t>On the one hand, lapacho tea has sufficient iron, on the other hand, its antibi- otic effect combats possible tumours which can cause bleeding.</w:t>
      </w:r>
    </w:p>
    <w:p>
      <w:pPr>
        <w:pStyle w:val="BodyText"/>
        <w:rPr>
          <w:sz w:val="42"/>
        </w:rPr>
      </w:pPr>
    </w:p>
    <w:p>
      <w:pPr>
        <w:pStyle w:val="BodyText"/>
        <w:rPr>
          <w:sz w:val="42"/>
        </w:rPr>
      </w:pPr>
    </w:p>
    <w:p>
      <w:pPr>
        <w:pStyle w:val="BodyText"/>
        <w:rPr>
          <w:sz w:val="42"/>
        </w:rPr>
      </w:pPr>
    </w:p>
    <w:p>
      <w:pPr>
        <w:pStyle w:val="Heading1"/>
        <w:spacing w:before="268"/>
      </w:pPr>
      <w:r>
        <w:rPr/>
        <w:t>Effect on Candida albicans</w:t>
      </w:r>
    </w:p>
    <w:p>
      <w:pPr>
        <w:pStyle w:val="BodyText"/>
        <w:spacing w:line="276" w:lineRule="auto" w:before="299"/>
        <w:ind w:left="477" w:right="142"/>
        <w:jc w:val="both"/>
      </w:pPr>
      <w:r>
        <w:rPr/>
        <w:t>As we have seen above, lapacho tea also has an antifungal (fungicidal) effect and, according to many reports, can even tackle persistent fungi, such as Can- dida albicans.</w:t>
      </w:r>
    </w:p>
    <w:p>
      <w:pPr>
        <w:pStyle w:val="BodyText"/>
        <w:spacing w:line="276" w:lineRule="auto" w:before="239"/>
        <w:ind w:left="477" w:right="129"/>
        <w:jc w:val="both"/>
      </w:pPr>
      <w:r>
        <w:rPr/>
        <w:t>Lapacho</w:t>
      </w:r>
      <w:r>
        <w:rPr>
          <w:spacing w:val="-7"/>
        </w:rPr>
        <w:t> </w:t>
      </w:r>
      <w:r>
        <w:rPr/>
        <w:t>tea</w:t>
      </w:r>
      <w:r>
        <w:rPr>
          <w:spacing w:val="-7"/>
        </w:rPr>
        <w:t> </w:t>
      </w:r>
      <w:r>
        <w:rPr/>
        <w:t>has</w:t>
      </w:r>
      <w:r>
        <w:rPr>
          <w:spacing w:val="-10"/>
        </w:rPr>
        <w:t> </w:t>
      </w:r>
      <w:r>
        <w:rPr/>
        <w:t>a</w:t>
      </w:r>
      <w:r>
        <w:rPr>
          <w:spacing w:val="-8"/>
        </w:rPr>
        <w:t> </w:t>
      </w:r>
      <w:r>
        <w:rPr/>
        <w:t>gut-cleansing</w:t>
      </w:r>
      <w:r>
        <w:rPr>
          <w:spacing w:val="-5"/>
        </w:rPr>
        <w:t> </w:t>
      </w:r>
      <w:r>
        <w:rPr/>
        <w:t>effect,</w:t>
      </w:r>
      <w:r>
        <w:rPr>
          <w:spacing w:val="-6"/>
        </w:rPr>
        <w:t> </w:t>
      </w:r>
      <w:r>
        <w:rPr/>
        <w:t>with</w:t>
      </w:r>
      <w:r>
        <w:rPr>
          <w:spacing w:val="-5"/>
        </w:rPr>
        <w:t> </w:t>
      </w:r>
      <w:r>
        <w:rPr/>
        <w:t>the</w:t>
      </w:r>
      <w:r>
        <w:rPr>
          <w:spacing w:val="-8"/>
        </w:rPr>
        <w:t> </w:t>
      </w:r>
      <w:r>
        <w:rPr/>
        <w:t>gut</w:t>
      </w:r>
      <w:r>
        <w:rPr>
          <w:spacing w:val="-8"/>
        </w:rPr>
        <w:t> </w:t>
      </w:r>
      <w:r>
        <w:rPr/>
        <w:t>considered</w:t>
      </w:r>
      <w:r>
        <w:rPr>
          <w:spacing w:val="-6"/>
        </w:rPr>
        <w:t> </w:t>
      </w:r>
      <w:r>
        <w:rPr/>
        <w:t>to</w:t>
      </w:r>
      <w:r>
        <w:rPr>
          <w:spacing w:val="-8"/>
        </w:rPr>
        <w:t> </w:t>
      </w:r>
      <w:r>
        <w:rPr/>
        <w:t>be</w:t>
      </w:r>
      <w:r>
        <w:rPr>
          <w:spacing w:val="-8"/>
        </w:rPr>
        <w:t> </w:t>
      </w:r>
      <w:r>
        <w:rPr/>
        <w:t>the</w:t>
      </w:r>
      <w:r>
        <w:rPr>
          <w:spacing w:val="-7"/>
        </w:rPr>
        <w:t> </w:t>
      </w:r>
      <w:r>
        <w:rPr/>
        <w:t>breed- ing ground of Candida albicans. By also strengthening the immune system, lapacho tea provides optimal conditions for killing Candida albicans – here, however, great patience is required, because it may take up to a year and some- times longer until the Candida is completely</w:t>
      </w:r>
      <w:r>
        <w:rPr>
          <w:spacing w:val="-2"/>
        </w:rPr>
        <w:t> </w:t>
      </w:r>
      <w:r>
        <w:rPr/>
        <w:t>destroyed!</w:t>
      </w:r>
    </w:p>
    <w:p>
      <w:pPr>
        <w:pStyle w:val="Heading1"/>
        <w:spacing w:before="225"/>
      </w:pPr>
      <w:r>
        <w:rPr/>
        <w:t>Effect during chemotherapy</w:t>
      </w:r>
    </w:p>
    <w:p>
      <w:pPr>
        <w:pStyle w:val="BodyText"/>
        <w:spacing w:line="276" w:lineRule="auto" w:before="300"/>
        <w:ind w:left="477" w:right="137"/>
        <w:jc w:val="both"/>
      </w:pPr>
      <w:r>
        <w:rPr/>
        <w:t>Through several mechanisms that occur simultaneously on different fronts, lapacho tea provides relief during chemotherapy.</w:t>
      </w:r>
    </w:p>
    <w:p>
      <w:pPr>
        <w:spacing w:after="0" w:line="276" w:lineRule="auto"/>
        <w:jc w:val="both"/>
        <w:sectPr>
          <w:pgSz w:w="14270" w:h="16850"/>
          <w:pgMar w:header="0" w:footer="1891" w:top="1600" w:bottom="2080" w:left="800" w:right="1280"/>
        </w:sectPr>
      </w:pPr>
    </w:p>
    <w:p>
      <w:pPr>
        <w:pStyle w:val="BodyText"/>
        <w:spacing w:line="276" w:lineRule="auto" w:before="181"/>
        <w:ind w:left="477" w:right="135"/>
        <w:jc w:val="both"/>
      </w:pPr>
      <w:r>
        <w:rPr/>
        <w:t>Lapacho tea strengthens the immune system attacked by the chemo and has a soothing effect on the psyche. It also helps flush out the dying cancer cells, which can cause severe pollution and even act as a poison, more effectively from the body.</w:t>
      </w:r>
    </w:p>
    <w:p>
      <w:pPr>
        <w:pStyle w:val="BodyText"/>
        <w:spacing w:line="276" w:lineRule="auto" w:before="242"/>
        <w:ind w:left="477" w:right="138"/>
        <w:jc w:val="both"/>
      </w:pPr>
      <w:r>
        <w:rPr/>
        <w:t>The</w:t>
      </w:r>
      <w:r>
        <w:rPr>
          <w:spacing w:val="-10"/>
        </w:rPr>
        <w:t> </w:t>
      </w:r>
      <w:r>
        <w:rPr/>
        <w:t>kidneys</w:t>
      </w:r>
      <w:r>
        <w:rPr>
          <w:spacing w:val="-9"/>
        </w:rPr>
        <w:t> </w:t>
      </w:r>
      <w:r>
        <w:rPr/>
        <w:t>are</w:t>
      </w:r>
      <w:r>
        <w:rPr>
          <w:spacing w:val="-12"/>
        </w:rPr>
        <w:t> </w:t>
      </w:r>
      <w:r>
        <w:rPr/>
        <w:t>relieved,</w:t>
      </w:r>
      <w:r>
        <w:rPr>
          <w:spacing w:val="-9"/>
        </w:rPr>
        <w:t> </w:t>
      </w:r>
      <w:r>
        <w:rPr/>
        <w:t>the</w:t>
      </w:r>
      <w:r>
        <w:rPr>
          <w:spacing w:val="-9"/>
        </w:rPr>
        <w:t> </w:t>
      </w:r>
      <w:r>
        <w:rPr/>
        <w:t>intestines</w:t>
      </w:r>
      <w:r>
        <w:rPr>
          <w:spacing w:val="-9"/>
        </w:rPr>
        <w:t> </w:t>
      </w:r>
      <w:r>
        <w:rPr/>
        <w:t>are</w:t>
      </w:r>
      <w:r>
        <w:rPr>
          <w:spacing w:val="-10"/>
        </w:rPr>
        <w:t> </w:t>
      </w:r>
      <w:r>
        <w:rPr/>
        <w:t>cleaned</w:t>
      </w:r>
      <w:r>
        <w:rPr>
          <w:spacing w:val="-10"/>
        </w:rPr>
        <w:t> </w:t>
      </w:r>
      <w:r>
        <w:rPr/>
        <w:t>and</w:t>
      </w:r>
      <w:r>
        <w:rPr>
          <w:spacing w:val="-10"/>
        </w:rPr>
        <w:t> </w:t>
      </w:r>
      <w:r>
        <w:rPr/>
        <w:t>the</w:t>
      </w:r>
      <w:r>
        <w:rPr>
          <w:spacing w:val="-8"/>
        </w:rPr>
        <w:t> </w:t>
      </w:r>
      <w:r>
        <w:rPr/>
        <w:t>mucous</w:t>
      </w:r>
      <w:r>
        <w:rPr>
          <w:spacing w:val="-11"/>
        </w:rPr>
        <w:t> </w:t>
      </w:r>
      <w:r>
        <w:rPr/>
        <w:t>membranes are</w:t>
      </w:r>
      <w:r>
        <w:rPr>
          <w:spacing w:val="-28"/>
        </w:rPr>
        <w:t> </w:t>
      </w:r>
      <w:r>
        <w:rPr/>
        <w:t>protected;</w:t>
      </w:r>
      <w:r>
        <w:rPr>
          <w:spacing w:val="-26"/>
        </w:rPr>
        <w:t> </w:t>
      </w:r>
      <w:r>
        <w:rPr/>
        <w:t>overall,</w:t>
      </w:r>
      <w:r>
        <w:rPr>
          <w:spacing w:val="-26"/>
        </w:rPr>
        <w:t> </w:t>
      </w:r>
      <w:r>
        <w:rPr/>
        <w:t>the</w:t>
      </w:r>
      <w:r>
        <w:rPr>
          <w:spacing w:val="-26"/>
        </w:rPr>
        <w:t> </w:t>
      </w:r>
      <w:r>
        <w:rPr/>
        <w:t>side</w:t>
      </w:r>
      <w:r>
        <w:rPr>
          <w:spacing w:val="-26"/>
        </w:rPr>
        <w:t> </w:t>
      </w:r>
      <w:r>
        <w:rPr/>
        <w:t>effects</w:t>
      </w:r>
      <w:r>
        <w:rPr>
          <w:spacing w:val="-26"/>
        </w:rPr>
        <w:t> </w:t>
      </w:r>
      <w:r>
        <w:rPr/>
        <w:t>of</w:t>
      </w:r>
      <w:r>
        <w:rPr>
          <w:spacing w:val="-27"/>
        </w:rPr>
        <w:t> </w:t>
      </w:r>
      <w:r>
        <w:rPr/>
        <w:t>chemotherapy</w:t>
      </w:r>
      <w:r>
        <w:rPr>
          <w:spacing w:val="-28"/>
        </w:rPr>
        <w:t> </w:t>
      </w:r>
      <w:r>
        <w:rPr/>
        <w:t>are</w:t>
      </w:r>
      <w:r>
        <w:rPr>
          <w:spacing w:val="-27"/>
        </w:rPr>
        <w:t> </w:t>
      </w:r>
      <w:r>
        <w:rPr/>
        <w:t>significantly</w:t>
      </w:r>
      <w:r>
        <w:rPr>
          <w:spacing w:val="-28"/>
        </w:rPr>
        <w:t> </w:t>
      </w:r>
      <w:r>
        <w:rPr/>
        <w:t>reduced.</w:t>
      </w:r>
    </w:p>
    <w:p>
      <w:pPr>
        <w:pStyle w:val="BodyText"/>
        <w:rPr>
          <w:sz w:val="42"/>
        </w:rPr>
      </w:pPr>
    </w:p>
    <w:p>
      <w:pPr>
        <w:pStyle w:val="BodyText"/>
        <w:spacing w:before="8"/>
        <w:rPr>
          <w:sz w:val="42"/>
        </w:rPr>
      </w:pPr>
    </w:p>
    <w:p>
      <w:pPr>
        <w:pStyle w:val="Heading1"/>
        <w:spacing w:before="1"/>
      </w:pPr>
      <w:r>
        <w:rPr/>
        <w:t>Effect on intestinal pain</w:t>
      </w:r>
    </w:p>
    <w:p>
      <w:pPr>
        <w:pStyle w:val="BodyText"/>
        <w:spacing w:line="276" w:lineRule="auto" w:before="299"/>
        <w:ind w:left="477" w:right="140"/>
        <w:jc w:val="both"/>
      </w:pPr>
      <w:r>
        <w:rPr/>
        <w:t>Our highly industrialised diet, antibiotics in animal husbandry, environmental factors and stress together ensure that we usually have a disturbed intestinal flora.</w:t>
      </w:r>
    </w:p>
    <w:p>
      <w:pPr>
        <w:pStyle w:val="BodyText"/>
        <w:spacing w:line="276" w:lineRule="auto" w:before="239"/>
        <w:ind w:left="477" w:right="134"/>
        <w:jc w:val="both"/>
      </w:pPr>
      <w:r>
        <w:rPr/>
        <w:t>Even Paracelsus knew: ‘Death is in the gut’! Thus, the intestine is indeed the linchpin for a strong immune system and essentially decides whether we are healthy or ill!</w:t>
      </w:r>
    </w:p>
    <w:p>
      <w:pPr>
        <w:pStyle w:val="BodyText"/>
        <w:spacing w:line="276" w:lineRule="auto" w:before="241"/>
        <w:ind w:left="477" w:right="891"/>
      </w:pPr>
      <w:r>
        <w:rPr/>
        <w:t>Kenneth Jones writes in his book ‘Pau d'Arco – Immune Power from the Rain Forest’:</w:t>
      </w:r>
    </w:p>
    <w:p>
      <w:pPr>
        <w:pStyle w:val="BodyText"/>
        <w:spacing w:line="276" w:lineRule="auto" w:before="61"/>
        <w:ind w:left="477" w:right="334"/>
      </w:pPr>
      <w:r>
        <w:rPr/>
        <w:t>‘One of my informants told me about a child with chronic diarrhoea who seemed resistant to any treatment. The child was cured with just half a cup of (lapacho) tea. But I also interviewed a woman in virtually the opposite situa- tion:</w:t>
      </w:r>
    </w:p>
    <w:p>
      <w:pPr>
        <w:spacing w:after="0" w:line="276" w:lineRule="auto"/>
        <w:sectPr>
          <w:pgSz w:w="14270" w:h="16850"/>
          <w:pgMar w:header="0" w:footer="1891" w:top="1600" w:bottom="2080" w:left="800" w:right="1280"/>
        </w:sectPr>
      </w:pPr>
    </w:p>
    <w:p>
      <w:pPr>
        <w:pStyle w:val="BodyText"/>
        <w:spacing w:line="276" w:lineRule="auto" w:before="181"/>
        <w:ind w:left="477" w:right="900"/>
      </w:pPr>
      <w:r>
        <w:rPr/>
        <w:t>She told me that she had suffered from chronic constipation for 10 years, which eventually paralysed the bowel. She was using suppositories and a whole range of laxatives at this time.</w:t>
      </w:r>
    </w:p>
    <w:p>
      <w:pPr>
        <w:pStyle w:val="BodyText"/>
        <w:spacing w:line="276" w:lineRule="auto" w:before="62"/>
        <w:ind w:left="477" w:right="247"/>
        <w:rPr>
          <w:i/>
          <w:sz w:val="25"/>
        </w:rPr>
      </w:pPr>
      <w:r>
        <w:rPr/>
        <w:t>In one operation, she had over 40 cm of intestine removed, yet the constipa- tion did not improve. It was not until she took lapacho that there was a dra- matic change: Within a week she was free of all complaints – no suppositories and laxatives.’</w:t>
      </w:r>
      <w:r>
        <w:rPr>
          <w:i/>
          <w:position w:val="9"/>
          <w:sz w:val="25"/>
        </w:rPr>
        <w:t>457</w:t>
      </w:r>
    </w:p>
    <w:p>
      <w:pPr>
        <w:pStyle w:val="Heading1"/>
        <w:spacing w:before="42"/>
      </w:pPr>
      <w:r>
        <w:rPr/>
        <w:t>Effect on diabetes</w:t>
      </w:r>
    </w:p>
    <w:p>
      <w:pPr>
        <w:pStyle w:val="BodyText"/>
        <w:spacing w:before="299"/>
        <w:ind w:left="477"/>
      </w:pPr>
      <w:r>
        <w:rPr/>
        <w:t>Lapacho tea is also able to have an impressive impact on diabetes.</w:t>
      </w:r>
    </w:p>
    <w:p>
      <w:pPr>
        <w:pStyle w:val="BodyText"/>
        <w:spacing w:line="276" w:lineRule="auto" w:before="305"/>
        <w:ind w:left="477" w:right="135"/>
        <w:jc w:val="both"/>
      </w:pPr>
      <w:r>
        <w:rPr/>
        <w:t>In her highly recommended book ‘ABC of Lapacho Tea – Therapeutic Use’, author Marcela Ocampo Méndez quotes some doctors at the Sao Paulo Clinic who wrote about diabetes patients they treated in the 1960s:</w:t>
      </w:r>
    </w:p>
    <w:p>
      <w:pPr>
        <w:spacing w:line="276" w:lineRule="auto" w:before="239"/>
        <w:ind w:left="477" w:right="135" w:firstLine="0"/>
        <w:jc w:val="both"/>
        <w:rPr>
          <w:i/>
          <w:sz w:val="38"/>
        </w:rPr>
      </w:pPr>
      <w:r>
        <w:rPr>
          <w:sz w:val="38"/>
        </w:rPr>
        <w:t>They wrote: ‘</w:t>
      </w:r>
      <w:r>
        <w:rPr>
          <w:i/>
          <w:sz w:val="38"/>
        </w:rPr>
        <w:t>We have observed, and so far have no explanation, that the use (of lapacho) </w:t>
      </w:r>
      <w:r>
        <w:rPr>
          <w:i/>
          <w:sz w:val="38"/>
        </w:rPr>
        <w:t>alleviates juvenile diabetes (Type 1 diabetes ) in an impressive way. The glucose values have declined to the normal level of a healthy person in some cases’.</w:t>
      </w:r>
    </w:p>
    <w:p>
      <w:pPr>
        <w:pStyle w:val="Heading1"/>
      </w:pPr>
      <w:r>
        <w:rPr/>
        <w:t>How does lapacho work against</w:t>
      </w:r>
      <w:r>
        <w:rPr>
          <w:spacing w:val="-58"/>
        </w:rPr>
        <w:t> </w:t>
      </w:r>
      <w:r>
        <w:rPr/>
        <w:t>diabetes?</w:t>
      </w:r>
    </w:p>
    <w:p>
      <w:pPr>
        <w:pStyle w:val="BodyText"/>
        <w:spacing w:before="299"/>
        <w:ind w:left="477"/>
      </w:pPr>
      <w:r>
        <w:rPr/>
        <w:t>Lapacho tea inhibits glucose uptake in the gut; the blood sugar level rises more</w:t>
      </w:r>
    </w:p>
    <w:p>
      <w:pPr>
        <w:pStyle w:val="BodyText"/>
        <w:rPr>
          <w:sz w:val="20"/>
        </w:rPr>
      </w:pPr>
    </w:p>
    <w:p>
      <w:pPr>
        <w:pStyle w:val="BodyText"/>
        <w:rPr>
          <w:sz w:val="20"/>
        </w:rPr>
      </w:pPr>
    </w:p>
    <w:p>
      <w:pPr>
        <w:pStyle w:val="BodyText"/>
        <w:spacing w:before="3"/>
        <w:rPr>
          <w:sz w:val="13"/>
        </w:rPr>
      </w:pPr>
      <w:r>
        <w:rPr/>
        <w:pict>
          <v:line style="position:absolute;mso-position-horizontal-relative:page;mso-position-vertical-relative:paragraph;z-index:5792;mso-wrap-distance-left:0;mso-wrap-distance-right:0" from="63.863998pt,9.833765pt" to="207.883998pt,9.83376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457 </w:t>
      </w:r>
      <w:r>
        <w:rPr>
          <w:sz w:val="20"/>
        </w:rPr>
        <w:t>Marcela Ocampo Méndez, ABC des Lapacho-Tees – Heilanwendungen (‘ABC of Lapacho Tea – Therapeutic Use’), 1997, p. 61 f.</w:t>
      </w:r>
    </w:p>
    <w:p>
      <w:pPr>
        <w:spacing w:after="0"/>
        <w:jc w:val="left"/>
        <w:rPr>
          <w:sz w:val="20"/>
        </w:rPr>
        <w:sectPr>
          <w:pgSz w:w="14270" w:h="16850"/>
          <w:pgMar w:header="0" w:footer="1891" w:top="1600" w:bottom="2080" w:left="800" w:right="1280"/>
        </w:sectPr>
      </w:pPr>
    </w:p>
    <w:p>
      <w:pPr>
        <w:pStyle w:val="BodyText"/>
        <w:spacing w:line="276" w:lineRule="auto" w:before="181"/>
        <w:ind w:left="477" w:right="136"/>
        <w:jc w:val="both"/>
      </w:pPr>
      <w:r>
        <w:rPr/>
        <w:t>evenly and the pancreas, which does not suddenly have to produce insulin to compensate, is relieved. Thereupon, long-chain carbohydrates are increasingly used to supply requirements, which counteracts a craving for sweets and, as a result, the pancreas continues to regenerate.</w:t>
      </w:r>
    </w:p>
    <w:p>
      <w:pPr>
        <w:pStyle w:val="BodyText"/>
        <w:spacing w:line="276" w:lineRule="auto" w:before="242"/>
        <w:ind w:left="477" w:right="133"/>
        <w:jc w:val="both"/>
      </w:pPr>
      <w:r>
        <w:rPr/>
        <w:t>In</w:t>
      </w:r>
      <w:r>
        <w:rPr>
          <w:spacing w:val="-6"/>
        </w:rPr>
        <w:t> </w:t>
      </w:r>
      <w:r>
        <w:rPr/>
        <w:t>addition,</w:t>
      </w:r>
      <w:r>
        <w:rPr>
          <w:spacing w:val="-6"/>
        </w:rPr>
        <w:t> </w:t>
      </w:r>
      <w:r>
        <w:rPr/>
        <w:t>lapacho</w:t>
      </w:r>
      <w:r>
        <w:rPr>
          <w:spacing w:val="-6"/>
        </w:rPr>
        <w:t> </w:t>
      </w:r>
      <w:r>
        <w:rPr/>
        <w:t>tea</w:t>
      </w:r>
      <w:r>
        <w:rPr>
          <w:spacing w:val="-7"/>
        </w:rPr>
        <w:t> </w:t>
      </w:r>
      <w:r>
        <w:rPr/>
        <w:t>increases</w:t>
      </w:r>
      <w:r>
        <w:rPr>
          <w:spacing w:val="-4"/>
        </w:rPr>
        <w:t> </w:t>
      </w:r>
      <w:r>
        <w:rPr/>
        <w:t>the</w:t>
      </w:r>
      <w:r>
        <w:rPr>
          <w:spacing w:val="-6"/>
        </w:rPr>
        <w:t> </w:t>
      </w:r>
      <w:r>
        <w:rPr/>
        <w:t>oxygen</w:t>
      </w:r>
      <w:r>
        <w:rPr>
          <w:spacing w:val="-6"/>
        </w:rPr>
        <w:t> </w:t>
      </w:r>
      <w:r>
        <w:rPr/>
        <w:t>supply</w:t>
      </w:r>
      <w:r>
        <w:rPr>
          <w:spacing w:val="-7"/>
        </w:rPr>
        <w:t> </w:t>
      </w:r>
      <w:r>
        <w:rPr/>
        <w:t>to</w:t>
      </w:r>
      <w:r>
        <w:rPr>
          <w:spacing w:val="-5"/>
        </w:rPr>
        <w:t> </w:t>
      </w:r>
      <w:r>
        <w:rPr/>
        <w:t>the</w:t>
      </w:r>
      <w:r>
        <w:rPr>
          <w:spacing w:val="-6"/>
        </w:rPr>
        <w:t> </w:t>
      </w:r>
      <w:r>
        <w:rPr/>
        <w:t>organs</w:t>
      </w:r>
      <w:r>
        <w:rPr>
          <w:spacing w:val="-5"/>
        </w:rPr>
        <w:t> </w:t>
      </w:r>
      <w:r>
        <w:rPr/>
        <w:t>and</w:t>
      </w:r>
      <w:r>
        <w:rPr>
          <w:spacing w:val="-7"/>
        </w:rPr>
        <w:t> </w:t>
      </w:r>
      <w:r>
        <w:rPr/>
        <w:t>can</w:t>
      </w:r>
      <w:r>
        <w:rPr>
          <w:spacing w:val="-5"/>
        </w:rPr>
        <w:t> </w:t>
      </w:r>
      <w:r>
        <w:rPr/>
        <w:t>thus exert a healing effect on damage caused by</w:t>
      </w:r>
      <w:r>
        <w:rPr>
          <w:spacing w:val="2"/>
        </w:rPr>
        <w:t> </w:t>
      </w:r>
      <w:r>
        <w:rPr/>
        <w:t>diabetes.</w:t>
      </w:r>
    </w:p>
    <w:p>
      <w:pPr>
        <w:pStyle w:val="Heading1"/>
        <w:spacing w:before="222"/>
      </w:pPr>
      <w:r>
        <w:rPr/>
        <w:t>Effect against eczema</w:t>
      </w:r>
    </w:p>
    <w:p>
      <w:pPr>
        <w:pStyle w:val="BodyText"/>
        <w:spacing w:line="276" w:lineRule="auto" w:before="299"/>
        <w:ind w:left="477" w:right="131"/>
        <w:jc w:val="both"/>
      </w:pPr>
      <w:r>
        <w:rPr/>
        <w:t>The causes of eczema are often multifactorial and may be due to both mental stress</w:t>
      </w:r>
      <w:r>
        <w:rPr>
          <w:spacing w:val="-13"/>
        </w:rPr>
        <w:t> </w:t>
      </w:r>
      <w:r>
        <w:rPr/>
        <w:t>and</w:t>
      </w:r>
      <w:r>
        <w:rPr>
          <w:spacing w:val="-11"/>
        </w:rPr>
        <w:t> </w:t>
      </w:r>
      <w:r>
        <w:rPr/>
        <w:t>infections</w:t>
      </w:r>
      <w:r>
        <w:rPr>
          <w:spacing w:val="-11"/>
        </w:rPr>
        <w:t> </w:t>
      </w:r>
      <w:r>
        <w:rPr/>
        <w:t>and</w:t>
      </w:r>
      <w:r>
        <w:rPr>
          <w:spacing w:val="-14"/>
        </w:rPr>
        <w:t> </w:t>
      </w:r>
      <w:r>
        <w:rPr/>
        <w:t>allergies</w:t>
      </w:r>
      <w:r>
        <w:rPr>
          <w:spacing w:val="-8"/>
        </w:rPr>
        <w:t> </w:t>
      </w:r>
      <w:r>
        <w:rPr/>
        <w:t>–</w:t>
      </w:r>
      <w:r>
        <w:rPr>
          <w:spacing w:val="-12"/>
        </w:rPr>
        <w:t> </w:t>
      </w:r>
      <w:r>
        <w:rPr/>
        <w:t>very</w:t>
      </w:r>
      <w:r>
        <w:rPr>
          <w:spacing w:val="-13"/>
        </w:rPr>
        <w:t> </w:t>
      </w:r>
      <w:r>
        <w:rPr/>
        <w:t>often,</w:t>
      </w:r>
      <w:r>
        <w:rPr>
          <w:spacing w:val="-14"/>
        </w:rPr>
        <w:t> </w:t>
      </w:r>
      <w:r>
        <w:rPr/>
        <w:t>however,</w:t>
      </w:r>
      <w:r>
        <w:rPr>
          <w:spacing w:val="-11"/>
        </w:rPr>
        <w:t> </w:t>
      </w:r>
      <w:r>
        <w:rPr/>
        <w:t>it</w:t>
      </w:r>
      <w:r>
        <w:rPr>
          <w:spacing w:val="-10"/>
        </w:rPr>
        <w:t> </w:t>
      </w:r>
      <w:r>
        <w:rPr/>
        <w:t>is</w:t>
      </w:r>
      <w:r>
        <w:rPr>
          <w:spacing w:val="-14"/>
        </w:rPr>
        <w:t> </w:t>
      </w:r>
      <w:r>
        <w:rPr/>
        <w:t>due</w:t>
      </w:r>
      <w:r>
        <w:rPr>
          <w:spacing w:val="-13"/>
        </w:rPr>
        <w:t> </w:t>
      </w:r>
      <w:r>
        <w:rPr/>
        <w:t>to</w:t>
      </w:r>
      <w:r>
        <w:rPr>
          <w:spacing w:val="-11"/>
        </w:rPr>
        <w:t> </w:t>
      </w:r>
      <w:r>
        <w:rPr/>
        <w:t>a</w:t>
      </w:r>
      <w:r>
        <w:rPr>
          <w:spacing w:val="-13"/>
        </w:rPr>
        <w:t> </w:t>
      </w:r>
      <w:r>
        <w:rPr/>
        <w:t>weakened immune</w:t>
      </w:r>
      <w:r>
        <w:rPr>
          <w:spacing w:val="-7"/>
        </w:rPr>
        <w:t> </w:t>
      </w:r>
      <w:r>
        <w:rPr/>
        <w:t>system.</w:t>
      </w:r>
      <w:r>
        <w:rPr>
          <w:spacing w:val="-8"/>
        </w:rPr>
        <w:t> </w:t>
      </w:r>
      <w:r>
        <w:rPr/>
        <w:t>And</w:t>
      </w:r>
      <w:r>
        <w:rPr>
          <w:spacing w:val="-6"/>
        </w:rPr>
        <w:t> </w:t>
      </w:r>
      <w:r>
        <w:rPr/>
        <w:t>this</w:t>
      </w:r>
      <w:r>
        <w:rPr>
          <w:spacing w:val="-8"/>
        </w:rPr>
        <w:t> </w:t>
      </w:r>
      <w:r>
        <w:rPr/>
        <w:t>is</w:t>
      </w:r>
      <w:r>
        <w:rPr>
          <w:spacing w:val="-7"/>
        </w:rPr>
        <w:t> </w:t>
      </w:r>
      <w:r>
        <w:rPr/>
        <w:t>exactly</w:t>
      </w:r>
      <w:r>
        <w:rPr>
          <w:spacing w:val="-6"/>
        </w:rPr>
        <w:t> </w:t>
      </w:r>
      <w:r>
        <w:rPr/>
        <w:t>where</w:t>
      </w:r>
      <w:r>
        <w:rPr>
          <w:spacing w:val="-7"/>
        </w:rPr>
        <w:t> </w:t>
      </w:r>
      <w:r>
        <w:rPr/>
        <w:t>lapacho</w:t>
      </w:r>
      <w:r>
        <w:rPr>
          <w:spacing w:val="-7"/>
        </w:rPr>
        <w:t> </w:t>
      </w:r>
      <w:r>
        <w:rPr/>
        <w:t>tea</w:t>
      </w:r>
      <w:r>
        <w:rPr>
          <w:spacing w:val="-6"/>
        </w:rPr>
        <w:t> </w:t>
      </w:r>
      <w:r>
        <w:rPr/>
        <w:t>brings</w:t>
      </w:r>
      <w:r>
        <w:rPr>
          <w:spacing w:val="-6"/>
        </w:rPr>
        <w:t> </w:t>
      </w:r>
      <w:r>
        <w:rPr/>
        <w:t>its</w:t>
      </w:r>
      <w:r>
        <w:rPr>
          <w:spacing w:val="-9"/>
        </w:rPr>
        <w:t> </w:t>
      </w:r>
      <w:r>
        <w:rPr/>
        <w:t>immune-build- ing abilities into</w:t>
      </w:r>
      <w:r>
        <w:rPr>
          <w:spacing w:val="3"/>
        </w:rPr>
        <w:t> </w:t>
      </w:r>
      <w:r>
        <w:rPr/>
        <w:t>play!</w:t>
      </w:r>
    </w:p>
    <w:p>
      <w:pPr>
        <w:spacing w:line="400" w:lineRule="auto" w:before="222"/>
        <w:ind w:left="477" w:right="2578" w:firstLine="0"/>
        <w:jc w:val="left"/>
        <w:rPr>
          <w:b/>
          <w:i/>
          <w:sz w:val="40"/>
        </w:rPr>
      </w:pPr>
      <w:r>
        <w:rPr>
          <w:b/>
          <w:i/>
          <w:sz w:val="40"/>
        </w:rPr>
        <w:t>Effect on detoxification (alcoholism or other drugs) </w:t>
      </w:r>
      <w:r>
        <w:rPr>
          <w:sz w:val="38"/>
        </w:rPr>
        <w:t>Lapacho tea can normalise metabolism and detoxify the body. </w:t>
      </w:r>
      <w:r>
        <w:rPr>
          <w:b/>
          <w:i/>
          <w:sz w:val="40"/>
        </w:rPr>
        <w:t>Effect on colds</w:t>
      </w:r>
    </w:p>
    <w:p>
      <w:pPr>
        <w:pStyle w:val="BodyText"/>
        <w:spacing w:line="276" w:lineRule="auto"/>
        <w:ind w:left="477" w:right="133"/>
        <w:jc w:val="both"/>
      </w:pPr>
      <w:r>
        <w:rPr/>
        <w:t>The antiseptic, antiviral and immune-building properties of lapacho tea make</w:t>
      </w:r>
      <w:r>
        <w:rPr>
          <w:spacing w:val="-60"/>
        </w:rPr>
        <w:t> </w:t>
      </w:r>
      <w:r>
        <w:rPr/>
        <w:t>it a perfect choice of remedy for colds.</w:t>
      </w:r>
    </w:p>
    <w:p>
      <w:pPr>
        <w:pStyle w:val="Heading1"/>
        <w:spacing w:before="220"/>
        <w:jc w:val="both"/>
      </w:pPr>
      <w:r>
        <w:rPr/>
        <w:t>Effect against athlete's foot</w:t>
      </w:r>
    </w:p>
    <w:p>
      <w:pPr>
        <w:pStyle w:val="BodyText"/>
        <w:spacing w:before="300"/>
        <w:ind w:left="477"/>
        <w:jc w:val="both"/>
      </w:pPr>
      <w:r>
        <w:rPr/>
        <w:t>Fungus can only spread in the body if our immune system is weakened. As a</w:t>
      </w:r>
    </w:p>
    <w:p>
      <w:pPr>
        <w:spacing w:after="0"/>
        <w:jc w:val="both"/>
        <w:sectPr>
          <w:pgSz w:w="14270" w:h="16850"/>
          <w:pgMar w:header="0" w:footer="1891" w:top="1600" w:bottom="2080" w:left="800" w:right="1280"/>
        </w:sectPr>
      </w:pPr>
    </w:p>
    <w:p>
      <w:pPr>
        <w:pStyle w:val="BodyText"/>
        <w:spacing w:line="276" w:lineRule="auto" w:before="181"/>
        <w:ind w:left="477" w:right="134"/>
        <w:jc w:val="both"/>
      </w:pPr>
      <w:r>
        <w:rPr/>
        <w:t>true immuno-booster, lapacho tea can help you internally and positively influ- ence the healing process externally via its antifungal effect (see ‘Use of lapacho tea’).</w:t>
      </w:r>
    </w:p>
    <w:p>
      <w:pPr>
        <w:pStyle w:val="BodyText"/>
        <w:rPr>
          <w:sz w:val="42"/>
        </w:rPr>
      </w:pPr>
    </w:p>
    <w:p>
      <w:pPr>
        <w:pStyle w:val="BodyText"/>
        <w:rPr>
          <w:sz w:val="42"/>
        </w:rPr>
      </w:pPr>
    </w:p>
    <w:p>
      <w:pPr>
        <w:pStyle w:val="BodyText"/>
        <w:rPr>
          <w:sz w:val="42"/>
        </w:rPr>
      </w:pPr>
    </w:p>
    <w:p>
      <w:pPr>
        <w:pStyle w:val="Heading1"/>
        <w:spacing w:before="269"/>
      </w:pPr>
      <w:r>
        <w:rPr/>
        <w:t>Effect on gastritis</w:t>
      </w:r>
    </w:p>
    <w:p>
      <w:pPr>
        <w:pStyle w:val="BodyText"/>
        <w:spacing w:line="276" w:lineRule="auto" w:before="299"/>
        <w:ind w:left="477" w:right="130"/>
        <w:jc w:val="both"/>
      </w:pPr>
      <w:r>
        <w:rPr/>
        <w:t>Gastritis refers to a painful inflammation of the mucous membranes of the stomach,</w:t>
      </w:r>
      <w:r>
        <w:rPr>
          <w:spacing w:val="-14"/>
        </w:rPr>
        <w:t> </w:t>
      </w:r>
      <w:r>
        <w:rPr/>
        <w:t>usually</w:t>
      </w:r>
      <w:r>
        <w:rPr>
          <w:spacing w:val="-12"/>
        </w:rPr>
        <w:t> </w:t>
      </w:r>
      <w:r>
        <w:rPr/>
        <w:t>caused</w:t>
      </w:r>
      <w:r>
        <w:rPr>
          <w:spacing w:val="-15"/>
        </w:rPr>
        <w:t> </w:t>
      </w:r>
      <w:r>
        <w:rPr/>
        <w:t>by</w:t>
      </w:r>
      <w:r>
        <w:rPr>
          <w:spacing w:val="-14"/>
        </w:rPr>
        <w:t> </w:t>
      </w:r>
      <w:r>
        <w:rPr/>
        <w:t>a</w:t>
      </w:r>
      <w:r>
        <w:rPr>
          <w:spacing w:val="-15"/>
        </w:rPr>
        <w:t> </w:t>
      </w:r>
      <w:r>
        <w:rPr/>
        <w:t>virus</w:t>
      </w:r>
      <w:r>
        <w:rPr>
          <w:spacing w:val="-14"/>
        </w:rPr>
        <w:t> </w:t>
      </w:r>
      <w:r>
        <w:rPr/>
        <w:t>called</w:t>
      </w:r>
      <w:r>
        <w:rPr>
          <w:spacing w:val="-16"/>
        </w:rPr>
        <w:t> </w:t>
      </w:r>
      <w:r>
        <w:rPr/>
        <w:t>‘Helicobacter</w:t>
      </w:r>
      <w:r>
        <w:rPr>
          <w:spacing w:val="-15"/>
        </w:rPr>
        <w:t> </w:t>
      </w:r>
      <w:r>
        <w:rPr/>
        <w:t>pylori’.</w:t>
      </w:r>
      <w:r>
        <w:rPr>
          <w:spacing w:val="-13"/>
        </w:rPr>
        <w:t> </w:t>
      </w:r>
      <w:r>
        <w:rPr/>
        <w:t>The</w:t>
      </w:r>
      <w:r>
        <w:rPr>
          <w:spacing w:val="-14"/>
        </w:rPr>
        <w:t> </w:t>
      </w:r>
      <w:r>
        <w:rPr/>
        <w:t>antiviral</w:t>
      </w:r>
      <w:r>
        <w:rPr>
          <w:spacing w:val="-14"/>
        </w:rPr>
        <w:t> </w:t>
      </w:r>
      <w:r>
        <w:rPr/>
        <w:t>and immune-enhancing effects of lapacho tea have helped treat gastritis since time immemorial.</w:t>
      </w:r>
    </w:p>
    <w:p>
      <w:pPr>
        <w:pStyle w:val="Heading1"/>
      </w:pPr>
      <w:r>
        <w:rPr/>
        <w:t>Effect on joint complaints</w:t>
      </w:r>
    </w:p>
    <w:p>
      <w:pPr>
        <w:pStyle w:val="BodyText"/>
        <w:spacing w:line="276" w:lineRule="auto" w:before="298"/>
        <w:ind w:left="477" w:right="135"/>
        <w:jc w:val="both"/>
      </w:pPr>
      <w:r>
        <w:rPr/>
        <w:t>Lapacho tea, with its proven anti-inflammatory and detoxifying properties, is particularly effective against arthritis and can both alleviate pain and strongly support recovery from the disease.</w:t>
      </w:r>
    </w:p>
    <w:p>
      <w:pPr>
        <w:pStyle w:val="Heading1"/>
      </w:pPr>
      <w:r>
        <w:rPr/>
        <w:t>Cataract effect</w:t>
      </w:r>
    </w:p>
    <w:p>
      <w:pPr>
        <w:pStyle w:val="BodyText"/>
        <w:spacing w:line="276" w:lineRule="auto" w:before="299"/>
        <w:ind w:left="477" w:right="132"/>
        <w:jc w:val="both"/>
      </w:pPr>
      <w:r>
        <w:rPr/>
        <w:t>Cases</w:t>
      </w:r>
      <w:r>
        <w:rPr>
          <w:spacing w:val="-8"/>
        </w:rPr>
        <w:t> </w:t>
      </w:r>
      <w:r>
        <w:rPr/>
        <w:t>have</w:t>
      </w:r>
      <w:r>
        <w:rPr>
          <w:spacing w:val="-9"/>
        </w:rPr>
        <w:t> </w:t>
      </w:r>
      <w:r>
        <w:rPr/>
        <w:t>been</w:t>
      </w:r>
      <w:r>
        <w:rPr>
          <w:spacing w:val="-11"/>
        </w:rPr>
        <w:t> </w:t>
      </w:r>
      <w:r>
        <w:rPr/>
        <w:t>described</w:t>
      </w:r>
      <w:r>
        <w:rPr>
          <w:spacing w:val="-9"/>
        </w:rPr>
        <w:t> </w:t>
      </w:r>
      <w:r>
        <w:rPr/>
        <w:t>in</w:t>
      </w:r>
      <w:r>
        <w:rPr>
          <w:spacing w:val="-12"/>
        </w:rPr>
        <w:t> </w:t>
      </w:r>
      <w:r>
        <w:rPr/>
        <w:t>which</w:t>
      </w:r>
      <w:r>
        <w:rPr>
          <w:spacing w:val="-7"/>
        </w:rPr>
        <w:t> </w:t>
      </w:r>
      <w:r>
        <w:rPr/>
        <w:t>lapacho</w:t>
      </w:r>
      <w:r>
        <w:rPr>
          <w:spacing w:val="-9"/>
        </w:rPr>
        <w:t> </w:t>
      </w:r>
      <w:r>
        <w:rPr/>
        <w:t>tea</w:t>
      </w:r>
      <w:r>
        <w:rPr>
          <w:spacing w:val="-10"/>
        </w:rPr>
        <w:t> </w:t>
      </w:r>
      <w:r>
        <w:rPr/>
        <w:t>has</w:t>
      </w:r>
      <w:r>
        <w:rPr>
          <w:spacing w:val="-10"/>
        </w:rPr>
        <w:t> </w:t>
      </w:r>
      <w:r>
        <w:rPr/>
        <w:t>completely</w:t>
      </w:r>
      <w:r>
        <w:rPr>
          <w:spacing w:val="-10"/>
        </w:rPr>
        <w:t> </w:t>
      </w:r>
      <w:r>
        <w:rPr/>
        <w:t>cured</w:t>
      </w:r>
      <w:r>
        <w:rPr>
          <w:spacing w:val="-9"/>
        </w:rPr>
        <w:t> </w:t>
      </w:r>
      <w:r>
        <w:rPr/>
        <w:t>cataracts, including Pau D'Arco's book ‘Immune Power from the Rain Forest’.</w:t>
      </w:r>
    </w:p>
    <w:p>
      <w:pPr>
        <w:pStyle w:val="BodyText"/>
        <w:spacing w:before="241"/>
        <w:ind w:left="477"/>
        <w:jc w:val="both"/>
      </w:pPr>
      <w:r>
        <w:rPr/>
        <w:t>Traditionally, cooled lapacho tea is used for eye washes (see ‘Use of lapacho’).</w:t>
      </w:r>
    </w:p>
    <w:p>
      <w:pPr>
        <w:pStyle w:val="Heading1"/>
        <w:spacing w:before="285"/>
        <w:jc w:val="both"/>
      </w:pPr>
      <w:r>
        <w:rPr/>
        <w:t>Effect against influenza</w:t>
      </w:r>
    </w:p>
    <w:p>
      <w:pPr>
        <w:spacing w:after="0"/>
        <w:jc w:val="both"/>
        <w:sectPr>
          <w:pgSz w:w="14270" w:h="16850"/>
          <w:pgMar w:header="0" w:footer="1891" w:top="1600" w:bottom="2080" w:left="800" w:right="1280"/>
        </w:sectPr>
      </w:pPr>
    </w:p>
    <w:p>
      <w:pPr>
        <w:pStyle w:val="BodyText"/>
        <w:spacing w:line="276" w:lineRule="auto" w:before="181"/>
        <w:ind w:left="477" w:right="138"/>
        <w:jc w:val="both"/>
      </w:pPr>
      <w:r>
        <w:rPr/>
        <w:t>With its antiseptic, antiviral and immune-building properties, lapacho tea is an excellent, natural therapeutic against influenza!</w:t>
      </w:r>
    </w:p>
    <w:p>
      <w:pPr>
        <w:pStyle w:val="BodyText"/>
        <w:rPr>
          <w:sz w:val="42"/>
        </w:rPr>
      </w:pPr>
    </w:p>
    <w:p>
      <w:pPr>
        <w:pStyle w:val="BodyText"/>
        <w:spacing w:before="11"/>
        <w:rPr>
          <w:sz w:val="42"/>
        </w:rPr>
      </w:pPr>
    </w:p>
    <w:p>
      <w:pPr>
        <w:pStyle w:val="Heading1"/>
        <w:spacing w:before="0"/>
      </w:pPr>
      <w:r>
        <w:rPr/>
        <w:t>Effect against shingles</w:t>
      </w:r>
    </w:p>
    <w:p>
      <w:pPr>
        <w:pStyle w:val="BodyText"/>
        <w:spacing w:line="276" w:lineRule="auto" w:before="299"/>
        <w:ind w:left="477" w:right="129"/>
        <w:jc w:val="both"/>
      </w:pPr>
      <w:r>
        <w:rPr/>
        <w:t>Here,</w:t>
      </w:r>
      <w:r>
        <w:rPr>
          <w:spacing w:val="-23"/>
        </w:rPr>
        <w:t> </w:t>
      </w:r>
      <w:r>
        <w:rPr/>
        <w:t>lapacho</w:t>
      </w:r>
      <w:r>
        <w:rPr>
          <w:spacing w:val="-23"/>
        </w:rPr>
        <w:t> </w:t>
      </w:r>
      <w:r>
        <w:rPr/>
        <w:t>tea</w:t>
      </w:r>
      <w:r>
        <w:rPr>
          <w:spacing w:val="-23"/>
        </w:rPr>
        <w:t> </w:t>
      </w:r>
      <w:r>
        <w:rPr/>
        <w:t>exerts</w:t>
      </w:r>
      <w:r>
        <w:rPr>
          <w:spacing w:val="-23"/>
        </w:rPr>
        <w:t> </w:t>
      </w:r>
      <w:r>
        <w:rPr/>
        <w:t>its</w:t>
      </w:r>
      <w:r>
        <w:rPr>
          <w:spacing w:val="-23"/>
        </w:rPr>
        <w:t> </w:t>
      </w:r>
      <w:r>
        <w:rPr/>
        <w:t>antiviral</w:t>
      </w:r>
      <w:r>
        <w:rPr>
          <w:spacing w:val="-24"/>
        </w:rPr>
        <w:t> </w:t>
      </w:r>
      <w:r>
        <w:rPr/>
        <w:t>and</w:t>
      </w:r>
      <w:r>
        <w:rPr>
          <w:spacing w:val="-23"/>
        </w:rPr>
        <w:t> </w:t>
      </w:r>
      <w:r>
        <w:rPr/>
        <w:t>wound-healing</w:t>
      </w:r>
      <w:r>
        <w:rPr>
          <w:spacing w:val="-23"/>
        </w:rPr>
        <w:t> </w:t>
      </w:r>
      <w:r>
        <w:rPr/>
        <w:t>effect</w:t>
      </w:r>
      <w:r>
        <w:rPr>
          <w:spacing w:val="-22"/>
        </w:rPr>
        <w:t> </w:t>
      </w:r>
      <w:r>
        <w:rPr/>
        <w:t>in</w:t>
      </w:r>
      <w:r>
        <w:rPr>
          <w:spacing w:val="-23"/>
        </w:rPr>
        <w:t> </w:t>
      </w:r>
      <w:r>
        <w:rPr/>
        <w:t>a</w:t>
      </w:r>
      <w:r>
        <w:rPr>
          <w:spacing w:val="-24"/>
        </w:rPr>
        <w:t> </w:t>
      </w:r>
      <w:r>
        <w:rPr/>
        <w:t>targeted</w:t>
      </w:r>
      <w:r>
        <w:rPr>
          <w:spacing w:val="-23"/>
        </w:rPr>
        <w:t> </w:t>
      </w:r>
      <w:r>
        <w:rPr/>
        <w:t>man- ner and can be very helpful in combatting painful shingles, which is caused by the virus ‘herpes zoster’.</w:t>
      </w:r>
    </w:p>
    <w:p>
      <w:pPr>
        <w:pStyle w:val="Heading1"/>
        <w:spacing w:before="222"/>
      </w:pPr>
      <w:r>
        <w:rPr/>
        <w:t>Effect against sore throat</w:t>
      </w:r>
    </w:p>
    <w:p>
      <w:pPr>
        <w:pStyle w:val="BodyText"/>
        <w:spacing w:line="276" w:lineRule="auto" w:before="299"/>
        <w:ind w:left="477" w:right="134"/>
        <w:jc w:val="both"/>
      </w:pPr>
      <w:r>
        <w:rPr/>
        <w:t>The antiseptic, antibacterial and immune-enhancing effects of lapacho tea can quickly relieve sore throats, both through internal (drinking) and external (gar- gle) application.</w:t>
      </w:r>
    </w:p>
    <w:p>
      <w:pPr>
        <w:pStyle w:val="Heading1"/>
        <w:spacing w:before="222"/>
      </w:pPr>
      <w:r>
        <w:rPr/>
        <w:t>Effect on skin diseases</w:t>
      </w:r>
    </w:p>
    <w:p>
      <w:pPr>
        <w:pStyle w:val="BodyText"/>
        <w:spacing w:line="276" w:lineRule="auto" w:before="300"/>
        <w:ind w:left="477" w:right="134"/>
        <w:jc w:val="both"/>
      </w:pPr>
      <w:r>
        <w:rPr/>
        <w:t>The blood-purifying, detoxifying, antibacterial, wound healing and anti-inflam- matory properties are extremely effective against skin diseases and make lapacho tea an excellent therapeutic.</w:t>
      </w:r>
    </w:p>
    <w:p>
      <w:pPr>
        <w:pStyle w:val="Heading1"/>
        <w:spacing w:before="223"/>
      </w:pPr>
      <w:r>
        <w:rPr/>
        <w:t>Effect against blemishes</w:t>
      </w:r>
    </w:p>
    <w:p>
      <w:pPr>
        <w:pStyle w:val="BodyText"/>
        <w:spacing w:line="276" w:lineRule="auto" w:before="300"/>
        <w:ind w:left="477" w:right="135"/>
        <w:jc w:val="both"/>
      </w:pPr>
      <w:r>
        <w:rPr/>
        <w:t>In the case of skin blemishes, such as pimples, acne or blackheads, lapacho ex- erts</w:t>
      </w:r>
      <w:r>
        <w:rPr>
          <w:spacing w:val="-12"/>
        </w:rPr>
        <w:t> </w:t>
      </w:r>
      <w:r>
        <w:rPr/>
        <w:t>its</w:t>
      </w:r>
      <w:r>
        <w:rPr>
          <w:spacing w:val="-13"/>
        </w:rPr>
        <w:t> </w:t>
      </w:r>
      <w:r>
        <w:rPr/>
        <w:t>blood-purifying,</w:t>
      </w:r>
      <w:r>
        <w:rPr>
          <w:spacing w:val="-11"/>
        </w:rPr>
        <w:t> </w:t>
      </w:r>
      <w:r>
        <w:rPr/>
        <w:t>detoxifying</w:t>
      </w:r>
      <w:r>
        <w:rPr>
          <w:spacing w:val="-12"/>
        </w:rPr>
        <w:t> </w:t>
      </w:r>
      <w:r>
        <w:rPr/>
        <w:t>and</w:t>
      </w:r>
      <w:r>
        <w:rPr>
          <w:spacing w:val="-12"/>
        </w:rPr>
        <w:t> </w:t>
      </w:r>
      <w:r>
        <w:rPr/>
        <w:t>antibacterial</w:t>
      </w:r>
      <w:r>
        <w:rPr>
          <w:spacing w:val="-13"/>
        </w:rPr>
        <w:t> </w:t>
      </w:r>
      <w:r>
        <w:rPr/>
        <w:t>effect</w:t>
      </w:r>
      <w:r>
        <w:rPr>
          <w:spacing w:val="-12"/>
        </w:rPr>
        <w:t> </w:t>
      </w:r>
      <w:r>
        <w:rPr/>
        <w:t>and</w:t>
      </w:r>
      <w:r>
        <w:rPr>
          <w:spacing w:val="-10"/>
        </w:rPr>
        <w:t> </w:t>
      </w:r>
      <w:r>
        <w:rPr/>
        <w:t>thus</w:t>
      </w:r>
      <w:r>
        <w:rPr>
          <w:spacing w:val="-11"/>
        </w:rPr>
        <w:t> </w:t>
      </w:r>
      <w:r>
        <w:rPr/>
        <w:t>has</w:t>
      </w:r>
      <w:r>
        <w:rPr>
          <w:spacing w:val="-12"/>
        </w:rPr>
        <w:t> </w:t>
      </w:r>
      <w:r>
        <w:rPr/>
        <w:t>a</w:t>
      </w:r>
      <w:r>
        <w:rPr>
          <w:spacing w:val="-14"/>
        </w:rPr>
        <w:t> </w:t>
      </w:r>
      <w:r>
        <w:rPr/>
        <w:t>caus- ative, sustainable impact on the skin blemishes</w:t>
      </w:r>
      <w:r>
        <w:rPr>
          <w:spacing w:val="-1"/>
        </w:rPr>
        <w:t> </w:t>
      </w:r>
      <w:r>
        <w:rPr/>
        <w:t>described.</w:t>
      </w:r>
    </w:p>
    <w:p>
      <w:pPr>
        <w:spacing w:after="0" w:line="276" w:lineRule="auto"/>
        <w:jc w:val="both"/>
        <w:sectPr>
          <w:pgSz w:w="14270" w:h="16850"/>
          <w:pgMar w:header="0" w:footer="1891" w:top="1600" w:bottom="2080" w:left="800" w:right="1280"/>
        </w:sectPr>
      </w:pPr>
    </w:p>
    <w:p>
      <w:pPr>
        <w:pStyle w:val="Heading1"/>
        <w:spacing w:before="164"/>
      </w:pPr>
      <w:r>
        <w:rPr/>
        <w:t>Effect on haemorrhoids</w:t>
      </w:r>
    </w:p>
    <w:p>
      <w:pPr>
        <w:pStyle w:val="BodyText"/>
        <w:spacing w:line="276" w:lineRule="auto" w:before="299"/>
        <w:ind w:left="477"/>
      </w:pPr>
      <w:r>
        <w:rPr/>
        <w:t>Lapacho tea has anti-inflammatory and digestive properties; it is therefore</w:t>
      </w:r>
      <w:r>
        <w:rPr>
          <w:spacing w:val="-66"/>
        </w:rPr>
        <w:t> </w:t>
      </w:r>
      <w:r>
        <w:rPr/>
        <w:t>used successfully in the treatment of haemorrhoids.</w:t>
      </w:r>
    </w:p>
    <w:p>
      <w:pPr>
        <w:pStyle w:val="Heading1"/>
      </w:pPr>
      <w:r>
        <w:rPr/>
        <w:t>Effect on yeast infections</w:t>
      </w:r>
    </w:p>
    <w:p>
      <w:pPr>
        <w:pStyle w:val="BodyText"/>
        <w:spacing w:line="276" w:lineRule="auto" w:before="299"/>
        <w:ind w:left="477"/>
      </w:pPr>
      <w:r>
        <w:rPr/>
        <w:t>The antifungal and immune-enhancing effects of lapacho tea help to heal and prevent yeast infections.</w:t>
      </w:r>
    </w:p>
    <w:p>
      <w:pPr>
        <w:pStyle w:val="Heading1"/>
        <w:spacing w:before="222"/>
      </w:pPr>
      <w:r>
        <w:rPr/>
        <w:t>Effect against coughing</w:t>
      </w:r>
    </w:p>
    <w:p>
      <w:pPr>
        <w:pStyle w:val="BodyText"/>
        <w:spacing w:line="276" w:lineRule="auto" w:before="299"/>
        <w:ind w:left="477" w:right="136"/>
      </w:pPr>
      <w:r>
        <w:rPr/>
        <w:t>The antiviral, antiseptic and immunostimulatory effects are proven to be bene- ficial for diseases such as bronchitis or coughing.</w:t>
      </w:r>
    </w:p>
    <w:p>
      <w:pPr>
        <w:pStyle w:val="Heading1"/>
      </w:pPr>
      <w:r>
        <w:rPr/>
        <w:t>Effect on periostitis</w:t>
      </w:r>
    </w:p>
    <w:p>
      <w:pPr>
        <w:pStyle w:val="BodyText"/>
        <w:spacing w:line="276" w:lineRule="auto" w:before="299"/>
        <w:ind w:left="477"/>
      </w:pPr>
      <w:r>
        <w:rPr/>
        <w:t>Lapacho tea has a multifactorial effect against bone inflammation and periosti- tis, it is</w:t>
      </w:r>
    </w:p>
    <w:p>
      <w:pPr>
        <w:pStyle w:val="ListParagraph"/>
        <w:numPr>
          <w:ilvl w:val="0"/>
          <w:numId w:val="54"/>
        </w:numPr>
        <w:tabs>
          <w:tab w:pos="892" w:val="left" w:leader="none"/>
          <w:tab w:pos="893" w:val="left" w:leader="none"/>
        </w:tabs>
        <w:spacing w:line="240" w:lineRule="auto" w:before="240" w:after="0"/>
        <w:ind w:left="892" w:right="0" w:hanging="415"/>
        <w:jc w:val="left"/>
        <w:rPr>
          <w:sz w:val="38"/>
        </w:rPr>
      </w:pPr>
      <w:r>
        <w:rPr>
          <w:sz w:val="38"/>
        </w:rPr>
        <w:t>anti-inflammatory,</w:t>
      </w:r>
    </w:p>
    <w:p>
      <w:pPr>
        <w:pStyle w:val="ListParagraph"/>
        <w:numPr>
          <w:ilvl w:val="0"/>
          <w:numId w:val="54"/>
        </w:numPr>
        <w:tabs>
          <w:tab w:pos="892" w:val="left" w:leader="none"/>
          <w:tab w:pos="893" w:val="left" w:leader="none"/>
        </w:tabs>
        <w:spacing w:line="240" w:lineRule="auto" w:before="66" w:after="0"/>
        <w:ind w:left="892" w:right="0" w:hanging="415"/>
        <w:jc w:val="left"/>
        <w:rPr>
          <w:sz w:val="38"/>
        </w:rPr>
      </w:pPr>
      <w:r>
        <w:rPr>
          <w:sz w:val="38"/>
        </w:rPr>
        <w:t>analgesic,</w:t>
      </w:r>
    </w:p>
    <w:p>
      <w:pPr>
        <w:pStyle w:val="ListParagraph"/>
        <w:numPr>
          <w:ilvl w:val="0"/>
          <w:numId w:val="54"/>
        </w:numPr>
        <w:tabs>
          <w:tab w:pos="892" w:val="left" w:leader="none"/>
          <w:tab w:pos="893" w:val="left" w:leader="none"/>
        </w:tabs>
        <w:spacing w:line="240" w:lineRule="auto" w:before="64" w:after="0"/>
        <w:ind w:left="892" w:right="0" w:hanging="415"/>
        <w:jc w:val="left"/>
        <w:rPr>
          <w:sz w:val="38"/>
        </w:rPr>
      </w:pPr>
      <w:r>
        <w:rPr>
          <w:sz w:val="38"/>
        </w:rPr>
        <w:t>antiseptic</w:t>
      </w:r>
      <w:r>
        <w:rPr>
          <w:spacing w:val="-1"/>
          <w:sz w:val="38"/>
        </w:rPr>
        <w:t> </w:t>
      </w:r>
      <w:r>
        <w:rPr>
          <w:sz w:val="38"/>
        </w:rPr>
        <w:t>and</w:t>
      </w:r>
    </w:p>
    <w:p>
      <w:pPr>
        <w:pStyle w:val="ListParagraph"/>
        <w:numPr>
          <w:ilvl w:val="0"/>
          <w:numId w:val="54"/>
        </w:numPr>
        <w:tabs>
          <w:tab w:pos="892" w:val="left" w:leader="none"/>
          <w:tab w:pos="893" w:val="left" w:leader="none"/>
        </w:tabs>
        <w:spacing w:line="240" w:lineRule="auto" w:before="63" w:after="0"/>
        <w:ind w:left="892" w:right="0" w:hanging="415"/>
        <w:jc w:val="left"/>
        <w:rPr>
          <w:sz w:val="38"/>
        </w:rPr>
      </w:pPr>
      <w:r>
        <w:rPr>
          <w:sz w:val="38"/>
        </w:rPr>
        <w:t>strengthens the immune system.</w:t>
      </w:r>
    </w:p>
    <w:p>
      <w:pPr>
        <w:pStyle w:val="BodyText"/>
        <w:spacing w:line="276" w:lineRule="auto" w:before="303"/>
        <w:ind w:left="477" w:right="131"/>
        <w:jc w:val="both"/>
      </w:pPr>
      <w:r>
        <w:rPr/>
        <w:t>This</w:t>
      </w:r>
      <w:r>
        <w:rPr>
          <w:spacing w:val="-12"/>
        </w:rPr>
        <w:t> </w:t>
      </w:r>
      <w:r>
        <w:rPr/>
        <w:t>multifunctional</w:t>
      </w:r>
      <w:r>
        <w:rPr>
          <w:spacing w:val="-13"/>
        </w:rPr>
        <w:t> </w:t>
      </w:r>
      <w:r>
        <w:rPr/>
        <w:t>approach</w:t>
      </w:r>
      <w:r>
        <w:rPr>
          <w:spacing w:val="-11"/>
        </w:rPr>
        <w:t> </w:t>
      </w:r>
      <w:r>
        <w:rPr/>
        <w:t>makes</w:t>
      </w:r>
      <w:r>
        <w:rPr>
          <w:spacing w:val="-11"/>
        </w:rPr>
        <w:t> </w:t>
      </w:r>
      <w:r>
        <w:rPr/>
        <w:t>both</w:t>
      </w:r>
      <w:r>
        <w:rPr>
          <w:spacing w:val="-11"/>
        </w:rPr>
        <w:t> </w:t>
      </w:r>
      <w:r>
        <w:rPr/>
        <w:t>the</w:t>
      </w:r>
      <w:r>
        <w:rPr>
          <w:spacing w:val="-11"/>
        </w:rPr>
        <w:t> </w:t>
      </w:r>
      <w:r>
        <w:rPr/>
        <w:t>external</w:t>
      </w:r>
      <w:r>
        <w:rPr>
          <w:spacing w:val="-13"/>
        </w:rPr>
        <w:t> </w:t>
      </w:r>
      <w:r>
        <w:rPr/>
        <w:t>(compress)</w:t>
      </w:r>
      <w:r>
        <w:rPr>
          <w:spacing w:val="-12"/>
        </w:rPr>
        <w:t> </w:t>
      </w:r>
      <w:r>
        <w:rPr/>
        <w:t>and</w:t>
      </w:r>
      <w:r>
        <w:rPr>
          <w:spacing w:val="-12"/>
        </w:rPr>
        <w:t> </w:t>
      </w:r>
      <w:r>
        <w:rPr/>
        <w:t>internal (tea drinking) use of lapacho tea a very successful treatment against bone in- flammation and</w:t>
      </w:r>
      <w:r>
        <w:rPr>
          <w:spacing w:val="1"/>
        </w:rPr>
        <w:t> </w:t>
      </w:r>
      <w:r>
        <w:rPr/>
        <w:t>periostitis.</w:t>
      </w:r>
    </w:p>
    <w:p>
      <w:pPr>
        <w:spacing w:after="0" w:line="276" w:lineRule="auto"/>
        <w:jc w:val="both"/>
        <w:sectPr>
          <w:pgSz w:w="14270" w:h="16850"/>
          <w:pgMar w:header="0" w:footer="1891" w:top="1600" w:bottom="2080" w:left="800" w:right="1280"/>
        </w:sectPr>
      </w:pPr>
    </w:p>
    <w:p>
      <w:pPr>
        <w:pStyle w:val="Heading1"/>
        <w:spacing w:before="164"/>
        <w:jc w:val="both"/>
      </w:pPr>
      <w:r>
        <w:rPr/>
        <w:t>Effect on varicose veins</w:t>
      </w:r>
    </w:p>
    <w:p>
      <w:pPr>
        <w:pStyle w:val="BodyText"/>
        <w:spacing w:line="276" w:lineRule="auto" w:before="299"/>
        <w:ind w:left="477" w:right="133"/>
        <w:jc w:val="both"/>
      </w:pPr>
      <w:r>
        <w:rPr/>
        <w:t>In cases of varicose veins, which are mostly due to connective tissue weakness and inactivity, lapacho ointment can be very effective in a matter of weeks. See ‘Using lapacho tea for varicose veins’ under ‘Lapacho tea applications’.</w:t>
      </w:r>
    </w:p>
    <w:p>
      <w:pPr>
        <w:pStyle w:val="Heading1"/>
        <w:jc w:val="both"/>
      </w:pPr>
      <w:r>
        <w:rPr/>
        <w:t>Effect against cancer</w:t>
      </w:r>
    </w:p>
    <w:p>
      <w:pPr>
        <w:pStyle w:val="BodyText"/>
        <w:spacing w:line="276" w:lineRule="auto" w:before="298"/>
        <w:ind w:left="477" w:right="132"/>
        <w:jc w:val="both"/>
        <w:rPr>
          <w:sz w:val="25"/>
        </w:rPr>
      </w:pPr>
      <w:r>
        <w:rPr/>
        <w:t>The active ingredient ‘lapachol’, as well as the saponins, have cancer cell-de- stroying,</w:t>
      </w:r>
      <w:r>
        <w:rPr>
          <w:spacing w:val="-14"/>
        </w:rPr>
        <w:t> </w:t>
      </w:r>
      <w:r>
        <w:rPr/>
        <w:t>cancer-growth-inhibiting</w:t>
      </w:r>
      <w:r>
        <w:rPr>
          <w:spacing w:val="-15"/>
        </w:rPr>
        <w:t> </w:t>
      </w:r>
      <w:r>
        <w:rPr/>
        <w:t>and</w:t>
      </w:r>
      <w:r>
        <w:rPr>
          <w:spacing w:val="-15"/>
        </w:rPr>
        <w:t> </w:t>
      </w:r>
      <w:r>
        <w:rPr/>
        <w:t>immune-building</w:t>
      </w:r>
      <w:r>
        <w:rPr>
          <w:spacing w:val="-15"/>
        </w:rPr>
        <w:t> </w:t>
      </w:r>
      <w:r>
        <w:rPr/>
        <w:t>effects.</w:t>
      </w:r>
      <w:r>
        <w:rPr>
          <w:spacing w:val="-12"/>
        </w:rPr>
        <w:t> </w:t>
      </w:r>
      <w:r>
        <w:rPr/>
        <w:t>These</w:t>
      </w:r>
      <w:r>
        <w:rPr>
          <w:spacing w:val="-14"/>
        </w:rPr>
        <w:t> </w:t>
      </w:r>
      <w:r>
        <w:rPr/>
        <w:t>can</w:t>
      </w:r>
      <w:r>
        <w:rPr>
          <w:spacing w:val="-14"/>
        </w:rPr>
        <w:t> </w:t>
      </w:r>
      <w:r>
        <w:rPr/>
        <w:t>also help prevent metastasis. Lapacho bark extract has been shown to be anti- tumoural in studies by the National Cancer Institute (NCI) in the United States.</w:t>
      </w:r>
      <w:r>
        <w:rPr>
          <w:position w:val="9"/>
          <w:sz w:val="25"/>
        </w:rPr>
        <w:t>458</w:t>
      </w:r>
    </w:p>
    <w:p>
      <w:pPr>
        <w:pStyle w:val="BodyText"/>
        <w:spacing w:line="276" w:lineRule="auto" w:before="242"/>
        <w:ind w:left="477" w:right="133"/>
        <w:jc w:val="both"/>
        <w:rPr>
          <w:sz w:val="25"/>
        </w:rPr>
      </w:pPr>
      <w:r>
        <w:rPr/>
        <w:t>At</w:t>
      </w:r>
      <w:r>
        <w:rPr>
          <w:spacing w:val="-10"/>
        </w:rPr>
        <w:t> </w:t>
      </w:r>
      <w:r>
        <w:rPr/>
        <w:t>doses</w:t>
      </w:r>
      <w:r>
        <w:rPr>
          <w:spacing w:val="-8"/>
        </w:rPr>
        <w:t> </w:t>
      </w:r>
      <w:r>
        <w:rPr/>
        <w:t>of</w:t>
      </w:r>
      <w:r>
        <w:rPr>
          <w:spacing w:val="-8"/>
        </w:rPr>
        <w:t> </w:t>
      </w:r>
      <w:r>
        <w:rPr/>
        <w:t>1500</w:t>
      </w:r>
      <w:r>
        <w:rPr>
          <w:spacing w:val="-10"/>
        </w:rPr>
        <w:t> </w:t>
      </w:r>
      <w:r>
        <w:rPr/>
        <w:t>mg,</w:t>
      </w:r>
      <w:r>
        <w:rPr>
          <w:spacing w:val="-8"/>
        </w:rPr>
        <w:t> </w:t>
      </w:r>
      <w:r>
        <w:rPr/>
        <w:t>lapacho's</w:t>
      </w:r>
      <w:r>
        <w:rPr>
          <w:spacing w:val="-6"/>
        </w:rPr>
        <w:t> </w:t>
      </w:r>
      <w:r>
        <w:rPr/>
        <w:t>‘lapachol’</w:t>
      </w:r>
      <w:r>
        <w:rPr>
          <w:spacing w:val="-9"/>
        </w:rPr>
        <w:t> </w:t>
      </w:r>
      <w:r>
        <w:rPr/>
        <w:t>drug</w:t>
      </w:r>
      <w:r>
        <w:rPr>
          <w:spacing w:val="-8"/>
        </w:rPr>
        <w:t> </w:t>
      </w:r>
      <w:r>
        <w:rPr/>
        <w:t>has</w:t>
      </w:r>
      <w:r>
        <w:rPr>
          <w:spacing w:val="-9"/>
        </w:rPr>
        <w:t> </w:t>
      </w:r>
      <w:r>
        <w:rPr/>
        <w:t>been</w:t>
      </w:r>
      <w:r>
        <w:rPr>
          <w:spacing w:val="-9"/>
        </w:rPr>
        <w:t> </w:t>
      </w:r>
      <w:r>
        <w:rPr/>
        <w:t>shown</w:t>
      </w:r>
      <w:r>
        <w:rPr>
          <w:spacing w:val="-8"/>
        </w:rPr>
        <w:t> </w:t>
      </w:r>
      <w:r>
        <w:rPr/>
        <w:t>to</w:t>
      </w:r>
      <w:r>
        <w:rPr>
          <w:spacing w:val="-9"/>
        </w:rPr>
        <w:t> </w:t>
      </w:r>
      <w:r>
        <w:rPr/>
        <w:t>have</w:t>
      </w:r>
      <w:r>
        <w:rPr>
          <w:spacing w:val="-8"/>
        </w:rPr>
        <w:t> </w:t>
      </w:r>
      <w:r>
        <w:rPr/>
        <w:t>marked anti-tumour effects, and many clinicians are already convinced of its efficacy in cancer treatment, such as James Duke from the State Health Institute and Dr. Morm Farnsworth of the University of</w:t>
      </w:r>
      <w:r>
        <w:rPr>
          <w:spacing w:val="3"/>
        </w:rPr>
        <w:t> </w:t>
      </w:r>
      <w:r>
        <w:rPr/>
        <w:t>Illinois.</w:t>
      </w:r>
      <w:r>
        <w:rPr>
          <w:position w:val="9"/>
          <w:sz w:val="25"/>
        </w:rPr>
        <w:t>459</w:t>
      </w:r>
    </w:p>
    <w:p>
      <w:pPr>
        <w:pStyle w:val="BodyText"/>
        <w:spacing w:line="276" w:lineRule="auto" w:before="239"/>
        <w:ind w:left="477" w:right="136"/>
        <w:jc w:val="both"/>
      </w:pPr>
      <w:r>
        <w:rPr/>
        <w:t>Lapacho also has an analgesic effect, especially against cancers such as breast, liver and prostate cancer. Even in advanced cancer patients who suffered un- bearable pain, lapacho ‘made the pain </w:t>
      </w:r>
      <w:r>
        <w:rPr>
          <w:i/>
        </w:rPr>
        <w:t>disappear’</w:t>
      </w:r>
      <w:r>
        <w:rPr>
          <w:position w:val="9"/>
          <w:sz w:val="25"/>
        </w:rPr>
        <w:t>460</w:t>
      </w:r>
      <w:r>
        <w:rPr/>
        <w:t>. In addition, the course and</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2"/>
        </w:rPr>
      </w:pPr>
      <w:r>
        <w:rPr/>
        <w:pict>
          <v:line style="position:absolute;mso-position-horizontal-relative:page;mso-position-vertical-relative:paragraph;z-index:5816;mso-wrap-distance-left:0;mso-wrap-distance-right:0" from="63.863998pt,9.521235pt" to="207.883998pt,9.521235pt" stroked="true" strokeweight=".72003pt" strokecolor="#000000">
            <v:stroke dashstyle="solid"/>
            <w10:wrap type="topAndBottom"/>
          </v:line>
        </w:pict>
      </w:r>
    </w:p>
    <w:p>
      <w:pPr>
        <w:pStyle w:val="BodyText"/>
        <w:spacing w:before="7"/>
        <w:rPr>
          <w:sz w:val="18"/>
        </w:rPr>
      </w:pPr>
    </w:p>
    <w:p>
      <w:pPr>
        <w:spacing w:line="338" w:lineRule="auto" w:before="99"/>
        <w:ind w:left="477" w:right="834" w:firstLine="0"/>
        <w:jc w:val="both"/>
        <w:rPr>
          <w:sz w:val="20"/>
        </w:rPr>
      </w:pPr>
      <w:r>
        <w:rPr>
          <w:position w:val="5"/>
          <w:sz w:val="13"/>
        </w:rPr>
        <w:t>458 </w:t>
      </w:r>
      <w:r>
        <w:rPr>
          <w:sz w:val="20"/>
        </w:rPr>
        <w:t>Ronald P. Schweppe and Alyosha A. Schwarz: Natürlich gesund mit Lapacho (‘Naturally Healthy with Lapacho’), 2nd Edition 1998, p. 21 </w:t>
      </w:r>
      <w:r>
        <w:rPr>
          <w:position w:val="5"/>
          <w:sz w:val="13"/>
        </w:rPr>
        <w:t>459 </w:t>
      </w:r>
      <w:r>
        <w:rPr>
          <w:sz w:val="20"/>
        </w:rPr>
        <w:t>Ronald P. Schweppe and Alyosha A. Schwarz: Natürlich gesund mit Lapacho (‘Naturally Healthy with Lapacho’), 2nd Edition 1998, p. 11 </w:t>
      </w:r>
      <w:r>
        <w:rPr>
          <w:position w:val="5"/>
          <w:sz w:val="13"/>
        </w:rPr>
        <w:t>460 </w:t>
      </w:r>
      <w:r>
        <w:rPr>
          <w:sz w:val="20"/>
        </w:rPr>
        <w:t>Walter Lübeck: Heilen mit Lapacho-Tee (‘Healing with Lapacho Tea’), 8th Edition 1999, p. 29-30</w:t>
      </w:r>
    </w:p>
    <w:p>
      <w:pPr>
        <w:spacing w:after="0" w:line="338" w:lineRule="auto"/>
        <w:jc w:val="both"/>
        <w:rPr>
          <w:sz w:val="20"/>
        </w:rPr>
        <w:sectPr>
          <w:pgSz w:w="14270" w:h="16850"/>
          <w:pgMar w:header="0" w:footer="1891" w:top="1600" w:bottom="2080" w:left="800" w:right="1280"/>
        </w:sectPr>
      </w:pPr>
    </w:p>
    <w:p>
      <w:pPr>
        <w:pStyle w:val="BodyText"/>
        <w:spacing w:line="276" w:lineRule="auto" w:before="181"/>
        <w:ind w:left="477"/>
      </w:pPr>
      <w:r>
        <w:rPr/>
        <w:t>condition during chemotherapy are favourably influenced (see also ‘Effect</w:t>
      </w:r>
      <w:r>
        <w:rPr>
          <w:spacing w:val="-66"/>
        </w:rPr>
        <w:t> </w:t>
      </w:r>
      <w:r>
        <w:rPr/>
        <w:t>dur- ing chemotherapy’).</w:t>
      </w:r>
    </w:p>
    <w:p>
      <w:pPr>
        <w:pStyle w:val="Heading1"/>
      </w:pPr>
      <w:r>
        <w:rPr/>
        <w:t>Effect on liver disease</w:t>
      </w:r>
    </w:p>
    <w:p>
      <w:pPr>
        <w:pStyle w:val="BodyText"/>
        <w:spacing w:line="276" w:lineRule="auto" w:before="299"/>
        <w:ind w:left="477" w:right="142"/>
        <w:jc w:val="both"/>
      </w:pPr>
      <w:r>
        <w:rPr/>
        <w:t>Alongside the heart, the liver is one of the most active organs in our body and is heavily involved with the detoxification of our organism in our hectic lives. Therefore, the liver is always grateful for support, and lapacho tea can provide this relief within its detoxifying and antifungal effects.</w:t>
      </w:r>
    </w:p>
    <w:p>
      <w:pPr>
        <w:pStyle w:val="Heading1"/>
        <w:spacing w:before="223"/>
      </w:pPr>
      <w:r>
        <w:rPr/>
        <w:t>Effect on hernias</w:t>
      </w:r>
    </w:p>
    <w:p>
      <w:pPr>
        <w:pStyle w:val="BodyText"/>
        <w:spacing w:before="299"/>
        <w:ind w:left="477"/>
      </w:pPr>
      <w:r>
        <w:rPr/>
        <w:t>When applied externally, lapacho tea can also accelerate healing after a hernia.</w:t>
      </w:r>
    </w:p>
    <w:p>
      <w:pPr>
        <w:pStyle w:val="Heading1"/>
        <w:spacing w:before="287"/>
      </w:pPr>
      <w:r>
        <w:rPr/>
        <w:t>Effect on leukaemia (blood cancer)</w:t>
      </w:r>
    </w:p>
    <w:p>
      <w:pPr>
        <w:pStyle w:val="BodyText"/>
        <w:spacing w:line="276" w:lineRule="auto" w:before="299"/>
        <w:ind w:left="477" w:right="135"/>
        <w:jc w:val="both"/>
        <w:rPr>
          <w:sz w:val="25"/>
        </w:rPr>
      </w:pPr>
      <w:r>
        <w:rPr/>
        <w:t>In South America, lapacho tea has traditionally been used very successfully against leukaemia for centuries. There are countless reports of leukaemia being cured with lapacho tea. Dr. Gaiarsa, a Brazilian pharmacologist, reports on a leukaemia patient who had exhausted all treatment options, whose white</w:t>
      </w:r>
      <w:r>
        <w:rPr>
          <w:spacing w:val="-68"/>
        </w:rPr>
        <w:t> </w:t>
      </w:r>
      <w:r>
        <w:rPr/>
        <w:t>blood cell count dropped from 240,000 to 20,000 after only one month of taking lapacho tea.</w:t>
      </w:r>
      <w:r>
        <w:rPr>
          <w:position w:val="9"/>
          <w:sz w:val="25"/>
        </w:rPr>
        <w:t>461</w:t>
      </w:r>
    </w:p>
    <w:p>
      <w:pPr>
        <w:pStyle w:val="BodyText"/>
        <w:rPr>
          <w:sz w:val="20"/>
        </w:rPr>
      </w:pPr>
    </w:p>
    <w:p>
      <w:pPr>
        <w:pStyle w:val="BodyText"/>
        <w:rPr>
          <w:sz w:val="20"/>
        </w:rPr>
      </w:pPr>
    </w:p>
    <w:p>
      <w:pPr>
        <w:pStyle w:val="BodyText"/>
        <w:rPr>
          <w:sz w:val="20"/>
        </w:rPr>
      </w:pPr>
    </w:p>
    <w:p>
      <w:pPr>
        <w:pStyle w:val="BodyText"/>
        <w:spacing w:before="7"/>
        <w:rPr>
          <w:sz w:val="20"/>
        </w:rPr>
      </w:pPr>
      <w:r>
        <w:rPr/>
        <w:pict>
          <v:line style="position:absolute;mso-position-horizontal-relative:page;mso-position-vertical-relative:paragraph;z-index:5840;mso-wrap-distance-left:0;mso-wrap-distance-right:0" from="63.863998pt,13.990015pt" to="207.883998pt,13.99001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461 </w:t>
      </w:r>
      <w:r>
        <w:rPr>
          <w:sz w:val="20"/>
        </w:rPr>
        <w:t>Marcela Ocampo Méndez, ABC des Lapacho-Tees – Heilanwendungen (‘ABC of Lapacho Tea – Therapeutic Use’), 1997, p. 93</w:t>
      </w:r>
    </w:p>
    <w:p>
      <w:pPr>
        <w:spacing w:after="0"/>
        <w:jc w:val="left"/>
        <w:rPr>
          <w:sz w:val="20"/>
        </w:rPr>
        <w:sectPr>
          <w:pgSz w:w="14270" w:h="16850"/>
          <w:pgMar w:header="0" w:footer="1891" w:top="1600" w:bottom="2080" w:left="800" w:right="1280"/>
        </w:sectPr>
      </w:pPr>
    </w:p>
    <w:p>
      <w:pPr>
        <w:pStyle w:val="BodyText"/>
        <w:rPr>
          <w:sz w:val="20"/>
        </w:rPr>
      </w:pPr>
    </w:p>
    <w:p>
      <w:pPr>
        <w:pStyle w:val="BodyText"/>
        <w:rPr>
          <w:sz w:val="20"/>
        </w:rPr>
      </w:pPr>
    </w:p>
    <w:p>
      <w:pPr>
        <w:pStyle w:val="BodyText"/>
        <w:rPr>
          <w:sz w:val="20"/>
        </w:rPr>
      </w:pPr>
    </w:p>
    <w:p>
      <w:pPr>
        <w:pStyle w:val="Heading1"/>
        <w:spacing w:before="221"/>
      </w:pPr>
      <w:r>
        <w:rPr/>
        <w:t>Effect on lupus</w:t>
      </w:r>
    </w:p>
    <w:p>
      <w:pPr>
        <w:pStyle w:val="BodyText"/>
        <w:spacing w:before="299"/>
        <w:ind w:left="477"/>
      </w:pPr>
      <w:r>
        <w:rPr/>
        <w:t>Lapacho tea can have a positive effect lupus, both externally and internally.</w:t>
      </w:r>
    </w:p>
    <w:p>
      <w:pPr>
        <w:pStyle w:val="Heading1"/>
        <w:spacing w:before="288"/>
      </w:pPr>
      <w:r>
        <w:rPr/>
        <w:t>Effect against malaria</w:t>
      </w:r>
    </w:p>
    <w:p>
      <w:pPr>
        <w:pStyle w:val="BodyText"/>
        <w:spacing w:line="276" w:lineRule="auto" w:before="299"/>
        <w:ind w:left="477"/>
      </w:pPr>
      <w:r>
        <w:rPr/>
        <w:t>Lapacho tea has been traditionally used for centuries against malaria by the tribes of Callawaya and Indians with great success.</w:t>
      </w:r>
    </w:p>
    <w:p>
      <w:pPr>
        <w:pStyle w:val="Heading1"/>
        <w:spacing w:before="222"/>
      </w:pPr>
      <w:r>
        <w:rPr/>
        <w:t>Effect on migraines</w:t>
      </w:r>
    </w:p>
    <w:p>
      <w:pPr>
        <w:pStyle w:val="BodyText"/>
        <w:spacing w:line="276" w:lineRule="auto" w:before="299"/>
        <w:ind w:left="477" w:right="133"/>
        <w:jc w:val="both"/>
      </w:pPr>
      <w:r>
        <w:rPr/>
        <w:t>Tension</w:t>
      </w:r>
      <w:r>
        <w:rPr>
          <w:spacing w:val="-11"/>
        </w:rPr>
        <w:t> </w:t>
      </w:r>
      <w:r>
        <w:rPr/>
        <w:t>is</w:t>
      </w:r>
      <w:r>
        <w:rPr>
          <w:spacing w:val="-14"/>
        </w:rPr>
        <w:t> </w:t>
      </w:r>
      <w:r>
        <w:rPr/>
        <w:t>one</w:t>
      </w:r>
      <w:r>
        <w:rPr>
          <w:spacing w:val="-14"/>
        </w:rPr>
        <w:t> </w:t>
      </w:r>
      <w:r>
        <w:rPr/>
        <w:t>of</w:t>
      </w:r>
      <w:r>
        <w:rPr>
          <w:spacing w:val="-11"/>
        </w:rPr>
        <w:t> </w:t>
      </w:r>
      <w:r>
        <w:rPr/>
        <w:t>the</w:t>
      </w:r>
      <w:r>
        <w:rPr>
          <w:spacing w:val="-11"/>
        </w:rPr>
        <w:t> </w:t>
      </w:r>
      <w:r>
        <w:rPr/>
        <w:t>causes</w:t>
      </w:r>
      <w:r>
        <w:rPr>
          <w:spacing w:val="-13"/>
        </w:rPr>
        <w:t> </w:t>
      </w:r>
      <w:r>
        <w:rPr/>
        <w:t>of</w:t>
      </w:r>
      <w:r>
        <w:rPr>
          <w:spacing w:val="-14"/>
        </w:rPr>
        <w:t> </w:t>
      </w:r>
      <w:r>
        <w:rPr/>
        <w:t>migraine</w:t>
      </w:r>
      <w:r>
        <w:rPr>
          <w:spacing w:val="-11"/>
        </w:rPr>
        <w:t> </w:t>
      </w:r>
      <w:r>
        <w:rPr/>
        <w:t>attacks.</w:t>
      </w:r>
      <w:r>
        <w:rPr>
          <w:spacing w:val="-10"/>
        </w:rPr>
        <w:t> </w:t>
      </w:r>
      <w:r>
        <w:rPr/>
        <w:t>Lapacho</w:t>
      </w:r>
      <w:r>
        <w:rPr>
          <w:spacing w:val="-11"/>
        </w:rPr>
        <w:t> </w:t>
      </w:r>
      <w:r>
        <w:rPr/>
        <w:t>tea</w:t>
      </w:r>
      <w:r>
        <w:rPr>
          <w:spacing w:val="-12"/>
        </w:rPr>
        <w:t> </w:t>
      </w:r>
      <w:r>
        <w:rPr/>
        <w:t>has</w:t>
      </w:r>
      <w:r>
        <w:rPr>
          <w:spacing w:val="-12"/>
        </w:rPr>
        <w:t> </w:t>
      </w:r>
      <w:r>
        <w:rPr/>
        <w:t>several</w:t>
      </w:r>
      <w:r>
        <w:rPr>
          <w:spacing w:val="-13"/>
        </w:rPr>
        <w:t> </w:t>
      </w:r>
      <w:r>
        <w:rPr/>
        <w:t>mech- anisms</w:t>
      </w:r>
      <w:r>
        <w:rPr>
          <w:spacing w:val="-11"/>
        </w:rPr>
        <w:t> </w:t>
      </w:r>
      <w:r>
        <w:rPr/>
        <w:t>that</w:t>
      </w:r>
      <w:r>
        <w:rPr>
          <w:spacing w:val="-12"/>
        </w:rPr>
        <w:t> </w:t>
      </w:r>
      <w:r>
        <w:rPr/>
        <w:t>relieve</w:t>
      </w:r>
      <w:r>
        <w:rPr>
          <w:spacing w:val="-13"/>
        </w:rPr>
        <w:t> </w:t>
      </w:r>
      <w:r>
        <w:rPr/>
        <w:t>tension,</w:t>
      </w:r>
      <w:r>
        <w:rPr>
          <w:spacing w:val="-10"/>
        </w:rPr>
        <w:t> </w:t>
      </w:r>
      <w:r>
        <w:rPr/>
        <w:t>quell</w:t>
      </w:r>
      <w:r>
        <w:rPr>
          <w:spacing w:val="-12"/>
        </w:rPr>
        <w:t> </w:t>
      </w:r>
      <w:r>
        <w:rPr/>
        <w:t>pain,</w:t>
      </w:r>
      <w:r>
        <w:rPr>
          <w:spacing w:val="-11"/>
        </w:rPr>
        <w:t> </w:t>
      </w:r>
      <w:r>
        <w:rPr/>
        <w:t>and</w:t>
      </w:r>
      <w:r>
        <w:rPr>
          <w:spacing w:val="-10"/>
        </w:rPr>
        <w:t> </w:t>
      </w:r>
      <w:r>
        <w:rPr/>
        <w:t>detoxify</w:t>
      </w:r>
      <w:r>
        <w:rPr>
          <w:spacing w:val="-12"/>
        </w:rPr>
        <w:t> </w:t>
      </w:r>
      <w:r>
        <w:rPr/>
        <w:t>the</w:t>
      </w:r>
      <w:r>
        <w:rPr>
          <w:spacing w:val="-11"/>
        </w:rPr>
        <w:t> </w:t>
      </w:r>
      <w:r>
        <w:rPr/>
        <w:t>body.</w:t>
      </w:r>
      <w:r>
        <w:rPr>
          <w:spacing w:val="-12"/>
        </w:rPr>
        <w:t> </w:t>
      </w:r>
      <w:r>
        <w:rPr/>
        <w:t>All</w:t>
      </w:r>
      <w:r>
        <w:rPr>
          <w:spacing w:val="-13"/>
        </w:rPr>
        <w:t> </w:t>
      </w:r>
      <w:r>
        <w:rPr/>
        <w:t>this</w:t>
      </w:r>
      <w:r>
        <w:rPr>
          <w:spacing w:val="-11"/>
        </w:rPr>
        <w:t> </w:t>
      </w:r>
      <w:r>
        <w:rPr/>
        <w:t>has</w:t>
      </w:r>
      <w:r>
        <w:rPr>
          <w:spacing w:val="-10"/>
        </w:rPr>
        <w:t> </w:t>
      </w:r>
      <w:r>
        <w:rPr/>
        <w:t>a</w:t>
      </w:r>
      <w:r>
        <w:rPr>
          <w:spacing w:val="-13"/>
        </w:rPr>
        <w:t> </w:t>
      </w:r>
      <w:r>
        <w:rPr/>
        <w:t>pos- itive effect on</w:t>
      </w:r>
      <w:r>
        <w:rPr>
          <w:spacing w:val="1"/>
        </w:rPr>
        <w:t> </w:t>
      </w:r>
      <w:r>
        <w:rPr/>
        <w:t>migraine.</w:t>
      </w:r>
    </w:p>
    <w:p>
      <w:pPr>
        <w:pStyle w:val="Heading1"/>
      </w:pPr>
      <w:r>
        <w:rPr/>
        <w:t>Effect on spleen infection</w:t>
      </w:r>
    </w:p>
    <w:p>
      <w:pPr>
        <w:pStyle w:val="BodyText"/>
        <w:spacing w:line="276" w:lineRule="auto" w:before="297"/>
        <w:ind w:left="477"/>
      </w:pPr>
      <w:r>
        <w:rPr/>
        <w:t>The anti-inflammatory and analgesic effect has also been used successfully against spleen infections, both externally and internally.</w:t>
      </w:r>
    </w:p>
    <w:p>
      <w:pPr>
        <w:pStyle w:val="Heading1"/>
        <w:spacing w:before="223"/>
      </w:pPr>
      <w:r>
        <w:rPr/>
        <w:t>Effect on multiple sclerosis</w:t>
      </w:r>
    </w:p>
    <w:p>
      <w:pPr>
        <w:pStyle w:val="BodyText"/>
        <w:spacing w:line="276" w:lineRule="auto" w:before="300"/>
        <w:ind w:left="477"/>
      </w:pPr>
      <w:r>
        <w:rPr/>
        <w:t>Multiple</w:t>
      </w:r>
      <w:r>
        <w:rPr>
          <w:spacing w:val="-13"/>
        </w:rPr>
        <w:t> </w:t>
      </w:r>
      <w:r>
        <w:rPr/>
        <w:t>sclerosis</w:t>
      </w:r>
      <w:r>
        <w:rPr>
          <w:spacing w:val="-11"/>
        </w:rPr>
        <w:t> </w:t>
      </w:r>
      <w:r>
        <w:rPr/>
        <w:t>(MS)</w:t>
      </w:r>
      <w:r>
        <w:rPr>
          <w:spacing w:val="-15"/>
        </w:rPr>
        <w:t> </w:t>
      </w:r>
      <w:r>
        <w:rPr/>
        <w:t>is</w:t>
      </w:r>
      <w:r>
        <w:rPr>
          <w:spacing w:val="-16"/>
        </w:rPr>
        <w:t> </w:t>
      </w:r>
      <w:r>
        <w:rPr/>
        <w:t>positively</w:t>
      </w:r>
      <w:r>
        <w:rPr>
          <w:spacing w:val="-14"/>
        </w:rPr>
        <w:t> </w:t>
      </w:r>
      <w:r>
        <w:rPr/>
        <w:t>affected</w:t>
      </w:r>
      <w:r>
        <w:rPr>
          <w:spacing w:val="-13"/>
        </w:rPr>
        <w:t> </w:t>
      </w:r>
      <w:r>
        <w:rPr/>
        <w:t>by</w:t>
      </w:r>
      <w:r>
        <w:rPr>
          <w:spacing w:val="-15"/>
        </w:rPr>
        <w:t> </w:t>
      </w:r>
      <w:r>
        <w:rPr/>
        <w:t>the</w:t>
      </w:r>
      <w:r>
        <w:rPr>
          <w:spacing w:val="-12"/>
        </w:rPr>
        <w:t> </w:t>
      </w:r>
      <w:r>
        <w:rPr/>
        <w:t>metabolism-stabilising,</w:t>
      </w:r>
      <w:r>
        <w:rPr>
          <w:spacing w:val="-13"/>
        </w:rPr>
        <w:t> </w:t>
      </w:r>
      <w:r>
        <w:rPr/>
        <w:t>anti- inflammatory effects of</w:t>
      </w:r>
      <w:r>
        <w:rPr>
          <w:spacing w:val="2"/>
        </w:rPr>
        <w:t> </w:t>
      </w:r>
      <w:r>
        <w:rPr/>
        <w:t>lapacho.</w:t>
      </w:r>
    </w:p>
    <w:p>
      <w:pPr>
        <w:pStyle w:val="Heading1"/>
      </w:pPr>
      <w:r>
        <w:rPr/>
        <w:t>Effect on sinusitis</w:t>
      </w:r>
    </w:p>
    <w:p>
      <w:pPr>
        <w:pStyle w:val="BodyText"/>
        <w:spacing w:before="179"/>
        <w:ind w:left="477"/>
      </w:pPr>
      <w:r>
        <w:rPr/>
        <w:t>Lapacho has been a proven remedy for sinusitis since time immemorial, both</w:t>
      </w:r>
    </w:p>
    <w:p>
      <w:pPr>
        <w:spacing w:after="0"/>
        <w:sectPr>
          <w:footerReference w:type="default" r:id="rId204"/>
          <w:pgSz w:w="14270" w:h="16850"/>
          <w:pgMar w:footer="1891" w:header="0" w:top="1600" w:bottom="2080" w:left="800" w:right="1280"/>
          <w:pgNumType w:start="840"/>
        </w:sectPr>
      </w:pPr>
    </w:p>
    <w:p>
      <w:pPr>
        <w:pStyle w:val="BodyText"/>
        <w:spacing w:line="276" w:lineRule="auto" w:before="181"/>
        <w:ind w:left="477" w:right="133"/>
        <w:jc w:val="both"/>
      </w:pPr>
      <w:r>
        <w:rPr/>
        <w:t>as an inhalant and as a tea, and has been traditionally used by the South Amer- ican</w:t>
      </w:r>
      <w:r>
        <w:rPr>
          <w:spacing w:val="-16"/>
        </w:rPr>
        <w:t> </w:t>
      </w:r>
      <w:r>
        <w:rPr/>
        <w:t>Indian</w:t>
      </w:r>
      <w:r>
        <w:rPr>
          <w:spacing w:val="-15"/>
        </w:rPr>
        <w:t> </w:t>
      </w:r>
      <w:r>
        <w:rPr/>
        <w:t>tribes.</w:t>
      </w:r>
      <w:r>
        <w:rPr>
          <w:spacing w:val="-14"/>
        </w:rPr>
        <w:t> </w:t>
      </w:r>
      <w:r>
        <w:rPr/>
        <w:t>Here,</w:t>
      </w:r>
      <w:r>
        <w:rPr>
          <w:spacing w:val="-16"/>
        </w:rPr>
        <w:t> </w:t>
      </w:r>
      <w:r>
        <w:rPr/>
        <w:t>lapacho’s</w:t>
      </w:r>
      <w:r>
        <w:rPr>
          <w:spacing w:val="-16"/>
        </w:rPr>
        <w:t> </w:t>
      </w:r>
      <w:r>
        <w:rPr/>
        <w:t>anti-inflammatory,</w:t>
      </w:r>
      <w:r>
        <w:rPr>
          <w:spacing w:val="-14"/>
        </w:rPr>
        <w:t> </w:t>
      </w:r>
      <w:r>
        <w:rPr/>
        <w:t>antiviral</w:t>
      </w:r>
      <w:r>
        <w:rPr>
          <w:spacing w:val="-16"/>
        </w:rPr>
        <w:t> </w:t>
      </w:r>
      <w:r>
        <w:rPr/>
        <w:t>and</w:t>
      </w:r>
      <w:r>
        <w:rPr>
          <w:spacing w:val="-15"/>
        </w:rPr>
        <w:t> </w:t>
      </w:r>
      <w:r>
        <w:rPr/>
        <w:t>immune</w:t>
      </w:r>
      <w:r>
        <w:rPr>
          <w:spacing w:val="-15"/>
        </w:rPr>
        <w:t> </w:t>
      </w:r>
      <w:r>
        <w:rPr/>
        <w:t>sys- tem-building effect has an impressive</w:t>
      </w:r>
      <w:r>
        <w:rPr>
          <w:spacing w:val="1"/>
        </w:rPr>
        <w:t> </w:t>
      </w:r>
      <w:r>
        <w:rPr/>
        <w:t>impact.</w:t>
      </w:r>
    </w:p>
    <w:p>
      <w:pPr>
        <w:pStyle w:val="Heading1"/>
      </w:pPr>
      <w:r>
        <w:rPr/>
        <w:t>Effect on eczema</w:t>
      </w:r>
    </w:p>
    <w:p>
      <w:pPr>
        <w:pStyle w:val="BodyText"/>
        <w:spacing w:line="276" w:lineRule="auto" w:before="300"/>
        <w:ind w:left="477" w:right="134"/>
        <w:jc w:val="both"/>
      </w:pPr>
      <w:r>
        <w:rPr/>
        <w:t>When it comes to allergic skin irritations, such as eczema, it is fundamentally important</w:t>
      </w:r>
      <w:r>
        <w:rPr>
          <w:spacing w:val="-7"/>
        </w:rPr>
        <w:t> </w:t>
      </w:r>
      <w:r>
        <w:rPr/>
        <w:t>to</w:t>
      </w:r>
      <w:r>
        <w:rPr>
          <w:spacing w:val="-9"/>
        </w:rPr>
        <w:t> </w:t>
      </w:r>
      <w:r>
        <w:rPr/>
        <w:t>strengthen</w:t>
      </w:r>
      <w:r>
        <w:rPr>
          <w:spacing w:val="-6"/>
        </w:rPr>
        <w:t> </w:t>
      </w:r>
      <w:r>
        <w:rPr/>
        <w:t>the</w:t>
      </w:r>
      <w:r>
        <w:rPr>
          <w:spacing w:val="-8"/>
        </w:rPr>
        <w:t> </w:t>
      </w:r>
      <w:r>
        <w:rPr/>
        <w:t>immune</w:t>
      </w:r>
      <w:r>
        <w:rPr>
          <w:spacing w:val="-7"/>
        </w:rPr>
        <w:t> </w:t>
      </w:r>
      <w:r>
        <w:rPr/>
        <w:t>system</w:t>
      </w:r>
      <w:r>
        <w:rPr>
          <w:spacing w:val="-6"/>
        </w:rPr>
        <w:t> </w:t>
      </w:r>
      <w:r>
        <w:rPr/>
        <w:t>and</w:t>
      </w:r>
      <w:r>
        <w:rPr>
          <w:spacing w:val="-7"/>
        </w:rPr>
        <w:t> </w:t>
      </w:r>
      <w:r>
        <w:rPr/>
        <w:t>to</w:t>
      </w:r>
      <w:r>
        <w:rPr>
          <w:spacing w:val="-6"/>
        </w:rPr>
        <w:t> </w:t>
      </w:r>
      <w:r>
        <w:rPr/>
        <w:t>detoxify</w:t>
      </w:r>
      <w:r>
        <w:rPr>
          <w:spacing w:val="-7"/>
        </w:rPr>
        <w:t> </w:t>
      </w:r>
      <w:r>
        <w:rPr/>
        <w:t>the</w:t>
      </w:r>
      <w:r>
        <w:rPr>
          <w:spacing w:val="-8"/>
        </w:rPr>
        <w:t> </w:t>
      </w:r>
      <w:r>
        <w:rPr/>
        <w:t>body.</w:t>
      </w:r>
      <w:r>
        <w:rPr>
          <w:spacing w:val="-8"/>
        </w:rPr>
        <w:t> </w:t>
      </w:r>
      <w:r>
        <w:rPr/>
        <w:t>Lapacho tea is able to fulfil these tasks very well; in addition, it has anti-inflammatory effects and can be a real help against</w:t>
      </w:r>
      <w:r>
        <w:rPr>
          <w:spacing w:val="2"/>
        </w:rPr>
        <w:t> </w:t>
      </w:r>
      <w:r>
        <w:rPr/>
        <w:t>eczema.</w:t>
      </w:r>
    </w:p>
    <w:p>
      <w:pPr>
        <w:pStyle w:val="Heading1"/>
        <w:spacing w:before="222"/>
      </w:pPr>
      <w:r>
        <w:rPr/>
        <w:t>Effect on oedemas</w:t>
      </w:r>
    </w:p>
    <w:p>
      <w:pPr>
        <w:pStyle w:val="BodyText"/>
        <w:spacing w:line="276" w:lineRule="auto" w:before="299"/>
        <w:ind w:left="477" w:right="141"/>
        <w:jc w:val="both"/>
      </w:pPr>
      <w:r>
        <w:rPr/>
        <w:t>There are also numerous reports of oedemas in patients who, even in the most severe cases, have fared better after a few weeks, as documented by the Sao Paulo Clinic in Brazil.</w:t>
      </w:r>
    </w:p>
    <w:p>
      <w:pPr>
        <w:pStyle w:val="Heading1"/>
        <w:spacing w:before="222"/>
      </w:pPr>
      <w:r>
        <w:rPr/>
        <w:t>Effect on fungal diseases (including vaginal fungus)</w:t>
      </w:r>
    </w:p>
    <w:p>
      <w:pPr>
        <w:pStyle w:val="BodyText"/>
        <w:spacing w:line="276" w:lineRule="auto" w:before="299"/>
        <w:ind w:left="477" w:right="134"/>
        <w:jc w:val="both"/>
      </w:pPr>
      <w:r>
        <w:rPr/>
        <w:t>Lapacho tea proves to be an excellent remedy against fungal diseases when ap- plied both internally and externally. This is due to its pronounced antifungal (fungicidal) effect and the strengthening of the immune system.</w:t>
      </w:r>
    </w:p>
    <w:p>
      <w:pPr>
        <w:pStyle w:val="Heading1"/>
      </w:pPr>
      <w:r>
        <w:rPr/>
        <w:t>Effect on prostatitis</w:t>
      </w:r>
    </w:p>
    <w:p>
      <w:pPr>
        <w:pStyle w:val="BodyText"/>
        <w:spacing w:line="276" w:lineRule="auto" w:before="300"/>
        <w:ind w:left="477" w:right="137"/>
        <w:jc w:val="both"/>
      </w:pPr>
      <w:r>
        <w:rPr/>
        <w:t>Lapacho's anti-inflammatory, detoxifying and diuretic properties are extremely helpful against prostatitis.</w:t>
      </w:r>
    </w:p>
    <w:p>
      <w:pPr>
        <w:spacing w:after="0" w:line="276" w:lineRule="auto"/>
        <w:jc w:val="both"/>
        <w:sectPr>
          <w:pgSz w:w="14270" w:h="16850"/>
          <w:pgMar w:header="0" w:footer="1891" w:top="1600" w:bottom="2080" w:left="800" w:right="1280"/>
        </w:sectPr>
      </w:pPr>
    </w:p>
    <w:p>
      <w:pPr>
        <w:pStyle w:val="Heading1"/>
        <w:spacing w:before="164"/>
      </w:pPr>
      <w:r>
        <w:rPr/>
        <w:t>Effect on polyps</w:t>
      </w:r>
    </w:p>
    <w:p>
      <w:pPr>
        <w:pStyle w:val="BodyText"/>
        <w:spacing w:before="299"/>
        <w:ind w:left="477"/>
      </w:pPr>
      <w:r>
        <w:rPr/>
        <w:t>Lapacho tea has even proven to be very effective against polyps.</w:t>
      </w:r>
    </w:p>
    <w:p>
      <w:pPr>
        <w:pStyle w:val="Heading1"/>
        <w:spacing w:before="288"/>
      </w:pPr>
      <w:r>
        <w:rPr/>
        <w:t>Effect on rheumatism</w:t>
      </w:r>
    </w:p>
    <w:p>
      <w:pPr>
        <w:pStyle w:val="BodyText"/>
        <w:spacing w:line="276" w:lineRule="auto" w:before="299"/>
        <w:ind w:left="477" w:right="138"/>
        <w:jc w:val="both"/>
      </w:pPr>
      <w:r>
        <w:rPr/>
        <w:t>The anti-inflammatory, immunoregulatory and intestinal action of lapacho tea supports</w:t>
      </w:r>
      <w:r>
        <w:rPr>
          <w:spacing w:val="-16"/>
        </w:rPr>
        <w:t> </w:t>
      </w:r>
      <w:r>
        <w:rPr/>
        <w:t>any</w:t>
      </w:r>
      <w:r>
        <w:rPr>
          <w:spacing w:val="-17"/>
        </w:rPr>
        <w:t> </w:t>
      </w:r>
      <w:r>
        <w:rPr/>
        <w:t>rheumatism</w:t>
      </w:r>
      <w:r>
        <w:rPr>
          <w:spacing w:val="-15"/>
        </w:rPr>
        <w:t> </w:t>
      </w:r>
      <w:r>
        <w:rPr/>
        <w:t>therapy</w:t>
      </w:r>
      <w:r>
        <w:rPr>
          <w:spacing w:val="-15"/>
        </w:rPr>
        <w:t> </w:t>
      </w:r>
      <w:r>
        <w:rPr/>
        <w:t>and</w:t>
      </w:r>
      <w:r>
        <w:rPr>
          <w:spacing w:val="-15"/>
        </w:rPr>
        <w:t> </w:t>
      </w:r>
      <w:r>
        <w:rPr/>
        <w:t>has</w:t>
      </w:r>
      <w:r>
        <w:rPr>
          <w:spacing w:val="-17"/>
        </w:rPr>
        <w:t> </w:t>
      </w:r>
      <w:r>
        <w:rPr/>
        <w:t>been</w:t>
      </w:r>
      <w:r>
        <w:rPr>
          <w:spacing w:val="-16"/>
        </w:rPr>
        <w:t> </w:t>
      </w:r>
      <w:r>
        <w:rPr/>
        <w:t>used</w:t>
      </w:r>
      <w:r>
        <w:rPr>
          <w:spacing w:val="-15"/>
        </w:rPr>
        <w:t> </w:t>
      </w:r>
      <w:r>
        <w:rPr/>
        <w:t>for</w:t>
      </w:r>
      <w:r>
        <w:rPr>
          <w:spacing w:val="-16"/>
        </w:rPr>
        <w:t> </w:t>
      </w:r>
      <w:r>
        <w:rPr/>
        <w:t>rheumatism</w:t>
      </w:r>
      <w:r>
        <w:rPr>
          <w:spacing w:val="-15"/>
        </w:rPr>
        <w:t> </w:t>
      </w:r>
      <w:r>
        <w:rPr/>
        <w:t>by</w:t>
      </w:r>
      <w:r>
        <w:rPr>
          <w:spacing w:val="-15"/>
        </w:rPr>
        <w:t> </w:t>
      </w:r>
      <w:r>
        <w:rPr/>
        <w:t>Indians since ancient times.</w:t>
      </w:r>
    </w:p>
    <w:p>
      <w:pPr>
        <w:pStyle w:val="Heading1"/>
        <w:spacing w:before="222"/>
      </w:pPr>
      <w:r>
        <w:rPr/>
        <w:t>Effect on pain of all kinds</w:t>
      </w:r>
    </w:p>
    <w:p>
      <w:pPr>
        <w:pStyle w:val="BodyText"/>
        <w:spacing w:line="276" w:lineRule="auto" w:before="299"/>
        <w:ind w:left="477" w:right="136"/>
        <w:jc w:val="both"/>
      </w:pPr>
      <w:r>
        <w:rPr/>
        <w:t>The active ingredients contained in lapacho have been proven to relieve pain (even</w:t>
      </w:r>
      <w:r>
        <w:rPr>
          <w:spacing w:val="-19"/>
        </w:rPr>
        <w:t> </w:t>
      </w:r>
      <w:r>
        <w:rPr/>
        <w:t>the</w:t>
      </w:r>
      <w:r>
        <w:rPr>
          <w:spacing w:val="-18"/>
        </w:rPr>
        <w:t> </w:t>
      </w:r>
      <w:r>
        <w:rPr/>
        <w:t>severe</w:t>
      </w:r>
      <w:r>
        <w:rPr>
          <w:spacing w:val="-21"/>
        </w:rPr>
        <w:t> </w:t>
      </w:r>
      <w:r>
        <w:rPr/>
        <w:t>pain</w:t>
      </w:r>
      <w:r>
        <w:rPr>
          <w:spacing w:val="-19"/>
        </w:rPr>
        <w:t> </w:t>
      </w:r>
      <w:r>
        <w:rPr/>
        <w:t>of</w:t>
      </w:r>
      <w:r>
        <w:rPr>
          <w:spacing w:val="-19"/>
        </w:rPr>
        <w:t> </w:t>
      </w:r>
      <w:r>
        <w:rPr/>
        <w:t>cancer!).</w:t>
      </w:r>
      <w:r>
        <w:rPr>
          <w:spacing w:val="-22"/>
        </w:rPr>
        <w:t> </w:t>
      </w:r>
      <w:r>
        <w:rPr/>
        <w:t>Here,</w:t>
      </w:r>
      <w:r>
        <w:rPr>
          <w:spacing w:val="-18"/>
        </w:rPr>
        <w:t> </w:t>
      </w:r>
      <w:r>
        <w:rPr/>
        <w:t>the</w:t>
      </w:r>
      <w:r>
        <w:rPr>
          <w:spacing w:val="-18"/>
        </w:rPr>
        <w:t> </w:t>
      </w:r>
      <w:r>
        <w:rPr/>
        <w:t>inner</w:t>
      </w:r>
      <w:r>
        <w:rPr>
          <w:spacing w:val="-20"/>
        </w:rPr>
        <w:t> </w:t>
      </w:r>
      <w:r>
        <w:rPr/>
        <w:t>and</w:t>
      </w:r>
      <w:r>
        <w:rPr>
          <w:spacing w:val="-19"/>
        </w:rPr>
        <w:t> </w:t>
      </w:r>
      <w:r>
        <w:rPr/>
        <w:t>the</w:t>
      </w:r>
      <w:r>
        <w:rPr>
          <w:spacing w:val="-18"/>
        </w:rPr>
        <w:t> </w:t>
      </w:r>
      <w:r>
        <w:rPr/>
        <w:t>outer</w:t>
      </w:r>
      <w:r>
        <w:rPr>
          <w:spacing w:val="-19"/>
        </w:rPr>
        <w:t> </w:t>
      </w:r>
      <w:r>
        <w:rPr/>
        <w:t>application</w:t>
      </w:r>
      <w:r>
        <w:rPr>
          <w:spacing w:val="-18"/>
        </w:rPr>
        <w:t> </w:t>
      </w:r>
      <w:r>
        <w:rPr/>
        <w:t>com- plement each other perfectly (see ‘Lapacho</w:t>
      </w:r>
      <w:r>
        <w:rPr>
          <w:spacing w:val="4"/>
        </w:rPr>
        <w:t> </w:t>
      </w:r>
      <w:r>
        <w:rPr/>
        <w:t>applications’).</w:t>
      </w:r>
    </w:p>
    <w:p>
      <w:pPr>
        <w:pStyle w:val="Heading1"/>
      </w:pPr>
      <w:r>
        <w:rPr/>
        <w:t>Effect on psoriasis</w:t>
      </w:r>
    </w:p>
    <w:p>
      <w:pPr>
        <w:pStyle w:val="BodyText"/>
        <w:spacing w:line="276" w:lineRule="auto" w:before="297"/>
        <w:ind w:left="477" w:right="132"/>
        <w:jc w:val="both"/>
      </w:pPr>
      <w:r>
        <w:rPr/>
        <w:t>The antimycotic, skin-astringent, metabolic and immune system-regulating ef- fect of lapacho tea means that it can be used very successfully against</w:t>
      </w:r>
      <w:r>
        <w:rPr>
          <w:spacing w:val="-39"/>
        </w:rPr>
        <w:t> </w:t>
      </w:r>
      <w:r>
        <w:rPr/>
        <w:t>psoriasis, both externally and</w:t>
      </w:r>
      <w:r>
        <w:rPr>
          <w:spacing w:val="2"/>
        </w:rPr>
        <w:t> </w:t>
      </w:r>
      <w:r>
        <w:rPr/>
        <w:t>internally.</w:t>
      </w:r>
    </w:p>
    <w:p>
      <w:pPr>
        <w:pStyle w:val="Heading1"/>
      </w:pPr>
      <w:r>
        <w:rPr/>
        <w:t>Effect on the psyche</w:t>
      </w:r>
    </w:p>
    <w:p>
      <w:pPr>
        <w:pStyle w:val="BodyText"/>
        <w:spacing w:before="299"/>
        <w:ind w:left="477"/>
      </w:pPr>
      <w:r>
        <w:rPr/>
        <w:t>According</w:t>
      </w:r>
      <w:r>
        <w:rPr>
          <w:spacing w:val="-18"/>
        </w:rPr>
        <w:t> </w:t>
      </w:r>
      <w:r>
        <w:rPr/>
        <w:t>to</w:t>
      </w:r>
      <w:r>
        <w:rPr>
          <w:spacing w:val="-17"/>
        </w:rPr>
        <w:t> </w:t>
      </w:r>
      <w:r>
        <w:rPr/>
        <w:t>the</w:t>
      </w:r>
      <w:r>
        <w:rPr>
          <w:spacing w:val="-17"/>
        </w:rPr>
        <w:t> </w:t>
      </w:r>
      <w:r>
        <w:rPr/>
        <w:t>authors</w:t>
      </w:r>
      <w:r>
        <w:rPr>
          <w:spacing w:val="-17"/>
        </w:rPr>
        <w:t> </w:t>
      </w:r>
      <w:r>
        <w:rPr/>
        <w:t>of</w:t>
      </w:r>
      <w:r>
        <w:rPr>
          <w:spacing w:val="-17"/>
        </w:rPr>
        <w:t> </w:t>
      </w:r>
      <w:r>
        <w:rPr/>
        <w:t>the</w:t>
      </w:r>
      <w:r>
        <w:rPr>
          <w:spacing w:val="-19"/>
        </w:rPr>
        <w:t> </w:t>
      </w:r>
      <w:r>
        <w:rPr/>
        <w:t>book</w:t>
      </w:r>
      <w:r>
        <w:rPr>
          <w:spacing w:val="-14"/>
        </w:rPr>
        <w:t> </w:t>
      </w:r>
      <w:r>
        <w:rPr/>
        <w:t>‘Naturally</w:t>
      </w:r>
      <w:r>
        <w:rPr>
          <w:spacing w:val="-16"/>
        </w:rPr>
        <w:t> </w:t>
      </w:r>
      <w:r>
        <w:rPr/>
        <w:t>Healthy</w:t>
      </w:r>
      <w:r>
        <w:rPr>
          <w:spacing w:val="-19"/>
        </w:rPr>
        <w:t> </w:t>
      </w:r>
      <w:r>
        <w:rPr/>
        <w:t>with</w:t>
      </w:r>
      <w:r>
        <w:rPr>
          <w:spacing w:val="-12"/>
        </w:rPr>
        <w:t> </w:t>
      </w:r>
      <w:r>
        <w:rPr/>
        <w:t>Lapacho’,</w:t>
      </w:r>
      <w:r>
        <w:rPr>
          <w:spacing w:val="-17"/>
        </w:rPr>
        <w:t> </w:t>
      </w:r>
      <w:r>
        <w:rPr/>
        <w:t>Ronald</w:t>
      </w:r>
    </w:p>
    <w:p>
      <w:pPr>
        <w:pStyle w:val="BodyText"/>
        <w:spacing w:line="276" w:lineRule="auto" w:before="66"/>
        <w:ind w:left="477" w:right="137"/>
        <w:jc w:val="both"/>
      </w:pPr>
      <w:r>
        <w:rPr/>
        <w:t>P. Schweppe and Alyosha A. Schwarz, South American physicians repeatedly point</w:t>
      </w:r>
      <w:r>
        <w:rPr>
          <w:spacing w:val="-13"/>
        </w:rPr>
        <w:t> </w:t>
      </w:r>
      <w:r>
        <w:rPr/>
        <w:t>out</w:t>
      </w:r>
      <w:r>
        <w:rPr>
          <w:spacing w:val="-13"/>
        </w:rPr>
        <w:t> </w:t>
      </w:r>
      <w:r>
        <w:rPr/>
        <w:t>the</w:t>
      </w:r>
      <w:r>
        <w:rPr>
          <w:spacing w:val="-13"/>
        </w:rPr>
        <w:t> </w:t>
      </w:r>
      <w:r>
        <w:rPr/>
        <w:t>positive</w:t>
      </w:r>
      <w:r>
        <w:rPr>
          <w:spacing w:val="-14"/>
        </w:rPr>
        <w:t> </w:t>
      </w:r>
      <w:r>
        <w:rPr/>
        <w:t>psychic</w:t>
      </w:r>
      <w:r>
        <w:rPr>
          <w:spacing w:val="-12"/>
        </w:rPr>
        <w:t> </w:t>
      </w:r>
      <w:r>
        <w:rPr/>
        <w:t>effects</w:t>
      </w:r>
      <w:r>
        <w:rPr>
          <w:spacing w:val="-11"/>
        </w:rPr>
        <w:t> </w:t>
      </w:r>
      <w:r>
        <w:rPr/>
        <w:t>of</w:t>
      </w:r>
      <w:r>
        <w:rPr>
          <w:spacing w:val="-12"/>
        </w:rPr>
        <w:t> </w:t>
      </w:r>
      <w:r>
        <w:rPr/>
        <w:t>lapacho</w:t>
      </w:r>
      <w:r>
        <w:rPr>
          <w:spacing w:val="-14"/>
        </w:rPr>
        <w:t> </w:t>
      </w:r>
      <w:r>
        <w:rPr/>
        <w:t>tea.</w:t>
      </w:r>
      <w:r>
        <w:rPr>
          <w:spacing w:val="-11"/>
        </w:rPr>
        <w:t> </w:t>
      </w:r>
      <w:r>
        <w:rPr/>
        <w:t>In</w:t>
      </w:r>
      <w:r>
        <w:rPr>
          <w:spacing w:val="-14"/>
        </w:rPr>
        <w:t> </w:t>
      </w:r>
      <w:r>
        <w:rPr/>
        <w:t>South</w:t>
      </w:r>
      <w:r>
        <w:rPr>
          <w:spacing w:val="-12"/>
        </w:rPr>
        <w:t> </w:t>
      </w:r>
      <w:r>
        <w:rPr/>
        <w:t>America,</w:t>
      </w:r>
      <w:r>
        <w:rPr>
          <w:spacing w:val="-12"/>
        </w:rPr>
        <w:t> </w:t>
      </w:r>
      <w:r>
        <w:rPr/>
        <w:t>lapacho tea</w:t>
      </w:r>
      <w:r>
        <w:rPr>
          <w:spacing w:val="-24"/>
        </w:rPr>
        <w:t> </w:t>
      </w:r>
      <w:r>
        <w:rPr/>
        <w:t>is</w:t>
      </w:r>
      <w:r>
        <w:rPr>
          <w:spacing w:val="-23"/>
        </w:rPr>
        <w:t> </w:t>
      </w:r>
      <w:r>
        <w:rPr/>
        <w:t>therefore</w:t>
      </w:r>
      <w:r>
        <w:rPr>
          <w:spacing w:val="-22"/>
        </w:rPr>
        <w:t> </w:t>
      </w:r>
      <w:r>
        <w:rPr/>
        <w:t>used</w:t>
      </w:r>
      <w:r>
        <w:rPr>
          <w:spacing w:val="-23"/>
        </w:rPr>
        <w:t> </w:t>
      </w:r>
      <w:r>
        <w:rPr/>
        <w:t>successfully</w:t>
      </w:r>
      <w:r>
        <w:rPr>
          <w:spacing w:val="-22"/>
        </w:rPr>
        <w:t> </w:t>
      </w:r>
      <w:r>
        <w:rPr/>
        <w:t>against</w:t>
      </w:r>
      <w:r>
        <w:rPr>
          <w:spacing w:val="-23"/>
        </w:rPr>
        <w:t> </w:t>
      </w:r>
      <w:r>
        <w:rPr/>
        <w:t>depression,</w:t>
      </w:r>
      <w:r>
        <w:rPr>
          <w:spacing w:val="-22"/>
        </w:rPr>
        <w:t> </w:t>
      </w:r>
      <w:r>
        <w:rPr/>
        <w:t>sleep</w:t>
      </w:r>
      <w:r>
        <w:rPr>
          <w:spacing w:val="-24"/>
        </w:rPr>
        <w:t> </w:t>
      </w:r>
      <w:r>
        <w:rPr/>
        <w:t>disorders</w:t>
      </w:r>
      <w:r>
        <w:rPr>
          <w:spacing w:val="-20"/>
        </w:rPr>
        <w:t> </w:t>
      </w:r>
      <w:r>
        <w:rPr/>
        <w:t>and</w:t>
      </w:r>
      <w:r>
        <w:rPr>
          <w:spacing w:val="-22"/>
        </w:rPr>
        <w:t> </w:t>
      </w:r>
      <w:r>
        <w:rPr/>
        <w:t>anxiety.</w:t>
      </w:r>
    </w:p>
    <w:p>
      <w:pPr>
        <w:spacing w:after="0" w:line="276" w:lineRule="auto"/>
        <w:jc w:val="both"/>
        <w:sectPr>
          <w:pgSz w:w="14270" w:h="16850"/>
          <w:pgMar w:header="0" w:footer="1891" w:top="1600" w:bottom="2080" w:left="800" w:right="1280"/>
        </w:sectPr>
      </w:pPr>
    </w:p>
    <w:p>
      <w:pPr>
        <w:pStyle w:val="Heading1"/>
        <w:spacing w:before="164"/>
      </w:pPr>
      <w:r>
        <w:rPr/>
        <w:t>Effect against vaginal discharge</w:t>
      </w:r>
    </w:p>
    <w:p>
      <w:pPr>
        <w:pStyle w:val="BodyText"/>
        <w:spacing w:line="276" w:lineRule="auto" w:before="299"/>
        <w:ind w:left="477"/>
      </w:pPr>
      <w:r>
        <w:rPr/>
        <w:t>Parasites, fungi and inflammation are the most common causes of vaginal dis- charge. Lapacho has been proven to be very effective against all three.</w:t>
      </w:r>
    </w:p>
    <w:p>
      <w:pPr>
        <w:pStyle w:val="Heading1"/>
      </w:pPr>
      <w:r>
        <w:rPr/>
        <w:t>Effect on burns</w:t>
      </w:r>
    </w:p>
    <w:p>
      <w:pPr>
        <w:pStyle w:val="BodyText"/>
        <w:spacing w:line="276" w:lineRule="auto" w:before="299"/>
        <w:ind w:left="477" w:right="128"/>
        <w:jc w:val="both"/>
      </w:pPr>
      <w:r>
        <w:rPr/>
        <w:t>The tannins contained in lapacho tea, which have an analgesic and anti-inflam- matory</w:t>
      </w:r>
      <w:r>
        <w:rPr>
          <w:spacing w:val="-12"/>
        </w:rPr>
        <w:t> </w:t>
      </w:r>
      <w:r>
        <w:rPr/>
        <w:t>effect,</w:t>
      </w:r>
      <w:r>
        <w:rPr>
          <w:spacing w:val="-13"/>
        </w:rPr>
        <w:t> </w:t>
      </w:r>
      <w:r>
        <w:rPr/>
        <w:t>help</w:t>
      </w:r>
      <w:r>
        <w:rPr>
          <w:spacing w:val="-11"/>
        </w:rPr>
        <w:t> </w:t>
      </w:r>
      <w:r>
        <w:rPr/>
        <w:t>heal</w:t>
      </w:r>
      <w:r>
        <w:rPr>
          <w:spacing w:val="-13"/>
        </w:rPr>
        <w:t> </w:t>
      </w:r>
      <w:r>
        <w:rPr/>
        <w:t>burns</w:t>
      </w:r>
      <w:r>
        <w:rPr>
          <w:spacing w:val="-12"/>
        </w:rPr>
        <w:t> </w:t>
      </w:r>
      <w:r>
        <w:rPr/>
        <w:t>quickly</w:t>
      </w:r>
      <w:r>
        <w:rPr>
          <w:spacing w:val="-12"/>
        </w:rPr>
        <w:t> </w:t>
      </w:r>
      <w:r>
        <w:rPr/>
        <w:t>when</w:t>
      </w:r>
      <w:r>
        <w:rPr>
          <w:spacing w:val="-12"/>
        </w:rPr>
        <w:t> </w:t>
      </w:r>
      <w:r>
        <w:rPr/>
        <w:t>applied</w:t>
      </w:r>
      <w:r>
        <w:rPr>
          <w:spacing w:val="-13"/>
        </w:rPr>
        <w:t> </w:t>
      </w:r>
      <w:r>
        <w:rPr/>
        <w:t>externally</w:t>
      </w:r>
      <w:r>
        <w:rPr>
          <w:spacing w:val="-11"/>
        </w:rPr>
        <w:t> </w:t>
      </w:r>
      <w:r>
        <w:rPr/>
        <w:t>on</w:t>
      </w:r>
      <w:r>
        <w:rPr>
          <w:spacing w:val="-11"/>
        </w:rPr>
        <w:t> </w:t>
      </w:r>
      <w:r>
        <w:rPr/>
        <w:t>the</w:t>
      </w:r>
      <w:r>
        <w:rPr>
          <w:spacing w:val="-13"/>
        </w:rPr>
        <w:t> </w:t>
      </w:r>
      <w:r>
        <w:rPr/>
        <w:t>skin,</w:t>
      </w:r>
      <w:r>
        <w:rPr>
          <w:spacing w:val="-12"/>
        </w:rPr>
        <w:t> </w:t>
      </w:r>
      <w:r>
        <w:rPr/>
        <w:t>even severe burns (of course, you should first see the doctor in this instance!). So- called initial aggravations have been reported before the patient has gradually recovered.</w:t>
      </w:r>
    </w:p>
    <w:p>
      <w:pPr>
        <w:pStyle w:val="Heading1"/>
        <w:spacing w:before="223"/>
      </w:pPr>
      <w:r>
        <w:rPr/>
        <w:t>Effect on indigestion</w:t>
      </w:r>
    </w:p>
    <w:p>
      <w:pPr>
        <w:pStyle w:val="BodyText"/>
        <w:spacing w:line="276" w:lineRule="auto" w:before="179"/>
        <w:ind w:left="477"/>
      </w:pPr>
      <w:r>
        <w:rPr/>
        <w:t>The ingredients in lapacho tea regulate digestion and help to alleviate indiges- tion.</w:t>
      </w:r>
    </w:p>
    <w:p>
      <w:pPr>
        <w:pStyle w:val="Heading1"/>
        <w:spacing w:before="222"/>
      </w:pPr>
      <w:r>
        <w:rPr/>
        <w:t>Effect against warts</w:t>
      </w:r>
    </w:p>
    <w:p>
      <w:pPr>
        <w:pStyle w:val="BodyText"/>
        <w:spacing w:line="276" w:lineRule="auto" w:before="299"/>
        <w:ind w:left="477"/>
      </w:pPr>
      <w:r>
        <w:rPr/>
        <w:t>The antiseptic, cleansing and detoxifying effect of lapacho tea makes it perfect for the successful treatment of warts, both internally and externally.</w:t>
      </w:r>
    </w:p>
    <w:p>
      <w:pPr>
        <w:pStyle w:val="Heading1"/>
        <w:spacing w:before="223"/>
      </w:pPr>
      <w:r>
        <w:rPr/>
        <w:t>Effect on wound healing</w:t>
      </w:r>
    </w:p>
    <w:p>
      <w:pPr>
        <w:pStyle w:val="BodyText"/>
        <w:spacing w:line="276" w:lineRule="auto" w:before="300"/>
        <w:ind w:left="477"/>
      </w:pPr>
      <w:r>
        <w:rPr/>
        <w:t>For smaller wounds, lapacho tea can disinfect and promote wound healing due to its antiseptic effect.</w:t>
      </w:r>
    </w:p>
    <w:p>
      <w:pPr>
        <w:pStyle w:val="Heading1"/>
        <w:spacing w:before="221"/>
      </w:pPr>
      <w:r>
        <w:rPr/>
        <w:t>Effect on gum inflammation</w:t>
      </w:r>
    </w:p>
    <w:p>
      <w:pPr>
        <w:spacing w:after="0"/>
        <w:sectPr>
          <w:pgSz w:w="14270" w:h="16850"/>
          <w:pgMar w:header="0" w:footer="1891" w:top="1600" w:bottom="2080" w:left="800" w:right="1280"/>
        </w:sectPr>
      </w:pPr>
    </w:p>
    <w:p>
      <w:pPr>
        <w:pStyle w:val="BodyText"/>
        <w:spacing w:line="276" w:lineRule="auto" w:before="181"/>
        <w:ind w:left="477" w:right="134"/>
        <w:jc w:val="both"/>
      </w:pPr>
      <w:r>
        <w:rPr/>
        <w:t>Because of its regulating, anti-inflammatory, astringent and disinfecting effect, lapacho tea is ideal for the treatment of gum inflammation and for supporting the oral flora.</w:t>
      </w:r>
    </w:p>
    <w:p>
      <w:pPr>
        <w:pStyle w:val="BodyText"/>
        <w:rPr>
          <w:sz w:val="42"/>
        </w:rPr>
      </w:pPr>
    </w:p>
    <w:p>
      <w:pPr>
        <w:pStyle w:val="BodyText"/>
        <w:rPr>
          <w:sz w:val="42"/>
        </w:rPr>
      </w:pPr>
    </w:p>
    <w:p>
      <w:pPr>
        <w:pStyle w:val="Heading2"/>
        <w:spacing w:before="269"/>
      </w:pPr>
      <w:r>
        <w:rPr/>
        <w:t>Studies on lapacho</w:t>
      </w:r>
    </w:p>
    <w:p>
      <w:pPr>
        <w:pStyle w:val="BodyText"/>
        <w:rPr>
          <w:b/>
          <w:sz w:val="36"/>
        </w:rPr>
      </w:pPr>
    </w:p>
    <w:p>
      <w:pPr>
        <w:spacing w:before="0"/>
        <w:ind w:left="477" w:right="0" w:firstLine="0"/>
        <w:jc w:val="left"/>
        <w:rPr>
          <w:b/>
          <w:i/>
          <w:sz w:val="40"/>
        </w:rPr>
      </w:pPr>
      <w:r>
        <w:rPr>
          <w:b/>
          <w:i/>
          <w:sz w:val="40"/>
        </w:rPr>
        <w:t>Lapacho proves its antitumour effect in studies</w:t>
      </w:r>
    </w:p>
    <w:p>
      <w:pPr>
        <w:pStyle w:val="BodyText"/>
        <w:spacing w:line="276" w:lineRule="auto" w:before="299"/>
        <w:ind w:left="477" w:right="134"/>
        <w:jc w:val="both"/>
      </w:pPr>
      <w:r>
        <w:rPr/>
        <w:t>Lapacho bark extract has demonstrated antitumour activity in studies con- ducted by the National Cancer Institute in the USA (National Cancer Institute, NCI).</w:t>
      </w:r>
    </w:p>
    <w:p>
      <w:pPr>
        <w:pStyle w:val="Heading1"/>
        <w:rPr>
          <w:b w:val="0"/>
          <w:i w:val="0"/>
          <w:sz w:val="25"/>
        </w:rPr>
      </w:pPr>
      <w:r>
        <w:rPr/>
        <w:t>Antitumoural activity detected in cell</w:t>
      </w:r>
      <w:r>
        <w:rPr>
          <w:spacing w:val="-69"/>
        </w:rPr>
        <w:t> </w:t>
      </w:r>
      <w:r>
        <w:rPr/>
        <w:t>cultures.</w:t>
      </w:r>
      <w:r>
        <w:rPr>
          <w:b w:val="0"/>
          <w:i w:val="0"/>
          <w:position w:val="9"/>
          <w:sz w:val="25"/>
        </w:rPr>
        <w:t>462</w:t>
      </w:r>
    </w:p>
    <w:p>
      <w:pPr>
        <w:spacing w:before="283"/>
        <w:ind w:left="477" w:right="0" w:firstLine="0"/>
        <w:jc w:val="left"/>
        <w:rPr>
          <w:b/>
          <w:i/>
          <w:sz w:val="40"/>
        </w:rPr>
      </w:pPr>
      <w:r>
        <w:rPr>
          <w:b/>
          <w:i/>
          <w:sz w:val="40"/>
        </w:rPr>
        <w:t>Antitumoural and toxicological properties demonstrated in studies.</w:t>
      </w:r>
    </w:p>
    <w:p>
      <w:pPr>
        <w:pStyle w:val="BodyText"/>
        <w:spacing w:line="276" w:lineRule="auto" w:before="296"/>
        <w:ind w:left="477"/>
        <w:rPr>
          <w:sz w:val="25"/>
        </w:rPr>
      </w:pPr>
      <w:r>
        <w:rPr/>
        <w:t>The research team led by C.F. de Santana found in his in vivo (living object) studies a strong growth inhibition of various tumour types due to lapacho.</w:t>
      </w:r>
      <w:r>
        <w:rPr>
          <w:position w:val="9"/>
          <w:sz w:val="25"/>
        </w:rPr>
        <w:t>463</w:t>
      </w:r>
    </w:p>
    <w:p>
      <w:pPr>
        <w:pStyle w:val="Heading1"/>
      </w:pPr>
      <w:r>
        <w:rPr/>
        <w:t>Lapacho has been shown to have anti-inflammatory effects</w:t>
      </w:r>
    </w:p>
    <w:p>
      <w:pPr>
        <w:pStyle w:val="BodyText"/>
        <w:spacing w:line="276" w:lineRule="auto" w:before="299"/>
        <w:ind w:left="477"/>
      </w:pPr>
      <w:r>
        <w:rPr/>
        <w:t>In animal experiments, the anti-inflammatory effects were identified by the re- searchers S. Oga and T. Sekino.</w:t>
      </w:r>
    </w:p>
    <w:p>
      <w:pPr>
        <w:pStyle w:val="BodyText"/>
        <w:rPr>
          <w:sz w:val="20"/>
        </w:rPr>
      </w:pPr>
    </w:p>
    <w:p>
      <w:pPr>
        <w:pStyle w:val="BodyText"/>
        <w:rPr>
          <w:sz w:val="20"/>
        </w:rPr>
      </w:pPr>
    </w:p>
    <w:p>
      <w:pPr>
        <w:pStyle w:val="BodyText"/>
        <w:rPr>
          <w:sz w:val="20"/>
        </w:rPr>
      </w:pPr>
    </w:p>
    <w:p>
      <w:pPr>
        <w:pStyle w:val="BodyText"/>
        <w:spacing w:before="7"/>
        <w:rPr>
          <w:sz w:val="15"/>
        </w:rPr>
      </w:pPr>
      <w:r>
        <w:rPr/>
        <w:pict>
          <v:line style="position:absolute;mso-position-horizontal-relative:page;mso-position-vertical-relative:paragraph;z-index:5864;mso-wrap-distance-left:0;mso-wrap-distance-right:0" from="63.863998pt,11.152485pt" to="207.883998pt,11.152485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462 </w:t>
      </w:r>
      <w:r>
        <w:rPr>
          <w:sz w:val="20"/>
        </w:rPr>
        <w:t>Ueda S. et al. Production of anti-tumour-promoting furanonaphthoquinones in Tabebuia avellanedae cell culterus</w:t>
      </w:r>
    </w:p>
    <w:p>
      <w:pPr>
        <w:spacing w:before="94"/>
        <w:ind w:left="477" w:right="0" w:firstLine="0"/>
        <w:jc w:val="left"/>
        <w:rPr>
          <w:sz w:val="20"/>
        </w:rPr>
      </w:pPr>
      <w:r>
        <w:rPr>
          <w:position w:val="5"/>
          <w:sz w:val="13"/>
        </w:rPr>
        <w:t>463 </w:t>
      </w:r>
      <w:r>
        <w:rPr>
          <w:sz w:val="20"/>
        </w:rPr>
        <w:t>Santana CF de et al.: Antitumoral and toxicological properties of extracts of bark and wood components of Pau d’Arco, December 1968</w:t>
      </w:r>
    </w:p>
    <w:p>
      <w:pPr>
        <w:spacing w:after="0"/>
        <w:jc w:val="left"/>
        <w:rPr>
          <w:sz w:val="20"/>
        </w:rPr>
        <w:sectPr>
          <w:pgSz w:w="14270" w:h="16850"/>
          <w:pgMar w:header="0" w:footer="1891" w:top="1600" w:bottom="2080" w:left="800" w:right="1280"/>
        </w:sectPr>
      </w:pPr>
    </w:p>
    <w:p>
      <w:pPr>
        <w:pStyle w:val="Heading1"/>
        <w:spacing w:before="164"/>
      </w:pPr>
      <w:r>
        <w:rPr/>
        <w:t>Lapacho increases our immune system activity by 48 %</w:t>
      </w:r>
    </w:p>
    <w:p>
      <w:pPr>
        <w:pStyle w:val="BodyText"/>
        <w:spacing w:line="276" w:lineRule="auto" w:before="299"/>
        <w:ind w:left="477" w:right="130"/>
        <w:jc w:val="both"/>
        <w:rPr>
          <w:sz w:val="25"/>
        </w:rPr>
      </w:pPr>
      <w:r>
        <w:rPr/>
        <w:t>In his doctoral thesis, the researcher Bernhard Kreher analysed the effect of lapacho and came to the conclusion that the activity of the body's immune</w:t>
      </w:r>
      <w:r>
        <w:rPr>
          <w:spacing w:val="-47"/>
        </w:rPr>
        <w:t> </w:t>
      </w:r>
      <w:r>
        <w:rPr/>
        <w:t>sys- tem is increased by over 48</w:t>
      </w:r>
      <w:r>
        <w:rPr>
          <w:spacing w:val="1"/>
        </w:rPr>
        <w:t> </w:t>
      </w:r>
      <w:r>
        <w:rPr/>
        <w:t>%.</w:t>
      </w:r>
      <w:r>
        <w:rPr>
          <w:position w:val="9"/>
          <w:sz w:val="25"/>
        </w:rPr>
        <w:t>464</w:t>
      </w:r>
    </w:p>
    <w:p>
      <w:pPr>
        <w:pStyle w:val="Heading1"/>
        <w:rPr>
          <w:b w:val="0"/>
          <w:i w:val="0"/>
          <w:sz w:val="25"/>
        </w:rPr>
      </w:pPr>
      <w:r>
        <w:rPr/>
        <w:t>Antibacterial effect of lapacho</w:t>
      </w:r>
      <w:r>
        <w:rPr>
          <w:b w:val="0"/>
          <w:i w:val="0"/>
          <w:position w:val="9"/>
          <w:sz w:val="25"/>
        </w:rPr>
        <w:t>465</w:t>
      </w:r>
    </w:p>
    <w:p>
      <w:pPr>
        <w:spacing w:before="280"/>
        <w:ind w:left="477" w:right="0" w:firstLine="0"/>
        <w:jc w:val="left"/>
        <w:rPr>
          <w:b/>
          <w:i/>
          <w:sz w:val="40"/>
        </w:rPr>
      </w:pPr>
      <w:r>
        <w:rPr>
          <w:b/>
          <w:i/>
          <w:sz w:val="40"/>
        </w:rPr>
        <w:t>Lapacho extremely successful against fungal diseases in studies</w:t>
      </w:r>
    </w:p>
    <w:p>
      <w:pPr>
        <w:pStyle w:val="BodyText"/>
        <w:spacing w:line="276" w:lineRule="auto" w:before="300"/>
        <w:ind w:left="477"/>
      </w:pPr>
      <w:r>
        <w:rPr/>
        <w:t>The researcher KA Duke has revealed a strong healing effect of lapacho tea</w:t>
      </w:r>
      <w:r>
        <w:rPr>
          <w:spacing w:val="-60"/>
        </w:rPr>
        <w:t> </w:t>
      </w:r>
      <w:r>
        <w:rPr/>
        <w:t>on fungal diseases due to Candida albicans in studies.</w:t>
      </w:r>
    </w:p>
    <w:p>
      <w:pPr>
        <w:pStyle w:val="Heading1"/>
        <w:spacing w:before="343"/>
      </w:pPr>
      <w:r>
        <w:rPr/>
        <w:t>Basic tips for using lapacho tea</w:t>
      </w:r>
    </w:p>
    <w:p>
      <w:pPr>
        <w:pStyle w:val="BodyText"/>
        <w:spacing w:line="276" w:lineRule="auto" w:before="299"/>
        <w:ind w:left="477" w:right="129"/>
        <w:jc w:val="both"/>
      </w:pPr>
      <w:r>
        <w:rPr/>
        <w:t>In the subsection ‘Effect of lapacho tea’, you can read details of its mechanism of action against diseases. This chapter will now turn to the specific use of lapacho tea to combat diseases and conditions. Since lapacho tea is a natural remedy, whose typical characteristic is the causal elimination of</w:t>
      </w:r>
      <w:r>
        <w:rPr>
          <w:spacing w:val="-50"/>
        </w:rPr>
        <w:t> </w:t>
      </w:r>
      <w:r>
        <w:rPr/>
        <w:t>disease-causing factors</w:t>
      </w:r>
      <w:r>
        <w:rPr>
          <w:spacing w:val="-6"/>
        </w:rPr>
        <w:t> </w:t>
      </w:r>
      <w:r>
        <w:rPr/>
        <w:t>in</w:t>
      </w:r>
      <w:r>
        <w:rPr>
          <w:spacing w:val="-6"/>
        </w:rPr>
        <w:t> </w:t>
      </w:r>
      <w:r>
        <w:rPr/>
        <w:t>the</w:t>
      </w:r>
      <w:r>
        <w:rPr>
          <w:spacing w:val="-8"/>
        </w:rPr>
        <w:t> </w:t>
      </w:r>
      <w:r>
        <w:rPr/>
        <w:t>body</w:t>
      </w:r>
      <w:r>
        <w:rPr>
          <w:spacing w:val="-7"/>
        </w:rPr>
        <w:t> </w:t>
      </w:r>
      <w:r>
        <w:rPr/>
        <w:t>(as</w:t>
      </w:r>
      <w:r>
        <w:rPr>
          <w:spacing w:val="-6"/>
        </w:rPr>
        <w:t> </w:t>
      </w:r>
      <w:r>
        <w:rPr/>
        <w:t>opposed</w:t>
      </w:r>
      <w:r>
        <w:rPr>
          <w:spacing w:val="-7"/>
        </w:rPr>
        <w:t> </w:t>
      </w:r>
      <w:r>
        <w:rPr/>
        <w:t>to</w:t>
      </w:r>
      <w:r>
        <w:rPr>
          <w:spacing w:val="-6"/>
        </w:rPr>
        <w:t> </w:t>
      </w:r>
      <w:r>
        <w:rPr/>
        <w:t>traditional</w:t>
      </w:r>
      <w:r>
        <w:rPr>
          <w:spacing w:val="-6"/>
        </w:rPr>
        <w:t> </w:t>
      </w:r>
      <w:r>
        <w:rPr/>
        <w:t>medical</w:t>
      </w:r>
      <w:r>
        <w:rPr>
          <w:spacing w:val="-7"/>
        </w:rPr>
        <w:t> </w:t>
      </w:r>
      <w:r>
        <w:rPr/>
        <w:t>treatment,</w:t>
      </w:r>
      <w:r>
        <w:rPr>
          <w:spacing w:val="-5"/>
        </w:rPr>
        <w:t> </w:t>
      </w:r>
      <w:r>
        <w:rPr/>
        <w:t>which</w:t>
      </w:r>
      <w:r>
        <w:rPr>
          <w:spacing w:val="-5"/>
        </w:rPr>
        <w:t> </w:t>
      </w:r>
      <w:r>
        <w:rPr/>
        <w:t>in</w:t>
      </w:r>
      <w:r>
        <w:rPr>
          <w:spacing w:val="-7"/>
        </w:rPr>
        <w:t> </w:t>
      </w:r>
      <w:r>
        <w:rPr/>
        <w:t>most cases only attempts to treat symptoms), as with any other natural remedy, an appropriate amount of time must be taken into account, until the fading of the symptoms becomes noticeable or visible. Here, positive processes in the body are</w:t>
      </w:r>
      <w:r>
        <w:rPr>
          <w:spacing w:val="-9"/>
        </w:rPr>
        <w:t> </w:t>
      </w:r>
      <w:r>
        <w:rPr/>
        <w:t>stimulated</w:t>
      </w:r>
      <w:r>
        <w:rPr>
          <w:spacing w:val="-9"/>
        </w:rPr>
        <w:t> </w:t>
      </w:r>
      <w:r>
        <w:rPr/>
        <w:t>from</w:t>
      </w:r>
      <w:r>
        <w:rPr>
          <w:spacing w:val="-9"/>
        </w:rPr>
        <w:t> </w:t>
      </w:r>
      <w:r>
        <w:rPr/>
        <w:t>the</w:t>
      </w:r>
      <w:r>
        <w:rPr>
          <w:spacing w:val="-11"/>
        </w:rPr>
        <w:t> </w:t>
      </w:r>
      <w:r>
        <w:rPr/>
        <w:t>very</w:t>
      </w:r>
      <w:r>
        <w:rPr>
          <w:spacing w:val="-9"/>
        </w:rPr>
        <w:t> </w:t>
      </w:r>
      <w:r>
        <w:rPr/>
        <w:t>first</w:t>
      </w:r>
      <w:r>
        <w:rPr>
          <w:spacing w:val="-11"/>
        </w:rPr>
        <w:t> </w:t>
      </w:r>
      <w:r>
        <w:rPr/>
        <w:t>day</w:t>
      </w:r>
      <w:r>
        <w:rPr>
          <w:spacing w:val="-10"/>
        </w:rPr>
        <w:t> </w:t>
      </w:r>
      <w:r>
        <w:rPr/>
        <w:t>of</w:t>
      </w:r>
      <w:r>
        <w:rPr>
          <w:spacing w:val="-11"/>
        </w:rPr>
        <w:t> </w:t>
      </w:r>
      <w:r>
        <w:rPr/>
        <w:t>treatment,</w:t>
      </w:r>
      <w:r>
        <w:rPr>
          <w:spacing w:val="-9"/>
        </w:rPr>
        <w:t> </w:t>
      </w:r>
      <w:r>
        <w:rPr/>
        <w:t>but</w:t>
      </w:r>
      <w:r>
        <w:rPr>
          <w:spacing w:val="-10"/>
        </w:rPr>
        <w:t> </w:t>
      </w:r>
      <w:r>
        <w:rPr/>
        <w:t>we</w:t>
      </w:r>
      <w:r>
        <w:rPr>
          <w:spacing w:val="-9"/>
        </w:rPr>
        <w:t> </w:t>
      </w:r>
      <w:r>
        <w:rPr/>
        <w:t>usually</w:t>
      </w:r>
      <w:r>
        <w:rPr>
          <w:spacing w:val="-9"/>
        </w:rPr>
        <w:t> </w:t>
      </w:r>
      <w:r>
        <w:rPr/>
        <w:t>only</w:t>
      </w:r>
      <w:r>
        <w:rPr>
          <w:spacing w:val="-10"/>
        </w:rPr>
        <w:t> </w:t>
      </w:r>
      <w:r>
        <w:rPr/>
        <w:t>perceive this</w:t>
      </w:r>
      <w:r>
        <w:rPr>
          <w:spacing w:val="13"/>
        </w:rPr>
        <w:t> </w:t>
      </w:r>
      <w:r>
        <w:rPr/>
        <w:t>after</w:t>
      </w:r>
      <w:r>
        <w:rPr>
          <w:spacing w:val="13"/>
        </w:rPr>
        <w:t> </w:t>
      </w:r>
      <w:r>
        <w:rPr/>
        <w:t>several</w:t>
      </w:r>
      <w:r>
        <w:rPr>
          <w:spacing w:val="12"/>
        </w:rPr>
        <w:t> </w:t>
      </w:r>
      <w:r>
        <w:rPr/>
        <w:t>weeks.</w:t>
      </w:r>
      <w:r>
        <w:rPr>
          <w:spacing w:val="14"/>
        </w:rPr>
        <w:t> </w:t>
      </w:r>
      <w:r>
        <w:rPr/>
        <w:t>So,</w:t>
      </w:r>
      <w:r>
        <w:rPr>
          <w:spacing w:val="14"/>
        </w:rPr>
        <w:t> </w:t>
      </w:r>
      <w:r>
        <w:rPr/>
        <w:t>we</w:t>
      </w:r>
      <w:r>
        <w:rPr>
          <w:spacing w:val="10"/>
        </w:rPr>
        <w:t> </w:t>
      </w:r>
      <w:r>
        <w:rPr/>
        <w:t>have</w:t>
      </w:r>
      <w:r>
        <w:rPr>
          <w:spacing w:val="13"/>
        </w:rPr>
        <w:t> </w:t>
      </w:r>
      <w:r>
        <w:rPr/>
        <w:t>to</w:t>
      </w:r>
      <w:r>
        <w:rPr>
          <w:spacing w:val="13"/>
        </w:rPr>
        <w:t> </w:t>
      </w:r>
      <w:r>
        <w:rPr/>
        <w:t>be</w:t>
      </w:r>
      <w:r>
        <w:rPr>
          <w:spacing w:val="13"/>
        </w:rPr>
        <w:t> </w:t>
      </w:r>
      <w:r>
        <w:rPr/>
        <w:t>patient</w:t>
      </w:r>
      <w:r>
        <w:rPr>
          <w:spacing w:val="12"/>
        </w:rPr>
        <w:t> </w:t>
      </w:r>
      <w:r>
        <w:rPr/>
        <w:t>in</w:t>
      </w:r>
      <w:r>
        <w:rPr>
          <w:spacing w:val="13"/>
        </w:rPr>
        <w:t> </w:t>
      </w:r>
      <w:r>
        <w:rPr/>
        <w:t>the</w:t>
      </w:r>
      <w:r>
        <w:rPr>
          <w:spacing w:val="14"/>
        </w:rPr>
        <w:t> </w:t>
      </w:r>
      <w:r>
        <w:rPr/>
        <w:t>time</w:t>
      </w:r>
      <w:r>
        <w:rPr>
          <w:spacing w:val="13"/>
        </w:rPr>
        <w:t> </w:t>
      </w:r>
      <w:r>
        <w:rPr/>
        <w:t>that</w:t>
      </w:r>
      <w:r>
        <w:rPr>
          <w:spacing w:val="13"/>
        </w:rPr>
        <w:t> </w:t>
      </w:r>
      <w:r>
        <w:rPr/>
        <w:t>lapacho</w:t>
      </w:r>
      <w:r>
        <w:rPr>
          <w:spacing w:val="13"/>
        </w:rPr>
        <w:t> </w:t>
      </w:r>
      <w:r>
        <w:rPr/>
        <w:t>tea</w:t>
      </w:r>
    </w:p>
    <w:p>
      <w:pPr>
        <w:pStyle w:val="BodyText"/>
        <w:spacing w:before="10"/>
        <w:rPr>
          <w:sz w:val="29"/>
        </w:rPr>
      </w:pPr>
      <w:r>
        <w:rPr/>
        <w:pict>
          <v:line style="position:absolute;mso-position-horizontal-relative:page;mso-position-vertical-relative:paragraph;z-index:5888;mso-wrap-distance-left:0;mso-wrap-distance-right:0" from="63.863998pt,19.171234pt" to="207.883998pt,19.171234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464 </w:t>
      </w:r>
      <w:r>
        <w:rPr>
          <w:sz w:val="20"/>
        </w:rPr>
        <w:t>Walter Lübeck: Heilen mit Lapacho-Tee (‘Healing with Lapacho Tea’), 8th Edition 1999, p. 35</w:t>
      </w:r>
    </w:p>
    <w:p>
      <w:pPr>
        <w:spacing w:before="94"/>
        <w:ind w:left="477" w:right="0" w:firstLine="0"/>
        <w:jc w:val="left"/>
        <w:rPr>
          <w:sz w:val="20"/>
        </w:rPr>
      </w:pPr>
      <w:r>
        <w:rPr>
          <w:position w:val="5"/>
          <w:sz w:val="13"/>
        </w:rPr>
        <w:t>465 </w:t>
      </w:r>
      <w:r>
        <w:rPr>
          <w:sz w:val="20"/>
        </w:rPr>
        <w:t>Binutu OA et al.: Antimicrobial potentials of some plant species of the Bignoniaceae family. Afr J Med Med Sci, September 1994</w:t>
      </w:r>
    </w:p>
    <w:p>
      <w:pPr>
        <w:spacing w:after="0"/>
        <w:jc w:val="left"/>
        <w:rPr>
          <w:sz w:val="20"/>
        </w:rPr>
        <w:sectPr>
          <w:pgSz w:w="14270" w:h="16850"/>
          <w:pgMar w:header="0" w:footer="1891" w:top="1600" w:bottom="2080" w:left="800" w:right="1280"/>
        </w:sectPr>
      </w:pPr>
    </w:p>
    <w:p>
      <w:pPr>
        <w:pStyle w:val="BodyText"/>
        <w:spacing w:before="181"/>
        <w:ind w:left="477"/>
      </w:pPr>
      <w:r>
        <w:rPr/>
        <w:t>needs – because that's the way nature works!</w:t>
      </w:r>
    </w:p>
    <w:p>
      <w:pPr>
        <w:pStyle w:val="BodyText"/>
        <w:spacing w:line="276" w:lineRule="auto" w:before="305"/>
        <w:ind w:left="477" w:right="57"/>
      </w:pPr>
      <w:r>
        <w:rPr/>
        <w:t>It is also crucial to continue using lapacho for a while, even after the symptoms have receded, and then at least occasionally at regular intervals.</w:t>
      </w:r>
    </w:p>
    <w:p>
      <w:pPr>
        <w:pStyle w:val="BodyText"/>
        <w:spacing w:line="276" w:lineRule="auto" w:before="241"/>
        <w:ind w:left="477"/>
        <w:rPr>
          <w:sz w:val="25"/>
        </w:rPr>
      </w:pPr>
      <w:r>
        <w:rPr/>
        <w:t>For particularly persistent diseases, such as cancer, Dr. Theodoro Meyer, an expert in the field of lapacho, recommends drinking lapacho for life.</w:t>
      </w:r>
      <w:r>
        <w:rPr>
          <w:position w:val="9"/>
          <w:sz w:val="25"/>
        </w:rPr>
        <w:t>466</w:t>
      </w:r>
    </w:p>
    <w:p>
      <w:pPr>
        <w:pStyle w:val="BodyText"/>
        <w:rPr>
          <w:sz w:val="42"/>
        </w:rPr>
      </w:pPr>
    </w:p>
    <w:p>
      <w:pPr>
        <w:pStyle w:val="BodyText"/>
        <w:spacing w:before="8"/>
        <w:rPr>
          <w:sz w:val="42"/>
        </w:rPr>
      </w:pPr>
    </w:p>
    <w:p>
      <w:pPr>
        <w:pStyle w:val="Heading1"/>
        <w:spacing w:before="0"/>
      </w:pPr>
      <w:r>
        <w:rPr/>
        <w:t>Lapacho use in different form</w:t>
      </w:r>
    </w:p>
    <w:p>
      <w:pPr>
        <w:pStyle w:val="BodyText"/>
        <w:spacing w:line="276" w:lineRule="auto" w:before="300"/>
        <w:ind w:left="477" w:right="133"/>
        <w:jc w:val="both"/>
      </w:pPr>
      <w:r>
        <w:rPr/>
        <w:t>While</w:t>
      </w:r>
      <w:r>
        <w:rPr>
          <w:spacing w:val="-9"/>
        </w:rPr>
        <w:t> </w:t>
      </w:r>
      <w:r>
        <w:rPr/>
        <w:t>experts</w:t>
      </w:r>
      <w:r>
        <w:rPr>
          <w:spacing w:val="-7"/>
        </w:rPr>
        <w:t> </w:t>
      </w:r>
      <w:r>
        <w:rPr/>
        <w:t>agree</w:t>
      </w:r>
      <w:r>
        <w:rPr>
          <w:spacing w:val="-8"/>
        </w:rPr>
        <w:t> </w:t>
      </w:r>
      <w:r>
        <w:rPr/>
        <w:t>that</w:t>
      </w:r>
      <w:r>
        <w:rPr>
          <w:spacing w:val="-7"/>
        </w:rPr>
        <w:t> </w:t>
      </w:r>
      <w:r>
        <w:rPr/>
        <w:t>lapacho</w:t>
      </w:r>
      <w:r>
        <w:rPr>
          <w:spacing w:val="-8"/>
        </w:rPr>
        <w:t> </w:t>
      </w:r>
      <w:r>
        <w:rPr/>
        <w:t>tea</w:t>
      </w:r>
      <w:r>
        <w:rPr>
          <w:spacing w:val="-8"/>
        </w:rPr>
        <w:t> </w:t>
      </w:r>
      <w:r>
        <w:rPr/>
        <w:t>(as</w:t>
      </w:r>
      <w:r>
        <w:rPr>
          <w:spacing w:val="-7"/>
        </w:rPr>
        <w:t> </w:t>
      </w:r>
      <w:r>
        <w:rPr/>
        <w:t>a</w:t>
      </w:r>
      <w:r>
        <w:rPr>
          <w:spacing w:val="-9"/>
        </w:rPr>
        <w:t> </w:t>
      </w:r>
      <w:r>
        <w:rPr/>
        <w:t>beverage)</w:t>
      </w:r>
      <w:r>
        <w:rPr>
          <w:spacing w:val="-7"/>
        </w:rPr>
        <w:t> </w:t>
      </w:r>
      <w:r>
        <w:rPr/>
        <w:t>is</w:t>
      </w:r>
      <w:r>
        <w:rPr>
          <w:spacing w:val="-8"/>
        </w:rPr>
        <w:t> </w:t>
      </w:r>
      <w:r>
        <w:rPr/>
        <w:t>the</w:t>
      </w:r>
      <w:r>
        <w:rPr>
          <w:spacing w:val="-6"/>
        </w:rPr>
        <w:t> </w:t>
      </w:r>
      <w:r>
        <w:rPr/>
        <w:t>most</w:t>
      </w:r>
      <w:r>
        <w:rPr>
          <w:spacing w:val="-8"/>
        </w:rPr>
        <w:t> </w:t>
      </w:r>
      <w:r>
        <w:rPr/>
        <w:t>important</w:t>
      </w:r>
      <w:r>
        <w:rPr>
          <w:spacing w:val="-8"/>
        </w:rPr>
        <w:t> </w:t>
      </w:r>
      <w:r>
        <w:rPr/>
        <w:t>form of administration, as it uses all of Mother Nature's cleverly combined compo- nents like an orchestra to purify the body from within, strengthening the im- mune system and fighting inflammation, there are other ways lapacho can be administered:</w:t>
      </w:r>
    </w:p>
    <w:p>
      <w:pPr>
        <w:pStyle w:val="ListParagraph"/>
        <w:numPr>
          <w:ilvl w:val="0"/>
          <w:numId w:val="54"/>
        </w:numPr>
        <w:tabs>
          <w:tab w:pos="1689" w:val="left" w:leader="none"/>
          <w:tab w:pos="1690" w:val="left" w:leader="none"/>
        </w:tabs>
        <w:spacing w:line="240" w:lineRule="auto" w:before="241" w:after="0"/>
        <w:ind w:left="1689" w:right="0" w:hanging="1212"/>
        <w:jc w:val="both"/>
        <w:rPr>
          <w:sz w:val="38"/>
        </w:rPr>
      </w:pPr>
      <w:r>
        <w:rPr>
          <w:sz w:val="38"/>
        </w:rPr>
        <w:t>lapacho as a</w:t>
      </w:r>
      <w:r>
        <w:rPr>
          <w:spacing w:val="-1"/>
          <w:sz w:val="38"/>
        </w:rPr>
        <w:t> </w:t>
      </w:r>
      <w:r>
        <w:rPr>
          <w:sz w:val="38"/>
        </w:rPr>
        <w:t>capsule</w:t>
      </w:r>
    </w:p>
    <w:p>
      <w:pPr>
        <w:pStyle w:val="ListParagraph"/>
        <w:numPr>
          <w:ilvl w:val="0"/>
          <w:numId w:val="54"/>
        </w:numPr>
        <w:tabs>
          <w:tab w:pos="1689" w:val="left" w:leader="none"/>
          <w:tab w:pos="1690" w:val="left" w:leader="none"/>
        </w:tabs>
        <w:spacing w:line="240" w:lineRule="auto" w:before="66" w:after="0"/>
        <w:ind w:left="1689" w:right="0" w:hanging="1212"/>
        <w:jc w:val="both"/>
        <w:rPr>
          <w:sz w:val="38"/>
        </w:rPr>
      </w:pPr>
      <w:r>
        <w:rPr>
          <w:sz w:val="38"/>
        </w:rPr>
        <w:t>lapacho as a</w:t>
      </w:r>
      <w:r>
        <w:rPr>
          <w:spacing w:val="-1"/>
          <w:sz w:val="38"/>
        </w:rPr>
        <w:t> </w:t>
      </w:r>
      <w:r>
        <w:rPr>
          <w:sz w:val="38"/>
        </w:rPr>
        <w:t>compress</w:t>
      </w:r>
    </w:p>
    <w:p>
      <w:pPr>
        <w:pStyle w:val="ListParagraph"/>
        <w:numPr>
          <w:ilvl w:val="0"/>
          <w:numId w:val="54"/>
        </w:numPr>
        <w:tabs>
          <w:tab w:pos="1689" w:val="left" w:leader="none"/>
          <w:tab w:pos="1690" w:val="left" w:leader="none"/>
        </w:tabs>
        <w:spacing w:line="240" w:lineRule="auto" w:before="64" w:after="0"/>
        <w:ind w:left="1689" w:right="0" w:hanging="1212"/>
        <w:jc w:val="both"/>
        <w:rPr>
          <w:sz w:val="38"/>
        </w:rPr>
      </w:pPr>
      <w:r>
        <w:rPr>
          <w:sz w:val="38"/>
        </w:rPr>
        <w:t>lapacho bath</w:t>
      </w:r>
    </w:p>
    <w:p>
      <w:pPr>
        <w:pStyle w:val="BodyText"/>
        <w:spacing w:before="302"/>
        <w:ind w:left="477"/>
        <w:jc w:val="both"/>
      </w:pPr>
      <w:r>
        <w:rPr>
          <w:b/>
        </w:rPr>
        <w:t>Lapacho tea: </w:t>
      </w:r>
      <w:r>
        <w:rPr/>
        <w:t>as already mentioned, lapacho tea is the basic dosage form par</w:t>
      </w:r>
    </w:p>
    <w:p>
      <w:pPr>
        <w:pStyle w:val="BodyText"/>
        <w:rPr>
          <w:sz w:val="20"/>
        </w:rPr>
      </w:pPr>
    </w:p>
    <w:p>
      <w:pPr>
        <w:pStyle w:val="BodyText"/>
        <w:rPr>
          <w:sz w:val="20"/>
        </w:rPr>
      </w:pPr>
    </w:p>
    <w:p>
      <w:pPr>
        <w:pStyle w:val="BodyText"/>
        <w:spacing w:before="8"/>
        <w:rPr>
          <w:sz w:val="17"/>
        </w:rPr>
      </w:pPr>
      <w:r>
        <w:rPr/>
        <w:pict>
          <v:line style="position:absolute;mso-position-horizontal-relative:page;mso-position-vertical-relative:paragraph;z-index:5912;mso-wrap-distance-left:0;mso-wrap-distance-right:0" from="63.863998pt,12.342457pt" to="207.883998pt,12.342457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466 </w:t>
      </w:r>
      <w:r>
        <w:rPr>
          <w:sz w:val="20"/>
        </w:rPr>
        <w:t>Walter Lübeck: Heilen mit Lapacho-Tee (‘Healing with Lapacho Tea’), 8th Edition 1999, p. 81</w:t>
      </w:r>
    </w:p>
    <w:p>
      <w:pPr>
        <w:spacing w:after="0"/>
        <w:jc w:val="left"/>
        <w:rPr>
          <w:sz w:val="20"/>
        </w:rPr>
        <w:sectPr>
          <w:pgSz w:w="14270" w:h="16850"/>
          <w:pgMar w:header="0" w:footer="1891" w:top="1600" w:bottom="2080" w:left="800" w:right="1280"/>
        </w:sectPr>
      </w:pPr>
    </w:p>
    <w:p>
      <w:pPr>
        <w:pStyle w:val="BodyText"/>
        <w:spacing w:before="181"/>
        <w:ind w:left="477"/>
        <w:jc w:val="both"/>
      </w:pPr>
      <w:r>
        <w:rPr/>
        <w:t>excellence; it should be used in this form, at least as an adjunct, in all cases.</w:t>
      </w:r>
    </w:p>
    <w:p>
      <w:pPr>
        <w:pStyle w:val="BodyText"/>
        <w:spacing w:line="276" w:lineRule="auto" w:before="305"/>
        <w:ind w:left="477" w:right="140"/>
        <w:jc w:val="both"/>
      </w:pPr>
      <w:r>
        <w:rPr/>
        <w:t>As a drink, lapacho tea flows through our entire body, reaching the very last cell,</w:t>
      </w:r>
      <w:r>
        <w:rPr>
          <w:spacing w:val="-15"/>
        </w:rPr>
        <w:t> </w:t>
      </w:r>
      <w:r>
        <w:rPr/>
        <w:t>purifying,</w:t>
      </w:r>
      <w:r>
        <w:rPr>
          <w:spacing w:val="-13"/>
        </w:rPr>
        <w:t> </w:t>
      </w:r>
      <w:r>
        <w:rPr/>
        <w:t>detoxifying</w:t>
      </w:r>
      <w:r>
        <w:rPr>
          <w:spacing w:val="-14"/>
        </w:rPr>
        <w:t> </w:t>
      </w:r>
      <w:r>
        <w:rPr/>
        <w:t>our</w:t>
      </w:r>
      <w:r>
        <w:rPr>
          <w:spacing w:val="-14"/>
        </w:rPr>
        <w:t> </w:t>
      </w:r>
      <w:r>
        <w:rPr/>
        <w:t>body</w:t>
      </w:r>
      <w:r>
        <w:rPr>
          <w:spacing w:val="-14"/>
        </w:rPr>
        <w:t> </w:t>
      </w:r>
      <w:r>
        <w:rPr/>
        <w:t>and</w:t>
      </w:r>
      <w:r>
        <w:rPr>
          <w:spacing w:val="-14"/>
        </w:rPr>
        <w:t> </w:t>
      </w:r>
      <w:r>
        <w:rPr/>
        <w:t>incidentally</w:t>
      </w:r>
      <w:r>
        <w:rPr>
          <w:spacing w:val="-14"/>
        </w:rPr>
        <w:t> </w:t>
      </w:r>
      <w:r>
        <w:rPr/>
        <w:t>ensuring</w:t>
      </w:r>
      <w:r>
        <w:rPr>
          <w:spacing w:val="-14"/>
        </w:rPr>
        <w:t> </w:t>
      </w:r>
      <w:r>
        <w:rPr/>
        <w:t>that</w:t>
      </w:r>
      <w:r>
        <w:rPr>
          <w:spacing w:val="-15"/>
        </w:rPr>
        <w:t> </w:t>
      </w:r>
      <w:r>
        <w:rPr/>
        <w:t>the</w:t>
      </w:r>
      <w:r>
        <w:rPr>
          <w:spacing w:val="-13"/>
        </w:rPr>
        <w:t> </w:t>
      </w:r>
      <w:r>
        <w:rPr/>
        <w:t>dissolved and bound toxins and waste are transported out of the</w:t>
      </w:r>
      <w:r>
        <w:rPr>
          <w:spacing w:val="-3"/>
        </w:rPr>
        <w:t> </w:t>
      </w:r>
      <w:r>
        <w:rPr/>
        <w:t>body.</w:t>
      </w:r>
    </w:p>
    <w:p>
      <w:pPr>
        <w:pStyle w:val="BodyText"/>
        <w:spacing w:line="276" w:lineRule="auto" w:before="241"/>
        <w:ind w:left="477" w:right="134"/>
        <w:jc w:val="both"/>
      </w:pPr>
      <w:r>
        <w:rPr>
          <w:b/>
        </w:rPr>
        <w:t>Lapacho capsules: </w:t>
      </w:r>
      <w:r>
        <w:rPr/>
        <w:t>lapacho capsules are characterised by the fact that they contain</w:t>
      </w:r>
      <w:r>
        <w:rPr>
          <w:spacing w:val="-8"/>
        </w:rPr>
        <w:t> </w:t>
      </w:r>
      <w:r>
        <w:rPr/>
        <w:t>certain</w:t>
      </w:r>
      <w:r>
        <w:rPr>
          <w:spacing w:val="-8"/>
        </w:rPr>
        <w:t> </w:t>
      </w:r>
      <w:r>
        <w:rPr/>
        <w:t>active</w:t>
      </w:r>
      <w:r>
        <w:rPr>
          <w:spacing w:val="-7"/>
        </w:rPr>
        <w:t> </w:t>
      </w:r>
      <w:r>
        <w:rPr/>
        <w:t>ingredients</w:t>
      </w:r>
      <w:r>
        <w:rPr>
          <w:spacing w:val="-9"/>
        </w:rPr>
        <w:t> </w:t>
      </w:r>
      <w:r>
        <w:rPr/>
        <w:t>of</w:t>
      </w:r>
      <w:r>
        <w:rPr>
          <w:spacing w:val="-10"/>
        </w:rPr>
        <w:t> </w:t>
      </w:r>
      <w:r>
        <w:rPr/>
        <w:t>the</w:t>
      </w:r>
      <w:r>
        <w:rPr>
          <w:spacing w:val="-8"/>
        </w:rPr>
        <w:t> </w:t>
      </w:r>
      <w:r>
        <w:rPr/>
        <w:t>lapacho</w:t>
      </w:r>
      <w:r>
        <w:rPr>
          <w:spacing w:val="-10"/>
        </w:rPr>
        <w:t> </w:t>
      </w:r>
      <w:r>
        <w:rPr/>
        <w:t>bark</w:t>
      </w:r>
      <w:r>
        <w:rPr>
          <w:spacing w:val="-7"/>
        </w:rPr>
        <w:t> </w:t>
      </w:r>
      <w:r>
        <w:rPr/>
        <w:t>in</w:t>
      </w:r>
      <w:r>
        <w:rPr>
          <w:spacing w:val="-10"/>
        </w:rPr>
        <w:t> </w:t>
      </w:r>
      <w:r>
        <w:rPr/>
        <w:t>high</w:t>
      </w:r>
      <w:r>
        <w:rPr>
          <w:spacing w:val="-8"/>
        </w:rPr>
        <w:t> </w:t>
      </w:r>
      <w:r>
        <w:rPr/>
        <w:t>concentrations,</w:t>
      </w:r>
      <w:r>
        <w:rPr>
          <w:spacing w:val="-6"/>
        </w:rPr>
        <w:t> </w:t>
      </w:r>
      <w:r>
        <w:rPr/>
        <w:t>as they are difficult to absorb in liquid form. As a rule, 1 capsule corresponds to about 1 litre of lapacho tea.</w:t>
      </w:r>
    </w:p>
    <w:p>
      <w:pPr>
        <w:pStyle w:val="BodyText"/>
        <w:spacing w:line="276" w:lineRule="auto" w:before="240"/>
        <w:ind w:left="477" w:right="133"/>
        <w:jc w:val="both"/>
      </w:pPr>
      <w:r>
        <w:rPr/>
        <w:t>This is definitely recommended for certain serious illnesses (e.g. cancer or AIDS). Furthermore, lapacho capsules have the advantage that they can be taken quickly and easily, even while travelling or during the day. However, al- ways remember to drink lapacho tea as an adjunct, as this is the only way to benefit from all the ingredients of lapacho and effective detoxification is only achieved in combination with high intakes of fluid.</w:t>
      </w:r>
    </w:p>
    <w:p>
      <w:pPr>
        <w:pStyle w:val="BodyText"/>
        <w:spacing w:line="276" w:lineRule="auto" w:before="240"/>
        <w:ind w:left="477" w:right="137"/>
        <w:jc w:val="both"/>
      </w:pPr>
      <w:r>
        <w:rPr>
          <w:b/>
        </w:rPr>
        <w:t>Lapacho</w:t>
      </w:r>
      <w:r>
        <w:rPr>
          <w:b/>
          <w:spacing w:val="-19"/>
        </w:rPr>
        <w:t> </w:t>
      </w:r>
      <w:r>
        <w:rPr>
          <w:b/>
        </w:rPr>
        <w:t>tincture:</w:t>
      </w:r>
      <w:r>
        <w:rPr>
          <w:b/>
          <w:spacing w:val="-18"/>
        </w:rPr>
        <w:t> </w:t>
      </w:r>
      <w:r>
        <w:rPr/>
        <w:t>the</w:t>
      </w:r>
      <w:r>
        <w:rPr>
          <w:spacing w:val="-16"/>
        </w:rPr>
        <w:t> </w:t>
      </w:r>
      <w:r>
        <w:rPr/>
        <w:t>tincture</w:t>
      </w:r>
      <w:r>
        <w:rPr>
          <w:spacing w:val="-16"/>
        </w:rPr>
        <w:t> </w:t>
      </w:r>
      <w:r>
        <w:rPr/>
        <w:t>is</w:t>
      </w:r>
      <w:r>
        <w:rPr>
          <w:spacing w:val="-17"/>
        </w:rPr>
        <w:t> </w:t>
      </w:r>
      <w:r>
        <w:rPr/>
        <w:t>made</w:t>
      </w:r>
      <w:r>
        <w:rPr>
          <w:spacing w:val="-17"/>
        </w:rPr>
        <w:t> </w:t>
      </w:r>
      <w:r>
        <w:rPr/>
        <w:t>using</w:t>
      </w:r>
      <w:r>
        <w:rPr>
          <w:spacing w:val="-16"/>
        </w:rPr>
        <w:t> </w:t>
      </w:r>
      <w:r>
        <w:rPr/>
        <w:t>an</w:t>
      </w:r>
      <w:r>
        <w:rPr>
          <w:spacing w:val="-19"/>
        </w:rPr>
        <w:t> </w:t>
      </w:r>
      <w:r>
        <w:rPr/>
        <w:t>alcohol</w:t>
      </w:r>
      <w:r>
        <w:rPr>
          <w:spacing w:val="-16"/>
        </w:rPr>
        <w:t> </w:t>
      </w:r>
      <w:r>
        <w:rPr/>
        <w:t>base</w:t>
      </w:r>
      <w:r>
        <w:rPr>
          <w:spacing w:val="-16"/>
        </w:rPr>
        <w:t> </w:t>
      </w:r>
      <w:r>
        <w:rPr/>
        <w:t>and</w:t>
      </w:r>
      <w:r>
        <w:rPr>
          <w:spacing w:val="-19"/>
        </w:rPr>
        <w:t> </w:t>
      </w:r>
      <w:r>
        <w:rPr/>
        <w:t>is</w:t>
      </w:r>
      <w:r>
        <w:rPr>
          <w:spacing w:val="-17"/>
        </w:rPr>
        <w:t> </w:t>
      </w:r>
      <w:r>
        <w:rPr/>
        <w:t>particularly suitable for minor injuries. It can be applied internally (drunk) and externally, for example in conjunction with</w:t>
      </w:r>
      <w:r>
        <w:rPr>
          <w:spacing w:val="4"/>
        </w:rPr>
        <w:t> </w:t>
      </w:r>
      <w:r>
        <w:rPr/>
        <w:t>compresses.</w:t>
      </w:r>
    </w:p>
    <w:p>
      <w:pPr>
        <w:pStyle w:val="BodyText"/>
        <w:spacing w:line="276" w:lineRule="auto" w:before="241"/>
        <w:ind w:left="477" w:right="136"/>
        <w:jc w:val="both"/>
      </w:pPr>
      <w:r>
        <w:rPr>
          <w:b/>
        </w:rPr>
        <w:t>Lapacho</w:t>
      </w:r>
      <w:r>
        <w:rPr>
          <w:b/>
          <w:spacing w:val="-22"/>
        </w:rPr>
        <w:t> </w:t>
      </w:r>
      <w:r>
        <w:rPr>
          <w:b/>
        </w:rPr>
        <w:t>compresses:</w:t>
      </w:r>
      <w:r>
        <w:rPr>
          <w:b/>
          <w:spacing w:val="-21"/>
        </w:rPr>
        <w:t> </w:t>
      </w:r>
      <w:r>
        <w:rPr/>
        <w:t>compresses</w:t>
      </w:r>
      <w:r>
        <w:rPr>
          <w:spacing w:val="-19"/>
        </w:rPr>
        <w:t> </w:t>
      </w:r>
      <w:r>
        <w:rPr/>
        <w:t>are</w:t>
      </w:r>
      <w:r>
        <w:rPr>
          <w:spacing w:val="-21"/>
        </w:rPr>
        <w:t> </w:t>
      </w:r>
      <w:r>
        <w:rPr/>
        <w:t>ideal</w:t>
      </w:r>
      <w:r>
        <w:rPr>
          <w:spacing w:val="-22"/>
        </w:rPr>
        <w:t> </w:t>
      </w:r>
      <w:r>
        <w:rPr/>
        <w:t>for</w:t>
      </w:r>
      <w:r>
        <w:rPr>
          <w:spacing w:val="-20"/>
        </w:rPr>
        <w:t> </w:t>
      </w:r>
      <w:r>
        <w:rPr/>
        <w:t>all</w:t>
      </w:r>
      <w:r>
        <w:rPr>
          <w:spacing w:val="-22"/>
        </w:rPr>
        <w:t> </w:t>
      </w:r>
      <w:r>
        <w:rPr/>
        <w:t>sorts</w:t>
      </w:r>
      <w:r>
        <w:rPr>
          <w:spacing w:val="-21"/>
        </w:rPr>
        <w:t> </w:t>
      </w:r>
      <w:r>
        <w:rPr/>
        <w:t>of</w:t>
      </w:r>
      <w:r>
        <w:rPr>
          <w:spacing w:val="-21"/>
        </w:rPr>
        <w:t> </w:t>
      </w:r>
      <w:r>
        <w:rPr/>
        <w:t>skin</w:t>
      </w:r>
      <w:r>
        <w:rPr>
          <w:spacing w:val="-20"/>
        </w:rPr>
        <w:t> </w:t>
      </w:r>
      <w:r>
        <w:rPr/>
        <w:t>problems,</w:t>
      </w:r>
      <w:r>
        <w:rPr>
          <w:spacing w:val="-20"/>
        </w:rPr>
        <w:t> </w:t>
      </w:r>
      <w:r>
        <w:rPr/>
        <w:t>such as minor injuries, allergies, joint inflammation and the like.</w:t>
      </w:r>
    </w:p>
    <w:p>
      <w:pPr>
        <w:pStyle w:val="BodyText"/>
        <w:spacing w:line="276" w:lineRule="auto" w:before="239"/>
        <w:ind w:left="477" w:right="134"/>
        <w:jc w:val="both"/>
      </w:pPr>
      <w:r>
        <w:rPr/>
        <w:t>For this purpose, a sterile cotton cloth is soaked in hot lapacho tea which is twice</w:t>
      </w:r>
      <w:r>
        <w:rPr>
          <w:spacing w:val="-7"/>
        </w:rPr>
        <w:t> </w:t>
      </w:r>
      <w:r>
        <w:rPr/>
        <w:t>as</w:t>
      </w:r>
      <w:r>
        <w:rPr>
          <w:spacing w:val="-7"/>
        </w:rPr>
        <w:t> </w:t>
      </w:r>
      <w:r>
        <w:rPr/>
        <w:t>strong</w:t>
      </w:r>
      <w:r>
        <w:rPr>
          <w:spacing w:val="-6"/>
        </w:rPr>
        <w:t> </w:t>
      </w:r>
      <w:r>
        <w:rPr/>
        <w:t>as</w:t>
      </w:r>
      <w:r>
        <w:rPr>
          <w:spacing w:val="-6"/>
        </w:rPr>
        <w:t> </w:t>
      </w:r>
      <w:r>
        <w:rPr/>
        <w:t>the</w:t>
      </w:r>
      <w:r>
        <w:rPr>
          <w:spacing w:val="-8"/>
        </w:rPr>
        <w:t> </w:t>
      </w:r>
      <w:r>
        <w:rPr/>
        <w:t>common</w:t>
      </w:r>
      <w:r>
        <w:rPr>
          <w:spacing w:val="-10"/>
        </w:rPr>
        <w:t> </w:t>
      </w:r>
      <w:r>
        <w:rPr/>
        <w:t>strength</w:t>
      </w:r>
      <w:r>
        <w:rPr>
          <w:spacing w:val="-6"/>
        </w:rPr>
        <w:t> </w:t>
      </w:r>
      <w:r>
        <w:rPr/>
        <w:t>for</w:t>
      </w:r>
      <w:r>
        <w:rPr>
          <w:spacing w:val="-8"/>
        </w:rPr>
        <w:t> </w:t>
      </w:r>
      <w:r>
        <w:rPr/>
        <w:t>drinking</w:t>
      </w:r>
      <w:r>
        <w:rPr>
          <w:spacing w:val="-5"/>
        </w:rPr>
        <w:t> </w:t>
      </w:r>
      <w:r>
        <w:rPr/>
        <w:t>and</w:t>
      </w:r>
      <w:r>
        <w:rPr>
          <w:spacing w:val="-9"/>
        </w:rPr>
        <w:t> </w:t>
      </w:r>
      <w:r>
        <w:rPr/>
        <w:t>this</w:t>
      </w:r>
      <w:r>
        <w:rPr>
          <w:spacing w:val="-7"/>
        </w:rPr>
        <w:t> </w:t>
      </w:r>
      <w:r>
        <w:rPr/>
        <w:t>cloth</w:t>
      </w:r>
      <w:r>
        <w:rPr>
          <w:spacing w:val="-8"/>
        </w:rPr>
        <w:t> </w:t>
      </w:r>
      <w:r>
        <w:rPr/>
        <w:t>is</w:t>
      </w:r>
      <w:r>
        <w:rPr>
          <w:spacing w:val="-9"/>
        </w:rPr>
        <w:t> </w:t>
      </w:r>
      <w:r>
        <w:rPr/>
        <w:t>placed</w:t>
      </w:r>
      <w:r>
        <w:rPr>
          <w:spacing w:val="-6"/>
        </w:rPr>
        <w:t> </w:t>
      </w:r>
      <w:r>
        <w:rPr/>
        <w:t>on</w:t>
      </w:r>
    </w:p>
    <w:p>
      <w:pPr>
        <w:spacing w:after="0" w:line="276" w:lineRule="auto"/>
        <w:jc w:val="both"/>
        <w:sectPr>
          <w:pgSz w:w="14270" w:h="16850"/>
          <w:pgMar w:header="0" w:footer="1891" w:top="1600" w:bottom="2080" w:left="800" w:right="1280"/>
        </w:sectPr>
      </w:pPr>
    </w:p>
    <w:p>
      <w:pPr>
        <w:pStyle w:val="BodyText"/>
        <w:spacing w:line="276" w:lineRule="auto" w:before="181"/>
        <w:ind w:left="477"/>
      </w:pPr>
      <w:r>
        <w:rPr/>
        <w:t>the affected area. It is best to tie another piece of cloth over it to fix the com- press accordingly.</w:t>
      </w:r>
    </w:p>
    <w:p>
      <w:pPr>
        <w:pStyle w:val="BodyText"/>
        <w:spacing w:line="276" w:lineRule="auto" w:before="241"/>
        <w:ind w:left="477"/>
      </w:pPr>
      <w:r>
        <w:rPr/>
        <w:t>The compress should be removed as soon as the wrap has cooled; it can be applied several times a day to achieve the desired effect.</w:t>
      </w:r>
    </w:p>
    <w:p>
      <w:pPr>
        <w:pStyle w:val="BodyText"/>
        <w:spacing w:line="276" w:lineRule="auto" w:before="241"/>
        <w:ind w:left="477"/>
      </w:pPr>
      <w:r>
        <w:rPr>
          <w:b/>
        </w:rPr>
        <w:t>Lapacho bath: </w:t>
      </w:r>
      <w:r>
        <w:rPr/>
        <w:t>depending on the indication, lapacho can be used as a full or partial bath.</w:t>
      </w:r>
    </w:p>
    <w:p>
      <w:pPr>
        <w:pStyle w:val="BodyText"/>
        <w:spacing w:line="276" w:lineRule="auto" w:before="239"/>
        <w:ind w:left="477" w:right="132"/>
        <w:jc w:val="both"/>
      </w:pPr>
      <w:r>
        <w:rPr/>
        <w:t>Lapacho</w:t>
      </w:r>
      <w:r>
        <w:rPr>
          <w:spacing w:val="-10"/>
        </w:rPr>
        <w:t> </w:t>
      </w:r>
      <w:r>
        <w:rPr/>
        <w:t>full</w:t>
      </w:r>
      <w:r>
        <w:rPr>
          <w:spacing w:val="-10"/>
        </w:rPr>
        <w:t> </w:t>
      </w:r>
      <w:r>
        <w:rPr/>
        <w:t>bath:</w:t>
      </w:r>
      <w:r>
        <w:rPr>
          <w:spacing w:val="-7"/>
        </w:rPr>
        <w:t> </w:t>
      </w:r>
      <w:r>
        <w:rPr/>
        <w:t>alongside</w:t>
      </w:r>
      <w:r>
        <w:rPr>
          <w:spacing w:val="-10"/>
        </w:rPr>
        <w:t> </w:t>
      </w:r>
      <w:r>
        <w:rPr/>
        <w:t>the</w:t>
      </w:r>
      <w:r>
        <w:rPr>
          <w:spacing w:val="-13"/>
        </w:rPr>
        <w:t> </w:t>
      </w:r>
      <w:r>
        <w:rPr/>
        <w:t>bath</w:t>
      </w:r>
      <w:r>
        <w:rPr>
          <w:spacing w:val="-9"/>
        </w:rPr>
        <w:t> </w:t>
      </w:r>
      <w:r>
        <w:rPr/>
        <w:t>water</w:t>
      </w:r>
      <w:r>
        <w:rPr>
          <w:spacing w:val="-10"/>
        </w:rPr>
        <w:t> </w:t>
      </w:r>
      <w:r>
        <w:rPr/>
        <w:t>at</w:t>
      </w:r>
      <w:r>
        <w:rPr>
          <w:spacing w:val="-11"/>
        </w:rPr>
        <w:t> </w:t>
      </w:r>
      <w:r>
        <w:rPr/>
        <w:t>a</w:t>
      </w:r>
      <w:r>
        <w:rPr>
          <w:spacing w:val="-11"/>
        </w:rPr>
        <w:t> </w:t>
      </w:r>
      <w:r>
        <w:rPr/>
        <w:t>temperature</w:t>
      </w:r>
      <w:r>
        <w:rPr>
          <w:spacing w:val="-9"/>
        </w:rPr>
        <w:t> </w:t>
      </w:r>
      <w:r>
        <w:rPr/>
        <w:t>of</w:t>
      </w:r>
      <w:r>
        <w:rPr>
          <w:spacing w:val="-10"/>
        </w:rPr>
        <w:t> </w:t>
      </w:r>
      <w:r>
        <w:rPr/>
        <w:t>about</w:t>
      </w:r>
      <w:r>
        <w:rPr>
          <w:spacing w:val="-11"/>
        </w:rPr>
        <w:t> </w:t>
      </w:r>
      <w:r>
        <w:rPr/>
        <w:t>38-39</w:t>
      </w:r>
      <w:r>
        <w:rPr>
          <w:spacing w:val="-11"/>
        </w:rPr>
        <w:t> </w:t>
      </w:r>
      <w:r>
        <w:rPr/>
        <w:t>°C, boil about 1.5 litres of lapacho tea in double the usual strength. No further ad- ditives should be added to the bath. The recommended duration is about 30 minutes, afterwards, do not lather or dry off, but just slip into a dressing</w:t>
      </w:r>
      <w:r>
        <w:rPr>
          <w:spacing w:val="-52"/>
        </w:rPr>
        <w:t> </w:t>
      </w:r>
      <w:r>
        <w:rPr/>
        <w:t>gown.</w:t>
      </w:r>
    </w:p>
    <w:p>
      <w:pPr>
        <w:pStyle w:val="BodyText"/>
        <w:spacing w:line="276" w:lineRule="auto" w:before="241"/>
        <w:ind w:left="477"/>
      </w:pPr>
      <w:r>
        <w:rPr/>
        <w:t>Lapacho partial bath: partial baths are recommended when partial areas of the body are affected, such as hands or feet. Proceed as for a full bath.</w:t>
      </w:r>
    </w:p>
    <w:p>
      <w:pPr>
        <w:pStyle w:val="Heading1"/>
        <w:spacing w:before="222"/>
        <w:jc w:val="both"/>
      </w:pPr>
      <w:r>
        <w:rPr/>
        <w:t>Make your own lapacho elixir</w:t>
      </w:r>
    </w:p>
    <w:p>
      <w:pPr>
        <w:pStyle w:val="BodyText"/>
        <w:spacing w:before="179"/>
        <w:ind w:left="477"/>
        <w:jc w:val="both"/>
      </w:pPr>
      <w:r>
        <w:rPr/>
        <w:t>Lapacho elixir can be used both internally and externally.</w:t>
      </w:r>
    </w:p>
    <w:p>
      <w:pPr>
        <w:pStyle w:val="BodyText"/>
        <w:spacing w:before="305"/>
        <w:ind w:left="477"/>
        <w:jc w:val="both"/>
      </w:pPr>
      <w:r>
        <w:rPr/>
        <w:t>For 100 ml of lapacho elixir you need:</w:t>
      </w:r>
    </w:p>
    <w:p>
      <w:pPr>
        <w:pStyle w:val="ListParagraph"/>
        <w:numPr>
          <w:ilvl w:val="0"/>
          <w:numId w:val="54"/>
        </w:numPr>
        <w:tabs>
          <w:tab w:pos="893" w:val="left" w:leader="none"/>
        </w:tabs>
        <w:spacing w:line="240" w:lineRule="auto" w:before="186" w:after="0"/>
        <w:ind w:left="892" w:right="0" w:hanging="415"/>
        <w:jc w:val="both"/>
        <w:rPr>
          <w:sz w:val="38"/>
        </w:rPr>
      </w:pPr>
      <w:r>
        <w:rPr>
          <w:sz w:val="38"/>
        </w:rPr>
        <w:t>lapacho</w:t>
      </w:r>
      <w:r>
        <w:rPr>
          <w:spacing w:val="-2"/>
          <w:sz w:val="38"/>
        </w:rPr>
        <w:t> </w:t>
      </w:r>
      <w:r>
        <w:rPr>
          <w:sz w:val="38"/>
        </w:rPr>
        <w:t>bark</w:t>
      </w:r>
    </w:p>
    <w:p>
      <w:pPr>
        <w:pStyle w:val="ListParagraph"/>
        <w:numPr>
          <w:ilvl w:val="0"/>
          <w:numId w:val="54"/>
        </w:numPr>
        <w:tabs>
          <w:tab w:pos="893" w:val="left" w:leader="none"/>
        </w:tabs>
        <w:spacing w:line="240" w:lineRule="auto" w:before="63" w:after="0"/>
        <w:ind w:left="892" w:right="0" w:hanging="415"/>
        <w:jc w:val="both"/>
        <w:rPr>
          <w:sz w:val="38"/>
        </w:rPr>
      </w:pPr>
      <w:r>
        <w:rPr>
          <w:sz w:val="38"/>
        </w:rPr>
        <w:t>100 ml of alcohol (70</w:t>
      </w:r>
      <w:r>
        <w:rPr>
          <w:spacing w:val="-1"/>
          <w:sz w:val="38"/>
        </w:rPr>
        <w:t> </w:t>
      </w:r>
      <w:r>
        <w:rPr>
          <w:sz w:val="38"/>
        </w:rPr>
        <w:t>%)</w:t>
      </w:r>
    </w:p>
    <w:p>
      <w:pPr>
        <w:pStyle w:val="ListParagraph"/>
        <w:numPr>
          <w:ilvl w:val="0"/>
          <w:numId w:val="54"/>
        </w:numPr>
        <w:tabs>
          <w:tab w:pos="893" w:val="left" w:leader="none"/>
        </w:tabs>
        <w:spacing w:line="240" w:lineRule="auto" w:before="64" w:after="0"/>
        <w:ind w:left="892" w:right="0" w:hanging="415"/>
        <w:jc w:val="both"/>
        <w:rPr>
          <w:sz w:val="38"/>
        </w:rPr>
      </w:pPr>
      <w:r>
        <w:rPr>
          <w:sz w:val="38"/>
        </w:rPr>
        <w:t>glass container with dropper</w:t>
      </w:r>
      <w:r>
        <w:rPr>
          <w:spacing w:val="-2"/>
          <w:sz w:val="38"/>
        </w:rPr>
        <w:t> </w:t>
      </w:r>
      <w:r>
        <w:rPr>
          <w:sz w:val="38"/>
        </w:rPr>
        <w:t>insert.</w:t>
      </w:r>
    </w:p>
    <w:p>
      <w:pPr>
        <w:pStyle w:val="BodyText"/>
        <w:spacing w:before="303"/>
        <w:ind w:left="477"/>
        <w:jc w:val="both"/>
      </w:pPr>
      <w:r>
        <w:rPr/>
        <w:t>Chop the lapacho bark, mix it with the alcohol in a jar, put it in a vial and leave</w:t>
      </w:r>
    </w:p>
    <w:p>
      <w:pPr>
        <w:spacing w:after="0"/>
        <w:jc w:val="both"/>
        <w:sectPr>
          <w:pgSz w:w="14270" w:h="16850"/>
          <w:pgMar w:header="0" w:footer="1891" w:top="1600" w:bottom="2080" w:left="800" w:right="1280"/>
        </w:sectPr>
      </w:pPr>
    </w:p>
    <w:p>
      <w:pPr>
        <w:pStyle w:val="BodyText"/>
        <w:spacing w:line="276" w:lineRule="auto" w:before="181"/>
        <w:ind w:left="477" w:right="139"/>
        <w:jc w:val="both"/>
      </w:pPr>
      <w:r>
        <w:rPr/>
        <w:t>it covered (in the dark!) for about two weeks. Shake the bottle vigorously from time to time! Then pour the mixture into a glass vial with a dropper and keep cool!</w:t>
      </w:r>
    </w:p>
    <w:p>
      <w:pPr>
        <w:pStyle w:val="BodyText"/>
        <w:rPr>
          <w:sz w:val="42"/>
        </w:rPr>
      </w:pPr>
    </w:p>
    <w:p>
      <w:pPr>
        <w:pStyle w:val="BodyText"/>
        <w:spacing w:before="2"/>
        <w:rPr>
          <w:sz w:val="55"/>
        </w:rPr>
      </w:pPr>
    </w:p>
    <w:p>
      <w:pPr>
        <w:pStyle w:val="Heading2"/>
      </w:pPr>
      <w:r>
        <w:rPr/>
        <w:t>Examples of lapacho use, from A to Z</w:t>
      </w:r>
    </w:p>
    <w:p>
      <w:pPr>
        <w:spacing w:before="286"/>
        <w:ind w:left="477" w:right="0" w:firstLine="0"/>
        <w:jc w:val="left"/>
        <w:rPr>
          <w:b/>
          <w:i/>
          <w:sz w:val="40"/>
        </w:rPr>
      </w:pPr>
      <w:r>
        <w:rPr>
          <w:b/>
          <w:i/>
          <w:sz w:val="40"/>
        </w:rPr>
        <w:t>Use against immune deficiency</w:t>
      </w:r>
    </w:p>
    <w:p>
      <w:pPr>
        <w:pStyle w:val="BodyText"/>
        <w:spacing w:line="276" w:lineRule="auto" w:before="299"/>
        <w:ind w:left="477"/>
      </w:pPr>
      <w:r>
        <w:rPr/>
        <w:t>Since the immune system plays a crucial role in all diseases, it should be kept strong</w:t>
      </w:r>
      <w:r>
        <w:rPr>
          <w:spacing w:val="-26"/>
        </w:rPr>
        <w:t> </w:t>
      </w:r>
      <w:r>
        <w:rPr/>
        <w:t>for</w:t>
      </w:r>
      <w:r>
        <w:rPr>
          <w:spacing w:val="-25"/>
        </w:rPr>
        <w:t> </w:t>
      </w:r>
      <w:r>
        <w:rPr/>
        <w:t>life.</w:t>
      </w:r>
      <w:r>
        <w:rPr>
          <w:spacing w:val="-26"/>
        </w:rPr>
        <w:t> </w:t>
      </w:r>
      <w:r>
        <w:rPr/>
        <w:t>Use</w:t>
      </w:r>
      <w:r>
        <w:rPr>
          <w:spacing w:val="-25"/>
        </w:rPr>
        <w:t> </w:t>
      </w:r>
      <w:r>
        <w:rPr/>
        <w:t>should</w:t>
      </w:r>
      <w:r>
        <w:rPr>
          <w:spacing w:val="-26"/>
        </w:rPr>
        <w:t> </w:t>
      </w:r>
      <w:r>
        <w:rPr/>
        <w:t>therefore</w:t>
      </w:r>
      <w:r>
        <w:rPr>
          <w:spacing w:val="-26"/>
        </w:rPr>
        <w:t> </w:t>
      </w:r>
      <w:r>
        <w:rPr/>
        <w:t>be</w:t>
      </w:r>
      <w:r>
        <w:rPr>
          <w:spacing w:val="-26"/>
        </w:rPr>
        <w:t> </w:t>
      </w:r>
      <w:r>
        <w:rPr/>
        <w:t>continuous</w:t>
      </w:r>
      <w:r>
        <w:rPr>
          <w:spacing w:val="-27"/>
        </w:rPr>
        <w:t> </w:t>
      </w:r>
      <w:r>
        <w:rPr/>
        <w:t>in</w:t>
      </w:r>
      <w:r>
        <w:rPr>
          <w:spacing w:val="-25"/>
        </w:rPr>
        <w:t> </w:t>
      </w:r>
      <w:r>
        <w:rPr/>
        <w:t>case</w:t>
      </w:r>
      <w:r>
        <w:rPr>
          <w:spacing w:val="-25"/>
        </w:rPr>
        <w:t> </w:t>
      </w:r>
      <w:r>
        <w:rPr/>
        <w:t>of</w:t>
      </w:r>
      <w:r>
        <w:rPr>
          <w:spacing w:val="-26"/>
        </w:rPr>
        <w:t> </w:t>
      </w:r>
      <w:r>
        <w:rPr/>
        <w:t>immune</w:t>
      </w:r>
      <w:r>
        <w:rPr>
          <w:spacing w:val="-26"/>
        </w:rPr>
        <w:t> </w:t>
      </w:r>
      <w:r>
        <w:rPr/>
        <w:t>deficiency</w:t>
      </w:r>
    </w:p>
    <w:p>
      <w:pPr>
        <w:pStyle w:val="ListParagraph"/>
        <w:numPr>
          <w:ilvl w:val="0"/>
          <w:numId w:val="55"/>
        </w:numPr>
        <w:tabs>
          <w:tab w:pos="763" w:val="left" w:leader="none"/>
        </w:tabs>
        <w:spacing w:line="240" w:lineRule="auto" w:before="1" w:after="0"/>
        <w:ind w:left="477" w:right="0" w:firstLine="0"/>
        <w:jc w:val="left"/>
        <w:rPr>
          <w:sz w:val="38"/>
        </w:rPr>
      </w:pPr>
      <w:r>
        <w:rPr>
          <w:sz w:val="38"/>
        </w:rPr>
        <w:t>drink 3 cups of lapacho tea a</w:t>
      </w:r>
      <w:r>
        <w:rPr>
          <w:spacing w:val="1"/>
          <w:sz w:val="38"/>
        </w:rPr>
        <w:t> </w:t>
      </w:r>
      <w:r>
        <w:rPr>
          <w:sz w:val="38"/>
        </w:rPr>
        <w:t>day.</w:t>
      </w:r>
    </w:p>
    <w:p>
      <w:pPr>
        <w:pStyle w:val="Heading1"/>
        <w:spacing w:before="287"/>
      </w:pPr>
      <w:r>
        <w:rPr/>
        <w:t>Use against AIDS/HIV</w:t>
      </w:r>
    </w:p>
    <w:p>
      <w:pPr>
        <w:pStyle w:val="BodyText"/>
        <w:spacing w:line="276" w:lineRule="auto" w:before="299"/>
        <w:ind w:left="477" w:right="138"/>
        <w:jc w:val="both"/>
      </w:pPr>
      <w:r>
        <w:rPr/>
        <w:t>For serious diseases such as AIDS, it is advisable to take a dual approach. This means using highly concentrated lapacho capsules (1 capsule corresponds to about 1 litre of tea) in conjunction with normal lapacho tea. A general dosage recommendation</w:t>
      </w:r>
      <w:r>
        <w:rPr>
          <w:spacing w:val="-21"/>
        </w:rPr>
        <w:t> </w:t>
      </w:r>
      <w:r>
        <w:rPr/>
        <w:t>is</w:t>
      </w:r>
      <w:r>
        <w:rPr>
          <w:spacing w:val="-22"/>
        </w:rPr>
        <w:t> </w:t>
      </w:r>
      <w:r>
        <w:rPr/>
        <w:t>not</w:t>
      </w:r>
      <w:r>
        <w:rPr>
          <w:spacing w:val="-22"/>
        </w:rPr>
        <w:t> </w:t>
      </w:r>
      <w:r>
        <w:rPr/>
        <w:t>possible</w:t>
      </w:r>
      <w:r>
        <w:rPr>
          <w:spacing w:val="-24"/>
        </w:rPr>
        <w:t> </w:t>
      </w:r>
      <w:r>
        <w:rPr/>
        <w:t>for</w:t>
      </w:r>
      <w:r>
        <w:rPr>
          <w:spacing w:val="-21"/>
        </w:rPr>
        <w:t> </w:t>
      </w:r>
      <w:r>
        <w:rPr/>
        <w:t>AIDS</w:t>
      </w:r>
      <w:r>
        <w:rPr>
          <w:spacing w:val="-20"/>
        </w:rPr>
        <w:t> </w:t>
      </w:r>
      <w:r>
        <w:rPr/>
        <w:t>or</w:t>
      </w:r>
      <w:r>
        <w:rPr>
          <w:spacing w:val="-20"/>
        </w:rPr>
        <w:t> </w:t>
      </w:r>
      <w:r>
        <w:rPr/>
        <w:t>HIV</w:t>
      </w:r>
      <w:r>
        <w:rPr>
          <w:spacing w:val="-18"/>
        </w:rPr>
        <w:t> </w:t>
      </w:r>
      <w:r>
        <w:rPr/>
        <w:t>and</w:t>
      </w:r>
      <w:r>
        <w:rPr>
          <w:spacing w:val="-21"/>
        </w:rPr>
        <w:t> </w:t>
      </w:r>
      <w:r>
        <w:rPr/>
        <w:t>should</w:t>
      </w:r>
      <w:r>
        <w:rPr>
          <w:spacing w:val="-22"/>
        </w:rPr>
        <w:t> </w:t>
      </w:r>
      <w:r>
        <w:rPr/>
        <w:t>be</w:t>
      </w:r>
      <w:r>
        <w:rPr>
          <w:spacing w:val="-20"/>
        </w:rPr>
        <w:t> </w:t>
      </w:r>
      <w:r>
        <w:rPr/>
        <w:t>discussed</w:t>
      </w:r>
      <w:r>
        <w:rPr>
          <w:spacing w:val="-21"/>
        </w:rPr>
        <w:t> </w:t>
      </w:r>
      <w:r>
        <w:rPr/>
        <w:t>with a naturopath or complementary</w:t>
      </w:r>
      <w:r>
        <w:rPr>
          <w:spacing w:val="-1"/>
        </w:rPr>
        <w:t> </w:t>
      </w:r>
      <w:r>
        <w:rPr/>
        <w:t>physician.</w:t>
      </w:r>
    </w:p>
    <w:p>
      <w:pPr>
        <w:pStyle w:val="Heading1"/>
        <w:spacing w:before="223"/>
      </w:pPr>
      <w:r>
        <w:rPr/>
        <w:t>Use against allergies</w:t>
      </w:r>
    </w:p>
    <w:p>
      <w:pPr>
        <w:pStyle w:val="BodyText"/>
        <w:spacing w:line="276" w:lineRule="auto" w:before="299"/>
        <w:ind w:left="477"/>
      </w:pPr>
      <w:r>
        <w:rPr/>
        <w:t>Depending</w:t>
      </w:r>
      <w:r>
        <w:rPr>
          <w:spacing w:val="-16"/>
        </w:rPr>
        <w:t> </w:t>
      </w:r>
      <w:r>
        <w:rPr/>
        <w:t>on</w:t>
      </w:r>
      <w:r>
        <w:rPr>
          <w:spacing w:val="-17"/>
        </w:rPr>
        <w:t> </w:t>
      </w:r>
      <w:r>
        <w:rPr/>
        <w:t>the</w:t>
      </w:r>
      <w:r>
        <w:rPr>
          <w:spacing w:val="-15"/>
        </w:rPr>
        <w:t> </w:t>
      </w:r>
      <w:r>
        <w:rPr/>
        <w:t>severity</w:t>
      </w:r>
      <w:r>
        <w:rPr>
          <w:spacing w:val="-19"/>
        </w:rPr>
        <w:t> </w:t>
      </w:r>
      <w:r>
        <w:rPr/>
        <w:t>level,</w:t>
      </w:r>
      <w:r>
        <w:rPr>
          <w:spacing w:val="-15"/>
        </w:rPr>
        <w:t> </w:t>
      </w:r>
      <w:r>
        <w:rPr/>
        <w:t>take</w:t>
      </w:r>
      <w:r>
        <w:rPr>
          <w:spacing w:val="-17"/>
        </w:rPr>
        <w:t> </w:t>
      </w:r>
      <w:r>
        <w:rPr/>
        <w:t>1.5</w:t>
      </w:r>
      <w:r>
        <w:rPr>
          <w:spacing w:val="-15"/>
        </w:rPr>
        <w:t> </w:t>
      </w:r>
      <w:r>
        <w:rPr/>
        <w:t>litres</w:t>
      </w:r>
      <w:r>
        <w:rPr>
          <w:spacing w:val="-17"/>
        </w:rPr>
        <w:t> </w:t>
      </w:r>
      <w:r>
        <w:rPr/>
        <w:t>of</w:t>
      </w:r>
      <w:r>
        <w:rPr>
          <w:spacing w:val="-18"/>
        </w:rPr>
        <w:t> </w:t>
      </w:r>
      <w:r>
        <w:rPr/>
        <w:t>lapacho</w:t>
      </w:r>
      <w:r>
        <w:rPr>
          <w:spacing w:val="-15"/>
        </w:rPr>
        <w:t> </w:t>
      </w:r>
      <w:r>
        <w:rPr/>
        <w:t>tea</w:t>
      </w:r>
      <w:r>
        <w:rPr>
          <w:spacing w:val="-18"/>
        </w:rPr>
        <w:t> </w:t>
      </w:r>
      <w:r>
        <w:rPr/>
        <w:t>over</w:t>
      </w:r>
      <w:r>
        <w:rPr>
          <w:spacing w:val="-18"/>
        </w:rPr>
        <w:t> </w:t>
      </w:r>
      <w:r>
        <w:rPr/>
        <w:t>several</w:t>
      </w:r>
      <w:r>
        <w:rPr>
          <w:spacing w:val="-17"/>
        </w:rPr>
        <w:t> </w:t>
      </w:r>
      <w:r>
        <w:rPr/>
        <w:t>weeks and supplement with lapacho capsules for severe</w:t>
      </w:r>
      <w:r>
        <w:rPr>
          <w:spacing w:val="1"/>
        </w:rPr>
        <w:t> </w:t>
      </w:r>
      <w:r>
        <w:rPr/>
        <w:t>allergies.</w:t>
      </w:r>
    </w:p>
    <w:p>
      <w:pPr>
        <w:pStyle w:val="Heading1"/>
        <w:spacing w:before="222"/>
        <w:jc w:val="both"/>
      </w:pPr>
      <w:r>
        <w:rPr/>
        <w:t>Use against arthritis</w:t>
      </w:r>
    </w:p>
    <w:p>
      <w:pPr>
        <w:spacing w:after="0"/>
        <w:jc w:val="both"/>
        <w:sectPr>
          <w:pgSz w:w="14270" w:h="16850"/>
          <w:pgMar w:header="0" w:footer="1891" w:top="1600" w:bottom="2080" w:left="800" w:right="1280"/>
        </w:sectPr>
      </w:pPr>
    </w:p>
    <w:p>
      <w:pPr>
        <w:pStyle w:val="BodyText"/>
        <w:spacing w:line="276" w:lineRule="auto" w:before="181"/>
        <w:ind w:left="477" w:right="138"/>
        <w:jc w:val="both"/>
      </w:pPr>
      <w:r>
        <w:rPr/>
        <w:t>Distributed throughout the day, drink 1 litre of unsweetened lapacho tea daily between</w:t>
      </w:r>
      <w:r>
        <w:rPr>
          <w:spacing w:val="-14"/>
        </w:rPr>
        <w:t> </w:t>
      </w:r>
      <w:r>
        <w:rPr/>
        <w:t>meals.</w:t>
      </w:r>
      <w:r>
        <w:rPr>
          <w:spacing w:val="-14"/>
        </w:rPr>
        <w:t> </w:t>
      </w:r>
      <w:r>
        <w:rPr/>
        <w:t>Furthermore,</w:t>
      </w:r>
      <w:r>
        <w:rPr>
          <w:spacing w:val="-14"/>
        </w:rPr>
        <w:t> </w:t>
      </w:r>
      <w:r>
        <w:rPr/>
        <w:t>apply</w:t>
      </w:r>
      <w:r>
        <w:rPr>
          <w:spacing w:val="-14"/>
        </w:rPr>
        <w:t> </w:t>
      </w:r>
      <w:r>
        <w:rPr/>
        <w:t>compresses</w:t>
      </w:r>
      <w:r>
        <w:rPr>
          <w:spacing w:val="-14"/>
        </w:rPr>
        <w:t> </w:t>
      </w:r>
      <w:r>
        <w:rPr/>
        <w:t>soaked</w:t>
      </w:r>
      <w:r>
        <w:rPr>
          <w:spacing w:val="-15"/>
        </w:rPr>
        <w:t> </w:t>
      </w:r>
      <w:r>
        <w:rPr/>
        <w:t>in</w:t>
      </w:r>
      <w:r>
        <w:rPr>
          <w:spacing w:val="-14"/>
        </w:rPr>
        <w:t> </w:t>
      </w:r>
      <w:r>
        <w:rPr/>
        <w:t>lapacho</w:t>
      </w:r>
      <w:r>
        <w:rPr>
          <w:spacing w:val="-15"/>
        </w:rPr>
        <w:t> </w:t>
      </w:r>
      <w:r>
        <w:rPr/>
        <w:t>several</w:t>
      </w:r>
      <w:r>
        <w:rPr>
          <w:spacing w:val="-17"/>
        </w:rPr>
        <w:t> </w:t>
      </w:r>
      <w:r>
        <w:rPr/>
        <w:t>times a</w:t>
      </w:r>
      <w:r>
        <w:rPr>
          <w:spacing w:val="-2"/>
        </w:rPr>
        <w:t> </w:t>
      </w:r>
      <w:r>
        <w:rPr/>
        <w:t>day.</w:t>
      </w:r>
    </w:p>
    <w:p>
      <w:pPr>
        <w:pStyle w:val="Heading1"/>
      </w:pPr>
      <w:r>
        <w:rPr/>
        <w:t>Use against anaemia</w:t>
      </w:r>
    </w:p>
    <w:p>
      <w:pPr>
        <w:pStyle w:val="BodyText"/>
        <w:spacing w:line="276" w:lineRule="auto" w:before="300"/>
        <w:ind w:left="477" w:right="135"/>
        <w:jc w:val="both"/>
      </w:pPr>
      <w:r>
        <w:rPr/>
        <w:t>Drink</w:t>
      </w:r>
      <w:r>
        <w:rPr>
          <w:spacing w:val="-16"/>
        </w:rPr>
        <w:t> </w:t>
      </w:r>
      <w:r>
        <w:rPr/>
        <w:t>3-4</w:t>
      </w:r>
      <w:r>
        <w:rPr>
          <w:spacing w:val="-16"/>
        </w:rPr>
        <w:t> </w:t>
      </w:r>
      <w:r>
        <w:rPr/>
        <w:t>cups</w:t>
      </w:r>
      <w:r>
        <w:rPr>
          <w:spacing w:val="-14"/>
        </w:rPr>
        <w:t> </w:t>
      </w:r>
      <w:r>
        <w:rPr/>
        <w:t>of</w:t>
      </w:r>
      <w:r>
        <w:rPr>
          <w:spacing w:val="-15"/>
        </w:rPr>
        <w:t> </w:t>
      </w:r>
      <w:r>
        <w:rPr/>
        <w:t>lapacho</w:t>
      </w:r>
      <w:r>
        <w:rPr>
          <w:spacing w:val="-14"/>
        </w:rPr>
        <w:t> </w:t>
      </w:r>
      <w:r>
        <w:rPr/>
        <w:t>tea</w:t>
      </w:r>
      <w:r>
        <w:rPr>
          <w:spacing w:val="-16"/>
        </w:rPr>
        <w:t> </w:t>
      </w:r>
      <w:r>
        <w:rPr/>
        <w:t>daily</w:t>
      </w:r>
      <w:r>
        <w:rPr>
          <w:spacing w:val="-14"/>
        </w:rPr>
        <w:t> </w:t>
      </w:r>
      <w:r>
        <w:rPr/>
        <w:t>for</w:t>
      </w:r>
      <w:r>
        <w:rPr>
          <w:spacing w:val="-14"/>
        </w:rPr>
        <w:t> </w:t>
      </w:r>
      <w:r>
        <w:rPr/>
        <w:t>four</w:t>
      </w:r>
      <w:r>
        <w:rPr>
          <w:spacing w:val="-15"/>
        </w:rPr>
        <w:t> </w:t>
      </w:r>
      <w:r>
        <w:rPr/>
        <w:t>to</w:t>
      </w:r>
      <w:r>
        <w:rPr>
          <w:spacing w:val="-14"/>
        </w:rPr>
        <w:t> </w:t>
      </w:r>
      <w:r>
        <w:rPr/>
        <w:t>six</w:t>
      </w:r>
      <w:r>
        <w:rPr>
          <w:spacing w:val="-17"/>
        </w:rPr>
        <w:t> </w:t>
      </w:r>
      <w:r>
        <w:rPr/>
        <w:t>weeks.</w:t>
      </w:r>
      <w:r>
        <w:rPr>
          <w:spacing w:val="-13"/>
        </w:rPr>
        <w:t> </w:t>
      </w:r>
      <w:r>
        <w:rPr/>
        <w:t>If</w:t>
      </w:r>
      <w:r>
        <w:rPr>
          <w:spacing w:val="-16"/>
        </w:rPr>
        <w:t> </w:t>
      </w:r>
      <w:r>
        <w:rPr/>
        <w:t>there</w:t>
      </w:r>
      <w:r>
        <w:rPr>
          <w:spacing w:val="-12"/>
        </w:rPr>
        <w:t> </w:t>
      </w:r>
      <w:r>
        <w:rPr/>
        <w:t>is</w:t>
      </w:r>
      <w:r>
        <w:rPr>
          <w:spacing w:val="-16"/>
        </w:rPr>
        <w:t> </w:t>
      </w:r>
      <w:r>
        <w:rPr/>
        <w:t>an</w:t>
      </w:r>
      <w:r>
        <w:rPr>
          <w:spacing w:val="-14"/>
        </w:rPr>
        <w:t> </w:t>
      </w:r>
      <w:r>
        <w:rPr/>
        <w:t>improve- ment, 2-3 cups a day will usually</w:t>
      </w:r>
      <w:r>
        <w:rPr>
          <w:spacing w:val="1"/>
        </w:rPr>
        <w:t> </w:t>
      </w:r>
      <w:r>
        <w:rPr/>
        <w:t>suffice.</w:t>
      </w:r>
    </w:p>
    <w:p>
      <w:pPr>
        <w:pStyle w:val="Heading1"/>
        <w:spacing w:before="221"/>
      </w:pPr>
      <w:r>
        <w:rPr/>
        <w:t>Use against respiratory diseases</w:t>
      </w:r>
    </w:p>
    <w:p>
      <w:pPr>
        <w:pStyle w:val="BodyText"/>
        <w:spacing w:line="276" w:lineRule="auto" w:before="299"/>
        <w:ind w:left="477" w:right="132"/>
        <w:jc w:val="both"/>
      </w:pPr>
      <w:r>
        <w:rPr/>
        <w:t>In</w:t>
      </w:r>
      <w:r>
        <w:rPr>
          <w:spacing w:val="-7"/>
        </w:rPr>
        <w:t> </w:t>
      </w:r>
      <w:r>
        <w:rPr/>
        <w:t>respiratory</w:t>
      </w:r>
      <w:r>
        <w:rPr>
          <w:spacing w:val="-8"/>
        </w:rPr>
        <w:t> </w:t>
      </w:r>
      <w:r>
        <w:rPr/>
        <w:t>diseases,</w:t>
      </w:r>
      <w:r>
        <w:rPr>
          <w:spacing w:val="-7"/>
        </w:rPr>
        <w:t> </w:t>
      </w:r>
      <w:r>
        <w:rPr/>
        <w:t>such</w:t>
      </w:r>
      <w:r>
        <w:rPr>
          <w:spacing w:val="-7"/>
        </w:rPr>
        <w:t> </w:t>
      </w:r>
      <w:r>
        <w:rPr/>
        <w:t>as</w:t>
      </w:r>
      <w:r>
        <w:rPr>
          <w:spacing w:val="-10"/>
        </w:rPr>
        <w:t> </w:t>
      </w:r>
      <w:r>
        <w:rPr/>
        <w:t>bronchitis</w:t>
      </w:r>
      <w:r>
        <w:rPr>
          <w:spacing w:val="-3"/>
        </w:rPr>
        <w:t> </w:t>
      </w:r>
      <w:r>
        <w:rPr/>
        <w:t>and</w:t>
      </w:r>
      <w:r>
        <w:rPr>
          <w:spacing w:val="-8"/>
        </w:rPr>
        <w:t> </w:t>
      </w:r>
      <w:r>
        <w:rPr/>
        <w:t>asthma,</w:t>
      </w:r>
      <w:r>
        <w:rPr>
          <w:spacing w:val="-7"/>
        </w:rPr>
        <w:t> </w:t>
      </w:r>
      <w:r>
        <w:rPr/>
        <w:t>a</w:t>
      </w:r>
      <w:r>
        <w:rPr>
          <w:spacing w:val="-8"/>
        </w:rPr>
        <w:t> </w:t>
      </w:r>
      <w:r>
        <w:rPr/>
        <w:t>dual</w:t>
      </w:r>
      <w:r>
        <w:rPr>
          <w:spacing w:val="-9"/>
        </w:rPr>
        <w:t> </w:t>
      </w:r>
      <w:r>
        <w:rPr/>
        <w:t>use</w:t>
      </w:r>
      <w:r>
        <w:rPr>
          <w:spacing w:val="-10"/>
        </w:rPr>
        <w:t> </w:t>
      </w:r>
      <w:r>
        <w:rPr/>
        <w:t>of</w:t>
      </w:r>
      <w:r>
        <w:rPr>
          <w:spacing w:val="-8"/>
        </w:rPr>
        <w:t> </w:t>
      </w:r>
      <w:r>
        <w:rPr/>
        <w:t>lapacho</w:t>
      </w:r>
      <w:r>
        <w:rPr>
          <w:spacing w:val="-8"/>
        </w:rPr>
        <w:t> </w:t>
      </w:r>
      <w:r>
        <w:rPr/>
        <w:t>tea has proven to be successful, both in the form of oral ingestion and concomi- tantly</w:t>
      </w:r>
      <w:r>
        <w:rPr>
          <w:spacing w:val="-9"/>
        </w:rPr>
        <w:t> </w:t>
      </w:r>
      <w:r>
        <w:rPr/>
        <w:t>in</w:t>
      </w:r>
      <w:r>
        <w:rPr>
          <w:spacing w:val="-9"/>
        </w:rPr>
        <w:t> </w:t>
      </w:r>
      <w:r>
        <w:rPr/>
        <w:t>the</w:t>
      </w:r>
      <w:r>
        <w:rPr>
          <w:spacing w:val="-8"/>
        </w:rPr>
        <w:t> </w:t>
      </w:r>
      <w:r>
        <w:rPr/>
        <w:t>form</w:t>
      </w:r>
      <w:r>
        <w:rPr>
          <w:spacing w:val="-9"/>
        </w:rPr>
        <w:t> </w:t>
      </w:r>
      <w:r>
        <w:rPr/>
        <w:t>of</w:t>
      </w:r>
      <w:r>
        <w:rPr>
          <w:spacing w:val="-9"/>
        </w:rPr>
        <w:t> </w:t>
      </w:r>
      <w:r>
        <w:rPr/>
        <w:t>inhalations.</w:t>
      </w:r>
      <w:r>
        <w:rPr>
          <w:spacing w:val="-8"/>
        </w:rPr>
        <w:t> </w:t>
      </w:r>
      <w:r>
        <w:rPr/>
        <w:t>In</w:t>
      </w:r>
      <w:r>
        <w:rPr>
          <w:spacing w:val="-10"/>
        </w:rPr>
        <w:t> </w:t>
      </w:r>
      <w:r>
        <w:rPr/>
        <w:t>severe</w:t>
      </w:r>
      <w:r>
        <w:rPr>
          <w:spacing w:val="-9"/>
        </w:rPr>
        <w:t> </w:t>
      </w:r>
      <w:r>
        <w:rPr/>
        <w:t>cases,</w:t>
      </w:r>
      <w:r>
        <w:rPr>
          <w:spacing w:val="-10"/>
        </w:rPr>
        <w:t> </w:t>
      </w:r>
      <w:r>
        <w:rPr/>
        <w:t>supplementation</w:t>
      </w:r>
      <w:r>
        <w:rPr>
          <w:spacing w:val="-8"/>
        </w:rPr>
        <w:t> </w:t>
      </w:r>
      <w:r>
        <w:rPr/>
        <w:t>with</w:t>
      </w:r>
      <w:r>
        <w:rPr>
          <w:spacing w:val="-9"/>
        </w:rPr>
        <w:t> </w:t>
      </w:r>
      <w:r>
        <w:rPr/>
        <w:t>lapacho capsules is</w:t>
      </w:r>
      <w:r>
        <w:rPr>
          <w:spacing w:val="1"/>
        </w:rPr>
        <w:t> </w:t>
      </w:r>
      <w:r>
        <w:rPr/>
        <w:t>recommended.</w:t>
      </w:r>
    </w:p>
    <w:p>
      <w:pPr>
        <w:pStyle w:val="BodyText"/>
        <w:spacing w:line="276" w:lineRule="auto" w:before="240"/>
        <w:ind w:left="477" w:right="133"/>
        <w:jc w:val="both"/>
      </w:pPr>
      <w:r>
        <w:rPr/>
        <w:t>Drink</w:t>
      </w:r>
      <w:r>
        <w:rPr>
          <w:spacing w:val="-12"/>
        </w:rPr>
        <w:t> </w:t>
      </w:r>
      <w:r>
        <w:rPr/>
        <w:t>3-4</w:t>
      </w:r>
      <w:r>
        <w:rPr>
          <w:spacing w:val="-11"/>
        </w:rPr>
        <w:t> </w:t>
      </w:r>
      <w:r>
        <w:rPr/>
        <w:t>cups</w:t>
      </w:r>
      <w:r>
        <w:rPr>
          <w:spacing w:val="-13"/>
        </w:rPr>
        <w:t> </w:t>
      </w:r>
      <w:r>
        <w:rPr/>
        <w:t>of</w:t>
      </w:r>
      <w:r>
        <w:rPr>
          <w:spacing w:val="-10"/>
        </w:rPr>
        <w:t> </w:t>
      </w:r>
      <w:r>
        <w:rPr/>
        <w:t>lapacho</w:t>
      </w:r>
      <w:r>
        <w:rPr>
          <w:spacing w:val="-11"/>
        </w:rPr>
        <w:t> </w:t>
      </w:r>
      <w:r>
        <w:rPr/>
        <w:t>tea</w:t>
      </w:r>
      <w:r>
        <w:rPr>
          <w:spacing w:val="-11"/>
        </w:rPr>
        <w:t> </w:t>
      </w:r>
      <w:r>
        <w:rPr/>
        <w:t>sweetened</w:t>
      </w:r>
      <w:r>
        <w:rPr>
          <w:spacing w:val="-11"/>
        </w:rPr>
        <w:t> </w:t>
      </w:r>
      <w:r>
        <w:rPr/>
        <w:t>with</w:t>
      </w:r>
      <w:r>
        <w:rPr>
          <w:spacing w:val="-10"/>
        </w:rPr>
        <w:t> </w:t>
      </w:r>
      <w:r>
        <w:rPr/>
        <w:t>honey</w:t>
      </w:r>
      <w:r>
        <w:rPr>
          <w:spacing w:val="-10"/>
        </w:rPr>
        <w:t> </w:t>
      </w:r>
      <w:r>
        <w:rPr/>
        <w:t>every</w:t>
      </w:r>
      <w:r>
        <w:rPr>
          <w:spacing w:val="-14"/>
        </w:rPr>
        <w:t> </w:t>
      </w:r>
      <w:r>
        <w:rPr/>
        <w:t>day</w:t>
      </w:r>
      <w:r>
        <w:rPr>
          <w:spacing w:val="-13"/>
        </w:rPr>
        <w:t> </w:t>
      </w:r>
      <w:r>
        <w:rPr/>
        <w:t>–</w:t>
      </w:r>
      <w:r>
        <w:rPr>
          <w:spacing w:val="-14"/>
        </w:rPr>
        <w:t> </w:t>
      </w:r>
      <w:r>
        <w:rPr/>
        <w:t>the</w:t>
      </w:r>
      <w:r>
        <w:rPr>
          <w:spacing w:val="-10"/>
        </w:rPr>
        <w:t> </w:t>
      </w:r>
      <w:r>
        <w:rPr/>
        <w:t>honey</w:t>
      </w:r>
      <w:r>
        <w:rPr>
          <w:spacing w:val="-13"/>
        </w:rPr>
        <w:t> </w:t>
      </w:r>
      <w:r>
        <w:rPr/>
        <w:t>also has an effect on the bronchi. Lapacho tea is also suitable as an inhalant: Boil in the pot, in a strength double that used for drinking. After the tea has cooled down slightly, place a towel over the head and the pot to minimise the amount of air that can escape and inhale for 12-15</w:t>
      </w:r>
      <w:r>
        <w:rPr>
          <w:spacing w:val="-1"/>
        </w:rPr>
        <w:t> </w:t>
      </w:r>
      <w:r>
        <w:rPr/>
        <w:t>minutes.</w:t>
      </w:r>
    </w:p>
    <w:p>
      <w:pPr>
        <w:pStyle w:val="Heading1"/>
        <w:spacing w:before="225"/>
      </w:pPr>
      <w:r>
        <w:rPr/>
        <w:t>Use against Candida albicans</w:t>
      </w:r>
    </w:p>
    <w:p>
      <w:pPr>
        <w:pStyle w:val="BodyText"/>
        <w:spacing w:line="276" w:lineRule="auto" w:before="299"/>
        <w:ind w:left="477" w:right="132"/>
        <w:jc w:val="both"/>
      </w:pPr>
      <w:r>
        <w:rPr/>
        <w:t>Candida albicans requires lengthy treatment, which should consist of a corre- sponding diet and stimulation of the immune system. 3-4 cups of lapacho tea a day are recommended, with 1-2 lapacho capsules.</w:t>
      </w:r>
    </w:p>
    <w:p>
      <w:pPr>
        <w:spacing w:after="0" w:line="276" w:lineRule="auto"/>
        <w:jc w:val="both"/>
        <w:sectPr>
          <w:footerReference w:type="default" r:id="rId205"/>
          <w:pgSz w:w="14270" w:h="16850"/>
          <w:pgMar w:footer="1891" w:header="0" w:top="1600" w:bottom="2080" w:left="800" w:right="1280"/>
          <w:pgNumType w:start="850"/>
        </w:sectPr>
      </w:pPr>
    </w:p>
    <w:p>
      <w:pPr>
        <w:pStyle w:val="Heading1"/>
        <w:spacing w:before="164"/>
      </w:pPr>
      <w:r>
        <w:rPr/>
        <w:t>Use with chemotherapy</w:t>
      </w:r>
    </w:p>
    <w:p>
      <w:pPr>
        <w:pStyle w:val="BodyText"/>
        <w:spacing w:line="276" w:lineRule="auto" w:before="299"/>
        <w:ind w:left="477" w:right="133"/>
        <w:jc w:val="both"/>
      </w:pPr>
      <w:r>
        <w:rPr/>
        <w:t>Lapacho</w:t>
      </w:r>
      <w:r>
        <w:rPr>
          <w:spacing w:val="-13"/>
        </w:rPr>
        <w:t> </w:t>
      </w:r>
      <w:r>
        <w:rPr/>
        <w:t>tea</w:t>
      </w:r>
      <w:r>
        <w:rPr>
          <w:spacing w:val="-14"/>
        </w:rPr>
        <w:t> </w:t>
      </w:r>
      <w:r>
        <w:rPr/>
        <w:t>provides</w:t>
      </w:r>
      <w:r>
        <w:rPr>
          <w:spacing w:val="-13"/>
        </w:rPr>
        <w:t> </w:t>
      </w:r>
      <w:r>
        <w:rPr/>
        <w:t>multifactorial,</w:t>
      </w:r>
      <w:r>
        <w:rPr>
          <w:spacing w:val="-12"/>
        </w:rPr>
        <w:t> </w:t>
      </w:r>
      <w:r>
        <w:rPr/>
        <w:t>beneficial</w:t>
      </w:r>
      <w:r>
        <w:rPr>
          <w:spacing w:val="-13"/>
        </w:rPr>
        <w:t> </w:t>
      </w:r>
      <w:r>
        <w:rPr/>
        <w:t>effects</w:t>
      </w:r>
      <w:r>
        <w:rPr>
          <w:spacing w:val="-13"/>
        </w:rPr>
        <w:t> </w:t>
      </w:r>
      <w:r>
        <w:rPr/>
        <w:t>during</w:t>
      </w:r>
      <w:r>
        <w:rPr>
          <w:spacing w:val="-13"/>
        </w:rPr>
        <w:t> </w:t>
      </w:r>
      <w:r>
        <w:rPr/>
        <w:t>chemotherapy:</w:t>
      </w:r>
      <w:r>
        <w:rPr>
          <w:spacing w:val="-14"/>
        </w:rPr>
        <w:t> </w:t>
      </w:r>
      <w:r>
        <w:rPr/>
        <w:t>on the one hand, it strengthens the immune system which is attacked by chemo- therapy and has a pain-relieving effect on the psyche, while on the other hand it helps to flush out the dying cancer cells, which can heavily burden and even poison the organism, more effectively from the body. The kidneys are</w:t>
      </w:r>
      <w:r>
        <w:rPr>
          <w:spacing w:val="-52"/>
        </w:rPr>
        <w:t> </w:t>
      </w:r>
      <w:r>
        <w:rPr/>
        <w:t>relieved, the</w:t>
      </w:r>
      <w:r>
        <w:rPr>
          <w:spacing w:val="-12"/>
        </w:rPr>
        <w:t> </w:t>
      </w:r>
      <w:r>
        <w:rPr/>
        <w:t>intestine</w:t>
      </w:r>
      <w:r>
        <w:rPr>
          <w:spacing w:val="-12"/>
        </w:rPr>
        <w:t> </w:t>
      </w:r>
      <w:r>
        <w:rPr/>
        <w:t>is</w:t>
      </w:r>
      <w:r>
        <w:rPr>
          <w:spacing w:val="-13"/>
        </w:rPr>
        <w:t> </w:t>
      </w:r>
      <w:r>
        <w:rPr/>
        <w:t>cleansed</w:t>
      </w:r>
      <w:r>
        <w:rPr>
          <w:spacing w:val="-12"/>
        </w:rPr>
        <w:t> </w:t>
      </w:r>
      <w:r>
        <w:rPr/>
        <w:t>and</w:t>
      </w:r>
      <w:r>
        <w:rPr>
          <w:spacing w:val="-12"/>
        </w:rPr>
        <w:t> </w:t>
      </w:r>
      <w:r>
        <w:rPr/>
        <w:t>the</w:t>
      </w:r>
      <w:r>
        <w:rPr>
          <w:spacing w:val="-14"/>
        </w:rPr>
        <w:t> </w:t>
      </w:r>
      <w:r>
        <w:rPr/>
        <w:t>mucous</w:t>
      </w:r>
      <w:r>
        <w:rPr>
          <w:spacing w:val="-13"/>
        </w:rPr>
        <w:t> </w:t>
      </w:r>
      <w:r>
        <w:rPr/>
        <w:t>membranes</w:t>
      </w:r>
      <w:r>
        <w:rPr>
          <w:spacing w:val="-11"/>
        </w:rPr>
        <w:t> </w:t>
      </w:r>
      <w:r>
        <w:rPr/>
        <w:t>are</w:t>
      </w:r>
      <w:r>
        <w:rPr>
          <w:spacing w:val="-12"/>
        </w:rPr>
        <w:t> </w:t>
      </w:r>
      <w:r>
        <w:rPr/>
        <w:t>protected.</w:t>
      </w:r>
      <w:r>
        <w:rPr>
          <w:spacing w:val="-12"/>
        </w:rPr>
        <w:t> </w:t>
      </w:r>
      <w:r>
        <w:rPr/>
        <w:t>Conclusion: the side effects of chemotherapy are</w:t>
      </w:r>
      <w:r>
        <w:rPr>
          <w:spacing w:val="2"/>
        </w:rPr>
        <w:t> </w:t>
      </w:r>
      <w:r>
        <w:rPr/>
        <w:t>reduced.</w:t>
      </w:r>
    </w:p>
    <w:p>
      <w:pPr>
        <w:pStyle w:val="BodyText"/>
        <w:spacing w:line="276" w:lineRule="auto" w:before="241"/>
        <w:ind w:left="477" w:right="132"/>
        <w:jc w:val="both"/>
      </w:pPr>
      <w:r>
        <w:rPr/>
        <w:t>It is recommended to drink 1 litre of lapacho tea daily between meals, possibly supplemented by 1-2 lapacho capsules. Here it is important to avoid sugar, as sugar</w:t>
      </w:r>
      <w:r>
        <w:rPr>
          <w:spacing w:val="-24"/>
        </w:rPr>
        <w:t> </w:t>
      </w:r>
      <w:r>
        <w:rPr/>
        <w:t>nourishes</w:t>
      </w:r>
      <w:r>
        <w:rPr>
          <w:spacing w:val="-24"/>
        </w:rPr>
        <w:t> </w:t>
      </w:r>
      <w:r>
        <w:rPr/>
        <w:t>the</w:t>
      </w:r>
      <w:r>
        <w:rPr>
          <w:spacing w:val="-24"/>
        </w:rPr>
        <w:t> </w:t>
      </w:r>
      <w:r>
        <w:rPr/>
        <w:t>cancer!</w:t>
      </w:r>
      <w:r>
        <w:rPr>
          <w:spacing w:val="-24"/>
        </w:rPr>
        <w:t> </w:t>
      </w:r>
      <w:r>
        <w:rPr/>
        <w:t>If</w:t>
      </w:r>
      <w:r>
        <w:rPr>
          <w:spacing w:val="-25"/>
        </w:rPr>
        <w:t> </w:t>
      </w:r>
      <w:r>
        <w:rPr/>
        <w:t>you</w:t>
      </w:r>
      <w:r>
        <w:rPr>
          <w:spacing w:val="-29"/>
        </w:rPr>
        <w:t> </w:t>
      </w:r>
      <w:r>
        <w:rPr/>
        <w:t>like</w:t>
      </w:r>
      <w:r>
        <w:rPr>
          <w:spacing w:val="-26"/>
        </w:rPr>
        <w:t> </w:t>
      </w:r>
      <w:r>
        <w:rPr/>
        <w:t>sweetness,</w:t>
      </w:r>
      <w:r>
        <w:rPr>
          <w:spacing w:val="-24"/>
        </w:rPr>
        <w:t> </w:t>
      </w:r>
      <w:r>
        <w:rPr/>
        <w:t>you</w:t>
      </w:r>
      <w:r>
        <w:rPr>
          <w:spacing w:val="-25"/>
        </w:rPr>
        <w:t> </w:t>
      </w:r>
      <w:r>
        <w:rPr/>
        <w:t>can</w:t>
      </w:r>
      <w:r>
        <w:rPr>
          <w:spacing w:val="-24"/>
        </w:rPr>
        <w:t> </w:t>
      </w:r>
      <w:r>
        <w:rPr/>
        <w:t>easily</w:t>
      </w:r>
      <w:r>
        <w:rPr>
          <w:spacing w:val="-25"/>
        </w:rPr>
        <w:t> </w:t>
      </w:r>
      <w:r>
        <w:rPr/>
        <w:t>use</w:t>
      </w:r>
      <w:r>
        <w:rPr>
          <w:spacing w:val="-23"/>
        </w:rPr>
        <w:t> </w:t>
      </w:r>
      <w:r>
        <w:rPr/>
        <w:t>stevia,</w:t>
      </w:r>
      <w:r>
        <w:rPr>
          <w:spacing w:val="-24"/>
        </w:rPr>
        <w:t> </w:t>
      </w:r>
      <w:r>
        <w:rPr/>
        <w:t>which is a healthy alternative to sugar and unhealthy artificial</w:t>
      </w:r>
      <w:r>
        <w:rPr>
          <w:spacing w:val="-8"/>
        </w:rPr>
        <w:t> </w:t>
      </w:r>
      <w:r>
        <w:rPr/>
        <w:t>sweeteners.</w:t>
      </w:r>
    </w:p>
    <w:p>
      <w:pPr>
        <w:pStyle w:val="Heading1"/>
        <w:spacing w:before="222"/>
      </w:pPr>
      <w:r>
        <w:rPr/>
        <w:t>Use against intestinal pain</w:t>
      </w:r>
    </w:p>
    <w:p>
      <w:pPr>
        <w:pStyle w:val="BodyText"/>
        <w:spacing w:line="276" w:lineRule="auto" w:before="300"/>
        <w:ind w:left="477"/>
      </w:pPr>
      <w:r>
        <w:rPr/>
        <w:t>Lapacho proves to be highly effective against bowel disorders, including diar- rhoea and constipation. Here, lapacho acts on several fronts:</w:t>
      </w:r>
    </w:p>
    <w:p>
      <w:pPr>
        <w:pStyle w:val="ListParagraph"/>
        <w:numPr>
          <w:ilvl w:val="0"/>
          <w:numId w:val="54"/>
        </w:numPr>
        <w:tabs>
          <w:tab w:pos="892" w:val="left" w:leader="none"/>
          <w:tab w:pos="893" w:val="left" w:leader="none"/>
        </w:tabs>
        <w:spacing w:line="240" w:lineRule="auto" w:before="242" w:after="0"/>
        <w:ind w:left="892" w:right="0" w:hanging="415"/>
        <w:jc w:val="left"/>
        <w:rPr>
          <w:sz w:val="38"/>
        </w:rPr>
      </w:pPr>
      <w:r>
        <w:rPr>
          <w:sz w:val="38"/>
        </w:rPr>
        <w:t>It regulates the intestinal flora,</w:t>
      </w:r>
    </w:p>
    <w:p>
      <w:pPr>
        <w:pStyle w:val="ListParagraph"/>
        <w:numPr>
          <w:ilvl w:val="0"/>
          <w:numId w:val="54"/>
        </w:numPr>
        <w:tabs>
          <w:tab w:pos="892" w:val="left" w:leader="none"/>
          <w:tab w:pos="893" w:val="left" w:leader="none"/>
        </w:tabs>
        <w:spacing w:line="240" w:lineRule="auto" w:before="64" w:after="0"/>
        <w:ind w:left="892" w:right="0" w:hanging="415"/>
        <w:jc w:val="left"/>
        <w:rPr>
          <w:sz w:val="38"/>
        </w:rPr>
      </w:pPr>
      <w:r>
        <w:rPr>
          <w:sz w:val="38"/>
        </w:rPr>
        <w:t>digestion</w:t>
      </w:r>
      <w:r>
        <w:rPr>
          <w:spacing w:val="-2"/>
          <w:sz w:val="38"/>
        </w:rPr>
        <w:t> </w:t>
      </w:r>
      <w:r>
        <w:rPr>
          <w:sz w:val="38"/>
        </w:rPr>
        <w:t>and</w:t>
      </w:r>
    </w:p>
    <w:p>
      <w:pPr>
        <w:pStyle w:val="ListParagraph"/>
        <w:numPr>
          <w:ilvl w:val="0"/>
          <w:numId w:val="54"/>
        </w:numPr>
        <w:tabs>
          <w:tab w:pos="892" w:val="left" w:leader="none"/>
          <w:tab w:pos="893" w:val="left" w:leader="none"/>
        </w:tabs>
        <w:spacing w:line="240" w:lineRule="auto" w:before="63" w:after="0"/>
        <w:ind w:left="892" w:right="0" w:hanging="415"/>
        <w:jc w:val="left"/>
        <w:rPr>
          <w:sz w:val="38"/>
        </w:rPr>
      </w:pPr>
      <w:r>
        <w:rPr>
          <w:sz w:val="38"/>
        </w:rPr>
        <w:t>has an anti-inflammatory effect.</w:t>
      </w:r>
    </w:p>
    <w:p>
      <w:pPr>
        <w:pStyle w:val="BodyText"/>
        <w:spacing w:line="276" w:lineRule="auto" w:before="303"/>
        <w:ind w:left="477"/>
      </w:pPr>
      <w:r>
        <w:rPr/>
        <w:t>Drinking 1 litre of lapacho tea between meals for several months is recom- mended.</w:t>
      </w:r>
    </w:p>
    <w:p>
      <w:pPr>
        <w:spacing w:after="0" w:line="276" w:lineRule="auto"/>
        <w:sectPr>
          <w:pgSz w:w="14270" w:h="16850"/>
          <w:pgMar w:header="0" w:footer="1891" w:top="1600" w:bottom="2080" w:left="800" w:right="1280"/>
        </w:sectPr>
      </w:pPr>
    </w:p>
    <w:p>
      <w:pPr>
        <w:pStyle w:val="Heading1"/>
        <w:spacing w:before="164"/>
      </w:pPr>
      <w:r>
        <w:rPr/>
        <w:t>Use against diabetes</w:t>
      </w:r>
    </w:p>
    <w:p>
      <w:pPr>
        <w:pStyle w:val="BodyText"/>
        <w:spacing w:line="276" w:lineRule="auto" w:before="299"/>
        <w:ind w:left="477" w:right="136"/>
        <w:jc w:val="both"/>
      </w:pPr>
      <w:r>
        <w:rPr/>
        <w:t>According to numerous observations, lapacho tea can not only alleviate diabe- tes, especially Type 1 (juvenile diabetes), but even cure it by normalising sugar levels.</w:t>
      </w:r>
    </w:p>
    <w:p>
      <w:pPr>
        <w:pStyle w:val="BodyText"/>
        <w:spacing w:line="276" w:lineRule="auto" w:before="242"/>
        <w:ind w:left="477" w:right="136"/>
        <w:jc w:val="both"/>
      </w:pPr>
      <w:r>
        <w:rPr/>
        <w:t>For this purpose, it is recommended to take 1 litre unsweetened lapacho tea daily</w:t>
      </w:r>
      <w:r>
        <w:rPr>
          <w:spacing w:val="-22"/>
        </w:rPr>
        <w:t> </w:t>
      </w:r>
      <w:r>
        <w:rPr/>
        <w:t>between</w:t>
      </w:r>
      <w:r>
        <w:rPr>
          <w:spacing w:val="-20"/>
        </w:rPr>
        <w:t> </w:t>
      </w:r>
      <w:r>
        <w:rPr/>
        <w:t>meals,</w:t>
      </w:r>
      <w:r>
        <w:rPr>
          <w:spacing w:val="-21"/>
        </w:rPr>
        <w:t> </w:t>
      </w:r>
      <w:r>
        <w:rPr/>
        <w:t>possibly</w:t>
      </w:r>
      <w:r>
        <w:rPr>
          <w:spacing w:val="-21"/>
        </w:rPr>
        <w:t> </w:t>
      </w:r>
      <w:r>
        <w:rPr/>
        <w:t>also</w:t>
      </w:r>
      <w:r>
        <w:rPr>
          <w:spacing w:val="-21"/>
        </w:rPr>
        <w:t> </w:t>
      </w:r>
      <w:r>
        <w:rPr/>
        <w:t>1</w:t>
      </w:r>
      <w:r>
        <w:rPr>
          <w:spacing w:val="-22"/>
        </w:rPr>
        <w:t> </w:t>
      </w:r>
      <w:r>
        <w:rPr/>
        <w:t>lapacho</w:t>
      </w:r>
      <w:r>
        <w:rPr>
          <w:spacing w:val="-21"/>
        </w:rPr>
        <w:t> </w:t>
      </w:r>
      <w:r>
        <w:rPr/>
        <w:t>capsule.</w:t>
      </w:r>
      <w:r>
        <w:rPr>
          <w:spacing w:val="-21"/>
        </w:rPr>
        <w:t> </w:t>
      </w:r>
      <w:r>
        <w:rPr/>
        <w:t>Whoever</w:t>
      </w:r>
      <w:r>
        <w:rPr>
          <w:spacing w:val="-21"/>
        </w:rPr>
        <w:t> </w:t>
      </w:r>
      <w:r>
        <w:rPr/>
        <w:t>wants</w:t>
      </w:r>
      <w:r>
        <w:rPr>
          <w:spacing w:val="-20"/>
        </w:rPr>
        <w:t> </w:t>
      </w:r>
      <w:r>
        <w:rPr/>
        <w:t>to</w:t>
      </w:r>
      <w:r>
        <w:rPr>
          <w:spacing w:val="-21"/>
        </w:rPr>
        <w:t> </w:t>
      </w:r>
      <w:r>
        <w:rPr/>
        <w:t>sweeten their tea can use diabetic-friendly</w:t>
      </w:r>
      <w:r>
        <w:rPr>
          <w:spacing w:val="3"/>
        </w:rPr>
        <w:t> </w:t>
      </w:r>
      <w:r>
        <w:rPr/>
        <w:t>stevia!</w:t>
      </w:r>
    </w:p>
    <w:p>
      <w:pPr>
        <w:pStyle w:val="Heading1"/>
        <w:spacing w:before="222"/>
      </w:pPr>
      <w:r>
        <w:rPr/>
        <w:t>Use against eczema</w:t>
      </w:r>
    </w:p>
    <w:p>
      <w:pPr>
        <w:pStyle w:val="BodyText"/>
        <w:spacing w:before="299"/>
        <w:ind w:left="477"/>
      </w:pPr>
      <w:r>
        <w:rPr/>
        <w:t>For</w:t>
      </w:r>
      <w:r>
        <w:rPr>
          <w:spacing w:val="-21"/>
        </w:rPr>
        <w:t> </w:t>
      </w:r>
      <w:r>
        <w:rPr/>
        <w:t>eczema,</w:t>
      </w:r>
      <w:r>
        <w:rPr>
          <w:spacing w:val="-21"/>
        </w:rPr>
        <w:t> </w:t>
      </w:r>
      <w:r>
        <w:rPr/>
        <w:t>it</w:t>
      </w:r>
      <w:r>
        <w:rPr>
          <w:spacing w:val="-24"/>
        </w:rPr>
        <w:t> </w:t>
      </w:r>
      <w:r>
        <w:rPr/>
        <w:t>is</w:t>
      </w:r>
      <w:r>
        <w:rPr>
          <w:spacing w:val="-24"/>
        </w:rPr>
        <w:t> </w:t>
      </w:r>
      <w:r>
        <w:rPr/>
        <w:t>recommended</w:t>
      </w:r>
      <w:r>
        <w:rPr>
          <w:spacing w:val="-22"/>
        </w:rPr>
        <w:t> </w:t>
      </w:r>
      <w:r>
        <w:rPr/>
        <w:t>to</w:t>
      </w:r>
      <w:r>
        <w:rPr>
          <w:spacing w:val="-21"/>
        </w:rPr>
        <w:t> </w:t>
      </w:r>
      <w:r>
        <w:rPr/>
        <w:t>use</w:t>
      </w:r>
      <w:r>
        <w:rPr>
          <w:spacing w:val="-18"/>
        </w:rPr>
        <w:t> </w:t>
      </w:r>
      <w:r>
        <w:rPr/>
        <w:t>lapacho</w:t>
      </w:r>
      <w:r>
        <w:rPr>
          <w:spacing w:val="-23"/>
        </w:rPr>
        <w:t> </w:t>
      </w:r>
      <w:r>
        <w:rPr/>
        <w:t>tea</w:t>
      </w:r>
      <w:r>
        <w:rPr>
          <w:spacing w:val="-22"/>
        </w:rPr>
        <w:t> </w:t>
      </w:r>
      <w:r>
        <w:rPr/>
        <w:t>both</w:t>
      </w:r>
      <w:r>
        <w:rPr>
          <w:spacing w:val="-23"/>
        </w:rPr>
        <w:t> </w:t>
      </w:r>
      <w:r>
        <w:rPr/>
        <w:t>internally</w:t>
      </w:r>
      <w:r>
        <w:rPr>
          <w:spacing w:val="-24"/>
        </w:rPr>
        <w:t> </w:t>
      </w:r>
      <w:r>
        <w:rPr/>
        <w:t>and</w:t>
      </w:r>
      <w:r>
        <w:rPr>
          <w:spacing w:val="-21"/>
        </w:rPr>
        <w:t> </w:t>
      </w:r>
      <w:r>
        <w:rPr/>
        <w:t>externally.</w:t>
      </w:r>
    </w:p>
    <w:p>
      <w:pPr>
        <w:pStyle w:val="BodyText"/>
        <w:spacing w:line="276" w:lineRule="auto" w:before="304"/>
        <w:ind w:left="477" w:right="139"/>
        <w:jc w:val="both"/>
      </w:pPr>
      <w:r>
        <w:rPr>
          <w:i/>
        </w:rPr>
        <w:t>External application: </w:t>
      </w:r>
      <w:r>
        <w:rPr/>
        <w:t>through its disinfecting effect, lapacho tea kills bacteria and fungi on the skin. Immerse a cloth in lapacho tea, allow to cool and dab the affected areas; repeat several times a day. Even full baths with lapacho tea sup- port this effect considerably.</w:t>
      </w:r>
    </w:p>
    <w:p>
      <w:pPr>
        <w:spacing w:before="240"/>
        <w:ind w:left="477" w:right="0" w:firstLine="0"/>
        <w:jc w:val="left"/>
        <w:rPr>
          <w:sz w:val="38"/>
        </w:rPr>
      </w:pPr>
      <w:r>
        <w:rPr>
          <w:i/>
          <w:sz w:val="38"/>
        </w:rPr>
        <w:t>Inner application: </w:t>
      </w:r>
      <w:r>
        <w:rPr>
          <w:sz w:val="38"/>
        </w:rPr>
        <w:t>drink about 1 litre of lapacho tea between meals during the day.</w:t>
      </w:r>
    </w:p>
    <w:p>
      <w:pPr>
        <w:pStyle w:val="Heading1"/>
        <w:spacing w:before="287"/>
      </w:pPr>
      <w:r>
        <w:rPr/>
        <w:t>Use for detoxification (e.g. alcoholism or drug abuse)</w:t>
      </w:r>
    </w:p>
    <w:p>
      <w:pPr>
        <w:pStyle w:val="BodyText"/>
        <w:spacing w:line="276" w:lineRule="auto" w:before="299"/>
        <w:ind w:left="477" w:right="133"/>
        <w:jc w:val="both"/>
      </w:pPr>
      <w:r>
        <w:rPr/>
        <w:t>Detoxification and normalisation of metabolism will be recommended for at least four to six months. In the first two to four weeks, you should drink</w:t>
      </w:r>
      <w:r>
        <w:rPr>
          <w:spacing w:val="-49"/>
        </w:rPr>
        <w:t> </w:t>
      </w:r>
      <w:r>
        <w:rPr/>
        <w:t>about</w:t>
      </w:r>
    </w:p>
    <w:p>
      <w:pPr>
        <w:pStyle w:val="BodyText"/>
        <w:spacing w:line="276" w:lineRule="auto" w:before="2"/>
        <w:ind w:left="477" w:right="143"/>
        <w:jc w:val="both"/>
      </w:pPr>
      <w:r>
        <w:rPr/>
        <w:t>1.5 l of lapacho tea, followed by about ¾ litres. In addition, full lapacho baths are recommended 1-3 times a week.</w:t>
      </w:r>
    </w:p>
    <w:p>
      <w:pPr>
        <w:spacing w:after="0" w:line="276" w:lineRule="auto"/>
        <w:jc w:val="both"/>
        <w:sectPr>
          <w:pgSz w:w="14270" w:h="16850"/>
          <w:pgMar w:header="0" w:footer="1891" w:top="1600" w:bottom="2080" w:left="800" w:right="1280"/>
        </w:sectPr>
      </w:pPr>
    </w:p>
    <w:p>
      <w:pPr>
        <w:pStyle w:val="Heading1"/>
        <w:spacing w:before="164"/>
      </w:pPr>
      <w:r>
        <w:rPr/>
        <w:t>Use for colds</w:t>
      </w:r>
    </w:p>
    <w:p>
      <w:pPr>
        <w:pStyle w:val="BodyText"/>
        <w:spacing w:line="276" w:lineRule="auto" w:before="299"/>
        <w:ind w:left="477" w:right="134"/>
        <w:jc w:val="both"/>
      </w:pPr>
      <w:r>
        <w:rPr/>
        <w:t>Drink</w:t>
      </w:r>
      <w:r>
        <w:rPr>
          <w:spacing w:val="-24"/>
        </w:rPr>
        <w:t> </w:t>
      </w:r>
      <w:r>
        <w:rPr/>
        <w:t>4-5</w:t>
      </w:r>
      <w:r>
        <w:rPr>
          <w:spacing w:val="-24"/>
        </w:rPr>
        <w:t> </w:t>
      </w:r>
      <w:r>
        <w:rPr/>
        <w:t>cups</w:t>
      </w:r>
      <w:r>
        <w:rPr>
          <w:spacing w:val="-23"/>
        </w:rPr>
        <w:t> </w:t>
      </w:r>
      <w:r>
        <w:rPr/>
        <w:t>of</w:t>
      </w:r>
      <w:r>
        <w:rPr>
          <w:spacing w:val="-23"/>
        </w:rPr>
        <w:t> </w:t>
      </w:r>
      <w:r>
        <w:rPr/>
        <w:t>lapacho</w:t>
      </w:r>
      <w:r>
        <w:rPr>
          <w:spacing w:val="-22"/>
        </w:rPr>
        <w:t> </w:t>
      </w:r>
      <w:r>
        <w:rPr/>
        <w:t>tea</w:t>
      </w:r>
      <w:r>
        <w:rPr>
          <w:spacing w:val="-24"/>
        </w:rPr>
        <w:t> </w:t>
      </w:r>
      <w:r>
        <w:rPr/>
        <w:t>daily.</w:t>
      </w:r>
      <w:r>
        <w:rPr>
          <w:spacing w:val="-23"/>
        </w:rPr>
        <w:t> </w:t>
      </w:r>
      <w:r>
        <w:rPr/>
        <w:t>It</w:t>
      </w:r>
      <w:r>
        <w:rPr>
          <w:spacing w:val="-24"/>
        </w:rPr>
        <w:t> </w:t>
      </w:r>
      <w:r>
        <w:rPr/>
        <w:t>is</w:t>
      </w:r>
      <w:r>
        <w:rPr>
          <w:spacing w:val="-25"/>
        </w:rPr>
        <w:t> </w:t>
      </w:r>
      <w:r>
        <w:rPr/>
        <w:t>advisable</w:t>
      </w:r>
      <w:r>
        <w:rPr>
          <w:spacing w:val="-24"/>
        </w:rPr>
        <w:t> </w:t>
      </w:r>
      <w:r>
        <w:rPr/>
        <w:t>to</w:t>
      </w:r>
      <w:r>
        <w:rPr>
          <w:spacing w:val="-23"/>
        </w:rPr>
        <w:t> </w:t>
      </w:r>
      <w:r>
        <w:rPr/>
        <w:t>sweeten</w:t>
      </w:r>
      <w:r>
        <w:rPr>
          <w:spacing w:val="-23"/>
        </w:rPr>
        <w:t> </w:t>
      </w:r>
      <w:r>
        <w:rPr/>
        <w:t>the</w:t>
      </w:r>
      <w:r>
        <w:rPr>
          <w:spacing w:val="-23"/>
        </w:rPr>
        <w:t> </w:t>
      </w:r>
      <w:r>
        <w:rPr/>
        <w:t>tea</w:t>
      </w:r>
      <w:r>
        <w:rPr>
          <w:spacing w:val="-24"/>
        </w:rPr>
        <w:t> </w:t>
      </w:r>
      <w:r>
        <w:rPr/>
        <w:t>with</w:t>
      </w:r>
      <w:r>
        <w:rPr>
          <w:spacing w:val="-23"/>
        </w:rPr>
        <w:t> </w:t>
      </w:r>
      <w:r>
        <w:rPr/>
        <w:t>honey, since honey has a positive effect on</w:t>
      </w:r>
      <w:r>
        <w:rPr>
          <w:spacing w:val="-3"/>
        </w:rPr>
        <w:t> </w:t>
      </w:r>
      <w:r>
        <w:rPr/>
        <w:t>colds.</w:t>
      </w:r>
    </w:p>
    <w:p>
      <w:pPr>
        <w:pStyle w:val="Heading1"/>
      </w:pPr>
      <w:r>
        <w:rPr/>
        <w:t>Use against athlete's foot</w:t>
      </w:r>
    </w:p>
    <w:p>
      <w:pPr>
        <w:pStyle w:val="BodyText"/>
        <w:spacing w:line="276" w:lineRule="auto" w:before="299"/>
        <w:ind w:left="477" w:right="142"/>
        <w:jc w:val="both"/>
      </w:pPr>
      <w:r>
        <w:rPr/>
        <w:t>As with all fungal diseases, internal and the external treatment with lapacho</w:t>
      </w:r>
      <w:r>
        <w:rPr>
          <w:spacing w:val="-54"/>
        </w:rPr>
        <w:t> </w:t>
      </w:r>
      <w:r>
        <w:rPr/>
        <w:t>are absolutely essential!</w:t>
      </w:r>
    </w:p>
    <w:p>
      <w:pPr>
        <w:pStyle w:val="BodyText"/>
        <w:spacing w:line="276" w:lineRule="auto" w:before="239"/>
        <w:ind w:left="477" w:right="136"/>
        <w:jc w:val="both"/>
      </w:pPr>
      <w:r>
        <w:rPr>
          <w:i/>
        </w:rPr>
        <w:t>External</w:t>
      </w:r>
      <w:r>
        <w:rPr>
          <w:i/>
          <w:spacing w:val="-21"/>
        </w:rPr>
        <w:t> </w:t>
      </w:r>
      <w:r>
        <w:rPr>
          <w:i/>
        </w:rPr>
        <w:t>treatment:</w:t>
      </w:r>
      <w:r>
        <w:rPr>
          <w:i/>
          <w:spacing w:val="-19"/>
        </w:rPr>
        <w:t> </w:t>
      </w:r>
      <w:r>
        <w:rPr/>
        <w:t>immerse</w:t>
      </w:r>
      <w:r>
        <w:rPr>
          <w:spacing w:val="-20"/>
        </w:rPr>
        <w:t> </w:t>
      </w:r>
      <w:r>
        <w:rPr/>
        <w:t>a</w:t>
      </w:r>
      <w:r>
        <w:rPr>
          <w:spacing w:val="-21"/>
        </w:rPr>
        <w:t> </w:t>
      </w:r>
      <w:r>
        <w:rPr/>
        <w:t>cloth</w:t>
      </w:r>
      <w:r>
        <w:rPr>
          <w:spacing w:val="-20"/>
        </w:rPr>
        <w:t> </w:t>
      </w:r>
      <w:r>
        <w:rPr/>
        <w:t>in</w:t>
      </w:r>
      <w:r>
        <w:rPr>
          <w:spacing w:val="-20"/>
        </w:rPr>
        <w:t> </w:t>
      </w:r>
      <w:r>
        <w:rPr/>
        <w:t>lapacho</w:t>
      </w:r>
      <w:r>
        <w:rPr>
          <w:spacing w:val="-21"/>
        </w:rPr>
        <w:t> </w:t>
      </w:r>
      <w:r>
        <w:rPr/>
        <w:t>tea,</w:t>
      </w:r>
      <w:r>
        <w:rPr>
          <w:spacing w:val="-20"/>
        </w:rPr>
        <w:t> </w:t>
      </w:r>
      <w:r>
        <w:rPr/>
        <w:t>allow</w:t>
      </w:r>
      <w:r>
        <w:rPr>
          <w:spacing w:val="-22"/>
        </w:rPr>
        <w:t> </w:t>
      </w:r>
      <w:r>
        <w:rPr/>
        <w:t>to</w:t>
      </w:r>
      <w:r>
        <w:rPr>
          <w:spacing w:val="-20"/>
        </w:rPr>
        <w:t> </w:t>
      </w:r>
      <w:r>
        <w:rPr/>
        <w:t>cool</w:t>
      </w:r>
      <w:r>
        <w:rPr>
          <w:spacing w:val="-21"/>
        </w:rPr>
        <w:t> </w:t>
      </w:r>
      <w:r>
        <w:rPr/>
        <w:t>and</w:t>
      </w:r>
      <w:r>
        <w:rPr>
          <w:spacing w:val="-21"/>
        </w:rPr>
        <w:t> </w:t>
      </w:r>
      <w:r>
        <w:rPr/>
        <w:t>dab</w:t>
      </w:r>
      <w:r>
        <w:rPr>
          <w:spacing w:val="-21"/>
        </w:rPr>
        <w:t> </w:t>
      </w:r>
      <w:r>
        <w:rPr/>
        <w:t>the</w:t>
      </w:r>
      <w:r>
        <w:rPr>
          <w:spacing w:val="-19"/>
        </w:rPr>
        <w:t> </w:t>
      </w:r>
      <w:r>
        <w:rPr/>
        <w:t>areas affected by Athlete’s foot; repeat several times a day. Even whole foot baths with lapacho tea prove to be very</w:t>
      </w:r>
      <w:r>
        <w:rPr>
          <w:spacing w:val="2"/>
        </w:rPr>
        <w:t> </w:t>
      </w:r>
      <w:r>
        <w:rPr/>
        <w:t>helpful.</w:t>
      </w:r>
    </w:p>
    <w:p>
      <w:pPr>
        <w:pStyle w:val="BodyText"/>
        <w:spacing w:line="276" w:lineRule="auto" w:before="241"/>
        <w:ind w:left="477" w:right="133"/>
        <w:jc w:val="both"/>
      </w:pPr>
      <w:r>
        <w:rPr>
          <w:i/>
        </w:rPr>
        <w:t>Internal</w:t>
      </w:r>
      <w:r>
        <w:rPr>
          <w:i/>
          <w:spacing w:val="-26"/>
        </w:rPr>
        <w:t> </w:t>
      </w:r>
      <w:r>
        <w:rPr>
          <w:i/>
        </w:rPr>
        <w:t>use:</w:t>
      </w:r>
      <w:r>
        <w:rPr>
          <w:i/>
          <w:spacing w:val="-24"/>
        </w:rPr>
        <w:t> </w:t>
      </w:r>
      <w:r>
        <w:rPr/>
        <w:t>distribute</w:t>
      </w:r>
      <w:r>
        <w:rPr>
          <w:spacing w:val="-23"/>
        </w:rPr>
        <w:t> </w:t>
      </w:r>
      <w:r>
        <w:rPr/>
        <w:t>about</w:t>
      </w:r>
      <w:r>
        <w:rPr>
          <w:spacing w:val="-28"/>
        </w:rPr>
        <w:t> </w:t>
      </w:r>
      <w:r>
        <w:rPr/>
        <w:t>500</w:t>
      </w:r>
      <w:r>
        <w:rPr>
          <w:spacing w:val="-24"/>
        </w:rPr>
        <w:t> </w:t>
      </w:r>
      <w:r>
        <w:rPr/>
        <w:t>ml</w:t>
      </w:r>
      <w:r>
        <w:rPr>
          <w:spacing w:val="-25"/>
        </w:rPr>
        <w:t> </w:t>
      </w:r>
      <w:r>
        <w:rPr/>
        <w:t>to</w:t>
      </w:r>
      <w:r>
        <w:rPr>
          <w:spacing w:val="-22"/>
        </w:rPr>
        <w:t> </w:t>
      </w:r>
      <w:r>
        <w:rPr/>
        <w:t>1</w:t>
      </w:r>
      <w:r>
        <w:rPr>
          <w:spacing w:val="-25"/>
        </w:rPr>
        <w:t> </w:t>
      </w:r>
      <w:r>
        <w:rPr/>
        <w:t>litre</w:t>
      </w:r>
      <w:r>
        <w:rPr>
          <w:spacing w:val="-22"/>
        </w:rPr>
        <w:t> </w:t>
      </w:r>
      <w:r>
        <w:rPr/>
        <w:t>of</w:t>
      </w:r>
      <w:r>
        <w:rPr>
          <w:spacing w:val="-25"/>
        </w:rPr>
        <w:t> </w:t>
      </w:r>
      <w:r>
        <w:rPr/>
        <w:t>lapacho</w:t>
      </w:r>
      <w:r>
        <w:rPr>
          <w:spacing w:val="-23"/>
        </w:rPr>
        <w:t> </w:t>
      </w:r>
      <w:r>
        <w:rPr/>
        <w:t>tea</w:t>
      </w:r>
      <w:r>
        <w:rPr>
          <w:spacing w:val="-25"/>
        </w:rPr>
        <w:t> </w:t>
      </w:r>
      <w:r>
        <w:rPr/>
        <w:t>between</w:t>
      </w:r>
      <w:r>
        <w:rPr>
          <w:spacing w:val="-22"/>
        </w:rPr>
        <w:t> </w:t>
      </w:r>
      <w:r>
        <w:rPr/>
        <w:t>meals</w:t>
      </w:r>
      <w:r>
        <w:rPr>
          <w:spacing w:val="-26"/>
        </w:rPr>
        <w:t> </w:t>
      </w:r>
      <w:r>
        <w:rPr/>
        <w:t>during the</w:t>
      </w:r>
      <w:r>
        <w:rPr>
          <w:spacing w:val="1"/>
        </w:rPr>
        <w:t> </w:t>
      </w:r>
      <w:r>
        <w:rPr/>
        <w:t>day.</w:t>
      </w:r>
    </w:p>
    <w:p>
      <w:pPr>
        <w:pStyle w:val="Heading1"/>
        <w:spacing w:before="222"/>
      </w:pPr>
      <w:r>
        <w:rPr/>
        <w:t>Use against gastritis</w:t>
      </w:r>
    </w:p>
    <w:p>
      <w:pPr>
        <w:pStyle w:val="BodyText"/>
        <w:spacing w:line="276" w:lineRule="auto" w:before="299"/>
        <w:ind w:left="477" w:right="133"/>
        <w:jc w:val="both"/>
      </w:pPr>
      <w:r>
        <w:rPr/>
        <w:t>Drink about 1 litre of unsweetened lapacho tea throughout the day until</w:t>
      </w:r>
      <w:r>
        <w:rPr>
          <w:spacing w:val="-41"/>
        </w:rPr>
        <w:t> </w:t>
      </w:r>
      <w:r>
        <w:rPr/>
        <w:t>symp- toms recede. Once the symptoms have receded, 2-3 cups of lapacho tea a day are enough to maintain the</w:t>
      </w:r>
      <w:r>
        <w:rPr>
          <w:spacing w:val="3"/>
        </w:rPr>
        <w:t> </w:t>
      </w:r>
      <w:r>
        <w:rPr/>
        <w:t>effect.</w:t>
      </w:r>
    </w:p>
    <w:p>
      <w:pPr>
        <w:pStyle w:val="Heading1"/>
      </w:pPr>
      <w:r>
        <w:rPr/>
        <w:t>Use for joint complaints</w:t>
      </w:r>
    </w:p>
    <w:p>
      <w:pPr>
        <w:pStyle w:val="BodyText"/>
        <w:spacing w:line="276" w:lineRule="auto" w:before="300"/>
        <w:ind w:left="477" w:right="140"/>
        <w:jc w:val="both"/>
      </w:pPr>
      <w:r>
        <w:rPr/>
        <w:t>Distributed throughout the day, drink 1 litre of unsweetened lapacho tea be- tween meals. Furthermore, apply compresses soaked in lapacho several times a day.</w:t>
      </w:r>
    </w:p>
    <w:p>
      <w:pPr>
        <w:spacing w:after="0" w:line="276" w:lineRule="auto"/>
        <w:jc w:val="both"/>
        <w:sectPr>
          <w:pgSz w:w="14270" w:h="16850"/>
          <w:pgMar w:header="0" w:footer="1891" w:top="1600" w:bottom="2080" w:left="800" w:right="1280"/>
        </w:sectPr>
      </w:pPr>
    </w:p>
    <w:p>
      <w:pPr>
        <w:pStyle w:val="Heading1"/>
        <w:spacing w:before="164"/>
      </w:pPr>
      <w:r>
        <w:rPr/>
        <w:t>Use against cataracts</w:t>
      </w:r>
    </w:p>
    <w:p>
      <w:pPr>
        <w:pStyle w:val="BodyText"/>
        <w:spacing w:line="276" w:lineRule="auto" w:before="299"/>
        <w:ind w:left="477" w:right="132"/>
        <w:jc w:val="both"/>
      </w:pPr>
      <w:r>
        <w:rPr/>
        <w:t>In</w:t>
      </w:r>
      <w:r>
        <w:rPr>
          <w:spacing w:val="-14"/>
        </w:rPr>
        <w:t> </w:t>
      </w:r>
      <w:r>
        <w:rPr/>
        <w:t>the</w:t>
      </w:r>
      <w:r>
        <w:rPr>
          <w:spacing w:val="-12"/>
        </w:rPr>
        <w:t> </w:t>
      </w:r>
      <w:r>
        <w:rPr/>
        <w:t>case</w:t>
      </w:r>
      <w:r>
        <w:rPr>
          <w:spacing w:val="-12"/>
        </w:rPr>
        <w:t> </w:t>
      </w:r>
      <w:r>
        <w:rPr/>
        <w:t>of</w:t>
      </w:r>
      <w:r>
        <w:rPr>
          <w:spacing w:val="-15"/>
        </w:rPr>
        <w:t> </w:t>
      </w:r>
      <w:r>
        <w:rPr/>
        <w:t>cataracts,</w:t>
      </w:r>
      <w:r>
        <w:rPr>
          <w:spacing w:val="-12"/>
        </w:rPr>
        <w:t> </w:t>
      </w:r>
      <w:r>
        <w:rPr/>
        <w:t>it</w:t>
      </w:r>
      <w:r>
        <w:rPr>
          <w:spacing w:val="-14"/>
        </w:rPr>
        <w:t> </w:t>
      </w:r>
      <w:r>
        <w:rPr/>
        <w:t>is</w:t>
      </w:r>
      <w:r>
        <w:rPr>
          <w:spacing w:val="-13"/>
        </w:rPr>
        <w:t> </w:t>
      </w:r>
      <w:r>
        <w:rPr/>
        <w:t>important</w:t>
      </w:r>
      <w:r>
        <w:rPr>
          <w:spacing w:val="-13"/>
        </w:rPr>
        <w:t> </w:t>
      </w:r>
      <w:r>
        <w:rPr/>
        <w:t>to</w:t>
      </w:r>
      <w:r>
        <w:rPr>
          <w:spacing w:val="-13"/>
        </w:rPr>
        <w:t> </w:t>
      </w:r>
      <w:r>
        <w:rPr/>
        <w:t>try</w:t>
      </w:r>
      <w:r>
        <w:rPr>
          <w:spacing w:val="-12"/>
        </w:rPr>
        <w:t> </w:t>
      </w:r>
      <w:r>
        <w:rPr/>
        <w:t>out</w:t>
      </w:r>
      <w:r>
        <w:rPr>
          <w:spacing w:val="-17"/>
        </w:rPr>
        <w:t> </w:t>
      </w:r>
      <w:r>
        <w:rPr/>
        <w:t>the</w:t>
      </w:r>
      <w:r>
        <w:rPr>
          <w:spacing w:val="-14"/>
        </w:rPr>
        <w:t> </w:t>
      </w:r>
      <w:r>
        <w:rPr/>
        <w:t>traditional</w:t>
      </w:r>
      <w:r>
        <w:rPr>
          <w:spacing w:val="-13"/>
        </w:rPr>
        <w:t> </w:t>
      </w:r>
      <w:r>
        <w:rPr/>
        <w:t>South</w:t>
      </w:r>
      <w:r>
        <w:rPr>
          <w:spacing w:val="-13"/>
        </w:rPr>
        <w:t> </w:t>
      </w:r>
      <w:r>
        <w:rPr/>
        <w:t>American treatment, which involves both drinking lapacho tea and applying an eye wash made with cooled lapacho</w:t>
      </w:r>
      <w:r>
        <w:rPr>
          <w:spacing w:val="2"/>
        </w:rPr>
        <w:t> </w:t>
      </w:r>
      <w:r>
        <w:rPr/>
        <w:t>tea.</w:t>
      </w:r>
    </w:p>
    <w:p>
      <w:pPr>
        <w:pStyle w:val="BodyText"/>
        <w:spacing w:line="276" w:lineRule="auto" w:before="242"/>
        <w:ind w:left="477"/>
      </w:pPr>
      <w:r>
        <w:rPr>
          <w:i/>
        </w:rPr>
        <w:t>Internal use: </w:t>
      </w:r>
      <w:r>
        <w:rPr/>
        <w:t>distributed throughout the day, drink 2-5 cups of unsweetened lapacho tea between meals.</w:t>
      </w:r>
    </w:p>
    <w:p>
      <w:pPr>
        <w:spacing w:line="276" w:lineRule="auto" w:before="238"/>
        <w:ind w:left="477" w:right="0" w:firstLine="0"/>
        <w:jc w:val="left"/>
        <w:rPr>
          <w:sz w:val="38"/>
        </w:rPr>
      </w:pPr>
      <w:r>
        <w:rPr>
          <w:i/>
          <w:sz w:val="38"/>
        </w:rPr>
        <w:t>External application: </w:t>
      </w:r>
      <w:r>
        <w:rPr>
          <w:sz w:val="38"/>
        </w:rPr>
        <w:t>rinse eyes several times a day with cloths soaked in cold lapacho tea.</w:t>
      </w:r>
    </w:p>
    <w:p>
      <w:pPr>
        <w:pStyle w:val="Heading1"/>
      </w:pPr>
      <w:r>
        <w:rPr/>
        <w:t>Use with flu</w:t>
      </w:r>
    </w:p>
    <w:p>
      <w:pPr>
        <w:pStyle w:val="BodyText"/>
        <w:spacing w:before="299"/>
        <w:ind w:left="477"/>
      </w:pPr>
      <w:r>
        <w:rPr/>
        <w:t>Drink 4-5 cups of lapacho tea with honey throughout the day.</w:t>
      </w:r>
    </w:p>
    <w:p>
      <w:pPr>
        <w:pStyle w:val="Heading1"/>
        <w:spacing w:before="287"/>
      </w:pPr>
      <w:r>
        <w:rPr/>
        <w:t>Shingles treatment</w:t>
      </w:r>
    </w:p>
    <w:p>
      <w:pPr>
        <w:pStyle w:val="BodyText"/>
        <w:spacing w:line="276" w:lineRule="auto" w:before="298"/>
        <w:ind w:left="477"/>
      </w:pPr>
      <w:r>
        <w:rPr/>
        <w:t>Of</w:t>
      </w:r>
      <w:r>
        <w:rPr>
          <w:spacing w:val="-14"/>
        </w:rPr>
        <w:t> </w:t>
      </w:r>
      <w:r>
        <w:rPr/>
        <w:t>course,</w:t>
      </w:r>
      <w:r>
        <w:rPr>
          <w:spacing w:val="-11"/>
        </w:rPr>
        <w:t> </w:t>
      </w:r>
      <w:r>
        <w:rPr/>
        <w:t>using</w:t>
      </w:r>
      <w:r>
        <w:rPr>
          <w:spacing w:val="-13"/>
        </w:rPr>
        <w:t> </w:t>
      </w:r>
      <w:r>
        <w:rPr/>
        <w:t>the</w:t>
      </w:r>
      <w:r>
        <w:rPr>
          <w:spacing w:val="-14"/>
        </w:rPr>
        <w:t> </w:t>
      </w:r>
      <w:r>
        <w:rPr/>
        <w:t>healing</w:t>
      </w:r>
      <w:r>
        <w:rPr>
          <w:spacing w:val="-12"/>
        </w:rPr>
        <w:t> </w:t>
      </w:r>
      <w:r>
        <w:rPr/>
        <w:t>properties</w:t>
      </w:r>
      <w:r>
        <w:rPr>
          <w:spacing w:val="-11"/>
        </w:rPr>
        <w:t> </w:t>
      </w:r>
      <w:r>
        <w:rPr/>
        <w:t>of</w:t>
      </w:r>
      <w:r>
        <w:rPr>
          <w:spacing w:val="-15"/>
        </w:rPr>
        <w:t> </w:t>
      </w:r>
      <w:r>
        <w:rPr/>
        <w:t>lapacho</w:t>
      </w:r>
      <w:r>
        <w:rPr>
          <w:spacing w:val="-11"/>
        </w:rPr>
        <w:t> </w:t>
      </w:r>
      <w:r>
        <w:rPr/>
        <w:t>tea</w:t>
      </w:r>
      <w:r>
        <w:rPr>
          <w:spacing w:val="-9"/>
        </w:rPr>
        <w:t> </w:t>
      </w:r>
      <w:r>
        <w:rPr/>
        <w:t>both</w:t>
      </w:r>
      <w:r>
        <w:rPr>
          <w:spacing w:val="-15"/>
        </w:rPr>
        <w:t> </w:t>
      </w:r>
      <w:r>
        <w:rPr/>
        <w:t>externally</w:t>
      </w:r>
      <w:r>
        <w:rPr>
          <w:spacing w:val="-12"/>
        </w:rPr>
        <w:t> </w:t>
      </w:r>
      <w:r>
        <w:rPr/>
        <w:t>and</w:t>
      </w:r>
      <w:r>
        <w:rPr>
          <w:spacing w:val="-12"/>
        </w:rPr>
        <w:t> </w:t>
      </w:r>
      <w:r>
        <w:rPr/>
        <w:t>inter- nally is also recommended for</w:t>
      </w:r>
      <w:r>
        <w:rPr>
          <w:spacing w:val="1"/>
        </w:rPr>
        <w:t> </w:t>
      </w:r>
      <w:r>
        <w:rPr/>
        <w:t>shingles.</w:t>
      </w:r>
    </w:p>
    <w:p>
      <w:pPr>
        <w:pStyle w:val="BodyText"/>
        <w:spacing w:line="276" w:lineRule="auto" w:before="240"/>
        <w:ind w:left="477"/>
      </w:pPr>
      <w:r>
        <w:rPr>
          <w:i/>
        </w:rPr>
        <w:t>Internal use: </w:t>
      </w:r>
      <w:r>
        <w:rPr/>
        <w:t>drink about 1 litre of unsweetened lapacho tea between meals throughout the day.</w:t>
      </w:r>
    </w:p>
    <w:p>
      <w:pPr>
        <w:spacing w:line="276" w:lineRule="auto" w:before="241"/>
        <w:ind w:left="477" w:right="33" w:firstLine="0"/>
        <w:jc w:val="left"/>
        <w:rPr>
          <w:sz w:val="38"/>
        </w:rPr>
      </w:pPr>
      <w:r>
        <w:rPr>
          <w:i/>
          <w:sz w:val="38"/>
        </w:rPr>
        <w:t>External application: </w:t>
      </w:r>
      <w:r>
        <w:rPr>
          <w:sz w:val="38"/>
        </w:rPr>
        <w:t>dab the affected areas several times a day with cloths soaked in cooled lapacho tea.</w:t>
      </w:r>
    </w:p>
    <w:p>
      <w:pPr>
        <w:pStyle w:val="Heading1"/>
      </w:pPr>
      <w:r>
        <w:rPr/>
        <w:t>Use against sore throat</w:t>
      </w:r>
    </w:p>
    <w:p>
      <w:pPr>
        <w:spacing w:after="0"/>
        <w:sectPr>
          <w:pgSz w:w="14270" w:h="16850"/>
          <w:pgMar w:header="0" w:footer="1891" w:top="1600" w:bottom="2080" w:left="800" w:right="1280"/>
        </w:sectPr>
      </w:pPr>
    </w:p>
    <w:p>
      <w:pPr>
        <w:pStyle w:val="BodyText"/>
        <w:spacing w:line="276" w:lineRule="auto" w:before="181"/>
        <w:ind w:left="477" w:right="133"/>
        <w:jc w:val="both"/>
      </w:pPr>
      <w:r>
        <w:rPr/>
        <w:t>For all oral conditions, it is recommended to gargle lapacho tea for a few minutes</w:t>
      </w:r>
      <w:r>
        <w:rPr>
          <w:spacing w:val="-9"/>
        </w:rPr>
        <w:t> </w:t>
      </w:r>
      <w:r>
        <w:rPr/>
        <w:t>before</w:t>
      </w:r>
      <w:r>
        <w:rPr>
          <w:spacing w:val="-8"/>
        </w:rPr>
        <w:t> </w:t>
      </w:r>
      <w:r>
        <w:rPr/>
        <w:t>swallowing</w:t>
      </w:r>
      <w:r>
        <w:rPr>
          <w:spacing w:val="-9"/>
        </w:rPr>
        <w:t> </w:t>
      </w:r>
      <w:r>
        <w:rPr/>
        <w:t>it</w:t>
      </w:r>
      <w:r>
        <w:rPr>
          <w:spacing w:val="-8"/>
        </w:rPr>
        <w:t> </w:t>
      </w:r>
      <w:r>
        <w:rPr/>
        <w:t>–</w:t>
      </w:r>
      <w:r>
        <w:rPr>
          <w:spacing w:val="-9"/>
        </w:rPr>
        <w:t> </w:t>
      </w:r>
      <w:r>
        <w:rPr/>
        <w:t>this</w:t>
      </w:r>
      <w:r>
        <w:rPr>
          <w:spacing w:val="-8"/>
        </w:rPr>
        <w:t> </w:t>
      </w:r>
      <w:r>
        <w:rPr/>
        <w:t>way,</w:t>
      </w:r>
      <w:r>
        <w:rPr>
          <w:spacing w:val="-8"/>
        </w:rPr>
        <w:t> </w:t>
      </w:r>
      <w:r>
        <w:rPr/>
        <w:t>you</w:t>
      </w:r>
      <w:r>
        <w:rPr>
          <w:spacing w:val="-10"/>
        </w:rPr>
        <w:t> </w:t>
      </w:r>
      <w:r>
        <w:rPr/>
        <w:t>can</w:t>
      </w:r>
      <w:r>
        <w:rPr>
          <w:spacing w:val="-7"/>
        </w:rPr>
        <w:t> </w:t>
      </w:r>
      <w:r>
        <w:rPr/>
        <w:t>enjoy</w:t>
      </w:r>
      <w:r>
        <w:rPr>
          <w:spacing w:val="-8"/>
        </w:rPr>
        <w:t> </w:t>
      </w:r>
      <w:r>
        <w:rPr/>
        <w:t>the</w:t>
      </w:r>
      <w:r>
        <w:rPr>
          <w:spacing w:val="-8"/>
        </w:rPr>
        <w:t> </w:t>
      </w:r>
      <w:r>
        <w:rPr/>
        <w:t>external</w:t>
      </w:r>
      <w:r>
        <w:rPr>
          <w:spacing w:val="-10"/>
        </w:rPr>
        <w:t> </w:t>
      </w:r>
      <w:r>
        <w:rPr/>
        <w:t>and</w:t>
      </w:r>
      <w:r>
        <w:rPr>
          <w:spacing w:val="-9"/>
        </w:rPr>
        <w:t> </w:t>
      </w:r>
      <w:r>
        <w:rPr/>
        <w:t>internal effects of the lapacho</w:t>
      </w:r>
      <w:r>
        <w:rPr>
          <w:spacing w:val="5"/>
        </w:rPr>
        <w:t> </w:t>
      </w:r>
      <w:r>
        <w:rPr/>
        <w:t>tea.</w:t>
      </w:r>
    </w:p>
    <w:p>
      <w:pPr>
        <w:pStyle w:val="Heading1"/>
        <w:jc w:val="both"/>
      </w:pPr>
      <w:r>
        <w:rPr/>
        <w:t>Use against skin diseases</w:t>
      </w:r>
    </w:p>
    <w:p>
      <w:pPr>
        <w:pStyle w:val="BodyText"/>
        <w:spacing w:line="276" w:lineRule="auto" w:before="300"/>
        <w:ind w:left="477" w:right="134"/>
        <w:jc w:val="both"/>
      </w:pPr>
      <w:r>
        <w:rPr/>
        <w:t>For</w:t>
      </w:r>
      <w:r>
        <w:rPr>
          <w:spacing w:val="-22"/>
        </w:rPr>
        <w:t> </w:t>
      </w:r>
      <w:r>
        <w:rPr/>
        <w:t>skin</w:t>
      </w:r>
      <w:r>
        <w:rPr>
          <w:spacing w:val="-25"/>
        </w:rPr>
        <w:t> </w:t>
      </w:r>
      <w:r>
        <w:rPr/>
        <w:t>diseases,</w:t>
      </w:r>
      <w:r>
        <w:rPr>
          <w:spacing w:val="-23"/>
        </w:rPr>
        <w:t> </w:t>
      </w:r>
      <w:r>
        <w:rPr/>
        <w:t>it</w:t>
      </w:r>
      <w:r>
        <w:rPr>
          <w:spacing w:val="-26"/>
        </w:rPr>
        <w:t> </w:t>
      </w:r>
      <w:r>
        <w:rPr/>
        <w:t>is</w:t>
      </w:r>
      <w:r>
        <w:rPr>
          <w:spacing w:val="-26"/>
        </w:rPr>
        <w:t> </w:t>
      </w:r>
      <w:r>
        <w:rPr/>
        <w:t>important</w:t>
      </w:r>
      <w:r>
        <w:rPr>
          <w:spacing w:val="-23"/>
        </w:rPr>
        <w:t> </w:t>
      </w:r>
      <w:r>
        <w:rPr/>
        <w:t>to</w:t>
      </w:r>
      <w:r>
        <w:rPr>
          <w:spacing w:val="-23"/>
        </w:rPr>
        <w:t> </w:t>
      </w:r>
      <w:r>
        <w:rPr/>
        <w:t>make</w:t>
      </w:r>
      <w:r>
        <w:rPr>
          <w:spacing w:val="-24"/>
        </w:rPr>
        <w:t> </w:t>
      </w:r>
      <w:r>
        <w:rPr/>
        <w:t>extensive</w:t>
      </w:r>
      <w:r>
        <w:rPr>
          <w:spacing w:val="-22"/>
        </w:rPr>
        <w:t> </w:t>
      </w:r>
      <w:r>
        <w:rPr/>
        <w:t>use</w:t>
      </w:r>
      <w:r>
        <w:rPr>
          <w:spacing w:val="-26"/>
        </w:rPr>
        <w:t> </w:t>
      </w:r>
      <w:r>
        <w:rPr/>
        <w:t>of</w:t>
      </w:r>
      <w:r>
        <w:rPr>
          <w:spacing w:val="-25"/>
        </w:rPr>
        <w:t> </w:t>
      </w:r>
      <w:r>
        <w:rPr/>
        <w:t>lapacho</w:t>
      </w:r>
      <w:r>
        <w:rPr>
          <w:spacing w:val="-25"/>
        </w:rPr>
        <w:t> </w:t>
      </w:r>
      <w:r>
        <w:rPr/>
        <w:t>tea,</w:t>
      </w:r>
      <w:r>
        <w:rPr>
          <w:spacing w:val="-23"/>
        </w:rPr>
        <w:t> </w:t>
      </w:r>
      <w:r>
        <w:rPr/>
        <w:t>consisting of regularly drinking the tea, the dabbing of the affected areas with tea-soaked cloths and the regular taking of full or partial baths (depending on the location on the body).</w:t>
      </w:r>
    </w:p>
    <w:p>
      <w:pPr>
        <w:pStyle w:val="BodyText"/>
        <w:spacing w:line="276" w:lineRule="auto" w:before="239"/>
        <w:ind w:left="477" w:right="143"/>
        <w:jc w:val="both"/>
      </w:pPr>
      <w:r>
        <w:rPr/>
        <w:t>During the day, you should drink 1 litre of unsweetened lapacho tea between meals (if you prefer your tea sweet, you should use stevia!).</w:t>
      </w:r>
    </w:p>
    <w:p>
      <w:pPr>
        <w:pStyle w:val="Heading1"/>
        <w:jc w:val="both"/>
      </w:pPr>
      <w:r>
        <w:rPr/>
        <w:t>Use for blemishes</w:t>
      </w:r>
    </w:p>
    <w:p>
      <w:pPr>
        <w:pStyle w:val="BodyText"/>
        <w:spacing w:line="276" w:lineRule="auto" w:before="297"/>
        <w:ind w:left="477" w:right="134"/>
        <w:jc w:val="both"/>
      </w:pPr>
      <w:r>
        <w:rPr/>
        <w:t>For skin blemishes such as blackheads, pimples or acne, extensive use of lapacho tea is recommended, which includes both drinking, dabbing with soaked towels, and appropriate baths (in the case of skin blemishes all over the body).</w:t>
      </w:r>
    </w:p>
    <w:p>
      <w:pPr>
        <w:pStyle w:val="BodyText"/>
        <w:spacing w:line="276" w:lineRule="auto" w:before="241"/>
        <w:ind w:left="477" w:right="142"/>
        <w:jc w:val="both"/>
      </w:pPr>
      <w:r>
        <w:rPr/>
        <w:t>During the day, you should drink 1 litre of unsweetened lapacho tea between meals (if you prefer your tea sweet, you should use the healthy sugar substitute stevia!).</w:t>
      </w:r>
    </w:p>
    <w:p>
      <w:pPr>
        <w:pStyle w:val="Heading1"/>
        <w:spacing w:before="223"/>
        <w:jc w:val="both"/>
      </w:pPr>
      <w:r>
        <w:rPr/>
        <w:t>Use against haemorrhoids</w:t>
      </w:r>
    </w:p>
    <w:p>
      <w:pPr>
        <w:spacing w:after="0"/>
        <w:jc w:val="both"/>
        <w:sectPr>
          <w:pgSz w:w="14270" w:h="16850"/>
          <w:pgMar w:header="0" w:footer="1891" w:top="1600" w:bottom="2080" w:left="800" w:right="1280"/>
        </w:sectPr>
      </w:pPr>
    </w:p>
    <w:p>
      <w:pPr>
        <w:pStyle w:val="BodyText"/>
        <w:spacing w:line="276" w:lineRule="auto" w:before="181"/>
        <w:ind w:left="477" w:right="133"/>
        <w:jc w:val="both"/>
      </w:pPr>
      <w:r>
        <w:rPr/>
        <w:t>The external and internal use of lapacho tea have also been proven to be</w:t>
      </w:r>
      <w:r>
        <w:rPr>
          <w:spacing w:val="-53"/>
        </w:rPr>
        <w:t> </w:t>
      </w:r>
      <w:r>
        <w:rPr/>
        <w:t>effec- tive against haemorrhoids.</w:t>
      </w:r>
    </w:p>
    <w:p>
      <w:pPr>
        <w:spacing w:line="276" w:lineRule="auto" w:before="241"/>
        <w:ind w:left="477" w:right="135" w:firstLine="0"/>
        <w:jc w:val="both"/>
        <w:rPr>
          <w:sz w:val="38"/>
        </w:rPr>
      </w:pPr>
      <w:r>
        <w:rPr>
          <w:i/>
          <w:sz w:val="38"/>
        </w:rPr>
        <w:t>Inner</w:t>
      </w:r>
      <w:r>
        <w:rPr>
          <w:i/>
          <w:spacing w:val="-17"/>
          <w:sz w:val="38"/>
        </w:rPr>
        <w:t> </w:t>
      </w:r>
      <w:r>
        <w:rPr>
          <w:i/>
          <w:sz w:val="38"/>
        </w:rPr>
        <w:t>application:</w:t>
      </w:r>
      <w:r>
        <w:rPr>
          <w:i/>
          <w:spacing w:val="-15"/>
          <w:sz w:val="38"/>
        </w:rPr>
        <w:t> </w:t>
      </w:r>
      <w:r>
        <w:rPr>
          <w:sz w:val="38"/>
        </w:rPr>
        <w:t>you</w:t>
      </w:r>
      <w:r>
        <w:rPr>
          <w:spacing w:val="-17"/>
          <w:sz w:val="38"/>
        </w:rPr>
        <w:t> </w:t>
      </w:r>
      <w:r>
        <w:rPr>
          <w:sz w:val="38"/>
        </w:rPr>
        <w:t>should</w:t>
      </w:r>
      <w:r>
        <w:rPr>
          <w:spacing w:val="-18"/>
          <w:sz w:val="38"/>
        </w:rPr>
        <w:t> </w:t>
      </w:r>
      <w:r>
        <w:rPr>
          <w:sz w:val="38"/>
        </w:rPr>
        <w:t>drink</w:t>
      </w:r>
      <w:r>
        <w:rPr>
          <w:spacing w:val="-18"/>
          <w:sz w:val="38"/>
        </w:rPr>
        <w:t> </w:t>
      </w:r>
      <w:r>
        <w:rPr>
          <w:sz w:val="38"/>
        </w:rPr>
        <w:t>1</w:t>
      </w:r>
      <w:r>
        <w:rPr>
          <w:spacing w:val="-17"/>
          <w:sz w:val="38"/>
        </w:rPr>
        <w:t> </w:t>
      </w:r>
      <w:r>
        <w:rPr>
          <w:sz w:val="38"/>
        </w:rPr>
        <w:t>l</w:t>
      </w:r>
      <w:r>
        <w:rPr>
          <w:spacing w:val="-17"/>
          <w:sz w:val="38"/>
        </w:rPr>
        <w:t> </w:t>
      </w:r>
      <w:r>
        <w:rPr>
          <w:sz w:val="38"/>
        </w:rPr>
        <w:t>of</w:t>
      </w:r>
      <w:r>
        <w:rPr>
          <w:spacing w:val="-16"/>
          <w:sz w:val="38"/>
        </w:rPr>
        <w:t> </w:t>
      </w:r>
      <w:r>
        <w:rPr>
          <w:sz w:val="38"/>
        </w:rPr>
        <w:t>unsweetened</w:t>
      </w:r>
      <w:r>
        <w:rPr>
          <w:spacing w:val="-17"/>
          <w:sz w:val="38"/>
        </w:rPr>
        <w:t> </w:t>
      </w:r>
      <w:r>
        <w:rPr>
          <w:sz w:val="38"/>
        </w:rPr>
        <w:t>lapacho</w:t>
      </w:r>
      <w:r>
        <w:rPr>
          <w:spacing w:val="-16"/>
          <w:sz w:val="38"/>
        </w:rPr>
        <w:t> </w:t>
      </w:r>
      <w:r>
        <w:rPr>
          <w:sz w:val="38"/>
        </w:rPr>
        <w:t>tea</w:t>
      </w:r>
      <w:r>
        <w:rPr>
          <w:spacing w:val="-17"/>
          <w:sz w:val="38"/>
        </w:rPr>
        <w:t> </w:t>
      </w:r>
      <w:r>
        <w:rPr>
          <w:sz w:val="38"/>
        </w:rPr>
        <w:t>throughout</w:t>
      </w:r>
      <w:r>
        <w:rPr>
          <w:spacing w:val="-18"/>
          <w:sz w:val="38"/>
        </w:rPr>
        <w:t> </w:t>
      </w:r>
      <w:r>
        <w:rPr>
          <w:sz w:val="38"/>
        </w:rPr>
        <w:t>the day.</w:t>
      </w:r>
    </w:p>
    <w:p>
      <w:pPr>
        <w:pStyle w:val="BodyText"/>
        <w:spacing w:line="276" w:lineRule="auto" w:before="241"/>
        <w:ind w:left="477" w:right="133"/>
        <w:jc w:val="both"/>
      </w:pPr>
      <w:r>
        <w:rPr>
          <w:i/>
        </w:rPr>
        <w:t>External application: </w:t>
      </w:r>
      <w:r>
        <w:rPr/>
        <w:t>the external use of lapacho tea for haemorrhoids is to dab the haemorrhoids as often as possible with cloths moistened with lapacho tea, at least after every bowel movement. Furthermore, full baths of lapacho are ideal!</w:t>
      </w:r>
    </w:p>
    <w:p>
      <w:pPr>
        <w:pStyle w:val="Heading1"/>
        <w:spacing w:before="222"/>
      </w:pPr>
      <w:r>
        <w:rPr/>
        <w:t>Use against yeast infections</w:t>
      </w:r>
    </w:p>
    <w:p>
      <w:pPr>
        <w:pStyle w:val="BodyText"/>
        <w:spacing w:before="180"/>
        <w:ind w:left="477"/>
      </w:pPr>
      <w:r>
        <w:rPr/>
        <w:t>For yeast infections, 3-4 cups of lapacho tea per day are recommended.</w:t>
      </w:r>
    </w:p>
    <w:p>
      <w:pPr>
        <w:pStyle w:val="Heading1"/>
        <w:spacing w:before="287"/>
      </w:pPr>
      <w:r>
        <w:rPr/>
        <w:t>Use against coughing</w:t>
      </w:r>
    </w:p>
    <w:p>
      <w:pPr>
        <w:pStyle w:val="BodyText"/>
        <w:spacing w:line="276" w:lineRule="auto" w:before="297"/>
        <w:ind w:left="477" w:right="138"/>
        <w:jc w:val="both"/>
      </w:pPr>
      <w:r>
        <w:rPr/>
        <w:t>Coughs</w:t>
      </w:r>
      <w:r>
        <w:rPr>
          <w:spacing w:val="-6"/>
        </w:rPr>
        <w:t> </w:t>
      </w:r>
      <w:r>
        <w:rPr/>
        <w:t>should</w:t>
      </w:r>
      <w:r>
        <w:rPr>
          <w:spacing w:val="-7"/>
        </w:rPr>
        <w:t> </w:t>
      </w:r>
      <w:r>
        <w:rPr/>
        <w:t>be</w:t>
      </w:r>
      <w:r>
        <w:rPr>
          <w:spacing w:val="-6"/>
        </w:rPr>
        <w:t> </w:t>
      </w:r>
      <w:r>
        <w:rPr/>
        <w:t>treated</w:t>
      </w:r>
      <w:r>
        <w:rPr>
          <w:spacing w:val="-6"/>
        </w:rPr>
        <w:t> </w:t>
      </w:r>
      <w:r>
        <w:rPr/>
        <w:t>like</w:t>
      </w:r>
      <w:r>
        <w:rPr>
          <w:spacing w:val="-8"/>
        </w:rPr>
        <w:t> </w:t>
      </w:r>
      <w:r>
        <w:rPr/>
        <w:t>bronchitis</w:t>
      </w:r>
      <w:r>
        <w:rPr>
          <w:spacing w:val="-4"/>
        </w:rPr>
        <w:t> </w:t>
      </w:r>
      <w:r>
        <w:rPr/>
        <w:t>,</w:t>
      </w:r>
      <w:r>
        <w:rPr>
          <w:spacing w:val="-6"/>
        </w:rPr>
        <w:t> </w:t>
      </w:r>
      <w:r>
        <w:rPr/>
        <w:t>i.e.</w:t>
      </w:r>
      <w:r>
        <w:rPr>
          <w:spacing w:val="-6"/>
        </w:rPr>
        <w:t> </w:t>
      </w:r>
      <w:r>
        <w:rPr/>
        <w:t>there</w:t>
      </w:r>
      <w:r>
        <w:rPr>
          <w:spacing w:val="-7"/>
        </w:rPr>
        <w:t> </w:t>
      </w:r>
      <w:r>
        <w:rPr/>
        <w:t>should</w:t>
      </w:r>
      <w:r>
        <w:rPr>
          <w:spacing w:val="-8"/>
        </w:rPr>
        <w:t> </w:t>
      </w:r>
      <w:r>
        <w:rPr/>
        <w:t>be</w:t>
      </w:r>
      <w:r>
        <w:rPr>
          <w:spacing w:val="-6"/>
        </w:rPr>
        <w:t> </w:t>
      </w:r>
      <w:r>
        <w:rPr/>
        <w:t>a</w:t>
      </w:r>
      <w:r>
        <w:rPr>
          <w:spacing w:val="-8"/>
        </w:rPr>
        <w:t> </w:t>
      </w:r>
      <w:r>
        <w:rPr/>
        <w:t>combination</w:t>
      </w:r>
      <w:r>
        <w:rPr>
          <w:spacing w:val="-6"/>
        </w:rPr>
        <w:t> </w:t>
      </w:r>
      <w:r>
        <w:rPr/>
        <w:t>of external and internal application. In addition to drinking lapacho tea, regular inhalations are</w:t>
      </w:r>
      <w:r>
        <w:rPr>
          <w:spacing w:val="1"/>
        </w:rPr>
        <w:t> </w:t>
      </w:r>
      <w:r>
        <w:rPr/>
        <w:t>recommended.</w:t>
      </w:r>
    </w:p>
    <w:p>
      <w:pPr>
        <w:pStyle w:val="BodyText"/>
        <w:spacing w:line="276" w:lineRule="auto" w:before="241"/>
        <w:ind w:left="477" w:right="131"/>
        <w:jc w:val="both"/>
      </w:pPr>
      <w:r>
        <w:rPr>
          <w:i/>
        </w:rPr>
        <w:t>Drink for cough: </w:t>
      </w:r>
      <w:r>
        <w:rPr/>
        <w:t>drink 3-4 cups of lapacho tea sweetened with honey every day</w:t>
      </w:r>
      <w:r>
        <w:rPr>
          <w:spacing w:val="-55"/>
        </w:rPr>
        <w:t> </w:t>
      </w:r>
      <w:r>
        <w:rPr/>
        <w:t>– the honey also has an effect on the bronchi.</w:t>
      </w:r>
    </w:p>
    <w:p>
      <w:pPr>
        <w:pStyle w:val="BodyText"/>
        <w:spacing w:line="276" w:lineRule="auto" w:before="241"/>
        <w:ind w:left="477" w:right="133"/>
        <w:jc w:val="both"/>
      </w:pPr>
      <w:r>
        <w:rPr>
          <w:i/>
        </w:rPr>
        <w:t>For inhalation: </w:t>
      </w:r>
      <w:r>
        <w:rPr/>
        <w:t>make the lapacho tea in the pot as usual. After the tea has cooled down slightly, place a towel over the head and the pot to minimise the amount of air that can escape and inhale for 12-15 minutes. The tea is of course still suitable for drinking.</w:t>
      </w:r>
    </w:p>
    <w:p>
      <w:pPr>
        <w:spacing w:after="0" w:line="276" w:lineRule="auto"/>
        <w:jc w:val="both"/>
        <w:sectPr>
          <w:pgSz w:w="14270" w:h="16850"/>
          <w:pgMar w:header="0" w:footer="1891" w:top="1600" w:bottom="2080" w:left="800" w:right="1280"/>
        </w:sectPr>
      </w:pPr>
    </w:p>
    <w:p>
      <w:pPr>
        <w:pStyle w:val="Heading1"/>
        <w:spacing w:before="164"/>
      </w:pPr>
      <w:r>
        <w:rPr/>
        <w:t>Use against periostitis</w:t>
      </w:r>
    </w:p>
    <w:p>
      <w:pPr>
        <w:pStyle w:val="BodyText"/>
        <w:spacing w:line="276" w:lineRule="auto" w:before="299"/>
        <w:ind w:left="477"/>
      </w:pPr>
      <w:r>
        <w:rPr/>
        <w:t>For periostitis, drink 1 litre of lapacho tea throughout the day, and place com- presses with cooled tea on the affected area.</w:t>
      </w:r>
    </w:p>
    <w:p>
      <w:pPr>
        <w:pStyle w:val="Heading1"/>
      </w:pPr>
      <w:r>
        <w:rPr/>
        <w:t>Use against varicose veins</w:t>
      </w:r>
    </w:p>
    <w:p>
      <w:pPr>
        <w:pStyle w:val="BodyText"/>
        <w:spacing w:line="276" w:lineRule="auto" w:before="299"/>
        <w:ind w:left="477" w:right="132"/>
        <w:jc w:val="both"/>
      </w:pPr>
      <w:r>
        <w:rPr/>
        <w:t>There are sensationally successful reports of patients with varicose veins who have</w:t>
      </w:r>
      <w:r>
        <w:rPr>
          <w:spacing w:val="-9"/>
        </w:rPr>
        <w:t> </w:t>
      </w:r>
      <w:r>
        <w:rPr/>
        <w:t>been</w:t>
      </w:r>
      <w:r>
        <w:rPr>
          <w:spacing w:val="-8"/>
        </w:rPr>
        <w:t> </w:t>
      </w:r>
      <w:r>
        <w:rPr/>
        <w:t>able</w:t>
      </w:r>
      <w:r>
        <w:rPr>
          <w:spacing w:val="-8"/>
        </w:rPr>
        <w:t> </w:t>
      </w:r>
      <w:r>
        <w:rPr/>
        <w:t>to</w:t>
      </w:r>
      <w:r>
        <w:rPr>
          <w:spacing w:val="-7"/>
        </w:rPr>
        <w:t> </w:t>
      </w:r>
      <w:r>
        <w:rPr/>
        <w:t>cure</w:t>
      </w:r>
      <w:r>
        <w:rPr>
          <w:spacing w:val="-7"/>
        </w:rPr>
        <w:t> </w:t>
      </w:r>
      <w:r>
        <w:rPr/>
        <w:t>their</w:t>
      </w:r>
      <w:r>
        <w:rPr>
          <w:spacing w:val="-7"/>
        </w:rPr>
        <w:t> </w:t>
      </w:r>
      <w:r>
        <w:rPr/>
        <w:t>varicose</w:t>
      </w:r>
      <w:r>
        <w:rPr>
          <w:spacing w:val="-6"/>
        </w:rPr>
        <w:t> </w:t>
      </w:r>
      <w:r>
        <w:rPr/>
        <w:t>veins</w:t>
      </w:r>
      <w:r>
        <w:rPr>
          <w:spacing w:val="-8"/>
        </w:rPr>
        <w:t> </w:t>
      </w:r>
      <w:r>
        <w:rPr/>
        <w:t>with</w:t>
      </w:r>
      <w:r>
        <w:rPr>
          <w:spacing w:val="-9"/>
        </w:rPr>
        <w:t> </w:t>
      </w:r>
      <w:r>
        <w:rPr/>
        <w:t>an</w:t>
      </w:r>
      <w:r>
        <w:rPr>
          <w:spacing w:val="-8"/>
        </w:rPr>
        <w:t> </w:t>
      </w:r>
      <w:r>
        <w:rPr/>
        <w:t>ointment</w:t>
      </w:r>
      <w:r>
        <w:rPr>
          <w:spacing w:val="-7"/>
        </w:rPr>
        <w:t> </w:t>
      </w:r>
      <w:r>
        <w:rPr/>
        <w:t>from</w:t>
      </w:r>
      <w:r>
        <w:rPr>
          <w:spacing w:val="-7"/>
        </w:rPr>
        <w:t> </w:t>
      </w:r>
      <w:r>
        <w:rPr/>
        <w:t>lapacho</w:t>
      </w:r>
      <w:r>
        <w:rPr>
          <w:spacing w:val="-8"/>
        </w:rPr>
        <w:t> </w:t>
      </w:r>
      <w:r>
        <w:rPr/>
        <w:t>bark in four months. To do this, mix a standard cream with a lapacho extract – one drop of lapacho extract per ml of</w:t>
      </w:r>
      <w:r>
        <w:rPr>
          <w:spacing w:val="-1"/>
        </w:rPr>
        <w:t> </w:t>
      </w:r>
      <w:r>
        <w:rPr/>
        <w:t>cream.</w:t>
      </w:r>
    </w:p>
    <w:p>
      <w:pPr>
        <w:pStyle w:val="Heading1"/>
        <w:spacing w:before="223"/>
      </w:pPr>
      <w:r>
        <w:rPr/>
        <w:t>Use against cancer</w:t>
      </w:r>
    </w:p>
    <w:p>
      <w:pPr>
        <w:pStyle w:val="BodyText"/>
        <w:spacing w:line="276" w:lineRule="auto" w:before="299"/>
        <w:ind w:left="477" w:right="136"/>
        <w:jc w:val="both"/>
      </w:pPr>
      <w:r>
        <w:rPr/>
        <w:t>For</w:t>
      </w:r>
      <w:r>
        <w:rPr>
          <w:spacing w:val="-17"/>
        </w:rPr>
        <w:t> </w:t>
      </w:r>
      <w:r>
        <w:rPr/>
        <w:t>serious</w:t>
      </w:r>
      <w:r>
        <w:rPr>
          <w:spacing w:val="-17"/>
        </w:rPr>
        <w:t> </w:t>
      </w:r>
      <w:r>
        <w:rPr/>
        <w:t>ailments,</w:t>
      </w:r>
      <w:r>
        <w:rPr>
          <w:spacing w:val="-17"/>
        </w:rPr>
        <w:t> </w:t>
      </w:r>
      <w:r>
        <w:rPr/>
        <w:t>as</w:t>
      </w:r>
      <w:r>
        <w:rPr>
          <w:spacing w:val="-17"/>
        </w:rPr>
        <w:t> </w:t>
      </w:r>
      <w:r>
        <w:rPr/>
        <w:t>cancer</w:t>
      </w:r>
      <w:r>
        <w:rPr>
          <w:spacing w:val="-17"/>
        </w:rPr>
        <w:t> </w:t>
      </w:r>
      <w:r>
        <w:rPr/>
        <w:t>unquestionably</w:t>
      </w:r>
      <w:r>
        <w:rPr>
          <w:spacing w:val="-17"/>
        </w:rPr>
        <w:t> </w:t>
      </w:r>
      <w:r>
        <w:rPr/>
        <w:t>is,</w:t>
      </w:r>
      <w:r>
        <w:rPr>
          <w:spacing w:val="-17"/>
        </w:rPr>
        <w:t> </w:t>
      </w:r>
      <w:r>
        <w:rPr/>
        <w:t>one</w:t>
      </w:r>
      <w:r>
        <w:rPr>
          <w:spacing w:val="-16"/>
        </w:rPr>
        <w:t> </w:t>
      </w:r>
      <w:r>
        <w:rPr/>
        <w:t>should</w:t>
      </w:r>
      <w:r>
        <w:rPr>
          <w:spacing w:val="-17"/>
        </w:rPr>
        <w:t> </w:t>
      </w:r>
      <w:r>
        <w:rPr/>
        <w:t>consult</w:t>
      </w:r>
      <w:r>
        <w:rPr>
          <w:spacing w:val="-19"/>
        </w:rPr>
        <w:t> </w:t>
      </w:r>
      <w:r>
        <w:rPr/>
        <w:t>an</w:t>
      </w:r>
      <w:r>
        <w:rPr>
          <w:spacing w:val="-16"/>
        </w:rPr>
        <w:t> </w:t>
      </w:r>
      <w:r>
        <w:rPr/>
        <w:t>accom- plished therapist. For the most part, a therapist will recommend lapacho cap- sules in combination with lapacho tea, several times a day.</w:t>
      </w:r>
    </w:p>
    <w:p>
      <w:pPr>
        <w:pStyle w:val="Heading1"/>
        <w:spacing w:before="222"/>
      </w:pPr>
      <w:r>
        <w:rPr/>
        <w:t>Use against liver disease</w:t>
      </w:r>
    </w:p>
    <w:p>
      <w:pPr>
        <w:pStyle w:val="BodyText"/>
        <w:spacing w:line="276" w:lineRule="auto" w:before="299"/>
        <w:ind w:left="477" w:right="138"/>
        <w:jc w:val="both"/>
      </w:pPr>
      <w:r>
        <w:rPr/>
        <w:t>For severe liver problems, lapacho capsules may be recommended; in</w:t>
      </w:r>
      <w:r>
        <w:rPr>
          <w:spacing w:val="-48"/>
        </w:rPr>
        <w:t> </w:t>
      </w:r>
      <w:r>
        <w:rPr/>
        <w:t>addition, drink</w:t>
      </w:r>
      <w:r>
        <w:rPr>
          <w:spacing w:val="-14"/>
        </w:rPr>
        <w:t> </w:t>
      </w:r>
      <w:r>
        <w:rPr/>
        <w:t>lapacho</w:t>
      </w:r>
      <w:r>
        <w:rPr>
          <w:spacing w:val="-13"/>
        </w:rPr>
        <w:t> </w:t>
      </w:r>
      <w:r>
        <w:rPr/>
        <w:t>tea</w:t>
      </w:r>
      <w:r>
        <w:rPr>
          <w:spacing w:val="-14"/>
        </w:rPr>
        <w:t> </w:t>
      </w:r>
      <w:r>
        <w:rPr/>
        <w:t>several</w:t>
      </w:r>
      <w:r>
        <w:rPr>
          <w:spacing w:val="-15"/>
        </w:rPr>
        <w:t> </w:t>
      </w:r>
      <w:r>
        <w:rPr/>
        <w:t>times</w:t>
      </w:r>
      <w:r>
        <w:rPr>
          <w:spacing w:val="-13"/>
        </w:rPr>
        <w:t> </w:t>
      </w:r>
      <w:r>
        <w:rPr/>
        <w:t>a</w:t>
      </w:r>
      <w:r>
        <w:rPr>
          <w:spacing w:val="-12"/>
        </w:rPr>
        <w:t> </w:t>
      </w:r>
      <w:r>
        <w:rPr/>
        <w:t>day.</w:t>
      </w:r>
      <w:r>
        <w:rPr>
          <w:spacing w:val="-13"/>
        </w:rPr>
        <w:t> </w:t>
      </w:r>
      <w:r>
        <w:rPr/>
        <w:t>Liver</w:t>
      </w:r>
      <w:r>
        <w:rPr>
          <w:spacing w:val="-13"/>
        </w:rPr>
        <w:t> </w:t>
      </w:r>
      <w:r>
        <w:rPr/>
        <w:t>wraps</w:t>
      </w:r>
      <w:r>
        <w:rPr>
          <w:spacing w:val="-12"/>
        </w:rPr>
        <w:t> </w:t>
      </w:r>
      <w:r>
        <w:rPr/>
        <w:t>with</w:t>
      </w:r>
      <w:r>
        <w:rPr>
          <w:spacing w:val="-13"/>
        </w:rPr>
        <w:t> </w:t>
      </w:r>
      <w:r>
        <w:rPr/>
        <w:t>lapacho</w:t>
      </w:r>
      <w:r>
        <w:rPr>
          <w:spacing w:val="-13"/>
        </w:rPr>
        <w:t> </w:t>
      </w:r>
      <w:r>
        <w:rPr/>
        <w:t>tea</w:t>
      </w:r>
      <w:r>
        <w:rPr>
          <w:spacing w:val="-12"/>
        </w:rPr>
        <w:t> </w:t>
      </w:r>
      <w:r>
        <w:rPr/>
        <w:t>are</w:t>
      </w:r>
      <w:r>
        <w:rPr>
          <w:spacing w:val="-13"/>
        </w:rPr>
        <w:t> </w:t>
      </w:r>
      <w:r>
        <w:rPr/>
        <w:t>also</w:t>
      </w:r>
      <w:r>
        <w:rPr>
          <w:spacing w:val="-14"/>
        </w:rPr>
        <w:t> </w:t>
      </w:r>
      <w:r>
        <w:rPr/>
        <w:t>ideal for supporting the liver</w:t>
      </w:r>
      <w:r>
        <w:rPr>
          <w:spacing w:val="3"/>
        </w:rPr>
        <w:t> </w:t>
      </w:r>
      <w:r>
        <w:rPr/>
        <w:t>metabolism.</w:t>
      </w:r>
    </w:p>
    <w:p>
      <w:pPr>
        <w:pStyle w:val="Heading1"/>
      </w:pPr>
      <w:r>
        <w:rPr/>
        <w:t>Use against leukaemia</w:t>
      </w:r>
    </w:p>
    <w:p>
      <w:pPr>
        <w:pStyle w:val="BodyText"/>
        <w:spacing w:line="276" w:lineRule="auto" w:before="300"/>
        <w:ind w:left="477"/>
      </w:pPr>
      <w:r>
        <w:rPr/>
        <w:t>In South America, lapacho tea is a traditional cure for leukaemia, and there are many documented cases where lapacho has achieved significant improvement</w:t>
      </w:r>
    </w:p>
    <w:p>
      <w:pPr>
        <w:spacing w:after="0" w:line="276" w:lineRule="auto"/>
        <w:sectPr>
          <w:pgSz w:w="14270" w:h="16850"/>
          <w:pgMar w:header="0" w:footer="1891" w:top="1600" w:bottom="2080" w:left="800" w:right="1280"/>
        </w:sectPr>
      </w:pPr>
    </w:p>
    <w:p>
      <w:pPr>
        <w:pStyle w:val="BodyText"/>
        <w:spacing w:line="276" w:lineRule="auto" w:before="181"/>
        <w:ind w:left="477"/>
      </w:pPr>
      <w:r>
        <w:rPr/>
        <w:t>in</w:t>
      </w:r>
      <w:r>
        <w:rPr>
          <w:spacing w:val="-16"/>
        </w:rPr>
        <w:t> </w:t>
      </w:r>
      <w:r>
        <w:rPr/>
        <w:t>a</w:t>
      </w:r>
      <w:r>
        <w:rPr>
          <w:spacing w:val="-17"/>
        </w:rPr>
        <w:t> </w:t>
      </w:r>
      <w:r>
        <w:rPr/>
        <w:t>few</w:t>
      </w:r>
      <w:r>
        <w:rPr>
          <w:spacing w:val="-18"/>
        </w:rPr>
        <w:t> </w:t>
      </w:r>
      <w:r>
        <w:rPr/>
        <w:t>weeks,</w:t>
      </w:r>
      <w:r>
        <w:rPr>
          <w:spacing w:val="-14"/>
        </w:rPr>
        <w:t> </w:t>
      </w:r>
      <w:r>
        <w:rPr/>
        <w:t>as</w:t>
      </w:r>
      <w:r>
        <w:rPr>
          <w:spacing w:val="-17"/>
        </w:rPr>
        <w:t> </w:t>
      </w:r>
      <w:r>
        <w:rPr/>
        <w:t>measured,</w:t>
      </w:r>
      <w:r>
        <w:rPr>
          <w:spacing w:val="-15"/>
        </w:rPr>
        <w:t> </w:t>
      </w:r>
      <w:r>
        <w:rPr/>
        <w:t>among</w:t>
      </w:r>
      <w:r>
        <w:rPr>
          <w:spacing w:val="-16"/>
        </w:rPr>
        <w:t> </w:t>
      </w:r>
      <w:r>
        <w:rPr/>
        <w:t>other</w:t>
      </w:r>
      <w:r>
        <w:rPr>
          <w:spacing w:val="-15"/>
        </w:rPr>
        <w:t> </w:t>
      </w:r>
      <w:r>
        <w:rPr/>
        <w:t>things,</w:t>
      </w:r>
      <w:r>
        <w:rPr>
          <w:spacing w:val="-18"/>
        </w:rPr>
        <w:t> </w:t>
      </w:r>
      <w:r>
        <w:rPr/>
        <w:t>by</w:t>
      </w:r>
      <w:r>
        <w:rPr>
          <w:spacing w:val="-15"/>
        </w:rPr>
        <w:t> </w:t>
      </w:r>
      <w:r>
        <w:rPr/>
        <w:t>the</w:t>
      </w:r>
      <w:r>
        <w:rPr>
          <w:spacing w:val="-15"/>
        </w:rPr>
        <w:t> </w:t>
      </w:r>
      <w:r>
        <w:rPr/>
        <w:t>number</w:t>
      </w:r>
      <w:r>
        <w:rPr>
          <w:spacing w:val="-15"/>
        </w:rPr>
        <w:t> </w:t>
      </w:r>
      <w:r>
        <w:rPr/>
        <w:t>of</w:t>
      </w:r>
      <w:r>
        <w:rPr>
          <w:spacing w:val="-17"/>
        </w:rPr>
        <w:t> </w:t>
      </w:r>
      <w:r>
        <w:rPr/>
        <w:t>white</w:t>
      </w:r>
      <w:r>
        <w:rPr>
          <w:spacing w:val="-16"/>
        </w:rPr>
        <w:t> </w:t>
      </w:r>
      <w:r>
        <w:rPr/>
        <w:t>blood cells.</w:t>
      </w:r>
    </w:p>
    <w:p>
      <w:pPr>
        <w:pStyle w:val="BodyText"/>
        <w:spacing w:line="276" w:lineRule="auto" w:before="241"/>
        <w:ind w:left="477"/>
      </w:pPr>
      <w:r>
        <w:rPr/>
        <w:t>Drink</w:t>
      </w:r>
      <w:r>
        <w:rPr>
          <w:spacing w:val="-20"/>
        </w:rPr>
        <w:t> </w:t>
      </w:r>
      <w:r>
        <w:rPr/>
        <w:t>1</w:t>
      </w:r>
      <w:r>
        <w:rPr>
          <w:spacing w:val="-19"/>
        </w:rPr>
        <w:t> </w:t>
      </w:r>
      <w:r>
        <w:rPr/>
        <w:t>litre</w:t>
      </w:r>
      <w:r>
        <w:rPr>
          <w:spacing w:val="-19"/>
        </w:rPr>
        <w:t> </w:t>
      </w:r>
      <w:r>
        <w:rPr/>
        <w:t>of</w:t>
      </w:r>
      <w:r>
        <w:rPr>
          <w:spacing w:val="-20"/>
        </w:rPr>
        <w:t> </w:t>
      </w:r>
      <w:r>
        <w:rPr/>
        <w:t>lapacho</w:t>
      </w:r>
      <w:r>
        <w:rPr>
          <w:spacing w:val="-19"/>
        </w:rPr>
        <w:t> </w:t>
      </w:r>
      <w:r>
        <w:rPr/>
        <w:t>tea</w:t>
      </w:r>
      <w:r>
        <w:rPr>
          <w:spacing w:val="-19"/>
        </w:rPr>
        <w:t> </w:t>
      </w:r>
      <w:r>
        <w:rPr/>
        <w:t>(unsweetened!)</w:t>
      </w:r>
      <w:r>
        <w:rPr>
          <w:spacing w:val="-19"/>
        </w:rPr>
        <w:t> </w:t>
      </w:r>
      <w:r>
        <w:rPr/>
        <w:t>throughout</w:t>
      </w:r>
      <w:r>
        <w:rPr>
          <w:spacing w:val="-21"/>
        </w:rPr>
        <w:t> </w:t>
      </w:r>
      <w:r>
        <w:rPr/>
        <w:t>the</w:t>
      </w:r>
      <w:r>
        <w:rPr>
          <w:spacing w:val="-19"/>
        </w:rPr>
        <w:t> </w:t>
      </w:r>
      <w:r>
        <w:rPr/>
        <w:t>day;</w:t>
      </w:r>
      <w:r>
        <w:rPr>
          <w:spacing w:val="-18"/>
        </w:rPr>
        <w:t> </w:t>
      </w:r>
      <w:r>
        <w:rPr/>
        <w:t>take</w:t>
      </w:r>
      <w:r>
        <w:rPr>
          <w:spacing w:val="-20"/>
        </w:rPr>
        <w:t> </w:t>
      </w:r>
      <w:r>
        <w:rPr/>
        <w:t>1-2</w:t>
      </w:r>
      <w:r>
        <w:rPr>
          <w:spacing w:val="-19"/>
        </w:rPr>
        <w:t> </w:t>
      </w:r>
      <w:r>
        <w:rPr/>
        <w:t>lapacho capsules.</w:t>
      </w:r>
    </w:p>
    <w:p>
      <w:pPr>
        <w:pStyle w:val="Heading1"/>
      </w:pPr>
      <w:r>
        <w:rPr/>
        <w:t>Use against lupus</w:t>
      </w:r>
    </w:p>
    <w:p>
      <w:pPr>
        <w:pStyle w:val="BodyText"/>
        <w:spacing w:line="276" w:lineRule="auto" w:before="297"/>
        <w:ind w:left="477"/>
      </w:pPr>
      <w:r>
        <w:rPr/>
        <w:t>Here, too, a combination of lapacho capsules, lapacho tea and lapacho com- presses in the spleen area is recommended.</w:t>
      </w:r>
    </w:p>
    <w:p>
      <w:pPr>
        <w:pStyle w:val="Heading1"/>
      </w:pPr>
      <w:r>
        <w:rPr/>
        <w:t>Use against malaria</w:t>
      </w:r>
    </w:p>
    <w:p>
      <w:pPr>
        <w:pStyle w:val="BodyText"/>
        <w:spacing w:line="276" w:lineRule="auto" w:before="299"/>
        <w:ind w:left="477" w:right="133"/>
        <w:jc w:val="both"/>
      </w:pPr>
      <w:r>
        <w:rPr/>
        <w:t>The Native Americans and the Callawaya tribe traditionally use lapacho tea for malaria. In the pharmacy, you can get the following herbal mixture: white net- tles, plantago and of course lapacho. Mix this mixture in the following ratio:</w:t>
      </w:r>
      <w:r>
        <w:rPr>
          <w:spacing w:val="-56"/>
        </w:rPr>
        <w:t> </w:t>
      </w:r>
      <w:r>
        <w:rPr/>
        <w:t>10 g of white nettles, 10 g of plantago, 10 g of lapacho and boil for 15 minutes</w:t>
      </w:r>
      <w:r>
        <w:rPr>
          <w:spacing w:val="78"/>
        </w:rPr>
        <w:t> </w:t>
      </w:r>
      <w:r>
        <w:rPr/>
        <w:t>in</w:t>
      </w:r>
    </w:p>
    <w:p>
      <w:pPr>
        <w:pStyle w:val="ListParagraph"/>
        <w:numPr>
          <w:ilvl w:val="1"/>
          <w:numId w:val="56"/>
        </w:numPr>
        <w:tabs>
          <w:tab w:pos="1004" w:val="left" w:leader="none"/>
        </w:tabs>
        <w:spacing w:line="276" w:lineRule="auto" w:before="0" w:after="0"/>
        <w:ind w:left="477" w:right="134" w:firstLine="0"/>
        <w:jc w:val="left"/>
        <w:rPr>
          <w:sz w:val="38"/>
        </w:rPr>
      </w:pPr>
      <w:r>
        <w:rPr>
          <w:sz w:val="38"/>
        </w:rPr>
        <w:t>l</w:t>
      </w:r>
      <w:r>
        <w:rPr>
          <w:spacing w:val="-12"/>
          <w:sz w:val="38"/>
        </w:rPr>
        <w:t> </w:t>
      </w:r>
      <w:r>
        <w:rPr>
          <w:sz w:val="38"/>
        </w:rPr>
        <w:t>of</w:t>
      </w:r>
      <w:r>
        <w:rPr>
          <w:spacing w:val="-14"/>
          <w:sz w:val="38"/>
        </w:rPr>
        <w:t> </w:t>
      </w:r>
      <w:r>
        <w:rPr>
          <w:sz w:val="38"/>
        </w:rPr>
        <w:t>water.</w:t>
      </w:r>
      <w:r>
        <w:rPr>
          <w:spacing w:val="-10"/>
          <w:sz w:val="38"/>
        </w:rPr>
        <w:t> </w:t>
      </w:r>
      <w:r>
        <w:rPr>
          <w:sz w:val="38"/>
        </w:rPr>
        <w:t>Drink</w:t>
      </w:r>
      <w:r>
        <w:rPr>
          <w:spacing w:val="-12"/>
          <w:sz w:val="38"/>
        </w:rPr>
        <w:t> </w:t>
      </w:r>
      <w:r>
        <w:rPr>
          <w:sz w:val="38"/>
        </w:rPr>
        <w:t>half</w:t>
      </w:r>
      <w:r>
        <w:rPr>
          <w:spacing w:val="-12"/>
          <w:sz w:val="38"/>
        </w:rPr>
        <w:t> </w:t>
      </w:r>
      <w:r>
        <w:rPr>
          <w:sz w:val="38"/>
        </w:rPr>
        <w:t>a</w:t>
      </w:r>
      <w:r>
        <w:rPr>
          <w:spacing w:val="-13"/>
          <w:sz w:val="38"/>
        </w:rPr>
        <w:t> </w:t>
      </w:r>
      <w:r>
        <w:rPr>
          <w:sz w:val="38"/>
        </w:rPr>
        <w:t>cup</w:t>
      </w:r>
      <w:r>
        <w:rPr>
          <w:spacing w:val="-13"/>
          <w:sz w:val="38"/>
        </w:rPr>
        <w:t> </w:t>
      </w:r>
      <w:r>
        <w:rPr>
          <w:sz w:val="38"/>
        </w:rPr>
        <w:t>of</w:t>
      </w:r>
      <w:r>
        <w:rPr>
          <w:spacing w:val="-12"/>
          <w:sz w:val="38"/>
        </w:rPr>
        <w:t> </w:t>
      </w:r>
      <w:r>
        <w:rPr>
          <w:sz w:val="38"/>
        </w:rPr>
        <w:t>the</w:t>
      </w:r>
      <w:r>
        <w:rPr>
          <w:spacing w:val="-11"/>
          <w:sz w:val="38"/>
        </w:rPr>
        <w:t> </w:t>
      </w:r>
      <w:r>
        <w:rPr>
          <w:sz w:val="38"/>
        </w:rPr>
        <w:t>cooled</w:t>
      </w:r>
      <w:r>
        <w:rPr>
          <w:spacing w:val="-12"/>
          <w:sz w:val="38"/>
        </w:rPr>
        <w:t> </w:t>
      </w:r>
      <w:r>
        <w:rPr>
          <w:sz w:val="38"/>
        </w:rPr>
        <w:t>broth</w:t>
      </w:r>
      <w:r>
        <w:rPr>
          <w:spacing w:val="-11"/>
          <w:sz w:val="38"/>
        </w:rPr>
        <w:t> </w:t>
      </w:r>
      <w:r>
        <w:rPr>
          <w:sz w:val="38"/>
        </w:rPr>
        <w:t>3</w:t>
      </w:r>
      <w:r>
        <w:rPr>
          <w:spacing w:val="-12"/>
          <w:sz w:val="38"/>
        </w:rPr>
        <w:t> </w:t>
      </w:r>
      <w:r>
        <w:rPr>
          <w:sz w:val="38"/>
        </w:rPr>
        <w:t>times</w:t>
      </w:r>
      <w:r>
        <w:rPr>
          <w:spacing w:val="-12"/>
          <w:sz w:val="38"/>
        </w:rPr>
        <w:t> </w:t>
      </w:r>
      <w:r>
        <w:rPr>
          <w:sz w:val="38"/>
        </w:rPr>
        <w:t>a</w:t>
      </w:r>
      <w:r>
        <w:rPr>
          <w:spacing w:val="-13"/>
          <w:sz w:val="38"/>
        </w:rPr>
        <w:t> </w:t>
      </w:r>
      <w:r>
        <w:rPr>
          <w:sz w:val="38"/>
        </w:rPr>
        <w:t>day.</w:t>
      </w:r>
      <w:r>
        <w:rPr>
          <w:position w:val="9"/>
          <w:sz w:val="25"/>
        </w:rPr>
        <w:t>467</w:t>
      </w:r>
      <w:r>
        <w:rPr>
          <w:spacing w:val="30"/>
          <w:position w:val="9"/>
          <w:sz w:val="25"/>
        </w:rPr>
        <w:t> </w:t>
      </w:r>
      <w:r>
        <w:rPr>
          <w:sz w:val="38"/>
        </w:rPr>
        <w:t>In</w:t>
      </w:r>
      <w:r>
        <w:rPr>
          <w:spacing w:val="-11"/>
          <w:sz w:val="38"/>
        </w:rPr>
        <w:t> </w:t>
      </w:r>
      <w:r>
        <w:rPr>
          <w:sz w:val="38"/>
        </w:rPr>
        <w:t>addition, lapacho capsules can be</w:t>
      </w:r>
      <w:r>
        <w:rPr>
          <w:spacing w:val="3"/>
          <w:sz w:val="38"/>
        </w:rPr>
        <w:t> </w:t>
      </w:r>
      <w:r>
        <w:rPr>
          <w:sz w:val="38"/>
        </w:rPr>
        <w:t>helpful.</w:t>
      </w:r>
    </w:p>
    <w:p>
      <w:pPr>
        <w:pStyle w:val="Heading1"/>
        <w:spacing w:before="223"/>
        <w:jc w:val="both"/>
      </w:pPr>
      <w:r>
        <w:rPr/>
        <w:t>Use against migraine</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7"/>
        <w:rPr>
          <w:b/>
          <w:i/>
          <w:sz w:val="29"/>
        </w:rPr>
      </w:pPr>
      <w:r>
        <w:rPr/>
        <w:pict>
          <v:line style="position:absolute;mso-position-horizontal-relative:page;mso-position-vertical-relative:paragraph;z-index:5936;mso-wrap-distance-left:0;mso-wrap-distance-right:0" from="63.863998pt,19.015015pt" to="207.883998pt,19.015015pt" stroked="true" strokeweight=".71997pt" strokecolor="#000000">
            <v:stroke dashstyle="solid"/>
            <w10:wrap type="topAndBottom"/>
          </v:line>
        </w:pict>
      </w:r>
    </w:p>
    <w:p>
      <w:pPr>
        <w:pStyle w:val="BodyText"/>
        <w:spacing w:before="7"/>
        <w:rPr>
          <w:b/>
          <w:i/>
          <w:sz w:val="18"/>
        </w:rPr>
      </w:pPr>
    </w:p>
    <w:p>
      <w:pPr>
        <w:spacing w:before="100"/>
        <w:ind w:left="477" w:right="0" w:firstLine="0"/>
        <w:jc w:val="left"/>
        <w:rPr>
          <w:sz w:val="20"/>
        </w:rPr>
      </w:pPr>
      <w:r>
        <w:rPr>
          <w:position w:val="5"/>
          <w:sz w:val="13"/>
        </w:rPr>
        <w:t>467 </w:t>
      </w:r>
      <w:r>
        <w:rPr>
          <w:sz w:val="20"/>
        </w:rPr>
        <w:t>Marcela Ocampo Méndez: ABC des Lapacho-Tees – Heilanwendungen (‘ABC of Lapacho Tea - Therapeutic Use’), 1997, p. 96</w:t>
      </w:r>
    </w:p>
    <w:p>
      <w:pPr>
        <w:spacing w:after="0"/>
        <w:jc w:val="left"/>
        <w:rPr>
          <w:sz w:val="20"/>
        </w:rPr>
        <w:sectPr>
          <w:pgSz w:w="14270" w:h="16850"/>
          <w:pgMar w:header="0" w:footer="1891" w:top="1600" w:bottom="2080" w:left="800" w:right="1280"/>
        </w:sectPr>
      </w:pPr>
    </w:p>
    <w:p>
      <w:pPr>
        <w:pStyle w:val="BodyText"/>
        <w:spacing w:line="276" w:lineRule="auto" w:before="181"/>
        <w:ind w:left="477"/>
      </w:pPr>
      <w:r>
        <w:rPr/>
        <w:t>Drink</w:t>
      </w:r>
      <w:r>
        <w:rPr>
          <w:spacing w:val="-13"/>
        </w:rPr>
        <w:t> </w:t>
      </w:r>
      <w:r>
        <w:rPr/>
        <w:t>3-4</w:t>
      </w:r>
      <w:r>
        <w:rPr>
          <w:spacing w:val="-13"/>
        </w:rPr>
        <w:t> </w:t>
      </w:r>
      <w:r>
        <w:rPr/>
        <w:t>cups</w:t>
      </w:r>
      <w:r>
        <w:rPr>
          <w:spacing w:val="-14"/>
        </w:rPr>
        <w:t> </w:t>
      </w:r>
      <w:r>
        <w:rPr/>
        <w:t>of</w:t>
      </w:r>
      <w:r>
        <w:rPr>
          <w:spacing w:val="-13"/>
        </w:rPr>
        <w:t> </w:t>
      </w:r>
      <w:r>
        <w:rPr/>
        <w:t>unsweetened</w:t>
      </w:r>
      <w:r>
        <w:rPr>
          <w:spacing w:val="-15"/>
        </w:rPr>
        <w:t> </w:t>
      </w:r>
      <w:r>
        <w:rPr/>
        <w:t>lapacho</w:t>
      </w:r>
      <w:r>
        <w:rPr>
          <w:spacing w:val="-13"/>
        </w:rPr>
        <w:t> </w:t>
      </w:r>
      <w:r>
        <w:rPr/>
        <w:t>tea</w:t>
      </w:r>
      <w:r>
        <w:rPr>
          <w:spacing w:val="-14"/>
        </w:rPr>
        <w:t> </w:t>
      </w:r>
      <w:r>
        <w:rPr/>
        <w:t>daily;</w:t>
      </w:r>
      <w:r>
        <w:rPr>
          <w:spacing w:val="-12"/>
        </w:rPr>
        <w:t> </w:t>
      </w:r>
      <w:r>
        <w:rPr/>
        <w:t>as</w:t>
      </w:r>
      <w:r>
        <w:rPr>
          <w:spacing w:val="-16"/>
        </w:rPr>
        <w:t> </w:t>
      </w:r>
      <w:r>
        <w:rPr/>
        <w:t>soon</w:t>
      </w:r>
      <w:r>
        <w:rPr>
          <w:spacing w:val="-14"/>
        </w:rPr>
        <w:t> </w:t>
      </w:r>
      <w:r>
        <w:rPr/>
        <w:t>as</w:t>
      </w:r>
      <w:r>
        <w:rPr>
          <w:spacing w:val="-13"/>
        </w:rPr>
        <w:t> </w:t>
      </w:r>
      <w:r>
        <w:rPr/>
        <w:t>the</w:t>
      </w:r>
      <w:r>
        <w:rPr>
          <w:spacing w:val="-15"/>
        </w:rPr>
        <w:t> </w:t>
      </w:r>
      <w:r>
        <w:rPr/>
        <w:t>symptoms</w:t>
      </w:r>
      <w:r>
        <w:rPr>
          <w:spacing w:val="-12"/>
        </w:rPr>
        <w:t> </w:t>
      </w:r>
      <w:r>
        <w:rPr/>
        <w:t>sub- side, you can halve the</w:t>
      </w:r>
      <w:r>
        <w:rPr>
          <w:spacing w:val="4"/>
        </w:rPr>
        <w:t> </w:t>
      </w:r>
      <w:r>
        <w:rPr/>
        <w:t>dose.</w:t>
      </w:r>
    </w:p>
    <w:p>
      <w:pPr>
        <w:pStyle w:val="Heading1"/>
      </w:pPr>
      <w:r>
        <w:rPr/>
        <w:t>Use against spleen infection</w:t>
      </w:r>
    </w:p>
    <w:p>
      <w:pPr>
        <w:pStyle w:val="BodyText"/>
        <w:spacing w:line="276" w:lineRule="auto" w:before="299"/>
        <w:ind w:left="477"/>
      </w:pPr>
      <w:r>
        <w:rPr/>
        <w:t>Combination of lapacho tea, in more severe cases lapacho capsules. Apply sev- eral compresses with lapacho in the spleen area several times a day.</w:t>
      </w:r>
    </w:p>
    <w:p>
      <w:pPr>
        <w:pStyle w:val="Heading1"/>
        <w:spacing w:before="222"/>
      </w:pPr>
      <w:r>
        <w:rPr/>
        <w:t>Use against multiple sclerosis (MS)</w:t>
      </w:r>
    </w:p>
    <w:p>
      <w:pPr>
        <w:pStyle w:val="BodyText"/>
        <w:spacing w:line="276" w:lineRule="auto" w:before="299"/>
        <w:ind w:left="477"/>
      </w:pPr>
      <w:r>
        <w:rPr/>
        <w:t>For multiple sclerosis, the full programme of lapacho tea, lapacho capsules</w:t>
      </w:r>
      <w:r>
        <w:rPr>
          <w:spacing w:val="-55"/>
        </w:rPr>
        <w:t> </w:t>
      </w:r>
      <w:r>
        <w:rPr/>
        <w:t>and regular lapacho full baths (1-2 times a week) is recommended.</w:t>
      </w:r>
    </w:p>
    <w:p>
      <w:pPr>
        <w:pStyle w:val="Heading1"/>
      </w:pPr>
      <w:r>
        <w:rPr/>
        <w:t>Use against sinusitis</w:t>
      </w:r>
    </w:p>
    <w:p>
      <w:pPr>
        <w:pStyle w:val="BodyText"/>
        <w:spacing w:before="299"/>
        <w:ind w:left="477"/>
      </w:pPr>
      <w:r>
        <w:rPr/>
        <w:t>For sinusitis, you should drink 3-4 cups of lapacho tea sweetened with honey.</w:t>
      </w:r>
    </w:p>
    <w:p>
      <w:pPr>
        <w:pStyle w:val="Heading1"/>
        <w:spacing w:before="288"/>
      </w:pPr>
      <w:r>
        <w:rPr/>
        <w:t>Use against eczema</w:t>
      </w:r>
    </w:p>
    <w:p>
      <w:pPr>
        <w:pStyle w:val="BodyText"/>
        <w:spacing w:line="276" w:lineRule="auto" w:before="296"/>
        <w:ind w:left="477" w:right="136"/>
        <w:jc w:val="both"/>
      </w:pPr>
      <w:r>
        <w:rPr/>
        <w:t>One litre of lapacho tea per day is recommended. One should also perform external applications in the form of towels or compresses soaked in strong lapacho tea. In severe cases, supplement with lapacho capsules.</w:t>
      </w:r>
    </w:p>
    <w:p>
      <w:pPr>
        <w:pStyle w:val="Heading1"/>
      </w:pPr>
      <w:r>
        <w:rPr/>
        <w:t>Use for oedemas</w:t>
      </w:r>
    </w:p>
    <w:p>
      <w:pPr>
        <w:pStyle w:val="BodyText"/>
        <w:spacing w:line="276" w:lineRule="auto" w:before="299"/>
        <w:ind w:left="477"/>
      </w:pPr>
      <w:r>
        <w:rPr/>
        <w:t>During the day, drink 1 litre of unsweetened lapacho tea, preferably between meals.</w:t>
      </w:r>
    </w:p>
    <w:p>
      <w:pPr>
        <w:pStyle w:val="Heading1"/>
        <w:spacing w:before="225"/>
      </w:pPr>
      <w:r>
        <w:rPr/>
        <w:t>Use against fungal diseases of all kinds/vaginal fungus</w:t>
      </w:r>
    </w:p>
    <w:p>
      <w:pPr>
        <w:spacing w:after="0"/>
        <w:sectPr>
          <w:pgSz w:w="14270" w:h="16850"/>
          <w:pgMar w:header="0" w:footer="1891" w:top="1600" w:bottom="2080" w:left="800" w:right="1280"/>
        </w:sectPr>
      </w:pPr>
    </w:p>
    <w:p>
      <w:pPr>
        <w:pStyle w:val="BodyText"/>
        <w:spacing w:line="276" w:lineRule="auto" w:before="181"/>
        <w:ind w:left="477" w:right="141"/>
        <w:jc w:val="both"/>
      </w:pPr>
      <w:r>
        <w:rPr/>
        <w:t>Drink 2-5 cups of unsweetened lapacho tea throughout the day. In addition, you should place cold compresses soaked in lapacho tea on external areas af- fected by fungus.</w:t>
      </w:r>
    </w:p>
    <w:p>
      <w:pPr>
        <w:pStyle w:val="BodyText"/>
        <w:spacing w:line="276" w:lineRule="auto" w:before="242"/>
        <w:ind w:left="477" w:right="136"/>
        <w:jc w:val="both"/>
      </w:pPr>
      <w:r>
        <w:rPr/>
        <w:t>For vaginal fungus, you can prepare a strong lapacho tea, soak a tampon in it and wear it several hours before changing it. In severe cases, take an additional 1-2 lapacho capsules daily.</w:t>
      </w:r>
    </w:p>
    <w:p>
      <w:pPr>
        <w:pStyle w:val="Heading1"/>
        <w:spacing w:before="222"/>
      </w:pPr>
      <w:r>
        <w:rPr/>
        <w:t>Use against polyps</w:t>
      </w:r>
    </w:p>
    <w:p>
      <w:pPr>
        <w:pStyle w:val="BodyText"/>
        <w:spacing w:line="276" w:lineRule="auto" w:before="299"/>
        <w:ind w:left="477" w:right="133"/>
        <w:jc w:val="both"/>
      </w:pPr>
      <w:r>
        <w:rPr/>
        <w:t>Drink lapacho tea regularly until the mucous membrane has regenerated. To increase the effect, inhale lapacho tea 2-3 times a week. To do this, make lapacho</w:t>
      </w:r>
      <w:r>
        <w:rPr>
          <w:spacing w:val="-10"/>
        </w:rPr>
        <w:t> </w:t>
      </w:r>
      <w:r>
        <w:rPr/>
        <w:t>which</w:t>
      </w:r>
      <w:r>
        <w:rPr>
          <w:spacing w:val="-10"/>
        </w:rPr>
        <w:t> </w:t>
      </w:r>
      <w:r>
        <w:rPr/>
        <w:t>is</w:t>
      </w:r>
      <w:r>
        <w:rPr>
          <w:spacing w:val="-11"/>
        </w:rPr>
        <w:t> </w:t>
      </w:r>
      <w:r>
        <w:rPr/>
        <w:t>twice</w:t>
      </w:r>
      <w:r>
        <w:rPr>
          <w:spacing w:val="-11"/>
        </w:rPr>
        <w:t> </w:t>
      </w:r>
      <w:r>
        <w:rPr/>
        <w:t>as</w:t>
      </w:r>
      <w:r>
        <w:rPr>
          <w:spacing w:val="-11"/>
        </w:rPr>
        <w:t> </w:t>
      </w:r>
      <w:r>
        <w:rPr/>
        <w:t>strong</w:t>
      </w:r>
      <w:r>
        <w:rPr>
          <w:spacing w:val="-10"/>
        </w:rPr>
        <w:t> </w:t>
      </w:r>
      <w:r>
        <w:rPr/>
        <w:t>as</w:t>
      </w:r>
      <w:r>
        <w:rPr>
          <w:spacing w:val="-11"/>
        </w:rPr>
        <w:t> </w:t>
      </w:r>
      <w:r>
        <w:rPr/>
        <w:t>that</w:t>
      </w:r>
      <w:r>
        <w:rPr>
          <w:spacing w:val="-10"/>
        </w:rPr>
        <w:t> </w:t>
      </w:r>
      <w:r>
        <w:rPr/>
        <w:t>used</w:t>
      </w:r>
      <w:r>
        <w:rPr>
          <w:spacing w:val="-11"/>
        </w:rPr>
        <w:t> </w:t>
      </w:r>
      <w:r>
        <w:rPr/>
        <w:t>for</w:t>
      </w:r>
      <w:r>
        <w:rPr>
          <w:spacing w:val="-9"/>
        </w:rPr>
        <w:t> </w:t>
      </w:r>
      <w:r>
        <w:rPr/>
        <w:t>drinking,</w:t>
      </w:r>
      <w:r>
        <w:rPr>
          <w:spacing w:val="-9"/>
        </w:rPr>
        <w:t> </w:t>
      </w:r>
      <w:r>
        <w:rPr/>
        <w:t>allow</w:t>
      </w:r>
      <w:r>
        <w:rPr>
          <w:spacing w:val="-11"/>
        </w:rPr>
        <w:t> </w:t>
      </w:r>
      <w:r>
        <w:rPr/>
        <w:t>to</w:t>
      </w:r>
      <w:r>
        <w:rPr>
          <w:spacing w:val="-10"/>
        </w:rPr>
        <w:t> </w:t>
      </w:r>
      <w:r>
        <w:rPr/>
        <w:t>cool</w:t>
      </w:r>
      <w:r>
        <w:rPr>
          <w:spacing w:val="-11"/>
        </w:rPr>
        <w:t> </w:t>
      </w:r>
      <w:r>
        <w:rPr/>
        <w:t>slightly, hold your head over the pot, put a towel over your head and inhale</w:t>
      </w:r>
      <w:r>
        <w:rPr>
          <w:spacing w:val="-20"/>
        </w:rPr>
        <w:t> </w:t>
      </w:r>
      <w:r>
        <w:rPr/>
        <w:t>deeply.</w:t>
      </w:r>
    </w:p>
    <w:p>
      <w:pPr>
        <w:pStyle w:val="Heading1"/>
        <w:spacing w:before="222"/>
      </w:pPr>
      <w:r>
        <w:rPr/>
        <w:t>Use against prostate infections</w:t>
      </w:r>
    </w:p>
    <w:p>
      <w:pPr>
        <w:pStyle w:val="BodyText"/>
        <w:spacing w:line="276" w:lineRule="auto" w:before="299"/>
        <w:ind w:left="477" w:right="140"/>
        <w:jc w:val="both"/>
      </w:pPr>
      <w:r>
        <w:rPr/>
        <w:t>For prostate infections, long-term therapy with lapacho tea is recommended. To do this, drink 1 litre of unsweetened lapacho tea daily between meals.</w:t>
      </w:r>
    </w:p>
    <w:p>
      <w:pPr>
        <w:pStyle w:val="Heading1"/>
      </w:pPr>
      <w:r>
        <w:rPr>
          <w:w w:val="95"/>
        </w:rPr>
        <w:t>Use against</w:t>
      </w:r>
      <w:r>
        <w:rPr>
          <w:spacing w:val="-11"/>
          <w:w w:val="95"/>
        </w:rPr>
        <w:t> </w:t>
      </w:r>
      <w:r>
        <w:rPr>
          <w:w w:val="95"/>
        </w:rPr>
        <w:t>rheumatism</w:t>
      </w:r>
    </w:p>
    <w:p>
      <w:pPr>
        <w:pStyle w:val="BodyText"/>
        <w:spacing w:line="276" w:lineRule="auto" w:before="299"/>
        <w:ind w:left="477" w:right="136"/>
        <w:jc w:val="both"/>
      </w:pPr>
      <w:r>
        <w:rPr/>
        <w:t>The anti-inflammatory and pain-relieving effect makes lapacho tea as an excel- lent rheumatic</w:t>
      </w:r>
      <w:r>
        <w:rPr>
          <w:spacing w:val="1"/>
        </w:rPr>
        <w:t> </w:t>
      </w:r>
      <w:r>
        <w:rPr/>
        <w:t>therapeutic.</w:t>
      </w:r>
    </w:p>
    <w:p>
      <w:pPr>
        <w:pStyle w:val="BodyText"/>
        <w:spacing w:line="276" w:lineRule="auto" w:before="241"/>
        <w:ind w:left="477" w:right="135"/>
        <w:jc w:val="both"/>
      </w:pPr>
      <w:r>
        <w:rPr/>
        <w:t>To do this, drink 1 litre of unsweetened lapacho tea throughout the day, be- tween meals. For severe rheumatism, take 1-2 lapacho capsules as well. In ad- dition, compresses soaked in cooled lapacho tea, wrapped around the</w:t>
      </w:r>
      <w:r>
        <w:rPr>
          <w:spacing w:val="74"/>
        </w:rPr>
        <w:t> </w:t>
      </w:r>
      <w:r>
        <w:rPr/>
        <w:t>affected</w:t>
      </w:r>
    </w:p>
    <w:p>
      <w:pPr>
        <w:spacing w:after="0" w:line="276" w:lineRule="auto"/>
        <w:jc w:val="both"/>
        <w:sectPr>
          <w:footerReference w:type="default" r:id="rId206"/>
          <w:pgSz w:w="14270" w:h="16850"/>
          <w:pgMar w:footer="1891" w:header="0" w:top="1600" w:bottom="2080" w:left="800" w:right="1280"/>
          <w:pgNumType w:start="860"/>
        </w:sectPr>
      </w:pPr>
    </w:p>
    <w:p>
      <w:pPr>
        <w:pStyle w:val="BodyText"/>
        <w:spacing w:before="181"/>
        <w:ind w:left="477"/>
      </w:pPr>
      <w:r>
        <w:rPr/>
        <w:t>joints, are recommended.</w:t>
      </w:r>
    </w:p>
    <w:p>
      <w:pPr>
        <w:pStyle w:val="Heading1"/>
        <w:spacing w:before="288"/>
      </w:pPr>
      <w:r>
        <w:rPr/>
        <w:t>Use against pain of all kinds</w:t>
      </w:r>
    </w:p>
    <w:p>
      <w:pPr>
        <w:pStyle w:val="BodyText"/>
        <w:spacing w:line="276" w:lineRule="auto" w:before="299"/>
        <w:ind w:left="477"/>
      </w:pPr>
      <w:r>
        <w:rPr/>
        <w:t>For pain of all kinds, it is recommended to combine lapacho tea as a drink in conjunction with lapacho compresses on the painful area.</w:t>
      </w:r>
    </w:p>
    <w:p>
      <w:pPr>
        <w:pStyle w:val="Heading1"/>
        <w:spacing w:before="223"/>
      </w:pPr>
      <w:r>
        <w:rPr/>
        <w:t>Use against psoriasis</w:t>
      </w:r>
    </w:p>
    <w:p>
      <w:pPr>
        <w:pStyle w:val="BodyText"/>
        <w:spacing w:line="276" w:lineRule="auto" w:before="298"/>
        <w:ind w:left="477"/>
      </w:pPr>
      <w:r>
        <w:rPr/>
        <w:t>Even with psoriasis, the use of lapacho tea has proven very successful. Here again, dual application, both internally and externally, is recommended.</w:t>
      </w:r>
    </w:p>
    <w:p>
      <w:pPr>
        <w:spacing w:before="241"/>
        <w:ind w:left="477" w:right="0" w:firstLine="0"/>
        <w:jc w:val="left"/>
        <w:rPr>
          <w:sz w:val="38"/>
        </w:rPr>
      </w:pPr>
      <w:r>
        <w:rPr>
          <w:i/>
          <w:sz w:val="38"/>
        </w:rPr>
        <w:t>Internal application: </w:t>
      </w:r>
      <w:r>
        <w:rPr>
          <w:sz w:val="38"/>
        </w:rPr>
        <w:t>between meals, drink 1 litre of unsweetened lapacho tea daily.</w:t>
      </w:r>
    </w:p>
    <w:p>
      <w:pPr>
        <w:spacing w:line="276" w:lineRule="auto" w:before="304"/>
        <w:ind w:left="477" w:right="0" w:firstLine="0"/>
        <w:jc w:val="left"/>
        <w:rPr>
          <w:sz w:val="38"/>
        </w:rPr>
      </w:pPr>
      <w:r>
        <w:rPr>
          <w:i/>
          <w:sz w:val="38"/>
        </w:rPr>
        <w:t>External application: </w:t>
      </w:r>
      <w:r>
        <w:rPr>
          <w:sz w:val="38"/>
        </w:rPr>
        <w:t>soak cloths in cooled lapacho tea and place on the affected areas as a compress.</w:t>
      </w:r>
    </w:p>
    <w:p>
      <w:pPr>
        <w:pStyle w:val="Heading1"/>
      </w:pPr>
      <w:r>
        <w:rPr/>
        <w:t>Use for mental health problems</w:t>
      </w:r>
    </w:p>
    <w:p>
      <w:pPr>
        <w:pStyle w:val="BodyText"/>
        <w:spacing w:before="297"/>
        <w:ind w:left="477"/>
      </w:pPr>
      <w:r>
        <w:rPr/>
        <w:t>Drink a cup of lapacho tea several times a day between meals.</w:t>
      </w:r>
    </w:p>
    <w:p>
      <w:pPr>
        <w:pStyle w:val="Heading1"/>
        <w:spacing w:before="287"/>
      </w:pPr>
      <w:r>
        <w:rPr/>
        <w:t>Use against vaginal discharge</w:t>
      </w:r>
    </w:p>
    <w:p>
      <w:pPr>
        <w:pStyle w:val="BodyText"/>
        <w:spacing w:line="276" w:lineRule="auto" w:before="299"/>
        <w:ind w:left="477" w:right="134"/>
        <w:jc w:val="both"/>
      </w:pPr>
      <w:r>
        <w:rPr/>
        <w:t>It is recommended to use a combination of drinking lapacho tea 3 times a day, vaginal douching multiple times daily and wearing tampons soaked in lapacho tea, which should be changed 2-3 times a day.</w:t>
      </w:r>
    </w:p>
    <w:p>
      <w:pPr>
        <w:pStyle w:val="Heading1"/>
        <w:spacing w:before="225"/>
      </w:pPr>
      <w:r>
        <w:rPr/>
        <w:t>Use against burns and sunburn</w:t>
      </w:r>
    </w:p>
    <w:p>
      <w:pPr>
        <w:pStyle w:val="BodyText"/>
        <w:spacing w:before="299"/>
        <w:ind w:left="477"/>
      </w:pPr>
      <w:r>
        <w:rPr/>
        <w:t>An internal and external application of lapacho tea is also recommended here.</w:t>
      </w:r>
    </w:p>
    <w:p>
      <w:pPr>
        <w:spacing w:after="0"/>
        <w:sectPr>
          <w:pgSz w:w="14270" w:h="16850"/>
          <w:pgMar w:header="0" w:footer="1891" w:top="1600" w:bottom="2080" w:left="800" w:right="1280"/>
        </w:sectPr>
      </w:pPr>
    </w:p>
    <w:p>
      <w:pPr>
        <w:pStyle w:val="BodyText"/>
        <w:spacing w:line="276" w:lineRule="auto" w:before="181"/>
        <w:ind w:left="477" w:right="41"/>
      </w:pPr>
      <w:r>
        <w:rPr/>
        <w:t>Dab the burn site with a cloth soaked in cooled lapacho tea. Drink about 1 litre of unsweetened lapacho tea daily.</w:t>
      </w:r>
    </w:p>
    <w:p>
      <w:pPr>
        <w:pStyle w:val="Heading1"/>
      </w:pPr>
      <w:r>
        <w:rPr/>
        <w:t>Use for digestive problems</w:t>
      </w:r>
    </w:p>
    <w:p>
      <w:pPr>
        <w:pStyle w:val="BodyText"/>
        <w:spacing w:before="299"/>
        <w:ind w:left="477"/>
      </w:pPr>
      <w:r>
        <w:rPr/>
        <w:t>Drink 4-5 cups of unsweetened lapacho tea daily between meals.</w:t>
      </w:r>
    </w:p>
    <w:p>
      <w:pPr>
        <w:pStyle w:val="Heading1"/>
        <w:spacing w:before="287"/>
      </w:pPr>
      <w:r>
        <w:rPr/>
        <w:t>Use for warts</w:t>
      </w:r>
    </w:p>
    <w:p>
      <w:pPr>
        <w:pStyle w:val="BodyText"/>
        <w:spacing w:line="276" w:lineRule="auto" w:before="298"/>
        <w:ind w:left="477" w:right="139"/>
        <w:jc w:val="both"/>
      </w:pPr>
      <w:r>
        <w:rPr/>
        <w:t>As with all external problems, the inner (lapacho tea as a drink) and external application (lapacho tincture applied several times to the wart) is also recom- mended here.</w:t>
      </w:r>
    </w:p>
    <w:p>
      <w:pPr>
        <w:pStyle w:val="Heading1"/>
      </w:pPr>
      <w:r>
        <w:rPr/>
        <w:t>Use for accelerating wound healing</w:t>
      </w:r>
    </w:p>
    <w:p>
      <w:pPr>
        <w:pStyle w:val="BodyText"/>
        <w:spacing w:line="276" w:lineRule="auto" w:before="299"/>
        <w:ind w:left="477"/>
      </w:pPr>
      <w:r>
        <w:rPr/>
        <w:t>Dab the wound area with cloth/gauze soaked in cooled lapacho tea several times a day.</w:t>
      </w:r>
    </w:p>
    <w:p>
      <w:pPr>
        <w:pStyle w:val="BodyText"/>
        <w:rPr>
          <w:sz w:val="42"/>
        </w:rPr>
      </w:pPr>
    </w:p>
    <w:p>
      <w:pPr>
        <w:pStyle w:val="BodyText"/>
        <w:spacing w:before="8"/>
        <w:rPr>
          <w:sz w:val="42"/>
        </w:rPr>
      </w:pPr>
    </w:p>
    <w:p>
      <w:pPr>
        <w:pStyle w:val="Heading1"/>
        <w:spacing w:before="0"/>
      </w:pPr>
      <w:r>
        <w:rPr/>
        <w:t>Use against gum inflammation</w:t>
      </w:r>
    </w:p>
    <w:p>
      <w:pPr>
        <w:pStyle w:val="BodyText"/>
        <w:spacing w:before="300"/>
        <w:ind w:left="477"/>
      </w:pPr>
      <w:r>
        <w:rPr/>
        <w:t>Make a strong lapacho tea, let it cool and rinse your mouth 3 times a day.</w:t>
      </w:r>
    </w:p>
    <w:p>
      <w:pPr>
        <w:pStyle w:val="BodyText"/>
        <w:spacing w:before="8"/>
        <w:rPr>
          <w:sz w:val="37"/>
        </w:rPr>
      </w:pPr>
    </w:p>
    <w:p>
      <w:pPr>
        <w:pStyle w:val="Heading2"/>
      </w:pPr>
      <w:r>
        <w:rPr/>
        <w:t>Lapacho tea: preparation</w:t>
      </w:r>
    </w:p>
    <w:p>
      <w:pPr>
        <w:pStyle w:val="BodyText"/>
        <w:spacing w:line="276" w:lineRule="auto" w:before="305"/>
        <w:ind w:left="477" w:right="133"/>
        <w:jc w:val="both"/>
      </w:pPr>
      <w:r>
        <w:rPr>
          <w:i/>
        </w:rPr>
        <w:t>A basic recipe: </w:t>
      </w:r>
      <w:r>
        <w:rPr/>
        <w:t>the type of tea may vary from supplier to supplier – the following basic</w:t>
      </w:r>
      <w:r>
        <w:rPr>
          <w:spacing w:val="-12"/>
        </w:rPr>
        <w:t> </w:t>
      </w:r>
      <w:r>
        <w:rPr/>
        <w:t>recipe</w:t>
      </w:r>
      <w:r>
        <w:rPr>
          <w:spacing w:val="-12"/>
        </w:rPr>
        <w:t> </w:t>
      </w:r>
      <w:r>
        <w:rPr/>
        <w:t>is</w:t>
      </w:r>
      <w:r>
        <w:rPr>
          <w:spacing w:val="-12"/>
        </w:rPr>
        <w:t> </w:t>
      </w:r>
      <w:r>
        <w:rPr/>
        <w:t>a</w:t>
      </w:r>
      <w:r>
        <w:rPr>
          <w:spacing w:val="-16"/>
        </w:rPr>
        <w:t> </w:t>
      </w:r>
      <w:r>
        <w:rPr/>
        <w:t>good</w:t>
      </w:r>
      <w:r>
        <w:rPr>
          <w:spacing w:val="-11"/>
        </w:rPr>
        <w:t> </w:t>
      </w:r>
      <w:r>
        <w:rPr/>
        <w:t>guide</w:t>
      </w:r>
      <w:r>
        <w:rPr>
          <w:spacing w:val="-12"/>
        </w:rPr>
        <w:t> </w:t>
      </w:r>
      <w:r>
        <w:rPr/>
        <w:t>on</w:t>
      </w:r>
      <w:r>
        <w:rPr>
          <w:spacing w:val="-13"/>
        </w:rPr>
        <w:t> </w:t>
      </w:r>
      <w:r>
        <w:rPr/>
        <w:t>how</w:t>
      </w:r>
      <w:r>
        <w:rPr>
          <w:spacing w:val="-11"/>
        </w:rPr>
        <w:t> </w:t>
      </w:r>
      <w:r>
        <w:rPr/>
        <w:t>to</w:t>
      </w:r>
      <w:r>
        <w:rPr>
          <w:spacing w:val="-11"/>
        </w:rPr>
        <w:t> </w:t>
      </w:r>
      <w:r>
        <w:rPr/>
        <w:t>prepare</w:t>
      </w:r>
      <w:r>
        <w:rPr>
          <w:spacing w:val="-10"/>
        </w:rPr>
        <w:t> </w:t>
      </w:r>
      <w:r>
        <w:rPr/>
        <w:t>the</w:t>
      </w:r>
      <w:r>
        <w:rPr>
          <w:spacing w:val="-11"/>
        </w:rPr>
        <w:t> </w:t>
      </w:r>
      <w:r>
        <w:rPr/>
        <w:t>lapacho</w:t>
      </w:r>
      <w:r>
        <w:rPr>
          <w:spacing w:val="-10"/>
        </w:rPr>
        <w:t> </w:t>
      </w:r>
      <w:r>
        <w:rPr/>
        <w:t>tea</w:t>
      </w:r>
      <w:r>
        <w:rPr>
          <w:spacing w:val="-12"/>
        </w:rPr>
        <w:t> </w:t>
      </w:r>
      <w:r>
        <w:rPr/>
        <w:t>and</w:t>
      </w:r>
      <w:r>
        <w:rPr>
          <w:spacing w:val="-11"/>
        </w:rPr>
        <w:t> </w:t>
      </w:r>
      <w:r>
        <w:rPr/>
        <w:t>makes</w:t>
      </w:r>
      <w:r>
        <w:rPr>
          <w:spacing w:val="-11"/>
        </w:rPr>
        <w:t> </w:t>
      </w:r>
      <w:r>
        <w:rPr/>
        <w:t>1</w:t>
      </w:r>
      <w:r>
        <w:rPr>
          <w:spacing w:val="-11"/>
        </w:rPr>
        <w:t> </w:t>
      </w:r>
      <w:r>
        <w:rPr/>
        <w:t>litre of lapacho tea</w:t>
      </w:r>
      <w:r>
        <w:rPr>
          <w:spacing w:val="1"/>
        </w:rPr>
        <w:t> </w:t>
      </w:r>
      <w:r>
        <w:rPr/>
        <w:t>beverage:</w:t>
      </w:r>
    </w:p>
    <w:p>
      <w:pPr>
        <w:spacing w:after="0" w:line="276" w:lineRule="auto"/>
        <w:jc w:val="both"/>
        <w:sectPr>
          <w:pgSz w:w="14270" w:h="16850"/>
          <w:pgMar w:header="0" w:footer="1891" w:top="1600" w:bottom="2080" w:left="800" w:right="1280"/>
        </w:sectPr>
      </w:pPr>
    </w:p>
    <w:p>
      <w:pPr>
        <w:pStyle w:val="BodyText"/>
        <w:spacing w:before="10"/>
        <w:rPr>
          <w:sz w:val="8"/>
        </w:rPr>
      </w:pPr>
    </w:p>
    <w:p>
      <w:pPr>
        <w:pStyle w:val="ListParagraph"/>
        <w:numPr>
          <w:ilvl w:val="0"/>
          <w:numId w:val="57"/>
        </w:numPr>
        <w:tabs>
          <w:tab w:pos="1197" w:val="left" w:leader="none"/>
          <w:tab w:pos="1198" w:val="left" w:leader="none"/>
        </w:tabs>
        <w:spacing w:line="273" w:lineRule="auto" w:before="83" w:after="0"/>
        <w:ind w:left="1197" w:right="137" w:hanging="360"/>
        <w:jc w:val="left"/>
        <w:rPr>
          <w:sz w:val="38"/>
        </w:rPr>
      </w:pPr>
      <w:r>
        <w:rPr>
          <w:sz w:val="38"/>
        </w:rPr>
        <w:t>add 1-2 tablespoons of lapacho tea to 1 litre of boiling water (2 tea bags per litre for bagged</w:t>
      </w:r>
      <w:r>
        <w:rPr>
          <w:spacing w:val="1"/>
          <w:sz w:val="38"/>
        </w:rPr>
        <w:t> </w:t>
      </w:r>
      <w:r>
        <w:rPr>
          <w:sz w:val="38"/>
        </w:rPr>
        <w:t>tea),</w:t>
      </w:r>
    </w:p>
    <w:p>
      <w:pPr>
        <w:pStyle w:val="ListParagraph"/>
        <w:numPr>
          <w:ilvl w:val="0"/>
          <w:numId w:val="57"/>
        </w:numPr>
        <w:tabs>
          <w:tab w:pos="1185" w:val="left" w:leader="none"/>
          <w:tab w:pos="1186" w:val="left" w:leader="none"/>
        </w:tabs>
        <w:spacing w:line="240" w:lineRule="auto" w:before="7" w:after="0"/>
        <w:ind w:left="1185" w:right="0" w:hanging="348"/>
        <w:jc w:val="left"/>
        <w:rPr>
          <w:sz w:val="38"/>
        </w:rPr>
      </w:pPr>
      <w:r>
        <w:rPr>
          <w:sz w:val="38"/>
        </w:rPr>
        <w:t>boil for 5</w:t>
      </w:r>
      <w:r>
        <w:rPr>
          <w:spacing w:val="-2"/>
          <w:sz w:val="38"/>
        </w:rPr>
        <w:t> </w:t>
      </w:r>
      <w:r>
        <w:rPr>
          <w:sz w:val="38"/>
        </w:rPr>
        <w:t>min,</w:t>
      </w:r>
    </w:p>
    <w:p>
      <w:pPr>
        <w:pStyle w:val="ListParagraph"/>
        <w:numPr>
          <w:ilvl w:val="0"/>
          <w:numId w:val="57"/>
        </w:numPr>
        <w:tabs>
          <w:tab w:pos="1185" w:val="left" w:leader="none"/>
          <w:tab w:pos="1186" w:val="left" w:leader="none"/>
        </w:tabs>
        <w:spacing w:line="240" w:lineRule="auto" w:before="64" w:after="0"/>
        <w:ind w:left="1185" w:right="0" w:hanging="348"/>
        <w:jc w:val="left"/>
        <w:rPr>
          <w:sz w:val="38"/>
        </w:rPr>
      </w:pPr>
      <w:r>
        <w:rPr>
          <w:sz w:val="38"/>
        </w:rPr>
        <w:t>switch off the heat and cover for about 15-20</w:t>
      </w:r>
      <w:r>
        <w:rPr>
          <w:spacing w:val="-1"/>
          <w:sz w:val="38"/>
        </w:rPr>
        <w:t> </w:t>
      </w:r>
      <w:r>
        <w:rPr>
          <w:sz w:val="38"/>
        </w:rPr>
        <w:t>minutes,</w:t>
      </w:r>
    </w:p>
    <w:p>
      <w:pPr>
        <w:pStyle w:val="ListParagraph"/>
        <w:numPr>
          <w:ilvl w:val="0"/>
          <w:numId w:val="57"/>
        </w:numPr>
        <w:tabs>
          <w:tab w:pos="1185" w:val="left" w:leader="none"/>
          <w:tab w:pos="1186" w:val="left" w:leader="none"/>
        </w:tabs>
        <w:spacing w:line="240" w:lineRule="auto" w:before="66" w:after="0"/>
        <w:ind w:left="1185" w:right="0" w:hanging="348"/>
        <w:jc w:val="left"/>
        <w:rPr>
          <w:sz w:val="38"/>
        </w:rPr>
      </w:pPr>
      <w:r>
        <w:rPr>
          <w:sz w:val="38"/>
        </w:rPr>
        <w:t>pour the tea through a sieve into a pot or</w:t>
      </w:r>
      <w:r>
        <w:rPr>
          <w:spacing w:val="-4"/>
          <w:sz w:val="38"/>
        </w:rPr>
        <w:t> </w:t>
      </w:r>
      <w:r>
        <w:rPr>
          <w:sz w:val="38"/>
        </w:rPr>
        <w:t>cup.</w:t>
      </w:r>
    </w:p>
    <w:p>
      <w:pPr>
        <w:pStyle w:val="BodyText"/>
        <w:rPr>
          <w:sz w:val="44"/>
        </w:rPr>
      </w:pPr>
    </w:p>
    <w:p>
      <w:pPr>
        <w:pStyle w:val="BodyText"/>
        <w:spacing w:before="7"/>
        <w:rPr>
          <w:sz w:val="58"/>
        </w:rPr>
      </w:pPr>
    </w:p>
    <w:p>
      <w:pPr>
        <w:pStyle w:val="Heading2"/>
        <w:jc w:val="both"/>
      </w:pPr>
      <w:r>
        <w:rPr/>
        <w:t>Side effects of lapacho</w:t>
      </w:r>
    </w:p>
    <w:p>
      <w:pPr>
        <w:pStyle w:val="BodyText"/>
        <w:spacing w:line="276" w:lineRule="auto" w:before="304"/>
        <w:ind w:left="477" w:right="133"/>
        <w:jc w:val="both"/>
      </w:pPr>
      <w:r>
        <w:rPr/>
        <w:t>No</w:t>
      </w:r>
      <w:r>
        <w:rPr>
          <w:spacing w:val="-8"/>
        </w:rPr>
        <w:t> </w:t>
      </w:r>
      <w:r>
        <w:rPr/>
        <w:t>side</w:t>
      </w:r>
      <w:r>
        <w:rPr>
          <w:spacing w:val="-8"/>
        </w:rPr>
        <w:t> </w:t>
      </w:r>
      <w:r>
        <w:rPr/>
        <w:t>effects</w:t>
      </w:r>
      <w:r>
        <w:rPr>
          <w:spacing w:val="-12"/>
        </w:rPr>
        <w:t> </w:t>
      </w:r>
      <w:r>
        <w:rPr/>
        <w:t>or</w:t>
      </w:r>
      <w:r>
        <w:rPr>
          <w:spacing w:val="-7"/>
        </w:rPr>
        <w:t> </w:t>
      </w:r>
      <w:r>
        <w:rPr/>
        <w:t>interactions</w:t>
      </w:r>
      <w:r>
        <w:rPr>
          <w:spacing w:val="-10"/>
        </w:rPr>
        <w:t> </w:t>
      </w:r>
      <w:r>
        <w:rPr/>
        <w:t>or</w:t>
      </w:r>
      <w:r>
        <w:rPr>
          <w:spacing w:val="-8"/>
        </w:rPr>
        <w:t> </w:t>
      </w:r>
      <w:r>
        <w:rPr/>
        <w:t>other</w:t>
      </w:r>
      <w:r>
        <w:rPr>
          <w:spacing w:val="-9"/>
        </w:rPr>
        <w:t> </w:t>
      </w:r>
      <w:r>
        <w:rPr/>
        <w:t>contraindications</w:t>
      </w:r>
      <w:r>
        <w:rPr>
          <w:spacing w:val="-7"/>
        </w:rPr>
        <w:t> </w:t>
      </w:r>
      <w:r>
        <w:rPr/>
        <w:t>have</w:t>
      </w:r>
      <w:r>
        <w:rPr>
          <w:spacing w:val="-8"/>
        </w:rPr>
        <w:t> </w:t>
      </w:r>
      <w:r>
        <w:rPr/>
        <w:t>been</w:t>
      </w:r>
      <w:r>
        <w:rPr>
          <w:spacing w:val="-2"/>
        </w:rPr>
        <w:t> </w:t>
      </w:r>
      <w:r>
        <w:rPr/>
        <w:t>discovered for</w:t>
      </w:r>
      <w:r>
        <w:rPr>
          <w:spacing w:val="-10"/>
        </w:rPr>
        <w:t> </w:t>
      </w:r>
      <w:r>
        <w:rPr/>
        <w:t>lapacho</w:t>
      </w:r>
      <w:r>
        <w:rPr>
          <w:spacing w:val="-10"/>
        </w:rPr>
        <w:t> </w:t>
      </w:r>
      <w:r>
        <w:rPr/>
        <w:t>tea.</w:t>
      </w:r>
      <w:r>
        <w:rPr>
          <w:spacing w:val="-12"/>
        </w:rPr>
        <w:t> </w:t>
      </w:r>
      <w:r>
        <w:rPr/>
        <w:t>This</w:t>
      </w:r>
      <w:r>
        <w:rPr>
          <w:spacing w:val="-11"/>
        </w:rPr>
        <w:t> </w:t>
      </w:r>
      <w:r>
        <w:rPr/>
        <w:t>applies</w:t>
      </w:r>
      <w:r>
        <w:rPr>
          <w:spacing w:val="-11"/>
        </w:rPr>
        <w:t> </w:t>
      </w:r>
      <w:r>
        <w:rPr/>
        <w:t>to</w:t>
      </w:r>
      <w:r>
        <w:rPr>
          <w:spacing w:val="-10"/>
        </w:rPr>
        <w:t> </w:t>
      </w:r>
      <w:r>
        <w:rPr/>
        <w:t>lapacho</w:t>
      </w:r>
      <w:r>
        <w:rPr>
          <w:spacing w:val="-10"/>
        </w:rPr>
        <w:t> </w:t>
      </w:r>
      <w:r>
        <w:rPr/>
        <w:t>tea</w:t>
      </w:r>
      <w:r>
        <w:rPr>
          <w:spacing w:val="-11"/>
        </w:rPr>
        <w:t> </w:t>
      </w:r>
      <w:r>
        <w:rPr/>
        <w:t>as</w:t>
      </w:r>
      <w:r>
        <w:rPr>
          <w:spacing w:val="-11"/>
        </w:rPr>
        <w:t> </w:t>
      </w:r>
      <w:r>
        <w:rPr/>
        <w:t>a</w:t>
      </w:r>
      <w:r>
        <w:rPr>
          <w:spacing w:val="-12"/>
        </w:rPr>
        <w:t> </w:t>
      </w:r>
      <w:r>
        <w:rPr/>
        <w:t>whole;</w:t>
      </w:r>
      <w:r>
        <w:rPr>
          <w:spacing w:val="-9"/>
        </w:rPr>
        <w:t> </w:t>
      </w:r>
      <w:r>
        <w:rPr/>
        <w:t>a</w:t>
      </w:r>
      <w:r>
        <w:rPr>
          <w:spacing w:val="-12"/>
        </w:rPr>
        <w:t> </w:t>
      </w:r>
      <w:r>
        <w:rPr/>
        <w:t>small</w:t>
      </w:r>
      <w:r>
        <w:rPr>
          <w:spacing w:val="-12"/>
        </w:rPr>
        <w:t> </w:t>
      </w:r>
      <w:r>
        <w:rPr/>
        <w:t>limitation</w:t>
      </w:r>
      <w:r>
        <w:rPr>
          <w:spacing w:val="-10"/>
        </w:rPr>
        <w:t> </w:t>
      </w:r>
      <w:r>
        <w:rPr/>
        <w:t>applies to lapacho capsules, which contain isolated ingredients from lapacho</w:t>
      </w:r>
      <w:r>
        <w:rPr>
          <w:spacing w:val="-10"/>
        </w:rPr>
        <w:t> </w:t>
      </w:r>
      <w:r>
        <w:rPr/>
        <w:t>tea.</w:t>
      </w:r>
    </w:p>
    <w:p>
      <w:pPr>
        <w:pStyle w:val="BodyText"/>
        <w:spacing w:line="276" w:lineRule="auto" w:before="239"/>
        <w:ind w:left="477" w:right="132"/>
        <w:jc w:val="both"/>
      </w:pPr>
      <w:r>
        <w:rPr/>
        <w:t>However, according to the National Cancer Institute (NCI), very high doses</w:t>
      </w:r>
      <w:r>
        <w:rPr>
          <w:spacing w:val="-63"/>
        </w:rPr>
        <w:t> </w:t>
      </w:r>
      <w:r>
        <w:rPr/>
        <w:t>of lapachol isolated from lapacho tea may cause nausea, vomiting and reduced clotting, but only at a daily dose of 1500 mg or more.</w:t>
      </w:r>
      <w:r>
        <w:rPr>
          <w:position w:val="9"/>
          <w:sz w:val="25"/>
        </w:rPr>
        <w:t>468 </w:t>
      </w:r>
      <w:r>
        <w:rPr/>
        <w:t>Furthermore, lapachol (unlike lapacho tea as a whole) should not be taken during pregnancy.</w:t>
      </w:r>
    </w:p>
    <w:p>
      <w:pPr>
        <w:pStyle w:val="BodyText"/>
        <w:spacing w:line="276" w:lineRule="auto" w:before="240"/>
        <w:ind w:left="477" w:right="133"/>
        <w:jc w:val="both"/>
      </w:pPr>
      <w:r>
        <w:rPr/>
        <w:t>In</w:t>
      </w:r>
      <w:r>
        <w:rPr>
          <w:spacing w:val="-9"/>
        </w:rPr>
        <w:t> </w:t>
      </w:r>
      <w:r>
        <w:rPr/>
        <w:t>its</w:t>
      </w:r>
      <w:r>
        <w:rPr>
          <w:spacing w:val="-10"/>
        </w:rPr>
        <w:t> </w:t>
      </w:r>
      <w:r>
        <w:rPr/>
        <w:t>natural</w:t>
      </w:r>
      <w:r>
        <w:rPr>
          <w:spacing w:val="-9"/>
        </w:rPr>
        <w:t> </w:t>
      </w:r>
      <w:r>
        <w:rPr/>
        <w:t>wholeness,</w:t>
      </w:r>
      <w:r>
        <w:rPr>
          <w:spacing w:val="-8"/>
        </w:rPr>
        <w:t> </w:t>
      </w:r>
      <w:r>
        <w:rPr/>
        <w:t>lapacho</w:t>
      </w:r>
      <w:r>
        <w:rPr>
          <w:spacing w:val="-10"/>
        </w:rPr>
        <w:t> </w:t>
      </w:r>
      <w:r>
        <w:rPr/>
        <w:t>tea</w:t>
      </w:r>
      <w:r>
        <w:rPr>
          <w:spacing w:val="-10"/>
        </w:rPr>
        <w:t> </w:t>
      </w:r>
      <w:r>
        <w:rPr/>
        <w:t>has</w:t>
      </w:r>
      <w:r>
        <w:rPr>
          <w:spacing w:val="-4"/>
        </w:rPr>
        <w:t> </w:t>
      </w:r>
      <w:r>
        <w:rPr/>
        <w:t>only</w:t>
      </w:r>
      <w:r>
        <w:rPr>
          <w:spacing w:val="-10"/>
        </w:rPr>
        <w:t> </w:t>
      </w:r>
      <w:r>
        <w:rPr/>
        <w:t>caused</w:t>
      </w:r>
      <w:r>
        <w:rPr>
          <w:spacing w:val="-8"/>
        </w:rPr>
        <w:t> </w:t>
      </w:r>
      <w:r>
        <w:rPr/>
        <w:t>a</w:t>
      </w:r>
      <w:r>
        <w:rPr>
          <w:spacing w:val="-10"/>
        </w:rPr>
        <w:t> </w:t>
      </w:r>
      <w:r>
        <w:rPr/>
        <w:t>slight</w:t>
      </w:r>
      <w:r>
        <w:rPr>
          <w:spacing w:val="-9"/>
        </w:rPr>
        <w:t> </w:t>
      </w:r>
      <w:r>
        <w:rPr/>
        <w:t>rash</w:t>
      </w:r>
      <w:r>
        <w:rPr>
          <w:spacing w:val="-11"/>
        </w:rPr>
        <w:t> </w:t>
      </w:r>
      <w:r>
        <w:rPr/>
        <w:t>and</w:t>
      </w:r>
      <w:r>
        <w:rPr>
          <w:spacing w:val="-8"/>
        </w:rPr>
        <w:t> </w:t>
      </w:r>
      <w:r>
        <w:rPr/>
        <w:t>moderate itching,</w:t>
      </w:r>
      <w:r>
        <w:rPr>
          <w:spacing w:val="-23"/>
        </w:rPr>
        <w:t> </w:t>
      </w:r>
      <w:r>
        <w:rPr/>
        <w:t>even</w:t>
      </w:r>
      <w:r>
        <w:rPr>
          <w:spacing w:val="-23"/>
        </w:rPr>
        <w:t> </w:t>
      </w:r>
      <w:r>
        <w:rPr/>
        <w:t>with</w:t>
      </w:r>
      <w:r>
        <w:rPr>
          <w:spacing w:val="-23"/>
        </w:rPr>
        <w:t> </w:t>
      </w:r>
      <w:r>
        <w:rPr/>
        <w:t>extreme</w:t>
      </w:r>
      <w:r>
        <w:rPr>
          <w:spacing w:val="-23"/>
        </w:rPr>
        <w:t> </w:t>
      </w:r>
      <w:r>
        <w:rPr/>
        <w:t>overdose,</w:t>
      </w:r>
      <w:r>
        <w:rPr>
          <w:spacing w:val="-23"/>
        </w:rPr>
        <w:t> </w:t>
      </w:r>
      <w:r>
        <w:rPr/>
        <w:t>over</w:t>
      </w:r>
      <w:r>
        <w:rPr>
          <w:spacing w:val="-23"/>
        </w:rPr>
        <w:t> </w:t>
      </w:r>
      <w:r>
        <w:rPr/>
        <w:t>years</w:t>
      </w:r>
      <w:r>
        <w:rPr>
          <w:spacing w:val="-24"/>
        </w:rPr>
        <w:t> </w:t>
      </w:r>
      <w:r>
        <w:rPr/>
        <w:t>of</w:t>
      </w:r>
      <w:r>
        <w:rPr>
          <w:spacing w:val="-24"/>
        </w:rPr>
        <w:t> </w:t>
      </w:r>
      <w:r>
        <w:rPr/>
        <w:t>research;</w:t>
      </w:r>
      <w:r>
        <w:rPr>
          <w:spacing w:val="-26"/>
        </w:rPr>
        <w:t> </w:t>
      </w:r>
      <w:r>
        <w:rPr/>
        <w:t>it</w:t>
      </w:r>
      <w:r>
        <w:rPr>
          <w:spacing w:val="-25"/>
        </w:rPr>
        <w:t> </w:t>
      </w:r>
      <w:r>
        <w:rPr/>
        <w:t>must</w:t>
      </w:r>
      <w:r>
        <w:rPr>
          <w:spacing w:val="-24"/>
        </w:rPr>
        <w:t> </w:t>
      </w:r>
      <w:r>
        <w:rPr/>
        <w:t>be</w:t>
      </w:r>
      <w:r>
        <w:rPr>
          <w:spacing w:val="-23"/>
        </w:rPr>
        <w:t> </w:t>
      </w:r>
      <w:r>
        <w:rPr/>
        <w:t>reiterated that</w:t>
      </w:r>
      <w:r>
        <w:rPr>
          <w:spacing w:val="36"/>
        </w:rPr>
        <w:t> </w:t>
      </w:r>
      <w:r>
        <w:rPr/>
        <w:t>this</w:t>
      </w:r>
      <w:r>
        <w:rPr>
          <w:spacing w:val="38"/>
        </w:rPr>
        <w:t> </w:t>
      </w:r>
      <w:r>
        <w:rPr/>
        <w:t>is</w:t>
      </w:r>
      <w:r>
        <w:rPr>
          <w:spacing w:val="37"/>
        </w:rPr>
        <w:t> </w:t>
      </w:r>
      <w:r>
        <w:rPr/>
        <w:t>an</w:t>
      </w:r>
      <w:r>
        <w:rPr>
          <w:spacing w:val="36"/>
        </w:rPr>
        <w:t> </w:t>
      </w:r>
      <w:r>
        <w:rPr/>
        <w:t>extreme</w:t>
      </w:r>
      <w:r>
        <w:rPr>
          <w:spacing w:val="38"/>
        </w:rPr>
        <w:t> </w:t>
      </w:r>
      <w:r>
        <w:rPr/>
        <w:t>overdose</w:t>
      </w:r>
      <w:r>
        <w:rPr>
          <w:spacing w:val="37"/>
        </w:rPr>
        <w:t> </w:t>
      </w:r>
      <w:r>
        <w:rPr/>
        <w:t>which</w:t>
      </w:r>
      <w:r>
        <w:rPr>
          <w:spacing w:val="38"/>
        </w:rPr>
        <w:t> </w:t>
      </w:r>
      <w:r>
        <w:rPr/>
        <w:t>was</w:t>
      </w:r>
      <w:r>
        <w:rPr>
          <w:spacing w:val="37"/>
        </w:rPr>
        <w:t> </w:t>
      </w:r>
      <w:r>
        <w:rPr/>
        <w:t>far</w:t>
      </w:r>
      <w:r>
        <w:rPr>
          <w:spacing w:val="39"/>
        </w:rPr>
        <w:t> </w:t>
      </w:r>
      <w:r>
        <w:rPr/>
        <w:t>above</w:t>
      </w:r>
      <w:r>
        <w:rPr>
          <w:spacing w:val="37"/>
        </w:rPr>
        <w:t> </w:t>
      </w:r>
      <w:r>
        <w:rPr/>
        <w:t>what</w:t>
      </w:r>
      <w:r>
        <w:rPr>
          <w:spacing w:val="35"/>
        </w:rPr>
        <w:t> </w:t>
      </w:r>
      <w:r>
        <w:rPr/>
        <w:t>is</w:t>
      </w:r>
      <w:r>
        <w:rPr>
          <w:spacing w:val="37"/>
        </w:rPr>
        <w:t> </w:t>
      </w:r>
      <w:r>
        <w:rPr/>
        <w:t>recommended</w:t>
      </w:r>
    </w:p>
    <w:p>
      <w:pPr>
        <w:pStyle w:val="BodyText"/>
        <w:rPr>
          <w:sz w:val="20"/>
        </w:rPr>
      </w:pPr>
    </w:p>
    <w:p>
      <w:pPr>
        <w:pStyle w:val="BodyText"/>
        <w:rPr>
          <w:sz w:val="18"/>
        </w:rPr>
      </w:pPr>
      <w:r>
        <w:rPr/>
        <w:pict>
          <v:line style="position:absolute;mso-position-horizontal-relative:page;mso-position-vertical-relative:paragraph;z-index:5960;mso-wrap-distance-left:0;mso-wrap-distance-right:0" from="63.863998pt,12.496197pt" to="207.883998pt,12.496197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468 </w:t>
      </w:r>
      <w:r>
        <w:rPr>
          <w:sz w:val="20"/>
        </w:rPr>
        <w:t>Walter Lübeck, Heilen mit Lapacho-Tee (‘Healing with Lapacho Tea’), 8th Edition 1999, p. 43</w:t>
      </w:r>
    </w:p>
    <w:p>
      <w:pPr>
        <w:spacing w:after="0"/>
        <w:jc w:val="left"/>
        <w:rPr>
          <w:sz w:val="20"/>
        </w:rPr>
        <w:sectPr>
          <w:pgSz w:w="14270" w:h="16850"/>
          <w:pgMar w:header="0" w:footer="1891" w:top="1600" w:bottom="2080" w:left="800" w:right="1280"/>
        </w:sectPr>
      </w:pPr>
    </w:p>
    <w:p>
      <w:pPr>
        <w:pStyle w:val="BodyText"/>
        <w:spacing w:before="181"/>
        <w:ind w:left="477"/>
      </w:pPr>
      <w:r>
        <w:rPr/>
        <w:t>here.</w:t>
      </w:r>
    </w:p>
    <w:p>
      <w:pPr>
        <w:pStyle w:val="BodyText"/>
        <w:spacing w:line="276" w:lineRule="auto" w:before="305"/>
        <w:ind w:left="477" w:right="133"/>
        <w:jc w:val="both"/>
      </w:pPr>
      <w:r>
        <w:rPr/>
        <w:t>Nevertheless,</w:t>
      </w:r>
      <w:r>
        <w:rPr>
          <w:spacing w:val="-15"/>
        </w:rPr>
        <w:t> </w:t>
      </w:r>
      <w:r>
        <w:rPr/>
        <w:t>lapacho-enhanced</w:t>
      </w:r>
      <w:r>
        <w:rPr>
          <w:spacing w:val="-14"/>
        </w:rPr>
        <w:t> </w:t>
      </w:r>
      <w:r>
        <w:rPr/>
        <w:t>excretion</w:t>
      </w:r>
      <w:r>
        <w:rPr>
          <w:spacing w:val="-16"/>
        </w:rPr>
        <w:t> </w:t>
      </w:r>
      <w:r>
        <w:rPr/>
        <w:t>of</w:t>
      </w:r>
      <w:r>
        <w:rPr>
          <w:spacing w:val="-16"/>
        </w:rPr>
        <w:t> </w:t>
      </w:r>
      <w:r>
        <w:rPr/>
        <w:t>poisons</w:t>
      </w:r>
      <w:r>
        <w:rPr>
          <w:spacing w:val="-15"/>
        </w:rPr>
        <w:t> </w:t>
      </w:r>
      <w:r>
        <w:rPr/>
        <w:t>and</w:t>
      </w:r>
      <w:r>
        <w:rPr>
          <w:spacing w:val="-14"/>
        </w:rPr>
        <w:t> </w:t>
      </w:r>
      <w:r>
        <w:rPr/>
        <w:t>toxins</w:t>
      </w:r>
      <w:r>
        <w:rPr>
          <w:spacing w:val="-18"/>
        </w:rPr>
        <w:t> </w:t>
      </w:r>
      <w:r>
        <w:rPr/>
        <w:t>from</w:t>
      </w:r>
      <w:r>
        <w:rPr>
          <w:spacing w:val="-14"/>
        </w:rPr>
        <w:t> </w:t>
      </w:r>
      <w:r>
        <w:rPr/>
        <w:t>the</w:t>
      </w:r>
      <w:r>
        <w:rPr>
          <w:spacing w:val="-16"/>
        </w:rPr>
        <w:t> </w:t>
      </w:r>
      <w:r>
        <w:rPr/>
        <w:t>body </w:t>
      </w:r>
      <w:r>
        <w:rPr>
          <w:u w:val="single"/>
        </w:rPr>
        <w:t>can</w:t>
      </w:r>
      <w:r>
        <w:rPr/>
        <w:t> lead to certain phenomena that are completely misinterpreted by laymen and can lead to unnecessary insecurity, but are mostly temporary in nature and normalise after a few days or weeks of taking</w:t>
      </w:r>
      <w:r>
        <w:rPr>
          <w:spacing w:val="-2"/>
        </w:rPr>
        <w:t> </w:t>
      </w:r>
      <w:r>
        <w:rPr/>
        <w:t>lapacho:</w:t>
      </w:r>
    </w:p>
    <w:p>
      <w:pPr>
        <w:pStyle w:val="ListParagraph"/>
        <w:numPr>
          <w:ilvl w:val="0"/>
          <w:numId w:val="57"/>
        </w:numPr>
        <w:tabs>
          <w:tab w:pos="1197" w:val="left" w:leader="none"/>
          <w:tab w:pos="1198" w:val="left" w:leader="none"/>
        </w:tabs>
        <w:spacing w:line="240" w:lineRule="auto" w:before="241" w:after="0"/>
        <w:ind w:left="1197" w:right="0" w:hanging="360"/>
        <w:jc w:val="left"/>
        <w:rPr>
          <w:sz w:val="38"/>
        </w:rPr>
      </w:pPr>
      <w:r>
        <w:rPr>
          <w:sz w:val="38"/>
        </w:rPr>
        <w:t>increased perspiration, including unfamiliar</w:t>
      </w:r>
      <w:r>
        <w:rPr>
          <w:spacing w:val="-1"/>
          <w:sz w:val="38"/>
        </w:rPr>
        <w:t> </w:t>
      </w:r>
      <w:r>
        <w:rPr>
          <w:sz w:val="38"/>
        </w:rPr>
        <w:t>odour,</w:t>
      </w:r>
    </w:p>
    <w:p>
      <w:pPr>
        <w:pStyle w:val="ListParagraph"/>
        <w:numPr>
          <w:ilvl w:val="0"/>
          <w:numId w:val="57"/>
        </w:numPr>
        <w:tabs>
          <w:tab w:pos="1197" w:val="left" w:leader="none"/>
          <w:tab w:pos="1198" w:val="left" w:leader="none"/>
        </w:tabs>
        <w:spacing w:line="240" w:lineRule="auto" w:before="66" w:after="0"/>
        <w:ind w:left="1197" w:right="0" w:hanging="360"/>
        <w:jc w:val="left"/>
        <w:rPr>
          <w:sz w:val="38"/>
        </w:rPr>
      </w:pPr>
      <w:r>
        <w:rPr>
          <w:sz w:val="38"/>
        </w:rPr>
        <w:t>greasy</w:t>
      </w:r>
      <w:r>
        <w:rPr>
          <w:spacing w:val="1"/>
          <w:sz w:val="38"/>
        </w:rPr>
        <w:t> </w:t>
      </w:r>
      <w:r>
        <w:rPr>
          <w:sz w:val="38"/>
        </w:rPr>
        <w:t>skin,</w:t>
      </w:r>
    </w:p>
    <w:p>
      <w:pPr>
        <w:pStyle w:val="ListParagraph"/>
        <w:numPr>
          <w:ilvl w:val="0"/>
          <w:numId w:val="57"/>
        </w:numPr>
        <w:tabs>
          <w:tab w:pos="1197" w:val="left" w:leader="none"/>
          <w:tab w:pos="1198" w:val="left" w:leader="none"/>
        </w:tabs>
        <w:spacing w:line="240" w:lineRule="auto" w:before="64" w:after="0"/>
        <w:ind w:left="1197" w:right="0" w:hanging="360"/>
        <w:jc w:val="left"/>
        <w:rPr>
          <w:sz w:val="38"/>
        </w:rPr>
      </w:pPr>
      <w:r>
        <w:rPr>
          <w:sz w:val="38"/>
        </w:rPr>
        <w:t>possible skin rashes or</w:t>
      </w:r>
      <w:r>
        <w:rPr>
          <w:spacing w:val="2"/>
          <w:sz w:val="38"/>
        </w:rPr>
        <w:t> </w:t>
      </w:r>
      <w:r>
        <w:rPr>
          <w:sz w:val="38"/>
        </w:rPr>
        <w:t>acne,</w:t>
      </w:r>
    </w:p>
    <w:p>
      <w:pPr>
        <w:pStyle w:val="ListParagraph"/>
        <w:numPr>
          <w:ilvl w:val="0"/>
          <w:numId w:val="57"/>
        </w:numPr>
        <w:tabs>
          <w:tab w:pos="1197" w:val="left" w:leader="none"/>
          <w:tab w:pos="1198" w:val="left" w:leader="none"/>
        </w:tabs>
        <w:spacing w:line="240" w:lineRule="auto" w:before="63" w:after="0"/>
        <w:ind w:left="1197" w:right="0" w:hanging="360"/>
        <w:jc w:val="left"/>
        <w:rPr>
          <w:sz w:val="38"/>
        </w:rPr>
      </w:pPr>
      <w:r>
        <w:rPr>
          <w:sz w:val="38"/>
        </w:rPr>
        <w:t>possible flaking of the</w:t>
      </w:r>
      <w:r>
        <w:rPr>
          <w:spacing w:val="1"/>
          <w:sz w:val="38"/>
        </w:rPr>
        <w:t> </w:t>
      </w:r>
      <w:r>
        <w:rPr>
          <w:sz w:val="38"/>
        </w:rPr>
        <w:t>skin,</w:t>
      </w:r>
    </w:p>
    <w:p>
      <w:pPr>
        <w:pStyle w:val="ListParagraph"/>
        <w:numPr>
          <w:ilvl w:val="0"/>
          <w:numId w:val="57"/>
        </w:numPr>
        <w:tabs>
          <w:tab w:pos="1197" w:val="left" w:leader="none"/>
          <w:tab w:pos="1198" w:val="left" w:leader="none"/>
        </w:tabs>
        <w:spacing w:line="240" w:lineRule="auto" w:before="64" w:after="0"/>
        <w:ind w:left="1197" w:right="0" w:hanging="360"/>
        <w:jc w:val="left"/>
        <w:rPr>
          <w:sz w:val="38"/>
        </w:rPr>
      </w:pPr>
      <w:r>
        <w:rPr>
          <w:sz w:val="38"/>
        </w:rPr>
        <w:t>increased urine; the urine may look and smell</w:t>
      </w:r>
      <w:r>
        <w:rPr>
          <w:spacing w:val="2"/>
          <w:sz w:val="38"/>
        </w:rPr>
        <w:t> </w:t>
      </w:r>
      <w:r>
        <w:rPr>
          <w:sz w:val="38"/>
        </w:rPr>
        <w:t>different,</w:t>
      </w:r>
    </w:p>
    <w:p>
      <w:pPr>
        <w:pStyle w:val="ListParagraph"/>
        <w:numPr>
          <w:ilvl w:val="0"/>
          <w:numId w:val="57"/>
        </w:numPr>
        <w:tabs>
          <w:tab w:pos="1197" w:val="left" w:leader="none"/>
          <w:tab w:pos="1198" w:val="left" w:leader="none"/>
        </w:tabs>
        <w:spacing w:line="240" w:lineRule="auto" w:before="64" w:after="0"/>
        <w:ind w:left="1197" w:right="0" w:hanging="360"/>
        <w:jc w:val="left"/>
        <w:rPr>
          <w:sz w:val="38"/>
        </w:rPr>
      </w:pPr>
      <w:r>
        <w:rPr>
          <w:sz w:val="38"/>
        </w:rPr>
        <w:t>increased bowel movements; may also look and smell</w:t>
      </w:r>
      <w:r>
        <w:rPr>
          <w:spacing w:val="-4"/>
          <w:sz w:val="38"/>
        </w:rPr>
        <w:t> </w:t>
      </w:r>
      <w:r>
        <w:rPr>
          <w:sz w:val="38"/>
        </w:rPr>
        <w:t>different,</w:t>
      </w:r>
    </w:p>
    <w:p>
      <w:pPr>
        <w:pStyle w:val="ListParagraph"/>
        <w:numPr>
          <w:ilvl w:val="0"/>
          <w:numId w:val="57"/>
        </w:numPr>
        <w:tabs>
          <w:tab w:pos="1197" w:val="left" w:leader="none"/>
          <w:tab w:pos="1198" w:val="left" w:leader="none"/>
        </w:tabs>
        <w:spacing w:line="240" w:lineRule="auto" w:before="66" w:after="0"/>
        <w:ind w:left="1197" w:right="0" w:hanging="360"/>
        <w:jc w:val="left"/>
        <w:rPr>
          <w:sz w:val="38"/>
        </w:rPr>
      </w:pPr>
      <w:r>
        <w:rPr>
          <w:sz w:val="38"/>
        </w:rPr>
        <w:t>possible</w:t>
      </w:r>
      <w:r>
        <w:rPr>
          <w:spacing w:val="-1"/>
          <w:sz w:val="38"/>
        </w:rPr>
        <w:t> </w:t>
      </w:r>
      <w:r>
        <w:rPr>
          <w:sz w:val="38"/>
        </w:rPr>
        <w:t>diarrhoea</w:t>
      </w:r>
    </w:p>
    <w:p>
      <w:pPr>
        <w:pStyle w:val="ListParagraph"/>
        <w:numPr>
          <w:ilvl w:val="0"/>
          <w:numId w:val="57"/>
        </w:numPr>
        <w:tabs>
          <w:tab w:pos="1197" w:val="left" w:leader="none"/>
          <w:tab w:pos="1198" w:val="left" w:leader="none"/>
        </w:tabs>
        <w:spacing w:line="240" w:lineRule="auto" w:before="64" w:after="0"/>
        <w:ind w:left="1197" w:right="0" w:hanging="360"/>
        <w:jc w:val="left"/>
        <w:rPr>
          <w:sz w:val="38"/>
        </w:rPr>
      </w:pPr>
      <w:r>
        <w:rPr>
          <w:sz w:val="38"/>
        </w:rPr>
        <w:t>bad breath</w:t>
      </w:r>
      <w:r>
        <w:rPr>
          <w:spacing w:val="1"/>
          <w:sz w:val="38"/>
        </w:rPr>
        <w:t> </w:t>
      </w:r>
      <w:r>
        <w:rPr>
          <w:sz w:val="38"/>
        </w:rPr>
        <w:t>and</w:t>
      </w:r>
    </w:p>
    <w:p>
      <w:pPr>
        <w:pStyle w:val="ListParagraph"/>
        <w:numPr>
          <w:ilvl w:val="0"/>
          <w:numId w:val="57"/>
        </w:numPr>
        <w:tabs>
          <w:tab w:pos="1197" w:val="left" w:leader="none"/>
          <w:tab w:pos="1198" w:val="left" w:leader="none"/>
        </w:tabs>
        <w:spacing w:line="240" w:lineRule="auto" w:before="63" w:after="0"/>
        <w:ind w:left="1197" w:right="0" w:hanging="360"/>
        <w:jc w:val="left"/>
        <w:rPr>
          <w:sz w:val="38"/>
        </w:rPr>
      </w:pPr>
      <w:r>
        <w:rPr>
          <w:sz w:val="38"/>
        </w:rPr>
        <w:t>tongue coating after initial</w:t>
      </w:r>
      <w:r>
        <w:rPr>
          <w:spacing w:val="-2"/>
          <w:sz w:val="38"/>
        </w:rPr>
        <w:t> </w:t>
      </w:r>
      <w:r>
        <w:rPr>
          <w:sz w:val="38"/>
        </w:rPr>
        <w:t>use.</w:t>
      </w:r>
    </w:p>
    <w:p>
      <w:pPr>
        <w:pStyle w:val="BodyText"/>
        <w:rPr>
          <w:sz w:val="36"/>
        </w:rPr>
      </w:pPr>
    </w:p>
    <w:p>
      <w:pPr>
        <w:pStyle w:val="Heading1"/>
        <w:spacing w:before="0"/>
        <w:jc w:val="both"/>
      </w:pPr>
      <w:r>
        <w:rPr/>
        <w:t>What you should consider when</w:t>
      </w:r>
      <w:r>
        <w:rPr>
          <w:spacing w:val="-55"/>
        </w:rPr>
        <w:t> </w:t>
      </w:r>
      <w:r>
        <w:rPr/>
        <w:t>buying</w:t>
      </w:r>
    </w:p>
    <w:p>
      <w:pPr>
        <w:pStyle w:val="BodyText"/>
        <w:spacing w:before="299"/>
        <w:ind w:left="477"/>
        <w:jc w:val="both"/>
      </w:pPr>
      <w:r>
        <w:rPr/>
        <w:t>Lapacho tea is available in various forms:</w:t>
      </w:r>
    </w:p>
    <w:p>
      <w:pPr>
        <w:pStyle w:val="ListParagraph"/>
        <w:numPr>
          <w:ilvl w:val="0"/>
          <w:numId w:val="54"/>
        </w:numPr>
        <w:tabs>
          <w:tab w:pos="1689" w:val="left" w:leader="none"/>
          <w:tab w:pos="1690" w:val="left" w:leader="none"/>
        </w:tabs>
        <w:spacing w:line="240" w:lineRule="auto" w:before="186" w:after="0"/>
        <w:ind w:left="1689" w:right="0" w:hanging="1212"/>
        <w:jc w:val="both"/>
        <w:rPr>
          <w:sz w:val="38"/>
        </w:rPr>
      </w:pPr>
      <w:r>
        <w:rPr>
          <w:sz w:val="38"/>
        </w:rPr>
        <w:t>as loose</w:t>
      </w:r>
      <w:r>
        <w:rPr>
          <w:spacing w:val="-3"/>
          <w:sz w:val="38"/>
        </w:rPr>
        <w:t> </w:t>
      </w:r>
      <w:r>
        <w:rPr>
          <w:sz w:val="38"/>
        </w:rPr>
        <w:t>tea</w:t>
      </w:r>
    </w:p>
    <w:p>
      <w:pPr>
        <w:pStyle w:val="ListParagraph"/>
        <w:numPr>
          <w:ilvl w:val="0"/>
          <w:numId w:val="54"/>
        </w:numPr>
        <w:tabs>
          <w:tab w:pos="1689" w:val="left" w:leader="none"/>
          <w:tab w:pos="1690" w:val="left" w:leader="none"/>
        </w:tabs>
        <w:spacing w:line="240" w:lineRule="auto" w:before="64" w:after="0"/>
        <w:ind w:left="1689" w:right="0" w:hanging="1212"/>
        <w:jc w:val="both"/>
        <w:rPr>
          <w:sz w:val="38"/>
        </w:rPr>
      </w:pPr>
      <w:r>
        <w:rPr>
          <w:sz w:val="38"/>
        </w:rPr>
        <w:t>as a tea</w:t>
      </w:r>
      <w:r>
        <w:rPr>
          <w:spacing w:val="-7"/>
          <w:sz w:val="38"/>
        </w:rPr>
        <w:t> </w:t>
      </w:r>
      <w:r>
        <w:rPr>
          <w:sz w:val="38"/>
        </w:rPr>
        <w:t>bag</w:t>
      </w:r>
    </w:p>
    <w:p>
      <w:pPr>
        <w:pStyle w:val="ListParagraph"/>
        <w:numPr>
          <w:ilvl w:val="0"/>
          <w:numId w:val="54"/>
        </w:numPr>
        <w:tabs>
          <w:tab w:pos="1689" w:val="left" w:leader="none"/>
          <w:tab w:pos="1690" w:val="left" w:leader="none"/>
        </w:tabs>
        <w:spacing w:line="240" w:lineRule="auto" w:before="64" w:after="0"/>
        <w:ind w:left="1689" w:right="0" w:hanging="1212"/>
        <w:jc w:val="both"/>
        <w:rPr>
          <w:sz w:val="38"/>
        </w:rPr>
      </w:pPr>
      <w:r>
        <w:rPr>
          <w:sz w:val="38"/>
        </w:rPr>
        <w:t>in powder</w:t>
      </w:r>
      <w:r>
        <w:rPr>
          <w:spacing w:val="1"/>
          <w:sz w:val="38"/>
        </w:rPr>
        <w:t> </w:t>
      </w:r>
      <w:r>
        <w:rPr>
          <w:sz w:val="38"/>
        </w:rPr>
        <w:t>form</w:t>
      </w:r>
    </w:p>
    <w:p>
      <w:pPr>
        <w:pStyle w:val="ListParagraph"/>
        <w:numPr>
          <w:ilvl w:val="0"/>
          <w:numId w:val="54"/>
        </w:numPr>
        <w:tabs>
          <w:tab w:pos="1689" w:val="left" w:leader="none"/>
          <w:tab w:pos="1690" w:val="left" w:leader="none"/>
        </w:tabs>
        <w:spacing w:line="240" w:lineRule="auto" w:before="66" w:after="0"/>
        <w:ind w:left="1689" w:right="0" w:hanging="1212"/>
        <w:jc w:val="both"/>
        <w:rPr>
          <w:sz w:val="38"/>
        </w:rPr>
      </w:pPr>
      <w:r>
        <w:rPr>
          <w:sz w:val="38"/>
        </w:rPr>
        <w:t>lapacho as a</w:t>
      </w:r>
      <w:r>
        <w:rPr>
          <w:spacing w:val="-1"/>
          <w:sz w:val="38"/>
        </w:rPr>
        <w:t> </w:t>
      </w:r>
      <w:r>
        <w:rPr>
          <w:sz w:val="38"/>
        </w:rPr>
        <w:t>capsule</w:t>
      </w:r>
    </w:p>
    <w:p>
      <w:pPr>
        <w:spacing w:after="0" w:line="240" w:lineRule="auto"/>
        <w:jc w:val="both"/>
        <w:rPr>
          <w:sz w:val="38"/>
        </w:rPr>
        <w:sectPr>
          <w:pgSz w:w="14270" w:h="16850"/>
          <w:pgMar w:header="0" w:footer="1891" w:top="1600" w:bottom="2080" w:left="800" w:right="1280"/>
        </w:sectPr>
      </w:pPr>
    </w:p>
    <w:p>
      <w:pPr>
        <w:pStyle w:val="BodyText"/>
        <w:spacing w:line="276" w:lineRule="auto" w:before="181"/>
        <w:ind w:left="477" w:right="139"/>
        <w:jc w:val="both"/>
      </w:pPr>
      <w:r>
        <w:rPr/>
        <w:t>Attention</w:t>
      </w:r>
      <w:r>
        <w:rPr>
          <w:spacing w:val="-17"/>
        </w:rPr>
        <w:t> </w:t>
      </w:r>
      <w:r>
        <w:rPr/>
        <w:t>should</w:t>
      </w:r>
      <w:r>
        <w:rPr>
          <w:spacing w:val="-19"/>
        </w:rPr>
        <w:t> </w:t>
      </w:r>
      <w:r>
        <w:rPr/>
        <w:t>be</w:t>
      </w:r>
      <w:r>
        <w:rPr>
          <w:spacing w:val="-17"/>
        </w:rPr>
        <w:t> </w:t>
      </w:r>
      <w:r>
        <w:rPr/>
        <w:t>paid</w:t>
      </w:r>
      <w:r>
        <w:rPr>
          <w:spacing w:val="-17"/>
        </w:rPr>
        <w:t> </w:t>
      </w:r>
      <w:r>
        <w:rPr/>
        <w:t>to</w:t>
      </w:r>
      <w:r>
        <w:rPr>
          <w:spacing w:val="-20"/>
        </w:rPr>
        <w:t> </w:t>
      </w:r>
      <w:r>
        <w:rPr/>
        <w:t>quality</w:t>
      </w:r>
      <w:r>
        <w:rPr>
          <w:spacing w:val="-18"/>
        </w:rPr>
        <w:t> </w:t>
      </w:r>
      <w:r>
        <w:rPr/>
        <w:t>when</w:t>
      </w:r>
      <w:r>
        <w:rPr>
          <w:spacing w:val="-16"/>
        </w:rPr>
        <w:t> </w:t>
      </w:r>
      <w:r>
        <w:rPr/>
        <w:t>buying</w:t>
      </w:r>
      <w:r>
        <w:rPr>
          <w:spacing w:val="-19"/>
        </w:rPr>
        <w:t> </w:t>
      </w:r>
      <w:r>
        <w:rPr/>
        <w:t>lapacho,</w:t>
      </w:r>
      <w:r>
        <w:rPr>
          <w:spacing w:val="-17"/>
        </w:rPr>
        <w:t> </w:t>
      </w:r>
      <w:r>
        <w:rPr/>
        <w:t>as</w:t>
      </w:r>
      <w:r>
        <w:rPr>
          <w:spacing w:val="-17"/>
        </w:rPr>
        <w:t> </w:t>
      </w:r>
      <w:r>
        <w:rPr/>
        <w:t>lapacho</w:t>
      </w:r>
      <w:r>
        <w:rPr>
          <w:spacing w:val="-17"/>
        </w:rPr>
        <w:t> </w:t>
      </w:r>
      <w:r>
        <w:rPr/>
        <w:t>tea</w:t>
      </w:r>
      <w:r>
        <w:rPr>
          <w:spacing w:val="-18"/>
        </w:rPr>
        <w:t> </w:t>
      </w:r>
      <w:r>
        <w:rPr/>
        <w:t>is</w:t>
      </w:r>
      <w:r>
        <w:rPr>
          <w:spacing w:val="-19"/>
        </w:rPr>
        <w:t> </w:t>
      </w:r>
      <w:r>
        <w:rPr/>
        <w:t>often offered in the form of wood industry waste at a reasonable bulk price, which</w:t>
      </w:r>
      <w:r>
        <w:rPr>
          <w:spacing w:val="-43"/>
        </w:rPr>
        <w:t> </w:t>
      </w:r>
      <w:r>
        <w:rPr/>
        <w:t>is almost always associated with poor quality.</w:t>
      </w:r>
    </w:p>
    <w:p>
      <w:pPr>
        <w:pStyle w:val="BodyText"/>
        <w:spacing w:line="276" w:lineRule="auto" w:before="242"/>
        <w:ind w:left="477" w:right="134"/>
        <w:jc w:val="both"/>
      </w:pPr>
      <w:r>
        <w:rPr/>
        <w:t>The quality and the correspondingly gentle processing is crucial to the lapacho purchase! To make sure you buy a valuable lapacho tea, experts recommend paying attention to a precise declaration which specifically names the lapacho type: for example, ‘Handroanthus impetiginosus’. If this information is not on the</w:t>
      </w:r>
      <w:r>
        <w:rPr>
          <w:spacing w:val="-8"/>
        </w:rPr>
        <w:t> </w:t>
      </w:r>
      <w:r>
        <w:rPr/>
        <w:t>label,</w:t>
      </w:r>
      <w:r>
        <w:rPr>
          <w:spacing w:val="-9"/>
        </w:rPr>
        <w:t> </w:t>
      </w:r>
      <w:r>
        <w:rPr/>
        <w:t>ask</w:t>
      </w:r>
      <w:r>
        <w:rPr>
          <w:spacing w:val="-9"/>
        </w:rPr>
        <w:t> </w:t>
      </w:r>
      <w:r>
        <w:rPr/>
        <w:t>the</w:t>
      </w:r>
      <w:r>
        <w:rPr>
          <w:spacing w:val="-11"/>
        </w:rPr>
        <w:t> </w:t>
      </w:r>
      <w:r>
        <w:rPr/>
        <w:t>retailer.</w:t>
      </w:r>
      <w:r>
        <w:rPr>
          <w:spacing w:val="-8"/>
        </w:rPr>
        <w:t> </w:t>
      </w:r>
      <w:r>
        <w:rPr/>
        <w:t>If</w:t>
      </w:r>
      <w:r>
        <w:rPr>
          <w:spacing w:val="-9"/>
        </w:rPr>
        <w:t> </w:t>
      </w:r>
      <w:r>
        <w:rPr/>
        <w:t>in</w:t>
      </w:r>
      <w:r>
        <w:rPr>
          <w:spacing w:val="-12"/>
        </w:rPr>
        <w:t> </w:t>
      </w:r>
      <w:r>
        <w:rPr/>
        <w:t>doubt,</w:t>
      </w:r>
      <w:r>
        <w:rPr>
          <w:spacing w:val="-8"/>
        </w:rPr>
        <w:t> </w:t>
      </w:r>
      <w:r>
        <w:rPr/>
        <w:t>you</w:t>
      </w:r>
      <w:r>
        <w:rPr>
          <w:spacing w:val="-10"/>
        </w:rPr>
        <w:t> </w:t>
      </w:r>
      <w:r>
        <w:rPr/>
        <w:t>should</w:t>
      </w:r>
      <w:r>
        <w:rPr>
          <w:spacing w:val="-13"/>
        </w:rPr>
        <w:t> </w:t>
      </w:r>
      <w:r>
        <w:rPr/>
        <w:t>always</w:t>
      </w:r>
      <w:r>
        <w:rPr>
          <w:spacing w:val="-8"/>
        </w:rPr>
        <w:t> </w:t>
      </w:r>
      <w:r>
        <w:rPr/>
        <w:t>resort</w:t>
      </w:r>
      <w:r>
        <w:rPr>
          <w:spacing w:val="-9"/>
        </w:rPr>
        <w:t> </w:t>
      </w:r>
      <w:r>
        <w:rPr/>
        <w:t>to</w:t>
      </w:r>
      <w:r>
        <w:rPr>
          <w:spacing w:val="-10"/>
        </w:rPr>
        <w:t> </w:t>
      </w:r>
      <w:r>
        <w:rPr/>
        <w:t>an</w:t>
      </w:r>
      <w:r>
        <w:rPr>
          <w:spacing w:val="-9"/>
        </w:rPr>
        <w:t> </w:t>
      </w:r>
      <w:r>
        <w:rPr/>
        <w:t>established brand instead of the cheaper, but unsafe, special offer! Ideally, the powdered bark or tea will have a reddish-brown colour and should ideally be packed in paper or cardboard – but not in</w:t>
      </w:r>
      <w:r>
        <w:rPr>
          <w:spacing w:val="-1"/>
        </w:rPr>
        <w:t> </w:t>
      </w:r>
      <w:r>
        <w:rPr/>
        <w:t>plastic.</w:t>
      </w:r>
    </w:p>
    <w:p>
      <w:pPr>
        <w:spacing w:after="0" w:line="276" w:lineRule="auto"/>
        <w:jc w:val="both"/>
        <w:sectPr>
          <w:pgSz w:w="14270" w:h="16850"/>
          <w:pgMar w:header="0" w:footer="1891" w:top="1600" w:bottom="2080" w:left="800" w:right="1280"/>
        </w:sectPr>
      </w:pPr>
    </w:p>
    <w:p>
      <w:pPr>
        <w:spacing w:before="183"/>
        <w:ind w:left="477" w:right="0" w:firstLine="0"/>
        <w:jc w:val="left"/>
        <w:rPr>
          <w:rFonts w:ascii="Cambria"/>
          <w:b/>
          <w:sz w:val="28"/>
        </w:rPr>
      </w:pPr>
      <w:r>
        <w:rPr>
          <w:rFonts w:ascii="Cambria"/>
          <w:b/>
          <w:color w:val="365F91"/>
          <w:sz w:val="28"/>
        </w:rPr>
        <w:t>ACETYL-L-CARNITINE</w:t>
      </w:r>
    </w:p>
    <w:p>
      <w:pPr>
        <w:pStyle w:val="BodyText"/>
        <w:rPr>
          <w:rFonts w:ascii="Cambria"/>
          <w:b/>
          <w:sz w:val="32"/>
        </w:rPr>
      </w:pPr>
    </w:p>
    <w:p>
      <w:pPr>
        <w:pStyle w:val="BodyText"/>
        <w:rPr>
          <w:rFonts w:ascii="Cambria"/>
          <w:b/>
          <w:sz w:val="32"/>
        </w:rPr>
      </w:pPr>
    </w:p>
    <w:p>
      <w:pPr>
        <w:pStyle w:val="Heading2"/>
        <w:spacing w:before="269"/>
      </w:pPr>
      <w:r>
        <w:rPr/>
        <w:t>What is L-carnitine?</w:t>
      </w:r>
    </w:p>
    <w:p>
      <w:pPr>
        <w:pStyle w:val="BodyText"/>
        <w:spacing w:line="276" w:lineRule="auto" w:before="304"/>
        <w:ind w:left="477" w:right="133"/>
        <w:jc w:val="both"/>
      </w:pPr>
      <w:r>
        <w:rPr/>
        <w:t>L-carnitine or acetyl-L-carnitine (also abbreviated as ‘ALC’) always sparks dis- cussion among athletes and those who want to lose weight. This is hardly sur- prising, because the claim from supplement manufacturers that L-carnitine in- troduces fatty acids into the fuel cells of the muscles, would logically make L- carnitine a much sought-after performance enhancer for the former and un- doubtedly a potent slimming aid for the latter...</w:t>
      </w:r>
    </w:p>
    <w:p>
      <w:pPr>
        <w:pStyle w:val="BodyText"/>
        <w:spacing w:line="276" w:lineRule="auto" w:before="241"/>
        <w:ind w:left="477" w:right="132"/>
        <w:jc w:val="both"/>
      </w:pPr>
      <w:r>
        <w:rPr/>
        <w:t>Opposed</w:t>
      </w:r>
      <w:r>
        <w:rPr>
          <w:spacing w:val="-23"/>
        </w:rPr>
        <w:t> </w:t>
      </w:r>
      <w:r>
        <w:rPr/>
        <w:t>to</w:t>
      </w:r>
      <w:r>
        <w:rPr>
          <w:spacing w:val="-22"/>
        </w:rPr>
        <w:t> </w:t>
      </w:r>
      <w:r>
        <w:rPr/>
        <w:t>this</w:t>
      </w:r>
      <w:r>
        <w:rPr>
          <w:spacing w:val="-22"/>
        </w:rPr>
        <w:t> </w:t>
      </w:r>
      <w:r>
        <w:rPr/>
        <w:t>are</w:t>
      </w:r>
      <w:r>
        <w:rPr>
          <w:spacing w:val="-24"/>
        </w:rPr>
        <w:t> </w:t>
      </w:r>
      <w:r>
        <w:rPr/>
        <w:t>contrary</w:t>
      </w:r>
      <w:r>
        <w:rPr>
          <w:spacing w:val="-23"/>
        </w:rPr>
        <w:t> </w:t>
      </w:r>
      <w:r>
        <w:rPr/>
        <w:t>statements</w:t>
      </w:r>
      <w:r>
        <w:rPr>
          <w:spacing w:val="-22"/>
        </w:rPr>
        <w:t> </w:t>
      </w:r>
      <w:r>
        <w:rPr/>
        <w:t>which</w:t>
      </w:r>
      <w:r>
        <w:rPr>
          <w:spacing w:val="-22"/>
        </w:rPr>
        <w:t> </w:t>
      </w:r>
      <w:r>
        <w:rPr/>
        <w:t>do</w:t>
      </w:r>
      <w:r>
        <w:rPr>
          <w:spacing w:val="-23"/>
        </w:rPr>
        <w:t> </w:t>
      </w:r>
      <w:r>
        <w:rPr/>
        <w:t>more</w:t>
      </w:r>
      <w:r>
        <w:rPr>
          <w:spacing w:val="-23"/>
        </w:rPr>
        <w:t> </w:t>
      </w:r>
      <w:r>
        <w:rPr/>
        <w:t>than</w:t>
      </w:r>
      <w:r>
        <w:rPr>
          <w:spacing w:val="-22"/>
        </w:rPr>
        <w:t> </w:t>
      </w:r>
      <w:r>
        <w:rPr/>
        <w:t>question</w:t>
      </w:r>
      <w:r>
        <w:rPr>
          <w:spacing w:val="-23"/>
        </w:rPr>
        <w:t> </w:t>
      </w:r>
      <w:r>
        <w:rPr/>
        <w:t>the</w:t>
      </w:r>
      <w:r>
        <w:rPr>
          <w:spacing w:val="-22"/>
        </w:rPr>
        <w:t> </w:t>
      </w:r>
      <w:r>
        <w:rPr/>
        <w:t>effect of L-carnitine.</w:t>
      </w:r>
    </w:p>
    <w:p>
      <w:pPr>
        <w:pStyle w:val="BodyText"/>
        <w:spacing w:line="276" w:lineRule="auto" w:before="240"/>
        <w:ind w:left="477" w:right="135"/>
        <w:jc w:val="both"/>
      </w:pPr>
      <w:r>
        <w:rPr/>
        <w:t>We</w:t>
      </w:r>
      <w:r>
        <w:rPr>
          <w:spacing w:val="-15"/>
        </w:rPr>
        <w:t> </w:t>
      </w:r>
      <w:r>
        <w:rPr/>
        <w:t>want</w:t>
      </w:r>
      <w:r>
        <w:rPr>
          <w:spacing w:val="-14"/>
        </w:rPr>
        <w:t> </w:t>
      </w:r>
      <w:r>
        <w:rPr/>
        <w:t>to</w:t>
      </w:r>
      <w:r>
        <w:rPr>
          <w:spacing w:val="-17"/>
        </w:rPr>
        <w:t> </w:t>
      </w:r>
      <w:r>
        <w:rPr/>
        <w:t>shed</w:t>
      </w:r>
      <w:r>
        <w:rPr>
          <w:spacing w:val="-16"/>
        </w:rPr>
        <w:t> </w:t>
      </w:r>
      <w:r>
        <w:rPr/>
        <w:t>some</w:t>
      </w:r>
      <w:r>
        <w:rPr>
          <w:spacing w:val="-16"/>
        </w:rPr>
        <w:t> </w:t>
      </w:r>
      <w:r>
        <w:rPr/>
        <w:t>light</w:t>
      </w:r>
      <w:r>
        <w:rPr>
          <w:spacing w:val="-17"/>
        </w:rPr>
        <w:t> </w:t>
      </w:r>
      <w:r>
        <w:rPr/>
        <w:t>on</w:t>
      </w:r>
      <w:r>
        <w:rPr>
          <w:spacing w:val="-15"/>
        </w:rPr>
        <w:t> </w:t>
      </w:r>
      <w:r>
        <w:rPr/>
        <w:t>this</w:t>
      </w:r>
      <w:r>
        <w:rPr>
          <w:spacing w:val="-15"/>
        </w:rPr>
        <w:t> </w:t>
      </w:r>
      <w:r>
        <w:rPr/>
        <w:t>extremely</w:t>
      </w:r>
      <w:r>
        <w:rPr>
          <w:spacing w:val="-15"/>
        </w:rPr>
        <w:t> </w:t>
      </w:r>
      <w:r>
        <w:rPr/>
        <w:t>remarkable</w:t>
      </w:r>
      <w:r>
        <w:rPr>
          <w:spacing w:val="-14"/>
        </w:rPr>
        <w:t> </w:t>
      </w:r>
      <w:r>
        <w:rPr/>
        <w:t>natural</w:t>
      </w:r>
      <w:r>
        <w:rPr>
          <w:spacing w:val="-16"/>
        </w:rPr>
        <w:t> </w:t>
      </w:r>
      <w:r>
        <w:rPr/>
        <w:t>substance</w:t>
      </w:r>
      <w:r>
        <w:rPr>
          <w:spacing w:val="-13"/>
        </w:rPr>
        <w:t> </w:t>
      </w:r>
      <w:r>
        <w:rPr/>
        <w:t>and take</w:t>
      </w:r>
      <w:r>
        <w:rPr>
          <w:spacing w:val="-6"/>
        </w:rPr>
        <w:t> </w:t>
      </w:r>
      <w:r>
        <w:rPr/>
        <w:t>a</w:t>
      </w:r>
      <w:r>
        <w:rPr>
          <w:spacing w:val="-5"/>
        </w:rPr>
        <w:t> </w:t>
      </w:r>
      <w:r>
        <w:rPr/>
        <w:t>closer</w:t>
      </w:r>
      <w:r>
        <w:rPr>
          <w:spacing w:val="-5"/>
        </w:rPr>
        <w:t> </w:t>
      </w:r>
      <w:r>
        <w:rPr/>
        <w:t>look</w:t>
      </w:r>
      <w:r>
        <w:rPr>
          <w:spacing w:val="-5"/>
        </w:rPr>
        <w:t> </w:t>
      </w:r>
      <w:r>
        <w:rPr/>
        <w:t>at</w:t>
      </w:r>
      <w:r>
        <w:rPr>
          <w:spacing w:val="-7"/>
        </w:rPr>
        <w:t> </w:t>
      </w:r>
      <w:r>
        <w:rPr/>
        <w:t>the</w:t>
      </w:r>
      <w:r>
        <w:rPr>
          <w:spacing w:val="-3"/>
        </w:rPr>
        <w:t> </w:t>
      </w:r>
      <w:r>
        <w:rPr/>
        <w:t>two</w:t>
      </w:r>
      <w:r>
        <w:rPr>
          <w:spacing w:val="-7"/>
        </w:rPr>
        <w:t> </w:t>
      </w:r>
      <w:r>
        <w:rPr/>
        <w:t>aspects</w:t>
      </w:r>
      <w:r>
        <w:rPr>
          <w:spacing w:val="-5"/>
        </w:rPr>
        <w:t> </w:t>
      </w:r>
      <w:r>
        <w:rPr/>
        <w:t>of</w:t>
      </w:r>
      <w:r>
        <w:rPr>
          <w:spacing w:val="-7"/>
        </w:rPr>
        <w:t> </w:t>
      </w:r>
      <w:r>
        <w:rPr/>
        <w:t>losing</w:t>
      </w:r>
      <w:r>
        <w:rPr>
          <w:spacing w:val="-4"/>
        </w:rPr>
        <w:t> </w:t>
      </w:r>
      <w:r>
        <w:rPr/>
        <w:t>weight</w:t>
      </w:r>
      <w:r>
        <w:rPr>
          <w:spacing w:val="-5"/>
        </w:rPr>
        <w:t> </w:t>
      </w:r>
      <w:r>
        <w:rPr/>
        <w:t>and</w:t>
      </w:r>
      <w:r>
        <w:rPr>
          <w:spacing w:val="-4"/>
        </w:rPr>
        <w:t> </w:t>
      </w:r>
      <w:r>
        <w:rPr/>
        <w:t>increasing</w:t>
      </w:r>
      <w:r>
        <w:rPr>
          <w:spacing w:val="-5"/>
        </w:rPr>
        <w:t> </w:t>
      </w:r>
      <w:r>
        <w:rPr/>
        <w:t>sports</w:t>
      </w:r>
      <w:r>
        <w:rPr>
          <w:spacing w:val="-7"/>
        </w:rPr>
        <w:t> </w:t>
      </w:r>
      <w:r>
        <w:rPr/>
        <w:t>per- formance, on which L-carnitine has an equally positive</w:t>
      </w:r>
      <w:r>
        <w:rPr>
          <w:spacing w:val="-2"/>
        </w:rPr>
        <w:t> </w:t>
      </w:r>
      <w:r>
        <w:rPr/>
        <w:t>impact.</w:t>
      </w:r>
    </w:p>
    <w:p>
      <w:pPr>
        <w:pStyle w:val="Heading2"/>
        <w:spacing w:before="239"/>
      </w:pPr>
      <w:r>
        <w:rPr/>
        <w:t>L-carnitine from a biochemical point of view</w:t>
      </w:r>
    </w:p>
    <w:p>
      <w:pPr>
        <w:pStyle w:val="BodyText"/>
        <w:spacing w:line="276" w:lineRule="auto" w:before="305"/>
        <w:ind w:left="477" w:right="131"/>
        <w:jc w:val="both"/>
      </w:pPr>
      <w:r>
        <w:rPr/>
        <w:t>From a biochemical point of view, L-carnitine is a natural, endogenous sub- stance</w:t>
      </w:r>
      <w:r>
        <w:rPr>
          <w:spacing w:val="-21"/>
        </w:rPr>
        <w:t> </w:t>
      </w:r>
      <w:r>
        <w:rPr/>
        <w:t>that</w:t>
      </w:r>
      <w:r>
        <w:rPr>
          <w:spacing w:val="-21"/>
        </w:rPr>
        <w:t> </w:t>
      </w:r>
      <w:r>
        <w:rPr/>
        <w:t>consists</w:t>
      </w:r>
      <w:r>
        <w:rPr>
          <w:spacing w:val="-19"/>
        </w:rPr>
        <w:t> </w:t>
      </w:r>
      <w:r>
        <w:rPr/>
        <w:t>of</w:t>
      </w:r>
      <w:r>
        <w:rPr>
          <w:spacing w:val="-23"/>
        </w:rPr>
        <w:t> </w:t>
      </w:r>
      <w:r>
        <w:rPr/>
        <w:t>the</w:t>
      </w:r>
      <w:r>
        <w:rPr>
          <w:spacing w:val="-22"/>
        </w:rPr>
        <w:t> </w:t>
      </w:r>
      <w:r>
        <w:rPr/>
        <w:t>two</w:t>
      </w:r>
      <w:r>
        <w:rPr>
          <w:spacing w:val="-21"/>
        </w:rPr>
        <w:t> </w:t>
      </w:r>
      <w:r>
        <w:rPr/>
        <w:t>amino</w:t>
      </w:r>
      <w:r>
        <w:rPr>
          <w:spacing w:val="-19"/>
        </w:rPr>
        <w:t> </w:t>
      </w:r>
      <w:r>
        <w:rPr/>
        <w:t>acids</w:t>
      </w:r>
      <w:r>
        <w:rPr>
          <w:spacing w:val="-22"/>
        </w:rPr>
        <w:t> </w:t>
      </w:r>
      <w:r>
        <w:rPr/>
        <w:t>‘lysine’</w:t>
      </w:r>
      <w:r>
        <w:rPr>
          <w:spacing w:val="-21"/>
        </w:rPr>
        <w:t> </w:t>
      </w:r>
      <w:r>
        <w:rPr/>
        <w:t>and</w:t>
      </w:r>
      <w:r>
        <w:rPr>
          <w:spacing w:val="-22"/>
        </w:rPr>
        <w:t> </w:t>
      </w:r>
      <w:r>
        <w:rPr/>
        <w:t>‘methionine’.</w:t>
      </w:r>
      <w:r>
        <w:rPr>
          <w:spacing w:val="-23"/>
        </w:rPr>
        <w:t> </w:t>
      </w:r>
      <w:r>
        <w:rPr/>
        <w:t>In</w:t>
      </w:r>
      <w:r>
        <w:rPr>
          <w:spacing w:val="-22"/>
        </w:rPr>
        <w:t> </w:t>
      </w:r>
      <w:r>
        <w:rPr/>
        <w:t>the</w:t>
      </w:r>
      <w:r>
        <w:rPr>
          <w:spacing w:val="-20"/>
        </w:rPr>
        <w:t> </w:t>
      </w:r>
      <w:r>
        <w:rPr/>
        <w:t>liver, L-carnitine is synthesised from these two amino acids and is then transported into the blood and finally to the target</w:t>
      </w:r>
      <w:r>
        <w:rPr>
          <w:spacing w:val="3"/>
        </w:rPr>
        <w:t> </w:t>
      </w:r>
      <w:r>
        <w:rPr/>
        <w:t>organs.</w:t>
      </w:r>
    </w:p>
    <w:p>
      <w:pPr>
        <w:pStyle w:val="BodyText"/>
        <w:spacing w:before="242"/>
        <w:ind w:left="477"/>
        <w:jc w:val="both"/>
      </w:pPr>
      <w:r>
        <w:rPr/>
        <w:t>The chemical formula for L-carnitine is C</w:t>
      </w:r>
      <w:r>
        <w:rPr>
          <w:vertAlign w:val="subscript"/>
        </w:rPr>
        <w:t>7</w:t>
      </w:r>
      <w:r>
        <w:rPr>
          <w:vertAlign w:val="baseline"/>
        </w:rPr>
        <w:t>H</w:t>
      </w:r>
      <w:r>
        <w:rPr>
          <w:vertAlign w:val="subscript"/>
        </w:rPr>
        <w:t>15</w:t>
      </w:r>
      <w:r>
        <w:rPr>
          <w:vertAlign w:val="baseline"/>
        </w:rPr>
        <w:t>NO</w:t>
      </w:r>
      <w:r>
        <w:rPr>
          <w:vertAlign w:val="subscript"/>
        </w:rPr>
        <w:t>3</w:t>
      </w:r>
      <w:r>
        <w:rPr>
          <w:vertAlign w:val="baseline"/>
        </w:rPr>
        <w:t>.</w:t>
      </w:r>
      <w:r>
        <w:rPr>
          <w:spacing w:val="60"/>
          <w:vertAlign w:val="baseline"/>
        </w:rPr>
        <w:t> </w:t>
      </w:r>
      <w:r>
        <w:rPr>
          <w:vertAlign w:val="baseline"/>
        </w:rPr>
        <w:t>L-carnitine still bears the</w:t>
      </w:r>
    </w:p>
    <w:p>
      <w:pPr>
        <w:spacing w:after="0"/>
        <w:jc w:val="both"/>
        <w:sectPr>
          <w:pgSz w:w="14270" w:h="16850"/>
          <w:pgMar w:header="0" w:footer="1891" w:top="1600" w:bottom="2080" w:left="800" w:right="1280"/>
        </w:sectPr>
      </w:pPr>
    </w:p>
    <w:p>
      <w:pPr>
        <w:pStyle w:val="BodyText"/>
        <w:spacing w:line="276" w:lineRule="auto" w:before="181"/>
        <w:ind w:left="477" w:right="135"/>
        <w:jc w:val="both"/>
      </w:pPr>
      <w:r>
        <w:rPr/>
        <w:t>lesser known names trimethyl-hydroxybutyrobetaine,</w:t>
      </w:r>
      <w:r>
        <w:rPr>
          <w:spacing w:val="-51"/>
        </w:rPr>
        <w:t> </w:t>
      </w:r>
      <w:r>
        <w:rPr/>
        <w:t>3-carboxy-2-hydroxypro- pyl and N,N,N-trimethylammonium hydroxide, which can be found in chem- ists’.</w:t>
      </w:r>
    </w:p>
    <w:p>
      <w:pPr>
        <w:pStyle w:val="Heading2"/>
        <w:spacing w:before="242"/>
        <w:jc w:val="both"/>
      </w:pPr>
      <w:r>
        <w:rPr/>
        <w:t>L-carnitine from a functional point of view</w:t>
      </w:r>
    </w:p>
    <w:p>
      <w:pPr>
        <w:spacing w:before="287"/>
        <w:ind w:left="477" w:right="0" w:firstLine="0"/>
        <w:jc w:val="both"/>
        <w:rPr>
          <w:b/>
          <w:i/>
          <w:sz w:val="40"/>
        </w:rPr>
      </w:pPr>
      <w:r>
        <w:rPr>
          <w:b/>
          <w:i/>
          <w:sz w:val="40"/>
        </w:rPr>
        <w:t>L-carnitine</w:t>
      </w:r>
      <w:r>
        <w:rPr>
          <w:b/>
          <w:i/>
          <w:spacing w:val="-37"/>
          <w:sz w:val="40"/>
        </w:rPr>
        <w:t> </w:t>
      </w:r>
      <w:r>
        <w:rPr>
          <w:b/>
          <w:i/>
          <w:sz w:val="40"/>
        </w:rPr>
        <w:t>–</w:t>
      </w:r>
      <w:r>
        <w:rPr>
          <w:b/>
          <w:i/>
          <w:spacing w:val="-36"/>
          <w:sz w:val="40"/>
        </w:rPr>
        <w:t> </w:t>
      </w:r>
      <w:r>
        <w:rPr>
          <w:b/>
          <w:i/>
          <w:sz w:val="40"/>
        </w:rPr>
        <w:t>where</w:t>
      </w:r>
      <w:r>
        <w:rPr>
          <w:b/>
          <w:i/>
          <w:spacing w:val="-38"/>
          <w:sz w:val="40"/>
        </w:rPr>
        <w:t> </w:t>
      </w:r>
      <w:r>
        <w:rPr>
          <w:b/>
          <w:i/>
          <w:sz w:val="40"/>
        </w:rPr>
        <w:t>does</w:t>
      </w:r>
      <w:r>
        <w:rPr>
          <w:b/>
          <w:i/>
          <w:spacing w:val="-38"/>
          <w:sz w:val="40"/>
        </w:rPr>
        <w:t> </w:t>
      </w:r>
      <w:r>
        <w:rPr>
          <w:b/>
          <w:i/>
          <w:sz w:val="40"/>
        </w:rPr>
        <w:t>it</w:t>
      </w:r>
      <w:r>
        <w:rPr>
          <w:b/>
          <w:i/>
          <w:spacing w:val="-37"/>
          <w:sz w:val="40"/>
        </w:rPr>
        <w:t> </w:t>
      </w:r>
      <w:r>
        <w:rPr>
          <w:b/>
          <w:i/>
          <w:sz w:val="40"/>
        </w:rPr>
        <w:t>come</w:t>
      </w:r>
      <w:r>
        <w:rPr>
          <w:b/>
          <w:i/>
          <w:spacing w:val="-38"/>
          <w:sz w:val="40"/>
        </w:rPr>
        <w:t> </w:t>
      </w:r>
      <w:r>
        <w:rPr>
          <w:b/>
          <w:i/>
          <w:sz w:val="40"/>
        </w:rPr>
        <w:t>from</w:t>
      </w:r>
      <w:r>
        <w:rPr>
          <w:b/>
          <w:i/>
          <w:spacing w:val="-38"/>
          <w:sz w:val="40"/>
        </w:rPr>
        <w:t> </w:t>
      </w:r>
      <w:r>
        <w:rPr>
          <w:b/>
          <w:i/>
          <w:sz w:val="40"/>
        </w:rPr>
        <w:t>and</w:t>
      </w:r>
      <w:r>
        <w:rPr>
          <w:b/>
          <w:i/>
          <w:spacing w:val="-37"/>
          <w:sz w:val="40"/>
        </w:rPr>
        <w:t> </w:t>
      </w:r>
      <w:r>
        <w:rPr>
          <w:b/>
          <w:i/>
          <w:sz w:val="40"/>
        </w:rPr>
        <w:t>what</w:t>
      </w:r>
      <w:r>
        <w:rPr>
          <w:b/>
          <w:i/>
          <w:spacing w:val="-38"/>
          <w:sz w:val="40"/>
        </w:rPr>
        <w:t> </w:t>
      </w:r>
      <w:r>
        <w:rPr>
          <w:b/>
          <w:i/>
          <w:sz w:val="40"/>
        </w:rPr>
        <w:t>does</w:t>
      </w:r>
      <w:r>
        <w:rPr>
          <w:b/>
          <w:i/>
          <w:spacing w:val="-37"/>
          <w:sz w:val="40"/>
        </w:rPr>
        <w:t> </w:t>
      </w:r>
      <w:r>
        <w:rPr>
          <w:b/>
          <w:i/>
          <w:sz w:val="40"/>
        </w:rPr>
        <w:t>it</w:t>
      </w:r>
      <w:r>
        <w:rPr>
          <w:b/>
          <w:i/>
          <w:spacing w:val="-38"/>
          <w:sz w:val="40"/>
        </w:rPr>
        <w:t> </w:t>
      </w:r>
      <w:r>
        <w:rPr>
          <w:b/>
          <w:i/>
          <w:sz w:val="40"/>
        </w:rPr>
        <w:t>do</w:t>
      </w:r>
      <w:r>
        <w:rPr>
          <w:b/>
          <w:i/>
          <w:spacing w:val="-38"/>
          <w:sz w:val="40"/>
        </w:rPr>
        <w:t> </w:t>
      </w:r>
      <w:r>
        <w:rPr>
          <w:b/>
          <w:i/>
          <w:sz w:val="40"/>
        </w:rPr>
        <w:t>in</w:t>
      </w:r>
      <w:r>
        <w:rPr>
          <w:b/>
          <w:i/>
          <w:spacing w:val="-38"/>
          <w:sz w:val="40"/>
        </w:rPr>
        <w:t> </w:t>
      </w:r>
      <w:r>
        <w:rPr>
          <w:b/>
          <w:i/>
          <w:sz w:val="40"/>
        </w:rPr>
        <w:t>the</w:t>
      </w:r>
      <w:r>
        <w:rPr>
          <w:b/>
          <w:i/>
          <w:spacing w:val="-37"/>
          <w:sz w:val="40"/>
        </w:rPr>
        <w:t> </w:t>
      </w:r>
      <w:r>
        <w:rPr>
          <w:b/>
          <w:i/>
          <w:sz w:val="40"/>
        </w:rPr>
        <w:t>body?</w:t>
      </w:r>
    </w:p>
    <w:p>
      <w:pPr>
        <w:pStyle w:val="BodyText"/>
        <w:spacing w:line="276" w:lineRule="auto" w:before="297"/>
        <w:ind w:left="477" w:right="134"/>
        <w:jc w:val="both"/>
      </w:pPr>
      <w:r>
        <w:rPr/>
        <w:t>The</w:t>
      </w:r>
      <w:r>
        <w:rPr>
          <w:spacing w:val="-9"/>
        </w:rPr>
        <w:t> </w:t>
      </w:r>
      <w:r>
        <w:rPr/>
        <w:t>origin</w:t>
      </w:r>
      <w:r>
        <w:rPr>
          <w:spacing w:val="-12"/>
        </w:rPr>
        <w:t> </w:t>
      </w:r>
      <w:r>
        <w:rPr/>
        <w:t>and</w:t>
      </w:r>
      <w:r>
        <w:rPr>
          <w:spacing w:val="-11"/>
        </w:rPr>
        <w:t> </w:t>
      </w:r>
      <w:r>
        <w:rPr/>
        <w:t>function</w:t>
      </w:r>
      <w:r>
        <w:rPr>
          <w:spacing w:val="-9"/>
        </w:rPr>
        <w:t> </w:t>
      </w:r>
      <w:r>
        <w:rPr/>
        <w:t>of</w:t>
      </w:r>
      <w:r>
        <w:rPr>
          <w:spacing w:val="-11"/>
        </w:rPr>
        <w:t> </w:t>
      </w:r>
      <w:r>
        <w:rPr/>
        <w:t>L-carnitine</w:t>
      </w:r>
      <w:r>
        <w:rPr>
          <w:spacing w:val="-9"/>
        </w:rPr>
        <w:t> </w:t>
      </w:r>
      <w:r>
        <w:rPr/>
        <w:t>in</w:t>
      </w:r>
      <w:r>
        <w:rPr>
          <w:spacing w:val="-11"/>
        </w:rPr>
        <w:t> </w:t>
      </w:r>
      <w:r>
        <w:rPr/>
        <w:t>our</w:t>
      </w:r>
      <w:r>
        <w:rPr>
          <w:spacing w:val="-11"/>
        </w:rPr>
        <w:t> </w:t>
      </w:r>
      <w:r>
        <w:rPr/>
        <w:t>body</w:t>
      </w:r>
      <w:r>
        <w:rPr>
          <w:spacing w:val="-9"/>
        </w:rPr>
        <w:t> </w:t>
      </w:r>
      <w:r>
        <w:rPr/>
        <w:t>may</w:t>
      </w:r>
      <w:r>
        <w:rPr>
          <w:spacing w:val="-11"/>
        </w:rPr>
        <w:t> </w:t>
      </w:r>
      <w:r>
        <w:rPr/>
        <w:t>be</w:t>
      </w:r>
      <w:r>
        <w:rPr>
          <w:spacing w:val="-11"/>
        </w:rPr>
        <w:t> </w:t>
      </w:r>
      <w:r>
        <w:rPr/>
        <w:t>much</w:t>
      </w:r>
      <w:r>
        <w:rPr>
          <w:spacing w:val="-11"/>
        </w:rPr>
        <w:t> </w:t>
      </w:r>
      <w:r>
        <w:rPr/>
        <w:t>more</w:t>
      </w:r>
      <w:r>
        <w:rPr>
          <w:spacing w:val="-8"/>
        </w:rPr>
        <w:t> </w:t>
      </w:r>
      <w:r>
        <w:rPr/>
        <w:t>interest- ing and far less abstract than the chemical context. L-carnitine is a</w:t>
      </w:r>
      <w:r>
        <w:rPr>
          <w:spacing w:val="-56"/>
        </w:rPr>
        <w:t> </w:t>
      </w:r>
      <w:r>
        <w:rPr/>
        <w:t>vitamin-like, completely natural substance that plays a key role in lipid</w:t>
      </w:r>
      <w:r>
        <w:rPr>
          <w:spacing w:val="-11"/>
        </w:rPr>
        <w:t> </w:t>
      </w:r>
      <w:r>
        <w:rPr/>
        <w:t>metabolism.</w:t>
      </w:r>
    </w:p>
    <w:p>
      <w:pPr>
        <w:pStyle w:val="BodyText"/>
        <w:spacing w:line="276" w:lineRule="auto" w:before="241"/>
        <w:ind w:left="477" w:right="136"/>
        <w:jc w:val="both"/>
      </w:pPr>
      <w:r>
        <w:rPr/>
        <w:t>Within this function, L-carnitine transports the fatty acids from the blood into the muscle cells. In the mitochondria, the fatty acids are subsequently burned, releasing</w:t>
      </w:r>
      <w:r>
        <w:rPr>
          <w:spacing w:val="-17"/>
        </w:rPr>
        <w:t> </w:t>
      </w:r>
      <w:r>
        <w:rPr/>
        <w:t>energy</w:t>
      </w:r>
      <w:r>
        <w:rPr>
          <w:spacing w:val="-16"/>
        </w:rPr>
        <w:t> </w:t>
      </w:r>
      <w:r>
        <w:rPr/>
        <w:t>for</w:t>
      </w:r>
      <w:r>
        <w:rPr>
          <w:spacing w:val="-15"/>
        </w:rPr>
        <w:t> </w:t>
      </w:r>
      <w:r>
        <w:rPr/>
        <w:t>our</w:t>
      </w:r>
      <w:r>
        <w:rPr>
          <w:spacing w:val="-16"/>
        </w:rPr>
        <w:t> </w:t>
      </w:r>
      <w:r>
        <w:rPr/>
        <w:t>entire</w:t>
      </w:r>
      <w:r>
        <w:rPr>
          <w:spacing w:val="-16"/>
        </w:rPr>
        <w:t> </w:t>
      </w:r>
      <w:r>
        <w:rPr/>
        <w:t>body.</w:t>
      </w:r>
      <w:r>
        <w:rPr>
          <w:spacing w:val="-16"/>
        </w:rPr>
        <w:t> </w:t>
      </w:r>
      <w:r>
        <w:rPr/>
        <w:t>Incidentally,</w:t>
      </w:r>
      <w:r>
        <w:rPr>
          <w:spacing w:val="-16"/>
        </w:rPr>
        <w:t> </w:t>
      </w:r>
      <w:r>
        <w:rPr/>
        <w:t>L-carnitine</w:t>
      </w:r>
      <w:r>
        <w:rPr>
          <w:spacing w:val="-16"/>
        </w:rPr>
        <w:t> </w:t>
      </w:r>
      <w:r>
        <w:rPr/>
        <w:t>aids</w:t>
      </w:r>
      <w:r>
        <w:rPr>
          <w:spacing w:val="-17"/>
        </w:rPr>
        <w:t> </w:t>
      </w:r>
      <w:r>
        <w:rPr/>
        <w:t>the</w:t>
      </w:r>
      <w:r>
        <w:rPr>
          <w:spacing w:val="-17"/>
        </w:rPr>
        <w:t> </w:t>
      </w:r>
      <w:r>
        <w:rPr/>
        <w:t>regulation of body fat and helps overweight people to slim</w:t>
      </w:r>
      <w:r>
        <w:rPr>
          <w:spacing w:val="-4"/>
        </w:rPr>
        <w:t> </w:t>
      </w:r>
      <w:r>
        <w:rPr/>
        <w:t>down.</w:t>
      </w:r>
    </w:p>
    <w:p>
      <w:pPr>
        <w:pStyle w:val="BodyText"/>
        <w:spacing w:line="276" w:lineRule="auto" w:before="240"/>
        <w:ind w:left="477" w:right="133"/>
        <w:jc w:val="both"/>
      </w:pPr>
      <w:r>
        <w:rPr/>
        <w:t>Formerly</w:t>
      </w:r>
      <w:r>
        <w:rPr>
          <w:spacing w:val="-15"/>
        </w:rPr>
        <w:t> </w:t>
      </w:r>
      <w:r>
        <w:rPr/>
        <w:t>referred</w:t>
      </w:r>
      <w:r>
        <w:rPr>
          <w:spacing w:val="-13"/>
        </w:rPr>
        <w:t> </w:t>
      </w:r>
      <w:r>
        <w:rPr/>
        <w:t>to</w:t>
      </w:r>
      <w:r>
        <w:rPr>
          <w:spacing w:val="-13"/>
        </w:rPr>
        <w:t> </w:t>
      </w:r>
      <w:r>
        <w:rPr/>
        <w:t>as</w:t>
      </w:r>
      <w:r>
        <w:rPr>
          <w:spacing w:val="-16"/>
        </w:rPr>
        <w:t> </w:t>
      </w:r>
      <w:r>
        <w:rPr/>
        <w:t>a</w:t>
      </w:r>
      <w:r>
        <w:rPr>
          <w:spacing w:val="-15"/>
        </w:rPr>
        <w:t> </w:t>
      </w:r>
      <w:r>
        <w:rPr/>
        <w:t>‘vitamin’,</w:t>
      </w:r>
      <w:r>
        <w:rPr>
          <w:spacing w:val="-15"/>
        </w:rPr>
        <w:t> </w:t>
      </w:r>
      <w:r>
        <w:rPr/>
        <w:t>L-carnitine</w:t>
      </w:r>
      <w:r>
        <w:rPr>
          <w:spacing w:val="-13"/>
        </w:rPr>
        <w:t> </w:t>
      </w:r>
      <w:r>
        <w:rPr/>
        <w:t>is</w:t>
      </w:r>
      <w:r>
        <w:rPr>
          <w:spacing w:val="-16"/>
        </w:rPr>
        <w:t> </w:t>
      </w:r>
      <w:r>
        <w:rPr/>
        <w:t>today</w:t>
      </w:r>
      <w:r>
        <w:rPr>
          <w:spacing w:val="-14"/>
        </w:rPr>
        <w:t> </w:t>
      </w:r>
      <w:r>
        <w:rPr/>
        <w:t>referred</w:t>
      </w:r>
      <w:r>
        <w:rPr>
          <w:spacing w:val="-13"/>
        </w:rPr>
        <w:t> </w:t>
      </w:r>
      <w:r>
        <w:rPr/>
        <w:t>to</w:t>
      </w:r>
      <w:r>
        <w:rPr>
          <w:spacing w:val="-15"/>
        </w:rPr>
        <w:t> </w:t>
      </w:r>
      <w:r>
        <w:rPr/>
        <w:t>as</w:t>
      </w:r>
      <w:r>
        <w:rPr>
          <w:spacing w:val="-13"/>
        </w:rPr>
        <w:t> </w:t>
      </w:r>
      <w:r>
        <w:rPr/>
        <w:t>a</w:t>
      </w:r>
      <w:r>
        <w:rPr>
          <w:spacing w:val="-18"/>
        </w:rPr>
        <w:t> </w:t>
      </w:r>
      <w:r>
        <w:rPr/>
        <w:t>‘vitamin- like’ substance (a so-called vitaminoid); this is because people did not believe that the body itself could produce</w:t>
      </w:r>
      <w:r>
        <w:rPr>
          <w:spacing w:val="-3"/>
        </w:rPr>
        <w:t> </w:t>
      </w:r>
      <w:r>
        <w:rPr/>
        <w:t>L-carnitine.</w:t>
      </w:r>
    </w:p>
    <w:p>
      <w:pPr>
        <w:pStyle w:val="BodyText"/>
        <w:spacing w:line="276" w:lineRule="auto" w:before="241"/>
        <w:ind w:left="477" w:right="137"/>
        <w:jc w:val="both"/>
      </w:pPr>
      <w:r>
        <w:rPr/>
        <w:t>L-carnitine is a vitamin-like substance that appears on the dual pathway in the body: on the one hand, it is produced in some measure by the body itself, on the other hand it is fed to the body through food intake.</w:t>
      </w:r>
    </w:p>
    <w:p>
      <w:pPr>
        <w:pStyle w:val="BodyText"/>
        <w:spacing w:line="276" w:lineRule="auto" w:before="239"/>
        <w:ind w:left="477" w:right="136"/>
        <w:jc w:val="both"/>
      </w:pPr>
      <w:r>
        <w:rPr/>
        <w:t>The body’s own production of L-carnitine depends on a sufficient intake of vitamins C and B6, but also niacin and iron, something that is becoming</w:t>
      </w:r>
      <w:r>
        <w:rPr>
          <w:spacing w:val="61"/>
        </w:rPr>
        <w:t> </w:t>
      </w:r>
      <w:r>
        <w:rPr/>
        <w:t>more</w:t>
      </w:r>
    </w:p>
    <w:p>
      <w:pPr>
        <w:spacing w:after="0" w:line="276" w:lineRule="auto"/>
        <w:jc w:val="both"/>
        <w:sectPr>
          <w:pgSz w:w="14270" w:h="16850"/>
          <w:pgMar w:header="0" w:footer="1891" w:top="1600" w:bottom="2080" w:left="800" w:right="1280"/>
        </w:sectPr>
      </w:pPr>
    </w:p>
    <w:p>
      <w:pPr>
        <w:pStyle w:val="BodyText"/>
        <w:spacing w:line="276" w:lineRule="auto" w:before="181"/>
        <w:ind w:left="477" w:right="134"/>
        <w:jc w:val="both"/>
      </w:pPr>
      <w:r>
        <w:rPr/>
        <w:t>and more difficult today due to the industrialisation of food and other</w:t>
      </w:r>
      <w:r>
        <w:rPr>
          <w:spacing w:val="-43"/>
        </w:rPr>
        <w:t> </w:t>
      </w:r>
      <w:r>
        <w:rPr/>
        <w:t>negative developments. The most biologically active form of L-carnitine is acetyl-L-car- nitine.</w:t>
      </w:r>
    </w:p>
    <w:p>
      <w:pPr>
        <w:pStyle w:val="BodyText"/>
        <w:spacing w:line="276" w:lineRule="auto" w:before="242"/>
        <w:ind w:left="477" w:right="130"/>
        <w:jc w:val="both"/>
      </w:pPr>
      <w:r>
        <w:rPr/>
        <w:t>It is very important to know that 50 % of total fat intake is in the form of so- called long-chain fatty acids – without L-carnitine, we cannot burn long-chain fatty acids.</w:t>
      </w:r>
    </w:p>
    <w:p>
      <w:pPr>
        <w:pStyle w:val="Heading1"/>
        <w:spacing w:before="222"/>
      </w:pPr>
      <w:r>
        <w:rPr>
          <w:w w:val="95"/>
        </w:rPr>
        <w:t>What</w:t>
      </w:r>
      <w:r>
        <w:rPr>
          <w:spacing w:val="-26"/>
          <w:w w:val="95"/>
        </w:rPr>
        <w:t> </w:t>
      </w:r>
      <w:r>
        <w:rPr>
          <w:w w:val="95"/>
        </w:rPr>
        <w:t>is</w:t>
      </w:r>
      <w:r>
        <w:rPr>
          <w:spacing w:val="-26"/>
          <w:w w:val="95"/>
        </w:rPr>
        <w:t> </w:t>
      </w:r>
      <w:r>
        <w:rPr>
          <w:w w:val="95"/>
        </w:rPr>
        <w:t>the</w:t>
      </w:r>
      <w:r>
        <w:rPr>
          <w:spacing w:val="-24"/>
          <w:w w:val="95"/>
        </w:rPr>
        <w:t> </w:t>
      </w:r>
      <w:r>
        <w:rPr>
          <w:w w:val="95"/>
        </w:rPr>
        <w:t>difference</w:t>
      </w:r>
      <w:r>
        <w:rPr>
          <w:spacing w:val="-25"/>
          <w:w w:val="95"/>
        </w:rPr>
        <w:t> </w:t>
      </w:r>
      <w:r>
        <w:rPr>
          <w:w w:val="95"/>
        </w:rPr>
        <w:t>between</w:t>
      </w:r>
      <w:r>
        <w:rPr>
          <w:spacing w:val="-25"/>
          <w:w w:val="95"/>
        </w:rPr>
        <w:t> </w:t>
      </w:r>
      <w:r>
        <w:rPr>
          <w:w w:val="95"/>
        </w:rPr>
        <w:t>acetyl-L-carnitine</w:t>
      </w:r>
      <w:r>
        <w:rPr>
          <w:spacing w:val="-27"/>
          <w:w w:val="95"/>
        </w:rPr>
        <w:t> </w:t>
      </w:r>
      <w:r>
        <w:rPr>
          <w:w w:val="95"/>
        </w:rPr>
        <w:t>(ALC)</w:t>
      </w:r>
      <w:r>
        <w:rPr>
          <w:spacing w:val="-24"/>
          <w:w w:val="95"/>
        </w:rPr>
        <w:t> </w:t>
      </w:r>
      <w:r>
        <w:rPr>
          <w:w w:val="95"/>
        </w:rPr>
        <w:t>and</w:t>
      </w:r>
      <w:r>
        <w:rPr>
          <w:spacing w:val="-26"/>
          <w:w w:val="95"/>
        </w:rPr>
        <w:t> </w:t>
      </w:r>
      <w:r>
        <w:rPr>
          <w:w w:val="95"/>
        </w:rPr>
        <w:t>L-carnitine?</w:t>
      </w:r>
    </w:p>
    <w:p>
      <w:pPr>
        <w:pStyle w:val="BodyText"/>
        <w:spacing w:line="276" w:lineRule="auto" w:before="299"/>
        <w:ind w:left="477" w:right="142"/>
        <w:jc w:val="both"/>
      </w:pPr>
      <w:r>
        <w:rPr/>
        <w:t>Acetyl-L-carnitine is more easily absorbed due to the acetyl content and the efficiency is also significantly higher than that of the other L-carnitine forms.</w:t>
      </w:r>
    </w:p>
    <w:p>
      <w:pPr>
        <w:pStyle w:val="Heading1"/>
        <w:spacing w:before="223"/>
      </w:pPr>
      <w:r>
        <w:rPr/>
        <w:t>Absorption of acetyl-L-carnitine in the</w:t>
      </w:r>
      <w:r>
        <w:rPr>
          <w:spacing w:val="-70"/>
        </w:rPr>
        <w:t> </w:t>
      </w:r>
      <w:r>
        <w:rPr/>
        <w:t>intestine</w:t>
      </w:r>
    </w:p>
    <w:p>
      <w:pPr>
        <w:pStyle w:val="BodyText"/>
        <w:spacing w:line="276" w:lineRule="auto" w:before="300"/>
        <w:ind w:left="477" w:right="138"/>
        <w:jc w:val="both"/>
      </w:pPr>
      <w:r>
        <w:rPr/>
        <w:t>When someone takes acetyl-L-carnitine, it dissolves in the stomach and is then channelled into the small intestine. There, it permeates the lipophilic mem- branes of the intestine wall, releasing some of its acetate molecules.</w:t>
      </w:r>
    </w:p>
    <w:p>
      <w:pPr>
        <w:pStyle w:val="BodyText"/>
        <w:spacing w:line="276" w:lineRule="auto"/>
        <w:ind w:left="477" w:right="137"/>
        <w:jc w:val="both"/>
      </w:pPr>
      <w:r>
        <w:rPr/>
        <w:t>The acetyl content ensures that the ALC is absorbed more easily, which, in ad- dition to the higher efficiency, is the essential difference in comparison to the ‘ordinary’ L-carnitine.</w:t>
      </w:r>
    </w:p>
    <w:p>
      <w:pPr>
        <w:pStyle w:val="Heading1"/>
        <w:spacing w:before="223"/>
      </w:pPr>
      <w:r>
        <w:rPr/>
        <w:t>L-carnitine passes into the liver</w:t>
      </w:r>
    </w:p>
    <w:p>
      <w:pPr>
        <w:pStyle w:val="BodyText"/>
        <w:spacing w:line="276" w:lineRule="auto" w:before="299"/>
        <w:ind w:left="477" w:right="132"/>
        <w:jc w:val="both"/>
      </w:pPr>
      <w:r>
        <w:rPr/>
        <w:t>After ingestion in the small intestine, L-carnitine is passed into the liver via the blood. At this point, acetyl-L-carnitine has proven that it is able to increase the</w:t>
      </w:r>
    </w:p>
    <w:p>
      <w:pPr>
        <w:spacing w:after="0" w:line="276" w:lineRule="auto"/>
        <w:jc w:val="both"/>
        <w:sectPr>
          <w:pgSz w:w="14270" w:h="16850"/>
          <w:pgMar w:header="0" w:footer="1891" w:top="1600" w:bottom="2080" w:left="800" w:right="1280"/>
        </w:sectPr>
      </w:pPr>
    </w:p>
    <w:p>
      <w:pPr>
        <w:pStyle w:val="BodyText"/>
        <w:spacing w:line="276" w:lineRule="auto" w:before="181"/>
        <w:ind w:left="477" w:right="129"/>
        <w:jc w:val="both"/>
      </w:pPr>
      <w:r>
        <w:rPr/>
        <w:t>transport</w:t>
      </w:r>
      <w:r>
        <w:rPr>
          <w:spacing w:val="-10"/>
        </w:rPr>
        <w:t> </w:t>
      </w:r>
      <w:r>
        <w:rPr/>
        <w:t>activity</w:t>
      </w:r>
      <w:r>
        <w:rPr>
          <w:spacing w:val="-8"/>
        </w:rPr>
        <w:t> </w:t>
      </w:r>
      <w:r>
        <w:rPr/>
        <w:t>of</w:t>
      </w:r>
      <w:r>
        <w:rPr>
          <w:spacing w:val="-9"/>
        </w:rPr>
        <w:t> </w:t>
      </w:r>
      <w:r>
        <w:rPr/>
        <w:t>L-carnitine,</w:t>
      </w:r>
      <w:r>
        <w:rPr>
          <w:spacing w:val="-8"/>
        </w:rPr>
        <w:t> </w:t>
      </w:r>
      <w:r>
        <w:rPr/>
        <w:t>while</w:t>
      </w:r>
      <w:r>
        <w:rPr>
          <w:spacing w:val="-9"/>
        </w:rPr>
        <w:t> </w:t>
      </w:r>
      <w:r>
        <w:rPr/>
        <w:t>typically,</w:t>
      </w:r>
      <w:r>
        <w:rPr>
          <w:spacing w:val="-9"/>
        </w:rPr>
        <w:t> </w:t>
      </w:r>
      <w:r>
        <w:rPr/>
        <w:t>this</w:t>
      </w:r>
      <w:r>
        <w:rPr>
          <w:spacing w:val="-7"/>
        </w:rPr>
        <w:t> </w:t>
      </w:r>
      <w:r>
        <w:rPr/>
        <w:t>transportability</w:t>
      </w:r>
      <w:r>
        <w:rPr>
          <w:spacing w:val="-9"/>
        </w:rPr>
        <w:t> </w:t>
      </w:r>
      <w:r>
        <w:rPr/>
        <w:t>steadily</w:t>
      </w:r>
      <w:r>
        <w:rPr>
          <w:spacing w:val="-9"/>
        </w:rPr>
        <w:t> </w:t>
      </w:r>
      <w:r>
        <w:rPr/>
        <w:t>de- creases with</w:t>
      </w:r>
      <w:r>
        <w:rPr>
          <w:spacing w:val="2"/>
        </w:rPr>
        <w:t> </w:t>
      </w:r>
      <w:r>
        <w:rPr/>
        <w:t>age.</w:t>
      </w:r>
    </w:p>
    <w:p>
      <w:pPr>
        <w:pStyle w:val="BodyText"/>
        <w:spacing w:line="276" w:lineRule="auto" w:before="241"/>
        <w:ind w:left="477" w:right="132"/>
        <w:jc w:val="both"/>
      </w:pPr>
      <w:r>
        <w:rPr/>
        <w:t>This</w:t>
      </w:r>
      <w:r>
        <w:rPr>
          <w:spacing w:val="-9"/>
        </w:rPr>
        <w:t> </w:t>
      </w:r>
      <w:r>
        <w:rPr/>
        <w:t>is</w:t>
      </w:r>
      <w:r>
        <w:rPr>
          <w:spacing w:val="-9"/>
        </w:rPr>
        <w:t> </w:t>
      </w:r>
      <w:r>
        <w:rPr/>
        <w:t>particularly</w:t>
      </w:r>
      <w:r>
        <w:rPr>
          <w:spacing w:val="-9"/>
        </w:rPr>
        <w:t> </w:t>
      </w:r>
      <w:r>
        <w:rPr/>
        <w:t>important</w:t>
      </w:r>
      <w:r>
        <w:rPr>
          <w:spacing w:val="-10"/>
        </w:rPr>
        <w:t> </w:t>
      </w:r>
      <w:r>
        <w:rPr/>
        <w:t>because,</w:t>
      </w:r>
      <w:r>
        <w:rPr>
          <w:spacing w:val="-8"/>
        </w:rPr>
        <w:t> </w:t>
      </w:r>
      <w:r>
        <w:rPr/>
        <w:t>as</w:t>
      </w:r>
      <w:r>
        <w:rPr>
          <w:spacing w:val="-10"/>
        </w:rPr>
        <w:t> </w:t>
      </w:r>
      <w:r>
        <w:rPr/>
        <w:t>already</w:t>
      </w:r>
      <w:r>
        <w:rPr>
          <w:spacing w:val="-10"/>
        </w:rPr>
        <w:t> </w:t>
      </w:r>
      <w:r>
        <w:rPr/>
        <w:t>described,</w:t>
      </w:r>
      <w:r>
        <w:rPr>
          <w:spacing w:val="-9"/>
        </w:rPr>
        <w:t> </w:t>
      </w:r>
      <w:r>
        <w:rPr/>
        <w:t>L-carnitine</w:t>
      </w:r>
      <w:r>
        <w:rPr>
          <w:spacing w:val="-9"/>
        </w:rPr>
        <w:t> </w:t>
      </w:r>
      <w:r>
        <w:rPr/>
        <w:t>is</w:t>
      </w:r>
      <w:r>
        <w:rPr>
          <w:spacing w:val="-9"/>
        </w:rPr>
        <w:t> </w:t>
      </w:r>
      <w:r>
        <w:rPr/>
        <w:t>a</w:t>
      </w:r>
      <w:r>
        <w:rPr>
          <w:spacing w:val="-10"/>
        </w:rPr>
        <w:t> </w:t>
      </w:r>
      <w:r>
        <w:rPr/>
        <w:t>pre- requisite for long-chain fatty acids to be introduced into the mitochondria and burned. The heart muscle in particular depends on this important mechanism to generate the energy necessary for it to</w:t>
      </w:r>
      <w:r>
        <w:rPr>
          <w:spacing w:val="-4"/>
        </w:rPr>
        <w:t> </w:t>
      </w:r>
      <w:r>
        <w:rPr/>
        <w:t>work.</w:t>
      </w:r>
    </w:p>
    <w:p>
      <w:pPr>
        <w:pStyle w:val="BodyText"/>
        <w:spacing w:line="276" w:lineRule="auto" w:before="240"/>
        <w:ind w:left="477" w:right="134"/>
        <w:jc w:val="both"/>
      </w:pPr>
      <w:r>
        <w:rPr/>
        <w:t>From</w:t>
      </w:r>
      <w:r>
        <w:rPr>
          <w:spacing w:val="-21"/>
        </w:rPr>
        <w:t> </w:t>
      </w:r>
      <w:r>
        <w:rPr/>
        <w:t>here,</w:t>
      </w:r>
      <w:r>
        <w:rPr>
          <w:spacing w:val="-21"/>
        </w:rPr>
        <w:t> </w:t>
      </w:r>
      <w:r>
        <w:rPr/>
        <w:t>the</w:t>
      </w:r>
      <w:r>
        <w:rPr>
          <w:spacing w:val="-23"/>
        </w:rPr>
        <w:t> </w:t>
      </w:r>
      <w:r>
        <w:rPr/>
        <w:t>L-carnitine</w:t>
      </w:r>
      <w:r>
        <w:rPr>
          <w:spacing w:val="-21"/>
        </w:rPr>
        <w:t> </w:t>
      </w:r>
      <w:r>
        <w:rPr/>
        <w:t>is</w:t>
      </w:r>
      <w:r>
        <w:rPr>
          <w:spacing w:val="-22"/>
        </w:rPr>
        <w:t> </w:t>
      </w:r>
      <w:r>
        <w:rPr/>
        <w:t>transmitted</w:t>
      </w:r>
      <w:r>
        <w:rPr>
          <w:spacing w:val="-23"/>
        </w:rPr>
        <w:t> </w:t>
      </w:r>
      <w:r>
        <w:rPr/>
        <w:t>via</w:t>
      </w:r>
      <w:r>
        <w:rPr>
          <w:spacing w:val="-22"/>
        </w:rPr>
        <w:t> </w:t>
      </w:r>
      <w:r>
        <w:rPr/>
        <w:t>the</w:t>
      </w:r>
      <w:r>
        <w:rPr>
          <w:spacing w:val="-20"/>
        </w:rPr>
        <w:t> </w:t>
      </w:r>
      <w:r>
        <w:rPr/>
        <w:t>blood</w:t>
      </w:r>
      <w:r>
        <w:rPr>
          <w:spacing w:val="-21"/>
        </w:rPr>
        <w:t> </w:t>
      </w:r>
      <w:r>
        <w:rPr/>
        <w:t>to</w:t>
      </w:r>
      <w:r>
        <w:rPr>
          <w:spacing w:val="-21"/>
        </w:rPr>
        <w:t> </w:t>
      </w:r>
      <w:r>
        <w:rPr/>
        <w:t>the</w:t>
      </w:r>
      <w:r>
        <w:rPr>
          <w:spacing w:val="-22"/>
        </w:rPr>
        <w:t> </w:t>
      </w:r>
      <w:r>
        <w:rPr/>
        <w:t>organs</w:t>
      </w:r>
      <w:r>
        <w:rPr>
          <w:spacing w:val="-20"/>
        </w:rPr>
        <w:t> </w:t>
      </w:r>
      <w:r>
        <w:rPr/>
        <w:t>and</w:t>
      </w:r>
      <w:r>
        <w:rPr>
          <w:spacing w:val="-21"/>
        </w:rPr>
        <w:t> </w:t>
      </w:r>
      <w:r>
        <w:rPr/>
        <w:t>tissues, where it takes on its various</w:t>
      </w:r>
      <w:r>
        <w:rPr>
          <w:spacing w:val="1"/>
        </w:rPr>
        <w:t> </w:t>
      </w:r>
      <w:r>
        <w:rPr/>
        <w:t>functions.</w:t>
      </w:r>
    </w:p>
    <w:p>
      <w:pPr>
        <w:pStyle w:val="BodyText"/>
        <w:spacing w:line="276" w:lineRule="auto" w:before="241"/>
        <w:ind w:left="477" w:right="132"/>
        <w:jc w:val="both"/>
      </w:pPr>
      <w:r>
        <w:rPr/>
        <w:t>In</w:t>
      </w:r>
      <w:r>
        <w:rPr>
          <w:spacing w:val="-16"/>
        </w:rPr>
        <w:t> </w:t>
      </w:r>
      <w:r>
        <w:rPr/>
        <w:t>the</w:t>
      </w:r>
      <w:r>
        <w:rPr>
          <w:spacing w:val="-18"/>
        </w:rPr>
        <w:t> </w:t>
      </w:r>
      <w:r>
        <w:rPr/>
        <w:t>section</w:t>
      </w:r>
      <w:r>
        <w:rPr>
          <w:spacing w:val="-19"/>
        </w:rPr>
        <w:t> </w:t>
      </w:r>
      <w:r>
        <w:rPr/>
        <w:t>‘L-carnitine</w:t>
      </w:r>
      <w:r>
        <w:rPr>
          <w:spacing w:val="-15"/>
        </w:rPr>
        <w:t> </w:t>
      </w:r>
      <w:r>
        <w:rPr/>
        <w:t>deposits’,</w:t>
      </w:r>
      <w:r>
        <w:rPr>
          <w:spacing w:val="-16"/>
        </w:rPr>
        <w:t> </w:t>
      </w:r>
      <w:r>
        <w:rPr/>
        <w:t>you</w:t>
      </w:r>
      <w:r>
        <w:rPr>
          <w:spacing w:val="-17"/>
        </w:rPr>
        <w:t> </w:t>
      </w:r>
      <w:r>
        <w:rPr/>
        <w:t>will</w:t>
      </w:r>
      <w:r>
        <w:rPr>
          <w:spacing w:val="-18"/>
        </w:rPr>
        <w:t> </w:t>
      </w:r>
      <w:r>
        <w:rPr/>
        <w:t>learn</w:t>
      </w:r>
      <w:r>
        <w:rPr>
          <w:spacing w:val="-16"/>
        </w:rPr>
        <w:t> </w:t>
      </w:r>
      <w:r>
        <w:rPr/>
        <w:t>details</w:t>
      </w:r>
      <w:r>
        <w:rPr>
          <w:spacing w:val="-15"/>
        </w:rPr>
        <w:t> </w:t>
      </w:r>
      <w:r>
        <w:rPr/>
        <w:t>about</w:t>
      </w:r>
      <w:r>
        <w:rPr>
          <w:spacing w:val="-18"/>
        </w:rPr>
        <w:t> </w:t>
      </w:r>
      <w:r>
        <w:rPr/>
        <w:t>how</w:t>
      </w:r>
      <w:r>
        <w:rPr>
          <w:spacing w:val="-18"/>
        </w:rPr>
        <w:t> </w:t>
      </w:r>
      <w:r>
        <w:rPr/>
        <w:t>L-carnitine is produced in our bodies and which foods contain L-carnitine, and in what concentrations.</w:t>
      </w:r>
    </w:p>
    <w:p>
      <w:pPr>
        <w:pStyle w:val="Heading1"/>
        <w:spacing w:before="341"/>
        <w:rPr>
          <w:sz w:val="26"/>
        </w:rPr>
      </w:pPr>
      <w:r>
        <w:rPr/>
        <w:t>L-carnitine: history</w:t>
      </w:r>
      <w:r>
        <w:rPr>
          <w:position w:val="9"/>
          <w:sz w:val="26"/>
        </w:rPr>
        <w:t>469</w:t>
      </w:r>
    </w:p>
    <w:p>
      <w:pPr>
        <w:pStyle w:val="ListParagraph"/>
        <w:numPr>
          <w:ilvl w:val="0"/>
          <w:numId w:val="58"/>
        </w:numPr>
        <w:tabs>
          <w:tab w:pos="1198" w:val="left" w:leader="none"/>
        </w:tabs>
        <w:spacing w:line="276" w:lineRule="auto" w:before="301" w:after="0"/>
        <w:ind w:left="1197" w:right="136" w:hanging="360"/>
        <w:jc w:val="both"/>
        <w:rPr>
          <w:sz w:val="38"/>
        </w:rPr>
      </w:pPr>
      <w:r>
        <w:rPr>
          <w:sz w:val="38"/>
        </w:rPr>
        <w:t>In 1905, the Russian researchers Krimberg and Gulewitsch, at the same time as a German researcher called Kutscher, discover a new substance in the muscles of mammals and believe it to be necessary for the metabolic function of muscle cells. L-carnitine takes its name from the Latin word ‘carnis’, meaning</w:t>
      </w:r>
      <w:r>
        <w:rPr>
          <w:spacing w:val="1"/>
          <w:sz w:val="38"/>
        </w:rPr>
        <w:t> </w:t>
      </w:r>
      <w:r>
        <w:rPr>
          <w:sz w:val="38"/>
        </w:rPr>
        <w:t>‘meat’.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0"/>
        </w:rPr>
      </w:pPr>
      <w:r>
        <w:rPr/>
        <w:pict>
          <v:line style="position:absolute;mso-position-horizontal-relative:page;mso-position-vertical-relative:paragraph;z-index:5984;mso-wrap-distance-left:0;mso-wrap-distance-right:0" from="63.863998pt,8.055243pt" to="207.883998pt,8.055243pt" stroked="true" strokeweight=".72003pt" strokecolor="#000000">
            <v:stroke dashstyle="solid"/>
            <w10:wrap type="topAndBottom"/>
          </v:line>
        </w:pict>
      </w:r>
    </w:p>
    <w:p>
      <w:pPr>
        <w:pStyle w:val="BodyText"/>
        <w:spacing w:before="7"/>
        <w:rPr>
          <w:sz w:val="18"/>
        </w:rPr>
      </w:pPr>
    </w:p>
    <w:p>
      <w:pPr>
        <w:spacing w:line="273" w:lineRule="auto" w:before="99"/>
        <w:ind w:left="477" w:right="0" w:firstLine="0"/>
        <w:jc w:val="left"/>
        <w:rPr>
          <w:sz w:val="20"/>
        </w:rPr>
      </w:pPr>
      <w:r>
        <w:rPr>
          <w:position w:val="5"/>
          <w:sz w:val="13"/>
        </w:rPr>
        <w:t>469 </w:t>
      </w:r>
      <w:r>
        <w:rPr>
          <w:sz w:val="20"/>
        </w:rPr>
        <w:t>Walter Lübeck: L-Carnitin – ein Fitmacher ganz besonderer Art, (The History of L-Carnitine, A Special Kind of Fitness Supplement) 2nd Edition 1999, p. 14 f.</w:t>
      </w:r>
    </w:p>
    <w:p>
      <w:pPr>
        <w:spacing w:after="0" w:line="273" w:lineRule="auto"/>
        <w:jc w:val="left"/>
        <w:rPr>
          <w:sz w:val="20"/>
        </w:rPr>
        <w:sectPr>
          <w:pgSz w:w="14270" w:h="16850"/>
          <w:pgMar w:header="0" w:footer="1891" w:top="1600" w:bottom="2080" w:left="800" w:right="1280"/>
        </w:sectPr>
      </w:pPr>
    </w:p>
    <w:p>
      <w:pPr>
        <w:pStyle w:val="BodyText"/>
        <w:spacing w:before="10"/>
        <w:rPr>
          <w:sz w:val="8"/>
        </w:rPr>
      </w:pPr>
    </w:p>
    <w:p>
      <w:pPr>
        <w:pStyle w:val="ListParagraph"/>
        <w:numPr>
          <w:ilvl w:val="0"/>
          <w:numId w:val="58"/>
        </w:numPr>
        <w:tabs>
          <w:tab w:pos="1198" w:val="left" w:leader="none"/>
        </w:tabs>
        <w:spacing w:line="273" w:lineRule="auto" w:before="83" w:after="0"/>
        <w:ind w:left="1197" w:right="138" w:hanging="360"/>
        <w:jc w:val="both"/>
        <w:rPr>
          <w:sz w:val="38"/>
        </w:rPr>
      </w:pPr>
      <w:r>
        <w:rPr>
          <w:sz w:val="38"/>
        </w:rPr>
        <w:t>In 1927, the chemical structure of L-carnitine, as suggested by the discov- erer Krimberg, is confirmed in experiments.</w:t>
      </w:r>
    </w:p>
    <w:p>
      <w:pPr>
        <w:pStyle w:val="ListParagraph"/>
        <w:numPr>
          <w:ilvl w:val="0"/>
          <w:numId w:val="58"/>
        </w:numPr>
        <w:tabs>
          <w:tab w:pos="1198" w:val="left" w:leader="none"/>
        </w:tabs>
        <w:spacing w:line="273" w:lineRule="auto" w:before="7" w:after="0"/>
        <w:ind w:left="1197" w:right="133" w:hanging="360"/>
        <w:jc w:val="both"/>
        <w:rPr>
          <w:sz w:val="38"/>
        </w:rPr>
      </w:pPr>
      <w:r>
        <w:rPr>
          <w:sz w:val="38"/>
        </w:rPr>
        <w:t>In 1935, the researcher Strack investigates the functions of L-carnitine in the chemically related substance called</w:t>
      </w:r>
      <w:r>
        <w:rPr>
          <w:spacing w:val="-4"/>
          <w:sz w:val="38"/>
        </w:rPr>
        <w:t> </w:t>
      </w:r>
      <w:r>
        <w:rPr>
          <w:sz w:val="38"/>
        </w:rPr>
        <w:t>‘choline’.</w:t>
      </w:r>
    </w:p>
    <w:p>
      <w:pPr>
        <w:pStyle w:val="ListParagraph"/>
        <w:numPr>
          <w:ilvl w:val="0"/>
          <w:numId w:val="58"/>
        </w:numPr>
        <w:tabs>
          <w:tab w:pos="1198" w:val="left" w:leader="none"/>
        </w:tabs>
        <w:spacing w:line="273" w:lineRule="auto" w:before="7" w:after="0"/>
        <w:ind w:left="1197" w:right="135" w:hanging="360"/>
        <w:jc w:val="both"/>
        <w:rPr>
          <w:sz w:val="38"/>
        </w:rPr>
      </w:pPr>
      <w:r>
        <w:rPr>
          <w:sz w:val="38"/>
        </w:rPr>
        <w:t>In 1952, the scientist Fraenkel isolates L-carnitine from the liver and calls this ‘vitamin B’. Until this time, many scientists had attributed L-carnitine to the vitamin B</w:t>
      </w:r>
      <w:r>
        <w:rPr>
          <w:spacing w:val="3"/>
          <w:sz w:val="38"/>
        </w:rPr>
        <w:t> </w:t>
      </w:r>
      <w:r>
        <w:rPr>
          <w:sz w:val="38"/>
        </w:rPr>
        <w:t>complex.</w:t>
      </w:r>
    </w:p>
    <w:p>
      <w:pPr>
        <w:pStyle w:val="ListParagraph"/>
        <w:numPr>
          <w:ilvl w:val="0"/>
          <w:numId w:val="58"/>
        </w:numPr>
        <w:tabs>
          <w:tab w:pos="1198" w:val="left" w:leader="none"/>
        </w:tabs>
        <w:spacing w:line="273" w:lineRule="auto" w:before="12" w:after="0"/>
        <w:ind w:left="1197" w:right="136" w:hanging="360"/>
        <w:jc w:val="both"/>
        <w:rPr>
          <w:sz w:val="38"/>
        </w:rPr>
      </w:pPr>
      <w:r>
        <w:rPr>
          <w:sz w:val="38"/>
        </w:rPr>
        <w:t>The scientist Fritz is the first to link L-carnitine with the fat metabolism and finds out that it can increase fat-burning in the</w:t>
      </w:r>
      <w:r>
        <w:rPr>
          <w:spacing w:val="-4"/>
          <w:sz w:val="38"/>
        </w:rPr>
        <w:t> </w:t>
      </w:r>
      <w:r>
        <w:rPr>
          <w:sz w:val="38"/>
        </w:rPr>
        <w:t>mitochondria.</w:t>
      </w:r>
    </w:p>
    <w:p>
      <w:pPr>
        <w:pStyle w:val="ListParagraph"/>
        <w:numPr>
          <w:ilvl w:val="0"/>
          <w:numId w:val="58"/>
        </w:numPr>
        <w:tabs>
          <w:tab w:pos="1198" w:val="left" w:leader="none"/>
        </w:tabs>
        <w:spacing w:line="273" w:lineRule="auto" w:before="8" w:after="0"/>
        <w:ind w:left="1197" w:right="138" w:hanging="360"/>
        <w:jc w:val="both"/>
        <w:rPr>
          <w:sz w:val="38"/>
        </w:rPr>
      </w:pPr>
      <w:r>
        <w:rPr>
          <w:sz w:val="38"/>
        </w:rPr>
        <w:t>In 1980, L-carnitine comes onto the market as a dietary supplement, af- fordable for everyone, initially in a chemical</w:t>
      </w:r>
      <w:r>
        <w:rPr>
          <w:spacing w:val="-1"/>
          <w:sz w:val="38"/>
        </w:rPr>
        <w:t> </w:t>
      </w:r>
      <w:r>
        <w:rPr>
          <w:sz w:val="38"/>
        </w:rPr>
        <w:t>form.</w:t>
      </w:r>
    </w:p>
    <w:p>
      <w:pPr>
        <w:pStyle w:val="ListParagraph"/>
        <w:numPr>
          <w:ilvl w:val="0"/>
          <w:numId w:val="58"/>
        </w:numPr>
        <w:tabs>
          <w:tab w:pos="1198" w:val="left" w:leader="none"/>
        </w:tabs>
        <w:spacing w:line="273" w:lineRule="auto" w:before="7" w:after="0"/>
        <w:ind w:left="1197" w:right="140" w:hanging="360"/>
        <w:jc w:val="both"/>
        <w:rPr>
          <w:sz w:val="38"/>
        </w:rPr>
      </w:pPr>
      <w:r>
        <w:rPr>
          <w:sz w:val="38"/>
        </w:rPr>
        <w:t>At the 1980 Olympics, L-carnitine attracts attention by helping Italian en- durance athletes achieve unexpected</w:t>
      </w:r>
      <w:r>
        <w:rPr>
          <w:spacing w:val="3"/>
          <w:sz w:val="38"/>
        </w:rPr>
        <w:t> </w:t>
      </w:r>
      <w:r>
        <w:rPr>
          <w:sz w:val="38"/>
        </w:rPr>
        <w:t>successes.</w:t>
      </w:r>
    </w:p>
    <w:p>
      <w:pPr>
        <w:pStyle w:val="ListParagraph"/>
        <w:numPr>
          <w:ilvl w:val="0"/>
          <w:numId w:val="58"/>
        </w:numPr>
        <w:tabs>
          <w:tab w:pos="1198" w:val="left" w:leader="none"/>
        </w:tabs>
        <w:spacing w:line="273" w:lineRule="auto" w:before="7" w:after="0"/>
        <w:ind w:left="1197" w:right="133" w:hanging="360"/>
        <w:jc w:val="both"/>
        <w:rPr>
          <w:sz w:val="38"/>
        </w:rPr>
      </w:pPr>
      <w:r>
        <w:rPr>
          <w:sz w:val="38"/>
        </w:rPr>
        <w:t>In</w:t>
      </w:r>
      <w:r>
        <w:rPr>
          <w:spacing w:val="-7"/>
          <w:sz w:val="38"/>
        </w:rPr>
        <w:t> </w:t>
      </w:r>
      <w:r>
        <w:rPr>
          <w:sz w:val="38"/>
        </w:rPr>
        <w:t>1982,</w:t>
      </w:r>
      <w:r>
        <w:rPr>
          <w:spacing w:val="-7"/>
          <w:sz w:val="38"/>
        </w:rPr>
        <w:t> </w:t>
      </w:r>
      <w:r>
        <w:rPr>
          <w:sz w:val="38"/>
        </w:rPr>
        <w:t>L-carnitine</w:t>
      </w:r>
      <w:r>
        <w:rPr>
          <w:spacing w:val="-6"/>
          <w:sz w:val="38"/>
        </w:rPr>
        <w:t> </w:t>
      </w:r>
      <w:r>
        <w:rPr>
          <w:sz w:val="38"/>
        </w:rPr>
        <w:t>helps</w:t>
      </w:r>
      <w:r>
        <w:rPr>
          <w:spacing w:val="-6"/>
          <w:sz w:val="38"/>
        </w:rPr>
        <w:t> </w:t>
      </w:r>
      <w:r>
        <w:rPr>
          <w:sz w:val="38"/>
        </w:rPr>
        <w:t>the</w:t>
      </w:r>
      <w:r>
        <w:rPr>
          <w:spacing w:val="-8"/>
          <w:sz w:val="38"/>
        </w:rPr>
        <w:t> </w:t>
      </w:r>
      <w:r>
        <w:rPr>
          <w:sz w:val="38"/>
        </w:rPr>
        <w:t>Italian</w:t>
      </w:r>
      <w:r>
        <w:rPr>
          <w:spacing w:val="-7"/>
          <w:sz w:val="38"/>
        </w:rPr>
        <w:t> </w:t>
      </w:r>
      <w:r>
        <w:rPr>
          <w:sz w:val="38"/>
        </w:rPr>
        <w:t>national</w:t>
      </w:r>
      <w:r>
        <w:rPr>
          <w:spacing w:val="-8"/>
          <w:sz w:val="38"/>
        </w:rPr>
        <w:t> </w:t>
      </w:r>
      <w:r>
        <w:rPr>
          <w:sz w:val="38"/>
        </w:rPr>
        <w:t>football</w:t>
      </w:r>
      <w:r>
        <w:rPr>
          <w:spacing w:val="-7"/>
          <w:sz w:val="38"/>
        </w:rPr>
        <w:t> </w:t>
      </w:r>
      <w:r>
        <w:rPr>
          <w:sz w:val="38"/>
        </w:rPr>
        <w:t>team</w:t>
      </w:r>
      <w:r>
        <w:rPr>
          <w:spacing w:val="-7"/>
          <w:sz w:val="38"/>
        </w:rPr>
        <w:t> </w:t>
      </w:r>
      <w:r>
        <w:rPr>
          <w:sz w:val="38"/>
        </w:rPr>
        <w:t>win</w:t>
      </w:r>
      <w:r>
        <w:rPr>
          <w:spacing w:val="-7"/>
          <w:sz w:val="38"/>
        </w:rPr>
        <w:t> </w:t>
      </w:r>
      <w:r>
        <w:rPr>
          <w:sz w:val="38"/>
        </w:rPr>
        <w:t>the</w:t>
      </w:r>
      <w:r>
        <w:rPr>
          <w:spacing w:val="-6"/>
          <w:sz w:val="38"/>
        </w:rPr>
        <w:t> </w:t>
      </w:r>
      <w:r>
        <w:rPr>
          <w:sz w:val="38"/>
        </w:rPr>
        <w:t>World Cup.</w:t>
      </w:r>
    </w:p>
    <w:p>
      <w:pPr>
        <w:pStyle w:val="ListParagraph"/>
        <w:numPr>
          <w:ilvl w:val="0"/>
          <w:numId w:val="58"/>
        </w:numPr>
        <w:tabs>
          <w:tab w:pos="1198" w:val="left" w:leader="none"/>
        </w:tabs>
        <w:spacing w:line="273" w:lineRule="auto" w:before="7" w:after="0"/>
        <w:ind w:left="1197" w:right="131" w:hanging="360"/>
        <w:jc w:val="both"/>
        <w:rPr>
          <w:sz w:val="38"/>
        </w:rPr>
      </w:pPr>
      <w:r>
        <w:rPr>
          <w:sz w:val="38"/>
        </w:rPr>
        <w:t>In 1986, the Swiss company LONZA develop a more natural L-carnitine form as a counterpart to the L-carnitine that had previously been chemi- cally</w:t>
      </w:r>
      <w:r>
        <w:rPr>
          <w:spacing w:val="-1"/>
          <w:sz w:val="38"/>
        </w:rPr>
        <w:t> </w:t>
      </w:r>
      <w:r>
        <w:rPr>
          <w:sz w:val="38"/>
        </w:rPr>
        <w:t>produced.</w:t>
      </w:r>
    </w:p>
    <w:p>
      <w:pPr>
        <w:spacing w:after="0" w:line="273" w:lineRule="auto"/>
        <w:jc w:val="both"/>
        <w:rPr>
          <w:sz w:val="38"/>
        </w:rPr>
        <w:sectPr>
          <w:footerReference w:type="default" r:id="rId207"/>
          <w:pgSz w:w="14270" w:h="16850"/>
          <w:pgMar w:footer="404" w:header="0" w:top="1600" w:bottom="600" w:left="800" w:right="1280"/>
          <w:pgNumType w:start="870"/>
        </w:sectPr>
      </w:pPr>
    </w:p>
    <w:p>
      <w:pPr>
        <w:pStyle w:val="Heading2"/>
        <w:spacing w:before="181"/>
      </w:pPr>
      <w:r>
        <w:rPr/>
        <w:t>Occurrence of L-carnitine</w:t>
      </w:r>
    </w:p>
    <w:p>
      <w:pPr>
        <w:spacing w:before="288"/>
        <w:ind w:left="477" w:right="0" w:firstLine="0"/>
        <w:jc w:val="left"/>
        <w:rPr>
          <w:b/>
          <w:i/>
          <w:sz w:val="40"/>
        </w:rPr>
      </w:pPr>
      <w:r>
        <w:rPr>
          <w:b/>
          <w:i/>
          <w:sz w:val="40"/>
        </w:rPr>
        <w:t>Production in the body and occurrence in food</w:t>
      </w:r>
    </w:p>
    <w:p>
      <w:pPr>
        <w:pStyle w:val="BodyText"/>
        <w:spacing w:line="276" w:lineRule="auto" w:before="299"/>
        <w:ind w:left="477" w:right="145"/>
      </w:pPr>
      <w:r>
        <w:rPr/>
        <w:t>The body only reaches the physical maturity needed in order to fully produce L-carnitine itself from around 15 years of age.</w:t>
      </w:r>
    </w:p>
    <w:p>
      <w:pPr>
        <w:pStyle w:val="BodyText"/>
        <w:spacing w:line="276" w:lineRule="auto" w:before="241"/>
        <w:ind w:left="477" w:right="132"/>
        <w:jc w:val="both"/>
      </w:pPr>
      <w:r>
        <w:rPr/>
        <w:t>Even in adulthood, however, our bodies can only produce about 10 % of the L-carnitine that it actually needs, which is why an additional intake of L-car- nitine</w:t>
      </w:r>
      <w:r>
        <w:rPr>
          <w:spacing w:val="-15"/>
        </w:rPr>
        <w:t> </w:t>
      </w:r>
      <w:r>
        <w:rPr/>
        <w:t>on</w:t>
      </w:r>
      <w:r>
        <w:rPr>
          <w:spacing w:val="-13"/>
        </w:rPr>
        <w:t> </w:t>
      </w:r>
      <w:r>
        <w:rPr/>
        <w:t>top</w:t>
      </w:r>
      <w:r>
        <w:rPr>
          <w:spacing w:val="-15"/>
        </w:rPr>
        <w:t> </w:t>
      </w:r>
      <w:r>
        <w:rPr/>
        <w:t>of</w:t>
      </w:r>
      <w:r>
        <w:rPr>
          <w:spacing w:val="-16"/>
        </w:rPr>
        <w:t> </w:t>
      </w:r>
      <w:r>
        <w:rPr/>
        <w:t>dietary</w:t>
      </w:r>
      <w:r>
        <w:rPr>
          <w:spacing w:val="-14"/>
        </w:rPr>
        <w:t> </w:t>
      </w:r>
      <w:r>
        <w:rPr/>
        <w:t>intake</w:t>
      </w:r>
      <w:r>
        <w:rPr>
          <w:spacing w:val="-15"/>
        </w:rPr>
        <w:t> </w:t>
      </w:r>
      <w:r>
        <w:rPr/>
        <w:t>is</w:t>
      </w:r>
      <w:r>
        <w:rPr>
          <w:spacing w:val="-14"/>
        </w:rPr>
        <w:t> </w:t>
      </w:r>
      <w:r>
        <w:rPr/>
        <w:t>of</w:t>
      </w:r>
      <w:r>
        <w:rPr>
          <w:spacing w:val="-14"/>
        </w:rPr>
        <w:t> </w:t>
      </w:r>
      <w:r>
        <w:rPr/>
        <w:t>the</w:t>
      </w:r>
      <w:r>
        <w:rPr>
          <w:spacing w:val="-13"/>
        </w:rPr>
        <w:t> </w:t>
      </w:r>
      <w:r>
        <w:rPr/>
        <w:t>utmost</w:t>
      </w:r>
      <w:r>
        <w:rPr>
          <w:spacing w:val="-15"/>
        </w:rPr>
        <w:t> </w:t>
      </w:r>
      <w:r>
        <w:rPr/>
        <w:t>importance</w:t>
      </w:r>
      <w:r>
        <w:rPr>
          <w:spacing w:val="-14"/>
        </w:rPr>
        <w:t> </w:t>
      </w:r>
      <w:r>
        <w:rPr/>
        <w:t>and</w:t>
      </w:r>
      <w:r>
        <w:rPr>
          <w:spacing w:val="-14"/>
        </w:rPr>
        <w:t> </w:t>
      </w:r>
      <w:r>
        <w:rPr/>
        <w:t>is</w:t>
      </w:r>
      <w:r>
        <w:rPr>
          <w:spacing w:val="-17"/>
        </w:rPr>
        <w:t> </w:t>
      </w:r>
      <w:r>
        <w:rPr/>
        <w:t>recommended in the form of dietary supplements when our L-carnitine requirement due to external</w:t>
      </w:r>
      <w:r>
        <w:rPr>
          <w:spacing w:val="-20"/>
        </w:rPr>
        <w:t> </w:t>
      </w:r>
      <w:r>
        <w:rPr/>
        <w:t>circumstances,</w:t>
      </w:r>
      <w:r>
        <w:rPr>
          <w:spacing w:val="-18"/>
        </w:rPr>
        <w:t> </w:t>
      </w:r>
      <w:r>
        <w:rPr/>
        <w:t>such</w:t>
      </w:r>
      <w:r>
        <w:rPr>
          <w:spacing w:val="-18"/>
        </w:rPr>
        <w:t> </w:t>
      </w:r>
      <w:r>
        <w:rPr/>
        <w:t>as</w:t>
      </w:r>
      <w:r>
        <w:rPr>
          <w:spacing w:val="-18"/>
        </w:rPr>
        <w:t> </w:t>
      </w:r>
      <w:r>
        <w:rPr/>
        <w:t>illnesses</w:t>
      </w:r>
      <w:r>
        <w:rPr>
          <w:spacing w:val="-18"/>
        </w:rPr>
        <w:t> </w:t>
      </w:r>
      <w:r>
        <w:rPr/>
        <w:t>or</w:t>
      </w:r>
      <w:r>
        <w:rPr>
          <w:spacing w:val="-18"/>
        </w:rPr>
        <w:t> </w:t>
      </w:r>
      <w:r>
        <w:rPr/>
        <w:t>increased</w:t>
      </w:r>
      <w:r>
        <w:rPr>
          <w:spacing w:val="-18"/>
        </w:rPr>
        <w:t> </w:t>
      </w:r>
      <w:r>
        <w:rPr/>
        <w:t>physical</w:t>
      </w:r>
      <w:r>
        <w:rPr>
          <w:spacing w:val="-18"/>
        </w:rPr>
        <w:t> </w:t>
      </w:r>
      <w:r>
        <w:rPr/>
        <w:t>or</w:t>
      </w:r>
      <w:r>
        <w:rPr>
          <w:spacing w:val="-18"/>
        </w:rPr>
        <w:t> </w:t>
      </w:r>
      <w:r>
        <w:rPr/>
        <w:t>mental</w:t>
      </w:r>
      <w:r>
        <w:rPr>
          <w:spacing w:val="-20"/>
        </w:rPr>
        <w:t> </w:t>
      </w:r>
      <w:r>
        <w:rPr/>
        <w:t>burden, cannot be covered by our natural</w:t>
      </w:r>
      <w:r>
        <w:rPr>
          <w:spacing w:val="-1"/>
        </w:rPr>
        <w:t> </w:t>
      </w:r>
      <w:r>
        <w:rPr/>
        <w:t>diet.</w:t>
      </w:r>
    </w:p>
    <w:p>
      <w:pPr>
        <w:pStyle w:val="BodyText"/>
        <w:rPr>
          <w:sz w:val="42"/>
        </w:rPr>
      </w:pPr>
    </w:p>
    <w:p>
      <w:pPr>
        <w:pStyle w:val="Heading1"/>
        <w:spacing w:line="261" w:lineRule="auto" w:before="240"/>
        <w:ind w:right="92"/>
      </w:pPr>
      <w:r>
        <w:rPr>
          <w:w w:val="95"/>
        </w:rPr>
        <w:t>Starting materials and support materials for the successful production of </w:t>
      </w:r>
      <w:r>
        <w:rPr/>
        <w:t>L-carnitine</w:t>
      </w:r>
    </w:p>
    <w:p>
      <w:pPr>
        <w:pStyle w:val="BodyText"/>
        <w:spacing w:line="276" w:lineRule="auto" w:before="261"/>
        <w:ind w:left="477"/>
      </w:pPr>
      <w:r>
        <w:rPr/>
        <w:t>In order to be able to produce L-carnitine itself, the body needs some starting materials and support materials.</w:t>
      </w:r>
    </w:p>
    <w:p>
      <w:pPr>
        <w:spacing w:before="240"/>
        <w:ind w:left="477" w:right="0" w:firstLine="0"/>
        <w:jc w:val="both"/>
        <w:rPr>
          <w:i/>
          <w:sz w:val="38"/>
        </w:rPr>
      </w:pPr>
      <w:r>
        <w:rPr>
          <w:i/>
          <w:sz w:val="38"/>
        </w:rPr>
        <w:t>These include:</w:t>
      </w:r>
    </w:p>
    <w:p>
      <w:pPr>
        <w:pStyle w:val="ListParagraph"/>
        <w:numPr>
          <w:ilvl w:val="0"/>
          <w:numId w:val="59"/>
        </w:numPr>
        <w:tabs>
          <w:tab w:pos="893" w:val="left" w:leader="none"/>
        </w:tabs>
        <w:spacing w:line="240" w:lineRule="auto" w:before="186" w:after="0"/>
        <w:ind w:left="892" w:right="0" w:hanging="415"/>
        <w:jc w:val="both"/>
        <w:rPr>
          <w:sz w:val="38"/>
        </w:rPr>
      </w:pPr>
      <w:r>
        <w:rPr>
          <w:sz w:val="38"/>
        </w:rPr>
        <w:t>vitamin</w:t>
      </w:r>
      <w:r>
        <w:rPr>
          <w:spacing w:val="-2"/>
          <w:sz w:val="38"/>
        </w:rPr>
        <w:t> </w:t>
      </w:r>
      <w:r>
        <w:rPr>
          <w:sz w:val="38"/>
        </w:rPr>
        <w:t>C</w:t>
      </w:r>
    </w:p>
    <w:p>
      <w:pPr>
        <w:pStyle w:val="ListParagraph"/>
        <w:numPr>
          <w:ilvl w:val="0"/>
          <w:numId w:val="59"/>
        </w:numPr>
        <w:tabs>
          <w:tab w:pos="893" w:val="left" w:leader="none"/>
        </w:tabs>
        <w:spacing w:line="240" w:lineRule="auto" w:before="64" w:after="0"/>
        <w:ind w:left="892" w:right="0" w:hanging="415"/>
        <w:jc w:val="both"/>
        <w:rPr>
          <w:sz w:val="38"/>
        </w:rPr>
      </w:pPr>
      <w:r>
        <w:rPr>
          <w:sz w:val="38"/>
        </w:rPr>
        <w:t>vitamin</w:t>
      </w:r>
      <w:r>
        <w:rPr>
          <w:spacing w:val="-6"/>
          <w:sz w:val="38"/>
        </w:rPr>
        <w:t> </w:t>
      </w:r>
      <w:r>
        <w:rPr>
          <w:sz w:val="38"/>
        </w:rPr>
        <w:t>B3</w:t>
      </w:r>
    </w:p>
    <w:p>
      <w:pPr>
        <w:pStyle w:val="ListParagraph"/>
        <w:numPr>
          <w:ilvl w:val="0"/>
          <w:numId w:val="59"/>
        </w:numPr>
        <w:tabs>
          <w:tab w:pos="893" w:val="left" w:leader="none"/>
        </w:tabs>
        <w:spacing w:line="240" w:lineRule="auto" w:before="64" w:after="0"/>
        <w:ind w:left="892" w:right="0" w:hanging="415"/>
        <w:jc w:val="both"/>
        <w:rPr>
          <w:sz w:val="38"/>
        </w:rPr>
      </w:pPr>
      <w:r>
        <w:rPr>
          <w:sz w:val="38"/>
        </w:rPr>
        <w:t>vitamin</w:t>
      </w:r>
      <w:r>
        <w:rPr>
          <w:spacing w:val="-6"/>
          <w:sz w:val="38"/>
        </w:rPr>
        <w:t> </w:t>
      </w:r>
      <w:r>
        <w:rPr>
          <w:sz w:val="38"/>
        </w:rPr>
        <w:t>B6</w:t>
      </w:r>
    </w:p>
    <w:p>
      <w:pPr>
        <w:pStyle w:val="ListParagraph"/>
        <w:numPr>
          <w:ilvl w:val="0"/>
          <w:numId w:val="59"/>
        </w:numPr>
        <w:tabs>
          <w:tab w:pos="893" w:val="left" w:leader="none"/>
        </w:tabs>
        <w:spacing w:line="240" w:lineRule="auto" w:before="64" w:after="0"/>
        <w:ind w:left="892" w:right="0" w:hanging="415"/>
        <w:jc w:val="both"/>
        <w:rPr>
          <w:sz w:val="38"/>
        </w:rPr>
      </w:pPr>
      <w:r>
        <w:rPr>
          <w:sz w:val="38"/>
        </w:rPr>
        <w:t>vitamin</w:t>
      </w:r>
      <w:r>
        <w:rPr>
          <w:spacing w:val="-2"/>
          <w:sz w:val="38"/>
        </w:rPr>
        <w:t> </w:t>
      </w:r>
      <w:r>
        <w:rPr>
          <w:sz w:val="38"/>
        </w:rPr>
        <w:t>B12</w:t>
      </w:r>
    </w:p>
    <w:p>
      <w:pPr>
        <w:spacing w:after="0" w:line="240" w:lineRule="auto"/>
        <w:jc w:val="both"/>
        <w:rPr>
          <w:sz w:val="38"/>
        </w:rPr>
        <w:sectPr>
          <w:pgSz w:w="14270" w:h="16850"/>
          <w:pgMar w:header="0" w:footer="404" w:top="1600" w:bottom="2080" w:left="800" w:right="1280"/>
        </w:sectPr>
      </w:pPr>
    </w:p>
    <w:p>
      <w:pPr>
        <w:pStyle w:val="BodyText"/>
        <w:spacing w:before="10"/>
        <w:rPr>
          <w:sz w:val="8"/>
        </w:rPr>
      </w:pPr>
    </w:p>
    <w:p>
      <w:pPr>
        <w:pStyle w:val="ListParagraph"/>
        <w:numPr>
          <w:ilvl w:val="0"/>
          <w:numId w:val="59"/>
        </w:numPr>
        <w:tabs>
          <w:tab w:pos="892" w:val="left" w:leader="none"/>
          <w:tab w:pos="893" w:val="left" w:leader="none"/>
        </w:tabs>
        <w:spacing w:line="240" w:lineRule="auto" w:before="83" w:after="0"/>
        <w:ind w:left="892" w:right="0" w:hanging="415"/>
        <w:jc w:val="left"/>
        <w:rPr>
          <w:sz w:val="38"/>
        </w:rPr>
      </w:pPr>
      <w:r>
        <w:rPr>
          <w:sz w:val="38"/>
        </w:rPr>
        <w:t>the amino acids lysine and methionine</w:t>
      </w:r>
    </w:p>
    <w:p>
      <w:pPr>
        <w:pStyle w:val="ListParagraph"/>
        <w:numPr>
          <w:ilvl w:val="0"/>
          <w:numId w:val="59"/>
        </w:numPr>
        <w:tabs>
          <w:tab w:pos="892" w:val="left" w:leader="none"/>
          <w:tab w:pos="893" w:val="left" w:leader="none"/>
        </w:tabs>
        <w:spacing w:line="240" w:lineRule="auto" w:before="64" w:after="0"/>
        <w:ind w:left="892" w:right="0" w:hanging="415"/>
        <w:jc w:val="left"/>
        <w:rPr>
          <w:sz w:val="38"/>
        </w:rPr>
      </w:pPr>
      <w:r>
        <w:rPr>
          <w:sz w:val="38"/>
        </w:rPr>
        <w:t>iron</w:t>
      </w:r>
    </w:p>
    <w:p>
      <w:pPr>
        <w:pStyle w:val="ListParagraph"/>
        <w:numPr>
          <w:ilvl w:val="0"/>
          <w:numId w:val="59"/>
        </w:numPr>
        <w:tabs>
          <w:tab w:pos="892" w:val="left" w:leader="none"/>
          <w:tab w:pos="893" w:val="left" w:leader="none"/>
        </w:tabs>
        <w:spacing w:line="240" w:lineRule="auto" w:before="66" w:after="0"/>
        <w:ind w:left="892" w:right="0" w:hanging="415"/>
        <w:jc w:val="left"/>
        <w:rPr>
          <w:sz w:val="38"/>
        </w:rPr>
      </w:pPr>
      <w:r>
        <w:rPr>
          <w:sz w:val="38"/>
        </w:rPr>
        <w:t>folic</w:t>
      </w:r>
      <w:r>
        <w:rPr>
          <w:spacing w:val="-1"/>
          <w:sz w:val="38"/>
        </w:rPr>
        <w:t> </w:t>
      </w:r>
      <w:r>
        <w:rPr>
          <w:sz w:val="38"/>
        </w:rPr>
        <w:t>acid</w:t>
      </w:r>
    </w:p>
    <w:p>
      <w:pPr>
        <w:pStyle w:val="BodyText"/>
        <w:spacing w:line="276" w:lineRule="auto" w:before="302"/>
        <w:ind w:left="477"/>
      </w:pPr>
      <w:r>
        <w:rPr/>
        <w:t>The basic requirements are therefore a minimum age of about 15 years and</w:t>
      </w:r>
      <w:r>
        <w:rPr>
          <w:spacing w:val="-53"/>
        </w:rPr>
        <w:t> </w:t>
      </w:r>
      <w:r>
        <w:rPr/>
        <w:t>the presence of these elementary raw materials.</w:t>
      </w:r>
    </w:p>
    <w:p>
      <w:pPr>
        <w:pStyle w:val="BodyText"/>
        <w:spacing w:line="276" w:lineRule="auto" w:before="238"/>
        <w:ind w:left="477"/>
      </w:pPr>
      <w:r>
        <w:rPr/>
        <w:t>If these basic requirements are met, the liver, accompanied by the kidneys and the brain, begins to produce L-carnitine.</w:t>
      </w:r>
    </w:p>
    <w:p>
      <w:pPr>
        <w:pStyle w:val="Heading1"/>
      </w:pPr>
      <w:r>
        <w:rPr/>
        <w:t>Occurrence of L-carnitine in the human body</w:t>
      </w:r>
    </w:p>
    <w:p>
      <w:pPr>
        <w:pStyle w:val="BodyText"/>
        <w:spacing w:before="179"/>
        <w:ind w:left="477"/>
        <w:rPr>
          <w:sz w:val="25"/>
        </w:rPr>
      </w:pPr>
      <w:r>
        <w:rPr/>
        <w:t>L-carnitine is found in the following concentrations in our bodies:</w:t>
      </w:r>
      <w:r>
        <w:rPr>
          <w:position w:val="9"/>
          <w:sz w:val="25"/>
        </w:rPr>
        <w:t>470</w:t>
      </w:r>
    </w:p>
    <w:p>
      <w:pPr>
        <w:pStyle w:val="BodyText"/>
        <w:spacing w:before="4" w:after="1"/>
        <w:rPr>
          <w:sz w:val="27"/>
        </w:rPr>
      </w:pPr>
    </w:p>
    <w:tbl>
      <w:tblPr>
        <w:tblW w:w="0" w:type="auto"/>
        <w:jc w:val="left"/>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59"/>
        <w:gridCol w:w="1884"/>
        <w:gridCol w:w="1944"/>
      </w:tblGrid>
      <w:tr>
        <w:trPr>
          <w:trHeight w:val="611" w:hRule="atLeast"/>
        </w:trPr>
        <w:tc>
          <w:tcPr>
            <w:tcW w:w="2059" w:type="dxa"/>
          </w:tcPr>
          <w:p>
            <w:pPr>
              <w:pStyle w:val="TableParagraph"/>
              <w:spacing w:line="424" w:lineRule="exact"/>
              <w:ind w:left="107"/>
              <w:rPr>
                <w:b/>
                <w:sz w:val="38"/>
              </w:rPr>
            </w:pPr>
            <w:r>
              <w:rPr>
                <w:b/>
                <w:sz w:val="38"/>
              </w:rPr>
              <w:t>Organ</w:t>
            </w:r>
          </w:p>
        </w:tc>
        <w:tc>
          <w:tcPr>
            <w:tcW w:w="1884" w:type="dxa"/>
          </w:tcPr>
          <w:p>
            <w:pPr>
              <w:pStyle w:val="TableParagraph"/>
              <w:spacing w:line="424" w:lineRule="exact"/>
              <w:ind w:left="105"/>
              <w:rPr>
                <w:b/>
                <w:sz w:val="38"/>
              </w:rPr>
            </w:pPr>
            <w:r>
              <w:rPr>
                <w:b/>
                <w:sz w:val="38"/>
              </w:rPr>
              <w:t>mg/kg</w:t>
            </w:r>
          </w:p>
        </w:tc>
        <w:tc>
          <w:tcPr>
            <w:tcW w:w="1944" w:type="dxa"/>
          </w:tcPr>
          <w:p>
            <w:pPr>
              <w:pStyle w:val="TableParagraph"/>
              <w:spacing w:line="424" w:lineRule="exact"/>
              <w:ind w:left="106"/>
              <w:rPr>
                <w:b/>
                <w:sz w:val="38"/>
              </w:rPr>
            </w:pPr>
            <w:r>
              <w:rPr>
                <w:b/>
                <w:sz w:val="38"/>
              </w:rPr>
              <w:t>Umol/g</w:t>
            </w:r>
          </w:p>
        </w:tc>
      </w:tr>
      <w:tr>
        <w:trPr>
          <w:trHeight w:val="1104" w:hRule="atLeast"/>
        </w:trPr>
        <w:tc>
          <w:tcPr>
            <w:tcW w:w="2059" w:type="dxa"/>
          </w:tcPr>
          <w:p>
            <w:pPr>
              <w:pStyle w:val="TableParagraph"/>
              <w:spacing w:line="276" w:lineRule="auto"/>
              <w:ind w:left="107"/>
              <w:rPr>
                <w:sz w:val="38"/>
              </w:rPr>
            </w:pPr>
            <w:r>
              <w:rPr>
                <w:w w:val="95"/>
                <w:sz w:val="38"/>
              </w:rPr>
              <w:t>Skeletal </w:t>
            </w:r>
            <w:r>
              <w:rPr>
                <w:sz w:val="38"/>
              </w:rPr>
              <w:t>muscle</w:t>
            </w:r>
          </w:p>
        </w:tc>
        <w:tc>
          <w:tcPr>
            <w:tcW w:w="1884" w:type="dxa"/>
          </w:tcPr>
          <w:p>
            <w:pPr>
              <w:pStyle w:val="TableParagraph"/>
              <w:spacing w:line="424" w:lineRule="exact"/>
              <w:ind w:left="105"/>
              <w:rPr>
                <w:sz w:val="38"/>
              </w:rPr>
            </w:pPr>
            <w:r>
              <w:rPr>
                <w:sz w:val="38"/>
              </w:rPr>
              <w:t>640</w:t>
            </w:r>
          </w:p>
        </w:tc>
        <w:tc>
          <w:tcPr>
            <w:tcW w:w="1944" w:type="dxa"/>
          </w:tcPr>
          <w:p>
            <w:pPr>
              <w:pStyle w:val="TableParagraph"/>
              <w:spacing w:line="424" w:lineRule="exact"/>
              <w:ind w:left="106"/>
              <w:rPr>
                <w:sz w:val="38"/>
              </w:rPr>
            </w:pPr>
            <w:r>
              <w:rPr>
                <w:sz w:val="38"/>
              </w:rPr>
              <w:t>3.96</w:t>
            </w:r>
          </w:p>
        </w:tc>
      </w:tr>
      <w:tr>
        <w:trPr>
          <w:trHeight w:val="611" w:hRule="atLeast"/>
        </w:trPr>
        <w:tc>
          <w:tcPr>
            <w:tcW w:w="2059" w:type="dxa"/>
          </w:tcPr>
          <w:p>
            <w:pPr>
              <w:pStyle w:val="TableParagraph"/>
              <w:spacing w:line="424" w:lineRule="exact"/>
              <w:ind w:left="107"/>
              <w:rPr>
                <w:sz w:val="38"/>
              </w:rPr>
            </w:pPr>
            <w:r>
              <w:rPr>
                <w:sz w:val="38"/>
              </w:rPr>
              <w:t>Heart</w:t>
            </w:r>
          </w:p>
        </w:tc>
        <w:tc>
          <w:tcPr>
            <w:tcW w:w="1884" w:type="dxa"/>
          </w:tcPr>
          <w:p>
            <w:pPr>
              <w:pStyle w:val="TableParagraph"/>
              <w:spacing w:line="424" w:lineRule="exact"/>
              <w:ind w:left="105"/>
              <w:rPr>
                <w:sz w:val="38"/>
              </w:rPr>
            </w:pPr>
            <w:r>
              <w:rPr>
                <w:sz w:val="38"/>
              </w:rPr>
              <w:t>770</w:t>
            </w:r>
          </w:p>
        </w:tc>
        <w:tc>
          <w:tcPr>
            <w:tcW w:w="1944" w:type="dxa"/>
          </w:tcPr>
          <w:p>
            <w:pPr>
              <w:pStyle w:val="TableParagraph"/>
              <w:spacing w:line="424" w:lineRule="exact"/>
              <w:ind w:left="106"/>
              <w:rPr>
                <w:sz w:val="38"/>
              </w:rPr>
            </w:pPr>
            <w:r>
              <w:rPr>
                <w:sz w:val="38"/>
              </w:rPr>
              <w:t>4.80</w:t>
            </w:r>
          </w:p>
        </w:tc>
      </w:tr>
      <w:tr>
        <w:trPr>
          <w:trHeight w:val="611" w:hRule="atLeast"/>
        </w:trPr>
        <w:tc>
          <w:tcPr>
            <w:tcW w:w="2059" w:type="dxa"/>
          </w:tcPr>
          <w:p>
            <w:pPr>
              <w:pStyle w:val="TableParagraph"/>
              <w:spacing w:line="424" w:lineRule="exact"/>
              <w:ind w:left="107"/>
              <w:rPr>
                <w:sz w:val="38"/>
              </w:rPr>
            </w:pPr>
            <w:r>
              <w:rPr>
                <w:sz w:val="38"/>
              </w:rPr>
              <w:t>Liver</w:t>
            </w:r>
          </w:p>
        </w:tc>
        <w:tc>
          <w:tcPr>
            <w:tcW w:w="1884" w:type="dxa"/>
          </w:tcPr>
          <w:p>
            <w:pPr>
              <w:pStyle w:val="TableParagraph"/>
              <w:spacing w:line="424" w:lineRule="exact"/>
              <w:ind w:left="105"/>
              <w:rPr>
                <w:sz w:val="38"/>
              </w:rPr>
            </w:pPr>
            <w:r>
              <w:rPr>
                <w:sz w:val="38"/>
              </w:rPr>
              <w:t>470</w:t>
            </w:r>
          </w:p>
        </w:tc>
        <w:tc>
          <w:tcPr>
            <w:tcW w:w="1944" w:type="dxa"/>
          </w:tcPr>
          <w:p>
            <w:pPr>
              <w:pStyle w:val="TableParagraph"/>
              <w:spacing w:line="424" w:lineRule="exact"/>
              <w:ind w:left="106"/>
              <w:rPr>
                <w:sz w:val="38"/>
              </w:rPr>
            </w:pPr>
            <w:r>
              <w:rPr>
                <w:sz w:val="38"/>
              </w:rPr>
              <w:t>2.80</w:t>
            </w:r>
          </w:p>
        </w:tc>
      </w:tr>
      <w:tr>
        <w:trPr>
          <w:trHeight w:val="611" w:hRule="atLeast"/>
        </w:trPr>
        <w:tc>
          <w:tcPr>
            <w:tcW w:w="2059" w:type="dxa"/>
          </w:tcPr>
          <w:p>
            <w:pPr>
              <w:pStyle w:val="TableParagraph"/>
              <w:spacing w:line="424" w:lineRule="exact"/>
              <w:ind w:left="107"/>
              <w:rPr>
                <w:sz w:val="38"/>
              </w:rPr>
            </w:pPr>
            <w:r>
              <w:rPr>
                <w:sz w:val="38"/>
              </w:rPr>
              <w:t>Kidney</w:t>
            </w:r>
          </w:p>
        </w:tc>
        <w:tc>
          <w:tcPr>
            <w:tcW w:w="1884" w:type="dxa"/>
          </w:tcPr>
          <w:p>
            <w:pPr>
              <w:pStyle w:val="TableParagraph"/>
              <w:spacing w:line="424" w:lineRule="exact"/>
              <w:ind w:left="105"/>
              <w:rPr>
                <w:sz w:val="38"/>
              </w:rPr>
            </w:pPr>
            <w:r>
              <w:rPr>
                <w:sz w:val="38"/>
              </w:rPr>
              <w:t>160</w:t>
            </w:r>
          </w:p>
        </w:tc>
        <w:tc>
          <w:tcPr>
            <w:tcW w:w="1944" w:type="dxa"/>
          </w:tcPr>
          <w:p>
            <w:pPr>
              <w:pStyle w:val="TableParagraph"/>
              <w:spacing w:line="424" w:lineRule="exact"/>
              <w:ind w:left="106"/>
              <w:rPr>
                <w:sz w:val="38"/>
              </w:rPr>
            </w:pPr>
            <w:r>
              <w:rPr>
                <w:w w:val="99"/>
                <w:sz w:val="38"/>
              </w:rPr>
              <w:t>1</w:t>
            </w:r>
          </w:p>
        </w:tc>
      </w:tr>
      <w:tr>
        <w:trPr>
          <w:trHeight w:val="611" w:hRule="atLeast"/>
        </w:trPr>
        <w:tc>
          <w:tcPr>
            <w:tcW w:w="2059" w:type="dxa"/>
          </w:tcPr>
          <w:p>
            <w:pPr>
              <w:pStyle w:val="TableParagraph"/>
              <w:spacing w:line="424" w:lineRule="exact"/>
              <w:ind w:left="107"/>
              <w:rPr>
                <w:sz w:val="38"/>
              </w:rPr>
            </w:pPr>
            <w:r>
              <w:rPr>
                <w:sz w:val="38"/>
              </w:rPr>
              <w:t>Brain</w:t>
            </w:r>
          </w:p>
        </w:tc>
        <w:tc>
          <w:tcPr>
            <w:tcW w:w="1884" w:type="dxa"/>
          </w:tcPr>
          <w:p>
            <w:pPr>
              <w:pStyle w:val="TableParagraph"/>
              <w:spacing w:line="424" w:lineRule="exact"/>
              <w:ind w:left="105"/>
              <w:rPr>
                <w:sz w:val="38"/>
              </w:rPr>
            </w:pPr>
            <w:r>
              <w:rPr>
                <w:sz w:val="38"/>
              </w:rPr>
              <w:t>50</w:t>
            </w:r>
          </w:p>
        </w:tc>
        <w:tc>
          <w:tcPr>
            <w:tcW w:w="1944" w:type="dxa"/>
          </w:tcPr>
          <w:p>
            <w:pPr>
              <w:pStyle w:val="TableParagraph"/>
              <w:spacing w:line="424" w:lineRule="exact"/>
              <w:ind w:left="106"/>
              <w:rPr>
                <w:sz w:val="38"/>
              </w:rPr>
            </w:pPr>
            <w:r>
              <w:rPr>
                <w:sz w:val="38"/>
              </w:rPr>
              <w:t>0.30</w:t>
            </w:r>
          </w:p>
        </w:tc>
      </w:tr>
      <w:tr>
        <w:trPr>
          <w:trHeight w:val="1104" w:hRule="atLeast"/>
        </w:trPr>
        <w:tc>
          <w:tcPr>
            <w:tcW w:w="2059" w:type="dxa"/>
          </w:tcPr>
          <w:p>
            <w:pPr>
              <w:pStyle w:val="TableParagraph"/>
              <w:spacing w:line="276" w:lineRule="auto"/>
              <w:ind w:left="107" w:right="643"/>
              <w:rPr>
                <w:sz w:val="38"/>
              </w:rPr>
            </w:pPr>
            <w:r>
              <w:rPr>
                <w:sz w:val="38"/>
              </w:rPr>
              <w:t>Blood </w:t>
            </w:r>
            <w:r>
              <w:rPr>
                <w:w w:val="95"/>
                <w:sz w:val="38"/>
              </w:rPr>
              <w:t>plasma</w:t>
            </w:r>
          </w:p>
        </w:tc>
        <w:tc>
          <w:tcPr>
            <w:tcW w:w="1884" w:type="dxa"/>
          </w:tcPr>
          <w:p>
            <w:pPr>
              <w:pStyle w:val="TableParagraph"/>
              <w:spacing w:line="424" w:lineRule="exact"/>
              <w:ind w:left="105"/>
              <w:rPr>
                <w:sz w:val="38"/>
              </w:rPr>
            </w:pPr>
            <w:r>
              <w:rPr>
                <w:w w:val="99"/>
                <w:sz w:val="38"/>
              </w:rPr>
              <w:t>8</w:t>
            </w:r>
          </w:p>
        </w:tc>
        <w:tc>
          <w:tcPr>
            <w:tcW w:w="1944" w:type="dxa"/>
          </w:tcPr>
          <w:p>
            <w:pPr>
              <w:pStyle w:val="TableParagraph"/>
              <w:spacing w:line="424" w:lineRule="exact"/>
              <w:ind w:left="106"/>
              <w:rPr>
                <w:sz w:val="38"/>
              </w:rPr>
            </w:pPr>
            <w:r>
              <w:rPr>
                <w:sz w:val="38"/>
              </w:rPr>
              <w:t>0.05</w:t>
            </w:r>
          </w:p>
        </w:tc>
      </w:tr>
    </w:tbl>
    <w:p>
      <w:pPr>
        <w:pStyle w:val="BodyText"/>
        <w:rPr>
          <w:sz w:val="20"/>
        </w:rPr>
      </w:pPr>
    </w:p>
    <w:p>
      <w:pPr>
        <w:pStyle w:val="BodyText"/>
        <w:spacing w:before="4"/>
        <w:rPr>
          <w:sz w:val="17"/>
        </w:rPr>
      </w:pPr>
      <w:r>
        <w:rPr/>
        <w:pict>
          <v:line style="position:absolute;mso-position-horizontal-relative:page;mso-position-vertical-relative:paragraph;z-index:6008;mso-wrap-distance-left:0;mso-wrap-distance-right:0" from="63.863998pt,12.149985pt" to="207.883998pt,12.149985pt" stroked="true" strokeweight=".72003pt" strokecolor="#000000">
            <v:stroke dashstyle="solid"/>
            <w10:wrap type="topAndBottom"/>
          </v:line>
        </w:pict>
      </w:r>
    </w:p>
    <w:p>
      <w:pPr>
        <w:spacing w:line="276" w:lineRule="auto" w:before="309"/>
        <w:ind w:left="477" w:right="156" w:firstLine="0"/>
        <w:jc w:val="left"/>
        <w:rPr>
          <w:sz w:val="20"/>
        </w:rPr>
      </w:pPr>
      <w:r>
        <w:rPr>
          <w:position w:val="5"/>
          <w:sz w:val="13"/>
        </w:rPr>
        <w:t>470 </w:t>
      </w:r>
      <w:r>
        <w:rPr>
          <w:sz w:val="20"/>
        </w:rPr>
        <w:t>Prof. Dr. Peter Billigmann and Dr. Stefan Siebrecht: Physiologie des L-Carnitins und seine Bedeutung für Sportler (‘Physiology of L-Carnitine and Its Importance for Athletes’), 2004, p. 15</w:t>
      </w:r>
    </w:p>
    <w:p>
      <w:pPr>
        <w:spacing w:after="0" w:line="276" w:lineRule="auto"/>
        <w:jc w:val="left"/>
        <w:rPr>
          <w:sz w:val="20"/>
        </w:rPr>
        <w:sectPr>
          <w:pgSz w:w="14270" w:h="16850"/>
          <w:pgMar w:header="0" w:footer="404" w:top="1600" w:bottom="2080" w:left="800" w:right="1280"/>
        </w:sectPr>
      </w:pPr>
    </w:p>
    <w:p>
      <w:pPr>
        <w:pStyle w:val="BodyText"/>
        <w:spacing w:before="5"/>
        <w:rPr>
          <w:sz w:val="16"/>
        </w:rPr>
      </w:pPr>
    </w:p>
    <w:tbl>
      <w:tblPr>
        <w:tblW w:w="0" w:type="auto"/>
        <w:jc w:val="left"/>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59"/>
        <w:gridCol w:w="1884"/>
        <w:gridCol w:w="1944"/>
      </w:tblGrid>
      <w:tr>
        <w:trPr>
          <w:trHeight w:val="611" w:hRule="atLeast"/>
        </w:trPr>
        <w:tc>
          <w:tcPr>
            <w:tcW w:w="2059" w:type="dxa"/>
          </w:tcPr>
          <w:p>
            <w:pPr>
              <w:pStyle w:val="TableParagraph"/>
              <w:spacing w:line="424" w:lineRule="exact"/>
              <w:ind w:left="107"/>
              <w:rPr>
                <w:sz w:val="38"/>
              </w:rPr>
            </w:pPr>
            <w:r>
              <w:rPr>
                <w:sz w:val="38"/>
              </w:rPr>
              <w:t>Ejaculate</w:t>
            </w:r>
          </w:p>
        </w:tc>
        <w:tc>
          <w:tcPr>
            <w:tcW w:w="1884" w:type="dxa"/>
          </w:tcPr>
          <w:p>
            <w:pPr>
              <w:pStyle w:val="TableParagraph"/>
              <w:spacing w:line="424" w:lineRule="exact"/>
              <w:ind w:left="105"/>
              <w:rPr>
                <w:sz w:val="38"/>
              </w:rPr>
            </w:pPr>
            <w:r>
              <w:rPr>
                <w:sz w:val="38"/>
              </w:rPr>
              <w:t>9.6</w:t>
            </w:r>
          </w:p>
        </w:tc>
        <w:tc>
          <w:tcPr>
            <w:tcW w:w="1944" w:type="dxa"/>
          </w:tcPr>
          <w:p>
            <w:pPr>
              <w:pStyle w:val="TableParagraph"/>
              <w:rPr>
                <w:rFonts w:ascii="Times New Roman"/>
                <w:sz w:val="36"/>
              </w:rPr>
            </w:pPr>
          </w:p>
        </w:tc>
      </w:tr>
      <w:tr>
        <w:trPr>
          <w:trHeight w:val="1103" w:hRule="atLeast"/>
        </w:trPr>
        <w:tc>
          <w:tcPr>
            <w:tcW w:w="2059" w:type="dxa"/>
          </w:tcPr>
          <w:p>
            <w:pPr>
              <w:pStyle w:val="TableParagraph"/>
              <w:spacing w:line="276" w:lineRule="auto"/>
              <w:ind w:left="107" w:right="643"/>
              <w:rPr>
                <w:sz w:val="38"/>
              </w:rPr>
            </w:pPr>
            <w:r>
              <w:rPr>
                <w:w w:val="95"/>
                <w:sz w:val="38"/>
              </w:rPr>
              <w:t>Immune </w:t>
            </w:r>
            <w:r>
              <w:rPr>
                <w:sz w:val="38"/>
              </w:rPr>
              <w:t>cells</w:t>
            </w:r>
          </w:p>
        </w:tc>
        <w:tc>
          <w:tcPr>
            <w:tcW w:w="1884" w:type="dxa"/>
          </w:tcPr>
          <w:p>
            <w:pPr>
              <w:pStyle w:val="TableParagraph"/>
              <w:spacing w:line="424" w:lineRule="exact"/>
              <w:ind w:left="105"/>
              <w:rPr>
                <w:sz w:val="38"/>
              </w:rPr>
            </w:pPr>
            <w:r>
              <w:rPr>
                <w:sz w:val="38"/>
              </w:rPr>
              <w:t>160</w:t>
            </w:r>
          </w:p>
        </w:tc>
        <w:tc>
          <w:tcPr>
            <w:tcW w:w="1944" w:type="dxa"/>
          </w:tcPr>
          <w:p>
            <w:pPr>
              <w:pStyle w:val="TableParagraph"/>
              <w:rPr>
                <w:rFonts w:ascii="Times New Roman"/>
                <w:sz w:val="36"/>
              </w:rPr>
            </w:pPr>
          </w:p>
        </w:tc>
      </w:tr>
      <w:tr>
        <w:trPr>
          <w:trHeight w:val="1103" w:hRule="atLeast"/>
        </w:trPr>
        <w:tc>
          <w:tcPr>
            <w:tcW w:w="2059" w:type="dxa"/>
          </w:tcPr>
          <w:p>
            <w:pPr>
              <w:pStyle w:val="TableParagraph"/>
              <w:spacing w:line="276" w:lineRule="auto"/>
              <w:ind w:left="107" w:right="643"/>
              <w:rPr>
                <w:sz w:val="38"/>
              </w:rPr>
            </w:pPr>
            <w:r>
              <w:rPr>
                <w:sz w:val="38"/>
              </w:rPr>
              <w:t>Erythro- cytes</w:t>
            </w:r>
          </w:p>
        </w:tc>
        <w:tc>
          <w:tcPr>
            <w:tcW w:w="1884" w:type="dxa"/>
          </w:tcPr>
          <w:p>
            <w:pPr>
              <w:pStyle w:val="TableParagraph"/>
              <w:spacing w:line="424" w:lineRule="exact"/>
              <w:ind w:left="105"/>
              <w:rPr>
                <w:sz w:val="38"/>
              </w:rPr>
            </w:pPr>
            <w:r>
              <w:rPr>
                <w:sz w:val="38"/>
              </w:rPr>
              <w:t>38</w:t>
            </w:r>
          </w:p>
        </w:tc>
        <w:tc>
          <w:tcPr>
            <w:tcW w:w="1944" w:type="dxa"/>
          </w:tcPr>
          <w:p>
            <w:pPr>
              <w:pStyle w:val="TableParagraph"/>
              <w:rPr>
                <w:rFonts w:ascii="Times New Roman"/>
                <w:sz w:val="36"/>
              </w:rPr>
            </w:pPr>
          </w:p>
        </w:tc>
      </w:tr>
      <w:tr>
        <w:trPr>
          <w:trHeight w:val="612" w:hRule="atLeast"/>
        </w:trPr>
        <w:tc>
          <w:tcPr>
            <w:tcW w:w="2059" w:type="dxa"/>
          </w:tcPr>
          <w:p>
            <w:pPr>
              <w:pStyle w:val="TableParagraph"/>
              <w:spacing w:line="424" w:lineRule="exact"/>
              <w:ind w:left="107"/>
              <w:rPr>
                <w:sz w:val="38"/>
              </w:rPr>
            </w:pPr>
            <w:r>
              <w:rPr>
                <w:sz w:val="38"/>
              </w:rPr>
              <w:t>Breast milk</w:t>
            </w:r>
          </w:p>
        </w:tc>
        <w:tc>
          <w:tcPr>
            <w:tcW w:w="1884" w:type="dxa"/>
          </w:tcPr>
          <w:p>
            <w:pPr>
              <w:pStyle w:val="TableParagraph"/>
              <w:spacing w:line="424" w:lineRule="exact"/>
              <w:ind w:left="105"/>
              <w:rPr>
                <w:sz w:val="38"/>
              </w:rPr>
            </w:pPr>
            <w:r>
              <w:rPr>
                <w:sz w:val="38"/>
              </w:rPr>
              <w:t>12</w:t>
            </w:r>
          </w:p>
        </w:tc>
        <w:tc>
          <w:tcPr>
            <w:tcW w:w="1944" w:type="dxa"/>
          </w:tcPr>
          <w:p>
            <w:pPr>
              <w:pStyle w:val="TableParagraph"/>
              <w:rPr>
                <w:rFonts w:ascii="Times New Roman"/>
                <w:sz w:val="36"/>
              </w:rPr>
            </w:pPr>
          </w:p>
        </w:tc>
      </w:tr>
    </w:tbl>
    <w:p>
      <w:pPr>
        <w:pStyle w:val="BodyText"/>
        <w:rPr>
          <w:sz w:val="20"/>
        </w:rPr>
      </w:pPr>
    </w:p>
    <w:p>
      <w:pPr>
        <w:pStyle w:val="BodyText"/>
        <w:spacing w:before="2"/>
        <w:rPr>
          <w:sz w:val="25"/>
        </w:rPr>
      </w:pPr>
    </w:p>
    <w:p>
      <w:pPr>
        <w:pStyle w:val="BodyText"/>
        <w:spacing w:line="276" w:lineRule="auto" w:before="100"/>
        <w:ind w:left="477" w:right="130"/>
        <w:jc w:val="both"/>
      </w:pPr>
      <w:r>
        <w:rPr/>
        <w:t>Furthermore, the regular intake of 2-3 g L-carnitine a day can increase the L- carnitine content in all tissue forms in the body in the medium term.</w:t>
      </w:r>
    </w:p>
    <w:p>
      <w:pPr>
        <w:pStyle w:val="BodyText"/>
        <w:spacing w:before="2"/>
        <w:rPr>
          <w:sz w:val="41"/>
        </w:rPr>
      </w:pPr>
    </w:p>
    <w:p>
      <w:pPr>
        <w:pStyle w:val="Heading1"/>
        <w:spacing w:before="0"/>
      </w:pPr>
      <w:r>
        <w:rPr/>
        <w:t>L-carnitine – which foods contain it?</w:t>
      </w:r>
    </w:p>
    <w:p>
      <w:pPr>
        <w:pStyle w:val="BodyText"/>
        <w:spacing w:line="276" w:lineRule="auto" w:before="297"/>
        <w:ind w:left="477" w:right="132"/>
        <w:jc w:val="both"/>
      </w:pPr>
      <w:r>
        <w:rPr/>
        <w:t>As we have seen above, despite optimal conditions, only 10 % of the actual L- carnitine</w:t>
      </w:r>
      <w:r>
        <w:rPr>
          <w:spacing w:val="-11"/>
        </w:rPr>
        <w:t> </w:t>
      </w:r>
      <w:r>
        <w:rPr/>
        <w:t>requirement</w:t>
      </w:r>
      <w:r>
        <w:rPr>
          <w:spacing w:val="-12"/>
        </w:rPr>
        <w:t> </w:t>
      </w:r>
      <w:r>
        <w:rPr/>
        <w:t>can</w:t>
      </w:r>
      <w:r>
        <w:rPr>
          <w:spacing w:val="-11"/>
        </w:rPr>
        <w:t> </w:t>
      </w:r>
      <w:r>
        <w:rPr/>
        <w:t>be</w:t>
      </w:r>
      <w:r>
        <w:rPr>
          <w:spacing w:val="-13"/>
        </w:rPr>
        <w:t> </w:t>
      </w:r>
      <w:r>
        <w:rPr/>
        <w:t>produced</w:t>
      </w:r>
      <w:r>
        <w:rPr>
          <w:spacing w:val="-12"/>
        </w:rPr>
        <w:t> </w:t>
      </w:r>
      <w:r>
        <w:rPr/>
        <w:t>by</w:t>
      </w:r>
      <w:r>
        <w:rPr>
          <w:spacing w:val="-11"/>
        </w:rPr>
        <w:t> </w:t>
      </w:r>
      <w:r>
        <w:rPr/>
        <w:t>the</w:t>
      </w:r>
      <w:r>
        <w:rPr>
          <w:spacing w:val="-13"/>
        </w:rPr>
        <w:t> </w:t>
      </w:r>
      <w:r>
        <w:rPr/>
        <w:t>body</w:t>
      </w:r>
      <w:r>
        <w:rPr>
          <w:spacing w:val="-12"/>
        </w:rPr>
        <w:t> </w:t>
      </w:r>
      <w:r>
        <w:rPr/>
        <w:t>through</w:t>
      </w:r>
      <w:r>
        <w:rPr>
          <w:spacing w:val="-13"/>
        </w:rPr>
        <w:t> </w:t>
      </w:r>
      <w:r>
        <w:rPr/>
        <w:t>self-synthesis.</w:t>
      </w:r>
      <w:r>
        <w:rPr>
          <w:spacing w:val="-13"/>
        </w:rPr>
        <w:t> </w:t>
      </w:r>
      <w:r>
        <w:rPr/>
        <w:t>This is</w:t>
      </w:r>
      <w:r>
        <w:rPr>
          <w:spacing w:val="-6"/>
        </w:rPr>
        <w:t> </w:t>
      </w:r>
      <w:r>
        <w:rPr/>
        <w:t>definitely</w:t>
      </w:r>
      <w:r>
        <w:rPr>
          <w:spacing w:val="-6"/>
        </w:rPr>
        <w:t> </w:t>
      </w:r>
      <w:r>
        <w:rPr/>
        <w:t>not</w:t>
      </w:r>
      <w:r>
        <w:rPr>
          <w:spacing w:val="-9"/>
        </w:rPr>
        <w:t> </w:t>
      </w:r>
      <w:r>
        <w:rPr/>
        <w:t>enough</w:t>
      </w:r>
      <w:r>
        <w:rPr>
          <w:spacing w:val="-5"/>
        </w:rPr>
        <w:t> </w:t>
      </w:r>
      <w:r>
        <w:rPr/>
        <w:t>for</w:t>
      </w:r>
      <w:r>
        <w:rPr>
          <w:spacing w:val="-5"/>
        </w:rPr>
        <w:t> </w:t>
      </w:r>
      <w:r>
        <w:rPr/>
        <w:t>a</w:t>
      </w:r>
      <w:r>
        <w:rPr>
          <w:spacing w:val="-8"/>
        </w:rPr>
        <w:t> </w:t>
      </w:r>
      <w:r>
        <w:rPr/>
        <w:t>person</w:t>
      </w:r>
      <w:r>
        <w:rPr>
          <w:spacing w:val="-6"/>
        </w:rPr>
        <w:t> </w:t>
      </w:r>
      <w:r>
        <w:rPr/>
        <w:t>to</w:t>
      </w:r>
      <w:r>
        <w:rPr>
          <w:spacing w:val="-8"/>
        </w:rPr>
        <w:t> </w:t>
      </w:r>
      <w:r>
        <w:rPr/>
        <w:t>reap</w:t>
      </w:r>
      <w:r>
        <w:rPr>
          <w:spacing w:val="-6"/>
        </w:rPr>
        <w:t> </w:t>
      </w:r>
      <w:r>
        <w:rPr/>
        <w:t>the</w:t>
      </w:r>
      <w:r>
        <w:rPr>
          <w:spacing w:val="-10"/>
        </w:rPr>
        <w:t> </w:t>
      </w:r>
      <w:r>
        <w:rPr/>
        <w:t>benefits</w:t>
      </w:r>
      <w:r>
        <w:rPr>
          <w:spacing w:val="-6"/>
        </w:rPr>
        <w:t> </w:t>
      </w:r>
      <w:r>
        <w:rPr/>
        <w:t>of</w:t>
      </w:r>
      <w:r>
        <w:rPr>
          <w:spacing w:val="-6"/>
        </w:rPr>
        <w:t> </w:t>
      </w:r>
      <w:r>
        <w:rPr/>
        <w:t>L-carnitine.</w:t>
      </w:r>
      <w:r>
        <w:rPr>
          <w:spacing w:val="-5"/>
        </w:rPr>
        <w:t> </w:t>
      </w:r>
      <w:r>
        <w:rPr/>
        <w:t>A</w:t>
      </w:r>
      <w:r>
        <w:rPr>
          <w:spacing w:val="-6"/>
        </w:rPr>
        <w:t> </w:t>
      </w:r>
      <w:r>
        <w:rPr/>
        <w:t>food selection based on this can be used in an attempt to master the problem.</w:t>
      </w:r>
      <w:r>
        <w:rPr>
          <w:spacing w:val="-56"/>
        </w:rPr>
        <w:t> </w:t>
      </w:r>
      <w:r>
        <w:rPr/>
        <w:t>How- ever, the reality is that we digest an average of only 100-300 mg L-carnitine per day; to get to 1000 mg, we would have to eat about 750 g of meat every day. Meat plays an important role in L-carnitine supply because L-carnitine is made from the two essential amino acids ‘lysine’ and ‘methionine’, amino acids that occur almost exclusively in</w:t>
      </w:r>
      <w:r>
        <w:rPr>
          <w:spacing w:val="2"/>
        </w:rPr>
        <w:t> </w:t>
      </w:r>
      <w:r>
        <w:rPr/>
        <w:t>meat.</w:t>
      </w:r>
    </w:p>
    <w:p>
      <w:pPr>
        <w:spacing w:after="0" w:line="276" w:lineRule="auto"/>
        <w:jc w:val="both"/>
        <w:sectPr>
          <w:pgSz w:w="14270" w:h="16850"/>
          <w:pgMar w:header="0" w:footer="404" w:top="1600" w:bottom="2080" w:left="800" w:right="1280"/>
        </w:sectPr>
      </w:pPr>
    </w:p>
    <w:p>
      <w:pPr>
        <w:pStyle w:val="BodyText"/>
        <w:spacing w:line="276" w:lineRule="auto" w:before="181"/>
        <w:ind w:left="477" w:right="131"/>
        <w:jc w:val="both"/>
      </w:pPr>
      <w:r>
        <w:rPr/>
        <w:t>The following table details the L-carnitine content of various foods.</w:t>
      </w:r>
      <w:r>
        <w:rPr>
          <w:position w:val="9"/>
          <w:sz w:val="25"/>
        </w:rPr>
        <w:t>471 </w:t>
      </w:r>
      <w:r>
        <w:rPr/>
        <w:t>As we can see, L-carnitine is found mainly in meat, fish and dairy products, whereas vegetable products contain virtually no L-carnitine. Vegetarians and vegans in particularly benefit from a dietary supplement in the form of L-carnitine prep- arations: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6"/>
        </w:rPr>
      </w:pPr>
    </w:p>
    <w:tbl>
      <w:tblPr>
        <w:tblW w:w="0" w:type="auto"/>
        <w:jc w:val="left"/>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7"/>
        <w:gridCol w:w="1844"/>
        <w:gridCol w:w="1702"/>
        <w:gridCol w:w="1447"/>
      </w:tblGrid>
      <w:tr>
        <w:trPr>
          <w:trHeight w:val="690" w:hRule="atLeast"/>
        </w:trPr>
        <w:tc>
          <w:tcPr>
            <w:tcW w:w="6800" w:type="dxa"/>
            <w:gridSpan w:val="4"/>
            <w:shd w:val="clear" w:color="auto" w:fill="8DB3E1"/>
          </w:tcPr>
          <w:p>
            <w:pPr>
              <w:pStyle w:val="TableParagraph"/>
              <w:spacing w:line="426" w:lineRule="exact"/>
              <w:ind w:left="107"/>
              <w:rPr>
                <w:b/>
                <w:sz w:val="38"/>
              </w:rPr>
            </w:pPr>
            <w:r>
              <w:rPr>
                <w:b/>
                <w:sz w:val="38"/>
              </w:rPr>
              <w:t>Presence of L-carnitine in the diet</w:t>
            </w:r>
          </w:p>
        </w:tc>
      </w:tr>
      <w:tr>
        <w:trPr>
          <w:trHeight w:val="1476" w:hRule="atLeast"/>
        </w:trPr>
        <w:tc>
          <w:tcPr>
            <w:tcW w:w="1807" w:type="dxa"/>
          </w:tcPr>
          <w:p>
            <w:pPr>
              <w:pStyle w:val="TableParagraph"/>
              <w:spacing w:line="276" w:lineRule="auto"/>
              <w:ind w:left="107"/>
              <w:rPr>
                <w:b/>
                <w:sz w:val="38"/>
              </w:rPr>
            </w:pPr>
            <w:r>
              <w:rPr>
                <w:b/>
                <w:sz w:val="38"/>
              </w:rPr>
              <w:t>Animal products</w:t>
            </w:r>
          </w:p>
          <w:p>
            <w:pPr>
              <w:pStyle w:val="TableParagraph"/>
              <w:ind w:left="107"/>
              <w:rPr>
                <w:b/>
                <w:sz w:val="38"/>
              </w:rPr>
            </w:pPr>
            <w:r>
              <w:rPr>
                <w:b/>
                <w:sz w:val="38"/>
              </w:rPr>
              <w:t>mg/kg</w:t>
            </w:r>
          </w:p>
        </w:tc>
        <w:tc>
          <w:tcPr>
            <w:tcW w:w="1844" w:type="dxa"/>
          </w:tcPr>
          <w:p>
            <w:pPr>
              <w:pStyle w:val="TableParagraph"/>
              <w:spacing w:line="276" w:lineRule="auto"/>
              <w:ind w:left="107"/>
              <w:rPr>
                <w:b/>
                <w:sz w:val="38"/>
              </w:rPr>
            </w:pPr>
            <w:r>
              <w:rPr>
                <w:b/>
                <w:w w:val="95"/>
                <w:sz w:val="38"/>
              </w:rPr>
              <w:t>Vegetable </w:t>
            </w:r>
            <w:r>
              <w:rPr>
                <w:b/>
                <w:sz w:val="38"/>
              </w:rPr>
              <w:t>products</w:t>
            </w:r>
          </w:p>
          <w:p>
            <w:pPr>
              <w:pStyle w:val="TableParagraph"/>
              <w:ind w:left="107"/>
              <w:rPr>
                <w:b/>
                <w:sz w:val="38"/>
              </w:rPr>
            </w:pPr>
            <w:r>
              <w:rPr>
                <w:b/>
                <w:sz w:val="38"/>
              </w:rPr>
              <w:t>mg/kg</w:t>
            </w:r>
          </w:p>
        </w:tc>
        <w:tc>
          <w:tcPr>
            <w:tcW w:w="1702" w:type="dxa"/>
          </w:tcPr>
          <w:p>
            <w:pPr>
              <w:pStyle w:val="TableParagraph"/>
              <w:spacing w:line="276" w:lineRule="auto"/>
              <w:ind w:left="107" w:right="111"/>
              <w:rPr>
                <w:b/>
                <w:sz w:val="38"/>
              </w:rPr>
            </w:pPr>
            <w:r>
              <w:rPr>
                <w:b/>
                <w:sz w:val="38"/>
              </w:rPr>
              <w:t>Dairy products</w:t>
            </w:r>
          </w:p>
          <w:p>
            <w:pPr>
              <w:pStyle w:val="TableParagraph"/>
              <w:ind w:left="107"/>
              <w:rPr>
                <w:b/>
                <w:sz w:val="38"/>
              </w:rPr>
            </w:pPr>
            <w:r>
              <w:rPr>
                <w:b/>
                <w:sz w:val="38"/>
              </w:rPr>
              <w:t>mg/kg</w:t>
            </w:r>
          </w:p>
        </w:tc>
        <w:tc>
          <w:tcPr>
            <w:tcW w:w="1447" w:type="dxa"/>
          </w:tcPr>
          <w:p>
            <w:pPr>
              <w:pStyle w:val="TableParagraph"/>
              <w:spacing w:line="276" w:lineRule="auto"/>
              <w:ind w:left="107"/>
              <w:rPr>
                <w:b/>
                <w:sz w:val="38"/>
              </w:rPr>
            </w:pPr>
            <w:r>
              <w:rPr>
                <w:b/>
                <w:sz w:val="38"/>
              </w:rPr>
              <w:t>Sea- </w:t>
            </w:r>
            <w:r>
              <w:rPr>
                <w:b/>
                <w:w w:val="95"/>
                <w:sz w:val="38"/>
              </w:rPr>
              <w:t>food</w:t>
            </w:r>
          </w:p>
          <w:p>
            <w:pPr>
              <w:pStyle w:val="TableParagraph"/>
              <w:ind w:left="107"/>
              <w:rPr>
                <w:b/>
                <w:sz w:val="38"/>
              </w:rPr>
            </w:pPr>
            <w:r>
              <w:rPr>
                <w:b/>
                <w:sz w:val="38"/>
              </w:rPr>
              <w:t>mg/kg</w:t>
            </w:r>
          </w:p>
        </w:tc>
      </w:tr>
      <w:tr>
        <w:trPr>
          <w:trHeight w:val="1674" w:hRule="atLeast"/>
        </w:trPr>
        <w:tc>
          <w:tcPr>
            <w:tcW w:w="1807" w:type="dxa"/>
          </w:tcPr>
          <w:p>
            <w:pPr>
              <w:pStyle w:val="TableParagraph"/>
              <w:spacing w:line="276" w:lineRule="auto"/>
              <w:ind w:left="107" w:right="383"/>
              <w:rPr>
                <w:sz w:val="38"/>
              </w:rPr>
            </w:pPr>
            <w:r>
              <w:rPr>
                <w:sz w:val="38"/>
              </w:rPr>
              <w:t>Meat ex- tract 36,860</w:t>
            </w:r>
          </w:p>
        </w:tc>
        <w:tc>
          <w:tcPr>
            <w:tcW w:w="1844" w:type="dxa"/>
          </w:tcPr>
          <w:p>
            <w:pPr>
              <w:pStyle w:val="TableParagraph"/>
              <w:spacing w:line="276" w:lineRule="auto"/>
              <w:ind w:left="107" w:right="104"/>
              <w:rPr>
                <w:sz w:val="38"/>
              </w:rPr>
            </w:pPr>
            <w:r>
              <w:rPr>
                <w:sz w:val="38"/>
              </w:rPr>
              <w:t>Porcini (dried) 388</w:t>
            </w:r>
          </w:p>
        </w:tc>
        <w:tc>
          <w:tcPr>
            <w:tcW w:w="1702" w:type="dxa"/>
          </w:tcPr>
          <w:p>
            <w:pPr>
              <w:pStyle w:val="TableParagraph"/>
              <w:spacing w:line="276" w:lineRule="auto"/>
              <w:ind w:left="107" w:right="610"/>
              <w:jc w:val="both"/>
              <w:rPr>
                <w:sz w:val="38"/>
              </w:rPr>
            </w:pPr>
            <w:r>
              <w:rPr>
                <w:w w:val="95"/>
                <w:sz w:val="38"/>
              </w:rPr>
              <w:t>Goat’s </w:t>
            </w:r>
            <w:r>
              <w:rPr>
                <w:sz w:val="38"/>
              </w:rPr>
              <w:t>cheese 127</w:t>
            </w:r>
          </w:p>
        </w:tc>
        <w:tc>
          <w:tcPr>
            <w:tcW w:w="1447" w:type="dxa"/>
          </w:tcPr>
          <w:p>
            <w:pPr>
              <w:pStyle w:val="TableParagraph"/>
              <w:spacing w:line="276" w:lineRule="auto"/>
              <w:ind w:left="107"/>
              <w:rPr>
                <w:sz w:val="38"/>
              </w:rPr>
            </w:pPr>
            <w:r>
              <w:rPr>
                <w:w w:val="95"/>
                <w:sz w:val="38"/>
              </w:rPr>
              <w:t>Lobster </w:t>
            </w:r>
            <w:r>
              <w:rPr>
                <w:sz w:val="38"/>
              </w:rPr>
              <w:t>(body) 270</w:t>
            </w:r>
          </w:p>
        </w:tc>
      </w:tr>
      <w:tr>
        <w:trPr>
          <w:trHeight w:val="1182" w:hRule="atLeast"/>
        </w:trPr>
        <w:tc>
          <w:tcPr>
            <w:tcW w:w="1807" w:type="dxa"/>
          </w:tcPr>
          <w:p>
            <w:pPr>
              <w:pStyle w:val="TableParagraph"/>
              <w:tabs>
                <w:tab w:pos="1284" w:val="left" w:leader="none"/>
              </w:tabs>
              <w:spacing w:line="278" w:lineRule="auto"/>
              <w:ind w:left="107" w:right="95"/>
              <w:rPr>
                <w:sz w:val="38"/>
              </w:rPr>
            </w:pPr>
            <w:r>
              <w:rPr>
                <w:sz w:val="38"/>
              </w:rPr>
              <w:t>Goat’s</w:t>
              <w:tab/>
              <w:t>leg 2.210</w:t>
            </w:r>
          </w:p>
        </w:tc>
        <w:tc>
          <w:tcPr>
            <w:tcW w:w="1844" w:type="dxa"/>
          </w:tcPr>
          <w:p>
            <w:pPr>
              <w:pStyle w:val="TableParagraph"/>
              <w:spacing w:line="278" w:lineRule="auto"/>
              <w:ind w:left="107" w:right="709"/>
              <w:rPr>
                <w:sz w:val="38"/>
              </w:rPr>
            </w:pPr>
            <w:r>
              <w:rPr>
                <w:sz w:val="38"/>
              </w:rPr>
              <w:t>Jumbo morels</w:t>
            </w:r>
          </w:p>
        </w:tc>
        <w:tc>
          <w:tcPr>
            <w:tcW w:w="1702" w:type="dxa"/>
          </w:tcPr>
          <w:p>
            <w:pPr>
              <w:pStyle w:val="TableParagraph"/>
              <w:spacing w:line="276" w:lineRule="auto"/>
              <w:ind w:left="107" w:right="535"/>
              <w:rPr>
                <w:sz w:val="38"/>
              </w:rPr>
            </w:pPr>
            <w:r>
              <w:rPr>
                <w:sz w:val="38"/>
              </w:rPr>
              <w:t>Con- densed</w:t>
            </w:r>
          </w:p>
        </w:tc>
        <w:tc>
          <w:tcPr>
            <w:tcW w:w="1447" w:type="dxa"/>
          </w:tcPr>
          <w:p>
            <w:pPr>
              <w:pStyle w:val="TableParagraph"/>
              <w:spacing w:line="276" w:lineRule="auto"/>
              <w:ind w:left="107" w:right="284"/>
              <w:rPr>
                <w:sz w:val="38"/>
              </w:rPr>
            </w:pPr>
            <w:r>
              <w:rPr>
                <w:sz w:val="38"/>
              </w:rPr>
              <w:t>Rock oysters</w:t>
            </w:r>
          </w:p>
        </w:tc>
      </w:tr>
    </w:tbl>
    <w:p>
      <w:pPr>
        <w:pStyle w:val="BodyText"/>
        <w:rPr>
          <w:sz w:val="20"/>
        </w:rPr>
      </w:pPr>
    </w:p>
    <w:p>
      <w:pPr>
        <w:pStyle w:val="BodyText"/>
        <w:spacing w:before="3"/>
        <w:rPr>
          <w:sz w:val="12"/>
        </w:rPr>
      </w:pPr>
      <w:r>
        <w:rPr/>
        <w:pict>
          <v:line style="position:absolute;mso-position-horizontal-relative:page;mso-position-vertical-relative:paragraph;z-index:6032;mso-wrap-distance-left:0;mso-wrap-distance-right:0" from="63.863998pt,9.270015pt" to="207.883998pt,9.270015pt" stroked="true" strokeweight=".71997pt" strokecolor="#000000">
            <v:stroke dashstyle="solid"/>
            <w10:wrap type="topAndBottom"/>
          </v:line>
        </w:pict>
      </w:r>
    </w:p>
    <w:p>
      <w:pPr>
        <w:pStyle w:val="BodyText"/>
        <w:spacing w:before="7"/>
        <w:rPr>
          <w:sz w:val="18"/>
        </w:rPr>
      </w:pPr>
    </w:p>
    <w:p>
      <w:pPr>
        <w:spacing w:before="100"/>
        <w:ind w:left="477" w:right="0" w:firstLine="0"/>
        <w:jc w:val="left"/>
        <w:rPr>
          <w:sz w:val="20"/>
        </w:rPr>
      </w:pPr>
      <w:r>
        <w:rPr>
          <w:position w:val="5"/>
          <w:sz w:val="13"/>
        </w:rPr>
        <w:t>471 </w:t>
      </w:r>
      <w:r>
        <w:rPr>
          <w:sz w:val="20"/>
        </w:rPr>
        <w:t>Source: Gustavsen HSM, Inaugural Doctoral Thesis – Physiological Institute of the Hannover University of Veterinary Medicine, 2000</w:t>
      </w:r>
    </w:p>
    <w:p>
      <w:pPr>
        <w:spacing w:after="0"/>
        <w:jc w:val="left"/>
        <w:rPr>
          <w:sz w:val="20"/>
        </w:rPr>
        <w:sectPr>
          <w:pgSz w:w="14270" w:h="16850"/>
          <w:pgMar w:header="0" w:footer="404" w:top="1600" w:bottom="2080" w:left="800" w:right="1280"/>
        </w:sectPr>
      </w:pPr>
    </w:p>
    <w:p>
      <w:pPr>
        <w:pStyle w:val="BodyText"/>
        <w:spacing w:before="1"/>
        <w:rPr>
          <w:rFonts w:ascii="Times New Roman"/>
          <w:sz w:val="16"/>
        </w:rPr>
      </w:pPr>
    </w:p>
    <w:tbl>
      <w:tblPr>
        <w:tblW w:w="0" w:type="auto"/>
        <w:jc w:val="left"/>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87"/>
        <w:gridCol w:w="1868"/>
        <w:gridCol w:w="1699"/>
        <w:gridCol w:w="1448"/>
      </w:tblGrid>
      <w:tr>
        <w:trPr>
          <w:trHeight w:val="693" w:hRule="atLeast"/>
        </w:trPr>
        <w:tc>
          <w:tcPr>
            <w:tcW w:w="1787" w:type="dxa"/>
          </w:tcPr>
          <w:p>
            <w:pPr>
              <w:pStyle w:val="TableParagraph"/>
              <w:rPr>
                <w:rFonts w:ascii="Times New Roman"/>
                <w:sz w:val="36"/>
              </w:rPr>
            </w:pPr>
          </w:p>
        </w:tc>
        <w:tc>
          <w:tcPr>
            <w:tcW w:w="1868" w:type="dxa"/>
          </w:tcPr>
          <w:p>
            <w:pPr>
              <w:pStyle w:val="TableParagraph"/>
              <w:spacing w:line="426" w:lineRule="exact"/>
              <w:ind w:left="127"/>
              <w:rPr>
                <w:sz w:val="38"/>
              </w:rPr>
            </w:pPr>
            <w:r>
              <w:rPr>
                <w:sz w:val="38"/>
              </w:rPr>
              <w:t>(dried) 208</w:t>
            </w:r>
          </w:p>
        </w:tc>
        <w:tc>
          <w:tcPr>
            <w:tcW w:w="1699" w:type="dxa"/>
          </w:tcPr>
          <w:p>
            <w:pPr>
              <w:pStyle w:val="TableParagraph"/>
              <w:spacing w:line="426" w:lineRule="exact"/>
              <w:ind w:left="103"/>
              <w:rPr>
                <w:sz w:val="38"/>
              </w:rPr>
            </w:pPr>
            <w:r>
              <w:rPr>
                <w:sz w:val="38"/>
              </w:rPr>
              <w:t>milk 97</w:t>
            </w:r>
          </w:p>
        </w:tc>
        <w:tc>
          <w:tcPr>
            <w:tcW w:w="1448" w:type="dxa"/>
          </w:tcPr>
          <w:p>
            <w:pPr>
              <w:pStyle w:val="TableParagraph"/>
              <w:spacing w:line="426" w:lineRule="exact"/>
              <w:ind w:left="106"/>
              <w:rPr>
                <w:sz w:val="38"/>
              </w:rPr>
            </w:pPr>
            <w:r>
              <w:rPr>
                <w:sz w:val="38"/>
              </w:rPr>
              <w:t>243</w:t>
            </w:r>
          </w:p>
        </w:tc>
      </w:tr>
      <w:tr>
        <w:trPr>
          <w:trHeight w:val="1874" w:hRule="atLeast"/>
        </w:trPr>
        <w:tc>
          <w:tcPr>
            <w:tcW w:w="1787" w:type="dxa"/>
          </w:tcPr>
          <w:p>
            <w:pPr>
              <w:pStyle w:val="TableParagraph"/>
              <w:tabs>
                <w:tab w:pos="1177" w:val="left" w:leader="none"/>
              </w:tabs>
              <w:spacing w:line="276" w:lineRule="auto"/>
              <w:ind w:left="107" w:right="74"/>
              <w:rPr>
                <w:sz w:val="38"/>
              </w:rPr>
            </w:pPr>
            <w:r>
              <w:rPr>
                <w:sz w:val="38"/>
              </w:rPr>
              <w:t>Deer</w:t>
              <w:tab/>
              <w:t>calf steak 1,930</w:t>
            </w:r>
          </w:p>
        </w:tc>
        <w:tc>
          <w:tcPr>
            <w:tcW w:w="1868" w:type="dxa"/>
          </w:tcPr>
          <w:p>
            <w:pPr>
              <w:pStyle w:val="TableParagraph"/>
              <w:spacing w:line="278" w:lineRule="auto"/>
              <w:ind w:left="127" w:right="539"/>
              <w:rPr>
                <w:sz w:val="38"/>
              </w:rPr>
            </w:pPr>
            <w:r>
              <w:rPr>
                <w:sz w:val="38"/>
              </w:rPr>
              <w:t>Chante- relles</w:t>
            </w:r>
          </w:p>
          <w:p>
            <w:pPr>
              <w:pStyle w:val="TableParagraph"/>
              <w:spacing w:before="190"/>
              <w:ind w:left="127"/>
              <w:rPr>
                <w:sz w:val="38"/>
              </w:rPr>
            </w:pPr>
            <w:r>
              <w:rPr>
                <w:sz w:val="38"/>
              </w:rPr>
              <w:t>(dried) 126</w:t>
            </w:r>
          </w:p>
        </w:tc>
        <w:tc>
          <w:tcPr>
            <w:tcW w:w="1699" w:type="dxa"/>
          </w:tcPr>
          <w:p>
            <w:pPr>
              <w:pStyle w:val="TableParagraph"/>
              <w:spacing w:line="278" w:lineRule="auto"/>
              <w:ind w:left="103" w:right="149"/>
              <w:rPr>
                <w:sz w:val="38"/>
              </w:rPr>
            </w:pPr>
            <w:r>
              <w:rPr>
                <w:sz w:val="38"/>
              </w:rPr>
              <w:t>Sheep’s cheese 65</w:t>
            </w:r>
          </w:p>
        </w:tc>
        <w:tc>
          <w:tcPr>
            <w:tcW w:w="1448" w:type="dxa"/>
          </w:tcPr>
          <w:p>
            <w:pPr>
              <w:pStyle w:val="TableParagraph"/>
              <w:spacing w:line="278" w:lineRule="auto"/>
              <w:ind w:left="106"/>
              <w:rPr>
                <w:sz w:val="38"/>
              </w:rPr>
            </w:pPr>
            <w:r>
              <w:rPr>
                <w:w w:val="95"/>
                <w:sz w:val="38"/>
              </w:rPr>
              <w:t>Lobster </w:t>
            </w:r>
            <w:r>
              <w:rPr>
                <w:sz w:val="38"/>
              </w:rPr>
              <w:t>tail 154</w:t>
            </w:r>
          </w:p>
        </w:tc>
      </w:tr>
      <w:tr>
        <w:trPr>
          <w:trHeight w:val="1874" w:hRule="atLeast"/>
        </w:trPr>
        <w:tc>
          <w:tcPr>
            <w:tcW w:w="1787" w:type="dxa"/>
          </w:tcPr>
          <w:p>
            <w:pPr>
              <w:pStyle w:val="TableParagraph"/>
              <w:tabs>
                <w:tab w:pos="1283" w:val="left" w:leader="none"/>
              </w:tabs>
              <w:spacing w:line="278" w:lineRule="auto"/>
              <w:ind w:left="107" w:right="77"/>
              <w:rPr>
                <w:sz w:val="38"/>
              </w:rPr>
            </w:pPr>
            <w:r>
              <w:rPr>
                <w:sz w:val="38"/>
              </w:rPr>
              <w:t>Lamb</w:t>
              <w:tab/>
              <w:t>leg</w:t>
            </w:r>
            <w:r>
              <w:rPr>
                <w:w w:val="99"/>
                <w:sz w:val="38"/>
              </w:rPr>
              <w:t> </w:t>
            </w:r>
            <w:r>
              <w:rPr>
                <w:sz w:val="38"/>
              </w:rPr>
              <w:t>1,900</w:t>
            </w:r>
          </w:p>
        </w:tc>
        <w:tc>
          <w:tcPr>
            <w:tcW w:w="1868" w:type="dxa"/>
          </w:tcPr>
          <w:p>
            <w:pPr>
              <w:pStyle w:val="TableParagraph"/>
              <w:spacing w:line="278" w:lineRule="auto"/>
              <w:ind w:left="127"/>
              <w:rPr>
                <w:sz w:val="38"/>
              </w:rPr>
            </w:pPr>
            <w:r>
              <w:rPr>
                <w:sz w:val="38"/>
              </w:rPr>
              <w:t>Oyster </w:t>
            </w:r>
            <w:r>
              <w:rPr>
                <w:w w:val="95"/>
                <w:sz w:val="38"/>
              </w:rPr>
              <w:t>mushroom</w:t>
            </w:r>
          </w:p>
          <w:p>
            <w:pPr>
              <w:pStyle w:val="TableParagraph"/>
              <w:spacing w:before="190"/>
              <w:ind w:left="127"/>
              <w:rPr>
                <w:sz w:val="38"/>
              </w:rPr>
            </w:pPr>
            <w:r>
              <w:rPr>
                <w:sz w:val="38"/>
              </w:rPr>
              <w:t>fresh 70</w:t>
            </w:r>
          </w:p>
        </w:tc>
        <w:tc>
          <w:tcPr>
            <w:tcW w:w="1699" w:type="dxa"/>
          </w:tcPr>
          <w:p>
            <w:pPr>
              <w:pStyle w:val="TableParagraph"/>
              <w:spacing w:line="278" w:lineRule="auto"/>
              <w:ind w:left="103" w:right="149"/>
              <w:rPr>
                <w:sz w:val="38"/>
              </w:rPr>
            </w:pPr>
            <w:r>
              <w:rPr>
                <w:sz w:val="38"/>
              </w:rPr>
              <w:t>Cottage cheese 53</w:t>
            </w:r>
          </w:p>
        </w:tc>
        <w:tc>
          <w:tcPr>
            <w:tcW w:w="1448" w:type="dxa"/>
          </w:tcPr>
          <w:p>
            <w:pPr>
              <w:pStyle w:val="TableParagraph"/>
              <w:spacing w:line="276" w:lineRule="auto"/>
              <w:ind w:left="106"/>
              <w:rPr>
                <w:sz w:val="38"/>
              </w:rPr>
            </w:pPr>
            <w:r>
              <w:rPr>
                <w:w w:val="95"/>
                <w:sz w:val="38"/>
              </w:rPr>
              <w:t>Lobster </w:t>
            </w:r>
            <w:r>
              <w:rPr>
                <w:sz w:val="38"/>
              </w:rPr>
              <w:t>(claws) 142</w:t>
            </w:r>
          </w:p>
        </w:tc>
      </w:tr>
      <w:tr>
        <w:trPr>
          <w:trHeight w:val="1674" w:hRule="atLeast"/>
        </w:trPr>
        <w:tc>
          <w:tcPr>
            <w:tcW w:w="1787" w:type="dxa"/>
          </w:tcPr>
          <w:p>
            <w:pPr>
              <w:pStyle w:val="TableParagraph"/>
              <w:spacing w:line="276" w:lineRule="auto"/>
              <w:ind w:left="107" w:right="181"/>
              <w:rPr>
                <w:sz w:val="38"/>
              </w:rPr>
            </w:pPr>
            <w:r>
              <w:rPr>
                <w:sz w:val="38"/>
              </w:rPr>
              <w:t>Kangaroo steak 1,660</w:t>
            </w:r>
          </w:p>
        </w:tc>
        <w:tc>
          <w:tcPr>
            <w:tcW w:w="1868" w:type="dxa"/>
          </w:tcPr>
          <w:p>
            <w:pPr>
              <w:pStyle w:val="TableParagraph"/>
              <w:spacing w:line="278" w:lineRule="auto"/>
              <w:ind w:left="87" w:right="338"/>
              <w:rPr>
                <w:sz w:val="38"/>
              </w:rPr>
            </w:pPr>
            <w:r>
              <w:rPr>
                <w:sz w:val="38"/>
              </w:rPr>
              <w:t>Porcini (fresh) 28</w:t>
            </w:r>
          </w:p>
        </w:tc>
        <w:tc>
          <w:tcPr>
            <w:tcW w:w="1699" w:type="dxa"/>
          </w:tcPr>
          <w:p>
            <w:pPr>
              <w:pStyle w:val="TableParagraph"/>
              <w:spacing w:line="426" w:lineRule="exact"/>
              <w:ind w:left="110"/>
              <w:rPr>
                <w:sz w:val="38"/>
              </w:rPr>
            </w:pPr>
            <w:r>
              <w:rPr>
                <w:sz w:val="38"/>
              </w:rPr>
              <w:t>Yogurt 41</w:t>
            </w:r>
          </w:p>
        </w:tc>
        <w:tc>
          <w:tcPr>
            <w:tcW w:w="1448" w:type="dxa"/>
          </w:tcPr>
          <w:p>
            <w:pPr>
              <w:pStyle w:val="TableParagraph"/>
              <w:spacing w:line="276" w:lineRule="auto"/>
              <w:ind w:left="106" w:right="207"/>
              <w:rPr>
                <w:sz w:val="38"/>
              </w:rPr>
            </w:pPr>
            <w:r>
              <w:rPr>
                <w:sz w:val="38"/>
              </w:rPr>
              <w:t>Salmon</w:t>
            </w:r>
            <w:r>
              <w:rPr>
                <w:w w:val="99"/>
                <w:sz w:val="38"/>
              </w:rPr>
              <w:t> </w:t>
            </w:r>
            <w:r>
              <w:rPr>
                <w:sz w:val="38"/>
              </w:rPr>
              <w:t>fillet 132</w:t>
            </w:r>
          </w:p>
        </w:tc>
      </w:tr>
      <w:tr>
        <w:trPr>
          <w:trHeight w:val="1675" w:hRule="atLeast"/>
        </w:trPr>
        <w:tc>
          <w:tcPr>
            <w:tcW w:w="1787" w:type="dxa"/>
          </w:tcPr>
          <w:p>
            <w:pPr>
              <w:pStyle w:val="TableParagraph"/>
              <w:spacing w:line="278" w:lineRule="auto"/>
              <w:ind w:left="107" w:right="343"/>
              <w:rPr>
                <w:sz w:val="38"/>
              </w:rPr>
            </w:pPr>
            <w:r>
              <w:rPr>
                <w:sz w:val="38"/>
              </w:rPr>
              <w:t>Venison leg 1,640</w:t>
            </w:r>
          </w:p>
        </w:tc>
        <w:tc>
          <w:tcPr>
            <w:tcW w:w="1868" w:type="dxa"/>
          </w:tcPr>
          <w:p>
            <w:pPr>
              <w:pStyle w:val="TableParagraph"/>
              <w:spacing w:line="276" w:lineRule="auto"/>
              <w:ind w:left="87" w:right="338"/>
              <w:rPr>
                <w:sz w:val="38"/>
              </w:rPr>
            </w:pPr>
            <w:r>
              <w:rPr>
                <w:sz w:val="38"/>
              </w:rPr>
              <w:t>Mush- rooms (fresh) 26</w:t>
            </w:r>
          </w:p>
        </w:tc>
        <w:tc>
          <w:tcPr>
            <w:tcW w:w="1699" w:type="dxa"/>
          </w:tcPr>
          <w:p>
            <w:pPr>
              <w:pStyle w:val="TableParagraph"/>
              <w:spacing w:line="426" w:lineRule="exact"/>
              <w:ind w:left="110"/>
              <w:rPr>
                <w:sz w:val="38"/>
              </w:rPr>
            </w:pPr>
            <w:r>
              <w:rPr>
                <w:sz w:val="38"/>
              </w:rPr>
              <w:t>Milk 40</w:t>
            </w:r>
          </w:p>
        </w:tc>
        <w:tc>
          <w:tcPr>
            <w:tcW w:w="1448" w:type="dxa"/>
          </w:tcPr>
          <w:p>
            <w:pPr>
              <w:pStyle w:val="TableParagraph"/>
              <w:spacing w:line="278" w:lineRule="auto"/>
              <w:ind w:left="106" w:right="160"/>
              <w:rPr>
                <w:sz w:val="38"/>
              </w:rPr>
            </w:pPr>
            <w:r>
              <w:rPr>
                <w:sz w:val="38"/>
              </w:rPr>
              <w:t>Herring (fried)</w:t>
            </w:r>
          </w:p>
        </w:tc>
      </w:tr>
      <w:tr>
        <w:trPr>
          <w:trHeight w:val="1674" w:hRule="atLeast"/>
        </w:trPr>
        <w:tc>
          <w:tcPr>
            <w:tcW w:w="1787" w:type="dxa"/>
          </w:tcPr>
          <w:p>
            <w:pPr>
              <w:pStyle w:val="TableParagraph"/>
              <w:tabs>
                <w:tab w:pos="1242" w:val="left" w:leader="none"/>
              </w:tabs>
              <w:spacing w:line="278" w:lineRule="auto"/>
              <w:ind w:left="107" w:right="117"/>
              <w:rPr>
                <w:sz w:val="38"/>
              </w:rPr>
            </w:pPr>
            <w:r>
              <w:rPr>
                <w:sz w:val="38"/>
              </w:rPr>
              <w:t>Lamb</w:t>
              <w:tab/>
              <w:t>fil- let</w:t>
            </w:r>
            <w:r>
              <w:rPr>
                <w:spacing w:val="-2"/>
                <w:sz w:val="38"/>
              </w:rPr>
              <w:t> </w:t>
            </w:r>
            <w:r>
              <w:rPr>
                <w:sz w:val="38"/>
              </w:rPr>
              <w:t>1,610</w:t>
            </w:r>
          </w:p>
        </w:tc>
        <w:tc>
          <w:tcPr>
            <w:tcW w:w="1868" w:type="dxa"/>
          </w:tcPr>
          <w:p>
            <w:pPr>
              <w:pStyle w:val="TableParagraph"/>
              <w:spacing w:line="276" w:lineRule="auto"/>
              <w:ind w:left="87"/>
              <w:rPr>
                <w:sz w:val="38"/>
              </w:rPr>
            </w:pPr>
            <w:r>
              <w:rPr>
                <w:sz w:val="38"/>
              </w:rPr>
              <w:t>Chante- relles fresh 13</w:t>
            </w:r>
          </w:p>
        </w:tc>
        <w:tc>
          <w:tcPr>
            <w:tcW w:w="1699" w:type="dxa"/>
          </w:tcPr>
          <w:p>
            <w:pPr>
              <w:pStyle w:val="TableParagraph"/>
              <w:spacing w:line="426" w:lineRule="exact"/>
              <w:ind w:left="110"/>
              <w:rPr>
                <w:sz w:val="38"/>
              </w:rPr>
            </w:pPr>
            <w:r>
              <w:rPr>
                <w:sz w:val="38"/>
              </w:rPr>
              <w:t>Cream 38</w:t>
            </w:r>
          </w:p>
        </w:tc>
        <w:tc>
          <w:tcPr>
            <w:tcW w:w="1448" w:type="dxa"/>
          </w:tcPr>
          <w:p>
            <w:pPr>
              <w:pStyle w:val="TableParagraph"/>
              <w:spacing w:line="276" w:lineRule="auto"/>
              <w:ind w:left="106"/>
              <w:rPr>
                <w:sz w:val="38"/>
              </w:rPr>
            </w:pPr>
            <w:r>
              <w:rPr>
                <w:sz w:val="38"/>
              </w:rPr>
              <w:t>King </w:t>
            </w:r>
            <w:r>
              <w:rPr>
                <w:w w:val="95"/>
                <w:sz w:val="38"/>
              </w:rPr>
              <w:t>prawns </w:t>
            </w:r>
            <w:r>
              <w:rPr>
                <w:sz w:val="38"/>
              </w:rPr>
              <w:t>74</w:t>
            </w:r>
          </w:p>
        </w:tc>
      </w:tr>
      <w:tr>
        <w:trPr>
          <w:trHeight w:val="1677" w:hRule="atLeast"/>
        </w:trPr>
        <w:tc>
          <w:tcPr>
            <w:tcW w:w="1787" w:type="dxa"/>
          </w:tcPr>
          <w:p>
            <w:pPr>
              <w:pStyle w:val="TableParagraph"/>
              <w:spacing w:line="276" w:lineRule="auto"/>
              <w:ind w:left="107" w:right="672"/>
              <w:rPr>
                <w:sz w:val="38"/>
              </w:rPr>
            </w:pPr>
            <w:r>
              <w:rPr>
                <w:sz w:val="38"/>
              </w:rPr>
              <w:t>Roast moose 1,600</w:t>
            </w:r>
          </w:p>
        </w:tc>
        <w:tc>
          <w:tcPr>
            <w:tcW w:w="1868" w:type="dxa"/>
          </w:tcPr>
          <w:p>
            <w:pPr>
              <w:pStyle w:val="TableParagraph"/>
              <w:spacing w:before="1"/>
              <w:ind w:left="87"/>
              <w:rPr>
                <w:sz w:val="38"/>
              </w:rPr>
            </w:pPr>
            <w:r>
              <w:rPr>
                <w:sz w:val="38"/>
              </w:rPr>
              <w:t>Pasta 7.0</w:t>
            </w:r>
          </w:p>
        </w:tc>
        <w:tc>
          <w:tcPr>
            <w:tcW w:w="1699" w:type="dxa"/>
          </w:tcPr>
          <w:p>
            <w:pPr>
              <w:pStyle w:val="TableParagraph"/>
              <w:spacing w:line="276" w:lineRule="auto"/>
              <w:ind w:left="110" w:right="209"/>
              <w:rPr>
                <w:sz w:val="38"/>
              </w:rPr>
            </w:pPr>
            <w:r>
              <w:rPr>
                <w:sz w:val="38"/>
              </w:rPr>
              <w:t>Sheep cheese/b eef 36</w:t>
            </w:r>
          </w:p>
        </w:tc>
        <w:tc>
          <w:tcPr>
            <w:tcW w:w="1448" w:type="dxa"/>
          </w:tcPr>
          <w:p>
            <w:pPr>
              <w:pStyle w:val="TableParagraph"/>
              <w:spacing w:line="276" w:lineRule="auto"/>
              <w:ind w:left="106" w:right="239"/>
              <w:rPr>
                <w:sz w:val="38"/>
              </w:rPr>
            </w:pPr>
            <w:r>
              <w:rPr>
                <w:sz w:val="38"/>
              </w:rPr>
              <w:t>Eel (smoke</w:t>
            </w:r>
          </w:p>
          <w:p>
            <w:pPr>
              <w:pStyle w:val="TableParagraph"/>
              <w:ind w:left="106"/>
              <w:rPr>
                <w:sz w:val="38"/>
              </w:rPr>
            </w:pPr>
            <w:r>
              <w:rPr>
                <w:sz w:val="38"/>
              </w:rPr>
              <w:t>d) 65</w:t>
            </w:r>
          </w:p>
        </w:tc>
      </w:tr>
    </w:tbl>
    <w:p>
      <w:pPr>
        <w:spacing w:after="0"/>
        <w:rPr>
          <w:sz w:val="38"/>
        </w:rPr>
        <w:sectPr>
          <w:pgSz w:w="14270" w:h="16850"/>
          <w:pgMar w:header="0" w:footer="404" w:top="1600" w:bottom="600" w:left="800" w:right="1280"/>
        </w:sectPr>
      </w:pPr>
    </w:p>
    <w:p>
      <w:pPr>
        <w:pStyle w:val="BodyText"/>
        <w:spacing w:before="1"/>
        <w:rPr>
          <w:rFonts w:ascii="Times New Roman"/>
          <w:sz w:val="16"/>
        </w:rPr>
      </w:pPr>
    </w:p>
    <w:tbl>
      <w:tblPr>
        <w:tblW w:w="0" w:type="auto"/>
        <w:jc w:val="left"/>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6"/>
        <w:gridCol w:w="1891"/>
        <w:gridCol w:w="1694"/>
        <w:gridCol w:w="1446"/>
      </w:tblGrid>
      <w:tr>
        <w:trPr>
          <w:trHeight w:val="1182" w:hRule="atLeast"/>
        </w:trPr>
        <w:tc>
          <w:tcPr>
            <w:tcW w:w="1766" w:type="dxa"/>
          </w:tcPr>
          <w:p>
            <w:pPr>
              <w:pStyle w:val="TableParagraph"/>
              <w:spacing w:line="278" w:lineRule="auto"/>
              <w:ind w:left="107" w:right="406"/>
              <w:rPr>
                <w:sz w:val="38"/>
              </w:rPr>
            </w:pPr>
            <w:r>
              <w:rPr>
                <w:sz w:val="38"/>
              </w:rPr>
              <w:t>Venison 1,500</w:t>
            </w:r>
          </w:p>
        </w:tc>
        <w:tc>
          <w:tcPr>
            <w:tcW w:w="1891" w:type="dxa"/>
          </w:tcPr>
          <w:p>
            <w:pPr>
              <w:pStyle w:val="TableParagraph"/>
              <w:spacing w:line="278" w:lineRule="auto"/>
              <w:ind w:left="108" w:right="395"/>
              <w:rPr>
                <w:sz w:val="38"/>
              </w:rPr>
            </w:pPr>
            <w:r>
              <w:rPr>
                <w:w w:val="95"/>
                <w:sz w:val="38"/>
              </w:rPr>
              <w:t>Almonds </w:t>
            </w:r>
            <w:r>
              <w:rPr>
                <w:sz w:val="38"/>
              </w:rPr>
              <w:t>6.7</w:t>
            </w:r>
          </w:p>
        </w:tc>
        <w:tc>
          <w:tcPr>
            <w:tcW w:w="1694" w:type="dxa"/>
          </w:tcPr>
          <w:p>
            <w:pPr>
              <w:pStyle w:val="TableParagraph"/>
              <w:spacing w:line="278" w:lineRule="auto"/>
              <w:ind w:left="108"/>
              <w:rPr>
                <w:sz w:val="38"/>
              </w:rPr>
            </w:pPr>
            <w:r>
              <w:rPr>
                <w:sz w:val="38"/>
              </w:rPr>
              <w:t>Rice pud- ding 35</w:t>
            </w:r>
          </w:p>
        </w:tc>
        <w:tc>
          <w:tcPr>
            <w:tcW w:w="1446" w:type="dxa"/>
          </w:tcPr>
          <w:p>
            <w:pPr>
              <w:pStyle w:val="TableParagraph"/>
              <w:spacing w:line="278" w:lineRule="auto"/>
              <w:ind w:left="109" w:right="448"/>
              <w:rPr>
                <w:sz w:val="38"/>
              </w:rPr>
            </w:pPr>
            <w:r>
              <w:rPr>
                <w:sz w:val="38"/>
              </w:rPr>
              <w:t>Plaice 63</w:t>
            </w:r>
          </w:p>
        </w:tc>
      </w:tr>
      <w:tr>
        <w:trPr>
          <w:trHeight w:val="1185" w:hRule="atLeast"/>
        </w:trPr>
        <w:tc>
          <w:tcPr>
            <w:tcW w:w="1766" w:type="dxa"/>
          </w:tcPr>
          <w:p>
            <w:pPr>
              <w:pStyle w:val="TableParagraph"/>
              <w:spacing w:line="276" w:lineRule="auto"/>
              <w:ind w:left="107" w:right="42"/>
              <w:rPr>
                <w:sz w:val="38"/>
              </w:rPr>
            </w:pPr>
            <w:r>
              <w:rPr>
                <w:sz w:val="38"/>
              </w:rPr>
              <w:t>Roast beef 1,430</w:t>
            </w:r>
          </w:p>
        </w:tc>
        <w:tc>
          <w:tcPr>
            <w:tcW w:w="1891" w:type="dxa"/>
          </w:tcPr>
          <w:p>
            <w:pPr>
              <w:pStyle w:val="TableParagraph"/>
              <w:spacing w:before="1"/>
              <w:ind w:left="108"/>
              <w:rPr>
                <w:sz w:val="38"/>
              </w:rPr>
            </w:pPr>
            <w:r>
              <w:rPr>
                <w:sz w:val="38"/>
              </w:rPr>
              <w:t>Peanuts 5.8</w:t>
            </w:r>
          </w:p>
        </w:tc>
        <w:tc>
          <w:tcPr>
            <w:tcW w:w="1694" w:type="dxa"/>
          </w:tcPr>
          <w:p>
            <w:pPr>
              <w:pStyle w:val="TableParagraph"/>
              <w:spacing w:line="276" w:lineRule="auto"/>
              <w:ind w:left="108" w:right="459"/>
              <w:rPr>
                <w:sz w:val="38"/>
              </w:rPr>
            </w:pPr>
            <w:r>
              <w:rPr>
                <w:sz w:val="38"/>
              </w:rPr>
              <w:t>Butter- milk 34</w:t>
            </w:r>
          </w:p>
        </w:tc>
        <w:tc>
          <w:tcPr>
            <w:tcW w:w="1446" w:type="dxa"/>
          </w:tcPr>
          <w:p>
            <w:pPr>
              <w:pStyle w:val="TableParagraph"/>
              <w:spacing w:line="276" w:lineRule="auto"/>
              <w:ind w:left="109" w:right="107"/>
              <w:rPr>
                <w:sz w:val="38"/>
              </w:rPr>
            </w:pPr>
            <w:r>
              <w:rPr>
                <w:sz w:val="38"/>
              </w:rPr>
              <w:t>Dogfish</w:t>
            </w:r>
            <w:r>
              <w:rPr>
                <w:w w:val="99"/>
                <w:sz w:val="38"/>
              </w:rPr>
              <w:t> </w:t>
            </w:r>
            <w:r>
              <w:rPr>
                <w:sz w:val="38"/>
              </w:rPr>
              <w:t>56</w:t>
            </w:r>
          </w:p>
        </w:tc>
      </w:tr>
      <w:tr>
        <w:trPr>
          <w:trHeight w:val="1183" w:hRule="atLeast"/>
        </w:trPr>
        <w:tc>
          <w:tcPr>
            <w:tcW w:w="1766" w:type="dxa"/>
          </w:tcPr>
          <w:p>
            <w:pPr>
              <w:pStyle w:val="TableParagraph"/>
              <w:spacing w:line="278" w:lineRule="auto"/>
              <w:ind w:left="107" w:right="42"/>
              <w:rPr>
                <w:sz w:val="38"/>
              </w:rPr>
            </w:pPr>
            <w:r>
              <w:rPr>
                <w:sz w:val="38"/>
              </w:rPr>
              <w:t>Beef steak 1,350</w:t>
            </w:r>
          </w:p>
        </w:tc>
        <w:tc>
          <w:tcPr>
            <w:tcW w:w="1891" w:type="dxa"/>
          </w:tcPr>
          <w:p>
            <w:pPr>
              <w:pStyle w:val="TableParagraph"/>
              <w:spacing w:line="426" w:lineRule="exact"/>
              <w:ind w:left="108"/>
              <w:rPr>
                <w:sz w:val="38"/>
              </w:rPr>
            </w:pPr>
            <w:r>
              <w:rPr>
                <w:sz w:val="38"/>
              </w:rPr>
              <w:t>Fennel 5.3</w:t>
            </w:r>
          </w:p>
        </w:tc>
        <w:tc>
          <w:tcPr>
            <w:tcW w:w="1694" w:type="dxa"/>
          </w:tcPr>
          <w:p>
            <w:pPr>
              <w:pStyle w:val="TableParagraph"/>
              <w:spacing w:line="426" w:lineRule="exact"/>
              <w:ind w:left="108"/>
              <w:rPr>
                <w:sz w:val="38"/>
              </w:rPr>
            </w:pPr>
            <w:r>
              <w:rPr>
                <w:sz w:val="38"/>
              </w:rPr>
              <w:t>Quark 30</w:t>
            </w:r>
          </w:p>
        </w:tc>
        <w:tc>
          <w:tcPr>
            <w:tcW w:w="1446" w:type="dxa"/>
          </w:tcPr>
          <w:p>
            <w:pPr>
              <w:pStyle w:val="TableParagraph"/>
              <w:tabs>
                <w:tab w:pos="924" w:val="left" w:leader="none"/>
              </w:tabs>
              <w:spacing w:line="278" w:lineRule="auto"/>
              <w:ind w:left="109" w:right="94"/>
              <w:rPr>
                <w:sz w:val="38"/>
              </w:rPr>
            </w:pPr>
            <w:r>
              <w:rPr>
                <w:sz w:val="38"/>
              </w:rPr>
              <w:t>Egli</w:t>
              <w:tab/>
              <w:t>fil- lets</w:t>
            </w:r>
            <w:r>
              <w:rPr>
                <w:spacing w:val="-1"/>
                <w:sz w:val="38"/>
              </w:rPr>
              <w:t> </w:t>
            </w:r>
            <w:r>
              <w:rPr>
                <w:sz w:val="38"/>
              </w:rPr>
              <w:t>55</w:t>
            </w:r>
          </w:p>
        </w:tc>
      </w:tr>
      <w:tr>
        <w:trPr>
          <w:trHeight w:val="1674" w:hRule="atLeast"/>
        </w:trPr>
        <w:tc>
          <w:tcPr>
            <w:tcW w:w="1766" w:type="dxa"/>
          </w:tcPr>
          <w:p>
            <w:pPr>
              <w:pStyle w:val="TableParagraph"/>
              <w:spacing w:line="278" w:lineRule="auto"/>
              <w:ind w:left="107" w:right="406"/>
              <w:rPr>
                <w:sz w:val="38"/>
              </w:rPr>
            </w:pPr>
            <w:r>
              <w:rPr>
                <w:sz w:val="38"/>
              </w:rPr>
              <w:t>Ostrich 1,280</w:t>
            </w:r>
          </w:p>
        </w:tc>
        <w:tc>
          <w:tcPr>
            <w:tcW w:w="1891" w:type="dxa"/>
          </w:tcPr>
          <w:p>
            <w:pPr>
              <w:pStyle w:val="TableParagraph"/>
              <w:spacing w:line="278" w:lineRule="auto"/>
              <w:ind w:left="108" w:right="514"/>
              <w:rPr>
                <w:sz w:val="38"/>
              </w:rPr>
            </w:pPr>
            <w:r>
              <w:rPr>
                <w:sz w:val="38"/>
              </w:rPr>
              <w:t>Broccoli 4.8</w:t>
            </w:r>
          </w:p>
        </w:tc>
        <w:tc>
          <w:tcPr>
            <w:tcW w:w="1694" w:type="dxa"/>
          </w:tcPr>
          <w:p>
            <w:pPr>
              <w:pStyle w:val="TableParagraph"/>
              <w:spacing w:line="426" w:lineRule="exact"/>
              <w:ind w:left="108"/>
              <w:rPr>
                <w:sz w:val="38"/>
              </w:rPr>
            </w:pPr>
            <w:r>
              <w:rPr>
                <w:sz w:val="38"/>
              </w:rPr>
              <w:t>Brie 27</w:t>
            </w:r>
          </w:p>
        </w:tc>
        <w:tc>
          <w:tcPr>
            <w:tcW w:w="1446" w:type="dxa"/>
          </w:tcPr>
          <w:p>
            <w:pPr>
              <w:pStyle w:val="TableParagraph"/>
              <w:spacing w:line="276" w:lineRule="auto"/>
              <w:ind w:left="109" w:right="380"/>
              <w:rPr>
                <w:sz w:val="38"/>
              </w:rPr>
            </w:pPr>
            <w:r>
              <w:rPr>
                <w:sz w:val="38"/>
              </w:rPr>
              <w:t>Sea bream 50</w:t>
            </w:r>
          </w:p>
        </w:tc>
      </w:tr>
      <w:tr>
        <w:trPr>
          <w:trHeight w:val="1182" w:hRule="atLeast"/>
        </w:trPr>
        <w:tc>
          <w:tcPr>
            <w:tcW w:w="1766" w:type="dxa"/>
          </w:tcPr>
          <w:p>
            <w:pPr>
              <w:pStyle w:val="TableParagraph"/>
              <w:tabs>
                <w:tab w:pos="990" w:val="left" w:leader="none"/>
              </w:tabs>
              <w:spacing w:line="278" w:lineRule="auto"/>
              <w:ind w:left="107" w:right="94"/>
              <w:rPr>
                <w:sz w:val="38"/>
              </w:rPr>
            </w:pPr>
            <w:r>
              <w:rPr>
                <w:sz w:val="38"/>
              </w:rPr>
              <w:t>Beef</w:t>
              <w:tab/>
              <w:t>gou- lash</w:t>
            </w:r>
            <w:r>
              <w:rPr>
                <w:spacing w:val="-1"/>
                <w:sz w:val="38"/>
              </w:rPr>
              <w:t> </w:t>
            </w:r>
            <w:r>
              <w:rPr>
                <w:sz w:val="38"/>
              </w:rPr>
              <w:t>1,270</w:t>
            </w:r>
          </w:p>
        </w:tc>
        <w:tc>
          <w:tcPr>
            <w:tcW w:w="1891" w:type="dxa"/>
          </w:tcPr>
          <w:p>
            <w:pPr>
              <w:pStyle w:val="TableParagraph"/>
              <w:spacing w:line="278" w:lineRule="auto"/>
              <w:ind w:left="108" w:right="395"/>
              <w:rPr>
                <w:sz w:val="38"/>
              </w:rPr>
            </w:pPr>
            <w:r>
              <w:rPr>
                <w:sz w:val="38"/>
              </w:rPr>
              <w:t>Wheat bread 4.1</w:t>
            </w:r>
          </w:p>
        </w:tc>
        <w:tc>
          <w:tcPr>
            <w:tcW w:w="1694" w:type="dxa"/>
          </w:tcPr>
          <w:p>
            <w:pPr>
              <w:pStyle w:val="TableParagraph"/>
              <w:spacing w:line="278" w:lineRule="auto"/>
              <w:ind w:left="108" w:right="380"/>
              <w:rPr>
                <w:sz w:val="38"/>
              </w:rPr>
            </w:pPr>
            <w:r>
              <w:rPr>
                <w:sz w:val="38"/>
              </w:rPr>
              <w:t>Tzatziki 27</w:t>
            </w:r>
          </w:p>
        </w:tc>
        <w:tc>
          <w:tcPr>
            <w:tcW w:w="1446" w:type="dxa"/>
          </w:tcPr>
          <w:p>
            <w:pPr>
              <w:pStyle w:val="TableParagraph"/>
              <w:spacing w:line="426" w:lineRule="exact"/>
              <w:ind w:left="109"/>
              <w:rPr>
                <w:sz w:val="38"/>
              </w:rPr>
            </w:pPr>
            <w:r>
              <w:rPr>
                <w:sz w:val="38"/>
              </w:rPr>
              <w:t>Pike 40</w:t>
            </w:r>
          </w:p>
        </w:tc>
      </w:tr>
      <w:tr>
        <w:trPr>
          <w:trHeight w:val="1675" w:hRule="atLeast"/>
        </w:trPr>
        <w:tc>
          <w:tcPr>
            <w:tcW w:w="1766" w:type="dxa"/>
          </w:tcPr>
          <w:p>
            <w:pPr>
              <w:pStyle w:val="TableParagraph"/>
              <w:spacing w:line="276" w:lineRule="auto"/>
              <w:ind w:left="107" w:right="319"/>
              <w:rPr>
                <w:sz w:val="38"/>
              </w:rPr>
            </w:pPr>
            <w:r>
              <w:rPr>
                <w:sz w:val="38"/>
              </w:rPr>
              <w:t>Reindeer Steak 1,210</w:t>
            </w:r>
          </w:p>
        </w:tc>
        <w:tc>
          <w:tcPr>
            <w:tcW w:w="1891" w:type="dxa"/>
          </w:tcPr>
          <w:p>
            <w:pPr>
              <w:pStyle w:val="TableParagraph"/>
              <w:spacing w:line="278" w:lineRule="auto"/>
              <w:ind w:left="108" w:right="395"/>
              <w:rPr>
                <w:sz w:val="38"/>
              </w:rPr>
            </w:pPr>
            <w:r>
              <w:rPr>
                <w:sz w:val="38"/>
              </w:rPr>
              <w:t>Avocado 4.0</w:t>
            </w:r>
          </w:p>
        </w:tc>
        <w:tc>
          <w:tcPr>
            <w:tcW w:w="1694" w:type="dxa"/>
          </w:tcPr>
          <w:p>
            <w:pPr>
              <w:pStyle w:val="TableParagraph"/>
              <w:spacing w:line="278" w:lineRule="auto"/>
              <w:ind w:left="108" w:right="103"/>
              <w:rPr>
                <w:sz w:val="38"/>
              </w:rPr>
            </w:pPr>
            <w:r>
              <w:rPr>
                <w:sz w:val="38"/>
              </w:rPr>
              <w:t>Crème fraiche 26</w:t>
            </w:r>
          </w:p>
        </w:tc>
        <w:tc>
          <w:tcPr>
            <w:tcW w:w="1446" w:type="dxa"/>
          </w:tcPr>
          <w:p>
            <w:pPr>
              <w:pStyle w:val="TableParagraph"/>
              <w:spacing w:line="426" w:lineRule="exact"/>
              <w:ind w:left="109"/>
              <w:rPr>
                <w:sz w:val="38"/>
              </w:rPr>
            </w:pPr>
            <w:r>
              <w:rPr>
                <w:sz w:val="38"/>
              </w:rPr>
              <w:t>Sole 38</w:t>
            </w:r>
          </w:p>
        </w:tc>
      </w:tr>
      <w:tr>
        <w:trPr>
          <w:trHeight w:val="1674" w:hRule="atLeast"/>
        </w:trPr>
        <w:tc>
          <w:tcPr>
            <w:tcW w:w="1766" w:type="dxa"/>
          </w:tcPr>
          <w:p>
            <w:pPr>
              <w:pStyle w:val="TableParagraph"/>
              <w:tabs>
                <w:tab w:pos="1341" w:val="left" w:leader="none"/>
              </w:tabs>
              <w:spacing w:line="278" w:lineRule="auto"/>
              <w:ind w:left="107" w:right="96"/>
              <w:rPr>
                <w:sz w:val="38"/>
              </w:rPr>
            </w:pPr>
            <w:r>
              <w:rPr>
                <w:sz w:val="38"/>
              </w:rPr>
              <w:t>Leg</w:t>
              <w:tab/>
              <w:t>of hare</w:t>
            </w:r>
            <w:r>
              <w:rPr>
                <w:spacing w:val="-2"/>
                <w:sz w:val="38"/>
              </w:rPr>
              <w:t> </w:t>
            </w:r>
            <w:r>
              <w:rPr>
                <w:sz w:val="38"/>
              </w:rPr>
              <w:t>1,200</w:t>
            </w:r>
          </w:p>
        </w:tc>
        <w:tc>
          <w:tcPr>
            <w:tcW w:w="1891" w:type="dxa"/>
          </w:tcPr>
          <w:p>
            <w:pPr>
              <w:pStyle w:val="TableParagraph"/>
              <w:spacing w:line="426" w:lineRule="exact"/>
              <w:ind w:left="108"/>
              <w:rPr>
                <w:sz w:val="38"/>
              </w:rPr>
            </w:pPr>
            <w:r>
              <w:rPr>
                <w:sz w:val="38"/>
              </w:rPr>
              <w:t>Carrots 4.0</w:t>
            </w:r>
          </w:p>
        </w:tc>
        <w:tc>
          <w:tcPr>
            <w:tcW w:w="1694" w:type="dxa"/>
          </w:tcPr>
          <w:p>
            <w:pPr>
              <w:pStyle w:val="TableParagraph"/>
              <w:spacing w:line="426" w:lineRule="exact"/>
              <w:ind w:left="108"/>
              <w:rPr>
                <w:sz w:val="38"/>
              </w:rPr>
            </w:pPr>
            <w:r>
              <w:rPr>
                <w:sz w:val="38"/>
              </w:rPr>
              <w:t>Whey 22</w:t>
            </w:r>
          </w:p>
        </w:tc>
        <w:tc>
          <w:tcPr>
            <w:tcW w:w="1446" w:type="dxa"/>
          </w:tcPr>
          <w:p>
            <w:pPr>
              <w:pStyle w:val="TableParagraph"/>
              <w:spacing w:line="276" w:lineRule="auto"/>
              <w:ind w:left="109" w:right="155"/>
              <w:rPr>
                <w:sz w:val="38"/>
              </w:rPr>
            </w:pPr>
            <w:r>
              <w:rPr>
                <w:sz w:val="38"/>
              </w:rPr>
              <w:t>Herring (fillet) 37</w:t>
            </w:r>
          </w:p>
        </w:tc>
      </w:tr>
      <w:tr>
        <w:trPr>
          <w:trHeight w:val="1183" w:hRule="atLeast"/>
        </w:trPr>
        <w:tc>
          <w:tcPr>
            <w:tcW w:w="1766" w:type="dxa"/>
          </w:tcPr>
          <w:p>
            <w:pPr>
              <w:pStyle w:val="TableParagraph"/>
              <w:tabs>
                <w:tab w:pos="1242" w:val="left" w:leader="none"/>
              </w:tabs>
              <w:spacing w:line="278" w:lineRule="auto"/>
              <w:ind w:left="107" w:right="96"/>
              <w:rPr>
                <w:sz w:val="38"/>
              </w:rPr>
            </w:pPr>
            <w:r>
              <w:rPr>
                <w:sz w:val="38"/>
              </w:rPr>
              <w:t>Beef</w:t>
              <w:tab/>
              <w:t>leg 1,180</w:t>
            </w:r>
          </w:p>
        </w:tc>
        <w:tc>
          <w:tcPr>
            <w:tcW w:w="1891" w:type="dxa"/>
          </w:tcPr>
          <w:p>
            <w:pPr>
              <w:pStyle w:val="TableParagraph"/>
              <w:spacing w:line="278" w:lineRule="auto"/>
              <w:ind w:left="108" w:right="276"/>
              <w:rPr>
                <w:sz w:val="38"/>
              </w:rPr>
            </w:pPr>
            <w:r>
              <w:rPr>
                <w:sz w:val="38"/>
              </w:rPr>
              <w:t>Cauli- flower 3.6</w:t>
            </w:r>
          </w:p>
        </w:tc>
        <w:tc>
          <w:tcPr>
            <w:tcW w:w="1694" w:type="dxa"/>
          </w:tcPr>
          <w:p>
            <w:pPr>
              <w:pStyle w:val="TableParagraph"/>
              <w:spacing w:line="278" w:lineRule="auto"/>
              <w:ind w:left="108" w:right="459"/>
              <w:rPr>
                <w:sz w:val="38"/>
              </w:rPr>
            </w:pPr>
            <w:r>
              <w:rPr>
                <w:w w:val="95"/>
                <w:sz w:val="38"/>
              </w:rPr>
              <w:t>Gouda, </w:t>
            </w:r>
            <w:r>
              <w:rPr>
                <w:sz w:val="38"/>
              </w:rPr>
              <w:t>old 20</w:t>
            </w:r>
          </w:p>
        </w:tc>
        <w:tc>
          <w:tcPr>
            <w:tcW w:w="1446" w:type="dxa"/>
          </w:tcPr>
          <w:p>
            <w:pPr>
              <w:pStyle w:val="TableParagraph"/>
              <w:spacing w:line="278" w:lineRule="auto"/>
              <w:ind w:left="109" w:right="107"/>
              <w:rPr>
                <w:sz w:val="38"/>
              </w:rPr>
            </w:pPr>
            <w:r>
              <w:rPr>
                <w:w w:val="95"/>
                <w:sz w:val="38"/>
              </w:rPr>
              <w:t>Caviar </w:t>
            </w:r>
            <w:r>
              <w:rPr>
                <w:sz w:val="38"/>
              </w:rPr>
              <w:t>37</w:t>
            </w:r>
          </w:p>
        </w:tc>
      </w:tr>
    </w:tbl>
    <w:p>
      <w:pPr>
        <w:spacing w:after="0" w:line="278" w:lineRule="auto"/>
        <w:rPr>
          <w:sz w:val="38"/>
        </w:rPr>
        <w:sectPr>
          <w:pgSz w:w="14270" w:h="16850"/>
          <w:pgMar w:header="0" w:footer="404" w:top="1600" w:bottom="600" w:left="800" w:right="1280"/>
        </w:sectPr>
      </w:pPr>
    </w:p>
    <w:p>
      <w:pPr>
        <w:pStyle w:val="BodyText"/>
        <w:spacing w:before="1"/>
        <w:rPr>
          <w:rFonts w:ascii="Times New Roman"/>
          <w:sz w:val="16"/>
        </w:rPr>
      </w:pPr>
    </w:p>
    <w:tbl>
      <w:tblPr>
        <w:tblW w:w="0" w:type="auto"/>
        <w:jc w:val="left"/>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6"/>
        <w:gridCol w:w="1891"/>
        <w:gridCol w:w="1694"/>
        <w:gridCol w:w="1446"/>
      </w:tblGrid>
      <w:tr>
        <w:trPr>
          <w:trHeight w:val="1674" w:hRule="atLeast"/>
        </w:trPr>
        <w:tc>
          <w:tcPr>
            <w:tcW w:w="1766" w:type="dxa"/>
          </w:tcPr>
          <w:p>
            <w:pPr>
              <w:pStyle w:val="TableParagraph"/>
              <w:spacing w:line="276" w:lineRule="auto"/>
              <w:ind w:left="107" w:right="722"/>
              <w:rPr>
                <w:sz w:val="38"/>
              </w:rPr>
            </w:pPr>
            <w:r>
              <w:rPr>
                <w:sz w:val="38"/>
              </w:rPr>
              <w:t>Horse meat 1.170</w:t>
            </w:r>
          </w:p>
        </w:tc>
        <w:tc>
          <w:tcPr>
            <w:tcW w:w="1891" w:type="dxa"/>
          </w:tcPr>
          <w:p>
            <w:pPr>
              <w:pStyle w:val="TableParagraph"/>
              <w:spacing w:line="278" w:lineRule="auto"/>
              <w:ind w:left="108"/>
              <w:rPr>
                <w:sz w:val="38"/>
              </w:rPr>
            </w:pPr>
            <w:r>
              <w:rPr>
                <w:sz w:val="38"/>
              </w:rPr>
              <w:t>Wheat rolls 3.5</w:t>
            </w:r>
          </w:p>
        </w:tc>
        <w:tc>
          <w:tcPr>
            <w:tcW w:w="1694" w:type="dxa"/>
          </w:tcPr>
          <w:p>
            <w:pPr>
              <w:pStyle w:val="TableParagraph"/>
              <w:spacing w:line="278" w:lineRule="auto"/>
              <w:ind w:left="108" w:right="297"/>
              <w:rPr>
                <w:sz w:val="38"/>
              </w:rPr>
            </w:pPr>
            <w:r>
              <w:rPr>
                <w:sz w:val="38"/>
              </w:rPr>
              <w:t>Camem- bert 18</w:t>
            </w:r>
          </w:p>
        </w:tc>
        <w:tc>
          <w:tcPr>
            <w:tcW w:w="1446" w:type="dxa"/>
          </w:tcPr>
          <w:p>
            <w:pPr>
              <w:pStyle w:val="TableParagraph"/>
              <w:spacing w:line="276" w:lineRule="auto"/>
              <w:ind w:left="109" w:right="246"/>
              <w:rPr>
                <w:sz w:val="38"/>
              </w:rPr>
            </w:pPr>
            <w:r>
              <w:rPr>
                <w:sz w:val="38"/>
              </w:rPr>
              <w:t>Wild salmon 37</w:t>
            </w:r>
          </w:p>
        </w:tc>
      </w:tr>
      <w:tr>
        <w:trPr>
          <w:trHeight w:val="1675" w:hRule="atLeast"/>
        </w:trPr>
        <w:tc>
          <w:tcPr>
            <w:tcW w:w="1766" w:type="dxa"/>
          </w:tcPr>
          <w:p>
            <w:pPr>
              <w:pStyle w:val="TableParagraph"/>
              <w:tabs>
                <w:tab w:pos="1340" w:val="left" w:leader="none"/>
              </w:tabs>
              <w:spacing w:line="276" w:lineRule="auto"/>
              <w:ind w:left="107" w:right="97"/>
              <w:rPr>
                <w:sz w:val="38"/>
              </w:rPr>
            </w:pPr>
            <w:r>
              <w:rPr>
                <w:sz w:val="38"/>
              </w:rPr>
              <w:t>Saddle</w:t>
              <w:tab/>
              <w:t>of venison 1,160</w:t>
            </w:r>
          </w:p>
        </w:tc>
        <w:tc>
          <w:tcPr>
            <w:tcW w:w="1891" w:type="dxa"/>
          </w:tcPr>
          <w:p>
            <w:pPr>
              <w:pStyle w:val="TableParagraph"/>
              <w:spacing w:line="426" w:lineRule="exact"/>
              <w:ind w:left="108"/>
              <w:rPr>
                <w:sz w:val="38"/>
              </w:rPr>
            </w:pPr>
            <w:r>
              <w:rPr>
                <w:sz w:val="38"/>
              </w:rPr>
              <w:t>Papaya 3.5</w:t>
            </w:r>
          </w:p>
        </w:tc>
        <w:tc>
          <w:tcPr>
            <w:tcW w:w="1694" w:type="dxa"/>
          </w:tcPr>
          <w:p>
            <w:pPr>
              <w:pStyle w:val="TableParagraph"/>
              <w:spacing w:line="278" w:lineRule="auto"/>
              <w:ind w:left="108" w:right="447"/>
              <w:rPr>
                <w:sz w:val="38"/>
              </w:rPr>
            </w:pPr>
            <w:r>
              <w:rPr>
                <w:sz w:val="38"/>
              </w:rPr>
              <w:t>Mozza- rella 18</w:t>
            </w:r>
          </w:p>
        </w:tc>
        <w:tc>
          <w:tcPr>
            <w:tcW w:w="1446" w:type="dxa"/>
          </w:tcPr>
          <w:p>
            <w:pPr>
              <w:pStyle w:val="TableParagraph"/>
              <w:spacing w:line="426" w:lineRule="exact"/>
              <w:ind w:left="109"/>
              <w:rPr>
                <w:sz w:val="38"/>
              </w:rPr>
            </w:pPr>
            <w:r>
              <w:rPr>
                <w:sz w:val="38"/>
              </w:rPr>
              <w:t>Tuna 34</w:t>
            </w:r>
          </w:p>
        </w:tc>
      </w:tr>
      <w:tr>
        <w:trPr>
          <w:trHeight w:val="1674" w:hRule="atLeast"/>
        </w:trPr>
        <w:tc>
          <w:tcPr>
            <w:tcW w:w="1766" w:type="dxa"/>
          </w:tcPr>
          <w:p>
            <w:pPr>
              <w:pStyle w:val="TableParagraph"/>
              <w:spacing w:line="276" w:lineRule="auto"/>
              <w:ind w:left="107" w:right="406"/>
              <w:rPr>
                <w:sz w:val="38"/>
              </w:rPr>
            </w:pPr>
            <w:r>
              <w:rPr>
                <w:w w:val="95"/>
                <w:sz w:val="38"/>
              </w:rPr>
              <w:t>Goat's </w:t>
            </w:r>
            <w:r>
              <w:rPr>
                <w:sz w:val="38"/>
              </w:rPr>
              <w:t>back 1,120</w:t>
            </w:r>
          </w:p>
        </w:tc>
        <w:tc>
          <w:tcPr>
            <w:tcW w:w="1891" w:type="dxa"/>
          </w:tcPr>
          <w:p>
            <w:pPr>
              <w:pStyle w:val="TableParagraph"/>
              <w:spacing w:line="278" w:lineRule="auto"/>
              <w:ind w:left="108" w:right="395"/>
              <w:rPr>
                <w:sz w:val="38"/>
              </w:rPr>
            </w:pPr>
            <w:r>
              <w:rPr>
                <w:w w:val="95"/>
                <w:sz w:val="38"/>
              </w:rPr>
              <w:t>Zucchini </w:t>
            </w:r>
            <w:r>
              <w:rPr>
                <w:sz w:val="38"/>
              </w:rPr>
              <w:t>3.4</w:t>
            </w:r>
          </w:p>
        </w:tc>
        <w:tc>
          <w:tcPr>
            <w:tcW w:w="1694" w:type="dxa"/>
          </w:tcPr>
          <w:p>
            <w:pPr>
              <w:pStyle w:val="TableParagraph"/>
              <w:spacing w:line="278" w:lineRule="auto"/>
              <w:ind w:left="108" w:right="139"/>
              <w:rPr>
                <w:sz w:val="38"/>
              </w:rPr>
            </w:pPr>
            <w:r>
              <w:rPr>
                <w:sz w:val="38"/>
              </w:rPr>
              <w:t>Harz cheese 17</w:t>
            </w:r>
          </w:p>
        </w:tc>
        <w:tc>
          <w:tcPr>
            <w:tcW w:w="1446" w:type="dxa"/>
          </w:tcPr>
          <w:p>
            <w:pPr>
              <w:pStyle w:val="TableParagraph"/>
              <w:spacing w:line="278" w:lineRule="auto"/>
              <w:ind w:left="109" w:right="135"/>
              <w:rPr>
                <w:sz w:val="38"/>
              </w:rPr>
            </w:pPr>
            <w:r>
              <w:rPr>
                <w:sz w:val="38"/>
              </w:rPr>
              <w:t>Had- dock 33</w:t>
            </w:r>
          </w:p>
        </w:tc>
      </w:tr>
      <w:tr>
        <w:trPr>
          <w:trHeight w:val="1674" w:hRule="atLeast"/>
        </w:trPr>
        <w:tc>
          <w:tcPr>
            <w:tcW w:w="1766" w:type="dxa"/>
          </w:tcPr>
          <w:p>
            <w:pPr>
              <w:pStyle w:val="TableParagraph"/>
              <w:spacing w:line="276" w:lineRule="auto"/>
              <w:ind w:left="107" w:right="338"/>
              <w:rPr>
                <w:sz w:val="38"/>
              </w:rPr>
            </w:pPr>
            <w:r>
              <w:rPr>
                <w:sz w:val="38"/>
              </w:rPr>
              <w:t>Veal schnitzel 1,050</w:t>
            </w:r>
          </w:p>
        </w:tc>
        <w:tc>
          <w:tcPr>
            <w:tcW w:w="1891" w:type="dxa"/>
          </w:tcPr>
          <w:p>
            <w:pPr>
              <w:pStyle w:val="TableParagraph"/>
              <w:spacing w:line="278" w:lineRule="auto"/>
              <w:ind w:left="108"/>
              <w:rPr>
                <w:sz w:val="38"/>
              </w:rPr>
            </w:pPr>
            <w:r>
              <w:rPr>
                <w:w w:val="95"/>
                <w:sz w:val="38"/>
              </w:rPr>
              <w:t>Aubergine </w:t>
            </w:r>
            <w:r>
              <w:rPr>
                <w:sz w:val="38"/>
              </w:rPr>
              <w:t>3.0</w:t>
            </w:r>
          </w:p>
        </w:tc>
        <w:tc>
          <w:tcPr>
            <w:tcW w:w="1694" w:type="dxa"/>
          </w:tcPr>
          <w:p>
            <w:pPr>
              <w:pStyle w:val="TableParagraph"/>
              <w:spacing w:line="278" w:lineRule="auto"/>
              <w:ind w:left="108" w:right="139"/>
              <w:rPr>
                <w:sz w:val="38"/>
              </w:rPr>
            </w:pPr>
            <w:r>
              <w:rPr>
                <w:sz w:val="38"/>
              </w:rPr>
              <w:t>Cream cheese 16</w:t>
            </w:r>
          </w:p>
        </w:tc>
        <w:tc>
          <w:tcPr>
            <w:tcW w:w="1446" w:type="dxa"/>
          </w:tcPr>
          <w:p>
            <w:pPr>
              <w:pStyle w:val="TableParagraph"/>
              <w:spacing w:line="278" w:lineRule="auto"/>
              <w:ind w:left="109" w:right="107"/>
              <w:rPr>
                <w:sz w:val="38"/>
              </w:rPr>
            </w:pPr>
            <w:r>
              <w:rPr>
                <w:sz w:val="38"/>
              </w:rPr>
              <w:t>Macke- rel 32</w:t>
            </w:r>
          </w:p>
        </w:tc>
      </w:tr>
      <w:tr>
        <w:trPr>
          <w:trHeight w:val="1675" w:hRule="atLeast"/>
        </w:trPr>
        <w:tc>
          <w:tcPr>
            <w:tcW w:w="1766" w:type="dxa"/>
          </w:tcPr>
          <w:p>
            <w:pPr>
              <w:pStyle w:val="TableParagraph"/>
              <w:spacing w:line="276" w:lineRule="auto"/>
              <w:ind w:left="107" w:right="833"/>
              <w:rPr>
                <w:sz w:val="38"/>
              </w:rPr>
            </w:pPr>
            <w:r>
              <w:rPr>
                <w:w w:val="95"/>
                <w:sz w:val="38"/>
              </w:rPr>
              <w:t>Calf's </w:t>
            </w:r>
            <w:r>
              <w:rPr>
                <w:sz w:val="38"/>
              </w:rPr>
              <w:t>back 1,020</w:t>
            </w:r>
          </w:p>
        </w:tc>
        <w:tc>
          <w:tcPr>
            <w:tcW w:w="1891" w:type="dxa"/>
          </w:tcPr>
          <w:p>
            <w:pPr>
              <w:pStyle w:val="TableParagraph"/>
              <w:spacing w:line="278" w:lineRule="auto"/>
              <w:ind w:left="108"/>
              <w:rPr>
                <w:sz w:val="38"/>
              </w:rPr>
            </w:pPr>
            <w:r>
              <w:rPr>
                <w:sz w:val="38"/>
              </w:rPr>
              <w:t>Brazil nuts 3.0</w:t>
            </w:r>
          </w:p>
        </w:tc>
        <w:tc>
          <w:tcPr>
            <w:tcW w:w="1694" w:type="dxa"/>
          </w:tcPr>
          <w:p>
            <w:pPr>
              <w:pStyle w:val="TableParagraph"/>
              <w:spacing w:line="427" w:lineRule="exact"/>
              <w:ind w:left="108"/>
              <w:rPr>
                <w:sz w:val="38"/>
              </w:rPr>
            </w:pPr>
            <w:r>
              <w:rPr>
                <w:sz w:val="38"/>
              </w:rPr>
              <w:t>Edam 15</w:t>
            </w:r>
          </w:p>
        </w:tc>
        <w:tc>
          <w:tcPr>
            <w:tcW w:w="1446" w:type="dxa"/>
          </w:tcPr>
          <w:p>
            <w:pPr>
              <w:pStyle w:val="TableParagraph"/>
              <w:spacing w:line="278" w:lineRule="auto"/>
              <w:ind w:left="109" w:right="202"/>
              <w:rPr>
                <w:sz w:val="38"/>
              </w:rPr>
            </w:pPr>
            <w:r>
              <w:rPr>
                <w:sz w:val="38"/>
              </w:rPr>
              <w:t>Salmon</w:t>
            </w:r>
            <w:r>
              <w:rPr>
                <w:w w:val="99"/>
                <w:sz w:val="38"/>
              </w:rPr>
              <w:t> </w:t>
            </w:r>
            <w:r>
              <w:rPr>
                <w:sz w:val="38"/>
              </w:rPr>
              <w:t>31</w:t>
            </w:r>
          </w:p>
        </w:tc>
      </w:tr>
      <w:tr>
        <w:trPr>
          <w:trHeight w:val="1185" w:hRule="atLeast"/>
        </w:trPr>
        <w:tc>
          <w:tcPr>
            <w:tcW w:w="1766" w:type="dxa"/>
          </w:tcPr>
          <w:p>
            <w:pPr>
              <w:pStyle w:val="TableParagraph"/>
              <w:spacing w:line="278" w:lineRule="auto"/>
              <w:ind w:left="107" w:right="406"/>
              <w:rPr>
                <w:sz w:val="38"/>
              </w:rPr>
            </w:pPr>
            <w:r>
              <w:rPr>
                <w:w w:val="95"/>
                <w:sz w:val="38"/>
              </w:rPr>
              <w:t>Rabbit </w:t>
            </w:r>
            <w:r>
              <w:rPr>
                <w:sz w:val="38"/>
              </w:rPr>
              <w:t>860</w:t>
            </w:r>
          </w:p>
        </w:tc>
        <w:tc>
          <w:tcPr>
            <w:tcW w:w="1891" w:type="dxa"/>
          </w:tcPr>
          <w:p>
            <w:pPr>
              <w:pStyle w:val="TableParagraph"/>
              <w:spacing w:line="426" w:lineRule="exact"/>
              <w:ind w:left="108"/>
              <w:rPr>
                <w:sz w:val="38"/>
              </w:rPr>
            </w:pPr>
            <w:r>
              <w:rPr>
                <w:sz w:val="38"/>
              </w:rPr>
              <w:t>Rice 3.0</w:t>
            </w:r>
          </w:p>
        </w:tc>
        <w:tc>
          <w:tcPr>
            <w:tcW w:w="1694" w:type="dxa"/>
          </w:tcPr>
          <w:p>
            <w:pPr>
              <w:pStyle w:val="TableParagraph"/>
              <w:spacing w:line="278" w:lineRule="auto"/>
              <w:ind w:left="108" w:right="202"/>
              <w:rPr>
                <w:sz w:val="38"/>
              </w:rPr>
            </w:pPr>
            <w:r>
              <w:rPr>
                <w:sz w:val="38"/>
              </w:rPr>
              <w:t>Gouda, young 14</w:t>
            </w:r>
          </w:p>
        </w:tc>
        <w:tc>
          <w:tcPr>
            <w:tcW w:w="1446" w:type="dxa"/>
          </w:tcPr>
          <w:p>
            <w:pPr>
              <w:pStyle w:val="TableParagraph"/>
              <w:spacing w:line="278" w:lineRule="auto"/>
              <w:ind w:left="109" w:right="471"/>
              <w:rPr>
                <w:sz w:val="38"/>
              </w:rPr>
            </w:pPr>
            <w:r>
              <w:rPr>
                <w:sz w:val="38"/>
              </w:rPr>
              <w:t>Shark 30</w:t>
            </w:r>
          </w:p>
        </w:tc>
      </w:tr>
      <w:tr>
        <w:trPr>
          <w:trHeight w:val="1675" w:hRule="atLeast"/>
        </w:trPr>
        <w:tc>
          <w:tcPr>
            <w:tcW w:w="1766" w:type="dxa"/>
          </w:tcPr>
          <w:p>
            <w:pPr>
              <w:pStyle w:val="TableParagraph"/>
              <w:spacing w:line="278" w:lineRule="auto"/>
              <w:ind w:left="107" w:right="366"/>
              <w:rPr>
                <w:sz w:val="38"/>
              </w:rPr>
            </w:pPr>
            <w:r>
              <w:rPr>
                <w:sz w:val="38"/>
              </w:rPr>
              <w:t>Ground beef 470</w:t>
            </w:r>
          </w:p>
        </w:tc>
        <w:tc>
          <w:tcPr>
            <w:tcW w:w="1891" w:type="dxa"/>
          </w:tcPr>
          <w:p>
            <w:pPr>
              <w:pStyle w:val="TableParagraph"/>
              <w:spacing w:line="278" w:lineRule="auto"/>
              <w:ind w:left="108" w:right="522"/>
              <w:rPr>
                <w:sz w:val="38"/>
              </w:rPr>
            </w:pPr>
            <w:r>
              <w:rPr>
                <w:sz w:val="38"/>
              </w:rPr>
              <w:t>Cherries 2.6</w:t>
            </w:r>
          </w:p>
        </w:tc>
        <w:tc>
          <w:tcPr>
            <w:tcW w:w="1694" w:type="dxa"/>
          </w:tcPr>
          <w:p>
            <w:pPr>
              <w:pStyle w:val="TableParagraph"/>
              <w:spacing w:line="426" w:lineRule="exact"/>
              <w:ind w:left="108"/>
              <w:rPr>
                <w:sz w:val="38"/>
              </w:rPr>
            </w:pPr>
            <w:r>
              <w:rPr>
                <w:sz w:val="38"/>
              </w:rPr>
              <w:t>Butter 11</w:t>
            </w:r>
          </w:p>
        </w:tc>
        <w:tc>
          <w:tcPr>
            <w:tcW w:w="1446" w:type="dxa"/>
          </w:tcPr>
          <w:p>
            <w:pPr>
              <w:pStyle w:val="TableParagraph"/>
              <w:spacing w:line="276" w:lineRule="auto"/>
              <w:ind w:left="109" w:right="325"/>
              <w:rPr>
                <w:sz w:val="38"/>
              </w:rPr>
            </w:pPr>
            <w:r>
              <w:rPr>
                <w:sz w:val="38"/>
              </w:rPr>
              <w:t>Crab (cock- tail) 30</w:t>
            </w:r>
          </w:p>
        </w:tc>
      </w:tr>
    </w:tbl>
    <w:p>
      <w:pPr>
        <w:spacing w:after="0" w:line="276" w:lineRule="auto"/>
        <w:rPr>
          <w:sz w:val="38"/>
        </w:rPr>
        <w:sectPr>
          <w:pgSz w:w="14270" w:h="16850"/>
          <w:pgMar w:header="0" w:footer="404" w:top="1600" w:bottom="600" w:left="800" w:right="1280"/>
        </w:sectPr>
      </w:pPr>
    </w:p>
    <w:p>
      <w:pPr>
        <w:pStyle w:val="BodyText"/>
        <w:spacing w:before="1"/>
        <w:rPr>
          <w:rFonts w:ascii="Times New Roman"/>
          <w:sz w:val="16"/>
        </w:rPr>
      </w:pPr>
    </w:p>
    <w:tbl>
      <w:tblPr>
        <w:tblW w:w="0" w:type="auto"/>
        <w:jc w:val="left"/>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6"/>
        <w:gridCol w:w="1891"/>
        <w:gridCol w:w="1694"/>
        <w:gridCol w:w="1446"/>
      </w:tblGrid>
      <w:tr>
        <w:trPr>
          <w:trHeight w:val="1182" w:hRule="atLeast"/>
        </w:trPr>
        <w:tc>
          <w:tcPr>
            <w:tcW w:w="1766" w:type="dxa"/>
          </w:tcPr>
          <w:p>
            <w:pPr>
              <w:pStyle w:val="TableParagraph"/>
              <w:spacing w:line="278" w:lineRule="auto"/>
              <w:ind w:left="107" w:right="42"/>
              <w:rPr>
                <w:sz w:val="38"/>
              </w:rPr>
            </w:pPr>
            <w:r>
              <w:rPr>
                <w:sz w:val="38"/>
              </w:rPr>
              <w:t>Wild boar back 420</w:t>
            </w:r>
          </w:p>
        </w:tc>
        <w:tc>
          <w:tcPr>
            <w:tcW w:w="1891" w:type="dxa"/>
          </w:tcPr>
          <w:p>
            <w:pPr>
              <w:pStyle w:val="TableParagraph"/>
              <w:spacing w:line="278" w:lineRule="auto"/>
              <w:ind w:left="108"/>
              <w:rPr>
                <w:sz w:val="38"/>
              </w:rPr>
            </w:pPr>
            <w:r>
              <w:rPr>
                <w:sz w:val="38"/>
              </w:rPr>
              <w:t>Hazelnuts 2.5</w:t>
            </w:r>
          </w:p>
        </w:tc>
        <w:tc>
          <w:tcPr>
            <w:tcW w:w="1694" w:type="dxa"/>
          </w:tcPr>
          <w:p>
            <w:pPr>
              <w:pStyle w:val="TableParagraph"/>
              <w:spacing w:line="426" w:lineRule="exact"/>
              <w:ind w:left="108"/>
              <w:rPr>
                <w:sz w:val="38"/>
              </w:rPr>
            </w:pPr>
            <w:r>
              <w:rPr>
                <w:sz w:val="38"/>
              </w:rPr>
              <w:t>Yeast 11</w:t>
            </w:r>
          </w:p>
        </w:tc>
        <w:tc>
          <w:tcPr>
            <w:tcW w:w="1446" w:type="dxa"/>
          </w:tcPr>
          <w:p>
            <w:pPr>
              <w:pStyle w:val="TableParagraph"/>
              <w:spacing w:line="278" w:lineRule="auto"/>
              <w:ind w:left="109" w:right="107"/>
              <w:rPr>
                <w:sz w:val="38"/>
              </w:rPr>
            </w:pPr>
            <w:r>
              <w:rPr>
                <w:w w:val="95"/>
                <w:sz w:val="38"/>
              </w:rPr>
              <w:t>Mussels </w:t>
            </w:r>
            <w:r>
              <w:rPr>
                <w:sz w:val="38"/>
              </w:rPr>
              <w:t>28</w:t>
            </w:r>
          </w:p>
        </w:tc>
      </w:tr>
      <w:tr>
        <w:trPr>
          <w:trHeight w:val="1185" w:hRule="atLeast"/>
        </w:trPr>
        <w:tc>
          <w:tcPr>
            <w:tcW w:w="1766" w:type="dxa"/>
          </w:tcPr>
          <w:p>
            <w:pPr>
              <w:pStyle w:val="TableParagraph"/>
              <w:spacing w:line="276" w:lineRule="auto"/>
              <w:ind w:left="107" w:right="42"/>
              <w:rPr>
                <w:sz w:val="38"/>
              </w:rPr>
            </w:pPr>
            <w:r>
              <w:rPr>
                <w:sz w:val="38"/>
              </w:rPr>
              <w:t>Fried sau- sage 386</w:t>
            </w:r>
          </w:p>
        </w:tc>
        <w:tc>
          <w:tcPr>
            <w:tcW w:w="1891" w:type="dxa"/>
          </w:tcPr>
          <w:p>
            <w:pPr>
              <w:pStyle w:val="TableParagraph"/>
              <w:spacing w:line="276" w:lineRule="auto"/>
              <w:ind w:left="108" w:right="395"/>
              <w:rPr>
                <w:sz w:val="38"/>
              </w:rPr>
            </w:pPr>
            <w:r>
              <w:rPr>
                <w:sz w:val="38"/>
              </w:rPr>
              <w:t>Walnuts 2.5</w:t>
            </w:r>
          </w:p>
        </w:tc>
        <w:tc>
          <w:tcPr>
            <w:tcW w:w="1694" w:type="dxa"/>
          </w:tcPr>
          <w:p>
            <w:pPr>
              <w:pStyle w:val="TableParagraph"/>
              <w:spacing w:line="276" w:lineRule="auto"/>
              <w:ind w:left="108" w:right="139"/>
              <w:rPr>
                <w:sz w:val="38"/>
              </w:rPr>
            </w:pPr>
            <w:r>
              <w:rPr>
                <w:sz w:val="38"/>
              </w:rPr>
              <w:t>Cooked cheese 11</w:t>
            </w:r>
          </w:p>
        </w:tc>
        <w:tc>
          <w:tcPr>
            <w:tcW w:w="1446" w:type="dxa"/>
          </w:tcPr>
          <w:p>
            <w:pPr>
              <w:pStyle w:val="TableParagraph"/>
              <w:spacing w:line="276" w:lineRule="auto"/>
              <w:ind w:left="109" w:right="455"/>
              <w:rPr>
                <w:sz w:val="38"/>
              </w:rPr>
            </w:pPr>
            <w:r>
              <w:rPr>
                <w:sz w:val="38"/>
              </w:rPr>
              <w:t>Trout 28</w:t>
            </w:r>
          </w:p>
        </w:tc>
      </w:tr>
      <w:tr>
        <w:trPr>
          <w:trHeight w:val="1183" w:hRule="atLeast"/>
        </w:trPr>
        <w:tc>
          <w:tcPr>
            <w:tcW w:w="1766" w:type="dxa"/>
          </w:tcPr>
          <w:p>
            <w:pPr>
              <w:pStyle w:val="TableParagraph"/>
              <w:spacing w:line="278" w:lineRule="auto"/>
              <w:ind w:left="107" w:right="366"/>
              <w:rPr>
                <w:sz w:val="38"/>
              </w:rPr>
            </w:pPr>
            <w:r>
              <w:rPr>
                <w:sz w:val="38"/>
              </w:rPr>
              <w:t>Corned beef 320</w:t>
            </w:r>
          </w:p>
        </w:tc>
        <w:tc>
          <w:tcPr>
            <w:tcW w:w="1891" w:type="dxa"/>
          </w:tcPr>
          <w:p>
            <w:pPr>
              <w:pStyle w:val="TableParagraph"/>
              <w:spacing w:line="278" w:lineRule="auto"/>
              <w:ind w:left="108" w:right="478"/>
              <w:rPr>
                <w:sz w:val="38"/>
              </w:rPr>
            </w:pPr>
            <w:r>
              <w:rPr>
                <w:sz w:val="38"/>
              </w:rPr>
              <w:t>Potatoes 2.3</w:t>
            </w:r>
          </w:p>
        </w:tc>
        <w:tc>
          <w:tcPr>
            <w:tcW w:w="1694" w:type="dxa"/>
          </w:tcPr>
          <w:p>
            <w:pPr>
              <w:pStyle w:val="TableParagraph"/>
              <w:spacing w:line="278" w:lineRule="auto"/>
              <w:ind w:left="108" w:right="265"/>
              <w:rPr>
                <w:sz w:val="38"/>
              </w:rPr>
            </w:pPr>
            <w:r>
              <w:rPr>
                <w:sz w:val="38"/>
              </w:rPr>
              <w:t>Gorgon- zola 10</w:t>
            </w:r>
          </w:p>
        </w:tc>
        <w:tc>
          <w:tcPr>
            <w:tcW w:w="1446" w:type="dxa"/>
          </w:tcPr>
          <w:p>
            <w:pPr>
              <w:pStyle w:val="TableParagraph"/>
              <w:spacing w:line="278" w:lineRule="auto"/>
              <w:ind w:left="109" w:right="313"/>
              <w:rPr>
                <w:sz w:val="38"/>
              </w:rPr>
            </w:pPr>
            <w:r>
              <w:rPr>
                <w:w w:val="95"/>
                <w:sz w:val="38"/>
              </w:rPr>
              <w:t>Monk- </w:t>
            </w:r>
            <w:r>
              <w:rPr>
                <w:sz w:val="38"/>
              </w:rPr>
              <w:t>fish 24</w:t>
            </w:r>
          </w:p>
        </w:tc>
      </w:tr>
      <w:tr>
        <w:trPr>
          <w:trHeight w:val="1674" w:hRule="atLeast"/>
        </w:trPr>
        <w:tc>
          <w:tcPr>
            <w:tcW w:w="1766" w:type="dxa"/>
          </w:tcPr>
          <w:p>
            <w:pPr>
              <w:pStyle w:val="TableParagraph"/>
              <w:spacing w:line="276" w:lineRule="auto"/>
              <w:ind w:left="107" w:right="42"/>
              <w:rPr>
                <w:sz w:val="38"/>
              </w:rPr>
            </w:pPr>
            <w:r>
              <w:rPr>
                <w:sz w:val="38"/>
              </w:rPr>
              <w:t>Cervelat sausage 300</w:t>
            </w:r>
          </w:p>
        </w:tc>
        <w:tc>
          <w:tcPr>
            <w:tcW w:w="1891" w:type="dxa"/>
          </w:tcPr>
          <w:p>
            <w:pPr>
              <w:pStyle w:val="TableParagraph"/>
              <w:spacing w:line="278" w:lineRule="auto"/>
              <w:ind w:left="108" w:right="395"/>
              <w:rPr>
                <w:sz w:val="38"/>
              </w:rPr>
            </w:pPr>
            <w:r>
              <w:rPr>
                <w:w w:val="95"/>
                <w:sz w:val="38"/>
              </w:rPr>
              <w:t>Cucum- </w:t>
            </w:r>
            <w:r>
              <w:rPr>
                <w:sz w:val="38"/>
              </w:rPr>
              <w:t>bers 1.9</w:t>
            </w:r>
          </w:p>
        </w:tc>
        <w:tc>
          <w:tcPr>
            <w:tcW w:w="1694" w:type="dxa"/>
          </w:tcPr>
          <w:p>
            <w:pPr>
              <w:pStyle w:val="TableParagraph"/>
              <w:spacing w:line="278" w:lineRule="auto"/>
              <w:ind w:left="108" w:right="317"/>
              <w:rPr>
                <w:sz w:val="38"/>
              </w:rPr>
            </w:pPr>
            <w:r>
              <w:rPr>
                <w:sz w:val="38"/>
              </w:rPr>
              <w:t>Butter cheese 8</w:t>
            </w:r>
          </w:p>
        </w:tc>
        <w:tc>
          <w:tcPr>
            <w:tcW w:w="1446" w:type="dxa"/>
          </w:tcPr>
          <w:p>
            <w:pPr>
              <w:pStyle w:val="TableParagraph"/>
              <w:spacing w:line="278" w:lineRule="auto"/>
              <w:ind w:left="109" w:right="448"/>
              <w:rPr>
                <w:sz w:val="38"/>
              </w:rPr>
            </w:pPr>
            <w:r>
              <w:rPr>
                <w:w w:val="95"/>
                <w:sz w:val="38"/>
              </w:rPr>
              <w:t>Squid </w:t>
            </w:r>
            <w:r>
              <w:rPr>
                <w:sz w:val="38"/>
              </w:rPr>
              <w:t>21</w:t>
            </w:r>
          </w:p>
        </w:tc>
      </w:tr>
      <w:tr>
        <w:trPr>
          <w:trHeight w:val="1182" w:hRule="atLeast"/>
        </w:trPr>
        <w:tc>
          <w:tcPr>
            <w:tcW w:w="1766" w:type="dxa"/>
          </w:tcPr>
          <w:p>
            <w:pPr>
              <w:pStyle w:val="TableParagraph"/>
              <w:spacing w:line="278" w:lineRule="auto"/>
              <w:ind w:left="107" w:right="116"/>
              <w:rPr>
                <w:sz w:val="38"/>
              </w:rPr>
            </w:pPr>
            <w:r>
              <w:rPr>
                <w:sz w:val="38"/>
              </w:rPr>
              <w:t>Duck breast 288</w:t>
            </w:r>
          </w:p>
        </w:tc>
        <w:tc>
          <w:tcPr>
            <w:tcW w:w="1891" w:type="dxa"/>
          </w:tcPr>
          <w:p>
            <w:pPr>
              <w:pStyle w:val="TableParagraph"/>
              <w:tabs>
                <w:tab w:pos="958" w:val="left" w:leader="none"/>
              </w:tabs>
              <w:spacing w:line="278" w:lineRule="auto"/>
              <w:ind w:left="108" w:right="95"/>
              <w:rPr>
                <w:sz w:val="38"/>
              </w:rPr>
            </w:pPr>
            <w:r>
              <w:rPr>
                <w:sz w:val="38"/>
              </w:rPr>
              <w:t>Rye</w:t>
              <w:tab/>
              <w:t>bread 1.8</w:t>
            </w:r>
          </w:p>
        </w:tc>
        <w:tc>
          <w:tcPr>
            <w:tcW w:w="1694" w:type="dxa"/>
          </w:tcPr>
          <w:p>
            <w:pPr>
              <w:pStyle w:val="TableParagraph"/>
              <w:spacing w:line="426" w:lineRule="exact"/>
              <w:ind w:left="108"/>
              <w:rPr>
                <w:sz w:val="38"/>
              </w:rPr>
            </w:pPr>
            <w:r>
              <w:rPr>
                <w:sz w:val="38"/>
              </w:rPr>
              <w:t>Babybel 6</w:t>
            </w:r>
          </w:p>
        </w:tc>
        <w:tc>
          <w:tcPr>
            <w:tcW w:w="1446" w:type="dxa"/>
          </w:tcPr>
          <w:p>
            <w:pPr>
              <w:pStyle w:val="TableParagraph"/>
              <w:rPr>
                <w:rFonts w:ascii="Times New Roman"/>
                <w:sz w:val="36"/>
              </w:rPr>
            </w:pPr>
          </w:p>
        </w:tc>
      </w:tr>
      <w:tr>
        <w:trPr>
          <w:trHeight w:val="1675" w:hRule="atLeast"/>
        </w:trPr>
        <w:tc>
          <w:tcPr>
            <w:tcW w:w="1766" w:type="dxa"/>
          </w:tcPr>
          <w:p>
            <w:pPr>
              <w:pStyle w:val="TableParagraph"/>
              <w:spacing w:line="276" w:lineRule="auto"/>
              <w:ind w:left="107" w:right="338"/>
              <w:rPr>
                <w:sz w:val="38"/>
              </w:rPr>
            </w:pPr>
            <w:r>
              <w:rPr>
                <w:sz w:val="38"/>
              </w:rPr>
              <w:t>Pork schnitzel 274</w:t>
            </w:r>
          </w:p>
        </w:tc>
        <w:tc>
          <w:tcPr>
            <w:tcW w:w="1891" w:type="dxa"/>
          </w:tcPr>
          <w:p>
            <w:pPr>
              <w:pStyle w:val="TableParagraph"/>
              <w:spacing w:line="426" w:lineRule="exact"/>
              <w:ind w:left="108"/>
              <w:rPr>
                <w:sz w:val="38"/>
              </w:rPr>
            </w:pPr>
            <w:r>
              <w:rPr>
                <w:sz w:val="38"/>
              </w:rPr>
              <w:t>Corn 1.6</w:t>
            </w:r>
          </w:p>
        </w:tc>
        <w:tc>
          <w:tcPr>
            <w:tcW w:w="1694" w:type="dxa"/>
          </w:tcPr>
          <w:p>
            <w:pPr>
              <w:pStyle w:val="TableParagraph"/>
              <w:rPr>
                <w:rFonts w:ascii="Times New Roman"/>
                <w:sz w:val="36"/>
              </w:rPr>
            </w:pPr>
          </w:p>
        </w:tc>
        <w:tc>
          <w:tcPr>
            <w:tcW w:w="1446" w:type="dxa"/>
          </w:tcPr>
          <w:p>
            <w:pPr>
              <w:pStyle w:val="TableParagraph"/>
              <w:rPr>
                <w:rFonts w:ascii="Times New Roman"/>
                <w:sz w:val="36"/>
              </w:rPr>
            </w:pPr>
          </w:p>
        </w:tc>
      </w:tr>
      <w:tr>
        <w:trPr>
          <w:trHeight w:val="1182" w:hRule="atLeast"/>
        </w:trPr>
        <w:tc>
          <w:tcPr>
            <w:tcW w:w="1766" w:type="dxa"/>
          </w:tcPr>
          <w:p>
            <w:pPr>
              <w:pStyle w:val="TableParagraph"/>
              <w:spacing w:line="278" w:lineRule="auto"/>
              <w:ind w:left="107" w:right="42"/>
              <w:rPr>
                <w:sz w:val="38"/>
              </w:rPr>
            </w:pPr>
            <w:r>
              <w:rPr>
                <w:sz w:val="38"/>
              </w:rPr>
              <w:t>Pork gou- lash 264</w:t>
            </w:r>
          </w:p>
        </w:tc>
        <w:tc>
          <w:tcPr>
            <w:tcW w:w="1891" w:type="dxa"/>
          </w:tcPr>
          <w:p>
            <w:pPr>
              <w:pStyle w:val="TableParagraph"/>
              <w:spacing w:line="426" w:lineRule="exact"/>
              <w:ind w:left="108"/>
              <w:rPr>
                <w:sz w:val="38"/>
              </w:rPr>
            </w:pPr>
            <w:r>
              <w:rPr>
                <w:sz w:val="38"/>
              </w:rPr>
              <w:t>Plums 1.6</w:t>
            </w:r>
          </w:p>
        </w:tc>
        <w:tc>
          <w:tcPr>
            <w:tcW w:w="1694" w:type="dxa"/>
          </w:tcPr>
          <w:p>
            <w:pPr>
              <w:pStyle w:val="TableParagraph"/>
              <w:rPr>
                <w:rFonts w:ascii="Times New Roman"/>
                <w:sz w:val="36"/>
              </w:rPr>
            </w:pPr>
          </w:p>
        </w:tc>
        <w:tc>
          <w:tcPr>
            <w:tcW w:w="1446" w:type="dxa"/>
          </w:tcPr>
          <w:p>
            <w:pPr>
              <w:pStyle w:val="TableParagraph"/>
              <w:rPr>
                <w:rFonts w:ascii="Times New Roman"/>
                <w:sz w:val="36"/>
              </w:rPr>
            </w:pPr>
          </w:p>
        </w:tc>
      </w:tr>
      <w:tr>
        <w:trPr>
          <w:trHeight w:val="693" w:hRule="atLeast"/>
        </w:trPr>
        <w:tc>
          <w:tcPr>
            <w:tcW w:w="1766" w:type="dxa"/>
          </w:tcPr>
          <w:p>
            <w:pPr>
              <w:pStyle w:val="TableParagraph"/>
              <w:spacing w:line="426" w:lineRule="exact"/>
              <w:ind w:left="107"/>
              <w:rPr>
                <w:sz w:val="38"/>
              </w:rPr>
            </w:pPr>
            <w:r>
              <w:rPr>
                <w:sz w:val="38"/>
              </w:rPr>
              <w:t>Pork 244</w:t>
            </w:r>
          </w:p>
        </w:tc>
        <w:tc>
          <w:tcPr>
            <w:tcW w:w="1891" w:type="dxa"/>
          </w:tcPr>
          <w:p>
            <w:pPr>
              <w:pStyle w:val="TableParagraph"/>
              <w:spacing w:line="426" w:lineRule="exact"/>
              <w:ind w:left="108"/>
              <w:rPr>
                <w:sz w:val="38"/>
              </w:rPr>
            </w:pPr>
            <w:r>
              <w:rPr>
                <w:sz w:val="38"/>
              </w:rPr>
              <w:t>Peas 1.4</w:t>
            </w:r>
          </w:p>
        </w:tc>
        <w:tc>
          <w:tcPr>
            <w:tcW w:w="1694" w:type="dxa"/>
          </w:tcPr>
          <w:p>
            <w:pPr>
              <w:pStyle w:val="TableParagraph"/>
              <w:rPr>
                <w:rFonts w:ascii="Times New Roman"/>
                <w:sz w:val="36"/>
              </w:rPr>
            </w:pPr>
          </w:p>
        </w:tc>
        <w:tc>
          <w:tcPr>
            <w:tcW w:w="1446" w:type="dxa"/>
          </w:tcPr>
          <w:p>
            <w:pPr>
              <w:pStyle w:val="TableParagraph"/>
              <w:rPr>
                <w:rFonts w:ascii="Times New Roman"/>
                <w:sz w:val="36"/>
              </w:rPr>
            </w:pPr>
          </w:p>
        </w:tc>
      </w:tr>
      <w:tr>
        <w:trPr>
          <w:trHeight w:val="1183" w:hRule="atLeast"/>
        </w:trPr>
        <w:tc>
          <w:tcPr>
            <w:tcW w:w="1766" w:type="dxa"/>
          </w:tcPr>
          <w:p>
            <w:pPr>
              <w:pStyle w:val="TableParagraph"/>
              <w:spacing w:line="278" w:lineRule="auto"/>
              <w:ind w:left="107" w:right="406"/>
              <w:rPr>
                <w:sz w:val="38"/>
              </w:rPr>
            </w:pPr>
            <w:r>
              <w:rPr>
                <w:w w:val="95"/>
                <w:sz w:val="38"/>
              </w:rPr>
              <w:t>Rabbit’s </w:t>
            </w:r>
            <w:r>
              <w:rPr>
                <w:sz w:val="38"/>
              </w:rPr>
              <w:t>leg 232</w:t>
            </w:r>
          </w:p>
        </w:tc>
        <w:tc>
          <w:tcPr>
            <w:tcW w:w="1891" w:type="dxa"/>
          </w:tcPr>
          <w:p>
            <w:pPr>
              <w:pStyle w:val="TableParagraph"/>
              <w:spacing w:line="427" w:lineRule="exact"/>
              <w:ind w:left="108"/>
              <w:rPr>
                <w:sz w:val="38"/>
              </w:rPr>
            </w:pPr>
            <w:r>
              <w:rPr>
                <w:sz w:val="38"/>
              </w:rPr>
              <w:t>Pepper 1.4</w:t>
            </w:r>
          </w:p>
        </w:tc>
        <w:tc>
          <w:tcPr>
            <w:tcW w:w="1694" w:type="dxa"/>
          </w:tcPr>
          <w:p>
            <w:pPr>
              <w:pStyle w:val="TableParagraph"/>
              <w:rPr>
                <w:rFonts w:ascii="Times New Roman"/>
                <w:sz w:val="36"/>
              </w:rPr>
            </w:pPr>
          </w:p>
        </w:tc>
        <w:tc>
          <w:tcPr>
            <w:tcW w:w="1446" w:type="dxa"/>
          </w:tcPr>
          <w:p>
            <w:pPr>
              <w:pStyle w:val="TableParagraph"/>
              <w:rPr>
                <w:rFonts w:ascii="Times New Roman"/>
                <w:sz w:val="36"/>
              </w:rPr>
            </w:pPr>
          </w:p>
        </w:tc>
      </w:tr>
    </w:tbl>
    <w:p>
      <w:pPr>
        <w:spacing w:after="0"/>
        <w:rPr>
          <w:rFonts w:ascii="Times New Roman"/>
          <w:sz w:val="36"/>
        </w:rPr>
        <w:sectPr>
          <w:pgSz w:w="14270" w:h="16850"/>
          <w:pgMar w:header="0" w:footer="404" w:top="1600" w:bottom="600" w:left="800" w:right="1280"/>
        </w:sectPr>
      </w:pPr>
    </w:p>
    <w:p>
      <w:pPr>
        <w:pStyle w:val="BodyText"/>
        <w:spacing w:before="1"/>
        <w:rPr>
          <w:rFonts w:ascii="Times New Roman"/>
          <w:sz w:val="16"/>
        </w:rPr>
      </w:pPr>
    </w:p>
    <w:tbl>
      <w:tblPr>
        <w:tblW w:w="0" w:type="auto"/>
        <w:jc w:val="left"/>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6"/>
        <w:gridCol w:w="1891"/>
        <w:gridCol w:w="1694"/>
        <w:gridCol w:w="1446"/>
      </w:tblGrid>
      <w:tr>
        <w:trPr>
          <w:trHeight w:val="1674" w:hRule="atLeast"/>
        </w:trPr>
        <w:tc>
          <w:tcPr>
            <w:tcW w:w="1766" w:type="dxa"/>
          </w:tcPr>
          <w:p>
            <w:pPr>
              <w:pStyle w:val="TableParagraph"/>
              <w:spacing w:line="276" w:lineRule="auto"/>
              <w:ind w:left="107" w:right="453"/>
              <w:jc w:val="both"/>
              <w:rPr>
                <w:sz w:val="38"/>
              </w:rPr>
            </w:pPr>
            <w:r>
              <w:rPr>
                <w:w w:val="95"/>
                <w:sz w:val="38"/>
              </w:rPr>
              <w:t>Smoked </w:t>
            </w:r>
            <w:r>
              <w:rPr>
                <w:sz w:val="38"/>
              </w:rPr>
              <w:t>sausage 220</w:t>
            </w:r>
          </w:p>
        </w:tc>
        <w:tc>
          <w:tcPr>
            <w:tcW w:w="1891" w:type="dxa"/>
          </w:tcPr>
          <w:p>
            <w:pPr>
              <w:pStyle w:val="TableParagraph"/>
              <w:spacing w:line="426" w:lineRule="exact"/>
              <w:ind w:left="108"/>
              <w:rPr>
                <w:sz w:val="38"/>
              </w:rPr>
            </w:pPr>
            <w:r>
              <w:rPr>
                <w:sz w:val="38"/>
              </w:rPr>
              <w:t>Peach 1.4</w:t>
            </w:r>
          </w:p>
        </w:tc>
        <w:tc>
          <w:tcPr>
            <w:tcW w:w="1694" w:type="dxa"/>
          </w:tcPr>
          <w:p>
            <w:pPr>
              <w:pStyle w:val="TableParagraph"/>
              <w:rPr>
                <w:rFonts w:ascii="Times New Roman"/>
                <w:sz w:val="36"/>
              </w:rPr>
            </w:pPr>
          </w:p>
        </w:tc>
        <w:tc>
          <w:tcPr>
            <w:tcW w:w="1446" w:type="dxa"/>
          </w:tcPr>
          <w:p>
            <w:pPr>
              <w:pStyle w:val="TableParagraph"/>
              <w:rPr>
                <w:rFonts w:ascii="Times New Roman"/>
                <w:sz w:val="36"/>
              </w:rPr>
            </w:pPr>
          </w:p>
        </w:tc>
      </w:tr>
      <w:tr>
        <w:trPr>
          <w:trHeight w:val="1182" w:hRule="atLeast"/>
        </w:trPr>
        <w:tc>
          <w:tcPr>
            <w:tcW w:w="1766" w:type="dxa"/>
          </w:tcPr>
          <w:p>
            <w:pPr>
              <w:pStyle w:val="TableParagraph"/>
              <w:spacing w:line="278" w:lineRule="auto"/>
              <w:ind w:left="107" w:right="116"/>
              <w:rPr>
                <w:sz w:val="38"/>
              </w:rPr>
            </w:pPr>
            <w:r>
              <w:rPr>
                <w:sz w:val="38"/>
              </w:rPr>
              <w:t>Pigeon’s breast 211</w:t>
            </w:r>
          </w:p>
        </w:tc>
        <w:tc>
          <w:tcPr>
            <w:tcW w:w="1891" w:type="dxa"/>
          </w:tcPr>
          <w:p>
            <w:pPr>
              <w:pStyle w:val="TableParagraph"/>
              <w:spacing w:line="426" w:lineRule="exact"/>
              <w:ind w:left="108"/>
              <w:rPr>
                <w:sz w:val="38"/>
              </w:rPr>
            </w:pPr>
            <w:r>
              <w:rPr>
                <w:sz w:val="38"/>
              </w:rPr>
              <w:t>Beans 1.2</w:t>
            </w:r>
          </w:p>
        </w:tc>
        <w:tc>
          <w:tcPr>
            <w:tcW w:w="1694" w:type="dxa"/>
          </w:tcPr>
          <w:p>
            <w:pPr>
              <w:pStyle w:val="TableParagraph"/>
              <w:rPr>
                <w:rFonts w:ascii="Times New Roman"/>
                <w:sz w:val="36"/>
              </w:rPr>
            </w:pPr>
          </w:p>
        </w:tc>
        <w:tc>
          <w:tcPr>
            <w:tcW w:w="1446" w:type="dxa"/>
          </w:tcPr>
          <w:p>
            <w:pPr>
              <w:pStyle w:val="TableParagraph"/>
              <w:rPr>
                <w:rFonts w:ascii="Times New Roman"/>
                <w:sz w:val="36"/>
              </w:rPr>
            </w:pPr>
          </w:p>
        </w:tc>
      </w:tr>
      <w:tr>
        <w:trPr>
          <w:trHeight w:val="1675" w:hRule="atLeast"/>
        </w:trPr>
        <w:tc>
          <w:tcPr>
            <w:tcW w:w="1766" w:type="dxa"/>
          </w:tcPr>
          <w:p>
            <w:pPr>
              <w:pStyle w:val="TableParagraph"/>
              <w:spacing w:line="276" w:lineRule="auto"/>
              <w:ind w:left="107" w:right="358"/>
              <w:rPr>
                <w:sz w:val="38"/>
              </w:rPr>
            </w:pPr>
            <w:r>
              <w:rPr>
                <w:sz w:val="38"/>
              </w:rPr>
              <w:t>Rolled, smoked ham 205</w:t>
            </w:r>
          </w:p>
        </w:tc>
        <w:tc>
          <w:tcPr>
            <w:tcW w:w="1891" w:type="dxa"/>
          </w:tcPr>
          <w:p>
            <w:pPr>
              <w:pStyle w:val="TableParagraph"/>
              <w:spacing w:line="276" w:lineRule="auto"/>
              <w:ind w:left="108" w:right="276"/>
              <w:rPr>
                <w:sz w:val="38"/>
              </w:rPr>
            </w:pPr>
            <w:r>
              <w:rPr>
                <w:sz w:val="38"/>
              </w:rPr>
              <w:t>Tomatoes</w:t>
            </w:r>
            <w:r>
              <w:rPr>
                <w:w w:val="99"/>
                <w:sz w:val="38"/>
              </w:rPr>
              <w:t> </w:t>
            </w:r>
            <w:r>
              <w:rPr>
                <w:sz w:val="38"/>
              </w:rPr>
              <w:t>1.1</w:t>
            </w:r>
          </w:p>
        </w:tc>
        <w:tc>
          <w:tcPr>
            <w:tcW w:w="1694" w:type="dxa"/>
          </w:tcPr>
          <w:p>
            <w:pPr>
              <w:pStyle w:val="TableParagraph"/>
              <w:rPr>
                <w:rFonts w:ascii="Times New Roman"/>
                <w:sz w:val="36"/>
              </w:rPr>
            </w:pPr>
          </w:p>
        </w:tc>
        <w:tc>
          <w:tcPr>
            <w:tcW w:w="1446" w:type="dxa"/>
          </w:tcPr>
          <w:p>
            <w:pPr>
              <w:pStyle w:val="TableParagraph"/>
              <w:rPr>
                <w:rFonts w:ascii="Times New Roman"/>
                <w:sz w:val="36"/>
              </w:rPr>
            </w:pPr>
          </w:p>
        </w:tc>
      </w:tr>
      <w:tr>
        <w:trPr>
          <w:trHeight w:val="1674" w:hRule="atLeast"/>
        </w:trPr>
        <w:tc>
          <w:tcPr>
            <w:tcW w:w="1766" w:type="dxa"/>
          </w:tcPr>
          <w:p>
            <w:pPr>
              <w:pStyle w:val="TableParagraph"/>
              <w:tabs>
                <w:tab w:pos="1077" w:val="left" w:leader="none"/>
              </w:tabs>
              <w:spacing w:line="276" w:lineRule="auto"/>
              <w:ind w:left="107" w:right="95"/>
              <w:rPr>
                <w:sz w:val="38"/>
              </w:rPr>
            </w:pPr>
            <w:r>
              <w:rPr>
                <w:sz w:val="38"/>
              </w:rPr>
              <w:t>Pork</w:t>
              <w:tab/>
              <w:t>ten- derloin 190</w:t>
            </w:r>
          </w:p>
        </w:tc>
        <w:tc>
          <w:tcPr>
            <w:tcW w:w="1891" w:type="dxa"/>
          </w:tcPr>
          <w:p>
            <w:pPr>
              <w:pStyle w:val="TableParagraph"/>
              <w:spacing w:line="276" w:lineRule="auto"/>
              <w:ind w:left="108" w:right="395"/>
              <w:rPr>
                <w:sz w:val="38"/>
              </w:rPr>
            </w:pPr>
            <w:r>
              <w:rPr>
                <w:w w:val="95"/>
                <w:sz w:val="38"/>
              </w:rPr>
              <w:t>Bananas </w:t>
            </w:r>
            <w:r>
              <w:rPr>
                <w:sz w:val="38"/>
              </w:rPr>
              <w:t>1.0</w:t>
            </w:r>
          </w:p>
        </w:tc>
        <w:tc>
          <w:tcPr>
            <w:tcW w:w="1694" w:type="dxa"/>
          </w:tcPr>
          <w:p>
            <w:pPr>
              <w:pStyle w:val="TableParagraph"/>
              <w:rPr>
                <w:rFonts w:ascii="Times New Roman"/>
                <w:sz w:val="36"/>
              </w:rPr>
            </w:pPr>
          </w:p>
        </w:tc>
        <w:tc>
          <w:tcPr>
            <w:tcW w:w="1446" w:type="dxa"/>
          </w:tcPr>
          <w:p>
            <w:pPr>
              <w:pStyle w:val="TableParagraph"/>
              <w:rPr>
                <w:rFonts w:ascii="Times New Roman"/>
                <w:sz w:val="36"/>
              </w:rPr>
            </w:pPr>
          </w:p>
        </w:tc>
      </w:tr>
      <w:tr>
        <w:trPr>
          <w:trHeight w:val="1185" w:hRule="atLeast"/>
        </w:trPr>
        <w:tc>
          <w:tcPr>
            <w:tcW w:w="1766" w:type="dxa"/>
          </w:tcPr>
          <w:p>
            <w:pPr>
              <w:pStyle w:val="TableParagraph"/>
              <w:spacing w:line="276" w:lineRule="auto"/>
              <w:ind w:left="107" w:right="81"/>
              <w:rPr>
                <w:sz w:val="38"/>
              </w:rPr>
            </w:pPr>
            <w:r>
              <w:rPr>
                <w:sz w:val="38"/>
              </w:rPr>
              <w:t>Duck’s leg 189</w:t>
            </w:r>
          </w:p>
        </w:tc>
        <w:tc>
          <w:tcPr>
            <w:tcW w:w="1891" w:type="dxa"/>
          </w:tcPr>
          <w:p>
            <w:pPr>
              <w:pStyle w:val="TableParagraph"/>
              <w:spacing w:before="1"/>
              <w:ind w:left="108"/>
              <w:rPr>
                <w:sz w:val="38"/>
              </w:rPr>
            </w:pPr>
            <w:r>
              <w:rPr>
                <w:sz w:val="38"/>
              </w:rPr>
              <w:t>Kiwi 0.8</w:t>
            </w:r>
          </w:p>
        </w:tc>
        <w:tc>
          <w:tcPr>
            <w:tcW w:w="1694" w:type="dxa"/>
          </w:tcPr>
          <w:p>
            <w:pPr>
              <w:pStyle w:val="TableParagraph"/>
              <w:rPr>
                <w:rFonts w:ascii="Times New Roman"/>
                <w:sz w:val="36"/>
              </w:rPr>
            </w:pPr>
          </w:p>
        </w:tc>
        <w:tc>
          <w:tcPr>
            <w:tcW w:w="1446" w:type="dxa"/>
          </w:tcPr>
          <w:p>
            <w:pPr>
              <w:pStyle w:val="TableParagraph"/>
              <w:rPr>
                <w:rFonts w:ascii="Times New Roman"/>
                <w:sz w:val="36"/>
              </w:rPr>
            </w:pPr>
          </w:p>
        </w:tc>
      </w:tr>
      <w:tr>
        <w:trPr>
          <w:trHeight w:val="1674" w:hRule="atLeast"/>
        </w:trPr>
        <w:tc>
          <w:tcPr>
            <w:tcW w:w="1766" w:type="dxa"/>
          </w:tcPr>
          <w:p>
            <w:pPr>
              <w:pStyle w:val="TableParagraph"/>
              <w:spacing w:line="276" w:lineRule="auto"/>
              <w:ind w:left="107" w:right="42"/>
              <w:rPr>
                <w:sz w:val="38"/>
              </w:rPr>
            </w:pPr>
            <w:r>
              <w:rPr>
                <w:w w:val="95"/>
                <w:sz w:val="38"/>
              </w:rPr>
              <w:t>Viennese </w:t>
            </w:r>
            <w:r>
              <w:rPr>
                <w:sz w:val="38"/>
              </w:rPr>
              <w:t>sausage 176</w:t>
            </w:r>
          </w:p>
        </w:tc>
        <w:tc>
          <w:tcPr>
            <w:tcW w:w="1891" w:type="dxa"/>
          </w:tcPr>
          <w:p>
            <w:pPr>
              <w:pStyle w:val="TableParagraph"/>
              <w:spacing w:line="426" w:lineRule="exact"/>
              <w:ind w:left="108"/>
              <w:rPr>
                <w:sz w:val="38"/>
              </w:rPr>
            </w:pPr>
            <w:r>
              <w:rPr>
                <w:sz w:val="38"/>
              </w:rPr>
              <w:t>Lettuce 0.6</w:t>
            </w:r>
          </w:p>
        </w:tc>
        <w:tc>
          <w:tcPr>
            <w:tcW w:w="1694" w:type="dxa"/>
          </w:tcPr>
          <w:p>
            <w:pPr>
              <w:pStyle w:val="TableParagraph"/>
              <w:rPr>
                <w:rFonts w:ascii="Times New Roman"/>
                <w:sz w:val="36"/>
              </w:rPr>
            </w:pPr>
          </w:p>
        </w:tc>
        <w:tc>
          <w:tcPr>
            <w:tcW w:w="1446" w:type="dxa"/>
          </w:tcPr>
          <w:p>
            <w:pPr>
              <w:pStyle w:val="TableParagraph"/>
              <w:rPr>
                <w:rFonts w:ascii="Times New Roman"/>
                <w:sz w:val="36"/>
              </w:rPr>
            </w:pPr>
          </w:p>
        </w:tc>
      </w:tr>
      <w:tr>
        <w:trPr>
          <w:trHeight w:val="1675" w:hRule="atLeast"/>
        </w:trPr>
        <w:tc>
          <w:tcPr>
            <w:tcW w:w="1766" w:type="dxa"/>
          </w:tcPr>
          <w:p>
            <w:pPr>
              <w:pStyle w:val="TableParagraph"/>
              <w:spacing w:line="276" w:lineRule="auto"/>
              <w:ind w:left="107" w:right="528"/>
              <w:rPr>
                <w:sz w:val="38"/>
              </w:rPr>
            </w:pPr>
            <w:r>
              <w:rPr>
                <w:sz w:val="38"/>
              </w:rPr>
              <w:t>White sausage 170</w:t>
            </w:r>
          </w:p>
        </w:tc>
        <w:tc>
          <w:tcPr>
            <w:tcW w:w="1891" w:type="dxa"/>
          </w:tcPr>
          <w:p>
            <w:pPr>
              <w:pStyle w:val="TableParagraph"/>
              <w:spacing w:line="426" w:lineRule="exact"/>
              <w:ind w:left="108"/>
              <w:rPr>
                <w:sz w:val="38"/>
              </w:rPr>
            </w:pPr>
            <w:r>
              <w:rPr>
                <w:sz w:val="38"/>
              </w:rPr>
              <w:t>Beer 0.6</w:t>
            </w:r>
          </w:p>
        </w:tc>
        <w:tc>
          <w:tcPr>
            <w:tcW w:w="1694" w:type="dxa"/>
          </w:tcPr>
          <w:p>
            <w:pPr>
              <w:pStyle w:val="TableParagraph"/>
              <w:rPr>
                <w:rFonts w:ascii="Times New Roman"/>
                <w:sz w:val="36"/>
              </w:rPr>
            </w:pPr>
          </w:p>
        </w:tc>
        <w:tc>
          <w:tcPr>
            <w:tcW w:w="1446" w:type="dxa"/>
          </w:tcPr>
          <w:p>
            <w:pPr>
              <w:pStyle w:val="TableParagraph"/>
              <w:rPr>
                <w:rFonts w:ascii="Times New Roman"/>
                <w:sz w:val="36"/>
              </w:rPr>
            </w:pPr>
          </w:p>
        </w:tc>
      </w:tr>
      <w:tr>
        <w:trPr>
          <w:trHeight w:val="690" w:hRule="atLeast"/>
        </w:trPr>
        <w:tc>
          <w:tcPr>
            <w:tcW w:w="1766" w:type="dxa"/>
          </w:tcPr>
          <w:p>
            <w:pPr>
              <w:pStyle w:val="TableParagraph"/>
              <w:spacing w:line="424" w:lineRule="exact"/>
              <w:ind w:left="107"/>
              <w:rPr>
                <w:sz w:val="38"/>
              </w:rPr>
            </w:pPr>
            <w:r>
              <w:rPr>
                <w:sz w:val="38"/>
              </w:rPr>
              <w:t>Quail’s</w:t>
            </w:r>
          </w:p>
        </w:tc>
        <w:tc>
          <w:tcPr>
            <w:tcW w:w="1891" w:type="dxa"/>
          </w:tcPr>
          <w:p>
            <w:pPr>
              <w:pStyle w:val="TableParagraph"/>
              <w:spacing w:line="426" w:lineRule="exact"/>
              <w:ind w:left="108"/>
              <w:rPr>
                <w:sz w:val="38"/>
              </w:rPr>
            </w:pPr>
            <w:r>
              <w:rPr>
                <w:sz w:val="38"/>
              </w:rPr>
              <w:t>Apples 0.5</w:t>
            </w:r>
          </w:p>
        </w:tc>
        <w:tc>
          <w:tcPr>
            <w:tcW w:w="1694" w:type="dxa"/>
          </w:tcPr>
          <w:p>
            <w:pPr>
              <w:pStyle w:val="TableParagraph"/>
              <w:rPr>
                <w:rFonts w:ascii="Times New Roman"/>
                <w:sz w:val="36"/>
              </w:rPr>
            </w:pPr>
          </w:p>
        </w:tc>
        <w:tc>
          <w:tcPr>
            <w:tcW w:w="1446" w:type="dxa"/>
          </w:tcPr>
          <w:p>
            <w:pPr>
              <w:pStyle w:val="TableParagraph"/>
              <w:rPr>
                <w:rFonts w:ascii="Times New Roman"/>
                <w:sz w:val="36"/>
              </w:rPr>
            </w:pPr>
          </w:p>
        </w:tc>
      </w:tr>
    </w:tbl>
    <w:p>
      <w:pPr>
        <w:spacing w:after="0"/>
        <w:rPr>
          <w:rFonts w:ascii="Times New Roman"/>
          <w:sz w:val="36"/>
        </w:rPr>
        <w:sectPr>
          <w:pgSz w:w="14270" w:h="16850"/>
          <w:pgMar w:header="0" w:footer="404" w:top="1600" w:bottom="600" w:left="800" w:right="1280"/>
        </w:sectPr>
      </w:pPr>
    </w:p>
    <w:p>
      <w:pPr>
        <w:pStyle w:val="BodyText"/>
        <w:spacing w:before="1"/>
        <w:rPr>
          <w:rFonts w:ascii="Times New Roman"/>
          <w:sz w:val="16"/>
        </w:rPr>
      </w:pPr>
    </w:p>
    <w:tbl>
      <w:tblPr>
        <w:tblW w:w="0" w:type="auto"/>
        <w:jc w:val="left"/>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6"/>
        <w:gridCol w:w="1891"/>
        <w:gridCol w:w="1694"/>
        <w:gridCol w:w="1446"/>
      </w:tblGrid>
      <w:tr>
        <w:trPr>
          <w:trHeight w:val="693" w:hRule="atLeast"/>
        </w:trPr>
        <w:tc>
          <w:tcPr>
            <w:tcW w:w="1766" w:type="dxa"/>
          </w:tcPr>
          <w:p>
            <w:pPr>
              <w:pStyle w:val="TableParagraph"/>
              <w:spacing w:line="426" w:lineRule="exact"/>
              <w:ind w:left="107"/>
              <w:rPr>
                <w:sz w:val="38"/>
              </w:rPr>
            </w:pPr>
            <w:r>
              <w:rPr>
                <w:sz w:val="38"/>
              </w:rPr>
              <w:t>breast 166</w:t>
            </w:r>
          </w:p>
        </w:tc>
        <w:tc>
          <w:tcPr>
            <w:tcW w:w="1891" w:type="dxa"/>
          </w:tcPr>
          <w:p>
            <w:pPr>
              <w:pStyle w:val="TableParagraph"/>
              <w:rPr>
                <w:rFonts w:ascii="Times New Roman"/>
                <w:sz w:val="36"/>
              </w:rPr>
            </w:pPr>
          </w:p>
        </w:tc>
        <w:tc>
          <w:tcPr>
            <w:tcW w:w="1694" w:type="dxa"/>
          </w:tcPr>
          <w:p>
            <w:pPr>
              <w:pStyle w:val="TableParagraph"/>
              <w:rPr>
                <w:rFonts w:ascii="Times New Roman"/>
                <w:sz w:val="36"/>
              </w:rPr>
            </w:pPr>
          </w:p>
        </w:tc>
        <w:tc>
          <w:tcPr>
            <w:tcW w:w="1446" w:type="dxa"/>
          </w:tcPr>
          <w:p>
            <w:pPr>
              <w:pStyle w:val="TableParagraph"/>
              <w:rPr>
                <w:rFonts w:ascii="Times New Roman"/>
                <w:sz w:val="36"/>
              </w:rPr>
            </w:pPr>
          </w:p>
        </w:tc>
      </w:tr>
      <w:tr>
        <w:trPr>
          <w:trHeight w:val="1674" w:hRule="atLeast"/>
        </w:trPr>
        <w:tc>
          <w:tcPr>
            <w:tcW w:w="1766" w:type="dxa"/>
          </w:tcPr>
          <w:p>
            <w:pPr>
              <w:pStyle w:val="TableParagraph"/>
              <w:spacing w:line="276" w:lineRule="auto"/>
              <w:ind w:left="107" w:right="406"/>
              <w:rPr>
                <w:sz w:val="38"/>
              </w:rPr>
            </w:pPr>
            <w:r>
              <w:rPr>
                <w:sz w:val="38"/>
              </w:rPr>
              <w:t>Turkey </w:t>
            </w:r>
            <w:r>
              <w:rPr>
                <w:w w:val="95"/>
                <w:sz w:val="38"/>
              </w:rPr>
              <w:t>leg/fillet </w:t>
            </w:r>
            <w:r>
              <w:rPr>
                <w:sz w:val="38"/>
              </w:rPr>
              <w:t>133</w:t>
            </w:r>
          </w:p>
        </w:tc>
        <w:tc>
          <w:tcPr>
            <w:tcW w:w="1891" w:type="dxa"/>
          </w:tcPr>
          <w:p>
            <w:pPr>
              <w:pStyle w:val="TableParagraph"/>
              <w:spacing w:line="278" w:lineRule="auto"/>
              <w:ind w:left="108"/>
              <w:rPr>
                <w:sz w:val="38"/>
              </w:rPr>
            </w:pPr>
            <w:r>
              <w:rPr>
                <w:w w:val="95"/>
                <w:sz w:val="38"/>
              </w:rPr>
              <w:t>Margarine </w:t>
            </w:r>
            <w:r>
              <w:rPr>
                <w:sz w:val="38"/>
              </w:rPr>
              <w:t>0.5</w:t>
            </w:r>
          </w:p>
        </w:tc>
        <w:tc>
          <w:tcPr>
            <w:tcW w:w="1694" w:type="dxa"/>
          </w:tcPr>
          <w:p>
            <w:pPr>
              <w:pStyle w:val="TableParagraph"/>
              <w:rPr>
                <w:rFonts w:ascii="Times New Roman"/>
                <w:sz w:val="36"/>
              </w:rPr>
            </w:pPr>
          </w:p>
        </w:tc>
        <w:tc>
          <w:tcPr>
            <w:tcW w:w="1446" w:type="dxa"/>
          </w:tcPr>
          <w:p>
            <w:pPr>
              <w:pStyle w:val="TableParagraph"/>
              <w:rPr>
                <w:rFonts w:ascii="Times New Roman"/>
                <w:sz w:val="36"/>
              </w:rPr>
            </w:pPr>
          </w:p>
        </w:tc>
      </w:tr>
      <w:tr>
        <w:trPr>
          <w:trHeight w:val="1229" w:hRule="atLeast"/>
        </w:trPr>
        <w:tc>
          <w:tcPr>
            <w:tcW w:w="1766" w:type="dxa"/>
          </w:tcPr>
          <w:p>
            <w:pPr>
              <w:pStyle w:val="TableParagraph"/>
              <w:spacing w:line="426" w:lineRule="exact"/>
              <w:ind w:left="107"/>
              <w:rPr>
                <w:sz w:val="38"/>
              </w:rPr>
            </w:pPr>
            <w:r>
              <w:rPr>
                <w:sz w:val="38"/>
              </w:rPr>
              <w:t>Ham 121</w:t>
            </w:r>
          </w:p>
        </w:tc>
        <w:tc>
          <w:tcPr>
            <w:tcW w:w="1891" w:type="dxa"/>
          </w:tcPr>
          <w:p>
            <w:pPr>
              <w:pStyle w:val="TableParagraph"/>
              <w:spacing w:line="426" w:lineRule="exact"/>
              <w:ind w:left="108"/>
              <w:rPr>
                <w:sz w:val="38"/>
              </w:rPr>
            </w:pPr>
            <w:r>
              <w:rPr>
                <w:sz w:val="38"/>
              </w:rPr>
              <w:t>Pears 0.3</w:t>
            </w:r>
          </w:p>
        </w:tc>
        <w:tc>
          <w:tcPr>
            <w:tcW w:w="1694" w:type="dxa"/>
          </w:tcPr>
          <w:p>
            <w:pPr>
              <w:pStyle w:val="TableParagraph"/>
              <w:rPr>
                <w:rFonts w:ascii="Times New Roman"/>
                <w:sz w:val="36"/>
              </w:rPr>
            </w:pPr>
          </w:p>
        </w:tc>
        <w:tc>
          <w:tcPr>
            <w:tcW w:w="1446" w:type="dxa"/>
          </w:tcPr>
          <w:p>
            <w:pPr>
              <w:pStyle w:val="TableParagraph"/>
              <w:rPr>
                <w:rFonts w:ascii="Times New Roman"/>
                <w:sz w:val="36"/>
              </w:rPr>
            </w:pPr>
          </w:p>
        </w:tc>
      </w:tr>
      <w:tr>
        <w:trPr>
          <w:trHeight w:val="1674" w:hRule="atLeast"/>
        </w:trPr>
        <w:tc>
          <w:tcPr>
            <w:tcW w:w="1766" w:type="dxa"/>
          </w:tcPr>
          <w:p>
            <w:pPr>
              <w:pStyle w:val="TableParagraph"/>
              <w:tabs>
                <w:tab w:pos="1017" w:val="left" w:leader="none"/>
              </w:tabs>
              <w:spacing w:line="278" w:lineRule="auto"/>
              <w:ind w:left="107" w:right="97"/>
              <w:rPr>
                <w:sz w:val="38"/>
              </w:rPr>
            </w:pPr>
            <w:r>
              <w:rPr>
                <w:sz w:val="38"/>
              </w:rPr>
              <w:t>Beer</w:t>
              <w:tab/>
            </w:r>
            <w:r>
              <w:rPr>
                <w:w w:val="95"/>
                <w:sz w:val="38"/>
              </w:rPr>
              <w:t>ham </w:t>
            </w:r>
            <w:r>
              <w:rPr>
                <w:sz w:val="38"/>
              </w:rPr>
              <w:t>120</w:t>
            </w:r>
          </w:p>
        </w:tc>
        <w:tc>
          <w:tcPr>
            <w:tcW w:w="1891" w:type="dxa"/>
          </w:tcPr>
          <w:p>
            <w:pPr>
              <w:pStyle w:val="TableParagraph"/>
              <w:spacing w:line="276" w:lineRule="auto"/>
              <w:ind w:left="108" w:right="109"/>
              <w:rPr>
                <w:sz w:val="38"/>
              </w:rPr>
            </w:pPr>
            <w:r>
              <w:rPr>
                <w:sz w:val="38"/>
              </w:rPr>
              <w:t>Or- </w:t>
            </w:r>
            <w:r>
              <w:rPr>
                <w:w w:val="95"/>
                <w:sz w:val="38"/>
              </w:rPr>
              <w:t>anges/lem- </w:t>
            </w:r>
            <w:r>
              <w:rPr>
                <w:sz w:val="38"/>
              </w:rPr>
              <w:t>ons 0.1</w:t>
            </w:r>
          </w:p>
        </w:tc>
        <w:tc>
          <w:tcPr>
            <w:tcW w:w="1694" w:type="dxa"/>
          </w:tcPr>
          <w:p>
            <w:pPr>
              <w:pStyle w:val="TableParagraph"/>
              <w:rPr>
                <w:rFonts w:ascii="Times New Roman"/>
                <w:sz w:val="36"/>
              </w:rPr>
            </w:pPr>
          </w:p>
        </w:tc>
        <w:tc>
          <w:tcPr>
            <w:tcW w:w="1446" w:type="dxa"/>
          </w:tcPr>
          <w:p>
            <w:pPr>
              <w:pStyle w:val="TableParagraph"/>
              <w:rPr>
                <w:rFonts w:ascii="Times New Roman"/>
                <w:sz w:val="36"/>
              </w:rPr>
            </w:pPr>
          </w:p>
        </w:tc>
      </w:tr>
      <w:tr>
        <w:trPr>
          <w:trHeight w:val="1230" w:hRule="atLeast"/>
        </w:trPr>
        <w:tc>
          <w:tcPr>
            <w:tcW w:w="1766" w:type="dxa"/>
          </w:tcPr>
          <w:p>
            <w:pPr>
              <w:pStyle w:val="TableParagraph"/>
              <w:spacing w:line="278" w:lineRule="auto"/>
              <w:ind w:left="107" w:right="77"/>
              <w:rPr>
                <w:sz w:val="38"/>
              </w:rPr>
            </w:pPr>
            <w:r>
              <w:rPr>
                <w:sz w:val="38"/>
              </w:rPr>
              <w:t>Calf's liver sausage 92</w:t>
            </w:r>
          </w:p>
        </w:tc>
        <w:tc>
          <w:tcPr>
            <w:tcW w:w="1891" w:type="dxa"/>
          </w:tcPr>
          <w:p>
            <w:pPr>
              <w:pStyle w:val="TableParagraph"/>
              <w:rPr>
                <w:rFonts w:ascii="Times New Roman"/>
                <w:sz w:val="36"/>
              </w:rPr>
            </w:pPr>
          </w:p>
        </w:tc>
        <w:tc>
          <w:tcPr>
            <w:tcW w:w="1694" w:type="dxa"/>
          </w:tcPr>
          <w:p>
            <w:pPr>
              <w:pStyle w:val="TableParagraph"/>
              <w:rPr>
                <w:rFonts w:ascii="Times New Roman"/>
                <w:sz w:val="36"/>
              </w:rPr>
            </w:pPr>
          </w:p>
        </w:tc>
        <w:tc>
          <w:tcPr>
            <w:tcW w:w="1446" w:type="dxa"/>
          </w:tcPr>
          <w:p>
            <w:pPr>
              <w:pStyle w:val="TableParagraph"/>
              <w:rPr>
                <w:rFonts w:ascii="Times New Roman"/>
                <w:sz w:val="36"/>
              </w:rPr>
            </w:pPr>
          </w:p>
        </w:tc>
      </w:tr>
      <w:tr>
        <w:trPr>
          <w:trHeight w:val="1183" w:hRule="atLeast"/>
        </w:trPr>
        <w:tc>
          <w:tcPr>
            <w:tcW w:w="1766" w:type="dxa"/>
          </w:tcPr>
          <w:p>
            <w:pPr>
              <w:pStyle w:val="TableParagraph"/>
              <w:spacing w:line="278" w:lineRule="auto"/>
              <w:ind w:left="107" w:right="42"/>
              <w:rPr>
                <w:sz w:val="38"/>
              </w:rPr>
            </w:pPr>
            <w:r>
              <w:rPr>
                <w:sz w:val="38"/>
              </w:rPr>
              <w:t>Mor- tadella 92</w:t>
            </w:r>
          </w:p>
        </w:tc>
        <w:tc>
          <w:tcPr>
            <w:tcW w:w="1891" w:type="dxa"/>
          </w:tcPr>
          <w:p>
            <w:pPr>
              <w:pStyle w:val="TableParagraph"/>
              <w:rPr>
                <w:rFonts w:ascii="Times New Roman"/>
                <w:sz w:val="36"/>
              </w:rPr>
            </w:pPr>
          </w:p>
        </w:tc>
        <w:tc>
          <w:tcPr>
            <w:tcW w:w="1694" w:type="dxa"/>
          </w:tcPr>
          <w:p>
            <w:pPr>
              <w:pStyle w:val="TableParagraph"/>
              <w:rPr>
                <w:rFonts w:ascii="Times New Roman"/>
                <w:sz w:val="36"/>
              </w:rPr>
            </w:pPr>
          </w:p>
        </w:tc>
        <w:tc>
          <w:tcPr>
            <w:tcW w:w="1446" w:type="dxa"/>
          </w:tcPr>
          <w:p>
            <w:pPr>
              <w:pStyle w:val="TableParagraph"/>
              <w:rPr>
                <w:rFonts w:ascii="Times New Roman"/>
                <w:sz w:val="36"/>
              </w:rPr>
            </w:pPr>
          </w:p>
        </w:tc>
      </w:tr>
      <w:tr>
        <w:trPr>
          <w:trHeight w:val="1182" w:hRule="atLeast"/>
        </w:trPr>
        <w:tc>
          <w:tcPr>
            <w:tcW w:w="1766" w:type="dxa"/>
          </w:tcPr>
          <w:p>
            <w:pPr>
              <w:pStyle w:val="TableParagraph"/>
              <w:spacing w:line="278" w:lineRule="auto"/>
              <w:ind w:left="107" w:right="42"/>
              <w:rPr>
                <w:sz w:val="38"/>
              </w:rPr>
            </w:pPr>
            <w:r>
              <w:rPr>
                <w:sz w:val="38"/>
              </w:rPr>
              <w:t>Chicken leg 80</w:t>
            </w:r>
          </w:p>
        </w:tc>
        <w:tc>
          <w:tcPr>
            <w:tcW w:w="1891" w:type="dxa"/>
          </w:tcPr>
          <w:p>
            <w:pPr>
              <w:pStyle w:val="TableParagraph"/>
              <w:rPr>
                <w:rFonts w:ascii="Times New Roman"/>
                <w:sz w:val="36"/>
              </w:rPr>
            </w:pPr>
          </w:p>
        </w:tc>
        <w:tc>
          <w:tcPr>
            <w:tcW w:w="1694" w:type="dxa"/>
          </w:tcPr>
          <w:p>
            <w:pPr>
              <w:pStyle w:val="TableParagraph"/>
              <w:rPr>
                <w:rFonts w:ascii="Times New Roman"/>
                <w:sz w:val="36"/>
              </w:rPr>
            </w:pPr>
          </w:p>
        </w:tc>
        <w:tc>
          <w:tcPr>
            <w:tcW w:w="1446" w:type="dxa"/>
          </w:tcPr>
          <w:p>
            <w:pPr>
              <w:pStyle w:val="TableParagraph"/>
              <w:rPr>
                <w:rFonts w:ascii="Times New Roman"/>
                <w:sz w:val="36"/>
              </w:rPr>
            </w:pPr>
          </w:p>
        </w:tc>
      </w:tr>
      <w:tr>
        <w:trPr>
          <w:trHeight w:val="1182" w:hRule="atLeast"/>
        </w:trPr>
        <w:tc>
          <w:tcPr>
            <w:tcW w:w="1766" w:type="dxa"/>
          </w:tcPr>
          <w:p>
            <w:pPr>
              <w:pStyle w:val="TableParagraph"/>
              <w:spacing w:line="278" w:lineRule="auto"/>
              <w:ind w:left="107" w:right="295"/>
              <w:rPr>
                <w:sz w:val="38"/>
              </w:rPr>
            </w:pPr>
            <w:r>
              <w:rPr>
                <w:sz w:val="38"/>
              </w:rPr>
              <w:t>Chicken breast 78</w:t>
            </w:r>
          </w:p>
        </w:tc>
        <w:tc>
          <w:tcPr>
            <w:tcW w:w="1891" w:type="dxa"/>
          </w:tcPr>
          <w:p>
            <w:pPr>
              <w:pStyle w:val="TableParagraph"/>
              <w:rPr>
                <w:rFonts w:ascii="Times New Roman"/>
                <w:sz w:val="36"/>
              </w:rPr>
            </w:pPr>
          </w:p>
        </w:tc>
        <w:tc>
          <w:tcPr>
            <w:tcW w:w="1694" w:type="dxa"/>
          </w:tcPr>
          <w:p>
            <w:pPr>
              <w:pStyle w:val="TableParagraph"/>
              <w:rPr>
                <w:rFonts w:ascii="Times New Roman"/>
                <w:sz w:val="36"/>
              </w:rPr>
            </w:pPr>
          </w:p>
        </w:tc>
        <w:tc>
          <w:tcPr>
            <w:tcW w:w="1446" w:type="dxa"/>
          </w:tcPr>
          <w:p>
            <w:pPr>
              <w:pStyle w:val="TableParagraph"/>
              <w:rPr>
                <w:rFonts w:ascii="Times New Roman"/>
                <w:sz w:val="36"/>
              </w:rPr>
            </w:pPr>
          </w:p>
        </w:tc>
      </w:tr>
      <w:tr>
        <w:trPr>
          <w:trHeight w:val="1185" w:hRule="atLeast"/>
        </w:trPr>
        <w:tc>
          <w:tcPr>
            <w:tcW w:w="1766" w:type="dxa"/>
          </w:tcPr>
          <w:p>
            <w:pPr>
              <w:pStyle w:val="TableParagraph"/>
              <w:spacing w:line="276" w:lineRule="auto"/>
              <w:ind w:left="107" w:right="42"/>
              <w:rPr>
                <w:sz w:val="38"/>
              </w:rPr>
            </w:pPr>
            <w:r>
              <w:rPr>
                <w:sz w:val="38"/>
              </w:rPr>
              <w:t>Chicken fillet 62</w:t>
            </w:r>
          </w:p>
        </w:tc>
        <w:tc>
          <w:tcPr>
            <w:tcW w:w="1891" w:type="dxa"/>
          </w:tcPr>
          <w:p>
            <w:pPr>
              <w:pStyle w:val="TableParagraph"/>
              <w:rPr>
                <w:rFonts w:ascii="Times New Roman"/>
                <w:sz w:val="36"/>
              </w:rPr>
            </w:pPr>
          </w:p>
        </w:tc>
        <w:tc>
          <w:tcPr>
            <w:tcW w:w="1694" w:type="dxa"/>
          </w:tcPr>
          <w:p>
            <w:pPr>
              <w:pStyle w:val="TableParagraph"/>
              <w:rPr>
                <w:rFonts w:ascii="Times New Roman"/>
                <w:sz w:val="36"/>
              </w:rPr>
            </w:pPr>
          </w:p>
        </w:tc>
        <w:tc>
          <w:tcPr>
            <w:tcW w:w="1446" w:type="dxa"/>
          </w:tcPr>
          <w:p>
            <w:pPr>
              <w:pStyle w:val="TableParagraph"/>
              <w:rPr>
                <w:rFonts w:ascii="Times New Roman"/>
                <w:sz w:val="36"/>
              </w:rPr>
            </w:pPr>
          </w:p>
        </w:tc>
      </w:tr>
    </w:tbl>
    <w:p>
      <w:pPr>
        <w:spacing w:after="0"/>
        <w:rPr>
          <w:rFonts w:ascii="Times New Roman"/>
          <w:sz w:val="36"/>
        </w:rPr>
        <w:sectPr>
          <w:footerReference w:type="default" r:id="rId208"/>
          <w:pgSz w:w="14270" w:h="16850"/>
          <w:pgMar w:footer="404" w:header="0" w:top="1600" w:bottom="600" w:left="800" w:right="1280"/>
          <w:pgNumType w:start="880"/>
        </w:sectPr>
      </w:pPr>
    </w:p>
    <w:p>
      <w:pPr>
        <w:pStyle w:val="BodyText"/>
        <w:spacing w:before="1"/>
        <w:rPr>
          <w:rFonts w:ascii="Times New Roman"/>
          <w:sz w:val="16"/>
        </w:rPr>
      </w:pPr>
    </w:p>
    <w:tbl>
      <w:tblPr>
        <w:tblW w:w="0" w:type="auto"/>
        <w:jc w:val="left"/>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6"/>
        <w:gridCol w:w="1891"/>
        <w:gridCol w:w="1694"/>
        <w:gridCol w:w="1446"/>
      </w:tblGrid>
      <w:tr>
        <w:trPr>
          <w:trHeight w:val="1182" w:hRule="atLeast"/>
        </w:trPr>
        <w:tc>
          <w:tcPr>
            <w:tcW w:w="1766" w:type="dxa"/>
          </w:tcPr>
          <w:p>
            <w:pPr>
              <w:pStyle w:val="TableParagraph"/>
              <w:spacing w:line="278" w:lineRule="auto"/>
              <w:ind w:left="107" w:right="295"/>
              <w:rPr>
                <w:sz w:val="38"/>
              </w:rPr>
            </w:pPr>
            <w:r>
              <w:rPr>
                <w:sz w:val="38"/>
              </w:rPr>
              <w:t>Pheasant breast 60</w:t>
            </w:r>
          </w:p>
        </w:tc>
        <w:tc>
          <w:tcPr>
            <w:tcW w:w="1891" w:type="dxa"/>
          </w:tcPr>
          <w:p>
            <w:pPr>
              <w:pStyle w:val="TableParagraph"/>
              <w:rPr>
                <w:rFonts w:ascii="Times New Roman"/>
                <w:sz w:val="36"/>
              </w:rPr>
            </w:pPr>
          </w:p>
        </w:tc>
        <w:tc>
          <w:tcPr>
            <w:tcW w:w="1694" w:type="dxa"/>
          </w:tcPr>
          <w:p>
            <w:pPr>
              <w:pStyle w:val="TableParagraph"/>
              <w:rPr>
                <w:rFonts w:ascii="Times New Roman"/>
                <w:sz w:val="36"/>
              </w:rPr>
            </w:pPr>
          </w:p>
        </w:tc>
        <w:tc>
          <w:tcPr>
            <w:tcW w:w="1446" w:type="dxa"/>
          </w:tcPr>
          <w:p>
            <w:pPr>
              <w:pStyle w:val="TableParagraph"/>
              <w:rPr>
                <w:rFonts w:ascii="Times New Roman"/>
                <w:sz w:val="36"/>
              </w:rPr>
            </w:pPr>
          </w:p>
        </w:tc>
      </w:tr>
      <w:tr>
        <w:trPr>
          <w:trHeight w:val="1185" w:hRule="atLeast"/>
        </w:trPr>
        <w:tc>
          <w:tcPr>
            <w:tcW w:w="1766" w:type="dxa"/>
          </w:tcPr>
          <w:p>
            <w:pPr>
              <w:pStyle w:val="TableParagraph"/>
              <w:spacing w:line="276" w:lineRule="auto"/>
              <w:ind w:left="107" w:right="81"/>
              <w:rPr>
                <w:sz w:val="38"/>
              </w:rPr>
            </w:pPr>
            <w:r>
              <w:rPr>
                <w:sz w:val="38"/>
              </w:rPr>
              <w:t>Duck liver 43</w:t>
            </w:r>
          </w:p>
        </w:tc>
        <w:tc>
          <w:tcPr>
            <w:tcW w:w="1891" w:type="dxa"/>
          </w:tcPr>
          <w:p>
            <w:pPr>
              <w:pStyle w:val="TableParagraph"/>
              <w:rPr>
                <w:rFonts w:ascii="Times New Roman"/>
                <w:sz w:val="36"/>
              </w:rPr>
            </w:pPr>
          </w:p>
        </w:tc>
        <w:tc>
          <w:tcPr>
            <w:tcW w:w="1694" w:type="dxa"/>
          </w:tcPr>
          <w:p>
            <w:pPr>
              <w:pStyle w:val="TableParagraph"/>
              <w:rPr>
                <w:rFonts w:ascii="Times New Roman"/>
                <w:sz w:val="36"/>
              </w:rPr>
            </w:pPr>
          </w:p>
        </w:tc>
        <w:tc>
          <w:tcPr>
            <w:tcW w:w="1446" w:type="dxa"/>
          </w:tcPr>
          <w:p>
            <w:pPr>
              <w:pStyle w:val="TableParagraph"/>
              <w:rPr>
                <w:rFonts w:ascii="Times New Roman"/>
                <w:sz w:val="36"/>
              </w:rPr>
            </w:pPr>
          </w:p>
        </w:tc>
      </w:tr>
      <w:tr>
        <w:trPr>
          <w:trHeight w:val="1183" w:hRule="atLeast"/>
        </w:trPr>
        <w:tc>
          <w:tcPr>
            <w:tcW w:w="1766" w:type="dxa"/>
          </w:tcPr>
          <w:p>
            <w:pPr>
              <w:pStyle w:val="TableParagraph"/>
              <w:tabs>
                <w:tab w:pos="1022" w:val="left" w:leader="none"/>
              </w:tabs>
              <w:spacing w:line="278" w:lineRule="auto"/>
              <w:ind w:left="107" w:right="95"/>
              <w:rPr>
                <w:sz w:val="38"/>
              </w:rPr>
            </w:pPr>
            <w:r>
              <w:rPr>
                <w:sz w:val="38"/>
              </w:rPr>
              <w:t>Pig</w:t>
              <w:tab/>
              <w:t>liver</w:t>
            </w:r>
            <w:r>
              <w:rPr>
                <w:w w:val="99"/>
                <w:sz w:val="38"/>
              </w:rPr>
              <w:t> </w:t>
            </w:r>
            <w:r>
              <w:rPr>
                <w:sz w:val="38"/>
              </w:rPr>
              <w:t>36</w:t>
            </w:r>
          </w:p>
        </w:tc>
        <w:tc>
          <w:tcPr>
            <w:tcW w:w="1891" w:type="dxa"/>
          </w:tcPr>
          <w:p>
            <w:pPr>
              <w:pStyle w:val="TableParagraph"/>
              <w:rPr>
                <w:rFonts w:ascii="Times New Roman"/>
                <w:sz w:val="36"/>
              </w:rPr>
            </w:pPr>
          </w:p>
        </w:tc>
        <w:tc>
          <w:tcPr>
            <w:tcW w:w="1694" w:type="dxa"/>
          </w:tcPr>
          <w:p>
            <w:pPr>
              <w:pStyle w:val="TableParagraph"/>
              <w:rPr>
                <w:rFonts w:ascii="Times New Roman"/>
                <w:sz w:val="36"/>
              </w:rPr>
            </w:pPr>
          </w:p>
        </w:tc>
        <w:tc>
          <w:tcPr>
            <w:tcW w:w="1446" w:type="dxa"/>
          </w:tcPr>
          <w:p>
            <w:pPr>
              <w:pStyle w:val="TableParagraph"/>
              <w:rPr>
                <w:rFonts w:ascii="Times New Roman"/>
                <w:sz w:val="36"/>
              </w:rPr>
            </w:pPr>
          </w:p>
        </w:tc>
      </w:tr>
      <w:tr>
        <w:trPr>
          <w:trHeight w:val="1182" w:hRule="atLeast"/>
        </w:trPr>
        <w:tc>
          <w:tcPr>
            <w:tcW w:w="1766" w:type="dxa"/>
          </w:tcPr>
          <w:p>
            <w:pPr>
              <w:pStyle w:val="TableParagraph"/>
              <w:tabs>
                <w:tab w:pos="1058" w:val="left" w:leader="none"/>
              </w:tabs>
              <w:spacing w:line="278" w:lineRule="auto"/>
              <w:ind w:left="107" w:right="98"/>
              <w:rPr>
                <w:sz w:val="38"/>
              </w:rPr>
            </w:pPr>
            <w:r>
              <w:rPr>
                <w:sz w:val="38"/>
              </w:rPr>
              <w:t>Meat</w:t>
              <w:tab/>
              <w:t>sau- sage 30</w:t>
            </w:r>
          </w:p>
        </w:tc>
        <w:tc>
          <w:tcPr>
            <w:tcW w:w="1891" w:type="dxa"/>
          </w:tcPr>
          <w:p>
            <w:pPr>
              <w:pStyle w:val="TableParagraph"/>
              <w:rPr>
                <w:rFonts w:ascii="Times New Roman"/>
                <w:sz w:val="36"/>
              </w:rPr>
            </w:pPr>
          </w:p>
        </w:tc>
        <w:tc>
          <w:tcPr>
            <w:tcW w:w="1694" w:type="dxa"/>
          </w:tcPr>
          <w:p>
            <w:pPr>
              <w:pStyle w:val="TableParagraph"/>
              <w:rPr>
                <w:rFonts w:ascii="Times New Roman"/>
                <w:sz w:val="36"/>
              </w:rPr>
            </w:pPr>
          </w:p>
        </w:tc>
        <w:tc>
          <w:tcPr>
            <w:tcW w:w="1446" w:type="dxa"/>
          </w:tcPr>
          <w:p>
            <w:pPr>
              <w:pStyle w:val="TableParagraph"/>
              <w:rPr>
                <w:rFonts w:ascii="Times New Roman"/>
                <w:sz w:val="36"/>
              </w:rPr>
            </w:pPr>
          </w:p>
        </w:tc>
      </w:tr>
      <w:tr>
        <w:trPr>
          <w:trHeight w:val="1674" w:hRule="atLeast"/>
        </w:trPr>
        <w:tc>
          <w:tcPr>
            <w:tcW w:w="1766" w:type="dxa"/>
          </w:tcPr>
          <w:p>
            <w:pPr>
              <w:pStyle w:val="TableParagraph"/>
              <w:spacing w:line="276" w:lineRule="auto"/>
              <w:ind w:left="107" w:right="319"/>
              <w:rPr>
                <w:sz w:val="38"/>
              </w:rPr>
            </w:pPr>
            <w:r>
              <w:rPr>
                <w:sz w:val="38"/>
              </w:rPr>
              <w:t>Black pudding 12</w:t>
            </w:r>
          </w:p>
        </w:tc>
        <w:tc>
          <w:tcPr>
            <w:tcW w:w="1891" w:type="dxa"/>
          </w:tcPr>
          <w:p>
            <w:pPr>
              <w:pStyle w:val="TableParagraph"/>
              <w:rPr>
                <w:rFonts w:ascii="Times New Roman"/>
                <w:sz w:val="36"/>
              </w:rPr>
            </w:pPr>
          </w:p>
        </w:tc>
        <w:tc>
          <w:tcPr>
            <w:tcW w:w="1694" w:type="dxa"/>
          </w:tcPr>
          <w:p>
            <w:pPr>
              <w:pStyle w:val="TableParagraph"/>
              <w:rPr>
                <w:rFonts w:ascii="Times New Roman"/>
                <w:sz w:val="36"/>
              </w:rPr>
            </w:pPr>
          </w:p>
        </w:tc>
        <w:tc>
          <w:tcPr>
            <w:tcW w:w="1446" w:type="dxa"/>
          </w:tcPr>
          <w:p>
            <w:pPr>
              <w:pStyle w:val="TableParagraph"/>
              <w:rPr>
                <w:rFonts w:ascii="Times New Roman"/>
                <w:sz w:val="36"/>
              </w:rPr>
            </w:pPr>
          </w:p>
        </w:tc>
      </w:tr>
      <w:tr>
        <w:trPr>
          <w:trHeight w:val="1183" w:hRule="atLeast"/>
        </w:trPr>
        <w:tc>
          <w:tcPr>
            <w:tcW w:w="1766" w:type="dxa"/>
          </w:tcPr>
          <w:p>
            <w:pPr>
              <w:pStyle w:val="TableParagraph"/>
              <w:spacing w:line="278" w:lineRule="auto"/>
              <w:ind w:left="107" w:right="42"/>
              <w:rPr>
                <w:sz w:val="38"/>
              </w:rPr>
            </w:pPr>
            <w:r>
              <w:rPr>
                <w:sz w:val="38"/>
              </w:rPr>
              <w:t>Chicken eggs 8</w:t>
            </w:r>
          </w:p>
        </w:tc>
        <w:tc>
          <w:tcPr>
            <w:tcW w:w="1891" w:type="dxa"/>
          </w:tcPr>
          <w:p>
            <w:pPr>
              <w:pStyle w:val="TableParagraph"/>
              <w:rPr>
                <w:rFonts w:ascii="Times New Roman"/>
                <w:sz w:val="36"/>
              </w:rPr>
            </w:pPr>
          </w:p>
        </w:tc>
        <w:tc>
          <w:tcPr>
            <w:tcW w:w="1694" w:type="dxa"/>
          </w:tcPr>
          <w:p>
            <w:pPr>
              <w:pStyle w:val="TableParagraph"/>
              <w:rPr>
                <w:rFonts w:ascii="Times New Roman"/>
                <w:sz w:val="36"/>
              </w:rPr>
            </w:pPr>
          </w:p>
        </w:tc>
        <w:tc>
          <w:tcPr>
            <w:tcW w:w="1446" w:type="dxa"/>
          </w:tcPr>
          <w:p>
            <w:pPr>
              <w:pStyle w:val="TableParagraph"/>
              <w:rPr>
                <w:rFonts w:ascii="Times New Roman"/>
                <w:sz w:val="36"/>
              </w:rPr>
            </w:pPr>
          </w:p>
        </w:tc>
      </w:tr>
    </w:tbl>
    <w:p>
      <w:pPr>
        <w:pStyle w:val="BodyText"/>
        <w:rPr>
          <w:rFonts w:ascii="Times New Roman"/>
          <w:sz w:val="20"/>
        </w:rPr>
      </w:pPr>
    </w:p>
    <w:p>
      <w:pPr>
        <w:pStyle w:val="BodyText"/>
        <w:rPr>
          <w:rFonts w:ascii="Times New Roman"/>
          <w:sz w:val="20"/>
        </w:rPr>
      </w:pPr>
    </w:p>
    <w:p>
      <w:pPr>
        <w:pStyle w:val="Heading1"/>
        <w:spacing w:before="251"/>
      </w:pPr>
      <w:r>
        <w:rPr/>
        <w:t>Effect of L-carnitine</w:t>
      </w:r>
    </w:p>
    <w:p>
      <w:pPr>
        <w:pStyle w:val="BodyText"/>
        <w:spacing w:line="276" w:lineRule="auto" w:before="299"/>
        <w:ind w:left="477" w:right="134"/>
        <w:jc w:val="both"/>
      </w:pPr>
      <w:r>
        <w:rPr/>
        <w:t>In order to adequately describe the effect of L-carnitine on our body, it is nec- essary to differentiate between </w:t>
      </w:r>
      <w:r>
        <w:rPr>
          <w:i/>
        </w:rPr>
        <w:t>general </w:t>
      </w:r>
      <w:r>
        <w:rPr/>
        <w:t>and </w:t>
      </w:r>
      <w:r>
        <w:rPr>
          <w:i/>
        </w:rPr>
        <w:t>special </w:t>
      </w:r>
      <w:r>
        <w:rPr/>
        <w:t>effects. It is also advisable to examine the effect on the respective organs and organ systems, even before analysing the individual effect on different symptoms.</w:t>
      </w:r>
    </w:p>
    <w:p>
      <w:pPr>
        <w:spacing w:after="0" w:line="276" w:lineRule="auto"/>
        <w:jc w:val="both"/>
        <w:sectPr>
          <w:pgSz w:w="14270" w:h="16850"/>
          <w:pgMar w:header="0" w:footer="404" w:top="1600" w:bottom="600" w:left="800" w:right="1280"/>
        </w:sectPr>
      </w:pPr>
    </w:p>
    <w:p>
      <w:pPr>
        <w:pStyle w:val="Heading1"/>
        <w:spacing w:before="164"/>
      </w:pPr>
      <w:r>
        <w:rPr/>
        <w:t>General effect</w:t>
      </w:r>
    </w:p>
    <w:p>
      <w:pPr>
        <w:pStyle w:val="BodyText"/>
        <w:spacing w:before="299"/>
        <w:ind w:left="477"/>
      </w:pPr>
      <w:r>
        <w:rPr/>
        <w:t>Above all, L-carnitine has a positive</w:t>
      </w:r>
    </w:p>
    <w:p>
      <w:pPr>
        <w:pStyle w:val="BodyText"/>
        <w:spacing w:line="276" w:lineRule="auto" w:before="305"/>
        <w:ind w:left="477"/>
      </w:pPr>
      <w:r>
        <w:rPr/>
        <w:t>impact on our skeletal muscle, cardiovascular system and immune system and affects our body as follows:</w:t>
      </w:r>
    </w:p>
    <w:p>
      <w:pPr>
        <w:pStyle w:val="ListParagraph"/>
        <w:numPr>
          <w:ilvl w:val="1"/>
          <w:numId w:val="59"/>
        </w:numPr>
        <w:tabs>
          <w:tab w:pos="978" w:val="left" w:leader="none"/>
          <w:tab w:pos="979" w:val="left" w:leader="none"/>
        </w:tabs>
        <w:spacing w:line="240" w:lineRule="auto" w:before="242" w:after="0"/>
        <w:ind w:left="978" w:right="0" w:hanging="360"/>
        <w:jc w:val="left"/>
        <w:rPr>
          <w:sz w:val="38"/>
        </w:rPr>
      </w:pPr>
      <w:r>
        <w:rPr>
          <w:sz w:val="38"/>
        </w:rPr>
        <w:t>increases</w:t>
      </w:r>
      <w:r>
        <w:rPr>
          <w:spacing w:val="1"/>
          <w:sz w:val="38"/>
        </w:rPr>
        <w:t> </w:t>
      </w:r>
      <w:r>
        <w:rPr>
          <w:sz w:val="38"/>
        </w:rPr>
        <w:t>strength,</w:t>
      </w:r>
    </w:p>
    <w:p>
      <w:pPr>
        <w:pStyle w:val="ListParagraph"/>
        <w:numPr>
          <w:ilvl w:val="1"/>
          <w:numId w:val="59"/>
        </w:numPr>
        <w:tabs>
          <w:tab w:pos="978" w:val="left" w:leader="none"/>
          <w:tab w:pos="979" w:val="left" w:leader="none"/>
        </w:tabs>
        <w:spacing w:line="240" w:lineRule="auto" w:before="64" w:after="0"/>
        <w:ind w:left="978" w:right="0" w:hanging="360"/>
        <w:jc w:val="left"/>
        <w:rPr>
          <w:sz w:val="38"/>
        </w:rPr>
      </w:pPr>
      <w:r>
        <w:rPr>
          <w:sz w:val="38"/>
        </w:rPr>
        <w:t>supports fat-burning,</w:t>
      </w:r>
    </w:p>
    <w:p>
      <w:pPr>
        <w:pStyle w:val="ListParagraph"/>
        <w:numPr>
          <w:ilvl w:val="1"/>
          <w:numId w:val="59"/>
        </w:numPr>
        <w:tabs>
          <w:tab w:pos="978" w:val="left" w:leader="none"/>
          <w:tab w:pos="979" w:val="left" w:leader="none"/>
        </w:tabs>
        <w:spacing w:line="240" w:lineRule="auto" w:before="64" w:after="0"/>
        <w:ind w:left="978" w:right="0" w:hanging="360"/>
        <w:jc w:val="left"/>
        <w:rPr>
          <w:sz w:val="38"/>
        </w:rPr>
      </w:pPr>
      <w:r>
        <w:rPr>
          <w:sz w:val="38"/>
        </w:rPr>
        <w:t>supports metabolism,</w:t>
      </w:r>
    </w:p>
    <w:p>
      <w:pPr>
        <w:pStyle w:val="ListParagraph"/>
        <w:numPr>
          <w:ilvl w:val="1"/>
          <w:numId w:val="59"/>
        </w:numPr>
        <w:tabs>
          <w:tab w:pos="978" w:val="left" w:leader="none"/>
          <w:tab w:pos="979" w:val="left" w:leader="none"/>
        </w:tabs>
        <w:spacing w:line="240" w:lineRule="auto" w:before="64" w:after="0"/>
        <w:ind w:left="978" w:right="0" w:hanging="360"/>
        <w:jc w:val="left"/>
        <w:rPr>
          <w:sz w:val="38"/>
        </w:rPr>
      </w:pPr>
      <w:r>
        <w:rPr>
          <w:sz w:val="38"/>
        </w:rPr>
        <w:t>develops muscle,</w:t>
      </w:r>
    </w:p>
    <w:p>
      <w:pPr>
        <w:pStyle w:val="ListParagraph"/>
        <w:numPr>
          <w:ilvl w:val="1"/>
          <w:numId w:val="59"/>
        </w:numPr>
        <w:tabs>
          <w:tab w:pos="978" w:val="left" w:leader="none"/>
          <w:tab w:pos="979" w:val="left" w:leader="none"/>
        </w:tabs>
        <w:spacing w:line="240" w:lineRule="auto" w:before="63" w:after="0"/>
        <w:ind w:left="978" w:right="0" w:hanging="360"/>
        <w:jc w:val="left"/>
        <w:rPr>
          <w:sz w:val="38"/>
        </w:rPr>
      </w:pPr>
      <w:r>
        <w:rPr>
          <w:sz w:val="38"/>
        </w:rPr>
        <w:t>prophylactic effects against muscle</w:t>
      </w:r>
      <w:r>
        <w:rPr>
          <w:spacing w:val="1"/>
          <w:sz w:val="38"/>
        </w:rPr>
        <w:t> </w:t>
      </w:r>
      <w:r>
        <w:rPr>
          <w:sz w:val="38"/>
        </w:rPr>
        <w:t>injuries,</w:t>
      </w:r>
    </w:p>
    <w:p>
      <w:pPr>
        <w:pStyle w:val="ListParagraph"/>
        <w:numPr>
          <w:ilvl w:val="1"/>
          <w:numId w:val="59"/>
        </w:numPr>
        <w:tabs>
          <w:tab w:pos="978" w:val="left" w:leader="none"/>
          <w:tab w:pos="979" w:val="left" w:leader="none"/>
        </w:tabs>
        <w:spacing w:line="240" w:lineRule="auto" w:before="66" w:after="0"/>
        <w:ind w:left="978" w:right="0" w:hanging="360"/>
        <w:jc w:val="left"/>
        <w:rPr>
          <w:sz w:val="38"/>
        </w:rPr>
      </w:pPr>
      <w:r>
        <w:rPr>
          <w:sz w:val="38"/>
        </w:rPr>
        <w:t>prevents muscle pain,</w:t>
      </w:r>
    </w:p>
    <w:p>
      <w:pPr>
        <w:pStyle w:val="ListParagraph"/>
        <w:numPr>
          <w:ilvl w:val="1"/>
          <w:numId w:val="59"/>
        </w:numPr>
        <w:tabs>
          <w:tab w:pos="978" w:val="left" w:leader="none"/>
          <w:tab w:pos="979" w:val="left" w:leader="none"/>
        </w:tabs>
        <w:spacing w:line="240" w:lineRule="auto" w:before="64" w:after="0"/>
        <w:ind w:left="978" w:right="0" w:hanging="360"/>
        <w:jc w:val="left"/>
        <w:rPr>
          <w:sz w:val="38"/>
        </w:rPr>
      </w:pPr>
      <w:r>
        <w:rPr>
          <w:sz w:val="38"/>
        </w:rPr>
        <w:t>regenerates</w:t>
      </w:r>
      <w:r>
        <w:rPr>
          <w:spacing w:val="-1"/>
          <w:sz w:val="38"/>
        </w:rPr>
        <w:t> </w:t>
      </w:r>
      <w:r>
        <w:rPr>
          <w:sz w:val="38"/>
        </w:rPr>
        <w:t>muscle,</w:t>
      </w:r>
    </w:p>
    <w:p>
      <w:pPr>
        <w:pStyle w:val="ListParagraph"/>
        <w:numPr>
          <w:ilvl w:val="1"/>
          <w:numId w:val="59"/>
        </w:numPr>
        <w:tabs>
          <w:tab w:pos="978" w:val="left" w:leader="none"/>
          <w:tab w:pos="979" w:val="left" w:leader="none"/>
        </w:tabs>
        <w:spacing w:line="240" w:lineRule="auto" w:before="64" w:after="0"/>
        <w:ind w:left="978" w:right="0" w:hanging="360"/>
        <w:jc w:val="left"/>
        <w:rPr>
          <w:sz w:val="38"/>
        </w:rPr>
      </w:pPr>
      <w:r>
        <w:rPr>
          <w:sz w:val="38"/>
        </w:rPr>
        <w:t>shortens recovery</w:t>
      </w:r>
      <w:r>
        <w:rPr>
          <w:spacing w:val="-1"/>
          <w:sz w:val="38"/>
        </w:rPr>
        <w:t> </w:t>
      </w:r>
      <w:r>
        <w:rPr>
          <w:sz w:val="38"/>
        </w:rPr>
        <w:t>phases,</w:t>
      </w:r>
    </w:p>
    <w:p>
      <w:pPr>
        <w:pStyle w:val="ListParagraph"/>
        <w:numPr>
          <w:ilvl w:val="1"/>
          <w:numId w:val="59"/>
        </w:numPr>
        <w:tabs>
          <w:tab w:pos="978" w:val="left" w:leader="none"/>
          <w:tab w:pos="979" w:val="left" w:leader="none"/>
        </w:tabs>
        <w:spacing w:line="240" w:lineRule="auto" w:before="64" w:after="0"/>
        <w:ind w:left="978" w:right="0" w:hanging="360"/>
        <w:jc w:val="left"/>
        <w:rPr>
          <w:sz w:val="38"/>
        </w:rPr>
      </w:pPr>
      <w:r>
        <w:rPr>
          <w:sz w:val="38"/>
        </w:rPr>
        <w:t>protects the nervous system,</w:t>
      </w:r>
    </w:p>
    <w:p>
      <w:pPr>
        <w:pStyle w:val="ListParagraph"/>
        <w:numPr>
          <w:ilvl w:val="1"/>
          <w:numId w:val="59"/>
        </w:numPr>
        <w:tabs>
          <w:tab w:pos="978" w:val="left" w:leader="none"/>
          <w:tab w:pos="979" w:val="left" w:leader="none"/>
        </w:tabs>
        <w:spacing w:line="240" w:lineRule="auto" w:before="63" w:after="0"/>
        <w:ind w:left="978" w:right="0" w:hanging="360"/>
        <w:jc w:val="left"/>
        <w:rPr>
          <w:sz w:val="38"/>
        </w:rPr>
      </w:pPr>
      <w:r>
        <w:rPr>
          <w:sz w:val="38"/>
        </w:rPr>
        <w:t>increases cardiac</w:t>
      </w:r>
      <w:r>
        <w:rPr>
          <w:spacing w:val="2"/>
          <w:sz w:val="38"/>
        </w:rPr>
        <w:t> </w:t>
      </w:r>
      <w:r>
        <w:rPr>
          <w:sz w:val="38"/>
        </w:rPr>
        <w:t>output,</w:t>
      </w:r>
    </w:p>
    <w:p>
      <w:pPr>
        <w:pStyle w:val="ListParagraph"/>
        <w:numPr>
          <w:ilvl w:val="1"/>
          <w:numId w:val="59"/>
        </w:numPr>
        <w:tabs>
          <w:tab w:pos="978" w:val="left" w:leader="none"/>
          <w:tab w:pos="979" w:val="left" w:leader="none"/>
        </w:tabs>
        <w:spacing w:line="240" w:lineRule="auto" w:before="66" w:after="0"/>
        <w:ind w:left="978" w:right="0" w:hanging="360"/>
        <w:jc w:val="left"/>
        <w:rPr>
          <w:sz w:val="38"/>
        </w:rPr>
      </w:pPr>
      <w:r>
        <w:rPr>
          <w:sz w:val="38"/>
        </w:rPr>
        <w:t>promotes blood circulation,</w:t>
      </w:r>
    </w:p>
    <w:p>
      <w:pPr>
        <w:pStyle w:val="ListParagraph"/>
        <w:numPr>
          <w:ilvl w:val="1"/>
          <w:numId w:val="59"/>
        </w:numPr>
        <w:tabs>
          <w:tab w:pos="978" w:val="left" w:leader="none"/>
          <w:tab w:pos="979" w:val="left" w:leader="none"/>
        </w:tabs>
        <w:spacing w:line="240" w:lineRule="auto" w:before="64" w:after="0"/>
        <w:ind w:left="978" w:right="0" w:hanging="360"/>
        <w:jc w:val="left"/>
        <w:rPr>
          <w:sz w:val="38"/>
        </w:rPr>
      </w:pPr>
      <w:r>
        <w:rPr>
          <w:sz w:val="38"/>
        </w:rPr>
        <w:t>lowers the heart rate (pulse) during exercise,</w:t>
      </w:r>
    </w:p>
    <w:p>
      <w:pPr>
        <w:pStyle w:val="ListParagraph"/>
        <w:numPr>
          <w:ilvl w:val="1"/>
          <w:numId w:val="59"/>
        </w:numPr>
        <w:tabs>
          <w:tab w:pos="978" w:val="left" w:leader="none"/>
          <w:tab w:pos="979" w:val="left" w:leader="none"/>
        </w:tabs>
        <w:spacing w:line="240" w:lineRule="auto" w:before="63" w:after="0"/>
        <w:ind w:left="978" w:right="0" w:hanging="360"/>
        <w:jc w:val="left"/>
        <w:rPr>
          <w:sz w:val="38"/>
        </w:rPr>
      </w:pPr>
      <w:r>
        <w:rPr>
          <w:sz w:val="38"/>
        </w:rPr>
        <w:t>detoxifies (toxic organic substances are transported out of the</w:t>
      </w:r>
      <w:r>
        <w:rPr>
          <w:spacing w:val="-13"/>
          <w:sz w:val="38"/>
        </w:rPr>
        <w:t> </w:t>
      </w:r>
      <w:r>
        <w:rPr>
          <w:sz w:val="38"/>
        </w:rPr>
        <w:t>body),</w:t>
      </w:r>
    </w:p>
    <w:p>
      <w:pPr>
        <w:pStyle w:val="ListParagraph"/>
        <w:numPr>
          <w:ilvl w:val="1"/>
          <w:numId w:val="59"/>
        </w:numPr>
        <w:tabs>
          <w:tab w:pos="978" w:val="left" w:leader="none"/>
          <w:tab w:pos="979" w:val="left" w:leader="none"/>
        </w:tabs>
        <w:spacing w:line="240" w:lineRule="auto" w:before="64" w:after="0"/>
        <w:ind w:left="978" w:right="0" w:hanging="360"/>
        <w:jc w:val="left"/>
        <w:rPr>
          <w:sz w:val="38"/>
        </w:rPr>
      </w:pPr>
      <w:r>
        <w:rPr>
          <w:sz w:val="38"/>
        </w:rPr>
        <w:t>is an antidepressant,</w:t>
      </w:r>
    </w:p>
    <w:p>
      <w:pPr>
        <w:pStyle w:val="ListParagraph"/>
        <w:numPr>
          <w:ilvl w:val="1"/>
          <w:numId w:val="59"/>
        </w:numPr>
        <w:tabs>
          <w:tab w:pos="978" w:val="left" w:leader="none"/>
          <w:tab w:pos="979" w:val="left" w:leader="none"/>
        </w:tabs>
        <w:spacing w:line="240" w:lineRule="auto" w:before="64" w:after="0"/>
        <w:ind w:left="978" w:right="0" w:hanging="360"/>
        <w:jc w:val="left"/>
        <w:rPr>
          <w:sz w:val="38"/>
        </w:rPr>
      </w:pPr>
      <w:r>
        <w:rPr>
          <w:sz w:val="38"/>
        </w:rPr>
        <w:t>strengthens the</w:t>
      </w:r>
      <w:r>
        <w:rPr>
          <w:spacing w:val="-2"/>
          <w:sz w:val="38"/>
        </w:rPr>
        <w:t> </w:t>
      </w:r>
      <w:r>
        <w:rPr>
          <w:sz w:val="38"/>
        </w:rPr>
        <w:t>psyche,</w:t>
      </w:r>
    </w:p>
    <w:p>
      <w:pPr>
        <w:pStyle w:val="ListParagraph"/>
        <w:numPr>
          <w:ilvl w:val="1"/>
          <w:numId w:val="59"/>
        </w:numPr>
        <w:tabs>
          <w:tab w:pos="978" w:val="left" w:leader="none"/>
          <w:tab w:pos="979" w:val="left" w:leader="none"/>
        </w:tabs>
        <w:spacing w:line="240" w:lineRule="auto" w:before="66" w:after="0"/>
        <w:ind w:left="978" w:right="0" w:hanging="360"/>
        <w:jc w:val="left"/>
        <w:rPr>
          <w:sz w:val="38"/>
        </w:rPr>
      </w:pPr>
      <w:r>
        <w:rPr>
          <w:sz w:val="38"/>
        </w:rPr>
        <w:t>regulates blood sugar levels (glucose</w:t>
      </w:r>
      <w:r>
        <w:rPr>
          <w:spacing w:val="2"/>
          <w:sz w:val="38"/>
        </w:rPr>
        <w:t> </w:t>
      </w:r>
      <w:r>
        <w:rPr>
          <w:sz w:val="38"/>
        </w:rPr>
        <w:t>levels),</w:t>
      </w:r>
    </w:p>
    <w:p>
      <w:pPr>
        <w:pStyle w:val="ListParagraph"/>
        <w:numPr>
          <w:ilvl w:val="1"/>
          <w:numId w:val="59"/>
        </w:numPr>
        <w:tabs>
          <w:tab w:pos="978" w:val="left" w:leader="none"/>
          <w:tab w:pos="979" w:val="left" w:leader="none"/>
        </w:tabs>
        <w:spacing w:line="240" w:lineRule="auto" w:before="64" w:after="0"/>
        <w:ind w:left="978" w:right="0" w:hanging="360"/>
        <w:jc w:val="left"/>
        <w:rPr>
          <w:sz w:val="38"/>
        </w:rPr>
      </w:pPr>
      <w:r>
        <w:rPr>
          <w:sz w:val="38"/>
        </w:rPr>
        <w:t>regulates blood lipid levels (cholesterol</w:t>
      </w:r>
      <w:r>
        <w:rPr>
          <w:spacing w:val="1"/>
          <w:sz w:val="38"/>
        </w:rPr>
        <w:t> </w:t>
      </w:r>
      <w:r>
        <w:rPr>
          <w:sz w:val="38"/>
        </w:rPr>
        <w:t>levels),</w:t>
      </w:r>
    </w:p>
    <w:p>
      <w:pPr>
        <w:spacing w:after="0" w:line="240" w:lineRule="auto"/>
        <w:jc w:val="left"/>
        <w:rPr>
          <w:sz w:val="38"/>
        </w:rPr>
        <w:sectPr>
          <w:pgSz w:w="14270" w:h="16850"/>
          <w:pgMar w:header="0" w:footer="404" w:top="1600" w:bottom="2080" w:left="800" w:right="1280"/>
        </w:sectPr>
      </w:pPr>
    </w:p>
    <w:p>
      <w:pPr>
        <w:pStyle w:val="BodyText"/>
        <w:spacing w:before="10"/>
        <w:rPr>
          <w:sz w:val="8"/>
        </w:rPr>
      </w:pPr>
    </w:p>
    <w:p>
      <w:pPr>
        <w:pStyle w:val="ListParagraph"/>
        <w:numPr>
          <w:ilvl w:val="1"/>
          <w:numId w:val="59"/>
        </w:numPr>
        <w:tabs>
          <w:tab w:pos="978" w:val="left" w:leader="none"/>
          <w:tab w:pos="979" w:val="left" w:leader="none"/>
        </w:tabs>
        <w:spacing w:line="240" w:lineRule="auto" w:before="83" w:after="0"/>
        <w:ind w:left="978" w:right="0" w:hanging="360"/>
        <w:jc w:val="left"/>
        <w:rPr>
          <w:sz w:val="38"/>
        </w:rPr>
      </w:pPr>
      <w:r>
        <w:rPr>
          <w:sz w:val="38"/>
        </w:rPr>
        <w:t>strengthens cognitive performance</w:t>
      </w:r>
      <w:r>
        <w:rPr>
          <w:spacing w:val="-2"/>
          <w:sz w:val="38"/>
        </w:rPr>
        <w:t> </w:t>
      </w:r>
      <w:r>
        <w:rPr>
          <w:sz w:val="38"/>
        </w:rPr>
        <w:t>and</w:t>
      </w:r>
    </w:p>
    <w:p>
      <w:pPr>
        <w:pStyle w:val="ListParagraph"/>
        <w:numPr>
          <w:ilvl w:val="1"/>
          <w:numId w:val="59"/>
        </w:numPr>
        <w:tabs>
          <w:tab w:pos="978" w:val="left" w:leader="none"/>
          <w:tab w:pos="979" w:val="left" w:leader="none"/>
        </w:tabs>
        <w:spacing w:line="240" w:lineRule="auto" w:before="64" w:after="0"/>
        <w:ind w:left="978" w:right="0" w:hanging="360"/>
        <w:jc w:val="left"/>
        <w:rPr>
          <w:sz w:val="38"/>
        </w:rPr>
      </w:pPr>
      <w:r>
        <w:rPr>
          <w:sz w:val="38"/>
        </w:rPr>
        <w:t>the immune</w:t>
      </w:r>
      <w:r>
        <w:rPr>
          <w:spacing w:val="2"/>
          <w:sz w:val="38"/>
        </w:rPr>
        <w:t> </w:t>
      </w:r>
      <w:r>
        <w:rPr>
          <w:sz w:val="38"/>
        </w:rPr>
        <w:t>system.</w:t>
      </w:r>
    </w:p>
    <w:p>
      <w:pPr>
        <w:pStyle w:val="Heading1"/>
        <w:spacing w:before="287"/>
        <w:jc w:val="both"/>
      </w:pPr>
      <w:r>
        <w:rPr/>
        <w:t>Effect on the following organs and organ systems:</w:t>
      </w:r>
    </w:p>
    <w:p>
      <w:pPr>
        <w:pStyle w:val="ListParagraph"/>
        <w:numPr>
          <w:ilvl w:val="0"/>
          <w:numId w:val="59"/>
        </w:numPr>
        <w:tabs>
          <w:tab w:pos="1179" w:val="left" w:leader="none"/>
        </w:tabs>
        <w:spacing w:line="240" w:lineRule="auto" w:before="178" w:after="0"/>
        <w:ind w:left="1178" w:right="0" w:hanging="701"/>
        <w:jc w:val="both"/>
        <w:rPr>
          <w:sz w:val="38"/>
        </w:rPr>
      </w:pPr>
      <w:r>
        <w:rPr>
          <w:sz w:val="38"/>
        </w:rPr>
        <w:t>Cardiovascular system</w:t>
      </w:r>
    </w:p>
    <w:p>
      <w:pPr>
        <w:pStyle w:val="ListParagraph"/>
        <w:numPr>
          <w:ilvl w:val="0"/>
          <w:numId w:val="59"/>
        </w:numPr>
        <w:tabs>
          <w:tab w:pos="1176" w:val="left" w:leader="none"/>
        </w:tabs>
        <w:spacing w:line="240" w:lineRule="auto" w:before="66" w:after="0"/>
        <w:ind w:left="1175" w:right="0" w:hanging="698"/>
        <w:jc w:val="both"/>
        <w:rPr>
          <w:sz w:val="38"/>
        </w:rPr>
      </w:pPr>
      <w:r>
        <w:rPr>
          <w:sz w:val="38"/>
        </w:rPr>
        <w:t>Musculature</w:t>
      </w:r>
    </w:p>
    <w:p>
      <w:pPr>
        <w:pStyle w:val="ListParagraph"/>
        <w:numPr>
          <w:ilvl w:val="0"/>
          <w:numId w:val="59"/>
        </w:numPr>
        <w:tabs>
          <w:tab w:pos="1179" w:val="left" w:leader="none"/>
        </w:tabs>
        <w:spacing w:line="240" w:lineRule="auto" w:before="64" w:after="0"/>
        <w:ind w:left="1178" w:right="0" w:hanging="701"/>
        <w:jc w:val="both"/>
        <w:rPr>
          <w:sz w:val="38"/>
        </w:rPr>
      </w:pPr>
      <w:r>
        <w:rPr>
          <w:sz w:val="38"/>
        </w:rPr>
        <w:t>Brain</w:t>
      </w:r>
    </w:p>
    <w:p>
      <w:pPr>
        <w:pStyle w:val="ListParagraph"/>
        <w:numPr>
          <w:ilvl w:val="0"/>
          <w:numId w:val="59"/>
        </w:numPr>
        <w:tabs>
          <w:tab w:pos="1179" w:val="left" w:leader="none"/>
        </w:tabs>
        <w:spacing w:line="240" w:lineRule="auto" w:before="64" w:after="0"/>
        <w:ind w:left="1178" w:right="0" w:hanging="701"/>
        <w:jc w:val="both"/>
        <w:rPr>
          <w:sz w:val="38"/>
        </w:rPr>
      </w:pPr>
      <w:r>
        <w:rPr>
          <w:sz w:val="38"/>
        </w:rPr>
        <w:t>Immune</w:t>
      </w:r>
      <w:r>
        <w:rPr>
          <w:spacing w:val="-2"/>
          <w:sz w:val="38"/>
        </w:rPr>
        <w:t> </w:t>
      </w:r>
      <w:r>
        <w:rPr>
          <w:sz w:val="38"/>
        </w:rPr>
        <w:t>system</w:t>
      </w:r>
    </w:p>
    <w:p>
      <w:pPr>
        <w:pStyle w:val="ListParagraph"/>
        <w:numPr>
          <w:ilvl w:val="0"/>
          <w:numId w:val="59"/>
        </w:numPr>
        <w:tabs>
          <w:tab w:pos="1176" w:val="left" w:leader="none"/>
        </w:tabs>
        <w:spacing w:line="240" w:lineRule="auto" w:before="64" w:after="0"/>
        <w:ind w:left="1175" w:right="0" w:hanging="698"/>
        <w:jc w:val="both"/>
        <w:rPr>
          <w:sz w:val="38"/>
        </w:rPr>
      </w:pPr>
      <w:r>
        <w:rPr>
          <w:sz w:val="38"/>
        </w:rPr>
        <w:t>Endocrine</w:t>
      </w:r>
      <w:r>
        <w:rPr>
          <w:spacing w:val="-1"/>
          <w:sz w:val="38"/>
        </w:rPr>
        <w:t> </w:t>
      </w:r>
      <w:r>
        <w:rPr>
          <w:sz w:val="38"/>
        </w:rPr>
        <w:t>system</w:t>
      </w:r>
    </w:p>
    <w:p>
      <w:pPr>
        <w:pStyle w:val="ListParagraph"/>
        <w:numPr>
          <w:ilvl w:val="0"/>
          <w:numId w:val="59"/>
        </w:numPr>
        <w:tabs>
          <w:tab w:pos="1179" w:val="left" w:leader="none"/>
        </w:tabs>
        <w:spacing w:line="240" w:lineRule="auto" w:before="63" w:after="0"/>
        <w:ind w:left="1178" w:right="0" w:hanging="701"/>
        <w:jc w:val="both"/>
        <w:rPr>
          <w:sz w:val="38"/>
        </w:rPr>
      </w:pPr>
      <w:r>
        <w:rPr>
          <w:sz w:val="38"/>
        </w:rPr>
        <w:t>DNA</w:t>
      </w:r>
    </w:p>
    <w:p>
      <w:pPr>
        <w:pStyle w:val="ListParagraph"/>
        <w:numPr>
          <w:ilvl w:val="0"/>
          <w:numId w:val="59"/>
        </w:numPr>
        <w:tabs>
          <w:tab w:pos="1179" w:val="left" w:leader="none"/>
        </w:tabs>
        <w:spacing w:line="240" w:lineRule="auto" w:before="66" w:after="0"/>
        <w:ind w:left="1178" w:right="0" w:hanging="701"/>
        <w:jc w:val="both"/>
        <w:rPr>
          <w:sz w:val="38"/>
        </w:rPr>
      </w:pPr>
      <w:r>
        <w:rPr>
          <w:sz w:val="38"/>
        </w:rPr>
        <w:t>Liver</w:t>
      </w:r>
    </w:p>
    <w:p>
      <w:pPr>
        <w:pStyle w:val="ListParagraph"/>
        <w:numPr>
          <w:ilvl w:val="0"/>
          <w:numId w:val="59"/>
        </w:numPr>
        <w:tabs>
          <w:tab w:pos="1176" w:val="left" w:leader="none"/>
        </w:tabs>
        <w:spacing w:line="240" w:lineRule="auto" w:before="64" w:after="0"/>
        <w:ind w:left="1175" w:right="0" w:hanging="698"/>
        <w:jc w:val="both"/>
        <w:rPr>
          <w:sz w:val="38"/>
        </w:rPr>
      </w:pPr>
      <w:r>
        <w:rPr>
          <w:sz w:val="38"/>
        </w:rPr>
        <w:t>Sperm</w:t>
      </w:r>
    </w:p>
    <w:p>
      <w:pPr>
        <w:pStyle w:val="Heading1"/>
        <w:spacing w:before="285"/>
        <w:jc w:val="both"/>
      </w:pPr>
      <w:r>
        <w:rPr/>
        <w:t>Effect on the cardiovascular system</w:t>
      </w:r>
    </w:p>
    <w:p>
      <w:pPr>
        <w:pStyle w:val="BodyText"/>
        <w:spacing w:line="276" w:lineRule="auto" w:before="299"/>
        <w:ind w:left="477" w:right="131"/>
        <w:jc w:val="both"/>
      </w:pPr>
      <w:r>
        <w:rPr/>
        <w:t>The heart muscle relies on the energy from fatty acids to help it function cor- rectly and healthily. But only with carnitine can these fatty acids be used by the body as an energy source. L-carnitine acts as an energy carrier and allows the muscles, the heart and other organs to utilise the fatty acids as energy. L-car- nitine strengthens the heart muscles and can thus prevent heart disease and a heart</w:t>
      </w:r>
      <w:r>
        <w:rPr>
          <w:spacing w:val="-8"/>
        </w:rPr>
        <w:t> </w:t>
      </w:r>
      <w:r>
        <w:rPr/>
        <w:t>attack.</w:t>
      </w:r>
      <w:r>
        <w:rPr>
          <w:spacing w:val="-6"/>
        </w:rPr>
        <w:t> </w:t>
      </w:r>
      <w:r>
        <w:rPr/>
        <w:t>In</w:t>
      </w:r>
      <w:r>
        <w:rPr>
          <w:spacing w:val="-6"/>
        </w:rPr>
        <w:t> </w:t>
      </w:r>
      <w:r>
        <w:rPr/>
        <w:t>animal</w:t>
      </w:r>
      <w:r>
        <w:rPr>
          <w:spacing w:val="-8"/>
        </w:rPr>
        <w:t> </w:t>
      </w:r>
      <w:r>
        <w:rPr/>
        <w:t>studies,</w:t>
      </w:r>
      <w:r>
        <w:rPr>
          <w:spacing w:val="-7"/>
        </w:rPr>
        <w:t> </w:t>
      </w:r>
      <w:r>
        <w:rPr/>
        <w:t>acetyl-L-carnitine</w:t>
      </w:r>
      <w:r>
        <w:rPr>
          <w:spacing w:val="-6"/>
        </w:rPr>
        <w:t> </w:t>
      </w:r>
      <w:r>
        <w:rPr/>
        <w:t>(ALC)</w:t>
      </w:r>
      <w:r>
        <w:rPr>
          <w:spacing w:val="-7"/>
        </w:rPr>
        <w:t> </w:t>
      </w:r>
      <w:r>
        <w:rPr/>
        <w:t>in</w:t>
      </w:r>
      <w:r>
        <w:rPr>
          <w:spacing w:val="-7"/>
        </w:rPr>
        <w:t> </w:t>
      </w:r>
      <w:r>
        <w:rPr/>
        <w:t>the</w:t>
      </w:r>
      <w:r>
        <w:rPr>
          <w:spacing w:val="-7"/>
        </w:rPr>
        <w:t> </w:t>
      </w:r>
      <w:r>
        <w:rPr/>
        <w:t>heart</w:t>
      </w:r>
      <w:r>
        <w:rPr>
          <w:spacing w:val="-7"/>
        </w:rPr>
        <w:t> </w:t>
      </w:r>
      <w:r>
        <w:rPr/>
        <w:t>muscle</w:t>
      </w:r>
      <w:r>
        <w:rPr>
          <w:spacing w:val="-7"/>
        </w:rPr>
        <w:t> </w:t>
      </w:r>
      <w:r>
        <w:rPr/>
        <w:t>has reversed the degradation of phosphate transport molecules, which are essential for healthy membrane function and the resulting energy supply to the heart. In further studies, acetyl-L-carnitine (ALC) prevented hypoxia in the heart</w:t>
      </w:r>
      <w:r>
        <w:rPr>
          <w:spacing w:val="-56"/>
        </w:rPr>
        <w:t> </w:t>
      </w:r>
      <w:r>
        <w:rPr/>
        <w:t>muscle</w:t>
      </w:r>
    </w:p>
    <w:p>
      <w:pPr>
        <w:spacing w:after="0" w:line="276" w:lineRule="auto"/>
        <w:jc w:val="both"/>
        <w:sectPr>
          <w:pgSz w:w="14270" w:h="16850"/>
          <w:pgMar w:header="0" w:footer="404" w:top="1600" w:bottom="2080" w:left="800" w:right="1280"/>
        </w:sectPr>
      </w:pPr>
    </w:p>
    <w:p>
      <w:pPr>
        <w:pStyle w:val="BodyText"/>
        <w:spacing w:line="276" w:lineRule="auto" w:before="181"/>
        <w:ind w:left="477" w:right="132"/>
        <w:jc w:val="both"/>
      </w:pPr>
      <w:r>
        <w:rPr/>
        <w:t>(see ‘L-carnitine studies’). In addition, the endothelial and smooth muscle cells of our blood vessels are subject to L-carnitine-dependent metabolism, which causes</w:t>
      </w:r>
      <w:r>
        <w:rPr>
          <w:spacing w:val="-14"/>
        </w:rPr>
        <w:t> </w:t>
      </w:r>
      <w:r>
        <w:rPr/>
        <w:t>L-carnitine</w:t>
      </w:r>
      <w:r>
        <w:rPr>
          <w:spacing w:val="-14"/>
        </w:rPr>
        <w:t> </w:t>
      </w:r>
      <w:r>
        <w:rPr/>
        <w:t>to</w:t>
      </w:r>
      <w:r>
        <w:rPr>
          <w:spacing w:val="-14"/>
        </w:rPr>
        <w:t> </w:t>
      </w:r>
      <w:r>
        <w:rPr/>
        <w:t>vasodilate,</w:t>
      </w:r>
      <w:r>
        <w:rPr>
          <w:spacing w:val="-12"/>
        </w:rPr>
        <w:t> </w:t>
      </w:r>
      <w:r>
        <w:rPr/>
        <w:t>leading</w:t>
      </w:r>
      <w:r>
        <w:rPr>
          <w:spacing w:val="-14"/>
        </w:rPr>
        <w:t> </w:t>
      </w:r>
      <w:r>
        <w:rPr/>
        <w:t>to</w:t>
      </w:r>
      <w:r>
        <w:rPr>
          <w:spacing w:val="-14"/>
        </w:rPr>
        <w:t> </w:t>
      </w:r>
      <w:r>
        <w:rPr/>
        <w:t>many</w:t>
      </w:r>
      <w:r>
        <w:rPr>
          <w:spacing w:val="-12"/>
        </w:rPr>
        <w:t> </w:t>
      </w:r>
      <w:r>
        <w:rPr/>
        <w:t>other</w:t>
      </w:r>
      <w:r>
        <w:rPr>
          <w:spacing w:val="-13"/>
        </w:rPr>
        <w:t> </w:t>
      </w:r>
      <w:r>
        <w:rPr/>
        <w:t>cardiovascular</w:t>
      </w:r>
      <w:r>
        <w:rPr>
          <w:spacing w:val="-14"/>
        </w:rPr>
        <w:t> </w:t>
      </w:r>
      <w:r>
        <w:rPr/>
        <w:t>and</w:t>
      </w:r>
      <w:r>
        <w:rPr>
          <w:spacing w:val="-14"/>
        </w:rPr>
        <w:t> </w:t>
      </w:r>
      <w:r>
        <w:rPr/>
        <w:t>other benefits.</w:t>
      </w:r>
    </w:p>
    <w:p>
      <w:pPr>
        <w:pStyle w:val="Heading1"/>
        <w:spacing w:before="225"/>
      </w:pPr>
      <w:r>
        <w:rPr/>
        <w:t>Effect on the blood vessels</w:t>
      </w:r>
    </w:p>
    <w:p>
      <w:pPr>
        <w:pStyle w:val="BodyText"/>
        <w:spacing w:line="276" w:lineRule="auto" w:before="177"/>
        <w:ind w:left="477" w:right="129"/>
        <w:jc w:val="both"/>
      </w:pPr>
      <w:r>
        <w:rPr/>
        <w:t>Due</w:t>
      </w:r>
      <w:r>
        <w:rPr>
          <w:spacing w:val="-12"/>
        </w:rPr>
        <w:t> </w:t>
      </w:r>
      <w:r>
        <w:rPr/>
        <w:t>to</w:t>
      </w:r>
      <w:r>
        <w:rPr>
          <w:spacing w:val="-10"/>
        </w:rPr>
        <w:t> </w:t>
      </w:r>
      <w:r>
        <w:rPr/>
        <w:t>the</w:t>
      </w:r>
      <w:r>
        <w:rPr>
          <w:spacing w:val="-10"/>
        </w:rPr>
        <w:t> </w:t>
      </w:r>
      <w:r>
        <w:rPr/>
        <w:t>vasodilating</w:t>
      </w:r>
      <w:r>
        <w:rPr>
          <w:spacing w:val="-11"/>
        </w:rPr>
        <w:t> </w:t>
      </w:r>
      <w:r>
        <w:rPr/>
        <w:t>effect</w:t>
      </w:r>
      <w:r>
        <w:rPr>
          <w:spacing w:val="-10"/>
        </w:rPr>
        <w:t> </w:t>
      </w:r>
      <w:r>
        <w:rPr/>
        <w:t>of</w:t>
      </w:r>
      <w:r>
        <w:rPr>
          <w:spacing w:val="-10"/>
        </w:rPr>
        <w:t> </w:t>
      </w:r>
      <w:r>
        <w:rPr/>
        <w:t>the</w:t>
      </w:r>
      <w:r>
        <w:rPr>
          <w:spacing w:val="-11"/>
        </w:rPr>
        <w:t> </w:t>
      </w:r>
      <w:r>
        <w:rPr/>
        <w:t>effect</w:t>
      </w:r>
      <w:r>
        <w:rPr>
          <w:spacing w:val="-10"/>
        </w:rPr>
        <w:t> </w:t>
      </w:r>
      <w:r>
        <w:rPr/>
        <w:t>on</w:t>
      </w:r>
      <w:r>
        <w:rPr>
          <w:spacing w:val="-12"/>
        </w:rPr>
        <w:t> </w:t>
      </w:r>
      <w:r>
        <w:rPr/>
        <w:t>the</w:t>
      </w:r>
      <w:r>
        <w:rPr>
          <w:spacing w:val="-11"/>
        </w:rPr>
        <w:t> </w:t>
      </w:r>
      <w:r>
        <w:rPr/>
        <w:t>endothelial</w:t>
      </w:r>
      <w:r>
        <w:rPr>
          <w:spacing w:val="-12"/>
        </w:rPr>
        <w:t> </w:t>
      </w:r>
      <w:r>
        <w:rPr/>
        <w:t>and</w:t>
      </w:r>
      <w:r>
        <w:rPr>
          <w:spacing w:val="-10"/>
        </w:rPr>
        <w:t> </w:t>
      </w:r>
      <w:r>
        <w:rPr/>
        <w:t>smooth</w:t>
      </w:r>
      <w:r>
        <w:rPr>
          <w:spacing w:val="-11"/>
        </w:rPr>
        <w:t> </w:t>
      </w:r>
      <w:r>
        <w:rPr/>
        <w:t>mus- cle cells of our blood vessels, there are numerous advantages due to the in- creased blood</w:t>
      </w:r>
      <w:r>
        <w:rPr>
          <w:spacing w:val="2"/>
        </w:rPr>
        <w:t> </w:t>
      </w:r>
      <w:r>
        <w:rPr/>
        <w:t>flow:</w:t>
      </w:r>
    </w:p>
    <w:p>
      <w:pPr>
        <w:pStyle w:val="ListParagraph"/>
        <w:numPr>
          <w:ilvl w:val="1"/>
          <w:numId w:val="59"/>
        </w:numPr>
        <w:tabs>
          <w:tab w:pos="978" w:val="left" w:leader="none"/>
          <w:tab w:pos="979" w:val="left" w:leader="none"/>
        </w:tabs>
        <w:spacing w:line="240" w:lineRule="auto" w:before="243" w:after="0"/>
        <w:ind w:left="978" w:right="0" w:hanging="360"/>
        <w:jc w:val="left"/>
        <w:rPr>
          <w:sz w:val="38"/>
        </w:rPr>
      </w:pPr>
      <w:r>
        <w:rPr>
          <w:sz w:val="38"/>
        </w:rPr>
        <w:t>improved circulation to the</w:t>
      </w:r>
      <w:r>
        <w:rPr>
          <w:spacing w:val="3"/>
          <w:sz w:val="38"/>
        </w:rPr>
        <w:t> </w:t>
      </w:r>
      <w:r>
        <w:rPr>
          <w:sz w:val="38"/>
        </w:rPr>
        <w:t>heart,</w:t>
      </w:r>
    </w:p>
    <w:p>
      <w:pPr>
        <w:pStyle w:val="ListParagraph"/>
        <w:numPr>
          <w:ilvl w:val="1"/>
          <w:numId w:val="59"/>
        </w:numPr>
        <w:tabs>
          <w:tab w:pos="978" w:val="left" w:leader="none"/>
          <w:tab w:pos="979" w:val="left" w:leader="none"/>
        </w:tabs>
        <w:spacing w:line="240" w:lineRule="auto" w:before="63" w:after="0"/>
        <w:ind w:left="978" w:right="0" w:hanging="360"/>
        <w:jc w:val="left"/>
        <w:rPr>
          <w:sz w:val="38"/>
        </w:rPr>
      </w:pPr>
      <w:r>
        <w:rPr>
          <w:sz w:val="38"/>
        </w:rPr>
        <w:t>lowering blood pressure in people suffering from</w:t>
      </w:r>
      <w:r>
        <w:rPr>
          <w:spacing w:val="-8"/>
          <w:sz w:val="38"/>
        </w:rPr>
        <w:t> </w:t>
      </w:r>
      <w:r>
        <w:rPr>
          <w:sz w:val="38"/>
        </w:rPr>
        <w:t>hypertension,</w:t>
      </w:r>
    </w:p>
    <w:p>
      <w:pPr>
        <w:pStyle w:val="ListParagraph"/>
        <w:numPr>
          <w:ilvl w:val="1"/>
          <w:numId w:val="59"/>
        </w:numPr>
        <w:tabs>
          <w:tab w:pos="978" w:val="left" w:leader="none"/>
          <w:tab w:pos="979" w:val="left" w:leader="none"/>
        </w:tabs>
        <w:spacing w:line="240" w:lineRule="auto" w:before="64" w:after="0"/>
        <w:ind w:left="978" w:right="0" w:hanging="360"/>
        <w:jc w:val="left"/>
        <w:rPr>
          <w:sz w:val="38"/>
        </w:rPr>
      </w:pPr>
      <w:r>
        <w:rPr>
          <w:sz w:val="38"/>
        </w:rPr>
        <w:t>reduction of the heart rate</w:t>
      </w:r>
      <w:r>
        <w:rPr>
          <w:spacing w:val="-1"/>
          <w:sz w:val="38"/>
        </w:rPr>
        <w:t> </w:t>
      </w:r>
      <w:r>
        <w:rPr>
          <w:sz w:val="38"/>
        </w:rPr>
        <w:t>(pulse),</w:t>
      </w:r>
    </w:p>
    <w:p>
      <w:pPr>
        <w:pStyle w:val="ListParagraph"/>
        <w:numPr>
          <w:ilvl w:val="1"/>
          <w:numId w:val="59"/>
        </w:numPr>
        <w:tabs>
          <w:tab w:pos="978" w:val="left" w:leader="none"/>
          <w:tab w:pos="979" w:val="left" w:leader="none"/>
        </w:tabs>
        <w:spacing w:line="240" w:lineRule="auto" w:before="66" w:after="0"/>
        <w:ind w:left="978" w:right="0" w:hanging="360"/>
        <w:jc w:val="left"/>
        <w:rPr>
          <w:sz w:val="38"/>
        </w:rPr>
      </w:pPr>
      <w:r>
        <w:rPr>
          <w:sz w:val="38"/>
        </w:rPr>
        <w:t>increase in the circulation of the skeletal</w:t>
      </w:r>
      <w:r>
        <w:rPr>
          <w:spacing w:val="2"/>
          <w:sz w:val="38"/>
        </w:rPr>
        <w:t> </w:t>
      </w:r>
      <w:r>
        <w:rPr>
          <w:sz w:val="38"/>
        </w:rPr>
        <w:t>musculature,</w:t>
      </w:r>
    </w:p>
    <w:p>
      <w:pPr>
        <w:pStyle w:val="ListParagraph"/>
        <w:numPr>
          <w:ilvl w:val="1"/>
          <w:numId w:val="59"/>
        </w:numPr>
        <w:tabs>
          <w:tab w:pos="978" w:val="left" w:leader="none"/>
          <w:tab w:pos="979" w:val="left" w:leader="none"/>
        </w:tabs>
        <w:spacing w:line="240" w:lineRule="auto" w:before="64" w:after="0"/>
        <w:ind w:left="978" w:right="0" w:hanging="360"/>
        <w:jc w:val="left"/>
        <w:rPr>
          <w:sz w:val="38"/>
        </w:rPr>
      </w:pPr>
      <w:r>
        <w:rPr>
          <w:sz w:val="38"/>
        </w:rPr>
        <w:t>increase in the oxygen absorption capacity of skeletal</w:t>
      </w:r>
      <w:r>
        <w:rPr>
          <w:spacing w:val="-3"/>
          <w:sz w:val="38"/>
        </w:rPr>
        <w:t> </w:t>
      </w:r>
      <w:r>
        <w:rPr>
          <w:sz w:val="38"/>
        </w:rPr>
        <w:t>muscle,</w:t>
      </w:r>
    </w:p>
    <w:p>
      <w:pPr>
        <w:pStyle w:val="ListParagraph"/>
        <w:numPr>
          <w:ilvl w:val="1"/>
          <w:numId w:val="59"/>
        </w:numPr>
        <w:tabs>
          <w:tab w:pos="978" w:val="left" w:leader="none"/>
          <w:tab w:pos="979" w:val="left" w:leader="none"/>
        </w:tabs>
        <w:spacing w:line="273" w:lineRule="auto" w:before="64" w:after="0"/>
        <w:ind w:left="978" w:right="137" w:hanging="360"/>
        <w:jc w:val="left"/>
        <w:rPr>
          <w:sz w:val="38"/>
        </w:rPr>
      </w:pPr>
      <w:r>
        <w:rPr>
          <w:sz w:val="38"/>
        </w:rPr>
        <w:t>lowering of the lactate level (lactic acid levels during and after anaerobic</w:t>
      </w:r>
      <w:r>
        <w:rPr>
          <w:spacing w:val="-58"/>
          <w:sz w:val="38"/>
        </w:rPr>
        <w:t> </w:t>
      </w:r>
      <w:r>
        <w:rPr>
          <w:sz w:val="38"/>
        </w:rPr>
        <w:t>ex- ercise),</w:t>
      </w:r>
    </w:p>
    <w:p>
      <w:pPr>
        <w:pStyle w:val="ListParagraph"/>
        <w:numPr>
          <w:ilvl w:val="1"/>
          <w:numId w:val="59"/>
        </w:numPr>
        <w:tabs>
          <w:tab w:pos="978" w:val="left" w:leader="none"/>
          <w:tab w:pos="979" w:val="left" w:leader="none"/>
        </w:tabs>
        <w:spacing w:line="240" w:lineRule="auto" w:before="7" w:after="0"/>
        <w:ind w:left="978" w:right="0" w:hanging="360"/>
        <w:jc w:val="left"/>
        <w:rPr>
          <w:sz w:val="38"/>
        </w:rPr>
      </w:pPr>
      <w:r>
        <w:rPr>
          <w:sz w:val="38"/>
        </w:rPr>
        <w:t>reduction of muscle damage (including sore muscles</w:t>
      </w:r>
      <w:r>
        <w:rPr>
          <w:spacing w:val="-2"/>
          <w:sz w:val="38"/>
        </w:rPr>
        <w:t> </w:t>
      </w:r>
      <w:r>
        <w:rPr>
          <w:sz w:val="38"/>
        </w:rPr>
        <w:t>symptoms),</w:t>
      </w:r>
    </w:p>
    <w:p>
      <w:pPr>
        <w:pStyle w:val="ListParagraph"/>
        <w:numPr>
          <w:ilvl w:val="1"/>
          <w:numId w:val="59"/>
        </w:numPr>
        <w:tabs>
          <w:tab w:pos="978" w:val="left" w:leader="none"/>
          <w:tab w:pos="979" w:val="left" w:leader="none"/>
        </w:tabs>
        <w:spacing w:line="240" w:lineRule="auto" w:before="63" w:after="0"/>
        <w:ind w:left="978" w:right="0" w:hanging="360"/>
        <w:jc w:val="left"/>
        <w:rPr>
          <w:sz w:val="38"/>
        </w:rPr>
      </w:pPr>
      <w:r>
        <w:rPr>
          <w:sz w:val="38"/>
        </w:rPr>
        <w:t>increase in muscle</w:t>
      </w:r>
      <w:r>
        <w:rPr>
          <w:spacing w:val="1"/>
          <w:sz w:val="38"/>
        </w:rPr>
        <w:t> </w:t>
      </w:r>
      <w:r>
        <w:rPr>
          <w:sz w:val="38"/>
        </w:rPr>
        <w:t>power,</w:t>
      </w:r>
    </w:p>
    <w:p>
      <w:pPr>
        <w:pStyle w:val="ListParagraph"/>
        <w:numPr>
          <w:ilvl w:val="1"/>
          <w:numId w:val="59"/>
        </w:numPr>
        <w:tabs>
          <w:tab w:pos="978" w:val="left" w:leader="none"/>
          <w:tab w:pos="979" w:val="left" w:leader="none"/>
        </w:tabs>
        <w:spacing w:line="240" w:lineRule="auto" w:before="64" w:after="0"/>
        <w:ind w:left="978" w:right="0" w:hanging="360"/>
        <w:jc w:val="left"/>
        <w:rPr>
          <w:sz w:val="38"/>
        </w:rPr>
      </w:pPr>
      <w:r>
        <w:rPr>
          <w:sz w:val="38"/>
        </w:rPr>
        <w:t>improvement of cerebral blood</w:t>
      </w:r>
      <w:r>
        <w:rPr>
          <w:spacing w:val="-1"/>
          <w:sz w:val="38"/>
        </w:rPr>
        <w:t> </w:t>
      </w:r>
      <w:r>
        <w:rPr>
          <w:sz w:val="38"/>
        </w:rPr>
        <w:t>flow,</w:t>
      </w:r>
    </w:p>
    <w:p>
      <w:pPr>
        <w:pStyle w:val="ListParagraph"/>
        <w:numPr>
          <w:ilvl w:val="1"/>
          <w:numId w:val="59"/>
        </w:numPr>
        <w:tabs>
          <w:tab w:pos="978" w:val="left" w:leader="none"/>
          <w:tab w:pos="979" w:val="left" w:leader="none"/>
        </w:tabs>
        <w:spacing w:line="240" w:lineRule="auto" w:before="66" w:after="0"/>
        <w:ind w:left="978" w:right="0" w:hanging="360"/>
        <w:jc w:val="left"/>
        <w:rPr>
          <w:sz w:val="38"/>
        </w:rPr>
      </w:pPr>
      <w:r>
        <w:rPr>
          <w:sz w:val="38"/>
        </w:rPr>
        <w:t>reduction of</w:t>
      </w:r>
      <w:r>
        <w:rPr>
          <w:spacing w:val="1"/>
          <w:sz w:val="38"/>
        </w:rPr>
        <w:t> </w:t>
      </w:r>
      <w:r>
        <w:rPr>
          <w:sz w:val="38"/>
        </w:rPr>
        <w:t>headaches,</w:t>
      </w:r>
    </w:p>
    <w:p>
      <w:pPr>
        <w:pStyle w:val="ListParagraph"/>
        <w:numPr>
          <w:ilvl w:val="1"/>
          <w:numId w:val="59"/>
        </w:numPr>
        <w:tabs>
          <w:tab w:pos="978" w:val="left" w:leader="none"/>
          <w:tab w:pos="979" w:val="left" w:leader="none"/>
        </w:tabs>
        <w:spacing w:line="240" w:lineRule="auto" w:before="64" w:after="0"/>
        <w:ind w:left="978" w:right="0" w:hanging="360"/>
        <w:jc w:val="left"/>
        <w:rPr>
          <w:sz w:val="38"/>
        </w:rPr>
      </w:pPr>
      <w:r>
        <w:rPr>
          <w:sz w:val="38"/>
        </w:rPr>
        <w:t>heightened alertness,</w:t>
      </w:r>
    </w:p>
    <w:p>
      <w:pPr>
        <w:pStyle w:val="ListParagraph"/>
        <w:numPr>
          <w:ilvl w:val="1"/>
          <w:numId w:val="59"/>
        </w:numPr>
        <w:tabs>
          <w:tab w:pos="978" w:val="left" w:leader="none"/>
          <w:tab w:pos="979" w:val="left" w:leader="none"/>
        </w:tabs>
        <w:spacing w:line="240" w:lineRule="auto" w:before="64" w:after="0"/>
        <w:ind w:left="978" w:right="0" w:hanging="360"/>
        <w:jc w:val="left"/>
        <w:rPr>
          <w:sz w:val="38"/>
        </w:rPr>
      </w:pPr>
      <w:r>
        <w:rPr>
          <w:sz w:val="38"/>
        </w:rPr>
        <w:t>improved concentration,</w:t>
      </w:r>
    </w:p>
    <w:p>
      <w:pPr>
        <w:pStyle w:val="ListParagraph"/>
        <w:numPr>
          <w:ilvl w:val="1"/>
          <w:numId w:val="59"/>
        </w:numPr>
        <w:tabs>
          <w:tab w:pos="978" w:val="left" w:leader="none"/>
          <w:tab w:pos="979" w:val="left" w:leader="none"/>
        </w:tabs>
        <w:spacing w:line="240" w:lineRule="auto" w:before="64" w:after="0"/>
        <w:ind w:left="978" w:right="0" w:hanging="360"/>
        <w:jc w:val="left"/>
        <w:rPr>
          <w:sz w:val="38"/>
        </w:rPr>
      </w:pPr>
      <w:r>
        <w:rPr>
          <w:sz w:val="38"/>
        </w:rPr>
        <w:t>reduction of mental</w:t>
      </w:r>
      <w:r>
        <w:rPr>
          <w:spacing w:val="1"/>
          <w:sz w:val="38"/>
        </w:rPr>
        <w:t> </w:t>
      </w:r>
      <w:r>
        <w:rPr>
          <w:sz w:val="38"/>
        </w:rPr>
        <w:t>fatigue,</w:t>
      </w:r>
    </w:p>
    <w:p>
      <w:pPr>
        <w:spacing w:after="0" w:line="240" w:lineRule="auto"/>
        <w:jc w:val="left"/>
        <w:rPr>
          <w:sz w:val="38"/>
        </w:rPr>
        <w:sectPr>
          <w:pgSz w:w="14270" w:h="16850"/>
          <w:pgMar w:header="0" w:footer="404" w:top="1600" w:bottom="2080" w:left="800" w:right="1280"/>
        </w:sectPr>
      </w:pPr>
    </w:p>
    <w:p>
      <w:pPr>
        <w:pStyle w:val="BodyText"/>
        <w:spacing w:before="10"/>
        <w:rPr>
          <w:sz w:val="8"/>
        </w:rPr>
      </w:pPr>
    </w:p>
    <w:p>
      <w:pPr>
        <w:pStyle w:val="ListParagraph"/>
        <w:numPr>
          <w:ilvl w:val="1"/>
          <w:numId w:val="59"/>
        </w:numPr>
        <w:tabs>
          <w:tab w:pos="978" w:val="left" w:leader="none"/>
          <w:tab w:pos="979" w:val="left" w:leader="none"/>
        </w:tabs>
        <w:spacing w:line="240" w:lineRule="auto" w:before="83" w:after="0"/>
        <w:ind w:left="978" w:right="0" w:hanging="360"/>
        <w:jc w:val="left"/>
        <w:rPr>
          <w:sz w:val="38"/>
        </w:rPr>
      </w:pPr>
      <w:r>
        <w:rPr>
          <w:sz w:val="38"/>
        </w:rPr>
        <w:t>improved cognitive abilities (learning</w:t>
      </w:r>
      <w:r>
        <w:rPr>
          <w:spacing w:val="1"/>
          <w:sz w:val="38"/>
        </w:rPr>
        <w:t> </w:t>
      </w:r>
      <w:r>
        <w:rPr>
          <w:sz w:val="38"/>
        </w:rPr>
        <w:t>retention),</w:t>
      </w:r>
    </w:p>
    <w:p>
      <w:pPr>
        <w:pStyle w:val="ListParagraph"/>
        <w:numPr>
          <w:ilvl w:val="1"/>
          <w:numId w:val="59"/>
        </w:numPr>
        <w:tabs>
          <w:tab w:pos="978" w:val="left" w:leader="none"/>
          <w:tab w:pos="979" w:val="left" w:leader="none"/>
        </w:tabs>
        <w:spacing w:line="240" w:lineRule="auto" w:before="64" w:after="0"/>
        <w:ind w:left="978" w:right="0" w:hanging="360"/>
        <w:jc w:val="left"/>
        <w:rPr>
          <w:sz w:val="38"/>
        </w:rPr>
      </w:pPr>
      <w:r>
        <w:rPr>
          <w:sz w:val="38"/>
        </w:rPr>
        <w:t>improved wound healing,</w:t>
      </w:r>
    </w:p>
    <w:p>
      <w:pPr>
        <w:pStyle w:val="ListParagraph"/>
        <w:numPr>
          <w:ilvl w:val="1"/>
          <w:numId w:val="59"/>
        </w:numPr>
        <w:tabs>
          <w:tab w:pos="978" w:val="left" w:leader="none"/>
          <w:tab w:pos="979" w:val="left" w:leader="none"/>
        </w:tabs>
        <w:spacing w:line="240" w:lineRule="auto" w:before="66" w:after="0"/>
        <w:ind w:left="978" w:right="0" w:hanging="360"/>
        <w:jc w:val="left"/>
        <w:rPr>
          <w:sz w:val="38"/>
        </w:rPr>
      </w:pPr>
      <w:r>
        <w:rPr>
          <w:sz w:val="38"/>
        </w:rPr>
        <w:t>increase in leg blood</w:t>
      </w:r>
      <w:r>
        <w:rPr>
          <w:spacing w:val="2"/>
          <w:sz w:val="38"/>
        </w:rPr>
        <w:t> </w:t>
      </w:r>
      <w:r>
        <w:rPr>
          <w:sz w:val="38"/>
        </w:rPr>
        <w:t>flow,</w:t>
      </w:r>
    </w:p>
    <w:p>
      <w:pPr>
        <w:pStyle w:val="ListParagraph"/>
        <w:numPr>
          <w:ilvl w:val="1"/>
          <w:numId w:val="59"/>
        </w:numPr>
        <w:tabs>
          <w:tab w:pos="978" w:val="left" w:leader="none"/>
          <w:tab w:pos="979" w:val="left" w:leader="none"/>
        </w:tabs>
        <w:spacing w:line="240" w:lineRule="auto" w:before="63" w:after="0"/>
        <w:ind w:left="978" w:right="0" w:hanging="360"/>
        <w:jc w:val="left"/>
        <w:rPr>
          <w:sz w:val="38"/>
        </w:rPr>
      </w:pPr>
      <w:r>
        <w:rPr>
          <w:sz w:val="38"/>
        </w:rPr>
        <w:t>increase in</w:t>
      </w:r>
      <w:r>
        <w:rPr>
          <w:spacing w:val="2"/>
          <w:sz w:val="38"/>
        </w:rPr>
        <w:t> </w:t>
      </w:r>
      <w:r>
        <w:rPr>
          <w:sz w:val="38"/>
        </w:rPr>
        <w:t>potency.</w:t>
      </w:r>
    </w:p>
    <w:p>
      <w:pPr>
        <w:pStyle w:val="BodyText"/>
        <w:rPr>
          <w:sz w:val="44"/>
        </w:rPr>
      </w:pPr>
    </w:p>
    <w:p>
      <w:pPr>
        <w:pStyle w:val="Heading1"/>
        <w:spacing w:before="282"/>
        <w:jc w:val="both"/>
      </w:pPr>
      <w:r>
        <w:rPr/>
        <w:t>Effect on the muscles</w:t>
      </w:r>
    </w:p>
    <w:p>
      <w:pPr>
        <w:pStyle w:val="BodyText"/>
        <w:spacing w:line="276" w:lineRule="auto" w:before="300"/>
        <w:ind w:left="477" w:right="138"/>
        <w:jc w:val="both"/>
      </w:pPr>
      <w:r>
        <w:rPr/>
        <w:t>It is no coincidence that L-carnitine is found in heart muscle, skeletal muscle and the brain. These are organs that rely heavily on from fatty acids for energy</w:t>
      </w:r>
    </w:p>
    <w:p>
      <w:pPr>
        <w:pStyle w:val="ListParagraph"/>
        <w:numPr>
          <w:ilvl w:val="0"/>
          <w:numId w:val="55"/>
        </w:numPr>
        <w:tabs>
          <w:tab w:pos="787" w:val="left" w:leader="none"/>
        </w:tabs>
        <w:spacing w:line="276" w:lineRule="auto" w:before="0" w:after="0"/>
        <w:ind w:left="477" w:right="132" w:firstLine="0"/>
        <w:jc w:val="both"/>
        <w:rPr>
          <w:sz w:val="25"/>
        </w:rPr>
      </w:pPr>
      <w:r>
        <w:rPr>
          <w:sz w:val="38"/>
        </w:rPr>
        <w:t>but these can only function optimally by using L-carnitine. The muscles do not tire so fast, soreness and even significant muscle damage can be</w:t>
      </w:r>
      <w:r>
        <w:rPr>
          <w:spacing w:val="-45"/>
          <w:sz w:val="38"/>
        </w:rPr>
        <w:t> </w:t>
      </w:r>
      <w:r>
        <w:rPr>
          <w:sz w:val="38"/>
        </w:rPr>
        <w:t>prevented, more frequent training sessions are possible and higher performance gains are achieved.</w:t>
      </w:r>
      <w:r>
        <w:rPr>
          <w:spacing w:val="-14"/>
          <w:sz w:val="38"/>
        </w:rPr>
        <w:t> </w:t>
      </w:r>
      <w:r>
        <w:rPr>
          <w:sz w:val="38"/>
        </w:rPr>
        <w:t>In</w:t>
      </w:r>
      <w:r>
        <w:rPr>
          <w:spacing w:val="-13"/>
          <w:sz w:val="38"/>
        </w:rPr>
        <w:t> </w:t>
      </w:r>
      <w:r>
        <w:rPr>
          <w:sz w:val="38"/>
        </w:rPr>
        <w:t>animal</w:t>
      </w:r>
      <w:r>
        <w:rPr>
          <w:spacing w:val="-15"/>
          <w:sz w:val="38"/>
        </w:rPr>
        <w:t> </w:t>
      </w:r>
      <w:r>
        <w:rPr>
          <w:sz w:val="38"/>
        </w:rPr>
        <w:t>studies,</w:t>
      </w:r>
      <w:r>
        <w:rPr>
          <w:spacing w:val="-13"/>
          <w:sz w:val="38"/>
        </w:rPr>
        <w:t> </w:t>
      </w:r>
      <w:r>
        <w:rPr>
          <w:sz w:val="38"/>
        </w:rPr>
        <w:t>intravenous</w:t>
      </w:r>
      <w:r>
        <w:rPr>
          <w:spacing w:val="-14"/>
          <w:sz w:val="38"/>
        </w:rPr>
        <w:t> </w:t>
      </w:r>
      <w:r>
        <w:rPr>
          <w:sz w:val="38"/>
        </w:rPr>
        <w:t>administration</w:t>
      </w:r>
      <w:r>
        <w:rPr>
          <w:spacing w:val="-13"/>
          <w:sz w:val="38"/>
        </w:rPr>
        <w:t> </w:t>
      </w:r>
      <w:r>
        <w:rPr>
          <w:sz w:val="38"/>
        </w:rPr>
        <w:t>of</w:t>
      </w:r>
      <w:r>
        <w:rPr>
          <w:spacing w:val="-13"/>
          <w:sz w:val="38"/>
        </w:rPr>
        <w:t> </w:t>
      </w:r>
      <w:r>
        <w:rPr>
          <w:sz w:val="38"/>
        </w:rPr>
        <w:t>L-carnitine</w:t>
      </w:r>
      <w:r>
        <w:rPr>
          <w:spacing w:val="-13"/>
          <w:sz w:val="38"/>
        </w:rPr>
        <w:t> </w:t>
      </w:r>
      <w:r>
        <w:rPr>
          <w:sz w:val="38"/>
        </w:rPr>
        <w:t>increased muscle strength by up to 34</w:t>
      </w:r>
      <w:r>
        <w:rPr>
          <w:spacing w:val="2"/>
          <w:sz w:val="38"/>
        </w:rPr>
        <w:t> </w:t>
      </w:r>
      <w:r>
        <w:rPr>
          <w:sz w:val="38"/>
        </w:rPr>
        <w:t>%.</w:t>
      </w:r>
      <w:r>
        <w:rPr>
          <w:position w:val="9"/>
          <w:sz w:val="25"/>
        </w:rPr>
        <w:t>472</w:t>
      </w:r>
    </w:p>
    <w:p>
      <w:pPr>
        <w:pStyle w:val="Heading1"/>
        <w:spacing w:before="223"/>
      </w:pPr>
      <w:r>
        <w:rPr/>
        <w:t>Effect on the brain and the central nervous system</w:t>
      </w:r>
    </w:p>
    <w:p>
      <w:pPr>
        <w:pStyle w:val="BodyText"/>
        <w:spacing w:line="276" w:lineRule="auto" w:before="177"/>
        <w:ind w:left="477" w:right="132"/>
        <w:jc w:val="both"/>
      </w:pPr>
      <w:r>
        <w:rPr/>
        <w:t>L-carnitine improves cognitive ability, counteracts brain ageing, dementia and Alzheimer's,</w:t>
      </w:r>
      <w:r>
        <w:rPr>
          <w:spacing w:val="-12"/>
        </w:rPr>
        <w:t> </w:t>
      </w:r>
      <w:r>
        <w:rPr/>
        <w:t>increases</w:t>
      </w:r>
      <w:r>
        <w:rPr>
          <w:spacing w:val="-11"/>
        </w:rPr>
        <w:t> </w:t>
      </w:r>
      <w:r>
        <w:rPr/>
        <w:t>concentration</w:t>
      </w:r>
      <w:r>
        <w:rPr>
          <w:spacing w:val="-12"/>
        </w:rPr>
        <w:t> </w:t>
      </w:r>
      <w:r>
        <w:rPr/>
        <w:t>and</w:t>
      </w:r>
      <w:r>
        <w:rPr>
          <w:spacing w:val="-14"/>
        </w:rPr>
        <w:t> </w:t>
      </w:r>
      <w:r>
        <w:rPr/>
        <w:t>receptivity</w:t>
      </w:r>
      <w:r>
        <w:rPr>
          <w:spacing w:val="-12"/>
        </w:rPr>
        <w:t> </w:t>
      </w:r>
      <w:r>
        <w:rPr/>
        <w:t>(learning</w:t>
      </w:r>
      <w:r>
        <w:rPr>
          <w:spacing w:val="-12"/>
        </w:rPr>
        <w:t> </w:t>
      </w:r>
      <w:r>
        <w:rPr/>
        <w:t>ability)</w:t>
      </w:r>
      <w:r>
        <w:rPr>
          <w:spacing w:val="-13"/>
        </w:rPr>
        <w:t> </w:t>
      </w:r>
      <w:r>
        <w:rPr/>
        <w:t>and</w:t>
      </w:r>
      <w:r>
        <w:rPr>
          <w:spacing w:val="-12"/>
        </w:rPr>
        <w:t> </w:t>
      </w:r>
      <w:r>
        <w:rPr/>
        <w:t>accel- erates cell renewal in the brain. In contrast to most antioxidants, acetyl-L-car- nitine</w:t>
      </w:r>
      <w:r>
        <w:rPr>
          <w:spacing w:val="-12"/>
        </w:rPr>
        <w:t> </w:t>
      </w:r>
      <w:r>
        <w:rPr/>
        <w:t>is</w:t>
      </w:r>
      <w:r>
        <w:rPr>
          <w:spacing w:val="-12"/>
        </w:rPr>
        <w:t> </w:t>
      </w:r>
      <w:r>
        <w:rPr/>
        <w:t>able</w:t>
      </w:r>
      <w:r>
        <w:rPr>
          <w:spacing w:val="-12"/>
        </w:rPr>
        <w:t> </w:t>
      </w:r>
      <w:r>
        <w:rPr/>
        <w:t>to</w:t>
      </w:r>
      <w:r>
        <w:rPr>
          <w:spacing w:val="-11"/>
        </w:rPr>
        <w:t> </w:t>
      </w:r>
      <w:r>
        <w:rPr/>
        <w:t>cross</w:t>
      </w:r>
      <w:r>
        <w:rPr>
          <w:spacing w:val="-11"/>
        </w:rPr>
        <w:t> </w:t>
      </w:r>
      <w:r>
        <w:rPr/>
        <w:t>the</w:t>
      </w:r>
      <w:r>
        <w:rPr>
          <w:spacing w:val="-14"/>
        </w:rPr>
        <w:t> </w:t>
      </w:r>
      <w:r>
        <w:rPr/>
        <w:t>blood-brain</w:t>
      </w:r>
      <w:r>
        <w:rPr>
          <w:spacing w:val="-12"/>
        </w:rPr>
        <w:t> </w:t>
      </w:r>
      <w:r>
        <w:rPr/>
        <w:t>barrier</w:t>
      </w:r>
      <w:r>
        <w:rPr>
          <w:spacing w:val="-11"/>
        </w:rPr>
        <w:t> </w:t>
      </w:r>
      <w:r>
        <w:rPr/>
        <w:t>and</w:t>
      </w:r>
      <w:r>
        <w:rPr>
          <w:spacing w:val="-14"/>
        </w:rPr>
        <w:t> </w:t>
      </w:r>
      <w:r>
        <w:rPr/>
        <w:t>can</w:t>
      </w:r>
      <w:r>
        <w:rPr>
          <w:spacing w:val="-11"/>
        </w:rPr>
        <w:t> </w:t>
      </w:r>
      <w:r>
        <w:rPr/>
        <w:t>promote</w:t>
      </w:r>
      <w:r>
        <w:rPr>
          <w:spacing w:val="-11"/>
        </w:rPr>
        <w:t> </w:t>
      </w:r>
      <w:r>
        <w:rPr/>
        <w:t>the</w:t>
      </w:r>
      <w:r>
        <w:rPr>
          <w:spacing w:val="-13"/>
        </w:rPr>
        <w:t> </w:t>
      </w:r>
      <w:r>
        <w:rPr/>
        <w:t>formation</w:t>
      </w:r>
      <w:r>
        <w:rPr>
          <w:spacing w:val="-12"/>
        </w:rPr>
        <w:t> </w:t>
      </w:r>
      <w:r>
        <w:rPr/>
        <w:t>of nerve</w:t>
      </w:r>
      <w:r>
        <w:rPr>
          <w:spacing w:val="-20"/>
        </w:rPr>
        <w:t> </w:t>
      </w:r>
      <w:r>
        <w:rPr/>
        <w:t>growth</w:t>
      </w:r>
      <w:r>
        <w:rPr>
          <w:spacing w:val="-19"/>
        </w:rPr>
        <w:t> </w:t>
      </w:r>
      <w:r>
        <w:rPr/>
        <w:t>factor</w:t>
      </w:r>
      <w:r>
        <w:rPr>
          <w:spacing w:val="-18"/>
        </w:rPr>
        <w:t> </w:t>
      </w:r>
      <w:r>
        <w:rPr/>
        <w:t>receptors,</w:t>
      </w:r>
      <w:r>
        <w:rPr>
          <w:spacing w:val="-22"/>
        </w:rPr>
        <w:t> </w:t>
      </w:r>
      <w:r>
        <w:rPr/>
        <w:t>so-called</w:t>
      </w:r>
      <w:r>
        <w:rPr>
          <w:spacing w:val="-20"/>
        </w:rPr>
        <w:t> </w:t>
      </w:r>
      <w:r>
        <w:rPr/>
        <w:t>NGFR,</w:t>
      </w:r>
      <w:r>
        <w:rPr>
          <w:spacing w:val="-18"/>
        </w:rPr>
        <w:t> </w:t>
      </w:r>
      <w:r>
        <w:rPr/>
        <w:t>and,</w:t>
      </w:r>
      <w:r>
        <w:rPr>
          <w:spacing w:val="-18"/>
        </w:rPr>
        <w:t> </w:t>
      </w:r>
      <w:r>
        <w:rPr/>
        <w:t>on</w:t>
      </w:r>
      <w:r>
        <w:rPr>
          <w:spacing w:val="-21"/>
        </w:rPr>
        <w:t> </w:t>
      </w:r>
      <w:r>
        <w:rPr/>
        <w:t>the</w:t>
      </w:r>
      <w:r>
        <w:rPr>
          <w:spacing w:val="-21"/>
        </w:rPr>
        <w:t> </w:t>
      </w:r>
      <w:r>
        <w:rPr/>
        <w:t>other</w:t>
      </w:r>
      <w:r>
        <w:rPr>
          <w:spacing w:val="-22"/>
        </w:rPr>
        <w:t> </w:t>
      </w:r>
      <w:r>
        <w:rPr/>
        <w:t>hand,</w:t>
      </w:r>
      <w:r>
        <w:rPr>
          <w:spacing w:val="-18"/>
        </w:rPr>
        <w:t> </w:t>
      </w:r>
      <w:r>
        <w:rPr/>
        <w:t>protect them.</w:t>
      </w:r>
    </w:p>
    <w:p>
      <w:pPr>
        <w:pStyle w:val="BodyText"/>
        <w:rPr>
          <w:sz w:val="20"/>
        </w:rPr>
      </w:pPr>
    </w:p>
    <w:p>
      <w:pPr>
        <w:pStyle w:val="BodyText"/>
        <w:rPr>
          <w:sz w:val="20"/>
        </w:rPr>
      </w:pPr>
    </w:p>
    <w:p>
      <w:pPr>
        <w:pStyle w:val="BodyText"/>
        <w:spacing w:before="2"/>
        <w:rPr>
          <w:sz w:val="11"/>
        </w:rPr>
      </w:pPr>
      <w:r>
        <w:rPr/>
        <w:pict>
          <v:line style="position:absolute;mso-position-horizontal-relative:page;mso-position-vertical-relative:paragraph;z-index:6056;mso-wrap-distance-left:0;mso-wrap-distance-right:0" from="63.863998pt,8.678657pt" to="207.883998pt,8.678657pt" stroked="true" strokeweight=".72003pt" strokecolor="#000000">
            <v:stroke dashstyle="solid"/>
            <w10:wrap type="topAndBottom"/>
          </v:line>
        </w:pict>
      </w:r>
    </w:p>
    <w:p>
      <w:pPr>
        <w:pStyle w:val="BodyText"/>
        <w:spacing w:before="7"/>
        <w:rPr>
          <w:sz w:val="18"/>
        </w:rPr>
      </w:pPr>
    </w:p>
    <w:p>
      <w:pPr>
        <w:spacing w:line="276" w:lineRule="auto" w:before="99"/>
        <w:ind w:left="477" w:right="156" w:firstLine="0"/>
        <w:jc w:val="left"/>
        <w:rPr>
          <w:sz w:val="20"/>
        </w:rPr>
      </w:pPr>
      <w:r>
        <w:rPr>
          <w:position w:val="5"/>
          <w:sz w:val="13"/>
        </w:rPr>
        <w:t>472 </w:t>
      </w:r>
      <w:r>
        <w:rPr>
          <w:sz w:val="20"/>
        </w:rPr>
        <w:t>Prof. Dr. Peter Billigmann and Dr. Stefan Siebrecht: Physiologie des L-Carnitins und seine Bedeutung für Sportler (‘Physiology of L-Carnitine and Its Importance for Athletes’), 2004, p. 53</w:t>
      </w:r>
    </w:p>
    <w:p>
      <w:pPr>
        <w:spacing w:after="0" w:line="276" w:lineRule="auto"/>
        <w:jc w:val="left"/>
        <w:rPr>
          <w:sz w:val="20"/>
        </w:rPr>
        <w:sectPr>
          <w:pgSz w:w="14270" w:h="16850"/>
          <w:pgMar w:header="0" w:footer="404" w:top="1600" w:bottom="2080" w:left="800" w:right="1280"/>
        </w:sectPr>
      </w:pPr>
    </w:p>
    <w:p>
      <w:pPr>
        <w:pStyle w:val="BodyText"/>
        <w:spacing w:before="181"/>
        <w:ind w:left="477"/>
        <w:jc w:val="both"/>
      </w:pPr>
      <w:r>
        <w:rPr/>
        <w:t>In this way,</w:t>
      </w:r>
    </w:p>
    <w:p>
      <w:pPr>
        <w:pStyle w:val="ListParagraph"/>
        <w:numPr>
          <w:ilvl w:val="0"/>
          <w:numId w:val="60"/>
        </w:numPr>
        <w:tabs>
          <w:tab w:pos="978" w:val="left" w:leader="none"/>
          <w:tab w:pos="979" w:val="left" w:leader="none"/>
        </w:tabs>
        <w:spacing w:line="240" w:lineRule="auto" w:before="186" w:after="0"/>
        <w:ind w:left="978" w:right="0" w:hanging="360"/>
        <w:jc w:val="left"/>
        <w:rPr>
          <w:sz w:val="38"/>
        </w:rPr>
      </w:pPr>
      <w:r>
        <w:rPr>
          <w:sz w:val="38"/>
        </w:rPr>
        <w:t>acetyl-L-carnitine protects ageing nerve cells from</w:t>
      </w:r>
      <w:r>
        <w:rPr>
          <w:spacing w:val="-2"/>
          <w:sz w:val="38"/>
        </w:rPr>
        <w:t> </w:t>
      </w:r>
      <w:r>
        <w:rPr>
          <w:sz w:val="38"/>
        </w:rPr>
        <w:t>death,</w:t>
      </w:r>
    </w:p>
    <w:p>
      <w:pPr>
        <w:pStyle w:val="ListParagraph"/>
        <w:numPr>
          <w:ilvl w:val="0"/>
          <w:numId w:val="60"/>
        </w:numPr>
        <w:tabs>
          <w:tab w:pos="978" w:val="left" w:leader="none"/>
          <w:tab w:pos="979" w:val="left" w:leader="none"/>
        </w:tabs>
        <w:spacing w:line="240" w:lineRule="auto" w:before="184" w:after="0"/>
        <w:ind w:left="978" w:right="0" w:hanging="360"/>
        <w:jc w:val="left"/>
        <w:rPr>
          <w:sz w:val="38"/>
        </w:rPr>
      </w:pPr>
      <w:r>
        <w:rPr>
          <w:sz w:val="38"/>
        </w:rPr>
        <w:t>increases the ability to</w:t>
      </w:r>
      <w:r>
        <w:rPr>
          <w:spacing w:val="4"/>
          <w:sz w:val="38"/>
        </w:rPr>
        <w:t> </w:t>
      </w:r>
      <w:r>
        <w:rPr>
          <w:sz w:val="38"/>
        </w:rPr>
        <w:t>concentrate,</w:t>
      </w:r>
    </w:p>
    <w:p>
      <w:pPr>
        <w:pStyle w:val="ListParagraph"/>
        <w:numPr>
          <w:ilvl w:val="0"/>
          <w:numId w:val="60"/>
        </w:numPr>
        <w:tabs>
          <w:tab w:pos="978" w:val="left" w:leader="none"/>
          <w:tab w:pos="979" w:val="left" w:leader="none"/>
        </w:tabs>
        <w:spacing w:line="240" w:lineRule="auto" w:before="184" w:after="0"/>
        <w:ind w:left="978" w:right="0" w:hanging="360"/>
        <w:jc w:val="left"/>
        <w:rPr>
          <w:sz w:val="38"/>
        </w:rPr>
      </w:pPr>
      <w:r>
        <w:rPr>
          <w:sz w:val="38"/>
        </w:rPr>
        <w:t>improves long-term</w:t>
      </w:r>
      <w:r>
        <w:rPr>
          <w:spacing w:val="1"/>
          <w:sz w:val="38"/>
        </w:rPr>
        <w:t> </w:t>
      </w:r>
      <w:r>
        <w:rPr>
          <w:sz w:val="38"/>
        </w:rPr>
        <w:t>memory,</w:t>
      </w:r>
    </w:p>
    <w:p>
      <w:pPr>
        <w:pStyle w:val="ListParagraph"/>
        <w:numPr>
          <w:ilvl w:val="0"/>
          <w:numId w:val="60"/>
        </w:numPr>
        <w:tabs>
          <w:tab w:pos="978" w:val="left" w:leader="none"/>
          <w:tab w:pos="979" w:val="left" w:leader="none"/>
        </w:tabs>
        <w:spacing w:line="240" w:lineRule="auto" w:before="186" w:after="0"/>
        <w:ind w:left="978" w:right="0" w:hanging="360"/>
        <w:jc w:val="left"/>
        <w:rPr>
          <w:sz w:val="38"/>
        </w:rPr>
      </w:pPr>
      <w:r>
        <w:rPr>
          <w:sz w:val="38"/>
        </w:rPr>
        <w:t>optimises the ability to learn</w:t>
      </w:r>
      <w:r>
        <w:rPr>
          <w:spacing w:val="4"/>
          <w:sz w:val="38"/>
        </w:rPr>
        <w:t> </w:t>
      </w:r>
      <w:r>
        <w:rPr>
          <w:sz w:val="38"/>
        </w:rPr>
        <w:t>and</w:t>
      </w:r>
    </w:p>
    <w:p>
      <w:pPr>
        <w:pStyle w:val="ListParagraph"/>
        <w:numPr>
          <w:ilvl w:val="0"/>
          <w:numId w:val="60"/>
        </w:numPr>
        <w:tabs>
          <w:tab w:pos="978" w:val="left" w:leader="none"/>
          <w:tab w:pos="979" w:val="left" w:leader="none"/>
        </w:tabs>
        <w:spacing w:line="240" w:lineRule="auto" w:before="184" w:after="0"/>
        <w:ind w:left="978" w:right="0" w:hanging="360"/>
        <w:jc w:val="left"/>
        <w:rPr>
          <w:sz w:val="38"/>
        </w:rPr>
      </w:pPr>
      <w:r>
        <w:rPr>
          <w:sz w:val="38"/>
        </w:rPr>
        <w:t>increases</w:t>
      </w:r>
      <w:r>
        <w:rPr>
          <w:spacing w:val="1"/>
          <w:sz w:val="38"/>
        </w:rPr>
        <w:t> </w:t>
      </w:r>
      <w:r>
        <w:rPr>
          <w:sz w:val="38"/>
        </w:rPr>
        <w:t>alertness.</w:t>
      </w:r>
    </w:p>
    <w:p>
      <w:pPr>
        <w:pStyle w:val="BodyText"/>
        <w:spacing w:before="182"/>
        <w:ind w:left="477"/>
        <w:jc w:val="both"/>
      </w:pPr>
      <w:r>
        <w:rPr/>
        <w:t>Furthermore, it can act as a natural antidepressant, lightening the mood.</w:t>
      </w:r>
    </w:p>
    <w:p>
      <w:pPr>
        <w:pStyle w:val="Heading2"/>
        <w:spacing w:before="305"/>
        <w:jc w:val="both"/>
      </w:pPr>
      <w:r>
        <w:rPr/>
        <w:t>Effect of L-carnitine on the immune system</w:t>
      </w:r>
    </w:p>
    <w:p>
      <w:pPr>
        <w:pStyle w:val="BodyText"/>
        <w:spacing w:line="276" w:lineRule="auto" w:before="304"/>
        <w:ind w:left="477" w:right="133"/>
        <w:jc w:val="both"/>
      </w:pPr>
      <w:r>
        <w:rPr/>
        <w:t>It is not surprising that the immune cells contain a great deal of L-carnitine, because</w:t>
      </w:r>
      <w:r>
        <w:rPr>
          <w:spacing w:val="-7"/>
        </w:rPr>
        <w:t> </w:t>
      </w:r>
      <w:r>
        <w:rPr/>
        <w:t>L-carnitine</w:t>
      </w:r>
      <w:r>
        <w:rPr>
          <w:spacing w:val="-6"/>
        </w:rPr>
        <w:t> </w:t>
      </w:r>
      <w:r>
        <w:rPr/>
        <w:t>is</w:t>
      </w:r>
      <w:r>
        <w:rPr>
          <w:spacing w:val="-9"/>
        </w:rPr>
        <w:t> </w:t>
      </w:r>
      <w:r>
        <w:rPr/>
        <w:t>considered</w:t>
      </w:r>
      <w:r>
        <w:rPr>
          <w:spacing w:val="-9"/>
        </w:rPr>
        <w:t> </w:t>
      </w:r>
      <w:r>
        <w:rPr/>
        <w:t>a</w:t>
      </w:r>
      <w:r>
        <w:rPr>
          <w:spacing w:val="-10"/>
        </w:rPr>
        <w:t> </w:t>
      </w:r>
      <w:r>
        <w:rPr/>
        <w:t>natural</w:t>
      </w:r>
      <w:r>
        <w:rPr>
          <w:spacing w:val="-8"/>
        </w:rPr>
        <w:t> </w:t>
      </w:r>
      <w:r>
        <w:rPr/>
        <w:t>immune</w:t>
      </w:r>
      <w:r>
        <w:rPr>
          <w:spacing w:val="-6"/>
        </w:rPr>
        <w:t> </w:t>
      </w:r>
      <w:r>
        <w:rPr/>
        <w:t>stimulator;</w:t>
      </w:r>
      <w:r>
        <w:rPr>
          <w:spacing w:val="-6"/>
        </w:rPr>
        <w:t> </w:t>
      </w:r>
      <w:r>
        <w:rPr/>
        <w:t>it</w:t>
      </w:r>
      <w:r>
        <w:rPr>
          <w:spacing w:val="-13"/>
        </w:rPr>
        <w:t> </w:t>
      </w:r>
      <w:r>
        <w:rPr/>
        <w:t>transports</w:t>
      </w:r>
      <w:r>
        <w:rPr>
          <w:spacing w:val="-9"/>
        </w:rPr>
        <w:t> </w:t>
      </w:r>
      <w:r>
        <w:rPr/>
        <w:t>the long-chain fatty acids directly into the mitochondria for ATP production. </w:t>
      </w:r>
      <w:r>
        <w:rPr>
          <w:spacing w:val="2"/>
        </w:rPr>
        <w:t>L- </w:t>
      </w:r>
      <w:r>
        <w:rPr/>
        <w:t>carnitine provides optimal protection for the cell membranes, the immune sys- tem defence cells are activated and strengthened. Acetyl-L-carnitine (ALC) has been shown to increase lymphocyte activity, maintain macrophage production, and increase TSH</w:t>
      </w:r>
      <w:r>
        <w:rPr>
          <w:spacing w:val="1"/>
        </w:rPr>
        <w:t> </w:t>
      </w:r>
      <w:r>
        <w:rPr/>
        <w:t>levels.</w:t>
      </w:r>
    </w:p>
    <w:p>
      <w:pPr>
        <w:pStyle w:val="Heading2"/>
        <w:spacing w:before="241"/>
        <w:jc w:val="both"/>
      </w:pPr>
      <w:r>
        <w:rPr/>
        <w:t>In</w:t>
      </w:r>
      <w:r>
        <w:rPr>
          <w:spacing w:val="-26"/>
        </w:rPr>
        <w:t> </w:t>
      </w:r>
      <w:r>
        <w:rPr/>
        <w:t>summary,</w:t>
      </w:r>
      <w:r>
        <w:rPr>
          <w:spacing w:val="-23"/>
        </w:rPr>
        <w:t> </w:t>
      </w:r>
      <w:r>
        <w:rPr/>
        <w:t>L-carnitine</w:t>
      </w:r>
      <w:r>
        <w:rPr>
          <w:spacing w:val="-25"/>
        </w:rPr>
        <w:t> </w:t>
      </w:r>
      <w:r>
        <w:rPr/>
        <w:t>has</w:t>
      </w:r>
      <w:r>
        <w:rPr>
          <w:spacing w:val="-25"/>
        </w:rPr>
        <w:t> </w:t>
      </w:r>
      <w:r>
        <w:rPr/>
        <w:t>the</w:t>
      </w:r>
      <w:r>
        <w:rPr>
          <w:spacing w:val="-26"/>
        </w:rPr>
        <w:t> </w:t>
      </w:r>
      <w:r>
        <w:rPr/>
        <w:t>following</w:t>
      </w:r>
      <w:r>
        <w:rPr>
          <w:spacing w:val="-24"/>
        </w:rPr>
        <w:t> </w:t>
      </w:r>
      <w:r>
        <w:rPr/>
        <w:t>effects</w:t>
      </w:r>
      <w:r>
        <w:rPr>
          <w:spacing w:val="-26"/>
        </w:rPr>
        <w:t> </w:t>
      </w:r>
      <w:r>
        <w:rPr/>
        <w:t>on</w:t>
      </w:r>
      <w:r>
        <w:rPr>
          <w:spacing w:val="-26"/>
        </w:rPr>
        <w:t> </w:t>
      </w:r>
      <w:r>
        <w:rPr/>
        <w:t>our</w:t>
      </w:r>
      <w:r>
        <w:rPr>
          <w:spacing w:val="-25"/>
        </w:rPr>
        <w:t> </w:t>
      </w:r>
      <w:r>
        <w:rPr/>
        <w:t>immune</w:t>
      </w:r>
      <w:r>
        <w:rPr>
          <w:spacing w:val="-26"/>
        </w:rPr>
        <w:t> </w:t>
      </w:r>
      <w:r>
        <w:rPr/>
        <w:t>system:</w:t>
      </w:r>
    </w:p>
    <w:p>
      <w:pPr>
        <w:pStyle w:val="ListParagraph"/>
        <w:numPr>
          <w:ilvl w:val="1"/>
          <w:numId w:val="60"/>
        </w:numPr>
        <w:tabs>
          <w:tab w:pos="1338" w:val="left" w:leader="none"/>
          <w:tab w:pos="1339" w:val="left" w:leader="none"/>
        </w:tabs>
        <w:spacing w:line="240" w:lineRule="auto" w:before="303" w:after="0"/>
        <w:ind w:left="1338" w:right="0" w:hanging="360"/>
        <w:jc w:val="left"/>
        <w:rPr>
          <w:sz w:val="38"/>
        </w:rPr>
      </w:pPr>
      <w:r>
        <w:rPr>
          <w:sz w:val="38"/>
        </w:rPr>
        <w:t>increase in the production of</w:t>
      </w:r>
      <w:r>
        <w:rPr>
          <w:spacing w:val="3"/>
          <w:sz w:val="38"/>
        </w:rPr>
        <w:t> </w:t>
      </w:r>
      <w:r>
        <w:rPr>
          <w:sz w:val="38"/>
        </w:rPr>
        <w:t>antibodies</w:t>
      </w:r>
    </w:p>
    <w:p>
      <w:pPr>
        <w:pStyle w:val="ListParagraph"/>
        <w:numPr>
          <w:ilvl w:val="1"/>
          <w:numId w:val="60"/>
        </w:numPr>
        <w:tabs>
          <w:tab w:pos="1338" w:val="left" w:leader="none"/>
          <w:tab w:pos="1339" w:val="left" w:leader="none"/>
        </w:tabs>
        <w:spacing w:line="240" w:lineRule="auto" w:before="67" w:after="0"/>
        <w:ind w:left="1338" w:right="0" w:hanging="360"/>
        <w:jc w:val="left"/>
        <w:rPr>
          <w:sz w:val="38"/>
        </w:rPr>
      </w:pPr>
      <w:r>
        <w:rPr>
          <w:sz w:val="38"/>
        </w:rPr>
        <w:t>increase in TNF-alpha</w:t>
      </w:r>
      <w:r>
        <w:rPr>
          <w:spacing w:val="1"/>
          <w:sz w:val="38"/>
        </w:rPr>
        <w:t> </w:t>
      </w:r>
      <w:r>
        <w:rPr>
          <w:sz w:val="38"/>
        </w:rPr>
        <w:t>release</w:t>
      </w:r>
    </w:p>
    <w:p>
      <w:pPr>
        <w:pStyle w:val="ListParagraph"/>
        <w:numPr>
          <w:ilvl w:val="1"/>
          <w:numId w:val="60"/>
        </w:numPr>
        <w:tabs>
          <w:tab w:pos="1338" w:val="left" w:leader="none"/>
          <w:tab w:pos="1339" w:val="left" w:leader="none"/>
        </w:tabs>
        <w:spacing w:line="240" w:lineRule="auto" w:before="64" w:after="0"/>
        <w:ind w:left="1338" w:right="0" w:hanging="360"/>
        <w:jc w:val="left"/>
        <w:rPr>
          <w:sz w:val="38"/>
        </w:rPr>
      </w:pPr>
      <w:r>
        <w:rPr>
          <w:sz w:val="38"/>
        </w:rPr>
        <w:t>release of TNF-alpha and</w:t>
      </w:r>
      <w:r>
        <w:rPr>
          <w:spacing w:val="-1"/>
          <w:sz w:val="38"/>
        </w:rPr>
        <w:t> </w:t>
      </w:r>
      <w:r>
        <w:rPr>
          <w:sz w:val="38"/>
        </w:rPr>
        <w:t>interleukins</w:t>
      </w:r>
    </w:p>
    <w:p>
      <w:pPr>
        <w:pStyle w:val="ListParagraph"/>
        <w:numPr>
          <w:ilvl w:val="1"/>
          <w:numId w:val="60"/>
        </w:numPr>
        <w:tabs>
          <w:tab w:pos="1338" w:val="left" w:leader="none"/>
          <w:tab w:pos="1339" w:val="left" w:leader="none"/>
        </w:tabs>
        <w:spacing w:line="240" w:lineRule="auto" w:before="63" w:after="0"/>
        <w:ind w:left="1338" w:right="0" w:hanging="360"/>
        <w:jc w:val="left"/>
        <w:rPr>
          <w:sz w:val="38"/>
        </w:rPr>
      </w:pPr>
      <w:r>
        <w:rPr>
          <w:sz w:val="38"/>
        </w:rPr>
        <w:t>inhibition of aggregation of platelets and</w:t>
      </w:r>
      <w:r>
        <w:rPr>
          <w:spacing w:val="1"/>
          <w:sz w:val="38"/>
        </w:rPr>
        <w:t> </w:t>
      </w:r>
      <w:r>
        <w:rPr>
          <w:sz w:val="38"/>
        </w:rPr>
        <w:t>macrophages</w:t>
      </w:r>
    </w:p>
    <w:p>
      <w:pPr>
        <w:spacing w:after="0" w:line="240" w:lineRule="auto"/>
        <w:jc w:val="left"/>
        <w:rPr>
          <w:sz w:val="38"/>
        </w:rPr>
        <w:sectPr>
          <w:pgSz w:w="14270" w:h="16850"/>
          <w:pgMar w:header="0" w:footer="404" w:top="1600" w:bottom="2080" w:left="800" w:right="1280"/>
        </w:sectPr>
      </w:pPr>
    </w:p>
    <w:p>
      <w:pPr>
        <w:pStyle w:val="BodyText"/>
        <w:spacing w:before="10"/>
        <w:rPr>
          <w:sz w:val="8"/>
        </w:rPr>
      </w:pPr>
    </w:p>
    <w:p>
      <w:pPr>
        <w:pStyle w:val="ListParagraph"/>
        <w:numPr>
          <w:ilvl w:val="1"/>
          <w:numId w:val="60"/>
        </w:numPr>
        <w:tabs>
          <w:tab w:pos="1338" w:val="left" w:leader="none"/>
          <w:tab w:pos="1339" w:val="left" w:leader="none"/>
        </w:tabs>
        <w:spacing w:line="240" w:lineRule="auto" w:before="83" w:after="0"/>
        <w:ind w:left="1338" w:right="0" w:hanging="360"/>
        <w:jc w:val="left"/>
        <w:rPr>
          <w:sz w:val="38"/>
        </w:rPr>
      </w:pPr>
      <w:r>
        <w:rPr>
          <w:sz w:val="38"/>
        </w:rPr>
        <w:t>activation of white blood</w:t>
      </w:r>
      <w:r>
        <w:rPr>
          <w:spacing w:val="1"/>
          <w:sz w:val="38"/>
        </w:rPr>
        <w:t> </w:t>
      </w:r>
      <w:r>
        <w:rPr>
          <w:sz w:val="38"/>
        </w:rPr>
        <w:t>cells</w:t>
      </w:r>
    </w:p>
    <w:p>
      <w:pPr>
        <w:pStyle w:val="ListParagraph"/>
        <w:numPr>
          <w:ilvl w:val="1"/>
          <w:numId w:val="60"/>
        </w:numPr>
        <w:tabs>
          <w:tab w:pos="1338" w:val="left" w:leader="none"/>
          <w:tab w:pos="1339" w:val="left" w:leader="none"/>
        </w:tabs>
        <w:spacing w:line="240" w:lineRule="auto" w:before="64" w:after="0"/>
        <w:ind w:left="1338" w:right="0" w:hanging="360"/>
        <w:jc w:val="left"/>
        <w:rPr>
          <w:sz w:val="38"/>
        </w:rPr>
      </w:pPr>
      <w:r>
        <w:rPr>
          <w:sz w:val="38"/>
        </w:rPr>
        <w:t>Inhibition of erythrocyte</w:t>
      </w:r>
      <w:r>
        <w:rPr>
          <w:spacing w:val="1"/>
          <w:sz w:val="38"/>
        </w:rPr>
        <w:t> </w:t>
      </w:r>
      <w:r>
        <w:rPr>
          <w:sz w:val="38"/>
        </w:rPr>
        <w:t>aggregation</w:t>
      </w:r>
    </w:p>
    <w:p>
      <w:pPr>
        <w:pStyle w:val="ListParagraph"/>
        <w:numPr>
          <w:ilvl w:val="1"/>
          <w:numId w:val="60"/>
        </w:numPr>
        <w:tabs>
          <w:tab w:pos="1338" w:val="left" w:leader="none"/>
          <w:tab w:pos="1339" w:val="left" w:leader="none"/>
        </w:tabs>
        <w:spacing w:line="240" w:lineRule="auto" w:before="66" w:after="0"/>
        <w:ind w:left="1338" w:right="0" w:hanging="360"/>
        <w:jc w:val="left"/>
        <w:rPr>
          <w:sz w:val="38"/>
        </w:rPr>
      </w:pPr>
      <w:r>
        <w:rPr>
          <w:sz w:val="38"/>
        </w:rPr>
        <w:t>acts as an immunostimulant in infectious diseases such as</w:t>
      </w:r>
      <w:r>
        <w:rPr>
          <w:spacing w:val="-14"/>
          <w:sz w:val="38"/>
        </w:rPr>
        <w:t> </w:t>
      </w:r>
      <w:r>
        <w:rPr>
          <w:sz w:val="38"/>
        </w:rPr>
        <w:t>tuberculosis</w:t>
      </w:r>
    </w:p>
    <w:p>
      <w:pPr>
        <w:pStyle w:val="ListParagraph"/>
        <w:numPr>
          <w:ilvl w:val="1"/>
          <w:numId w:val="60"/>
        </w:numPr>
        <w:tabs>
          <w:tab w:pos="1338" w:val="left" w:leader="none"/>
          <w:tab w:pos="1339" w:val="left" w:leader="none"/>
        </w:tabs>
        <w:spacing w:line="240" w:lineRule="auto" w:before="63" w:after="0"/>
        <w:ind w:left="1338" w:right="0" w:hanging="360"/>
        <w:jc w:val="left"/>
        <w:rPr>
          <w:sz w:val="38"/>
        </w:rPr>
      </w:pPr>
      <w:r>
        <w:rPr>
          <w:sz w:val="38"/>
        </w:rPr>
        <w:t>activation of macrophages and</w:t>
      </w:r>
      <w:r>
        <w:rPr>
          <w:spacing w:val="1"/>
          <w:sz w:val="38"/>
        </w:rPr>
        <w:t> </w:t>
      </w:r>
      <w:r>
        <w:rPr>
          <w:sz w:val="38"/>
        </w:rPr>
        <w:t>monocytes</w:t>
      </w:r>
    </w:p>
    <w:p>
      <w:pPr>
        <w:pStyle w:val="ListParagraph"/>
        <w:numPr>
          <w:ilvl w:val="1"/>
          <w:numId w:val="60"/>
        </w:numPr>
        <w:tabs>
          <w:tab w:pos="1338" w:val="left" w:leader="none"/>
          <w:tab w:pos="1339" w:val="left" w:leader="none"/>
        </w:tabs>
        <w:spacing w:line="240" w:lineRule="auto" w:before="64" w:after="0"/>
        <w:ind w:left="1338" w:right="0" w:hanging="360"/>
        <w:jc w:val="left"/>
        <w:rPr>
          <w:sz w:val="38"/>
        </w:rPr>
      </w:pPr>
      <w:r>
        <w:rPr>
          <w:sz w:val="38"/>
        </w:rPr>
        <w:t>stimulation of human T and B</w:t>
      </w:r>
      <w:r>
        <w:rPr>
          <w:spacing w:val="-11"/>
          <w:sz w:val="38"/>
        </w:rPr>
        <w:t> </w:t>
      </w:r>
      <w:r>
        <w:rPr>
          <w:sz w:val="38"/>
        </w:rPr>
        <w:t>lymphocytes</w:t>
      </w:r>
    </w:p>
    <w:p>
      <w:pPr>
        <w:pStyle w:val="ListParagraph"/>
        <w:numPr>
          <w:ilvl w:val="1"/>
          <w:numId w:val="60"/>
        </w:numPr>
        <w:tabs>
          <w:tab w:pos="1338" w:val="left" w:leader="none"/>
          <w:tab w:pos="1339" w:val="left" w:leader="none"/>
        </w:tabs>
        <w:spacing w:line="240" w:lineRule="auto" w:before="63" w:after="0"/>
        <w:ind w:left="1338" w:right="0" w:hanging="360"/>
        <w:jc w:val="left"/>
        <w:rPr>
          <w:sz w:val="38"/>
        </w:rPr>
      </w:pPr>
      <w:r>
        <w:rPr>
          <w:sz w:val="38"/>
        </w:rPr>
        <w:t>increase in the proliferation of</w:t>
      </w:r>
      <w:r>
        <w:rPr>
          <w:spacing w:val="-10"/>
          <w:sz w:val="38"/>
        </w:rPr>
        <w:t> </w:t>
      </w:r>
      <w:r>
        <w:rPr>
          <w:sz w:val="38"/>
        </w:rPr>
        <w:t>lymphocytes</w:t>
      </w:r>
    </w:p>
    <w:p>
      <w:pPr>
        <w:pStyle w:val="Heading2"/>
        <w:spacing w:before="303"/>
        <w:jc w:val="both"/>
      </w:pPr>
      <w:r>
        <w:rPr/>
        <w:t>Effect on the hormone system</w:t>
      </w:r>
    </w:p>
    <w:p>
      <w:pPr>
        <w:pStyle w:val="BodyText"/>
        <w:spacing w:line="276" w:lineRule="auto" w:before="305"/>
        <w:ind w:left="477" w:right="133"/>
        <w:jc w:val="both"/>
      </w:pPr>
      <w:r>
        <w:rPr/>
        <w:t>In animal experiments, acetyl-L-carnitine succeeded in stimulating the pineal gland to release more of the ‘regeneration hormone’ melatonin. Melatonin is considered one of the most important hormones in anti-ageing research, and many scientists believe that it can stop physical ageing.</w:t>
      </w:r>
    </w:p>
    <w:p>
      <w:pPr>
        <w:pStyle w:val="BodyText"/>
        <w:spacing w:before="241"/>
        <w:ind w:left="477"/>
      </w:pPr>
      <w:r>
        <w:rPr/>
        <w:t>In addition, acetyl-L-carnitine can normalise an elevated level of cortisol.</w:t>
      </w:r>
    </w:p>
    <w:p>
      <w:pPr>
        <w:pStyle w:val="BodyText"/>
        <w:rPr>
          <w:sz w:val="42"/>
        </w:rPr>
      </w:pPr>
    </w:p>
    <w:p>
      <w:pPr>
        <w:pStyle w:val="BodyText"/>
        <w:spacing w:before="5"/>
        <w:rPr>
          <w:sz w:val="48"/>
        </w:rPr>
      </w:pPr>
    </w:p>
    <w:p>
      <w:pPr>
        <w:pStyle w:val="Heading1"/>
        <w:spacing w:before="0"/>
      </w:pPr>
      <w:r>
        <w:rPr/>
        <w:t>Protective effect on the DNA</w:t>
      </w:r>
    </w:p>
    <w:p>
      <w:pPr>
        <w:pStyle w:val="BodyText"/>
        <w:spacing w:line="276" w:lineRule="auto" w:before="299"/>
        <w:ind w:left="477" w:right="120"/>
      </w:pPr>
      <w:r>
        <w:rPr/>
        <w:t>Studies have impressively shown that taking L-carnitine promotes the repair of DNA damage caused by oxygen radicals.</w:t>
      </w:r>
    </w:p>
    <w:p>
      <w:pPr>
        <w:pStyle w:val="Heading1"/>
        <w:jc w:val="both"/>
      </w:pPr>
      <w:r>
        <w:rPr/>
        <w:t>Effect of L-carnitine on the liver</w:t>
      </w:r>
    </w:p>
    <w:p>
      <w:pPr>
        <w:pStyle w:val="BodyText"/>
        <w:spacing w:before="300"/>
        <w:ind w:left="477"/>
        <w:jc w:val="both"/>
      </w:pPr>
      <w:r>
        <w:rPr/>
        <w:t>L-carnitine regenerates the liver and cell renewal, enables a better breakdown of</w:t>
      </w:r>
    </w:p>
    <w:p>
      <w:pPr>
        <w:spacing w:after="0"/>
        <w:jc w:val="both"/>
        <w:sectPr>
          <w:pgSz w:w="14270" w:h="16850"/>
          <w:pgMar w:header="0" w:footer="404" w:top="1600" w:bottom="2080" w:left="800" w:right="1280"/>
        </w:sectPr>
      </w:pPr>
    </w:p>
    <w:p>
      <w:pPr>
        <w:pStyle w:val="BodyText"/>
        <w:spacing w:line="276" w:lineRule="auto" w:before="181"/>
        <w:ind w:left="477"/>
      </w:pPr>
      <w:r>
        <w:rPr/>
        <w:t>alcohol and other toxic substances, generally improves liver function and in- creases fat metabolism in the liver.</w:t>
      </w:r>
    </w:p>
    <w:p>
      <w:pPr>
        <w:pStyle w:val="Heading1"/>
      </w:pPr>
      <w:r>
        <w:rPr/>
        <w:t>Effect on sperm/fertility</w:t>
      </w:r>
    </w:p>
    <w:p>
      <w:pPr>
        <w:pStyle w:val="BodyText"/>
        <w:spacing w:line="276" w:lineRule="auto" w:before="299"/>
        <w:ind w:left="477" w:right="135"/>
        <w:jc w:val="both"/>
      </w:pPr>
      <w:r>
        <w:rPr/>
        <w:t>L-carnitine</w:t>
      </w:r>
      <w:r>
        <w:rPr>
          <w:spacing w:val="-10"/>
        </w:rPr>
        <w:t> </w:t>
      </w:r>
      <w:r>
        <w:rPr/>
        <w:t>not</w:t>
      </w:r>
      <w:r>
        <w:rPr>
          <w:spacing w:val="-11"/>
        </w:rPr>
        <w:t> </w:t>
      </w:r>
      <w:r>
        <w:rPr/>
        <w:t>only</w:t>
      </w:r>
      <w:r>
        <w:rPr>
          <w:spacing w:val="-10"/>
        </w:rPr>
        <w:t> </w:t>
      </w:r>
      <w:r>
        <w:rPr/>
        <w:t>increases</w:t>
      </w:r>
      <w:r>
        <w:rPr>
          <w:spacing w:val="-9"/>
        </w:rPr>
        <w:t> </w:t>
      </w:r>
      <w:r>
        <w:rPr/>
        <w:t>the</w:t>
      </w:r>
      <w:r>
        <w:rPr>
          <w:spacing w:val="-10"/>
        </w:rPr>
        <w:t> </w:t>
      </w:r>
      <w:r>
        <w:rPr/>
        <w:t>quantity,</w:t>
      </w:r>
      <w:r>
        <w:rPr>
          <w:spacing w:val="-9"/>
        </w:rPr>
        <w:t> </w:t>
      </w:r>
      <w:r>
        <w:rPr/>
        <w:t>i.e.</w:t>
      </w:r>
      <w:r>
        <w:rPr>
          <w:spacing w:val="-9"/>
        </w:rPr>
        <w:t> </w:t>
      </w:r>
      <w:r>
        <w:rPr/>
        <w:t>the</w:t>
      </w:r>
      <w:r>
        <w:rPr>
          <w:spacing w:val="-8"/>
        </w:rPr>
        <w:t> </w:t>
      </w:r>
      <w:r>
        <w:rPr/>
        <w:t>amount</w:t>
      </w:r>
      <w:r>
        <w:rPr>
          <w:spacing w:val="-10"/>
        </w:rPr>
        <w:t> </w:t>
      </w:r>
      <w:r>
        <w:rPr/>
        <w:t>of</w:t>
      </w:r>
      <w:r>
        <w:rPr>
          <w:spacing w:val="-10"/>
        </w:rPr>
        <w:t> </w:t>
      </w:r>
      <w:r>
        <w:rPr/>
        <w:t>ejaculate,</w:t>
      </w:r>
      <w:r>
        <w:rPr>
          <w:spacing w:val="-10"/>
        </w:rPr>
        <w:t> </w:t>
      </w:r>
      <w:r>
        <w:rPr/>
        <w:t>but</w:t>
      </w:r>
      <w:r>
        <w:rPr>
          <w:spacing w:val="-11"/>
        </w:rPr>
        <w:t> </w:t>
      </w:r>
      <w:r>
        <w:rPr/>
        <w:t>also ensures that the sperm are activated, increasing their number and thereby im- proving fertility. The probability of successful procreation increases dramati- cally.</w:t>
      </w:r>
    </w:p>
    <w:p>
      <w:pPr>
        <w:pStyle w:val="Heading1"/>
        <w:spacing w:before="223"/>
        <w:jc w:val="both"/>
      </w:pPr>
      <w:r>
        <w:rPr/>
        <w:t>Indications for the use of L-carnitine</w:t>
      </w:r>
    </w:p>
    <w:p>
      <w:pPr>
        <w:pStyle w:val="BodyText"/>
        <w:spacing w:before="299"/>
        <w:ind w:left="477"/>
        <w:jc w:val="both"/>
      </w:pPr>
      <w:r>
        <w:rPr/>
        <w:t>L-carnitine is used against the following diseases and maladies:</w:t>
      </w:r>
    </w:p>
    <w:p>
      <w:pPr>
        <w:pStyle w:val="ListParagraph"/>
        <w:numPr>
          <w:ilvl w:val="0"/>
          <w:numId w:val="59"/>
        </w:numPr>
        <w:tabs>
          <w:tab w:pos="893" w:val="left" w:leader="none"/>
        </w:tabs>
        <w:spacing w:line="240" w:lineRule="auto" w:before="306" w:after="0"/>
        <w:ind w:left="892" w:right="0" w:hanging="415"/>
        <w:jc w:val="both"/>
        <w:rPr>
          <w:sz w:val="38"/>
        </w:rPr>
      </w:pPr>
      <w:r>
        <w:rPr>
          <w:sz w:val="38"/>
        </w:rPr>
        <w:t>adrenal insufficiency</w:t>
      </w:r>
    </w:p>
    <w:p>
      <w:pPr>
        <w:pStyle w:val="ListParagraph"/>
        <w:numPr>
          <w:ilvl w:val="0"/>
          <w:numId w:val="59"/>
        </w:numPr>
        <w:tabs>
          <w:tab w:pos="893" w:val="left" w:leader="none"/>
        </w:tabs>
        <w:spacing w:line="240" w:lineRule="auto" w:before="64" w:after="0"/>
        <w:ind w:left="892" w:right="0" w:hanging="415"/>
        <w:jc w:val="both"/>
        <w:rPr>
          <w:sz w:val="38"/>
        </w:rPr>
      </w:pPr>
      <w:r>
        <w:rPr>
          <w:sz w:val="38"/>
        </w:rPr>
        <w:t>AIDS/HIV</w:t>
      </w:r>
    </w:p>
    <w:p>
      <w:pPr>
        <w:pStyle w:val="ListParagraph"/>
        <w:numPr>
          <w:ilvl w:val="0"/>
          <w:numId w:val="59"/>
        </w:numPr>
        <w:tabs>
          <w:tab w:pos="893" w:val="left" w:leader="none"/>
        </w:tabs>
        <w:spacing w:line="240" w:lineRule="auto" w:before="64" w:after="0"/>
        <w:ind w:left="892" w:right="0" w:hanging="415"/>
        <w:jc w:val="both"/>
        <w:rPr>
          <w:sz w:val="38"/>
        </w:rPr>
      </w:pPr>
      <w:r>
        <w:rPr>
          <w:sz w:val="38"/>
        </w:rPr>
        <w:t>alcoholism</w:t>
      </w:r>
    </w:p>
    <w:p>
      <w:pPr>
        <w:pStyle w:val="ListParagraph"/>
        <w:numPr>
          <w:ilvl w:val="0"/>
          <w:numId w:val="59"/>
        </w:numPr>
        <w:tabs>
          <w:tab w:pos="893" w:val="left" w:leader="none"/>
        </w:tabs>
        <w:spacing w:line="240" w:lineRule="auto" w:before="63" w:after="0"/>
        <w:ind w:left="892" w:right="0" w:hanging="415"/>
        <w:jc w:val="both"/>
        <w:rPr>
          <w:sz w:val="38"/>
        </w:rPr>
      </w:pPr>
      <w:r>
        <w:rPr>
          <w:sz w:val="38"/>
        </w:rPr>
        <w:t>Alzheimer’s</w:t>
      </w:r>
    </w:p>
    <w:p>
      <w:pPr>
        <w:pStyle w:val="ListParagraph"/>
        <w:numPr>
          <w:ilvl w:val="0"/>
          <w:numId w:val="59"/>
        </w:numPr>
        <w:tabs>
          <w:tab w:pos="893" w:val="left" w:leader="none"/>
        </w:tabs>
        <w:spacing w:line="240" w:lineRule="auto" w:before="66" w:after="0"/>
        <w:ind w:left="892" w:right="0" w:hanging="415"/>
        <w:jc w:val="both"/>
        <w:rPr>
          <w:sz w:val="38"/>
        </w:rPr>
      </w:pPr>
      <w:r>
        <w:rPr>
          <w:sz w:val="38"/>
        </w:rPr>
        <w:t>angina</w:t>
      </w:r>
      <w:r>
        <w:rPr>
          <w:spacing w:val="-1"/>
          <w:sz w:val="38"/>
        </w:rPr>
        <w:t> </w:t>
      </w:r>
      <w:r>
        <w:rPr>
          <w:sz w:val="38"/>
        </w:rPr>
        <w:t>pectoris</w:t>
      </w:r>
    </w:p>
    <w:p>
      <w:pPr>
        <w:pStyle w:val="ListParagraph"/>
        <w:numPr>
          <w:ilvl w:val="0"/>
          <w:numId w:val="59"/>
        </w:numPr>
        <w:tabs>
          <w:tab w:pos="893" w:val="left" w:leader="none"/>
        </w:tabs>
        <w:spacing w:line="240" w:lineRule="auto" w:before="64" w:after="0"/>
        <w:ind w:left="892" w:right="0" w:hanging="415"/>
        <w:jc w:val="both"/>
        <w:rPr>
          <w:sz w:val="38"/>
        </w:rPr>
      </w:pPr>
      <w:r>
        <w:rPr>
          <w:sz w:val="38"/>
        </w:rPr>
        <w:t>atherosclerosis</w:t>
      </w:r>
    </w:p>
    <w:p>
      <w:pPr>
        <w:pStyle w:val="ListParagraph"/>
        <w:numPr>
          <w:ilvl w:val="0"/>
          <w:numId w:val="59"/>
        </w:numPr>
        <w:tabs>
          <w:tab w:pos="893" w:val="left" w:leader="none"/>
        </w:tabs>
        <w:spacing w:line="240" w:lineRule="auto" w:before="63" w:after="0"/>
        <w:ind w:left="892" w:right="0" w:hanging="415"/>
        <w:jc w:val="both"/>
        <w:rPr>
          <w:sz w:val="38"/>
        </w:rPr>
      </w:pPr>
      <w:r>
        <w:rPr>
          <w:sz w:val="38"/>
        </w:rPr>
        <w:t>connective</w:t>
      </w:r>
      <w:r>
        <w:rPr>
          <w:spacing w:val="-1"/>
          <w:sz w:val="38"/>
        </w:rPr>
        <w:t> </w:t>
      </w:r>
      <w:r>
        <w:rPr>
          <w:sz w:val="38"/>
        </w:rPr>
        <w:t>tissue</w:t>
      </w:r>
    </w:p>
    <w:p>
      <w:pPr>
        <w:pStyle w:val="ListParagraph"/>
        <w:numPr>
          <w:ilvl w:val="0"/>
          <w:numId w:val="59"/>
        </w:numPr>
        <w:tabs>
          <w:tab w:pos="893" w:val="left" w:leader="none"/>
        </w:tabs>
        <w:spacing w:line="240" w:lineRule="auto" w:before="64" w:after="0"/>
        <w:ind w:left="892" w:right="0" w:hanging="415"/>
        <w:jc w:val="both"/>
        <w:rPr>
          <w:sz w:val="38"/>
        </w:rPr>
      </w:pPr>
      <w:r>
        <w:rPr>
          <w:sz w:val="38"/>
        </w:rPr>
        <w:t>anaemia</w:t>
      </w:r>
    </w:p>
    <w:p>
      <w:pPr>
        <w:pStyle w:val="ListParagraph"/>
        <w:numPr>
          <w:ilvl w:val="0"/>
          <w:numId w:val="59"/>
        </w:numPr>
        <w:tabs>
          <w:tab w:pos="893" w:val="left" w:leader="none"/>
        </w:tabs>
        <w:spacing w:line="240" w:lineRule="auto" w:before="64" w:after="0"/>
        <w:ind w:left="892" w:right="0" w:hanging="415"/>
        <w:jc w:val="both"/>
        <w:rPr>
          <w:sz w:val="38"/>
        </w:rPr>
      </w:pPr>
      <w:r>
        <w:rPr>
          <w:sz w:val="38"/>
        </w:rPr>
        <w:t>chemotherapy</w:t>
      </w:r>
    </w:p>
    <w:p>
      <w:pPr>
        <w:pStyle w:val="ListParagraph"/>
        <w:numPr>
          <w:ilvl w:val="0"/>
          <w:numId w:val="59"/>
        </w:numPr>
        <w:tabs>
          <w:tab w:pos="893" w:val="left" w:leader="none"/>
        </w:tabs>
        <w:spacing w:line="240" w:lineRule="auto" w:before="66" w:after="0"/>
        <w:ind w:left="892" w:right="0" w:hanging="415"/>
        <w:jc w:val="both"/>
        <w:rPr>
          <w:sz w:val="38"/>
        </w:rPr>
      </w:pPr>
      <w:r>
        <w:rPr>
          <w:sz w:val="38"/>
        </w:rPr>
        <w:t>chronic muscle</w:t>
      </w:r>
      <w:r>
        <w:rPr>
          <w:spacing w:val="1"/>
          <w:sz w:val="38"/>
        </w:rPr>
        <w:t> </w:t>
      </w:r>
      <w:r>
        <w:rPr>
          <w:sz w:val="38"/>
        </w:rPr>
        <w:t>myopathies</w:t>
      </w:r>
    </w:p>
    <w:p>
      <w:pPr>
        <w:pStyle w:val="ListParagraph"/>
        <w:numPr>
          <w:ilvl w:val="0"/>
          <w:numId w:val="59"/>
        </w:numPr>
        <w:tabs>
          <w:tab w:pos="893" w:val="left" w:leader="none"/>
        </w:tabs>
        <w:spacing w:line="240" w:lineRule="auto" w:before="64" w:after="0"/>
        <w:ind w:left="892" w:right="0" w:hanging="415"/>
        <w:jc w:val="both"/>
        <w:rPr>
          <w:sz w:val="38"/>
        </w:rPr>
      </w:pPr>
      <w:r>
        <w:rPr>
          <w:sz w:val="38"/>
        </w:rPr>
        <w:t>chronic kidney</w:t>
      </w:r>
      <w:r>
        <w:rPr>
          <w:spacing w:val="1"/>
          <w:sz w:val="38"/>
        </w:rPr>
        <w:t> </w:t>
      </w:r>
      <w:r>
        <w:rPr>
          <w:sz w:val="38"/>
        </w:rPr>
        <w:t>disease</w:t>
      </w:r>
    </w:p>
    <w:p>
      <w:pPr>
        <w:spacing w:after="0" w:line="240" w:lineRule="auto"/>
        <w:jc w:val="both"/>
        <w:rPr>
          <w:sz w:val="38"/>
        </w:rPr>
        <w:sectPr>
          <w:pgSz w:w="14270" w:h="16850"/>
          <w:pgMar w:header="0" w:footer="404" w:top="1600" w:bottom="2080" w:left="800" w:right="1280"/>
        </w:sectPr>
      </w:pPr>
    </w:p>
    <w:p>
      <w:pPr>
        <w:pStyle w:val="BodyText"/>
        <w:spacing w:before="10"/>
        <w:rPr>
          <w:sz w:val="8"/>
        </w:rPr>
      </w:pPr>
    </w:p>
    <w:p>
      <w:pPr>
        <w:pStyle w:val="ListParagraph"/>
        <w:numPr>
          <w:ilvl w:val="0"/>
          <w:numId w:val="59"/>
        </w:numPr>
        <w:tabs>
          <w:tab w:pos="892" w:val="left" w:leader="none"/>
          <w:tab w:pos="893" w:val="left" w:leader="none"/>
        </w:tabs>
        <w:spacing w:line="240" w:lineRule="auto" w:before="83" w:after="0"/>
        <w:ind w:left="892" w:right="0" w:hanging="415"/>
        <w:jc w:val="left"/>
        <w:rPr>
          <w:sz w:val="38"/>
        </w:rPr>
      </w:pPr>
      <w:r>
        <w:rPr>
          <w:sz w:val="38"/>
        </w:rPr>
        <w:t>chronic fatigue</w:t>
      </w:r>
      <w:r>
        <w:rPr>
          <w:spacing w:val="-1"/>
          <w:sz w:val="38"/>
        </w:rPr>
        <w:t> </w:t>
      </w:r>
      <w:r>
        <w:rPr>
          <w:sz w:val="38"/>
        </w:rPr>
        <w:t>syndrome</w:t>
      </w:r>
    </w:p>
    <w:p>
      <w:pPr>
        <w:pStyle w:val="ListParagraph"/>
        <w:numPr>
          <w:ilvl w:val="0"/>
          <w:numId w:val="59"/>
        </w:numPr>
        <w:tabs>
          <w:tab w:pos="892" w:val="left" w:leader="none"/>
          <w:tab w:pos="893" w:val="left" w:leader="none"/>
        </w:tabs>
        <w:spacing w:line="240" w:lineRule="auto" w:before="64" w:after="0"/>
        <w:ind w:left="892" w:right="0" w:hanging="415"/>
        <w:jc w:val="left"/>
        <w:rPr>
          <w:sz w:val="38"/>
        </w:rPr>
      </w:pPr>
      <w:r>
        <w:rPr>
          <w:sz w:val="38"/>
        </w:rPr>
        <w:t>dementia</w:t>
      </w:r>
    </w:p>
    <w:p>
      <w:pPr>
        <w:pStyle w:val="ListParagraph"/>
        <w:numPr>
          <w:ilvl w:val="0"/>
          <w:numId w:val="59"/>
        </w:numPr>
        <w:tabs>
          <w:tab w:pos="892" w:val="left" w:leader="none"/>
          <w:tab w:pos="893" w:val="left" w:leader="none"/>
        </w:tabs>
        <w:spacing w:line="240" w:lineRule="auto" w:before="66" w:after="0"/>
        <w:ind w:left="892" w:right="0" w:hanging="415"/>
        <w:jc w:val="left"/>
        <w:rPr>
          <w:sz w:val="38"/>
        </w:rPr>
      </w:pPr>
      <w:r>
        <w:rPr>
          <w:sz w:val="38"/>
        </w:rPr>
        <w:t>diabetes</w:t>
      </w:r>
    </w:p>
    <w:p>
      <w:pPr>
        <w:pStyle w:val="ListParagraph"/>
        <w:numPr>
          <w:ilvl w:val="0"/>
          <w:numId w:val="59"/>
        </w:numPr>
        <w:tabs>
          <w:tab w:pos="892" w:val="left" w:leader="none"/>
          <w:tab w:pos="893" w:val="left" w:leader="none"/>
        </w:tabs>
        <w:spacing w:line="240" w:lineRule="auto" w:before="63" w:after="0"/>
        <w:ind w:left="892" w:right="0" w:hanging="415"/>
        <w:jc w:val="left"/>
        <w:rPr>
          <w:sz w:val="38"/>
        </w:rPr>
      </w:pPr>
      <w:r>
        <w:rPr>
          <w:sz w:val="38"/>
        </w:rPr>
        <w:t>diphtheria</w:t>
      </w:r>
    </w:p>
    <w:p>
      <w:pPr>
        <w:pStyle w:val="ListParagraph"/>
        <w:numPr>
          <w:ilvl w:val="0"/>
          <w:numId w:val="59"/>
        </w:numPr>
        <w:tabs>
          <w:tab w:pos="892" w:val="left" w:leader="none"/>
          <w:tab w:pos="893" w:val="left" w:leader="none"/>
        </w:tabs>
        <w:spacing w:line="240" w:lineRule="auto" w:before="64" w:after="0"/>
        <w:ind w:left="892" w:right="0" w:hanging="415"/>
        <w:jc w:val="left"/>
        <w:rPr>
          <w:sz w:val="38"/>
        </w:rPr>
      </w:pPr>
      <w:r>
        <w:rPr>
          <w:sz w:val="38"/>
        </w:rPr>
        <w:t>distal ulcerative</w:t>
      </w:r>
      <w:r>
        <w:rPr>
          <w:spacing w:val="-1"/>
          <w:sz w:val="38"/>
        </w:rPr>
        <w:t> </w:t>
      </w:r>
      <w:r>
        <w:rPr>
          <w:sz w:val="38"/>
        </w:rPr>
        <w:t>colitis</w:t>
      </w:r>
    </w:p>
    <w:p>
      <w:pPr>
        <w:pStyle w:val="ListParagraph"/>
        <w:numPr>
          <w:ilvl w:val="0"/>
          <w:numId w:val="59"/>
        </w:numPr>
        <w:tabs>
          <w:tab w:pos="892" w:val="left" w:leader="none"/>
          <w:tab w:pos="893" w:val="left" w:leader="none"/>
        </w:tabs>
        <w:spacing w:line="240" w:lineRule="auto" w:before="63" w:after="0"/>
        <w:ind w:left="892" w:right="0" w:hanging="415"/>
        <w:jc w:val="left"/>
        <w:rPr>
          <w:sz w:val="38"/>
        </w:rPr>
      </w:pPr>
      <w:r>
        <w:rPr>
          <w:sz w:val="38"/>
        </w:rPr>
        <w:t>circulatory disorders</w:t>
      </w:r>
    </w:p>
    <w:p>
      <w:pPr>
        <w:pStyle w:val="ListParagraph"/>
        <w:numPr>
          <w:ilvl w:val="0"/>
          <w:numId w:val="59"/>
        </w:numPr>
        <w:tabs>
          <w:tab w:pos="892" w:val="left" w:leader="none"/>
          <w:tab w:pos="893" w:val="left" w:leader="none"/>
        </w:tabs>
        <w:spacing w:line="240" w:lineRule="auto" w:before="65" w:after="0"/>
        <w:ind w:left="892" w:right="0" w:hanging="415"/>
        <w:jc w:val="left"/>
        <w:rPr>
          <w:sz w:val="38"/>
        </w:rPr>
      </w:pPr>
      <w:r>
        <w:rPr>
          <w:sz w:val="38"/>
        </w:rPr>
        <w:t>epilepsy</w:t>
      </w:r>
    </w:p>
    <w:p>
      <w:pPr>
        <w:pStyle w:val="ListParagraph"/>
        <w:numPr>
          <w:ilvl w:val="0"/>
          <w:numId w:val="59"/>
        </w:numPr>
        <w:tabs>
          <w:tab w:pos="892" w:val="left" w:leader="none"/>
          <w:tab w:pos="893" w:val="left" w:leader="none"/>
        </w:tabs>
        <w:spacing w:line="240" w:lineRule="auto" w:before="66" w:after="0"/>
        <w:ind w:left="892" w:right="0" w:hanging="415"/>
        <w:jc w:val="left"/>
        <w:rPr>
          <w:sz w:val="38"/>
        </w:rPr>
      </w:pPr>
      <w:r>
        <w:rPr>
          <w:sz w:val="38"/>
        </w:rPr>
        <w:t>fertility</w:t>
      </w:r>
      <w:r>
        <w:rPr>
          <w:spacing w:val="-2"/>
          <w:sz w:val="38"/>
        </w:rPr>
        <w:t> </w:t>
      </w:r>
      <w:r>
        <w:rPr>
          <w:sz w:val="38"/>
        </w:rPr>
        <w:t>problems</w:t>
      </w:r>
    </w:p>
    <w:p>
      <w:pPr>
        <w:pStyle w:val="ListParagraph"/>
        <w:numPr>
          <w:ilvl w:val="0"/>
          <w:numId w:val="59"/>
        </w:numPr>
        <w:tabs>
          <w:tab w:pos="892" w:val="left" w:leader="none"/>
          <w:tab w:pos="893" w:val="left" w:leader="none"/>
        </w:tabs>
        <w:spacing w:line="240" w:lineRule="auto" w:before="63" w:after="0"/>
        <w:ind w:left="892" w:right="0" w:hanging="415"/>
        <w:jc w:val="left"/>
        <w:rPr>
          <w:sz w:val="38"/>
        </w:rPr>
      </w:pPr>
      <w:r>
        <w:rPr>
          <w:sz w:val="38"/>
        </w:rPr>
        <w:t>mind, mental</w:t>
      </w:r>
      <w:r>
        <w:rPr>
          <w:spacing w:val="-5"/>
          <w:sz w:val="38"/>
        </w:rPr>
        <w:t> </w:t>
      </w:r>
      <w:r>
        <w:rPr>
          <w:sz w:val="38"/>
        </w:rPr>
        <w:t>state</w:t>
      </w:r>
    </w:p>
    <w:p>
      <w:pPr>
        <w:pStyle w:val="ListParagraph"/>
        <w:numPr>
          <w:ilvl w:val="0"/>
          <w:numId w:val="59"/>
        </w:numPr>
        <w:tabs>
          <w:tab w:pos="892" w:val="left" w:leader="none"/>
          <w:tab w:pos="893" w:val="left" w:leader="none"/>
        </w:tabs>
        <w:spacing w:line="240" w:lineRule="auto" w:before="64" w:after="0"/>
        <w:ind w:left="892" w:right="0" w:hanging="415"/>
        <w:jc w:val="left"/>
        <w:rPr>
          <w:sz w:val="38"/>
        </w:rPr>
      </w:pPr>
      <w:r>
        <w:rPr>
          <w:sz w:val="38"/>
        </w:rPr>
        <w:t>heart</w:t>
      </w:r>
      <w:r>
        <w:rPr>
          <w:spacing w:val="-3"/>
          <w:sz w:val="38"/>
        </w:rPr>
        <w:t> </w:t>
      </w:r>
      <w:r>
        <w:rPr>
          <w:sz w:val="38"/>
        </w:rPr>
        <w:t>attack</w:t>
      </w:r>
    </w:p>
    <w:p>
      <w:pPr>
        <w:pStyle w:val="ListParagraph"/>
        <w:numPr>
          <w:ilvl w:val="0"/>
          <w:numId w:val="59"/>
        </w:numPr>
        <w:tabs>
          <w:tab w:pos="892" w:val="left" w:leader="none"/>
          <w:tab w:pos="893" w:val="left" w:leader="none"/>
        </w:tabs>
        <w:spacing w:line="240" w:lineRule="auto" w:before="64" w:after="0"/>
        <w:ind w:left="892" w:right="0" w:hanging="415"/>
        <w:jc w:val="left"/>
        <w:rPr>
          <w:sz w:val="38"/>
        </w:rPr>
      </w:pPr>
      <w:r>
        <w:rPr>
          <w:sz w:val="38"/>
        </w:rPr>
        <w:t>heart disease in general</w:t>
      </w:r>
    </w:p>
    <w:p>
      <w:pPr>
        <w:pStyle w:val="ListParagraph"/>
        <w:numPr>
          <w:ilvl w:val="0"/>
          <w:numId w:val="59"/>
        </w:numPr>
        <w:tabs>
          <w:tab w:pos="892" w:val="left" w:leader="none"/>
          <w:tab w:pos="893" w:val="left" w:leader="none"/>
        </w:tabs>
        <w:spacing w:line="240" w:lineRule="auto" w:before="63" w:after="0"/>
        <w:ind w:left="892" w:right="0" w:hanging="415"/>
        <w:jc w:val="left"/>
        <w:rPr>
          <w:sz w:val="38"/>
        </w:rPr>
      </w:pPr>
      <w:r>
        <w:rPr>
          <w:sz w:val="38"/>
        </w:rPr>
        <w:t>heart</w:t>
      </w:r>
      <w:r>
        <w:rPr>
          <w:spacing w:val="-3"/>
          <w:sz w:val="38"/>
        </w:rPr>
        <w:t> </w:t>
      </w:r>
      <w:r>
        <w:rPr>
          <w:sz w:val="38"/>
        </w:rPr>
        <w:t>failure</w:t>
      </w:r>
    </w:p>
    <w:p>
      <w:pPr>
        <w:pStyle w:val="ListParagraph"/>
        <w:numPr>
          <w:ilvl w:val="0"/>
          <w:numId w:val="59"/>
        </w:numPr>
        <w:tabs>
          <w:tab w:pos="892" w:val="left" w:leader="none"/>
          <w:tab w:pos="893" w:val="left" w:leader="none"/>
        </w:tabs>
        <w:spacing w:line="240" w:lineRule="auto" w:before="66" w:after="0"/>
        <w:ind w:left="892" w:right="0" w:hanging="415"/>
        <w:jc w:val="left"/>
        <w:rPr>
          <w:sz w:val="38"/>
        </w:rPr>
      </w:pPr>
      <w:r>
        <w:rPr>
          <w:sz w:val="38"/>
        </w:rPr>
        <w:t>hyperammonia</w:t>
      </w:r>
    </w:p>
    <w:p>
      <w:pPr>
        <w:pStyle w:val="ListParagraph"/>
        <w:numPr>
          <w:ilvl w:val="0"/>
          <w:numId w:val="59"/>
        </w:numPr>
        <w:tabs>
          <w:tab w:pos="892" w:val="left" w:leader="none"/>
          <w:tab w:pos="893" w:val="left" w:leader="none"/>
        </w:tabs>
        <w:spacing w:line="240" w:lineRule="auto" w:before="64" w:after="0"/>
        <w:ind w:left="892" w:right="0" w:hanging="415"/>
        <w:jc w:val="left"/>
        <w:rPr>
          <w:sz w:val="38"/>
        </w:rPr>
      </w:pPr>
      <w:r>
        <w:rPr>
          <w:sz w:val="38"/>
        </w:rPr>
        <w:t>hyperthyroidism</w:t>
      </w:r>
    </w:p>
    <w:p>
      <w:pPr>
        <w:pStyle w:val="ListParagraph"/>
        <w:numPr>
          <w:ilvl w:val="0"/>
          <w:numId w:val="59"/>
        </w:numPr>
        <w:tabs>
          <w:tab w:pos="892" w:val="left" w:leader="none"/>
          <w:tab w:pos="893" w:val="left" w:leader="none"/>
        </w:tabs>
        <w:spacing w:line="240" w:lineRule="auto" w:before="64" w:after="0"/>
        <w:ind w:left="892" w:right="0" w:hanging="415"/>
        <w:jc w:val="left"/>
        <w:rPr>
          <w:sz w:val="38"/>
        </w:rPr>
      </w:pPr>
      <w:r>
        <w:rPr>
          <w:sz w:val="38"/>
        </w:rPr>
        <w:t>hypertriglyceridaemias</w:t>
      </w:r>
    </w:p>
    <w:p>
      <w:pPr>
        <w:pStyle w:val="ListParagraph"/>
        <w:numPr>
          <w:ilvl w:val="0"/>
          <w:numId w:val="59"/>
        </w:numPr>
        <w:tabs>
          <w:tab w:pos="892" w:val="left" w:leader="none"/>
          <w:tab w:pos="893" w:val="left" w:leader="none"/>
        </w:tabs>
        <w:spacing w:line="240" w:lineRule="auto" w:before="64" w:after="0"/>
        <w:ind w:left="892" w:right="0" w:hanging="415"/>
        <w:jc w:val="left"/>
        <w:rPr>
          <w:sz w:val="38"/>
        </w:rPr>
      </w:pPr>
      <w:r>
        <w:rPr>
          <w:sz w:val="38"/>
        </w:rPr>
        <w:t>hypopituitarism</w:t>
      </w:r>
    </w:p>
    <w:p>
      <w:pPr>
        <w:pStyle w:val="ListParagraph"/>
        <w:numPr>
          <w:ilvl w:val="0"/>
          <w:numId w:val="59"/>
        </w:numPr>
        <w:tabs>
          <w:tab w:pos="892" w:val="left" w:leader="none"/>
          <w:tab w:pos="893" w:val="left" w:leader="none"/>
        </w:tabs>
        <w:spacing w:line="240" w:lineRule="auto" w:before="66" w:after="0"/>
        <w:ind w:left="892" w:right="0" w:hanging="415"/>
        <w:jc w:val="left"/>
        <w:rPr>
          <w:sz w:val="38"/>
        </w:rPr>
      </w:pPr>
      <w:r>
        <w:rPr>
          <w:sz w:val="38"/>
        </w:rPr>
        <w:t>immunodeficiency</w:t>
      </w:r>
    </w:p>
    <w:p>
      <w:pPr>
        <w:pStyle w:val="ListParagraph"/>
        <w:numPr>
          <w:ilvl w:val="0"/>
          <w:numId w:val="59"/>
        </w:numPr>
        <w:tabs>
          <w:tab w:pos="892" w:val="left" w:leader="none"/>
          <w:tab w:pos="893" w:val="left" w:leader="none"/>
        </w:tabs>
        <w:spacing w:line="240" w:lineRule="auto" w:before="63" w:after="0"/>
        <w:ind w:left="892" w:right="0" w:hanging="415"/>
        <w:jc w:val="left"/>
        <w:rPr>
          <w:sz w:val="38"/>
        </w:rPr>
      </w:pPr>
      <w:r>
        <w:rPr>
          <w:sz w:val="38"/>
        </w:rPr>
        <w:t>liver disease</w:t>
      </w:r>
    </w:p>
    <w:p>
      <w:pPr>
        <w:pStyle w:val="ListParagraph"/>
        <w:numPr>
          <w:ilvl w:val="0"/>
          <w:numId w:val="59"/>
        </w:numPr>
        <w:tabs>
          <w:tab w:pos="892" w:val="left" w:leader="none"/>
          <w:tab w:pos="893" w:val="left" w:leader="none"/>
        </w:tabs>
        <w:spacing w:line="240" w:lineRule="auto" w:before="64" w:after="0"/>
        <w:ind w:left="892" w:right="0" w:hanging="415"/>
        <w:jc w:val="left"/>
        <w:rPr>
          <w:sz w:val="38"/>
        </w:rPr>
      </w:pPr>
      <w:r>
        <w:rPr>
          <w:sz w:val="38"/>
        </w:rPr>
        <w:t>Bekhterev's</w:t>
      </w:r>
      <w:r>
        <w:rPr>
          <w:spacing w:val="1"/>
          <w:sz w:val="38"/>
        </w:rPr>
        <w:t> </w:t>
      </w:r>
      <w:r>
        <w:rPr>
          <w:sz w:val="38"/>
        </w:rPr>
        <w:t>disease</w:t>
      </w:r>
    </w:p>
    <w:p>
      <w:pPr>
        <w:pStyle w:val="ListParagraph"/>
        <w:numPr>
          <w:ilvl w:val="0"/>
          <w:numId w:val="59"/>
        </w:numPr>
        <w:tabs>
          <w:tab w:pos="892" w:val="left" w:leader="none"/>
          <w:tab w:pos="893" w:val="left" w:leader="none"/>
        </w:tabs>
        <w:spacing w:line="240" w:lineRule="auto" w:before="63" w:after="0"/>
        <w:ind w:left="892" w:right="0" w:hanging="415"/>
        <w:jc w:val="left"/>
        <w:rPr>
          <w:sz w:val="38"/>
        </w:rPr>
      </w:pPr>
      <w:r>
        <w:rPr>
          <w:sz w:val="38"/>
        </w:rPr>
        <w:t>myocarditis</w:t>
      </w:r>
    </w:p>
    <w:p>
      <w:pPr>
        <w:pStyle w:val="ListParagraph"/>
        <w:numPr>
          <w:ilvl w:val="0"/>
          <w:numId w:val="59"/>
        </w:numPr>
        <w:tabs>
          <w:tab w:pos="892" w:val="left" w:leader="none"/>
          <w:tab w:pos="893" w:val="left" w:leader="none"/>
        </w:tabs>
        <w:spacing w:line="240" w:lineRule="auto" w:before="65" w:after="0"/>
        <w:ind w:left="892" w:right="0" w:hanging="415"/>
        <w:jc w:val="left"/>
        <w:rPr>
          <w:sz w:val="38"/>
        </w:rPr>
      </w:pPr>
      <w:r>
        <w:rPr>
          <w:sz w:val="38"/>
        </w:rPr>
        <w:t>post-polio</w:t>
      </w:r>
      <w:r>
        <w:rPr>
          <w:spacing w:val="-1"/>
          <w:sz w:val="38"/>
        </w:rPr>
        <w:t> </w:t>
      </w:r>
      <w:r>
        <w:rPr>
          <w:sz w:val="38"/>
        </w:rPr>
        <w:t>syndrome/poliomyelitis</w:t>
      </w:r>
    </w:p>
    <w:p>
      <w:pPr>
        <w:pStyle w:val="ListParagraph"/>
        <w:numPr>
          <w:ilvl w:val="0"/>
          <w:numId w:val="59"/>
        </w:numPr>
        <w:tabs>
          <w:tab w:pos="892" w:val="left" w:leader="none"/>
          <w:tab w:pos="893" w:val="left" w:leader="none"/>
        </w:tabs>
        <w:spacing w:line="240" w:lineRule="auto" w:before="66" w:after="0"/>
        <w:ind w:left="892" w:right="0" w:hanging="415"/>
        <w:jc w:val="left"/>
        <w:rPr>
          <w:sz w:val="38"/>
        </w:rPr>
      </w:pPr>
      <w:r>
        <w:rPr>
          <w:sz w:val="38"/>
        </w:rPr>
        <w:t>Reye's syndrome</w:t>
      </w:r>
    </w:p>
    <w:p>
      <w:pPr>
        <w:spacing w:after="0" w:line="240" w:lineRule="auto"/>
        <w:jc w:val="left"/>
        <w:rPr>
          <w:sz w:val="38"/>
        </w:rPr>
        <w:sectPr>
          <w:pgSz w:w="14270" w:h="16850"/>
          <w:pgMar w:header="0" w:footer="404" w:top="1600" w:bottom="2080" w:left="800" w:right="1280"/>
        </w:sectPr>
      </w:pPr>
    </w:p>
    <w:p>
      <w:pPr>
        <w:pStyle w:val="BodyText"/>
        <w:spacing w:before="10"/>
        <w:rPr>
          <w:sz w:val="8"/>
        </w:rPr>
      </w:pPr>
    </w:p>
    <w:p>
      <w:pPr>
        <w:pStyle w:val="ListParagraph"/>
        <w:numPr>
          <w:ilvl w:val="0"/>
          <w:numId w:val="59"/>
        </w:numPr>
        <w:tabs>
          <w:tab w:pos="893" w:val="left" w:leader="none"/>
        </w:tabs>
        <w:spacing w:line="240" w:lineRule="auto" w:before="83" w:after="0"/>
        <w:ind w:left="892" w:right="0" w:hanging="415"/>
        <w:jc w:val="both"/>
        <w:rPr>
          <w:sz w:val="38"/>
        </w:rPr>
      </w:pPr>
      <w:r>
        <w:rPr>
          <w:sz w:val="38"/>
        </w:rPr>
        <w:t>smoker’s</w:t>
      </w:r>
      <w:r>
        <w:rPr>
          <w:spacing w:val="-2"/>
          <w:sz w:val="38"/>
        </w:rPr>
        <w:t> </w:t>
      </w:r>
      <w:r>
        <w:rPr>
          <w:sz w:val="38"/>
        </w:rPr>
        <w:t>leg</w:t>
      </w:r>
    </w:p>
    <w:p>
      <w:pPr>
        <w:pStyle w:val="ListParagraph"/>
        <w:numPr>
          <w:ilvl w:val="0"/>
          <w:numId w:val="59"/>
        </w:numPr>
        <w:tabs>
          <w:tab w:pos="893" w:val="left" w:leader="none"/>
        </w:tabs>
        <w:spacing w:line="240" w:lineRule="auto" w:before="64" w:after="0"/>
        <w:ind w:left="892" w:right="0" w:hanging="415"/>
        <w:jc w:val="both"/>
        <w:rPr>
          <w:sz w:val="38"/>
        </w:rPr>
      </w:pPr>
      <w:r>
        <w:rPr>
          <w:sz w:val="38"/>
        </w:rPr>
        <w:t>stroke</w:t>
      </w:r>
    </w:p>
    <w:p>
      <w:pPr>
        <w:pStyle w:val="ListParagraph"/>
        <w:numPr>
          <w:ilvl w:val="0"/>
          <w:numId w:val="59"/>
        </w:numPr>
        <w:tabs>
          <w:tab w:pos="893" w:val="left" w:leader="none"/>
        </w:tabs>
        <w:spacing w:line="240" w:lineRule="auto" w:before="66" w:after="0"/>
        <w:ind w:left="892" w:right="0" w:hanging="415"/>
        <w:jc w:val="both"/>
        <w:rPr>
          <w:sz w:val="38"/>
        </w:rPr>
      </w:pPr>
      <w:r>
        <w:rPr>
          <w:sz w:val="38"/>
        </w:rPr>
        <w:t>shock</w:t>
      </w:r>
    </w:p>
    <w:p>
      <w:pPr>
        <w:pStyle w:val="ListParagraph"/>
        <w:numPr>
          <w:ilvl w:val="0"/>
          <w:numId w:val="59"/>
        </w:numPr>
        <w:tabs>
          <w:tab w:pos="893" w:val="left" w:leader="none"/>
        </w:tabs>
        <w:spacing w:line="240" w:lineRule="auto" w:before="63" w:after="0"/>
        <w:ind w:left="892" w:right="0" w:hanging="415"/>
        <w:jc w:val="both"/>
        <w:rPr>
          <w:sz w:val="38"/>
        </w:rPr>
      </w:pPr>
      <w:r>
        <w:rPr>
          <w:sz w:val="38"/>
        </w:rPr>
        <w:t>sepsis</w:t>
      </w:r>
    </w:p>
    <w:p>
      <w:pPr>
        <w:pStyle w:val="ListParagraph"/>
        <w:numPr>
          <w:ilvl w:val="0"/>
          <w:numId w:val="59"/>
        </w:numPr>
        <w:tabs>
          <w:tab w:pos="893" w:val="left" w:leader="none"/>
        </w:tabs>
        <w:spacing w:line="240" w:lineRule="auto" w:before="64" w:after="0"/>
        <w:ind w:left="892" w:right="0" w:hanging="415"/>
        <w:jc w:val="both"/>
        <w:rPr>
          <w:sz w:val="38"/>
        </w:rPr>
      </w:pPr>
      <w:r>
        <w:rPr>
          <w:sz w:val="38"/>
        </w:rPr>
        <w:t>scleroderma</w:t>
      </w:r>
    </w:p>
    <w:p>
      <w:pPr>
        <w:pStyle w:val="ListParagraph"/>
        <w:numPr>
          <w:ilvl w:val="0"/>
          <w:numId w:val="59"/>
        </w:numPr>
        <w:tabs>
          <w:tab w:pos="893" w:val="left" w:leader="none"/>
        </w:tabs>
        <w:spacing w:line="240" w:lineRule="auto" w:before="63" w:after="0"/>
        <w:ind w:left="892" w:right="0" w:hanging="415"/>
        <w:jc w:val="both"/>
        <w:rPr>
          <w:sz w:val="38"/>
        </w:rPr>
      </w:pPr>
      <w:r>
        <w:rPr>
          <w:sz w:val="38"/>
        </w:rPr>
        <w:t>sperm deficit</w:t>
      </w:r>
    </w:p>
    <w:p>
      <w:pPr>
        <w:pStyle w:val="ListParagraph"/>
        <w:numPr>
          <w:ilvl w:val="0"/>
          <w:numId w:val="59"/>
        </w:numPr>
        <w:tabs>
          <w:tab w:pos="893" w:val="left" w:leader="none"/>
        </w:tabs>
        <w:spacing w:line="240" w:lineRule="auto" w:before="65" w:after="0"/>
        <w:ind w:left="892" w:right="0" w:hanging="415"/>
        <w:jc w:val="both"/>
        <w:rPr>
          <w:sz w:val="38"/>
        </w:rPr>
      </w:pPr>
      <w:r>
        <w:rPr>
          <w:sz w:val="38"/>
        </w:rPr>
        <w:t>sperm inactivity</w:t>
      </w:r>
    </w:p>
    <w:p>
      <w:pPr>
        <w:pStyle w:val="ListParagraph"/>
        <w:numPr>
          <w:ilvl w:val="0"/>
          <w:numId w:val="59"/>
        </w:numPr>
        <w:tabs>
          <w:tab w:pos="893" w:val="left" w:leader="none"/>
        </w:tabs>
        <w:spacing w:line="240" w:lineRule="auto" w:before="66" w:after="0"/>
        <w:ind w:left="892" w:right="0" w:hanging="415"/>
        <w:jc w:val="both"/>
        <w:rPr>
          <w:sz w:val="38"/>
        </w:rPr>
      </w:pPr>
      <w:r>
        <w:rPr>
          <w:sz w:val="38"/>
        </w:rPr>
        <w:t>stress</w:t>
      </w:r>
    </w:p>
    <w:p>
      <w:pPr>
        <w:pStyle w:val="ListParagraph"/>
        <w:numPr>
          <w:ilvl w:val="0"/>
          <w:numId w:val="59"/>
        </w:numPr>
        <w:tabs>
          <w:tab w:pos="893" w:val="left" w:leader="none"/>
        </w:tabs>
        <w:spacing w:line="240" w:lineRule="auto" w:before="63" w:after="0"/>
        <w:ind w:left="892" w:right="0" w:hanging="415"/>
        <w:jc w:val="both"/>
        <w:rPr>
          <w:sz w:val="38"/>
        </w:rPr>
      </w:pPr>
      <w:r>
        <w:rPr>
          <w:sz w:val="38"/>
        </w:rPr>
        <w:t>tuberculosis</w:t>
      </w:r>
    </w:p>
    <w:p>
      <w:pPr>
        <w:pStyle w:val="ListParagraph"/>
        <w:numPr>
          <w:ilvl w:val="0"/>
          <w:numId w:val="59"/>
        </w:numPr>
        <w:tabs>
          <w:tab w:pos="893" w:val="left" w:leader="none"/>
        </w:tabs>
        <w:spacing w:line="240" w:lineRule="auto" w:before="64" w:after="0"/>
        <w:ind w:left="892" w:right="0" w:hanging="415"/>
        <w:jc w:val="both"/>
        <w:rPr>
          <w:sz w:val="38"/>
        </w:rPr>
      </w:pPr>
      <w:r>
        <w:rPr>
          <w:sz w:val="38"/>
        </w:rPr>
        <w:t>leg</w:t>
      </w:r>
      <w:r>
        <w:rPr>
          <w:spacing w:val="-2"/>
          <w:sz w:val="38"/>
        </w:rPr>
        <w:t> </w:t>
      </w:r>
      <w:r>
        <w:rPr>
          <w:sz w:val="38"/>
        </w:rPr>
        <w:t>ulcers</w:t>
      </w:r>
    </w:p>
    <w:p>
      <w:pPr>
        <w:pStyle w:val="ListParagraph"/>
        <w:numPr>
          <w:ilvl w:val="0"/>
          <w:numId w:val="59"/>
        </w:numPr>
        <w:tabs>
          <w:tab w:pos="893" w:val="left" w:leader="none"/>
        </w:tabs>
        <w:spacing w:line="240" w:lineRule="auto" w:before="64" w:after="0"/>
        <w:ind w:left="892" w:right="0" w:hanging="415"/>
        <w:jc w:val="both"/>
        <w:rPr>
          <w:sz w:val="38"/>
        </w:rPr>
      </w:pPr>
      <w:r>
        <w:rPr>
          <w:sz w:val="38"/>
        </w:rPr>
        <w:t>excess</w:t>
      </w:r>
      <w:r>
        <w:rPr>
          <w:spacing w:val="-2"/>
          <w:sz w:val="38"/>
        </w:rPr>
        <w:t> </w:t>
      </w:r>
      <w:r>
        <w:rPr>
          <w:sz w:val="38"/>
        </w:rPr>
        <w:t>weight</w:t>
      </w:r>
    </w:p>
    <w:p>
      <w:pPr>
        <w:pStyle w:val="ListParagraph"/>
        <w:numPr>
          <w:ilvl w:val="0"/>
          <w:numId w:val="59"/>
        </w:numPr>
        <w:tabs>
          <w:tab w:pos="893" w:val="left" w:leader="none"/>
        </w:tabs>
        <w:spacing w:line="240" w:lineRule="auto" w:before="63" w:after="0"/>
        <w:ind w:left="892" w:right="0" w:hanging="415"/>
        <w:jc w:val="both"/>
        <w:rPr>
          <w:sz w:val="38"/>
        </w:rPr>
      </w:pPr>
      <w:r>
        <w:rPr>
          <w:sz w:val="38"/>
        </w:rPr>
        <w:t>cirrhosis</w:t>
      </w:r>
    </w:p>
    <w:p>
      <w:pPr>
        <w:pStyle w:val="BodyText"/>
        <w:spacing w:line="276" w:lineRule="auto" w:before="305"/>
        <w:ind w:left="477" w:right="130"/>
        <w:jc w:val="both"/>
      </w:pPr>
      <w:r>
        <w:rPr/>
        <w:t>Furthermore,</w:t>
      </w:r>
      <w:r>
        <w:rPr>
          <w:spacing w:val="-11"/>
        </w:rPr>
        <w:t> </w:t>
      </w:r>
      <w:r>
        <w:rPr/>
        <w:t>L-carnitine</w:t>
      </w:r>
      <w:r>
        <w:rPr>
          <w:spacing w:val="-11"/>
        </w:rPr>
        <w:t> </w:t>
      </w:r>
      <w:r>
        <w:rPr/>
        <w:t>is</w:t>
      </w:r>
      <w:r>
        <w:rPr>
          <w:spacing w:val="-12"/>
        </w:rPr>
        <w:t> </w:t>
      </w:r>
      <w:r>
        <w:rPr/>
        <w:t>recommended</w:t>
      </w:r>
      <w:r>
        <w:rPr>
          <w:spacing w:val="-12"/>
        </w:rPr>
        <w:t> </w:t>
      </w:r>
      <w:r>
        <w:rPr/>
        <w:t>for</w:t>
      </w:r>
      <w:r>
        <w:rPr>
          <w:spacing w:val="-10"/>
        </w:rPr>
        <w:t> </w:t>
      </w:r>
      <w:r>
        <w:rPr/>
        <w:t>all</w:t>
      </w:r>
      <w:r>
        <w:rPr>
          <w:spacing w:val="-16"/>
        </w:rPr>
        <w:t> </w:t>
      </w:r>
      <w:r>
        <w:rPr/>
        <w:t>people</w:t>
      </w:r>
      <w:r>
        <w:rPr>
          <w:spacing w:val="-10"/>
        </w:rPr>
        <w:t> </w:t>
      </w:r>
      <w:r>
        <w:rPr/>
        <w:t>who</w:t>
      </w:r>
      <w:r>
        <w:rPr>
          <w:spacing w:val="-13"/>
        </w:rPr>
        <w:t> </w:t>
      </w:r>
      <w:r>
        <w:rPr/>
        <w:t>suffer</w:t>
      </w:r>
      <w:r>
        <w:rPr>
          <w:spacing w:val="-11"/>
        </w:rPr>
        <w:t> </w:t>
      </w:r>
      <w:r>
        <w:rPr/>
        <w:t>from</w:t>
      </w:r>
      <w:r>
        <w:rPr>
          <w:spacing w:val="-14"/>
        </w:rPr>
        <w:t> </w:t>
      </w:r>
      <w:r>
        <w:rPr/>
        <w:t>stress as well as for smokers, competitive athletes, weight loss, pregnant women and young children &gt;15 years (at this age, the body does not produce its own </w:t>
      </w:r>
      <w:r>
        <w:rPr>
          <w:spacing w:val="5"/>
        </w:rPr>
        <w:t>L- </w:t>
      </w:r>
      <w:r>
        <w:rPr/>
        <w:t>carnitine).</w:t>
      </w:r>
    </w:p>
    <w:p>
      <w:pPr>
        <w:pStyle w:val="Heading2"/>
        <w:spacing w:before="239"/>
      </w:pPr>
      <w:r>
        <w:rPr/>
        <w:t>Specific effect of L-carnitine on diseases</w:t>
      </w:r>
    </w:p>
    <w:p>
      <w:pPr>
        <w:pStyle w:val="BodyText"/>
        <w:spacing w:line="276" w:lineRule="auto" w:before="305"/>
        <w:ind w:left="477" w:right="133"/>
        <w:jc w:val="both"/>
      </w:pPr>
      <w:r>
        <w:rPr/>
        <w:t>As a substance that supplies all organs more efficiently with energy and strengthens the immune system, it is not surprising that L-carnitine has a</w:t>
      </w:r>
      <w:r>
        <w:rPr>
          <w:spacing w:val="-41"/>
        </w:rPr>
        <w:t> </w:t>
      </w:r>
      <w:r>
        <w:rPr/>
        <w:t>wide- ranging effect on individual</w:t>
      </w:r>
      <w:r>
        <w:rPr>
          <w:spacing w:val="1"/>
        </w:rPr>
        <w:t> </w:t>
      </w:r>
      <w:r>
        <w:rPr/>
        <w:t>diseases.</w:t>
      </w:r>
    </w:p>
    <w:p>
      <w:pPr>
        <w:pStyle w:val="BodyText"/>
        <w:spacing w:before="239"/>
        <w:ind w:left="477"/>
        <w:jc w:val="both"/>
      </w:pPr>
      <w:r>
        <w:rPr/>
        <w:t>Prof. Strack, who is considered a pioneer in L-carnitine research, divided all</w:t>
      </w:r>
    </w:p>
    <w:p>
      <w:pPr>
        <w:spacing w:after="0"/>
        <w:jc w:val="both"/>
        <w:sectPr>
          <w:footerReference w:type="default" r:id="rId209"/>
          <w:pgSz w:w="14270" w:h="16850"/>
          <w:pgMar w:footer="1891" w:header="0" w:top="1600" w:bottom="2080" w:left="800" w:right="1280"/>
          <w:pgNumType w:start="890"/>
        </w:sectPr>
      </w:pPr>
    </w:p>
    <w:p>
      <w:pPr>
        <w:pStyle w:val="BodyText"/>
        <w:spacing w:line="276" w:lineRule="auto" w:before="181"/>
        <w:ind w:left="477" w:right="135"/>
        <w:jc w:val="both"/>
      </w:pPr>
      <w:r>
        <w:rPr/>
        <w:t>diseases into two groups in front of his students: those curable by L-carnitine and those which are not.</w:t>
      </w:r>
    </w:p>
    <w:p>
      <w:pPr>
        <w:pStyle w:val="BodyText"/>
        <w:spacing w:line="276" w:lineRule="auto" w:before="241"/>
        <w:ind w:left="477" w:right="133"/>
        <w:jc w:val="both"/>
      </w:pPr>
      <w:r>
        <w:rPr/>
        <w:t>As much of a joke as it may have been, it is nevertheless a small indication of the strengthening and healing potential of L-carnitine on countless diseases. Let's take a closer look at the effect:</w:t>
      </w:r>
    </w:p>
    <w:p>
      <w:pPr>
        <w:pStyle w:val="Heading1"/>
        <w:spacing w:before="222"/>
      </w:pPr>
      <w:r>
        <w:rPr/>
        <w:t>Effect of L-carnitine on cardiovascular</w:t>
      </w:r>
      <w:r>
        <w:rPr>
          <w:spacing w:val="-70"/>
        </w:rPr>
        <w:t> </w:t>
      </w:r>
      <w:r>
        <w:rPr/>
        <w:t>diseases</w:t>
      </w:r>
    </w:p>
    <w:p>
      <w:pPr>
        <w:pStyle w:val="BodyText"/>
        <w:spacing w:line="276" w:lineRule="auto" w:before="299"/>
        <w:ind w:left="477" w:right="132"/>
        <w:jc w:val="both"/>
      </w:pPr>
      <w:r>
        <w:rPr/>
        <w:t>Cardiovascular failure is regarded as the ‘Number One’ cause of death in the industrialised nations in concrete terms, one in two people in industrialised na- tions die due to cardiovascular failure. It becomes clear what is required of the heart when one realises that the heart muscle beats about 100,000 times a day, pumping up to 10,000 litres of blood.</w:t>
      </w:r>
    </w:p>
    <w:p>
      <w:pPr>
        <w:pStyle w:val="BodyText"/>
        <w:spacing w:line="276" w:lineRule="auto" w:before="240"/>
        <w:ind w:left="477" w:right="135"/>
        <w:jc w:val="both"/>
      </w:pPr>
      <w:r>
        <w:rPr/>
        <w:t>By the age of 80, a human heart beats up to 2.5 billion times without stopping. Of course, the heart muscle needs energy sources for this incredible output – the most important of which are the fatty acids. In this case, L-carnitine is needed to transport the fatty acids directly into the mitochondria of the heart muscle cells. And the more of it the heart gets, the more</w:t>
      </w:r>
    </w:p>
    <w:p>
      <w:pPr>
        <w:pStyle w:val="ListParagraph"/>
        <w:numPr>
          <w:ilvl w:val="0"/>
          <w:numId w:val="61"/>
        </w:numPr>
        <w:tabs>
          <w:tab w:pos="1197" w:val="left" w:leader="none"/>
          <w:tab w:pos="1198" w:val="left" w:leader="none"/>
        </w:tabs>
        <w:spacing w:line="240" w:lineRule="auto" w:before="244" w:after="0"/>
        <w:ind w:left="1197" w:right="0" w:hanging="360"/>
        <w:jc w:val="left"/>
        <w:rPr>
          <w:sz w:val="38"/>
        </w:rPr>
      </w:pPr>
      <w:r>
        <w:rPr>
          <w:sz w:val="38"/>
        </w:rPr>
        <w:t>efficiently and economically it can</w:t>
      </w:r>
      <w:r>
        <w:rPr>
          <w:spacing w:val="-1"/>
          <w:sz w:val="38"/>
        </w:rPr>
        <w:t> </w:t>
      </w:r>
      <w:r>
        <w:rPr>
          <w:sz w:val="38"/>
        </w:rPr>
        <w:t>work,</w:t>
      </w:r>
    </w:p>
    <w:p>
      <w:pPr>
        <w:pStyle w:val="ListParagraph"/>
        <w:numPr>
          <w:ilvl w:val="0"/>
          <w:numId w:val="61"/>
        </w:numPr>
        <w:tabs>
          <w:tab w:pos="1197" w:val="left" w:leader="none"/>
          <w:tab w:pos="1198" w:val="left" w:leader="none"/>
        </w:tabs>
        <w:spacing w:line="240" w:lineRule="auto" w:before="63" w:after="0"/>
        <w:ind w:left="1197" w:right="0" w:hanging="360"/>
        <w:jc w:val="left"/>
        <w:rPr>
          <w:sz w:val="38"/>
        </w:rPr>
      </w:pPr>
      <w:r>
        <w:rPr>
          <w:sz w:val="38"/>
        </w:rPr>
        <w:t>the more unlikely the risk is of the heart falling ill</w:t>
      </w:r>
      <w:r>
        <w:rPr>
          <w:spacing w:val="-2"/>
          <w:sz w:val="38"/>
        </w:rPr>
        <w:t> </w:t>
      </w:r>
      <w:r>
        <w:rPr>
          <w:sz w:val="38"/>
        </w:rPr>
        <w:t>and</w:t>
      </w:r>
    </w:p>
    <w:p>
      <w:pPr>
        <w:pStyle w:val="ListParagraph"/>
        <w:numPr>
          <w:ilvl w:val="0"/>
          <w:numId w:val="61"/>
        </w:numPr>
        <w:tabs>
          <w:tab w:pos="1197" w:val="left" w:leader="none"/>
          <w:tab w:pos="1198" w:val="left" w:leader="none"/>
        </w:tabs>
        <w:spacing w:line="273" w:lineRule="auto" w:before="65" w:after="0"/>
        <w:ind w:left="1197" w:right="137" w:hanging="360"/>
        <w:jc w:val="left"/>
        <w:rPr>
          <w:sz w:val="38"/>
        </w:rPr>
      </w:pPr>
      <w:r>
        <w:rPr>
          <w:sz w:val="38"/>
        </w:rPr>
        <w:t>the</w:t>
      </w:r>
      <w:r>
        <w:rPr>
          <w:spacing w:val="-6"/>
          <w:sz w:val="38"/>
        </w:rPr>
        <w:t> </w:t>
      </w:r>
      <w:r>
        <w:rPr>
          <w:sz w:val="38"/>
        </w:rPr>
        <w:t>faster</w:t>
      </w:r>
      <w:r>
        <w:rPr>
          <w:spacing w:val="-5"/>
          <w:sz w:val="38"/>
        </w:rPr>
        <w:t> </w:t>
      </w:r>
      <w:r>
        <w:rPr>
          <w:sz w:val="38"/>
        </w:rPr>
        <w:t>it</w:t>
      </w:r>
      <w:r>
        <w:rPr>
          <w:spacing w:val="-7"/>
          <w:sz w:val="38"/>
        </w:rPr>
        <w:t> </w:t>
      </w:r>
      <w:r>
        <w:rPr>
          <w:sz w:val="38"/>
        </w:rPr>
        <w:t>can</w:t>
      </w:r>
      <w:r>
        <w:rPr>
          <w:spacing w:val="-10"/>
          <w:sz w:val="38"/>
        </w:rPr>
        <w:t> </w:t>
      </w:r>
      <w:r>
        <w:rPr>
          <w:sz w:val="38"/>
        </w:rPr>
        <w:t>recover</w:t>
      </w:r>
      <w:r>
        <w:rPr>
          <w:spacing w:val="-6"/>
          <w:sz w:val="38"/>
        </w:rPr>
        <w:t> </w:t>
      </w:r>
      <w:r>
        <w:rPr>
          <w:sz w:val="38"/>
        </w:rPr>
        <w:t>if</w:t>
      </w:r>
      <w:r>
        <w:rPr>
          <w:spacing w:val="-7"/>
          <w:sz w:val="38"/>
        </w:rPr>
        <w:t> </w:t>
      </w:r>
      <w:r>
        <w:rPr>
          <w:sz w:val="38"/>
        </w:rPr>
        <w:t>it</w:t>
      </w:r>
      <w:r>
        <w:rPr>
          <w:spacing w:val="-7"/>
          <w:sz w:val="38"/>
        </w:rPr>
        <w:t> </w:t>
      </w:r>
      <w:r>
        <w:rPr>
          <w:sz w:val="38"/>
        </w:rPr>
        <w:t>is</w:t>
      </w:r>
      <w:r>
        <w:rPr>
          <w:spacing w:val="-8"/>
          <w:sz w:val="38"/>
        </w:rPr>
        <w:t> </w:t>
      </w:r>
      <w:r>
        <w:rPr>
          <w:sz w:val="38"/>
        </w:rPr>
        <w:t>already</w:t>
      </w:r>
      <w:r>
        <w:rPr>
          <w:spacing w:val="-7"/>
          <w:sz w:val="38"/>
        </w:rPr>
        <w:t> </w:t>
      </w:r>
      <w:r>
        <w:rPr>
          <w:sz w:val="38"/>
        </w:rPr>
        <w:t>sick</w:t>
      </w:r>
      <w:r>
        <w:rPr>
          <w:spacing w:val="-6"/>
          <w:sz w:val="38"/>
        </w:rPr>
        <w:t> </w:t>
      </w:r>
      <w:r>
        <w:rPr>
          <w:sz w:val="38"/>
        </w:rPr>
        <w:t>or</w:t>
      </w:r>
      <w:r>
        <w:rPr>
          <w:spacing w:val="-7"/>
          <w:sz w:val="38"/>
        </w:rPr>
        <w:t> </w:t>
      </w:r>
      <w:r>
        <w:rPr>
          <w:sz w:val="38"/>
        </w:rPr>
        <w:t>weakened</w:t>
      </w:r>
      <w:r>
        <w:rPr>
          <w:spacing w:val="-6"/>
          <w:sz w:val="38"/>
        </w:rPr>
        <w:t> </w:t>
      </w:r>
      <w:r>
        <w:rPr>
          <w:sz w:val="38"/>
        </w:rPr>
        <w:t>and</w:t>
      </w:r>
      <w:r>
        <w:rPr>
          <w:spacing w:val="-7"/>
          <w:sz w:val="38"/>
        </w:rPr>
        <w:t> </w:t>
      </w:r>
      <w:r>
        <w:rPr>
          <w:sz w:val="38"/>
        </w:rPr>
        <w:t>if</w:t>
      </w:r>
      <w:r>
        <w:rPr>
          <w:spacing w:val="-7"/>
          <w:sz w:val="38"/>
        </w:rPr>
        <w:t> </w:t>
      </w:r>
      <w:r>
        <w:rPr>
          <w:sz w:val="38"/>
        </w:rPr>
        <w:t>it</w:t>
      </w:r>
      <w:r>
        <w:rPr>
          <w:spacing w:val="-10"/>
          <w:sz w:val="38"/>
        </w:rPr>
        <w:t> </w:t>
      </w:r>
      <w:r>
        <w:rPr>
          <w:sz w:val="38"/>
        </w:rPr>
        <w:t>has</w:t>
      </w:r>
      <w:r>
        <w:rPr>
          <w:spacing w:val="-5"/>
          <w:sz w:val="38"/>
        </w:rPr>
        <w:t> </w:t>
      </w:r>
      <w:r>
        <w:rPr>
          <w:sz w:val="38"/>
        </w:rPr>
        <w:t>access to additional L-carnitine in the form of dietary</w:t>
      </w:r>
      <w:r>
        <w:rPr>
          <w:spacing w:val="-4"/>
          <w:sz w:val="38"/>
        </w:rPr>
        <w:t> </w:t>
      </w:r>
      <w:r>
        <w:rPr>
          <w:sz w:val="38"/>
        </w:rPr>
        <w:t>supplements.</w:t>
      </w:r>
    </w:p>
    <w:p>
      <w:pPr>
        <w:spacing w:after="0" w:line="273" w:lineRule="auto"/>
        <w:jc w:val="left"/>
        <w:rPr>
          <w:sz w:val="38"/>
        </w:rPr>
        <w:sectPr>
          <w:pgSz w:w="14270" w:h="16850"/>
          <w:pgMar w:header="0" w:footer="1891" w:top="1600" w:bottom="2080" w:left="800" w:right="1280"/>
        </w:sectPr>
      </w:pPr>
    </w:p>
    <w:p>
      <w:pPr>
        <w:pStyle w:val="Heading1"/>
        <w:spacing w:before="164"/>
      </w:pPr>
      <w:r>
        <w:rPr/>
        <w:t>Effect of L-carnitine on angina</w:t>
      </w:r>
      <w:r>
        <w:rPr>
          <w:spacing w:val="-53"/>
        </w:rPr>
        <w:t> </w:t>
      </w:r>
      <w:r>
        <w:rPr/>
        <w:t>pectoris</w:t>
      </w:r>
    </w:p>
    <w:p>
      <w:pPr>
        <w:pStyle w:val="BodyText"/>
        <w:spacing w:before="299"/>
        <w:ind w:left="477"/>
      </w:pPr>
      <w:r>
        <w:rPr/>
        <w:t>Strength increases and pain relief is achieved.</w:t>
      </w:r>
    </w:p>
    <w:p>
      <w:pPr>
        <w:pStyle w:val="Heading1"/>
        <w:spacing w:before="288"/>
      </w:pPr>
      <w:r>
        <w:rPr/>
        <w:t>Effect of L-carnitine on heart failure</w:t>
      </w:r>
    </w:p>
    <w:p>
      <w:pPr>
        <w:pStyle w:val="BodyText"/>
        <w:spacing w:line="276" w:lineRule="auto" w:before="59"/>
        <w:ind w:left="477"/>
      </w:pPr>
      <w:r>
        <w:rPr/>
        <w:t>Increase the performance of the heart muscle, general strengthening of the heart.</w:t>
      </w:r>
    </w:p>
    <w:p>
      <w:pPr>
        <w:pStyle w:val="Heading1"/>
        <w:spacing w:before="222"/>
      </w:pPr>
      <w:r>
        <w:rPr/>
        <w:t>Effect of L-carnitine on fatty</w:t>
      </w:r>
      <w:r>
        <w:rPr>
          <w:spacing w:val="-57"/>
        </w:rPr>
        <w:t> </w:t>
      </w:r>
      <w:r>
        <w:rPr/>
        <w:t>acidification</w:t>
      </w:r>
    </w:p>
    <w:p>
      <w:pPr>
        <w:pStyle w:val="BodyText"/>
        <w:spacing w:before="299"/>
        <w:ind w:left="477"/>
      </w:pPr>
      <w:r>
        <w:rPr/>
        <w:t>It transports the excess fats and thus effectively counteracts fatty tissue.</w:t>
      </w:r>
    </w:p>
    <w:p>
      <w:pPr>
        <w:pStyle w:val="Heading1"/>
        <w:spacing w:before="287"/>
      </w:pPr>
      <w:r>
        <w:rPr/>
        <w:t>Effect of L-carnitine on cardiac</w:t>
      </w:r>
      <w:r>
        <w:rPr>
          <w:spacing w:val="-62"/>
        </w:rPr>
        <w:t> </w:t>
      </w:r>
      <w:r>
        <w:rPr/>
        <w:t>arrhythmias</w:t>
      </w:r>
    </w:p>
    <w:p>
      <w:pPr>
        <w:pStyle w:val="BodyText"/>
        <w:spacing w:line="276" w:lineRule="auto" w:before="299"/>
        <w:ind w:left="477"/>
      </w:pPr>
      <w:r>
        <w:rPr/>
        <w:t>L-carnitine counteracts cardiac arrhythmias antirhythmically and thus helps to prevent disorders, from cardiac arrhythmias to ventricular fibrillation.</w:t>
      </w:r>
    </w:p>
    <w:p>
      <w:pPr>
        <w:pStyle w:val="Heading1"/>
      </w:pPr>
      <w:r>
        <w:rPr/>
        <w:t>Effect of L-carnitine on myocardiopathy</w:t>
      </w:r>
    </w:p>
    <w:p>
      <w:pPr>
        <w:pStyle w:val="BodyText"/>
        <w:spacing w:line="276" w:lineRule="auto" w:before="297"/>
        <w:ind w:left="477" w:right="135"/>
        <w:jc w:val="both"/>
      </w:pPr>
      <w:r>
        <w:rPr/>
        <w:t>Competitive and professional athletes are especially prone to myocardiopathy; it accounts for 80 % of all cases in which athletes suffer from heart disease. L- carnitine has proven to be effective in preventing this and increasing the chances of survival in the case of acute problems.</w:t>
      </w:r>
    </w:p>
    <w:p>
      <w:pPr>
        <w:pStyle w:val="Heading1"/>
      </w:pPr>
      <w:r>
        <w:rPr/>
        <w:t>L-carnitine successful as a heart attack prophylactic</w:t>
      </w:r>
    </w:p>
    <w:p>
      <w:pPr>
        <w:pStyle w:val="BodyText"/>
        <w:spacing w:line="276" w:lineRule="auto" w:before="300"/>
        <w:ind w:left="477" w:right="133"/>
        <w:jc w:val="both"/>
      </w:pPr>
      <w:r>
        <w:rPr/>
        <w:t>Atherosclerosis can lead to a lack of blood and oxygen levels in the heart. The latter</w:t>
      </w:r>
      <w:r>
        <w:rPr>
          <w:spacing w:val="-6"/>
        </w:rPr>
        <w:t> </w:t>
      </w:r>
      <w:r>
        <w:rPr/>
        <w:t>means</w:t>
      </w:r>
      <w:r>
        <w:rPr>
          <w:spacing w:val="-6"/>
        </w:rPr>
        <w:t> </w:t>
      </w:r>
      <w:r>
        <w:rPr/>
        <w:t>that</w:t>
      </w:r>
      <w:r>
        <w:rPr>
          <w:spacing w:val="-5"/>
        </w:rPr>
        <w:t> </w:t>
      </w:r>
      <w:r>
        <w:rPr/>
        <w:t>fatty</w:t>
      </w:r>
      <w:r>
        <w:rPr>
          <w:spacing w:val="-8"/>
        </w:rPr>
        <w:t> </w:t>
      </w:r>
      <w:r>
        <w:rPr/>
        <w:t>acids</w:t>
      </w:r>
      <w:r>
        <w:rPr>
          <w:spacing w:val="-7"/>
        </w:rPr>
        <w:t> </w:t>
      </w:r>
      <w:r>
        <w:rPr/>
        <w:t>can</w:t>
      </w:r>
      <w:r>
        <w:rPr>
          <w:spacing w:val="-5"/>
        </w:rPr>
        <w:t> </w:t>
      </w:r>
      <w:r>
        <w:rPr/>
        <w:t>no</w:t>
      </w:r>
      <w:r>
        <w:rPr>
          <w:spacing w:val="-7"/>
        </w:rPr>
        <w:t> </w:t>
      </w:r>
      <w:r>
        <w:rPr/>
        <w:t>longer</w:t>
      </w:r>
      <w:r>
        <w:rPr>
          <w:spacing w:val="-5"/>
        </w:rPr>
        <w:t> </w:t>
      </w:r>
      <w:r>
        <w:rPr/>
        <w:t>be</w:t>
      </w:r>
      <w:r>
        <w:rPr>
          <w:spacing w:val="-6"/>
        </w:rPr>
        <w:t> </w:t>
      </w:r>
      <w:r>
        <w:rPr/>
        <w:t>burned</w:t>
      </w:r>
      <w:r>
        <w:rPr>
          <w:spacing w:val="-8"/>
        </w:rPr>
        <w:t> </w:t>
      </w:r>
      <w:r>
        <w:rPr/>
        <w:t>sufficiently,</w:t>
      </w:r>
      <w:r>
        <w:rPr>
          <w:spacing w:val="-3"/>
        </w:rPr>
        <w:t> </w:t>
      </w:r>
      <w:r>
        <w:rPr/>
        <w:t>which</w:t>
      </w:r>
      <w:r>
        <w:rPr>
          <w:spacing w:val="-5"/>
        </w:rPr>
        <w:t> </w:t>
      </w:r>
      <w:r>
        <w:rPr/>
        <w:t>further increases</w:t>
      </w:r>
      <w:r>
        <w:rPr>
          <w:spacing w:val="11"/>
        </w:rPr>
        <w:t> </w:t>
      </w:r>
      <w:r>
        <w:rPr/>
        <w:t>the</w:t>
      </w:r>
      <w:r>
        <w:rPr>
          <w:spacing w:val="9"/>
        </w:rPr>
        <w:t> </w:t>
      </w:r>
      <w:r>
        <w:rPr/>
        <w:t>problem</w:t>
      </w:r>
      <w:r>
        <w:rPr>
          <w:spacing w:val="11"/>
        </w:rPr>
        <w:t> </w:t>
      </w:r>
      <w:r>
        <w:rPr/>
        <w:t>of</w:t>
      </w:r>
      <w:r>
        <w:rPr>
          <w:spacing w:val="9"/>
        </w:rPr>
        <w:t> </w:t>
      </w:r>
      <w:r>
        <w:rPr/>
        <w:t>oxygenation</w:t>
      </w:r>
      <w:r>
        <w:rPr>
          <w:spacing w:val="11"/>
        </w:rPr>
        <w:t> </w:t>
      </w:r>
      <w:r>
        <w:rPr/>
        <w:t>and</w:t>
      </w:r>
      <w:r>
        <w:rPr>
          <w:spacing w:val="11"/>
        </w:rPr>
        <w:t> </w:t>
      </w:r>
      <w:r>
        <w:rPr/>
        <w:t>can</w:t>
      </w:r>
      <w:r>
        <w:rPr>
          <w:spacing w:val="12"/>
        </w:rPr>
        <w:t> </w:t>
      </w:r>
      <w:r>
        <w:rPr/>
        <w:t>lead</w:t>
      </w:r>
      <w:r>
        <w:rPr>
          <w:spacing w:val="10"/>
        </w:rPr>
        <w:t> </w:t>
      </w:r>
      <w:r>
        <w:rPr/>
        <w:t>to</w:t>
      </w:r>
      <w:r>
        <w:rPr>
          <w:spacing w:val="12"/>
        </w:rPr>
        <w:t> </w:t>
      </w:r>
      <w:r>
        <w:rPr/>
        <w:t>heart</w:t>
      </w:r>
      <w:r>
        <w:rPr>
          <w:spacing w:val="11"/>
        </w:rPr>
        <w:t> </w:t>
      </w:r>
      <w:r>
        <w:rPr/>
        <w:t>attack.</w:t>
      </w:r>
      <w:r>
        <w:rPr>
          <w:spacing w:val="12"/>
        </w:rPr>
        <w:t> </w:t>
      </w:r>
      <w:r>
        <w:rPr/>
        <w:t>L-carnitine</w:t>
      </w:r>
    </w:p>
    <w:p>
      <w:pPr>
        <w:spacing w:after="0" w:line="276" w:lineRule="auto"/>
        <w:jc w:val="both"/>
        <w:sectPr>
          <w:pgSz w:w="14270" w:h="16850"/>
          <w:pgMar w:header="0" w:footer="1891" w:top="1600" w:bottom="2080" w:left="800" w:right="1280"/>
        </w:sectPr>
      </w:pPr>
    </w:p>
    <w:p>
      <w:pPr>
        <w:pStyle w:val="BodyText"/>
        <w:spacing w:line="276" w:lineRule="auto" w:before="181"/>
        <w:ind w:left="477" w:right="133"/>
        <w:jc w:val="both"/>
      </w:pPr>
      <w:r>
        <w:rPr/>
        <w:t>can normalise the burning of fat in the heart and thus prevent heart attacks. In addition, studies have shown that the therapeutic use of L-carnitine can reduce the intensity of a heart attack and increase the survival rate.</w:t>
      </w:r>
    </w:p>
    <w:p>
      <w:pPr>
        <w:pStyle w:val="Heading1"/>
        <w:jc w:val="both"/>
      </w:pPr>
      <w:r>
        <w:rPr/>
        <w:t>Effect of L-carnitine on liver</w:t>
      </w:r>
      <w:r>
        <w:rPr>
          <w:spacing w:val="-51"/>
        </w:rPr>
        <w:t> </w:t>
      </w:r>
      <w:r>
        <w:rPr/>
        <w:t>disease</w:t>
      </w:r>
    </w:p>
    <w:p>
      <w:pPr>
        <w:pStyle w:val="BodyText"/>
        <w:spacing w:line="276" w:lineRule="auto" w:before="300"/>
        <w:ind w:left="477" w:right="135"/>
        <w:jc w:val="both"/>
      </w:pPr>
      <w:r>
        <w:rPr/>
        <w:t>L-carnitine has been proven to protect and build up liver cells and is used for this</w:t>
      </w:r>
      <w:r>
        <w:rPr>
          <w:spacing w:val="-21"/>
        </w:rPr>
        <w:t> </w:t>
      </w:r>
      <w:r>
        <w:rPr/>
        <w:t>reason,</w:t>
      </w:r>
      <w:r>
        <w:rPr>
          <w:spacing w:val="-21"/>
        </w:rPr>
        <w:t> </w:t>
      </w:r>
      <w:r>
        <w:rPr/>
        <w:t>among</w:t>
      </w:r>
      <w:r>
        <w:rPr>
          <w:spacing w:val="-20"/>
        </w:rPr>
        <w:t> </w:t>
      </w:r>
      <w:r>
        <w:rPr/>
        <w:t>other</w:t>
      </w:r>
      <w:r>
        <w:rPr>
          <w:spacing w:val="-22"/>
        </w:rPr>
        <w:t> </w:t>
      </w:r>
      <w:r>
        <w:rPr/>
        <w:t>things,</w:t>
      </w:r>
      <w:r>
        <w:rPr>
          <w:spacing w:val="-24"/>
        </w:rPr>
        <w:t> </w:t>
      </w:r>
      <w:r>
        <w:rPr/>
        <w:t>against</w:t>
      </w:r>
      <w:r>
        <w:rPr>
          <w:spacing w:val="-22"/>
        </w:rPr>
        <w:t> </w:t>
      </w:r>
      <w:r>
        <w:rPr/>
        <w:t>alcoholism.</w:t>
      </w:r>
      <w:r>
        <w:rPr>
          <w:spacing w:val="-21"/>
        </w:rPr>
        <w:t> </w:t>
      </w:r>
      <w:r>
        <w:rPr/>
        <w:t>A</w:t>
      </w:r>
      <w:r>
        <w:rPr>
          <w:spacing w:val="-22"/>
        </w:rPr>
        <w:t> </w:t>
      </w:r>
      <w:r>
        <w:rPr/>
        <w:t>weakened,</w:t>
      </w:r>
      <w:r>
        <w:rPr>
          <w:spacing w:val="-22"/>
        </w:rPr>
        <w:t> </w:t>
      </w:r>
      <w:r>
        <w:rPr/>
        <w:t>sick</w:t>
      </w:r>
      <w:r>
        <w:rPr>
          <w:spacing w:val="-21"/>
        </w:rPr>
        <w:t> </w:t>
      </w:r>
      <w:r>
        <w:rPr/>
        <w:t>liver</w:t>
      </w:r>
      <w:r>
        <w:rPr>
          <w:spacing w:val="-23"/>
        </w:rPr>
        <w:t> </w:t>
      </w:r>
      <w:r>
        <w:rPr/>
        <w:t>loses the potential to adequately synthesise L-carnitine. Here, the use of L-carnitine supplements is recommended for several</w:t>
      </w:r>
      <w:r>
        <w:rPr>
          <w:spacing w:val="-1"/>
        </w:rPr>
        <w:t> </w:t>
      </w:r>
      <w:r>
        <w:rPr/>
        <w:t>reasons.</w:t>
      </w:r>
    </w:p>
    <w:p>
      <w:pPr>
        <w:pStyle w:val="Heading1"/>
        <w:spacing w:before="342"/>
        <w:jc w:val="both"/>
      </w:pPr>
      <w:r>
        <w:rPr/>
        <w:t>Effect of L-carnitine on diabetes</w:t>
      </w:r>
    </w:p>
    <w:p>
      <w:pPr>
        <w:pStyle w:val="BodyText"/>
        <w:spacing w:before="299"/>
        <w:ind w:left="477"/>
        <w:jc w:val="both"/>
      </w:pPr>
      <w:r>
        <w:rPr/>
        <w:t>L-carnitine is both prophylactic and therapeutically effective against diabetes.</w:t>
      </w:r>
    </w:p>
    <w:p>
      <w:pPr>
        <w:pStyle w:val="BodyText"/>
        <w:spacing w:line="273" w:lineRule="auto" w:before="287"/>
        <w:ind w:left="477" w:right="134"/>
        <w:jc w:val="both"/>
      </w:pPr>
      <w:r>
        <w:rPr>
          <w:b/>
          <w:i/>
          <w:sz w:val="40"/>
        </w:rPr>
        <w:t>Preventive: </w:t>
      </w:r>
      <w:r>
        <w:rPr/>
        <w:t>because L-carnitine contributes to the burning of free fatty acids, the effect of the body's own insulin increases, which contributes to the</w:t>
      </w:r>
      <w:r>
        <w:rPr>
          <w:spacing w:val="-67"/>
        </w:rPr>
        <w:t> </w:t>
      </w:r>
      <w:r>
        <w:rPr/>
        <w:t>preven- tion of diabetes.</w:t>
      </w:r>
    </w:p>
    <w:p>
      <w:pPr>
        <w:pStyle w:val="BodyText"/>
        <w:spacing w:line="273" w:lineRule="auto" w:before="227"/>
        <w:ind w:left="477" w:right="134"/>
        <w:jc w:val="both"/>
      </w:pPr>
      <w:r>
        <w:rPr>
          <w:b/>
          <w:i/>
          <w:sz w:val="40"/>
        </w:rPr>
        <w:t>Accompanying therapy: </w:t>
      </w:r>
      <w:r>
        <w:rPr/>
        <w:t>On average, the level of L-carnitine in diabetics is below</w:t>
      </w:r>
      <w:r>
        <w:rPr>
          <w:spacing w:val="-7"/>
        </w:rPr>
        <w:t> </w:t>
      </w:r>
      <w:r>
        <w:rPr/>
        <w:t>the</w:t>
      </w:r>
      <w:r>
        <w:rPr>
          <w:spacing w:val="-7"/>
        </w:rPr>
        <w:t> </w:t>
      </w:r>
      <w:r>
        <w:rPr/>
        <w:t>norm,</w:t>
      </w:r>
      <w:r>
        <w:rPr>
          <w:spacing w:val="-9"/>
        </w:rPr>
        <w:t> </w:t>
      </w:r>
      <w:r>
        <w:rPr/>
        <w:t>especially</w:t>
      </w:r>
      <w:r>
        <w:rPr>
          <w:spacing w:val="-7"/>
        </w:rPr>
        <w:t> </w:t>
      </w:r>
      <w:r>
        <w:rPr/>
        <w:t>if</w:t>
      </w:r>
      <w:r>
        <w:rPr>
          <w:spacing w:val="-9"/>
        </w:rPr>
        <w:t> </w:t>
      </w:r>
      <w:r>
        <w:rPr/>
        <w:t>the</w:t>
      </w:r>
      <w:r>
        <w:rPr>
          <w:spacing w:val="-10"/>
        </w:rPr>
        <w:t> </w:t>
      </w:r>
      <w:r>
        <w:rPr/>
        <w:t>diabetic</w:t>
      </w:r>
      <w:r>
        <w:rPr>
          <w:spacing w:val="-7"/>
        </w:rPr>
        <w:t> </w:t>
      </w:r>
      <w:r>
        <w:rPr/>
        <w:t>has</w:t>
      </w:r>
      <w:r>
        <w:rPr>
          <w:spacing w:val="-5"/>
        </w:rPr>
        <w:t> </w:t>
      </w:r>
      <w:r>
        <w:rPr/>
        <w:t>to</w:t>
      </w:r>
      <w:r>
        <w:rPr>
          <w:spacing w:val="-9"/>
        </w:rPr>
        <w:t> </w:t>
      </w:r>
      <w:r>
        <w:rPr/>
        <w:t>use</w:t>
      </w:r>
      <w:r>
        <w:rPr>
          <w:spacing w:val="-6"/>
        </w:rPr>
        <w:t> </w:t>
      </w:r>
      <w:r>
        <w:rPr/>
        <w:t>insulin.</w:t>
      </w:r>
      <w:r>
        <w:rPr>
          <w:spacing w:val="-7"/>
        </w:rPr>
        <w:t> </w:t>
      </w:r>
      <w:r>
        <w:rPr/>
        <w:t>On</w:t>
      </w:r>
      <w:r>
        <w:rPr>
          <w:spacing w:val="-7"/>
        </w:rPr>
        <w:t> </w:t>
      </w:r>
      <w:r>
        <w:rPr/>
        <w:t>the</w:t>
      </w:r>
      <w:r>
        <w:rPr>
          <w:spacing w:val="-6"/>
        </w:rPr>
        <w:t> </w:t>
      </w:r>
      <w:r>
        <w:rPr/>
        <w:t>other</w:t>
      </w:r>
      <w:r>
        <w:rPr>
          <w:spacing w:val="-7"/>
        </w:rPr>
        <w:t> </w:t>
      </w:r>
      <w:r>
        <w:rPr/>
        <w:t>hand, L-carnitine enhances the effect of</w:t>
      </w:r>
      <w:r>
        <w:rPr>
          <w:spacing w:val="-1"/>
        </w:rPr>
        <w:t> </w:t>
      </w:r>
      <w:r>
        <w:rPr/>
        <w:t>insulin.</w:t>
      </w:r>
    </w:p>
    <w:p>
      <w:pPr>
        <w:pStyle w:val="BodyText"/>
        <w:spacing w:line="276" w:lineRule="auto" w:before="245"/>
        <w:ind w:left="477" w:right="141"/>
        <w:jc w:val="both"/>
      </w:pPr>
      <w:r>
        <w:rPr/>
        <w:t>L-carnitine has a positive influence on blood sugar levels during the day and lowers high cholesterol levels. It lowers the stress hormone cortisol as well as TNF and NO, which aggravate diabetes.</w:t>
      </w:r>
    </w:p>
    <w:p>
      <w:pPr>
        <w:spacing w:after="0" w:line="276" w:lineRule="auto"/>
        <w:jc w:val="both"/>
        <w:sectPr>
          <w:pgSz w:w="14270" w:h="16850"/>
          <w:pgMar w:header="0" w:footer="1891" w:top="1600" w:bottom="2080" w:left="800" w:right="1280"/>
        </w:sectPr>
      </w:pPr>
    </w:p>
    <w:p>
      <w:pPr>
        <w:pStyle w:val="BodyText"/>
        <w:spacing w:line="276" w:lineRule="auto" w:before="181"/>
        <w:ind w:left="477" w:right="138"/>
        <w:jc w:val="both"/>
      </w:pPr>
      <w:r>
        <w:rPr/>
        <w:t>The increased sugar level in diabetics damages the blood vessels and the heart muscle itself. L-carnitine has been shown to have an invigorating effect and increases the circulation of the heart muscle, so it should also be used in this aspect of therapy.</w:t>
      </w:r>
    </w:p>
    <w:p>
      <w:pPr>
        <w:pStyle w:val="BodyText"/>
        <w:spacing w:line="276" w:lineRule="auto" w:before="242"/>
        <w:ind w:left="477" w:right="132"/>
        <w:jc w:val="both"/>
      </w:pPr>
      <w:r>
        <w:rPr/>
        <w:t>Acetyl-L-carnitine is able to prevent and partially reverse the negative conse- quences</w:t>
      </w:r>
      <w:r>
        <w:rPr>
          <w:spacing w:val="-13"/>
        </w:rPr>
        <w:t> </w:t>
      </w:r>
      <w:r>
        <w:rPr/>
        <w:t>that</w:t>
      </w:r>
      <w:r>
        <w:rPr>
          <w:spacing w:val="-12"/>
        </w:rPr>
        <w:t> </w:t>
      </w:r>
      <w:r>
        <w:rPr/>
        <w:t>arise</w:t>
      </w:r>
      <w:r>
        <w:rPr>
          <w:spacing w:val="-13"/>
        </w:rPr>
        <w:t> </w:t>
      </w:r>
      <w:r>
        <w:rPr/>
        <w:t>due</w:t>
      </w:r>
      <w:r>
        <w:rPr>
          <w:spacing w:val="-14"/>
        </w:rPr>
        <w:t> </w:t>
      </w:r>
      <w:r>
        <w:rPr/>
        <w:t>to</w:t>
      </w:r>
      <w:r>
        <w:rPr>
          <w:spacing w:val="-13"/>
        </w:rPr>
        <w:t> </w:t>
      </w:r>
      <w:r>
        <w:rPr/>
        <w:t>an</w:t>
      </w:r>
      <w:r>
        <w:rPr>
          <w:spacing w:val="-13"/>
        </w:rPr>
        <w:t> </w:t>
      </w:r>
      <w:r>
        <w:rPr/>
        <w:t>undersupply</w:t>
      </w:r>
      <w:r>
        <w:rPr>
          <w:spacing w:val="-12"/>
        </w:rPr>
        <w:t> </w:t>
      </w:r>
      <w:r>
        <w:rPr/>
        <w:t>of</w:t>
      </w:r>
      <w:r>
        <w:rPr>
          <w:spacing w:val="-13"/>
        </w:rPr>
        <w:t> </w:t>
      </w:r>
      <w:r>
        <w:rPr/>
        <w:t>the</w:t>
      </w:r>
      <w:r>
        <w:rPr>
          <w:spacing w:val="-12"/>
        </w:rPr>
        <w:t> </w:t>
      </w:r>
      <w:r>
        <w:rPr/>
        <w:t>retina.</w:t>
      </w:r>
      <w:r>
        <w:rPr>
          <w:spacing w:val="-12"/>
        </w:rPr>
        <w:t> </w:t>
      </w:r>
      <w:r>
        <w:rPr/>
        <w:t>One</w:t>
      </w:r>
      <w:r>
        <w:rPr>
          <w:spacing w:val="-13"/>
        </w:rPr>
        <w:t> </w:t>
      </w:r>
      <w:r>
        <w:rPr/>
        <w:t>of</w:t>
      </w:r>
      <w:r>
        <w:rPr>
          <w:spacing w:val="-13"/>
        </w:rPr>
        <w:t> </w:t>
      </w:r>
      <w:r>
        <w:rPr/>
        <w:t>the</w:t>
      </w:r>
      <w:r>
        <w:rPr>
          <w:spacing w:val="-10"/>
        </w:rPr>
        <w:t> </w:t>
      </w:r>
      <w:r>
        <w:rPr/>
        <w:t>very</w:t>
      </w:r>
      <w:r>
        <w:rPr>
          <w:spacing w:val="-13"/>
        </w:rPr>
        <w:t> </w:t>
      </w:r>
      <w:r>
        <w:rPr/>
        <w:t>unpleas- ant comorbidities in diabetes is the so-called ‘diabetic neuropathy’, a type of nerve damage that causes very insidious problems in diabetics and may even lead</w:t>
      </w:r>
      <w:r>
        <w:rPr>
          <w:spacing w:val="-13"/>
        </w:rPr>
        <w:t> </w:t>
      </w:r>
      <w:r>
        <w:rPr/>
        <w:t>to</w:t>
      </w:r>
      <w:r>
        <w:rPr>
          <w:spacing w:val="-11"/>
        </w:rPr>
        <w:t> </w:t>
      </w:r>
      <w:r>
        <w:rPr/>
        <w:t>the</w:t>
      </w:r>
      <w:r>
        <w:rPr>
          <w:spacing w:val="-11"/>
        </w:rPr>
        <w:t> </w:t>
      </w:r>
      <w:r>
        <w:rPr/>
        <w:t>amputation</w:t>
      </w:r>
      <w:r>
        <w:rPr>
          <w:spacing w:val="-11"/>
        </w:rPr>
        <w:t> </w:t>
      </w:r>
      <w:r>
        <w:rPr/>
        <w:t>of</w:t>
      </w:r>
      <w:r>
        <w:rPr>
          <w:spacing w:val="-11"/>
        </w:rPr>
        <w:t> </w:t>
      </w:r>
      <w:r>
        <w:rPr/>
        <w:t>limbs.</w:t>
      </w:r>
      <w:r>
        <w:rPr>
          <w:spacing w:val="-12"/>
        </w:rPr>
        <w:t> </w:t>
      </w:r>
      <w:r>
        <w:rPr/>
        <w:t>L-carnitine</w:t>
      </w:r>
      <w:r>
        <w:rPr>
          <w:spacing w:val="-11"/>
        </w:rPr>
        <w:t> </w:t>
      </w:r>
      <w:r>
        <w:rPr/>
        <w:t>improves</w:t>
      </w:r>
      <w:r>
        <w:rPr>
          <w:spacing w:val="-11"/>
        </w:rPr>
        <w:t> </w:t>
      </w:r>
      <w:r>
        <w:rPr/>
        <w:t>nerve</w:t>
      </w:r>
      <w:r>
        <w:rPr>
          <w:spacing w:val="-12"/>
        </w:rPr>
        <w:t> </w:t>
      </w:r>
      <w:r>
        <w:rPr/>
        <w:t>signal</w:t>
      </w:r>
      <w:r>
        <w:rPr>
          <w:spacing w:val="-12"/>
        </w:rPr>
        <w:t> </w:t>
      </w:r>
      <w:r>
        <w:rPr/>
        <w:t>transduction and protects its cells, which can help prevent these comorbidities of diabetes. So-called ‘peripheral neuropathy’ can lead to potency problems in male diabet- ics.</w:t>
      </w:r>
      <w:r>
        <w:rPr>
          <w:spacing w:val="-7"/>
        </w:rPr>
        <w:t> </w:t>
      </w:r>
      <w:r>
        <w:rPr/>
        <w:t>In</w:t>
      </w:r>
      <w:r>
        <w:rPr>
          <w:spacing w:val="-6"/>
        </w:rPr>
        <w:t> </w:t>
      </w:r>
      <w:r>
        <w:rPr/>
        <w:t>studies,</w:t>
      </w:r>
      <w:r>
        <w:rPr>
          <w:spacing w:val="-6"/>
        </w:rPr>
        <w:t> </w:t>
      </w:r>
      <w:r>
        <w:rPr/>
        <w:t>just</w:t>
      </w:r>
      <w:r>
        <w:rPr>
          <w:spacing w:val="-8"/>
        </w:rPr>
        <w:t> </w:t>
      </w:r>
      <w:r>
        <w:rPr/>
        <w:t>1500</w:t>
      </w:r>
      <w:r>
        <w:rPr>
          <w:spacing w:val="-8"/>
        </w:rPr>
        <w:t> </w:t>
      </w:r>
      <w:r>
        <w:rPr/>
        <w:t>mg</w:t>
      </w:r>
      <w:r>
        <w:rPr>
          <w:spacing w:val="-6"/>
        </w:rPr>
        <w:t> </w:t>
      </w:r>
      <w:r>
        <w:rPr/>
        <w:t>acetyl-L-carnitine</w:t>
      </w:r>
      <w:r>
        <w:rPr>
          <w:spacing w:val="-6"/>
        </w:rPr>
        <w:t> </w:t>
      </w:r>
      <w:r>
        <w:rPr/>
        <w:t>per</w:t>
      </w:r>
      <w:r>
        <w:rPr>
          <w:spacing w:val="-8"/>
        </w:rPr>
        <w:t> </w:t>
      </w:r>
      <w:r>
        <w:rPr/>
        <w:t>day</w:t>
      </w:r>
      <w:r>
        <w:rPr>
          <w:spacing w:val="-7"/>
        </w:rPr>
        <w:t> </w:t>
      </w:r>
      <w:r>
        <w:rPr/>
        <w:t>has</w:t>
      </w:r>
      <w:r>
        <w:rPr>
          <w:spacing w:val="-6"/>
        </w:rPr>
        <w:t> </w:t>
      </w:r>
      <w:r>
        <w:rPr/>
        <w:t>successfully</w:t>
      </w:r>
      <w:r>
        <w:rPr>
          <w:spacing w:val="-7"/>
        </w:rPr>
        <w:t> </w:t>
      </w:r>
      <w:r>
        <w:rPr/>
        <w:t>counter- acted this</w:t>
      </w:r>
      <w:r>
        <w:rPr>
          <w:spacing w:val="-2"/>
        </w:rPr>
        <w:t> </w:t>
      </w:r>
      <w:r>
        <w:rPr/>
        <w:t>problem.</w:t>
      </w:r>
    </w:p>
    <w:p>
      <w:pPr>
        <w:pStyle w:val="Heading1"/>
        <w:spacing w:before="222"/>
      </w:pPr>
      <w:r>
        <w:rPr/>
        <w:t>Effect of L-carnitine on cancer</w:t>
      </w:r>
    </w:p>
    <w:p>
      <w:pPr>
        <w:pStyle w:val="BodyText"/>
        <w:spacing w:line="276" w:lineRule="auto" w:before="299"/>
        <w:ind w:left="477" w:right="136"/>
        <w:jc w:val="both"/>
      </w:pPr>
      <w:r>
        <w:rPr/>
        <w:t>L-carnitine exerts its effect on cancer through several mechanisms: First, it has been proven to strengthen our immune system, which always plays a primary role in the fight against cancer. In addition, it has a detoxifying effect and can therefore remove certain toxic substances from the body, which are often the causes of tumours. L-carnitine can do even more for cancer: it can reduce the side effects of chemotherapy and strengthen healthy cells.</w:t>
      </w:r>
    </w:p>
    <w:p>
      <w:pPr>
        <w:pStyle w:val="Heading1"/>
        <w:jc w:val="both"/>
      </w:pPr>
      <w:r>
        <w:rPr/>
        <w:t>Effect of L-carnitine on renal</w:t>
      </w:r>
      <w:r>
        <w:rPr>
          <w:spacing w:val="-56"/>
        </w:rPr>
        <w:t> </w:t>
      </w:r>
      <w:r>
        <w:rPr/>
        <w:t>insufficiency</w:t>
      </w:r>
    </w:p>
    <w:p>
      <w:pPr>
        <w:spacing w:after="0"/>
        <w:jc w:val="both"/>
        <w:sectPr>
          <w:pgSz w:w="14270" w:h="16850"/>
          <w:pgMar w:header="0" w:footer="1891" w:top="1600" w:bottom="2080" w:left="800" w:right="1280"/>
        </w:sectPr>
      </w:pPr>
    </w:p>
    <w:p>
      <w:pPr>
        <w:pStyle w:val="BodyText"/>
        <w:spacing w:line="276" w:lineRule="auto" w:before="181"/>
        <w:ind w:left="477" w:right="133"/>
        <w:jc w:val="both"/>
      </w:pPr>
      <w:r>
        <w:rPr/>
        <w:t>Patients who are dependent on dialysis because of kidney disease run the risk of suffering from L-carnitine deficiency. This is related to the fact that dialysis uncontrollably flushes large amounts of L-carnitine out of the kidneys. The body cannot keep up the production – this threatens to cause an acute L-car- nitine deficiency, with all its consequences. Here, an additional intake of high- quality L-carnitine supplements is strongly recommended.</w:t>
      </w:r>
    </w:p>
    <w:p>
      <w:pPr>
        <w:pStyle w:val="Heading1"/>
      </w:pPr>
      <w:r>
        <w:rPr/>
        <w:t>Effect of L-carnitine on post-polio</w:t>
      </w:r>
      <w:r>
        <w:rPr>
          <w:spacing w:val="-64"/>
        </w:rPr>
        <w:t> </w:t>
      </w:r>
      <w:r>
        <w:rPr/>
        <w:t>syndrome</w:t>
      </w:r>
    </w:p>
    <w:p>
      <w:pPr>
        <w:pStyle w:val="BodyText"/>
        <w:spacing w:line="276" w:lineRule="auto" w:before="299"/>
        <w:ind w:left="477" w:right="135"/>
        <w:jc w:val="both"/>
      </w:pPr>
      <w:r>
        <w:rPr/>
        <w:t>Post-polio syndrome is characterised by muscle weakness and is accompanied by chronic pain. In studies, 1-2 g of L-carnitine per day lead to an increase in strength by 67 % and endurance by 70 % in study subjects. Fatigue also de- creased by 28 % and pain decreased by 57 %.</w:t>
      </w:r>
    </w:p>
    <w:p>
      <w:pPr>
        <w:pStyle w:val="Heading1"/>
        <w:spacing w:before="222"/>
      </w:pPr>
      <w:r>
        <w:rPr/>
        <w:t>Effect of L-carnitine on muscle</w:t>
      </w:r>
      <w:r>
        <w:rPr>
          <w:spacing w:val="-55"/>
        </w:rPr>
        <w:t> </w:t>
      </w:r>
      <w:r>
        <w:rPr/>
        <w:t>atrophy</w:t>
      </w:r>
    </w:p>
    <w:p>
      <w:pPr>
        <w:pStyle w:val="BodyText"/>
        <w:spacing w:line="276" w:lineRule="auto" w:before="299"/>
        <w:ind w:left="477" w:right="133"/>
        <w:jc w:val="both"/>
      </w:pPr>
      <w:r>
        <w:rPr/>
        <w:t>As</w:t>
      </w:r>
      <w:r>
        <w:rPr>
          <w:spacing w:val="-12"/>
        </w:rPr>
        <w:t> </w:t>
      </w:r>
      <w:r>
        <w:rPr/>
        <w:t>we</w:t>
      </w:r>
      <w:r>
        <w:rPr>
          <w:spacing w:val="-12"/>
        </w:rPr>
        <w:t> </w:t>
      </w:r>
      <w:r>
        <w:rPr/>
        <w:t>will</w:t>
      </w:r>
      <w:r>
        <w:rPr>
          <w:spacing w:val="-14"/>
        </w:rPr>
        <w:t> </w:t>
      </w:r>
      <w:r>
        <w:rPr/>
        <w:t>read</w:t>
      </w:r>
      <w:r>
        <w:rPr>
          <w:spacing w:val="-13"/>
        </w:rPr>
        <w:t> </w:t>
      </w:r>
      <w:r>
        <w:rPr/>
        <w:t>in</w:t>
      </w:r>
      <w:r>
        <w:rPr>
          <w:spacing w:val="-9"/>
        </w:rPr>
        <w:t> </w:t>
      </w:r>
      <w:r>
        <w:rPr/>
        <w:t>‘L-carnitine</w:t>
      </w:r>
      <w:r>
        <w:rPr>
          <w:spacing w:val="-12"/>
        </w:rPr>
        <w:t> </w:t>
      </w:r>
      <w:r>
        <w:rPr/>
        <w:t>in</w:t>
      </w:r>
      <w:r>
        <w:rPr>
          <w:spacing w:val="-12"/>
        </w:rPr>
        <w:t> </w:t>
      </w:r>
      <w:r>
        <w:rPr/>
        <w:t>sport’,</w:t>
      </w:r>
      <w:r>
        <w:rPr>
          <w:spacing w:val="-13"/>
        </w:rPr>
        <w:t> </w:t>
      </w:r>
      <w:r>
        <w:rPr/>
        <w:t>L-carnitine</w:t>
      </w:r>
      <w:r>
        <w:rPr>
          <w:spacing w:val="-12"/>
        </w:rPr>
        <w:t> </w:t>
      </w:r>
      <w:r>
        <w:rPr/>
        <w:t>has</w:t>
      </w:r>
      <w:r>
        <w:rPr>
          <w:spacing w:val="-11"/>
        </w:rPr>
        <w:t> </w:t>
      </w:r>
      <w:r>
        <w:rPr/>
        <w:t>an</w:t>
      </w:r>
      <w:r>
        <w:rPr>
          <w:spacing w:val="-12"/>
        </w:rPr>
        <w:t> </w:t>
      </w:r>
      <w:r>
        <w:rPr/>
        <w:t>anticatabolic</w:t>
      </w:r>
      <w:r>
        <w:rPr>
          <w:spacing w:val="-13"/>
        </w:rPr>
        <w:t> </w:t>
      </w:r>
      <w:r>
        <w:rPr/>
        <w:t>(against muscle breakdown protective) and anabolic (muscle-building) effect. For the body to be able to produce 1 g of L-carnitine from its own reserves, it has to break down around 30 g of muscle mass. An additional intake of L-carnitine thus has a protective effect on the muscles, which explains the anticatabolic effect. L-carnitine improves the energy supply of the myofibrils, allows higher loads and counteracts premature fatigue. All in all, L-carnitine proves to be</w:t>
      </w:r>
      <w:r>
        <w:rPr>
          <w:spacing w:val="-57"/>
        </w:rPr>
        <w:t> </w:t>
      </w:r>
      <w:r>
        <w:rPr/>
        <w:t>op- timal for working against muscle</w:t>
      </w:r>
      <w:r>
        <w:rPr>
          <w:spacing w:val="1"/>
        </w:rPr>
        <w:t> </w:t>
      </w:r>
      <w:r>
        <w:rPr/>
        <w:t>atrophy.</w:t>
      </w:r>
    </w:p>
    <w:p>
      <w:pPr>
        <w:pStyle w:val="Heading1"/>
        <w:jc w:val="both"/>
      </w:pPr>
      <w:r>
        <w:rPr/>
        <w:t>Effect of L-carnitine on osteoporosis</w:t>
      </w:r>
    </w:p>
    <w:p>
      <w:pPr>
        <w:spacing w:after="0"/>
        <w:jc w:val="both"/>
        <w:sectPr>
          <w:pgSz w:w="14270" w:h="16850"/>
          <w:pgMar w:header="0" w:footer="1891" w:top="1600" w:bottom="2080" w:left="800" w:right="1280"/>
        </w:sectPr>
      </w:pPr>
    </w:p>
    <w:p>
      <w:pPr>
        <w:pStyle w:val="BodyText"/>
        <w:spacing w:line="276" w:lineRule="auto" w:before="181"/>
        <w:ind w:left="477" w:right="136"/>
        <w:jc w:val="both"/>
      </w:pPr>
      <w:r>
        <w:rPr/>
        <w:t>Along with calcium and vitamin D, L-carnitine seems to strengthen the bone structure,</w:t>
      </w:r>
      <w:r>
        <w:rPr>
          <w:spacing w:val="-9"/>
        </w:rPr>
        <w:t> </w:t>
      </w:r>
      <w:r>
        <w:rPr/>
        <w:t>as</w:t>
      </w:r>
      <w:r>
        <w:rPr>
          <w:spacing w:val="-11"/>
        </w:rPr>
        <w:t> </w:t>
      </w:r>
      <w:r>
        <w:rPr/>
        <w:t>animal</w:t>
      </w:r>
      <w:r>
        <w:rPr>
          <w:spacing w:val="-11"/>
        </w:rPr>
        <w:t> </w:t>
      </w:r>
      <w:r>
        <w:rPr/>
        <w:t>trials</w:t>
      </w:r>
      <w:r>
        <w:rPr>
          <w:spacing w:val="-10"/>
        </w:rPr>
        <w:t> </w:t>
      </w:r>
      <w:r>
        <w:rPr/>
        <w:t>have</w:t>
      </w:r>
      <w:r>
        <w:rPr>
          <w:spacing w:val="-10"/>
        </w:rPr>
        <w:t> </w:t>
      </w:r>
      <w:r>
        <w:rPr/>
        <w:t>clearly</w:t>
      </w:r>
      <w:r>
        <w:rPr>
          <w:spacing w:val="-10"/>
        </w:rPr>
        <w:t> </w:t>
      </w:r>
      <w:r>
        <w:rPr/>
        <w:t>demonstrated.</w:t>
      </w:r>
      <w:r>
        <w:rPr>
          <w:spacing w:val="-9"/>
        </w:rPr>
        <w:t> </w:t>
      </w:r>
      <w:r>
        <w:rPr/>
        <w:t>Obviously,</w:t>
      </w:r>
      <w:r>
        <w:rPr>
          <w:spacing w:val="-10"/>
        </w:rPr>
        <w:t> </w:t>
      </w:r>
      <w:r>
        <w:rPr/>
        <w:t>it</w:t>
      </w:r>
      <w:r>
        <w:rPr>
          <w:spacing w:val="-10"/>
        </w:rPr>
        <w:t> </w:t>
      </w:r>
      <w:r>
        <w:rPr/>
        <w:t>enhances</w:t>
      </w:r>
      <w:r>
        <w:rPr>
          <w:spacing w:val="-9"/>
        </w:rPr>
        <w:t> </w:t>
      </w:r>
      <w:r>
        <w:rPr/>
        <w:t>the synthesis of bone-building cells, also called</w:t>
      </w:r>
      <w:r>
        <w:rPr>
          <w:spacing w:val="-3"/>
        </w:rPr>
        <w:t> </w:t>
      </w:r>
      <w:r>
        <w:rPr/>
        <w:t>‘osteoblasts’.</w:t>
      </w:r>
    </w:p>
    <w:p>
      <w:pPr>
        <w:pStyle w:val="Heading1"/>
      </w:pPr>
      <w:r>
        <w:rPr/>
        <w:t>Effect of L-carnitine on smoker's leg and ulcers</w:t>
      </w:r>
    </w:p>
    <w:p>
      <w:pPr>
        <w:pStyle w:val="BodyText"/>
        <w:spacing w:line="276" w:lineRule="auto" w:before="300"/>
        <w:ind w:left="477" w:right="134"/>
        <w:jc w:val="both"/>
      </w:pPr>
      <w:r>
        <w:rPr/>
        <w:t>Here,</w:t>
      </w:r>
      <w:r>
        <w:rPr>
          <w:spacing w:val="-12"/>
        </w:rPr>
        <w:t> </w:t>
      </w:r>
      <w:r>
        <w:rPr/>
        <w:t>too,</w:t>
      </w:r>
      <w:r>
        <w:rPr>
          <w:spacing w:val="-12"/>
        </w:rPr>
        <w:t> </w:t>
      </w:r>
      <w:r>
        <w:rPr/>
        <w:t>L-carnitine</w:t>
      </w:r>
      <w:r>
        <w:rPr>
          <w:spacing w:val="-11"/>
        </w:rPr>
        <w:t> </w:t>
      </w:r>
      <w:r>
        <w:rPr/>
        <w:t>has</w:t>
      </w:r>
      <w:r>
        <w:rPr>
          <w:spacing w:val="-12"/>
        </w:rPr>
        <w:t> </w:t>
      </w:r>
      <w:r>
        <w:rPr/>
        <w:t>a</w:t>
      </w:r>
      <w:r>
        <w:rPr>
          <w:spacing w:val="-13"/>
        </w:rPr>
        <w:t> </w:t>
      </w:r>
      <w:r>
        <w:rPr/>
        <w:t>multifactorial</w:t>
      </w:r>
      <w:r>
        <w:rPr>
          <w:spacing w:val="-14"/>
        </w:rPr>
        <w:t> </w:t>
      </w:r>
      <w:r>
        <w:rPr/>
        <w:t>effect,</w:t>
      </w:r>
      <w:r>
        <w:rPr>
          <w:spacing w:val="-10"/>
        </w:rPr>
        <w:t> </w:t>
      </w:r>
      <w:r>
        <w:rPr/>
        <w:t>because</w:t>
      </w:r>
      <w:r>
        <w:rPr>
          <w:spacing w:val="-12"/>
        </w:rPr>
        <w:t> </w:t>
      </w:r>
      <w:r>
        <w:rPr/>
        <w:t>it</w:t>
      </w:r>
      <w:r>
        <w:rPr>
          <w:spacing w:val="-14"/>
        </w:rPr>
        <w:t> </w:t>
      </w:r>
      <w:r>
        <w:rPr/>
        <w:t>promotes</w:t>
      </w:r>
      <w:r>
        <w:rPr>
          <w:spacing w:val="-11"/>
        </w:rPr>
        <w:t> </w:t>
      </w:r>
      <w:r>
        <w:rPr/>
        <w:t>blood</w:t>
      </w:r>
      <w:r>
        <w:rPr>
          <w:spacing w:val="-12"/>
        </w:rPr>
        <w:t> </w:t>
      </w:r>
      <w:r>
        <w:rPr/>
        <w:t>cir- culation</w:t>
      </w:r>
      <w:r>
        <w:rPr>
          <w:spacing w:val="-11"/>
        </w:rPr>
        <w:t> </w:t>
      </w:r>
      <w:r>
        <w:rPr/>
        <w:t>and</w:t>
      </w:r>
      <w:r>
        <w:rPr>
          <w:spacing w:val="-11"/>
        </w:rPr>
        <w:t> </w:t>
      </w:r>
      <w:r>
        <w:rPr/>
        <w:t>cell</w:t>
      </w:r>
      <w:r>
        <w:rPr>
          <w:spacing w:val="-12"/>
        </w:rPr>
        <w:t> </w:t>
      </w:r>
      <w:r>
        <w:rPr/>
        <w:t>metabolism</w:t>
      </w:r>
      <w:r>
        <w:rPr>
          <w:spacing w:val="-12"/>
        </w:rPr>
        <w:t> </w:t>
      </w:r>
      <w:r>
        <w:rPr/>
        <w:t>on</w:t>
      </w:r>
      <w:r>
        <w:rPr>
          <w:spacing w:val="-13"/>
        </w:rPr>
        <w:t> </w:t>
      </w:r>
      <w:r>
        <w:rPr/>
        <w:t>the</w:t>
      </w:r>
      <w:r>
        <w:rPr>
          <w:spacing w:val="-11"/>
        </w:rPr>
        <w:t> </w:t>
      </w:r>
      <w:r>
        <w:rPr/>
        <w:t>one</w:t>
      </w:r>
      <w:r>
        <w:rPr>
          <w:spacing w:val="-14"/>
        </w:rPr>
        <w:t> </w:t>
      </w:r>
      <w:r>
        <w:rPr/>
        <w:t>hand,</w:t>
      </w:r>
      <w:r>
        <w:rPr>
          <w:spacing w:val="-11"/>
        </w:rPr>
        <w:t> </w:t>
      </w:r>
      <w:r>
        <w:rPr/>
        <w:t>on</w:t>
      </w:r>
      <w:r>
        <w:rPr>
          <w:spacing w:val="-11"/>
        </w:rPr>
        <w:t> </w:t>
      </w:r>
      <w:r>
        <w:rPr/>
        <w:t>the</w:t>
      </w:r>
      <w:r>
        <w:rPr>
          <w:spacing w:val="-11"/>
        </w:rPr>
        <w:t> </w:t>
      </w:r>
      <w:r>
        <w:rPr/>
        <w:t>other</w:t>
      </w:r>
      <w:r>
        <w:rPr>
          <w:spacing w:val="-12"/>
        </w:rPr>
        <w:t> </w:t>
      </w:r>
      <w:r>
        <w:rPr/>
        <w:t>hand,</w:t>
      </w:r>
      <w:r>
        <w:rPr>
          <w:spacing w:val="-11"/>
        </w:rPr>
        <w:t> </w:t>
      </w:r>
      <w:r>
        <w:rPr/>
        <w:t>infections</w:t>
      </w:r>
      <w:r>
        <w:rPr>
          <w:spacing w:val="-11"/>
        </w:rPr>
        <w:t> </w:t>
      </w:r>
      <w:r>
        <w:rPr/>
        <w:t>are combated more efficiently. Wounds can heal better, and blood flow is opti- mized.</w:t>
      </w:r>
    </w:p>
    <w:p>
      <w:pPr>
        <w:pStyle w:val="Heading1"/>
        <w:spacing w:before="222"/>
      </w:pPr>
      <w:r>
        <w:rPr/>
        <w:t>Effect of L-carnitine on mental</w:t>
      </w:r>
      <w:r>
        <w:rPr>
          <w:spacing w:val="-57"/>
        </w:rPr>
        <w:t> </w:t>
      </w:r>
      <w:r>
        <w:rPr/>
        <w:t>well-being</w:t>
      </w:r>
    </w:p>
    <w:p>
      <w:pPr>
        <w:pStyle w:val="BodyText"/>
        <w:spacing w:line="276" w:lineRule="auto" w:before="299"/>
        <w:ind w:left="477" w:right="134"/>
        <w:jc w:val="both"/>
      </w:pPr>
      <w:r>
        <w:rPr/>
        <w:t>Acetyl-L-carnitine increases the nerve sensitivity of the neurotransmitters</w:t>
      </w:r>
      <w:r>
        <w:rPr>
          <w:spacing w:val="-42"/>
        </w:rPr>
        <w:t> </w:t>
      </w:r>
      <w:r>
        <w:rPr/>
        <w:t>sero- tonin</w:t>
      </w:r>
      <w:r>
        <w:rPr>
          <w:spacing w:val="-21"/>
        </w:rPr>
        <w:t> </w:t>
      </w:r>
      <w:r>
        <w:rPr/>
        <w:t>and</w:t>
      </w:r>
      <w:r>
        <w:rPr>
          <w:spacing w:val="-20"/>
        </w:rPr>
        <w:t> </w:t>
      </w:r>
      <w:r>
        <w:rPr/>
        <w:t>acetylcholine,</w:t>
      </w:r>
      <w:r>
        <w:rPr>
          <w:spacing w:val="-20"/>
        </w:rPr>
        <w:t> </w:t>
      </w:r>
      <w:r>
        <w:rPr/>
        <w:t>therefore</w:t>
      </w:r>
      <w:r>
        <w:rPr>
          <w:spacing w:val="-19"/>
        </w:rPr>
        <w:t> </w:t>
      </w:r>
      <w:r>
        <w:rPr/>
        <w:t>normalising</w:t>
      </w:r>
      <w:r>
        <w:rPr>
          <w:spacing w:val="-20"/>
        </w:rPr>
        <w:t> </w:t>
      </w:r>
      <w:r>
        <w:rPr/>
        <w:t>the</w:t>
      </w:r>
      <w:r>
        <w:rPr>
          <w:spacing w:val="-20"/>
        </w:rPr>
        <w:t> </w:t>
      </w:r>
      <w:r>
        <w:rPr/>
        <w:t>metabolism</w:t>
      </w:r>
      <w:r>
        <w:rPr>
          <w:spacing w:val="-20"/>
        </w:rPr>
        <w:t> </w:t>
      </w:r>
      <w:r>
        <w:rPr/>
        <w:t>of</w:t>
      </w:r>
      <w:r>
        <w:rPr>
          <w:spacing w:val="-23"/>
        </w:rPr>
        <w:t> </w:t>
      </w:r>
      <w:r>
        <w:rPr/>
        <w:t>the</w:t>
      </w:r>
      <w:r>
        <w:rPr>
          <w:spacing w:val="-15"/>
        </w:rPr>
        <w:t> </w:t>
      </w:r>
      <w:r>
        <w:rPr/>
        <w:t>‘happiness hormone’ serotonin and may serve as a healthy alternative to harmful antide- pressants.</w:t>
      </w:r>
    </w:p>
    <w:p>
      <w:pPr>
        <w:pStyle w:val="Heading1"/>
        <w:spacing w:before="222"/>
      </w:pPr>
      <w:r>
        <w:rPr/>
        <w:t>Effect of L-carnitine on fertility</w:t>
      </w:r>
    </w:p>
    <w:p>
      <w:pPr>
        <w:pStyle w:val="BodyText"/>
        <w:spacing w:line="276" w:lineRule="auto" w:before="300"/>
        <w:ind w:left="477" w:right="129"/>
        <w:jc w:val="both"/>
      </w:pPr>
      <w:r>
        <w:rPr/>
        <w:t>L-carnitine is also recommended to boost fertility. L-carnitine can be of real help</w:t>
      </w:r>
      <w:r>
        <w:rPr>
          <w:spacing w:val="-14"/>
        </w:rPr>
        <w:t> </w:t>
      </w:r>
      <w:r>
        <w:rPr/>
        <w:t>and</w:t>
      </w:r>
      <w:r>
        <w:rPr>
          <w:spacing w:val="-13"/>
        </w:rPr>
        <w:t> </w:t>
      </w:r>
      <w:r>
        <w:rPr/>
        <w:t>increase</w:t>
      </w:r>
      <w:r>
        <w:rPr>
          <w:spacing w:val="-14"/>
        </w:rPr>
        <w:t> </w:t>
      </w:r>
      <w:r>
        <w:rPr/>
        <w:t>the</w:t>
      </w:r>
      <w:r>
        <w:rPr>
          <w:spacing w:val="-12"/>
        </w:rPr>
        <w:t> </w:t>
      </w:r>
      <w:r>
        <w:rPr/>
        <w:t>fertility</w:t>
      </w:r>
      <w:r>
        <w:rPr>
          <w:spacing w:val="-15"/>
        </w:rPr>
        <w:t> </w:t>
      </w:r>
      <w:r>
        <w:rPr/>
        <w:t>of</w:t>
      </w:r>
      <w:r>
        <w:rPr>
          <w:spacing w:val="-15"/>
        </w:rPr>
        <w:t> </w:t>
      </w:r>
      <w:r>
        <w:rPr/>
        <w:t>men</w:t>
      </w:r>
      <w:r>
        <w:rPr>
          <w:spacing w:val="-13"/>
        </w:rPr>
        <w:t> </w:t>
      </w:r>
      <w:r>
        <w:rPr/>
        <w:t>who</w:t>
      </w:r>
      <w:r>
        <w:rPr>
          <w:spacing w:val="-12"/>
        </w:rPr>
        <w:t> </w:t>
      </w:r>
      <w:r>
        <w:rPr/>
        <w:t>have</w:t>
      </w:r>
      <w:r>
        <w:rPr>
          <w:spacing w:val="-14"/>
        </w:rPr>
        <w:t> </w:t>
      </w:r>
      <w:r>
        <w:rPr/>
        <w:t>too</w:t>
      </w:r>
      <w:r>
        <w:rPr>
          <w:spacing w:val="-12"/>
        </w:rPr>
        <w:t> </w:t>
      </w:r>
      <w:r>
        <w:rPr/>
        <w:t>little</w:t>
      </w:r>
      <w:r>
        <w:rPr>
          <w:spacing w:val="-15"/>
        </w:rPr>
        <w:t> </w:t>
      </w:r>
      <w:r>
        <w:rPr/>
        <w:t>sperm</w:t>
      </w:r>
      <w:r>
        <w:rPr>
          <w:spacing w:val="-15"/>
        </w:rPr>
        <w:t> </w:t>
      </w:r>
      <w:r>
        <w:rPr/>
        <w:t>in</w:t>
      </w:r>
      <w:r>
        <w:rPr>
          <w:spacing w:val="-14"/>
        </w:rPr>
        <w:t> </w:t>
      </w:r>
      <w:r>
        <w:rPr/>
        <w:t>their</w:t>
      </w:r>
      <w:r>
        <w:rPr>
          <w:spacing w:val="-12"/>
        </w:rPr>
        <w:t> </w:t>
      </w:r>
      <w:r>
        <w:rPr/>
        <w:t>ejaculate or</w:t>
      </w:r>
      <w:r>
        <w:rPr>
          <w:spacing w:val="-7"/>
        </w:rPr>
        <w:t> </w:t>
      </w:r>
      <w:r>
        <w:rPr/>
        <w:t>whose</w:t>
      </w:r>
      <w:r>
        <w:rPr>
          <w:spacing w:val="-8"/>
        </w:rPr>
        <w:t> </w:t>
      </w:r>
      <w:r>
        <w:rPr/>
        <w:t>sperm</w:t>
      </w:r>
      <w:r>
        <w:rPr>
          <w:spacing w:val="-9"/>
        </w:rPr>
        <w:t> </w:t>
      </w:r>
      <w:r>
        <w:rPr/>
        <w:t>are</w:t>
      </w:r>
      <w:r>
        <w:rPr>
          <w:spacing w:val="-7"/>
        </w:rPr>
        <w:t> </w:t>
      </w:r>
      <w:r>
        <w:rPr/>
        <w:t>not</w:t>
      </w:r>
      <w:r>
        <w:rPr>
          <w:spacing w:val="-10"/>
        </w:rPr>
        <w:t> </w:t>
      </w:r>
      <w:r>
        <w:rPr/>
        <w:t>sufficiently</w:t>
      </w:r>
      <w:r>
        <w:rPr>
          <w:spacing w:val="-7"/>
        </w:rPr>
        <w:t> </w:t>
      </w:r>
      <w:r>
        <w:rPr/>
        <w:t>active.</w:t>
      </w:r>
      <w:r>
        <w:rPr>
          <w:spacing w:val="-7"/>
        </w:rPr>
        <w:t> </w:t>
      </w:r>
      <w:r>
        <w:rPr/>
        <w:t>Studies</w:t>
      </w:r>
      <w:r>
        <w:rPr>
          <w:spacing w:val="-7"/>
        </w:rPr>
        <w:t> </w:t>
      </w:r>
      <w:r>
        <w:rPr/>
        <w:t>have</w:t>
      </w:r>
      <w:r>
        <w:rPr>
          <w:spacing w:val="-9"/>
        </w:rPr>
        <w:t> </w:t>
      </w:r>
      <w:r>
        <w:rPr/>
        <w:t>shown</w:t>
      </w:r>
      <w:r>
        <w:rPr>
          <w:spacing w:val="-7"/>
        </w:rPr>
        <w:t> </w:t>
      </w:r>
      <w:r>
        <w:rPr/>
        <w:t>a</w:t>
      </w:r>
      <w:r>
        <w:rPr>
          <w:spacing w:val="-13"/>
        </w:rPr>
        <w:t> </w:t>
      </w:r>
      <w:r>
        <w:rPr/>
        <w:t>positive</w:t>
      </w:r>
      <w:r>
        <w:rPr>
          <w:spacing w:val="-7"/>
        </w:rPr>
        <w:t> </w:t>
      </w:r>
      <w:r>
        <w:rPr/>
        <w:t>effect in</w:t>
      </w:r>
      <w:r>
        <w:rPr>
          <w:spacing w:val="-23"/>
        </w:rPr>
        <w:t> </w:t>
      </w:r>
      <w:r>
        <w:rPr/>
        <w:t>this</w:t>
      </w:r>
      <w:r>
        <w:rPr>
          <w:spacing w:val="-25"/>
        </w:rPr>
        <w:t> </w:t>
      </w:r>
      <w:r>
        <w:rPr/>
        <w:t>regard</w:t>
      </w:r>
      <w:r>
        <w:rPr>
          <w:spacing w:val="-25"/>
        </w:rPr>
        <w:t> </w:t>
      </w:r>
      <w:r>
        <w:rPr/>
        <w:t>after</w:t>
      </w:r>
      <w:r>
        <w:rPr>
          <w:spacing w:val="-24"/>
        </w:rPr>
        <w:t> </w:t>
      </w:r>
      <w:r>
        <w:rPr/>
        <w:t>3-6</w:t>
      </w:r>
      <w:r>
        <w:rPr>
          <w:spacing w:val="-24"/>
        </w:rPr>
        <w:t> </w:t>
      </w:r>
      <w:r>
        <w:rPr/>
        <w:t>months</w:t>
      </w:r>
      <w:r>
        <w:rPr>
          <w:spacing w:val="-26"/>
        </w:rPr>
        <w:t> </w:t>
      </w:r>
      <w:r>
        <w:rPr/>
        <w:t>of</w:t>
      </w:r>
      <w:r>
        <w:rPr>
          <w:spacing w:val="-26"/>
        </w:rPr>
        <w:t> </w:t>
      </w:r>
      <w:r>
        <w:rPr/>
        <w:t>regularly</w:t>
      </w:r>
      <w:r>
        <w:rPr>
          <w:spacing w:val="-24"/>
        </w:rPr>
        <w:t> </w:t>
      </w:r>
      <w:r>
        <w:rPr/>
        <w:t>taking</w:t>
      </w:r>
      <w:r>
        <w:rPr>
          <w:spacing w:val="-25"/>
        </w:rPr>
        <w:t> </w:t>
      </w:r>
      <w:r>
        <w:rPr/>
        <w:t>1</w:t>
      </w:r>
      <w:r>
        <w:rPr>
          <w:spacing w:val="-24"/>
        </w:rPr>
        <w:t> </w:t>
      </w:r>
      <w:r>
        <w:rPr/>
        <w:t>g</w:t>
      </w:r>
      <w:r>
        <w:rPr>
          <w:spacing w:val="-26"/>
        </w:rPr>
        <w:t> </w:t>
      </w:r>
      <w:r>
        <w:rPr/>
        <w:t>L-carnitine/day.</w:t>
      </w:r>
      <w:r>
        <w:rPr>
          <w:spacing w:val="-22"/>
        </w:rPr>
        <w:t> </w:t>
      </w:r>
      <w:r>
        <w:rPr/>
        <w:t>It</w:t>
      </w:r>
      <w:r>
        <w:rPr>
          <w:spacing w:val="-27"/>
        </w:rPr>
        <w:t> </w:t>
      </w:r>
      <w:r>
        <w:rPr/>
        <w:t>is</w:t>
      </w:r>
      <w:r>
        <w:rPr>
          <w:spacing w:val="-24"/>
        </w:rPr>
        <w:t> </w:t>
      </w:r>
      <w:r>
        <w:rPr/>
        <w:t>worth noting in this context that sperm store large amounts of acetyl-L-carnitine and acetyl-L-carnitine is the only form of energy that helps the sperm fertilise the female</w:t>
      </w:r>
      <w:r>
        <w:rPr>
          <w:spacing w:val="-1"/>
        </w:rPr>
        <w:t> </w:t>
      </w:r>
      <w:r>
        <w:rPr/>
        <w:t>egg.</w:t>
      </w:r>
    </w:p>
    <w:p>
      <w:pPr>
        <w:spacing w:after="0" w:line="276" w:lineRule="auto"/>
        <w:jc w:val="both"/>
        <w:sectPr>
          <w:pgSz w:w="14270" w:h="16850"/>
          <w:pgMar w:header="0" w:footer="1891" w:top="1600" w:bottom="2080" w:left="800" w:right="1280"/>
        </w:sectPr>
      </w:pPr>
    </w:p>
    <w:p>
      <w:pPr>
        <w:pStyle w:val="BodyText"/>
        <w:spacing w:line="276" w:lineRule="auto" w:before="181"/>
        <w:ind w:left="477" w:right="131"/>
        <w:jc w:val="both"/>
        <w:rPr>
          <w:sz w:val="25"/>
        </w:rPr>
      </w:pPr>
      <w:r>
        <w:rPr/>
        <w:t>The same is suspected of occurring in the woman's ovum, which probably fa- cilitates the implantation of the fertilised sperm cell into the uterus through a more efficient energy supply provided by L-carnitine. In animal experiments, an increase of fertility of 10-15 % was confirmed.</w:t>
      </w:r>
      <w:r>
        <w:rPr>
          <w:position w:val="9"/>
          <w:sz w:val="25"/>
        </w:rPr>
        <w:t>473</w:t>
      </w:r>
    </w:p>
    <w:p>
      <w:pPr>
        <w:pStyle w:val="Heading1"/>
        <w:spacing w:before="225"/>
      </w:pPr>
      <w:r>
        <w:rPr/>
        <w:t>L-carnitine and pregnancy</w:t>
      </w:r>
    </w:p>
    <w:p>
      <w:pPr>
        <w:spacing w:before="279"/>
        <w:ind w:left="477" w:right="0" w:firstLine="0"/>
        <w:jc w:val="left"/>
        <w:rPr>
          <w:b/>
          <w:i/>
          <w:sz w:val="40"/>
        </w:rPr>
      </w:pPr>
      <w:r>
        <w:rPr>
          <w:b/>
          <w:i/>
          <w:sz w:val="40"/>
        </w:rPr>
        <w:t>Can or should you take L-carnitine during pregnancy?</w:t>
      </w:r>
    </w:p>
    <w:p>
      <w:pPr>
        <w:pStyle w:val="BodyText"/>
        <w:spacing w:line="276" w:lineRule="auto" w:before="300"/>
        <w:ind w:left="477" w:right="136"/>
        <w:jc w:val="both"/>
      </w:pPr>
      <w:r>
        <w:rPr/>
        <w:t>In the section ‘Effects of L-carnitine’, we have explained in detail why L-car- nitine</w:t>
      </w:r>
      <w:r>
        <w:rPr>
          <w:spacing w:val="-5"/>
        </w:rPr>
        <w:t> </w:t>
      </w:r>
      <w:r>
        <w:rPr/>
        <w:t>is</w:t>
      </w:r>
      <w:r>
        <w:rPr>
          <w:spacing w:val="-4"/>
        </w:rPr>
        <w:t> </w:t>
      </w:r>
      <w:r>
        <w:rPr/>
        <w:t>the</w:t>
      </w:r>
      <w:r>
        <w:rPr>
          <w:spacing w:val="-6"/>
        </w:rPr>
        <w:t> </w:t>
      </w:r>
      <w:r>
        <w:rPr/>
        <w:t>drug</w:t>
      </w:r>
      <w:r>
        <w:rPr>
          <w:spacing w:val="-4"/>
        </w:rPr>
        <w:t> </w:t>
      </w:r>
      <w:r>
        <w:rPr/>
        <w:t>of</w:t>
      </w:r>
      <w:r>
        <w:rPr>
          <w:spacing w:val="-4"/>
        </w:rPr>
        <w:t> </w:t>
      </w:r>
      <w:r>
        <w:rPr/>
        <w:t>choice</w:t>
      </w:r>
      <w:r>
        <w:rPr>
          <w:spacing w:val="-4"/>
        </w:rPr>
        <w:t> </w:t>
      </w:r>
      <w:r>
        <w:rPr/>
        <w:t>when</w:t>
      </w:r>
      <w:r>
        <w:rPr>
          <w:spacing w:val="-5"/>
        </w:rPr>
        <w:t> </w:t>
      </w:r>
      <w:r>
        <w:rPr/>
        <w:t>it</w:t>
      </w:r>
      <w:r>
        <w:rPr>
          <w:spacing w:val="-7"/>
        </w:rPr>
        <w:t> </w:t>
      </w:r>
      <w:r>
        <w:rPr/>
        <w:t>comes</w:t>
      </w:r>
      <w:r>
        <w:rPr>
          <w:spacing w:val="-6"/>
        </w:rPr>
        <w:t> </w:t>
      </w:r>
      <w:r>
        <w:rPr/>
        <w:t>to</w:t>
      </w:r>
      <w:r>
        <w:rPr>
          <w:spacing w:val="-7"/>
        </w:rPr>
        <w:t> </w:t>
      </w:r>
      <w:r>
        <w:rPr/>
        <w:t>increasing</w:t>
      </w:r>
      <w:r>
        <w:rPr>
          <w:spacing w:val="-4"/>
        </w:rPr>
        <w:t> </w:t>
      </w:r>
      <w:r>
        <w:rPr/>
        <w:t>the</w:t>
      </w:r>
      <w:r>
        <w:rPr>
          <w:spacing w:val="-3"/>
        </w:rPr>
        <w:t> </w:t>
      </w:r>
      <w:r>
        <w:rPr/>
        <w:t>fertility</w:t>
      </w:r>
      <w:r>
        <w:rPr>
          <w:spacing w:val="-6"/>
        </w:rPr>
        <w:t> </w:t>
      </w:r>
      <w:r>
        <w:rPr/>
        <w:t>of</w:t>
      </w:r>
      <w:r>
        <w:rPr>
          <w:spacing w:val="-4"/>
        </w:rPr>
        <w:t> </w:t>
      </w:r>
      <w:r>
        <w:rPr/>
        <w:t>men</w:t>
      </w:r>
      <w:r>
        <w:rPr>
          <w:spacing w:val="-6"/>
        </w:rPr>
        <w:t> </w:t>
      </w:r>
      <w:r>
        <w:rPr/>
        <w:t>and women and enabling a pregnancy in the first place.</w:t>
      </w:r>
    </w:p>
    <w:p>
      <w:pPr>
        <w:pStyle w:val="BodyText"/>
        <w:spacing w:line="276" w:lineRule="auto" w:before="241"/>
        <w:ind w:left="477" w:right="133"/>
        <w:jc w:val="both"/>
      </w:pPr>
      <w:r>
        <w:rPr/>
        <w:t>As with all dietary supplements, the expectant mother wonders whether taking it during pregnancy is permitted or if it could cause harm. The answer to the latter</w:t>
      </w:r>
      <w:r>
        <w:rPr>
          <w:spacing w:val="-11"/>
        </w:rPr>
        <w:t> </w:t>
      </w:r>
      <w:r>
        <w:rPr/>
        <w:t>is</w:t>
      </w:r>
      <w:r>
        <w:rPr>
          <w:spacing w:val="-12"/>
        </w:rPr>
        <w:t> </w:t>
      </w:r>
      <w:r>
        <w:rPr/>
        <w:t>no;</w:t>
      </w:r>
      <w:r>
        <w:rPr>
          <w:spacing w:val="-13"/>
        </w:rPr>
        <w:t> </w:t>
      </w:r>
      <w:r>
        <w:rPr/>
        <w:t>but</w:t>
      </w:r>
      <w:r>
        <w:rPr>
          <w:spacing w:val="-13"/>
        </w:rPr>
        <w:t> </w:t>
      </w:r>
      <w:r>
        <w:rPr/>
        <w:t>it</w:t>
      </w:r>
      <w:r>
        <w:rPr>
          <w:spacing w:val="-12"/>
        </w:rPr>
        <w:t> </w:t>
      </w:r>
      <w:r>
        <w:rPr/>
        <w:t>is</w:t>
      </w:r>
      <w:r>
        <w:rPr>
          <w:spacing w:val="-12"/>
        </w:rPr>
        <w:t> </w:t>
      </w:r>
      <w:r>
        <w:rPr/>
        <w:t>much</w:t>
      </w:r>
      <w:r>
        <w:rPr>
          <w:spacing w:val="-11"/>
        </w:rPr>
        <w:t> </w:t>
      </w:r>
      <w:r>
        <w:rPr/>
        <w:t>more</w:t>
      </w:r>
      <w:r>
        <w:rPr>
          <w:spacing w:val="-11"/>
        </w:rPr>
        <w:t> </w:t>
      </w:r>
      <w:r>
        <w:rPr/>
        <w:t>interesting</w:t>
      </w:r>
      <w:r>
        <w:rPr>
          <w:spacing w:val="-11"/>
        </w:rPr>
        <w:t> </w:t>
      </w:r>
      <w:r>
        <w:rPr/>
        <w:t>to</w:t>
      </w:r>
      <w:r>
        <w:rPr>
          <w:spacing w:val="-13"/>
        </w:rPr>
        <w:t> </w:t>
      </w:r>
      <w:r>
        <w:rPr/>
        <w:t>examine</w:t>
      </w:r>
      <w:r>
        <w:rPr>
          <w:spacing w:val="-11"/>
        </w:rPr>
        <w:t> </w:t>
      </w:r>
      <w:r>
        <w:rPr/>
        <w:t>the</w:t>
      </w:r>
      <w:r>
        <w:rPr>
          <w:spacing w:val="-13"/>
        </w:rPr>
        <w:t> </w:t>
      </w:r>
      <w:r>
        <w:rPr/>
        <w:t>need</w:t>
      </w:r>
      <w:r>
        <w:rPr>
          <w:spacing w:val="-11"/>
        </w:rPr>
        <w:t> </w:t>
      </w:r>
      <w:r>
        <w:rPr/>
        <w:t>for</w:t>
      </w:r>
      <w:r>
        <w:rPr>
          <w:spacing w:val="-11"/>
        </w:rPr>
        <w:t> </w:t>
      </w:r>
      <w:r>
        <w:rPr/>
        <w:t>taking</w:t>
      </w:r>
      <w:r>
        <w:rPr>
          <w:spacing w:val="-11"/>
        </w:rPr>
        <w:t> </w:t>
      </w:r>
      <w:r>
        <w:rPr/>
        <w:t>more L-carnitine during pregnancy, both for the expectant mother and for the ma- turing child.</w:t>
      </w:r>
    </w:p>
    <w:p>
      <w:pPr>
        <w:pStyle w:val="Heading1"/>
        <w:spacing w:before="223"/>
      </w:pPr>
      <w:r>
        <w:rPr/>
        <w:t>Effect of L-carnitine during pregnancy</w:t>
      </w:r>
    </w:p>
    <w:p>
      <w:pPr>
        <w:pStyle w:val="BodyText"/>
        <w:spacing w:line="276" w:lineRule="auto" w:before="299"/>
        <w:ind w:left="477" w:right="132"/>
        <w:jc w:val="both"/>
      </w:pPr>
      <w:r>
        <w:rPr/>
        <w:t>During</w:t>
      </w:r>
      <w:r>
        <w:rPr>
          <w:spacing w:val="-19"/>
        </w:rPr>
        <w:t> </w:t>
      </w:r>
      <w:r>
        <w:rPr/>
        <w:t>pregnancy,</w:t>
      </w:r>
      <w:r>
        <w:rPr>
          <w:spacing w:val="-19"/>
        </w:rPr>
        <w:t> </w:t>
      </w:r>
      <w:r>
        <w:rPr/>
        <w:t>the</w:t>
      </w:r>
      <w:r>
        <w:rPr>
          <w:spacing w:val="-20"/>
        </w:rPr>
        <w:t> </w:t>
      </w:r>
      <w:r>
        <w:rPr/>
        <w:t>expectant</w:t>
      </w:r>
      <w:r>
        <w:rPr>
          <w:spacing w:val="-20"/>
        </w:rPr>
        <w:t> </w:t>
      </w:r>
      <w:r>
        <w:rPr/>
        <w:t>mother</w:t>
      </w:r>
      <w:r>
        <w:rPr>
          <w:spacing w:val="-18"/>
        </w:rPr>
        <w:t> </w:t>
      </w:r>
      <w:r>
        <w:rPr/>
        <w:t>increasingly</w:t>
      </w:r>
      <w:r>
        <w:rPr>
          <w:spacing w:val="-21"/>
        </w:rPr>
        <w:t> </w:t>
      </w:r>
      <w:r>
        <w:rPr/>
        <w:t>excretes</w:t>
      </w:r>
      <w:r>
        <w:rPr>
          <w:spacing w:val="-19"/>
        </w:rPr>
        <w:t> </w:t>
      </w:r>
      <w:r>
        <w:rPr/>
        <w:t>L-carnitine</w:t>
      </w:r>
      <w:r>
        <w:rPr>
          <w:spacing w:val="-19"/>
        </w:rPr>
        <w:t> </w:t>
      </w:r>
      <w:r>
        <w:rPr/>
        <w:t>in</w:t>
      </w:r>
      <w:r>
        <w:rPr>
          <w:spacing w:val="-20"/>
        </w:rPr>
        <w:t> </w:t>
      </w:r>
      <w:r>
        <w:rPr/>
        <w:t>her urine; furthermore, the foetus in the womb taps the L-carnitine reserves for itself. Once the breast milk is produced, L-carnitine is also withdrawn from</w:t>
      </w:r>
      <w:r>
        <w:rPr>
          <w:spacing w:val="-59"/>
        </w:rPr>
        <w:t> </w:t>
      </w:r>
      <w:r>
        <w:rPr/>
        <w:t>the woman’s body to enrich</w:t>
      </w:r>
      <w:r>
        <w:rPr>
          <w:spacing w:val="3"/>
        </w:rPr>
        <w:t> </w:t>
      </w:r>
      <w:r>
        <w:rPr/>
        <w:t>it.</w:t>
      </w:r>
    </w:p>
    <w:p>
      <w:pPr>
        <w:pStyle w:val="BodyText"/>
        <w:rPr>
          <w:sz w:val="20"/>
        </w:rPr>
      </w:pPr>
    </w:p>
    <w:p>
      <w:pPr>
        <w:pStyle w:val="BodyText"/>
        <w:rPr>
          <w:sz w:val="20"/>
        </w:rPr>
      </w:pPr>
    </w:p>
    <w:p>
      <w:pPr>
        <w:pStyle w:val="BodyText"/>
        <w:spacing w:before="2"/>
        <w:rPr>
          <w:sz w:val="11"/>
        </w:rPr>
      </w:pPr>
      <w:r>
        <w:rPr/>
        <w:pict>
          <v:line style="position:absolute;mso-position-horizontal-relative:page;mso-position-vertical-relative:paragraph;z-index:6080;mso-wrap-distance-left:0;mso-wrap-distance-right:0" from="63.863998pt,8.639985pt" to="207.883998pt,8.639985pt" stroked="true" strokeweight=".72003pt" strokecolor="#000000">
            <v:stroke dashstyle="solid"/>
            <w10:wrap type="topAndBottom"/>
          </v:line>
        </w:pict>
      </w:r>
    </w:p>
    <w:p>
      <w:pPr>
        <w:pStyle w:val="BodyText"/>
        <w:spacing w:before="7"/>
        <w:rPr>
          <w:sz w:val="18"/>
        </w:rPr>
      </w:pPr>
    </w:p>
    <w:p>
      <w:pPr>
        <w:spacing w:line="276" w:lineRule="auto" w:before="99"/>
        <w:ind w:left="477" w:right="0" w:firstLine="0"/>
        <w:jc w:val="left"/>
        <w:rPr>
          <w:sz w:val="20"/>
        </w:rPr>
      </w:pPr>
      <w:r>
        <w:rPr>
          <w:position w:val="5"/>
          <w:sz w:val="13"/>
        </w:rPr>
        <w:t>473 </w:t>
      </w:r>
      <w:r>
        <w:rPr>
          <w:sz w:val="20"/>
        </w:rPr>
        <w:t>Maria-Elisabeth Lange-Ernst: Einfach gesund bleiben – warum L-Carnitin für Frauen so wichtig ist (‘Just Stay Healthy - Why L-Carnitine is So Important for Women’), 2nd Edition, 2005, p. 47</w:t>
      </w:r>
    </w:p>
    <w:p>
      <w:pPr>
        <w:spacing w:after="0" w:line="276" w:lineRule="auto"/>
        <w:jc w:val="left"/>
        <w:rPr>
          <w:sz w:val="20"/>
        </w:rPr>
        <w:sectPr>
          <w:pgSz w:w="14270" w:h="16850"/>
          <w:pgMar w:header="0" w:footer="1891" w:top="1600" w:bottom="2080" w:left="800" w:right="1280"/>
        </w:sectPr>
      </w:pPr>
    </w:p>
    <w:p>
      <w:pPr>
        <w:pStyle w:val="BodyText"/>
        <w:spacing w:line="276" w:lineRule="auto" w:before="181"/>
        <w:ind w:left="477" w:right="131"/>
        <w:jc w:val="both"/>
      </w:pPr>
      <w:r>
        <w:rPr/>
        <w:t>All</w:t>
      </w:r>
      <w:r>
        <w:rPr>
          <w:spacing w:val="-13"/>
        </w:rPr>
        <w:t> </w:t>
      </w:r>
      <w:r>
        <w:rPr/>
        <w:t>this</w:t>
      </w:r>
      <w:r>
        <w:rPr>
          <w:spacing w:val="-10"/>
        </w:rPr>
        <w:t> </w:t>
      </w:r>
      <w:r>
        <w:rPr/>
        <w:t>leads</w:t>
      </w:r>
      <w:r>
        <w:rPr>
          <w:spacing w:val="-11"/>
        </w:rPr>
        <w:t> </w:t>
      </w:r>
      <w:r>
        <w:rPr/>
        <w:t>to</w:t>
      </w:r>
      <w:r>
        <w:rPr>
          <w:spacing w:val="-9"/>
        </w:rPr>
        <w:t> </w:t>
      </w:r>
      <w:r>
        <w:rPr/>
        <w:t>an</w:t>
      </w:r>
      <w:r>
        <w:rPr>
          <w:spacing w:val="-10"/>
        </w:rPr>
        <w:t> </w:t>
      </w:r>
      <w:r>
        <w:rPr/>
        <w:t>observable</w:t>
      </w:r>
      <w:r>
        <w:rPr>
          <w:spacing w:val="-12"/>
        </w:rPr>
        <w:t> </w:t>
      </w:r>
      <w:r>
        <w:rPr/>
        <w:t>L-carnitine</w:t>
      </w:r>
      <w:r>
        <w:rPr>
          <w:spacing w:val="-10"/>
        </w:rPr>
        <w:t> </w:t>
      </w:r>
      <w:r>
        <w:rPr/>
        <w:t>deficiency</w:t>
      </w:r>
      <w:r>
        <w:rPr>
          <w:spacing w:val="-10"/>
        </w:rPr>
        <w:t> </w:t>
      </w:r>
      <w:r>
        <w:rPr/>
        <w:t>in</w:t>
      </w:r>
      <w:r>
        <w:rPr>
          <w:spacing w:val="-12"/>
        </w:rPr>
        <w:t> </w:t>
      </w:r>
      <w:r>
        <w:rPr/>
        <w:t>pregnant</w:t>
      </w:r>
      <w:r>
        <w:rPr>
          <w:spacing w:val="-13"/>
        </w:rPr>
        <w:t> </w:t>
      </w:r>
      <w:r>
        <w:rPr/>
        <w:t>women</w:t>
      </w:r>
      <w:r>
        <w:rPr>
          <w:spacing w:val="-9"/>
        </w:rPr>
        <w:t> </w:t>
      </w:r>
      <w:r>
        <w:rPr/>
        <w:t>to</w:t>
      </w:r>
      <w:r>
        <w:rPr>
          <w:spacing w:val="-11"/>
        </w:rPr>
        <w:t> </w:t>
      </w:r>
      <w:r>
        <w:rPr/>
        <w:t>one third of the L-carnitine level before pregnancy, starting from the 12th week of pregnancy</w:t>
      </w:r>
      <w:r>
        <w:rPr>
          <w:spacing w:val="-13"/>
        </w:rPr>
        <w:t> </w:t>
      </w:r>
      <w:r>
        <w:rPr/>
        <w:t>–</w:t>
      </w:r>
      <w:r>
        <w:rPr>
          <w:spacing w:val="-17"/>
        </w:rPr>
        <w:t> </w:t>
      </w:r>
      <w:r>
        <w:rPr/>
        <w:t>a</w:t>
      </w:r>
      <w:r>
        <w:rPr>
          <w:spacing w:val="-15"/>
        </w:rPr>
        <w:t> </w:t>
      </w:r>
      <w:r>
        <w:rPr/>
        <w:t>lack</w:t>
      </w:r>
      <w:r>
        <w:rPr>
          <w:spacing w:val="-14"/>
        </w:rPr>
        <w:t> </w:t>
      </w:r>
      <w:r>
        <w:rPr/>
        <w:t>of</w:t>
      </w:r>
      <w:r>
        <w:rPr>
          <w:spacing w:val="-14"/>
        </w:rPr>
        <w:t> </w:t>
      </w:r>
      <w:r>
        <w:rPr/>
        <w:t>L-carnitine,</w:t>
      </w:r>
      <w:r>
        <w:rPr>
          <w:spacing w:val="-13"/>
        </w:rPr>
        <w:t> </w:t>
      </w:r>
      <w:r>
        <w:rPr/>
        <w:t>but</w:t>
      </w:r>
      <w:r>
        <w:rPr>
          <w:spacing w:val="-14"/>
        </w:rPr>
        <w:t> </w:t>
      </w:r>
      <w:r>
        <w:rPr/>
        <w:t>the</w:t>
      </w:r>
      <w:r>
        <w:rPr>
          <w:spacing w:val="-16"/>
        </w:rPr>
        <w:t> </w:t>
      </w:r>
      <w:r>
        <w:rPr/>
        <w:t>expectant</w:t>
      </w:r>
      <w:r>
        <w:rPr>
          <w:spacing w:val="-14"/>
        </w:rPr>
        <w:t> </w:t>
      </w:r>
      <w:r>
        <w:rPr/>
        <w:t>mother</w:t>
      </w:r>
      <w:r>
        <w:rPr>
          <w:spacing w:val="-15"/>
        </w:rPr>
        <w:t> </w:t>
      </w:r>
      <w:r>
        <w:rPr/>
        <w:t>should</w:t>
      </w:r>
      <w:r>
        <w:rPr>
          <w:spacing w:val="-15"/>
        </w:rPr>
        <w:t> </w:t>
      </w:r>
      <w:r>
        <w:rPr/>
        <w:t>consider</w:t>
      </w:r>
      <w:r>
        <w:rPr>
          <w:spacing w:val="-15"/>
        </w:rPr>
        <w:t> </w:t>
      </w:r>
      <w:r>
        <w:rPr/>
        <w:t>the following two reasons for the conscious additional intake of</w:t>
      </w:r>
      <w:r>
        <w:rPr>
          <w:spacing w:val="-11"/>
        </w:rPr>
        <w:t> </w:t>
      </w:r>
      <w:r>
        <w:rPr/>
        <w:t>L-carnitine:</w:t>
      </w:r>
    </w:p>
    <w:p>
      <w:pPr>
        <w:pStyle w:val="ListParagraph"/>
        <w:numPr>
          <w:ilvl w:val="0"/>
          <w:numId w:val="61"/>
        </w:numPr>
        <w:tabs>
          <w:tab w:pos="1198" w:val="left" w:leader="none"/>
        </w:tabs>
        <w:spacing w:line="273" w:lineRule="auto" w:before="243" w:after="0"/>
        <w:ind w:left="1197" w:right="133" w:hanging="360"/>
        <w:jc w:val="both"/>
        <w:rPr>
          <w:sz w:val="38"/>
        </w:rPr>
      </w:pPr>
      <w:r>
        <w:rPr>
          <w:sz w:val="38"/>
        </w:rPr>
        <w:t>to not experience L-carnitine deficiency (tiredness, weakness and prema- ture fatigue are often symptoms of</w:t>
      </w:r>
      <w:r>
        <w:rPr>
          <w:spacing w:val="1"/>
          <w:sz w:val="38"/>
        </w:rPr>
        <w:t> </w:t>
      </w:r>
      <w:r>
        <w:rPr>
          <w:sz w:val="38"/>
        </w:rPr>
        <w:t>this).</w:t>
      </w:r>
    </w:p>
    <w:p>
      <w:pPr>
        <w:pStyle w:val="ListParagraph"/>
        <w:numPr>
          <w:ilvl w:val="0"/>
          <w:numId w:val="61"/>
        </w:numPr>
        <w:tabs>
          <w:tab w:pos="1198" w:val="left" w:leader="none"/>
        </w:tabs>
        <w:spacing w:line="273" w:lineRule="auto" w:before="8" w:after="0"/>
        <w:ind w:left="1197" w:right="137" w:hanging="360"/>
        <w:jc w:val="both"/>
        <w:rPr>
          <w:sz w:val="38"/>
        </w:rPr>
      </w:pPr>
      <w:r>
        <w:rPr>
          <w:sz w:val="38"/>
        </w:rPr>
        <w:t>in order to provide the developing child with L-carnitine, which is so im- portant for its development, which is needed for growth, among other things.</w:t>
      </w:r>
    </w:p>
    <w:p>
      <w:pPr>
        <w:pStyle w:val="ListParagraph"/>
        <w:numPr>
          <w:ilvl w:val="0"/>
          <w:numId w:val="61"/>
        </w:numPr>
        <w:tabs>
          <w:tab w:pos="1198" w:val="left" w:leader="none"/>
        </w:tabs>
        <w:spacing w:line="273" w:lineRule="auto" w:before="129" w:after="0"/>
        <w:ind w:left="1197" w:right="143" w:hanging="360"/>
        <w:jc w:val="both"/>
        <w:rPr>
          <w:sz w:val="38"/>
        </w:rPr>
      </w:pPr>
      <w:r>
        <w:rPr>
          <w:sz w:val="38"/>
        </w:rPr>
        <w:t>L-carnitine is needed for normal development of the muscles, heart and lungs of the</w:t>
      </w:r>
      <w:r>
        <w:rPr>
          <w:spacing w:val="3"/>
          <w:sz w:val="38"/>
        </w:rPr>
        <w:t> </w:t>
      </w:r>
      <w:r>
        <w:rPr>
          <w:sz w:val="38"/>
        </w:rPr>
        <w:t>embryo.</w:t>
      </w:r>
    </w:p>
    <w:p>
      <w:pPr>
        <w:pStyle w:val="BodyText"/>
        <w:spacing w:line="276" w:lineRule="auto" w:before="248"/>
        <w:ind w:left="477" w:right="135"/>
        <w:jc w:val="both"/>
        <w:rPr>
          <w:sz w:val="25"/>
        </w:rPr>
      </w:pPr>
      <w:r>
        <w:rPr/>
        <w:t>By administering extra L-carnitine to pregnant women, Prof. Lohninger and Prof. Salzer in Vienna stimulated the lung development of the children, which resulted in a reduction of respiratory symptoms.</w:t>
      </w:r>
      <w:r>
        <w:rPr>
          <w:position w:val="9"/>
          <w:sz w:val="25"/>
        </w:rPr>
        <w:t>474 </w:t>
      </w:r>
      <w:r>
        <w:rPr/>
        <w:t>In summary, taking addi- tional L-carnitine during pregnancy is recommended for the following rea- sons:</w:t>
      </w:r>
      <w:r>
        <w:rPr>
          <w:position w:val="9"/>
          <w:sz w:val="25"/>
        </w:rPr>
        <w:t>475</w:t>
      </w:r>
    </w:p>
    <w:p>
      <w:pPr>
        <w:pStyle w:val="ListParagraph"/>
        <w:numPr>
          <w:ilvl w:val="0"/>
          <w:numId w:val="62"/>
        </w:numPr>
        <w:tabs>
          <w:tab w:pos="862" w:val="left" w:leader="none"/>
        </w:tabs>
        <w:spacing w:line="276" w:lineRule="auto" w:before="240" w:after="0"/>
        <w:ind w:left="477" w:right="134" w:firstLine="0"/>
        <w:jc w:val="both"/>
        <w:rPr>
          <w:sz w:val="38"/>
        </w:rPr>
      </w:pPr>
      <w:r>
        <w:rPr>
          <w:sz w:val="38"/>
        </w:rPr>
        <w:t>to meet the increased need for L-carnitine during pregnancy and to prevent L-carnitine deficiency in the blood and</w:t>
      </w:r>
      <w:r>
        <w:rPr>
          <w:spacing w:val="2"/>
          <w:sz w:val="38"/>
        </w:rPr>
        <w:t> </w:t>
      </w:r>
      <w:r>
        <w:rPr>
          <w:sz w:val="38"/>
        </w:rPr>
        <w:t>tissues.</w:t>
      </w:r>
    </w:p>
    <w:p>
      <w:pPr>
        <w:pStyle w:val="ListParagraph"/>
        <w:numPr>
          <w:ilvl w:val="0"/>
          <w:numId w:val="62"/>
        </w:numPr>
        <w:tabs>
          <w:tab w:pos="862" w:val="left" w:leader="none"/>
        </w:tabs>
        <w:spacing w:line="426" w:lineRule="exact" w:before="0" w:after="0"/>
        <w:ind w:left="477" w:right="0" w:firstLine="0"/>
        <w:jc w:val="both"/>
        <w:rPr>
          <w:sz w:val="38"/>
        </w:rPr>
      </w:pPr>
      <w:r>
        <w:rPr>
          <w:sz w:val="38"/>
        </w:rPr>
        <w:t>to support and increase the limited fat-burning capacity of the</w:t>
      </w:r>
      <w:r>
        <w:rPr>
          <w:spacing w:val="-5"/>
          <w:sz w:val="38"/>
        </w:rPr>
        <w:t> </w:t>
      </w:r>
      <w:r>
        <w:rPr>
          <w:sz w:val="38"/>
        </w:rPr>
        <w:t>mother.</w:t>
      </w:r>
    </w:p>
    <w:p>
      <w:pPr>
        <w:pStyle w:val="ListParagraph"/>
        <w:numPr>
          <w:ilvl w:val="0"/>
          <w:numId w:val="62"/>
        </w:numPr>
        <w:tabs>
          <w:tab w:pos="862" w:val="left" w:leader="none"/>
        </w:tabs>
        <w:spacing w:line="240" w:lineRule="auto" w:before="65" w:after="0"/>
        <w:ind w:left="477" w:right="0" w:firstLine="0"/>
        <w:jc w:val="both"/>
        <w:rPr>
          <w:sz w:val="38"/>
        </w:rPr>
      </w:pPr>
      <w:r>
        <w:rPr>
          <w:sz w:val="38"/>
        </w:rPr>
        <w:t>to</w:t>
      </w:r>
      <w:r>
        <w:rPr>
          <w:spacing w:val="46"/>
          <w:sz w:val="38"/>
        </w:rPr>
        <w:t> </w:t>
      </w:r>
      <w:r>
        <w:rPr>
          <w:sz w:val="38"/>
        </w:rPr>
        <w:t>reduce</w:t>
      </w:r>
      <w:r>
        <w:rPr>
          <w:spacing w:val="46"/>
          <w:sz w:val="38"/>
        </w:rPr>
        <w:t> </w:t>
      </w:r>
      <w:r>
        <w:rPr>
          <w:sz w:val="38"/>
        </w:rPr>
        <w:t>the</w:t>
      </w:r>
      <w:r>
        <w:rPr>
          <w:spacing w:val="47"/>
          <w:sz w:val="38"/>
        </w:rPr>
        <w:t> </w:t>
      </w:r>
      <w:r>
        <w:rPr>
          <w:sz w:val="38"/>
        </w:rPr>
        <w:t>increased</w:t>
      </w:r>
      <w:r>
        <w:rPr>
          <w:spacing w:val="47"/>
          <w:sz w:val="38"/>
        </w:rPr>
        <w:t> </w:t>
      </w:r>
      <w:r>
        <w:rPr>
          <w:sz w:val="38"/>
        </w:rPr>
        <w:t>free</w:t>
      </w:r>
      <w:r>
        <w:rPr>
          <w:spacing w:val="47"/>
          <w:sz w:val="38"/>
        </w:rPr>
        <w:t> </w:t>
      </w:r>
      <w:r>
        <w:rPr>
          <w:sz w:val="38"/>
        </w:rPr>
        <w:t>fatty</w:t>
      </w:r>
      <w:r>
        <w:rPr>
          <w:spacing w:val="46"/>
          <w:sz w:val="38"/>
        </w:rPr>
        <w:t> </w:t>
      </w:r>
      <w:r>
        <w:rPr>
          <w:sz w:val="38"/>
        </w:rPr>
        <w:t>acids</w:t>
      </w:r>
      <w:r>
        <w:rPr>
          <w:spacing w:val="46"/>
          <w:sz w:val="38"/>
        </w:rPr>
        <w:t> </w:t>
      </w:r>
      <w:r>
        <w:rPr>
          <w:sz w:val="38"/>
        </w:rPr>
        <w:t>in</w:t>
      </w:r>
      <w:r>
        <w:rPr>
          <w:spacing w:val="47"/>
          <w:sz w:val="38"/>
        </w:rPr>
        <w:t> </w:t>
      </w:r>
      <w:r>
        <w:rPr>
          <w:sz w:val="38"/>
        </w:rPr>
        <w:t>the</w:t>
      </w:r>
      <w:r>
        <w:rPr>
          <w:spacing w:val="46"/>
          <w:sz w:val="38"/>
        </w:rPr>
        <w:t> </w:t>
      </w:r>
      <w:r>
        <w:rPr>
          <w:sz w:val="38"/>
        </w:rPr>
        <w:t>blood</w:t>
      </w:r>
      <w:r>
        <w:rPr>
          <w:spacing w:val="47"/>
          <w:sz w:val="38"/>
        </w:rPr>
        <w:t> </w:t>
      </w:r>
      <w:r>
        <w:rPr>
          <w:sz w:val="38"/>
        </w:rPr>
        <w:t>of</w:t>
      </w:r>
      <w:r>
        <w:rPr>
          <w:spacing w:val="47"/>
          <w:sz w:val="38"/>
        </w:rPr>
        <w:t> </w:t>
      </w:r>
      <w:r>
        <w:rPr>
          <w:sz w:val="38"/>
        </w:rPr>
        <w:t>pregnant</w:t>
      </w:r>
      <w:r>
        <w:rPr>
          <w:spacing w:val="46"/>
          <w:sz w:val="38"/>
        </w:rPr>
        <w:t> </w:t>
      </w:r>
      <w:r>
        <w:rPr>
          <w:sz w:val="38"/>
        </w:rPr>
        <w:t>women,</w:t>
      </w:r>
    </w:p>
    <w:p>
      <w:pPr>
        <w:pStyle w:val="BodyText"/>
        <w:rPr>
          <w:sz w:val="20"/>
        </w:rPr>
      </w:pPr>
    </w:p>
    <w:p>
      <w:pPr>
        <w:pStyle w:val="BodyText"/>
        <w:rPr>
          <w:sz w:val="20"/>
        </w:rPr>
      </w:pPr>
    </w:p>
    <w:p>
      <w:pPr>
        <w:pStyle w:val="BodyText"/>
        <w:spacing w:before="6"/>
        <w:rPr>
          <w:sz w:val="17"/>
        </w:rPr>
      </w:pPr>
      <w:r>
        <w:rPr/>
        <w:pict>
          <v:line style="position:absolute;mso-position-horizontal-relative:page;mso-position-vertical-relative:paragraph;z-index:6104;mso-wrap-distance-left:0;mso-wrap-distance-right:0" from="63.863998pt,12.256249pt" to="207.883998pt,12.256249pt" stroked="true" strokeweight=".71997pt" strokecolor="#000000">
            <v:stroke dashstyle="solid"/>
            <w10:wrap type="topAndBottom"/>
          </v:line>
        </w:pict>
      </w:r>
    </w:p>
    <w:p>
      <w:pPr>
        <w:pStyle w:val="BodyText"/>
        <w:spacing w:before="7"/>
        <w:rPr>
          <w:sz w:val="18"/>
        </w:rPr>
      </w:pPr>
    </w:p>
    <w:p>
      <w:pPr>
        <w:spacing w:line="276" w:lineRule="auto" w:before="99"/>
        <w:ind w:left="477" w:right="0" w:firstLine="0"/>
        <w:jc w:val="left"/>
        <w:rPr>
          <w:sz w:val="20"/>
        </w:rPr>
      </w:pPr>
      <w:r>
        <w:rPr>
          <w:position w:val="5"/>
          <w:sz w:val="13"/>
        </w:rPr>
        <w:t>474 </w:t>
      </w:r>
      <w:r>
        <w:rPr>
          <w:sz w:val="20"/>
        </w:rPr>
        <w:t>Maria-Elisabeth Lange-Ernst: Einfach gesund bleiben – warum L-Carnitin für Frauen so wichtig ist (‘Just Stay Healthy - Why L-Carnitine is So Important for Women’), 2nd Edition, 2005, p. 50</w:t>
      </w:r>
    </w:p>
    <w:p>
      <w:pPr>
        <w:spacing w:line="276" w:lineRule="auto" w:before="61"/>
        <w:ind w:left="477" w:right="0" w:firstLine="0"/>
        <w:jc w:val="left"/>
        <w:rPr>
          <w:sz w:val="20"/>
        </w:rPr>
      </w:pPr>
      <w:r>
        <w:rPr>
          <w:position w:val="5"/>
          <w:sz w:val="13"/>
        </w:rPr>
        <w:t>475 </w:t>
      </w:r>
      <w:r>
        <w:rPr>
          <w:sz w:val="20"/>
        </w:rPr>
        <w:t>Maria-Elisabeth Lange-Ernst: Einfach gesund bleiben – warum L-Carnitin für Frauen so wichtig ist (‘Just Stay Healthy - Why L-Carnitine is So Important for Women’), 2nd Edition, 2005, p. 54 f.</w:t>
      </w:r>
    </w:p>
    <w:p>
      <w:pPr>
        <w:spacing w:after="0" w:line="276" w:lineRule="auto"/>
        <w:jc w:val="left"/>
        <w:rPr>
          <w:sz w:val="20"/>
        </w:rPr>
        <w:sectPr>
          <w:footerReference w:type="default" r:id="rId210"/>
          <w:pgSz w:w="14270" w:h="16850"/>
          <w:pgMar w:footer="1984" w:header="0" w:top="1600" w:bottom="2180" w:left="800" w:right="1280"/>
          <w:pgNumType w:start="898"/>
        </w:sectPr>
      </w:pPr>
    </w:p>
    <w:p>
      <w:pPr>
        <w:pStyle w:val="BodyText"/>
        <w:spacing w:line="276" w:lineRule="auto" w:before="181"/>
        <w:ind w:left="477" w:right="143"/>
        <w:jc w:val="both"/>
      </w:pPr>
      <w:r>
        <w:rPr/>
        <w:t>thereby counteracting the risk of metabolic imbalance and the development of gestational diabetes.</w:t>
      </w:r>
    </w:p>
    <w:p>
      <w:pPr>
        <w:pStyle w:val="ListParagraph"/>
        <w:numPr>
          <w:ilvl w:val="0"/>
          <w:numId w:val="62"/>
        </w:numPr>
        <w:tabs>
          <w:tab w:pos="862" w:val="left" w:leader="none"/>
        </w:tabs>
        <w:spacing w:line="276" w:lineRule="auto" w:before="1" w:after="0"/>
        <w:ind w:left="477" w:right="138" w:firstLine="0"/>
        <w:jc w:val="both"/>
        <w:rPr>
          <w:sz w:val="38"/>
        </w:rPr>
      </w:pPr>
      <w:r>
        <w:rPr>
          <w:sz w:val="38"/>
        </w:rPr>
        <w:t>to</w:t>
      </w:r>
      <w:r>
        <w:rPr>
          <w:spacing w:val="-21"/>
          <w:sz w:val="38"/>
        </w:rPr>
        <w:t> </w:t>
      </w:r>
      <w:r>
        <w:rPr>
          <w:sz w:val="38"/>
        </w:rPr>
        <w:t>bolster</w:t>
      </w:r>
      <w:r>
        <w:rPr>
          <w:spacing w:val="-20"/>
          <w:sz w:val="38"/>
        </w:rPr>
        <w:t> </w:t>
      </w:r>
      <w:r>
        <w:rPr>
          <w:sz w:val="38"/>
        </w:rPr>
        <w:t>the</w:t>
      </w:r>
      <w:r>
        <w:rPr>
          <w:spacing w:val="-23"/>
          <w:sz w:val="38"/>
        </w:rPr>
        <w:t> </w:t>
      </w:r>
      <w:r>
        <w:rPr>
          <w:sz w:val="38"/>
        </w:rPr>
        <w:t>maturation</w:t>
      </w:r>
      <w:r>
        <w:rPr>
          <w:spacing w:val="-20"/>
          <w:sz w:val="38"/>
        </w:rPr>
        <w:t> </w:t>
      </w:r>
      <w:r>
        <w:rPr>
          <w:sz w:val="38"/>
        </w:rPr>
        <w:t>of</w:t>
      </w:r>
      <w:r>
        <w:rPr>
          <w:spacing w:val="-21"/>
          <w:sz w:val="38"/>
        </w:rPr>
        <w:t> </w:t>
      </w:r>
      <w:r>
        <w:rPr>
          <w:sz w:val="38"/>
        </w:rPr>
        <w:t>the</w:t>
      </w:r>
      <w:r>
        <w:rPr>
          <w:spacing w:val="-25"/>
          <w:sz w:val="38"/>
        </w:rPr>
        <w:t> </w:t>
      </w:r>
      <w:r>
        <w:rPr>
          <w:sz w:val="38"/>
        </w:rPr>
        <w:t>child,</w:t>
      </w:r>
      <w:r>
        <w:rPr>
          <w:spacing w:val="-22"/>
          <w:sz w:val="38"/>
        </w:rPr>
        <w:t> </w:t>
      </w:r>
      <w:r>
        <w:rPr>
          <w:sz w:val="38"/>
        </w:rPr>
        <w:t>especially</w:t>
      </w:r>
      <w:r>
        <w:rPr>
          <w:spacing w:val="-22"/>
          <w:sz w:val="38"/>
        </w:rPr>
        <w:t> </w:t>
      </w:r>
      <w:r>
        <w:rPr>
          <w:sz w:val="38"/>
        </w:rPr>
        <w:t>the</w:t>
      </w:r>
      <w:r>
        <w:rPr>
          <w:spacing w:val="-21"/>
          <w:sz w:val="38"/>
        </w:rPr>
        <w:t> </w:t>
      </w:r>
      <w:r>
        <w:rPr>
          <w:sz w:val="38"/>
        </w:rPr>
        <w:t>development</w:t>
      </w:r>
      <w:r>
        <w:rPr>
          <w:spacing w:val="-27"/>
          <w:sz w:val="38"/>
        </w:rPr>
        <w:t> </w:t>
      </w:r>
      <w:r>
        <w:rPr>
          <w:sz w:val="38"/>
        </w:rPr>
        <w:t>of</w:t>
      </w:r>
      <w:r>
        <w:rPr>
          <w:spacing w:val="-21"/>
          <w:sz w:val="38"/>
        </w:rPr>
        <w:t> </w:t>
      </w:r>
      <w:r>
        <w:rPr>
          <w:sz w:val="38"/>
        </w:rPr>
        <w:t>the</w:t>
      </w:r>
      <w:r>
        <w:rPr>
          <w:spacing w:val="-23"/>
          <w:sz w:val="38"/>
        </w:rPr>
        <w:t> </w:t>
      </w:r>
      <w:r>
        <w:rPr>
          <w:sz w:val="38"/>
        </w:rPr>
        <w:t>lungs and respiratory</w:t>
      </w:r>
      <w:r>
        <w:rPr>
          <w:spacing w:val="1"/>
          <w:sz w:val="38"/>
        </w:rPr>
        <w:t> </w:t>
      </w:r>
      <w:r>
        <w:rPr>
          <w:sz w:val="38"/>
        </w:rPr>
        <w:t>function.</w:t>
      </w:r>
    </w:p>
    <w:p>
      <w:pPr>
        <w:pStyle w:val="ListParagraph"/>
        <w:numPr>
          <w:ilvl w:val="0"/>
          <w:numId w:val="62"/>
        </w:numPr>
        <w:tabs>
          <w:tab w:pos="862" w:val="left" w:leader="none"/>
        </w:tabs>
        <w:spacing w:line="276" w:lineRule="auto" w:before="1" w:after="0"/>
        <w:ind w:left="477" w:right="136" w:firstLine="0"/>
        <w:jc w:val="both"/>
        <w:rPr>
          <w:sz w:val="38"/>
        </w:rPr>
      </w:pPr>
      <w:r>
        <w:rPr>
          <w:sz w:val="38"/>
        </w:rPr>
        <w:t>to</w:t>
      </w:r>
      <w:r>
        <w:rPr>
          <w:spacing w:val="-21"/>
          <w:sz w:val="38"/>
        </w:rPr>
        <w:t> </w:t>
      </w:r>
      <w:r>
        <w:rPr>
          <w:sz w:val="38"/>
        </w:rPr>
        <w:t>increase</w:t>
      </w:r>
      <w:r>
        <w:rPr>
          <w:spacing w:val="-23"/>
          <w:sz w:val="38"/>
        </w:rPr>
        <w:t> </w:t>
      </w:r>
      <w:r>
        <w:rPr>
          <w:sz w:val="38"/>
        </w:rPr>
        <w:t>the</w:t>
      </w:r>
      <w:r>
        <w:rPr>
          <w:spacing w:val="-22"/>
          <w:sz w:val="38"/>
        </w:rPr>
        <w:t> </w:t>
      </w:r>
      <w:r>
        <w:rPr>
          <w:sz w:val="38"/>
        </w:rPr>
        <w:t>level</w:t>
      </w:r>
      <w:r>
        <w:rPr>
          <w:spacing w:val="-22"/>
          <w:sz w:val="38"/>
        </w:rPr>
        <w:t> </w:t>
      </w:r>
      <w:r>
        <w:rPr>
          <w:sz w:val="38"/>
        </w:rPr>
        <w:t>of</w:t>
      </w:r>
      <w:r>
        <w:rPr>
          <w:spacing w:val="-21"/>
          <w:sz w:val="38"/>
        </w:rPr>
        <w:t> </w:t>
      </w:r>
      <w:r>
        <w:rPr>
          <w:sz w:val="38"/>
        </w:rPr>
        <w:t>L-carnitine</w:t>
      </w:r>
      <w:r>
        <w:rPr>
          <w:spacing w:val="-20"/>
          <w:sz w:val="38"/>
        </w:rPr>
        <w:t> </w:t>
      </w:r>
      <w:r>
        <w:rPr>
          <w:sz w:val="38"/>
        </w:rPr>
        <w:t>in</w:t>
      </w:r>
      <w:r>
        <w:rPr>
          <w:spacing w:val="-23"/>
          <w:sz w:val="38"/>
        </w:rPr>
        <w:t> </w:t>
      </w:r>
      <w:r>
        <w:rPr>
          <w:sz w:val="38"/>
        </w:rPr>
        <w:t>the</w:t>
      </w:r>
      <w:r>
        <w:rPr>
          <w:spacing w:val="-20"/>
          <w:sz w:val="38"/>
        </w:rPr>
        <w:t> </w:t>
      </w:r>
      <w:r>
        <w:rPr>
          <w:sz w:val="38"/>
        </w:rPr>
        <w:t>tissues</w:t>
      </w:r>
      <w:r>
        <w:rPr>
          <w:spacing w:val="-24"/>
          <w:sz w:val="38"/>
        </w:rPr>
        <w:t> </w:t>
      </w:r>
      <w:r>
        <w:rPr>
          <w:sz w:val="38"/>
        </w:rPr>
        <w:t>of</w:t>
      </w:r>
      <w:r>
        <w:rPr>
          <w:spacing w:val="-21"/>
          <w:sz w:val="38"/>
        </w:rPr>
        <w:t> </w:t>
      </w:r>
      <w:r>
        <w:rPr>
          <w:sz w:val="38"/>
        </w:rPr>
        <w:t>the</w:t>
      </w:r>
      <w:r>
        <w:rPr>
          <w:spacing w:val="-23"/>
          <w:sz w:val="38"/>
        </w:rPr>
        <w:t> </w:t>
      </w:r>
      <w:r>
        <w:rPr>
          <w:sz w:val="38"/>
        </w:rPr>
        <w:t>child</w:t>
      </w:r>
      <w:r>
        <w:rPr>
          <w:spacing w:val="-22"/>
          <w:sz w:val="38"/>
        </w:rPr>
        <w:t> </w:t>
      </w:r>
      <w:r>
        <w:rPr>
          <w:sz w:val="38"/>
        </w:rPr>
        <w:t>and</w:t>
      </w:r>
      <w:r>
        <w:rPr>
          <w:spacing w:val="-21"/>
          <w:sz w:val="38"/>
        </w:rPr>
        <w:t> </w:t>
      </w:r>
      <w:r>
        <w:rPr>
          <w:sz w:val="38"/>
        </w:rPr>
        <w:t>thus</w:t>
      </w:r>
      <w:r>
        <w:rPr>
          <w:spacing w:val="-21"/>
          <w:sz w:val="38"/>
        </w:rPr>
        <w:t> </w:t>
      </w:r>
      <w:r>
        <w:rPr>
          <w:sz w:val="38"/>
        </w:rPr>
        <w:t>facilitate the energy production from fat after</w:t>
      </w:r>
      <w:r>
        <w:rPr>
          <w:spacing w:val="-1"/>
          <w:sz w:val="38"/>
        </w:rPr>
        <w:t> </w:t>
      </w:r>
      <w:r>
        <w:rPr>
          <w:sz w:val="38"/>
        </w:rPr>
        <w:t>birth.</w:t>
      </w:r>
    </w:p>
    <w:p>
      <w:pPr>
        <w:pStyle w:val="ListParagraph"/>
        <w:numPr>
          <w:ilvl w:val="0"/>
          <w:numId w:val="62"/>
        </w:numPr>
        <w:tabs>
          <w:tab w:pos="862" w:val="left" w:leader="none"/>
        </w:tabs>
        <w:spacing w:line="276" w:lineRule="auto" w:before="0" w:after="0"/>
        <w:ind w:left="477" w:right="138" w:firstLine="0"/>
        <w:jc w:val="both"/>
        <w:rPr>
          <w:sz w:val="38"/>
        </w:rPr>
      </w:pPr>
      <w:r>
        <w:rPr>
          <w:sz w:val="38"/>
        </w:rPr>
        <w:t>to support the development of the muscle mass of the child and thus pro- mote the viability of the</w:t>
      </w:r>
      <w:r>
        <w:rPr>
          <w:spacing w:val="3"/>
          <w:sz w:val="38"/>
        </w:rPr>
        <w:t> </w:t>
      </w:r>
      <w:r>
        <w:rPr>
          <w:sz w:val="38"/>
        </w:rPr>
        <w:t>child.</w:t>
      </w:r>
    </w:p>
    <w:p>
      <w:pPr>
        <w:pStyle w:val="ListParagraph"/>
        <w:numPr>
          <w:ilvl w:val="0"/>
          <w:numId w:val="62"/>
        </w:numPr>
        <w:tabs>
          <w:tab w:pos="958" w:val="left" w:leader="none"/>
        </w:tabs>
        <w:spacing w:line="276" w:lineRule="auto" w:before="0" w:after="0"/>
        <w:ind w:left="477" w:right="140" w:firstLine="0"/>
        <w:jc w:val="both"/>
        <w:rPr>
          <w:sz w:val="38"/>
        </w:rPr>
      </w:pPr>
      <w:r>
        <w:rPr>
          <w:sz w:val="38"/>
        </w:rPr>
        <w:t>to</w:t>
      </w:r>
      <w:r>
        <w:rPr>
          <w:spacing w:val="-18"/>
          <w:sz w:val="38"/>
        </w:rPr>
        <w:t> </w:t>
      </w:r>
      <w:r>
        <w:rPr>
          <w:sz w:val="38"/>
        </w:rPr>
        <w:t>facilitate</w:t>
      </w:r>
      <w:r>
        <w:rPr>
          <w:spacing w:val="-20"/>
          <w:sz w:val="38"/>
        </w:rPr>
        <w:t> </w:t>
      </w:r>
      <w:r>
        <w:rPr>
          <w:sz w:val="38"/>
        </w:rPr>
        <w:t>the</w:t>
      </w:r>
      <w:r>
        <w:rPr>
          <w:spacing w:val="-16"/>
          <w:sz w:val="38"/>
        </w:rPr>
        <w:t> </w:t>
      </w:r>
      <w:r>
        <w:rPr>
          <w:sz w:val="38"/>
        </w:rPr>
        <w:t>conversion</w:t>
      </w:r>
      <w:r>
        <w:rPr>
          <w:spacing w:val="-17"/>
          <w:sz w:val="38"/>
        </w:rPr>
        <w:t> </w:t>
      </w:r>
      <w:r>
        <w:rPr>
          <w:sz w:val="38"/>
        </w:rPr>
        <w:t>of</w:t>
      </w:r>
      <w:r>
        <w:rPr>
          <w:spacing w:val="-17"/>
          <w:sz w:val="38"/>
        </w:rPr>
        <w:t> </w:t>
      </w:r>
      <w:r>
        <w:rPr>
          <w:sz w:val="38"/>
        </w:rPr>
        <w:t>energy</w:t>
      </w:r>
      <w:r>
        <w:rPr>
          <w:spacing w:val="-17"/>
          <w:sz w:val="38"/>
        </w:rPr>
        <w:t> </w:t>
      </w:r>
      <w:r>
        <w:rPr>
          <w:sz w:val="38"/>
        </w:rPr>
        <w:t>production</w:t>
      </w:r>
      <w:r>
        <w:rPr>
          <w:spacing w:val="-19"/>
          <w:sz w:val="38"/>
        </w:rPr>
        <w:t> </w:t>
      </w:r>
      <w:r>
        <w:rPr>
          <w:sz w:val="38"/>
        </w:rPr>
        <w:t>after</w:t>
      </w:r>
      <w:r>
        <w:rPr>
          <w:spacing w:val="-19"/>
          <w:sz w:val="38"/>
        </w:rPr>
        <w:t> </w:t>
      </w:r>
      <w:r>
        <w:rPr>
          <w:sz w:val="38"/>
        </w:rPr>
        <w:t>childbirth</w:t>
      </w:r>
      <w:r>
        <w:rPr>
          <w:spacing w:val="-17"/>
          <w:sz w:val="38"/>
        </w:rPr>
        <w:t> </w:t>
      </w:r>
      <w:r>
        <w:rPr>
          <w:sz w:val="38"/>
        </w:rPr>
        <w:t>and</w:t>
      </w:r>
      <w:r>
        <w:rPr>
          <w:spacing w:val="-17"/>
          <w:sz w:val="38"/>
        </w:rPr>
        <w:t> </w:t>
      </w:r>
      <w:r>
        <w:rPr>
          <w:sz w:val="38"/>
        </w:rPr>
        <w:t>thereby reduce weight loss in premature babies.</w:t>
      </w:r>
    </w:p>
    <w:p>
      <w:pPr>
        <w:spacing w:line="276" w:lineRule="auto" w:before="240"/>
        <w:ind w:left="477" w:right="131" w:firstLine="0"/>
        <w:jc w:val="both"/>
        <w:rPr>
          <w:sz w:val="25"/>
        </w:rPr>
      </w:pPr>
      <w:r>
        <w:rPr>
          <w:sz w:val="38"/>
        </w:rPr>
        <w:t>To compensate for L-carnitine deficiency during pregnancy, there are some studies</w:t>
      </w:r>
      <w:r>
        <w:rPr>
          <w:spacing w:val="-17"/>
          <w:sz w:val="38"/>
        </w:rPr>
        <w:t> </w:t>
      </w:r>
      <w:r>
        <w:rPr>
          <w:sz w:val="38"/>
        </w:rPr>
        <w:t>in</w:t>
      </w:r>
      <w:r>
        <w:rPr>
          <w:spacing w:val="-15"/>
          <w:sz w:val="38"/>
        </w:rPr>
        <w:t> </w:t>
      </w:r>
      <w:r>
        <w:rPr>
          <w:sz w:val="38"/>
        </w:rPr>
        <w:t>which</w:t>
      </w:r>
      <w:r>
        <w:rPr>
          <w:spacing w:val="-17"/>
          <w:sz w:val="38"/>
        </w:rPr>
        <w:t> </w:t>
      </w:r>
      <w:r>
        <w:rPr>
          <w:sz w:val="38"/>
        </w:rPr>
        <w:t>expectant</w:t>
      </w:r>
      <w:r>
        <w:rPr>
          <w:spacing w:val="-16"/>
          <w:sz w:val="38"/>
        </w:rPr>
        <w:t> </w:t>
      </w:r>
      <w:r>
        <w:rPr>
          <w:sz w:val="38"/>
        </w:rPr>
        <w:t>mothers</w:t>
      </w:r>
      <w:r>
        <w:rPr>
          <w:spacing w:val="-16"/>
          <w:sz w:val="38"/>
        </w:rPr>
        <w:t> </w:t>
      </w:r>
      <w:r>
        <w:rPr>
          <w:sz w:val="38"/>
        </w:rPr>
        <w:t>took</w:t>
      </w:r>
      <w:r>
        <w:rPr>
          <w:spacing w:val="-19"/>
          <w:sz w:val="38"/>
        </w:rPr>
        <w:t> </w:t>
      </w:r>
      <w:r>
        <w:rPr>
          <w:sz w:val="38"/>
        </w:rPr>
        <w:t>2-3</w:t>
      </w:r>
      <w:r>
        <w:rPr>
          <w:spacing w:val="-16"/>
          <w:sz w:val="38"/>
        </w:rPr>
        <w:t> </w:t>
      </w:r>
      <w:r>
        <w:rPr>
          <w:sz w:val="38"/>
        </w:rPr>
        <w:t>g</w:t>
      </w:r>
      <w:r>
        <w:rPr>
          <w:spacing w:val="-15"/>
          <w:sz w:val="38"/>
        </w:rPr>
        <w:t> </w:t>
      </w:r>
      <w:r>
        <w:rPr>
          <w:sz w:val="38"/>
        </w:rPr>
        <w:t>of</w:t>
      </w:r>
      <w:r>
        <w:rPr>
          <w:spacing w:val="-18"/>
          <w:sz w:val="38"/>
        </w:rPr>
        <w:t> </w:t>
      </w:r>
      <w:r>
        <w:rPr>
          <w:sz w:val="38"/>
        </w:rPr>
        <w:t>L-carnitine/day</w:t>
      </w:r>
      <w:r>
        <w:rPr>
          <w:spacing w:val="-14"/>
          <w:sz w:val="38"/>
        </w:rPr>
        <w:t> </w:t>
      </w:r>
      <w:r>
        <w:rPr>
          <w:sz w:val="38"/>
        </w:rPr>
        <w:t>from</w:t>
      </w:r>
      <w:r>
        <w:rPr>
          <w:spacing w:val="-16"/>
          <w:sz w:val="38"/>
        </w:rPr>
        <w:t> </w:t>
      </w:r>
      <w:r>
        <w:rPr>
          <w:sz w:val="38"/>
        </w:rPr>
        <w:t>the</w:t>
      </w:r>
      <w:r>
        <w:rPr>
          <w:spacing w:val="-14"/>
          <w:sz w:val="38"/>
        </w:rPr>
        <w:t> </w:t>
      </w:r>
      <w:r>
        <w:rPr>
          <w:sz w:val="38"/>
        </w:rPr>
        <w:t>12th or 20th week of pregnancy.</w:t>
      </w:r>
      <w:r>
        <w:rPr>
          <w:position w:val="9"/>
          <w:sz w:val="25"/>
        </w:rPr>
        <w:t>476 </w:t>
      </w:r>
      <w:r>
        <w:rPr>
          <w:sz w:val="38"/>
        </w:rPr>
        <w:t>If you are still unsure, the statement of the drug monograph for L-carnitine during pregnancy may provide certainty: ‘</w:t>
      </w:r>
      <w:r>
        <w:rPr>
          <w:i/>
          <w:sz w:val="38"/>
        </w:rPr>
        <w:t>Because L- </w:t>
      </w:r>
      <w:r>
        <w:rPr>
          <w:i/>
          <w:sz w:val="38"/>
        </w:rPr>
        <w:t>carnitine is a substance present in the body, there are no expected complications during preg- nancy’.</w:t>
      </w:r>
      <w:r>
        <w:rPr>
          <w:position w:val="9"/>
          <w:sz w:val="25"/>
        </w:rPr>
        <w:t>477</w:t>
      </w:r>
    </w:p>
    <w:p>
      <w:pPr>
        <w:pStyle w:val="Heading1"/>
        <w:spacing w:before="223"/>
      </w:pPr>
      <w:r>
        <w:rPr/>
        <w:t>Other nutrients that play a primary role during pregnancy:</w:t>
      </w:r>
    </w:p>
    <w:p>
      <w:pPr>
        <w:pStyle w:val="BodyText"/>
        <w:spacing w:line="276" w:lineRule="auto" w:before="300"/>
        <w:ind w:left="477" w:right="133"/>
        <w:jc w:val="both"/>
      </w:pPr>
      <w:r>
        <w:rPr/>
        <w:t>In addition to L-carnitine, the expecting mother should ensure that they have</w:t>
      </w:r>
      <w:r>
        <w:rPr>
          <w:spacing w:val="-54"/>
        </w:rPr>
        <w:t> </w:t>
      </w:r>
      <w:r>
        <w:rPr/>
        <w:t>a sufficient intake of the following nutrients:</w:t>
      </w:r>
    </w:p>
    <w:p>
      <w:pPr>
        <w:pStyle w:val="ListParagraph"/>
        <w:numPr>
          <w:ilvl w:val="0"/>
          <w:numId w:val="59"/>
        </w:numPr>
        <w:tabs>
          <w:tab w:pos="893" w:val="left" w:leader="none"/>
        </w:tabs>
        <w:spacing w:line="240" w:lineRule="auto" w:before="240" w:after="0"/>
        <w:ind w:left="892" w:right="0" w:hanging="415"/>
        <w:jc w:val="both"/>
        <w:rPr>
          <w:sz w:val="38"/>
        </w:rPr>
      </w:pPr>
      <w:r>
        <w:rPr>
          <w:sz w:val="38"/>
        </w:rPr>
        <w:t>vitamin</w:t>
      </w:r>
      <w:r>
        <w:rPr>
          <w:spacing w:val="-2"/>
          <w:sz w:val="38"/>
        </w:rPr>
        <w:t> </w:t>
      </w:r>
      <w:r>
        <w:rPr>
          <w:sz w:val="38"/>
        </w:rPr>
        <w:t>C</w:t>
      </w:r>
    </w:p>
    <w:p>
      <w:pPr>
        <w:pStyle w:val="BodyText"/>
        <w:spacing w:before="2"/>
        <w:rPr>
          <w:sz w:val="23"/>
        </w:rPr>
      </w:pPr>
      <w:r>
        <w:rPr/>
        <w:pict>
          <v:line style="position:absolute;mso-position-horizontal-relative:page;mso-position-vertical-relative:paragraph;z-index:6128;mso-wrap-distance-left:0;mso-wrap-distance-right:0" from="63.863998pt,15.418745pt" to="207.883998pt,15.418745pt" stroked="true" strokeweight=".71997pt" strokecolor="#000000">
            <v:stroke dashstyle="solid"/>
            <w10:wrap type="topAndBottom"/>
          </v:line>
        </w:pict>
      </w:r>
    </w:p>
    <w:p>
      <w:pPr>
        <w:pStyle w:val="BodyText"/>
        <w:spacing w:before="7"/>
        <w:rPr>
          <w:sz w:val="18"/>
        </w:rPr>
      </w:pPr>
    </w:p>
    <w:p>
      <w:pPr>
        <w:spacing w:line="276" w:lineRule="auto" w:before="99"/>
        <w:ind w:left="477" w:right="156" w:firstLine="0"/>
        <w:jc w:val="left"/>
        <w:rPr>
          <w:sz w:val="20"/>
        </w:rPr>
      </w:pPr>
      <w:r>
        <w:rPr>
          <w:position w:val="5"/>
          <w:sz w:val="13"/>
        </w:rPr>
        <w:t>476 </w:t>
      </w:r>
      <w:r>
        <w:rPr>
          <w:sz w:val="20"/>
        </w:rPr>
        <w:t>Prof. Dr. Peter Billigmann and Dr. Stefan Siebrecht: Physiologie des L-Carnitins und seine Bedeutung für Sportler (‘Physiology of L-Carnitine and Its Importance for Athletes’), 2004, p.</w:t>
      </w:r>
      <w:r>
        <w:rPr>
          <w:spacing w:val="-1"/>
          <w:sz w:val="20"/>
        </w:rPr>
        <w:t> </w:t>
      </w:r>
      <w:r>
        <w:rPr>
          <w:sz w:val="20"/>
        </w:rPr>
        <w:t>143</w:t>
      </w:r>
    </w:p>
    <w:p>
      <w:pPr>
        <w:spacing w:line="276" w:lineRule="auto" w:before="61"/>
        <w:ind w:left="477" w:right="156" w:firstLine="0"/>
        <w:jc w:val="left"/>
        <w:rPr>
          <w:sz w:val="20"/>
        </w:rPr>
      </w:pPr>
      <w:r>
        <w:rPr>
          <w:position w:val="5"/>
          <w:sz w:val="13"/>
        </w:rPr>
        <w:t>477 </w:t>
      </w:r>
      <w:r>
        <w:rPr>
          <w:sz w:val="20"/>
        </w:rPr>
        <w:t>Prof. Dr. Peter Billigmann and Dr. Stefan Siebrecht: Physiologie des L-Carnitins und seine Bedeutung für Sportler (‘Physiology of L-Carnitine and Its Importance for Athletes’), 2004, p.</w:t>
      </w:r>
      <w:r>
        <w:rPr>
          <w:spacing w:val="-1"/>
          <w:sz w:val="20"/>
        </w:rPr>
        <w:t> </w:t>
      </w:r>
      <w:r>
        <w:rPr>
          <w:sz w:val="20"/>
        </w:rPr>
        <w:t>143</w:t>
      </w:r>
    </w:p>
    <w:p>
      <w:pPr>
        <w:spacing w:after="0" w:line="276" w:lineRule="auto"/>
        <w:jc w:val="left"/>
        <w:rPr>
          <w:sz w:val="20"/>
        </w:rPr>
        <w:sectPr>
          <w:pgSz w:w="14270" w:h="16850"/>
          <w:pgMar w:header="0" w:footer="1984" w:top="1600" w:bottom="2500" w:left="800" w:right="1280"/>
        </w:sectPr>
      </w:pPr>
    </w:p>
    <w:p>
      <w:pPr>
        <w:pStyle w:val="BodyText"/>
        <w:spacing w:before="10"/>
        <w:rPr>
          <w:sz w:val="8"/>
        </w:rPr>
      </w:pPr>
    </w:p>
    <w:p>
      <w:pPr>
        <w:pStyle w:val="ListParagraph"/>
        <w:numPr>
          <w:ilvl w:val="0"/>
          <w:numId w:val="59"/>
        </w:numPr>
        <w:tabs>
          <w:tab w:pos="893" w:val="left" w:leader="none"/>
        </w:tabs>
        <w:spacing w:line="240" w:lineRule="auto" w:before="83" w:after="0"/>
        <w:ind w:left="892" w:right="0" w:hanging="415"/>
        <w:jc w:val="both"/>
        <w:rPr>
          <w:sz w:val="38"/>
        </w:rPr>
      </w:pPr>
      <w:r>
        <w:rPr>
          <w:sz w:val="38"/>
        </w:rPr>
        <w:t>vitamin</w:t>
      </w:r>
      <w:r>
        <w:rPr>
          <w:spacing w:val="-2"/>
          <w:sz w:val="38"/>
        </w:rPr>
        <w:t> </w:t>
      </w:r>
      <w:r>
        <w:rPr>
          <w:sz w:val="38"/>
        </w:rPr>
        <w:t>E</w:t>
      </w:r>
    </w:p>
    <w:p>
      <w:pPr>
        <w:pStyle w:val="ListParagraph"/>
        <w:numPr>
          <w:ilvl w:val="0"/>
          <w:numId w:val="59"/>
        </w:numPr>
        <w:tabs>
          <w:tab w:pos="893" w:val="left" w:leader="none"/>
        </w:tabs>
        <w:spacing w:line="240" w:lineRule="auto" w:before="64" w:after="0"/>
        <w:ind w:left="892" w:right="0" w:hanging="415"/>
        <w:jc w:val="both"/>
        <w:rPr>
          <w:sz w:val="38"/>
        </w:rPr>
      </w:pPr>
      <w:r>
        <w:rPr>
          <w:sz w:val="38"/>
        </w:rPr>
        <w:t>omega-3 fatty</w:t>
      </w:r>
      <w:r>
        <w:rPr>
          <w:spacing w:val="-1"/>
          <w:sz w:val="38"/>
        </w:rPr>
        <w:t> </w:t>
      </w:r>
      <w:r>
        <w:rPr>
          <w:sz w:val="38"/>
        </w:rPr>
        <w:t>acids</w:t>
      </w:r>
    </w:p>
    <w:p>
      <w:pPr>
        <w:pStyle w:val="ListParagraph"/>
        <w:numPr>
          <w:ilvl w:val="0"/>
          <w:numId w:val="59"/>
        </w:numPr>
        <w:tabs>
          <w:tab w:pos="891" w:val="left" w:leader="none"/>
        </w:tabs>
        <w:spacing w:line="240" w:lineRule="auto" w:before="66" w:after="0"/>
        <w:ind w:left="890" w:right="0" w:hanging="413"/>
        <w:jc w:val="both"/>
        <w:rPr>
          <w:sz w:val="38"/>
        </w:rPr>
      </w:pPr>
      <w:r>
        <w:rPr>
          <w:sz w:val="38"/>
        </w:rPr>
        <w:t>zinc</w:t>
      </w:r>
    </w:p>
    <w:p>
      <w:pPr>
        <w:pStyle w:val="ListParagraph"/>
        <w:numPr>
          <w:ilvl w:val="0"/>
          <w:numId w:val="59"/>
        </w:numPr>
        <w:tabs>
          <w:tab w:pos="893" w:val="left" w:leader="none"/>
        </w:tabs>
        <w:spacing w:line="240" w:lineRule="auto" w:before="63" w:after="0"/>
        <w:ind w:left="892" w:right="0" w:hanging="415"/>
        <w:jc w:val="both"/>
        <w:rPr>
          <w:sz w:val="38"/>
        </w:rPr>
      </w:pPr>
      <w:r>
        <w:rPr>
          <w:sz w:val="38"/>
        </w:rPr>
        <w:t>iron</w:t>
      </w:r>
    </w:p>
    <w:p>
      <w:pPr>
        <w:pStyle w:val="ListParagraph"/>
        <w:numPr>
          <w:ilvl w:val="0"/>
          <w:numId w:val="59"/>
        </w:numPr>
        <w:tabs>
          <w:tab w:pos="893" w:val="left" w:leader="none"/>
        </w:tabs>
        <w:spacing w:line="240" w:lineRule="auto" w:before="64" w:after="0"/>
        <w:ind w:left="892" w:right="0" w:hanging="415"/>
        <w:jc w:val="both"/>
        <w:rPr>
          <w:sz w:val="38"/>
        </w:rPr>
      </w:pPr>
      <w:r>
        <w:rPr>
          <w:sz w:val="38"/>
        </w:rPr>
        <w:t>magnesium</w:t>
      </w:r>
    </w:p>
    <w:p>
      <w:pPr>
        <w:pStyle w:val="ListParagraph"/>
        <w:numPr>
          <w:ilvl w:val="0"/>
          <w:numId w:val="59"/>
        </w:numPr>
        <w:tabs>
          <w:tab w:pos="893" w:val="left" w:leader="none"/>
        </w:tabs>
        <w:spacing w:line="240" w:lineRule="auto" w:before="63" w:after="0"/>
        <w:ind w:left="892" w:right="0" w:hanging="415"/>
        <w:jc w:val="both"/>
        <w:rPr>
          <w:sz w:val="38"/>
        </w:rPr>
      </w:pPr>
      <w:r>
        <w:rPr>
          <w:sz w:val="38"/>
        </w:rPr>
        <w:t>calcium</w:t>
      </w:r>
    </w:p>
    <w:p>
      <w:pPr>
        <w:pStyle w:val="ListParagraph"/>
        <w:numPr>
          <w:ilvl w:val="0"/>
          <w:numId w:val="59"/>
        </w:numPr>
        <w:tabs>
          <w:tab w:pos="893" w:val="left" w:leader="none"/>
        </w:tabs>
        <w:spacing w:line="240" w:lineRule="auto" w:before="65" w:after="0"/>
        <w:ind w:left="892" w:right="0" w:hanging="415"/>
        <w:jc w:val="both"/>
        <w:rPr>
          <w:sz w:val="38"/>
        </w:rPr>
      </w:pPr>
      <w:r>
        <w:rPr>
          <w:sz w:val="38"/>
        </w:rPr>
        <w:t>iodine</w:t>
      </w:r>
    </w:p>
    <w:p>
      <w:pPr>
        <w:pStyle w:val="ListParagraph"/>
        <w:numPr>
          <w:ilvl w:val="0"/>
          <w:numId w:val="59"/>
        </w:numPr>
        <w:tabs>
          <w:tab w:pos="893" w:val="left" w:leader="none"/>
        </w:tabs>
        <w:spacing w:line="240" w:lineRule="auto" w:before="66" w:after="0"/>
        <w:ind w:left="892" w:right="0" w:hanging="415"/>
        <w:jc w:val="both"/>
        <w:rPr>
          <w:sz w:val="38"/>
        </w:rPr>
      </w:pPr>
      <w:r>
        <w:rPr>
          <w:sz w:val="38"/>
        </w:rPr>
        <w:t>folic</w:t>
      </w:r>
      <w:r>
        <w:rPr>
          <w:spacing w:val="-1"/>
          <w:sz w:val="38"/>
        </w:rPr>
        <w:t> </w:t>
      </w:r>
      <w:r>
        <w:rPr>
          <w:sz w:val="38"/>
        </w:rPr>
        <w:t>acid</w:t>
      </w:r>
    </w:p>
    <w:p>
      <w:pPr>
        <w:pStyle w:val="Heading1"/>
        <w:spacing w:before="285"/>
        <w:jc w:val="both"/>
      </w:pPr>
      <w:r>
        <w:rPr/>
        <w:t>L-carnitine in sports</w:t>
      </w:r>
    </w:p>
    <w:p>
      <w:pPr>
        <w:pStyle w:val="BodyText"/>
        <w:spacing w:line="276" w:lineRule="auto" w:before="299"/>
        <w:ind w:left="477" w:right="139"/>
        <w:jc w:val="both"/>
      </w:pPr>
      <w:r>
        <w:rPr/>
        <w:t>Since the early 1980s, L-carnitine has been an integral part of nutritional sup- plements for elite, professional athletes. It caused a sensation in sports circles for the first time when it helped Italian endurance athletes to achieve unex- pected success at the 1980 Olympics in Moscow and again in 1982, when the Italian national football team, by its own admission, used it to become world champions.</w:t>
      </w:r>
    </w:p>
    <w:p>
      <w:pPr>
        <w:pStyle w:val="BodyText"/>
        <w:spacing w:line="276" w:lineRule="auto" w:before="240"/>
        <w:ind w:left="477" w:right="134"/>
        <w:jc w:val="both"/>
      </w:pPr>
      <w:r>
        <w:rPr/>
        <w:t>A</w:t>
      </w:r>
      <w:r>
        <w:rPr>
          <w:spacing w:val="-15"/>
        </w:rPr>
        <w:t> </w:t>
      </w:r>
      <w:r>
        <w:rPr/>
        <w:t>substance</w:t>
      </w:r>
      <w:r>
        <w:rPr>
          <w:spacing w:val="-13"/>
        </w:rPr>
        <w:t> </w:t>
      </w:r>
      <w:r>
        <w:rPr/>
        <w:t>such</w:t>
      </w:r>
      <w:r>
        <w:rPr>
          <w:spacing w:val="-13"/>
        </w:rPr>
        <w:t> </w:t>
      </w:r>
      <w:r>
        <w:rPr/>
        <w:t>as</w:t>
      </w:r>
      <w:r>
        <w:rPr>
          <w:spacing w:val="-15"/>
        </w:rPr>
        <w:t> </w:t>
      </w:r>
      <w:r>
        <w:rPr/>
        <w:t>L-carnitine,</w:t>
      </w:r>
      <w:r>
        <w:rPr>
          <w:spacing w:val="-13"/>
        </w:rPr>
        <w:t> </w:t>
      </w:r>
      <w:r>
        <w:rPr/>
        <w:t>which</w:t>
      </w:r>
      <w:r>
        <w:rPr>
          <w:spacing w:val="-13"/>
        </w:rPr>
        <w:t> </w:t>
      </w:r>
      <w:r>
        <w:rPr/>
        <w:t>optimally</w:t>
      </w:r>
      <w:r>
        <w:rPr>
          <w:spacing w:val="-13"/>
        </w:rPr>
        <w:t> </w:t>
      </w:r>
      <w:r>
        <w:rPr/>
        <w:t>transports</w:t>
      </w:r>
      <w:r>
        <w:rPr>
          <w:spacing w:val="-15"/>
        </w:rPr>
        <w:t> </w:t>
      </w:r>
      <w:r>
        <w:rPr/>
        <w:t>dietary</w:t>
      </w:r>
      <w:r>
        <w:rPr>
          <w:spacing w:val="-14"/>
        </w:rPr>
        <w:t> </w:t>
      </w:r>
      <w:r>
        <w:rPr/>
        <w:t>fats</w:t>
      </w:r>
      <w:r>
        <w:rPr>
          <w:spacing w:val="-14"/>
        </w:rPr>
        <w:t> </w:t>
      </w:r>
      <w:r>
        <w:rPr/>
        <w:t>into</w:t>
      </w:r>
      <w:r>
        <w:rPr>
          <w:spacing w:val="-15"/>
        </w:rPr>
        <w:t> </w:t>
      </w:r>
      <w:r>
        <w:rPr/>
        <w:t>the mitochondria</w:t>
      </w:r>
      <w:r>
        <w:rPr>
          <w:spacing w:val="-10"/>
        </w:rPr>
        <w:t> </w:t>
      </w:r>
      <w:r>
        <w:rPr/>
        <w:t>of</w:t>
      </w:r>
      <w:r>
        <w:rPr>
          <w:spacing w:val="-9"/>
        </w:rPr>
        <w:t> </w:t>
      </w:r>
      <w:r>
        <w:rPr/>
        <w:t>the</w:t>
      </w:r>
      <w:r>
        <w:rPr>
          <w:spacing w:val="-8"/>
        </w:rPr>
        <w:t> </w:t>
      </w:r>
      <w:r>
        <w:rPr/>
        <w:t>muscles</w:t>
      </w:r>
      <w:r>
        <w:rPr>
          <w:spacing w:val="-10"/>
        </w:rPr>
        <w:t> </w:t>
      </w:r>
      <w:r>
        <w:rPr/>
        <w:t>for</w:t>
      </w:r>
      <w:r>
        <w:rPr>
          <w:spacing w:val="-12"/>
        </w:rPr>
        <w:t> </w:t>
      </w:r>
      <w:r>
        <w:rPr/>
        <w:t>energy</w:t>
      </w:r>
      <w:r>
        <w:rPr>
          <w:spacing w:val="-9"/>
        </w:rPr>
        <w:t> </w:t>
      </w:r>
      <w:r>
        <w:rPr/>
        <w:t>utilisation</w:t>
      </w:r>
      <w:r>
        <w:rPr>
          <w:spacing w:val="-10"/>
        </w:rPr>
        <w:t> </w:t>
      </w:r>
      <w:r>
        <w:rPr/>
        <w:t>and,</w:t>
      </w:r>
      <w:r>
        <w:rPr>
          <w:spacing w:val="-9"/>
        </w:rPr>
        <w:t> </w:t>
      </w:r>
      <w:r>
        <w:rPr/>
        <w:t>as</w:t>
      </w:r>
      <w:r>
        <w:rPr>
          <w:spacing w:val="-12"/>
        </w:rPr>
        <w:t> </w:t>
      </w:r>
      <w:r>
        <w:rPr/>
        <w:t>a</w:t>
      </w:r>
      <w:r>
        <w:rPr>
          <w:spacing w:val="-10"/>
        </w:rPr>
        <w:t> </w:t>
      </w:r>
      <w:r>
        <w:rPr/>
        <w:t>side</w:t>
      </w:r>
      <w:r>
        <w:rPr>
          <w:spacing w:val="-10"/>
        </w:rPr>
        <w:t> </w:t>
      </w:r>
      <w:r>
        <w:rPr/>
        <w:t>effect,</w:t>
      </w:r>
      <w:r>
        <w:rPr>
          <w:spacing w:val="-8"/>
        </w:rPr>
        <w:t> </w:t>
      </w:r>
      <w:r>
        <w:rPr/>
        <w:t>protects the</w:t>
      </w:r>
      <w:r>
        <w:rPr>
          <w:spacing w:val="-9"/>
        </w:rPr>
        <w:t> </w:t>
      </w:r>
      <w:r>
        <w:rPr/>
        <w:t>glucose</w:t>
      </w:r>
      <w:r>
        <w:rPr>
          <w:spacing w:val="-10"/>
        </w:rPr>
        <w:t> </w:t>
      </w:r>
      <w:r>
        <w:rPr/>
        <w:t>storage,</w:t>
      </w:r>
      <w:r>
        <w:rPr>
          <w:spacing w:val="-8"/>
        </w:rPr>
        <w:t> </w:t>
      </w:r>
      <w:r>
        <w:rPr/>
        <w:t>is</w:t>
      </w:r>
      <w:r>
        <w:rPr>
          <w:spacing w:val="-10"/>
        </w:rPr>
        <w:t> </w:t>
      </w:r>
      <w:r>
        <w:rPr/>
        <w:t>virtually</w:t>
      </w:r>
      <w:r>
        <w:rPr>
          <w:spacing w:val="-10"/>
        </w:rPr>
        <w:t> </w:t>
      </w:r>
      <w:r>
        <w:rPr/>
        <w:t>predestined</w:t>
      </w:r>
      <w:r>
        <w:rPr>
          <w:spacing w:val="-10"/>
        </w:rPr>
        <w:t> </w:t>
      </w:r>
      <w:r>
        <w:rPr/>
        <w:t>to</w:t>
      </w:r>
      <w:r>
        <w:rPr>
          <w:spacing w:val="-10"/>
        </w:rPr>
        <w:t> </w:t>
      </w:r>
      <w:r>
        <w:rPr/>
        <w:t>significantly</w:t>
      </w:r>
      <w:r>
        <w:rPr>
          <w:spacing w:val="-9"/>
        </w:rPr>
        <w:t> </w:t>
      </w:r>
      <w:r>
        <w:rPr/>
        <w:t>increase</w:t>
      </w:r>
      <w:r>
        <w:rPr>
          <w:spacing w:val="-8"/>
        </w:rPr>
        <w:t> </w:t>
      </w:r>
      <w:r>
        <w:rPr/>
        <w:t>athletic</w:t>
      </w:r>
      <w:r>
        <w:rPr>
          <w:spacing w:val="-10"/>
        </w:rPr>
        <w:t> </w:t>
      </w:r>
      <w:r>
        <w:rPr/>
        <w:t>per- formance.</w:t>
      </w:r>
    </w:p>
    <w:p>
      <w:pPr>
        <w:pStyle w:val="BodyText"/>
        <w:spacing w:line="276" w:lineRule="auto" w:before="240"/>
        <w:ind w:left="477"/>
      </w:pPr>
      <w:r>
        <w:rPr/>
        <w:t>Interestingly, L-carnitine not only enhances aerobic performance, but also</w:t>
      </w:r>
      <w:r>
        <w:rPr>
          <w:spacing w:val="-59"/>
        </w:rPr>
        <w:t> </w:t>
      </w:r>
      <w:r>
        <w:rPr/>
        <w:t>pro- tects against muscle injury during heavy (anaerobic) muscle exertion, prevents</w:t>
      </w:r>
    </w:p>
    <w:p>
      <w:pPr>
        <w:spacing w:after="0" w:line="276" w:lineRule="auto"/>
        <w:sectPr>
          <w:footerReference w:type="default" r:id="rId211"/>
          <w:pgSz w:w="14270" w:h="16850"/>
          <w:pgMar w:footer="404" w:header="0" w:top="1600" w:bottom="600" w:left="800" w:right="1280"/>
          <w:pgNumType w:start="900"/>
        </w:sectPr>
      </w:pPr>
    </w:p>
    <w:p>
      <w:pPr>
        <w:pStyle w:val="BodyText"/>
        <w:spacing w:line="276" w:lineRule="auto" w:before="181"/>
        <w:ind w:left="477"/>
      </w:pPr>
      <w:r>
        <w:rPr/>
        <w:t>muscle</w:t>
      </w:r>
      <w:r>
        <w:rPr>
          <w:spacing w:val="-15"/>
        </w:rPr>
        <w:t> </w:t>
      </w:r>
      <w:r>
        <w:rPr/>
        <w:t>soreness,</w:t>
      </w:r>
      <w:r>
        <w:rPr>
          <w:spacing w:val="-17"/>
        </w:rPr>
        <w:t> </w:t>
      </w:r>
      <w:r>
        <w:rPr/>
        <w:t>increases</w:t>
      </w:r>
      <w:r>
        <w:rPr>
          <w:spacing w:val="-14"/>
        </w:rPr>
        <w:t> </w:t>
      </w:r>
      <w:r>
        <w:rPr/>
        <w:t>anaerobic</w:t>
      </w:r>
      <w:r>
        <w:rPr>
          <w:spacing w:val="-16"/>
        </w:rPr>
        <w:t> </w:t>
      </w:r>
      <w:r>
        <w:rPr/>
        <w:t>performance,</w:t>
      </w:r>
      <w:r>
        <w:rPr>
          <w:spacing w:val="-13"/>
        </w:rPr>
        <w:t> </w:t>
      </w:r>
      <w:r>
        <w:rPr/>
        <w:t>and</w:t>
      </w:r>
      <w:r>
        <w:rPr>
          <w:spacing w:val="-15"/>
        </w:rPr>
        <w:t> </w:t>
      </w:r>
      <w:r>
        <w:rPr/>
        <w:t>helps</w:t>
      </w:r>
      <w:r>
        <w:rPr>
          <w:spacing w:val="-14"/>
        </w:rPr>
        <w:t> </w:t>
      </w:r>
      <w:r>
        <w:rPr/>
        <w:t>to</w:t>
      </w:r>
      <w:r>
        <w:rPr>
          <w:spacing w:val="-15"/>
        </w:rPr>
        <w:t> </w:t>
      </w:r>
      <w:r>
        <w:rPr/>
        <w:t>significantly</w:t>
      </w:r>
      <w:r>
        <w:rPr>
          <w:spacing w:val="-16"/>
        </w:rPr>
        <w:t> </w:t>
      </w:r>
      <w:r>
        <w:rPr/>
        <w:t>in- crease lean muscle mass</w:t>
      </w:r>
      <w:r>
        <w:rPr>
          <w:spacing w:val="2"/>
        </w:rPr>
        <w:t> </w:t>
      </w:r>
      <w:r>
        <w:rPr/>
        <w:t>gain.</w:t>
      </w:r>
    </w:p>
    <w:p>
      <w:pPr>
        <w:pStyle w:val="BodyText"/>
        <w:spacing w:before="241"/>
        <w:ind w:left="477"/>
      </w:pPr>
      <w:r>
        <w:rPr/>
        <w:t>The advantages of L-carnitine for athletes can be characterised as follows:</w:t>
      </w:r>
    </w:p>
    <w:p>
      <w:pPr>
        <w:pStyle w:val="ListParagraph"/>
        <w:numPr>
          <w:ilvl w:val="0"/>
          <w:numId w:val="63"/>
        </w:numPr>
        <w:tabs>
          <w:tab w:pos="1197" w:val="left" w:leader="none"/>
          <w:tab w:pos="1198" w:val="left" w:leader="none"/>
        </w:tabs>
        <w:spacing w:line="240" w:lineRule="auto" w:before="306" w:after="0"/>
        <w:ind w:left="1197" w:right="0" w:hanging="360"/>
        <w:jc w:val="left"/>
        <w:rPr>
          <w:sz w:val="38"/>
        </w:rPr>
      </w:pPr>
      <w:r>
        <w:rPr>
          <w:sz w:val="38"/>
        </w:rPr>
        <w:t>more efficient heart work, resulting in lower heart rate during</w:t>
      </w:r>
      <w:r>
        <w:rPr>
          <w:spacing w:val="-9"/>
          <w:sz w:val="38"/>
        </w:rPr>
        <w:t> </w:t>
      </w:r>
      <w:r>
        <w:rPr>
          <w:sz w:val="38"/>
        </w:rPr>
        <w:t>exercise;</w:t>
      </w:r>
    </w:p>
    <w:p>
      <w:pPr>
        <w:pStyle w:val="ListParagraph"/>
        <w:numPr>
          <w:ilvl w:val="0"/>
          <w:numId w:val="63"/>
        </w:numPr>
        <w:tabs>
          <w:tab w:pos="1197" w:val="left" w:leader="none"/>
          <w:tab w:pos="1198" w:val="left" w:leader="none"/>
        </w:tabs>
        <w:spacing w:line="273" w:lineRule="auto" w:before="64" w:after="0"/>
        <w:ind w:left="1197" w:right="139" w:hanging="360"/>
        <w:jc w:val="left"/>
        <w:rPr>
          <w:sz w:val="38"/>
        </w:rPr>
      </w:pPr>
      <w:r>
        <w:rPr>
          <w:sz w:val="38"/>
        </w:rPr>
        <w:t>increased circulation, increased supply of muscle and organs with oxygen; blood circulation to the legs can be increased by &lt;8</w:t>
      </w:r>
      <w:r>
        <w:rPr>
          <w:spacing w:val="-4"/>
          <w:sz w:val="38"/>
        </w:rPr>
        <w:t> </w:t>
      </w:r>
      <w:r>
        <w:rPr>
          <w:sz w:val="38"/>
        </w:rPr>
        <w:t>%;</w:t>
      </w:r>
    </w:p>
    <w:p>
      <w:pPr>
        <w:pStyle w:val="ListParagraph"/>
        <w:numPr>
          <w:ilvl w:val="0"/>
          <w:numId w:val="63"/>
        </w:numPr>
        <w:tabs>
          <w:tab w:pos="1197" w:val="left" w:leader="none"/>
          <w:tab w:pos="1198" w:val="left" w:leader="none"/>
        </w:tabs>
        <w:spacing w:line="240" w:lineRule="auto" w:before="8" w:after="0"/>
        <w:ind w:left="1197" w:right="0" w:hanging="360"/>
        <w:jc w:val="left"/>
        <w:rPr>
          <w:sz w:val="38"/>
        </w:rPr>
      </w:pPr>
      <w:r>
        <w:rPr>
          <w:sz w:val="38"/>
        </w:rPr>
        <w:t>increased respiratory</w:t>
      </w:r>
      <w:r>
        <w:rPr>
          <w:spacing w:val="1"/>
          <w:sz w:val="38"/>
        </w:rPr>
        <w:t> </w:t>
      </w:r>
      <w:r>
        <w:rPr>
          <w:sz w:val="38"/>
        </w:rPr>
        <w:t>rate;</w:t>
      </w:r>
    </w:p>
    <w:p>
      <w:pPr>
        <w:pStyle w:val="ListParagraph"/>
        <w:numPr>
          <w:ilvl w:val="0"/>
          <w:numId w:val="63"/>
        </w:numPr>
        <w:tabs>
          <w:tab w:pos="1197" w:val="left" w:leader="none"/>
          <w:tab w:pos="1198" w:val="left" w:leader="none"/>
        </w:tabs>
        <w:spacing w:line="240" w:lineRule="auto" w:before="63" w:after="0"/>
        <w:ind w:left="1197" w:right="0" w:hanging="360"/>
        <w:jc w:val="left"/>
        <w:rPr>
          <w:sz w:val="38"/>
        </w:rPr>
      </w:pPr>
      <w:r>
        <w:rPr>
          <w:sz w:val="38"/>
        </w:rPr>
        <w:t>the number of red blood cells is increased and their life is</w:t>
      </w:r>
      <w:r>
        <w:rPr>
          <w:spacing w:val="-11"/>
          <w:sz w:val="38"/>
        </w:rPr>
        <w:t> </w:t>
      </w:r>
      <w:r>
        <w:rPr>
          <w:sz w:val="38"/>
        </w:rPr>
        <w:t>extended;</w:t>
      </w:r>
    </w:p>
    <w:p>
      <w:pPr>
        <w:pStyle w:val="ListParagraph"/>
        <w:numPr>
          <w:ilvl w:val="0"/>
          <w:numId w:val="63"/>
        </w:numPr>
        <w:tabs>
          <w:tab w:pos="1197" w:val="left" w:leader="none"/>
          <w:tab w:pos="1198" w:val="left" w:leader="none"/>
        </w:tabs>
        <w:spacing w:line="240" w:lineRule="auto" w:before="64" w:after="0"/>
        <w:ind w:left="1197" w:right="0" w:hanging="360"/>
        <w:jc w:val="left"/>
        <w:rPr>
          <w:sz w:val="38"/>
        </w:rPr>
      </w:pPr>
      <w:r>
        <w:rPr>
          <w:sz w:val="38"/>
        </w:rPr>
        <w:t>the maximum oxygen uptake capacity (VO2max) is increased by 6-11</w:t>
      </w:r>
      <w:r>
        <w:rPr>
          <w:spacing w:val="-16"/>
          <w:sz w:val="38"/>
        </w:rPr>
        <w:t> </w:t>
      </w:r>
      <w:r>
        <w:rPr>
          <w:sz w:val="38"/>
        </w:rPr>
        <w:t>%;</w:t>
      </w:r>
    </w:p>
    <w:p>
      <w:pPr>
        <w:pStyle w:val="ListParagraph"/>
        <w:numPr>
          <w:ilvl w:val="0"/>
          <w:numId w:val="63"/>
        </w:numPr>
        <w:tabs>
          <w:tab w:pos="1197" w:val="left" w:leader="none"/>
          <w:tab w:pos="1198" w:val="left" w:leader="none"/>
        </w:tabs>
        <w:spacing w:line="273" w:lineRule="auto" w:before="66" w:after="0"/>
        <w:ind w:left="1197" w:right="140" w:hanging="360"/>
        <w:jc w:val="left"/>
        <w:rPr>
          <w:sz w:val="38"/>
        </w:rPr>
      </w:pPr>
      <w:r>
        <w:rPr>
          <w:sz w:val="38"/>
        </w:rPr>
        <w:t>reduction of left heart hypertrophy, which can lead to heart problems, es- pecially in anaerobic sports (‘compressed</w:t>
      </w:r>
      <w:r>
        <w:rPr>
          <w:spacing w:val="-1"/>
          <w:sz w:val="38"/>
        </w:rPr>
        <w:t> </w:t>
      </w:r>
      <w:r>
        <w:rPr>
          <w:sz w:val="38"/>
        </w:rPr>
        <w:t>breathing’);</w:t>
      </w:r>
    </w:p>
    <w:p>
      <w:pPr>
        <w:pStyle w:val="ListParagraph"/>
        <w:numPr>
          <w:ilvl w:val="0"/>
          <w:numId w:val="63"/>
        </w:numPr>
        <w:tabs>
          <w:tab w:pos="1197" w:val="left" w:leader="none"/>
          <w:tab w:pos="1198" w:val="left" w:leader="none"/>
        </w:tabs>
        <w:spacing w:line="240" w:lineRule="auto" w:before="7" w:after="0"/>
        <w:ind w:left="1197" w:right="0" w:hanging="360"/>
        <w:jc w:val="left"/>
        <w:rPr>
          <w:sz w:val="38"/>
        </w:rPr>
      </w:pPr>
      <w:r>
        <w:rPr>
          <w:sz w:val="38"/>
        </w:rPr>
        <w:t>reduction of lactate level (lactic acid</w:t>
      </w:r>
      <w:r>
        <w:rPr>
          <w:spacing w:val="-1"/>
          <w:sz w:val="38"/>
        </w:rPr>
        <w:t> </w:t>
      </w:r>
      <w:r>
        <w:rPr>
          <w:sz w:val="38"/>
        </w:rPr>
        <w:t>level);</w:t>
      </w:r>
    </w:p>
    <w:p>
      <w:pPr>
        <w:pStyle w:val="ListParagraph"/>
        <w:numPr>
          <w:ilvl w:val="0"/>
          <w:numId w:val="63"/>
        </w:numPr>
        <w:tabs>
          <w:tab w:pos="1197" w:val="left" w:leader="none"/>
          <w:tab w:pos="1198" w:val="left" w:leader="none"/>
        </w:tabs>
        <w:spacing w:line="240" w:lineRule="auto" w:before="64" w:after="0"/>
        <w:ind w:left="1197" w:right="0" w:hanging="360"/>
        <w:jc w:val="left"/>
        <w:rPr>
          <w:sz w:val="38"/>
        </w:rPr>
      </w:pPr>
      <w:r>
        <w:rPr>
          <w:sz w:val="38"/>
        </w:rPr>
        <w:t>reduction of cortisol</w:t>
      </w:r>
      <w:r>
        <w:rPr>
          <w:spacing w:val="2"/>
          <w:sz w:val="38"/>
        </w:rPr>
        <w:t> </w:t>
      </w:r>
      <w:r>
        <w:rPr>
          <w:sz w:val="38"/>
        </w:rPr>
        <w:t>level;</w:t>
      </w:r>
    </w:p>
    <w:p>
      <w:pPr>
        <w:pStyle w:val="ListParagraph"/>
        <w:numPr>
          <w:ilvl w:val="0"/>
          <w:numId w:val="63"/>
        </w:numPr>
        <w:tabs>
          <w:tab w:pos="1197" w:val="left" w:leader="none"/>
          <w:tab w:pos="1198" w:val="left" w:leader="none"/>
        </w:tabs>
        <w:spacing w:line="240" w:lineRule="auto" w:before="64" w:after="0"/>
        <w:ind w:left="1197" w:right="0" w:hanging="360"/>
        <w:jc w:val="left"/>
        <w:rPr>
          <w:sz w:val="38"/>
        </w:rPr>
      </w:pPr>
      <w:r>
        <w:rPr>
          <w:sz w:val="38"/>
        </w:rPr>
        <w:t>reduction of creatine</w:t>
      </w:r>
      <w:r>
        <w:rPr>
          <w:spacing w:val="1"/>
          <w:sz w:val="38"/>
        </w:rPr>
        <w:t> </w:t>
      </w:r>
      <w:r>
        <w:rPr>
          <w:sz w:val="38"/>
        </w:rPr>
        <w:t>phosphokinase;</w:t>
      </w:r>
    </w:p>
    <w:p>
      <w:pPr>
        <w:pStyle w:val="ListParagraph"/>
        <w:numPr>
          <w:ilvl w:val="0"/>
          <w:numId w:val="63"/>
        </w:numPr>
        <w:tabs>
          <w:tab w:pos="1197" w:val="left" w:leader="none"/>
          <w:tab w:pos="1198" w:val="left" w:leader="none"/>
        </w:tabs>
        <w:spacing w:line="240" w:lineRule="auto" w:before="63" w:after="0"/>
        <w:ind w:left="1197" w:right="0" w:hanging="360"/>
        <w:jc w:val="left"/>
        <w:rPr>
          <w:sz w:val="38"/>
        </w:rPr>
      </w:pPr>
      <w:r>
        <w:rPr>
          <w:sz w:val="38"/>
        </w:rPr>
        <w:t>increased fatty acid</w:t>
      </w:r>
      <w:r>
        <w:rPr>
          <w:spacing w:val="-2"/>
          <w:sz w:val="38"/>
        </w:rPr>
        <w:t> </w:t>
      </w:r>
      <w:r>
        <w:rPr>
          <w:sz w:val="38"/>
        </w:rPr>
        <w:t>oxidation;</w:t>
      </w:r>
    </w:p>
    <w:p>
      <w:pPr>
        <w:pStyle w:val="ListParagraph"/>
        <w:numPr>
          <w:ilvl w:val="0"/>
          <w:numId w:val="63"/>
        </w:numPr>
        <w:tabs>
          <w:tab w:pos="1197" w:val="left" w:leader="none"/>
          <w:tab w:pos="1198" w:val="left" w:leader="none"/>
        </w:tabs>
        <w:spacing w:line="240" w:lineRule="auto" w:before="64" w:after="0"/>
        <w:ind w:left="1197" w:right="0" w:hanging="360"/>
        <w:jc w:val="left"/>
        <w:rPr>
          <w:sz w:val="38"/>
        </w:rPr>
      </w:pPr>
      <w:r>
        <w:rPr>
          <w:sz w:val="38"/>
        </w:rPr>
        <w:t>increased glycogen</w:t>
      </w:r>
      <w:r>
        <w:rPr>
          <w:spacing w:val="1"/>
          <w:sz w:val="38"/>
        </w:rPr>
        <w:t> </w:t>
      </w:r>
      <w:r>
        <w:rPr>
          <w:sz w:val="38"/>
        </w:rPr>
        <w:t>storage;</w:t>
      </w:r>
    </w:p>
    <w:p>
      <w:pPr>
        <w:pStyle w:val="ListParagraph"/>
        <w:numPr>
          <w:ilvl w:val="0"/>
          <w:numId w:val="63"/>
        </w:numPr>
        <w:tabs>
          <w:tab w:pos="1197" w:val="left" w:leader="none"/>
          <w:tab w:pos="1198" w:val="left" w:leader="none"/>
        </w:tabs>
        <w:spacing w:line="240" w:lineRule="auto" w:before="66" w:after="0"/>
        <w:ind w:left="1197" w:right="0" w:hanging="360"/>
        <w:jc w:val="left"/>
        <w:rPr>
          <w:sz w:val="38"/>
        </w:rPr>
      </w:pPr>
      <w:r>
        <w:rPr>
          <w:sz w:val="38"/>
        </w:rPr>
        <w:t>improvement of glucose metabolism, protection of glucose</w:t>
      </w:r>
      <w:r>
        <w:rPr>
          <w:spacing w:val="-4"/>
          <w:sz w:val="38"/>
        </w:rPr>
        <w:t> </w:t>
      </w:r>
      <w:r>
        <w:rPr>
          <w:sz w:val="38"/>
        </w:rPr>
        <w:t>storage;</w:t>
      </w:r>
    </w:p>
    <w:p>
      <w:pPr>
        <w:pStyle w:val="ListParagraph"/>
        <w:numPr>
          <w:ilvl w:val="0"/>
          <w:numId w:val="63"/>
        </w:numPr>
        <w:tabs>
          <w:tab w:pos="1197" w:val="left" w:leader="none"/>
          <w:tab w:pos="1198" w:val="left" w:leader="none"/>
        </w:tabs>
        <w:spacing w:line="240" w:lineRule="auto" w:before="63" w:after="0"/>
        <w:ind w:left="1197" w:right="0" w:hanging="360"/>
        <w:jc w:val="left"/>
        <w:rPr>
          <w:sz w:val="38"/>
        </w:rPr>
      </w:pPr>
      <w:r>
        <w:rPr>
          <w:sz w:val="38"/>
        </w:rPr>
        <w:t>delay of gluconeogenesis (tapping the muscles for</w:t>
      </w:r>
      <w:r>
        <w:rPr>
          <w:spacing w:val="-1"/>
          <w:sz w:val="38"/>
        </w:rPr>
        <w:t> </w:t>
      </w:r>
      <w:r>
        <w:rPr>
          <w:sz w:val="38"/>
        </w:rPr>
        <w:t>energy);</w:t>
      </w:r>
    </w:p>
    <w:p>
      <w:pPr>
        <w:pStyle w:val="ListParagraph"/>
        <w:numPr>
          <w:ilvl w:val="0"/>
          <w:numId w:val="63"/>
        </w:numPr>
        <w:tabs>
          <w:tab w:pos="1197" w:val="left" w:leader="none"/>
          <w:tab w:pos="1198" w:val="left" w:leader="none"/>
        </w:tabs>
        <w:spacing w:line="273" w:lineRule="auto" w:before="64" w:after="0"/>
        <w:ind w:left="1197" w:right="138" w:hanging="360"/>
        <w:jc w:val="left"/>
        <w:rPr>
          <w:sz w:val="38"/>
        </w:rPr>
      </w:pPr>
      <w:r>
        <w:rPr>
          <w:sz w:val="38"/>
        </w:rPr>
        <w:t>protection of the amino acid stores, especially BCAAs (there are more amino acids available for protein synthesis or muscle</w:t>
      </w:r>
      <w:r>
        <w:rPr>
          <w:spacing w:val="-12"/>
          <w:sz w:val="38"/>
        </w:rPr>
        <w:t> </w:t>
      </w:r>
      <w:r>
        <w:rPr>
          <w:sz w:val="38"/>
        </w:rPr>
        <w:t>building);</w:t>
      </w:r>
    </w:p>
    <w:p>
      <w:pPr>
        <w:pStyle w:val="ListParagraph"/>
        <w:numPr>
          <w:ilvl w:val="0"/>
          <w:numId w:val="63"/>
        </w:numPr>
        <w:tabs>
          <w:tab w:pos="1197" w:val="left" w:leader="none"/>
          <w:tab w:pos="1198" w:val="left" w:leader="none"/>
        </w:tabs>
        <w:spacing w:line="240" w:lineRule="auto" w:before="8" w:after="0"/>
        <w:ind w:left="1197" w:right="0" w:hanging="360"/>
        <w:jc w:val="left"/>
        <w:rPr>
          <w:sz w:val="38"/>
        </w:rPr>
      </w:pPr>
      <w:r>
        <w:rPr>
          <w:sz w:val="38"/>
        </w:rPr>
        <w:t>increased adenosine triphosphate/(ATP)</w:t>
      </w:r>
      <w:r>
        <w:rPr>
          <w:spacing w:val="-2"/>
          <w:sz w:val="38"/>
        </w:rPr>
        <w:t> </w:t>
      </w:r>
      <w:r>
        <w:rPr>
          <w:sz w:val="38"/>
        </w:rPr>
        <w:t>production;</w:t>
      </w:r>
    </w:p>
    <w:p>
      <w:pPr>
        <w:pStyle w:val="ListParagraph"/>
        <w:numPr>
          <w:ilvl w:val="0"/>
          <w:numId w:val="63"/>
        </w:numPr>
        <w:tabs>
          <w:tab w:pos="1197" w:val="left" w:leader="none"/>
          <w:tab w:pos="1198" w:val="left" w:leader="none"/>
        </w:tabs>
        <w:spacing w:line="240" w:lineRule="auto" w:before="63" w:after="0"/>
        <w:ind w:left="1197" w:right="0" w:hanging="360"/>
        <w:jc w:val="left"/>
        <w:rPr>
          <w:sz w:val="38"/>
        </w:rPr>
      </w:pPr>
      <w:r>
        <w:rPr>
          <w:sz w:val="38"/>
        </w:rPr>
        <w:t>protein intake of L-carnitine is</w:t>
      </w:r>
      <w:r>
        <w:rPr>
          <w:spacing w:val="-3"/>
          <w:sz w:val="38"/>
        </w:rPr>
        <w:t> </w:t>
      </w:r>
      <w:r>
        <w:rPr>
          <w:sz w:val="38"/>
        </w:rPr>
        <w:t>compensated;</w:t>
      </w:r>
    </w:p>
    <w:p>
      <w:pPr>
        <w:spacing w:after="0" w:line="240" w:lineRule="auto"/>
        <w:jc w:val="left"/>
        <w:rPr>
          <w:sz w:val="38"/>
        </w:rPr>
        <w:sectPr>
          <w:pgSz w:w="14270" w:h="16850"/>
          <w:pgMar w:header="0" w:footer="404" w:top="1600" w:bottom="2080" w:left="800" w:right="1280"/>
        </w:sectPr>
      </w:pPr>
    </w:p>
    <w:p>
      <w:pPr>
        <w:pStyle w:val="BodyText"/>
        <w:spacing w:before="10"/>
        <w:rPr>
          <w:sz w:val="8"/>
        </w:rPr>
      </w:pPr>
    </w:p>
    <w:p>
      <w:pPr>
        <w:pStyle w:val="ListParagraph"/>
        <w:numPr>
          <w:ilvl w:val="0"/>
          <w:numId w:val="63"/>
        </w:numPr>
        <w:tabs>
          <w:tab w:pos="1197" w:val="left" w:leader="none"/>
          <w:tab w:pos="1198" w:val="left" w:leader="none"/>
        </w:tabs>
        <w:spacing w:line="240" w:lineRule="auto" w:before="83" w:after="0"/>
        <w:ind w:left="1197" w:right="0" w:hanging="360"/>
        <w:jc w:val="left"/>
        <w:rPr>
          <w:sz w:val="38"/>
        </w:rPr>
      </w:pPr>
      <w:r>
        <w:rPr>
          <w:sz w:val="38"/>
        </w:rPr>
        <w:t>reduction of the release of stress enzymes during</w:t>
      </w:r>
      <w:r>
        <w:rPr>
          <w:spacing w:val="-2"/>
          <w:sz w:val="38"/>
        </w:rPr>
        <w:t> </w:t>
      </w:r>
      <w:r>
        <w:rPr>
          <w:sz w:val="38"/>
        </w:rPr>
        <w:t>exercise;</w:t>
      </w:r>
    </w:p>
    <w:p>
      <w:pPr>
        <w:pStyle w:val="ListParagraph"/>
        <w:numPr>
          <w:ilvl w:val="0"/>
          <w:numId w:val="63"/>
        </w:numPr>
        <w:tabs>
          <w:tab w:pos="1197" w:val="left" w:leader="none"/>
          <w:tab w:pos="1198" w:val="left" w:leader="none"/>
        </w:tabs>
        <w:spacing w:line="240" w:lineRule="auto" w:before="64" w:after="0"/>
        <w:ind w:left="1197" w:right="0" w:hanging="360"/>
        <w:jc w:val="left"/>
        <w:rPr>
          <w:sz w:val="38"/>
        </w:rPr>
      </w:pPr>
      <w:r>
        <w:rPr>
          <w:sz w:val="38"/>
        </w:rPr>
        <w:t>reduction of the pyruvate level in the</w:t>
      </w:r>
      <w:r>
        <w:rPr>
          <w:spacing w:val="-1"/>
          <w:sz w:val="38"/>
        </w:rPr>
        <w:t> </w:t>
      </w:r>
      <w:r>
        <w:rPr>
          <w:sz w:val="38"/>
        </w:rPr>
        <w:t>plasma;</w:t>
      </w:r>
    </w:p>
    <w:p>
      <w:pPr>
        <w:pStyle w:val="ListParagraph"/>
        <w:numPr>
          <w:ilvl w:val="0"/>
          <w:numId w:val="63"/>
        </w:numPr>
        <w:tabs>
          <w:tab w:pos="1197" w:val="left" w:leader="none"/>
          <w:tab w:pos="1198" w:val="left" w:leader="none"/>
        </w:tabs>
        <w:spacing w:line="240" w:lineRule="auto" w:before="66" w:after="0"/>
        <w:ind w:left="1197" w:right="0" w:hanging="360"/>
        <w:jc w:val="left"/>
        <w:rPr>
          <w:sz w:val="38"/>
        </w:rPr>
      </w:pPr>
      <w:r>
        <w:rPr>
          <w:sz w:val="38"/>
        </w:rPr>
        <w:t>increased mental and physical motivation;</w:t>
      </w:r>
    </w:p>
    <w:p>
      <w:pPr>
        <w:pStyle w:val="ListParagraph"/>
        <w:numPr>
          <w:ilvl w:val="0"/>
          <w:numId w:val="63"/>
        </w:numPr>
        <w:tabs>
          <w:tab w:pos="1197" w:val="left" w:leader="none"/>
          <w:tab w:pos="1198" w:val="left" w:leader="none"/>
        </w:tabs>
        <w:spacing w:line="240" w:lineRule="auto" w:before="63" w:after="0"/>
        <w:ind w:left="1197" w:right="0" w:hanging="360"/>
        <w:jc w:val="left"/>
        <w:rPr>
          <w:sz w:val="38"/>
        </w:rPr>
      </w:pPr>
      <w:r>
        <w:rPr>
          <w:sz w:val="38"/>
        </w:rPr>
        <w:t>strengthening of the psyche during intensive training and</w:t>
      </w:r>
      <w:r>
        <w:rPr>
          <w:spacing w:val="-3"/>
          <w:sz w:val="38"/>
        </w:rPr>
        <w:t> </w:t>
      </w:r>
      <w:r>
        <w:rPr>
          <w:sz w:val="38"/>
        </w:rPr>
        <w:t>competition;</w:t>
      </w:r>
    </w:p>
    <w:p>
      <w:pPr>
        <w:pStyle w:val="ListParagraph"/>
        <w:numPr>
          <w:ilvl w:val="0"/>
          <w:numId w:val="63"/>
        </w:numPr>
        <w:tabs>
          <w:tab w:pos="1197" w:val="left" w:leader="none"/>
          <w:tab w:pos="1198" w:val="left" w:leader="none"/>
        </w:tabs>
        <w:spacing w:line="273" w:lineRule="auto" w:before="64" w:after="0"/>
        <w:ind w:left="1197" w:right="140" w:hanging="360"/>
        <w:jc w:val="left"/>
        <w:rPr>
          <w:sz w:val="38"/>
        </w:rPr>
      </w:pPr>
      <w:r>
        <w:rPr>
          <w:sz w:val="38"/>
        </w:rPr>
        <w:t>shortening of recuperation times between training sessions and competi- tions;</w:t>
      </w:r>
    </w:p>
    <w:p>
      <w:pPr>
        <w:pStyle w:val="ListParagraph"/>
        <w:numPr>
          <w:ilvl w:val="0"/>
          <w:numId w:val="63"/>
        </w:numPr>
        <w:tabs>
          <w:tab w:pos="1197" w:val="left" w:leader="none"/>
          <w:tab w:pos="1198" w:val="left" w:leader="none"/>
        </w:tabs>
        <w:spacing w:line="240" w:lineRule="auto" w:before="8" w:after="0"/>
        <w:ind w:left="1197" w:right="0" w:hanging="360"/>
        <w:jc w:val="left"/>
        <w:rPr>
          <w:sz w:val="38"/>
        </w:rPr>
      </w:pPr>
      <w:r>
        <w:rPr>
          <w:sz w:val="38"/>
        </w:rPr>
        <w:t>increasing the enzymes of the respiratory</w:t>
      </w:r>
      <w:r>
        <w:rPr>
          <w:spacing w:val="3"/>
          <w:sz w:val="38"/>
        </w:rPr>
        <w:t> </w:t>
      </w:r>
      <w:r>
        <w:rPr>
          <w:sz w:val="38"/>
        </w:rPr>
        <w:t>chain;</w:t>
      </w:r>
    </w:p>
    <w:p>
      <w:pPr>
        <w:pStyle w:val="ListParagraph"/>
        <w:numPr>
          <w:ilvl w:val="0"/>
          <w:numId w:val="63"/>
        </w:numPr>
        <w:tabs>
          <w:tab w:pos="1197" w:val="left" w:leader="none"/>
          <w:tab w:pos="1198" w:val="left" w:leader="none"/>
        </w:tabs>
        <w:spacing w:line="273" w:lineRule="auto" w:before="63" w:after="0"/>
        <w:ind w:left="1197" w:right="141" w:hanging="360"/>
        <w:jc w:val="left"/>
        <w:rPr>
          <w:sz w:val="38"/>
        </w:rPr>
      </w:pPr>
      <w:r>
        <w:rPr>
          <w:sz w:val="38"/>
        </w:rPr>
        <w:t>optimisation of the diaphragmatic function, combined with an improve- ment of the abdominal breathing and reduction of</w:t>
      </w:r>
      <w:r>
        <w:rPr>
          <w:spacing w:val="-3"/>
          <w:sz w:val="38"/>
        </w:rPr>
        <w:t> </w:t>
      </w:r>
      <w:r>
        <w:rPr>
          <w:sz w:val="38"/>
        </w:rPr>
        <w:t>stitches;</w:t>
      </w:r>
    </w:p>
    <w:p>
      <w:pPr>
        <w:pStyle w:val="ListParagraph"/>
        <w:numPr>
          <w:ilvl w:val="0"/>
          <w:numId w:val="63"/>
        </w:numPr>
        <w:tabs>
          <w:tab w:pos="1197" w:val="left" w:leader="none"/>
          <w:tab w:pos="1198" w:val="left" w:leader="none"/>
        </w:tabs>
        <w:spacing w:line="273" w:lineRule="auto" w:before="7" w:after="0"/>
        <w:ind w:left="1197" w:right="135" w:hanging="360"/>
        <w:jc w:val="left"/>
        <w:rPr>
          <w:sz w:val="38"/>
        </w:rPr>
      </w:pPr>
      <w:r>
        <w:rPr>
          <w:sz w:val="38"/>
        </w:rPr>
        <w:t>increased stamina, both in long-term and short-term endurance as well as in spurts;</w:t>
      </w:r>
    </w:p>
    <w:p>
      <w:pPr>
        <w:pStyle w:val="ListParagraph"/>
        <w:numPr>
          <w:ilvl w:val="0"/>
          <w:numId w:val="63"/>
        </w:numPr>
        <w:tabs>
          <w:tab w:pos="1197" w:val="left" w:leader="none"/>
          <w:tab w:pos="1198" w:val="left" w:leader="none"/>
        </w:tabs>
        <w:spacing w:line="240" w:lineRule="auto" w:before="7" w:after="0"/>
        <w:ind w:left="1197" w:right="0" w:hanging="360"/>
        <w:jc w:val="left"/>
        <w:rPr>
          <w:sz w:val="38"/>
        </w:rPr>
      </w:pPr>
      <w:r>
        <w:rPr>
          <w:sz w:val="38"/>
        </w:rPr>
        <w:t>reduction of physical and mental fatigue during</w:t>
      </w:r>
      <w:r>
        <w:rPr>
          <w:spacing w:val="-1"/>
          <w:sz w:val="38"/>
        </w:rPr>
        <w:t> </w:t>
      </w:r>
      <w:r>
        <w:rPr>
          <w:sz w:val="38"/>
        </w:rPr>
        <w:t>sports;</w:t>
      </w:r>
    </w:p>
    <w:p>
      <w:pPr>
        <w:pStyle w:val="ListParagraph"/>
        <w:numPr>
          <w:ilvl w:val="0"/>
          <w:numId w:val="63"/>
        </w:numPr>
        <w:tabs>
          <w:tab w:pos="1197" w:val="left" w:leader="none"/>
          <w:tab w:pos="1198" w:val="left" w:leader="none"/>
        </w:tabs>
        <w:spacing w:line="240" w:lineRule="auto" w:before="66" w:after="0"/>
        <w:ind w:left="1197" w:right="0" w:hanging="360"/>
        <w:jc w:val="left"/>
        <w:rPr>
          <w:sz w:val="38"/>
        </w:rPr>
      </w:pPr>
      <w:r>
        <w:rPr>
          <w:sz w:val="38"/>
        </w:rPr>
        <w:t>support of the body's own</w:t>
      </w:r>
      <w:r>
        <w:rPr>
          <w:spacing w:val="1"/>
          <w:sz w:val="38"/>
        </w:rPr>
        <w:t> </w:t>
      </w:r>
      <w:r>
        <w:rPr>
          <w:sz w:val="38"/>
        </w:rPr>
        <w:t>endorphins;</w:t>
      </w:r>
    </w:p>
    <w:p>
      <w:pPr>
        <w:pStyle w:val="ListParagraph"/>
        <w:numPr>
          <w:ilvl w:val="0"/>
          <w:numId w:val="63"/>
        </w:numPr>
        <w:tabs>
          <w:tab w:pos="1197" w:val="left" w:leader="none"/>
          <w:tab w:pos="1198" w:val="left" w:leader="none"/>
        </w:tabs>
        <w:spacing w:line="240" w:lineRule="auto" w:before="64" w:after="0"/>
        <w:ind w:left="1197" w:right="0" w:hanging="360"/>
        <w:jc w:val="left"/>
        <w:rPr>
          <w:sz w:val="38"/>
        </w:rPr>
      </w:pPr>
      <w:r>
        <w:rPr>
          <w:sz w:val="38"/>
        </w:rPr>
        <w:t>suppression of harmful</w:t>
      </w:r>
      <w:r>
        <w:rPr>
          <w:spacing w:val="-2"/>
          <w:sz w:val="38"/>
        </w:rPr>
        <w:t> </w:t>
      </w:r>
      <w:r>
        <w:rPr>
          <w:sz w:val="38"/>
        </w:rPr>
        <w:t>ammonia;</w:t>
      </w:r>
    </w:p>
    <w:p>
      <w:pPr>
        <w:pStyle w:val="ListParagraph"/>
        <w:numPr>
          <w:ilvl w:val="0"/>
          <w:numId w:val="63"/>
        </w:numPr>
        <w:tabs>
          <w:tab w:pos="1197" w:val="left" w:leader="none"/>
          <w:tab w:pos="1198" w:val="left" w:leader="none"/>
        </w:tabs>
        <w:spacing w:line="240" w:lineRule="auto" w:before="64" w:after="0"/>
        <w:ind w:left="1197" w:right="0" w:hanging="360"/>
        <w:jc w:val="left"/>
        <w:rPr>
          <w:sz w:val="38"/>
        </w:rPr>
      </w:pPr>
      <w:r>
        <w:rPr>
          <w:sz w:val="38"/>
        </w:rPr>
        <w:t>protection of the immune system under extremely high</w:t>
      </w:r>
      <w:r>
        <w:rPr>
          <w:spacing w:val="1"/>
          <w:sz w:val="38"/>
        </w:rPr>
        <w:t> </w:t>
      </w:r>
      <w:r>
        <w:rPr>
          <w:sz w:val="38"/>
        </w:rPr>
        <w:t>strain;</w:t>
      </w:r>
    </w:p>
    <w:p>
      <w:pPr>
        <w:pStyle w:val="ListParagraph"/>
        <w:numPr>
          <w:ilvl w:val="0"/>
          <w:numId w:val="63"/>
        </w:numPr>
        <w:tabs>
          <w:tab w:pos="1197" w:val="left" w:leader="none"/>
          <w:tab w:pos="1198" w:val="left" w:leader="none"/>
        </w:tabs>
        <w:spacing w:line="240" w:lineRule="auto" w:before="64" w:after="0"/>
        <w:ind w:left="1197" w:right="0" w:hanging="360"/>
        <w:jc w:val="left"/>
        <w:rPr>
          <w:sz w:val="38"/>
        </w:rPr>
      </w:pPr>
      <w:r>
        <w:rPr>
          <w:sz w:val="38"/>
        </w:rPr>
        <w:t>increased protein</w:t>
      </w:r>
      <w:r>
        <w:rPr>
          <w:spacing w:val="1"/>
          <w:sz w:val="38"/>
        </w:rPr>
        <w:t> </w:t>
      </w:r>
      <w:r>
        <w:rPr>
          <w:sz w:val="38"/>
        </w:rPr>
        <w:t>synthesis;</w:t>
      </w:r>
    </w:p>
    <w:p>
      <w:pPr>
        <w:pStyle w:val="ListParagraph"/>
        <w:numPr>
          <w:ilvl w:val="0"/>
          <w:numId w:val="63"/>
        </w:numPr>
        <w:tabs>
          <w:tab w:pos="1197" w:val="left" w:leader="none"/>
          <w:tab w:pos="1198" w:val="left" w:leader="none"/>
        </w:tabs>
        <w:spacing w:line="240" w:lineRule="auto" w:before="63" w:after="0"/>
        <w:ind w:left="1197" w:right="0" w:hanging="360"/>
        <w:jc w:val="left"/>
        <w:rPr>
          <w:sz w:val="38"/>
        </w:rPr>
      </w:pPr>
      <w:r>
        <w:rPr>
          <w:sz w:val="38"/>
        </w:rPr>
        <w:t>increased muscular strength, even in anaerobic</w:t>
      </w:r>
      <w:r>
        <w:rPr>
          <w:spacing w:val="-1"/>
          <w:sz w:val="38"/>
        </w:rPr>
        <w:t> </w:t>
      </w:r>
      <w:r>
        <w:rPr>
          <w:sz w:val="38"/>
        </w:rPr>
        <w:t>exercise;</w:t>
      </w:r>
    </w:p>
    <w:p>
      <w:pPr>
        <w:pStyle w:val="ListParagraph"/>
        <w:numPr>
          <w:ilvl w:val="0"/>
          <w:numId w:val="63"/>
        </w:numPr>
        <w:tabs>
          <w:tab w:pos="1197" w:val="left" w:leader="none"/>
          <w:tab w:pos="1198" w:val="left" w:leader="none"/>
        </w:tabs>
        <w:spacing w:line="240" w:lineRule="auto" w:before="66" w:after="0"/>
        <w:ind w:left="1197" w:right="0" w:hanging="360"/>
        <w:jc w:val="left"/>
        <w:rPr>
          <w:sz w:val="38"/>
        </w:rPr>
      </w:pPr>
      <w:r>
        <w:rPr>
          <w:sz w:val="38"/>
        </w:rPr>
        <w:t>increased anabolism;</w:t>
      </w:r>
    </w:p>
    <w:p>
      <w:pPr>
        <w:pStyle w:val="ListParagraph"/>
        <w:numPr>
          <w:ilvl w:val="0"/>
          <w:numId w:val="63"/>
        </w:numPr>
        <w:tabs>
          <w:tab w:pos="1197" w:val="left" w:leader="none"/>
          <w:tab w:pos="1198" w:val="left" w:leader="none"/>
        </w:tabs>
        <w:spacing w:line="240" w:lineRule="auto" w:before="64" w:after="0"/>
        <w:ind w:left="1197" w:right="0" w:hanging="360"/>
        <w:jc w:val="left"/>
        <w:rPr>
          <w:sz w:val="38"/>
        </w:rPr>
      </w:pPr>
      <w:r>
        <w:rPr>
          <w:sz w:val="38"/>
        </w:rPr>
        <w:t>suppression of</w:t>
      </w:r>
      <w:r>
        <w:rPr>
          <w:spacing w:val="-1"/>
          <w:sz w:val="38"/>
        </w:rPr>
        <w:t> </w:t>
      </w:r>
      <w:r>
        <w:rPr>
          <w:sz w:val="38"/>
        </w:rPr>
        <w:t>catabolism;</w:t>
      </w:r>
    </w:p>
    <w:p>
      <w:pPr>
        <w:pStyle w:val="ListParagraph"/>
        <w:numPr>
          <w:ilvl w:val="0"/>
          <w:numId w:val="63"/>
        </w:numPr>
        <w:tabs>
          <w:tab w:pos="1197" w:val="left" w:leader="none"/>
          <w:tab w:pos="1198" w:val="left" w:leader="none"/>
        </w:tabs>
        <w:spacing w:line="240" w:lineRule="auto" w:before="64" w:after="0"/>
        <w:ind w:left="1197" w:right="0" w:hanging="360"/>
        <w:jc w:val="left"/>
        <w:rPr>
          <w:sz w:val="38"/>
        </w:rPr>
      </w:pPr>
      <w:r>
        <w:rPr>
          <w:sz w:val="38"/>
        </w:rPr>
        <w:t>increased lean muscle mass, especially type 1 muscle</w:t>
      </w:r>
      <w:r>
        <w:rPr>
          <w:spacing w:val="3"/>
          <w:sz w:val="38"/>
        </w:rPr>
        <w:t> </w:t>
      </w:r>
      <w:r>
        <w:rPr>
          <w:sz w:val="38"/>
        </w:rPr>
        <w:t>fibres;</w:t>
      </w:r>
    </w:p>
    <w:p>
      <w:pPr>
        <w:pStyle w:val="ListParagraph"/>
        <w:numPr>
          <w:ilvl w:val="0"/>
          <w:numId w:val="63"/>
        </w:numPr>
        <w:tabs>
          <w:tab w:pos="1197" w:val="left" w:leader="none"/>
          <w:tab w:pos="1198" w:val="left" w:leader="none"/>
        </w:tabs>
        <w:spacing w:line="240" w:lineRule="auto" w:before="64" w:after="0"/>
        <w:ind w:left="1197" w:right="0" w:hanging="360"/>
        <w:jc w:val="left"/>
        <w:rPr>
          <w:sz w:val="38"/>
        </w:rPr>
      </w:pPr>
      <w:r>
        <w:rPr>
          <w:sz w:val="38"/>
        </w:rPr>
        <w:t>lowering the risk of</w:t>
      </w:r>
      <w:r>
        <w:rPr>
          <w:spacing w:val="3"/>
          <w:sz w:val="38"/>
        </w:rPr>
        <w:t> </w:t>
      </w:r>
      <w:r>
        <w:rPr>
          <w:sz w:val="38"/>
        </w:rPr>
        <w:t>injury;</w:t>
      </w:r>
    </w:p>
    <w:p>
      <w:pPr>
        <w:pStyle w:val="ListParagraph"/>
        <w:numPr>
          <w:ilvl w:val="0"/>
          <w:numId w:val="63"/>
        </w:numPr>
        <w:tabs>
          <w:tab w:pos="1197" w:val="left" w:leader="none"/>
          <w:tab w:pos="1198" w:val="left" w:leader="none"/>
        </w:tabs>
        <w:spacing w:line="240" w:lineRule="auto" w:before="63" w:after="0"/>
        <w:ind w:left="1197" w:right="0" w:hanging="360"/>
        <w:jc w:val="left"/>
        <w:rPr>
          <w:sz w:val="38"/>
        </w:rPr>
      </w:pPr>
      <w:r>
        <w:rPr>
          <w:sz w:val="38"/>
        </w:rPr>
        <w:t>preventing sore</w:t>
      </w:r>
      <w:r>
        <w:rPr>
          <w:spacing w:val="-3"/>
          <w:sz w:val="38"/>
        </w:rPr>
        <w:t> </w:t>
      </w:r>
      <w:r>
        <w:rPr>
          <w:sz w:val="38"/>
        </w:rPr>
        <w:t>muscles.</w:t>
      </w:r>
    </w:p>
    <w:p>
      <w:pPr>
        <w:spacing w:after="0" w:line="240" w:lineRule="auto"/>
        <w:jc w:val="left"/>
        <w:rPr>
          <w:sz w:val="38"/>
        </w:rPr>
        <w:sectPr>
          <w:pgSz w:w="14270" w:h="16850"/>
          <w:pgMar w:header="0" w:footer="404" w:top="1600" w:bottom="2080" w:left="800" w:right="1280"/>
        </w:sectPr>
      </w:pPr>
    </w:p>
    <w:p>
      <w:pPr>
        <w:pStyle w:val="Heading1"/>
        <w:spacing w:before="164"/>
      </w:pPr>
      <w:r>
        <w:rPr/>
        <w:t>Lose weight with L-carnitine</w:t>
      </w:r>
    </w:p>
    <w:p>
      <w:pPr>
        <w:pStyle w:val="BodyText"/>
        <w:spacing w:line="276" w:lineRule="auto" w:before="299"/>
        <w:ind w:left="477" w:right="133"/>
        <w:jc w:val="both"/>
      </w:pPr>
      <w:r>
        <w:rPr/>
        <w:t>Probably the most common reason for the use of L-carnitine is excess weight and the promotion of lipid metabolism caused by the additional intake of L- carnitine.</w:t>
      </w:r>
    </w:p>
    <w:p>
      <w:pPr>
        <w:pStyle w:val="Heading1"/>
      </w:pPr>
      <w:r>
        <w:rPr/>
        <w:t>Can you lose more weight with</w:t>
      </w:r>
      <w:r>
        <w:rPr>
          <w:spacing w:val="-69"/>
        </w:rPr>
        <w:t> </w:t>
      </w:r>
      <w:r>
        <w:rPr/>
        <w:t>L-carnitine?</w:t>
      </w:r>
    </w:p>
    <w:p>
      <w:pPr>
        <w:pStyle w:val="BodyText"/>
        <w:spacing w:line="276" w:lineRule="auto" w:before="298"/>
        <w:ind w:left="477" w:right="135"/>
        <w:jc w:val="both"/>
      </w:pPr>
      <w:r>
        <w:rPr/>
        <w:t>From the contemporary scientific perspective, the question of whether L-car- nitine can increase fat burning and help lose weight can be answered with an emphatic ‘YES’. However, in order to avoid all illusions, L-carnitine is able to transport fatty acids, but it cannot dispose of (burn) them by itself.</w:t>
      </w:r>
    </w:p>
    <w:p>
      <w:pPr>
        <w:pStyle w:val="Heading1"/>
      </w:pPr>
      <w:r>
        <w:rPr/>
        <w:t>Release of fatty acids</w:t>
      </w:r>
    </w:p>
    <w:p>
      <w:pPr>
        <w:pStyle w:val="BodyText"/>
        <w:spacing w:line="276" w:lineRule="auto" w:before="299"/>
        <w:ind w:left="477" w:right="135"/>
        <w:jc w:val="both"/>
      </w:pPr>
      <w:r>
        <w:rPr/>
        <w:t>What</w:t>
      </w:r>
      <w:r>
        <w:rPr>
          <w:spacing w:val="-10"/>
        </w:rPr>
        <w:t> </w:t>
      </w:r>
      <w:r>
        <w:rPr/>
        <w:t>does</w:t>
      </w:r>
      <w:r>
        <w:rPr>
          <w:spacing w:val="-8"/>
        </w:rPr>
        <w:t> </w:t>
      </w:r>
      <w:r>
        <w:rPr/>
        <w:t>this</w:t>
      </w:r>
      <w:r>
        <w:rPr>
          <w:spacing w:val="-7"/>
        </w:rPr>
        <w:t> </w:t>
      </w:r>
      <w:r>
        <w:rPr/>
        <w:t>mean</w:t>
      </w:r>
      <w:r>
        <w:rPr>
          <w:spacing w:val="-8"/>
        </w:rPr>
        <w:t> </w:t>
      </w:r>
      <w:r>
        <w:rPr/>
        <w:t>in</w:t>
      </w:r>
      <w:r>
        <w:rPr>
          <w:spacing w:val="-8"/>
        </w:rPr>
        <w:t> </w:t>
      </w:r>
      <w:r>
        <w:rPr/>
        <w:t>concrete</w:t>
      </w:r>
      <w:r>
        <w:rPr>
          <w:spacing w:val="-8"/>
        </w:rPr>
        <w:t> </w:t>
      </w:r>
      <w:r>
        <w:rPr/>
        <w:t>terms?</w:t>
      </w:r>
      <w:r>
        <w:rPr>
          <w:spacing w:val="-8"/>
        </w:rPr>
        <w:t> </w:t>
      </w:r>
      <w:r>
        <w:rPr/>
        <w:t>The</w:t>
      </w:r>
      <w:r>
        <w:rPr>
          <w:spacing w:val="-8"/>
        </w:rPr>
        <w:t> </w:t>
      </w:r>
      <w:r>
        <w:rPr/>
        <w:t>release</w:t>
      </w:r>
      <w:r>
        <w:rPr>
          <w:spacing w:val="-8"/>
        </w:rPr>
        <w:t> </w:t>
      </w:r>
      <w:r>
        <w:rPr/>
        <w:t>of</w:t>
      </w:r>
      <w:r>
        <w:rPr>
          <w:spacing w:val="-8"/>
        </w:rPr>
        <w:t> </w:t>
      </w:r>
      <w:r>
        <w:rPr/>
        <w:t>fatty</w:t>
      </w:r>
      <w:r>
        <w:rPr>
          <w:spacing w:val="-9"/>
        </w:rPr>
        <w:t> </w:t>
      </w:r>
      <w:r>
        <w:rPr/>
        <w:t>acids</w:t>
      </w:r>
      <w:r>
        <w:rPr>
          <w:spacing w:val="-8"/>
        </w:rPr>
        <w:t> </w:t>
      </w:r>
      <w:r>
        <w:rPr/>
        <w:t>can</w:t>
      </w:r>
      <w:r>
        <w:rPr>
          <w:spacing w:val="-7"/>
        </w:rPr>
        <w:t> </w:t>
      </w:r>
      <w:r>
        <w:rPr/>
        <w:t>only</w:t>
      </w:r>
      <w:r>
        <w:rPr>
          <w:spacing w:val="-9"/>
        </w:rPr>
        <w:t> </w:t>
      </w:r>
      <w:r>
        <w:rPr/>
        <w:t>take place if one either takes questionable remedies such as yohimbine, clenbuterol and ephedrine, or, conversely, if one takes a healthy decision; releasing fatty acids</w:t>
      </w:r>
      <w:r>
        <w:rPr>
          <w:spacing w:val="-15"/>
        </w:rPr>
        <w:t> </w:t>
      </w:r>
      <w:r>
        <w:rPr/>
        <w:t>in</w:t>
      </w:r>
      <w:r>
        <w:rPr>
          <w:spacing w:val="-14"/>
        </w:rPr>
        <w:t> </w:t>
      </w:r>
      <w:r>
        <w:rPr/>
        <w:t>an</w:t>
      </w:r>
      <w:r>
        <w:rPr>
          <w:spacing w:val="-14"/>
        </w:rPr>
        <w:t> </w:t>
      </w:r>
      <w:r>
        <w:rPr/>
        <w:t>aerobic</w:t>
      </w:r>
      <w:r>
        <w:rPr>
          <w:spacing w:val="-16"/>
        </w:rPr>
        <w:t> </w:t>
      </w:r>
      <w:r>
        <w:rPr/>
        <w:t>training</w:t>
      </w:r>
      <w:r>
        <w:rPr>
          <w:spacing w:val="-14"/>
        </w:rPr>
        <w:t> </w:t>
      </w:r>
      <w:r>
        <w:rPr/>
        <w:t>session</w:t>
      </w:r>
      <w:r>
        <w:rPr>
          <w:spacing w:val="-14"/>
        </w:rPr>
        <w:t> </w:t>
      </w:r>
      <w:r>
        <w:rPr/>
        <w:t>(cycling,</w:t>
      </w:r>
      <w:r>
        <w:rPr>
          <w:spacing w:val="-14"/>
        </w:rPr>
        <w:t> </w:t>
      </w:r>
      <w:r>
        <w:rPr/>
        <w:t>jogging,</w:t>
      </w:r>
      <w:r>
        <w:rPr>
          <w:spacing w:val="-13"/>
        </w:rPr>
        <w:t> </w:t>
      </w:r>
      <w:r>
        <w:rPr/>
        <w:t>Nordic</w:t>
      </w:r>
      <w:r>
        <w:rPr>
          <w:spacing w:val="-14"/>
        </w:rPr>
        <w:t> </w:t>
      </w:r>
      <w:r>
        <w:rPr/>
        <w:t>walking,</w:t>
      </w:r>
      <w:r>
        <w:rPr>
          <w:spacing w:val="-14"/>
        </w:rPr>
        <w:t> </w:t>
      </w:r>
      <w:r>
        <w:rPr/>
        <w:t>swimming with moderate</w:t>
      </w:r>
      <w:r>
        <w:rPr>
          <w:spacing w:val="-1"/>
        </w:rPr>
        <w:t> </w:t>
      </w:r>
      <w:r>
        <w:rPr/>
        <w:t>stress).</w:t>
      </w:r>
    </w:p>
    <w:p>
      <w:pPr>
        <w:pStyle w:val="BodyText"/>
        <w:spacing w:before="240"/>
        <w:ind w:left="477"/>
      </w:pPr>
      <w:r>
        <w:rPr/>
        <w:t>Here, a training period of &lt;60 min aerobic exercise has proven its worth.</w:t>
      </w:r>
    </w:p>
    <w:p>
      <w:pPr>
        <w:pStyle w:val="BodyText"/>
        <w:spacing w:line="276" w:lineRule="auto" w:before="305"/>
        <w:ind w:left="477" w:right="134"/>
        <w:jc w:val="both"/>
      </w:pPr>
      <w:r>
        <w:rPr/>
        <w:t>In vitro studies confirm the effect of L-carnitine on fat-burning. Thus, in the laboratory</w:t>
      </w:r>
      <w:r>
        <w:rPr>
          <w:spacing w:val="-12"/>
        </w:rPr>
        <w:t> </w:t>
      </w:r>
      <w:r>
        <w:rPr/>
        <w:t>on</w:t>
      </w:r>
      <w:r>
        <w:rPr>
          <w:spacing w:val="-11"/>
        </w:rPr>
        <w:t> </w:t>
      </w:r>
      <w:r>
        <w:rPr/>
        <w:t>animal</w:t>
      </w:r>
      <w:r>
        <w:rPr>
          <w:spacing w:val="-12"/>
        </w:rPr>
        <w:t> </w:t>
      </w:r>
      <w:r>
        <w:rPr/>
        <w:t>or</w:t>
      </w:r>
      <w:r>
        <w:rPr>
          <w:spacing w:val="-12"/>
        </w:rPr>
        <w:t> </w:t>
      </w:r>
      <w:r>
        <w:rPr/>
        <w:t>human</w:t>
      </w:r>
      <w:r>
        <w:rPr>
          <w:spacing w:val="-11"/>
        </w:rPr>
        <w:t> </w:t>
      </w:r>
      <w:r>
        <w:rPr/>
        <w:t>cells,</w:t>
      </w:r>
      <w:r>
        <w:rPr>
          <w:spacing w:val="-11"/>
        </w:rPr>
        <w:t> </w:t>
      </w:r>
      <w:r>
        <w:rPr/>
        <w:t>L-carnitine</w:t>
      </w:r>
      <w:r>
        <w:rPr>
          <w:spacing w:val="-11"/>
        </w:rPr>
        <w:t> </w:t>
      </w:r>
      <w:r>
        <w:rPr/>
        <w:t>demonstrated</w:t>
      </w:r>
      <w:r>
        <w:rPr>
          <w:spacing w:val="-12"/>
        </w:rPr>
        <w:t> </w:t>
      </w:r>
      <w:r>
        <w:rPr/>
        <w:t>a</w:t>
      </w:r>
      <w:r>
        <w:rPr>
          <w:spacing w:val="-13"/>
        </w:rPr>
        <w:t> </w:t>
      </w:r>
      <w:r>
        <w:rPr/>
        <w:t>clear</w:t>
      </w:r>
      <w:r>
        <w:rPr>
          <w:spacing w:val="-11"/>
        </w:rPr>
        <w:t> </w:t>
      </w:r>
      <w:r>
        <w:rPr/>
        <w:t>fat-burn- ing effect: in liver cells by 250-400 %, in skeletal muscle by 13</w:t>
      </w:r>
      <w:r>
        <w:rPr>
          <w:spacing w:val="-2"/>
        </w:rPr>
        <w:t> </w:t>
      </w:r>
      <w:r>
        <w:rPr/>
        <w:t>%.</w:t>
      </w:r>
    </w:p>
    <w:p>
      <w:pPr>
        <w:pStyle w:val="BodyText"/>
        <w:spacing w:before="239"/>
        <w:ind w:left="477"/>
        <w:jc w:val="both"/>
      </w:pPr>
      <w:r>
        <w:rPr/>
        <w:t>During in vivo studies (studies on living creatures) on increasing fat-burning in</w:t>
      </w:r>
    </w:p>
    <w:p>
      <w:pPr>
        <w:spacing w:after="0"/>
        <w:jc w:val="both"/>
        <w:sectPr>
          <w:pgSz w:w="14270" w:h="16850"/>
          <w:pgMar w:header="0" w:footer="404" w:top="1600" w:bottom="2080" w:left="800" w:right="1280"/>
        </w:sectPr>
      </w:pPr>
    </w:p>
    <w:p>
      <w:pPr>
        <w:pStyle w:val="BodyText"/>
        <w:spacing w:line="276" w:lineRule="auto" w:before="181"/>
        <w:ind w:left="477" w:right="134"/>
        <w:jc w:val="both"/>
      </w:pPr>
      <w:r>
        <w:rPr/>
        <w:t>animal experiments using L-carnitine, the combustion of the medium-chain fatty acid caproic acid is increased by 7 %, the combustion of palmitic acid is increased by 43 %.</w:t>
      </w:r>
    </w:p>
    <w:p>
      <w:pPr>
        <w:pStyle w:val="BodyText"/>
        <w:spacing w:line="276" w:lineRule="auto" w:before="242"/>
        <w:ind w:left="477" w:right="133"/>
        <w:jc w:val="both"/>
        <w:rPr>
          <w:sz w:val="25"/>
        </w:rPr>
      </w:pPr>
      <w:r>
        <w:rPr/>
        <w:t>In humans, researchers</w:t>
      </w:r>
      <w:r>
        <w:rPr>
          <w:position w:val="9"/>
          <w:sz w:val="25"/>
        </w:rPr>
        <w:t>478 </w:t>
      </w:r>
      <w:r>
        <w:rPr/>
        <w:t>demonstrated increased fat-burning; oral administra- tion of 3000 mg L-carnitine daily over 21 days significantly increased fat-burn- ing in athletes.</w:t>
      </w:r>
      <w:r>
        <w:rPr>
          <w:position w:val="9"/>
          <w:sz w:val="25"/>
        </w:rPr>
        <w:t>479</w:t>
      </w:r>
    </w:p>
    <w:p>
      <w:pPr>
        <w:pStyle w:val="BodyText"/>
        <w:spacing w:line="276" w:lineRule="auto" w:before="239"/>
        <w:ind w:left="477" w:right="134"/>
        <w:jc w:val="both"/>
      </w:pPr>
      <w:r>
        <w:rPr/>
        <w:t>Using so-called ‘isophene-labelled substances’, it was finally possible to clearly prove that L-carnitine taken orally increases fat-burning.</w:t>
      </w:r>
    </w:p>
    <w:p>
      <w:pPr>
        <w:pStyle w:val="Heading1"/>
        <w:spacing w:before="223"/>
      </w:pPr>
      <w:r>
        <w:rPr/>
        <w:t>L-carnitine intake for the purpose of weight loss</w:t>
      </w:r>
    </w:p>
    <w:p>
      <w:pPr>
        <w:pStyle w:val="BodyText"/>
        <w:spacing w:line="276" w:lineRule="auto" w:before="300"/>
        <w:ind w:left="477" w:right="135"/>
        <w:jc w:val="both"/>
      </w:pPr>
      <w:r>
        <w:rPr/>
        <w:t>The daily intake should be 2000-3000 mg, distributed across 3-4 doses per day, in order to ensure the most constant L-carnitine levels.</w:t>
      </w:r>
    </w:p>
    <w:p>
      <w:pPr>
        <w:pStyle w:val="Heading1"/>
        <w:spacing w:before="221"/>
        <w:jc w:val="both"/>
      </w:pPr>
      <w:r>
        <w:rPr/>
        <w:t>L-carnitine anti-ageing</w:t>
      </w:r>
    </w:p>
    <w:p>
      <w:pPr>
        <w:pStyle w:val="BodyText"/>
        <w:spacing w:before="299"/>
        <w:ind w:left="477"/>
        <w:jc w:val="both"/>
      </w:pPr>
      <w:r>
        <w:rPr/>
        <w:t>L-carnitine stops ageing and may even reverse the signs of ageing.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r>
        <w:rPr/>
        <w:pict>
          <v:line style="position:absolute;mso-position-horizontal-relative:page;mso-position-vertical-relative:paragraph;z-index:6152;mso-wrap-distance-left:0;mso-wrap-distance-right:0" from="63.863998pt,18.402485pt" to="207.883998pt,18.402485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478 </w:t>
      </w:r>
      <w:r>
        <w:rPr>
          <w:sz w:val="20"/>
        </w:rPr>
        <w:t>Heller 1996</w:t>
      </w:r>
    </w:p>
    <w:p>
      <w:pPr>
        <w:spacing w:before="94"/>
        <w:ind w:left="477" w:right="0" w:firstLine="0"/>
        <w:jc w:val="left"/>
        <w:rPr>
          <w:sz w:val="20"/>
        </w:rPr>
      </w:pPr>
      <w:r>
        <w:rPr>
          <w:position w:val="5"/>
          <w:sz w:val="13"/>
        </w:rPr>
        <w:t>479 </w:t>
      </w:r>
      <w:r>
        <w:rPr>
          <w:sz w:val="20"/>
        </w:rPr>
        <w:t>Lebrun 1984</w:t>
      </w:r>
    </w:p>
    <w:p>
      <w:pPr>
        <w:spacing w:after="0"/>
        <w:jc w:val="left"/>
        <w:rPr>
          <w:sz w:val="20"/>
        </w:rPr>
        <w:sectPr>
          <w:pgSz w:w="14270" w:h="16850"/>
          <w:pgMar w:header="0" w:footer="404" w:top="1600" w:bottom="2080" w:left="800" w:right="1280"/>
        </w:sectPr>
      </w:pPr>
    </w:p>
    <w:p>
      <w:pPr>
        <w:pStyle w:val="Heading1"/>
        <w:spacing w:before="164"/>
        <w:jc w:val="both"/>
      </w:pPr>
      <w:r>
        <w:rPr/>
        <w:t>Reasons for ageing</w:t>
      </w:r>
    </w:p>
    <w:p>
      <w:pPr>
        <w:pStyle w:val="BodyText"/>
        <w:spacing w:line="276" w:lineRule="auto" w:before="299"/>
        <w:ind w:left="477" w:right="132"/>
        <w:jc w:val="both"/>
      </w:pPr>
      <w:r>
        <w:rPr>
          <w:b/>
        </w:rPr>
        <w:t>Free</w:t>
      </w:r>
      <w:r>
        <w:rPr>
          <w:b/>
          <w:spacing w:val="-16"/>
        </w:rPr>
        <w:t> </w:t>
      </w:r>
      <w:r>
        <w:rPr>
          <w:b/>
        </w:rPr>
        <w:t>radicals</w:t>
      </w:r>
      <w:r>
        <w:rPr>
          <w:b/>
          <w:spacing w:val="-18"/>
        </w:rPr>
        <w:t> </w:t>
      </w:r>
      <w:r>
        <w:rPr>
          <w:b/>
        </w:rPr>
        <w:t>cause</w:t>
      </w:r>
      <w:r>
        <w:rPr>
          <w:b/>
          <w:spacing w:val="-18"/>
        </w:rPr>
        <w:t> </w:t>
      </w:r>
      <w:r>
        <w:rPr>
          <w:b/>
        </w:rPr>
        <w:t>our</w:t>
      </w:r>
      <w:r>
        <w:rPr>
          <w:b/>
          <w:spacing w:val="-18"/>
        </w:rPr>
        <w:t> </w:t>
      </w:r>
      <w:r>
        <w:rPr>
          <w:b/>
        </w:rPr>
        <w:t>cells</w:t>
      </w:r>
      <w:r>
        <w:rPr>
          <w:b/>
          <w:spacing w:val="-18"/>
        </w:rPr>
        <w:t> </w:t>
      </w:r>
      <w:r>
        <w:rPr>
          <w:b/>
        </w:rPr>
        <w:t>to</w:t>
      </w:r>
      <w:r>
        <w:rPr>
          <w:b/>
          <w:spacing w:val="-18"/>
        </w:rPr>
        <w:t> </w:t>
      </w:r>
      <w:r>
        <w:rPr>
          <w:b/>
        </w:rPr>
        <w:t>age:</w:t>
      </w:r>
      <w:r>
        <w:rPr>
          <w:b/>
          <w:spacing w:val="-16"/>
        </w:rPr>
        <w:t> </w:t>
      </w:r>
      <w:r>
        <w:rPr/>
        <w:t>Free</w:t>
      </w:r>
      <w:r>
        <w:rPr>
          <w:spacing w:val="-17"/>
        </w:rPr>
        <w:t> </w:t>
      </w:r>
      <w:r>
        <w:rPr/>
        <w:t>radicals</w:t>
      </w:r>
      <w:r>
        <w:rPr>
          <w:spacing w:val="-17"/>
        </w:rPr>
        <w:t> </w:t>
      </w:r>
      <w:r>
        <w:rPr/>
        <w:t>play</w:t>
      </w:r>
      <w:r>
        <w:rPr>
          <w:spacing w:val="-18"/>
        </w:rPr>
        <w:t> </w:t>
      </w:r>
      <w:r>
        <w:rPr/>
        <w:t>a</w:t>
      </w:r>
      <w:r>
        <w:rPr>
          <w:spacing w:val="-18"/>
        </w:rPr>
        <w:t> </w:t>
      </w:r>
      <w:r>
        <w:rPr/>
        <w:t>central</w:t>
      </w:r>
      <w:r>
        <w:rPr>
          <w:spacing w:val="-19"/>
        </w:rPr>
        <w:t> </w:t>
      </w:r>
      <w:r>
        <w:rPr/>
        <w:t>role</w:t>
      </w:r>
      <w:r>
        <w:rPr>
          <w:spacing w:val="-19"/>
        </w:rPr>
        <w:t> </w:t>
      </w:r>
      <w:r>
        <w:rPr/>
        <w:t>in</w:t>
      </w:r>
      <w:r>
        <w:rPr>
          <w:spacing w:val="-18"/>
        </w:rPr>
        <w:t> </w:t>
      </w:r>
      <w:r>
        <w:rPr/>
        <w:t>ageing. These are harmful oxygen compounds that attack our body cells, cell mem- branes – and even our DNA in high</w:t>
      </w:r>
      <w:r>
        <w:rPr>
          <w:spacing w:val="2"/>
        </w:rPr>
        <w:t> </w:t>
      </w:r>
      <w:r>
        <w:rPr/>
        <w:t>concentrations.</w:t>
      </w:r>
    </w:p>
    <w:p>
      <w:pPr>
        <w:pStyle w:val="BodyText"/>
        <w:spacing w:line="276" w:lineRule="auto" w:before="242"/>
        <w:ind w:left="477" w:right="135"/>
        <w:jc w:val="both"/>
      </w:pPr>
      <w:r>
        <w:rPr/>
        <w:t>Therefore,</w:t>
      </w:r>
      <w:r>
        <w:rPr>
          <w:spacing w:val="-27"/>
        </w:rPr>
        <w:t> </w:t>
      </w:r>
      <w:r>
        <w:rPr/>
        <w:t>‘oxidative</w:t>
      </w:r>
      <w:r>
        <w:rPr>
          <w:spacing w:val="-26"/>
        </w:rPr>
        <w:t> </w:t>
      </w:r>
      <w:r>
        <w:rPr/>
        <w:t>balance’</w:t>
      </w:r>
      <w:r>
        <w:rPr>
          <w:spacing w:val="-24"/>
        </w:rPr>
        <w:t> </w:t>
      </w:r>
      <w:r>
        <w:rPr/>
        <w:t>is</w:t>
      </w:r>
      <w:r>
        <w:rPr>
          <w:spacing w:val="-26"/>
        </w:rPr>
        <w:t> </w:t>
      </w:r>
      <w:r>
        <w:rPr/>
        <w:t>the</w:t>
      </w:r>
      <w:r>
        <w:rPr>
          <w:spacing w:val="-24"/>
        </w:rPr>
        <w:t> </w:t>
      </w:r>
      <w:r>
        <w:rPr/>
        <w:t>supreme</w:t>
      </w:r>
      <w:r>
        <w:rPr>
          <w:spacing w:val="-25"/>
        </w:rPr>
        <w:t> </w:t>
      </w:r>
      <w:r>
        <w:rPr/>
        <w:t>premise</w:t>
      </w:r>
      <w:r>
        <w:rPr>
          <w:spacing w:val="-25"/>
        </w:rPr>
        <w:t> </w:t>
      </w:r>
      <w:r>
        <w:rPr/>
        <w:t>for</w:t>
      </w:r>
      <w:r>
        <w:rPr>
          <w:spacing w:val="-24"/>
        </w:rPr>
        <w:t> </w:t>
      </w:r>
      <w:r>
        <w:rPr/>
        <w:t>preventing</w:t>
      </w:r>
      <w:r>
        <w:rPr>
          <w:spacing w:val="-25"/>
        </w:rPr>
        <w:t> </w:t>
      </w:r>
      <w:r>
        <w:rPr/>
        <w:t>disease</w:t>
      </w:r>
      <w:r>
        <w:rPr>
          <w:spacing w:val="-24"/>
        </w:rPr>
        <w:t> </w:t>
      </w:r>
      <w:r>
        <w:rPr/>
        <w:t>and slowing</w:t>
      </w:r>
      <w:r>
        <w:rPr>
          <w:spacing w:val="-25"/>
        </w:rPr>
        <w:t> </w:t>
      </w:r>
      <w:r>
        <w:rPr/>
        <w:t>biological</w:t>
      </w:r>
      <w:r>
        <w:rPr>
          <w:spacing w:val="-25"/>
        </w:rPr>
        <w:t> </w:t>
      </w:r>
      <w:r>
        <w:rPr/>
        <w:t>ageing</w:t>
      </w:r>
      <w:r>
        <w:rPr>
          <w:spacing w:val="-22"/>
        </w:rPr>
        <w:t> </w:t>
      </w:r>
      <w:r>
        <w:rPr/>
        <w:t>balancing</w:t>
      </w:r>
      <w:r>
        <w:rPr>
          <w:spacing w:val="-24"/>
        </w:rPr>
        <w:t> </w:t>
      </w:r>
      <w:r>
        <w:rPr/>
        <w:t>the</w:t>
      </w:r>
      <w:r>
        <w:rPr>
          <w:spacing w:val="-25"/>
        </w:rPr>
        <w:t> </w:t>
      </w:r>
      <w:r>
        <w:rPr/>
        <w:t>inevitable</w:t>
      </w:r>
      <w:r>
        <w:rPr>
          <w:spacing w:val="-27"/>
        </w:rPr>
        <w:t> </w:t>
      </w:r>
      <w:r>
        <w:rPr/>
        <w:t>formation</w:t>
      </w:r>
      <w:r>
        <w:rPr>
          <w:spacing w:val="-25"/>
        </w:rPr>
        <w:t> </w:t>
      </w:r>
      <w:r>
        <w:rPr/>
        <w:t>of</w:t>
      </w:r>
      <w:r>
        <w:rPr>
          <w:spacing w:val="-24"/>
        </w:rPr>
        <w:t> </w:t>
      </w:r>
      <w:r>
        <w:rPr/>
        <w:t>free</w:t>
      </w:r>
      <w:r>
        <w:rPr>
          <w:spacing w:val="-24"/>
        </w:rPr>
        <w:t> </w:t>
      </w:r>
      <w:r>
        <w:rPr/>
        <w:t>radicals</w:t>
      </w:r>
      <w:r>
        <w:rPr>
          <w:spacing w:val="-26"/>
        </w:rPr>
        <w:t> </w:t>
      </w:r>
      <w:r>
        <w:rPr/>
        <w:t>with protective</w:t>
      </w:r>
      <w:r>
        <w:rPr>
          <w:spacing w:val="-1"/>
        </w:rPr>
        <w:t> </w:t>
      </w:r>
      <w:r>
        <w:rPr/>
        <w:t>antioxidants.</w:t>
      </w:r>
    </w:p>
    <w:p>
      <w:pPr>
        <w:pStyle w:val="BodyText"/>
        <w:spacing w:line="276" w:lineRule="auto" w:before="239"/>
        <w:ind w:left="477" w:right="133"/>
        <w:jc w:val="both"/>
      </w:pPr>
      <w:r>
        <w:rPr/>
        <w:t>Free radicals are partly inevitable; for example, 3 % of our breath becomes harmful</w:t>
      </w:r>
      <w:r>
        <w:rPr>
          <w:spacing w:val="-16"/>
        </w:rPr>
        <w:t> </w:t>
      </w:r>
      <w:r>
        <w:rPr/>
        <w:t>free</w:t>
      </w:r>
      <w:r>
        <w:rPr>
          <w:spacing w:val="-14"/>
        </w:rPr>
        <w:t> </w:t>
      </w:r>
      <w:r>
        <w:rPr/>
        <w:t>radicals,</w:t>
      </w:r>
      <w:r>
        <w:rPr>
          <w:spacing w:val="-13"/>
        </w:rPr>
        <w:t> </w:t>
      </w:r>
      <w:r>
        <w:rPr/>
        <w:t>but</w:t>
      </w:r>
      <w:r>
        <w:rPr>
          <w:spacing w:val="-16"/>
        </w:rPr>
        <w:t> </w:t>
      </w:r>
      <w:r>
        <w:rPr/>
        <w:t>solar</w:t>
      </w:r>
      <w:r>
        <w:rPr>
          <w:spacing w:val="-14"/>
        </w:rPr>
        <w:t> </w:t>
      </w:r>
      <w:r>
        <w:rPr/>
        <w:t>radiation</w:t>
      </w:r>
      <w:r>
        <w:rPr>
          <w:spacing w:val="-15"/>
        </w:rPr>
        <w:t> </w:t>
      </w:r>
      <w:r>
        <w:rPr/>
        <w:t>(UV</w:t>
      </w:r>
      <w:r>
        <w:rPr>
          <w:spacing w:val="-14"/>
        </w:rPr>
        <w:t> </w:t>
      </w:r>
      <w:r>
        <w:rPr/>
        <w:t>rays)</w:t>
      </w:r>
      <w:r>
        <w:rPr>
          <w:spacing w:val="-15"/>
        </w:rPr>
        <w:t> </w:t>
      </w:r>
      <w:r>
        <w:rPr/>
        <w:t>and</w:t>
      </w:r>
      <w:r>
        <w:rPr>
          <w:spacing w:val="-14"/>
        </w:rPr>
        <w:t> </w:t>
      </w:r>
      <w:r>
        <w:rPr/>
        <w:t>food</w:t>
      </w:r>
      <w:r>
        <w:rPr>
          <w:spacing w:val="-15"/>
        </w:rPr>
        <w:t> </w:t>
      </w:r>
      <w:r>
        <w:rPr/>
        <w:t>also</w:t>
      </w:r>
      <w:r>
        <w:rPr>
          <w:spacing w:val="-14"/>
        </w:rPr>
        <w:t> </w:t>
      </w:r>
      <w:r>
        <w:rPr/>
        <w:t>create</w:t>
      </w:r>
      <w:r>
        <w:rPr>
          <w:spacing w:val="-16"/>
        </w:rPr>
        <w:t> </w:t>
      </w:r>
      <w:r>
        <w:rPr/>
        <w:t>harmful free radicals.</w:t>
      </w:r>
    </w:p>
    <w:p>
      <w:pPr>
        <w:pStyle w:val="BodyText"/>
        <w:spacing w:line="276" w:lineRule="auto" w:before="241"/>
        <w:ind w:left="477" w:right="132"/>
        <w:jc w:val="both"/>
      </w:pPr>
      <w:r>
        <w:rPr/>
        <w:t>Fortunately, we are not completely powerless against these destructive oxygen compounds</w:t>
      </w:r>
      <w:r>
        <w:rPr>
          <w:spacing w:val="-16"/>
        </w:rPr>
        <w:t> </w:t>
      </w:r>
      <w:r>
        <w:rPr/>
        <w:t>that</w:t>
      </w:r>
      <w:r>
        <w:rPr>
          <w:spacing w:val="-17"/>
        </w:rPr>
        <w:t> </w:t>
      </w:r>
      <w:r>
        <w:rPr/>
        <w:t>cause</w:t>
      </w:r>
      <w:r>
        <w:rPr>
          <w:spacing w:val="-17"/>
        </w:rPr>
        <w:t> </w:t>
      </w:r>
      <w:r>
        <w:rPr/>
        <w:t>harmful</w:t>
      </w:r>
      <w:r>
        <w:rPr>
          <w:spacing w:val="-18"/>
        </w:rPr>
        <w:t> </w:t>
      </w:r>
      <w:r>
        <w:rPr/>
        <w:t>cell</w:t>
      </w:r>
      <w:r>
        <w:rPr>
          <w:spacing w:val="-16"/>
        </w:rPr>
        <w:t> </w:t>
      </w:r>
      <w:r>
        <w:rPr/>
        <w:t>oxidation,</w:t>
      </w:r>
      <w:r>
        <w:rPr>
          <w:spacing w:val="-16"/>
        </w:rPr>
        <w:t> </w:t>
      </w:r>
      <w:r>
        <w:rPr/>
        <w:t>because,</w:t>
      </w:r>
      <w:r>
        <w:rPr>
          <w:spacing w:val="-15"/>
        </w:rPr>
        <w:t> </w:t>
      </w:r>
      <w:r>
        <w:rPr/>
        <w:t>on</w:t>
      </w:r>
      <w:r>
        <w:rPr>
          <w:spacing w:val="-16"/>
        </w:rPr>
        <w:t> </w:t>
      </w:r>
      <w:r>
        <w:rPr/>
        <w:t>the</w:t>
      </w:r>
      <w:r>
        <w:rPr>
          <w:spacing w:val="-15"/>
        </w:rPr>
        <w:t> </w:t>
      </w:r>
      <w:r>
        <w:rPr/>
        <w:t>one</w:t>
      </w:r>
      <w:r>
        <w:rPr>
          <w:spacing w:val="-17"/>
        </w:rPr>
        <w:t> </w:t>
      </w:r>
      <w:r>
        <w:rPr/>
        <w:t>hand,</w:t>
      </w:r>
      <w:r>
        <w:rPr>
          <w:spacing w:val="-15"/>
        </w:rPr>
        <w:t> </w:t>
      </w:r>
      <w:r>
        <w:rPr/>
        <w:t>we</w:t>
      </w:r>
      <w:r>
        <w:rPr>
          <w:spacing w:val="-17"/>
        </w:rPr>
        <w:t> </w:t>
      </w:r>
      <w:r>
        <w:rPr/>
        <w:t>can positively influence the formation of free radicals, for example by not smoking and</w:t>
      </w:r>
      <w:r>
        <w:rPr>
          <w:spacing w:val="-28"/>
        </w:rPr>
        <w:t> </w:t>
      </w:r>
      <w:r>
        <w:rPr/>
        <w:t>consuming</w:t>
      </w:r>
      <w:r>
        <w:rPr>
          <w:spacing w:val="-27"/>
        </w:rPr>
        <w:t> </w:t>
      </w:r>
      <w:r>
        <w:rPr/>
        <w:t>alcohol,</w:t>
      </w:r>
      <w:r>
        <w:rPr>
          <w:spacing w:val="-26"/>
        </w:rPr>
        <w:t> </w:t>
      </w:r>
      <w:r>
        <w:rPr/>
        <w:t>restricting</w:t>
      </w:r>
      <w:r>
        <w:rPr>
          <w:spacing w:val="-27"/>
        </w:rPr>
        <w:t> </w:t>
      </w:r>
      <w:r>
        <w:rPr/>
        <w:t>animal</w:t>
      </w:r>
      <w:r>
        <w:rPr>
          <w:spacing w:val="-28"/>
        </w:rPr>
        <w:t> </w:t>
      </w:r>
      <w:r>
        <w:rPr/>
        <w:t>fats</w:t>
      </w:r>
      <w:r>
        <w:rPr>
          <w:spacing w:val="-28"/>
        </w:rPr>
        <w:t> </w:t>
      </w:r>
      <w:r>
        <w:rPr/>
        <w:t>in</w:t>
      </w:r>
      <w:r>
        <w:rPr>
          <w:spacing w:val="-27"/>
        </w:rPr>
        <w:t> </w:t>
      </w:r>
      <w:r>
        <w:rPr/>
        <w:t>the</w:t>
      </w:r>
      <w:r>
        <w:rPr>
          <w:spacing w:val="-27"/>
        </w:rPr>
        <w:t> </w:t>
      </w:r>
      <w:r>
        <w:rPr/>
        <w:t>diet,</w:t>
      </w:r>
      <w:r>
        <w:rPr>
          <w:spacing w:val="-27"/>
        </w:rPr>
        <w:t> </w:t>
      </w:r>
      <w:r>
        <w:rPr/>
        <w:t>avoiding</w:t>
      </w:r>
      <w:r>
        <w:rPr>
          <w:spacing w:val="-24"/>
        </w:rPr>
        <w:t> </w:t>
      </w:r>
      <w:r>
        <w:rPr/>
        <w:t>artificial</w:t>
      </w:r>
      <w:r>
        <w:rPr>
          <w:spacing w:val="-28"/>
        </w:rPr>
        <w:t> </w:t>
      </w:r>
      <w:r>
        <w:rPr/>
        <w:t>solar radiation (solarium) and limiting excessive competitive sport. On the other hand, we have access to numerous highly potent protectors of our cells in the form of so-called antioxidants, such as vitamin C, OPC, co-enzyme Q10, beta- carotene, selenium, alpha-lipoic acid, L-carnosine and</w:t>
      </w:r>
      <w:r>
        <w:rPr>
          <w:spacing w:val="-1"/>
        </w:rPr>
        <w:t> </w:t>
      </w:r>
      <w:r>
        <w:rPr/>
        <w:t>others.</w:t>
      </w:r>
    </w:p>
    <w:p>
      <w:pPr>
        <w:spacing w:line="276" w:lineRule="auto" w:before="239"/>
        <w:ind w:left="477" w:right="131" w:firstLine="0"/>
        <w:jc w:val="both"/>
        <w:rPr>
          <w:sz w:val="38"/>
        </w:rPr>
      </w:pPr>
      <w:r>
        <w:rPr>
          <w:b/>
          <w:sz w:val="38"/>
        </w:rPr>
        <w:t>Saccharification (glycolisation) causes our tissue to age: </w:t>
      </w:r>
      <w:r>
        <w:rPr>
          <w:sz w:val="38"/>
        </w:rPr>
        <w:t>A second crucial mechanism of ageing is the so-called ‘glycolisation’. This occurs when excess sugar</w:t>
      </w:r>
      <w:r>
        <w:rPr>
          <w:spacing w:val="-9"/>
          <w:sz w:val="38"/>
        </w:rPr>
        <w:t> </w:t>
      </w:r>
      <w:r>
        <w:rPr>
          <w:sz w:val="38"/>
        </w:rPr>
        <w:t>binds</w:t>
      </w:r>
      <w:r>
        <w:rPr>
          <w:spacing w:val="-9"/>
          <w:sz w:val="38"/>
        </w:rPr>
        <w:t> </w:t>
      </w:r>
      <w:r>
        <w:rPr>
          <w:sz w:val="38"/>
        </w:rPr>
        <w:t>with</w:t>
      </w:r>
      <w:r>
        <w:rPr>
          <w:spacing w:val="-9"/>
          <w:sz w:val="38"/>
        </w:rPr>
        <w:t> </w:t>
      </w:r>
      <w:r>
        <w:rPr>
          <w:sz w:val="38"/>
        </w:rPr>
        <w:t>our</w:t>
      </w:r>
      <w:r>
        <w:rPr>
          <w:spacing w:val="-9"/>
          <w:sz w:val="38"/>
        </w:rPr>
        <w:t> </w:t>
      </w:r>
      <w:r>
        <w:rPr>
          <w:sz w:val="38"/>
        </w:rPr>
        <w:t>body</w:t>
      </w:r>
      <w:r>
        <w:rPr>
          <w:spacing w:val="-11"/>
          <w:sz w:val="38"/>
        </w:rPr>
        <w:t> </w:t>
      </w:r>
      <w:r>
        <w:rPr>
          <w:sz w:val="38"/>
        </w:rPr>
        <w:t>proteins</w:t>
      </w:r>
      <w:r>
        <w:rPr>
          <w:spacing w:val="-8"/>
          <w:sz w:val="38"/>
        </w:rPr>
        <w:t> </w:t>
      </w:r>
      <w:r>
        <w:rPr>
          <w:sz w:val="38"/>
        </w:rPr>
        <w:t>and</w:t>
      </w:r>
      <w:r>
        <w:rPr>
          <w:spacing w:val="-9"/>
          <w:sz w:val="38"/>
        </w:rPr>
        <w:t> </w:t>
      </w:r>
      <w:r>
        <w:rPr>
          <w:sz w:val="38"/>
        </w:rPr>
        <w:t>disturbs</w:t>
      </w:r>
      <w:r>
        <w:rPr>
          <w:spacing w:val="-7"/>
          <w:sz w:val="38"/>
        </w:rPr>
        <w:t> </w:t>
      </w:r>
      <w:r>
        <w:rPr>
          <w:sz w:val="38"/>
        </w:rPr>
        <w:t>their</w:t>
      </w:r>
      <w:r>
        <w:rPr>
          <w:spacing w:val="-9"/>
          <w:sz w:val="38"/>
        </w:rPr>
        <w:t> </w:t>
      </w:r>
      <w:r>
        <w:rPr>
          <w:sz w:val="38"/>
        </w:rPr>
        <w:t>function</w:t>
      </w:r>
      <w:r>
        <w:rPr>
          <w:spacing w:val="-9"/>
          <w:sz w:val="38"/>
        </w:rPr>
        <w:t> </w:t>
      </w:r>
      <w:r>
        <w:rPr>
          <w:sz w:val="38"/>
        </w:rPr>
        <w:t>long-term</w:t>
      </w:r>
      <w:r>
        <w:rPr>
          <w:spacing w:val="-9"/>
          <w:sz w:val="38"/>
        </w:rPr>
        <w:t> </w:t>
      </w:r>
      <w:r>
        <w:rPr>
          <w:sz w:val="38"/>
        </w:rPr>
        <w:t>this</w:t>
      </w:r>
      <w:r>
        <w:rPr>
          <w:spacing w:val="-8"/>
          <w:sz w:val="38"/>
        </w:rPr>
        <w:t> </w:t>
      </w:r>
      <w:r>
        <w:rPr>
          <w:sz w:val="38"/>
        </w:rPr>
        <w:t>is</w:t>
      </w:r>
    </w:p>
    <w:p>
      <w:pPr>
        <w:spacing w:after="0" w:line="276" w:lineRule="auto"/>
        <w:jc w:val="both"/>
        <w:rPr>
          <w:sz w:val="38"/>
        </w:rPr>
        <w:sectPr>
          <w:pgSz w:w="14270" w:h="16850"/>
          <w:pgMar w:header="0" w:footer="404" w:top="1600" w:bottom="2080" w:left="800" w:right="1280"/>
        </w:sectPr>
      </w:pPr>
    </w:p>
    <w:p>
      <w:pPr>
        <w:pStyle w:val="BodyText"/>
        <w:spacing w:line="276" w:lineRule="auto" w:before="181"/>
        <w:ind w:left="477" w:right="135"/>
        <w:jc w:val="both"/>
      </w:pPr>
      <w:r>
        <w:rPr/>
        <w:t>not only reflected externally in the form of wrinkles, but also leads to internal functions to slacken, which then contribute to the ageing process. L-carnitine, especially in the most bioactive form of acetyl-L-carnitine, is able to defy both mechanisms of ageing by protecting the cells from free radicals and from gly- cosylation.</w:t>
      </w:r>
    </w:p>
    <w:p>
      <w:pPr>
        <w:pStyle w:val="Heading1"/>
        <w:spacing w:before="223"/>
      </w:pPr>
      <w:r>
        <w:rPr/>
        <w:t>The mechanisms against ageing processes in detail</w:t>
      </w:r>
    </w:p>
    <w:p>
      <w:pPr>
        <w:pStyle w:val="BodyText"/>
        <w:spacing w:line="276" w:lineRule="auto" w:before="299"/>
        <w:ind w:left="477"/>
      </w:pPr>
      <w:r>
        <w:rPr/>
        <w:t>In summary, one can name the following mechanisms by which L-carnitine counteracts the ageing process:</w:t>
      </w:r>
    </w:p>
    <w:p>
      <w:pPr>
        <w:pStyle w:val="ListParagraph"/>
        <w:numPr>
          <w:ilvl w:val="0"/>
          <w:numId w:val="63"/>
        </w:numPr>
        <w:tabs>
          <w:tab w:pos="1197" w:val="left" w:leader="none"/>
          <w:tab w:pos="1198" w:val="left" w:leader="none"/>
        </w:tabs>
        <w:spacing w:line="240" w:lineRule="auto" w:before="123" w:after="0"/>
        <w:ind w:left="1197" w:right="0" w:hanging="360"/>
        <w:jc w:val="left"/>
        <w:rPr>
          <w:sz w:val="38"/>
        </w:rPr>
      </w:pPr>
      <w:r>
        <w:rPr>
          <w:sz w:val="38"/>
        </w:rPr>
        <w:t>protection against attacks of free</w:t>
      </w:r>
      <w:r>
        <w:rPr>
          <w:spacing w:val="-2"/>
          <w:sz w:val="38"/>
        </w:rPr>
        <w:t> </w:t>
      </w:r>
      <w:r>
        <w:rPr>
          <w:sz w:val="38"/>
        </w:rPr>
        <w:t>radicals;</w:t>
      </w:r>
    </w:p>
    <w:p>
      <w:pPr>
        <w:pStyle w:val="ListParagraph"/>
        <w:numPr>
          <w:ilvl w:val="0"/>
          <w:numId w:val="63"/>
        </w:numPr>
        <w:tabs>
          <w:tab w:pos="1197" w:val="left" w:leader="none"/>
          <w:tab w:pos="1198" w:val="left" w:leader="none"/>
        </w:tabs>
        <w:spacing w:line="240" w:lineRule="auto" w:before="63" w:after="0"/>
        <w:ind w:left="1197" w:right="0" w:hanging="360"/>
        <w:jc w:val="left"/>
        <w:rPr>
          <w:sz w:val="38"/>
        </w:rPr>
      </w:pPr>
      <w:r>
        <w:rPr>
          <w:sz w:val="38"/>
        </w:rPr>
        <w:t>renewal of other, depleted free radicals (e.g. alpha lipoic</w:t>
      </w:r>
      <w:r>
        <w:rPr>
          <w:spacing w:val="-11"/>
          <w:sz w:val="38"/>
        </w:rPr>
        <w:t> </w:t>
      </w:r>
      <w:r>
        <w:rPr>
          <w:sz w:val="38"/>
        </w:rPr>
        <w:t>acid);</w:t>
      </w:r>
    </w:p>
    <w:p>
      <w:pPr>
        <w:pStyle w:val="ListParagraph"/>
        <w:numPr>
          <w:ilvl w:val="0"/>
          <w:numId w:val="63"/>
        </w:numPr>
        <w:tabs>
          <w:tab w:pos="1197" w:val="left" w:leader="none"/>
          <w:tab w:pos="1198" w:val="left" w:leader="none"/>
        </w:tabs>
        <w:spacing w:line="240" w:lineRule="auto" w:before="64" w:after="0"/>
        <w:ind w:left="1197" w:right="0" w:hanging="360"/>
        <w:jc w:val="left"/>
        <w:rPr>
          <w:sz w:val="38"/>
        </w:rPr>
      </w:pPr>
      <w:r>
        <w:rPr>
          <w:sz w:val="38"/>
        </w:rPr>
        <w:t>increase in other antioxidants (e.g.</w:t>
      </w:r>
      <w:r>
        <w:rPr>
          <w:spacing w:val="-1"/>
          <w:sz w:val="38"/>
        </w:rPr>
        <w:t> </w:t>
      </w:r>
      <w:r>
        <w:rPr>
          <w:sz w:val="38"/>
        </w:rPr>
        <w:t>glutathione);</w:t>
      </w:r>
    </w:p>
    <w:p>
      <w:pPr>
        <w:pStyle w:val="ListParagraph"/>
        <w:numPr>
          <w:ilvl w:val="0"/>
          <w:numId w:val="63"/>
        </w:numPr>
        <w:tabs>
          <w:tab w:pos="1197" w:val="left" w:leader="none"/>
          <w:tab w:pos="1198" w:val="left" w:leader="none"/>
        </w:tabs>
        <w:spacing w:line="240" w:lineRule="auto" w:before="66" w:after="0"/>
        <w:ind w:left="1197" w:right="0" w:hanging="360"/>
        <w:jc w:val="left"/>
        <w:rPr>
          <w:sz w:val="38"/>
        </w:rPr>
      </w:pPr>
      <w:r>
        <w:rPr>
          <w:sz w:val="38"/>
        </w:rPr>
        <w:t>reduction of oxidative</w:t>
      </w:r>
      <w:r>
        <w:rPr>
          <w:spacing w:val="1"/>
          <w:sz w:val="38"/>
        </w:rPr>
        <w:t> </w:t>
      </w:r>
      <w:r>
        <w:rPr>
          <w:sz w:val="38"/>
        </w:rPr>
        <w:t>stress;</w:t>
      </w:r>
    </w:p>
    <w:p>
      <w:pPr>
        <w:pStyle w:val="ListParagraph"/>
        <w:numPr>
          <w:ilvl w:val="0"/>
          <w:numId w:val="63"/>
        </w:numPr>
        <w:tabs>
          <w:tab w:pos="1197" w:val="left" w:leader="none"/>
          <w:tab w:pos="1198" w:val="left" w:leader="none"/>
        </w:tabs>
        <w:spacing w:line="240" w:lineRule="auto" w:before="64" w:after="0"/>
        <w:ind w:left="1197" w:right="0" w:hanging="360"/>
        <w:jc w:val="left"/>
        <w:rPr>
          <w:sz w:val="38"/>
        </w:rPr>
      </w:pPr>
      <w:r>
        <w:rPr>
          <w:sz w:val="38"/>
        </w:rPr>
        <w:t>destruction of free</w:t>
      </w:r>
      <w:r>
        <w:rPr>
          <w:spacing w:val="2"/>
          <w:sz w:val="38"/>
        </w:rPr>
        <w:t> </w:t>
      </w:r>
      <w:r>
        <w:rPr>
          <w:sz w:val="38"/>
        </w:rPr>
        <w:t>radicals;</w:t>
      </w:r>
    </w:p>
    <w:p>
      <w:pPr>
        <w:pStyle w:val="ListParagraph"/>
        <w:numPr>
          <w:ilvl w:val="0"/>
          <w:numId w:val="63"/>
        </w:numPr>
        <w:tabs>
          <w:tab w:pos="1197" w:val="left" w:leader="none"/>
          <w:tab w:pos="1198" w:val="left" w:leader="none"/>
        </w:tabs>
        <w:spacing w:line="240" w:lineRule="auto" w:before="64" w:after="0"/>
        <w:ind w:left="1197" w:right="0" w:hanging="360"/>
        <w:jc w:val="left"/>
        <w:rPr>
          <w:sz w:val="38"/>
        </w:rPr>
      </w:pPr>
      <w:r>
        <w:rPr>
          <w:sz w:val="38"/>
        </w:rPr>
        <w:t>protection of omega-3 fatty acids from destruction by free</w:t>
      </w:r>
      <w:r>
        <w:rPr>
          <w:spacing w:val="-13"/>
          <w:sz w:val="38"/>
        </w:rPr>
        <w:t> </w:t>
      </w:r>
      <w:r>
        <w:rPr>
          <w:sz w:val="38"/>
        </w:rPr>
        <w:t>radicals;</w:t>
      </w:r>
    </w:p>
    <w:p>
      <w:pPr>
        <w:pStyle w:val="ListParagraph"/>
        <w:numPr>
          <w:ilvl w:val="0"/>
          <w:numId w:val="63"/>
        </w:numPr>
        <w:tabs>
          <w:tab w:pos="1197" w:val="left" w:leader="none"/>
          <w:tab w:pos="1198" w:val="left" w:leader="none"/>
        </w:tabs>
        <w:spacing w:line="240" w:lineRule="auto" w:before="63" w:after="0"/>
        <w:ind w:left="1197" w:right="0" w:hanging="360"/>
        <w:jc w:val="left"/>
        <w:rPr>
          <w:sz w:val="38"/>
        </w:rPr>
      </w:pPr>
      <w:r>
        <w:rPr>
          <w:sz w:val="38"/>
        </w:rPr>
        <w:t>counteracting glycolisation (saccharification of the body's own</w:t>
      </w:r>
      <w:r>
        <w:rPr>
          <w:spacing w:val="-21"/>
          <w:sz w:val="38"/>
        </w:rPr>
        <w:t> </w:t>
      </w:r>
      <w:r>
        <w:rPr>
          <w:sz w:val="38"/>
        </w:rPr>
        <w:t>proteins);</w:t>
      </w:r>
    </w:p>
    <w:p>
      <w:pPr>
        <w:pStyle w:val="ListParagraph"/>
        <w:numPr>
          <w:ilvl w:val="0"/>
          <w:numId w:val="63"/>
        </w:numPr>
        <w:tabs>
          <w:tab w:pos="1197" w:val="left" w:leader="none"/>
          <w:tab w:pos="1198" w:val="left" w:leader="none"/>
        </w:tabs>
        <w:spacing w:line="240" w:lineRule="auto" w:before="64" w:after="0"/>
        <w:ind w:left="1197" w:right="0" w:hanging="360"/>
        <w:jc w:val="left"/>
        <w:rPr>
          <w:sz w:val="38"/>
        </w:rPr>
      </w:pPr>
      <w:r>
        <w:rPr>
          <w:sz w:val="38"/>
        </w:rPr>
        <w:t>increased cognitive</w:t>
      </w:r>
      <w:r>
        <w:rPr>
          <w:spacing w:val="-1"/>
          <w:sz w:val="38"/>
        </w:rPr>
        <w:t> </w:t>
      </w:r>
      <w:r>
        <w:rPr>
          <w:sz w:val="38"/>
        </w:rPr>
        <w:t>abilities;</w:t>
      </w:r>
    </w:p>
    <w:p>
      <w:pPr>
        <w:pStyle w:val="ListParagraph"/>
        <w:numPr>
          <w:ilvl w:val="0"/>
          <w:numId w:val="63"/>
        </w:numPr>
        <w:tabs>
          <w:tab w:pos="1197" w:val="left" w:leader="none"/>
          <w:tab w:pos="1198" w:val="left" w:leader="none"/>
        </w:tabs>
        <w:spacing w:line="273" w:lineRule="auto" w:before="66" w:after="0"/>
        <w:ind w:left="1197" w:right="136" w:hanging="360"/>
        <w:jc w:val="left"/>
        <w:rPr>
          <w:sz w:val="38"/>
        </w:rPr>
      </w:pPr>
      <w:r>
        <w:rPr>
          <w:sz w:val="38"/>
        </w:rPr>
        <w:t>effect against Alzheimer's and dementia (improvement of memory, lan- guage, orientation).</w:t>
      </w:r>
    </w:p>
    <w:p>
      <w:pPr>
        <w:pStyle w:val="Heading2"/>
        <w:spacing w:before="246"/>
      </w:pPr>
      <w:r>
        <w:rPr/>
        <w:t>The sensational Nicuta Regeneration Therapy</w:t>
      </w:r>
    </w:p>
    <w:p>
      <w:pPr>
        <w:pStyle w:val="BodyText"/>
        <w:spacing w:line="276" w:lineRule="auto" w:before="302"/>
        <w:ind w:left="477"/>
      </w:pPr>
      <w:r>
        <w:rPr/>
        <w:t>In a sensational experiment, researchers from the renowned University of Cal- ifornia</w:t>
      </w:r>
      <w:r>
        <w:rPr>
          <w:spacing w:val="51"/>
        </w:rPr>
        <w:t> </w:t>
      </w:r>
      <w:r>
        <w:rPr/>
        <w:t>discovered</w:t>
      </w:r>
      <w:r>
        <w:rPr>
          <w:spacing w:val="52"/>
        </w:rPr>
        <w:t> </w:t>
      </w:r>
      <w:r>
        <w:rPr/>
        <w:t>something</w:t>
      </w:r>
      <w:r>
        <w:rPr>
          <w:spacing w:val="51"/>
        </w:rPr>
        <w:t> </w:t>
      </w:r>
      <w:r>
        <w:rPr/>
        <w:t>astonishing</w:t>
      </w:r>
      <w:r>
        <w:rPr>
          <w:spacing w:val="54"/>
        </w:rPr>
        <w:t> </w:t>
      </w:r>
      <w:r>
        <w:rPr/>
        <w:t>when</w:t>
      </w:r>
      <w:r>
        <w:rPr>
          <w:spacing w:val="53"/>
        </w:rPr>
        <w:t> </w:t>
      </w:r>
      <w:r>
        <w:rPr/>
        <w:t>combining</w:t>
      </w:r>
      <w:r>
        <w:rPr>
          <w:spacing w:val="51"/>
        </w:rPr>
        <w:t> </w:t>
      </w:r>
      <w:r>
        <w:rPr/>
        <w:t>acetyl-L-carnitine</w:t>
      </w:r>
    </w:p>
    <w:p>
      <w:pPr>
        <w:spacing w:after="0" w:line="276" w:lineRule="auto"/>
        <w:sectPr>
          <w:pgSz w:w="14270" w:h="16850"/>
          <w:pgMar w:header="0" w:footer="404" w:top="1600" w:bottom="2080" w:left="800" w:right="1280"/>
        </w:sectPr>
      </w:pPr>
    </w:p>
    <w:p>
      <w:pPr>
        <w:pStyle w:val="BodyText"/>
        <w:spacing w:line="276" w:lineRule="auto" w:before="181"/>
        <w:ind w:left="477" w:right="133"/>
        <w:jc w:val="both"/>
      </w:pPr>
      <w:r>
        <w:rPr/>
        <w:t>and</w:t>
      </w:r>
      <w:r>
        <w:rPr>
          <w:spacing w:val="-21"/>
        </w:rPr>
        <w:t> </w:t>
      </w:r>
      <w:r>
        <w:rPr/>
        <w:t>alpha-lipoic</w:t>
      </w:r>
      <w:r>
        <w:rPr>
          <w:spacing w:val="-20"/>
        </w:rPr>
        <w:t> </w:t>
      </w:r>
      <w:r>
        <w:rPr/>
        <w:t>acid:</w:t>
      </w:r>
      <w:r>
        <w:rPr>
          <w:spacing w:val="-21"/>
        </w:rPr>
        <w:t> </w:t>
      </w:r>
      <w:r>
        <w:rPr/>
        <w:t>the</w:t>
      </w:r>
      <w:r>
        <w:rPr>
          <w:spacing w:val="-20"/>
        </w:rPr>
        <w:t> </w:t>
      </w:r>
      <w:r>
        <w:rPr/>
        <w:t>body</w:t>
      </w:r>
      <w:r>
        <w:rPr>
          <w:spacing w:val="-24"/>
        </w:rPr>
        <w:t> </w:t>
      </w:r>
      <w:r>
        <w:rPr/>
        <w:t>cells</w:t>
      </w:r>
      <w:r>
        <w:rPr>
          <w:spacing w:val="-22"/>
        </w:rPr>
        <w:t> </w:t>
      </w:r>
      <w:r>
        <w:rPr/>
        <w:t>of</w:t>
      </w:r>
      <w:r>
        <w:rPr>
          <w:spacing w:val="-21"/>
        </w:rPr>
        <w:t> </w:t>
      </w:r>
      <w:r>
        <w:rPr/>
        <w:t>the</w:t>
      </w:r>
      <w:r>
        <w:rPr>
          <w:spacing w:val="-20"/>
        </w:rPr>
        <w:t> </w:t>
      </w:r>
      <w:r>
        <w:rPr/>
        <w:t>animals</w:t>
      </w:r>
      <w:r>
        <w:rPr>
          <w:spacing w:val="-24"/>
        </w:rPr>
        <w:t> </w:t>
      </w:r>
      <w:r>
        <w:rPr/>
        <w:t>in</w:t>
      </w:r>
      <w:r>
        <w:rPr>
          <w:spacing w:val="-20"/>
        </w:rPr>
        <w:t> </w:t>
      </w:r>
      <w:r>
        <w:rPr/>
        <w:t>the</w:t>
      </w:r>
      <w:r>
        <w:rPr>
          <w:spacing w:val="-23"/>
        </w:rPr>
        <w:t> </w:t>
      </w:r>
      <w:r>
        <w:rPr/>
        <w:t>trial</w:t>
      </w:r>
      <w:r>
        <w:rPr>
          <w:spacing w:val="-22"/>
        </w:rPr>
        <w:t> </w:t>
      </w:r>
      <w:r>
        <w:rPr/>
        <w:t>assumed</w:t>
      </w:r>
      <w:r>
        <w:rPr>
          <w:spacing w:val="-22"/>
        </w:rPr>
        <w:t> </w:t>
      </w:r>
      <w:r>
        <w:rPr/>
        <w:t>the</w:t>
      </w:r>
      <w:r>
        <w:rPr>
          <w:spacing w:val="-20"/>
        </w:rPr>
        <w:t> </w:t>
      </w:r>
      <w:r>
        <w:rPr/>
        <w:t>struc- ture of juvenile cells under the electron microscope, something which even</w:t>
      </w:r>
      <w:r>
        <w:rPr>
          <w:spacing w:val="-43"/>
        </w:rPr>
        <w:t> </w:t>
      </w:r>
      <w:r>
        <w:rPr/>
        <w:t>left renowned cell biologists like Prof. Dr. Bruce N. Ames speechless. To put it in the words of Dr. Tory M. Hagen, a biomedic who was also involved in the experiments:</w:t>
      </w:r>
    </w:p>
    <w:p>
      <w:pPr>
        <w:spacing w:line="276" w:lineRule="auto" w:before="240"/>
        <w:ind w:left="477" w:right="132" w:firstLine="0"/>
        <w:jc w:val="both"/>
        <w:rPr>
          <w:i/>
          <w:sz w:val="38"/>
        </w:rPr>
      </w:pPr>
      <w:r>
        <w:rPr>
          <w:sz w:val="38"/>
        </w:rPr>
        <w:t>‘</w:t>
      </w:r>
      <w:r>
        <w:rPr>
          <w:i/>
          <w:sz w:val="38"/>
        </w:rPr>
        <w:t>Applied to humans, the substances would make a 75 to 80-year-old human being into a </w:t>
      </w:r>
      <w:r>
        <w:rPr>
          <w:i/>
          <w:sz w:val="38"/>
        </w:rPr>
        <w:t>middle-aged person’.</w:t>
      </w:r>
    </w:p>
    <w:p>
      <w:pPr>
        <w:pStyle w:val="BodyText"/>
        <w:spacing w:line="276" w:lineRule="auto" w:before="241"/>
        <w:ind w:left="477" w:right="130"/>
        <w:jc w:val="both"/>
      </w:pPr>
      <w:r>
        <w:rPr/>
        <w:t>The aged rats showed youthful behaviour after just one month of treatment with acetyl-L-carnitine and alpha-lipoic acid; they completed performance and memory</w:t>
      </w:r>
      <w:r>
        <w:rPr>
          <w:spacing w:val="-17"/>
        </w:rPr>
        <w:t> </w:t>
      </w:r>
      <w:r>
        <w:rPr/>
        <w:t>tests</w:t>
      </w:r>
      <w:r>
        <w:rPr>
          <w:spacing w:val="-18"/>
        </w:rPr>
        <w:t> </w:t>
      </w:r>
      <w:r>
        <w:rPr/>
        <w:t>with</w:t>
      </w:r>
      <w:r>
        <w:rPr>
          <w:spacing w:val="-17"/>
        </w:rPr>
        <w:t> </w:t>
      </w:r>
      <w:r>
        <w:rPr/>
        <w:t>flying</w:t>
      </w:r>
      <w:r>
        <w:rPr>
          <w:spacing w:val="-16"/>
        </w:rPr>
        <w:t> </w:t>
      </w:r>
      <w:r>
        <w:rPr/>
        <w:t>colours</w:t>
      </w:r>
      <w:r>
        <w:rPr>
          <w:spacing w:val="-21"/>
        </w:rPr>
        <w:t> </w:t>
      </w:r>
      <w:r>
        <w:rPr/>
        <w:t>and</w:t>
      </w:r>
      <w:r>
        <w:rPr>
          <w:spacing w:val="-17"/>
        </w:rPr>
        <w:t> </w:t>
      </w:r>
      <w:r>
        <w:rPr/>
        <w:t>reacted</w:t>
      </w:r>
      <w:r>
        <w:rPr>
          <w:spacing w:val="-17"/>
        </w:rPr>
        <w:t> </w:t>
      </w:r>
      <w:r>
        <w:rPr/>
        <w:t>like</w:t>
      </w:r>
      <w:r>
        <w:rPr>
          <w:spacing w:val="-21"/>
        </w:rPr>
        <w:t> </w:t>
      </w:r>
      <w:r>
        <w:rPr/>
        <w:t>their</w:t>
      </w:r>
      <w:r>
        <w:rPr>
          <w:spacing w:val="-16"/>
        </w:rPr>
        <w:t> </w:t>
      </w:r>
      <w:r>
        <w:rPr/>
        <w:t>young</w:t>
      </w:r>
      <w:r>
        <w:rPr>
          <w:spacing w:val="-17"/>
        </w:rPr>
        <w:t> </w:t>
      </w:r>
      <w:r>
        <w:rPr/>
        <w:t>conspecifics.</w:t>
      </w:r>
      <w:r>
        <w:rPr>
          <w:spacing w:val="-16"/>
        </w:rPr>
        <w:t> </w:t>
      </w:r>
      <w:r>
        <w:rPr/>
        <w:t>Very soon,</w:t>
      </w:r>
      <w:r>
        <w:rPr>
          <w:spacing w:val="-10"/>
        </w:rPr>
        <w:t> </w:t>
      </w:r>
      <w:r>
        <w:rPr/>
        <w:t>they</w:t>
      </w:r>
      <w:r>
        <w:rPr>
          <w:spacing w:val="-6"/>
        </w:rPr>
        <w:t> </w:t>
      </w:r>
      <w:r>
        <w:rPr/>
        <w:t>showed</w:t>
      </w:r>
      <w:r>
        <w:rPr>
          <w:spacing w:val="-7"/>
        </w:rPr>
        <w:t> </w:t>
      </w:r>
      <w:r>
        <w:rPr/>
        <w:t>the</w:t>
      </w:r>
      <w:r>
        <w:rPr>
          <w:spacing w:val="-6"/>
        </w:rPr>
        <w:t> </w:t>
      </w:r>
      <w:r>
        <w:rPr/>
        <w:t>pronounced</w:t>
      </w:r>
      <w:r>
        <w:rPr>
          <w:spacing w:val="-7"/>
        </w:rPr>
        <w:t> </w:t>
      </w:r>
      <w:r>
        <w:rPr/>
        <w:t>mating</w:t>
      </w:r>
      <w:r>
        <w:rPr>
          <w:spacing w:val="-6"/>
        </w:rPr>
        <w:t> </w:t>
      </w:r>
      <w:r>
        <w:rPr/>
        <w:t>tendency</w:t>
      </w:r>
      <w:r>
        <w:rPr>
          <w:spacing w:val="-8"/>
        </w:rPr>
        <w:t> </w:t>
      </w:r>
      <w:r>
        <w:rPr/>
        <w:t>of</w:t>
      </w:r>
      <w:r>
        <w:rPr>
          <w:spacing w:val="-7"/>
        </w:rPr>
        <w:t> </w:t>
      </w:r>
      <w:r>
        <w:rPr/>
        <w:t>young</w:t>
      </w:r>
      <w:r>
        <w:rPr>
          <w:spacing w:val="-7"/>
        </w:rPr>
        <w:t> </w:t>
      </w:r>
      <w:r>
        <w:rPr/>
        <w:t>animals</w:t>
      </w:r>
      <w:r>
        <w:rPr>
          <w:spacing w:val="-7"/>
        </w:rPr>
        <w:t> </w:t>
      </w:r>
      <w:r>
        <w:rPr/>
        <w:t>and</w:t>
      </w:r>
      <w:r>
        <w:rPr>
          <w:spacing w:val="-7"/>
        </w:rPr>
        <w:t> </w:t>
      </w:r>
      <w:r>
        <w:rPr/>
        <w:t>sur- vived the comparison group of non-treated conspecifics by a significant</w:t>
      </w:r>
      <w:r>
        <w:rPr>
          <w:spacing w:val="-38"/>
        </w:rPr>
        <w:t> </w:t>
      </w:r>
      <w:r>
        <w:rPr/>
        <w:t>period of time.</w:t>
      </w:r>
    </w:p>
    <w:p>
      <w:pPr>
        <w:pStyle w:val="BodyText"/>
        <w:spacing w:line="276" w:lineRule="auto" w:before="240"/>
        <w:ind w:left="477" w:right="137"/>
        <w:jc w:val="both"/>
      </w:pPr>
      <w:r>
        <w:rPr/>
        <w:t>The researchers concluded that the combination of acetyl-L-carnitine and al- pha-lipoic acid synergistically leads to a reduction of oxidative stress and not only slows down the damage of RNA/DNA, but even prevents it and – even more spectacularly partly reverses it.</w:t>
      </w:r>
    </w:p>
    <w:p>
      <w:pPr>
        <w:spacing w:before="242"/>
        <w:ind w:left="477" w:right="0" w:firstLine="0"/>
        <w:jc w:val="left"/>
        <w:rPr>
          <w:i/>
          <w:sz w:val="38"/>
        </w:rPr>
      </w:pPr>
      <w:r>
        <w:rPr>
          <w:sz w:val="38"/>
        </w:rPr>
        <w:t>Prof. Dr. Ames says, ‘</w:t>
      </w:r>
      <w:r>
        <w:rPr>
          <w:i/>
          <w:sz w:val="38"/>
        </w:rPr>
        <w:t>The old rats danced the Macarena’.</w:t>
      </w:r>
    </w:p>
    <w:p>
      <w:pPr>
        <w:pStyle w:val="BodyText"/>
        <w:spacing w:line="276" w:lineRule="auto" w:before="303"/>
        <w:ind w:left="477" w:right="133"/>
        <w:jc w:val="both"/>
      </w:pPr>
      <w:r>
        <w:rPr/>
        <w:t>The US researchers confirmed the findings of the German-Romanian regener- ation researcher and Dr. Dann Nicuta, with the difference that Nicuta</w:t>
      </w:r>
      <w:r>
        <w:rPr>
          <w:spacing w:val="-47"/>
        </w:rPr>
        <w:t> </w:t>
      </w:r>
      <w:r>
        <w:rPr/>
        <w:t>believed</w:t>
      </w:r>
    </w:p>
    <w:p>
      <w:pPr>
        <w:spacing w:after="0" w:line="276" w:lineRule="auto"/>
        <w:jc w:val="both"/>
        <w:sectPr>
          <w:pgSz w:w="14270" w:h="16850"/>
          <w:pgMar w:header="0" w:footer="404" w:top="1600" w:bottom="2080" w:left="800" w:right="1280"/>
        </w:sectPr>
      </w:pPr>
    </w:p>
    <w:p>
      <w:pPr>
        <w:pStyle w:val="BodyText"/>
        <w:spacing w:line="276" w:lineRule="auto" w:before="181"/>
        <w:ind w:left="477" w:right="129"/>
        <w:jc w:val="both"/>
      </w:pPr>
      <w:r>
        <w:rPr/>
        <w:t>that a third substance (Procaine) in the combination provided the crucial reju- venation mechanisms. Incidentally, the study, published under the name ‘Die- tary supplements make old rats youthful, may help rejuvenate aging humans, according to UC Berkeley study’, can be obtained from the University of Cali- fornia, Berkeley, USA, under Publication Number 510-643-6998 (US Pat.</w:t>
      </w:r>
      <w:r>
        <w:rPr>
          <w:spacing w:val="-62"/>
        </w:rPr>
        <w:t> </w:t>
      </w:r>
      <w:r>
        <w:rPr/>
        <w:t>Con- tact: Robert Sanders). Furthermore, the work of Dr. Ames et al. was published in the February issue of the </w:t>
      </w:r>
      <w:r>
        <w:rPr>
          <w:i/>
        </w:rPr>
        <w:t>Proceedings of the National Academy of Sciences USA </w:t>
      </w:r>
      <w:r>
        <w:rPr/>
        <w:t>(PNAS).</w:t>
      </w:r>
    </w:p>
    <w:p>
      <w:pPr>
        <w:pStyle w:val="BodyText"/>
        <w:rPr>
          <w:sz w:val="42"/>
        </w:rPr>
      </w:pPr>
    </w:p>
    <w:p>
      <w:pPr>
        <w:pStyle w:val="BodyText"/>
        <w:spacing w:before="6"/>
        <w:rPr>
          <w:sz w:val="44"/>
        </w:rPr>
      </w:pPr>
    </w:p>
    <w:p>
      <w:pPr>
        <w:pStyle w:val="Heading2"/>
      </w:pPr>
      <w:r>
        <w:rPr/>
        <w:t>Studies on L-carnitine and acetyl-L-carnitine</w:t>
      </w:r>
    </w:p>
    <w:p>
      <w:pPr>
        <w:pStyle w:val="BodyText"/>
        <w:spacing w:line="276" w:lineRule="auto" w:before="305"/>
        <w:ind w:left="477" w:right="133"/>
        <w:jc w:val="both"/>
      </w:pPr>
      <w:r>
        <w:rPr/>
        <w:t>L-carnitine is one of the substances which science is researching with great in- terest. In total, there are more than 9,000 studies and scientific papers on L- carnitine worldwide. Here is a small excerpt.</w:t>
      </w:r>
    </w:p>
    <w:p>
      <w:pPr>
        <w:pStyle w:val="Heading2"/>
        <w:spacing w:before="239"/>
        <w:jc w:val="both"/>
      </w:pPr>
      <w:r>
        <w:rPr/>
        <w:t>Fat-burning studies using L-carnitine</w:t>
      </w:r>
    </w:p>
    <w:p>
      <w:pPr>
        <w:pStyle w:val="BodyText"/>
        <w:spacing w:before="304"/>
        <w:ind w:left="477"/>
        <w:jc w:val="both"/>
      </w:pPr>
      <w:r>
        <w:rPr/>
        <w:t>L-carnitine accelerates fat metabolism and thus helps with weight-loss:</w:t>
      </w:r>
    </w:p>
    <w:p>
      <w:pPr>
        <w:spacing w:after="0"/>
        <w:jc w:val="both"/>
        <w:sectPr>
          <w:pgSz w:w="14270" w:h="16850"/>
          <w:pgMar w:header="0" w:footer="404" w:top="1600" w:bottom="2080" w:left="800" w:right="1280"/>
        </w:sectPr>
      </w:pPr>
    </w:p>
    <w:p>
      <w:pPr>
        <w:pStyle w:val="BodyText"/>
        <w:spacing w:before="1"/>
        <w:rPr>
          <w:rFonts w:ascii="Times New Roman"/>
          <w:sz w:val="16"/>
        </w:rPr>
      </w:pPr>
    </w:p>
    <w:tbl>
      <w:tblPr>
        <w:tblW w:w="0" w:type="auto"/>
        <w:jc w:val="left"/>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0"/>
        <w:gridCol w:w="1416"/>
        <w:gridCol w:w="1135"/>
        <w:gridCol w:w="991"/>
        <w:gridCol w:w="1560"/>
        <w:gridCol w:w="1985"/>
        <w:gridCol w:w="2410"/>
      </w:tblGrid>
      <w:tr>
        <w:trPr>
          <w:trHeight w:val="3835" w:hRule="atLeast"/>
        </w:trPr>
        <w:tc>
          <w:tcPr>
            <w:tcW w:w="1130" w:type="dxa"/>
            <w:shd w:val="clear" w:color="auto" w:fill="8DB3E1"/>
          </w:tcPr>
          <w:p>
            <w:pPr>
              <w:pStyle w:val="TableParagraph"/>
              <w:spacing w:line="276" w:lineRule="auto"/>
              <w:ind w:left="136" w:right="129" w:hanging="5"/>
              <w:jc w:val="center"/>
              <w:rPr>
                <w:b/>
                <w:sz w:val="38"/>
              </w:rPr>
            </w:pPr>
            <w:r>
              <w:rPr>
                <w:b/>
                <w:spacing w:val="-2"/>
                <w:sz w:val="38"/>
              </w:rPr>
              <w:t>Di- </w:t>
            </w:r>
            <w:r>
              <w:rPr>
                <w:b/>
                <w:sz w:val="38"/>
              </w:rPr>
              <w:t>rec- tor</w:t>
            </w:r>
            <w:r>
              <w:rPr>
                <w:b/>
                <w:spacing w:val="-5"/>
                <w:sz w:val="38"/>
              </w:rPr>
              <w:t> </w:t>
            </w:r>
            <w:r>
              <w:rPr>
                <w:b/>
                <w:sz w:val="38"/>
              </w:rPr>
              <w:t>of stud- ies</w:t>
            </w:r>
          </w:p>
        </w:tc>
        <w:tc>
          <w:tcPr>
            <w:tcW w:w="1416" w:type="dxa"/>
            <w:shd w:val="clear" w:color="auto" w:fill="8DB3E1"/>
          </w:tcPr>
          <w:p>
            <w:pPr>
              <w:pStyle w:val="TableParagraph"/>
              <w:spacing w:line="276" w:lineRule="auto"/>
              <w:ind w:left="220" w:right="206"/>
              <w:jc w:val="center"/>
              <w:rPr>
                <w:b/>
                <w:sz w:val="38"/>
              </w:rPr>
            </w:pPr>
            <w:r>
              <w:rPr>
                <w:b/>
                <w:w w:val="95"/>
                <w:sz w:val="38"/>
              </w:rPr>
              <w:t>Num- </w:t>
            </w:r>
            <w:r>
              <w:rPr>
                <w:b/>
                <w:sz w:val="38"/>
              </w:rPr>
              <w:t>ber of sub- jects</w:t>
            </w:r>
          </w:p>
        </w:tc>
        <w:tc>
          <w:tcPr>
            <w:tcW w:w="1135" w:type="dxa"/>
            <w:shd w:val="clear" w:color="auto" w:fill="8DB3E1"/>
          </w:tcPr>
          <w:p>
            <w:pPr>
              <w:pStyle w:val="TableParagraph"/>
              <w:spacing w:line="424" w:lineRule="exact"/>
              <w:ind w:left="384"/>
              <w:rPr>
                <w:b/>
                <w:sz w:val="38"/>
              </w:rPr>
            </w:pPr>
            <w:r>
              <w:rPr>
                <w:b/>
                <w:sz w:val="38"/>
              </w:rPr>
              <w:t>L-</w:t>
            </w:r>
          </w:p>
          <w:p>
            <w:pPr>
              <w:pStyle w:val="TableParagraph"/>
              <w:spacing w:line="276" w:lineRule="auto" w:before="64"/>
              <w:ind w:left="192" w:right="180" w:firstLine="1"/>
              <w:jc w:val="center"/>
              <w:rPr>
                <w:b/>
                <w:sz w:val="38"/>
              </w:rPr>
            </w:pPr>
            <w:r>
              <w:rPr>
                <w:b/>
                <w:sz w:val="38"/>
              </w:rPr>
              <w:t>car- nitin e</w:t>
            </w:r>
          </w:p>
          <w:p>
            <w:pPr>
              <w:pStyle w:val="TableParagraph"/>
              <w:spacing w:before="121"/>
              <w:ind w:left="132" w:right="121"/>
              <w:jc w:val="center"/>
              <w:rPr>
                <w:b/>
                <w:sz w:val="38"/>
              </w:rPr>
            </w:pPr>
            <w:r>
              <w:rPr>
                <w:b/>
                <w:sz w:val="38"/>
              </w:rPr>
              <w:t>Dose</w:t>
            </w:r>
          </w:p>
          <w:p>
            <w:pPr>
              <w:pStyle w:val="TableParagraph"/>
              <w:spacing w:before="65"/>
              <w:ind w:left="130" w:right="121"/>
              <w:jc w:val="center"/>
              <w:rPr>
                <w:b/>
                <w:sz w:val="38"/>
              </w:rPr>
            </w:pPr>
            <w:r>
              <w:rPr>
                <w:b/>
                <w:sz w:val="38"/>
              </w:rPr>
              <w:t>/day</w:t>
            </w:r>
          </w:p>
        </w:tc>
        <w:tc>
          <w:tcPr>
            <w:tcW w:w="991" w:type="dxa"/>
            <w:shd w:val="clear" w:color="auto" w:fill="8DB3E1"/>
          </w:tcPr>
          <w:p>
            <w:pPr>
              <w:pStyle w:val="TableParagraph"/>
              <w:spacing w:line="276" w:lineRule="auto"/>
              <w:ind w:left="147" w:right="132"/>
              <w:jc w:val="center"/>
              <w:rPr>
                <w:b/>
                <w:sz w:val="38"/>
              </w:rPr>
            </w:pPr>
            <w:r>
              <w:rPr>
                <w:b/>
                <w:w w:val="95"/>
                <w:sz w:val="38"/>
              </w:rPr>
              <w:t>Diet </w:t>
            </w:r>
            <w:r>
              <w:rPr>
                <w:b/>
                <w:sz w:val="38"/>
              </w:rPr>
              <w:t>du-</w:t>
            </w:r>
          </w:p>
          <w:p>
            <w:pPr>
              <w:pStyle w:val="TableParagraph"/>
              <w:spacing w:line="276" w:lineRule="auto"/>
              <w:ind w:left="178" w:right="167" w:firstLine="2"/>
              <w:jc w:val="center"/>
              <w:rPr>
                <w:b/>
                <w:sz w:val="38"/>
              </w:rPr>
            </w:pPr>
            <w:r>
              <w:rPr>
                <w:b/>
                <w:sz w:val="38"/>
              </w:rPr>
              <w:t>ra- </w:t>
            </w:r>
            <w:r>
              <w:rPr>
                <w:b/>
                <w:w w:val="95"/>
                <w:sz w:val="38"/>
              </w:rPr>
              <w:t>tion</w:t>
            </w:r>
          </w:p>
        </w:tc>
        <w:tc>
          <w:tcPr>
            <w:tcW w:w="1560" w:type="dxa"/>
            <w:shd w:val="clear" w:color="auto" w:fill="8DB3E1"/>
          </w:tcPr>
          <w:p>
            <w:pPr>
              <w:pStyle w:val="TableParagraph"/>
              <w:spacing w:line="276" w:lineRule="auto"/>
              <w:ind w:left="131" w:right="117"/>
              <w:jc w:val="center"/>
              <w:rPr>
                <w:b/>
                <w:sz w:val="38"/>
              </w:rPr>
            </w:pPr>
            <w:r>
              <w:rPr>
                <w:b/>
                <w:w w:val="95"/>
                <w:sz w:val="38"/>
              </w:rPr>
              <w:t>Effect </w:t>
            </w:r>
            <w:r>
              <w:rPr>
                <w:b/>
                <w:sz w:val="38"/>
              </w:rPr>
              <w:t>with</w:t>
            </w:r>
          </w:p>
          <w:p>
            <w:pPr>
              <w:pStyle w:val="TableParagraph"/>
              <w:spacing w:before="117"/>
              <w:ind w:left="131" w:right="123"/>
              <w:jc w:val="center"/>
              <w:rPr>
                <w:b/>
                <w:sz w:val="38"/>
              </w:rPr>
            </w:pPr>
            <w:r>
              <w:rPr>
                <w:b/>
                <w:sz w:val="38"/>
              </w:rPr>
              <w:t>placebo</w:t>
            </w:r>
          </w:p>
        </w:tc>
        <w:tc>
          <w:tcPr>
            <w:tcW w:w="1985" w:type="dxa"/>
            <w:shd w:val="clear" w:color="auto" w:fill="8DB3E1"/>
          </w:tcPr>
          <w:p>
            <w:pPr>
              <w:pStyle w:val="TableParagraph"/>
              <w:spacing w:line="276" w:lineRule="auto"/>
              <w:ind w:left="505" w:right="490"/>
              <w:jc w:val="center"/>
              <w:rPr>
                <w:b/>
                <w:sz w:val="38"/>
              </w:rPr>
            </w:pPr>
            <w:r>
              <w:rPr>
                <w:b/>
                <w:w w:val="95"/>
                <w:sz w:val="38"/>
              </w:rPr>
              <w:t>Effect </w:t>
            </w:r>
            <w:r>
              <w:rPr>
                <w:b/>
                <w:sz w:val="38"/>
              </w:rPr>
              <w:t>with</w:t>
            </w:r>
          </w:p>
          <w:p>
            <w:pPr>
              <w:pStyle w:val="TableParagraph"/>
              <w:spacing w:line="276" w:lineRule="auto" w:before="117"/>
              <w:ind w:left="505" w:right="493"/>
              <w:jc w:val="center"/>
              <w:rPr>
                <w:b/>
                <w:sz w:val="38"/>
              </w:rPr>
            </w:pPr>
            <w:r>
              <w:rPr>
                <w:b/>
                <w:w w:val="95"/>
                <w:sz w:val="38"/>
              </w:rPr>
              <w:t>L-car- </w:t>
            </w:r>
            <w:r>
              <w:rPr>
                <w:b/>
                <w:sz w:val="38"/>
              </w:rPr>
              <w:t>nitine</w:t>
            </w:r>
          </w:p>
        </w:tc>
        <w:tc>
          <w:tcPr>
            <w:tcW w:w="2410" w:type="dxa"/>
            <w:shd w:val="clear" w:color="auto" w:fill="8DB3E1"/>
          </w:tcPr>
          <w:p>
            <w:pPr>
              <w:pStyle w:val="TableParagraph"/>
              <w:spacing w:line="276" w:lineRule="auto"/>
              <w:ind w:left="853" w:right="242" w:hanging="581"/>
              <w:rPr>
                <w:b/>
                <w:sz w:val="38"/>
              </w:rPr>
            </w:pPr>
            <w:r>
              <w:rPr>
                <w:b/>
                <w:sz w:val="38"/>
              </w:rPr>
              <w:t>Weight</w:t>
            </w:r>
            <w:r>
              <w:rPr>
                <w:b/>
                <w:spacing w:val="-3"/>
                <w:sz w:val="38"/>
              </w:rPr>
              <w:t> </w:t>
            </w:r>
            <w:r>
              <w:rPr>
                <w:b/>
                <w:sz w:val="38"/>
              </w:rPr>
              <w:t>loss with</w:t>
            </w:r>
          </w:p>
          <w:p>
            <w:pPr>
              <w:pStyle w:val="TableParagraph"/>
              <w:spacing w:line="276" w:lineRule="auto" w:before="117"/>
              <w:ind w:left="841" w:right="110" w:hanging="531"/>
              <w:rPr>
                <w:b/>
                <w:sz w:val="38"/>
              </w:rPr>
            </w:pPr>
            <w:r>
              <w:rPr>
                <w:b/>
                <w:w w:val="95"/>
                <w:sz w:val="38"/>
              </w:rPr>
              <w:t>L-carnitine </w:t>
            </w:r>
            <w:r>
              <w:rPr>
                <w:b/>
                <w:sz w:val="38"/>
              </w:rPr>
              <w:t>in</w:t>
            </w:r>
            <w:r>
              <w:rPr>
                <w:b/>
                <w:spacing w:val="-3"/>
                <w:sz w:val="38"/>
              </w:rPr>
              <w:t> </w:t>
            </w:r>
            <w:r>
              <w:rPr>
                <w:b/>
                <w:sz w:val="38"/>
              </w:rPr>
              <w:t>%</w:t>
            </w:r>
          </w:p>
        </w:tc>
      </w:tr>
      <w:tr>
        <w:trPr>
          <w:trHeight w:val="1595" w:hRule="atLeast"/>
        </w:trPr>
        <w:tc>
          <w:tcPr>
            <w:tcW w:w="1130" w:type="dxa"/>
          </w:tcPr>
          <w:p>
            <w:pPr>
              <w:pStyle w:val="TableParagraph"/>
              <w:spacing w:line="424" w:lineRule="exact"/>
              <w:ind w:left="210"/>
              <w:rPr>
                <w:sz w:val="38"/>
              </w:rPr>
            </w:pPr>
            <w:r>
              <w:rPr>
                <w:sz w:val="38"/>
              </w:rPr>
              <w:t>Siani</w:t>
            </w:r>
          </w:p>
          <w:p>
            <w:pPr>
              <w:pStyle w:val="TableParagraph"/>
              <w:spacing w:before="64"/>
              <w:ind w:left="218"/>
              <w:rPr>
                <w:sz w:val="28"/>
              </w:rPr>
            </w:pPr>
            <w:r>
              <w:rPr>
                <w:sz w:val="28"/>
              </w:rPr>
              <w:t>(1984)</w:t>
            </w:r>
          </w:p>
        </w:tc>
        <w:tc>
          <w:tcPr>
            <w:tcW w:w="1416" w:type="dxa"/>
          </w:tcPr>
          <w:p>
            <w:pPr>
              <w:pStyle w:val="TableParagraph"/>
              <w:spacing w:line="424" w:lineRule="exact"/>
              <w:ind w:left="216" w:right="206"/>
              <w:jc w:val="center"/>
              <w:rPr>
                <w:sz w:val="38"/>
              </w:rPr>
            </w:pPr>
            <w:r>
              <w:rPr>
                <w:sz w:val="38"/>
              </w:rPr>
              <w:t>28</w:t>
            </w:r>
          </w:p>
        </w:tc>
        <w:tc>
          <w:tcPr>
            <w:tcW w:w="1135" w:type="dxa"/>
          </w:tcPr>
          <w:p>
            <w:pPr>
              <w:pStyle w:val="TableParagraph"/>
              <w:spacing w:line="424" w:lineRule="exact"/>
              <w:ind w:left="132" w:right="118"/>
              <w:jc w:val="center"/>
              <w:rPr>
                <w:sz w:val="38"/>
              </w:rPr>
            </w:pPr>
            <w:r>
              <w:rPr>
                <w:sz w:val="38"/>
              </w:rPr>
              <w:t>3000</w:t>
            </w:r>
          </w:p>
          <w:p>
            <w:pPr>
              <w:pStyle w:val="TableParagraph"/>
              <w:spacing w:before="64"/>
              <w:ind w:left="132" w:right="121"/>
              <w:jc w:val="center"/>
              <w:rPr>
                <w:sz w:val="38"/>
              </w:rPr>
            </w:pPr>
            <w:r>
              <w:rPr>
                <w:sz w:val="38"/>
              </w:rPr>
              <w:t>mg</w:t>
            </w:r>
          </w:p>
        </w:tc>
        <w:tc>
          <w:tcPr>
            <w:tcW w:w="991" w:type="dxa"/>
          </w:tcPr>
          <w:p>
            <w:pPr>
              <w:pStyle w:val="TableParagraph"/>
              <w:spacing w:line="424" w:lineRule="exact"/>
              <w:ind w:left="9"/>
              <w:jc w:val="center"/>
              <w:rPr>
                <w:sz w:val="38"/>
              </w:rPr>
            </w:pPr>
            <w:r>
              <w:rPr>
                <w:w w:val="99"/>
                <w:sz w:val="38"/>
              </w:rPr>
              <w:t>4</w:t>
            </w:r>
          </w:p>
          <w:p>
            <w:pPr>
              <w:pStyle w:val="TableParagraph"/>
              <w:spacing w:line="276" w:lineRule="auto" w:before="64"/>
              <w:ind w:left="100" w:right="90"/>
              <w:jc w:val="center"/>
              <w:rPr>
                <w:sz w:val="38"/>
              </w:rPr>
            </w:pPr>
            <w:r>
              <w:rPr>
                <w:w w:val="95"/>
                <w:sz w:val="38"/>
              </w:rPr>
              <w:t>week </w:t>
            </w:r>
            <w:r>
              <w:rPr>
                <w:sz w:val="38"/>
              </w:rPr>
              <w:t>s</w:t>
            </w:r>
          </w:p>
        </w:tc>
        <w:tc>
          <w:tcPr>
            <w:tcW w:w="1560" w:type="dxa"/>
          </w:tcPr>
          <w:p>
            <w:pPr>
              <w:pStyle w:val="TableParagraph"/>
              <w:spacing w:line="424" w:lineRule="exact"/>
              <w:ind w:left="339"/>
              <w:rPr>
                <w:sz w:val="38"/>
              </w:rPr>
            </w:pPr>
            <w:r>
              <w:rPr>
                <w:sz w:val="38"/>
              </w:rPr>
              <w:t>7.1 kg</w:t>
            </w:r>
          </w:p>
        </w:tc>
        <w:tc>
          <w:tcPr>
            <w:tcW w:w="1985" w:type="dxa"/>
          </w:tcPr>
          <w:p>
            <w:pPr>
              <w:pStyle w:val="TableParagraph"/>
              <w:spacing w:line="424" w:lineRule="exact"/>
              <w:ind w:left="551"/>
              <w:rPr>
                <w:sz w:val="38"/>
              </w:rPr>
            </w:pPr>
            <w:r>
              <w:rPr>
                <w:sz w:val="38"/>
              </w:rPr>
              <w:t>9.1 kg</w:t>
            </w:r>
          </w:p>
        </w:tc>
        <w:tc>
          <w:tcPr>
            <w:tcW w:w="2410" w:type="dxa"/>
          </w:tcPr>
          <w:p>
            <w:pPr>
              <w:pStyle w:val="TableParagraph"/>
              <w:spacing w:line="424" w:lineRule="exact"/>
              <w:ind w:left="765"/>
              <w:rPr>
                <w:sz w:val="38"/>
              </w:rPr>
            </w:pPr>
            <w:r>
              <w:rPr>
                <w:sz w:val="38"/>
              </w:rPr>
              <w:t>-22 %</w:t>
            </w:r>
          </w:p>
        </w:tc>
      </w:tr>
      <w:tr>
        <w:trPr>
          <w:trHeight w:val="456" w:hRule="atLeast"/>
        </w:trPr>
        <w:tc>
          <w:tcPr>
            <w:tcW w:w="1130" w:type="dxa"/>
            <w:tcBorders>
              <w:bottom w:val="nil"/>
            </w:tcBorders>
          </w:tcPr>
          <w:p>
            <w:pPr>
              <w:pStyle w:val="TableParagraph"/>
              <w:spacing w:line="424" w:lineRule="exact"/>
              <w:ind w:left="116" w:right="109"/>
              <w:jc w:val="center"/>
              <w:rPr>
                <w:sz w:val="38"/>
              </w:rPr>
            </w:pPr>
            <w:r>
              <w:rPr>
                <w:sz w:val="38"/>
              </w:rPr>
              <w:t>Lurz</w:t>
            </w:r>
          </w:p>
        </w:tc>
        <w:tc>
          <w:tcPr>
            <w:tcW w:w="1416" w:type="dxa"/>
            <w:tcBorders>
              <w:bottom w:val="nil"/>
            </w:tcBorders>
          </w:tcPr>
          <w:p>
            <w:pPr>
              <w:pStyle w:val="TableParagraph"/>
              <w:spacing w:line="424" w:lineRule="exact"/>
              <w:ind w:left="216" w:right="206"/>
              <w:jc w:val="center"/>
              <w:rPr>
                <w:sz w:val="38"/>
              </w:rPr>
            </w:pPr>
            <w:r>
              <w:rPr>
                <w:sz w:val="38"/>
              </w:rPr>
              <w:t>100</w:t>
            </w:r>
          </w:p>
        </w:tc>
        <w:tc>
          <w:tcPr>
            <w:tcW w:w="1135" w:type="dxa"/>
            <w:tcBorders>
              <w:bottom w:val="nil"/>
            </w:tcBorders>
          </w:tcPr>
          <w:p>
            <w:pPr>
              <w:pStyle w:val="TableParagraph"/>
              <w:spacing w:line="424" w:lineRule="exact"/>
              <w:ind w:left="132" w:right="118"/>
              <w:jc w:val="center"/>
              <w:rPr>
                <w:sz w:val="38"/>
              </w:rPr>
            </w:pPr>
            <w:r>
              <w:rPr>
                <w:sz w:val="38"/>
              </w:rPr>
              <w:t>3000</w:t>
            </w:r>
          </w:p>
        </w:tc>
        <w:tc>
          <w:tcPr>
            <w:tcW w:w="991" w:type="dxa"/>
            <w:tcBorders>
              <w:bottom w:val="nil"/>
            </w:tcBorders>
          </w:tcPr>
          <w:p>
            <w:pPr>
              <w:pStyle w:val="TableParagraph"/>
              <w:spacing w:line="424" w:lineRule="exact"/>
              <w:ind w:left="9"/>
              <w:jc w:val="center"/>
              <w:rPr>
                <w:sz w:val="38"/>
              </w:rPr>
            </w:pPr>
            <w:r>
              <w:rPr>
                <w:w w:val="99"/>
                <w:sz w:val="38"/>
              </w:rPr>
              <w:t>4</w:t>
            </w:r>
          </w:p>
        </w:tc>
        <w:tc>
          <w:tcPr>
            <w:tcW w:w="1560" w:type="dxa"/>
            <w:tcBorders>
              <w:bottom w:val="nil"/>
            </w:tcBorders>
          </w:tcPr>
          <w:p>
            <w:pPr>
              <w:pStyle w:val="TableParagraph"/>
              <w:spacing w:line="424" w:lineRule="exact"/>
              <w:ind w:left="339"/>
              <w:rPr>
                <w:sz w:val="38"/>
              </w:rPr>
            </w:pPr>
            <w:r>
              <w:rPr>
                <w:sz w:val="38"/>
              </w:rPr>
              <w:t>3.5 kg</w:t>
            </w:r>
          </w:p>
        </w:tc>
        <w:tc>
          <w:tcPr>
            <w:tcW w:w="1985" w:type="dxa"/>
            <w:tcBorders>
              <w:bottom w:val="nil"/>
            </w:tcBorders>
          </w:tcPr>
          <w:p>
            <w:pPr>
              <w:pStyle w:val="TableParagraph"/>
              <w:spacing w:line="424" w:lineRule="exact"/>
              <w:ind w:left="551"/>
              <w:rPr>
                <w:sz w:val="38"/>
              </w:rPr>
            </w:pPr>
            <w:r>
              <w:rPr>
                <w:sz w:val="38"/>
              </w:rPr>
              <w:t>4.5 kg</w:t>
            </w:r>
          </w:p>
        </w:tc>
        <w:tc>
          <w:tcPr>
            <w:tcW w:w="2410" w:type="dxa"/>
            <w:tcBorders>
              <w:bottom w:val="nil"/>
            </w:tcBorders>
          </w:tcPr>
          <w:p>
            <w:pPr>
              <w:pStyle w:val="TableParagraph"/>
              <w:spacing w:line="424" w:lineRule="exact"/>
              <w:ind w:left="765"/>
              <w:rPr>
                <w:sz w:val="38"/>
              </w:rPr>
            </w:pPr>
            <w:r>
              <w:rPr>
                <w:sz w:val="38"/>
              </w:rPr>
              <w:t>-25 %</w:t>
            </w:r>
          </w:p>
        </w:tc>
      </w:tr>
      <w:tr>
        <w:trPr>
          <w:trHeight w:val="492" w:hRule="atLeast"/>
        </w:trPr>
        <w:tc>
          <w:tcPr>
            <w:tcW w:w="1130" w:type="dxa"/>
            <w:tcBorders>
              <w:top w:val="nil"/>
              <w:bottom w:val="nil"/>
            </w:tcBorders>
          </w:tcPr>
          <w:p>
            <w:pPr>
              <w:pStyle w:val="TableParagraph"/>
              <w:spacing w:before="32"/>
              <w:ind w:left="115" w:right="109"/>
              <w:jc w:val="center"/>
              <w:rPr>
                <w:sz w:val="38"/>
              </w:rPr>
            </w:pPr>
            <w:r>
              <w:rPr>
                <w:sz w:val="38"/>
              </w:rPr>
              <w:t>and</w:t>
            </w:r>
          </w:p>
        </w:tc>
        <w:tc>
          <w:tcPr>
            <w:tcW w:w="1416" w:type="dxa"/>
            <w:tcBorders>
              <w:top w:val="nil"/>
              <w:bottom w:val="nil"/>
            </w:tcBorders>
          </w:tcPr>
          <w:p>
            <w:pPr>
              <w:pStyle w:val="TableParagraph"/>
              <w:rPr>
                <w:rFonts w:ascii="Times New Roman"/>
                <w:sz w:val="36"/>
              </w:rPr>
            </w:pPr>
          </w:p>
        </w:tc>
        <w:tc>
          <w:tcPr>
            <w:tcW w:w="1135" w:type="dxa"/>
            <w:tcBorders>
              <w:top w:val="nil"/>
              <w:bottom w:val="nil"/>
            </w:tcBorders>
          </w:tcPr>
          <w:p>
            <w:pPr>
              <w:pStyle w:val="TableParagraph"/>
              <w:spacing w:before="32"/>
              <w:ind w:left="132" w:right="121"/>
              <w:jc w:val="center"/>
              <w:rPr>
                <w:sz w:val="38"/>
              </w:rPr>
            </w:pPr>
            <w:r>
              <w:rPr>
                <w:sz w:val="38"/>
              </w:rPr>
              <w:t>mg</w:t>
            </w:r>
          </w:p>
        </w:tc>
        <w:tc>
          <w:tcPr>
            <w:tcW w:w="991" w:type="dxa"/>
            <w:tcBorders>
              <w:top w:val="nil"/>
              <w:bottom w:val="nil"/>
            </w:tcBorders>
          </w:tcPr>
          <w:p>
            <w:pPr>
              <w:pStyle w:val="TableParagraph"/>
              <w:spacing w:before="32"/>
              <w:ind w:left="100" w:right="93"/>
              <w:jc w:val="center"/>
              <w:rPr>
                <w:sz w:val="38"/>
              </w:rPr>
            </w:pPr>
            <w:r>
              <w:rPr>
                <w:sz w:val="38"/>
              </w:rPr>
              <w:t>week</w:t>
            </w:r>
          </w:p>
        </w:tc>
        <w:tc>
          <w:tcPr>
            <w:tcW w:w="1560" w:type="dxa"/>
            <w:tcBorders>
              <w:top w:val="nil"/>
              <w:bottom w:val="nil"/>
            </w:tcBorders>
          </w:tcPr>
          <w:p>
            <w:pPr>
              <w:pStyle w:val="TableParagraph"/>
              <w:rPr>
                <w:rFonts w:ascii="Times New Roman"/>
                <w:sz w:val="36"/>
              </w:rPr>
            </w:pPr>
          </w:p>
        </w:tc>
        <w:tc>
          <w:tcPr>
            <w:tcW w:w="1985" w:type="dxa"/>
            <w:tcBorders>
              <w:top w:val="nil"/>
              <w:bottom w:val="nil"/>
            </w:tcBorders>
          </w:tcPr>
          <w:p>
            <w:pPr>
              <w:pStyle w:val="TableParagraph"/>
              <w:rPr>
                <w:rFonts w:ascii="Times New Roman"/>
                <w:sz w:val="36"/>
              </w:rPr>
            </w:pPr>
          </w:p>
        </w:tc>
        <w:tc>
          <w:tcPr>
            <w:tcW w:w="2410" w:type="dxa"/>
            <w:tcBorders>
              <w:top w:val="nil"/>
              <w:bottom w:val="nil"/>
            </w:tcBorders>
          </w:tcPr>
          <w:p>
            <w:pPr>
              <w:pStyle w:val="TableParagraph"/>
              <w:rPr>
                <w:rFonts w:ascii="Times New Roman"/>
                <w:sz w:val="36"/>
              </w:rPr>
            </w:pPr>
          </w:p>
        </w:tc>
      </w:tr>
      <w:tr>
        <w:trPr>
          <w:trHeight w:val="492" w:hRule="atLeast"/>
        </w:trPr>
        <w:tc>
          <w:tcPr>
            <w:tcW w:w="1130" w:type="dxa"/>
            <w:tcBorders>
              <w:top w:val="nil"/>
              <w:bottom w:val="nil"/>
            </w:tcBorders>
          </w:tcPr>
          <w:p>
            <w:pPr>
              <w:pStyle w:val="TableParagraph"/>
              <w:spacing w:before="32"/>
              <w:ind w:left="115" w:right="109"/>
              <w:jc w:val="center"/>
              <w:rPr>
                <w:sz w:val="38"/>
              </w:rPr>
            </w:pPr>
            <w:r>
              <w:rPr>
                <w:sz w:val="38"/>
              </w:rPr>
              <w:t>Fisch</w:t>
            </w:r>
          </w:p>
        </w:tc>
        <w:tc>
          <w:tcPr>
            <w:tcW w:w="1416" w:type="dxa"/>
            <w:tcBorders>
              <w:top w:val="nil"/>
              <w:bottom w:val="nil"/>
            </w:tcBorders>
          </w:tcPr>
          <w:p>
            <w:pPr>
              <w:pStyle w:val="TableParagraph"/>
              <w:rPr>
                <w:rFonts w:ascii="Times New Roman"/>
                <w:sz w:val="36"/>
              </w:rPr>
            </w:pPr>
          </w:p>
        </w:tc>
        <w:tc>
          <w:tcPr>
            <w:tcW w:w="1135" w:type="dxa"/>
            <w:tcBorders>
              <w:top w:val="nil"/>
              <w:bottom w:val="nil"/>
            </w:tcBorders>
          </w:tcPr>
          <w:p>
            <w:pPr>
              <w:pStyle w:val="TableParagraph"/>
              <w:rPr>
                <w:rFonts w:ascii="Times New Roman"/>
                <w:sz w:val="36"/>
              </w:rPr>
            </w:pPr>
          </w:p>
        </w:tc>
        <w:tc>
          <w:tcPr>
            <w:tcW w:w="991" w:type="dxa"/>
            <w:tcBorders>
              <w:top w:val="nil"/>
              <w:bottom w:val="nil"/>
            </w:tcBorders>
          </w:tcPr>
          <w:p>
            <w:pPr>
              <w:pStyle w:val="TableParagraph"/>
              <w:spacing w:before="32"/>
              <w:ind w:left="8"/>
              <w:jc w:val="center"/>
              <w:rPr>
                <w:sz w:val="38"/>
              </w:rPr>
            </w:pPr>
            <w:r>
              <w:rPr>
                <w:w w:val="99"/>
                <w:sz w:val="38"/>
              </w:rPr>
              <w:t>s</w:t>
            </w:r>
          </w:p>
        </w:tc>
        <w:tc>
          <w:tcPr>
            <w:tcW w:w="1560" w:type="dxa"/>
            <w:tcBorders>
              <w:top w:val="nil"/>
              <w:bottom w:val="nil"/>
            </w:tcBorders>
          </w:tcPr>
          <w:p>
            <w:pPr>
              <w:pStyle w:val="TableParagraph"/>
              <w:rPr>
                <w:rFonts w:ascii="Times New Roman"/>
                <w:sz w:val="36"/>
              </w:rPr>
            </w:pPr>
          </w:p>
        </w:tc>
        <w:tc>
          <w:tcPr>
            <w:tcW w:w="1985" w:type="dxa"/>
            <w:tcBorders>
              <w:top w:val="nil"/>
              <w:bottom w:val="nil"/>
            </w:tcBorders>
          </w:tcPr>
          <w:p>
            <w:pPr>
              <w:pStyle w:val="TableParagraph"/>
              <w:rPr>
                <w:rFonts w:ascii="Times New Roman"/>
                <w:sz w:val="36"/>
              </w:rPr>
            </w:pPr>
          </w:p>
        </w:tc>
        <w:tc>
          <w:tcPr>
            <w:tcW w:w="2410" w:type="dxa"/>
            <w:tcBorders>
              <w:top w:val="nil"/>
              <w:bottom w:val="nil"/>
            </w:tcBorders>
          </w:tcPr>
          <w:p>
            <w:pPr>
              <w:pStyle w:val="TableParagraph"/>
              <w:rPr>
                <w:rFonts w:ascii="Times New Roman"/>
                <w:sz w:val="36"/>
              </w:rPr>
            </w:pPr>
          </w:p>
        </w:tc>
      </w:tr>
      <w:tr>
        <w:trPr>
          <w:trHeight w:val="490" w:hRule="atLeast"/>
        </w:trPr>
        <w:tc>
          <w:tcPr>
            <w:tcW w:w="1130" w:type="dxa"/>
            <w:tcBorders>
              <w:top w:val="nil"/>
              <w:bottom w:val="nil"/>
            </w:tcBorders>
          </w:tcPr>
          <w:p>
            <w:pPr>
              <w:pStyle w:val="TableParagraph"/>
              <w:spacing w:before="32"/>
              <w:ind w:left="113" w:right="109"/>
              <w:jc w:val="center"/>
              <w:rPr>
                <w:sz w:val="38"/>
              </w:rPr>
            </w:pPr>
            <w:r>
              <w:rPr>
                <w:sz w:val="38"/>
              </w:rPr>
              <w:t>er</w:t>
            </w:r>
          </w:p>
        </w:tc>
        <w:tc>
          <w:tcPr>
            <w:tcW w:w="1416" w:type="dxa"/>
            <w:tcBorders>
              <w:top w:val="nil"/>
              <w:bottom w:val="nil"/>
            </w:tcBorders>
          </w:tcPr>
          <w:p>
            <w:pPr>
              <w:pStyle w:val="TableParagraph"/>
              <w:rPr>
                <w:rFonts w:ascii="Times New Roman"/>
                <w:sz w:val="36"/>
              </w:rPr>
            </w:pPr>
          </w:p>
        </w:tc>
        <w:tc>
          <w:tcPr>
            <w:tcW w:w="1135" w:type="dxa"/>
            <w:tcBorders>
              <w:top w:val="nil"/>
              <w:bottom w:val="nil"/>
            </w:tcBorders>
          </w:tcPr>
          <w:p>
            <w:pPr>
              <w:pStyle w:val="TableParagraph"/>
              <w:rPr>
                <w:rFonts w:ascii="Times New Roman"/>
                <w:sz w:val="36"/>
              </w:rPr>
            </w:pPr>
          </w:p>
        </w:tc>
        <w:tc>
          <w:tcPr>
            <w:tcW w:w="991" w:type="dxa"/>
            <w:tcBorders>
              <w:top w:val="nil"/>
              <w:bottom w:val="nil"/>
            </w:tcBorders>
          </w:tcPr>
          <w:p>
            <w:pPr>
              <w:pStyle w:val="TableParagraph"/>
              <w:rPr>
                <w:rFonts w:ascii="Times New Roman"/>
                <w:sz w:val="36"/>
              </w:rPr>
            </w:pPr>
          </w:p>
        </w:tc>
        <w:tc>
          <w:tcPr>
            <w:tcW w:w="1560" w:type="dxa"/>
            <w:tcBorders>
              <w:top w:val="nil"/>
              <w:bottom w:val="nil"/>
            </w:tcBorders>
          </w:tcPr>
          <w:p>
            <w:pPr>
              <w:pStyle w:val="TableParagraph"/>
              <w:rPr>
                <w:rFonts w:ascii="Times New Roman"/>
                <w:sz w:val="36"/>
              </w:rPr>
            </w:pPr>
          </w:p>
        </w:tc>
        <w:tc>
          <w:tcPr>
            <w:tcW w:w="1985" w:type="dxa"/>
            <w:tcBorders>
              <w:top w:val="nil"/>
              <w:bottom w:val="nil"/>
            </w:tcBorders>
          </w:tcPr>
          <w:p>
            <w:pPr>
              <w:pStyle w:val="TableParagraph"/>
              <w:rPr>
                <w:rFonts w:ascii="Times New Roman"/>
                <w:sz w:val="36"/>
              </w:rPr>
            </w:pPr>
          </w:p>
        </w:tc>
        <w:tc>
          <w:tcPr>
            <w:tcW w:w="2410" w:type="dxa"/>
            <w:tcBorders>
              <w:top w:val="nil"/>
              <w:bottom w:val="nil"/>
            </w:tcBorders>
          </w:tcPr>
          <w:p>
            <w:pPr>
              <w:pStyle w:val="TableParagraph"/>
              <w:rPr>
                <w:rFonts w:ascii="Times New Roman"/>
                <w:sz w:val="36"/>
              </w:rPr>
            </w:pPr>
          </w:p>
        </w:tc>
      </w:tr>
      <w:tr>
        <w:trPr>
          <w:trHeight w:val="560" w:hRule="atLeast"/>
        </w:trPr>
        <w:tc>
          <w:tcPr>
            <w:tcW w:w="1130" w:type="dxa"/>
            <w:tcBorders>
              <w:top w:val="nil"/>
            </w:tcBorders>
          </w:tcPr>
          <w:p>
            <w:pPr>
              <w:pStyle w:val="TableParagraph"/>
              <w:spacing w:before="31"/>
              <w:ind w:left="116" w:right="109"/>
              <w:jc w:val="center"/>
              <w:rPr>
                <w:sz w:val="28"/>
              </w:rPr>
            </w:pPr>
            <w:r>
              <w:rPr>
                <w:sz w:val="28"/>
              </w:rPr>
              <w:t>(1998)</w:t>
            </w:r>
          </w:p>
        </w:tc>
        <w:tc>
          <w:tcPr>
            <w:tcW w:w="1416" w:type="dxa"/>
            <w:tcBorders>
              <w:top w:val="nil"/>
            </w:tcBorders>
          </w:tcPr>
          <w:p>
            <w:pPr>
              <w:pStyle w:val="TableParagraph"/>
              <w:rPr>
                <w:rFonts w:ascii="Times New Roman"/>
                <w:sz w:val="36"/>
              </w:rPr>
            </w:pPr>
          </w:p>
        </w:tc>
        <w:tc>
          <w:tcPr>
            <w:tcW w:w="1135" w:type="dxa"/>
            <w:tcBorders>
              <w:top w:val="nil"/>
            </w:tcBorders>
          </w:tcPr>
          <w:p>
            <w:pPr>
              <w:pStyle w:val="TableParagraph"/>
              <w:rPr>
                <w:rFonts w:ascii="Times New Roman"/>
                <w:sz w:val="36"/>
              </w:rPr>
            </w:pPr>
          </w:p>
        </w:tc>
        <w:tc>
          <w:tcPr>
            <w:tcW w:w="991" w:type="dxa"/>
            <w:tcBorders>
              <w:top w:val="nil"/>
            </w:tcBorders>
          </w:tcPr>
          <w:p>
            <w:pPr>
              <w:pStyle w:val="TableParagraph"/>
              <w:rPr>
                <w:rFonts w:ascii="Times New Roman"/>
                <w:sz w:val="36"/>
              </w:rPr>
            </w:pPr>
          </w:p>
        </w:tc>
        <w:tc>
          <w:tcPr>
            <w:tcW w:w="1560" w:type="dxa"/>
            <w:tcBorders>
              <w:top w:val="nil"/>
            </w:tcBorders>
          </w:tcPr>
          <w:p>
            <w:pPr>
              <w:pStyle w:val="TableParagraph"/>
              <w:rPr>
                <w:rFonts w:ascii="Times New Roman"/>
                <w:sz w:val="36"/>
              </w:rPr>
            </w:pPr>
          </w:p>
        </w:tc>
        <w:tc>
          <w:tcPr>
            <w:tcW w:w="1985" w:type="dxa"/>
            <w:tcBorders>
              <w:top w:val="nil"/>
            </w:tcBorders>
          </w:tcPr>
          <w:p>
            <w:pPr>
              <w:pStyle w:val="TableParagraph"/>
              <w:rPr>
                <w:rFonts w:ascii="Times New Roman"/>
                <w:sz w:val="36"/>
              </w:rPr>
            </w:pPr>
          </w:p>
        </w:tc>
        <w:tc>
          <w:tcPr>
            <w:tcW w:w="2410" w:type="dxa"/>
            <w:tcBorders>
              <w:top w:val="nil"/>
            </w:tcBorders>
          </w:tcPr>
          <w:p>
            <w:pPr>
              <w:pStyle w:val="TableParagraph"/>
              <w:rPr>
                <w:rFonts w:ascii="Times New Roman"/>
                <w:sz w:val="36"/>
              </w:rPr>
            </w:pPr>
          </w:p>
        </w:tc>
      </w:tr>
      <w:tr>
        <w:trPr>
          <w:trHeight w:val="457" w:hRule="atLeast"/>
        </w:trPr>
        <w:tc>
          <w:tcPr>
            <w:tcW w:w="1130" w:type="dxa"/>
            <w:tcBorders>
              <w:bottom w:val="nil"/>
            </w:tcBorders>
          </w:tcPr>
          <w:p>
            <w:pPr>
              <w:pStyle w:val="TableParagraph"/>
              <w:spacing w:line="426" w:lineRule="exact"/>
              <w:ind w:left="116" w:right="109"/>
              <w:jc w:val="center"/>
              <w:rPr>
                <w:sz w:val="38"/>
              </w:rPr>
            </w:pPr>
            <w:r>
              <w:rPr>
                <w:sz w:val="38"/>
              </w:rPr>
              <w:t>Ellrot</w:t>
            </w:r>
          </w:p>
        </w:tc>
        <w:tc>
          <w:tcPr>
            <w:tcW w:w="1416" w:type="dxa"/>
            <w:tcBorders>
              <w:bottom w:val="nil"/>
            </w:tcBorders>
          </w:tcPr>
          <w:p>
            <w:pPr>
              <w:pStyle w:val="TableParagraph"/>
              <w:spacing w:line="426" w:lineRule="exact"/>
              <w:ind w:left="216" w:right="206"/>
              <w:jc w:val="center"/>
              <w:rPr>
                <w:sz w:val="38"/>
              </w:rPr>
            </w:pPr>
            <w:r>
              <w:rPr>
                <w:sz w:val="38"/>
              </w:rPr>
              <w:t>40</w:t>
            </w:r>
          </w:p>
        </w:tc>
        <w:tc>
          <w:tcPr>
            <w:tcW w:w="1135" w:type="dxa"/>
            <w:tcBorders>
              <w:bottom w:val="nil"/>
            </w:tcBorders>
          </w:tcPr>
          <w:p>
            <w:pPr>
              <w:pStyle w:val="TableParagraph"/>
              <w:spacing w:line="426" w:lineRule="exact"/>
              <w:ind w:left="132" w:right="118"/>
              <w:jc w:val="center"/>
              <w:rPr>
                <w:sz w:val="38"/>
              </w:rPr>
            </w:pPr>
            <w:r>
              <w:rPr>
                <w:sz w:val="38"/>
              </w:rPr>
              <w:t>3000</w:t>
            </w:r>
          </w:p>
        </w:tc>
        <w:tc>
          <w:tcPr>
            <w:tcW w:w="991" w:type="dxa"/>
            <w:tcBorders>
              <w:bottom w:val="nil"/>
            </w:tcBorders>
          </w:tcPr>
          <w:p>
            <w:pPr>
              <w:pStyle w:val="TableParagraph"/>
              <w:spacing w:line="426" w:lineRule="exact"/>
              <w:ind w:left="141" w:right="132"/>
              <w:jc w:val="center"/>
              <w:rPr>
                <w:sz w:val="38"/>
              </w:rPr>
            </w:pPr>
            <w:r>
              <w:rPr>
                <w:sz w:val="38"/>
              </w:rPr>
              <w:t>12</w:t>
            </w:r>
          </w:p>
        </w:tc>
        <w:tc>
          <w:tcPr>
            <w:tcW w:w="1560" w:type="dxa"/>
            <w:tcBorders>
              <w:bottom w:val="nil"/>
            </w:tcBorders>
          </w:tcPr>
          <w:p>
            <w:pPr>
              <w:pStyle w:val="TableParagraph"/>
              <w:spacing w:line="426" w:lineRule="exact"/>
              <w:ind w:left="251"/>
              <w:rPr>
                <w:sz w:val="38"/>
              </w:rPr>
            </w:pPr>
            <w:r>
              <w:rPr>
                <w:sz w:val="38"/>
              </w:rPr>
              <w:t>16.1 kg</w:t>
            </w:r>
          </w:p>
        </w:tc>
        <w:tc>
          <w:tcPr>
            <w:tcW w:w="1985" w:type="dxa"/>
            <w:tcBorders>
              <w:bottom w:val="nil"/>
            </w:tcBorders>
          </w:tcPr>
          <w:p>
            <w:pPr>
              <w:pStyle w:val="TableParagraph"/>
              <w:spacing w:line="426" w:lineRule="exact"/>
              <w:ind w:left="462"/>
              <w:rPr>
                <w:sz w:val="38"/>
              </w:rPr>
            </w:pPr>
            <w:r>
              <w:rPr>
                <w:sz w:val="38"/>
              </w:rPr>
              <w:t>18.6 kg</w:t>
            </w:r>
          </w:p>
        </w:tc>
        <w:tc>
          <w:tcPr>
            <w:tcW w:w="2410" w:type="dxa"/>
            <w:tcBorders>
              <w:bottom w:val="nil"/>
            </w:tcBorders>
          </w:tcPr>
          <w:p>
            <w:pPr>
              <w:pStyle w:val="TableParagraph"/>
              <w:spacing w:line="426" w:lineRule="exact"/>
              <w:ind w:left="765"/>
              <w:rPr>
                <w:sz w:val="38"/>
              </w:rPr>
            </w:pPr>
            <w:r>
              <w:rPr>
                <w:sz w:val="38"/>
              </w:rPr>
              <w:t>-22 %</w:t>
            </w:r>
          </w:p>
        </w:tc>
      </w:tr>
      <w:tr>
        <w:trPr>
          <w:trHeight w:val="490" w:hRule="atLeast"/>
        </w:trPr>
        <w:tc>
          <w:tcPr>
            <w:tcW w:w="1130" w:type="dxa"/>
            <w:tcBorders>
              <w:top w:val="nil"/>
              <w:bottom w:val="nil"/>
            </w:tcBorders>
          </w:tcPr>
          <w:p>
            <w:pPr>
              <w:pStyle w:val="TableParagraph"/>
              <w:spacing w:before="31"/>
              <w:ind w:left="115" w:right="109"/>
              <w:jc w:val="center"/>
              <w:rPr>
                <w:sz w:val="38"/>
              </w:rPr>
            </w:pPr>
            <w:r>
              <w:rPr>
                <w:sz w:val="38"/>
              </w:rPr>
              <w:t>and</w:t>
            </w:r>
          </w:p>
        </w:tc>
        <w:tc>
          <w:tcPr>
            <w:tcW w:w="1416" w:type="dxa"/>
            <w:tcBorders>
              <w:top w:val="nil"/>
              <w:bottom w:val="nil"/>
            </w:tcBorders>
          </w:tcPr>
          <w:p>
            <w:pPr>
              <w:pStyle w:val="TableParagraph"/>
              <w:rPr>
                <w:rFonts w:ascii="Times New Roman"/>
                <w:sz w:val="36"/>
              </w:rPr>
            </w:pPr>
          </w:p>
        </w:tc>
        <w:tc>
          <w:tcPr>
            <w:tcW w:w="1135" w:type="dxa"/>
            <w:tcBorders>
              <w:top w:val="nil"/>
              <w:bottom w:val="nil"/>
            </w:tcBorders>
          </w:tcPr>
          <w:p>
            <w:pPr>
              <w:pStyle w:val="TableParagraph"/>
              <w:spacing w:before="31"/>
              <w:ind w:left="132" w:right="121"/>
              <w:jc w:val="center"/>
              <w:rPr>
                <w:sz w:val="38"/>
              </w:rPr>
            </w:pPr>
            <w:r>
              <w:rPr>
                <w:sz w:val="38"/>
              </w:rPr>
              <w:t>mg</w:t>
            </w:r>
          </w:p>
        </w:tc>
        <w:tc>
          <w:tcPr>
            <w:tcW w:w="991" w:type="dxa"/>
            <w:tcBorders>
              <w:top w:val="nil"/>
              <w:bottom w:val="nil"/>
            </w:tcBorders>
          </w:tcPr>
          <w:p>
            <w:pPr>
              <w:pStyle w:val="TableParagraph"/>
              <w:spacing w:before="31"/>
              <w:ind w:left="100" w:right="93"/>
              <w:jc w:val="center"/>
              <w:rPr>
                <w:sz w:val="38"/>
              </w:rPr>
            </w:pPr>
            <w:r>
              <w:rPr>
                <w:sz w:val="38"/>
              </w:rPr>
              <w:t>week</w:t>
            </w:r>
          </w:p>
        </w:tc>
        <w:tc>
          <w:tcPr>
            <w:tcW w:w="1560" w:type="dxa"/>
            <w:tcBorders>
              <w:top w:val="nil"/>
              <w:bottom w:val="nil"/>
            </w:tcBorders>
          </w:tcPr>
          <w:p>
            <w:pPr>
              <w:pStyle w:val="TableParagraph"/>
              <w:rPr>
                <w:rFonts w:ascii="Times New Roman"/>
                <w:sz w:val="36"/>
              </w:rPr>
            </w:pPr>
          </w:p>
        </w:tc>
        <w:tc>
          <w:tcPr>
            <w:tcW w:w="1985" w:type="dxa"/>
            <w:tcBorders>
              <w:top w:val="nil"/>
              <w:bottom w:val="nil"/>
            </w:tcBorders>
          </w:tcPr>
          <w:p>
            <w:pPr>
              <w:pStyle w:val="TableParagraph"/>
              <w:rPr>
                <w:rFonts w:ascii="Times New Roman"/>
                <w:sz w:val="36"/>
              </w:rPr>
            </w:pPr>
          </w:p>
        </w:tc>
        <w:tc>
          <w:tcPr>
            <w:tcW w:w="2410" w:type="dxa"/>
            <w:tcBorders>
              <w:top w:val="nil"/>
              <w:bottom w:val="nil"/>
            </w:tcBorders>
          </w:tcPr>
          <w:p>
            <w:pPr>
              <w:pStyle w:val="TableParagraph"/>
              <w:rPr>
                <w:rFonts w:ascii="Times New Roman"/>
                <w:sz w:val="36"/>
              </w:rPr>
            </w:pPr>
          </w:p>
        </w:tc>
      </w:tr>
      <w:tr>
        <w:trPr>
          <w:trHeight w:val="491" w:hRule="atLeast"/>
        </w:trPr>
        <w:tc>
          <w:tcPr>
            <w:tcW w:w="1130" w:type="dxa"/>
            <w:tcBorders>
              <w:top w:val="nil"/>
              <w:bottom w:val="nil"/>
            </w:tcBorders>
          </w:tcPr>
          <w:p>
            <w:pPr>
              <w:pStyle w:val="TableParagraph"/>
              <w:spacing w:before="32"/>
              <w:ind w:left="116" w:right="109"/>
              <w:jc w:val="center"/>
              <w:rPr>
                <w:sz w:val="38"/>
              </w:rPr>
            </w:pPr>
            <w:r>
              <w:rPr>
                <w:sz w:val="38"/>
              </w:rPr>
              <w:t>Pudel</w:t>
            </w:r>
          </w:p>
        </w:tc>
        <w:tc>
          <w:tcPr>
            <w:tcW w:w="1416" w:type="dxa"/>
            <w:tcBorders>
              <w:top w:val="nil"/>
              <w:bottom w:val="nil"/>
            </w:tcBorders>
          </w:tcPr>
          <w:p>
            <w:pPr>
              <w:pStyle w:val="TableParagraph"/>
              <w:rPr>
                <w:rFonts w:ascii="Times New Roman"/>
                <w:sz w:val="36"/>
              </w:rPr>
            </w:pPr>
          </w:p>
        </w:tc>
        <w:tc>
          <w:tcPr>
            <w:tcW w:w="1135" w:type="dxa"/>
            <w:tcBorders>
              <w:top w:val="nil"/>
              <w:bottom w:val="nil"/>
            </w:tcBorders>
          </w:tcPr>
          <w:p>
            <w:pPr>
              <w:pStyle w:val="TableParagraph"/>
              <w:rPr>
                <w:rFonts w:ascii="Times New Roman"/>
                <w:sz w:val="36"/>
              </w:rPr>
            </w:pPr>
          </w:p>
        </w:tc>
        <w:tc>
          <w:tcPr>
            <w:tcW w:w="991" w:type="dxa"/>
            <w:tcBorders>
              <w:top w:val="nil"/>
              <w:bottom w:val="nil"/>
            </w:tcBorders>
          </w:tcPr>
          <w:p>
            <w:pPr>
              <w:pStyle w:val="TableParagraph"/>
              <w:spacing w:before="32"/>
              <w:ind w:left="8"/>
              <w:jc w:val="center"/>
              <w:rPr>
                <w:sz w:val="38"/>
              </w:rPr>
            </w:pPr>
            <w:r>
              <w:rPr>
                <w:w w:val="99"/>
                <w:sz w:val="38"/>
              </w:rPr>
              <w:t>s</w:t>
            </w:r>
          </w:p>
        </w:tc>
        <w:tc>
          <w:tcPr>
            <w:tcW w:w="1560" w:type="dxa"/>
            <w:tcBorders>
              <w:top w:val="nil"/>
              <w:bottom w:val="nil"/>
            </w:tcBorders>
          </w:tcPr>
          <w:p>
            <w:pPr>
              <w:pStyle w:val="TableParagraph"/>
              <w:rPr>
                <w:rFonts w:ascii="Times New Roman"/>
                <w:sz w:val="36"/>
              </w:rPr>
            </w:pPr>
          </w:p>
        </w:tc>
        <w:tc>
          <w:tcPr>
            <w:tcW w:w="1985" w:type="dxa"/>
            <w:tcBorders>
              <w:top w:val="nil"/>
              <w:bottom w:val="nil"/>
            </w:tcBorders>
          </w:tcPr>
          <w:p>
            <w:pPr>
              <w:pStyle w:val="TableParagraph"/>
              <w:rPr>
                <w:rFonts w:ascii="Times New Roman"/>
                <w:sz w:val="36"/>
              </w:rPr>
            </w:pPr>
          </w:p>
        </w:tc>
        <w:tc>
          <w:tcPr>
            <w:tcW w:w="2410" w:type="dxa"/>
            <w:tcBorders>
              <w:top w:val="nil"/>
              <w:bottom w:val="nil"/>
            </w:tcBorders>
          </w:tcPr>
          <w:p>
            <w:pPr>
              <w:pStyle w:val="TableParagraph"/>
              <w:rPr>
                <w:rFonts w:ascii="Times New Roman"/>
                <w:sz w:val="36"/>
              </w:rPr>
            </w:pPr>
          </w:p>
        </w:tc>
      </w:tr>
      <w:tr>
        <w:trPr>
          <w:trHeight w:val="518" w:hRule="atLeast"/>
        </w:trPr>
        <w:tc>
          <w:tcPr>
            <w:tcW w:w="1130" w:type="dxa"/>
            <w:tcBorders>
              <w:top w:val="nil"/>
            </w:tcBorders>
          </w:tcPr>
          <w:p>
            <w:pPr>
              <w:pStyle w:val="TableParagraph"/>
              <w:spacing w:before="32"/>
              <w:ind w:left="116" w:right="109"/>
              <w:jc w:val="center"/>
              <w:rPr>
                <w:sz w:val="28"/>
              </w:rPr>
            </w:pPr>
            <w:r>
              <w:rPr>
                <w:sz w:val="28"/>
              </w:rPr>
              <w:t>(2003)</w:t>
            </w:r>
          </w:p>
        </w:tc>
        <w:tc>
          <w:tcPr>
            <w:tcW w:w="1416" w:type="dxa"/>
            <w:tcBorders>
              <w:top w:val="nil"/>
            </w:tcBorders>
          </w:tcPr>
          <w:p>
            <w:pPr>
              <w:pStyle w:val="TableParagraph"/>
              <w:rPr>
                <w:rFonts w:ascii="Times New Roman"/>
                <w:sz w:val="36"/>
              </w:rPr>
            </w:pPr>
          </w:p>
        </w:tc>
        <w:tc>
          <w:tcPr>
            <w:tcW w:w="1135" w:type="dxa"/>
            <w:tcBorders>
              <w:top w:val="nil"/>
            </w:tcBorders>
          </w:tcPr>
          <w:p>
            <w:pPr>
              <w:pStyle w:val="TableParagraph"/>
              <w:rPr>
                <w:rFonts w:ascii="Times New Roman"/>
                <w:sz w:val="36"/>
              </w:rPr>
            </w:pPr>
          </w:p>
        </w:tc>
        <w:tc>
          <w:tcPr>
            <w:tcW w:w="991" w:type="dxa"/>
            <w:tcBorders>
              <w:top w:val="nil"/>
            </w:tcBorders>
          </w:tcPr>
          <w:p>
            <w:pPr>
              <w:pStyle w:val="TableParagraph"/>
              <w:rPr>
                <w:rFonts w:ascii="Times New Roman"/>
                <w:sz w:val="36"/>
              </w:rPr>
            </w:pPr>
          </w:p>
        </w:tc>
        <w:tc>
          <w:tcPr>
            <w:tcW w:w="1560" w:type="dxa"/>
            <w:tcBorders>
              <w:top w:val="nil"/>
            </w:tcBorders>
          </w:tcPr>
          <w:p>
            <w:pPr>
              <w:pStyle w:val="TableParagraph"/>
              <w:rPr>
                <w:rFonts w:ascii="Times New Roman"/>
                <w:sz w:val="36"/>
              </w:rPr>
            </w:pPr>
          </w:p>
        </w:tc>
        <w:tc>
          <w:tcPr>
            <w:tcW w:w="1985" w:type="dxa"/>
            <w:tcBorders>
              <w:top w:val="nil"/>
            </w:tcBorders>
          </w:tcPr>
          <w:p>
            <w:pPr>
              <w:pStyle w:val="TableParagraph"/>
              <w:rPr>
                <w:rFonts w:ascii="Times New Roman"/>
                <w:sz w:val="36"/>
              </w:rPr>
            </w:pPr>
          </w:p>
        </w:tc>
        <w:tc>
          <w:tcPr>
            <w:tcW w:w="2410" w:type="dxa"/>
            <w:tcBorders>
              <w:top w:val="nil"/>
            </w:tcBorders>
          </w:tcPr>
          <w:p>
            <w:pPr>
              <w:pStyle w:val="TableParagraph"/>
              <w:rPr>
                <w:rFonts w:ascii="Times New Roman"/>
                <w:sz w:val="36"/>
              </w:rPr>
            </w:pPr>
          </w:p>
        </w:tc>
      </w:tr>
    </w:tbl>
    <w:p>
      <w:pPr>
        <w:spacing w:after="0"/>
        <w:rPr>
          <w:rFonts w:ascii="Times New Roman"/>
          <w:sz w:val="36"/>
        </w:rPr>
        <w:sectPr>
          <w:pgSz w:w="14270" w:h="16850"/>
          <w:pgMar w:header="0" w:footer="404" w:top="1600" w:bottom="600" w:left="800" w:right="1280"/>
        </w:sectPr>
      </w:pPr>
    </w:p>
    <w:p>
      <w:pPr>
        <w:pStyle w:val="Heading2"/>
        <w:spacing w:before="181"/>
      </w:pPr>
      <w:r>
        <w:rPr/>
        <w:t>In vivo studies on increasing fat-burning using L-carnitine</w:t>
      </w:r>
    </w:p>
    <w:p>
      <w:pPr>
        <w:pStyle w:val="BodyText"/>
        <w:spacing w:line="276" w:lineRule="auto" w:before="305"/>
        <w:ind w:left="477" w:right="133"/>
        <w:jc w:val="both"/>
        <w:rPr>
          <w:sz w:val="25"/>
        </w:rPr>
      </w:pPr>
      <w:r>
        <w:rPr/>
        <w:t>In in vivo studies (studies on living creatures) on increasing fat-burning in ani- mal experiments using L-carnitine, the combustion of the medium-chain fatty acid </w:t>
      </w:r>
      <w:r>
        <w:rPr>
          <w:i/>
        </w:rPr>
        <w:t>caproic </w:t>
      </w:r>
      <w:r>
        <w:rPr/>
        <w:t>acid is increased by 7 %, the combustion of </w:t>
      </w:r>
      <w:r>
        <w:rPr>
          <w:i/>
        </w:rPr>
        <w:t>palmitic acid </w:t>
      </w:r>
      <w:r>
        <w:rPr/>
        <w:t>is increased by 43 %. In humans, researchers</w:t>
      </w:r>
      <w:r>
        <w:rPr>
          <w:position w:val="9"/>
          <w:sz w:val="25"/>
        </w:rPr>
        <w:t>480 </w:t>
      </w:r>
      <w:r>
        <w:rPr/>
        <w:t>demonstrated increased fat-burning; oral administration</w:t>
      </w:r>
      <w:r>
        <w:rPr>
          <w:spacing w:val="-8"/>
        </w:rPr>
        <w:t> </w:t>
      </w:r>
      <w:r>
        <w:rPr/>
        <w:t>of</w:t>
      </w:r>
      <w:r>
        <w:rPr>
          <w:spacing w:val="-8"/>
        </w:rPr>
        <w:t> </w:t>
      </w:r>
      <w:r>
        <w:rPr/>
        <w:t>3000</w:t>
      </w:r>
      <w:r>
        <w:rPr>
          <w:spacing w:val="-9"/>
        </w:rPr>
        <w:t> </w:t>
      </w:r>
      <w:r>
        <w:rPr/>
        <w:t>mg</w:t>
      </w:r>
      <w:r>
        <w:rPr>
          <w:spacing w:val="-7"/>
        </w:rPr>
        <w:t> </w:t>
      </w:r>
      <w:r>
        <w:rPr/>
        <w:t>L-carnitine</w:t>
      </w:r>
      <w:r>
        <w:rPr>
          <w:spacing w:val="-7"/>
        </w:rPr>
        <w:t> </w:t>
      </w:r>
      <w:r>
        <w:rPr/>
        <w:t>daily</w:t>
      </w:r>
      <w:r>
        <w:rPr>
          <w:spacing w:val="-8"/>
        </w:rPr>
        <w:t> </w:t>
      </w:r>
      <w:r>
        <w:rPr/>
        <w:t>over</w:t>
      </w:r>
      <w:r>
        <w:rPr>
          <w:spacing w:val="-7"/>
        </w:rPr>
        <w:t> </w:t>
      </w:r>
      <w:r>
        <w:rPr/>
        <w:t>21</w:t>
      </w:r>
      <w:r>
        <w:rPr>
          <w:spacing w:val="-9"/>
        </w:rPr>
        <w:t> </w:t>
      </w:r>
      <w:r>
        <w:rPr/>
        <w:t>days</w:t>
      </w:r>
      <w:r>
        <w:rPr>
          <w:spacing w:val="-7"/>
        </w:rPr>
        <w:t> </w:t>
      </w:r>
      <w:r>
        <w:rPr/>
        <w:t>significantly</w:t>
      </w:r>
      <w:r>
        <w:rPr>
          <w:spacing w:val="-9"/>
        </w:rPr>
        <w:t> </w:t>
      </w:r>
      <w:r>
        <w:rPr/>
        <w:t>increased fat-burning in</w:t>
      </w:r>
      <w:r>
        <w:rPr>
          <w:spacing w:val="1"/>
        </w:rPr>
        <w:t> </w:t>
      </w:r>
      <w:r>
        <w:rPr/>
        <w:t>athletes.</w:t>
      </w:r>
      <w:r>
        <w:rPr>
          <w:position w:val="9"/>
          <w:sz w:val="25"/>
        </w:rPr>
        <w:t>481</w:t>
      </w:r>
    </w:p>
    <w:p>
      <w:pPr>
        <w:pStyle w:val="BodyText"/>
        <w:spacing w:line="276" w:lineRule="auto" w:before="240"/>
        <w:ind w:left="477"/>
      </w:pPr>
      <w:r>
        <w:rPr/>
        <w:t>Using so-called ‘isophene-labelled substances’, it was finally possible to clearly prove that L-carnitine taken orally increases fat-burning.</w:t>
      </w:r>
    </w:p>
    <w:p>
      <w:pPr>
        <w:pStyle w:val="Heading2"/>
        <w:spacing w:before="241"/>
      </w:pPr>
      <w:r>
        <w:rPr/>
        <w:t>Fat-burning and muscle-toning studies with L-carnitine</w:t>
      </w:r>
    </w:p>
    <w:p>
      <w:pPr>
        <w:pStyle w:val="BodyText"/>
        <w:spacing w:line="276" w:lineRule="auto" w:before="185"/>
        <w:ind w:left="477"/>
        <w:rPr>
          <w:sz w:val="25"/>
        </w:rPr>
      </w:pPr>
      <w:r>
        <w:rPr/>
        <w:t>L-carnitine</w:t>
      </w:r>
      <w:r>
        <w:rPr>
          <w:spacing w:val="-22"/>
        </w:rPr>
        <w:t> </w:t>
      </w:r>
      <w:r>
        <w:rPr/>
        <w:t>has</w:t>
      </w:r>
      <w:r>
        <w:rPr>
          <w:spacing w:val="-21"/>
        </w:rPr>
        <w:t> </w:t>
      </w:r>
      <w:r>
        <w:rPr/>
        <w:t>been</w:t>
      </w:r>
      <w:r>
        <w:rPr>
          <w:spacing w:val="-21"/>
        </w:rPr>
        <w:t> </w:t>
      </w:r>
      <w:r>
        <w:rPr/>
        <w:t>shown</w:t>
      </w:r>
      <w:r>
        <w:rPr>
          <w:spacing w:val="-21"/>
        </w:rPr>
        <w:t> </w:t>
      </w:r>
      <w:r>
        <w:rPr/>
        <w:t>in</w:t>
      </w:r>
      <w:r>
        <w:rPr>
          <w:spacing w:val="-22"/>
        </w:rPr>
        <w:t> </w:t>
      </w:r>
      <w:r>
        <w:rPr/>
        <w:t>many</w:t>
      </w:r>
      <w:r>
        <w:rPr>
          <w:spacing w:val="-22"/>
        </w:rPr>
        <w:t> </w:t>
      </w:r>
      <w:r>
        <w:rPr/>
        <w:t>studies</w:t>
      </w:r>
      <w:r>
        <w:rPr>
          <w:spacing w:val="-22"/>
        </w:rPr>
        <w:t> </w:t>
      </w:r>
      <w:r>
        <w:rPr/>
        <w:t>to</w:t>
      </w:r>
      <w:r>
        <w:rPr>
          <w:spacing w:val="-23"/>
        </w:rPr>
        <w:t> </w:t>
      </w:r>
      <w:r>
        <w:rPr/>
        <w:t>promote</w:t>
      </w:r>
      <w:r>
        <w:rPr>
          <w:spacing w:val="-23"/>
        </w:rPr>
        <w:t> </w:t>
      </w:r>
      <w:r>
        <w:rPr/>
        <w:t>fat-burning</w:t>
      </w:r>
      <w:r>
        <w:rPr>
          <w:spacing w:val="-22"/>
        </w:rPr>
        <w:t> </w:t>
      </w:r>
      <w:r>
        <w:rPr/>
        <w:t>while</w:t>
      </w:r>
      <w:r>
        <w:rPr>
          <w:spacing w:val="-22"/>
        </w:rPr>
        <w:t> </w:t>
      </w:r>
      <w:r>
        <w:rPr/>
        <w:t>build- ing lean muscle mass.</w:t>
      </w:r>
      <w:r>
        <w:rPr>
          <w:position w:val="9"/>
          <w:sz w:val="25"/>
        </w:rPr>
        <w:t>482</w:t>
      </w:r>
    </w:p>
    <w:p>
      <w:pPr>
        <w:pStyle w:val="Heading1"/>
        <w:spacing w:before="221"/>
      </w:pPr>
      <w:r>
        <w:rPr/>
        <w:t>Studies on increasing muscle growth using L-carnitine</w:t>
      </w:r>
    </w:p>
    <w:p>
      <w:pPr>
        <w:pStyle w:val="BodyText"/>
        <w:spacing w:line="276" w:lineRule="auto" w:before="179"/>
        <w:ind w:left="477"/>
        <w:rPr>
          <w:sz w:val="25"/>
        </w:rPr>
      </w:pPr>
      <w:r>
        <w:rPr/>
        <w:t>Several studies have shown significantly increased muscle growth using L-car- nitine.</w:t>
      </w:r>
      <w:r>
        <w:rPr>
          <w:position w:val="9"/>
          <w:sz w:val="25"/>
        </w:rPr>
        <w:t>483</w:t>
      </w:r>
    </w:p>
    <w:p>
      <w:pPr>
        <w:pStyle w:val="Heading2"/>
        <w:spacing w:before="241"/>
      </w:pPr>
      <w:r>
        <w:rPr/>
        <w:t>Studies on increasing sporting performance using L-carnitine</w:t>
      </w:r>
    </w:p>
    <w:p>
      <w:pPr>
        <w:pStyle w:val="BodyText"/>
        <w:spacing w:line="276" w:lineRule="auto" w:before="305"/>
        <w:ind w:left="477"/>
      </w:pPr>
      <w:r>
        <w:rPr/>
        <w:t>There are over 40 studies showing that L-carnitine clearly boosts performance. A small excerpt:</w:t>
      </w:r>
    </w:p>
    <w:p>
      <w:pPr>
        <w:pStyle w:val="BodyText"/>
        <w:rPr>
          <w:sz w:val="20"/>
        </w:rPr>
      </w:pPr>
    </w:p>
    <w:p>
      <w:pPr>
        <w:pStyle w:val="BodyText"/>
        <w:rPr>
          <w:sz w:val="20"/>
        </w:rPr>
      </w:pPr>
    </w:p>
    <w:p>
      <w:pPr>
        <w:pStyle w:val="BodyText"/>
        <w:spacing w:before="1"/>
        <w:rPr>
          <w:sz w:val="21"/>
        </w:rPr>
      </w:pPr>
      <w:r>
        <w:rPr/>
        <w:pict>
          <v:line style="position:absolute;mso-position-horizontal-relative:page;mso-position-vertical-relative:paragraph;z-index:6176;mso-wrap-distance-left:0;mso-wrap-distance-right:0" from="63.863998pt,14.217515pt" to="207.883998pt,14.217515pt" stroked="true" strokeweight=".71997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480 </w:t>
      </w:r>
      <w:r>
        <w:rPr>
          <w:sz w:val="20"/>
        </w:rPr>
        <w:t>Heller 1996</w:t>
      </w:r>
    </w:p>
    <w:p>
      <w:pPr>
        <w:spacing w:before="94"/>
        <w:ind w:left="477" w:right="0" w:firstLine="0"/>
        <w:jc w:val="left"/>
        <w:rPr>
          <w:sz w:val="20"/>
        </w:rPr>
      </w:pPr>
      <w:r>
        <w:rPr>
          <w:position w:val="5"/>
          <w:sz w:val="13"/>
        </w:rPr>
        <w:t>481 </w:t>
      </w:r>
      <w:r>
        <w:rPr>
          <w:sz w:val="20"/>
        </w:rPr>
        <w:t>Lebrun 1984</w:t>
      </w:r>
    </w:p>
    <w:p>
      <w:pPr>
        <w:spacing w:before="95"/>
        <w:ind w:left="477" w:right="0" w:firstLine="0"/>
        <w:jc w:val="left"/>
        <w:rPr>
          <w:sz w:val="20"/>
        </w:rPr>
      </w:pPr>
      <w:r>
        <w:rPr/>
        <w:drawing>
          <wp:anchor distT="0" distB="0" distL="0" distR="0" allowOverlap="1" layoutInCell="1" locked="0" behindDoc="1" simplePos="0" relativeHeight="267173975">
            <wp:simplePos x="0" y="0"/>
            <wp:positionH relativeFrom="page">
              <wp:posOffset>896463</wp:posOffset>
            </wp:positionH>
            <wp:positionV relativeFrom="paragraph">
              <wp:posOffset>142597</wp:posOffset>
            </wp:positionV>
            <wp:extent cx="6379583" cy="902106"/>
            <wp:effectExtent l="0" t="0" r="0" b="0"/>
            <wp:wrapNone/>
            <wp:docPr id="315" name="image2.jpeg" descr=""/>
            <wp:cNvGraphicFramePr>
              <a:graphicFrameLocks noChangeAspect="1"/>
            </wp:cNvGraphicFramePr>
            <a:graphic>
              <a:graphicData uri="http://schemas.openxmlformats.org/drawingml/2006/picture">
                <pic:pic>
                  <pic:nvPicPr>
                    <pic:cNvPr id="316"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482 </w:t>
      </w:r>
      <w:r>
        <w:rPr>
          <w:sz w:val="20"/>
        </w:rPr>
        <w:t>Ahmad S. et al. 1990, Bradley 1996, Gross 1998</w:t>
      </w:r>
    </w:p>
    <w:p>
      <w:pPr>
        <w:spacing w:before="94"/>
        <w:ind w:left="477" w:right="0" w:firstLine="0"/>
        <w:jc w:val="left"/>
        <w:rPr>
          <w:sz w:val="20"/>
        </w:rPr>
      </w:pPr>
      <w:r>
        <w:rPr>
          <w:position w:val="5"/>
          <w:sz w:val="13"/>
        </w:rPr>
        <w:t>483 </w:t>
      </w:r>
      <w:r>
        <w:rPr>
          <w:sz w:val="20"/>
        </w:rPr>
        <w:t>Spagnoli et al.</w:t>
      </w:r>
    </w:p>
    <w:p>
      <w:pPr>
        <w:spacing w:after="0"/>
        <w:jc w:val="left"/>
        <w:rPr>
          <w:sz w:val="20"/>
        </w:rPr>
        <w:sectPr>
          <w:footerReference w:type="default" r:id="rId212"/>
          <w:pgSz w:w="14270" w:h="16850"/>
          <w:pgMar w:footer="404" w:header="0" w:top="1600" w:bottom="600" w:left="800" w:right="1280"/>
        </w:sectPr>
      </w:pPr>
    </w:p>
    <w:p>
      <w:pPr>
        <w:pStyle w:val="ListParagraph"/>
        <w:numPr>
          <w:ilvl w:val="0"/>
          <w:numId w:val="64"/>
        </w:numPr>
        <w:tabs>
          <w:tab w:pos="1198" w:val="left" w:leader="none"/>
        </w:tabs>
        <w:spacing w:line="266" w:lineRule="auto" w:before="182" w:after="0"/>
        <w:ind w:left="1197" w:right="138" w:hanging="360"/>
        <w:jc w:val="both"/>
        <w:rPr>
          <w:sz w:val="25"/>
        </w:rPr>
      </w:pPr>
      <w:r>
        <w:rPr>
          <w:b/>
          <w:i/>
          <w:w w:val="95"/>
          <w:sz w:val="40"/>
        </w:rPr>
        <w:t>L-carnitine</w:t>
      </w:r>
      <w:r>
        <w:rPr>
          <w:b/>
          <w:i/>
          <w:spacing w:val="-18"/>
          <w:w w:val="95"/>
          <w:sz w:val="40"/>
        </w:rPr>
        <w:t> </w:t>
      </w:r>
      <w:r>
        <w:rPr>
          <w:b/>
          <w:i/>
          <w:w w:val="95"/>
          <w:sz w:val="40"/>
        </w:rPr>
        <w:t>increases</w:t>
      </w:r>
      <w:r>
        <w:rPr>
          <w:b/>
          <w:i/>
          <w:spacing w:val="-18"/>
          <w:w w:val="95"/>
          <w:sz w:val="40"/>
        </w:rPr>
        <w:t> </w:t>
      </w:r>
      <w:r>
        <w:rPr>
          <w:b/>
          <w:i/>
          <w:w w:val="95"/>
          <w:sz w:val="40"/>
        </w:rPr>
        <w:t>running</w:t>
      </w:r>
      <w:r>
        <w:rPr>
          <w:b/>
          <w:i/>
          <w:spacing w:val="-16"/>
          <w:w w:val="95"/>
          <w:sz w:val="40"/>
        </w:rPr>
        <w:t> </w:t>
      </w:r>
      <w:r>
        <w:rPr>
          <w:b/>
          <w:i/>
          <w:w w:val="95"/>
          <w:sz w:val="40"/>
        </w:rPr>
        <w:t>speed</w:t>
      </w:r>
      <w:r>
        <w:rPr>
          <w:b/>
          <w:i/>
          <w:spacing w:val="-19"/>
          <w:w w:val="95"/>
          <w:sz w:val="40"/>
        </w:rPr>
        <w:t> </w:t>
      </w:r>
      <w:r>
        <w:rPr>
          <w:b/>
          <w:i/>
          <w:w w:val="95"/>
          <w:sz w:val="40"/>
        </w:rPr>
        <w:t>and</w:t>
      </w:r>
      <w:r>
        <w:rPr>
          <w:b/>
          <w:i/>
          <w:spacing w:val="-18"/>
          <w:w w:val="95"/>
          <w:sz w:val="40"/>
        </w:rPr>
        <w:t> </w:t>
      </w:r>
      <w:r>
        <w:rPr>
          <w:b/>
          <w:i/>
          <w:w w:val="95"/>
          <w:sz w:val="40"/>
        </w:rPr>
        <w:t>endurance</w:t>
      </w:r>
      <w:r>
        <w:rPr>
          <w:b/>
          <w:i/>
          <w:spacing w:val="-17"/>
          <w:w w:val="95"/>
          <w:sz w:val="40"/>
        </w:rPr>
        <w:t> </w:t>
      </w:r>
      <w:r>
        <w:rPr>
          <w:b/>
          <w:i/>
          <w:w w:val="95"/>
          <w:sz w:val="40"/>
        </w:rPr>
        <w:t>in</w:t>
      </w:r>
      <w:r>
        <w:rPr>
          <w:b/>
          <w:i/>
          <w:spacing w:val="-20"/>
          <w:w w:val="95"/>
          <w:sz w:val="40"/>
        </w:rPr>
        <w:t> </w:t>
      </w:r>
      <w:r>
        <w:rPr>
          <w:b/>
          <w:i/>
          <w:w w:val="95"/>
          <w:sz w:val="40"/>
        </w:rPr>
        <w:t>animal</w:t>
      </w:r>
      <w:r>
        <w:rPr>
          <w:b/>
          <w:i/>
          <w:spacing w:val="-16"/>
          <w:w w:val="95"/>
          <w:sz w:val="40"/>
        </w:rPr>
        <w:t> </w:t>
      </w:r>
      <w:r>
        <w:rPr>
          <w:b/>
          <w:i/>
          <w:w w:val="95"/>
          <w:sz w:val="40"/>
        </w:rPr>
        <w:t>exper- </w:t>
      </w:r>
      <w:r>
        <w:rPr>
          <w:b/>
          <w:i/>
          <w:sz w:val="40"/>
        </w:rPr>
        <w:t>iments: </w:t>
      </w:r>
      <w:r>
        <w:rPr>
          <w:sz w:val="38"/>
        </w:rPr>
        <w:t>after just ten days of use, acetyl-L-carnitine increased maximum running speed and endurance in animal experiments.</w:t>
      </w:r>
      <w:r>
        <w:rPr>
          <w:position w:val="9"/>
          <w:sz w:val="25"/>
        </w:rPr>
        <w:t>484</w:t>
      </w:r>
    </w:p>
    <w:p>
      <w:pPr>
        <w:pStyle w:val="ListParagraph"/>
        <w:numPr>
          <w:ilvl w:val="0"/>
          <w:numId w:val="64"/>
        </w:numPr>
        <w:tabs>
          <w:tab w:pos="1198" w:val="left" w:leader="none"/>
        </w:tabs>
        <w:spacing w:line="266" w:lineRule="auto" w:before="256" w:after="0"/>
        <w:ind w:left="1197" w:right="136" w:hanging="360"/>
        <w:jc w:val="both"/>
        <w:rPr>
          <w:sz w:val="38"/>
        </w:rPr>
      </w:pPr>
      <w:r>
        <w:rPr>
          <w:b/>
          <w:i/>
          <w:sz w:val="40"/>
        </w:rPr>
        <w:t>L-carnitine</w:t>
      </w:r>
      <w:r>
        <w:rPr>
          <w:b/>
          <w:i/>
          <w:spacing w:val="-47"/>
          <w:sz w:val="40"/>
        </w:rPr>
        <w:t> </w:t>
      </w:r>
      <w:r>
        <w:rPr>
          <w:b/>
          <w:i/>
          <w:sz w:val="40"/>
        </w:rPr>
        <w:t>increases</w:t>
      </w:r>
      <w:r>
        <w:rPr>
          <w:b/>
          <w:i/>
          <w:spacing w:val="-47"/>
          <w:sz w:val="40"/>
        </w:rPr>
        <w:t> </w:t>
      </w:r>
      <w:r>
        <w:rPr>
          <w:b/>
          <w:i/>
          <w:sz w:val="40"/>
        </w:rPr>
        <w:t>the</w:t>
      </w:r>
      <w:r>
        <w:rPr>
          <w:b/>
          <w:i/>
          <w:spacing w:val="-46"/>
          <w:sz w:val="40"/>
        </w:rPr>
        <w:t> </w:t>
      </w:r>
      <w:r>
        <w:rPr>
          <w:b/>
          <w:i/>
          <w:sz w:val="40"/>
        </w:rPr>
        <w:t>performance</w:t>
      </w:r>
      <w:r>
        <w:rPr>
          <w:b/>
          <w:i/>
          <w:spacing w:val="-46"/>
          <w:sz w:val="40"/>
        </w:rPr>
        <w:t> </w:t>
      </w:r>
      <w:r>
        <w:rPr>
          <w:b/>
          <w:i/>
          <w:sz w:val="40"/>
        </w:rPr>
        <w:t>of</w:t>
      </w:r>
      <w:r>
        <w:rPr>
          <w:b/>
          <w:i/>
          <w:spacing w:val="-47"/>
          <w:sz w:val="40"/>
        </w:rPr>
        <w:t> </w:t>
      </w:r>
      <w:r>
        <w:rPr>
          <w:b/>
          <w:i/>
          <w:sz w:val="40"/>
        </w:rPr>
        <w:t>cyclists</w:t>
      </w:r>
      <w:r>
        <w:rPr>
          <w:b/>
          <w:i/>
          <w:spacing w:val="-47"/>
          <w:sz w:val="40"/>
        </w:rPr>
        <w:t> </w:t>
      </w:r>
      <w:r>
        <w:rPr>
          <w:b/>
          <w:i/>
          <w:sz w:val="40"/>
        </w:rPr>
        <w:t>by</w:t>
      </w:r>
      <w:r>
        <w:rPr>
          <w:b/>
          <w:i/>
          <w:spacing w:val="-47"/>
          <w:sz w:val="40"/>
        </w:rPr>
        <w:t> </w:t>
      </w:r>
      <w:r>
        <w:rPr>
          <w:b/>
          <w:i/>
          <w:sz w:val="40"/>
        </w:rPr>
        <w:t>11-19</w:t>
      </w:r>
      <w:r>
        <w:rPr>
          <w:b/>
          <w:i/>
          <w:spacing w:val="-47"/>
          <w:sz w:val="40"/>
        </w:rPr>
        <w:t> </w:t>
      </w:r>
      <w:r>
        <w:rPr>
          <w:b/>
          <w:i/>
          <w:sz w:val="40"/>
        </w:rPr>
        <w:t>%</w:t>
      </w:r>
      <w:r>
        <w:rPr>
          <w:b/>
          <w:i/>
          <w:spacing w:val="-47"/>
          <w:sz w:val="40"/>
        </w:rPr>
        <w:t> </w:t>
      </w:r>
      <w:r>
        <w:rPr>
          <w:b/>
          <w:i/>
          <w:sz w:val="40"/>
        </w:rPr>
        <w:t>and</w:t>
      </w:r>
      <w:r>
        <w:rPr>
          <w:b/>
          <w:i/>
          <w:spacing w:val="-47"/>
          <w:sz w:val="40"/>
        </w:rPr>
        <w:t> </w:t>
      </w:r>
      <w:r>
        <w:rPr>
          <w:b/>
          <w:i/>
          <w:sz w:val="40"/>
        </w:rPr>
        <w:t>re- duces</w:t>
      </w:r>
      <w:r>
        <w:rPr>
          <w:b/>
          <w:i/>
          <w:spacing w:val="-20"/>
          <w:sz w:val="40"/>
        </w:rPr>
        <w:t> </w:t>
      </w:r>
      <w:r>
        <w:rPr>
          <w:b/>
          <w:i/>
          <w:sz w:val="40"/>
        </w:rPr>
        <w:t>recuperation</w:t>
      </w:r>
      <w:r>
        <w:rPr>
          <w:b/>
          <w:i/>
          <w:spacing w:val="-20"/>
          <w:sz w:val="40"/>
        </w:rPr>
        <w:t> </w:t>
      </w:r>
      <w:r>
        <w:rPr>
          <w:b/>
          <w:i/>
          <w:sz w:val="40"/>
        </w:rPr>
        <w:t>time:</w:t>
      </w:r>
      <w:r>
        <w:rPr>
          <w:b/>
          <w:i/>
          <w:spacing w:val="-18"/>
          <w:sz w:val="40"/>
        </w:rPr>
        <w:t> </w:t>
      </w:r>
      <w:r>
        <w:rPr>
          <w:sz w:val="38"/>
        </w:rPr>
        <w:t>at</w:t>
      </w:r>
      <w:r>
        <w:rPr>
          <w:spacing w:val="-14"/>
          <w:sz w:val="38"/>
        </w:rPr>
        <w:t> </w:t>
      </w:r>
      <w:r>
        <w:rPr>
          <w:sz w:val="38"/>
        </w:rPr>
        <w:t>the</w:t>
      </w:r>
      <w:r>
        <w:rPr>
          <w:spacing w:val="-14"/>
          <w:sz w:val="38"/>
        </w:rPr>
        <w:t> </w:t>
      </w:r>
      <w:r>
        <w:rPr>
          <w:sz w:val="38"/>
        </w:rPr>
        <w:t>University</w:t>
      </w:r>
      <w:r>
        <w:rPr>
          <w:spacing w:val="-15"/>
          <w:sz w:val="38"/>
        </w:rPr>
        <w:t> </w:t>
      </w:r>
      <w:r>
        <w:rPr>
          <w:sz w:val="38"/>
        </w:rPr>
        <w:t>of</w:t>
      </w:r>
      <w:r>
        <w:rPr>
          <w:spacing w:val="-14"/>
          <w:sz w:val="38"/>
        </w:rPr>
        <w:t> </w:t>
      </w:r>
      <w:r>
        <w:rPr>
          <w:sz w:val="38"/>
        </w:rPr>
        <w:t>Basel,</w:t>
      </w:r>
      <w:r>
        <w:rPr>
          <w:spacing w:val="-14"/>
          <w:sz w:val="38"/>
        </w:rPr>
        <w:t> </w:t>
      </w:r>
      <w:r>
        <w:rPr>
          <w:sz w:val="38"/>
        </w:rPr>
        <w:t>under</w:t>
      </w:r>
      <w:r>
        <w:rPr>
          <w:spacing w:val="-14"/>
          <w:sz w:val="38"/>
        </w:rPr>
        <w:t> </w:t>
      </w:r>
      <w:r>
        <w:rPr>
          <w:sz w:val="38"/>
        </w:rPr>
        <w:t>the</w:t>
      </w:r>
      <w:r>
        <w:rPr>
          <w:spacing w:val="-14"/>
          <w:sz w:val="38"/>
        </w:rPr>
        <w:t> </w:t>
      </w:r>
      <w:r>
        <w:rPr>
          <w:sz w:val="38"/>
        </w:rPr>
        <w:t>direction of Prof. Walter, an increase in performance among cyclists of between</w:t>
      </w:r>
      <w:r>
        <w:rPr>
          <w:spacing w:val="25"/>
          <w:sz w:val="38"/>
        </w:rPr>
        <w:t> </w:t>
      </w:r>
      <w:r>
        <w:rPr>
          <w:sz w:val="38"/>
        </w:rPr>
        <w:t>11</w:t>
      </w:r>
    </w:p>
    <w:p>
      <w:pPr>
        <w:pStyle w:val="BodyText"/>
        <w:spacing w:before="19"/>
        <w:ind w:left="1197"/>
      </w:pPr>
      <w:r>
        <w:rPr/>
        <w:t>% and 19 % was measured in all trials in comparison with a placebo.</w:t>
      </w:r>
    </w:p>
    <w:p>
      <w:pPr>
        <w:pStyle w:val="BodyText"/>
        <w:spacing w:line="276" w:lineRule="auto" w:before="304"/>
        <w:ind w:left="477"/>
      </w:pPr>
      <w:r>
        <w:rPr/>
        <w:t>Furthermore, an increase in strength and an acceleration of recuperation were observed.</w:t>
      </w:r>
    </w:p>
    <w:p>
      <w:pPr>
        <w:spacing w:before="222"/>
        <w:ind w:left="477" w:right="0" w:firstLine="0"/>
        <w:jc w:val="left"/>
        <w:rPr>
          <w:b/>
          <w:sz w:val="38"/>
        </w:rPr>
      </w:pPr>
      <w:r>
        <w:rPr>
          <w:b/>
          <w:i/>
          <w:sz w:val="40"/>
        </w:rPr>
        <w:t>Studies on ageing retardation and </w:t>
      </w:r>
      <w:r>
        <w:rPr>
          <w:b/>
          <w:sz w:val="38"/>
        </w:rPr>
        <w:t>rejuvenation with L-carnitine</w:t>
      </w:r>
    </w:p>
    <w:p>
      <w:pPr>
        <w:pStyle w:val="ListParagraph"/>
        <w:numPr>
          <w:ilvl w:val="0"/>
          <w:numId w:val="40"/>
        </w:numPr>
        <w:tabs>
          <w:tab w:pos="478" w:val="left" w:leader="none"/>
        </w:tabs>
        <w:spacing w:line="271" w:lineRule="auto" w:before="299" w:after="0"/>
        <w:ind w:left="477" w:right="135" w:hanging="361"/>
        <w:jc w:val="both"/>
        <w:rPr>
          <w:rFonts w:ascii="Symbol"/>
          <w:sz w:val="38"/>
        </w:rPr>
      </w:pPr>
      <w:r>
        <w:rPr>
          <w:b/>
          <w:i/>
          <w:sz w:val="40"/>
        </w:rPr>
        <w:t>Acetyl-L-carnitine repairs DNA damage: </w:t>
      </w:r>
      <w:r>
        <w:rPr>
          <w:sz w:val="38"/>
        </w:rPr>
        <w:t>L-carnitine in peripheral blood lymphocyte studies has been shown to repair damage to our genetic material, the DNA, caused by alkylating agents and oxygen</w:t>
      </w:r>
      <w:r>
        <w:rPr>
          <w:spacing w:val="-1"/>
          <w:sz w:val="38"/>
        </w:rPr>
        <w:t> </w:t>
      </w:r>
      <w:r>
        <w:rPr>
          <w:sz w:val="38"/>
        </w:rPr>
        <w:t>radicals.</w:t>
      </w:r>
      <w:r>
        <w:rPr>
          <w:position w:val="9"/>
          <w:sz w:val="25"/>
        </w:rPr>
        <w:t>485</w:t>
      </w:r>
    </w:p>
    <w:p>
      <w:pPr>
        <w:pStyle w:val="ListParagraph"/>
        <w:numPr>
          <w:ilvl w:val="0"/>
          <w:numId w:val="40"/>
        </w:numPr>
        <w:tabs>
          <w:tab w:pos="478" w:val="left" w:leader="none"/>
        </w:tabs>
        <w:spacing w:line="268" w:lineRule="auto" w:before="256" w:after="0"/>
        <w:ind w:left="477" w:right="136" w:hanging="361"/>
        <w:jc w:val="both"/>
        <w:rPr>
          <w:rFonts w:ascii="Symbol"/>
          <w:sz w:val="38"/>
        </w:rPr>
      </w:pPr>
      <w:r>
        <w:rPr>
          <w:b/>
          <w:i/>
          <w:w w:val="95"/>
          <w:sz w:val="40"/>
        </w:rPr>
        <w:t>Acetyl-L-carnitine counteracts lipid peroxidation associated with brain </w:t>
      </w:r>
      <w:r>
        <w:rPr>
          <w:b/>
          <w:i/>
          <w:sz w:val="40"/>
        </w:rPr>
        <w:t>ageing: </w:t>
      </w:r>
      <w:r>
        <w:rPr>
          <w:sz w:val="38"/>
        </w:rPr>
        <w:t>Cholesterol leads to brain ageing via lipid peroxidation. In studies,</w:t>
      </w:r>
      <w:r>
        <w:rPr>
          <w:spacing w:val="-43"/>
          <w:sz w:val="38"/>
        </w:rPr>
        <w:t> </w:t>
      </w:r>
      <w:r>
        <w:rPr>
          <w:sz w:val="38"/>
        </w:rPr>
        <w:t>ac- etyl-L-carnitine counteracted the mechanism of peroxidation and thus age-re- lated</w:t>
      </w:r>
      <w:r>
        <w:rPr>
          <w:spacing w:val="-2"/>
          <w:sz w:val="38"/>
        </w:rPr>
        <w:t> </w:t>
      </w:r>
      <w:r>
        <w:rPr>
          <w:sz w:val="38"/>
        </w:rPr>
        <w:t>dementia.</w:t>
      </w:r>
      <w:r>
        <w:rPr>
          <w:position w:val="9"/>
          <w:sz w:val="25"/>
        </w:rPr>
        <w:t>486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r>
        <w:rPr/>
        <w:pict>
          <v:line style="position:absolute;mso-position-horizontal-relative:page;mso-position-vertical-relative:paragraph;z-index:6224;mso-wrap-distance-left:0;mso-wrap-distance-right:0" from="63.863998pt,12.459473pt" to="207.883998pt,12.459473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484 </w:t>
      </w:r>
      <w:r>
        <w:rPr>
          <w:sz w:val="20"/>
        </w:rPr>
        <w:t>Seifulla 1993</w:t>
      </w:r>
    </w:p>
    <w:p>
      <w:pPr>
        <w:spacing w:before="94"/>
        <w:ind w:left="477" w:right="0" w:firstLine="0"/>
        <w:jc w:val="left"/>
        <w:rPr>
          <w:sz w:val="20"/>
        </w:rPr>
      </w:pPr>
      <w:r>
        <w:rPr>
          <w:position w:val="5"/>
          <w:sz w:val="13"/>
        </w:rPr>
        <w:t>485 </w:t>
      </w:r>
      <w:r>
        <w:rPr>
          <w:sz w:val="20"/>
        </w:rPr>
        <w:t>Boehriger METI Carcinogenesis 1993</w:t>
      </w:r>
    </w:p>
    <w:p>
      <w:pPr>
        <w:spacing w:after="0"/>
        <w:jc w:val="left"/>
        <w:rPr>
          <w:sz w:val="20"/>
        </w:rPr>
        <w:sectPr>
          <w:footerReference w:type="default" r:id="rId213"/>
          <w:pgSz w:w="14270" w:h="16850"/>
          <w:pgMar w:footer="2303" w:header="0" w:top="1600" w:bottom="2500" w:left="800" w:right="1280"/>
        </w:sectPr>
      </w:pPr>
    </w:p>
    <w:p>
      <w:pPr>
        <w:pStyle w:val="ListParagraph"/>
        <w:numPr>
          <w:ilvl w:val="0"/>
          <w:numId w:val="40"/>
        </w:numPr>
        <w:tabs>
          <w:tab w:pos="478" w:val="left" w:leader="none"/>
        </w:tabs>
        <w:spacing w:line="268" w:lineRule="auto" w:before="182" w:after="0"/>
        <w:ind w:left="477" w:right="134" w:hanging="361"/>
        <w:jc w:val="both"/>
        <w:rPr>
          <w:rFonts w:ascii="Symbol"/>
          <w:sz w:val="38"/>
        </w:rPr>
      </w:pPr>
      <w:r>
        <w:rPr>
          <w:b/>
          <w:i/>
          <w:sz w:val="40"/>
        </w:rPr>
        <w:t>Acetyl-L-carnitine</w:t>
      </w:r>
      <w:r>
        <w:rPr>
          <w:b/>
          <w:i/>
          <w:spacing w:val="-62"/>
          <w:sz w:val="40"/>
        </w:rPr>
        <w:t> </w:t>
      </w:r>
      <w:r>
        <w:rPr>
          <w:b/>
          <w:i/>
          <w:sz w:val="40"/>
        </w:rPr>
        <w:t>rescues</w:t>
      </w:r>
      <w:r>
        <w:rPr>
          <w:b/>
          <w:i/>
          <w:spacing w:val="-61"/>
          <w:sz w:val="40"/>
        </w:rPr>
        <w:t> </w:t>
      </w:r>
      <w:r>
        <w:rPr>
          <w:b/>
          <w:i/>
          <w:sz w:val="40"/>
        </w:rPr>
        <w:t>ageing</w:t>
      </w:r>
      <w:r>
        <w:rPr>
          <w:b/>
          <w:i/>
          <w:spacing w:val="-60"/>
          <w:sz w:val="40"/>
        </w:rPr>
        <w:t> </w:t>
      </w:r>
      <w:r>
        <w:rPr>
          <w:b/>
          <w:i/>
          <w:sz w:val="40"/>
        </w:rPr>
        <w:t>nerve</w:t>
      </w:r>
      <w:r>
        <w:rPr>
          <w:b/>
          <w:i/>
          <w:spacing w:val="-61"/>
          <w:sz w:val="40"/>
        </w:rPr>
        <w:t> </w:t>
      </w:r>
      <w:r>
        <w:rPr>
          <w:b/>
          <w:i/>
          <w:sz w:val="40"/>
        </w:rPr>
        <w:t>cells:</w:t>
      </w:r>
      <w:r>
        <w:rPr>
          <w:b/>
          <w:i/>
          <w:spacing w:val="-12"/>
          <w:sz w:val="40"/>
        </w:rPr>
        <w:t> </w:t>
      </w:r>
      <w:r>
        <w:rPr>
          <w:sz w:val="38"/>
        </w:rPr>
        <w:t>By</w:t>
      </w:r>
      <w:r>
        <w:rPr>
          <w:spacing w:val="-56"/>
          <w:sz w:val="38"/>
        </w:rPr>
        <w:t> </w:t>
      </w:r>
      <w:r>
        <w:rPr>
          <w:sz w:val="38"/>
        </w:rPr>
        <w:t>optimising</w:t>
      </w:r>
      <w:r>
        <w:rPr>
          <w:spacing w:val="-55"/>
          <w:sz w:val="38"/>
        </w:rPr>
        <w:t> </w:t>
      </w:r>
      <w:r>
        <w:rPr>
          <w:sz w:val="38"/>
        </w:rPr>
        <w:t>nootropic</w:t>
      </w:r>
      <w:r>
        <w:rPr>
          <w:spacing w:val="-55"/>
          <w:sz w:val="38"/>
        </w:rPr>
        <w:t> </w:t>
      </w:r>
      <w:r>
        <w:rPr>
          <w:sz w:val="38"/>
        </w:rPr>
        <w:t>fac- tors, ALC is able to shield ageing nerve cells from cell</w:t>
      </w:r>
      <w:r>
        <w:rPr>
          <w:spacing w:val="-7"/>
          <w:sz w:val="38"/>
        </w:rPr>
        <w:t> </w:t>
      </w:r>
      <w:r>
        <w:rPr>
          <w:sz w:val="38"/>
        </w:rPr>
        <w:t>death.</w:t>
      </w:r>
      <w:r>
        <w:rPr>
          <w:position w:val="9"/>
          <w:sz w:val="25"/>
        </w:rPr>
        <w:t>487</w:t>
      </w:r>
    </w:p>
    <w:p>
      <w:pPr>
        <w:pStyle w:val="ListParagraph"/>
        <w:numPr>
          <w:ilvl w:val="0"/>
          <w:numId w:val="40"/>
        </w:numPr>
        <w:tabs>
          <w:tab w:pos="478" w:val="left" w:leader="none"/>
        </w:tabs>
        <w:spacing w:line="271" w:lineRule="auto" w:before="257" w:after="0"/>
        <w:ind w:left="477" w:right="134" w:hanging="361"/>
        <w:jc w:val="both"/>
        <w:rPr>
          <w:rFonts w:ascii="Symbol"/>
          <w:sz w:val="38"/>
        </w:rPr>
      </w:pPr>
      <w:r>
        <w:rPr>
          <w:b/>
          <w:i/>
          <w:sz w:val="40"/>
        </w:rPr>
        <w:t>Effect</w:t>
      </w:r>
      <w:r>
        <w:rPr>
          <w:b/>
          <w:i/>
          <w:spacing w:val="-15"/>
          <w:sz w:val="40"/>
        </w:rPr>
        <w:t> </w:t>
      </w:r>
      <w:r>
        <w:rPr>
          <w:b/>
          <w:i/>
          <w:sz w:val="40"/>
        </w:rPr>
        <w:t>of</w:t>
      </w:r>
      <w:r>
        <w:rPr>
          <w:b/>
          <w:i/>
          <w:spacing w:val="-13"/>
          <w:sz w:val="40"/>
        </w:rPr>
        <w:t> </w:t>
      </w:r>
      <w:r>
        <w:rPr>
          <w:b/>
          <w:i/>
          <w:sz w:val="40"/>
        </w:rPr>
        <w:t>acetyl-L-carnitine</w:t>
      </w:r>
      <w:r>
        <w:rPr>
          <w:b/>
          <w:i/>
          <w:spacing w:val="-13"/>
          <w:sz w:val="40"/>
        </w:rPr>
        <w:t> </w:t>
      </w:r>
      <w:r>
        <w:rPr>
          <w:b/>
          <w:i/>
          <w:sz w:val="40"/>
        </w:rPr>
        <w:t>on</w:t>
      </w:r>
      <w:r>
        <w:rPr>
          <w:b/>
          <w:i/>
          <w:spacing w:val="-14"/>
          <w:sz w:val="40"/>
        </w:rPr>
        <w:t> </w:t>
      </w:r>
      <w:r>
        <w:rPr>
          <w:b/>
          <w:i/>
          <w:sz w:val="40"/>
        </w:rPr>
        <w:t>dementia:</w:t>
      </w:r>
      <w:r>
        <w:rPr>
          <w:b/>
          <w:i/>
          <w:spacing w:val="-13"/>
          <w:sz w:val="40"/>
        </w:rPr>
        <w:t> </w:t>
      </w:r>
      <w:r>
        <w:rPr>
          <w:sz w:val="38"/>
        </w:rPr>
        <w:t>ALC</w:t>
      </w:r>
      <w:r>
        <w:rPr>
          <w:spacing w:val="-9"/>
          <w:sz w:val="38"/>
        </w:rPr>
        <w:t> </w:t>
      </w:r>
      <w:r>
        <w:rPr>
          <w:sz w:val="38"/>
        </w:rPr>
        <w:t>demonstrated</w:t>
      </w:r>
      <w:r>
        <w:rPr>
          <w:spacing w:val="-8"/>
          <w:sz w:val="38"/>
        </w:rPr>
        <w:t> </w:t>
      </w:r>
      <w:r>
        <w:rPr>
          <w:sz w:val="38"/>
        </w:rPr>
        <w:t>a</w:t>
      </w:r>
      <w:r>
        <w:rPr>
          <w:spacing w:val="-9"/>
          <w:sz w:val="38"/>
        </w:rPr>
        <w:t> </w:t>
      </w:r>
      <w:r>
        <w:rPr>
          <w:sz w:val="38"/>
        </w:rPr>
        <w:t>significant reduction</w:t>
      </w:r>
      <w:r>
        <w:rPr>
          <w:spacing w:val="-16"/>
          <w:sz w:val="38"/>
        </w:rPr>
        <w:t> </w:t>
      </w:r>
      <w:r>
        <w:rPr>
          <w:sz w:val="38"/>
        </w:rPr>
        <w:t>in</w:t>
      </w:r>
      <w:r>
        <w:rPr>
          <w:spacing w:val="-16"/>
          <w:sz w:val="38"/>
        </w:rPr>
        <w:t> </w:t>
      </w:r>
      <w:r>
        <w:rPr>
          <w:sz w:val="38"/>
        </w:rPr>
        <w:t>brain</w:t>
      </w:r>
      <w:r>
        <w:rPr>
          <w:spacing w:val="-16"/>
          <w:sz w:val="38"/>
        </w:rPr>
        <w:t> </w:t>
      </w:r>
      <w:r>
        <w:rPr>
          <w:sz w:val="38"/>
        </w:rPr>
        <w:t>cell</w:t>
      </w:r>
      <w:r>
        <w:rPr>
          <w:spacing w:val="-16"/>
          <w:sz w:val="38"/>
        </w:rPr>
        <w:t> </w:t>
      </w:r>
      <w:r>
        <w:rPr>
          <w:sz w:val="38"/>
        </w:rPr>
        <w:t>breakdown</w:t>
      </w:r>
      <w:r>
        <w:rPr>
          <w:spacing w:val="-16"/>
          <w:sz w:val="38"/>
        </w:rPr>
        <w:t> </w:t>
      </w:r>
      <w:r>
        <w:rPr>
          <w:sz w:val="38"/>
        </w:rPr>
        <w:t>typical</w:t>
      </w:r>
      <w:r>
        <w:rPr>
          <w:spacing w:val="-17"/>
          <w:sz w:val="38"/>
        </w:rPr>
        <w:t> </w:t>
      </w:r>
      <w:r>
        <w:rPr>
          <w:sz w:val="38"/>
        </w:rPr>
        <w:t>of</w:t>
      </w:r>
      <w:r>
        <w:rPr>
          <w:spacing w:val="-16"/>
          <w:sz w:val="38"/>
        </w:rPr>
        <w:t> </w:t>
      </w:r>
      <w:r>
        <w:rPr>
          <w:sz w:val="38"/>
        </w:rPr>
        <w:t>Alzheimer's</w:t>
      </w:r>
      <w:r>
        <w:rPr>
          <w:spacing w:val="-14"/>
          <w:sz w:val="38"/>
        </w:rPr>
        <w:t> </w:t>
      </w:r>
      <w:r>
        <w:rPr>
          <w:sz w:val="38"/>
        </w:rPr>
        <w:t>in</w:t>
      </w:r>
      <w:r>
        <w:rPr>
          <w:spacing w:val="-16"/>
          <w:sz w:val="38"/>
        </w:rPr>
        <w:t> </w:t>
      </w:r>
      <w:r>
        <w:rPr>
          <w:sz w:val="38"/>
        </w:rPr>
        <w:t>a</w:t>
      </w:r>
      <w:r>
        <w:rPr>
          <w:spacing w:val="-18"/>
          <w:sz w:val="38"/>
        </w:rPr>
        <w:t> </w:t>
      </w:r>
      <w:r>
        <w:rPr>
          <w:sz w:val="38"/>
        </w:rPr>
        <w:t>double-blind</w:t>
      </w:r>
      <w:r>
        <w:rPr>
          <w:spacing w:val="-17"/>
          <w:sz w:val="38"/>
        </w:rPr>
        <w:t> </w:t>
      </w:r>
      <w:r>
        <w:rPr>
          <w:sz w:val="38"/>
        </w:rPr>
        <w:t>study against a placebo.</w:t>
      </w:r>
      <w:r>
        <w:rPr>
          <w:position w:val="9"/>
          <w:sz w:val="25"/>
        </w:rPr>
        <w:t>488</w:t>
      </w:r>
    </w:p>
    <w:p>
      <w:pPr>
        <w:pStyle w:val="ListParagraph"/>
        <w:numPr>
          <w:ilvl w:val="0"/>
          <w:numId w:val="40"/>
        </w:numPr>
        <w:tabs>
          <w:tab w:pos="478" w:val="left" w:leader="none"/>
        </w:tabs>
        <w:spacing w:line="271" w:lineRule="auto" w:before="256" w:after="0"/>
        <w:ind w:left="477" w:right="135" w:hanging="361"/>
        <w:jc w:val="both"/>
        <w:rPr>
          <w:rFonts w:ascii="Symbol"/>
          <w:sz w:val="38"/>
        </w:rPr>
      </w:pPr>
      <w:r>
        <w:rPr>
          <w:b/>
          <w:i/>
          <w:w w:val="95"/>
          <w:sz w:val="40"/>
        </w:rPr>
        <w:t>Acetyl-L-carnitine</w:t>
      </w:r>
      <w:r>
        <w:rPr>
          <w:b/>
          <w:i/>
          <w:spacing w:val="-14"/>
          <w:w w:val="95"/>
          <w:sz w:val="40"/>
        </w:rPr>
        <w:t> </w:t>
      </w:r>
      <w:r>
        <w:rPr>
          <w:b/>
          <w:i/>
          <w:w w:val="95"/>
          <w:sz w:val="40"/>
        </w:rPr>
        <w:t>provides</w:t>
      </w:r>
      <w:r>
        <w:rPr>
          <w:b/>
          <w:i/>
          <w:spacing w:val="-11"/>
          <w:w w:val="95"/>
          <w:sz w:val="40"/>
        </w:rPr>
        <w:t> </w:t>
      </w:r>
      <w:r>
        <w:rPr>
          <w:b/>
          <w:i/>
          <w:w w:val="95"/>
          <w:sz w:val="40"/>
        </w:rPr>
        <w:t>protection</w:t>
      </w:r>
      <w:r>
        <w:rPr>
          <w:b/>
          <w:i/>
          <w:spacing w:val="-15"/>
          <w:w w:val="95"/>
          <w:sz w:val="40"/>
        </w:rPr>
        <w:t> </w:t>
      </w:r>
      <w:r>
        <w:rPr>
          <w:b/>
          <w:i/>
          <w:w w:val="95"/>
          <w:sz w:val="40"/>
        </w:rPr>
        <w:t>against</w:t>
      </w:r>
      <w:r>
        <w:rPr>
          <w:b/>
          <w:i/>
          <w:spacing w:val="-9"/>
          <w:w w:val="95"/>
          <w:sz w:val="40"/>
        </w:rPr>
        <w:t> </w:t>
      </w:r>
      <w:r>
        <w:rPr>
          <w:b/>
          <w:i/>
          <w:w w:val="95"/>
          <w:sz w:val="40"/>
        </w:rPr>
        <w:t>dementia:</w:t>
      </w:r>
      <w:r>
        <w:rPr>
          <w:b/>
          <w:i/>
          <w:spacing w:val="-15"/>
          <w:w w:val="95"/>
          <w:sz w:val="40"/>
        </w:rPr>
        <w:t> </w:t>
      </w:r>
      <w:r>
        <w:rPr>
          <w:w w:val="95"/>
          <w:sz w:val="38"/>
        </w:rPr>
        <w:t>In</w:t>
      </w:r>
      <w:r>
        <w:rPr>
          <w:spacing w:val="-8"/>
          <w:w w:val="95"/>
          <w:sz w:val="38"/>
        </w:rPr>
        <w:t> </w:t>
      </w:r>
      <w:r>
        <w:rPr>
          <w:w w:val="95"/>
          <w:sz w:val="38"/>
        </w:rPr>
        <w:t>studies,</w:t>
      </w:r>
      <w:r>
        <w:rPr>
          <w:spacing w:val="-8"/>
          <w:w w:val="95"/>
          <w:sz w:val="38"/>
        </w:rPr>
        <w:t> </w:t>
      </w:r>
      <w:r>
        <w:rPr>
          <w:w w:val="95"/>
          <w:sz w:val="38"/>
        </w:rPr>
        <w:t>acetyl- </w:t>
      </w:r>
      <w:r>
        <w:rPr>
          <w:sz w:val="38"/>
        </w:rPr>
        <w:t>L-carnitine has been shown to be more active than piracetam, which is pre- scribed for</w:t>
      </w:r>
      <w:r>
        <w:rPr>
          <w:spacing w:val="2"/>
          <w:sz w:val="38"/>
        </w:rPr>
        <w:t> </w:t>
      </w:r>
      <w:r>
        <w:rPr>
          <w:sz w:val="38"/>
        </w:rPr>
        <w:t>dementia.</w:t>
      </w:r>
      <w:r>
        <w:rPr>
          <w:position w:val="9"/>
          <w:sz w:val="25"/>
        </w:rPr>
        <w:t>489</w:t>
      </w:r>
    </w:p>
    <w:p>
      <w:pPr>
        <w:pStyle w:val="ListParagraph"/>
        <w:numPr>
          <w:ilvl w:val="0"/>
          <w:numId w:val="40"/>
        </w:numPr>
        <w:tabs>
          <w:tab w:pos="478" w:val="left" w:leader="none"/>
        </w:tabs>
        <w:spacing w:line="273" w:lineRule="auto" w:before="255" w:after="0"/>
        <w:ind w:left="477" w:right="133" w:hanging="361"/>
        <w:jc w:val="both"/>
        <w:rPr>
          <w:rFonts w:ascii="Symbol" w:hAnsi="Symbol"/>
          <w:sz w:val="38"/>
        </w:rPr>
      </w:pPr>
      <w:r>
        <w:rPr>
          <w:b/>
          <w:i/>
          <w:w w:val="95"/>
          <w:sz w:val="40"/>
        </w:rPr>
        <w:t>Acetyl-L-carnitine provides protection against Alzheimer’s: </w:t>
      </w:r>
      <w:r>
        <w:rPr>
          <w:w w:val="95"/>
          <w:sz w:val="38"/>
        </w:rPr>
        <w:t>ALC</w:t>
      </w:r>
      <w:r>
        <w:rPr>
          <w:spacing w:val="-64"/>
          <w:w w:val="95"/>
          <w:sz w:val="38"/>
        </w:rPr>
        <w:t> </w:t>
      </w:r>
      <w:r>
        <w:rPr>
          <w:w w:val="95"/>
          <w:sz w:val="38"/>
        </w:rPr>
        <w:t>increases </w:t>
      </w:r>
      <w:r>
        <w:rPr>
          <w:sz w:val="38"/>
        </w:rPr>
        <w:t>the</w:t>
      </w:r>
      <w:r>
        <w:rPr>
          <w:spacing w:val="-14"/>
          <w:sz w:val="38"/>
        </w:rPr>
        <w:t> </w:t>
      </w:r>
      <w:r>
        <w:rPr>
          <w:sz w:val="38"/>
        </w:rPr>
        <w:t>activity</w:t>
      </w:r>
      <w:r>
        <w:rPr>
          <w:spacing w:val="-15"/>
          <w:sz w:val="38"/>
        </w:rPr>
        <w:t> </w:t>
      </w:r>
      <w:r>
        <w:rPr>
          <w:sz w:val="38"/>
        </w:rPr>
        <w:t>of</w:t>
      </w:r>
      <w:r>
        <w:rPr>
          <w:spacing w:val="-15"/>
          <w:sz w:val="38"/>
        </w:rPr>
        <w:t> </w:t>
      </w:r>
      <w:r>
        <w:rPr>
          <w:sz w:val="38"/>
        </w:rPr>
        <w:t>ALC</w:t>
      </w:r>
      <w:r>
        <w:rPr>
          <w:spacing w:val="-16"/>
          <w:sz w:val="38"/>
        </w:rPr>
        <w:t> </w:t>
      </w:r>
      <w:r>
        <w:rPr>
          <w:sz w:val="38"/>
        </w:rPr>
        <w:t>transferase</w:t>
      </w:r>
      <w:r>
        <w:rPr>
          <w:spacing w:val="-14"/>
          <w:sz w:val="38"/>
        </w:rPr>
        <w:t> </w:t>
      </w:r>
      <w:r>
        <w:rPr>
          <w:sz w:val="38"/>
        </w:rPr>
        <w:t>in</w:t>
      </w:r>
      <w:r>
        <w:rPr>
          <w:spacing w:val="-15"/>
          <w:sz w:val="38"/>
        </w:rPr>
        <w:t> </w:t>
      </w:r>
      <w:r>
        <w:rPr>
          <w:sz w:val="38"/>
        </w:rPr>
        <w:t>the</w:t>
      </w:r>
      <w:r>
        <w:rPr>
          <w:spacing w:val="-16"/>
          <w:sz w:val="38"/>
        </w:rPr>
        <w:t> </w:t>
      </w:r>
      <w:r>
        <w:rPr>
          <w:sz w:val="38"/>
        </w:rPr>
        <w:t>brain</w:t>
      </w:r>
      <w:r>
        <w:rPr>
          <w:spacing w:val="-15"/>
          <w:sz w:val="38"/>
        </w:rPr>
        <w:t> </w:t>
      </w:r>
      <w:r>
        <w:rPr>
          <w:sz w:val="38"/>
        </w:rPr>
        <w:t>of</w:t>
      </w:r>
      <w:r>
        <w:rPr>
          <w:spacing w:val="-16"/>
          <w:sz w:val="38"/>
        </w:rPr>
        <w:t> </w:t>
      </w:r>
      <w:r>
        <w:rPr>
          <w:sz w:val="38"/>
        </w:rPr>
        <w:t>Alzheimer's</w:t>
      </w:r>
      <w:r>
        <w:rPr>
          <w:spacing w:val="-15"/>
          <w:sz w:val="38"/>
        </w:rPr>
        <w:t> </w:t>
      </w:r>
      <w:r>
        <w:rPr>
          <w:sz w:val="38"/>
        </w:rPr>
        <w:t>patients</w:t>
      </w:r>
      <w:r>
        <w:rPr>
          <w:spacing w:val="-15"/>
          <w:sz w:val="38"/>
        </w:rPr>
        <w:t> </w:t>
      </w:r>
      <w:r>
        <w:rPr>
          <w:sz w:val="38"/>
        </w:rPr>
        <w:t>and</w:t>
      </w:r>
      <w:r>
        <w:rPr>
          <w:spacing w:val="-15"/>
          <w:sz w:val="38"/>
        </w:rPr>
        <w:t> </w:t>
      </w:r>
      <w:r>
        <w:rPr>
          <w:sz w:val="38"/>
        </w:rPr>
        <w:t>can</w:t>
      </w:r>
      <w:r>
        <w:rPr>
          <w:spacing w:val="-13"/>
          <w:sz w:val="38"/>
        </w:rPr>
        <w:t> </w:t>
      </w:r>
      <w:r>
        <w:rPr>
          <w:sz w:val="38"/>
        </w:rPr>
        <w:t>thus counteract brain cell death.</w:t>
      </w:r>
      <w:r>
        <w:rPr>
          <w:position w:val="9"/>
          <w:sz w:val="25"/>
        </w:rPr>
        <w:t>490</w:t>
      </w:r>
    </w:p>
    <w:p>
      <w:pPr>
        <w:pStyle w:val="Heading2"/>
        <w:spacing w:before="241"/>
      </w:pPr>
      <w:r>
        <w:rPr/>
        <w:t>Studies on the effect of L-carnitine against depression</w:t>
      </w:r>
    </w:p>
    <w:p>
      <w:pPr>
        <w:pStyle w:val="BodyText"/>
        <w:spacing w:line="276" w:lineRule="auto" w:before="304"/>
        <w:ind w:left="477"/>
        <w:rPr>
          <w:sz w:val="25"/>
        </w:rPr>
      </w:pPr>
      <w:r>
        <w:rPr/>
        <w:t>In studies, the most biologically active form of L-carnitine, acetyl-L-carnitine, has helped treat depression.</w:t>
      </w:r>
      <w:r>
        <w:rPr>
          <w:position w:val="9"/>
          <w:sz w:val="25"/>
        </w:rPr>
        <w:t>491</w:t>
      </w:r>
    </w:p>
    <w:p>
      <w:pPr>
        <w:pStyle w:val="Heading2"/>
        <w:spacing w:before="241"/>
        <w:rPr>
          <w:b w:val="0"/>
        </w:rPr>
      </w:pPr>
      <w:r>
        <w:rPr/>
        <w:t>Studies of L-carnitine on ‘stroke</w:t>
      </w:r>
      <w:r>
        <w:rPr>
          <w:b w:val="0"/>
        </w:rPr>
        <w:t>‘</w:t>
      </w:r>
    </w:p>
    <w:p>
      <w:pPr>
        <w:spacing w:line="261" w:lineRule="auto" w:before="287"/>
        <w:ind w:left="477" w:right="0" w:firstLine="0"/>
        <w:jc w:val="left"/>
        <w:rPr>
          <w:b/>
          <w:i/>
          <w:sz w:val="40"/>
        </w:rPr>
      </w:pPr>
      <w:r>
        <w:rPr>
          <w:b/>
          <w:i/>
          <w:w w:val="95"/>
          <w:sz w:val="40"/>
        </w:rPr>
        <w:t>Acetyl-L-carnitine provides protection against reperfusion damage and </w:t>
      </w:r>
      <w:r>
        <w:rPr>
          <w:b/>
          <w:i/>
          <w:sz w:val="40"/>
        </w:rPr>
        <w:t>therefore stroke</w:t>
      </w:r>
    </w:p>
    <w:p>
      <w:pPr>
        <w:pStyle w:val="BodyText"/>
        <w:rPr>
          <w:b/>
          <w:i/>
          <w:sz w:val="20"/>
        </w:rPr>
      </w:pPr>
    </w:p>
    <w:p>
      <w:pPr>
        <w:pStyle w:val="BodyText"/>
        <w:rPr>
          <w:b/>
          <w:i/>
          <w:sz w:val="20"/>
        </w:rPr>
      </w:pPr>
    </w:p>
    <w:p>
      <w:pPr>
        <w:pStyle w:val="BodyText"/>
        <w:spacing w:before="9"/>
        <w:rPr>
          <w:b/>
          <w:i/>
          <w:sz w:val="18"/>
        </w:rPr>
      </w:pPr>
      <w:r>
        <w:rPr/>
        <w:pict>
          <v:line style="position:absolute;mso-position-horizontal-relative:page;mso-position-vertical-relative:paragraph;z-index:6248;mso-wrap-distance-left:0;mso-wrap-distance-right:0" from="63.863998pt,12.95066pt" to="207.883998pt,12.95066pt" stroked="true" strokeweight=".71997pt" strokecolor="#000000">
            <v:stroke dashstyle="solid"/>
            <w10:wrap type="topAndBottom"/>
          </v:line>
        </w:pict>
      </w:r>
    </w:p>
    <w:p>
      <w:pPr>
        <w:pStyle w:val="BodyText"/>
        <w:spacing w:before="7"/>
        <w:rPr>
          <w:b/>
          <w:i/>
          <w:sz w:val="18"/>
        </w:rPr>
      </w:pPr>
    </w:p>
    <w:p>
      <w:pPr>
        <w:spacing w:before="99"/>
        <w:ind w:left="477" w:right="0" w:firstLine="0"/>
        <w:jc w:val="left"/>
        <w:rPr>
          <w:sz w:val="20"/>
        </w:rPr>
      </w:pPr>
      <w:r>
        <w:rPr>
          <w:position w:val="5"/>
          <w:sz w:val="13"/>
        </w:rPr>
        <w:t>487 </w:t>
      </w:r>
      <w:r>
        <w:rPr>
          <w:sz w:val="20"/>
        </w:rPr>
        <w:t>Taglialatela 1991</w:t>
      </w:r>
    </w:p>
    <w:p>
      <w:pPr>
        <w:spacing w:before="94"/>
        <w:ind w:left="477" w:right="0" w:firstLine="0"/>
        <w:jc w:val="left"/>
        <w:rPr>
          <w:sz w:val="20"/>
        </w:rPr>
      </w:pPr>
      <w:r>
        <w:rPr>
          <w:position w:val="5"/>
          <w:sz w:val="13"/>
        </w:rPr>
        <w:t>488  </w:t>
      </w:r>
      <w:r>
        <w:rPr>
          <w:sz w:val="20"/>
        </w:rPr>
        <w:t>Pettegrew</w:t>
      </w:r>
      <w:r>
        <w:rPr>
          <w:spacing w:val="-26"/>
          <w:sz w:val="20"/>
        </w:rPr>
        <w:t> </w:t>
      </w:r>
      <w:r>
        <w:rPr>
          <w:sz w:val="20"/>
        </w:rPr>
        <w:t>1995</w:t>
      </w:r>
    </w:p>
    <w:p>
      <w:pPr>
        <w:spacing w:before="95"/>
        <w:ind w:left="477" w:right="0" w:firstLine="0"/>
        <w:jc w:val="left"/>
        <w:rPr>
          <w:sz w:val="20"/>
        </w:rPr>
      </w:pPr>
      <w:r>
        <w:rPr>
          <w:position w:val="5"/>
          <w:sz w:val="13"/>
        </w:rPr>
        <w:t>489  </w:t>
      </w:r>
      <w:r>
        <w:rPr>
          <w:sz w:val="20"/>
        </w:rPr>
        <w:t>Sinforiani</w:t>
      </w:r>
      <w:r>
        <w:rPr>
          <w:spacing w:val="-26"/>
          <w:sz w:val="20"/>
        </w:rPr>
        <w:t> </w:t>
      </w:r>
      <w:r>
        <w:rPr>
          <w:sz w:val="20"/>
        </w:rPr>
        <w:t>1990</w:t>
      </w:r>
    </w:p>
    <w:p>
      <w:pPr>
        <w:spacing w:before="94"/>
        <w:ind w:left="477" w:right="0" w:firstLine="0"/>
        <w:jc w:val="left"/>
        <w:rPr>
          <w:sz w:val="20"/>
        </w:rPr>
      </w:pPr>
      <w:r>
        <w:rPr>
          <w:position w:val="5"/>
          <w:sz w:val="13"/>
        </w:rPr>
        <w:t>490 </w:t>
      </w:r>
      <w:r>
        <w:rPr>
          <w:sz w:val="20"/>
        </w:rPr>
        <w:t>Kalaria 1992</w:t>
      </w:r>
    </w:p>
    <w:p>
      <w:pPr>
        <w:spacing w:before="94"/>
        <w:ind w:left="477" w:right="0" w:firstLine="0"/>
        <w:jc w:val="left"/>
        <w:rPr>
          <w:sz w:val="20"/>
        </w:rPr>
      </w:pPr>
      <w:r>
        <w:rPr>
          <w:position w:val="5"/>
          <w:sz w:val="13"/>
        </w:rPr>
        <w:t>491 </w:t>
      </w:r>
      <w:r>
        <w:rPr>
          <w:sz w:val="20"/>
        </w:rPr>
        <w:t>Nasca 1989, Gecele 1991</w:t>
      </w:r>
    </w:p>
    <w:p>
      <w:pPr>
        <w:spacing w:after="0"/>
        <w:jc w:val="left"/>
        <w:rPr>
          <w:sz w:val="20"/>
        </w:rPr>
        <w:sectPr>
          <w:footerReference w:type="default" r:id="rId214"/>
          <w:pgSz w:w="14270" w:h="16850"/>
          <w:pgMar w:footer="527" w:header="0" w:top="1600" w:bottom="720" w:left="800" w:right="1280"/>
        </w:sectPr>
      </w:pPr>
    </w:p>
    <w:p>
      <w:pPr>
        <w:pStyle w:val="BodyText"/>
        <w:spacing w:line="276" w:lineRule="auto" w:before="181"/>
        <w:ind w:left="477" w:right="133"/>
        <w:jc w:val="both"/>
        <w:rPr>
          <w:sz w:val="25"/>
        </w:rPr>
      </w:pPr>
      <w:r>
        <w:rPr/>
        <w:t>Acetyl-L-carnitine</w:t>
      </w:r>
      <w:r>
        <w:rPr>
          <w:spacing w:val="-11"/>
        </w:rPr>
        <w:t> </w:t>
      </w:r>
      <w:r>
        <w:rPr/>
        <w:t>may</w:t>
      </w:r>
      <w:r>
        <w:rPr>
          <w:spacing w:val="-10"/>
        </w:rPr>
        <w:t> </w:t>
      </w:r>
      <w:r>
        <w:rPr/>
        <w:t>provide</w:t>
      </w:r>
      <w:r>
        <w:rPr>
          <w:spacing w:val="-12"/>
        </w:rPr>
        <w:t> </w:t>
      </w:r>
      <w:r>
        <w:rPr/>
        <w:t>protection</w:t>
      </w:r>
      <w:r>
        <w:rPr>
          <w:spacing w:val="-10"/>
        </w:rPr>
        <w:t> </w:t>
      </w:r>
      <w:r>
        <w:rPr/>
        <w:t>against</w:t>
      </w:r>
      <w:r>
        <w:rPr>
          <w:spacing w:val="-10"/>
        </w:rPr>
        <w:t> </w:t>
      </w:r>
      <w:r>
        <w:rPr/>
        <w:t>tissue</w:t>
      </w:r>
      <w:r>
        <w:rPr>
          <w:spacing w:val="-8"/>
        </w:rPr>
        <w:t> </w:t>
      </w:r>
      <w:r>
        <w:rPr/>
        <w:t>damage</w:t>
      </w:r>
      <w:r>
        <w:rPr>
          <w:spacing w:val="-12"/>
        </w:rPr>
        <w:t> </w:t>
      </w:r>
      <w:r>
        <w:rPr/>
        <w:t>due</w:t>
      </w:r>
      <w:r>
        <w:rPr>
          <w:spacing w:val="-12"/>
        </w:rPr>
        <w:t> </w:t>
      </w:r>
      <w:r>
        <w:rPr/>
        <w:t>to</w:t>
      </w:r>
      <w:r>
        <w:rPr>
          <w:spacing w:val="-10"/>
        </w:rPr>
        <w:t> </w:t>
      </w:r>
      <w:r>
        <w:rPr/>
        <w:t>circula- tory deficiency, such as occurs after infarction. Furthermore, these reperfusion injuries can lead to</w:t>
      </w:r>
      <w:r>
        <w:rPr>
          <w:spacing w:val="2"/>
        </w:rPr>
        <w:t> </w:t>
      </w:r>
      <w:r>
        <w:rPr/>
        <w:t>strokes.</w:t>
      </w:r>
      <w:r>
        <w:rPr>
          <w:position w:val="9"/>
          <w:sz w:val="25"/>
        </w:rPr>
        <w:t>492</w:t>
      </w:r>
    </w:p>
    <w:p>
      <w:pPr>
        <w:pStyle w:val="Heading1"/>
      </w:pPr>
      <w:r>
        <w:rPr/>
        <w:t>Acetyl-L-carnitine improves rehabilitation after a stroke</w:t>
      </w:r>
    </w:p>
    <w:p>
      <w:pPr>
        <w:pStyle w:val="BodyText"/>
        <w:spacing w:line="276" w:lineRule="auto" w:before="300"/>
        <w:ind w:left="477"/>
        <w:rPr>
          <w:sz w:val="25"/>
        </w:rPr>
      </w:pPr>
      <w:r>
        <w:rPr/>
        <w:t>Acetyl-L-carnitine improves cognitive functions, as well as memory, after a stroke. This significantly shortens the rehabilitation phase after a stroke.</w:t>
      </w:r>
      <w:r>
        <w:rPr>
          <w:position w:val="9"/>
          <w:sz w:val="25"/>
        </w:rPr>
        <w:t>493</w:t>
      </w:r>
    </w:p>
    <w:p>
      <w:pPr>
        <w:pStyle w:val="BodyText"/>
        <w:rPr>
          <w:sz w:val="42"/>
        </w:rPr>
      </w:pPr>
    </w:p>
    <w:p>
      <w:pPr>
        <w:pStyle w:val="BodyText"/>
        <w:spacing w:before="10"/>
        <w:rPr>
          <w:sz w:val="54"/>
        </w:rPr>
      </w:pPr>
    </w:p>
    <w:p>
      <w:pPr>
        <w:pStyle w:val="Heading2"/>
        <w:jc w:val="both"/>
      </w:pPr>
      <w:r>
        <w:rPr/>
        <w:t>Studies on the effects of L-carnitine on cardiovascular diseases</w:t>
      </w:r>
    </w:p>
    <w:p>
      <w:pPr>
        <w:spacing w:before="288"/>
        <w:ind w:left="477" w:right="0" w:firstLine="0"/>
        <w:jc w:val="both"/>
        <w:rPr>
          <w:b/>
          <w:i/>
          <w:sz w:val="40"/>
        </w:rPr>
      </w:pPr>
      <w:r>
        <w:rPr>
          <w:b/>
          <w:i/>
          <w:sz w:val="40"/>
        </w:rPr>
        <w:t>Acetyl-L-carnitine prevents hypoxia in the myocardium</w:t>
      </w:r>
    </w:p>
    <w:p>
      <w:pPr>
        <w:pStyle w:val="BodyText"/>
        <w:spacing w:before="299"/>
        <w:ind w:left="477"/>
        <w:jc w:val="both"/>
        <w:rPr>
          <w:sz w:val="25"/>
        </w:rPr>
      </w:pPr>
      <w:r>
        <w:rPr/>
        <w:t>In studies, ALC has shown that it can prevent hypoxia in the heart muscle.</w:t>
      </w:r>
      <w:r>
        <w:rPr>
          <w:position w:val="9"/>
          <w:sz w:val="25"/>
        </w:rPr>
        <w:t>494</w:t>
      </w:r>
    </w:p>
    <w:p>
      <w:pPr>
        <w:pStyle w:val="Heading1"/>
        <w:spacing w:before="288"/>
        <w:jc w:val="both"/>
      </w:pPr>
      <w:r>
        <w:rPr>
          <w:w w:val="95"/>
        </w:rPr>
        <w:t>Acetyl-L-carnitine improves the membrane functions of the heart muscle</w:t>
      </w:r>
    </w:p>
    <w:p>
      <w:pPr>
        <w:pStyle w:val="BodyText"/>
        <w:spacing w:line="276" w:lineRule="auto" w:before="296"/>
        <w:ind w:left="477"/>
        <w:rPr>
          <w:sz w:val="25"/>
        </w:rPr>
      </w:pPr>
      <w:r>
        <w:rPr/>
        <w:t>In studies, acetyl-L-carnitine has been able to reverse the decline in the phos- phate carrier and thus improve energy transfers within the heart muscle.</w:t>
      </w:r>
      <w:r>
        <w:rPr>
          <w:position w:val="9"/>
          <w:sz w:val="25"/>
        </w:rPr>
        <w:t>495</w:t>
      </w:r>
    </w:p>
    <w:p>
      <w:pPr>
        <w:pStyle w:val="Heading1"/>
      </w:pPr>
      <w:r>
        <w:rPr/>
        <w:t>Acetyl-L-carnitine successful against intermittent claudication</w:t>
      </w:r>
    </w:p>
    <w:p>
      <w:pPr>
        <w:pStyle w:val="BodyText"/>
        <w:spacing w:line="276" w:lineRule="auto" w:before="299"/>
        <w:ind w:left="477"/>
        <w:rPr>
          <w:sz w:val="25"/>
        </w:rPr>
      </w:pPr>
      <w:r>
        <w:rPr/>
        <w:t>In studies, acetyl-L-carnitine increased blood flow in the legs and counteracted peripheral arterial disease, so-called intermittent claudication.</w:t>
      </w:r>
      <w:r>
        <w:rPr>
          <w:position w:val="9"/>
          <w:sz w:val="25"/>
        </w:rPr>
        <w:t>496</w:t>
      </w:r>
    </w:p>
    <w:p>
      <w:pPr>
        <w:pStyle w:val="BodyText"/>
        <w:rPr>
          <w:sz w:val="20"/>
        </w:rPr>
      </w:pPr>
    </w:p>
    <w:p>
      <w:pPr>
        <w:pStyle w:val="BodyText"/>
        <w:spacing w:before="6"/>
        <w:rPr>
          <w:sz w:val="25"/>
        </w:rPr>
      </w:pPr>
      <w:r>
        <w:rPr/>
        <w:pict>
          <v:line style="position:absolute;mso-position-horizontal-relative:page;mso-position-vertical-relative:paragraph;z-index:6272;mso-wrap-distance-left:0;mso-wrap-distance-right:0" from="63.863998pt,16.738766pt" to="207.883998pt,16.738766pt" stroked="true" strokeweight=".71997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492 </w:t>
      </w:r>
      <w:r>
        <w:rPr>
          <w:sz w:val="20"/>
        </w:rPr>
        <w:t>Rosenthal 1992</w:t>
      </w:r>
    </w:p>
    <w:p>
      <w:pPr>
        <w:spacing w:before="94"/>
        <w:ind w:left="477" w:right="0" w:firstLine="0"/>
        <w:jc w:val="left"/>
        <w:rPr>
          <w:sz w:val="20"/>
        </w:rPr>
      </w:pPr>
      <w:r>
        <w:rPr>
          <w:position w:val="5"/>
          <w:sz w:val="13"/>
        </w:rPr>
        <w:t>493 </w:t>
      </w:r>
      <w:r>
        <w:rPr>
          <w:sz w:val="20"/>
        </w:rPr>
        <w:t>Arrigo 1990</w:t>
      </w:r>
    </w:p>
    <w:p>
      <w:pPr>
        <w:spacing w:before="95"/>
        <w:ind w:left="477" w:right="0" w:firstLine="0"/>
        <w:jc w:val="left"/>
        <w:rPr>
          <w:sz w:val="20"/>
        </w:rPr>
      </w:pPr>
      <w:r>
        <w:rPr>
          <w:position w:val="5"/>
          <w:sz w:val="13"/>
        </w:rPr>
        <w:t>494  </w:t>
      </w:r>
      <w:r>
        <w:rPr>
          <w:sz w:val="20"/>
        </w:rPr>
        <w:t>Paulson</w:t>
      </w:r>
      <w:r>
        <w:rPr>
          <w:spacing w:val="-26"/>
          <w:sz w:val="20"/>
        </w:rPr>
        <w:t> </w:t>
      </w:r>
      <w:r>
        <w:rPr>
          <w:sz w:val="20"/>
        </w:rPr>
        <w:t>1984</w:t>
      </w:r>
    </w:p>
    <w:p>
      <w:pPr>
        <w:spacing w:before="94"/>
        <w:ind w:left="477" w:right="0" w:firstLine="0"/>
        <w:jc w:val="left"/>
        <w:rPr>
          <w:sz w:val="20"/>
        </w:rPr>
      </w:pPr>
      <w:r>
        <w:rPr/>
        <w:drawing>
          <wp:anchor distT="0" distB="0" distL="0" distR="0" allowOverlap="1" layoutInCell="1" locked="0" behindDoc="1" simplePos="0" relativeHeight="267174071">
            <wp:simplePos x="0" y="0"/>
            <wp:positionH relativeFrom="page">
              <wp:posOffset>896463</wp:posOffset>
            </wp:positionH>
            <wp:positionV relativeFrom="paragraph">
              <wp:posOffset>141962</wp:posOffset>
            </wp:positionV>
            <wp:extent cx="6379583" cy="902106"/>
            <wp:effectExtent l="0" t="0" r="0" b="0"/>
            <wp:wrapNone/>
            <wp:docPr id="321" name="image2.jpeg" descr=""/>
            <wp:cNvGraphicFramePr>
              <a:graphicFrameLocks noChangeAspect="1"/>
            </wp:cNvGraphicFramePr>
            <a:graphic>
              <a:graphicData uri="http://schemas.openxmlformats.org/drawingml/2006/picture">
                <pic:pic>
                  <pic:nvPicPr>
                    <pic:cNvPr id="322"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495  </w:t>
      </w:r>
      <w:r>
        <w:rPr>
          <w:sz w:val="20"/>
        </w:rPr>
        <w:t>Paradies</w:t>
      </w:r>
      <w:r>
        <w:rPr>
          <w:spacing w:val="-23"/>
          <w:sz w:val="20"/>
        </w:rPr>
        <w:t> </w:t>
      </w:r>
      <w:r>
        <w:rPr>
          <w:sz w:val="20"/>
        </w:rPr>
        <w:t>1992</w:t>
      </w:r>
    </w:p>
    <w:p>
      <w:pPr>
        <w:spacing w:before="94"/>
        <w:ind w:left="477" w:right="0" w:firstLine="0"/>
        <w:jc w:val="left"/>
        <w:rPr>
          <w:sz w:val="20"/>
        </w:rPr>
      </w:pPr>
      <w:r>
        <w:rPr>
          <w:position w:val="5"/>
          <w:sz w:val="13"/>
        </w:rPr>
        <w:t>496  </w:t>
      </w:r>
      <w:r>
        <w:rPr>
          <w:sz w:val="20"/>
        </w:rPr>
        <w:t>Bagliani</w:t>
      </w:r>
      <w:r>
        <w:rPr>
          <w:spacing w:val="-24"/>
          <w:sz w:val="20"/>
        </w:rPr>
        <w:t> </w:t>
      </w:r>
      <w:r>
        <w:rPr>
          <w:sz w:val="20"/>
        </w:rPr>
        <w:t>1985</w:t>
      </w:r>
    </w:p>
    <w:p>
      <w:pPr>
        <w:spacing w:after="0"/>
        <w:jc w:val="left"/>
        <w:rPr>
          <w:sz w:val="20"/>
        </w:rPr>
        <w:sectPr>
          <w:footerReference w:type="default" r:id="rId215"/>
          <w:pgSz w:w="14270" w:h="16850"/>
          <w:pgMar w:footer="527" w:header="0" w:top="1600" w:bottom="720" w:left="800" w:right="1280"/>
          <w:pgNumType w:start="913"/>
        </w:sectPr>
      </w:pPr>
    </w:p>
    <w:p>
      <w:pPr>
        <w:pStyle w:val="Heading2"/>
        <w:spacing w:line="276" w:lineRule="auto" w:before="181"/>
        <w:ind w:right="135"/>
        <w:jc w:val="both"/>
      </w:pPr>
      <w:r>
        <w:rPr/>
        <w:t>Acetyl-L-carnitine more successful than other L-carnitine forms in stud- ies</w:t>
      </w:r>
    </w:p>
    <w:p>
      <w:pPr>
        <w:pStyle w:val="BodyText"/>
        <w:spacing w:line="276" w:lineRule="auto" w:before="241"/>
        <w:ind w:left="477" w:right="132"/>
        <w:jc w:val="both"/>
        <w:rPr>
          <w:sz w:val="25"/>
        </w:rPr>
      </w:pPr>
      <w:r>
        <w:rPr/>
        <w:t>Due to the presence of acetyl, acetyl-L-carnitine is very easily absorbed and</w:t>
      </w:r>
      <w:r>
        <w:rPr>
          <w:spacing w:val="-58"/>
        </w:rPr>
        <w:t> </w:t>
      </w:r>
      <w:r>
        <w:rPr/>
        <w:t>en- ters the blood faster. In addition, it is more effective than ordinary L-carnitine, and</w:t>
      </w:r>
      <w:r>
        <w:rPr>
          <w:spacing w:val="-11"/>
        </w:rPr>
        <w:t> </w:t>
      </w:r>
      <w:r>
        <w:rPr/>
        <w:t>intake</w:t>
      </w:r>
      <w:r>
        <w:rPr>
          <w:spacing w:val="-12"/>
        </w:rPr>
        <w:t> </w:t>
      </w:r>
      <w:r>
        <w:rPr/>
        <w:t>is</w:t>
      </w:r>
      <w:r>
        <w:rPr>
          <w:spacing w:val="-12"/>
        </w:rPr>
        <w:t> </w:t>
      </w:r>
      <w:r>
        <w:rPr/>
        <w:t>not</w:t>
      </w:r>
      <w:r>
        <w:rPr>
          <w:spacing w:val="-14"/>
        </w:rPr>
        <w:t> </w:t>
      </w:r>
      <w:r>
        <w:rPr/>
        <w:t>limited</w:t>
      </w:r>
      <w:r>
        <w:rPr>
          <w:spacing w:val="-11"/>
        </w:rPr>
        <w:t> </w:t>
      </w:r>
      <w:r>
        <w:rPr/>
        <w:t>by</w:t>
      </w:r>
      <w:r>
        <w:rPr>
          <w:spacing w:val="-10"/>
        </w:rPr>
        <w:t> </w:t>
      </w:r>
      <w:r>
        <w:rPr/>
        <w:t>the</w:t>
      </w:r>
      <w:r>
        <w:rPr>
          <w:spacing w:val="-13"/>
        </w:rPr>
        <w:t> </w:t>
      </w:r>
      <w:r>
        <w:rPr/>
        <w:t>advanced</w:t>
      </w:r>
      <w:r>
        <w:rPr>
          <w:spacing w:val="-12"/>
        </w:rPr>
        <w:t> </w:t>
      </w:r>
      <w:r>
        <w:rPr/>
        <w:t>age</w:t>
      </w:r>
      <w:r>
        <w:rPr>
          <w:spacing w:val="-12"/>
        </w:rPr>
        <w:t> </w:t>
      </w:r>
      <w:r>
        <w:rPr/>
        <w:t>of</w:t>
      </w:r>
      <w:r>
        <w:rPr>
          <w:spacing w:val="-11"/>
        </w:rPr>
        <w:t> </w:t>
      </w:r>
      <w:r>
        <w:rPr/>
        <w:t>the</w:t>
      </w:r>
      <w:r>
        <w:rPr>
          <w:spacing w:val="-11"/>
        </w:rPr>
        <w:t> </w:t>
      </w:r>
      <w:r>
        <w:rPr/>
        <w:t>recipient,</w:t>
      </w:r>
      <w:r>
        <w:rPr>
          <w:spacing w:val="-13"/>
        </w:rPr>
        <w:t> </w:t>
      </w:r>
      <w:r>
        <w:rPr/>
        <w:t>as</w:t>
      </w:r>
      <w:r>
        <w:rPr>
          <w:spacing w:val="-12"/>
        </w:rPr>
        <w:t> </w:t>
      </w:r>
      <w:r>
        <w:rPr/>
        <w:t>is</w:t>
      </w:r>
      <w:r>
        <w:rPr>
          <w:spacing w:val="-11"/>
        </w:rPr>
        <w:t> </w:t>
      </w:r>
      <w:r>
        <w:rPr/>
        <w:t>the</w:t>
      </w:r>
      <w:r>
        <w:rPr>
          <w:spacing w:val="-13"/>
        </w:rPr>
        <w:t> </w:t>
      </w:r>
      <w:r>
        <w:rPr/>
        <w:t>case</w:t>
      </w:r>
      <w:r>
        <w:rPr>
          <w:spacing w:val="-11"/>
        </w:rPr>
        <w:t> </w:t>
      </w:r>
      <w:r>
        <w:rPr/>
        <w:t>with normal</w:t>
      </w:r>
      <w:r>
        <w:rPr>
          <w:spacing w:val="-2"/>
        </w:rPr>
        <w:t> </w:t>
      </w:r>
      <w:r>
        <w:rPr/>
        <w:t>L-carnitine.</w:t>
      </w:r>
      <w:r>
        <w:rPr>
          <w:position w:val="9"/>
          <w:sz w:val="25"/>
        </w:rPr>
        <w:t>497</w:t>
      </w:r>
    </w:p>
    <w:p>
      <w:pPr>
        <w:pStyle w:val="Heading2"/>
        <w:spacing w:before="240"/>
      </w:pPr>
      <w:r>
        <w:rPr/>
        <w:t>Studies on L-carnitine with regard to strengthening the immune system</w:t>
      </w:r>
    </w:p>
    <w:p>
      <w:pPr>
        <w:pStyle w:val="BodyText"/>
        <w:spacing w:line="276" w:lineRule="auto" w:before="304"/>
        <w:ind w:left="477" w:right="138"/>
        <w:jc w:val="both"/>
        <w:rPr>
          <w:sz w:val="25"/>
        </w:rPr>
      </w:pPr>
      <w:r>
        <w:rPr/>
        <w:t>ACL has been shown to increase the activity of lymphocytes that are active within our immune system, thereby strengthening the immune system.</w:t>
      </w:r>
      <w:r>
        <w:rPr>
          <w:position w:val="9"/>
          <w:sz w:val="25"/>
        </w:rPr>
        <w:t>498</w:t>
      </w:r>
    </w:p>
    <w:p>
      <w:pPr>
        <w:pStyle w:val="BodyText"/>
        <w:rPr>
          <w:sz w:val="42"/>
        </w:rPr>
      </w:pPr>
    </w:p>
    <w:p>
      <w:pPr>
        <w:pStyle w:val="BodyText"/>
        <w:spacing w:before="11"/>
        <w:rPr>
          <w:sz w:val="42"/>
        </w:rPr>
      </w:pPr>
    </w:p>
    <w:p>
      <w:pPr>
        <w:pStyle w:val="Heading1"/>
        <w:spacing w:before="0"/>
      </w:pPr>
      <w:r>
        <w:rPr/>
        <w:t>L-carnitine deficiency</w:t>
      </w:r>
    </w:p>
    <w:p>
      <w:pPr>
        <w:spacing w:before="280"/>
        <w:ind w:left="477" w:right="0" w:firstLine="0"/>
        <w:jc w:val="left"/>
        <w:rPr>
          <w:b/>
          <w:i/>
          <w:sz w:val="40"/>
        </w:rPr>
      </w:pPr>
      <w:r>
        <w:rPr>
          <w:b/>
          <w:i/>
          <w:sz w:val="40"/>
        </w:rPr>
        <w:t>How does an acute L-carnitine deficiency manifest itself?</w:t>
      </w:r>
    </w:p>
    <w:p>
      <w:pPr>
        <w:pStyle w:val="BodyText"/>
        <w:spacing w:line="276" w:lineRule="auto" w:before="299"/>
        <w:ind w:left="477" w:right="134"/>
        <w:jc w:val="both"/>
      </w:pPr>
      <w:r>
        <w:rPr/>
        <w:t>The need for L-carnitine in a healthy person, depending on their physical and mental stress, is between 200 and 1200 milligrams / day. Usually, symptomati- cally manifested deficiency only occurs under certain conditions. There is a</w:t>
      </w:r>
      <w:r>
        <w:rPr>
          <w:spacing w:val="-63"/>
        </w:rPr>
        <w:t> </w:t>
      </w:r>
      <w:r>
        <w:rPr/>
        <w:t>dif- ference between a primary and a secondary L-carnitine deficiency: The</w:t>
      </w:r>
      <w:r>
        <w:rPr>
          <w:spacing w:val="-56"/>
        </w:rPr>
        <w:t> </w:t>
      </w:r>
      <w:r>
        <w:rPr/>
        <w:t>primary form is an inherited or congenital disorder. Secondary L-carnitine deficiency refers</w:t>
      </w:r>
      <w:r>
        <w:rPr>
          <w:spacing w:val="-9"/>
        </w:rPr>
        <w:t> </w:t>
      </w:r>
      <w:r>
        <w:rPr/>
        <w:t>to</w:t>
      </w:r>
      <w:r>
        <w:rPr>
          <w:spacing w:val="-11"/>
        </w:rPr>
        <w:t> </w:t>
      </w:r>
      <w:r>
        <w:rPr/>
        <w:t>causes</w:t>
      </w:r>
      <w:r>
        <w:rPr>
          <w:spacing w:val="-9"/>
        </w:rPr>
        <w:t> </w:t>
      </w:r>
      <w:r>
        <w:rPr/>
        <w:t>that</w:t>
      </w:r>
      <w:r>
        <w:rPr>
          <w:spacing w:val="-10"/>
        </w:rPr>
        <w:t> </w:t>
      </w:r>
      <w:r>
        <w:rPr/>
        <w:t>have</w:t>
      </w:r>
      <w:r>
        <w:rPr>
          <w:spacing w:val="-9"/>
        </w:rPr>
        <w:t> </w:t>
      </w:r>
      <w:r>
        <w:rPr/>
        <w:t>occurred</w:t>
      </w:r>
      <w:r>
        <w:rPr>
          <w:spacing w:val="-10"/>
        </w:rPr>
        <w:t> </w:t>
      </w:r>
      <w:r>
        <w:rPr/>
        <w:t>during</w:t>
      </w:r>
      <w:r>
        <w:rPr>
          <w:spacing w:val="-9"/>
        </w:rPr>
        <w:t> </w:t>
      </w:r>
      <w:r>
        <w:rPr/>
        <w:t>the</w:t>
      </w:r>
      <w:r>
        <w:rPr>
          <w:spacing w:val="-8"/>
        </w:rPr>
        <w:t> </w:t>
      </w:r>
      <w:r>
        <w:rPr/>
        <w:t>course</w:t>
      </w:r>
      <w:r>
        <w:rPr>
          <w:spacing w:val="-9"/>
        </w:rPr>
        <w:t> </w:t>
      </w:r>
      <w:r>
        <w:rPr/>
        <w:t>of</w:t>
      </w:r>
      <w:r>
        <w:rPr>
          <w:spacing w:val="-11"/>
        </w:rPr>
        <w:t> </w:t>
      </w:r>
      <w:r>
        <w:rPr/>
        <w:t>life,</w:t>
      </w:r>
      <w:r>
        <w:rPr>
          <w:spacing w:val="-9"/>
        </w:rPr>
        <w:t> </w:t>
      </w:r>
      <w:r>
        <w:rPr/>
        <w:t>that</w:t>
      </w:r>
      <w:r>
        <w:rPr>
          <w:spacing w:val="-12"/>
        </w:rPr>
        <w:t> </w:t>
      </w:r>
      <w:r>
        <w:rPr/>
        <w:t>are</w:t>
      </w:r>
      <w:r>
        <w:rPr>
          <w:spacing w:val="-9"/>
        </w:rPr>
        <w:t> </w:t>
      </w:r>
      <w:r>
        <w:rPr/>
        <w:t>not</w:t>
      </w:r>
      <w:r>
        <w:rPr>
          <w:spacing w:val="-12"/>
        </w:rPr>
        <w:t> </w:t>
      </w:r>
      <w:r>
        <w:rPr/>
        <w:t>innate. These</w:t>
      </w:r>
      <w:r>
        <w:rPr>
          <w:spacing w:val="46"/>
        </w:rPr>
        <w:t> </w:t>
      </w:r>
      <w:r>
        <w:rPr/>
        <w:t>are</w:t>
      </w:r>
      <w:r>
        <w:rPr>
          <w:spacing w:val="46"/>
        </w:rPr>
        <w:t> </w:t>
      </w:r>
      <w:r>
        <w:rPr/>
        <w:t>increased</w:t>
      </w:r>
      <w:r>
        <w:rPr>
          <w:spacing w:val="47"/>
        </w:rPr>
        <w:t> </w:t>
      </w:r>
      <w:r>
        <w:rPr/>
        <w:t>demand</w:t>
      </w:r>
      <w:r>
        <w:rPr>
          <w:spacing w:val="45"/>
        </w:rPr>
        <w:t> </w:t>
      </w:r>
      <w:r>
        <w:rPr/>
        <w:t>on</w:t>
      </w:r>
      <w:r>
        <w:rPr>
          <w:spacing w:val="48"/>
        </w:rPr>
        <w:t> </w:t>
      </w:r>
      <w:r>
        <w:rPr/>
        <w:t>the</w:t>
      </w:r>
      <w:r>
        <w:rPr>
          <w:spacing w:val="46"/>
        </w:rPr>
        <w:t> </w:t>
      </w:r>
      <w:r>
        <w:rPr/>
        <w:t>one</w:t>
      </w:r>
      <w:r>
        <w:rPr>
          <w:spacing w:val="50"/>
        </w:rPr>
        <w:t> </w:t>
      </w:r>
      <w:r>
        <w:rPr/>
        <w:t>hand</w:t>
      </w:r>
      <w:r>
        <w:rPr>
          <w:spacing w:val="43"/>
        </w:rPr>
        <w:t> </w:t>
      </w:r>
      <w:r>
        <w:rPr/>
        <w:t>and</w:t>
      </w:r>
      <w:r>
        <w:rPr>
          <w:spacing w:val="46"/>
        </w:rPr>
        <w:t> </w:t>
      </w:r>
      <w:r>
        <w:rPr/>
        <w:t>inadequate</w:t>
      </w:r>
      <w:r>
        <w:rPr>
          <w:spacing w:val="48"/>
        </w:rPr>
        <w:t> </w:t>
      </w:r>
      <w:r>
        <w:rPr/>
        <w:t>intake</w:t>
      </w:r>
      <w:r>
        <w:rPr>
          <w:spacing w:val="46"/>
        </w:rPr>
        <w:t> </w:t>
      </w:r>
      <w:r>
        <w:rPr/>
        <w:t>on</w:t>
      </w:r>
      <w:r>
        <w:rPr>
          <w:spacing w:val="47"/>
        </w:rPr>
        <w:t> </w:t>
      </w:r>
      <w:r>
        <w:rPr/>
        <w:t>the</w:t>
      </w:r>
    </w:p>
    <w:p>
      <w:pPr>
        <w:pStyle w:val="BodyText"/>
        <w:spacing w:before="3"/>
        <w:rPr>
          <w:sz w:val="19"/>
        </w:rPr>
      </w:pPr>
      <w:r>
        <w:rPr/>
        <w:pict>
          <v:line style="position:absolute;mso-position-horizontal-relative:page;mso-position-vertical-relative:paragraph;z-index:6320;mso-wrap-distance-left:0;mso-wrap-distance-right:0" from="63.863998pt,13.196235pt" to="207.883998pt,13.196235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497 </w:t>
      </w:r>
      <w:r>
        <w:rPr>
          <w:sz w:val="20"/>
        </w:rPr>
        <w:t>Maccari 1990</w:t>
      </w:r>
    </w:p>
    <w:p>
      <w:pPr>
        <w:spacing w:before="94"/>
        <w:ind w:left="477" w:right="0" w:firstLine="0"/>
        <w:jc w:val="left"/>
        <w:rPr>
          <w:sz w:val="20"/>
        </w:rPr>
      </w:pPr>
      <w:r>
        <w:rPr>
          <w:position w:val="5"/>
          <w:sz w:val="13"/>
        </w:rPr>
        <w:t>498 </w:t>
      </w:r>
      <w:r>
        <w:rPr>
          <w:sz w:val="20"/>
        </w:rPr>
        <w:t>Jirillo 1991</w:t>
      </w:r>
    </w:p>
    <w:p>
      <w:pPr>
        <w:spacing w:after="0"/>
        <w:jc w:val="left"/>
        <w:rPr>
          <w:sz w:val="20"/>
        </w:rPr>
        <w:sectPr>
          <w:footerReference w:type="default" r:id="rId216"/>
          <w:pgSz w:w="14270" w:h="16850"/>
          <w:pgMar w:footer="1891" w:header="0" w:top="1600" w:bottom="2080" w:left="800" w:right="1280"/>
          <w:pgNumType w:start="914"/>
        </w:sectPr>
      </w:pPr>
    </w:p>
    <w:p>
      <w:pPr>
        <w:pStyle w:val="BodyText"/>
        <w:spacing w:before="181"/>
        <w:ind w:left="477"/>
      </w:pPr>
      <w:r>
        <w:rPr/>
        <w:t>other.</w:t>
      </w:r>
    </w:p>
    <w:p>
      <w:pPr>
        <w:pStyle w:val="BodyText"/>
        <w:spacing w:line="276" w:lineRule="auto" w:before="305"/>
        <w:ind w:left="477" w:right="131"/>
        <w:jc w:val="both"/>
      </w:pPr>
      <w:r>
        <w:rPr/>
        <w:t>Basically, a clinically manifest, diet-related L-carnitine deficiency is rare under normal</w:t>
      </w:r>
      <w:r>
        <w:rPr>
          <w:spacing w:val="-12"/>
        </w:rPr>
        <w:t> </w:t>
      </w:r>
      <w:r>
        <w:rPr/>
        <w:t>circumstances,</w:t>
      </w:r>
      <w:r>
        <w:rPr>
          <w:spacing w:val="-8"/>
        </w:rPr>
        <w:t> </w:t>
      </w:r>
      <w:r>
        <w:rPr/>
        <w:t>especially</w:t>
      </w:r>
      <w:r>
        <w:rPr>
          <w:spacing w:val="-12"/>
        </w:rPr>
        <w:t> </w:t>
      </w:r>
      <w:r>
        <w:rPr/>
        <w:t>if</w:t>
      </w:r>
      <w:r>
        <w:rPr>
          <w:spacing w:val="-10"/>
        </w:rPr>
        <w:t> </w:t>
      </w:r>
      <w:r>
        <w:rPr/>
        <w:t>you</w:t>
      </w:r>
      <w:r>
        <w:rPr>
          <w:spacing w:val="-10"/>
        </w:rPr>
        <w:t> </w:t>
      </w:r>
      <w:r>
        <w:rPr/>
        <w:t>eat</w:t>
      </w:r>
      <w:r>
        <w:rPr>
          <w:spacing w:val="-10"/>
        </w:rPr>
        <w:t> </w:t>
      </w:r>
      <w:r>
        <w:rPr/>
        <w:t>enough</w:t>
      </w:r>
      <w:r>
        <w:rPr>
          <w:spacing w:val="-9"/>
        </w:rPr>
        <w:t> </w:t>
      </w:r>
      <w:r>
        <w:rPr/>
        <w:t>meat.</w:t>
      </w:r>
      <w:r>
        <w:rPr>
          <w:spacing w:val="-11"/>
        </w:rPr>
        <w:t> </w:t>
      </w:r>
      <w:r>
        <w:rPr/>
        <w:t>Under</w:t>
      </w:r>
      <w:r>
        <w:rPr>
          <w:spacing w:val="-12"/>
        </w:rPr>
        <w:t> </w:t>
      </w:r>
      <w:r>
        <w:rPr/>
        <w:t>certain</w:t>
      </w:r>
      <w:r>
        <w:rPr>
          <w:spacing w:val="-9"/>
        </w:rPr>
        <w:t> </w:t>
      </w:r>
      <w:r>
        <w:rPr/>
        <w:t>circum- stances,</w:t>
      </w:r>
      <w:r>
        <w:rPr>
          <w:spacing w:val="-14"/>
        </w:rPr>
        <w:t> </w:t>
      </w:r>
      <w:r>
        <w:rPr/>
        <w:t>people</w:t>
      </w:r>
      <w:r>
        <w:rPr>
          <w:spacing w:val="-15"/>
        </w:rPr>
        <w:t> </w:t>
      </w:r>
      <w:r>
        <w:rPr/>
        <w:t>such</w:t>
      </w:r>
      <w:r>
        <w:rPr>
          <w:spacing w:val="-14"/>
        </w:rPr>
        <w:t> </w:t>
      </w:r>
      <w:r>
        <w:rPr/>
        <w:t>as</w:t>
      </w:r>
      <w:r>
        <w:rPr>
          <w:spacing w:val="-15"/>
        </w:rPr>
        <w:t> </w:t>
      </w:r>
      <w:r>
        <w:rPr/>
        <w:t>vegetarians</w:t>
      </w:r>
      <w:r>
        <w:rPr>
          <w:spacing w:val="-13"/>
        </w:rPr>
        <w:t> </w:t>
      </w:r>
      <w:r>
        <w:rPr/>
        <w:t>and</w:t>
      </w:r>
      <w:r>
        <w:rPr>
          <w:spacing w:val="-15"/>
        </w:rPr>
        <w:t> </w:t>
      </w:r>
      <w:r>
        <w:rPr/>
        <w:t>vegans,</w:t>
      </w:r>
      <w:r>
        <w:rPr>
          <w:spacing w:val="-14"/>
        </w:rPr>
        <w:t> </w:t>
      </w:r>
      <w:r>
        <w:rPr/>
        <w:t>diabetics,</w:t>
      </w:r>
      <w:r>
        <w:rPr>
          <w:spacing w:val="-13"/>
        </w:rPr>
        <w:t> </w:t>
      </w:r>
      <w:r>
        <w:rPr/>
        <w:t>dialysis</w:t>
      </w:r>
      <w:r>
        <w:rPr>
          <w:spacing w:val="-14"/>
        </w:rPr>
        <w:t> </w:t>
      </w:r>
      <w:r>
        <w:rPr/>
        <w:t>patients,</w:t>
      </w:r>
      <w:r>
        <w:rPr>
          <w:spacing w:val="-13"/>
        </w:rPr>
        <w:t> </w:t>
      </w:r>
      <w:r>
        <w:rPr/>
        <w:t>com- petitive athletes and pregnant women may suffer L-carnitine</w:t>
      </w:r>
      <w:r>
        <w:rPr>
          <w:spacing w:val="-7"/>
        </w:rPr>
        <w:t> </w:t>
      </w:r>
      <w:r>
        <w:rPr/>
        <w:t>deficiency.</w:t>
      </w:r>
    </w:p>
    <w:p>
      <w:pPr>
        <w:pStyle w:val="BodyText"/>
        <w:spacing w:line="276" w:lineRule="auto" w:before="239"/>
        <w:ind w:left="477" w:right="134"/>
        <w:jc w:val="both"/>
      </w:pPr>
      <w:r>
        <w:rPr/>
        <w:t>Acute deficiency of L-carnitine can take many forms and is only partly shown by blood parameters (Hk value, Hb value). A clinical L-carnitine deficiency is certainly anything but beneficial, because it restricts fat utilisation, amongst other things, and can lead to obesity. From livestock feeding, it is known that an L-carnitine deficiency in young animals leads to growth and developmental disorders.</w:t>
      </w:r>
    </w:p>
    <w:p>
      <w:pPr>
        <w:pStyle w:val="Heading2"/>
        <w:spacing w:before="240"/>
      </w:pPr>
      <w:r>
        <w:rPr/>
        <w:t>Symptoms of L-carnitine deficiency include:</w:t>
      </w:r>
    </w:p>
    <w:p>
      <w:pPr>
        <w:pStyle w:val="ListParagraph"/>
        <w:numPr>
          <w:ilvl w:val="0"/>
          <w:numId w:val="65"/>
        </w:numPr>
        <w:tabs>
          <w:tab w:pos="1554" w:val="left" w:leader="none"/>
          <w:tab w:pos="1555" w:val="left" w:leader="none"/>
        </w:tabs>
        <w:spacing w:line="273" w:lineRule="auto" w:before="307" w:after="0"/>
        <w:ind w:left="1554" w:right="141" w:hanging="360"/>
        <w:jc w:val="left"/>
        <w:rPr>
          <w:sz w:val="38"/>
        </w:rPr>
      </w:pPr>
      <w:r>
        <w:rPr>
          <w:sz w:val="38"/>
        </w:rPr>
        <w:t>weight gain and obesity due to increased incorporation of triglycerides (dietary fats);</w:t>
      </w:r>
    </w:p>
    <w:p>
      <w:pPr>
        <w:pStyle w:val="ListParagraph"/>
        <w:numPr>
          <w:ilvl w:val="0"/>
          <w:numId w:val="65"/>
        </w:numPr>
        <w:tabs>
          <w:tab w:pos="1554" w:val="left" w:leader="none"/>
          <w:tab w:pos="1555" w:val="left" w:leader="none"/>
        </w:tabs>
        <w:spacing w:line="273" w:lineRule="auto" w:before="7" w:after="0"/>
        <w:ind w:left="1554" w:right="145" w:hanging="360"/>
        <w:jc w:val="left"/>
        <w:rPr>
          <w:sz w:val="38"/>
        </w:rPr>
      </w:pPr>
      <w:r>
        <w:rPr>
          <w:sz w:val="38"/>
        </w:rPr>
        <w:t>lipidosis, a fattening of internal organs such as the heart, liver and mus- cles;</w:t>
      </w:r>
    </w:p>
    <w:p>
      <w:pPr>
        <w:pStyle w:val="ListParagraph"/>
        <w:numPr>
          <w:ilvl w:val="0"/>
          <w:numId w:val="65"/>
        </w:numPr>
        <w:tabs>
          <w:tab w:pos="1554" w:val="left" w:leader="none"/>
          <w:tab w:pos="1555" w:val="left" w:leader="none"/>
        </w:tabs>
        <w:spacing w:line="240" w:lineRule="auto" w:before="7" w:after="0"/>
        <w:ind w:left="1554" w:right="0" w:hanging="360"/>
        <w:jc w:val="left"/>
        <w:rPr>
          <w:sz w:val="38"/>
        </w:rPr>
      </w:pPr>
      <w:r>
        <w:rPr>
          <w:sz w:val="38"/>
        </w:rPr>
        <w:t>cardiovascular diseases (angina pectoris);</w:t>
      </w:r>
    </w:p>
    <w:p>
      <w:pPr>
        <w:pStyle w:val="ListParagraph"/>
        <w:numPr>
          <w:ilvl w:val="0"/>
          <w:numId w:val="65"/>
        </w:numPr>
        <w:tabs>
          <w:tab w:pos="1554" w:val="left" w:leader="none"/>
          <w:tab w:pos="1555" w:val="left" w:leader="none"/>
        </w:tabs>
        <w:spacing w:line="240" w:lineRule="auto" w:before="66" w:after="0"/>
        <w:ind w:left="1554" w:right="0" w:hanging="360"/>
        <w:jc w:val="left"/>
        <w:rPr>
          <w:sz w:val="38"/>
        </w:rPr>
      </w:pPr>
      <w:r>
        <w:rPr>
          <w:sz w:val="38"/>
        </w:rPr>
        <w:t>cardiac arrhythmias;</w:t>
      </w:r>
    </w:p>
    <w:p>
      <w:pPr>
        <w:pStyle w:val="ListParagraph"/>
        <w:numPr>
          <w:ilvl w:val="0"/>
          <w:numId w:val="65"/>
        </w:numPr>
        <w:tabs>
          <w:tab w:pos="1554" w:val="left" w:leader="none"/>
          <w:tab w:pos="1555" w:val="left" w:leader="none"/>
        </w:tabs>
        <w:spacing w:line="240" w:lineRule="auto" w:before="64" w:after="0"/>
        <w:ind w:left="1554" w:right="0" w:hanging="360"/>
        <w:jc w:val="left"/>
        <w:rPr>
          <w:sz w:val="38"/>
        </w:rPr>
      </w:pPr>
      <w:r>
        <w:rPr>
          <w:sz w:val="38"/>
        </w:rPr>
        <w:t>elevated cholesterol</w:t>
      </w:r>
      <w:r>
        <w:rPr>
          <w:spacing w:val="-2"/>
          <w:sz w:val="38"/>
        </w:rPr>
        <w:t> </w:t>
      </w:r>
      <w:r>
        <w:rPr>
          <w:sz w:val="38"/>
        </w:rPr>
        <w:t>level;</w:t>
      </w:r>
    </w:p>
    <w:p>
      <w:pPr>
        <w:pStyle w:val="ListParagraph"/>
        <w:numPr>
          <w:ilvl w:val="0"/>
          <w:numId w:val="65"/>
        </w:numPr>
        <w:tabs>
          <w:tab w:pos="1554" w:val="left" w:leader="none"/>
          <w:tab w:pos="1555" w:val="left" w:leader="none"/>
        </w:tabs>
        <w:spacing w:line="240" w:lineRule="auto" w:before="64" w:after="0"/>
        <w:ind w:left="1554" w:right="0" w:hanging="360"/>
        <w:jc w:val="left"/>
        <w:rPr>
          <w:sz w:val="38"/>
        </w:rPr>
      </w:pPr>
      <w:r>
        <w:rPr>
          <w:sz w:val="38"/>
        </w:rPr>
        <w:t>liver disorders, including liver</w:t>
      </w:r>
      <w:r>
        <w:rPr>
          <w:spacing w:val="1"/>
          <w:sz w:val="38"/>
        </w:rPr>
        <w:t> </w:t>
      </w:r>
      <w:r>
        <w:rPr>
          <w:sz w:val="38"/>
        </w:rPr>
        <w:t>cirrhosis;</w:t>
      </w:r>
    </w:p>
    <w:p>
      <w:pPr>
        <w:pStyle w:val="ListParagraph"/>
        <w:numPr>
          <w:ilvl w:val="0"/>
          <w:numId w:val="65"/>
        </w:numPr>
        <w:tabs>
          <w:tab w:pos="1554" w:val="left" w:leader="none"/>
          <w:tab w:pos="1555" w:val="left" w:leader="none"/>
        </w:tabs>
        <w:spacing w:line="240" w:lineRule="auto" w:before="64" w:after="0"/>
        <w:ind w:left="1554" w:right="0" w:hanging="360"/>
        <w:jc w:val="left"/>
        <w:rPr>
          <w:sz w:val="38"/>
        </w:rPr>
      </w:pPr>
      <w:r>
        <w:rPr>
          <w:sz w:val="38"/>
        </w:rPr>
        <w:t>weakening of the immune</w:t>
      </w:r>
      <w:r>
        <w:rPr>
          <w:spacing w:val="4"/>
          <w:sz w:val="38"/>
        </w:rPr>
        <w:t> </w:t>
      </w:r>
      <w:r>
        <w:rPr>
          <w:sz w:val="38"/>
        </w:rPr>
        <w:t>system;</w:t>
      </w:r>
    </w:p>
    <w:p>
      <w:pPr>
        <w:spacing w:after="0" w:line="240" w:lineRule="auto"/>
        <w:jc w:val="left"/>
        <w:rPr>
          <w:sz w:val="38"/>
        </w:rPr>
        <w:sectPr>
          <w:pgSz w:w="14270" w:h="16850"/>
          <w:pgMar w:header="0" w:footer="1891" w:top="1600" w:bottom="2080" w:left="800" w:right="1280"/>
        </w:sectPr>
      </w:pPr>
    </w:p>
    <w:p>
      <w:pPr>
        <w:pStyle w:val="BodyText"/>
        <w:spacing w:before="10"/>
        <w:rPr>
          <w:sz w:val="8"/>
        </w:rPr>
      </w:pPr>
    </w:p>
    <w:p>
      <w:pPr>
        <w:pStyle w:val="ListParagraph"/>
        <w:numPr>
          <w:ilvl w:val="0"/>
          <w:numId w:val="65"/>
        </w:numPr>
        <w:tabs>
          <w:tab w:pos="1554" w:val="left" w:leader="none"/>
          <w:tab w:pos="1555" w:val="left" w:leader="none"/>
        </w:tabs>
        <w:spacing w:line="240" w:lineRule="auto" w:before="83" w:after="0"/>
        <w:ind w:left="1554" w:right="0" w:hanging="360"/>
        <w:jc w:val="left"/>
        <w:rPr>
          <w:sz w:val="38"/>
        </w:rPr>
      </w:pPr>
      <w:r>
        <w:rPr>
          <w:sz w:val="38"/>
        </w:rPr>
        <w:t>susceptibility to</w:t>
      </w:r>
      <w:r>
        <w:rPr>
          <w:spacing w:val="1"/>
          <w:sz w:val="38"/>
        </w:rPr>
        <w:t> </w:t>
      </w:r>
      <w:r>
        <w:rPr>
          <w:sz w:val="38"/>
        </w:rPr>
        <w:t>infections;</w:t>
      </w:r>
    </w:p>
    <w:p>
      <w:pPr>
        <w:pStyle w:val="ListParagraph"/>
        <w:numPr>
          <w:ilvl w:val="0"/>
          <w:numId w:val="65"/>
        </w:numPr>
        <w:tabs>
          <w:tab w:pos="1554" w:val="left" w:leader="none"/>
          <w:tab w:pos="1555" w:val="left" w:leader="none"/>
        </w:tabs>
        <w:spacing w:line="240" w:lineRule="auto" w:before="64" w:after="0"/>
        <w:ind w:left="1554" w:right="0" w:hanging="360"/>
        <w:jc w:val="left"/>
        <w:rPr>
          <w:sz w:val="38"/>
        </w:rPr>
      </w:pPr>
      <w:r>
        <w:rPr>
          <w:sz w:val="38"/>
        </w:rPr>
        <w:t>acidosis;</w:t>
      </w:r>
    </w:p>
    <w:p>
      <w:pPr>
        <w:pStyle w:val="ListParagraph"/>
        <w:numPr>
          <w:ilvl w:val="0"/>
          <w:numId w:val="65"/>
        </w:numPr>
        <w:tabs>
          <w:tab w:pos="1554" w:val="left" w:leader="none"/>
          <w:tab w:pos="1555" w:val="left" w:leader="none"/>
        </w:tabs>
        <w:spacing w:line="240" w:lineRule="auto" w:before="66" w:after="0"/>
        <w:ind w:left="1554" w:right="0" w:hanging="360"/>
        <w:jc w:val="left"/>
        <w:rPr>
          <w:sz w:val="38"/>
        </w:rPr>
      </w:pPr>
      <w:r>
        <w:rPr>
          <w:sz w:val="38"/>
        </w:rPr>
        <w:t>reduction of</w:t>
      </w:r>
      <w:r>
        <w:rPr>
          <w:spacing w:val="1"/>
          <w:sz w:val="38"/>
        </w:rPr>
        <w:t> </w:t>
      </w:r>
      <w:r>
        <w:rPr>
          <w:sz w:val="38"/>
        </w:rPr>
        <w:t>performance;</w:t>
      </w:r>
    </w:p>
    <w:p>
      <w:pPr>
        <w:pStyle w:val="ListParagraph"/>
        <w:numPr>
          <w:ilvl w:val="0"/>
          <w:numId w:val="65"/>
        </w:numPr>
        <w:tabs>
          <w:tab w:pos="1554" w:val="left" w:leader="none"/>
          <w:tab w:pos="1555" w:val="left" w:leader="none"/>
        </w:tabs>
        <w:spacing w:line="240" w:lineRule="auto" w:before="63" w:after="0"/>
        <w:ind w:left="1554" w:right="0" w:hanging="360"/>
        <w:jc w:val="left"/>
        <w:rPr>
          <w:sz w:val="38"/>
        </w:rPr>
      </w:pPr>
      <w:r>
        <w:rPr>
          <w:sz w:val="38"/>
        </w:rPr>
        <w:t>rapid</w:t>
      </w:r>
      <w:r>
        <w:rPr>
          <w:spacing w:val="-2"/>
          <w:sz w:val="38"/>
        </w:rPr>
        <w:t> </w:t>
      </w:r>
      <w:r>
        <w:rPr>
          <w:sz w:val="38"/>
        </w:rPr>
        <w:t>fatigue;</w:t>
      </w:r>
    </w:p>
    <w:p>
      <w:pPr>
        <w:pStyle w:val="ListParagraph"/>
        <w:numPr>
          <w:ilvl w:val="0"/>
          <w:numId w:val="65"/>
        </w:numPr>
        <w:tabs>
          <w:tab w:pos="1554" w:val="left" w:leader="none"/>
          <w:tab w:pos="1555" w:val="left" w:leader="none"/>
        </w:tabs>
        <w:spacing w:line="240" w:lineRule="auto" w:before="64" w:after="0"/>
        <w:ind w:left="1554" w:right="0" w:hanging="360"/>
        <w:jc w:val="left"/>
        <w:rPr>
          <w:sz w:val="38"/>
        </w:rPr>
      </w:pPr>
      <w:r>
        <w:rPr>
          <w:sz w:val="38"/>
        </w:rPr>
        <w:t>premature exhaustion;</w:t>
      </w:r>
    </w:p>
    <w:p>
      <w:pPr>
        <w:pStyle w:val="ListParagraph"/>
        <w:numPr>
          <w:ilvl w:val="0"/>
          <w:numId w:val="65"/>
        </w:numPr>
        <w:tabs>
          <w:tab w:pos="1554" w:val="left" w:leader="none"/>
          <w:tab w:pos="1555" w:val="left" w:leader="none"/>
        </w:tabs>
        <w:spacing w:line="240" w:lineRule="auto" w:before="63" w:after="0"/>
        <w:ind w:left="1554" w:right="0" w:hanging="360"/>
        <w:jc w:val="left"/>
        <w:rPr>
          <w:sz w:val="38"/>
        </w:rPr>
      </w:pPr>
      <w:r>
        <w:rPr>
          <w:sz w:val="38"/>
        </w:rPr>
        <w:t>infertility due to deactivation of male sperm</w:t>
      </w:r>
      <w:r>
        <w:rPr>
          <w:spacing w:val="-2"/>
          <w:sz w:val="38"/>
        </w:rPr>
        <w:t> </w:t>
      </w:r>
      <w:r>
        <w:rPr>
          <w:sz w:val="38"/>
        </w:rPr>
        <w:t>cells;</w:t>
      </w:r>
    </w:p>
    <w:p>
      <w:pPr>
        <w:pStyle w:val="ListParagraph"/>
        <w:numPr>
          <w:ilvl w:val="0"/>
          <w:numId w:val="65"/>
        </w:numPr>
        <w:tabs>
          <w:tab w:pos="1554" w:val="left" w:leader="none"/>
          <w:tab w:pos="1555" w:val="left" w:leader="none"/>
        </w:tabs>
        <w:spacing w:line="240" w:lineRule="auto" w:before="65" w:after="0"/>
        <w:ind w:left="1554" w:right="0" w:hanging="360"/>
        <w:jc w:val="left"/>
        <w:rPr>
          <w:sz w:val="38"/>
        </w:rPr>
      </w:pPr>
      <w:r>
        <w:rPr>
          <w:sz w:val="38"/>
        </w:rPr>
        <w:t>disturbance of protein</w:t>
      </w:r>
      <w:r>
        <w:rPr>
          <w:spacing w:val="2"/>
          <w:sz w:val="38"/>
        </w:rPr>
        <w:t> </w:t>
      </w:r>
      <w:r>
        <w:rPr>
          <w:sz w:val="38"/>
        </w:rPr>
        <w:t>synthesis;</w:t>
      </w:r>
    </w:p>
    <w:p>
      <w:pPr>
        <w:pStyle w:val="ListParagraph"/>
        <w:numPr>
          <w:ilvl w:val="0"/>
          <w:numId w:val="65"/>
        </w:numPr>
        <w:tabs>
          <w:tab w:pos="1554" w:val="left" w:leader="none"/>
          <w:tab w:pos="1555" w:val="left" w:leader="none"/>
        </w:tabs>
        <w:spacing w:line="240" w:lineRule="auto" w:before="66" w:after="0"/>
        <w:ind w:left="1554" w:right="0" w:hanging="360"/>
        <w:jc w:val="left"/>
        <w:rPr>
          <w:sz w:val="38"/>
        </w:rPr>
      </w:pPr>
      <w:r>
        <w:rPr>
          <w:sz w:val="38"/>
        </w:rPr>
        <w:t>tendency to be more sensitive to environmental and metabolic</w:t>
      </w:r>
      <w:r>
        <w:rPr>
          <w:spacing w:val="-17"/>
          <w:sz w:val="38"/>
        </w:rPr>
        <w:t> </w:t>
      </w:r>
      <w:r>
        <w:rPr>
          <w:sz w:val="38"/>
        </w:rPr>
        <w:t>toxins.</w:t>
      </w:r>
    </w:p>
    <w:p>
      <w:pPr>
        <w:pStyle w:val="BodyText"/>
        <w:spacing w:before="8"/>
        <w:rPr>
          <w:sz w:val="47"/>
        </w:rPr>
      </w:pPr>
    </w:p>
    <w:p>
      <w:pPr>
        <w:pStyle w:val="Heading1"/>
        <w:spacing w:before="0"/>
      </w:pPr>
      <w:r>
        <w:rPr/>
        <w:t>What causes can lead to L-carnitine deficiency?</w:t>
      </w:r>
    </w:p>
    <w:p>
      <w:pPr>
        <w:pStyle w:val="BodyText"/>
        <w:spacing w:before="299"/>
        <w:ind w:left="477"/>
      </w:pPr>
      <w:r>
        <w:rPr/>
        <w:t>L-carnitine deficiency may arise due to the following reasons:</w:t>
      </w:r>
    </w:p>
    <w:p>
      <w:pPr>
        <w:pStyle w:val="ListParagraph"/>
        <w:numPr>
          <w:ilvl w:val="0"/>
          <w:numId w:val="65"/>
        </w:numPr>
        <w:tabs>
          <w:tab w:pos="1557" w:val="left" w:leader="none"/>
          <w:tab w:pos="1558" w:val="left" w:leader="none"/>
        </w:tabs>
        <w:spacing w:line="240" w:lineRule="auto" w:before="184" w:after="0"/>
        <w:ind w:left="1557" w:right="0" w:hanging="360"/>
        <w:jc w:val="left"/>
        <w:rPr>
          <w:sz w:val="38"/>
        </w:rPr>
      </w:pPr>
      <w:r>
        <w:rPr>
          <w:sz w:val="38"/>
        </w:rPr>
        <w:t>vegetarian / vegan</w:t>
      </w:r>
      <w:r>
        <w:rPr>
          <w:spacing w:val="1"/>
          <w:sz w:val="38"/>
        </w:rPr>
        <w:t> </w:t>
      </w:r>
      <w:r>
        <w:rPr>
          <w:sz w:val="38"/>
        </w:rPr>
        <w:t>diet,</w:t>
      </w:r>
    </w:p>
    <w:p>
      <w:pPr>
        <w:pStyle w:val="ListParagraph"/>
        <w:numPr>
          <w:ilvl w:val="0"/>
          <w:numId w:val="65"/>
        </w:numPr>
        <w:tabs>
          <w:tab w:pos="1557" w:val="left" w:leader="none"/>
          <w:tab w:pos="1558" w:val="left" w:leader="none"/>
        </w:tabs>
        <w:spacing w:line="240" w:lineRule="auto" w:before="66" w:after="0"/>
        <w:ind w:left="1557" w:right="0" w:hanging="360"/>
        <w:jc w:val="left"/>
        <w:rPr>
          <w:sz w:val="38"/>
        </w:rPr>
      </w:pPr>
      <w:r>
        <w:rPr>
          <w:sz w:val="38"/>
        </w:rPr>
        <w:t>disturbed endogenous synthesis</w:t>
      </w:r>
      <w:r>
        <w:rPr>
          <w:spacing w:val="-5"/>
          <w:sz w:val="38"/>
        </w:rPr>
        <w:t> </w:t>
      </w:r>
      <w:r>
        <w:rPr>
          <w:sz w:val="38"/>
        </w:rPr>
        <w:t>(production),</w:t>
      </w:r>
    </w:p>
    <w:p>
      <w:pPr>
        <w:pStyle w:val="ListParagraph"/>
        <w:numPr>
          <w:ilvl w:val="0"/>
          <w:numId w:val="65"/>
        </w:numPr>
        <w:tabs>
          <w:tab w:pos="1557" w:val="left" w:leader="none"/>
          <w:tab w:pos="1558" w:val="left" w:leader="none"/>
        </w:tabs>
        <w:spacing w:line="240" w:lineRule="auto" w:before="64" w:after="0"/>
        <w:ind w:left="1557" w:right="0" w:hanging="360"/>
        <w:jc w:val="left"/>
        <w:rPr>
          <w:sz w:val="38"/>
        </w:rPr>
      </w:pPr>
      <w:r>
        <w:rPr>
          <w:sz w:val="38"/>
        </w:rPr>
        <w:t>increased demand due to competitive sports, pregnancy, stress</w:t>
      </w:r>
      <w:r>
        <w:rPr>
          <w:spacing w:val="-3"/>
          <w:sz w:val="38"/>
        </w:rPr>
        <w:t> </w:t>
      </w:r>
      <w:r>
        <w:rPr>
          <w:sz w:val="38"/>
        </w:rPr>
        <w:t>etc.,</w:t>
      </w:r>
    </w:p>
    <w:p>
      <w:pPr>
        <w:pStyle w:val="ListParagraph"/>
        <w:numPr>
          <w:ilvl w:val="0"/>
          <w:numId w:val="65"/>
        </w:numPr>
        <w:tabs>
          <w:tab w:pos="1557" w:val="left" w:leader="none"/>
          <w:tab w:pos="1558" w:val="left" w:leader="none"/>
        </w:tabs>
        <w:spacing w:line="240" w:lineRule="auto" w:before="63" w:after="0"/>
        <w:ind w:left="1557" w:right="0" w:hanging="360"/>
        <w:jc w:val="left"/>
        <w:rPr>
          <w:sz w:val="38"/>
        </w:rPr>
      </w:pPr>
      <w:r>
        <w:rPr>
          <w:sz w:val="38"/>
        </w:rPr>
        <w:t>increased renal</w:t>
      </w:r>
      <w:r>
        <w:rPr>
          <w:spacing w:val="1"/>
          <w:sz w:val="38"/>
        </w:rPr>
        <w:t> </w:t>
      </w:r>
      <w:r>
        <w:rPr>
          <w:sz w:val="38"/>
        </w:rPr>
        <w:t>excretion,</w:t>
      </w:r>
    </w:p>
    <w:p>
      <w:pPr>
        <w:pStyle w:val="ListParagraph"/>
        <w:numPr>
          <w:ilvl w:val="0"/>
          <w:numId w:val="65"/>
        </w:numPr>
        <w:tabs>
          <w:tab w:pos="1557" w:val="left" w:leader="none"/>
          <w:tab w:pos="1558" w:val="left" w:leader="none"/>
        </w:tabs>
        <w:spacing w:line="240" w:lineRule="auto" w:before="64" w:after="0"/>
        <w:ind w:left="1557" w:right="0" w:hanging="360"/>
        <w:jc w:val="left"/>
        <w:rPr>
          <w:sz w:val="38"/>
        </w:rPr>
      </w:pPr>
      <w:r>
        <w:rPr>
          <w:sz w:val="38"/>
        </w:rPr>
        <w:t>disturbed intestinal</w:t>
      </w:r>
      <w:r>
        <w:rPr>
          <w:spacing w:val="-1"/>
          <w:sz w:val="38"/>
        </w:rPr>
        <w:t> </w:t>
      </w:r>
      <w:r>
        <w:rPr>
          <w:sz w:val="38"/>
        </w:rPr>
        <w:t>absorption,</w:t>
      </w:r>
    </w:p>
    <w:p>
      <w:pPr>
        <w:pStyle w:val="ListParagraph"/>
        <w:numPr>
          <w:ilvl w:val="0"/>
          <w:numId w:val="65"/>
        </w:numPr>
        <w:tabs>
          <w:tab w:pos="1557" w:val="left" w:leader="none"/>
          <w:tab w:pos="1558" w:val="left" w:leader="none"/>
        </w:tabs>
        <w:spacing w:line="240" w:lineRule="auto" w:before="64" w:after="0"/>
        <w:ind w:left="1557" w:right="0" w:hanging="360"/>
        <w:jc w:val="left"/>
        <w:rPr>
          <w:sz w:val="38"/>
        </w:rPr>
      </w:pPr>
      <w:r>
        <w:rPr>
          <w:sz w:val="38"/>
        </w:rPr>
        <w:t>childhood or</w:t>
      </w:r>
      <w:r>
        <w:rPr>
          <w:spacing w:val="1"/>
          <w:sz w:val="38"/>
        </w:rPr>
        <w:t> </w:t>
      </w:r>
      <w:r>
        <w:rPr>
          <w:sz w:val="38"/>
        </w:rPr>
        <w:t>adolescence,</w:t>
      </w:r>
    </w:p>
    <w:p>
      <w:pPr>
        <w:pStyle w:val="ListParagraph"/>
        <w:numPr>
          <w:ilvl w:val="0"/>
          <w:numId w:val="65"/>
        </w:numPr>
        <w:tabs>
          <w:tab w:pos="1557" w:val="left" w:leader="none"/>
          <w:tab w:pos="1558" w:val="left" w:leader="none"/>
        </w:tabs>
        <w:spacing w:line="240" w:lineRule="auto" w:before="66" w:after="0"/>
        <w:ind w:left="1557" w:right="0" w:hanging="360"/>
        <w:jc w:val="left"/>
        <w:rPr>
          <w:sz w:val="38"/>
        </w:rPr>
      </w:pPr>
      <w:r>
        <w:rPr>
          <w:sz w:val="38"/>
        </w:rPr>
        <w:t>advanced age,</w:t>
      </w:r>
    </w:p>
    <w:p>
      <w:pPr>
        <w:pStyle w:val="ListParagraph"/>
        <w:numPr>
          <w:ilvl w:val="0"/>
          <w:numId w:val="65"/>
        </w:numPr>
        <w:tabs>
          <w:tab w:pos="1557" w:val="left" w:leader="none"/>
          <w:tab w:pos="1558" w:val="left" w:leader="none"/>
        </w:tabs>
        <w:spacing w:line="240" w:lineRule="auto" w:before="63" w:after="0"/>
        <w:ind w:left="1557" w:right="0" w:hanging="360"/>
        <w:jc w:val="left"/>
        <w:rPr>
          <w:sz w:val="38"/>
        </w:rPr>
      </w:pPr>
      <w:r>
        <w:rPr>
          <w:sz w:val="38"/>
        </w:rPr>
        <w:t>pregnancy.</w:t>
      </w:r>
    </w:p>
    <w:p>
      <w:pPr>
        <w:spacing w:after="0" w:line="240" w:lineRule="auto"/>
        <w:jc w:val="left"/>
        <w:rPr>
          <w:sz w:val="38"/>
        </w:rPr>
        <w:sectPr>
          <w:pgSz w:w="14270" w:h="16850"/>
          <w:pgMar w:header="0" w:footer="1891" w:top="1600" w:bottom="2080" w:left="800" w:right="1280"/>
        </w:sectPr>
      </w:pPr>
    </w:p>
    <w:p>
      <w:pPr>
        <w:pStyle w:val="Heading2"/>
        <w:spacing w:before="181"/>
      </w:pPr>
      <w:r>
        <w:rPr/>
        <w:t>L-carnitine application</w:t>
      </w:r>
    </w:p>
    <w:p>
      <w:pPr>
        <w:spacing w:before="288"/>
        <w:ind w:left="477" w:right="0" w:firstLine="0"/>
        <w:jc w:val="left"/>
        <w:rPr>
          <w:b/>
          <w:i/>
          <w:sz w:val="40"/>
        </w:rPr>
      </w:pPr>
      <w:r>
        <w:rPr>
          <w:b/>
          <w:i/>
          <w:sz w:val="40"/>
        </w:rPr>
        <w:t>The product variety</w:t>
      </w:r>
    </w:p>
    <w:p>
      <w:pPr>
        <w:pStyle w:val="BodyText"/>
        <w:spacing w:line="276" w:lineRule="auto" w:before="299"/>
        <w:ind w:left="477" w:right="136"/>
        <w:jc w:val="both"/>
      </w:pPr>
      <w:r>
        <w:rPr/>
        <w:t>L-carnitine has rightly attained a leading position among the most popular nu- tritional supplements. It is therefore little wonder that L-carnitine is now avail- able in very diverse dosage forms.</w:t>
      </w:r>
    </w:p>
    <w:p>
      <w:pPr>
        <w:pStyle w:val="Heading2"/>
        <w:spacing w:before="239"/>
        <w:jc w:val="both"/>
      </w:pPr>
      <w:r>
        <w:rPr/>
        <w:t>L-carnitine is commercially available as:</w:t>
      </w:r>
    </w:p>
    <w:p>
      <w:pPr>
        <w:pStyle w:val="ListParagraph"/>
        <w:numPr>
          <w:ilvl w:val="0"/>
          <w:numId w:val="66"/>
        </w:numPr>
        <w:tabs>
          <w:tab w:pos="893" w:val="left" w:leader="none"/>
        </w:tabs>
        <w:spacing w:line="240" w:lineRule="auto" w:before="306" w:after="0"/>
        <w:ind w:left="904" w:right="0" w:hanging="427"/>
        <w:jc w:val="both"/>
        <w:rPr>
          <w:sz w:val="38"/>
        </w:rPr>
      </w:pPr>
      <w:r>
        <w:rPr>
          <w:sz w:val="38"/>
        </w:rPr>
        <w:t>capsules</w:t>
      </w:r>
    </w:p>
    <w:p>
      <w:pPr>
        <w:pStyle w:val="ListParagraph"/>
        <w:numPr>
          <w:ilvl w:val="0"/>
          <w:numId w:val="66"/>
        </w:numPr>
        <w:tabs>
          <w:tab w:pos="893" w:val="left" w:leader="none"/>
        </w:tabs>
        <w:spacing w:line="240" w:lineRule="auto" w:before="64" w:after="0"/>
        <w:ind w:left="904" w:right="0" w:hanging="427"/>
        <w:jc w:val="both"/>
        <w:rPr>
          <w:sz w:val="38"/>
        </w:rPr>
      </w:pPr>
      <w:r>
        <w:rPr>
          <w:sz w:val="38"/>
        </w:rPr>
        <w:t>effervescent tablets</w:t>
      </w:r>
    </w:p>
    <w:p>
      <w:pPr>
        <w:pStyle w:val="ListParagraph"/>
        <w:numPr>
          <w:ilvl w:val="0"/>
          <w:numId w:val="66"/>
        </w:numPr>
        <w:tabs>
          <w:tab w:pos="893" w:val="left" w:leader="none"/>
        </w:tabs>
        <w:spacing w:line="240" w:lineRule="auto" w:before="66" w:after="0"/>
        <w:ind w:left="904" w:right="0" w:hanging="427"/>
        <w:jc w:val="both"/>
        <w:rPr>
          <w:sz w:val="38"/>
        </w:rPr>
      </w:pPr>
      <w:r>
        <w:rPr>
          <w:sz w:val="38"/>
        </w:rPr>
        <w:t>lozenges</w:t>
      </w:r>
    </w:p>
    <w:p>
      <w:pPr>
        <w:pStyle w:val="ListParagraph"/>
        <w:numPr>
          <w:ilvl w:val="0"/>
          <w:numId w:val="66"/>
        </w:numPr>
        <w:tabs>
          <w:tab w:pos="893" w:val="left" w:leader="none"/>
        </w:tabs>
        <w:spacing w:line="240" w:lineRule="auto" w:before="64" w:after="0"/>
        <w:ind w:left="904" w:right="0" w:hanging="427"/>
        <w:jc w:val="both"/>
        <w:rPr>
          <w:sz w:val="38"/>
        </w:rPr>
      </w:pPr>
      <w:r>
        <w:rPr>
          <w:sz w:val="38"/>
        </w:rPr>
        <w:t>chewable</w:t>
      </w:r>
      <w:r>
        <w:rPr>
          <w:spacing w:val="-1"/>
          <w:sz w:val="38"/>
        </w:rPr>
        <w:t> </w:t>
      </w:r>
      <w:r>
        <w:rPr>
          <w:sz w:val="38"/>
        </w:rPr>
        <w:t>tablets</w:t>
      </w:r>
    </w:p>
    <w:p>
      <w:pPr>
        <w:pStyle w:val="ListParagraph"/>
        <w:numPr>
          <w:ilvl w:val="0"/>
          <w:numId w:val="66"/>
        </w:numPr>
        <w:tabs>
          <w:tab w:pos="893" w:val="left" w:leader="none"/>
        </w:tabs>
        <w:spacing w:line="240" w:lineRule="auto" w:before="63" w:after="0"/>
        <w:ind w:left="904" w:right="0" w:hanging="427"/>
        <w:jc w:val="both"/>
        <w:rPr>
          <w:sz w:val="38"/>
        </w:rPr>
      </w:pPr>
      <w:r>
        <w:rPr>
          <w:sz w:val="38"/>
        </w:rPr>
        <w:t>tablets</w:t>
      </w:r>
    </w:p>
    <w:p>
      <w:pPr>
        <w:pStyle w:val="ListParagraph"/>
        <w:numPr>
          <w:ilvl w:val="0"/>
          <w:numId w:val="66"/>
        </w:numPr>
        <w:tabs>
          <w:tab w:pos="893" w:val="left" w:leader="none"/>
        </w:tabs>
        <w:spacing w:line="240" w:lineRule="auto" w:before="64" w:after="0"/>
        <w:ind w:left="904" w:right="0" w:hanging="427"/>
        <w:jc w:val="both"/>
        <w:rPr>
          <w:sz w:val="38"/>
        </w:rPr>
      </w:pPr>
      <w:r>
        <w:rPr>
          <w:sz w:val="38"/>
        </w:rPr>
        <w:t>bars</w:t>
      </w:r>
    </w:p>
    <w:p>
      <w:pPr>
        <w:pStyle w:val="ListParagraph"/>
        <w:numPr>
          <w:ilvl w:val="0"/>
          <w:numId w:val="66"/>
        </w:numPr>
        <w:tabs>
          <w:tab w:pos="893" w:val="left" w:leader="none"/>
        </w:tabs>
        <w:spacing w:line="240" w:lineRule="auto" w:before="64" w:after="0"/>
        <w:ind w:left="904" w:right="0" w:hanging="427"/>
        <w:jc w:val="both"/>
        <w:rPr>
          <w:sz w:val="38"/>
        </w:rPr>
      </w:pPr>
      <w:r>
        <w:rPr>
          <w:sz w:val="38"/>
        </w:rPr>
        <w:t>probiotic</w:t>
      </w:r>
      <w:r>
        <w:rPr>
          <w:spacing w:val="-1"/>
          <w:sz w:val="38"/>
        </w:rPr>
        <w:t> </w:t>
      </w:r>
      <w:r>
        <w:rPr>
          <w:sz w:val="38"/>
        </w:rPr>
        <w:t>drinks</w:t>
      </w:r>
    </w:p>
    <w:p>
      <w:pPr>
        <w:pStyle w:val="ListParagraph"/>
        <w:numPr>
          <w:ilvl w:val="0"/>
          <w:numId w:val="66"/>
        </w:numPr>
        <w:tabs>
          <w:tab w:pos="893" w:val="left" w:leader="none"/>
        </w:tabs>
        <w:spacing w:line="240" w:lineRule="auto" w:before="66" w:after="0"/>
        <w:ind w:left="904" w:right="0" w:hanging="427"/>
        <w:jc w:val="both"/>
        <w:rPr>
          <w:sz w:val="38"/>
        </w:rPr>
      </w:pPr>
      <w:r>
        <w:rPr>
          <w:sz w:val="38"/>
        </w:rPr>
        <w:t>powder</w:t>
      </w:r>
    </w:p>
    <w:p>
      <w:pPr>
        <w:pStyle w:val="ListParagraph"/>
        <w:numPr>
          <w:ilvl w:val="0"/>
          <w:numId w:val="66"/>
        </w:numPr>
        <w:tabs>
          <w:tab w:pos="893" w:val="left" w:leader="none"/>
        </w:tabs>
        <w:spacing w:line="240" w:lineRule="auto" w:before="63" w:after="0"/>
        <w:ind w:left="904" w:right="0" w:hanging="427"/>
        <w:jc w:val="both"/>
        <w:rPr>
          <w:sz w:val="38"/>
        </w:rPr>
      </w:pPr>
      <w:r>
        <w:rPr>
          <w:sz w:val="38"/>
        </w:rPr>
        <w:t>drink</w:t>
      </w:r>
      <w:r>
        <w:rPr>
          <w:spacing w:val="-2"/>
          <w:sz w:val="38"/>
        </w:rPr>
        <w:t> </w:t>
      </w:r>
      <w:r>
        <w:rPr>
          <w:sz w:val="38"/>
        </w:rPr>
        <w:t>ampules</w:t>
      </w:r>
    </w:p>
    <w:p>
      <w:pPr>
        <w:pStyle w:val="ListParagraph"/>
        <w:numPr>
          <w:ilvl w:val="0"/>
          <w:numId w:val="66"/>
        </w:numPr>
        <w:tabs>
          <w:tab w:pos="893" w:val="left" w:leader="none"/>
        </w:tabs>
        <w:spacing w:line="240" w:lineRule="auto" w:before="64" w:after="0"/>
        <w:ind w:left="904" w:right="0" w:hanging="427"/>
        <w:jc w:val="both"/>
        <w:rPr>
          <w:sz w:val="38"/>
        </w:rPr>
      </w:pPr>
      <w:r>
        <w:rPr>
          <w:sz w:val="38"/>
        </w:rPr>
        <w:t>syrup</w:t>
      </w:r>
    </w:p>
    <w:p>
      <w:pPr>
        <w:pStyle w:val="BodyText"/>
        <w:rPr>
          <w:sz w:val="44"/>
        </w:rPr>
      </w:pPr>
    </w:p>
    <w:p>
      <w:pPr>
        <w:pStyle w:val="Heading2"/>
        <w:spacing w:before="299"/>
        <w:jc w:val="both"/>
      </w:pPr>
      <w:r>
        <w:rPr/>
        <w:t>Application and intake recommendations</w:t>
      </w:r>
    </w:p>
    <w:p>
      <w:pPr>
        <w:pStyle w:val="BodyText"/>
        <w:spacing w:before="305"/>
        <w:ind w:left="477"/>
        <w:jc w:val="both"/>
      </w:pPr>
      <w:r>
        <w:rPr/>
        <w:t>Adults can take up to 5000 mg of L-carnitine a day; 25-100 mg per kg of</w:t>
      </w:r>
      <w:r>
        <w:rPr>
          <w:spacing w:val="70"/>
        </w:rPr>
        <w:t> </w:t>
      </w:r>
      <w:r>
        <w:rPr/>
        <w:t>body</w:t>
      </w:r>
    </w:p>
    <w:p>
      <w:pPr>
        <w:spacing w:after="0"/>
        <w:jc w:val="both"/>
        <w:sectPr>
          <w:pgSz w:w="14270" w:h="16850"/>
          <w:pgMar w:header="0" w:footer="1891" w:top="1600" w:bottom="2080" w:left="800" w:right="1280"/>
        </w:sectPr>
      </w:pPr>
    </w:p>
    <w:p>
      <w:pPr>
        <w:pStyle w:val="BodyText"/>
        <w:spacing w:line="276" w:lineRule="auto" w:before="181"/>
        <w:ind w:left="477" w:right="134"/>
        <w:jc w:val="both"/>
      </w:pPr>
      <w:r>
        <w:rPr/>
        <w:t>weight</w:t>
      </w:r>
      <w:r>
        <w:rPr>
          <w:spacing w:val="-15"/>
        </w:rPr>
        <w:t> </w:t>
      </w:r>
      <w:r>
        <w:rPr/>
        <w:t>is</w:t>
      </w:r>
      <w:r>
        <w:rPr>
          <w:spacing w:val="-14"/>
        </w:rPr>
        <w:t> </w:t>
      </w:r>
      <w:r>
        <w:rPr/>
        <w:t>recommended</w:t>
      </w:r>
      <w:r>
        <w:rPr>
          <w:spacing w:val="-14"/>
        </w:rPr>
        <w:t> </w:t>
      </w:r>
      <w:r>
        <w:rPr/>
        <w:t>for</w:t>
      </w:r>
      <w:r>
        <w:rPr>
          <w:spacing w:val="-13"/>
        </w:rPr>
        <w:t> </w:t>
      </w:r>
      <w:r>
        <w:rPr/>
        <w:t>children.</w:t>
      </w:r>
      <w:r>
        <w:rPr>
          <w:spacing w:val="-13"/>
        </w:rPr>
        <w:t> </w:t>
      </w:r>
      <w:r>
        <w:rPr/>
        <w:t>Since</w:t>
      </w:r>
      <w:r>
        <w:rPr>
          <w:spacing w:val="-16"/>
        </w:rPr>
        <w:t> </w:t>
      </w:r>
      <w:r>
        <w:rPr/>
        <w:t>the</w:t>
      </w:r>
      <w:r>
        <w:rPr>
          <w:spacing w:val="-16"/>
        </w:rPr>
        <w:t> </w:t>
      </w:r>
      <w:r>
        <w:rPr/>
        <w:t>human</w:t>
      </w:r>
      <w:r>
        <w:rPr>
          <w:spacing w:val="-14"/>
        </w:rPr>
        <w:t> </w:t>
      </w:r>
      <w:r>
        <w:rPr/>
        <w:t>body</w:t>
      </w:r>
      <w:r>
        <w:rPr>
          <w:spacing w:val="-14"/>
        </w:rPr>
        <w:t> </w:t>
      </w:r>
      <w:r>
        <w:rPr/>
        <w:t>only</w:t>
      </w:r>
      <w:r>
        <w:rPr>
          <w:spacing w:val="-17"/>
        </w:rPr>
        <w:t> </w:t>
      </w:r>
      <w:r>
        <w:rPr/>
        <w:t>has</w:t>
      </w:r>
      <w:r>
        <w:rPr>
          <w:spacing w:val="-13"/>
        </w:rPr>
        <w:t> </w:t>
      </w:r>
      <w:r>
        <w:rPr/>
        <w:t>fully</w:t>
      </w:r>
      <w:r>
        <w:rPr>
          <w:spacing w:val="-15"/>
        </w:rPr>
        <w:t> </w:t>
      </w:r>
      <w:r>
        <w:rPr/>
        <w:t>func- tional L-carnitine synthesis from the age of 15, infants and children must be given enough L-carnitine in their diet. Furthermore, vegetarians, vegans, com- petitive</w:t>
      </w:r>
      <w:r>
        <w:rPr>
          <w:spacing w:val="-11"/>
        </w:rPr>
        <w:t> </w:t>
      </w:r>
      <w:r>
        <w:rPr/>
        <w:t>athletes,</w:t>
      </w:r>
      <w:r>
        <w:rPr>
          <w:spacing w:val="-9"/>
        </w:rPr>
        <w:t> </w:t>
      </w:r>
      <w:r>
        <w:rPr/>
        <w:t>pregnant</w:t>
      </w:r>
      <w:r>
        <w:rPr>
          <w:spacing w:val="-11"/>
        </w:rPr>
        <w:t> </w:t>
      </w:r>
      <w:r>
        <w:rPr/>
        <w:t>women,</w:t>
      </w:r>
      <w:r>
        <w:rPr>
          <w:spacing w:val="-9"/>
        </w:rPr>
        <w:t> </w:t>
      </w:r>
      <w:r>
        <w:rPr/>
        <w:t>nursing</w:t>
      </w:r>
      <w:r>
        <w:rPr>
          <w:spacing w:val="-12"/>
        </w:rPr>
        <w:t> </w:t>
      </w:r>
      <w:r>
        <w:rPr/>
        <w:t>mothers,</w:t>
      </w:r>
      <w:r>
        <w:rPr>
          <w:spacing w:val="-11"/>
        </w:rPr>
        <w:t> </w:t>
      </w:r>
      <w:r>
        <w:rPr/>
        <w:t>people</w:t>
      </w:r>
      <w:r>
        <w:rPr>
          <w:spacing w:val="-13"/>
        </w:rPr>
        <w:t> </w:t>
      </w:r>
      <w:r>
        <w:rPr/>
        <w:t>suffering</w:t>
      </w:r>
      <w:r>
        <w:rPr>
          <w:spacing w:val="-10"/>
        </w:rPr>
        <w:t> </w:t>
      </w:r>
      <w:r>
        <w:rPr/>
        <w:t>from</w:t>
      </w:r>
      <w:r>
        <w:rPr>
          <w:spacing w:val="-12"/>
        </w:rPr>
        <w:t> </w:t>
      </w:r>
      <w:r>
        <w:rPr/>
        <w:t>iron deficiency, women taking the pill and people under constant stress often have low L-carnitine plasma levels and therefore need to take additional L-carnitine. Here, a daily intake of up to 1000 mg L-carnitine and possibly more is recom- mended.</w:t>
      </w:r>
    </w:p>
    <w:p>
      <w:pPr>
        <w:pStyle w:val="Heading1"/>
      </w:pPr>
      <w:r>
        <w:rPr/>
        <w:t>L-carnitine intake recommendations for the prevention of diseases</w:t>
      </w:r>
    </w:p>
    <w:p>
      <w:pPr>
        <w:pStyle w:val="BodyText"/>
        <w:spacing w:line="276" w:lineRule="auto" w:before="300"/>
        <w:ind w:left="477" w:right="134"/>
        <w:jc w:val="both"/>
      </w:pPr>
      <w:r>
        <w:rPr/>
        <w:t>As a precautionary measure, 500 mg to 1000 mg L-carnitine per day is enough for a healthy, adult, regular meat eater without any special requirements.</w:t>
      </w:r>
    </w:p>
    <w:p>
      <w:pPr>
        <w:pStyle w:val="Heading1"/>
        <w:spacing w:before="341"/>
      </w:pPr>
      <w:r>
        <w:rPr/>
        <w:t>L-carnitine intake recommendations for the purpose of weight loss</w:t>
      </w:r>
    </w:p>
    <w:p>
      <w:pPr>
        <w:pStyle w:val="BodyText"/>
        <w:spacing w:line="276" w:lineRule="auto" w:before="299"/>
        <w:ind w:left="477" w:right="132"/>
        <w:jc w:val="both"/>
      </w:pPr>
      <w:r>
        <w:rPr/>
        <w:t>Most recommendations from successful L-carnitine weight-loss trials (see ‘Studies’) range from around 3000 mg L-carnitine per day distributed across 3- 4 doses. Here you can either take the L-carnitine with meals or after meals.</w:t>
      </w:r>
    </w:p>
    <w:p>
      <w:pPr>
        <w:pStyle w:val="Heading1"/>
        <w:spacing w:before="344"/>
      </w:pPr>
      <w:r>
        <w:rPr/>
        <w:t>L-carnitine</w:t>
      </w:r>
      <w:r>
        <w:rPr>
          <w:spacing w:val="-57"/>
        </w:rPr>
        <w:t> </w:t>
      </w:r>
      <w:r>
        <w:rPr/>
        <w:t>intake</w:t>
      </w:r>
      <w:r>
        <w:rPr>
          <w:spacing w:val="-56"/>
        </w:rPr>
        <w:t> </w:t>
      </w:r>
      <w:r>
        <w:rPr/>
        <w:t>recommendations</w:t>
      </w:r>
      <w:r>
        <w:rPr>
          <w:spacing w:val="-56"/>
        </w:rPr>
        <w:t> </w:t>
      </w:r>
      <w:r>
        <w:rPr/>
        <w:t>to</w:t>
      </w:r>
      <w:r>
        <w:rPr>
          <w:spacing w:val="-57"/>
        </w:rPr>
        <w:t> </w:t>
      </w:r>
      <w:r>
        <w:rPr/>
        <w:t>increase</w:t>
      </w:r>
      <w:r>
        <w:rPr>
          <w:spacing w:val="-56"/>
        </w:rPr>
        <w:t> </w:t>
      </w:r>
      <w:r>
        <w:rPr/>
        <w:t>performance</w:t>
      </w:r>
      <w:r>
        <w:rPr>
          <w:spacing w:val="-56"/>
        </w:rPr>
        <w:t> </w:t>
      </w:r>
      <w:r>
        <w:rPr/>
        <w:t>in</w:t>
      </w:r>
      <w:r>
        <w:rPr>
          <w:spacing w:val="-57"/>
        </w:rPr>
        <w:t> </w:t>
      </w:r>
      <w:r>
        <w:rPr/>
        <w:t>sports</w:t>
      </w:r>
    </w:p>
    <w:p>
      <w:pPr>
        <w:pStyle w:val="ListParagraph"/>
        <w:numPr>
          <w:ilvl w:val="1"/>
          <w:numId w:val="66"/>
        </w:numPr>
        <w:tabs>
          <w:tab w:pos="1197" w:val="left" w:leader="none"/>
          <w:tab w:pos="1198" w:val="left" w:leader="none"/>
        </w:tabs>
        <w:spacing w:line="240" w:lineRule="auto" w:before="301" w:after="0"/>
        <w:ind w:left="1197" w:right="0" w:hanging="360"/>
        <w:jc w:val="left"/>
        <w:rPr>
          <w:sz w:val="38"/>
        </w:rPr>
      </w:pPr>
      <w:r>
        <w:rPr>
          <w:sz w:val="38"/>
        </w:rPr>
        <w:t>Take 1000 mg (or more, e.g. 5000 mg) over 3-4 doses throughout the</w:t>
      </w:r>
      <w:r>
        <w:rPr>
          <w:spacing w:val="-42"/>
          <w:sz w:val="38"/>
        </w:rPr>
        <w:t> </w:t>
      </w:r>
      <w:r>
        <w:rPr>
          <w:sz w:val="38"/>
        </w:rPr>
        <w:t>day.</w:t>
      </w:r>
    </w:p>
    <w:p>
      <w:pPr>
        <w:pStyle w:val="ListParagraph"/>
        <w:numPr>
          <w:ilvl w:val="1"/>
          <w:numId w:val="66"/>
        </w:numPr>
        <w:tabs>
          <w:tab w:pos="1197" w:val="left" w:leader="none"/>
          <w:tab w:pos="1198" w:val="left" w:leader="none"/>
        </w:tabs>
        <w:spacing w:line="273" w:lineRule="auto" w:before="64" w:after="0"/>
        <w:ind w:left="1197" w:right="140" w:hanging="360"/>
        <w:jc w:val="left"/>
        <w:rPr>
          <w:sz w:val="38"/>
        </w:rPr>
      </w:pPr>
      <w:r>
        <w:rPr>
          <w:sz w:val="38"/>
        </w:rPr>
        <w:t>Do</w:t>
      </w:r>
      <w:r>
        <w:rPr>
          <w:spacing w:val="-10"/>
          <w:sz w:val="38"/>
        </w:rPr>
        <w:t> </w:t>
      </w:r>
      <w:r>
        <w:rPr>
          <w:sz w:val="38"/>
        </w:rPr>
        <w:t>not</w:t>
      </w:r>
      <w:r>
        <w:rPr>
          <w:spacing w:val="-10"/>
          <w:sz w:val="38"/>
        </w:rPr>
        <w:t> </w:t>
      </w:r>
      <w:r>
        <w:rPr>
          <w:sz w:val="38"/>
        </w:rPr>
        <w:t>take</w:t>
      </w:r>
      <w:r>
        <w:rPr>
          <w:spacing w:val="-11"/>
          <w:sz w:val="38"/>
        </w:rPr>
        <w:t> </w:t>
      </w:r>
      <w:r>
        <w:rPr>
          <w:sz w:val="38"/>
        </w:rPr>
        <w:t>L-carnitine</w:t>
      </w:r>
      <w:r>
        <w:rPr>
          <w:spacing w:val="-9"/>
          <w:sz w:val="38"/>
        </w:rPr>
        <w:t> </w:t>
      </w:r>
      <w:r>
        <w:rPr>
          <w:sz w:val="38"/>
        </w:rPr>
        <w:t>with</w:t>
      </w:r>
      <w:r>
        <w:rPr>
          <w:spacing w:val="-9"/>
          <w:sz w:val="38"/>
        </w:rPr>
        <w:t> </w:t>
      </w:r>
      <w:r>
        <w:rPr>
          <w:sz w:val="38"/>
        </w:rPr>
        <w:t>protein</w:t>
      </w:r>
      <w:r>
        <w:rPr>
          <w:spacing w:val="-10"/>
          <w:sz w:val="38"/>
        </w:rPr>
        <w:t> </w:t>
      </w:r>
      <w:r>
        <w:rPr>
          <w:sz w:val="38"/>
        </w:rPr>
        <w:t>shakes,</w:t>
      </w:r>
      <w:r>
        <w:rPr>
          <w:spacing w:val="-9"/>
          <w:sz w:val="38"/>
        </w:rPr>
        <w:t> </w:t>
      </w:r>
      <w:r>
        <w:rPr>
          <w:sz w:val="38"/>
        </w:rPr>
        <w:t>as</w:t>
      </w:r>
      <w:r>
        <w:rPr>
          <w:spacing w:val="-10"/>
          <w:sz w:val="38"/>
        </w:rPr>
        <w:t> </w:t>
      </w:r>
      <w:r>
        <w:rPr>
          <w:sz w:val="38"/>
        </w:rPr>
        <w:t>they</w:t>
      </w:r>
      <w:r>
        <w:rPr>
          <w:spacing w:val="-10"/>
          <w:sz w:val="38"/>
        </w:rPr>
        <w:t> </w:t>
      </w:r>
      <w:r>
        <w:rPr>
          <w:sz w:val="38"/>
        </w:rPr>
        <w:t>interfere</w:t>
      </w:r>
      <w:r>
        <w:rPr>
          <w:spacing w:val="-9"/>
          <w:sz w:val="38"/>
        </w:rPr>
        <w:t> </w:t>
      </w:r>
      <w:r>
        <w:rPr>
          <w:sz w:val="38"/>
        </w:rPr>
        <w:t>with</w:t>
      </w:r>
      <w:r>
        <w:rPr>
          <w:spacing w:val="-10"/>
          <w:sz w:val="38"/>
        </w:rPr>
        <w:t> </w:t>
      </w:r>
      <w:r>
        <w:rPr>
          <w:sz w:val="38"/>
        </w:rPr>
        <w:t>absorp- tion. Let at least one hour pass between the</w:t>
      </w:r>
      <w:r>
        <w:rPr>
          <w:spacing w:val="-1"/>
          <w:sz w:val="38"/>
        </w:rPr>
        <w:t> </w:t>
      </w:r>
      <w:r>
        <w:rPr>
          <w:sz w:val="38"/>
        </w:rPr>
        <w:t>two.</w:t>
      </w:r>
    </w:p>
    <w:p>
      <w:pPr>
        <w:pStyle w:val="ListParagraph"/>
        <w:numPr>
          <w:ilvl w:val="1"/>
          <w:numId w:val="66"/>
        </w:numPr>
        <w:tabs>
          <w:tab w:pos="1197" w:val="left" w:leader="none"/>
          <w:tab w:pos="1198" w:val="left" w:leader="none"/>
        </w:tabs>
        <w:spacing w:line="240" w:lineRule="auto" w:before="7" w:after="0"/>
        <w:ind w:left="1197" w:right="0" w:hanging="360"/>
        <w:jc w:val="left"/>
        <w:rPr>
          <w:sz w:val="38"/>
        </w:rPr>
      </w:pPr>
      <w:r>
        <w:rPr>
          <w:sz w:val="38"/>
        </w:rPr>
        <w:t>You should take L-carnitine six hours before training or competition,</w:t>
      </w:r>
      <w:r>
        <w:rPr>
          <w:spacing w:val="-13"/>
          <w:sz w:val="38"/>
        </w:rPr>
        <w:t> </w:t>
      </w:r>
      <w:r>
        <w:rPr>
          <w:sz w:val="38"/>
        </w:rPr>
        <w:t>two</w:t>
      </w:r>
    </w:p>
    <w:p>
      <w:pPr>
        <w:spacing w:after="0" w:line="240" w:lineRule="auto"/>
        <w:jc w:val="left"/>
        <w:rPr>
          <w:sz w:val="38"/>
        </w:rPr>
        <w:sectPr>
          <w:pgSz w:w="14270" w:h="16850"/>
          <w:pgMar w:header="0" w:footer="1891" w:top="1600" w:bottom="2080" w:left="800" w:right="1280"/>
        </w:sectPr>
      </w:pPr>
    </w:p>
    <w:p>
      <w:pPr>
        <w:pStyle w:val="BodyText"/>
        <w:spacing w:line="276" w:lineRule="auto" w:before="181"/>
        <w:ind w:left="1197" w:right="139"/>
      </w:pPr>
      <w:r>
        <w:rPr/>
        <w:t>hours at the latest; only then will L-carnitine exhibit its maximum perfor- mance-enhancing effect.</w:t>
      </w:r>
    </w:p>
    <w:p>
      <w:pPr>
        <w:pStyle w:val="ListParagraph"/>
        <w:numPr>
          <w:ilvl w:val="1"/>
          <w:numId w:val="66"/>
        </w:numPr>
        <w:tabs>
          <w:tab w:pos="1197" w:val="left" w:leader="none"/>
          <w:tab w:pos="1198" w:val="left" w:leader="none"/>
        </w:tabs>
        <w:spacing w:line="273" w:lineRule="auto" w:before="3" w:after="0"/>
        <w:ind w:left="1197" w:right="134" w:hanging="360"/>
        <w:jc w:val="left"/>
        <w:rPr>
          <w:sz w:val="38"/>
        </w:rPr>
      </w:pPr>
      <w:r>
        <w:rPr>
          <w:sz w:val="38"/>
        </w:rPr>
        <w:t>Regular intake over a long-term period ensures the greatest possible suc- cess.</w:t>
      </w:r>
    </w:p>
    <w:p>
      <w:pPr>
        <w:pStyle w:val="BodyText"/>
        <w:rPr>
          <w:sz w:val="42"/>
        </w:rPr>
      </w:pPr>
    </w:p>
    <w:p>
      <w:pPr>
        <w:pStyle w:val="BodyText"/>
        <w:spacing w:before="4"/>
        <w:rPr>
          <w:sz w:val="43"/>
        </w:rPr>
      </w:pPr>
    </w:p>
    <w:p>
      <w:pPr>
        <w:pStyle w:val="Heading1"/>
        <w:spacing w:before="0"/>
      </w:pPr>
      <w:r>
        <w:rPr/>
        <w:t>L-carnitine intake recommendations for</w:t>
      </w:r>
      <w:r>
        <w:rPr>
          <w:spacing w:val="-59"/>
        </w:rPr>
        <w:t> </w:t>
      </w:r>
      <w:r>
        <w:rPr/>
        <w:t>diseases</w:t>
      </w:r>
    </w:p>
    <w:p>
      <w:pPr>
        <w:pStyle w:val="BodyText"/>
        <w:spacing w:line="276" w:lineRule="auto" w:before="300"/>
        <w:ind w:left="477" w:right="135"/>
        <w:jc w:val="both"/>
      </w:pPr>
      <w:r>
        <w:rPr/>
        <w:t>For</w:t>
      </w:r>
      <w:r>
        <w:rPr>
          <w:spacing w:val="-5"/>
        </w:rPr>
        <w:t> </w:t>
      </w:r>
      <w:r>
        <w:rPr/>
        <w:t>all</w:t>
      </w:r>
      <w:r>
        <w:rPr>
          <w:spacing w:val="-8"/>
        </w:rPr>
        <w:t> </w:t>
      </w:r>
      <w:r>
        <w:rPr/>
        <w:t>illnesses,</w:t>
      </w:r>
      <w:r>
        <w:rPr>
          <w:spacing w:val="-8"/>
        </w:rPr>
        <w:t> </w:t>
      </w:r>
      <w:r>
        <w:rPr/>
        <w:t>it</w:t>
      </w:r>
      <w:r>
        <w:rPr>
          <w:spacing w:val="-7"/>
        </w:rPr>
        <w:t> </w:t>
      </w:r>
      <w:r>
        <w:rPr/>
        <w:t>is</w:t>
      </w:r>
      <w:r>
        <w:rPr>
          <w:spacing w:val="-6"/>
        </w:rPr>
        <w:t> </w:t>
      </w:r>
      <w:r>
        <w:rPr/>
        <w:t>always</w:t>
      </w:r>
      <w:r>
        <w:rPr>
          <w:spacing w:val="-6"/>
        </w:rPr>
        <w:t> </w:t>
      </w:r>
      <w:r>
        <w:rPr/>
        <w:t>advisable</w:t>
      </w:r>
      <w:r>
        <w:rPr>
          <w:spacing w:val="-6"/>
        </w:rPr>
        <w:t> </w:t>
      </w:r>
      <w:r>
        <w:rPr/>
        <w:t>to</w:t>
      </w:r>
      <w:r>
        <w:rPr>
          <w:spacing w:val="-5"/>
        </w:rPr>
        <w:t> </w:t>
      </w:r>
      <w:r>
        <w:rPr/>
        <w:t>consult</w:t>
      </w:r>
      <w:r>
        <w:rPr>
          <w:spacing w:val="-7"/>
        </w:rPr>
        <w:t> </w:t>
      </w:r>
      <w:r>
        <w:rPr/>
        <w:t>an</w:t>
      </w:r>
      <w:r>
        <w:rPr>
          <w:spacing w:val="-6"/>
        </w:rPr>
        <w:t> </w:t>
      </w:r>
      <w:r>
        <w:rPr/>
        <w:t>experienced,</w:t>
      </w:r>
      <w:r>
        <w:rPr>
          <w:spacing w:val="-7"/>
        </w:rPr>
        <w:t> </w:t>
      </w:r>
      <w:r>
        <w:rPr/>
        <w:t>holistic</w:t>
      </w:r>
      <w:r>
        <w:rPr>
          <w:spacing w:val="-6"/>
        </w:rPr>
        <w:t> </w:t>
      </w:r>
      <w:r>
        <w:rPr/>
        <w:t>(natur- opathic)</w:t>
      </w:r>
      <w:r>
        <w:rPr>
          <w:spacing w:val="-16"/>
        </w:rPr>
        <w:t> </w:t>
      </w:r>
      <w:r>
        <w:rPr/>
        <w:t>physician</w:t>
      </w:r>
      <w:r>
        <w:rPr>
          <w:spacing w:val="-14"/>
        </w:rPr>
        <w:t> </w:t>
      </w:r>
      <w:r>
        <w:rPr/>
        <w:t>who</w:t>
      </w:r>
      <w:r>
        <w:rPr>
          <w:spacing w:val="-13"/>
        </w:rPr>
        <w:t> </w:t>
      </w:r>
      <w:r>
        <w:rPr/>
        <w:t>is</w:t>
      </w:r>
      <w:r>
        <w:rPr>
          <w:spacing w:val="-14"/>
        </w:rPr>
        <w:t> </w:t>
      </w:r>
      <w:r>
        <w:rPr/>
        <w:t>able</w:t>
      </w:r>
      <w:r>
        <w:rPr>
          <w:spacing w:val="-16"/>
        </w:rPr>
        <w:t> </w:t>
      </w:r>
      <w:r>
        <w:rPr/>
        <w:t>to</w:t>
      </w:r>
      <w:r>
        <w:rPr>
          <w:spacing w:val="-16"/>
        </w:rPr>
        <w:t> </w:t>
      </w:r>
      <w:r>
        <w:rPr/>
        <w:t>create</w:t>
      </w:r>
      <w:r>
        <w:rPr>
          <w:spacing w:val="-14"/>
        </w:rPr>
        <w:t> </w:t>
      </w:r>
      <w:r>
        <w:rPr/>
        <w:t>an</w:t>
      </w:r>
      <w:r>
        <w:rPr>
          <w:spacing w:val="-15"/>
        </w:rPr>
        <w:t> </w:t>
      </w:r>
      <w:r>
        <w:rPr/>
        <w:t>individual</w:t>
      </w:r>
      <w:r>
        <w:rPr>
          <w:spacing w:val="-16"/>
        </w:rPr>
        <w:t> </w:t>
      </w:r>
      <w:r>
        <w:rPr/>
        <w:t>medication</w:t>
      </w:r>
      <w:r>
        <w:rPr>
          <w:spacing w:val="-14"/>
        </w:rPr>
        <w:t> </w:t>
      </w:r>
      <w:r>
        <w:rPr/>
        <w:t>for</w:t>
      </w:r>
      <w:r>
        <w:rPr>
          <w:spacing w:val="-13"/>
        </w:rPr>
        <w:t> </w:t>
      </w:r>
      <w:r>
        <w:rPr/>
        <w:t>the</w:t>
      </w:r>
      <w:r>
        <w:rPr>
          <w:spacing w:val="-15"/>
        </w:rPr>
        <w:t> </w:t>
      </w:r>
      <w:r>
        <w:rPr/>
        <w:t>respec- tive</w:t>
      </w:r>
      <w:r>
        <w:rPr>
          <w:spacing w:val="-1"/>
        </w:rPr>
        <w:t> </w:t>
      </w:r>
      <w:r>
        <w:rPr/>
        <w:t>illness.</w:t>
      </w:r>
    </w:p>
    <w:p>
      <w:pPr>
        <w:pStyle w:val="BodyText"/>
        <w:spacing w:before="238"/>
        <w:ind w:left="477"/>
      </w:pPr>
      <w:r>
        <w:rPr/>
        <w:t>As a rule, this should be a dose of 2-3 g divided into 3-4 doses for illnesses.</w:t>
      </w:r>
    </w:p>
    <w:p>
      <w:pPr>
        <w:pStyle w:val="Heading1"/>
        <w:spacing w:line="261" w:lineRule="auto" w:before="288"/>
        <w:rPr>
          <w:sz w:val="26"/>
        </w:rPr>
      </w:pPr>
      <w:r>
        <w:rPr/>
        <w:t>Summary</w:t>
      </w:r>
      <w:r>
        <w:rPr>
          <w:spacing w:val="-25"/>
        </w:rPr>
        <w:t> </w:t>
      </w:r>
      <w:r>
        <w:rPr/>
        <w:t>of</w:t>
      </w:r>
      <w:r>
        <w:rPr>
          <w:spacing w:val="-25"/>
        </w:rPr>
        <w:t> </w:t>
      </w:r>
      <w:r>
        <w:rPr/>
        <w:t>the</w:t>
      </w:r>
      <w:r>
        <w:rPr>
          <w:spacing w:val="-25"/>
        </w:rPr>
        <w:t> </w:t>
      </w:r>
      <w:r>
        <w:rPr/>
        <w:t>intake</w:t>
      </w:r>
      <w:r>
        <w:rPr>
          <w:spacing w:val="-24"/>
        </w:rPr>
        <w:t> </w:t>
      </w:r>
      <w:r>
        <w:rPr/>
        <w:t>recommendations</w:t>
      </w:r>
      <w:r>
        <w:rPr>
          <w:spacing w:val="-23"/>
        </w:rPr>
        <w:t> </w:t>
      </w:r>
      <w:r>
        <w:rPr/>
        <w:t>for</w:t>
      </w:r>
      <w:r>
        <w:rPr>
          <w:spacing w:val="-25"/>
        </w:rPr>
        <w:t> </w:t>
      </w:r>
      <w:r>
        <w:rPr/>
        <w:t>L-carnitine</w:t>
      </w:r>
      <w:r>
        <w:rPr>
          <w:spacing w:val="-24"/>
        </w:rPr>
        <w:t> </w:t>
      </w:r>
      <w:r>
        <w:rPr/>
        <w:t>according</w:t>
      </w:r>
      <w:r>
        <w:rPr>
          <w:spacing w:val="-24"/>
        </w:rPr>
        <w:t> </w:t>
      </w:r>
      <w:r>
        <w:rPr/>
        <w:t>to Prof. Dr. Billigmann and Dr.</w:t>
      </w:r>
      <w:r>
        <w:rPr>
          <w:spacing w:val="-51"/>
        </w:rPr>
        <w:t> </w:t>
      </w:r>
      <w:r>
        <w:rPr/>
        <w:t>Siebrecht:</w:t>
      </w:r>
      <w:r>
        <w:rPr>
          <w:position w:val="9"/>
          <w:sz w:val="26"/>
        </w:rPr>
        <w:t>499</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8"/>
        <w:rPr>
          <w:b/>
          <w:i/>
          <w:sz w:val="17"/>
        </w:rPr>
      </w:pPr>
      <w:r>
        <w:rPr/>
        <w:pict>
          <v:line style="position:absolute;mso-position-horizontal-relative:page;mso-position-vertical-relative:paragraph;z-index:6344;mso-wrap-distance-left:0;mso-wrap-distance-right:0" from="63.863998pt,12.331225pt" to="207.883998pt,12.331225pt" stroked="true" strokeweight=".72003pt" strokecolor="#000000">
            <v:stroke dashstyle="solid"/>
            <w10:wrap type="topAndBottom"/>
          </v:line>
        </w:pict>
      </w:r>
    </w:p>
    <w:p>
      <w:pPr>
        <w:pStyle w:val="BodyText"/>
        <w:spacing w:before="7"/>
        <w:rPr>
          <w:b/>
          <w:i/>
          <w:sz w:val="18"/>
        </w:rPr>
      </w:pPr>
    </w:p>
    <w:p>
      <w:pPr>
        <w:spacing w:line="276" w:lineRule="auto" w:before="99"/>
        <w:ind w:left="477" w:right="0" w:firstLine="0"/>
        <w:jc w:val="left"/>
        <w:rPr>
          <w:sz w:val="20"/>
        </w:rPr>
      </w:pPr>
      <w:r>
        <w:rPr>
          <w:position w:val="5"/>
          <w:sz w:val="13"/>
        </w:rPr>
        <w:t>499 </w:t>
      </w:r>
      <w:r>
        <w:rPr>
          <w:sz w:val="20"/>
        </w:rPr>
        <w:t>Prof. Dr. Peter Billigmann, Dr. Stefan Siebrecht: Physiologie des L-Carnitins und seine Bedeutung für Sportler (‘Physiology of L-Carnitine and Its Importance for Athletes’), 2004, p. 148</w:t>
      </w:r>
    </w:p>
    <w:p>
      <w:pPr>
        <w:spacing w:after="0" w:line="276" w:lineRule="auto"/>
        <w:jc w:val="left"/>
        <w:rPr>
          <w:sz w:val="20"/>
        </w:rPr>
        <w:sectPr>
          <w:pgSz w:w="14270" w:h="16850"/>
          <w:pgMar w:header="0" w:footer="1891" w:top="1600" w:bottom="2080" w:left="800" w:right="12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8"/>
        </w:rPr>
      </w:pPr>
    </w:p>
    <w:tbl>
      <w:tblPr>
        <w:tblW w:w="0" w:type="auto"/>
        <w:jc w:val="left"/>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82"/>
        <w:gridCol w:w="3684"/>
      </w:tblGrid>
      <w:tr>
        <w:trPr>
          <w:trHeight w:val="611" w:hRule="atLeast"/>
        </w:trPr>
        <w:tc>
          <w:tcPr>
            <w:tcW w:w="3682" w:type="dxa"/>
            <w:shd w:val="clear" w:color="auto" w:fill="8DB3E1"/>
          </w:tcPr>
          <w:p>
            <w:pPr>
              <w:pStyle w:val="TableParagraph"/>
              <w:spacing w:line="424" w:lineRule="exact"/>
              <w:ind w:left="107"/>
              <w:rPr>
                <w:b/>
                <w:sz w:val="38"/>
              </w:rPr>
            </w:pPr>
            <w:r>
              <w:rPr>
                <w:b/>
                <w:sz w:val="38"/>
              </w:rPr>
              <w:t>INDICATION</w:t>
            </w:r>
          </w:p>
        </w:tc>
        <w:tc>
          <w:tcPr>
            <w:tcW w:w="3684" w:type="dxa"/>
            <w:shd w:val="clear" w:color="auto" w:fill="8DB3E1"/>
          </w:tcPr>
          <w:p>
            <w:pPr>
              <w:pStyle w:val="TableParagraph"/>
              <w:spacing w:line="424" w:lineRule="exact"/>
              <w:ind w:left="107"/>
              <w:rPr>
                <w:b/>
                <w:sz w:val="38"/>
              </w:rPr>
            </w:pPr>
            <w:r>
              <w:rPr>
                <w:b/>
                <w:sz w:val="38"/>
              </w:rPr>
              <w:t>L-carnitine dose</w:t>
            </w:r>
          </w:p>
        </w:tc>
      </w:tr>
      <w:tr>
        <w:trPr>
          <w:trHeight w:val="4543" w:hRule="atLeast"/>
        </w:trPr>
        <w:tc>
          <w:tcPr>
            <w:tcW w:w="3682" w:type="dxa"/>
          </w:tcPr>
          <w:p>
            <w:pPr>
              <w:pStyle w:val="TableParagraph"/>
              <w:spacing w:line="276" w:lineRule="auto"/>
              <w:ind w:left="107" w:right="248"/>
              <w:rPr>
                <w:sz w:val="38"/>
              </w:rPr>
            </w:pPr>
            <w:r>
              <w:rPr>
                <w:sz w:val="38"/>
              </w:rPr>
              <w:t>Optimal nutrition (in- cluding meat), normal weight, normal stress, good health, no risk factors (stress, smok- ing, alcohol etc.), no diseases (diabetes, car- diovascular diseases, high cholesterol etc.)</w:t>
            </w:r>
          </w:p>
        </w:tc>
        <w:tc>
          <w:tcPr>
            <w:tcW w:w="3684" w:type="dxa"/>
          </w:tcPr>
          <w:p>
            <w:pPr>
              <w:pStyle w:val="TableParagraph"/>
              <w:spacing w:line="424" w:lineRule="exact"/>
              <w:ind w:left="107"/>
              <w:rPr>
                <w:sz w:val="38"/>
              </w:rPr>
            </w:pPr>
            <w:r>
              <w:rPr>
                <w:sz w:val="38"/>
              </w:rPr>
              <w:t>200-500 mg/day</w:t>
            </w:r>
          </w:p>
        </w:tc>
      </w:tr>
      <w:tr>
        <w:trPr>
          <w:trHeight w:val="3072" w:hRule="atLeast"/>
        </w:trPr>
        <w:tc>
          <w:tcPr>
            <w:tcW w:w="3682" w:type="dxa"/>
          </w:tcPr>
          <w:p>
            <w:pPr>
              <w:pStyle w:val="TableParagraph"/>
              <w:spacing w:line="276" w:lineRule="auto"/>
              <w:ind w:left="107" w:right="164"/>
              <w:rPr>
                <w:sz w:val="38"/>
              </w:rPr>
            </w:pPr>
            <w:r>
              <w:rPr>
                <w:sz w:val="38"/>
              </w:rPr>
              <w:t>Vegetarianism, old age, for the prevention of L-carnitine deficiency, for good health, im- provement of the im- mune system</w:t>
            </w:r>
          </w:p>
        </w:tc>
        <w:tc>
          <w:tcPr>
            <w:tcW w:w="3684" w:type="dxa"/>
          </w:tcPr>
          <w:p>
            <w:pPr>
              <w:pStyle w:val="TableParagraph"/>
              <w:spacing w:line="424" w:lineRule="exact"/>
              <w:ind w:left="107"/>
              <w:rPr>
                <w:sz w:val="38"/>
              </w:rPr>
            </w:pPr>
            <w:r>
              <w:rPr>
                <w:sz w:val="38"/>
              </w:rPr>
              <w:t>500-1000 mg/day</w:t>
            </w:r>
          </w:p>
        </w:tc>
      </w:tr>
      <w:tr>
        <w:trPr>
          <w:trHeight w:val="611" w:hRule="atLeast"/>
        </w:trPr>
        <w:tc>
          <w:tcPr>
            <w:tcW w:w="3682" w:type="dxa"/>
          </w:tcPr>
          <w:p>
            <w:pPr>
              <w:pStyle w:val="TableParagraph"/>
              <w:spacing w:line="424" w:lineRule="exact"/>
              <w:ind w:left="107"/>
              <w:rPr>
                <w:sz w:val="38"/>
              </w:rPr>
            </w:pPr>
            <w:r>
              <w:rPr>
                <w:sz w:val="38"/>
              </w:rPr>
              <w:t>For special circum-</w:t>
            </w:r>
          </w:p>
        </w:tc>
        <w:tc>
          <w:tcPr>
            <w:tcW w:w="3684" w:type="dxa"/>
          </w:tcPr>
          <w:p>
            <w:pPr>
              <w:pStyle w:val="TableParagraph"/>
              <w:spacing w:line="424" w:lineRule="exact"/>
              <w:ind w:left="107"/>
              <w:rPr>
                <w:sz w:val="38"/>
              </w:rPr>
            </w:pPr>
            <w:r>
              <w:rPr>
                <w:sz w:val="38"/>
              </w:rPr>
              <w:t>1000-3000 mg/day</w:t>
            </w:r>
          </w:p>
        </w:tc>
      </w:tr>
    </w:tbl>
    <w:p>
      <w:pPr>
        <w:spacing w:after="0" w:line="424" w:lineRule="exact"/>
        <w:rPr>
          <w:sz w:val="38"/>
        </w:rPr>
        <w:sectPr>
          <w:footerReference w:type="default" r:id="rId217"/>
          <w:pgSz w:w="14270" w:h="16850"/>
          <w:pgMar w:footer="404" w:header="0" w:top="1600" w:bottom="600" w:left="800" w:right="1280"/>
          <w:pgNumType w:start="920"/>
        </w:sectPr>
      </w:pPr>
    </w:p>
    <w:p>
      <w:pPr>
        <w:pStyle w:val="BodyText"/>
        <w:spacing w:before="1"/>
        <w:rPr>
          <w:rFonts w:ascii="Times New Roman"/>
          <w:sz w:val="16"/>
        </w:rPr>
      </w:pPr>
    </w:p>
    <w:tbl>
      <w:tblPr>
        <w:tblW w:w="0" w:type="auto"/>
        <w:jc w:val="left"/>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82"/>
        <w:gridCol w:w="3684"/>
      </w:tblGrid>
      <w:tr>
        <w:trPr>
          <w:trHeight w:val="4545" w:hRule="atLeast"/>
        </w:trPr>
        <w:tc>
          <w:tcPr>
            <w:tcW w:w="3682" w:type="dxa"/>
          </w:tcPr>
          <w:p>
            <w:pPr>
              <w:pStyle w:val="TableParagraph"/>
              <w:spacing w:line="276" w:lineRule="auto"/>
              <w:ind w:left="107" w:right="168"/>
              <w:rPr>
                <w:sz w:val="38"/>
              </w:rPr>
            </w:pPr>
            <w:r>
              <w:rPr>
                <w:sz w:val="38"/>
              </w:rPr>
              <w:t>stances such as preg- nancy, exercise, stress, obesity, primary dis- eases such as heart dis- ease, diabetes, old age, heart, liver, brain and musculature problems, elevated blood lipid levels etc.</w:t>
            </w:r>
          </w:p>
        </w:tc>
        <w:tc>
          <w:tcPr>
            <w:tcW w:w="3684" w:type="dxa"/>
          </w:tcPr>
          <w:p>
            <w:pPr>
              <w:pStyle w:val="TableParagraph"/>
              <w:rPr>
                <w:rFonts w:ascii="Times New Roman"/>
                <w:sz w:val="36"/>
              </w:rPr>
            </w:pPr>
          </w:p>
        </w:tc>
      </w:tr>
      <w:tr>
        <w:trPr>
          <w:trHeight w:val="5649" w:hRule="atLeast"/>
        </w:trPr>
        <w:tc>
          <w:tcPr>
            <w:tcW w:w="3682" w:type="dxa"/>
          </w:tcPr>
          <w:p>
            <w:pPr>
              <w:pStyle w:val="TableParagraph"/>
              <w:spacing w:line="276" w:lineRule="auto"/>
              <w:ind w:left="107" w:right="113"/>
              <w:rPr>
                <w:sz w:val="38"/>
              </w:rPr>
            </w:pPr>
            <w:r>
              <w:rPr>
                <w:sz w:val="38"/>
              </w:rPr>
              <w:t>Extreme endurance ex- ercise (such as triath- lon), severe illnesses such as sepsis, heart at- tack, AIDS, Alzhei- mer's, cancer, chemo- therapy, epilepsy, tu- berculosis etc.</w:t>
            </w:r>
          </w:p>
          <w:p>
            <w:pPr>
              <w:pStyle w:val="TableParagraph"/>
              <w:spacing w:line="276" w:lineRule="auto" w:before="117"/>
              <w:ind w:left="107" w:right="129"/>
              <w:rPr>
                <w:sz w:val="38"/>
              </w:rPr>
            </w:pPr>
            <w:r>
              <w:rPr>
                <w:sz w:val="38"/>
              </w:rPr>
              <w:t>To support the therapy of diseases, e.g. of the heart</w:t>
            </w:r>
          </w:p>
        </w:tc>
        <w:tc>
          <w:tcPr>
            <w:tcW w:w="3684" w:type="dxa"/>
          </w:tcPr>
          <w:p>
            <w:pPr>
              <w:pStyle w:val="TableParagraph"/>
              <w:spacing w:line="424" w:lineRule="exact"/>
              <w:ind w:left="107"/>
              <w:rPr>
                <w:sz w:val="38"/>
              </w:rPr>
            </w:pPr>
            <w:r>
              <w:rPr>
                <w:sz w:val="38"/>
              </w:rPr>
              <w:t>3000-6000 mg/day</w:t>
            </w:r>
          </w:p>
        </w:tc>
      </w:tr>
    </w:tbl>
    <w:p>
      <w:pPr>
        <w:spacing w:after="0" w:line="424" w:lineRule="exact"/>
        <w:rPr>
          <w:sz w:val="38"/>
        </w:rPr>
        <w:sectPr>
          <w:pgSz w:w="14270" w:h="16850"/>
          <w:pgMar w:header="0" w:footer="404" w:top="1600" w:bottom="600" w:left="800" w:right="1280"/>
        </w:sectPr>
      </w:pPr>
    </w:p>
    <w:p>
      <w:pPr>
        <w:pStyle w:val="Heading1"/>
        <w:spacing w:before="164"/>
      </w:pPr>
      <w:r>
        <w:rPr/>
        <w:t>Side effects of L-carnitine</w:t>
      </w:r>
    </w:p>
    <w:p>
      <w:pPr>
        <w:spacing w:before="282"/>
        <w:ind w:left="477" w:right="0" w:firstLine="0"/>
        <w:jc w:val="left"/>
        <w:rPr>
          <w:b/>
          <w:i/>
          <w:sz w:val="40"/>
        </w:rPr>
      </w:pPr>
      <w:r>
        <w:rPr>
          <w:b/>
          <w:i/>
          <w:sz w:val="40"/>
        </w:rPr>
        <w:t>Does L-carnitine cause any side effects or interactions?</w:t>
      </w:r>
    </w:p>
    <w:p>
      <w:pPr>
        <w:pStyle w:val="BodyText"/>
        <w:spacing w:line="276" w:lineRule="auto" w:before="299"/>
        <w:ind w:left="477" w:right="136"/>
        <w:jc w:val="both"/>
      </w:pPr>
      <w:r>
        <w:rPr/>
        <w:t>Officially, L-carnitine is legally considered a dietary supplement when taken in doses</w:t>
      </w:r>
      <w:r>
        <w:rPr>
          <w:spacing w:val="-13"/>
        </w:rPr>
        <w:t> </w:t>
      </w:r>
      <w:r>
        <w:rPr/>
        <w:t>up</w:t>
      </w:r>
      <w:r>
        <w:rPr>
          <w:spacing w:val="-13"/>
        </w:rPr>
        <w:t> </w:t>
      </w:r>
      <w:r>
        <w:rPr/>
        <w:t>to</w:t>
      </w:r>
      <w:r>
        <w:rPr>
          <w:spacing w:val="-13"/>
        </w:rPr>
        <w:t> </w:t>
      </w:r>
      <w:r>
        <w:rPr/>
        <w:t>1000</w:t>
      </w:r>
      <w:r>
        <w:rPr>
          <w:spacing w:val="-14"/>
        </w:rPr>
        <w:t> </w:t>
      </w:r>
      <w:r>
        <w:rPr/>
        <w:t>mg</w:t>
      </w:r>
      <w:r>
        <w:rPr>
          <w:i/>
        </w:rPr>
        <w:t>.</w:t>
      </w:r>
      <w:r>
        <w:rPr>
          <w:i/>
          <w:spacing w:val="-12"/>
        </w:rPr>
        <w:t> </w:t>
      </w:r>
      <w:r>
        <w:rPr/>
        <w:t>In</w:t>
      </w:r>
      <w:r>
        <w:rPr>
          <w:spacing w:val="-13"/>
        </w:rPr>
        <w:t> </w:t>
      </w:r>
      <w:r>
        <w:rPr/>
        <w:t>quantities</w:t>
      </w:r>
      <w:r>
        <w:rPr>
          <w:spacing w:val="-13"/>
        </w:rPr>
        <w:t> </w:t>
      </w:r>
      <w:r>
        <w:rPr/>
        <w:t>over</w:t>
      </w:r>
      <w:r>
        <w:rPr>
          <w:spacing w:val="-12"/>
        </w:rPr>
        <w:t> </w:t>
      </w:r>
      <w:r>
        <w:rPr/>
        <w:t>1000</w:t>
      </w:r>
      <w:r>
        <w:rPr>
          <w:spacing w:val="-14"/>
        </w:rPr>
        <w:t> </w:t>
      </w:r>
      <w:r>
        <w:rPr/>
        <w:t>mg,</w:t>
      </w:r>
      <w:r>
        <w:rPr>
          <w:spacing w:val="-12"/>
        </w:rPr>
        <w:t> </w:t>
      </w:r>
      <w:r>
        <w:rPr/>
        <w:t>L-carnitine</w:t>
      </w:r>
      <w:r>
        <w:rPr>
          <w:spacing w:val="-13"/>
        </w:rPr>
        <w:t> </w:t>
      </w:r>
      <w:r>
        <w:rPr/>
        <w:t>is</w:t>
      </w:r>
      <w:r>
        <w:rPr>
          <w:spacing w:val="-14"/>
        </w:rPr>
        <w:t> </w:t>
      </w:r>
      <w:r>
        <w:rPr/>
        <w:t>legally</w:t>
      </w:r>
      <w:r>
        <w:rPr>
          <w:spacing w:val="-14"/>
        </w:rPr>
        <w:t> </w:t>
      </w:r>
      <w:r>
        <w:rPr/>
        <w:t>classified as a</w:t>
      </w:r>
      <w:r>
        <w:rPr>
          <w:spacing w:val="-2"/>
        </w:rPr>
        <w:t> </w:t>
      </w:r>
      <w:r>
        <w:rPr/>
        <w:t>drug.</w:t>
      </w:r>
    </w:p>
    <w:p>
      <w:pPr>
        <w:pStyle w:val="BodyText"/>
        <w:spacing w:line="276" w:lineRule="auto" w:before="240"/>
        <w:ind w:left="477" w:right="134"/>
        <w:jc w:val="both"/>
      </w:pPr>
      <w:r>
        <w:rPr/>
        <w:t>What</w:t>
      </w:r>
      <w:r>
        <w:rPr>
          <w:spacing w:val="-17"/>
        </w:rPr>
        <w:t> </w:t>
      </w:r>
      <w:r>
        <w:rPr/>
        <w:t>does</w:t>
      </w:r>
      <w:r>
        <w:rPr>
          <w:spacing w:val="-15"/>
        </w:rPr>
        <w:t> </w:t>
      </w:r>
      <w:r>
        <w:rPr/>
        <w:t>this</w:t>
      </w:r>
      <w:r>
        <w:rPr>
          <w:spacing w:val="-14"/>
        </w:rPr>
        <w:t> </w:t>
      </w:r>
      <w:r>
        <w:rPr/>
        <w:t>mean</w:t>
      </w:r>
      <w:r>
        <w:rPr>
          <w:spacing w:val="-15"/>
        </w:rPr>
        <w:t> </w:t>
      </w:r>
      <w:r>
        <w:rPr/>
        <w:t>in</w:t>
      </w:r>
      <w:r>
        <w:rPr>
          <w:spacing w:val="-15"/>
        </w:rPr>
        <w:t> </w:t>
      </w:r>
      <w:r>
        <w:rPr/>
        <w:t>concrete</w:t>
      </w:r>
      <w:r>
        <w:rPr>
          <w:spacing w:val="-16"/>
        </w:rPr>
        <w:t> </w:t>
      </w:r>
      <w:r>
        <w:rPr/>
        <w:t>terms?</w:t>
      </w:r>
      <w:r>
        <w:rPr>
          <w:spacing w:val="-15"/>
        </w:rPr>
        <w:t> </w:t>
      </w:r>
      <w:r>
        <w:rPr/>
        <w:t>Is</w:t>
      </w:r>
      <w:r>
        <w:rPr>
          <w:spacing w:val="-15"/>
        </w:rPr>
        <w:t> </w:t>
      </w:r>
      <w:r>
        <w:rPr/>
        <w:t>L-carnitine</w:t>
      </w:r>
      <w:r>
        <w:rPr>
          <w:spacing w:val="-15"/>
        </w:rPr>
        <w:t> </w:t>
      </w:r>
      <w:r>
        <w:rPr/>
        <w:t>harmful</w:t>
      </w:r>
      <w:r>
        <w:rPr>
          <w:spacing w:val="-17"/>
        </w:rPr>
        <w:t> </w:t>
      </w:r>
      <w:r>
        <w:rPr/>
        <w:t>beyond</w:t>
      </w:r>
      <w:r>
        <w:rPr>
          <w:spacing w:val="-15"/>
        </w:rPr>
        <w:t> </w:t>
      </w:r>
      <w:r>
        <w:rPr/>
        <w:t>a</w:t>
      </w:r>
      <w:r>
        <w:rPr>
          <w:spacing w:val="-17"/>
        </w:rPr>
        <w:t> </w:t>
      </w:r>
      <w:r>
        <w:rPr/>
        <w:t>certain intake? Does it lead to unexpected side</w:t>
      </w:r>
      <w:r>
        <w:rPr>
          <w:spacing w:val="3"/>
        </w:rPr>
        <w:t> </w:t>
      </w:r>
      <w:r>
        <w:rPr/>
        <w:t>effects?</w:t>
      </w:r>
    </w:p>
    <w:p>
      <w:pPr>
        <w:pStyle w:val="BodyText"/>
        <w:spacing w:line="276" w:lineRule="auto" w:before="240"/>
        <w:ind w:left="477" w:right="130"/>
        <w:jc w:val="both"/>
      </w:pPr>
      <w:r>
        <w:rPr/>
        <w:t>Basically, this only means that over 1000 mg/day of L-carnitine can be thera- peutically effective, i.e. it can help with diseases. Here, L-carnitine behaves like a</w:t>
      </w:r>
      <w:r>
        <w:rPr>
          <w:spacing w:val="-10"/>
        </w:rPr>
        <w:t> </w:t>
      </w:r>
      <w:r>
        <w:rPr/>
        <w:t>drug,</w:t>
      </w:r>
      <w:r>
        <w:rPr>
          <w:spacing w:val="-9"/>
        </w:rPr>
        <w:t> </w:t>
      </w:r>
      <w:r>
        <w:rPr/>
        <w:t>but</w:t>
      </w:r>
      <w:r>
        <w:rPr>
          <w:spacing w:val="-9"/>
        </w:rPr>
        <w:t> </w:t>
      </w:r>
      <w:r>
        <w:rPr/>
        <w:t>without</w:t>
      </w:r>
      <w:r>
        <w:rPr>
          <w:spacing w:val="-11"/>
        </w:rPr>
        <w:t> </w:t>
      </w:r>
      <w:r>
        <w:rPr/>
        <w:t>the</w:t>
      </w:r>
      <w:r>
        <w:rPr>
          <w:spacing w:val="-8"/>
        </w:rPr>
        <w:t> </w:t>
      </w:r>
      <w:r>
        <w:rPr/>
        <w:t>unwanted</w:t>
      </w:r>
      <w:r>
        <w:rPr>
          <w:spacing w:val="-9"/>
        </w:rPr>
        <w:t> </w:t>
      </w:r>
      <w:r>
        <w:rPr/>
        <w:t>side</w:t>
      </w:r>
      <w:r>
        <w:rPr>
          <w:spacing w:val="-8"/>
        </w:rPr>
        <w:t> </w:t>
      </w:r>
      <w:r>
        <w:rPr/>
        <w:t>effects</w:t>
      </w:r>
      <w:r>
        <w:rPr>
          <w:spacing w:val="-11"/>
        </w:rPr>
        <w:t> </w:t>
      </w:r>
      <w:r>
        <w:rPr/>
        <w:t>of</w:t>
      </w:r>
      <w:r>
        <w:rPr>
          <w:spacing w:val="-10"/>
        </w:rPr>
        <w:t> </w:t>
      </w:r>
      <w:r>
        <w:rPr/>
        <w:t>medications.</w:t>
      </w:r>
      <w:r>
        <w:rPr>
          <w:spacing w:val="-8"/>
        </w:rPr>
        <w:t> </w:t>
      </w:r>
      <w:r>
        <w:rPr/>
        <w:t>L-carnitine,</w:t>
      </w:r>
      <w:r>
        <w:rPr>
          <w:spacing w:val="-8"/>
        </w:rPr>
        <w:t> </w:t>
      </w:r>
      <w:r>
        <w:rPr/>
        <w:t>espe- cially in people under severe stress, can trigger the previously mentioned</w:t>
      </w:r>
      <w:r>
        <w:rPr>
          <w:spacing w:val="-46"/>
        </w:rPr>
        <w:t> </w:t>
      </w:r>
      <w:r>
        <w:rPr/>
        <w:t>Herx- heimer reaction in higher doses. This is when too many toxic substances are released at once in the body and transported out of the body via the excretory organs,</w:t>
      </w:r>
      <w:r>
        <w:rPr>
          <w:spacing w:val="-9"/>
        </w:rPr>
        <w:t> </w:t>
      </w:r>
      <w:r>
        <w:rPr/>
        <w:t>or</w:t>
      </w:r>
      <w:r>
        <w:rPr>
          <w:spacing w:val="-9"/>
        </w:rPr>
        <w:t> </w:t>
      </w:r>
      <w:r>
        <w:rPr/>
        <w:t>when</w:t>
      </w:r>
      <w:r>
        <w:rPr>
          <w:spacing w:val="-11"/>
        </w:rPr>
        <w:t> </w:t>
      </w:r>
      <w:r>
        <w:rPr/>
        <w:t>parasites</w:t>
      </w:r>
      <w:r>
        <w:rPr>
          <w:spacing w:val="-9"/>
        </w:rPr>
        <w:t> </w:t>
      </w:r>
      <w:r>
        <w:rPr/>
        <w:t>are</w:t>
      </w:r>
      <w:r>
        <w:rPr>
          <w:spacing w:val="-9"/>
        </w:rPr>
        <w:t> </w:t>
      </w:r>
      <w:r>
        <w:rPr/>
        <w:t>suddenly</w:t>
      </w:r>
      <w:r>
        <w:rPr>
          <w:spacing w:val="-8"/>
        </w:rPr>
        <w:t> </w:t>
      </w:r>
      <w:r>
        <w:rPr/>
        <w:t>killed</w:t>
      </w:r>
      <w:r>
        <w:rPr>
          <w:spacing w:val="-9"/>
        </w:rPr>
        <w:t> </w:t>
      </w:r>
      <w:r>
        <w:rPr/>
        <w:t>in</w:t>
      </w:r>
      <w:r>
        <w:rPr>
          <w:spacing w:val="-9"/>
        </w:rPr>
        <w:t> </w:t>
      </w:r>
      <w:r>
        <w:rPr/>
        <w:t>the</w:t>
      </w:r>
      <w:r>
        <w:rPr>
          <w:spacing w:val="-8"/>
        </w:rPr>
        <w:t> </w:t>
      </w:r>
      <w:r>
        <w:rPr/>
        <w:t>body</w:t>
      </w:r>
      <w:r>
        <w:rPr>
          <w:spacing w:val="-9"/>
        </w:rPr>
        <w:t> </w:t>
      </w:r>
      <w:r>
        <w:rPr/>
        <w:t>and</w:t>
      </w:r>
      <w:r>
        <w:rPr>
          <w:spacing w:val="-9"/>
        </w:rPr>
        <w:t> </w:t>
      </w:r>
      <w:r>
        <w:rPr/>
        <w:t>secrete</w:t>
      </w:r>
      <w:r>
        <w:rPr>
          <w:spacing w:val="-9"/>
        </w:rPr>
        <w:t> </w:t>
      </w:r>
      <w:r>
        <w:rPr/>
        <w:t>poisons</w:t>
      </w:r>
      <w:r>
        <w:rPr>
          <w:spacing w:val="-8"/>
        </w:rPr>
        <w:t> </w:t>
      </w:r>
      <w:r>
        <w:rPr/>
        <w:t>in this</w:t>
      </w:r>
      <w:r>
        <w:rPr>
          <w:spacing w:val="-8"/>
        </w:rPr>
        <w:t> </w:t>
      </w:r>
      <w:r>
        <w:rPr/>
        <w:t>mass</w:t>
      </w:r>
      <w:r>
        <w:rPr>
          <w:spacing w:val="-8"/>
        </w:rPr>
        <w:t> </w:t>
      </w:r>
      <w:r>
        <w:rPr/>
        <w:t>extinction.</w:t>
      </w:r>
      <w:r>
        <w:rPr>
          <w:spacing w:val="-7"/>
        </w:rPr>
        <w:t> </w:t>
      </w:r>
      <w:r>
        <w:rPr/>
        <w:t>This</w:t>
      </w:r>
      <w:r>
        <w:rPr>
          <w:spacing w:val="-8"/>
        </w:rPr>
        <w:t> </w:t>
      </w:r>
      <w:r>
        <w:rPr/>
        <w:t>can</w:t>
      </w:r>
      <w:r>
        <w:rPr>
          <w:spacing w:val="-7"/>
        </w:rPr>
        <w:t> </w:t>
      </w:r>
      <w:r>
        <w:rPr/>
        <w:t>temporarily</w:t>
      </w:r>
      <w:r>
        <w:rPr>
          <w:spacing w:val="-9"/>
        </w:rPr>
        <w:t> </w:t>
      </w:r>
      <w:r>
        <w:rPr/>
        <w:t>lead</w:t>
      </w:r>
      <w:r>
        <w:rPr>
          <w:spacing w:val="-9"/>
        </w:rPr>
        <w:t> </w:t>
      </w:r>
      <w:r>
        <w:rPr/>
        <w:t>to</w:t>
      </w:r>
      <w:r>
        <w:rPr>
          <w:spacing w:val="-9"/>
        </w:rPr>
        <w:t> </w:t>
      </w:r>
      <w:r>
        <w:rPr/>
        <w:t>discomfort</w:t>
      </w:r>
      <w:r>
        <w:rPr>
          <w:spacing w:val="-8"/>
        </w:rPr>
        <w:t> </w:t>
      </w:r>
      <w:r>
        <w:rPr/>
        <w:t>and</w:t>
      </w:r>
      <w:r>
        <w:rPr>
          <w:spacing w:val="-8"/>
        </w:rPr>
        <w:t> </w:t>
      </w:r>
      <w:r>
        <w:rPr/>
        <w:t>inflammatory processes. It therefore makes sense to start with small doses of L-carnitine if one intends to use larger doses of L-carnitine but has doubts. Furthermore, diarrhoea, sleepiness and body tremors after high doses have been observed in very rare cases. The latter is mostly due to surplus energy suppliers which carry the fatty acids into the mitochondria with the help of L-carnitine but which</w:t>
      </w:r>
      <w:r>
        <w:rPr>
          <w:spacing w:val="-55"/>
        </w:rPr>
        <w:t> </w:t>
      </w:r>
      <w:r>
        <w:rPr/>
        <w:t>are not degraded by physical activities. Rarely, there is a temporary nausea. Here,</w:t>
      </w:r>
      <w:r>
        <w:rPr>
          <w:spacing w:val="-53"/>
        </w:rPr>
        <w:t> </w:t>
      </w:r>
      <w:r>
        <w:rPr/>
        <w:t>it is</w:t>
      </w:r>
      <w:r>
        <w:rPr>
          <w:spacing w:val="14"/>
        </w:rPr>
        <w:t> </w:t>
      </w:r>
      <w:r>
        <w:rPr/>
        <w:t>advisable</w:t>
      </w:r>
      <w:r>
        <w:rPr>
          <w:spacing w:val="14"/>
        </w:rPr>
        <w:t> </w:t>
      </w:r>
      <w:r>
        <w:rPr/>
        <w:t>to</w:t>
      </w:r>
      <w:r>
        <w:rPr>
          <w:spacing w:val="13"/>
        </w:rPr>
        <w:t> </w:t>
      </w:r>
      <w:r>
        <w:rPr/>
        <w:t>drink</w:t>
      </w:r>
      <w:r>
        <w:rPr>
          <w:spacing w:val="14"/>
        </w:rPr>
        <w:t> </w:t>
      </w:r>
      <w:r>
        <w:rPr/>
        <w:t>plenty</w:t>
      </w:r>
      <w:r>
        <w:rPr>
          <w:spacing w:val="12"/>
        </w:rPr>
        <w:t> </w:t>
      </w:r>
      <w:r>
        <w:rPr/>
        <w:t>of</w:t>
      </w:r>
      <w:r>
        <w:rPr>
          <w:spacing w:val="13"/>
        </w:rPr>
        <w:t> </w:t>
      </w:r>
      <w:r>
        <w:rPr/>
        <w:t>still</w:t>
      </w:r>
      <w:r>
        <w:rPr>
          <w:spacing w:val="13"/>
        </w:rPr>
        <w:t> </w:t>
      </w:r>
      <w:r>
        <w:rPr/>
        <w:t>water</w:t>
      </w:r>
      <w:r>
        <w:rPr>
          <w:spacing w:val="15"/>
        </w:rPr>
        <w:t> </w:t>
      </w:r>
      <w:r>
        <w:rPr/>
        <w:t>to</w:t>
      </w:r>
      <w:r>
        <w:rPr>
          <w:spacing w:val="16"/>
        </w:rPr>
        <w:t> </w:t>
      </w:r>
      <w:r>
        <w:rPr/>
        <w:t>flush</w:t>
      </w:r>
      <w:r>
        <w:rPr>
          <w:spacing w:val="14"/>
        </w:rPr>
        <w:t> </w:t>
      </w:r>
      <w:r>
        <w:rPr/>
        <w:t>out</w:t>
      </w:r>
      <w:r>
        <w:rPr>
          <w:spacing w:val="14"/>
        </w:rPr>
        <w:t> </w:t>
      </w:r>
      <w:r>
        <w:rPr/>
        <w:t>the</w:t>
      </w:r>
      <w:r>
        <w:rPr>
          <w:spacing w:val="13"/>
        </w:rPr>
        <w:t> </w:t>
      </w:r>
      <w:r>
        <w:rPr/>
        <w:t>excess</w:t>
      </w:r>
      <w:r>
        <w:rPr>
          <w:spacing w:val="11"/>
        </w:rPr>
        <w:t> </w:t>
      </w:r>
      <w:r>
        <w:rPr/>
        <w:t>of</w:t>
      </w:r>
      <w:r>
        <w:rPr>
          <w:spacing w:val="15"/>
        </w:rPr>
        <w:t> </w:t>
      </w:r>
      <w:r>
        <w:rPr/>
        <w:t>L-carnitine</w:t>
      </w:r>
    </w:p>
    <w:p>
      <w:pPr>
        <w:spacing w:after="0" w:line="276" w:lineRule="auto"/>
        <w:jc w:val="both"/>
        <w:sectPr>
          <w:pgSz w:w="14270" w:h="16850"/>
          <w:pgMar w:header="0" w:footer="404" w:top="1600" w:bottom="600" w:left="800" w:right="1280"/>
        </w:sectPr>
      </w:pPr>
    </w:p>
    <w:p>
      <w:pPr>
        <w:pStyle w:val="BodyText"/>
        <w:spacing w:before="181"/>
        <w:ind w:left="477"/>
      </w:pPr>
      <w:r>
        <w:rPr/>
        <w:t>in the urine and start taking smaller amounts again later.</w:t>
      </w:r>
    </w:p>
    <w:p>
      <w:pPr>
        <w:pStyle w:val="Heading1"/>
        <w:spacing w:before="288"/>
      </w:pPr>
      <w:r>
        <w:rPr/>
        <w:t>What are considered to be high doses of L-carnitine?</w:t>
      </w:r>
    </w:p>
    <w:p>
      <w:pPr>
        <w:pStyle w:val="BodyText"/>
        <w:spacing w:line="276" w:lineRule="auto" w:before="299"/>
        <w:ind w:left="477" w:right="133"/>
        <w:jc w:val="both"/>
      </w:pPr>
      <w:r>
        <w:rPr/>
        <w:t>This is relative. There are professional athletes who consume 10,000 mg L-car- nitine/day in training and before competitions, without even coming close to experiencing side effects. As a guide, it may be interesting to know that the US Food and Drug Administration (FDA) considers 15,000 mg L-carnitine a day safe.</w:t>
      </w:r>
      <w:r>
        <w:rPr>
          <w:position w:val="9"/>
          <w:sz w:val="25"/>
        </w:rPr>
        <w:t>500</w:t>
      </w:r>
      <w:r>
        <w:rPr>
          <w:spacing w:val="29"/>
          <w:position w:val="9"/>
          <w:sz w:val="25"/>
        </w:rPr>
        <w:t> </w:t>
      </w:r>
      <w:r>
        <w:rPr/>
        <w:t>In</w:t>
      </w:r>
      <w:r>
        <w:rPr>
          <w:spacing w:val="-22"/>
        </w:rPr>
        <w:t> </w:t>
      </w:r>
      <w:r>
        <w:rPr/>
        <w:t>the</w:t>
      </w:r>
      <w:r>
        <w:rPr>
          <w:spacing w:val="-25"/>
        </w:rPr>
        <w:t> </w:t>
      </w:r>
      <w:r>
        <w:rPr/>
        <w:t>presence</w:t>
      </w:r>
      <w:r>
        <w:rPr>
          <w:spacing w:val="-23"/>
        </w:rPr>
        <w:t> </w:t>
      </w:r>
      <w:r>
        <w:rPr/>
        <w:t>of</w:t>
      </w:r>
      <w:r>
        <w:rPr>
          <w:spacing w:val="-23"/>
        </w:rPr>
        <w:t> </w:t>
      </w:r>
      <w:r>
        <w:rPr/>
        <w:t>therapeutic</w:t>
      </w:r>
      <w:r>
        <w:rPr>
          <w:spacing w:val="-24"/>
        </w:rPr>
        <w:t> </w:t>
      </w:r>
      <w:r>
        <w:rPr/>
        <w:t>amounts</w:t>
      </w:r>
      <w:r>
        <w:rPr>
          <w:spacing w:val="-23"/>
        </w:rPr>
        <w:t> </w:t>
      </w:r>
      <w:r>
        <w:rPr/>
        <w:t>of</w:t>
      </w:r>
      <w:r>
        <w:rPr>
          <w:spacing w:val="-22"/>
        </w:rPr>
        <w:t> </w:t>
      </w:r>
      <w:r>
        <w:rPr/>
        <w:t>L-carnitine</w:t>
      </w:r>
      <w:r>
        <w:rPr>
          <w:spacing w:val="-24"/>
        </w:rPr>
        <w:t> </w:t>
      </w:r>
      <w:r>
        <w:rPr/>
        <w:t>(&lt;1000</w:t>
      </w:r>
      <w:r>
        <w:rPr>
          <w:spacing w:val="-24"/>
        </w:rPr>
        <w:t> </w:t>
      </w:r>
      <w:r>
        <w:rPr/>
        <w:t>mg</w:t>
      </w:r>
      <w:r>
        <w:rPr>
          <w:spacing w:val="-23"/>
        </w:rPr>
        <w:t> </w:t>
      </w:r>
      <w:r>
        <w:rPr/>
        <w:t>/</w:t>
      </w:r>
      <w:r>
        <w:rPr>
          <w:spacing w:val="-24"/>
        </w:rPr>
        <w:t> </w:t>
      </w:r>
      <w:r>
        <w:rPr/>
        <w:t>day), you should consult a knowledgeable physician (naturopath, complementary physician) or alternative practitioner.</w:t>
      </w:r>
    </w:p>
    <w:p>
      <w:pPr>
        <w:pStyle w:val="Heading2"/>
        <w:spacing w:before="241"/>
      </w:pPr>
      <w:r>
        <w:rPr/>
        <w:t>Are there any known interactions with L-carnitine?</w:t>
      </w:r>
    </w:p>
    <w:p>
      <w:pPr>
        <w:pStyle w:val="BodyText"/>
        <w:spacing w:line="276" w:lineRule="auto" w:before="304"/>
        <w:ind w:left="477" w:right="133"/>
        <w:jc w:val="both"/>
      </w:pPr>
      <w:r>
        <w:rPr/>
        <w:t>So far, no interactions of L-carnitine with any drugs have been reported – de- spite</w:t>
      </w:r>
      <w:r>
        <w:rPr>
          <w:spacing w:val="-9"/>
        </w:rPr>
        <w:t> </w:t>
      </w:r>
      <w:r>
        <w:rPr/>
        <w:t>L-carnitine</w:t>
      </w:r>
      <w:r>
        <w:rPr>
          <w:spacing w:val="-4"/>
        </w:rPr>
        <w:t> </w:t>
      </w:r>
      <w:r>
        <w:rPr/>
        <w:t>being</w:t>
      </w:r>
      <w:r>
        <w:rPr>
          <w:spacing w:val="-6"/>
        </w:rPr>
        <w:t> </w:t>
      </w:r>
      <w:r>
        <w:rPr/>
        <w:t>taken</w:t>
      </w:r>
      <w:r>
        <w:rPr>
          <w:spacing w:val="-7"/>
        </w:rPr>
        <w:t> </w:t>
      </w:r>
      <w:r>
        <w:rPr/>
        <w:t>daily</w:t>
      </w:r>
      <w:r>
        <w:rPr>
          <w:spacing w:val="-8"/>
        </w:rPr>
        <w:t> </w:t>
      </w:r>
      <w:r>
        <w:rPr/>
        <w:t>by</w:t>
      </w:r>
      <w:r>
        <w:rPr>
          <w:spacing w:val="-6"/>
        </w:rPr>
        <w:t> </w:t>
      </w:r>
      <w:r>
        <w:rPr/>
        <w:t>millions</w:t>
      </w:r>
      <w:r>
        <w:rPr>
          <w:spacing w:val="-9"/>
        </w:rPr>
        <w:t> </w:t>
      </w:r>
      <w:r>
        <w:rPr/>
        <w:t>of</w:t>
      </w:r>
      <w:r>
        <w:rPr>
          <w:spacing w:val="-9"/>
        </w:rPr>
        <w:t> </w:t>
      </w:r>
      <w:r>
        <w:rPr/>
        <w:t>people</w:t>
      </w:r>
      <w:r>
        <w:rPr>
          <w:spacing w:val="-7"/>
        </w:rPr>
        <w:t> </w:t>
      </w:r>
      <w:r>
        <w:rPr/>
        <w:t>around</w:t>
      </w:r>
      <w:r>
        <w:rPr>
          <w:spacing w:val="-8"/>
        </w:rPr>
        <w:t> </w:t>
      </w:r>
      <w:r>
        <w:rPr/>
        <w:t>the</w:t>
      </w:r>
      <w:r>
        <w:rPr>
          <w:spacing w:val="-6"/>
        </w:rPr>
        <w:t> </w:t>
      </w:r>
      <w:r>
        <w:rPr/>
        <w:t>world</w:t>
      </w:r>
      <w:r>
        <w:rPr>
          <w:spacing w:val="-6"/>
        </w:rPr>
        <w:t> </w:t>
      </w:r>
      <w:r>
        <w:rPr/>
        <w:t>since the</w:t>
      </w:r>
      <w:r>
        <w:rPr>
          <w:spacing w:val="1"/>
        </w:rPr>
        <w:t> </w:t>
      </w:r>
      <w:r>
        <w:rPr/>
        <w:t>1980s.</w:t>
      </w:r>
    </w:p>
    <w:p>
      <w:pPr>
        <w:pStyle w:val="Heading1"/>
        <w:spacing w:before="342"/>
      </w:pPr>
      <w:r>
        <w:rPr/>
        <w:t>Is L-carnitine safe during pregnancy?</w:t>
      </w:r>
    </w:p>
    <w:p>
      <w:pPr>
        <w:pStyle w:val="BodyText"/>
        <w:spacing w:line="276" w:lineRule="auto" w:before="299"/>
        <w:ind w:left="477" w:right="135"/>
        <w:jc w:val="both"/>
      </w:pPr>
      <w:r>
        <w:rPr/>
        <w:t>As we read in the section ‘L-carnitine and pregnancy’ in detail, L-carnitine is even recommended during pregnancy in order to protect the mother from L- carnitine deficiency and to give the child an important nutrient for its growth.</w:t>
      </w:r>
    </w:p>
    <w:p>
      <w:pPr>
        <w:spacing w:before="242"/>
        <w:ind w:left="477" w:right="0" w:firstLine="0"/>
        <w:jc w:val="both"/>
        <w:rPr>
          <w:i/>
          <w:sz w:val="38"/>
        </w:rPr>
      </w:pPr>
      <w:r>
        <w:rPr>
          <w:sz w:val="38"/>
        </w:rPr>
        <w:t>‘</w:t>
      </w:r>
      <w:r>
        <w:rPr>
          <w:i/>
          <w:sz w:val="38"/>
        </w:rPr>
        <w:t>Because L-carnitine is an endogenous substance, there are no expected complications during</w:t>
      </w:r>
    </w:p>
    <w:p>
      <w:pPr>
        <w:pStyle w:val="BodyText"/>
        <w:rPr>
          <w:i/>
          <w:sz w:val="20"/>
        </w:rPr>
      </w:pPr>
    </w:p>
    <w:p>
      <w:pPr>
        <w:pStyle w:val="BodyText"/>
        <w:rPr>
          <w:i/>
          <w:sz w:val="20"/>
        </w:rPr>
      </w:pPr>
    </w:p>
    <w:p>
      <w:pPr>
        <w:pStyle w:val="BodyText"/>
        <w:spacing w:before="5"/>
        <w:rPr>
          <w:i/>
          <w:sz w:val="28"/>
        </w:rPr>
      </w:pPr>
      <w:r>
        <w:rPr/>
        <w:pict>
          <v:line style="position:absolute;mso-position-horizontal-relative:page;mso-position-vertical-relative:paragraph;z-index:6368;mso-wrap-distance-left:0;mso-wrap-distance-right:0" from="63.863998pt,18.358734pt" to="207.883998pt,18.358734pt" stroked="true" strokeweight=".72003pt" strokecolor="#000000">
            <v:stroke dashstyle="solid"/>
            <w10:wrap type="topAndBottom"/>
          </v:line>
        </w:pict>
      </w:r>
    </w:p>
    <w:p>
      <w:pPr>
        <w:pStyle w:val="BodyText"/>
        <w:spacing w:before="7"/>
        <w:rPr>
          <w:i/>
          <w:sz w:val="18"/>
        </w:rPr>
      </w:pPr>
    </w:p>
    <w:p>
      <w:pPr>
        <w:spacing w:line="276" w:lineRule="auto" w:before="99"/>
        <w:ind w:left="477" w:right="0" w:firstLine="0"/>
        <w:jc w:val="left"/>
        <w:rPr>
          <w:sz w:val="20"/>
        </w:rPr>
      </w:pPr>
      <w:r>
        <w:rPr>
          <w:position w:val="5"/>
          <w:sz w:val="13"/>
        </w:rPr>
        <w:t>500 </w:t>
      </w:r>
      <w:r>
        <w:rPr>
          <w:sz w:val="20"/>
        </w:rPr>
        <w:t>Walter Lübeck: L-Carnitin – ein Fitmacher ganz besonderer Art, (The History of L-Carnitine, A Special Kind of Fitness Supplement) 2nd Edition 1999, p. 72</w:t>
      </w:r>
    </w:p>
    <w:p>
      <w:pPr>
        <w:spacing w:after="0" w:line="276" w:lineRule="auto"/>
        <w:jc w:val="left"/>
        <w:rPr>
          <w:sz w:val="20"/>
        </w:rPr>
        <w:sectPr>
          <w:pgSz w:w="14270" w:h="16850"/>
          <w:pgMar w:header="0" w:footer="404" w:top="1600" w:bottom="2080" w:left="800" w:right="1280"/>
        </w:sectPr>
      </w:pPr>
    </w:p>
    <w:p>
      <w:pPr>
        <w:spacing w:before="181"/>
        <w:ind w:left="477" w:right="0" w:firstLine="0"/>
        <w:jc w:val="left"/>
        <w:rPr>
          <w:sz w:val="25"/>
        </w:rPr>
      </w:pPr>
      <w:r>
        <w:rPr>
          <w:i/>
          <w:sz w:val="38"/>
        </w:rPr>
        <w:t>pregnancy’.</w:t>
      </w:r>
      <w:r>
        <w:rPr>
          <w:position w:val="9"/>
          <w:sz w:val="25"/>
        </w:rPr>
        <w:t>501</w:t>
      </w: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53"/>
        </w:rPr>
      </w:pPr>
    </w:p>
    <w:p>
      <w:pPr>
        <w:pStyle w:val="ListParagraph"/>
        <w:numPr>
          <w:ilvl w:val="1"/>
          <w:numId w:val="67"/>
        </w:numPr>
        <w:tabs>
          <w:tab w:pos="887" w:val="left" w:leader="none"/>
        </w:tabs>
        <w:spacing w:line="240" w:lineRule="auto" w:before="0" w:after="0"/>
        <w:ind w:left="886" w:right="0" w:hanging="409"/>
        <w:jc w:val="left"/>
        <w:rPr>
          <w:rFonts w:ascii="Cambria"/>
          <w:b/>
          <w:sz w:val="28"/>
        </w:rPr>
      </w:pPr>
      <w:r>
        <w:rPr>
          <w:rFonts w:ascii="Cambria"/>
          <w:b/>
          <w:color w:val="365F91"/>
          <w:sz w:val="28"/>
        </w:rPr>
        <w:t>ARNOSINE</w:t>
      </w:r>
    </w:p>
    <w:p>
      <w:pPr>
        <w:pStyle w:val="BodyText"/>
        <w:rPr>
          <w:rFonts w:ascii="Cambria"/>
          <w:b/>
          <w:sz w:val="32"/>
        </w:rPr>
      </w:pPr>
    </w:p>
    <w:p>
      <w:pPr>
        <w:pStyle w:val="BodyText"/>
        <w:spacing w:before="5"/>
        <w:rPr>
          <w:rFonts w:ascii="Cambria"/>
          <w:b/>
          <w:sz w:val="34"/>
        </w:rPr>
      </w:pPr>
    </w:p>
    <w:p>
      <w:pPr>
        <w:pStyle w:val="Heading2"/>
        <w:spacing w:before="1"/>
      </w:pPr>
      <w:r>
        <w:rPr/>
        <w:t>What is L-carnosine – some</w:t>
      </w:r>
      <w:r>
        <w:rPr>
          <w:spacing w:val="-9"/>
        </w:rPr>
        <w:t> </w:t>
      </w:r>
      <w:r>
        <w:rPr/>
        <w:t>facts</w:t>
      </w:r>
    </w:p>
    <w:p>
      <w:pPr>
        <w:pStyle w:val="BodyText"/>
        <w:spacing w:line="276" w:lineRule="auto" w:before="304"/>
        <w:ind w:left="477" w:right="130"/>
        <w:jc w:val="both"/>
      </w:pPr>
      <w:r>
        <w:rPr/>
        <w:t>L-carnosine</w:t>
      </w:r>
      <w:r>
        <w:rPr>
          <w:spacing w:val="-9"/>
        </w:rPr>
        <w:t> </w:t>
      </w:r>
      <w:r>
        <w:rPr/>
        <w:t>is</w:t>
      </w:r>
      <w:r>
        <w:rPr>
          <w:spacing w:val="-9"/>
        </w:rPr>
        <w:t> </w:t>
      </w:r>
      <w:r>
        <w:rPr/>
        <w:t>a</w:t>
      </w:r>
      <w:r>
        <w:rPr>
          <w:spacing w:val="-13"/>
        </w:rPr>
        <w:t> </w:t>
      </w:r>
      <w:r>
        <w:rPr/>
        <w:t>dipeptide</w:t>
      </w:r>
      <w:r>
        <w:rPr>
          <w:spacing w:val="-10"/>
        </w:rPr>
        <w:t> </w:t>
      </w:r>
      <w:r>
        <w:rPr/>
        <w:t>composed</w:t>
      </w:r>
      <w:r>
        <w:rPr>
          <w:spacing w:val="-9"/>
        </w:rPr>
        <w:t> </w:t>
      </w:r>
      <w:r>
        <w:rPr/>
        <w:t>of</w:t>
      </w:r>
      <w:r>
        <w:rPr>
          <w:spacing w:val="-11"/>
        </w:rPr>
        <w:t> </w:t>
      </w:r>
      <w:r>
        <w:rPr/>
        <w:t>the</w:t>
      </w:r>
      <w:r>
        <w:rPr>
          <w:spacing w:val="-8"/>
        </w:rPr>
        <w:t> </w:t>
      </w:r>
      <w:r>
        <w:rPr/>
        <w:t>chemically</w:t>
      </w:r>
      <w:r>
        <w:rPr>
          <w:spacing w:val="-10"/>
        </w:rPr>
        <w:t> </w:t>
      </w:r>
      <w:r>
        <w:rPr/>
        <w:t>linked</w:t>
      </w:r>
      <w:r>
        <w:rPr>
          <w:spacing w:val="-9"/>
        </w:rPr>
        <w:t> </w:t>
      </w:r>
      <w:r>
        <w:rPr/>
        <w:t>amino</w:t>
      </w:r>
      <w:r>
        <w:rPr>
          <w:spacing w:val="-8"/>
        </w:rPr>
        <w:t> </w:t>
      </w:r>
      <w:r>
        <w:rPr/>
        <w:t>acids</w:t>
      </w:r>
      <w:r>
        <w:rPr>
          <w:spacing w:val="-10"/>
        </w:rPr>
        <w:t> </w:t>
      </w:r>
      <w:r>
        <w:rPr/>
        <w:t>beta- alanine and L-histidine. Because of the pronounced protective effects on our brain, it is also called</w:t>
      </w:r>
      <w:r>
        <w:rPr>
          <w:spacing w:val="5"/>
        </w:rPr>
        <w:t> </w:t>
      </w:r>
      <w:r>
        <w:rPr/>
        <w:t>‘neuropeptide’.</w:t>
      </w:r>
    </w:p>
    <w:p>
      <w:pPr>
        <w:pStyle w:val="BodyText"/>
        <w:spacing w:line="276" w:lineRule="auto" w:before="239"/>
        <w:ind w:left="477" w:right="136"/>
        <w:jc w:val="both"/>
      </w:pPr>
      <w:r>
        <w:rPr/>
        <w:t>A true secret within anti-ageing circles, L-carnosine, which has only recently become available to the masses, is enjoying growing interest.</w:t>
      </w:r>
    </w:p>
    <w:p>
      <w:pPr>
        <w:pStyle w:val="BodyText"/>
        <w:spacing w:line="276" w:lineRule="auto" w:before="241"/>
        <w:ind w:left="477" w:right="141"/>
        <w:jc w:val="both"/>
      </w:pPr>
      <w:r>
        <w:rPr/>
        <w:t>This is certainly not by chance, because many users have attested to a rejuve- nating effect after a relatively short time, and more and more recent studies on L-carnosine are making people sit up and take notice and are more than auspi- cious...</w:t>
      </w:r>
    </w:p>
    <w:p>
      <w:pPr>
        <w:pStyle w:val="BodyText"/>
        <w:rPr>
          <w:sz w:val="20"/>
        </w:rPr>
      </w:pPr>
    </w:p>
    <w:p>
      <w:pPr>
        <w:pStyle w:val="BodyText"/>
        <w:rPr>
          <w:sz w:val="20"/>
        </w:rPr>
      </w:pPr>
    </w:p>
    <w:p>
      <w:pPr>
        <w:pStyle w:val="BodyText"/>
        <w:spacing w:before="7"/>
        <w:rPr>
          <w:sz w:val="12"/>
        </w:rPr>
      </w:pPr>
      <w:r>
        <w:rPr/>
        <w:pict>
          <v:line style="position:absolute;mso-position-horizontal-relative:page;mso-position-vertical-relative:paragraph;z-index:6392;mso-wrap-distance-left:0;mso-wrap-distance-right:0" from="63.863998pt,9.47016pt" to="207.883998pt,9.47016pt" stroked="true" strokeweight=".72003pt" strokecolor="#000000">
            <v:stroke dashstyle="solid"/>
            <w10:wrap type="topAndBottom"/>
          </v:line>
        </w:pict>
      </w:r>
    </w:p>
    <w:p>
      <w:pPr>
        <w:pStyle w:val="BodyText"/>
        <w:spacing w:before="7"/>
        <w:rPr>
          <w:sz w:val="18"/>
        </w:rPr>
      </w:pPr>
    </w:p>
    <w:p>
      <w:pPr>
        <w:spacing w:line="273" w:lineRule="auto" w:before="99"/>
        <w:ind w:left="477" w:right="156" w:firstLine="0"/>
        <w:jc w:val="left"/>
        <w:rPr>
          <w:sz w:val="20"/>
        </w:rPr>
      </w:pPr>
      <w:r>
        <w:rPr>
          <w:position w:val="5"/>
          <w:sz w:val="13"/>
        </w:rPr>
        <w:t>501 </w:t>
      </w:r>
      <w:r>
        <w:rPr>
          <w:sz w:val="20"/>
        </w:rPr>
        <w:t>Prof. Dr. Peter Billigmann and Dr. Stefan Siebrecht: Physiologie des L-Carnitins und seine Bedeutung für Sportler (‘Physiology of L-Carnitine and Its Importance for Athletes’), 2004, p. 143; Drug Monography</w:t>
      </w:r>
    </w:p>
    <w:p>
      <w:pPr>
        <w:spacing w:after="0" w:line="273" w:lineRule="auto"/>
        <w:jc w:val="left"/>
        <w:rPr>
          <w:sz w:val="20"/>
        </w:rPr>
        <w:sectPr>
          <w:pgSz w:w="14270" w:h="16850"/>
          <w:pgMar w:header="0" w:footer="404" w:top="1600" w:bottom="2080" w:left="800" w:right="1280"/>
        </w:sectPr>
      </w:pPr>
    </w:p>
    <w:p>
      <w:pPr>
        <w:pStyle w:val="BodyText"/>
        <w:spacing w:line="276" w:lineRule="auto" w:before="181"/>
        <w:ind w:left="477" w:right="134"/>
        <w:jc w:val="both"/>
      </w:pPr>
      <w:r>
        <w:rPr/>
        <w:t>A person lives as long as their body cells can divide. Scientists believe cells can divide about 60-80 x before they die, this limit is also called the ‘Hayflick bor- der’. If the cells die, the person also dies</w:t>
      </w:r>
    </w:p>
    <w:p>
      <w:pPr>
        <w:pStyle w:val="BodyText"/>
        <w:spacing w:line="276" w:lineRule="auto" w:before="242"/>
        <w:ind w:left="477" w:right="135"/>
        <w:jc w:val="both"/>
      </w:pPr>
      <w:r>
        <w:rPr/>
        <w:t>While</w:t>
      </w:r>
      <w:r>
        <w:rPr>
          <w:spacing w:val="-9"/>
        </w:rPr>
        <w:t> </w:t>
      </w:r>
      <w:r>
        <w:rPr/>
        <w:t>the</w:t>
      </w:r>
      <w:r>
        <w:rPr>
          <w:spacing w:val="-6"/>
        </w:rPr>
        <w:t> </w:t>
      </w:r>
      <w:r>
        <w:rPr/>
        <w:t>ageing</w:t>
      </w:r>
      <w:r>
        <w:rPr>
          <w:spacing w:val="-4"/>
        </w:rPr>
        <w:t> </w:t>
      </w:r>
      <w:r>
        <w:rPr/>
        <w:t>of</w:t>
      </w:r>
      <w:r>
        <w:rPr>
          <w:spacing w:val="-5"/>
        </w:rPr>
        <w:t> </w:t>
      </w:r>
      <w:r>
        <w:rPr/>
        <w:t>cells</w:t>
      </w:r>
      <w:r>
        <w:rPr>
          <w:spacing w:val="-6"/>
        </w:rPr>
        <w:t> </w:t>
      </w:r>
      <w:r>
        <w:rPr/>
        <w:t>was</w:t>
      </w:r>
      <w:r>
        <w:rPr>
          <w:spacing w:val="-7"/>
        </w:rPr>
        <w:t> </w:t>
      </w:r>
      <w:r>
        <w:rPr/>
        <w:t>still</w:t>
      </w:r>
      <w:r>
        <w:rPr>
          <w:spacing w:val="-6"/>
        </w:rPr>
        <w:t> </w:t>
      </w:r>
      <w:r>
        <w:rPr/>
        <w:t>considered</w:t>
      </w:r>
      <w:r>
        <w:rPr>
          <w:spacing w:val="-6"/>
        </w:rPr>
        <w:t> </w:t>
      </w:r>
      <w:r>
        <w:rPr/>
        <w:t>irreversible</w:t>
      </w:r>
      <w:r>
        <w:rPr>
          <w:spacing w:val="-7"/>
        </w:rPr>
        <w:t> </w:t>
      </w:r>
      <w:r>
        <w:rPr/>
        <w:t>until</w:t>
      </w:r>
      <w:r>
        <w:rPr>
          <w:spacing w:val="-8"/>
        </w:rPr>
        <w:t> </w:t>
      </w:r>
      <w:r>
        <w:rPr/>
        <w:t>recently,</w:t>
      </w:r>
      <w:r>
        <w:rPr>
          <w:spacing w:val="-6"/>
        </w:rPr>
        <w:t> </w:t>
      </w:r>
      <w:r>
        <w:rPr/>
        <w:t>Austral- ian</w:t>
      </w:r>
      <w:r>
        <w:rPr>
          <w:spacing w:val="-10"/>
        </w:rPr>
        <w:t> </w:t>
      </w:r>
      <w:r>
        <w:rPr/>
        <w:t>researchers</w:t>
      </w:r>
      <w:r>
        <w:rPr>
          <w:spacing w:val="-9"/>
        </w:rPr>
        <w:t> </w:t>
      </w:r>
      <w:r>
        <w:rPr/>
        <w:t>have</w:t>
      </w:r>
      <w:r>
        <w:rPr>
          <w:spacing w:val="-10"/>
        </w:rPr>
        <w:t> </w:t>
      </w:r>
      <w:r>
        <w:rPr/>
        <w:t>since</w:t>
      </w:r>
      <w:r>
        <w:rPr>
          <w:spacing w:val="-9"/>
        </w:rPr>
        <w:t> </w:t>
      </w:r>
      <w:r>
        <w:rPr/>
        <w:t>been</w:t>
      </w:r>
      <w:r>
        <w:rPr>
          <w:spacing w:val="-9"/>
        </w:rPr>
        <w:t> </w:t>
      </w:r>
      <w:r>
        <w:rPr/>
        <w:t>able</w:t>
      </w:r>
      <w:r>
        <w:rPr>
          <w:spacing w:val="-10"/>
        </w:rPr>
        <w:t> </w:t>
      </w:r>
      <w:r>
        <w:rPr/>
        <w:t>to</w:t>
      </w:r>
      <w:r>
        <w:rPr>
          <w:spacing w:val="-9"/>
        </w:rPr>
        <w:t> </w:t>
      </w:r>
      <w:r>
        <w:rPr/>
        <w:t>prove</w:t>
      </w:r>
      <w:r>
        <w:rPr>
          <w:spacing w:val="-9"/>
        </w:rPr>
        <w:t> </w:t>
      </w:r>
      <w:r>
        <w:rPr/>
        <w:t>the</w:t>
      </w:r>
      <w:r>
        <w:rPr>
          <w:spacing w:val="-11"/>
        </w:rPr>
        <w:t> </w:t>
      </w:r>
      <w:r>
        <w:rPr/>
        <w:t>opposite</w:t>
      </w:r>
      <w:r>
        <w:rPr>
          <w:spacing w:val="-9"/>
        </w:rPr>
        <w:t> </w:t>
      </w:r>
      <w:r>
        <w:rPr/>
        <w:t>in</w:t>
      </w:r>
      <w:r>
        <w:rPr>
          <w:spacing w:val="-9"/>
        </w:rPr>
        <w:t> </w:t>
      </w:r>
      <w:r>
        <w:rPr/>
        <w:t>sensational</w:t>
      </w:r>
      <w:r>
        <w:rPr>
          <w:spacing w:val="-10"/>
        </w:rPr>
        <w:t> </w:t>
      </w:r>
      <w:r>
        <w:rPr/>
        <w:t>exper- iments:</w:t>
      </w:r>
    </w:p>
    <w:p>
      <w:pPr>
        <w:pStyle w:val="BodyText"/>
        <w:spacing w:line="276" w:lineRule="auto" w:before="239"/>
        <w:ind w:left="477" w:right="132"/>
        <w:jc w:val="both"/>
      </w:pPr>
      <w:r>
        <w:rPr/>
        <w:t>In</w:t>
      </w:r>
      <w:r>
        <w:rPr>
          <w:spacing w:val="-7"/>
        </w:rPr>
        <w:t> </w:t>
      </w:r>
      <w:r>
        <w:rPr/>
        <w:t>a</w:t>
      </w:r>
      <w:r>
        <w:rPr>
          <w:spacing w:val="-8"/>
        </w:rPr>
        <w:t> </w:t>
      </w:r>
      <w:r>
        <w:rPr/>
        <w:t>nutrient</w:t>
      </w:r>
      <w:r>
        <w:rPr>
          <w:spacing w:val="-8"/>
        </w:rPr>
        <w:t> </w:t>
      </w:r>
      <w:r>
        <w:rPr/>
        <w:t>medium</w:t>
      </w:r>
      <w:r>
        <w:rPr>
          <w:spacing w:val="-7"/>
        </w:rPr>
        <w:t> </w:t>
      </w:r>
      <w:r>
        <w:rPr/>
        <w:t>impregnated</w:t>
      </w:r>
      <w:r>
        <w:rPr>
          <w:spacing w:val="-9"/>
        </w:rPr>
        <w:t> </w:t>
      </w:r>
      <w:r>
        <w:rPr/>
        <w:t>with</w:t>
      </w:r>
      <w:r>
        <w:rPr>
          <w:spacing w:val="-6"/>
        </w:rPr>
        <w:t> </w:t>
      </w:r>
      <w:r>
        <w:rPr/>
        <w:t>carnosine,</w:t>
      </w:r>
      <w:r>
        <w:rPr>
          <w:spacing w:val="-7"/>
        </w:rPr>
        <w:t> </w:t>
      </w:r>
      <w:r>
        <w:rPr/>
        <w:t>they</w:t>
      </w:r>
      <w:r>
        <w:rPr>
          <w:spacing w:val="-8"/>
        </w:rPr>
        <w:t> </w:t>
      </w:r>
      <w:r>
        <w:rPr/>
        <w:t>were</w:t>
      </w:r>
      <w:r>
        <w:rPr>
          <w:spacing w:val="-7"/>
        </w:rPr>
        <w:t> </w:t>
      </w:r>
      <w:r>
        <w:rPr/>
        <w:t>able</w:t>
      </w:r>
      <w:r>
        <w:rPr>
          <w:spacing w:val="-9"/>
        </w:rPr>
        <w:t> </w:t>
      </w:r>
      <w:r>
        <w:rPr/>
        <w:t>to</w:t>
      </w:r>
      <w:r>
        <w:rPr>
          <w:spacing w:val="-7"/>
        </w:rPr>
        <w:t> </w:t>
      </w:r>
      <w:r>
        <w:rPr/>
        <w:t>extend</w:t>
      </w:r>
      <w:r>
        <w:rPr>
          <w:spacing w:val="-7"/>
        </w:rPr>
        <w:t> </w:t>
      </w:r>
      <w:r>
        <w:rPr/>
        <w:t>the lifetime</w:t>
      </w:r>
      <w:r>
        <w:rPr>
          <w:spacing w:val="-12"/>
        </w:rPr>
        <w:t> </w:t>
      </w:r>
      <w:r>
        <w:rPr/>
        <w:t>of</w:t>
      </w:r>
      <w:r>
        <w:rPr>
          <w:spacing w:val="-11"/>
        </w:rPr>
        <w:t> </w:t>
      </w:r>
      <w:r>
        <w:rPr/>
        <w:t>human</w:t>
      </w:r>
      <w:r>
        <w:rPr>
          <w:spacing w:val="-11"/>
        </w:rPr>
        <w:t> </w:t>
      </w:r>
      <w:r>
        <w:rPr/>
        <w:t>cells</w:t>
      </w:r>
      <w:r>
        <w:rPr>
          <w:spacing w:val="-11"/>
        </w:rPr>
        <w:t> </w:t>
      </w:r>
      <w:r>
        <w:rPr/>
        <w:t>in</w:t>
      </w:r>
      <w:r>
        <w:rPr>
          <w:spacing w:val="-14"/>
        </w:rPr>
        <w:t> </w:t>
      </w:r>
      <w:r>
        <w:rPr/>
        <w:t>the</w:t>
      </w:r>
      <w:r>
        <w:rPr>
          <w:spacing w:val="-12"/>
        </w:rPr>
        <w:t> </w:t>
      </w:r>
      <w:r>
        <w:rPr/>
        <w:t>laboratory</w:t>
      </w:r>
      <w:r>
        <w:rPr>
          <w:spacing w:val="-11"/>
        </w:rPr>
        <w:t> </w:t>
      </w:r>
      <w:r>
        <w:rPr/>
        <w:t>to</w:t>
      </w:r>
      <w:r>
        <w:rPr>
          <w:spacing w:val="-11"/>
        </w:rPr>
        <w:t> </w:t>
      </w:r>
      <w:r>
        <w:rPr/>
        <w:t>413</w:t>
      </w:r>
      <w:r>
        <w:rPr>
          <w:spacing w:val="-13"/>
        </w:rPr>
        <w:t> </w:t>
      </w:r>
      <w:r>
        <w:rPr/>
        <w:t>days,</w:t>
      </w:r>
      <w:r>
        <w:rPr>
          <w:spacing w:val="-11"/>
        </w:rPr>
        <w:t> </w:t>
      </w:r>
      <w:r>
        <w:rPr/>
        <w:t>whereas</w:t>
      </w:r>
      <w:r>
        <w:rPr>
          <w:spacing w:val="-12"/>
        </w:rPr>
        <w:t> </w:t>
      </w:r>
      <w:r>
        <w:rPr/>
        <w:t>the</w:t>
      </w:r>
      <w:r>
        <w:rPr>
          <w:spacing w:val="-16"/>
        </w:rPr>
        <w:t> </w:t>
      </w:r>
      <w:r>
        <w:rPr/>
        <w:t>control</w:t>
      </w:r>
      <w:r>
        <w:rPr>
          <w:spacing w:val="-12"/>
        </w:rPr>
        <w:t> </w:t>
      </w:r>
      <w:r>
        <w:rPr/>
        <w:t>group (without carnosine) only had a lifespan of 130</w:t>
      </w:r>
      <w:r>
        <w:rPr>
          <w:spacing w:val="-3"/>
        </w:rPr>
        <w:t> </w:t>
      </w:r>
      <w:r>
        <w:rPr/>
        <w:t>days!</w:t>
      </w:r>
    </w:p>
    <w:p>
      <w:pPr>
        <w:pStyle w:val="BodyText"/>
        <w:spacing w:line="276" w:lineRule="auto" w:before="241"/>
        <w:ind w:left="477" w:right="135"/>
        <w:jc w:val="both"/>
      </w:pPr>
      <w:r>
        <w:rPr/>
        <w:t>And as if that were not enough, doctors and therapists advocating L-carnosine are</w:t>
      </w:r>
      <w:r>
        <w:rPr>
          <w:spacing w:val="-24"/>
        </w:rPr>
        <w:t> </w:t>
      </w:r>
      <w:r>
        <w:rPr/>
        <w:t>becoming</w:t>
      </w:r>
      <w:r>
        <w:rPr>
          <w:spacing w:val="-25"/>
        </w:rPr>
        <w:t> </w:t>
      </w:r>
      <w:r>
        <w:rPr/>
        <w:t>increasingly</w:t>
      </w:r>
      <w:r>
        <w:rPr>
          <w:spacing w:val="-24"/>
        </w:rPr>
        <w:t> </w:t>
      </w:r>
      <w:r>
        <w:rPr/>
        <w:t>vocal</w:t>
      </w:r>
      <w:r>
        <w:rPr>
          <w:spacing w:val="-26"/>
        </w:rPr>
        <w:t> </w:t>
      </w:r>
      <w:r>
        <w:rPr/>
        <w:t>regarding</w:t>
      </w:r>
      <w:r>
        <w:rPr>
          <w:spacing w:val="-23"/>
        </w:rPr>
        <w:t> </w:t>
      </w:r>
      <w:r>
        <w:rPr/>
        <w:t>its</w:t>
      </w:r>
      <w:r>
        <w:rPr>
          <w:spacing w:val="-24"/>
        </w:rPr>
        <w:t> </w:t>
      </w:r>
      <w:r>
        <w:rPr/>
        <w:t>use</w:t>
      </w:r>
      <w:r>
        <w:rPr>
          <w:spacing w:val="-25"/>
        </w:rPr>
        <w:t> </w:t>
      </w:r>
      <w:r>
        <w:rPr/>
        <w:t>for</w:t>
      </w:r>
      <w:r>
        <w:rPr>
          <w:spacing w:val="-23"/>
        </w:rPr>
        <w:t> </w:t>
      </w:r>
      <w:r>
        <w:rPr/>
        <w:t>neurological</w:t>
      </w:r>
      <w:r>
        <w:rPr>
          <w:spacing w:val="-27"/>
        </w:rPr>
        <w:t> </w:t>
      </w:r>
      <w:r>
        <w:rPr/>
        <w:t>disorders</w:t>
      </w:r>
      <w:r>
        <w:rPr>
          <w:spacing w:val="-23"/>
        </w:rPr>
        <w:t> </w:t>
      </w:r>
      <w:r>
        <w:rPr/>
        <w:t>such as Alzheimer's, autism, Parkinson's and</w:t>
      </w:r>
      <w:r>
        <w:rPr>
          <w:spacing w:val="1"/>
        </w:rPr>
        <w:t> </w:t>
      </w:r>
      <w:r>
        <w:rPr/>
        <w:t>others.</w:t>
      </w:r>
    </w:p>
    <w:p>
      <w:pPr>
        <w:pStyle w:val="BodyText"/>
        <w:spacing w:line="276" w:lineRule="auto" w:before="239"/>
        <w:ind w:left="477" w:right="132"/>
        <w:jc w:val="both"/>
      </w:pPr>
      <w:r>
        <w:rPr/>
        <w:t>L-carnosine is an endogenous, 100 % natural substance which is particularly found</w:t>
      </w:r>
      <w:r>
        <w:rPr>
          <w:spacing w:val="-13"/>
        </w:rPr>
        <w:t> </w:t>
      </w:r>
      <w:r>
        <w:rPr/>
        <w:t>in</w:t>
      </w:r>
      <w:r>
        <w:rPr>
          <w:spacing w:val="-14"/>
        </w:rPr>
        <w:t> </w:t>
      </w:r>
      <w:r>
        <w:rPr/>
        <w:t>long-lived</w:t>
      </w:r>
      <w:r>
        <w:rPr>
          <w:spacing w:val="-14"/>
        </w:rPr>
        <w:t> </w:t>
      </w:r>
      <w:r>
        <w:rPr/>
        <w:t>cells</w:t>
      </w:r>
      <w:r>
        <w:rPr>
          <w:spacing w:val="-14"/>
        </w:rPr>
        <w:t> </w:t>
      </w:r>
      <w:r>
        <w:rPr/>
        <w:t>such</w:t>
      </w:r>
      <w:r>
        <w:rPr>
          <w:spacing w:val="-15"/>
        </w:rPr>
        <w:t> </w:t>
      </w:r>
      <w:r>
        <w:rPr/>
        <w:t>as</w:t>
      </w:r>
      <w:r>
        <w:rPr>
          <w:spacing w:val="-16"/>
        </w:rPr>
        <w:t> </w:t>
      </w:r>
      <w:r>
        <w:rPr/>
        <w:t>the</w:t>
      </w:r>
      <w:r>
        <w:rPr>
          <w:spacing w:val="-12"/>
        </w:rPr>
        <w:t> </w:t>
      </w:r>
      <w:r>
        <w:rPr/>
        <w:t>muscle</w:t>
      </w:r>
      <w:r>
        <w:rPr>
          <w:spacing w:val="-14"/>
        </w:rPr>
        <w:t> </w:t>
      </w:r>
      <w:r>
        <w:rPr/>
        <w:t>and</w:t>
      </w:r>
      <w:r>
        <w:rPr>
          <w:spacing w:val="-15"/>
        </w:rPr>
        <w:t> </w:t>
      </w:r>
      <w:r>
        <w:rPr/>
        <w:t>nerve</w:t>
      </w:r>
      <w:r>
        <w:rPr>
          <w:spacing w:val="-14"/>
        </w:rPr>
        <w:t> </w:t>
      </w:r>
      <w:r>
        <w:rPr/>
        <w:t>cells,</w:t>
      </w:r>
      <w:r>
        <w:rPr>
          <w:spacing w:val="-14"/>
        </w:rPr>
        <w:t> </w:t>
      </w:r>
      <w:r>
        <w:rPr/>
        <w:t>but</w:t>
      </w:r>
      <w:r>
        <w:rPr>
          <w:spacing w:val="-15"/>
        </w:rPr>
        <w:t> </w:t>
      </w:r>
      <w:r>
        <w:rPr/>
        <w:t>also</w:t>
      </w:r>
      <w:r>
        <w:rPr>
          <w:spacing w:val="-13"/>
        </w:rPr>
        <w:t> </w:t>
      </w:r>
      <w:r>
        <w:rPr/>
        <w:t>in</w:t>
      </w:r>
      <w:r>
        <w:rPr>
          <w:spacing w:val="-16"/>
        </w:rPr>
        <w:t> </w:t>
      </w:r>
      <w:r>
        <w:rPr/>
        <w:t>the</w:t>
      </w:r>
      <w:r>
        <w:rPr>
          <w:spacing w:val="-15"/>
        </w:rPr>
        <w:t> </w:t>
      </w:r>
      <w:r>
        <w:rPr/>
        <w:t>heart muscle, kidneys, liver, brain and other</w:t>
      </w:r>
      <w:r>
        <w:rPr>
          <w:spacing w:val="1"/>
        </w:rPr>
        <w:t> </w:t>
      </w:r>
      <w:r>
        <w:rPr/>
        <w:t>organs.</w:t>
      </w:r>
    </w:p>
    <w:p>
      <w:pPr>
        <w:pStyle w:val="BodyText"/>
        <w:spacing w:line="276" w:lineRule="auto" w:before="241"/>
        <w:ind w:left="477" w:right="131"/>
        <w:jc w:val="both"/>
      </w:pPr>
      <w:r>
        <w:rPr/>
        <w:t>As</w:t>
      </w:r>
      <w:r>
        <w:rPr>
          <w:spacing w:val="-12"/>
        </w:rPr>
        <w:t> </w:t>
      </w:r>
      <w:r>
        <w:rPr/>
        <w:t>already</w:t>
      </w:r>
      <w:r>
        <w:rPr>
          <w:spacing w:val="-13"/>
        </w:rPr>
        <w:t> </w:t>
      </w:r>
      <w:r>
        <w:rPr/>
        <w:t>mentioned</w:t>
      </w:r>
      <w:r>
        <w:rPr>
          <w:spacing w:val="-12"/>
        </w:rPr>
        <w:t> </w:t>
      </w:r>
      <w:r>
        <w:rPr/>
        <w:t>above,</w:t>
      </w:r>
      <w:r>
        <w:rPr>
          <w:spacing w:val="-11"/>
        </w:rPr>
        <w:t> </w:t>
      </w:r>
      <w:r>
        <w:rPr/>
        <w:t>every</w:t>
      </w:r>
      <w:r>
        <w:rPr>
          <w:spacing w:val="-12"/>
        </w:rPr>
        <w:t> </w:t>
      </w:r>
      <w:r>
        <w:rPr/>
        <w:t>single</w:t>
      </w:r>
      <w:r>
        <w:rPr>
          <w:spacing w:val="-12"/>
        </w:rPr>
        <w:t> </w:t>
      </w:r>
      <w:r>
        <w:rPr/>
        <w:t>one</w:t>
      </w:r>
      <w:r>
        <w:rPr>
          <w:spacing w:val="-11"/>
        </w:rPr>
        <w:t> </w:t>
      </w:r>
      <w:r>
        <w:rPr/>
        <w:t>of</w:t>
      </w:r>
      <w:r>
        <w:rPr>
          <w:spacing w:val="-15"/>
        </w:rPr>
        <w:t> </w:t>
      </w:r>
      <w:r>
        <w:rPr/>
        <w:t>our</w:t>
      </w:r>
      <w:r>
        <w:rPr>
          <w:spacing w:val="-12"/>
        </w:rPr>
        <w:t> </w:t>
      </w:r>
      <w:r>
        <w:rPr/>
        <w:t>approximately</w:t>
      </w:r>
      <w:r>
        <w:rPr>
          <w:spacing w:val="-7"/>
        </w:rPr>
        <w:t> </w:t>
      </w:r>
      <w:r>
        <w:rPr/>
        <w:t>37,2</w:t>
      </w:r>
      <w:r>
        <w:rPr>
          <w:spacing w:val="-12"/>
        </w:rPr>
        <w:t> </w:t>
      </w:r>
      <w:r>
        <w:rPr/>
        <w:t>trillion body cells is exposed to the attacks of free radicals 10,000 to 80,000 times</w:t>
      </w:r>
      <w:r>
        <w:rPr>
          <w:spacing w:val="-37"/>
        </w:rPr>
        <w:t> </w:t>
      </w:r>
      <w:r>
        <w:rPr/>
        <w:t>each day,</w:t>
      </w:r>
      <w:r>
        <w:rPr>
          <w:spacing w:val="-14"/>
        </w:rPr>
        <w:t> </w:t>
      </w:r>
      <w:r>
        <w:rPr/>
        <w:t>resulting</w:t>
      </w:r>
      <w:r>
        <w:rPr>
          <w:spacing w:val="-13"/>
        </w:rPr>
        <w:t> </w:t>
      </w:r>
      <w:r>
        <w:rPr/>
        <w:t>in</w:t>
      </w:r>
      <w:r>
        <w:rPr>
          <w:spacing w:val="-14"/>
        </w:rPr>
        <w:t> </w:t>
      </w:r>
      <w:r>
        <w:rPr/>
        <w:t>destructive</w:t>
      </w:r>
      <w:r>
        <w:rPr>
          <w:spacing w:val="-14"/>
        </w:rPr>
        <w:t> </w:t>
      </w:r>
      <w:r>
        <w:rPr/>
        <w:t>effects</w:t>
      </w:r>
      <w:r>
        <w:rPr>
          <w:spacing w:val="-14"/>
        </w:rPr>
        <w:t> </w:t>
      </w:r>
      <w:r>
        <w:rPr/>
        <w:t>and</w:t>
      </w:r>
      <w:r>
        <w:rPr>
          <w:spacing w:val="-14"/>
        </w:rPr>
        <w:t> </w:t>
      </w:r>
      <w:r>
        <w:rPr/>
        <w:t>leading</w:t>
      </w:r>
      <w:r>
        <w:rPr>
          <w:spacing w:val="-14"/>
        </w:rPr>
        <w:t> </w:t>
      </w:r>
      <w:r>
        <w:rPr/>
        <w:t>to</w:t>
      </w:r>
      <w:r>
        <w:rPr>
          <w:spacing w:val="-14"/>
        </w:rPr>
        <w:t> </w:t>
      </w:r>
      <w:r>
        <w:rPr/>
        <w:t>numerous</w:t>
      </w:r>
      <w:r>
        <w:rPr>
          <w:spacing w:val="-14"/>
        </w:rPr>
        <w:t> </w:t>
      </w:r>
      <w:r>
        <w:rPr/>
        <w:t>diseases</w:t>
      </w:r>
      <w:r>
        <w:rPr>
          <w:spacing w:val="-13"/>
        </w:rPr>
        <w:t> </w:t>
      </w:r>
      <w:r>
        <w:rPr/>
        <w:t>and</w:t>
      </w:r>
      <w:r>
        <w:rPr>
          <w:spacing w:val="-14"/>
        </w:rPr>
        <w:t> </w:t>
      </w:r>
      <w:r>
        <w:rPr/>
        <w:t>prem- ature ageing.</w:t>
      </w:r>
    </w:p>
    <w:p>
      <w:pPr>
        <w:pStyle w:val="BodyText"/>
        <w:spacing w:line="276" w:lineRule="auto" w:before="240"/>
        <w:ind w:left="477" w:right="133"/>
        <w:jc w:val="both"/>
      </w:pPr>
      <w:r>
        <w:rPr/>
        <w:t>L-carnosine is one of the most effective antioxidants for defying these</w:t>
      </w:r>
      <w:r>
        <w:rPr>
          <w:spacing w:val="-44"/>
        </w:rPr>
        <w:t> </w:t>
      </w:r>
      <w:r>
        <w:rPr/>
        <w:t>destruc- tive attacks nature has to</w:t>
      </w:r>
      <w:r>
        <w:rPr>
          <w:spacing w:val="-3"/>
        </w:rPr>
        <w:t> </w:t>
      </w:r>
      <w:r>
        <w:rPr/>
        <w:t>offer.</w:t>
      </w:r>
    </w:p>
    <w:p>
      <w:pPr>
        <w:spacing w:after="0" w:line="276" w:lineRule="auto"/>
        <w:jc w:val="both"/>
        <w:sectPr>
          <w:pgSz w:w="14270" w:h="16850"/>
          <w:pgMar w:header="0" w:footer="404" w:top="1600" w:bottom="2080" w:left="800" w:right="1280"/>
        </w:sectPr>
      </w:pPr>
    </w:p>
    <w:p>
      <w:pPr>
        <w:pStyle w:val="BodyText"/>
        <w:spacing w:line="276" w:lineRule="auto" w:before="181"/>
        <w:ind w:left="477" w:right="136"/>
        <w:jc w:val="both"/>
      </w:pPr>
      <w:r>
        <w:rPr/>
        <w:t>It is a first-rate immune system booster, but above all a cell renewer which has been</w:t>
      </w:r>
      <w:r>
        <w:rPr>
          <w:spacing w:val="-4"/>
        </w:rPr>
        <w:t> </w:t>
      </w:r>
      <w:r>
        <w:rPr/>
        <w:t>shown</w:t>
      </w:r>
      <w:r>
        <w:rPr>
          <w:spacing w:val="-3"/>
        </w:rPr>
        <w:t> </w:t>
      </w:r>
      <w:r>
        <w:rPr/>
        <w:t>in</w:t>
      </w:r>
      <w:r>
        <w:rPr>
          <w:spacing w:val="-7"/>
        </w:rPr>
        <w:t> </w:t>
      </w:r>
      <w:r>
        <w:rPr/>
        <w:t>many</w:t>
      </w:r>
      <w:r>
        <w:rPr>
          <w:spacing w:val="-4"/>
        </w:rPr>
        <w:t> </w:t>
      </w:r>
      <w:r>
        <w:rPr/>
        <w:t>studies</w:t>
      </w:r>
      <w:r>
        <w:rPr>
          <w:spacing w:val="-3"/>
        </w:rPr>
        <w:t> </w:t>
      </w:r>
      <w:r>
        <w:rPr/>
        <w:t>that</w:t>
      </w:r>
      <w:r>
        <w:rPr>
          <w:spacing w:val="-4"/>
        </w:rPr>
        <w:t> </w:t>
      </w:r>
      <w:r>
        <w:rPr/>
        <w:t>it</w:t>
      </w:r>
      <w:r>
        <w:rPr>
          <w:spacing w:val="-5"/>
        </w:rPr>
        <w:t> </w:t>
      </w:r>
      <w:r>
        <w:rPr/>
        <w:t>does</w:t>
      </w:r>
      <w:r>
        <w:rPr>
          <w:spacing w:val="-6"/>
        </w:rPr>
        <w:t> </w:t>
      </w:r>
      <w:r>
        <w:rPr/>
        <w:t>not</w:t>
      </w:r>
      <w:r>
        <w:rPr>
          <w:spacing w:val="-5"/>
        </w:rPr>
        <w:t> </w:t>
      </w:r>
      <w:r>
        <w:rPr/>
        <w:t>just</w:t>
      </w:r>
      <w:r>
        <w:rPr>
          <w:spacing w:val="-7"/>
        </w:rPr>
        <w:t> </w:t>
      </w:r>
      <w:r>
        <w:rPr/>
        <w:t>protect</w:t>
      </w:r>
      <w:r>
        <w:rPr>
          <w:spacing w:val="-7"/>
        </w:rPr>
        <w:t> </w:t>
      </w:r>
      <w:r>
        <w:rPr/>
        <w:t>our</w:t>
      </w:r>
      <w:r>
        <w:rPr>
          <w:spacing w:val="-4"/>
        </w:rPr>
        <w:t> </w:t>
      </w:r>
      <w:r>
        <w:rPr/>
        <w:t>cells</w:t>
      </w:r>
      <w:r>
        <w:rPr>
          <w:spacing w:val="-3"/>
        </w:rPr>
        <w:t> </w:t>
      </w:r>
      <w:r>
        <w:rPr/>
        <w:t>like</w:t>
      </w:r>
      <w:r>
        <w:rPr>
          <w:spacing w:val="-5"/>
        </w:rPr>
        <w:t> </w:t>
      </w:r>
      <w:r>
        <w:rPr/>
        <w:t>the</w:t>
      </w:r>
      <w:r>
        <w:rPr>
          <w:spacing w:val="-6"/>
        </w:rPr>
        <w:t> </w:t>
      </w:r>
      <w:r>
        <w:rPr/>
        <w:t>other ‘ordinary’</w:t>
      </w:r>
      <w:r>
        <w:rPr>
          <w:spacing w:val="-23"/>
        </w:rPr>
        <w:t> </w:t>
      </w:r>
      <w:r>
        <w:rPr/>
        <w:t>antioxidants,</w:t>
      </w:r>
      <w:r>
        <w:rPr>
          <w:spacing w:val="-22"/>
        </w:rPr>
        <w:t> </w:t>
      </w:r>
      <w:r>
        <w:rPr/>
        <w:t>but</w:t>
      </w:r>
      <w:r>
        <w:rPr>
          <w:spacing w:val="-23"/>
        </w:rPr>
        <w:t> </w:t>
      </w:r>
      <w:r>
        <w:rPr/>
        <w:t>even</w:t>
      </w:r>
      <w:r>
        <w:rPr>
          <w:spacing w:val="-22"/>
        </w:rPr>
        <w:t> </w:t>
      </w:r>
      <w:r>
        <w:rPr/>
        <w:t>rejuvenates</w:t>
      </w:r>
      <w:r>
        <w:rPr>
          <w:spacing w:val="-22"/>
        </w:rPr>
        <w:t> </w:t>
      </w:r>
      <w:r>
        <w:rPr/>
        <w:t>cells</w:t>
      </w:r>
      <w:r>
        <w:rPr>
          <w:spacing w:val="-23"/>
        </w:rPr>
        <w:t> </w:t>
      </w:r>
      <w:r>
        <w:rPr/>
        <w:t>that</w:t>
      </w:r>
      <w:r>
        <w:rPr>
          <w:spacing w:val="-22"/>
        </w:rPr>
        <w:t> </w:t>
      </w:r>
      <w:r>
        <w:rPr/>
        <w:t>have</w:t>
      </w:r>
      <w:r>
        <w:rPr>
          <w:spacing w:val="-23"/>
        </w:rPr>
        <w:t> </w:t>
      </w:r>
      <w:r>
        <w:rPr/>
        <w:t>already</w:t>
      </w:r>
      <w:r>
        <w:rPr>
          <w:spacing w:val="-20"/>
        </w:rPr>
        <w:t> </w:t>
      </w:r>
      <w:r>
        <w:rPr/>
        <w:t>aged</w:t>
      </w:r>
      <w:r>
        <w:rPr>
          <w:spacing w:val="-23"/>
        </w:rPr>
        <w:t> </w:t>
      </w:r>
      <w:r>
        <w:rPr/>
        <w:t>and</w:t>
      </w:r>
      <w:r>
        <w:rPr>
          <w:spacing w:val="-22"/>
        </w:rPr>
        <w:t> </w:t>
      </w:r>
      <w:r>
        <w:rPr/>
        <w:t>can extend their life cycle!</w:t>
      </w:r>
    </w:p>
    <w:p>
      <w:pPr>
        <w:pStyle w:val="BodyText"/>
        <w:spacing w:line="276" w:lineRule="auto" w:before="242"/>
        <w:ind w:left="477" w:right="132"/>
        <w:jc w:val="both"/>
      </w:pPr>
      <w:r>
        <w:rPr/>
        <w:t>One in two People in industrialized countries dies of cardiovascular disease. L- carnosine</w:t>
      </w:r>
      <w:r>
        <w:rPr>
          <w:spacing w:val="-19"/>
        </w:rPr>
        <w:t> </w:t>
      </w:r>
      <w:r>
        <w:rPr/>
        <w:t>has</w:t>
      </w:r>
      <w:r>
        <w:rPr>
          <w:spacing w:val="-22"/>
        </w:rPr>
        <w:t> </w:t>
      </w:r>
      <w:r>
        <w:rPr/>
        <w:t>the</w:t>
      </w:r>
      <w:r>
        <w:rPr>
          <w:spacing w:val="-19"/>
        </w:rPr>
        <w:t> </w:t>
      </w:r>
      <w:r>
        <w:rPr/>
        <w:t>ability</w:t>
      </w:r>
      <w:r>
        <w:rPr>
          <w:spacing w:val="-21"/>
        </w:rPr>
        <w:t> </w:t>
      </w:r>
      <w:r>
        <w:rPr/>
        <w:t>to</w:t>
      </w:r>
      <w:r>
        <w:rPr>
          <w:spacing w:val="-19"/>
        </w:rPr>
        <w:t> </w:t>
      </w:r>
      <w:r>
        <w:rPr/>
        <w:t>increase</w:t>
      </w:r>
      <w:r>
        <w:rPr>
          <w:spacing w:val="-19"/>
        </w:rPr>
        <w:t> </w:t>
      </w:r>
      <w:r>
        <w:rPr/>
        <w:t>the</w:t>
      </w:r>
      <w:r>
        <w:rPr>
          <w:spacing w:val="-21"/>
        </w:rPr>
        <w:t> </w:t>
      </w:r>
      <w:r>
        <w:rPr/>
        <w:t>cardiac</w:t>
      </w:r>
      <w:r>
        <w:rPr>
          <w:spacing w:val="-19"/>
        </w:rPr>
        <w:t> </w:t>
      </w:r>
      <w:r>
        <w:rPr/>
        <w:t>muscle's</w:t>
      </w:r>
      <w:r>
        <w:rPr>
          <w:spacing w:val="-19"/>
        </w:rPr>
        <w:t> </w:t>
      </w:r>
      <w:r>
        <w:rPr/>
        <w:t>contractile</w:t>
      </w:r>
      <w:r>
        <w:rPr>
          <w:spacing w:val="-19"/>
        </w:rPr>
        <w:t> </w:t>
      </w:r>
      <w:r>
        <w:rPr/>
        <w:t>strength</w:t>
      </w:r>
      <w:r>
        <w:rPr>
          <w:spacing w:val="-22"/>
        </w:rPr>
        <w:t> </w:t>
      </w:r>
      <w:r>
        <w:rPr/>
        <w:t>and pumping efficiency, making acute heart failure less</w:t>
      </w:r>
      <w:r>
        <w:rPr>
          <w:spacing w:val="1"/>
        </w:rPr>
        <w:t> </w:t>
      </w:r>
      <w:r>
        <w:rPr/>
        <w:t>likely.</w:t>
      </w:r>
    </w:p>
    <w:p>
      <w:pPr>
        <w:pStyle w:val="BodyText"/>
        <w:spacing w:line="276" w:lineRule="auto" w:before="239"/>
        <w:ind w:left="477" w:right="132"/>
        <w:jc w:val="both"/>
      </w:pPr>
      <w:r>
        <w:rPr/>
        <w:t>Unfortunately,</w:t>
      </w:r>
      <w:r>
        <w:rPr>
          <w:spacing w:val="-19"/>
        </w:rPr>
        <w:t> </w:t>
      </w:r>
      <w:r>
        <w:rPr/>
        <w:t>our</w:t>
      </w:r>
      <w:r>
        <w:rPr>
          <w:spacing w:val="-20"/>
        </w:rPr>
        <w:t> </w:t>
      </w:r>
      <w:r>
        <w:rPr/>
        <w:t>L-carnosine</w:t>
      </w:r>
      <w:r>
        <w:rPr>
          <w:spacing w:val="-19"/>
        </w:rPr>
        <w:t> </w:t>
      </w:r>
      <w:r>
        <w:rPr/>
        <w:t>levels</w:t>
      </w:r>
      <w:r>
        <w:rPr>
          <w:spacing w:val="-19"/>
        </w:rPr>
        <w:t> </w:t>
      </w:r>
      <w:r>
        <w:rPr/>
        <w:t>decline</w:t>
      </w:r>
      <w:r>
        <w:rPr>
          <w:spacing w:val="-19"/>
        </w:rPr>
        <w:t> </w:t>
      </w:r>
      <w:r>
        <w:rPr/>
        <w:t>with</w:t>
      </w:r>
      <w:r>
        <w:rPr>
          <w:spacing w:val="-17"/>
        </w:rPr>
        <w:t> </w:t>
      </w:r>
      <w:r>
        <w:rPr/>
        <w:t>age</w:t>
      </w:r>
      <w:r>
        <w:rPr>
          <w:spacing w:val="-19"/>
        </w:rPr>
        <w:t> </w:t>
      </w:r>
      <w:r>
        <w:rPr/>
        <w:t>in</w:t>
      </w:r>
      <w:r>
        <w:rPr>
          <w:spacing w:val="-20"/>
        </w:rPr>
        <w:t> </w:t>
      </w:r>
      <w:r>
        <w:rPr/>
        <w:t>the</w:t>
      </w:r>
      <w:r>
        <w:rPr>
          <w:spacing w:val="-19"/>
        </w:rPr>
        <w:t> </w:t>
      </w:r>
      <w:r>
        <w:rPr/>
        <w:t>course</w:t>
      </w:r>
      <w:r>
        <w:rPr>
          <w:spacing w:val="-18"/>
        </w:rPr>
        <w:t> </w:t>
      </w:r>
      <w:r>
        <w:rPr/>
        <w:t>of</w:t>
      </w:r>
      <w:r>
        <w:rPr>
          <w:spacing w:val="-20"/>
        </w:rPr>
        <w:t> </w:t>
      </w:r>
      <w:r>
        <w:rPr/>
        <w:t>our</w:t>
      </w:r>
      <w:r>
        <w:rPr>
          <w:spacing w:val="-20"/>
        </w:rPr>
        <w:t> </w:t>
      </w:r>
      <w:r>
        <w:rPr/>
        <w:t>lives; there is about a 63 % decrease between the 10th and 70th years of age. Many age researchers blame this exact phenomenon for physiological ageing and re- lated</w:t>
      </w:r>
      <w:r>
        <w:rPr>
          <w:spacing w:val="-2"/>
        </w:rPr>
        <w:t> </w:t>
      </w:r>
      <w:r>
        <w:rPr/>
        <w:t>diseases.</w:t>
      </w:r>
    </w:p>
    <w:p>
      <w:pPr>
        <w:pStyle w:val="BodyText"/>
        <w:spacing w:line="276" w:lineRule="auto" w:before="239"/>
        <w:ind w:left="477" w:right="141"/>
        <w:jc w:val="both"/>
      </w:pPr>
      <w:r>
        <w:rPr/>
        <w:t>Although</w:t>
      </w:r>
      <w:r>
        <w:rPr>
          <w:spacing w:val="-25"/>
        </w:rPr>
        <w:t> </w:t>
      </w:r>
      <w:r>
        <w:rPr/>
        <w:t>L-carnosine</w:t>
      </w:r>
      <w:r>
        <w:rPr>
          <w:spacing w:val="-24"/>
        </w:rPr>
        <w:t> </w:t>
      </w:r>
      <w:r>
        <w:rPr/>
        <w:t>occurs</w:t>
      </w:r>
      <w:r>
        <w:rPr>
          <w:spacing w:val="-24"/>
        </w:rPr>
        <w:t> </w:t>
      </w:r>
      <w:r>
        <w:rPr/>
        <w:t>naturally</w:t>
      </w:r>
      <w:r>
        <w:rPr>
          <w:spacing w:val="-24"/>
        </w:rPr>
        <w:t> </w:t>
      </w:r>
      <w:r>
        <w:rPr/>
        <w:t>in</w:t>
      </w:r>
      <w:r>
        <w:rPr>
          <w:spacing w:val="-24"/>
        </w:rPr>
        <w:t> </w:t>
      </w:r>
      <w:r>
        <w:rPr/>
        <w:t>meat,</w:t>
      </w:r>
      <w:r>
        <w:rPr>
          <w:spacing w:val="-25"/>
        </w:rPr>
        <w:t> </w:t>
      </w:r>
      <w:r>
        <w:rPr/>
        <w:t>these</w:t>
      </w:r>
      <w:r>
        <w:rPr>
          <w:spacing w:val="-24"/>
        </w:rPr>
        <w:t> </w:t>
      </w:r>
      <w:r>
        <w:rPr/>
        <w:t>amounts</w:t>
      </w:r>
      <w:r>
        <w:rPr>
          <w:spacing w:val="-24"/>
        </w:rPr>
        <w:t> </w:t>
      </w:r>
      <w:r>
        <w:rPr/>
        <w:t>are</w:t>
      </w:r>
      <w:r>
        <w:rPr>
          <w:spacing w:val="-27"/>
        </w:rPr>
        <w:t> </w:t>
      </w:r>
      <w:r>
        <w:rPr/>
        <w:t>relatively</w:t>
      </w:r>
      <w:r>
        <w:rPr>
          <w:spacing w:val="-25"/>
        </w:rPr>
        <w:t> </w:t>
      </w:r>
      <w:r>
        <w:rPr/>
        <w:t>low. Vegetarians and vegans in particular have low levels of</w:t>
      </w:r>
      <w:r>
        <w:rPr>
          <w:spacing w:val="-3"/>
        </w:rPr>
        <w:t> </w:t>
      </w:r>
      <w:r>
        <w:rPr/>
        <w:t>L-carnosine.</w:t>
      </w:r>
    </w:p>
    <w:p>
      <w:pPr>
        <w:pStyle w:val="BodyText"/>
        <w:spacing w:line="276" w:lineRule="auto" w:before="241"/>
        <w:ind w:left="477" w:right="134"/>
        <w:jc w:val="both"/>
      </w:pPr>
      <w:r>
        <w:rPr/>
        <w:t>Fortunately, for a few years now, the natural substance ‘L-carnosine’ has been available to us as a nutritional supplement.</w:t>
      </w:r>
    </w:p>
    <w:p>
      <w:pPr>
        <w:pStyle w:val="BodyText"/>
        <w:spacing w:line="276" w:lineRule="auto" w:before="241"/>
        <w:ind w:left="477" w:right="133"/>
        <w:jc w:val="both"/>
      </w:pPr>
      <w:r>
        <w:rPr/>
        <w:t>With</w:t>
      </w:r>
      <w:r>
        <w:rPr>
          <w:spacing w:val="-15"/>
        </w:rPr>
        <w:t> </w:t>
      </w:r>
      <w:r>
        <w:rPr/>
        <w:t>this</w:t>
      </w:r>
      <w:r>
        <w:rPr>
          <w:spacing w:val="-13"/>
        </w:rPr>
        <w:t> </w:t>
      </w:r>
      <w:r>
        <w:rPr/>
        <w:t>natural</w:t>
      </w:r>
      <w:r>
        <w:rPr>
          <w:spacing w:val="-13"/>
        </w:rPr>
        <w:t> </w:t>
      </w:r>
      <w:r>
        <w:rPr/>
        <w:t>remedy,</w:t>
      </w:r>
      <w:r>
        <w:rPr>
          <w:spacing w:val="-13"/>
        </w:rPr>
        <w:t> </w:t>
      </w:r>
      <w:r>
        <w:rPr/>
        <w:t>we</w:t>
      </w:r>
      <w:r>
        <w:rPr>
          <w:spacing w:val="-15"/>
        </w:rPr>
        <w:t> </w:t>
      </w:r>
      <w:r>
        <w:rPr/>
        <w:t>have</w:t>
      </w:r>
      <w:r>
        <w:rPr>
          <w:spacing w:val="-15"/>
        </w:rPr>
        <w:t> </w:t>
      </w:r>
      <w:r>
        <w:rPr/>
        <w:t>been</w:t>
      </w:r>
      <w:r>
        <w:rPr>
          <w:spacing w:val="-13"/>
        </w:rPr>
        <w:t> </w:t>
      </w:r>
      <w:r>
        <w:rPr/>
        <w:t>given</w:t>
      </w:r>
      <w:r>
        <w:rPr>
          <w:spacing w:val="-13"/>
        </w:rPr>
        <w:t> </w:t>
      </w:r>
      <w:r>
        <w:rPr/>
        <w:t>no</w:t>
      </w:r>
      <w:r>
        <w:rPr>
          <w:spacing w:val="-18"/>
        </w:rPr>
        <w:t> </w:t>
      </w:r>
      <w:r>
        <w:rPr/>
        <w:t>small</w:t>
      </w:r>
      <w:r>
        <w:rPr>
          <w:spacing w:val="-16"/>
        </w:rPr>
        <w:t> </w:t>
      </w:r>
      <w:r>
        <w:rPr/>
        <w:t>impact</w:t>
      </w:r>
      <w:r>
        <w:rPr>
          <w:spacing w:val="-14"/>
        </w:rPr>
        <w:t> </w:t>
      </w:r>
      <w:r>
        <w:rPr/>
        <w:t>on</w:t>
      </w:r>
      <w:r>
        <w:rPr>
          <w:spacing w:val="-13"/>
        </w:rPr>
        <w:t> </w:t>
      </w:r>
      <w:r>
        <w:rPr/>
        <w:t>our</w:t>
      </w:r>
      <w:r>
        <w:rPr>
          <w:spacing w:val="-15"/>
        </w:rPr>
        <w:t> </w:t>
      </w:r>
      <w:r>
        <w:rPr/>
        <w:t>biological ageing; it provides the possibility of biological rejuvenation and the prevention of numerous</w:t>
      </w:r>
      <w:r>
        <w:rPr>
          <w:spacing w:val="1"/>
        </w:rPr>
        <w:t> </w:t>
      </w:r>
      <w:r>
        <w:rPr/>
        <w:t>diseases.</w:t>
      </w:r>
    </w:p>
    <w:p>
      <w:pPr>
        <w:pStyle w:val="BodyText"/>
        <w:spacing w:line="276" w:lineRule="auto" w:before="240"/>
        <w:ind w:left="477" w:right="145"/>
        <w:jc w:val="both"/>
      </w:pPr>
      <w:r>
        <w:rPr/>
        <w:t>Read more about this exciting natural resource in more detail and marvel at its unique range of effects...</w:t>
      </w:r>
    </w:p>
    <w:p>
      <w:pPr>
        <w:spacing w:after="0" w:line="276" w:lineRule="auto"/>
        <w:jc w:val="both"/>
        <w:sectPr>
          <w:pgSz w:w="14270" w:h="16850"/>
          <w:pgMar w:header="0" w:footer="404" w:top="1600" w:bottom="2080" w:left="800" w:right="1280"/>
        </w:sectPr>
      </w:pPr>
    </w:p>
    <w:p>
      <w:pPr>
        <w:pStyle w:val="BodyText"/>
        <w:rPr>
          <w:sz w:val="20"/>
        </w:rPr>
      </w:pPr>
    </w:p>
    <w:p>
      <w:pPr>
        <w:pStyle w:val="BodyText"/>
        <w:rPr>
          <w:sz w:val="20"/>
        </w:rPr>
      </w:pPr>
    </w:p>
    <w:p>
      <w:pPr>
        <w:pStyle w:val="BodyText"/>
        <w:rPr>
          <w:sz w:val="20"/>
        </w:rPr>
      </w:pPr>
    </w:p>
    <w:p>
      <w:pPr>
        <w:pStyle w:val="Heading2"/>
        <w:spacing w:before="238"/>
      </w:pPr>
      <w:r>
        <w:rPr/>
        <w:t>L-carnosine – how does it really work?</w:t>
      </w:r>
    </w:p>
    <w:p>
      <w:pPr>
        <w:spacing w:before="288"/>
        <w:ind w:left="477" w:right="0" w:firstLine="0"/>
        <w:jc w:val="left"/>
        <w:rPr>
          <w:b/>
          <w:i/>
          <w:sz w:val="40"/>
        </w:rPr>
      </w:pPr>
      <w:r>
        <w:rPr>
          <w:b/>
          <w:i/>
          <w:sz w:val="40"/>
        </w:rPr>
        <w:t>General effect of L-carnosine</w:t>
      </w:r>
    </w:p>
    <w:p>
      <w:pPr>
        <w:pStyle w:val="BodyText"/>
        <w:spacing w:before="179"/>
        <w:ind w:left="477"/>
      </w:pPr>
      <w:r>
        <w:rPr/>
        <w:t>The general effect of L-carnosine can be described as follows:</w:t>
      </w:r>
    </w:p>
    <w:p>
      <w:pPr>
        <w:pStyle w:val="ListParagraph"/>
        <w:numPr>
          <w:ilvl w:val="0"/>
          <w:numId w:val="68"/>
        </w:numPr>
        <w:tabs>
          <w:tab w:pos="1552" w:val="left" w:leader="none"/>
          <w:tab w:pos="1553" w:val="left" w:leader="none"/>
        </w:tabs>
        <w:spacing w:line="240" w:lineRule="auto" w:before="186" w:after="0"/>
        <w:ind w:left="1552" w:right="0" w:hanging="360"/>
        <w:jc w:val="left"/>
        <w:rPr>
          <w:sz w:val="38"/>
        </w:rPr>
      </w:pPr>
      <w:r>
        <w:rPr>
          <w:sz w:val="38"/>
        </w:rPr>
        <w:t>antioxidant,</w:t>
      </w:r>
    </w:p>
    <w:p>
      <w:pPr>
        <w:pStyle w:val="ListParagraph"/>
        <w:numPr>
          <w:ilvl w:val="0"/>
          <w:numId w:val="68"/>
        </w:numPr>
        <w:tabs>
          <w:tab w:pos="1552" w:val="left" w:leader="none"/>
          <w:tab w:pos="1553" w:val="left" w:leader="none"/>
        </w:tabs>
        <w:spacing w:line="240" w:lineRule="auto" w:before="64" w:after="0"/>
        <w:ind w:left="1552" w:right="0" w:hanging="360"/>
        <w:jc w:val="left"/>
        <w:rPr>
          <w:sz w:val="38"/>
        </w:rPr>
      </w:pPr>
      <w:r>
        <w:rPr>
          <w:sz w:val="38"/>
        </w:rPr>
        <w:t>modulates the immune</w:t>
      </w:r>
      <w:r>
        <w:rPr>
          <w:spacing w:val="2"/>
          <w:sz w:val="38"/>
        </w:rPr>
        <w:t> </w:t>
      </w:r>
      <w:r>
        <w:rPr>
          <w:sz w:val="38"/>
        </w:rPr>
        <w:t>system,</w:t>
      </w:r>
    </w:p>
    <w:p>
      <w:pPr>
        <w:pStyle w:val="ListParagraph"/>
        <w:numPr>
          <w:ilvl w:val="0"/>
          <w:numId w:val="68"/>
        </w:numPr>
        <w:tabs>
          <w:tab w:pos="1552" w:val="left" w:leader="none"/>
          <w:tab w:pos="1553" w:val="left" w:leader="none"/>
        </w:tabs>
        <w:spacing w:line="240" w:lineRule="auto" w:before="64" w:after="0"/>
        <w:ind w:left="1552" w:right="0" w:hanging="360"/>
        <w:jc w:val="left"/>
        <w:rPr>
          <w:sz w:val="38"/>
        </w:rPr>
      </w:pPr>
      <w:r>
        <w:rPr>
          <w:sz w:val="38"/>
        </w:rPr>
        <w:t>cytoprotective,</w:t>
      </w:r>
    </w:p>
    <w:p>
      <w:pPr>
        <w:pStyle w:val="ListParagraph"/>
        <w:numPr>
          <w:ilvl w:val="0"/>
          <w:numId w:val="68"/>
        </w:numPr>
        <w:tabs>
          <w:tab w:pos="1552" w:val="left" w:leader="none"/>
          <w:tab w:pos="1553" w:val="left" w:leader="none"/>
        </w:tabs>
        <w:spacing w:line="240" w:lineRule="auto" w:before="63" w:after="0"/>
        <w:ind w:left="1552" w:right="0" w:hanging="360"/>
        <w:jc w:val="left"/>
        <w:rPr>
          <w:sz w:val="38"/>
        </w:rPr>
      </w:pPr>
      <w:r>
        <w:rPr>
          <w:sz w:val="38"/>
        </w:rPr>
        <w:t>cell-rejuvenating,</w:t>
      </w:r>
    </w:p>
    <w:p>
      <w:pPr>
        <w:pStyle w:val="ListParagraph"/>
        <w:numPr>
          <w:ilvl w:val="0"/>
          <w:numId w:val="68"/>
        </w:numPr>
        <w:tabs>
          <w:tab w:pos="1552" w:val="left" w:leader="none"/>
          <w:tab w:pos="1553" w:val="left" w:leader="none"/>
        </w:tabs>
        <w:spacing w:line="240" w:lineRule="auto" w:before="64" w:after="0"/>
        <w:ind w:left="1552" w:right="0" w:hanging="360"/>
        <w:jc w:val="left"/>
        <w:rPr>
          <w:sz w:val="38"/>
        </w:rPr>
      </w:pPr>
      <w:r>
        <w:rPr>
          <w:sz w:val="38"/>
        </w:rPr>
        <w:t>lengthens telomeres</w:t>
      </w:r>
      <w:r>
        <w:rPr>
          <w:spacing w:val="2"/>
          <w:sz w:val="38"/>
        </w:rPr>
        <w:t> </w:t>
      </w:r>
      <w:r>
        <w:rPr>
          <w:sz w:val="38"/>
        </w:rPr>
        <w:t>and</w:t>
      </w:r>
    </w:p>
    <w:p>
      <w:pPr>
        <w:pStyle w:val="ListParagraph"/>
        <w:numPr>
          <w:ilvl w:val="0"/>
          <w:numId w:val="68"/>
        </w:numPr>
        <w:tabs>
          <w:tab w:pos="1552" w:val="left" w:leader="none"/>
          <w:tab w:pos="1553" w:val="left" w:leader="none"/>
        </w:tabs>
        <w:spacing w:line="240" w:lineRule="auto" w:before="66" w:after="0"/>
        <w:ind w:left="1552" w:right="0" w:hanging="360"/>
        <w:jc w:val="left"/>
        <w:rPr>
          <w:sz w:val="38"/>
        </w:rPr>
      </w:pPr>
      <w:r>
        <w:rPr>
          <w:sz w:val="38"/>
        </w:rPr>
        <w:t>reduces damage to telomeric</w:t>
      </w:r>
      <w:r>
        <w:rPr>
          <w:spacing w:val="1"/>
          <w:sz w:val="38"/>
        </w:rPr>
        <w:t> </w:t>
      </w:r>
      <w:r>
        <w:rPr>
          <w:sz w:val="38"/>
        </w:rPr>
        <w:t>DNA,</w:t>
      </w:r>
    </w:p>
    <w:p>
      <w:pPr>
        <w:pStyle w:val="ListParagraph"/>
        <w:numPr>
          <w:ilvl w:val="0"/>
          <w:numId w:val="68"/>
        </w:numPr>
        <w:tabs>
          <w:tab w:pos="1552" w:val="left" w:leader="none"/>
          <w:tab w:pos="1553" w:val="left" w:leader="none"/>
        </w:tabs>
        <w:spacing w:line="240" w:lineRule="auto" w:before="64" w:after="0"/>
        <w:ind w:left="1552" w:right="0" w:hanging="360"/>
        <w:jc w:val="left"/>
        <w:rPr>
          <w:sz w:val="38"/>
        </w:rPr>
      </w:pPr>
      <w:r>
        <w:rPr>
          <w:sz w:val="38"/>
        </w:rPr>
        <w:t>discharges heavy</w:t>
      </w:r>
      <w:r>
        <w:rPr>
          <w:spacing w:val="-1"/>
          <w:sz w:val="38"/>
        </w:rPr>
        <w:t> </w:t>
      </w:r>
      <w:r>
        <w:rPr>
          <w:sz w:val="38"/>
        </w:rPr>
        <w:t>metals,</w:t>
      </w:r>
    </w:p>
    <w:p>
      <w:pPr>
        <w:pStyle w:val="ListParagraph"/>
        <w:numPr>
          <w:ilvl w:val="0"/>
          <w:numId w:val="68"/>
        </w:numPr>
        <w:tabs>
          <w:tab w:pos="1552" w:val="left" w:leader="none"/>
          <w:tab w:pos="1553" w:val="left" w:leader="none"/>
        </w:tabs>
        <w:spacing w:line="240" w:lineRule="auto" w:before="63" w:after="0"/>
        <w:ind w:left="1552" w:right="0" w:hanging="360"/>
        <w:jc w:val="left"/>
        <w:rPr>
          <w:sz w:val="38"/>
        </w:rPr>
      </w:pPr>
      <w:r>
        <w:rPr>
          <w:sz w:val="38"/>
        </w:rPr>
        <w:t>accelerates wound healing,</w:t>
      </w:r>
    </w:p>
    <w:p>
      <w:pPr>
        <w:pStyle w:val="ListParagraph"/>
        <w:numPr>
          <w:ilvl w:val="0"/>
          <w:numId w:val="68"/>
        </w:numPr>
        <w:tabs>
          <w:tab w:pos="1552" w:val="left" w:leader="none"/>
          <w:tab w:pos="1553" w:val="left" w:leader="none"/>
        </w:tabs>
        <w:spacing w:line="240" w:lineRule="auto" w:before="64" w:after="0"/>
        <w:ind w:left="1552" w:right="0" w:hanging="360"/>
        <w:jc w:val="left"/>
        <w:rPr>
          <w:sz w:val="38"/>
        </w:rPr>
      </w:pPr>
      <w:r>
        <w:rPr>
          <w:sz w:val="38"/>
        </w:rPr>
        <w:t>lowers blood</w:t>
      </w:r>
      <w:r>
        <w:rPr>
          <w:spacing w:val="2"/>
          <w:sz w:val="38"/>
        </w:rPr>
        <w:t> </w:t>
      </w:r>
      <w:r>
        <w:rPr>
          <w:sz w:val="38"/>
        </w:rPr>
        <w:t>pressure,</w:t>
      </w:r>
    </w:p>
    <w:p>
      <w:pPr>
        <w:pStyle w:val="ListParagraph"/>
        <w:numPr>
          <w:ilvl w:val="0"/>
          <w:numId w:val="68"/>
        </w:numPr>
        <w:tabs>
          <w:tab w:pos="1552" w:val="left" w:leader="none"/>
          <w:tab w:pos="1553" w:val="left" w:leader="none"/>
        </w:tabs>
        <w:spacing w:line="240" w:lineRule="auto" w:before="64" w:after="0"/>
        <w:ind w:left="1552" w:right="0" w:hanging="360"/>
        <w:jc w:val="left"/>
        <w:rPr>
          <w:sz w:val="38"/>
        </w:rPr>
      </w:pPr>
      <w:r>
        <w:rPr>
          <w:sz w:val="38"/>
        </w:rPr>
        <w:t>counteracts the development of</w:t>
      </w:r>
      <w:r>
        <w:rPr>
          <w:spacing w:val="-2"/>
          <w:sz w:val="38"/>
        </w:rPr>
        <w:t> </w:t>
      </w:r>
      <w:r>
        <w:rPr>
          <w:sz w:val="38"/>
        </w:rPr>
        <w:t>cancer,</w:t>
      </w:r>
    </w:p>
    <w:p>
      <w:pPr>
        <w:pStyle w:val="ListParagraph"/>
        <w:numPr>
          <w:ilvl w:val="0"/>
          <w:numId w:val="68"/>
        </w:numPr>
        <w:tabs>
          <w:tab w:pos="1552" w:val="left" w:leader="none"/>
          <w:tab w:pos="1553" w:val="left" w:leader="none"/>
        </w:tabs>
        <w:spacing w:line="240" w:lineRule="auto" w:before="66" w:after="0"/>
        <w:ind w:left="1552" w:right="0" w:hanging="360"/>
        <w:jc w:val="left"/>
        <w:rPr>
          <w:sz w:val="38"/>
        </w:rPr>
      </w:pPr>
      <w:r>
        <w:rPr>
          <w:sz w:val="38"/>
        </w:rPr>
        <w:t>protects the cardiovascular system,</w:t>
      </w:r>
    </w:p>
    <w:p>
      <w:pPr>
        <w:pStyle w:val="ListParagraph"/>
        <w:numPr>
          <w:ilvl w:val="0"/>
          <w:numId w:val="68"/>
        </w:numPr>
        <w:tabs>
          <w:tab w:pos="1552" w:val="left" w:leader="none"/>
          <w:tab w:pos="1553" w:val="left" w:leader="none"/>
        </w:tabs>
        <w:spacing w:line="240" w:lineRule="auto" w:before="64" w:after="0"/>
        <w:ind w:left="1552" w:right="0" w:hanging="360"/>
        <w:jc w:val="left"/>
        <w:rPr>
          <w:sz w:val="38"/>
        </w:rPr>
      </w:pPr>
      <w:r>
        <w:rPr>
          <w:sz w:val="38"/>
        </w:rPr>
        <w:t>protects the</w:t>
      </w:r>
      <w:r>
        <w:rPr>
          <w:spacing w:val="-1"/>
          <w:sz w:val="38"/>
        </w:rPr>
        <w:t> </w:t>
      </w:r>
      <w:r>
        <w:rPr>
          <w:sz w:val="38"/>
        </w:rPr>
        <w:t>brain,</w:t>
      </w:r>
    </w:p>
    <w:p>
      <w:pPr>
        <w:pStyle w:val="ListParagraph"/>
        <w:numPr>
          <w:ilvl w:val="0"/>
          <w:numId w:val="68"/>
        </w:numPr>
        <w:tabs>
          <w:tab w:pos="1552" w:val="left" w:leader="none"/>
          <w:tab w:pos="1553" w:val="left" w:leader="none"/>
        </w:tabs>
        <w:spacing w:line="240" w:lineRule="auto" w:before="63" w:after="0"/>
        <w:ind w:left="1552" w:right="0" w:hanging="360"/>
        <w:jc w:val="left"/>
        <w:rPr>
          <w:sz w:val="38"/>
        </w:rPr>
      </w:pPr>
      <w:r>
        <w:rPr>
          <w:sz w:val="38"/>
        </w:rPr>
        <w:t>counteracts gastric</w:t>
      </w:r>
      <w:r>
        <w:rPr>
          <w:spacing w:val="-1"/>
          <w:sz w:val="38"/>
        </w:rPr>
        <w:t> </w:t>
      </w:r>
      <w:r>
        <w:rPr>
          <w:sz w:val="38"/>
        </w:rPr>
        <w:t>ulcers,</w:t>
      </w:r>
    </w:p>
    <w:p>
      <w:pPr>
        <w:pStyle w:val="ListParagraph"/>
        <w:numPr>
          <w:ilvl w:val="0"/>
          <w:numId w:val="68"/>
        </w:numPr>
        <w:tabs>
          <w:tab w:pos="1552" w:val="left" w:leader="none"/>
          <w:tab w:pos="1553" w:val="left" w:leader="none"/>
        </w:tabs>
        <w:spacing w:line="240" w:lineRule="auto" w:before="64" w:after="0"/>
        <w:ind w:left="1552" w:right="0" w:hanging="360"/>
        <w:jc w:val="left"/>
        <w:rPr>
          <w:sz w:val="38"/>
        </w:rPr>
      </w:pPr>
      <w:r>
        <w:rPr>
          <w:sz w:val="38"/>
        </w:rPr>
        <w:t>reduces body</w:t>
      </w:r>
      <w:r>
        <w:rPr>
          <w:spacing w:val="-1"/>
          <w:sz w:val="38"/>
        </w:rPr>
        <w:t> </w:t>
      </w:r>
      <w:r>
        <w:rPr>
          <w:sz w:val="38"/>
        </w:rPr>
        <w:t>fat</w:t>
      </w:r>
    </w:p>
    <w:p>
      <w:pPr>
        <w:pStyle w:val="ListParagraph"/>
        <w:numPr>
          <w:ilvl w:val="0"/>
          <w:numId w:val="68"/>
        </w:numPr>
        <w:tabs>
          <w:tab w:pos="1552" w:val="left" w:leader="none"/>
          <w:tab w:pos="1553" w:val="left" w:leader="none"/>
        </w:tabs>
        <w:spacing w:line="240" w:lineRule="auto" w:before="63" w:after="0"/>
        <w:ind w:left="1552" w:right="0" w:hanging="360"/>
        <w:jc w:val="left"/>
        <w:rPr>
          <w:sz w:val="38"/>
        </w:rPr>
      </w:pPr>
      <w:r>
        <w:rPr>
          <w:sz w:val="38"/>
        </w:rPr>
        <w:t>and increases anaerobic</w:t>
      </w:r>
      <w:r>
        <w:rPr>
          <w:spacing w:val="3"/>
          <w:sz w:val="38"/>
        </w:rPr>
        <w:t> </w:t>
      </w:r>
      <w:r>
        <w:rPr>
          <w:sz w:val="38"/>
        </w:rPr>
        <w:t>sports</w:t>
      </w:r>
    </w:p>
    <w:p>
      <w:pPr>
        <w:pStyle w:val="ListParagraph"/>
        <w:numPr>
          <w:ilvl w:val="0"/>
          <w:numId w:val="68"/>
        </w:numPr>
        <w:tabs>
          <w:tab w:pos="1552" w:val="left" w:leader="none"/>
          <w:tab w:pos="1553" w:val="left" w:leader="none"/>
        </w:tabs>
        <w:spacing w:line="240" w:lineRule="auto" w:before="67" w:after="0"/>
        <w:ind w:left="1552" w:right="0" w:hanging="360"/>
        <w:jc w:val="left"/>
        <w:rPr>
          <w:sz w:val="38"/>
        </w:rPr>
      </w:pPr>
      <w:r>
        <w:rPr>
          <w:sz w:val="38"/>
        </w:rPr>
        <w:t>performance.</w:t>
      </w:r>
    </w:p>
    <w:p>
      <w:pPr>
        <w:pStyle w:val="Heading2"/>
        <w:spacing w:before="302"/>
      </w:pPr>
      <w:r>
        <w:rPr/>
        <w:t>In summary, L-carnosine is a completely harmless, endogenous, natural</w:t>
      </w:r>
    </w:p>
    <w:p>
      <w:pPr>
        <w:spacing w:after="0"/>
        <w:sectPr>
          <w:pgSz w:w="14270" w:h="16850"/>
          <w:pgMar w:header="0" w:footer="404" w:top="1600" w:bottom="2080" w:left="800" w:right="1280"/>
        </w:sectPr>
      </w:pPr>
    </w:p>
    <w:p>
      <w:pPr>
        <w:spacing w:before="181"/>
        <w:ind w:left="477" w:right="0" w:firstLine="0"/>
        <w:jc w:val="left"/>
        <w:rPr>
          <w:b/>
          <w:sz w:val="38"/>
        </w:rPr>
      </w:pPr>
      <w:r>
        <w:rPr>
          <w:b/>
          <w:sz w:val="38"/>
        </w:rPr>
        <w:t>substance with the following benefits to our lives:</w:t>
      </w:r>
    </w:p>
    <w:p>
      <w:pPr>
        <w:pStyle w:val="ListParagraph"/>
        <w:numPr>
          <w:ilvl w:val="2"/>
          <w:numId w:val="67"/>
        </w:numPr>
        <w:tabs>
          <w:tab w:pos="1185" w:val="left" w:leader="none"/>
          <w:tab w:pos="1186" w:val="left" w:leader="none"/>
        </w:tabs>
        <w:spacing w:line="273" w:lineRule="auto" w:before="306" w:after="0"/>
        <w:ind w:left="1185" w:right="140" w:hanging="360"/>
        <w:jc w:val="left"/>
        <w:rPr>
          <w:sz w:val="38"/>
        </w:rPr>
      </w:pPr>
      <w:r>
        <w:rPr>
          <w:sz w:val="38"/>
        </w:rPr>
        <w:t>It is an all-round antioxidant that protects our cells from destructive oxi- dation.</w:t>
      </w:r>
    </w:p>
    <w:p>
      <w:pPr>
        <w:pStyle w:val="ListParagraph"/>
        <w:numPr>
          <w:ilvl w:val="2"/>
          <w:numId w:val="67"/>
        </w:numPr>
        <w:tabs>
          <w:tab w:pos="1185" w:val="left" w:leader="none"/>
          <w:tab w:pos="1186" w:val="left" w:leader="none"/>
        </w:tabs>
        <w:spacing w:line="273" w:lineRule="auto" w:before="8" w:after="0"/>
        <w:ind w:left="1185" w:right="138" w:hanging="360"/>
        <w:jc w:val="left"/>
        <w:rPr>
          <w:sz w:val="38"/>
        </w:rPr>
      </w:pPr>
      <w:r>
        <w:rPr>
          <w:sz w:val="38"/>
        </w:rPr>
        <w:t>It suppresses the activity of the most aggressive free radicals, such as hy- droxyl, peroxyl, superoxide and singlet</w:t>
      </w:r>
      <w:r>
        <w:rPr>
          <w:spacing w:val="-5"/>
          <w:sz w:val="38"/>
        </w:rPr>
        <w:t> </w:t>
      </w:r>
      <w:r>
        <w:rPr>
          <w:sz w:val="38"/>
        </w:rPr>
        <w:t>oxygen.</w:t>
      </w:r>
    </w:p>
    <w:p>
      <w:pPr>
        <w:pStyle w:val="ListParagraph"/>
        <w:numPr>
          <w:ilvl w:val="2"/>
          <w:numId w:val="67"/>
        </w:numPr>
        <w:tabs>
          <w:tab w:pos="1185" w:val="left" w:leader="none"/>
          <w:tab w:pos="1186" w:val="left" w:leader="none"/>
        </w:tabs>
        <w:spacing w:line="240" w:lineRule="auto" w:before="7" w:after="0"/>
        <w:ind w:left="1185" w:right="0" w:hanging="360"/>
        <w:jc w:val="left"/>
        <w:rPr>
          <w:sz w:val="38"/>
        </w:rPr>
      </w:pPr>
      <w:r>
        <w:rPr>
          <w:sz w:val="38"/>
        </w:rPr>
        <w:t>It prevents lipid peroxidation and protects our blood</w:t>
      </w:r>
      <w:r>
        <w:rPr>
          <w:spacing w:val="-8"/>
          <w:sz w:val="38"/>
        </w:rPr>
        <w:t> </w:t>
      </w:r>
      <w:r>
        <w:rPr>
          <w:sz w:val="38"/>
        </w:rPr>
        <w:t>vessels.</w:t>
      </w:r>
    </w:p>
    <w:p>
      <w:pPr>
        <w:pStyle w:val="ListParagraph"/>
        <w:numPr>
          <w:ilvl w:val="2"/>
          <w:numId w:val="67"/>
        </w:numPr>
        <w:tabs>
          <w:tab w:pos="1185" w:val="left" w:leader="none"/>
          <w:tab w:pos="1186" w:val="left" w:leader="none"/>
        </w:tabs>
        <w:spacing w:line="240" w:lineRule="auto" w:before="64" w:after="0"/>
        <w:ind w:left="1185" w:right="0" w:hanging="360"/>
        <w:jc w:val="left"/>
        <w:rPr>
          <w:sz w:val="38"/>
        </w:rPr>
      </w:pPr>
      <w:r>
        <w:rPr>
          <w:sz w:val="38"/>
        </w:rPr>
        <w:t>It protects our cells as well as chromosomes from oxidation</w:t>
      </w:r>
      <w:r>
        <w:rPr>
          <w:spacing w:val="-18"/>
          <w:sz w:val="38"/>
        </w:rPr>
        <w:t> </w:t>
      </w:r>
      <w:r>
        <w:rPr>
          <w:sz w:val="38"/>
        </w:rPr>
        <w:t>damage.</w:t>
      </w:r>
    </w:p>
    <w:p>
      <w:pPr>
        <w:pStyle w:val="ListParagraph"/>
        <w:numPr>
          <w:ilvl w:val="2"/>
          <w:numId w:val="67"/>
        </w:numPr>
        <w:tabs>
          <w:tab w:pos="1185" w:val="left" w:leader="none"/>
          <w:tab w:pos="1186" w:val="left" w:leader="none"/>
        </w:tabs>
        <w:spacing w:line="273" w:lineRule="auto" w:before="66" w:after="0"/>
        <w:ind w:left="1185" w:right="138" w:hanging="360"/>
        <w:jc w:val="left"/>
        <w:rPr>
          <w:sz w:val="38"/>
        </w:rPr>
      </w:pPr>
      <w:r>
        <w:rPr>
          <w:sz w:val="38"/>
        </w:rPr>
        <w:t>It is the most effective, natural means of preventing glycation (saccharifi- cation).</w:t>
      </w:r>
    </w:p>
    <w:p>
      <w:pPr>
        <w:pStyle w:val="ListParagraph"/>
        <w:numPr>
          <w:ilvl w:val="2"/>
          <w:numId w:val="67"/>
        </w:numPr>
        <w:tabs>
          <w:tab w:pos="1185" w:val="left" w:leader="none"/>
          <w:tab w:pos="1186" w:val="left" w:leader="none"/>
        </w:tabs>
        <w:spacing w:line="273" w:lineRule="auto" w:before="7" w:after="0"/>
        <w:ind w:left="1185" w:right="1137" w:hanging="360"/>
        <w:jc w:val="left"/>
        <w:rPr>
          <w:sz w:val="38"/>
        </w:rPr>
      </w:pPr>
      <w:r>
        <w:rPr>
          <w:sz w:val="38"/>
        </w:rPr>
        <w:t>It prevents the cross-linking of proteins, which is one of the ageing mechanisms that L-carnosine can</w:t>
      </w:r>
      <w:r>
        <w:rPr>
          <w:spacing w:val="2"/>
          <w:sz w:val="38"/>
        </w:rPr>
        <w:t> </w:t>
      </w:r>
      <w:r>
        <w:rPr>
          <w:sz w:val="38"/>
        </w:rPr>
        <w:t>affect.</w:t>
      </w:r>
    </w:p>
    <w:p>
      <w:pPr>
        <w:pStyle w:val="ListParagraph"/>
        <w:numPr>
          <w:ilvl w:val="2"/>
          <w:numId w:val="67"/>
        </w:numPr>
        <w:tabs>
          <w:tab w:pos="1186" w:val="left" w:leader="none"/>
        </w:tabs>
        <w:spacing w:line="273" w:lineRule="auto" w:before="7" w:after="0"/>
        <w:ind w:left="1185" w:right="136" w:hanging="360"/>
        <w:jc w:val="both"/>
        <w:rPr>
          <w:sz w:val="38"/>
        </w:rPr>
      </w:pPr>
      <w:r>
        <w:rPr>
          <w:sz w:val="38"/>
        </w:rPr>
        <w:t>It prevents the shortening of the telomeres on the chromosomes and re- pairs damage to telomeres. Both of these factors have a life-prolonging effect.</w:t>
      </w:r>
    </w:p>
    <w:p>
      <w:pPr>
        <w:pStyle w:val="ListParagraph"/>
        <w:numPr>
          <w:ilvl w:val="2"/>
          <w:numId w:val="67"/>
        </w:numPr>
        <w:tabs>
          <w:tab w:pos="1185" w:val="left" w:leader="none"/>
          <w:tab w:pos="1186" w:val="left" w:leader="none"/>
        </w:tabs>
        <w:spacing w:line="240" w:lineRule="auto" w:before="12" w:after="0"/>
        <w:ind w:left="1185" w:right="0" w:hanging="360"/>
        <w:jc w:val="left"/>
        <w:rPr>
          <w:sz w:val="38"/>
        </w:rPr>
      </w:pPr>
      <w:r>
        <w:rPr>
          <w:sz w:val="38"/>
        </w:rPr>
        <w:t>It prevents carbonylation as a further ageing</w:t>
      </w:r>
      <w:r>
        <w:rPr>
          <w:spacing w:val="-3"/>
          <w:sz w:val="38"/>
        </w:rPr>
        <w:t> </w:t>
      </w:r>
      <w:r>
        <w:rPr>
          <w:sz w:val="38"/>
        </w:rPr>
        <w:t>mechanism.</w:t>
      </w:r>
    </w:p>
    <w:p>
      <w:pPr>
        <w:pStyle w:val="ListParagraph"/>
        <w:numPr>
          <w:ilvl w:val="2"/>
          <w:numId w:val="67"/>
        </w:numPr>
        <w:tabs>
          <w:tab w:pos="1185" w:val="left" w:leader="none"/>
          <w:tab w:pos="1186" w:val="left" w:leader="none"/>
        </w:tabs>
        <w:spacing w:line="240" w:lineRule="auto" w:before="64" w:after="0"/>
        <w:ind w:left="1185" w:right="0" w:hanging="360"/>
        <w:jc w:val="left"/>
        <w:rPr>
          <w:sz w:val="38"/>
        </w:rPr>
      </w:pPr>
      <w:r>
        <w:rPr>
          <w:sz w:val="38"/>
        </w:rPr>
        <w:t>It protects protein cells from the toxic effects of</w:t>
      </w:r>
      <w:r>
        <w:rPr>
          <w:spacing w:val="-5"/>
          <w:sz w:val="38"/>
        </w:rPr>
        <w:t> </w:t>
      </w:r>
      <w:r>
        <w:rPr>
          <w:sz w:val="38"/>
        </w:rPr>
        <w:t>AEGs.</w:t>
      </w:r>
    </w:p>
    <w:p>
      <w:pPr>
        <w:pStyle w:val="ListParagraph"/>
        <w:numPr>
          <w:ilvl w:val="2"/>
          <w:numId w:val="67"/>
        </w:numPr>
        <w:tabs>
          <w:tab w:pos="1185" w:val="left" w:leader="none"/>
          <w:tab w:pos="1186" w:val="left" w:leader="none"/>
        </w:tabs>
        <w:spacing w:line="240" w:lineRule="auto" w:before="63" w:after="0"/>
        <w:ind w:left="1185" w:right="0" w:hanging="360"/>
        <w:jc w:val="left"/>
        <w:rPr>
          <w:sz w:val="38"/>
        </w:rPr>
      </w:pPr>
      <w:r>
        <w:rPr>
          <w:sz w:val="38"/>
        </w:rPr>
        <w:t>It protects both proteins and</w:t>
      </w:r>
      <w:r>
        <w:rPr>
          <w:spacing w:val="-2"/>
          <w:sz w:val="38"/>
        </w:rPr>
        <w:t> </w:t>
      </w:r>
      <w:r>
        <w:rPr>
          <w:sz w:val="38"/>
        </w:rPr>
        <w:t>phospholipids.</w:t>
      </w:r>
    </w:p>
    <w:p>
      <w:pPr>
        <w:pStyle w:val="ListParagraph"/>
        <w:numPr>
          <w:ilvl w:val="2"/>
          <w:numId w:val="67"/>
        </w:numPr>
        <w:tabs>
          <w:tab w:pos="1185" w:val="left" w:leader="none"/>
          <w:tab w:pos="1186" w:val="left" w:leader="none"/>
        </w:tabs>
        <w:spacing w:line="240" w:lineRule="auto" w:before="64" w:after="0"/>
        <w:ind w:left="1185" w:right="0" w:hanging="360"/>
        <w:jc w:val="left"/>
        <w:rPr>
          <w:sz w:val="38"/>
        </w:rPr>
      </w:pPr>
      <w:r>
        <w:rPr>
          <w:sz w:val="38"/>
        </w:rPr>
        <w:t>It accelerates the recovery of damaged proteins.</w:t>
      </w:r>
    </w:p>
    <w:p>
      <w:pPr>
        <w:pStyle w:val="ListParagraph"/>
        <w:numPr>
          <w:ilvl w:val="2"/>
          <w:numId w:val="67"/>
        </w:numPr>
        <w:tabs>
          <w:tab w:pos="1185" w:val="left" w:leader="none"/>
          <w:tab w:pos="1186" w:val="left" w:leader="none"/>
        </w:tabs>
        <w:spacing w:line="273" w:lineRule="auto" w:before="64" w:after="0"/>
        <w:ind w:left="1185" w:right="227" w:hanging="360"/>
        <w:jc w:val="left"/>
        <w:rPr>
          <w:sz w:val="38"/>
        </w:rPr>
      </w:pPr>
      <w:r>
        <w:rPr>
          <w:sz w:val="38"/>
        </w:rPr>
        <w:t>It accelerates collagen synthesis and thus the renewal of connective tissue and skin</w:t>
      </w:r>
      <w:r>
        <w:rPr>
          <w:spacing w:val="1"/>
          <w:sz w:val="38"/>
        </w:rPr>
        <w:t> </w:t>
      </w:r>
      <w:r>
        <w:rPr>
          <w:sz w:val="38"/>
        </w:rPr>
        <w:t>cells.</w:t>
      </w:r>
    </w:p>
    <w:p>
      <w:pPr>
        <w:pStyle w:val="ListParagraph"/>
        <w:numPr>
          <w:ilvl w:val="2"/>
          <w:numId w:val="67"/>
        </w:numPr>
        <w:tabs>
          <w:tab w:pos="1185" w:val="left" w:leader="none"/>
          <w:tab w:pos="1186" w:val="left" w:leader="none"/>
        </w:tabs>
        <w:spacing w:line="273" w:lineRule="auto" w:before="7" w:after="0"/>
        <w:ind w:left="1185" w:right="542" w:hanging="360"/>
        <w:jc w:val="left"/>
        <w:rPr>
          <w:sz w:val="38"/>
        </w:rPr>
      </w:pPr>
      <w:r>
        <w:rPr>
          <w:sz w:val="38"/>
        </w:rPr>
        <w:t>In animal experiments, it has a positive effect on the behaviour and ap- pearance of old mice and extends their lives by 20</w:t>
      </w:r>
      <w:r>
        <w:rPr>
          <w:spacing w:val="1"/>
          <w:sz w:val="38"/>
        </w:rPr>
        <w:t> </w:t>
      </w:r>
      <w:r>
        <w:rPr>
          <w:sz w:val="38"/>
        </w:rPr>
        <w:t>%.</w:t>
      </w:r>
    </w:p>
    <w:p>
      <w:pPr>
        <w:spacing w:after="0" w:line="273" w:lineRule="auto"/>
        <w:jc w:val="left"/>
        <w:rPr>
          <w:sz w:val="38"/>
        </w:rPr>
        <w:sectPr>
          <w:pgSz w:w="14270" w:h="16850"/>
          <w:pgMar w:header="0" w:footer="404" w:top="1600" w:bottom="2080" w:left="800" w:right="1280"/>
        </w:sectPr>
      </w:pPr>
    </w:p>
    <w:p>
      <w:pPr>
        <w:pStyle w:val="BodyText"/>
        <w:spacing w:before="10"/>
        <w:rPr>
          <w:sz w:val="8"/>
        </w:rPr>
      </w:pPr>
    </w:p>
    <w:p>
      <w:pPr>
        <w:pStyle w:val="ListParagraph"/>
        <w:numPr>
          <w:ilvl w:val="2"/>
          <w:numId w:val="67"/>
        </w:numPr>
        <w:tabs>
          <w:tab w:pos="1185" w:val="left" w:leader="none"/>
          <w:tab w:pos="1186" w:val="left" w:leader="none"/>
        </w:tabs>
        <w:spacing w:line="240" w:lineRule="auto" w:before="83" w:after="0"/>
        <w:ind w:left="1185" w:right="0" w:hanging="360"/>
        <w:jc w:val="left"/>
        <w:rPr>
          <w:sz w:val="38"/>
        </w:rPr>
      </w:pPr>
      <w:r>
        <w:rPr>
          <w:sz w:val="38"/>
        </w:rPr>
        <w:t>It protects brain cells against increased toxicity.</w:t>
      </w:r>
    </w:p>
    <w:p>
      <w:pPr>
        <w:pStyle w:val="ListParagraph"/>
        <w:numPr>
          <w:ilvl w:val="2"/>
          <w:numId w:val="67"/>
        </w:numPr>
        <w:tabs>
          <w:tab w:pos="1185" w:val="left" w:leader="none"/>
          <w:tab w:pos="1186" w:val="left" w:leader="none"/>
        </w:tabs>
        <w:spacing w:line="240" w:lineRule="auto" w:before="64" w:after="0"/>
        <w:ind w:left="1185" w:right="0" w:hanging="360"/>
        <w:jc w:val="left"/>
        <w:rPr>
          <w:sz w:val="38"/>
        </w:rPr>
      </w:pPr>
      <w:r>
        <w:rPr>
          <w:sz w:val="38"/>
        </w:rPr>
        <w:t>It enhances</w:t>
      </w:r>
      <w:r>
        <w:rPr>
          <w:spacing w:val="-1"/>
          <w:sz w:val="38"/>
        </w:rPr>
        <w:t> </w:t>
      </w:r>
      <w:r>
        <w:rPr>
          <w:sz w:val="38"/>
        </w:rPr>
        <w:t>memory.</w:t>
      </w:r>
    </w:p>
    <w:p>
      <w:pPr>
        <w:pStyle w:val="ListParagraph"/>
        <w:numPr>
          <w:ilvl w:val="2"/>
          <w:numId w:val="67"/>
        </w:numPr>
        <w:tabs>
          <w:tab w:pos="1185" w:val="left" w:leader="none"/>
          <w:tab w:pos="1186" w:val="left" w:leader="none"/>
        </w:tabs>
        <w:spacing w:line="240" w:lineRule="auto" w:before="66" w:after="0"/>
        <w:ind w:left="1185" w:right="0" w:hanging="360"/>
        <w:jc w:val="left"/>
        <w:rPr>
          <w:sz w:val="38"/>
        </w:rPr>
      </w:pPr>
      <w:r>
        <w:rPr>
          <w:sz w:val="38"/>
        </w:rPr>
        <w:t>It acts as a so-called</w:t>
      </w:r>
      <w:r>
        <w:rPr>
          <w:spacing w:val="-4"/>
          <w:sz w:val="38"/>
        </w:rPr>
        <w:t> </w:t>
      </w:r>
      <w:r>
        <w:rPr>
          <w:sz w:val="38"/>
        </w:rPr>
        <w:t>neurotransmitter.</w:t>
      </w:r>
    </w:p>
    <w:p>
      <w:pPr>
        <w:pStyle w:val="ListParagraph"/>
        <w:numPr>
          <w:ilvl w:val="2"/>
          <w:numId w:val="67"/>
        </w:numPr>
        <w:tabs>
          <w:tab w:pos="1185" w:val="left" w:leader="none"/>
          <w:tab w:pos="1186" w:val="left" w:leader="none"/>
        </w:tabs>
        <w:spacing w:line="240" w:lineRule="auto" w:before="63" w:after="0"/>
        <w:ind w:left="1185" w:right="0" w:hanging="360"/>
        <w:jc w:val="left"/>
        <w:rPr>
          <w:sz w:val="38"/>
        </w:rPr>
      </w:pPr>
      <w:r>
        <w:rPr>
          <w:sz w:val="38"/>
        </w:rPr>
        <w:t>It protects biochemical functions and processes in the</w:t>
      </w:r>
      <w:r>
        <w:rPr>
          <w:spacing w:val="-1"/>
          <w:sz w:val="38"/>
        </w:rPr>
        <w:t> </w:t>
      </w:r>
      <w:r>
        <w:rPr>
          <w:sz w:val="38"/>
        </w:rPr>
        <w:t>brain.</w:t>
      </w:r>
    </w:p>
    <w:p>
      <w:pPr>
        <w:pStyle w:val="ListParagraph"/>
        <w:numPr>
          <w:ilvl w:val="2"/>
          <w:numId w:val="67"/>
        </w:numPr>
        <w:tabs>
          <w:tab w:pos="1185" w:val="left" w:leader="none"/>
          <w:tab w:pos="1186" w:val="left" w:leader="none"/>
        </w:tabs>
        <w:spacing w:line="240" w:lineRule="auto" w:before="64" w:after="0"/>
        <w:ind w:left="1185" w:right="0" w:hanging="360"/>
        <w:jc w:val="left"/>
        <w:rPr>
          <w:sz w:val="38"/>
        </w:rPr>
      </w:pPr>
      <w:r>
        <w:rPr>
          <w:sz w:val="38"/>
        </w:rPr>
        <w:t>It shows amazing results in the treatment of</w:t>
      </w:r>
      <w:r>
        <w:rPr>
          <w:spacing w:val="-6"/>
          <w:sz w:val="38"/>
        </w:rPr>
        <w:t> </w:t>
      </w:r>
      <w:r>
        <w:rPr>
          <w:sz w:val="38"/>
        </w:rPr>
        <w:t>autism.</w:t>
      </w:r>
    </w:p>
    <w:p>
      <w:pPr>
        <w:pStyle w:val="ListParagraph"/>
        <w:numPr>
          <w:ilvl w:val="2"/>
          <w:numId w:val="67"/>
        </w:numPr>
        <w:tabs>
          <w:tab w:pos="1185" w:val="left" w:leader="none"/>
          <w:tab w:pos="1186" w:val="left" w:leader="none"/>
        </w:tabs>
        <w:spacing w:line="273" w:lineRule="auto" w:before="63" w:after="0"/>
        <w:ind w:left="1185" w:right="277" w:hanging="360"/>
        <w:jc w:val="left"/>
        <w:rPr>
          <w:sz w:val="38"/>
        </w:rPr>
      </w:pPr>
      <w:r>
        <w:rPr>
          <w:sz w:val="38"/>
        </w:rPr>
        <w:t>It prevents the cross-linking of beta-amyloid that cause the deposits typi- cal of Alzheimer's disease.</w:t>
      </w:r>
    </w:p>
    <w:p>
      <w:pPr>
        <w:pStyle w:val="ListParagraph"/>
        <w:numPr>
          <w:ilvl w:val="2"/>
          <w:numId w:val="67"/>
        </w:numPr>
        <w:tabs>
          <w:tab w:pos="1185" w:val="left" w:leader="none"/>
          <w:tab w:pos="1186" w:val="left" w:leader="none"/>
        </w:tabs>
        <w:spacing w:line="240" w:lineRule="auto" w:before="8" w:after="0"/>
        <w:ind w:left="1185" w:right="0" w:hanging="360"/>
        <w:jc w:val="left"/>
        <w:rPr>
          <w:sz w:val="38"/>
        </w:rPr>
      </w:pPr>
      <w:r>
        <w:rPr>
          <w:sz w:val="38"/>
        </w:rPr>
        <w:t>It rejuvenates the body cells in the phase of</w:t>
      </w:r>
      <w:r>
        <w:rPr>
          <w:spacing w:val="-5"/>
          <w:sz w:val="38"/>
        </w:rPr>
        <w:t> </w:t>
      </w:r>
      <w:r>
        <w:rPr>
          <w:sz w:val="38"/>
        </w:rPr>
        <w:t>senescence.</w:t>
      </w:r>
    </w:p>
    <w:p>
      <w:pPr>
        <w:pStyle w:val="ListParagraph"/>
        <w:numPr>
          <w:ilvl w:val="2"/>
          <w:numId w:val="67"/>
        </w:numPr>
        <w:tabs>
          <w:tab w:pos="1185" w:val="left" w:leader="none"/>
          <w:tab w:pos="1186" w:val="left" w:leader="none"/>
        </w:tabs>
        <w:spacing w:line="240" w:lineRule="auto" w:before="64" w:after="0"/>
        <w:ind w:left="1185" w:right="0" w:hanging="360"/>
        <w:jc w:val="left"/>
        <w:rPr>
          <w:sz w:val="38"/>
        </w:rPr>
      </w:pPr>
      <w:r>
        <w:rPr>
          <w:sz w:val="38"/>
        </w:rPr>
        <w:t>It gives cells approaching senescence a youthful</w:t>
      </w:r>
      <w:r>
        <w:rPr>
          <w:spacing w:val="-8"/>
          <w:sz w:val="38"/>
        </w:rPr>
        <w:t> </w:t>
      </w:r>
      <w:r>
        <w:rPr>
          <w:sz w:val="38"/>
        </w:rPr>
        <w:t>appearance.</w:t>
      </w:r>
    </w:p>
    <w:p>
      <w:pPr>
        <w:pStyle w:val="ListParagraph"/>
        <w:numPr>
          <w:ilvl w:val="2"/>
          <w:numId w:val="67"/>
        </w:numPr>
        <w:tabs>
          <w:tab w:pos="1185" w:val="left" w:leader="none"/>
          <w:tab w:pos="1186" w:val="left" w:leader="none"/>
        </w:tabs>
        <w:spacing w:line="240" w:lineRule="auto" w:before="66" w:after="0"/>
        <w:ind w:left="1185" w:right="0" w:hanging="360"/>
        <w:jc w:val="left"/>
        <w:rPr>
          <w:sz w:val="38"/>
        </w:rPr>
      </w:pPr>
      <w:r>
        <w:rPr>
          <w:sz w:val="38"/>
        </w:rPr>
        <w:t>It extends the life of</w:t>
      </w:r>
      <w:r>
        <w:rPr>
          <w:spacing w:val="-1"/>
          <w:sz w:val="38"/>
        </w:rPr>
        <w:t> </w:t>
      </w:r>
      <w:r>
        <w:rPr>
          <w:sz w:val="38"/>
        </w:rPr>
        <w:t>cells.</w:t>
      </w:r>
    </w:p>
    <w:p>
      <w:pPr>
        <w:pStyle w:val="ListParagraph"/>
        <w:numPr>
          <w:ilvl w:val="2"/>
          <w:numId w:val="67"/>
        </w:numPr>
        <w:tabs>
          <w:tab w:pos="1185" w:val="left" w:leader="none"/>
          <w:tab w:pos="1186" w:val="left" w:leader="none"/>
        </w:tabs>
        <w:spacing w:line="273" w:lineRule="auto" w:before="63" w:after="0"/>
        <w:ind w:left="1185" w:right="137" w:hanging="360"/>
        <w:jc w:val="left"/>
        <w:rPr>
          <w:sz w:val="38"/>
        </w:rPr>
      </w:pPr>
      <w:r>
        <w:rPr>
          <w:sz w:val="38"/>
        </w:rPr>
        <w:t>It</w:t>
      </w:r>
      <w:r>
        <w:rPr>
          <w:spacing w:val="-10"/>
          <w:sz w:val="38"/>
        </w:rPr>
        <w:t> </w:t>
      </w:r>
      <w:r>
        <w:rPr>
          <w:sz w:val="38"/>
        </w:rPr>
        <w:t>breaks</w:t>
      </w:r>
      <w:r>
        <w:rPr>
          <w:spacing w:val="-11"/>
          <w:sz w:val="38"/>
        </w:rPr>
        <w:t> </w:t>
      </w:r>
      <w:r>
        <w:rPr>
          <w:sz w:val="38"/>
        </w:rPr>
        <w:t>through</w:t>
      </w:r>
      <w:r>
        <w:rPr>
          <w:spacing w:val="-9"/>
          <w:sz w:val="38"/>
        </w:rPr>
        <w:t> </w:t>
      </w:r>
      <w:r>
        <w:rPr>
          <w:sz w:val="38"/>
        </w:rPr>
        <w:t>the</w:t>
      </w:r>
      <w:r>
        <w:rPr>
          <w:spacing w:val="-11"/>
          <w:sz w:val="38"/>
        </w:rPr>
        <w:t> </w:t>
      </w:r>
      <w:r>
        <w:rPr>
          <w:sz w:val="38"/>
        </w:rPr>
        <w:t>Hayflick</w:t>
      </w:r>
      <w:r>
        <w:rPr>
          <w:spacing w:val="-9"/>
          <w:sz w:val="38"/>
        </w:rPr>
        <w:t> </w:t>
      </w:r>
      <w:r>
        <w:rPr>
          <w:sz w:val="38"/>
        </w:rPr>
        <w:t>border</w:t>
      </w:r>
      <w:r>
        <w:rPr>
          <w:spacing w:val="-9"/>
          <w:sz w:val="38"/>
        </w:rPr>
        <w:t> </w:t>
      </w:r>
      <w:r>
        <w:rPr>
          <w:sz w:val="38"/>
        </w:rPr>
        <w:t>and</w:t>
      </w:r>
      <w:r>
        <w:rPr>
          <w:spacing w:val="-12"/>
          <w:sz w:val="38"/>
        </w:rPr>
        <w:t> </w:t>
      </w:r>
      <w:r>
        <w:rPr>
          <w:sz w:val="38"/>
        </w:rPr>
        <w:t>allows</w:t>
      </w:r>
      <w:r>
        <w:rPr>
          <w:spacing w:val="-8"/>
          <w:sz w:val="38"/>
        </w:rPr>
        <w:t> </w:t>
      </w:r>
      <w:r>
        <w:rPr>
          <w:sz w:val="38"/>
        </w:rPr>
        <w:t>cells</w:t>
      </w:r>
      <w:r>
        <w:rPr>
          <w:spacing w:val="-9"/>
          <w:sz w:val="38"/>
        </w:rPr>
        <w:t> </w:t>
      </w:r>
      <w:r>
        <w:rPr>
          <w:sz w:val="38"/>
        </w:rPr>
        <w:t>at</w:t>
      </w:r>
      <w:r>
        <w:rPr>
          <w:spacing w:val="-13"/>
          <w:sz w:val="38"/>
        </w:rPr>
        <w:t> </w:t>
      </w:r>
      <w:r>
        <w:rPr>
          <w:sz w:val="38"/>
        </w:rPr>
        <w:t>the</w:t>
      </w:r>
      <w:r>
        <w:rPr>
          <w:spacing w:val="-11"/>
          <w:sz w:val="38"/>
        </w:rPr>
        <w:t> </w:t>
      </w:r>
      <w:r>
        <w:rPr>
          <w:sz w:val="38"/>
        </w:rPr>
        <w:t>limit</w:t>
      </w:r>
      <w:r>
        <w:rPr>
          <w:spacing w:val="-11"/>
          <w:sz w:val="38"/>
        </w:rPr>
        <w:t> </w:t>
      </w:r>
      <w:r>
        <w:rPr>
          <w:sz w:val="38"/>
        </w:rPr>
        <w:t>to</w:t>
      </w:r>
      <w:r>
        <w:rPr>
          <w:spacing w:val="-11"/>
          <w:sz w:val="38"/>
        </w:rPr>
        <w:t> </w:t>
      </w:r>
      <w:r>
        <w:rPr>
          <w:sz w:val="38"/>
        </w:rPr>
        <w:t>divide further.</w:t>
      </w:r>
    </w:p>
    <w:p>
      <w:pPr>
        <w:pStyle w:val="ListParagraph"/>
        <w:numPr>
          <w:ilvl w:val="2"/>
          <w:numId w:val="67"/>
        </w:numPr>
        <w:tabs>
          <w:tab w:pos="1185" w:val="left" w:leader="none"/>
          <w:tab w:pos="1186" w:val="left" w:leader="none"/>
        </w:tabs>
        <w:spacing w:line="240" w:lineRule="auto" w:before="8" w:after="0"/>
        <w:ind w:left="1185" w:right="0" w:hanging="360"/>
        <w:jc w:val="left"/>
        <w:rPr>
          <w:sz w:val="38"/>
        </w:rPr>
      </w:pPr>
      <w:r>
        <w:rPr>
          <w:sz w:val="38"/>
        </w:rPr>
        <w:t>It accelerates wound healing via cell</w:t>
      </w:r>
      <w:r>
        <w:rPr>
          <w:spacing w:val="-3"/>
          <w:sz w:val="38"/>
        </w:rPr>
        <w:t> </w:t>
      </w:r>
      <w:r>
        <w:rPr>
          <w:sz w:val="38"/>
        </w:rPr>
        <w:t>renewal.</w:t>
      </w:r>
    </w:p>
    <w:p>
      <w:pPr>
        <w:pStyle w:val="ListParagraph"/>
        <w:numPr>
          <w:ilvl w:val="2"/>
          <w:numId w:val="67"/>
        </w:numPr>
        <w:tabs>
          <w:tab w:pos="1185" w:val="left" w:leader="none"/>
          <w:tab w:pos="1186" w:val="left" w:leader="none"/>
        </w:tabs>
        <w:spacing w:line="240" w:lineRule="auto" w:before="64" w:after="0"/>
        <w:ind w:left="1185" w:right="0" w:hanging="360"/>
        <w:jc w:val="left"/>
        <w:rPr>
          <w:sz w:val="38"/>
        </w:rPr>
      </w:pPr>
      <w:r>
        <w:rPr>
          <w:sz w:val="38"/>
        </w:rPr>
        <w:t>It protects the body against toxic</w:t>
      </w:r>
      <w:r>
        <w:rPr>
          <w:spacing w:val="-2"/>
          <w:sz w:val="38"/>
        </w:rPr>
        <w:t> </w:t>
      </w:r>
      <w:r>
        <w:rPr>
          <w:sz w:val="38"/>
        </w:rPr>
        <w:t>metals.</w:t>
      </w:r>
    </w:p>
    <w:p>
      <w:pPr>
        <w:pStyle w:val="ListParagraph"/>
        <w:numPr>
          <w:ilvl w:val="2"/>
          <w:numId w:val="67"/>
        </w:numPr>
        <w:tabs>
          <w:tab w:pos="1185" w:val="left" w:leader="none"/>
          <w:tab w:pos="1186" w:val="left" w:leader="none"/>
        </w:tabs>
        <w:spacing w:line="273" w:lineRule="auto" w:before="63" w:after="0"/>
        <w:ind w:left="1185" w:right="141" w:hanging="360"/>
        <w:jc w:val="left"/>
        <w:rPr>
          <w:sz w:val="38"/>
        </w:rPr>
      </w:pPr>
      <w:r>
        <w:rPr>
          <w:sz w:val="38"/>
        </w:rPr>
        <w:t>It binds pro-oxidative metals, such as zinc and copper, and helps them escape from the</w:t>
      </w:r>
      <w:r>
        <w:rPr>
          <w:spacing w:val="-3"/>
          <w:sz w:val="38"/>
        </w:rPr>
        <w:t> </w:t>
      </w:r>
      <w:r>
        <w:rPr>
          <w:sz w:val="38"/>
        </w:rPr>
        <w:t>body.</w:t>
      </w:r>
    </w:p>
    <w:p>
      <w:pPr>
        <w:pStyle w:val="ListParagraph"/>
        <w:numPr>
          <w:ilvl w:val="2"/>
          <w:numId w:val="67"/>
        </w:numPr>
        <w:tabs>
          <w:tab w:pos="1185" w:val="left" w:leader="none"/>
          <w:tab w:pos="1186" w:val="left" w:leader="none"/>
        </w:tabs>
        <w:spacing w:line="240" w:lineRule="auto" w:before="7" w:after="0"/>
        <w:ind w:left="1185" w:right="0" w:hanging="360"/>
        <w:jc w:val="left"/>
        <w:rPr>
          <w:sz w:val="38"/>
        </w:rPr>
      </w:pPr>
      <w:r>
        <w:rPr>
          <w:sz w:val="38"/>
        </w:rPr>
        <w:t>It improves potency and</w:t>
      </w:r>
      <w:r>
        <w:rPr>
          <w:spacing w:val="1"/>
          <w:sz w:val="38"/>
        </w:rPr>
        <w:t> </w:t>
      </w:r>
      <w:r>
        <w:rPr>
          <w:sz w:val="38"/>
        </w:rPr>
        <w:t>libido.</w:t>
      </w:r>
    </w:p>
    <w:p>
      <w:pPr>
        <w:pStyle w:val="ListParagraph"/>
        <w:numPr>
          <w:ilvl w:val="2"/>
          <w:numId w:val="67"/>
        </w:numPr>
        <w:tabs>
          <w:tab w:pos="1185" w:val="left" w:leader="none"/>
          <w:tab w:pos="1186" w:val="left" w:leader="none"/>
        </w:tabs>
        <w:spacing w:line="240" w:lineRule="auto" w:before="66" w:after="0"/>
        <w:ind w:left="1185" w:right="0" w:hanging="360"/>
        <w:jc w:val="left"/>
        <w:rPr>
          <w:sz w:val="38"/>
        </w:rPr>
      </w:pPr>
      <w:r>
        <w:rPr>
          <w:sz w:val="38"/>
        </w:rPr>
        <w:t>It provides protection against cardiovascular</w:t>
      </w:r>
      <w:r>
        <w:rPr>
          <w:spacing w:val="-1"/>
          <w:sz w:val="38"/>
        </w:rPr>
        <w:t> </w:t>
      </w:r>
      <w:r>
        <w:rPr>
          <w:sz w:val="38"/>
        </w:rPr>
        <w:t>diseases.</w:t>
      </w:r>
    </w:p>
    <w:p>
      <w:pPr>
        <w:pStyle w:val="ListParagraph"/>
        <w:numPr>
          <w:ilvl w:val="2"/>
          <w:numId w:val="67"/>
        </w:numPr>
        <w:tabs>
          <w:tab w:pos="1185" w:val="left" w:leader="none"/>
          <w:tab w:pos="1186" w:val="left" w:leader="none"/>
        </w:tabs>
        <w:spacing w:line="240" w:lineRule="auto" w:before="64" w:after="0"/>
        <w:ind w:left="1185" w:right="0" w:hanging="360"/>
        <w:jc w:val="left"/>
        <w:rPr>
          <w:sz w:val="38"/>
        </w:rPr>
      </w:pPr>
      <w:r>
        <w:rPr>
          <w:sz w:val="38"/>
        </w:rPr>
        <w:t>It normalises blood</w:t>
      </w:r>
      <w:r>
        <w:rPr>
          <w:spacing w:val="-1"/>
          <w:sz w:val="38"/>
        </w:rPr>
        <w:t> </w:t>
      </w:r>
      <w:r>
        <w:rPr>
          <w:sz w:val="38"/>
        </w:rPr>
        <w:t>pressure.</w:t>
      </w:r>
    </w:p>
    <w:p>
      <w:pPr>
        <w:pStyle w:val="ListParagraph"/>
        <w:numPr>
          <w:ilvl w:val="2"/>
          <w:numId w:val="67"/>
        </w:numPr>
        <w:tabs>
          <w:tab w:pos="1185" w:val="left" w:leader="none"/>
          <w:tab w:pos="1186" w:val="left" w:leader="none"/>
        </w:tabs>
        <w:spacing w:line="240" w:lineRule="auto" w:before="64" w:after="0"/>
        <w:ind w:left="1185" w:right="0" w:hanging="360"/>
        <w:jc w:val="left"/>
        <w:rPr>
          <w:sz w:val="38"/>
        </w:rPr>
      </w:pPr>
      <w:r>
        <w:rPr>
          <w:sz w:val="38"/>
        </w:rPr>
        <w:t>It optimises blood</w:t>
      </w:r>
      <w:r>
        <w:rPr>
          <w:spacing w:val="-1"/>
          <w:sz w:val="38"/>
        </w:rPr>
        <w:t> </w:t>
      </w:r>
      <w:r>
        <w:rPr>
          <w:sz w:val="38"/>
        </w:rPr>
        <w:t>clotting.</w:t>
      </w:r>
    </w:p>
    <w:p>
      <w:pPr>
        <w:pStyle w:val="ListParagraph"/>
        <w:numPr>
          <w:ilvl w:val="2"/>
          <w:numId w:val="67"/>
        </w:numPr>
        <w:tabs>
          <w:tab w:pos="1185" w:val="left" w:leader="none"/>
          <w:tab w:pos="1186" w:val="left" w:leader="none"/>
        </w:tabs>
        <w:spacing w:line="240" w:lineRule="auto" w:before="64" w:after="0"/>
        <w:ind w:left="1185" w:right="0" w:hanging="360"/>
        <w:jc w:val="left"/>
        <w:rPr>
          <w:sz w:val="38"/>
        </w:rPr>
      </w:pPr>
      <w:r>
        <w:rPr>
          <w:sz w:val="38"/>
        </w:rPr>
        <w:t>It provides protection against</w:t>
      </w:r>
      <w:r>
        <w:rPr>
          <w:spacing w:val="1"/>
          <w:sz w:val="38"/>
        </w:rPr>
        <w:t> </w:t>
      </w:r>
      <w:r>
        <w:rPr>
          <w:sz w:val="38"/>
        </w:rPr>
        <w:t>stroke.</w:t>
      </w:r>
    </w:p>
    <w:p>
      <w:pPr>
        <w:pStyle w:val="ListParagraph"/>
        <w:numPr>
          <w:ilvl w:val="2"/>
          <w:numId w:val="67"/>
        </w:numPr>
        <w:tabs>
          <w:tab w:pos="1185" w:val="left" w:leader="none"/>
          <w:tab w:pos="1186" w:val="left" w:leader="none"/>
        </w:tabs>
        <w:spacing w:line="240" w:lineRule="auto" w:before="63" w:after="0"/>
        <w:ind w:left="1185" w:right="0" w:hanging="360"/>
        <w:jc w:val="left"/>
        <w:rPr>
          <w:sz w:val="38"/>
        </w:rPr>
      </w:pPr>
      <w:r>
        <w:rPr>
          <w:sz w:val="38"/>
        </w:rPr>
        <w:t>It helps with age-related senility and</w:t>
      </w:r>
      <w:r>
        <w:rPr>
          <w:spacing w:val="1"/>
          <w:sz w:val="38"/>
        </w:rPr>
        <w:t> </w:t>
      </w:r>
      <w:r>
        <w:rPr>
          <w:sz w:val="38"/>
        </w:rPr>
        <w:t>cataracts.</w:t>
      </w:r>
    </w:p>
    <w:p>
      <w:pPr>
        <w:spacing w:after="0" w:line="240" w:lineRule="auto"/>
        <w:jc w:val="left"/>
        <w:rPr>
          <w:sz w:val="38"/>
        </w:rPr>
        <w:sectPr>
          <w:pgSz w:w="14270" w:h="16850"/>
          <w:pgMar w:header="0" w:footer="404" w:top="1600" w:bottom="2080" w:left="800" w:right="1280"/>
        </w:sectPr>
      </w:pPr>
    </w:p>
    <w:p>
      <w:pPr>
        <w:pStyle w:val="BodyText"/>
        <w:spacing w:before="10"/>
        <w:rPr>
          <w:sz w:val="8"/>
        </w:rPr>
      </w:pPr>
    </w:p>
    <w:p>
      <w:pPr>
        <w:pStyle w:val="ListParagraph"/>
        <w:numPr>
          <w:ilvl w:val="2"/>
          <w:numId w:val="67"/>
        </w:numPr>
        <w:tabs>
          <w:tab w:pos="1185" w:val="left" w:leader="none"/>
          <w:tab w:pos="1186" w:val="left" w:leader="none"/>
        </w:tabs>
        <w:spacing w:line="240" w:lineRule="auto" w:before="83" w:after="0"/>
        <w:ind w:left="1185" w:right="0" w:hanging="360"/>
        <w:jc w:val="left"/>
        <w:rPr>
          <w:sz w:val="38"/>
        </w:rPr>
      </w:pPr>
      <w:r>
        <w:rPr>
          <w:sz w:val="38"/>
        </w:rPr>
        <w:t>It protects against macular</w:t>
      </w:r>
      <w:r>
        <w:rPr>
          <w:spacing w:val="1"/>
          <w:sz w:val="38"/>
        </w:rPr>
        <w:t> </w:t>
      </w:r>
      <w:r>
        <w:rPr>
          <w:sz w:val="38"/>
        </w:rPr>
        <w:t>degeneration.</w:t>
      </w:r>
    </w:p>
    <w:p>
      <w:pPr>
        <w:pStyle w:val="ListParagraph"/>
        <w:numPr>
          <w:ilvl w:val="2"/>
          <w:numId w:val="67"/>
        </w:numPr>
        <w:tabs>
          <w:tab w:pos="1185" w:val="left" w:leader="none"/>
          <w:tab w:pos="1186" w:val="left" w:leader="none"/>
        </w:tabs>
        <w:spacing w:line="240" w:lineRule="auto" w:before="64" w:after="0"/>
        <w:ind w:left="1185" w:right="0" w:hanging="360"/>
        <w:jc w:val="left"/>
        <w:rPr>
          <w:sz w:val="38"/>
        </w:rPr>
      </w:pPr>
      <w:r>
        <w:rPr>
          <w:sz w:val="38"/>
        </w:rPr>
        <w:t>It protects against cataracts.</w:t>
      </w:r>
    </w:p>
    <w:p>
      <w:pPr>
        <w:pStyle w:val="ListParagraph"/>
        <w:numPr>
          <w:ilvl w:val="2"/>
          <w:numId w:val="67"/>
        </w:numPr>
        <w:tabs>
          <w:tab w:pos="1185" w:val="left" w:leader="none"/>
          <w:tab w:pos="1186" w:val="left" w:leader="none"/>
        </w:tabs>
        <w:spacing w:line="240" w:lineRule="auto" w:before="66" w:after="0"/>
        <w:ind w:left="1185" w:right="0" w:hanging="360"/>
        <w:jc w:val="left"/>
        <w:rPr>
          <w:sz w:val="38"/>
        </w:rPr>
      </w:pPr>
      <w:r>
        <w:rPr>
          <w:sz w:val="38"/>
        </w:rPr>
        <w:t>It reduces its consequences of acute strokes.</w:t>
      </w:r>
    </w:p>
    <w:p>
      <w:pPr>
        <w:pStyle w:val="ListParagraph"/>
        <w:numPr>
          <w:ilvl w:val="2"/>
          <w:numId w:val="67"/>
        </w:numPr>
        <w:tabs>
          <w:tab w:pos="1185" w:val="left" w:leader="none"/>
          <w:tab w:pos="1186" w:val="left" w:leader="none"/>
        </w:tabs>
        <w:spacing w:line="240" w:lineRule="auto" w:before="63" w:after="0"/>
        <w:ind w:left="1185" w:right="0" w:hanging="360"/>
        <w:jc w:val="left"/>
        <w:rPr>
          <w:sz w:val="38"/>
        </w:rPr>
      </w:pPr>
      <w:r>
        <w:rPr>
          <w:sz w:val="38"/>
        </w:rPr>
        <w:t>It provides protection against the complications of diabetes.</w:t>
      </w:r>
    </w:p>
    <w:p>
      <w:pPr>
        <w:pStyle w:val="ListParagraph"/>
        <w:numPr>
          <w:ilvl w:val="2"/>
          <w:numId w:val="67"/>
        </w:numPr>
        <w:tabs>
          <w:tab w:pos="1185" w:val="left" w:leader="none"/>
          <w:tab w:pos="1186" w:val="left" w:leader="none"/>
        </w:tabs>
        <w:spacing w:line="240" w:lineRule="auto" w:before="64" w:after="0"/>
        <w:ind w:left="1185" w:right="0" w:hanging="360"/>
        <w:jc w:val="left"/>
        <w:rPr>
          <w:sz w:val="38"/>
        </w:rPr>
      </w:pPr>
      <w:r>
        <w:rPr>
          <w:sz w:val="38"/>
        </w:rPr>
        <w:t>It rejuvenates the skin and eliminates</w:t>
      </w:r>
      <w:r>
        <w:rPr>
          <w:spacing w:val="2"/>
          <w:sz w:val="38"/>
        </w:rPr>
        <w:t> </w:t>
      </w:r>
      <w:r>
        <w:rPr>
          <w:sz w:val="38"/>
        </w:rPr>
        <w:t>wrinkles.</w:t>
      </w:r>
    </w:p>
    <w:p>
      <w:pPr>
        <w:pStyle w:val="ListParagraph"/>
        <w:numPr>
          <w:ilvl w:val="2"/>
          <w:numId w:val="67"/>
        </w:numPr>
        <w:tabs>
          <w:tab w:pos="1185" w:val="left" w:leader="none"/>
          <w:tab w:pos="1186" w:val="left" w:leader="none"/>
        </w:tabs>
        <w:spacing w:line="240" w:lineRule="auto" w:before="63" w:after="0"/>
        <w:ind w:left="1185" w:right="0" w:hanging="360"/>
        <w:jc w:val="left"/>
        <w:rPr>
          <w:sz w:val="38"/>
        </w:rPr>
      </w:pPr>
      <w:r>
        <w:rPr>
          <w:sz w:val="38"/>
        </w:rPr>
        <w:t>It protects our joints.</w:t>
      </w:r>
    </w:p>
    <w:p>
      <w:pPr>
        <w:pStyle w:val="ListParagraph"/>
        <w:numPr>
          <w:ilvl w:val="2"/>
          <w:numId w:val="67"/>
        </w:numPr>
        <w:tabs>
          <w:tab w:pos="1185" w:val="left" w:leader="none"/>
          <w:tab w:pos="1186" w:val="left" w:leader="none"/>
        </w:tabs>
        <w:spacing w:line="240" w:lineRule="auto" w:before="65" w:after="0"/>
        <w:ind w:left="1185" w:right="0" w:hanging="360"/>
        <w:jc w:val="left"/>
        <w:rPr>
          <w:sz w:val="38"/>
        </w:rPr>
      </w:pPr>
      <w:r>
        <w:rPr>
          <w:sz w:val="38"/>
        </w:rPr>
        <w:t>It supports weight loss.</w:t>
      </w:r>
    </w:p>
    <w:p>
      <w:pPr>
        <w:pStyle w:val="ListParagraph"/>
        <w:numPr>
          <w:ilvl w:val="2"/>
          <w:numId w:val="67"/>
        </w:numPr>
        <w:tabs>
          <w:tab w:pos="1185" w:val="left" w:leader="none"/>
          <w:tab w:pos="1186" w:val="left" w:leader="none"/>
        </w:tabs>
        <w:spacing w:line="240" w:lineRule="auto" w:before="66" w:after="0"/>
        <w:ind w:left="1185" w:right="0" w:hanging="360"/>
        <w:jc w:val="left"/>
        <w:rPr>
          <w:sz w:val="38"/>
        </w:rPr>
      </w:pPr>
      <w:r>
        <w:rPr>
          <w:sz w:val="38"/>
        </w:rPr>
        <w:t>It prevents or eliminates</w:t>
      </w:r>
      <w:r>
        <w:rPr>
          <w:spacing w:val="1"/>
          <w:sz w:val="38"/>
        </w:rPr>
        <w:t> </w:t>
      </w:r>
      <w:r>
        <w:rPr>
          <w:sz w:val="38"/>
        </w:rPr>
        <w:t>cellulite.</w:t>
      </w:r>
    </w:p>
    <w:p>
      <w:pPr>
        <w:pStyle w:val="ListParagraph"/>
        <w:numPr>
          <w:ilvl w:val="2"/>
          <w:numId w:val="67"/>
        </w:numPr>
        <w:tabs>
          <w:tab w:pos="1185" w:val="left" w:leader="none"/>
          <w:tab w:pos="1186" w:val="left" w:leader="none"/>
        </w:tabs>
        <w:spacing w:line="240" w:lineRule="auto" w:before="63" w:after="0"/>
        <w:ind w:left="1185" w:right="0" w:hanging="360"/>
        <w:jc w:val="left"/>
        <w:rPr>
          <w:sz w:val="38"/>
        </w:rPr>
      </w:pPr>
      <w:r>
        <w:rPr>
          <w:sz w:val="38"/>
        </w:rPr>
        <w:t>It strengthens the muscles and prevents</w:t>
      </w:r>
      <w:r>
        <w:rPr>
          <w:spacing w:val="-1"/>
          <w:sz w:val="38"/>
        </w:rPr>
        <w:t> </w:t>
      </w:r>
      <w:r>
        <w:rPr>
          <w:sz w:val="38"/>
        </w:rPr>
        <w:t>fatigue.</w:t>
      </w:r>
    </w:p>
    <w:p>
      <w:pPr>
        <w:pStyle w:val="ListParagraph"/>
        <w:numPr>
          <w:ilvl w:val="2"/>
          <w:numId w:val="67"/>
        </w:numPr>
        <w:tabs>
          <w:tab w:pos="1185" w:val="left" w:leader="none"/>
          <w:tab w:pos="1186" w:val="left" w:leader="none"/>
        </w:tabs>
        <w:spacing w:line="240" w:lineRule="auto" w:before="64" w:after="0"/>
        <w:ind w:left="1185" w:right="0" w:hanging="360"/>
        <w:jc w:val="left"/>
        <w:rPr>
          <w:sz w:val="38"/>
        </w:rPr>
      </w:pPr>
      <w:r>
        <w:rPr>
          <w:sz w:val="38"/>
        </w:rPr>
        <w:t>It has antitumoural</w:t>
      </w:r>
      <w:r>
        <w:rPr>
          <w:spacing w:val="-2"/>
          <w:sz w:val="38"/>
        </w:rPr>
        <w:t> </w:t>
      </w:r>
      <w:r>
        <w:rPr>
          <w:sz w:val="38"/>
        </w:rPr>
        <w:t>activity.</w:t>
      </w:r>
    </w:p>
    <w:p>
      <w:pPr>
        <w:pStyle w:val="ListParagraph"/>
        <w:numPr>
          <w:ilvl w:val="2"/>
          <w:numId w:val="67"/>
        </w:numPr>
        <w:tabs>
          <w:tab w:pos="1185" w:val="left" w:leader="none"/>
          <w:tab w:pos="1186" w:val="left" w:leader="none"/>
        </w:tabs>
        <w:spacing w:line="240" w:lineRule="auto" w:before="64" w:after="0"/>
        <w:ind w:left="1185" w:right="0" w:hanging="360"/>
        <w:jc w:val="left"/>
        <w:rPr>
          <w:sz w:val="38"/>
        </w:rPr>
      </w:pPr>
      <w:r>
        <w:rPr>
          <w:sz w:val="38"/>
        </w:rPr>
        <w:t>It strengthens the body's</w:t>
      </w:r>
      <w:r>
        <w:rPr>
          <w:spacing w:val="-1"/>
          <w:sz w:val="38"/>
        </w:rPr>
        <w:t> </w:t>
      </w:r>
      <w:r>
        <w:rPr>
          <w:sz w:val="38"/>
        </w:rPr>
        <w:t>defences.</w:t>
      </w:r>
    </w:p>
    <w:p>
      <w:pPr>
        <w:pStyle w:val="BodyText"/>
        <w:rPr>
          <w:sz w:val="44"/>
        </w:rPr>
      </w:pPr>
    </w:p>
    <w:p>
      <w:pPr>
        <w:pStyle w:val="Heading1"/>
        <w:spacing w:before="281"/>
        <w:jc w:val="both"/>
      </w:pPr>
      <w:r>
        <w:rPr/>
        <w:t>The antioxidant effect of L-carnosine</w:t>
      </w:r>
    </w:p>
    <w:p>
      <w:pPr>
        <w:pStyle w:val="BodyText"/>
        <w:spacing w:line="276" w:lineRule="auto" w:before="300"/>
        <w:ind w:left="477" w:right="136"/>
        <w:jc w:val="both"/>
      </w:pPr>
      <w:r>
        <w:rPr/>
        <w:t>Around 80 % of all diseases, including premature ageing, are attributed to cell destruction by free radicals. Every day, our approximately 37,2 trillion cells are exposed to about 10-80,000 free radical attacks.</w:t>
      </w:r>
    </w:p>
    <w:p>
      <w:pPr>
        <w:pStyle w:val="Heading1"/>
      </w:pPr>
      <w:r>
        <w:rPr/>
        <w:t>What are free radicals?</w:t>
      </w:r>
    </w:p>
    <w:p>
      <w:pPr>
        <w:pStyle w:val="BodyText"/>
        <w:spacing w:line="276" w:lineRule="auto" w:before="299"/>
        <w:ind w:left="477"/>
      </w:pPr>
      <w:r>
        <w:rPr/>
        <w:t>Free radicals are produced by ozone, UV radiation, nicotine, drugs and stress, but are also produced naturally by various metabolic processes in our body.</w:t>
      </w:r>
    </w:p>
    <w:p>
      <w:pPr>
        <w:pStyle w:val="Heading1"/>
        <w:spacing w:before="222"/>
        <w:jc w:val="both"/>
      </w:pPr>
      <w:r>
        <w:rPr/>
        <w:t>What does free radical oxidation mean?</w:t>
      </w:r>
    </w:p>
    <w:p>
      <w:pPr>
        <w:spacing w:after="0"/>
        <w:jc w:val="both"/>
        <w:sectPr>
          <w:footerReference w:type="default" r:id="rId218"/>
          <w:pgSz w:w="14270" w:h="16850"/>
          <w:pgMar w:footer="1891" w:header="0" w:top="1600" w:bottom="2080" w:left="800" w:right="1280"/>
          <w:pgNumType w:start="930"/>
        </w:sectPr>
      </w:pPr>
    </w:p>
    <w:p>
      <w:pPr>
        <w:pStyle w:val="BodyText"/>
        <w:spacing w:before="181"/>
        <w:ind w:left="477"/>
      </w:pPr>
      <w:r>
        <w:rPr/>
        <w:t>To put it vividly for laypeople, in the words of Prof. Kulkinsky:</w:t>
      </w:r>
    </w:p>
    <w:p>
      <w:pPr>
        <w:spacing w:line="276" w:lineRule="auto" w:before="305"/>
        <w:ind w:left="477" w:right="135" w:firstLine="0"/>
        <w:jc w:val="both"/>
        <w:rPr>
          <w:i/>
          <w:sz w:val="38"/>
        </w:rPr>
      </w:pPr>
      <w:r>
        <w:rPr>
          <w:sz w:val="38"/>
        </w:rPr>
        <w:t>‘</w:t>
      </w:r>
      <w:r>
        <w:rPr>
          <w:i/>
          <w:sz w:val="38"/>
        </w:rPr>
        <w:t>They swim like white sharks in the biochemical sea of our small organic farms, they enter </w:t>
      </w:r>
      <w:r>
        <w:rPr>
          <w:i/>
          <w:sz w:val="38"/>
        </w:rPr>
        <w:t>lightning-fast irreversible compounds, attack sensitive amino acids, fats, cell membranes and do not stop at the genetic material.</w:t>
      </w:r>
    </w:p>
    <w:p>
      <w:pPr>
        <w:spacing w:line="276" w:lineRule="auto" w:before="241"/>
        <w:ind w:left="477" w:right="132" w:firstLine="0"/>
        <w:jc w:val="both"/>
        <w:rPr>
          <w:i/>
          <w:sz w:val="38"/>
        </w:rPr>
      </w:pPr>
      <w:r>
        <w:rPr>
          <w:i/>
          <w:sz w:val="38"/>
        </w:rPr>
        <w:t>They</w:t>
      </w:r>
      <w:r>
        <w:rPr>
          <w:i/>
          <w:spacing w:val="-8"/>
          <w:sz w:val="38"/>
        </w:rPr>
        <w:t> </w:t>
      </w:r>
      <w:r>
        <w:rPr>
          <w:i/>
          <w:sz w:val="38"/>
        </w:rPr>
        <w:t>provoke</w:t>
      </w:r>
      <w:r>
        <w:rPr>
          <w:i/>
          <w:spacing w:val="-8"/>
          <w:sz w:val="38"/>
        </w:rPr>
        <w:t> </w:t>
      </w:r>
      <w:r>
        <w:rPr>
          <w:i/>
          <w:sz w:val="38"/>
        </w:rPr>
        <w:t>chain</w:t>
      </w:r>
      <w:r>
        <w:rPr>
          <w:i/>
          <w:spacing w:val="-7"/>
          <w:sz w:val="38"/>
        </w:rPr>
        <w:t> </w:t>
      </w:r>
      <w:r>
        <w:rPr>
          <w:i/>
          <w:sz w:val="38"/>
        </w:rPr>
        <w:t>reactions</w:t>
      </w:r>
      <w:r>
        <w:rPr>
          <w:i/>
          <w:spacing w:val="-7"/>
          <w:sz w:val="38"/>
        </w:rPr>
        <w:t> </w:t>
      </w:r>
      <w:r>
        <w:rPr>
          <w:i/>
          <w:sz w:val="38"/>
        </w:rPr>
        <w:t>and</w:t>
      </w:r>
      <w:r>
        <w:rPr>
          <w:i/>
          <w:spacing w:val="-9"/>
          <w:sz w:val="38"/>
        </w:rPr>
        <w:t> </w:t>
      </w:r>
      <w:r>
        <w:rPr>
          <w:i/>
          <w:sz w:val="38"/>
        </w:rPr>
        <w:t>form</w:t>
      </w:r>
      <w:r>
        <w:rPr>
          <w:i/>
          <w:spacing w:val="-9"/>
          <w:sz w:val="38"/>
        </w:rPr>
        <w:t> </w:t>
      </w:r>
      <w:r>
        <w:rPr>
          <w:i/>
          <w:sz w:val="38"/>
        </w:rPr>
        <w:t>intermediate</w:t>
      </w:r>
      <w:r>
        <w:rPr>
          <w:i/>
          <w:spacing w:val="-8"/>
          <w:sz w:val="38"/>
        </w:rPr>
        <w:t> </w:t>
      </w:r>
      <w:r>
        <w:rPr>
          <w:i/>
          <w:sz w:val="38"/>
        </w:rPr>
        <w:t>and</w:t>
      </w:r>
      <w:r>
        <w:rPr>
          <w:i/>
          <w:spacing w:val="-7"/>
          <w:sz w:val="38"/>
        </w:rPr>
        <w:t> </w:t>
      </w:r>
      <w:r>
        <w:rPr>
          <w:i/>
          <w:sz w:val="38"/>
        </w:rPr>
        <w:t>degradation</w:t>
      </w:r>
      <w:r>
        <w:rPr>
          <w:i/>
          <w:spacing w:val="-6"/>
          <w:sz w:val="38"/>
        </w:rPr>
        <w:t> </w:t>
      </w:r>
      <w:r>
        <w:rPr>
          <w:i/>
          <w:sz w:val="38"/>
        </w:rPr>
        <w:t>products</w:t>
      </w:r>
      <w:r>
        <w:rPr>
          <w:i/>
          <w:spacing w:val="-8"/>
          <w:sz w:val="38"/>
        </w:rPr>
        <w:t> </w:t>
      </w:r>
      <w:r>
        <w:rPr>
          <w:i/>
          <w:sz w:val="38"/>
        </w:rPr>
        <w:t>as</w:t>
      </w:r>
      <w:r>
        <w:rPr>
          <w:i/>
          <w:spacing w:val="-8"/>
          <w:sz w:val="38"/>
        </w:rPr>
        <w:t> </w:t>
      </w:r>
      <w:r>
        <w:rPr>
          <w:i/>
          <w:sz w:val="38"/>
        </w:rPr>
        <w:t>well</w:t>
      </w:r>
      <w:r>
        <w:rPr>
          <w:i/>
          <w:spacing w:val="-8"/>
          <w:sz w:val="38"/>
        </w:rPr>
        <w:t> </w:t>
      </w:r>
      <w:r>
        <w:rPr>
          <w:i/>
          <w:sz w:val="38"/>
        </w:rPr>
        <w:t>as</w:t>
      </w:r>
      <w:r>
        <w:rPr>
          <w:i/>
          <w:spacing w:val="-8"/>
          <w:sz w:val="38"/>
        </w:rPr>
        <w:t> </w:t>
      </w:r>
      <w:r>
        <w:rPr>
          <w:i/>
          <w:sz w:val="38"/>
        </w:rPr>
        <w:t>‘mo- </w:t>
      </w:r>
      <w:r>
        <w:rPr>
          <w:i/>
          <w:sz w:val="38"/>
        </w:rPr>
        <w:t>lecular mixtures’ that have no biological benefit. At the end of such reactions, substances remain which the body does not know what to do with, or even completely destroyed cells. Gradually they fill the landfills in our body and hinder its functions until, one day, nothing works’.</w:t>
      </w:r>
    </w:p>
    <w:p>
      <w:pPr>
        <w:pStyle w:val="BodyText"/>
        <w:spacing w:line="276" w:lineRule="auto" w:before="240"/>
        <w:ind w:left="477" w:right="135"/>
        <w:jc w:val="both"/>
      </w:pPr>
      <w:r>
        <w:rPr/>
        <w:t>L-carnosine</w:t>
      </w:r>
      <w:r>
        <w:rPr>
          <w:spacing w:val="-13"/>
        </w:rPr>
        <w:t> </w:t>
      </w:r>
      <w:r>
        <w:rPr/>
        <w:t>has</w:t>
      </w:r>
      <w:r>
        <w:rPr>
          <w:spacing w:val="-14"/>
        </w:rPr>
        <w:t> </w:t>
      </w:r>
      <w:r>
        <w:rPr/>
        <w:t>the</w:t>
      </w:r>
      <w:r>
        <w:rPr>
          <w:spacing w:val="-12"/>
        </w:rPr>
        <w:t> </w:t>
      </w:r>
      <w:r>
        <w:rPr/>
        <w:t>extraordinary</w:t>
      </w:r>
      <w:r>
        <w:rPr>
          <w:spacing w:val="-12"/>
        </w:rPr>
        <w:t> </w:t>
      </w:r>
      <w:r>
        <w:rPr/>
        <w:t>ability</w:t>
      </w:r>
      <w:r>
        <w:rPr>
          <w:spacing w:val="-14"/>
        </w:rPr>
        <w:t> </w:t>
      </w:r>
      <w:r>
        <w:rPr/>
        <w:t>to</w:t>
      </w:r>
      <w:r>
        <w:rPr>
          <w:spacing w:val="-15"/>
        </w:rPr>
        <w:t> </w:t>
      </w:r>
      <w:r>
        <w:rPr/>
        <w:t>neutralise</w:t>
      </w:r>
      <w:r>
        <w:rPr>
          <w:spacing w:val="-13"/>
        </w:rPr>
        <w:t> </w:t>
      </w:r>
      <w:r>
        <w:rPr/>
        <w:t>even</w:t>
      </w:r>
      <w:r>
        <w:rPr>
          <w:spacing w:val="-12"/>
        </w:rPr>
        <w:t> </w:t>
      </w:r>
      <w:r>
        <w:rPr/>
        <w:t>the</w:t>
      </w:r>
      <w:r>
        <w:rPr>
          <w:spacing w:val="-14"/>
        </w:rPr>
        <w:t> </w:t>
      </w:r>
      <w:r>
        <w:rPr/>
        <w:t>most</w:t>
      </w:r>
      <w:r>
        <w:rPr>
          <w:spacing w:val="-13"/>
        </w:rPr>
        <w:t> </w:t>
      </w:r>
      <w:r>
        <w:rPr/>
        <w:t>destructive free radicals. This includes even those which elude other antioxidants, such as vitamins C, E, selenium, beta-carotene, Q10, and others, such as superoxide, hydroxal radicals, peroxal radicals, and singlet</w:t>
      </w:r>
      <w:r>
        <w:rPr>
          <w:spacing w:val="-4"/>
        </w:rPr>
        <w:t> </w:t>
      </w:r>
      <w:r>
        <w:rPr/>
        <w:t>oxygen!</w:t>
      </w:r>
    </w:p>
    <w:p>
      <w:pPr>
        <w:pStyle w:val="Heading1"/>
        <w:spacing w:before="222"/>
      </w:pPr>
      <w:r>
        <w:rPr/>
        <w:t>Heavy metal binding effect of</w:t>
      </w:r>
      <w:r>
        <w:rPr>
          <w:spacing w:val="-54"/>
        </w:rPr>
        <w:t> </w:t>
      </w:r>
      <w:r>
        <w:rPr/>
        <w:t>L-carnosine</w:t>
      </w:r>
    </w:p>
    <w:p>
      <w:pPr>
        <w:pStyle w:val="BodyText"/>
        <w:spacing w:line="276" w:lineRule="auto" w:before="300"/>
        <w:ind w:left="477" w:right="141"/>
        <w:jc w:val="both"/>
      </w:pPr>
      <w:r>
        <w:rPr/>
        <w:t>By combining with toxic metals such as lead, mercury, arsenic, nickel and cad- mium, as well as pro-oxidant metals such as copper and zinc, it helps the body to get rid of these harmful substances.</w:t>
      </w:r>
    </w:p>
    <w:p>
      <w:pPr>
        <w:pStyle w:val="Heading2"/>
        <w:spacing w:before="241"/>
      </w:pPr>
      <w:r>
        <w:rPr/>
        <w:t>Special effect of L-carnosine</w:t>
      </w:r>
    </w:p>
    <w:p>
      <w:pPr>
        <w:pStyle w:val="BodyText"/>
        <w:spacing w:line="276" w:lineRule="auto" w:before="302"/>
        <w:ind w:left="477" w:right="135"/>
        <w:jc w:val="both"/>
      </w:pPr>
      <w:r>
        <w:rPr/>
        <w:t>The general advantages of L-carnosine promise a broad, special effect on vari- ous diseases. These include the following diseases or undesirable conditions</w:t>
      </w:r>
      <w:r>
        <w:rPr>
          <w:spacing w:val="-66"/>
        </w:rPr>
        <w:t> </w:t>
      </w:r>
      <w:r>
        <w:rPr/>
        <w:t>on</w:t>
      </w:r>
    </w:p>
    <w:p>
      <w:pPr>
        <w:spacing w:after="0" w:line="276" w:lineRule="auto"/>
        <w:jc w:val="both"/>
        <w:sectPr>
          <w:pgSz w:w="14270" w:h="16850"/>
          <w:pgMar w:header="0" w:footer="1891" w:top="1600" w:bottom="2080" w:left="800" w:right="1280"/>
        </w:sectPr>
      </w:pPr>
    </w:p>
    <w:p>
      <w:pPr>
        <w:pStyle w:val="BodyText"/>
        <w:spacing w:before="181"/>
        <w:ind w:left="477"/>
      </w:pPr>
      <w:r>
        <w:rPr/>
        <w:t>which L-carnosine can exert beneficial effects:</w:t>
      </w:r>
    </w:p>
    <w:p>
      <w:pPr>
        <w:pStyle w:val="BodyText"/>
        <w:rPr>
          <w:sz w:val="42"/>
        </w:rPr>
      </w:pPr>
    </w:p>
    <w:p>
      <w:pPr>
        <w:pStyle w:val="BodyText"/>
        <w:rPr>
          <w:sz w:val="42"/>
        </w:rPr>
      </w:pPr>
    </w:p>
    <w:p>
      <w:pPr>
        <w:pStyle w:val="BodyText"/>
        <w:rPr>
          <w:sz w:val="42"/>
        </w:rPr>
      </w:pPr>
    </w:p>
    <w:p>
      <w:pPr>
        <w:pStyle w:val="BodyText"/>
        <w:rPr>
          <w:sz w:val="42"/>
        </w:rPr>
      </w:pPr>
    </w:p>
    <w:p>
      <w:pPr>
        <w:pStyle w:val="BodyText"/>
        <w:spacing w:before="8"/>
        <w:rPr>
          <w:sz w:val="52"/>
        </w:rPr>
      </w:pPr>
    </w:p>
    <w:p>
      <w:pPr>
        <w:pStyle w:val="Heading1"/>
        <w:spacing w:before="1"/>
      </w:pPr>
      <w:r>
        <w:rPr/>
        <w:t>Rejuvenating effect of L-carnosine</w:t>
      </w:r>
    </w:p>
    <w:p>
      <w:pPr>
        <w:pStyle w:val="BodyText"/>
        <w:spacing w:line="276" w:lineRule="auto" w:before="297"/>
        <w:ind w:left="477" w:right="133"/>
        <w:jc w:val="both"/>
      </w:pPr>
      <w:r>
        <w:rPr/>
        <w:t>See the detailed documentation under ‘L-carnosine anti-ageing’. For the most part, L-carnosine is associated with anti-ageing, or biological rejuvenation, which in various studies, which will be discussed later in the book, where L- carnosine is seen to have a fantastic effect.</w:t>
      </w:r>
    </w:p>
    <w:p>
      <w:pPr>
        <w:pStyle w:val="Heading1"/>
      </w:pPr>
      <w:r>
        <w:rPr/>
        <w:t>Effect of L-carnosine on Alzheimer's</w:t>
      </w:r>
    </w:p>
    <w:p>
      <w:pPr>
        <w:pStyle w:val="BodyText"/>
        <w:spacing w:line="276" w:lineRule="auto" w:before="300"/>
        <w:ind w:left="477" w:right="132"/>
        <w:jc w:val="both"/>
      </w:pPr>
      <w:r>
        <w:rPr/>
        <w:t>Multifactorial causes of Alzheimer's are under discussion. It is likely that a pro- tein</w:t>
      </w:r>
      <w:r>
        <w:rPr>
          <w:spacing w:val="-6"/>
        </w:rPr>
        <w:t> </w:t>
      </w:r>
      <w:r>
        <w:rPr/>
        <w:t>called</w:t>
      </w:r>
      <w:r>
        <w:rPr>
          <w:spacing w:val="-7"/>
        </w:rPr>
        <w:t> </w:t>
      </w:r>
      <w:r>
        <w:rPr/>
        <w:t>proteasome,</w:t>
      </w:r>
      <w:r>
        <w:rPr>
          <w:spacing w:val="-5"/>
        </w:rPr>
        <w:t> </w:t>
      </w:r>
      <w:r>
        <w:rPr/>
        <w:t>which</w:t>
      </w:r>
      <w:r>
        <w:rPr>
          <w:spacing w:val="-6"/>
        </w:rPr>
        <w:t> </w:t>
      </w:r>
      <w:r>
        <w:rPr/>
        <w:t>is</w:t>
      </w:r>
      <w:r>
        <w:rPr>
          <w:spacing w:val="-9"/>
        </w:rPr>
        <w:t> </w:t>
      </w:r>
      <w:r>
        <w:rPr/>
        <w:t>responsible</w:t>
      </w:r>
      <w:r>
        <w:rPr>
          <w:spacing w:val="-6"/>
        </w:rPr>
        <w:t> </w:t>
      </w:r>
      <w:r>
        <w:rPr/>
        <w:t>for</w:t>
      </w:r>
      <w:r>
        <w:rPr>
          <w:spacing w:val="-7"/>
        </w:rPr>
        <w:t> </w:t>
      </w:r>
      <w:r>
        <w:rPr/>
        <w:t>the</w:t>
      </w:r>
      <w:r>
        <w:rPr>
          <w:spacing w:val="-6"/>
        </w:rPr>
        <w:t> </w:t>
      </w:r>
      <w:r>
        <w:rPr/>
        <w:t>breakdown</w:t>
      </w:r>
      <w:r>
        <w:rPr>
          <w:spacing w:val="-5"/>
        </w:rPr>
        <w:t> </w:t>
      </w:r>
      <w:r>
        <w:rPr/>
        <w:t>and</w:t>
      </w:r>
      <w:r>
        <w:rPr>
          <w:spacing w:val="-7"/>
        </w:rPr>
        <w:t> </w:t>
      </w:r>
      <w:r>
        <w:rPr/>
        <w:t>removal</w:t>
      </w:r>
      <w:r>
        <w:rPr>
          <w:spacing w:val="-8"/>
        </w:rPr>
        <w:t> </w:t>
      </w:r>
      <w:r>
        <w:rPr/>
        <w:t>of damaged brain cells from the brain, is not produced</w:t>
      </w:r>
      <w:r>
        <w:rPr>
          <w:spacing w:val="-3"/>
        </w:rPr>
        <w:t> </w:t>
      </w:r>
      <w:r>
        <w:rPr/>
        <w:t>properly.</w:t>
      </w:r>
    </w:p>
    <w:p>
      <w:pPr>
        <w:pStyle w:val="BodyText"/>
        <w:spacing w:line="276" w:lineRule="auto" w:before="239"/>
        <w:ind w:left="477" w:right="132"/>
        <w:jc w:val="both"/>
      </w:pPr>
      <w:r>
        <w:rPr/>
        <w:t>Here, L-carnosine unleashes its positive effects by protecting the proteasome and thus helping to prevent Alzheimer's or causing improvement in existing Alzheimer's conditions.</w:t>
      </w:r>
    </w:p>
    <w:p>
      <w:pPr>
        <w:pStyle w:val="BodyText"/>
        <w:spacing w:line="276" w:lineRule="auto" w:before="241"/>
        <w:ind w:left="477" w:right="136"/>
        <w:jc w:val="both"/>
      </w:pPr>
      <w:r>
        <w:rPr/>
        <w:t>L-carnosine</w:t>
      </w:r>
      <w:r>
        <w:rPr>
          <w:spacing w:val="-20"/>
        </w:rPr>
        <w:t> </w:t>
      </w:r>
      <w:r>
        <w:rPr/>
        <w:t>fights</w:t>
      </w:r>
      <w:r>
        <w:rPr>
          <w:spacing w:val="-19"/>
        </w:rPr>
        <w:t> </w:t>
      </w:r>
      <w:r>
        <w:rPr/>
        <w:t>the</w:t>
      </w:r>
      <w:r>
        <w:rPr>
          <w:spacing w:val="-19"/>
        </w:rPr>
        <w:t> </w:t>
      </w:r>
      <w:r>
        <w:rPr/>
        <w:t>alpha</w:t>
      </w:r>
      <w:r>
        <w:rPr>
          <w:spacing w:val="-20"/>
        </w:rPr>
        <w:t> </w:t>
      </w:r>
      <w:r>
        <w:rPr/>
        <w:t>and</w:t>
      </w:r>
      <w:r>
        <w:rPr>
          <w:spacing w:val="-22"/>
        </w:rPr>
        <w:t> </w:t>
      </w:r>
      <w:r>
        <w:rPr/>
        <w:t>beta-unsaturated</w:t>
      </w:r>
      <w:r>
        <w:rPr>
          <w:spacing w:val="-19"/>
        </w:rPr>
        <w:t> </w:t>
      </w:r>
      <w:r>
        <w:rPr/>
        <w:t>aldehyde</w:t>
      </w:r>
      <w:r>
        <w:rPr>
          <w:spacing w:val="-19"/>
        </w:rPr>
        <w:t> </w:t>
      </w:r>
      <w:r>
        <w:rPr/>
        <w:t>acroleins,</w:t>
      </w:r>
      <w:r>
        <w:rPr>
          <w:spacing w:val="-19"/>
        </w:rPr>
        <w:t> </w:t>
      </w:r>
      <w:r>
        <w:rPr/>
        <w:t>which</w:t>
      </w:r>
      <w:r>
        <w:rPr>
          <w:spacing w:val="-19"/>
        </w:rPr>
        <w:t> </w:t>
      </w:r>
      <w:r>
        <w:rPr/>
        <w:t>can destroy brain cells. It also prevents damage to brain cells caused by ß-amyloid by</w:t>
      </w:r>
      <w:r>
        <w:rPr>
          <w:spacing w:val="25"/>
        </w:rPr>
        <w:t> </w:t>
      </w:r>
      <w:r>
        <w:rPr/>
        <w:t>acting</w:t>
      </w:r>
      <w:r>
        <w:rPr>
          <w:spacing w:val="24"/>
        </w:rPr>
        <w:t> </w:t>
      </w:r>
      <w:r>
        <w:rPr/>
        <w:t>as</w:t>
      </w:r>
      <w:r>
        <w:rPr>
          <w:spacing w:val="25"/>
        </w:rPr>
        <w:t> </w:t>
      </w:r>
      <w:r>
        <w:rPr/>
        <w:t>a</w:t>
      </w:r>
      <w:r>
        <w:rPr>
          <w:spacing w:val="23"/>
        </w:rPr>
        <w:t> </w:t>
      </w:r>
      <w:r>
        <w:rPr/>
        <w:t>classical</w:t>
      </w:r>
      <w:r>
        <w:rPr>
          <w:spacing w:val="24"/>
        </w:rPr>
        <w:t> </w:t>
      </w:r>
      <w:r>
        <w:rPr/>
        <w:t>beta-amyloid</w:t>
      </w:r>
      <w:r>
        <w:rPr>
          <w:spacing w:val="24"/>
        </w:rPr>
        <w:t> </w:t>
      </w:r>
      <w:r>
        <w:rPr/>
        <w:t>blocker</w:t>
      </w:r>
      <w:r>
        <w:rPr>
          <w:spacing w:val="25"/>
        </w:rPr>
        <w:t> </w:t>
      </w:r>
      <w:r>
        <w:rPr/>
        <w:t>and</w:t>
      </w:r>
      <w:r>
        <w:rPr>
          <w:spacing w:val="25"/>
        </w:rPr>
        <w:t> </w:t>
      </w:r>
      <w:r>
        <w:rPr/>
        <w:t>providing</w:t>
      </w:r>
      <w:r>
        <w:rPr>
          <w:spacing w:val="25"/>
        </w:rPr>
        <w:t> </w:t>
      </w:r>
      <w:r>
        <w:rPr/>
        <w:t>protection</w:t>
      </w:r>
      <w:r>
        <w:rPr>
          <w:spacing w:val="26"/>
        </w:rPr>
        <w:t> </w:t>
      </w:r>
      <w:r>
        <w:rPr/>
        <w:t>against</w:t>
      </w:r>
    </w:p>
    <w:p>
      <w:pPr>
        <w:spacing w:after="0" w:line="276" w:lineRule="auto"/>
        <w:jc w:val="both"/>
        <w:sectPr>
          <w:pgSz w:w="14270" w:h="16850"/>
          <w:pgMar w:header="0" w:footer="1891" w:top="1600" w:bottom="2080" w:left="800" w:right="1280"/>
        </w:sectPr>
      </w:pPr>
    </w:p>
    <w:p>
      <w:pPr>
        <w:pStyle w:val="BodyText"/>
        <w:spacing w:before="181"/>
        <w:ind w:left="477"/>
      </w:pPr>
      <w:r>
        <w:rPr/>
        <w:t>dementia.</w:t>
      </w:r>
    </w:p>
    <w:p>
      <w:pPr>
        <w:pStyle w:val="BodyText"/>
        <w:spacing w:line="276" w:lineRule="auto" w:before="305"/>
        <w:ind w:left="477" w:right="138"/>
        <w:jc w:val="both"/>
      </w:pPr>
      <w:r>
        <w:rPr/>
        <w:t>As</w:t>
      </w:r>
      <w:r>
        <w:rPr>
          <w:spacing w:val="-22"/>
        </w:rPr>
        <w:t> </w:t>
      </w:r>
      <w:r>
        <w:rPr/>
        <w:t>one</w:t>
      </w:r>
      <w:r>
        <w:rPr>
          <w:spacing w:val="-23"/>
        </w:rPr>
        <w:t> </w:t>
      </w:r>
      <w:r>
        <w:rPr/>
        <w:t>of</w:t>
      </w:r>
      <w:r>
        <w:rPr>
          <w:spacing w:val="-21"/>
        </w:rPr>
        <w:t> </w:t>
      </w:r>
      <w:r>
        <w:rPr/>
        <w:t>the</w:t>
      </w:r>
      <w:r>
        <w:rPr>
          <w:spacing w:val="-23"/>
        </w:rPr>
        <w:t> </w:t>
      </w:r>
      <w:r>
        <w:rPr/>
        <w:t>strongest,</w:t>
      </w:r>
      <w:r>
        <w:rPr>
          <w:spacing w:val="-20"/>
        </w:rPr>
        <w:t> </w:t>
      </w:r>
      <w:r>
        <w:rPr/>
        <w:t>if</w:t>
      </w:r>
      <w:r>
        <w:rPr>
          <w:spacing w:val="-25"/>
        </w:rPr>
        <w:t> </w:t>
      </w:r>
      <w:r>
        <w:rPr/>
        <w:t>not</w:t>
      </w:r>
      <w:r>
        <w:rPr>
          <w:spacing w:val="-22"/>
        </w:rPr>
        <w:t> </w:t>
      </w:r>
      <w:r>
        <w:rPr/>
        <w:t>the</w:t>
      </w:r>
      <w:r>
        <w:rPr>
          <w:spacing w:val="-23"/>
        </w:rPr>
        <w:t> </w:t>
      </w:r>
      <w:r>
        <w:rPr/>
        <w:t>most</w:t>
      </w:r>
      <w:r>
        <w:rPr>
          <w:spacing w:val="-21"/>
        </w:rPr>
        <w:t> </w:t>
      </w:r>
      <w:r>
        <w:rPr/>
        <w:t>powerful</w:t>
      </w:r>
      <w:r>
        <w:rPr>
          <w:spacing w:val="-23"/>
        </w:rPr>
        <w:t> </w:t>
      </w:r>
      <w:r>
        <w:rPr/>
        <w:t>antioxidant,</w:t>
      </w:r>
      <w:r>
        <w:rPr>
          <w:spacing w:val="-22"/>
        </w:rPr>
        <w:t> </w:t>
      </w:r>
      <w:r>
        <w:rPr/>
        <w:t>it</w:t>
      </w:r>
      <w:r>
        <w:rPr>
          <w:spacing w:val="-22"/>
        </w:rPr>
        <w:t> </w:t>
      </w:r>
      <w:r>
        <w:rPr/>
        <w:t>provides</w:t>
      </w:r>
      <w:r>
        <w:rPr>
          <w:spacing w:val="-20"/>
        </w:rPr>
        <w:t> </w:t>
      </w:r>
      <w:r>
        <w:rPr/>
        <w:t>against aldehyde attacks. It binds the destructive heavy metals in the brain cells and in the blood and helps to eliminate</w:t>
      </w:r>
      <w:r>
        <w:rPr>
          <w:spacing w:val="4"/>
        </w:rPr>
        <w:t> </w:t>
      </w:r>
      <w:r>
        <w:rPr/>
        <w:t>them.</w:t>
      </w:r>
    </w:p>
    <w:p>
      <w:pPr>
        <w:pStyle w:val="Heading1"/>
      </w:pPr>
      <w:r>
        <w:rPr/>
        <w:t>Effect of L-carnosine on schizophrenia and epilepsy</w:t>
      </w:r>
    </w:p>
    <w:p>
      <w:pPr>
        <w:pStyle w:val="BodyText"/>
        <w:spacing w:line="276" w:lineRule="auto" w:before="297"/>
        <w:ind w:left="477" w:right="143"/>
        <w:jc w:val="both"/>
      </w:pPr>
      <w:r>
        <w:rPr/>
        <w:t>Carbonylation (hypoglycaemia) and brain cell oxidation are among the primary causes of schizophrenia and epilepsy.</w:t>
      </w:r>
    </w:p>
    <w:p>
      <w:pPr>
        <w:pStyle w:val="BodyText"/>
        <w:spacing w:line="276" w:lineRule="auto" w:before="241"/>
        <w:ind w:left="477" w:right="131"/>
        <w:jc w:val="both"/>
      </w:pPr>
      <w:r>
        <w:rPr/>
        <w:t>As we have already read, L-carnosine is the most efficient anti-carbonylation agent available to humans and is also by far the most successful antioxidant. These two properties qualify L-carnosine to prevent or alleviate the above dis- eases in an optimal manner.</w:t>
      </w:r>
    </w:p>
    <w:p>
      <w:pPr>
        <w:pStyle w:val="Heading1"/>
        <w:spacing w:before="222"/>
      </w:pPr>
      <w:r>
        <w:rPr/>
        <w:t>Effect of L-carnosine on autism, Asperger’s syndrome and dyslexia</w:t>
      </w:r>
    </w:p>
    <w:p>
      <w:pPr>
        <w:pStyle w:val="BodyText"/>
        <w:spacing w:line="276" w:lineRule="auto" w:before="299"/>
        <w:ind w:left="477" w:right="133"/>
        <w:jc w:val="both"/>
      </w:pPr>
      <w:r>
        <w:rPr/>
        <w:t>There are numerous cases in which people have experienced an improvement in the above diseases in a few days to weeks. L-carnosine acts as a neuro-trans- mitter,</w:t>
      </w:r>
      <w:r>
        <w:rPr>
          <w:spacing w:val="-10"/>
        </w:rPr>
        <w:t> </w:t>
      </w:r>
      <w:r>
        <w:rPr/>
        <w:t>connecting</w:t>
      </w:r>
      <w:r>
        <w:rPr>
          <w:spacing w:val="-9"/>
        </w:rPr>
        <w:t> </w:t>
      </w:r>
      <w:r>
        <w:rPr/>
        <w:t>to</w:t>
      </w:r>
      <w:r>
        <w:rPr>
          <w:spacing w:val="-9"/>
        </w:rPr>
        <w:t> </w:t>
      </w:r>
      <w:r>
        <w:rPr/>
        <w:t>other</w:t>
      </w:r>
      <w:r>
        <w:rPr>
          <w:spacing w:val="-9"/>
        </w:rPr>
        <w:t> </w:t>
      </w:r>
      <w:r>
        <w:rPr/>
        <w:t>carriers</w:t>
      </w:r>
      <w:r>
        <w:rPr>
          <w:spacing w:val="-9"/>
        </w:rPr>
        <w:t> </w:t>
      </w:r>
      <w:r>
        <w:rPr/>
        <w:t>in</w:t>
      </w:r>
      <w:r>
        <w:rPr>
          <w:spacing w:val="-10"/>
        </w:rPr>
        <w:t> </w:t>
      </w:r>
      <w:r>
        <w:rPr/>
        <w:t>the</w:t>
      </w:r>
      <w:r>
        <w:rPr>
          <w:spacing w:val="-8"/>
        </w:rPr>
        <w:t> </w:t>
      </w:r>
      <w:r>
        <w:rPr/>
        <w:t>brain</w:t>
      </w:r>
      <w:r>
        <w:rPr>
          <w:spacing w:val="-10"/>
        </w:rPr>
        <w:t> </w:t>
      </w:r>
      <w:r>
        <w:rPr/>
        <w:t>and</w:t>
      </w:r>
      <w:r>
        <w:rPr>
          <w:spacing w:val="-9"/>
        </w:rPr>
        <w:t> </w:t>
      </w:r>
      <w:r>
        <w:rPr/>
        <w:t>improving</w:t>
      </w:r>
      <w:r>
        <w:rPr>
          <w:spacing w:val="-9"/>
        </w:rPr>
        <w:t> </w:t>
      </w:r>
      <w:r>
        <w:rPr/>
        <w:t>the</w:t>
      </w:r>
      <w:r>
        <w:rPr>
          <w:spacing w:val="-9"/>
        </w:rPr>
        <w:t> </w:t>
      </w:r>
      <w:r>
        <w:rPr/>
        <w:t>condition</w:t>
      </w:r>
      <w:r>
        <w:rPr>
          <w:spacing w:val="-8"/>
        </w:rPr>
        <w:t> </w:t>
      </w:r>
      <w:r>
        <w:rPr/>
        <w:t>of autism, Asperger’s syndrome, dyslexia and other neurological</w:t>
      </w:r>
      <w:r>
        <w:rPr>
          <w:spacing w:val="-7"/>
        </w:rPr>
        <w:t> </w:t>
      </w:r>
      <w:r>
        <w:rPr/>
        <w:t>disorders.</w:t>
      </w:r>
    </w:p>
    <w:p>
      <w:pPr>
        <w:pStyle w:val="BodyText"/>
        <w:spacing w:line="276" w:lineRule="auto" w:before="242"/>
        <w:ind w:left="477" w:right="134"/>
        <w:jc w:val="both"/>
      </w:pPr>
      <w:r>
        <w:rPr/>
        <w:t>According to Dr. Michael Chez, who has treated more than 1,000 autistic chil- dren with L-carnosine since 2001, the condition of 80-90 % of children im- proved within eight weeks. Specifically, this included reaction time, social awareness, reading ability and playing skills.</w:t>
      </w:r>
    </w:p>
    <w:p>
      <w:pPr>
        <w:spacing w:after="0" w:line="276" w:lineRule="auto"/>
        <w:jc w:val="both"/>
        <w:sectPr>
          <w:pgSz w:w="14270" w:h="16850"/>
          <w:pgMar w:header="0" w:footer="1891" w:top="1600" w:bottom="2080" w:left="800" w:right="1280"/>
        </w:sectPr>
      </w:pPr>
    </w:p>
    <w:p>
      <w:pPr>
        <w:pStyle w:val="BodyText"/>
        <w:rPr>
          <w:sz w:val="20"/>
        </w:rPr>
      </w:pPr>
    </w:p>
    <w:p>
      <w:pPr>
        <w:pStyle w:val="BodyText"/>
        <w:rPr>
          <w:sz w:val="20"/>
        </w:rPr>
      </w:pPr>
    </w:p>
    <w:p>
      <w:pPr>
        <w:pStyle w:val="BodyText"/>
        <w:rPr>
          <w:sz w:val="20"/>
        </w:rPr>
      </w:pPr>
    </w:p>
    <w:p>
      <w:pPr>
        <w:pStyle w:val="Heading1"/>
        <w:spacing w:before="221"/>
      </w:pPr>
      <w:r>
        <w:rPr/>
        <w:t>Effect of L-carnosine on Parkinson's</w:t>
      </w:r>
      <w:r>
        <w:rPr>
          <w:spacing w:val="-61"/>
        </w:rPr>
        <w:t> </w:t>
      </w:r>
      <w:r>
        <w:rPr/>
        <w:t>disease</w:t>
      </w:r>
    </w:p>
    <w:p>
      <w:pPr>
        <w:pStyle w:val="BodyText"/>
        <w:spacing w:line="276" w:lineRule="auto" w:before="299"/>
        <w:ind w:left="477" w:right="132"/>
        <w:jc w:val="both"/>
      </w:pPr>
      <w:r>
        <w:rPr/>
        <w:t>Recent studies suggest that Parkinson's disease is primarily due to the destruc- tive effects of certain free radicals that produce a substance called alpha-synu- clein during oxidation. Various studies have proved that L-carnosine is able to successfully defy the oxidation and thus the formation of alpha-synuclein (see point ‘Studies’).</w:t>
      </w:r>
    </w:p>
    <w:p>
      <w:pPr>
        <w:pStyle w:val="Heading1"/>
        <w:spacing w:line="261" w:lineRule="auto" w:before="343"/>
        <w:ind w:right="129"/>
      </w:pPr>
      <w:r>
        <w:rPr/>
        <w:t>Other</w:t>
      </w:r>
      <w:r>
        <w:rPr>
          <w:spacing w:val="-63"/>
        </w:rPr>
        <w:t> </w:t>
      </w:r>
      <w:r>
        <w:rPr/>
        <w:t>neurological</w:t>
      </w:r>
      <w:r>
        <w:rPr>
          <w:spacing w:val="-62"/>
        </w:rPr>
        <w:t> </w:t>
      </w:r>
      <w:r>
        <w:rPr/>
        <w:t>disorders</w:t>
      </w:r>
      <w:r>
        <w:rPr>
          <w:spacing w:val="-62"/>
        </w:rPr>
        <w:t> </w:t>
      </w:r>
      <w:r>
        <w:rPr/>
        <w:t>and</w:t>
      </w:r>
      <w:r>
        <w:rPr>
          <w:spacing w:val="-63"/>
        </w:rPr>
        <w:t> </w:t>
      </w:r>
      <w:r>
        <w:rPr/>
        <w:t>cognitive</w:t>
      </w:r>
      <w:r>
        <w:rPr>
          <w:spacing w:val="-62"/>
        </w:rPr>
        <w:t> </w:t>
      </w:r>
      <w:r>
        <w:rPr/>
        <w:t>disorders</w:t>
      </w:r>
      <w:r>
        <w:rPr>
          <w:spacing w:val="-63"/>
        </w:rPr>
        <w:t> </w:t>
      </w:r>
      <w:r>
        <w:rPr/>
        <w:t>that</w:t>
      </w:r>
      <w:r>
        <w:rPr>
          <w:spacing w:val="-62"/>
        </w:rPr>
        <w:t> </w:t>
      </w:r>
      <w:r>
        <w:rPr/>
        <w:t>can</w:t>
      </w:r>
      <w:r>
        <w:rPr>
          <w:spacing w:val="-62"/>
        </w:rPr>
        <w:t> </w:t>
      </w:r>
      <w:r>
        <w:rPr/>
        <w:t>positively affect L-carnosine</w:t>
      </w:r>
    </w:p>
    <w:p>
      <w:pPr>
        <w:pStyle w:val="BodyText"/>
        <w:spacing w:line="276" w:lineRule="auto" w:before="260"/>
        <w:ind w:left="477"/>
      </w:pPr>
      <w:r>
        <w:rPr/>
        <w:t>In addition to Alzheimer’s and dementia , L-carnosine can positively influence or prevent the following diseases:</w:t>
      </w:r>
    </w:p>
    <w:p>
      <w:pPr>
        <w:pStyle w:val="ListParagraph"/>
        <w:numPr>
          <w:ilvl w:val="0"/>
          <w:numId w:val="66"/>
        </w:numPr>
        <w:tabs>
          <w:tab w:pos="893" w:val="left" w:leader="none"/>
        </w:tabs>
        <w:spacing w:line="240" w:lineRule="auto" w:before="241" w:after="0"/>
        <w:ind w:left="904" w:right="0" w:hanging="427"/>
        <w:jc w:val="both"/>
        <w:rPr>
          <w:sz w:val="38"/>
        </w:rPr>
      </w:pPr>
      <w:r>
        <w:rPr>
          <w:sz w:val="38"/>
        </w:rPr>
        <w:t>Parkinson’s</w:t>
      </w:r>
    </w:p>
    <w:p>
      <w:pPr>
        <w:pStyle w:val="ListParagraph"/>
        <w:numPr>
          <w:ilvl w:val="0"/>
          <w:numId w:val="66"/>
        </w:numPr>
        <w:tabs>
          <w:tab w:pos="893" w:val="left" w:leader="none"/>
        </w:tabs>
        <w:spacing w:line="240" w:lineRule="auto" w:before="66" w:after="0"/>
        <w:ind w:left="904" w:right="0" w:hanging="427"/>
        <w:jc w:val="both"/>
        <w:rPr>
          <w:sz w:val="38"/>
        </w:rPr>
      </w:pPr>
      <w:r>
        <w:rPr>
          <w:sz w:val="38"/>
        </w:rPr>
        <w:t>epilepsy</w:t>
      </w:r>
    </w:p>
    <w:p>
      <w:pPr>
        <w:pStyle w:val="ListParagraph"/>
        <w:numPr>
          <w:ilvl w:val="0"/>
          <w:numId w:val="66"/>
        </w:numPr>
        <w:tabs>
          <w:tab w:pos="893" w:val="left" w:leader="none"/>
        </w:tabs>
        <w:spacing w:line="240" w:lineRule="auto" w:before="63" w:after="0"/>
        <w:ind w:left="904" w:right="0" w:hanging="427"/>
        <w:jc w:val="both"/>
        <w:rPr>
          <w:sz w:val="38"/>
        </w:rPr>
      </w:pPr>
      <w:r>
        <w:rPr>
          <w:sz w:val="38"/>
        </w:rPr>
        <w:t>schizophrenia</w:t>
      </w:r>
    </w:p>
    <w:p>
      <w:pPr>
        <w:pStyle w:val="ListParagraph"/>
        <w:numPr>
          <w:ilvl w:val="0"/>
          <w:numId w:val="66"/>
        </w:numPr>
        <w:tabs>
          <w:tab w:pos="893" w:val="left" w:leader="none"/>
        </w:tabs>
        <w:spacing w:line="240" w:lineRule="auto" w:before="64" w:after="0"/>
        <w:ind w:left="904" w:right="0" w:hanging="427"/>
        <w:jc w:val="both"/>
        <w:rPr>
          <w:sz w:val="38"/>
        </w:rPr>
      </w:pPr>
      <w:r>
        <w:rPr>
          <w:sz w:val="38"/>
        </w:rPr>
        <w:t>depression</w:t>
      </w:r>
    </w:p>
    <w:p>
      <w:pPr>
        <w:pStyle w:val="ListParagraph"/>
        <w:numPr>
          <w:ilvl w:val="0"/>
          <w:numId w:val="66"/>
        </w:numPr>
        <w:tabs>
          <w:tab w:pos="893" w:val="left" w:leader="none"/>
        </w:tabs>
        <w:spacing w:line="240" w:lineRule="auto" w:before="64" w:after="0"/>
        <w:ind w:left="904" w:right="0" w:hanging="427"/>
        <w:jc w:val="both"/>
        <w:rPr>
          <w:sz w:val="38"/>
        </w:rPr>
      </w:pPr>
      <w:r>
        <w:rPr>
          <w:sz w:val="38"/>
        </w:rPr>
        <w:t>stroke</w:t>
      </w:r>
    </w:p>
    <w:p>
      <w:pPr>
        <w:pStyle w:val="ListParagraph"/>
        <w:numPr>
          <w:ilvl w:val="0"/>
          <w:numId w:val="66"/>
        </w:numPr>
        <w:tabs>
          <w:tab w:pos="893" w:val="left" w:leader="none"/>
        </w:tabs>
        <w:spacing w:line="240" w:lineRule="auto" w:before="63" w:after="0"/>
        <w:ind w:left="904" w:right="0" w:hanging="427"/>
        <w:jc w:val="both"/>
        <w:rPr>
          <w:sz w:val="38"/>
        </w:rPr>
      </w:pPr>
      <w:r>
        <w:rPr>
          <w:sz w:val="38"/>
        </w:rPr>
        <w:t>dyslexia</w:t>
      </w:r>
    </w:p>
    <w:p>
      <w:pPr>
        <w:pStyle w:val="ListParagraph"/>
        <w:numPr>
          <w:ilvl w:val="0"/>
          <w:numId w:val="66"/>
        </w:numPr>
        <w:tabs>
          <w:tab w:pos="893" w:val="left" w:leader="none"/>
        </w:tabs>
        <w:spacing w:line="240" w:lineRule="auto" w:before="66" w:after="0"/>
        <w:ind w:left="904" w:right="0" w:hanging="427"/>
        <w:jc w:val="both"/>
        <w:rPr>
          <w:sz w:val="38"/>
        </w:rPr>
      </w:pPr>
      <w:r>
        <w:rPr>
          <w:sz w:val="38"/>
        </w:rPr>
        <w:t>Tourette syndrome</w:t>
      </w:r>
    </w:p>
    <w:p>
      <w:pPr>
        <w:pStyle w:val="ListParagraph"/>
        <w:numPr>
          <w:ilvl w:val="0"/>
          <w:numId w:val="66"/>
        </w:numPr>
        <w:tabs>
          <w:tab w:pos="893" w:val="left" w:leader="none"/>
        </w:tabs>
        <w:spacing w:line="240" w:lineRule="auto" w:before="65" w:after="0"/>
        <w:ind w:left="904" w:right="0" w:hanging="427"/>
        <w:jc w:val="both"/>
        <w:rPr>
          <w:sz w:val="38"/>
        </w:rPr>
      </w:pPr>
      <w:r>
        <w:rPr>
          <w:sz w:val="38"/>
        </w:rPr>
        <w:t>Asperger’s syndrome</w:t>
      </w:r>
    </w:p>
    <w:p>
      <w:pPr>
        <w:pStyle w:val="ListParagraph"/>
        <w:numPr>
          <w:ilvl w:val="0"/>
          <w:numId w:val="66"/>
        </w:numPr>
        <w:tabs>
          <w:tab w:pos="893" w:val="left" w:leader="none"/>
        </w:tabs>
        <w:spacing w:line="240" w:lineRule="auto" w:before="63" w:after="0"/>
        <w:ind w:left="904" w:right="0" w:hanging="427"/>
        <w:jc w:val="both"/>
        <w:rPr>
          <w:sz w:val="38"/>
        </w:rPr>
      </w:pPr>
      <w:r>
        <w:rPr>
          <w:sz w:val="38"/>
        </w:rPr>
        <w:t>autism</w:t>
      </w:r>
    </w:p>
    <w:p>
      <w:pPr>
        <w:spacing w:after="0" w:line="240" w:lineRule="auto"/>
        <w:jc w:val="both"/>
        <w:rPr>
          <w:sz w:val="38"/>
        </w:rPr>
        <w:sectPr>
          <w:pgSz w:w="14270" w:h="16850"/>
          <w:pgMar w:header="0" w:footer="1891" w:top="1600" w:bottom="2080" w:left="800" w:right="1280"/>
        </w:sectPr>
      </w:pPr>
    </w:p>
    <w:p>
      <w:pPr>
        <w:pStyle w:val="BodyText"/>
        <w:spacing w:before="10"/>
        <w:rPr>
          <w:sz w:val="8"/>
        </w:rPr>
      </w:pPr>
    </w:p>
    <w:p>
      <w:pPr>
        <w:pStyle w:val="ListParagraph"/>
        <w:numPr>
          <w:ilvl w:val="0"/>
          <w:numId w:val="66"/>
        </w:numPr>
        <w:tabs>
          <w:tab w:pos="892" w:val="left" w:leader="none"/>
          <w:tab w:pos="893" w:val="left" w:leader="none"/>
        </w:tabs>
        <w:spacing w:line="240" w:lineRule="auto" w:before="83" w:after="0"/>
        <w:ind w:left="904" w:right="0" w:hanging="427"/>
        <w:jc w:val="left"/>
        <w:rPr>
          <w:sz w:val="38"/>
        </w:rPr>
      </w:pPr>
      <w:r>
        <w:rPr>
          <w:sz w:val="38"/>
        </w:rPr>
        <w:t>dyspraxia</w:t>
      </w:r>
    </w:p>
    <w:p>
      <w:pPr>
        <w:pStyle w:val="BodyText"/>
        <w:rPr>
          <w:sz w:val="44"/>
        </w:rPr>
      </w:pPr>
    </w:p>
    <w:p>
      <w:pPr>
        <w:pStyle w:val="BodyText"/>
        <w:rPr>
          <w:sz w:val="44"/>
        </w:rPr>
      </w:pPr>
    </w:p>
    <w:p>
      <w:pPr>
        <w:pStyle w:val="BodyText"/>
        <w:rPr>
          <w:sz w:val="44"/>
        </w:rPr>
      </w:pPr>
    </w:p>
    <w:p>
      <w:pPr>
        <w:pStyle w:val="BodyText"/>
        <w:rPr>
          <w:sz w:val="44"/>
        </w:rPr>
      </w:pPr>
    </w:p>
    <w:p>
      <w:pPr>
        <w:pStyle w:val="BodyText"/>
        <w:spacing w:before="6"/>
        <w:rPr>
          <w:sz w:val="44"/>
        </w:rPr>
      </w:pPr>
    </w:p>
    <w:p>
      <w:pPr>
        <w:pStyle w:val="Heading1"/>
        <w:spacing w:before="0"/>
      </w:pPr>
      <w:r>
        <w:rPr/>
        <w:t>Effect of L-carnosine on neuromuscular disorders</w:t>
      </w:r>
    </w:p>
    <w:p>
      <w:pPr>
        <w:pStyle w:val="BodyText"/>
        <w:spacing w:line="276" w:lineRule="auto" w:before="300"/>
        <w:ind w:left="477"/>
      </w:pPr>
      <w:r>
        <w:rPr/>
        <w:t>The intake of L-carnosine may lead to relief of the following neuromuscular disorders:</w:t>
      </w:r>
    </w:p>
    <w:p>
      <w:pPr>
        <w:pStyle w:val="ListParagraph"/>
        <w:numPr>
          <w:ilvl w:val="0"/>
          <w:numId w:val="66"/>
        </w:numPr>
        <w:tabs>
          <w:tab w:pos="892" w:val="left" w:leader="none"/>
          <w:tab w:pos="893" w:val="left" w:leader="none"/>
        </w:tabs>
        <w:spacing w:line="240" w:lineRule="auto" w:before="240" w:after="0"/>
        <w:ind w:left="904" w:right="0" w:hanging="427"/>
        <w:jc w:val="left"/>
        <w:rPr>
          <w:sz w:val="38"/>
        </w:rPr>
      </w:pPr>
      <w:r>
        <w:rPr>
          <w:sz w:val="38"/>
        </w:rPr>
        <w:t>polymyositis</w:t>
      </w:r>
    </w:p>
    <w:p>
      <w:pPr>
        <w:pStyle w:val="ListParagraph"/>
        <w:numPr>
          <w:ilvl w:val="0"/>
          <w:numId w:val="66"/>
        </w:numPr>
        <w:tabs>
          <w:tab w:pos="892" w:val="left" w:leader="none"/>
          <w:tab w:pos="893" w:val="left" w:leader="none"/>
        </w:tabs>
        <w:spacing w:line="240" w:lineRule="auto" w:before="66" w:after="0"/>
        <w:ind w:left="904" w:right="0" w:hanging="427"/>
        <w:jc w:val="left"/>
        <w:rPr>
          <w:sz w:val="38"/>
        </w:rPr>
      </w:pPr>
      <w:r>
        <w:rPr>
          <w:sz w:val="38"/>
        </w:rPr>
        <w:t>muscular dystrophies</w:t>
      </w:r>
    </w:p>
    <w:p>
      <w:pPr>
        <w:pStyle w:val="ListParagraph"/>
        <w:numPr>
          <w:ilvl w:val="0"/>
          <w:numId w:val="66"/>
        </w:numPr>
        <w:tabs>
          <w:tab w:pos="892" w:val="left" w:leader="none"/>
          <w:tab w:pos="893" w:val="left" w:leader="none"/>
        </w:tabs>
        <w:spacing w:line="240" w:lineRule="auto" w:before="63" w:after="0"/>
        <w:ind w:left="904" w:right="0" w:hanging="427"/>
        <w:jc w:val="left"/>
        <w:rPr>
          <w:sz w:val="38"/>
        </w:rPr>
      </w:pPr>
      <w:r>
        <w:rPr>
          <w:sz w:val="38"/>
        </w:rPr>
        <w:t>myasthenia</w:t>
      </w:r>
      <w:r>
        <w:rPr>
          <w:spacing w:val="-2"/>
          <w:sz w:val="38"/>
        </w:rPr>
        <w:t> </w:t>
      </w:r>
      <w:r>
        <w:rPr>
          <w:sz w:val="38"/>
        </w:rPr>
        <w:t>gravis</w:t>
      </w:r>
    </w:p>
    <w:p>
      <w:pPr>
        <w:pStyle w:val="ListParagraph"/>
        <w:numPr>
          <w:ilvl w:val="0"/>
          <w:numId w:val="66"/>
        </w:numPr>
        <w:tabs>
          <w:tab w:pos="892" w:val="left" w:leader="none"/>
          <w:tab w:pos="893" w:val="left" w:leader="none"/>
        </w:tabs>
        <w:spacing w:line="240" w:lineRule="auto" w:before="64" w:after="0"/>
        <w:ind w:left="904" w:right="0" w:hanging="427"/>
        <w:jc w:val="left"/>
        <w:rPr>
          <w:sz w:val="38"/>
        </w:rPr>
      </w:pPr>
      <w:r>
        <w:rPr>
          <w:sz w:val="38"/>
        </w:rPr>
        <w:t>mitochondrial</w:t>
      </w:r>
      <w:r>
        <w:rPr>
          <w:spacing w:val="-2"/>
          <w:sz w:val="38"/>
        </w:rPr>
        <w:t> </w:t>
      </w:r>
      <w:r>
        <w:rPr>
          <w:sz w:val="38"/>
        </w:rPr>
        <w:t>myopathy</w:t>
      </w:r>
    </w:p>
    <w:p>
      <w:pPr>
        <w:pStyle w:val="ListParagraph"/>
        <w:numPr>
          <w:ilvl w:val="0"/>
          <w:numId w:val="66"/>
        </w:numPr>
        <w:tabs>
          <w:tab w:pos="892" w:val="left" w:leader="none"/>
          <w:tab w:pos="893" w:val="left" w:leader="none"/>
        </w:tabs>
        <w:spacing w:line="240" w:lineRule="auto" w:before="64" w:after="0"/>
        <w:ind w:left="904" w:right="0" w:hanging="427"/>
        <w:jc w:val="left"/>
        <w:rPr>
          <w:sz w:val="38"/>
        </w:rPr>
      </w:pPr>
      <w:r>
        <w:rPr>
          <w:sz w:val="38"/>
        </w:rPr>
        <w:t>amyotrophic lateral</w:t>
      </w:r>
      <w:r>
        <w:rPr>
          <w:spacing w:val="-3"/>
          <w:sz w:val="38"/>
        </w:rPr>
        <w:t> </w:t>
      </w:r>
      <w:r>
        <w:rPr>
          <w:sz w:val="38"/>
        </w:rPr>
        <w:t>sclerosis</w:t>
      </w:r>
    </w:p>
    <w:p>
      <w:pPr>
        <w:pStyle w:val="Heading1"/>
        <w:spacing w:before="285"/>
      </w:pPr>
      <w:r>
        <w:rPr/>
        <w:t>Effect of L-carnosine against cancer</w:t>
      </w:r>
    </w:p>
    <w:p>
      <w:pPr>
        <w:pStyle w:val="BodyText"/>
        <w:spacing w:line="276" w:lineRule="auto" w:before="179"/>
        <w:ind w:left="477" w:right="133"/>
        <w:jc w:val="both"/>
      </w:pPr>
      <w:r>
        <w:rPr/>
        <w:t>Laboratory tests on cell cultures of different cancers have shown that L-carno- sine has apparently a cytotoxic (toxic) effect on human cancer cells. The cell cultures were soon free of cancer cells once L-carnosine was added.</w:t>
      </w:r>
    </w:p>
    <w:p>
      <w:pPr>
        <w:pStyle w:val="Heading1"/>
      </w:pPr>
      <w:r>
        <w:rPr/>
        <w:t>Effect on age-related sight problems and cataracts</w:t>
      </w:r>
    </w:p>
    <w:p>
      <w:pPr>
        <w:pStyle w:val="BodyText"/>
        <w:spacing w:line="276" w:lineRule="auto" w:before="300"/>
        <w:ind w:left="477"/>
      </w:pPr>
      <w:r>
        <w:rPr/>
        <w:t>In the form of special eye drops called ‘NAC drops’, L-carnosine is extremely effective against age-related visual impairment and cataracts (see ‘Studies’).</w:t>
      </w:r>
    </w:p>
    <w:p>
      <w:pPr>
        <w:spacing w:after="0" w:line="276" w:lineRule="auto"/>
        <w:sectPr>
          <w:pgSz w:w="14270" w:h="16850"/>
          <w:pgMar w:header="0" w:footer="1891" w:top="1600" w:bottom="2080" w:left="800" w:right="1280"/>
        </w:sectPr>
      </w:pPr>
    </w:p>
    <w:p>
      <w:pPr>
        <w:pStyle w:val="Heading1"/>
        <w:spacing w:before="164"/>
      </w:pPr>
      <w:r>
        <w:rPr/>
        <w:t>Effect of L-carnosine on cardiovascular</w:t>
      </w:r>
      <w:r>
        <w:rPr>
          <w:spacing w:val="-73"/>
        </w:rPr>
        <w:t> </w:t>
      </w:r>
      <w:r>
        <w:rPr/>
        <w:t>diseases</w:t>
      </w:r>
    </w:p>
    <w:p>
      <w:pPr>
        <w:pStyle w:val="BodyText"/>
        <w:spacing w:line="276" w:lineRule="auto" w:before="299"/>
        <w:ind w:left="477" w:right="244"/>
      </w:pPr>
      <w:r>
        <w:rPr/>
        <w:t>Over time, the body loses L-carnosine, which means that the carnosine stores in skeletal muscle and the heart muscle become depleted in old age.</w:t>
      </w:r>
    </w:p>
    <w:p>
      <w:pPr>
        <w:pStyle w:val="BodyText"/>
        <w:spacing w:line="276" w:lineRule="auto" w:before="241"/>
        <w:ind w:left="477"/>
      </w:pPr>
      <w:r>
        <w:rPr/>
        <w:t>An additional dose of L-carnosine can prevent cardiovascular diseases via the following mechanisms of action:</w:t>
      </w:r>
    </w:p>
    <w:p>
      <w:pPr>
        <w:pStyle w:val="ListParagraph"/>
        <w:numPr>
          <w:ilvl w:val="0"/>
          <w:numId w:val="66"/>
        </w:numPr>
        <w:tabs>
          <w:tab w:pos="904" w:val="left" w:leader="none"/>
          <w:tab w:pos="905" w:val="left" w:leader="none"/>
        </w:tabs>
        <w:spacing w:line="273" w:lineRule="auto" w:before="241" w:after="0"/>
        <w:ind w:left="904" w:right="138" w:hanging="427"/>
        <w:jc w:val="left"/>
        <w:rPr>
          <w:sz w:val="38"/>
        </w:rPr>
      </w:pPr>
      <w:r>
        <w:rPr>
          <w:sz w:val="38"/>
        </w:rPr>
        <w:t>L-carnosine increases the contraction of the heart muscle during its work; the heart can work more efficiently and more</w:t>
      </w:r>
      <w:r>
        <w:rPr>
          <w:spacing w:val="-2"/>
          <w:sz w:val="38"/>
        </w:rPr>
        <w:t> </w:t>
      </w:r>
      <w:r>
        <w:rPr>
          <w:sz w:val="38"/>
        </w:rPr>
        <w:t>economically.</w:t>
      </w:r>
    </w:p>
    <w:p>
      <w:pPr>
        <w:pStyle w:val="ListParagraph"/>
        <w:numPr>
          <w:ilvl w:val="0"/>
          <w:numId w:val="66"/>
        </w:numPr>
        <w:tabs>
          <w:tab w:pos="904" w:val="left" w:leader="none"/>
          <w:tab w:pos="905" w:val="left" w:leader="none"/>
        </w:tabs>
        <w:spacing w:line="240" w:lineRule="auto" w:before="7" w:after="0"/>
        <w:ind w:left="904" w:right="0" w:hanging="427"/>
        <w:jc w:val="left"/>
        <w:rPr>
          <w:sz w:val="38"/>
        </w:rPr>
      </w:pPr>
      <w:r>
        <w:rPr>
          <w:sz w:val="38"/>
        </w:rPr>
        <w:t>L-carnosine</w:t>
      </w:r>
      <w:r>
        <w:rPr>
          <w:spacing w:val="-17"/>
          <w:sz w:val="38"/>
        </w:rPr>
        <w:t> </w:t>
      </w:r>
      <w:r>
        <w:rPr>
          <w:sz w:val="38"/>
        </w:rPr>
        <w:t>reduces</w:t>
      </w:r>
      <w:r>
        <w:rPr>
          <w:spacing w:val="-17"/>
          <w:sz w:val="38"/>
        </w:rPr>
        <w:t> </w:t>
      </w:r>
      <w:r>
        <w:rPr>
          <w:sz w:val="38"/>
        </w:rPr>
        <w:t>high</w:t>
      </w:r>
      <w:r>
        <w:rPr>
          <w:spacing w:val="-17"/>
          <w:sz w:val="38"/>
        </w:rPr>
        <w:t> </w:t>
      </w:r>
      <w:r>
        <w:rPr>
          <w:sz w:val="38"/>
        </w:rPr>
        <w:t>blood</w:t>
      </w:r>
      <w:r>
        <w:rPr>
          <w:spacing w:val="-19"/>
          <w:sz w:val="38"/>
        </w:rPr>
        <w:t> </w:t>
      </w:r>
      <w:r>
        <w:rPr>
          <w:sz w:val="38"/>
        </w:rPr>
        <w:t>pressure,</w:t>
      </w:r>
      <w:r>
        <w:rPr>
          <w:spacing w:val="-18"/>
          <w:sz w:val="38"/>
        </w:rPr>
        <w:t> </w:t>
      </w:r>
      <w:r>
        <w:rPr>
          <w:sz w:val="38"/>
        </w:rPr>
        <w:t>which</w:t>
      </w:r>
      <w:r>
        <w:rPr>
          <w:spacing w:val="-18"/>
          <w:sz w:val="38"/>
        </w:rPr>
        <w:t> </w:t>
      </w:r>
      <w:r>
        <w:rPr>
          <w:sz w:val="38"/>
        </w:rPr>
        <w:t>gradually</w:t>
      </w:r>
      <w:r>
        <w:rPr>
          <w:spacing w:val="-18"/>
          <w:sz w:val="38"/>
        </w:rPr>
        <w:t> </w:t>
      </w:r>
      <w:r>
        <w:rPr>
          <w:sz w:val="38"/>
        </w:rPr>
        <w:t>damages</w:t>
      </w:r>
      <w:r>
        <w:rPr>
          <w:spacing w:val="-15"/>
          <w:sz w:val="38"/>
        </w:rPr>
        <w:t> </w:t>
      </w:r>
      <w:r>
        <w:rPr>
          <w:sz w:val="38"/>
        </w:rPr>
        <w:t>the</w:t>
      </w:r>
      <w:r>
        <w:rPr>
          <w:spacing w:val="-18"/>
          <w:sz w:val="38"/>
        </w:rPr>
        <w:t> </w:t>
      </w:r>
      <w:r>
        <w:rPr>
          <w:sz w:val="38"/>
        </w:rPr>
        <w:t>heart.</w:t>
      </w:r>
    </w:p>
    <w:p>
      <w:pPr>
        <w:pStyle w:val="ListParagraph"/>
        <w:numPr>
          <w:ilvl w:val="0"/>
          <w:numId w:val="66"/>
        </w:numPr>
        <w:tabs>
          <w:tab w:pos="904" w:val="left" w:leader="none"/>
          <w:tab w:pos="905" w:val="left" w:leader="none"/>
        </w:tabs>
        <w:spacing w:line="273" w:lineRule="auto" w:before="66" w:after="0"/>
        <w:ind w:left="904" w:right="134" w:hanging="427"/>
        <w:jc w:val="left"/>
        <w:rPr>
          <w:sz w:val="38"/>
        </w:rPr>
      </w:pPr>
      <w:r>
        <w:rPr>
          <w:sz w:val="38"/>
        </w:rPr>
        <w:t>L-carnosine lowers elevated cholesterol, which causes to deposits and</w:t>
      </w:r>
      <w:r>
        <w:rPr>
          <w:spacing w:val="-63"/>
          <w:sz w:val="38"/>
        </w:rPr>
        <w:t> </w:t>
      </w:r>
      <w:r>
        <w:rPr>
          <w:sz w:val="38"/>
        </w:rPr>
        <w:t>ather- osclerosis.</w:t>
      </w:r>
    </w:p>
    <w:p>
      <w:pPr>
        <w:pStyle w:val="ListParagraph"/>
        <w:numPr>
          <w:ilvl w:val="0"/>
          <w:numId w:val="66"/>
        </w:numPr>
        <w:tabs>
          <w:tab w:pos="904" w:val="left" w:leader="none"/>
          <w:tab w:pos="905" w:val="left" w:leader="none"/>
        </w:tabs>
        <w:spacing w:line="273" w:lineRule="auto" w:before="7" w:after="0"/>
        <w:ind w:left="904" w:right="134" w:hanging="427"/>
        <w:jc w:val="left"/>
        <w:rPr>
          <w:sz w:val="38"/>
        </w:rPr>
      </w:pPr>
      <w:r>
        <w:rPr>
          <w:sz w:val="38"/>
        </w:rPr>
        <w:t>L-carnosine not only prevents the development of atherosclerosis, but can even partially reverse it.</w:t>
      </w:r>
    </w:p>
    <w:p>
      <w:pPr>
        <w:pStyle w:val="ListParagraph"/>
        <w:numPr>
          <w:ilvl w:val="0"/>
          <w:numId w:val="66"/>
        </w:numPr>
        <w:tabs>
          <w:tab w:pos="904" w:val="left" w:leader="none"/>
          <w:tab w:pos="905" w:val="left" w:leader="none"/>
        </w:tabs>
        <w:spacing w:line="240" w:lineRule="auto" w:before="7" w:after="0"/>
        <w:ind w:left="904" w:right="0" w:hanging="427"/>
        <w:jc w:val="left"/>
        <w:rPr>
          <w:sz w:val="38"/>
        </w:rPr>
      </w:pPr>
      <w:r>
        <w:rPr>
          <w:sz w:val="38"/>
        </w:rPr>
        <w:t>L-carnosine prevents hypoxia in coronary heart</w:t>
      </w:r>
      <w:r>
        <w:rPr>
          <w:spacing w:val="-6"/>
          <w:sz w:val="38"/>
        </w:rPr>
        <w:t> </w:t>
      </w:r>
      <w:r>
        <w:rPr>
          <w:sz w:val="38"/>
        </w:rPr>
        <w:t>disease.</w:t>
      </w:r>
    </w:p>
    <w:p>
      <w:pPr>
        <w:pStyle w:val="BodyText"/>
        <w:rPr>
          <w:sz w:val="44"/>
        </w:rPr>
      </w:pPr>
    </w:p>
    <w:p>
      <w:pPr>
        <w:pStyle w:val="Heading1"/>
        <w:spacing w:before="282"/>
      </w:pPr>
      <w:r>
        <w:rPr/>
        <w:t>Effect of L-carnosine on stroke</w:t>
      </w:r>
    </w:p>
    <w:p>
      <w:pPr>
        <w:pStyle w:val="BodyText"/>
        <w:spacing w:line="276" w:lineRule="auto" w:before="299"/>
        <w:ind w:left="477" w:right="133"/>
        <w:jc w:val="both"/>
      </w:pPr>
      <w:r>
        <w:rPr/>
        <w:t>The consequences of a stroke manifest themselves in the form of inadequate oxygenation of individual brain areas. Depending on the duration and intensity of this oxygen deficiency, severe damage of various degrees can occur. In</w:t>
      </w:r>
      <w:r>
        <w:rPr>
          <w:spacing w:val="-46"/>
        </w:rPr>
        <w:t> </w:t>
      </w:r>
      <w:r>
        <w:rPr/>
        <w:t>most cases,</w:t>
      </w:r>
      <w:r>
        <w:rPr>
          <w:spacing w:val="-8"/>
        </w:rPr>
        <w:t> </w:t>
      </w:r>
      <w:r>
        <w:rPr/>
        <w:t>there</w:t>
      </w:r>
      <w:r>
        <w:rPr>
          <w:spacing w:val="-11"/>
        </w:rPr>
        <w:t> </w:t>
      </w:r>
      <w:r>
        <w:rPr/>
        <w:t>is</w:t>
      </w:r>
      <w:r>
        <w:rPr>
          <w:spacing w:val="-12"/>
        </w:rPr>
        <w:t> </w:t>
      </w:r>
      <w:r>
        <w:rPr/>
        <w:t>paralysis</w:t>
      </w:r>
      <w:r>
        <w:rPr>
          <w:spacing w:val="-8"/>
        </w:rPr>
        <w:t> </w:t>
      </w:r>
      <w:r>
        <w:rPr/>
        <w:t>in</w:t>
      </w:r>
      <w:r>
        <w:rPr>
          <w:spacing w:val="-12"/>
        </w:rPr>
        <w:t> </w:t>
      </w:r>
      <w:r>
        <w:rPr/>
        <w:t>half</w:t>
      </w:r>
      <w:r>
        <w:rPr>
          <w:spacing w:val="-10"/>
        </w:rPr>
        <w:t> </w:t>
      </w:r>
      <w:r>
        <w:rPr/>
        <w:t>of</w:t>
      </w:r>
      <w:r>
        <w:rPr>
          <w:spacing w:val="-13"/>
        </w:rPr>
        <w:t> </w:t>
      </w:r>
      <w:r>
        <w:rPr/>
        <w:t>the</w:t>
      </w:r>
      <w:r>
        <w:rPr>
          <w:spacing w:val="-8"/>
        </w:rPr>
        <w:t> </w:t>
      </w:r>
      <w:r>
        <w:rPr/>
        <w:t>body,</w:t>
      </w:r>
      <w:r>
        <w:rPr>
          <w:spacing w:val="-8"/>
        </w:rPr>
        <w:t> </w:t>
      </w:r>
      <w:r>
        <w:rPr/>
        <w:t>which</w:t>
      </w:r>
      <w:r>
        <w:rPr>
          <w:spacing w:val="-12"/>
        </w:rPr>
        <w:t> </w:t>
      </w:r>
      <w:r>
        <w:rPr/>
        <w:t>manifests</w:t>
      </w:r>
      <w:r>
        <w:rPr>
          <w:spacing w:val="-9"/>
        </w:rPr>
        <w:t> </w:t>
      </w:r>
      <w:r>
        <w:rPr/>
        <w:t>itself</w:t>
      </w:r>
      <w:r>
        <w:rPr>
          <w:spacing w:val="-10"/>
        </w:rPr>
        <w:t> </w:t>
      </w:r>
      <w:r>
        <w:rPr/>
        <w:t>in</w:t>
      </w:r>
      <w:r>
        <w:rPr>
          <w:spacing w:val="-9"/>
        </w:rPr>
        <w:t> </w:t>
      </w:r>
      <w:r>
        <w:rPr/>
        <w:t>the</w:t>
      </w:r>
      <w:r>
        <w:rPr>
          <w:spacing w:val="-10"/>
        </w:rPr>
        <w:t> </w:t>
      </w:r>
      <w:r>
        <w:rPr/>
        <w:t>form</w:t>
      </w:r>
      <w:r>
        <w:rPr>
          <w:spacing w:val="-12"/>
        </w:rPr>
        <w:t> </w:t>
      </w:r>
      <w:r>
        <w:rPr/>
        <w:t>of a</w:t>
      </w:r>
      <w:r>
        <w:rPr>
          <w:spacing w:val="-22"/>
        </w:rPr>
        <w:t> </w:t>
      </w:r>
      <w:r>
        <w:rPr/>
        <w:t>more</w:t>
      </w:r>
      <w:r>
        <w:rPr>
          <w:spacing w:val="-20"/>
        </w:rPr>
        <w:t> </w:t>
      </w:r>
      <w:r>
        <w:rPr/>
        <w:t>or</w:t>
      </w:r>
      <w:r>
        <w:rPr>
          <w:spacing w:val="-20"/>
        </w:rPr>
        <w:t> </w:t>
      </w:r>
      <w:r>
        <w:rPr/>
        <w:t>less</w:t>
      </w:r>
      <w:r>
        <w:rPr>
          <w:spacing w:val="-19"/>
        </w:rPr>
        <w:t> </w:t>
      </w:r>
      <w:r>
        <w:rPr/>
        <w:t>severe</w:t>
      </w:r>
      <w:r>
        <w:rPr>
          <w:spacing w:val="-21"/>
        </w:rPr>
        <w:t> </w:t>
      </w:r>
      <w:r>
        <w:rPr/>
        <w:t>paralysis</w:t>
      </w:r>
      <w:r>
        <w:rPr>
          <w:spacing w:val="-20"/>
        </w:rPr>
        <w:t> </w:t>
      </w:r>
      <w:r>
        <w:rPr/>
        <w:t>of</w:t>
      </w:r>
      <w:r>
        <w:rPr>
          <w:spacing w:val="-20"/>
        </w:rPr>
        <w:t> </w:t>
      </w:r>
      <w:r>
        <w:rPr/>
        <w:t>the</w:t>
      </w:r>
      <w:r>
        <w:rPr>
          <w:spacing w:val="-20"/>
        </w:rPr>
        <w:t> </w:t>
      </w:r>
      <w:r>
        <w:rPr/>
        <w:t>facial</w:t>
      </w:r>
      <w:r>
        <w:rPr>
          <w:spacing w:val="-22"/>
        </w:rPr>
        <w:t> </w:t>
      </w:r>
      <w:r>
        <w:rPr/>
        <w:t>muscles,</w:t>
      </w:r>
      <w:r>
        <w:rPr>
          <w:spacing w:val="-20"/>
        </w:rPr>
        <w:t> </w:t>
      </w:r>
      <w:r>
        <w:rPr/>
        <w:t>a</w:t>
      </w:r>
      <w:r>
        <w:rPr>
          <w:spacing w:val="-21"/>
        </w:rPr>
        <w:t> </w:t>
      </w:r>
      <w:r>
        <w:rPr/>
        <w:t>paralysis</w:t>
      </w:r>
      <w:r>
        <w:rPr>
          <w:spacing w:val="-20"/>
        </w:rPr>
        <w:t> </w:t>
      </w:r>
      <w:r>
        <w:rPr/>
        <w:t>of</w:t>
      </w:r>
      <w:r>
        <w:rPr>
          <w:spacing w:val="-21"/>
        </w:rPr>
        <w:t> </w:t>
      </w:r>
      <w:r>
        <w:rPr/>
        <w:t>the</w:t>
      </w:r>
      <w:r>
        <w:rPr>
          <w:spacing w:val="-19"/>
        </w:rPr>
        <w:t> </w:t>
      </w:r>
      <w:r>
        <w:rPr/>
        <w:t>extremities also</w:t>
      </w:r>
      <w:r>
        <w:rPr>
          <w:spacing w:val="12"/>
        </w:rPr>
        <w:t> </w:t>
      </w:r>
      <w:r>
        <w:rPr/>
        <w:t>frequently</w:t>
      </w:r>
      <w:r>
        <w:rPr>
          <w:spacing w:val="12"/>
        </w:rPr>
        <w:t> </w:t>
      </w:r>
      <w:r>
        <w:rPr/>
        <w:t>results,</w:t>
      </w:r>
      <w:r>
        <w:rPr>
          <w:spacing w:val="12"/>
        </w:rPr>
        <w:t> </w:t>
      </w:r>
      <w:r>
        <w:rPr/>
        <w:t>i.e.</w:t>
      </w:r>
      <w:r>
        <w:rPr>
          <w:spacing w:val="13"/>
        </w:rPr>
        <w:t> </w:t>
      </w:r>
      <w:r>
        <w:rPr/>
        <w:t>the</w:t>
      </w:r>
      <w:r>
        <w:rPr>
          <w:spacing w:val="10"/>
        </w:rPr>
        <w:t> </w:t>
      </w:r>
      <w:r>
        <w:rPr/>
        <w:t>arm</w:t>
      </w:r>
      <w:r>
        <w:rPr>
          <w:spacing w:val="12"/>
        </w:rPr>
        <w:t> </w:t>
      </w:r>
      <w:r>
        <w:rPr/>
        <w:t>or</w:t>
      </w:r>
      <w:r>
        <w:rPr>
          <w:spacing w:val="13"/>
        </w:rPr>
        <w:t> </w:t>
      </w:r>
      <w:r>
        <w:rPr/>
        <w:t>leg</w:t>
      </w:r>
      <w:r>
        <w:rPr>
          <w:spacing w:val="10"/>
        </w:rPr>
        <w:t> </w:t>
      </w:r>
      <w:r>
        <w:rPr/>
        <w:t>muscles</w:t>
      </w:r>
      <w:r>
        <w:rPr>
          <w:spacing w:val="13"/>
        </w:rPr>
        <w:t> </w:t>
      </w:r>
      <w:r>
        <w:rPr/>
        <w:t>of</w:t>
      </w:r>
      <w:r>
        <w:rPr>
          <w:spacing w:val="12"/>
        </w:rPr>
        <w:t> </w:t>
      </w:r>
      <w:r>
        <w:rPr/>
        <w:t>the</w:t>
      </w:r>
      <w:r>
        <w:rPr>
          <w:spacing w:val="10"/>
        </w:rPr>
        <w:t> </w:t>
      </w:r>
      <w:r>
        <w:rPr/>
        <w:t>body</w:t>
      </w:r>
      <w:r>
        <w:rPr>
          <w:spacing w:val="10"/>
        </w:rPr>
        <w:t> </w:t>
      </w:r>
      <w:r>
        <w:rPr/>
        <w:t>half</w:t>
      </w:r>
      <w:r>
        <w:rPr>
          <w:spacing w:val="19"/>
        </w:rPr>
        <w:t> </w:t>
      </w:r>
      <w:r>
        <w:rPr/>
        <w:t>affected</w:t>
      </w:r>
      <w:r>
        <w:rPr>
          <w:spacing w:val="12"/>
        </w:rPr>
        <w:t> </w:t>
      </w:r>
      <w:r>
        <w:rPr/>
        <w:t>by</w:t>
      </w:r>
    </w:p>
    <w:p>
      <w:pPr>
        <w:spacing w:after="0" w:line="276" w:lineRule="auto"/>
        <w:jc w:val="both"/>
        <w:sectPr>
          <w:pgSz w:w="14270" w:h="16850"/>
          <w:pgMar w:header="0" w:footer="1891" w:top="1600" w:bottom="2080" w:left="800" w:right="1280"/>
        </w:sectPr>
      </w:pPr>
    </w:p>
    <w:p>
      <w:pPr>
        <w:pStyle w:val="BodyText"/>
        <w:spacing w:before="181"/>
        <w:ind w:left="477"/>
      </w:pPr>
      <w:r>
        <w:rPr/>
        <w:t>the stroke.</w:t>
      </w:r>
    </w:p>
    <w:p>
      <w:pPr>
        <w:pStyle w:val="BodyText"/>
        <w:spacing w:line="276" w:lineRule="auto" w:before="305"/>
        <w:ind w:left="477" w:right="131"/>
        <w:jc w:val="both"/>
      </w:pPr>
      <w:r>
        <w:rPr/>
        <w:t>In</w:t>
      </w:r>
      <w:r>
        <w:rPr>
          <w:spacing w:val="-6"/>
        </w:rPr>
        <w:t> </w:t>
      </w:r>
      <w:r>
        <w:rPr/>
        <w:t>the</w:t>
      </w:r>
      <w:r>
        <w:rPr>
          <w:spacing w:val="-6"/>
        </w:rPr>
        <w:t> </w:t>
      </w:r>
      <w:r>
        <w:rPr/>
        <w:t>case</w:t>
      </w:r>
      <w:r>
        <w:rPr>
          <w:spacing w:val="-5"/>
        </w:rPr>
        <w:t> </w:t>
      </w:r>
      <w:r>
        <w:rPr/>
        <w:t>of</w:t>
      </w:r>
      <w:r>
        <w:rPr>
          <w:spacing w:val="-7"/>
        </w:rPr>
        <w:t> </w:t>
      </w:r>
      <w:r>
        <w:rPr/>
        <w:t>damage</w:t>
      </w:r>
      <w:r>
        <w:rPr>
          <w:spacing w:val="-6"/>
        </w:rPr>
        <w:t> </w:t>
      </w:r>
      <w:r>
        <w:rPr/>
        <w:t>to</w:t>
      </w:r>
      <w:r>
        <w:rPr>
          <w:spacing w:val="-6"/>
        </w:rPr>
        <w:t> </w:t>
      </w:r>
      <w:r>
        <w:rPr/>
        <w:t>the</w:t>
      </w:r>
      <w:r>
        <w:rPr>
          <w:spacing w:val="-6"/>
        </w:rPr>
        <w:t> </w:t>
      </w:r>
      <w:r>
        <w:rPr/>
        <w:t>left</w:t>
      </w:r>
      <w:r>
        <w:rPr>
          <w:spacing w:val="-7"/>
        </w:rPr>
        <w:t> </w:t>
      </w:r>
      <w:r>
        <w:rPr/>
        <w:t>hemisphere,</w:t>
      </w:r>
      <w:r>
        <w:rPr>
          <w:spacing w:val="-8"/>
        </w:rPr>
        <w:t> </w:t>
      </w:r>
      <w:r>
        <w:rPr/>
        <w:t>speech</w:t>
      </w:r>
      <w:r>
        <w:rPr>
          <w:spacing w:val="-5"/>
        </w:rPr>
        <w:t> </w:t>
      </w:r>
      <w:r>
        <w:rPr/>
        <w:t>disorders,</w:t>
      </w:r>
      <w:r>
        <w:rPr>
          <w:spacing w:val="-6"/>
        </w:rPr>
        <w:t> </w:t>
      </w:r>
      <w:r>
        <w:rPr/>
        <w:t>which</w:t>
      </w:r>
      <w:r>
        <w:rPr>
          <w:spacing w:val="-6"/>
        </w:rPr>
        <w:t> </w:t>
      </w:r>
      <w:r>
        <w:rPr/>
        <w:t>can</w:t>
      </w:r>
      <w:r>
        <w:rPr>
          <w:spacing w:val="-5"/>
        </w:rPr>
        <w:t> </w:t>
      </w:r>
      <w:r>
        <w:rPr/>
        <w:t>even lead</w:t>
      </w:r>
      <w:r>
        <w:rPr>
          <w:spacing w:val="-16"/>
        </w:rPr>
        <w:t> </w:t>
      </w:r>
      <w:r>
        <w:rPr/>
        <w:t>to</w:t>
      </w:r>
      <w:r>
        <w:rPr>
          <w:spacing w:val="-15"/>
        </w:rPr>
        <w:t> </w:t>
      </w:r>
      <w:r>
        <w:rPr/>
        <w:t>complete</w:t>
      </w:r>
      <w:r>
        <w:rPr>
          <w:spacing w:val="-17"/>
        </w:rPr>
        <w:t> </w:t>
      </w:r>
      <w:r>
        <w:rPr/>
        <w:t>loss</w:t>
      </w:r>
      <w:r>
        <w:rPr>
          <w:spacing w:val="-16"/>
        </w:rPr>
        <w:t> </w:t>
      </w:r>
      <w:r>
        <w:rPr/>
        <w:t>of</w:t>
      </w:r>
      <w:r>
        <w:rPr>
          <w:spacing w:val="-17"/>
        </w:rPr>
        <w:t> </w:t>
      </w:r>
      <w:r>
        <w:rPr/>
        <w:t>speech</w:t>
      </w:r>
      <w:r>
        <w:rPr>
          <w:spacing w:val="-15"/>
        </w:rPr>
        <w:t> </w:t>
      </w:r>
      <w:r>
        <w:rPr/>
        <w:t>ability,</w:t>
      </w:r>
      <w:r>
        <w:rPr>
          <w:spacing w:val="-15"/>
        </w:rPr>
        <w:t> </w:t>
      </w:r>
      <w:r>
        <w:rPr/>
        <w:t>are</w:t>
      </w:r>
      <w:r>
        <w:rPr>
          <w:spacing w:val="-15"/>
        </w:rPr>
        <w:t> </w:t>
      </w:r>
      <w:r>
        <w:rPr/>
        <w:t>common.</w:t>
      </w:r>
      <w:r>
        <w:rPr>
          <w:spacing w:val="-13"/>
        </w:rPr>
        <w:t> </w:t>
      </w:r>
      <w:r>
        <w:rPr/>
        <w:t>Depending</w:t>
      </w:r>
      <w:r>
        <w:rPr>
          <w:spacing w:val="-17"/>
        </w:rPr>
        <w:t> </w:t>
      </w:r>
      <w:r>
        <w:rPr/>
        <w:t>on</w:t>
      </w:r>
      <w:r>
        <w:rPr>
          <w:spacing w:val="-13"/>
        </w:rPr>
        <w:t> </w:t>
      </w:r>
      <w:r>
        <w:rPr/>
        <w:t>which</w:t>
      </w:r>
      <w:r>
        <w:rPr>
          <w:spacing w:val="-14"/>
        </w:rPr>
        <w:t> </w:t>
      </w:r>
      <w:r>
        <w:rPr/>
        <w:t>areas in the brain are damaged due to an oxygen deficiency, the stroke can also lead to difficulties reading and</w:t>
      </w:r>
      <w:r>
        <w:rPr>
          <w:spacing w:val="3"/>
        </w:rPr>
        <w:t> </w:t>
      </w:r>
      <w:r>
        <w:rPr/>
        <w:t>writing.</w:t>
      </w:r>
    </w:p>
    <w:p>
      <w:pPr>
        <w:pStyle w:val="Heading1"/>
        <w:spacing w:before="222"/>
      </w:pPr>
      <w:r>
        <w:rPr/>
        <w:t>L-carnosine protects against stroke</w:t>
      </w:r>
    </w:p>
    <w:p>
      <w:pPr>
        <w:pStyle w:val="BodyText"/>
        <w:spacing w:line="276" w:lineRule="auto" w:before="300"/>
        <w:ind w:left="477" w:right="130"/>
        <w:jc w:val="both"/>
      </w:pPr>
      <w:r>
        <w:rPr/>
        <w:t>L-carnosine can prevent a stroke through its antihypertensive and cholesterol- lowering effects as well as its protective action against atherosclerosis.</w:t>
      </w:r>
    </w:p>
    <w:p>
      <w:pPr>
        <w:pStyle w:val="Heading1"/>
        <w:spacing w:before="223"/>
      </w:pPr>
      <w:r>
        <w:rPr/>
        <w:t>L-carnosine protects against the serious damage of an acute stroke</w:t>
      </w:r>
    </w:p>
    <w:p>
      <w:pPr>
        <w:pStyle w:val="BodyText"/>
        <w:spacing w:line="276" w:lineRule="auto" w:before="299"/>
        <w:ind w:left="477" w:right="135"/>
        <w:jc w:val="both"/>
      </w:pPr>
      <w:r>
        <w:rPr/>
        <w:t>In studies, L-carnosine has shown a protective effect on the brain cells during a stroke. L-carnosine acts as a neuro-carrier and also protects the cellular en- zyme ‘proteasome’ from destruction. On the other hand, it prevents overstim- ulation of the brain by certain</w:t>
      </w:r>
      <w:r>
        <w:rPr>
          <w:spacing w:val="3"/>
        </w:rPr>
        <w:t> </w:t>
      </w:r>
      <w:r>
        <w:rPr/>
        <w:t>receptors.</w:t>
      </w:r>
    </w:p>
    <w:p>
      <w:pPr>
        <w:pStyle w:val="Heading1"/>
        <w:spacing w:before="223"/>
      </w:pPr>
      <w:r>
        <w:rPr/>
        <w:t>Effect of L-carnosine on potency problems and libido weakness</w:t>
      </w:r>
    </w:p>
    <w:p>
      <w:pPr>
        <w:pStyle w:val="BodyText"/>
        <w:spacing w:line="276" w:lineRule="auto" w:before="299"/>
        <w:ind w:left="477" w:right="134"/>
        <w:jc w:val="both"/>
      </w:pPr>
      <w:r>
        <w:rPr/>
        <w:t>An absolute prerequisite for achieving and maintaining an erection is the pro- duction of nitric oxide, abbreviated ‘NO’. However, carnosine is the natural substrate for nitric oxide, which means that L-carnosine naturally strengthens the potency.</w:t>
      </w:r>
    </w:p>
    <w:p>
      <w:pPr>
        <w:pStyle w:val="Heading1"/>
        <w:spacing w:before="222"/>
        <w:jc w:val="both"/>
      </w:pPr>
      <w:r>
        <w:rPr/>
        <w:t>Effect on diabetes</w:t>
      </w:r>
    </w:p>
    <w:p>
      <w:pPr>
        <w:spacing w:after="0"/>
        <w:jc w:val="both"/>
        <w:sectPr>
          <w:pgSz w:w="14270" w:h="16850"/>
          <w:pgMar w:header="0" w:footer="1891" w:top="1600" w:bottom="2080" w:left="800" w:right="1280"/>
        </w:sectPr>
      </w:pPr>
    </w:p>
    <w:p>
      <w:pPr>
        <w:pStyle w:val="BodyText"/>
        <w:spacing w:line="276" w:lineRule="auto" w:before="181"/>
        <w:ind w:left="477" w:right="134"/>
        <w:jc w:val="both"/>
      </w:pPr>
      <w:r>
        <w:rPr/>
        <w:t>Diabetes causes many unpleasant side effects and complications. A diabetic</w:t>
      </w:r>
      <w:r>
        <w:rPr>
          <w:spacing w:val="-60"/>
        </w:rPr>
        <w:t> </w:t>
      </w:r>
      <w:r>
        <w:rPr/>
        <w:t>ex- cretes increased amounts of L-carnosine, in addition, diabetes increases gly- cation, the saccharification of proteins and blood vessels, and thus their hard- ening and the promotion of early atherosclerosis (vessel hardening and calcifi- cation). This makes diabetes patients 3 times more susceptible to heart attacks and strokes than non-diabetics.</w:t>
      </w:r>
    </w:p>
    <w:p>
      <w:pPr>
        <w:pStyle w:val="BodyText"/>
        <w:spacing w:line="276" w:lineRule="auto" w:before="241"/>
        <w:ind w:left="477" w:right="138"/>
        <w:jc w:val="both"/>
      </w:pPr>
      <w:r>
        <w:rPr/>
        <w:t>Since L-carnosine controls the blood sugar content via the H3 receptors of</w:t>
      </w:r>
      <w:r>
        <w:rPr>
          <w:spacing w:val="-41"/>
        </w:rPr>
        <w:t> </w:t>
      </w:r>
      <w:r>
        <w:rPr/>
        <w:t>the autonomic</w:t>
      </w:r>
      <w:r>
        <w:rPr>
          <w:spacing w:val="-21"/>
        </w:rPr>
        <w:t> </w:t>
      </w:r>
      <w:r>
        <w:rPr/>
        <w:t>nervous</w:t>
      </w:r>
      <w:r>
        <w:rPr>
          <w:spacing w:val="-19"/>
        </w:rPr>
        <w:t> </w:t>
      </w:r>
      <w:r>
        <w:rPr/>
        <w:t>system,</w:t>
      </w:r>
      <w:r>
        <w:rPr>
          <w:spacing w:val="-18"/>
        </w:rPr>
        <w:t> </w:t>
      </w:r>
      <w:r>
        <w:rPr/>
        <w:t>it</w:t>
      </w:r>
      <w:r>
        <w:rPr>
          <w:spacing w:val="-20"/>
        </w:rPr>
        <w:t> </w:t>
      </w:r>
      <w:r>
        <w:rPr/>
        <w:t>is</w:t>
      </w:r>
      <w:r>
        <w:rPr>
          <w:spacing w:val="-23"/>
        </w:rPr>
        <w:t> </w:t>
      </w:r>
      <w:r>
        <w:rPr/>
        <w:t>recommended</w:t>
      </w:r>
      <w:r>
        <w:rPr>
          <w:spacing w:val="-19"/>
        </w:rPr>
        <w:t> </w:t>
      </w:r>
      <w:r>
        <w:rPr/>
        <w:t>for</w:t>
      </w:r>
      <w:r>
        <w:rPr>
          <w:spacing w:val="-18"/>
        </w:rPr>
        <w:t> </w:t>
      </w:r>
      <w:r>
        <w:rPr/>
        <w:t>diabetics,</w:t>
      </w:r>
      <w:r>
        <w:rPr>
          <w:spacing w:val="-18"/>
        </w:rPr>
        <w:t> </w:t>
      </w:r>
      <w:r>
        <w:rPr/>
        <w:t>in</w:t>
      </w:r>
      <w:r>
        <w:rPr>
          <w:spacing w:val="-20"/>
        </w:rPr>
        <w:t> </w:t>
      </w:r>
      <w:r>
        <w:rPr/>
        <w:t>both</w:t>
      </w:r>
      <w:r>
        <w:rPr>
          <w:spacing w:val="-18"/>
        </w:rPr>
        <w:t> </w:t>
      </w:r>
      <w:r>
        <w:rPr/>
        <w:t>a</w:t>
      </w:r>
      <w:r>
        <w:rPr>
          <w:spacing w:val="-20"/>
        </w:rPr>
        <w:t> </w:t>
      </w:r>
      <w:r>
        <w:rPr/>
        <w:t>therapeu- tic as well as a preventive</w:t>
      </w:r>
      <w:r>
        <w:rPr>
          <w:spacing w:val="-1"/>
        </w:rPr>
        <w:t> </w:t>
      </w:r>
      <w:r>
        <w:rPr/>
        <w:t>capacity.</w:t>
      </w:r>
    </w:p>
    <w:p>
      <w:pPr>
        <w:pStyle w:val="BodyText"/>
        <w:spacing w:line="276" w:lineRule="auto" w:before="241"/>
        <w:ind w:left="477" w:right="135"/>
        <w:jc w:val="both"/>
      </w:pPr>
      <w:r>
        <w:rPr/>
        <w:t>Furthermore, L-carnosine prevents glycation and can thus prevent diabetic nephropathy, diabetic neuropathy and damage to the eye.</w:t>
      </w:r>
    </w:p>
    <w:p>
      <w:pPr>
        <w:pStyle w:val="BodyText"/>
        <w:spacing w:line="276" w:lineRule="auto" w:before="238"/>
        <w:ind w:left="477" w:right="134"/>
        <w:jc w:val="both"/>
      </w:pPr>
      <w:r>
        <w:rPr/>
        <w:t>In addition, the intake of L-carnosine in pregnancy increases the glucose toler- ance of the child and thus reduces the risk of diabetes.</w:t>
      </w:r>
    </w:p>
    <w:p>
      <w:pPr>
        <w:pStyle w:val="Heading2"/>
        <w:spacing w:before="241"/>
      </w:pPr>
      <w:r>
        <w:rPr/>
        <w:t>L-carnosine and anti-ageing</w:t>
      </w:r>
    </w:p>
    <w:p>
      <w:pPr>
        <w:spacing w:before="288"/>
        <w:ind w:left="477" w:right="0" w:firstLine="0"/>
        <w:jc w:val="left"/>
        <w:rPr>
          <w:b/>
          <w:i/>
          <w:sz w:val="40"/>
        </w:rPr>
      </w:pPr>
      <w:r>
        <w:rPr>
          <w:b/>
          <w:i/>
          <w:sz w:val="40"/>
        </w:rPr>
        <w:t>L-carnosine works against ageing and rejuvenates actively</w:t>
      </w:r>
    </w:p>
    <w:p>
      <w:pPr>
        <w:pStyle w:val="BodyText"/>
        <w:spacing w:line="276" w:lineRule="auto" w:before="299"/>
        <w:ind w:left="477" w:right="137"/>
        <w:jc w:val="both"/>
      </w:pPr>
      <w:r>
        <w:rPr/>
        <w:t>In most cases, L-carnosine is associated with anti-ageing, or biological rejuve- nation,</w:t>
      </w:r>
      <w:r>
        <w:rPr>
          <w:spacing w:val="-6"/>
        </w:rPr>
        <w:t> </w:t>
      </w:r>
      <w:r>
        <w:rPr/>
        <w:t>on</w:t>
      </w:r>
      <w:r>
        <w:rPr>
          <w:spacing w:val="-5"/>
        </w:rPr>
        <w:t> </w:t>
      </w:r>
      <w:r>
        <w:rPr/>
        <w:t>which</w:t>
      </w:r>
      <w:r>
        <w:rPr>
          <w:spacing w:val="-7"/>
        </w:rPr>
        <w:t> </w:t>
      </w:r>
      <w:r>
        <w:rPr/>
        <w:t>it</w:t>
      </w:r>
      <w:r>
        <w:rPr>
          <w:spacing w:val="-7"/>
        </w:rPr>
        <w:t> </w:t>
      </w:r>
      <w:r>
        <w:rPr/>
        <w:t>has</w:t>
      </w:r>
      <w:r>
        <w:rPr>
          <w:spacing w:val="-6"/>
        </w:rPr>
        <w:t> </w:t>
      </w:r>
      <w:r>
        <w:rPr/>
        <w:t>been</w:t>
      </w:r>
      <w:r>
        <w:rPr>
          <w:spacing w:val="-8"/>
        </w:rPr>
        <w:t> </w:t>
      </w:r>
      <w:r>
        <w:rPr/>
        <w:t>shown</w:t>
      </w:r>
      <w:r>
        <w:rPr>
          <w:spacing w:val="-7"/>
        </w:rPr>
        <w:t> </w:t>
      </w:r>
      <w:r>
        <w:rPr/>
        <w:t>to</w:t>
      </w:r>
      <w:r>
        <w:rPr>
          <w:spacing w:val="-5"/>
        </w:rPr>
        <w:t> </w:t>
      </w:r>
      <w:r>
        <w:rPr/>
        <w:t>have</w:t>
      </w:r>
      <w:r>
        <w:rPr>
          <w:spacing w:val="-7"/>
        </w:rPr>
        <w:t> </w:t>
      </w:r>
      <w:r>
        <w:rPr/>
        <w:t>a</w:t>
      </w:r>
      <w:r>
        <w:rPr>
          <w:spacing w:val="-7"/>
        </w:rPr>
        <w:t> </w:t>
      </w:r>
      <w:r>
        <w:rPr/>
        <w:t>fantastic</w:t>
      </w:r>
      <w:r>
        <w:rPr>
          <w:spacing w:val="-7"/>
        </w:rPr>
        <w:t> </w:t>
      </w:r>
      <w:r>
        <w:rPr/>
        <w:t>effect</w:t>
      </w:r>
      <w:r>
        <w:rPr>
          <w:spacing w:val="-6"/>
        </w:rPr>
        <w:t> </w:t>
      </w:r>
      <w:r>
        <w:rPr/>
        <w:t>in</w:t>
      </w:r>
      <w:r>
        <w:rPr>
          <w:spacing w:val="-7"/>
        </w:rPr>
        <w:t> </w:t>
      </w:r>
      <w:r>
        <w:rPr/>
        <w:t>various</w:t>
      </w:r>
      <w:r>
        <w:rPr>
          <w:spacing w:val="-6"/>
        </w:rPr>
        <w:t> </w:t>
      </w:r>
      <w:r>
        <w:rPr/>
        <w:t>studies, which we will discuss</w:t>
      </w:r>
      <w:r>
        <w:rPr>
          <w:spacing w:val="1"/>
        </w:rPr>
        <w:t> </w:t>
      </w:r>
      <w:r>
        <w:rPr/>
        <w:t>later.</w:t>
      </w:r>
    </w:p>
    <w:p>
      <w:pPr>
        <w:pStyle w:val="Heading1"/>
        <w:spacing w:line="261" w:lineRule="auto" w:before="222"/>
        <w:ind w:right="137"/>
        <w:jc w:val="both"/>
      </w:pPr>
      <w:r>
        <w:rPr/>
        <w:t>How</w:t>
      </w:r>
      <w:r>
        <w:rPr>
          <w:spacing w:val="-42"/>
        </w:rPr>
        <w:t> </w:t>
      </w:r>
      <w:r>
        <w:rPr/>
        <w:t>does</w:t>
      </w:r>
      <w:r>
        <w:rPr>
          <w:spacing w:val="-41"/>
        </w:rPr>
        <w:t> </w:t>
      </w:r>
      <w:r>
        <w:rPr/>
        <w:t>L-carnosine</w:t>
      </w:r>
      <w:r>
        <w:rPr>
          <w:spacing w:val="-41"/>
        </w:rPr>
        <w:t> </w:t>
      </w:r>
      <w:r>
        <w:rPr/>
        <w:t>work</w:t>
      </w:r>
      <w:r>
        <w:rPr>
          <w:spacing w:val="-40"/>
        </w:rPr>
        <w:t> </w:t>
      </w:r>
      <w:r>
        <w:rPr/>
        <w:t>against</w:t>
      </w:r>
      <w:r>
        <w:rPr>
          <w:spacing w:val="-43"/>
        </w:rPr>
        <w:t> </w:t>
      </w:r>
      <w:r>
        <w:rPr/>
        <w:t>ageing</w:t>
      </w:r>
      <w:r>
        <w:rPr>
          <w:spacing w:val="-37"/>
        </w:rPr>
        <w:t> </w:t>
      </w:r>
      <w:r>
        <w:rPr/>
        <w:t>and</w:t>
      </w:r>
      <w:r>
        <w:rPr>
          <w:spacing w:val="-42"/>
        </w:rPr>
        <w:t> </w:t>
      </w:r>
      <w:r>
        <w:rPr/>
        <w:t>how</w:t>
      </w:r>
      <w:r>
        <w:rPr>
          <w:spacing w:val="-40"/>
        </w:rPr>
        <w:t> </w:t>
      </w:r>
      <w:r>
        <w:rPr/>
        <w:t>does</w:t>
      </w:r>
      <w:r>
        <w:rPr>
          <w:spacing w:val="-40"/>
        </w:rPr>
        <w:t> </w:t>
      </w:r>
      <w:r>
        <w:rPr/>
        <w:t>it</w:t>
      </w:r>
      <w:r>
        <w:rPr>
          <w:spacing w:val="-43"/>
        </w:rPr>
        <w:t> </w:t>
      </w:r>
      <w:r>
        <w:rPr/>
        <w:t>rejuvenate cells?</w:t>
      </w:r>
    </w:p>
    <w:p>
      <w:pPr>
        <w:spacing w:after="0" w:line="261" w:lineRule="auto"/>
        <w:jc w:val="both"/>
        <w:sectPr>
          <w:pgSz w:w="14270" w:h="16850"/>
          <w:pgMar w:header="0" w:footer="1891" w:top="1600" w:bottom="2080" w:left="800" w:right="1280"/>
        </w:sectPr>
      </w:pPr>
    </w:p>
    <w:p>
      <w:pPr>
        <w:pStyle w:val="BodyText"/>
        <w:spacing w:line="276" w:lineRule="auto" w:before="181"/>
        <w:ind w:left="477" w:right="132"/>
        <w:jc w:val="both"/>
      </w:pPr>
      <w:r>
        <w:rPr/>
        <w:t>The role of the enzyme ‘telomerase’ is crucial in ageing. The Nobel Prize for Medicine and Physiology 2009 went to researchers Elizabeth H. Blackburn, Carol W. Greider, and Jack W. Szostak for deciphering the ageing process and the role of the telomerase enzyme, which protects telomeres from shortening.</w:t>
      </w:r>
    </w:p>
    <w:p>
      <w:pPr>
        <w:pStyle w:val="BodyText"/>
        <w:spacing w:line="276" w:lineRule="auto" w:before="242"/>
        <w:ind w:left="477" w:right="141"/>
        <w:jc w:val="both"/>
      </w:pPr>
      <w:r>
        <w:rPr/>
        <w:t>Telomeres form the ends of the chromosomes to which the DNA strands are packed tightly inside the cell.</w:t>
      </w:r>
    </w:p>
    <w:p>
      <w:pPr>
        <w:pStyle w:val="BodyText"/>
        <w:spacing w:line="276" w:lineRule="auto" w:before="239"/>
        <w:ind w:left="477" w:right="136"/>
        <w:jc w:val="both"/>
      </w:pPr>
      <w:r>
        <w:rPr/>
        <w:t>The two researchers Szostak, from the Howard Hughes Medical Institute, and Blackburn from the University of California, were the first to show that the special DNA sequence of the telomeres protects the genome from</w:t>
      </w:r>
      <w:r>
        <w:rPr>
          <w:spacing w:val="-65"/>
        </w:rPr>
        <w:t> </w:t>
      </w:r>
      <w:r>
        <w:rPr/>
        <w:t>destruction.</w:t>
      </w:r>
    </w:p>
    <w:p>
      <w:pPr>
        <w:pStyle w:val="BodyText"/>
        <w:spacing w:line="276" w:lineRule="auto" w:before="241"/>
        <w:ind w:left="477" w:right="132"/>
        <w:jc w:val="both"/>
      </w:pPr>
      <w:r>
        <w:rPr/>
        <w:t>In collaboration with Blackburn, the third researcher of the Greider team at John Hopkins University, they succeeded in discovering the enzyme ‘telomer- ase’, which produces the telomeres and prevents them from being shortened.</w:t>
      </w:r>
    </w:p>
    <w:p>
      <w:pPr>
        <w:pStyle w:val="BodyText"/>
        <w:spacing w:line="276" w:lineRule="auto" w:before="239"/>
        <w:ind w:left="477" w:right="133"/>
        <w:jc w:val="both"/>
      </w:pPr>
      <w:r>
        <w:rPr/>
        <w:t>The shortening of the telomeres plays the primary role </w:t>
      </w:r>
      <w:r>
        <w:rPr>
          <w:spacing w:val="3"/>
        </w:rPr>
        <w:t>in </w:t>
      </w:r>
      <w:r>
        <w:rPr/>
        <w:t>the natural ageing process</w:t>
      </w:r>
      <w:r>
        <w:rPr>
          <w:spacing w:val="-14"/>
        </w:rPr>
        <w:t> </w:t>
      </w:r>
      <w:r>
        <w:rPr/>
        <w:t>of</w:t>
      </w:r>
      <w:r>
        <w:rPr>
          <w:spacing w:val="-13"/>
        </w:rPr>
        <w:t> </w:t>
      </w:r>
      <w:r>
        <w:rPr/>
        <w:t>our</w:t>
      </w:r>
      <w:r>
        <w:rPr>
          <w:spacing w:val="-13"/>
        </w:rPr>
        <w:t> </w:t>
      </w:r>
      <w:r>
        <w:rPr/>
        <w:t>cells.</w:t>
      </w:r>
      <w:r>
        <w:rPr>
          <w:spacing w:val="-12"/>
        </w:rPr>
        <w:t> </w:t>
      </w:r>
      <w:r>
        <w:rPr/>
        <w:t>If</w:t>
      </w:r>
      <w:r>
        <w:rPr>
          <w:spacing w:val="-13"/>
        </w:rPr>
        <w:t> </w:t>
      </w:r>
      <w:r>
        <w:rPr/>
        <w:t>these</w:t>
      </w:r>
      <w:r>
        <w:rPr>
          <w:spacing w:val="-13"/>
        </w:rPr>
        <w:t> </w:t>
      </w:r>
      <w:r>
        <w:rPr/>
        <w:t>fall</w:t>
      </w:r>
      <w:r>
        <w:rPr>
          <w:spacing w:val="-14"/>
        </w:rPr>
        <w:t> </w:t>
      </w:r>
      <w:r>
        <w:rPr/>
        <w:t>below</w:t>
      </w:r>
      <w:r>
        <w:rPr>
          <w:spacing w:val="-14"/>
        </w:rPr>
        <w:t> </w:t>
      </w:r>
      <w:r>
        <w:rPr/>
        <w:t>a</w:t>
      </w:r>
      <w:r>
        <w:rPr>
          <w:spacing w:val="-14"/>
        </w:rPr>
        <w:t> </w:t>
      </w:r>
      <w:r>
        <w:rPr/>
        <w:t>certain</w:t>
      </w:r>
      <w:r>
        <w:rPr>
          <w:spacing w:val="-13"/>
        </w:rPr>
        <w:t> </w:t>
      </w:r>
      <w:r>
        <w:rPr/>
        <w:t>length,</w:t>
      </w:r>
      <w:r>
        <w:rPr>
          <w:spacing w:val="-12"/>
        </w:rPr>
        <w:t> </w:t>
      </w:r>
      <w:r>
        <w:rPr/>
        <w:t>the</w:t>
      </w:r>
      <w:r>
        <w:rPr>
          <w:spacing w:val="-12"/>
        </w:rPr>
        <w:t> </w:t>
      </w:r>
      <w:r>
        <w:rPr/>
        <w:t>cell</w:t>
      </w:r>
      <w:r>
        <w:rPr>
          <w:spacing w:val="-12"/>
        </w:rPr>
        <w:t> </w:t>
      </w:r>
      <w:r>
        <w:rPr/>
        <w:t>is</w:t>
      </w:r>
      <w:r>
        <w:rPr>
          <w:spacing w:val="-16"/>
        </w:rPr>
        <w:t> </w:t>
      </w:r>
      <w:r>
        <w:rPr/>
        <w:t>no</w:t>
      </w:r>
      <w:r>
        <w:rPr>
          <w:spacing w:val="-12"/>
        </w:rPr>
        <w:t> </w:t>
      </w:r>
      <w:r>
        <w:rPr/>
        <w:t>longer</w:t>
      </w:r>
      <w:r>
        <w:rPr>
          <w:spacing w:val="-12"/>
        </w:rPr>
        <w:t> </w:t>
      </w:r>
      <w:r>
        <w:rPr/>
        <w:t>able to divide further, which leads to its rapid cell death. A crucial factor for life extension is therefore the activation of the enzyme ‘telomerase’ as well as the protection of the telomeres from shortening. Chinese researchers were able to verify the of L-carnosine in studies (see</w:t>
      </w:r>
      <w:r>
        <w:rPr>
          <w:spacing w:val="3"/>
        </w:rPr>
        <w:t> </w:t>
      </w:r>
      <w:r>
        <w:rPr/>
        <w:t>‘Studies’).</w:t>
      </w:r>
    </w:p>
    <w:p>
      <w:pPr>
        <w:pStyle w:val="Heading1"/>
        <w:spacing w:before="223"/>
        <w:jc w:val="both"/>
      </w:pPr>
      <w:r>
        <w:rPr/>
        <w:t>Protection against degenerative ageing</w:t>
      </w:r>
      <w:r>
        <w:rPr>
          <w:spacing w:val="-61"/>
        </w:rPr>
        <w:t> </w:t>
      </w:r>
      <w:r>
        <w:rPr/>
        <w:t>processes</w:t>
      </w:r>
    </w:p>
    <w:p>
      <w:pPr>
        <w:pStyle w:val="BodyText"/>
        <w:spacing w:line="276" w:lineRule="auto" w:before="300"/>
        <w:ind w:left="477" w:right="133"/>
        <w:jc w:val="both"/>
      </w:pPr>
      <w:r>
        <w:rPr/>
        <w:t>The</w:t>
      </w:r>
      <w:r>
        <w:rPr>
          <w:spacing w:val="-14"/>
        </w:rPr>
        <w:t> </w:t>
      </w:r>
      <w:r>
        <w:rPr/>
        <w:t>biological</w:t>
      </w:r>
      <w:r>
        <w:rPr>
          <w:spacing w:val="-15"/>
        </w:rPr>
        <w:t> </w:t>
      </w:r>
      <w:r>
        <w:rPr/>
        <w:t>ageing</w:t>
      </w:r>
      <w:r>
        <w:rPr>
          <w:spacing w:val="-12"/>
        </w:rPr>
        <w:t> </w:t>
      </w:r>
      <w:r>
        <w:rPr/>
        <w:t>of</w:t>
      </w:r>
      <w:r>
        <w:rPr>
          <w:spacing w:val="-15"/>
        </w:rPr>
        <w:t> </w:t>
      </w:r>
      <w:r>
        <w:rPr/>
        <w:t>our</w:t>
      </w:r>
      <w:r>
        <w:rPr>
          <w:spacing w:val="-17"/>
        </w:rPr>
        <w:t> </w:t>
      </w:r>
      <w:r>
        <w:rPr/>
        <w:t>bodies</w:t>
      </w:r>
      <w:r>
        <w:rPr>
          <w:spacing w:val="-14"/>
        </w:rPr>
        <w:t> </w:t>
      </w:r>
      <w:r>
        <w:rPr/>
        <w:t>is</w:t>
      </w:r>
      <w:r>
        <w:rPr>
          <w:spacing w:val="-15"/>
        </w:rPr>
        <w:t> </w:t>
      </w:r>
      <w:r>
        <w:rPr/>
        <w:t>also</w:t>
      </w:r>
      <w:r>
        <w:rPr>
          <w:spacing w:val="-14"/>
        </w:rPr>
        <w:t> </w:t>
      </w:r>
      <w:r>
        <w:rPr/>
        <w:t>based</w:t>
      </w:r>
      <w:r>
        <w:rPr>
          <w:spacing w:val="-20"/>
        </w:rPr>
        <w:t> </w:t>
      </w:r>
      <w:r>
        <w:rPr/>
        <w:t>on</w:t>
      </w:r>
      <w:r>
        <w:rPr>
          <w:spacing w:val="-13"/>
        </w:rPr>
        <w:t> </w:t>
      </w:r>
      <w:r>
        <w:rPr/>
        <w:t>various</w:t>
      </w:r>
      <w:r>
        <w:rPr>
          <w:spacing w:val="-15"/>
        </w:rPr>
        <w:t> </w:t>
      </w:r>
      <w:r>
        <w:rPr/>
        <w:t>degenerative</w:t>
      </w:r>
      <w:r>
        <w:rPr>
          <w:spacing w:val="-16"/>
        </w:rPr>
        <w:t> </w:t>
      </w:r>
      <w:r>
        <w:rPr/>
        <w:t>mech- anisms.</w:t>
      </w:r>
      <w:r>
        <w:rPr>
          <w:spacing w:val="-6"/>
        </w:rPr>
        <w:t> </w:t>
      </w:r>
      <w:r>
        <w:rPr/>
        <w:t>Today's</w:t>
      </w:r>
      <w:r>
        <w:rPr>
          <w:spacing w:val="-11"/>
        </w:rPr>
        <w:t> </w:t>
      </w:r>
      <w:r>
        <w:rPr/>
        <w:t>knowledge</w:t>
      </w:r>
      <w:r>
        <w:rPr>
          <w:spacing w:val="-7"/>
        </w:rPr>
        <w:t> </w:t>
      </w:r>
      <w:r>
        <w:rPr/>
        <w:t>of</w:t>
      </w:r>
      <w:r>
        <w:rPr>
          <w:spacing w:val="-8"/>
        </w:rPr>
        <w:t> </w:t>
      </w:r>
      <w:r>
        <w:rPr/>
        <w:t>gerontology</w:t>
      </w:r>
      <w:r>
        <w:rPr>
          <w:spacing w:val="-9"/>
        </w:rPr>
        <w:t> </w:t>
      </w:r>
      <w:r>
        <w:rPr/>
        <w:t>(the</w:t>
      </w:r>
      <w:r>
        <w:rPr>
          <w:spacing w:val="-7"/>
        </w:rPr>
        <w:t> </w:t>
      </w:r>
      <w:r>
        <w:rPr/>
        <w:t>research</w:t>
      </w:r>
      <w:r>
        <w:rPr>
          <w:spacing w:val="-7"/>
        </w:rPr>
        <w:t> </w:t>
      </w:r>
      <w:r>
        <w:rPr/>
        <w:t>of</w:t>
      </w:r>
      <w:r>
        <w:rPr>
          <w:spacing w:val="-10"/>
        </w:rPr>
        <w:t> </w:t>
      </w:r>
      <w:r>
        <w:rPr/>
        <w:t>ageing)</w:t>
      </w:r>
      <w:r>
        <w:rPr>
          <w:spacing w:val="-7"/>
        </w:rPr>
        <w:t> </w:t>
      </w:r>
      <w:r>
        <w:rPr/>
        <w:t>suggest</w:t>
      </w:r>
      <w:r>
        <w:rPr>
          <w:spacing w:val="-11"/>
        </w:rPr>
        <w:t> </w:t>
      </w:r>
      <w:r>
        <w:rPr/>
        <w:t>that</w:t>
      </w:r>
    </w:p>
    <w:p>
      <w:pPr>
        <w:spacing w:after="0" w:line="276" w:lineRule="auto"/>
        <w:jc w:val="both"/>
        <w:sectPr>
          <w:pgSz w:w="14270" w:h="16850"/>
          <w:pgMar w:header="0" w:footer="1891" w:top="1600" w:bottom="2080" w:left="800" w:right="1280"/>
        </w:sectPr>
      </w:pPr>
    </w:p>
    <w:p>
      <w:pPr>
        <w:pStyle w:val="BodyText"/>
        <w:spacing w:line="276" w:lineRule="auto" w:before="181"/>
        <w:ind w:left="477" w:right="142"/>
        <w:jc w:val="both"/>
      </w:pPr>
      <w:r>
        <w:rPr/>
        <w:t>biological ageing occurs mainly through the four mechanisms: Cell oxidation, carbonylation, glycation and crosslinking of collagens.</w:t>
      </w:r>
    </w:p>
    <w:p>
      <w:pPr>
        <w:pStyle w:val="BodyText"/>
        <w:spacing w:line="276" w:lineRule="auto" w:before="241"/>
        <w:ind w:left="477" w:right="143"/>
        <w:jc w:val="both"/>
      </w:pPr>
      <w:r>
        <w:rPr/>
        <w:t>Amazingly, L-carnosine succeeds in successfully fighting all four crucial ageing mechanisms:</w:t>
      </w:r>
    </w:p>
    <w:p>
      <w:pPr>
        <w:pStyle w:val="ListParagraph"/>
        <w:numPr>
          <w:ilvl w:val="0"/>
          <w:numId w:val="66"/>
        </w:numPr>
        <w:tabs>
          <w:tab w:pos="701" w:val="left" w:leader="none"/>
        </w:tabs>
        <w:spacing w:line="273" w:lineRule="auto" w:before="242" w:after="0"/>
        <w:ind w:left="477" w:right="134" w:firstLine="0"/>
        <w:jc w:val="both"/>
        <w:rPr>
          <w:sz w:val="38"/>
        </w:rPr>
      </w:pPr>
      <w:r>
        <w:rPr>
          <w:b/>
          <w:sz w:val="38"/>
        </w:rPr>
        <w:t>antioxidation: </w:t>
      </w:r>
      <w:r>
        <w:rPr>
          <w:sz w:val="38"/>
        </w:rPr>
        <w:t>as a highly effective antioxidant, L-carnosine repels even the most stubborn, destructive radicals that fail other antioxidants, such as hy- droxyl, peroxyl, superoxide and singlet</w:t>
      </w:r>
      <w:r>
        <w:rPr>
          <w:spacing w:val="-1"/>
          <w:sz w:val="38"/>
        </w:rPr>
        <w:t> </w:t>
      </w:r>
      <w:r>
        <w:rPr>
          <w:sz w:val="38"/>
        </w:rPr>
        <w:t>oxygen.</w:t>
      </w:r>
    </w:p>
    <w:p>
      <w:pPr>
        <w:pStyle w:val="BodyText"/>
        <w:spacing w:before="7"/>
        <w:rPr>
          <w:sz w:val="44"/>
        </w:rPr>
      </w:pPr>
    </w:p>
    <w:p>
      <w:pPr>
        <w:pStyle w:val="ListParagraph"/>
        <w:numPr>
          <w:ilvl w:val="0"/>
          <w:numId w:val="66"/>
        </w:numPr>
        <w:tabs>
          <w:tab w:pos="701" w:val="left" w:leader="none"/>
        </w:tabs>
        <w:spacing w:line="273" w:lineRule="auto" w:before="0" w:after="0"/>
        <w:ind w:left="477" w:right="132" w:firstLine="0"/>
        <w:jc w:val="both"/>
        <w:rPr>
          <w:sz w:val="38"/>
        </w:rPr>
      </w:pPr>
      <w:r>
        <w:rPr>
          <w:b/>
          <w:sz w:val="38"/>
        </w:rPr>
        <w:t>anti-carbonylation:</w:t>
      </w:r>
      <w:r>
        <w:rPr>
          <w:b/>
          <w:spacing w:val="-24"/>
          <w:sz w:val="38"/>
        </w:rPr>
        <w:t> </w:t>
      </w:r>
      <w:r>
        <w:rPr>
          <w:sz w:val="38"/>
        </w:rPr>
        <w:t>this</w:t>
      </w:r>
      <w:r>
        <w:rPr>
          <w:spacing w:val="-20"/>
          <w:sz w:val="38"/>
        </w:rPr>
        <w:t> </w:t>
      </w:r>
      <w:r>
        <w:rPr>
          <w:sz w:val="38"/>
        </w:rPr>
        <w:t>is</w:t>
      </w:r>
      <w:r>
        <w:rPr>
          <w:spacing w:val="-22"/>
          <w:sz w:val="38"/>
        </w:rPr>
        <w:t> </w:t>
      </w:r>
      <w:r>
        <w:rPr>
          <w:sz w:val="38"/>
        </w:rPr>
        <w:t>an</w:t>
      </w:r>
      <w:r>
        <w:rPr>
          <w:spacing w:val="-22"/>
          <w:sz w:val="38"/>
        </w:rPr>
        <w:t> </w:t>
      </w:r>
      <w:r>
        <w:rPr>
          <w:sz w:val="38"/>
        </w:rPr>
        <w:t>age-dependent</w:t>
      </w:r>
      <w:r>
        <w:rPr>
          <w:spacing w:val="-22"/>
          <w:sz w:val="38"/>
        </w:rPr>
        <w:t> </w:t>
      </w:r>
      <w:r>
        <w:rPr>
          <w:sz w:val="38"/>
        </w:rPr>
        <w:t>process</w:t>
      </w:r>
      <w:r>
        <w:rPr>
          <w:spacing w:val="-20"/>
          <w:sz w:val="38"/>
        </w:rPr>
        <w:t> </w:t>
      </w:r>
      <w:r>
        <w:rPr>
          <w:sz w:val="38"/>
        </w:rPr>
        <w:t>in</w:t>
      </w:r>
      <w:r>
        <w:rPr>
          <w:spacing w:val="-22"/>
          <w:sz w:val="38"/>
        </w:rPr>
        <w:t> </w:t>
      </w:r>
      <w:r>
        <w:rPr>
          <w:sz w:val="38"/>
        </w:rPr>
        <w:t>which</w:t>
      </w:r>
      <w:r>
        <w:rPr>
          <w:spacing w:val="-20"/>
          <w:sz w:val="38"/>
        </w:rPr>
        <w:t> </w:t>
      </w:r>
      <w:r>
        <w:rPr>
          <w:sz w:val="38"/>
        </w:rPr>
        <w:t>the</w:t>
      </w:r>
      <w:r>
        <w:rPr>
          <w:spacing w:val="-22"/>
          <w:sz w:val="38"/>
        </w:rPr>
        <w:t> </w:t>
      </w:r>
      <w:r>
        <w:rPr>
          <w:sz w:val="38"/>
        </w:rPr>
        <w:t>skin</w:t>
      </w:r>
      <w:r>
        <w:rPr>
          <w:spacing w:val="-21"/>
          <w:sz w:val="38"/>
        </w:rPr>
        <w:t> </w:t>
      </w:r>
      <w:r>
        <w:rPr>
          <w:sz w:val="38"/>
        </w:rPr>
        <w:t>matrix is</w:t>
      </w:r>
      <w:r>
        <w:rPr>
          <w:spacing w:val="-15"/>
          <w:sz w:val="38"/>
        </w:rPr>
        <w:t> </w:t>
      </w:r>
      <w:r>
        <w:rPr>
          <w:sz w:val="38"/>
        </w:rPr>
        <w:t>changed</w:t>
      </w:r>
      <w:r>
        <w:rPr>
          <w:spacing w:val="-11"/>
          <w:sz w:val="38"/>
        </w:rPr>
        <w:t> </w:t>
      </w:r>
      <w:r>
        <w:rPr>
          <w:sz w:val="38"/>
        </w:rPr>
        <w:t>due</w:t>
      </w:r>
      <w:r>
        <w:rPr>
          <w:spacing w:val="-13"/>
          <w:sz w:val="38"/>
        </w:rPr>
        <w:t> </w:t>
      </w:r>
      <w:r>
        <w:rPr>
          <w:sz w:val="38"/>
        </w:rPr>
        <w:t>to</w:t>
      </w:r>
      <w:r>
        <w:rPr>
          <w:spacing w:val="-11"/>
          <w:sz w:val="38"/>
        </w:rPr>
        <w:t> </w:t>
      </w:r>
      <w:r>
        <w:rPr>
          <w:sz w:val="38"/>
        </w:rPr>
        <w:t>constant</w:t>
      </w:r>
      <w:r>
        <w:rPr>
          <w:spacing w:val="-11"/>
          <w:sz w:val="38"/>
        </w:rPr>
        <w:t> </w:t>
      </w:r>
      <w:r>
        <w:rPr>
          <w:sz w:val="38"/>
        </w:rPr>
        <w:t>protein</w:t>
      </w:r>
      <w:r>
        <w:rPr>
          <w:spacing w:val="-13"/>
          <w:sz w:val="38"/>
        </w:rPr>
        <w:t> </w:t>
      </w:r>
      <w:r>
        <w:rPr>
          <w:sz w:val="38"/>
        </w:rPr>
        <w:t>damage.</w:t>
      </w:r>
      <w:r>
        <w:rPr>
          <w:spacing w:val="-11"/>
          <w:sz w:val="38"/>
        </w:rPr>
        <w:t> </w:t>
      </w:r>
      <w:r>
        <w:rPr>
          <w:sz w:val="38"/>
        </w:rPr>
        <w:t>L-carnosine</w:t>
      </w:r>
      <w:r>
        <w:rPr>
          <w:spacing w:val="-11"/>
          <w:sz w:val="38"/>
        </w:rPr>
        <w:t> </w:t>
      </w:r>
      <w:r>
        <w:rPr>
          <w:sz w:val="38"/>
        </w:rPr>
        <w:t>is</w:t>
      </w:r>
      <w:r>
        <w:rPr>
          <w:spacing w:val="-14"/>
          <w:sz w:val="38"/>
        </w:rPr>
        <w:t> </w:t>
      </w:r>
      <w:r>
        <w:rPr>
          <w:sz w:val="38"/>
        </w:rPr>
        <w:t>today</w:t>
      </w:r>
      <w:r>
        <w:rPr>
          <w:spacing w:val="-14"/>
          <w:sz w:val="38"/>
        </w:rPr>
        <w:t> </w:t>
      </w:r>
      <w:r>
        <w:rPr>
          <w:sz w:val="38"/>
        </w:rPr>
        <w:t>considered</w:t>
      </w:r>
      <w:r>
        <w:rPr>
          <w:spacing w:val="-12"/>
          <w:sz w:val="38"/>
        </w:rPr>
        <w:t> </w:t>
      </w:r>
      <w:r>
        <w:rPr>
          <w:sz w:val="38"/>
        </w:rPr>
        <w:t>the most efficient anti-carbonylation agent known to</w:t>
      </w:r>
      <w:r>
        <w:rPr>
          <w:spacing w:val="1"/>
          <w:sz w:val="38"/>
        </w:rPr>
        <w:t> </w:t>
      </w:r>
      <w:r>
        <w:rPr>
          <w:sz w:val="38"/>
        </w:rPr>
        <w:t>date!</w:t>
      </w:r>
    </w:p>
    <w:p>
      <w:pPr>
        <w:pStyle w:val="BodyText"/>
        <w:spacing w:before="9"/>
        <w:rPr>
          <w:sz w:val="44"/>
        </w:rPr>
      </w:pPr>
    </w:p>
    <w:p>
      <w:pPr>
        <w:pStyle w:val="ListParagraph"/>
        <w:numPr>
          <w:ilvl w:val="0"/>
          <w:numId w:val="66"/>
        </w:numPr>
        <w:tabs>
          <w:tab w:pos="701" w:val="left" w:leader="none"/>
        </w:tabs>
        <w:spacing w:line="276" w:lineRule="auto" w:before="0" w:after="0"/>
        <w:ind w:left="477" w:right="128" w:firstLine="0"/>
        <w:jc w:val="both"/>
        <w:rPr>
          <w:sz w:val="38"/>
        </w:rPr>
      </w:pPr>
      <w:r>
        <w:rPr>
          <w:b/>
          <w:sz w:val="38"/>
        </w:rPr>
        <w:t>protection against cross-linking: </w:t>
      </w:r>
      <w:r>
        <w:rPr>
          <w:sz w:val="38"/>
        </w:rPr>
        <w:t>weakness in the connective tissue, a re- duction in elasticity and wrinkles are attributable to the cross-linking</w:t>
      </w:r>
      <w:r>
        <w:rPr>
          <w:spacing w:val="-67"/>
          <w:sz w:val="38"/>
        </w:rPr>
        <w:t> </w:t>
      </w:r>
      <w:r>
        <w:rPr>
          <w:sz w:val="38"/>
        </w:rPr>
        <w:t>properties of ageing skin. The L-carnosine has the ability to protect the skin from cross- linking and thus</w:t>
      </w:r>
      <w:r>
        <w:rPr>
          <w:spacing w:val="2"/>
          <w:sz w:val="38"/>
        </w:rPr>
        <w:t> </w:t>
      </w:r>
      <w:r>
        <w:rPr>
          <w:sz w:val="38"/>
        </w:rPr>
        <w:t>ageing.</w:t>
      </w:r>
    </w:p>
    <w:p>
      <w:pPr>
        <w:pStyle w:val="BodyText"/>
        <w:spacing w:before="8"/>
        <w:rPr>
          <w:sz w:val="43"/>
        </w:rPr>
      </w:pPr>
    </w:p>
    <w:p>
      <w:pPr>
        <w:pStyle w:val="ListParagraph"/>
        <w:numPr>
          <w:ilvl w:val="0"/>
          <w:numId w:val="66"/>
        </w:numPr>
        <w:tabs>
          <w:tab w:pos="701" w:val="left" w:leader="none"/>
        </w:tabs>
        <w:spacing w:line="276" w:lineRule="auto" w:before="0" w:after="0"/>
        <w:ind w:left="477" w:right="135" w:firstLine="0"/>
        <w:jc w:val="both"/>
        <w:rPr>
          <w:sz w:val="38"/>
        </w:rPr>
      </w:pPr>
      <w:r>
        <w:rPr>
          <w:b/>
          <w:sz w:val="38"/>
        </w:rPr>
        <w:t>anti-glycation: </w:t>
      </w:r>
      <w:r>
        <w:rPr>
          <w:sz w:val="38"/>
        </w:rPr>
        <w:t>another essential aspect of physical ageing is glycation. This refers to the saccharification and thus hardening of the body's own proteins, which</w:t>
      </w:r>
      <w:r>
        <w:rPr>
          <w:spacing w:val="-18"/>
          <w:sz w:val="38"/>
        </w:rPr>
        <w:t> </w:t>
      </w:r>
      <w:r>
        <w:rPr>
          <w:sz w:val="38"/>
        </w:rPr>
        <w:t>leads</w:t>
      </w:r>
      <w:r>
        <w:rPr>
          <w:spacing w:val="-19"/>
          <w:sz w:val="38"/>
        </w:rPr>
        <w:t> </w:t>
      </w:r>
      <w:r>
        <w:rPr>
          <w:sz w:val="38"/>
        </w:rPr>
        <w:t>to</w:t>
      </w:r>
      <w:r>
        <w:rPr>
          <w:spacing w:val="-18"/>
          <w:sz w:val="38"/>
        </w:rPr>
        <w:t> </w:t>
      </w:r>
      <w:r>
        <w:rPr>
          <w:sz w:val="38"/>
        </w:rPr>
        <w:t>loss</w:t>
      </w:r>
      <w:r>
        <w:rPr>
          <w:spacing w:val="-18"/>
          <w:sz w:val="38"/>
        </w:rPr>
        <w:t> </w:t>
      </w:r>
      <w:r>
        <w:rPr>
          <w:sz w:val="38"/>
        </w:rPr>
        <w:t>of</w:t>
      </w:r>
      <w:r>
        <w:rPr>
          <w:spacing w:val="-19"/>
          <w:sz w:val="38"/>
        </w:rPr>
        <w:t> </w:t>
      </w:r>
      <w:r>
        <w:rPr>
          <w:sz w:val="38"/>
        </w:rPr>
        <w:t>protein</w:t>
      </w:r>
      <w:r>
        <w:rPr>
          <w:spacing w:val="-18"/>
          <w:sz w:val="38"/>
        </w:rPr>
        <w:t> </w:t>
      </w:r>
      <w:r>
        <w:rPr>
          <w:sz w:val="38"/>
        </w:rPr>
        <w:t>function,</w:t>
      </w:r>
      <w:r>
        <w:rPr>
          <w:spacing w:val="-18"/>
          <w:sz w:val="38"/>
        </w:rPr>
        <w:t> </w:t>
      </w:r>
      <w:r>
        <w:rPr>
          <w:sz w:val="38"/>
        </w:rPr>
        <w:t>atherosclerosis,</w:t>
      </w:r>
      <w:r>
        <w:rPr>
          <w:spacing w:val="-18"/>
          <w:sz w:val="38"/>
        </w:rPr>
        <w:t> </w:t>
      </w:r>
      <w:r>
        <w:rPr>
          <w:sz w:val="38"/>
        </w:rPr>
        <w:t>loss</w:t>
      </w:r>
      <w:r>
        <w:rPr>
          <w:spacing w:val="-18"/>
          <w:sz w:val="38"/>
        </w:rPr>
        <w:t> </w:t>
      </w:r>
      <w:r>
        <w:rPr>
          <w:sz w:val="38"/>
        </w:rPr>
        <w:t>of</w:t>
      </w:r>
      <w:r>
        <w:rPr>
          <w:spacing w:val="-18"/>
          <w:sz w:val="38"/>
        </w:rPr>
        <w:t> </w:t>
      </w:r>
      <w:r>
        <w:rPr>
          <w:sz w:val="38"/>
        </w:rPr>
        <w:t>flexibility</w:t>
      </w:r>
      <w:r>
        <w:rPr>
          <w:spacing w:val="-20"/>
          <w:sz w:val="38"/>
        </w:rPr>
        <w:t> </w:t>
      </w:r>
      <w:r>
        <w:rPr>
          <w:sz w:val="38"/>
        </w:rPr>
        <w:t>of</w:t>
      </w:r>
      <w:r>
        <w:rPr>
          <w:spacing w:val="-19"/>
          <w:sz w:val="38"/>
        </w:rPr>
        <w:t> </w:t>
      </w:r>
      <w:r>
        <w:rPr>
          <w:sz w:val="38"/>
        </w:rPr>
        <w:t>pro- teins, inflammation, diabetes and other age-related problems. Each of us is fa- miliar</w:t>
      </w:r>
      <w:r>
        <w:rPr>
          <w:spacing w:val="35"/>
          <w:sz w:val="38"/>
        </w:rPr>
        <w:t> </w:t>
      </w:r>
      <w:r>
        <w:rPr>
          <w:sz w:val="38"/>
        </w:rPr>
        <w:t>with</w:t>
      </w:r>
      <w:r>
        <w:rPr>
          <w:spacing w:val="37"/>
          <w:sz w:val="38"/>
        </w:rPr>
        <w:t> </w:t>
      </w:r>
      <w:r>
        <w:rPr>
          <w:sz w:val="38"/>
        </w:rPr>
        <w:t>the</w:t>
      </w:r>
      <w:r>
        <w:rPr>
          <w:spacing w:val="35"/>
          <w:sz w:val="38"/>
        </w:rPr>
        <w:t> </w:t>
      </w:r>
      <w:r>
        <w:rPr>
          <w:sz w:val="38"/>
        </w:rPr>
        <w:t>visible</w:t>
      </w:r>
      <w:r>
        <w:rPr>
          <w:spacing w:val="36"/>
          <w:sz w:val="38"/>
        </w:rPr>
        <w:t> </w:t>
      </w:r>
      <w:r>
        <w:rPr>
          <w:sz w:val="38"/>
        </w:rPr>
        <w:t>results</w:t>
      </w:r>
      <w:r>
        <w:rPr>
          <w:spacing w:val="36"/>
          <w:sz w:val="38"/>
        </w:rPr>
        <w:t> </w:t>
      </w:r>
      <w:r>
        <w:rPr>
          <w:sz w:val="38"/>
        </w:rPr>
        <w:t>of</w:t>
      </w:r>
      <w:r>
        <w:rPr>
          <w:spacing w:val="36"/>
          <w:sz w:val="38"/>
        </w:rPr>
        <w:t> </w:t>
      </w:r>
      <w:r>
        <w:rPr>
          <w:sz w:val="38"/>
        </w:rPr>
        <w:t>glycation,</w:t>
      </w:r>
      <w:r>
        <w:rPr>
          <w:spacing w:val="37"/>
          <w:sz w:val="38"/>
        </w:rPr>
        <w:t> </w:t>
      </w:r>
      <w:r>
        <w:rPr>
          <w:sz w:val="38"/>
        </w:rPr>
        <w:t>which</w:t>
      </w:r>
      <w:r>
        <w:rPr>
          <w:spacing w:val="36"/>
          <w:sz w:val="38"/>
        </w:rPr>
        <w:t> </w:t>
      </w:r>
      <w:r>
        <w:rPr>
          <w:sz w:val="38"/>
        </w:rPr>
        <w:t>arise</w:t>
      </w:r>
      <w:r>
        <w:rPr>
          <w:spacing w:val="34"/>
          <w:sz w:val="38"/>
        </w:rPr>
        <w:t> </w:t>
      </w:r>
      <w:r>
        <w:rPr>
          <w:sz w:val="38"/>
        </w:rPr>
        <w:t>in</w:t>
      </w:r>
      <w:r>
        <w:rPr>
          <w:spacing w:val="36"/>
          <w:sz w:val="38"/>
        </w:rPr>
        <w:t> </w:t>
      </w:r>
      <w:r>
        <w:rPr>
          <w:sz w:val="38"/>
        </w:rPr>
        <w:t>the</w:t>
      </w:r>
      <w:r>
        <w:rPr>
          <w:spacing w:val="34"/>
          <w:sz w:val="38"/>
        </w:rPr>
        <w:t> </w:t>
      </w:r>
      <w:r>
        <w:rPr>
          <w:sz w:val="38"/>
        </w:rPr>
        <w:t>form</w:t>
      </w:r>
      <w:r>
        <w:rPr>
          <w:spacing w:val="36"/>
          <w:sz w:val="38"/>
        </w:rPr>
        <w:t> </w:t>
      </w:r>
      <w:r>
        <w:rPr>
          <w:sz w:val="38"/>
        </w:rPr>
        <w:t>of</w:t>
      </w:r>
      <w:r>
        <w:rPr>
          <w:spacing w:val="34"/>
          <w:sz w:val="38"/>
        </w:rPr>
        <w:t> </w:t>
      </w:r>
      <w:r>
        <w:rPr>
          <w:sz w:val="38"/>
        </w:rPr>
        <w:t>brown</w:t>
      </w:r>
    </w:p>
    <w:p>
      <w:pPr>
        <w:spacing w:after="0" w:line="276" w:lineRule="auto"/>
        <w:jc w:val="both"/>
        <w:rPr>
          <w:sz w:val="38"/>
        </w:rPr>
        <w:sectPr>
          <w:footerReference w:type="default" r:id="rId219"/>
          <w:pgSz w:w="14270" w:h="16850"/>
          <w:pgMar w:footer="1891" w:header="0" w:top="1600" w:bottom="2080" w:left="800" w:right="1280"/>
          <w:pgNumType w:start="940"/>
        </w:sectPr>
      </w:pPr>
    </w:p>
    <w:p>
      <w:pPr>
        <w:pStyle w:val="BodyText"/>
        <w:spacing w:before="181"/>
        <w:ind w:left="477"/>
      </w:pPr>
      <w:r>
        <w:rPr/>
        <w:t>spots on the skin of older people.</w:t>
      </w:r>
    </w:p>
    <w:p>
      <w:pPr>
        <w:pStyle w:val="BodyText"/>
        <w:spacing w:line="276" w:lineRule="auto" w:before="65"/>
        <w:ind w:left="477" w:right="133"/>
        <w:jc w:val="both"/>
      </w:pPr>
      <w:r>
        <w:rPr/>
        <w:t>L-carnosine</w:t>
      </w:r>
      <w:r>
        <w:rPr>
          <w:spacing w:val="-9"/>
        </w:rPr>
        <w:t> </w:t>
      </w:r>
      <w:r>
        <w:rPr/>
        <w:t>provides</w:t>
      </w:r>
      <w:r>
        <w:rPr>
          <w:spacing w:val="-10"/>
        </w:rPr>
        <w:t> </w:t>
      </w:r>
      <w:r>
        <w:rPr/>
        <w:t>reliable</w:t>
      </w:r>
      <w:r>
        <w:rPr>
          <w:spacing w:val="-9"/>
        </w:rPr>
        <w:t> </w:t>
      </w:r>
      <w:r>
        <w:rPr/>
        <w:t>protection</w:t>
      </w:r>
      <w:r>
        <w:rPr>
          <w:spacing w:val="-9"/>
        </w:rPr>
        <w:t> </w:t>
      </w:r>
      <w:r>
        <w:rPr/>
        <w:t>against</w:t>
      </w:r>
      <w:r>
        <w:rPr>
          <w:spacing w:val="-12"/>
        </w:rPr>
        <w:t> </w:t>
      </w:r>
      <w:r>
        <w:rPr/>
        <w:t>the</w:t>
      </w:r>
      <w:r>
        <w:rPr>
          <w:spacing w:val="-9"/>
        </w:rPr>
        <w:t> </w:t>
      </w:r>
      <w:r>
        <w:rPr/>
        <w:t>formation</w:t>
      </w:r>
      <w:r>
        <w:rPr>
          <w:spacing w:val="-10"/>
        </w:rPr>
        <w:t> </w:t>
      </w:r>
      <w:r>
        <w:rPr/>
        <w:t>of</w:t>
      </w:r>
      <w:r>
        <w:rPr>
          <w:spacing w:val="-11"/>
        </w:rPr>
        <w:t> </w:t>
      </w:r>
      <w:r>
        <w:rPr/>
        <w:t>advanced</w:t>
      </w:r>
      <w:r>
        <w:rPr>
          <w:spacing w:val="-10"/>
        </w:rPr>
        <w:t> </w:t>
      </w:r>
      <w:r>
        <w:rPr/>
        <w:t>gly- cation end products (AGE) and acts against glycation more strongly than any other known substance does. What's more, it protects against the 50x higher oxidative stress that a glycosylated protein produces compared to a non-glyco- sylated protein.</w:t>
      </w:r>
    </w:p>
    <w:p>
      <w:pPr>
        <w:pStyle w:val="BodyText"/>
        <w:spacing w:line="276" w:lineRule="auto" w:before="240"/>
        <w:ind w:left="477"/>
      </w:pPr>
      <w:r>
        <w:rPr/>
        <w:t>Since glycation first manifests itself in the wrinkling of our skin, the anti-gly- cation properties of L-carnosine contribute to quick skin smoothing.</w:t>
      </w:r>
    </w:p>
    <w:p>
      <w:pPr>
        <w:pStyle w:val="Heading1"/>
        <w:spacing w:before="223"/>
      </w:pPr>
      <w:r>
        <w:rPr/>
        <w:t>Other rejuvenating and life-prolonging aspects of L-carnosine:</w:t>
      </w:r>
    </w:p>
    <w:p>
      <w:pPr>
        <w:pStyle w:val="BodyText"/>
        <w:spacing w:line="276" w:lineRule="auto" w:before="300"/>
        <w:ind w:left="904" w:right="463"/>
        <w:jc w:val="both"/>
      </w:pPr>
      <w:r>
        <w:rPr>
          <w:b/>
        </w:rPr>
        <w:t>Cell rejuvenation: </w:t>
      </w:r>
      <w:r>
        <w:rPr/>
        <w:t>today's research assumes that each of our cells can di- vide only 60-80 times; after that, they reach a natural limit called ‘Hayflick Border’.</w:t>
      </w:r>
    </w:p>
    <w:p>
      <w:pPr>
        <w:pStyle w:val="BodyText"/>
        <w:spacing w:before="7"/>
        <w:rPr>
          <w:sz w:val="43"/>
        </w:rPr>
      </w:pPr>
    </w:p>
    <w:p>
      <w:pPr>
        <w:pStyle w:val="BodyText"/>
        <w:spacing w:line="276" w:lineRule="auto"/>
        <w:ind w:left="904" w:right="204"/>
      </w:pPr>
      <w:r>
        <w:rPr/>
        <w:t>L-carnosine has the extraordinary ability to rejuvenate cells approaching se- nescence (the end of a cell's life cycle).</w:t>
      </w:r>
    </w:p>
    <w:p>
      <w:pPr>
        <w:pStyle w:val="BodyText"/>
        <w:spacing w:line="276" w:lineRule="auto" w:before="1"/>
        <w:ind w:left="904" w:right="176"/>
      </w:pPr>
      <w:r>
        <w:rPr/>
        <w:t>This is demonstrated under the microscope by restoring an appearance that is unique to young cells. The lifespan of the cells is prolonged.</w:t>
      </w:r>
    </w:p>
    <w:p>
      <w:pPr>
        <w:pStyle w:val="BodyText"/>
        <w:spacing w:before="6"/>
        <w:rPr>
          <w:sz w:val="43"/>
        </w:rPr>
      </w:pPr>
    </w:p>
    <w:p>
      <w:pPr>
        <w:pStyle w:val="BodyText"/>
        <w:spacing w:line="276" w:lineRule="auto"/>
        <w:ind w:left="904" w:right="264"/>
      </w:pPr>
      <w:r>
        <w:rPr/>
        <w:t>While the ageing of a cell was considered to be irreversible (not reversible), Australian researchers were able to prove otherwise in sensational experi- ments by extending the lifetime of human cells to 413 days in a nutrient medium containing carnosine; the control group (without carnosine) only</w:t>
      </w:r>
    </w:p>
    <w:p>
      <w:pPr>
        <w:spacing w:after="0" w:line="276" w:lineRule="auto"/>
        <w:sectPr>
          <w:pgSz w:w="14270" w:h="16850"/>
          <w:pgMar w:header="0" w:footer="1891" w:top="1600" w:bottom="2080" w:left="800" w:right="1280"/>
        </w:sectPr>
      </w:pPr>
    </w:p>
    <w:p>
      <w:pPr>
        <w:pStyle w:val="BodyText"/>
        <w:spacing w:before="181"/>
        <w:ind w:left="904"/>
      </w:pPr>
      <w:r>
        <w:rPr/>
        <w:t>achieved a lifespan of 130 days!</w:t>
      </w:r>
    </w:p>
    <w:p>
      <w:pPr>
        <w:pStyle w:val="BodyText"/>
        <w:spacing w:before="5"/>
        <w:rPr>
          <w:sz w:val="49"/>
        </w:rPr>
      </w:pPr>
    </w:p>
    <w:p>
      <w:pPr>
        <w:spacing w:line="276" w:lineRule="auto" w:before="1"/>
        <w:ind w:left="904" w:right="223" w:firstLine="0"/>
        <w:jc w:val="left"/>
        <w:rPr>
          <w:sz w:val="38"/>
        </w:rPr>
      </w:pPr>
      <w:r>
        <w:rPr>
          <w:b/>
          <w:sz w:val="38"/>
        </w:rPr>
        <w:t>Protects hereditary characteristics: </w:t>
      </w:r>
      <w:r>
        <w:rPr>
          <w:sz w:val="38"/>
        </w:rPr>
        <w:t>L-carnosine provides reliable protec- tion for the DNA (the hereditary molecules) of our cells from damage caused by oxidation.</w:t>
      </w:r>
    </w:p>
    <w:p>
      <w:pPr>
        <w:pStyle w:val="BodyText"/>
        <w:spacing w:before="6"/>
        <w:rPr>
          <w:sz w:val="43"/>
        </w:rPr>
      </w:pPr>
    </w:p>
    <w:p>
      <w:pPr>
        <w:pStyle w:val="BodyText"/>
        <w:spacing w:line="276" w:lineRule="auto" w:before="1"/>
        <w:ind w:left="904" w:right="310"/>
      </w:pPr>
      <w:r>
        <w:rPr>
          <w:b/>
        </w:rPr>
        <w:t>Protects the brain: </w:t>
      </w:r>
      <w:r>
        <w:rPr/>
        <w:t>deposits of heavy metals and other toxic substances accumulate and lead to memory loss and Alzheimer's, especially in old age. Again, L-carnosine can provide reliable protection.</w:t>
      </w:r>
    </w:p>
    <w:p>
      <w:pPr>
        <w:pStyle w:val="Heading2"/>
        <w:spacing w:before="241"/>
      </w:pPr>
      <w:r>
        <w:rPr/>
        <w:t>L-carnosine in sports</w:t>
      </w:r>
    </w:p>
    <w:p>
      <w:pPr>
        <w:pStyle w:val="BodyText"/>
        <w:spacing w:line="276" w:lineRule="auto" w:before="305"/>
        <w:ind w:left="477" w:right="136"/>
        <w:jc w:val="both"/>
      </w:pPr>
      <w:r>
        <w:rPr/>
        <w:t>As a legal, natural form of doping, L-carnosine increases the muscular effi- ciency.</w:t>
      </w:r>
    </w:p>
    <w:p>
      <w:pPr>
        <w:pStyle w:val="Heading1"/>
        <w:spacing w:before="221"/>
      </w:pPr>
      <w:r>
        <w:rPr/>
        <w:t>Effect of L-carnosine on the</w:t>
      </w:r>
      <w:r>
        <w:rPr>
          <w:spacing w:val="-51"/>
        </w:rPr>
        <w:t> </w:t>
      </w:r>
      <w:r>
        <w:rPr/>
        <w:t>muscles</w:t>
      </w:r>
    </w:p>
    <w:p>
      <w:pPr>
        <w:pStyle w:val="BodyText"/>
        <w:spacing w:line="276" w:lineRule="auto" w:before="300"/>
        <w:ind w:left="477" w:right="135"/>
        <w:jc w:val="both"/>
      </w:pPr>
      <w:r>
        <w:rPr/>
        <w:t>L-carnosine is a natural substance, which occurs particularly frequently in the musculature. The fast-acting, active muscle fibres are particularly rich in L-car- nosine.</w:t>
      </w:r>
    </w:p>
    <w:p>
      <w:pPr>
        <w:pStyle w:val="BodyText"/>
        <w:spacing w:line="276" w:lineRule="auto" w:before="241"/>
        <w:ind w:left="477" w:right="134"/>
        <w:jc w:val="both"/>
      </w:pPr>
      <w:r>
        <w:rPr/>
        <w:t>From about 25 years of age, the muscle mass continuously shrinks; parallel to this, the L-carnosine content in the musculature also decreases, which is likely to be an important factor in gradual muscle atrophy.</w:t>
      </w:r>
    </w:p>
    <w:p>
      <w:pPr>
        <w:pStyle w:val="BodyText"/>
        <w:spacing w:line="276" w:lineRule="auto" w:before="239"/>
        <w:ind w:left="477" w:right="132"/>
        <w:jc w:val="both"/>
      </w:pPr>
      <w:r>
        <w:rPr/>
        <w:t>The</w:t>
      </w:r>
      <w:r>
        <w:rPr>
          <w:spacing w:val="-12"/>
        </w:rPr>
        <w:t> </w:t>
      </w:r>
      <w:r>
        <w:rPr/>
        <w:t>additional</w:t>
      </w:r>
      <w:r>
        <w:rPr>
          <w:spacing w:val="-13"/>
        </w:rPr>
        <w:t> </w:t>
      </w:r>
      <w:r>
        <w:rPr/>
        <w:t>intake</w:t>
      </w:r>
      <w:r>
        <w:rPr>
          <w:spacing w:val="-12"/>
        </w:rPr>
        <w:t> </w:t>
      </w:r>
      <w:r>
        <w:rPr/>
        <w:t>of</w:t>
      </w:r>
      <w:r>
        <w:rPr>
          <w:spacing w:val="-11"/>
        </w:rPr>
        <w:t> </w:t>
      </w:r>
      <w:r>
        <w:rPr/>
        <w:t>L-carnosine</w:t>
      </w:r>
      <w:r>
        <w:rPr>
          <w:spacing w:val="-11"/>
        </w:rPr>
        <w:t> </w:t>
      </w:r>
      <w:r>
        <w:rPr/>
        <w:t>has</w:t>
      </w:r>
      <w:r>
        <w:rPr>
          <w:spacing w:val="-11"/>
        </w:rPr>
        <w:t> </w:t>
      </w:r>
      <w:r>
        <w:rPr/>
        <w:t>been</w:t>
      </w:r>
      <w:r>
        <w:rPr>
          <w:spacing w:val="-11"/>
        </w:rPr>
        <w:t> </w:t>
      </w:r>
      <w:r>
        <w:rPr/>
        <w:t>able</w:t>
      </w:r>
      <w:r>
        <w:rPr>
          <w:spacing w:val="-12"/>
        </w:rPr>
        <w:t> </w:t>
      </w:r>
      <w:r>
        <w:rPr/>
        <w:t>to</w:t>
      </w:r>
      <w:r>
        <w:rPr>
          <w:spacing w:val="-11"/>
        </w:rPr>
        <w:t> </w:t>
      </w:r>
      <w:r>
        <w:rPr/>
        <w:t>restore</w:t>
      </w:r>
      <w:r>
        <w:rPr>
          <w:spacing w:val="-13"/>
        </w:rPr>
        <w:t> </w:t>
      </w:r>
      <w:r>
        <w:rPr/>
        <w:t>the</w:t>
      </w:r>
      <w:r>
        <w:rPr>
          <w:spacing w:val="-13"/>
        </w:rPr>
        <w:t> </w:t>
      </w:r>
      <w:r>
        <w:rPr/>
        <w:t>power</w:t>
      </w:r>
      <w:r>
        <w:rPr>
          <w:spacing w:val="-11"/>
        </w:rPr>
        <w:t> </w:t>
      </w:r>
      <w:r>
        <w:rPr/>
        <w:t>of</w:t>
      </w:r>
      <w:r>
        <w:rPr>
          <w:spacing w:val="-11"/>
        </w:rPr>
        <w:t> </w:t>
      </w:r>
      <w:r>
        <w:rPr/>
        <w:t>tired muscles in</w:t>
      </w:r>
      <w:r>
        <w:rPr>
          <w:spacing w:val="1"/>
        </w:rPr>
        <w:t> </w:t>
      </w:r>
      <w:r>
        <w:rPr/>
        <w:t>studies.</w:t>
      </w:r>
    </w:p>
    <w:p>
      <w:pPr>
        <w:spacing w:after="0" w:line="276" w:lineRule="auto"/>
        <w:jc w:val="both"/>
        <w:sectPr>
          <w:pgSz w:w="14270" w:h="16850"/>
          <w:pgMar w:header="0" w:footer="1891" w:top="1600" w:bottom="2080" w:left="800" w:right="1280"/>
        </w:sectPr>
      </w:pPr>
    </w:p>
    <w:p>
      <w:pPr>
        <w:pStyle w:val="Heading1"/>
        <w:spacing w:before="164"/>
      </w:pPr>
      <w:r>
        <w:rPr/>
        <w:t>Effect of L-carnosine on anaerobic</w:t>
      </w:r>
      <w:r>
        <w:rPr>
          <w:spacing w:val="-72"/>
        </w:rPr>
        <w:t> </w:t>
      </w:r>
      <w:r>
        <w:rPr/>
        <w:t>performance</w:t>
      </w:r>
    </w:p>
    <w:p>
      <w:pPr>
        <w:pStyle w:val="BodyText"/>
        <w:spacing w:line="276" w:lineRule="auto" w:before="299"/>
        <w:ind w:left="477" w:right="134"/>
        <w:jc w:val="both"/>
      </w:pPr>
      <w:r>
        <w:rPr/>
        <w:t>We all associate hard, muscular work with a burning pain, which, ultimately, also</w:t>
      </w:r>
      <w:r>
        <w:rPr>
          <w:spacing w:val="-7"/>
        </w:rPr>
        <w:t> </w:t>
      </w:r>
      <w:r>
        <w:rPr/>
        <w:t>represents</w:t>
      </w:r>
      <w:r>
        <w:rPr>
          <w:spacing w:val="-6"/>
        </w:rPr>
        <w:t> </w:t>
      </w:r>
      <w:r>
        <w:rPr/>
        <w:t>a</w:t>
      </w:r>
      <w:r>
        <w:rPr>
          <w:spacing w:val="-10"/>
        </w:rPr>
        <w:t> </w:t>
      </w:r>
      <w:r>
        <w:rPr/>
        <w:t>limiting</w:t>
      </w:r>
      <w:r>
        <w:rPr>
          <w:spacing w:val="-6"/>
        </w:rPr>
        <w:t> </w:t>
      </w:r>
      <w:r>
        <w:rPr/>
        <w:t>factor</w:t>
      </w:r>
      <w:r>
        <w:rPr>
          <w:spacing w:val="-5"/>
        </w:rPr>
        <w:t> </w:t>
      </w:r>
      <w:r>
        <w:rPr/>
        <w:t>and</w:t>
      </w:r>
      <w:r>
        <w:rPr>
          <w:spacing w:val="-7"/>
        </w:rPr>
        <w:t> </w:t>
      </w:r>
      <w:r>
        <w:rPr/>
        <w:t>leads</w:t>
      </w:r>
      <w:r>
        <w:rPr>
          <w:spacing w:val="-7"/>
        </w:rPr>
        <w:t> </w:t>
      </w:r>
      <w:r>
        <w:rPr/>
        <w:t>to</w:t>
      </w:r>
      <w:r>
        <w:rPr>
          <w:spacing w:val="-6"/>
        </w:rPr>
        <w:t> </w:t>
      </w:r>
      <w:r>
        <w:rPr/>
        <w:t>the</w:t>
      </w:r>
      <w:r>
        <w:rPr>
          <w:spacing w:val="-6"/>
        </w:rPr>
        <w:t> </w:t>
      </w:r>
      <w:r>
        <w:rPr/>
        <w:t>interruption</w:t>
      </w:r>
      <w:r>
        <w:rPr>
          <w:spacing w:val="-7"/>
        </w:rPr>
        <w:t> </w:t>
      </w:r>
      <w:r>
        <w:rPr/>
        <w:t>of</w:t>
      </w:r>
      <w:r>
        <w:rPr>
          <w:spacing w:val="-6"/>
        </w:rPr>
        <w:t> </w:t>
      </w:r>
      <w:r>
        <w:rPr/>
        <w:t>muscular</w:t>
      </w:r>
      <w:r>
        <w:rPr>
          <w:spacing w:val="-4"/>
        </w:rPr>
        <w:t> </w:t>
      </w:r>
      <w:r>
        <w:rPr/>
        <w:t>activ- ity. This unpopular phenomenon is extremely well known in anaerobic sports, where the lactic acid (lactate) leads to premature cessation of the</w:t>
      </w:r>
      <w:r>
        <w:rPr>
          <w:spacing w:val="-15"/>
        </w:rPr>
        <w:t> </w:t>
      </w:r>
      <w:r>
        <w:rPr/>
        <w:t>activity.</w:t>
      </w:r>
    </w:p>
    <w:p>
      <w:pPr>
        <w:pStyle w:val="BodyText"/>
        <w:spacing w:line="276" w:lineRule="auto"/>
        <w:ind w:left="477" w:right="137"/>
        <w:jc w:val="both"/>
      </w:pPr>
      <w:r>
        <w:rPr/>
        <w:t>Through the conditioning of their own body, performance athletes strive to extend the lactate threshold, which leads to cessations of activity, as much as possible. In L-carnosine, we now have a potent, highly effective, natural agent that meets these requirements.</w:t>
      </w:r>
    </w:p>
    <w:p>
      <w:pPr>
        <w:pStyle w:val="BodyText"/>
        <w:spacing w:line="276" w:lineRule="auto" w:before="242"/>
        <w:ind w:left="477" w:right="133"/>
        <w:jc w:val="both"/>
      </w:pPr>
      <w:r>
        <w:rPr/>
        <w:t>The</w:t>
      </w:r>
      <w:r>
        <w:rPr>
          <w:spacing w:val="-9"/>
        </w:rPr>
        <w:t> </w:t>
      </w:r>
      <w:r>
        <w:rPr/>
        <w:t>reason</w:t>
      </w:r>
      <w:r>
        <w:rPr>
          <w:spacing w:val="-9"/>
        </w:rPr>
        <w:t> </w:t>
      </w:r>
      <w:r>
        <w:rPr/>
        <w:t>for</w:t>
      </w:r>
      <w:r>
        <w:rPr>
          <w:spacing w:val="-9"/>
        </w:rPr>
        <w:t> </w:t>
      </w:r>
      <w:r>
        <w:rPr/>
        <w:t>this</w:t>
      </w:r>
      <w:r>
        <w:rPr>
          <w:spacing w:val="-9"/>
        </w:rPr>
        <w:t> </w:t>
      </w:r>
      <w:r>
        <w:rPr/>
        <w:t>that</w:t>
      </w:r>
      <w:r>
        <w:rPr>
          <w:spacing w:val="-8"/>
        </w:rPr>
        <w:t> </w:t>
      </w:r>
      <w:r>
        <w:rPr/>
        <w:t>L-carnosine</w:t>
      </w:r>
      <w:r>
        <w:rPr>
          <w:spacing w:val="-9"/>
        </w:rPr>
        <w:t> </w:t>
      </w:r>
      <w:r>
        <w:rPr/>
        <w:t>is</w:t>
      </w:r>
      <w:r>
        <w:rPr>
          <w:spacing w:val="-9"/>
        </w:rPr>
        <w:t> </w:t>
      </w:r>
      <w:r>
        <w:rPr/>
        <w:t>responsible</w:t>
      </w:r>
      <w:r>
        <w:rPr>
          <w:spacing w:val="-9"/>
        </w:rPr>
        <w:t> </w:t>
      </w:r>
      <w:r>
        <w:rPr/>
        <w:t>for</w:t>
      </w:r>
      <w:r>
        <w:rPr>
          <w:spacing w:val="-7"/>
        </w:rPr>
        <w:t> </w:t>
      </w:r>
      <w:r>
        <w:rPr/>
        <w:t>up</w:t>
      </w:r>
      <w:r>
        <w:rPr>
          <w:spacing w:val="-10"/>
        </w:rPr>
        <w:t> </w:t>
      </w:r>
      <w:r>
        <w:rPr/>
        <w:t>to</w:t>
      </w:r>
      <w:r>
        <w:rPr>
          <w:spacing w:val="-11"/>
        </w:rPr>
        <w:t> </w:t>
      </w:r>
      <w:r>
        <w:rPr/>
        <w:t>30</w:t>
      </w:r>
      <w:r>
        <w:rPr>
          <w:spacing w:val="-11"/>
        </w:rPr>
        <w:t> </w:t>
      </w:r>
      <w:r>
        <w:rPr/>
        <w:t>%</w:t>
      </w:r>
      <w:r>
        <w:rPr>
          <w:spacing w:val="-9"/>
        </w:rPr>
        <w:t> </w:t>
      </w:r>
      <w:r>
        <w:rPr/>
        <w:t>of</w:t>
      </w:r>
      <w:r>
        <w:rPr>
          <w:spacing w:val="-9"/>
        </w:rPr>
        <w:t> </w:t>
      </w:r>
      <w:r>
        <w:rPr/>
        <w:t>the</w:t>
      </w:r>
      <w:r>
        <w:rPr>
          <w:spacing w:val="-8"/>
        </w:rPr>
        <w:t> </w:t>
      </w:r>
      <w:r>
        <w:rPr/>
        <w:t>body's buffering ability and thus can successfully buffer the excess lactic acid even at strenuous power outputs. Regular L-carnosine intake increases athletic perfor- mance, increases exercise norms and shortens recuperation periods. In short: The athlete can train harder and more</w:t>
      </w:r>
      <w:r>
        <w:rPr>
          <w:spacing w:val="2"/>
        </w:rPr>
        <w:t> </w:t>
      </w:r>
      <w:r>
        <w:rPr/>
        <w:t>often!</w:t>
      </w:r>
    </w:p>
    <w:p>
      <w:pPr>
        <w:pStyle w:val="BodyText"/>
        <w:rPr>
          <w:sz w:val="42"/>
        </w:rPr>
      </w:pPr>
    </w:p>
    <w:p>
      <w:pPr>
        <w:pStyle w:val="BodyText"/>
        <w:rPr>
          <w:sz w:val="42"/>
        </w:rPr>
      </w:pPr>
    </w:p>
    <w:p>
      <w:pPr>
        <w:pStyle w:val="BodyText"/>
        <w:rPr>
          <w:sz w:val="42"/>
        </w:rPr>
      </w:pPr>
    </w:p>
    <w:p>
      <w:pPr>
        <w:pStyle w:val="BodyText"/>
        <w:rPr>
          <w:sz w:val="42"/>
        </w:rPr>
      </w:pPr>
    </w:p>
    <w:p>
      <w:pPr>
        <w:pStyle w:val="BodyText"/>
        <w:spacing w:before="5"/>
        <w:rPr>
          <w:sz w:val="48"/>
        </w:rPr>
      </w:pPr>
    </w:p>
    <w:p>
      <w:pPr>
        <w:pStyle w:val="Heading2"/>
      </w:pPr>
      <w:r>
        <w:rPr/>
        <w:t>L-carnosine studies</w:t>
      </w:r>
    </w:p>
    <w:p>
      <w:pPr>
        <w:spacing w:line="261" w:lineRule="auto" w:before="286"/>
        <w:ind w:left="477" w:right="143" w:firstLine="0"/>
        <w:jc w:val="both"/>
        <w:rPr>
          <w:b/>
          <w:i/>
          <w:sz w:val="40"/>
        </w:rPr>
      </w:pPr>
      <w:r>
        <w:rPr>
          <w:b/>
          <w:i/>
          <w:sz w:val="40"/>
        </w:rPr>
        <w:t>L-carnosine</w:t>
      </w:r>
      <w:r>
        <w:rPr>
          <w:b/>
          <w:i/>
          <w:spacing w:val="-26"/>
          <w:sz w:val="40"/>
        </w:rPr>
        <w:t> </w:t>
      </w:r>
      <w:r>
        <w:rPr>
          <w:b/>
          <w:i/>
          <w:sz w:val="40"/>
        </w:rPr>
        <w:t>protects</w:t>
      </w:r>
      <w:r>
        <w:rPr>
          <w:b/>
          <w:i/>
          <w:spacing w:val="-26"/>
          <w:sz w:val="40"/>
        </w:rPr>
        <w:t> </w:t>
      </w:r>
      <w:r>
        <w:rPr>
          <w:b/>
          <w:i/>
          <w:sz w:val="40"/>
        </w:rPr>
        <w:t>telomeres</w:t>
      </w:r>
      <w:r>
        <w:rPr>
          <w:b/>
          <w:i/>
          <w:spacing w:val="-25"/>
          <w:sz w:val="40"/>
        </w:rPr>
        <w:t> </w:t>
      </w:r>
      <w:r>
        <w:rPr>
          <w:b/>
          <w:i/>
          <w:sz w:val="40"/>
        </w:rPr>
        <w:t>from</w:t>
      </w:r>
      <w:r>
        <w:rPr>
          <w:b/>
          <w:i/>
          <w:spacing w:val="-27"/>
          <w:sz w:val="40"/>
        </w:rPr>
        <w:t> </w:t>
      </w:r>
      <w:r>
        <w:rPr>
          <w:b/>
          <w:i/>
          <w:sz w:val="40"/>
        </w:rPr>
        <w:t>shortening</w:t>
      </w:r>
      <w:r>
        <w:rPr>
          <w:b/>
          <w:i/>
          <w:spacing w:val="-25"/>
          <w:sz w:val="40"/>
        </w:rPr>
        <w:t> </w:t>
      </w:r>
      <w:r>
        <w:rPr>
          <w:b/>
          <w:i/>
          <w:sz w:val="40"/>
        </w:rPr>
        <w:t>and</w:t>
      </w:r>
      <w:r>
        <w:rPr>
          <w:b/>
          <w:i/>
          <w:spacing w:val="-26"/>
          <w:sz w:val="40"/>
        </w:rPr>
        <w:t> </w:t>
      </w:r>
      <w:r>
        <w:rPr>
          <w:b/>
          <w:i/>
          <w:sz w:val="40"/>
        </w:rPr>
        <w:t>damage</w:t>
      </w:r>
      <w:r>
        <w:rPr>
          <w:b/>
          <w:i/>
          <w:spacing w:val="-26"/>
          <w:sz w:val="40"/>
        </w:rPr>
        <w:t> </w:t>
      </w:r>
      <w:r>
        <w:rPr>
          <w:b/>
          <w:i/>
          <w:sz w:val="40"/>
        </w:rPr>
        <w:t>in</w:t>
      </w:r>
      <w:r>
        <w:rPr>
          <w:b/>
          <w:i/>
          <w:spacing w:val="-27"/>
          <w:sz w:val="40"/>
        </w:rPr>
        <w:t> </w:t>
      </w:r>
      <w:r>
        <w:rPr>
          <w:b/>
          <w:i/>
          <w:sz w:val="40"/>
        </w:rPr>
        <w:t>a</w:t>
      </w:r>
      <w:r>
        <w:rPr>
          <w:b/>
          <w:i/>
          <w:spacing w:val="-25"/>
          <w:sz w:val="40"/>
        </w:rPr>
        <w:t> </w:t>
      </w:r>
      <w:r>
        <w:rPr>
          <w:b/>
          <w:i/>
          <w:sz w:val="40"/>
        </w:rPr>
        <w:t>Chi- nese</w:t>
      </w:r>
      <w:r>
        <w:rPr>
          <w:b/>
          <w:i/>
          <w:spacing w:val="-7"/>
          <w:sz w:val="40"/>
        </w:rPr>
        <w:t> </w:t>
      </w:r>
      <w:r>
        <w:rPr>
          <w:b/>
          <w:i/>
          <w:sz w:val="40"/>
        </w:rPr>
        <w:t>study.</w:t>
      </w:r>
    </w:p>
    <w:p>
      <w:pPr>
        <w:spacing w:after="0" w:line="261" w:lineRule="auto"/>
        <w:jc w:val="both"/>
        <w:rPr>
          <w:sz w:val="40"/>
        </w:rPr>
        <w:sectPr>
          <w:pgSz w:w="14270" w:h="16850"/>
          <w:pgMar w:header="0" w:footer="1891" w:top="1600" w:bottom="2080" w:left="800" w:right="1280"/>
        </w:sectPr>
      </w:pPr>
    </w:p>
    <w:p>
      <w:pPr>
        <w:pStyle w:val="BodyText"/>
        <w:spacing w:line="276" w:lineRule="auto" w:before="181"/>
        <w:ind w:left="477" w:right="131"/>
        <w:jc w:val="both"/>
      </w:pPr>
      <w:r>
        <w:rPr/>
        <w:t>L-carnosine reduces damage to telomeres and prevents their shortening in cul- tured fibroblasts. Telomeres form the ends of the chromosomes to which the DNA strands are packed tightly inside the cell. During cell division, the telo- meres get shorter and shorter, leading to ageing. The ability to divide is unfor- tunately</w:t>
      </w:r>
      <w:r>
        <w:rPr>
          <w:spacing w:val="-24"/>
        </w:rPr>
        <w:t> </w:t>
      </w:r>
      <w:r>
        <w:rPr/>
        <w:t>not</w:t>
      </w:r>
      <w:r>
        <w:rPr>
          <w:spacing w:val="-23"/>
        </w:rPr>
        <w:t> </w:t>
      </w:r>
      <w:r>
        <w:rPr/>
        <w:t>infinite;</w:t>
      </w:r>
      <w:r>
        <w:rPr>
          <w:spacing w:val="-22"/>
        </w:rPr>
        <w:t> </w:t>
      </w:r>
      <w:r>
        <w:rPr/>
        <w:t>from</w:t>
      </w:r>
      <w:r>
        <w:rPr>
          <w:spacing w:val="-23"/>
        </w:rPr>
        <w:t> </w:t>
      </w:r>
      <w:r>
        <w:rPr/>
        <w:t>a</w:t>
      </w:r>
      <w:r>
        <w:rPr>
          <w:spacing w:val="-26"/>
        </w:rPr>
        <w:t> </w:t>
      </w:r>
      <w:r>
        <w:rPr/>
        <w:t>certain</w:t>
      </w:r>
      <w:r>
        <w:rPr>
          <w:spacing w:val="-23"/>
        </w:rPr>
        <w:t> </w:t>
      </w:r>
      <w:r>
        <w:rPr/>
        <w:t>telomere</w:t>
      </w:r>
      <w:r>
        <w:rPr>
          <w:spacing w:val="-22"/>
        </w:rPr>
        <w:t> </w:t>
      </w:r>
      <w:r>
        <w:rPr/>
        <w:t>length,</w:t>
      </w:r>
      <w:r>
        <w:rPr>
          <w:spacing w:val="-22"/>
        </w:rPr>
        <w:t> </w:t>
      </w:r>
      <w:r>
        <w:rPr/>
        <w:t>the</w:t>
      </w:r>
      <w:r>
        <w:rPr>
          <w:spacing w:val="-24"/>
        </w:rPr>
        <w:t> </w:t>
      </w:r>
      <w:r>
        <w:rPr/>
        <w:t>cell</w:t>
      </w:r>
      <w:r>
        <w:rPr>
          <w:spacing w:val="-23"/>
        </w:rPr>
        <w:t> </w:t>
      </w:r>
      <w:r>
        <w:rPr/>
        <w:t>can</w:t>
      </w:r>
      <w:r>
        <w:rPr>
          <w:spacing w:val="-22"/>
        </w:rPr>
        <w:t> </w:t>
      </w:r>
      <w:r>
        <w:rPr/>
        <w:t>no</w:t>
      </w:r>
      <w:r>
        <w:rPr>
          <w:spacing w:val="-24"/>
        </w:rPr>
        <w:t> </w:t>
      </w:r>
      <w:r>
        <w:rPr/>
        <w:t>longer</w:t>
      </w:r>
      <w:r>
        <w:rPr>
          <w:spacing w:val="-22"/>
        </w:rPr>
        <w:t> </w:t>
      </w:r>
      <w:r>
        <w:rPr/>
        <w:t>divide and dies. The Chinese study describes the effect of L-carnosine on the telo- meres of cultured human foetal lung fibroblasts. In this study, L-carnosine de- layed replicative senescence and prolonged the lifetime of cultured human fi- broblasts. For this purpose, scientists Shao L., Li QH and Tan Z. constantly imbibed the fibroblasts in 20 ml carnosine, which resulted in distinctly slowed telomere</w:t>
      </w:r>
      <w:r>
        <w:rPr>
          <w:spacing w:val="-23"/>
        </w:rPr>
        <w:t> </w:t>
      </w:r>
      <w:r>
        <w:rPr/>
        <w:t>shortening</w:t>
      </w:r>
      <w:r>
        <w:rPr>
          <w:spacing w:val="-22"/>
        </w:rPr>
        <w:t> </w:t>
      </w:r>
      <w:r>
        <w:rPr/>
        <w:t>and</w:t>
      </w:r>
      <w:r>
        <w:rPr>
          <w:spacing w:val="-23"/>
        </w:rPr>
        <w:t> </w:t>
      </w:r>
      <w:r>
        <w:rPr/>
        <w:t>a</w:t>
      </w:r>
      <w:r>
        <w:rPr>
          <w:spacing w:val="-25"/>
        </w:rPr>
        <w:t> </w:t>
      </w:r>
      <w:r>
        <w:rPr/>
        <w:t>prolonged</w:t>
      </w:r>
      <w:r>
        <w:rPr>
          <w:spacing w:val="-22"/>
        </w:rPr>
        <w:t> </w:t>
      </w:r>
      <w:r>
        <w:rPr/>
        <w:t>life</w:t>
      </w:r>
      <w:r>
        <w:rPr>
          <w:spacing w:val="-24"/>
        </w:rPr>
        <w:t> </w:t>
      </w:r>
      <w:r>
        <w:rPr/>
        <w:t>span</w:t>
      </w:r>
      <w:r>
        <w:rPr>
          <w:spacing w:val="-21"/>
        </w:rPr>
        <w:t> </w:t>
      </w:r>
      <w:r>
        <w:rPr/>
        <w:t>within</w:t>
      </w:r>
      <w:r>
        <w:rPr>
          <w:spacing w:val="-23"/>
        </w:rPr>
        <w:t> </w:t>
      </w:r>
      <w:r>
        <w:rPr/>
        <w:t>cell</w:t>
      </w:r>
      <w:r>
        <w:rPr>
          <w:spacing w:val="-23"/>
        </w:rPr>
        <w:t> </w:t>
      </w:r>
      <w:r>
        <w:rPr/>
        <w:t>division.</w:t>
      </w:r>
      <w:r>
        <w:rPr>
          <w:spacing w:val="-23"/>
        </w:rPr>
        <w:t> </w:t>
      </w:r>
      <w:r>
        <w:rPr/>
        <w:t>Furthermore, there was less DNA</w:t>
      </w:r>
      <w:r>
        <w:rPr>
          <w:spacing w:val="3"/>
        </w:rPr>
        <w:t> </w:t>
      </w:r>
      <w:r>
        <w:rPr/>
        <w:t>damage.</w:t>
      </w:r>
    </w:p>
    <w:p>
      <w:pPr>
        <w:pStyle w:val="BodyText"/>
        <w:spacing w:line="276" w:lineRule="auto" w:before="241"/>
        <w:ind w:left="477" w:right="136"/>
        <w:jc w:val="both"/>
        <w:rPr>
          <w:sz w:val="25"/>
        </w:rPr>
      </w:pPr>
      <w:r>
        <w:rPr/>
        <w:t>The scientists proposed the use of L-carnosine for the reduction of telomere shortening and to prevent telomere DNA damage as an important contributor to life extension.</w:t>
      </w:r>
      <w:r>
        <w:rPr>
          <w:position w:val="9"/>
          <w:sz w:val="25"/>
        </w:rPr>
        <w:t>502</w:t>
      </w:r>
    </w:p>
    <w:p>
      <w:pPr>
        <w:pStyle w:val="Heading1"/>
        <w:spacing w:line="261" w:lineRule="auto"/>
        <w:ind w:right="135"/>
        <w:jc w:val="both"/>
      </w:pPr>
      <w:r>
        <w:rPr/>
        <w:t>L-carnosine</w:t>
      </w:r>
      <w:r>
        <w:rPr>
          <w:spacing w:val="-67"/>
        </w:rPr>
        <w:t> </w:t>
      </w:r>
      <w:r>
        <w:rPr/>
        <w:t>protects</w:t>
      </w:r>
      <w:r>
        <w:rPr>
          <w:spacing w:val="-67"/>
        </w:rPr>
        <w:t> </w:t>
      </w:r>
      <w:r>
        <w:rPr/>
        <w:t>against</w:t>
      </w:r>
      <w:r>
        <w:rPr>
          <w:spacing w:val="-66"/>
        </w:rPr>
        <w:t> </w:t>
      </w:r>
      <w:r>
        <w:rPr/>
        <w:t>heavy</w:t>
      </w:r>
      <w:r>
        <w:rPr>
          <w:spacing w:val="-67"/>
        </w:rPr>
        <w:t> </w:t>
      </w:r>
      <w:r>
        <w:rPr/>
        <w:t>metals</w:t>
      </w:r>
      <w:r>
        <w:rPr>
          <w:spacing w:val="-66"/>
        </w:rPr>
        <w:t> </w:t>
      </w:r>
      <w:r>
        <w:rPr/>
        <w:t>in</w:t>
      </w:r>
      <w:r>
        <w:rPr>
          <w:spacing w:val="-67"/>
        </w:rPr>
        <w:t> </w:t>
      </w:r>
      <w:r>
        <w:rPr/>
        <w:t>studies</w:t>
      </w:r>
      <w:r>
        <w:rPr>
          <w:spacing w:val="-67"/>
        </w:rPr>
        <w:t> </w:t>
      </w:r>
      <w:r>
        <w:rPr/>
        <w:t>and</w:t>
      </w:r>
      <w:r>
        <w:rPr>
          <w:spacing w:val="-64"/>
        </w:rPr>
        <w:t> </w:t>
      </w:r>
      <w:r>
        <w:rPr/>
        <w:t>helps</w:t>
      </w:r>
      <w:r>
        <w:rPr>
          <w:spacing w:val="-67"/>
        </w:rPr>
        <w:t> </w:t>
      </w:r>
      <w:r>
        <w:rPr/>
        <w:t>to</w:t>
      </w:r>
      <w:r>
        <w:rPr>
          <w:spacing w:val="-67"/>
        </w:rPr>
        <w:t> </w:t>
      </w:r>
      <w:r>
        <w:rPr/>
        <w:t>reduce them</w:t>
      </w:r>
    </w:p>
    <w:p>
      <w:pPr>
        <w:pStyle w:val="BodyText"/>
        <w:spacing w:line="276" w:lineRule="auto" w:before="260"/>
        <w:ind w:left="477" w:right="138"/>
        <w:jc w:val="both"/>
        <w:rPr>
          <w:sz w:val="25"/>
        </w:rPr>
      </w:pPr>
      <w:r>
        <w:rPr/>
        <w:t>L-carnosine has the ability to bind pro-oxidative heavy metals such as zinc and copper, as well as toxic heavy metals such as lead, arsenic, cadmium, mercury and nickel, in the body so they can be broken down better.</w:t>
      </w:r>
      <w:r>
        <w:rPr>
          <w:position w:val="9"/>
          <w:sz w:val="25"/>
        </w:rPr>
        <w:t>503</w:t>
      </w:r>
    </w:p>
    <w:p>
      <w:pPr>
        <w:pStyle w:val="BodyText"/>
        <w:rPr>
          <w:sz w:val="20"/>
        </w:rPr>
      </w:pPr>
    </w:p>
    <w:p>
      <w:pPr>
        <w:pStyle w:val="BodyText"/>
        <w:rPr>
          <w:sz w:val="20"/>
        </w:rPr>
      </w:pPr>
    </w:p>
    <w:p>
      <w:pPr>
        <w:pStyle w:val="BodyText"/>
        <w:spacing w:before="8"/>
        <w:rPr>
          <w:sz w:val="20"/>
        </w:rPr>
      </w:pPr>
      <w:r>
        <w:rPr/>
        <w:pict>
          <v:line style="position:absolute;mso-position-horizontal-relative:page;mso-position-vertical-relative:paragraph;z-index:6416;mso-wrap-distance-left:0;mso-wrap-distance-right:0" from="63.863998pt,14.027485pt" to="207.883998pt,14.027485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502 </w:t>
      </w:r>
      <w:r>
        <w:rPr>
          <w:sz w:val="20"/>
        </w:rPr>
        <w:t>Shao L, Li QH, Tan Z., Source: Institute of Zoology, Chinese Academy of Sciences, Beijing 100080, PR China.</w:t>
      </w:r>
    </w:p>
    <w:p>
      <w:pPr>
        <w:spacing w:before="94"/>
        <w:ind w:left="477" w:right="0" w:firstLine="0"/>
        <w:jc w:val="left"/>
        <w:rPr>
          <w:sz w:val="20"/>
        </w:rPr>
      </w:pPr>
      <w:r>
        <w:rPr>
          <w:position w:val="5"/>
          <w:sz w:val="13"/>
        </w:rPr>
        <w:t>503 </w:t>
      </w:r>
      <w:r>
        <w:rPr>
          <w:sz w:val="20"/>
        </w:rPr>
        <w:t>Miller and O'Dowd 2000</w:t>
      </w:r>
    </w:p>
    <w:p>
      <w:pPr>
        <w:spacing w:after="0"/>
        <w:jc w:val="left"/>
        <w:rPr>
          <w:sz w:val="20"/>
        </w:rPr>
        <w:sectPr>
          <w:pgSz w:w="14270" w:h="16850"/>
          <w:pgMar w:header="0" w:footer="1891" w:top="1600" w:bottom="2080" w:left="800" w:right="12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p>
      <w:pPr>
        <w:pStyle w:val="Heading1"/>
        <w:spacing w:line="261" w:lineRule="auto" w:before="100"/>
        <w:ind w:right="130"/>
      </w:pPr>
      <w:r>
        <w:rPr/>
        <w:t>L-carnosine strengthens the ability of the heart muscle to contract in studies</w:t>
      </w:r>
    </w:p>
    <w:p>
      <w:pPr>
        <w:pStyle w:val="BodyText"/>
        <w:spacing w:line="276" w:lineRule="auto" w:before="259"/>
        <w:ind w:left="477"/>
        <w:rPr>
          <w:sz w:val="25"/>
        </w:rPr>
      </w:pPr>
      <w:r>
        <w:rPr/>
        <w:t>In studies, L-carnosine has been able to show the same degree of cardiac con- tractility as verapamil, a commonly prescribed heart medication.</w:t>
      </w:r>
      <w:r>
        <w:rPr>
          <w:position w:val="9"/>
          <w:sz w:val="25"/>
        </w:rPr>
        <w:t>504</w:t>
      </w:r>
    </w:p>
    <w:p>
      <w:pPr>
        <w:pStyle w:val="Heading1"/>
        <w:spacing w:before="223"/>
      </w:pPr>
      <w:r>
        <w:rPr/>
        <w:t>Improved cardiac contraction with L-carnosine proven in studies</w:t>
      </w:r>
    </w:p>
    <w:p>
      <w:pPr>
        <w:pStyle w:val="BodyText"/>
        <w:spacing w:line="276" w:lineRule="auto" w:before="299"/>
        <w:ind w:left="477"/>
        <w:rPr>
          <w:sz w:val="25"/>
        </w:rPr>
      </w:pPr>
      <w:r>
        <w:rPr/>
        <w:t>Carnosine increases the calcium response in the heart muscle cells, thereby in- creasing the efficiency of cardiac muscle contraction.</w:t>
      </w:r>
      <w:r>
        <w:rPr>
          <w:position w:val="9"/>
          <w:sz w:val="25"/>
        </w:rPr>
        <w:t>505</w:t>
      </w:r>
    </w:p>
    <w:p>
      <w:pPr>
        <w:pStyle w:val="Heading1"/>
      </w:pPr>
      <w:r>
        <w:rPr/>
        <w:t>L-carnosine successful against oxidation</w:t>
      </w:r>
      <w:r>
        <w:rPr>
          <w:spacing w:val="-54"/>
        </w:rPr>
        <w:t> </w:t>
      </w:r>
      <w:r>
        <w:rPr/>
        <w:t>stress</w:t>
      </w:r>
    </w:p>
    <w:p>
      <w:pPr>
        <w:pStyle w:val="BodyText"/>
        <w:spacing w:line="276" w:lineRule="auto" w:before="297"/>
        <w:ind w:left="477"/>
        <w:rPr>
          <w:sz w:val="25"/>
        </w:rPr>
      </w:pPr>
      <w:r>
        <w:rPr/>
        <w:t>In numerous studies, L-carnosine has demonstrated its ability to successfully combat oxidative stress.</w:t>
      </w:r>
      <w:r>
        <w:rPr>
          <w:position w:val="9"/>
          <w:sz w:val="25"/>
        </w:rPr>
        <w:t>506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3"/>
        </w:rPr>
      </w:pPr>
      <w:r>
        <w:rPr/>
        <w:pict>
          <v:line style="position:absolute;mso-position-horizontal-relative:page;mso-position-vertical-relative:paragraph;z-index:6440;mso-wrap-distance-left:0;mso-wrap-distance-right:0" from="63.863998pt,15.652485pt" to="207.883998pt,15.652485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504  </w:t>
      </w:r>
      <w:r>
        <w:rPr>
          <w:sz w:val="20"/>
        </w:rPr>
        <w:t>Bharadwaj et al.</w:t>
      </w:r>
      <w:r>
        <w:rPr>
          <w:spacing w:val="-27"/>
          <w:sz w:val="20"/>
        </w:rPr>
        <w:t> </w:t>
      </w:r>
      <w:r>
        <w:rPr>
          <w:sz w:val="20"/>
        </w:rPr>
        <w:t>2002</w:t>
      </w:r>
    </w:p>
    <w:p>
      <w:pPr>
        <w:spacing w:before="92"/>
        <w:ind w:left="477" w:right="0" w:firstLine="0"/>
        <w:jc w:val="left"/>
        <w:rPr>
          <w:sz w:val="20"/>
        </w:rPr>
      </w:pPr>
      <w:r>
        <w:rPr>
          <w:position w:val="5"/>
          <w:sz w:val="13"/>
        </w:rPr>
        <w:t>505  </w:t>
      </w:r>
      <w:r>
        <w:rPr>
          <w:sz w:val="20"/>
        </w:rPr>
        <w:t>Zaloga GP et al.</w:t>
      </w:r>
      <w:r>
        <w:rPr>
          <w:spacing w:val="-29"/>
          <w:sz w:val="20"/>
        </w:rPr>
        <w:t> </w:t>
      </w:r>
      <w:r>
        <w:rPr>
          <w:sz w:val="20"/>
        </w:rPr>
        <w:t>1997</w:t>
      </w:r>
    </w:p>
    <w:p>
      <w:pPr>
        <w:spacing w:before="94"/>
        <w:ind w:left="477" w:right="0" w:firstLine="0"/>
        <w:jc w:val="left"/>
        <w:rPr>
          <w:sz w:val="20"/>
        </w:rPr>
      </w:pPr>
      <w:r>
        <w:rPr>
          <w:position w:val="5"/>
          <w:sz w:val="13"/>
        </w:rPr>
        <w:t>506 </w:t>
      </w:r>
      <w:r>
        <w:rPr>
          <w:sz w:val="20"/>
        </w:rPr>
        <w:t>Boldyrev et al. 1999</w:t>
      </w:r>
    </w:p>
    <w:p>
      <w:pPr>
        <w:spacing w:after="0"/>
        <w:jc w:val="left"/>
        <w:rPr>
          <w:sz w:val="20"/>
        </w:rPr>
        <w:sectPr>
          <w:pgSz w:w="14270" w:h="16850"/>
          <w:pgMar w:header="0" w:footer="1891" w:top="1600" w:bottom="2080" w:left="800" w:right="12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261" w:lineRule="auto" w:before="278"/>
        <w:ind w:right="133"/>
        <w:jc w:val="both"/>
      </w:pPr>
      <w:r>
        <w:rPr/>
        <w:t>L-carnosine</w:t>
      </w:r>
      <w:r>
        <w:rPr>
          <w:spacing w:val="-50"/>
        </w:rPr>
        <w:t> </w:t>
      </w:r>
      <w:r>
        <w:rPr/>
        <w:t>helps</w:t>
      </w:r>
      <w:r>
        <w:rPr>
          <w:spacing w:val="-49"/>
        </w:rPr>
        <w:t> </w:t>
      </w:r>
      <w:r>
        <w:rPr/>
        <w:t>in</w:t>
      </w:r>
      <w:r>
        <w:rPr>
          <w:spacing w:val="-50"/>
        </w:rPr>
        <w:t> </w:t>
      </w:r>
      <w:r>
        <w:rPr/>
        <w:t>studies</w:t>
      </w:r>
      <w:r>
        <w:rPr>
          <w:spacing w:val="-48"/>
        </w:rPr>
        <w:t> </w:t>
      </w:r>
      <w:r>
        <w:rPr/>
        <w:t>against</w:t>
      </w:r>
      <w:r>
        <w:rPr>
          <w:spacing w:val="-50"/>
        </w:rPr>
        <w:t> </w:t>
      </w:r>
      <w:r>
        <w:rPr/>
        <w:t>age-related</w:t>
      </w:r>
      <w:r>
        <w:rPr>
          <w:spacing w:val="-49"/>
        </w:rPr>
        <w:t> </w:t>
      </w:r>
      <w:r>
        <w:rPr/>
        <w:t>visual</w:t>
      </w:r>
      <w:r>
        <w:rPr>
          <w:spacing w:val="-50"/>
        </w:rPr>
        <w:t> </w:t>
      </w:r>
      <w:r>
        <w:rPr/>
        <w:t>impairment</w:t>
      </w:r>
      <w:r>
        <w:rPr>
          <w:spacing w:val="-48"/>
        </w:rPr>
        <w:t> </w:t>
      </w:r>
      <w:r>
        <w:rPr/>
        <w:t>and cataracts</w:t>
      </w:r>
    </w:p>
    <w:p>
      <w:pPr>
        <w:pStyle w:val="BodyText"/>
        <w:spacing w:line="276" w:lineRule="auto" w:before="260"/>
        <w:ind w:left="477" w:right="134"/>
        <w:jc w:val="both"/>
        <w:rPr>
          <w:sz w:val="25"/>
        </w:rPr>
      </w:pPr>
      <w:r>
        <w:rPr/>
        <w:t>L-carnosine helps eye problems, both internally and externally. On the basis of L-carnosine, eye drops (so-called NAC drops) in professional circles are re- garded as being highly effective against age-related visual impairment and cata- racts. L-carnosine drops have proved effective for 80 % of cases of primary cataracts and for 100 % of age-related cataracts.</w:t>
      </w:r>
      <w:r>
        <w:rPr>
          <w:position w:val="9"/>
          <w:sz w:val="25"/>
        </w:rPr>
        <w:t>507</w:t>
      </w:r>
    </w:p>
    <w:p>
      <w:pPr>
        <w:pStyle w:val="Heading1"/>
        <w:spacing w:line="261" w:lineRule="auto" w:before="223"/>
        <w:ind w:right="140"/>
        <w:jc w:val="both"/>
      </w:pPr>
      <w:r>
        <w:rPr/>
        <w:t>L-carnosine</w:t>
      </w:r>
      <w:r>
        <w:rPr>
          <w:spacing w:val="-58"/>
        </w:rPr>
        <w:t> </w:t>
      </w:r>
      <w:r>
        <w:rPr/>
        <w:t>prevents</w:t>
      </w:r>
      <w:r>
        <w:rPr>
          <w:spacing w:val="-58"/>
        </w:rPr>
        <w:t> </w:t>
      </w:r>
      <w:r>
        <w:rPr/>
        <w:t>the</w:t>
      </w:r>
      <w:r>
        <w:rPr>
          <w:spacing w:val="-58"/>
        </w:rPr>
        <w:t> </w:t>
      </w:r>
      <w:r>
        <w:rPr/>
        <w:t>development</w:t>
      </w:r>
      <w:r>
        <w:rPr>
          <w:spacing w:val="-58"/>
        </w:rPr>
        <w:t> </w:t>
      </w:r>
      <w:r>
        <w:rPr/>
        <w:t>of</w:t>
      </w:r>
      <w:r>
        <w:rPr>
          <w:spacing w:val="-58"/>
        </w:rPr>
        <w:t> </w:t>
      </w:r>
      <w:r>
        <w:rPr/>
        <w:t>gastric</w:t>
      </w:r>
      <w:r>
        <w:rPr>
          <w:spacing w:val="-58"/>
        </w:rPr>
        <w:t> </w:t>
      </w:r>
      <w:r>
        <w:rPr/>
        <w:t>and</w:t>
      </w:r>
      <w:r>
        <w:rPr>
          <w:spacing w:val="-57"/>
        </w:rPr>
        <w:t> </w:t>
      </w:r>
      <w:r>
        <w:rPr/>
        <w:t>duodenal</w:t>
      </w:r>
      <w:r>
        <w:rPr>
          <w:spacing w:val="-58"/>
        </w:rPr>
        <w:t> </w:t>
      </w:r>
      <w:r>
        <w:rPr/>
        <w:t>ulcers</w:t>
      </w:r>
      <w:r>
        <w:rPr>
          <w:spacing w:val="-58"/>
        </w:rPr>
        <w:t> </w:t>
      </w:r>
      <w:r>
        <w:rPr/>
        <w:t>in studies</w:t>
      </w:r>
    </w:p>
    <w:p>
      <w:pPr>
        <w:pStyle w:val="BodyText"/>
        <w:spacing w:line="276" w:lineRule="auto" w:before="258"/>
        <w:ind w:left="477" w:right="133"/>
        <w:jc w:val="both"/>
        <w:rPr>
          <w:sz w:val="25"/>
        </w:rPr>
      </w:pPr>
      <w:r>
        <w:rPr/>
        <w:t>According to a recent study, oral ingestion of L-carnosine can effectively pre- vent the formation of gastric and duodenal ulcers.</w:t>
      </w:r>
      <w:r>
        <w:rPr>
          <w:position w:val="9"/>
          <w:sz w:val="25"/>
        </w:rPr>
        <w:t>508</w:t>
      </w:r>
    </w:p>
    <w:p>
      <w:pPr>
        <w:pStyle w:val="Heading1"/>
      </w:pPr>
      <w:r>
        <w:rPr/>
        <w:t>Protective effect of L-carnosine against stroke in studies</w:t>
      </w:r>
    </w:p>
    <w:p>
      <w:pPr>
        <w:pStyle w:val="BodyText"/>
        <w:spacing w:line="276" w:lineRule="auto" w:before="299"/>
        <w:ind w:left="477" w:right="134"/>
        <w:jc w:val="both"/>
        <w:rPr>
          <w:sz w:val="25"/>
        </w:rPr>
      </w:pPr>
      <w:r>
        <w:rPr/>
        <w:t>Numerous studies indicate that L-carnosine can protect people against stroke.</w:t>
      </w:r>
      <w:r>
        <w:rPr>
          <w:position w:val="9"/>
          <w:sz w:val="25"/>
        </w:rPr>
        <w:t>509</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3"/>
        </w:rPr>
      </w:pPr>
      <w:r>
        <w:rPr/>
        <w:pict>
          <v:line style="position:absolute;mso-position-horizontal-relative:page;mso-position-vertical-relative:paragraph;z-index:6464;mso-wrap-distance-left:0;mso-wrap-distance-right:0" from="63.863998pt,10.108735pt" to="207.883998pt,10.108735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507 </w:t>
      </w:r>
      <w:r>
        <w:rPr>
          <w:sz w:val="20"/>
        </w:rPr>
        <w:t>Wang et al. 2000</w:t>
      </w:r>
    </w:p>
    <w:p>
      <w:pPr>
        <w:spacing w:before="92"/>
        <w:ind w:left="477" w:right="0" w:firstLine="0"/>
        <w:jc w:val="left"/>
        <w:rPr>
          <w:sz w:val="20"/>
        </w:rPr>
      </w:pPr>
      <w:r>
        <w:rPr>
          <w:position w:val="5"/>
          <w:sz w:val="13"/>
        </w:rPr>
        <w:t>508 </w:t>
      </w:r>
      <w:r>
        <w:rPr>
          <w:sz w:val="20"/>
        </w:rPr>
        <w:t>Truitsina et al. 1997</w:t>
      </w:r>
    </w:p>
    <w:p>
      <w:pPr>
        <w:spacing w:before="94"/>
        <w:ind w:left="477" w:right="0" w:firstLine="0"/>
        <w:jc w:val="left"/>
        <w:rPr>
          <w:sz w:val="20"/>
        </w:rPr>
      </w:pPr>
      <w:r>
        <w:rPr>
          <w:position w:val="5"/>
          <w:sz w:val="13"/>
        </w:rPr>
        <w:t>509 </w:t>
      </w:r>
      <w:r>
        <w:rPr>
          <w:sz w:val="20"/>
        </w:rPr>
        <w:t>Dobrota 2000, Suslina et al. 2000, Khaspekow et al. 2002</w:t>
      </w:r>
    </w:p>
    <w:p>
      <w:pPr>
        <w:spacing w:after="0"/>
        <w:jc w:val="left"/>
        <w:rPr>
          <w:sz w:val="20"/>
        </w:rPr>
        <w:sectPr>
          <w:pgSz w:w="14270" w:h="16850"/>
          <w:pgMar w:header="0" w:footer="1891" w:top="1600" w:bottom="2080" w:left="800" w:right="1280"/>
        </w:sectPr>
      </w:pPr>
    </w:p>
    <w:p>
      <w:pPr>
        <w:pStyle w:val="Heading1"/>
        <w:spacing w:before="164"/>
      </w:pPr>
      <w:r>
        <w:rPr/>
        <w:t>Death rate after a stroke lowered many times over with L-carnosine</w:t>
      </w:r>
    </w:p>
    <w:p>
      <w:pPr>
        <w:pStyle w:val="BodyText"/>
        <w:spacing w:line="276" w:lineRule="auto" w:before="299"/>
        <w:ind w:left="477" w:right="45"/>
      </w:pPr>
      <w:r>
        <w:rPr/>
        <w:t>In animal studies, several studies have indicated that L-carnosine reduces the mortality rate from 67 % (excluding L-carnosine) to 30 % and from 55 % to 17</w:t>
      </w:r>
    </w:p>
    <w:p>
      <w:pPr>
        <w:pStyle w:val="BodyText"/>
        <w:spacing w:before="1"/>
        <w:ind w:left="477"/>
        <w:rPr>
          <w:sz w:val="25"/>
        </w:rPr>
      </w:pPr>
      <w:r>
        <w:rPr/>
        <w:t>% (in another study).</w:t>
      </w:r>
      <w:r>
        <w:rPr>
          <w:position w:val="9"/>
          <w:sz w:val="25"/>
        </w:rPr>
        <w:t>510</w:t>
      </w:r>
    </w:p>
    <w:p>
      <w:pPr>
        <w:pStyle w:val="Heading1"/>
        <w:spacing w:before="287"/>
      </w:pPr>
      <w:r>
        <w:rPr/>
        <w:t>L-carnosine</w:t>
      </w:r>
      <w:r>
        <w:rPr>
          <w:spacing w:val="-59"/>
        </w:rPr>
        <w:t> </w:t>
      </w:r>
      <w:r>
        <w:rPr/>
        <w:t>acts</w:t>
      </w:r>
      <w:r>
        <w:rPr>
          <w:spacing w:val="-60"/>
        </w:rPr>
        <w:t> </w:t>
      </w:r>
      <w:r>
        <w:rPr/>
        <w:t>as</w:t>
      </w:r>
      <w:r>
        <w:rPr>
          <w:spacing w:val="-58"/>
        </w:rPr>
        <w:t> </w:t>
      </w:r>
      <w:r>
        <w:rPr/>
        <w:t>a</w:t>
      </w:r>
      <w:r>
        <w:rPr>
          <w:spacing w:val="-59"/>
        </w:rPr>
        <w:t> </w:t>
      </w:r>
      <w:r>
        <w:rPr/>
        <w:t>neuro-carrier</w:t>
      </w:r>
      <w:r>
        <w:rPr>
          <w:spacing w:val="-59"/>
        </w:rPr>
        <w:t> </w:t>
      </w:r>
      <w:r>
        <w:rPr/>
        <w:t>in</w:t>
      </w:r>
      <w:r>
        <w:rPr>
          <w:spacing w:val="-60"/>
        </w:rPr>
        <w:t> </w:t>
      </w:r>
      <w:r>
        <w:rPr/>
        <w:t>studies</w:t>
      </w:r>
      <w:r>
        <w:rPr>
          <w:spacing w:val="-59"/>
        </w:rPr>
        <w:t> </w:t>
      </w:r>
      <w:r>
        <w:rPr/>
        <w:t>and</w:t>
      </w:r>
      <w:r>
        <w:rPr>
          <w:spacing w:val="-59"/>
        </w:rPr>
        <w:t> </w:t>
      </w:r>
      <w:r>
        <w:rPr/>
        <w:t>improves</w:t>
      </w:r>
      <w:r>
        <w:rPr>
          <w:spacing w:val="-58"/>
        </w:rPr>
        <w:t> </w:t>
      </w:r>
      <w:r>
        <w:rPr/>
        <w:t>brain</w:t>
      </w:r>
      <w:r>
        <w:rPr>
          <w:spacing w:val="-59"/>
        </w:rPr>
        <w:t> </w:t>
      </w:r>
      <w:r>
        <w:rPr/>
        <w:t>signals</w:t>
      </w:r>
    </w:p>
    <w:p>
      <w:pPr>
        <w:pStyle w:val="BodyText"/>
        <w:spacing w:line="276" w:lineRule="auto" w:before="298"/>
        <w:ind w:left="477" w:right="136"/>
        <w:jc w:val="both"/>
        <w:rPr>
          <w:sz w:val="25"/>
        </w:rPr>
      </w:pPr>
      <w:r>
        <w:rPr/>
        <w:t>As a neuro-transmitter, L-carnosine can enhance signals in the brain and ame- liorate neurological conditions such as Parkinson's, Alzheimer's, autism, schiz- ophrenia and dyslexia.</w:t>
      </w:r>
      <w:r>
        <w:rPr>
          <w:position w:val="9"/>
          <w:sz w:val="25"/>
        </w:rPr>
        <w:t>511</w:t>
      </w:r>
    </w:p>
    <w:p>
      <w:pPr>
        <w:pStyle w:val="Heading1"/>
      </w:pPr>
      <w:r>
        <w:rPr/>
        <w:t>Effect of L-carnosine on autism and Asperger’s syndrome</w:t>
      </w:r>
    </w:p>
    <w:p>
      <w:pPr>
        <w:pStyle w:val="BodyText"/>
        <w:spacing w:line="276" w:lineRule="auto" w:before="299"/>
        <w:ind w:left="477" w:right="132"/>
        <w:jc w:val="both"/>
      </w:pPr>
      <w:r>
        <w:rPr/>
        <w:t>After treating nearly 1,000 autistic children with L-carnosine, the neurologist Dr.</w:t>
      </w:r>
      <w:r>
        <w:rPr>
          <w:spacing w:val="-12"/>
        </w:rPr>
        <w:t> </w:t>
      </w:r>
      <w:r>
        <w:rPr/>
        <w:t>Chez</w:t>
      </w:r>
      <w:r>
        <w:rPr>
          <w:spacing w:val="-12"/>
        </w:rPr>
        <w:t> </w:t>
      </w:r>
      <w:r>
        <w:rPr/>
        <w:t>from</w:t>
      </w:r>
      <w:r>
        <w:rPr>
          <w:spacing w:val="-16"/>
        </w:rPr>
        <w:t> </w:t>
      </w:r>
      <w:r>
        <w:rPr/>
        <w:t>Chicago</w:t>
      </w:r>
      <w:r>
        <w:rPr>
          <w:spacing w:val="-11"/>
        </w:rPr>
        <w:t> </w:t>
      </w:r>
      <w:r>
        <w:rPr/>
        <w:t>saw</w:t>
      </w:r>
      <w:r>
        <w:rPr>
          <w:spacing w:val="-12"/>
        </w:rPr>
        <w:t> </w:t>
      </w:r>
      <w:r>
        <w:rPr/>
        <w:t>that</w:t>
      </w:r>
      <w:r>
        <w:rPr>
          <w:spacing w:val="-12"/>
        </w:rPr>
        <w:t> </w:t>
      </w:r>
      <w:r>
        <w:rPr/>
        <w:t>L-carnosine</w:t>
      </w:r>
      <w:r>
        <w:rPr>
          <w:spacing w:val="-11"/>
        </w:rPr>
        <w:t> </w:t>
      </w:r>
      <w:r>
        <w:rPr/>
        <w:t>was</w:t>
      </w:r>
      <w:r>
        <w:rPr>
          <w:spacing w:val="-11"/>
        </w:rPr>
        <w:t> </w:t>
      </w:r>
      <w:r>
        <w:rPr/>
        <w:t>able</w:t>
      </w:r>
      <w:r>
        <w:rPr>
          <w:spacing w:val="-14"/>
        </w:rPr>
        <w:t> </w:t>
      </w:r>
      <w:r>
        <w:rPr/>
        <w:t>to</w:t>
      </w:r>
      <w:r>
        <w:rPr>
          <w:spacing w:val="-14"/>
        </w:rPr>
        <w:t> </w:t>
      </w:r>
      <w:r>
        <w:rPr/>
        <w:t>help</w:t>
      </w:r>
      <w:r>
        <w:rPr>
          <w:spacing w:val="-12"/>
        </w:rPr>
        <w:t> </w:t>
      </w:r>
      <w:r>
        <w:rPr/>
        <w:t>80-90</w:t>
      </w:r>
      <w:r>
        <w:rPr>
          <w:spacing w:val="-12"/>
        </w:rPr>
        <w:t> </w:t>
      </w:r>
      <w:r>
        <w:rPr/>
        <w:t>%</w:t>
      </w:r>
      <w:r>
        <w:rPr>
          <w:spacing w:val="-12"/>
        </w:rPr>
        <w:t> </w:t>
      </w:r>
      <w:r>
        <w:rPr/>
        <w:t>children remarkably</w:t>
      </w:r>
      <w:r>
        <w:rPr>
          <w:spacing w:val="-7"/>
        </w:rPr>
        <w:t> </w:t>
      </w:r>
      <w:r>
        <w:rPr/>
        <w:t>well</w:t>
      </w:r>
      <w:r>
        <w:rPr>
          <w:spacing w:val="-5"/>
        </w:rPr>
        <w:t> </w:t>
      </w:r>
      <w:r>
        <w:rPr/>
        <w:t>after</w:t>
      </w:r>
      <w:r>
        <w:rPr>
          <w:spacing w:val="-6"/>
        </w:rPr>
        <w:t> </w:t>
      </w:r>
      <w:r>
        <w:rPr/>
        <w:t>a</w:t>
      </w:r>
      <w:r>
        <w:rPr>
          <w:spacing w:val="-7"/>
        </w:rPr>
        <w:t> </w:t>
      </w:r>
      <w:r>
        <w:rPr/>
        <w:t>short</w:t>
      </w:r>
      <w:r>
        <w:rPr>
          <w:spacing w:val="-6"/>
        </w:rPr>
        <w:t> </w:t>
      </w:r>
      <w:r>
        <w:rPr/>
        <w:t>period</w:t>
      </w:r>
      <w:r>
        <w:rPr>
          <w:spacing w:val="-6"/>
        </w:rPr>
        <w:t> </w:t>
      </w:r>
      <w:r>
        <w:rPr/>
        <w:t>of</w:t>
      </w:r>
      <w:r>
        <w:rPr>
          <w:spacing w:val="-6"/>
        </w:rPr>
        <w:t> </w:t>
      </w:r>
      <w:r>
        <w:rPr/>
        <w:t>eight</w:t>
      </w:r>
      <w:r>
        <w:rPr>
          <w:spacing w:val="-6"/>
        </w:rPr>
        <w:t> </w:t>
      </w:r>
      <w:r>
        <w:rPr/>
        <w:t>weeks.</w:t>
      </w:r>
      <w:r>
        <w:rPr>
          <w:spacing w:val="-4"/>
        </w:rPr>
        <w:t> </w:t>
      </w:r>
      <w:r>
        <w:rPr/>
        <w:t>Dr.</w:t>
      </w:r>
      <w:r>
        <w:rPr>
          <w:spacing w:val="-7"/>
        </w:rPr>
        <w:t> </w:t>
      </w:r>
      <w:r>
        <w:rPr/>
        <w:t>Chez</w:t>
      </w:r>
      <w:r>
        <w:rPr>
          <w:spacing w:val="-5"/>
        </w:rPr>
        <w:t> </w:t>
      </w:r>
      <w:r>
        <w:rPr/>
        <w:t>says</w:t>
      </w:r>
      <w:r>
        <w:rPr>
          <w:spacing w:val="-8"/>
        </w:rPr>
        <w:t> </w:t>
      </w:r>
      <w:r>
        <w:rPr/>
        <w:t>this</w:t>
      </w:r>
      <w:r>
        <w:rPr>
          <w:spacing w:val="-5"/>
        </w:rPr>
        <w:t> </w:t>
      </w:r>
      <w:r>
        <w:rPr/>
        <w:t>is</w:t>
      </w:r>
      <w:r>
        <w:rPr>
          <w:spacing w:val="-6"/>
        </w:rPr>
        <w:t> </w:t>
      </w:r>
      <w:r>
        <w:rPr/>
        <w:t>due</w:t>
      </w:r>
      <w:r>
        <w:rPr>
          <w:spacing w:val="-7"/>
        </w:rPr>
        <w:t> </w:t>
      </w:r>
      <w:r>
        <w:rPr/>
        <w:t>to the ability of L-carnosine to connect with deeper brain areas as a neurotrans- mitter</w:t>
      </w:r>
      <w:r>
        <w:rPr>
          <w:spacing w:val="-24"/>
        </w:rPr>
        <w:t> </w:t>
      </w:r>
      <w:r>
        <w:rPr/>
        <w:t>and</w:t>
      </w:r>
      <w:r>
        <w:rPr>
          <w:spacing w:val="-24"/>
        </w:rPr>
        <w:t> </w:t>
      </w:r>
      <w:r>
        <w:rPr/>
        <w:t>to</w:t>
      </w:r>
      <w:r>
        <w:rPr>
          <w:spacing w:val="-23"/>
        </w:rPr>
        <w:t> </w:t>
      </w:r>
      <w:r>
        <w:rPr/>
        <w:t>promote</w:t>
      </w:r>
      <w:r>
        <w:rPr>
          <w:spacing w:val="-25"/>
        </w:rPr>
        <w:t> </w:t>
      </w:r>
      <w:r>
        <w:rPr/>
        <w:t>signal</w:t>
      </w:r>
      <w:r>
        <w:rPr>
          <w:spacing w:val="-25"/>
        </w:rPr>
        <w:t> </w:t>
      </w:r>
      <w:r>
        <w:rPr/>
        <w:t>transmissions.</w:t>
      </w:r>
      <w:r>
        <w:rPr>
          <w:spacing w:val="-25"/>
        </w:rPr>
        <w:t> </w:t>
      </w:r>
      <w:r>
        <w:rPr/>
        <w:t>The</w:t>
      </w:r>
      <w:r>
        <w:rPr>
          <w:spacing w:val="-25"/>
        </w:rPr>
        <w:t> </w:t>
      </w:r>
      <w:r>
        <w:rPr/>
        <w:t>social</w:t>
      </w:r>
      <w:r>
        <w:rPr>
          <w:spacing w:val="-25"/>
        </w:rPr>
        <w:t> </w:t>
      </w:r>
      <w:r>
        <w:rPr/>
        <w:t>behaviour</w:t>
      </w:r>
      <w:r>
        <w:rPr>
          <w:spacing w:val="-24"/>
        </w:rPr>
        <w:t> </w:t>
      </w:r>
      <w:r>
        <w:rPr/>
        <w:t>of</w:t>
      </w:r>
      <w:r>
        <w:rPr>
          <w:spacing w:val="-23"/>
        </w:rPr>
        <w:t> </w:t>
      </w:r>
      <w:r>
        <w:rPr/>
        <w:t>the</w:t>
      </w:r>
      <w:r>
        <w:rPr>
          <w:spacing w:val="-23"/>
        </w:rPr>
        <w:t> </w:t>
      </w:r>
      <w:r>
        <w:rPr/>
        <w:t>children improved compared to others (for example, while playing), eye contact in- creased, reaction times decreased and reading ability significantly</w:t>
      </w:r>
      <w:r>
        <w:rPr>
          <w:spacing w:val="-20"/>
        </w:rPr>
        <w:t> </w:t>
      </w:r>
      <w:r>
        <w:rPr/>
        <w:t>improved.</w:t>
      </w:r>
    </w:p>
    <w:p>
      <w:pPr>
        <w:pStyle w:val="Heading1"/>
        <w:spacing w:line="261" w:lineRule="auto" w:before="223"/>
        <w:ind w:right="130"/>
      </w:pPr>
      <w:r>
        <w:rPr/>
        <w:t>L-carnosine</w:t>
      </w:r>
      <w:r>
        <w:rPr>
          <w:spacing w:val="-40"/>
        </w:rPr>
        <w:t> </w:t>
      </w:r>
      <w:r>
        <w:rPr/>
        <w:t>can</w:t>
      </w:r>
      <w:r>
        <w:rPr>
          <w:spacing w:val="-40"/>
        </w:rPr>
        <w:t> </w:t>
      </w:r>
      <w:r>
        <w:rPr/>
        <w:t>provide</w:t>
      </w:r>
      <w:r>
        <w:rPr>
          <w:spacing w:val="-39"/>
        </w:rPr>
        <w:t> </w:t>
      </w:r>
      <w:r>
        <w:rPr/>
        <w:t>protection</w:t>
      </w:r>
      <w:r>
        <w:rPr>
          <w:spacing w:val="-38"/>
        </w:rPr>
        <w:t> </w:t>
      </w:r>
      <w:r>
        <w:rPr/>
        <w:t>against</w:t>
      </w:r>
      <w:r>
        <w:rPr>
          <w:spacing w:val="-39"/>
        </w:rPr>
        <w:t> </w:t>
      </w:r>
      <w:r>
        <w:rPr/>
        <w:t>neurological</w:t>
      </w:r>
      <w:r>
        <w:rPr>
          <w:spacing w:val="-40"/>
        </w:rPr>
        <w:t> </w:t>
      </w:r>
      <w:r>
        <w:rPr/>
        <w:t>and</w:t>
      </w:r>
      <w:r>
        <w:rPr>
          <w:spacing w:val="-40"/>
        </w:rPr>
        <w:t> </w:t>
      </w:r>
      <w:r>
        <w:rPr/>
        <w:t>cognitive disorders such as</w:t>
      </w:r>
      <w:r>
        <w:rPr>
          <w:spacing w:val="-24"/>
        </w:rPr>
        <w:t> </w:t>
      </w:r>
      <w:r>
        <w:rPr/>
        <w:t>Parkinson’s</w:t>
      </w:r>
    </w:p>
    <w:p>
      <w:pPr>
        <w:pStyle w:val="BodyText"/>
        <w:rPr>
          <w:b/>
          <w:i/>
          <w:sz w:val="20"/>
        </w:rPr>
      </w:pPr>
    </w:p>
    <w:p>
      <w:pPr>
        <w:pStyle w:val="BodyText"/>
        <w:rPr>
          <w:b/>
          <w:i/>
          <w:sz w:val="20"/>
        </w:rPr>
      </w:pPr>
    </w:p>
    <w:p>
      <w:pPr>
        <w:pStyle w:val="BodyText"/>
        <w:spacing w:before="6"/>
        <w:rPr>
          <w:b/>
          <w:i/>
          <w:sz w:val="17"/>
        </w:rPr>
      </w:pPr>
      <w:r>
        <w:rPr/>
        <w:pict>
          <v:line style="position:absolute;mso-position-horizontal-relative:page;mso-position-vertical-relative:paragraph;z-index:6488;mso-wrap-distance-left:0;mso-wrap-distance-right:0" from="63.863998pt,12.230015pt" to="207.883998pt,12.230015pt" stroked="true" strokeweight=".71997pt" strokecolor="#000000">
            <v:stroke dashstyle="solid"/>
            <w10:wrap type="topAndBottom"/>
          </v:line>
        </w:pict>
      </w:r>
    </w:p>
    <w:p>
      <w:pPr>
        <w:pStyle w:val="BodyText"/>
        <w:spacing w:before="7"/>
        <w:rPr>
          <w:b/>
          <w:i/>
          <w:sz w:val="18"/>
        </w:rPr>
      </w:pPr>
    </w:p>
    <w:p>
      <w:pPr>
        <w:spacing w:before="99"/>
        <w:ind w:left="477" w:right="0" w:firstLine="0"/>
        <w:jc w:val="left"/>
        <w:rPr>
          <w:sz w:val="20"/>
        </w:rPr>
      </w:pPr>
      <w:r>
        <w:rPr>
          <w:position w:val="5"/>
          <w:sz w:val="13"/>
        </w:rPr>
        <w:t>510 </w:t>
      </w:r>
      <w:r>
        <w:rPr>
          <w:sz w:val="20"/>
        </w:rPr>
        <w:t>Stvolinsky et al. 2000 and Gallant et al. 2000</w:t>
      </w:r>
    </w:p>
    <w:p>
      <w:pPr>
        <w:spacing w:before="94"/>
        <w:ind w:left="477" w:right="0" w:firstLine="0"/>
        <w:jc w:val="left"/>
        <w:rPr>
          <w:sz w:val="20"/>
        </w:rPr>
      </w:pPr>
      <w:r>
        <w:rPr>
          <w:position w:val="5"/>
          <w:sz w:val="13"/>
        </w:rPr>
        <w:t>511 </w:t>
      </w:r>
      <w:r>
        <w:rPr>
          <w:sz w:val="20"/>
        </w:rPr>
        <w:t>Chez et al. 2002</w:t>
      </w:r>
    </w:p>
    <w:p>
      <w:pPr>
        <w:spacing w:after="0"/>
        <w:jc w:val="left"/>
        <w:rPr>
          <w:sz w:val="20"/>
        </w:rPr>
        <w:sectPr>
          <w:pgSz w:w="14270" w:h="16850"/>
          <w:pgMar w:header="0" w:footer="1891" w:top="1600" w:bottom="2080" w:left="800" w:right="1280"/>
        </w:sectPr>
      </w:pPr>
    </w:p>
    <w:p>
      <w:pPr>
        <w:pStyle w:val="BodyText"/>
        <w:spacing w:line="276" w:lineRule="auto" w:before="181"/>
        <w:ind w:left="477" w:right="129"/>
        <w:jc w:val="both"/>
        <w:rPr>
          <w:sz w:val="25"/>
        </w:rPr>
      </w:pPr>
      <w:r>
        <w:rPr/>
        <w:t>Studies have shown that L-carnosine can neutralise toxic free radicals in the brain and provide protection against conditions such as Parkinson's.</w:t>
      </w:r>
      <w:r>
        <w:rPr>
          <w:position w:val="9"/>
          <w:sz w:val="25"/>
        </w:rPr>
        <w:t>512 </w:t>
      </w:r>
      <w:r>
        <w:rPr/>
        <w:t>L-car- nosine</w:t>
      </w:r>
      <w:r>
        <w:rPr>
          <w:spacing w:val="-19"/>
        </w:rPr>
        <w:t> </w:t>
      </w:r>
      <w:r>
        <w:rPr/>
        <w:t>hinders</w:t>
      </w:r>
      <w:r>
        <w:rPr>
          <w:spacing w:val="-18"/>
        </w:rPr>
        <w:t> </w:t>
      </w:r>
      <w:r>
        <w:rPr/>
        <w:t>alpha-synuclein,</w:t>
      </w:r>
      <w:r>
        <w:rPr>
          <w:spacing w:val="-18"/>
        </w:rPr>
        <w:t> </w:t>
      </w:r>
      <w:r>
        <w:rPr/>
        <w:t>a</w:t>
      </w:r>
      <w:r>
        <w:rPr>
          <w:spacing w:val="-20"/>
        </w:rPr>
        <w:t> </w:t>
      </w:r>
      <w:r>
        <w:rPr/>
        <w:t>harmful</w:t>
      </w:r>
      <w:r>
        <w:rPr>
          <w:spacing w:val="-20"/>
        </w:rPr>
        <w:t> </w:t>
      </w:r>
      <w:r>
        <w:rPr/>
        <w:t>substance</w:t>
      </w:r>
      <w:r>
        <w:rPr>
          <w:spacing w:val="-18"/>
        </w:rPr>
        <w:t> </w:t>
      </w:r>
      <w:r>
        <w:rPr/>
        <w:t>that</w:t>
      </w:r>
      <w:r>
        <w:rPr>
          <w:spacing w:val="-20"/>
        </w:rPr>
        <w:t> </w:t>
      </w:r>
      <w:r>
        <w:rPr/>
        <w:t>makes</w:t>
      </w:r>
      <w:r>
        <w:rPr>
          <w:spacing w:val="-18"/>
        </w:rPr>
        <w:t> </w:t>
      </w:r>
      <w:r>
        <w:rPr/>
        <w:t>Parkinson's</w:t>
      </w:r>
      <w:r>
        <w:rPr>
          <w:spacing w:val="-19"/>
        </w:rPr>
        <w:t> </w:t>
      </w:r>
      <w:r>
        <w:rPr/>
        <w:t>dis- ease worse.</w:t>
      </w:r>
      <w:r>
        <w:rPr>
          <w:position w:val="9"/>
          <w:sz w:val="25"/>
        </w:rPr>
        <w:t>513</w:t>
      </w:r>
    </w:p>
    <w:p>
      <w:pPr>
        <w:pStyle w:val="Heading1"/>
        <w:spacing w:before="225"/>
      </w:pPr>
      <w:r>
        <w:rPr/>
        <w:t>L-carnosine counteracts epilepsy and schizophrenia in studies</w:t>
      </w:r>
    </w:p>
    <w:p>
      <w:pPr>
        <w:pStyle w:val="BodyText"/>
        <w:spacing w:line="276" w:lineRule="auto" w:before="297"/>
        <w:ind w:left="477" w:right="140"/>
        <w:jc w:val="both"/>
        <w:rPr>
          <w:sz w:val="25"/>
        </w:rPr>
      </w:pPr>
      <w:r>
        <w:rPr/>
        <w:t>Carbonylation and the effects of free radicals are the main causes of epilepsy and schizophrenia. In studies, L-carnosine has been shown to counteract oxi- dative stress and carbonylation in the brain.</w:t>
      </w:r>
      <w:r>
        <w:rPr>
          <w:position w:val="9"/>
          <w:sz w:val="25"/>
        </w:rPr>
        <w:t>514</w:t>
      </w:r>
    </w:p>
    <w:p>
      <w:pPr>
        <w:pStyle w:val="Heading1"/>
      </w:pPr>
      <w:r>
        <w:rPr/>
        <w:t>L-carnosine buffers lactic acid and increases muscle performance</w:t>
      </w:r>
    </w:p>
    <w:p>
      <w:pPr>
        <w:pStyle w:val="BodyText"/>
        <w:spacing w:line="276" w:lineRule="auto" w:before="299"/>
        <w:ind w:left="477" w:right="135"/>
        <w:jc w:val="both"/>
        <w:rPr>
          <w:sz w:val="25"/>
        </w:rPr>
      </w:pPr>
      <w:r>
        <w:rPr/>
        <w:t>In studies L-carnosine has been able to show that it can buffer lactate (lactic acid) and help prevent the premature abandonment of muscular anaerobic ac- tivity.</w:t>
      </w:r>
      <w:r>
        <w:rPr>
          <w:spacing w:val="-12"/>
        </w:rPr>
        <w:t> </w:t>
      </w:r>
      <w:r>
        <w:rPr/>
        <w:t>This</w:t>
      </w:r>
      <w:r>
        <w:rPr>
          <w:spacing w:val="-12"/>
        </w:rPr>
        <w:t> </w:t>
      </w:r>
      <w:r>
        <w:rPr/>
        <w:t>results</w:t>
      </w:r>
      <w:r>
        <w:rPr>
          <w:spacing w:val="-13"/>
        </w:rPr>
        <w:t> </w:t>
      </w:r>
      <w:r>
        <w:rPr/>
        <w:t>in</w:t>
      </w:r>
      <w:r>
        <w:rPr>
          <w:spacing w:val="-15"/>
        </w:rPr>
        <w:t> </w:t>
      </w:r>
      <w:r>
        <w:rPr/>
        <w:t>increased</w:t>
      </w:r>
      <w:r>
        <w:rPr>
          <w:spacing w:val="-14"/>
        </w:rPr>
        <w:t> </w:t>
      </w:r>
      <w:r>
        <w:rPr/>
        <w:t>performance</w:t>
      </w:r>
      <w:r>
        <w:rPr>
          <w:spacing w:val="-12"/>
        </w:rPr>
        <w:t> </w:t>
      </w:r>
      <w:r>
        <w:rPr/>
        <w:t>and</w:t>
      </w:r>
      <w:r>
        <w:rPr>
          <w:spacing w:val="-15"/>
        </w:rPr>
        <w:t> </w:t>
      </w:r>
      <w:r>
        <w:rPr/>
        <w:t>creates</w:t>
      </w:r>
      <w:r>
        <w:rPr>
          <w:spacing w:val="-12"/>
        </w:rPr>
        <w:t> </w:t>
      </w:r>
      <w:r>
        <w:rPr/>
        <w:t>the</w:t>
      </w:r>
      <w:r>
        <w:rPr>
          <w:spacing w:val="-14"/>
        </w:rPr>
        <w:t> </w:t>
      </w:r>
      <w:r>
        <w:rPr/>
        <w:t>possibility</w:t>
      </w:r>
      <w:r>
        <w:rPr>
          <w:spacing w:val="-13"/>
        </w:rPr>
        <w:t> </w:t>
      </w:r>
      <w:r>
        <w:rPr/>
        <w:t>for</w:t>
      </w:r>
      <w:r>
        <w:rPr>
          <w:spacing w:val="-11"/>
        </w:rPr>
        <w:t> </w:t>
      </w:r>
      <w:r>
        <w:rPr/>
        <w:t>more intense and more frequent training</w:t>
      </w:r>
      <w:r>
        <w:rPr>
          <w:spacing w:val="2"/>
        </w:rPr>
        <w:t> </w:t>
      </w:r>
      <w:r>
        <w:rPr/>
        <w:t>sessions.</w:t>
      </w:r>
      <w:r>
        <w:rPr>
          <w:position w:val="9"/>
          <w:sz w:val="25"/>
        </w:rPr>
        <w:t>515</w:t>
      </w:r>
    </w:p>
    <w:p>
      <w:pPr>
        <w:pStyle w:val="Heading1"/>
        <w:spacing w:before="222"/>
      </w:pPr>
      <w:r>
        <w:rPr/>
        <w:t>L-carnosine</w:t>
      </w:r>
      <w:r>
        <w:rPr>
          <w:spacing w:val="-73"/>
        </w:rPr>
        <w:t> </w:t>
      </w:r>
      <w:r>
        <w:rPr/>
        <w:t>rejuvenates</w:t>
      </w:r>
      <w:r>
        <w:rPr>
          <w:spacing w:val="-72"/>
        </w:rPr>
        <w:t> </w:t>
      </w:r>
      <w:r>
        <w:rPr/>
        <w:t>body</w:t>
      </w:r>
      <w:r>
        <w:rPr>
          <w:spacing w:val="-71"/>
        </w:rPr>
        <w:t> </w:t>
      </w:r>
      <w:r>
        <w:rPr/>
        <w:t>cells</w:t>
      </w:r>
      <w:r>
        <w:rPr>
          <w:spacing w:val="-72"/>
        </w:rPr>
        <w:t> </w:t>
      </w:r>
      <w:r>
        <w:rPr/>
        <w:t>in</w:t>
      </w:r>
      <w:r>
        <w:rPr>
          <w:spacing w:val="-73"/>
        </w:rPr>
        <w:t> </w:t>
      </w:r>
      <w:r>
        <w:rPr/>
        <w:t>studies</w:t>
      </w:r>
      <w:r>
        <w:rPr>
          <w:spacing w:val="-71"/>
        </w:rPr>
        <w:t> </w:t>
      </w:r>
      <w:r>
        <w:rPr/>
        <w:t>and</w:t>
      </w:r>
      <w:r>
        <w:rPr>
          <w:spacing w:val="-72"/>
        </w:rPr>
        <w:t> </w:t>
      </w:r>
      <w:r>
        <w:rPr/>
        <w:t>allows</w:t>
      </w:r>
      <w:r>
        <w:rPr>
          <w:spacing w:val="-72"/>
        </w:rPr>
        <w:t> </w:t>
      </w:r>
      <w:r>
        <w:rPr/>
        <w:t>further</w:t>
      </w:r>
      <w:r>
        <w:rPr>
          <w:spacing w:val="-72"/>
        </w:rPr>
        <w:t> </w:t>
      </w:r>
      <w:r>
        <w:rPr/>
        <w:t>divisions</w:t>
      </w:r>
    </w:p>
    <w:p>
      <w:pPr>
        <w:pStyle w:val="ListParagraph"/>
        <w:numPr>
          <w:ilvl w:val="0"/>
          <w:numId w:val="69"/>
        </w:numPr>
        <w:tabs>
          <w:tab w:pos="767" w:val="left" w:leader="none"/>
        </w:tabs>
        <w:spacing w:line="276" w:lineRule="auto" w:before="300" w:after="0"/>
        <w:ind w:left="477" w:right="141" w:firstLine="0"/>
        <w:jc w:val="both"/>
        <w:rPr>
          <w:sz w:val="25"/>
        </w:rPr>
      </w:pPr>
      <w:r>
        <w:rPr>
          <w:sz w:val="38"/>
        </w:rPr>
        <w:t>In the laboratory, L-carnosine has led to astonishing rejuvenation of older cells in</w:t>
      </w:r>
      <w:r>
        <w:rPr>
          <w:spacing w:val="1"/>
          <w:sz w:val="38"/>
        </w:rPr>
        <w:t> </w:t>
      </w:r>
      <w:r>
        <w:rPr>
          <w:sz w:val="38"/>
        </w:rPr>
        <w:t>studies.</w:t>
      </w:r>
      <w:r>
        <w:rPr>
          <w:position w:val="9"/>
          <w:sz w:val="25"/>
        </w:rPr>
        <w:t>516</w:t>
      </w:r>
    </w:p>
    <w:p>
      <w:pPr>
        <w:pStyle w:val="ListParagraph"/>
        <w:numPr>
          <w:ilvl w:val="0"/>
          <w:numId w:val="69"/>
        </w:numPr>
        <w:tabs>
          <w:tab w:pos="767" w:val="left" w:leader="none"/>
        </w:tabs>
        <w:spacing w:line="276" w:lineRule="auto" w:before="0" w:after="0"/>
        <w:ind w:left="477" w:right="135" w:firstLine="0"/>
        <w:jc w:val="both"/>
        <w:rPr>
          <w:sz w:val="38"/>
        </w:rPr>
      </w:pPr>
      <w:r>
        <w:rPr>
          <w:sz w:val="38"/>
        </w:rPr>
        <w:t>In another series of experiments, Australian researchers have shown that </w:t>
      </w:r>
      <w:r>
        <w:rPr>
          <w:spacing w:val="4"/>
          <w:sz w:val="38"/>
        </w:rPr>
        <w:t>L- </w:t>
      </w:r>
      <w:r>
        <w:rPr>
          <w:sz w:val="38"/>
        </w:rPr>
        <w:t>carnosine</w:t>
      </w:r>
      <w:r>
        <w:rPr>
          <w:spacing w:val="16"/>
          <w:sz w:val="38"/>
        </w:rPr>
        <w:t> </w:t>
      </w:r>
      <w:r>
        <w:rPr>
          <w:sz w:val="38"/>
        </w:rPr>
        <w:t>even</w:t>
      </w:r>
      <w:r>
        <w:rPr>
          <w:spacing w:val="13"/>
          <w:sz w:val="38"/>
        </w:rPr>
        <w:t> </w:t>
      </w:r>
      <w:r>
        <w:rPr>
          <w:sz w:val="38"/>
        </w:rPr>
        <w:t>gives</w:t>
      </w:r>
      <w:r>
        <w:rPr>
          <w:spacing w:val="16"/>
          <w:sz w:val="38"/>
        </w:rPr>
        <w:t> </w:t>
      </w:r>
      <w:r>
        <w:rPr>
          <w:sz w:val="38"/>
        </w:rPr>
        <w:t>cells</w:t>
      </w:r>
      <w:r>
        <w:rPr>
          <w:spacing w:val="17"/>
          <w:sz w:val="38"/>
        </w:rPr>
        <w:t> </w:t>
      </w:r>
      <w:r>
        <w:rPr>
          <w:sz w:val="38"/>
        </w:rPr>
        <w:t>on</w:t>
      </w:r>
      <w:r>
        <w:rPr>
          <w:spacing w:val="16"/>
          <w:sz w:val="38"/>
        </w:rPr>
        <w:t> </w:t>
      </w:r>
      <w:r>
        <w:rPr>
          <w:sz w:val="38"/>
        </w:rPr>
        <w:t>the</w:t>
      </w:r>
      <w:r>
        <w:rPr>
          <w:spacing w:val="16"/>
          <w:sz w:val="38"/>
        </w:rPr>
        <w:t> </w:t>
      </w:r>
      <w:r>
        <w:rPr>
          <w:sz w:val="38"/>
        </w:rPr>
        <w:t>verge</w:t>
      </w:r>
      <w:r>
        <w:rPr>
          <w:spacing w:val="17"/>
          <w:sz w:val="38"/>
        </w:rPr>
        <w:t> </w:t>
      </w:r>
      <w:r>
        <w:rPr>
          <w:sz w:val="38"/>
        </w:rPr>
        <w:t>of</w:t>
      </w:r>
      <w:r>
        <w:rPr>
          <w:spacing w:val="16"/>
          <w:sz w:val="38"/>
        </w:rPr>
        <w:t> </w:t>
      </w:r>
      <w:r>
        <w:rPr>
          <w:sz w:val="38"/>
        </w:rPr>
        <w:t>senescence</w:t>
      </w:r>
      <w:r>
        <w:rPr>
          <w:spacing w:val="16"/>
          <w:sz w:val="38"/>
        </w:rPr>
        <w:t> </w:t>
      </w:r>
      <w:r>
        <w:rPr>
          <w:sz w:val="38"/>
        </w:rPr>
        <w:t>(the</w:t>
      </w:r>
      <w:r>
        <w:rPr>
          <w:spacing w:val="17"/>
          <w:sz w:val="38"/>
        </w:rPr>
        <w:t> </w:t>
      </w:r>
      <w:r>
        <w:rPr>
          <w:sz w:val="38"/>
        </w:rPr>
        <w:t>end</w:t>
      </w:r>
      <w:r>
        <w:rPr>
          <w:spacing w:val="12"/>
          <w:sz w:val="38"/>
        </w:rPr>
        <w:t> </w:t>
      </w:r>
      <w:r>
        <w:rPr>
          <w:sz w:val="38"/>
        </w:rPr>
        <w:t>of</w:t>
      </w:r>
      <w:r>
        <w:rPr>
          <w:spacing w:val="16"/>
          <w:sz w:val="38"/>
        </w:rPr>
        <w:t> </w:t>
      </w:r>
      <w:r>
        <w:rPr>
          <w:sz w:val="38"/>
        </w:rPr>
        <w:t>cell</w:t>
      </w:r>
      <w:r>
        <w:rPr>
          <w:spacing w:val="16"/>
          <w:sz w:val="38"/>
        </w:rPr>
        <w:t> </w:t>
      </w:r>
      <w:r>
        <w:rPr>
          <w:sz w:val="38"/>
        </w:rPr>
        <w:t>division</w:t>
      </w:r>
    </w:p>
    <w:p>
      <w:pPr>
        <w:pStyle w:val="BodyText"/>
        <w:rPr>
          <w:sz w:val="20"/>
        </w:rPr>
      </w:pPr>
    </w:p>
    <w:p>
      <w:pPr>
        <w:pStyle w:val="BodyText"/>
        <w:rPr>
          <w:sz w:val="20"/>
        </w:rPr>
      </w:pPr>
    </w:p>
    <w:p>
      <w:pPr>
        <w:pStyle w:val="BodyText"/>
        <w:spacing w:before="1"/>
        <w:rPr>
          <w:sz w:val="14"/>
        </w:rPr>
      </w:pPr>
      <w:r>
        <w:rPr/>
        <w:pict>
          <v:line style="position:absolute;mso-position-horizontal-relative:page;mso-position-vertical-relative:paragraph;z-index:6512;mso-wrap-distance-left:0;mso-wrap-distance-right:0" from="63.863998pt,10.301265pt" to="207.883998pt,10.301265pt" stroked="true" strokeweight=".71997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512 </w:t>
      </w:r>
      <w:r>
        <w:rPr>
          <w:sz w:val="20"/>
        </w:rPr>
        <w:t>Kang et al. 2002</w:t>
      </w:r>
    </w:p>
    <w:p>
      <w:pPr>
        <w:spacing w:before="94"/>
        <w:ind w:left="477" w:right="0" w:firstLine="0"/>
        <w:jc w:val="left"/>
        <w:rPr>
          <w:sz w:val="20"/>
        </w:rPr>
      </w:pPr>
      <w:r>
        <w:rPr>
          <w:position w:val="5"/>
          <w:sz w:val="13"/>
        </w:rPr>
        <w:t>513 </w:t>
      </w:r>
      <w:r>
        <w:rPr>
          <w:sz w:val="20"/>
        </w:rPr>
        <w:t>Kim et al. 2002</w:t>
      </w:r>
    </w:p>
    <w:p>
      <w:pPr>
        <w:spacing w:before="95"/>
        <w:ind w:left="477" w:right="0" w:firstLine="0"/>
        <w:jc w:val="left"/>
        <w:rPr>
          <w:sz w:val="20"/>
        </w:rPr>
      </w:pPr>
      <w:r>
        <w:rPr>
          <w:position w:val="5"/>
          <w:sz w:val="13"/>
        </w:rPr>
        <w:t>514 </w:t>
      </w:r>
      <w:r>
        <w:rPr>
          <w:sz w:val="20"/>
        </w:rPr>
        <w:t>Petroff et al. 2000; 2001</w:t>
      </w:r>
    </w:p>
    <w:p>
      <w:pPr>
        <w:spacing w:before="94"/>
        <w:ind w:left="477" w:right="0" w:firstLine="0"/>
        <w:jc w:val="left"/>
        <w:rPr>
          <w:sz w:val="20"/>
        </w:rPr>
      </w:pPr>
      <w:r>
        <w:rPr/>
        <w:drawing>
          <wp:anchor distT="0" distB="0" distL="0" distR="0" allowOverlap="1" layoutInCell="1" locked="0" behindDoc="1" simplePos="0" relativeHeight="267174311">
            <wp:simplePos x="0" y="0"/>
            <wp:positionH relativeFrom="page">
              <wp:posOffset>896463</wp:posOffset>
            </wp:positionH>
            <wp:positionV relativeFrom="paragraph">
              <wp:posOffset>141962</wp:posOffset>
            </wp:positionV>
            <wp:extent cx="6379583" cy="902106"/>
            <wp:effectExtent l="0" t="0" r="0" b="0"/>
            <wp:wrapNone/>
            <wp:docPr id="331" name="image2.jpeg" descr=""/>
            <wp:cNvGraphicFramePr>
              <a:graphicFrameLocks noChangeAspect="1"/>
            </wp:cNvGraphicFramePr>
            <a:graphic>
              <a:graphicData uri="http://schemas.openxmlformats.org/drawingml/2006/picture">
                <pic:pic>
                  <pic:nvPicPr>
                    <pic:cNvPr id="332"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515 </w:t>
      </w:r>
      <w:r>
        <w:rPr>
          <w:sz w:val="20"/>
        </w:rPr>
        <w:t>S. E. Severin 1953</w:t>
      </w:r>
    </w:p>
    <w:p>
      <w:pPr>
        <w:spacing w:before="94"/>
        <w:ind w:left="477" w:right="0" w:firstLine="0"/>
        <w:jc w:val="left"/>
        <w:rPr>
          <w:sz w:val="20"/>
        </w:rPr>
      </w:pPr>
      <w:r>
        <w:rPr>
          <w:position w:val="5"/>
          <w:sz w:val="13"/>
        </w:rPr>
        <w:t>516 </w:t>
      </w:r>
      <w:r>
        <w:rPr>
          <w:sz w:val="20"/>
        </w:rPr>
        <w:t>Hipkiss 2002</w:t>
      </w:r>
    </w:p>
    <w:p>
      <w:pPr>
        <w:spacing w:after="0"/>
        <w:jc w:val="left"/>
        <w:rPr>
          <w:sz w:val="20"/>
        </w:rPr>
        <w:sectPr>
          <w:footerReference w:type="default" r:id="rId220"/>
          <w:pgSz w:w="14270" w:h="16850"/>
          <w:pgMar w:footer="527" w:header="0" w:top="1600" w:bottom="720" w:left="800" w:right="1280"/>
        </w:sectPr>
      </w:pPr>
    </w:p>
    <w:p>
      <w:pPr>
        <w:pStyle w:val="BodyText"/>
        <w:spacing w:line="276" w:lineRule="auto" w:before="181"/>
        <w:ind w:left="477" w:right="135"/>
        <w:jc w:val="both"/>
        <w:rPr>
          <w:sz w:val="25"/>
        </w:rPr>
      </w:pPr>
      <w:r>
        <w:rPr/>
        <w:t>ability)</w:t>
      </w:r>
      <w:r>
        <w:rPr>
          <w:spacing w:val="-17"/>
        </w:rPr>
        <w:t> </w:t>
      </w:r>
      <w:r>
        <w:rPr/>
        <w:t>the</w:t>
      </w:r>
      <w:r>
        <w:rPr>
          <w:spacing w:val="-14"/>
        </w:rPr>
        <w:t> </w:t>
      </w:r>
      <w:r>
        <w:rPr/>
        <w:t>ability</w:t>
      </w:r>
      <w:r>
        <w:rPr>
          <w:spacing w:val="-15"/>
        </w:rPr>
        <w:t> </w:t>
      </w:r>
      <w:r>
        <w:rPr/>
        <w:t>to</w:t>
      </w:r>
      <w:r>
        <w:rPr>
          <w:spacing w:val="-15"/>
        </w:rPr>
        <w:t> </w:t>
      </w:r>
      <w:r>
        <w:rPr/>
        <w:t>continue</w:t>
      </w:r>
      <w:r>
        <w:rPr>
          <w:spacing w:val="-16"/>
        </w:rPr>
        <w:t> </w:t>
      </w:r>
      <w:r>
        <w:rPr/>
        <w:t>dividing.</w:t>
      </w:r>
      <w:r>
        <w:rPr>
          <w:spacing w:val="-14"/>
        </w:rPr>
        <w:t> </w:t>
      </w:r>
      <w:r>
        <w:rPr/>
        <w:t>The</w:t>
      </w:r>
      <w:r>
        <w:rPr>
          <w:spacing w:val="-13"/>
        </w:rPr>
        <w:t> </w:t>
      </w:r>
      <w:r>
        <w:rPr/>
        <w:t>cells</w:t>
      </w:r>
      <w:r>
        <w:rPr>
          <w:spacing w:val="-15"/>
        </w:rPr>
        <w:t> </w:t>
      </w:r>
      <w:r>
        <w:rPr/>
        <w:t>regained</w:t>
      </w:r>
      <w:r>
        <w:rPr>
          <w:spacing w:val="-15"/>
        </w:rPr>
        <w:t> </w:t>
      </w:r>
      <w:r>
        <w:rPr/>
        <w:t>their</w:t>
      </w:r>
      <w:r>
        <w:rPr>
          <w:spacing w:val="-14"/>
        </w:rPr>
        <w:t> </w:t>
      </w:r>
      <w:r>
        <w:rPr/>
        <w:t>youthful</w:t>
      </w:r>
      <w:r>
        <w:rPr>
          <w:spacing w:val="-16"/>
        </w:rPr>
        <w:t> </w:t>
      </w:r>
      <w:r>
        <w:rPr/>
        <w:t>appear- ance.</w:t>
      </w:r>
      <w:r>
        <w:rPr>
          <w:position w:val="9"/>
          <w:sz w:val="25"/>
        </w:rPr>
        <w:t>517</w:t>
      </w:r>
    </w:p>
    <w:p>
      <w:pPr>
        <w:pStyle w:val="Heading1"/>
      </w:pPr>
      <w:r>
        <w:rPr/>
        <w:t>L-carnosine rejuvenates human cells in</w:t>
      </w:r>
      <w:r>
        <w:rPr>
          <w:spacing w:val="-68"/>
        </w:rPr>
        <w:t> </w:t>
      </w:r>
      <w:r>
        <w:rPr/>
        <w:t>studies</w:t>
      </w:r>
    </w:p>
    <w:p>
      <w:pPr>
        <w:pStyle w:val="BodyText"/>
        <w:spacing w:line="276" w:lineRule="auto" w:before="299"/>
        <w:ind w:left="477" w:right="135"/>
        <w:jc w:val="both"/>
      </w:pPr>
      <w:r>
        <w:rPr/>
        <w:t>The</w:t>
      </w:r>
      <w:r>
        <w:rPr>
          <w:spacing w:val="-9"/>
        </w:rPr>
        <w:t> </w:t>
      </w:r>
      <w:r>
        <w:rPr/>
        <w:t>research</w:t>
      </w:r>
      <w:r>
        <w:rPr>
          <w:spacing w:val="-11"/>
        </w:rPr>
        <w:t> </w:t>
      </w:r>
      <w:r>
        <w:rPr/>
        <w:t>team</w:t>
      </w:r>
      <w:r>
        <w:rPr>
          <w:spacing w:val="-10"/>
        </w:rPr>
        <w:t> </w:t>
      </w:r>
      <w:r>
        <w:rPr/>
        <w:t>around</w:t>
      </w:r>
      <w:r>
        <w:rPr>
          <w:spacing w:val="-9"/>
        </w:rPr>
        <w:t> </w:t>
      </w:r>
      <w:r>
        <w:rPr/>
        <w:t>Prof.</w:t>
      </w:r>
      <w:r>
        <w:rPr>
          <w:spacing w:val="-14"/>
        </w:rPr>
        <w:t> </w:t>
      </w:r>
      <w:r>
        <w:rPr/>
        <w:t>Hipkiss</w:t>
      </w:r>
      <w:r>
        <w:rPr>
          <w:spacing w:val="-9"/>
        </w:rPr>
        <w:t> </w:t>
      </w:r>
      <w:r>
        <w:rPr/>
        <w:t>was</w:t>
      </w:r>
      <w:r>
        <w:rPr>
          <w:spacing w:val="-9"/>
        </w:rPr>
        <w:t> </w:t>
      </w:r>
      <w:r>
        <w:rPr/>
        <w:t>able</w:t>
      </w:r>
      <w:r>
        <w:rPr>
          <w:spacing w:val="-9"/>
        </w:rPr>
        <w:t> </w:t>
      </w:r>
      <w:r>
        <w:rPr/>
        <w:t>to</w:t>
      </w:r>
      <w:r>
        <w:rPr>
          <w:spacing w:val="-9"/>
        </w:rPr>
        <w:t> </w:t>
      </w:r>
      <w:r>
        <w:rPr/>
        <w:t>confirm</w:t>
      </w:r>
      <w:r>
        <w:rPr>
          <w:spacing w:val="-9"/>
        </w:rPr>
        <w:t> </w:t>
      </w:r>
      <w:r>
        <w:rPr/>
        <w:t>impressive</w:t>
      </w:r>
      <w:r>
        <w:rPr>
          <w:spacing w:val="-10"/>
        </w:rPr>
        <w:t> </w:t>
      </w:r>
      <w:r>
        <w:rPr/>
        <w:t>studies that</w:t>
      </w:r>
      <w:r>
        <w:rPr>
          <w:spacing w:val="-25"/>
        </w:rPr>
        <w:t> </w:t>
      </w:r>
      <w:r>
        <w:rPr/>
        <w:t>showed</w:t>
      </w:r>
      <w:r>
        <w:rPr>
          <w:spacing w:val="-25"/>
        </w:rPr>
        <w:t> </w:t>
      </w:r>
      <w:r>
        <w:rPr/>
        <w:t>L-carnosine</w:t>
      </w:r>
      <w:r>
        <w:rPr>
          <w:spacing w:val="-24"/>
        </w:rPr>
        <w:t> </w:t>
      </w:r>
      <w:r>
        <w:rPr/>
        <w:t>is</w:t>
      </w:r>
      <w:r>
        <w:rPr>
          <w:spacing w:val="-27"/>
        </w:rPr>
        <w:t> </w:t>
      </w:r>
      <w:r>
        <w:rPr/>
        <w:t>able</w:t>
      </w:r>
      <w:r>
        <w:rPr>
          <w:spacing w:val="-25"/>
        </w:rPr>
        <w:t> </w:t>
      </w:r>
      <w:r>
        <w:rPr/>
        <w:t>to</w:t>
      </w:r>
      <w:r>
        <w:rPr>
          <w:spacing w:val="-24"/>
        </w:rPr>
        <w:t> </w:t>
      </w:r>
      <w:r>
        <w:rPr/>
        <w:t>rejuvenate</w:t>
      </w:r>
      <w:r>
        <w:rPr>
          <w:spacing w:val="-24"/>
        </w:rPr>
        <w:t> </w:t>
      </w:r>
      <w:r>
        <w:rPr/>
        <w:t>human</w:t>
      </w:r>
      <w:r>
        <w:rPr>
          <w:spacing w:val="-24"/>
        </w:rPr>
        <w:t> </w:t>
      </w:r>
      <w:r>
        <w:rPr/>
        <w:t>fibroblast</w:t>
      </w:r>
      <w:r>
        <w:rPr>
          <w:spacing w:val="-26"/>
        </w:rPr>
        <w:t> </w:t>
      </w:r>
      <w:r>
        <w:rPr/>
        <w:t>cells</w:t>
      </w:r>
      <w:r>
        <w:rPr>
          <w:spacing w:val="-24"/>
        </w:rPr>
        <w:t> </w:t>
      </w:r>
      <w:r>
        <w:rPr/>
        <w:t>(connective tissue</w:t>
      </w:r>
      <w:r>
        <w:rPr>
          <w:spacing w:val="-1"/>
        </w:rPr>
        <w:t> </w:t>
      </w:r>
      <w:r>
        <w:rPr/>
        <w:t>cells).</w:t>
      </w:r>
    </w:p>
    <w:p>
      <w:pPr>
        <w:pStyle w:val="Heading1"/>
        <w:spacing w:before="222"/>
      </w:pPr>
      <w:r>
        <w:rPr/>
        <w:t>The protection of L-carnosine against</w:t>
      </w:r>
      <w:r>
        <w:rPr>
          <w:spacing w:val="-65"/>
        </w:rPr>
        <w:t> </w:t>
      </w:r>
      <w:r>
        <w:rPr/>
        <w:t>glycation</w:t>
      </w:r>
    </w:p>
    <w:p>
      <w:pPr>
        <w:pStyle w:val="BodyText"/>
        <w:spacing w:line="276" w:lineRule="auto" w:before="299"/>
        <w:ind w:left="477" w:right="134"/>
        <w:jc w:val="both"/>
        <w:rPr>
          <w:sz w:val="25"/>
        </w:rPr>
      </w:pPr>
      <w:r>
        <w:rPr/>
        <w:t>Glycation is synonymous with a crucial ageing process that manifests itself in the saccharification of organs and blood vessels. Several studies have shown that L-carnosine counteracts glycation very successfully.</w:t>
      </w:r>
      <w:r>
        <w:rPr>
          <w:position w:val="9"/>
          <w:sz w:val="25"/>
        </w:rPr>
        <w:t>518</w:t>
      </w:r>
    </w:p>
    <w:p>
      <w:pPr>
        <w:pStyle w:val="Heading1"/>
      </w:pPr>
      <w:r>
        <w:rPr/>
        <w:t>L-carnosine rejuvenates body cells, protects DNA and prolongs life</w:t>
      </w:r>
    </w:p>
    <w:p>
      <w:pPr>
        <w:pStyle w:val="BodyText"/>
        <w:spacing w:line="276" w:lineRule="auto" w:before="298"/>
        <w:ind w:left="477" w:right="132"/>
        <w:jc w:val="both"/>
        <w:rPr>
          <w:sz w:val="25"/>
        </w:rPr>
      </w:pPr>
      <w:r>
        <w:rPr/>
        <w:t>In</w:t>
      </w:r>
      <w:r>
        <w:rPr>
          <w:spacing w:val="-9"/>
        </w:rPr>
        <w:t> </w:t>
      </w:r>
      <w:r>
        <w:rPr/>
        <w:t>several</w:t>
      </w:r>
      <w:r>
        <w:rPr>
          <w:spacing w:val="-12"/>
        </w:rPr>
        <w:t> </w:t>
      </w:r>
      <w:r>
        <w:rPr/>
        <w:t>studies,</w:t>
      </w:r>
      <w:r>
        <w:rPr>
          <w:spacing w:val="-11"/>
        </w:rPr>
        <w:t> </w:t>
      </w:r>
      <w:r>
        <w:rPr/>
        <w:t>L-carnosine</w:t>
      </w:r>
      <w:r>
        <w:rPr>
          <w:spacing w:val="-10"/>
        </w:rPr>
        <w:t> </w:t>
      </w:r>
      <w:r>
        <w:rPr/>
        <w:t>has</w:t>
      </w:r>
      <w:r>
        <w:rPr>
          <w:spacing w:val="-7"/>
        </w:rPr>
        <w:t> </w:t>
      </w:r>
      <w:r>
        <w:rPr/>
        <w:t>been</w:t>
      </w:r>
      <w:r>
        <w:rPr>
          <w:spacing w:val="-11"/>
        </w:rPr>
        <w:t> </w:t>
      </w:r>
      <w:r>
        <w:rPr/>
        <w:t>shown</w:t>
      </w:r>
      <w:r>
        <w:rPr>
          <w:spacing w:val="-11"/>
        </w:rPr>
        <w:t> </w:t>
      </w:r>
      <w:r>
        <w:rPr/>
        <w:t>to</w:t>
      </w:r>
      <w:r>
        <w:rPr>
          <w:spacing w:val="-8"/>
        </w:rPr>
        <w:t> </w:t>
      </w:r>
      <w:r>
        <w:rPr/>
        <w:t>extend</w:t>
      </w:r>
      <w:r>
        <w:rPr>
          <w:spacing w:val="-11"/>
        </w:rPr>
        <w:t> </w:t>
      </w:r>
      <w:r>
        <w:rPr/>
        <w:t>life</w:t>
      </w:r>
      <w:r>
        <w:rPr>
          <w:spacing w:val="-10"/>
        </w:rPr>
        <w:t> </w:t>
      </w:r>
      <w:r>
        <w:rPr/>
        <w:t>by</w:t>
      </w:r>
      <w:r>
        <w:rPr>
          <w:spacing w:val="-13"/>
        </w:rPr>
        <w:t> </w:t>
      </w:r>
      <w:r>
        <w:rPr/>
        <w:t>prolonging</w:t>
      </w:r>
      <w:r>
        <w:rPr>
          <w:spacing w:val="-11"/>
        </w:rPr>
        <w:t> </w:t>
      </w:r>
      <w:r>
        <w:rPr/>
        <w:t>cell life and protecting our DNA and proteins and</w:t>
      </w:r>
      <w:r>
        <w:rPr>
          <w:spacing w:val="-1"/>
        </w:rPr>
        <w:t> </w:t>
      </w:r>
      <w:r>
        <w:rPr/>
        <w:t>lipids.</w:t>
      </w:r>
      <w:r>
        <w:rPr>
          <w:position w:val="9"/>
          <w:sz w:val="25"/>
        </w:rPr>
        <w:t>519</w:t>
      </w:r>
    </w:p>
    <w:p>
      <w:pPr>
        <w:pStyle w:val="Heading1"/>
        <w:spacing w:line="261" w:lineRule="auto" w:before="223"/>
        <w:ind w:right="146"/>
        <w:jc w:val="both"/>
      </w:pPr>
      <w:r>
        <w:rPr>
          <w:w w:val="95"/>
        </w:rPr>
        <w:t>The</w:t>
      </w:r>
      <w:r>
        <w:rPr>
          <w:spacing w:val="-27"/>
          <w:w w:val="95"/>
        </w:rPr>
        <w:t> </w:t>
      </w:r>
      <w:r>
        <w:rPr>
          <w:w w:val="95"/>
        </w:rPr>
        <w:t>L-carnosine</w:t>
      </w:r>
      <w:r>
        <w:rPr>
          <w:spacing w:val="-28"/>
          <w:w w:val="95"/>
        </w:rPr>
        <w:t> </w:t>
      </w:r>
      <w:r>
        <w:rPr>
          <w:w w:val="95"/>
        </w:rPr>
        <w:t>density</w:t>
      </w:r>
      <w:r>
        <w:rPr>
          <w:spacing w:val="-29"/>
          <w:w w:val="95"/>
        </w:rPr>
        <w:t> </w:t>
      </w:r>
      <w:r>
        <w:rPr>
          <w:w w:val="95"/>
        </w:rPr>
        <w:t>in</w:t>
      </w:r>
      <w:r>
        <w:rPr>
          <w:spacing w:val="-27"/>
          <w:w w:val="95"/>
        </w:rPr>
        <w:t> </w:t>
      </w:r>
      <w:r>
        <w:rPr>
          <w:w w:val="95"/>
        </w:rPr>
        <w:t>muscle</w:t>
      </w:r>
      <w:r>
        <w:rPr>
          <w:spacing w:val="-29"/>
          <w:w w:val="95"/>
        </w:rPr>
        <w:t> </w:t>
      </w:r>
      <w:r>
        <w:rPr>
          <w:w w:val="95"/>
        </w:rPr>
        <w:t>tissue</w:t>
      </w:r>
      <w:r>
        <w:rPr>
          <w:spacing w:val="-26"/>
          <w:w w:val="95"/>
        </w:rPr>
        <w:t> </w:t>
      </w:r>
      <w:r>
        <w:rPr>
          <w:w w:val="95"/>
        </w:rPr>
        <w:t>is</w:t>
      </w:r>
      <w:r>
        <w:rPr>
          <w:spacing w:val="-28"/>
          <w:w w:val="95"/>
        </w:rPr>
        <w:t> </w:t>
      </w:r>
      <w:r>
        <w:rPr>
          <w:w w:val="95"/>
        </w:rPr>
        <w:t>proportional</w:t>
      </w:r>
      <w:r>
        <w:rPr>
          <w:spacing w:val="-24"/>
          <w:w w:val="95"/>
        </w:rPr>
        <w:t> </w:t>
      </w:r>
      <w:r>
        <w:rPr>
          <w:w w:val="95"/>
        </w:rPr>
        <w:t>to</w:t>
      </w:r>
      <w:r>
        <w:rPr>
          <w:spacing w:val="-28"/>
          <w:w w:val="95"/>
        </w:rPr>
        <w:t> </w:t>
      </w:r>
      <w:r>
        <w:rPr>
          <w:w w:val="95"/>
        </w:rPr>
        <w:t>the</w:t>
      </w:r>
      <w:r>
        <w:rPr>
          <w:spacing w:val="-28"/>
          <w:w w:val="95"/>
        </w:rPr>
        <w:t> </w:t>
      </w:r>
      <w:r>
        <w:rPr>
          <w:w w:val="95"/>
        </w:rPr>
        <w:t>maximum </w:t>
      </w:r>
      <w:r>
        <w:rPr/>
        <w:t>lifespan</w:t>
      </w:r>
    </w:p>
    <w:p>
      <w:pPr>
        <w:pStyle w:val="BodyText"/>
        <w:spacing w:line="276" w:lineRule="auto" w:before="260"/>
        <w:ind w:left="477" w:right="132"/>
        <w:jc w:val="both"/>
        <w:rPr>
          <w:sz w:val="25"/>
        </w:rPr>
      </w:pPr>
      <w:r>
        <w:rPr/>
        <w:t>In animal experiments, researchers demonstrated a clear relation of carnosine levels to lifetimes.</w:t>
      </w:r>
      <w:r>
        <w:rPr>
          <w:position w:val="9"/>
          <w:sz w:val="25"/>
        </w:rPr>
        <w:t>520</w:t>
      </w:r>
    </w:p>
    <w:p>
      <w:pPr>
        <w:pStyle w:val="Heading1"/>
        <w:jc w:val="both"/>
      </w:pPr>
      <w:r>
        <w:rPr/>
        <w:t>Acceleration</w:t>
      </w:r>
      <w:r>
        <w:rPr>
          <w:spacing w:val="-33"/>
        </w:rPr>
        <w:t> </w:t>
      </w:r>
      <w:r>
        <w:rPr/>
        <w:t>of</w:t>
      </w:r>
      <w:r>
        <w:rPr>
          <w:spacing w:val="-31"/>
        </w:rPr>
        <w:t> </w:t>
      </w:r>
      <w:r>
        <w:rPr/>
        <w:t>collagen</w:t>
      </w:r>
      <w:r>
        <w:rPr>
          <w:spacing w:val="-33"/>
        </w:rPr>
        <w:t> </w:t>
      </w:r>
      <w:r>
        <w:rPr/>
        <w:t>synthesis</w:t>
      </w:r>
      <w:r>
        <w:rPr>
          <w:spacing w:val="-32"/>
        </w:rPr>
        <w:t> </w:t>
      </w:r>
      <w:r>
        <w:rPr/>
        <w:t>with</w:t>
      </w:r>
      <w:r>
        <w:rPr>
          <w:spacing w:val="-33"/>
        </w:rPr>
        <w:t> </w:t>
      </w:r>
      <w:r>
        <w:rPr/>
        <w:t>L-carnosine</w:t>
      </w:r>
      <w:r>
        <w:rPr>
          <w:spacing w:val="-32"/>
        </w:rPr>
        <w:t> </w:t>
      </w:r>
      <w:r>
        <w:rPr/>
        <w:t>has</w:t>
      </w:r>
      <w:r>
        <w:rPr>
          <w:spacing w:val="-33"/>
        </w:rPr>
        <w:t> </w:t>
      </w:r>
      <w:r>
        <w:rPr/>
        <w:t>been</w:t>
      </w:r>
      <w:r>
        <w:rPr>
          <w:spacing w:val="-32"/>
        </w:rPr>
        <w:t> </w:t>
      </w:r>
      <w:r>
        <w:rPr/>
        <w:t>shown</w:t>
      </w:r>
      <w:r>
        <w:rPr>
          <w:spacing w:val="-33"/>
        </w:rPr>
        <w:t> </w:t>
      </w:r>
      <w:r>
        <w:rPr/>
        <w:t>in</w:t>
      </w:r>
    </w:p>
    <w:p>
      <w:pPr>
        <w:pStyle w:val="BodyText"/>
        <w:spacing w:before="7"/>
        <w:rPr>
          <w:b/>
          <w:i/>
          <w:sz w:val="23"/>
        </w:rPr>
      </w:pPr>
      <w:r>
        <w:rPr/>
        <w:pict>
          <v:line style="position:absolute;mso-position-horizontal-relative:page;mso-position-vertical-relative:paragraph;z-index:6560;mso-wrap-distance-left:0;mso-wrap-distance-right:0" from="63.863998pt,15.655015pt" to="207.883998pt,15.655015pt" stroked="true" strokeweight=".71997pt" strokecolor="#000000">
            <v:stroke dashstyle="solid"/>
            <w10:wrap type="topAndBottom"/>
          </v:line>
        </w:pict>
      </w:r>
    </w:p>
    <w:p>
      <w:pPr>
        <w:pStyle w:val="BodyText"/>
        <w:spacing w:before="7"/>
        <w:rPr>
          <w:b/>
          <w:i/>
          <w:sz w:val="18"/>
        </w:rPr>
      </w:pPr>
    </w:p>
    <w:p>
      <w:pPr>
        <w:spacing w:before="99"/>
        <w:ind w:left="477" w:right="0" w:firstLine="0"/>
        <w:jc w:val="left"/>
        <w:rPr>
          <w:sz w:val="20"/>
        </w:rPr>
      </w:pPr>
      <w:r>
        <w:rPr>
          <w:position w:val="5"/>
          <w:sz w:val="13"/>
        </w:rPr>
        <w:t>517 </w:t>
      </w:r>
      <w:r>
        <w:rPr>
          <w:sz w:val="20"/>
        </w:rPr>
        <w:t>McFarland</w:t>
      </w:r>
    </w:p>
    <w:p>
      <w:pPr>
        <w:spacing w:before="94"/>
        <w:ind w:left="477" w:right="0" w:firstLine="0"/>
        <w:jc w:val="left"/>
        <w:rPr>
          <w:sz w:val="20"/>
        </w:rPr>
      </w:pPr>
      <w:r>
        <w:rPr>
          <w:position w:val="5"/>
          <w:sz w:val="13"/>
        </w:rPr>
        <w:t>518 </w:t>
      </w:r>
      <w:r>
        <w:rPr>
          <w:sz w:val="20"/>
        </w:rPr>
        <w:t>Aldini et al. 2002</w:t>
      </w:r>
    </w:p>
    <w:p>
      <w:pPr>
        <w:spacing w:before="95"/>
        <w:ind w:left="477" w:right="0" w:firstLine="0"/>
        <w:jc w:val="left"/>
        <w:rPr>
          <w:sz w:val="20"/>
        </w:rPr>
      </w:pPr>
      <w:r>
        <w:rPr/>
        <w:drawing>
          <wp:anchor distT="0" distB="0" distL="0" distR="0" allowOverlap="1" layoutInCell="1" locked="0" behindDoc="1" simplePos="0" relativeHeight="267174359">
            <wp:simplePos x="0" y="0"/>
            <wp:positionH relativeFrom="page">
              <wp:posOffset>896463</wp:posOffset>
            </wp:positionH>
            <wp:positionV relativeFrom="paragraph">
              <wp:posOffset>142597</wp:posOffset>
            </wp:positionV>
            <wp:extent cx="6379583" cy="902106"/>
            <wp:effectExtent l="0" t="0" r="0" b="0"/>
            <wp:wrapNone/>
            <wp:docPr id="333" name="image2.jpeg" descr=""/>
            <wp:cNvGraphicFramePr>
              <a:graphicFrameLocks noChangeAspect="1"/>
            </wp:cNvGraphicFramePr>
            <a:graphic>
              <a:graphicData uri="http://schemas.openxmlformats.org/drawingml/2006/picture">
                <pic:pic>
                  <pic:nvPicPr>
                    <pic:cNvPr id="334"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519 </w:t>
      </w:r>
      <w:r>
        <w:rPr>
          <w:sz w:val="20"/>
        </w:rPr>
        <w:t>Burcham, 2002</w:t>
      </w:r>
    </w:p>
    <w:p>
      <w:pPr>
        <w:spacing w:before="94"/>
        <w:ind w:left="477" w:right="0" w:firstLine="0"/>
        <w:jc w:val="left"/>
        <w:rPr>
          <w:sz w:val="20"/>
        </w:rPr>
      </w:pPr>
      <w:r>
        <w:rPr>
          <w:position w:val="5"/>
          <w:sz w:val="13"/>
        </w:rPr>
        <w:t>520 </w:t>
      </w:r>
      <w:r>
        <w:rPr>
          <w:sz w:val="20"/>
        </w:rPr>
        <w:t>Hipkiss AR et al. 1995</w:t>
      </w:r>
    </w:p>
    <w:p>
      <w:pPr>
        <w:spacing w:after="0"/>
        <w:jc w:val="left"/>
        <w:rPr>
          <w:sz w:val="20"/>
        </w:rPr>
        <w:sectPr>
          <w:footerReference w:type="default" r:id="rId221"/>
          <w:pgSz w:w="14270" w:h="16850"/>
          <w:pgMar w:footer="527" w:header="0" w:top="1600" w:bottom="720" w:left="800" w:right="1280"/>
          <w:pgNumType w:start="94"/>
        </w:sectPr>
      </w:pPr>
    </w:p>
    <w:p>
      <w:pPr>
        <w:pStyle w:val="Heading1"/>
        <w:spacing w:before="164"/>
      </w:pPr>
      <w:r>
        <w:rPr/>
        <w:t>studies</w:t>
      </w:r>
    </w:p>
    <w:p>
      <w:pPr>
        <w:pStyle w:val="BodyText"/>
        <w:spacing w:line="276" w:lineRule="auto" w:before="299"/>
        <w:ind w:left="477"/>
        <w:rPr>
          <w:sz w:val="25"/>
        </w:rPr>
      </w:pPr>
      <w:r>
        <w:rPr/>
        <w:t>According to a study from Brazil, collagen synthesis was accelerated by the ad- dition of carnosine.</w:t>
      </w:r>
      <w:r>
        <w:rPr>
          <w:position w:val="9"/>
          <w:sz w:val="25"/>
        </w:rPr>
        <w:t>521</w:t>
      </w:r>
    </w:p>
    <w:p>
      <w:pPr>
        <w:pStyle w:val="Heading1"/>
      </w:pPr>
      <w:r>
        <w:rPr/>
        <w:t>Carnosine extends life in animal experiments by 20 %</w:t>
      </w:r>
    </w:p>
    <w:p>
      <w:pPr>
        <w:pStyle w:val="BodyText"/>
        <w:spacing w:line="276" w:lineRule="auto" w:before="299"/>
        <w:ind w:left="477" w:right="132"/>
        <w:jc w:val="both"/>
      </w:pPr>
      <w:r>
        <w:rPr/>
        <w:t>In</w:t>
      </w:r>
      <w:r>
        <w:rPr>
          <w:spacing w:val="-11"/>
        </w:rPr>
        <w:t> </w:t>
      </w:r>
      <w:r>
        <w:rPr/>
        <w:t>one</w:t>
      </w:r>
      <w:r>
        <w:rPr>
          <w:spacing w:val="-14"/>
        </w:rPr>
        <w:t> </w:t>
      </w:r>
      <w:r>
        <w:rPr/>
        <w:t>study,</w:t>
      </w:r>
      <w:r>
        <w:rPr>
          <w:spacing w:val="-10"/>
        </w:rPr>
        <w:t> </w:t>
      </w:r>
      <w:r>
        <w:rPr/>
        <w:t>mice</w:t>
      </w:r>
      <w:r>
        <w:rPr>
          <w:spacing w:val="-12"/>
        </w:rPr>
        <w:t> </w:t>
      </w:r>
      <w:r>
        <w:rPr/>
        <w:t>fed</w:t>
      </w:r>
      <w:r>
        <w:rPr>
          <w:spacing w:val="-11"/>
        </w:rPr>
        <w:t> </w:t>
      </w:r>
      <w:r>
        <w:rPr/>
        <w:t>with</w:t>
      </w:r>
      <w:r>
        <w:rPr>
          <w:spacing w:val="-11"/>
        </w:rPr>
        <w:t> </w:t>
      </w:r>
      <w:r>
        <w:rPr/>
        <w:t>additional</w:t>
      </w:r>
      <w:r>
        <w:rPr>
          <w:spacing w:val="-12"/>
        </w:rPr>
        <w:t> </w:t>
      </w:r>
      <w:r>
        <w:rPr/>
        <w:t>L-carnosine</w:t>
      </w:r>
      <w:r>
        <w:rPr>
          <w:spacing w:val="-11"/>
        </w:rPr>
        <w:t> </w:t>
      </w:r>
      <w:r>
        <w:rPr/>
        <w:t>from</w:t>
      </w:r>
      <w:r>
        <w:rPr>
          <w:spacing w:val="-11"/>
        </w:rPr>
        <w:t> </w:t>
      </w:r>
      <w:r>
        <w:rPr/>
        <w:t>10</w:t>
      </w:r>
      <w:r>
        <w:rPr>
          <w:spacing w:val="-12"/>
        </w:rPr>
        <w:t> </w:t>
      </w:r>
      <w:r>
        <w:rPr/>
        <w:t>months</w:t>
      </w:r>
      <w:r>
        <w:rPr>
          <w:spacing w:val="-10"/>
        </w:rPr>
        <w:t> </w:t>
      </w:r>
      <w:r>
        <w:rPr/>
        <w:t>of</w:t>
      </w:r>
      <w:r>
        <w:rPr>
          <w:spacing w:val="-11"/>
        </w:rPr>
        <w:t> </w:t>
      </w:r>
      <w:r>
        <w:rPr/>
        <w:t>age</w:t>
      </w:r>
      <w:r>
        <w:rPr>
          <w:spacing w:val="-13"/>
        </w:rPr>
        <w:t> </w:t>
      </w:r>
      <w:r>
        <w:rPr/>
        <w:t>were able</w:t>
      </w:r>
      <w:r>
        <w:rPr>
          <w:spacing w:val="-12"/>
        </w:rPr>
        <w:t> </w:t>
      </w:r>
      <w:r>
        <w:rPr/>
        <w:t>to</w:t>
      </w:r>
      <w:r>
        <w:rPr>
          <w:spacing w:val="-11"/>
        </w:rPr>
        <w:t> </w:t>
      </w:r>
      <w:r>
        <w:rPr/>
        <w:t>increase</w:t>
      </w:r>
      <w:r>
        <w:rPr>
          <w:spacing w:val="-11"/>
        </w:rPr>
        <w:t> </w:t>
      </w:r>
      <w:r>
        <w:rPr/>
        <w:t>their</w:t>
      </w:r>
      <w:r>
        <w:rPr>
          <w:spacing w:val="-12"/>
        </w:rPr>
        <w:t> </w:t>
      </w:r>
      <w:r>
        <w:rPr/>
        <w:t>lifespan</w:t>
      </w:r>
      <w:r>
        <w:rPr>
          <w:spacing w:val="-13"/>
        </w:rPr>
        <w:t> </w:t>
      </w:r>
      <w:r>
        <w:rPr/>
        <w:t>by</w:t>
      </w:r>
      <w:r>
        <w:rPr>
          <w:spacing w:val="-16"/>
        </w:rPr>
        <w:t> </w:t>
      </w:r>
      <w:r>
        <w:rPr/>
        <w:t>20</w:t>
      </w:r>
      <w:r>
        <w:rPr>
          <w:spacing w:val="-9"/>
        </w:rPr>
        <w:t> </w:t>
      </w:r>
      <w:r>
        <w:rPr/>
        <w:t>%</w:t>
      </w:r>
      <w:r>
        <w:rPr>
          <w:spacing w:val="-12"/>
        </w:rPr>
        <w:t> </w:t>
      </w:r>
      <w:r>
        <w:rPr/>
        <w:t>compared</w:t>
      </w:r>
      <w:r>
        <w:rPr>
          <w:spacing w:val="-16"/>
        </w:rPr>
        <w:t> </w:t>
      </w:r>
      <w:r>
        <w:rPr/>
        <w:t>to</w:t>
      </w:r>
      <w:r>
        <w:rPr>
          <w:spacing w:val="-11"/>
        </w:rPr>
        <w:t> </w:t>
      </w:r>
      <w:r>
        <w:rPr/>
        <w:t>the</w:t>
      </w:r>
      <w:r>
        <w:rPr>
          <w:spacing w:val="-13"/>
        </w:rPr>
        <w:t> </w:t>
      </w:r>
      <w:r>
        <w:rPr/>
        <w:t>control</w:t>
      </w:r>
      <w:r>
        <w:rPr>
          <w:spacing w:val="-14"/>
        </w:rPr>
        <w:t> </w:t>
      </w:r>
      <w:r>
        <w:rPr/>
        <w:t>group</w:t>
      </w:r>
      <w:r>
        <w:rPr>
          <w:spacing w:val="-12"/>
        </w:rPr>
        <w:t> </w:t>
      </w:r>
      <w:r>
        <w:rPr/>
        <w:t>(mice</w:t>
      </w:r>
      <w:r>
        <w:rPr>
          <w:spacing w:val="-12"/>
        </w:rPr>
        <w:t> </w:t>
      </w:r>
      <w:r>
        <w:rPr/>
        <w:t>not fed with additional carnosine)’ ageing processes were visibly and measurably slowed</w:t>
      </w:r>
      <w:r>
        <w:rPr>
          <w:spacing w:val="-1"/>
        </w:rPr>
        <w:t> </w:t>
      </w:r>
      <w:r>
        <w:rPr/>
        <w:t>down.</w:t>
      </w:r>
    </w:p>
    <w:p>
      <w:pPr>
        <w:pStyle w:val="BodyText"/>
        <w:spacing w:before="240"/>
        <w:ind w:left="477"/>
        <w:rPr>
          <w:sz w:val="25"/>
        </w:rPr>
      </w:pPr>
      <w:r>
        <w:rPr/>
        <w:t>The following study results caused a stir:</w:t>
      </w:r>
      <w:r>
        <w:rPr>
          <w:position w:val="9"/>
          <w:sz w:val="25"/>
        </w:rPr>
        <w:t>522</w:t>
      </w:r>
    </w:p>
    <w:p>
      <w:pPr>
        <w:pStyle w:val="ListParagraph"/>
        <w:numPr>
          <w:ilvl w:val="0"/>
          <w:numId w:val="70"/>
        </w:numPr>
        <w:tabs>
          <w:tab w:pos="1192" w:val="left" w:leader="none"/>
          <w:tab w:pos="1193" w:val="left" w:leader="none"/>
        </w:tabs>
        <w:spacing w:line="240" w:lineRule="auto" w:before="306" w:after="0"/>
        <w:ind w:left="1192" w:right="0" w:hanging="360"/>
        <w:jc w:val="left"/>
        <w:rPr>
          <w:sz w:val="38"/>
        </w:rPr>
      </w:pPr>
      <w:r>
        <w:rPr>
          <w:sz w:val="38"/>
        </w:rPr>
        <w:t>a 20 % longer life compared to the control</w:t>
      </w:r>
      <w:r>
        <w:rPr>
          <w:spacing w:val="-5"/>
          <w:sz w:val="38"/>
        </w:rPr>
        <w:t> </w:t>
      </w:r>
      <w:r>
        <w:rPr>
          <w:sz w:val="38"/>
        </w:rPr>
        <w:t>group;</w:t>
      </w:r>
    </w:p>
    <w:p>
      <w:pPr>
        <w:pStyle w:val="ListParagraph"/>
        <w:numPr>
          <w:ilvl w:val="0"/>
          <w:numId w:val="70"/>
        </w:numPr>
        <w:tabs>
          <w:tab w:pos="1192" w:val="left" w:leader="none"/>
          <w:tab w:pos="1193" w:val="left" w:leader="none"/>
        </w:tabs>
        <w:spacing w:line="273" w:lineRule="auto" w:before="64" w:after="0"/>
        <w:ind w:left="1192" w:right="634" w:hanging="360"/>
        <w:jc w:val="left"/>
        <w:rPr>
          <w:sz w:val="38"/>
        </w:rPr>
      </w:pPr>
      <w:r>
        <w:rPr>
          <w:sz w:val="38"/>
        </w:rPr>
        <w:t>twice as many of the carnosine-fed mice reached the age of 12 months compared to the control</w:t>
      </w:r>
      <w:r>
        <w:rPr>
          <w:spacing w:val="1"/>
          <w:sz w:val="38"/>
        </w:rPr>
        <w:t> </w:t>
      </w:r>
      <w:r>
        <w:rPr>
          <w:sz w:val="38"/>
        </w:rPr>
        <w:t>group;</w:t>
      </w:r>
    </w:p>
    <w:p>
      <w:pPr>
        <w:pStyle w:val="ListParagraph"/>
        <w:numPr>
          <w:ilvl w:val="0"/>
          <w:numId w:val="70"/>
        </w:numPr>
        <w:tabs>
          <w:tab w:pos="1192" w:val="left" w:leader="none"/>
          <w:tab w:pos="1193" w:val="left" w:leader="none"/>
        </w:tabs>
        <w:spacing w:line="273" w:lineRule="auto" w:before="7" w:after="0"/>
        <w:ind w:left="1192" w:right="215" w:hanging="360"/>
        <w:jc w:val="left"/>
        <w:rPr>
          <w:sz w:val="38"/>
        </w:rPr>
      </w:pPr>
      <w:r>
        <w:rPr>
          <w:sz w:val="38"/>
        </w:rPr>
        <w:t>L-carnosine also rejuvenated the visual appearance of the treated mice: the coat shone more brightly for 44 % of the treated mice and for 5 % of the untreated</w:t>
      </w:r>
      <w:r>
        <w:rPr>
          <w:spacing w:val="2"/>
          <w:sz w:val="38"/>
        </w:rPr>
        <w:t> </w:t>
      </w:r>
      <w:r>
        <w:rPr>
          <w:sz w:val="38"/>
        </w:rPr>
        <w:t>mice;</w:t>
      </w:r>
    </w:p>
    <w:p>
      <w:pPr>
        <w:pStyle w:val="ListParagraph"/>
        <w:numPr>
          <w:ilvl w:val="0"/>
          <w:numId w:val="70"/>
        </w:numPr>
        <w:tabs>
          <w:tab w:pos="1192" w:val="left" w:leader="none"/>
          <w:tab w:pos="1193" w:val="left" w:leader="none"/>
        </w:tabs>
        <w:spacing w:line="273" w:lineRule="auto" w:before="12" w:after="0"/>
        <w:ind w:left="1192" w:right="813" w:hanging="360"/>
        <w:jc w:val="left"/>
        <w:rPr>
          <w:sz w:val="38"/>
        </w:rPr>
      </w:pPr>
      <w:r>
        <w:rPr>
          <w:sz w:val="38"/>
        </w:rPr>
        <w:t>only 14 % had the usual skin ulcers, compared to 36 % in the control group;</w:t>
      </w:r>
    </w:p>
    <w:p>
      <w:pPr>
        <w:pStyle w:val="ListParagraph"/>
        <w:numPr>
          <w:ilvl w:val="0"/>
          <w:numId w:val="70"/>
        </w:numPr>
        <w:tabs>
          <w:tab w:pos="1192" w:val="left" w:leader="none"/>
          <w:tab w:pos="1193" w:val="left" w:leader="none"/>
        </w:tabs>
        <w:spacing w:line="273" w:lineRule="auto" w:before="7" w:after="0"/>
        <w:ind w:left="1192" w:right="744" w:hanging="360"/>
        <w:jc w:val="left"/>
        <w:rPr>
          <w:sz w:val="38"/>
        </w:rPr>
      </w:pPr>
      <w:r>
        <w:rPr>
          <w:sz w:val="38"/>
        </w:rPr>
        <w:t>58 % of the treated mice showed a youthful behavioural pattern com- pared to 9 % of the untreated</w:t>
      </w:r>
      <w:r>
        <w:rPr>
          <w:spacing w:val="-3"/>
          <w:sz w:val="38"/>
        </w:rPr>
        <w:t> </w:t>
      </w:r>
      <w:r>
        <w:rPr>
          <w:sz w:val="38"/>
        </w:rPr>
        <w:t>ones;</w:t>
      </w:r>
    </w:p>
    <w:p>
      <w:pPr>
        <w:pStyle w:val="BodyText"/>
        <w:rPr>
          <w:sz w:val="20"/>
        </w:rPr>
      </w:pPr>
    </w:p>
    <w:p>
      <w:pPr>
        <w:pStyle w:val="BodyText"/>
        <w:rPr>
          <w:sz w:val="20"/>
        </w:rPr>
      </w:pPr>
    </w:p>
    <w:p>
      <w:pPr>
        <w:pStyle w:val="BodyText"/>
        <w:spacing w:before="2"/>
        <w:rPr>
          <w:sz w:val="10"/>
        </w:rPr>
      </w:pPr>
      <w:r>
        <w:rPr/>
        <w:pict>
          <v:line style="position:absolute;mso-position-horizontal-relative:page;mso-position-vertical-relative:paragraph;z-index:6608;mso-wrap-distance-left:0;mso-wrap-distance-right:0" from="63.863998pt,8.111176pt" to="207.883998pt,8.111176pt" stroked="true" strokeweight=".72003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521 </w:t>
      </w:r>
      <w:r>
        <w:rPr>
          <w:sz w:val="20"/>
        </w:rPr>
        <w:t>Vizoli MR et al. 1983</w:t>
      </w:r>
    </w:p>
    <w:p>
      <w:pPr>
        <w:spacing w:before="94"/>
        <w:ind w:left="477" w:right="0" w:firstLine="0"/>
        <w:jc w:val="left"/>
        <w:rPr>
          <w:sz w:val="20"/>
        </w:rPr>
      </w:pPr>
      <w:r>
        <w:rPr>
          <w:position w:val="5"/>
          <w:sz w:val="13"/>
        </w:rPr>
        <w:t>522 </w:t>
      </w:r>
      <w:r>
        <w:rPr>
          <w:sz w:val="20"/>
        </w:rPr>
        <w:t>Boldyrev AA et al. 1999</w:t>
      </w:r>
    </w:p>
    <w:p>
      <w:pPr>
        <w:spacing w:after="0"/>
        <w:jc w:val="left"/>
        <w:rPr>
          <w:sz w:val="20"/>
        </w:rPr>
        <w:sectPr>
          <w:footerReference w:type="default" r:id="rId222"/>
          <w:pgSz w:w="14270" w:h="16850"/>
          <w:pgMar w:footer="1891" w:header="0" w:top="1600" w:bottom="2080" w:left="800" w:right="1280"/>
          <w:pgNumType w:start="950"/>
        </w:sectPr>
      </w:pPr>
    </w:p>
    <w:p>
      <w:pPr>
        <w:pStyle w:val="BodyText"/>
        <w:spacing w:before="10"/>
        <w:rPr>
          <w:sz w:val="8"/>
        </w:rPr>
      </w:pPr>
    </w:p>
    <w:p>
      <w:pPr>
        <w:pStyle w:val="ListParagraph"/>
        <w:numPr>
          <w:ilvl w:val="0"/>
          <w:numId w:val="70"/>
        </w:numPr>
        <w:tabs>
          <w:tab w:pos="1193" w:val="left" w:leader="none"/>
        </w:tabs>
        <w:spacing w:line="273" w:lineRule="auto" w:before="83" w:after="0"/>
        <w:ind w:left="1192" w:right="428" w:hanging="360"/>
        <w:jc w:val="both"/>
        <w:rPr>
          <w:sz w:val="38"/>
        </w:rPr>
      </w:pPr>
      <w:r>
        <w:rPr>
          <w:sz w:val="38"/>
        </w:rPr>
        <w:t>all brain parameters associated with ageing were less pronounced in car- nosine-fed mice than in the control group, which is probably the reason for the adolescent</w:t>
      </w:r>
      <w:r>
        <w:rPr>
          <w:spacing w:val="3"/>
          <w:sz w:val="38"/>
        </w:rPr>
        <w:t> </w:t>
      </w:r>
      <w:r>
        <w:rPr>
          <w:sz w:val="38"/>
        </w:rPr>
        <w:t>behaviour.</w:t>
      </w:r>
    </w:p>
    <w:p>
      <w:pPr>
        <w:pStyle w:val="ListParagraph"/>
        <w:numPr>
          <w:ilvl w:val="0"/>
          <w:numId w:val="70"/>
        </w:numPr>
        <w:tabs>
          <w:tab w:pos="1193" w:val="left" w:leader="none"/>
        </w:tabs>
        <w:spacing w:line="273" w:lineRule="auto" w:before="12" w:after="0"/>
        <w:ind w:left="1192" w:right="399" w:hanging="360"/>
        <w:jc w:val="both"/>
        <w:rPr>
          <w:sz w:val="38"/>
        </w:rPr>
      </w:pPr>
      <w:r>
        <w:rPr>
          <w:sz w:val="38"/>
        </w:rPr>
        <w:t>The age-related curvature of the spine was much less pronounced in the carnosine-treated mice.</w:t>
      </w:r>
    </w:p>
    <w:p>
      <w:pPr>
        <w:pStyle w:val="BodyText"/>
        <w:rPr>
          <w:sz w:val="42"/>
        </w:rPr>
      </w:pPr>
    </w:p>
    <w:p>
      <w:pPr>
        <w:pStyle w:val="BodyText"/>
        <w:spacing w:before="4"/>
        <w:rPr>
          <w:sz w:val="43"/>
        </w:rPr>
      </w:pPr>
    </w:p>
    <w:p>
      <w:pPr>
        <w:pStyle w:val="Heading1"/>
        <w:spacing w:before="0"/>
      </w:pPr>
      <w:r>
        <w:rPr/>
        <w:t>L-carnosine successful against cancer cells in studies</w:t>
      </w:r>
    </w:p>
    <w:p>
      <w:pPr>
        <w:pStyle w:val="BodyText"/>
        <w:spacing w:line="276" w:lineRule="auto" w:before="300"/>
        <w:ind w:left="477" w:right="133"/>
        <w:jc w:val="both"/>
        <w:rPr>
          <w:sz w:val="25"/>
        </w:rPr>
      </w:pPr>
      <w:r>
        <w:rPr/>
        <w:t>Laboratory tests on cell cultures of different types of cancers have shown that L-carnosine clearly has a cytotoxic (toxic) effect on human cancer cells while ensuring the regeneration and activation of healthy, normal cells. The cell cul- tures were soon free of cancer cells once L-carnosine was added.</w:t>
      </w:r>
      <w:r>
        <w:rPr>
          <w:position w:val="9"/>
          <w:sz w:val="25"/>
        </w:rPr>
        <w:t>523</w:t>
      </w:r>
    </w:p>
    <w:p>
      <w:pPr>
        <w:pStyle w:val="Heading1"/>
        <w:spacing w:line="261" w:lineRule="auto" w:before="221"/>
      </w:pPr>
      <w:r>
        <w:rPr/>
        <w:t>L-carnosine</w:t>
      </w:r>
      <w:r>
        <w:rPr>
          <w:spacing w:val="-29"/>
        </w:rPr>
        <w:t> </w:t>
      </w:r>
      <w:r>
        <w:rPr/>
        <w:t>content</w:t>
      </w:r>
      <w:r>
        <w:rPr>
          <w:spacing w:val="-30"/>
        </w:rPr>
        <w:t> </w:t>
      </w:r>
      <w:r>
        <w:rPr/>
        <w:t>of</w:t>
      </w:r>
      <w:r>
        <w:rPr>
          <w:spacing w:val="-29"/>
        </w:rPr>
        <w:t> </w:t>
      </w:r>
      <w:r>
        <w:rPr/>
        <w:t>the</w:t>
      </w:r>
      <w:r>
        <w:rPr>
          <w:spacing w:val="-29"/>
        </w:rPr>
        <w:t> </w:t>
      </w:r>
      <w:r>
        <w:rPr/>
        <w:t>muscles</w:t>
      </w:r>
      <w:r>
        <w:rPr>
          <w:spacing w:val="-29"/>
        </w:rPr>
        <w:t> </w:t>
      </w:r>
      <w:r>
        <w:rPr/>
        <w:t>is</w:t>
      </w:r>
      <w:r>
        <w:rPr>
          <w:spacing w:val="-30"/>
        </w:rPr>
        <w:t> </w:t>
      </w:r>
      <w:r>
        <w:rPr/>
        <w:t>related</w:t>
      </w:r>
      <w:r>
        <w:rPr>
          <w:spacing w:val="-29"/>
        </w:rPr>
        <w:t> </w:t>
      </w:r>
      <w:r>
        <w:rPr/>
        <w:t>to</w:t>
      </w:r>
      <w:r>
        <w:rPr>
          <w:spacing w:val="-30"/>
        </w:rPr>
        <w:t> </w:t>
      </w:r>
      <w:r>
        <w:rPr/>
        <w:t>the</w:t>
      </w:r>
      <w:r>
        <w:rPr>
          <w:spacing w:val="-29"/>
        </w:rPr>
        <w:t> </w:t>
      </w:r>
      <w:r>
        <w:rPr>
          <w:spacing w:val="2"/>
        </w:rPr>
        <w:t>level</w:t>
      </w:r>
      <w:r>
        <w:rPr>
          <w:spacing w:val="-29"/>
        </w:rPr>
        <w:t> </w:t>
      </w:r>
      <w:r>
        <w:rPr/>
        <w:t>of</w:t>
      </w:r>
      <w:r>
        <w:rPr>
          <w:spacing w:val="-29"/>
        </w:rPr>
        <w:t> </w:t>
      </w:r>
      <w:r>
        <w:rPr/>
        <w:t>age-appro- priate muscle</w:t>
      </w:r>
      <w:r>
        <w:rPr>
          <w:spacing w:val="-14"/>
        </w:rPr>
        <w:t> </w:t>
      </w:r>
      <w:r>
        <w:rPr/>
        <w:t>mass</w:t>
      </w:r>
    </w:p>
    <w:p>
      <w:pPr>
        <w:pStyle w:val="BodyText"/>
        <w:spacing w:line="276" w:lineRule="auto" w:before="261"/>
        <w:ind w:left="477"/>
        <w:rPr>
          <w:sz w:val="25"/>
        </w:rPr>
      </w:pPr>
      <w:r>
        <w:rPr/>
        <w:t>Carnosine content in muscle mass decreases in parallel with age-related muscle breakdown.</w:t>
      </w:r>
      <w:r>
        <w:rPr>
          <w:position w:val="9"/>
          <w:sz w:val="25"/>
        </w:rPr>
        <w:t>524</w:t>
      </w:r>
    </w:p>
    <w:p>
      <w:pPr>
        <w:pStyle w:val="Heading1"/>
      </w:pPr>
      <w:r>
        <w:rPr/>
        <w:t>L-carnosine naturally boosts potency in</w:t>
      </w:r>
      <w:r>
        <w:rPr>
          <w:spacing w:val="-66"/>
        </w:rPr>
        <w:t> </w:t>
      </w:r>
      <w:r>
        <w:rPr/>
        <w:t>studies</w:t>
      </w:r>
    </w:p>
    <w:p>
      <w:pPr>
        <w:pStyle w:val="BodyText"/>
        <w:spacing w:line="276" w:lineRule="auto" w:before="296"/>
        <w:ind w:left="477"/>
      </w:pPr>
      <w:r>
        <w:rPr/>
        <w:t>The</w:t>
      </w:r>
      <w:r>
        <w:rPr>
          <w:spacing w:val="-19"/>
        </w:rPr>
        <w:t> </w:t>
      </w:r>
      <w:r>
        <w:rPr/>
        <w:t>production</w:t>
      </w:r>
      <w:r>
        <w:rPr>
          <w:spacing w:val="-21"/>
        </w:rPr>
        <w:t> </w:t>
      </w:r>
      <w:r>
        <w:rPr/>
        <w:t>of</w:t>
      </w:r>
      <w:r>
        <w:rPr>
          <w:spacing w:val="-20"/>
        </w:rPr>
        <w:t> </w:t>
      </w:r>
      <w:r>
        <w:rPr/>
        <w:t>nitric</w:t>
      </w:r>
      <w:r>
        <w:rPr>
          <w:spacing w:val="-20"/>
        </w:rPr>
        <w:t> </w:t>
      </w:r>
      <w:r>
        <w:rPr/>
        <w:t>oxide</w:t>
      </w:r>
      <w:r>
        <w:rPr>
          <w:spacing w:val="-20"/>
        </w:rPr>
        <w:t> </w:t>
      </w:r>
      <w:r>
        <w:rPr/>
        <w:t>is</w:t>
      </w:r>
      <w:r>
        <w:rPr>
          <w:spacing w:val="-23"/>
        </w:rPr>
        <w:t> </w:t>
      </w:r>
      <w:r>
        <w:rPr/>
        <w:t>the</w:t>
      </w:r>
      <w:r>
        <w:rPr>
          <w:spacing w:val="-19"/>
        </w:rPr>
        <w:t> </w:t>
      </w:r>
      <w:r>
        <w:rPr/>
        <w:t>absolute</w:t>
      </w:r>
      <w:r>
        <w:rPr>
          <w:spacing w:val="-20"/>
        </w:rPr>
        <w:t> </w:t>
      </w:r>
      <w:r>
        <w:rPr/>
        <w:t>prerequisite</w:t>
      </w:r>
      <w:r>
        <w:rPr>
          <w:spacing w:val="-20"/>
        </w:rPr>
        <w:t> </w:t>
      </w:r>
      <w:r>
        <w:rPr/>
        <w:t>for</w:t>
      </w:r>
      <w:r>
        <w:rPr>
          <w:spacing w:val="-19"/>
        </w:rPr>
        <w:t> </w:t>
      </w:r>
      <w:r>
        <w:rPr/>
        <w:t>achieving</w:t>
      </w:r>
      <w:r>
        <w:rPr>
          <w:spacing w:val="-19"/>
        </w:rPr>
        <w:t> </w:t>
      </w:r>
      <w:r>
        <w:rPr/>
        <w:t>an</w:t>
      </w:r>
      <w:r>
        <w:rPr>
          <w:spacing w:val="-14"/>
        </w:rPr>
        <w:t> </w:t>
      </w:r>
      <w:r>
        <w:rPr/>
        <w:t>erec- tion</w:t>
      </w:r>
      <w:r>
        <w:rPr>
          <w:spacing w:val="10"/>
        </w:rPr>
        <w:t> </w:t>
      </w:r>
      <w:r>
        <w:rPr/>
        <w:t>and</w:t>
      </w:r>
      <w:r>
        <w:rPr>
          <w:spacing w:val="10"/>
        </w:rPr>
        <w:t> </w:t>
      </w:r>
      <w:r>
        <w:rPr/>
        <w:t>then</w:t>
      </w:r>
      <w:r>
        <w:rPr>
          <w:spacing w:val="11"/>
        </w:rPr>
        <w:t> </w:t>
      </w:r>
      <w:r>
        <w:rPr/>
        <w:t>keeping</w:t>
      </w:r>
      <w:r>
        <w:rPr>
          <w:spacing w:val="10"/>
        </w:rPr>
        <w:t> </w:t>
      </w:r>
      <w:r>
        <w:rPr/>
        <w:t>it</w:t>
      </w:r>
      <w:r>
        <w:rPr>
          <w:spacing w:val="9"/>
        </w:rPr>
        <w:t> </w:t>
      </w:r>
      <w:r>
        <w:rPr/>
        <w:t>as</w:t>
      </w:r>
      <w:r>
        <w:rPr>
          <w:spacing w:val="9"/>
        </w:rPr>
        <w:t> </w:t>
      </w:r>
      <w:r>
        <w:rPr/>
        <w:t>long</w:t>
      </w:r>
      <w:r>
        <w:rPr>
          <w:spacing w:val="7"/>
        </w:rPr>
        <w:t> </w:t>
      </w:r>
      <w:r>
        <w:rPr/>
        <w:t>as</w:t>
      </w:r>
      <w:r>
        <w:rPr>
          <w:spacing w:val="9"/>
        </w:rPr>
        <w:t> </w:t>
      </w:r>
      <w:r>
        <w:rPr/>
        <w:t>possible.</w:t>
      </w:r>
      <w:r>
        <w:rPr>
          <w:spacing w:val="10"/>
        </w:rPr>
        <w:t> </w:t>
      </w:r>
      <w:r>
        <w:rPr/>
        <w:t>However,</w:t>
      </w:r>
      <w:r>
        <w:rPr>
          <w:spacing w:val="11"/>
        </w:rPr>
        <w:t> </w:t>
      </w:r>
      <w:r>
        <w:rPr/>
        <w:t>carnosine</w:t>
      </w:r>
      <w:r>
        <w:rPr>
          <w:spacing w:val="10"/>
        </w:rPr>
        <w:t> </w:t>
      </w:r>
      <w:r>
        <w:rPr/>
        <w:t>is</w:t>
      </w:r>
      <w:r>
        <w:rPr>
          <w:spacing w:val="10"/>
        </w:rPr>
        <w:t> </w:t>
      </w:r>
      <w:r>
        <w:rPr/>
        <w:t>the</w:t>
      </w:r>
      <w:r>
        <w:rPr>
          <w:spacing w:val="10"/>
        </w:rPr>
        <w:t> </w:t>
      </w:r>
      <w:r>
        <w:rPr/>
        <w:t>natural</w:t>
      </w:r>
    </w:p>
    <w:p>
      <w:pPr>
        <w:pStyle w:val="BodyText"/>
        <w:spacing w:before="9"/>
        <w:rPr>
          <w:sz w:val="29"/>
        </w:rPr>
      </w:pPr>
      <w:r>
        <w:rPr/>
        <w:pict>
          <v:line style="position:absolute;mso-position-horizontal-relative:page;mso-position-vertical-relative:paragraph;z-index:6632;mso-wrap-distance-left:0;mso-wrap-distance-right:0" from="63.863998pt,19.119995pt" to="207.883998pt,19.119995pt" stroked="true" strokeweight=".71997pt" strokecolor="#000000">
            <v:stroke dashstyle="solid"/>
            <w10:wrap type="topAndBottom"/>
          </v:line>
        </w:pict>
      </w:r>
    </w:p>
    <w:p>
      <w:pPr>
        <w:pStyle w:val="BodyText"/>
        <w:spacing w:before="7"/>
        <w:rPr>
          <w:sz w:val="18"/>
        </w:rPr>
      </w:pPr>
    </w:p>
    <w:p>
      <w:pPr>
        <w:spacing w:before="99"/>
        <w:ind w:left="477" w:right="0" w:firstLine="0"/>
        <w:jc w:val="left"/>
        <w:rPr>
          <w:sz w:val="20"/>
        </w:rPr>
      </w:pPr>
      <w:r>
        <w:rPr>
          <w:position w:val="5"/>
          <w:sz w:val="13"/>
        </w:rPr>
        <w:t>523 </w:t>
      </w:r>
      <w:hyperlink r:id="rId223">
        <w:r>
          <w:rPr>
            <w:sz w:val="20"/>
          </w:rPr>
          <w:t>www.gladiss.de/newsletter</w:t>
        </w:r>
      </w:hyperlink>
    </w:p>
    <w:p>
      <w:pPr>
        <w:spacing w:before="94"/>
        <w:ind w:left="477" w:right="0" w:firstLine="0"/>
        <w:jc w:val="left"/>
        <w:rPr>
          <w:sz w:val="20"/>
        </w:rPr>
      </w:pPr>
      <w:r>
        <w:rPr>
          <w:position w:val="5"/>
          <w:sz w:val="13"/>
        </w:rPr>
        <w:t>524 </w:t>
      </w:r>
      <w:r>
        <w:rPr>
          <w:sz w:val="20"/>
        </w:rPr>
        <w:t>Stuerenberg H.J. et al.</w:t>
      </w:r>
    </w:p>
    <w:p>
      <w:pPr>
        <w:spacing w:after="0"/>
        <w:jc w:val="left"/>
        <w:rPr>
          <w:sz w:val="20"/>
        </w:rPr>
        <w:sectPr>
          <w:pgSz w:w="14270" w:h="16850"/>
          <w:pgMar w:header="0" w:footer="1891" w:top="1600" w:bottom="2080" w:left="800" w:right="1280"/>
        </w:sectPr>
      </w:pPr>
    </w:p>
    <w:p>
      <w:pPr>
        <w:pStyle w:val="BodyText"/>
        <w:spacing w:line="276" w:lineRule="auto" w:before="181"/>
        <w:ind w:left="477" w:right="50"/>
      </w:pPr>
      <w:r>
        <w:rPr/>
        <w:t>substrate of nitric oxide.</w:t>
      </w:r>
      <w:r>
        <w:rPr>
          <w:position w:val="9"/>
          <w:sz w:val="25"/>
        </w:rPr>
        <w:t>525 </w:t>
      </w:r>
      <w:r>
        <w:rPr/>
        <w:t>It is therefore not surprising that L-carnosine is able to solve erectile problems.</w:t>
      </w:r>
    </w:p>
    <w:p>
      <w:pPr>
        <w:pStyle w:val="Heading1"/>
      </w:pPr>
      <w:r>
        <w:rPr/>
        <w:t>L-carnosine safe in animal experiments, even in high doses</w:t>
      </w:r>
    </w:p>
    <w:p>
      <w:pPr>
        <w:pStyle w:val="BodyText"/>
        <w:spacing w:line="276" w:lineRule="auto" w:before="299"/>
        <w:ind w:left="477" w:right="44"/>
        <w:rPr>
          <w:sz w:val="25"/>
        </w:rPr>
      </w:pPr>
      <w:r>
        <w:rPr/>
        <w:t>In animal studies, carnosine has safely tolerated at extreme doses of 500 mg/kg body weight.</w:t>
      </w:r>
      <w:r>
        <w:rPr>
          <w:position w:val="9"/>
          <w:sz w:val="25"/>
        </w:rPr>
        <w:t>526</w:t>
      </w:r>
    </w:p>
    <w:p>
      <w:pPr>
        <w:pStyle w:val="Heading2"/>
        <w:spacing w:before="239"/>
      </w:pPr>
      <w:r>
        <w:rPr/>
        <w:t>Recommended intake of L-carnosine</w:t>
      </w:r>
    </w:p>
    <w:p>
      <w:pPr>
        <w:pStyle w:val="BodyText"/>
        <w:spacing w:line="276" w:lineRule="auto" w:before="305"/>
        <w:ind w:left="477" w:right="134"/>
        <w:jc w:val="both"/>
      </w:pPr>
      <w:r>
        <w:rPr/>
        <w:t>The usual intake recommendations range between 1,000 mg L-carnosine a</w:t>
      </w:r>
      <w:r>
        <w:rPr>
          <w:spacing w:val="-46"/>
        </w:rPr>
        <w:t> </w:t>
      </w:r>
      <w:r>
        <w:rPr/>
        <w:t>day, with the dose split across two doses of 500 mg between meals each day. You will</w:t>
      </w:r>
      <w:r>
        <w:rPr>
          <w:spacing w:val="-21"/>
        </w:rPr>
        <w:t> </w:t>
      </w:r>
      <w:r>
        <w:rPr/>
        <w:t>mostly</w:t>
      </w:r>
      <w:r>
        <w:rPr>
          <w:spacing w:val="-19"/>
        </w:rPr>
        <w:t> </w:t>
      </w:r>
      <w:r>
        <w:rPr/>
        <w:t>find</w:t>
      </w:r>
      <w:r>
        <w:rPr>
          <w:spacing w:val="-19"/>
        </w:rPr>
        <w:t> </w:t>
      </w:r>
      <w:r>
        <w:rPr/>
        <w:t>the</w:t>
      </w:r>
      <w:r>
        <w:rPr>
          <w:spacing w:val="-19"/>
        </w:rPr>
        <w:t> </w:t>
      </w:r>
      <w:r>
        <w:rPr/>
        <w:t>second</w:t>
      </w:r>
      <w:r>
        <w:rPr>
          <w:spacing w:val="-22"/>
        </w:rPr>
        <w:t> </w:t>
      </w:r>
      <w:r>
        <w:rPr/>
        <w:t>of</w:t>
      </w:r>
      <w:r>
        <w:rPr>
          <w:spacing w:val="-19"/>
        </w:rPr>
        <w:t> </w:t>
      </w:r>
      <w:r>
        <w:rPr/>
        <w:t>these</w:t>
      </w:r>
      <w:r>
        <w:rPr>
          <w:spacing w:val="-18"/>
        </w:rPr>
        <w:t> </w:t>
      </w:r>
      <w:r>
        <w:rPr/>
        <w:t>recommendations.</w:t>
      </w:r>
      <w:r>
        <w:rPr>
          <w:spacing w:val="-19"/>
        </w:rPr>
        <w:t> </w:t>
      </w:r>
      <w:r>
        <w:rPr/>
        <w:t>According</w:t>
      </w:r>
      <w:r>
        <w:rPr>
          <w:spacing w:val="-21"/>
        </w:rPr>
        <w:t> </w:t>
      </w:r>
      <w:r>
        <w:rPr/>
        <w:t>to</w:t>
      </w:r>
      <w:r>
        <w:rPr>
          <w:spacing w:val="-18"/>
        </w:rPr>
        <w:t> </w:t>
      </w:r>
      <w:r>
        <w:rPr/>
        <w:t>the</w:t>
      </w:r>
      <w:r>
        <w:rPr>
          <w:spacing w:val="-18"/>
        </w:rPr>
        <w:t> </w:t>
      </w:r>
      <w:r>
        <w:rPr/>
        <w:t>studies of</w:t>
      </w:r>
      <w:r>
        <w:rPr>
          <w:spacing w:val="-12"/>
        </w:rPr>
        <w:t> </w:t>
      </w:r>
      <w:r>
        <w:rPr/>
        <w:t>Quinn</w:t>
      </w:r>
      <w:r>
        <w:rPr>
          <w:spacing w:val="-11"/>
        </w:rPr>
        <w:t> </w:t>
      </w:r>
      <w:r>
        <w:rPr/>
        <w:t>PJ</w:t>
      </w:r>
      <w:r>
        <w:rPr>
          <w:spacing w:val="-11"/>
        </w:rPr>
        <w:t> </w:t>
      </w:r>
      <w:r>
        <w:rPr/>
        <w:t>et</w:t>
      </w:r>
      <w:r>
        <w:rPr>
          <w:spacing w:val="-12"/>
        </w:rPr>
        <w:t> </w:t>
      </w:r>
      <w:r>
        <w:rPr/>
        <w:t>al.</w:t>
      </w:r>
      <w:r>
        <w:rPr>
          <w:spacing w:val="-12"/>
        </w:rPr>
        <w:t> </w:t>
      </w:r>
      <w:r>
        <w:rPr/>
        <w:t>in</w:t>
      </w:r>
      <w:r>
        <w:rPr>
          <w:spacing w:val="-12"/>
        </w:rPr>
        <w:t> </w:t>
      </w:r>
      <w:r>
        <w:rPr/>
        <w:t>1992,</w:t>
      </w:r>
      <w:r>
        <w:rPr>
          <w:spacing w:val="-14"/>
        </w:rPr>
        <w:t> </w:t>
      </w:r>
      <w:r>
        <w:rPr/>
        <w:t>there</w:t>
      </w:r>
      <w:r>
        <w:rPr>
          <w:spacing w:val="-11"/>
        </w:rPr>
        <w:t> </w:t>
      </w:r>
      <w:r>
        <w:rPr/>
        <w:t>is</w:t>
      </w:r>
      <w:r>
        <w:rPr>
          <w:spacing w:val="-11"/>
        </w:rPr>
        <w:t> </w:t>
      </w:r>
      <w:r>
        <w:rPr/>
        <w:t>an</w:t>
      </w:r>
      <w:r>
        <w:rPr>
          <w:spacing w:val="-11"/>
        </w:rPr>
        <w:t> </w:t>
      </w:r>
      <w:r>
        <w:rPr/>
        <w:t>enzyme</w:t>
      </w:r>
      <w:r>
        <w:rPr>
          <w:spacing w:val="-13"/>
        </w:rPr>
        <w:t> </w:t>
      </w:r>
      <w:r>
        <w:rPr/>
        <w:t>called</w:t>
      </w:r>
      <w:r>
        <w:rPr>
          <w:spacing w:val="-12"/>
        </w:rPr>
        <w:t> </w:t>
      </w:r>
      <w:r>
        <w:rPr/>
        <w:t>carnosinase</w:t>
      </w:r>
      <w:r>
        <w:rPr>
          <w:spacing w:val="-12"/>
        </w:rPr>
        <w:t> </w:t>
      </w:r>
      <w:r>
        <w:rPr/>
        <w:t>that</w:t>
      </w:r>
      <w:r>
        <w:rPr>
          <w:spacing w:val="-12"/>
        </w:rPr>
        <w:t> </w:t>
      </w:r>
      <w:r>
        <w:rPr/>
        <w:t>neutralises carnosine, which is why quantities must always be higher than the neutralising potential</w:t>
      </w:r>
      <w:r>
        <w:rPr>
          <w:spacing w:val="-21"/>
        </w:rPr>
        <w:t> </w:t>
      </w:r>
      <w:r>
        <w:rPr/>
        <w:t>of</w:t>
      </w:r>
      <w:r>
        <w:rPr>
          <w:spacing w:val="-19"/>
        </w:rPr>
        <w:t> </w:t>
      </w:r>
      <w:r>
        <w:rPr/>
        <w:t>the</w:t>
      </w:r>
      <w:r>
        <w:rPr>
          <w:spacing w:val="-18"/>
        </w:rPr>
        <w:t> </w:t>
      </w:r>
      <w:r>
        <w:rPr/>
        <w:t>former.</w:t>
      </w:r>
      <w:r>
        <w:rPr>
          <w:spacing w:val="-18"/>
        </w:rPr>
        <w:t> </w:t>
      </w:r>
      <w:r>
        <w:rPr/>
        <w:t>In</w:t>
      </w:r>
      <w:r>
        <w:rPr>
          <w:spacing w:val="-18"/>
        </w:rPr>
        <w:t> </w:t>
      </w:r>
      <w:r>
        <w:rPr/>
        <w:t>addition,</w:t>
      </w:r>
      <w:r>
        <w:rPr>
          <w:spacing w:val="-18"/>
        </w:rPr>
        <w:t> </w:t>
      </w:r>
      <w:r>
        <w:rPr/>
        <w:t>you</w:t>
      </w:r>
      <w:r>
        <w:rPr>
          <w:spacing w:val="-21"/>
        </w:rPr>
        <w:t> </w:t>
      </w:r>
      <w:r>
        <w:rPr/>
        <w:t>see</w:t>
      </w:r>
      <w:r>
        <w:rPr>
          <w:spacing w:val="-18"/>
        </w:rPr>
        <w:t> </w:t>
      </w:r>
      <w:r>
        <w:rPr/>
        <w:t>some</w:t>
      </w:r>
      <w:r>
        <w:rPr>
          <w:spacing w:val="-18"/>
        </w:rPr>
        <w:t> </w:t>
      </w:r>
      <w:r>
        <w:rPr/>
        <w:t>recommendations</w:t>
      </w:r>
      <w:r>
        <w:rPr>
          <w:spacing w:val="-18"/>
        </w:rPr>
        <w:t> </w:t>
      </w:r>
      <w:r>
        <w:rPr/>
        <w:t>online</w:t>
      </w:r>
      <w:r>
        <w:rPr>
          <w:spacing w:val="-19"/>
        </w:rPr>
        <w:t> </w:t>
      </w:r>
      <w:r>
        <w:rPr/>
        <w:t>that you should take the entire dose of 1 g at once. If 1000 were mg taken at once, the enzymes would be saturated, so that sufficient L-carnosine could be ab- sorbed by the</w:t>
      </w:r>
      <w:r>
        <w:rPr>
          <w:spacing w:val="-1"/>
        </w:rPr>
        <w:t> </w:t>
      </w:r>
      <w:r>
        <w:rPr/>
        <w:t>body.</w:t>
      </w:r>
    </w:p>
    <w:p>
      <w:pPr>
        <w:pStyle w:val="BodyText"/>
        <w:spacing w:line="276" w:lineRule="auto" w:before="241"/>
        <w:ind w:left="477" w:right="73"/>
      </w:pPr>
      <w:r>
        <w:rPr/>
        <w:t>Only further research can show what is really true. In any case, you should take L-carnosine at least 30 minutes before a meal.</w:t>
      </w:r>
    </w:p>
    <w:p>
      <w:pPr>
        <w:pStyle w:val="BodyText"/>
        <w:rPr>
          <w:sz w:val="42"/>
        </w:rPr>
      </w:pPr>
    </w:p>
    <w:p>
      <w:pPr>
        <w:pStyle w:val="Heading2"/>
        <w:spacing w:before="258"/>
        <w:jc w:val="both"/>
      </w:pPr>
      <w:r>
        <w:rPr/>
        <w:t>Side effects of L-carnosine</w:t>
      </w:r>
    </w:p>
    <w:p>
      <w:pPr>
        <w:pStyle w:val="BodyText"/>
        <w:rPr>
          <w:b/>
          <w:sz w:val="20"/>
        </w:rPr>
      </w:pPr>
    </w:p>
    <w:p>
      <w:pPr>
        <w:pStyle w:val="BodyText"/>
        <w:spacing w:before="3"/>
        <w:rPr>
          <w:b/>
          <w:sz w:val="26"/>
        </w:rPr>
      </w:pPr>
      <w:r>
        <w:rPr/>
        <w:pict>
          <v:line style="position:absolute;mso-position-horizontal-relative:page;mso-position-vertical-relative:paragraph;z-index:6656;mso-wrap-distance-left:0;mso-wrap-distance-right:0" from="63.863998pt,17.146235pt" to="207.883998pt,17.146235pt" stroked="true" strokeweight=".72003pt" strokecolor="#000000">
            <v:stroke dashstyle="solid"/>
            <w10:wrap type="topAndBottom"/>
          </v:line>
        </w:pict>
      </w:r>
    </w:p>
    <w:p>
      <w:pPr>
        <w:pStyle w:val="BodyText"/>
        <w:spacing w:before="7"/>
        <w:rPr>
          <w:b/>
          <w:sz w:val="18"/>
        </w:rPr>
      </w:pPr>
    </w:p>
    <w:p>
      <w:pPr>
        <w:spacing w:before="99"/>
        <w:ind w:left="477" w:right="0" w:firstLine="0"/>
        <w:jc w:val="left"/>
        <w:rPr>
          <w:sz w:val="20"/>
        </w:rPr>
      </w:pPr>
      <w:r>
        <w:rPr>
          <w:position w:val="5"/>
          <w:sz w:val="13"/>
        </w:rPr>
        <w:t>525 </w:t>
      </w:r>
      <w:r>
        <w:rPr>
          <w:sz w:val="20"/>
        </w:rPr>
        <w:t>Alaghband-Zadeh 2001</w:t>
      </w:r>
    </w:p>
    <w:p>
      <w:pPr>
        <w:spacing w:before="94"/>
        <w:ind w:left="477" w:right="0" w:firstLine="0"/>
        <w:jc w:val="left"/>
        <w:rPr>
          <w:sz w:val="20"/>
        </w:rPr>
      </w:pPr>
      <w:r>
        <w:rPr>
          <w:position w:val="4"/>
          <w:sz w:val="10"/>
        </w:rPr>
        <w:t>526 </w:t>
      </w:r>
      <w:r>
        <w:rPr>
          <w:sz w:val="20"/>
        </w:rPr>
        <w:t>Quinn P. J. et al. 1992</w:t>
      </w:r>
    </w:p>
    <w:p>
      <w:pPr>
        <w:spacing w:after="0"/>
        <w:jc w:val="left"/>
        <w:rPr>
          <w:sz w:val="20"/>
        </w:rPr>
        <w:sectPr>
          <w:pgSz w:w="14270" w:h="16850"/>
          <w:pgMar w:header="0" w:footer="1891" w:top="1600" w:bottom="2080" w:left="800" w:right="1280"/>
        </w:sectPr>
      </w:pPr>
    </w:p>
    <w:p>
      <w:pPr>
        <w:pStyle w:val="BodyText"/>
        <w:spacing w:line="276" w:lineRule="auto" w:before="181"/>
        <w:ind w:left="477"/>
      </w:pPr>
      <w:r>
        <w:rPr/>
        <w:t>L-carnosine is an endogenous, natural substance found in raw meat, among other things.</w:t>
      </w:r>
    </w:p>
    <w:p>
      <w:pPr>
        <w:pStyle w:val="BodyText"/>
        <w:spacing w:line="276" w:lineRule="auto" w:before="241"/>
        <w:ind w:left="477"/>
      </w:pPr>
      <w:r>
        <w:rPr/>
        <w:t>L-carnosine is used by thousands of people every day and no side effects or interactions with other agents have been reported to date.</w:t>
      </w:r>
    </w:p>
    <w:p>
      <w:pPr>
        <w:pStyle w:val="BodyText"/>
        <w:spacing w:line="276" w:lineRule="auto" w:before="241"/>
        <w:ind w:left="477"/>
        <w:rPr>
          <w:sz w:val="25"/>
        </w:rPr>
      </w:pPr>
      <w:r>
        <w:rPr/>
        <w:t>In animal studies, carnosine has been shown to be safely tolerated, even at ex- tremely high doses of 500 mg/kg body weight.</w:t>
      </w:r>
      <w:r>
        <w:rPr>
          <w:position w:val="9"/>
          <w:sz w:val="25"/>
        </w:rPr>
        <w:t>527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r>
        <w:rPr/>
        <w:pict>
          <v:line style="position:absolute;mso-position-horizontal-relative:page;mso-position-vertical-relative:paragraph;z-index:6680;mso-wrap-distance-left:0;mso-wrap-distance-right:0" from="63.863998pt,18.932514pt" to="207.883998pt,18.932514pt" stroked="true" strokeweight=".71997pt" strokecolor="#000000">
            <v:stroke dashstyle="solid"/>
            <w10:wrap type="topAndBottom"/>
          </v:line>
        </w:pict>
      </w:r>
    </w:p>
    <w:p>
      <w:pPr>
        <w:pStyle w:val="BodyText"/>
        <w:spacing w:before="3"/>
        <w:rPr>
          <w:sz w:val="20"/>
        </w:rPr>
      </w:pPr>
    </w:p>
    <w:p>
      <w:pPr>
        <w:spacing w:before="100"/>
        <w:ind w:left="477" w:right="0" w:firstLine="0"/>
        <w:jc w:val="left"/>
        <w:rPr>
          <w:sz w:val="20"/>
        </w:rPr>
      </w:pPr>
      <w:r>
        <w:rPr>
          <w:position w:val="5"/>
          <w:sz w:val="14"/>
        </w:rPr>
        <w:t>527 </w:t>
      </w:r>
      <w:r>
        <w:rPr>
          <w:sz w:val="20"/>
        </w:rPr>
        <w:t>Quinn PJ et al., 1992</w:t>
      </w:r>
    </w:p>
    <w:p>
      <w:pPr>
        <w:spacing w:after="0"/>
        <w:jc w:val="left"/>
        <w:rPr>
          <w:sz w:val="20"/>
        </w:rPr>
        <w:sectPr>
          <w:pgSz w:w="14270" w:h="16850"/>
          <w:pgMar w:header="0" w:footer="1891" w:top="1600" w:bottom="2080" w:left="800" w:right="1280"/>
        </w:sectPr>
      </w:pPr>
    </w:p>
    <w:p>
      <w:pPr>
        <w:spacing w:before="92"/>
        <w:ind w:left="616" w:right="0" w:firstLine="0"/>
        <w:jc w:val="both"/>
        <w:rPr>
          <w:rFonts w:ascii="Cambria"/>
          <w:b/>
          <w:sz w:val="28"/>
        </w:rPr>
      </w:pPr>
      <w:r>
        <w:rPr>
          <w:rFonts w:ascii="Cambria"/>
          <w:b/>
          <w:color w:val="365F91"/>
          <w:sz w:val="28"/>
        </w:rPr>
        <w:t>MELATONIN</w:t>
      </w:r>
    </w:p>
    <w:p>
      <w:pPr>
        <w:pStyle w:val="Heading1"/>
        <w:spacing w:before="272"/>
        <w:ind w:left="616"/>
        <w:jc w:val="both"/>
      </w:pPr>
      <w:r>
        <w:rPr/>
        <w:t>THE key to eternal youth and</w:t>
      </w:r>
      <w:r>
        <w:rPr>
          <w:spacing w:val="-60"/>
        </w:rPr>
        <w:t> </w:t>
      </w:r>
      <w:r>
        <w:rPr/>
        <w:t>health?</w:t>
      </w:r>
    </w:p>
    <w:p>
      <w:pPr>
        <w:pStyle w:val="BodyText"/>
        <w:spacing w:line="276" w:lineRule="auto" w:before="299"/>
        <w:ind w:left="616" w:right="135"/>
        <w:jc w:val="both"/>
      </w:pPr>
      <w:r>
        <w:rPr/>
        <w:t>Many books have been written about it, and yet it is familiar to only a few people. Even doctors know surprisingly little about it. We are talking about melatonin.</w:t>
      </w:r>
    </w:p>
    <w:p>
      <w:pPr>
        <w:pStyle w:val="BodyText"/>
        <w:spacing w:line="276" w:lineRule="auto" w:before="241"/>
        <w:ind w:left="616" w:right="132"/>
        <w:jc w:val="both"/>
      </w:pPr>
      <w:r>
        <w:rPr/>
        <w:t>Imagine</w:t>
      </w:r>
      <w:r>
        <w:rPr>
          <w:spacing w:val="-15"/>
        </w:rPr>
        <w:t> </w:t>
      </w:r>
      <w:r>
        <w:rPr/>
        <w:t>that</w:t>
      </w:r>
      <w:r>
        <w:rPr>
          <w:spacing w:val="-14"/>
        </w:rPr>
        <w:t> </w:t>
      </w:r>
      <w:r>
        <w:rPr/>
        <w:t>there</w:t>
      </w:r>
      <w:r>
        <w:rPr>
          <w:spacing w:val="-14"/>
        </w:rPr>
        <w:t> </w:t>
      </w:r>
      <w:r>
        <w:rPr/>
        <w:t>is</w:t>
      </w:r>
      <w:r>
        <w:rPr>
          <w:spacing w:val="-14"/>
        </w:rPr>
        <w:t> </w:t>
      </w:r>
      <w:r>
        <w:rPr/>
        <w:t>an</w:t>
      </w:r>
      <w:r>
        <w:rPr>
          <w:spacing w:val="-14"/>
        </w:rPr>
        <w:t> </w:t>
      </w:r>
      <w:r>
        <w:rPr/>
        <w:t>endogenous</w:t>
      </w:r>
      <w:r>
        <w:rPr>
          <w:spacing w:val="-14"/>
        </w:rPr>
        <w:t> </w:t>
      </w:r>
      <w:r>
        <w:rPr/>
        <w:t>hormone</w:t>
      </w:r>
      <w:r>
        <w:rPr>
          <w:spacing w:val="-16"/>
        </w:rPr>
        <w:t> </w:t>
      </w:r>
      <w:r>
        <w:rPr/>
        <w:t>that</w:t>
      </w:r>
      <w:r>
        <w:rPr>
          <w:spacing w:val="-15"/>
        </w:rPr>
        <w:t> </w:t>
      </w:r>
      <w:r>
        <w:rPr/>
        <w:t>not</w:t>
      </w:r>
      <w:r>
        <w:rPr>
          <w:spacing w:val="-14"/>
        </w:rPr>
        <w:t> </w:t>
      </w:r>
      <w:r>
        <w:rPr/>
        <w:t>only</w:t>
      </w:r>
      <w:r>
        <w:rPr>
          <w:spacing w:val="-15"/>
        </w:rPr>
        <w:t> </w:t>
      </w:r>
      <w:r>
        <w:rPr/>
        <w:t>retards</w:t>
      </w:r>
      <w:r>
        <w:rPr>
          <w:spacing w:val="-14"/>
        </w:rPr>
        <w:t> </w:t>
      </w:r>
      <w:r>
        <w:rPr/>
        <w:t>ageing,</w:t>
      </w:r>
      <w:r>
        <w:rPr>
          <w:spacing w:val="-13"/>
        </w:rPr>
        <w:t> </w:t>
      </w:r>
      <w:r>
        <w:rPr/>
        <w:t>but even biologically rejuvenates people. And if that's not enough, this hormone prevents harmful diseases like cancer, heart attack, stroke, diabetes, cataracts and Alzheimer's. And if this does not quite bring ultimate satisfaction, it con- trols our biological rhythm and gives us energy to accomplish our daily tasks during the day and it gives us a restful, deep sleep at night...</w:t>
      </w:r>
    </w:p>
    <w:p>
      <w:pPr>
        <w:pStyle w:val="BodyText"/>
        <w:spacing w:line="278" w:lineRule="auto" w:before="241"/>
        <w:ind w:left="616" w:right="143"/>
        <w:jc w:val="both"/>
      </w:pPr>
      <w:r>
        <w:rPr/>
        <w:t>It</w:t>
      </w:r>
      <w:r>
        <w:rPr>
          <w:spacing w:val="-12"/>
        </w:rPr>
        <w:t> </w:t>
      </w:r>
      <w:r>
        <w:rPr/>
        <w:t>can</w:t>
      </w:r>
      <w:r>
        <w:rPr>
          <w:spacing w:val="-11"/>
        </w:rPr>
        <w:t> </w:t>
      </w:r>
      <w:r>
        <w:rPr/>
        <w:t>only</w:t>
      </w:r>
      <w:r>
        <w:rPr>
          <w:spacing w:val="-11"/>
        </w:rPr>
        <w:t> </w:t>
      </w:r>
      <w:r>
        <w:rPr/>
        <w:t>be</w:t>
      </w:r>
      <w:r>
        <w:rPr>
          <w:spacing w:val="-11"/>
        </w:rPr>
        <w:t> </w:t>
      </w:r>
      <w:r>
        <w:rPr/>
        <w:t>melatonin,</w:t>
      </w:r>
      <w:r>
        <w:rPr>
          <w:spacing w:val="-10"/>
        </w:rPr>
        <w:t> </w:t>
      </w:r>
      <w:r>
        <w:rPr/>
        <w:t>an</w:t>
      </w:r>
      <w:r>
        <w:rPr>
          <w:spacing w:val="-11"/>
        </w:rPr>
        <w:t> </w:t>
      </w:r>
      <w:r>
        <w:rPr/>
        <w:t>endogenous</w:t>
      </w:r>
      <w:r>
        <w:rPr>
          <w:spacing w:val="-10"/>
        </w:rPr>
        <w:t> </w:t>
      </w:r>
      <w:r>
        <w:rPr/>
        <w:t>hormone</w:t>
      </w:r>
      <w:r>
        <w:rPr>
          <w:spacing w:val="-11"/>
        </w:rPr>
        <w:t> </w:t>
      </w:r>
      <w:r>
        <w:rPr/>
        <w:t>that</w:t>
      </w:r>
      <w:r>
        <w:rPr>
          <w:spacing w:val="-11"/>
        </w:rPr>
        <w:t> </w:t>
      </w:r>
      <w:r>
        <w:rPr/>
        <w:t>is</w:t>
      </w:r>
      <w:r>
        <w:rPr>
          <w:spacing w:val="-12"/>
        </w:rPr>
        <w:t> </w:t>
      </w:r>
      <w:r>
        <w:rPr/>
        <w:t>produced</w:t>
      </w:r>
      <w:r>
        <w:rPr>
          <w:spacing w:val="-11"/>
        </w:rPr>
        <w:t> </w:t>
      </w:r>
      <w:r>
        <w:rPr/>
        <w:t>in</w:t>
      </w:r>
      <w:r>
        <w:rPr>
          <w:spacing w:val="-12"/>
        </w:rPr>
        <w:t> </w:t>
      </w:r>
      <w:r>
        <w:rPr/>
        <w:t>the</w:t>
      </w:r>
      <w:r>
        <w:rPr>
          <w:spacing w:val="-10"/>
        </w:rPr>
        <w:t> </w:t>
      </w:r>
      <w:r>
        <w:rPr/>
        <w:t>pin- eal gland in the brain (brain</w:t>
      </w:r>
      <w:r>
        <w:rPr>
          <w:spacing w:val="-1"/>
        </w:rPr>
        <w:t> </w:t>
      </w:r>
      <w:r>
        <w:rPr/>
        <w:t>stem).</w:t>
      </w:r>
    </w:p>
    <w:p>
      <w:pPr>
        <w:pStyle w:val="BodyText"/>
        <w:spacing w:line="276" w:lineRule="auto" w:before="232"/>
        <w:ind w:left="616" w:right="131"/>
        <w:jc w:val="both"/>
      </w:pPr>
      <w:r>
        <w:rPr/>
        <w:t>It</w:t>
      </w:r>
      <w:r>
        <w:rPr>
          <w:spacing w:val="-15"/>
        </w:rPr>
        <w:t> </w:t>
      </w:r>
      <w:r>
        <w:rPr/>
        <w:t>is</w:t>
      </w:r>
      <w:r>
        <w:rPr>
          <w:spacing w:val="-13"/>
        </w:rPr>
        <w:t> </w:t>
      </w:r>
      <w:r>
        <w:rPr/>
        <w:t>certain</w:t>
      </w:r>
      <w:r>
        <w:rPr>
          <w:spacing w:val="-13"/>
        </w:rPr>
        <w:t> </w:t>
      </w:r>
      <w:r>
        <w:rPr/>
        <w:t>that</w:t>
      </w:r>
      <w:r>
        <w:rPr>
          <w:spacing w:val="-13"/>
        </w:rPr>
        <w:t> </w:t>
      </w:r>
      <w:r>
        <w:rPr/>
        <w:t>such</w:t>
      </w:r>
      <w:r>
        <w:rPr>
          <w:spacing w:val="-12"/>
        </w:rPr>
        <w:t> </w:t>
      </w:r>
      <w:r>
        <w:rPr/>
        <w:t>a</w:t>
      </w:r>
      <w:r>
        <w:rPr>
          <w:spacing w:val="-14"/>
        </w:rPr>
        <w:t> </w:t>
      </w:r>
      <w:r>
        <w:rPr/>
        <w:t>thing</w:t>
      </w:r>
      <w:r>
        <w:rPr>
          <w:spacing w:val="-13"/>
        </w:rPr>
        <w:t> </w:t>
      </w:r>
      <w:r>
        <w:rPr/>
        <w:t>would</w:t>
      </w:r>
      <w:r>
        <w:rPr>
          <w:spacing w:val="-14"/>
        </w:rPr>
        <w:t> </w:t>
      </w:r>
      <w:r>
        <w:rPr/>
        <w:t>be</w:t>
      </w:r>
      <w:r>
        <w:rPr>
          <w:spacing w:val="-13"/>
        </w:rPr>
        <w:t> </w:t>
      </w:r>
      <w:r>
        <w:rPr/>
        <w:t>assigned</w:t>
      </w:r>
      <w:r>
        <w:rPr>
          <w:spacing w:val="-13"/>
        </w:rPr>
        <w:t> </w:t>
      </w:r>
      <w:r>
        <w:rPr/>
        <w:t>to</w:t>
      </w:r>
      <w:r>
        <w:rPr>
          <w:spacing w:val="-13"/>
        </w:rPr>
        <w:t> </w:t>
      </w:r>
      <w:r>
        <w:rPr/>
        <w:t>the</w:t>
      </w:r>
      <w:r>
        <w:rPr>
          <w:spacing w:val="-12"/>
        </w:rPr>
        <w:t> </w:t>
      </w:r>
      <w:r>
        <w:rPr/>
        <w:t>realm</w:t>
      </w:r>
      <w:r>
        <w:rPr>
          <w:spacing w:val="-14"/>
        </w:rPr>
        <w:t> </w:t>
      </w:r>
      <w:r>
        <w:rPr/>
        <w:t>of</w:t>
      </w:r>
      <w:r>
        <w:rPr>
          <w:spacing w:val="-13"/>
        </w:rPr>
        <w:t> </w:t>
      </w:r>
      <w:r>
        <w:rPr/>
        <w:t>myths</w:t>
      </w:r>
      <w:r>
        <w:rPr>
          <w:spacing w:val="-13"/>
        </w:rPr>
        <w:t> </w:t>
      </w:r>
      <w:r>
        <w:rPr/>
        <w:t>and</w:t>
      </w:r>
      <w:r>
        <w:rPr>
          <w:spacing w:val="-13"/>
        </w:rPr>
        <w:t> </w:t>
      </w:r>
      <w:r>
        <w:rPr/>
        <w:t>fairy tales, if - yes, if not for the many sensational works, studies and pieces of re- search</w:t>
      </w:r>
      <w:r>
        <w:rPr>
          <w:spacing w:val="-12"/>
        </w:rPr>
        <w:t> </w:t>
      </w:r>
      <w:r>
        <w:rPr/>
        <w:t>by</w:t>
      </w:r>
      <w:r>
        <w:rPr>
          <w:spacing w:val="-11"/>
        </w:rPr>
        <w:t> </w:t>
      </w:r>
      <w:r>
        <w:rPr/>
        <w:t>well-known</w:t>
      </w:r>
      <w:r>
        <w:rPr>
          <w:spacing w:val="-12"/>
        </w:rPr>
        <w:t> </w:t>
      </w:r>
      <w:r>
        <w:rPr/>
        <w:t>doctors</w:t>
      </w:r>
      <w:r>
        <w:rPr>
          <w:spacing w:val="-11"/>
        </w:rPr>
        <w:t> </w:t>
      </w:r>
      <w:r>
        <w:rPr/>
        <w:t>and</w:t>
      </w:r>
      <w:r>
        <w:rPr>
          <w:spacing w:val="-11"/>
        </w:rPr>
        <w:t> </w:t>
      </w:r>
      <w:r>
        <w:rPr/>
        <w:t>scientists</w:t>
      </w:r>
      <w:r>
        <w:rPr>
          <w:spacing w:val="-11"/>
        </w:rPr>
        <w:t> </w:t>
      </w:r>
      <w:r>
        <w:rPr/>
        <w:t>all</w:t>
      </w:r>
      <w:r>
        <w:rPr>
          <w:spacing w:val="-13"/>
        </w:rPr>
        <w:t> </w:t>
      </w:r>
      <w:r>
        <w:rPr/>
        <w:t>over</w:t>
      </w:r>
      <w:r>
        <w:rPr>
          <w:spacing w:val="-11"/>
        </w:rPr>
        <w:t> </w:t>
      </w:r>
      <w:r>
        <w:rPr/>
        <w:t>the</w:t>
      </w:r>
      <w:r>
        <w:rPr>
          <w:spacing w:val="-11"/>
        </w:rPr>
        <w:t> </w:t>
      </w:r>
      <w:r>
        <w:rPr/>
        <w:t>world,</w:t>
      </w:r>
      <w:r>
        <w:rPr>
          <w:spacing w:val="-13"/>
        </w:rPr>
        <w:t> </w:t>
      </w:r>
      <w:r>
        <w:rPr/>
        <w:t>which</w:t>
      </w:r>
      <w:r>
        <w:rPr>
          <w:spacing w:val="-11"/>
        </w:rPr>
        <w:t> </w:t>
      </w:r>
      <w:r>
        <w:rPr/>
        <w:t>attribute amazing properties to melatonin in terms of life extension, prevention and cure, even of 'incurable'</w:t>
      </w:r>
      <w:r>
        <w:rPr>
          <w:spacing w:val="-2"/>
        </w:rPr>
        <w:t> </w:t>
      </w:r>
      <w:r>
        <w:rPr/>
        <w:t>diseases.</w:t>
      </w:r>
    </w:p>
    <w:p>
      <w:pPr>
        <w:pStyle w:val="BodyText"/>
        <w:spacing w:line="276" w:lineRule="auto" w:before="240"/>
        <w:ind w:left="616" w:right="138"/>
        <w:jc w:val="both"/>
      </w:pPr>
      <w:r>
        <w:rPr/>
        <w:t>The scientists Dr. William Regelson and Walter Pierpaoli were the first to prove the importance of the pineal gland for our lifespan in animal experi- ments. For this purpose, the pineal glands of younger mice were</w:t>
      </w:r>
      <w:r>
        <w:rPr>
          <w:spacing w:val="54"/>
        </w:rPr>
        <w:t> </w:t>
      </w:r>
      <w:r>
        <w:rPr/>
        <w:t>transplanted</w:t>
      </w:r>
    </w:p>
    <w:p>
      <w:pPr>
        <w:spacing w:after="0" w:line="276" w:lineRule="auto"/>
        <w:jc w:val="both"/>
        <w:sectPr>
          <w:pgSz w:w="14270" w:h="16850"/>
          <w:pgMar w:header="0" w:footer="1891" w:top="1600" w:bottom="2080" w:left="800" w:right="1280"/>
        </w:sectPr>
      </w:pPr>
    </w:p>
    <w:p>
      <w:pPr>
        <w:pStyle w:val="BodyText"/>
        <w:spacing w:line="278" w:lineRule="auto" w:before="72"/>
        <w:ind w:left="616" w:right="137"/>
        <w:jc w:val="both"/>
      </w:pPr>
      <w:r>
        <w:rPr/>
        <w:t>to older mice – and vice versa – and the lifespans of both groups were com- pared.</w:t>
      </w:r>
    </w:p>
    <w:p>
      <w:pPr>
        <w:pStyle w:val="BodyText"/>
        <w:spacing w:line="276" w:lineRule="auto" w:before="232"/>
        <w:ind w:left="616" w:right="135"/>
        <w:jc w:val="both"/>
      </w:pPr>
      <w:r>
        <w:rPr/>
        <w:t>The younger mice with the older pineal gland lived to an average age of just 510 days, while the older mice which had the younger pineal gland implanted were able to reach double that age - an average of 1020 days!</w:t>
      </w:r>
    </w:p>
    <w:p>
      <w:pPr>
        <w:pStyle w:val="BodyText"/>
        <w:spacing w:line="276" w:lineRule="auto" w:before="241"/>
        <w:ind w:left="616" w:right="135"/>
        <w:jc w:val="both"/>
      </w:pPr>
      <w:r>
        <w:rPr/>
        <w:t>However, in order to be able to attribute this amazing effect exclusively to melatonin,</w:t>
      </w:r>
      <w:r>
        <w:rPr>
          <w:spacing w:val="-24"/>
        </w:rPr>
        <w:t> </w:t>
      </w:r>
      <w:r>
        <w:rPr/>
        <w:t>Dr.</w:t>
      </w:r>
      <w:r>
        <w:rPr>
          <w:spacing w:val="-23"/>
        </w:rPr>
        <w:t> </w:t>
      </w:r>
      <w:r>
        <w:rPr/>
        <w:t>Regelson</w:t>
      </w:r>
      <w:r>
        <w:rPr>
          <w:spacing w:val="-23"/>
        </w:rPr>
        <w:t> </w:t>
      </w:r>
      <w:r>
        <w:rPr/>
        <w:t>decided</w:t>
      </w:r>
      <w:r>
        <w:rPr>
          <w:spacing w:val="-26"/>
        </w:rPr>
        <w:t> </w:t>
      </w:r>
      <w:r>
        <w:rPr/>
        <w:t>to</w:t>
      </w:r>
      <w:r>
        <w:rPr>
          <w:spacing w:val="-23"/>
        </w:rPr>
        <w:t> </w:t>
      </w:r>
      <w:r>
        <w:rPr/>
        <w:t>start</w:t>
      </w:r>
      <w:r>
        <w:rPr>
          <w:spacing w:val="-23"/>
        </w:rPr>
        <w:t> </w:t>
      </w:r>
      <w:r>
        <w:rPr/>
        <w:t>a</w:t>
      </w:r>
      <w:r>
        <w:rPr>
          <w:spacing w:val="-25"/>
        </w:rPr>
        <w:t> </w:t>
      </w:r>
      <w:r>
        <w:rPr/>
        <w:t>control</w:t>
      </w:r>
      <w:r>
        <w:rPr>
          <w:spacing w:val="-26"/>
        </w:rPr>
        <w:t> </w:t>
      </w:r>
      <w:r>
        <w:rPr/>
        <w:t>experiment</w:t>
      </w:r>
      <w:r>
        <w:rPr>
          <w:spacing w:val="-24"/>
        </w:rPr>
        <w:t> </w:t>
      </w:r>
      <w:r>
        <w:rPr/>
        <w:t>by</w:t>
      </w:r>
      <w:r>
        <w:rPr>
          <w:spacing w:val="-24"/>
        </w:rPr>
        <w:t> </w:t>
      </w:r>
      <w:r>
        <w:rPr/>
        <w:t>administering a</w:t>
      </w:r>
      <w:r>
        <w:rPr>
          <w:spacing w:val="-25"/>
        </w:rPr>
        <w:t> </w:t>
      </w:r>
      <w:r>
        <w:rPr/>
        <w:t>normal</w:t>
      </w:r>
      <w:r>
        <w:rPr>
          <w:spacing w:val="-24"/>
        </w:rPr>
        <w:t> </w:t>
      </w:r>
      <w:r>
        <w:rPr/>
        <w:t>diet</w:t>
      </w:r>
      <w:r>
        <w:rPr>
          <w:spacing w:val="-24"/>
        </w:rPr>
        <w:t> </w:t>
      </w:r>
      <w:r>
        <w:rPr/>
        <w:t>to</w:t>
      </w:r>
      <w:r>
        <w:rPr>
          <w:spacing w:val="-25"/>
        </w:rPr>
        <w:t> </w:t>
      </w:r>
      <w:r>
        <w:rPr/>
        <w:t>one</w:t>
      </w:r>
      <w:r>
        <w:rPr>
          <w:spacing w:val="-22"/>
        </w:rPr>
        <w:t> </w:t>
      </w:r>
      <w:r>
        <w:rPr/>
        <w:t>group</w:t>
      </w:r>
      <w:r>
        <w:rPr>
          <w:spacing w:val="-25"/>
        </w:rPr>
        <w:t> </w:t>
      </w:r>
      <w:r>
        <w:rPr/>
        <w:t>of</w:t>
      </w:r>
      <w:r>
        <w:rPr>
          <w:spacing w:val="-23"/>
        </w:rPr>
        <w:t> </w:t>
      </w:r>
      <w:r>
        <w:rPr/>
        <w:t>mice</w:t>
      </w:r>
      <w:r>
        <w:rPr>
          <w:spacing w:val="-22"/>
        </w:rPr>
        <w:t> </w:t>
      </w:r>
      <w:r>
        <w:rPr/>
        <w:t>and</w:t>
      </w:r>
      <w:r>
        <w:rPr>
          <w:spacing w:val="-23"/>
        </w:rPr>
        <w:t> </w:t>
      </w:r>
      <w:r>
        <w:rPr/>
        <w:t>the</w:t>
      </w:r>
      <w:r>
        <w:rPr>
          <w:spacing w:val="-24"/>
        </w:rPr>
        <w:t> </w:t>
      </w:r>
      <w:r>
        <w:rPr/>
        <w:t>same</w:t>
      </w:r>
      <w:r>
        <w:rPr>
          <w:spacing w:val="-26"/>
        </w:rPr>
        <w:t> </w:t>
      </w:r>
      <w:r>
        <w:rPr/>
        <w:t>diet</w:t>
      </w:r>
      <w:r>
        <w:rPr>
          <w:spacing w:val="-24"/>
        </w:rPr>
        <w:t> </w:t>
      </w:r>
      <w:r>
        <w:rPr/>
        <w:t>with</w:t>
      </w:r>
      <w:r>
        <w:rPr>
          <w:spacing w:val="-22"/>
        </w:rPr>
        <w:t> </w:t>
      </w:r>
      <w:r>
        <w:rPr/>
        <w:t>melatonin</w:t>
      </w:r>
      <w:r>
        <w:rPr>
          <w:spacing w:val="-23"/>
        </w:rPr>
        <w:t> </w:t>
      </w:r>
      <w:r>
        <w:rPr/>
        <w:t>to</w:t>
      </w:r>
      <w:r>
        <w:rPr>
          <w:spacing w:val="-22"/>
        </w:rPr>
        <w:t> </w:t>
      </w:r>
      <w:r>
        <w:rPr/>
        <w:t>another group.</w:t>
      </w:r>
    </w:p>
    <w:p>
      <w:pPr>
        <w:pStyle w:val="BodyText"/>
        <w:spacing w:line="276" w:lineRule="auto" w:before="240"/>
        <w:ind w:left="616" w:right="134"/>
        <w:jc w:val="both"/>
      </w:pPr>
      <w:r>
        <w:rPr/>
        <w:t>While the mice fed exclusively on a normal diet died at the usual age of 24-25 months,</w:t>
      </w:r>
      <w:r>
        <w:rPr>
          <w:spacing w:val="-10"/>
        </w:rPr>
        <w:t> </w:t>
      </w:r>
      <w:r>
        <w:rPr/>
        <w:t>the</w:t>
      </w:r>
      <w:r>
        <w:rPr>
          <w:spacing w:val="-11"/>
        </w:rPr>
        <w:t> </w:t>
      </w:r>
      <w:r>
        <w:rPr/>
        <w:t>'melatonin</w:t>
      </w:r>
      <w:r>
        <w:rPr>
          <w:spacing w:val="-12"/>
        </w:rPr>
        <w:t> </w:t>
      </w:r>
      <w:r>
        <w:rPr/>
        <w:t>mice'</w:t>
      </w:r>
      <w:r>
        <w:rPr>
          <w:spacing w:val="-10"/>
        </w:rPr>
        <w:t> </w:t>
      </w:r>
      <w:r>
        <w:rPr/>
        <w:t>lived</w:t>
      </w:r>
      <w:r>
        <w:rPr>
          <w:spacing w:val="-13"/>
        </w:rPr>
        <w:t> </w:t>
      </w:r>
      <w:r>
        <w:rPr/>
        <w:t>six</w:t>
      </w:r>
      <w:r>
        <w:rPr>
          <w:spacing w:val="-12"/>
        </w:rPr>
        <w:t> </w:t>
      </w:r>
      <w:r>
        <w:rPr/>
        <w:t>months</w:t>
      </w:r>
      <w:r>
        <w:rPr>
          <w:spacing w:val="-11"/>
        </w:rPr>
        <w:t> </w:t>
      </w:r>
      <w:r>
        <w:rPr/>
        <w:t>longer,</w:t>
      </w:r>
      <w:r>
        <w:rPr>
          <w:spacing w:val="-11"/>
        </w:rPr>
        <w:t> </w:t>
      </w:r>
      <w:r>
        <w:rPr/>
        <w:t>which</w:t>
      </w:r>
      <w:r>
        <w:rPr>
          <w:spacing w:val="-11"/>
        </w:rPr>
        <w:t> </w:t>
      </w:r>
      <w:r>
        <w:rPr/>
        <w:t>equates</w:t>
      </w:r>
      <w:r>
        <w:rPr>
          <w:spacing w:val="-11"/>
        </w:rPr>
        <w:t> </w:t>
      </w:r>
      <w:r>
        <w:rPr/>
        <w:t>to</w:t>
      </w:r>
      <w:r>
        <w:rPr>
          <w:spacing w:val="-11"/>
        </w:rPr>
        <w:t> </w:t>
      </w:r>
      <w:r>
        <w:rPr/>
        <w:t>a</w:t>
      </w:r>
      <w:r>
        <w:rPr>
          <w:spacing w:val="-13"/>
        </w:rPr>
        <w:t> </w:t>
      </w:r>
      <w:r>
        <w:rPr/>
        <w:t>30</w:t>
      </w:r>
      <w:r>
        <w:rPr>
          <w:spacing w:val="-11"/>
        </w:rPr>
        <w:t> </w:t>
      </w:r>
      <w:r>
        <w:rPr/>
        <w:t>% life</w:t>
      </w:r>
      <w:r>
        <w:rPr>
          <w:spacing w:val="-27"/>
        </w:rPr>
        <w:t> </w:t>
      </w:r>
      <w:r>
        <w:rPr/>
        <w:t>extension</w:t>
      </w:r>
      <w:r>
        <w:rPr>
          <w:spacing w:val="-25"/>
        </w:rPr>
        <w:t> </w:t>
      </w:r>
      <w:r>
        <w:rPr/>
        <w:t>and</w:t>
      </w:r>
      <w:r>
        <w:rPr>
          <w:spacing w:val="-26"/>
        </w:rPr>
        <w:t> </w:t>
      </w:r>
      <w:r>
        <w:rPr/>
        <w:t>the</w:t>
      </w:r>
      <w:r>
        <w:rPr>
          <w:spacing w:val="-25"/>
        </w:rPr>
        <w:t> </w:t>
      </w:r>
      <w:r>
        <w:rPr/>
        <w:t>equivalent</w:t>
      </w:r>
      <w:r>
        <w:rPr>
          <w:spacing w:val="-26"/>
        </w:rPr>
        <w:t> </w:t>
      </w:r>
      <w:r>
        <w:rPr/>
        <w:t>of</w:t>
      </w:r>
      <w:r>
        <w:rPr>
          <w:spacing w:val="-26"/>
        </w:rPr>
        <w:t> </w:t>
      </w:r>
      <w:r>
        <w:rPr/>
        <w:t>an</w:t>
      </w:r>
      <w:r>
        <w:rPr>
          <w:spacing w:val="-26"/>
        </w:rPr>
        <w:t> </w:t>
      </w:r>
      <w:r>
        <w:rPr/>
        <w:t>additional</w:t>
      </w:r>
      <w:r>
        <w:rPr>
          <w:spacing w:val="-25"/>
        </w:rPr>
        <w:t> </w:t>
      </w:r>
      <w:r>
        <w:rPr/>
        <w:t>human</w:t>
      </w:r>
      <w:r>
        <w:rPr>
          <w:spacing w:val="-25"/>
        </w:rPr>
        <w:t> </w:t>
      </w:r>
      <w:r>
        <w:rPr/>
        <w:t>lifetime</w:t>
      </w:r>
      <w:r>
        <w:rPr>
          <w:spacing w:val="-23"/>
        </w:rPr>
        <w:t> </w:t>
      </w:r>
      <w:r>
        <w:rPr/>
        <w:t>of</w:t>
      </w:r>
      <w:r>
        <w:rPr>
          <w:spacing w:val="-26"/>
        </w:rPr>
        <w:t> </w:t>
      </w:r>
      <w:r>
        <w:rPr/>
        <w:t>25-30</w:t>
      </w:r>
      <w:r>
        <w:rPr>
          <w:spacing w:val="-27"/>
        </w:rPr>
        <w:t> </w:t>
      </w:r>
      <w:r>
        <w:rPr/>
        <w:t>years! What’s more: In contrast to the control group, the mice fed with melatonin were energetic and healthy until their death! They began to rejuvenate until they adopted the behaviour and appearance of young</w:t>
      </w:r>
      <w:r>
        <w:rPr>
          <w:spacing w:val="-1"/>
        </w:rPr>
        <w:t> </w:t>
      </w:r>
      <w:r>
        <w:rPr/>
        <w:t>mice.</w:t>
      </w:r>
    </w:p>
    <w:p>
      <w:pPr>
        <w:pStyle w:val="BodyText"/>
        <w:spacing w:line="276" w:lineRule="auto" w:before="240"/>
        <w:ind w:left="616" w:right="133"/>
        <w:jc w:val="both"/>
      </w:pPr>
      <w:r>
        <w:rPr/>
        <w:t>It was a milestone in the study of biological ageing, which has since given the pineal gland a very important, if not crucial, role in controlling ageing pro- cesses.</w:t>
      </w:r>
    </w:p>
    <w:p>
      <w:pPr>
        <w:pStyle w:val="BodyText"/>
        <w:spacing w:line="276" w:lineRule="auto" w:before="241"/>
        <w:ind w:left="616" w:right="131"/>
        <w:jc w:val="both"/>
      </w:pPr>
      <w:r>
        <w:rPr/>
        <w:t>Furthermore,</w:t>
      </w:r>
      <w:r>
        <w:rPr>
          <w:spacing w:val="-6"/>
        </w:rPr>
        <w:t> </w:t>
      </w:r>
      <w:r>
        <w:rPr/>
        <w:t>it</w:t>
      </w:r>
      <w:r>
        <w:rPr>
          <w:spacing w:val="-9"/>
        </w:rPr>
        <w:t> </w:t>
      </w:r>
      <w:r>
        <w:rPr/>
        <w:t>is</w:t>
      </w:r>
      <w:r>
        <w:rPr>
          <w:spacing w:val="-5"/>
        </w:rPr>
        <w:t> </w:t>
      </w:r>
      <w:r>
        <w:rPr/>
        <w:t>a</w:t>
      </w:r>
      <w:r>
        <w:rPr>
          <w:spacing w:val="-9"/>
        </w:rPr>
        <w:t> </w:t>
      </w:r>
      <w:r>
        <w:rPr/>
        <w:t>testament</w:t>
      </w:r>
      <w:r>
        <w:rPr>
          <w:spacing w:val="-6"/>
        </w:rPr>
        <w:t> </w:t>
      </w:r>
      <w:r>
        <w:rPr/>
        <w:t>to</w:t>
      </w:r>
      <w:r>
        <w:rPr>
          <w:spacing w:val="-10"/>
        </w:rPr>
        <w:t> </w:t>
      </w:r>
      <w:r>
        <w:rPr/>
        <w:t>the</w:t>
      </w:r>
      <w:r>
        <w:rPr>
          <w:spacing w:val="-5"/>
        </w:rPr>
        <w:t> </w:t>
      </w:r>
      <w:r>
        <w:rPr/>
        <w:t>fact</w:t>
      </w:r>
      <w:r>
        <w:rPr>
          <w:spacing w:val="-8"/>
        </w:rPr>
        <w:t> </w:t>
      </w:r>
      <w:r>
        <w:rPr/>
        <w:t>that</w:t>
      </w:r>
      <w:r>
        <w:rPr>
          <w:spacing w:val="-8"/>
        </w:rPr>
        <w:t> </w:t>
      </w:r>
      <w:r>
        <w:rPr/>
        <w:t>the</w:t>
      </w:r>
      <w:r>
        <w:rPr>
          <w:spacing w:val="-7"/>
        </w:rPr>
        <w:t> </w:t>
      </w:r>
      <w:r>
        <w:rPr/>
        <w:t>receptivity</w:t>
      </w:r>
      <w:r>
        <w:rPr>
          <w:spacing w:val="-6"/>
        </w:rPr>
        <w:t> </w:t>
      </w:r>
      <w:r>
        <w:rPr/>
        <w:t>and</w:t>
      </w:r>
      <w:r>
        <w:rPr>
          <w:spacing w:val="-6"/>
        </w:rPr>
        <w:t> </w:t>
      </w:r>
      <w:r>
        <w:rPr/>
        <w:t>processing</w:t>
      </w:r>
      <w:r>
        <w:rPr>
          <w:spacing w:val="-8"/>
        </w:rPr>
        <w:t> </w:t>
      </w:r>
      <w:r>
        <w:rPr/>
        <w:t>of a</w:t>
      </w:r>
      <w:r>
        <w:rPr>
          <w:spacing w:val="-26"/>
        </w:rPr>
        <w:t> </w:t>
      </w:r>
      <w:r>
        <w:rPr/>
        <w:t>melatonin</w:t>
      </w:r>
      <w:r>
        <w:rPr>
          <w:spacing w:val="-24"/>
        </w:rPr>
        <w:t> </w:t>
      </w:r>
      <w:r>
        <w:rPr/>
        <w:t>dietary</w:t>
      </w:r>
      <w:r>
        <w:rPr>
          <w:spacing w:val="-25"/>
        </w:rPr>
        <w:t> </w:t>
      </w:r>
      <w:r>
        <w:rPr/>
        <w:t>supplement,</w:t>
      </w:r>
      <w:r>
        <w:rPr>
          <w:spacing w:val="-26"/>
        </w:rPr>
        <w:t> </w:t>
      </w:r>
      <w:r>
        <w:rPr/>
        <w:t>which</w:t>
      </w:r>
      <w:r>
        <w:rPr>
          <w:spacing w:val="-24"/>
        </w:rPr>
        <w:t> </w:t>
      </w:r>
      <w:r>
        <w:rPr/>
        <w:t>have</w:t>
      </w:r>
      <w:r>
        <w:rPr>
          <w:spacing w:val="-24"/>
        </w:rPr>
        <w:t> </w:t>
      </w:r>
      <w:r>
        <w:rPr/>
        <w:t>frequently</w:t>
      </w:r>
      <w:r>
        <w:rPr>
          <w:spacing w:val="-25"/>
        </w:rPr>
        <w:t> </w:t>
      </w:r>
      <w:r>
        <w:rPr/>
        <w:t>been</w:t>
      </w:r>
      <w:r>
        <w:rPr>
          <w:spacing w:val="-24"/>
        </w:rPr>
        <w:t> </w:t>
      </w:r>
      <w:r>
        <w:rPr/>
        <w:t>doubted</w:t>
      </w:r>
      <w:r>
        <w:rPr>
          <w:spacing w:val="-24"/>
        </w:rPr>
        <w:t> </w:t>
      </w:r>
      <w:r>
        <w:rPr/>
        <w:t>by</w:t>
      </w:r>
      <w:r>
        <w:rPr>
          <w:spacing w:val="-25"/>
        </w:rPr>
        <w:t> </w:t>
      </w:r>
      <w:r>
        <w:rPr/>
        <w:t>critics, work beyond</w:t>
      </w:r>
      <w:r>
        <w:rPr>
          <w:spacing w:val="1"/>
        </w:rPr>
        <w:t> </w:t>
      </w:r>
      <w:r>
        <w:rPr/>
        <w:t>doubt!</w:t>
      </w:r>
    </w:p>
    <w:p>
      <w:pPr>
        <w:spacing w:after="0" w:line="276" w:lineRule="auto"/>
        <w:jc w:val="both"/>
        <w:sectPr>
          <w:pgSz w:w="14270" w:h="16850"/>
          <w:pgMar w:header="0" w:footer="1891" w:top="1340" w:bottom="2080" w:left="800" w:right="1280"/>
        </w:sectPr>
      </w:pPr>
    </w:p>
    <w:p>
      <w:pPr>
        <w:pStyle w:val="BodyText"/>
        <w:spacing w:line="276" w:lineRule="auto" w:before="74"/>
        <w:ind w:left="616" w:right="135"/>
        <w:jc w:val="both"/>
      </w:pPr>
      <w:r>
        <w:rPr/>
        <w:t>'Hmm' – you might say – '... it's possible to accept this as an indication that melatonin is the key to youth, but what about the fabled health that</w:t>
      </w:r>
      <w:r>
        <w:rPr>
          <w:spacing w:val="-66"/>
        </w:rPr>
        <w:t> </w:t>
      </w:r>
      <w:r>
        <w:rPr/>
        <w:t>melatonin is also supposed to promote?'.</w:t>
      </w:r>
    </w:p>
    <w:p>
      <w:pPr>
        <w:pStyle w:val="BodyText"/>
        <w:spacing w:line="276" w:lineRule="auto" w:before="239"/>
        <w:ind w:left="616" w:right="130"/>
        <w:jc w:val="both"/>
      </w:pPr>
      <w:r>
        <w:rPr/>
        <w:t>In this context, it is interesting to note that the mice fed with melatonin in</w:t>
      </w:r>
      <w:r>
        <w:rPr>
          <w:spacing w:val="-41"/>
        </w:rPr>
        <w:t> </w:t>
      </w:r>
      <w:r>
        <w:rPr/>
        <w:t>the aforementioned animal study all remained healthy and died cancer-free until their death, while the majority of the mice without melatonin succumbed to cancer!</w:t>
      </w:r>
    </w:p>
    <w:p>
      <w:pPr>
        <w:pStyle w:val="BodyText"/>
        <w:spacing w:line="276" w:lineRule="auto" w:before="242"/>
        <w:ind w:left="616" w:right="134"/>
        <w:jc w:val="both"/>
      </w:pPr>
      <w:r>
        <w:rPr/>
        <w:t>Of course, one cannot transfer results of studies in animal experiments to hu- mans entirely, but in the vast majority of cases they show tendencies that also apply to humans.</w:t>
      </w:r>
    </w:p>
    <w:p>
      <w:pPr>
        <w:pStyle w:val="BodyText"/>
        <w:spacing w:before="239"/>
        <w:ind w:left="616"/>
        <w:jc w:val="both"/>
      </w:pPr>
      <w:r>
        <w:rPr/>
        <w:t>The two scientists Prof. Regelson and Walter Pierpaoli have said:</w:t>
      </w:r>
    </w:p>
    <w:p>
      <w:pPr>
        <w:spacing w:line="276" w:lineRule="auto" w:before="304"/>
        <w:ind w:left="616" w:right="131" w:firstLine="0"/>
        <w:jc w:val="both"/>
        <w:rPr>
          <w:i/>
          <w:sz w:val="38"/>
        </w:rPr>
      </w:pPr>
      <w:r>
        <w:rPr>
          <w:sz w:val="38"/>
        </w:rPr>
        <w:t>'</w:t>
      </w:r>
      <w:r>
        <w:rPr>
          <w:i/>
          <w:sz w:val="38"/>
        </w:rPr>
        <w:t>The wonderful thing about melatonin is that it can prolong your life and maintain your </w:t>
      </w:r>
      <w:r>
        <w:rPr>
          <w:i/>
          <w:sz w:val="38"/>
        </w:rPr>
        <w:t>health</w:t>
      </w:r>
      <w:r>
        <w:rPr>
          <w:i/>
          <w:spacing w:val="-12"/>
          <w:sz w:val="38"/>
        </w:rPr>
        <w:t> </w:t>
      </w:r>
      <w:r>
        <w:rPr>
          <w:i/>
          <w:sz w:val="38"/>
        </w:rPr>
        <w:t>and</w:t>
      </w:r>
      <w:r>
        <w:rPr>
          <w:i/>
          <w:spacing w:val="-12"/>
          <w:sz w:val="38"/>
        </w:rPr>
        <w:t> </w:t>
      </w:r>
      <w:r>
        <w:rPr>
          <w:i/>
          <w:sz w:val="38"/>
        </w:rPr>
        <w:t>vitality.</w:t>
      </w:r>
      <w:r>
        <w:rPr>
          <w:i/>
          <w:spacing w:val="-13"/>
          <w:sz w:val="38"/>
        </w:rPr>
        <w:t> </w:t>
      </w:r>
      <w:r>
        <w:rPr>
          <w:i/>
          <w:sz w:val="38"/>
        </w:rPr>
        <w:t>The</w:t>
      </w:r>
      <w:r>
        <w:rPr>
          <w:i/>
          <w:spacing w:val="-12"/>
          <w:sz w:val="38"/>
        </w:rPr>
        <w:t> </w:t>
      </w:r>
      <w:r>
        <w:rPr>
          <w:i/>
          <w:sz w:val="38"/>
        </w:rPr>
        <w:t>truly</w:t>
      </w:r>
      <w:r>
        <w:rPr>
          <w:i/>
          <w:spacing w:val="-11"/>
          <w:sz w:val="38"/>
        </w:rPr>
        <w:t> </w:t>
      </w:r>
      <w:r>
        <w:rPr>
          <w:i/>
          <w:sz w:val="38"/>
        </w:rPr>
        <w:t>wonderful</w:t>
      </w:r>
      <w:r>
        <w:rPr>
          <w:i/>
          <w:spacing w:val="-13"/>
          <w:sz w:val="38"/>
        </w:rPr>
        <w:t> </w:t>
      </w:r>
      <w:r>
        <w:rPr>
          <w:i/>
          <w:sz w:val="38"/>
        </w:rPr>
        <w:t>thing</w:t>
      </w:r>
      <w:r>
        <w:rPr>
          <w:i/>
          <w:spacing w:val="-11"/>
          <w:sz w:val="38"/>
        </w:rPr>
        <w:t> </w:t>
      </w:r>
      <w:r>
        <w:rPr>
          <w:i/>
          <w:sz w:val="38"/>
        </w:rPr>
        <w:t>about</w:t>
      </w:r>
      <w:r>
        <w:rPr>
          <w:i/>
          <w:spacing w:val="-11"/>
          <w:sz w:val="38"/>
        </w:rPr>
        <w:t> </w:t>
      </w:r>
      <w:r>
        <w:rPr>
          <w:i/>
          <w:sz w:val="38"/>
        </w:rPr>
        <w:t>melatonin</w:t>
      </w:r>
      <w:r>
        <w:rPr>
          <w:i/>
          <w:spacing w:val="-11"/>
          <w:sz w:val="38"/>
        </w:rPr>
        <w:t> </w:t>
      </w:r>
      <w:r>
        <w:rPr>
          <w:i/>
          <w:sz w:val="38"/>
        </w:rPr>
        <w:t>is</w:t>
      </w:r>
      <w:r>
        <w:rPr>
          <w:i/>
          <w:spacing w:val="-6"/>
          <w:sz w:val="38"/>
        </w:rPr>
        <w:t> </w:t>
      </w:r>
      <w:r>
        <w:rPr>
          <w:i/>
          <w:sz w:val="38"/>
        </w:rPr>
        <w:t>the</w:t>
      </w:r>
      <w:r>
        <w:rPr>
          <w:i/>
          <w:spacing w:val="-12"/>
          <w:sz w:val="38"/>
        </w:rPr>
        <w:t> </w:t>
      </w:r>
      <w:r>
        <w:rPr>
          <w:i/>
          <w:sz w:val="38"/>
        </w:rPr>
        <w:t>great</w:t>
      </w:r>
      <w:r>
        <w:rPr>
          <w:i/>
          <w:spacing w:val="-11"/>
          <w:sz w:val="38"/>
        </w:rPr>
        <w:t> </w:t>
      </w:r>
      <w:r>
        <w:rPr>
          <w:i/>
          <w:sz w:val="38"/>
        </w:rPr>
        <w:t>impact</w:t>
      </w:r>
      <w:r>
        <w:rPr>
          <w:i/>
          <w:spacing w:val="-11"/>
          <w:sz w:val="38"/>
        </w:rPr>
        <w:t> </w:t>
      </w:r>
      <w:r>
        <w:rPr>
          <w:i/>
          <w:sz w:val="38"/>
        </w:rPr>
        <w:t>that</w:t>
      </w:r>
      <w:r>
        <w:rPr>
          <w:i/>
          <w:spacing w:val="-11"/>
          <w:sz w:val="38"/>
        </w:rPr>
        <w:t> </w:t>
      </w:r>
      <w:r>
        <w:rPr>
          <w:i/>
          <w:sz w:val="38"/>
        </w:rPr>
        <w:t>it</w:t>
      </w:r>
      <w:r>
        <w:rPr>
          <w:i/>
          <w:spacing w:val="-11"/>
          <w:sz w:val="38"/>
        </w:rPr>
        <w:t> </w:t>
      </w:r>
      <w:r>
        <w:rPr>
          <w:i/>
          <w:sz w:val="38"/>
        </w:rPr>
        <w:t>will have on our generation and future</w:t>
      </w:r>
      <w:r>
        <w:rPr>
          <w:i/>
          <w:spacing w:val="1"/>
          <w:sz w:val="38"/>
        </w:rPr>
        <w:t> </w:t>
      </w:r>
      <w:r>
        <w:rPr>
          <w:i/>
          <w:sz w:val="38"/>
        </w:rPr>
        <w:t>generations.</w:t>
      </w:r>
    </w:p>
    <w:p>
      <w:pPr>
        <w:spacing w:line="276" w:lineRule="auto" w:before="242"/>
        <w:ind w:left="616" w:right="137" w:firstLine="0"/>
        <w:jc w:val="both"/>
        <w:rPr>
          <w:i/>
          <w:sz w:val="38"/>
        </w:rPr>
      </w:pPr>
      <w:r>
        <w:rPr>
          <w:i/>
          <w:sz w:val="38"/>
        </w:rPr>
        <w:t>We are embarking on a shared adventure and are the first generation to have the power to </w:t>
      </w:r>
      <w:r>
        <w:rPr>
          <w:i/>
          <w:sz w:val="38"/>
        </w:rPr>
        <w:t>avoid the diseases and weaknesses that are typical of 'normal' ageing. For the first time, we have the power to preserve our youthfulness and to remain strong and alert throughout our lives.</w:t>
      </w:r>
    </w:p>
    <w:p>
      <w:pPr>
        <w:spacing w:line="276" w:lineRule="auto" w:before="239"/>
        <w:ind w:left="616" w:right="132" w:firstLine="0"/>
        <w:jc w:val="both"/>
        <w:rPr>
          <w:i/>
          <w:sz w:val="38"/>
        </w:rPr>
      </w:pPr>
      <w:r>
        <w:rPr>
          <w:i/>
          <w:sz w:val="38"/>
        </w:rPr>
        <w:t>For the first time, not only can we avoid the physical decline associated with ageing, but we </w:t>
      </w:r>
      <w:r>
        <w:rPr>
          <w:i/>
          <w:sz w:val="38"/>
        </w:rPr>
        <w:t>are able to delay and even reverse the ageing process. This is the real wonder of melatonin'.</w:t>
      </w:r>
    </w:p>
    <w:p>
      <w:pPr>
        <w:pStyle w:val="BodyText"/>
        <w:spacing w:before="241"/>
        <w:ind w:left="616"/>
        <w:jc w:val="both"/>
      </w:pPr>
      <w:r>
        <w:rPr/>
        <w:t>On the following pages, you will learn why the findings of the research team</w:t>
      </w:r>
    </w:p>
    <w:p>
      <w:pPr>
        <w:spacing w:after="0"/>
        <w:jc w:val="both"/>
        <w:sectPr>
          <w:pgSz w:w="14270" w:h="16850"/>
          <w:pgMar w:header="0" w:footer="1891" w:top="1340" w:bottom="2080" w:left="800" w:right="1280"/>
        </w:sectPr>
      </w:pPr>
    </w:p>
    <w:p>
      <w:pPr>
        <w:pStyle w:val="BodyText"/>
        <w:spacing w:line="276" w:lineRule="auto" w:before="72"/>
        <w:ind w:left="616" w:right="131"/>
        <w:jc w:val="both"/>
      </w:pPr>
      <w:r>
        <w:rPr/>
        <w:t>gained in animal experiments are transferable to humans and are meaningful for</w:t>
      </w:r>
      <w:r>
        <w:rPr>
          <w:spacing w:val="-8"/>
        </w:rPr>
        <w:t> </w:t>
      </w:r>
      <w:r>
        <w:rPr/>
        <w:t>us.</w:t>
      </w:r>
      <w:r>
        <w:rPr>
          <w:spacing w:val="-9"/>
        </w:rPr>
        <w:t> </w:t>
      </w:r>
      <w:r>
        <w:rPr/>
        <w:t>We</w:t>
      </w:r>
      <w:r>
        <w:rPr>
          <w:spacing w:val="-12"/>
        </w:rPr>
        <w:t> </w:t>
      </w:r>
      <w:r>
        <w:rPr/>
        <w:t>will</w:t>
      </w:r>
      <w:r>
        <w:rPr>
          <w:spacing w:val="-11"/>
        </w:rPr>
        <w:t> </w:t>
      </w:r>
      <w:r>
        <w:rPr/>
        <w:t>offer</w:t>
      </w:r>
      <w:r>
        <w:rPr>
          <w:spacing w:val="-7"/>
        </w:rPr>
        <w:t> </w:t>
      </w:r>
      <w:r>
        <w:rPr/>
        <w:t>evidence</w:t>
      </w:r>
      <w:r>
        <w:rPr>
          <w:spacing w:val="-9"/>
        </w:rPr>
        <w:t> </w:t>
      </w:r>
      <w:r>
        <w:rPr/>
        <w:t>for</w:t>
      </w:r>
      <w:r>
        <w:rPr>
          <w:spacing w:val="-10"/>
        </w:rPr>
        <w:t> </w:t>
      </w:r>
      <w:r>
        <w:rPr/>
        <w:t>this</w:t>
      </w:r>
      <w:r>
        <w:rPr>
          <w:spacing w:val="-9"/>
        </w:rPr>
        <w:t> </w:t>
      </w:r>
      <w:r>
        <w:rPr/>
        <w:t>through</w:t>
      </w:r>
      <w:r>
        <w:rPr>
          <w:spacing w:val="-9"/>
        </w:rPr>
        <w:t> </w:t>
      </w:r>
      <w:r>
        <w:rPr/>
        <w:t>further</w:t>
      </w:r>
      <w:r>
        <w:rPr>
          <w:spacing w:val="-8"/>
        </w:rPr>
        <w:t> </w:t>
      </w:r>
      <w:r>
        <w:rPr/>
        <w:t>research</w:t>
      </w:r>
      <w:r>
        <w:rPr>
          <w:spacing w:val="-8"/>
        </w:rPr>
        <w:t> </w:t>
      </w:r>
      <w:r>
        <w:rPr/>
        <w:t>and</w:t>
      </w:r>
      <w:r>
        <w:rPr>
          <w:spacing w:val="-10"/>
        </w:rPr>
        <w:t> </w:t>
      </w:r>
      <w:r>
        <w:rPr/>
        <w:t>knowledge of the human</w:t>
      </w:r>
      <w:r>
        <w:rPr>
          <w:spacing w:val="3"/>
        </w:rPr>
        <w:t> </w:t>
      </w:r>
      <w:r>
        <w:rPr/>
        <w:t>being.</w:t>
      </w:r>
    </w:p>
    <w:p>
      <w:pPr>
        <w:pStyle w:val="Heading2"/>
        <w:spacing w:before="241"/>
        <w:ind w:left="616"/>
        <w:jc w:val="both"/>
      </w:pPr>
      <w:r>
        <w:rPr/>
        <w:t>Melatonin – an endogenous hormone under the microscope</w:t>
      </w:r>
    </w:p>
    <w:p>
      <w:pPr>
        <w:spacing w:before="290"/>
        <w:ind w:left="616" w:right="0" w:firstLine="0"/>
        <w:jc w:val="both"/>
        <w:rPr>
          <w:b/>
          <w:i/>
          <w:sz w:val="40"/>
        </w:rPr>
      </w:pPr>
      <w:r>
        <w:rPr>
          <w:b/>
          <w:i/>
          <w:sz w:val="40"/>
        </w:rPr>
        <w:t>Where and under what conditions is it produced?</w:t>
      </w:r>
    </w:p>
    <w:p>
      <w:pPr>
        <w:pStyle w:val="BodyText"/>
        <w:spacing w:line="276" w:lineRule="auto" w:before="296"/>
        <w:ind w:left="616" w:right="137"/>
        <w:jc w:val="both"/>
      </w:pPr>
      <w:r>
        <w:rPr/>
        <w:t>Melatonin is an endogenous hormone that is produced in the pineal gland in the</w:t>
      </w:r>
      <w:r>
        <w:rPr>
          <w:spacing w:val="-12"/>
        </w:rPr>
        <w:t> </w:t>
      </w:r>
      <w:r>
        <w:rPr/>
        <w:t>brain.</w:t>
      </w:r>
      <w:r>
        <w:rPr>
          <w:spacing w:val="-11"/>
        </w:rPr>
        <w:t> </w:t>
      </w:r>
      <w:r>
        <w:rPr/>
        <w:t>Its</w:t>
      </w:r>
      <w:r>
        <w:rPr>
          <w:spacing w:val="-11"/>
        </w:rPr>
        <w:t> </w:t>
      </w:r>
      <w:r>
        <w:rPr/>
        <w:t>production</w:t>
      </w:r>
      <w:r>
        <w:rPr>
          <w:spacing w:val="-11"/>
        </w:rPr>
        <w:t> </w:t>
      </w:r>
      <w:r>
        <w:rPr/>
        <w:t>is</w:t>
      </w:r>
      <w:r>
        <w:rPr>
          <w:spacing w:val="-12"/>
        </w:rPr>
        <w:t> </w:t>
      </w:r>
      <w:r>
        <w:rPr/>
        <w:t>cyclical,</w:t>
      </w:r>
      <w:r>
        <w:rPr>
          <w:spacing w:val="-11"/>
        </w:rPr>
        <w:t> </w:t>
      </w:r>
      <w:r>
        <w:rPr/>
        <w:t>namely</w:t>
      </w:r>
      <w:r>
        <w:rPr>
          <w:spacing w:val="-12"/>
        </w:rPr>
        <w:t> </w:t>
      </w:r>
      <w:r>
        <w:rPr/>
        <w:t>when</w:t>
      </w:r>
      <w:r>
        <w:rPr>
          <w:spacing w:val="-11"/>
        </w:rPr>
        <w:t> </w:t>
      </w:r>
      <w:r>
        <w:rPr/>
        <w:t>the</w:t>
      </w:r>
      <w:r>
        <w:rPr>
          <w:spacing w:val="-11"/>
        </w:rPr>
        <w:t> </w:t>
      </w:r>
      <w:r>
        <w:rPr/>
        <w:t>brain</w:t>
      </w:r>
      <w:r>
        <w:rPr>
          <w:spacing w:val="-12"/>
        </w:rPr>
        <w:t> </w:t>
      </w:r>
      <w:r>
        <w:rPr/>
        <w:t>receives</w:t>
      </w:r>
      <w:r>
        <w:rPr>
          <w:spacing w:val="-12"/>
        </w:rPr>
        <w:t> </w:t>
      </w:r>
      <w:r>
        <w:rPr/>
        <w:t>a</w:t>
      </w:r>
      <w:r>
        <w:rPr>
          <w:spacing w:val="-13"/>
        </w:rPr>
        <w:t> </w:t>
      </w:r>
      <w:r>
        <w:rPr/>
        <w:t>signal</w:t>
      </w:r>
      <w:r>
        <w:rPr>
          <w:spacing w:val="-13"/>
        </w:rPr>
        <w:t> </w:t>
      </w:r>
      <w:r>
        <w:rPr/>
        <w:t>via the retina of the eye in the dark for the production of</w:t>
      </w:r>
      <w:r>
        <w:rPr>
          <w:spacing w:val="-7"/>
        </w:rPr>
        <w:t> </w:t>
      </w:r>
      <w:r>
        <w:rPr/>
        <w:t>melatonin.</w:t>
      </w:r>
    </w:p>
    <w:p>
      <w:pPr>
        <w:pStyle w:val="BodyText"/>
        <w:spacing w:line="276" w:lineRule="auto" w:before="242"/>
        <w:ind w:left="616" w:right="134"/>
        <w:jc w:val="both"/>
      </w:pPr>
      <w:r>
        <w:rPr/>
        <w:t>This</w:t>
      </w:r>
      <w:r>
        <w:rPr>
          <w:spacing w:val="-16"/>
        </w:rPr>
        <w:t> </w:t>
      </w:r>
      <w:r>
        <w:rPr/>
        <w:t>signal</w:t>
      </w:r>
      <w:r>
        <w:rPr>
          <w:spacing w:val="-17"/>
        </w:rPr>
        <w:t> </w:t>
      </w:r>
      <w:r>
        <w:rPr/>
        <w:t>is</w:t>
      </w:r>
      <w:r>
        <w:rPr>
          <w:spacing w:val="-16"/>
        </w:rPr>
        <w:t> </w:t>
      </w:r>
      <w:r>
        <w:rPr/>
        <w:t>first</w:t>
      </w:r>
      <w:r>
        <w:rPr>
          <w:spacing w:val="-16"/>
        </w:rPr>
        <w:t> </w:t>
      </w:r>
      <w:r>
        <w:rPr/>
        <w:t>directed</w:t>
      </w:r>
      <w:r>
        <w:rPr>
          <w:spacing w:val="-15"/>
        </w:rPr>
        <w:t> </w:t>
      </w:r>
      <w:r>
        <w:rPr/>
        <w:t>to</w:t>
      </w:r>
      <w:r>
        <w:rPr>
          <w:spacing w:val="-15"/>
        </w:rPr>
        <w:t> </w:t>
      </w:r>
      <w:r>
        <w:rPr/>
        <w:t>the</w:t>
      </w:r>
      <w:r>
        <w:rPr>
          <w:spacing w:val="-14"/>
        </w:rPr>
        <w:t> </w:t>
      </w:r>
      <w:r>
        <w:rPr/>
        <w:t>hypothalamus</w:t>
      </w:r>
      <w:r>
        <w:rPr>
          <w:spacing w:val="-16"/>
        </w:rPr>
        <w:t> </w:t>
      </w:r>
      <w:r>
        <w:rPr/>
        <w:t>(diencephalon)</w:t>
      </w:r>
      <w:r>
        <w:rPr>
          <w:spacing w:val="-16"/>
        </w:rPr>
        <w:t> </w:t>
      </w:r>
      <w:r>
        <w:rPr/>
        <w:t>and</w:t>
      </w:r>
      <w:r>
        <w:rPr>
          <w:spacing w:val="-15"/>
        </w:rPr>
        <w:t> </w:t>
      </w:r>
      <w:r>
        <w:rPr/>
        <w:t>then</w:t>
      </w:r>
      <w:r>
        <w:rPr>
          <w:spacing w:val="-14"/>
        </w:rPr>
        <w:t> </w:t>
      </w:r>
      <w:r>
        <w:rPr/>
        <w:t>to</w:t>
      </w:r>
      <w:r>
        <w:rPr>
          <w:spacing w:val="-16"/>
        </w:rPr>
        <w:t> </w:t>
      </w:r>
      <w:r>
        <w:rPr/>
        <w:t>the pineal gland. With diminishing light intensity, the pineal gland, which is re- sponsible for our biorhythm, begins to produce</w:t>
      </w:r>
      <w:r>
        <w:rPr>
          <w:spacing w:val="-4"/>
        </w:rPr>
        <w:t> </w:t>
      </w:r>
      <w:r>
        <w:rPr/>
        <w:t>melatonin.</w:t>
      </w:r>
    </w:p>
    <w:p>
      <w:pPr>
        <w:pStyle w:val="BodyText"/>
        <w:spacing w:line="276" w:lineRule="auto" w:before="239"/>
        <w:ind w:left="616" w:right="135"/>
        <w:jc w:val="both"/>
      </w:pPr>
      <w:r>
        <w:rPr/>
        <w:t>The melatonin is not stored anywhere in the meantime, but passes into the blood</w:t>
      </w:r>
      <w:r>
        <w:rPr>
          <w:spacing w:val="-10"/>
        </w:rPr>
        <w:t> </w:t>
      </w:r>
      <w:r>
        <w:rPr/>
        <w:t>immediately.</w:t>
      </w:r>
      <w:r>
        <w:rPr>
          <w:spacing w:val="-10"/>
        </w:rPr>
        <w:t> </w:t>
      </w:r>
      <w:r>
        <w:rPr/>
        <w:t>There,</w:t>
      </w:r>
      <w:r>
        <w:rPr>
          <w:spacing w:val="-11"/>
        </w:rPr>
        <w:t> </w:t>
      </w:r>
      <w:r>
        <w:rPr/>
        <w:t>it</w:t>
      </w:r>
      <w:r>
        <w:rPr>
          <w:spacing w:val="-12"/>
        </w:rPr>
        <w:t> </w:t>
      </w:r>
      <w:r>
        <w:rPr/>
        <w:t>influences</w:t>
      </w:r>
      <w:r>
        <w:rPr>
          <w:spacing w:val="-10"/>
        </w:rPr>
        <w:t> </w:t>
      </w:r>
      <w:r>
        <w:rPr/>
        <w:t>the</w:t>
      </w:r>
      <w:r>
        <w:rPr>
          <w:spacing w:val="-11"/>
        </w:rPr>
        <w:t> </w:t>
      </w:r>
      <w:r>
        <w:rPr/>
        <w:t>sympathetic</w:t>
      </w:r>
      <w:r>
        <w:rPr>
          <w:spacing w:val="-11"/>
        </w:rPr>
        <w:t> </w:t>
      </w:r>
      <w:r>
        <w:rPr/>
        <w:t>nervous</w:t>
      </w:r>
      <w:r>
        <w:rPr>
          <w:spacing w:val="-13"/>
        </w:rPr>
        <w:t> </w:t>
      </w:r>
      <w:r>
        <w:rPr/>
        <w:t>system,</w:t>
      </w:r>
      <w:r>
        <w:rPr>
          <w:spacing w:val="-11"/>
        </w:rPr>
        <w:t> </w:t>
      </w:r>
      <w:r>
        <w:rPr/>
        <w:t>slows down the heartbeat and digestive processes, and lowers blood pressure and body</w:t>
      </w:r>
      <w:r>
        <w:rPr>
          <w:spacing w:val="-14"/>
        </w:rPr>
        <w:t> </w:t>
      </w:r>
      <w:r>
        <w:rPr/>
        <w:t>temperature.</w:t>
      </w:r>
      <w:r>
        <w:rPr>
          <w:spacing w:val="-12"/>
        </w:rPr>
        <w:t> </w:t>
      </w:r>
      <w:r>
        <w:rPr/>
        <w:t>The</w:t>
      </w:r>
      <w:r>
        <w:rPr>
          <w:spacing w:val="-15"/>
        </w:rPr>
        <w:t> </w:t>
      </w:r>
      <w:r>
        <w:rPr/>
        <w:t>melatonin</w:t>
      </w:r>
      <w:r>
        <w:rPr>
          <w:spacing w:val="-14"/>
        </w:rPr>
        <w:t> </w:t>
      </w:r>
      <w:r>
        <w:rPr/>
        <w:t>level</w:t>
      </w:r>
      <w:r>
        <w:rPr>
          <w:spacing w:val="-14"/>
        </w:rPr>
        <w:t> </w:t>
      </w:r>
      <w:r>
        <w:rPr/>
        <w:t>is</w:t>
      </w:r>
      <w:r>
        <w:rPr>
          <w:spacing w:val="-13"/>
        </w:rPr>
        <w:t> </w:t>
      </w:r>
      <w:r>
        <w:rPr/>
        <w:t>10</w:t>
      </w:r>
      <w:r>
        <w:rPr>
          <w:spacing w:val="-16"/>
        </w:rPr>
        <w:t> </w:t>
      </w:r>
      <w:r>
        <w:rPr/>
        <w:t>times</w:t>
      </w:r>
      <w:r>
        <w:rPr>
          <w:spacing w:val="-14"/>
        </w:rPr>
        <w:t> </w:t>
      </w:r>
      <w:r>
        <w:rPr/>
        <w:t>as</w:t>
      </w:r>
      <w:r>
        <w:rPr>
          <w:spacing w:val="-16"/>
        </w:rPr>
        <w:t> </w:t>
      </w:r>
      <w:r>
        <w:rPr/>
        <w:t>high</w:t>
      </w:r>
      <w:r>
        <w:rPr>
          <w:spacing w:val="-12"/>
        </w:rPr>
        <w:t> </w:t>
      </w:r>
      <w:r>
        <w:rPr/>
        <w:t>in</w:t>
      </w:r>
      <w:r>
        <w:rPr>
          <w:spacing w:val="-15"/>
        </w:rPr>
        <w:t> </w:t>
      </w:r>
      <w:r>
        <w:rPr/>
        <w:t>the</w:t>
      </w:r>
      <w:r>
        <w:rPr>
          <w:spacing w:val="-13"/>
        </w:rPr>
        <w:t> </w:t>
      </w:r>
      <w:r>
        <w:rPr/>
        <w:t>dark</w:t>
      </w:r>
      <w:r>
        <w:rPr>
          <w:spacing w:val="-13"/>
        </w:rPr>
        <w:t> </w:t>
      </w:r>
      <w:r>
        <w:rPr/>
        <w:t>as</w:t>
      </w:r>
      <w:r>
        <w:rPr>
          <w:spacing w:val="-13"/>
        </w:rPr>
        <w:t> </w:t>
      </w:r>
      <w:r>
        <w:rPr/>
        <w:t>during the day, as the body is prepared for</w:t>
      </w:r>
      <w:r>
        <w:rPr>
          <w:spacing w:val="1"/>
        </w:rPr>
        <w:t> </w:t>
      </w:r>
      <w:r>
        <w:rPr/>
        <w:t>sleep.</w:t>
      </w:r>
    </w:p>
    <w:p>
      <w:pPr>
        <w:pStyle w:val="BodyText"/>
        <w:spacing w:line="276" w:lineRule="auto" w:before="240"/>
        <w:ind w:left="616" w:right="136"/>
        <w:jc w:val="both"/>
      </w:pPr>
      <w:r>
        <w:rPr/>
        <w:t>This process is stopped when light falls on the retina of our eye and this is relayed as a signal to the pineal gland via the route described. The production of melatonin stops and the production of serotonin starts – we wake up alert, and there are almost no traces of melatonin left in the body – until the next cycle, which starts at dusk.</w:t>
      </w:r>
    </w:p>
    <w:p>
      <w:pPr>
        <w:spacing w:after="0" w:line="276" w:lineRule="auto"/>
        <w:jc w:val="both"/>
        <w:sectPr>
          <w:pgSz w:w="14270" w:h="16850"/>
          <w:pgMar w:header="0" w:footer="1891" w:top="1340" w:bottom="2080" w:left="800" w:right="1280"/>
        </w:sectPr>
      </w:pPr>
    </w:p>
    <w:p>
      <w:pPr>
        <w:pStyle w:val="Heading1"/>
        <w:spacing w:before="77"/>
        <w:ind w:left="616"/>
      </w:pPr>
      <w:r>
        <w:rPr/>
        <w:t>What makes melatonin particularly interesting for us humans?</w:t>
      </w:r>
    </w:p>
    <w:p>
      <w:pPr>
        <w:pStyle w:val="BodyText"/>
        <w:spacing w:line="276" w:lineRule="auto" w:before="299"/>
        <w:ind w:left="616" w:right="137"/>
        <w:jc w:val="both"/>
      </w:pPr>
      <w:r>
        <w:rPr/>
        <w:t>We mainly owe our knowledge about the pineal gland and its function to the two scientists Prof. Dr. William Regelson and Dr. Walter Pierpaoli, who, after more</w:t>
      </w:r>
      <w:r>
        <w:rPr>
          <w:spacing w:val="-19"/>
        </w:rPr>
        <w:t> </w:t>
      </w:r>
      <w:r>
        <w:rPr/>
        <w:t>than</w:t>
      </w:r>
      <w:r>
        <w:rPr>
          <w:spacing w:val="-18"/>
        </w:rPr>
        <w:t> </w:t>
      </w:r>
      <w:r>
        <w:rPr/>
        <w:t>three</w:t>
      </w:r>
      <w:r>
        <w:rPr>
          <w:spacing w:val="-21"/>
        </w:rPr>
        <w:t> </w:t>
      </w:r>
      <w:r>
        <w:rPr/>
        <w:t>decades</w:t>
      </w:r>
      <w:r>
        <w:rPr>
          <w:spacing w:val="-18"/>
        </w:rPr>
        <w:t> </w:t>
      </w:r>
      <w:r>
        <w:rPr/>
        <w:t>of</w:t>
      </w:r>
      <w:r>
        <w:rPr>
          <w:spacing w:val="-19"/>
        </w:rPr>
        <w:t> </w:t>
      </w:r>
      <w:r>
        <w:rPr/>
        <w:t>research,</w:t>
      </w:r>
      <w:r>
        <w:rPr>
          <w:spacing w:val="-17"/>
        </w:rPr>
        <w:t> </w:t>
      </w:r>
      <w:r>
        <w:rPr/>
        <w:t>succeeded</w:t>
      </w:r>
      <w:r>
        <w:rPr>
          <w:spacing w:val="-19"/>
        </w:rPr>
        <w:t> </w:t>
      </w:r>
      <w:r>
        <w:rPr/>
        <w:t>in</w:t>
      </w:r>
      <w:r>
        <w:rPr>
          <w:spacing w:val="-18"/>
        </w:rPr>
        <w:t> </w:t>
      </w:r>
      <w:r>
        <w:rPr/>
        <w:t>deciphering</w:t>
      </w:r>
      <w:r>
        <w:rPr>
          <w:spacing w:val="-18"/>
        </w:rPr>
        <w:t> </w:t>
      </w:r>
      <w:r>
        <w:rPr/>
        <w:t>the</w:t>
      </w:r>
      <w:r>
        <w:rPr>
          <w:spacing w:val="-18"/>
        </w:rPr>
        <w:t> </w:t>
      </w:r>
      <w:r>
        <w:rPr/>
        <w:t>pineal</w:t>
      </w:r>
      <w:r>
        <w:rPr>
          <w:spacing w:val="-20"/>
        </w:rPr>
        <w:t> </w:t>
      </w:r>
      <w:r>
        <w:rPr/>
        <w:t>gland for what it is:</w:t>
      </w:r>
    </w:p>
    <w:p>
      <w:pPr>
        <w:pStyle w:val="Heading1"/>
        <w:spacing w:before="222"/>
        <w:ind w:left="616"/>
      </w:pPr>
      <w:r>
        <w:rPr/>
        <w:t>the control centre of all regulators in our organism!</w:t>
      </w:r>
    </w:p>
    <w:p>
      <w:pPr>
        <w:pStyle w:val="BodyText"/>
        <w:spacing w:line="276" w:lineRule="auto" w:before="300"/>
        <w:ind w:left="616" w:right="134"/>
        <w:jc w:val="both"/>
      </w:pPr>
      <w:r>
        <w:rPr/>
        <w:t>Obviously, it is the pineal gland that manages our complete endocrine gland system, which is responsible for the production of all hormones in the body which in turn fulfil important functions in our body. All essential bodily func- tions,</w:t>
      </w:r>
      <w:r>
        <w:rPr>
          <w:spacing w:val="-6"/>
        </w:rPr>
        <w:t> </w:t>
      </w:r>
      <w:r>
        <w:rPr/>
        <w:t>such</w:t>
      </w:r>
      <w:r>
        <w:rPr>
          <w:spacing w:val="-7"/>
        </w:rPr>
        <w:t> </w:t>
      </w:r>
      <w:r>
        <w:rPr/>
        <w:t>as</w:t>
      </w:r>
      <w:r>
        <w:rPr>
          <w:spacing w:val="-8"/>
        </w:rPr>
        <w:t> </w:t>
      </w:r>
      <w:r>
        <w:rPr/>
        <w:t>heartbeat,</w:t>
      </w:r>
      <w:r>
        <w:rPr>
          <w:spacing w:val="-7"/>
        </w:rPr>
        <w:t> </w:t>
      </w:r>
      <w:r>
        <w:rPr/>
        <w:t>blood</w:t>
      </w:r>
      <w:r>
        <w:rPr>
          <w:spacing w:val="-8"/>
        </w:rPr>
        <w:t> </w:t>
      </w:r>
      <w:r>
        <w:rPr/>
        <w:t>pressure,</w:t>
      </w:r>
      <w:r>
        <w:rPr>
          <w:spacing w:val="-7"/>
        </w:rPr>
        <w:t> </w:t>
      </w:r>
      <w:r>
        <w:rPr/>
        <w:t>body</w:t>
      </w:r>
      <w:r>
        <w:rPr>
          <w:spacing w:val="-8"/>
        </w:rPr>
        <w:t> </w:t>
      </w:r>
      <w:r>
        <w:rPr/>
        <w:t>temperature</w:t>
      </w:r>
      <w:r>
        <w:rPr>
          <w:spacing w:val="-8"/>
        </w:rPr>
        <w:t> </w:t>
      </w:r>
      <w:r>
        <w:rPr/>
        <w:t>or</w:t>
      </w:r>
      <w:r>
        <w:rPr>
          <w:spacing w:val="-7"/>
        </w:rPr>
        <w:t> </w:t>
      </w:r>
      <w:r>
        <w:rPr/>
        <w:t>kidney</w:t>
      </w:r>
      <w:r>
        <w:rPr>
          <w:spacing w:val="-7"/>
        </w:rPr>
        <w:t> </w:t>
      </w:r>
      <w:r>
        <w:rPr/>
        <w:t>function, are controlled and regulated by hormones.</w:t>
      </w:r>
    </w:p>
    <w:p>
      <w:pPr>
        <w:pStyle w:val="BodyText"/>
        <w:spacing w:line="276" w:lineRule="auto" w:before="239"/>
        <w:ind w:left="616" w:right="140"/>
        <w:jc w:val="both"/>
      </w:pPr>
      <w:r>
        <w:rPr/>
        <w:t>As a 'buffer hormone', melatonin does not just regulate a single organ, but indirectly regulates the work of many important organs by regulating and ad- justing the other hormone levels.</w:t>
      </w:r>
    </w:p>
    <w:p>
      <w:pPr>
        <w:pStyle w:val="Heading1"/>
        <w:spacing w:before="225"/>
        <w:ind w:left="616"/>
        <w:jc w:val="both"/>
      </w:pPr>
      <w:r>
        <w:rPr/>
        <w:t>The</w:t>
      </w:r>
      <w:r>
        <w:rPr>
          <w:spacing w:val="-69"/>
        </w:rPr>
        <w:t> </w:t>
      </w:r>
      <w:r>
        <w:rPr/>
        <w:t>influence</w:t>
      </w:r>
      <w:r>
        <w:rPr>
          <w:spacing w:val="-69"/>
        </w:rPr>
        <w:t> </w:t>
      </w:r>
      <w:r>
        <w:rPr/>
        <w:t>of</w:t>
      </w:r>
      <w:r>
        <w:rPr>
          <w:spacing w:val="-68"/>
        </w:rPr>
        <w:t> </w:t>
      </w:r>
      <w:r>
        <w:rPr/>
        <w:t>the</w:t>
      </w:r>
      <w:r>
        <w:rPr>
          <w:spacing w:val="-69"/>
        </w:rPr>
        <w:t> </w:t>
      </w:r>
      <w:r>
        <w:rPr/>
        <w:t>pineal</w:t>
      </w:r>
      <w:r>
        <w:rPr>
          <w:spacing w:val="-68"/>
        </w:rPr>
        <w:t> </w:t>
      </w:r>
      <w:r>
        <w:rPr/>
        <w:t>gland</w:t>
      </w:r>
      <w:r>
        <w:rPr>
          <w:spacing w:val="-68"/>
        </w:rPr>
        <w:t> </w:t>
      </w:r>
      <w:r>
        <w:rPr/>
        <w:t>is</w:t>
      </w:r>
      <w:r>
        <w:rPr>
          <w:spacing w:val="-69"/>
        </w:rPr>
        <w:t> </w:t>
      </w:r>
      <w:r>
        <w:rPr/>
        <w:t>governed</w:t>
      </w:r>
      <w:r>
        <w:rPr>
          <w:spacing w:val="-68"/>
        </w:rPr>
        <w:t> </w:t>
      </w:r>
      <w:r>
        <w:rPr/>
        <w:t>by</w:t>
      </w:r>
      <w:r>
        <w:rPr>
          <w:spacing w:val="-69"/>
        </w:rPr>
        <w:t> </w:t>
      </w:r>
      <w:r>
        <w:rPr/>
        <w:t>the</w:t>
      </w:r>
      <w:r>
        <w:rPr>
          <w:spacing w:val="-68"/>
        </w:rPr>
        <w:t> </w:t>
      </w:r>
      <w:r>
        <w:rPr/>
        <w:t>following</w:t>
      </w:r>
      <w:r>
        <w:rPr>
          <w:spacing w:val="-69"/>
        </w:rPr>
        <w:t> </w:t>
      </w:r>
      <w:r>
        <w:rPr/>
        <w:t>functions:</w:t>
      </w:r>
    </w:p>
    <w:p>
      <w:pPr>
        <w:pStyle w:val="ListParagraph"/>
        <w:numPr>
          <w:ilvl w:val="0"/>
          <w:numId w:val="71"/>
        </w:numPr>
        <w:tabs>
          <w:tab w:pos="1318" w:val="left" w:leader="none"/>
        </w:tabs>
        <w:spacing w:line="240" w:lineRule="auto" w:before="296" w:after="0"/>
        <w:ind w:left="1043" w:right="0" w:hanging="427"/>
        <w:jc w:val="both"/>
        <w:rPr>
          <w:sz w:val="38"/>
        </w:rPr>
      </w:pPr>
      <w:r>
        <w:rPr>
          <w:sz w:val="38"/>
        </w:rPr>
        <w:t>the sleep-wake rhythm,</w:t>
      </w:r>
    </w:p>
    <w:p>
      <w:pPr>
        <w:pStyle w:val="ListParagraph"/>
        <w:numPr>
          <w:ilvl w:val="0"/>
          <w:numId w:val="71"/>
        </w:numPr>
        <w:tabs>
          <w:tab w:pos="1318" w:val="left" w:leader="none"/>
        </w:tabs>
        <w:spacing w:line="240" w:lineRule="auto" w:before="306" w:after="0"/>
        <w:ind w:left="1043" w:right="0" w:hanging="427"/>
        <w:jc w:val="both"/>
        <w:rPr>
          <w:sz w:val="38"/>
        </w:rPr>
      </w:pPr>
      <w:r>
        <w:rPr>
          <w:sz w:val="38"/>
        </w:rPr>
        <w:t>the immune</w:t>
      </w:r>
      <w:r>
        <w:rPr>
          <w:spacing w:val="-1"/>
          <w:sz w:val="38"/>
        </w:rPr>
        <w:t> </w:t>
      </w:r>
      <w:r>
        <w:rPr>
          <w:sz w:val="38"/>
        </w:rPr>
        <w:t>system,</w:t>
      </w:r>
    </w:p>
    <w:p>
      <w:pPr>
        <w:pStyle w:val="ListParagraph"/>
        <w:numPr>
          <w:ilvl w:val="0"/>
          <w:numId w:val="71"/>
        </w:numPr>
        <w:tabs>
          <w:tab w:pos="1315" w:val="left" w:leader="none"/>
        </w:tabs>
        <w:spacing w:line="240" w:lineRule="auto" w:before="303" w:after="0"/>
        <w:ind w:left="1314" w:right="0" w:hanging="698"/>
        <w:jc w:val="both"/>
        <w:rPr>
          <w:sz w:val="38"/>
        </w:rPr>
      </w:pPr>
      <w:r>
        <w:rPr>
          <w:sz w:val="38"/>
        </w:rPr>
        <w:t>reproduction,</w:t>
      </w:r>
    </w:p>
    <w:p>
      <w:pPr>
        <w:pStyle w:val="ListParagraph"/>
        <w:numPr>
          <w:ilvl w:val="0"/>
          <w:numId w:val="71"/>
        </w:numPr>
        <w:tabs>
          <w:tab w:pos="1315" w:val="left" w:leader="none"/>
        </w:tabs>
        <w:spacing w:line="240" w:lineRule="auto" w:before="307" w:after="0"/>
        <w:ind w:left="1314" w:right="0" w:hanging="698"/>
        <w:jc w:val="both"/>
        <w:rPr>
          <w:sz w:val="38"/>
        </w:rPr>
      </w:pPr>
      <w:r>
        <w:rPr>
          <w:sz w:val="38"/>
        </w:rPr>
        <w:t>stressor control,</w:t>
      </w:r>
    </w:p>
    <w:p>
      <w:pPr>
        <w:spacing w:after="0" w:line="240" w:lineRule="auto"/>
        <w:jc w:val="both"/>
        <w:rPr>
          <w:sz w:val="38"/>
        </w:rPr>
        <w:sectPr>
          <w:pgSz w:w="14270" w:h="16850"/>
          <w:pgMar w:header="0" w:footer="1891" w:top="1320" w:bottom="2080" w:left="800" w:right="1280"/>
        </w:sectPr>
      </w:pPr>
    </w:p>
    <w:p>
      <w:pPr>
        <w:pStyle w:val="ListParagraph"/>
        <w:numPr>
          <w:ilvl w:val="0"/>
          <w:numId w:val="71"/>
        </w:numPr>
        <w:tabs>
          <w:tab w:pos="1315" w:val="left" w:leader="none"/>
        </w:tabs>
        <w:spacing w:line="240" w:lineRule="auto" w:before="53" w:after="0"/>
        <w:ind w:left="1314" w:right="0" w:hanging="698"/>
        <w:jc w:val="both"/>
        <w:rPr>
          <w:sz w:val="38"/>
        </w:rPr>
      </w:pPr>
      <w:r>
        <w:rPr>
          <w:sz w:val="38"/>
        </w:rPr>
        <w:t>body temperature control,</w:t>
      </w:r>
    </w:p>
    <w:p>
      <w:pPr>
        <w:pStyle w:val="ListParagraph"/>
        <w:numPr>
          <w:ilvl w:val="0"/>
          <w:numId w:val="71"/>
        </w:numPr>
        <w:tabs>
          <w:tab w:pos="1318" w:val="left" w:leader="none"/>
        </w:tabs>
        <w:spacing w:line="240" w:lineRule="auto" w:before="306" w:after="0"/>
        <w:ind w:left="1043" w:right="0" w:hanging="427"/>
        <w:jc w:val="both"/>
        <w:rPr>
          <w:sz w:val="38"/>
        </w:rPr>
      </w:pPr>
      <w:r>
        <w:rPr>
          <w:sz w:val="38"/>
        </w:rPr>
        <w:t>kidney</w:t>
      </w:r>
      <w:r>
        <w:rPr>
          <w:spacing w:val="-2"/>
          <w:sz w:val="38"/>
        </w:rPr>
        <w:t> </w:t>
      </w:r>
      <w:r>
        <w:rPr>
          <w:sz w:val="38"/>
        </w:rPr>
        <w:t>function,</w:t>
      </w:r>
    </w:p>
    <w:p>
      <w:pPr>
        <w:pStyle w:val="ListParagraph"/>
        <w:numPr>
          <w:ilvl w:val="0"/>
          <w:numId w:val="71"/>
        </w:numPr>
        <w:tabs>
          <w:tab w:pos="1318" w:val="left" w:leader="none"/>
        </w:tabs>
        <w:spacing w:line="240" w:lineRule="auto" w:before="304" w:after="0"/>
        <w:ind w:left="1043" w:right="0" w:hanging="427"/>
        <w:jc w:val="both"/>
        <w:rPr>
          <w:sz w:val="38"/>
        </w:rPr>
      </w:pPr>
      <w:r>
        <w:rPr>
          <w:sz w:val="38"/>
        </w:rPr>
        <w:t>the destruction of attacking free</w:t>
      </w:r>
      <w:r>
        <w:rPr>
          <w:spacing w:val="2"/>
          <w:sz w:val="38"/>
        </w:rPr>
        <w:t> </w:t>
      </w:r>
      <w:r>
        <w:rPr>
          <w:sz w:val="38"/>
        </w:rPr>
        <w:t>radicals.</w:t>
      </w:r>
    </w:p>
    <w:p>
      <w:pPr>
        <w:pStyle w:val="ListParagraph"/>
        <w:numPr>
          <w:ilvl w:val="0"/>
          <w:numId w:val="71"/>
        </w:numPr>
        <w:tabs>
          <w:tab w:pos="1044" w:val="left" w:leader="none"/>
        </w:tabs>
        <w:spacing w:line="240" w:lineRule="auto" w:before="304" w:after="0"/>
        <w:ind w:left="1043" w:right="0" w:hanging="427"/>
        <w:jc w:val="both"/>
        <w:rPr>
          <w:sz w:val="38"/>
        </w:rPr>
      </w:pPr>
      <w:r>
        <w:rPr>
          <w:sz w:val="38"/>
        </w:rPr>
        <w:t>energy production in the cells by the thyroid hormone T3 and</w:t>
      </w:r>
      <w:r>
        <w:rPr>
          <w:spacing w:val="-10"/>
          <w:sz w:val="38"/>
        </w:rPr>
        <w:t> </w:t>
      </w:r>
      <w:r>
        <w:rPr>
          <w:sz w:val="38"/>
        </w:rPr>
        <w:t>T4</w:t>
      </w:r>
    </w:p>
    <w:p>
      <w:pPr>
        <w:pStyle w:val="ListParagraph"/>
        <w:numPr>
          <w:ilvl w:val="0"/>
          <w:numId w:val="71"/>
        </w:numPr>
        <w:tabs>
          <w:tab w:pos="1318" w:val="left" w:leader="none"/>
        </w:tabs>
        <w:spacing w:line="240" w:lineRule="auto" w:before="303" w:after="0"/>
        <w:ind w:left="1043" w:right="0" w:hanging="427"/>
        <w:jc w:val="both"/>
        <w:rPr>
          <w:sz w:val="38"/>
        </w:rPr>
      </w:pPr>
      <w:r>
        <w:rPr>
          <w:sz w:val="38"/>
        </w:rPr>
        <w:t>and the protection of the DNA within the body cells.</w:t>
      </w:r>
    </w:p>
    <w:p>
      <w:pPr>
        <w:pStyle w:val="BodyText"/>
        <w:spacing w:line="278" w:lineRule="auto" w:before="303"/>
        <w:ind w:left="616" w:right="139"/>
        <w:jc w:val="both"/>
      </w:pPr>
      <w:r>
        <w:rPr/>
        <w:t>The pineal gland is thus the regulator of all other glands, the control centre; the melatonin produced by it is, in turn, the control unit for our hormones.</w:t>
      </w:r>
    </w:p>
    <w:p>
      <w:pPr>
        <w:pStyle w:val="BodyText"/>
        <w:spacing w:line="278" w:lineRule="auto" w:before="232"/>
        <w:ind w:left="616" w:right="135"/>
        <w:jc w:val="both"/>
      </w:pPr>
      <w:r>
        <w:rPr/>
        <w:t>The tasks of the control unit are to increase the activity of certain hormones as needed, while raising the others, and vice versa.</w:t>
      </w:r>
    </w:p>
    <w:p>
      <w:pPr>
        <w:pStyle w:val="BodyText"/>
        <w:spacing w:line="276" w:lineRule="auto" w:before="232"/>
        <w:ind w:left="616" w:right="136"/>
        <w:jc w:val="both"/>
      </w:pPr>
      <w:r>
        <w:rPr/>
        <w:t>In terms of homeostasis, melatonin tries to maintain a balance, actively inter- vene</w:t>
      </w:r>
      <w:r>
        <w:rPr>
          <w:spacing w:val="-5"/>
        </w:rPr>
        <w:t> </w:t>
      </w:r>
      <w:r>
        <w:rPr/>
        <w:t>where</w:t>
      </w:r>
      <w:r>
        <w:rPr>
          <w:spacing w:val="-8"/>
        </w:rPr>
        <w:t> </w:t>
      </w:r>
      <w:r>
        <w:rPr/>
        <w:t>necessary,</w:t>
      </w:r>
      <w:r>
        <w:rPr>
          <w:spacing w:val="-6"/>
        </w:rPr>
        <w:t> </w:t>
      </w:r>
      <w:r>
        <w:rPr/>
        <w:t>and</w:t>
      </w:r>
      <w:r>
        <w:rPr>
          <w:spacing w:val="-5"/>
        </w:rPr>
        <w:t> </w:t>
      </w:r>
      <w:r>
        <w:rPr/>
        <w:t>to</w:t>
      </w:r>
      <w:r>
        <w:rPr>
          <w:spacing w:val="-8"/>
        </w:rPr>
        <w:t> </w:t>
      </w:r>
      <w:r>
        <w:rPr/>
        <w:t>allow</w:t>
      </w:r>
      <w:r>
        <w:rPr>
          <w:spacing w:val="-5"/>
        </w:rPr>
        <w:t> </w:t>
      </w:r>
      <w:r>
        <w:rPr/>
        <w:t>neither</w:t>
      </w:r>
      <w:r>
        <w:rPr>
          <w:spacing w:val="-4"/>
        </w:rPr>
        <w:t> </w:t>
      </w:r>
      <w:r>
        <w:rPr/>
        <w:t>too</w:t>
      </w:r>
      <w:r>
        <w:rPr>
          <w:spacing w:val="-8"/>
        </w:rPr>
        <w:t> </w:t>
      </w:r>
      <w:r>
        <w:rPr/>
        <w:t>high</w:t>
      </w:r>
      <w:r>
        <w:rPr>
          <w:spacing w:val="-4"/>
        </w:rPr>
        <w:t> </w:t>
      </w:r>
      <w:r>
        <w:rPr/>
        <w:t>nor</w:t>
      </w:r>
      <w:r>
        <w:rPr>
          <w:spacing w:val="-5"/>
        </w:rPr>
        <w:t> </w:t>
      </w:r>
      <w:r>
        <w:rPr/>
        <w:t>too</w:t>
      </w:r>
      <w:r>
        <w:rPr>
          <w:spacing w:val="-6"/>
        </w:rPr>
        <w:t> </w:t>
      </w:r>
      <w:r>
        <w:rPr/>
        <w:t>low</w:t>
      </w:r>
      <w:r>
        <w:rPr>
          <w:spacing w:val="-6"/>
        </w:rPr>
        <w:t> </w:t>
      </w:r>
      <w:r>
        <w:rPr/>
        <w:t>levels</w:t>
      </w:r>
      <w:r>
        <w:rPr>
          <w:spacing w:val="-3"/>
        </w:rPr>
        <w:t> </w:t>
      </w:r>
      <w:r>
        <w:rPr/>
        <w:t>of</w:t>
      </w:r>
      <w:r>
        <w:rPr>
          <w:spacing w:val="-8"/>
        </w:rPr>
        <w:t> </w:t>
      </w:r>
      <w:r>
        <w:rPr/>
        <w:t>hor- mones. As we age, the hormone levels of major organs change decisively, be- cause the 'pineal gland control centre' itself ages and can no longer cope with producing melatonin.</w:t>
      </w:r>
    </w:p>
    <w:p>
      <w:pPr>
        <w:pStyle w:val="BodyText"/>
        <w:spacing w:line="276" w:lineRule="auto" w:before="240"/>
        <w:ind w:left="616" w:right="134"/>
        <w:jc w:val="both"/>
      </w:pPr>
      <w:r>
        <w:rPr/>
        <w:t>If you now add melatonin to the body from the outside, the function of the pineal</w:t>
      </w:r>
      <w:r>
        <w:rPr>
          <w:spacing w:val="-12"/>
        </w:rPr>
        <w:t> </w:t>
      </w:r>
      <w:r>
        <w:rPr/>
        <w:t>gland</w:t>
      </w:r>
      <w:r>
        <w:rPr>
          <w:spacing w:val="-11"/>
        </w:rPr>
        <w:t> </w:t>
      </w:r>
      <w:r>
        <w:rPr/>
        <w:t>is</w:t>
      </w:r>
      <w:r>
        <w:rPr>
          <w:spacing w:val="-14"/>
        </w:rPr>
        <w:t> </w:t>
      </w:r>
      <w:r>
        <w:rPr/>
        <w:t>strengthened.</w:t>
      </w:r>
      <w:r>
        <w:rPr>
          <w:spacing w:val="-12"/>
        </w:rPr>
        <w:t> </w:t>
      </w:r>
      <w:r>
        <w:rPr/>
        <w:t>What's</w:t>
      </w:r>
      <w:r>
        <w:rPr>
          <w:spacing w:val="-11"/>
        </w:rPr>
        <w:t> </w:t>
      </w:r>
      <w:r>
        <w:rPr/>
        <w:t>more,</w:t>
      </w:r>
      <w:r>
        <w:rPr>
          <w:spacing w:val="-13"/>
        </w:rPr>
        <w:t> </w:t>
      </w:r>
      <w:r>
        <w:rPr/>
        <w:t>it</w:t>
      </w:r>
      <w:r>
        <w:rPr>
          <w:spacing w:val="-13"/>
        </w:rPr>
        <w:t> </w:t>
      </w:r>
      <w:r>
        <w:rPr/>
        <w:t>will</w:t>
      </w:r>
      <w:r>
        <w:rPr>
          <w:spacing w:val="-14"/>
        </w:rPr>
        <w:t> </w:t>
      </w:r>
      <w:r>
        <w:rPr/>
        <w:t>be</w:t>
      </w:r>
      <w:r>
        <w:rPr>
          <w:spacing w:val="-11"/>
        </w:rPr>
        <w:t> </w:t>
      </w:r>
      <w:r>
        <w:rPr/>
        <w:t>rebuilt</w:t>
      </w:r>
      <w:r>
        <w:rPr>
          <w:spacing w:val="-13"/>
        </w:rPr>
        <w:t> </w:t>
      </w:r>
      <w:r>
        <w:rPr/>
        <w:t>and,</w:t>
      </w:r>
      <w:r>
        <w:rPr>
          <w:spacing w:val="-12"/>
        </w:rPr>
        <w:t> </w:t>
      </w:r>
      <w:r>
        <w:rPr/>
        <w:t>in</w:t>
      </w:r>
      <w:r>
        <w:rPr>
          <w:spacing w:val="-12"/>
        </w:rPr>
        <w:t> </w:t>
      </w:r>
      <w:r>
        <w:rPr/>
        <w:t>the</w:t>
      </w:r>
      <w:r>
        <w:rPr>
          <w:spacing w:val="-13"/>
        </w:rPr>
        <w:t> </w:t>
      </w:r>
      <w:r>
        <w:rPr/>
        <w:t>medium term, will be able to assume control tasks to the same extent as when it was young and released sufficient</w:t>
      </w:r>
      <w:r>
        <w:rPr>
          <w:spacing w:val="2"/>
        </w:rPr>
        <w:t> </w:t>
      </w:r>
      <w:r>
        <w:rPr/>
        <w:t>melatonin.</w:t>
      </w:r>
    </w:p>
    <w:p>
      <w:pPr>
        <w:pStyle w:val="BodyText"/>
        <w:spacing w:line="276" w:lineRule="auto" w:before="242"/>
        <w:ind w:left="616" w:right="145"/>
        <w:jc w:val="both"/>
      </w:pPr>
      <w:r>
        <w:rPr/>
        <w:t>Melatonin does a lot more; among other things, it is an important assistant to the immune system in that it discovers and destroys attackers and</w:t>
      </w:r>
      <w:r>
        <w:rPr>
          <w:spacing w:val="84"/>
        </w:rPr>
        <w:t> </w:t>
      </w:r>
      <w:r>
        <w:rPr/>
        <w:t>pathogens.</w:t>
      </w:r>
    </w:p>
    <w:p>
      <w:pPr>
        <w:spacing w:after="0" w:line="276" w:lineRule="auto"/>
        <w:jc w:val="both"/>
        <w:sectPr>
          <w:pgSz w:w="14270" w:h="16850"/>
          <w:pgMar w:header="0" w:footer="1891" w:top="1360" w:bottom="2080" w:left="800" w:right="1280"/>
        </w:sectPr>
      </w:pPr>
    </w:p>
    <w:p>
      <w:pPr>
        <w:pStyle w:val="BodyText"/>
        <w:spacing w:line="276" w:lineRule="auto" w:before="72"/>
        <w:ind w:left="616" w:right="132"/>
        <w:jc w:val="both"/>
      </w:pPr>
      <w:r>
        <w:rPr/>
        <w:t>Dr.</w:t>
      </w:r>
      <w:r>
        <w:rPr>
          <w:spacing w:val="-18"/>
        </w:rPr>
        <w:t> </w:t>
      </w:r>
      <w:r>
        <w:rPr/>
        <w:t>Walter</w:t>
      </w:r>
      <w:r>
        <w:rPr>
          <w:spacing w:val="-19"/>
        </w:rPr>
        <w:t> </w:t>
      </w:r>
      <w:r>
        <w:rPr/>
        <w:t>Pierpaoli</w:t>
      </w:r>
      <w:r>
        <w:rPr>
          <w:spacing w:val="-20"/>
        </w:rPr>
        <w:t> </w:t>
      </w:r>
      <w:r>
        <w:rPr/>
        <w:t>and</w:t>
      </w:r>
      <w:r>
        <w:rPr>
          <w:spacing w:val="-18"/>
        </w:rPr>
        <w:t> </w:t>
      </w:r>
      <w:r>
        <w:rPr/>
        <w:t>Prof.</w:t>
      </w:r>
      <w:r>
        <w:rPr>
          <w:spacing w:val="-18"/>
        </w:rPr>
        <w:t> </w:t>
      </w:r>
      <w:r>
        <w:rPr/>
        <w:t>William</w:t>
      </w:r>
      <w:r>
        <w:rPr>
          <w:spacing w:val="-19"/>
        </w:rPr>
        <w:t> </w:t>
      </w:r>
      <w:r>
        <w:rPr/>
        <w:t>Regelson</w:t>
      </w:r>
      <w:r>
        <w:rPr>
          <w:spacing w:val="-18"/>
        </w:rPr>
        <w:t> </w:t>
      </w:r>
      <w:r>
        <w:rPr/>
        <w:t>argue</w:t>
      </w:r>
      <w:r>
        <w:rPr>
          <w:spacing w:val="-19"/>
        </w:rPr>
        <w:t> </w:t>
      </w:r>
      <w:r>
        <w:rPr/>
        <w:t>that</w:t>
      </w:r>
      <w:r>
        <w:rPr>
          <w:spacing w:val="-19"/>
        </w:rPr>
        <w:t> </w:t>
      </w:r>
      <w:r>
        <w:rPr/>
        <w:t>the</w:t>
      </w:r>
      <w:r>
        <w:rPr>
          <w:spacing w:val="-18"/>
        </w:rPr>
        <w:t> </w:t>
      </w:r>
      <w:r>
        <w:rPr/>
        <w:t>immune</w:t>
      </w:r>
      <w:r>
        <w:rPr>
          <w:spacing w:val="-17"/>
        </w:rPr>
        <w:t> </w:t>
      </w:r>
      <w:r>
        <w:rPr/>
        <w:t>system collapses in old age because the pineal gland, due to its own ageing, can no longer</w:t>
      </w:r>
      <w:r>
        <w:rPr>
          <w:spacing w:val="-18"/>
        </w:rPr>
        <w:t> </w:t>
      </w:r>
      <w:r>
        <w:rPr/>
        <w:t>sufficiently</w:t>
      </w:r>
      <w:r>
        <w:rPr>
          <w:spacing w:val="-19"/>
        </w:rPr>
        <w:t> </w:t>
      </w:r>
      <w:r>
        <w:rPr/>
        <w:t>fulfil</w:t>
      </w:r>
      <w:r>
        <w:rPr>
          <w:spacing w:val="-19"/>
        </w:rPr>
        <w:t> </w:t>
      </w:r>
      <w:r>
        <w:rPr/>
        <w:t>its</w:t>
      </w:r>
      <w:r>
        <w:rPr>
          <w:spacing w:val="-19"/>
        </w:rPr>
        <w:t> </w:t>
      </w:r>
      <w:r>
        <w:rPr/>
        <w:t>function,</w:t>
      </w:r>
      <w:r>
        <w:rPr>
          <w:spacing w:val="-17"/>
        </w:rPr>
        <w:t> </w:t>
      </w:r>
      <w:r>
        <w:rPr/>
        <w:t>namely</w:t>
      </w:r>
      <w:r>
        <w:rPr>
          <w:spacing w:val="-20"/>
        </w:rPr>
        <w:t> </w:t>
      </w:r>
      <w:r>
        <w:rPr/>
        <w:t>the</w:t>
      </w:r>
      <w:r>
        <w:rPr>
          <w:spacing w:val="-17"/>
        </w:rPr>
        <w:t> </w:t>
      </w:r>
      <w:r>
        <w:rPr/>
        <w:t>release</w:t>
      </w:r>
      <w:r>
        <w:rPr>
          <w:spacing w:val="-18"/>
        </w:rPr>
        <w:t> </w:t>
      </w:r>
      <w:r>
        <w:rPr/>
        <w:t>of,</w:t>
      </w:r>
      <w:r>
        <w:rPr>
          <w:spacing w:val="-17"/>
        </w:rPr>
        <w:t> </w:t>
      </w:r>
      <w:r>
        <w:rPr/>
        <w:t>among</w:t>
      </w:r>
      <w:r>
        <w:rPr>
          <w:spacing w:val="-19"/>
        </w:rPr>
        <w:t> </w:t>
      </w:r>
      <w:r>
        <w:rPr/>
        <w:t>other</w:t>
      </w:r>
      <w:r>
        <w:rPr>
          <w:spacing w:val="-17"/>
        </w:rPr>
        <w:t> </w:t>
      </w:r>
      <w:r>
        <w:rPr/>
        <w:t>things, melatonin.</w:t>
      </w:r>
    </w:p>
    <w:p>
      <w:pPr>
        <w:pStyle w:val="BodyText"/>
        <w:spacing w:line="276" w:lineRule="auto" w:before="241"/>
        <w:ind w:left="616" w:right="130"/>
        <w:jc w:val="both"/>
      </w:pPr>
      <w:r>
        <w:rPr/>
        <w:t>They believe that an additional intake of melatonin can take our immune sys- tem back to its youth; it would make us more resilient and healthier.</w:t>
      </w:r>
      <w:r>
        <w:rPr>
          <w:position w:val="9"/>
          <w:sz w:val="25"/>
        </w:rPr>
        <w:t>528 </w:t>
      </w:r>
      <w:r>
        <w:rPr/>
        <w:t>Fur- thermore, melatonin is considered one of the strongest known antioxidants that fights free radicals with 50 times the effectiveness of vitamin C.</w:t>
      </w:r>
    </w:p>
    <w:p>
      <w:pPr>
        <w:pStyle w:val="BodyText"/>
        <w:spacing w:line="276" w:lineRule="auto" w:before="242"/>
        <w:ind w:left="616" w:right="131"/>
        <w:jc w:val="both"/>
      </w:pPr>
      <w:r>
        <w:rPr/>
        <w:t>In</w:t>
      </w:r>
      <w:r>
        <w:rPr>
          <w:spacing w:val="-14"/>
        </w:rPr>
        <w:t> </w:t>
      </w:r>
      <w:r>
        <w:rPr/>
        <w:t>their</w:t>
      </w:r>
      <w:r>
        <w:rPr>
          <w:spacing w:val="-15"/>
        </w:rPr>
        <w:t> </w:t>
      </w:r>
      <w:r>
        <w:rPr/>
        <w:t>research,</w:t>
      </w:r>
      <w:r>
        <w:rPr>
          <w:spacing w:val="-13"/>
        </w:rPr>
        <w:t> </w:t>
      </w:r>
      <w:r>
        <w:rPr/>
        <w:t>Pierpaoli</w:t>
      </w:r>
      <w:r>
        <w:rPr>
          <w:spacing w:val="-15"/>
        </w:rPr>
        <w:t> </w:t>
      </w:r>
      <w:r>
        <w:rPr/>
        <w:t>and</w:t>
      </w:r>
      <w:r>
        <w:rPr>
          <w:spacing w:val="-15"/>
        </w:rPr>
        <w:t> </w:t>
      </w:r>
      <w:r>
        <w:rPr/>
        <w:t>Regelson</w:t>
      </w:r>
      <w:r>
        <w:rPr>
          <w:spacing w:val="-13"/>
        </w:rPr>
        <w:t> </w:t>
      </w:r>
      <w:r>
        <w:rPr/>
        <w:t>also</w:t>
      </w:r>
      <w:r>
        <w:rPr>
          <w:spacing w:val="-15"/>
        </w:rPr>
        <w:t> </w:t>
      </w:r>
      <w:r>
        <w:rPr/>
        <w:t>found</w:t>
      </w:r>
      <w:r>
        <w:rPr>
          <w:spacing w:val="-13"/>
        </w:rPr>
        <w:t> </w:t>
      </w:r>
      <w:r>
        <w:rPr/>
        <w:t>that</w:t>
      </w:r>
      <w:r>
        <w:rPr>
          <w:spacing w:val="-13"/>
        </w:rPr>
        <w:t> </w:t>
      </w:r>
      <w:r>
        <w:rPr/>
        <w:t>a</w:t>
      </w:r>
      <w:r>
        <w:rPr>
          <w:spacing w:val="-18"/>
        </w:rPr>
        <w:t> </w:t>
      </w:r>
      <w:r>
        <w:rPr/>
        <w:t>normal</w:t>
      </w:r>
      <w:r>
        <w:rPr>
          <w:spacing w:val="-15"/>
        </w:rPr>
        <w:t> </w:t>
      </w:r>
      <w:r>
        <w:rPr/>
        <w:t>level</w:t>
      </w:r>
      <w:r>
        <w:rPr>
          <w:spacing w:val="-15"/>
        </w:rPr>
        <w:t> </w:t>
      </w:r>
      <w:r>
        <w:rPr/>
        <w:t>of</w:t>
      </w:r>
      <w:r>
        <w:rPr>
          <w:spacing w:val="-15"/>
        </w:rPr>
        <w:t> </w:t>
      </w:r>
      <w:r>
        <w:rPr/>
        <w:t>mel- atonin</w:t>
      </w:r>
      <w:r>
        <w:rPr>
          <w:spacing w:val="-10"/>
        </w:rPr>
        <w:t> </w:t>
      </w:r>
      <w:r>
        <w:rPr/>
        <w:t>also</w:t>
      </w:r>
      <w:r>
        <w:rPr>
          <w:spacing w:val="-10"/>
        </w:rPr>
        <w:t> </w:t>
      </w:r>
      <w:r>
        <w:rPr/>
        <w:t>ensures</w:t>
      </w:r>
      <w:r>
        <w:rPr>
          <w:spacing w:val="-10"/>
        </w:rPr>
        <w:t> </w:t>
      </w:r>
      <w:r>
        <w:rPr/>
        <w:t>that</w:t>
      </w:r>
      <w:r>
        <w:rPr>
          <w:spacing w:val="-10"/>
        </w:rPr>
        <w:t> </w:t>
      </w:r>
      <w:r>
        <w:rPr/>
        <w:t>the</w:t>
      </w:r>
      <w:r>
        <w:rPr>
          <w:spacing w:val="-10"/>
        </w:rPr>
        <w:t> </w:t>
      </w:r>
      <w:r>
        <w:rPr/>
        <w:t>immune</w:t>
      </w:r>
      <w:r>
        <w:rPr>
          <w:spacing w:val="-10"/>
        </w:rPr>
        <w:t> </w:t>
      </w:r>
      <w:r>
        <w:rPr/>
        <w:t>system</w:t>
      </w:r>
      <w:r>
        <w:rPr>
          <w:spacing w:val="-11"/>
        </w:rPr>
        <w:t> </w:t>
      </w:r>
      <w:r>
        <w:rPr/>
        <w:t>can</w:t>
      </w:r>
      <w:r>
        <w:rPr>
          <w:spacing w:val="-9"/>
        </w:rPr>
        <w:t> </w:t>
      </w:r>
      <w:r>
        <w:rPr/>
        <w:t>instantly</w:t>
      </w:r>
      <w:r>
        <w:rPr>
          <w:spacing w:val="-10"/>
        </w:rPr>
        <w:t> </w:t>
      </w:r>
      <w:r>
        <w:rPr/>
        <w:t>and</w:t>
      </w:r>
      <w:r>
        <w:rPr>
          <w:spacing w:val="-10"/>
        </w:rPr>
        <w:t> </w:t>
      </w:r>
      <w:r>
        <w:rPr/>
        <w:t>accurately</w:t>
      </w:r>
      <w:r>
        <w:rPr>
          <w:spacing w:val="-11"/>
        </w:rPr>
        <w:t> </w:t>
      </w:r>
      <w:r>
        <w:rPr/>
        <w:t>detect and destroy 'hostile vectors' and pathogens.</w:t>
      </w:r>
    </w:p>
    <w:p>
      <w:pPr>
        <w:pStyle w:val="BodyText"/>
        <w:spacing w:line="278" w:lineRule="auto" w:before="239"/>
        <w:ind w:left="616" w:right="140"/>
        <w:jc w:val="both"/>
      </w:pPr>
      <w:r>
        <w:rPr/>
        <w:t>As one of the most effective antioxidants, melatonin also causes the destruc- tion of free radicals that are known to cause cancer cells.</w:t>
      </w:r>
    </w:p>
    <w:p>
      <w:pPr>
        <w:pStyle w:val="BodyText"/>
        <w:spacing w:line="276" w:lineRule="auto" w:before="233"/>
        <w:ind w:left="616" w:right="136"/>
        <w:jc w:val="both"/>
      </w:pPr>
      <w:r>
        <w:rPr/>
        <w:t>Specific oncological studies have also shown that melatonin can enhance the anti-cancer effects of certain drugs in chemotherapeutic cancer treatment and reduce their sometimes dangerous side effects to an acceptable level.</w:t>
      </w:r>
    </w:p>
    <w:p>
      <w:pPr>
        <w:pStyle w:val="BodyText"/>
        <w:spacing w:line="276" w:lineRule="auto" w:before="238"/>
        <w:ind w:left="616" w:right="135"/>
        <w:jc w:val="both"/>
      </w:pPr>
      <w:r>
        <w:rPr/>
        <w:t>However, the most important contribution of Pierpaoli and Regelson seems to be the realisation that the pineal gland controls the ageing process with the help of melatonin and represents the actual 'age clock' long sought by science</w:t>
      </w:r>
    </w:p>
    <w:p>
      <w:pPr>
        <w:pStyle w:val="BodyText"/>
        <w:spacing w:before="2"/>
        <w:ind w:left="616"/>
        <w:jc w:val="both"/>
      </w:pPr>
      <w:r>
        <w:rPr/>
        <w:t>– or at least one of them.</w:t>
      </w:r>
    </w:p>
    <w:p>
      <w:pPr>
        <w:pStyle w:val="BodyText"/>
        <w:rPr>
          <w:sz w:val="20"/>
        </w:rPr>
      </w:pPr>
    </w:p>
    <w:p>
      <w:pPr>
        <w:pStyle w:val="BodyText"/>
        <w:rPr>
          <w:sz w:val="20"/>
        </w:rPr>
      </w:pPr>
    </w:p>
    <w:p>
      <w:pPr>
        <w:pStyle w:val="BodyText"/>
        <w:spacing w:before="2"/>
        <w:rPr>
          <w:sz w:val="27"/>
        </w:rPr>
      </w:pPr>
      <w:r>
        <w:rPr/>
        <w:pict>
          <v:line style="position:absolute;mso-position-horizontal-relative:page;mso-position-vertical-relative:paragraph;z-index:6704;mso-wrap-distance-left:0;mso-wrap-distance-right:0" from="70.823997pt,17.643736pt" to="214.843997pt,17.643736pt" stroked="true" strokeweight=".72003pt" strokecolor="#000000">
            <v:stroke dashstyle="solid"/>
            <w10:wrap type="topAndBottom"/>
          </v:line>
        </w:pict>
      </w:r>
    </w:p>
    <w:p>
      <w:pPr>
        <w:pStyle w:val="BodyText"/>
        <w:spacing w:before="7"/>
        <w:rPr>
          <w:sz w:val="18"/>
        </w:rPr>
      </w:pPr>
    </w:p>
    <w:p>
      <w:pPr>
        <w:spacing w:line="276" w:lineRule="auto" w:before="99"/>
        <w:ind w:left="616" w:right="481" w:firstLine="0"/>
        <w:jc w:val="left"/>
        <w:rPr>
          <w:sz w:val="20"/>
        </w:rPr>
      </w:pPr>
      <w:r>
        <w:rPr>
          <w:position w:val="5"/>
          <w:sz w:val="13"/>
        </w:rPr>
        <w:t>528 </w:t>
      </w:r>
      <w:r>
        <w:rPr>
          <w:sz w:val="20"/>
        </w:rPr>
        <w:t>Walter Pierpaoli and William Regelson: Melatonin – Schlüssel zu ewiger Jugend, Gesundheit und Fitness ('Key to Eternal Youth, Health and Fitness'), April 1996, p. 115</w:t>
      </w:r>
    </w:p>
    <w:p>
      <w:pPr>
        <w:spacing w:after="0" w:line="276" w:lineRule="auto"/>
        <w:jc w:val="left"/>
        <w:rPr>
          <w:sz w:val="20"/>
        </w:rPr>
        <w:sectPr>
          <w:footerReference w:type="default" r:id="rId224"/>
          <w:pgSz w:w="14270" w:h="16850"/>
          <w:pgMar w:footer="1891" w:header="0" w:top="1340" w:bottom="2080" w:left="800" w:right="1280"/>
          <w:pgNumType w:start="960"/>
        </w:sectPr>
      </w:pPr>
    </w:p>
    <w:p>
      <w:pPr>
        <w:pStyle w:val="BodyText"/>
        <w:spacing w:line="276" w:lineRule="auto" w:before="74"/>
        <w:ind w:left="616" w:right="134"/>
        <w:jc w:val="both"/>
      </w:pPr>
      <w:r>
        <w:rPr/>
        <w:t>As already mentioned, melatonin has demonstrated a life-prolonging effect in animal experiments. In addition, it has demonstrated efficacy against cardio- vascular diseases, impotence, cancer, sleep disorders, and many other condi- tions in human and animal clinical trials.</w:t>
      </w:r>
    </w:p>
    <w:p>
      <w:pPr>
        <w:pStyle w:val="BodyText"/>
        <w:spacing w:line="276" w:lineRule="auto" w:before="239"/>
        <w:ind w:left="616" w:right="138"/>
        <w:jc w:val="both"/>
      </w:pPr>
      <w:r>
        <w:rPr/>
        <w:t>Now all this would not be so interesting if this body's own hormone was not also available in capsule form – after all, it is not every day that you get the chance to have a pineal gland transplant...</w:t>
      </w:r>
    </w:p>
    <w:p>
      <w:pPr>
        <w:pStyle w:val="BodyText"/>
        <w:spacing w:before="242"/>
        <w:ind w:left="616"/>
        <w:jc w:val="both"/>
      </w:pPr>
      <w:r>
        <w:rPr/>
        <w:t>The pineal gland – an important life clock</w:t>
      </w:r>
    </w:p>
    <w:p>
      <w:pPr>
        <w:pStyle w:val="BodyText"/>
        <w:spacing w:line="276" w:lineRule="auto" w:before="302"/>
        <w:ind w:left="616" w:right="133"/>
        <w:jc w:val="both"/>
      </w:pPr>
      <w:r>
        <w:rPr/>
        <w:t>Among other things, the pineal gland determines our rhythm of life. In the animal kingdom, these rhythms are particularly easy to observe; in the spring, the pineal gland awakens lustful feelings that lead to mating. Towards the au- tumn, it gives the signal to migratory birds that it is time to start their journey to the warm south. Other animals have signals to look for a winter home, and then in spring to wake them from their hibernation.</w:t>
      </w:r>
    </w:p>
    <w:p>
      <w:pPr>
        <w:pStyle w:val="BodyText"/>
        <w:spacing w:line="276" w:lineRule="auto" w:before="243"/>
        <w:ind w:left="616" w:right="135"/>
        <w:jc w:val="both"/>
      </w:pPr>
      <w:r>
        <w:rPr/>
        <w:t>In</w:t>
      </w:r>
      <w:r>
        <w:rPr>
          <w:spacing w:val="-15"/>
        </w:rPr>
        <w:t> </w:t>
      </w:r>
      <w:r>
        <w:rPr/>
        <w:t>humans,</w:t>
      </w:r>
      <w:r>
        <w:rPr>
          <w:spacing w:val="-17"/>
        </w:rPr>
        <w:t> </w:t>
      </w:r>
      <w:r>
        <w:rPr/>
        <w:t>the</w:t>
      </w:r>
      <w:r>
        <w:rPr>
          <w:spacing w:val="-18"/>
        </w:rPr>
        <w:t> </w:t>
      </w:r>
      <w:r>
        <w:rPr/>
        <w:t>pineal</w:t>
      </w:r>
      <w:r>
        <w:rPr>
          <w:spacing w:val="-16"/>
        </w:rPr>
        <w:t> </w:t>
      </w:r>
      <w:r>
        <w:rPr/>
        <w:t>gland</w:t>
      </w:r>
      <w:r>
        <w:rPr>
          <w:spacing w:val="-15"/>
        </w:rPr>
        <w:t> </w:t>
      </w:r>
      <w:r>
        <w:rPr/>
        <w:t>helps</w:t>
      </w:r>
      <w:r>
        <w:rPr>
          <w:spacing w:val="-13"/>
        </w:rPr>
        <w:t> </w:t>
      </w:r>
      <w:r>
        <w:rPr/>
        <w:t>to</w:t>
      </w:r>
      <w:r>
        <w:rPr>
          <w:spacing w:val="-17"/>
        </w:rPr>
        <w:t> </w:t>
      </w:r>
      <w:r>
        <w:rPr/>
        <w:t>maintain</w:t>
      </w:r>
      <w:r>
        <w:rPr>
          <w:spacing w:val="-15"/>
        </w:rPr>
        <w:t> </w:t>
      </w:r>
      <w:r>
        <w:rPr/>
        <w:t>seasonal</w:t>
      </w:r>
      <w:r>
        <w:rPr>
          <w:spacing w:val="-13"/>
        </w:rPr>
        <w:t> </w:t>
      </w:r>
      <w:r>
        <w:rPr/>
        <w:t>hormone</w:t>
      </w:r>
      <w:r>
        <w:rPr>
          <w:spacing w:val="-17"/>
        </w:rPr>
        <w:t> </w:t>
      </w:r>
      <w:r>
        <w:rPr/>
        <w:t>levels;</w:t>
      </w:r>
      <w:r>
        <w:rPr>
          <w:spacing w:val="-15"/>
        </w:rPr>
        <w:t> </w:t>
      </w:r>
      <w:r>
        <w:rPr/>
        <w:t>among other</w:t>
      </w:r>
      <w:r>
        <w:rPr>
          <w:spacing w:val="-25"/>
        </w:rPr>
        <w:t> </w:t>
      </w:r>
      <w:r>
        <w:rPr/>
        <w:t>things,</w:t>
      </w:r>
      <w:r>
        <w:rPr>
          <w:spacing w:val="-25"/>
        </w:rPr>
        <w:t> </w:t>
      </w:r>
      <w:r>
        <w:rPr/>
        <w:t>it</w:t>
      </w:r>
      <w:r>
        <w:rPr>
          <w:spacing w:val="-26"/>
        </w:rPr>
        <w:t> </w:t>
      </w:r>
      <w:r>
        <w:rPr/>
        <w:t>regulates</w:t>
      </w:r>
      <w:r>
        <w:rPr>
          <w:spacing w:val="-25"/>
        </w:rPr>
        <w:t> </w:t>
      </w:r>
      <w:r>
        <w:rPr/>
        <w:t>our</w:t>
      </w:r>
      <w:r>
        <w:rPr>
          <w:spacing w:val="-25"/>
        </w:rPr>
        <w:t> </w:t>
      </w:r>
      <w:r>
        <w:rPr/>
        <w:t>growth</w:t>
      </w:r>
      <w:r>
        <w:rPr>
          <w:spacing w:val="-25"/>
        </w:rPr>
        <w:t> </w:t>
      </w:r>
      <w:r>
        <w:rPr/>
        <w:t>and</w:t>
      </w:r>
      <w:r>
        <w:rPr>
          <w:spacing w:val="-25"/>
        </w:rPr>
        <w:t> </w:t>
      </w:r>
      <w:r>
        <w:rPr/>
        <w:t>development</w:t>
      </w:r>
      <w:r>
        <w:rPr>
          <w:spacing w:val="-26"/>
        </w:rPr>
        <w:t> </w:t>
      </w:r>
      <w:r>
        <w:rPr/>
        <w:t>from</w:t>
      </w:r>
      <w:r>
        <w:rPr>
          <w:spacing w:val="-25"/>
        </w:rPr>
        <w:t> </w:t>
      </w:r>
      <w:r>
        <w:rPr/>
        <w:t>childhood</w:t>
      </w:r>
      <w:r>
        <w:rPr>
          <w:spacing w:val="-25"/>
        </w:rPr>
        <w:t> </w:t>
      </w:r>
      <w:r>
        <w:rPr/>
        <w:t>to</w:t>
      </w:r>
      <w:r>
        <w:rPr>
          <w:spacing w:val="-25"/>
        </w:rPr>
        <w:t> </w:t>
      </w:r>
      <w:r>
        <w:rPr/>
        <w:t>adult- hood.</w:t>
      </w:r>
    </w:p>
    <w:p>
      <w:pPr>
        <w:pStyle w:val="BodyText"/>
        <w:spacing w:line="276" w:lineRule="auto" w:before="239"/>
        <w:ind w:left="616" w:right="133"/>
        <w:jc w:val="both"/>
      </w:pPr>
      <w:r>
        <w:rPr/>
        <w:t>Melatonin, produced in the pineal gland of the mother, is supplied to the un- born</w:t>
      </w:r>
      <w:r>
        <w:rPr>
          <w:spacing w:val="-6"/>
        </w:rPr>
        <w:t> </w:t>
      </w:r>
      <w:r>
        <w:rPr/>
        <w:t>child</w:t>
      </w:r>
      <w:r>
        <w:rPr>
          <w:spacing w:val="-8"/>
        </w:rPr>
        <w:t> </w:t>
      </w:r>
      <w:r>
        <w:rPr/>
        <w:t>via</w:t>
      </w:r>
      <w:r>
        <w:rPr>
          <w:spacing w:val="-7"/>
        </w:rPr>
        <w:t> </w:t>
      </w:r>
      <w:r>
        <w:rPr/>
        <w:t>the</w:t>
      </w:r>
      <w:r>
        <w:rPr>
          <w:spacing w:val="-6"/>
        </w:rPr>
        <w:t> </w:t>
      </w:r>
      <w:r>
        <w:rPr/>
        <w:t>placenta</w:t>
      </w:r>
      <w:r>
        <w:rPr>
          <w:spacing w:val="-6"/>
        </w:rPr>
        <w:t> </w:t>
      </w:r>
      <w:r>
        <w:rPr/>
        <w:t>and</w:t>
      </w:r>
      <w:r>
        <w:rPr>
          <w:spacing w:val="-7"/>
        </w:rPr>
        <w:t> </w:t>
      </w:r>
      <w:r>
        <w:rPr/>
        <w:t>helps</w:t>
      </w:r>
      <w:r>
        <w:rPr>
          <w:spacing w:val="-5"/>
        </w:rPr>
        <w:t> </w:t>
      </w:r>
      <w:r>
        <w:rPr/>
        <w:t>to</w:t>
      </w:r>
      <w:r>
        <w:rPr>
          <w:spacing w:val="-6"/>
        </w:rPr>
        <w:t> </w:t>
      </w:r>
      <w:r>
        <w:rPr/>
        <w:t>control</w:t>
      </w:r>
      <w:r>
        <w:rPr>
          <w:spacing w:val="-6"/>
        </w:rPr>
        <w:t> </w:t>
      </w:r>
      <w:r>
        <w:rPr/>
        <w:t>the</w:t>
      </w:r>
      <w:r>
        <w:rPr>
          <w:spacing w:val="-6"/>
        </w:rPr>
        <w:t> </w:t>
      </w:r>
      <w:r>
        <w:rPr/>
        <w:t>sleep-wake</w:t>
      </w:r>
      <w:r>
        <w:rPr>
          <w:spacing w:val="-7"/>
        </w:rPr>
        <w:t> </w:t>
      </w:r>
      <w:r>
        <w:rPr/>
        <w:t>cycle.</w:t>
      </w:r>
      <w:r>
        <w:rPr>
          <w:spacing w:val="-5"/>
        </w:rPr>
        <w:t> </w:t>
      </w:r>
      <w:r>
        <w:rPr/>
        <w:t>Immedi- ately after birth, the toddler benefits from melatonin, which is passed on through breast milk.</w:t>
      </w:r>
    </w:p>
    <w:p>
      <w:pPr>
        <w:spacing w:after="0" w:line="276" w:lineRule="auto"/>
        <w:jc w:val="both"/>
        <w:sectPr>
          <w:pgSz w:w="14270" w:h="16850"/>
          <w:pgMar w:header="0" w:footer="1891" w:top="1340" w:bottom="2080" w:left="800" w:right="1280"/>
        </w:sectPr>
      </w:pPr>
    </w:p>
    <w:p>
      <w:pPr>
        <w:pStyle w:val="BodyText"/>
        <w:spacing w:line="276" w:lineRule="auto" w:before="72"/>
        <w:ind w:left="616" w:right="139"/>
        <w:jc w:val="both"/>
      </w:pPr>
      <w:r>
        <w:rPr/>
        <w:t>Later, the pineal gland in the brain takes over the body's own production of melatonin supply. Here, melatonin, as in adults, is made from the amino acid 'tryptophan'.</w:t>
      </w:r>
    </w:p>
    <w:p>
      <w:pPr>
        <w:pStyle w:val="BodyText"/>
        <w:spacing w:line="276" w:lineRule="auto" w:before="241"/>
        <w:ind w:left="616" w:right="141"/>
        <w:jc w:val="both"/>
      </w:pPr>
      <w:r>
        <w:rPr/>
        <w:t>The pineal gland produces the most melatonin in childhood; this level drops during puberty.</w:t>
      </w:r>
    </w:p>
    <w:p>
      <w:pPr>
        <w:pStyle w:val="BodyText"/>
        <w:spacing w:line="276" w:lineRule="auto" w:before="241"/>
        <w:ind w:left="616" w:right="132"/>
        <w:jc w:val="both"/>
      </w:pPr>
      <w:r>
        <w:rPr/>
        <w:t>According</w:t>
      </w:r>
      <w:r>
        <w:rPr>
          <w:spacing w:val="-24"/>
        </w:rPr>
        <w:t> </w:t>
      </w:r>
      <w:r>
        <w:rPr/>
        <w:t>to</w:t>
      </w:r>
      <w:r>
        <w:rPr>
          <w:spacing w:val="-24"/>
        </w:rPr>
        <w:t> </w:t>
      </w:r>
      <w:r>
        <w:rPr/>
        <w:t>the</w:t>
      </w:r>
      <w:r>
        <w:rPr>
          <w:spacing w:val="-26"/>
        </w:rPr>
        <w:t> </w:t>
      </w:r>
      <w:r>
        <w:rPr/>
        <w:t>magazine</w:t>
      </w:r>
      <w:r>
        <w:rPr>
          <w:spacing w:val="-24"/>
        </w:rPr>
        <w:t> </w:t>
      </w:r>
      <w:r>
        <w:rPr/>
        <w:t>'Focus',</w:t>
      </w:r>
      <w:r>
        <w:rPr>
          <w:spacing w:val="-24"/>
        </w:rPr>
        <w:t> </w:t>
      </w:r>
      <w:r>
        <w:rPr/>
        <w:t>melatonin</w:t>
      </w:r>
      <w:r>
        <w:rPr>
          <w:spacing w:val="-24"/>
        </w:rPr>
        <w:t> </w:t>
      </w:r>
      <w:r>
        <w:rPr/>
        <w:t>reaches</w:t>
      </w:r>
      <w:r>
        <w:rPr>
          <w:spacing w:val="-24"/>
        </w:rPr>
        <w:t> </w:t>
      </w:r>
      <w:r>
        <w:rPr/>
        <w:t>its</w:t>
      </w:r>
      <w:r>
        <w:rPr>
          <w:spacing w:val="-27"/>
        </w:rPr>
        <w:t> </w:t>
      </w:r>
      <w:r>
        <w:rPr/>
        <w:t>highest</w:t>
      </w:r>
      <w:r>
        <w:rPr>
          <w:spacing w:val="-24"/>
        </w:rPr>
        <w:t> </w:t>
      </w:r>
      <w:r>
        <w:rPr/>
        <w:t>concentration at the age of eight with about 125 picograms per ml of blood. The first major decrease</w:t>
      </w:r>
      <w:r>
        <w:rPr>
          <w:spacing w:val="-18"/>
        </w:rPr>
        <w:t> </w:t>
      </w:r>
      <w:r>
        <w:rPr/>
        <w:t>in</w:t>
      </w:r>
      <w:r>
        <w:rPr>
          <w:spacing w:val="-19"/>
        </w:rPr>
        <w:t> </w:t>
      </w:r>
      <w:r>
        <w:rPr/>
        <w:t>melatonin</w:t>
      </w:r>
      <w:r>
        <w:rPr>
          <w:spacing w:val="-18"/>
        </w:rPr>
        <w:t> </w:t>
      </w:r>
      <w:r>
        <w:rPr/>
        <w:t>is</w:t>
      </w:r>
      <w:r>
        <w:rPr>
          <w:spacing w:val="-19"/>
        </w:rPr>
        <w:t> </w:t>
      </w:r>
      <w:r>
        <w:rPr/>
        <w:t>experienced</w:t>
      </w:r>
      <w:r>
        <w:rPr>
          <w:spacing w:val="-17"/>
        </w:rPr>
        <w:t> </w:t>
      </w:r>
      <w:r>
        <w:rPr/>
        <w:t>at</w:t>
      </w:r>
      <w:r>
        <w:rPr>
          <w:spacing w:val="-20"/>
        </w:rPr>
        <w:t> </w:t>
      </w:r>
      <w:r>
        <w:rPr/>
        <w:t>16</w:t>
      </w:r>
      <w:r>
        <w:rPr>
          <w:spacing w:val="-18"/>
        </w:rPr>
        <w:t> </w:t>
      </w:r>
      <w:r>
        <w:rPr/>
        <w:t>years</w:t>
      </w:r>
      <w:r>
        <w:rPr>
          <w:spacing w:val="-18"/>
        </w:rPr>
        <w:t> </w:t>
      </w:r>
      <w:r>
        <w:rPr/>
        <w:t>of</w:t>
      </w:r>
      <w:r>
        <w:rPr>
          <w:spacing w:val="-19"/>
        </w:rPr>
        <w:t> </w:t>
      </w:r>
      <w:r>
        <w:rPr/>
        <w:t>age</w:t>
      </w:r>
      <w:r>
        <w:rPr>
          <w:spacing w:val="-18"/>
        </w:rPr>
        <w:t> </w:t>
      </w:r>
      <w:r>
        <w:rPr/>
        <w:t>during</w:t>
      </w:r>
      <w:r>
        <w:rPr>
          <w:spacing w:val="-18"/>
        </w:rPr>
        <w:t> </w:t>
      </w:r>
      <w:r>
        <w:rPr/>
        <w:t>puberty</w:t>
      </w:r>
      <w:r>
        <w:rPr>
          <w:spacing w:val="-18"/>
        </w:rPr>
        <w:t> </w:t>
      </w:r>
      <w:r>
        <w:rPr/>
        <w:t>(approx- imately</w:t>
      </w:r>
      <w:r>
        <w:rPr>
          <w:spacing w:val="-9"/>
        </w:rPr>
        <w:t> </w:t>
      </w:r>
      <w:r>
        <w:rPr/>
        <w:t>87</w:t>
      </w:r>
      <w:r>
        <w:rPr>
          <w:spacing w:val="-8"/>
        </w:rPr>
        <w:t> </w:t>
      </w:r>
      <w:r>
        <w:rPr/>
        <w:t>picograms/ml</w:t>
      </w:r>
      <w:r>
        <w:rPr>
          <w:spacing w:val="-8"/>
        </w:rPr>
        <w:t> </w:t>
      </w:r>
      <w:r>
        <w:rPr/>
        <w:t>of</w:t>
      </w:r>
      <w:r>
        <w:rPr>
          <w:spacing w:val="-8"/>
        </w:rPr>
        <w:t> </w:t>
      </w:r>
      <w:r>
        <w:rPr/>
        <w:t>blood).</w:t>
      </w:r>
      <w:r>
        <w:rPr>
          <w:spacing w:val="-7"/>
        </w:rPr>
        <w:t> </w:t>
      </w:r>
      <w:r>
        <w:rPr/>
        <w:t>At</w:t>
      </w:r>
      <w:r>
        <w:rPr>
          <w:spacing w:val="-8"/>
        </w:rPr>
        <w:t> </w:t>
      </w:r>
      <w:r>
        <w:rPr/>
        <w:t>45,</w:t>
      </w:r>
      <w:r>
        <w:rPr>
          <w:spacing w:val="-8"/>
        </w:rPr>
        <w:t> </w:t>
      </w:r>
      <w:r>
        <w:rPr/>
        <w:t>we</w:t>
      </w:r>
      <w:r>
        <w:rPr>
          <w:spacing w:val="-10"/>
        </w:rPr>
        <w:t> </w:t>
      </w:r>
      <w:r>
        <w:rPr/>
        <w:t>only</w:t>
      </w:r>
      <w:r>
        <w:rPr>
          <w:spacing w:val="-7"/>
        </w:rPr>
        <w:t> </w:t>
      </w:r>
      <w:r>
        <w:rPr/>
        <w:t>produce</w:t>
      </w:r>
      <w:r>
        <w:rPr>
          <w:spacing w:val="-7"/>
        </w:rPr>
        <w:t> </w:t>
      </w:r>
      <w:r>
        <w:rPr/>
        <w:t>half</w:t>
      </w:r>
      <w:r>
        <w:rPr>
          <w:spacing w:val="-8"/>
        </w:rPr>
        <w:t> </w:t>
      </w:r>
      <w:r>
        <w:rPr/>
        <w:t>as</w:t>
      </w:r>
      <w:r>
        <w:rPr>
          <w:spacing w:val="-6"/>
        </w:rPr>
        <w:t> </w:t>
      </w:r>
      <w:r>
        <w:rPr/>
        <w:t>much</w:t>
      </w:r>
      <w:r>
        <w:rPr>
          <w:spacing w:val="-7"/>
        </w:rPr>
        <w:t> </w:t>
      </w:r>
      <w:r>
        <w:rPr/>
        <w:t>mel- atonin as we did in childhood (about 50 picograms/ml of blood), and at 80, the pineal gland barely produces any melatonin at all (25</w:t>
      </w:r>
      <w:r>
        <w:rPr>
          <w:spacing w:val="-15"/>
        </w:rPr>
        <w:t> </w:t>
      </w:r>
      <w:r>
        <w:rPr/>
        <w:t>picograms/ml).</w:t>
      </w:r>
    </w:p>
    <w:p>
      <w:pPr>
        <w:pStyle w:val="BodyText"/>
        <w:spacing w:line="276" w:lineRule="auto" w:before="240"/>
        <w:ind w:left="616" w:right="137"/>
        <w:jc w:val="both"/>
      </w:pPr>
      <w:r>
        <w:rPr/>
        <w:t>In parallel to this, ageing starts to become clearly noticeable at the age of 45 ; at the same time, it has a negative effect on us, leads to physiological degener- ation and makes us susceptible to numerous diseases. This is not surprising, because ultimately the level of performance expected from the pineal gland is extremely high.</w:t>
      </w:r>
    </w:p>
    <w:p>
      <w:pPr>
        <w:pStyle w:val="BodyText"/>
        <w:spacing w:line="276" w:lineRule="auto" w:before="240"/>
        <w:ind w:left="616" w:right="135"/>
        <w:jc w:val="both"/>
      </w:pPr>
      <w:r>
        <w:rPr/>
        <w:t>All</w:t>
      </w:r>
      <w:r>
        <w:rPr>
          <w:spacing w:val="-16"/>
        </w:rPr>
        <w:t> </w:t>
      </w:r>
      <w:r>
        <w:rPr/>
        <w:t>signs</w:t>
      </w:r>
      <w:r>
        <w:rPr>
          <w:spacing w:val="-12"/>
        </w:rPr>
        <w:t> </w:t>
      </w:r>
      <w:r>
        <w:rPr/>
        <w:t>of</w:t>
      </w:r>
      <w:r>
        <w:rPr>
          <w:spacing w:val="-13"/>
        </w:rPr>
        <w:t> </w:t>
      </w:r>
      <w:r>
        <w:rPr/>
        <w:t>age</w:t>
      </w:r>
      <w:r>
        <w:rPr>
          <w:spacing w:val="-13"/>
        </w:rPr>
        <w:t> </w:t>
      </w:r>
      <w:r>
        <w:rPr/>
        <w:t>of</w:t>
      </w:r>
      <w:r>
        <w:rPr>
          <w:spacing w:val="-13"/>
        </w:rPr>
        <w:t> </w:t>
      </w:r>
      <w:r>
        <w:rPr/>
        <w:t>all</w:t>
      </w:r>
      <w:r>
        <w:rPr>
          <w:spacing w:val="-15"/>
        </w:rPr>
        <w:t> </w:t>
      </w:r>
      <w:r>
        <w:rPr/>
        <w:t>our</w:t>
      </w:r>
      <w:r>
        <w:rPr>
          <w:spacing w:val="-14"/>
        </w:rPr>
        <w:t> </w:t>
      </w:r>
      <w:r>
        <w:rPr/>
        <w:t>organs</w:t>
      </w:r>
      <w:r>
        <w:rPr>
          <w:spacing w:val="-12"/>
        </w:rPr>
        <w:t> </w:t>
      </w:r>
      <w:r>
        <w:rPr/>
        <w:t>are</w:t>
      </w:r>
      <w:r>
        <w:rPr>
          <w:spacing w:val="-13"/>
        </w:rPr>
        <w:t> </w:t>
      </w:r>
      <w:r>
        <w:rPr/>
        <w:t>in</w:t>
      </w:r>
      <w:r>
        <w:rPr>
          <w:spacing w:val="-13"/>
        </w:rPr>
        <w:t> </w:t>
      </w:r>
      <w:r>
        <w:rPr/>
        <w:t>fact</w:t>
      </w:r>
      <w:r>
        <w:rPr>
          <w:spacing w:val="-14"/>
        </w:rPr>
        <w:t> </w:t>
      </w:r>
      <w:r>
        <w:rPr/>
        <w:t>due</w:t>
      </w:r>
      <w:r>
        <w:rPr>
          <w:spacing w:val="-14"/>
        </w:rPr>
        <w:t> </w:t>
      </w:r>
      <w:r>
        <w:rPr/>
        <w:t>to</w:t>
      </w:r>
      <w:r>
        <w:rPr>
          <w:spacing w:val="-14"/>
        </w:rPr>
        <w:t> </w:t>
      </w:r>
      <w:r>
        <w:rPr/>
        <w:t>ageing</w:t>
      </w:r>
      <w:r>
        <w:rPr>
          <w:spacing w:val="-12"/>
        </w:rPr>
        <w:t> </w:t>
      </w:r>
      <w:r>
        <w:rPr/>
        <w:t>and</w:t>
      </w:r>
      <w:r>
        <w:rPr>
          <w:spacing w:val="-13"/>
        </w:rPr>
        <w:t> </w:t>
      </w:r>
      <w:r>
        <w:rPr/>
        <w:t>thus</w:t>
      </w:r>
      <w:r>
        <w:rPr>
          <w:spacing w:val="-13"/>
        </w:rPr>
        <w:t> </w:t>
      </w:r>
      <w:r>
        <w:rPr/>
        <w:t>the</w:t>
      </w:r>
      <w:r>
        <w:rPr>
          <w:spacing w:val="-12"/>
        </w:rPr>
        <w:t> </w:t>
      </w:r>
      <w:r>
        <w:rPr/>
        <w:t>function of</w:t>
      </w:r>
      <w:r>
        <w:rPr>
          <w:spacing w:val="-12"/>
        </w:rPr>
        <w:t> </w:t>
      </w:r>
      <w:r>
        <w:rPr/>
        <w:t>the</w:t>
      </w:r>
      <w:r>
        <w:rPr>
          <w:spacing w:val="-13"/>
        </w:rPr>
        <w:t> </w:t>
      </w:r>
      <w:r>
        <w:rPr/>
        <w:t>pineal</w:t>
      </w:r>
      <w:r>
        <w:rPr>
          <w:spacing w:val="-13"/>
        </w:rPr>
        <w:t> </w:t>
      </w:r>
      <w:r>
        <w:rPr/>
        <w:t>gland,</w:t>
      </w:r>
      <w:r>
        <w:rPr>
          <w:spacing w:val="-11"/>
        </w:rPr>
        <w:t> </w:t>
      </w:r>
      <w:r>
        <w:rPr/>
        <w:t>according</w:t>
      </w:r>
      <w:r>
        <w:rPr>
          <w:spacing w:val="-14"/>
        </w:rPr>
        <w:t> </w:t>
      </w:r>
      <w:r>
        <w:rPr/>
        <w:t>to</w:t>
      </w:r>
      <w:r>
        <w:rPr>
          <w:spacing w:val="-15"/>
        </w:rPr>
        <w:t> </w:t>
      </w:r>
      <w:r>
        <w:rPr/>
        <w:t>the</w:t>
      </w:r>
      <w:r>
        <w:rPr>
          <w:spacing w:val="-11"/>
        </w:rPr>
        <w:t> </w:t>
      </w:r>
      <w:r>
        <w:rPr/>
        <w:t>thesis</w:t>
      </w:r>
      <w:r>
        <w:rPr>
          <w:spacing w:val="-12"/>
        </w:rPr>
        <w:t> </w:t>
      </w:r>
      <w:r>
        <w:rPr/>
        <w:t>of</w:t>
      </w:r>
      <w:r>
        <w:rPr>
          <w:spacing w:val="-14"/>
        </w:rPr>
        <w:t> </w:t>
      </w:r>
      <w:r>
        <w:rPr/>
        <w:t>Prof.</w:t>
      </w:r>
      <w:r>
        <w:rPr>
          <w:spacing w:val="-11"/>
        </w:rPr>
        <w:t> </w:t>
      </w:r>
      <w:r>
        <w:rPr/>
        <w:t>William</w:t>
      </w:r>
      <w:r>
        <w:rPr>
          <w:spacing w:val="-13"/>
        </w:rPr>
        <w:t> </w:t>
      </w:r>
      <w:r>
        <w:rPr/>
        <w:t>Regelson</w:t>
      </w:r>
      <w:r>
        <w:rPr>
          <w:spacing w:val="-11"/>
        </w:rPr>
        <w:t> </w:t>
      </w:r>
      <w:r>
        <w:rPr/>
        <w:t>and</w:t>
      </w:r>
      <w:r>
        <w:rPr>
          <w:spacing w:val="-11"/>
        </w:rPr>
        <w:t> </w:t>
      </w:r>
      <w:r>
        <w:rPr/>
        <w:t>Wal- ter Pierpaoli. After 30 years of research, the two share the conviction that you can</w:t>
      </w:r>
      <w:r>
        <w:rPr>
          <w:spacing w:val="28"/>
        </w:rPr>
        <w:t> </w:t>
      </w:r>
      <w:r>
        <w:rPr/>
        <w:t>stop</w:t>
      </w:r>
      <w:r>
        <w:rPr>
          <w:spacing w:val="28"/>
        </w:rPr>
        <w:t> </w:t>
      </w:r>
      <w:r>
        <w:rPr/>
        <w:t>the</w:t>
      </w:r>
      <w:r>
        <w:rPr>
          <w:spacing w:val="29"/>
        </w:rPr>
        <w:t> </w:t>
      </w:r>
      <w:r>
        <w:rPr/>
        <w:t>ageing</w:t>
      </w:r>
      <w:r>
        <w:rPr>
          <w:spacing w:val="28"/>
        </w:rPr>
        <w:t> </w:t>
      </w:r>
      <w:r>
        <w:rPr/>
        <w:t>clock,</w:t>
      </w:r>
      <w:r>
        <w:rPr>
          <w:spacing w:val="30"/>
        </w:rPr>
        <w:t> </w:t>
      </w:r>
      <w:r>
        <w:rPr/>
        <w:t>yes,</w:t>
      </w:r>
      <w:r>
        <w:rPr>
          <w:spacing w:val="26"/>
        </w:rPr>
        <w:t> </w:t>
      </w:r>
      <w:r>
        <w:rPr/>
        <w:t>even</w:t>
      </w:r>
      <w:r>
        <w:rPr>
          <w:spacing w:val="28"/>
        </w:rPr>
        <w:t> </w:t>
      </w:r>
      <w:r>
        <w:rPr/>
        <w:t>turn</w:t>
      </w:r>
      <w:r>
        <w:rPr>
          <w:spacing w:val="29"/>
        </w:rPr>
        <w:t> </w:t>
      </w:r>
      <w:r>
        <w:rPr/>
        <w:t>it</w:t>
      </w:r>
      <w:r>
        <w:rPr>
          <w:spacing w:val="26"/>
        </w:rPr>
        <w:t> </w:t>
      </w:r>
      <w:r>
        <w:rPr/>
        <w:t>back</w:t>
      </w:r>
      <w:r>
        <w:rPr>
          <w:spacing w:val="33"/>
        </w:rPr>
        <w:t> </w:t>
      </w:r>
      <w:r>
        <w:rPr/>
        <w:t>–</w:t>
      </w:r>
      <w:r>
        <w:rPr>
          <w:spacing w:val="27"/>
        </w:rPr>
        <w:t> </w:t>
      </w:r>
      <w:r>
        <w:rPr/>
        <w:t>and</w:t>
      </w:r>
      <w:r>
        <w:rPr>
          <w:spacing w:val="27"/>
        </w:rPr>
        <w:t> </w:t>
      </w:r>
      <w:r>
        <w:rPr/>
        <w:t>we</w:t>
      </w:r>
      <w:r>
        <w:rPr>
          <w:spacing w:val="28"/>
        </w:rPr>
        <w:t> </w:t>
      </w:r>
      <w:r>
        <w:rPr/>
        <w:t>could</w:t>
      </w:r>
      <w:r>
        <w:rPr>
          <w:spacing w:val="27"/>
        </w:rPr>
        <w:t> </w:t>
      </w:r>
      <w:r>
        <w:rPr/>
        <w:t>live</w:t>
      </w:r>
      <w:r>
        <w:rPr>
          <w:spacing w:val="27"/>
        </w:rPr>
        <w:t> </w:t>
      </w:r>
      <w:r>
        <w:rPr/>
        <w:t>to</w:t>
      </w:r>
      <w:r>
        <w:rPr>
          <w:spacing w:val="28"/>
        </w:rPr>
        <w:t> </w:t>
      </w:r>
      <w:r>
        <w:rPr/>
        <w:t>120</w:t>
      </w:r>
    </w:p>
    <w:p>
      <w:pPr>
        <w:spacing w:after="0" w:line="276" w:lineRule="auto"/>
        <w:jc w:val="both"/>
        <w:sectPr>
          <w:pgSz w:w="14270" w:h="16850"/>
          <w:pgMar w:header="0" w:footer="1891" w:top="1340" w:bottom="2080" w:left="800" w:right="1280"/>
        </w:sectPr>
      </w:pPr>
    </w:p>
    <w:p>
      <w:pPr>
        <w:pStyle w:val="BodyText"/>
        <w:spacing w:before="74"/>
        <w:ind w:left="616"/>
        <w:rPr>
          <w:sz w:val="25"/>
        </w:rPr>
      </w:pPr>
      <w:r>
        <w:rPr/>
        <w:t>years or older.</w:t>
      </w:r>
      <w:r>
        <w:rPr>
          <w:position w:val="9"/>
          <w:sz w:val="25"/>
        </w:rPr>
        <w:t>529</w:t>
      </w:r>
    </w:p>
    <w:p>
      <w:pPr>
        <w:pStyle w:val="BodyText"/>
        <w:spacing w:line="276" w:lineRule="auto" w:before="305"/>
        <w:ind w:left="616" w:right="136"/>
        <w:jc w:val="both"/>
      </w:pPr>
      <w:r>
        <w:rPr/>
        <w:t>In x-ray examinations of older people, the degeneration of the pineal gland appears visually in the form of calcium deposits. These calcium deposits, as a sign of ageing of the pineal gland, lead to a steady decline of melatonin with the associated cell ageing and loss of organ function.</w:t>
      </w:r>
    </w:p>
    <w:p>
      <w:pPr>
        <w:pStyle w:val="BodyText"/>
        <w:spacing w:line="276" w:lineRule="auto" w:before="239"/>
        <w:ind w:left="616" w:right="132"/>
        <w:jc w:val="both"/>
      </w:pPr>
      <w:r>
        <w:rPr/>
        <w:t>Furthermore, ageing causes pineal shrinkage and loss of pinealocytes, the</w:t>
      </w:r>
      <w:r>
        <w:rPr>
          <w:spacing w:val="-45"/>
        </w:rPr>
        <w:t> </w:t>
      </w:r>
      <w:r>
        <w:rPr/>
        <w:t>cells responsible for melatonin</w:t>
      </w:r>
      <w:r>
        <w:rPr>
          <w:spacing w:val="-1"/>
        </w:rPr>
        <w:t> </w:t>
      </w:r>
      <w:r>
        <w:rPr/>
        <w:t>production.</w:t>
      </w:r>
    </w:p>
    <w:p>
      <w:pPr>
        <w:pStyle w:val="BodyText"/>
        <w:spacing w:line="276" w:lineRule="auto" w:before="241"/>
        <w:ind w:left="616" w:right="126"/>
        <w:jc w:val="both"/>
      </w:pPr>
      <w:r>
        <w:rPr/>
        <w:t>At</w:t>
      </w:r>
      <w:r>
        <w:rPr>
          <w:spacing w:val="-7"/>
        </w:rPr>
        <w:t> </w:t>
      </w:r>
      <w:r>
        <w:rPr/>
        <w:t>the</w:t>
      </w:r>
      <w:r>
        <w:rPr>
          <w:spacing w:val="-5"/>
        </w:rPr>
        <w:t> </w:t>
      </w:r>
      <w:r>
        <w:rPr/>
        <w:t>same</w:t>
      </w:r>
      <w:r>
        <w:rPr>
          <w:spacing w:val="-5"/>
        </w:rPr>
        <w:t> </w:t>
      </w:r>
      <w:r>
        <w:rPr/>
        <w:t>time,</w:t>
      </w:r>
      <w:r>
        <w:rPr>
          <w:spacing w:val="-5"/>
        </w:rPr>
        <w:t> </w:t>
      </w:r>
      <w:r>
        <w:rPr/>
        <w:t>the</w:t>
      </w:r>
      <w:r>
        <w:rPr>
          <w:spacing w:val="-5"/>
        </w:rPr>
        <w:t> </w:t>
      </w:r>
      <w:r>
        <w:rPr/>
        <w:t>retina</w:t>
      </w:r>
      <w:r>
        <w:rPr>
          <w:spacing w:val="-6"/>
        </w:rPr>
        <w:t> </w:t>
      </w:r>
      <w:r>
        <w:rPr/>
        <w:t>of</w:t>
      </w:r>
      <w:r>
        <w:rPr>
          <w:spacing w:val="-6"/>
        </w:rPr>
        <w:t> </w:t>
      </w:r>
      <w:r>
        <w:rPr/>
        <w:t>our</w:t>
      </w:r>
      <w:r>
        <w:rPr>
          <w:spacing w:val="-6"/>
        </w:rPr>
        <w:t> </w:t>
      </w:r>
      <w:r>
        <w:rPr/>
        <w:t>eye,</w:t>
      </w:r>
      <w:r>
        <w:rPr>
          <w:spacing w:val="-4"/>
        </w:rPr>
        <w:t> </w:t>
      </w:r>
      <w:r>
        <w:rPr/>
        <w:t>which</w:t>
      </w:r>
      <w:r>
        <w:rPr>
          <w:spacing w:val="-5"/>
        </w:rPr>
        <w:t> </w:t>
      </w:r>
      <w:r>
        <w:rPr/>
        <w:t>transmits</w:t>
      </w:r>
      <w:r>
        <w:rPr>
          <w:spacing w:val="-6"/>
        </w:rPr>
        <w:t> </w:t>
      </w:r>
      <w:r>
        <w:rPr/>
        <w:t>the</w:t>
      </w:r>
      <w:r>
        <w:rPr>
          <w:spacing w:val="-5"/>
        </w:rPr>
        <w:t> </w:t>
      </w:r>
      <w:r>
        <w:rPr/>
        <w:t>light</w:t>
      </w:r>
      <w:r>
        <w:rPr>
          <w:spacing w:val="-8"/>
        </w:rPr>
        <w:t> </w:t>
      </w:r>
      <w:r>
        <w:rPr/>
        <w:t>signals</w:t>
      </w:r>
      <w:r>
        <w:rPr>
          <w:spacing w:val="-6"/>
        </w:rPr>
        <w:t> </w:t>
      </w:r>
      <w:r>
        <w:rPr/>
        <w:t>to</w:t>
      </w:r>
      <w:r>
        <w:rPr>
          <w:spacing w:val="-5"/>
        </w:rPr>
        <w:t> </w:t>
      </w:r>
      <w:r>
        <w:rPr/>
        <w:t>the pineal gland, ages as well, meaning that the signal transmission is always unre- liable – a vicious cycle of</w:t>
      </w:r>
      <w:r>
        <w:rPr>
          <w:spacing w:val="5"/>
        </w:rPr>
        <w:t> </w:t>
      </w:r>
      <w:r>
        <w:rPr/>
        <w:t>ageing.</w:t>
      </w:r>
    </w:p>
    <w:p>
      <w:pPr>
        <w:pStyle w:val="BodyText"/>
        <w:spacing w:line="278" w:lineRule="auto" w:before="239"/>
        <w:ind w:left="616" w:right="140"/>
        <w:jc w:val="both"/>
      </w:pPr>
      <w:r>
        <w:rPr/>
        <w:t>In the next section 'Melatonin effect', you will learn more facts about this highly interesting topic.</w:t>
      </w:r>
    </w:p>
    <w:p>
      <w:pPr>
        <w:pStyle w:val="Heading2"/>
        <w:spacing w:before="232"/>
        <w:ind w:left="616"/>
      </w:pPr>
      <w:r>
        <w:rPr/>
        <w:t>Melatonin, its effect – how does it work and what does it work against?</w:t>
      </w:r>
    </w:p>
    <w:p>
      <w:pPr>
        <w:pStyle w:val="BodyText"/>
        <w:spacing w:line="276" w:lineRule="auto" w:before="303"/>
        <w:ind w:left="616" w:right="137"/>
        <w:jc w:val="both"/>
      </w:pPr>
      <w:r>
        <w:rPr/>
        <w:t>Declared useless just a few decades ago by researchers and physicians as the 'appendix of the brain', the last few years have revealed completely new, plau- sible connections between ageing and diseases that make the pineal gland an important control unit for our entire organism.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4"/>
        </w:rPr>
      </w:pPr>
      <w:r>
        <w:rPr/>
        <w:pict>
          <v:line style="position:absolute;mso-position-horizontal-relative:page;mso-position-vertical-relative:paragraph;z-index:6728;mso-wrap-distance-left:0;mso-wrap-distance-right:0" from="70.823997pt,10.743735pt" to="214.843997pt,10.743735pt" stroked="true" strokeweight=".72003pt" strokecolor="#000000">
            <v:stroke dashstyle="solid"/>
            <w10:wrap type="topAndBottom"/>
          </v:line>
        </w:pict>
      </w:r>
    </w:p>
    <w:p>
      <w:pPr>
        <w:pStyle w:val="BodyText"/>
        <w:spacing w:before="7"/>
        <w:rPr>
          <w:sz w:val="18"/>
        </w:rPr>
      </w:pPr>
    </w:p>
    <w:p>
      <w:pPr>
        <w:spacing w:line="273" w:lineRule="auto" w:before="99"/>
        <w:ind w:left="616" w:right="481" w:firstLine="0"/>
        <w:jc w:val="left"/>
        <w:rPr>
          <w:sz w:val="20"/>
        </w:rPr>
      </w:pPr>
      <w:r>
        <w:rPr>
          <w:position w:val="5"/>
          <w:sz w:val="13"/>
        </w:rPr>
        <w:t>529 </w:t>
      </w:r>
      <w:r>
        <w:rPr>
          <w:sz w:val="20"/>
        </w:rPr>
        <w:t>Walter Pierpaoli and William Regelson: Melatonin – Schlüssel zu ewiger Jugend, Gesundheit und Fitness ('Key to Eternal Youth, Health and Fitness'), April 1996, p. 28</w:t>
      </w:r>
    </w:p>
    <w:p>
      <w:pPr>
        <w:spacing w:after="0" w:line="273" w:lineRule="auto"/>
        <w:jc w:val="left"/>
        <w:rPr>
          <w:sz w:val="20"/>
        </w:rPr>
        <w:sectPr>
          <w:pgSz w:w="14270" w:h="16850"/>
          <w:pgMar w:header="0" w:footer="1891" w:top="1340" w:bottom="2080" w:left="800" w:right="1280"/>
        </w:sectPr>
      </w:pPr>
    </w:p>
    <w:p>
      <w:pPr>
        <w:pStyle w:val="BodyText"/>
        <w:spacing w:line="276" w:lineRule="auto" w:before="74"/>
        <w:ind w:left="616" w:right="131"/>
        <w:jc w:val="both"/>
      </w:pPr>
      <w:r>
        <w:rPr/>
        <w:t>With the ageing of the pineal gland and thus the reduced production of mela- tonin, people age as a whole.</w:t>
      </w:r>
    </w:p>
    <w:p>
      <w:pPr>
        <w:pStyle w:val="BodyText"/>
        <w:spacing w:line="278" w:lineRule="auto" w:before="239"/>
        <w:ind w:left="616" w:right="134"/>
        <w:jc w:val="both"/>
      </w:pPr>
      <w:r>
        <w:rPr/>
        <w:t>During</w:t>
      </w:r>
      <w:r>
        <w:rPr>
          <w:spacing w:val="-18"/>
        </w:rPr>
        <w:t> </w:t>
      </w:r>
      <w:r>
        <w:rPr/>
        <w:t>ageing,</w:t>
      </w:r>
      <w:r>
        <w:rPr>
          <w:spacing w:val="-18"/>
        </w:rPr>
        <w:t> </w:t>
      </w:r>
      <w:r>
        <w:rPr/>
        <w:t>a</w:t>
      </w:r>
      <w:r>
        <w:rPr>
          <w:spacing w:val="-21"/>
        </w:rPr>
        <w:t> </w:t>
      </w:r>
      <w:r>
        <w:rPr/>
        <w:t>person</w:t>
      </w:r>
      <w:r>
        <w:rPr>
          <w:spacing w:val="-18"/>
        </w:rPr>
        <w:t> </w:t>
      </w:r>
      <w:r>
        <w:rPr/>
        <w:t>becomes</w:t>
      </w:r>
      <w:r>
        <w:rPr>
          <w:spacing w:val="-19"/>
        </w:rPr>
        <w:t> </w:t>
      </w:r>
      <w:r>
        <w:rPr/>
        <w:t>more</w:t>
      </w:r>
      <w:r>
        <w:rPr>
          <w:spacing w:val="-21"/>
        </w:rPr>
        <w:t> </w:t>
      </w:r>
      <w:r>
        <w:rPr/>
        <w:t>susceptible</w:t>
      </w:r>
      <w:r>
        <w:rPr>
          <w:spacing w:val="-19"/>
        </w:rPr>
        <w:t> </w:t>
      </w:r>
      <w:r>
        <w:rPr/>
        <w:t>to</w:t>
      </w:r>
      <w:r>
        <w:rPr>
          <w:spacing w:val="-17"/>
        </w:rPr>
        <w:t> </w:t>
      </w:r>
      <w:r>
        <w:rPr/>
        <w:t>all</w:t>
      </w:r>
      <w:r>
        <w:rPr>
          <w:spacing w:val="-20"/>
        </w:rPr>
        <w:t> </w:t>
      </w:r>
      <w:r>
        <w:rPr/>
        <w:t>sorts</w:t>
      </w:r>
      <w:r>
        <w:rPr>
          <w:spacing w:val="-17"/>
        </w:rPr>
        <w:t> </w:t>
      </w:r>
      <w:r>
        <w:rPr/>
        <w:t>of</w:t>
      </w:r>
      <w:r>
        <w:rPr>
          <w:spacing w:val="-21"/>
        </w:rPr>
        <w:t> </w:t>
      </w:r>
      <w:r>
        <w:rPr/>
        <w:t>diseases,</w:t>
      </w:r>
      <w:r>
        <w:rPr>
          <w:spacing w:val="-17"/>
        </w:rPr>
        <w:t> </w:t>
      </w:r>
      <w:r>
        <w:rPr/>
        <w:t>such as cardiovascular diseases, diabetes, cancer or</w:t>
      </w:r>
      <w:r>
        <w:rPr>
          <w:spacing w:val="3"/>
        </w:rPr>
        <w:t> </w:t>
      </w:r>
      <w:r>
        <w:rPr/>
        <w:t>impotence.</w:t>
      </w:r>
    </w:p>
    <w:p>
      <w:pPr>
        <w:pStyle w:val="BodyText"/>
        <w:spacing w:line="276" w:lineRule="auto" w:before="232"/>
        <w:ind w:left="616" w:right="136"/>
        <w:jc w:val="both"/>
      </w:pPr>
      <w:r>
        <w:rPr/>
        <w:t>This brought some scientists in the field of ageing onto the scene, who sus- pected that all these unpleasant phenomena were interrelated and must have</w:t>
      </w:r>
      <w:r>
        <w:rPr>
          <w:spacing w:val="-44"/>
        </w:rPr>
        <w:t> </w:t>
      </w:r>
      <w:r>
        <w:rPr/>
        <w:t>a common cause; the ageing of the pineal gland, meaning that a functional defi- ciency and the inability to deliver enough melatonin could be the</w:t>
      </w:r>
      <w:r>
        <w:rPr>
          <w:spacing w:val="-15"/>
        </w:rPr>
        <w:t> </w:t>
      </w:r>
      <w:r>
        <w:rPr/>
        <w:t>reason!</w:t>
      </w:r>
    </w:p>
    <w:p>
      <w:pPr>
        <w:pStyle w:val="Heading1"/>
        <w:spacing w:before="225"/>
        <w:ind w:left="616"/>
      </w:pPr>
      <w:r>
        <w:rPr/>
        <w:t>Melatonin – production and release</w:t>
      </w:r>
    </w:p>
    <w:p>
      <w:pPr>
        <w:pStyle w:val="BodyText"/>
        <w:spacing w:line="276" w:lineRule="auto" w:before="296"/>
        <w:ind w:left="616" w:right="132"/>
        <w:jc w:val="both"/>
      </w:pPr>
      <w:r>
        <w:rPr/>
        <w:t>Melatonin is supplied by the mother to the unborn child via the placenta and helps</w:t>
      </w:r>
      <w:r>
        <w:rPr>
          <w:spacing w:val="-11"/>
        </w:rPr>
        <w:t> </w:t>
      </w:r>
      <w:r>
        <w:rPr/>
        <w:t>to</w:t>
      </w:r>
      <w:r>
        <w:rPr>
          <w:spacing w:val="-11"/>
        </w:rPr>
        <w:t> </w:t>
      </w:r>
      <w:r>
        <w:rPr/>
        <w:t>control</w:t>
      </w:r>
      <w:r>
        <w:rPr>
          <w:spacing w:val="-15"/>
        </w:rPr>
        <w:t> </w:t>
      </w:r>
      <w:r>
        <w:rPr/>
        <w:t>the</w:t>
      </w:r>
      <w:r>
        <w:rPr>
          <w:spacing w:val="-10"/>
        </w:rPr>
        <w:t> </w:t>
      </w:r>
      <w:r>
        <w:rPr/>
        <w:t>sleep-wake</w:t>
      </w:r>
      <w:r>
        <w:rPr>
          <w:spacing w:val="-12"/>
        </w:rPr>
        <w:t> </w:t>
      </w:r>
      <w:r>
        <w:rPr/>
        <w:t>cycle.</w:t>
      </w:r>
      <w:r>
        <w:rPr>
          <w:spacing w:val="-11"/>
        </w:rPr>
        <w:t> </w:t>
      </w:r>
      <w:r>
        <w:rPr/>
        <w:t>Immediately</w:t>
      </w:r>
      <w:r>
        <w:rPr>
          <w:spacing w:val="-10"/>
        </w:rPr>
        <w:t> </w:t>
      </w:r>
      <w:r>
        <w:rPr/>
        <w:t>after</w:t>
      </w:r>
      <w:r>
        <w:rPr>
          <w:spacing w:val="-12"/>
        </w:rPr>
        <w:t> </w:t>
      </w:r>
      <w:r>
        <w:rPr/>
        <w:t>birth,</w:t>
      </w:r>
      <w:r>
        <w:rPr>
          <w:spacing w:val="-11"/>
        </w:rPr>
        <w:t> </w:t>
      </w:r>
      <w:r>
        <w:rPr/>
        <w:t>the</w:t>
      </w:r>
      <w:r>
        <w:rPr>
          <w:spacing w:val="-13"/>
        </w:rPr>
        <w:t> </w:t>
      </w:r>
      <w:r>
        <w:rPr/>
        <w:t>toddler</w:t>
      </w:r>
      <w:r>
        <w:rPr>
          <w:spacing w:val="-10"/>
        </w:rPr>
        <w:t> </w:t>
      </w:r>
      <w:r>
        <w:rPr/>
        <w:t>ben- efits</w:t>
      </w:r>
      <w:r>
        <w:rPr>
          <w:spacing w:val="-7"/>
        </w:rPr>
        <w:t> </w:t>
      </w:r>
      <w:r>
        <w:rPr/>
        <w:t>from</w:t>
      </w:r>
      <w:r>
        <w:rPr>
          <w:spacing w:val="-9"/>
        </w:rPr>
        <w:t> </w:t>
      </w:r>
      <w:r>
        <w:rPr/>
        <w:t>melatonin,</w:t>
      </w:r>
      <w:r>
        <w:rPr>
          <w:spacing w:val="-8"/>
        </w:rPr>
        <w:t> </w:t>
      </w:r>
      <w:r>
        <w:rPr/>
        <w:t>which</w:t>
      </w:r>
      <w:r>
        <w:rPr>
          <w:spacing w:val="-6"/>
        </w:rPr>
        <w:t> </w:t>
      </w:r>
      <w:r>
        <w:rPr/>
        <w:t>is</w:t>
      </w:r>
      <w:r>
        <w:rPr>
          <w:spacing w:val="-9"/>
        </w:rPr>
        <w:t> </w:t>
      </w:r>
      <w:r>
        <w:rPr/>
        <w:t>passed</w:t>
      </w:r>
      <w:r>
        <w:rPr>
          <w:spacing w:val="-7"/>
        </w:rPr>
        <w:t> </w:t>
      </w:r>
      <w:r>
        <w:rPr/>
        <w:t>on</w:t>
      </w:r>
      <w:r>
        <w:rPr>
          <w:spacing w:val="-8"/>
        </w:rPr>
        <w:t> </w:t>
      </w:r>
      <w:r>
        <w:rPr/>
        <w:t>through</w:t>
      </w:r>
      <w:r>
        <w:rPr>
          <w:spacing w:val="-6"/>
        </w:rPr>
        <w:t> </w:t>
      </w:r>
      <w:r>
        <w:rPr/>
        <w:t>breast</w:t>
      </w:r>
      <w:r>
        <w:rPr>
          <w:spacing w:val="-8"/>
        </w:rPr>
        <w:t> </w:t>
      </w:r>
      <w:r>
        <w:rPr/>
        <w:t>milk.</w:t>
      </w:r>
      <w:r>
        <w:rPr>
          <w:spacing w:val="-9"/>
        </w:rPr>
        <w:t> </w:t>
      </w:r>
      <w:r>
        <w:rPr/>
        <w:t>Later,</w:t>
      </w:r>
      <w:r>
        <w:rPr>
          <w:spacing w:val="-6"/>
        </w:rPr>
        <w:t> </w:t>
      </w:r>
      <w:r>
        <w:rPr/>
        <w:t>the</w:t>
      </w:r>
      <w:r>
        <w:rPr>
          <w:spacing w:val="-11"/>
        </w:rPr>
        <w:t> </w:t>
      </w:r>
      <w:r>
        <w:rPr/>
        <w:t>pineal gland in the brain takes over the body's own production of melatonin</w:t>
      </w:r>
      <w:r>
        <w:rPr>
          <w:spacing w:val="-29"/>
        </w:rPr>
        <w:t> </w:t>
      </w:r>
      <w:r>
        <w:rPr/>
        <w:t>supply.</w:t>
      </w:r>
    </w:p>
    <w:p>
      <w:pPr>
        <w:pStyle w:val="BodyText"/>
        <w:spacing w:line="276" w:lineRule="auto" w:before="240"/>
        <w:ind w:left="616" w:right="143"/>
        <w:jc w:val="both"/>
      </w:pPr>
      <w:r>
        <w:rPr/>
        <w:t>Melatonin reaches its highest level during childhood and drops off during pu- berty.</w:t>
      </w:r>
    </w:p>
    <w:p>
      <w:pPr>
        <w:pStyle w:val="BodyText"/>
        <w:spacing w:line="276" w:lineRule="auto" w:before="241"/>
        <w:ind w:left="616" w:right="134"/>
        <w:jc w:val="both"/>
      </w:pPr>
      <w:r>
        <w:rPr/>
        <w:t>During ageing, the melatonin level decreases continuously, and the decline is stark</w:t>
      </w:r>
      <w:r>
        <w:rPr>
          <w:spacing w:val="-21"/>
        </w:rPr>
        <w:t> </w:t>
      </w:r>
      <w:r>
        <w:rPr/>
        <w:t>between</w:t>
      </w:r>
      <w:r>
        <w:rPr>
          <w:spacing w:val="-20"/>
        </w:rPr>
        <w:t> </w:t>
      </w:r>
      <w:r>
        <w:rPr/>
        <w:t>the</w:t>
      </w:r>
      <w:r>
        <w:rPr>
          <w:spacing w:val="-21"/>
        </w:rPr>
        <w:t> </w:t>
      </w:r>
      <w:r>
        <w:rPr/>
        <w:t>ages</w:t>
      </w:r>
      <w:r>
        <w:rPr>
          <w:spacing w:val="-21"/>
        </w:rPr>
        <w:t> </w:t>
      </w:r>
      <w:r>
        <w:rPr/>
        <w:t>of</w:t>
      </w:r>
      <w:r>
        <w:rPr>
          <w:spacing w:val="-22"/>
        </w:rPr>
        <w:t> </w:t>
      </w:r>
      <w:r>
        <w:rPr/>
        <w:t>45</w:t>
      </w:r>
      <w:r>
        <w:rPr>
          <w:spacing w:val="-22"/>
        </w:rPr>
        <w:t> </w:t>
      </w:r>
      <w:r>
        <w:rPr/>
        <w:t>and</w:t>
      </w:r>
      <w:r>
        <w:rPr>
          <w:spacing w:val="-24"/>
        </w:rPr>
        <w:t> </w:t>
      </w:r>
      <w:r>
        <w:rPr/>
        <w:t>50.</w:t>
      </w:r>
      <w:r>
        <w:rPr>
          <w:spacing w:val="-20"/>
        </w:rPr>
        <w:t> </w:t>
      </w:r>
      <w:r>
        <w:rPr/>
        <w:t>At</w:t>
      </w:r>
      <w:r>
        <w:rPr>
          <w:spacing w:val="-22"/>
        </w:rPr>
        <w:t> </w:t>
      </w:r>
      <w:r>
        <w:rPr/>
        <w:t>the</w:t>
      </w:r>
      <w:r>
        <w:rPr>
          <w:spacing w:val="-20"/>
        </w:rPr>
        <w:t> </w:t>
      </w:r>
      <w:r>
        <w:rPr/>
        <w:t>age</w:t>
      </w:r>
      <w:r>
        <w:rPr>
          <w:spacing w:val="-24"/>
        </w:rPr>
        <w:t> </w:t>
      </w:r>
      <w:r>
        <w:rPr/>
        <w:t>of</w:t>
      </w:r>
      <w:r>
        <w:rPr>
          <w:spacing w:val="-22"/>
        </w:rPr>
        <w:t> </w:t>
      </w:r>
      <w:r>
        <w:rPr/>
        <w:t>60,</w:t>
      </w:r>
      <w:r>
        <w:rPr>
          <w:spacing w:val="-21"/>
        </w:rPr>
        <w:t> </w:t>
      </w:r>
      <w:r>
        <w:rPr/>
        <w:t>the</w:t>
      </w:r>
      <w:r>
        <w:rPr>
          <w:spacing w:val="-20"/>
        </w:rPr>
        <w:t> </w:t>
      </w:r>
      <w:r>
        <w:rPr/>
        <w:t>pineal</w:t>
      </w:r>
      <w:r>
        <w:rPr>
          <w:spacing w:val="-22"/>
        </w:rPr>
        <w:t> </w:t>
      </w:r>
      <w:r>
        <w:rPr/>
        <w:t>gland</w:t>
      </w:r>
      <w:r>
        <w:rPr>
          <w:spacing w:val="-20"/>
        </w:rPr>
        <w:t> </w:t>
      </w:r>
      <w:r>
        <w:rPr/>
        <w:t>produces only half of the melatonin that it produces at the age of 20. At the age of 70, the production of melatonin is barely</w:t>
      </w:r>
      <w:r>
        <w:rPr>
          <w:spacing w:val="-1"/>
        </w:rPr>
        <w:t> </w:t>
      </w:r>
      <w:r>
        <w:rPr/>
        <w:t>measurable.</w:t>
      </w:r>
    </w:p>
    <w:p>
      <w:pPr>
        <w:spacing w:after="0" w:line="276" w:lineRule="auto"/>
        <w:jc w:val="both"/>
        <w:sectPr>
          <w:pgSz w:w="14270" w:h="16850"/>
          <w:pgMar w:header="0" w:footer="1891" w:top="1340" w:bottom="2080" w:left="800" w:right="1280"/>
        </w:sectPr>
      </w:pPr>
    </w:p>
    <w:p>
      <w:pPr>
        <w:pStyle w:val="BodyText"/>
        <w:spacing w:line="276" w:lineRule="auto" w:before="72"/>
        <w:ind w:left="616" w:right="134"/>
        <w:jc w:val="both"/>
      </w:pPr>
      <w:r>
        <w:rPr/>
        <w:t>In</w:t>
      </w:r>
      <w:r>
        <w:rPr>
          <w:spacing w:val="-5"/>
        </w:rPr>
        <w:t> </w:t>
      </w:r>
      <w:r>
        <w:rPr/>
        <w:t>parallel</w:t>
      </w:r>
      <w:r>
        <w:rPr>
          <w:spacing w:val="-5"/>
        </w:rPr>
        <w:t> </w:t>
      </w:r>
      <w:r>
        <w:rPr/>
        <w:t>to</w:t>
      </w:r>
      <w:r>
        <w:rPr>
          <w:spacing w:val="-4"/>
        </w:rPr>
        <w:t> </w:t>
      </w:r>
      <w:r>
        <w:rPr/>
        <w:t>this,</w:t>
      </w:r>
      <w:r>
        <w:rPr>
          <w:spacing w:val="-3"/>
        </w:rPr>
        <w:t> </w:t>
      </w:r>
      <w:r>
        <w:rPr/>
        <w:t>ageing</w:t>
      </w:r>
      <w:r>
        <w:rPr>
          <w:spacing w:val="-6"/>
        </w:rPr>
        <w:t> </w:t>
      </w:r>
      <w:r>
        <w:rPr/>
        <w:t>starts</w:t>
      </w:r>
      <w:r>
        <w:rPr>
          <w:spacing w:val="-4"/>
        </w:rPr>
        <w:t> </w:t>
      </w:r>
      <w:r>
        <w:rPr/>
        <w:t>to</w:t>
      </w:r>
      <w:r>
        <w:rPr>
          <w:spacing w:val="-5"/>
        </w:rPr>
        <w:t> </w:t>
      </w:r>
      <w:r>
        <w:rPr/>
        <w:t>become</w:t>
      </w:r>
      <w:r>
        <w:rPr>
          <w:spacing w:val="-7"/>
        </w:rPr>
        <w:t> </w:t>
      </w:r>
      <w:r>
        <w:rPr/>
        <w:t>clearly</w:t>
      </w:r>
      <w:r>
        <w:rPr>
          <w:spacing w:val="-3"/>
        </w:rPr>
        <w:t> </w:t>
      </w:r>
      <w:r>
        <w:rPr/>
        <w:t>noticeable</w:t>
      </w:r>
      <w:r>
        <w:rPr>
          <w:spacing w:val="-6"/>
        </w:rPr>
        <w:t> </w:t>
      </w:r>
      <w:r>
        <w:rPr/>
        <w:t>at</w:t>
      </w:r>
      <w:r>
        <w:rPr>
          <w:spacing w:val="-6"/>
        </w:rPr>
        <w:t> </w:t>
      </w:r>
      <w:r>
        <w:rPr/>
        <w:t>the</w:t>
      </w:r>
      <w:r>
        <w:rPr>
          <w:spacing w:val="-5"/>
        </w:rPr>
        <w:t> </w:t>
      </w:r>
      <w:r>
        <w:rPr/>
        <w:t>age</w:t>
      </w:r>
      <w:r>
        <w:rPr>
          <w:spacing w:val="-4"/>
        </w:rPr>
        <w:t> </w:t>
      </w:r>
      <w:r>
        <w:rPr/>
        <w:t>of</w:t>
      </w:r>
      <w:r>
        <w:rPr>
          <w:spacing w:val="-7"/>
        </w:rPr>
        <w:t> </w:t>
      </w:r>
      <w:r>
        <w:rPr/>
        <w:t>45</w:t>
      </w:r>
      <w:r>
        <w:rPr>
          <w:spacing w:val="-6"/>
        </w:rPr>
        <w:t> </w:t>
      </w:r>
      <w:r>
        <w:rPr/>
        <w:t>at the</w:t>
      </w:r>
      <w:r>
        <w:rPr>
          <w:spacing w:val="-20"/>
        </w:rPr>
        <w:t> </w:t>
      </w:r>
      <w:r>
        <w:rPr/>
        <w:t>same</w:t>
      </w:r>
      <w:r>
        <w:rPr>
          <w:spacing w:val="-20"/>
        </w:rPr>
        <w:t> </w:t>
      </w:r>
      <w:r>
        <w:rPr/>
        <w:t>time,</w:t>
      </w:r>
      <w:r>
        <w:rPr>
          <w:spacing w:val="-23"/>
        </w:rPr>
        <w:t> </w:t>
      </w:r>
      <w:r>
        <w:rPr/>
        <w:t>it</w:t>
      </w:r>
      <w:r>
        <w:rPr>
          <w:spacing w:val="-24"/>
        </w:rPr>
        <w:t> </w:t>
      </w:r>
      <w:r>
        <w:rPr/>
        <w:t>has</w:t>
      </w:r>
      <w:r>
        <w:rPr>
          <w:spacing w:val="-19"/>
        </w:rPr>
        <w:t> </w:t>
      </w:r>
      <w:r>
        <w:rPr/>
        <w:t>a</w:t>
      </w:r>
      <w:r>
        <w:rPr>
          <w:spacing w:val="-22"/>
        </w:rPr>
        <w:t> </w:t>
      </w:r>
      <w:r>
        <w:rPr/>
        <w:t>negative</w:t>
      </w:r>
      <w:r>
        <w:rPr>
          <w:spacing w:val="-21"/>
        </w:rPr>
        <w:t> </w:t>
      </w:r>
      <w:r>
        <w:rPr/>
        <w:t>effect</w:t>
      </w:r>
      <w:r>
        <w:rPr>
          <w:spacing w:val="-21"/>
        </w:rPr>
        <w:t> </w:t>
      </w:r>
      <w:r>
        <w:rPr/>
        <w:t>on</w:t>
      </w:r>
      <w:r>
        <w:rPr>
          <w:spacing w:val="-21"/>
        </w:rPr>
        <w:t> </w:t>
      </w:r>
      <w:r>
        <w:rPr/>
        <w:t>us,</w:t>
      </w:r>
      <w:r>
        <w:rPr>
          <w:spacing w:val="-20"/>
        </w:rPr>
        <w:t> </w:t>
      </w:r>
      <w:r>
        <w:rPr/>
        <w:t>leads</w:t>
      </w:r>
      <w:r>
        <w:rPr>
          <w:spacing w:val="-24"/>
        </w:rPr>
        <w:t> </w:t>
      </w:r>
      <w:r>
        <w:rPr/>
        <w:t>to</w:t>
      </w:r>
      <w:r>
        <w:rPr>
          <w:spacing w:val="-20"/>
        </w:rPr>
        <w:t> </w:t>
      </w:r>
      <w:r>
        <w:rPr/>
        <w:t>physiological</w:t>
      </w:r>
      <w:r>
        <w:rPr>
          <w:spacing w:val="-23"/>
        </w:rPr>
        <w:t> </w:t>
      </w:r>
      <w:r>
        <w:rPr/>
        <w:t>degeneration and makes us susceptible to numerous</w:t>
      </w:r>
      <w:r>
        <w:rPr>
          <w:spacing w:val="1"/>
        </w:rPr>
        <w:t> </w:t>
      </w:r>
      <w:r>
        <w:rPr/>
        <w:t>diseases.</w:t>
      </w:r>
    </w:p>
    <w:p>
      <w:pPr>
        <w:pStyle w:val="BodyText"/>
        <w:spacing w:line="276" w:lineRule="auto" w:before="241"/>
        <w:ind w:left="616" w:right="135"/>
        <w:jc w:val="both"/>
      </w:pPr>
      <w:r>
        <w:rPr/>
        <w:t>In order to better understand the effect of melatonin, it is advisable to look at its overall effect and to selectively focus on the targeted effect on diseases thereafter.</w:t>
      </w:r>
    </w:p>
    <w:p>
      <w:pPr>
        <w:pStyle w:val="Heading1"/>
        <w:ind w:left="616"/>
      </w:pPr>
      <w:r>
        <w:rPr/>
        <w:t>Melatonin, the general effect</w:t>
      </w:r>
    </w:p>
    <w:p>
      <w:pPr>
        <w:pStyle w:val="BodyText"/>
        <w:spacing w:line="276" w:lineRule="auto" w:before="300"/>
        <w:ind w:left="616" w:right="134"/>
        <w:jc w:val="both"/>
      </w:pPr>
      <w:r>
        <w:rPr/>
        <w:t>Melatonin is an extremely important, indeed vital, substance as a messenger and regulator of many interlocking, important processes that take place in our organism:</w:t>
      </w:r>
    </w:p>
    <w:p>
      <w:pPr>
        <w:pStyle w:val="ListParagraph"/>
        <w:numPr>
          <w:ilvl w:val="0"/>
          <w:numId w:val="72"/>
        </w:numPr>
        <w:tabs>
          <w:tab w:pos="1696" w:val="left" w:leader="none"/>
          <w:tab w:pos="1697" w:val="left" w:leader="none"/>
        </w:tabs>
        <w:spacing w:line="240" w:lineRule="auto" w:before="199" w:after="0"/>
        <w:ind w:left="1696" w:right="0" w:hanging="360"/>
        <w:jc w:val="left"/>
        <w:rPr>
          <w:sz w:val="38"/>
        </w:rPr>
      </w:pPr>
      <w:r>
        <w:rPr>
          <w:sz w:val="38"/>
        </w:rPr>
        <w:t>it affects the thymus gland and</w:t>
      </w:r>
      <w:r>
        <w:rPr>
          <w:spacing w:val="1"/>
          <w:sz w:val="38"/>
        </w:rPr>
        <w:t> </w:t>
      </w:r>
      <w:r>
        <w:rPr>
          <w:sz w:val="38"/>
        </w:rPr>
        <w:t>boosts</w:t>
      </w:r>
    </w:p>
    <w:p>
      <w:pPr>
        <w:pStyle w:val="ListParagraph"/>
        <w:numPr>
          <w:ilvl w:val="0"/>
          <w:numId w:val="72"/>
        </w:numPr>
        <w:tabs>
          <w:tab w:pos="1696" w:val="left" w:leader="none"/>
          <w:tab w:pos="1697" w:val="left" w:leader="none"/>
        </w:tabs>
        <w:spacing w:line="240" w:lineRule="auto" w:before="64" w:after="0"/>
        <w:ind w:left="1696" w:right="0" w:hanging="360"/>
        <w:jc w:val="left"/>
        <w:rPr>
          <w:sz w:val="38"/>
        </w:rPr>
      </w:pPr>
      <w:r>
        <w:rPr>
          <w:sz w:val="38"/>
        </w:rPr>
        <w:t>the function of the immune</w:t>
      </w:r>
      <w:r>
        <w:rPr>
          <w:spacing w:val="4"/>
          <w:sz w:val="38"/>
        </w:rPr>
        <w:t> </w:t>
      </w:r>
      <w:r>
        <w:rPr>
          <w:sz w:val="38"/>
        </w:rPr>
        <w:t>system.</w:t>
      </w:r>
    </w:p>
    <w:p>
      <w:pPr>
        <w:pStyle w:val="ListParagraph"/>
        <w:numPr>
          <w:ilvl w:val="0"/>
          <w:numId w:val="72"/>
        </w:numPr>
        <w:tabs>
          <w:tab w:pos="1696" w:val="left" w:leader="none"/>
          <w:tab w:pos="1697" w:val="left" w:leader="none"/>
        </w:tabs>
        <w:spacing w:line="240" w:lineRule="auto" w:before="66" w:after="0"/>
        <w:ind w:left="1696" w:right="0" w:hanging="360"/>
        <w:jc w:val="left"/>
        <w:rPr>
          <w:sz w:val="38"/>
        </w:rPr>
      </w:pPr>
      <w:r>
        <w:rPr>
          <w:sz w:val="38"/>
        </w:rPr>
        <w:t>It controls the ageing</w:t>
      </w:r>
      <w:r>
        <w:rPr>
          <w:spacing w:val="-2"/>
          <w:sz w:val="38"/>
        </w:rPr>
        <w:t> </w:t>
      </w:r>
      <w:r>
        <w:rPr>
          <w:sz w:val="38"/>
        </w:rPr>
        <w:t>processes.</w:t>
      </w:r>
    </w:p>
    <w:p>
      <w:pPr>
        <w:pStyle w:val="ListParagraph"/>
        <w:numPr>
          <w:ilvl w:val="0"/>
          <w:numId w:val="72"/>
        </w:numPr>
        <w:tabs>
          <w:tab w:pos="1696" w:val="left" w:leader="none"/>
          <w:tab w:pos="1697" w:val="left" w:leader="none"/>
        </w:tabs>
        <w:spacing w:line="240" w:lineRule="auto" w:before="64" w:after="0"/>
        <w:ind w:left="1696" w:right="0" w:hanging="360"/>
        <w:jc w:val="left"/>
        <w:rPr>
          <w:sz w:val="38"/>
        </w:rPr>
      </w:pPr>
      <w:r>
        <w:rPr>
          <w:sz w:val="38"/>
        </w:rPr>
        <w:t>It is one of the most important</w:t>
      </w:r>
      <w:r>
        <w:rPr>
          <w:spacing w:val="-5"/>
          <w:sz w:val="38"/>
        </w:rPr>
        <w:t> </w:t>
      </w:r>
      <w:r>
        <w:rPr>
          <w:sz w:val="38"/>
        </w:rPr>
        <w:t>antioxidants.</w:t>
      </w:r>
    </w:p>
    <w:p>
      <w:pPr>
        <w:pStyle w:val="ListParagraph"/>
        <w:numPr>
          <w:ilvl w:val="0"/>
          <w:numId w:val="72"/>
        </w:numPr>
        <w:tabs>
          <w:tab w:pos="1696" w:val="left" w:leader="none"/>
          <w:tab w:pos="1697" w:val="left" w:leader="none"/>
        </w:tabs>
        <w:spacing w:line="240" w:lineRule="auto" w:before="63" w:after="0"/>
        <w:ind w:left="1696" w:right="0" w:hanging="360"/>
        <w:jc w:val="left"/>
        <w:rPr>
          <w:sz w:val="38"/>
        </w:rPr>
      </w:pPr>
      <w:r>
        <w:rPr>
          <w:sz w:val="38"/>
        </w:rPr>
        <w:t>It controls sleep and</w:t>
      </w:r>
      <w:r>
        <w:rPr>
          <w:spacing w:val="-4"/>
          <w:sz w:val="38"/>
        </w:rPr>
        <w:t> </w:t>
      </w:r>
      <w:r>
        <w:rPr>
          <w:sz w:val="38"/>
        </w:rPr>
        <w:t>regeneration.</w:t>
      </w:r>
    </w:p>
    <w:p>
      <w:pPr>
        <w:pStyle w:val="ListParagraph"/>
        <w:numPr>
          <w:ilvl w:val="0"/>
          <w:numId w:val="72"/>
        </w:numPr>
        <w:tabs>
          <w:tab w:pos="1696" w:val="left" w:leader="none"/>
          <w:tab w:pos="1697" w:val="left" w:leader="none"/>
        </w:tabs>
        <w:spacing w:line="240" w:lineRule="auto" w:before="64" w:after="0"/>
        <w:ind w:left="1696" w:right="0" w:hanging="360"/>
        <w:jc w:val="left"/>
        <w:rPr>
          <w:sz w:val="38"/>
        </w:rPr>
      </w:pPr>
      <w:r>
        <w:rPr>
          <w:sz w:val="38"/>
        </w:rPr>
        <w:t>It is a veritable de-stressing</w:t>
      </w:r>
      <w:r>
        <w:rPr>
          <w:spacing w:val="-2"/>
          <w:sz w:val="38"/>
        </w:rPr>
        <w:t> </w:t>
      </w:r>
      <w:r>
        <w:rPr>
          <w:sz w:val="38"/>
        </w:rPr>
        <w:t>hormone.</w:t>
      </w:r>
    </w:p>
    <w:p>
      <w:pPr>
        <w:pStyle w:val="ListParagraph"/>
        <w:numPr>
          <w:ilvl w:val="0"/>
          <w:numId w:val="72"/>
        </w:numPr>
        <w:tabs>
          <w:tab w:pos="1696" w:val="left" w:leader="none"/>
          <w:tab w:pos="1697" w:val="left" w:leader="none"/>
        </w:tabs>
        <w:spacing w:line="240" w:lineRule="auto" w:before="64" w:after="0"/>
        <w:ind w:left="1696" w:right="0" w:hanging="360"/>
        <w:jc w:val="left"/>
        <w:rPr>
          <w:sz w:val="38"/>
        </w:rPr>
      </w:pPr>
      <w:r>
        <w:rPr>
          <w:sz w:val="38"/>
        </w:rPr>
        <w:t>It lifts our emotions.</w:t>
      </w:r>
    </w:p>
    <w:p>
      <w:pPr>
        <w:pStyle w:val="ListParagraph"/>
        <w:numPr>
          <w:ilvl w:val="0"/>
          <w:numId w:val="72"/>
        </w:numPr>
        <w:tabs>
          <w:tab w:pos="1696" w:val="left" w:leader="none"/>
          <w:tab w:pos="1697" w:val="left" w:leader="none"/>
        </w:tabs>
        <w:spacing w:line="240" w:lineRule="auto" w:before="66" w:after="0"/>
        <w:ind w:left="1696" w:right="0" w:hanging="360"/>
        <w:jc w:val="left"/>
        <w:rPr>
          <w:sz w:val="38"/>
        </w:rPr>
      </w:pPr>
      <w:r>
        <w:rPr>
          <w:sz w:val="38"/>
        </w:rPr>
        <w:t>It controls our autoimmune</w:t>
      </w:r>
      <w:r>
        <w:rPr>
          <w:spacing w:val="-4"/>
          <w:sz w:val="38"/>
        </w:rPr>
        <w:t> </w:t>
      </w:r>
      <w:r>
        <w:rPr>
          <w:sz w:val="38"/>
        </w:rPr>
        <w:t>reactions.</w:t>
      </w:r>
    </w:p>
    <w:p>
      <w:pPr>
        <w:pStyle w:val="ListParagraph"/>
        <w:numPr>
          <w:ilvl w:val="0"/>
          <w:numId w:val="72"/>
        </w:numPr>
        <w:tabs>
          <w:tab w:pos="1696" w:val="left" w:leader="none"/>
          <w:tab w:pos="1697" w:val="left" w:leader="none"/>
        </w:tabs>
        <w:spacing w:line="240" w:lineRule="auto" w:before="63" w:after="0"/>
        <w:ind w:left="1696" w:right="0" w:hanging="360"/>
        <w:jc w:val="left"/>
        <w:rPr>
          <w:sz w:val="38"/>
        </w:rPr>
      </w:pPr>
      <w:r>
        <w:rPr>
          <w:sz w:val="38"/>
        </w:rPr>
        <w:t>It controls potency and libido.</w:t>
      </w:r>
    </w:p>
    <w:p>
      <w:pPr>
        <w:pStyle w:val="BodyText"/>
        <w:spacing w:line="276" w:lineRule="auto" w:before="303"/>
        <w:ind w:left="616" w:right="132"/>
        <w:jc w:val="both"/>
      </w:pPr>
      <w:r>
        <w:rPr/>
        <w:t>Certain</w:t>
      </w:r>
      <w:r>
        <w:rPr>
          <w:spacing w:val="-18"/>
        </w:rPr>
        <w:t> </w:t>
      </w:r>
      <w:r>
        <w:rPr/>
        <w:t>diseases</w:t>
      </w:r>
      <w:r>
        <w:rPr>
          <w:spacing w:val="-17"/>
        </w:rPr>
        <w:t> </w:t>
      </w:r>
      <w:r>
        <w:rPr/>
        <w:t>do</w:t>
      </w:r>
      <w:r>
        <w:rPr>
          <w:spacing w:val="-17"/>
        </w:rPr>
        <w:t> </w:t>
      </w:r>
      <w:r>
        <w:rPr/>
        <w:t>not</w:t>
      </w:r>
      <w:r>
        <w:rPr>
          <w:spacing w:val="-18"/>
        </w:rPr>
        <w:t> </w:t>
      </w:r>
      <w:r>
        <w:rPr/>
        <w:t>appear</w:t>
      </w:r>
      <w:r>
        <w:rPr>
          <w:spacing w:val="-17"/>
        </w:rPr>
        <w:t> </w:t>
      </w:r>
      <w:r>
        <w:rPr/>
        <w:t>until</w:t>
      </w:r>
      <w:r>
        <w:rPr>
          <w:spacing w:val="-19"/>
        </w:rPr>
        <w:t> </w:t>
      </w:r>
      <w:r>
        <w:rPr/>
        <w:t>old</w:t>
      </w:r>
      <w:r>
        <w:rPr>
          <w:spacing w:val="-17"/>
        </w:rPr>
        <w:t> </w:t>
      </w:r>
      <w:r>
        <w:rPr/>
        <w:t>age,</w:t>
      </w:r>
      <w:r>
        <w:rPr>
          <w:spacing w:val="-17"/>
        </w:rPr>
        <w:t> </w:t>
      </w:r>
      <w:r>
        <w:rPr/>
        <w:t>a</w:t>
      </w:r>
      <w:r>
        <w:rPr>
          <w:spacing w:val="-21"/>
        </w:rPr>
        <w:t> </w:t>
      </w:r>
      <w:r>
        <w:rPr/>
        <w:t>phenomenon</w:t>
      </w:r>
      <w:r>
        <w:rPr>
          <w:spacing w:val="-19"/>
        </w:rPr>
        <w:t> </w:t>
      </w:r>
      <w:r>
        <w:rPr/>
        <w:t>which</w:t>
      </w:r>
      <w:r>
        <w:rPr>
          <w:spacing w:val="-16"/>
        </w:rPr>
        <w:t> </w:t>
      </w:r>
      <w:r>
        <w:rPr/>
        <w:t>is</w:t>
      </w:r>
      <w:r>
        <w:rPr>
          <w:spacing w:val="-18"/>
        </w:rPr>
        <w:t> </w:t>
      </w:r>
      <w:r>
        <w:rPr/>
        <w:t>attributed to</w:t>
      </w:r>
      <w:r>
        <w:rPr>
          <w:spacing w:val="-11"/>
        </w:rPr>
        <w:t> </w:t>
      </w:r>
      <w:r>
        <w:rPr/>
        <w:t>ageing</w:t>
      </w:r>
      <w:r>
        <w:rPr>
          <w:spacing w:val="-11"/>
        </w:rPr>
        <w:t> </w:t>
      </w:r>
      <w:r>
        <w:rPr/>
        <w:t>and</w:t>
      </w:r>
      <w:r>
        <w:rPr>
          <w:spacing w:val="-14"/>
        </w:rPr>
        <w:t> </w:t>
      </w:r>
      <w:r>
        <w:rPr/>
        <w:t>thus</w:t>
      </w:r>
      <w:r>
        <w:rPr>
          <w:spacing w:val="-11"/>
        </w:rPr>
        <w:t> </w:t>
      </w:r>
      <w:r>
        <w:rPr/>
        <w:t>to</w:t>
      </w:r>
      <w:r>
        <w:rPr>
          <w:spacing w:val="-11"/>
        </w:rPr>
        <w:t> </w:t>
      </w:r>
      <w:r>
        <w:rPr/>
        <w:t>the</w:t>
      </w:r>
      <w:r>
        <w:rPr>
          <w:spacing w:val="-13"/>
        </w:rPr>
        <w:t> </w:t>
      </w:r>
      <w:r>
        <w:rPr/>
        <w:t>diminution</w:t>
      </w:r>
      <w:r>
        <w:rPr>
          <w:spacing w:val="-10"/>
        </w:rPr>
        <w:t> </w:t>
      </w:r>
      <w:r>
        <w:rPr/>
        <w:t>of</w:t>
      </w:r>
      <w:r>
        <w:rPr>
          <w:spacing w:val="-14"/>
        </w:rPr>
        <w:t> </w:t>
      </w:r>
      <w:r>
        <w:rPr/>
        <w:t>the</w:t>
      </w:r>
      <w:r>
        <w:rPr>
          <w:spacing w:val="-11"/>
        </w:rPr>
        <w:t> </w:t>
      </w:r>
      <w:r>
        <w:rPr/>
        <w:t>function</w:t>
      </w:r>
      <w:r>
        <w:rPr>
          <w:spacing w:val="-10"/>
        </w:rPr>
        <w:t> </w:t>
      </w:r>
      <w:r>
        <w:rPr/>
        <w:t>of</w:t>
      </w:r>
      <w:r>
        <w:rPr>
          <w:spacing w:val="-14"/>
        </w:rPr>
        <w:t> </w:t>
      </w:r>
      <w:r>
        <w:rPr/>
        <w:t>the</w:t>
      </w:r>
      <w:r>
        <w:rPr>
          <w:spacing w:val="-13"/>
        </w:rPr>
        <w:t> </w:t>
      </w:r>
      <w:r>
        <w:rPr/>
        <w:t>pineal</w:t>
      </w:r>
      <w:r>
        <w:rPr>
          <w:spacing w:val="-11"/>
        </w:rPr>
        <w:t> </w:t>
      </w:r>
      <w:r>
        <w:rPr/>
        <w:t>gland,</w:t>
      </w:r>
      <w:r>
        <w:rPr>
          <w:spacing w:val="-11"/>
        </w:rPr>
        <w:t> </w:t>
      </w:r>
      <w:r>
        <w:rPr/>
        <w:t>which</w:t>
      </w:r>
    </w:p>
    <w:p>
      <w:pPr>
        <w:spacing w:after="0" w:line="276" w:lineRule="auto"/>
        <w:jc w:val="both"/>
        <w:sectPr>
          <w:pgSz w:w="14270" w:h="16850"/>
          <w:pgMar w:header="0" w:footer="1891" w:top="1340" w:bottom="2080" w:left="800" w:right="1280"/>
        </w:sectPr>
      </w:pPr>
    </w:p>
    <w:p>
      <w:pPr>
        <w:pStyle w:val="BodyText"/>
        <w:spacing w:before="74"/>
        <w:ind w:left="616"/>
      </w:pPr>
      <w:r>
        <w:rPr/>
        <w:t>is responsible for the production and release of melatonin.</w:t>
      </w:r>
    </w:p>
    <w:p>
      <w:pPr>
        <w:pStyle w:val="BodyText"/>
        <w:spacing w:line="276" w:lineRule="auto" w:before="305"/>
        <w:ind w:left="616" w:right="140"/>
        <w:jc w:val="both"/>
      </w:pPr>
      <w:r>
        <w:rPr/>
        <w:t>A young, functioning pineal gland reliably protects us from cell damage and dysfunction via the general mode of action mentioned above, controls our emotional state and protects us from possible illnesses.</w:t>
      </w:r>
    </w:p>
    <w:p>
      <w:pPr>
        <w:pStyle w:val="BodyText"/>
        <w:spacing w:line="276" w:lineRule="auto" w:before="238"/>
        <w:ind w:left="616" w:right="140"/>
        <w:jc w:val="both"/>
      </w:pPr>
      <w:r>
        <w:rPr/>
        <w:t>From the age of about 45, the function of the pineal gland decreases dramati- cally, which leads to the production of melatonin declining by up to 50 %; above the age of 70, melatonin production reaches barely measurable lows. Diseases such as cancer, heart attacks and others increase with age; this is also attributed to the ageing of the pineal gland and thus to the loss of melatonin.</w:t>
      </w:r>
    </w:p>
    <w:p>
      <w:pPr>
        <w:pStyle w:val="BodyText"/>
        <w:spacing w:line="276" w:lineRule="auto" w:before="241"/>
        <w:ind w:left="616" w:right="136"/>
        <w:jc w:val="both"/>
      </w:pPr>
      <w:r>
        <w:rPr/>
        <w:t>An impaired melatonin level is particularly noticeable in tumour patients, which leads to unusual melatonin levels and is the result of a malfunctioning pineal gland.</w:t>
      </w:r>
    </w:p>
    <w:p>
      <w:pPr>
        <w:pStyle w:val="BodyText"/>
        <w:rPr>
          <w:sz w:val="42"/>
        </w:rPr>
      </w:pPr>
    </w:p>
    <w:p>
      <w:pPr>
        <w:pStyle w:val="BodyText"/>
        <w:spacing w:before="4"/>
        <w:rPr>
          <w:sz w:val="39"/>
        </w:rPr>
      </w:pPr>
    </w:p>
    <w:p>
      <w:pPr>
        <w:pStyle w:val="Heading1"/>
        <w:spacing w:before="0"/>
        <w:ind w:left="616"/>
      </w:pPr>
      <w:r>
        <w:rPr/>
        <w:t>Effect of melatonin against diseases</w:t>
      </w:r>
    </w:p>
    <w:p>
      <w:pPr>
        <w:pStyle w:val="BodyText"/>
        <w:spacing w:line="276" w:lineRule="auto" w:before="299"/>
        <w:ind w:left="616" w:right="137"/>
        <w:jc w:val="both"/>
      </w:pPr>
      <w:r>
        <w:rPr/>
        <w:t>After examining the general effect of melatonin on our organism, it is ex- tremely interesting to learn about the targeted effect on diseases as well.</w:t>
      </w:r>
    </w:p>
    <w:p>
      <w:pPr>
        <w:pStyle w:val="Heading1"/>
        <w:spacing w:before="223"/>
        <w:ind w:left="616"/>
      </w:pPr>
      <w:r>
        <w:rPr/>
        <w:t>Which diseases and conditions does melatonin work against?</w:t>
      </w:r>
    </w:p>
    <w:p>
      <w:pPr>
        <w:pStyle w:val="BodyText"/>
        <w:spacing w:line="276" w:lineRule="auto" w:before="297"/>
        <w:ind w:left="616" w:right="142"/>
        <w:jc w:val="both"/>
      </w:pPr>
      <w:r>
        <w:rPr/>
        <w:t>Since melatonin has a broad principle of action, which, among other things, strengthens the immune system, protects against free radicals and counteracts ageing processes, the effect on countless diseases and conditions is factually</w:t>
      </w:r>
    </w:p>
    <w:p>
      <w:pPr>
        <w:spacing w:after="0" w:line="276" w:lineRule="auto"/>
        <w:jc w:val="both"/>
        <w:sectPr>
          <w:pgSz w:w="14270" w:h="16850"/>
          <w:pgMar w:header="0" w:footer="1891" w:top="1340" w:bottom="2080" w:left="800" w:right="1280"/>
        </w:sectPr>
      </w:pPr>
    </w:p>
    <w:p>
      <w:pPr>
        <w:pStyle w:val="BodyText"/>
        <w:spacing w:before="74"/>
        <w:ind w:left="616"/>
      </w:pPr>
      <w:r>
        <w:rPr/>
        <w:t>verified. To cover all of these would probably fill entire libraries.</w:t>
      </w:r>
    </w:p>
    <w:p>
      <w:pPr>
        <w:pStyle w:val="BodyText"/>
        <w:spacing w:line="276" w:lineRule="auto" w:before="305"/>
        <w:ind w:left="616" w:right="244"/>
      </w:pPr>
      <w:r>
        <w:rPr/>
        <w:t>In the scientific literature, melatonin is explicitly certified as having an effect on the following diseases and conditions:</w:t>
      </w:r>
    </w:p>
    <w:p>
      <w:pPr>
        <w:pStyle w:val="ListParagraph"/>
        <w:numPr>
          <w:ilvl w:val="0"/>
          <w:numId w:val="71"/>
        </w:numPr>
        <w:tabs>
          <w:tab w:pos="1031" w:val="left" w:leader="none"/>
          <w:tab w:pos="1032" w:val="left" w:leader="none"/>
        </w:tabs>
        <w:spacing w:line="240" w:lineRule="auto" w:before="199" w:after="0"/>
        <w:ind w:left="1031" w:right="0" w:hanging="415"/>
        <w:jc w:val="left"/>
        <w:rPr>
          <w:sz w:val="38"/>
        </w:rPr>
      </w:pPr>
      <w:r>
        <w:rPr>
          <w:sz w:val="38"/>
        </w:rPr>
        <w:t>Cancer</w:t>
      </w:r>
    </w:p>
    <w:p>
      <w:pPr>
        <w:pStyle w:val="ListParagraph"/>
        <w:numPr>
          <w:ilvl w:val="0"/>
          <w:numId w:val="71"/>
        </w:numPr>
        <w:tabs>
          <w:tab w:pos="1031" w:val="left" w:leader="none"/>
          <w:tab w:pos="1032" w:val="left" w:leader="none"/>
        </w:tabs>
        <w:spacing w:line="240" w:lineRule="auto" w:before="63" w:after="0"/>
        <w:ind w:left="1031" w:right="0" w:hanging="415"/>
        <w:jc w:val="left"/>
        <w:rPr>
          <w:sz w:val="38"/>
        </w:rPr>
      </w:pPr>
      <w:r>
        <w:rPr>
          <w:sz w:val="38"/>
        </w:rPr>
        <w:t>Diabetes</w:t>
      </w:r>
    </w:p>
    <w:p>
      <w:pPr>
        <w:pStyle w:val="ListParagraph"/>
        <w:numPr>
          <w:ilvl w:val="0"/>
          <w:numId w:val="71"/>
        </w:numPr>
        <w:tabs>
          <w:tab w:pos="1031" w:val="left" w:leader="none"/>
          <w:tab w:pos="1032" w:val="left" w:leader="none"/>
        </w:tabs>
        <w:spacing w:line="240" w:lineRule="auto" w:before="66" w:after="0"/>
        <w:ind w:left="1031" w:right="0" w:hanging="415"/>
        <w:jc w:val="left"/>
        <w:rPr>
          <w:sz w:val="38"/>
        </w:rPr>
      </w:pPr>
      <w:r>
        <w:rPr>
          <w:sz w:val="38"/>
        </w:rPr>
        <w:t>Rheumatism</w:t>
      </w:r>
    </w:p>
    <w:p>
      <w:pPr>
        <w:pStyle w:val="ListParagraph"/>
        <w:numPr>
          <w:ilvl w:val="0"/>
          <w:numId w:val="71"/>
        </w:numPr>
        <w:tabs>
          <w:tab w:pos="1031" w:val="left" w:leader="none"/>
          <w:tab w:pos="1032" w:val="left" w:leader="none"/>
        </w:tabs>
        <w:spacing w:line="240" w:lineRule="auto" w:before="65" w:after="0"/>
        <w:ind w:left="1031" w:right="0" w:hanging="415"/>
        <w:jc w:val="left"/>
        <w:rPr>
          <w:sz w:val="38"/>
        </w:rPr>
      </w:pPr>
      <w:r>
        <w:rPr>
          <w:sz w:val="38"/>
        </w:rPr>
        <w:t>Allergies</w:t>
      </w:r>
    </w:p>
    <w:p>
      <w:pPr>
        <w:pStyle w:val="ListParagraph"/>
        <w:numPr>
          <w:ilvl w:val="0"/>
          <w:numId w:val="71"/>
        </w:numPr>
        <w:tabs>
          <w:tab w:pos="1031" w:val="left" w:leader="none"/>
          <w:tab w:pos="1032" w:val="left" w:leader="none"/>
        </w:tabs>
        <w:spacing w:line="240" w:lineRule="auto" w:before="63" w:after="0"/>
        <w:ind w:left="1031" w:right="0" w:hanging="415"/>
        <w:jc w:val="left"/>
        <w:rPr>
          <w:sz w:val="38"/>
        </w:rPr>
      </w:pPr>
      <w:r>
        <w:rPr>
          <w:sz w:val="38"/>
        </w:rPr>
        <w:t>Cardiovascular</w:t>
      </w:r>
      <w:r>
        <w:rPr>
          <w:spacing w:val="1"/>
          <w:sz w:val="38"/>
        </w:rPr>
        <w:t> </w:t>
      </w:r>
      <w:r>
        <w:rPr>
          <w:sz w:val="38"/>
        </w:rPr>
        <w:t>disease</w:t>
      </w:r>
    </w:p>
    <w:p>
      <w:pPr>
        <w:pStyle w:val="ListParagraph"/>
        <w:numPr>
          <w:ilvl w:val="0"/>
          <w:numId w:val="71"/>
        </w:numPr>
        <w:tabs>
          <w:tab w:pos="1031" w:val="left" w:leader="none"/>
          <w:tab w:pos="1032" w:val="left" w:leader="none"/>
        </w:tabs>
        <w:spacing w:line="240" w:lineRule="auto" w:before="64" w:after="0"/>
        <w:ind w:left="1031" w:right="0" w:hanging="415"/>
        <w:jc w:val="left"/>
        <w:rPr>
          <w:sz w:val="38"/>
        </w:rPr>
      </w:pPr>
      <w:r>
        <w:rPr>
          <w:sz w:val="38"/>
        </w:rPr>
        <w:t>Sleep</w:t>
      </w:r>
      <w:r>
        <w:rPr>
          <w:spacing w:val="-2"/>
          <w:sz w:val="38"/>
        </w:rPr>
        <w:t> </w:t>
      </w:r>
      <w:r>
        <w:rPr>
          <w:sz w:val="38"/>
        </w:rPr>
        <w:t>disorders</w:t>
      </w:r>
    </w:p>
    <w:p>
      <w:pPr>
        <w:pStyle w:val="ListParagraph"/>
        <w:numPr>
          <w:ilvl w:val="0"/>
          <w:numId w:val="71"/>
        </w:numPr>
        <w:tabs>
          <w:tab w:pos="1031" w:val="left" w:leader="none"/>
          <w:tab w:pos="1032" w:val="left" w:leader="none"/>
        </w:tabs>
        <w:spacing w:line="240" w:lineRule="auto" w:before="66" w:after="0"/>
        <w:ind w:left="1031" w:right="0" w:hanging="415"/>
        <w:jc w:val="left"/>
        <w:rPr>
          <w:sz w:val="38"/>
        </w:rPr>
      </w:pPr>
      <w:r>
        <w:rPr>
          <w:sz w:val="38"/>
        </w:rPr>
        <w:t>Stress</w:t>
      </w:r>
    </w:p>
    <w:p>
      <w:pPr>
        <w:pStyle w:val="ListParagraph"/>
        <w:numPr>
          <w:ilvl w:val="0"/>
          <w:numId w:val="71"/>
        </w:numPr>
        <w:tabs>
          <w:tab w:pos="1031" w:val="left" w:leader="none"/>
          <w:tab w:pos="1032" w:val="left" w:leader="none"/>
        </w:tabs>
        <w:spacing w:line="240" w:lineRule="auto" w:before="64" w:after="0"/>
        <w:ind w:left="1031" w:right="0" w:hanging="415"/>
        <w:jc w:val="left"/>
        <w:rPr>
          <w:sz w:val="38"/>
        </w:rPr>
      </w:pPr>
      <w:r>
        <w:rPr>
          <w:sz w:val="38"/>
        </w:rPr>
        <w:t>Migraine</w:t>
      </w:r>
    </w:p>
    <w:p>
      <w:pPr>
        <w:pStyle w:val="ListParagraph"/>
        <w:numPr>
          <w:ilvl w:val="0"/>
          <w:numId w:val="71"/>
        </w:numPr>
        <w:tabs>
          <w:tab w:pos="1031" w:val="left" w:leader="none"/>
          <w:tab w:pos="1032" w:val="left" w:leader="none"/>
        </w:tabs>
        <w:spacing w:line="240" w:lineRule="auto" w:before="63" w:after="0"/>
        <w:ind w:left="1031" w:right="0" w:hanging="415"/>
        <w:jc w:val="left"/>
        <w:rPr>
          <w:sz w:val="38"/>
        </w:rPr>
      </w:pPr>
      <w:r>
        <w:rPr>
          <w:sz w:val="38"/>
        </w:rPr>
        <w:t>Jet</w:t>
      </w:r>
      <w:r>
        <w:rPr>
          <w:spacing w:val="-3"/>
          <w:sz w:val="38"/>
        </w:rPr>
        <w:t> </w:t>
      </w:r>
      <w:r>
        <w:rPr>
          <w:sz w:val="38"/>
        </w:rPr>
        <w:t>lag</w:t>
      </w:r>
    </w:p>
    <w:p>
      <w:pPr>
        <w:pStyle w:val="ListParagraph"/>
        <w:numPr>
          <w:ilvl w:val="0"/>
          <w:numId w:val="71"/>
        </w:numPr>
        <w:tabs>
          <w:tab w:pos="1031" w:val="left" w:leader="none"/>
          <w:tab w:pos="1032" w:val="left" w:leader="none"/>
        </w:tabs>
        <w:spacing w:line="240" w:lineRule="auto" w:before="64" w:after="0"/>
        <w:ind w:left="1031" w:right="0" w:hanging="415"/>
        <w:jc w:val="left"/>
        <w:rPr>
          <w:sz w:val="38"/>
        </w:rPr>
      </w:pPr>
      <w:r>
        <w:rPr>
          <w:sz w:val="38"/>
        </w:rPr>
        <w:t>Asthma</w:t>
      </w:r>
    </w:p>
    <w:p>
      <w:pPr>
        <w:pStyle w:val="ListParagraph"/>
        <w:numPr>
          <w:ilvl w:val="0"/>
          <w:numId w:val="71"/>
        </w:numPr>
        <w:tabs>
          <w:tab w:pos="1031" w:val="left" w:leader="none"/>
          <w:tab w:pos="1032" w:val="left" w:leader="none"/>
        </w:tabs>
        <w:spacing w:line="240" w:lineRule="auto" w:before="64" w:after="0"/>
        <w:ind w:left="1031" w:right="0" w:hanging="415"/>
        <w:jc w:val="left"/>
        <w:rPr>
          <w:sz w:val="38"/>
        </w:rPr>
      </w:pPr>
      <w:r>
        <w:rPr>
          <w:sz w:val="38"/>
        </w:rPr>
        <w:t>Menopausal</w:t>
      </w:r>
      <w:r>
        <w:rPr>
          <w:spacing w:val="-2"/>
          <w:sz w:val="38"/>
        </w:rPr>
        <w:t> </w:t>
      </w:r>
      <w:r>
        <w:rPr>
          <w:sz w:val="38"/>
        </w:rPr>
        <w:t>symptoms</w:t>
      </w:r>
    </w:p>
    <w:p>
      <w:pPr>
        <w:pStyle w:val="ListParagraph"/>
        <w:numPr>
          <w:ilvl w:val="0"/>
          <w:numId w:val="71"/>
        </w:numPr>
        <w:tabs>
          <w:tab w:pos="1031" w:val="left" w:leader="none"/>
          <w:tab w:pos="1032" w:val="left" w:leader="none"/>
        </w:tabs>
        <w:spacing w:line="240" w:lineRule="auto" w:before="66" w:after="0"/>
        <w:ind w:left="1031" w:right="0" w:hanging="415"/>
        <w:jc w:val="left"/>
        <w:rPr>
          <w:sz w:val="38"/>
        </w:rPr>
      </w:pPr>
      <w:r>
        <w:rPr>
          <w:sz w:val="38"/>
        </w:rPr>
        <w:t>Down’s syndrome</w:t>
      </w:r>
    </w:p>
    <w:p>
      <w:pPr>
        <w:pStyle w:val="ListParagraph"/>
        <w:numPr>
          <w:ilvl w:val="0"/>
          <w:numId w:val="71"/>
        </w:numPr>
        <w:tabs>
          <w:tab w:pos="1031" w:val="left" w:leader="none"/>
          <w:tab w:pos="1032" w:val="left" w:leader="none"/>
        </w:tabs>
        <w:spacing w:line="240" w:lineRule="auto" w:before="63" w:after="0"/>
        <w:ind w:left="1031" w:right="0" w:hanging="415"/>
        <w:jc w:val="left"/>
        <w:rPr>
          <w:sz w:val="38"/>
        </w:rPr>
      </w:pPr>
      <w:r>
        <w:rPr>
          <w:sz w:val="38"/>
        </w:rPr>
        <w:t>Alzheimer’s</w:t>
      </w:r>
    </w:p>
    <w:p>
      <w:pPr>
        <w:pStyle w:val="ListParagraph"/>
        <w:numPr>
          <w:ilvl w:val="0"/>
          <w:numId w:val="71"/>
        </w:numPr>
        <w:tabs>
          <w:tab w:pos="1031" w:val="left" w:leader="none"/>
          <w:tab w:pos="1032" w:val="left" w:leader="none"/>
        </w:tabs>
        <w:spacing w:line="240" w:lineRule="auto" w:before="64" w:after="0"/>
        <w:ind w:left="1031" w:right="0" w:hanging="415"/>
        <w:jc w:val="left"/>
        <w:rPr>
          <w:sz w:val="38"/>
        </w:rPr>
      </w:pPr>
      <w:r>
        <w:rPr>
          <w:sz w:val="38"/>
        </w:rPr>
        <w:t>Epilepsy</w:t>
      </w:r>
    </w:p>
    <w:p>
      <w:pPr>
        <w:pStyle w:val="ListParagraph"/>
        <w:numPr>
          <w:ilvl w:val="0"/>
          <w:numId w:val="71"/>
        </w:numPr>
        <w:tabs>
          <w:tab w:pos="1031" w:val="left" w:leader="none"/>
          <w:tab w:pos="1032" w:val="left" w:leader="none"/>
        </w:tabs>
        <w:spacing w:line="240" w:lineRule="auto" w:before="64" w:after="0"/>
        <w:ind w:left="1031" w:right="0" w:hanging="415"/>
        <w:jc w:val="left"/>
        <w:rPr>
          <w:sz w:val="38"/>
        </w:rPr>
      </w:pPr>
      <w:r>
        <w:rPr>
          <w:sz w:val="38"/>
        </w:rPr>
        <w:t>Poor eyesight</w:t>
      </w:r>
    </w:p>
    <w:p>
      <w:pPr>
        <w:pStyle w:val="ListParagraph"/>
        <w:numPr>
          <w:ilvl w:val="0"/>
          <w:numId w:val="71"/>
        </w:numPr>
        <w:tabs>
          <w:tab w:pos="1031" w:val="left" w:leader="none"/>
          <w:tab w:pos="1032" w:val="left" w:leader="none"/>
        </w:tabs>
        <w:spacing w:line="240" w:lineRule="auto" w:before="63" w:after="0"/>
        <w:ind w:left="1031" w:right="0" w:hanging="415"/>
        <w:jc w:val="left"/>
        <w:rPr>
          <w:sz w:val="38"/>
        </w:rPr>
      </w:pPr>
      <w:r>
        <w:rPr>
          <w:sz w:val="38"/>
        </w:rPr>
        <w:t>Cataracts</w:t>
      </w:r>
    </w:p>
    <w:p>
      <w:pPr>
        <w:spacing w:after="0" w:line="240" w:lineRule="auto"/>
        <w:jc w:val="left"/>
        <w:rPr>
          <w:sz w:val="38"/>
        </w:rPr>
        <w:sectPr>
          <w:pgSz w:w="14270" w:h="16850"/>
          <w:pgMar w:header="0" w:footer="1891" w:top="1340" w:bottom="2080" w:left="800" w:right="1280"/>
        </w:sectPr>
      </w:pPr>
    </w:p>
    <w:p>
      <w:pPr>
        <w:pStyle w:val="Heading1"/>
        <w:spacing w:before="77"/>
        <w:ind w:left="616"/>
      </w:pPr>
      <w:r>
        <w:rPr/>
        <w:t>Effect of melatonin on heart</w:t>
      </w:r>
      <w:r>
        <w:rPr>
          <w:spacing w:val="-51"/>
        </w:rPr>
        <w:t> </w:t>
      </w:r>
      <w:r>
        <w:rPr/>
        <w:t>disease</w:t>
      </w:r>
    </w:p>
    <w:p>
      <w:pPr>
        <w:pStyle w:val="BodyText"/>
        <w:spacing w:line="276" w:lineRule="auto" w:before="299"/>
        <w:ind w:left="616" w:right="136"/>
        <w:jc w:val="both"/>
      </w:pPr>
      <w:r>
        <w:rPr/>
        <w:t>Melatonin</w:t>
      </w:r>
      <w:r>
        <w:rPr>
          <w:spacing w:val="-24"/>
        </w:rPr>
        <w:t> </w:t>
      </w:r>
      <w:r>
        <w:rPr/>
        <w:t>provides</w:t>
      </w:r>
      <w:r>
        <w:rPr>
          <w:spacing w:val="-24"/>
        </w:rPr>
        <w:t> </w:t>
      </w:r>
      <w:r>
        <w:rPr/>
        <w:t>the</w:t>
      </w:r>
      <w:r>
        <w:rPr>
          <w:spacing w:val="-24"/>
        </w:rPr>
        <w:t> </w:t>
      </w:r>
      <w:r>
        <w:rPr/>
        <w:t>cardiovascular</w:t>
      </w:r>
      <w:r>
        <w:rPr>
          <w:spacing w:val="-24"/>
        </w:rPr>
        <w:t> </w:t>
      </w:r>
      <w:r>
        <w:rPr/>
        <w:t>system</w:t>
      </w:r>
      <w:r>
        <w:rPr>
          <w:spacing w:val="-23"/>
        </w:rPr>
        <w:t> </w:t>
      </w:r>
      <w:r>
        <w:rPr/>
        <w:t>with</w:t>
      </w:r>
      <w:r>
        <w:rPr>
          <w:spacing w:val="-24"/>
        </w:rPr>
        <w:t> </w:t>
      </w:r>
      <w:r>
        <w:rPr/>
        <w:t>many</w:t>
      </w:r>
      <w:r>
        <w:rPr>
          <w:spacing w:val="-24"/>
        </w:rPr>
        <w:t> </w:t>
      </w:r>
      <w:r>
        <w:rPr/>
        <w:t>different</w:t>
      </w:r>
      <w:r>
        <w:rPr>
          <w:spacing w:val="-28"/>
        </w:rPr>
        <w:t> </w:t>
      </w:r>
      <w:r>
        <w:rPr/>
        <w:t>mechanisms of</w:t>
      </w:r>
      <w:r>
        <w:rPr>
          <w:spacing w:val="-5"/>
        </w:rPr>
        <w:t> </w:t>
      </w:r>
      <w:r>
        <w:rPr/>
        <w:t>action</w:t>
      </w:r>
      <w:r>
        <w:rPr>
          <w:spacing w:val="-5"/>
        </w:rPr>
        <w:t> </w:t>
      </w:r>
      <w:r>
        <w:rPr/>
        <w:t>in</w:t>
      </w:r>
      <w:r>
        <w:rPr>
          <w:spacing w:val="-7"/>
        </w:rPr>
        <w:t> </w:t>
      </w:r>
      <w:r>
        <w:rPr/>
        <w:t>a</w:t>
      </w:r>
      <w:r>
        <w:rPr>
          <w:spacing w:val="-6"/>
        </w:rPr>
        <w:t> </w:t>
      </w:r>
      <w:r>
        <w:rPr/>
        <w:t>multifactorial</w:t>
      </w:r>
      <w:r>
        <w:rPr>
          <w:spacing w:val="-7"/>
        </w:rPr>
        <w:t> </w:t>
      </w:r>
      <w:r>
        <w:rPr/>
        <w:t>manner</w:t>
      </w:r>
      <w:r>
        <w:rPr>
          <w:spacing w:val="-4"/>
        </w:rPr>
        <w:t> </w:t>
      </w:r>
      <w:r>
        <w:rPr/>
        <w:t>that</w:t>
      </w:r>
      <w:r>
        <w:rPr>
          <w:spacing w:val="-8"/>
        </w:rPr>
        <w:t> </w:t>
      </w:r>
      <w:r>
        <w:rPr/>
        <w:t>have</w:t>
      </w:r>
      <w:r>
        <w:rPr>
          <w:spacing w:val="-5"/>
        </w:rPr>
        <w:t> </w:t>
      </w:r>
      <w:r>
        <w:rPr/>
        <w:t>a</w:t>
      </w:r>
      <w:r>
        <w:rPr>
          <w:spacing w:val="-6"/>
        </w:rPr>
        <w:t> </w:t>
      </w:r>
      <w:r>
        <w:rPr/>
        <w:t>positive</w:t>
      </w:r>
      <w:r>
        <w:rPr>
          <w:spacing w:val="-6"/>
        </w:rPr>
        <w:t> </w:t>
      </w:r>
      <w:r>
        <w:rPr/>
        <w:t>effect</w:t>
      </w:r>
      <w:r>
        <w:rPr>
          <w:spacing w:val="-4"/>
        </w:rPr>
        <w:t> </w:t>
      </w:r>
      <w:r>
        <w:rPr/>
        <w:t>on</w:t>
      </w:r>
      <w:r>
        <w:rPr>
          <w:spacing w:val="-8"/>
        </w:rPr>
        <w:t> </w:t>
      </w:r>
      <w:r>
        <w:rPr/>
        <w:t>heart</w:t>
      </w:r>
      <w:r>
        <w:rPr>
          <w:spacing w:val="-5"/>
        </w:rPr>
        <w:t> </w:t>
      </w:r>
      <w:r>
        <w:rPr/>
        <w:t>health.</w:t>
      </w:r>
    </w:p>
    <w:p>
      <w:pPr>
        <w:pStyle w:val="Heading1"/>
        <w:spacing w:before="221"/>
        <w:ind w:left="616"/>
      </w:pPr>
      <w:r>
        <w:rPr/>
        <w:t>Effect of melatonin as a highly efficient antioxidant on the heart</w:t>
      </w:r>
    </w:p>
    <w:p>
      <w:pPr>
        <w:pStyle w:val="BodyText"/>
        <w:spacing w:line="276" w:lineRule="auto" w:before="300"/>
        <w:ind w:left="616" w:right="134"/>
        <w:jc w:val="both"/>
      </w:pPr>
      <w:r>
        <w:rPr/>
        <w:t>Every</w:t>
      </w:r>
      <w:r>
        <w:rPr>
          <w:spacing w:val="-18"/>
        </w:rPr>
        <w:t> </w:t>
      </w:r>
      <w:r>
        <w:rPr/>
        <w:t>day,</w:t>
      </w:r>
      <w:r>
        <w:rPr>
          <w:spacing w:val="-18"/>
        </w:rPr>
        <w:t> </w:t>
      </w:r>
      <w:r>
        <w:rPr/>
        <w:t>our</w:t>
      </w:r>
      <w:r>
        <w:rPr>
          <w:spacing w:val="-21"/>
        </w:rPr>
        <w:t> </w:t>
      </w:r>
      <w:r>
        <w:rPr/>
        <w:t>body</w:t>
      </w:r>
      <w:r>
        <w:rPr>
          <w:spacing w:val="-19"/>
        </w:rPr>
        <w:t> </w:t>
      </w:r>
      <w:r>
        <w:rPr/>
        <w:t>cells,</w:t>
      </w:r>
      <w:r>
        <w:rPr>
          <w:spacing w:val="-18"/>
        </w:rPr>
        <w:t> </w:t>
      </w:r>
      <w:r>
        <w:rPr/>
        <w:t>including</w:t>
      </w:r>
      <w:r>
        <w:rPr>
          <w:spacing w:val="-19"/>
        </w:rPr>
        <w:t> </w:t>
      </w:r>
      <w:r>
        <w:rPr/>
        <w:t>the</w:t>
      </w:r>
      <w:r>
        <w:rPr>
          <w:spacing w:val="-20"/>
        </w:rPr>
        <w:t> </w:t>
      </w:r>
      <w:r>
        <w:rPr/>
        <w:t>heart</w:t>
      </w:r>
      <w:r>
        <w:rPr>
          <w:spacing w:val="-19"/>
        </w:rPr>
        <w:t> </w:t>
      </w:r>
      <w:r>
        <w:rPr/>
        <w:t>cells,</w:t>
      </w:r>
      <w:r>
        <w:rPr>
          <w:spacing w:val="-18"/>
        </w:rPr>
        <w:t> </w:t>
      </w:r>
      <w:r>
        <w:rPr/>
        <w:t>become</w:t>
      </w:r>
      <w:r>
        <w:rPr>
          <w:spacing w:val="-21"/>
        </w:rPr>
        <w:t> </w:t>
      </w:r>
      <w:r>
        <w:rPr/>
        <w:t>the</w:t>
      </w:r>
      <w:r>
        <w:rPr>
          <w:spacing w:val="-18"/>
        </w:rPr>
        <w:t> </w:t>
      </w:r>
      <w:r>
        <w:rPr/>
        <w:t>target</w:t>
      </w:r>
      <w:r>
        <w:rPr>
          <w:spacing w:val="-19"/>
        </w:rPr>
        <w:t> </w:t>
      </w:r>
      <w:r>
        <w:rPr/>
        <w:t>of</w:t>
      </w:r>
      <w:r>
        <w:rPr>
          <w:spacing w:val="-19"/>
        </w:rPr>
        <w:t> </w:t>
      </w:r>
      <w:r>
        <w:rPr/>
        <w:t>count- less</w:t>
      </w:r>
      <w:r>
        <w:rPr>
          <w:spacing w:val="-6"/>
        </w:rPr>
        <w:t> </w:t>
      </w:r>
      <w:r>
        <w:rPr/>
        <w:t>attacks</w:t>
      </w:r>
      <w:r>
        <w:rPr>
          <w:spacing w:val="-6"/>
        </w:rPr>
        <w:t> </w:t>
      </w:r>
      <w:r>
        <w:rPr/>
        <w:t>by</w:t>
      </w:r>
      <w:r>
        <w:rPr>
          <w:spacing w:val="-6"/>
        </w:rPr>
        <w:t> </w:t>
      </w:r>
      <w:r>
        <w:rPr/>
        <w:t>free</w:t>
      </w:r>
      <w:r>
        <w:rPr>
          <w:spacing w:val="-6"/>
        </w:rPr>
        <w:t> </w:t>
      </w:r>
      <w:r>
        <w:rPr/>
        <w:t>radicals,</w:t>
      </w:r>
      <w:r>
        <w:rPr>
          <w:spacing w:val="-6"/>
        </w:rPr>
        <w:t> </w:t>
      </w:r>
      <w:r>
        <w:rPr/>
        <w:t>which</w:t>
      </w:r>
      <w:r>
        <w:rPr>
          <w:spacing w:val="-7"/>
        </w:rPr>
        <w:t> </w:t>
      </w:r>
      <w:r>
        <w:rPr/>
        <w:t>attack</w:t>
      </w:r>
      <w:r>
        <w:rPr>
          <w:spacing w:val="-6"/>
        </w:rPr>
        <w:t> </w:t>
      </w:r>
      <w:r>
        <w:rPr/>
        <w:t>around</w:t>
      </w:r>
      <w:r>
        <w:rPr>
          <w:spacing w:val="-5"/>
        </w:rPr>
        <w:t> </w:t>
      </w:r>
      <w:r>
        <w:rPr/>
        <w:t>70,000</w:t>
      </w:r>
      <w:r>
        <w:rPr>
          <w:spacing w:val="-7"/>
        </w:rPr>
        <w:t> </w:t>
      </w:r>
      <w:r>
        <w:rPr/>
        <w:t>times</w:t>
      </w:r>
      <w:r>
        <w:rPr>
          <w:spacing w:val="-6"/>
        </w:rPr>
        <w:t> </w:t>
      </w:r>
      <w:r>
        <w:rPr/>
        <w:t>a</w:t>
      </w:r>
      <w:r>
        <w:rPr>
          <w:spacing w:val="-5"/>
        </w:rPr>
        <w:t> </w:t>
      </w:r>
      <w:r>
        <w:rPr/>
        <w:t>day.</w:t>
      </w:r>
      <w:r>
        <w:rPr>
          <w:spacing w:val="-7"/>
        </w:rPr>
        <w:t> </w:t>
      </w:r>
      <w:r>
        <w:rPr/>
        <w:t>We</w:t>
      </w:r>
      <w:r>
        <w:rPr>
          <w:spacing w:val="-7"/>
        </w:rPr>
        <w:t> </w:t>
      </w:r>
      <w:r>
        <w:rPr/>
        <w:t>know the destructive properties of oxidation from metal, which turns into rust by oxidation, or from colours that fade and oil that turns rancid. Free radicals cause this very oxidation and thus the destruction of our cells. As the body's own antioxidant, melatonin is 50 times more efficient than vitamin C and is therefore one of the strongest antioxidants discovered to date. The protective effect on the blood vessels and the heart tissue prevents heart attack, stroke, angina pectoris, heart failure and other cardiovascular</w:t>
      </w:r>
      <w:r>
        <w:rPr>
          <w:spacing w:val="-3"/>
        </w:rPr>
        <w:t> </w:t>
      </w:r>
      <w:r>
        <w:rPr/>
        <w:t>diseases.</w:t>
      </w:r>
    </w:p>
    <w:p>
      <w:pPr>
        <w:pStyle w:val="Heading1"/>
        <w:ind w:left="616"/>
      </w:pPr>
      <w:r>
        <w:rPr/>
        <w:t>Effect of melatonin on blood</w:t>
      </w:r>
      <w:r>
        <w:rPr>
          <w:spacing w:val="-53"/>
        </w:rPr>
        <w:t> </w:t>
      </w:r>
      <w:r>
        <w:rPr/>
        <w:t>pressure</w:t>
      </w:r>
    </w:p>
    <w:p>
      <w:pPr>
        <w:pStyle w:val="BodyText"/>
        <w:spacing w:line="276" w:lineRule="auto" w:before="300"/>
        <w:ind w:left="616" w:right="136"/>
        <w:jc w:val="both"/>
      </w:pPr>
      <w:r>
        <w:rPr/>
        <w:t>Melatonin is blood pressure regulating in its function as a 'sleep timer'. It also strengthens</w:t>
      </w:r>
      <w:r>
        <w:rPr>
          <w:spacing w:val="-25"/>
        </w:rPr>
        <w:t> </w:t>
      </w:r>
      <w:r>
        <w:rPr/>
        <w:t>our</w:t>
      </w:r>
      <w:r>
        <w:rPr>
          <w:spacing w:val="-25"/>
        </w:rPr>
        <w:t> </w:t>
      </w:r>
      <w:r>
        <w:rPr/>
        <w:t>immune</w:t>
      </w:r>
      <w:r>
        <w:rPr>
          <w:spacing w:val="-25"/>
        </w:rPr>
        <w:t> </w:t>
      </w:r>
      <w:r>
        <w:rPr/>
        <w:t>system,</w:t>
      </w:r>
      <w:r>
        <w:rPr>
          <w:spacing w:val="-25"/>
        </w:rPr>
        <w:t> </w:t>
      </w:r>
      <w:r>
        <w:rPr/>
        <w:t>so</w:t>
      </w:r>
      <w:r>
        <w:rPr>
          <w:spacing w:val="-24"/>
        </w:rPr>
        <w:t> </w:t>
      </w:r>
      <w:r>
        <w:rPr/>
        <w:t>the</w:t>
      </w:r>
      <w:r>
        <w:rPr>
          <w:spacing w:val="-24"/>
        </w:rPr>
        <w:t> </w:t>
      </w:r>
      <w:r>
        <w:rPr/>
        <w:t>body</w:t>
      </w:r>
      <w:r>
        <w:rPr>
          <w:spacing w:val="-26"/>
        </w:rPr>
        <w:t> </w:t>
      </w:r>
      <w:r>
        <w:rPr/>
        <w:t>does</w:t>
      </w:r>
      <w:r>
        <w:rPr>
          <w:spacing w:val="-27"/>
        </w:rPr>
        <w:t> </w:t>
      </w:r>
      <w:r>
        <w:rPr/>
        <w:t>not</w:t>
      </w:r>
      <w:r>
        <w:rPr>
          <w:spacing w:val="-25"/>
        </w:rPr>
        <w:t> </w:t>
      </w:r>
      <w:r>
        <w:rPr/>
        <w:t>have</w:t>
      </w:r>
      <w:r>
        <w:rPr>
          <w:spacing w:val="-26"/>
        </w:rPr>
        <w:t> </w:t>
      </w:r>
      <w:r>
        <w:rPr/>
        <w:t>to</w:t>
      </w:r>
      <w:r>
        <w:rPr>
          <w:spacing w:val="-24"/>
        </w:rPr>
        <w:t> </w:t>
      </w:r>
      <w:r>
        <w:rPr/>
        <w:t>produce</w:t>
      </w:r>
      <w:r>
        <w:rPr>
          <w:spacing w:val="-26"/>
        </w:rPr>
        <w:t> </w:t>
      </w:r>
      <w:r>
        <w:rPr/>
        <w:t>as</w:t>
      </w:r>
      <w:r>
        <w:rPr>
          <w:spacing w:val="-25"/>
        </w:rPr>
        <w:t> </w:t>
      </w:r>
      <w:r>
        <w:rPr/>
        <w:t>many corticosteroids,</w:t>
      </w:r>
      <w:r>
        <w:rPr>
          <w:spacing w:val="-29"/>
        </w:rPr>
        <w:t> </w:t>
      </w:r>
      <w:r>
        <w:rPr/>
        <w:t>which</w:t>
      </w:r>
      <w:r>
        <w:rPr>
          <w:spacing w:val="-26"/>
        </w:rPr>
        <w:t> </w:t>
      </w:r>
      <w:r>
        <w:rPr/>
        <w:t>have</w:t>
      </w:r>
      <w:r>
        <w:rPr>
          <w:spacing w:val="-27"/>
        </w:rPr>
        <w:t> </w:t>
      </w:r>
      <w:r>
        <w:rPr/>
        <w:t>been</w:t>
      </w:r>
      <w:r>
        <w:rPr>
          <w:spacing w:val="-27"/>
        </w:rPr>
        <w:t> </w:t>
      </w:r>
      <w:r>
        <w:rPr/>
        <w:t>proven</w:t>
      </w:r>
      <w:r>
        <w:rPr>
          <w:spacing w:val="-26"/>
        </w:rPr>
        <w:t> </w:t>
      </w:r>
      <w:r>
        <w:rPr/>
        <w:t>to</w:t>
      </w:r>
      <w:r>
        <w:rPr>
          <w:spacing w:val="-26"/>
        </w:rPr>
        <w:t> </w:t>
      </w:r>
      <w:r>
        <w:rPr/>
        <w:t>increase</w:t>
      </w:r>
      <w:r>
        <w:rPr>
          <w:spacing w:val="-26"/>
        </w:rPr>
        <w:t> </w:t>
      </w:r>
      <w:r>
        <w:rPr/>
        <w:t>blood</w:t>
      </w:r>
      <w:r>
        <w:rPr>
          <w:spacing w:val="-26"/>
        </w:rPr>
        <w:t> </w:t>
      </w:r>
      <w:r>
        <w:rPr/>
        <w:t>pressure.</w:t>
      </w:r>
      <w:r>
        <w:rPr>
          <w:spacing w:val="-26"/>
        </w:rPr>
        <w:t> </w:t>
      </w:r>
      <w:r>
        <w:rPr/>
        <w:t>Therefore, high</w:t>
      </w:r>
      <w:r>
        <w:rPr>
          <w:spacing w:val="-23"/>
        </w:rPr>
        <w:t> </w:t>
      </w:r>
      <w:r>
        <w:rPr/>
        <w:t>blood</w:t>
      </w:r>
      <w:r>
        <w:rPr>
          <w:spacing w:val="-23"/>
        </w:rPr>
        <w:t> </w:t>
      </w:r>
      <w:r>
        <w:rPr/>
        <w:t>pressure</w:t>
      </w:r>
      <w:r>
        <w:rPr>
          <w:spacing w:val="-25"/>
        </w:rPr>
        <w:t> </w:t>
      </w:r>
      <w:r>
        <w:rPr/>
        <w:t>can</w:t>
      </w:r>
      <w:r>
        <w:rPr>
          <w:spacing w:val="-23"/>
        </w:rPr>
        <w:t> </w:t>
      </w:r>
      <w:r>
        <w:rPr/>
        <w:t>be</w:t>
      </w:r>
      <w:r>
        <w:rPr>
          <w:spacing w:val="-25"/>
        </w:rPr>
        <w:t> </w:t>
      </w:r>
      <w:r>
        <w:rPr/>
        <w:t>reduced</w:t>
      </w:r>
      <w:r>
        <w:rPr>
          <w:spacing w:val="-25"/>
        </w:rPr>
        <w:t> </w:t>
      </w:r>
      <w:r>
        <w:rPr/>
        <w:t>by</w:t>
      </w:r>
      <w:r>
        <w:rPr>
          <w:spacing w:val="-24"/>
        </w:rPr>
        <w:t> </w:t>
      </w:r>
      <w:r>
        <w:rPr/>
        <w:t>using</w:t>
      </w:r>
      <w:r>
        <w:rPr>
          <w:spacing w:val="-24"/>
        </w:rPr>
        <w:t> </w:t>
      </w:r>
      <w:r>
        <w:rPr/>
        <w:t>melatonin.</w:t>
      </w:r>
      <w:r>
        <w:rPr>
          <w:spacing w:val="-23"/>
        </w:rPr>
        <w:t> </w:t>
      </w:r>
      <w:r>
        <w:rPr/>
        <w:t>In</w:t>
      </w:r>
      <w:r>
        <w:rPr>
          <w:spacing w:val="-24"/>
        </w:rPr>
        <w:t> </w:t>
      </w:r>
      <w:r>
        <w:rPr/>
        <w:t>animal</w:t>
      </w:r>
      <w:r>
        <w:rPr>
          <w:spacing w:val="-24"/>
        </w:rPr>
        <w:t> </w:t>
      </w:r>
      <w:r>
        <w:rPr/>
        <w:t>experiments, the removal of pineal glands has led to an immediate increase in blood pres- sure.</w:t>
      </w:r>
    </w:p>
    <w:p>
      <w:pPr>
        <w:spacing w:after="0" w:line="276" w:lineRule="auto"/>
        <w:jc w:val="both"/>
        <w:sectPr>
          <w:pgSz w:w="14270" w:h="16850"/>
          <w:pgMar w:header="0" w:footer="1891" w:top="1320" w:bottom="2080" w:left="800" w:right="1280"/>
        </w:sectPr>
      </w:pPr>
    </w:p>
    <w:p>
      <w:pPr>
        <w:pStyle w:val="Heading1"/>
        <w:spacing w:before="77"/>
        <w:ind w:left="616"/>
      </w:pPr>
      <w:r>
        <w:rPr/>
        <w:t>Effect of melatonin on cholesterol</w:t>
      </w:r>
      <w:r>
        <w:rPr>
          <w:spacing w:val="-57"/>
        </w:rPr>
        <w:t> </w:t>
      </w:r>
      <w:r>
        <w:rPr/>
        <w:t>levels</w:t>
      </w:r>
    </w:p>
    <w:p>
      <w:pPr>
        <w:pStyle w:val="BodyText"/>
        <w:spacing w:line="276" w:lineRule="auto" w:before="299"/>
        <w:ind w:left="616" w:right="136"/>
        <w:jc w:val="both"/>
      </w:pPr>
      <w:r>
        <w:rPr/>
        <w:t>Melatonin also lowers LDL cholesterol, which, as 'bad' cholesterol, leads to heart problems. The pineal gland, which is responsible for the production</w:t>
      </w:r>
      <w:r>
        <w:rPr>
          <w:spacing w:val="-65"/>
        </w:rPr>
        <w:t> </w:t>
      </w:r>
      <w:r>
        <w:rPr/>
        <w:t>and release of melatonin, also appears to play an important role in the regulation of cholesterol levels, as the removal of the pineal gland has increased choles- terol and other triglyceride levels in animal studies.</w:t>
      </w:r>
    </w:p>
    <w:p>
      <w:pPr>
        <w:pStyle w:val="BodyText"/>
        <w:spacing w:line="276" w:lineRule="auto" w:before="240"/>
        <w:ind w:left="616" w:right="142"/>
        <w:jc w:val="both"/>
      </w:pPr>
      <w:r>
        <w:rPr/>
        <w:t>Researchers Pierpaoli and Regelson believe that melatonin has a regulating ef- fect on cholesterol levels by influencing the secretion of thyroid hormones.</w:t>
      </w:r>
    </w:p>
    <w:p>
      <w:pPr>
        <w:pStyle w:val="Heading1"/>
        <w:ind w:left="616"/>
      </w:pPr>
      <w:r>
        <w:rPr/>
        <w:t>Effect of melatonin on the electrical activity of the heart muscle</w:t>
      </w:r>
    </w:p>
    <w:p>
      <w:pPr>
        <w:pStyle w:val="BodyText"/>
        <w:spacing w:before="297"/>
        <w:ind w:left="616"/>
      </w:pPr>
      <w:r>
        <w:rPr/>
        <w:t>Our heart works through an autonomous system based on electrical impulses.</w:t>
      </w:r>
    </w:p>
    <w:p>
      <w:pPr>
        <w:pStyle w:val="BodyText"/>
        <w:spacing w:line="276" w:lineRule="auto" w:before="304"/>
        <w:ind w:left="616" w:right="137"/>
        <w:jc w:val="both"/>
      </w:pPr>
      <w:r>
        <w:rPr/>
        <w:t>Melatonin positively influences the electrical activity of the heart muscle via the so-called 'calcium channel' and thus optimises its work. The heart works more economically and efficiently at the same time.</w:t>
      </w:r>
    </w:p>
    <w:p>
      <w:pPr>
        <w:pStyle w:val="Heading1"/>
        <w:ind w:left="616"/>
      </w:pPr>
      <w:r>
        <w:rPr/>
        <w:t>Melatonin action in asthma</w:t>
      </w:r>
    </w:p>
    <w:p>
      <w:pPr>
        <w:pStyle w:val="BodyText"/>
        <w:spacing w:line="276" w:lineRule="auto" w:before="300"/>
        <w:ind w:left="616" w:right="132"/>
        <w:jc w:val="both"/>
      </w:pPr>
      <w:r>
        <w:rPr/>
        <w:t>According to a study conducted at the Hadassah Medical School of the He- brew University in Israel, intravenous melatonin was found to be an '</w:t>
      </w:r>
      <w:r>
        <w:rPr>
          <w:i/>
        </w:rPr>
        <w:t>excellent </w:t>
      </w:r>
      <w:r>
        <w:rPr>
          <w:i/>
        </w:rPr>
        <w:t>bronchodilator' </w:t>
      </w:r>
      <w:r>
        <w:rPr/>
        <w:t>in animal studies.</w:t>
      </w:r>
    </w:p>
    <w:p>
      <w:pPr>
        <w:pStyle w:val="Heading1"/>
        <w:spacing w:before="221"/>
        <w:ind w:left="616"/>
      </w:pPr>
      <w:r>
        <w:rPr/>
        <w:t>Effect of melatonin against cancer</w:t>
      </w:r>
    </w:p>
    <w:p>
      <w:pPr>
        <w:pStyle w:val="BodyText"/>
        <w:spacing w:line="276" w:lineRule="auto" w:before="300"/>
        <w:ind w:left="616" w:right="134"/>
        <w:jc w:val="both"/>
      </w:pPr>
      <w:r>
        <w:rPr/>
        <w:t>Studies from as far back as 1940 show that a substance made in the pineal gland</w:t>
      </w:r>
      <w:r>
        <w:rPr>
          <w:spacing w:val="-14"/>
        </w:rPr>
        <w:t> </w:t>
      </w:r>
      <w:r>
        <w:rPr/>
        <w:t>could</w:t>
      </w:r>
      <w:r>
        <w:rPr>
          <w:spacing w:val="-14"/>
        </w:rPr>
        <w:t> </w:t>
      </w:r>
      <w:r>
        <w:rPr/>
        <w:t>prevent</w:t>
      </w:r>
      <w:r>
        <w:rPr>
          <w:spacing w:val="-14"/>
        </w:rPr>
        <w:t> </w:t>
      </w:r>
      <w:r>
        <w:rPr/>
        <w:t>the</w:t>
      </w:r>
      <w:r>
        <w:rPr>
          <w:spacing w:val="-13"/>
        </w:rPr>
        <w:t> </w:t>
      </w:r>
      <w:r>
        <w:rPr/>
        <w:t>growth</w:t>
      </w:r>
      <w:r>
        <w:rPr>
          <w:spacing w:val="-14"/>
        </w:rPr>
        <w:t> </w:t>
      </w:r>
      <w:r>
        <w:rPr/>
        <w:t>of</w:t>
      </w:r>
      <w:r>
        <w:rPr>
          <w:spacing w:val="-15"/>
        </w:rPr>
        <w:t> </w:t>
      </w:r>
      <w:r>
        <w:rPr/>
        <w:t>tumours</w:t>
      </w:r>
      <w:r>
        <w:rPr>
          <w:spacing w:val="-14"/>
        </w:rPr>
        <w:t> </w:t>
      </w:r>
      <w:r>
        <w:rPr/>
        <w:t>and</w:t>
      </w:r>
      <w:r>
        <w:rPr>
          <w:spacing w:val="-14"/>
        </w:rPr>
        <w:t> </w:t>
      </w:r>
      <w:r>
        <w:rPr/>
        <w:t>conversely</w:t>
      </w:r>
      <w:r>
        <w:rPr>
          <w:spacing w:val="-13"/>
        </w:rPr>
        <w:t> </w:t>
      </w:r>
      <w:r>
        <w:rPr/>
        <w:t>that</w:t>
      </w:r>
      <w:r>
        <w:rPr>
          <w:spacing w:val="-14"/>
        </w:rPr>
        <w:t> </w:t>
      </w:r>
      <w:r>
        <w:rPr/>
        <w:t>the</w:t>
      </w:r>
      <w:r>
        <w:rPr>
          <w:spacing w:val="-14"/>
        </w:rPr>
        <w:t> </w:t>
      </w:r>
      <w:r>
        <w:rPr/>
        <w:t>removal</w:t>
      </w:r>
      <w:r>
        <w:rPr>
          <w:spacing w:val="-15"/>
        </w:rPr>
        <w:t> </w:t>
      </w:r>
      <w:r>
        <w:rPr/>
        <w:t>or</w:t>
      </w:r>
    </w:p>
    <w:p>
      <w:pPr>
        <w:spacing w:after="0" w:line="276" w:lineRule="auto"/>
        <w:jc w:val="both"/>
        <w:sectPr>
          <w:pgSz w:w="14270" w:h="16850"/>
          <w:pgMar w:header="0" w:footer="1891" w:top="1320" w:bottom="2080" w:left="800" w:right="1280"/>
        </w:sectPr>
      </w:pPr>
    </w:p>
    <w:p>
      <w:pPr>
        <w:pStyle w:val="BodyText"/>
        <w:spacing w:line="278" w:lineRule="auto" w:before="72"/>
        <w:ind w:left="616" w:right="137"/>
        <w:jc w:val="both"/>
      </w:pPr>
      <w:r>
        <w:rPr/>
        <w:t>destruction of the pineal gland leads to a faster growth and proliferation of tumours,</w:t>
      </w:r>
      <w:r>
        <w:rPr>
          <w:spacing w:val="-13"/>
        </w:rPr>
        <w:t> </w:t>
      </w:r>
      <w:r>
        <w:rPr/>
        <w:t>even</w:t>
      </w:r>
      <w:r>
        <w:rPr>
          <w:spacing w:val="-12"/>
        </w:rPr>
        <w:t> </w:t>
      </w:r>
      <w:r>
        <w:rPr/>
        <w:t>if</w:t>
      </w:r>
      <w:r>
        <w:rPr>
          <w:spacing w:val="-14"/>
        </w:rPr>
        <w:t> </w:t>
      </w:r>
      <w:r>
        <w:rPr/>
        <w:t>the</w:t>
      </w:r>
      <w:r>
        <w:rPr>
          <w:spacing w:val="-12"/>
        </w:rPr>
        <w:t> </w:t>
      </w:r>
      <w:r>
        <w:rPr/>
        <w:t>substance</w:t>
      </w:r>
      <w:r>
        <w:rPr>
          <w:spacing w:val="-12"/>
        </w:rPr>
        <w:t> </w:t>
      </w:r>
      <w:r>
        <w:rPr/>
        <w:t>(melatonin)</w:t>
      </w:r>
      <w:r>
        <w:rPr>
          <w:spacing w:val="-13"/>
        </w:rPr>
        <w:t> </w:t>
      </w:r>
      <w:r>
        <w:rPr/>
        <w:t>could</w:t>
      </w:r>
      <w:r>
        <w:rPr>
          <w:spacing w:val="-12"/>
        </w:rPr>
        <w:t> </w:t>
      </w:r>
      <w:r>
        <w:rPr/>
        <w:t>not</w:t>
      </w:r>
      <w:r>
        <w:rPr>
          <w:spacing w:val="-13"/>
        </w:rPr>
        <w:t> </w:t>
      </w:r>
      <w:r>
        <w:rPr/>
        <w:t>be</w:t>
      </w:r>
      <w:r>
        <w:rPr>
          <w:spacing w:val="-14"/>
        </w:rPr>
        <w:t> </w:t>
      </w:r>
      <w:r>
        <w:rPr/>
        <w:t>identified</w:t>
      </w:r>
      <w:r>
        <w:rPr>
          <w:spacing w:val="-14"/>
        </w:rPr>
        <w:t> </w:t>
      </w:r>
      <w:r>
        <w:rPr/>
        <w:t>at</w:t>
      </w:r>
      <w:r>
        <w:rPr>
          <w:spacing w:val="-14"/>
        </w:rPr>
        <w:t> </w:t>
      </w:r>
      <w:r>
        <w:rPr/>
        <w:t>that</w:t>
      </w:r>
      <w:r>
        <w:rPr>
          <w:spacing w:val="-13"/>
        </w:rPr>
        <w:t> </w:t>
      </w:r>
      <w:r>
        <w:rPr/>
        <w:t>time.</w:t>
      </w:r>
    </w:p>
    <w:p>
      <w:pPr>
        <w:pStyle w:val="BodyText"/>
        <w:spacing w:line="278" w:lineRule="auto" w:before="232"/>
        <w:ind w:left="616" w:right="142"/>
        <w:jc w:val="both"/>
      </w:pPr>
      <w:r>
        <w:rPr/>
        <w:t>In fact, at the beginning of a cancer, the body produces more melatonin to fight the tumour.</w:t>
      </w:r>
    </w:p>
    <w:p>
      <w:pPr>
        <w:pStyle w:val="BodyText"/>
        <w:spacing w:line="276" w:lineRule="auto" w:before="232"/>
        <w:ind w:left="616" w:right="144"/>
        <w:jc w:val="both"/>
        <w:rPr>
          <w:sz w:val="25"/>
        </w:rPr>
      </w:pPr>
      <w:r>
        <w:rPr/>
        <w:t>Recent studies have revealed that melatonin slows down the growth of breast cancer cells both in the laboratory and in mice and slows the growth of mela- noma (skin cancer) in hamsters five-fold and delays metastasis.</w:t>
      </w:r>
      <w:r>
        <w:rPr>
          <w:position w:val="9"/>
          <w:sz w:val="25"/>
        </w:rPr>
        <w:t>530</w:t>
      </w:r>
    </w:p>
    <w:p>
      <w:pPr>
        <w:pStyle w:val="BodyText"/>
        <w:spacing w:line="276" w:lineRule="auto" w:before="242"/>
        <w:ind w:left="616" w:right="133"/>
        <w:jc w:val="both"/>
      </w:pPr>
      <w:r>
        <w:rPr/>
        <w:t>Dr. William Regelson obtained the first findings on the anti-cancer effect of melatonin in animal experiments on mice.</w:t>
      </w:r>
    </w:p>
    <w:p>
      <w:pPr>
        <w:pStyle w:val="BodyText"/>
        <w:spacing w:line="276" w:lineRule="auto" w:before="238"/>
        <w:ind w:left="616" w:right="140"/>
        <w:jc w:val="both"/>
      </w:pPr>
      <w:r>
        <w:rPr/>
        <w:t>While he and his colleague in the lab managed to extend the lifespan of mice by grafting a younger gland and using the doses of melatonin in a control ex- periment, it was astonishing to see melatonin reliably protect all test mice against the cancer typical for this species of mice.</w:t>
      </w:r>
    </w:p>
    <w:p>
      <w:pPr>
        <w:pStyle w:val="BodyText"/>
        <w:spacing w:line="276" w:lineRule="auto" w:before="242"/>
        <w:ind w:left="616" w:right="129"/>
        <w:jc w:val="both"/>
      </w:pPr>
      <w:r>
        <w:rPr/>
        <w:t>In a trial in Monza, Italy, 82 patients with metastatic cancer were given a</w:t>
      </w:r>
      <w:r>
        <w:rPr>
          <w:spacing w:val="-63"/>
        </w:rPr>
        <w:t> </w:t>
      </w:r>
      <w:r>
        <w:rPr/>
        <w:t>com- bination of melatonin and low-dose interleukin-II. In 25 % (21 patients) the tumour shrank and in 5 % (4 patients) a complete tumour reversal occurred.</w:t>
      </w:r>
    </w:p>
    <w:p>
      <w:pPr>
        <w:pStyle w:val="Heading1"/>
        <w:spacing w:before="222"/>
        <w:ind w:left="616"/>
        <w:jc w:val="both"/>
      </w:pPr>
      <w:r>
        <w:rPr/>
        <w:t>Effect of melatonin on metastatic lung cancer</w:t>
      </w:r>
    </w:p>
    <w:p>
      <w:pPr>
        <w:pStyle w:val="BodyText"/>
        <w:spacing w:line="276" w:lineRule="auto" w:before="299"/>
        <w:ind w:left="616" w:right="134"/>
        <w:jc w:val="both"/>
      </w:pPr>
      <w:r>
        <w:rPr/>
        <w:t>At</w:t>
      </w:r>
      <w:r>
        <w:rPr>
          <w:spacing w:val="-24"/>
        </w:rPr>
        <w:t> </w:t>
      </w:r>
      <w:r>
        <w:rPr/>
        <w:t>the</w:t>
      </w:r>
      <w:r>
        <w:rPr>
          <w:spacing w:val="-22"/>
        </w:rPr>
        <w:t> </w:t>
      </w:r>
      <w:r>
        <w:rPr/>
        <w:t>same</w:t>
      </w:r>
      <w:r>
        <w:rPr>
          <w:spacing w:val="-22"/>
        </w:rPr>
        <w:t> </w:t>
      </w:r>
      <w:r>
        <w:rPr/>
        <w:t>clinic,</w:t>
      </w:r>
      <w:r>
        <w:rPr>
          <w:spacing w:val="-23"/>
        </w:rPr>
        <w:t> </w:t>
      </w:r>
      <w:r>
        <w:rPr/>
        <w:t>patients</w:t>
      </w:r>
      <w:r>
        <w:rPr>
          <w:spacing w:val="-22"/>
        </w:rPr>
        <w:t> </w:t>
      </w:r>
      <w:r>
        <w:rPr/>
        <w:t>with</w:t>
      </w:r>
      <w:r>
        <w:rPr>
          <w:spacing w:val="-22"/>
        </w:rPr>
        <w:t> </w:t>
      </w:r>
      <w:r>
        <w:rPr/>
        <w:t>metastatic</w:t>
      </w:r>
      <w:r>
        <w:rPr>
          <w:spacing w:val="-24"/>
        </w:rPr>
        <w:t> </w:t>
      </w:r>
      <w:r>
        <w:rPr/>
        <w:t>lung</w:t>
      </w:r>
      <w:r>
        <w:rPr>
          <w:spacing w:val="-23"/>
        </w:rPr>
        <w:t> </w:t>
      </w:r>
      <w:r>
        <w:rPr/>
        <w:t>cancer</w:t>
      </w:r>
      <w:r>
        <w:rPr>
          <w:spacing w:val="-22"/>
        </w:rPr>
        <w:t> </w:t>
      </w:r>
      <w:r>
        <w:rPr/>
        <w:t>were</w:t>
      </w:r>
      <w:r>
        <w:rPr>
          <w:spacing w:val="-22"/>
        </w:rPr>
        <w:t> </w:t>
      </w:r>
      <w:r>
        <w:rPr/>
        <w:t>given</w:t>
      </w:r>
      <w:r>
        <w:rPr>
          <w:spacing w:val="-22"/>
        </w:rPr>
        <w:t> </w:t>
      </w:r>
      <w:r>
        <w:rPr/>
        <w:t>2</w:t>
      </w:r>
      <w:r>
        <w:rPr>
          <w:spacing w:val="-24"/>
        </w:rPr>
        <w:t> </w:t>
      </w:r>
      <w:r>
        <w:rPr/>
        <w:t>centigrams of melatonin at night. Twenty-one patients remained stable, 30 patients showed</w:t>
      </w:r>
      <w:r>
        <w:rPr>
          <w:spacing w:val="19"/>
        </w:rPr>
        <w:t> </w:t>
      </w:r>
      <w:r>
        <w:rPr/>
        <w:t>significant</w:t>
      </w:r>
      <w:r>
        <w:rPr>
          <w:spacing w:val="20"/>
        </w:rPr>
        <w:t> </w:t>
      </w:r>
      <w:r>
        <w:rPr/>
        <w:t>improvement,</w:t>
      </w:r>
      <w:r>
        <w:rPr>
          <w:spacing w:val="21"/>
        </w:rPr>
        <w:t> </w:t>
      </w:r>
      <w:r>
        <w:rPr/>
        <w:t>only</w:t>
      </w:r>
      <w:r>
        <w:rPr>
          <w:spacing w:val="17"/>
        </w:rPr>
        <w:t> </w:t>
      </w:r>
      <w:r>
        <w:rPr/>
        <w:t>one</w:t>
      </w:r>
      <w:r>
        <w:rPr>
          <w:spacing w:val="19"/>
        </w:rPr>
        <w:t> </w:t>
      </w:r>
      <w:r>
        <w:rPr/>
        <w:t>patient</w:t>
      </w:r>
      <w:r>
        <w:rPr>
          <w:spacing w:val="21"/>
        </w:rPr>
        <w:t> </w:t>
      </w:r>
      <w:r>
        <w:rPr/>
        <w:t>responded</w:t>
      </w:r>
      <w:r>
        <w:rPr>
          <w:spacing w:val="20"/>
        </w:rPr>
        <w:t> </w:t>
      </w:r>
      <w:r>
        <w:rPr/>
        <w:t>partially</w:t>
      </w:r>
      <w:r>
        <w:rPr>
          <w:spacing w:val="19"/>
        </w:rPr>
        <w:t> </w:t>
      </w:r>
      <w:r>
        <w:rPr/>
        <w:t>to</w:t>
      </w:r>
      <w:r>
        <w:rPr>
          <w:spacing w:val="20"/>
        </w:rPr>
        <w:t> </w:t>
      </w:r>
      <w:r>
        <w:rPr/>
        <w:t>the</w:t>
      </w:r>
    </w:p>
    <w:p>
      <w:pPr>
        <w:pStyle w:val="BodyText"/>
        <w:spacing w:before="10"/>
        <w:rPr>
          <w:sz w:val="18"/>
        </w:rPr>
      </w:pPr>
      <w:r>
        <w:rPr/>
        <w:pict>
          <v:line style="position:absolute;mso-position-horizontal-relative:page;mso-position-vertical-relative:paragraph;z-index:6752;mso-wrap-distance-left:0;mso-wrap-distance-right:0" from="70.823997pt,12.991235pt" to="214.843997pt,12.991235pt" stroked="true" strokeweight=".72003pt" strokecolor="#000000">
            <v:stroke dashstyle="solid"/>
            <w10:wrap type="topAndBottom"/>
          </v:line>
        </w:pict>
      </w:r>
    </w:p>
    <w:p>
      <w:pPr>
        <w:pStyle w:val="BodyText"/>
        <w:spacing w:before="9"/>
        <w:rPr>
          <w:sz w:val="17"/>
        </w:rPr>
      </w:pPr>
    </w:p>
    <w:p>
      <w:pPr>
        <w:spacing w:line="271" w:lineRule="auto" w:before="100"/>
        <w:ind w:left="616" w:right="0" w:firstLine="0"/>
        <w:jc w:val="left"/>
        <w:rPr>
          <w:sz w:val="20"/>
        </w:rPr>
      </w:pPr>
      <w:r>
        <w:rPr>
          <w:position w:val="5"/>
          <w:sz w:val="13"/>
        </w:rPr>
        <w:t>530 </w:t>
      </w:r>
      <w:r>
        <w:rPr>
          <w:sz w:val="20"/>
        </w:rPr>
        <w:t>Steven J. Bock and Michael Boyette: Wunderhormon Melatonin – die Quelle von Jugend und Gesundheit, ('Miracle Hormone Melatonin </w:t>
      </w:r>
      <w:r>
        <w:rPr>
          <w:b/>
          <w:i/>
          <w:sz w:val="21"/>
        </w:rPr>
        <w:t>– </w:t>
      </w:r>
      <w:r>
        <w:rPr>
          <w:sz w:val="20"/>
        </w:rPr>
        <w:t>The Source of Youth and Health'), 1995, p. 69</w:t>
      </w:r>
    </w:p>
    <w:p>
      <w:pPr>
        <w:spacing w:after="0" w:line="271" w:lineRule="auto"/>
        <w:jc w:val="left"/>
        <w:rPr>
          <w:sz w:val="20"/>
        </w:rPr>
        <w:sectPr>
          <w:footerReference w:type="default" r:id="rId225"/>
          <w:pgSz w:w="14270" w:h="16850"/>
          <w:pgMar w:footer="1891" w:header="0" w:top="1340" w:bottom="2080" w:left="800" w:right="1280"/>
          <w:pgNumType w:start="970"/>
        </w:sectPr>
      </w:pPr>
    </w:p>
    <w:p>
      <w:pPr>
        <w:pStyle w:val="BodyText"/>
        <w:spacing w:line="278" w:lineRule="auto" w:before="72"/>
        <w:ind w:left="616" w:right="135"/>
        <w:jc w:val="both"/>
      </w:pPr>
      <w:r>
        <w:rPr/>
        <w:t>treatment, and two patients were worse off. It has been possible to extend</w:t>
      </w:r>
      <w:r>
        <w:rPr>
          <w:spacing w:val="-51"/>
        </w:rPr>
        <w:t> </w:t>
      </w:r>
      <w:r>
        <w:rPr/>
        <w:t>the average lifespan of patients.</w:t>
      </w:r>
    </w:p>
    <w:p>
      <w:pPr>
        <w:pStyle w:val="Heading1"/>
        <w:spacing w:before="215"/>
        <w:ind w:left="616"/>
      </w:pPr>
      <w:r>
        <w:rPr/>
        <w:t>Effect of melatonin on advanced</w:t>
      </w:r>
      <w:r>
        <w:rPr>
          <w:spacing w:val="-64"/>
        </w:rPr>
        <w:t> </w:t>
      </w:r>
      <w:r>
        <w:rPr/>
        <w:t>melanoma</w:t>
      </w:r>
    </w:p>
    <w:p>
      <w:pPr>
        <w:pStyle w:val="BodyText"/>
        <w:spacing w:line="276" w:lineRule="auto" w:before="299"/>
        <w:ind w:left="616" w:right="130"/>
        <w:jc w:val="both"/>
      </w:pPr>
      <w:r>
        <w:rPr/>
        <w:t>An advanced melanoma is a very aggressive cancer with a mostly fatal out- come.</w:t>
      </w:r>
      <w:r>
        <w:rPr>
          <w:spacing w:val="-9"/>
        </w:rPr>
        <w:t> </w:t>
      </w:r>
      <w:r>
        <w:rPr/>
        <w:t>Melanoma</w:t>
      </w:r>
      <w:r>
        <w:rPr>
          <w:spacing w:val="-10"/>
        </w:rPr>
        <w:t> </w:t>
      </w:r>
      <w:r>
        <w:rPr/>
        <w:t>patients</w:t>
      </w:r>
      <w:r>
        <w:rPr>
          <w:spacing w:val="-9"/>
        </w:rPr>
        <w:t> </w:t>
      </w:r>
      <w:r>
        <w:rPr/>
        <w:t>with</w:t>
      </w:r>
      <w:r>
        <w:rPr>
          <w:spacing w:val="-11"/>
        </w:rPr>
        <w:t> </w:t>
      </w:r>
      <w:r>
        <w:rPr/>
        <w:t>metastases</w:t>
      </w:r>
      <w:r>
        <w:rPr>
          <w:spacing w:val="-9"/>
        </w:rPr>
        <w:t> </w:t>
      </w:r>
      <w:r>
        <w:rPr/>
        <w:t>in</w:t>
      </w:r>
      <w:r>
        <w:rPr>
          <w:spacing w:val="-9"/>
        </w:rPr>
        <w:t> </w:t>
      </w:r>
      <w:r>
        <w:rPr/>
        <w:t>the</w:t>
      </w:r>
      <w:r>
        <w:rPr>
          <w:spacing w:val="-9"/>
        </w:rPr>
        <w:t> </w:t>
      </w:r>
      <w:r>
        <w:rPr/>
        <w:t>brain</w:t>
      </w:r>
      <w:r>
        <w:rPr>
          <w:spacing w:val="-10"/>
        </w:rPr>
        <w:t> </w:t>
      </w:r>
      <w:r>
        <w:rPr/>
        <w:t>and</w:t>
      </w:r>
      <w:r>
        <w:rPr>
          <w:spacing w:val="-11"/>
        </w:rPr>
        <w:t> </w:t>
      </w:r>
      <w:r>
        <w:rPr/>
        <w:t>lungs</w:t>
      </w:r>
      <w:r>
        <w:rPr>
          <w:spacing w:val="-9"/>
        </w:rPr>
        <w:t> </w:t>
      </w:r>
      <w:r>
        <w:rPr/>
        <w:t>were</w:t>
      </w:r>
      <w:r>
        <w:rPr>
          <w:spacing w:val="-11"/>
        </w:rPr>
        <w:t> </w:t>
      </w:r>
      <w:r>
        <w:rPr/>
        <w:t>given</w:t>
      </w:r>
      <w:r>
        <w:rPr>
          <w:spacing w:val="-8"/>
        </w:rPr>
        <w:t> </w:t>
      </w:r>
      <w:r>
        <w:rPr/>
        <w:t>5- 7</w:t>
      </w:r>
      <w:r>
        <w:rPr>
          <w:spacing w:val="-19"/>
        </w:rPr>
        <w:t> </w:t>
      </w:r>
      <w:r>
        <w:rPr/>
        <w:t>centigrams</w:t>
      </w:r>
      <w:r>
        <w:rPr>
          <w:spacing w:val="-17"/>
        </w:rPr>
        <w:t> </w:t>
      </w:r>
      <w:r>
        <w:rPr/>
        <w:t>of</w:t>
      </w:r>
      <w:r>
        <w:rPr>
          <w:spacing w:val="-20"/>
        </w:rPr>
        <w:t> </w:t>
      </w:r>
      <w:r>
        <w:rPr/>
        <w:t>melatonin</w:t>
      </w:r>
      <w:r>
        <w:rPr>
          <w:spacing w:val="-18"/>
        </w:rPr>
        <w:t> </w:t>
      </w:r>
      <w:r>
        <w:rPr/>
        <w:t>every</w:t>
      </w:r>
      <w:r>
        <w:rPr>
          <w:spacing w:val="-17"/>
        </w:rPr>
        <w:t> </w:t>
      </w:r>
      <w:r>
        <w:rPr/>
        <w:t>day</w:t>
      </w:r>
      <w:r>
        <w:rPr>
          <w:spacing w:val="-18"/>
        </w:rPr>
        <w:t> </w:t>
      </w:r>
      <w:r>
        <w:rPr/>
        <w:t>for</w:t>
      </w:r>
      <w:r>
        <w:rPr>
          <w:spacing w:val="-17"/>
        </w:rPr>
        <w:t> </w:t>
      </w:r>
      <w:r>
        <w:rPr/>
        <w:t>five</w:t>
      </w:r>
      <w:r>
        <w:rPr>
          <w:spacing w:val="-18"/>
        </w:rPr>
        <w:t> </w:t>
      </w:r>
      <w:r>
        <w:rPr/>
        <w:t>weeks.</w:t>
      </w:r>
      <w:r>
        <w:rPr>
          <w:spacing w:val="-17"/>
        </w:rPr>
        <w:t> </w:t>
      </w:r>
      <w:r>
        <w:rPr/>
        <w:t>After</w:t>
      </w:r>
      <w:r>
        <w:rPr>
          <w:spacing w:val="-18"/>
        </w:rPr>
        <w:t> </w:t>
      </w:r>
      <w:r>
        <w:rPr/>
        <w:t>these</w:t>
      </w:r>
      <w:r>
        <w:rPr>
          <w:spacing w:val="-20"/>
        </w:rPr>
        <w:t> </w:t>
      </w:r>
      <w:r>
        <w:rPr/>
        <w:t>five</w:t>
      </w:r>
      <w:r>
        <w:rPr>
          <w:spacing w:val="-18"/>
        </w:rPr>
        <w:t> </w:t>
      </w:r>
      <w:r>
        <w:rPr/>
        <w:t>weeks,</w:t>
      </w:r>
      <w:r>
        <w:rPr>
          <w:spacing w:val="-18"/>
        </w:rPr>
        <w:t> </w:t>
      </w:r>
      <w:r>
        <w:rPr/>
        <w:t>half of the patients were better, while the other half were stable. The condition improved with the level of the</w:t>
      </w:r>
      <w:r>
        <w:rPr>
          <w:spacing w:val="2"/>
        </w:rPr>
        <w:t> </w:t>
      </w:r>
      <w:r>
        <w:rPr/>
        <w:t>dose.</w:t>
      </w:r>
    </w:p>
    <w:p>
      <w:pPr>
        <w:pStyle w:val="Heading1"/>
        <w:spacing w:before="225"/>
        <w:ind w:left="616"/>
      </w:pPr>
      <w:r>
        <w:rPr/>
        <w:t>Effect of melatonin on breast and prostate cancer</w:t>
      </w:r>
    </w:p>
    <w:p>
      <w:pPr>
        <w:pStyle w:val="BodyText"/>
        <w:spacing w:line="276" w:lineRule="auto" w:before="297"/>
        <w:ind w:left="616" w:right="133"/>
        <w:jc w:val="both"/>
      </w:pPr>
      <w:r>
        <w:rPr/>
        <w:t>In particular, so-called 'hormone-dependent carcinomas', cancers that are</w:t>
      </w:r>
      <w:r>
        <w:rPr>
          <w:spacing w:val="-50"/>
        </w:rPr>
        <w:t> </w:t>
      </w:r>
      <w:r>
        <w:rPr/>
        <w:t>trig- gered in women by the female hormone 'oestrogen' and in men by the hor- mone 'testosterone', seem to respond very well to treatment with melatonin. In the lab, breast cancer cells were treated with melatonin and then with anti- oestrogens (tamoxifen). The melatonin made the cancer cell about 100 times more sensitive to the inhibiting effect of</w:t>
      </w:r>
      <w:r>
        <w:rPr>
          <w:spacing w:val="2"/>
        </w:rPr>
        <w:t> </w:t>
      </w:r>
      <w:r>
        <w:rPr/>
        <w:t>tamoxifen.</w:t>
      </w:r>
    </w:p>
    <w:p>
      <w:pPr>
        <w:pStyle w:val="BodyText"/>
        <w:spacing w:line="276" w:lineRule="auto" w:before="240"/>
        <w:ind w:left="616" w:right="138"/>
        <w:jc w:val="both"/>
        <w:rPr>
          <w:sz w:val="25"/>
        </w:rPr>
      </w:pPr>
      <w:r>
        <w:rPr/>
        <w:t>Interestingly, blind mice were found to have a lower predisposition to breast cancer. In blind animals, the deactivation of melatonin production via the ret- ina is impaired, meaning that there is more melatonin in the organism.</w:t>
      </w:r>
      <w:r>
        <w:rPr>
          <w:position w:val="9"/>
          <w:sz w:val="25"/>
        </w:rPr>
        <w:t>531</w:t>
      </w:r>
    </w:p>
    <w:p>
      <w:pPr>
        <w:pStyle w:val="BodyText"/>
        <w:spacing w:line="276" w:lineRule="auto" w:before="241"/>
        <w:ind w:left="616" w:right="138"/>
        <w:jc w:val="both"/>
      </w:pPr>
      <w:r>
        <w:rPr/>
        <w:t>Equally interesting is the fact that breast cancer is usually discovered in late spring and winter, when relatively little melatonin is naturally produced in the</w:t>
      </w:r>
    </w:p>
    <w:p>
      <w:pPr>
        <w:pStyle w:val="BodyText"/>
        <w:rPr>
          <w:sz w:val="20"/>
        </w:rPr>
      </w:pPr>
    </w:p>
    <w:p>
      <w:pPr>
        <w:pStyle w:val="BodyText"/>
        <w:rPr>
          <w:sz w:val="20"/>
        </w:rPr>
      </w:pPr>
    </w:p>
    <w:p>
      <w:pPr>
        <w:pStyle w:val="BodyText"/>
        <w:rPr>
          <w:sz w:val="20"/>
        </w:rPr>
      </w:pPr>
    </w:p>
    <w:p>
      <w:pPr>
        <w:pStyle w:val="BodyText"/>
        <w:spacing w:before="10"/>
        <w:rPr>
          <w:sz w:val="29"/>
        </w:rPr>
      </w:pPr>
      <w:r>
        <w:rPr/>
        <w:pict>
          <v:line style="position:absolute;mso-position-horizontal-relative:page;mso-position-vertical-relative:paragraph;z-index:6776;mso-wrap-distance-left:0;mso-wrap-distance-right:0" from="70.823997pt,19.210014pt" to="214.843997pt,19.210014pt" stroked="true" strokeweight=".71997pt" strokecolor="#000000">
            <v:stroke dashstyle="solid"/>
            <w10:wrap type="topAndBottom"/>
          </v:line>
        </w:pict>
      </w:r>
    </w:p>
    <w:p>
      <w:pPr>
        <w:pStyle w:val="BodyText"/>
        <w:spacing w:before="7"/>
        <w:rPr>
          <w:sz w:val="18"/>
        </w:rPr>
      </w:pPr>
    </w:p>
    <w:p>
      <w:pPr>
        <w:spacing w:line="276" w:lineRule="auto" w:before="99"/>
        <w:ind w:left="616" w:right="156" w:firstLine="0"/>
        <w:jc w:val="left"/>
        <w:rPr>
          <w:sz w:val="20"/>
        </w:rPr>
      </w:pPr>
      <w:r>
        <w:rPr>
          <w:position w:val="5"/>
          <w:sz w:val="13"/>
        </w:rPr>
        <w:t>531 </w:t>
      </w:r>
      <w:r>
        <w:rPr>
          <w:sz w:val="20"/>
        </w:rPr>
        <w:t>Dr. Arnold Hilgers and Dr. Inge Hofmann: Melatonin – die Pille für Gesundheit und ewige Jugend? ('Melatonin – The Pill for Health and Eter- nal Youth?'), 1996, p. 77</w:t>
      </w:r>
    </w:p>
    <w:p>
      <w:pPr>
        <w:spacing w:after="0" w:line="276" w:lineRule="auto"/>
        <w:jc w:val="left"/>
        <w:rPr>
          <w:sz w:val="20"/>
        </w:rPr>
        <w:sectPr>
          <w:footerReference w:type="default" r:id="rId226"/>
          <w:pgSz w:w="14270" w:h="16850"/>
          <w:pgMar w:footer="1984" w:header="0" w:top="1340" w:bottom="2180" w:left="800" w:right="1280"/>
          <w:pgNumType w:start="971"/>
        </w:sectPr>
      </w:pPr>
    </w:p>
    <w:p>
      <w:pPr>
        <w:pStyle w:val="BodyText"/>
        <w:spacing w:before="74"/>
        <w:ind w:left="616"/>
        <w:rPr>
          <w:sz w:val="25"/>
        </w:rPr>
      </w:pPr>
      <w:r>
        <w:rPr/>
        <w:t>organism due to the lighting conditions.</w:t>
      </w:r>
      <w:r>
        <w:rPr>
          <w:position w:val="9"/>
          <w:sz w:val="25"/>
        </w:rPr>
        <w:t>532</w:t>
      </w:r>
    </w:p>
    <w:p>
      <w:pPr>
        <w:pStyle w:val="BodyText"/>
        <w:spacing w:line="276" w:lineRule="auto" w:before="305"/>
        <w:ind w:left="616" w:right="133"/>
        <w:jc w:val="both"/>
      </w:pPr>
      <w:r>
        <w:rPr/>
        <w:t>Many</w:t>
      </w:r>
      <w:r>
        <w:rPr>
          <w:spacing w:val="-17"/>
        </w:rPr>
        <w:t> </w:t>
      </w:r>
      <w:r>
        <w:rPr/>
        <w:t>researchers</w:t>
      </w:r>
      <w:r>
        <w:rPr>
          <w:spacing w:val="-16"/>
        </w:rPr>
        <w:t> </w:t>
      </w:r>
      <w:r>
        <w:rPr/>
        <w:t>therefore</w:t>
      </w:r>
      <w:r>
        <w:rPr>
          <w:spacing w:val="-16"/>
        </w:rPr>
        <w:t> </w:t>
      </w:r>
      <w:r>
        <w:rPr/>
        <w:t>argue</w:t>
      </w:r>
      <w:r>
        <w:rPr>
          <w:spacing w:val="-18"/>
        </w:rPr>
        <w:t> </w:t>
      </w:r>
      <w:r>
        <w:rPr/>
        <w:t>that</w:t>
      </w:r>
      <w:r>
        <w:rPr>
          <w:spacing w:val="-17"/>
        </w:rPr>
        <w:t> </w:t>
      </w:r>
      <w:r>
        <w:rPr/>
        <w:t>hormone-dependent</w:t>
      </w:r>
      <w:r>
        <w:rPr>
          <w:spacing w:val="-17"/>
        </w:rPr>
        <w:t> </w:t>
      </w:r>
      <w:r>
        <w:rPr/>
        <w:t>cancers</w:t>
      </w:r>
      <w:r>
        <w:rPr>
          <w:spacing w:val="-16"/>
        </w:rPr>
        <w:t> </w:t>
      </w:r>
      <w:r>
        <w:rPr/>
        <w:t>(e.g.</w:t>
      </w:r>
      <w:r>
        <w:rPr>
          <w:spacing w:val="-17"/>
        </w:rPr>
        <w:t> </w:t>
      </w:r>
      <w:r>
        <w:rPr/>
        <w:t>breast cancer or prostate cancer) are caused by a malfunction of the pineal</w:t>
      </w:r>
      <w:r>
        <w:rPr>
          <w:spacing w:val="-23"/>
        </w:rPr>
        <w:t> </w:t>
      </w:r>
      <w:r>
        <w:rPr/>
        <w:t>gland.</w:t>
      </w:r>
    </w:p>
    <w:p>
      <w:pPr>
        <w:pStyle w:val="BodyText"/>
        <w:spacing w:line="276" w:lineRule="auto" w:before="238"/>
        <w:ind w:left="616" w:right="135"/>
        <w:jc w:val="both"/>
      </w:pPr>
      <w:r>
        <w:rPr/>
        <w:t>Both women and men with hormone-dependent tumours have a disrupted melatonin cycle. On the other hand, blind women, who have a higher melato- nin level due to blindness, are much less likely to develop breast cancer.</w:t>
      </w:r>
    </w:p>
    <w:p>
      <w:pPr>
        <w:pStyle w:val="BodyText"/>
        <w:spacing w:line="276" w:lineRule="auto" w:before="242"/>
        <w:ind w:left="616" w:right="133"/>
        <w:jc w:val="both"/>
      </w:pPr>
      <w:r>
        <w:rPr/>
        <w:t>Remarkable results, considering that melatonin, despite its negligible, or </w:t>
      </w:r>
      <w:r>
        <w:rPr>
          <w:spacing w:val="2"/>
        </w:rPr>
        <w:t>non- </w:t>
      </w:r>
      <w:r>
        <w:rPr/>
        <w:t>existent, side effects, does not play any role in classical cancer therapy, while chemotherapy</w:t>
      </w:r>
      <w:r>
        <w:rPr>
          <w:spacing w:val="-10"/>
        </w:rPr>
        <w:t> </w:t>
      </w:r>
      <w:r>
        <w:rPr/>
        <w:t>remains</w:t>
      </w:r>
      <w:r>
        <w:rPr>
          <w:spacing w:val="-6"/>
        </w:rPr>
        <w:t> </w:t>
      </w:r>
      <w:r>
        <w:rPr/>
        <w:t>as</w:t>
      </w:r>
      <w:r>
        <w:rPr>
          <w:spacing w:val="-8"/>
        </w:rPr>
        <w:t> </w:t>
      </w:r>
      <w:r>
        <w:rPr/>
        <w:t>the</w:t>
      </w:r>
      <w:r>
        <w:rPr>
          <w:spacing w:val="-8"/>
        </w:rPr>
        <w:t> </w:t>
      </w:r>
      <w:r>
        <w:rPr/>
        <w:t>standard</w:t>
      </w:r>
      <w:r>
        <w:rPr>
          <w:spacing w:val="-8"/>
        </w:rPr>
        <w:t> </w:t>
      </w:r>
      <w:r>
        <w:rPr/>
        <w:t>treatment</w:t>
      </w:r>
      <w:r>
        <w:rPr>
          <w:spacing w:val="-10"/>
        </w:rPr>
        <w:t> </w:t>
      </w:r>
      <w:r>
        <w:rPr/>
        <w:t>despite</w:t>
      </w:r>
      <w:r>
        <w:rPr>
          <w:spacing w:val="-9"/>
        </w:rPr>
        <w:t> </w:t>
      </w:r>
      <w:r>
        <w:rPr/>
        <w:t>its</w:t>
      </w:r>
      <w:r>
        <w:rPr>
          <w:spacing w:val="-8"/>
        </w:rPr>
        <w:t> </w:t>
      </w:r>
      <w:r>
        <w:rPr/>
        <w:t>destructive</w:t>
      </w:r>
      <w:r>
        <w:rPr>
          <w:spacing w:val="-5"/>
        </w:rPr>
        <w:t> </w:t>
      </w:r>
      <w:r>
        <w:rPr/>
        <w:t>poten- tial for healthy cells and its meagre healing rate of </w:t>
      </w:r>
      <w:r>
        <w:rPr>
          <w:spacing w:val="2"/>
        </w:rPr>
        <w:t>2-3</w:t>
      </w:r>
      <w:r>
        <w:rPr>
          <w:spacing w:val="-5"/>
        </w:rPr>
        <w:t> </w:t>
      </w:r>
      <w:r>
        <w:rPr/>
        <w:t>%!</w:t>
      </w:r>
    </w:p>
    <w:p>
      <w:pPr>
        <w:pStyle w:val="Heading1"/>
        <w:spacing w:before="222"/>
        <w:ind w:left="616"/>
      </w:pPr>
      <w:r>
        <w:rPr/>
        <w:t>How does melatonin work against</w:t>
      </w:r>
      <w:r>
        <w:rPr>
          <w:spacing w:val="-56"/>
        </w:rPr>
        <w:t> </w:t>
      </w:r>
      <w:r>
        <w:rPr/>
        <w:t>cancer?</w:t>
      </w:r>
    </w:p>
    <w:p>
      <w:pPr>
        <w:pStyle w:val="BodyText"/>
        <w:spacing w:line="276" w:lineRule="auto" w:before="299"/>
        <w:ind w:left="616" w:right="133"/>
        <w:jc w:val="both"/>
      </w:pPr>
      <w:r>
        <w:rPr/>
        <w:t>Melatonin has proven its worth both in cancer prevention and in cancer</w:t>
      </w:r>
      <w:r>
        <w:rPr>
          <w:spacing w:val="-48"/>
        </w:rPr>
        <w:t> </w:t>
      </w:r>
      <w:r>
        <w:rPr/>
        <w:t>treat- ment and aftercare; it also improves the quality of life of cancer patients. It works against cancer via several</w:t>
      </w:r>
      <w:r>
        <w:rPr>
          <w:spacing w:val="-2"/>
        </w:rPr>
        <w:t> </w:t>
      </w:r>
      <w:r>
        <w:rPr/>
        <w:t>mechanisms:</w:t>
      </w:r>
    </w:p>
    <w:p>
      <w:pPr>
        <w:pStyle w:val="ListParagraph"/>
        <w:numPr>
          <w:ilvl w:val="1"/>
          <w:numId w:val="71"/>
        </w:numPr>
        <w:tabs>
          <w:tab w:pos="1693" w:val="left" w:leader="none"/>
          <w:tab w:pos="1694" w:val="left" w:leader="none"/>
        </w:tabs>
        <w:spacing w:line="273" w:lineRule="auto" w:before="202" w:after="0"/>
        <w:ind w:left="1694" w:right="137" w:hanging="358"/>
        <w:jc w:val="left"/>
        <w:rPr>
          <w:sz w:val="38"/>
        </w:rPr>
      </w:pPr>
      <w:r>
        <w:rPr>
          <w:sz w:val="38"/>
        </w:rPr>
        <w:t>Melatonin</w:t>
      </w:r>
      <w:r>
        <w:rPr>
          <w:spacing w:val="-17"/>
          <w:sz w:val="38"/>
        </w:rPr>
        <w:t> </w:t>
      </w:r>
      <w:r>
        <w:rPr>
          <w:sz w:val="38"/>
        </w:rPr>
        <w:t>stimulates</w:t>
      </w:r>
      <w:r>
        <w:rPr>
          <w:spacing w:val="-17"/>
          <w:sz w:val="38"/>
        </w:rPr>
        <w:t> </w:t>
      </w:r>
      <w:r>
        <w:rPr>
          <w:sz w:val="38"/>
        </w:rPr>
        <w:t>our</w:t>
      </w:r>
      <w:r>
        <w:rPr>
          <w:spacing w:val="-17"/>
          <w:sz w:val="38"/>
        </w:rPr>
        <w:t> </w:t>
      </w:r>
      <w:r>
        <w:rPr>
          <w:sz w:val="38"/>
        </w:rPr>
        <w:t>immune</w:t>
      </w:r>
      <w:r>
        <w:rPr>
          <w:spacing w:val="-16"/>
          <w:sz w:val="38"/>
        </w:rPr>
        <w:t> </w:t>
      </w:r>
      <w:r>
        <w:rPr>
          <w:sz w:val="38"/>
        </w:rPr>
        <w:t>system,</w:t>
      </w:r>
      <w:r>
        <w:rPr>
          <w:spacing w:val="-19"/>
          <w:sz w:val="38"/>
        </w:rPr>
        <w:t> </w:t>
      </w:r>
      <w:r>
        <w:rPr>
          <w:sz w:val="38"/>
        </w:rPr>
        <w:t>which</w:t>
      </w:r>
      <w:r>
        <w:rPr>
          <w:spacing w:val="-18"/>
          <w:sz w:val="38"/>
        </w:rPr>
        <w:t> </w:t>
      </w:r>
      <w:r>
        <w:rPr>
          <w:sz w:val="38"/>
        </w:rPr>
        <w:t>can</w:t>
      </w:r>
      <w:r>
        <w:rPr>
          <w:spacing w:val="-16"/>
          <w:sz w:val="38"/>
        </w:rPr>
        <w:t> </w:t>
      </w:r>
      <w:r>
        <w:rPr>
          <w:sz w:val="38"/>
        </w:rPr>
        <w:t>then</w:t>
      </w:r>
      <w:r>
        <w:rPr>
          <w:spacing w:val="-15"/>
          <w:sz w:val="38"/>
        </w:rPr>
        <w:t> </w:t>
      </w:r>
      <w:r>
        <w:rPr>
          <w:sz w:val="38"/>
        </w:rPr>
        <w:t>attack</w:t>
      </w:r>
      <w:r>
        <w:rPr>
          <w:spacing w:val="-17"/>
          <w:sz w:val="38"/>
        </w:rPr>
        <w:t> </w:t>
      </w:r>
      <w:r>
        <w:rPr>
          <w:sz w:val="38"/>
        </w:rPr>
        <w:t>cancer cells more</w:t>
      </w:r>
      <w:r>
        <w:rPr>
          <w:spacing w:val="1"/>
          <w:sz w:val="38"/>
        </w:rPr>
        <w:t> </w:t>
      </w:r>
      <w:r>
        <w:rPr>
          <w:sz w:val="38"/>
        </w:rPr>
        <w:t>efficiently.</w:t>
      </w:r>
    </w:p>
    <w:p>
      <w:pPr>
        <w:pStyle w:val="ListParagraph"/>
        <w:numPr>
          <w:ilvl w:val="1"/>
          <w:numId w:val="71"/>
        </w:numPr>
        <w:tabs>
          <w:tab w:pos="1693" w:val="left" w:leader="none"/>
          <w:tab w:pos="1694" w:val="left" w:leader="none"/>
        </w:tabs>
        <w:spacing w:line="273" w:lineRule="auto" w:before="127" w:after="0"/>
        <w:ind w:left="1694" w:right="137" w:hanging="358"/>
        <w:jc w:val="left"/>
        <w:rPr>
          <w:sz w:val="25"/>
        </w:rPr>
      </w:pPr>
      <w:r>
        <w:rPr>
          <w:sz w:val="38"/>
        </w:rPr>
        <w:t>Melatonin increases the aggressiveness and efficiency of ageing T</w:t>
      </w:r>
      <w:r>
        <w:rPr>
          <w:spacing w:val="-56"/>
          <w:sz w:val="38"/>
        </w:rPr>
        <w:t> </w:t>
      </w:r>
      <w:r>
        <w:rPr>
          <w:sz w:val="38"/>
        </w:rPr>
        <w:t>cells, which fight cancer.</w:t>
      </w:r>
      <w:r>
        <w:rPr>
          <w:position w:val="9"/>
          <w:sz w:val="25"/>
        </w:rPr>
        <w:t>533</w:t>
      </w:r>
    </w:p>
    <w:p>
      <w:pPr>
        <w:pStyle w:val="ListParagraph"/>
        <w:numPr>
          <w:ilvl w:val="1"/>
          <w:numId w:val="71"/>
        </w:numPr>
        <w:tabs>
          <w:tab w:pos="1693" w:val="left" w:leader="none"/>
          <w:tab w:pos="1694" w:val="left" w:leader="none"/>
        </w:tabs>
        <w:spacing w:line="240" w:lineRule="auto" w:before="128" w:after="0"/>
        <w:ind w:left="1694" w:right="0" w:hanging="358"/>
        <w:jc w:val="left"/>
        <w:rPr>
          <w:sz w:val="38"/>
        </w:rPr>
      </w:pPr>
      <w:r>
        <w:rPr>
          <w:sz w:val="38"/>
        </w:rPr>
        <w:t>Melatonin helps the body to detect and destroy cancer</w:t>
      </w:r>
      <w:r>
        <w:rPr>
          <w:spacing w:val="-5"/>
          <w:sz w:val="38"/>
        </w:rPr>
        <w:t> </w:t>
      </w:r>
      <w:r>
        <w:rPr>
          <w:sz w:val="38"/>
        </w:rPr>
        <w:t>cells.</w:t>
      </w:r>
    </w:p>
    <w:p>
      <w:pPr>
        <w:pStyle w:val="BodyText"/>
        <w:rPr>
          <w:sz w:val="20"/>
        </w:rPr>
      </w:pPr>
    </w:p>
    <w:p>
      <w:pPr>
        <w:pStyle w:val="BodyText"/>
        <w:spacing w:before="3"/>
        <w:rPr>
          <w:sz w:val="14"/>
        </w:rPr>
      </w:pPr>
      <w:r>
        <w:rPr/>
        <w:pict>
          <v:line style="position:absolute;mso-position-horizontal-relative:page;mso-position-vertical-relative:paragraph;z-index:6800;mso-wrap-distance-left:0;mso-wrap-distance-right:0" from="70.823997pt,10.401226pt" to="214.843997pt,10.401226pt" stroked="true" strokeweight=".71997pt" strokecolor="#000000">
            <v:stroke dashstyle="solid"/>
            <w10:wrap type="topAndBottom"/>
          </v:line>
        </w:pict>
      </w:r>
    </w:p>
    <w:p>
      <w:pPr>
        <w:pStyle w:val="BodyText"/>
        <w:spacing w:before="7"/>
        <w:rPr>
          <w:sz w:val="18"/>
        </w:rPr>
      </w:pPr>
    </w:p>
    <w:p>
      <w:pPr>
        <w:spacing w:line="276" w:lineRule="auto" w:before="99"/>
        <w:ind w:left="616" w:right="0" w:firstLine="0"/>
        <w:jc w:val="left"/>
        <w:rPr>
          <w:sz w:val="20"/>
        </w:rPr>
      </w:pPr>
      <w:r>
        <w:rPr>
          <w:position w:val="5"/>
          <w:sz w:val="13"/>
        </w:rPr>
        <w:t>532 </w:t>
      </w:r>
      <w:r>
        <w:rPr>
          <w:sz w:val="20"/>
        </w:rPr>
        <w:t>Steven J. Bock and Michael Boyette: Wunderhormon Melatonin – die Quelle von Jugend und Gesundheit, ('Miracle Hormone Melatonin – The Source of Youth and Health'), 1995, p. 72</w:t>
      </w:r>
    </w:p>
    <w:p>
      <w:pPr>
        <w:pStyle w:val="BodyText"/>
        <w:rPr>
          <w:sz w:val="22"/>
        </w:rPr>
      </w:pPr>
    </w:p>
    <w:p>
      <w:pPr>
        <w:spacing w:line="276" w:lineRule="auto" w:before="133"/>
        <w:ind w:left="616" w:right="0" w:firstLine="0"/>
        <w:jc w:val="left"/>
        <w:rPr>
          <w:sz w:val="20"/>
        </w:rPr>
      </w:pPr>
      <w:r>
        <w:rPr>
          <w:position w:val="5"/>
          <w:sz w:val="13"/>
        </w:rPr>
        <w:t>533 </w:t>
      </w:r>
      <w:r>
        <w:rPr>
          <w:sz w:val="20"/>
        </w:rPr>
        <w:t>Walter Pierpaoli and William Regelson: Melatonin – Schlüssel zu ewiger Jugend, Gesundheit und Fitness ('Key to Eternal Youth, Health and Fitness'), April 1996, p. 133</w:t>
      </w:r>
    </w:p>
    <w:p>
      <w:pPr>
        <w:spacing w:after="0" w:line="276" w:lineRule="auto"/>
        <w:jc w:val="left"/>
        <w:rPr>
          <w:sz w:val="20"/>
        </w:rPr>
        <w:sectPr>
          <w:pgSz w:w="14270" w:h="16850"/>
          <w:pgMar w:header="0" w:footer="1984" w:top="1340" w:bottom="2180" w:left="800" w:right="1280"/>
        </w:sectPr>
      </w:pPr>
    </w:p>
    <w:p>
      <w:pPr>
        <w:pStyle w:val="ListParagraph"/>
        <w:numPr>
          <w:ilvl w:val="1"/>
          <w:numId w:val="71"/>
        </w:numPr>
        <w:tabs>
          <w:tab w:pos="1693" w:val="left" w:leader="none"/>
          <w:tab w:pos="1694" w:val="left" w:leader="none"/>
        </w:tabs>
        <w:spacing w:line="273" w:lineRule="auto" w:before="53" w:after="0"/>
        <w:ind w:left="1694" w:right="137" w:hanging="358"/>
        <w:jc w:val="left"/>
        <w:rPr>
          <w:sz w:val="38"/>
        </w:rPr>
      </w:pPr>
      <w:r>
        <w:rPr>
          <w:sz w:val="38"/>
        </w:rPr>
        <w:t>As</w:t>
      </w:r>
      <w:r>
        <w:rPr>
          <w:spacing w:val="-24"/>
          <w:sz w:val="38"/>
        </w:rPr>
        <w:t> </w:t>
      </w:r>
      <w:r>
        <w:rPr>
          <w:sz w:val="38"/>
        </w:rPr>
        <w:t>a</w:t>
      </w:r>
      <w:r>
        <w:rPr>
          <w:spacing w:val="-26"/>
          <w:sz w:val="38"/>
        </w:rPr>
        <w:t> </w:t>
      </w:r>
      <w:r>
        <w:rPr>
          <w:sz w:val="38"/>
        </w:rPr>
        <w:t>highly</w:t>
      </w:r>
      <w:r>
        <w:rPr>
          <w:spacing w:val="-24"/>
          <w:sz w:val="38"/>
        </w:rPr>
        <w:t> </w:t>
      </w:r>
      <w:r>
        <w:rPr>
          <w:sz w:val="38"/>
        </w:rPr>
        <w:t>efficient</w:t>
      </w:r>
      <w:r>
        <w:rPr>
          <w:spacing w:val="-24"/>
          <w:sz w:val="38"/>
        </w:rPr>
        <w:t> </w:t>
      </w:r>
      <w:r>
        <w:rPr>
          <w:sz w:val="38"/>
        </w:rPr>
        <w:t>antioxidant,</w:t>
      </w:r>
      <w:r>
        <w:rPr>
          <w:spacing w:val="-22"/>
          <w:sz w:val="38"/>
        </w:rPr>
        <w:t> </w:t>
      </w:r>
      <w:r>
        <w:rPr>
          <w:sz w:val="38"/>
        </w:rPr>
        <w:t>melatonin</w:t>
      </w:r>
      <w:r>
        <w:rPr>
          <w:spacing w:val="-23"/>
          <w:sz w:val="38"/>
        </w:rPr>
        <w:t> </w:t>
      </w:r>
      <w:r>
        <w:rPr>
          <w:sz w:val="38"/>
        </w:rPr>
        <w:t>counteracts</w:t>
      </w:r>
      <w:r>
        <w:rPr>
          <w:spacing w:val="-24"/>
          <w:sz w:val="38"/>
        </w:rPr>
        <w:t> </w:t>
      </w:r>
      <w:r>
        <w:rPr>
          <w:sz w:val="38"/>
        </w:rPr>
        <w:t>cell</w:t>
      </w:r>
      <w:r>
        <w:rPr>
          <w:spacing w:val="-25"/>
          <w:sz w:val="38"/>
        </w:rPr>
        <w:t> </w:t>
      </w:r>
      <w:r>
        <w:rPr>
          <w:sz w:val="38"/>
        </w:rPr>
        <w:t>damage</w:t>
      </w:r>
      <w:r>
        <w:rPr>
          <w:spacing w:val="-23"/>
          <w:sz w:val="38"/>
        </w:rPr>
        <w:t> </w:t>
      </w:r>
      <w:r>
        <w:rPr>
          <w:sz w:val="38"/>
        </w:rPr>
        <w:t>and damage to the genome (DNA), which often results in</w:t>
      </w:r>
      <w:r>
        <w:rPr>
          <w:spacing w:val="-5"/>
          <w:sz w:val="38"/>
        </w:rPr>
        <w:t> </w:t>
      </w:r>
      <w:r>
        <w:rPr>
          <w:sz w:val="38"/>
        </w:rPr>
        <w:t>tumours.</w:t>
      </w:r>
    </w:p>
    <w:p>
      <w:pPr>
        <w:pStyle w:val="ListParagraph"/>
        <w:numPr>
          <w:ilvl w:val="1"/>
          <w:numId w:val="71"/>
        </w:numPr>
        <w:tabs>
          <w:tab w:pos="1693" w:val="left" w:leader="none"/>
          <w:tab w:pos="1694" w:val="left" w:leader="none"/>
        </w:tabs>
        <w:spacing w:line="273" w:lineRule="auto" w:before="127" w:after="0"/>
        <w:ind w:left="1694" w:right="181" w:hanging="358"/>
        <w:jc w:val="left"/>
        <w:rPr>
          <w:sz w:val="38"/>
        </w:rPr>
      </w:pPr>
      <w:r>
        <w:rPr>
          <w:sz w:val="38"/>
        </w:rPr>
        <w:t>Melatonin supports the body in the defence of cancer-promoting sub- stances.</w:t>
      </w:r>
    </w:p>
    <w:p>
      <w:pPr>
        <w:pStyle w:val="ListParagraph"/>
        <w:numPr>
          <w:ilvl w:val="1"/>
          <w:numId w:val="71"/>
        </w:numPr>
        <w:tabs>
          <w:tab w:pos="1693" w:val="left" w:leader="none"/>
          <w:tab w:pos="1694" w:val="left" w:leader="none"/>
        </w:tabs>
        <w:spacing w:line="273" w:lineRule="auto" w:before="130" w:after="0"/>
        <w:ind w:left="1694" w:right="186" w:hanging="358"/>
        <w:jc w:val="left"/>
        <w:rPr>
          <w:sz w:val="38"/>
        </w:rPr>
      </w:pPr>
      <w:r>
        <w:rPr>
          <w:sz w:val="38"/>
        </w:rPr>
        <w:t>Melatonin regulates the release hormones which have a tumour-inhib- iting effect.</w:t>
      </w:r>
    </w:p>
    <w:p>
      <w:pPr>
        <w:pStyle w:val="Heading1"/>
        <w:spacing w:before="231"/>
        <w:ind w:left="616"/>
      </w:pPr>
      <w:r>
        <w:rPr/>
        <w:t>Action against cancer via the immune</w:t>
      </w:r>
      <w:r>
        <w:rPr>
          <w:spacing w:val="-70"/>
        </w:rPr>
        <w:t> </w:t>
      </w:r>
      <w:r>
        <w:rPr/>
        <w:t>system</w:t>
      </w:r>
    </w:p>
    <w:p>
      <w:pPr>
        <w:pStyle w:val="BodyText"/>
        <w:spacing w:line="276" w:lineRule="auto" w:before="297"/>
        <w:ind w:left="616" w:right="134"/>
        <w:jc w:val="both"/>
        <w:rPr>
          <w:sz w:val="25"/>
        </w:rPr>
      </w:pPr>
      <w:r>
        <w:rPr/>
        <w:t>In their numerous studies, the research team Dr. Walter Pierpaoli and Prof. Dr. William Regelson prove that melatonin builds up the immune system and renews T helper cells, which are essential for eradicating cancer. These helper cells are not only rejuvenated, but at the same time melatonin increases their efficiency and aggressiveness in the fight against cancer cells. The cancer cells are detected by the T cells and destroyed before they can multiply and form into a tumour.</w:t>
      </w:r>
      <w:r>
        <w:rPr>
          <w:position w:val="9"/>
          <w:sz w:val="25"/>
        </w:rPr>
        <w:t>534</w:t>
      </w:r>
    </w:p>
    <w:p>
      <w:pPr>
        <w:pStyle w:val="BodyText"/>
        <w:spacing w:line="276" w:lineRule="auto" w:before="241"/>
        <w:ind w:left="616" w:right="133"/>
        <w:jc w:val="both"/>
      </w:pPr>
      <w:r>
        <w:rPr/>
        <w:t>The increased production of interleukin-2 stimulates the cytotoxic, i.e. cancer cell-destroying</w:t>
      </w:r>
      <w:r>
        <w:rPr>
          <w:spacing w:val="-12"/>
        </w:rPr>
        <w:t> </w:t>
      </w:r>
      <w:r>
        <w:rPr/>
        <w:t>effect;</w:t>
      </w:r>
      <w:r>
        <w:rPr>
          <w:spacing w:val="-12"/>
        </w:rPr>
        <w:t> </w:t>
      </w:r>
      <w:r>
        <w:rPr/>
        <w:t>parallel</w:t>
      </w:r>
      <w:r>
        <w:rPr>
          <w:spacing w:val="-12"/>
        </w:rPr>
        <w:t> </w:t>
      </w:r>
      <w:r>
        <w:rPr/>
        <w:t>to</w:t>
      </w:r>
      <w:r>
        <w:rPr>
          <w:spacing w:val="-16"/>
        </w:rPr>
        <w:t> </w:t>
      </w:r>
      <w:r>
        <w:rPr/>
        <w:t>this,</w:t>
      </w:r>
      <w:r>
        <w:rPr>
          <w:spacing w:val="-12"/>
        </w:rPr>
        <w:t> </w:t>
      </w:r>
      <w:r>
        <w:rPr/>
        <w:t>cortisol</w:t>
      </w:r>
      <w:r>
        <w:rPr>
          <w:spacing w:val="-12"/>
        </w:rPr>
        <w:t> </w:t>
      </w:r>
      <w:r>
        <w:rPr/>
        <w:t>levels</w:t>
      </w:r>
      <w:r>
        <w:rPr>
          <w:spacing w:val="-11"/>
        </w:rPr>
        <w:t> </w:t>
      </w:r>
      <w:r>
        <w:rPr/>
        <w:t>are</w:t>
      </w:r>
      <w:r>
        <w:rPr>
          <w:spacing w:val="-15"/>
        </w:rPr>
        <w:t> </w:t>
      </w:r>
      <w:r>
        <w:rPr/>
        <w:t>lowered</w:t>
      </w:r>
      <w:r>
        <w:rPr>
          <w:spacing w:val="-11"/>
        </w:rPr>
        <w:t> </w:t>
      </w:r>
      <w:r>
        <w:rPr/>
        <w:t>as</w:t>
      </w:r>
      <w:r>
        <w:rPr>
          <w:spacing w:val="-12"/>
        </w:rPr>
        <w:t> </w:t>
      </w:r>
      <w:r>
        <w:rPr/>
        <w:t>an</w:t>
      </w:r>
      <w:r>
        <w:rPr>
          <w:spacing w:val="-14"/>
        </w:rPr>
        <w:t> </w:t>
      </w:r>
      <w:r>
        <w:rPr/>
        <w:t>immune- suppressive</w:t>
      </w:r>
      <w:r>
        <w:rPr>
          <w:spacing w:val="-2"/>
        </w:rPr>
        <w:t> </w:t>
      </w:r>
      <w:r>
        <w:rPr/>
        <w:t>substance.</w:t>
      </w:r>
    </w:p>
    <w:p>
      <w:pPr>
        <w:pStyle w:val="Heading1"/>
        <w:spacing w:line="264" w:lineRule="auto" w:before="221"/>
        <w:ind w:left="616" w:right="142"/>
        <w:jc w:val="both"/>
      </w:pPr>
      <w:r>
        <w:rPr/>
        <w:t>Effect</w:t>
      </w:r>
      <w:r>
        <w:rPr>
          <w:spacing w:val="-30"/>
        </w:rPr>
        <w:t> </w:t>
      </w:r>
      <w:r>
        <w:rPr/>
        <w:t>against</w:t>
      </w:r>
      <w:r>
        <w:rPr>
          <w:spacing w:val="-29"/>
        </w:rPr>
        <w:t> </w:t>
      </w:r>
      <w:r>
        <w:rPr/>
        <w:t>cancer</w:t>
      </w:r>
      <w:r>
        <w:rPr>
          <w:spacing w:val="-28"/>
        </w:rPr>
        <w:t> </w:t>
      </w:r>
      <w:r>
        <w:rPr/>
        <w:t>in</w:t>
      </w:r>
      <w:r>
        <w:rPr>
          <w:spacing w:val="-29"/>
        </w:rPr>
        <w:t> </w:t>
      </w:r>
      <w:r>
        <w:rPr/>
        <w:t>the</w:t>
      </w:r>
      <w:r>
        <w:rPr>
          <w:spacing w:val="-29"/>
        </w:rPr>
        <w:t> </w:t>
      </w:r>
      <w:r>
        <w:rPr/>
        <w:t>role</w:t>
      </w:r>
      <w:r>
        <w:rPr>
          <w:spacing w:val="-29"/>
        </w:rPr>
        <w:t> </w:t>
      </w:r>
      <w:r>
        <w:rPr/>
        <w:t>of</w:t>
      </w:r>
      <w:r>
        <w:rPr>
          <w:spacing w:val="-29"/>
        </w:rPr>
        <w:t> </w:t>
      </w:r>
      <w:r>
        <w:rPr/>
        <w:t>'hormone</w:t>
      </w:r>
      <w:r>
        <w:rPr>
          <w:spacing w:val="-29"/>
        </w:rPr>
        <w:t> </w:t>
      </w:r>
      <w:r>
        <w:rPr/>
        <w:t>regulator'</w:t>
      </w:r>
      <w:r>
        <w:rPr>
          <w:spacing w:val="-30"/>
        </w:rPr>
        <w:t> </w:t>
      </w:r>
      <w:r>
        <w:rPr/>
        <w:t>(especially</w:t>
      </w:r>
      <w:r>
        <w:rPr>
          <w:spacing w:val="-29"/>
        </w:rPr>
        <w:t> </w:t>
      </w:r>
      <w:r>
        <w:rPr/>
        <w:t>ef- fective</w:t>
      </w:r>
      <w:r>
        <w:rPr>
          <w:spacing w:val="-27"/>
        </w:rPr>
        <w:t> </w:t>
      </w:r>
      <w:r>
        <w:rPr/>
        <w:t>against</w:t>
      </w:r>
      <w:r>
        <w:rPr>
          <w:spacing w:val="-25"/>
        </w:rPr>
        <w:t> </w:t>
      </w:r>
      <w:r>
        <w:rPr/>
        <w:t>breast</w:t>
      </w:r>
      <w:r>
        <w:rPr>
          <w:spacing w:val="-27"/>
        </w:rPr>
        <w:t> </w:t>
      </w:r>
      <w:r>
        <w:rPr/>
        <w:t>cancer,</w:t>
      </w:r>
      <w:r>
        <w:rPr>
          <w:spacing w:val="-24"/>
        </w:rPr>
        <w:t> </w:t>
      </w:r>
      <w:r>
        <w:rPr/>
        <w:t>uterine</w:t>
      </w:r>
      <w:r>
        <w:rPr>
          <w:spacing w:val="-27"/>
        </w:rPr>
        <w:t> </w:t>
      </w:r>
      <w:r>
        <w:rPr/>
        <w:t>cancer,</w:t>
      </w:r>
      <w:r>
        <w:rPr>
          <w:spacing w:val="-24"/>
        </w:rPr>
        <w:t> </w:t>
      </w:r>
      <w:r>
        <w:rPr/>
        <w:t>prostate</w:t>
      </w:r>
      <w:r>
        <w:rPr>
          <w:spacing w:val="-27"/>
        </w:rPr>
        <w:t> </w:t>
      </w:r>
      <w:r>
        <w:rPr/>
        <w:t>cancer)</w:t>
      </w:r>
    </w:p>
    <w:p>
      <w:pPr>
        <w:pStyle w:val="BodyText"/>
        <w:rPr>
          <w:b/>
          <w:i/>
          <w:sz w:val="20"/>
        </w:rPr>
      </w:pPr>
    </w:p>
    <w:p>
      <w:pPr>
        <w:pStyle w:val="BodyText"/>
        <w:spacing w:before="5"/>
        <w:rPr>
          <w:b/>
          <w:i/>
          <w:sz w:val="22"/>
        </w:rPr>
      </w:pPr>
      <w:r>
        <w:rPr/>
        <w:pict>
          <v:line style="position:absolute;mso-position-horizontal-relative:page;mso-position-vertical-relative:paragraph;z-index:6824;mso-wrap-distance-left:0;mso-wrap-distance-right:0" from="70.823997pt,14.982455pt" to="214.843997pt,14.982455pt" stroked="true" strokeweight=".72003pt" strokecolor="#000000">
            <v:stroke dashstyle="solid"/>
            <w10:wrap type="topAndBottom"/>
          </v:line>
        </w:pict>
      </w:r>
    </w:p>
    <w:p>
      <w:pPr>
        <w:pStyle w:val="BodyText"/>
        <w:spacing w:before="7"/>
        <w:rPr>
          <w:b/>
          <w:i/>
          <w:sz w:val="18"/>
        </w:rPr>
      </w:pPr>
    </w:p>
    <w:p>
      <w:pPr>
        <w:spacing w:line="273" w:lineRule="auto" w:before="99"/>
        <w:ind w:left="616" w:right="465" w:firstLine="0"/>
        <w:jc w:val="left"/>
        <w:rPr>
          <w:sz w:val="20"/>
        </w:rPr>
      </w:pPr>
      <w:r>
        <w:rPr>
          <w:position w:val="5"/>
          <w:sz w:val="13"/>
        </w:rPr>
        <w:t>534 </w:t>
      </w:r>
      <w:r>
        <w:rPr>
          <w:sz w:val="20"/>
        </w:rPr>
        <w:t>Walter Pierpaoli und William Regelson, Melatonin – Schlüssel zu ewiger Jugend, Gesundheit und Fitness ('Key to Eternal Youth, Health and Fitness'), April 1996, p. 133</w:t>
      </w:r>
    </w:p>
    <w:p>
      <w:pPr>
        <w:spacing w:after="0" w:line="273" w:lineRule="auto"/>
        <w:jc w:val="left"/>
        <w:rPr>
          <w:sz w:val="20"/>
        </w:rPr>
        <w:sectPr>
          <w:footerReference w:type="default" r:id="rId227"/>
          <w:pgSz w:w="14270" w:h="16850"/>
          <w:pgMar w:footer="1891" w:header="0" w:top="1360" w:bottom="2080" w:left="800" w:right="1280"/>
          <w:pgNumType w:start="973"/>
        </w:sectPr>
      </w:pPr>
    </w:p>
    <w:p>
      <w:pPr>
        <w:pStyle w:val="BodyText"/>
        <w:spacing w:line="276" w:lineRule="auto" w:before="74"/>
        <w:ind w:left="616" w:right="133"/>
        <w:jc w:val="both"/>
      </w:pPr>
      <w:r>
        <w:rPr/>
        <w:t>Furthermore, there are a number of cancers which are triggered by hormonal effects, which is why they are also called 'hormone-dependent carcinomas'. These include prostate cancer in men, caused by the male hormone 'testos- terone', and breast cancer in women, caused by the female hormone 'oes- trogen'.</w:t>
      </w:r>
    </w:p>
    <w:p>
      <w:pPr>
        <w:pStyle w:val="BodyText"/>
        <w:spacing w:line="276" w:lineRule="auto" w:before="240"/>
        <w:ind w:left="616" w:right="136"/>
        <w:jc w:val="both"/>
      </w:pPr>
      <w:r>
        <w:rPr/>
        <w:t>If these hormones dock onto the receptors of the respective tissue, this can lead to uncontrolled growth and thus to carcinogenesis. In conventional med- icine, breast cancer is therefore counteracted with anti-oestrogens.</w:t>
      </w:r>
    </w:p>
    <w:p>
      <w:pPr>
        <w:pStyle w:val="BodyText"/>
        <w:spacing w:line="276" w:lineRule="auto" w:before="241"/>
        <w:ind w:left="616" w:right="131"/>
        <w:jc w:val="both"/>
      </w:pPr>
      <w:r>
        <w:rPr/>
        <w:t>The</w:t>
      </w:r>
      <w:r>
        <w:rPr>
          <w:spacing w:val="-10"/>
        </w:rPr>
        <w:t> </w:t>
      </w:r>
      <w:r>
        <w:rPr/>
        <w:t>researchers</w:t>
      </w:r>
      <w:r>
        <w:rPr>
          <w:spacing w:val="-13"/>
        </w:rPr>
        <w:t> </w:t>
      </w:r>
      <w:r>
        <w:rPr/>
        <w:t>Dr.</w:t>
      </w:r>
      <w:r>
        <w:rPr>
          <w:spacing w:val="-8"/>
        </w:rPr>
        <w:t> </w:t>
      </w:r>
      <w:r>
        <w:rPr/>
        <w:t>Walter</w:t>
      </w:r>
      <w:r>
        <w:rPr>
          <w:spacing w:val="-11"/>
        </w:rPr>
        <w:t> </w:t>
      </w:r>
      <w:r>
        <w:rPr/>
        <w:t>Pierpaoli,</w:t>
      </w:r>
      <w:r>
        <w:rPr>
          <w:spacing w:val="-10"/>
        </w:rPr>
        <w:t> </w:t>
      </w:r>
      <w:r>
        <w:rPr/>
        <w:t>Prof.</w:t>
      </w:r>
      <w:r>
        <w:rPr>
          <w:spacing w:val="-11"/>
        </w:rPr>
        <w:t> </w:t>
      </w:r>
      <w:r>
        <w:rPr/>
        <w:t>William</w:t>
      </w:r>
      <w:r>
        <w:rPr>
          <w:spacing w:val="-9"/>
        </w:rPr>
        <w:t> </w:t>
      </w:r>
      <w:r>
        <w:rPr/>
        <w:t>Regelson</w:t>
      </w:r>
      <w:r>
        <w:rPr>
          <w:spacing w:val="-12"/>
        </w:rPr>
        <w:t> </w:t>
      </w:r>
      <w:r>
        <w:rPr/>
        <w:t>and</w:t>
      </w:r>
      <w:r>
        <w:rPr>
          <w:spacing w:val="-11"/>
        </w:rPr>
        <w:t> </w:t>
      </w:r>
      <w:r>
        <w:rPr/>
        <w:t>many</w:t>
      </w:r>
      <w:r>
        <w:rPr>
          <w:spacing w:val="-9"/>
        </w:rPr>
        <w:t> </w:t>
      </w:r>
      <w:r>
        <w:rPr/>
        <w:t>others believe</w:t>
      </w:r>
      <w:r>
        <w:rPr>
          <w:spacing w:val="-18"/>
        </w:rPr>
        <w:t> </w:t>
      </w:r>
      <w:r>
        <w:rPr/>
        <w:t>that</w:t>
      </w:r>
      <w:r>
        <w:rPr>
          <w:spacing w:val="-17"/>
        </w:rPr>
        <w:t> </w:t>
      </w:r>
      <w:r>
        <w:rPr/>
        <w:t>hormone-dependent</w:t>
      </w:r>
      <w:r>
        <w:rPr>
          <w:spacing w:val="-17"/>
        </w:rPr>
        <w:t> </w:t>
      </w:r>
      <w:r>
        <w:rPr/>
        <w:t>cancers,</w:t>
      </w:r>
      <w:r>
        <w:rPr>
          <w:spacing w:val="-16"/>
        </w:rPr>
        <w:t> </w:t>
      </w:r>
      <w:r>
        <w:rPr/>
        <w:t>such</w:t>
      </w:r>
      <w:r>
        <w:rPr>
          <w:spacing w:val="-16"/>
        </w:rPr>
        <w:t> </w:t>
      </w:r>
      <w:r>
        <w:rPr/>
        <w:t>as</w:t>
      </w:r>
      <w:r>
        <w:rPr>
          <w:spacing w:val="-17"/>
        </w:rPr>
        <w:t> </w:t>
      </w:r>
      <w:r>
        <w:rPr/>
        <w:t>breast</w:t>
      </w:r>
      <w:r>
        <w:rPr>
          <w:spacing w:val="-16"/>
        </w:rPr>
        <w:t> </w:t>
      </w:r>
      <w:r>
        <w:rPr/>
        <w:t>or</w:t>
      </w:r>
      <w:r>
        <w:rPr>
          <w:spacing w:val="-18"/>
        </w:rPr>
        <w:t> </w:t>
      </w:r>
      <w:r>
        <w:rPr/>
        <w:t>prostate</w:t>
      </w:r>
      <w:r>
        <w:rPr>
          <w:spacing w:val="-18"/>
        </w:rPr>
        <w:t> </w:t>
      </w:r>
      <w:r>
        <w:rPr/>
        <w:t>cancer,</w:t>
      </w:r>
      <w:r>
        <w:rPr>
          <w:spacing w:val="-17"/>
        </w:rPr>
        <w:t> </w:t>
      </w:r>
      <w:r>
        <w:rPr/>
        <w:t>are the result of a pineal malfunction and melatonin can effectively counteract them as a regulator and can thereby effectively prevent breast cancer, prostate cancer and other hormone-dependent cancers, by, for example, blocking the oestrogen receptors in women, which promote cell division and thus poten- tially the development of breast</w:t>
      </w:r>
      <w:r>
        <w:rPr>
          <w:spacing w:val="-4"/>
        </w:rPr>
        <w:t> </w:t>
      </w:r>
      <w:r>
        <w:rPr/>
        <w:t>cancer.</w:t>
      </w:r>
    </w:p>
    <w:p>
      <w:pPr>
        <w:pStyle w:val="Heading1"/>
        <w:spacing w:before="221"/>
        <w:ind w:left="616"/>
        <w:jc w:val="both"/>
      </w:pPr>
      <w:r>
        <w:rPr/>
        <w:t>Effect on cancer as an antioxidant</w:t>
      </w:r>
    </w:p>
    <w:p>
      <w:pPr>
        <w:pStyle w:val="BodyText"/>
        <w:spacing w:line="276" w:lineRule="auto" w:before="300"/>
        <w:ind w:left="616" w:right="134"/>
        <w:jc w:val="both"/>
      </w:pPr>
      <w:r>
        <w:rPr/>
        <w:t>Free radicals attack our cells countless times each day, leading to cell change and</w:t>
      </w:r>
      <w:r>
        <w:rPr>
          <w:spacing w:val="-9"/>
        </w:rPr>
        <w:t> </w:t>
      </w:r>
      <w:r>
        <w:rPr/>
        <w:t>resulting</w:t>
      </w:r>
      <w:r>
        <w:rPr>
          <w:spacing w:val="-9"/>
        </w:rPr>
        <w:t> </w:t>
      </w:r>
      <w:r>
        <w:rPr/>
        <w:t>cancer.</w:t>
      </w:r>
      <w:r>
        <w:rPr>
          <w:spacing w:val="-11"/>
        </w:rPr>
        <w:t> </w:t>
      </w:r>
      <w:r>
        <w:rPr/>
        <w:t>50</w:t>
      </w:r>
      <w:r>
        <w:rPr>
          <w:spacing w:val="-9"/>
        </w:rPr>
        <w:t> </w:t>
      </w:r>
      <w:r>
        <w:rPr/>
        <w:t>times</w:t>
      </w:r>
      <w:r>
        <w:rPr>
          <w:spacing w:val="-11"/>
        </w:rPr>
        <w:t> </w:t>
      </w:r>
      <w:r>
        <w:rPr/>
        <w:t>stronger</w:t>
      </w:r>
      <w:r>
        <w:rPr>
          <w:spacing w:val="-10"/>
        </w:rPr>
        <w:t> </w:t>
      </w:r>
      <w:r>
        <w:rPr/>
        <w:t>than</w:t>
      </w:r>
      <w:r>
        <w:rPr>
          <w:spacing w:val="-11"/>
        </w:rPr>
        <w:t> </w:t>
      </w:r>
      <w:r>
        <w:rPr/>
        <w:t>vitamin</w:t>
      </w:r>
      <w:r>
        <w:rPr>
          <w:spacing w:val="-9"/>
        </w:rPr>
        <w:t> </w:t>
      </w:r>
      <w:r>
        <w:rPr/>
        <w:t>C,</w:t>
      </w:r>
      <w:r>
        <w:rPr>
          <w:spacing w:val="-9"/>
        </w:rPr>
        <w:t> </w:t>
      </w:r>
      <w:r>
        <w:rPr/>
        <w:t>melatonin</w:t>
      </w:r>
      <w:r>
        <w:rPr>
          <w:spacing w:val="-9"/>
        </w:rPr>
        <w:t> </w:t>
      </w:r>
      <w:r>
        <w:rPr/>
        <w:t>is</w:t>
      </w:r>
      <w:r>
        <w:rPr>
          <w:spacing w:val="-12"/>
        </w:rPr>
        <w:t> </w:t>
      </w:r>
      <w:r>
        <w:rPr/>
        <w:t>one</w:t>
      </w:r>
      <w:r>
        <w:rPr>
          <w:spacing w:val="-11"/>
        </w:rPr>
        <w:t> </w:t>
      </w:r>
      <w:r>
        <w:rPr/>
        <w:t>of</w:t>
      </w:r>
      <w:r>
        <w:rPr>
          <w:spacing w:val="-11"/>
        </w:rPr>
        <w:t> </w:t>
      </w:r>
      <w:r>
        <w:rPr/>
        <w:t>the most</w:t>
      </w:r>
      <w:r>
        <w:rPr>
          <w:spacing w:val="-8"/>
        </w:rPr>
        <w:t> </w:t>
      </w:r>
      <w:r>
        <w:rPr/>
        <w:t>efficient</w:t>
      </w:r>
      <w:r>
        <w:rPr>
          <w:spacing w:val="-7"/>
        </w:rPr>
        <w:t> </w:t>
      </w:r>
      <w:r>
        <w:rPr/>
        <w:t>antioxidants</w:t>
      </w:r>
      <w:r>
        <w:rPr>
          <w:spacing w:val="-8"/>
        </w:rPr>
        <w:t> </w:t>
      </w:r>
      <w:r>
        <w:rPr/>
        <w:t>(radical</w:t>
      </w:r>
      <w:r>
        <w:rPr>
          <w:spacing w:val="-8"/>
        </w:rPr>
        <w:t> </w:t>
      </w:r>
      <w:r>
        <w:rPr/>
        <w:t>scavengers).</w:t>
      </w:r>
      <w:r>
        <w:rPr>
          <w:spacing w:val="-10"/>
        </w:rPr>
        <w:t> </w:t>
      </w:r>
      <w:r>
        <w:rPr/>
        <w:t>It</w:t>
      </w:r>
      <w:r>
        <w:rPr>
          <w:spacing w:val="-8"/>
        </w:rPr>
        <w:t> </w:t>
      </w:r>
      <w:r>
        <w:rPr/>
        <w:t>protects</w:t>
      </w:r>
      <w:r>
        <w:rPr>
          <w:spacing w:val="-7"/>
        </w:rPr>
        <w:t> </w:t>
      </w:r>
      <w:r>
        <w:rPr/>
        <w:t>our</w:t>
      </w:r>
      <w:r>
        <w:rPr>
          <w:spacing w:val="-8"/>
        </w:rPr>
        <w:t> </w:t>
      </w:r>
      <w:r>
        <w:rPr/>
        <w:t>cells</w:t>
      </w:r>
      <w:r>
        <w:rPr>
          <w:spacing w:val="-8"/>
        </w:rPr>
        <w:t> </w:t>
      </w:r>
      <w:r>
        <w:rPr/>
        <w:t>and</w:t>
      </w:r>
      <w:r>
        <w:rPr>
          <w:spacing w:val="-8"/>
        </w:rPr>
        <w:t> </w:t>
      </w:r>
      <w:r>
        <w:rPr/>
        <w:t>coun- teracts carcinogenesis and other</w:t>
      </w:r>
      <w:r>
        <w:rPr>
          <w:spacing w:val="-2"/>
        </w:rPr>
        <w:t> </w:t>
      </w:r>
      <w:r>
        <w:rPr/>
        <w:t>diseases.</w:t>
      </w:r>
    </w:p>
    <w:p>
      <w:pPr>
        <w:pStyle w:val="Heading1"/>
        <w:spacing w:line="261" w:lineRule="auto"/>
        <w:ind w:left="616" w:right="135"/>
        <w:jc w:val="both"/>
      </w:pPr>
      <w:r>
        <w:rPr/>
        <w:t>Melatonin</w:t>
      </w:r>
      <w:r>
        <w:rPr>
          <w:spacing w:val="-70"/>
        </w:rPr>
        <w:t> </w:t>
      </w:r>
      <w:r>
        <w:rPr/>
        <w:t>enhances</w:t>
      </w:r>
      <w:r>
        <w:rPr>
          <w:spacing w:val="-70"/>
        </w:rPr>
        <w:t> </w:t>
      </w:r>
      <w:r>
        <w:rPr/>
        <w:t>the</w:t>
      </w:r>
      <w:r>
        <w:rPr>
          <w:spacing w:val="-69"/>
        </w:rPr>
        <w:t> </w:t>
      </w:r>
      <w:r>
        <w:rPr/>
        <w:t>effects</w:t>
      </w:r>
      <w:r>
        <w:rPr>
          <w:spacing w:val="-70"/>
        </w:rPr>
        <w:t> </w:t>
      </w:r>
      <w:r>
        <w:rPr/>
        <w:t>of</w:t>
      </w:r>
      <w:r>
        <w:rPr>
          <w:spacing w:val="-70"/>
        </w:rPr>
        <w:t> </w:t>
      </w:r>
      <w:r>
        <w:rPr/>
        <w:t>chemotherapy</w:t>
      </w:r>
      <w:r>
        <w:rPr>
          <w:spacing w:val="-70"/>
        </w:rPr>
        <w:t> </w:t>
      </w:r>
      <w:r>
        <w:rPr/>
        <w:t>and</w:t>
      </w:r>
      <w:r>
        <w:rPr>
          <w:spacing w:val="-69"/>
        </w:rPr>
        <w:t> </w:t>
      </w:r>
      <w:r>
        <w:rPr/>
        <w:t>relieves</w:t>
      </w:r>
      <w:r>
        <w:rPr>
          <w:spacing w:val="-70"/>
        </w:rPr>
        <w:t> </w:t>
      </w:r>
      <w:r>
        <w:rPr/>
        <w:t>its</w:t>
      </w:r>
      <w:r>
        <w:rPr>
          <w:spacing w:val="-69"/>
        </w:rPr>
        <w:t> </w:t>
      </w:r>
      <w:r>
        <w:rPr/>
        <w:t>side</w:t>
      </w:r>
      <w:r>
        <w:rPr>
          <w:spacing w:val="-70"/>
        </w:rPr>
        <w:t> </w:t>
      </w:r>
      <w:r>
        <w:rPr/>
        <w:t>ef- fects</w:t>
      </w:r>
    </w:p>
    <w:p>
      <w:pPr>
        <w:spacing w:after="0" w:line="261" w:lineRule="auto"/>
        <w:jc w:val="both"/>
        <w:sectPr>
          <w:pgSz w:w="14270" w:h="16850"/>
          <w:pgMar w:header="0" w:footer="1891" w:top="1340" w:bottom="2080" w:left="800" w:right="1280"/>
        </w:sectPr>
      </w:pPr>
    </w:p>
    <w:p>
      <w:pPr>
        <w:pStyle w:val="BodyText"/>
        <w:spacing w:line="276" w:lineRule="auto" w:before="74"/>
        <w:ind w:left="616" w:right="130"/>
        <w:jc w:val="both"/>
      </w:pPr>
      <w:r>
        <w:rPr/>
        <w:t>In chemotherapeutic cancer treatment, melatonin has been shown to enhance the desired anti-cancer effects of certain drugs while reducing the spectrum</w:t>
      </w:r>
      <w:r>
        <w:rPr>
          <w:spacing w:val="-43"/>
        </w:rPr>
        <w:t> </w:t>
      </w:r>
      <w:r>
        <w:rPr/>
        <w:t>of side effects.</w:t>
      </w:r>
    </w:p>
    <w:p>
      <w:pPr>
        <w:pStyle w:val="Heading1"/>
        <w:spacing w:before="222"/>
        <w:ind w:left="616"/>
      </w:pPr>
      <w:r>
        <w:rPr/>
        <w:t>Effect of melatonin on depression</w:t>
      </w:r>
    </w:p>
    <w:p>
      <w:pPr>
        <w:pStyle w:val="BodyText"/>
        <w:spacing w:line="276" w:lineRule="auto" w:before="299"/>
        <w:ind w:left="616" w:right="131"/>
        <w:jc w:val="both"/>
      </w:pPr>
      <w:r>
        <w:rPr/>
        <w:t>Many</w:t>
      </w:r>
      <w:r>
        <w:rPr>
          <w:spacing w:val="-14"/>
        </w:rPr>
        <w:t> </w:t>
      </w:r>
      <w:r>
        <w:rPr/>
        <w:t>people</w:t>
      </w:r>
      <w:r>
        <w:rPr>
          <w:spacing w:val="-15"/>
        </w:rPr>
        <w:t> </w:t>
      </w:r>
      <w:r>
        <w:rPr/>
        <w:t>suffer</w:t>
      </w:r>
      <w:r>
        <w:rPr>
          <w:spacing w:val="-13"/>
        </w:rPr>
        <w:t> </w:t>
      </w:r>
      <w:r>
        <w:rPr/>
        <w:t>from</w:t>
      </w:r>
      <w:r>
        <w:rPr>
          <w:spacing w:val="-14"/>
        </w:rPr>
        <w:t> </w:t>
      </w:r>
      <w:r>
        <w:rPr/>
        <w:t>depression,</w:t>
      </w:r>
      <w:r>
        <w:rPr>
          <w:spacing w:val="-12"/>
        </w:rPr>
        <w:t> </w:t>
      </w:r>
      <w:r>
        <w:rPr/>
        <w:t>especially</w:t>
      </w:r>
      <w:r>
        <w:rPr>
          <w:spacing w:val="-15"/>
        </w:rPr>
        <w:t> </w:t>
      </w:r>
      <w:r>
        <w:rPr/>
        <w:t>in</w:t>
      </w:r>
      <w:r>
        <w:rPr>
          <w:spacing w:val="-14"/>
        </w:rPr>
        <w:t> </w:t>
      </w:r>
      <w:r>
        <w:rPr/>
        <w:t>the</w:t>
      </w:r>
      <w:r>
        <w:rPr>
          <w:spacing w:val="-13"/>
        </w:rPr>
        <w:t> </w:t>
      </w:r>
      <w:r>
        <w:rPr/>
        <w:t>dark</w:t>
      </w:r>
      <w:r>
        <w:rPr>
          <w:spacing w:val="-14"/>
        </w:rPr>
        <w:t> </w:t>
      </w:r>
      <w:r>
        <w:rPr/>
        <w:t>winter</w:t>
      </w:r>
      <w:r>
        <w:rPr>
          <w:spacing w:val="-12"/>
        </w:rPr>
        <w:t> </w:t>
      </w:r>
      <w:r>
        <w:rPr/>
        <w:t>months.</w:t>
      </w:r>
      <w:r>
        <w:rPr>
          <w:spacing w:val="-13"/>
        </w:rPr>
        <w:t> </w:t>
      </w:r>
      <w:r>
        <w:rPr/>
        <w:t>Ac- cording to critics, melatonin, an antagonist of serotonin, can make depression worse.</w:t>
      </w:r>
      <w:r>
        <w:rPr>
          <w:spacing w:val="-7"/>
        </w:rPr>
        <w:t> </w:t>
      </w:r>
      <w:r>
        <w:rPr/>
        <w:t>Advocates,</w:t>
      </w:r>
      <w:r>
        <w:rPr>
          <w:spacing w:val="-6"/>
        </w:rPr>
        <w:t> </w:t>
      </w:r>
      <w:r>
        <w:rPr/>
        <w:t>in</w:t>
      </w:r>
      <w:r>
        <w:rPr>
          <w:spacing w:val="-9"/>
        </w:rPr>
        <w:t> </w:t>
      </w:r>
      <w:r>
        <w:rPr/>
        <w:t>turn,</w:t>
      </w:r>
      <w:r>
        <w:rPr>
          <w:spacing w:val="-8"/>
        </w:rPr>
        <w:t> </w:t>
      </w:r>
      <w:r>
        <w:rPr/>
        <w:t>point</w:t>
      </w:r>
      <w:r>
        <w:rPr>
          <w:spacing w:val="-9"/>
        </w:rPr>
        <w:t> </w:t>
      </w:r>
      <w:r>
        <w:rPr/>
        <w:t>out</w:t>
      </w:r>
      <w:r>
        <w:rPr>
          <w:spacing w:val="-8"/>
        </w:rPr>
        <w:t> </w:t>
      </w:r>
      <w:r>
        <w:rPr/>
        <w:t>the</w:t>
      </w:r>
      <w:r>
        <w:rPr>
          <w:spacing w:val="-6"/>
        </w:rPr>
        <w:t> </w:t>
      </w:r>
      <w:r>
        <w:rPr/>
        <w:t>ability</w:t>
      </w:r>
      <w:r>
        <w:rPr>
          <w:spacing w:val="-8"/>
        </w:rPr>
        <w:t> </w:t>
      </w:r>
      <w:r>
        <w:rPr/>
        <w:t>of</w:t>
      </w:r>
      <w:r>
        <w:rPr>
          <w:spacing w:val="-9"/>
        </w:rPr>
        <w:t> </w:t>
      </w:r>
      <w:r>
        <w:rPr/>
        <w:t>melatonin</w:t>
      </w:r>
      <w:r>
        <w:rPr>
          <w:spacing w:val="-7"/>
        </w:rPr>
        <w:t> </w:t>
      </w:r>
      <w:r>
        <w:rPr/>
        <w:t>to</w:t>
      </w:r>
      <w:r>
        <w:rPr>
          <w:spacing w:val="-10"/>
        </w:rPr>
        <w:t> </w:t>
      </w:r>
      <w:r>
        <w:rPr/>
        <w:t>suppress</w:t>
      </w:r>
      <w:r>
        <w:rPr>
          <w:spacing w:val="-8"/>
        </w:rPr>
        <w:t> </w:t>
      </w:r>
      <w:r>
        <w:rPr/>
        <w:t>stress and</w:t>
      </w:r>
      <w:r>
        <w:rPr>
          <w:spacing w:val="-10"/>
        </w:rPr>
        <w:t> </w:t>
      </w:r>
      <w:r>
        <w:rPr/>
        <w:t>mention</w:t>
      </w:r>
      <w:r>
        <w:rPr>
          <w:spacing w:val="-9"/>
        </w:rPr>
        <w:t> </w:t>
      </w:r>
      <w:r>
        <w:rPr/>
        <w:t>its</w:t>
      </w:r>
      <w:r>
        <w:rPr>
          <w:spacing w:val="-13"/>
        </w:rPr>
        <w:t> </w:t>
      </w:r>
      <w:r>
        <w:rPr/>
        <w:t>regulatory</w:t>
      </w:r>
      <w:r>
        <w:rPr>
          <w:spacing w:val="-9"/>
        </w:rPr>
        <w:t> </w:t>
      </w:r>
      <w:r>
        <w:rPr/>
        <w:t>mechanisms</w:t>
      </w:r>
      <w:r>
        <w:rPr>
          <w:spacing w:val="-9"/>
        </w:rPr>
        <w:t> </w:t>
      </w:r>
      <w:r>
        <w:rPr/>
        <w:t>to</w:t>
      </w:r>
      <w:r>
        <w:rPr>
          <w:spacing w:val="-10"/>
        </w:rPr>
        <w:t> </w:t>
      </w:r>
      <w:r>
        <w:rPr/>
        <w:t>optimise</w:t>
      </w:r>
      <w:r>
        <w:rPr>
          <w:spacing w:val="-9"/>
        </w:rPr>
        <w:t> </w:t>
      </w:r>
      <w:r>
        <w:rPr/>
        <w:t>somatic</w:t>
      </w:r>
      <w:r>
        <w:rPr>
          <w:spacing w:val="-10"/>
        </w:rPr>
        <w:t> </w:t>
      </w:r>
      <w:r>
        <w:rPr/>
        <w:t>and</w:t>
      </w:r>
      <w:r>
        <w:rPr>
          <w:spacing w:val="-12"/>
        </w:rPr>
        <w:t> </w:t>
      </w:r>
      <w:r>
        <w:rPr/>
        <w:t>mental</w:t>
      </w:r>
      <w:r>
        <w:rPr>
          <w:spacing w:val="-11"/>
        </w:rPr>
        <w:t> </w:t>
      </w:r>
      <w:r>
        <w:rPr/>
        <w:t>regen- eration processes.</w:t>
      </w:r>
      <w:r>
        <w:rPr>
          <w:position w:val="9"/>
          <w:sz w:val="25"/>
        </w:rPr>
        <w:t>535 </w:t>
      </w:r>
      <w:r>
        <w:rPr/>
        <w:t>So, given the right dose and at the right time of day, mel- atonin could be very helpful for depression. However, patients suffering from depression and receiving medical attention should first discuss this with their physician.</w:t>
      </w:r>
    </w:p>
    <w:p>
      <w:pPr>
        <w:pStyle w:val="Heading1"/>
        <w:ind w:left="616"/>
      </w:pPr>
      <w:r>
        <w:rPr/>
        <w:t>Effect of melatonin on postpartum</w:t>
      </w:r>
      <w:r>
        <w:rPr>
          <w:spacing w:val="-69"/>
        </w:rPr>
        <w:t> </w:t>
      </w:r>
      <w:r>
        <w:rPr/>
        <w:t>depression</w:t>
      </w:r>
    </w:p>
    <w:p>
      <w:pPr>
        <w:pStyle w:val="BodyText"/>
        <w:spacing w:line="276" w:lineRule="auto" w:before="300"/>
        <w:ind w:left="616" w:right="137"/>
        <w:jc w:val="both"/>
      </w:pPr>
      <w:r>
        <w:rPr/>
        <w:t>During pregnancy, the melatonin level rises (a reason why pregnant women need a lot of sleep), and then quickly falls after birth. This interruption in the melatonin rhythm can lead to sleep disorders and postpartum depression.</w:t>
      </w:r>
    </w:p>
    <w:p>
      <w:pPr>
        <w:pStyle w:val="Heading1"/>
        <w:spacing w:before="221"/>
        <w:ind w:left="616"/>
      </w:pPr>
      <w:r>
        <w:rPr/>
        <w:t>Effect of melatonin against chronic overwork and stress</w:t>
      </w:r>
    </w:p>
    <w:p>
      <w:pPr>
        <w:pStyle w:val="BodyText"/>
        <w:spacing w:line="276" w:lineRule="auto" w:before="299"/>
        <w:ind w:left="616" w:right="135"/>
        <w:jc w:val="both"/>
      </w:pPr>
      <w:r>
        <w:rPr/>
        <w:t>Melatonin has proven to be a true anti-stress hormone. It achieves it by</w:t>
      </w:r>
      <w:r>
        <w:rPr>
          <w:spacing w:val="-68"/>
        </w:rPr>
        <w:t> </w:t>
      </w:r>
      <w:r>
        <w:rPr/>
        <w:t>inhib- iting the stress hormone 'cortisol' as well as corticosteroids on the one hand</w:t>
      </w:r>
    </w:p>
    <w:p>
      <w:pPr>
        <w:pStyle w:val="BodyText"/>
        <w:spacing w:before="5"/>
        <w:rPr>
          <w:sz w:val="27"/>
        </w:rPr>
      </w:pPr>
      <w:r>
        <w:rPr/>
        <w:pict>
          <v:line style="position:absolute;mso-position-horizontal-relative:page;mso-position-vertical-relative:paragraph;z-index:6848;mso-wrap-distance-left:0;mso-wrap-distance-right:0" from="70.823997pt,17.789986pt" to="214.843997pt,17.789986pt" stroked="true" strokeweight=".72003pt" strokecolor="#000000">
            <v:stroke dashstyle="solid"/>
            <w10:wrap type="topAndBottom"/>
          </v:line>
        </w:pict>
      </w:r>
    </w:p>
    <w:p>
      <w:pPr>
        <w:pStyle w:val="BodyText"/>
        <w:spacing w:before="7"/>
        <w:rPr>
          <w:sz w:val="18"/>
        </w:rPr>
      </w:pPr>
    </w:p>
    <w:p>
      <w:pPr>
        <w:spacing w:line="273" w:lineRule="auto" w:before="99"/>
        <w:ind w:left="616" w:right="156" w:firstLine="0"/>
        <w:jc w:val="left"/>
        <w:rPr>
          <w:sz w:val="20"/>
        </w:rPr>
      </w:pPr>
      <w:r>
        <w:rPr>
          <w:position w:val="5"/>
          <w:sz w:val="13"/>
        </w:rPr>
        <w:t>535 </w:t>
      </w:r>
      <w:r>
        <w:rPr>
          <w:sz w:val="20"/>
        </w:rPr>
        <w:t>Beat René Roggen: Melatonin – ein Schlüsselhormon für gute Gesundheit, erholsamen Schlaf und langes Leben ('Melatonin – A Key Hormone for Good Health, Restful Sleep and Long Life'), 2007, p. 71</w:t>
      </w:r>
    </w:p>
    <w:p>
      <w:pPr>
        <w:spacing w:after="0" w:line="273" w:lineRule="auto"/>
        <w:jc w:val="left"/>
        <w:rPr>
          <w:sz w:val="20"/>
        </w:rPr>
        <w:sectPr>
          <w:pgSz w:w="14270" w:h="16850"/>
          <w:pgMar w:header="0" w:footer="1891" w:top="1340" w:bottom="2080" w:left="800" w:right="1280"/>
        </w:sectPr>
      </w:pPr>
    </w:p>
    <w:p>
      <w:pPr>
        <w:pStyle w:val="BodyText"/>
        <w:spacing w:line="276" w:lineRule="auto" w:before="72"/>
        <w:ind w:left="616" w:right="132"/>
        <w:jc w:val="both"/>
      </w:pPr>
      <w:r>
        <w:rPr/>
        <w:t>and mobilising psycho-regenerative forces in rest periods on the other. In ad- dition, melatonin lowers the heart rate and blood pressure, thus ensuring the efficient operation of our cardiovascular system, which promotes longevity of the heart.</w:t>
      </w:r>
    </w:p>
    <w:p>
      <w:pPr>
        <w:pStyle w:val="Heading1"/>
        <w:ind w:left="616"/>
      </w:pPr>
      <w:r>
        <w:rPr/>
        <w:t>Possible effect of melatonin on multiple sclerosis</w:t>
      </w:r>
    </w:p>
    <w:p>
      <w:pPr>
        <w:pStyle w:val="BodyText"/>
        <w:spacing w:line="276" w:lineRule="auto" w:before="299"/>
        <w:ind w:left="616" w:right="133"/>
        <w:jc w:val="both"/>
      </w:pPr>
      <w:r>
        <w:rPr/>
        <w:t>Interestingly, the MS symptoms of many women improve as soon as they be- come pregnant and become worse again after giving birth. This happens anal- ogously</w:t>
      </w:r>
      <w:r>
        <w:rPr>
          <w:spacing w:val="-25"/>
        </w:rPr>
        <w:t> </w:t>
      </w:r>
      <w:r>
        <w:rPr/>
        <w:t>to</w:t>
      </w:r>
      <w:r>
        <w:rPr>
          <w:spacing w:val="-24"/>
        </w:rPr>
        <w:t> </w:t>
      </w:r>
      <w:r>
        <w:rPr/>
        <w:t>melatonin</w:t>
      </w:r>
      <w:r>
        <w:rPr>
          <w:spacing w:val="-23"/>
        </w:rPr>
        <w:t> </w:t>
      </w:r>
      <w:r>
        <w:rPr/>
        <w:t>production</w:t>
      </w:r>
      <w:r>
        <w:rPr>
          <w:spacing w:val="-26"/>
        </w:rPr>
        <w:t> </w:t>
      </w:r>
      <w:r>
        <w:rPr/>
        <w:t>in</w:t>
      </w:r>
      <w:r>
        <w:rPr>
          <w:spacing w:val="-24"/>
        </w:rPr>
        <w:t> </w:t>
      </w:r>
      <w:r>
        <w:rPr/>
        <w:t>the</w:t>
      </w:r>
      <w:r>
        <w:rPr>
          <w:spacing w:val="-23"/>
        </w:rPr>
        <w:t> </w:t>
      </w:r>
      <w:r>
        <w:rPr/>
        <w:t>pregnant</w:t>
      </w:r>
      <w:r>
        <w:rPr>
          <w:spacing w:val="-27"/>
        </w:rPr>
        <w:t> </w:t>
      </w:r>
      <w:r>
        <w:rPr/>
        <w:t>woman's</w:t>
      </w:r>
      <w:r>
        <w:rPr>
          <w:spacing w:val="-24"/>
        </w:rPr>
        <w:t> </w:t>
      </w:r>
      <w:r>
        <w:rPr/>
        <w:t>body</w:t>
      </w:r>
      <w:r>
        <w:rPr>
          <w:spacing w:val="-24"/>
        </w:rPr>
        <w:t> </w:t>
      </w:r>
      <w:r>
        <w:rPr/>
        <w:t>or</w:t>
      </w:r>
      <w:r>
        <w:rPr>
          <w:spacing w:val="-24"/>
        </w:rPr>
        <w:t> </w:t>
      </w:r>
      <w:r>
        <w:rPr/>
        <w:t>shortly</w:t>
      </w:r>
      <w:r>
        <w:rPr>
          <w:spacing w:val="-25"/>
        </w:rPr>
        <w:t> </w:t>
      </w:r>
      <w:r>
        <w:rPr/>
        <w:t>after delivery.</w:t>
      </w:r>
      <w:r>
        <w:rPr>
          <w:spacing w:val="-24"/>
        </w:rPr>
        <w:t> </w:t>
      </w:r>
      <w:r>
        <w:rPr/>
        <w:t>Studies</w:t>
      </w:r>
      <w:r>
        <w:rPr>
          <w:spacing w:val="-24"/>
        </w:rPr>
        <w:t> </w:t>
      </w:r>
      <w:r>
        <w:rPr/>
        <w:t>have</w:t>
      </w:r>
      <w:r>
        <w:rPr>
          <w:spacing w:val="-25"/>
        </w:rPr>
        <w:t> </w:t>
      </w:r>
      <w:r>
        <w:rPr/>
        <w:t>shown</w:t>
      </w:r>
      <w:r>
        <w:rPr>
          <w:spacing w:val="-23"/>
        </w:rPr>
        <w:t> </w:t>
      </w:r>
      <w:r>
        <w:rPr/>
        <w:t>that</w:t>
      </w:r>
      <w:r>
        <w:rPr>
          <w:spacing w:val="-27"/>
        </w:rPr>
        <w:t> </w:t>
      </w:r>
      <w:r>
        <w:rPr/>
        <w:t>many</w:t>
      </w:r>
      <w:r>
        <w:rPr>
          <w:spacing w:val="-23"/>
        </w:rPr>
        <w:t> </w:t>
      </w:r>
      <w:r>
        <w:rPr/>
        <w:t>MS</w:t>
      </w:r>
      <w:r>
        <w:rPr>
          <w:spacing w:val="-24"/>
        </w:rPr>
        <w:t> </w:t>
      </w:r>
      <w:r>
        <w:rPr/>
        <w:t>patients</w:t>
      </w:r>
      <w:r>
        <w:rPr>
          <w:spacing w:val="-23"/>
        </w:rPr>
        <w:t> </w:t>
      </w:r>
      <w:r>
        <w:rPr/>
        <w:t>have</w:t>
      </w:r>
      <w:r>
        <w:rPr>
          <w:spacing w:val="-24"/>
        </w:rPr>
        <w:t> </w:t>
      </w:r>
      <w:r>
        <w:rPr/>
        <w:t>a</w:t>
      </w:r>
      <w:r>
        <w:rPr>
          <w:spacing w:val="-19"/>
        </w:rPr>
        <w:t> </w:t>
      </w:r>
      <w:r>
        <w:rPr/>
        <w:t>low</w:t>
      </w:r>
      <w:r>
        <w:rPr>
          <w:spacing w:val="-26"/>
        </w:rPr>
        <w:t> </w:t>
      </w:r>
      <w:r>
        <w:rPr/>
        <w:t>melatonin</w:t>
      </w:r>
      <w:r>
        <w:rPr>
          <w:spacing w:val="-23"/>
        </w:rPr>
        <w:t> </w:t>
      </w:r>
      <w:r>
        <w:rPr/>
        <w:t>level; melatonin treatment may provide relief for those suffering from MS. Similar to migraine sufferers, however, there are also conflicting studies that suggest that MS patients were better after magnetic field</w:t>
      </w:r>
      <w:r>
        <w:rPr>
          <w:spacing w:val="-1"/>
        </w:rPr>
        <w:t> </w:t>
      </w:r>
      <w:r>
        <w:rPr/>
        <w:t>treatment.</w:t>
      </w:r>
    </w:p>
    <w:p>
      <w:pPr>
        <w:pStyle w:val="Heading1"/>
        <w:ind w:left="616"/>
      </w:pPr>
      <w:r>
        <w:rPr/>
        <w:t>Effect against impotence and weak</w:t>
      </w:r>
      <w:r>
        <w:rPr>
          <w:spacing w:val="-54"/>
        </w:rPr>
        <w:t> </w:t>
      </w:r>
      <w:r>
        <w:rPr/>
        <w:t>libido</w:t>
      </w:r>
    </w:p>
    <w:p>
      <w:pPr>
        <w:pStyle w:val="BodyText"/>
        <w:spacing w:line="276" w:lineRule="auto" w:before="300"/>
        <w:ind w:left="616" w:right="138"/>
        <w:jc w:val="both"/>
      </w:pPr>
      <w:r>
        <w:rPr/>
        <w:t>Even</w:t>
      </w:r>
      <w:r>
        <w:rPr>
          <w:spacing w:val="-6"/>
        </w:rPr>
        <w:t> </w:t>
      </w:r>
      <w:r>
        <w:rPr/>
        <w:t>in</w:t>
      </w:r>
      <w:r>
        <w:rPr>
          <w:spacing w:val="-6"/>
        </w:rPr>
        <w:t> </w:t>
      </w:r>
      <w:r>
        <w:rPr/>
        <w:t>the</w:t>
      </w:r>
      <w:r>
        <w:rPr>
          <w:spacing w:val="-7"/>
        </w:rPr>
        <w:t> </w:t>
      </w:r>
      <w:r>
        <w:rPr/>
        <w:t>case</w:t>
      </w:r>
      <w:r>
        <w:rPr>
          <w:spacing w:val="-7"/>
        </w:rPr>
        <w:t> </w:t>
      </w:r>
      <w:r>
        <w:rPr/>
        <w:t>of</w:t>
      </w:r>
      <w:r>
        <w:rPr>
          <w:spacing w:val="-6"/>
        </w:rPr>
        <w:t> </w:t>
      </w:r>
      <w:r>
        <w:rPr/>
        <w:t>impotence</w:t>
      </w:r>
      <w:r>
        <w:rPr>
          <w:spacing w:val="-8"/>
        </w:rPr>
        <w:t> </w:t>
      </w:r>
      <w:r>
        <w:rPr/>
        <w:t>or</w:t>
      </w:r>
      <w:r>
        <w:rPr>
          <w:spacing w:val="-7"/>
        </w:rPr>
        <w:t> </w:t>
      </w:r>
      <w:r>
        <w:rPr/>
        <w:t>low</w:t>
      </w:r>
      <w:r>
        <w:rPr>
          <w:spacing w:val="-6"/>
        </w:rPr>
        <w:t> </w:t>
      </w:r>
      <w:r>
        <w:rPr/>
        <w:t>libido,</w:t>
      </w:r>
      <w:r>
        <w:rPr>
          <w:spacing w:val="-5"/>
        </w:rPr>
        <w:t> </w:t>
      </w:r>
      <w:r>
        <w:rPr/>
        <w:t>melatonin</w:t>
      </w:r>
      <w:r>
        <w:rPr>
          <w:spacing w:val="-6"/>
        </w:rPr>
        <w:t> </w:t>
      </w:r>
      <w:r>
        <w:rPr/>
        <w:t>appears</w:t>
      </w:r>
      <w:r>
        <w:rPr>
          <w:spacing w:val="-6"/>
        </w:rPr>
        <w:t> </w:t>
      </w:r>
      <w:r>
        <w:rPr/>
        <w:t>to</w:t>
      </w:r>
      <w:r>
        <w:rPr>
          <w:spacing w:val="-8"/>
        </w:rPr>
        <w:t> </w:t>
      </w:r>
      <w:r>
        <w:rPr/>
        <w:t>act</w:t>
      </w:r>
      <w:r>
        <w:rPr>
          <w:spacing w:val="-7"/>
        </w:rPr>
        <w:t> </w:t>
      </w:r>
      <w:r>
        <w:rPr/>
        <w:t>on</w:t>
      </w:r>
      <w:r>
        <w:rPr>
          <w:spacing w:val="-7"/>
        </w:rPr>
        <w:t> </w:t>
      </w:r>
      <w:r>
        <w:rPr/>
        <w:t>mul- tiple fronts, breaking down stressors. Impotence, a buzzword for the lack of potency in old men just a few years ago, is now increasingly spreading among young men. This is connected with environmental factors and improper diet, with stress at work being a primary cause.</w:t>
      </w:r>
    </w:p>
    <w:p>
      <w:pPr>
        <w:pStyle w:val="BodyText"/>
        <w:spacing w:line="276" w:lineRule="auto" w:before="239"/>
        <w:ind w:left="616" w:right="133"/>
        <w:jc w:val="both"/>
      </w:pPr>
      <w:r>
        <w:rPr/>
        <w:t>Because melatonin regulates the stressors and directly dissipates stress, stress- related impotence and weak libido can be counteracted.</w:t>
      </w:r>
    </w:p>
    <w:p>
      <w:pPr>
        <w:pStyle w:val="Heading1"/>
        <w:ind w:left="616"/>
        <w:jc w:val="both"/>
      </w:pPr>
      <w:r>
        <w:rPr/>
        <w:t>Melatonin regulates the hormone balance</w:t>
      </w:r>
    </w:p>
    <w:p>
      <w:pPr>
        <w:spacing w:after="0"/>
        <w:jc w:val="both"/>
        <w:sectPr>
          <w:pgSz w:w="14270" w:h="16850"/>
          <w:pgMar w:header="0" w:footer="1891" w:top="1340" w:bottom="2080" w:left="800" w:right="1280"/>
        </w:sectPr>
      </w:pPr>
    </w:p>
    <w:p>
      <w:pPr>
        <w:pStyle w:val="BodyText"/>
        <w:spacing w:line="276" w:lineRule="auto" w:before="74"/>
        <w:ind w:left="616" w:right="137"/>
        <w:jc w:val="both"/>
      </w:pPr>
      <w:r>
        <w:rPr/>
        <w:t>Melatonin ensures that the hormone balance is regulated and that the right supply of the appropriate sex hormones takes place at the right time.</w:t>
      </w:r>
    </w:p>
    <w:p>
      <w:pPr>
        <w:pStyle w:val="BodyText"/>
        <w:spacing w:line="278" w:lineRule="auto" w:before="239"/>
        <w:ind w:left="616" w:right="144"/>
        <w:jc w:val="both"/>
      </w:pPr>
      <w:r>
        <w:rPr/>
        <w:t>At</w:t>
      </w:r>
      <w:r>
        <w:rPr>
          <w:spacing w:val="-9"/>
        </w:rPr>
        <w:t> </w:t>
      </w:r>
      <w:r>
        <w:rPr/>
        <w:t>night,</w:t>
      </w:r>
      <w:r>
        <w:rPr>
          <w:spacing w:val="-6"/>
        </w:rPr>
        <w:t> </w:t>
      </w:r>
      <w:r>
        <w:rPr/>
        <w:t>hormone</w:t>
      </w:r>
      <w:r>
        <w:rPr>
          <w:spacing w:val="-7"/>
        </w:rPr>
        <w:t> </w:t>
      </w:r>
      <w:r>
        <w:rPr/>
        <w:t>levels</w:t>
      </w:r>
      <w:r>
        <w:rPr>
          <w:spacing w:val="-7"/>
        </w:rPr>
        <w:t> </w:t>
      </w:r>
      <w:r>
        <w:rPr/>
        <w:t>are</w:t>
      </w:r>
      <w:r>
        <w:rPr>
          <w:spacing w:val="-8"/>
        </w:rPr>
        <w:t> </w:t>
      </w:r>
      <w:r>
        <w:rPr/>
        <w:t>balanced</w:t>
      </w:r>
      <w:r>
        <w:rPr>
          <w:spacing w:val="-7"/>
        </w:rPr>
        <w:t> </w:t>
      </w:r>
      <w:r>
        <w:rPr/>
        <w:t>by</w:t>
      </w:r>
      <w:r>
        <w:rPr>
          <w:spacing w:val="-6"/>
        </w:rPr>
        <w:t> </w:t>
      </w:r>
      <w:r>
        <w:rPr/>
        <w:t>melatonin</w:t>
      </w:r>
      <w:r>
        <w:rPr>
          <w:spacing w:val="-8"/>
        </w:rPr>
        <w:t> </w:t>
      </w:r>
      <w:r>
        <w:rPr/>
        <w:t>and</w:t>
      </w:r>
      <w:r>
        <w:rPr>
          <w:spacing w:val="-7"/>
        </w:rPr>
        <w:t> </w:t>
      </w:r>
      <w:r>
        <w:rPr/>
        <w:t>brought</w:t>
      </w:r>
      <w:r>
        <w:rPr>
          <w:spacing w:val="-8"/>
        </w:rPr>
        <w:t> </w:t>
      </w:r>
      <w:r>
        <w:rPr/>
        <w:t>to</w:t>
      </w:r>
      <w:r>
        <w:rPr>
          <w:spacing w:val="-6"/>
        </w:rPr>
        <w:t> </w:t>
      </w:r>
      <w:r>
        <w:rPr/>
        <w:t>a</w:t>
      </w:r>
      <w:r>
        <w:rPr>
          <w:spacing w:val="-9"/>
        </w:rPr>
        <w:t> </w:t>
      </w:r>
      <w:r>
        <w:rPr/>
        <w:t>youthful level, resulting in balanced sexual</w:t>
      </w:r>
      <w:r>
        <w:rPr>
          <w:spacing w:val="-1"/>
        </w:rPr>
        <w:t> </w:t>
      </w:r>
      <w:r>
        <w:rPr/>
        <w:t>activity.</w:t>
      </w:r>
    </w:p>
    <w:p>
      <w:pPr>
        <w:pStyle w:val="Heading1"/>
        <w:spacing w:before="215"/>
        <w:ind w:left="616"/>
      </w:pPr>
      <w:r>
        <w:rPr/>
        <w:t>Melatonin protects sexual organs from</w:t>
      </w:r>
      <w:r>
        <w:rPr>
          <w:spacing w:val="-64"/>
        </w:rPr>
        <w:t> </w:t>
      </w:r>
      <w:r>
        <w:rPr/>
        <w:t>ageing</w:t>
      </w:r>
    </w:p>
    <w:p>
      <w:pPr>
        <w:pStyle w:val="BodyText"/>
        <w:spacing w:line="276" w:lineRule="auto" w:before="299"/>
        <w:ind w:left="616" w:right="138"/>
        <w:jc w:val="both"/>
      </w:pPr>
      <w:r>
        <w:rPr/>
        <w:t>Initial findings on this mechanism, which has a strong positive effect on po- tency and libido as well as on sexual activity, were obtained by the researchers Prof.</w:t>
      </w:r>
      <w:r>
        <w:rPr>
          <w:spacing w:val="-10"/>
        </w:rPr>
        <w:t> </w:t>
      </w:r>
      <w:r>
        <w:rPr/>
        <w:t>Dr.</w:t>
      </w:r>
      <w:r>
        <w:rPr>
          <w:spacing w:val="-12"/>
        </w:rPr>
        <w:t> </w:t>
      </w:r>
      <w:r>
        <w:rPr/>
        <w:t>William</w:t>
      </w:r>
      <w:r>
        <w:rPr>
          <w:spacing w:val="-9"/>
        </w:rPr>
        <w:t> </w:t>
      </w:r>
      <w:r>
        <w:rPr/>
        <w:t>Regelson</w:t>
      </w:r>
      <w:r>
        <w:rPr>
          <w:spacing w:val="-10"/>
        </w:rPr>
        <w:t> </w:t>
      </w:r>
      <w:r>
        <w:rPr/>
        <w:t>and</w:t>
      </w:r>
      <w:r>
        <w:rPr>
          <w:spacing w:val="-14"/>
        </w:rPr>
        <w:t> </w:t>
      </w:r>
      <w:r>
        <w:rPr/>
        <w:t>Dr.</w:t>
      </w:r>
      <w:r>
        <w:rPr>
          <w:spacing w:val="-9"/>
        </w:rPr>
        <w:t> </w:t>
      </w:r>
      <w:r>
        <w:rPr/>
        <w:t>Walter</w:t>
      </w:r>
      <w:r>
        <w:rPr>
          <w:spacing w:val="-10"/>
        </w:rPr>
        <w:t> </w:t>
      </w:r>
      <w:r>
        <w:rPr/>
        <w:t>Pierpaoli</w:t>
      </w:r>
      <w:r>
        <w:rPr>
          <w:spacing w:val="-11"/>
        </w:rPr>
        <w:t> </w:t>
      </w:r>
      <w:r>
        <w:rPr/>
        <w:t>in</w:t>
      </w:r>
      <w:r>
        <w:rPr>
          <w:spacing w:val="-10"/>
        </w:rPr>
        <w:t> </w:t>
      </w:r>
      <w:r>
        <w:rPr/>
        <w:t>animal</w:t>
      </w:r>
      <w:r>
        <w:rPr>
          <w:spacing w:val="-10"/>
        </w:rPr>
        <w:t> </w:t>
      </w:r>
      <w:r>
        <w:rPr/>
        <w:t>experiments</w:t>
      </w:r>
      <w:r>
        <w:rPr>
          <w:spacing w:val="-10"/>
        </w:rPr>
        <w:t> </w:t>
      </w:r>
      <w:r>
        <w:rPr/>
        <w:t>on older mice of the equivalent age of a 70-year-old</w:t>
      </w:r>
      <w:r>
        <w:rPr>
          <w:spacing w:val="3"/>
        </w:rPr>
        <w:t> </w:t>
      </w:r>
      <w:r>
        <w:rPr/>
        <w:t>man.</w:t>
      </w:r>
    </w:p>
    <w:p>
      <w:pPr>
        <w:pStyle w:val="BodyText"/>
        <w:spacing w:line="276" w:lineRule="auto" w:before="239"/>
        <w:ind w:left="616" w:right="135"/>
        <w:jc w:val="both"/>
        <w:rPr>
          <w:sz w:val="25"/>
        </w:rPr>
      </w:pPr>
      <w:r>
        <w:rPr/>
        <w:t>Supplied with melatonin, their testes and ovaries did not show the shrinkage typical</w:t>
      </w:r>
      <w:r>
        <w:rPr>
          <w:spacing w:val="-8"/>
        </w:rPr>
        <w:t> </w:t>
      </w:r>
      <w:r>
        <w:rPr/>
        <w:t>of</w:t>
      </w:r>
      <w:r>
        <w:rPr>
          <w:spacing w:val="-8"/>
        </w:rPr>
        <w:t> </w:t>
      </w:r>
      <w:r>
        <w:rPr/>
        <w:t>old</w:t>
      </w:r>
      <w:r>
        <w:rPr>
          <w:spacing w:val="-10"/>
        </w:rPr>
        <w:t> </w:t>
      </w:r>
      <w:r>
        <w:rPr/>
        <w:t>age.</w:t>
      </w:r>
      <w:r>
        <w:rPr>
          <w:spacing w:val="-7"/>
        </w:rPr>
        <w:t> </w:t>
      </w:r>
      <w:r>
        <w:rPr/>
        <w:t>Both</w:t>
      </w:r>
      <w:r>
        <w:rPr>
          <w:spacing w:val="-9"/>
        </w:rPr>
        <w:t> </w:t>
      </w:r>
      <w:r>
        <w:rPr/>
        <w:t>males</w:t>
      </w:r>
      <w:r>
        <w:rPr>
          <w:spacing w:val="-8"/>
        </w:rPr>
        <w:t> </w:t>
      </w:r>
      <w:r>
        <w:rPr/>
        <w:t>and</w:t>
      </w:r>
      <w:r>
        <w:rPr>
          <w:spacing w:val="-8"/>
        </w:rPr>
        <w:t> </w:t>
      </w:r>
      <w:r>
        <w:rPr/>
        <w:t>females</w:t>
      </w:r>
      <w:r>
        <w:rPr>
          <w:spacing w:val="-7"/>
        </w:rPr>
        <w:t> </w:t>
      </w:r>
      <w:r>
        <w:rPr/>
        <w:t>remained</w:t>
      </w:r>
      <w:r>
        <w:rPr>
          <w:spacing w:val="-8"/>
        </w:rPr>
        <w:t> </w:t>
      </w:r>
      <w:r>
        <w:rPr/>
        <w:t>untypically</w:t>
      </w:r>
      <w:r>
        <w:rPr>
          <w:spacing w:val="-8"/>
        </w:rPr>
        <w:t> </w:t>
      </w:r>
      <w:r>
        <w:rPr/>
        <w:t>sexually</w:t>
      </w:r>
      <w:r>
        <w:rPr>
          <w:spacing w:val="-9"/>
        </w:rPr>
        <w:t> </w:t>
      </w:r>
      <w:r>
        <w:rPr/>
        <w:t>active for their</w:t>
      </w:r>
      <w:r>
        <w:rPr>
          <w:spacing w:val="2"/>
        </w:rPr>
        <w:t> </w:t>
      </w:r>
      <w:r>
        <w:rPr/>
        <w:t>age.</w:t>
      </w:r>
      <w:r>
        <w:rPr>
          <w:position w:val="9"/>
          <w:sz w:val="25"/>
        </w:rPr>
        <w:t>536</w:t>
      </w:r>
    </w:p>
    <w:p>
      <w:pPr>
        <w:pStyle w:val="Heading1"/>
        <w:spacing w:before="225"/>
        <w:ind w:left="616"/>
      </w:pPr>
      <w:r>
        <w:rPr/>
        <w:t>Effect of melatonin on Alzheimer's</w:t>
      </w:r>
    </w:p>
    <w:p>
      <w:pPr>
        <w:pStyle w:val="BodyText"/>
        <w:spacing w:line="276" w:lineRule="auto" w:before="299"/>
        <w:ind w:left="616" w:right="134"/>
        <w:jc w:val="both"/>
      </w:pPr>
      <w:r>
        <w:rPr/>
        <w:t>Alzheimer's patients can be diagnosed by a low level of melatonin, possibly due to a lower number of nerves on the nerve pathways from the pineal</w:t>
      </w:r>
      <w:r>
        <w:rPr>
          <w:spacing w:val="-53"/>
        </w:rPr>
        <w:t> </w:t>
      </w:r>
      <w:r>
        <w:rPr/>
        <w:t>gland to</w:t>
      </w:r>
      <w:r>
        <w:rPr>
          <w:spacing w:val="-9"/>
        </w:rPr>
        <w:t> </w:t>
      </w:r>
      <w:r>
        <w:rPr/>
        <w:t>the</w:t>
      </w:r>
      <w:r>
        <w:rPr>
          <w:spacing w:val="-7"/>
        </w:rPr>
        <w:t> </w:t>
      </w:r>
      <w:r>
        <w:rPr/>
        <w:t>eye.</w:t>
      </w:r>
      <w:r>
        <w:rPr>
          <w:spacing w:val="-7"/>
        </w:rPr>
        <w:t> </w:t>
      </w:r>
      <w:r>
        <w:rPr/>
        <w:t>The</w:t>
      </w:r>
      <w:r>
        <w:rPr>
          <w:spacing w:val="-9"/>
        </w:rPr>
        <w:t> </w:t>
      </w:r>
      <w:r>
        <w:rPr/>
        <w:t>symptoms</w:t>
      </w:r>
      <w:r>
        <w:rPr>
          <w:spacing w:val="-7"/>
        </w:rPr>
        <w:t> </w:t>
      </w:r>
      <w:r>
        <w:rPr/>
        <w:t>of</w:t>
      </w:r>
      <w:r>
        <w:rPr>
          <w:spacing w:val="-8"/>
        </w:rPr>
        <w:t> </w:t>
      </w:r>
      <w:r>
        <w:rPr/>
        <w:t>Alzheimer's</w:t>
      </w:r>
      <w:r>
        <w:rPr>
          <w:spacing w:val="-9"/>
        </w:rPr>
        <w:t> </w:t>
      </w:r>
      <w:r>
        <w:rPr/>
        <w:t>disease</w:t>
      </w:r>
      <w:r>
        <w:rPr>
          <w:spacing w:val="-8"/>
        </w:rPr>
        <w:t> </w:t>
      </w:r>
      <w:r>
        <w:rPr/>
        <w:t>therefore</w:t>
      </w:r>
      <w:r>
        <w:rPr>
          <w:spacing w:val="-8"/>
        </w:rPr>
        <w:t> </w:t>
      </w:r>
      <w:r>
        <w:rPr/>
        <w:t>include</w:t>
      </w:r>
      <w:r>
        <w:rPr>
          <w:spacing w:val="-9"/>
        </w:rPr>
        <w:t> </w:t>
      </w:r>
      <w:r>
        <w:rPr/>
        <w:t>a</w:t>
      </w:r>
      <w:r>
        <w:rPr>
          <w:spacing w:val="-10"/>
        </w:rPr>
        <w:t> </w:t>
      </w:r>
      <w:r>
        <w:rPr/>
        <w:t>disturbed biorhythm,</w:t>
      </w:r>
      <w:r>
        <w:rPr>
          <w:spacing w:val="-8"/>
        </w:rPr>
        <w:t> </w:t>
      </w:r>
      <w:r>
        <w:rPr/>
        <w:t>including</w:t>
      </w:r>
      <w:r>
        <w:rPr>
          <w:spacing w:val="-9"/>
        </w:rPr>
        <w:t> </w:t>
      </w:r>
      <w:r>
        <w:rPr/>
        <w:t>a</w:t>
      </w:r>
      <w:r>
        <w:rPr>
          <w:spacing w:val="-10"/>
        </w:rPr>
        <w:t> </w:t>
      </w:r>
      <w:r>
        <w:rPr/>
        <w:t>disturbed</w:t>
      </w:r>
      <w:r>
        <w:rPr>
          <w:spacing w:val="-6"/>
        </w:rPr>
        <w:t> </w:t>
      </w:r>
      <w:r>
        <w:rPr/>
        <w:t>sleep-wake</w:t>
      </w:r>
      <w:r>
        <w:rPr>
          <w:spacing w:val="-10"/>
        </w:rPr>
        <w:t> </w:t>
      </w:r>
      <w:r>
        <w:rPr/>
        <w:t>rhythm.</w:t>
      </w:r>
      <w:r>
        <w:rPr>
          <w:spacing w:val="-8"/>
        </w:rPr>
        <w:t> </w:t>
      </w:r>
      <w:r>
        <w:rPr/>
        <w:t>Melatonin</w:t>
      </w:r>
      <w:r>
        <w:rPr>
          <w:spacing w:val="-9"/>
        </w:rPr>
        <w:t> </w:t>
      </w:r>
      <w:r>
        <w:rPr/>
        <w:t>is</w:t>
      </w:r>
      <w:r>
        <w:rPr>
          <w:spacing w:val="-8"/>
        </w:rPr>
        <w:t> </w:t>
      </w:r>
      <w:r>
        <w:rPr/>
        <w:t>already</w:t>
      </w:r>
      <w:r>
        <w:rPr>
          <w:spacing w:val="-10"/>
        </w:rPr>
        <w:t> </w:t>
      </w:r>
      <w:r>
        <w:rPr/>
        <w:t>pre- scribed by many doctors for it. Experience has shown that antioxidants can delay the disease and can often even prevent the symptoms. Since melatonin acts</w:t>
      </w:r>
      <w:r>
        <w:rPr>
          <w:spacing w:val="34"/>
        </w:rPr>
        <w:t> </w:t>
      </w:r>
      <w:r>
        <w:rPr/>
        <w:t>as</w:t>
      </w:r>
      <w:r>
        <w:rPr>
          <w:spacing w:val="34"/>
        </w:rPr>
        <w:t> </w:t>
      </w:r>
      <w:r>
        <w:rPr/>
        <w:t>the</w:t>
      </w:r>
      <w:r>
        <w:rPr>
          <w:spacing w:val="32"/>
        </w:rPr>
        <w:t> </w:t>
      </w:r>
      <w:r>
        <w:rPr/>
        <w:t>most</w:t>
      </w:r>
      <w:r>
        <w:rPr>
          <w:spacing w:val="32"/>
        </w:rPr>
        <w:t> </w:t>
      </w:r>
      <w:r>
        <w:rPr/>
        <w:t>important</w:t>
      </w:r>
      <w:r>
        <w:rPr>
          <w:spacing w:val="34"/>
        </w:rPr>
        <w:t> </w:t>
      </w:r>
      <w:r>
        <w:rPr/>
        <w:t>antioxidant,</w:t>
      </w:r>
      <w:r>
        <w:rPr>
          <w:spacing w:val="34"/>
        </w:rPr>
        <w:t> </w:t>
      </w:r>
      <w:r>
        <w:rPr/>
        <w:t>it</w:t>
      </w:r>
      <w:r>
        <w:rPr>
          <w:spacing w:val="33"/>
        </w:rPr>
        <w:t> </w:t>
      </w:r>
      <w:r>
        <w:rPr/>
        <w:t>should,</w:t>
      </w:r>
      <w:r>
        <w:rPr>
          <w:spacing w:val="34"/>
        </w:rPr>
        <w:t> </w:t>
      </w:r>
      <w:r>
        <w:rPr/>
        <w:t>among</w:t>
      </w:r>
      <w:r>
        <w:rPr>
          <w:spacing w:val="32"/>
        </w:rPr>
        <w:t> </w:t>
      </w:r>
      <w:r>
        <w:rPr/>
        <w:t>other</w:t>
      </w:r>
      <w:r>
        <w:rPr>
          <w:spacing w:val="32"/>
        </w:rPr>
        <w:t> </w:t>
      </w:r>
      <w:r>
        <w:rPr/>
        <w:t>antioxidants</w:t>
      </w:r>
    </w:p>
    <w:p>
      <w:pPr>
        <w:pStyle w:val="BodyText"/>
        <w:rPr>
          <w:sz w:val="20"/>
        </w:rPr>
      </w:pPr>
    </w:p>
    <w:p>
      <w:pPr>
        <w:pStyle w:val="BodyText"/>
        <w:spacing w:before="2"/>
        <w:rPr>
          <w:sz w:val="20"/>
        </w:rPr>
      </w:pPr>
      <w:r>
        <w:rPr/>
        <w:pict>
          <v:line style="position:absolute;mso-position-horizontal-relative:page;mso-position-vertical-relative:paragraph;z-index:6872;mso-wrap-distance-left:0;mso-wrap-distance-right:0" from="70.823997pt,13.699985pt" to="214.843997pt,13.699985pt" stroked="true" strokeweight=".72003pt" strokecolor="#000000">
            <v:stroke dashstyle="solid"/>
            <w10:wrap type="topAndBottom"/>
          </v:line>
        </w:pict>
      </w:r>
    </w:p>
    <w:p>
      <w:pPr>
        <w:pStyle w:val="BodyText"/>
        <w:spacing w:before="7"/>
        <w:rPr>
          <w:sz w:val="18"/>
        </w:rPr>
      </w:pPr>
    </w:p>
    <w:p>
      <w:pPr>
        <w:spacing w:line="276" w:lineRule="auto" w:before="99"/>
        <w:ind w:left="616" w:right="156" w:firstLine="0"/>
        <w:jc w:val="left"/>
        <w:rPr>
          <w:sz w:val="20"/>
        </w:rPr>
      </w:pPr>
      <w:r>
        <w:rPr>
          <w:position w:val="5"/>
          <w:sz w:val="13"/>
        </w:rPr>
        <w:t>536 </w:t>
      </w:r>
      <w:r>
        <w:rPr>
          <w:sz w:val="20"/>
        </w:rPr>
        <w:t>Beat René Roggen: Melatonin – ein Schlüsselhormon für gute Gesundheit, erholsamen Schlaf und langes Leben ('Melatonin – A Key Hormone for Good Health, Restful Sleep and Long Life'), 2007, p. 20</w:t>
      </w:r>
    </w:p>
    <w:p>
      <w:pPr>
        <w:spacing w:after="0" w:line="276" w:lineRule="auto"/>
        <w:jc w:val="left"/>
        <w:rPr>
          <w:sz w:val="20"/>
        </w:rPr>
        <w:sectPr>
          <w:pgSz w:w="14270" w:h="16850"/>
          <w:pgMar w:header="0" w:footer="1891" w:top="1340" w:bottom="2080" w:left="800" w:right="1280"/>
        </w:sectPr>
      </w:pPr>
    </w:p>
    <w:p>
      <w:pPr>
        <w:pStyle w:val="BodyText"/>
        <w:spacing w:line="278" w:lineRule="auto" w:before="72"/>
        <w:ind w:left="616" w:right="145"/>
        <w:jc w:val="both"/>
      </w:pPr>
      <w:r>
        <w:rPr/>
        <w:t>such as OPC, vitamin C, vitamin E, selenium or Q10, be given a high profile in the treatment of Alzheimer's.</w:t>
      </w:r>
    </w:p>
    <w:p>
      <w:pPr>
        <w:pStyle w:val="Heading1"/>
        <w:spacing w:before="215"/>
        <w:ind w:left="616"/>
      </w:pPr>
      <w:r>
        <w:rPr/>
        <w:t>Effect of melatonin on diabetes</w:t>
      </w:r>
    </w:p>
    <w:p>
      <w:pPr>
        <w:pStyle w:val="BodyText"/>
        <w:spacing w:line="276" w:lineRule="auto" w:before="299"/>
        <w:ind w:left="616" w:right="133"/>
        <w:jc w:val="both"/>
      </w:pPr>
      <w:r>
        <w:rPr/>
        <w:t>A first serious indication that melatonin can help or even prevent diabetes is the fact that melatonin levels were lower in patients suffering from insulin- dependent diabetes (also called adult-onset diabetes).</w:t>
      </w:r>
    </w:p>
    <w:p>
      <w:pPr>
        <w:pStyle w:val="BodyText"/>
        <w:spacing w:line="276" w:lineRule="auto" w:before="242"/>
        <w:ind w:left="616" w:right="147"/>
        <w:jc w:val="both"/>
      </w:pPr>
      <w:r>
        <w:rPr/>
        <w:t>By helping control the production of growth hormones, melatonin can also help prevent diabetes and regulate blood sugar levels.</w:t>
      </w:r>
    </w:p>
    <w:p>
      <w:pPr>
        <w:pStyle w:val="Heading1"/>
        <w:spacing w:before="223"/>
        <w:ind w:left="616"/>
      </w:pPr>
      <w:r>
        <w:rPr/>
        <w:t>Effect on eyesight and cataracts</w:t>
      </w:r>
    </w:p>
    <w:p>
      <w:pPr>
        <w:pStyle w:val="BodyText"/>
        <w:spacing w:line="276" w:lineRule="auto" w:before="297"/>
        <w:ind w:left="616" w:right="130"/>
        <w:jc w:val="both"/>
      </w:pPr>
      <w:r>
        <w:rPr/>
        <w:t>In addition to the pineal gland and the digestive organs, melatonin is also pre- sent in the retina. According to the studies of the two melatonin researchers Prof. Regelson and Dr. Pierpaoli, all of the organs of old melatonin-fed mice showed improvement. None of the melatonin-treated mice succumbed to</w:t>
      </w:r>
      <w:r>
        <w:rPr>
          <w:spacing w:val="-66"/>
        </w:rPr>
        <w:t> </w:t>
      </w:r>
      <w:r>
        <w:rPr/>
        <w:t>cat- aracts. It is therefore very likely that melatonin can improve our vision and possibly protect against cataracts.</w:t>
      </w:r>
    </w:p>
    <w:p>
      <w:pPr>
        <w:pStyle w:val="Heading1"/>
        <w:spacing w:before="223"/>
        <w:ind w:left="616"/>
      </w:pPr>
      <w:r>
        <w:rPr/>
        <w:t>Effect on menopausal symptoms</w:t>
      </w:r>
    </w:p>
    <w:p>
      <w:pPr>
        <w:pStyle w:val="BodyText"/>
        <w:spacing w:line="276" w:lineRule="auto" w:before="299"/>
        <w:ind w:left="616" w:right="134"/>
        <w:jc w:val="both"/>
      </w:pPr>
      <w:r>
        <w:rPr/>
        <w:t>Menopausal symptoms include hot flushes, sweating, palpitations, respiratory distress or sleep disorders. The intake of melatonin can improve these symp- toms.</w:t>
      </w:r>
    </w:p>
    <w:p>
      <w:pPr>
        <w:pStyle w:val="BodyText"/>
        <w:spacing w:before="242"/>
        <w:ind w:left="616"/>
        <w:jc w:val="both"/>
      </w:pPr>
      <w:r>
        <w:rPr/>
        <w:t>A combination pill of oestrogens and melatonin has been administered in the</w:t>
      </w:r>
    </w:p>
    <w:p>
      <w:pPr>
        <w:spacing w:after="0"/>
        <w:jc w:val="both"/>
        <w:sectPr>
          <w:pgSz w:w="14270" w:h="16850"/>
          <w:pgMar w:header="0" w:footer="1891" w:top="1340" w:bottom="2080" w:left="800" w:right="1280"/>
        </w:sectPr>
      </w:pPr>
    </w:p>
    <w:p>
      <w:pPr>
        <w:pStyle w:val="BodyText"/>
        <w:spacing w:before="74"/>
        <w:ind w:left="616"/>
      </w:pPr>
      <w:r>
        <w:rPr/>
        <w:t>USA for some time.</w:t>
      </w:r>
    </w:p>
    <w:p>
      <w:pPr>
        <w:pStyle w:val="Heading1"/>
        <w:spacing w:before="287"/>
        <w:ind w:left="616"/>
      </w:pPr>
      <w:r>
        <w:rPr/>
        <w:t>Effect of melatonin on migraine</w:t>
      </w:r>
    </w:p>
    <w:p>
      <w:pPr>
        <w:pStyle w:val="BodyText"/>
        <w:spacing w:line="276" w:lineRule="auto" w:before="297"/>
        <w:ind w:left="616" w:right="134"/>
        <w:jc w:val="both"/>
      </w:pPr>
      <w:r>
        <w:rPr/>
        <w:t>It's</w:t>
      </w:r>
      <w:r>
        <w:rPr>
          <w:spacing w:val="-14"/>
        </w:rPr>
        <w:t> </w:t>
      </w:r>
      <w:r>
        <w:rPr/>
        <w:t>worth</w:t>
      </w:r>
      <w:r>
        <w:rPr>
          <w:spacing w:val="-13"/>
        </w:rPr>
        <w:t> </w:t>
      </w:r>
      <w:r>
        <w:rPr/>
        <w:t>trying</w:t>
      </w:r>
      <w:r>
        <w:rPr>
          <w:spacing w:val="-15"/>
        </w:rPr>
        <w:t> </w:t>
      </w:r>
      <w:r>
        <w:rPr/>
        <w:t>melatonin</w:t>
      </w:r>
      <w:r>
        <w:rPr>
          <w:spacing w:val="-14"/>
        </w:rPr>
        <w:t> </w:t>
      </w:r>
      <w:r>
        <w:rPr/>
        <w:t>for</w:t>
      </w:r>
      <w:r>
        <w:rPr>
          <w:spacing w:val="-12"/>
        </w:rPr>
        <w:t> </w:t>
      </w:r>
      <w:r>
        <w:rPr/>
        <w:t>migraine</w:t>
      </w:r>
      <w:r>
        <w:rPr>
          <w:spacing w:val="-14"/>
        </w:rPr>
        <w:t> </w:t>
      </w:r>
      <w:r>
        <w:rPr/>
        <w:t>attacks.</w:t>
      </w:r>
      <w:r>
        <w:rPr>
          <w:spacing w:val="-12"/>
        </w:rPr>
        <w:t> </w:t>
      </w:r>
      <w:r>
        <w:rPr/>
        <w:t>An</w:t>
      </w:r>
      <w:r>
        <w:rPr>
          <w:spacing w:val="-14"/>
        </w:rPr>
        <w:t> </w:t>
      </w:r>
      <w:r>
        <w:rPr/>
        <w:t>indication</w:t>
      </w:r>
      <w:r>
        <w:rPr>
          <w:spacing w:val="-14"/>
        </w:rPr>
        <w:t> </w:t>
      </w:r>
      <w:r>
        <w:rPr/>
        <w:t>of</w:t>
      </w:r>
      <w:r>
        <w:rPr>
          <w:spacing w:val="-13"/>
        </w:rPr>
        <w:t> </w:t>
      </w:r>
      <w:r>
        <w:rPr/>
        <w:t>the</w:t>
      </w:r>
      <w:r>
        <w:rPr>
          <w:spacing w:val="-13"/>
        </w:rPr>
        <w:t> </w:t>
      </w:r>
      <w:r>
        <w:rPr/>
        <w:t>effective- ness</w:t>
      </w:r>
      <w:r>
        <w:rPr>
          <w:spacing w:val="-14"/>
        </w:rPr>
        <w:t> </w:t>
      </w:r>
      <w:r>
        <w:rPr/>
        <w:t>of</w:t>
      </w:r>
      <w:r>
        <w:rPr>
          <w:spacing w:val="-14"/>
        </w:rPr>
        <w:t> </w:t>
      </w:r>
      <w:r>
        <w:rPr/>
        <w:t>melatonin</w:t>
      </w:r>
      <w:r>
        <w:rPr>
          <w:spacing w:val="-12"/>
        </w:rPr>
        <w:t> </w:t>
      </w:r>
      <w:r>
        <w:rPr/>
        <w:t>against</w:t>
      </w:r>
      <w:r>
        <w:rPr>
          <w:spacing w:val="-12"/>
        </w:rPr>
        <w:t> </w:t>
      </w:r>
      <w:r>
        <w:rPr/>
        <w:t>migraines</w:t>
      </w:r>
      <w:r>
        <w:rPr>
          <w:spacing w:val="-8"/>
        </w:rPr>
        <w:t> </w:t>
      </w:r>
      <w:r>
        <w:rPr/>
        <w:t>is</w:t>
      </w:r>
      <w:r>
        <w:rPr>
          <w:spacing w:val="-14"/>
        </w:rPr>
        <w:t> </w:t>
      </w:r>
      <w:r>
        <w:rPr/>
        <w:t>the</w:t>
      </w:r>
      <w:r>
        <w:rPr>
          <w:spacing w:val="-13"/>
        </w:rPr>
        <w:t> </w:t>
      </w:r>
      <w:r>
        <w:rPr/>
        <w:t>proven</w:t>
      </w:r>
      <w:r>
        <w:rPr>
          <w:spacing w:val="-12"/>
        </w:rPr>
        <w:t> </w:t>
      </w:r>
      <w:r>
        <w:rPr/>
        <w:t>melatonin</w:t>
      </w:r>
      <w:r>
        <w:rPr>
          <w:spacing w:val="-14"/>
        </w:rPr>
        <w:t> </w:t>
      </w:r>
      <w:r>
        <w:rPr/>
        <w:t>level</w:t>
      </w:r>
      <w:r>
        <w:rPr>
          <w:spacing w:val="-13"/>
        </w:rPr>
        <w:t> </w:t>
      </w:r>
      <w:r>
        <w:rPr/>
        <w:t>disruption</w:t>
      </w:r>
      <w:r>
        <w:rPr>
          <w:spacing w:val="-11"/>
        </w:rPr>
        <w:t> </w:t>
      </w:r>
      <w:r>
        <w:rPr/>
        <w:t>in migraine</w:t>
      </w:r>
      <w:r>
        <w:rPr>
          <w:spacing w:val="-1"/>
        </w:rPr>
        <w:t> </w:t>
      </w:r>
      <w:r>
        <w:rPr/>
        <w:t>sufferers.</w:t>
      </w:r>
    </w:p>
    <w:p>
      <w:pPr>
        <w:pStyle w:val="BodyText"/>
        <w:spacing w:line="276" w:lineRule="auto" w:before="241"/>
        <w:ind w:left="616" w:right="139"/>
        <w:jc w:val="both"/>
      </w:pPr>
      <w:r>
        <w:rPr/>
        <w:t>In addition, migraine attacks are often due to impaired hormone balance, lack of sleep and increased stress levels. This is where melatonin, as an important regulatory hormone, can help.</w:t>
      </w:r>
    </w:p>
    <w:p>
      <w:pPr>
        <w:pStyle w:val="BodyText"/>
        <w:spacing w:line="276" w:lineRule="auto" w:before="242"/>
        <w:ind w:left="616" w:right="136"/>
        <w:jc w:val="both"/>
      </w:pPr>
      <w:r>
        <w:rPr/>
        <w:t>But the opposite can also occur if too much melatonin circulates in the body. Anyway, it's worth a try because if the symptoms get worse instead of disap- pearing,</w:t>
      </w:r>
      <w:r>
        <w:rPr>
          <w:spacing w:val="-10"/>
        </w:rPr>
        <w:t> </w:t>
      </w:r>
      <w:r>
        <w:rPr/>
        <w:t>you</w:t>
      </w:r>
      <w:r>
        <w:rPr>
          <w:spacing w:val="-10"/>
        </w:rPr>
        <w:t> </w:t>
      </w:r>
      <w:r>
        <w:rPr/>
        <w:t>know</w:t>
      </w:r>
      <w:r>
        <w:rPr>
          <w:spacing w:val="-11"/>
        </w:rPr>
        <w:t> </w:t>
      </w:r>
      <w:r>
        <w:rPr/>
        <w:t>the</w:t>
      </w:r>
      <w:r>
        <w:rPr>
          <w:spacing w:val="-8"/>
        </w:rPr>
        <w:t> </w:t>
      </w:r>
      <w:r>
        <w:rPr/>
        <w:t>cause</w:t>
      </w:r>
      <w:r>
        <w:rPr>
          <w:spacing w:val="-13"/>
        </w:rPr>
        <w:t> </w:t>
      </w:r>
      <w:r>
        <w:rPr/>
        <w:t>and</w:t>
      </w:r>
      <w:r>
        <w:rPr>
          <w:spacing w:val="-11"/>
        </w:rPr>
        <w:t> </w:t>
      </w:r>
      <w:r>
        <w:rPr/>
        <w:t>can</w:t>
      </w:r>
      <w:r>
        <w:rPr>
          <w:spacing w:val="-8"/>
        </w:rPr>
        <w:t> </w:t>
      </w:r>
      <w:r>
        <w:rPr/>
        <w:t>fight</w:t>
      </w:r>
      <w:r>
        <w:rPr>
          <w:spacing w:val="-9"/>
        </w:rPr>
        <w:t> </w:t>
      </w:r>
      <w:r>
        <w:rPr/>
        <w:t>the</w:t>
      </w:r>
      <w:r>
        <w:rPr>
          <w:spacing w:val="-11"/>
        </w:rPr>
        <w:t> </w:t>
      </w:r>
      <w:r>
        <w:rPr/>
        <w:t>disproportionate</w:t>
      </w:r>
      <w:r>
        <w:rPr>
          <w:spacing w:val="-14"/>
        </w:rPr>
        <w:t> </w:t>
      </w:r>
      <w:r>
        <w:rPr/>
        <w:t>release</w:t>
      </w:r>
      <w:r>
        <w:rPr>
          <w:spacing w:val="-9"/>
        </w:rPr>
        <w:t> </w:t>
      </w:r>
      <w:r>
        <w:rPr/>
        <w:t>of</w:t>
      </w:r>
      <w:r>
        <w:rPr>
          <w:spacing w:val="-11"/>
        </w:rPr>
        <w:t> </w:t>
      </w:r>
      <w:r>
        <w:rPr/>
        <w:t>mel- atonin.</w:t>
      </w:r>
    </w:p>
    <w:p>
      <w:pPr>
        <w:pStyle w:val="BodyText"/>
        <w:spacing w:line="276" w:lineRule="auto" w:before="240"/>
        <w:ind w:left="616" w:right="139"/>
        <w:jc w:val="both"/>
      </w:pPr>
      <w:r>
        <w:rPr/>
        <w:t>Treatment with electromagnetic fields, which slow down the production of melatonin in the pineal gland, is proven for this purpose.</w:t>
      </w:r>
    </w:p>
    <w:p>
      <w:pPr>
        <w:pStyle w:val="Heading1"/>
        <w:spacing w:before="223"/>
        <w:ind w:left="616"/>
      </w:pPr>
      <w:r>
        <w:rPr/>
        <w:t>Effect of melatonin on epilepsy</w:t>
      </w:r>
    </w:p>
    <w:p>
      <w:pPr>
        <w:pStyle w:val="BodyText"/>
        <w:spacing w:line="276" w:lineRule="auto" w:before="297"/>
        <w:ind w:left="616" w:right="132"/>
        <w:jc w:val="both"/>
        <w:rPr>
          <w:sz w:val="25"/>
        </w:rPr>
      </w:pPr>
      <w:r>
        <w:rPr/>
        <w:t>In</w:t>
      </w:r>
      <w:r>
        <w:rPr>
          <w:spacing w:val="-7"/>
        </w:rPr>
        <w:t> </w:t>
      </w:r>
      <w:r>
        <w:rPr/>
        <w:t>animal</w:t>
      </w:r>
      <w:r>
        <w:rPr>
          <w:spacing w:val="-8"/>
        </w:rPr>
        <w:t> </w:t>
      </w:r>
      <w:r>
        <w:rPr/>
        <w:t>experiments,</w:t>
      </w:r>
      <w:r>
        <w:rPr>
          <w:spacing w:val="-7"/>
        </w:rPr>
        <w:t> </w:t>
      </w:r>
      <w:r>
        <w:rPr/>
        <w:t>the</w:t>
      </w:r>
      <w:r>
        <w:rPr>
          <w:spacing w:val="-8"/>
        </w:rPr>
        <w:t> </w:t>
      </w:r>
      <w:r>
        <w:rPr/>
        <w:t>electrical</w:t>
      </w:r>
      <w:r>
        <w:rPr>
          <w:spacing w:val="-9"/>
        </w:rPr>
        <w:t> </w:t>
      </w:r>
      <w:r>
        <w:rPr/>
        <w:t>impulses</w:t>
      </w:r>
      <w:r>
        <w:rPr>
          <w:spacing w:val="-6"/>
        </w:rPr>
        <w:t> </w:t>
      </w:r>
      <w:r>
        <w:rPr/>
        <w:t>in</w:t>
      </w:r>
      <w:r>
        <w:rPr>
          <w:spacing w:val="-8"/>
        </w:rPr>
        <w:t> </w:t>
      </w:r>
      <w:r>
        <w:rPr/>
        <w:t>the</w:t>
      </w:r>
      <w:r>
        <w:rPr>
          <w:spacing w:val="-6"/>
        </w:rPr>
        <w:t> </w:t>
      </w:r>
      <w:r>
        <w:rPr/>
        <w:t>brain</w:t>
      </w:r>
      <w:r>
        <w:rPr>
          <w:spacing w:val="-10"/>
        </w:rPr>
        <w:t> </w:t>
      </w:r>
      <w:r>
        <w:rPr/>
        <w:t>have</w:t>
      </w:r>
      <w:r>
        <w:rPr>
          <w:spacing w:val="-7"/>
        </w:rPr>
        <w:t> </w:t>
      </w:r>
      <w:r>
        <w:rPr/>
        <w:t>been</w:t>
      </w:r>
      <w:r>
        <w:rPr>
          <w:spacing w:val="-8"/>
        </w:rPr>
        <w:t> </w:t>
      </w:r>
      <w:r>
        <w:rPr/>
        <w:t>stabilised and</w:t>
      </w:r>
      <w:r>
        <w:rPr>
          <w:spacing w:val="-10"/>
        </w:rPr>
        <w:t> </w:t>
      </w:r>
      <w:r>
        <w:rPr/>
        <w:t>epileptic</w:t>
      </w:r>
      <w:r>
        <w:rPr>
          <w:spacing w:val="-9"/>
        </w:rPr>
        <w:t> </w:t>
      </w:r>
      <w:r>
        <w:rPr/>
        <w:t>fits</w:t>
      </w:r>
      <w:r>
        <w:rPr>
          <w:spacing w:val="-11"/>
        </w:rPr>
        <w:t> </w:t>
      </w:r>
      <w:r>
        <w:rPr/>
        <w:t>successfully</w:t>
      </w:r>
      <w:r>
        <w:rPr>
          <w:spacing w:val="-9"/>
        </w:rPr>
        <w:t> </w:t>
      </w:r>
      <w:r>
        <w:rPr/>
        <w:t>avoided.</w:t>
      </w:r>
      <w:r>
        <w:rPr>
          <w:spacing w:val="-10"/>
        </w:rPr>
        <w:t> </w:t>
      </w:r>
      <w:r>
        <w:rPr/>
        <w:t>In</w:t>
      </w:r>
      <w:r>
        <w:rPr>
          <w:spacing w:val="-9"/>
        </w:rPr>
        <w:t> </w:t>
      </w:r>
      <w:r>
        <w:rPr/>
        <w:t>fact,</w:t>
      </w:r>
      <w:r>
        <w:rPr>
          <w:spacing w:val="-13"/>
        </w:rPr>
        <w:t> </w:t>
      </w:r>
      <w:r>
        <w:rPr/>
        <w:t>children</w:t>
      </w:r>
      <w:r>
        <w:rPr>
          <w:spacing w:val="-9"/>
        </w:rPr>
        <w:t> </w:t>
      </w:r>
      <w:r>
        <w:rPr/>
        <w:t>suffering</w:t>
      </w:r>
      <w:r>
        <w:rPr>
          <w:spacing w:val="-10"/>
        </w:rPr>
        <w:t> </w:t>
      </w:r>
      <w:r>
        <w:rPr/>
        <w:t>from</w:t>
      </w:r>
      <w:r>
        <w:rPr>
          <w:spacing w:val="-9"/>
        </w:rPr>
        <w:t> </w:t>
      </w:r>
      <w:r>
        <w:rPr/>
        <w:t>epilepsy have abnormal patterns of melatonin production.</w:t>
      </w:r>
      <w:r>
        <w:rPr>
          <w:position w:val="9"/>
          <w:sz w:val="25"/>
        </w:rPr>
        <w:t>537</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6"/>
        </w:rPr>
      </w:pPr>
      <w:r>
        <w:rPr/>
        <w:pict>
          <v:line style="position:absolute;mso-position-horizontal-relative:page;mso-position-vertical-relative:paragraph;z-index:6896;mso-wrap-distance-left:0;mso-wrap-distance-right:0" from="70.823997pt,17.196236pt" to="214.843997pt,17.196236pt" stroked="true" strokeweight=".72003pt" strokecolor="#000000">
            <v:stroke dashstyle="solid"/>
            <w10:wrap type="topAndBottom"/>
          </v:line>
        </w:pict>
      </w:r>
    </w:p>
    <w:p>
      <w:pPr>
        <w:pStyle w:val="BodyText"/>
        <w:spacing w:before="7"/>
        <w:rPr>
          <w:sz w:val="18"/>
        </w:rPr>
      </w:pPr>
    </w:p>
    <w:p>
      <w:pPr>
        <w:spacing w:line="276" w:lineRule="auto" w:before="99"/>
        <w:ind w:left="616" w:right="0" w:firstLine="0"/>
        <w:jc w:val="left"/>
        <w:rPr>
          <w:sz w:val="20"/>
        </w:rPr>
      </w:pPr>
      <w:r>
        <w:rPr>
          <w:position w:val="5"/>
          <w:sz w:val="13"/>
        </w:rPr>
        <w:t>537 </w:t>
      </w:r>
      <w:r>
        <w:rPr>
          <w:sz w:val="20"/>
        </w:rPr>
        <w:t>Steven J. Bock and Michael Boyette: Wunderhormon Melatonin – die Quelle von Jugend und Gesundheit, ('Miracle Hormone Melatonin – The Source of Youth and Health'), 1995, p. 224</w:t>
      </w:r>
    </w:p>
    <w:p>
      <w:pPr>
        <w:spacing w:after="0" w:line="276" w:lineRule="auto"/>
        <w:jc w:val="left"/>
        <w:rPr>
          <w:sz w:val="20"/>
        </w:rPr>
        <w:sectPr>
          <w:pgSz w:w="14270" w:h="16850"/>
          <w:pgMar w:header="0" w:footer="1891" w:top="1340" w:bottom="2080" w:left="800" w:right="1280"/>
        </w:sectPr>
      </w:pPr>
    </w:p>
    <w:p>
      <w:pPr>
        <w:pStyle w:val="Heading1"/>
        <w:spacing w:before="77"/>
        <w:ind w:left="616"/>
      </w:pPr>
      <w:r>
        <w:rPr/>
        <w:t>Effect of melatonin on jet lag</w:t>
      </w:r>
    </w:p>
    <w:p>
      <w:pPr>
        <w:pStyle w:val="BodyText"/>
        <w:spacing w:line="276" w:lineRule="auto" w:before="299"/>
        <w:ind w:left="616" w:right="131"/>
        <w:jc w:val="both"/>
      </w:pPr>
      <w:r>
        <w:rPr/>
        <w:t>Jet</w:t>
      </w:r>
      <w:r>
        <w:rPr>
          <w:spacing w:val="-13"/>
        </w:rPr>
        <w:t> </w:t>
      </w:r>
      <w:r>
        <w:rPr/>
        <w:t>lag</w:t>
      </w:r>
      <w:r>
        <w:rPr>
          <w:spacing w:val="-13"/>
        </w:rPr>
        <w:t> </w:t>
      </w:r>
      <w:r>
        <w:rPr/>
        <w:t>occurs</w:t>
      </w:r>
      <w:r>
        <w:rPr>
          <w:spacing w:val="-12"/>
        </w:rPr>
        <w:t> </w:t>
      </w:r>
      <w:r>
        <w:rPr/>
        <w:t>when</w:t>
      </w:r>
      <w:r>
        <w:rPr>
          <w:spacing w:val="-12"/>
        </w:rPr>
        <w:t> </w:t>
      </w:r>
      <w:r>
        <w:rPr/>
        <w:t>you</w:t>
      </w:r>
      <w:r>
        <w:rPr>
          <w:spacing w:val="-14"/>
        </w:rPr>
        <w:t> </w:t>
      </w:r>
      <w:r>
        <w:rPr/>
        <w:t>fly</w:t>
      </w:r>
      <w:r>
        <w:rPr>
          <w:spacing w:val="-14"/>
        </w:rPr>
        <w:t> </w:t>
      </w:r>
      <w:r>
        <w:rPr/>
        <w:t>through</w:t>
      </w:r>
      <w:r>
        <w:rPr>
          <w:spacing w:val="-13"/>
        </w:rPr>
        <w:t> </w:t>
      </w:r>
      <w:r>
        <w:rPr/>
        <w:t>several</w:t>
      </w:r>
      <w:r>
        <w:rPr>
          <w:spacing w:val="-15"/>
        </w:rPr>
        <w:t> </w:t>
      </w:r>
      <w:r>
        <w:rPr/>
        <w:t>time</w:t>
      </w:r>
      <w:r>
        <w:rPr>
          <w:spacing w:val="-13"/>
        </w:rPr>
        <w:t> </w:t>
      </w:r>
      <w:r>
        <w:rPr/>
        <w:t>zones</w:t>
      </w:r>
      <w:r>
        <w:rPr>
          <w:spacing w:val="-12"/>
        </w:rPr>
        <w:t> </w:t>
      </w:r>
      <w:r>
        <w:rPr/>
        <w:t>within</w:t>
      </w:r>
      <w:r>
        <w:rPr>
          <w:spacing w:val="-12"/>
        </w:rPr>
        <w:t> </w:t>
      </w:r>
      <w:r>
        <w:rPr/>
        <w:t>a</w:t>
      </w:r>
      <w:r>
        <w:rPr>
          <w:spacing w:val="-14"/>
        </w:rPr>
        <w:t> </w:t>
      </w:r>
      <w:r>
        <w:rPr/>
        <w:t>very</w:t>
      </w:r>
      <w:r>
        <w:rPr>
          <w:spacing w:val="-13"/>
        </w:rPr>
        <w:t> </w:t>
      </w:r>
      <w:r>
        <w:rPr/>
        <w:t>short</w:t>
      </w:r>
      <w:r>
        <w:rPr>
          <w:spacing w:val="-16"/>
        </w:rPr>
        <w:t> </w:t>
      </w:r>
      <w:r>
        <w:rPr/>
        <w:t>time and your body clock gets confused. Jet lag symptoms are fatigue, irritability and</w:t>
      </w:r>
      <w:r>
        <w:rPr>
          <w:spacing w:val="-25"/>
        </w:rPr>
        <w:t> </w:t>
      </w:r>
      <w:r>
        <w:rPr/>
        <w:t>a</w:t>
      </w:r>
      <w:r>
        <w:rPr>
          <w:spacing w:val="-26"/>
        </w:rPr>
        <w:t> </w:t>
      </w:r>
      <w:r>
        <w:rPr/>
        <w:t>lack</w:t>
      </w:r>
      <w:r>
        <w:rPr>
          <w:spacing w:val="-26"/>
        </w:rPr>
        <w:t> </w:t>
      </w:r>
      <w:r>
        <w:rPr/>
        <w:t>of</w:t>
      </w:r>
      <w:r>
        <w:rPr>
          <w:spacing w:val="-23"/>
        </w:rPr>
        <w:t> </w:t>
      </w:r>
      <w:r>
        <w:rPr/>
        <w:t>concentration,</w:t>
      </w:r>
      <w:r>
        <w:rPr>
          <w:spacing w:val="-24"/>
        </w:rPr>
        <w:t> </w:t>
      </w:r>
      <w:r>
        <w:rPr/>
        <w:t>but</w:t>
      </w:r>
      <w:r>
        <w:rPr>
          <w:spacing w:val="-26"/>
        </w:rPr>
        <w:t> </w:t>
      </w:r>
      <w:r>
        <w:rPr/>
        <w:t>also</w:t>
      </w:r>
      <w:r>
        <w:rPr>
          <w:spacing w:val="-24"/>
        </w:rPr>
        <w:t> </w:t>
      </w:r>
      <w:r>
        <w:rPr/>
        <w:t>a</w:t>
      </w:r>
      <w:r>
        <w:rPr>
          <w:spacing w:val="-27"/>
        </w:rPr>
        <w:t> </w:t>
      </w:r>
      <w:r>
        <w:rPr/>
        <w:t>susceptibility</w:t>
      </w:r>
      <w:r>
        <w:rPr>
          <w:spacing w:val="-24"/>
        </w:rPr>
        <w:t> </w:t>
      </w:r>
      <w:r>
        <w:rPr/>
        <w:t>to</w:t>
      </w:r>
      <w:r>
        <w:rPr>
          <w:spacing w:val="-24"/>
        </w:rPr>
        <w:t> </w:t>
      </w:r>
      <w:r>
        <w:rPr/>
        <w:t>infections.</w:t>
      </w:r>
      <w:r>
        <w:rPr>
          <w:spacing w:val="-28"/>
        </w:rPr>
        <w:t> </w:t>
      </w:r>
      <w:r>
        <w:rPr/>
        <w:t>Occupational groups which are particularly affected by this, such as pilots, stewardesses or business travellers, are at greater risk of contracting heart disease or immuno- deficiency. The messenger melatonin is able to stop the biological clock, help you get a good night's sleep and thus defy the above-mentioned</w:t>
      </w:r>
      <w:r>
        <w:rPr>
          <w:spacing w:val="-19"/>
        </w:rPr>
        <w:t> </w:t>
      </w:r>
      <w:r>
        <w:rPr/>
        <w:t>conditions.</w:t>
      </w:r>
    </w:p>
    <w:p>
      <w:pPr>
        <w:pStyle w:val="Heading1"/>
        <w:ind w:left="616"/>
      </w:pPr>
      <w:r>
        <w:rPr/>
        <w:t>Effect of melatonin on insomnia</w:t>
      </w:r>
    </w:p>
    <w:p>
      <w:pPr>
        <w:pStyle w:val="BodyText"/>
        <w:spacing w:line="276" w:lineRule="auto" w:before="297"/>
        <w:ind w:left="616" w:right="129"/>
        <w:jc w:val="both"/>
      </w:pPr>
      <w:r>
        <w:rPr/>
        <w:t>While the other spectacular effects of melatonin are generally unknown,</w:t>
      </w:r>
      <w:r>
        <w:rPr>
          <w:spacing w:val="-52"/>
        </w:rPr>
        <w:t> </w:t>
      </w:r>
      <w:r>
        <w:rPr/>
        <w:t>many people</w:t>
      </w:r>
      <w:r>
        <w:rPr>
          <w:spacing w:val="-10"/>
        </w:rPr>
        <w:t> </w:t>
      </w:r>
      <w:r>
        <w:rPr/>
        <w:t>associate</w:t>
      </w:r>
      <w:r>
        <w:rPr>
          <w:spacing w:val="-10"/>
        </w:rPr>
        <w:t> </w:t>
      </w:r>
      <w:r>
        <w:rPr/>
        <w:t>melatonin</w:t>
      </w:r>
      <w:r>
        <w:rPr>
          <w:spacing w:val="-9"/>
        </w:rPr>
        <w:t> </w:t>
      </w:r>
      <w:r>
        <w:rPr/>
        <w:t>with</w:t>
      </w:r>
      <w:r>
        <w:rPr>
          <w:spacing w:val="-6"/>
        </w:rPr>
        <w:t> </w:t>
      </w:r>
      <w:r>
        <w:rPr/>
        <w:t>a</w:t>
      </w:r>
      <w:r>
        <w:rPr>
          <w:spacing w:val="-9"/>
        </w:rPr>
        <w:t> </w:t>
      </w:r>
      <w:r>
        <w:rPr/>
        <w:t>sleep</w:t>
      </w:r>
      <w:r>
        <w:rPr>
          <w:spacing w:val="-8"/>
        </w:rPr>
        <w:t> </w:t>
      </w:r>
      <w:r>
        <w:rPr/>
        <w:t>hormone,</w:t>
      </w:r>
      <w:r>
        <w:rPr>
          <w:spacing w:val="-9"/>
        </w:rPr>
        <w:t> </w:t>
      </w:r>
      <w:r>
        <w:rPr/>
        <w:t>which</w:t>
      </w:r>
      <w:r>
        <w:rPr>
          <w:spacing w:val="-8"/>
        </w:rPr>
        <w:t> </w:t>
      </w:r>
      <w:r>
        <w:rPr/>
        <w:t>promotes</w:t>
      </w:r>
      <w:r>
        <w:rPr>
          <w:spacing w:val="-8"/>
        </w:rPr>
        <w:t> </w:t>
      </w:r>
      <w:r>
        <w:rPr/>
        <w:t>deep</w:t>
      </w:r>
      <w:r>
        <w:rPr>
          <w:spacing w:val="-9"/>
        </w:rPr>
        <w:t> </w:t>
      </w:r>
      <w:r>
        <w:rPr/>
        <w:t>sleep. In</w:t>
      </w:r>
      <w:r>
        <w:rPr>
          <w:spacing w:val="-6"/>
        </w:rPr>
        <w:t> </w:t>
      </w:r>
      <w:r>
        <w:rPr/>
        <w:t>fact,</w:t>
      </w:r>
      <w:r>
        <w:rPr>
          <w:spacing w:val="-6"/>
        </w:rPr>
        <w:t> </w:t>
      </w:r>
      <w:r>
        <w:rPr/>
        <w:t>this</w:t>
      </w:r>
      <w:r>
        <w:rPr>
          <w:spacing w:val="-7"/>
        </w:rPr>
        <w:t> </w:t>
      </w:r>
      <w:r>
        <w:rPr/>
        <w:t>appears</w:t>
      </w:r>
      <w:r>
        <w:rPr>
          <w:spacing w:val="-7"/>
        </w:rPr>
        <w:t> </w:t>
      </w:r>
      <w:r>
        <w:rPr/>
        <w:t>to</w:t>
      </w:r>
      <w:r>
        <w:rPr>
          <w:spacing w:val="-8"/>
        </w:rPr>
        <w:t> </w:t>
      </w:r>
      <w:r>
        <w:rPr/>
        <w:t>be</w:t>
      </w:r>
      <w:r>
        <w:rPr>
          <w:spacing w:val="-7"/>
        </w:rPr>
        <w:t> </w:t>
      </w:r>
      <w:r>
        <w:rPr/>
        <w:t>true,</w:t>
      </w:r>
      <w:r>
        <w:rPr>
          <w:spacing w:val="-6"/>
        </w:rPr>
        <w:t> </w:t>
      </w:r>
      <w:r>
        <w:rPr/>
        <w:t>bearing</w:t>
      </w:r>
      <w:r>
        <w:rPr>
          <w:spacing w:val="-6"/>
        </w:rPr>
        <w:t> </w:t>
      </w:r>
      <w:r>
        <w:rPr/>
        <w:t>in</w:t>
      </w:r>
      <w:r>
        <w:rPr>
          <w:spacing w:val="-6"/>
        </w:rPr>
        <w:t> </w:t>
      </w:r>
      <w:r>
        <w:rPr/>
        <w:t>mind</w:t>
      </w:r>
      <w:r>
        <w:rPr>
          <w:spacing w:val="-8"/>
        </w:rPr>
        <w:t> </w:t>
      </w:r>
      <w:r>
        <w:rPr/>
        <w:t>that</w:t>
      </w:r>
      <w:r>
        <w:rPr>
          <w:spacing w:val="-7"/>
        </w:rPr>
        <w:t> </w:t>
      </w:r>
      <w:r>
        <w:rPr/>
        <w:t>the</w:t>
      </w:r>
      <w:r>
        <w:rPr>
          <w:spacing w:val="-5"/>
        </w:rPr>
        <w:t> </w:t>
      </w:r>
      <w:r>
        <w:rPr/>
        <w:t>main</w:t>
      </w:r>
      <w:r>
        <w:rPr>
          <w:spacing w:val="-8"/>
        </w:rPr>
        <w:t> </w:t>
      </w:r>
      <w:r>
        <w:rPr/>
        <w:t>effect</w:t>
      </w:r>
      <w:r>
        <w:rPr>
          <w:spacing w:val="-7"/>
        </w:rPr>
        <w:t> </w:t>
      </w:r>
      <w:r>
        <w:rPr/>
        <w:t>of</w:t>
      </w:r>
      <w:r>
        <w:rPr>
          <w:spacing w:val="-6"/>
        </w:rPr>
        <w:t> </w:t>
      </w:r>
      <w:r>
        <w:rPr/>
        <w:t>melato- nin is to control our day-night rhythm. At night, the retina of our eyes sends</w:t>
      </w:r>
      <w:r>
        <w:rPr>
          <w:spacing w:val="-54"/>
        </w:rPr>
        <w:t> </w:t>
      </w:r>
      <w:r>
        <w:rPr/>
        <w:t>a signal to the brain that initiates melatonin production and -release. For this purpose,</w:t>
      </w:r>
      <w:r>
        <w:rPr>
          <w:spacing w:val="-9"/>
        </w:rPr>
        <w:t> </w:t>
      </w:r>
      <w:r>
        <w:rPr/>
        <w:t>serotonin</w:t>
      </w:r>
      <w:r>
        <w:rPr>
          <w:spacing w:val="-8"/>
        </w:rPr>
        <w:t> </w:t>
      </w:r>
      <w:r>
        <w:rPr/>
        <w:t>is</w:t>
      </w:r>
      <w:r>
        <w:rPr>
          <w:spacing w:val="-8"/>
        </w:rPr>
        <w:t> </w:t>
      </w:r>
      <w:r>
        <w:rPr/>
        <w:t>converted</w:t>
      </w:r>
      <w:r>
        <w:rPr>
          <w:spacing w:val="-8"/>
        </w:rPr>
        <w:t> </w:t>
      </w:r>
      <w:r>
        <w:rPr/>
        <w:t>into</w:t>
      </w:r>
      <w:r>
        <w:rPr>
          <w:spacing w:val="-8"/>
        </w:rPr>
        <w:t> </w:t>
      </w:r>
      <w:r>
        <w:rPr/>
        <w:t>melatonin</w:t>
      </w:r>
      <w:r>
        <w:rPr>
          <w:spacing w:val="-8"/>
        </w:rPr>
        <w:t> </w:t>
      </w:r>
      <w:r>
        <w:rPr/>
        <w:t>via</w:t>
      </w:r>
      <w:r>
        <w:rPr>
          <w:spacing w:val="-10"/>
        </w:rPr>
        <w:t> </w:t>
      </w:r>
      <w:r>
        <w:rPr/>
        <w:t>several</w:t>
      </w:r>
      <w:r>
        <w:rPr>
          <w:spacing w:val="-10"/>
        </w:rPr>
        <w:t> </w:t>
      </w:r>
      <w:r>
        <w:rPr/>
        <w:t>intermediate</w:t>
      </w:r>
      <w:r>
        <w:rPr>
          <w:spacing w:val="-9"/>
        </w:rPr>
        <w:t> </w:t>
      </w:r>
      <w:r>
        <w:rPr/>
        <w:t>stages. We get tired and fall into a good night's</w:t>
      </w:r>
      <w:r>
        <w:rPr>
          <w:spacing w:val="-1"/>
        </w:rPr>
        <w:t> </w:t>
      </w:r>
      <w:r>
        <w:rPr/>
        <w:t>sleep.</w:t>
      </w:r>
    </w:p>
    <w:p>
      <w:pPr>
        <w:pStyle w:val="BodyText"/>
        <w:spacing w:line="276" w:lineRule="auto" w:before="240"/>
        <w:ind w:left="616" w:right="138"/>
        <w:jc w:val="both"/>
      </w:pPr>
      <w:r>
        <w:rPr/>
        <w:t>Daylight</w:t>
      </w:r>
      <w:r>
        <w:rPr>
          <w:spacing w:val="-13"/>
        </w:rPr>
        <w:t> </w:t>
      </w:r>
      <w:r>
        <w:rPr/>
        <w:t>stops</w:t>
      </w:r>
      <w:r>
        <w:rPr>
          <w:spacing w:val="-12"/>
        </w:rPr>
        <w:t> </w:t>
      </w:r>
      <w:r>
        <w:rPr/>
        <w:t>the</w:t>
      </w:r>
      <w:r>
        <w:rPr>
          <w:spacing w:val="-12"/>
        </w:rPr>
        <w:t> </w:t>
      </w:r>
      <w:r>
        <w:rPr/>
        <w:t>release</w:t>
      </w:r>
      <w:r>
        <w:rPr>
          <w:spacing w:val="-13"/>
        </w:rPr>
        <w:t> </w:t>
      </w:r>
      <w:r>
        <w:rPr/>
        <w:t>of</w:t>
      </w:r>
      <w:r>
        <w:rPr>
          <w:spacing w:val="-15"/>
        </w:rPr>
        <w:t> </w:t>
      </w:r>
      <w:r>
        <w:rPr/>
        <w:t>melatonin,</w:t>
      </w:r>
      <w:r>
        <w:rPr>
          <w:spacing w:val="-12"/>
        </w:rPr>
        <w:t> </w:t>
      </w:r>
      <w:r>
        <w:rPr/>
        <w:t>serotonin</w:t>
      </w:r>
      <w:r>
        <w:rPr>
          <w:spacing w:val="-12"/>
        </w:rPr>
        <w:t> </w:t>
      </w:r>
      <w:r>
        <w:rPr/>
        <w:t>is</w:t>
      </w:r>
      <w:r>
        <w:rPr>
          <w:spacing w:val="-13"/>
        </w:rPr>
        <w:t> </w:t>
      </w:r>
      <w:r>
        <w:rPr/>
        <w:t>increasingly</w:t>
      </w:r>
      <w:r>
        <w:rPr>
          <w:spacing w:val="-17"/>
        </w:rPr>
        <w:t> </w:t>
      </w:r>
      <w:r>
        <w:rPr/>
        <w:t>produced,</w:t>
      </w:r>
      <w:r>
        <w:rPr>
          <w:spacing w:val="-12"/>
        </w:rPr>
        <w:t> </w:t>
      </w:r>
      <w:r>
        <w:rPr/>
        <w:t>we wake</w:t>
      </w:r>
      <w:r>
        <w:rPr>
          <w:spacing w:val="-10"/>
        </w:rPr>
        <w:t> </w:t>
      </w:r>
      <w:r>
        <w:rPr/>
        <w:t>up</w:t>
      </w:r>
      <w:r>
        <w:rPr>
          <w:spacing w:val="-11"/>
        </w:rPr>
        <w:t> </w:t>
      </w:r>
      <w:r>
        <w:rPr/>
        <w:t>and</w:t>
      </w:r>
      <w:r>
        <w:rPr>
          <w:spacing w:val="-10"/>
        </w:rPr>
        <w:t> </w:t>
      </w:r>
      <w:r>
        <w:rPr/>
        <w:t>are</w:t>
      </w:r>
      <w:r>
        <w:rPr>
          <w:spacing w:val="-11"/>
        </w:rPr>
        <w:t> </w:t>
      </w:r>
      <w:r>
        <w:rPr/>
        <w:t>ready</w:t>
      </w:r>
      <w:r>
        <w:rPr>
          <w:spacing w:val="-11"/>
        </w:rPr>
        <w:t> </w:t>
      </w:r>
      <w:r>
        <w:rPr/>
        <w:t>for</w:t>
      </w:r>
      <w:r>
        <w:rPr>
          <w:spacing w:val="-10"/>
        </w:rPr>
        <w:t> </w:t>
      </w:r>
      <w:r>
        <w:rPr/>
        <w:t>everyday</w:t>
      </w:r>
      <w:r>
        <w:rPr>
          <w:spacing w:val="-11"/>
        </w:rPr>
        <w:t> </w:t>
      </w:r>
      <w:r>
        <w:rPr/>
        <w:t>needs.</w:t>
      </w:r>
      <w:r>
        <w:rPr>
          <w:spacing w:val="-9"/>
        </w:rPr>
        <w:t> </w:t>
      </w:r>
      <w:r>
        <w:rPr/>
        <w:t>This</w:t>
      </w:r>
      <w:r>
        <w:rPr>
          <w:spacing w:val="-11"/>
        </w:rPr>
        <w:t> </w:t>
      </w:r>
      <w:r>
        <w:rPr/>
        <w:t>is</w:t>
      </w:r>
      <w:r>
        <w:rPr>
          <w:spacing w:val="-13"/>
        </w:rPr>
        <w:t> </w:t>
      </w:r>
      <w:r>
        <w:rPr/>
        <w:t>also</w:t>
      </w:r>
      <w:r>
        <w:rPr>
          <w:spacing w:val="-10"/>
        </w:rPr>
        <w:t> </w:t>
      </w:r>
      <w:r>
        <w:rPr/>
        <w:t>the</w:t>
      </w:r>
      <w:r>
        <w:rPr>
          <w:spacing w:val="-10"/>
        </w:rPr>
        <w:t> </w:t>
      </w:r>
      <w:r>
        <w:rPr/>
        <w:t>reason</w:t>
      </w:r>
      <w:r>
        <w:rPr>
          <w:spacing w:val="-14"/>
        </w:rPr>
        <w:t> </w:t>
      </w:r>
      <w:r>
        <w:rPr/>
        <w:t>why</w:t>
      </w:r>
      <w:r>
        <w:rPr>
          <w:spacing w:val="-10"/>
        </w:rPr>
        <w:t> </w:t>
      </w:r>
      <w:r>
        <w:rPr/>
        <w:t>toddlers sleep a lot until the age of 3 because they have an increased release of melato- nin.</w:t>
      </w:r>
    </w:p>
    <w:p>
      <w:pPr>
        <w:pStyle w:val="BodyText"/>
        <w:spacing w:line="276" w:lineRule="auto" w:before="242"/>
        <w:ind w:left="616" w:right="138"/>
        <w:jc w:val="both"/>
      </w:pPr>
      <w:r>
        <w:rPr/>
        <w:t>The pineal glands of seniors, on the other hand, hardly release any more mel- atonin,</w:t>
      </w:r>
      <w:r>
        <w:rPr>
          <w:spacing w:val="-23"/>
        </w:rPr>
        <w:t> </w:t>
      </w:r>
      <w:r>
        <w:rPr/>
        <w:t>which</w:t>
      </w:r>
      <w:r>
        <w:rPr>
          <w:spacing w:val="-23"/>
        </w:rPr>
        <w:t> </w:t>
      </w:r>
      <w:r>
        <w:rPr/>
        <w:t>is</w:t>
      </w:r>
      <w:r>
        <w:rPr>
          <w:spacing w:val="-24"/>
        </w:rPr>
        <w:t> </w:t>
      </w:r>
      <w:r>
        <w:rPr/>
        <w:t>why</w:t>
      </w:r>
      <w:r>
        <w:rPr>
          <w:spacing w:val="-23"/>
        </w:rPr>
        <w:t> </w:t>
      </w:r>
      <w:r>
        <w:rPr/>
        <w:t>they</w:t>
      </w:r>
      <w:r>
        <w:rPr>
          <w:spacing w:val="-23"/>
        </w:rPr>
        <w:t> </w:t>
      </w:r>
      <w:r>
        <w:rPr/>
        <w:t>get</w:t>
      </w:r>
      <w:r>
        <w:rPr>
          <w:spacing w:val="-24"/>
        </w:rPr>
        <w:t> </w:t>
      </w:r>
      <w:r>
        <w:rPr/>
        <w:t>along</w:t>
      </w:r>
      <w:r>
        <w:rPr>
          <w:spacing w:val="-23"/>
        </w:rPr>
        <w:t> </w:t>
      </w:r>
      <w:r>
        <w:rPr/>
        <w:t>with</w:t>
      </w:r>
      <w:r>
        <w:rPr>
          <w:spacing w:val="-23"/>
        </w:rPr>
        <w:t> </w:t>
      </w:r>
      <w:r>
        <w:rPr/>
        <w:t>very</w:t>
      </w:r>
      <w:r>
        <w:rPr>
          <w:spacing w:val="-23"/>
        </w:rPr>
        <w:t> </w:t>
      </w:r>
      <w:r>
        <w:rPr/>
        <w:t>little</w:t>
      </w:r>
      <w:r>
        <w:rPr>
          <w:spacing w:val="-23"/>
        </w:rPr>
        <w:t> </w:t>
      </w:r>
      <w:r>
        <w:rPr/>
        <w:t>sleep.</w:t>
      </w:r>
      <w:r>
        <w:rPr>
          <w:spacing w:val="-23"/>
        </w:rPr>
        <w:t> </w:t>
      </w:r>
      <w:r>
        <w:rPr/>
        <w:t>Interestingly,</w:t>
      </w:r>
      <w:r>
        <w:rPr>
          <w:spacing w:val="-23"/>
        </w:rPr>
        <w:t> </w:t>
      </w:r>
      <w:r>
        <w:rPr/>
        <w:t>pregnant</w:t>
      </w:r>
    </w:p>
    <w:p>
      <w:pPr>
        <w:spacing w:after="0" w:line="276" w:lineRule="auto"/>
        <w:jc w:val="both"/>
        <w:sectPr>
          <w:footerReference w:type="default" r:id="rId228"/>
          <w:pgSz w:w="14270" w:h="16850"/>
          <w:pgMar w:footer="1891" w:header="0" w:top="1320" w:bottom="2080" w:left="800" w:right="1280"/>
          <w:pgNumType w:start="980"/>
        </w:sectPr>
      </w:pPr>
    </w:p>
    <w:p>
      <w:pPr>
        <w:pStyle w:val="BodyText"/>
        <w:spacing w:before="74"/>
        <w:ind w:left="616"/>
        <w:rPr>
          <w:sz w:val="25"/>
        </w:rPr>
      </w:pPr>
      <w:r>
        <w:rPr/>
        <w:t>women sleep well due to a 300-fold increase in melatonin levels.</w:t>
      </w:r>
      <w:r>
        <w:rPr>
          <w:position w:val="9"/>
          <w:sz w:val="25"/>
        </w:rPr>
        <w:t>538</w:t>
      </w:r>
    </w:p>
    <w:p>
      <w:pPr>
        <w:pStyle w:val="BodyText"/>
        <w:spacing w:line="276" w:lineRule="auto" w:before="305"/>
        <w:ind w:left="616" w:right="131"/>
        <w:jc w:val="both"/>
      </w:pPr>
      <w:r>
        <w:rPr/>
        <w:t>In short: melatonin is ideal for promoting a good night's sleep and is recom- mended for sleep problems as well as jet lag. This is a remarkable fact,</w:t>
      </w:r>
      <w:r>
        <w:rPr>
          <w:spacing w:val="-66"/>
        </w:rPr>
        <w:t> </w:t>
      </w:r>
      <w:r>
        <w:rPr/>
        <w:t>consid- ering</w:t>
      </w:r>
      <w:r>
        <w:rPr>
          <w:spacing w:val="-6"/>
        </w:rPr>
        <w:t> </w:t>
      </w:r>
      <w:r>
        <w:rPr/>
        <w:t>that</w:t>
      </w:r>
      <w:r>
        <w:rPr>
          <w:spacing w:val="-7"/>
        </w:rPr>
        <w:t> </w:t>
      </w:r>
      <w:r>
        <w:rPr/>
        <w:t>more</w:t>
      </w:r>
      <w:r>
        <w:rPr>
          <w:spacing w:val="-8"/>
        </w:rPr>
        <w:t> </w:t>
      </w:r>
      <w:r>
        <w:rPr/>
        <w:t>than</w:t>
      </w:r>
      <w:r>
        <w:rPr>
          <w:spacing w:val="-6"/>
        </w:rPr>
        <w:t> </w:t>
      </w:r>
      <w:r>
        <w:rPr/>
        <w:t>a</w:t>
      </w:r>
      <w:r>
        <w:rPr>
          <w:spacing w:val="-7"/>
        </w:rPr>
        <w:t> </w:t>
      </w:r>
      <w:r>
        <w:rPr/>
        <w:t>third</w:t>
      </w:r>
      <w:r>
        <w:rPr>
          <w:spacing w:val="-7"/>
        </w:rPr>
        <w:t> </w:t>
      </w:r>
      <w:r>
        <w:rPr/>
        <w:t>of</w:t>
      </w:r>
      <w:r>
        <w:rPr>
          <w:spacing w:val="-6"/>
        </w:rPr>
        <w:t> </w:t>
      </w:r>
      <w:r>
        <w:rPr/>
        <w:t>older</w:t>
      </w:r>
      <w:r>
        <w:rPr>
          <w:spacing w:val="-6"/>
        </w:rPr>
        <w:t> </w:t>
      </w:r>
      <w:r>
        <w:rPr/>
        <w:t>adults</w:t>
      </w:r>
      <w:r>
        <w:rPr>
          <w:spacing w:val="-6"/>
        </w:rPr>
        <w:t> </w:t>
      </w:r>
      <w:r>
        <w:rPr/>
        <w:t>in</w:t>
      </w:r>
      <w:r>
        <w:rPr>
          <w:spacing w:val="-7"/>
        </w:rPr>
        <w:t> </w:t>
      </w:r>
      <w:r>
        <w:rPr/>
        <w:t>the</w:t>
      </w:r>
      <w:r>
        <w:rPr>
          <w:spacing w:val="-3"/>
        </w:rPr>
        <w:t> </w:t>
      </w:r>
      <w:r>
        <w:rPr/>
        <w:t>United</w:t>
      </w:r>
      <w:r>
        <w:rPr>
          <w:spacing w:val="-8"/>
        </w:rPr>
        <w:t> </w:t>
      </w:r>
      <w:r>
        <w:rPr/>
        <w:t>States</w:t>
      </w:r>
      <w:r>
        <w:rPr>
          <w:spacing w:val="-4"/>
        </w:rPr>
        <w:t> </w:t>
      </w:r>
      <w:r>
        <w:rPr/>
        <w:t>are</w:t>
      </w:r>
      <w:r>
        <w:rPr>
          <w:spacing w:val="-6"/>
        </w:rPr>
        <w:t> </w:t>
      </w:r>
      <w:r>
        <w:rPr/>
        <w:t>taking</w:t>
      </w:r>
      <w:r>
        <w:rPr>
          <w:spacing w:val="-6"/>
        </w:rPr>
        <w:t> </w:t>
      </w:r>
      <w:r>
        <w:rPr/>
        <w:t>pills to help them sleep</w:t>
      </w:r>
      <w:r>
        <w:rPr>
          <w:position w:val="9"/>
          <w:sz w:val="25"/>
        </w:rPr>
        <w:t>539</w:t>
      </w:r>
      <w:r>
        <w:rPr/>
        <w:t>, while these often lead to addiction and only induce the deep sleep phase with delay, melatonin is considered to be free of side effects and induces the deep sleep phase after just 60</w:t>
      </w:r>
      <w:r>
        <w:rPr>
          <w:spacing w:val="-1"/>
        </w:rPr>
        <w:t> </w:t>
      </w:r>
      <w:r>
        <w:rPr/>
        <w:t>minutes.</w:t>
      </w:r>
    </w:p>
    <w:p>
      <w:pPr>
        <w:pStyle w:val="BodyText"/>
        <w:spacing w:line="276" w:lineRule="auto" w:before="240"/>
        <w:ind w:left="616" w:right="130"/>
        <w:jc w:val="both"/>
      </w:pPr>
      <w:r>
        <w:rPr/>
        <w:t>Big Pharma is not particularly willing to give a non-patentable remedy such as melatonin</w:t>
      </w:r>
      <w:r>
        <w:rPr>
          <w:spacing w:val="-14"/>
        </w:rPr>
        <w:t> </w:t>
      </w:r>
      <w:r>
        <w:rPr/>
        <w:t>preference</w:t>
      </w:r>
      <w:r>
        <w:rPr>
          <w:spacing w:val="-13"/>
        </w:rPr>
        <w:t> </w:t>
      </w:r>
      <w:r>
        <w:rPr/>
        <w:t>over</w:t>
      </w:r>
      <w:r>
        <w:rPr>
          <w:spacing w:val="-15"/>
        </w:rPr>
        <w:t> </w:t>
      </w:r>
      <w:r>
        <w:rPr/>
        <w:t>their</w:t>
      </w:r>
      <w:r>
        <w:rPr>
          <w:spacing w:val="-14"/>
        </w:rPr>
        <w:t> </w:t>
      </w:r>
      <w:r>
        <w:rPr/>
        <w:t>'sleeping</w:t>
      </w:r>
      <w:r>
        <w:rPr>
          <w:spacing w:val="-14"/>
        </w:rPr>
        <w:t> </w:t>
      </w:r>
      <w:r>
        <w:rPr/>
        <w:t>tablets',</w:t>
      </w:r>
      <w:r>
        <w:rPr>
          <w:spacing w:val="-16"/>
        </w:rPr>
        <w:t> </w:t>
      </w:r>
      <w:r>
        <w:rPr/>
        <w:t>especially</w:t>
      </w:r>
      <w:r>
        <w:rPr>
          <w:spacing w:val="-15"/>
        </w:rPr>
        <w:t> </w:t>
      </w:r>
      <w:r>
        <w:rPr/>
        <w:t>since</w:t>
      </w:r>
      <w:r>
        <w:rPr>
          <w:spacing w:val="-15"/>
        </w:rPr>
        <w:t> </w:t>
      </w:r>
      <w:r>
        <w:rPr/>
        <w:t>melatonin,</w:t>
      </w:r>
      <w:r>
        <w:rPr>
          <w:spacing w:val="-13"/>
        </w:rPr>
        <w:t> </w:t>
      </w:r>
      <w:r>
        <w:rPr/>
        <w:t>as we</w:t>
      </w:r>
      <w:r>
        <w:rPr>
          <w:spacing w:val="-25"/>
        </w:rPr>
        <w:t> </w:t>
      </w:r>
      <w:r>
        <w:rPr/>
        <w:t>have</w:t>
      </w:r>
      <w:r>
        <w:rPr>
          <w:spacing w:val="-24"/>
        </w:rPr>
        <w:t> </w:t>
      </w:r>
      <w:r>
        <w:rPr/>
        <w:t>learned</w:t>
      </w:r>
      <w:r>
        <w:rPr>
          <w:spacing w:val="-20"/>
        </w:rPr>
        <w:t> </w:t>
      </w:r>
      <w:r>
        <w:rPr/>
        <w:t>in</w:t>
      </w:r>
      <w:r>
        <w:rPr>
          <w:spacing w:val="-23"/>
        </w:rPr>
        <w:t> </w:t>
      </w:r>
      <w:r>
        <w:rPr/>
        <w:t>these</w:t>
      </w:r>
      <w:r>
        <w:rPr>
          <w:spacing w:val="-23"/>
        </w:rPr>
        <w:t> </w:t>
      </w:r>
      <w:r>
        <w:rPr/>
        <w:t>sections,</w:t>
      </w:r>
      <w:r>
        <w:rPr>
          <w:spacing w:val="-24"/>
        </w:rPr>
        <w:t> </w:t>
      </w:r>
      <w:r>
        <w:rPr/>
        <w:t>additionally</w:t>
      </w:r>
      <w:r>
        <w:rPr>
          <w:spacing w:val="-24"/>
        </w:rPr>
        <w:t> </w:t>
      </w:r>
      <w:r>
        <w:rPr/>
        <w:t>prevents</w:t>
      </w:r>
      <w:r>
        <w:rPr>
          <w:spacing w:val="-22"/>
        </w:rPr>
        <w:t> </w:t>
      </w:r>
      <w:r>
        <w:rPr/>
        <w:t>many</w:t>
      </w:r>
      <w:r>
        <w:rPr>
          <w:spacing w:val="-23"/>
        </w:rPr>
        <w:t> </w:t>
      </w:r>
      <w:r>
        <w:rPr/>
        <w:t>diseases</w:t>
      </w:r>
      <w:r>
        <w:rPr>
          <w:spacing w:val="-23"/>
        </w:rPr>
        <w:t> </w:t>
      </w:r>
      <w:r>
        <w:rPr/>
        <w:t>and</w:t>
      </w:r>
      <w:r>
        <w:rPr>
          <w:spacing w:val="-23"/>
        </w:rPr>
        <w:t> </w:t>
      </w:r>
      <w:r>
        <w:rPr/>
        <w:t>even heals them. Melatonin is therefore a harmless substance that would make countless medicines superfluous and would cost the pharmaceutical industry billions in</w:t>
      </w:r>
      <w:r>
        <w:rPr>
          <w:spacing w:val="1"/>
        </w:rPr>
        <w:t> </w:t>
      </w:r>
      <w:r>
        <w:rPr/>
        <w:t>revenue.</w:t>
      </w:r>
    </w:p>
    <w:p>
      <w:pPr>
        <w:pStyle w:val="Heading1"/>
        <w:spacing w:before="223"/>
        <w:ind w:left="616"/>
      </w:pPr>
      <w:r>
        <w:rPr/>
        <w:t>Recommended intake of melatonin for sleep disorders</w:t>
      </w:r>
    </w:p>
    <w:p>
      <w:pPr>
        <w:pStyle w:val="BodyText"/>
        <w:spacing w:line="276" w:lineRule="auto" w:before="299"/>
        <w:ind w:left="616" w:right="136"/>
        <w:jc w:val="both"/>
      </w:pPr>
      <w:r>
        <w:rPr/>
        <w:t>In</w:t>
      </w:r>
      <w:r>
        <w:rPr>
          <w:spacing w:val="-19"/>
        </w:rPr>
        <w:t> </w:t>
      </w:r>
      <w:r>
        <w:rPr/>
        <w:t>their</w:t>
      </w:r>
      <w:r>
        <w:rPr>
          <w:spacing w:val="-19"/>
        </w:rPr>
        <w:t> </w:t>
      </w:r>
      <w:r>
        <w:rPr/>
        <w:t>book</w:t>
      </w:r>
      <w:r>
        <w:rPr>
          <w:spacing w:val="-19"/>
        </w:rPr>
        <w:t> </w:t>
      </w:r>
      <w:r>
        <w:rPr/>
        <w:t>'Melatonin</w:t>
      </w:r>
      <w:r>
        <w:rPr>
          <w:spacing w:val="-20"/>
        </w:rPr>
        <w:t> </w:t>
      </w:r>
      <w:r>
        <w:rPr/>
        <w:t>–</w:t>
      </w:r>
      <w:r>
        <w:rPr>
          <w:spacing w:val="-19"/>
        </w:rPr>
        <w:t> </w:t>
      </w:r>
      <w:r>
        <w:rPr/>
        <w:t>The</w:t>
      </w:r>
      <w:r>
        <w:rPr>
          <w:spacing w:val="-19"/>
        </w:rPr>
        <w:t> </w:t>
      </w:r>
      <w:r>
        <w:rPr/>
        <w:t>Pill</w:t>
      </w:r>
      <w:r>
        <w:rPr>
          <w:spacing w:val="-20"/>
        </w:rPr>
        <w:t> </w:t>
      </w:r>
      <w:r>
        <w:rPr/>
        <w:t>for</w:t>
      </w:r>
      <w:r>
        <w:rPr>
          <w:spacing w:val="-19"/>
        </w:rPr>
        <w:t> </w:t>
      </w:r>
      <w:r>
        <w:rPr/>
        <w:t>Health</w:t>
      </w:r>
      <w:r>
        <w:rPr>
          <w:spacing w:val="-19"/>
        </w:rPr>
        <w:t> </w:t>
      </w:r>
      <w:r>
        <w:rPr/>
        <w:t>and</w:t>
      </w:r>
      <w:r>
        <w:rPr>
          <w:spacing w:val="-20"/>
        </w:rPr>
        <w:t> </w:t>
      </w:r>
      <w:r>
        <w:rPr/>
        <w:t>Eternal</w:t>
      </w:r>
      <w:r>
        <w:rPr>
          <w:spacing w:val="-19"/>
        </w:rPr>
        <w:t> </w:t>
      </w:r>
      <w:r>
        <w:rPr/>
        <w:t>Youth?',</w:t>
      </w:r>
      <w:r>
        <w:rPr>
          <w:spacing w:val="-19"/>
        </w:rPr>
        <w:t> </w:t>
      </w:r>
      <w:r>
        <w:rPr/>
        <w:t>Dr.</w:t>
      </w:r>
      <w:r>
        <w:rPr>
          <w:spacing w:val="-21"/>
        </w:rPr>
        <w:t> </w:t>
      </w:r>
      <w:r>
        <w:rPr/>
        <w:t>Arnold Hilgers and Dr. Inge Hofmann recommend taking a dose of 1 mg about 20 minutes before the desired sleep time. Furthermore, it is best to proceed in</w:t>
      </w:r>
      <w:r>
        <w:rPr>
          <w:spacing w:val="-46"/>
        </w:rPr>
        <w:t> </w:t>
      </w:r>
      <w:r>
        <w:rPr/>
        <w:t>an interval-like manner: Taking melatonin every evening for three consecutive weeks</w:t>
      </w:r>
      <w:r>
        <w:rPr>
          <w:spacing w:val="-14"/>
        </w:rPr>
        <w:t> </w:t>
      </w:r>
      <w:r>
        <w:rPr/>
        <w:t>followed</w:t>
      </w:r>
      <w:r>
        <w:rPr>
          <w:spacing w:val="-11"/>
        </w:rPr>
        <w:t> </w:t>
      </w:r>
      <w:r>
        <w:rPr/>
        <w:t>by</w:t>
      </w:r>
      <w:r>
        <w:rPr>
          <w:spacing w:val="-14"/>
        </w:rPr>
        <w:t> </w:t>
      </w:r>
      <w:r>
        <w:rPr/>
        <w:t>a</w:t>
      </w:r>
      <w:r>
        <w:rPr>
          <w:spacing w:val="-14"/>
        </w:rPr>
        <w:t> </w:t>
      </w:r>
      <w:r>
        <w:rPr/>
        <w:t>week’s</w:t>
      </w:r>
      <w:r>
        <w:rPr>
          <w:spacing w:val="-13"/>
        </w:rPr>
        <w:t> </w:t>
      </w:r>
      <w:r>
        <w:rPr/>
        <w:t>pause.</w:t>
      </w:r>
      <w:r>
        <w:rPr>
          <w:spacing w:val="-13"/>
        </w:rPr>
        <w:t> </w:t>
      </w:r>
      <w:r>
        <w:rPr/>
        <w:t>Continue</w:t>
      </w:r>
      <w:r>
        <w:rPr>
          <w:spacing w:val="-15"/>
        </w:rPr>
        <w:t> </w:t>
      </w:r>
      <w:r>
        <w:rPr/>
        <w:t>in</w:t>
      </w:r>
      <w:r>
        <w:rPr>
          <w:spacing w:val="-13"/>
        </w:rPr>
        <w:t> </w:t>
      </w:r>
      <w:r>
        <w:rPr/>
        <w:t>this</w:t>
      </w:r>
      <w:r>
        <w:rPr>
          <w:spacing w:val="-13"/>
        </w:rPr>
        <w:t> </w:t>
      </w:r>
      <w:r>
        <w:rPr/>
        <w:t>cycle</w:t>
      </w:r>
      <w:r>
        <w:rPr>
          <w:spacing w:val="-14"/>
        </w:rPr>
        <w:t> </w:t>
      </w:r>
      <w:r>
        <w:rPr/>
        <w:t>until</w:t>
      </w:r>
      <w:r>
        <w:rPr>
          <w:spacing w:val="-14"/>
        </w:rPr>
        <w:t> </w:t>
      </w:r>
      <w:r>
        <w:rPr/>
        <w:t>the</w:t>
      </w:r>
      <w:r>
        <w:rPr>
          <w:spacing w:val="-11"/>
        </w:rPr>
        <w:t> </w:t>
      </w:r>
      <w:r>
        <w:rPr/>
        <w:t>natural</w:t>
      </w:r>
      <w:r>
        <w:rPr>
          <w:spacing w:val="-15"/>
        </w:rPr>
        <w:t> </w:t>
      </w:r>
      <w:r>
        <w:rPr/>
        <w:t>sleep pattern has settled, then gradually reduce the intake of</w:t>
      </w:r>
      <w:r>
        <w:rPr>
          <w:spacing w:val="-7"/>
        </w:rPr>
        <w:t> </w:t>
      </w:r>
      <w:r>
        <w:rPr/>
        <w:t>melatonin.</w:t>
      </w:r>
    </w:p>
    <w:p>
      <w:pPr>
        <w:pStyle w:val="BodyText"/>
        <w:rPr>
          <w:sz w:val="20"/>
        </w:rPr>
      </w:pPr>
    </w:p>
    <w:p>
      <w:pPr>
        <w:pStyle w:val="BodyText"/>
        <w:rPr>
          <w:sz w:val="20"/>
        </w:rPr>
      </w:pPr>
    </w:p>
    <w:p>
      <w:pPr>
        <w:pStyle w:val="BodyText"/>
        <w:rPr>
          <w:sz w:val="20"/>
        </w:rPr>
      </w:pPr>
    </w:p>
    <w:p>
      <w:pPr>
        <w:pStyle w:val="BodyText"/>
        <w:spacing w:before="9"/>
        <w:rPr>
          <w:sz w:val="15"/>
        </w:rPr>
      </w:pPr>
      <w:r>
        <w:rPr/>
        <w:pict>
          <v:line style="position:absolute;mso-position-horizontal-relative:page;mso-position-vertical-relative:paragraph;z-index:6920;mso-wrap-distance-left:0;mso-wrap-distance-right:0" from="70.823997pt,11.242515pt" to="214.843997pt,11.242515pt" stroked="true" strokeweight=".71997pt" strokecolor="#000000">
            <v:stroke dashstyle="solid"/>
            <w10:wrap type="topAndBottom"/>
          </v:line>
        </w:pict>
      </w:r>
    </w:p>
    <w:p>
      <w:pPr>
        <w:pStyle w:val="BodyText"/>
        <w:spacing w:before="7"/>
        <w:rPr>
          <w:sz w:val="18"/>
        </w:rPr>
      </w:pPr>
    </w:p>
    <w:p>
      <w:pPr>
        <w:spacing w:line="276" w:lineRule="auto" w:before="99"/>
        <w:ind w:left="616" w:right="156" w:firstLine="0"/>
        <w:jc w:val="left"/>
        <w:rPr>
          <w:sz w:val="20"/>
        </w:rPr>
      </w:pPr>
      <w:r>
        <w:rPr>
          <w:position w:val="5"/>
          <w:sz w:val="13"/>
        </w:rPr>
        <w:t>538 </w:t>
      </w:r>
      <w:r>
        <w:rPr>
          <w:sz w:val="20"/>
        </w:rPr>
        <w:t>Dr. Arnold Hilgers and Dr. Inge Hofmann: Melatonin – die Pille für Gesundheit und ewige Jugend? ('Melatonin – The Pill for Health and Eter- nal Youth?'), 1996, p. 21</w:t>
      </w:r>
    </w:p>
    <w:p>
      <w:pPr>
        <w:pStyle w:val="BodyText"/>
        <w:rPr>
          <w:sz w:val="22"/>
        </w:rPr>
      </w:pPr>
    </w:p>
    <w:p>
      <w:pPr>
        <w:spacing w:before="133"/>
        <w:ind w:left="616" w:right="0" w:firstLine="0"/>
        <w:jc w:val="left"/>
        <w:rPr>
          <w:sz w:val="20"/>
        </w:rPr>
      </w:pPr>
      <w:r>
        <w:rPr/>
        <w:drawing>
          <wp:anchor distT="0" distB="0" distL="0" distR="0" allowOverlap="1" layoutInCell="1" locked="0" behindDoc="1" simplePos="0" relativeHeight="267174719">
            <wp:simplePos x="0" y="0"/>
            <wp:positionH relativeFrom="page">
              <wp:posOffset>985998</wp:posOffset>
            </wp:positionH>
            <wp:positionV relativeFrom="paragraph">
              <wp:posOffset>-35964</wp:posOffset>
            </wp:positionV>
            <wp:extent cx="6379583" cy="902106"/>
            <wp:effectExtent l="0" t="0" r="0" b="0"/>
            <wp:wrapNone/>
            <wp:docPr id="347" name="image2.jpeg" descr=""/>
            <wp:cNvGraphicFramePr>
              <a:graphicFrameLocks noChangeAspect="1"/>
            </wp:cNvGraphicFramePr>
            <a:graphic>
              <a:graphicData uri="http://schemas.openxmlformats.org/drawingml/2006/picture">
                <pic:pic>
                  <pic:nvPicPr>
                    <pic:cNvPr id="348"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539 </w:t>
      </w:r>
      <w:r>
        <w:rPr>
          <w:sz w:val="20"/>
        </w:rPr>
        <w:t>https://</w:t>
      </w:r>
      <w:hyperlink r:id="rId230">
        <w:r>
          <w:rPr>
            <w:sz w:val="20"/>
          </w:rPr>
          <w:t>www.independent.co.uk/news/health/elderly-americans-sleeping-pills-catastrophic-us-drugs-insomnia-epidemic-a7969656.html</w:t>
        </w:r>
      </w:hyperlink>
    </w:p>
    <w:p>
      <w:pPr>
        <w:spacing w:after="0"/>
        <w:jc w:val="left"/>
        <w:rPr>
          <w:sz w:val="20"/>
        </w:rPr>
        <w:sectPr>
          <w:footerReference w:type="default" r:id="rId229"/>
          <w:pgSz w:w="14270" w:h="16850"/>
          <w:pgMar w:footer="527" w:header="0" w:top="1340" w:bottom="720" w:left="800" w:right="1280"/>
          <w:pgNumType w:start="981"/>
        </w:sectPr>
      </w:pPr>
    </w:p>
    <w:p>
      <w:pPr>
        <w:pStyle w:val="Heading1"/>
        <w:spacing w:before="77"/>
        <w:ind w:left="616"/>
      </w:pPr>
      <w:r>
        <w:rPr/>
        <w:t>Effect of melatonin on Down’s</w:t>
      </w:r>
      <w:r>
        <w:rPr>
          <w:spacing w:val="-55"/>
        </w:rPr>
        <w:t> </w:t>
      </w:r>
      <w:r>
        <w:rPr/>
        <w:t>syndrome</w:t>
      </w:r>
    </w:p>
    <w:p>
      <w:pPr>
        <w:pStyle w:val="BodyText"/>
        <w:spacing w:line="276" w:lineRule="auto" w:before="299"/>
        <w:ind w:left="616" w:right="136"/>
        <w:jc w:val="both"/>
      </w:pPr>
      <w:r>
        <w:rPr/>
        <w:t>Down's syndrome, also called 'Mongolism' in the past, is also characterised by the fact that the sleeping rhythm, similar to that of older people, is disturbed. Furthermore, Down’s syndrome patients have abnormally high or abnormally low thyroid levels, which correlate with those of a distant pineal gland. Older patients are automatically susceptible to infections, which may also be at- tributed to a lack of melatonin. An additional dose of melatonin may improve the symptoms mentioned above, the sleep-wake cycle, as well as any resulting symptoms or clinical</w:t>
      </w:r>
      <w:r>
        <w:rPr>
          <w:spacing w:val="-2"/>
        </w:rPr>
        <w:t> </w:t>
      </w:r>
      <w:r>
        <w:rPr/>
        <w:t>pictures.</w:t>
      </w:r>
    </w:p>
    <w:p>
      <w:pPr>
        <w:pStyle w:val="Heading1"/>
        <w:spacing w:before="222"/>
        <w:ind w:left="616"/>
      </w:pPr>
      <w:r>
        <w:rPr>
          <w:w w:val="95"/>
        </w:rPr>
        <w:t>Effect against</w:t>
      </w:r>
      <w:r>
        <w:rPr>
          <w:spacing w:val="-11"/>
          <w:w w:val="95"/>
        </w:rPr>
        <w:t> </w:t>
      </w:r>
      <w:r>
        <w:rPr>
          <w:w w:val="95"/>
        </w:rPr>
        <w:t>osteoporosis</w:t>
      </w:r>
    </w:p>
    <w:p>
      <w:pPr>
        <w:pStyle w:val="BodyText"/>
        <w:spacing w:line="276" w:lineRule="auto" w:before="299"/>
        <w:ind w:left="616" w:right="139"/>
        <w:jc w:val="both"/>
      </w:pPr>
      <w:r>
        <w:rPr/>
        <w:t>Melatonin could counteract osteoporosis by regulating oestrogens; the pineal gland apparently plays a central role in calcium metabolism, as animal experi- ments have shown. As is known, however, calcium counteracts osteoporosis.</w:t>
      </w:r>
    </w:p>
    <w:p>
      <w:pPr>
        <w:pStyle w:val="Heading1"/>
        <w:ind w:left="616"/>
      </w:pPr>
      <w:r>
        <w:rPr/>
        <w:t>Effect of melatonin on Parkinson’s</w:t>
      </w:r>
    </w:p>
    <w:p>
      <w:pPr>
        <w:pStyle w:val="BodyText"/>
        <w:spacing w:line="276" w:lineRule="auto" w:before="300"/>
        <w:ind w:left="616" w:right="133"/>
        <w:jc w:val="both"/>
      </w:pPr>
      <w:r>
        <w:rPr/>
        <w:t>Dr. Pierpaoli prescribed his ex-mother-in-law melatonin in 1984. At that</w:t>
      </w:r>
      <w:r>
        <w:rPr>
          <w:spacing w:val="-64"/>
        </w:rPr>
        <w:t> </w:t>
      </w:r>
      <w:r>
        <w:rPr/>
        <w:t>time, she was already 74 years old and suffered from Parkinson’s. Ten years later, the woman was symptom-free, brimming with health and agility, and even</w:t>
      </w:r>
      <w:r>
        <w:rPr>
          <w:spacing w:val="-64"/>
        </w:rPr>
        <w:t> </w:t>
      </w:r>
      <w:r>
        <w:rPr/>
        <w:t>her skin was as wrinkle free as it was ten years beforehand.</w:t>
      </w:r>
    </w:p>
    <w:p>
      <w:pPr>
        <w:pStyle w:val="Heading1"/>
        <w:spacing w:before="221"/>
        <w:ind w:left="616"/>
      </w:pPr>
      <w:r>
        <w:rPr/>
        <w:t>Effect of melatonin on AIDS/HIV</w:t>
      </w:r>
    </w:p>
    <w:p>
      <w:pPr>
        <w:pStyle w:val="BodyText"/>
        <w:spacing w:line="276" w:lineRule="auto" w:before="300"/>
        <w:ind w:left="616" w:right="132"/>
        <w:jc w:val="both"/>
      </w:pPr>
      <w:r>
        <w:rPr/>
        <w:t>We have learned that the pineal gland is also responsible for maintaining the immune system, including the production of T cells. AIDS breaks out of</w:t>
      </w:r>
      <w:r>
        <w:rPr>
          <w:spacing w:val="-43"/>
        </w:rPr>
        <w:t> </w:t>
      </w:r>
      <w:r>
        <w:rPr/>
        <w:t>HIV</w:t>
      </w:r>
    </w:p>
    <w:p>
      <w:pPr>
        <w:spacing w:after="0" w:line="276" w:lineRule="auto"/>
        <w:jc w:val="both"/>
        <w:sectPr>
          <w:footerReference w:type="default" r:id="rId231"/>
          <w:pgSz w:w="14270" w:h="16850"/>
          <w:pgMar w:footer="1891" w:header="0" w:top="1320" w:bottom="2080" w:left="800" w:right="1280"/>
          <w:pgNumType w:start="982"/>
        </w:sectPr>
      </w:pPr>
    </w:p>
    <w:p>
      <w:pPr>
        <w:pStyle w:val="BodyText"/>
        <w:spacing w:line="278" w:lineRule="auto" w:before="72"/>
        <w:ind w:left="616" w:right="141"/>
        <w:jc w:val="both"/>
      </w:pPr>
      <w:r>
        <w:rPr/>
        <w:t>when the immune system is weakened; after that, it gradually destroys it. The intake of melatonin could provide protection against an AIDS outbreak.</w:t>
      </w:r>
    </w:p>
    <w:p>
      <w:pPr>
        <w:pStyle w:val="BodyText"/>
        <w:spacing w:before="232"/>
        <w:ind w:left="616"/>
      </w:pPr>
      <w:r>
        <w:rPr/>
        <w:t>Melatonin stops ageing</w:t>
      </w:r>
    </w:p>
    <w:p>
      <w:pPr>
        <w:pStyle w:val="BodyText"/>
        <w:spacing w:line="276" w:lineRule="auto" w:before="305"/>
        <w:ind w:left="616" w:right="133"/>
        <w:jc w:val="both"/>
      </w:pPr>
      <w:r>
        <w:rPr/>
        <w:t>Melatonin uses various mechanisms that rejuvenate our cells and make them live longer, not only in the fight against diseases (one often results from the other), but also against ageing. Conversely, the researchers have found almost total melatonin deficiency in children suffering from progeria (rapidly pro- gressing obesity).</w:t>
      </w:r>
      <w:r>
        <w:rPr>
          <w:position w:val="9"/>
          <w:sz w:val="25"/>
        </w:rPr>
        <w:t>540 </w:t>
      </w:r>
      <w:r>
        <w:rPr/>
        <w:t>It is no coincidence that sleep is referred to as 'the daily makeover', which is visually manifested by a smoother skin alone, because the fluid and fat deposits under the skin are only filled during sleep. Sleep</w:t>
      </w:r>
      <w:r>
        <w:rPr>
          <w:spacing w:val="-67"/>
        </w:rPr>
        <w:t> </w:t>
      </w:r>
      <w:r>
        <w:rPr/>
        <w:t>invigor- ates the entire organism and releases energy again; it relaxes and refreshes at the same time.</w:t>
      </w:r>
    </w:p>
    <w:p>
      <w:pPr>
        <w:pStyle w:val="BodyText"/>
        <w:spacing w:line="276" w:lineRule="auto" w:before="241"/>
        <w:ind w:left="616" w:right="132"/>
        <w:jc w:val="both"/>
      </w:pPr>
      <w:r>
        <w:rPr/>
        <w:t>The researchers and pioneers in melatonin research, Prof. Dr. William Regel- son</w:t>
      </w:r>
      <w:r>
        <w:rPr>
          <w:spacing w:val="-10"/>
        </w:rPr>
        <w:t> </w:t>
      </w:r>
      <w:r>
        <w:rPr/>
        <w:t>and</w:t>
      </w:r>
      <w:r>
        <w:rPr>
          <w:spacing w:val="-12"/>
        </w:rPr>
        <w:t> </w:t>
      </w:r>
      <w:r>
        <w:rPr/>
        <w:t>Dr.</w:t>
      </w:r>
      <w:r>
        <w:rPr>
          <w:spacing w:val="-10"/>
        </w:rPr>
        <w:t> </w:t>
      </w:r>
      <w:r>
        <w:rPr/>
        <w:t>Walter</w:t>
      </w:r>
      <w:r>
        <w:rPr>
          <w:spacing w:val="-9"/>
        </w:rPr>
        <w:t> </w:t>
      </w:r>
      <w:r>
        <w:rPr/>
        <w:t>Pierpaoli,</w:t>
      </w:r>
      <w:r>
        <w:rPr>
          <w:spacing w:val="-12"/>
        </w:rPr>
        <w:t> </w:t>
      </w:r>
      <w:r>
        <w:rPr/>
        <w:t>presented</w:t>
      </w:r>
      <w:r>
        <w:rPr>
          <w:spacing w:val="-9"/>
        </w:rPr>
        <w:t> </w:t>
      </w:r>
      <w:r>
        <w:rPr/>
        <w:t>the</w:t>
      </w:r>
      <w:r>
        <w:rPr>
          <w:spacing w:val="-11"/>
        </w:rPr>
        <w:t> </w:t>
      </w:r>
      <w:r>
        <w:rPr/>
        <w:t>following</w:t>
      </w:r>
      <w:r>
        <w:rPr>
          <w:spacing w:val="-9"/>
        </w:rPr>
        <w:t> </w:t>
      </w:r>
      <w:r>
        <w:rPr/>
        <w:t>thesis,</w:t>
      </w:r>
      <w:r>
        <w:rPr>
          <w:spacing w:val="-12"/>
        </w:rPr>
        <w:t> </w:t>
      </w:r>
      <w:r>
        <w:rPr/>
        <w:t>which</w:t>
      </w:r>
      <w:r>
        <w:rPr>
          <w:spacing w:val="-8"/>
        </w:rPr>
        <w:t> </w:t>
      </w:r>
      <w:r>
        <w:rPr/>
        <w:t>is</w:t>
      </w:r>
      <w:r>
        <w:rPr>
          <w:spacing w:val="-12"/>
        </w:rPr>
        <w:t> </w:t>
      </w:r>
      <w:r>
        <w:rPr/>
        <w:t>compre- hensible and well-confirmed by numerous studies in animal experiments and on humans:</w:t>
      </w:r>
    </w:p>
    <w:p>
      <w:pPr>
        <w:spacing w:line="276" w:lineRule="auto" w:before="240"/>
        <w:ind w:left="616" w:right="134" w:firstLine="0"/>
        <w:jc w:val="both"/>
        <w:rPr>
          <w:i/>
          <w:sz w:val="38"/>
        </w:rPr>
      </w:pPr>
      <w:r>
        <w:rPr>
          <w:i/>
          <w:sz w:val="38"/>
        </w:rPr>
        <w:t>The less melatonin is made available to the organism via the pineal gland, the lower the </w:t>
      </w:r>
      <w:r>
        <w:rPr>
          <w:i/>
          <w:sz w:val="38"/>
        </w:rPr>
        <w:t>regenerative effect of sleep will be </w:t>
      </w:r>
      <w:r>
        <w:rPr>
          <w:sz w:val="38"/>
        </w:rPr>
        <w:t>– </w:t>
      </w:r>
      <w:r>
        <w:rPr>
          <w:i/>
          <w:sz w:val="38"/>
        </w:rPr>
        <w:t>and the less the cells and organs can regenerate, the more </w:t>
      </w:r>
      <w:r>
        <w:rPr>
          <w:i/>
          <w:sz w:val="38"/>
        </w:rPr>
        <w:t>the wear will take hold and the faster the physical decay, which we perceive as 'physical ageing', will occur!</w:t>
      </w:r>
    </w:p>
    <w:p>
      <w:pPr>
        <w:pStyle w:val="BodyText"/>
        <w:spacing w:before="242"/>
        <w:ind w:left="616"/>
        <w:jc w:val="both"/>
      </w:pPr>
      <w:r>
        <w:rPr/>
        <w:t>There are several phenomena that can be taken as evidence that melatonin can</w:t>
      </w:r>
    </w:p>
    <w:p>
      <w:pPr>
        <w:pStyle w:val="BodyText"/>
        <w:spacing w:before="4"/>
        <w:rPr>
          <w:sz w:val="23"/>
        </w:rPr>
      </w:pPr>
      <w:r>
        <w:rPr/>
        <w:pict>
          <v:line style="position:absolute;mso-position-horizontal-relative:page;mso-position-vertical-relative:paragraph;z-index:6968;mso-wrap-distance-left:0;mso-wrap-distance-right:0" from="70.823997pt,15.518735pt" to="214.843997pt,15.518735pt" stroked="true" strokeweight=".72003pt" strokecolor="#000000">
            <v:stroke dashstyle="solid"/>
            <w10:wrap type="topAndBottom"/>
          </v:line>
        </w:pict>
      </w:r>
    </w:p>
    <w:p>
      <w:pPr>
        <w:pStyle w:val="BodyText"/>
        <w:spacing w:before="7"/>
        <w:rPr>
          <w:sz w:val="18"/>
        </w:rPr>
      </w:pPr>
    </w:p>
    <w:p>
      <w:pPr>
        <w:spacing w:line="276" w:lineRule="auto" w:before="99"/>
        <w:ind w:left="616" w:right="156" w:firstLine="0"/>
        <w:jc w:val="left"/>
        <w:rPr>
          <w:sz w:val="20"/>
        </w:rPr>
      </w:pPr>
      <w:r>
        <w:rPr>
          <w:position w:val="5"/>
          <w:sz w:val="13"/>
        </w:rPr>
        <w:t>540 </w:t>
      </w:r>
      <w:r>
        <w:rPr>
          <w:sz w:val="20"/>
        </w:rPr>
        <w:t>Beat René Roggen: Melatonin – ein Schlüsselhormon für gute Gesundheit, erholsamen Schlaf und langes Leben ('Melatonin – A Key Hormone for Good Health, Restful Sleep and Long Life'), 2007, p. 13</w:t>
      </w:r>
    </w:p>
    <w:p>
      <w:pPr>
        <w:spacing w:after="0" w:line="276" w:lineRule="auto"/>
        <w:jc w:val="left"/>
        <w:rPr>
          <w:sz w:val="20"/>
        </w:rPr>
        <w:sectPr>
          <w:pgSz w:w="14270" w:h="16850"/>
          <w:pgMar w:header="0" w:footer="1891" w:top="1340" w:bottom="2080" w:left="800" w:right="1280"/>
        </w:sectPr>
      </w:pPr>
    </w:p>
    <w:p>
      <w:pPr>
        <w:pStyle w:val="BodyText"/>
        <w:spacing w:before="74"/>
        <w:ind w:left="616"/>
      </w:pPr>
      <w:r>
        <w:rPr/>
        <w:t>affect ageing:</w:t>
      </w:r>
    </w:p>
    <w:p>
      <w:pPr>
        <w:pStyle w:val="ListParagraph"/>
        <w:numPr>
          <w:ilvl w:val="0"/>
          <w:numId w:val="71"/>
        </w:numPr>
        <w:tabs>
          <w:tab w:pos="1043" w:val="left" w:leader="none"/>
          <w:tab w:pos="1044" w:val="left" w:leader="none"/>
        </w:tabs>
        <w:spacing w:line="273" w:lineRule="auto" w:before="265" w:after="0"/>
        <w:ind w:left="1043" w:right="359" w:hanging="427"/>
        <w:jc w:val="left"/>
        <w:rPr>
          <w:sz w:val="38"/>
        </w:rPr>
      </w:pPr>
      <w:r>
        <w:rPr>
          <w:sz w:val="38"/>
        </w:rPr>
        <w:t>People with certain types of blindness live for an above-average length of time.</w:t>
      </w:r>
    </w:p>
    <w:p>
      <w:pPr>
        <w:pStyle w:val="BodyText"/>
        <w:spacing w:line="273" w:lineRule="auto" w:before="126"/>
        <w:ind w:left="1324"/>
      </w:pPr>
      <w:r>
        <w:rPr>
          <w:rFonts w:ascii="Wingdings" w:hAnsi="Wingdings"/>
        </w:rPr>
        <w:t></w:t>
      </w:r>
      <w:r>
        <w:rPr/>
        <w:t>The blinds have more melatonin, as it is known to be produced in the dark.</w:t>
      </w:r>
    </w:p>
    <w:p>
      <w:pPr>
        <w:pStyle w:val="ListParagraph"/>
        <w:numPr>
          <w:ilvl w:val="0"/>
          <w:numId w:val="71"/>
        </w:numPr>
        <w:tabs>
          <w:tab w:pos="1043" w:val="left" w:leader="none"/>
          <w:tab w:pos="1044" w:val="left" w:leader="none"/>
        </w:tabs>
        <w:spacing w:line="273" w:lineRule="auto" w:before="129" w:after="0"/>
        <w:ind w:left="1043" w:right="133" w:hanging="427"/>
        <w:jc w:val="left"/>
        <w:rPr>
          <w:sz w:val="38"/>
        </w:rPr>
      </w:pPr>
      <w:r>
        <w:rPr>
          <w:sz w:val="38"/>
        </w:rPr>
        <w:t>Patients with Down’s syndrome age very fast and only live to </w:t>
      </w:r>
      <w:r>
        <w:rPr>
          <w:spacing w:val="2"/>
          <w:sz w:val="38"/>
        </w:rPr>
        <w:t>the </w:t>
      </w:r>
      <w:r>
        <w:rPr>
          <w:sz w:val="38"/>
        </w:rPr>
        <w:t>age of 35 on average:</w:t>
      </w:r>
    </w:p>
    <w:p>
      <w:pPr>
        <w:pStyle w:val="BodyText"/>
        <w:spacing w:line="276" w:lineRule="auto" w:before="126"/>
        <w:ind w:left="1324" w:right="39"/>
      </w:pPr>
      <w:r>
        <w:rPr>
          <w:rFonts w:ascii="Wingdings" w:hAnsi="Wingdings"/>
        </w:rPr>
        <w:t></w:t>
      </w:r>
      <w:r>
        <w:rPr/>
        <w:t>Down’s syndrome patients have been shown to have low levels of mel- atonin.</w:t>
      </w:r>
    </w:p>
    <w:p>
      <w:pPr>
        <w:pStyle w:val="ListParagraph"/>
        <w:numPr>
          <w:ilvl w:val="1"/>
          <w:numId w:val="71"/>
        </w:numPr>
        <w:tabs>
          <w:tab w:pos="1044" w:val="left" w:leader="none"/>
        </w:tabs>
        <w:spacing w:line="273" w:lineRule="auto" w:before="122" w:after="0"/>
        <w:ind w:left="1043" w:right="140" w:hanging="285"/>
        <w:jc w:val="left"/>
        <w:rPr>
          <w:sz w:val="38"/>
        </w:rPr>
      </w:pPr>
      <w:r>
        <w:rPr>
          <w:sz w:val="38"/>
        </w:rPr>
        <w:t>A food withdrawal close to starvation tends to extend life in animal experi- ments;</w:t>
      </w:r>
    </w:p>
    <w:p>
      <w:pPr>
        <w:pStyle w:val="BodyText"/>
        <w:spacing w:line="276" w:lineRule="auto" w:before="126"/>
        <w:ind w:left="1324"/>
      </w:pPr>
      <w:r>
        <w:rPr>
          <w:rFonts w:ascii="Wingdings" w:hAnsi="Wingdings"/>
        </w:rPr>
        <w:t></w:t>
      </w:r>
      <w:r>
        <w:rPr/>
        <w:t>during starvation, an above-average amount of melatonin is released from the body.</w:t>
      </w:r>
    </w:p>
    <w:p>
      <w:pPr>
        <w:pStyle w:val="Heading1"/>
        <w:ind w:left="616"/>
      </w:pPr>
      <w:r>
        <w:rPr/>
        <w:t>Melatonin acts as an antioxidant against ageing</w:t>
      </w:r>
    </w:p>
    <w:p>
      <w:pPr>
        <w:pStyle w:val="BodyText"/>
        <w:spacing w:line="276" w:lineRule="auto" w:before="300"/>
        <w:ind w:left="616" w:right="136"/>
        <w:jc w:val="both"/>
      </w:pPr>
      <w:r>
        <w:rPr/>
        <w:t>As one of the strongest antioxidants (radical scavengers) ever discovered, 50 times</w:t>
      </w:r>
      <w:r>
        <w:rPr>
          <w:spacing w:val="-19"/>
        </w:rPr>
        <w:t> </w:t>
      </w:r>
      <w:r>
        <w:rPr/>
        <w:t>more</w:t>
      </w:r>
      <w:r>
        <w:rPr>
          <w:spacing w:val="-20"/>
        </w:rPr>
        <w:t> </w:t>
      </w:r>
      <w:r>
        <w:rPr/>
        <w:t>potent</w:t>
      </w:r>
      <w:r>
        <w:rPr>
          <w:spacing w:val="-19"/>
        </w:rPr>
        <w:t> </w:t>
      </w:r>
      <w:r>
        <w:rPr/>
        <w:t>than</w:t>
      </w:r>
      <w:r>
        <w:rPr>
          <w:spacing w:val="-19"/>
        </w:rPr>
        <w:t> </w:t>
      </w:r>
      <w:r>
        <w:rPr/>
        <w:t>vitamin</w:t>
      </w:r>
      <w:r>
        <w:rPr>
          <w:spacing w:val="-18"/>
        </w:rPr>
        <w:t> </w:t>
      </w:r>
      <w:r>
        <w:rPr/>
        <w:t>C,</w:t>
      </w:r>
      <w:r>
        <w:rPr>
          <w:spacing w:val="-20"/>
        </w:rPr>
        <w:t> </w:t>
      </w:r>
      <w:r>
        <w:rPr/>
        <w:t>melatonin</w:t>
      </w:r>
      <w:r>
        <w:rPr>
          <w:spacing w:val="-19"/>
        </w:rPr>
        <w:t> </w:t>
      </w:r>
      <w:r>
        <w:rPr/>
        <w:t>binds</w:t>
      </w:r>
      <w:r>
        <w:rPr>
          <w:spacing w:val="-19"/>
        </w:rPr>
        <w:t> </w:t>
      </w:r>
      <w:r>
        <w:rPr/>
        <w:t>free</w:t>
      </w:r>
      <w:r>
        <w:rPr>
          <w:spacing w:val="-18"/>
        </w:rPr>
        <w:t> </w:t>
      </w:r>
      <w:r>
        <w:rPr/>
        <w:t>radicals</w:t>
      </w:r>
      <w:r>
        <w:rPr>
          <w:spacing w:val="-20"/>
        </w:rPr>
        <w:t> </w:t>
      </w:r>
      <w:r>
        <w:rPr/>
        <w:t>that</w:t>
      </w:r>
      <w:r>
        <w:rPr>
          <w:spacing w:val="-19"/>
        </w:rPr>
        <w:t> </w:t>
      </w:r>
      <w:r>
        <w:rPr/>
        <w:t>attack</w:t>
      </w:r>
      <w:r>
        <w:rPr>
          <w:spacing w:val="-20"/>
        </w:rPr>
        <w:t> </w:t>
      </w:r>
      <w:r>
        <w:rPr/>
        <w:t>our cells, causing us to age and leading to disease. Free radicals are caused by oxy- gen, nicotine, alcohol, environmental influences such as ozone, UV rays and X-rays, but also by intensive physical work. Moreover, melatonin not only proves to be the most effective antioxidant, but its effect on free radicals is remarkable</w:t>
      </w:r>
      <w:r>
        <w:rPr>
          <w:spacing w:val="19"/>
        </w:rPr>
        <w:t> </w:t>
      </w:r>
      <w:r>
        <w:rPr/>
        <w:t>and</w:t>
      </w:r>
      <w:r>
        <w:rPr>
          <w:spacing w:val="19"/>
        </w:rPr>
        <w:t> </w:t>
      </w:r>
      <w:r>
        <w:rPr/>
        <w:t>fundamentally</w:t>
      </w:r>
      <w:r>
        <w:rPr>
          <w:spacing w:val="18"/>
        </w:rPr>
        <w:t> </w:t>
      </w:r>
      <w:r>
        <w:rPr/>
        <w:t>different</w:t>
      </w:r>
      <w:r>
        <w:rPr>
          <w:spacing w:val="20"/>
        </w:rPr>
        <w:t> </w:t>
      </w:r>
      <w:r>
        <w:rPr/>
        <w:t>to</w:t>
      </w:r>
      <w:r>
        <w:rPr>
          <w:spacing w:val="20"/>
        </w:rPr>
        <w:t> </w:t>
      </w:r>
      <w:r>
        <w:rPr/>
        <w:t>that</w:t>
      </w:r>
      <w:r>
        <w:rPr>
          <w:spacing w:val="15"/>
        </w:rPr>
        <w:t> </w:t>
      </w:r>
      <w:r>
        <w:rPr/>
        <w:t>of</w:t>
      </w:r>
      <w:r>
        <w:rPr>
          <w:spacing w:val="21"/>
        </w:rPr>
        <w:t> </w:t>
      </w:r>
      <w:r>
        <w:rPr/>
        <w:t>other</w:t>
      </w:r>
      <w:r>
        <w:rPr>
          <w:spacing w:val="18"/>
        </w:rPr>
        <w:t> </w:t>
      </w:r>
      <w:r>
        <w:rPr/>
        <w:t>antioxidants</w:t>
      </w:r>
      <w:r>
        <w:rPr>
          <w:spacing w:val="20"/>
        </w:rPr>
        <w:t> </w:t>
      </w:r>
      <w:r>
        <w:rPr/>
        <w:t>such</w:t>
      </w:r>
      <w:r>
        <w:rPr>
          <w:spacing w:val="21"/>
        </w:rPr>
        <w:t> </w:t>
      </w:r>
      <w:r>
        <w:rPr/>
        <w:t>as</w:t>
      </w:r>
    </w:p>
    <w:p>
      <w:pPr>
        <w:spacing w:after="0" w:line="276" w:lineRule="auto"/>
        <w:jc w:val="both"/>
        <w:sectPr>
          <w:pgSz w:w="14270" w:h="16850"/>
          <w:pgMar w:header="0" w:footer="1891" w:top="1340" w:bottom="2080" w:left="800" w:right="1280"/>
        </w:sectPr>
      </w:pPr>
    </w:p>
    <w:p>
      <w:pPr>
        <w:pStyle w:val="BodyText"/>
        <w:spacing w:before="74"/>
        <w:ind w:left="616"/>
      </w:pPr>
      <w:r>
        <w:rPr/>
        <w:t>vitamins C, E, OPC, selenium, Q10, etc.</w:t>
      </w:r>
    </w:p>
    <w:p>
      <w:pPr>
        <w:pStyle w:val="BodyText"/>
        <w:spacing w:line="276" w:lineRule="auto" w:before="305"/>
        <w:ind w:left="616" w:right="135"/>
        <w:jc w:val="both"/>
      </w:pPr>
      <w:r>
        <w:rPr/>
        <w:t>In</w:t>
      </w:r>
      <w:r>
        <w:rPr>
          <w:spacing w:val="-24"/>
        </w:rPr>
        <w:t> </w:t>
      </w:r>
      <w:r>
        <w:rPr/>
        <w:t>contrast</w:t>
      </w:r>
      <w:r>
        <w:rPr>
          <w:spacing w:val="-25"/>
        </w:rPr>
        <w:t> </w:t>
      </w:r>
      <w:r>
        <w:rPr/>
        <w:t>to</w:t>
      </w:r>
      <w:r>
        <w:rPr>
          <w:spacing w:val="-24"/>
        </w:rPr>
        <w:t> </w:t>
      </w:r>
      <w:r>
        <w:rPr/>
        <w:t>other</w:t>
      </w:r>
      <w:r>
        <w:rPr>
          <w:spacing w:val="-23"/>
        </w:rPr>
        <w:t> </w:t>
      </w:r>
      <w:r>
        <w:rPr/>
        <w:t>antioxidants,</w:t>
      </w:r>
      <w:r>
        <w:rPr>
          <w:spacing w:val="-21"/>
        </w:rPr>
        <w:t> </w:t>
      </w:r>
      <w:r>
        <w:rPr/>
        <w:t>melatonin</w:t>
      </w:r>
      <w:r>
        <w:rPr>
          <w:spacing w:val="-24"/>
        </w:rPr>
        <w:t> </w:t>
      </w:r>
      <w:r>
        <w:rPr/>
        <w:t>binds</w:t>
      </w:r>
      <w:r>
        <w:rPr>
          <w:spacing w:val="-24"/>
        </w:rPr>
        <w:t> </w:t>
      </w:r>
      <w:r>
        <w:rPr/>
        <w:t>free</w:t>
      </w:r>
      <w:r>
        <w:rPr>
          <w:spacing w:val="-23"/>
        </w:rPr>
        <w:t> </w:t>
      </w:r>
      <w:r>
        <w:rPr/>
        <w:t>radicals</w:t>
      </w:r>
      <w:r>
        <w:rPr>
          <w:spacing w:val="-25"/>
        </w:rPr>
        <w:t> </w:t>
      </w:r>
      <w:r>
        <w:rPr/>
        <w:t>to</w:t>
      </w:r>
      <w:r>
        <w:rPr>
          <w:spacing w:val="-24"/>
        </w:rPr>
        <w:t> </w:t>
      </w:r>
      <w:r>
        <w:rPr/>
        <w:t>itself,</w:t>
      </w:r>
      <w:r>
        <w:rPr>
          <w:spacing w:val="-23"/>
        </w:rPr>
        <w:t> </w:t>
      </w:r>
      <w:r>
        <w:rPr/>
        <w:t>thereby creating a completely harmless bond (the other antioxidants themselves can mutate</w:t>
      </w:r>
      <w:r>
        <w:rPr>
          <w:spacing w:val="-13"/>
        </w:rPr>
        <w:t> </w:t>
      </w:r>
      <w:r>
        <w:rPr/>
        <w:t>into</w:t>
      </w:r>
      <w:r>
        <w:rPr>
          <w:spacing w:val="-11"/>
        </w:rPr>
        <w:t> </w:t>
      </w:r>
      <w:r>
        <w:rPr/>
        <w:t>free</w:t>
      </w:r>
      <w:r>
        <w:rPr>
          <w:spacing w:val="-12"/>
        </w:rPr>
        <w:t> </w:t>
      </w:r>
      <w:r>
        <w:rPr/>
        <w:t>radicals)</w:t>
      </w:r>
      <w:r>
        <w:rPr>
          <w:spacing w:val="-12"/>
        </w:rPr>
        <w:t> </w:t>
      </w:r>
      <w:r>
        <w:rPr/>
        <w:t>and</w:t>
      </w:r>
      <w:r>
        <w:rPr>
          <w:spacing w:val="-12"/>
        </w:rPr>
        <w:t> </w:t>
      </w:r>
      <w:r>
        <w:rPr/>
        <w:t>transporting</w:t>
      </w:r>
      <w:r>
        <w:rPr>
          <w:spacing w:val="-12"/>
        </w:rPr>
        <w:t> </w:t>
      </w:r>
      <w:r>
        <w:rPr/>
        <w:t>the</w:t>
      </w:r>
      <w:r>
        <w:rPr>
          <w:spacing w:val="-13"/>
        </w:rPr>
        <w:t> </w:t>
      </w:r>
      <w:r>
        <w:rPr/>
        <w:t>harmless</w:t>
      </w:r>
      <w:r>
        <w:rPr>
          <w:spacing w:val="-11"/>
        </w:rPr>
        <w:t> </w:t>
      </w:r>
      <w:r>
        <w:rPr/>
        <w:t>free</w:t>
      </w:r>
      <w:r>
        <w:rPr>
          <w:spacing w:val="-12"/>
        </w:rPr>
        <w:t> </w:t>
      </w:r>
      <w:r>
        <w:rPr/>
        <w:t>radicals</w:t>
      </w:r>
      <w:r>
        <w:rPr>
          <w:spacing w:val="-12"/>
        </w:rPr>
        <w:t> </w:t>
      </w:r>
      <w:r>
        <w:rPr/>
        <w:t>out</w:t>
      </w:r>
      <w:r>
        <w:rPr>
          <w:spacing w:val="-14"/>
        </w:rPr>
        <w:t> </w:t>
      </w:r>
      <w:r>
        <w:rPr/>
        <w:t>of</w:t>
      </w:r>
      <w:r>
        <w:rPr>
          <w:spacing w:val="-11"/>
        </w:rPr>
        <w:t> </w:t>
      </w:r>
      <w:r>
        <w:rPr/>
        <w:t>the organism. In this way, melatonin protects the cells and especially the nucleus containing</w:t>
      </w:r>
      <w:r>
        <w:rPr>
          <w:spacing w:val="-15"/>
        </w:rPr>
        <w:t> </w:t>
      </w:r>
      <w:r>
        <w:rPr/>
        <w:t>the</w:t>
      </w:r>
      <w:r>
        <w:rPr>
          <w:spacing w:val="-18"/>
        </w:rPr>
        <w:t> </w:t>
      </w:r>
      <w:r>
        <w:rPr/>
        <w:t>DNA.</w:t>
      </w:r>
      <w:r>
        <w:rPr>
          <w:spacing w:val="-13"/>
        </w:rPr>
        <w:t> </w:t>
      </w:r>
      <w:r>
        <w:rPr/>
        <w:t>The</w:t>
      </w:r>
      <w:r>
        <w:rPr>
          <w:spacing w:val="-17"/>
        </w:rPr>
        <w:t> </w:t>
      </w:r>
      <w:r>
        <w:rPr/>
        <w:t>latter</w:t>
      </w:r>
      <w:r>
        <w:rPr>
          <w:spacing w:val="-13"/>
        </w:rPr>
        <w:t> </w:t>
      </w:r>
      <w:r>
        <w:rPr/>
        <w:t>determines</w:t>
      </w:r>
      <w:r>
        <w:rPr>
          <w:spacing w:val="-16"/>
        </w:rPr>
        <w:t> </w:t>
      </w:r>
      <w:r>
        <w:rPr/>
        <w:t>whether</w:t>
      </w:r>
      <w:r>
        <w:rPr>
          <w:spacing w:val="-14"/>
        </w:rPr>
        <w:t> </w:t>
      </w:r>
      <w:r>
        <w:rPr/>
        <w:t>a</w:t>
      </w:r>
      <w:r>
        <w:rPr>
          <w:spacing w:val="-17"/>
        </w:rPr>
        <w:t> </w:t>
      </w:r>
      <w:r>
        <w:rPr/>
        <w:t>cell</w:t>
      </w:r>
      <w:r>
        <w:rPr>
          <w:spacing w:val="-14"/>
        </w:rPr>
        <w:t> </w:t>
      </w:r>
      <w:r>
        <w:rPr/>
        <w:t>attacked</w:t>
      </w:r>
      <w:r>
        <w:rPr>
          <w:spacing w:val="-14"/>
        </w:rPr>
        <w:t> </w:t>
      </w:r>
      <w:r>
        <w:rPr/>
        <w:t>by</w:t>
      </w:r>
      <w:r>
        <w:rPr>
          <w:spacing w:val="-17"/>
        </w:rPr>
        <w:t> </w:t>
      </w:r>
      <w:r>
        <w:rPr/>
        <w:t>free</w:t>
      </w:r>
      <w:r>
        <w:rPr>
          <w:spacing w:val="-15"/>
        </w:rPr>
        <w:t> </w:t>
      </w:r>
      <w:r>
        <w:rPr/>
        <w:t>rad- icals can regenerate or die. Many researchers today agree that human beings could</w:t>
      </w:r>
      <w:r>
        <w:rPr>
          <w:spacing w:val="-12"/>
        </w:rPr>
        <w:t> </w:t>
      </w:r>
      <w:r>
        <w:rPr/>
        <w:t>reach</w:t>
      </w:r>
      <w:r>
        <w:rPr>
          <w:spacing w:val="-10"/>
        </w:rPr>
        <w:t> </w:t>
      </w:r>
      <w:r>
        <w:rPr/>
        <w:t>the</w:t>
      </w:r>
      <w:r>
        <w:rPr>
          <w:spacing w:val="-8"/>
        </w:rPr>
        <w:t> </w:t>
      </w:r>
      <w:r>
        <w:rPr/>
        <w:t>age</w:t>
      </w:r>
      <w:r>
        <w:rPr>
          <w:spacing w:val="-11"/>
        </w:rPr>
        <w:t> </w:t>
      </w:r>
      <w:r>
        <w:rPr/>
        <w:t>of</w:t>
      </w:r>
      <w:r>
        <w:rPr>
          <w:spacing w:val="-10"/>
        </w:rPr>
        <w:t> </w:t>
      </w:r>
      <w:r>
        <w:rPr/>
        <w:t>120,</w:t>
      </w:r>
      <w:r>
        <w:rPr>
          <w:spacing w:val="-11"/>
        </w:rPr>
        <w:t> </w:t>
      </w:r>
      <w:r>
        <w:rPr/>
        <w:t>and</w:t>
      </w:r>
      <w:r>
        <w:rPr>
          <w:spacing w:val="-9"/>
        </w:rPr>
        <w:t> </w:t>
      </w:r>
      <w:r>
        <w:rPr/>
        <w:t>once</w:t>
      </w:r>
      <w:r>
        <w:rPr>
          <w:spacing w:val="-10"/>
        </w:rPr>
        <w:t> </w:t>
      </w:r>
      <w:r>
        <w:rPr/>
        <w:t>growth</w:t>
      </w:r>
      <w:r>
        <w:rPr>
          <w:spacing w:val="-10"/>
        </w:rPr>
        <w:t> </w:t>
      </w:r>
      <w:r>
        <w:rPr/>
        <w:t>is</w:t>
      </w:r>
      <w:r>
        <w:rPr>
          <w:spacing w:val="-12"/>
        </w:rPr>
        <w:t> </w:t>
      </w:r>
      <w:r>
        <w:rPr/>
        <w:t>complete,</w:t>
      </w:r>
      <w:r>
        <w:rPr>
          <w:spacing w:val="-10"/>
        </w:rPr>
        <w:t> </w:t>
      </w:r>
      <w:r>
        <w:rPr/>
        <w:t>they</w:t>
      </w:r>
      <w:r>
        <w:rPr>
          <w:spacing w:val="-10"/>
        </w:rPr>
        <w:t> </w:t>
      </w:r>
      <w:r>
        <w:rPr/>
        <w:t>could</w:t>
      </w:r>
      <w:r>
        <w:rPr>
          <w:spacing w:val="-12"/>
        </w:rPr>
        <w:t> </w:t>
      </w:r>
      <w:r>
        <w:rPr/>
        <w:t>avoid</w:t>
      </w:r>
      <w:r>
        <w:rPr>
          <w:spacing w:val="-10"/>
        </w:rPr>
        <w:t> </w:t>
      </w:r>
      <w:r>
        <w:rPr/>
        <w:t>100</w:t>
      </w:r>
    </w:p>
    <w:p>
      <w:pPr>
        <w:pStyle w:val="BodyText"/>
        <w:spacing w:line="278" w:lineRule="auto"/>
        <w:ind w:left="616" w:right="139"/>
        <w:jc w:val="both"/>
      </w:pPr>
      <w:r>
        <w:rPr/>
        <w:t>%</w:t>
      </w:r>
      <w:r>
        <w:rPr>
          <w:spacing w:val="-18"/>
        </w:rPr>
        <w:t> </w:t>
      </w:r>
      <w:r>
        <w:rPr/>
        <w:t>of</w:t>
      </w:r>
      <w:r>
        <w:rPr>
          <w:spacing w:val="-17"/>
        </w:rPr>
        <w:t> </w:t>
      </w:r>
      <w:r>
        <w:rPr/>
        <w:t>free</w:t>
      </w:r>
      <w:r>
        <w:rPr>
          <w:spacing w:val="-18"/>
        </w:rPr>
        <w:t> </w:t>
      </w:r>
      <w:r>
        <w:rPr/>
        <w:t>radical</w:t>
      </w:r>
      <w:r>
        <w:rPr>
          <w:spacing w:val="-19"/>
        </w:rPr>
        <w:t> </w:t>
      </w:r>
      <w:r>
        <w:rPr/>
        <w:t>attacks.</w:t>
      </w:r>
      <w:r>
        <w:rPr>
          <w:spacing w:val="-15"/>
        </w:rPr>
        <w:t> </w:t>
      </w:r>
      <w:r>
        <w:rPr/>
        <w:t>In</w:t>
      </w:r>
      <w:r>
        <w:rPr>
          <w:spacing w:val="-19"/>
        </w:rPr>
        <w:t> </w:t>
      </w:r>
      <w:r>
        <w:rPr/>
        <w:t>its</w:t>
      </w:r>
      <w:r>
        <w:rPr>
          <w:spacing w:val="-17"/>
        </w:rPr>
        <w:t> </w:t>
      </w:r>
      <w:r>
        <w:rPr/>
        <w:t>function</w:t>
      </w:r>
      <w:r>
        <w:rPr>
          <w:spacing w:val="-17"/>
        </w:rPr>
        <w:t> </w:t>
      </w:r>
      <w:r>
        <w:rPr/>
        <w:t>as</w:t>
      </w:r>
      <w:r>
        <w:rPr>
          <w:spacing w:val="-19"/>
        </w:rPr>
        <w:t> </w:t>
      </w:r>
      <w:r>
        <w:rPr/>
        <w:t>a</w:t>
      </w:r>
      <w:r>
        <w:rPr>
          <w:spacing w:val="-19"/>
        </w:rPr>
        <w:t> </w:t>
      </w:r>
      <w:r>
        <w:rPr/>
        <w:t>very</w:t>
      </w:r>
      <w:r>
        <w:rPr>
          <w:spacing w:val="-20"/>
        </w:rPr>
        <w:t> </w:t>
      </w:r>
      <w:r>
        <w:rPr/>
        <w:t>potent</w:t>
      </w:r>
      <w:r>
        <w:rPr>
          <w:spacing w:val="-17"/>
        </w:rPr>
        <w:t> </w:t>
      </w:r>
      <w:r>
        <w:rPr/>
        <w:t>antioxidant,</w:t>
      </w:r>
      <w:r>
        <w:rPr>
          <w:spacing w:val="-16"/>
        </w:rPr>
        <w:t> </w:t>
      </w:r>
      <w:r>
        <w:rPr/>
        <w:t>melatonin protects the cells from such attacks and thus prolongs the life of the</w:t>
      </w:r>
      <w:r>
        <w:rPr>
          <w:spacing w:val="-14"/>
        </w:rPr>
        <w:t> </w:t>
      </w:r>
      <w:r>
        <w:rPr/>
        <w:t>cells.</w:t>
      </w:r>
    </w:p>
    <w:p>
      <w:pPr>
        <w:pStyle w:val="Heading1"/>
        <w:spacing w:before="213"/>
        <w:ind w:left="616"/>
      </w:pPr>
      <w:r>
        <w:rPr/>
        <w:t>Melatonin protects the body and prevents cell ageing</w:t>
      </w:r>
    </w:p>
    <w:p>
      <w:pPr>
        <w:pStyle w:val="BodyText"/>
        <w:spacing w:line="276" w:lineRule="auto" w:before="299"/>
        <w:ind w:left="616" w:right="133"/>
        <w:jc w:val="both"/>
      </w:pPr>
      <w:r>
        <w:rPr/>
        <w:t>Furthermore,</w:t>
      </w:r>
      <w:r>
        <w:rPr>
          <w:spacing w:val="-23"/>
        </w:rPr>
        <w:t> </w:t>
      </w:r>
      <w:r>
        <w:rPr/>
        <w:t>as</w:t>
      </w:r>
      <w:r>
        <w:rPr>
          <w:spacing w:val="-27"/>
        </w:rPr>
        <w:t> </w:t>
      </w:r>
      <w:r>
        <w:rPr/>
        <w:t>a</w:t>
      </w:r>
      <w:r>
        <w:rPr>
          <w:spacing w:val="-24"/>
        </w:rPr>
        <w:t> </w:t>
      </w:r>
      <w:r>
        <w:rPr/>
        <w:t>sleep</w:t>
      </w:r>
      <w:r>
        <w:rPr>
          <w:spacing w:val="-24"/>
        </w:rPr>
        <w:t> </w:t>
      </w:r>
      <w:r>
        <w:rPr/>
        <w:t>hormone,</w:t>
      </w:r>
      <w:r>
        <w:rPr>
          <w:spacing w:val="-23"/>
        </w:rPr>
        <w:t> </w:t>
      </w:r>
      <w:r>
        <w:rPr/>
        <w:t>melatonin</w:t>
      </w:r>
      <w:r>
        <w:rPr>
          <w:spacing w:val="-25"/>
        </w:rPr>
        <w:t> </w:t>
      </w:r>
      <w:r>
        <w:rPr/>
        <w:t>reduces</w:t>
      </w:r>
      <w:r>
        <w:rPr>
          <w:spacing w:val="-23"/>
        </w:rPr>
        <w:t> </w:t>
      </w:r>
      <w:r>
        <w:rPr/>
        <w:t>bodily</w:t>
      </w:r>
      <w:r>
        <w:rPr>
          <w:spacing w:val="-26"/>
        </w:rPr>
        <w:t> </w:t>
      </w:r>
      <w:r>
        <w:rPr/>
        <w:t>functions</w:t>
      </w:r>
      <w:r>
        <w:rPr>
          <w:spacing w:val="-22"/>
        </w:rPr>
        <w:t> </w:t>
      </w:r>
      <w:r>
        <w:rPr/>
        <w:t>to</w:t>
      </w:r>
      <w:r>
        <w:rPr>
          <w:spacing w:val="-26"/>
        </w:rPr>
        <w:t> </w:t>
      </w:r>
      <w:r>
        <w:rPr/>
        <w:t>a</w:t>
      </w:r>
      <w:r>
        <w:rPr>
          <w:spacing w:val="-26"/>
        </w:rPr>
        <w:t> </w:t>
      </w:r>
      <w:r>
        <w:rPr/>
        <w:t>min- imum via its biochemical influence on our metabolism and thereby protects our cells. These now work more slowly, can regenerate better and thus live longer. Of particular importance in this context is the gentle cycle of our car- diovascular system and the nervous system that melatonin sets in</w:t>
      </w:r>
      <w:r>
        <w:rPr>
          <w:spacing w:val="-9"/>
        </w:rPr>
        <w:t> </w:t>
      </w:r>
      <w:r>
        <w:rPr/>
        <w:t>motion.</w:t>
      </w:r>
    </w:p>
    <w:p>
      <w:pPr>
        <w:pStyle w:val="Heading1"/>
        <w:spacing w:before="223"/>
        <w:ind w:left="616"/>
      </w:pPr>
      <w:r>
        <w:rPr/>
        <w:t>Melatonin promotes cell division and thus tissue renewal</w:t>
      </w:r>
    </w:p>
    <w:p>
      <w:pPr>
        <w:pStyle w:val="BodyText"/>
        <w:spacing w:line="276" w:lineRule="auto" w:before="299"/>
        <w:ind w:left="616" w:right="133"/>
        <w:jc w:val="both"/>
      </w:pPr>
      <w:r>
        <w:rPr/>
        <w:t>Cell</w:t>
      </w:r>
      <w:r>
        <w:rPr>
          <w:spacing w:val="-19"/>
        </w:rPr>
        <w:t> </w:t>
      </w:r>
      <w:r>
        <w:rPr/>
        <w:t>division</w:t>
      </w:r>
      <w:r>
        <w:rPr>
          <w:spacing w:val="-15"/>
        </w:rPr>
        <w:t> </w:t>
      </w:r>
      <w:r>
        <w:rPr/>
        <w:t>and</w:t>
      </w:r>
      <w:r>
        <w:rPr>
          <w:spacing w:val="-14"/>
        </w:rPr>
        <w:t> </w:t>
      </w:r>
      <w:r>
        <w:rPr/>
        <w:t>thus</w:t>
      </w:r>
      <w:r>
        <w:rPr>
          <w:spacing w:val="-15"/>
        </w:rPr>
        <w:t> </w:t>
      </w:r>
      <w:r>
        <w:rPr/>
        <w:t>the</w:t>
      </w:r>
      <w:r>
        <w:rPr>
          <w:spacing w:val="-18"/>
        </w:rPr>
        <w:t> </w:t>
      </w:r>
      <w:r>
        <w:rPr/>
        <w:t>renewal</w:t>
      </w:r>
      <w:r>
        <w:rPr>
          <w:spacing w:val="-16"/>
        </w:rPr>
        <w:t> </w:t>
      </w:r>
      <w:r>
        <w:rPr/>
        <w:t>of</w:t>
      </w:r>
      <w:r>
        <w:rPr>
          <w:spacing w:val="-15"/>
        </w:rPr>
        <w:t> </w:t>
      </w:r>
      <w:r>
        <w:rPr/>
        <w:t>tissue</w:t>
      </w:r>
      <w:r>
        <w:rPr>
          <w:spacing w:val="-17"/>
        </w:rPr>
        <w:t> </w:t>
      </w:r>
      <w:r>
        <w:rPr/>
        <w:t>can</w:t>
      </w:r>
      <w:r>
        <w:rPr>
          <w:spacing w:val="-17"/>
        </w:rPr>
        <w:t> </w:t>
      </w:r>
      <w:r>
        <w:rPr/>
        <w:t>be</w:t>
      </w:r>
      <w:r>
        <w:rPr>
          <w:spacing w:val="-18"/>
        </w:rPr>
        <w:t> </w:t>
      </w:r>
      <w:r>
        <w:rPr/>
        <w:t>only</w:t>
      </w:r>
      <w:r>
        <w:rPr>
          <w:spacing w:val="-16"/>
        </w:rPr>
        <w:t> </w:t>
      </w:r>
      <w:r>
        <w:rPr/>
        <w:t>initiated</w:t>
      </w:r>
      <w:r>
        <w:rPr>
          <w:spacing w:val="-15"/>
        </w:rPr>
        <w:t> </w:t>
      </w:r>
      <w:r>
        <w:rPr/>
        <w:t>in</w:t>
      </w:r>
      <w:r>
        <w:rPr>
          <w:spacing w:val="-19"/>
        </w:rPr>
        <w:t> </w:t>
      </w:r>
      <w:r>
        <w:rPr/>
        <w:t>certain</w:t>
      </w:r>
      <w:r>
        <w:rPr>
          <w:spacing w:val="-16"/>
        </w:rPr>
        <w:t> </w:t>
      </w:r>
      <w:r>
        <w:rPr/>
        <w:t>sleep phases. If sleep is disturbed or inadequate, this cell division cannot take place, which</w:t>
      </w:r>
      <w:r>
        <w:rPr>
          <w:spacing w:val="-11"/>
        </w:rPr>
        <w:t> </w:t>
      </w:r>
      <w:r>
        <w:rPr/>
        <w:t>leads</w:t>
      </w:r>
      <w:r>
        <w:rPr>
          <w:spacing w:val="-11"/>
        </w:rPr>
        <w:t> </w:t>
      </w:r>
      <w:r>
        <w:rPr/>
        <w:t>to</w:t>
      </w:r>
      <w:r>
        <w:rPr>
          <w:spacing w:val="-11"/>
        </w:rPr>
        <w:t> </w:t>
      </w:r>
      <w:r>
        <w:rPr/>
        <w:t>a</w:t>
      </w:r>
      <w:r>
        <w:rPr>
          <w:spacing w:val="-14"/>
        </w:rPr>
        <w:t> </w:t>
      </w:r>
      <w:r>
        <w:rPr/>
        <w:t>reduction</w:t>
      </w:r>
      <w:r>
        <w:rPr>
          <w:spacing w:val="-11"/>
        </w:rPr>
        <w:t> </w:t>
      </w:r>
      <w:r>
        <w:rPr/>
        <w:t>in</w:t>
      </w:r>
      <w:r>
        <w:rPr>
          <w:spacing w:val="-11"/>
        </w:rPr>
        <w:t> </w:t>
      </w:r>
      <w:r>
        <w:rPr/>
        <w:t>the</w:t>
      </w:r>
      <w:r>
        <w:rPr>
          <w:spacing w:val="-13"/>
        </w:rPr>
        <w:t> </w:t>
      </w:r>
      <w:r>
        <w:rPr/>
        <w:t>lifespan</w:t>
      </w:r>
      <w:r>
        <w:rPr>
          <w:spacing w:val="-10"/>
        </w:rPr>
        <w:t> </w:t>
      </w:r>
      <w:r>
        <w:rPr/>
        <w:t>of</w:t>
      </w:r>
      <w:r>
        <w:rPr>
          <w:spacing w:val="-11"/>
        </w:rPr>
        <w:t> </w:t>
      </w:r>
      <w:r>
        <w:rPr/>
        <w:t>the</w:t>
      </w:r>
      <w:r>
        <w:rPr>
          <w:spacing w:val="-10"/>
        </w:rPr>
        <w:t> </w:t>
      </w:r>
      <w:r>
        <w:rPr/>
        <w:t>individual</w:t>
      </w:r>
      <w:r>
        <w:rPr>
          <w:spacing w:val="-12"/>
        </w:rPr>
        <w:t> </w:t>
      </w:r>
      <w:r>
        <w:rPr/>
        <w:t>organs</w:t>
      </w:r>
      <w:r>
        <w:rPr>
          <w:spacing w:val="-10"/>
        </w:rPr>
        <w:t> </w:t>
      </w:r>
      <w:r>
        <w:rPr/>
        <w:t>and</w:t>
      </w:r>
      <w:r>
        <w:rPr>
          <w:spacing w:val="-11"/>
        </w:rPr>
        <w:t> </w:t>
      </w:r>
      <w:r>
        <w:rPr/>
        <w:t>thus</w:t>
      </w:r>
      <w:r>
        <w:rPr>
          <w:spacing w:val="-10"/>
        </w:rPr>
        <w:t> </w:t>
      </w:r>
      <w:r>
        <w:rPr/>
        <w:t>our own</w:t>
      </w:r>
      <w:r>
        <w:rPr>
          <w:spacing w:val="21"/>
        </w:rPr>
        <w:t> </w:t>
      </w:r>
      <w:r>
        <w:rPr/>
        <w:t>lifespan.</w:t>
      </w:r>
      <w:r>
        <w:rPr>
          <w:spacing w:val="23"/>
        </w:rPr>
        <w:t> </w:t>
      </w:r>
      <w:r>
        <w:rPr/>
        <w:t>Melatonin</w:t>
      </w:r>
      <w:r>
        <w:rPr>
          <w:spacing w:val="21"/>
        </w:rPr>
        <w:t> </w:t>
      </w:r>
      <w:r>
        <w:rPr/>
        <w:t>regulates</w:t>
      </w:r>
      <w:r>
        <w:rPr>
          <w:spacing w:val="22"/>
        </w:rPr>
        <w:t> </w:t>
      </w:r>
      <w:r>
        <w:rPr/>
        <w:t>our</w:t>
      </w:r>
      <w:r>
        <w:rPr>
          <w:spacing w:val="21"/>
        </w:rPr>
        <w:t> </w:t>
      </w:r>
      <w:r>
        <w:rPr/>
        <w:t>hormonal</w:t>
      </w:r>
      <w:r>
        <w:rPr>
          <w:spacing w:val="17"/>
        </w:rPr>
        <w:t> </w:t>
      </w:r>
      <w:r>
        <w:rPr/>
        <w:t>balance</w:t>
      </w:r>
      <w:r>
        <w:rPr>
          <w:spacing w:val="22"/>
        </w:rPr>
        <w:t> </w:t>
      </w:r>
      <w:r>
        <w:rPr/>
        <w:t>and</w:t>
      </w:r>
      <w:r>
        <w:rPr>
          <w:spacing w:val="21"/>
        </w:rPr>
        <w:t> </w:t>
      </w:r>
      <w:r>
        <w:rPr/>
        <w:t>thus</w:t>
      </w:r>
      <w:r>
        <w:rPr>
          <w:spacing w:val="21"/>
        </w:rPr>
        <w:t> </w:t>
      </w:r>
      <w:r>
        <w:rPr/>
        <w:t>spares</w:t>
      </w:r>
      <w:r>
        <w:rPr>
          <w:spacing w:val="21"/>
        </w:rPr>
        <w:t> </w:t>
      </w:r>
      <w:r>
        <w:rPr/>
        <w:t>the</w:t>
      </w:r>
    </w:p>
    <w:p>
      <w:pPr>
        <w:spacing w:after="0" w:line="276" w:lineRule="auto"/>
        <w:jc w:val="both"/>
        <w:sectPr>
          <w:pgSz w:w="14270" w:h="16850"/>
          <w:pgMar w:header="0" w:footer="1891" w:top="1340" w:bottom="2080" w:left="800" w:right="1280"/>
        </w:sectPr>
      </w:pPr>
    </w:p>
    <w:p>
      <w:pPr>
        <w:pStyle w:val="BodyText"/>
        <w:spacing w:line="276" w:lineRule="auto" w:before="72"/>
        <w:ind w:left="616" w:right="134"/>
        <w:jc w:val="both"/>
      </w:pPr>
      <w:r>
        <w:rPr/>
        <w:t>functions of our body. Balanced hormones are crucial for a long life expec- tancy, as only hormonal balance can guarantee a harmonious and moderate, but not excessive use of our bodily functions. Physically and mentally over- strained bodily functions lead to premature ageing. This is exactly where mel- atonin can help, by optimising the interaction of hormones and regulating</w:t>
      </w:r>
      <w:r>
        <w:rPr>
          <w:spacing w:val="-49"/>
        </w:rPr>
        <w:t> </w:t>
      </w:r>
      <w:r>
        <w:rPr/>
        <w:t>any imbalance.</w:t>
      </w:r>
    </w:p>
    <w:p>
      <w:pPr>
        <w:pStyle w:val="Heading1"/>
        <w:spacing w:before="225"/>
        <w:ind w:left="616"/>
      </w:pPr>
      <w:r>
        <w:rPr/>
        <w:t>Pineal gland as an 'ageing clock' which sets the signals for ageing</w:t>
      </w:r>
    </w:p>
    <w:p>
      <w:pPr>
        <w:pStyle w:val="BodyText"/>
        <w:spacing w:line="276" w:lineRule="auto" w:before="300"/>
        <w:ind w:left="616" w:right="132"/>
        <w:jc w:val="both"/>
      </w:pPr>
      <w:r>
        <w:rPr/>
        <w:t>Probably the most essential factor, however, is probably the melatonin release of</w:t>
      </w:r>
      <w:r>
        <w:rPr>
          <w:spacing w:val="-9"/>
        </w:rPr>
        <w:t> </w:t>
      </w:r>
      <w:r>
        <w:rPr/>
        <w:t>the</w:t>
      </w:r>
      <w:r>
        <w:rPr>
          <w:spacing w:val="-8"/>
        </w:rPr>
        <w:t> </w:t>
      </w:r>
      <w:r>
        <w:rPr/>
        <w:t>pineal</w:t>
      </w:r>
      <w:r>
        <w:rPr>
          <w:spacing w:val="-10"/>
        </w:rPr>
        <w:t> </w:t>
      </w:r>
      <w:r>
        <w:rPr/>
        <w:t>gland</w:t>
      </w:r>
      <w:r>
        <w:rPr>
          <w:spacing w:val="-9"/>
        </w:rPr>
        <w:t> </w:t>
      </w:r>
      <w:r>
        <w:rPr/>
        <w:t>as</w:t>
      </w:r>
      <w:r>
        <w:rPr>
          <w:spacing w:val="-10"/>
        </w:rPr>
        <w:t> </w:t>
      </w:r>
      <w:r>
        <w:rPr/>
        <w:t>a</w:t>
      </w:r>
      <w:r>
        <w:rPr>
          <w:spacing w:val="-10"/>
        </w:rPr>
        <w:t> </w:t>
      </w:r>
      <w:r>
        <w:rPr/>
        <w:t>measure</w:t>
      </w:r>
      <w:r>
        <w:rPr>
          <w:spacing w:val="-12"/>
        </w:rPr>
        <w:t> </w:t>
      </w:r>
      <w:r>
        <w:rPr/>
        <w:t>of</w:t>
      </w:r>
      <w:r>
        <w:rPr>
          <w:spacing w:val="-9"/>
        </w:rPr>
        <w:t> </w:t>
      </w:r>
      <w:r>
        <w:rPr/>
        <w:t>ageing.</w:t>
      </w:r>
      <w:r>
        <w:rPr>
          <w:spacing w:val="-8"/>
        </w:rPr>
        <w:t> </w:t>
      </w:r>
      <w:r>
        <w:rPr/>
        <w:t>Prof.</w:t>
      </w:r>
      <w:r>
        <w:rPr>
          <w:spacing w:val="-11"/>
        </w:rPr>
        <w:t> </w:t>
      </w:r>
      <w:r>
        <w:rPr/>
        <w:t>Dr.</w:t>
      </w:r>
      <w:r>
        <w:rPr>
          <w:spacing w:val="-8"/>
        </w:rPr>
        <w:t> </w:t>
      </w:r>
      <w:r>
        <w:rPr/>
        <w:t>William</w:t>
      </w:r>
      <w:r>
        <w:rPr>
          <w:spacing w:val="-10"/>
        </w:rPr>
        <w:t> </w:t>
      </w:r>
      <w:r>
        <w:rPr/>
        <w:t>Regelson</w:t>
      </w:r>
      <w:r>
        <w:rPr>
          <w:spacing w:val="-9"/>
        </w:rPr>
        <w:t> </w:t>
      </w:r>
      <w:r>
        <w:rPr/>
        <w:t>and</w:t>
      </w:r>
      <w:r>
        <w:rPr>
          <w:spacing w:val="-9"/>
        </w:rPr>
        <w:t> </w:t>
      </w:r>
      <w:r>
        <w:rPr/>
        <w:t>Dr. Walter Pierpaoli, who have been mentioned numerous times already, are gen- uine</w:t>
      </w:r>
      <w:r>
        <w:rPr>
          <w:spacing w:val="-19"/>
        </w:rPr>
        <w:t> </w:t>
      </w:r>
      <w:r>
        <w:rPr/>
        <w:t>pioneers</w:t>
      </w:r>
      <w:r>
        <w:rPr>
          <w:spacing w:val="-18"/>
        </w:rPr>
        <w:t> </w:t>
      </w:r>
      <w:r>
        <w:rPr/>
        <w:t>in</w:t>
      </w:r>
      <w:r>
        <w:rPr>
          <w:spacing w:val="-23"/>
        </w:rPr>
        <w:t> </w:t>
      </w:r>
      <w:r>
        <w:rPr/>
        <w:t>the</w:t>
      </w:r>
      <w:r>
        <w:rPr>
          <w:spacing w:val="-18"/>
        </w:rPr>
        <w:t> </w:t>
      </w:r>
      <w:r>
        <w:rPr/>
        <w:t>research</w:t>
      </w:r>
      <w:r>
        <w:rPr>
          <w:spacing w:val="-20"/>
        </w:rPr>
        <w:t> </w:t>
      </w:r>
      <w:r>
        <w:rPr/>
        <w:t>of</w:t>
      </w:r>
      <w:r>
        <w:rPr>
          <w:spacing w:val="-21"/>
        </w:rPr>
        <w:t> </w:t>
      </w:r>
      <w:r>
        <w:rPr/>
        <w:t>melatonin</w:t>
      </w:r>
      <w:r>
        <w:rPr>
          <w:spacing w:val="-19"/>
        </w:rPr>
        <w:t> </w:t>
      </w:r>
      <w:r>
        <w:rPr/>
        <w:t>in</w:t>
      </w:r>
      <w:r>
        <w:rPr>
          <w:spacing w:val="-19"/>
        </w:rPr>
        <w:t> </w:t>
      </w:r>
      <w:r>
        <w:rPr/>
        <w:t>the</w:t>
      </w:r>
      <w:r>
        <w:rPr>
          <w:spacing w:val="-20"/>
        </w:rPr>
        <w:t> </w:t>
      </w:r>
      <w:r>
        <w:rPr/>
        <w:t>fight</w:t>
      </w:r>
      <w:r>
        <w:rPr>
          <w:spacing w:val="-18"/>
        </w:rPr>
        <w:t> </w:t>
      </w:r>
      <w:r>
        <w:rPr/>
        <w:t>against</w:t>
      </w:r>
      <w:r>
        <w:rPr>
          <w:spacing w:val="-19"/>
        </w:rPr>
        <w:t> </w:t>
      </w:r>
      <w:r>
        <w:rPr/>
        <w:t>biological</w:t>
      </w:r>
      <w:r>
        <w:rPr>
          <w:spacing w:val="-19"/>
        </w:rPr>
        <w:t> </w:t>
      </w:r>
      <w:r>
        <w:rPr/>
        <w:t>ageing. After</w:t>
      </w:r>
      <w:r>
        <w:rPr>
          <w:spacing w:val="-10"/>
        </w:rPr>
        <w:t> </w:t>
      </w:r>
      <w:r>
        <w:rPr/>
        <w:t>about</w:t>
      </w:r>
      <w:r>
        <w:rPr>
          <w:spacing w:val="-11"/>
        </w:rPr>
        <w:t> </w:t>
      </w:r>
      <w:r>
        <w:rPr/>
        <w:t>30</w:t>
      </w:r>
      <w:r>
        <w:rPr>
          <w:spacing w:val="-11"/>
        </w:rPr>
        <w:t> </w:t>
      </w:r>
      <w:r>
        <w:rPr/>
        <w:t>years</w:t>
      </w:r>
      <w:r>
        <w:rPr>
          <w:spacing w:val="-8"/>
        </w:rPr>
        <w:t> </w:t>
      </w:r>
      <w:r>
        <w:rPr/>
        <w:t>of</w:t>
      </w:r>
      <w:r>
        <w:rPr>
          <w:spacing w:val="-12"/>
        </w:rPr>
        <w:t> </w:t>
      </w:r>
      <w:r>
        <w:rPr/>
        <w:t>intensive</w:t>
      </w:r>
      <w:r>
        <w:rPr>
          <w:spacing w:val="-12"/>
        </w:rPr>
        <w:t> </w:t>
      </w:r>
      <w:r>
        <w:rPr/>
        <w:t>research</w:t>
      </w:r>
      <w:r>
        <w:rPr>
          <w:spacing w:val="-9"/>
        </w:rPr>
        <w:t> </w:t>
      </w:r>
      <w:r>
        <w:rPr/>
        <w:t>into</w:t>
      </w:r>
      <w:r>
        <w:rPr>
          <w:spacing w:val="-12"/>
        </w:rPr>
        <w:t> </w:t>
      </w:r>
      <w:r>
        <w:rPr/>
        <w:t>melatonin,</w:t>
      </w:r>
      <w:r>
        <w:rPr>
          <w:spacing w:val="-9"/>
        </w:rPr>
        <w:t> </w:t>
      </w:r>
      <w:r>
        <w:rPr/>
        <w:t>both</w:t>
      </w:r>
      <w:r>
        <w:rPr>
          <w:spacing w:val="-12"/>
        </w:rPr>
        <w:t> </w:t>
      </w:r>
      <w:r>
        <w:rPr/>
        <w:t>researchers</w:t>
      </w:r>
      <w:r>
        <w:rPr>
          <w:spacing w:val="-11"/>
        </w:rPr>
        <w:t> </w:t>
      </w:r>
      <w:r>
        <w:rPr/>
        <w:t>see physical ageing not as an inevitable fate, but in the complementary intake of melatonin, they see an opportunity to not only slow down age-related cell de- cay, but even reverse it! Their pioneering work has set standards in the study of physiological ageing, as they succeeded in identifying the pineal gland as being responsible for the production of melatonin as an '</w:t>
      </w:r>
      <w:r>
        <w:rPr>
          <w:i/>
        </w:rPr>
        <w:t>ageing clock' </w:t>
      </w:r>
      <w:r>
        <w:rPr/>
        <w:t>which, in ageing itself, gives the order to all other cells to age as well. If the pineal gland ages, it makes little sense if other parts of the body do not do so at the same rate.</w:t>
      </w:r>
      <w:r>
        <w:rPr>
          <w:spacing w:val="-19"/>
        </w:rPr>
        <w:t> </w:t>
      </w:r>
      <w:r>
        <w:rPr/>
        <w:t>By</w:t>
      </w:r>
      <w:r>
        <w:rPr>
          <w:spacing w:val="-19"/>
        </w:rPr>
        <w:t> </w:t>
      </w:r>
      <w:r>
        <w:rPr/>
        <w:t>reducing</w:t>
      </w:r>
      <w:r>
        <w:rPr>
          <w:spacing w:val="-19"/>
        </w:rPr>
        <w:t> </w:t>
      </w:r>
      <w:r>
        <w:rPr/>
        <w:t>melatonin</w:t>
      </w:r>
      <w:r>
        <w:rPr>
          <w:spacing w:val="-19"/>
        </w:rPr>
        <w:t> </w:t>
      </w:r>
      <w:r>
        <w:rPr/>
        <w:t>production,</w:t>
      </w:r>
      <w:r>
        <w:rPr>
          <w:spacing w:val="-18"/>
        </w:rPr>
        <w:t> </w:t>
      </w:r>
      <w:r>
        <w:rPr/>
        <w:t>the</w:t>
      </w:r>
      <w:r>
        <w:rPr>
          <w:spacing w:val="-19"/>
        </w:rPr>
        <w:t> </w:t>
      </w:r>
      <w:r>
        <w:rPr/>
        <w:t>ageing</w:t>
      </w:r>
      <w:r>
        <w:rPr>
          <w:spacing w:val="-18"/>
        </w:rPr>
        <w:t> </w:t>
      </w:r>
      <w:r>
        <w:rPr/>
        <w:t>pineal</w:t>
      </w:r>
      <w:r>
        <w:rPr>
          <w:spacing w:val="-20"/>
        </w:rPr>
        <w:t> </w:t>
      </w:r>
      <w:r>
        <w:rPr/>
        <w:t>gland</w:t>
      </w:r>
      <w:r>
        <w:rPr>
          <w:spacing w:val="-19"/>
        </w:rPr>
        <w:t> </w:t>
      </w:r>
      <w:r>
        <w:rPr/>
        <w:t>releases</w:t>
      </w:r>
      <w:r>
        <w:rPr>
          <w:spacing w:val="-18"/>
        </w:rPr>
        <w:t> </w:t>
      </w:r>
      <w:r>
        <w:rPr/>
        <w:t>signals to</w:t>
      </w:r>
      <w:r>
        <w:rPr>
          <w:spacing w:val="-6"/>
        </w:rPr>
        <w:t> </w:t>
      </w:r>
      <w:r>
        <w:rPr/>
        <w:t>other</w:t>
      </w:r>
      <w:r>
        <w:rPr>
          <w:spacing w:val="-7"/>
        </w:rPr>
        <w:t> </w:t>
      </w:r>
      <w:r>
        <w:rPr/>
        <w:t>body</w:t>
      </w:r>
      <w:r>
        <w:rPr>
          <w:spacing w:val="-7"/>
        </w:rPr>
        <w:t> </w:t>
      </w:r>
      <w:r>
        <w:rPr/>
        <w:t>cells</w:t>
      </w:r>
      <w:r>
        <w:rPr>
          <w:spacing w:val="-6"/>
        </w:rPr>
        <w:t> </w:t>
      </w:r>
      <w:r>
        <w:rPr/>
        <w:t>to</w:t>
      </w:r>
      <w:r>
        <w:rPr>
          <w:spacing w:val="-6"/>
        </w:rPr>
        <w:t> </w:t>
      </w:r>
      <w:r>
        <w:rPr/>
        <w:t>age</w:t>
      </w:r>
      <w:r>
        <w:rPr>
          <w:spacing w:val="-6"/>
        </w:rPr>
        <w:t> </w:t>
      </w:r>
      <w:r>
        <w:rPr/>
        <w:t>as</w:t>
      </w:r>
      <w:r>
        <w:rPr>
          <w:spacing w:val="-6"/>
        </w:rPr>
        <w:t> </w:t>
      </w:r>
      <w:r>
        <w:rPr/>
        <w:t>well.</w:t>
      </w:r>
      <w:r>
        <w:rPr>
          <w:spacing w:val="-9"/>
        </w:rPr>
        <w:t> </w:t>
      </w:r>
      <w:r>
        <w:rPr/>
        <w:t>A</w:t>
      </w:r>
      <w:r>
        <w:rPr>
          <w:spacing w:val="-6"/>
        </w:rPr>
        <w:t> </w:t>
      </w:r>
      <w:r>
        <w:rPr/>
        <w:t>downward</w:t>
      </w:r>
      <w:r>
        <w:rPr>
          <w:spacing w:val="-7"/>
        </w:rPr>
        <w:t> </w:t>
      </w:r>
      <w:r>
        <w:rPr/>
        <w:t>spiral</w:t>
      </w:r>
      <w:r>
        <w:rPr>
          <w:spacing w:val="-7"/>
        </w:rPr>
        <w:t> </w:t>
      </w:r>
      <w:r>
        <w:rPr/>
        <w:t>of</w:t>
      </w:r>
      <w:r>
        <w:rPr>
          <w:spacing w:val="-6"/>
        </w:rPr>
        <w:t> </w:t>
      </w:r>
      <w:r>
        <w:rPr/>
        <w:t>cell</w:t>
      </w:r>
      <w:r>
        <w:rPr>
          <w:spacing w:val="-7"/>
        </w:rPr>
        <w:t> </w:t>
      </w:r>
      <w:r>
        <w:rPr/>
        <w:t>ageing</w:t>
      </w:r>
      <w:r>
        <w:rPr>
          <w:spacing w:val="-5"/>
        </w:rPr>
        <w:t> </w:t>
      </w:r>
      <w:r>
        <w:rPr/>
        <w:t>and</w:t>
      </w:r>
      <w:r>
        <w:rPr>
          <w:spacing w:val="-7"/>
        </w:rPr>
        <w:t> </w:t>
      </w:r>
      <w:r>
        <w:rPr/>
        <w:t>declin- ing bodily functions begins.</w:t>
      </w:r>
    </w:p>
    <w:p>
      <w:pPr>
        <w:pStyle w:val="Heading1"/>
        <w:spacing w:before="222"/>
        <w:ind w:left="616"/>
        <w:jc w:val="both"/>
      </w:pPr>
      <w:r>
        <w:rPr/>
        <w:t>The proof:</w:t>
      </w:r>
    </w:p>
    <w:p>
      <w:pPr>
        <w:spacing w:after="0"/>
        <w:jc w:val="both"/>
        <w:sectPr>
          <w:pgSz w:w="14270" w:h="16850"/>
          <w:pgMar w:header="0" w:footer="1891" w:top="1340" w:bottom="2080" w:left="800" w:right="1280"/>
        </w:sectPr>
      </w:pPr>
    </w:p>
    <w:p>
      <w:pPr>
        <w:pStyle w:val="BodyText"/>
        <w:spacing w:line="276" w:lineRule="auto" w:before="74"/>
        <w:ind w:left="616" w:right="137"/>
        <w:jc w:val="both"/>
      </w:pPr>
      <w:r>
        <w:rPr/>
        <w:t>In a sensational test, scientists transplanted the pineal glands of younger mice into older mice and the pineal glands of the older mice into the younger mice.</w:t>
      </w:r>
    </w:p>
    <w:p>
      <w:pPr>
        <w:pStyle w:val="BodyText"/>
        <w:spacing w:line="276" w:lineRule="auto" w:before="239"/>
        <w:ind w:left="616" w:right="134"/>
        <w:jc w:val="both"/>
        <w:rPr>
          <w:sz w:val="25"/>
        </w:rPr>
      </w:pPr>
      <w:r>
        <w:rPr/>
        <w:t>The older mice then lived twice as long as the younger mice! You could see a real rejuvenation: their muscles tightened, the fur became shiny and thick,</w:t>
      </w:r>
      <w:r>
        <w:rPr>
          <w:spacing w:val="-51"/>
        </w:rPr>
        <w:t> </w:t>
      </w:r>
      <w:r>
        <w:rPr/>
        <w:t>and they were bursting with energy. They eventually lived to 1020 days, a biblical age for this mouse species, while the younger mice with the older pineal gland had hair loss, dull fur, and diminishing energy, and only lived 510 days.</w:t>
      </w:r>
      <w:r>
        <w:rPr>
          <w:position w:val="9"/>
          <w:sz w:val="25"/>
        </w:rPr>
        <w:t>541</w:t>
      </w:r>
    </w:p>
    <w:p>
      <w:pPr>
        <w:pStyle w:val="BodyText"/>
        <w:spacing w:line="276" w:lineRule="auto" w:before="242"/>
        <w:ind w:left="616" w:right="136"/>
        <w:jc w:val="both"/>
      </w:pPr>
      <w:r>
        <w:rPr/>
        <w:t>To be sure that this is related to melatonin production, melatonin supplemen- tation to </w:t>
      </w:r>
      <w:r>
        <w:rPr>
          <w:u w:val="single"/>
        </w:rPr>
        <w:t>non</w:t>
      </w:r>
      <w:r>
        <w:rPr/>
        <w:t>-operated mice should provide evidence of anti-ageing effects.</w:t>
      </w:r>
    </w:p>
    <w:p>
      <w:pPr>
        <w:pStyle w:val="Heading1"/>
        <w:spacing w:before="221"/>
        <w:ind w:left="616"/>
      </w:pPr>
      <w:r>
        <w:rPr/>
        <w:t>The result:</w:t>
      </w:r>
    </w:p>
    <w:p>
      <w:pPr>
        <w:pStyle w:val="BodyText"/>
        <w:spacing w:line="276" w:lineRule="auto" w:before="299"/>
        <w:ind w:left="616" w:right="134"/>
        <w:jc w:val="both"/>
      </w:pPr>
      <w:r>
        <w:rPr/>
        <w:t>Melatonin</w:t>
      </w:r>
      <w:r>
        <w:rPr>
          <w:spacing w:val="-18"/>
        </w:rPr>
        <w:t> </w:t>
      </w:r>
      <w:r>
        <w:rPr/>
        <w:t>administration</w:t>
      </w:r>
      <w:r>
        <w:rPr>
          <w:spacing w:val="-17"/>
        </w:rPr>
        <w:t> </w:t>
      </w:r>
      <w:r>
        <w:rPr/>
        <w:t>was</w:t>
      </w:r>
      <w:r>
        <w:rPr>
          <w:spacing w:val="-17"/>
        </w:rPr>
        <w:t> </w:t>
      </w:r>
      <w:r>
        <w:rPr/>
        <w:t>able</w:t>
      </w:r>
      <w:r>
        <w:rPr>
          <w:spacing w:val="-19"/>
        </w:rPr>
        <w:t> </w:t>
      </w:r>
      <w:r>
        <w:rPr/>
        <w:t>to</w:t>
      </w:r>
      <w:r>
        <w:rPr>
          <w:spacing w:val="-17"/>
        </w:rPr>
        <w:t> </w:t>
      </w:r>
      <w:r>
        <w:rPr/>
        <w:t>extend</w:t>
      </w:r>
      <w:r>
        <w:rPr>
          <w:spacing w:val="-17"/>
        </w:rPr>
        <w:t> </w:t>
      </w:r>
      <w:r>
        <w:rPr/>
        <w:t>the</w:t>
      </w:r>
      <w:r>
        <w:rPr>
          <w:spacing w:val="-17"/>
        </w:rPr>
        <w:t> </w:t>
      </w:r>
      <w:r>
        <w:rPr/>
        <w:t>life</w:t>
      </w:r>
      <w:r>
        <w:rPr>
          <w:spacing w:val="-19"/>
        </w:rPr>
        <w:t> </w:t>
      </w:r>
      <w:r>
        <w:rPr/>
        <w:t>of</w:t>
      </w:r>
      <w:r>
        <w:rPr>
          <w:spacing w:val="-18"/>
        </w:rPr>
        <w:t> </w:t>
      </w:r>
      <w:r>
        <w:rPr/>
        <w:t>the</w:t>
      </w:r>
      <w:r>
        <w:rPr>
          <w:spacing w:val="-17"/>
        </w:rPr>
        <w:t> </w:t>
      </w:r>
      <w:r>
        <w:rPr/>
        <w:t>mice</w:t>
      </w:r>
      <w:r>
        <w:rPr>
          <w:spacing w:val="-18"/>
        </w:rPr>
        <w:t> </w:t>
      </w:r>
      <w:r>
        <w:rPr/>
        <w:t>by</w:t>
      </w:r>
      <w:r>
        <w:rPr>
          <w:spacing w:val="-18"/>
        </w:rPr>
        <w:t> </w:t>
      </w:r>
      <w:r>
        <w:rPr/>
        <w:t>six</w:t>
      </w:r>
      <w:r>
        <w:rPr>
          <w:spacing w:val="-19"/>
        </w:rPr>
        <w:t> </w:t>
      </w:r>
      <w:r>
        <w:rPr/>
        <w:t>months, while</w:t>
      </w:r>
      <w:r>
        <w:rPr>
          <w:spacing w:val="-15"/>
        </w:rPr>
        <w:t> </w:t>
      </w:r>
      <w:r>
        <w:rPr/>
        <w:t>the</w:t>
      </w:r>
      <w:r>
        <w:rPr>
          <w:spacing w:val="-13"/>
        </w:rPr>
        <w:t> </w:t>
      </w:r>
      <w:r>
        <w:rPr/>
        <w:t>comparison</w:t>
      </w:r>
      <w:r>
        <w:rPr>
          <w:spacing w:val="-12"/>
        </w:rPr>
        <w:t> </w:t>
      </w:r>
      <w:r>
        <w:rPr/>
        <w:t>group</w:t>
      </w:r>
      <w:r>
        <w:rPr>
          <w:spacing w:val="-14"/>
        </w:rPr>
        <w:t> </w:t>
      </w:r>
      <w:r>
        <w:rPr/>
        <w:t>(without</w:t>
      </w:r>
      <w:r>
        <w:rPr>
          <w:spacing w:val="-15"/>
        </w:rPr>
        <w:t> </w:t>
      </w:r>
      <w:r>
        <w:rPr/>
        <w:t>melatonin)</w:t>
      </w:r>
      <w:r>
        <w:rPr>
          <w:spacing w:val="-12"/>
        </w:rPr>
        <w:t> </w:t>
      </w:r>
      <w:r>
        <w:rPr/>
        <w:t>reached</w:t>
      </w:r>
      <w:r>
        <w:rPr>
          <w:spacing w:val="-13"/>
        </w:rPr>
        <w:t> </w:t>
      </w:r>
      <w:r>
        <w:rPr/>
        <w:t>the</w:t>
      </w:r>
      <w:r>
        <w:rPr>
          <w:spacing w:val="-13"/>
        </w:rPr>
        <w:t> </w:t>
      </w:r>
      <w:r>
        <w:rPr/>
        <w:t>typical</w:t>
      </w:r>
      <w:r>
        <w:rPr>
          <w:spacing w:val="-13"/>
        </w:rPr>
        <w:t> </w:t>
      </w:r>
      <w:r>
        <w:rPr/>
        <w:t>age</w:t>
      </w:r>
      <w:r>
        <w:rPr>
          <w:spacing w:val="-14"/>
        </w:rPr>
        <w:t> </w:t>
      </w:r>
      <w:r>
        <w:rPr/>
        <w:t>of</w:t>
      </w:r>
      <w:r>
        <w:rPr>
          <w:spacing w:val="-13"/>
        </w:rPr>
        <w:t> </w:t>
      </w:r>
      <w:r>
        <w:rPr/>
        <w:t>24- 25 months, which corresponds to an amazing 25 % life extension and extrap- olated to humans, represents 25 -30 additional years of</w:t>
      </w:r>
      <w:r>
        <w:rPr>
          <w:spacing w:val="-5"/>
        </w:rPr>
        <w:t> </w:t>
      </w:r>
      <w:r>
        <w:rPr/>
        <w:t>life!</w:t>
      </w:r>
    </w:p>
    <w:p>
      <w:pPr>
        <w:pStyle w:val="Heading1"/>
        <w:spacing w:before="225"/>
        <w:ind w:left="616"/>
      </w:pPr>
      <w:r>
        <w:rPr/>
        <w:t>Long-lived and healthy with melatonin?</w:t>
      </w:r>
    </w:p>
    <w:p>
      <w:pPr>
        <w:pStyle w:val="BodyText"/>
        <w:spacing w:line="276" w:lineRule="auto" w:before="297"/>
        <w:ind w:left="616" w:right="137"/>
        <w:jc w:val="both"/>
      </w:pPr>
      <w:r>
        <w:rPr/>
        <w:t>The</w:t>
      </w:r>
      <w:r>
        <w:rPr>
          <w:spacing w:val="-13"/>
        </w:rPr>
        <w:t> </w:t>
      </w:r>
      <w:r>
        <w:rPr/>
        <w:t>general</w:t>
      </w:r>
      <w:r>
        <w:rPr>
          <w:spacing w:val="-14"/>
        </w:rPr>
        <w:t> </w:t>
      </w:r>
      <w:r>
        <w:rPr/>
        <w:t>condition</w:t>
      </w:r>
      <w:r>
        <w:rPr>
          <w:spacing w:val="-12"/>
        </w:rPr>
        <w:t> </w:t>
      </w:r>
      <w:r>
        <w:rPr/>
        <w:t>of</w:t>
      </w:r>
      <w:r>
        <w:rPr>
          <w:spacing w:val="-13"/>
        </w:rPr>
        <w:t> </w:t>
      </w:r>
      <w:r>
        <w:rPr/>
        <w:t>the</w:t>
      </w:r>
      <w:r>
        <w:rPr>
          <w:spacing w:val="-14"/>
        </w:rPr>
        <w:t> </w:t>
      </w:r>
      <w:r>
        <w:rPr/>
        <w:t>mice</w:t>
      </w:r>
      <w:r>
        <w:rPr>
          <w:spacing w:val="-12"/>
        </w:rPr>
        <w:t> </w:t>
      </w:r>
      <w:r>
        <w:rPr/>
        <w:t>fed</w:t>
      </w:r>
      <w:r>
        <w:rPr>
          <w:spacing w:val="-13"/>
        </w:rPr>
        <w:t> </w:t>
      </w:r>
      <w:r>
        <w:rPr/>
        <w:t>with</w:t>
      </w:r>
      <w:r>
        <w:rPr>
          <w:spacing w:val="-13"/>
        </w:rPr>
        <w:t> </w:t>
      </w:r>
      <w:r>
        <w:rPr/>
        <w:t>melatonin,</w:t>
      </w:r>
      <w:r>
        <w:rPr>
          <w:spacing w:val="-12"/>
        </w:rPr>
        <w:t> </w:t>
      </w:r>
      <w:r>
        <w:rPr/>
        <w:t>which</w:t>
      </w:r>
      <w:r>
        <w:rPr>
          <w:spacing w:val="-14"/>
        </w:rPr>
        <w:t> </w:t>
      </w:r>
      <w:r>
        <w:rPr/>
        <w:t>remained</w:t>
      </w:r>
      <w:r>
        <w:rPr>
          <w:spacing w:val="-14"/>
        </w:rPr>
        <w:t> </w:t>
      </w:r>
      <w:r>
        <w:rPr/>
        <w:t>healthy and energetic until their significantly delayed death, was also very promising, while</w:t>
      </w:r>
      <w:r>
        <w:rPr>
          <w:spacing w:val="9"/>
        </w:rPr>
        <w:t> </w:t>
      </w:r>
      <w:r>
        <w:rPr/>
        <w:t>the</w:t>
      </w:r>
      <w:r>
        <w:rPr>
          <w:spacing w:val="11"/>
        </w:rPr>
        <w:t> </w:t>
      </w:r>
      <w:r>
        <w:rPr/>
        <w:t>mice</w:t>
      </w:r>
      <w:r>
        <w:rPr>
          <w:spacing w:val="11"/>
        </w:rPr>
        <w:t> </w:t>
      </w:r>
      <w:r>
        <w:rPr/>
        <w:t>that</w:t>
      </w:r>
      <w:r>
        <w:rPr>
          <w:spacing w:val="9"/>
        </w:rPr>
        <w:t> </w:t>
      </w:r>
      <w:r>
        <w:rPr/>
        <w:t>were</w:t>
      </w:r>
      <w:r>
        <w:rPr>
          <w:spacing w:val="11"/>
        </w:rPr>
        <w:t> </w:t>
      </w:r>
      <w:r>
        <w:rPr/>
        <w:t>not</w:t>
      </w:r>
      <w:r>
        <w:rPr>
          <w:spacing w:val="8"/>
        </w:rPr>
        <w:t> </w:t>
      </w:r>
      <w:r>
        <w:rPr/>
        <w:t>fed</w:t>
      </w:r>
      <w:r>
        <w:rPr>
          <w:spacing w:val="8"/>
        </w:rPr>
        <w:t> </w:t>
      </w:r>
      <w:r>
        <w:rPr/>
        <w:t>melatonin</w:t>
      </w:r>
      <w:r>
        <w:rPr>
          <w:spacing w:val="10"/>
        </w:rPr>
        <w:t> </w:t>
      </w:r>
      <w:r>
        <w:rPr/>
        <w:t>looked</w:t>
      </w:r>
      <w:r>
        <w:rPr>
          <w:spacing w:val="11"/>
        </w:rPr>
        <w:t> </w:t>
      </w:r>
      <w:r>
        <w:rPr/>
        <w:t>sickly,</w:t>
      </w:r>
      <w:r>
        <w:rPr>
          <w:spacing w:val="11"/>
        </w:rPr>
        <w:t> </w:t>
      </w:r>
      <w:r>
        <w:rPr/>
        <w:t>in</w:t>
      </w:r>
      <w:r>
        <w:rPr>
          <w:spacing w:val="8"/>
        </w:rPr>
        <w:t> </w:t>
      </w:r>
      <w:r>
        <w:rPr/>
        <w:t>a</w:t>
      </w:r>
      <w:r>
        <w:rPr>
          <w:spacing w:val="9"/>
        </w:rPr>
        <w:t> </w:t>
      </w:r>
      <w:r>
        <w:rPr/>
        <w:t>manner</w:t>
      </w:r>
      <w:r>
        <w:rPr>
          <w:spacing w:val="11"/>
        </w:rPr>
        <w:t> </w:t>
      </w:r>
      <w:r>
        <w:rPr/>
        <w:t>typical</w:t>
      </w:r>
    </w:p>
    <w:p>
      <w:pPr>
        <w:pStyle w:val="BodyText"/>
        <w:rPr>
          <w:sz w:val="20"/>
        </w:rPr>
      </w:pPr>
    </w:p>
    <w:p>
      <w:pPr>
        <w:pStyle w:val="BodyText"/>
        <w:rPr>
          <w:sz w:val="20"/>
        </w:rPr>
      </w:pPr>
    </w:p>
    <w:p>
      <w:pPr>
        <w:pStyle w:val="BodyText"/>
        <w:rPr>
          <w:sz w:val="20"/>
        </w:rPr>
      </w:pPr>
    </w:p>
    <w:p>
      <w:pPr>
        <w:pStyle w:val="BodyText"/>
        <w:spacing w:before="2"/>
        <w:rPr>
          <w:sz w:val="11"/>
        </w:rPr>
      </w:pPr>
      <w:r>
        <w:rPr/>
        <w:pict>
          <v:line style="position:absolute;mso-position-horizontal-relative:page;mso-position-vertical-relative:paragraph;z-index:6992;mso-wrap-distance-left:0;mso-wrap-distance-right:0" from="70.823997pt,8.639985pt" to="214.843997pt,8.639985pt" stroked="true" strokeweight=".72003pt" strokecolor="#000000">
            <v:stroke dashstyle="solid"/>
            <w10:wrap type="topAndBottom"/>
          </v:line>
        </w:pict>
      </w:r>
    </w:p>
    <w:p>
      <w:pPr>
        <w:pStyle w:val="BodyText"/>
        <w:spacing w:before="7"/>
        <w:rPr>
          <w:sz w:val="18"/>
        </w:rPr>
      </w:pPr>
    </w:p>
    <w:p>
      <w:pPr>
        <w:spacing w:line="273" w:lineRule="auto" w:before="99"/>
        <w:ind w:left="616" w:right="156" w:firstLine="0"/>
        <w:jc w:val="left"/>
        <w:rPr>
          <w:sz w:val="20"/>
        </w:rPr>
      </w:pPr>
      <w:r>
        <w:rPr>
          <w:position w:val="5"/>
          <w:sz w:val="13"/>
        </w:rPr>
        <w:t>541 </w:t>
      </w:r>
      <w:r>
        <w:rPr>
          <w:sz w:val="20"/>
        </w:rPr>
        <w:t>Dr. Arnold Hilgers and Dr. Inge Hofmann: Melatonin – die Pille für Gesundheit und ewige Jugend? ('Melatonin – The Pill for Health and Eter- nal Youth?'), 1996, p. 11</w:t>
      </w:r>
    </w:p>
    <w:p>
      <w:pPr>
        <w:spacing w:after="0" w:line="273" w:lineRule="auto"/>
        <w:jc w:val="left"/>
        <w:rPr>
          <w:sz w:val="20"/>
        </w:rPr>
        <w:sectPr>
          <w:pgSz w:w="14270" w:h="16850"/>
          <w:pgMar w:header="0" w:footer="1891" w:top="1340" w:bottom="2080" w:left="800" w:right="1280"/>
        </w:sectPr>
      </w:pPr>
    </w:p>
    <w:p>
      <w:pPr>
        <w:pStyle w:val="BodyText"/>
        <w:spacing w:before="74"/>
        <w:ind w:left="616"/>
      </w:pPr>
      <w:r>
        <w:rPr/>
        <w:t>for their age, and tumours were found after their death.</w:t>
      </w:r>
    </w:p>
    <w:p>
      <w:pPr>
        <w:pStyle w:val="Heading2"/>
        <w:spacing w:before="305"/>
        <w:ind w:left="616"/>
      </w:pPr>
      <w:r>
        <w:rPr/>
        <w:t>In summary, melatonin stimulated the following processes:</w:t>
      </w:r>
    </w:p>
    <w:p>
      <w:pPr>
        <w:pStyle w:val="ListParagraph"/>
        <w:numPr>
          <w:ilvl w:val="1"/>
          <w:numId w:val="69"/>
        </w:numPr>
        <w:tabs>
          <w:tab w:pos="1324" w:val="left" w:leader="none"/>
          <w:tab w:pos="1325" w:val="left" w:leader="none"/>
        </w:tabs>
        <w:spacing w:line="276" w:lineRule="auto" w:before="261" w:after="0"/>
        <w:ind w:left="1324" w:right="132" w:hanging="708"/>
        <w:jc w:val="left"/>
        <w:rPr>
          <w:sz w:val="38"/>
        </w:rPr>
      </w:pPr>
      <w:r>
        <w:rPr>
          <w:sz w:val="38"/>
        </w:rPr>
        <w:t>the pineal gland function was restored so that it resumed the body's own melatonin production;</w:t>
      </w:r>
    </w:p>
    <w:p>
      <w:pPr>
        <w:pStyle w:val="ListParagraph"/>
        <w:numPr>
          <w:ilvl w:val="1"/>
          <w:numId w:val="69"/>
        </w:numPr>
        <w:tabs>
          <w:tab w:pos="1324" w:val="left" w:leader="none"/>
          <w:tab w:pos="1325" w:val="left" w:leader="none"/>
        </w:tabs>
        <w:spacing w:line="240" w:lineRule="auto" w:before="121" w:after="0"/>
        <w:ind w:left="1324" w:right="0" w:hanging="708"/>
        <w:jc w:val="both"/>
        <w:rPr>
          <w:sz w:val="38"/>
        </w:rPr>
      </w:pPr>
      <w:r>
        <w:rPr>
          <w:sz w:val="38"/>
        </w:rPr>
        <w:t>as a result, the melatonin level rose</w:t>
      </w:r>
      <w:r>
        <w:rPr>
          <w:spacing w:val="-1"/>
          <w:sz w:val="38"/>
        </w:rPr>
        <w:t> </w:t>
      </w:r>
      <w:r>
        <w:rPr>
          <w:sz w:val="38"/>
        </w:rPr>
        <w:t>again;</w:t>
      </w:r>
    </w:p>
    <w:p>
      <w:pPr>
        <w:pStyle w:val="ListParagraph"/>
        <w:numPr>
          <w:ilvl w:val="1"/>
          <w:numId w:val="69"/>
        </w:numPr>
        <w:tabs>
          <w:tab w:pos="1324" w:val="left" w:leader="none"/>
          <w:tab w:pos="1325" w:val="left" w:leader="none"/>
        </w:tabs>
        <w:spacing w:line="240" w:lineRule="auto" w:before="184" w:after="0"/>
        <w:ind w:left="1324" w:right="0" w:hanging="708"/>
        <w:jc w:val="both"/>
        <w:rPr>
          <w:sz w:val="38"/>
        </w:rPr>
      </w:pPr>
      <w:r>
        <w:rPr>
          <w:sz w:val="38"/>
        </w:rPr>
        <w:t>the food intake and digestion of the mice</w:t>
      </w:r>
      <w:r>
        <w:rPr>
          <w:spacing w:val="-3"/>
          <w:sz w:val="38"/>
        </w:rPr>
        <w:t> </w:t>
      </w:r>
      <w:r>
        <w:rPr>
          <w:sz w:val="38"/>
        </w:rPr>
        <w:t>normalised;</w:t>
      </w:r>
    </w:p>
    <w:p>
      <w:pPr>
        <w:pStyle w:val="ListParagraph"/>
        <w:numPr>
          <w:ilvl w:val="1"/>
          <w:numId w:val="69"/>
        </w:numPr>
        <w:tabs>
          <w:tab w:pos="1324" w:val="left" w:leader="none"/>
          <w:tab w:pos="1325" w:val="left" w:leader="none"/>
        </w:tabs>
        <w:spacing w:line="240" w:lineRule="auto" w:before="185" w:after="0"/>
        <w:ind w:left="1324" w:right="0" w:hanging="708"/>
        <w:jc w:val="both"/>
        <w:rPr>
          <w:sz w:val="38"/>
        </w:rPr>
      </w:pPr>
      <w:r>
        <w:rPr>
          <w:sz w:val="38"/>
        </w:rPr>
        <w:t>the</w:t>
      </w:r>
      <w:r>
        <w:rPr>
          <w:spacing w:val="-13"/>
          <w:sz w:val="38"/>
        </w:rPr>
        <w:t> </w:t>
      </w:r>
      <w:r>
        <w:rPr>
          <w:sz w:val="38"/>
        </w:rPr>
        <w:t>immune</w:t>
      </w:r>
      <w:r>
        <w:rPr>
          <w:spacing w:val="-13"/>
          <w:sz w:val="38"/>
        </w:rPr>
        <w:t> </w:t>
      </w:r>
      <w:r>
        <w:rPr>
          <w:sz w:val="38"/>
        </w:rPr>
        <w:t>system</w:t>
      </w:r>
      <w:r>
        <w:rPr>
          <w:spacing w:val="-14"/>
          <w:sz w:val="38"/>
        </w:rPr>
        <w:t> </w:t>
      </w:r>
      <w:r>
        <w:rPr>
          <w:sz w:val="38"/>
        </w:rPr>
        <w:t>was</w:t>
      </w:r>
      <w:r>
        <w:rPr>
          <w:spacing w:val="-12"/>
          <w:sz w:val="38"/>
        </w:rPr>
        <w:t> </w:t>
      </w:r>
      <w:r>
        <w:rPr>
          <w:sz w:val="38"/>
        </w:rPr>
        <w:t>revived;</w:t>
      </w:r>
      <w:r>
        <w:rPr>
          <w:spacing w:val="-15"/>
          <w:sz w:val="38"/>
        </w:rPr>
        <w:t> </w:t>
      </w:r>
      <w:r>
        <w:rPr>
          <w:sz w:val="38"/>
        </w:rPr>
        <w:t>cancer</w:t>
      </w:r>
      <w:r>
        <w:rPr>
          <w:spacing w:val="-13"/>
          <w:sz w:val="38"/>
        </w:rPr>
        <w:t> </w:t>
      </w:r>
      <w:r>
        <w:rPr>
          <w:sz w:val="38"/>
        </w:rPr>
        <w:t>cells</w:t>
      </w:r>
      <w:r>
        <w:rPr>
          <w:spacing w:val="-13"/>
          <w:sz w:val="38"/>
        </w:rPr>
        <w:t> </w:t>
      </w:r>
      <w:r>
        <w:rPr>
          <w:sz w:val="38"/>
        </w:rPr>
        <w:t>were</w:t>
      </w:r>
      <w:r>
        <w:rPr>
          <w:spacing w:val="-16"/>
          <w:sz w:val="38"/>
        </w:rPr>
        <w:t> </w:t>
      </w:r>
      <w:r>
        <w:rPr>
          <w:sz w:val="38"/>
        </w:rPr>
        <w:t>successfully</w:t>
      </w:r>
      <w:r>
        <w:rPr>
          <w:spacing w:val="-14"/>
          <w:sz w:val="38"/>
        </w:rPr>
        <w:t> </w:t>
      </w:r>
      <w:r>
        <w:rPr>
          <w:sz w:val="38"/>
        </w:rPr>
        <w:t>eliminated;</w:t>
      </w:r>
    </w:p>
    <w:p>
      <w:pPr>
        <w:pStyle w:val="ListParagraph"/>
        <w:numPr>
          <w:ilvl w:val="1"/>
          <w:numId w:val="69"/>
        </w:numPr>
        <w:tabs>
          <w:tab w:pos="1324" w:val="left" w:leader="none"/>
          <w:tab w:pos="1325" w:val="left" w:leader="none"/>
        </w:tabs>
        <w:spacing w:line="240" w:lineRule="auto" w:before="185" w:after="0"/>
        <w:ind w:left="1324" w:right="0" w:hanging="708"/>
        <w:jc w:val="both"/>
        <w:rPr>
          <w:sz w:val="38"/>
        </w:rPr>
      </w:pPr>
      <w:r>
        <w:rPr>
          <w:sz w:val="38"/>
        </w:rPr>
        <w:t>the diminished sexual functions were re-established and</w:t>
      </w:r>
    </w:p>
    <w:p>
      <w:pPr>
        <w:pStyle w:val="ListParagraph"/>
        <w:numPr>
          <w:ilvl w:val="1"/>
          <w:numId w:val="69"/>
        </w:numPr>
        <w:tabs>
          <w:tab w:pos="1324" w:val="left" w:leader="none"/>
          <w:tab w:pos="1325" w:val="left" w:leader="none"/>
        </w:tabs>
        <w:spacing w:line="240" w:lineRule="auto" w:before="184" w:after="0"/>
        <w:ind w:left="1324" w:right="0" w:hanging="708"/>
        <w:jc w:val="both"/>
        <w:rPr>
          <w:sz w:val="38"/>
        </w:rPr>
      </w:pPr>
      <w:r>
        <w:rPr>
          <w:sz w:val="38"/>
        </w:rPr>
        <w:t>the fur of the mice thickened and assumed the shine of a young</w:t>
      </w:r>
      <w:r>
        <w:rPr>
          <w:spacing w:val="-24"/>
          <w:sz w:val="38"/>
        </w:rPr>
        <w:t> </w:t>
      </w:r>
      <w:r>
        <w:rPr>
          <w:sz w:val="38"/>
        </w:rPr>
        <w:t>animal.</w:t>
      </w:r>
    </w:p>
    <w:p>
      <w:pPr>
        <w:pStyle w:val="BodyText"/>
        <w:spacing w:line="276" w:lineRule="auto" w:before="302"/>
        <w:ind w:left="616" w:right="134"/>
        <w:jc w:val="both"/>
      </w:pPr>
      <w:r>
        <w:rPr/>
        <w:t>Of course, the question arises as to whether these promising research results can also be applied to the 'human' genus. In fact, neither empirical nor</w:t>
      </w:r>
      <w:r>
        <w:rPr>
          <w:spacing w:val="-47"/>
        </w:rPr>
        <w:t> </w:t>
      </w:r>
      <w:r>
        <w:rPr/>
        <w:t>experi- mental study data exist so far. The endeavour of certain powerful industries that</w:t>
      </w:r>
      <w:r>
        <w:rPr>
          <w:spacing w:val="-25"/>
        </w:rPr>
        <w:t> </w:t>
      </w:r>
      <w:r>
        <w:rPr/>
        <w:t>are</w:t>
      </w:r>
      <w:r>
        <w:rPr>
          <w:spacing w:val="-25"/>
        </w:rPr>
        <w:t> </w:t>
      </w:r>
      <w:r>
        <w:rPr/>
        <w:t>interested</w:t>
      </w:r>
      <w:r>
        <w:rPr>
          <w:spacing w:val="-24"/>
        </w:rPr>
        <w:t> </w:t>
      </w:r>
      <w:r>
        <w:rPr/>
        <w:t>in</w:t>
      </w:r>
      <w:r>
        <w:rPr>
          <w:spacing w:val="-24"/>
        </w:rPr>
        <w:t> </w:t>
      </w:r>
      <w:r>
        <w:rPr/>
        <w:t>degenerating</w:t>
      </w:r>
      <w:r>
        <w:rPr>
          <w:spacing w:val="-24"/>
        </w:rPr>
        <w:t> </w:t>
      </w:r>
      <w:r>
        <w:rPr/>
        <w:t>people</w:t>
      </w:r>
      <w:r>
        <w:rPr>
          <w:spacing w:val="-27"/>
        </w:rPr>
        <w:t> </w:t>
      </w:r>
      <w:r>
        <w:rPr/>
        <w:t>becoming</w:t>
      </w:r>
      <w:r>
        <w:rPr>
          <w:spacing w:val="-24"/>
        </w:rPr>
        <w:t> </w:t>
      </w:r>
      <w:r>
        <w:rPr/>
        <w:t>ill,</w:t>
      </w:r>
      <w:r>
        <w:rPr>
          <w:spacing w:val="-23"/>
        </w:rPr>
        <w:t> </w:t>
      </w:r>
      <w:r>
        <w:rPr/>
        <w:t>but</w:t>
      </w:r>
      <w:r>
        <w:rPr>
          <w:spacing w:val="-26"/>
        </w:rPr>
        <w:t> </w:t>
      </w:r>
      <w:r>
        <w:rPr/>
        <w:t>not</w:t>
      </w:r>
      <w:r>
        <w:rPr>
          <w:spacing w:val="-25"/>
        </w:rPr>
        <w:t> </w:t>
      </w:r>
      <w:r>
        <w:rPr/>
        <w:t>in</w:t>
      </w:r>
      <w:r>
        <w:rPr>
          <w:spacing w:val="-28"/>
        </w:rPr>
        <w:t> </w:t>
      </w:r>
      <w:r>
        <w:rPr/>
        <w:t>healthy,</w:t>
      </w:r>
      <w:r>
        <w:rPr>
          <w:spacing w:val="-24"/>
        </w:rPr>
        <w:t> </w:t>
      </w:r>
      <w:r>
        <w:rPr>
          <w:spacing w:val="2"/>
        </w:rPr>
        <w:t>long- </w:t>
      </w:r>
      <w:r>
        <w:rPr/>
        <w:t>lived humans, might make these investigations more difficult in the</w:t>
      </w:r>
      <w:r>
        <w:rPr>
          <w:spacing w:val="-8"/>
        </w:rPr>
        <w:t> </w:t>
      </w:r>
      <w:r>
        <w:rPr/>
        <w:t>future.</w:t>
      </w:r>
    </w:p>
    <w:p>
      <w:pPr>
        <w:pStyle w:val="BodyText"/>
        <w:spacing w:line="276" w:lineRule="auto" w:before="243"/>
        <w:ind w:left="616" w:right="135"/>
        <w:jc w:val="both"/>
      </w:pPr>
      <w:r>
        <w:rPr/>
        <w:t>On the other hand, we have the experiences of various hormone specialists and age researchers, who periodically prescribe melatonin for their patients over a long period of time and whose physical condition clearly indicates that the additional intake of melatonin slows down ageing and can defy the decay of organs with declining functions as well as age-related diseases.</w:t>
      </w:r>
    </w:p>
    <w:p>
      <w:pPr>
        <w:pStyle w:val="BodyText"/>
        <w:spacing w:line="278" w:lineRule="auto" w:before="240"/>
        <w:ind w:left="616"/>
      </w:pPr>
      <w:r>
        <w:rPr/>
        <w:t>In conclusion, there is much to suggest that an additional intake of melatonin, due to</w:t>
      </w:r>
    </w:p>
    <w:p>
      <w:pPr>
        <w:spacing w:after="0" w:line="278" w:lineRule="auto"/>
        <w:sectPr>
          <w:pgSz w:w="14270" w:h="16850"/>
          <w:pgMar w:header="0" w:footer="1891" w:top="1340" w:bottom="2080" w:left="800" w:right="1280"/>
        </w:sectPr>
      </w:pPr>
    </w:p>
    <w:p>
      <w:pPr>
        <w:pStyle w:val="ListParagraph"/>
        <w:numPr>
          <w:ilvl w:val="0"/>
          <w:numId w:val="73"/>
        </w:numPr>
        <w:tabs>
          <w:tab w:pos="1336" w:val="left" w:leader="none"/>
          <w:tab w:pos="1337" w:val="left" w:leader="none"/>
        </w:tabs>
        <w:spacing w:line="240" w:lineRule="auto" w:before="53" w:after="0"/>
        <w:ind w:left="1336" w:right="0" w:hanging="360"/>
        <w:jc w:val="left"/>
        <w:rPr>
          <w:sz w:val="38"/>
        </w:rPr>
      </w:pPr>
      <w:r>
        <w:rPr>
          <w:sz w:val="38"/>
        </w:rPr>
        <w:t>encouraging cell division during</w:t>
      </w:r>
      <w:r>
        <w:rPr>
          <w:spacing w:val="4"/>
          <w:sz w:val="38"/>
        </w:rPr>
        <w:t> </w:t>
      </w:r>
      <w:r>
        <w:rPr>
          <w:sz w:val="38"/>
        </w:rPr>
        <w:t>sleep,</w:t>
      </w:r>
    </w:p>
    <w:p>
      <w:pPr>
        <w:pStyle w:val="ListParagraph"/>
        <w:numPr>
          <w:ilvl w:val="0"/>
          <w:numId w:val="73"/>
        </w:numPr>
        <w:tabs>
          <w:tab w:pos="1336" w:val="left" w:leader="none"/>
          <w:tab w:pos="1337" w:val="left" w:leader="none"/>
          <w:tab w:pos="2008" w:val="left" w:leader="none"/>
          <w:tab w:pos="3991" w:val="left" w:leader="none"/>
          <w:tab w:pos="5553" w:val="left" w:leader="none"/>
          <w:tab w:pos="6973" w:val="left" w:leader="none"/>
          <w:tab w:pos="7643" w:val="left" w:leader="none"/>
          <w:tab w:pos="8585" w:val="left" w:leader="none"/>
          <w:tab w:pos="10178" w:val="left" w:leader="none"/>
          <w:tab w:pos="10692" w:val="left" w:leader="none"/>
        </w:tabs>
        <w:spacing w:line="273" w:lineRule="auto" w:before="306" w:after="0"/>
        <w:ind w:left="1336" w:right="139" w:hanging="360"/>
        <w:jc w:val="left"/>
        <w:rPr>
          <w:sz w:val="38"/>
        </w:rPr>
      </w:pPr>
      <w:r>
        <w:rPr>
          <w:sz w:val="38"/>
        </w:rPr>
        <w:t>the</w:t>
        <w:tab/>
        <w:t>regenerative</w:t>
        <w:tab/>
        <w:t>measures</w:t>
        <w:tab/>
        <w:t>(shifting</w:t>
        <w:tab/>
        <w:t>the</w:t>
        <w:tab/>
        <w:t>body</w:t>
        <w:tab/>
        <w:t>functions</w:t>
        <w:tab/>
        <w:t>to</w:t>
        <w:tab/>
        <w:t>economy mode),</w:t>
      </w:r>
    </w:p>
    <w:p>
      <w:pPr>
        <w:pStyle w:val="ListParagraph"/>
        <w:numPr>
          <w:ilvl w:val="0"/>
          <w:numId w:val="73"/>
        </w:numPr>
        <w:tabs>
          <w:tab w:pos="1336" w:val="left" w:leader="none"/>
          <w:tab w:pos="1337" w:val="left" w:leader="none"/>
        </w:tabs>
        <w:spacing w:line="240" w:lineRule="auto" w:before="247" w:after="0"/>
        <w:ind w:left="1336" w:right="0" w:hanging="360"/>
        <w:jc w:val="left"/>
        <w:rPr>
          <w:sz w:val="38"/>
        </w:rPr>
      </w:pPr>
      <w:r>
        <w:rPr>
          <w:sz w:val="38"/>
        </w:rPr>
        <w:t>the hormone</w:t>
      </w:r>
      <w:r>
        <w:rPr>
          <w:spacing w:val="-1"/>
          <w:sz w:val="38"/>
        </w:rPr>
        <w:t> </w:t>
      </w:r>
      <w:r>
        <w:rPr>
          <w:sz w:val="38"/>
        </w:rPr>
        <w:t>control,</w:t>
      </w:r>
    </w:p>
    <w:p>
      <w:pPr>
        <w:pStyle w:val="ListParagraph"/>
        <w:numPr>
          <w:ilvl w:val="0"/>
          <w:numId w:val="73"/>
        </w:numPr>
        <w:tabs>
          <w:tab w:pos="1336" w:val="left" w:leader="none"/>
          <w:tab w:pos="1337" w:val="left" w:leader="none"/>
        </w:tabs>
        <w:spacing w:line="240" w:lineRule="auto" w:before="304" w:after="0"/>
        <w:ind w:left="1336" w:right="0" w:hanging="360"/>
        <w:jc w:val="left"/>
        <w:rPr>
          <w:sz w:val="38"/>
        </w:rPr>
      </w:pPr>
      <w:r>
        <w:rPr>
          <w:sz w:val="38"/>
        </w:rPr>
        <w:t>the strengthening of the immune system and</w:t>
      </w:r>
      <w:r>
        <w:rPr>
          <w:spacing w:val="3"/>
          <w:sz w:val="38"/>
        </w:rPr>
        <w:t> </w:t>
      </w:r>
      <w:r>
        <w:rPr>
          <w:sz w:val="38"/>
        </w:rPr>
        <w:t>the</w:t>
      </w:r>
    </w:p>
    <w:p>
      <w:pPr>
        <w:pStyle w:val="ListParagraph"/>
        <w:numPr>
          <w:ilvl w:val="0"/>
          <w:numId w:val="73"/>
        </w:numPr>
        <w:tabs>
          <w:tab w:pos="1336" w:val="left" w:leader="none"/>
          <w:tab w:pos="1337" w:val="left" w:leader="none"/>
        </w:tabs>
        <w:spacing w:line="240" w:lineRule="auto" w:before="304" w:after="0"/>
        <w:ind w:left="1336" w:right="0" w:hanging="360"/>
        <w:jc w:val="left"/>
        <w:rPr>
          <w:sz w:val="38"/>
        </w:rPr>
      </w:pPr>
      <w:r>
        <w:rPr>
          <w:sz w:val="38"/>
        </w:rPr>
        <w:t>antioxidant (cell-protecting) effect,</w:t>
      </w:r>
    </w:p>
    <w:p>
      <w:pPr>
        <w:pStyle w:val="BodyText"/>
        <w:spacing w:line="276" w:lineRule="auto" w:before="302"/>
        <w:ind w:left="616" w:right="137"/>
        <w:jc w:val="both"/>
      </w:pPr>
      <w:r>
        <w:rPr/>
        <w:t>can contribute decisively to a longer and more vital life. There are also many indications</w:t>
      </w:r>
      <w:r>
        <w:rPr>
          <w:spacing w:val="-8"/>
        </w:rPr>
        <w:t> </w:t>
      </w:r>
      <w:r>
        <w:rPr/>
        <w:t>that</w:t>
      </w:r>
      <w:r>
        <w:rPr>
          <w:spacing w:val="-8"/>
        </w:rPr>
        <w:t> </w:t>
      </w:r>
      <w:r>
        <w:rPr/>
        <w:t>the</w:t>
      </w:r>
      <w:r>
        <w:rPr>
          <w:spacing w:val="-8"/>
        </w:rPr>
        <w:t> </w:t>
      </w:r>
      <w:r>
        <w:rPr/>
        <w:t>pineal</w:t>
      </w:r>
      <w:r>
        <w:rPr>
          <w:spacing w:val="-9"/>
        </w:rPr>
        <w:t> </w:t>
      </w:r>
      <w:r>
        <w:rPr/>
        <w:t>gland</w:t>
      </w:r>
      <w:r>
        <w:rPr>
          <w:spacing w:val="-8"/>
        </w:rPr>
        <w:t> </w:t>
      </w:r>
      <w:r>
        <w:rPr/>
        <w:t>actually</w:t>
      </w:r>
      <w:r>
        <w:rPr>
          <w:spacing w:val="-9"/>
        </w:rPr>
        <w:t> </w:t>
      </w:r>
      <w:r>
        <w:rPr/>
        <w:t>has</w:t>
      </w:r>
      <w:r>
        <w:rPr>
          <w:spacing w:val="-8"/>
        </w:rPr>
        <w:t> </w:t>
      </w:r>
      <w:r>
        <w:rPr/>
        <w:t>a</w:t>
      </w:r>
      <w:r>
        <w:rPr>
          <w:spacing w:val="-9"/>
        </w:rPr>
        <w:t> </w:t>
      </w:r>
      <w:r>
        <w:rPr/>
        <w:t>significant,</w:t>
      </w:r>
      <w:r>
        <w:rPr>
          <w:spacing w:val="-8"/>
        </w:rPr>
        <w:t> </w:t>
      </w:r>
      <w:r>
        <w:rPr/>
        <w:t>if</w:t>
      </w:r>
      <w:r>
        <w:rPr>
          <w:spacing w:val="-9"/>
        </w:rPr>
        <w:t> </w:t>
      </w:r>
      <w:r>
        <w:rPr/>
        <w:t>not</w:t>
      </w:r>
      <w:r>
        <w:rPr>
          <w:spacing w:val="-9"/>
        </w:rPr>
        <w:t> </w:t>
      </w:r>
      <w:r>
        <w:rPr/>
        <w:t>decisive,</w:t>
      </w:r>
      <w:r>
        <w:rPr>
          <w:spacing w:val="-8"/>
        </w:rPr>
        <w:t> </w:t>
      </w:r>
      <w:r>
        <w:rPr/>
        <w:t>influ- ence on our</w:t>
      </w:r>
      <w:r>
        <w:rPr>
          <w:spacing w:val="-1"/>
        </w:rPr>
        <w:t> </w:t>
      </w:r>
      <w:r>
        <w:rPr/>
        <w:t>ageing.</w:t>
      </w:r>
    </w:p>
    <w:p>
      <w:pPr>
        <w:pStyle w:val="BodyText"/>
        <w:rPr>
          <w:sz w:val="42"/>
        </w:rPr>
      </w:pPr>
    </w:p>
    <w:p>
      <w:pPr>
        <w:pStyle w:val="BodyText"/>
        <w:rPr>
          <w:sz w:val="43"/>
        </w:rPr>
      </w:pPr>
    </w:p>
    <w:p>
      <w:pPr>
        <w:pStyle w:val="Heading1"/>
        <w:spacing w:before="0"/>
        <w:ind w:left="616"/>
      </w:pPr>
      <w:r>
        <w:rPr/>
        <w:t>Regeneration</w:t>
      </w:r>
      <w:r>
        <w:rPr>
          <w:spacing w:val="-62"/>
        </w:rPr>
        <w:t> </w:t>
      </w:r>
      <w:r>
        <w:rPr/>
        <w:t>of</w:t>
      </w:r>
      <w:r>
        <w:rPr>
          <w:spacing w:val="-62"/>
        </w:rPr>
        <w:t> </w:t>
      </w:r>
      <w:r>
        <w:rPr/>
        <w:t>the</w:t>
      </w:r>
      <w:r>
        <w:rPr>
          <w:spacing w:val="-62"/>
        </w:rPr>
        <w:t> </w:t>
      </w:r>
      <w:r>
        <w:rPr/>
        <w:t>pineal</w:t>
      </w:r>
      <w:r>
        <w:rPr>
          <w:spacing w:val="-62"/>
        </w:rPr>
        <w:t> </w:t>
      </w:r>
      <w:r>
        <w:rPr/>
        <w:t>gland</w:t>
      </w:r>
      <w:r>
        <w:rPr>
          <w:spacing w:val="-62"/>
        </w:rPr>
        <w:t> </w:t>
      </w:r>
      <w:r>
        <w:rPr/>
        <w:t>as</w:t>
      </w:r>
      <w:r>
        <w:rPr>
          <w:spacing w:val="-62"/>
        </w:rPr>
        <w:t> </w:t>
      </w:r>
      <w:r>
        <w:rPr/>
        <w:t>the</w:t>
      </w:r>
      <w:r>
        <w:rPr>
          <w:spacing w:val="-61"/>
        </w:rPr>
        <w:t> </w:t>
      </w:r>
      <w:r>
        <w:rPr/>
        <w:t>primary</w:t>
      </w:r>
      <w:r>
        <w:rPr>
          <w:spacing w:val="-62"/>
        </w:rPr>
        <w:t> </w:t>
      </w:r>
      <w:r>
        <w:rPr/>
        <w:t>aim</w:t>
      </w:r>
      <w:r>
        <w:rPr>
          <w:spacing w:val="-63"/>
        </w:rPr>
        <w:t> </w:t>
      </w:r>
      <w:r>
        <w:rPr/>
        <w:t>of</w:t>
      </w:r>
      <w:r>
        <w:rPr>
          <w:spacing w:val="-62"/>
        </w:rPr>
        <w:t> </w:t>
      </w:r>
      <w:r>
        <w:rPr/>
        <w:t>melatonin</w:t>
      </w:r>
      <w:r>
        <w:rPr>
          <w:spacing w:val="-62"/>
        </w:rPr>
        <w:t> </w:t>
      </w:r>
      <w:r>
        <w:rPr/>
        <w:t>intake</w:t>
      </w:r>
    </w:p>
    <w:p>
      <w:pPr>
        <w:pStyle w:val="BodyText"/>
        <w:spacing w:line="276" w:lineRule="auto" w:before="300"/>
        <w:ind w:left="616" w:right="134"/>
        <w:jc w:val="both"/>
      </w:pPr>
      <w:r>
        <w:rPr/>
        <w:t>Over years of studies, the researchers Pierpaoli and Regelson were able to prove that the additional regular intake of melatonin not only slows down the onset of ageing and rejuvenates the human body, but at the same time can revitalise and regenerate the aged, functionally limited pineal gland over a longer period of use.</w:t>
      </w:r>
    </w:p>
    <w:p>
      <w:pPr>
        <w:pStyle w:val="BodyText"/>
        <w:spacing w:line="276" w:lineRule="auto" w:before="239"/>
        <w:ind w:left="616" w:right="131"/>
        <w:jc w:val="both"/>
      </w:pPr>
      <w:r>
        <w:rPr/>
        <w:t>Since</w:t>
      </w:r>
      <w:r>
        <w:rPr>
          <w:spacing w:val="-6"/>
        </w:rPr>
        <w:t> </w:t>
      </w:r>
      <w:r>
        <w:rPr/>
        <w:t>melatonin</w:t>
      </w:r>
      <w:r>
        <w:rPr>
          <w:spacing w:val="-6"/>
        </w:rPr>
        <w:t> </w:t>
      </w:r>
      <w:r>
        <w:rPr/>
        <w:t>is</w:t>
      </w:r>
      <w:r>
        <w:rPr>
          <w:spacing w:val="-6"/>
        </w:rPr>
        <w:t> </w:t>
      </w:r>
      <w:r>
        <w:rPr/>
        <w:t>absorbed</w:t>
      </w:r>
      <w:r>
        <w:rPr>
          <w:spacing w:val="-6"/>
        </w:rPr>
        <w:t> </w:t>
      </w:r>
      <w:r>
        <w:rPr/>
        <w:t>very</w:t>
      </w:r>
      <w:r>
        <w:rPr>
          <w:spacing w:val="-7"/>
        </w:rPr>
        <w:t> </w:t>
      </w:r>
      <w:r>
        <w:rPr/>
        <w:t>easily</w:t>
      </w:r>
      <w:r>
        <w:rPr>
          <w:spacing w:val="-6"/>
        </w:rPr>
        <w:t> </w:t>
      </w:r>
      <w:r>
        <w:rPr/>
        <w:t>in</w:t>
      </w:r>
      <w:r>
        <w:rPr>
          <w:spacing w:val="-6"/>
        </w:rPr>
        <w:t> </w:t>
      </w:r>
      <w:r>
        <w:rPr/>
        <w:t>the</w:t>
      </w:r>
      <w:r>
        <w:rPr>
          <w:spacing w:val="-5"/>
        </w:rPr>
        <w:t> </w:t>
      </w:r>
      <w:r>
        <w:rPr/>
        <w:t>digestive</w:t>
      </w:r>
      <w:r>
        <w:rPr>
          <w:spacing w:val="-6"/>
        </w:rPr>
        <w:t> </w:t>
      </w:r>
      <w:r>
        <w:rPr/>
        <w:t>tract</w:t>
      </w:r>
      <w:r>
        <w:rPr>
          <w:spacing w:val="-6"/>
        </w:rPr>
        <w:t> </w:t>
      </w:r>
      <w:r>
        <w:rPr/>
        <w:t>after</w:t>
      </w:r>
      <w:r>
        <w:rPr>
          <w:spacing w:val="-6"/>
        </w:rPr>
        <w:t> </w:t>
      </w:r>
      <w:r>
        <w:rPr/>
        <w:t>its</w:t>
      </w:r>
      <w:r>
        <w:rPr>
          <w:spacing w:val="-6"/>
        </w:rPr>
        <w:t> </w:t>
      </w:r>
      <w:r>
        <w:rPr/>
        <w:t>ingestion, it</w:t>
      </w:r>
      <w:r>
        <w:rPr>
          <w:spacing w:val="-15"/>
        </w:rPr>
        <w:t> </w:t>
      </w:r>
      <w:r>
        <w:rPr/>
        <w:t>passes</w:t>
      </w:r>
      <w:r>
        <w:rPr>
          <w:spacing w:val="-15"/>
        </w:rPr>
        <w:t> </w:t>
      </w:r>
      <w:r>
        <w:rPr/>
        <w:t>very</w:t>
      </w:r>
      <w:r>
        <w:rPr>
          <w:spacing w:val="-13"/>
        </w:rPr>
        <w:t> </w:t>
      </w:r>
      <w:r>
        <w:rPr/>
        <w:t>quickly</w:t>
      </w:r>
      <w:r>
        <w:rPr>
          <w:spacing w:val="-15"/>
        </w:rPr>
        <w:t> </w:t>
      </w:r>
      <w:r>
        <w:rPr/>
        <w:t>into</w:t>
      </w:r>
      <w:r>
        <w:rPr>
          <w:spacing w:val="-14"/>
        </w:rPr>
        <w:t> </w:t>
      </w:r>
      <w:r>
        <w:rPr/>
        <w:t>our</w:t>
      </w:r>
      <w:r>
        <w:rPr>
          <w:spacing w:val="-16"/>
        </w:rPr>
        <w:t> </w:t>
      </w:r>
      <w:r>
        <w:rPr/>
        <w:t>blood</w:t>
      </w:r>
      <w:r>
        <w:rPr>
          <w:spacing w:val="-15"/>
        </w:rPr>
        <w:t> </w:t>
      </w:r>
      <w:r>
        <w:rPr/>
        <w:t>and</w:t>
      </w:r>
      <w:r>
        <w:rPr>
          <w:spacing w:val="-14"/>
        </w:rPr>
        <w:t> </w:t>
      </w:r>
      <w:r>
        <w:rPr/>
        <w:t>quickly</w:t>
      </w:r>
      <w:r>
        <w:rPr>
          <w:spacing w:val="-15"/>
        </w:rPr>
        <w:t> </w:t>
      </w:r>
      <w:r>
        <w:rPr/>
        <w:t>reaches</w:t>
      </w:r>
      <w:r>
        <w:rPr>
          <w:spacing w:val="-13"/>
        </w:rPr>
        <w:t> </w:t>
      </w:r>
      <w:r>
        <w:rPr/>
        <w:t>our</w:t>
      </w:r>
      <w:r>
        <w:rPr>
          <w:spacing w:val="-16"/>
        </w:rPr>
        <w:t> </w:t>
      </w:r>
      <w:r>
        <w:rPr/>
        <w:t>body</w:t>
      </w:r>
      <w:r>
        <w:rPr>
          <w:spacing w:val="-19"/>
        </w:rPr>
        <w:t> </w:t>
      </w:r>
      <w:r>
        <w:rPr/>
        <w:t>cells</w:t>
      </w:r>
      <w:r>
        <w:rPr>
          <w:spacing w:val="-14"/>
        </w:rPr>
        <w:t> </w:t>
      </w:r>
      <w:r>
        <w:rPr/>
        <w:t>and</w:t>
      </w:r>
      <w:r>
        <w:rPr>
          <w:spacing w:val="-13"/>
        </w:rPr>
        <w:t> </w:t>
      </w:r>
      <w:r>
        <w:rPr/>
        <w:t>the glands which are responsible for hormone secretion (</w:t>
      </w:r>
      <w:r>
        <w:rPr>
          <w:i/>
        </w:rPr>
        <w:t>'</w:t>
      </w:r>
      <w:r>
        <w:rPr/>
        <w:t>endocrine system').</w:t>
      </w:r>
      <w:r>
        <w:rPr>
          <w:spacing w:val="-50"/>
        </w:rPr>
        <w:t> </w:t>
      </w:r>
      <w:r>
        <w:rPr/>
        <w:t>Last but</w:t>
      </w:r>
      <w:r>
        <w:rPr>
          <w:spacing w:val="9"/>
        </w:rPr>
        <w:t> </w:t>
      </w:r>
      <w:r>
        <w:rPr/>
        <w:t>not</w:t>
      </w:r>
      <w:r>
        <w:rPr>
          <w:spacing w:val="9"/>
        </w:rPr>
        <w:t> </w:t>
      </w:r>
      <w:r>
        <w:rPr/>
        <w:t>least,</w:t>
      </w:r>
      <w:r>
        <w:rPr>
          <w:spacing w:val="10"/>
        </w:rPr>
        <w:t> </w:t>
      </w:r>
      <w:r>
        <w:rPr/>
        <w:t>it</w:t>
      </w:r>
      <w:r>
        <w:rPr>
          <w:spacing w:val="7"/>
        </w:rPr>
        <w:t> </w:t>
      </w:r>
      <w:r>
        <w:rPr/>
        <w:t>reaches</w:t>
      </w:r>
      <w:r>
        <w:rPr>
          <w:spacing w:val="10"/>
        </w:rPr>
        <w:t> </w:t>
      </w:r>
      <w:r>
        <w:rPr/>
        <w:t>the</w:t>
      </w:r>
      <w:r>
        <w:rPr>
          <w:spacing w:val="8"/>
        </w:rPr>
        <w:t> </w:t>
      </w:r>
      <w:r>
        <w:rPr/>
        <w:t>pineal</w:t>
      </w:r>
      <w:r>
        <w:rPr>
          <w:spacing w:val="9"/>
        </w:rPr>
        <w:t> </w:t>
      </w:r>
      <w:r>
        <w:rPr/>
        <w:t>gland</w:t>
      </w:r>
      <w:r>
        <w:rPr>
          <w:spacing w:val="10"/>
        </w:rPr>
        <w:t> </w:t>
      </w:r>
      <w:r>
        <w:rPr/>
        <w:t>itself,</w:t>
      </w:r>
      <w:r>
        <w:rPr>
          <w:spacing w:val="10"/>
        </w:rPr>
        <w:t> </w:t>
      </w:r>
      <w:r>
        <w:rPr/>
        <w:t>and</w:t>
      </w:r>
      <w:r>
        <w:rPr>
          <w:spacing w:val="11"/>
        </w:rPr>
        <w:t> </w:t>
      </w:r>
      <w:r>
        <w:rPr/>
        <w:t>it</w:t>
      </w:r>
      <w:r>
        <w:rPr>
          <w:spacing w:val="8"/>
        </w:rPr>
        <w:t> </w:t>
      </w:r>
      <w:r>
        <w:rPr/>
        <w:t>is</w:t>
      </w:r>
      <w:r>
        <w:rPr>
          <w:spacing w:val="10"/>
        </w:rPr>
        <w:t> </w:t>
      </w:r>
      <w:r>
        <w:rPr/>
        <w:t>there</w:t>
      </w:r>
      <w:r>
        <w:rPr>
          <w:spacing w:val="10"/>
        </w:rPr>
        <w:t> </w:t>
      </w:r>
      <w:r>
        <w:rPr/>
        <w:t>that</w:t>
      </w:r>
      <w:r>
        <w:rPr>
          <w:spacing w:val="10"/>
        </w:rPr>
        <w:t> </w:t>
      </w:r>
      <w:r>
        <w:rPr/>
        <w:t>it</w:t>
      </w:r>
      <w:r>
        <w:rPr>
          <w:spacing w:val="8"/>
        </w:rPr>
        <w:t> </w:t>
      </w:r>
      <w:r>
        <w:rPr/>
        <w:t>continues</w:t>
      </w:r>
    </w:p>
    <w:p>
      <w:pPr>
        <w:spacing w:after="0" w:line="276" w:lineRule="auto"/>
        <w:jc w:val="both"/>
        <w:sectPr>
          <w:pgSz w:w="14270" w:h="16850"/>
          <w:pgMar w:header="0" w:footer="1891" w:top="1360" w:bottom="2080" w:left="800" w:right="1280"/>
        </w:sectPr>
      </w:pPr>
    </w:p>
    <w:p>
      <w:pPr>
        <w:pStyle w:val="BodyText"/>
        <w:spacing w:before="74"/>
        <w:ind w:left="616"/>
        <w:jc w:val="both"/>
      </w:pPr>
      <w:r>
        <w:rPr/>
        <w:t>its original task of supplying energy.</w:t>
      </w:r>
    </w:p>
    <w:p>
      <w:pPr>
        <w:pStyle w:val="BodyText"/>
        <w:spacing w:line="276" w:lineRule="auto" w:before="305"/>
        <w:ind w:left="616" w:right="134"/>
        <w:jc w:val="both"/>
      </w:pPr>
      <w:r>
        <w:rPr/>
        <w:t>The high-energy adenosine triphosphate (ATP) replaces the production of harmful pyrophosphate (PPa). The mitochondria regain their energy in this way and can regenerate and resume their original function.</w:t>
      </w:r>
    </w:p>
    <w:p>
      <w:pPr>
        <w:pStyle w:val="BodyText"/>
        <w:spacing w:line="276" w:lineRule="auto" w:before="238"/>
        <w:ind w:left="616" w:right="137"/>
        <w:jc w:val="both"/>
      </w:pPr>
      <w:r>
        <w:rPr/>
        <w:t>The pineal gland itself can also renew itself and resume melatonin production later on as in a younger body, even without additional intake of melatonin. Many</w:t>
      </w:r>
      <w:r>
        <w:rPr>
          <w:spacing w:val="-20"/>
        </w:rPr>
        <w:t> </w:t>
      </w:r>
      <w:r>
        <w:rPr/>
        <w:t>people</w:t>
      </w:r>
      <w:r>
        <w:rPr>
          <w:spacing w:val="-22"/>
        </w:rPr>
        <w:t> </w:t>
      </w:r>
      <w:r>
        <w:rPr/>
        <w:t>can</w:t>
      </w:r>
      <w:r>
        <w:rPr>
          <w:spacing w:val="-19"/>
        </w:rPr>
        <w:t> </w:t>
      </w:r>
      <w:r>
        <w:rPr/>
        <w:t>therefore</w:t>
      </w:r>
      <w:r>
        <w:rPr>
          <w:spacing w:val="-21"/>
        </w:rPr>
        <w:t> </w:t>
      </w:r>
      <w:r>
        <w:rPr/>
        <w:t>hope</w:t>
      </w:r>
      <w:r>
        <w:rPr>
          <w:spacing w:val="-21"/>
        </w:rPr>
        <w:t> </w:t>
      </w:r>
      <w:r>
        <w:rPr/>
        <w:t>to</w:t>
      </w:r>
      <w:r>
        <w:rPr>
          <w:spacing w:val="-19"/>
        </w:rPr>
        <w:t> </w:t>
      </w:r>
      <w:r>
        <w:rPr/>
        <w:t>go</w:t>
      </w:r>
      <w:r>
        <w:rPr>
          <w:spacing w:val="-20"/>
        </w:rPr>
        <w:t> </w:t>
      </w:r>
      <w:r>
        <w:rPr/>
        <w:t>without</w:t>
      </w:r>
      <w:r>
        <w:rPr>
          <w:spacing w:val="-22"/>
        </w:rPr>
        <w:t> </w:t>
      </w:r>
      <w:r>
        <w:rPr/>
        <w:t>taking</w:t>
      </w:r>
      <w:r>
        <w:rPr>
          <w:spacing w:val="-18"/>
        </w:rPr>
        <w:t> </w:t>
      </w:r>
      <w:r>
        <w:rPr/>
        <w:t>additional</w:t>
      </w:r>
      <w:r>
        <w:rPr>
          <w:spacing w:val="-18"/>
        </w:rPr>
        <w:t> </w:t>
      </w:r>
      <w:r>
        <w:rPr/>
        <w:t>melatonin</w:t>
      </w:r>
      <w:r>
        <w:rPr>
          <w:spacing w:val="-20"/>
        </w:rPr>
        <w:t> </w:t>
      </w:r>
      <w:r>
        <w:rPr/>
        <w:t>one day, in order to naturally transfer the function of the body's own melatonin production back to the pineal</w:t>
      </w:r>
      <w:r>
        <w:rPr>
          <w:spacing w:val="1"/>
        </w:rPr>
        <w:t> </w:t>
      </w:r>
      <w:r>
        <w:rPr/>
        <w:t>gland.</w:t>
      </w:r>
    </w:p>
    <w:p>
      <w:pPr>
        <w:pStyle w:val="BodyText"/>
        <w:spacing w:line="276" w:lineRule="auto" w:before="241"/>
        <w:ind w:left="616" w:right="134"/>
        <w:jc w:val="both"/>
      </w:pPr>
      <w:r>
        <w:rPr/>
        <w:t>The statement of Prof. William Regelson, who pioneered melatonin research after 30 years of research in immunology, biochemistry, oncology and pathol- ogy, speaks volumes:</w:t>
      </w:r>
    </w:p>
    <w:p>
      <w:pPr>
        <w:spacing w:line="276" w:lineRule="auto" w:before="241"/>
        <w:ind w:left="616" w:right="136" w:firstLine="0"/>
        <w:jc w:val="both"/>
        <w:rPr>
          <w:i/>
          <w:sz w:val="38"/>
        </w:rPr>
      </w:pPr>
      <w:r>
        <w:rPr>
          <w:i/>
          <w:sz w:val="38"/>
        </w:rPr>
        <w:t>'I am seventy years old. To my surprise, I suddenly became aware of my mortality. I cannot </w:t>
      </w:r>
      <w:r>
        <w:rPr>
          <w:i/>
          <w:sz w:val="38"/>
        </w:rPr>
        <w:t>afford to wait another thirty years. I do not want to see my creativity, my ability to enjoy the beauty of this earth, and the sensual pleasure of my body destroyed by a process that our research shows to be reversible and even avoidable'.</w:t>
      </w:r>
    </w:p>
    <w:p>
      <w:pPr>
        <w:spacing w:after="0" w:line="276" w:lineRule="auto"/>
        <w:jc w:val="both"/>
        <w:rPr>
          <w:sz w:val="38"/>
        </w:rPr>
        <w:sectPr>
          <w:footerReference w:type="default" r:id="rId232"/>
          <w:pgSz w:w="14270" w:h="16850"/>
          <w:pgMar w:footer="1891" w:header="0" w:top="1340" w:bottom="2080" w:left="800" w:right="1280"/>
          <w:pgNumType w:start="990"/>
        </w:sectPr>
      </w:pPr>
    </w:p>
    <w:p>
      <w:pPr>
        <w:pStyle w:val="BodyText"/>
        <w:spacing w:before="74"/>
        <w:ind w:left="616"/>
      </w:pPr>
      <w:r>
        <w:rPr/>
        <w:t>Melatonin studies</w:t>
      </w:r>
    </w:p>
    <w:p>
      <w:pPr>
        <w:pStyle w:val="BodyText"/>
        <w:rPr>
          <w:sz w:val="42"/>
        </w:rPr>
      </w:pPr>
    </w:p>
    <w:p>
      <w:pPr>
        <w:pStyle w:val="BodyText"/>
        <w:spacing w:before="10"/>
        <w:rPr>
          <w:sz w:val="49"/>
        </w:rPr>
      </w:pPr>
    </w:p>
    <w:p>
      <w:pPr>
        <w:pStyle w:val="Heading2"/>
        <w:spacing w:before="1"/>
        <w:ind w:left="616"/>
      </w:pPr>
      <w:r>
        <w:rPr/>
        <w:t>Melatonin’s effect against cancer</w:t>
      </w:r>
    </w:p>
    <w:p>
      <w:pPr>
        <w:spacing w:before="289"/>
        <w:ind w:left="616" w:right="0" w:firstLine="0"/>
        <w:jc w:val="left"/>
        <w:rPr>
          <w:b/>
          <w:i/>
          <w:sz w:val="40"/>
        </w:rPr>
      </w:pPr>
      <w:r>
        <w:rPr>
          <w:b/>
          <w:i/>
          <w:sz w:val="40"/>
        </w:rPr>
        <w:t>Melatonin works against breast cancer</w:t>
      </w:r>
    </w:p>
    <w:p>
      <w:pPr>
        <w:pStyle w:val="BodyText"/>
        <w:spacing w:line="278" w:lineRule="auto" w:before="297"/>
        <w:ind w:left="616"/>
        <w:rPr>
          <w:sz w:val="25"/>
        </w:rPr>
      </w:pPr>
      <w:r>
        <w:rPr/>
        <w:t>Researchers at Tulane University Medical School, New Orleans, have shown that melatonin inhibits the growth of breast cancer cells.</w:t>
      </w:r>
      <w:r>
        <w:rPr>
          <w:position w:val="9"/>
          <w:sz w:val="25"/>
        </w:rPr>
        <w:t>542</w:t>
      </w:r>
    </w:p>
    <w:p>
      <w:pPr>
        <w:pStyle w:val="Heading1"/>
        <w:spacing w:before="216"/>
        <w:ind w:left="616"/>
      </w:pPr>
      <w:r>
        <w:rPr/>
        <w:t>Blind women suffer less from breast</w:t>
      </w:r>
      <w:r>
        <w:rPr>
          <w:spacing w:val="-71"/>
        </w:rPr>
        <w:t> </w:t>
      </w:r>
      <w:r>
        <w:rPr/>
        <w:t>cancer</w:t>
      </w:r>
    </w:p>
    <w:p>
      <w:pPr>
        <w:pStyle w:val="BodyText"/>
        <w:spacing w:line="276" w:lineRule="auto" w:before="299"/>
        <w:ind w:left="616"/>
        <w:rPr>
          <w:sz w:val="25"/>
        </w:rPr>
      </w:pPr>
      <w:r>
        <w:rPr/>
        <w:t>In</w:t>
      </w:r>
      <w:r>
        <w:rPr>
          <w:spacing w:val="-19"/>
        </w:rPr>
        <w:t> </w:t>
      </w:r>
      <w:r>
        <w:rPr/>
        <w:t>one</w:t>
      </w:r>
      <w:r>
        <w:rPr>
          <w:spacing w:val="-23"/>
        </w:rPr>
        <w:t> </w:t>
      </w:r>
      <w:r>
        <w:rPr/>
        <w:t>study,</w:t>
      </w:r>
      <w:r>
        <w:rPr>
          <w:spacing w:val="-19"/>
        </w:rPr>
        <w:t> </w:t>
      </w:r>
      <w:r>
        <w:rPr/>
        <w:t>researchers</w:t>
      </w:r>
      <w:r>
        <w:rPr>
          <w:spacing w:val="-21"/>
        </w:rPr>
        <w:t> </w:t>
      </w:r>
      <w:r>
        <w:rPr/>
        <w:t>found</w:t>
      </w:r>
      <w:r>
        <w:rPr>
          <w:spacing w:val="-19"/>
        </w:rPr>
        <w:t> </w:t>
      </w:r>
      <w:r>
        <w:rPr/>
        <w:t>that</w:t>
      </w:r>
      <w:r>
        <w:rPr>
          <w:spacing w:val="-20"/>
        </w:rPr>
        <w:t> </w:t>
      </w:r>
      <w:r>
        <w:rPr/>
        <w:t>blind</w:t>
      </w:r>
      <w:r>
        <w:rPr>
          <w:spacing w:val="-19"/>
        </w:rPr>
        <w:t> </w:t>
      </w:r>
      <w:r>
        <w:rPr/>
        <w:t>women,</w:t>
      </w:r>
      <w:r>
        <w:rPr>
          <w:spacing w:val="-19"/>
        </w:rPr>
        <w:t> </w:t>
      </w:r>
      <w:r>
        <w:rPr/>
        <w:t>who</w:t>
      </w:r>
      <w:r>
        <w:rPr>
          <w:spacing w:val="-20"/>
        </w:rPr>
        <w:t> </w:t>
      </w:r>
      <w:r>
        <w:rPr/>
        <w:t>typically</w:t>
      </w:r>
      <w:r>
        <w:rPr>
          <w:spacing w:val="-23"/>
        </w:rPr>
        <w:t> </w:t>
      </w:r>
      <w:r>
        <w:rPr/>
        <w:t>produce</w:t>
      </w:r>
      <w:r>
        <w:rPr>
          <w:spacing w:val="-20"/>
        </w:rPr>
        <w:t> </w:t>
      </w:r>
      <w:r>
        <w:rPr/>
        <w:t>more melatonin</w:t>
      </w:r>
      <w:r>
        <w:rPr>
          <w:spacing w:val="-7"/>
        </w:rPr>
        <w:t> </w:t>
      </w:r>
      <w:r>
        <w:rPr/>
        <w:t>due</w:t>
      </w:r>
      <w:r>
        <w:rPr>
          <w:spacing w:val="-7"/>
        </w:rPr>
        <w:t> </w:t>
      </w:r>
      <w:r>
        <w:rPr/>
        <w:t>to</w:t>
      </w:r>
      <w:r>
        <w:rPr>
          <w:spacing w:val="-6"/>
        </w:rPr>
        <w:t> </w:t>
      </w:r>
      <w:r>
        <w:rPr/>
        <w:t>their</w:t>
      </w:r>
      <w:r>
        <w:rPr>
          <w:spacing w:val="-5"/>
        </w:rPr>
        <w:t> </w:t>
      </w:r>
      <w:r>
        <w:rPr/>
        <w:t>blindness,</w:t>
      </w:r>
      <w:r>
        <w:rPr>
          <w:spacing w:val="-7"/>
        </w:rPr>
        <w:t> </w:t>
      </w:r>
      <w:r>
        <w:rPr/>
        <w:t>are</w:t>
      </w:r>
      <w:r>
        <w:rPr>
          <w:spacing w:val="-6"/>
        </w:rPr>
        <w:t> </w:t>
      </w:r>
      <w:r>
        <w:rPr/>
        <w:t>less</w:t>
      </w:r>
      <w:r>
        <w:rPr>
          <w:spacing w:val="-5"/>
        </w:rPr>
        <w:t> </w:t>
      </w:r>
      <w:r>
        <w:rPr/>
        <w:t>likely</w:t>
      </w:r>
      <w:r>
        <w:rPr>
          <w:spacing w:val="-6"/>
        </w:rPr>
        <w:t> </w:t>
      </w:r>
      <w:r>
        <w:rPr/>
        <w:t>to</w:t>
      </w:r>
      <w:r>
        <w:rPr>
          <w:spacing w:val="-5"/>
        </w:rPr>
        <w:t> </w:t>
      </w:r>
      <w:r>
        <w:rPr/>
        <w:t>suffer</w:t>
      </w:r>
      <w:r>
        <w:rPr>
          <w:spacing w:val="-6"/>
        </w:rPr>
        <w:t> </w:t>
      </w:r>
      <w:r>
        <w:rPr/>
        <w:t>from</w:t>
      </w:r>
      <w:r>
        <w:rPr>
          <w:spacing w:val="-6"/>
        </w:rPr>
        <w:t> </w:t>
      </w:r>
      <w:r>
        <w:rPr/>
        <w:t>breast</w:t>
      </w:r>
      <w:r>
        <w:rPr>
          <w:spacing w:val="-7"/>
        </w:rPr>
        <w:t> </w:t>
      </w:r>
      <w:r>
        <w:rPr/>
        <w:t>cancer.</w:t>
      </w:r>
      <w:r>
        <w:rPr>
          <w:position w:val="9"/>
          <w:sz w:val="25"/>
        </w:rPr>
        <w:t>543</w:t>
      </w:r>
    </w:p>
    <w:p>
      <w:pPr>
        <w:pStyle w:val="Heading1"/>
        <w:spacing w:before="221"/>
        <w:ind w:left="616"/>
      </w:pPr>
      <w:r>
        <w:rPr/>
        <w:t>Melatonin</w:t>
      </w:r>
      <w:r>
        <w:rPr>
          <w:spacing w:val="-53"/>
        </w:rPr>
        <w:t> </w:t>
      </w:r>
      <w:r>
        <w:rPr/>
        <w:t>inhibits</w:t>
      </w:r>
      <w:r>
        <w:rPr>
          <w:spacing w:val="-53"/>
        </w:rPr>
        <w:t> </w:t>
      </w:r>
      <w:r>
        <w:rPr/>
        <w:t>breast</w:t>
      </w:r>
      <w:r>
        <w:rPr>
          <w:spacing w:val="-54"/>
        </w:rPr>
        <w:t> </w:t>
      </w:r>
      <w:r>
        <w:rPr/>
        <w:t>cancer</w:t>
      </w:r>
      <w:r>
        <w:rPr>
          <w:spacing w:val="-53"/>
        </w:rPr>
        <w:t> </w:t>
      </w:r>
      <w:r>
        <w:rPr/>
        <w:t>growth</w:t>
      </w:r>
      <w:r>
        <w:rPr>
          <w:spacing w:val="-54"/>
        </w:rPr>
        <w:t> </w:t>
      </w:r>
      <w:r>
        <w:rPr/>
        <w:t>in</w:t>
      </w:r>
      <w:r>
        <w:rPr>
          <w:spacing w:val="-54"/>
        </w:rPr>
        <w:t> </w:t>
      </w:r>
      <w:r>
        <w:rPr/>
        <w:t>the</w:t>
      </w:r>
      <w:r>
        <w:rPr>
          <w:spacing w:val="-53"/>
        </w:rPr>
        <w:t> </w:t>
      </w:r>
      <w:r>
        <w:rPr/>
        <w:t>laboratory</w:t>
      </w:r>
      <w:r>
        <w:rPr>
          <w:spacing w:val="-53"/>
        </w:rPr>
        <w:t> </w:t>
      </w:r>
      <w:r>
        <w:rPr/>
        <w:t>by</w:t>
      </w:r>
      <w:r>
        <w:rPr>
          <w:spacing w:val="-54"/>
        </w:rPr>
        <w:t> </w:t>
      </w:r>
      <w:r>
        <w:rPr/>
        <w:t>up</w:t>
      </w:r>
      <w:r>
        <w:rPr>
          <w:spacing w:val="-53"/>
        </w:rPr>
        <w:t> </w:t>
      </w:r>
      <w:r>
        <w:rPr/>
        <w:t>to</w:t>
      </w:r>
      <w:r>
        <w:rPr>
          <w:spacing w:val="-53"/>
        </w:rPr>
        <w:t> </w:t>
      </w:r>
      <w:r>
        <w:rPr/>
        <w:t>78</w:t>
      </w:r>
      <w:r>
        <w:rPr>
          <w:spacing w:val="-53"/>
        </w:rPr>
        <w:t> </w:t>
      </w:r>
      <w:r>
        <w:rPr/>
        <w:t>%</w:t>
      </w:r>
    </w:p>
    <w:p>
      <w:pPr>
        <w:pStyle w:val="BodyText"/>
        <w:spacing w:line="276" w:lineRule="auto" w:before="299"/>
        <w:ind w:left="616" w:right="134"/>
        <w:jc w:val="both"/>
      </w:pPr>
      <w:r>
        <w:rPr/>
        <w:t>Steven M. Hill and David E. Blask showed in a study at the University of Ari- zona</w:t>
      </w:r>
      <w:r>
        <w:rPr>
          <w:spacing w:val="-18"/>
        </w:rPr>
        <w:t> </w:t>
      </w:r>
      <w:r>
        <w:rPr/>
        <w:t>that</w:t>
      </w:r>
      <w:r>
        <w:rPr>
          <w:spacing w:val="-19"/>
        </w:rPr>
        <w:t> </w:t>
      </w:r>
      <w:r>
        <w:rPr/>
        <w:t>the</w:t>
      </w:r>
      <w:r>
        <w:rPr>
          <w:spacing w:val="-17"/>
        </w:rPr>
        <w:t> </w:t>
      </w:r>
      <w:r>
        <w:rPr/>
        <w:t>growth</w:t>
      </w:r>
      <w:r>
        <w:rPr>
          <w:spacing w:val="-16"/>
        </w:rPr>
        <w:t> </w:t>
      </w:r>
      <w:r>
        <w:rPr/>
        <w:t>of</w:t>
      </w:r>
      <w:r>
        <w:rPr>
          <w:spacing w:val="-19"/>
        </w:rPr>
        <w:t> </w:t>
      </w:r>
      <w:r>
        <w:rPr/>
        <w:t>a</w:t>
      </w:r>
      <w:r>
        <w:rPr>
          <w:spacing w:val="-17"/>
        </w:rPr>
        <w:t> </w:t>
      </w:r>
      <w:r>
        <w:rPr/>
        <w:t>tissue</w:t>
      </w:r>
      <w:r>
        <w:rPr>
          <w:spacing w:val="-21"/>
        </w:rPr>
        <w:t> </w:t>
      </w:r>
      <w:r>
        <w:rPr/>
        <w:t>culture</w:t>
      </w:r>
      <w:r>
        <w:rPr>
          <w:spacing w:val="-16"/>
        </w:rPr>
        <w:t> </w:t>
      </w:r>
      <w:r>
        <w:rPr/>
        <w:t>of</w:t>
      </w:r>
      <w:r>
        <w:rPr>
          <w:spacing w:val="-15"/>
        </w:rPr>
        <w:t> </w:t>
      </w:r>
      <w:r>
        <w:rPr/>
        <w:t>an</w:t>
      </w:r>
      <w:r>
        <w:rPr>
          <w:spacing w:val="-19"/>
        </w:rPr>
        <w:t> </w:t>
      </w:r>
      <w:r>
        <w:rPr/>
        <w:t>oestrogen-sensitive</w:t>
      </w:r>
      <w:r>
        <w:rPr>
          <w:spacing w:val="-19"/>
        </w:rPr>
        <w:t> </w:t>
      </w:r>
      <w:r>
        <w:rPr/>
        <w:t>human</w:t>
      </w:r>
      <w:r>
        <w:rPr>
          <w:spacing w:val="-15"/>
        </w:rPr>
        <w:t> </w:t>
      </w:r>
      <w:r>
        <w:rPr/>
        <w:t>breast cell tumour (MCF-7) could be reduced by up to 78</w:t>
      </w:r>
      <w:r>
        <w:rPr>
          <w:spacing w:val="-3"/>
        </w:rPr>
        <w:t> </w:t>
      </w:r>
      <w:r>
        <w:rPr/>
        <w:t>%.</w:t>
      </w:r>
    </w:p>
    <w:p>
      <w:pPr>
        <w:pStyle w:val="BodyText"/>
        <w:rPr>
          <w:sz w:val="42"/>
        </w:rPr>
      </w:pPr>
    </w:p>
    <w:p>
      <w:pPr>
        <w:pStyle w:val="BodyText"/>
        <w:rPr>
          <w:sz w:val="43"/>
        </w:rPr>
      </w:pPr>
    </w:p>
    <w:p>
      <w:pPr>
        <w:pStyle w:val="Heading1"/>
        <w:spacing w:line="261" w:lineRule="auto" w:before="0"/>
        <w:ind w:left="616"/>
      </w:pPr>
      <w:r>
        <w:rPr/>
        <w:t>Studies</w:t>
      </w:r>
      <w:r>
        <w:rPr>
          <w:spacing w:val="-47"/>
        </w:rPr>
        <w:t> </w:t>
      </w:r>
      <w:r>
        <w:rPr/>
        <w:t>show</w:t>
      </w:r>
      <w:r>
        <w:rPr>
          <w:spacing w:val="-46"/>
        </w:rPr>
        <w:t> </w:t>
      </w:r>
      <w:r>
        <w:rPr/>
        <w:t>that</w:t>
      </w:r>
      <w:r>
        <w:rPr>
          <w:spacing w:val="-47"/>
        </w:rPr>
        <w:t> </w:t>
      </w:r>
      <w:r>
        <w:rPr/>
        <w:t>melatonin</w:t>
      </w:r>
      <w:r>
        <w:rPr>
          <w:spacing w:val="-46"/>
        </w:rPr>
        <w:t> </w:t>
      </w:r>
      <w:r>
        <w:rPr/>
        <w:t>prevents</w:t>
      </w:r>
      <w:r>
        <w:rPr>
          <w:spacing w:val="-47"/>
        </w:rPr>
        <w:t> </w:t>
      </w:r>
      <w:r>
        <w:rPr/>
        <w:t>the</w:t>
      </w:r>
      <w:r>
        <w:rPr>
          <w:spacing w:val="-47"/>
        </w:rPr>
        <w:t> </w:t>
      </w:r>
      <w:r>
        <w:rPr/>
        <w:t>onset</w:t>
      </w:r>
      <w:r>
        <w:rPr>
          <w:spacing w:val="-47"/>
        </w:rPr>
        <w:t> </w:t>
      </w:r>
      <w:r>
        <w:rPr/>
        <w:t>of</w:t>
      </w:r>
      <w:r>
        <w:rPr>
          <w:spacing w:val="-47"/>
        </w:rPr>
        <w:t> </w:t>
      </w:r>
      <w:r>
        <w:rPr/>
        <w:t>breast</w:t>
      </w:r>
      <w:r>
        <w:rPr>
          <w:spacing w:val="-47"/>
        </w:rPr>
        <w:t> </w:t>
      </w:r>
      <w:r>
        <w:rPr/>
        <w:t>cancer</w:t>
      </w:r>
      <w:r>
        <w:rPr>
          <w:spacing w:val="-47"/>
        </w:rPr>
        <w:t> </w:t>
      </w:r>
      <w:r>
        <w:rPr/>
        <w:t>in</w:t>
      </w:r>
      <w:r>
        <w:rPr>
          <w:spacing w:val="-47"/>
        </w:rPr>
        <w:t> </w:t>
      </w:r>
      <w:r>
        <w:rPr/>
        <w:t>ani- mal</w:t>
      </w:r>
      <w:r>
        <w:rPr>
          <w:spacing w:val="-8"/>
        </w:rPr>
        <w:t> </w:t>
      </w:r>
      <w:r>
        <w:rPr/>
        <w:t>experiments</w:t>
      </w:r>
    </w:p>
    <w:p>
      <w:pPr>
        <w:pStyle w:val="BodyText"/>
        <w:spacing w:line="276" w:lineRule="auto" w:before="259"/>
        <w:ind w:left="616"/>
      </w:pPr>
      <w:r>
        <w:rPr/>
        <w:t>In several animal studies, researchers have been able to demonstrate that pre- viously administered carcinogens, which would otherwise cause breast</w:t>
      </w:r>
      <w:r>
        <w:rPr>
          <w:spacing w:val="63"/>
        </w:rPr>
        <w:t> </w:t>
      </w:r>
      <w:r>
        <w:rPr/>
        <w:t>cancer</w:t>
      </w:r>
    </w:p>
    <w:p>
      <w:pPr>
        <w:pStyle w:val="BodyText"/>
        <w:spacing w:before="2"/>
        <w:rPr>
          <w:sz w:val="19"/>
        </w:rPr>
      </w:pPr>
      <w:r>
        <w:rPr/>
        <w:pict>
          <v:line style="position:absolute;mso-position-horizontal-relative:page;mso-position-vertical-relative:paragraph;z-index:7016;mso-wrap-distance-left:0;mso-wrap-distance-right:0" from="70.823997pt,13.171265pt" to="214.843997pt,13.171265pt" stroked="true" strokeweight=".71997pt" strokecolor="#000000">
            <v:stroke dashstyle="solid"/>
            <w10:wrap type="topAndBottom"/>
          </v:line>
        </w:pict>
      </w:r>
    </w:p>
    <w:p>
      <w:pPr>
        <w:pStyle w:val="BodyText"/>
        <w:spacing w:before="7"/>
        <w:rPr>
          <w:sz w:val="18"/>
        </w:rPr>
      </w:pPr>
    </w:p>
    <w:p>
      <w:pPr>
        <w:spacing w:line="276" w:lineRule="auto" w:before="99"/>
        <w:ind w:left="616" w:right="481" w:firstLine="0"/>
        <w:jc w:val="left"/>
        <w:rPr>
          <w:sz w:val="20"/>
        </w:rPr>
      </w:pPr>
      <w:r>
        <w:rPr>
          <w:position w:val="5"/>
          <w:sz w:val="13"/>
        </w:rPr>
        <w:t>542 </w:t>
      </w:r>
      <w:r>
        <w:rPr>
          <w:sz w:val="20"/>
        </w:rPr>
        <w:t>Walter Pierpaoli and William Regelson: Melatonin – Schlüssel zu ewiger Jugend, Gesundheit und Fitness ('Key to Eternal Youth, Health and Fitness'), April 1996, p. 33</w:t>
      </w:r>
    </w:p>
    <w:p>
      <w:pPr>
        <w:spacing w:line="276" w:lineRule="auto" w:before="61"/>
        <w:ind w:left="616" w:right="0" w:firstLine="0"/>
        <w:jc w:val="left"/>
        <w:rPr>
          <w:sz w:val="20"/>
        </w:rPr>
      </w:pPr>
      <w:r>
        <w:rPr/>
        <w:drawing>
          <wp:anchor distT="0" distB="0" distL="0" distR="0" allowOverlap="1" layoutInCell="1" locked="0" behindDoc="1" simplePos="0" relativeHeight="267174815">
            <wp:simplePos x="0" y="0"/>
            <wp:positionH relativeFrom="page">
              <wp:posOffset>985998</wp:posOffset>
            </wp:positionH>
            <wp:positionV relativeFrom="paragraph">
              <wp:posOffset>82907</wp:posOffset>
            </wp:positionV>
            <wp:extent cx="6379583" cy="902106"/>
            <wp:effectExtent l="0" t="0" r="0" b="0"/>
            <wp:wrapNone/>
            <wp:docPr id="353" name="image2.jpeg" descr=""/>
            <wp:cNvGraphicFramePr>
              <a:graphicFrameLocks noChangeAspect="1"/>
            </wp:cNvGraphicFramePr>
            <a:graphic>
              <a:graphicData uri="http://schemas.openxmlformats.org/drawingml/2006/picture">
                <pic:pic>
                  <pic:nvPicPr>
                    <pic:cNvPr id="354"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543 </w:t>
      </w:r>
      <w:r>
        <w:rPr>
          <w:sz w:val="20"/>
        </w:rPr>
        <w:t>Walter Pierpaoli and William Regelson: Melatonin – Schlüssel zu ewiger Jugend, Gesundheit und Fitness ('Key to Eternal Youth, Health and Fitness'), April 1996, p. 137</w:t>
      </w:r>
    </w:p>
    <w:p>
      <w:pPr>
        <w:spacing w:after="0" w:line="276" w:lineRule="auto"/>
        <w:jc w:val="left"/>
        <w:rPr>
          <w:sz w:val="20"/>
        </w:rPr>
        <w:sectPr>
          <w:footerReference w:type="default" r:id="rId233"/>
          <w:pgSz w:w="14270" w:h="16850"/>
          <w:pgMar w:footer="527" w:header="0" w:top="1340" w:bottom="720" w:left="800" w:right="1280"/>
        </w:sectPr>
      </w:pPr>
    </w:p>
    <w:p>
      <w:pPr>
        <w:pStyle w:val="BodyText"/>
        <w:spacing w:line="278" w:lineRule="auto" w:before="72"/>
        <w:ind w:left="616"/>
        <w:rPr>
          <w:sz w:val="25"/>
        </w:rPr>
      </w:pPr>
      <w:r>
        <w:rPr/>
        <w:t>tumours, either prevented or at least delayed the onset of breast cancer in</w:t>
      </w:r>
      <w:r>
        <w:rPr>
          <w:spacing w:val="-67"/>
        </w:rPr>
        <w:t> </w:t>
      </w:r>
      <w:r>
        <w:rPr/>
        <w:t>sev- eral animal species.</w:t>
      </w:r>
      <w:r>
        <w:rPr>
          <w:position w:val="9"/>
          <w:sz w:val="25"/>
        </w:rPr>
        <w:t>544</w:t>
      </w:r>
    </w:p>
    <w:p>
      <w:pPr>
        <w:pStyle w:val="Heading1"/>
        <w:spacing w:before="215"/>
        <w:ind w:left="616"/>
      </w:pPr>
      <w:r>
        <w:rPr/>
        <w:t>Melatonin</w:t>
      </w:r>
      <w:r>
        <w:rPr>
          <w:spacing w:val="-52"/>
        </w:rPr>
        <w:t> </w:t>
      </w:r>
      <w:r>
        <w:rPr/>
        <w:t>also</w:t>
      </w:r>
      <w:r>
        <w:rPr>
          <w:spacing w:val="-51"/>
        </w:rPr>
        <w:t> </w:t>
      </w:r>
      <w:r>
        <w:rPr/>
        <w:t>inhibits</w:t>
      </w:r>
      <w:r>
        <w:rPr>
          <w:spacing w:val="-52"/>
        </w:rPr>
        <w:t> </w:t>
      </w:r>
      <w:r>
        <w:rPr/>
        <w:t>the</w:t>
      </w:r>
      <w:r>
        <w:rPr>
          <w:spacing w:val="-52"/>
        </w:rPr>
        <w:t> </w:t>
      </w:r>
      <w:r>
        <w:rPr/>
        <w:t>growth</w:t>
      </w:r>
      <w:r>
        <w:rPr>
          <w:spacing w:val="-52"/>
        </w:rPr>
        <w:t> </w:t>
      </w:r>
      <w:r>
        <w:rPr/>
        <w:t>of</w:t>
      </w:r>
      <w:r>
        <w:rPr>
          <w:spacing w:val="-52"/>
        </w:rPr>
        <w:t> </w:t>
      </w:r>
      <w:r>
        <w:rPr/>
        <w:t>other</w:t>
      </w:r>
      <w:r>
        <w:rPr>
          <w:spacing w:val="-52"/>
        </w:rPr>
        <w:t> </w:t>
      </w:r>
      <w:r>
        <w:rPr/>
        <w:t>cancer</w:t>
      </w:r>
      <w:r>
        <w:rPr>
          <w:spacing w:val="-52"/>
        </w:rPr>
        <w:t> </w:t>
      </w:r>
      <w:r>
        <w:rPr/>
        <w:t>cells</w:t>
      </w:r>
      <w:r>
        <w:rPr>
          <w:spacing w:val="-52"/>
        </w:rPr>
        <w:t> </w:t>
      </w:r>
      <w:r>
        <w:rPr/>
        <w:t>in</w:t>
      </w:r>
      <w:r>
        <w:rPr>
          <w:spacing w:val="-51"/>
        </w:rPr>
        <w:t> </w:t>
      </w:r>
      <w:r>
        <w:rPr/>
        <w:t>retort</w:t>
      </w:r>
      <w:r>
        <w:rPr>
          <w:spacing w:val="-53"/>
        </w:rPr>
        <w:t> </w:t>
      </w:r>
      <w:r>
        <w:rPr/>
        <w:t>studies</w:t>
      </w:r>
    </w:p>
    <w:p>
      <w:pPr>
        <w:pStyle w:val="BodyText"/>
        <w:spacing w:line="278" w:lineRule="auto" w:before="299"/>
        <w:ind w:left="616"/>
        <w:rPr>
          <w:sz w:val="25"/>
        </w:rPr>
      </w:pPr>
      <w:r>
        <w:rPr/>
        <w:t>Further</w:t>
      </w:r>
      <w:r>
        <w:rPr>
          <w:spacing w:val="-16"/>
        </w:rPr>
        <w:t> </w:t>
      </w:r>
      <w:r>
        <w:rPr/>
        <w:t>retort</w:t>
      </w:r>
      <w:r>
        <w:rPr>
          <w:spacing w:val="-20"/>
        </w:rPr>
        <w:t> </w:t>
      </w:r>
      <w:r>
        <w:rPr/>
        <w:t>studies</w:t>
      </w:r>
      <w:r>
        <w:rPr>
          <w:spacing w:val="-16"/>
        </w:rPr>
        <w:t> </w:t>
      </w:r>
      <w:r>
        <w:rPr/>
        <w:t>have</w:t>
      </w:r>
      <w:r>
        <w:rPr>
          <w:spacing w:val="-16"/>
        </w:rPr>
        <w:t> </w:t>
      </w:r>
      <w:r>
        <w:rPr/>
        <w:t>shown</w:t>
      </w:r>
      <w:r>
        <w:rPr>
          <w:spacing w:val="-17"/>
        </w:rPr>
        <w:t> </w:t>
      </w:r>
      <w:r>
        <w:rPr/>
        <w:t>that</w:t>
      </w:r>
      <w:r>
        <w:rPr>
          <w:spacing w:val="-18"/>
        </w:rPr>
        <w:t> </w:t>
      </w:r>
      <w:r>
        <w:rPr/>
        <w:t>melatonin</w:t>
      </w:r>
      <w:r>
        <w:rPr>
          <w:spacing w:val="-19"/>
        </w:rPr>
        <w:t> </w:t>
      </w:r>
      <w:r>
        <w:rPr/>
        <w:t>also</w:t>
      </w:r>
      <w:r>
        <w:rPr>
          <w:spacing w:val="-20"/>
        </w:rPr>
        <w:t> </w:t>
      </w:r>
      <w:r>
        <w:rPr/>
        <w:t>prevents</w:t>
      </w:r>
      <w:r>
        <w:rPr>
          <w:spacing w:val="-19"/>
        </w:rPr>
        <w:t> </w:t>
      </w:r>
      <w:r>
        <w:rPr/>
        <w:t>tumour</w:t>
      </w:r>
      <w:r>
        <w:rPr>
          <w:spacing w:val="-18"/>
        </w:rPr>
        <w:t> </w:t>
      </w:r>
      <w:r>
        <w:rPr/>
        <w:t>growth in other</w:t>
      </w:r>
      <w:r>
        <w:rPr>
          <w:spacing w:val="1"/>
        </w:rPr>
        <w:t> </w:t>
      </w:r>
      <w:r>
        <w:rPr/>
        <w:t>cancers.</w:t>
      </w:r>
      <w:r>
        <w:rPr>
          <w:position w:val="9"/>
          <w:sz w:val="25"/>
        </w:rPr>
        <w:t>545</w:t>
      </w:r>
    </w:p>
    <w:p>
      <w:pPr>
        <w:pStyle w:val="Heading1"/>
        <w:spacing w:before="215"/>
        <w:ind w:left="616"/>
      </w:pPr>
      <w:r>
        <w:rPr/>
        <w:t>Melatonin inhibits the growth of prostate cancer by 50 %</w:t>
      </w:r>
    </w:p>
    <w:p>
      <w:pPr>
        <w:pStyle w:val="BodyText"/>
        <w:spacing w:line="276" w:lineRule="auto" w:before="300"/>
        <w:ind w:left="616"/>
        <w:rPr>
          <w:sz w:val="25"/>
        </w:rPr>
      </w:pPr>
      <w:r>
        <w:rPr/>
        <w:t>In a study on rats at the University of Texas Medical School, it was demon- strated that the growth rate of prostate tumours could be reduced by 50 %.</w:t>
      </w:r>
      <w:r>
        <w:rPr>
          <w:position w:val="9"/>
          <w:sz w:val="25"/>
        </w:rPr>
        <w:t>546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4"/>
        </w:rPr>
      </w:pPr>
      <w:r>
        <w:rPr/>
        <w:pict>
          <v:line style="position:absolute;mso-position-horizontal-relative:page;mso-position-vertical-relative:paragraph;z-index:7064;mso-wrap-distance-left:0;mso-wrap-distance-right:0" from="70.823997pt,10.437485pt" to="214.843997pt,10.437485pt" stroked="true" strokeweight=".72003pt" strokecolor="#000000">
            <v:stroke dashstyle="solid"/>
            <w10:wrap type="topAndBottom"/>
          </v:line>
        </w:pict>
      </w:r>
    </w:p>
    <w:p>
      <w:pPr>
        <w:pStyle w:val="BodyText"/>
        <w:spacing w:before="7"/>
        <w:rPr>
          <w:sz w:val="18"/>
        </w:rPr>
      </w:pPr>
    </w:p>
    <w:p>
      <w:pPr>
        <w:spacing w:line="273" w:lineRule="auto" w:before="99"/>
        <w:ind w:left="616" w:right="481" w:firstLine="0"/>
        <w:jc w:val="left"/>
        <w:rPr>
          <w:sz w:val="20"/>
        </w:rPr>
      </w:pPr>
      <w:r>
        <w:rPr>
          <w:position w:val="5"/>
          <w:sz w:val="13"/>
        </w:rPr>
        <w:t>544 </w:t>
      </w:r>
      <w:r>
        <w:rPr>
          <w:sz w:val="20"/>
        </w:rPr>
        <w:t>Walter Pierpaoli and William Regelson: Melatonin – Schlüssel zu ewiger Jugend, Gesundheit und Fitness ('Key to Eternal Youth, Health and Fitness'), April 1996, p. 33</w:t>
      </w:r>
    </w:p>
    <w:p>
      <w:pPr>
        <w:spacing w:line="276" w:lineRule="auto" w:before="63"/>
        <w:ind w:left="616" w:right="481" w:firstLine="0"/>
        <w:jc w:val="left"/>
        <w:rPr>
          <w:sz w:val="20"/>
        </w:rPr>
      </w:pPr>
      <w:r>
        <w:rPr>
          <w:position w:val="5"/>
          <w:sz w:val="13"/>
        </w:rPr>
        <w:t>545 </w:t>
      </w:r>
      <w:r>
        <w:rPr>
          <w:sz w:val="20"/>
        </w:rPr>
        <w:t>Walter Pierpaoli and William Regelson: Melatonin – Schlüssel zu ewiger Jugend, Gesundheit und Fitness ('Key to Eternal Youth, Health and Fitness'), April 1996, p. 137</w:t>
      </w:r>
    </w:p>
    <w:p>
      <w:pPr>
        <w:spacing w:before="61"/>
        <w:ind w:left="616" w:right="0" w:firstLine="0"/>
        <w:jc w:val="left"/>
        <w:rPr>
          <w:sz w:val="20"/>
        </w:rPr>
      </w:pPr>
      <w:r>
        <w:rPr>
          <w:position w:val="5"/>
          <w:sz w:val="13"/>
        </w:rPr>
        <w:t>546 </w:t>
      </w:r>
      <w:r>
        <w:rPr>
          <w:sz w:val="20"/>
        </w:rPr>
        <w:t>Walter Pierpaoli and William Regelson: Melatonin – Schlüssel zu ewiger Jugend, Gesundheit und Fitness ('Key to Eternal Youth, Health and</w:t>
      </w:r>
    </w:p>
    <w:p>
      <w:pPr>
        <w:spacing w:after="0"/>
        <w:jc w:val="left"/>
        <w:rPr>
          <w:sz w:val="20"/>
        </w:rPr>
        <w:sectPr>
          <w:footerReference w:type="default" r:id="rId234"/>
          <w:pgSz w:w="14270" w:h="16850"/>
          <w:pgMar w:footer="2243" w:header="0" w:top="1340" w:bottom="2440" w:left="800" w:right="1280"/>
        </w:sectPr>
      </w:pPr>
    </w:p>
    <w:p>
      <w:pPr>
        <w:pStyle w:val="Heading1"/>
        <w:spacing w:line="261" w:lineRule="auto" w:before="77"/>
        <w:ind w:left="616" w:right="140"/>
        <w:jc w:val="both"/>
      </w:pPr>
      <w:r>
        <w:rPr/>
        <w:t>Melatonin</w:t>
      </w:r>
      <w:r>
        <w:rPr>
          <w:spacing w:val="-60"/>
        </w:rPr>
        <w:t> </w:t>
      </w:r>
      <w:r>
        <w:rPr/>
        <w:t>combined</w:t>
      </w:r>
      <w:r>
        <w:rPr>
          <w:spacing w:val="-60"/>
        </w:rPr>
        <w:t> </w:t>
      </w:r>
      <w:r>
        <w:rPr/>
        <w:t>with</w:t>
      </w:r>
      <w:r>
        <w:rPr>
          <w:spacing w:val="-60"/>
        </w:rPr>
        <w:t> </w:t>
      </w:r>
      <w:r>
        <w:rPr/>
        <w:t>IL-2</w:t>
      </w:r>
      <w:r>
        <w:rPr>
          <w:spacing w:val="-60"/>
        </w:rPr>
        <w:t> </w:t>
      </w:r>
      <w:r>
        <w:rPr/>
        <w:t>inhibits</w:t>
      </w:r>
      <w:r>
        <w:rPr>
          <w:spacing w:val="-60"/>
        </w:rPr>
        <w:t> </w:t>
      </w:r>
      <w:r>
        <w:rPr/>
        <w:t>kidney,</w:t>
      </w:r>
      <w:r>
        <w:rPr>
          <w:spacing w:val="-60"/>
        </w:rPr>
        <w:t> </w:t>
      </w:r>
      <w:r>
        <w:rPr/>
        <w:t>stomach,</w:t>
      </w:r>
      <w:r>
        <w:rPr>
          <w:spacing w:val="-60"/>
        </w:rPr>
        <w:t> </w:t>
      </w:r>
      <w:r>
        <w:rPr/>
        <w:t>liver</w:t>
      </w:r>
      <w:r>
        <w:rPr>
          <w:spacing w:val="-61"/>
        </w:rPr>
        <w:t> </w:t>
      </w:r>
      <w:r>
        <w:rPr/>
        <w:t>and</w:t>
      </w:r>
      <w:r>
        <w:rPr>
          <w:spacing w:val="-59"/>
        </w:rPr>
        <w:t> </w:t>
      </w:r>
      <w:r>
        <w:rPr/>
        <w:t>skin cancer</w:t>
      </w:r>
    </w:p>
    <w:p>
      <w:pPr>
        <w:pStyle w:val="BodyText"/>
        <w:spacing w:line="276" w:lineRule="auto" w:before="258"/>
        <w:ind w:left="616" w:right="131"/>
        <w:jc w:val="both"/>
        <w:rPr>
          <w:sz w:val="25"/>
        </w:rPr>
      </w:pPr>
      <w:r>
        <w:rPr/>
        <w:t>At the San Gerardo Hospital in Monza (Italy), by administering melatonin to IL-2</w:t>
      </w:r>
      <w:r>
        <w:rPr>
          <w:spacing w:val="-6"/>
        </w:rPr>
        <w:t> </w:t>
      </w:r>
      <w:r>
        <w:rPr/>
        <w:t>patients</w:t>
      </w:r>
      <w:r>
        <w:rPr>
          <w:spacing w:val="-5"/>
        </w:rPr>
        <w:t> </w:t>
      </w:r>
      <w:r>
        <w:rPr/>
        <w:t>in</w:t>
      </w:r>
      <w:r>
        <w:rPr>
          <w:spacing w:val="-3"/>
        </w:rPr>
        <w:t> </w:t>
      </w:r>
      <w:r>
        <w:rPr/>
        <w:t>the</w:t>
      </w:r>
      <w:r>
        <w:rPr>
          <w:spacing w:val="-5"/>
        </w:rPr>
        <w:t> </w:t>
      </w:r>
      <w:r>
        <w:rPr/>
        <w:t>very</w:t>
      </w:r>
      <w:r>
        <w:rPr>
          <w:spacing w:val="-5"/>
        </w:rPr>
        <w:t> </w:t>
      </w:r>
      <w:r>
        <w:rPr/>
        <w:t>late</w:t>
      </w:r>
      <w:r>
        <w:rPr>
          <w:spacing w:val="-7"/>
        </w:rPr>
        <w:t> </w:t>
      </w:r>
      <w:r>
        <w:rPr/>
        <w:t>stages</w:t>
      </w:r>
      <w:r>
        <w:rPr>
          <w:spacing w:val="-4"/>
        </w:rPr>
        <w:t> </w:t>
      </w:r>
      <w:r>
        <w:rPr/>
        <w:t>of</w:t>
      </w:r>
      <w:r>
        <w:rPr>
          <w:spacing w:val="-6"/>
        </w:rPr>
        <w:t> </w:t>
      </w:r>
      <w:r>
        <w:rPr/>
        <w:t>cancer</w:t>
      </w:r>
      <w:r>
        <w:rPr>
          <w:spacing w:val="-5"/>
        </w:rPr>
        <w:t> </w:t>
      </w:r>
      <w:r>
        <w:rPr/>
        <w:t>(renal,</w:t>
      </w:r>
      <w:r>
        <w:rPr>
          <w:spacing w:val="-5"/>
        </w:rPr>
        <w:t> </w:t>
      </w:r>
      <w:r>
        <w:rPr/>
        <w:t>gastric,</w:t>
      </w:r>
      <w:r>
        <w:rPr>
          <w:spacing w:val="-4"/>
        </w:rPr>
        <w:t> </w:t>
      </w:r>
      <w:r>
        <w:rPr/>
        <w:t>liver</w:t>
      </w:r>
      <w:r>
        <w:rPr>
          <w:spacing w:val="-6"/>
        </w:rPr>
        <w:t> </w:t>
      </w:r>
      <w:r>
        <w:rPr/>
        <w:t>and</w:t>
      </w:r>
      <w:r>
        <w:rPr>
          <w:spacing w:val="-6"/>
        </w:rPr>
        <w:t> </w:t>
      </w:r>
      <w:r>
        <w:rPr/>
        <w:t>skin</w:t>
      </w:r>
      <w:r>
        <w:rPr>
          <w:spacing w:val="-4"/>
        </w:rPr>
        <w:t> </w:t>
      </w:r>
      <w:r>
        <w:rPr/>
        <w:t>can- cers),</w:t>
      </w:r>
      <w:r>
        <w:rPr>
          <w:spacing w:val="-16"/>
        </w:rPr>
        <w:t> </w:t>
      </w:r>
      <w:r>
        <w:rPr/>
        <w:t>Dr.</w:t>
      </w:r>
      <w:r>
        <w:rPr>
          <w:spacing w:val="-17"/>
        </w:rPr>
        <w:t> </w:t>
      </w:r>
      <w:r>
        <w:rPr/>
        <w:t>Paolo</w:t>
      </w:r>
      <w:r>
        <w:rPr>
          <w:spacing w:val="-17"/>
        </w:rPr>
        <w:t> </w:t>
      </w:r>
      <w:r>
        <w:rPr/>
        <w:t>Lissoni</w:t>
      </w:r>
      <w:r>
        <w:rPr>
          <w:spacing w:val="-16"/>
        </w:rPr>
        <w:t> </w:t>
      </w:r>
      <w:r>
        <w:rPr/>
        <w:t>succeeded</w:t>
      </w:r>
      <w:r>
        <w:rPr>
          <w:spacing w:val="-16"/>
        </w:rPr>
        <w:t> </w:t>
      </w:r>
      <w:r>
        <w:rPr/>
        <w:t>in</w:t>
      </w:r>
      <w:r>
        <w:rPr>
          <w:spacing w:val="-15"/>
        </w:rPr>
        <w:t> </w:t>
      </w:r>
      <w:r>
        <w:rPr/>
        <w:t>shrinking</w:t>
      </w:r>
      <w:r>
        <w:rPr>
          <w:spacing w:val="-15"/>
        </w:rPr>
        <w:t> </w:t>
      </w:r>
      <w:r>
        <w:rPr/>
        <w:t>tumours</w:t>
      </w:r>
      <w:r>
        <w:rPr>
          <w:spacing w:val="-15"/>
        </w:rPr>
        <w:t> </w:t>
      </w:r>
      <w:r>
        <w:rPr/>
        <w:t>and</w:t>
      </w:r>
      <w:r>
        <w:rPr>
          <w:spacing w:val="-15"/>
        </w:rPr>
        <w:t> </w:t>
      </w:r>
      <w:r>
        <w:rPr/>
        <w:t>even</w:t>
      </w:r>
      <w:r>
        <w:rPr>
          <w:spacing w:val="-15"/>
        </w:rPr>
        <w:t> </w:t>
      </w:r>
      <w:r>
        <w:rPr/>
        <w:t>in</w:t>
      </w:r>
      <w:r>
        <w:rPr>
          <w:spacing w:val="-15"/>
        </w:rPr>
        <w:t> </w:t>
      </w:r>
      <w:r>
        <w:rPr/>
        <w:t>curing</w:t>
      </w:r>
      <w:r>
        <w:rPr>
          <w:spacing w:val="-16"/>
        </w:rPr>
        <w:t> </w:t>
      </w:r>
      <w:r>
        <w:rPr/>
        <w:t>the cancer.</w:t>
      </w:r>
      <w:r>
        <w:rPr>
          <w:position w:val="9"/>
          <w:sz w:val="25"/>
        </w:rPr>
        <w:t>547</w:t>
      </w:r>
    </w:p>
    <w:p>
      <w:pPr>
        <w:pStyle w:val="Heading1"/>
        <w:spacing w:before="225"/>
        <w:ind w:left="616"/>
      </w:pPr>
      <w:r>
        <w:rPr/>
        <w:t>Melatonin boosts chemotherapy and reduces its side effects</w:t>
      </w:r>
    </w:p>
    <w:p>
      <w:pPr>
        <w:pStyle w:val="BodyText"/>
        <w:spacing w:line="276" w:lineRule="auto" w:before="299"/>
        <w:ind w:left="616" w:right="135"/>
        <w:jc w:val="both"/>
        <w:rPr>
          <w:sz w:val="25"/>
        </w:rPr>
      </w:pPr>
      <w:r>
        <w:rPr/>
        <w:t>Oncologists in Milan demonstrated success with melatonin in combination with chemotherapy in a variety of ways. In their studies, melatonin reduced tumours while reducing the dreaded negative effects of chemotherapy.</w:t>
      </w:r>
      <w:r>
        <w:rPr>
          <w:position w:val="9"/>
          <w:sz w:val="25"/>
        </w:rPr>
        <w:t>548</w:t>
      </w:r>
    </w:p>
    <w:p>
      <w:pPr>
        <w:pStyle w:val="Heading1"/>
        <w:spacing w:line="264" w:lineRule="auto" w:before="221"/>
        <w:ind w:left="616" w:right="135"/>
        <w:jc w:val="both"/>
      </w:pPr>
      <w:r>
        <w:rPr/>
        <w:t>Cancer</w:t>
      </w:r>
      <w:r>
        <w:rPr>
          <w:spacing w:val="-20"/>
        </w:rPr>
        <w:t> </w:t>
      </w:r>
      <w:r>
        <w:rPr/>
        <w:t>patients</w:t>
      </w:r>
      <w:r>
        <w:rPr>
          <w:spacing w:val="-18"/>
        </w:rPr>
        <w:t> </w:t>
      </w:r>
      <w:r>
        <w:rPr/>
        <w:t>with</w:t>
      </w:r>
      <w:r>
        <w:rPr>
          <w:spacing w:val="-19"/>
        </w:rPr>
        <w:t> </w:t>
      </w:r>
      <w:r>
        <w:rPr/>
        <w:t>a</w:t>
      </w:r>
      <w:r>
        <w:rPr>
          <w:spacing w:val="-18"/>
        </w:rPr>
        <w:t> </w:t>
      </w:r>
      <w:r>
        <w:rPr/>
        <w:t>rising</w:t>
      </w:r>
      <w:r>
        <w:rPr>
          <w:spacing w:val="-18"/>
        </w:rPr>
        <w:t> </w:t>
      </w:r>
      <w:r>
        <w:rPr/>
        <w:t>melatonin</w:t>
      </w:r>
      <w:r>
        <w:rPr>
          <w:spacing w:val="-19"/>
        </w:rPr>
        <w:t> </w:t>
      </w:r>
      <w:r>
        <w:rPr/>
        <w:t>level</w:t>
      </w:r>
      <w:r>
        <w:rPr>
          <w:spacing w:val="-19"/>
        </w:rPr>
        <w:t> </w:t>
      </w:r>
      <w:r>
        <w:rPr/>
        <w:t>after</w:t>
      </w:r>
      <w:r>
        <w:rPr>
          <w:spacing w:val="-18"/>
        </w:rPr>
        <w:t> </w:t>
      </w:r>
      <w:r>
        <w:rPr/>
        <w:t>chemotherapy</w:t>
      </w:r>
      <w:r>
        <w:rPr>
          <w:spacing w:val="-19"/>
        </w:rPr>
        <w:t> </w:t>
      </w:r>
      <w:r>
        <w:rPr/>
        <w:t>live longer</w:t>
      </w:r>
    </w:p>
    <w:p>
      <w:pPr>
        <w:pStyle w:val="BodyText"/>
        <w:spacing w:line="276" w:lineRule="auto" w:before="252"/>
        <w:ind w:left="616" w:right="134"/>
        <w:jc w:val="both"/>
      </w:pPr>
      <w:r>
        <w:rPr/>
        <w:t>In</w:t>
      </w:r>
      <w:r>
        <w:rPr>
          <w:spacing w:val="-11"/>
        </w:rPr>
        <w:t> </w:t>
      </w:r>
      <w:r>
        <w:rPr/>
        <w:t>a</w:t>
      </w:r>
      <w:r>
        <w:rPr>
          <w:spacing w:val="-13"/>
        </w:rPr>
        <w:t> </w:t>
      </w:r>
      <w:r>
        <w:rPr/>
        <w:t>study,</w:t>
      </w:r>
      <w:r>
        <w:rPr>
          <w:spacing w:val="-10"/>
        </w:rPr>
        <w:t> </w:t>
      </w:r>
      <w:r>
        <w:rPr/>
        <w:t>Dr.</w:t>
      </w:r>
      <w:r>
        <w:rPr>
          <w:spacing w:val="-11"/>
        </w:rPr>
        <w:t> </w:t>
      </w:r>
      <w:r>
        <w:rPr/>
        <w:t>Paolo</w:t>
      </w:r>
      <w:r>
        <w:rPr>
          <w:spacing w:val="-11"/>
        </w:rPr>
        <w:t> </w:t>
      </w:r>
      <w:r>
        <w:rPr/>
        <w:t>Lissoni</w:t>
      </w:r>
      <w:r>
        <w:rPr>
          <w:spacing w:val="-11"/>
        </w:rPr>
        <w:t> </w:t>
      </w:r>
      <w:r>
        <w:rPr/>
        <w:t>succeeded</w:t>
      </w:r>
      <w:r>
        <w:rPr>
          <w:spacing w:val="-12"/>
        </w:rPr>
        <w:t> </w:t>
      </w:r>
      <w:r>
        <w:rPr/>
        <w:t>in</w:t>
      </w:r>
      <w:r>
        <w:rPr>
          <w:spacing w:val="-12"/>
        </w:rPr>
        <w:t> </w:t>
      </w:r>
      <w:r>
        <w:rPr/>
        <w:t>clarifying</w:t>
      </w:r>
      <w:r>
        <w:rPr>
          <w:spacing w:val="-10"/>
        </w:rPr>
        <w:t> </w:t>
      </w:r>
      <w:r>
        <w:rPr/>
        <w:t>an</w:t>
      </w:r>
      <w:r>
        <w:rPr>
          <w:spacing w:val="-11"/>
        </w:rPr>
        <w:t> </w:t>
      </w:r>
      <w:r>
        <w:rPr/>
        <w:t>interesting</w:t>
      </w:r>
      <w:r>
        <w:rPr>
          <w:spacing w:val="-13"/>
        </w:rPr>
        <w:t> </w:t>
      </w:r>
      <w:r>
        <w:rPr/>
        <w:t>relationship between increasing melatonin levels after chemotherapy and the recovery of patients.</w:t>
      </w:r>
      <w:r>
        <w:rPr>
          <w:spacing w:val="-6"/>
        </w:rPr>
        <w:t> </w:t>
      </w:r>
      <w:r>
        <w:rPr/>
        <w:t>In</w:t>
      </w:r>
      <w:r>
        <w:rPr>
          <w:spacing w:val="-6"/>
        </w:rPr>
        <w:t> </w:t>
      </w:r>
      <w:r>
        <w:rPr/>
        <w:t>a</w:t>
      </w:r>
      <w:r>
        <w:rPr>
          <w:spacing w:val="-8"/>
        </w:rPr>
        <w:t> </w:t>
      </w:r>
      <w:r>
        <w:rPr/>
        <w:t>study</w:t>
      </w:r>
      <w:r>
        <w:rPr>
          <w:spacing w:val="-7"/>
        </w:rPr>
        <w:t> </w:t>
      </w:r>
      <w:r>
        <w:rPr/>
        <w:t>of</w:t>
      </w:r>
      <w:r>
        <w:rPr>
          <w:spacing w:val="-7"/>
        </w:rPr>
        <w:t> </w:t>
      </w:r>
      <w:r>
        <w:rPr/>
        <w:t>42</w:t>
      </w:r>
      <w:r>
        <w:rPr>
          <w:spacing w:val="-8"/>
        </w:rPr>
        <w:t> </w:t>
      </w:r>
      <w:r>
        <w:rPr/>
        <w:t>cancer</w:t>
      </w:r>
      <w:r>
        <w:rPr>
          <w:spacing w:val="-9"/>
        </w:rPr>
        <w:t> </w:t>
      </w:r>
      <w:r>
        <w:rPr/>
        <w:t>patients,</w:t>
      </w:r>
      <w:r>
        <w:rPr>
          <w:spacing w:val="-5"/>
        </w:rPr>
        <w:t> </w:t>
      </w:r>
      <w:r>
        <w:rPr/>
        <w:t>melatonin</w:t>
      </w:r>
      <w:r>
        <w:rPr>
          <w:spacing w:val="-7"/>
        </w:rPr>
        <w:t> </w:t>
      </w:r>
      <w:r>
        <w:rPr/>
        <w:t>levels</w:t>
      </w:r>
      <w:r>
        <w:rPr>
          <w:spacing w:val="-7"/>
        </w:rPr>
        <w:t> </w:t>
      </w:r>
      <w:r>
        <w:rPr/>
        <w:t>were</w:t>
      </w:r>
      <w:r>
        <w:rPr>
          <w:spacing w:val="-6"/>
        </w:rPr>
        <w:t> </w:t>
      </w:r>
      <w:r>
        <w:rPr/>
        <w:t>studied</w:t>
      </w:r>
      <w:r>
        <w:rPr>
          <w:spacing w:val="-7"/>
        </w:rPr>
        <w:t> </w:t>
      </w:r>
      <w:r>
        <w:rPr/>
        <w:t>before and</w:t>
      </w:r>
      <w:r>
        <w:rPr>
          <w:spacing w:val="-8"/>
        </w:rPr>
        <w:t> </w:t>
      </w:r>
      <w:r>
        <w:rPr/>
        <w:t>four</w:t>
      </w:r>
      <w:r>
        <w:rPr>
          <w:spacing w:val="-7"/>
        </w:rPr>
        <w:t> </w:t>
      </w:r>
      <w:r>
        <w:rPr/>
        <w:t>weeks</w:t>
      </w:r>
      <w:r>
        <w:rPr>
          <w:spacing w:val="-9"/>
        </w:rPr>
        <w:t> </w:t>
      </w:r>
      <w:r>
        <w:rPr/>
        <w:t>after</w:t>
      </w:r>
      <w:r>
        <w:rPr>
          <w:spacing w:val="-7"/>
        </w:rPr>
        <w:t> </w:t>
      </w:r>
      <w:r>
        <w:rPr/>
        <w:t>cessation</w:t>
      </w:r>
      <w:r>
        <w:rPr>
          <w:spacing w:val="-6"/>
        </w:rPr>
        <w:t> </w:t>
      </w:r>
      <w:r>
        <w:rPr/>
        <w:t>of</w:t>
      </w:r>
      <w:r>
        <w:rPr>
          <w:spacing w:val="-8"/>
        </w:rPr>
        <w:t> </w:t>
      </w:r>
      <w:r>
        <w:rPr/>
        <w:t>chemotherapy.</w:t>
      </w:r>
      <w:r>
        <w:rPr>
          <w:spacing w:val="-9"/>
        </w:rPr>
        <w:t> </w:t>
      </w:r>
      <w:r>
        <w:rPr/>
        <w:t>In</w:t>
      </w:r>
      <w:r>
        <w:rPr>
          <w:spacing w:val="-7"/>
        </w:rPr>
        <w:t> </w:t>
      </w:r>
      <w:r>
        <w:rPr/>
        <w:t>16</w:t>
      </w:r>
      <w:r>
        <w:rPr>
          <w:spacing w:val="-10"/>
        </w:rPr>
        <w:t> </w:t>
      </w:r>
      <w:r>
        <w:rPr/>
        <w:t>patients</w:t>
      </w:r>
      <w:r>
        <w:rPr>
          <w:spacing w:val="-6"/>
        </w:rPr>
        <w:t> </w:t>
      </w:r>
      <w:r>
        <w:rPr/>
        <w:t>whose</w:t>
      </w:r>
      <w:r>
        <w:rPr>
          <w:spacing w:val="-7"/>
        </w:rPr>
        <w:t> </w:t>
      </w:r>
      <w:r>
        <w:rPr/>
        <w:t>melato- nin levels had risen again after chemotherapy, the tumours receded in twelve cases</w:t>
      </w:r>
      <w:r>
        <w:rPr>
          <w:spacing w:val="-5"/>
        </w:rPr>
        <w:t> </w:t>
      </w:r>
      <w:r>
        <w:rPr/>
        <w:t>and</w:t>
      </w:r>
      <w:r>
        <w:rPr>
          <w:spacing w:val="-6"/>
        </w:rPr>
        <w:t> </w:t>
      </w:r>
      <w:r>
        <w:rPr/>
        <w:t>the</w:t>
      </w:r>
      <w:r>
        <w:rPr>
          <w:spacing w:val="-6"/>
        </w:rPr>
        <w:t> </w:t>
      </w:r>
      <w:r>
        <w:rPr/>
        <w:t>remaining</w:t>
      </w:r>
      <w:r>
        <w:rPr>
          <w:spacing w:val="-6"/>
        </w:rPr>
        <w:t> </w:t>
      </w:r>
      <w:r>
        <w:rPr/>
        <w:t>four</w:t>
      </w:r>
      <w:r>
        <w:rPr>
          <w:spacing w:val="-5"/>
        </w:rPr>
        <w:t> </w:t>
      </w:r>
      <w:r>
        <w:rPr/>
        <w:t>did</w:t>
      </w:r>
      <w:r>
        <w:rPr>
          <w:spacing w:val="-7"/>
        </w:rPr>
        <w:t> </w:t>
      </w:r>
      <w:r>
        <w:rPr/>
        <w:t>not</w:t>
      </w:r>
      <w:r>
        <w:rPr>
          <w:spacing w:val="-6"/>
        </w:rPr>
        <w:t> </w:t>
      </w:r>
      <w:r>
        <w:rPr/>
        <w:t>enlarge.</w:t>
      </w:r>
      <w:r>
        <w:rPr>
          <w:spacing w:val="-5"/>
        </w:rPr>
        <w:t> </w:t>
      </w:r>
      <w:r>
        <w:rPr/>
        <w:t>Out</w:t>
      </w:r>
      <w:r>
        <w:rPr>
          <w:spacing w:val="-7"/>
        </w:rPr>
        <w:t> </w:t>
      </w:r>
      <w:r>
        <w:rPr/>
        <w:t>of</w:t>
      </w:r>
      <w:r>
        <w:rPr>
          <w:spacing w:val="-6"/>
        </w:rPr>
        <w:t> </w:t>
      </w:r>
      <w:r>
        <w:rPr/>
        <w:t>26</w:t>
      </w:r>
      <w:r>
        <w:rPr>
          <w:spacing w:val="-7"/>
        </w:rPr>
        <w:t> </w:t>
      </w:r>
      <w:r>
        <w:rPr/>
        <w:t>cancer</w:t>
      </w:r>
      <w:r>
        <w:rPr>
          <w:spacing w:val="-4"/>
        </w:rPr>
        <w:t> </w:t>
      </w:r>
      <w:r>
        <w:rPr/>
        <w:t>patients</w:t>
      </w:r>
      <w:r>
        <w:rPr>
          <w:spacing w:val="-5"/>
        </w:rPr>
        <w:t> </w:t>
      </w:r>
      <w:r>
        <w:rPr/>
        <w:t>whose melatonin levels had not recovered, only two patients showed improvement. According</w:t>
      </w:r>
      <w:r>
        <w:rPr>
          <w:spacing w:val="36"/>
        </w:rPr>
        <w:t> </w:t>
      </w:r>
      <w:r>
        <w:rPr/>
        <w:t>to</w:t>
      </w:r>
      <w:r>
        <w:rPr>
          <w:spacing w:val="37"/>
        </w:rPr>
        <w:t> </w:t>
      </w:r>
      <w:r>
        <w:rPr/>
        <w:t>Prof.</w:t>
      </w:r>
      <w:r>
        <w:rPr>
          <w:spacing w:val="38"/>
        </w:rPr>
        <w:t> </w:t>
      </w:r>
      <w:r>
        <w:rPr/>
        <w:t>Regelson</w:t>
      </w:r>
      <w:r>
        <w:rPr>
          <w:spacing w:val="36"/>
        </w:rPr>
        <w:t> </w:t>
      </w:r>
      <w:r>
        <w:rPr/>
        <w:t>and</w:t>
      </w:r>
      <w:r>
        <w:rPr>
          <w:spacing w:val="36"/>
        </w:rPr>
        <w:t> </w:t>
      </w:r>
      <w:r>
        <w:rPr/>
        <w:t>Dr.</w:t>
      </w:r>
      <w:r>
        <w:rPr>
          <w:spacing w:val="37"/>
        </w:rPr>
        <w:t> </w:t>
      </w:r>
      <w:r>
        <w:rPr/>
        <w:t>Pierpaoli,</w:t>
      </w:r>
      <w:r>
        <w:rPr>
          <w:spacing w:val="37"/>
        </w:rPr>
        <w:t> </w:t>
      </w:r>
      <w:r>
        <w:rPr/>
        <w:t>melatonin</w:t>
      </w:r>
      <w:r>
        <w:rPr>
          <w:spacing w:val="36"/>
        </w:rPr>
        <w:t> </w:t>
      </w:r>
      <w:r>
        <w:rPr/>
        <w:t>levels</w:t>
      </w:r>
      <w:r>
        <w:rPr>
          <w:spacing w:val="38"/>
        </w:rPr>
        <w:t> </w:t>
      </w:r>
      <w:r>
        <w:rPr/>
        <w:t>could</w:t>
      </w:r>
      <w:r>
        <w:rPr>
          <w:spacing w:val="35"/>
        </w:rPr>
        <w:t> </w:t>
      </w:r>
      <w:r>
        <w:rPr/>
        <w:t>be</w:t>
      </w:r>
      <w:r>
        <w:rPr>
          <w:spacing w:val="36"/>
        </w:rPr>
        <w:t> </w:t>
      </w:r>
      <w:r>
        <w:rPr/>
        <w:t>a</w:t>
      </w:r>
    </w:p>
    <w:p>
      <w:pPr>
        <w:pStyle w:val="BodyText"/>
        <w:rPr>
          <w:sz w:val="20"/>
        </w:rPr>
      </w:pPr>
    </w:p>
    <w:p>
      <w:pPr>
        <w:pStyle w:val="BodyText"/>
        <w:rPr>
          <w:sz w:val="20"/>
        </w:rPr>
      </w:pPr>
    </w:p>
    <w:p>
      <w:pPr>
        <w:pStyle w:val="BodyText"/>
        <w:spacing w:before="9"/>
        <w:rPr>
          <w:sz w:val="19"/>
        </w:rPr>
      </w:pPr>
      <w:r>
        <w:rPr/>
        <w:pict>
          <v:line style="position:absolute;mso-position-horizontal-relative:page;mso-position-vertical-relative:paragraph;z-index:7088;mso-wrap-distance-left:0;mso-wrap-distance-right:0" from="70.823997pt,13.511265pt" to="214.843997pt,13.511265pt" stroked="true" strokeweight=".71997pt" strokecolor="#000000">
            <v:stroke dashstyle="solid"/>
            <w10:wrap type="topAndBottom"/>
          </v:line>
        </w:pict>
      </w:r>
    </w:p>
    <w:p>
      <w:pPr>
        <w:pStyle w:val="BodyText"/>
        <w:spacing w:before="7"/>
        <w:rPr>
          <w:sz w:val="18"/>
        </w:rPr>
      </w:pPr>
    </w:p>
    <w:p>
      <w:pPr>
        <w:spacing w:line="276" w:lineRule="auto" w:before="99"/>
        <w:ind w:left="616" w:right="481" w:firstLine="0"/>
        <w:jc w:val="left"/>
        <w:rPr>
          <w:sz w:val="20"/>
        </w:rPr>
      </w:pPr>
      <w:r>
        <w:rPr>
          <w:position w:val="5"/>
          <w:sz w:val="13"/>
        </w:rPr>
        <w:t>547 </w:t>
      </w:r>
      <w:r>
        <w:rPr>
          <w:sz w:val="20"/>
        </w:rPr>
        <w:t>Walter Pierpaoli and William Regelson: Melatonin – Schlüssel zu ewiger Jugend, Gesundheit und Fitness ('Key to Eternal Youth, Health and Fitness'), April 1996, p. 141</w:t>
      </w:r>
    </w:p>
    <w:p>
      <w:pPr>
        <w:spacing w:line="276" w:lineRule="auto" w:before="61"/>
        <w:ind w:left="616" w:right="481" w:firstLine="0"/>
        <w:jc w:val="left"/>
        <w:rPr>
          <w:sz w:val="20"/>
        </w:rPr>
      </w:pPr>
      <w:r>
        <w:rPr>
          <w:position w:val="5"/>
          <w:sz w:val="13"/>
        </w:rPr>
        <w:t>548 </w:t>
      </w:r>
      <w:r>
        <w:rPr>
          <w:sz w:val="20"/>
        </w:rPr>
        <w:t>Walter Pierpaoli and William Regelson: Melatonin – Schlüssel zu ewiger Jugend, Gesundheit und Fitness ('Key to Eternal Youth, Health and Fitness'), April 1996, p. 33</w:t>
      </w:r>
    </w:p>
    <w:p>
      <w:pPr>
        <w:spacing w:after="0" w:line="276" w:lineRule="auto"/>
        <w:jc w:val="left"/>
        <w:rPr>
          <w:sz w:val="20"/>
        </w:rPr>
        <w:sectPr>
          <w:footerReference w:type="default" r:id="rId235"/>
          <w:pgSz w:w="14270" w:h="16850"/>
          <w:pgMar w:footer="527" w:header="0" w:top="1320" w:bottom="720" w:left="800" w:right="1280"/>
        </w:sectPr>
      </w:pPr>
    </w:p>
    <w:p>
      <w:pPr>
        <w:pStyle w:val="BodyText"/>
        <w:spacing w:before="74"/>
        <w:ind w:left="616"/>
        <w:rPr>
          <w:sz w:val="25"/>
        </w:rPr>
      </w:pPr>
      <w:r>
        <w:rPr/>
        <w:t>meaningful value in giving patient prognoses. </w:t>
      </w:r>
      <w:r>
        <w:rPr>
          <w:position w:val="9"/>
          <w:sz w:val="25"/>
        </w:rPr>
        <w:t>549</w:t>
      </w:r>
    </w:p>
    <w:p>
      <w:pPr>
        <w:pStyle w:val="Heading1"/>
        <w:spacing w:before="287"/>
        <w:ind w:left="616"/>
      </w:pPr>
      <w:r>
        <w:rPr/>
        <w:t>Melatonin suppresses asthma in studies</w:t>
      </w:r>
    </w:p>
    <w:p>
      <w:pPr>
        <w:pStyle w:val="BodyText"/>
        <w:spacing w:line="276" w:lineRule="auto" w:before="297"/>
        <w:ind w:left="616" w:right="133"/>
        <w:jc w:val="both"/>
        <w:rPr>
          <w:sz w:val="25"/>
        </w:rPr>
      </w:pPr>
      <w:r>
        <w:rPr/>
        <w:t>According to a study conducted at the Hadassah Medical School of the He- brew University in Israel, intravenous melatonin was found to be an 'excellent bronchodilator' in animal studies.</w:t>
      </w:r>
      <w:r>
        <w:rPr>
          <w:position w:val="9"/>
          <w:sz w:val="25"/>
        </w:rPr>
        <w:t>550</w:t>
      </w:r>
    </w:p>
    <w:p>
      <w:pPr>
        <w:pStyle w:val="Heading1"/>
        <w:ind w:left="616"/>
      </w:pPr>
      <w:r>
        <w:rPr/>
        <w:t>Melatonin lowers cholesterol levels in</w:t>
      </w:r>
      <w:r>
        <w:rPr>
          <w:spacing w:val="-62"/>
        </w:rPr>
        <w:t> </w:t>
      </w:r>
      <w:r>
        <w:rPr/>
        <w:t>studies</w:t>
      </w:r>
    </w:p>
    <w:p>
      <w:pPr>
        <w:pStyle w:val="BodyText"/>
        <w:spacing w:before="300"/>
        <w:ind w:left="616"/>
        <w:rPr>
          <w:sz w:val="25"/>
        </w:rPr>
      </w:pPr>
      <w:r>
        <w:rPr/>
        <w:t>Several studies have shown that melatonin can lower high cholesterol levels.</w:t>
      </w:r>
      <w:r>
        <w:rPr>
          <w:position w:val="9"/>
          <w:sz w:val="25"/>
        </w:rPr>
        <w:t>551</w:t>
      </w:r>
    </w:p>
    <w:p>
      <w:pPr>
        <w:pStyle w:val="Heading1"/>
        <w:spacing w:before="287"/>
        <w:ind w:left="616"/>
      </w:pPr>
      <w:r>
        <w:rPr/>
        <w:t>Melatonin strengthens the immune system in studies</w:t>
      </w:r>
    </w:p>
    <w:p>
      <w:pPr>
        <w:pStyle w:val="BodyText"/>
        <w:spacing w:line="276" w:lineRule="auto" w:before="300"/>
        <w:ind w:left="616" w:right="134"/>
        <w:jc w:val="both"/>
        <w:rPr>
          <w:sz w:val="25"/>
        </w:rPr>
      </w:pPr>
      <w:r>
        <w:rPr/>
        <w:t>Researchers Pierpaoli and Regelson injected mice with encephalomyocarditis virus,</w:t>
      </w:r>
      <w:r>
        <w:rPr>
          <w:spacing w:val="-16"/>
        </w:rPr>
        <w:t> </w:t>
      </w:r>
      <w:r>
        <w:rPr/>
        <w:t>a</w:t>
      </w:r>
      <w:r>
        <w:rPr>
          <w:spacing w:val="-18"/>
        </w:rPr>
        <w:t> </w:t>
      </w:r>
      <w:r>
        <w:rPr/>
        <w:t>virus</w:t>
      </w:r>
      <w:r>
        <w:rPr>
          <w:spacing w:val="-16"/>
        </w:rPr>
        <w:t> </w:t>
      </w:r>
      <w:r>
        <w:rPr/>
        <w:t>that</w:t>
      </w:r>
      <w:r>
        <w:rPr>
          <w:spacing w:val="-17"/>
        </w:rPr>
        <w:t> </w:t>
      </w:r>
      <w:r>
        <w:rPr/>
        <w:t>infects</w:t>
      </w:r>
      <w:r>
        <w:rPr>
          <w:spacing w:val="-18"/>
        </w:rPr>
        <w:t> </w:t>
      </w:r>
      <w:r>
        <w:rPr/>
        <w:t>the</w:t>
      </w:r>
      <w:r>
        <w:rPr>
          <w:spacing w:val="-17"/>
        </w:rPr>
        <w:t> </w:t>
      </w:r>
      <w:r>
        <w:rPr/>
        <w:t>inner</w:t>
      </w:r>
      <w:r>
        <w:rPr>
          <w:spacing w:val="-16"/>
        </w:rPr>
        <w:t> </w:t>
      </w:r>
      <w:r>
        <w:rPr/>
        <w:t>wall</w:t>
      </w:r>
      <w:r>
        <w:rPr>
          <w:spacing w:val="-17"/>
        </w:rPr>
        <w:t> </w:t>
      </w:r>
      <w:r>
        <w:rPr/>
        <w:t>of</w:t>
      </w:r>
      <w:r>
        <w:rPr>
          <w:spacing w:val="-19"/>
        </w:rPr>
        <w:t> </w:t>
      </w:r>
      <w:r>
        <w:rPr/>
        <w:t>the</w:t>
      </w:r>
      <w:r>
        <w:rPr>
          <w:spacing w:val="-17"/>
        </w:rPr>
        <w:t> </w:t>
      </w:r>
      <w:r>
        <w:rPr/>
        <w:t>heart,</w:t>
      </w:r>
      <w:r>
        <w:rPr>
          <w:spacing w:val="-16"/>
        </w:rPr>
        <w:t> </w:t>
      </w:r>
      <w:r>
        <w:rPr/>
        <w:t>causing</w:t>
      </w:r>
      <w:r>
        <w:rPr>
          <w:spacing w:val="-16"/>
        </w:rPr>
        <w:t> </w:t>
      </w:r>
      <w:r>
        <w:rPr/>
        <w:t>fatal</w:t>
      </w:r>
      <w:r>
        <w:rPr>
          <w:spacing w:val="-17"/>
        </w:rPr>
        <w:t> </w:t>
      </w:r>
      <w:r>
        <w:rPr/>
        <w:t>inflammation. Next,</w:t>
      </w:r>
      <w:r>
        <w:rPr>
          <w:spacing w:val="-8"/>
        </w:rPr>
        <w:t> </w:t>
      </w:r>
      <w:r>
        <w:rPr/>
        <w:t>the</w:t>
      </w:r>
      <w:r>
        <w:rPr>
          <w:spacing w:val="-8"/>
        </w:rPr>
        <w:t> </w:t>
      </w:r>
      <w:r>
        <w:rPr/>
        <w:t>mice</w:t>
      </w:r>
      <w:r>
        <w:rPr>
          <w:spacing w:val="-8"/>
        </w:rPr>
        <w:t> </w:t>
      </w:r>
      <w:r>
        <w:rPr/>
        <w:t>were</w:t>
      </w:r>
      <w:r>
        <w:rPr>
          <w:spacing w:val="-8"/>
        </w:rPr>
        <w:t> </w:t>
      </w:r>
      <w:r>
        <w:rPr/>
        <w:t>given</w:t>
      </w:r>
      <w:r>
        <w:rPr>
          <w:spacing w:val="-7"/>
        </w:rPr>
        <w:t> </w:t>
      </w:r>
      <w:r>
        <w:rPr/>
        <w:t>melatonin,</w:t>
      </w:r>
      <w:r>
        <w:rPr>
          <w:spacing w:val="-8"/>
        </w:rPr>
        <w:t> </w:t>
      </w:r>
      <w:r>
        <w:rPr/>
        <w:t>which</w:t>
      </w:r>
      <w:r>
        <w:rPr>
          <w:spacing w:val="-8"/>
        </w:rPr>
        <w:t> </w:t>
      </w:r>
      <w:r>
        <w:rPr/>
        <w:t>led</w:t>
      </w:r>
      <w:r>
        <w:rPr>
          <w:spacing w:val="-8"/>
        </w:rPr>
        <w:t> </w:t>
      </w:r>
      <w:r>
        <w:rPr/>
        <w:t>to</w:t>
      </w:r>
      <w:r>
        <w:rPr>
          <w:spacing w:val="-8"/>
        </w:rPr>
        <w:t> </w:t>
      </w:r>
      <w:r>
        <w:rPr/>
        <w:t>a</w:t>
      </w:r>
      <w:r>
        <w:rPr>
          <w:spacing w:val="-9"/>
        </w:rPr>
        <w:t> </w:t>
      </w:r>
      <w:r>
        <w:rPr/>
        <w:t>suppression</w:t>
      </w:r>
      <w:r>
        <w:rPr>
          <w:spacing w:val="-10"/>
        </w:rPr>
        <w:t> </w:t>
      </w:r>
      <w:r>
        <w:rPr/>
        <w:t>of</w:t>
      </w:r>
      <w:r>
        <w:rPr>
          <w:spacing w:val="-8"/>
        </w:rPr>
        <w:t> </w:t>
      </w:r>
      <w:r>
        <w:rPr/>
        <w:t>the</w:t>
      </w:r>
      <w:r>
        <w:rPr>
          <w:spacing w:val="-7"/>
        </w:rPr>
        <w:t> </w:t>
      </w:r>
      <w:r>
        <w:rPr/>
        <w:t>heart's typical inflammatory response and reduced</w:t>
      </w:r>
      <w:r>
        <w:rPr>
          <w:spacing w:val="-2"/>
        </w:rPr>
        <w:t> </w:t>
      </w:r>
      <w:r>
        <w:rPr/>
        <w:t>mortality.</w:t>
      </w:r>
      <w:r>
        <w:rPr>
          <w:position w:val="9"/>
          <w:sz w:val="25"/>
        </w:rPr>
        <w:t>552</w:t>
      </w:r>
    </w:p>
    <w:p>
      <w:pPr>
        <w:pStyle w:val="Heading1"/>
        <w:spacing w:before="222"/>
        <w:ind w:left="616"/>
      </w:pPr>
      <w:r>
        <w:rPr/>
        <w:t>Melatonin invigorates thyroid function</w:t>
      </w:r>
    </w:p>
    <w:p>
      <w:pPr>
        <w:pStyle w:val="BodyText"/>
        <w:spacing w:line="276" w:lineRule="auto" w:before="299"/>
        <w:ind w:left="616" w:right="134"/>
        <w:jc w:val="both"/>
      </w:pPr>
      <w:r>
        <w:rPr/>
        <w:t>In animal experiments, the replacement of the pineal gland described above (old for new) as well as the addition of melatonin in the drinking water of ageing mice has demonstrated that melatonin can revive thyroid function.</w:t>
      </w:r>
    </w:p>
    <w:p>
      <w:pPr>
        <w:pStyle w:val="BodyText"/>
        <w:rPr>
          <w:sz w:val="20"/>
        </w:rPr>
      </w:pPr>
    </w:p>
    <w:p>
      <w:pPr>
        <w:pStyle w:val="BodyText"/>
        <w:rPr>
          <w:sz w:val="20"/>
        </w:rPr>
      </w:pPr>
    </w:p>
    <w:p>
      <w:pPr>
        <w:pStyle w:val="BodyText"/>
        <w:spacing w:before="10"/>
        <w:rPr>
          <w:sz w:val="27"/>
        </w:rPr>
      </w:pPr>
      <w:r>
        <w:rPr/>
        <w:pict>
          <v:line style="position:absolute;mso-position-horizontal-relative:page;mso-position-vertical-relative:paragraph;z-index:7112;mso-wrap-distance-left:0;mso-wrap-distance-right:0" from="70.823997pt,18.067514pt" to="214.843997pt,18.067514pt" stroked="true" strokeweight=".71997pt" strokecolor="#000000">
            <v:stroke dashstyle="solid"/>
            <w10:wrap type="topAndBottom"/>
          </v:line>
        </w:pict>
      </w:r>
    </w:p>
    <w:p>
      <w:pPr>
        <w:pStyle w:val="BodyText"/>
        <w:spacing w:before="7"/>
        <w:rPr>
          <w:sz w:val="18"/>
        </w:rPr>
      </w:pPr>
    </w:p>
    <w:p>
      <w:pPr>
        <w:spacing w:line="276" w:lineRule="auto" w:before="100"/>
        <w:ind w:left="616" w:right="465" w:firstLine="0"/>
        <w:jc w:val="left"/>
        <w:rPr>
          <w:sz w:val="20"/>
        </w:rPr>
      </w:pPr>
      <w:r>
        <w:rPr>
          <w:position w:val="5"/>
          <w:sz w:val="13"/>
        </w:rPr>
        <w:t>549 </w:t>
      </w:r>
      <w:r>
        <w:rPr>
          <w:sz w:val="20"/>
        </w:rPr>
        <w:t>Walter Pierpaoli und William Regelson, Melatonin – Schlüssel zu ewiger Jugend, Gesundheit und Fitness ('Key to Eternal Youth, Health and Fitness'), April 1996, p. 41</w:t>
      </w:r>
    </w:p>
    <w:p>
      <w:pPr>
        <w:spacing w:line="273" w:lineRule="auto" w:before="61"/>
        <w:ind w:left="616" w:right="0" w:firstLine="0"/>
        <w:jc w:val="left"/>
        <w:rPr>
          <w:sz w:val="20"/>
        </w:rPr>
      </w:pPr>
      <w:r>
        <w:rPr>
          <w:position w:val="5"/>
          <w:sz w:val="13"/>
        </w:rPr>
        <w:t>550 </w:t>
      </w:r>
      <w:r>
        <w:rPr>
          <w:sz w:val="20"/>
        </w:rPr>
        <w:t>Walter Pierpaoli and William Regelson: Melatonin – Schlüssel zu ewiger Jugend, Gesundheit und Fitness ('Key to Eternal Youth, Health and Fitness'), April 1996, p.</w:t>
      </w:r>
      <w:r>
        <w:rPr>
          <w:spacing w:val="-5"/>
          <w:sz w:val="20"/>
        </w:rPr>
        <w:t> </w:t>
      </w:r>
      <w:r>
        <w:rPr>
          <w:sz w:val="20"/>
        </w:rPr>
        <w:t>171</w:t>
      </w:r>
    </w:p>
    <w:p>
      <w:pPr>
        <w:spacing w:line="276" w:lineRule="auto" w:before="63"/>
        <w:ind w:left="616" w:right="481" w:firstLine="0"/>
        <w:jc w:val="left"/>
        <w:rPr>
          <w:sz w:val="20"/>
        </w:rPr>
      </w:pPr>
      <w:r>
        <w:rPr>
          <w:position w:val="5"/>
          <w:sz w:val="13"/>
        </w:rPr>
        <w:t>551 </w:t>
      </w:r>
      <w:r>
        <w:rPr>
          <w:sz w:val="20"/>
        </w:rPr>
        <w:t>Walter Pierpaoli and William Regelson: Melatonin – Schlüssel zu ewiger Jugend, Gesundheit und Fitness ('Key to Eternal Youth, Health and Fitness'), April 1996, p.</w:t>
      </w:r>
      <w:r>
        <w:rPr>
          <w:spacing w:val="-5"/>
          <w:sz w:val="20"/>
        </w:rPr>
        <w:t> </w:t>
      </w:r>
      <w:r>
        <w:rPr>
          <w:sz w:val="20"/>
        </w:rPr>
        <w:t>133</w:t>
      </w:r>
    </w:p>
    <w:p>
      <w:pPr>
        <w:spacing w:line="276" w:lineRule="auto" w:before="61"/>
        <w:ind w:left="616" w:right="481" w:firstLine="0"/>
        <w:jc w:val="left"/>
        <w:rPr>
          <w:sz w:val="20"/>
        </w:rPr>
      </w:pPr>
      <w:r>
        <w:rPr/>
        <w:drawing>
          <wp:anchor distT="0" distB="0" distL="0" distR="0" allowOverlap="1" layoutInCell="1" locked="0" behindDoc="1" simplePos="0" relativeHeight="267174911">
            <wp:simplePos x="0" y="0"/>
            <wp:positionH relativeFrom="page">
              <wp:posOffset>985998</wp:posOffset>
            </wp:positionH>
            <wp:positionV relativeFrom="paragraph">
              <wp:posOffset>82907</wp:posOffset>
            </wp:positionV>
            <wp:extent cx="6379583" cy="902106"/>
            <wp:effectExtent l="0" t="0" r="0" b="0"/>
            <wp:wrapNone/>
            <wp:docPr id="359" name="image2.jpeg" descr=""/>
            <wp:cNvGraphicFramePr>
              <a:graphicFrameLocks noChangeAspect="1"/>
            </wp:cNvGraphicFramePr>
            <a:graphic>
              <a:graphicData uri="http://schemas.openxmlformats.org/drawingml/2006/picture">
                <pic:pic>
                  <pic:nvPicPr>
                    <pic:cNvPr id="360"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552 </w:t>
      </w:r>
      <w:r>
        <w:rPr>
          <w:sz w:val="20"/>
        </w:rPr>
        <w:t>Walter Pierpaoli and William Regelson: Melatonin – Schlüssel zu ewiger Jugend, Gesundheit und Fitness ('Key to Eternal Youth, Health and Fitness'), April 1996, p.</w:t>
      </w:r>
      <w:r>
        <w:rPr>
          <w:spacing w:val="-5"/>
          <w:sz w:val="20"/>
        </w:rPr>
        <w:t> </w:t>
      </w:r>
      <w:r>
        <w:rPr>
          <w:sz w:val="20"/>
        </w:rPr>
        <w:t>125</w:t>
      </w:r>
    </w:p>
    <w:p>
      <w:pPr>
        <w:spacing w:after="0" w:line="276" w:lineRule="auto"/>
        <w:jc w:val="left"/>
        <w:rPr>
          <w:sz w:val="20"/>
        </w:rPr>
        <w:sectPr>
          <w:footerReference w:type="default" r:id="rId236"/>
          <w:pgSz w:w="14270" w:h="16850"/>
          <w:pgMar w:footer="527" w:header="0" w:top="1340" w:bottom="720" w:left="800" w:right="1280"/>
          <w:pgNumType w:start="994"/>
        </w:sectPr>
      </w:pPr>
    </w:p>
    <w:p>
      <w:pPr>
        <w:pStyle w:val="Heading1"/>
        <w:spacing w:before="77"/>
        <w:ind w:left="616"/>
      </w:pPr>
      <w:r>
        <w:rPr/>
        <w:t>Melatonin prevents cataracts in studies</w:t>
      </w:r>
    </w:p>
    <w:p>
      <w:pPr>
        <w:pStyle w:val="BodyText"/>
        <w:spacing w:line="276" w:lineRule="auto" w:before="299"/>
        <w:ind w:left="616" w:right="135"/>
        <w:jc w:val="both"/>
      </w:pPr>
      <w:r>
        <w:rPr/>
        <w:t>According to the findings of the animal experiments of the two melatonin re- searchers, Prof. Regelson and Dr. Pierpaoli, none of the melatonin-treated mice succumbed to cataracts. It is therefore likely that melatonin can protect against cataracts.</w:t>
      </w:r>
    </w:p>
    <w:p>
      <w:pPr>
        <w:pStyle w:val="BodyText"/>
        <w:spacing w:before="239"/>
        <w:ind w:left="616"/>
      </w:pPr>
      <w:r>
        <w:rPr/>
        <w:t>Melatonin dosage</w:t>
      </w:r>
    </w:p>
    <w:p>
      <w:pPr>
        <w:pStyle w:val="BodyText"/>
        <w:spacing w:line="276" w:lineRule="auto" w:before="303"/>
        <w:ind w:left="616" w:right="131"/>
        <w:jc w:val="both"/>
      </w:pPr>
      <w:r>
        <w:rPr/>
        <w:t>Of</w:t>
      </w:r>
      <w:r>
        <w:rPr>
          <w:spacing w:val="-18"/>
        </w:rPr>
        <w:t> </w:t>
      </w:r>
      <w:r>
        <w:rPr/>
        <w:t>course,</w:t>
      </w:r>
      <w:r>
        <w:rPr>
          <w:spacing w:val="-15"/>
        </w:rPr>
        <w:t> </w:t>
      </w:r>
      <w:r>
        <w:rPr/>
        <w:t>the</w:t>
      </w:r>
      <w:r>
        <w:rPr>
          <w:spacing w:val="-18"/>
        </w:rPr>
        <w:t> </w:t>
      </w:r>
      <w:r>
        <w:rPr/>
        <w:t>correct</w:t>
      </w:r>
      <w:r>
        <w:rPr>
          <w:spacing w:val="-17"/>
        </w:rPr>
        <w:t> </w:t>
      </w:r>
      <w:r>
        <w:rPr/>
        <w:t>dose</w:t>
      </w:r>
      <w:r>
        <w:rPr>
          <w:spacing w:val="-19"/>
        </w:rPr>
        <w:t> </w:t>
      </w:r>
      <w:r>
        <w:rPr/>
        <w:t>of</w:t>
      </w:r>
      <w:r>
        <w:rPr>
          <w:spacing w:val="-19"/>
        </w:rPr>
        <w:t> </w:t>
      </w:r>
      <w:r>
        <w:rPr/>
        <w:t>melatonin</w:t>
      </w:r>
      <w:r>
        <w:rPr>
          <w:spacing w:val="-16"/>
        </w:rPr>
        <w:t> </w:t>
      </w:r>
      <w:r>
        <w:rPr/>
        <w:t>depends</w:t>
      </w:r>
      <w:r>
        <w:rPr>
          <w:spacing w:val="-15"/>
        </w:rPr>
        <w:t> </w:t>
      </w:r>
      <w:r>
        <w:rPr/>
        <w:t>on</w:t>
      </w:r>
      <w:r>
        <w:rPr>
          <w:spacing w:val="-18"/>
        </w:rPr>
        <w:t> </w:t>
      </w:r>
      <w:r>
        <w:rPr/>
        <w:t>the</w:t>
      </w:r>
      <w:r>
        <w:rPr>
          <w:spacing w:val="-15"/>
        </w:rPr>
        <w:t> </w:t>
      </w:r>
      <w:r>
        <w:rPr/>
        <w:t>indication</w:t>
      </w:r>
      <w:r>
        <w:rPr>
          <w:spacing w:val="-16"/>
        </w:rPr>
        <w:t> </w:t>
      </w:r>
      <w:r>
        <w:rPr/>
        <w:t>or</w:t>
      </w:r>
      <w:r>
        <w:rPr>
          <w:spacing w:val="-18"/>
        </w:rPr>
        <w:t> </w:t>
      </w:r>
      <w:r>
        <w:rPr/>
        <w:t>concern for which melatonin intake is considered. The following table is intended to provide an overview of the corresponding effects one must expect for differ- ence</w:t>
      </w:r>
      <w:r>
        <w:rPr>
          <w:spacing w:val="-4"/>
        </w:rPr>
        <w:t> </w:t>
      </w:r>
      <w:r>
        <w:rPr/>
        <w:t>indications</w:t>
      </w:r>
      <w:r>
        <w:rPr>
          <w:spacing w:val="-9"/>
        </w:rPr>
        <w:t> </w:t>
      </w:r>
      <w:r>
        <w:rPr/>
        <w:t>and</w:t>
      </w:r>
      <w:r>
        <w:rPr>
          <w:spacing w:val="-7"/>
        </w:rPr>
        <w:t> </w:t>
      </w:r>
      <w:r>
        <w:rPr/>
        <w:t>doses.</w:t>
      </w:r>
      <w:r>
        <w:rPr>
          <w:spacing w:val="-4"/>
        </w:rPr>
        <w:t> </w:t>
      </w:r>
      <w:r>
        <w:rPr/>
        <w:t>The</w:t>
      </w:r>
      <w:r>
        <w:rPr>
          <w:spacing w:val="-7"/>
        </w:rPr>
        <w:t> </w:t>
      </w:r>
      <w:r>
        <w:rPr/>
        <w:t>table</w:t>
      </w:r>
      <w:r>
        <w:rPr>
          <w:spacing w:val="-5"/>
        </w:rPr>
        <w:t> </w:t>
      </w:r>
      <w:r>
        <w:rPr/>
        <w:t>is</w:t>
      </w:r>
      <w:r>
        <w:rPr>
          <w:spacing w:val="-6"/>
        </w:rPr>
        <w:t> </w:t>
      </w:r>
      <w:r>
        <w:rPr/>
        <w:t>based</w:t>
      </w:r>
      <w:r>
        <w:rPr>
          <w:spacing w:val="-7"/>
        </w:rPr>
        <w:t> </w:t>
      </w:r>
      <w:r>
        <w:rPr/>
        <w:t>on</w:t>
      </w:r>
      <w:r>
        <w:rPr>
          <w:spacing w:val="-8"/>
        </w:rPr>
        <w:t> </w:t>
      </w:r>
      <w:r>
        <w:rPr/>
        <w:t>the</w:t>
      </w:r>
      <w:r>
        <w:rPr>
          <w:spacing w:val="-6"/>
        </w:rPr>
        <w:t> </w:t>
      </w:r>
      <w:r>
        <w:rPr/>
        <w:t>recommendations</w:t>
      </w:r>
      <w:r>
        <w:rPr>
          <w:spacing w:val="-3"/>
        </w:rPr>
        <w:t> </w:t>
      </w:r>
      <w:r>
        <w:rPr/>
        <w:t>of</w:t>
      </w:r>
      <w:r>
        <w:rPr>
          <w:spacing w:val="-8"/>
        </w:rPr>
        <w:t> </w:t>
      </w:r>
      <w:r>
        <w:rPr/>
        <w:t>the two</w:t>
      </w:r>
      <w:r>
        <w:rPr>
          <w:spacing w:val="-9"/>
        </w:rPr>
        <w:t> </w:t>
      </w:r>
      <w:r>
        <w:rPr/>
        <w:t>melatonin</w:t>
      </w:r>
      <w:r>
        <w:rPr>
          <w:spacing w:val="-9"/>
        </w:rPr>
        <w:t> </w:t>
      </w:r>
      <w:r>
        <w:rPr/>
        <w:t>researchers,</w:t>
      </w:r>
      <w:r>
        <w:rPr>
          <w:spacing w:val="-10"/>
        </w:rPr>
        <w:t> </w:t>
      </w:r>
      <w:r>
        <w:rPr/>
        <w:t>Prof.</w:t>
      </w:r>
      <w:r>
        <w:rPr>
          <w:spacing w:val="-11"/>
        </w:rPr>
        <w:t> </w:t>
      </w:r>
      <w:r>
        <w:rPr/>
        <w:t>Regelson</w:t>
      </w:r>
      <w:r>
        <w:rPr>
          <w:spacing w:val="-11"/>
        </w:rPr>
        <w:t> </w:t>
      </w:r>
      <w:r>
        <w:rPr/>
        <w:t>and</w:t>
      </w:r>
      <w:r>
        <w:rPr>
          <w:spacing w:val="-9"/>
        </w:rPr>
        <w:t> </w:t>
      </w:r>
      <w:r>
        <w:rPr/>
        <w:t>Dr.</w:t>
      </w:r>
      <w:r>
        <w:rPr>
          <w:spacing w:val="-8"/>
        </w:rPr>
        <w:t> </w:t>
      </w:r>
      <w:r>
        <w:rPr/>
        <w:t>Pierpaoli.</w:t>
      </w:r>
      <w:r>
        <w:rPr>
          <w:spacing w:val="-11"/>
        </w:rPr>
        <w:t> </w:t>
      </w:r>
      <w:r>
        <w:rPr/>
        <w:t>The</w:t>
      </w:r>
      <w:r>
        <w:rPr>
          <w:spacing w:val="-11"/>
        </w:rPr>
        <w:t> </w:t>
      </w:r>
      <w:r>
        <w:rPr/>
        <w:t>values</w:t>
      </w:r>
      <w:r>
        <w:rPr>
          <w:spacing w:val="-2"/>
        </w:rPr>
        <w:t> </w:t>
      </w:r>
      <w:r>
        <w:rPr/>
        <w:t>result from a calculated and averaged melatonin</w:t>
      </w:r>
      <w:r>
        <w:rPr>
          <w:spacing w:val="-2"/>
        </w:rPr>
        <w:t> </w:t>
      </w:r>
      <w:r>
        <w:rPr/>
        <w:t>requirement.</w:t>
      </w:r>
    </w:p>
    <w:p>
      <w:pPr>
        <w:pStyle w:val="BodyText"/>
        <w:rPr>
          <w:sz w:val="20"/>
        </w:rPr>
      </w:pPr>
    </w:p>
    <w:p>
      <w:pPr>
        <w:pStyle w:val="BodyText"/>
        <w:rPr>
          <w:sz w:val="20"/>
        </w:rPr>
      </w:pPr>
    </w:p>
    <w:p>
      <w:pPr>
        <w:pStyle w:val="BodyText"/>
        <w:rPr>
          <w:sz w:val="20"/>
        </w:rPr>
      </w:pPr>
    </w:p>
    <w:p>
      <w:pPr>
        <w:pStyle w:val="BodyText"/>
        <w:spacing w:before="3" w:after="1"/>
        <w:rPr>
          <w:sz w:val="23"/>
        </w:r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1"/>
        <w:gridCol w:w="2127"/>
        <w:gridCol w:w="2693"/>
      </w:tblGrid>
      <w:tr>
        <w:trPr>
          <w:trHeight w:val="1422" w:hRule="atLeast"/>
        </w:trPr>
        <w:tc>
          <w:tcPr>
            <w:tcW w:w="6771" w:type="dxa"/>
            <w:gridSpan w:val="3"/>
            <w:shd w:val="clear" w:color="auto" w:fill="8DB3E1"/>
          </w:tcPr>
          <w:p>
            <w:pPr>
              <w:pStyle w:val="TableParagraph"/>
              <w:spacing w:line="278" w:lineRule="auto" w:before="236"/>
              <w:ind w:left="110"/>
              <w:rPr>
                <w:b/>
                <w:sz w:val="38"/>
              </w:rPr>
            </w:pPr>
            <w:r>
              <w:rPr>
                <w:b/>
                <w:sz w:val="38"/>
              </w:rPr>
              <w:t>Intake recommendation from Prof. Re- gelson and Dr. Pierpaoli</w:t>
            </w:r>
          </w:p>
        </w:tc>
      </w:tr>
      <w:tr>
        <w:trPr>
          <w:trHeight w:val="930" w:hRule="atLeast"/>
        </w:trPr>
        <w:tc>
          <w:tcPr>
            <w:tcW w:w="1951" w:type="dxa"/>
          </w:tcPr>
          <w:p>
            <w:pPr>
              <w:pStyle w:val="TableParagraph"/>
              <w:spacing w:before="238"/>
              <w:ind w:left="110"/>
              <w:rPr>
                <w:b/>
                <w:sz w:val="38"/>
              </w:rPr>
            </w:pPr>
            <w:r>
              <w:rPr>
                <w:b/>
                <w:sz w:val="38"/>
              </w:rPr>
              <w:t>Indication</w:t>
            </w:r>
          </w:p>
        </w:tc>
        <w:tc>
          <w:tcPr>
            <w:tcW w:w="2127" w:type="dxa"/>
          </w:tcPr>
          <w:p>
            <w:pPr>
              <w:pStyle w:val="TableParagraph"/>
              <w:spacing w:before="238"/>
              <w:ind w:left="107"/>
              <w:rPr>
                <w:b/>
                <w:sz w:val="38"/>
              </w:rPr>
            </w:pPr>
            <w:r>
              <w:rPr>
                <w:b/>
                <w:sz w:val="38"/>
              </w:rPr>
              <w:t>Dose</w:t>
            </w:r>
          </w:p>
        </w:tc>
        <w:tc>
          <w:tcPr>
            <w:tcW w:w="2693" w:type="dxa"/>
          </w:tcPr>
          <w:p>
            <w:pPr>
              <w:pStyle w:val="TableParagraph"/>
              <w:spacing w:before="238"/>
              <w:ind w:left="107"/>
              <w:rPr>
                <w:b/>
                <w:sz w:val="38"/>
              </w:rPr>
            </w:pPr>
            <w:r>
              <w:rPr>
                <w:b/>
                <w:sz w:val="38"/>
              </w:rPr>
              <w:t>Additional note</w:t>
            </w:r>
          </w:p>
        </w:tc>
      </w:tr>
      <w:tr>
        <w:trPr>
          <w:trHeight w:val="1423" w:hRule="atLeast"/>
        </w:trPr>
        <w:tc>
          <w:tcPr>
            <w:tcW w:w="1951" w:type="dxa"/>
            <w:vMerge w:val="restart"/>
          </w:tcPr>
          <w:p>
            <w:pPr>
              <w:pStyle w:val="TableParagraph"/>
              <w:spacing w:line="276" w:lineRule="auto" w:before="236"/>
              <w:ind w:left="110" w:right="228"/>
              <w:jc w:val="both"/>
              <w:rPr>
                <w:b/>
                <w:sz w:val="38"/>
              </w:rPr>
            </w:pPr>
            <w:r>
              <w:rPr>
                <w:b/>
                <w:sz w:val="38"/>
              </w:rPr>
              <w:t>Anti-age- ing</w:t>
            </w:r>
            <w:r>
              <w:rPr>
                <w:b/>
                <w:spacing w:val="-5"/>
                <w:sz w:val="38"/>
              </w:rPr>
              <w:t> </w:t>
            </w:r>
            <w:r>
              <w:rPr>
                <w:b/>
                <w:sz w:val="38"/>
              </w:rPr>
              <w:t>(slow- ing</w:t>
            </w:r>
            <w:r>
              <w:rPr>
                <w:b/>
                <w:spacing w:val="-3"/>
                <w:sz w:val="38"/>
              </w:rPr>
              <w:t> </w:t>
            </w:r>
            <w:r>
              <w:rPr>
                <w:b/>
                <w:sz w:val="38"/>
              </w:rPr>
              <w:t>down</w:t>
            </w:r>
          </w:p>
        </w:tc>
        <w:tc>
          <w:tcPr>
            <w:tcW w:w="2127" w:type="dxa"/>
          </w:tcPr>
          <w:p>
            <w:pPr>
              <w:pStyle w:val="TableParagraph"/>
              <w:spacing w:before="236"/>
              <w:ind w:left="107"/>
              <w:rPr>
                <w:sz w:val="38"/>
              </w:rPr>
            </w:pPr>
            <w:r>
              <w:rPr>
                <w:sz w:val="38"/>
              </w:rPr>
              <w:t>40–44 years:</w:t>
            </w:r>
          </w:p>
          <w:p>
            <w:pPr>
              <w:pStyle w:val="TableParagraph"/>
              <w:spacing w:before="68"/>
              <w:ind w:left="107"/>
              <w:rPr>
                <w:sz w:val="38"/>
              </w:rPr>
            </w:pPr>
            <w:r>
              <w:rPr>
                <w:sz w:val="38"/>
              </w:rPr>
              <w:t>1 mg</w:t>
            </w:r>
          </w:p>
        </w:tc>
        <w:tc>
          <w:tcPr>
            <w:tcW w:w="2693" w:type="dxa"/>
            <w:vMerge w:val="restart"/>
          </w:tcPr>
          <w:p>
            <w:pPr>
              <w:pStyle w:val="TableParagraph"/>
              <w:spacing w:line="276" w:lineRule="auto" w:before="236"/>
              <w:ind w:left="107" w:right="304"/>
              <w:rPr>
                <w:sz w:val="38"/>
              </w:rPr>
            </w:pPr>
            <w:r>
              <w:rPr>
                <w:sz w:val="38"/>
              </w:rPr>
              <w:t>The aim here is balancing the age-related loss</w:t>
            </w:r>
          </w:p>
        </w:tc>
      </w:tr>
      <w:tr>
        <w:trPr>
          <w:trHeight w:val="733" w:hRule="atLeast"/>
        </w:trPr>
        <w:tc>
          <w:tcPr>
            <w:tcW w:w="1951" w:type="dxa"/>
            <w:vMerge/>
            <w:tcBorders>
              <w:top w:val="nil"/>
            </w:tcBorders>
          </w:tcPr>
          <w:p>
            <w:pPr>
              <w:rPr>
                <w:sz w:val="2"/>
                <w:szCs w:val="2"/>
              </w:rPr>
            </w:pPr>
          </w:p>
        </w:tc>
        <w:tc>
          <w:tcPr>
            <w:tcW w:w="2127" w:type="dxa"/>
          </w:tcPr>
          <w:p>
            <w:pPr>
              <w:pStyle w:val="TableParagraph"/>
              <w:spacing w:before="238"/>
              <w:ind w:left="107"/>
              <w:rPr>
                <w:sz w:val="38"/>
              </w:rPr>
            </w:pPr>
            <w:r>
              <w:rPr>
                <w:sz w:val="38"/>
              </w:rPr>
              <w:t>45–54 years:</w:t>
            </w:r>
          </w:p>
        </w:tc>
        <w:tc>
          <w:tcPr>
            <w:tcW w:w="2693" w:type="dxa"/>
            <w:vMerge/>
            <w:tcBorders>
              <w:top w:val="nil"/>
            </w:tcBorders>
          </w:tcPr>
          <w:p>
            <w:pPr>
              <w:rPr>
                <w:sz w:val="2"/>
                <w:szCs w:val="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7"/>
        </w:rPr>
      </w:pPr>
      <w:r>
        <w:rPr/>
        <w:drawing>
          <wp:anchor distT="0" distB="0" distL="0" distR="0" allowOverlap="1" layoutInCell="1" locked="0" behindDoc="0" simplePos="0" relativeHeight="7160">
            <wp:simplePos x="0" y="0"/>
            <wp:positionH relativeFrom="page">
              <wp:posOffset>985998</wp:posOffset>
            </wp:positionH>
            <wp:positionV relativeFrom="paragraph">
              <wp:posOffset>151815</wp:posOffset>
            </wp:positionV>
            <wp:extent cx="6340974" cy="896874"/>
            <wp:effectExtent l="0" t="0" r="0" b="0"/>
            <wp:wrapTopAndBottom/>
            <wp:docPr id="361" name="image2.jpeg" descr=""/>
            <wp:cNvGraphicFramePr>
              <a:graphicFrameLocks noChangeAspect="1"/>
            </wp:cNvGraphicFramePr>
            <a:graphic>
              <a:graphicData uri="http://schemas.openxmlformats.org/drawingml/2006/picture">
                <pic:pic>
                  <pic:nvPicPr>
                    <pic:cNvPr id="362" name="image2.jpeg"/>
                    <pic:cNvPicPr/>
                  </pic:nvPicPr>
                  <pic:blipFill>
                    <a:blip r:embed="rId21" cstate="print"/>
                    <a:stretch>
                      <a:fillRect/>
                    </a:stretch>
                  </pic:blipFill>
                  <pic:spPr>
                    <a:xfrm>
                      <a:off x="0" y="0"/>
                      <a:ext cx="6340974" cy="896874"/>
                    </a:xfrm>
                    <a:prstGeom prst="rect">
                      <a:avLst/>
                    </a:prstGeom>
                  </pic:spPr>
                </pic:pic>
              </a:graphicData>
            </a:graphic>
          </wp:anchor>
        </w:drawing>
      </w:r>
    </w:p>
    <w:p>
      <w:pPr>
        <w:spacing w:after="0"/>
        <w:rPr>
          <w:sz w:val="17"/>
        </w:rPr>
        <w:sectPr>
          <w:pgSz w:w="14270" w:h="16850"/>
          <w:pgMar w:header="0" w:footer="527" w:top="1320" w:bottom="720" w:left="800" w:right="1280"/>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1"/>
        <w:gridCol w:w="2127"/>
        <w:gridCol w:w="2693"/>
      </w:tblGrid>
      <w:tr>
        <w:trPr>
          <w:trHeight w:val="454" w:hRule="atLeast"/>
        </w:trPr>
        <w:tc>
          <w:tcPr>
            <w:tcW w:w="1951" w:type="dxa"/>
            <w:tcBorders>
              <w:bottom w:val="nil"/>
            </w:tcBorders>
          </w:tcPr>
          <w:p>
            <w:pPr>
              <w:pStyle w:val="TableParagraph"/>
              <w:spacing w:line="424" w:lineRule="exact"/>
              <w:ind w:left="110"/>
              <w:rPr>
                <w:b/>
                <w:sz w:val="38"/>
              </w:rPr>
            </w:pPr>
            <w:r>
              <w:rPr>
                <w:b/>
                <w:sz w:val="38"/>
              </w:rPr>
              <w:t>ageing)*</w:t>
            </w:r>
          </w:p>
        </w:tc>
        <w:tc>
          <w:tcPr>
            <w:tcW w:w="2127" w:type="dxa"/>
            <w:vMerge w:val="restart"/>
          </w:tcPr>
          <w:p>
            <w:pPr>
              <w:pStyle w:val="TableParagraph"/>
              <w:spacing w:line="424" w:lineRule="exact"/>
              <w:ind w:left="107"/>
              <w:rPr>
                <w:sz w:val="38"/>
              </w:rPr>
            </w:pPr>
            <w:r>
              <w:rPr>
                <w:sz w:val="38"/>
              </w:rPr>
              <w:t>1–2 mg</w:t>
            </w:r>
          </w:p>
        </w:tc>
        <w:tc>
          <w:tcPr>
            <w:tcW w:w="2693" w:type="dxa"/>
            <w:tcBorders>
              <w:bottom w:val="nil"/>
            </w:tcBorders>
          </w:tcPr>
          <w:p>
            <w:pPr>
              <w:pStyle w:val="TableParagraph"/>
              <w:spacing w:line="422" w:lineRule="exact"/>
              <w:ind w:left="107"/>
              <w:rPr>
                <w:sz w:val="38"/>
              </w:rPr>
            </w:pPr>
            <w:r>
              <w:rPr>
                <w:sz w:val="38"/>
              </w:rPr>
              <w:t>of melatonin.</w:t>
            </w:r>
          </w:p>
        </w:tc>
      </w:tr>
      <w:tr>
        <w:trPr>
          <w:trHeight w:val="229" w:hRule="atLeast"/>
        </w:trPr>
        <w:tc>
          <w:tcPr>
            <w:tcW w:w="1951" w:type="dxa"/>
            <w:vMerge w:val="restart"/>
            <w:tcBorders>
              <w:top w:val="nil"/>
              <w:bottom w:val="nil"/>
            </w:tcBorders>
          </w:tcPr>
          <w:p>
            <w:pPr>
              <w:pStyle w:val="TableParagraph"/>
              <w:rPr>
                <w:rFonts w:ascii="Times New Roman"/>
                <w:sz w:val="36"/>
              </w:rPr>
            </w:pPr>
          </w:p>
        </w:tc>
        <w:tc>
          <w:tcPr>
            <w:tcW w:w="2127" w:type="dxa"/>
            <w:vMerge/>
            <w:tcBorders>
              <w:top w:val="nil"/>
            </w:tcBorders>
          </w:tcPr>
          <w:p>
            <w:pPr>
              <w:rPr>
                <w:sz w:val="2"/>
                <w:szCs w:val="2"/>
              </w:rPr>
            </w:pPr>
          </w:p>
        </w:tc>
        <w:tc>
          <w:tcPr>
            <w:tcW w:w="2693" w:type="dxa"/>
            <w:vMerge w:val="restart"/>
            <w:tcBorders>
              <w:top w:val="nil"/>
              <w:bottom w:val="nil"/>
            </w:tcBorders>
          </w:tcPr>
          <w:p>
            <w:pPr>
              <w:pStyle w:val="TableParagraph"/>
              <w:spacing w:line="424" w:lineRule="exact" w:before="20"/>
              <w:ind w:left="107"/>
              <w:rPr>
                <w:sz w:val="38"/>
              </w:rPr>
            </w:pPr>
            <w:r>
              <w:rPr>
                <w:sz w:val="38"/>
              </w:rPr>
              <w:t>Melatonin fed</w:t>
            </w:r>
          </w:p>
        </w:tc>
      </w:tr>
      <w:tr>
        <w:trPr>
          <w:trHeight w:val="224" w:hRule="atLeast"/>
        </w:trPr>
        <w:tc>
          <w:tcPr>
            <w:tcW w:w="1951" w:type="dxa"/>
            <w:vMerge/>
            <w:tcBorders>
              <w:top w:val="nil"/>
              <w:bottom w:val="nil"/>
            </w:tcBorders>
          </w:tcPr>
          <w:p>
            <w:pPr>
              <w:rPr>
                <w:sz w:val="2"/>
                <w:szCs w:val="2"/>
              </w:rPr>
            </w:pPr>
          </w:p>
        </w:tc>
        <w:tc>
          <w:tcPr>
            <w:tcW w:w="2127" w:type="dxa"/>
            <w:tcBorders>
              <w:bottom w:val="nil"/>
            </w:tcBorders>
          </w:tcPr>
          <w:p>
            <w:pPr>
              <w:pStyle w:val="TableParagraph"/>
              <w:rPr>
                <w:rFonts w:ascii="Times New Roman"/>
                <w:sz w:val="16"/>
              </w:rPr>
            </w:pPr>
          </w:p>
        </w:tc>
        <w:tc>
          <w:tcPr>
            <w:tcW w:w="2693" w:type="dxa"/>
            <w:vMerge/>
            <w:tcBorders>
              <w:top w:val="nil"/>
              <w:bottom w:val="nil"/>
            </w:tcBorders>
          </w:tcPr>
          <w:p>
            <w:pPr>
              <w:rPr>
                <w:sz w:val="2"/>
                <w:szCs w:val="2"/>
              </w:rPr>
            </w:pPr>
          </w:p>
        </w:tc>
      </w:tr>
      <w:tr>
        <w:trPr>
          <w:trHeight w:val="493" w:hRule="atLeast"/>
        </w:trPr>
        <w:tc>
          <w:tcPr>
            <w:tcW w:w="1951" w:type="dxa"/>
            <w:tcBorders>
              <w:top w:val="nil"/>
              <w:bottom w:val="nil"/>
            </w:tcBorders>
          </w:tcPr>
          <w:p>
            <w:pPr>
              <w:pStyle w:val="TableParagraph"/>
              <w:rPr>
                <w:rFonts w:ascii="Times New Roman"/>
                <w:sz w:val="36"/>
              </w:rPr>
            </w:pPr>
          </w:p>
        </w:tc>
        <w:tc>
          <w:tcPr>
            <w:tcW w:w="2127" w:type="dxa"/>
            <w:tcBorders>
              <w:top w:val="nil"/>
              <w:bottom w:val="nil"/>
            </w:tcBorders>
          </w:tcPr>
          <w:p>
            <w:pPr>
              <w:pStyle w:val="TableParagraph"/>
              <w:spacing w:before="7"/>
              <w:ind w:left="107"/>
              <w:rPr>
                <w:sz w:val="38"/>
              </w:rPr>
            </w:pPr>
            <w:r>
              <w:rPr>
                <w:sz w:val="38"/>
              </w:rPr>
              <w:t>55–64 years:</w:t>
            </w:r>
          </w:p>
        </w:tc>
        <w:tc>
          <w:tcPr>
            <w:tcW w:w="2693" w:type="dxa"/>
            <w:tcBorders>
              <w:top w:val="nil"/>
              <w:bottom w:val="nil"/>
            </w:tcBorders>
          </w:tcPr>
          <w:p>
            <w:pPr>
              <w:pStyle w:val="TableParagraph"/>
              <w:spacing w:line="426" w:lineRule="exact" w:before="47"/>
              <w:ind w:left="107"/>
              <w:rPr>
                <w:sz w:val="38"/>
              </w:rPr>
            </w:pPr>
            <w:r>
              <w:rPr>
                <w:sz w:val="38"/>
              </w:rPr>
              <w:t>into the organ-</w:t>
            </w:r>
          </w:p>
        </w:tc>
      </w:tr>
      <w:tr>
        <w:trPr>
          <w:trHeight w:val="511" w:hRule="atLeast"/>
        </w:trPr>
        <w:tc>
          <w:tcPr>
            <w:tcW w:w="1951" w:type="dxa"/>
            <w:tcBorders>
              <w:top w:val="nil"/>
              <w:bottom w:val="nil"/>
            </w:tcBorders>
          </w:tcPr>
          <w:p>
            <w:pPr>
              <w:pStyle w:val="TableParagraph"/>
              <w:rPr>
                <w:rFonts w:ascii="Times New Roman"/>
                <w:sz w:val="36"/>
              </w:rPr>
            </w:pPr>
          </w:p>
        </w:tc>
        <w:tc>
          <w:tcPr>
            <w:tcW w:w="2127" w:type="dxa"/>
            <w:tcBorders>
              <w:top w:val="nil"/>
              <w:bottom w:val="nil"/>
            </w:tcBorders>
          </w:tcPr>
          <w:p>
            <w:pPr>
              <w:pStyle w:val="TableParagraph"/>
              <w:spacing w:before="8"/>
              <w:ind w:left="107"/>
              <w:rPr>
                <w:sz w:val="38"/>
              </w:rPr>
            </w:pPr>
            <w:r>
              <w:rPr>
                <w:sz w:val="38"/>
              </w:rPr>
              <w:t>2–3 mg</w:t>
            </w:r>
          </w:p>
        </w:tc>
        <w:tc>
          <w:tcPr>
            <w:tcW w:w="2693" w:type="dxa"/>
            <w:tcBorders>
              <w:top w:val="nil"/>
              <w:bottom w:val="nil"/>
            </w:tcBorders>
          </w:tcPr>
          <w:p>
            <w:pPr>
              <w:pStyle w:val="TableParagraph"/>
              <w:spacing w:before="46"/>
              <w:ind w:left="107"/>
              <w:rPr>
                <w:sz w:val="38"/>
              </w:rPr>
            </w:pPr>
            <w:r>
              <w:rPr>
                <w:sz w:val="38"/>
              </w:rPr>
              <w:t>ism from the</w:t>
            </w:r>
          </w:p>
        </w:tc>
      </w:tr>
      <w:tr>
        <w:trPr>
          <w:trHeight w:val="193" w:hRule="atLeast"/>
        </w:trPr>
        <w:tc>
          <w:tcPr>
            <w:tcW w:w="1951" w:type="dxa"/>
            <w:vMerge w:val="restart"/>
            <w:tcBorders>
              <w:top w:val="nil"/>
              <w:bottom w:val="nil"/>
            </w:tcBorders>
          </w:tcPr>
          <w:p>
            <w:pPr>
              <w:pStyle w:val="TableParagraph"/>
              <w:rPr>
                <w:rFonts w:ascii="Times New Roman"/>
                <w:sz w:val="36"/>
              </w:rPr>
            </w:pPr>
          </w:p>
        </w:tc>
        <w:tc>
          <w:tcPr>
            <w:tcW w:w="2127" w:type="dxa"/>
            <w:tcBorders>
              <w:top w:val="nil"/>
            </w:tcBorders>
          </w:tcPr>
          <w:p>
            <w:pPr>
              <w:pStyle w:val="TableParagraph"/>
              <w:rPr>
                <w:rFonts w:ascii="Times New Roman"/>
                <w:sz w:val="12"/>
              </w:rPr>
            </w:pPr>
          </w:p>
        </w:tc>
        <w:tc>
          <w:tcPr>
            <w:tcW w:w="2693" w:type="dxa"/>
            <w:vMerge w:val="restart"/>
            <w:tcBorders>
              <w:top w:val="nil"/>
              <w:bottom w:val="nil"/>
            </w:tcBorders>
          </w:tcPr>
          <w:p>
            <w:pPr>
              <w:pStyle w:val="TableParagraph"/>
              <w:spacing w:before="27"/>
              <w:ind w:left="107"/>
              <w:rPr>
                <w:sz w:val="38"/>
              </w:rPr>
            </w:pPr>
            <w:r>
              <w:rPr>
                <w:sz w:val="38"/>
              </w:rPr>
              <w:t>outside supports</w:t>
            </w:r>
          </w:p>
          <w:p>
            <w:pPr>
              <w:pStyle w:val="TableParagraph"/>
              <w:spacing w:line="490" w:lineRule="atLeast" w:before="2"/>
              <w:ind w:left="107" w:right="165"/>
              <w:rPr>
                <w:sz w:val="38"/>
              </w:rPr>
            </w:pPr>
            <w:r>
              <w:rPr>
                <w:sz w:val="38"/>
              </w:rPr>
              <w:t>the regeneration of the pineal</w:t>
            </w:r>
          </w:p>
        </w:tc>
      </w:tr>
      <w:tr>
        <w:trPr>
          <w:trHeight w:val="1271" w:hRule="atLeast"/>
        </w:trPr>
        <w:tc>
          <w:tcPr>
            <w:tcW w:w="1951" w:type="dxa"/>
            <w:vMerge/>
            <w:tcBorders>
              <w:top w:val="nil"/>
              <w:bottom w:val="nil"/>
            </w:tcBorders>
          </w:tcPr>
          <w:p>
            <w:pPr>
              <w:rPr>
                <w:sz w:val="2"/>
                <w:szCs w:val="2"/>
              </w:rPr>
            </w:pPr>
          </w:p>
        </w:tc>
        <w:tc>
          <w:tcPr>
            <w:tcW w:w="2127" w:type="dxa"/>
            <w:tcBorders>
              <w:bottom w:val="nil"/>
            </w:tcBorders>
          </w:tcPr>
          <w:p>
            <w:pPr>
              <w:pStyle w:val="TableParagraph"/>
              <w:spacing w:before="231"/>
              <w:ind w:left="107"/>
              <w:rPr>
                <w:sz w:val="38"/>
              </w:rPr>
            </w:pPr>
            <w:r>
              <w:rPr>
                <w:sz w:val="38"/>
              </w:rPr>
              <w:t>65–74 years:</w:t>
            </w:r>
          </w:p>
          <w:p>
            <w:pPr>
              <w:pStyle w:val="TableParagraph"/>
              <w:spacing w:before="67"/>
              <w:ind w:left="107"/>
              <w:rPr>
                <w:sz w:val="38"/>
              </w:rPr>
            </w:pPr>
            <w:r>
              <w:rPr>
                <w:sz w:val="38"/>
              </w:rPr>
              <w:t>3–6 mg</w:t>
            </w:r>
          </w:p>
        </w:tc>
        <w:tc>
          <w:tcPr>
            <w:tcW w:w="2693" w:type="dxa"/>
            <w:vMerge/>
            <w:tcBorders>
              <w:top w:val="nil"/>
              <w:bottom w:val="nil"/>
            </w:tcBorders>
          </w:tcPr>
          <w:p>
            <w:pPr>
              <w:rPr>
                <w:sz w:val="2"/>
                <w:szCs w:val="2"/>
              </w:rPr>
            </w:pPr>
          </w:p>
        </w:tc>
      </w:tr>
      <w:tr>
        <w:trPr>
          <w:trHeight w:val="151" w:hRule="atLeast"/>
        </w:trPr>
        <w:tc>
          <w:tcPr>
            <w:tcW w:w="1951" w:type="dxa"/>
            <w:vMerge w:val="restart"/>
            <w:tcBorders>
              <w:top w:val="nil"/>
              <w:bottom w:val="nil"/>
            </w:tcBorders>
          </w:tcPr>
          <w:p>
            <w:pPr>
              <w:pStyle w:val="TableParagraph"/>
              <w:rPr>
                <w:rFonts w:ascii="Times New Roman"/>
                <w:sz w:val="36"/>
              </w:rPr>
            </w:pPr>
          </w:p>
        </w:tc>
        <w:tc>
          <w:tcPr>
            <w:tcW w:w="2127" w:type="dxa"/>
            <w:tcBorders>
              <w:top w:val="nil"/>
            </w:tcBorders>
          </w:tcPr>
          <w:p>
            <w:pPr>
              <w:pStyle w:val="TableParagraph"/>
              <w:rPr>
                <w:rFonts w:ascii="Times New Roman"/>
                <w:sz w:val="8"/>
              </w:rPr>
            </w:pPr>
          </w:p>
        </w:tc>
        <w:tc>
          <w:tcPr>
            <w:tcW w:w="2693" w:type="dxa"/>
            <w:vMerge w:val="restart"/>
            <w:tcBorders>
              <w:top w:val="nil"/>
              <w:bottom w:val="nil"/>
            </w:tcBorders>
          </w:tcPr>
          <w:p>
            <w:pPr>
              <w:pStyle w:val="TableParagraph"/>
              <w:spacing w:line="276" w:lineRule="auto" w:before="26"/>
              <w:ind w:left="107" w:right="525"/>
              <w:rPr>
                <w:sz w:val="38"/>
              </w:rPr>
            </w:pPr>
            <w:r>
              <w:rPr>
                <w:sz w:val="38"/>
              </w:rPr>
              <w:t>gland and can thus reset the</w:t>
            </w:r>
          </w:p>
          <w:p>
            <w:pPr>
              <w:pStyle w:val="TableParagraph"/>
              <w:spacing w:before="1"/>
              <w:ind w:left="107"/>
              <w:rPr>
                <w:sz w:val="38"/>
              </w:rPr>
            </w:pPr>
            <w:r>
              <w:rPr>
                <w:sz w:val="38"/>
              </w:rPr>
              <w:t>life clock to</w:t>
            </w:r>
          </w:p>
        </w:tc>
      </w:tr>
      <w:tr>
        <w:trPr>
          <w:trHeight w:val="1314" w:hRule="atLeast"/>
        </w:trPr>
        <w:tc>
          <w:tcPr>
            <w:tcW w:w="1951" w:type="dxa"/>
            <w:vMerge/>
            <w:tcBorders>
              <w:top w:val="nil"/>
              <w:bottom w:val="nil"/>
            </w:tcBorders>
          </w:tcPr>
          <w:p>
            <w:pPr>
              <w:rPr>
                <w:sz w:val="2"/>
                <w:szCs w:val="2"/>
              </w:rPr>
            </w:pPr>
          </w:p>
        </w:tc>
        <w:tc>
          <w:tcPr>
            <w:tcW w:w="2127" w:type="dxa"/>
            <w:tcBorders>
              <w:bottom w:val="nil"/>
            </w:tcBorders>
          </w:tcPr>
          <w:p>
            <w:pPr>
              <w:pStyle w:val="TableParagraph"/>
              <w:spacing w:before="232"/>
              <w:ind w:left="107"/>
              <w:rPr>
                <w:sz w:val="38"/>
              </w:rPr>
            </w:pPr>
            <w:r>
              <w:rPr>
                <w:sz w:val="38"/>
              </w:rPr>
              <w:t>&lt; 74 years:</w:t>
            </w:r>
          </w:p>
          <w:p>
            <w:pPr>
              <w:pStyle w:val="TableParagraph"/>
              <w:spacing w:before="67"/>
              <w:ind w:left="107"/>
              <w:rPr>
                <w:sz w:val="38"/>
              </w:rPr>
            </w:pPr>
            <w:r>
              <w:rPr>
                <w:sz w:val="38"/>
              </w:rPr>
              <w:t>4–6 mg</w:t>
            </w:r>
          </w:p>
        </w:tc>
        <w:tc>
          <w:tcPr>
            <w:tcW w:w="2693" w:type="dxa"/>
            <w:vMerge/>
            <w:tcBorders>
              <w:top w:val="nil"/>
              <w:bottom w:val="nil"/>
            </w:tcBorders>
          </w:tcPr>
          <w:p>
            <w:pPr>
              <w:rPr>
                <w:sz w:val="2"/>
                <w:szCs w:val="2"/>
              </w:rPr>
            </w:pPr>
          </w:p>
        </w:tc>
      </w:tr>
      <w:tr>
        <w:trPr>
          <w:trHeight w:val="725" w:hRule="atLeast"/>
        </w:trPr>
        <w:tc>
          <w:tcPr>
            <w:tcW w:w="1951" w:type="dxa"/>
            <w:tcBorders>
              <w:top w:val="nil"/>
            </w:tcBorders>
          </w:tcPr>
          <w:p>
            <w:pPr>
              <w:pStyle w:val="TableParagraph"/>
              <w:rPr>
                <w:rFonts w:ascii="Times New Roman"/>
                <w:sz w:val="36"/>
              </w:rPr>
            </w:pPr>
          </w:p>
        </w:tc>
        <w:tc>
          <w:tcPr>
            <w:tcW w:w="2127" w:type="dxa"/>
            <w:tcBorders>
              <w:top w:val="nil"/>
            </w:tcBorders>
          </w:tcPr>
          <w:p>
            <w:pPr>
              <w:pStyle w:val="TableParagraph"/>
              <w:rPr>
                <w:rFonts w:ascii="Times New Roman"/>
                <w:sz w:val="36"/>
              </w:rPr>
            </w:pPr>
          </w:p>
        </w:tc>
        <w:tc>
          <w:tcPr>
            <w:tcW w:w="2693" w:type="dxa"/>
            <w:tcBorders>
              <w:top w:val="nil"/>
            </w:tcBorders>
          </w:tcPr>
          <w:p>
            <w:pPr>
              <w:pStyle w:val="TableParagraph"/>
              <w:spacing w:before="28"/>
              <w:ind w:left="107"/>
              <w:rPr>
                <w:sz w:val="38"/>
              </w:rPr>
            </w:pPr>
            <w:r>
              <w:rPr>
                <w:sz w:val="38"/>
              </w:rPr>
              <w:t>some extent.</w:t>
            </w:r>
          </w:p>
        </w:tc>
      </w:tr>
      <w:tr>
        <w:trPr>
          <w:trHeight w:val="697" w:hRule="atLeast"/>
        </w:trPr>
        <w:tc>
          <w:tcPr>
            <w:tcW w:w="1951" w:type="dxa"/>
            <w:tcBorders>
              <w:bottom w:val="nil"/>
            </w:tcBorders>
          </w:tcPr>
          <w:p>
            <w:pPr>
              <w:pStyle w:val="TableParagraph"/>
              <w:spacing w:before="231"/>
              <w:ind w:left="110"/>
              <w:rPr>
                <w:b/>
                <w:sz w:val="38"/>
              </w:rPr>
            </w:pPr>
            <w:r>
              <w:rPr>
                <w:b/>
                <w:sz w:val="38"/>
              </w:rPr>
              <w:t>Problems</w:t>
            </w:r>
          </w:p>
        </w:tc>
        <w:tc>
          <w:tcPr>
            <w:tcW w:w="2127" w:type="dxa"/>
            <w:tcBorders>
              <w:bottom w:val="nil"/>
            </w:tcBorders>
          </w:tcPr>
          <w:p>
            <w:pPr>
              <w:pStyle w:val="TableParagraph"/>
              <w:spacing w:before="234"/>
              <w:ind w:left="107"/>
              <w:rPr>
                <w:sz w:val="38"/>
              </w:rPr>
            </w:pPr>
            <w:r>
              <w:rPr>
                <w:sz w:val="38"/>
              </w:rPr>
              <w:t>1–6 mg</w:t>
            </w:r>
          </w:p>
        </w:tc>
        <w:tc>
          <w:tcPr>
            <w:tcW w:w="2693" w:type="dxa"/>
            <w:tcBorders>
              <w:bottom w:val="nil"/>
            </w:tcBorders>
          </w:tcPr>
          <w:p>
            <w:pPr>
              <w:pStyle w:val="TableParagraph"/>
              <w:spacing w:before="231"/>
              <w:ind w:left="107"/>
              <w:rPr>
                <w:sz w:val="38"/>
              </w:rPr>
            </w:pPr>
            <w:r>
              <w:rPr>
                <w:sz w:val="38"/>
              </w:rPr>
              <w:t>Start with 1 mg;</w:t>
            </w:r>
          </w:p>
        </w:tc>
      </w:tr>
      <w:tr>
        <w:trPr>
          <w:trHeight w:val="490" w:hRule="atLeast"/>
        </w:trPr>
        <w:tc>
          <w:tcPr>
            <w:tcW w:w="1951" w:type="dxa"/>
            <w:tcBorders>
              <w:top w:val="nil"/>
              <w:bottom w:val="nil"/>
            </w:tcBorders>
          </w:tcPr>
          <w:p>
            <w:pPr>
              <w:pStyle w:val="TableParagraph"/>
              <w:spacing w:before="26"/>
              <w:ind w:left="110"/>
              <w:rPr>
                <w:b/>
                <w:sz w:val="38"/>
              </w:rPr>
            </w:pPr>
            <w:r>
              <w:rPr>
                <w:b/>
                <w:sz w:val="38"/>
              </w:rPr>
              <w:t>falling</w:t>
            </w:r>
          </w:p>
        </w:tc>
        <w:tc>
          <w:tcPr>
            <w:tcW w:w="2127" w:type="dxa"/>
            <w:tcBorders>
              <w:top w:val="nil"/>
              <w:bottom w:val="nil"/>
            </w:tcBorders>
          </w:tcPr>
          <w:p>
            <w:pPr>
              <w:pStyle w:val="TableParagraph"/>
              <w:rPr>
                <w:rFonts w:ascii="Times New Roman"/>
                <w:sz w:val="36"/>
              </w:rPr>
            </w:pPr>
          </w:p>
        </w:tc>
        <w:tc>
          <w:tcPr>
            <w:tcW w:w="2693" w:type="dxa"/>
            <w:tcBorders>
              <w:top w:val="nil"/>
              <w:bottom w:val="nil"/>
            </w:tcBorders>
          </w:tcPr>
          <w:p>
            <w:pPr>
              <w:pStyle w:val="TableParagraph"/>
              <w:spacing w:before="26"/>
              <w:ind w:left="107"/>
              <w:rPr>
                <w:sz w:val="38"/>
              </w:rPr>
            </w:pPr>
            <w:r>
              <w:rPr>
                <w:sz w:val="38"/>
              </w:rPr>
              <w:t>if sleep does not</w:t>
            </w:r>
          </w:p>
        </w:tc>
      </w:tr>
      <w:tr>
        <w:trPr>
          <w:trHeight w:val="493" w:hRule="atLeast"/>
        </w:trPr>
        <w:tc>
          <w:tcPr>
            <w:tcW w:w="1951" w:type="dxa"/>
            <w:tcBorders>
              <w:top w:val="nil"/>
              <w:bottom w:val="nil"/>
            </w:tcBorders>
          </w:tcPr>
          <w:p>
            <w:pPr>
              <w:pStyle w:val="TableParagraph"/>
              <w:spacing w:before="29"/>
              <w:ind w:left="110"/>
              <w:rPr>
                <w:b/>
                <w:sz w:val="38"/>
              </w:rPr>
            </w:pPr>
            <w:r>
              <w:rPr>
                <w:b/>
                <w:sz w:val="38"/>
              </w:rPr>
              <w:t>asleep</w:t>
            </w:r>
          </w:p>
        </w:tc>
        <w:tc>
          <w:tcPr>
            <w:tcW w:w="2127" w:type="dxa"/>
            <w:tcBorders>
              <w:top w:val="nil"/>
              <w:bottom w:val="nil"/>
            </w:tcBorders>
          </w:tcPr>
          <w:p>
            <w:pPr>
              <w:pStyle w:val="TableParagraph"/>
              <w:rPr>
                <w:rFonts w:ascii="Times New Roman"/>
                <w:sz w:val="36"/>
              </w:rPr>
            </w:pPr>
          </w:p>
        </w:tc>
        <w:tc>
          <w:tcPr>
            <w:tcW w:w="2693" w:type="dxa"/>
            <w:tcBorders>
              <w:top w:val="nil"/>
              <w:bottom w:val="nil"/>
            </w:tcBorders>
          </w:tcPr>
          <w:p>
            <w:pPr>
              <w:pStyle w:val="TableParagraph"/>
              <w:spacing w:before="27"/>
              <w:ind w:left="107"/>
              <w:rPr>
                <w:sz w:val="38"/>
              </w:rPr>
            </w:pPr>
            <w:r>
              <w:rPr>
                <w:sz w:val="38"/>
              </w:rPr>
              <w:t>set in after 30</w:t>
            </w:r>
          </w:p>
        </w:tc>
      </w:tr>
      <w:tr>
        <w:trPr>
          <w:trHeight w:val="490" w:hRule="atLeast"/>
        </w:trPr>
        <w:tc>
          <w:tcPr>
            <w:tcW w:w="1951" w:type="dxa"/>
            <w:tcBorders>
              <w:top w:val="nil"/>
              <w:bottom w:val="nil"/>
            </w:tcBorders>
          </w:tcPr>
          <w:p>
            <w:pPr>
              <w:pStyle w:val="TableParagraph"/>
              <w:rPr>
                <w:rFonts w:ascii="Times New Roman"/>
                <w:sz w:val="36"/>
              </w:rPr>
            </w:pPr>
          </w:p>
        </w:tc>
        <w:tc>
          <w:tcPr>
            <w:tcW w:w="2127" w:type="dxa"/>
            <w:tcBorders>
              <w:top w:val="nil"/>
              <w:bottom w:val="nil"/>
            </w:tcBorders>
          </w:tcPr>
          <w:p>
            <w:pPr>
              <w:pStyle w:val="TableParagraph"/>
              <w:rPr>
                <w:rFonts w:ascii="Times New Roman"/>
                <w:sz w:val="36"/>
              </w:rPr>
            </w:pPr>
          </w:p>
        </w:tc>
        <w:tc>
          <w:tcPr>
            <w:tcW w:w="2693" w:type="dxa"/>
            <w:tcBorders>
              <w:top w:val="nil"/>
              <w:bottom w:val="nil"/>
            </w:tcBorders>
          </w:tcPr>
          <w:p>
            <w:pPr>
              <w:pStyle w:val="TableParagraph"/>
              <w:spacing w:before="26"/>
              <w:ind w:left="107"/>
              <w:rPr>
                <w:sz w:val="38"/>
              </w:rPr>
            </w:pPr>
            <w:r>
              <w:rPr>
                <w:sz w:val="38"/>
              </w:rPr>
              <w:t>mins, add an-</w:t>
            </w:r>
          </w:p>
        </w:tc>
      </w:tr>
      <w:tr>
        <w:trPr>
          <w:trHeight w:val="492" w:hRule="atLeast"/>
        </w:trPr>
        <w:tc>
          <w:tcPr>
            <w:tcW w:w="1951" w:type="dxa"/>
            <w:tcBorders>
              <w:top w:val="nil"/>
              <w:bottom w:val="nil"/>
            </w:tcBorders>
          </w:tcPr>
          <w:p>
            <w:pPr>
              <w:pStyle w:val="TableParagraph"/>
              <w:rPr>
                <w:rFonts w:ascii="Times New Roman"/>
                <w:sz w:val="36"/>
              </w:rPr>
            </w:pPr>
          </w:p>
        </w:tc>
        <w:tc>
          <w:tcPr>
            <w:tcW w:w="2127" w:type="dxa"/>
            <w:tcBorders>
              <w:top w:val="nil"/>
              <w:bottom w:val="nil"/>
            </w:tcBorders>
          </w:tcPr>
          <w:p>
            <w:pPr>
              <w:pStyle w:val="TableParagraph"/>
              <w:rPr>
                <w:rFonts w:ascii="Times New Roman"/>
                <w:sz w:val="36"/>
              </w:rPr>
            </w:pPr>
          </w:p>
        </w:tc>
        <w:tc>
          <w:tcPr>
            <w:tcW w:w="2693" w:type="dxa"/>
            <w:tcBorders>
              <w:top w:val="nil"/>
              <w:bottom w:val="nil"/>
            </w:tcBorders>
          </w:tcPr>
          <w:p>
            <w:pPr>
              <w:pStyle w:val="TableParagraph"/>
              <w:spacing w:before="27"/>
              <w:ind w:left="107"/>
              <w:rPr>
                <w:sz w:val="38"/>
              </w:rPr>
            </w:pPr>
            <w:r>
              <w:rPr>
                <w:sz w:val="38"/>
              </w:rPr>
              <w:t>other 1 mg, if</w:t>
            </w:r>
          </w:p>
        </w:tc>
      </w:tr>
      <w:tr>
        <w:trPr>
          <w:trHeight w:val="490" w:hRule="atLeast"/>
        </w:trPr>
        <w:tc>
          <w:tcPr>
            <w:tcW w:w="1951" w:type="dxa"/>
            <w:tcBorders>
              <w:top w:val="nil"/>
              <w:bottom w:val="nil"/>
            </w:tcBorders>
          </w:tcPr>
          <w:p>
            <w:pPr>
              <w:pStyle w:val="TableParagraph"/>
              <w:rPr>
                <w:rFonts w:ascii="Times New Roman"/>
                <w:sz w:val="36"/>
              </w:rPr>
            </w:pPr>
          </w:p>
        </w:tc>
        <w:tc>
          <w:tcPr>
            <w:tcW w:w="2127" w:type="dxa"/>
            <w:tcBorders>
              <w:top w:val="nil"/>
              <w:bottom w:val="nil"/>
            </w:tcBorders>
          </w:tcPr>
          <w:p>
            <w:pPr>
              <w:pStyle w:val="TableParagraph"/>
              <w:rPr>
                <w:rFonts w:ascii="Times New Roman"/>
                <w:sz w:val="36"/>
              </w:rPr>
            </w:pPr>
          </w:p>
        </w:tc>
        <w:tc>
          <w:tcPr>
            <w:tcW w:w="2693" w:type="dxa"/>
            <w:tcBorders>
              <w:top w:val="nil"/>
              <w:bottom w:val="nil"/>
            </w:tcBorders>
          </w:tcPr>
          <w:p>
            <w:pPr>
              <w:pStyle w:val="TableParagraph"/>
              <w:spacing w:before="27"/>
              <w:ind w:left="107"/>
              <w:rPr>
                <w:sz w:val="38"/>
              </w:rPr>
            </w:pPr>
            <w:r>
              <w:rPr>
                <w:sz w:val="38"/>
              </w:rPr>
              <w:t>sleep still does</w:t>
            </w:r>
          </w:p>
        </w:tc>
      </w:tr>
      <w:tr>
        <w:trPr>
          <w:trHeight w:val="490" w:hRule="atLeast"/>
        </w:trPr>
        <w:tc>
          <w:tcPr>
            <w:tcW w:w="1951" w:type="dxa"/>
            <w:tcBorders>
              <w:top w:val="nil"/>
              <w:bottom w:val="nil"/>
            </w:tcBorders>
          </w:tcPr>
          <w:p>
            <w:pPr>
              <w:pStyle w:val="TableParagraph"/>
              <w:rPr>
                <w:rFonts w:ascii="Times New Roman"/>
                <w:sz w:val="36"/>
              </w:rPr>
            </w:pPr>
          </w:p>
        </w:tc>
        <w:tc>
          <w:tcPr>
            <w:tcW w:w="2127" w:type="dxa"/>
            <w:tcBorders>
              <w:top w:val="nil"/>
              <w:bottom w:val="nil"/>
            </w:tcBorders>
          </w:tcPr>
          <w:p>
            <w:pPr>
              <w:pStyle w:val="TableParagraph"/>
              <w:rPr>
                <w:rFonts w:ascii="Times New Roman"/>
                <w:sz w:val="36"/>
              </w:rPr>
            </w:pPr>
          </w:p>
        </w:tc>
        <w:tc>
          <w:tcPr>
            <w:tcW w:w="2693" w:type="dxa"/>
            <w:tcBorders>
              <w:top w:val="nil"/>
              <w:bottom w:val="nil"/>
            </w:tcBorders>
          </w:tcPr>
          <w:p>
            <w:pPr>
              <w:pStyle w:val="TableParagraph"/>
              <w:spacing w:before="26"/>
              <w:ind w:left="107"/>
              <w:rPr>
                <w:sz w:val="38"/>
              </w:rPr>
            </w:pPr>
            <w:r>
              <w:rPr>
                <w:sz w:val="38"/>
              </w:rPr>
              <w:t>not set in after</w:t>
            </w:r>
          </w:p>
        </w:tc>
      </w:tr>
      <w:tr>
        <w:trPr>
          <w:trHeight w:val="491" w:hRule="atLeast"/>
        </w:trPr>
        <w:tc>
          <w:tcPr>
            <w:tcW w:w="1951" w:type="dxa"/>
            <w:tcBorders>
              <w:top w:val="nil"/>
              <w:bottom w:val="nil"/>
            </w:tcBorders>
          </w:tcPr>
          <w:p>
            <w:pPr>
              <w:pStyle w:val="TableParagraph"/>
              <w:rPr>
                <w:rFonts w:ascii="Times New Roman"/>
                <w:sz w:val="36"/>
              </w:rPr>
            </w:pPr>
          </w:p>
        </w:tc>
        <w:tc>
          <w:tcPr>
            <w:tcW w:w="2127" w:type="dxa"/>
            <w:tcBorders>
              <w:top w:val="nil"/>
              <w:bottom w:val="nil"/>
            </w:tcBorders>
          </w:tcPr>
          <w:p>
            <w:pPr>
              <w:pStyle w:val="TableParagraph"/>
              <w:rPr>
                <w:rFonts w:ascii="Times New Roman"/>
                <w:sz w:val="36"/>
              </w:rPr>
            </w:pPr>
          </w:p>
        </w:tc>
        <w:tc>
          <w:tcPr>
            <w:tcW w:w="2693" w:type="dxa"/>
            <w:tcBorders>
              <w:top w:val="nil"/>
              <w:bottom w:val="nil"/>
            </w:tcBorders>
          </w:tcPr>
          <w:p>
            <w:pPr>
              <w:pStyle w:val="TableParagraph"/>
              <w:spacing w:before="27"/>
              <w:ind w:left="107"/>
              <w:rPr>
                <w:sz w:val="38"/>
              </w:rPr>
            </w:pPr>
            <w:r>
              <w:rPr>
                <w:sz w:val="38"/>
              </w:rPr>
              <w:t>30 mins, add a</w:t>
            </w:r>
          </w:p>
        </w:tc>
      </w:tr>
      <w:tr>
        <w:trPr>
          <w:trHeight w:val="492" w:hRule="atLeast"/>
        </w:trPr>
        <w:tc>
          <w:tcPr>
            <w:tcW w:w="1951" w:type="dxa"/>
            <w:tcBorders>
              <w:top w:val="nil"/>
              <w:bottom w:val="nil"/>
            </w:tcBorders>
          </w:tcPr>
          <w:p>
            <w:pPr>
              <w:pStyle w:val="TableParagraph"/>
              <w:rPr>
                <w:rFonts w:ascii="Times New Roman"/>
                <w:sz w:val="36"/>
              </w:rPr>
            </w:pPr>
          </w:p>
        </w:tc>
        <w:tc>
          <w:tcPr>
            <w:tcW w:w="2127" w:type="dxa"/>
            <w:tcBorders>
              <w:top w:val="nil"/>
              <w:bottom w:val="nil"/>
            </w:tcBorders>
          </w:tcPr>
          <w:p>
            <w:pPr>
              <w:pStyle w:val="TableParagraph"/>
              <w:rPr>
                <w:rFonts w:ascii="Times New Roman"/>
                <w:sz w:val="36"/>
              </w:rPr>
            </w:pPr>
          </w:p>
        </w:tc>
        <w:tc>
          <w:tcPr>
            <w:tcW w:w="2693" w:type="dxa"/>
            <w:tcBorders>
              <w:top w:val="nil"/>
              <w:bottom w:val="nil"/>
            </w:tcBorders>
          </w:tcPr>
          <w:p>
            <w:pPr>
              <w:pStyle w:val="TableParagraph"/>
              <w:spacing w:before="27"/>
              <w:ind w:left="107"/>
              <w:rPr>
                <w:sz w:val="38"/>
              </w:rPr>
            </w:pPr>
            <w:r>
              <w:rPr>
                <w:sz w:val="38"/>
              </w:rPr>
              <w:t>third pill of 1</w:t>
            </w:r>
          </w:p>
        </w:tc>
      </w:tr>
      <w:tr>
        <w:trPr>
          <w:trHeight w:val="492" w:hRule="atLeast"/>
        </w:trPr>
        <w:tc>
          <w:tcPr>
            <w:tcW w:w="1951" w:type="dxa"/>
            <w:tcBorders>
              <w:top w:val="nil"/>
              <w:bottom w:val="nil"/>
            </w:tcBorders>
          </w:tcPr>
          <w:p>
            <w:pPr>
              <w:pStyle w:val="TableParagraph"/>
              <w:rPr>
                <w:rFonts w:ascii="Times New Roman"/>
                <w:sz w:val="36"/>
              </w:rPr>
            </w:pPr>
          </w:p>
        </w:tc>
        <w:tc>
          <w:tcPr>
            <w:tcW w:w="2127" w:type="dxa"/>
            <w:tcBorders>
              <w:top w:val="nil"/>
              <w:bottom w:val="nil"/>
            </w:tcBorders>
          </w:tcPr>
          <w:p>
            <w:pPr>
              <w:pStyle w:val="TableParagraph"/>
              <w:rPr>
                <w:rFonts w:ascii="Times New Roman"/>
                <w:sz w:val="36"/>
              </w:rPr>
            </w:pPr>
          </w:p>
        </w:tc>
        <w:tc>
          <w:tcPr>
            <w:tcW w:w="2693" w:type="dxa"/>
            <w:tcBorders>
              <w:top w:val="nil"/>
              <w:bottom w:val="nil"/>
            </w:tcBorders>
          </w:tcPr>
          <w:p>
            <w:pPr>
              <w:pStyle w:val="TableParagraph"/>
              <w:spacing w:before="27"/>
              <w:ind w:left="107"/>
              <w:rPr>
                <w:sz w:val="38"/>
              </w:rPr>
            </w:pPr>
            <w:r>
              <w:rPr>
                <w:sz w:val="38"/>
              </w:rPr>
              <w:t>mg. Continue</w:t>
            </w:r>
          </w:p>
        </w:tc>
      </w:tr>
      <w:tr>
        <w:trPr>
          <w:trHeight w:val="493" w:hRule="atLeast"/>
        </w:trPr>
        <w:tc>
          <w:tcPr>
            <w:tcW w:w="1951" w:type="dxa"/>
            <w:tcBorders>
              <w:top w:val="nil"/>
              <w:bottom w:val="nil"/>
            </w:tcBorders>
          </w:tcPr>
          <w:p>
            <w:pPr>
              <w:pStyle w:val="TableParagraph"/>
              <w:rPr>
                <w:rFonts w:ascii="Times New Roman"/>
                <w:sz w:val="36"/>
              </w:rPr>
            </w:pPr>
          </w:p>
        </w:tc>
        <w:tc>
          <w:tcPr>
            <w:tcW w:w="2127" w:type="dxa"/>
            <w:tcBorders>
              <w:top w:val="nil"/>
              <w:bottom w:val="nil"/>
            </w:tcBorders>
          </w:tcPr>
          <w:p>
            <w:pPr>
              <w:pStyle w:val="TableParagraph"/>
              <w:rPr>
                <w:rFonts w:ascii="Times New Roman"/>
                <w:sz w:val="36"/>
              </w:rPr>
            </w:pPr>
          </w:p>
        </w:tc>
        <w:tc>
          <w:tcPr>
            <w:tcW w:w="2693" w:type="dxa"/>
            <w:tcBorders>
              <w:top w:val="nil"/>
              <w:bottom w:val="nil"/>
            </w:tcBorders>
          </w:tcPr>
          <w:p>
            <w:pPr>
              <w:pStyle w:val="TableParagraph"/>
              <w:spacing w:before="27"/>
              <w:ind w:left="107"/>
              <w:rPr>
                <w:sz w:val="38"/>
              </w:rPr>
            </w:pPr>
            <w:r>
              <w:rPr>
                <w:sz w:val="38"/>
              </w:rPr>
              <w:t>until you reach</w:t>
            </w:r>
          </w:p>
        </w:tc>
      </w:tr>
      <w:tr>
        <w:trPr>
          <w:trHeight w:val="725" w:hRule="atLeast"/>
        </w:trPr>
        <w:tc>
          <w:tcPr>
            <w:tcW w:w="1951" w:type="dxa"/>
            <w:tcBorders>
              <w:top w:val="nil"/>
            </w:tcBorders>
          </w:tcPr>
          <w:p>
            <w:pPr>
              <w:pStyle w:val="TableParagraph"/>
              <w:rPr>
                <w:rFonts w:ascii="Times New Roman"/>
                <w:sz w:val="36"/>
              </w:rPr>
            </w:pPr>
          </w:p>
        </w:tc>
        <w:tc>
          <w:tcPr>
            <w:tcW w:w="2127" w:type="dxa"/>
            <w:tcBorders>
              <w:top w:val="nil"/>
            </w:tcBorders>
          </w:tcPr>
          <w:p>
            <w:pPr>
              <w:pStyle w:val="TableParagraph"/>
              <w:rPr>
                <w:rFonts w:ascii="Times New Roman"/>
                <w:sz w:val="36"/>
              </w:rPr>
            </w:pPr>
          </w:p>
        </w:tc>
        <w:tc>
          <w:tcPr>
            <w:tcW w:w="2693" w:type="dxa"/>
            <w:tcBorders>
              <w:top w:val="nil"/>
            </w:tcBorders>
          </w:tcPr>
          <w:p>
            <w:pPr>
              <w:pStyle w:val="TableParagraph"/>
              <w:spacing w:before="28"/>
              <w:ind w:left="107"/>
              <w:rPr>
                <w:sz w:val="38"/>
              </w:rPr>
            </w:pPr>
            <w:r>
              <w:rPr>
                <w:sz w:val="38"/>
              </w:rPr>
              <w:t>5–6mg/day.</w:t>
            </w:r>
          </w:p>
        </w:tc>
      </w:tr>
    </w:tbl>
    <w:p>
      <w:pPr>
        <w:spacing w:after="0"/>
        <w:rPr>
          <w:sz w:val="38"/>
        </w:rPr>
        <w:sectPr>
          <w:footerReference w:type="default" r:id="rId237"/>
          <w:pgSz w:w="14270" w:h="16850"/>
          <w:pgMar w:footer="404" w:header="0" w:top="1420" w:bottom="600" w:left="800" w:right="1280"/>
          <w:pgNumType w:start="996"/>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1"/>
        <w:gridCol w:w="2127"/>
        <w:gridCol w:w="2693"/>
      </w:tblGrid>
      <w:tr>
        <w:trPr>
          <w:trHeight w:val="5357" w:hRule="atLeast"/>
        </w:trPr>
        <w:tc>
          <w:tcPr>
            <w:tcW w:w="1951" w:type="dxa"/>
          </w:tcPr>
          <w:p>
            <w:pPr>
              <w:pStyle w:val="TableParagraph"/>
              <w:spacing w:line="276" w:lineRule="auto" w:before="234"/>
              <w:ind w:left="110" w:right="191"/>
              <w:rPr>
                <w:b/>
                <w:sz w:val="38"/>
              </w:rPr>
            </w:pPr>
            <w:r>
              <w:rPr>
                <w:b/>
                <w:sz w:val="38"/>
              </w:rPr>
              <w:t>Disturbed</w:t>
            </w:r>
            <w:r>
              <w:rPr>
                <w:b/>
                <w:w w:val="99"/>
                <w:sz w:val="38"/>
              </w:rPr>
              <w:t> </w:t>
            </w:r>
            <w:r>
              <w:rPr>
                <w:b/>
                <w:sz w:val="38"/>
              </w:rPr>
              <w:t>sleep</w:t>
            </w:r>
          </w:p>
        </w:tc>
        <w:tc>
          <w:tcPr>
            <w:tcW w:w="2127" w:type="dxa"/>
          </w:tcPr>
          <w:p>
            <w:pPr>
              <w:pStyle w:val="TableParagraph"/>
              <w:spacing w:before="236"/>
              <w:ind w:left="107"/>
              <w:rPr>
                <w:sz w:val="38"/>
              </w:rPr>
            </w:pPr>
            <w:r>
              <w:rPr>
                <w:sz w:val="38"/>
              </w:rPr>
              <w:t>1–6mg</w:t>
            </w:r>
          </w:p>
        </w:tc>
        <w:tc>
          <w:tcPr>
            <w:tcW w:w="2693" w:type="dxa"/>
          </w:tcPr>
          <w:p>
            <w:pPr>
              <w:pStyle w:val="TableParagraph"/>
              <w:spacing w:line="276" w:lineRule="auto" w:before="234"/>
              <w:ind w:left="107" w:right="123"/>
              <w:rPr>
                <w:sz w:val="38"/>
              </w:rPr>
            </w:pPr>
            <w:r>
              <w:rPr>
                <w:sz w:val="38"/>
              </w:rPr>
              <w:t>Start with 1 mg; if this does not help, take 2 mg the next day; if sleep is still dis- turbed on the third day, take 3 mg, etc. until you reach a dose of 5–6mg.</w:t>
            </w:r>
          </w:p>
        </w:tc>
      </w:tr>
      <w:tr>
        <w:trPr>
          <w:trHeight w:val="6634" w:hRule="atLeast"/>
        </w:trPr>
        <w:tc>
          <w:tcPr>
            <w:tcW w:w="1951" w:type="dxa"/>
          </w:tcPr>
          <w:p>
            <w:pPr>
              <w:pStyle w:val="TableParagraph"/>
              <w:spacing w:before="236"/>
              <w:ind w:left="110"/>
              <w:rPr>
                <w:b/>
                <w:sz w:val="38"/>
              </w:rPr>
            </w:pPr>
            <w:r>
              <w:rPr>
                <w:b/>
                <w:sz w:val="38"/>
              </w:rPr>
              <w:t>Jet lag</w:t>
            </w:r>
          </w:p>
        </w:tc>
        <w:tc>
          <w:tcPr>
            <w:tcW w:w="2127" w:type="dxa"/>
          </w:tcPr>
          <w:p>
            <w:pPr>
              <w:pStyle w:val="TableParagraph"/>
              <w:spacing w:before="236"/>
              <w:ind w:left="107"/>
              <w:rPr>
                <w:sz w:val="38"/>
              </w:rPr>
            </w:pPr>
            <w:r>
              <w:rPr>
                <w:sz w:val="38"/>
              </w:rPr>
              <w:t>1–6 mg</w:t>
            </w:r>
          </w:p>
        </w:tc>
        <w:tc>
          <w:tcPr>
            <w:tcW w:w="2693" w:type="dxa"/>
          </w:tcPr>
          <w:p>
            <w:pPr>
              <w:pStyle w:val="TableParagraph"/>
              <w:spacing w:line="276" w:lineRule="auto" w:before="234"/>
              <w:ind w:left="107"/>
              <w:rPr>
                <w:sz w:val="38"/>
              </w:rPr>
            </w:pPr>
            <w:r>
              <w:rPr>
                <w:sz w:val="38"/>
              </w:rPr>
              <w:t>When you have arrived at the destination, take 3–6 mg at bed- time. Continue this dose for the next 3–4 nights until the inner body clock gets used to the new time zone. At home, repeat the</w:t>
            </w:r>
          </w:p>
          <w:p>
            <w:pPr>
              <w:pStyle w:val="TableParagraph"/>
              <w:ind w:left="107"/>
              <w:rPr>
                <w:sz w:val="38"/>
              </w:rPr>
            </w:pPr>
            <w:r>
              <w:rPr>
                <w:sz w:val="38"/>
              </w:rPr>
              <w:t>same procedure</w:t>
            </w:r>
          </w:p>
        </w:tc>
      </w:tr>
    </w:tbl>
    <w:p>
      <w:pPr>
        <w:spacing w:after="0"/>
        <w:rPr>
          <w:sz w:val="38"/>
        </w:rPr>
        <w:sectPr>
          <w:pgSz w:w="14270" w:h="16850"/>
          <w:pgMar w:header="0" w:footer="404" w:top="1420" w:bottom="600" w:left="800" w:right="1280"/>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1"/>
        <w:gridCol w:w="2127"/>
        <w:gridCol w:w="2693"/>
      </w:tblGrid>
      <w:tr>
        <w:trPr>
          <w:trHeight w:val="2829" w:hRule="atLeast"/>
        </w:trPr>
        <w:tc>
          <w:tcPr>
            <w:tcW w:w="1951" w:type="dxa"/>
          </w:tcPr>
          <w:p>
            <w:pPr>
              <w:pStyle w:val="TableParagraph"/>
              <w:rPr>
                <w:rFonts w:ascii="Times New Roman"/>
                <w:sz w:val="36"/>
              </w:rPr>
            </w:pPr>
          </w:p>
        </w:tc>
        <w:tc>
          <w:tcPr>
            <w:tcW w:w="2127" w:type="dxa"/>
          </w:tcPr>
          <w:p>
            <w:pPr>
              <w:pStyle w:val="TableParagraph"/>
              <w:rPr>
                <w:rFonts w:ascii="Times New Roman"/>
                <w:sz w:val="36"/>
              </w:rPr>
            </w:pPr>
          </w:p>
        </w:tc>
        <w:tc>
          <w:tcPr>
            <w:tcW w:w="2693" w:type="dxa"/>
          </w:tcPr>
          <w:p>
            <w:pPr>
              <w:pStyle w:val="TableParagraph"/>
              <w:spacing w:line="276" w:lineRule="auto"/>
              <w:ind w:left="107" w:right="600"/>
              <w:rPr>
                <w:sz w:val="38"/>
              </w:rPr>
            </w:pPr>
            <w:r>
              <w:rPr>
                <w:sz w:val="38"/>
              </w:rPr>
              <w:t>if you experi- ence jet lag.</w:t>
            </w:r>
          </w:p>
        </w:tc>
      </w:tr>
      <w:tr>
        <w:trPr>
          <w:trHeight w:val="3883" w:hRule="atLeast"/>
        </w:trPr>
        <w:tc>
          <w:tcPr>
            <w:tcW w:w="1951" w:type="dxa"/>
          </w:tcPr>
          <w:p>
            <w:pPr>
              <w:pStyle w:val="TableParagraph"/>
              <w:spacing w:line="276" w:lineRule="auto" w:before="234"/>
              <w:ind w:left="110"/>
              <w:rPr>
                <w:b/>
                <w:sz w:val="38"/>
              </w:rPr>
            </w:pPr>
            <w:r>
              <w:rPr>
                <w:b/>
                <w:sz w:val="38"/>
              </w:rPr>
              <w:t>Potency </w:t>
            </w:r>
            <w:r>
              <w:rPr>
                <w:b/>
                <w:w w:val="95"/>
                <w:sz w:val="38"/>
              </w:rPr>
              <w:t>problems,</w:t>
            </w:r>
          </w:p>
          <w:p>
            <w:pPr>
              <w:pStyle w:val="TableParagraph"/>
              <w:spacing w:line="276" w:lineRule="auto" w:before="241"/>
              <w:ind w:left="110"/>
              <w:rPr>
                <w:b/>
                <w:sz w:val="38"/>
              </w:rPr>
            </w:pPr>
            <w:r>
              <w:rPr>
                <w:b/>
                <w:sz w:val="38"/>
              </w:rPr>
              <w:t>lack of li- bido</w:t>
            </w:r>
          </w:p>
        </w:tc>
        <w:tc>
          <w:tcPr>
            <w:tcW w:w="2127" w:type="dxa"/>
          </w:tcPr>
          <w:p>
            <w:pPr>
              <w:pStyle w:val="TableParagraph"/>
              <w:spacing w:line="276" w:lineRule="auto" w:before="234"/>
              <w:ind w:left="107"/>
              <w:rPr>
                <w:sz w:val="38"/>
              </w:rPr>
            </w:pPr>
            <w:r>
              <w:rPr>
                <w:sz w:val="38"/>
              </w:rPr>
              <w:t>Take an ad- ditional mel- atonin tablet 15–30 mins prior to sex- ual inter- course</w:t>
            </w:r>
          </w:p>
        </w:tc>
        <w:tc>
          <w:tcPr>
            <w:tcW w:w="2693" w:type="dxa"/>
          </w:tcPr>
          <w:p>
            <w:pPr>
              <w:pStyle w:val="TableParagraph"/>
              <w:rPr>
                <w:rFonts w:ascii="Times New Roman"/>
                <w:sz w:val="36"/>
              </w:rPr>
            </w:pPr>
          </w:p>
        </w:tc>
      </w:tr>
      <w:tr>
        <w:trPr>
          <w:trHeight w:val="696" w:hRule="atLeast"/>
        </w:trPr>
        <w:tc>
          <w:tcPr>
            <w:tcW w:w="1951" w:type="dxa"/>
            <w:tcBorders>
              <w:bottom w:val="nil"/>
            </w:tcBorders>
          </w:tcPr>
          <w:p>
            <w:pPr>
              <w:pStyle w:val="TableParagraph"/>
              <w:spacing w:before="232"/>
              <w:ind w:left="110"/>
              <w:rPr>
                <w:b/>
                <w:sz w:val="38"/>
              </w:rPr>
            </w:pPr>
            <w:r>
              <w:rPr>
                <w:b/>
                <w:sz w:val="38"/>
              </w:rPr>
              <w:t>Preven-</w:t>
            </w:r>
          </w:p>
        </w:tc>
        <w:tc>
          <w:tcPr>
            <w:tcW w:w="2127" w:type="dxa"/>
            <w:tcBorders>
              <w:bottom w:val="nil"/>
            </w:tcBorders>
          </w:tcPr>
          <w:p>
            <w:pPr>
              <w:pStyle w:val="TableParagraph"/>
              <w:spacing w:before="232"/>
              <w:ind w:left="107"/>
              <w:rPr>
                <w:sz w:val="38"/>
              </w:rPr>
            </w:pPr>
            <w:r>
              <w:rPr>
                <w:sz w:val="38"/>
              </w:rPr>
              <w:t>See anti-age-</w:t>
            </w:r>
          </w:p>
        </w:tc>
        <w:tc>
          <w:tcPr>
            <w:tcW w:w="2693" w:type="dxa"/>
            <w:tcBorders>
              <w:bottom w:val="nil"/>
            </w:tcBorders>
          </w:tcPr>
          <w:p>
            <w:pPr>
              <w:pStyle w:val="TableParagraph"/>
              <w:spacing w:before="232"/>
              <w:ind w:left="107"/>
              <w:rPr>
                <w:sz w:val="38"/>
              </w:rPr>
            </w:pPr>
            <w:r>
              <w:rPr>
                <w:sz w:val="38"/>
              </w:rPr>
              <w:t>One in two peo-</w:t>
            </w:r>
          </w:p>
        </w:tc>
      </w:tr>
      <w:tr>
        <w:trPr>
          <w:trHeight w:val="493" w:hRule="atLeast"/>
        </w:trPr>
        <w:tc>
          <w:tcPr>
            <w:tcW w:w="1951" w:type="dxa"/>
            <w:tcBorders>
              <w:top w:val="nil"/>
              <w:bottom w:val="nil"/>
            </w:tcBorders>
          </w:tcPr>
          <w:p>
            <w:pPr>
              <w:pStyle w:val="TableParagraph"/>
              <w:spacing w:before="27"/>
              <w:ind w:left="110"/>
              <w:rPr>
                <w:b/>
                <w:sz w:val="38"/>
              </w:rPr>
            </w:pPr>
            <w:r>
              <w:rPr>
                <w:b/>
                <w:sz w:val="38"/>
              </w:rPr>
              <w:t>tion of</w:t>
            </w:r>
          </w:p>
        </w:tc>
        <w:tc>
          <w:tcPr>
            <w:tcW w:w="2127" w:type="dxa"/>
            <w:tcBorders>
              <w:top w:val="nil"/>
              <w:bottom w:val="nil"/>
            </w:tcBorders>
          </w:tcPr>
          <w:p>
            <w:pPr>
              <w:pStyle w:val="TableParagraph"/>
              <w:spacing w:before="29"/>
              <w:ind w:left="107"/>
              <w:rPr>
                <w:sz w:val="38"/>
              </w:rPr>
            </w:pPr>
            <w:r>
              <w:rPr>
                <w:sz w:val="38"/>
              </w:rPr>
              <w:t>ing</w:t>
            </w:r>
          </w:p>
        </w:tc>
        <w:tc>
          <w:tcPr>
            <w:tcW w:w="2693" w:type="dxa"/>
            <w:tcBorders>
              <w:top w:val="nil"/>
              <w:bottom w:val="nil"/>
            </w:tcBorders>
          </w:tcPr>
          <w:p>
            <w:pPr>
              <w:pStyle w:val="TableParagraph"/>
              <w:spacing w:before="27"/>
              <w:ind w:left="107"/>
              <w:rPr>
                <w:sz w:val="38"/>
              </w:rPr>
            </w:pPr>
            <w:r>
              <w:rPr>
                <w:sz w:val="38"/>
              </w:rPr>
              <w:t>ple dies of cardi-</w:t>
            </w:r>
          </w:p>
        </w:tc>
      </w:tr>
      <w:tr>
        <w:trPr>
          <w:trHeight w:val="490" w:hRule="atLeast"/>
        </w:trPr>
        <w:tc>
          <w:tcPr>
            <w:tcW w:w="1951" w:type="dxa"/>
            <w:tcBorders>
              <w:top w:val="nil"/>
              <w:bottom w:val="nil"/>
            </w:tcBorders>
          </w:tcPr>
          <w:p>
            <w:pPr>
              <w:pStyle w:val="TableParagraph"/>
              <w:spacing w:before="28"/>
              <w:ind w:left="110"/>
              <w:rPr>
                <w:b/>
                <w:sz w:val="38"/>
              </w:rPr>
            </w:pPr>
            <w:r>
              <w:rPr>
                <w:b/>
                <w:sz w:val="38"/>
              </w:rPr>
              <w:t>diseases</w:t>
            </w:r>
          </w:p>
        </w:tc>
        <w:tc>
          <w:tcPr>
            <w:tcW w:w="2127" w:type="dxa"/>
            <w:tcBorders>
              <w:top w:val="nil"/>
              <w:bottom w:val="nil"/>
            </w:tcBorders>
          </w:tcPr>
          <w:p>
            <w:pPr>
              <w:pStyle w:val="TableParagraph"/>
              <w:rPr>
                <w:rFonts w:ascii="Times New Roman"/>
                <w:sz w:val="36"/>
              </w:rPr>
            </w:pPr>
          </w:p>
        </w:tc>
        <w:tc>
          <w:tcPr>
            <w:tcW w:w="2693" w:type="dxa"/>
            <w:tcBorders>
              <w:top w:val="nil"/>
              <w:bottom w:val="nil"/>
            </w:tcBorders>
          </w:tcPr>
          <w:p>
            <w:pPr>
              <w:pStyle w:val="TableParagraph"/>
              <w:spacing w:before="26"/>
              <w:ind w:left="107"/>
              <w:rPr>
                <w:sz w:val="38"/>
              </w:rPr>
            </w:pPr>
            <w:r>
              <w:rPr>
                <w:sz w:val="38"/>
              </w:rPr>
              <w:t>ovascular dis-</w:t>
            </w:r>
          </w:p>
        </w:tc>
      </w:tr>
      <w:tr>
        <w:trPr>
          <w:trHeight w:val="489" w:hRule="atLeast"/>
        </w:trPr>
        <w:tc>
          <w:tcPr>
            <w:tcW w:w="1951" w:type="dxa"/>
            <w:tcBorders>
              <w:top w:val="nil"/>
              <w:bottom w:val="nil"/>
            </w:tcBorders>
          </w:tcPr>
          <w:p>
            <w:pPr>
              <w:pStyle w:val="TableParagraph"/>
              <w:rPr>
                <w:rFonts w:ascii="Times New Roman"/>
                <w:sz w:val="36"/>
              </w:rPr>
            </w:pPr>
          </w:p>
        </w:tc>
        <w:tc>
          <w:tcPr>
            <w:tcW w:w="2127" w:type="dxa"/>
            <w:tcBorders>
              <w:top w:val="nil"/>
              <w:bottom w:val="nil"/>
            </w:tcBorders>
          </w:tcPr>
          <w:p>
            <w:pPr>
              <w:pStyle w:val="TableParagraph"/>
              <w:rPr>
                <w:rFonts w:ascii="Times New Roman"/>
                <w:sz w:val="36"/>
              </w:rPr>
            </w:pPr>
          </w:p>
        </w:tc>
        <w:tc>
          <w:tcPr>
            <w:tcW w:w="2693" w:type="dxa"/>
            <w:tcBorders>
              <w:top w:val="nil"/>
              <w:bottom w:val="nil"/>
            </w:tcBorders>
          </w:tcPr>
          <w:p>
            <w:pPr>
              <w:pStyle w:val="TableParagraph"/>
              <w:spacing w:before="25"/>
              <w:ind w:left="107"/>
              <w:rPr>
                <w:sz w:val="38"/>
              </w:rPr>
            </w:pPr>
            <w:r>
              <w:rPr>
                <w:sz w:val="38"/>
              </w:rPr>
              <w:t>ease, one in four</w:t>
            </w:r>
          </w:p>
        </w:tc>
      </w:tr>
      <w:tr>
        <w:trPr>
          <w:trHeight w:val="491" w:hRule="atLeast"/>
        </w:trPr>
        <w:tc>
          <w:tcPr>
            <w:tcW w:w="1951" w:type="dxa"/>
            <w:tcBorders>
              <w:top w:val="nil"/>
              <w:bottom w:val="nil"/>
            </w:tcBorders>
          </w:tcPr>
          <w:p>
            <w:pPr>
              <w:pStyle w:val="TableParagraph"/>
              <w:rPr>
                <w:rFonts w:ascii="Times New Roman"/>
                <w:sz w:val="36"/>
              </w:rPr>
            </w:pPr>
          </w:p>
        </w:tc>
        <w:tc>
          <w:tcPr>
            <w:tcW w:w="2127" w:type="dxa"/>
            <w:tcBorders>
              <w:top w:val="nil"/>
              <w:bottom w:val="nil"/>
            </w:tcBorders>
          </w:tcPr>
          <w:p>
            <w:pPr>
              <w:pStyle w:val="TableParagraph"/>
              <w:rPr>
                <w:rFonts w:ascii="Times New Roman"/>
                <w:sz w:val="36"/>
              </w:rPr>
            </w:pPr>
          </w:p>
        </w:tc>
        <w:tc>
          <w:tcPr>
            <w:tcW w:w="2693" w:type="dxa"/>
            <w:tcBorders>
              <w:top w:val="nil"/>
              <w:bottom w:val="nil"/>
            </w:tcBorders>
          </w:tcPr>
          <w:p>
            <w:pPr>
              <w:pStyle w:val="TableParagraph"/>
              <w:spacing w:before="27"/>
              <w:ind w:left="107"/>
              <w:rPr>
                <w:sz w:val="38"/>
              </w:rPr>
            </w:pPr>
            <w:r>
              <w:rPr>
                <w:sz w:val="38"/>
              </w:rPr>
              <w:t>dies of cancer.</w:t>
            </w:r>
          </w:p>
        </w:tc>
      </w:tr>
      <w:tr>
        <w:trPr>
          <w:trHeight w:val="492" w:hRule="atLeast"/>
        </w:trPr>
        <w:tc>
          <w:tcPr>
            <w:tcW w:w="1951" w:type="dxa"/>
            <w:tcBorders>
              <w:top w:val="nil"/>
              <w:bottom w:val="nil"/>
            </w:tcBorders>
          </w:tcPr>
          <w:p>
            <w:pPr>
              <w:pStyle w:val="TableParagraph"/>
              <w:rPr>
                <w:rFonts w:ascii="Times New Roman"/>
                <w:sz w:val="36"/>
              </w:rPr>
            </w:pPr>
          </w:p>
        </w:tc>
        <w:tc>
          <w:tcPr>
            <w:tcW w:w="2127" w:type="dxa"/>
            <w:tcBorders>
              <w:top w:val="nil"/>
              <w:bottom w:val="nil"/>
            </w:tcBorders>
          </w:tcPr>
          <w:p>
            <w:pPr>
              <w:pStyle w:val="TableParagraph"/>
              <w:rPr>
                <w:rFonts w:ascii="Times New Roman"/>
                <w:sz w:val="36"/>
              </w:rPr>
            </w:pPr>
          </w:p>
        </w:tc>
        <w:tc>
          <w:tcPr>
            <w:tcW w:w="2693" w:type="dxa"/>
            <w:tcBorders>
              <w:top w:val="nil"/>
              <w:bottom w:val="nil"/>
            </w:tcBorders>
          </w:tcPr>
          <w:p>
            <w:pPr>
              <w:pStyle w:val="TableParagraph"/>
              <w:spacing w:before="27"/>
              <w:ind w:left="107"/>
              <w:rPr>
                <w:sz w:val="38"/>
              </w:rPr>
            </w:pPr>
            <w:r>
              <w:rPr>
                <w:sz w:val="38"/>
              </w:rPr>
              <w:t>For risk groups,</w:t>
            </w:r>
          </w:p>
        </w:tc>
      </w:tr>
      <w:tr>
        <w:trPr>
          <w:trHeight w:val="492" w:hRule="atLeast"/>
        </w:trPr>
        <w:tc>
          <w:tcPr>
            <w:tcW w:w="1951" w:type="dxa"/>
            <w:tcBorders>
              <w:top w:val="nil"/>
              <w:bottom w:val="nil"/>
            </w:tcBorders>
          </w:tcPr>
          <w:p>
            <w:pPr>
              <w:pStyle w:val="TableParagraph"/>
              <w:rPr>
                <w:rFonts w:ascii="Times New Roman"/>
                <w:sz w:val="36"/>
              </w:rPr>
            </w:pPr>
          </w:p>
        </w:tc>
        <w:tc>
          <w:tcPr>
            <w:tcW w:w="2127" w:type="dxa"/>
            <w:tcBorders>
              <w:top w:val="nil"/>
              <w:bottom w:val="nil"/>
            </w:tcBorders>
          </w:tcPr>
          <w:p>
            <w:pPr>
              <w:pStyle w:val="TableParagraph"/>
              <w:rPr>
                <w:rFonts w:ascii="Times New Roman"/>
                <w:sz w:val="36"/>
              </w:rPr>
            </w:pPr>
          </w:p>
        </w:tc>
        <w:tc>
          <w:tcPr>
            <w:tcW w:w="2693" w:type="dxa"/>
            <w:tcBorders>
              <w:top w:val="nil"/>
              <w:bottom w:val="nil"/>
            </w:tcBorders>
          </w:tcPr>
          <w:p>
            <w:pPr>
              <w:pStyle w:val="TableParagraph"/>
              <w:spacing w:before="27"/>
              <w:ind w:left="107"/>
              <w:rPr>
                <w:sz w:val="38"/>
              </w:rPr>
            </w:pPr>
            <w:r>
              <w:rPr>
                <w:sz w:val="38"/>
              </w:rPr>
              <w:t>it may be partic-</w:t>
            </w:r>
          </w:p>
        </w:tc>
      </w:tr>
      <w:tr>
        <w:trPr>
          <w:trHeight w:val="492" w:hRule="atLeast"/>
        </w:trPr>
        <w:tc>
          <w:tcPr>
            <w:tcW w:w="1951" w:type="dxa"/>
            <w:tcBorders>
              <w:top w:val="nil"/>
              <w:bottom w:val="nil"/>
            </w:tcBorders>
          </w:tcPr>
          <w:p>
            <w:pPr>
              <w:pStyle w:val="TableParagraph"/>
              <w:rPr>
                <w:rFonts w:ascii="Times New Roman"/>
                <w:sz w:val="36"/>
              </w:rPr>
            </w:pPr>
          </w:p>
        </w:tc>
        <w:tc>
          <w:tcPr>
            <w:tcW w:w="2127" w:type="dxa"/>
            <w:tcBorders>
              <w:top w:val="nil"/>
              <w:bottom w:val="nil"/>
            </w:tcBorders>
          </w:tcPr>
          <w:p>
            <w:pPr>
              <w:pStyle w:val="TableParagraph"/>
              <w:rPr>
                <w:rFonts w:ascii="Times New Roman"/>
                <w:sz w:val="36"/>
              </w:rPr>
            </w:pPr>
          </w:p>
        </w:tc>
        <w:tc>
          <w:tcPr>
            <w:tcW w:w="2693" w:type="dxa"/>
            <w:tcBorders>
              <w:top w:val="nil"/>
              <w:bottom w:val="nil"/>
            </w:tcBorders>
          </w:tcPr>
          <w:p>
            <w:pPr>
              <w:pStyle w:val="TableParagraph"/>
              <w:spacing w:before="27"/>
              <w:ind w:left="107"/>
              <w:rPr>
                <w:sz w:val="38"/>
              </w:rPr>
            </w:pPr>
            <w:r>
              <w:rPr>
                <w:sz w:val="38"/>
              </w:rPr>
              <w:t>ularly appropri-</w:t>
            </w:r>
          </w:p>
        </w:tc>
      </w:tr>
      <w:tr>
        <w:trPr>
          <w:trHeight w:val="527" w:hRule="atLeast"/>
        </w:trPr>
        <w:tc>
          <w:tcPr>
            <w:tcW w:w="1951" w:type="dxa"/>
            <w:tcBorders>
              <w:top w:val="nil"/>
            </w:tcBorders>
          </w:tcPr>
          <w:p>
            <w:pPr>
              <w:pStyle w:val="TableParagraph"/>
              <w:rPr>
                <w:rFonts w:ascii="Times New Roman"/>
                <w:sz w:val="36"/>
              </w:rPr>
            </w:pPr>
          </w:p>
        </w:tc>
        <w:tc>
          <w:tcPr>
            <w:tcW w:w="2127" w:type="dxa"/>
            <w:tcBorders>
              <w:top w:val="nil"/>
            </w:tcBorders>
          </w:tcPr>
          <w:p>
            <w:pPr>
              <w:pStyle w:val="TableParagraph"/>
              <w:rPr>
                <w:rFonts w:ascii="Times New Roman"/>
                <w:sz w:val="36"/>
              </w:rPr>
            </w:pPr>
          </w:p>
        </w:tc>
        <w:tc>
          <w:tcPr>
            <w:tcW w:w="2693" w:type="dxa"/>
            <w:tcBorders>
              <w:top w:val="nil"/>
            </w:tcBorders>
          </w:tcPr>
          <w:p>
            <w:pPr>
              <w:pStyle w:val="TableParagraph"/>
              <w:spacing w:before="27"/>
              <w:ind w:left="107"/>
              <w:rPr>
                <w:sz w:val="38"/>
              </w:rPr>
            </w:pPr>
            <w:r>
              <w:rPr>
                <w:sz w:val="38"/>
              </w:rPr>
              <w:t>ate to take mela-</w:t>
            </w:r>
          </w:p>
        </w:tc>
      </w:tr>
    </w:tbl>
    <w:p>
      <w:pPr>
        <w:spacing w:after="0"/>
        <w:rPr>
          <w:sz w:val="38"/>
        </w:rPr>
        <w:sectPr>
          <w:pgSz w:w="14270" w:h="16850"/>
          <w:pgMar w:header="0" w:footer="404" w:top="1420" w:bottom="600" w:left="800" w:right="1280"/>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1"/>
        <w:gridCol w:w="2127"/>
        <w:gridCol w:w="2693"/>
      </w:tblGrid>
      <w:tr>
        <w:trPr>
          <w:trHeight w:val="2659" w:hRule="atLeast"/>
        </w:trPr>
        <w:tc>
          <w:tcPr>
            <w:tcW w:w="1951" w:type="dxa"/>
          </w:tcPr>
          <w:p>
            <w:pPr>
              <w:pStyle w:val="TableParagraph"/>
              <w:rPr>
                <w:rFonts w:ascii="Times New Roman"/>
                <w:sz w:val="36"/>
              </w:rPr>
            </w:pPr>
          </w:p>
        </w:tc>
        <w:tc>
          <w:tcPr>
            <w:tcW w:w="2127" w:type="dxa"/>
          </w:tcPr>
          <w:p>
            <w:pPr>
              <w:pStyle w:val="TableParagraph"/>
              <w:rPr>
                <w:rFonts w:ascii="Times New Roman"/>
                <w:sz w:val="36"/>
              </w:rPr>
            </w:pPr>
          </w:p>
        </w:tc>
        <w:tc>
          <w:tcPr>
            <w:tcW w:w="2693" w:type="dxa"/>
          </w:tcPr>
          <w:p>
            <w:pPr>
              <w:pStyle w:val="TableParagraph"/>
              <w:spacing w:line="276" w:lineRule="auto"/>
              <w:ind w:left="107" w:right="169"/>
              <w:rPr>
                <w:sz w:val="38"/>
              </w:rPr>
            </w:pPr>
            <w:r>
              <w:rPr>
                <w:sz w:val="38"/>
              </w:rPr>
              <w:t>tonin preven- tively (even if a person is younger than 40 years old).</w:t>
            </w:r>
          </w:p>
        </w:tc>
      </w:tr>
      <w:tr>
        <w:trPr>
          <w:trHeight w:val="696" w:hRule="atLeast"/>
        </w:trPr>
        <w:tc>
          <w:tcPr>
            <w:tcW w:w="1951" w:type="dxa"/>
            <w:tcBorders>
              <w:bottom w:val="nil"/>
            </w:tcBorders>
          </w:tcPr>
          <w:p>
            <w:pPr>
              <w:pStyle w:val="TableParagraph"/>
              <w:spacing w:before="231"/>
              <w:ind w:left="110"/>
              <w:rPr>
                <w:b/>
                <w:sz w:val="38"/>
              </w:rPr>
            </w:pPr>
            <w:r>
              <w:rPr>
                <w:b/>
                <w:sz w:val="38"/>
              </w:rPr>
              <w:t>Therapy</w:t>
            </w:r>
          </w:p>
        </w:tc>
        <w:tc>
          <w:tcPr>
            <w:tcW w:w="2127" w:type="dxa"/>
            <w:tcBorders>
              <w:bottom w:val="nil"/>
            </w:tcBorders>
          </w:tcPr>
          <w:p>
            <w:pPr>
              <w:pStyle w:val="TableParagraph"/>
              <w:spacing w:before="231"/>
              <w:ind w:left="107"/>
              <w:rPr>
                <w:sz w:val="38"/>
              </w:rPr>
            </w:pPr>
            <w:r>
              <w:rPr>
                <w:sz w:val="38"/>
              </w:rPr>
              <w:t>Higher</w:t>
            </w:r>
          </w:p>
        </w:tc>
        <w:tc>
          <w:tcPr>
            <w:tcW w:w="2693" w:type="dxa"/>
            <w:tcBorders>
              <w:bottom w:val="nil"/>
            </w:tcBorders>
          </w:tcPr>
          <w:p>
            <w:pPr>
              <w:pStyle w:val="TableParagraph"/>
              <w:spacing w:before="231"/>
              <w:ind w:left="107"/>
              <w:rPr>
                <w:sz w:val="38"/>
              </w:rPr>
            </w:pPr>
            <w:r>
              <w:rPr>
                <w:sz w:val="38"/>
              </w:rPr>
              <w:t>Consult an ex-</w:t>
            </w:r>
          </w:p>
        </w:tc>
      </w:tr>
      <w:tr>
        <w:trPr>
          <w:trHeight w:val="492" w:hRule="atLeast"/>
        </w:trPr>
        <w:tc>
          <w:tcPr>
            <w:tcW w:w="1951" w:type="dxa"/>
            <w:tcBorders>
              <w:top w:val="nil"/>
              <w:bottom w:val="nil"/>
            </w:tcBorders>
          </w:tcPr>
          <w:p>
            <w:pPr>
              <w:pStyle w:val="TableParagraph"/>
              <w:spacing w:before="27"/>
              <w:ind w:left="110"/>
              <w:rPr>
                <w:b/>
                <w:sz w:val="38"/>
              </w:rPr>
            </w:pPr>
            <w:r>
              <w:rPr>
                <w:b/>
                <w:sz w:val="38"/>
              </w:rPr>
              <w:t>for dis-</w:t>
            </w:r>
          </w:p>
        </w:tc>
        <w:tc>
          <w:tcPr>
            <w:tcW w:w="2127" w:type="dxa"/>
            <w:tcBorders>
              <w:top w:val="nil"/>
              <w:bottom w:val="nil"/>
            </w:tcBorders>
          </w:tcPr>
          <w:p>
            <w:pPr>
              <w:pStyle w:val="TableParagraph"/>
              <w:spacing w:before="27"/>
              <w:ind w:left="107"/>
              <w:rPr>
                <w:sz w:val="38"/>
              </w:rPr>
            </w:pPr>
            <w:r>
              <w:rPr>
                <w:sz w:val="38"/>
              </w:rPr>
              <w:t>doses tem-</w:t>
            </w:r>
          </w:p>
        </w:tc>
        <w:tc>
          <w:tcPr>
            <w:tcW w:w="2693" w:type="dxa"/>
            <w:tcBorders>
              <w:top w:val="nil"/>
              <w:bottom w:val="nil"/>
            </w:tcBorders>
          </w:tcPr>
          <w:p>
            <w:pPr>
              <w:pStyle w:val="TableParagraph"/>
              <w:spacing w:before="27"/>
              <w:ind w:left="107"/>
              <w:rPr>
                <w:sz w:val="38"/>
              </w:rPr>
            </w:pPr>
            <w:r>
              <w:rPr>
                <w:sz w:val="38"/>
              </w:rPr>
              <w:t>perienced thera-</w:t>
            </w:r>
          </w:p>
        </w:tc>
      </w:tr>
      <w:tr>
        <w:trPr>
          <w:trHeight w:val="494" w:hRule="atLeast"/>
        </w:trPr>
        <w:tc>
          <w:tcPr>
            <w:tcW w:w="1951" w:type="dxa"/>
            <w:tcBorders>
              <w:top w:val="nil"/>
              <w:bottom w:val="nil"/>
            </w:tcBorders>
          </w:tcPr>
          <w:p>
            <w:pPr>
              <w:pStyle w:val="TableParagraph"/>
              <w:spacing w:before="29"/>
              <w:ind w:left="110"/>
              <w:rPr>
                <w:b/>
                <w:sz w:val="38"/>
              </w:rPr>
            </w:pPr>
            <w:r>
              <w:rPr>
                <w:b/>
                <w:sz w:val="38"/>
              </w:rPr>
              <w:t>eases</w:t>
            </w:r>
          </w:p>
        </w:tc>
        <w:tc>
          <w:tcPr>
            <w:tcW w:w="2127" w:type="dxa"/>
            <w:tcBorders>
              <w:top w:val="nil"/>
              <w:bottom w:val="nil"/>
            </w:tcBorders>
          </w:tcPr>
          <w:p>
            <w:pPr>
              <w:pStyle w:val="TableParagraph"/>
              <w:spacing w:before="27"/>
              <w:ind w:left="107"/>
              <w:rPr>
                <w:sz w:val="38"/>
              </w:rPr>
            </w:pPr>
            <w:r>
              <w:rPr>
                <w:sz w:val="38"/>
              </w:rPr>
              <w:t>porarily pos-</w:t>
            </w:r>
          </w:p>
        </w:tc>
        <w:tc>
          <w:tcPr>
            <w:tcW w:w="2693" w:type="dxa"/>
            <w:tcBorders>
              <w:top w:val="nil"/>
              <w:bottom w:val="nil"/>
            </w:tcBorders>
          </w:tcPr>
          <w:p>
            <w:pPr>
              <w:pStyle w:val="TableParagraph"/>
              <w:spacing w:before="29"/>
              <w:ind w:left="107"/>
              <w:rPr>
                <w:sz w:val="38"/>
              </w:rPr>
            </w:pPr>
            <w:r>
              <w:rPr>
                <w:sz w:val="38"/>
              </w:rPr>
              <w:t>pist</w:t>
            </w:r>
          </w:p>
        </w:tc>
      </w:tr>
      <w:tr>
        <w:trPr>
          <w:trHeight w:val="724" w:hRule="atLeast"/>
        </w:trPr>
        <w:tc>
          <w:tcPr>
            <w:tcW w:w="1951" w:type="dxa"/>
            <w:tcBorders>
              <w:top w:val="nil"/>
            </w:tcBorders>
          </w:tcPr>
          <w:p>
            <w:pPr>
              <w:pStyle w:val="TableParagraph"/>
              <w:rPr>
                <w:rFonts w:ascii="Times New Roman"/>
                <w:sz w:val="36"/>
              </w:rPr>
            </w:pPr>
          </w:p>
        </w:tc>
        <w:tc>
          <w:tcPr>
            <w:tcW w:w="2127" w:type="dxa"/>
            <w:tcBorders>
              <w:top w:val="nil"/>
            </w:tcBorders>
          </w:tcPr>
          <w:p>
            <w:pPr>
              <w:pStyle w:val="TableParagraph"/>
              <w:spacing w:before="27"/>
              <w:ind w:left="107"/>
              <w:rPr>
                <w:sz w:val="38"/>
              </w:rPr>
            </w:pPr>
            <w:r>
              <w:rPr>
                <w:sz w:val="38"/>
              </w:rPr>
              <w:t>sible</w:t>
            </w:r>
          </w:p>
        </w:tc>
        <w:tc>
          <w:tcPr>
            <w:tcW w:w="2693" w:type="dxa"/>
            <w:tcBorders>
              <w:top w:val="nil"/>
            </w:tcBorders>
          </w:tcPr>
          <w:p>
            <w:pPr>
              <w:pStyle w:val="TableParagraph"/>
              <w:rPr>
                <w:rFonts w:ascii="Times New Roman"/>
                <w:sz w:val="36"/>
              </w:rPr>
            </w:pPr>
          </w:p>
        </w:tc>
      </w:tr>
    </w:tbl>
    <w:p>
      <w:pPr>
        <w:pStyle w:val="BodyText"/>
        <w:spacing w:before="8"/>
        <w:rPr>
          <w:sz w:val="11"/>
        </w:rPr>
      </w:pPr>
    </w:p>
    <w:p>
      <w:pPr>
        <w:pStyle w:val="BodyText"/>
        <w:spacing w:line="276" w:lineRule="auto" w:before="100"/>
        <w:ind w:left="616" w:right="136"/>
        <w:jc w:val="both"/>
      </w:pPr>
      <w:r>
        <w:rPr/>
        <w:t>*If there is a family history of family members dying of cardiovascular disease or cancer, melatonin replacement therapy can have a meaningful preventive effect as early as the ages of 30-40. The starting dose for 40-44 year olds is recommended here.</w:t>
      </w:r>
    </w:p>
    <w:p>
      <w:pPr>
        <w:pStyle w:val="BodyText"/>
        <w:spacing w:before="242"/>
        <w:ind w:left="616"/>
      </w:pPr>
      <w:r>
        <w:rPr/>
        <w:t>Melatonin deficiency</w:t>
      </w:r>
    </w:p>
    <w:p>
      <w:pPr>
        <w:pStyle w:val="Heading1"/>
        <w:spacing w:before="284"/>
        <w:ind w:left="616"/>
      </w:pPr>
      <w:r>
        <w:rPr/>
        <w:t>How is a melatonin deficiency</w:t>
      </w:r>
      <w:r>
        <w:rPr>
          <w:spacing w:val="-57"/>
        </w:rPr>
        <w:t> </w:t>
      </w:r>
      <w:r>
        <w:rPr/>
        <w:t>expressed?</w:t>
      </w:r>
    </w:p>
    <w:p>
      <w:pPr>
        <w:pStyle w:val="BodyText"/>
        <w:spacing w:line="276" w:lineRule="auto" w:before="300"/>
        <w:ind w:left="616" w:right="132"/>
        <w:jc w:val="both"/>
      </w:pPr>
      <w:r>
        <w:rPr/>
        <w:t>In</w:t>
      </w:r>
      <w:r>
        <w:rPr>
          <w:spacing w:val="-23"/>
        </w:rPr>
        <w:t> </w:t>
      </w:r>
      <w:r>
        <w:rPr/>
        <w:t>contrast</w:t>
      </w:r>
      <w:r>
        <w:rPr>
          <w:spacing w:val="-26"/>
        </w:rPr>
        <w:t> </w:t>
      </w:r>
      <w:r>
        <w:rPr/>
        <w:t>to</w:t>
      </w:r>
      <w:r>
        <w:rPr>
          <w:spacing w:val="-23"/>
        </w:rPr>
        <w:t> </w:t>
      </w:r>
      <w:r>
        <w:rPr/>
        <w:t>the</w:t>
      </w:r>
      <w:r>
        <w:rPr>
          <w:spacing w:val="-23"/>
        </w:rPr>
        <w:t> </w:t>
      </w:r>
      <w:r>
        <w:rPr/>
        <w:t>positive</w:t>
      </w:r>
      <w:r>
        <w:rPr>
          <w:spacing w:val="-23"/>
        </w:rPr>
        <w:t> </w:t>
      </w:r>
      <w:r>
        <w:rPr/>
        <w:t>effects</w:t>
      </w:r>
      <w:r>
        <w:rPr>
          <w:spacing w:val="-24"/>
        </w:rPr>
        <w:t> </w:t>
      </w:r>
      <w:r>
        <w:rPr/>
        <w:t>that</w:t>
      </w:r>
      <w:r>
        <w:rPr>
          <w:spacing w:val="-24"/>
        </w:rPr>
        <w:t> </w:t>
      </w:r>
      <w:r>
        <w:rPr/>
        <w:t>a</w:t>
      </w:r>
      <w:r>
        <w:rPr>
          <w:spacing w:val="-24"/>
        </w:rPr>
        <w:t> </w:t>
      </w:r>
      <w:r>
        <w:rPr/>
        <w:t>sufficient</w:t>
      </w:r>
      <w:r>
        <w:rPr>
          <w:spacing w:val="-26"/>
        </w:rPr>
        <w:t> </w:t>
      </w:r>
      <w:r>
        <w:rPr/>
        <w:t>melatonin</w:t>
      </w:r>
      <w:r>
        <w:rPr>
          <w:spacing w:val="-22"/>
        </w:rPr>
        <w:t> </w:t>
      </w:r>
      <w:r>
        <w:rPr/>
        <w:t>supply</w:t>
      </w:r>
      <w:r>
        <w:rPr>
          <w:spacing w:val="-24"/>
        </w:rPr>
        <w:t> </w:t>
      </w:r>
      <w:r>
        <w:rPr/>
        <w:t>offers</w:t>
      </w:r>
      <w:r>
        <w:rPr>
          <w:spacing w:val="-25"/>
        </w:rPr>
        <w:t> </w:t>
      </w:r>
      <w:r>
        <w:rPr/>
        <w:t>one’s health, melatonin deficiency triggers many symptoms, including fatigue, lack of</w:t>
      </w:r>
      <w:r>
        <w:rPr>
          <w:spacing w:val="-16"/>
        </w:rPr>
        <w:t> </w:t>
      </w:r>
      <w:r>
        <w:rPr/>
        <w:t>resistance</w:t>
      </w:r>
      <w:r>
        <w:rPr>
          <w:spacing w:val="-16"/>
        </w:rPr>
        <w:t> </w:t>
      </w:r>
      <w:r>
        <w:rPr/>
        <w:t>to</w:t>
      </w:r>
      <w:r>
        <w:rPr>
          <w:spacing w:val="-15"/>
        </w:rPr>
        <w:t> </w:t>
      </w:r>
      <w:r>
        <w:rPr/>
        <w:t>stress,</w:t>
      </w:r>
      <w:r>
        <w:rPr>
          <w:spacing w:val="-15"/>
        </w:rPr>
        <w:t> </w:t>
      </w:r>
      <w:r>
        <w:rPr/>
        <w:t>increased</w:t>
      </w:r>
      <w:r>
        <w:rPr>
          <w:spacing w:val="-14"/>
        </w:rPr>
        <w:t> </w:t>
      </w:r>
      <w:r>
        <w:rPr/>
        <w:t>susceptibility</w:t>
      </w:r>
      <w:r>
        <w:rPr>
          <w:spacing w:val="-16"/>
        </w:rPr>
        <w:t> </w:t>
      </w:r>
      <w:r>
        <w:rPr/>
        <w:t>to</w:t>
      </w:r>
      <w:r>
        <w:rPr>
          <w:spacing w:val="-13"/>
        </w:rPr>
        <w:t> </w:t>
      </w:r>
      <w:r>
        <w:rPr/>
        <w:t>multiple</w:t>
      </w:r>
      <w:r>
        <w:rPr>
          <w:spacing w:val="-17"/>
        </w:rPr>
        <w:t> </w:t>
      </w:r>
      <w:r>
        <w:rPr/>
        <w:t>diseases,</w:t>
      </w:r>
      <w:r>
        <w:rPr>
          <w:spacing w:val="-14"/>
        </w:rPr>
        <w:t> </w:t>
      </w:r>
      <w:r>
        <w:rPr/>
        <w:t>general</w:t>
      </w:r>
      <w:r>
        <w:rPr>
          <w:spacing w:val="-18"/>
        </w:rPr>
        <w:t> </w:t>
      </w:r>
      <w:r>
        <w:rPr/>
        <w:t>dys- function and finally premature</w:t>
      </w:r>
      <w:r>
        <w:rPr>
          <w:spacing w:val="1"/>
        </w:rPr>
        <w:t> </w:t>
      </w:r>
      <w:r>
        <w:rPr/>
        <w:t>ageing.</w:t>
      </w:r>
    </w:p>
    <w:p>
      <w:pPr>
        <w:pStyle w:val="Heading1"/>
        <w:spacing w:before="225"/>
        <w:ind w:left="616"/>
        <w:jc w:val="both"/>
      </w:pPr>
      <w:r>
        <w:rPr>
          <w:w w:val="95"/>
        </w:rPr>
        <w:t>Symptoms of melatonin</w:t>
      </w:r>
      <w:r>
        <w:rPr>
          <w:spacing w:val="-13"/>
          <w:w w:val="95"/>
        </w:rPr>
        <w:t> </w:t>
      </w:r>
      <w:r>
        <w:rPr>
          <w:w w:val="95"/>
        </w:rPr>
        <w:t>deficiency</w:t>
      </w:r>
    </w:p>
    <w:p>
      <w:pPr>
        <w:spacing w:after="0"/>
        <w:jc w:val="both"/>
        <w:sectPr>
          <w:pgSz w:w="14270" w:h="16850"/>
          <w:pgMar w:header="0" w:footer="404" w:top="1420" w:bottom="600" w:left="800" w:right="1280"/>
        </w:sectPr>
      </w:pPr>
    </w:p>
    <w:p>
      <w:pPr>
        <w:pStyle w:val="BodyText"/>
        <w:spacing w:line="276" w:lineRule="auto" w:before="74"/>
        <w:ind w:left="616" w:right="136"/>
        <w:jc w:val="both"/>
      </w:pPr>
      <w:r>
        <w:rPr/>
        <w:t>Melatonin</w:t>
      </w:r>
      <w:r>
        <w:rPr>
          <w:spacing w:val="-17"/>
        </w:rPr>
        <w:t> </w:t>
      </w:r>
      <w:r>
        <w:rPr/>
        <w:t>deficiency</w:t>
      </w:r>
      <w:r>
        <w:rPr>
          <w:spacing w:val="-16"/>
        </w:rPr>
        <w:t> </w:t>
      </w:r>
      <w:r>
        <w:rPr/>
        <w:t>leads</w:t>
      </w:r>
      <w:r>
        <w:rPr>
          <w:spacing w:val="-17"/>
        </w:rPr>
        <w:t> </w:t>
      </w:r>
      <w:r>
        <w:rPr/>
        <w:t>to</w:t>
      </w:r>
      <w:r>
        <w:rPr>
          <w:spacing w:val="-17"/>
        </w:rPr>
        <w:t> </w:t>
      </w:r>
      <w:r>
        <w:rPr/>
        <w:t>numerous</w:t>
      </w:r>
      <w:r>
        <w:rPr>
          <w:spacing w:val="-16"/>
        </w:rPr>
        <w:t> </w:t>
      </w:r>
      <w:r>
        <w:rPr/>
        <w:t>symptoms</w:t>
      </w:r>
      <w:r>
        <w:rPr>
          <w:spacing w:val="-16"/>
        </w:rPr>
        <w:t> </w:t>
      </w:r>
      <w:r>
        <w:rPr/>
        <w:t>that</w:t>
      </w:r>
      <w:r>
        <w:rPr>
          <w:spacing w:val="-17"/>
        </w:rPr>
        <w:t> </w:t>
      </w:r>
      <w:r>
        <w:rPr/>
        <w:t>have</w:t>
      </w:r>
      <w:r>
        <w:rPr>
          <w:spacing w:val="-17"/>
        </w:rPr>
        <w:t> </w:t>
      </w:r>
      <w:r>
        <w:rPr/>
        <w:t>a</w:t>
      </w:r>
      <w:r>
        <w:rPr>
          <w:spacing w:val="-18"/>
        </w:rPr>
        <w:t> </w:t>
      </w:r>
      <w:r>
        <w:rPr/>
        <w:t>negative</w:t>
      </w:r>
      <w:r>
        <w:rPr>
          <w:spacing w:val="-17"/>
        </w:rPr>
        <w:t> </w:t>
      </w:r>
      <w:r>
        <w:rPr/>
        <w:t>impact in many ways. These are either symptoms of certain disorders that are associ- ated</w:t>
      </w:r>
      <w:r>
        <w:rPr>
          <w:spacing w:val="-15"/>
        </w:rPr>
        <w:t> </w:t>
      </w:r>
      <w:r>
        <w:rPr/>
        <w:t>with</w:t>
      </w:r>
      <w:r>
        <w:rPr>
          <w:spacing w:val="-14"/>
        </w:rPr>
        <w:t> </w:t>
      </w:r>
      <w:r>
        <w:rPr/>
        <w:t>a</w:t>
      </w:r>
      <w:r>
        <w:rPr>
          <w:spacing w:val="-15"/>
        </w:rPr>
        <w:t> </w:t>
      </w:r>
      <w:r>
        <w:rPr/>
        <w:t>melatonin</w:t>
      </w:r>
      <w:r>
        <w:rPr>
          <w:spacing w:val="-14"/>
        </w:rPr>
        <w:t> </w:t>
      </w:r>
      <w:r>
        <w:rPr/>
        <w:t>deficiency,</w:t>
      </w:r>
      <w:r>
        <w:rPr>
          <w:spacing w:val="-15"/>
        </w:rPr>
        <w:t> </w:t>
      </w:r>
      <w:r>
        <w:rPr/>
        <w:t>or</w:t>
      </w:r>
      <w:r>
        <w:rPr>
          <w:spacing w:val="-15"/>
        </w:rPr>
        <w:t> </w:t>
      </w:r>
      <w:r>
        <w:rPr/>
        <w:t>are</w:t>
      </w:r>
      <w:r>
        <w:rPr>
          <w:spacing w:val="-16"/>
        </w:rPr>
        <w:t> </w:t>
      </w:r>
      <w:r>
        <w:rPr/>
        <w:t>due</w:t>
      </w:r>
      <w:r>
        <w:rPr>
          <w:spacing w:val="-15"/>
        </w:rPr>
        <w:t> </w:t>
      </w:r>
      <w:r>
        <w:rPr/>
        <w:t>to</w:t>
      </w:r>
      <w:r>
        <w:rPr>
          <w:spacing w:val="-14"/>
        </w:rPr>
        <w:t> </w:t>
      </w:r>
      <w:r>
        <w:rPr/>
        <w:t>the</w:t>
      </w:r>
      <w:r>
        <w:rPr>
          <w:spacing w:val="-14"/>
        </w:rPr>
        <w:t> </w:t>
      </w:r>
      <w:r>
        <w:rPr/>
        <w:t>age-related</w:t>
      </w:r>
      <w:r>
        <w:rPr>
          <w:spacing w:val="-14"/>
        </w:rPr>
        <w:t> </w:t>
      </w:r>
      <w:r>
        <w:rPr/>
        <w:t>functional</w:t>
      </w:r>
      <w:r>
        <w:rPr>
          <w:spacing w:val="-16"/>
        </w:rPr>
        <w:t> </w:t>
      </w:r>
      <w:r>
        <w:rPr/>
        <w:t>weak- ness of the pineal gland, i.e. to biological</w:t>
      </w:r>
      <w:r>
        <w:rPr>
          <w:spacing w:val="-3"/>
        </w:rPr>
        <w:t> </w:t>
      </w:r>
      <w:r>
        <w:rPr/>
        <w:t>ageing:</w:t>
      </w:r>
    </w:p>
    <w:p>
      <w:pPr>
        <w:pStyle w:val="ListParagraph"/>
        <w:numPr>
          <w:ilvl w:val="0"/>
          <w:numId w:val="71"/>
        </w:numPr>
        <w:tabs>
          <w:tab w:pos="1032" w:val="left" w:leader="none"/>
        </w:tabs>
        <w:spacing w:line="240" w:lineRule="auto" w:before="200" w:after="0"/>
        <w:ind w:left="1031" w:right="0" w:hanging="415"/>
        <w:jc w:val="both"/>
        <w:rPr>
          <w:sz w:val="38"/>
        </w:rPr>
      </w:pPr>
      <w:r>
        <w:rPr>
          <w:sz w:val="38"/>
        </w:rPr>
        <w:t>Sleep</w:t>
      </w:r>
      <w:r>
        <w:rPr>
          <w:spacing w:val="-2"/>
          <w:sz w:val="38"/>
        </w:rPr>
        <w:t> </w:t>
      </w:r>
      <w:r>
        <w:rPr>
          <w:sz w:val="38"/>
        </w:rPr>
        <w:t>disorders</w:t>
      </w:r>
    </w:p>
    <w:p>
      <w:pPr>
        <w:pStyle w:val="ListParagraph"/>
        <w:numPr>
          <w:ilvl w:val="0"/>
          <w:numId w:val="71"/>
        </w:numPr>
        <w:tabs>
          <w:tab w:pos="1032" w:val="left" w:leader="none"/>
        </w:tabs>
        <w:spacing w:line="240" w:lineRule="auto" w:before="64" w:after="0"/>
        <w:ind w:left="1031" w:right="0" w:hanging="415"/>
        <w:jc w:val="both"/>
        <w:rPr>
          <w:sz w:val="38"/>
        </w:rPr>
      </w:pPr>
      <w:r>
        <w:rPr>
          <w:sz w:val="38"/>
        </w:rPr>
        <w:t>Susceptibility to</w:t>
      </w:r>
      <w:r>
        <w:rPr>
          <w:spacing w:val="1"/>
          <w:sz w:val="38"/>
        </w:rPr>
        <w:t> </w:t>
      </w:r>
      <w:r>
        <w:rPr>
          <w:sz w:val="38"/>
        </w:rPr>
        <w:t>colds</w:t>
      </w:r>
    </w:p>
    <w:p>
      <w:pPr>
        <w:pStyle w:val="ListParagraph"/>
        <w:numPr>
          <w:ilvl w:val="0"/>
          <w:numId w:val="71"/>
        </w:numPr>
        <w:tabs>
          <w:tab w:pos="1032" w:val="left" w:leader="none"/>
        </w:tabs>
        <w:spacing w:line="240" w:lineRule="auto" w:before="66" w:after="0"/>
        <w:ind w:left="1031" w:right="0" w:hanging="415"/>
        <w:jc w:val="both"/>
        <w:rPr>
          <w:sz w:val="38"/>
        </w:rPr>
      </w:pPr>
      <w:r>
        <w:rPr>
          <w:sz w:val="38"/>
        </w:rPr>
        <w:t>Susceptibility to viral infections</w:t>
      </w:r>
    </w:p>
    <w:p>
      <w:pPr>
        <w:pStyle w:val="ListParagraph"/>
        <w:numPr>
          <w:ilvl w:val="0"/>
          <w:numId w:val="71"/>
        </w:numPr>
        <w:tabs>
          <w:tab w:pos="1032" w:val="left" w:leader="none"/>
        </w:tabs>
        <w:spacing w:line="240" w:lineRule="auto" w:before="64" w:after="0"/>
        <w:ind w:left="1031" w:right="0" w:hanging="415"/>
        <w:jc w:val="both"/>
        <w:rPr>
          <w:sz w:val="38"/>
        </w:rPr>
      </w:pPr>
      <w:r>
        <w:rPr>
          <w:sz w:val="38"/>
        </w:rPr>
        <w:t>Mood</w:t>
      </w:r>
      <w:r>
        <w:rPr>
          <w:spacing w:val="-1"/>
          <w:sz w:val="38"/>
        </w:rPr>
        <w:t> </w:t>
      </w:r>
      <w:r>
        <w:rPr>
          <w:sz w:val="38"/>
        </w:rPr>
        <w:t>swings</w:t>
      </w:r>
    </w:p>
    <w:p>
      <w:pPr>
        <w:pStyle w:val="ListParagraph"/>
        <w:numPr>
          <w:ilvl w:val="0"/>
          <w:numId w:val="71"/>
        </w:numPr>
        <w:tabs>
          <w:tab w:pos="1031" w:val="left" w:leader="none"/>
          <w:tab w:pos="1032" w:val="left" w:leader="none"/>
        </w:tabs>
        <w:spacing w:line="273" w:lineRule="auto" w:before="64" w:after="0"/>
        <w:ind w:left="998" w:right="6827" w:hanging="382"/>
        <w:jc w:val="left"/>
        <w:rPr>
          <w:sz w:val="38"/>
        </w:rPr>
      </w:pPr>
      <w:r>
        <w:rPr>
          <w:sz w:val="38"/>
        </w:rPr>
        <w:t>Higher sensitivity to cold and heat</w:t>
      </w:r>
    </w:p>
    <w:p>
      <w:pPr>
        <w:pStyle w:val="ListParagraph"/>
        <w:numPr>
          <w:ilvl w:val="0"/>
          <w:numId w:val="71"/>
        </w:numPr>
        <w:tabs>
          <w:tab w:pos="1032" w:val="left" w:leader="none"/>
        </w:tabs>
        <w:spacing w:line="240" w:lineRule="auto" w:before="7" w:after="0"/>
        <w:ind w:left="1031" w:right="0" w:hanging="415"/>
        <w:jc w:val="both"/>
        <w:rPr>
          <w:sz w:val="38"/>
        </w:rPr>
      </w:pPr>
      <w:r>
        <w:rPr>
          <w:sz w:val="38"/>
        </w:rPr>
        <w:t>Concentration</w:t>
      </w:r>
      <w:r>
        <w:rPr>
          <w:spacing w:val="-1"/>
          <w:sz w:val="38"/>
        </w:rPr>
        <w:t> </w:t>
      </w:r>
      <w:r>
        <w:rPr>
          <w:sz w:val="38"/>
        </w:rPr>
        <w:t>problems</w:t>
      </w:r>
    </w:p>
    <w:p>
      <w:pPr>
        <w:pStyle w:val="ListParagraph"/>
        <w:numPr>
          <w:ilvl w:val="0"/>
          <w:numId w:val="71"/>
        </w:numPr>
        <w:tabs>
          <w:tab w:pos="1032" w:val="left" w:leader="none"/>
        </w:tabs>
        <w:spacing w:line="240" w:lineRule="auto" w:before="63" w:after="0"/>
        <w:ind w:left="1031" w:right="0" w:hanging="415"/>
        <w:jc w:val="both"/>
        <w:rPr>
          <w:sz w:val="38"/>
        </w:rPr>
      </w:pPr>
      <w:r>
        <w:rPr>
          <w:sz w:val="38"/>
        </w:rPr>
        <w:t>Memory</w:t>
      </w:r>
      <w:r>
        <w:rPr>
          <w:spacing w:val="-1"/>
          <w:sz w:val="38"/>
        </w:rPr>
        <w:t> </w:t>
      </w:r>
      <w:r>
        <w:rPr>
          <w:sz w:val="38"/>
        </w:rPr>
        <w:t>impairment</w:t>
      </w:r>
    </w:p>
    <w:p>
      <w:pPr>
        <w:pStyle w:val="ListParagraph"/>
        <w:numPr>
          <w:ilvl w:val="0"/>
          <w:numId w:val="71"/>
        </w:numPr>
        <w:tabs>
          <w:tab w:pos="1032" w:val="left" w:leader="none"/>
        </w:tabs>
        <w:spacing w:line="240" w:lineRule="auto" w:before="64" w:after="0"/>
        <w:ind w:left="1031" w:right="0" w:hanging="415"/>
        <w:jc w:val="both"/>
        <w:rPr>
          <w:sz w:val="38"/>
        </w:rPr>
      </w:pPr>
      <w:r>
        <w:rPr>
          <w:sz w:val="38"/>
        </w:rPr>
        <w:t>Depression</w:t>
      </w:r>
    </w:p>
    <w:p>
      <w:pPr>
        <w:pStyle w:val="ListParagraph"/>
        <w:numPr>
          <w:ilvl w:val="0"/>
          <w:numId w:val="71"/>
        </w:numPr>
        <w:tabs>
          <w:tab w:pos="1032" w:val="left" w:leader="none"/>
        </w:tabs>
        <w:spacing w:line="240" w:lineRule="auto" w:before="66" w:after="0"/>
        <w:ind w:left="1031" w:right="0" w:hanging="415"/>
        <w:jc w:val="both"/>
        <w:rPr>
          <w:sz w:val="38"/>
        </w:rPr>
      </w:pPr>
      <w:r>
        <w:rPr>
          <w:sz w:val="38"/>
        </w:rPr>
        <w:t>Lessening of digestion and urinary</w:t>
      </w:r>
      <w:r>
        <w:rPr>
          <w:spacing w:val="1"/>
          <w:sz w:val="38"/>
        </w:rPr>
        <w:t> </w:t>
      </w:r>
      <w:r>
        <w:rPr>
          <w:sz w:val="38"/>
        </w:rPr>
        <w:t>excretion</w:t>
      </w:r>
    </w:p>
    <w:p>
      <w:pPr>
        <w:pStyle w:val="ListParagraph"/>
        <w:numPr>
          <w:ilvl w:val="0"/>
          <w:numId w:val="71"/>
        </w:numPr>
        <w:tabs>
          <w:tab w:pos="1032" w:val="left" w:leader="none"/>
        </w:tabs>
        <w:spacing w:line="240" w:lineRule="auto" w:before="64" w:after="0"/>
        <w:ind w:left="1031" w:right="0" w:hanging="415"/>
        <w:jc w:val="both"/>
        <w:rPr>
          <w:sz w:val="38"/>
        </w:rPr>
      </w:pPr>
      <w:r>
        <w:rPr>
          <w:sz w:val="38"/>
        </w:rPr>
        <w:t>Chronic fatigue</w:t>
      </w:r>
      <w:r>
        <w:rPr>
          <w:spacing w:val="-3"/>
          <w:sz w:val="38"/>
        </w:rPr>
        <w:t> </w:t>
      </w:r>
      <w:r>
        <w:rPr>
          <w:sz w:val="38"/>
        </w:rPr>
        <w:t>syndrome</w:t>
      </w:r>
    </w:p>
    <w:p>
      <w:pPr>
        <w:pStyle w:val="ListParagraph"/>
        <w:numPr>
          <w:ilvl w:val="0"/>
          <w:numId w:val="71"/>
        </w:numPr>
        <w:tabs>
          <w:tab w:pos="1032" w:val="left" w:leader="none"/>
        </w:tabs>
        <w:spacing w:line="240" w:lineRule="auto" w:before="64" w:after="0"/>
        <w:ind w:left="1031" w:right="0" w:hanging="415"/>
        <w:jc w:val="both"/>
        <w:rPr>
          <w:sz w:val="38"/>
        </w:rPr>
      </w:pPr>
      <w:r>
        <w:rPr>
          <w:sz w:val="38"/>
        </w:rPr>
        <w:t>Symptoms of time</w:t>
      </w:r>
      <w:r>
        <w:rPr>
          <w:spacing w:val="-3"/>
          <w:sz w:val="38"/>
        </w:rPr>
        <w:t> </w:t>
      </w:r>
      <w:r>
        <w:rPr>
          <w:sz w:val="38"/>
        </w:rPr>
        <w:t>difference</w:t>
      </w:r>
    </w:p>
    <w:p>
      <w:pPr>
        <w:pStyle w:val="BodyText"/>
        <w:rPr>
          <w:sz w:val="44"/>
        </w:rPr>
      </w:pPr>
    </w:p>
    <w:p>
      <w:pPr>
        <w:pStyle w:val="BodyText"/>
        <w:spacing w:before="4"/>
        <w:rPr>
          <w:sz w:val="46"/>
        </w:rPr>
      </w:pPr>
    </w:p>
    <w:p>
      <w:pPr>
        <w:pStyle w:val="Heading1"/>
        <w:spacing w:before="0"/>
        <w:ind w:left="616"/>
        <w:jc w:val="both"/>
      </w:pPr>
      <w:r>
        <w:rPr/>
        <w:t>External influences that promote melatonin deficiency</w:t>
      </w:r>
    </w:p>
    <w:p>
      <w:pPr>
        <w:spacing w:line="264" w:lineRule="auto" w:before="282"/>
        <w:ind w:left="616" w:right="144" w:firstLine="0"/>
        <w:jc w:val="left"/>
        <w:rPr>
          <w:sz w:val="38"/>
        </w:rPr>
      </w:pPr>
      <w:r>
        <w:rPr>
          <w:b/>
          <w:i/>
          <w:sz w:val="40"/>
        </w:rPr>
        <w:t>Electrical</w:t>
      </w:r>
      <w:r>
        <w:rPr>
          <w:b/>
          <w:i/>
          <w:spacing w:val="-39"/>
          <w:sz w:val="40"/>
        </w:rPr>
        <w:t> </w:t>
      </w:r>
      <w:r>
        <w:rPr>
          <w:b/>
          <w:i/>
          <w:sz w:val="40"/>
        </w:rPr>
        <w:t>equipment</w:t>
      </w:r>
      <w:r>
        <w:rPr>
          <w:b/>
          <w:i/>
          <w:spacing w:val="-40"/>
          <w:sz w:val="40"/>
        </w:rPr>
        <w:t> </w:t>
      </w:r>
      <w:r>
        <w:rPr>
          <w:b/>
          <w:i/>
          <w:sz w:val="40"/>
        </w:rPr>
        <w:t>and</w:t>
      </w:r>
      <w:r>
        <w:rPr>
          <w:b/>
          <w:i/>
          <w:spacing w:val="-38"/>
          <w:sz w:val="40"/>
        </w:rPr>
        <w:t> </w:t>
      </w:r>
      <w:r>
        <w:rPr>
          <w:b/>
          <w:i/>
          <w:sz w:val="40"/>
        </w:rPr>
        <w:t>power</w:t>
      </w:r>
      <w:r>
        <w:rPr>
          <w:b/>
          <w:i/>
          <w:spacing w:val="-40"/>
          <w:sz w:val="40"/>
        </w:rPr>
        <w:t> </w:t>
      </w:r>
      <w:r>
        <w:rPr>
          <w:b/>
          <w:i/>
          <w:sz w:val="40"/>
        </w:rPr>
        <w:t>lines,</w:t>
      </w:r>
      <w:r>
        <w:rPr>
          <w:b/>
          <w:i/>
          <w:spacing w:val="-39"/>
          <w:sz w:val="40"/>
        </w:rPr>
        <w:t> </w:t>
      </w:r>
      <w:r>
        <w:rPr>
          <w:b/>
          <w:i/>
          <w:sz w:val="40"/>
        </w:rPr>
        <w:t>ultrasonic</w:t>
      </w:r>
      <w:r>
        <w:rPr>
          <w:b/>
          <w:i/>
          <w:spacing w:val="-38"/>
          <w:sz w:val="40"/>
        </w:rPr>
        <w:t> </w:t>
      </w:r>
      <w:r>
        <w:rPr>
          <w:b/>
          <w:i/>
          <w:sz w:val="40"/>
        </w:rPr>
        <w:t>waves</w:t>
      </w:r>
      <w:r>
        <w:rPr>
          <w:b/>
          <w:i/>
          <w:spacing w:val="-39"/>
          <w:sz w:val="40"/>
        </w:rPr>
        <w:t> </w:t>
      </w:r>
      <w:r>
        <w:rPr>
          <w:b/>
          <w:i/>
          <w:sz w:val="40"/>
        </w:rPr>
        <w:t>and</w:t>
      </w:r>
      <w:r>
        <w:rPr>
          <w:b/>
          <w:i/>
          <w:spacing w:val="-39"/>
          <w:sz w:val="40"/>
        </w:rPr>
        <w:t> </w:t>
      </w:r>
      <w:r>
        <w:rPr>
          <w:b/>
          <w:i/>
          <w:sz w:val="40"/>
        </w:rPr>
        <w:t>magnetic fields</w:t>
      </w:r>
      <w:r>
        <w:rPr>
          <w:i/>
          <w:sz w:val="38"/>
        </w:rPr>
        <w:t>;</w:t>
      </w:r>
      <w:r>
        <w:rPr>
          <w:i/>
          <w:spacing w:val="1"/>
          <w:sz w:val="38"/>
        </w:rPr>
        <w:t> </w:t>
      </w:r>
      <w:r>
        <w:rPr>
          <w:sz w:val="38"/>
        </w:rPr>
        <w:t>including</w:t>
      </w:r>
    </w:p>
    <w:p>
      <w:pPr>
        <w:pStyle w:val="ListParagraph"/>
        <w:numPr>
          <w:ilvl w:val="1"/>
          <w:numId w:val="71"/>
        </w:numPr>
        <w:tabs>
          <w:tab w:pos="1617" w:val="left" w:leader="none"/>
          <w:tab w:pos="1618" w:val="left" w:leader="none"/>
        </w:tabs>
        <w:spacing w:line="240" w:lineRule="auto" w:before="251" w:after="0"/>
        <w:ind w:left="1617" w:right="0" w:hanging="643"/>
        <w:jc w:val="left"/>
        <w:rPr>
          <w:sz w:val="38"/>
        </w:rPr>
      </w:pPr>
      <w:r>
        <w:rPr>
          <w:sz w:val="38"/>
        </w:rPr>
        <w:t>microwave</w:t>
      </w:r>
      <w:r>
        <w:rPr>
          <w:spacing w:val="-2"/>
          <w:sz w:val="38"/>
        </w:rPr>
        <w:t> </w:t>
      </w:r>
      <w:r>
        <w:rPr>
          <w:sz w:val="38"/>
        </w:rPr>
        <w:t>ovens</w:t>
      </w:r>
    </w:p>
    <w:p>
      <w:pPr>
        <w:spacing w:after="0" w:line="240" w:lineRule="auto"/>
        <w:jc w:val="left"/>
        <w:rPr>
          <w:sz w:val="38"/>
        </w:rPr>
        <w:sectPr>
          <w:footerReference w:type="default" r:id="rId238"/>
          <w:pgSz w:w="14270" w:h="16850"/>
          <w:pgMar w:footer="1891" w:header="0" w:top="1340" w:bottom="2080" w:left="800" w:right="1280"/>
          <w:pgNumType w:start="1000"/>
        </w:sectPr>
      </w:pPr>
    </w:p>
    <w:p>
      <w:pPr>
        <w:pStyle w:val="ListParagraph"/>
        <w:numPr>
          <w:ilvl w:val="1"/>
          <w:numId w:val="71"/>
        </w:numPr>
        <w:tabs>
          <w:tab w:pos="1617" w:val="left" w:leader="none"/>
          <w:tab w:pos="1618" w:val="left" w:leader="none"/>
        </w:tabs>
        <w:spacing w:line="240" w:lineRule="auto" w:before="53" w:after="0"/>
        <w:ind w:left="1617" w:right="0" w:hanging="643"/>
        <w:jc w:val="left"/>
        <w:rPr>
          <w:sz w:val="38"/>
        </w:rPr>
      </w:pPr>
      <w:r>
        <w:rPr>
          <w:sz w:val="38"/>
        </w:rPr>
        <w:t>wireless</w:t>
      </w:r>
      <w:r>
        <w:rPr>
          <w:spacing w:val="-2"/>
          <w:sz w:val="38"/>
        </w:rPr>
        <w:t> </w:t>
      </w:r>
      <w:r>
        <w:rPr>
          <w:sz w:val="38"/>
        </w:rPr>
        <w:t>phones</w:t>
      </w:r>
    </w:p>
    <w:p>
      <w:pPr>
        <w:pStyle w:val="ListParagraph"/>
        <w:numPr>
          <w:ilvl w:val="1"/>
          <w:numId w:val="71"/>
        </w:numPr>
        <w:tabs>
          <w:tab w:pos="1617" w:val="left" w:leader="none"/>
          <w:tab w:pos="1618" w:val="left" w:leader="none"/>
        </w:tabs>
        <w:spacing w:line="240" w:lineRule="auto" w:before="66" w:after="0"/>
        <w:ind w:left="1617" w:right="0" w:hanging="643"/>
        <w:jc w:val="left"/>
        <w:rPr>
          <w:sz w:val="38"/>
        </w:rPr>
      </w:pPr>
      <w:r>
        <w:rPr>
          <w:sz w:val="38"/>
        </w:rPr>
        <w:t>mobile</w:t>
      </w:r>
      <w:r>
        <w:rPr>
          <w:spacing w:val="-2"/>
          <w:sz w:val="38"/>
        </w:rPr>
        <w:t> </w:t>
      </w:r>
      <w:r>
        <w:rPr>
          <w:sz w:val="38"/>
        </w:rPr>
        <w:t>phones</w:t>
      </w:r>
    </w:p>
    <w:p>
      <w:pPr>
        <w:pStyle w:val="ListParagraph"/>
        <w:numPr>
          <w:ilvl w:val="1"/>
          <w:numId w:val="71"/>
        </w:numPr>
        <w:tabs>
          <w:tab w:pos="1617" w:val="left" w:leader="none"/>
          <w:tab w:pos="1618" w:val="left" w:leader="none"/>
        </w:tabs>
        <w:spacing w:line="240" w:lineRule="auto" w:before="64" w:after="0"/>
        <w:ind w:left="1617" w:right="0" w:hanging="643"/>
        <w:jc w:val="left"/>
        <w:rPr>
          <w:sz w:val="38"/>
        </w:rPr>
      </w:pPr>
      <w:r>
        <w:rPr>
          <w:sz w:val="38"/>
        </w:rPr>
        <w:t>TV</w:t>
      </w:r>
      <w:r>
        <w:rPr>
          <w:spacing w:val="-1"/>
          <w:sz w:val="38"/>
        </w:rPr>
        <w:t> </w:t>
      </w:r>
      <w:r>
        <w:rPr>
          <w:sz w:val="38"/>
        </w:rPr>
        <w:t>sets</w:t>
      </w:r>
    </w:p>
    <w:p>
      <w:pPr>
        <w:pStyle w:val="ListParagraph"/>
        <w:numPr>
          <w:ilvl w:val="1"/>
          <w:numId w:val="71"/>
        </w:numPr>
        <w:tabs>
          <w:tab w:pos="1617" w:val="left" w:leader="none"/>
          <w:tab w:pos="1618" w:val="left" w:leader="none"/>
        </w:tabs>
        <w:spacing w:line="240" w:lineRule="auto" w:before="64" w:after="0"/>
        <w:ind w:left="1617" w:right="0" w:hanging="643"/>
        <w:jc w:val="left"/>
        <w:rPr>
          <w:sz w:val="38"/>
        </w:rPr>
      </w:pPr>
      <w:r>
        <w:rPr>
          <w:sz w:val="38"/>
        </w:rPr>
        <w:t>bedside table clock</w:t>
      </w:r>
      <w:r>
        <w:rPr>
          <w:spacing w:val="2"/>
          <w:sz w:val="38"/>
        </w:rPr>
        <w:t> </w:t>
      </w:r>
      <w:r>
        <w:rPr>
          <w:sz w:val="38"/>
        </w:rPr>
        <w:t>radios</w:t>
      </w:r>
    </w:p>
    <w:p>
      <w:pPr>
        <w:pStyle w:val="ListParagraph"/>
        <w:numPr>
          <w:ilvl w:val="1"/>
          <w:numId w:val="71"/>
        </w:numPr>
        <w:tabs>
          <w:tab w:pos="1617" w:val="left" w:leader="none"/>
          <w:tab w:pos="1618" w:val="left" w:leader="none"/>
        </w:tabs>
        <w:spacing w:line="240" w:lineRule="auto" w:before="63" w:after="0"/>
        <w:ind w:left="1617" w:right="0" w:hanging="643"/>
        <w:jc w:val="left"/>
        <w:rPr>
          <w:sz w:val="38"/>
        </w:rPr>
      </w:pPr>
      <w:r>
        <w:rPr>
          <w:sz w:val="38"/>
        </w:rPr>
        <w:t>personal</w:t>
      </w:r>
      <w:r>
        <w:rPr>
          <w:spacing w:val="-1"/>
          <w:sz w:val="38"/>
        </w:rPr>
        <w:t> </w:t>
      </w:r>
      <w:r>
        <w:rPr>
          <w:sz w:val="38"/>
        </w:rPr>
        <w:t>computers</w:t>
      </w:r>
    </w:p>
    <w:p>
      <w:pPr>
        <w:pStyle w:val="ListParagraph"/>
        <w:numPr>
          <w:ilvl w:val="1"/>
          <w:numId w:val="71"/>
        </w:numPr>
        <w:tabs>
          <w:tab w:pos="1617" w:val="left" w:leader="none"/>
          <w:tab w:pos="1618" w:val="left" w:leader="none"/>
        </w:tabs>
        <w:spacing w:line="240" w:lineRule="auto" w:before="64" w:after="0"/>
        <w:ind w:left="1617" w:right="0" w:hanging="643"/>
        <w:jc w:val="left"/>
        <w:rPr>
          <w:sz w:val="38"/>
        </w:rPr>
      </w:pPr>
      <w:r>
        <w:rPr>
          <w:sz w:val="38"/>
        </w:rPr>
        <w:t>high-voltage lines</w:t>
      </w:r>
    </w:p>
    <w:p>
      <w:pPr>
        <w:pStyle w:val="BodyText"/>
        <w:spacing w:line="276" w:lineRule="auto" w:before="304"/>
        <w:ind w:left="616" w:right="133"/>
        <w:jc w:val="both"/>
      </w:pPr>
      <w:r>
        <w:rPr/>
        <w:t>Melatonin deficiency may be due to the proven rise in cancer rates and the enormous increase of certain diseases such as cancer, cardiovascular diseases, allergies,</w:t>
      </w:r>
      <w:r>
        <w:rPr>
          <w:spacing w:val="-6"/>
        </w:rPr>
        <w:t> </w:t>
      </w:r>
      <w:r>
        <w:rPr/>
        <w:t>etc.</w:t>
      </w:r>
      <w:r>
        <w:rPr>
          <w:spacing w:val="-6"/>
        </w:rPr>
        <w:t> </w:t>
      </w:r>
      <w:r>
        <w:rPr/>
        <w:t>within</w:t>
      </w:r>
      <w:r>
        <w:rPr>
          <w:spacing w:val="-6"/>
        </w:rPr>
        <w:t> </w:t>
      </w:r>
      <w:r>
        <w:rPr/>
        <w:t>industrialised</w:t>
      </w:r>
      <w:r>
        <w:rPr>
          <w:spacing w:val="-7"/>
        </w:rPr>
        <w:t> </w:t>
      </w:r>
      <w:r>
        <w:rPr/>
        <w:t>nations</w:t>
      </w:r>
      <w:r>
        <w:rPr>
          <w:spacing w:val="-4"/>
        </w:rPr>
        <w:t> </w:t>
      </w:r>
      <w:r>
        <w:rPr/>
        <w:t>as</w:t>
      </w:r>
      <w:r>
        <w:rPr>
          <w:spacing w:val="-6"/>
        </w:rPr>
        <w:t> </w:t>
      </w:r>
      <w:r>
        <w:rPr/>
        <w:t>a</w:t>
      </w:r>
      <w:r>
        <w:rPr>
          <w:spacing w:val="-8"/>
        </w:rPr>
        <w:t> </w:t>
      </w:r>
      <w:r>
        <w:rPr/>
        <w:t>result</w:t>
      </w:r>
      <w:r>
        <w:rPr>
          <w:spacing w:val="-8"/>
        </w:rPr>
        <w:t> </w:t>
      </w:r>
      <w:r>
        <w:rPr/>
        <w:t>of</w:t>
      </w:r>
      <w:r>
        <w:rPr>
          <w:spacing w:val="-7"/>
        </w:rPr>
        <w:t> </w:t>
      </w:r>
      <w:r>
        <w:rPr/>
        <w:t>the</w:t>
      </w:r>
      <w:r>
        <w:rPr>
          <w:spacing w:val="-6"/>
        </w:rPr>
        <w:t> </w:t>
      </w:r>
      <w:r>
        <w:rPr/>
        <w:t>factors</w:t>
      </w:r>
      <w:r>
        <w:rPr>
          <w:spacing w:val="-5"/>
        </w:rPr>
        <w:t> </w:t>
      </w:r>
      <w:r>
        <w:rPr/>
        <w:t>and</w:t>
      </w:r>
      <w:r>
        <w:rPr>
          <w:spacing w:val="-7"/>
        </w:rPr>
        <w:t> </w:t>
      </w:r>
      <w:r>
        <w:rPr/>
        <w:t>devices mentioned above.</w:t>
      </w:r>
    </w:p>
    <w:p>
      <w:pPr>
        <w:pStyle w:val="BodyText"/>
        <w:spacing w:line="276" w:lineRule="auto" w:before="223"/>
        <w:ind w:left="616" w:right="132"/>
        <w:jc w:val="both"/>
      </w:pPr>
      <w:r>
        <w:rPr>
          <w:b/>
          <w:i/>
          <w:sz w:val="40"/>
        </w:rPr>
        <w:t>Occupation</w:t>
      </w:r>
      <w:r>
        <w:rPr>
          <w:b/>
          <w:i/>
          <w:spacing w:val="-38"/>
          <w:sz w:val="40"/>
        </w:rPr>
        <w:t> </w:t>
      </w:r>
      <w:r>
        <w:rPr>
          <w:b/>
          <w:i/>
          <w:sz w:val="40"/>
        </w:rPr>
        <w:t>and</w:t>
      </w:r>
      <w:r>
        <w:rPr>
          <w:b/>
          <w:i/>
          <w:spacing w:val="-38"/>
          <w:sz w:val="40"/>
        </w:rPr>
        <w:t> </w:t>
      </w:r>
      <w:r>
        <w:rPr>
          <w:b/>
          <w:i/>
          <w:sz w:val="40"/>
        </w:rPr>
        <w:t>way</w:t>
      </w:r>
      <w:r>
        <w:rPr>
          <w:b/>
          <w:i/>
          <w:spacing w:val="-36"/>
          <w:sz w:val="40"/>
        </w:rPr>
        <w:t> </w:t>
      </w:r>
      <w:r>
        <w:rPr>
          <w:b/>
          <w:i/>
          <w:sz w:val="40"/>
        </w:rPr>
        <w:t>of</w:t>
      </w:r>
      <w:r>
        <w:rPr>
          <w:b/>
          <w:i/>
          <w:spacing w:val="-37"/>
          <w:sz w:val="40"/>
        </w:rPr>
        <w:t> </w:t>
      </w:r>
      <w:r>
        <w:rPr>
          <w:b/>
          <w:i/>
          <w:sz w:val="40"/>
        </w:rPr>
        <w:t>life:</w:t>
      </w:r>
      <w:r>
        <w:rPr>
          <w:b/>
          <w:i/>
          <w:spacing w:val="-33"/>
          <w:sz w:val="40"/>
        </w:rPr>
        <w:t> </w:t>
      </w:r>
      <w:r>
        <w:rPr/>
        <w:t>Certain</w:t>
      </w:r>
      <w:r>
        <w:rPr>
          <w:spacing w:val="-32"/>
        </w:rPr>
        <w:t> </w:t>
      </w:r>
      <w:r>
        <w:rPr/>
        <w:t>occupations</w:t>
      </w:r>
      <w:r>
        <w:rPr>
          <w:spacing w:val="-30"/>
        </w:rPr>
        <w:t> </w:t>
      </w:r>
      <w:r>
        <w:rPr/>
        <w:t>that</w:t>
      </w:r>
      <w:r>
        <w:rPr>
          <w:spacing w:val="-32"/>
        </w:rPr>
        <w:t> </w:t>
      </w:r>
      <w:r>
        <w:rPr/>
        <w:t>do</w:t>
      </w:r>
      <w:r>
        <w:rPr>
          <w:spacing w:val="-31"/>
        </w:rPr>
        <w:t> </w:t>
      </w:r>
      <w:r>
        <w:rPr/>
        <w:t>not</w:t>
      </w:r>
      <w:r>
        <w:rPr>
          <w:spacing w:val="-32"/>
        </w:rPr>
        <w:t> </w:t>
      </w:r>
      <w:r>
        <w:rPr/>
        <w:t>allow</w:t>
      </w:r>
      <w:r>
        <w:rPr>
          <w:spacing w:val="-32"/>
        </w:rPr>
        <w:t> </w:t>
      </w:r>
      <w:r>
        <w:rPr/>
        <w:t>for</w:t>
      </w:r>
      <w:r>
        <w:rPr>
          <w:spacing w:val="-30"/>
        </w:rPr>
        <w:t> </w:t>
      </w:r>
      <w:r>
        <w:rPr/>
        <w:t>a</w:t>
      </w:r>
      <w:r>
        <w:rPr>
          <w:spacing w:val="-32"/>
        </w:rPr>
        <w:t> </w:t>
      </w:r>
      <w:r>
        <w:rPr/>
        <w:t>con- trolled sleep-wake cycle (pilots, stewardesses, shift workers) are also at risk of melatonin deficiency. The vicious cycle takes its course when the falling mela- tonin</w:t>
      </w:r>
      <w:r>
        <w:rPr>
          <w:spacing w:val="-22"/>
        </w:rPr>
        <w:t> </w:t>
      </w:r>
      <w:r>
        <w:rPr/>
        <w:t>level</w:t>
      </w:r>
      <w:r>
        <w:rPr>
          <w:spacing w:val="-24"/>
        </w:rPr>
        <w:t> </w:t>
      </w:r>
      <w:r>
        <w:rPr/>
        <w:t>results</w:t>
      </w:r>
      <w:r>
        <w:rPr>
          <w:spacing w:val="-23"/>
        </w:rPr>
        <w:t> </w:t>
      </w:r>
      <w:r>
        <w:rPr/>
        <w:t>in</w:t>
      </w:r>
      <w:r>
        <w:rPr>
          <w:spacing w:val="-21"/>
        </w:rPr>
        <w:t> </w:t>
      </w:r>
      <w:r>
        <w:rPr/>
        <w:t>an</w:t>
      </w:r>
      <w:r>
        <w:rPr>
          <w:spacing w:val="-23"/>
        </w:rPr>
        <w:t> </w:t>
      </w:r>
      <w:r>
        <w:rPr/>
        <w:t>increasing</w:t>
      </w:r>
      <w:r>
        <w:rPr>
          <w:spacing w:val="-23"/>
        </w:rPr>
        <w:t> </w:t>
      </w:r>
      <w:r>
        <w:rPr/>
        <w:t>lack</w:t>
      </w:r>
      <w:r>
        <w:rPr>
          <w:spacing w:val="-24"/>
        </w:rPr>
        <w:t> </w:t>
      </w:r>
      <w:r>
        <w:rPr/>
        <w:t>of</w:t>
      </w:r>
      <w:r>
        <w:rPr>
          <w:spacing w:val="-21"/>
        </w:rPr>
        <w:t> </w:t>
      </w:r>
      <w:r>
        <w:rPr/>
        <w:t>energy</w:t>
      </w:r>
      <w:r>
        <w:rPr>
          <w:spacing w:val="-22"/>
        </w:rPr>
        <w:t> </w:t>
      </w:r>
      <w:r>
        <w:rPr/>
        <w:t>in</w:t>
      </w:r>
      <w:r>
        <w:rPr>
          <w:spacing w:val="-22"/>
        </w:rPr>
        <w:t> </w:t>
      </w:r>
      <w:r>
        <w:rPr/>
        <w:t>the</w:t>
      </w:r>
      <w:r>
        <w:rPr>
          <w:spacing w:val="-22"/>
        </w:rPr>
        <w:t> </w:t>
      </w:r>
      <w:r>
        <w:rPr/>
        <w:t>cells.</w:t>
      </w:r>
      <w:r>
        <w:rPr>
          <w:spacing w:val="-21"/>
        </w:rPr>
        <w:t> </w:t>
      </w:r>
      <w:r>
        <w:rPr/>
        <w:t>This</w:t>
      </w:r>
      <w:r>
        <w:rPr>
          <w:spacing w:val="-25"/>
        </w:rPr>
        <w:t> </w:t>
      </w:r>
      <w:r>
        <w:rPr/>
        <w:t>lack</w:t>
      </w:r>
      <w:r>
        <w:rPr>
          <w:spacing w:val="-24"/>
        </w:rPr>
        <w:t> </w:t>
      </w:r>
      <w:r>
        <w:rPr/>
        <w:t>of</w:t>
      </w:r>
      <w:r>
        <w:rPr>
          <w:spacing w:val="-21"/>
        </w:rPr>
        <w:t> </w:t>
      </w:r>
      <w:r>
        <w:rPr/>
        <w:t>energy transfers</w:t>
      </w:r>
      <w:r>
        <w:rPr>
          <w:spacing w:val="-9"/>
        </w:rPr>
        <w:t> </w:t>
      </w:r>
      <w:r>
        <w:rPr/>
        <w:t>to</w:t>
      </w:r>
      <w:r>
        <w:rPr>
          <w:spacing w:val="-8"/>
        </w:rPr>
        <w:t> </w:t>
      </w:r>
      <w:r>
        <w:rPr/>
        <w:t>the</w:t>
      </w:r>
      <w:r>
        <w:rPr>
          <w:spacing w:val="-11"/>
        </w:rPr>
        <w:t> </w:t>
      </w:r>
      <w:r>
        <w:rPr/>
        <w:t>pineal</w:t>
      </w:r>
      <w:r>
        <w:rPr>
          <w:spacing w:val="-9"/>
        </w:rPr>
        <w:t> </w:t>
      </w:r>
      <w:r>
        <w:rPr/>
        <w:t>gland</w:t>
      </w:r>
      <w:r>
        <w:rPr>
          <w:spacing w:val="-8"/>
        </w:rPr>
        <w:t> </w:t>
      </w:r>
      <w:r>
        <w:rPr/>
        <w:t>and</w:t>
      </w:r>
      <w:r>
        <w:rPr>
          <w:spacing w:val="-7"/>
        </w:rPr>
        <w:t> </w:t>
      </w:r>
      <w:r>
        <w:rPr/>
        <w:t>contributes</w:t>
      </w:r>
      <w:r>
        <w:rPr>
          <w:spacing w:val="-8"/>
        </w:rPr>
        <w:t> </w:t>
      </w:r>
      <w:r>
        <w:rPr/>
        <w:t>to</w:t>
      </w:r>
      <w:r>
        <w:rPr>
          <w:spacing w:val="-8"/>
        </w:rPr>
        <w:t> </w:t>
      </w:r>
      <w:r>
        <w:rPr/>
        <w:t>the</w:t>
      </w:r>
      <w:r>
        <w:rPr>
          <w:spacing w:val="-8"/>
        </w:rPr>
        <w:t> </w:t>
      </w:r>
      <w:r>
        <w:rPr/>
        <w:t>calcification</w:t>
      </w:r>
      <w:r>
        <w:rPr>
          <w:spacing w:val="-8"/>
        </w:rPr>
        <w:t> </w:t>
      </w:r>
      <w:r>
        <w:rPr/>
        <w:t>and</w:t>
      </w:r>
      <w:r>
        <w:rPr>
          <w:spacing w:val="-9"/>
        </w:rPr>
        <w:t> </w:t>
      </w:r>
      <w:r>
        <w:rPr/>
        <w:t>functional restriction</w:t>
      </w:r>
      <w:r>
        <w:rPr>
          <w:spacing w:val="-23"/>
        </w:rPr>
        <w:t> </w:t>
      </w:r>
      <w:r>
        <w:rPr/>
        <w:t>of</w:t>
      </w:r>
      <w:r>
        <w:rPr>
          <w:spacing w:val="-23"/>
        </w:rPr>
        <w:t> </w:t>
      </w:r>
      <w:r>
        <w:rPr/>
        <w:t>the</w:t>
      </w:r>
      <w:r>
        <w:rPr>
          <w:spacing w:val="-22"/>
        </w:rPr>
        <w:t> </w:t>
      </w:r>
      <w:r>
        <w:rPr/>
        <w:t>pineal</w:t>
      </w:r>
      <w:r>
        <w:rPr>
          <w:spacing w:val="-24"/>
        </w:rPr>
        <w:t> </w:t>
      </w:r>
      <w:r>
        <w:rPr/>
        <w:t>gland,</w:t>
      </w:r>
      <w:r>
        <w:rPr>
          <w:spacing w:val="-22"/>
        </w:rPr>
        <w:t> </w:t>
      </w:r>
      <w:r>
        <w:rPr/>
        <w:t>which</w:t>
      </w:r>
      <w:r>
        <w:rPr>
          <w:spacing w:val="-23"/>
        </w:rPr>
        <w:t> </w:t>
      </w:r>
      <w:r>
        <w:rPr/>
        <w:t>in</w:t>
      </w:r>
      <w:r>
        <w:rPr>
          <w:spacing w:val="-22"/>
        </w:rPr>
        <w:t> </w:t>
      </w:r>
      <w:r>
        <w:rPr/>
        <w:t>turn</w:t>
      </w:r>
      <w:r>
        <w:rPr>
          <w:spacing w:val="-23"/>
        </w:rPr>
        <w:t> </w:t>
      </w:r>
      <w:r>
        <w:rPr/>
        <w:t>shrinks</w:t>
      </w:r>
      <w:r>
        <w:rPr>
          <w:spacing w:val="-23"/>
        </w:rPr>
        <w:t> </w:t>
      </w:r>
      <w:r>
        <w:rPr/>
        <w:t>and</w:t>
      </w:r>
      <w:r>
        <w:rPr>
          <w:spacing w:val="-23"/>
        </w:rPr>
        <w:t> </w:t>
      </w:r>
      <w:r>
        <w:rPr/>
        <w:t>restricts</w:t>
      </w:r>
      <w:r>
        <w:rPr>
          <w:spacing w:val="-24"/>
        </w:rPr>
        <w:t> </w:t>
      </w:r>
      <w:r>
        <w:rPr/>
        <w:t>its</w:t>
      </w:r>
      <w:r>
        <w:rPr>
          <w:spacing w:val="-22"/>
        </w:rPr>
        <w:t> </w:t>
      </w:r>
      <w:r>
        <w:rPr/>
        <w:t>production of melatonin, which manifests itself in further lack of energy in the cells. The result of this vicious cycle is 'ageing', combined with all its unpleasant side ef- fects and</w:t>
      </w:r>
      <w:r>
        <w:rPr>
          <w:spacing w:val="1"/>
        </w:rPr>
        <w:t> </w:t>
      </w:r>
      <w:r>
        <w:rPr/>
        <w:t>illnesses!</w:t>
      </w:r>
    </w:p>
    <w:p>
      <w:pPr>
        <w:pStyle w:val="Heading1"/>
        <w:spacing w:before="215"/>
        <w:ind w:left="616"/>
      </w:pPr>
      <w:r>
        <w:rPr/>
        <w:t>Can the melatonin level be measured to detect a deficiency?</w:t>
      </w:r>
    </w:p>
    <w:p>
      <w:pPr>
        <w:pStyle w:val="BodyText"/>
        <w:spacing w:line="276" w:lineRule="auto" w:before="300"/>
        <w:ind w:left="616" w:right="140"/>
        <w:jc w:val="both"/>
      </w:pPr>
      <w:r>
        <w:rPr/>
        <w:t>According to Focus magazine, at eight years of age, the human body has the highest concentration of approximately 125 picograms per ml of blood, at</w:t>
      </w:r>
      <w:r>
        <w:rPr>
          <w:spacing w:val="-66"/>
        </w:rPr>
        <w:t> </w:t>
      </w:r>
      <w:r>
        <w:rPr/>
        <w:t>age</w:t>
      </w:r>
    </w:p>
    <w:p>
      <w:pPr>
        <w:spacing w:after="0" w:line="276" w:lineRule="auto"/>
        <w:jc w:val="both"/>
        <w:sectPr>
          <w:pgSz w:w="14270" w:h="16850"/>
          <w:pgMar w:header="0" w:footer="1891" w:top="1360" w:bottom="2080" w:left="800" w:right="1280"/>
        </w:sectPr>
      </w:pPr>
    </w:p>
    <w:p>
      <w:pPr>
        <w:pStyle w:val="BodyText"/>
        <w:spacing w:line="278" w:lineRule="auto" w:before="72"/>
        <w:ind w:left="616" w:right="135"/>
        <w:jc w:val="both"/>
      </w:pPr>
      <w:r>
        <w:rPr/>
        <w:t>16, it is still around 87 picograms/ml blood, at 45 it is only about 50 picograms/ml blood and at age 80 it is only 25 picograms/ml of blood.</w:t>
      </w:r>
    </w:p>
    <w:p>
      <w:pPr>
        <w:pStyle w:val="BodyText"/>
        <w:spacing w:line="273" w:lineRule="auto" w:before="215"/>
        <w:ind w:left="616" w:right="136"/>
        <w:jc w:val="both"/>
      </w:pPr>
      <w:r>
        <w:rPr>
          <w:b/>
          <w:i/>
          <w:sz w:val="40"/>
        </w:rPr>
        <w:t>Melatonin</w:t>
      </w:r>
      <w:r>
        <w:rPr>
          <w:b/>
          <w:i/>
          <w:spacing w:val="-14"/>
          <w:sz w:val="40"/>
        </w:rPr>
        <w:t> </w:t>
      </w:r>
      <w:r>
        <w:rPr>
          <w:b/>
          <w:i/>
          <w:sz w:val="40"/>
        </w:rPr>
        <w:t>level</w:t>
      </w:r>
      <w:r>
        <w:rPr>
          <w:b/>
          <w:i/>
          <w:spacing w:val="-15"/>
          <w:sz w:val="40"/>
        </w:rPr>
        <w:t> </w:t>
      </w:r>
      <w:r>
        <w:rPr>
          <w:b/>
          <w:i/>
          <w:sz w:val="40"/>
        </w:rPr>
        <w:t>measurement</w:t>
      </w:r>
      <w:r>
        <w:rPr>
          <w:b/>
          <w:i/>
          <w:spacing w:val="-12"/>
          <w:sz w:val="40"/>
        </w:rPr>
        <w:t> </w:t>
      </w:r>
      <w:r>
        <w:rPr>
          <w:b/>
          <w:i/>
          <w:sz w:val="40"/>
        </w:rPr>
        <w:t>in</w:t>
      </w:r>
      <w:r>
        <w:rPr>
          <w:b/>
          <w:i/>
          <w:spacing w:val="-16"/>
          <w:sz w:val="40"/>
        </w:rPr>
        <w:t> </w:t>
      </w:r>
      <w:r>
        <w:rPr>
          <w:b/>
          <w:i/>
          <w:sz w:val="40"/>
        </w:rPr>
        <w:t>blood:</w:t>
      </w:r>
      <w:r>
        <w:rPr>
          <w:b/>
          <w:i/>
          <w:spacing w:val="-12"/>
          <w:sz w:val="40"/>
        </w:rPr>
        <w:t> </w:t>
      </w:r>
      <w:r>
        <w:rPr/>
        <w:t>the</w:t>
      </w:r>
      <w:r>
        <w:rPr>
          <w:spacing w:val="-8"/>
        </w:rPr>
        <w:t> </w:t>
      </w:r>
      <w:r>
        <w:rPr/>
        <w:t>fact</w:t>
      </w:r>
      <w:r>
        <w:rPr>
          <w:spacing w:val="-9"/>
        </w:rPr>
        <w:t> </w:t>
      </w:r>
      <w:r>
        <w:rPr/>
        <w:t>that</w:t>
      </w:r>
      <w:r>
        <w:rPr>
          <w:spacing w:val="-9"/>
        </w:rPr>
        <w:t> </w:t>
      </w:r>
      <w:r>
        <w:rPr/>
        <w:t>1</w:t>
      </w:r>
      <w:r>
        <w:rPr>
          <w:spacing w:val="-9"/>
        </w:rPr>
        <w:t> </w:t>
      </w:r>
      <w:r>
        <w:rPr/>
        <w:t>picogram</w:t>
      </w:r>
      <w:r>
        <w:rPr>
          <w:spacing w:val="-9"/>
        </w:rPr>
        <w:t> </w:t>
      </w:r>
      <w:r>
        <w:rPr/>
        <w:t>is</w:t>
      </w:r>
      <w:r>
        <w:rPr>
          <w:spacing w:val="-9"/>
        </w:rPr>
        <w:t> </w:t>
      </w:r>
      <w:r>
        <w:rPr/>
        <w:t>only</w:t>
      </w:r>
      <w:r>
        <w:rPr>
          <w:spacing w:val="-11"/>
        </w:rPr>
        <w:t> </w:t>
      </w:r>
      <w:r>
        <w:rPr/>
        <w:t>1 trillionth</w:t>
      </w:r>
      <w:r>
        <w:rPr>
          <w:spacing w:val="-9"/>
        </w:rPr>
        <w:t> </w:t>
      </w:r>
      <w:r>
        <w:rPr/>
        <w:t>of</w:t>
      </w:r>
      <w:r>
        <w:rPr>
          <w:spacing w:val="-8"/>
        </w:rPr>
        <w:t> </w:t>
      </w:r>
      <w:r>
        <w:rPr/>
        <w:t>a</w:t>
      </w:r>
      <w:r>
        <w:rPr>
          <w:spacing w:val="-10"/>
        </w:rPr>
        <w:t> </w:t>
      </w:r>
      <w:r>
        <w:rPr/>
        <w:t>gram</w:t>
      </w:r>
      <w:r>
        <w:rPr>
          <w:spacing w:val="-9"/>
        </w:rPr>
        <w:t> </w:t>
      </w:r>
      <w:r>
        <w:rPr/>
        <w:t>makes</w:t>
      </w:r>
      <w:r>
        <w:rPr>
          <w:spacing w:val="-9"/>
        </w:rPr>
        <w:t> </w:t>
      </w:r>
      <w:r>
        <w:rPr/>
        <w:t>it</w:t>
      </w:r>
      <w:r>
        <w:rPr>
          <w:spacing w:val="-10"/>
        </w:rPr>
        <w:t> </w:t>
      </w:r>
      <w:r>
        <w:rPr/>
        <w:t>clear</w:t>
      </w:r>
      <w:r>
        <w:rPr>
          <w:spacing w:val="-8"/>
        </w:rPr>
        <w:t> </w:t>
      </w:r>
      <w:r>
        <w:rPr/>
        <w:t>how</w:t>
      </w:r>
      <w:r>
        <w:rPr>
          <w:spacing w:val="-10"/>
        </w:rPr>
        <w:t> </w:t>
      </w:r>
      <w:r>
        <w:rPr/>
        <w:t>small</w:t>
      </w:r>
      <w:r>
        <w:rPr>
          <w:spacing w:val="-10"/>
        </w:rPr>
        <w:t> </w:t>
      </w:r>
      <w:r>
        <w:rPr/>
        <w:t>these</w:t>
      </w:r>
      <w:r>
        <w:rPr>
          <w:spacing w:val="-9"/>
        </w:rPr>
        <w:t> </w:t>
      </w:r>
      <w:r>
        <w:rPr/>
        <w:t>amounts</w:t>
      </w:r>
      <w:r>
        <w:rPr>
          <w:spacing w:val="-8"/>
        </w:rPr>
        <w:t> </w:t>
      </w:r>
      <w:r>
        <w:rPr/>
        <w:t>are.</w:t>
      </w:r>
      <w:r>
        <w:rPr>
          <w:spacing w:val="-7"/>
        </w:rPr>
        <w:t> </w:t>
      </w:r>
      <w:r>
        <w:rPr/>
        <w:t>To</w:t>
      </w:r>
      <w:r>
        <w:rPr>
          <w:spacing w:val="-9"/>
        </w:rPr>
        <w:t> </w:t>
      </w:r>
      <w:r>
        <w:rPr/>
        <w:t>complicate the blood measurement, melatonin is rapidly broken down by the liver and</w:t>
      </w:r>
      <w:r>
        <w:rPr>
          <w:spacing w:val="-29"/>
        </w:rPr>
        <w:t> </w:t>
      </w:r>
      <w:r>
        <w:rPr/>
        <w:t>85</w:t>
      </w:r>
    </w:p>
    <w:p>
      <w:pPr>
        <w:pStyle w:val="BodyText"/>
        <w:spacing w:before="8"/>
        <w:ind w:left="616"/>
        <w:jc w:val="both"/>
      </w:pPr>
      <w:r>
        <w:rPr/>
        <w:t>% of the melatonin is excreted in the urine after just two hours.</w:t>
      </w:r>
    </w:p>
    <w:p>
      <w:pPr>
        <w:pStyle w:val="BodyText"/>
        <w:spacing w:line="276" w:lineRule="auto" w:before="285"/>
        <w:ind w:left="616" w:right="133"/>
        <w:jc w:val="both"/>
      </w:pPr>
      <w:r>
        <w:rPr>
          <w:b/>
          <w:i/>
          <w:sz w:val="40"/>
        </w:rPr>
        <w:t>Melatonin</w:t>
      </w:r>
      <w:r>
        <w:rPr>
          <w:b/>
          <w:i/>
          <w:spacing w:val="-17"/>
          <w:sz w:val="40"/>
        </w:rPr>
        <w:t> </w:t>
      </w:r>
      <w:r>
        <w:rPr>
          <w:b/>
          <w:i/>
          <w:sz w:val="40"/>
        </w:rPr>
        <w:t>level</w:t>
      </w:r>
      <w:r>
        <w:rPr>
          <w:b/>
          <w:i/>
          <w:spacing w:val="-17"/>
          <w:sz w:val="40"/>
        </w:rPr>
        <w:t> </w:t>
      </w:r>
      <w:r>
        <w:rPr>
          <w:b/>
          <w:i/>
          <w:sz w:val="40"/>
        </w:rPr>
        <w:t>measurement</w:t>
      </w:r>
      <w:r>
        <w:rPr>
          <w:b/>
          <w:i/>
          <w:spacing w:val="-15"/>
          <w:sz w:val="40"/>
        </w:rPr>
        <w:t> </w:t>
      </w:r>
      <w:r>
        <w:rPr>
          <w:b/>
          <w:i/>
          <w:sz w:val="40"/>
        </w:rPr>
        <w:t>in</w:t>
      </w:r>
      <w:r>
        <w:rPr>
          <w:b/>
          <w:i/>
          <w:spacing w:val="-17"/>
          <w:sz w:val="40"/>
        </w:rPr>
        <w:t> </w:t>
      </w:r>
      <w:r>
        <w:rPr>
          <w:b/>
          <w:i/>
          <w:sz w:val="40"/>
        </w:rPr>
        <w:t>urine:</w:t>
      </w:r>
      <w:r>
        <w:rPr>
          <w:b/>
          <w:i/>
          <w:spacing w:val="-15"/>
          <w:sz w:val="40"/>
        </w:rPr>
        <w:t> </w:t>
      </w:r>
      <w:r>
        <w:rPr/>
        <w:t>however,</w:t>
      </w:r>
      <w:r>
        <w:rPr>
          <w:spacing w:val="-10"/>
        </w:rPr>
        <w:t> </w:t>
      </w:r>
      <w:r>
        <w:rPr/>
        <w:t>this</w:t>
      </w:r>
      <w:r>
        <w:rPr>
          <w:spacing w:val="-13"/>
        </w:rPr>
        <w:t> </w:t>
      </w:r>
      <w:r>
        <w:rPr/>
        <w:t>is</w:t>
      </w:r>
      <w:r>
        <w:rPr>
          <w:spacing w:val="-13"/>
        </w:rPr>
        <w:t> </w:t>
      </w:r>
      <w:r>
        <w:rPr/>
        <w:t>exactly</w:t>
      </w:r>
      <w:r>
        <w:rPr>
          <w:spacing w:val="-11"/>
        </w:rPr>
        <w:t> </w:t>
      </w:r>
      <w:r>
        <w:rPr/>
        <w:t>where</w:t>
      </w:r>
      <w:r>
        <w:rPr>
          <w:spacing w:val="-11"/>
        </w:rPr>
        <w:t> </w:t>
      </w:r>
      <w:r>
        <w:rPr/>
        <w:t>the chance of the most accurate measurement via urine lies, because the break- down</w:t>
      </w:r>
      <w:r>
        <w:rPr>
          <w:spacing w:val="-18"/>
        </w:rPr>
        <w:t> </w:t>
      </w:r>
      <w:r>
        <w:rPr/>
        <w:t>product</w:t>
      </w:r>
      <w:r>
        <w:rPr>
          <w:spacing w:val="-19"/>
        </w:rPr>
        <w:t> </w:t>
      </w:r>
      <w:r>
        <w:rPr/>
        <w:t>of</w:t>
      </w:r>
      <w:r>
        <w:rPr>
          <w:spacing w:val="-18"/>
        </w:rPr>
        <w:t> </w:t>
      </w:r>
      <w:r>
        <w:rPr/>
        <w:t>melatonin</w:t>
      </w:r>
      <w:r>
        <w:rPr>
          <w:spacing w:val="-19"/>
        </w:rPr>
        <w:t> </w:t>
      </w:r>
      <w:r>
        <w:rPr/>
        <w:t>in</w:t>
      </w:r>
      <w:r>
        <w:rPr>
          <w:spacing w:val="-18"/>
        </w:rPr>
        <w:t> </w:t>
      </w:r>
      <w:r>
        <w:rPr/>
        <w:t>urine,</w:t>
      </w:r>
      <w:r>
        <w:rPr>
          <w:spacing w:val="-18"/>
        </w:rPr>
        <w:t> </w:t>
      </w:r>
      <w:r>
        <w:rPr/>
        <w:t>called</w:t>
      </w:r>
      <w:r>
        <w:rPr>
          <w:spacing w:val="-19"/>
        </w:rPr>
        <w:t> </w:t>
      </w:r>
      <w:r>
        <w:rPr/>
        <w:t>6-sulphato-melatonin</w:t>
      </w:r>
      <w:r>
        <w:rPr>
          <w:spacing w:val="-18"/>
        </w:rPr>
        <w:t> </w:t>
      </w:r>
      <w:r>
        <w:rPr/>
        <w:t>(6-SMT),</w:t>
      </w:r>
      <w:r>
        <w:rPr>
          <w:spacing w:val="-19"/>
        </w:rPr>
        <w:t> </w:t>
      </w:r>
      <w:r>
        <w:rPr/>
        <w:t>can be detected very well chemically and correlates very well with the melatonin level in the blood (except for people with liver or kidney</w:t>
      </w:r>
      <w:r>
        <w:rPr>
          <w:spacing w:val="-6"/>
        </w:rPr>
        <w:t> </w:t>
      </w:r>
      <w:r>
        <w:rPr/>
        <w:t>dysfunction).</w:t>
      </w:r>
    </w:p>
    <w:p>
      <w:pPr>
        <w:pStyle w:val="Heading2"/>
        <w:spacing w:before="231"/>
        <w:ind w:left="616"/>
        <w:jc w:val="both"/>
      </w:pPr>
      <w:r>
        <w:rPr/>
        <w:t>What to do about melatonin deficiency</w:t>
      </w:r>
    </w:p>
    <w:p>
      <w:pPr>
        <w:pStyle w:val="BodyText"/>
        <w:spacing w:line="276" w:lineRule="auto" w:before="305"/>
        <w:ind w:left="616" w:right="138"/>
        <w:jc w:val="both"/>
      </w:pPr>
      <w:r>
        <w:rPr/>
        <w:t>There</w:t>
      </w:r>
      <w:r>
        <w:rPr>
          <w:spacing w:val="-11"/>
        </w:rPr>
        <w:t> </w:t>
      </w:r>
      <w:r>
        <w:rPr/>
        <w:t>are</w:t>
      </w:r>
      <w:r>
        <w:rPr>
          <w:spacing w:val="-11"/>
        </w:rPr>
        <w:t> </w:t>
      </w:r>
      <w:r>
        <w:rPr/>
        <w:t>several</w:t>
      </w:r>
      <w:r>
        <w:rPr>
          <w:spacing w:val="-13"/>
        </w:rPr>
        <w:t> </w:t>
      </w:r>
      <w:r>
        <w:rPr/>
        <w:t>potential</w:t>
      </w:r>
      <w:r>
        <w:rPr>
          <w:spacing w:val="-11"/>
        </w:rPr>
        <w:t> </w:t>
      </w:r>
      <w:r>
        <w:rPr/>
        <w:t>courses</w:t>
      </w:r>
      <w:r>
        <w:rPr>
          <w:spacing w:val="-11"/>
        </w:rPr>
        <w:t> </w:t>
      </w:r>
      <w:r>
        <w:rPr/>
        <w:t>of</w:t>
      </w:r>
      <w:r>
        <w:rPr>
          <w:spacing w:val="-11"/>
        </w:rPr>
        <w:t> </w:t>
      </w:r>
      <w:r>
        <w:rPr/>
        <w:t>action</w:t>
      </w:r>
      <w:r>
        <w:rPr>
          <w:spacing w:val="-11"/>
        </w:rPr>
        <w:t> </w:t>
      </w:r>
      <w:r>
        <w:rPr/>
        <w:t>against</w:t>
      </w:r>
      <w:r>
        <w:rPr>
          <w:spacing w:val="-11"/>
        </w:rPr>
        <w:t> </w:t>
      </w:r>
      <w:r>
        <w:rPr/>
        <w:t>melatonin</w:t>
      </w:r>
      <w:r>
        <w:rPr>
          <w:spacing w:val="-12"/>
        </w:rPr>
        <w:t> </w:t>
      </w:r>
      <w:r>
        <w:rPr/>
        <w:t>deficiency.</w:t>
      </w:r>
      <w:r>
        <w:rPr>
          <w:spacing w:val="-11"/>
        </w:rPr>
        <w:t> </w:t>
      </w:r>
      <w:r>
        <w:rPr/>
        <w:t>Suf- ficient, undisturbed sleep is the ultimate prerequisite for stimulating your own melatonin level.</w:t>
      </w:r>
    </w:p>
    <w:p>
      <w:pPr>
        <w:pStyle w:val="BodyText"/>
        <w:spacing w:line="276" w:lineRule="auto" w:before="239"/>
        <w:ind w:left="616" w:right="133"/>
        <w:jc w:val="both"/>
      </w:pPr>
      <w:r>
        <w:rPr/>
        <w:t>Disturbing, external factors that have an effect on the body's </w:t>
      </w:r>
      <w:r>
        <w:rPr>
          <w:spacing w:val="2"/>
        </w:rPr>
        <w:t>own </w:t>
      </w:r>
      <w:r>
        <w:rPr/>
        <w:t>production of melatonin (see above!) should be restricted as much as possible and, if</w:t>
      </w:r>
      <w:r>
        <w:rPr>
          <w:spacing w:val="-53"/>
        </w:rPr>
        <w:t> </w:t>
      </w:r>
      <w:r>
        <w:rPr/>
        <w:t>pos- sible, eliminated.</w:t>
      </w:r>
    </w:p>
    <w:p>
      <w:pPr>
        <w:pStyle w:val="BodyText"/>
        <w:spacing w:line="276" w:lineRule="auto" w:before="241"/>
        <w:ind w:left="616" w:right="143"/>
        <w:jc w:val="both"/>
      </w:pPr>
      <w:r>
        <w:rPr/>
        <w:t>Certain fruits, vegetables and spices also contain melatonin. These include cherries, sunflower seeds, almonds as well as fennel and coriander.</w:t>
      </w:r>
    </w:p>
    <w:p>
      <w:pPr>
        <w:pStyle w:val="BodyText"/>
        <w:spacing w:before="241"/>
        <w:ind w:left="616"/>
        <w:jc w:val="both"/>
      </w:pPr>
      <w:r>
        <w:rPr/>
        <w:t>In addition, one can and in certain cases should resort to taking melatonin</w:t>
      </w:r>
    </w:p>
    <w:p>
      <w:pPr>
        <w:spacing w:after="0"/>
        <w:jc w:val="both"/>
        <w:sectPr>
          <w:pgSz w:w="14270" w:h="16850"/>
          <w:pgMar w:header="0" w:footer="1891" w:top="1340" w:bottom="2080" w:left="800" w:right="1280"/>
        </w:sectPr>
      </w:pPr>
    </w:p>
    <w:p>
      <w:pPr>
        <w:pStyle w:val="BodyText"/>
        <w:spacing w:line="278" w:lineRule="auto" w:before="72"/>
        <w:ind w:left="616" w:right="137"/>
        <w:jc w:val="both"/>
      </w:pPr>
      <w:r>
        <w:rPr/>
        <w:t>tablets/capsules. The goal is to regenerate the pineal gland in the medium to long term so that it can resume its melatonin production.</w:t>
      </w:r>
    </w:p>
    <w:p>
      <w:pPr>
        <w:pStyle w:val="Heading1"/>
        <w:spacing w:before="215"/>
        <w:ind w:left="616"/>
      </w:pPr>
      <w:r>
        <w:rPr/>
        <w:t>When is it too late to take</w:t>
      </w:r>
      <w:r>
        <w:rPr>
          <w:spacing w:val="-65"/>
        </w:rPr>
        <w:t> </w:t>
      </w:r>
      <w:r>
        <w:rPr/>
        <w:t>melatonin</w:t>
      </w:r>
    </w:p>
    <w:p>
      <w:pPr>
        <w:pStyle w:val="BodyText"/>
        <w:spacing w:line="276" w:lineRule="auto" w:before="299"/>
        <w:ind w:left="616" w:right="138"/>
        <w:jc w:val="both"/>
      </w:pPr>
      <w:r>
        <w:rPr/>
        <w:t>In short: NEVER! According to the research of Prof. William Regelson, Dr. Walter Pierpaoli and many other researchers, the chances are good even in people who have long passed their 45th birthday, over a longer period of reg- ular melatonin intake, for the pineal gland to be revived and natural</w:t>
      </w:r>
      <w:r>
        <w:rPr>
          <w:spacing w:val="-64"/>
        </w:rPr>
        <w:t> </w:t>
      </w:r>
      <w:r>
        <w:rPr/>
        <w:t>melatonin production to be stimulated to that of a much younger body. The endocrine system fulfils its tasks again, as it does in a young body, and many signs of ageing can be undone in this way.</w:t>
      </w:r>
    </w:p>
    <w:p>
      <w:pPr>
        <w:pStyle w:val="Heading2"/>
        <w:spacing w:before="241"/>
        <w:ind w:left="616"/>
      </w:pPr>
      <w:r>
        <w:rPr/>
        <w:t>Side effects of melatonin</w:t>
      </w:r>
    </w:p>
    <w:p>
      <w:pPr>
        <w:pStyle w:val="BodyText"/>
        <w:spacing w:line="276" w:lineRule="auto" w:before="304"/>
        <w:ind w:left="616" w:right="136"/>
        <w:jc w:val="both"/>
      </w:pPr>
      <w:r>
        <w:rPr/>
        <w:t>From a chemical point of view, melatonin is a very simple amino acid synthe- sised from another amino acid called tryptophan, and serotonin, a messenger. Melatonin is made from these two substances when needed. Melatonin has been used in studies and research for many years and is used by millions of people every day in many countries, such as the Netherlands and the United States.</w:t>
      </w:r>
    </w:p>
    <w:p>
      <w:pPr>
        <w:pStyle w:val="BodyText"/>
        <w:spacing w:line="276" w:lineRule="auto" w:before="241"/>
        <w:ind w:left="616" w:right="137"/>
        <w:jc w:val="both"/>
      </w:pPr>
      <w:r>
        <w:rPr/>
        <w:t>In the US and other countries, melatonin is approved as a nutritional supple- ment and is freely available in every health store. The US National Institutes of Health has repeatedly stated that taking melatonin poses no risk. Further- more, there are researchers who, experimenting on themselves, have taken a</w:t>
      </w:r>
    </w:p>
    <w:p>
      <w:pPr>
        <w:spacing w:after="0" w:line="276" w:lineRule="auto"/>
        <w:jc w:val="both"/>
        <w:sectPr>
          <w:pgSz w:w="14270" w:h="16850"/>
          <w:pgMar w:header="0" w:footer="1891" w:top="1340" w:bottom="2080" w:left="800" w:right="1280"/>
        </w:sectPr>
      </w:pPr>
    </w:p>
    <w:p>
      <w:pPr>
        <w:pStyle w:val="BodyText"/>
        <w:spacing w:line="278" w:lineRule="auto" w:before="72"/>
        <w:ind w:left="616" w:right="139"/>
        <w:jc w:val="both"/>
        <w:rPr>
          <w:sz w:val="25"/>
        </w:rPr>
      </w:pPr>
      <w:r>
        <w:rPr/>
        <w:t>thousand-fold amount of melatonin, which corresponds to the melatonin lev- els of a teenager, without side effects, for more than ten years.</w:t>
      </w:r>
      <w:r>
        <w:rPr>
          <w:position w:val="9"/>
          <w:sz w:val="25"/>
        </w:rPr>
        <w:t>553</w:t>
      </w:r>
    </w:p>
    <w:p>
      <w:pPr>
        <w:pStyle w:val="BodyText"/>
        <w:spacing w:line="276" w:lineRule="auto" w:before="232"/>
        <w:ind w:left="616" w:right="138"/>
        <w:jc w:val="both"/>
      </w:pPr>
      <w:r>
        <w:rPr/>
        <w:t>To</w:t>
      </w:r>
      <w:r>
        <w:rPr>
          <w:spacing w:val="-9"/>
        </w:rPr>
        <w:t> </w:t>
      </w:r>
      <w:r>
        <w:rPr/>
        <w:t>date,</w:t>
      </w:r>
      <w:r>
        <w:rPr>
          <w:spacing w:val="-8"/>
        </w:rPr>
        <w:t> </w:t>
      </w:r>
      <w:r>
        <w:rPr/>
        <w:t>not</w:t>
      </w:r>
      <w:r>
        <w:rPr>
          <w:spacing w:val="-11"/>
        </w:rPr>
        <w:t> </w:t>
      </w:r>
      <w:r>
        <w:rPr/>
        <w:t>a</w:t>
      </w:r>
      <w:r>
        <w:rPr>
          <w:spacing w:val="-10"/>
        </w:rPr>
        <w:t> </w:t>
      </w:r>
      <w:r>
        <w:rPr/>
        <w:t>single</w:t>
      </w:r>
      <w:r>
        <w:rPr>
          <w:spacing w:val="-9"/>
        </w:rPr>
        <w:t> </w:t>
      </w:r>
      <w:r>
        <w:rPr/>
        <w:t>case</w:t>
      </w:r>
      <w:r>
        <w:rPr>
          <w:spacing w:val="-10"/>
        </w:rPr>
        <w:t> </w:t>
      </w:r>
      <w:r>
        <w:rPr/>
        <w:t>of</w:t>
      </w:r>
      <w:r>
        <w:rPr>
          <w:spacing w:val="-8"/>
        </w:rPr>
        <w:t> </w:t>
      </w:r>
      <w:r>
        <w:rPr/>
        <w:t>serious</w:t>
      </w:r>
      <w:r>
        <w:rPr>
          <w:spacing w:val="-9"/>
        </w:rPr>
        <w:t> </w:t>
      </w:r>
      <w:r>
        <w:rPr/>
        <w:t>illness,</w:t>
      </w:r>
      <w:r>
        <w:rPr>
          <w:spacing w:val="-7"/>
        </w:rPr>
        <w:t> </w:t>
      </w:r>
      <w:r>
        <w:rPr/>
        <w:t>threat</w:t>
      </w:r>
      <w:r>
        <w:rPr>
          <w:spacing w:val="-10"/>
        </w:rPr>
        <w:t> </w:t>
      </w:r>
      <w:r>
        <w:rPr/>
        <w:t>to</w:t>
      </w:r>
      <w:r>
        <w:rPr>
          <w:spacing w:val="-8"/>
        </w:rPr>
        <w:t> </w:t>
      </w:r>
      <w:r>
        <w:rPr/>
        <w:t>life,</w:t>
      </w:r>
      <w:r>
        <w:rPr>
          <w:spacing w:val="-9"/>
        </w:rPr>
        <w:t> </w:t>
      </w:r>
      <w:r>
        <w:rPr/>
        <w:t>let</w:t>
      </w:r>
      <w:r>
        <w:rPr>
          <w:spacing w:val="-12"/>
        </w:rPr>
        <w:t> </w:t>
      </w:r>
      <w:r>
        <w:rPr/>
        <w:t>alone</w:t>
      </w:r>
      <w:r>
        <w:rPr>
          <w:spacing w:val="-11"/>
        </w:rPr>
        <w:t> </w:t>
      </w:r>
      <w:r>
        <w:rPr/>
        <w:t>death</w:t>
      </w:r>
      <w:r>
        <w:rPr>
          <w:spacing w:val="-8"/>
        </w:rPr>
        <w:t> </w:t>
      </w:r>
      <w:r>
        <w:rPr/>
        <w:t>due</w:t>
      </w:r>
      <w:r>
        <w:rPr>
          <w:spacing w:val="-11"/>
        </w:rPr>
        <w:t> </w:t>
      </w:r>
      <w:r>
        <w:rPr/>
        <w:t>to taking</w:t>
      </w:r>
      <w:r>
        <w:rPr>
          <w:spacing w:val="-24"/>
        </w:rPr>
        <w:t> </w:t>
      </w:r>
      <w:r>
        <w:rPr/>
        <w:t>melatonin</w:t>
      </w:r>
      <w:r>
        <w:rPr>
          <w:spacing w:val="-23"/>
        </w:rPr>
        <w:t> </w:t>
      </w:r>
      <w:r>
        <w:rPr/>
        <w:t>has</w:t>
      </w:r>
      <w:r>
        <w:rPr>
          <w:spacing w:val="-25"/>
        </w:rPr>
        <w:t> </w:t>
      </w:r>
      <w:r>
        <w:rPr/>
        <w:t>become</w:t>
      </w:r>
      <w:r>
        <w:rPr>
          <w:spacing w:val="-27"/>
        </w:rPr>
        <w:t> </w:t>
      </w:r>
      <w:r>
        <w:rPr/>
        <w:t>known.</w:t>
      </w:r>
      <w:r>
        <w:rPr>
          <w:spacing w:val="-23"/>
        </w:rPr>
        <w:t> </w:t>
      </w:r>
      <w:r>
        <w:rPr/>
        <w:t>This</w:t>
      </w:r>
      <w:r>
        <w:rPr>
          <w:spacing w:val="-26"/>
        </w:rPr>
        <w:t> </w:t>
      </w:r>
      <w:r>
        <w:rPr/>
        <w:t>should</w:t>
      </w:r>
      <w:r>
        <w:rPr>
          <w:spacing w:val="-27"/>
        </w:rPr>
        <w:t> </w:t>
      </w:r>
      <w:r>
        <w:rPr/>
        <w:t>be</w:t>
      </w:r>
      <w:r>
        <w:rPr>
          <w:spacing w:val="-25"/>
        </w:rPr>
        <w:t> </w:t>
      </w:r>
      <w:r>
        <w:rPr/>
        <w:t>something</w:t>
      </w:r>
      <w:r>
        <w:rPr>
          <w:spacing w:val="-23"/>
        </w:rPr>
        <w:t> </w:t>
      </w:r>
      <w:r>
        <w:rPr/>
        <w:t>to</w:t>
      </w:r>
      <w:r>
        <w:rPr>
          <w:spacing w:val="-28"/>
        </w:rPr>
        <w:t> </w:t>
      </w:r>
      <w:r>
        <w:rPr/>
        <w:t>think</w:t>
      </w:r>
      <w:r>
        <w:rPr>
          <w:spacing w:val="-24"/>
        </w:rPr>
        <w:t> </w:t>
      </w:r>
      <w:r>
        <w:rPr/>
        <w:t>about, especially since melatonin has been available as a dietary supplement over the counter in the US since 1994 and fortunately is now taken on a regular basis by more Americans than</w:t>
      </w:r>
      <w:r>
        <w:rPr>
          <w:spacing w:val="3"/>
        </w:rPr>
        <w:t> </w:t>
      </w:r>
      <w:r>
        <w:rPr/>
        <w:t>aspirin.</w:t>
      </w:r>
    </w:p>
    <w:p>
      <w:pPr>
        <w:pStyle w:val="BodyText"/>
        <w:spacing w:line="276" w:lineRule="auto" w:before="242"/>
        <w:ind w:left="616" w:right="131"/>
        <w:jc w:val="both"/>
      </w:pPr>
      <w:r>
        <w:rPr/>
        <w:t>In</w:t>
      </w:r>
      <w:r>
        <w:rPr>
          <w:spacing w:val="-7"/>
        </w:rPr>
        <w:t> </w:t>
      </w:r>
      <w:r>
        <w:rPr/>
        <w:t>none</w:t>
      </w:r>
      <w:r>
        <w:rPr>
          <w:spacing w:val="-9"/>
        </w:rPr>
        <w:t> </w:t>
      </w:r>
      <w:r>
        <w:rPr/>
        <w:t>of</w:t>
      </w:r>
      <w:r>
        <w:rPr>
          <w:spacing w:val="-7"/>
        </w:rPr>
        <w:t> </w:t>
      </w:r>
      <w:r>
        <w:rPr/>
        <w:t>their</w:t>
      </w:r>
      <w:r>
        <w:rPr>
          <w:spacing w:val="-10"/>
        </w:rPr>
        <w:t> </w:t>
      </w:r>
      <w:r>
        <w:rPr/>
        <w:t>countless</w:t>
      </w:r>
      <w:r>
        <w:rPr>
          <w:spacing w:val="-6"/>
        </w:rPr>
        <w:t> </w:t>
      </w:r>
      <w:r>
        <w:rPr/>
        <w:t>experiments</w:t>
      </w:r>
      <w:r>
        <w:rPr>
          <w:spacing w:val="-6"/>
        </w:rPr>
        <w:t> </w:t>
      </w:r>
      <w:r>
        <w:rPr/>
        <w:t>and</w:t>
      </w:r>
      <w:r>
        <w:rPr>
          <w:spacing w:val="-10"/>
        </w:rPr>
        <w:t> </w:t>
      </w:r>
      <w:r>
        <w:rPr/>
        <w:t>studies</w:t>
      </w:r>
      <w:r>
        <w:rPr>
          <w:spacing w:val="-7"/>
        </w:rPr>
        <w:t> </w:t>
      </w:r>
      <w:r>
        <w:rPr/>
        <w:t>did</w:t>
      </w:r>
      <w:r>
        <w:rPr>
          <w:spacing w:val="-8"/>
        </w:rPr>
        <w:t> </w:t>
      </w:r>
      <w:r>
        <w:rPr/>
        <w:t>Prof.</w:t>
      </w:r>
      <w:r>
        <w:rPr>
          <w:spacing w:val="-8"/>
        </w:rPr>
        <w:t> </w:t>
      </w:r>
      <w:r>
        <w:rPr/>
        <w:t>William</w:t>
      </w:r>
      <w:r>
        <w:rPr>
          <w:spacing w:val="-7"/>
        </w:rPr>
        <w:t> </w:t>
      </w:r>
      <w:r>
        <w:rPr/>
        <w:t>Regelson and</w:t>
      </w:r>
      <w:r>
        <w:rPr>
          <w:spacing w:val="-19"/>
        </w:rPr>
        <w:t> </w:t>
      </w:r>
      <w:r>
        <w:rPr/>
        <w:t>Walter</w:t>
      </w:r>
      <w:r>
        <w:rPr>
          <w:spacing w:val="-18"/>
        </w:rPr>
        <w:t> </w:t>
      </w:r>
      <w:r>
        <w:rPr/>
        <w:t>Pierpaoli</w:t>
      </w:r>
      <w:r>
        <w:rPr>
          <w:spacing w:val="-20"/>
        </w:rPr>
        <w:t> </w:t>
      </w:r>
      <w:r>
        <w:rPr/>
        <w:t>detect</w:t>
      </w:r>
      <w:r>
        <w:rPr>
          <w:spacing w:val="-18"/>
        </w:rPr>
        <w:t> </w:t>
      </w:r>
      <w:r>
        <w:rPr/>
        <w:t>unwanted</w:t>
      </w:r>
      <w:r>
        <w:rPr>
          <w:spacing w:val="-18"/>
        </w:rPr>
        <w:t> </w:t>
      </w:r>
      <w:r>
        <w:rPr/>
        <w:t>side</w:t>
      </w:r>
      <w:r>
        <w:rPr>
          <w:spacing w:val="-18"/>
        </w:rPr>
        <w:t> </w:t>
      </w:r>
      <w:r>
        <w:rPr/>
        <w:t>effects</w:t>
      </w:r>
      <w:r>
        <w:rPr>
          <w:spacing w:val="-21"/>
        </w:rPr>
        <w:t> </w:t>
      </w:r>
      <w:r>
        <w:rPr/>
        <w:t>and</w:t>
      </w:r>
      <w:r>
        <w:rPr>
          <w:spacing w:val="-19"/>
        </w:rPr>
        <w:t> </w:t>
      </w:r>
      <w:r>
        <w:rPr/>
        <w:t>even</w:t>
      </w:r>
      <w:r>
        <w:rPr>
          <w:spacing w:val="-17"/>
        </w:rPr>
        <w:t> </w:t>
      </w:r>
      <w:r>
        <w:rPr/>
        <w:t>a</w:t>
      </w:r>
      <w:r>
        <w:rPr>
          <w:spacing w:val="-21"/>
        </w:rPr>
        <w:t> </w:t>
      </w:r>
      <w:r>
        <w:rPr/>
        <w:t>high</w:t>
      </w:r>
      <w:r>
        <w:rPr>
          <w:spacing w:val="-22"/>
        </w:rPr>
        <w:t> </w:t>
      </w:r>
      <w:r>
        <w:rPr/>
        <w:t>dose</w:t>
      </w:r>
      <w:r>
        <w:rPr>
          <w:spacing w:val="-17"/>
        </w:rPr>
        <w:t> </w:t>
      </w:r>
      <w:r>
        <w:rPr/>
        <w:t>of</w:t>
      </w:r>
      <w:r>
        <w:rPr>
          <w:spacing w:val="-20"/>
        </w:rPr>
        <w:t> </w:t>
      </w:r>
      <w:r>
        <w:rPr/>
        <w:t>1000 mg/day could be tolerated by the subjects without</w:t>
      </w:r>
      <w:r>
        <w:rPr>
          <w:spacing w:val="-6"/>
        </w:rPr>
        <w:t> </w:t>
      </w:r>
      <w:r>
        <w:rPr/>
        <w:t>problems.</w:t>
      </w:r>
    </w:p>
    <w:p>
      <w:pPr>
        <w:pStyle w:val="BodyText"/>
        <w:spacing w:line="276" w:lineRule="auto" w:before="239"/>
        <w:ind w:left="616" w:right="132"/>
        <w:jc w:val="both"/>
      </w:pPr>
      <w:r>
        <w:rPr/>
        <w:t>Melatonin</w:t>
      </w:r>
      <w:r>
        <w:rPr>
          <w:spacing w:val="-11"/>
        </w:rPr>
        <w:t> </w:t>
      </w:r>
      <w:r>
        <w:rPr/>
        <w:t>is</w:t>
      </w:r>
      <w:r>
        <w:rPr>
          <w:spacing w:val="-11"/>
        </w:rPr>
        <w:t> </w:t>
      </w:r>
      <w:r>
        <w:rPr/>
        <w:t>not</w:t>
      </w:r>
      <w:r>
        <w:rPr>
          <w:spacing w:val="-11"/>
        </w:rPr>
        <w:t> </w:t>
      </w:r>
      <w:r>
        <w:rPr/>
        <w:t>toxic</w:t>
      </w:r>
      <w:r>
        <w:rPr>
          <w:spacing w:val="-11"/>
        </w:rPr>
        <w:t> </w:t>
      </w:r>
      <w:r>
        <w:rPr/>
        <w:t>and</w:t>
      </w:r>
      <w:r>
        <w:rPr>
          <w:spacing w:val="-11"/>
        </w:rPr>
        <w:t> </w:t>
      </w:r>
      <w:r>
        <w:rPr/>
        <w:t>no</w:t>
      </w:r>
      <w:r>
        <w:rPr>
          <w:spacing w:val="-10"/>
        </w:rPr>
        <w:t> </w:t>
      </w:r>
      <w:r>
        <w:rPr/>
        <w:t>toxic</w:t>
      </w:r>
      <w:r>
        <w:rPr>
          <w:spacing w:val="-11"/>
        </w:rPr>
        <w:t> </w:t>
      </w:r>
      <w:r>
        <w:rPr/>
        <w:t>limit</w:t>
      </w:r>
      <w:r>
        <w:rPr>
          <w:spacing w:val="-12"/>
        </w:rPr>
        <w:t> </w:t>
      </w:r>
      <w:r>
        <w:rPr/>
        <w:t>is</w:t>
      </w:r>
      <w:r>
        <w:rPr>
          <w:spacing w:val="-12"/>
        </w:rPr>
        <w:t> </w:t>
      </w:r>
      <w:r>
        <w:rPr/>
        <w:t>known</w:t>
      </w:r>
      <w:r>
        <w:rPr>
          <w:spacing w:val="-11"/>
        </w:rPr>
        <w:t> </w:t>
      </w:r>
      <w:r>
        <w:rPr/>
        <w:t>for</w:t>
      </w:r>
      <w:r>
        <w:rPr>
          <w:spacing w:val="-13"/>
        </w:rPr>
        <w:t> </w:t>
      </w:r>
      <w:r>
        <w:rPr/>
        <w:t>melatonin.</w:t>
      </w:r>
      <w:r>
        <w:rPr>
          <w:spacing w:val="-14"/>
        </w:rPr>
        <w:t> </w:t>
      </w:r>
      <w:r>
        <w:rPr/>
        <w:t>The</w:t>
      </w:r>
      <w:r>
        <w:rPr>
          <w:spacing w:val="-11"/>
        </w:rPr>
        <w:t> </w:t>
      </w:r>
      <w:r>
        <w:rPr/>
        <w:t>only</w:t>
      </w:r>
      <w:r>
        <w:rPr>
          <w:spacing w:val="-14"/>
        </w:rPr>
        <w:t> </w:t>
      </w:r>
      <w:r>
        <w:rPr/>
        <w:t>real risk</w:t>
      </w:r>
      <w:r>
        <w:rPr>
          <w:spacing w:val="-11"/>
        </w:rPr>
        <w:t> </w:t>
      </w:r>
      <w:r>
        <w:rPr/>
        <w:t>lies</w:t>
      </w:r>
      <w:r>
        <w:rPr>
          <w:spacing w:val="-9"/>
        </w:rPr>
        <w:t> </w:t>
      </w:r>
      <w:r>
        <w:rPr/>
        <w:t>in</w:t>
      </w:r>
      <w:r>
        <w:rPr>
          <w:spacing w:val="-12"/>
        </w:rPr>
        <w:t> </w:t>
      </w:r>
      <w:r>
        <w:rPr/>
        <w:t>clean</w:t>
      </w:r>
      <w:r>
        <w:rPr>
          <w:spacing w:val="-11"/>
        </w:rPr>
        <w:t> </w:t>
      </w:r>
      <w:r>
        <w:rPr/>
        <w:t>production.</w:t>
      </w:r>
      <w:r>
        <w:rPr>
          <w:spacing w:val="-8"/>
        </w:rPr>
        <w:t> </w:t>
      </w:r>
      <w:r>
        <w:rPr/>
        <w:t>It</w:t>
      </w:r>
      <w:r>
        <w:rPr>
          <w:spacing w:val="-12"/>
        </w:rPr>
        <w:t> </w:t>
      </w:r>
      <w:r>
        <w:rPr/>
        <w:t>is</w:t>
      </w:r>
      <w:r>
        <w:rPr>
          <w:spacing w:val="-12"/>
        </w:rPr>
        <w:t> </w:t>
      </w:r>
      <w:r>
        <w:rPr/>
        <w:t>crucial</w:t>
      </w:r>
      <w:r>
        <w:rPr>
          <w:spacing w:val="-11"/>
        </w:rPr>
        <w:t> </w:t>
      </w:r>
      <w:r>
        <w:rPr/>
        <w:t>to</w:t>
      </w:r>
      <w:r>
        <w:rPr>
          <w:spacing w:val="-9"/>
        </w:rPr>
        <w:t> </w:t>
      </w:r>
      <w:r>
        <w:rPr/>
        <w:t>source</w:t>
      </w:r>
      <w:r>
        <w:rPr>
          <w:spacing w:val="-12"/>
        </w:rPr>
        <w:t> </w:t>
      </w:r>
      <w:r>
        <w:rPr/>
        <w:t>products</w:t>
      </w:r>
      <w:r>
        <w:rPr>
          <w:spacing w:val="-9"/>
        </w:rPr>
        <w:t> </w:t>
      </w:r>
      <w:r>
        <w:rPr/>
        <w:t>from</w:t>
      </w:r>
      <w:r>
        <w:rPr>
          <w:spacing w:val="-12"/>
        </w:rPr>
        <w:t> </w:t>
      </w:r>
      <w:r>
        <w:rPr/>
        <w:t>reliable</w:t>
      </w:r>
      <w:r>
        <w:rPr>
          <w:spacing w:val="-9"/>
        </w:rPr>
        <w:t> </w:t>
      </w:r>
      <w:r>
        <w:rPr/>
        <w:t>man- ufacturers. Furthermore, one should make sure that the melatonin is of syn- thetic origin.</w:t>
      </w:r>
    </w:p>
    <w:p>
      <w:pPr>
        <w:pStyle w:val="Heading1"/>
        <w:spacing w:before="225"/>
        <w:ind w:left="616"/>
        <w:jc w:val="both"/>
      </w:pPr>
      <w:r>
        <w:rPr/>
        <w:t>Contraindications of melatonin</w:t>
      </w:r>
    </w:p>
    <w:p>
      <w:pPr>
        <w:pStyle w:val="BodyText"/>
        <w:spacing w:line="276" w:lineRule="auto" w:before="297"/>
        <w:ind w:left="616" w:right="141"/>
        <w:jc w:val="both"/>
      </w:pPr>
      <w:r>
        <w:rPr/>
        <w:t>Generally, people with the following indications should refrain from taking additional melatonin or discuss any additional intake with a knowledgeable doctor or therapist beforehand:</w:t>
      </w:r>
    </w:p>
    <w:p>
      <w:pPr>
        <w:pStyle w:val="ListParagraph"/>
        <w:numPr>
          <w:ilvl w:val="0"/>
          <w:numId w:val="71"/>
        </w:numPr>
        <w:tabs>
          <w:tab w:pos="1032" w:val="left" w:leader="none"/>
        </w:tabs>
        <w:spacing w:line="240" w:lineRule="auto" w:before="240" w:after="0"/>
        <w:ind w:left="1031" w:right="0" w:hanging="415"/>
        <w:jc w:val="both"/>
        <w:rPr>
          <w:sz w:val="38"/>
        </w:rPr>
      </w:pPr>
      <w:r>
        <w:rPr>
          <w:sz w:val="38"/>
        </w:rPr>
        <w:t>People under 35</w:t>
      </w:r>
      <w:r>
        <w:rPr>
          <w:spacing w:val="-3"/>
          <w:sz w:val="38"/>
        </w:rPr>
        <w:t> </w:t>
      </w:r>
      <w:r>
        <w:rPr>
          <w:sz w:val="38"/>
        </w:rPr>
        <w:t>years</w:t>
      </w:r>
    </w:p>
    <w:p>
      <w:pPr>
        <w:pStyle w:val="BodyText"/>
        <w:rPr>
          <w:sz w:val="20"/>
        </w:rPr>
      </w:pPr>
    </w:p>
    <w:p>
      <w:pPr>
        <w:pStyle w:val="BodyText"/>
        <w:spacing w:before="8"/>
        <w:rPr>
          <w:sz w:val="10"/>
        </w:rPr>
      </w:pPr>
      <w:r>
        <w:rPr/>
        <w:pict>
          <v:line style="position:absolute;mso-position-horizontal-relative:page;mso-position-vertical-relative:paragraph;z-index:7184;mso-wrap-distance-left:0;mso-wrap-distance-right:0" from="70.823997pt,8.392466pt" to="214.843997pt,8.392466pt" stroked="true" strokeweight=".72003pt" strokecolor="#000000">
            <v:stroke dashstyle="solid"/>
            <w10:wrap type="topAndBottom"/>
          </v:line>
        </w:pict>
      </w:r>
    </w:p>
    <w:p>
      <w:pPr>
        <w:pStyle w:val="BodyText"/>
        <w:spacing w:before="7"/>
        <w:rPr>
          <w:sz w:val="18"/>
        </w:rPr>
      </w:pPr>
    </w:p>
    <w:p>
      <w:pPr>
        <w:spacing w:line="273" w:lineRule="auto" w:before="99"/>
        <w:ind w:left="616" w:right="244" w:firstLine="0"/>
        <w:jc w:val="left"/>
        <w:rPr>
          <w:sz w:val="20"/>
        </w:rPr>
      </w:pPr>
      <w:r>
        <w:rPr>
          <w:position w:val="5"/>
          <w:sz w:val="13"/>
        </w:rPr>
        <w:t>553 </w:t>
      </w:r>
      <w:r>
        <w:rPr>
          <w:sz w:val="20"/>
        </w:rPr>
        <w:t>Dr. Arnold Hilgers and Dr. Inge Hofmann Melatonin – die Pille für Gesundheit und ewige Jugend? ('Melatonin – The Pill for Health and Eter- nal Youth?'), 1996, p. 21</w:t>
      </w:r>
    </w:p>
    <w:p>
      <w:pPr>
        <w:spacing w:after="0" w:line="273" w:lineRule="auto"/>
        <w:jc w:val="left"/>
        <w:rPr>
          <w:sz w:val="20"/>
        </w:rPr>
        <w:sectPr>
          <w:pgSz w:w="14270" w:h="16850"/>
          <w:pgMar w:header="0" w:footer="1891" w:top="1340" w:bottom="2080" w:left="800" w:right="1280"/>
        </w:sectPr>
      </w:pPr>
    </w:p>
    <w:p>
      <w:pPr>
        <w:pStyle w:val="ListParagraph"/>
        <w:numPr>
          <w:ilvl w:val="0"/>
          <w:numId w:val="71"/>
        </w:numPr>
        <w:tabs>
          <w:tab w:pos="1031" w:val="left" w:leader="none"/>
          <w:tab w:pos="1032" w:val="left" w:leader="none"/>
        </w:tabs>
        <w:spacing w:line="240" w:lineRule="auto" w:before="53" w:after="0"/>
        <w:ind w:left="1031" w:right="0" w:hanging="415"/>
        <w:jc w:val="left"/>
        <w:rPr>
          <w:sz w:val="38"/>
        </w:rPr>
      </w:pPr>
      <w:r>
        <w:rPr>
          <w:sz w:val="38"/>
        </w:rPr>
        <w:t>Pregnant, breastfeeding</w:t>
      </w:r>
      <w:r>
        <w:rPr>
          <w:spacing w:val="2"/>
          <w:sz w:val="38"/>
        </w:rPr>
        <w:t> </w:t>
      </w:r>
      <w:r>
        <w:rPr>
          <w:sz w:val="38"/>
        </w:rPr>
        <w:t>women</w:t>
      </w:r>
    </w:p>
    <w:p>
      <w:pPr>
        <w:pStyle w:val="ListParagraph"/>
        <w:numPr>
          <w:ilvl w:val="0"/>
          <w:numId w:val="71"/>
        </w:numPr>
        <w:tabs>
          <w:tab w:pos="1031" w:val="left" w:leader="none"/>
          <w:tab w:pos="1032" w:val="left" w:leader="none"/>
        </w:tabs>
        <w:spacing w:line="240" w:lineRule="auto" w:before="66" w:after="0"/>
        <w:ind w:left="1031" w:right="0" w:hanging="415"/>
        <w:jc w:val="left"/>
        <w:rPr>
          <w:sz w:val="38"/>
        </w:rPr>
      </w:pPr>
      <w:r>
        <w:rPr>
          <w:sz w:val="38"/>
        </w:rPr>
        <w:t>People with kidney</w:t>
      </w:r>
      <w:r>
        <w:rPr>
          <w:spacing w:val="1"/>
          <w:sz w:val="38"/>
        </w:rPr>
        <w:t> </w:t>
      </w:r>
      <w:r>
        <w:rPr>
          <w:sz w:val="38"/>
        </w:rPr>
        <w:t>disease</w:t>
      </w:r>
    </w:p>
    <w:p>
      <w:pPr>
        <w:pStyle w:val="ListParagraph"/>
        <w:numPr>
          <w:ilvl w:val="0"/>
          <w:numId w:val="71"/>
        </w:numPr>
        <w:tabs>
          <w:tab w:pos="1031" w:val="left" w:leader="none"/>
          <w:tab w:pos="1032" w:val="left" w:leader="none"/>
        </w:tabs>
        <w:spacing w:line="240" w:lineRule="auto" w:before="64" w:after="0"/>
        <w:ind w:left="1031" w:right="0" w:hanging="415"/>
        <w:jc w:val="left"/>
        <w:rPr>
          <w:sz w:val="38"/>
        </w:rPr>
      </w:pPr>
      <w:r>
        <w:rPr>
          <w:sz w:val="38"/>
        </w:rPr>
        <w:t>Cortisone</w:t>
      </w:r>
      <w:r>
        <w:rPr>
          <w:spacing w:val="-3"/>
          <w:sz w:val="38"/>
        </w:rPr>
        <w:t> </w:t>
      </w:r>
      <w:r>
        <w:rPr>
          <w:sz w:val="38"/>
        </w:rPr>
        <w:t>patients</w:t>
      </w:r>
    </w:p>
    <w:p>
      <w:pPr>
        <w:pStyle w:val="ListParagraph"/>
        <w:numPr>
          <w:ilvl w:val="0"/>
          <w:numId w:val="71"/>
        </w:numPr>
        <w:tabs>
          <w:tab w:pos="1031" w:val="left" w:leader="none"/>
          <w:tab w:pos="1032" w:val="left" w:leader="none"/>
        </w:tabs>
        <w:spacing w:line="240" w:lineRule="auto" w:before="64" w:after="0"/>
        <w:ind w:left="1031" w:right="0" w:hanging="415"/>
        <w:jc w:val="left"/>
        <w:rPr>
          <w:sz w:val="38"/>
        </w:rPr>
      </w:pPr>
      <w:r>
        <w:rPr>
          <w:sz w:val="38"/>
        </w:rPr>
        <w:t>Persons with auto-immune</w:t>
      </w:r>
      <w:r>
        <w:rPr>
          <w:spacing w:val="-12"/>
          <w:sz w:val="38"/>
        </w:rPr>
        <w:t> </w:t>
      </w:r>
      <w:r>
        <w:rPr>
          <w:sz w:val="38"/>
        </w:rPr>
        <w:t>diseases</w:t>
      </w:r>
    </w:p>
    <w:p>
      <w:pPr>
        <w:pStyle w:val="ListParagraph"/>
        <w:numPr>
          <w:ilvl w:val="0"/>
          <w:numId w:val="71"/>
        </w:numPr>
        <w:tabs>
          <w:tab w:pos="1031" w:val="left" w:leader="none"/>
          <w:tab w:pos="1032" w:val="left" w:leader="none"/>
        </w:tabs>
        <w:spacing w:line="240" w:lineRule="auto" w:before="63" w:after="0"/>
        <w:ind w:left="1031" w:right="0" w:hanging="415"/>
        <w:jc w:val="left"/>
        <w:rPr>
          <w:sz w:val="38"/>
        </w:rPr>
      </w:pPr>
      <w:r>
        <w:rPr>
          <w:sz w:val="38"/>
        </w:rPr>
        <w:t>People who suffer from</w:t>
      </w:r>
      <w:r>
        <w:rPr>
          <w:spacing w:val="-14"/>
          <w:sz w:val="38"/>
        </w:rPr>
        <w:t> </w:t>
      </w:r>
      <w:r>
        <w:rPr>
          <w:sz w:val="38"/>
        </w:rPr>
        <w:t>depression</w:t>
      </w:r>
    </w:p>
    <w:p>
      <w:pPr>
        <w:pStyle w:val="BodyText"/>
        <w:spacing w:line="278" w:lineRule="auto" w:before="302"/>
        <w:ind w:left="616"/>
      </w:pPr>
      <w:r>
        <w:rPr/>
        <w:t>Since melatonin has a drowsing effect, it should only be taken at bedtime (20- 40 mins before).</w:t>
      </w:r>
    </w:p>
    <w:p>
      <w:pPr>
        <w:pStyle w:val="BodyText"/>
        <w:rPr>
          <w:sz w:val="42"/>
        </w:rPr>
      </w:pPr>
    </w:p>
    <w:p>
      <w:pPr>
        <w:pStyle w:val="BodyText"/>
        <w:rPr>
          <w:sz w:val="42"/>
        </w:rPr>
      </w:pPr>
    </w:p>
    <w:p>
      <w:pPr>
        <w:pStyle w:val="BodyText"/>
        <w:rPr>
          <w:sz w:val="42"/>
        </w:rPr>
      </w:pPr>
    </w:p>
    <w:p>
      <w:pPr>
        <w:pStyle w:val="Heading1"/>
        <w:spacing w:before="262"/>
        <w:ind w:left="616"/>
      </w:pPr>
      <w:r>
        <w:rPr/>
        <w:t>Interactions with other drugs</w:t>
      </w:r>
    </w:p>
    <w:p>
      <w:pPr>
        <w:pStyle w:val="BodyText"/>
        <w:spacing w:line="276" w:lineRule="auto" w:before="60"/>
        <w:ind w:left="616"/>
      </w:pPr>
      <w:r>
        <w:rPr/>
        <w:t>If</w:t>
      </w:r>
      <w:r>
        <w:rPr>
          <w:spacing w:val="-15"/>
        </w:rPr>
        <w:t> </w:t>
      </w:r>
      <w:r>
        <w:rPr/>
        <w:t>you</w:t>
      </w:r>
      <w:r>
        <w:rPr>
          <w:spacing w:val="-15"/>
        </w:rPr>
        <w:t> </w:t>
      </w:r>
      <w:r>
        <w:rPr/>
        <w:t>are</w:t>
      </w:r>
      <w:r>
        <w:rPr>
          <w:spacing w:val="-14"/>
        </w:rPr>
        <w:t> </w:t>
      </w:r>
      <w:r>
        <w:rPr/>
        <w:t>taking</w:t>
      </w:r>
      <w:r>
        <w:rPr>
          <w:spacing w:val="-13"/>
        </w:rPr>
        <w:t> </w:t>
      </w:r>
      <w:r>
        <w:rPr/>
        <w:t>any</w:t>
      </w:r>
      <w:r>
        <w:rPr>
          <w:spacing w:val="-14"/>
        </w:rPr>
        <w:t> </w:t>
      </w:r>
      <w:r>
        <w:rPr/>
        <w:t>of</w:t>
      </w:r>
      <w:r>
        <w:rPr>
          <w:spacing w:val="-15"/>
        </w:rPr>
        <w:t> </w:t>
      </w:r>
      <w:r>
        <w:rPr/>
        <w:t>the</w:t>
      </w:r>
      <w:r>
        <w:rPr>
          <w:spacing w:val="-14"/>
        </w:rPr>
        <w:t> </w:t>
      </w:r>
      <w:r>
        <w:rPr/>
        <w:t>following</w:t>
      </w:r>
      <w:r>
        <w:rPr>
          <w:spacing w:val="-13"/>
        </w:rPr>
        <w:t> </w:t>
      </w:r>
      <w:r>
        <w:rPr/>
        <w:t>medicines,</w:t>
      </w:r>
      <w:r>
        <w:rPr>
          <w:spacing w:val="-15"/>
        </w:rPr>
        <w:t> </w:t>
      </w:r>
      <w:r>
        <w:rPr/>
        <w:t>consult</w:t>
      </w:r>
      <w:r>
        <w:rPr>
          <w:spacing w:val="-14"/>
        </w:rPr>
        <w:t> </w:t>
      </w:r>
      <w:r>
        <w:rPr/>
        <w:t>your</w:t>
      </w:r>
      <w:r>
        <w:rPr>
          <w:spacing w:val="-15"/>
        </w:rPr>
        <w:t> </w:t>
      </w:r>
      <w:r>
        <w:rPr/>
        <w:t>doctor</w:t>
      </w:r>
      <w:r>
        <w:rPr>
          <w:spacing w:val="-13"/>
        </w:rPr>
        <w:t> </w:t>
      </w:r>
      <w:r>
        <w:rPr/>
        <w:t>or</w:t>
      </w:r>
      <w:r>
        <w:rPr>
          <w:spacing w:val="-15"/>
        </w:rPr>
        <w:t> </w:t>
      </w:r>
      <w:r>
        <w:rPr/>
        <w:t>refrain from taking melatonin.</w:t>
      </w:r>
    </w:p>
    <w:p>
      <w:pPr>
        <w:pStyle w:val="BodyText"/>
        <w:spacing w:line="276" w:lineRule="auto"/>
        <w:ind w:left="616"/>
      </w:pPr>
      <w:r>
        <w:rPr/>
        <w:t>For</w:t>
      </w:r>
      <w:r>
        <w:rPr>
          <w:spacing w:val="-16"/>
        </w:rPr>
        <w:t> </w:t>
      </w:r>
      <w:r>
        <w:rPr/>
        <w:t>the</w:t>
      </w:r>
      <w:r>
        <w:rPr>
          <w:spacing w:val="-18"/>
        </w:rPr>
        <w:t> </w:t>
      </w:r>
      <w:r>
        <w:rPr/>
        <w:t>most</w:t>
      </w:r>
      <w:r>
        <w:rPr>
          <w:spacing w:val="-18"/>
        </w:rPr>
        <w:t> </w:t>
      </w:r>
      <w:r>
        <w:rPr/>
        <w:t>part,</w:t>
      </w:r>
      <w:r>
        <w:rPr>
          <w:spacing w:val="-16"/>
        </w:rPr>
        <w:t> </w:t>
      </w:r>
      <w:r>
        <w:rPr/>
        <w:t>these</w:t>
      </w:r>
      <w:r>
        <w:rPr>
          <w:spacing w:val="-20"/>
        </w:rPr>
        <w:t> </w:t>
      </w:r>
      <w:r>
        <w:rPr/>
        <w:t>are</w:t>
      </w:r>
      <w:r>
        <w:rPr>
          <w:spacing w:val="-19"/>
        </w:rPr>
        <w:t> </w:t>
      </w:r>
      <w:r>
        <w:rPr/>
        <w:t>medicines</w:t>
      </w:r>
      <w:r>
        <w:rPr>
          <w:spacing w:val="-16"/>
        </w:rPr>
        <w:t> </w:t>
      </w:r>
      <w:r>
        <w:rPr/>
        <w:t>that</w:t>
      </w:r>
      <w:r>
        <w:rPr>
          <w:spacing w:val="-18"/>
        </w:rPr>
        <w:t> </w:t>
      </w:r>
      <w:r>
        <w:rPr/>
        <w:t>interfere</w:t>
      </w:r>
      <w:r>
        <w:rPr>
          <w:spacing w:val="-17"/>
        </w:rPr>
        <w:t> </w:t>
      </w:r>
      <w:r>
        <w:rPr/>
        <w:t>with</w:t>
      </w:r>
      <w:r>
        <w:rPr>
          <w:spacing w:val="-16"/>
        </w:rPr>
        <w:t> </w:t>
      </w:r>
      <w:r>
        <w:rPr/>
        <w:t>the</w:t>
      </w:r>
      <w:r>
        <w:rPr>
          <w:spacing w:val="-19"/>
        </w:rPr>
        <w:t> </w:t>
      </w:r>
      <w:r>
        <w:rPr/>
        <w:t>natural</w:t>
      </w:r>
      <w:r>
        <w:rPr>
          <w:spacing w:val="-18"/>
        </w:rPr>
        <w:t> </w:t>
      </w:r>
      <w:r>
        <w:rPr/>
        <w:t>melatonin cycle (and therefore have side</w:t>
      </w:r>
      <w:r>
        <w:rPr>
          <w:spacing w:val="3"/>
        </w:rPr>
        <w:t> </w:t>
      </w:r>
      <w:r>
        <w:rPr/>
        <w:t>effects):</w:t>
      </w:r>
    </w:p>
    <w:p>
      <w:pPr>
        <w:pStyle w:val="ListParagraph"/>
        <w:numPr>
          <w:ilvl w:val="0"/>
          <w:numId w:val="71"/>
        </w:numPr>
        <w:tabs>
          <w:tab w:pos="1314" w:val="left" w:leader="none"/>
          <w:tab w:pos="1315" w:val="left" w:leader="none"/>
        </w:tabs>
        <w:spacing w:line="240" w:lineRule="auto" w:before="1" w:after="0"/>
        <w:ind w:left="1314" w:right="0" w:hanging="698"/>
        <w:jc w:val="left"/>
        <w:rPr>
          <w:sz w:val="38"/>
        </w:rPr>
      </w:pPr>
      <w:r>
        <w:rPr>
          <w:sz w:val="38"/>
        </w:rPr>
        <w:t>beta</w:t>
      </w:r>
      <w:r>
        <w:rPr>
          <w:spacing w:val="-1"/>
          <w:sz w:val="38"/>
        </w:rPr>
        <w:t> </w:t>
      </w:r>
      <w:r>
        <w:rPr>
          <w:sz w:val="38"/>
        </w:rPr>
        <w:t>blockers</w:t>
      </w:r>
    </w:p>
    <w:p>
      <w:pPr>
        <w:pStyle w:val="ListParagraph"/>
        <w:numPr>
          <w:ilvl w:val="0"/>
          <w:numId w:val="71"/>
        </w:numPr>
        <w:tabs>
          <w:tab w:pos="1314" w:val="left" w:leader="none"/>
          <w:tab w:pos="1315" w:val="left" w:leader="none"/>
        </w:tabs>
        <w:spacing w:line="240" w:lineRule="auto" w:before="63" w:after="0"/>
        <w:ind w:left="1314" w:right="0" w:hanging="698"/>
        <w:jc w:val="left"/>
        <w:rPr>
          <w:sz w:val="38"/>
        </w:rPr>
      </w:pPr>
      <w:r>
        <w:rPr>
          <w:sz w:val="38"/>
        </w:rPr>
        <w:t>serotonin</w:t>
      </w:r>
      <w:r>
        <w:rPr>
          <w:spacing w:val="-2"/>
          <w:sz w:val="38"/>
        </w:rPr>
        <w:t> </w:t>
      </w:r>
      <w:r>
        <w:rPr>
          <w:sz w:val="38"/>
        </w:rPr>
        <w:t>inhibitors</w:t>
      </w:r>
    </w:p>
    <w:p>
      <w:pPr>
        <w:pStyle w:val="ListParagraph"/>
        <w:numPr>
          <w:ilvl w:val="0"/>
          <w:numId w:val="71"/>
        </w:numPr>
        <w:tabs>
          <w:tab w:pos="1317" w:val="left" w:leader="none"/>
          <w:tab w:pos="1318" w:val="left" w:leader="none"/>
        </w:tabs>
        <w:spacing w:line="240" w:lineRule="auto" w:before="64" w:after="0"/>
        <w:ind w:left="1043" w:right="0" w:hanging="427"/>
        <w:jc w:val="left"/>
        <w:rPr>
          <w:sz w:val="38"/>
        </w:rPr>
      </w:pPr>
      <w:r>
        <w:rPr>
          <w:sz w:val="38"/>
        </w:rPr>
        <w:t>antidepressants</w:t>
      </w:r>
    </w:p>
    <w:p>
      <w:pPr>
        <w:pStyle w:val="ListParagraph"/>
        <w:numPr>
          <w:ilvl w:val="0"/>
          <w:numId w:val="71"/>
        </w:numPr>
        <w:tabs>
          <w:tab w:pos="1314" w:val="left" w:leader="none"/>
          <w:tab w:pos="1315" w:val="left" w:leader="none"/>
        </w:tabs>
        <w:spacing w:line="240" w:lineRule="auto" w:before="66" w:after="0"/>
        <w:ind w:left="1314" w:right="0" w:hanging="698"/>
        <w:jc w:val="left"/>
        <w:rPr>
          <w:sz w:val="38"/>
        </w:rPr>
      </w:pPr>
      <w:r>
        <w:rPr>
          <w:sz w:val="38"/>
        </w:rPr>
        <w:t>corticosteroids</w:t>
      </w:r>
    </w:p>
    <w:p>
      <w:pPr>
        <w:pStyle w:val="ListParagraph"/>
        <w:numPr>
          <w:ilvl w:val="0"/>
          <w:numId w:val="71"/>
        </w:numPr>
        <w:tabs>
          <w:tab w:pos="1043" w:val="left" w:leader="none"/>
          <w:tab w:pos="1044" w:val="left" w:leader="none"/>
        </w:tabs>
        <w:spacing w:line="273" w:lineRule="auto" w:before="64" w:after="0"/>
        <w:ind w:left="1043" w:right="172" w:hanging="427"/>
        <w:jc w:val="left"/>
        <w:rPr>
          <w:sz w:val="38"/>
        </w:rPr>
      </w:pPr>
      <w:r>
        <w:rPr>
          <w:sz w:val="38"/>
        </w:rPr>
        <w:t>non-steroidal, anti-inflammatory drugs (NSAIDS) such as ibuprofen or as- pirin</w:t>
      </w:r>
    </w:p>
    <w:p>
      <w:pPr>
        <w:spacing w:after="0" w:line="273" w:lineRule="auto"/>
        <w:jc w:val="left"/>
        <w:rPr>
          <w:sz w:val="38"/>
        </w:rPr>
        <w:sectPr>
          <w:pgSz w:w="14270" w:h="16850"/>
          <w:pgMar w:header="0" w:footer="1891" w:top="1360" w:bottom="2080" w:left="800" w:right="1280"/>
        </w:sectPr>
      </w:pPr>
    </w:p>
    <w:p>
      <w:pPr>
        <w:pStyle w:val="BodyText"/>
        <w:spacing w:before="7"/>
        <w:rPr>
          <w:sz w:val="16"/>
        </w:rPr>
      </w:pPr>
    </w:p>
    <w:p>
      <w:pPr>
        <w:pStyle w:val="Heading1"/>
        <w:spacing w:before="100"/>
        <w:ind w:left="616"/>
      </w:pPr>
      <w:r>
        <w:rPr/>
        <w:t>Are there interactions with hormone replacement therapy?</w:t>
      </w:r>
    </w:p>
    <w:p>
      <w:pPr>
        <w:pStyle w:val="BodyText"/>
        <w:spacing w:line="276" w:lineRule="auto" w:before="59"/>
        <w:ind w:left="616" w:right="133"/>
        <w:jc w:val="both"/>
      </w:pPr>
      <w:r>
        <w:rPr/>
        <w:t>Melatonin does not negatively affect other hormone replacement therapies, such as taking oestrogen during menopause. According to the two melatonin researchers,</w:t>
      </w:r>
      <w:r>
        <w:rPr>
          <w:spacing w:val="-25"/>
        </w:rPr>
        <w:t> </w:t>
      </w:r>
      <w:r>
        <w:rPr/>
        <w:t>Prof.</w:t>
      </w:r>
      <w:r>
        <w:rPr>
          <w:spacing w:val="-23"/>
        </w:rPr>
        <w:t> </w:t>
      </w:r>
      <w:r>
        <w:rPr/>
        <w:t>Regelson</w:t>
      </w:r>
      <w:r>
        <w:rPr>
          <w:spacing w:val="-25"/>
        </w:rPr>
        <w:t> </w:t>
      </w:r>
      <w:r>
        <w:rPr/>
        <w:t>and</w:t>
      </w:r>
      <w:r>
        <w:rPr>
          <w:spacing w:val="-26"/>
        </w:rPr>
        <w:t> </w:t>
      </w:r>
      <w:r>
        <w:rPr/>
        <w:t>Dr.</w:t>
      </w:r>
      <w:r>
        <w:rPr>
          <w:spacing w:val="-23"/>
        </w:rPr>
        <w:t> </w:t>
      </w:r>
      <w:r>
        <w:rPr/>
        <w:t>Pierpaoli,</w:t>
      </w:r>
      <w:r>
        <w:rPr>
          <w:spacing w:val="-23"/>
        </w:rPr>
        <w:t> </w:t>
      </w:r>
      <w:r>
        <w:rPr/>
        <w:t>there</w:t>
      </w:r>
      <w:r>
        <w:rPr>
          <w:spacing w:val="-23"/>
        </w:rPr>
        <w:t> </w:t>
      </w:r>
      <w:r>
        <w:rPr/>
        <w:t>are</w:t>
      </w:r>
      <w:r>
        <w:rPr>
          <w:spacing w:val="-23"/>
        </w:rPr>
        <w:t> </w:t>
      </w:r>
      <w:r>
        <w:rPr/>
        <w:t>no</w:t>
      </w:r>
      <w:r>
        <w:rPr>
          <w:spacing w:val="-24"/>
        </w:rPr>
        <w:t> </w:t>
      </w:r>
      <w:r>
        <w:rPr/>
        <w:t>interactions</w:t>
      </w:r>
      <w:r>
        <w:rPr>
          <w:spacing w:val="-23"/>
        </w:rPr>
        <w:t> </w:t>
      </w:r>
      <w:r>
        <w:rPr/>
        <w:t>or</w:t>
      </w:r>
      <w:r>
        <w:rPr>
          <w:spacing w:val="-24"/>
        </w:rPr>
        <w:t> </w:t>
      </w:r>
      <w:r>
        <w:rPr/>
        <w:t>other complications to</w:t>
      </w:r>
      <w:r>
        <w:rPr>
          <w:spacing w:val="1"/>
        </w:rPr>
        <w:t> </w:t>
      </w:r>
      <w:r>
        <w:rPr/>
        <w:t>consider!</w:t>
      </w: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spacing w:before="326"/>
        <w:ind w:left="616" w:right="0" w:firstLine="0"/>
        <w:jc w:val="both"/>
        <w:rPr>
          <w:rFonts w:ascii="Cambria" w:hAnsi="Cambria"/>
          <w:b/>
          <w:sz w:val="28"/>
        </w:rPr>
      </w:pPr>
      <w:r>
        <w:rPr>
          <w:rFonts w:ascii="Cambria" w:hAnsi="Cambria"/>
          <w:b/>
          <w:color w:val="365F91"/>
          <w:sz w:val="28"/>
        </w:rPr>
        <w:t>MMS – MIRACLE MINERAL SUPPLEMENT</w:t>
      </w:r>
    </w:p>
    <w:p>
      <w:pPr>
        <w:pStyle w:val="BodyText"/>
        <w:spacing w:before="288"/>
        <w:ind w:left="616"/>
        <w:jc w:val="both"/>
      </w:pPr>
      <w:r>
        <w:rPr/>
        <w:t>What is MMS?</w:t>
      </w:r>
    </w:p>
    <w:p>
      <w:pPr>
        <w:pStyle w:val="BodyText"/>
        <w:spacing w:before="307"/>
        <w:ind w:left="616"/>
        <w:jc w:val="both"/>
      </w:pPr>
      <w:r>
        <w:rPr/>
        <w:t>The abbreviation MMS stands for:</w:t>
      </w:r>
    </w:p>
    <w:p>
      <w:pPr>
        <w:pStyle w:val="Heading1"/>
        <w:spacing w:before="285"/>
        <w:ind w:left="616"/>
        <w:jc w:val="both"/>
      </w:pPr>
      <w:r>
        <w:rPr/>
        <w:t>Miracle Mineral Supplement</w:t>
      </w:r>
    </w:p>
    <w:p>
      <w:pPr>
        <w:pStyle w:val="BodyText"/>
        <w:spacing w:line="276" w:lineRule="auto" w:before="299"/>
        <w:ind w:left="616" w:right="135"/>
        <w:jc w:val="both"/>
      </w:pPr>
      <w:r>
        <w:rPr/>
        <w:t>This</w:t>
      </w:r>
      <w:r>
        <w:rPr>
          <w:spacing w:val="-8"/>
        </w:rPr>
        <w:t> </w:t>
      </w:r>
      <w:r>
        <w:rPr/>
        <w:t>is</w:t>
      </w:r>
      <w:r>
        <w:rPr>
          <w:spacing w:val="-8"/>
        </w:rPr>
        <w:t> </w:t>
      </w:r>
      <w:r>
        <w:rPr/>
        <w:t>an</w:t>
      </w:r>
      <w:r>
        <w:rPr>
          <w:spacing w:val="-8"/>
        </w:rPr>
        <w:t> </w:t>
      </w:r>
      <w:r>
        <w:rPr/>
        <w:t>extremely</w:t>
      </w:r>
      <w:r>
        <w:rPr>
          <w:spacing w:val="-8"/>
        </w:rPr>
        <w:t> </w:t>
      </w:r>
      <w:r>
        <w:rPr/>
        <w:t>auspicious</w:t>
      </w:r>
      <w:r>
        <w:rPr>
          <w:spacing w:val="-9"/>
        </w:rPr>
        <w:t> </w:t>
      </w:r>
      <w:r>
        <w:rPr/>
        <w:t>name</w:t>
      </w:r>
      <w:r>
        <w:rPr>
          <w:spacing w:val="-9"/>
        </w:rPr>
        <w:t> </w:t>
      </w:r>
      <w:r>
        <w:rPr/>
        <w:t>for</w:t>
      </w:r>
      <w:r>
        <w:rPr>
          <w:spacing w:val="-7"/>
        </w:rPr>
        <w:t> </w:t>
      </w:r>
      <w:r>
        <w:rPr/>
        <w:t>something</w:t>
      </w:r>
      <w:r>
        <w:rPr>
          <w:spacing w:val="-8"/>
        </w:rPr>
        <w:t> </w:t>
      </w:r>
      <w:r>
        <w:rPr/>
        <w:t>that</w:t>
      </w:r>
      <w:r>
        <w:rPr>
          <w:spacing w:val="-8"/>
        </w:rPr>
        <w:t> </w:t>
      </w:r>
      <w:r>
        <w:rPr/>
        <w:t>hardly</w:t>
      </w:r>
      <w:r>
        <w:rPr>
          <w:spacing w:val="-7"/>
        </w:rPr>
        <w:t> </w:t>
      </w:r>
      <w:r>
        <w:rPr/>
        <w:t>anyone</w:t>
      </w:r>
      <w:r>
        <w:rPr>
          <w:spacing w:val="-8"/>
        </w:rPr>
        <w:t> </w:t>
      </w:r>
      <w:r>
        <w:rPr/>
        <w:t>knows about. In fact, a whole load of positive effects are needed in order to even get close to justifying such a grand</w:t>
      </w:r>
      <w:r>
        <w:rPr>
          <w:spacing w:val="-1"/>
        </w:rPr>
        <w:t> </w:t>
      </w:r>
      <w:r>
        <w:rPr/>
        <w:t>name!</w:t>
      </w:r>
    </w:p>
    <w:p>
      <w:pPr>
        <w:pStyle w:val="BodyText"/>
        <w:spacing w:line="276" w:lineRule="auto" w:before="241"/>
        <w:ind w:left="616" w:right="134"/>
        <w:jc w:val="both"/>
      </w:pPr>
      <w:r>
        <w:rPr/>
        <w:t>If</w:t>
      </w:r>
      <w:r>
        <w:rPr>
          <w:spacing w:val="-17"/>
        </w:rPr>
        <w:t> </w:t>
      </w:r>
      <w:r>
        <w:rPr/>
        <w:t>one</w:t>
      </w:r>
      <w:r>
        <w:rPr>
          <w:spacing w:val="-16"/>
        </w:rPr>
        <w:t> </w:t>
      </w:r>
      <w:r>
        <w:rPr/>
        <w:t>believes</w:t>
      </w:r>
      <w:r>
        <w:rPr>
          <w:spacing w:val="-16"/>
        </w:rPr>
        <w:t> </w:t>
      </w:r>
      <w:r>
        <w:rPr/>
        <w:t>the</w:t>
      </w:r>
      <w:r>
        <w:rPr>
          <w:spacing w:val="-16"/>
        </w:rPr>
        <w:t> </w:t>
      </w:r>
      <w:r>
        <w:rPr/>
        <w:t>author</w:t>
      </w:r>
      <w:r>
        <w:rPr>
          <w:spacing w:val="-15"/>
        </w:rPr>
        <w:t> </w:t>
      </w:r>
      <w:r>
        <w:rPr/>
        <w:t>of</w:t>
      </w:r>
      <w:r>
        <w:rPr>
          <w:spacing w:val="-16"/>
        </w:rPr>
        <w:t> </w:t>
      </w:r>
      <w:r>
        <w:rPr/>
        <w:t>the</w:t>
      </w:r>
      <w:r>
        <w:rPr>
          <w:spacing w:val="-17"/>
        </w:rPr>
        <w:t> </w:t>
      </w:r>
      <w:r>
        <w:rPr/>
        <w:t>book</w:t>
      </w:r>
      <w:r>
        <w:rPr>
          <w:spacing w:val="-16"/>
        </w:rPr>
        <w:t> </w:t>
      </w:r>
      <w:r>
        <w:rPr/>
        <w:t>'MMS:</w:t>
      </w:r>
      <w:r>
        <w:rPr>
          <w:spacing w:val="-18"/>
        </w:rPr>
        <w:t> </w:t>
      </w:r>
      <w:r>
        <w:rPr/>
        <w:t>The</w:t>
      </w:r>
      <w:r>
        <w:rPr>
          <w:spacing w:val="-15"/>
        </w:rPr>
        <w:t> </w:t>
      </w:r>
      <w:r>
        <w:rPr/>
        <w:t>Breakthrough',</w:t>
      </w:r>
      <w:r>
        <w:rPr>
          <w:spacing w:val="-16"/>
        </w:rPr>
        <w:t> </w:t>
      </w:r>
      <w:r>
        <w:rPr/>
        <w:t>Jim</w:t>
      </w:r>
      <w:r>
        <w:rPr>
          <w:spacing w:val="-15"/>
        </w:rPr>
        <w:t> </w:t>
      </w:r>
      <w:r>
        <w:rPr/>
        <w:t>Humble, who is also the person who has made MMS popular (MMS was first used by Dr. William Koch in 1926 and has been in use in the USA since the 1930s), then this '</w:t>
      </w:r>
      <w:r>
        <w:rPr>
          <w:i/>
        </w:rPr>
        <w:t>miraculous' </w:t>
      </w:r>
      <w:r>
        <w:rPr/>
        <w:t>remedy has already cured over 75,000 people</w:t>
      </w:r>
      <w:r>
        <w:rPr>
          <w:spacing w:val="38"/>
        </w:rPr>
        <w:t> </w:t>
      </w:r>
      <w:r>
        <w:rPr/>
        <w:t>suffering</w:t>
      </w:r>
    </w:p>
    <w:p>
      <w:pPr>
        <w:spacing w:after="0" w:line="276" w:lineRule="auto"/>
        <w:jc w:val="both"/>
        <w:sectPr>
          <w:pgSz w:w="14270" w:h="16850"/>
          <w:pgMar w:header="0" w:footer="1891" w:top="1600" w:bottom="2080" w:left="800" w:right="1280"/>
        </w:sectPr>
      </w:pPr>
    </w:p>
    <w:p>
      <w:pPr>
        <w:pStyle w:val="BodyText"/>
        <w:spacing w:line="278" w:lineRule="auto" w:before="72"/>
        <w:ind w:left="616" w:right="138"/>
        <w:jc w:val="both"/>
      </w:pPr>
      <w:r>
        <w:rPr/>
        <w:t>from</w:t>
      </w:r>
      <w:r>
        <w:rPr>
          <w:spacing w:val="-8"/>
        </w:rPr>
        <w:t> </w:t>
      </w:r>
      <w:r>
        <w:rPr/>
        <w:t>deadly</w:t>
      </w:r>
      <w:r>
        <w:rPr>
          <w:spacing w:val="-8"/>
        </w:rPr>
        <w:t> </w:t>
      </w:r>
      <w:r>
        <w:rPr/>
        <w:t>diseases</w:t>
      </w:r>
      <w:r>
        <w:rPr>
          <w:spacing w:val="-7"/>
        </w:rPr>
        <w:t> </w:t>
      </w:r>
      <w:r>
        <w:rPr/>
        <w:t>such</w:t>
      </w:r>
      <w:r>
        <w:rPr>
          <w:spacing w:val="-7"/>
        </w:rPr>
        <w:t> </w:t>
      </w:r>
      <w:r>
        <w:rPr/>
        <w:t>as</w:t>
      </w:r>
      <w:r>
        <w:rPr>
          <w:spacing w:val="-8"/>
        </w:rPr>
        <w:t> </w:t>
      </w:r>
      <w:r>
        <w:rPr/>
        <w:t>malaria,</w:t>
      </w:r>
      <w:r>
        <w:rPr>
          <w:spacing w:val="-7"/>
        </w:rPr>
        <w:t> </w:t>
      </w:r>
      <w:r>
        <w:rPr/>
        <w:t>AIDS,</w:t>
      </w:r>
      <w:r>
        <w:rPr>
          <w:spacing w:val="-7"/>
        </w:rPr>
        <w:t> </w:t>
      </w:r>
      <w:r>
        <w:rPr/>
        <w:t>cancer,</w:t>
      </w:r>
      <w:r>
        <w:rPr>
          <w:spacing w:val="-7"/>
        </w:rPr>
        <w:t> </w:t>
      </w:r>
      <w:r>
        <w:rPr/>
        <w:t>hepatitis,</w:t>
      </w:r>
      <w:r>
        <w:rPr>
          <w:spacing w:val="-7"/>
        </w:rPr>
        <w:t> </w:t>
      </w:r>
      <w:r>
        <w:rPr/>
        <w:t>herpes</w:t>
      </w:r>
      <w:r>
        <w:rPr>
          <w:spacing w:val="-7"/>
        </w:rPr>
        <w:t> </w:t>
      </w:r>
      <w:r>
        <w:rPr/>
        <w:t>or</w:t>
      </w:r>
      <w:r>
        <w:rPr>
          <w:spacing w:val="-9"/>
        </w:rPr>
        <w:t> </w:t>
      </w:r>
      <w:r>
        <w:rPr/>
        <w:t>tuber- culosis.</w:t>
      </w:r>
    </w:p>
    <w:p>
      <w:pPr>
        <w:pStyle w:val="BodyText"/>
        <w:spacing w:line="276" w:lineRule="auto" w:before="232"/>
        <w:ind w:left="616" w:right="131"/>
        <w:jc w:val="both"/>
      </w:pPr>
      <w:r>
        <w:rPr/>
        <w:t>The</w:t>
      </w:r>
      <w:r>
        <w:rPr>
          <w:spacing w:val="-16"/>
        </w:rPr>
        <w:t> </w:t>
      </w:r>
      <w:r>
        <w:rPr/>
        <w:t>vast</w:t>
      </w:r>
      <w:r>
        <w:rPr>
          <w:spacing w:val="-17"/>
        </w:rPr>
        <w:t> </w:t>
      </w:r>
      <w:r>
        <w:rPr/>
        <w:t>majority</w:t>
      </w:r>
      <w:r>
        <w:rPr>
          <w:spacing w:val="-15"/>
        </w:rPr>
        <w:t> </w:t>
      </w:r>
      <w:r>
        <w:rPr/>
        <w:t>of</w:t>
      </w:r>
      <w:r>
        <w:rPr>
          <w:spacing w:val="-16"/>
        </w:rPr>
        <w:t> </w:t>
      </w:r>
      <w:r>
        <w:rPr/>
        <w:t>Humble’s</w:t>
      </w:r>
      <w:r>
        <w:rPr>
          <w:spacing w:val="-16"/>
        </w:rPr>
        <w:t> </w:t>
      </w:r>
      <w:r>
        <w:rPr/>
        <w:t>experience</w:t>
      </w:r>
      <w:r>
        <w:rPr>
          <w:spacing w:val="-15"/>
        </w:rPr>
        <w:t> </w:t>
      </w:r>
      <w:r>
        <w:rPr/>
        <w:t>with</w:t>
      </w:r>
      <w:r>
        <w:rPr>
          <w:spacing w:val="-16"/>
        </w:rPr>
        <w:t> </w:t>
      </w:r>
      <w:r>
        <w:rPr/>
        <w:t>the</w:t>
      </w:r>
      <w:r>
        <w:rPr>
          <w:spacing w:val="-16"/>
        </w:rPr>
        <w:t> </w:t>
      </w:r>
      <w:r>
        <w:rPr/>
        <w:t>mineral</w:t>
      </w:r>
      <w:r>
        <w:rPr>
          <w:spacing w:val="-16"/>
        </w:rPr>
        <w:t> </w:t>
      </w:r>
      <w:r>
        <w:rPr/>
        <w:t>MMS</w:t>
      </w:r>
      <w:r>
        <w:rPr>
          <w:spacing w:val="-16"/>
        </w:rPr>
        <w:t> </w:t>
      </w:r>
      <w:r>
        <w:rPr/>
        <w:t>was</w:t>
      </w:r>
      <w:r>
        <w:rPr>
          <w:spacing w:val="-15"/>
        </w:rPr>
        <w:t> </w:t>
      </w:r>
      <w:r>
        <w:rPr/>
        <w:t>in</w:t>
      </w:r>
      <w:r>
        <w:rPr>
          <w:spacing w:val="-16"/>
        </w:rPr>
        <w:t> </w:t>
      </w:r>
      <w:r>
        <w:rPr/>
        <w:t>Africa and Mexico, since MMS is not approved in the US or in Europe and certain powers</w:t>
      </w:r>
      <w:r>
        <w:rPr>
          <w:spacing w:val="-8"/>
        </w:rPr>
        <w:t> </w:t>
      </w:r>
      <w:r>
        <w:rPr/>
        <w:t>seem</w:t>
      </w:r>
      <w:r>
        <w:rPr>
          <w:spacing w:val="-11"/>
        </w:rPr>
        <w:t> </w:t>
      </w:r>
      <w:r>
        <w:rPr/>
        <w:t>to</w:t>
      </w:r>
      <w:r>
        <w:rPr>
          <w:spacing w:val="-11"/>
        </w:rPr>
        <w:t> </w:t>
      </w:r>
      <w:r>
        <w:rPr/>
        <w:t>be</w:t>
      </w:r>
      <w:r>
        <w:rPr>
          <w:spacing w:val="-8"/>
        </w:rPr>
        <w:t> </w:t>
      </w:r>
      <w:r>
        <w:rPr/>
        <w:t>keen</w:t>
      </w:r>
      <w:r>
        <w:rPr>
          <w:spacing w:val="-8"/>
        </w:rPr>
        <w:t> </w:t>
      </w:r>
      <w:r>
        <w:rPr/>
        <w:t>for</w:t>
      </w:r>
      <w:r>
        <w:rPr>
          <w:spacing w:val="-9"/>
        </w:rPr>
        <w:t> </w:t>
      </w:r>
      <w:r>
        <w:rPr/>
        <w:t>this</w:t>
      </w:r>
      <w:r>
        <w:rPr>
          <w:spacing w:val="-12"/>
        </w:rPr>
        <w:t> </w:t>
      </w:r>
      <w:r>
        <w:rPr/>
        <w:t>to</w:t>
      </w:r>
      <w:r>
        <w:rPr>
          <w:spacing w:val="-8"/>
        </w:rPr>
        <w:t> </w:t>
      </w:r>
      <w:r>
        <w:rPr/>
        <w:t>remain</w:t>
      </w:r>
      <w:r>
        <w:rPr>
          <w:spacing w:val="-9"/>
        </w:rPr>
        <w:t> </w:t>
      </w:r>
      <w:r>
        <w:rPr/>
        <w:t>the</w:t>
      </w:r>
      <w:r>
        <w:rPr>
          <w:spacing w:val="-7"/>
        </w:rPr>
        <w:t> </w:t>
      </w:r>
      <w:r>
        <w:rPr/>
        <w:t>case.</w:t>
      </w:r>
      <w:r>
        <w:rPr>
          <w:spacing w:val="-8"/>
        </w:rPr>
        <w:t> </w:t>
      </w:r>
      <w:r>
        <w:rPr/>
        <w:t>According</w:t>
      </w:r>
      <w:r>
        <w:rPr>
          <w:spacing w:val="-11"/>
        </w:rPr>
        <w:t> </w:t>
      </w:r>
      <w:r>
        <w:rPr/>
        <w:t>to</w:t>
      </w:r>
      <w:r>
        <w:rPr>
          <w:spacing w:val="-10"/>
        </w:rPr>
        <w:t> </w:t>
      </w:r>
      <w:r>
        <w:rPr/>
        <w:t>Humble,</w:t>
      </w:r>
      <w:r>
        <w:rPr>
          <w:spacing w:val="-9"/>
        </w:rPr>
        <w:t> </w:t>
      </w:r>
      <w:r>
        <w:rPr/>
        <w:t>the government of Malawi in South East Africa is said to have carried out tests with</w:t>
      </w:r>
      <w:r>
        <w:rPr>
          <w:spacing w:val="-18"/>
        </w:rPr>
        <w:t> </w:t>
      </w:r>
      <w:r>
        <w:rPr/>
        <w:t>MMS</w:t>
      </w:r>
      <w:r>
        <w:rPr>
          <w:spacing w:val="-18"/>
        </w:rPr>
        <w:t> </w:t>
      </w:r>
      <w:r>
        <w:rPr/>
        <w:t>with</w:t>
      </w:r>
      <w:r>
        <w:rPr>
          <w:spacing w:val="-21"/>
        </w:rPr>
        <w:t> </w:t>
      </w:r>
      <w:r>
        <w:rPr/>
        <w:t>a</w:t>
      </w:r>
      <w:r>
        <w:rPr>
          <w:spacing w:val="-20"/>
        </w:rPr>
        <w:t> </w:t>
      </w:r>
      <w:r>
        <w:rPr/>
        <w:t>cure</w:t>
      </w:r>
      <w:r>
        <w:rPr>
          <w:spacing w:val="-18"/>
        </w:rPr>
        <w:t> </w:t>
      </w:r>
      <w:r>
        <w:rPr/>
        <w:t>rate</w:t>
      </w:r>
      <w:r>
        <w:rPr>
          <w:spacing w:val="-21"/>
        </w:rPr>
        <w:t> </w:t>
      </w:r>
      <w:r>
        <w:rPr/>
        <w:t>of</w:t>
      </w:r>
      <w:r>
        <w:rPr>
          <w:spacing w:val="-19"/>
        </w:rPr>
        <w:t> </w:t>
      </w:r>
      <w:r>
        <w:rPr/>
        <w:t>99</w:t>
      </w:r>
      <w:r>
        <w:rPr>
          <w:spacing w:val="-22"/>
        </w:rPr>
        <w:t> </w:t>
      </w:r>
      <w:r>
        <w:rPr/>
        <w:t>%.</w:t>
      </w:r>
      <w:r>
        <w:rPr>
          <w:spacing w:val="-18"/>
        </w:rPr>
        <w:t> </w:t>
      </w:r>
      <w:r>
        <w:rPr/>
        <w:t>Over</w:t>
      </w:r>
      <w:r>
        <w:rPr>
          <w:spacing w:val="-18"/>
        </w:rPr>
        <w:t> </w:t>
      </w:r>
      <w:r>
        <w:rPr/>
        <w:t>90</w:t>
      </w:r>
      <w:r>
        <w:rPr>
          <w:spacing w:val="-18"/>
        </w:rPr>
        <w:t> </w:t>
      </w:r>
      <w:r>
        <w:rPr/>
        <w:t>%</w:t>
      </w:r>
      <w:r>
        <w:rPr>
          <w:spacing w:val="-22"/>
        </w:rPr>
        <w:t> </w:t>
      </w:r>
      <w:r>
        <w:rPr/>
        <w:t>of</w:t>
      </w:r>
      <w:r>
        <w:rPr>
          <w:spacing w:val="-21"/>
        </w:rPr>
        <w:t> </w:t>
      </w:r>
      <w:r>
        <w:rPr/>
        <w:t>all</w:t>
      </w:r>
      <w:r>
        <w:rPr>
          <w:spacing w:val="-20"/>
        </w:rPr>
        <w:t> </w:t>
      </w:r>
      <w:r>
        <w:rPr/>
        <w:t>treated</w:t>
      </w:r>
      <w:r>
        <w:rPr>
          <w:spacing w:val="-17"/>
        </w:rPr>
        <w:t> </w:t>
      </w:r>
      <w:r>
        <w:rPr/>
        <w:t>patients</w:t>
      </w:r>
      <w:r>
        <w:rPr>
          <w:spacing w:val="-18"/>
        </w:rPr>
        <w:t> </w:t>
      </w:r>
      <w:r>
        <w:rPr/>
        <w:t>recovered within a maximum of eight hours, and 60 % of AIDS patients treated in Uganda were symptom-free within three days, 98 % within one month. If his claims are confirmed, the ambitious name for the 'miraculous supplement' is quite justified – and there are many indications that support this. Read more in the following sections. But first to the protagonist – MMS, what are we talking about?</w:t>
      </w:r>
    </w:p>
    <w:p>
      <w:pPr>
        <w:pStyle w:val="Heading2"/>
        <w:spacing w:before="242"/>
        <w:ind w:left="616"/>
      </w:pPr>
      <w:r>
        <w:rPr/>
        <w:t>Miracle Mineral Supplement – what is it?</w:t>
      </w:r>
    </w:p>
    <w:p>
      <w:pPr>
        <w:pStyle w:val="BodyText"/>
        <w:spacing w:line="276" w:lineRule="auto" w:before="305"/>
        <w:ind w:left="616" w:right="134"/>
        <w:jc w:val="both"/>
      </w:pPr>
      <w:r>
        <w:rPr/>
        <w:t>It will surely astonish you to read that the main ingredient of this miraculous Miracle Mineral Supplement is something you have been actively or passively confronted with countless times in your lifetime: CHLORINE DIOXIDE with the chemical formula (ClO</w:t>
      </w:r>
      <w:r>
        <w:rPr>
          <w:vertAlign w:val="subscript"/>
        </w:rPr>
        <w:t>2</w:t>
      </w:r>
      <w:r>
        <w:rPr>
          <w:vertAlign w:val="baseline"/>
        </w:rPr>
        <w:t>).</w:t>
      </w:r>
    </w:p>
    <w:p>
      <w:pPr>
        <w:pStyle w:val="BodyText"/>
        <w:spacing w:line="276" w:lineRule="auto" w:before="239"/>
        <w:ind w:left="616" w:right="135"/>
        <w:jc w:val="both"/>
      </w:pPr>
      <w:r>
        <w:rPr/>
        <w:t>We know chlorine dioxide from countless applications to disinfect water, it is used as a bacterial sanitiser in the food industry and is also used in the US as</w:t>
      </w:r>
      <w:r>
        <w:rPr>
          <w:spacing w:val="-49"/>
        </w:rPr>
        <w:t> </w:t>
      </w:r>
      <w:r>
        <w:rPr/>
        <w:t>a disinfectant for chicken, beef and other</w:t>
      </w:r>
      <w:r>
        <w:rPr>
          <w:spacing w:val="4"/>
        </w:rPr>
        <w:t> </w:t>
      </w:r>
      <w:r>
        <w:rPr/>
        <w:t>meats.</w:t>
      </w:r>
    </w:p>
    <w:p>
      <w:pPr>
        <w:pStyle w:val="BodyText"/>
        <w:spacing w:before="240"/>
        <w:ind w:left="616"/>
        <w:jc w:val="both"/>
      </w:pPr>
      <w:r>
        <w:rPr/>
        <w:t>More specifically, MMS consists of 28 % sodium chlorite powder dissolved in</w:t>
      </w:r>
    </w:p>
    <w:p>
      <w:pPr>
        <w:spacing w:after="0"/>
        <w:jc w:val="both"/>
        <w:sectPr>
          <w:pgSz w:w="14270" w:h="16850"/>
          <w:pgMar w:header="0" w:footer="1891" w:top="1340" w:bottom="2080" w:left="800" w:right="1280"/>
        </w:sectPr>
      </w:pPr>
    </w:p>
    <w:p>
      <w:pPr>
        <w:pStyle w:val="BodyText"/>
        <w:spacing w:line="276" w:lineRule="auto" w:before="72"/>
        <w:ind w:left="616" w:right="132"/>
        <w:jc w:val="both"/>
      </w:pPr>
      <w:r>
        <w:rPr/>
        <w:t>distilled water. The sodium chlorite powder consists of 80 % sodium chlorite and</w:t>
      </w:r>
      <w:r>
        <w:rPr>
          <w:spacing w:val="-10"/>
        </w:rPr>
        <w:t> </w:t>
      </w:r>
      <w:r>
        <w:rPr/>
        <w:t>19</w:t>
      </w:r>
      <w:r>
        <w:rPr>
          <w:spacing w:val="-11"/>
        </w:rPr>
        <w:t> </w:t>
      </w:r>
      <w:r>
        <w:rPr/>
        <w:t>%</w:t>
      </w:r>
      <w:r>
        <w:rPr>
          <w:spacing w:val="-11"/>
        </w:rPr>
        <w:t> </w:t>
      </w:r>
      <w:r>
        <w:rPr/>
        <w:t>sodium</w:t>
      </w:r>
      <w:r>
        <w:rPr>
          <w:spacing w:val="-10"/>
        </w:rPr>
        <w:t> </w:t>
      </w:r>
      <w:r>
        <w:rPr/>
        <w:t>chloride,</w:t>
      </w:r>
      <w:r>
        <w:rPr>
          <w:spacing w:val="-10"/>
        </w:rPr>
        <w:t> </w:t>
      </w:r>
      <w:r>
        <w:rPr/>
        <w:t>which</w:t>
      </w:r>
      <w:r>
        <w:rPr>
          <w:spacing w:val="-10"/>
        </w:rPr>
        <w:t> </w:t>
      </w:r>
      <w:r>
        <w:rPr/>
        <w:t>we</w:t>
      </w:r>
      <w:r>
        <w:rPr>
          <w:spacing w:val="-11"/>
        </w:rPr>
        <w:t> </w:t>
      </w:r>
      <w:r>
        <w:rPr/>
        <w:t>also</w:t>
      </w:r>
      <w:r>
        <w:rPr>
          <w:spacing w:val="-10"/>
        </w:rPr>
        <w:t> </w:t>
      </w:r>
      <w:r>
        <w:rPr/>
        <w:t>know</w:t>
      </w:r>
      <w:r>
        <w:rPr>
          <w:spacing w:val="-12"/>
        </w:rPr>
        <w:t> </w:t>
      </w:r>
      <w:r>
        <w:rPr/>
        <w:t>as</w:t>
      </w:r>
      <w:r>
        <w:rPr>
          <w:spacing w:val="-11"/>
        </w:rPr>
        <w:t> </w:t>
      </w:r>
      <w:r>
        <w:rPr/>
        <w:t>'common</w:t>
      </w:r>
      <w:r>
        <w:rPr>
          <w:spacing w:val="-10"/>
        </w:rPr>
        <w:t> </w:t>
      </w:r>
      <w:r>
        <w:rPr/>
        <w:t>salt'.</w:t>
      </w:r>
      <w:r>
        <w:rPr>
          <w:spacing w:val="-10"/>
        </w:rPr>
        <w:t> </w:t>
      </w:r>
      <w:r>
        <w:rPr/>
        <w:t>The</w:t>
      </w:r>
      <w:r>
        <w:rPr>
          <w:spacing w:val="-10"/>
        </w:rPr>
        <w:t> </w:t>
      </w:r>
      <w:r>
        <w:rPr/>
        <w:t>remain- ing 1 % consists of various other sodium chemicals that have been classified as</w:t>
      </w:r>
      <w:r>
        <w:rPr>
          <w:spacing w:val="-14"/>
        </w:rPr>
        <w:t> </w:t>
      </w:r>
      <w:r>
        <w:rPr/>
        <w:t>non-toxic.</w:t>
      </w:r>
      <w:r>
        <w:rPr>
          <w:spacing w:val="-12"/>
        </w:rPr>
        <w:t> </w:t>
      </w:r>
      <w:r>
        <w:rPr/>
        <w:t>The</w:t>
      </w:r>
      <w:r>
        <w:rPr>
          <w:spacing w:val="-13"/>
        </w:rPr>
        <w:t> </w:t>
      </w:r>
      <w:r>
        <w:rPr/>
        <w:t>actual</w:t>
      </w:r>
      <w:r>
        <w:rPr>
          <w:spacing w:val="-14"/>
        </w:rPr>
        <w:t> </w:t>
      </w:r>
      <w:r>
        <w:rPr/>
        <w:t>amount</w:t>
      </w:r>
      <w:r>
        <w:rPr>
          <w:spacing w:val="-13"/>
        </w:rPr>
        <w:t> </w:t>
      </w:r>
      <w:r>
        <w:rPr/>
        <w:t>of</w:t>
      </w:r>
      <w:r>
        <w:rPr>
          <w:spacing w:val="-13"/>
        </w:rPr>
        <w:t> </w:t>
      </w:r>
      <w:r>
        <w:rPr/>
        <w:t>sodium</w:t>
      </w:r>
      <w:r>
        <w:rPr>
          <w:spacing w:val="-13"/>
        </w:rPr>
        <w:t> </w:t>
      </w:r>
      <w:r>
        <w:rPr/>
        <w:t>chlorite</w:t>
      </w:r>
      <w:r>
        <w:rPr>
          <w:spacing w:val="-13"/>
        </w:rPr>
        <w:t> </w:t>
      </w:r>
      <w:r>
        <w:rPr/>
        <w:t>in</w:t>
      </w:r>
      <w:r>
        <w:rPr>
          <w:spacing w:val="-16"/>
        </w:rPr>
        <w:t> </w:t>
      </w:r>
      <w:r>
        <w:rPr/>
        <w:t>the</w:t>
      </w:r>
      <w:r>
        <w:rPr>
          <w:spacing w:val="-14"/>
        </w:rPr>
        <w:t> </w:t>
      </w:r>
      <w:r>
        <w:rPr/>
        <w:t>finished</w:t>
      </w:r>
      <w:r>
        <w:rPr>
          <w:spacing w:val="-15"/>
        </w:rPr>
        <w:t> </w:t>
      </w:r>
      <w:r>
        <w:rPr/>
        <w:t>preparation is thus 22.4 %. Since the Miracle Mineral Supplement (MMS) is neither an of- ficially approved drug nor a dietary supplement, and all recommendations so far are based on observations from practice and not on the basis of regular studies, it must be stressed at this point that any use of MMS is at your own risk and all instructions and tips are for information purposes</w:t>
      </w:r>
      <w:r>
        <w:rPr>
          <w:spacing w:val="-8"/>
        </w:rPr>
        <w:t> </w:t>
      </w:r>
      <w:r>
        <w:rPr/>
        <w:t>only!</w:t>
      </w:r>
    </w:p>
    <w:p>
      <w:pPr>
        <w:pStyle w:val="BodyText"/>
        <w:spacing w:line="276" w:lineRule="auto" w:before="241"/>
        <w:ind w:left="616" w:right="135"/>
        <w:jc w:val="both"/>
      </w:pPr>
      <w:r>
        <w:rPr/>
        <w:t>Nevertheless, MMS can be easily obtained on the Internet in exactly the form described by Jim Humble, even though it is not formally declared for use by the human organism for the reasons given above.</w:t>
      </w:r>
    </w:p>
    <w:p>
      <w:pPr>
        <w:pStyle w:val="BodyText"/>
        <w:spacing w:line="276" w:lineRule="auto" w:before="242"/>
        <w:ind w:left="616" w:right="136"/>
        <w:jc w:val="both"/>
      </w:pPr>
      <w:r>
        <w:rPr/>
        <w:t>Nonetheless, the right to information and free speech is undoubtedly one of the fundamental rights of every person living in a democracy – Jim Humble's book 'MMS: The Breakthrough' contains a number of letters and acknowl- edgements, including the addressee and contact address, which confirm the therapeutic success of MMS.</w:t>
      </w:r>
    </w:p>
    <w:p>
      <w:pPr>
        <w:pStyle w:val="BodyText"/>
        <w:spacing w:line="276" w:lineRule="auto" w:before="239"/>
        <w:ind w:left="616" w:right="132"/>
        <w:jc w:val="both"/>
      </w:pPr>
      <w:r>
        <w:rPr/>
        <w:t>In the remainder of this section, you will find an extremely interesting state- ment on this topic by a renowned physician. A lot of evidence, albeit not offi- cially recognised evidence, that speaks for the effectiveness of MMS, and the freedom to information and the ability to form your own opinion, should not be missed!</w:t>
      </w:r>
    </w:p>
    <w:p>
      <w:pPr>
        <w:spacing w:after="0" w:line="276" w:lineRule="auto"/>
        <w:jc w:val="both"/>
        <w:sectPr>
          <w:pgSz w:w="14270" w:h="16850"/>
          <w:pgMar w:header="0" w:footer="1891" w:top="1340" w:bottom="2080" w:left="800" w:right="1280"/>
        </w:sectPr>
      </w:pPr>
    </w:p>
    <w:p>
      <w:pPr>
        <w:pStyle w:val="BodyText"/>
        <w:spacing w:line="276" w:lineRule="auto" w:before="74"/>
        <w:ind w:left="616" w:right="136"/>
        <w:jc w:val="both"/>
      </w:pPr>
      <w:r>
        <w:rPr/>
        <w:t>The entire Codex Humanus has dedicated itself to the purpose of disseminat- ing</w:t>
      </w:r>
      <w:r>
        <w:rPr>
          <w:spacing w:val="-14"/>
        </w:rPr>
        <w:t> </w:t>
      </w:r>
      <w:r>
        <w:rPr/>
        <w:t>this</w:t>
      </w:r>
      <w:r>
        <w:rPr>
          <w:spacing w:val="-13"/>
        </w:rPr>
        <w:t> </w:t>
      </w:r>
      <w:r>
        <w:rPr/>
        <w:t>information,</w:t>
      </w:r>
      <w:r>
        <w:rPr>
          <w:spacing w:val="-13"/>
        </w:rPr>
        <w:t> </w:t>
      </w:r>
      <w:r>
        <w:rPr/>
        <w:t>which</w:t>
      </w:r>
      <w:r>
        <w:rPr>
          <w:spacing w:val="-13"/>
        </w:rPr>
        <w:t> </w:t>
      </w:r>
      <w:r>
        <w:rPr/>
        <w:t>is</w:t>
      </w:r>
      <w:r>
        <w:rPr>
          <w:spacing w:val="-14"/>
        </w:rPr>
        <w:t> </w:t>
      </w:r>
      <w:r>
        <w:rPr/>
        <w:t>probably</w:t>
      </w:r>
      <w:r>
        <w:rPr>
          <w:spacing w:val="-15"/>
        </w:rPr>
        <w:t> </w:t>
      </w:r>
      <w:r>
        <w:rPr/>
        <w:t>of</w:t>
      </w:r>
      <w:r>
        <w:rPr>
          <w:spacing w:val="-14"/>
        </w:rPr>
        <w:t> </w:t>
      </w:r>
      <w:r>
        <w:rPr/>
        <w:t>interest</w:t>
      </w:r>
      <w:r>
        <w:rPr>
          <w:spacing w:val="-16"/>
        </w:rPr>
        <w:t> </w:t>
      </w:r>
      <w:r>
        <w:rPr/>
        <w:t>to</w:t>
      </w:r>
      <w:r>
        <w:rPr>
          <w:spacing w:val="-14"/>
        </w:rPr>
        <w:t> </w:t>
      </w:r>
      <w:r>
        <w:rPr/>
        <w:t>everyone.</w:t>
      </w:r>
      <w:r>
        <w:rPr>
          <w:spacing w:val="-15"/>
        </w:rPr>
        <w:t> </w:t>
      </w:r>
      <w:r>
        <w:rPr/>
        <w:t>You</w:t>
      </w:r>
      <w:r>
        <w:rPr>
          <w:spacing w:val="-16"/>
        </w:rPr>
        <w:t> </w:t>
      </w:r>
      <w:r>
        <w:rPr/>
        <w:t>can</w:t>
      </w:r>
      <w:r>
        <w:rPr>
          <w:spacing w:val="-13"/>
        </w:rPr>
        <w:t> </w:t>
      </w:r>
      <w:r>
        <w:rPr/>
        <w:t>decide for yourself if and how you want to use</w:t>
      </w:r>
      <w:r>
        <w:rPr>
          <w:spacing w:val="2"/>
        </w:rPr>
        <w:t> </w:t>
      </w:r>
      <w:r>
        <w:rPr/>
        <w:t>it!</w:t>
      </w:r>
    </w:p>
    <w:p>
      <w:pPr>
        <w:pStyle w:val="Heading2"/>
        <w:spacing w:before="239"/>
        <w:ind w:left="616"/>
        <w:jc w:val="both"/>
      </w:pPr>
      <w:r>
        <w:rPr/>
        <w:t>The discovery of the Miracle Mineral Supplement (MMS)</w:t>
      </w:r>
    </w:p>
    <w:p>
      <w:pPr>
        <w:pStyle w:val="BodyText"/>
        <w:spacing w:line="276" w:lineRule="auto" w:before="304"/>
        <w:ind w:left="616" w:right="130"/>
        <w:jc w:val="both"/>
      </w:pPr>
      <w:r>
        <w:rPr/>
        <w:t>Convinced by his friend to seek gold in the jungles of South America, the </w:t>
      </w:r>
      <w:r>
        <w:rPr>
          <w:spacing w:val="3"/>
        </w:rPr>
        <w:t>67- </w:t>
      </w:r>
      <w:r>
        <w:rPr/>
        <w:t>year-old</w:t>
      </w:r>
      <w:r>
        <w:rPr>
          <w:spacing w:val="-8"/>
        </w:rPr>
        <w:t> </w:t>
      </w:r>
      <w:r>
        <w:rPr/>
        <w:t>Jim</w:t>
      </w:r>
      <w:r>
        <w:rPr>
          <w:spacing w:val="-7"/>
        </w:rPr>
        <w:t> </w:t>
      </w:r>
      <w:r>
        <w:rPr/>
        <w:t>Humble</w:t>
      </w:r>
      <w:r>
        <w:rPr>
          <w:spacing w:val="-7"/>
        </w:rPr>
        <w:t> </w:t>
      </w:r>
      <w:r>
        <w:rPr/>
        <w:t>packed</w:t>
      </w:r>
      <w:r>
        <w:rPr>
          <w:spacing w:val="-8"/>
        </w:rPr>
        <w:t> </w:t>
      </w:r>
      <w:r>
        <w:rPr/>
        <w:t>all</w:t>
      </w:r>
      <w:r>
        <w:rPr>
          <w:spacing w:val="-11"/>
        </w:rPr>
        <w:t> </w:t>
      </w:r>
      <w:r>
        <w:rPr/>
        <w:t>the</w:t>
      </w:r>
      <w:r>
        <w:rPr>
          <w:spacing w:val="-6"/>
        </w:rPr>
        <w:t> </w:t>
      </w:r>
      <w:r>
        <w:rPr/>
        <w:t>essentials</w:t>
      </w:r>
      <w:r>
        <w:rPr>
          <w:spacing w:val="-8"/>
        </w:rPr>
        <w:t> </w:t>
      </w:r>
      <w:r>
        <w:rPr/>
        <w:t>and</w:t>
      </w:r>
      <w:r>
        <w:rPr>
          <w:spacing w:val="-7"/>
        </w:rPr>
        <w:t> </w:t>
      </w:r>
      <w:r>
        <w:rPr/>
        <w:t>did</w:t>
      </w:r>
      <w:r>
        <w:rPr>
          <w:spacing w:val="-8"/>
        </w:rPr>
        <w:t> </w:t>
      </w:r>
      <w:r>
        <w:rPr/>
        <w:t>not</w:t>
      </w:r>
      <w:r>
        <w:rPr>
          <w:spacing w:val="-10"/>
        </w:rPr>
        <w:t> </w:t>
      </w:r>
      <w:r>
        <w:rPr/>
        <w:t>forget</w:t>
      </w:r>
      <w:r>
        <w:rPr>
          <w:spacing w:val="-13"/>
        </w:rPr>
        <w:t> </w:t>
      </w:r>
      <w:r>
        <w:rPr/>
        <w:t>the</w:t>
      </w:r>
      <w:r>
        <w:rPr>
          <w:spacing w:val="-6"/>
        </w:rPr>
        <w:t> </w:t>
      </w:r>
      <w:r>
        <w:rPr/>
        <w:t>thing</w:t>
      </w:r>
      <w:r>
        <w:rPr>
          <w:spacing w:val="-9"/>
        </w:rPr>
        <w:t> </w:t>
      </w:r>
      <w:r>
        <w:rPr/>
        <w:t>that most important for him:</w:t>
      </w:r>
    </w:p>
    <w:p>
      <w:pPr>
        <w:pStyle w:val="BodyText"/>
        <w:spacing w:before="242"/>
        <w:ind w:left="616"/>
        <w:jc w:val="both"/>
      </w:pPr>
      <w:r>
        <w:rPr/>
        <w:t>stabilised oxygen!</w:t>
      </w:r>
    </w:p>
    <w:p>
      <w:pPr>
        <w:pStyle w:val="BodyText"/>
        <w:spacing w:line="276" w:lineRule="auto" w:before="305"/>
        <w:ind w:left="616" w:right="126"/>
        <w:jc w:val="both"/>
      </w:pPr>
      <w:r>
        <w:rPr/>
        <w:t>Humble had learned from various sources that stabilised oxygen (technical term 'sodium chlori</w:t>
      </w:r>
      <w:r>
        <w:rPr>
          <w:b/>
        </w:rPr>
        <w:t>te</w:t>
      </w:r>
      <w:r>
        <w:rPr/>
        <w:t>' with the chemical formula NaClO</w:t>
      </w:r>
      <w:r>
        <w:rPr>
          <w:vertAlign w:val="subscript"/>
        </w:rPr>
        <w:t>2,</w:t>
      </w:r>
      <w:r>
        <w:rPr>
          <w:vertAlign w:val="baseline"/>
        </w:rPr>
        <w:t> not to be confused with sodium chlori</w:t>
      </w:r>
      <w:r>
        <w:rPr>
          <w:b/>
          <w:vertAlign w:val="baseline"/>
        </w:rPr>
        <w:t>de</w:t>
      </w:r>
      <w:r>
        <w:rPr>
          <w:vertAlign w:val="baseline"/>
        </w:rPr>
        <w:t>) disinfects water – a property that can play a vital role, especially</w:t>
      </w:r>
      <w:r>
        <w:rPr>
          <w:spacing w:val="-17"/>
          <w:vertAlign w:val="baseline"/>
        </w:rPr>
        <w:t> </w:t>
      </w:r>
      <w:r>
        <w:rPr>
          <w:vertAlign w:val="baseline"/>
        </w:rPr>
        <w:t>in</w:t>
      </w:r>
      <w:r>
        <w:rPr>
          <w:spacing w:val="-16"/>
          <w:vertAlign w:val="baseline"/>
        </w:rPr>
        <w:t> </w:t>
      </w:r>
      <w:r>
        <w:rPr>
          <w:vertAlign w:val="baseline"/>
        </w:rPr>
        <w:t>the</w:t>
      </w:r>
      <w:r>
        <w:rPr>
          <w:spacing w:val="-18"/>
          <w:vertAlign w:val="baseline"/>
        </w:rPr>
        <w:t> </w:t>
      </w:r>
      <w:r>
        <w:rPr>
          <w:vertAlign w:val="baseline"/>
        </w:rPr>
        <w:t>jungle</w:t>
      </w:r>
      <w:r>
        <w:rPr>
          <w:spacing w:val="-16"/>
          <w:vertAlign w:val="baseline"/>
        </w:rPr>
        <w:t> </w:t>
      </w:r>
      <w:r>
        <w:rPr>
          <w:vertAlign w:val="baseline"/>
        </w:rPr>
        <w:t>where</w:t>
      </w:r>
      <w:r>
        <w:rPr>
          <w:spacing w:val="-16"/>
          <w:vertAlign w:val="baseline"/>
        </w:rPr>
        <w:t> </w:t>
      </w:r>
      <w:r>
        <w:rPr>
          <w:vertAlign w:val="baseline"/>
        </w:rPr>
        <w:t>drinking</w:t>
      </w:r>
      <w:r>
        <w:rPr>
          <w:spacing w:val="-16"/>
          <w:vertAlign w:val="baseline"/>
        </w:rPr>
        <w:t> </w:t>
      </w:r>
      <w:r>
        <w:rPr>
          <w:vertAlign w:val="baseline"/>
        </w:rPr>
        <w:t>water</w:t>
      </w:r>
      <w:r>
        <w:rPr>
          <w:spacing w:val="-16"/>
          <w:vertAlign w:val="baseline"/>
        </w:rPr>
        <w:t> </w:t>
      </w:r>
      <w:r>
        <w:rPr>
          <w:vertAlign w:val="baseline"/>
        </w:rPr>
        <w:t>is</w:t>
      </w:r>
      <w:r>
        <w:rPr>
          <w:spacing w:val="-19"/>
          <w:vertAlign w:val="baseline"/>
        </w:rPr>
        <w:t> </w:t>
      </w:r>
      <w:r>
        <w:rPr>
          <w:vertAlign w:val="baseline"/>
        </w:rPr>
        <w:t>contaminated</w:t>
      </w:r>
      <w:r>
        <w:rPr>
          <w:spacing w:val="-17"/>
          <w:vertAlign w:val="baseline"/>
        </w:rPr>
        <w:t> </w:t>
      </w:r>
      <w:r>
        <w:rPr>
          <w:vertAlign w:val="baseline"/>
        </w:rPr>
        <w:t>with</w:t>
      </w:r>
      <w:r>
        <w:rPr>
          <w:spacing w:val="-16"/>
          <w:vertAlign w:val="baseline"/>
        </w:rPr>
        <w:t> </w:t>
      </w:r>
      <w:r>
        <w:rPr>
          <w:vertAlign w:val="baseline"/>
        </w:rPr>
        <w:t>typhoid</w:t>
      </w:r>
      <w:r>
        <w:rPr>
          <w:spacing w:val="-17"/>
          <w:vertAlign w:val="baseline"/>
        </w:rPr>
        <w:t> </w:t>
      </w:r>
      <w:r>
        <w:rPr>
          <w:vertAlign w:val="baseline"/>
        </w:rPr>
        <w:t>bac- teria and other harmful parasites.</w:t>
      </w:r>
    </w:p>
    <w:p>
      <w:pPr>
        <w:pStyle w:val="BodyText"/>
        <w:spacing w:line="276" w:lineRule="auto" w:before="240"/>
        <w:ind w:left="616" w:right="139"/>
        <w:jc w:val="both"/>
      </w:pPr>
      <w:r>
        <w:rPr/>
        <w:t>Experimental by his very nature, Jim Humble checked his friends' statements at home by adding stabilised oxygen to wastewater and sending a sample to a test lab.</w:t>
      </w:r>
    </w:p>
    <w:p>
      <w:pPr>
        <w:pStyle w:val="BodyText"/>
        <w:spacing w:before="238"/>
        <w:ind w:left="616"/>
        <w:jc w:val="both"/>
      </w:pPr>
      <w:r>
        <w:rPr/>
        <w:t>The result of the laboratory analysis was: 'germ-free'!</w:t>
      </w:r>
    </w:p>
    <w:p>
      <w:pPr>
        <w:pStyle w:val="BodyText"/>
        <w:spacing w:line="276" w:lineRule="auto" w:before="305"/>
        <w:ind w:left="616" w:right="136"/>
        <w:jc w:val="both"/>
      </w:pPr>
      <w:r>
        <w:rPr/>
        <w:t>With the certainty of being able to disinfect his drinking water with stabilised oxygen at any time when needed, he embarked on the expedition to South America.</w:t>
      </w:r>
    </w:p>
    <w:p>
      <w:pPr>
        <w:spacing w:after="0" w:line="276" w:lineRule="auto"/>
        <w:jc w:val="both"/>
        <w:sectPr>
          <w:pgSz w:w="14270" w:h="16850"/>
          <w:pgMar w:header="0" w:footer="1891" w:top="1340" w:bottom="2080" w:left="800" w:right="1280"/>
        </w:sectPr>
      </w:pPr>
    </w:p>
    <w:p>
      <w:pPr>
        <w:pStyle w:val="BodyText"/>
        <w:spacing w:line="276" w:lineRule="auto" w:before="74"/>
        <w:ind w:left="616" w:right="139"/>
        <w:jc w:val="both"/>
      </w:pPr>
      <w:r>
        <w:rPr/>
        <w:t>Having arrived in the deepest Guyanese jungle, the area, contaminated by</w:t>
      </w:r>
      <w:r>
        <w:rPr>
          <w:spacing w:val="-58"/>
        </w:rPr>
        <w:t> </w:t>
      </w:r>
      <w:r>
        <w:rPr/>
        <w:t>ma- laria, took its first victim among the companions of Jim Humble. With no medicines and being far away from civilisation, the life of two comrades was in acute danger. The two men were getting worse and worse and had nothing to lose except their lives, so they immediately agreed to try Humble's potion.</w:t>
      </w:r>
    </w:p>
    <w:p>
      <w:pPr>
        <w:pStyle w:val="BodyText"/>
        <w:spacing w:line="276" w:lineRule="auto" w:before="240"/>
        <w:ind w:left="616" w:right="134"/>
        <w:jc w:val="both"/>
      </w:pPr>
      <w:r>
        <w:rPr/>
        <w:t>Humble</w:t>
      </w:r>
      <w:r>
        <w:rPr>
          <w:spacing w:val="-14"/>
        </w:rPr>
        <w:t> </w:t>
      </w:r>
      <w:r>
        <w:rPr/>
        <w:t>administered</w:t>
      </w:r>
      <w:r>
        <w:rPr>
          <w:spacing w:val="-12"/>
        </w:rPr>
        <w:t> </w:t>
      </w:r>
      <w:r>
        <w:rPr/>
        <w:t>both</w:t>
      </w:r>
      <w:r>
        <w:rPr>
          <w:spacing w:val="-12"/>
        </w:rPr>
        <w:t> </w:t>
      </w:r>
      <w:r>
        <w:rPr/>
        <w:t>patients</w:t>
      </w:r>
      <w:r>
        <w:rPr>
          <w:spacing w:val="-12"/>
        </w:rPr>
        <w:t> </w:t>
      </w:r>
      <w:r>
        <w:rPr/>
        <w:t>stabilised</w:t>
      </w:r>
      <w:r>
        <w:rPr>
          <w:spacing w:val="-13"/>
        </w:rPr>
        <w:t> </w:t>
      </w:r>
      <w:r>
        <w:rPr/>
        <w:t>oxygen</w:t>
      </w:r>
      <w:r>
        <w:rPr>
          <w:spacing w:val="-12"/>
        </w:rPr>
        <w:t> </w:t>
      </w:r>
      <w:r>
        <w:rPr/>
        <w:t>with</w:t>
      </w:r>
      <w:r>
        <w:rPr>
          <w:spacing w:val="-12"/>
        </w:rPr>
        <w:t> </w:t>
      </w:r>
      <w:r>
        <w:rPr/>
        <w:t>some</w:t>
      </w:r>
      <w:r>
        <w:rPr>
          <w:spacing w:val="-15"/>
        </w:rPr>
        <w:t> </w:t>
      </w:r>
      <w:r>
        <w:rPr/>
        <w:t>water.</w:t>
      </w:r>
      <w:r>
        <w:rPr>
          <w:spacing w:val="-12"/>
        </w:rPr>
        <w:t> </w:t>
      </w:r>
      <w:r>
        <w:rPr/>
        <w:t>Within an hour, their chills stopped, and four hours later, the two were so well that they were even telling jokes and were able to join the other men on the expe- dition for</w:t>
      </w:r>
      <w:r>
        <w:rPr>
          <w:spacing w:val="2"/>
        </w:rPr>
        <w:t> </w:t>
      </w:r>
      <w:r>
        <w:rPr/>
        <w:t>dinner.</w:t>
      </w:r>
    </w:p>
    <w:p>
      <w:pPr>
        <w:pStyle w:val="BodyText"/>
        <w:spacing w:line="276" w:lineRule="auto" w:before="239"/>
        <w:ind w:left="616" w:right="133"/>
        <w:jc w:val="both"/>
      </w:pPr>
      <w:r>
        <w:rPr/>
        <w:t>During the extended expedition, Humble’s team travelled countless miles through</w:t>
      </w:r>
      <w:r>
        <w:rPr>
          <w:spacing w:val="-6"/>
        </w:rPr>
        <w:t> </w:t>
      </w:r>
      <w:r>
        <w:rPr/>
        <w:t>Guyana.</w:t>
      </w:r>
      <w:r>
        <w:rPr>
          <w:spacing w:val="-6"/>
        </w:rPr>
        <w:t> </w:t>
      </w:r>
      <w:r>
        <w:rPr/>
        <w:t>Humble</w:t>
      </w:r>
      <w:r>
        <w:rPr>
          <w:spacing w:val="-7"/>
        </w:rPr>
        <w:t> </w:t>
      </w:r>
      <w:r>
        <w:rPr/>
        <w:t>did</w:t>
      </w:r>
      <w:r>
        <w:rPr>
          <w:spacing w:val="-8"/>
        </w:rPr>
        <w:t> </w:t>
      </w:r>
      <w:r>
        <w:rPr/>
        <w:t>what</w:t>
      </w:r>
      <w:r>
        <w:rPr>
          <w:spacing w:val="-7"/>
        </w:rPr>
        <w:t> </w:t>
      </w:r>
      <w:r>
        <w:rPr/>
        <w:t>one</w:t>
      </w:r>
      <w:r>
        <w:rPr>
          <w:spacing w:val="-7"/>
        </w:rPr>
        <w:t> </w:t>
      </w:r>
      <w:r>
        <w:rPr/>
        <w:t>would</w:t>
      </w:r>
      <w:r>
        <w:rPr>
          <w:spacing w:val="-7"/>
        </w:rPr>
        <w:t> </w:t>
      </w:r>
      <w:r>
        <w:rPr/>
        <w:t>expect</w:t>
      </w:r>
      <w:r>
        <w:rPr>
          <w:spacing w:val="-7"/>
        </w:rPr>
        <w:t> </w:t>
      </w:r>
      <w:r>
        <w:rPr/>
        <w:t>of</w:t>
      </w:r>
      <w:r>
        <w:rPr>
          <w:spacing w:val="-7"/>
        </w:rPr>
        <w:t> </w:t>
      </w:r>
      <w:r>
        <w:rPr/>
        <w:t>a</w:t>
      </w:r>
      <w:r>
        <w:rPr>
          <w:spacing w:val="-7"/>
        </w:rPr>
        <w:t> </w:t>
      </w:r>
      <w:r>
        <w:rPr/>
        <w:t>good</w:t>
      </w:r>
      <w:r>
        <w:rPr>
          <w:spacing w:val="-9"/>
        </w:rPr>
        <w:t> </w:t>
      </w:r>
      <w:r>
        <w:rPr/>
        <w:t>person,</w:t>
      </w:r>
      <w:r>
        <w:rPr>
          <w:spacing w:val="-9"/>
        </w:rPr>
        <w:t> </w:t>
      </w:r>
      <w:r>
        <w:rPr/>
        <w:t>trying to</w:t>
      </w:r>
      <w:r>
        <w:rPr>
          <w:spacing w:val="-8"/>
        </w:rPr>
        <w:t> </w:t>
      </w:r>
      <w:r>
        <w:rPr/>
        <w:t>cure</w:t>
      </w:r>
      <w:r>
        <w:rPr>
          <w:spacing w:val="-7"/>
        </w:rPr>
        <w:t> </w:t>
      </w:r>
      <w:r>
        <w:rPr/>
        <w:t>malaria-infected</w:t>
      </w:r>
      <w:r>
        <w:rPr>
          <w:spacing w:val="-9"/>
        </w:rPr>
        <w:t> </w:t>
      </w:r>
      <w:r>
        <w:rPr/>
        <w:t>and</w:t>
      </w:r>
      <w:r>
        <w:rPr>
          <w:spacing w:val="-8"/>
        </w:rPr>
        <w:t> </w:t>
      </w:r>
      <w:r>
        <w:rPr/>
        <w:t>typhoid-affected</w:t>
      </w:r>
      <w:r>
        <w:rPr>
          <w:spacing w:val="-10"/>
        </w:rPr>
        <w:t> </w:t>
      </w:r>
      <w:r>
        <w:rPr/>
        <w:t>locals</w:t>
      </w:r>
      <w:r>
        <w:rPr>
          <w:spacing w:val="-8"/>
        </w:rPr>
        <w:t> </w:t>
      </w:r>
      <w:r>
        <w:rPr/>
        <w:t>with</w:t>
      </w:r>
      <w:r>
        <w:rPr>
          <w:spacing w:val="-7"/>
        </w:rPr>
        <w:t> </w:t>
      </w:r>
      <w:r>
        <w:rPr/>
        <w:t>his</w:t>
      </w:r>
      <w:r>
        <w:rPr>
          <w:spacing w:val="-8"/>
        </w:rPr>
        <w:t> </w:t>
      </w:r>
      <w:r>
        <w:rPr/>
        <w:t>stabilised</w:t>
      </w:r>
      <w:r>
        <w:rPr>
          <w:spacing w:val="-7"/>
        </w:rPr>
        <w:t> </w:t>
      </w:r>
      <w:r>
        <w:rPr/>
        <w:t>oxygen.</w:t>
      </w:r>
    </w:p>
    <w:p>
      <w:pPr>
        <w:pStyle w:val="BodyText"/>
        <w:spacing w:line="276" w:lineRule="auto" w:before="242"/>
        <w:ind w:left="616" w:right="132"/>
        <w:jc w:val="both"/>
      </w:pPr>
      <w:r>
        <w:rPr/>
        <w:t>For a long time, he could not cure every case with the mixture, but an</w:t>
      </w:r>
      <w:r>
        <w:rPr>
          <w:spacing w:val="-50"/>
        </w:rPr>
        <w:t> </w:t>
      </w:r>
      <w:r>
        <w:rPr/>
        <w:t>impres- sive</w:t>
      </w:r>
      <w:r>
        <w:rPr>
          <w:spacing w:val="-11"/>
        </w:rPr>
        <w:t> </w:t>
      </w:r>
      <w:r>
        <w:rPr/>
        <w:t>cure</w:t>
      </w:r>
      <w:r>
        <w:rPr>
          <w:spacing w:val="-10"/>
        </w:rPr>
        <w:t> </w:t>
      </w:r>
      <w:r>
        <w:rPr/>
        <w:t>rate</w:t>
      </w:r>
      <w:r>
        <w:rPr>
          <w:spacing w:val="-11"/>
        </w:rPr>
        <w:t> </w:t>
      </w:r>
      <w:r>
        <w:rPr/>
        <w:t>of</w:t>
      </w:r>
      <w:r>
        <w:rPr>
          <w:spacing w:val="-15"/>
        </w:rPr>
        <w:t> </w:t>
      </w:r>
      <w:r>
        <w:rPr/>
        <w:t>70</w:t>
      </w:r>
      <w:r>
        <w:rPr>
          <w:spacing w:val="-12"/>
        </w:rPr>
        <w:t> </w:t>
      </w:r>
      <w:r>
        <w:rPr/>
        <w:t>%</w:t>
      </w:r>
      <w:r>
        <w:rPr>
          <w:spacing w:val="-11"/>
        </w:rPr>
        <w:t> </w:t>
      </w:r>
      <w:r>
        <w:rPr/>
        <w:t>made</w:t>
      </w:r>
      <w:r>
        <w:rPr>
          <w:spacing w:val="-11"/>
        </w:rPr>
        <w:t> </w:t>
      </w:r>
      <w:r>
        <w:rPr/>
        <w:t>it</w:t>
      </w:r>
      <w:r>
        <w:rPr>
          <w:spacing w:val="-12"/>
        </w:rPr>
        <w:t> </w:t>
      </w:r>
      <w:r>
        <w:rPr/>
        <w:t>the</w:t>
      </w:r>
      <w:r>
        <w:rPr>
          <w:spacing w:val="-11"/>
        </w:rPr>
        <w:t> </w:t>
      </w:r>
      <w:r>
        <w:rPr/>
        <w:t>subject</w:t>
      </w:r>
      <w:r>
        <w:rPr>
          <w:spacing w:val="-10"/>
        </w:rPr>
        <w:t> </w:t>
      </w:r>
      <w:r>
        <w:rPr/>
        <w:t>of</w:t>
      </w:r>
      <w:r>
        <w:rPr>
          <w:spacing w:val="-13"/>
        </w:rPr>
        <w:t> </w:t>
      </w:r>
      <w:r>
        <w:rPr/>
        <w:t>discussion</w:t>
      </w:r>
      <w:r>
        <w:rPr>
          <w:spacing w:val="-10"/>
        </w:rPr>
        <w:t> </w:t>
      </w:r>
      <w:r>
        <w:rPr/>
        <w:t>for</w:t>
      </w:r>
      <w:r>
        <w:rPr>
          <w:spacing w:val="-12"/>
        </w:rPr>
        <w:t> </w:t>
      </w:r>
      <w:r>
        <w:rPr/>
        <w:t>thousands</w:t>
      </w:r>
      <w:r>
        <w:rPr>
          <w:spacing w:val="-11"/>
        </w:rPr>
        <w:t> </w:t>
      </w:r>
      <w:r>
        <w:rPr/>
        <w:t>of</w:t>
      </w:r>
      <w:r>
        <w:rPr>
          <w:spacing w:val="-10"/>
        </w:rPr>
        <w:t> </w:t>
      </w:r>
      <w:r>
        <w:rPr/>
        <w:t>miles, this rate exceeded the success rate of common malaria</w:t>
      </w:r>
      <w:r>
        <w:rPr>
          <w:spacing w:val="-2"/>
        </w:rPr>
        <w:t> </w:t>
      </w:r>
      <w:r>
        <w:rPr/>
        <w:t>medicines.</w:t>
      </w:r>
    </w:p>
    <w:p>
      <w:pPr>
        <w:pStyle w:val="BodyText"/>
        <w:spacing w:line="276" w:lineRule="auto" w:before="239"/>
        <w:ind w:left="616" w:right="137"/>
        <w:jc w:val="both"/>
      </w:pPr>
      <w:r>
        <w:rPr/>
        <w:t>Surprised</w:t>
      </w:r>
      <w:r>
        <w:rPr>
          <w:spacing w:val="-11"/>
        </w:rPr>
        <w:t> </w:t>
      </w:r>
      <w:r>
        <w:rPr/>
        <w:t>by</w:t>
      </w:r>
      <w:r>
        <w:rPr>
          <w:spacing w:val="-10"/>
        </w:rPr>
        <w:t> </w:t>
      </w:r>
      <w:r>
        <w:rPr/>
        <w:t>the</w:t>
      </w:r>
      <w:r>
        <w:rPr>
          <w:spacing w:val="-11"/>
        </w:rPr>
        <w:t> </w:t>
      </w:r>
      <w:r>
        <w:rPr/>
        <w:t>success</w:t>
      </w:r>
      <w:r>
        <w:rPr>
          <w:spacing w:val="-10"/>
        </w:rPr>
        <w:t> </w:t>
      </w:r>
      <w:r>
        <w:rPr/>
        <w:t>of</w:t>
      </w:r>
      <w:r>
        <w:rPr>
          <w:spacing w:val="-10"/>
        </w:rPr>
        <w:t> </w:t>
      </w:r>
      <w:r>
        <w:rPr/>
        <w:t>what</w:t>
      </w:r>
      <w:r>
        <w:rPr>
          <w:spacing w:val="-10"/>
        </w:rPr>
        <w:t> </w:t>
      </w:r>
      <w:r>
        <w:rPr/>
        <w:t>he</w:t>
      </w:r>
      <w:r>
        <w:rPr>
          <w:spacing w:val="-10"/>
        </w:rPr>
        <w:t> </w:t>
      </w:r>
      <w:r>
        <w:rPr/>
        <w:t>called</w:t>
      </w:r>
      <w:r>
        <w:rPr>
          <w:spacing w:val="-11"/>
        </w:rPr>
        <w:t> </w:t>
      </w:r>
      <w:r>
        <w:rPr/>
        <w:t>his</w:t>
      </w:r>
      <w:r>
        <w:rPr>
          <w:spacing w:val="-11"/>
        </w:rPr>
        <w:t> </w:t>
      </w:r>
      <w:r>
        <w:rPr/>
        <w:t>'health</w:t>
      </w:r>
      <w:r>
        <w:rPr>
          <w:spacing w:val="-11"/>
        </w:rPr>
        <w:t> </w:t>
      </w:r>
      <w:r>
        <w:rPr/>
        <w:t>potion',</w:t>
      </w:r>
      <w:r>
        <w:rPr>
          <w:spacing w:val="-10"/>
        </w:rPr>
        <w:t> </w:t>
      </w:r>
      <w:r>
        <w:rPr/>
        <w:t>Jim</w:t>
      </w:r>
      <w:r>
        <w:rPr>
          <w:spacing w:val="-12"/>
        </w:rPr>
        <w:t> </w:t>
      </w:r>
      <w:r>
        <w:rPr/>
        <w:t>Humble</w:t>
      </w:r>
      <w:r>
        <w:rPr>
          <w:spacing w:val="-11"/>
        </w:rPr>
        <w:t> </w:t>
      </w:r>
      <w:r>
        <w:rPr/>
        <w:t>told his friend Bob Tate on the phone about its healing effects on malaria. Both then decided to sell the potion in</w:t>
      </w:r>
      <w:r>
        <w:rPr>
          <w:spacing w:val="3"/>
        </w:rPr>
        <w:t> </w:t>
      </w:r>
      <w:r>
        <w:rPr/>
        <w:t>Guyana.</w:t>
      </w:r>
    </w:p>
    <w:p>
      <w:pPr>
        <w:pStyle w:val="BodyText"/>
        <w:spacing w:line="276" w:lineRule="auto" w:before="241"/>
        <w:ind w:left="616" w:right="135"/>
        <w:jc w:val="both"/>
      </w:pPr>
      <w:r>
        <w:rPr/>
        <w:t>Some</w:t>
      </w:r>
      <w:r>
        <w:rPr>
          <w:spacing w:val="-14"/>
        </w:rPr>
        <w:t> </w:t>
      </w:r>
      <w:r>
        <w:rPr/>
        <w:t>promotion</w:t>
      </w:r>
      <w:r>
        <w:rPr>
          <w:spacing w:val="-14"/>
        </w:rPr>
        <w:t> </w:t>
      </w:r>
      <w:r>
        <w:rPr/>
        <w:t>via</w:t>
      </w:r>
      <w:r>
        <w:rPr>
          <w:spacing w:val="-14"/>
        </w:rPr>
        <w:t> </w:t>
      </w:r>
      <w:r>
        <w:rPr/>
        <w:t>an</w:t>
      </w:r>
      <w:r>
        <w:rPr>
          <w:spacing w:val="-14"/>
        </w:rPr>
        <w:t> </w:t>
      </w:r>
      <w:r>
        <w:rPr/>
        <w:t>ad</w:t>
      </w:r>
      <w:r>
        <w:rPr>
          <w:spacing w:val="-15"/>
        </w:rPr>
        <w:t> </w:t>
      </w:r>
      <w:r>
        <w:rPr/>
        <w:t>in</w:t>
      </w:r>
      <w:r>
        <w:rPr>
          <w:spacing w:val="-13"/>
        </w:rPr>
        <w:t> </w:t>
      </w:r>
      <w:r>
        <w:rPr/>
        <w:t>the</w:t>
      </w:r>
      <w:r>
        <w:rPr>
          <w:spacing w:val="-14"/>
        </w:rPr>
        <w:t> </w:t>
      </w:r>
      <w:r>
        <w:rPr/>
        <w:t>local</w:t>
      </w:r>
      <w:r>
        <w:rPr>
          <w:spacing w:val="-14"/>
        </w:rPr>
        <w:t> </w:t>
      </w:r>
      <w:r>
        <w:rPr/>
        <w:t>newspaper</w:t>
      </w:r>
      <w:r>
        <w:rPr>
          <w:spacing w:val="-13"/>
        </w:rPr>
        <w:t> </w:t>
      </w:r>
      <w:r>
        <w:rPr/>
        <w:t>was</w:t>
      </w:r>
      <w:r>
        <w:rPr>
          <w:spacing w:val="-12"/>
        </w:rPr>
        <w:t> </w:t>
      </w:r>
      <w:r>
        <w:rPr/>
        <w:t>intended</w:t>
      </w:r>
      <w:r>
        <w:rPr>
          <w:spacing w:val="-14"/>
        </w:rPr>
        <w:t> </w:t>
      </w:r>
      <w:r>
        <w:rPr/>
        <w:t>to</w:t>
      </w:r>
      <w:r>
        <w:rPr>
          <w:spacing w:val="-14"/>
        </w:rPr>
        <w:t> </w:t>
      </w:r>
      <w:r>
        <w:rPr/>
        <w:t>facilitate</w:t>
      </w:r>
      <w:r>
        <w:rPr>
          <w:spacing w:val="-14"/>
        </w:rPr>
        <w:t> </w:t>
      </w:r>
      <w:r>
        <w:rPr/>
        <w:t>the launch. What the two of them did not expect at all was the response, which, among</w:t>
      </w:r>
      <w:r>
        <w:rPr>
          <w:spacing w:val="-21"/>
        </w:rPr>
        <w:t> </w:t>
      </w:r>
      <w:r>
        <w:rPr/>
        <w:t>other</w:t>
      </w:r>
      <w:r>
        <w:rPr>
          <w:spacing w:val="-21"/>
        </w:rPr>
        <w:t> </w:t>
      </w:r>
      <w:r>
        <w:rPr/>
        <w:t>things,</w:t>
      </w:r>
      <w:r>
        <w:rPr>
          <w:spacing w:val="-20"/>
        </w:rPr>
        <w:t> </w:t>
      </w:r>
      <w:r>
        <w:rPr/>
        <w:t>included</w:t>
      </w:r>
      <w:r>
        <w:rPr>
          <w:spacing w:val="-22"/>
        </w:rPr>
        <w:t> </w:t>
      </w:r>
      <w:r>
        <w:rPr/>
        <w:t>a</w:t>
      </w:r>
      <w:r>
        <w:rPr>
          <w:spacing w:val="-22"/>
        </w:rPr>
        <w:t> </w:t>
      </w:r>
      <w:r>
        <w:rPr/>
        <w:t>television</w:t>
      </w:r>
      <w:r>
        <w:rPr>
          <w:spacing w:val="-19"/>
        </w:rPr>
        <w:t> </w:t>
      </w:r>
      <w:r>
        <w:rPr/>
        <w:t>station</w:t>
      </w:r>
      <w:r>
        <w:rPr>
          <w:spacing w:val="-20"/>
        </w:rPr>
        <w:t> </w:t>
      </w:r>
      <w:r>
        <w:rPr/>
        <w:t>sending</w:t>
      </w:r>
      <w:r>
        <w:rPr>
          <w:spacing w:val="-21"/>
        </w:rPr>
        <w:t> </w:t>
      </w:r>
      <w:r>
        <w:rPr/>
        <w:t>reporters</w:t>
      </w:r>
      <w:r>
        <w:rPr>
          <w:spacing w:val="-22"/>
        </w:rPr>
        <w:t> </w:t>
      </w:r>
      <w:r>
        <w:rPr/>
        <w:t>to</w:t>
      </w:r>
      <w:r>
        <w:rPr>
          <w:spacing w:val="-21"/>
        </w:rPr>
        <w:t> </w:t>
      </w:r>
      <w:r>
        <w:rPr/>
        <w:t>the</w:t>
      </w:r>
      <w:r>
        <w:rPr>
          <w:spacing w:val="-19"/>
        </w:rPr>
        <w:t> </w:t>
      </w:r>
      <w:r>
        <w:rPr/>
        <w:t>camp to</w:t>
      </w:r>
      <w:r>
        <w:rPr>
          <w:spacing w:val="39"/>
        </w:rPr>
        <w:t> </w:t>
      </w:r>
      <w:r>
        <w:rPr/>
        <w:t>interview</w:t>
      </w:r>
      <w:r>
        <w:rPr>
          <w:spacing w:val="38"/>
        </w:rPr>
        <w:t> </w:t>
      </w:r>
      <w:r>
        <w:rPr/>
        <w:t>Jim</w:t>
      </w:r>
      <w:r>
        <w:rPr>
          <w:spacing w:val="39"/>
        </w:rPr>
        <w:t> </w:t>
      </w:r>
      <w:r>
        <w:rPr/>
        <w:t>Humble</w:t>
      </w:r>
      <w:r>
        <w:rPr>
          <w:spacing w:val="38"/>
        </w:rPr>
        <w:t> </w:t>
      </w:r>
      <w:r>
        <w:rPr/>
        <w:t>about</w:t>
      </w:r>
      <w:r>
        <w:rPr>
          <w:spacing w:val="37"/>
        </w:rPr>
        <w:t> </w:t>
      </w:r>
      <w:r>
        <w:rPr/>
        <w:t>his</w:t>
      </w:r>
      <w:r>
        <w:rPr>
          <w:spacing w:val="40"/>
        </w:rPr>
        <w:t> </w:t>
      </w:r>
      <w:r>
        <w:rPr/>
        <w:t>'miracle</w:t>
      </w:r>
      <w:r>
        <w:rPr>
          <w:spacing w:val="39"/>
        </w:rPr>
        <w:t> </w:t>
      </w:r>
      <w:r>
        <w:rPr/>
        <w:t>cure</w:t>
      </w:r>
      <w:r>
        <w:rPr>
          <w:spacing w:val="39"/>
        </w:rPr>
        <w:t> </w:t>
      </w:r>
      <w:r>
        <w:rPr/>
        <w:t>for</w:t>
      </w:r>
      <w:r>
        <w:rPr>
          <w:spacing w:val="41"/>
        </w:rPr>
        <w:t> </w:t>
      </w:r>
      <w:r>
        <w:rPr/>
        <w:t>malaria'</w:t>
      </w:r>
      <w:r>
        <w:rPr>
          <w:spacing w:val="38"/>
        </w:rPr>
        <w:t> </w:t>
      </w:r>
      <w:r>
        <w:rPr/>
        <w:t>A</w:t>
      </w:r>
      <w:r>
        <w:rPr>
          <w:spacing w:val="38"/>
        </w:rPr>
        <w:t> </w:t>
      </w:r>
      <w:r>
        <w:rPr/>
        <w:t>radio</w:t>
      </w:r>
      <w:r>
        <w:rPr>
          <w:spacing w:val="40"/>
        </w:rPr>
        <w:t> </w:t>
      </w:r>
      <w:r>
        <w:rPr/>
        <w:t>and</w:t>
      </w:r>
      <w:r>
        <w:rPr>
          <w:spacing w:val="38"/>
        </w:rPr>
        <w:t> </w:t>
      </w:r>
      <w:r>
        <w:rPr/>
        <w:t>a</w:t>
      </w:r>
    </w:p>
    <w:p>
      <w:pPr>
        <w:spacing w:after="0" w:line="276" w:lineRule="auto"/>
        <w:jc w:val="both"/>
        <w:sectPr>
          <w:footerReference w:type="default" r:id="rId239"/>
          <w:pgSz w:w="14270" w:h="16850"/>
          <w:pgMar w:footer="1891" w:header="0" w:top="1340" w:bottom="2080" w:left="800" w:right="1280"/>
          <w:pgNumType w:start="1010"/>
        </w:sectPr>
      </w:pPr>
    </w:p>
    <w:p>
      <w:pPr>
        <w:pStyle w:val="BodyText"/>
        <w:spacing w:before="74"/>
        <w:ind w:left="616"/>
      </w:pPr>
      <w:r>
        <w:rPr/>
        <w:t>newspaper reporter then followed.</w:t>
      </w:r>
    </w:p>
    <w:p>
      <w:pPr>
        <w:pStyle w:val="BodyText"/>
        <w:spacing w:line="276" w:lineRule="auto" w:before="305"/>
        <w:ind w:left="616" w:right="137"/>
        <w:jc w:val="both"/>
      </w:pPr>
      <w:r>
        <w:rPr/>
        <w:t>It would only take a few days for Humble and his crew to be summoned by the Guyana Ministry of Health for an interrogation, which was followed by a ban on the sale of the potion under penalty of imprisonment. Knowing that the authorities would not follow him, Humble first delved into the deepest jungle</w:t>
      </w:r>
      <w:r>
        <w:rPr>
          <w:spacing w:val="-7"/>
        </w:rPr>
        <w:t> </w:t>
      </w:r>
      <w:r>
        <w:rPr/>
        <w:t>and</w:t>
      </w:r>
      <w:r>
        <w:rPr>
          <w:spacing w:val="-7"/>
        </w:rPr>
        <w:t> </w:t>
      </w:r>
      <w:r>
        <w:rPr/>
        <w:t>spent</w:t>
      </w:r>
      <w:r>
        <w:rPr>
          <w:spacing w:val="-7"/>
        </w:rPr>
        <w:t> </w:t>
      </w:r>
      <w:r>
        <w:rPr/>
        <w:t>a</w:t>
      </w:r>
      <w:r>
        <w:rPr>
          <w:spacing w:val="-8"/>
        </w:rPr>
        <w:t> </w:t>
      </w:r>
      <w:r>
        <w:rPr/>
        <w:t>few</w:t>
      </w:r>
      <w:r>
        <w:rPr>
          <w:spacing w:val="-7"/>
        </w:rPr>
        <w:t> </w:t>
      </w:r>
      <w:r>
        <w:rPr/>
        <w:t>months</w:t>
      </w:r>
      <w:r>
        <w:rPr>
          <w:spacing w:val="-6"/>
        </w:rPr>
        <w:t> </w:t>
      </w:r>
      <w:r>
        <w:rPr/>
        <w:t>exploring</w:t>
      </w:r>
      <w:r>
        <w:rPr>
          <w:spacing w:val="-6"/>
        </w:rPr>
        <w:t> </w:t>
      </w:r>
      <w:r>
        <w:rPr/>
        <w:t>the</w:t>
      </w:r>
      <w:r>
        <w:rPr>
          <w:spacing w:val="-6"/>
        </w:rPr>
        <w:t> </w:t>
      </w:r>
      <w:r>
        <w:rPr/>
        <w:t>gold</w:t>
      </w:r>
      <w:r>
        <w:rPr>
          <w:spacing w:val="-7"/>
        </w:rPr>
        <w:t> </w:t>
      </w:r>
      <w:r>
        <w:rPr/>
        <w:t>mine</w:t>
      </w:r>
      <w:r>
        <w:rPr>
          <w:spacing w:val="-6"/>
        </w:rPr>
        <w:t> </w:t>
      </w:r>
      <w:r>
        <w:rPr/>
        <w:t>he</w:t>
      </w:r>
      <w:r>
        <w:rPr>
          <w:spacing w:val="-5"/>
        </w:rPr>
        <w:t> </w:t>
      </w:r>
      <w:r>
        <w:rPr/>
        <w:t>had</w:t>
      </w:r>
      <w:r>
        <w:rPr>
          <w:spacing w:val="-7"/>
        </w:rPr>
        <w:t> </w:t>
      </w:r>
      <w:r>
        <w:rPr/>
        <w:t>discovered.</w:t>
      </w:r>
      <w:r>
        <w:rPr>
          <w:spacing w:val="-6"/>
        </w:rPr>
        <w:t> </w:t>
      </w:r>
      <w:r>
        <w:rPr/>
        <w:t>He stayed there for half a year, and when the city had forgotten about the whole affair, he ventured to come back to freely take the next possible plane to the US.</w:t>
      </w:r>
    </w:p>
    <w:p>
      <w:pPr>
        <w:pStyle w:val="BodyText"/>
        <w:spacing w:before="239"/>
        <w:ind w:left="616"/>
      </w:pPr>
      <w:r>
        <w:rPr/>
        <w:t>What happened next</w:t>
      </w:r>
    </w:p>
    <w:p>
      <w:pPr>
        <w:pStyle w:val="BodyText"/>
        <w:spacing w:line="276" w:lineRule="auto" w:before="304"/>
        <w:ind w:left="616" w:right="136"/>
        <w:jc w:val="both"/>
      </w:pPr>
      <w:r>
        <w:rPr/>
        <w:t>In the US, he continued to experiment with his stabilised oxygen; it was not until later that he found out that it was sodium chlorite. What he lacked,</w:t>
      </w:r>
      <w:r>
        <w:rPr>
          <w:spacing w:val="-55"/>
        </w:rPr>
        <w:t> </w:t>
      </w:r>
      <w:r>
        <w:rPr/>
        <w:t>how- ever, was clear evidence that his remedy was actually fighting malaria. He was to receive the opportunity to become his own guinea pig at this point, a little sooner than he might have wished for! Jim Humble landed in Guyana again for</w:t>
      </w:r>
      <w:r>
        <w:rPr>
          <w:spacing w:val="-11"/>
        </w:rPr>
        <w:t> </w:t>
      </w:r>
      <w:r>
        <w:rPr/>
        <w:t>further</w:t>
      </w:r>
      <w:r>
        <w:rPr>
          <w:spacing w:val="-10"/>
        </w:rPr>
        <w:t> </w:t>
      </w:r>
      <w:r>
        <w:rPr/>
        <w:t>gold</w:t>
      </w:r>
      <w:r>
        <w:rPr>
          <w:spacing w:val="-18"/>
        </w:rPr>
        <w:t> </w:t>
      </w:r>
      <w:r>
        <w:rPr/>
        <w:t>exploration</w:t>
      </w:r>
      <w:r>
        <w:rPr>
          <w:spacing w:val="-11"/>
        </w:rPr>
        <w:t> </w:t>
      </w:r>
      <w:r>
        <w:rPr/>
        <w:t>and</w:t>
      </w:r>
      <w:r>
        <w:rPr>
          <w:spacing w:val="-11"/>
        </w:rPr>
        <w:t> </w:t>
      </w:r>
      <w:r>
        <w:rPr/>
        <w:t>promptly</w:t>
      </w:r>
      <w:r>
        <w:rPr>
          <w:spacing w:val="-13"/>
        </w:rPr>
        <w:t> </w:t>
      </w:r>
      <w:r>
        <w:rPr/>
        <w:t>contracted</w:t>
      </w:r>
      <w:r>
        <w:rPr>
          <w:spacing w:val="-12"/>
        </w:rPr>
        <w:t> </w:t>
      </w:r>
      <w:r>
        <w:rPr/>
        <w:t>malaria.</w:t>
      </w:r>
      <w:r>
        <w:rPr>
          <w:spacing w:val="-13"/>
        </w:rPr>
        <w:t> </w:t>
      </w:r>
      <w:r>
        <w:rPr/>
        <w:t>Instead</w:t>
      </w:r>
      <w:r>
        <w:rPr>
          <w:spacing w:val="-11"/>
        </w:rPr>
        <w:t> </w:t>
      </w:r>
      <w:r>
        <w:rPr/>
        <w:t>of</w:t>
      </w:r>
      <w:r>
        <w:rPr>
          <w:spacing w:val="-11"/>
        </w:rPr>
        <w:t> </w:t>
      </w:r>
      <w:r>
        <w:rPr/>
        <w:t>being treated with the usual malaria tablets, he pushed it to extremes and was first transported to a hospital and had his blood</w:t>
      </w:r>
      <w:r>
        <w:rPr>
          <w:spacing w:val="-4"/>
        </w:rPr>
        <w:t> </w:t>
      </w:r>
      <w:r>
        <w:rPr/>
        <w:t>taken.</w:t>
      </w:r>
    </w:p>
    <w:p>
      <w:pPr>
        <w:pStyle w:val="BodyText"/>
        <w:spacing w:line="276" w:lineRule="auto" w:before="241"/>
        <w:ind w:left="616" w:right="133"/>
        <w:jc w:val="both"/>
      </w:pPr>
      <w:r>
        <w:rPr/>
        <w:t>The</w:t>
      </w:r>
      <w:r>
        <w:rPr>
          <w:spacing w:val="-12"/>
        </w:rPr>
        <w:t> </w:t>
      </w:r>
      <w:r>
        <w:rPr/>
        <w:t>finding</w:t>
      </w:r>
      <w:r>
        <w:rPr>
          <w:spacing w:val="-11"/>
        </w:rPr>
        <w:t> </w:t>
      </w:r>
      <w:r>
        <w:rPr/>
        <w:t>clearly</w:t>
      </w:r>
      <w:r>
        <w:rPr>
          <w:spacing w:val="-13"/>
        </w:rPr>
        <w:t> </w:t>
      </w:r>
      <w:r>
        <w:rPr/>
        <w:t>confirmed</w:t>
      </w:r>
      <w:r>
        <w:rPr>
          <w:spacing w:val="-14"/>
        </w:rPr>
        <w:t> </w:t>
      </w:r>
      <w:r>
        <w:rPr/>
        <w:t>the</w:t>
      </w:r>
      <w:r>
        <w:rPr>
          <w:spacing w:val="-11"/>
        </w:rPr>
        <w:t> </w:t>
      </w:r>
      <w:r>
        <w:rPr/>
        <w:t>diagnosis</w:t>
      </w:r>
      <w:r>
        <w:rPr>
          <w:spacing w:val="-14"/>
        </w:rPr>
        <w:t> </w:t>
      </w:r>
      <w:r>
        <w:rPr/>
        <w:t>of</w:t>
      </w:r>
      <w:r>
        <w:rPr>
          <w:spacing w:val="-14"/>
        </w:rPr>
        <w:t> </w:t>
      </w:r>
      <w:r>
        <w:rPr/>
        <w:t>'malaria',</w:t>
      </w:r>
      <w:r>
        <w:rPr>
          <w:spacing w:val="-11"/>
        </w:rPr>
        <w:t> </w:t>
      </w:r>
      <w:r>
        <w:rPr/>
        <w:t>and,</w:t>
      </w:r>
      <w:r>
        <w:rPr>
          <w:spacing w:val="-12"/>
        </w:rPr>
        <w:t> </w:t>
      </w:r>
      <w:r>
        <w:rPr/>
        <w:t>even</w:t>
      </w:r>
      <w:r>
        <w:rPr>
          <w:spacing w:val="-13"/>
        </w:rPr>
        <w:t> </w:t>
      </w:r>
      <w:r>
        <w:rPr/>
        <w:t>at</w:t>
      </w:r>
      <w:r>
        <w:rPr>
          <w:spacing w:val="-14"/>
        </w:rPr>
        <w:t> </w:t>
      </w:r>
      <w:r>
        <w:rPr/>
        <w:t>this</w:t>
      </w:r>
      <w:r>
        <w:rPr>
          <w:spacing w:val="-13"/>
        </w:rPr>
        <w:t> </w:t>
      </w:r>
      <w:r>
        <w:rPr/>
        <w:t>stage, Humble</w:t>
      </w:r>
      <w:r>
        <w:rPr>
          <w:spacing w:val="-26"/>
        </w:rPr>
        <w:t> </w:t>
      </w:r>
      <w:r>
        <w:rPr/>
        <w:t>renounced</w:t>
      </w:r>
      <w:r>
        <w:rPr>
          <w:spacing w:val="-24"/>
        </w:rPr>
        <w:t> </w:t>
      </w:r>
      <w:r>
        <w:rPr/>
        <w:t>the</w:t>
      </w:r>
      <w:r>
        <w:rPr>
          <w:spacing w:val="-24"/>
        </w:rPr>
        <w:t> </w:t>
      </w:r>
      <w:r>
        <w:rPr/>
        <w:t>usual</w:t>
      </w:r>
      <w:r>
        <w:rPr>
          <w:spacing w:val="-26"/>
        </w:rPr>
        <w:t> </w:t>
      </w:r>
      <w:r>
        <w:rPr/>
        <w:t>medication;</w:t>
      </w:r>
      <w:r>
        <w:rPr>
          <w:spacing w:val="-25"/>
        </w:rPr>
        <w:t> </w:t>
      </w:r>
      <w:r>
        <w:rPr/>
        <w:t>instead</w:t>
      </w:r>
      <w:r>
        <w:rPr>
          <w:spacing w:val="-27"/>
        </w:rPr>
        <w:t> </w:t>
      </w:r>
      <w:r>
        <w:rPr/>
        <w:t>he</w:t>
      </w:r>
      <w:r>
        <w:rPr>
          <w:spacing w:val="-25"/>
        </w:rPr>
        <w:t> </w:t>
      </w:r>
      <w:r>
        <w:rPr/>
        <w:t>administered</w:t>
      </w:r>
      <w:r>
        <w:rPr>
          <w:spacing w:val="-27"/>
        </w:rPr>
        <w:t> </w:t>
      </w:r>
      <w:r>
        <w:rPr/>
        <w:t>his</w:t>
      </w:r>
      <w:r>
        <w:rPr>
          <w:spacing w:val="-24"/>
        </w:rPr>
        <w:t> </w:t>
      </w:r>
      <w:r>
        <w:rPr/>
        <w:t>own</w:t>
      </w:r>
      <w:r>
        <w:rPr>
          <w:spacing w:val="-24"/>
        </w:rPr>
        <w:t> </w:t>
      </w:r>
      <w:r>
        <w:rPr/>
        <w:t>mix- ture!</w:t>
      </w:r>
      <w:r>
        <w:rPr>
          <w:spacing w:val="43"/>
        </w:rPr>
        <w:t> </w:t>
      </w:r>
      <w:r>
        <w:rPr/>
        <w:t>And</w:t>
      </w:r>
      <w:r>
        <w:rPr>
          <w:spacing w:val="43"/>
        </w:rPr>
        <w:t> </w:t>
      </w:r>
      <w:r>
        <w:rPr/>
        <w:t>in</w:t>
      </w:r>
      <w:r>
        <w:rPr>
          <w:spacing w:val="43"/>
        </w:rPr>
        <w:t> </w:t>
      </w:r>
      <w:r>
        <w:rPr/>
        <w:t>testing</w:t>
      </w:r>
      <w:r>
        <w:rPr>
          <w:spacing w:val="43"/>
        </w:rPr>
        <w:t> </w:t>
      </w:r>
      <w:r>
        <w:rPr/>
        <w:t>it</w:t>
      </w:r>
      <w:r>
        <w:rPr>
          <w:spacing w:val="42"/>
        </w:rPr>
        <w:t> </w:t>
      </w:r>
      <w:r>
        <w:rPr/>
        <w:t>on</w:t>
      </w:r>
      <w:r>
        <w:rPr>
          <w:spacing w:val="43"/>
        </w:rPr>
        <w:t> </w:t>
      </w:r>
      <w:r>
        <w:rPr/>
        <w:t>himself,</w:t>
      </w:r>
      <w:r>
        <w:rPr>
          <w:spacing w:val="42"/>
        </w:rPr>
        <w:t> </w:t>
      </w:r>
      <w:r>
        <w:rPr/>
        <w:t>Humble</w:t>
      </w:r>
      <w:r>
        <w:rPr>
          <w:spacing w:val="43"/>
        </w:rPr>
        <w:t> </w:t>
      </w:r>
      <w:r>
        <w:rPr/>
        <w:t>confirmed</w:t>
      </w:r>
      <w:r>
        <w:rPr>
          <w:spacing w:val="42"/>
        </w:rPr>
        <w:t> </w:t>
      </w:r>
      <w:r>
        <w:rPr/>
        <w:t>the</w:t>
      </w:r>
      <w:r>
        <w:rPr>
          <w:spacing w:val="44"/>
        </w:rPr>
        <w:t> </w:t>
      </w:r>
      <w:r>
        <w:rPr/>
        <w:t>effect</w:t>
      </w:r>
      <w:r>
        <w:rPr>
          <w:spacing w:val="42"/>
        </w:rPr>
        <w:t> </w:t>
      </w:r>
      <w:r>
        <w:rPr/>
        <w:t>of</w:t>
      </w:r>
      <w:r>
        <w:rPr>
          <w:spacing w:val="43"/>
        </w:rPr>
        <w:t> </w:t>
      </w:r>
      <w:r>
        <w:rPr/>
        <w:t>Miracle</w:t>
      </w:r>
    </w:p>
    <w:p>
      <w:pPr>
        <w:spacing w:after="0" w:line="276" w:lineRule="auto"/>
        <w:jc w:val="both"/>
        <w:sectPr>
          <w:pgSz w:w="14270" w:h="16850"/>
          <w:pgMar w:header="0" w:footer="1891" w:top="1340" w:bottom="2080" w:left="800" w:right="1280"/>
        </w:sectPr>
      </w:pPr>
    </w:p>
    <w:p>
      <w:pPr>
        <w:pStyle w:val="BodyText"/>
        <w:spacing w:line="276" w:lineRule="auto" w:before="72"/>
        <w:ind w:left="616" w:right="133"/>
        <w:jc w:val="both"/>
      </w:pPr>
      <w:r>
        <w:rPr/>
        <w:t>Mineral Supplement. Only a few hours later, he felt much better: he had an- other</w:t>
      </w:r>
      <w:r>
        <w:rPr>
          <w:spacing w:val="-6"/>
        </w:rPr>
        <w:t> </w:t>
      </w:r>
      <w:r>
        <w:rPr/>
        <w:t>blood</w:t>
      </w:r>
      <w:r>
        <w:rPr>
          <w:spacing w:val="-9"/>
        </w:rPr>
        <w:t> </w:t>
      </w:r>
      <w:r>
        <w:rPr/>
        <w:t>sample</w:t>
      </w:r>
      <w:r>
        <w:rPr>
          <w:spacing w:val="-7"/>
        </w:rPr>
        <w:t> </w:t>
      </w:r>
      <w:r>
        <w:rPr/>
        <w:t>taken</w:t>
      </w:r>
      <w:r>
        <w:rPr>
          <w:spacing w:val="-7"/>
        </w:rPr>
        <w:t> </w:t>
      </w:r>
      <w:r>
        <w:rPr/>
        <w:t>to</w:t>
      </w:r>
      <w:r>
        <w:rPr>
          <w:spacing w:val="-6"/>
        </w:rPr>
        <w:t> </w:t>
      </w:r>
      <w:r>
        <w:rPr/>
        <w:t>record</w:t>
      </w:r>
      <w:r>
        <w:rPr>
          <w:spacing w:val="-7"/>
        </w:rPr>
        <w:t> </w:t>
      </w:r>
      <w:r>
        <w:rPr/>
        <w:t>the</w:t>
      </w:r>
      <w:r>
        <w:rPr>
          <w:spacing w:val="-6"/>
        </w:rPr>
        <w:t> </w:t>
      </w:r>
      <w:r>
        <w:rPr/>
        <w:t>change</w:t>
      </w:r>
      <w:r>
        <w:rPr>
          <w:spacing w:val="-8"/>
        </w:rPr>
        <w:t> </w:t>
      </w:r>
      <w:r>
        <w:rPr/>
        <w:t>in</w:t>
      </w:r>
      <w:r>
        <w:rPr>
          <w:spacing w:val="-12"/>
        </w:rPr>
        <w:t> </w:t>
      </w:r>
      <w:r>
        <w:rPr/>
        <w:t>black</w:t>
      </w:r>
      <w:r>
        <w:rPr>
          <w:spacing w:val="-7"/>
        </w:rPr>
        <w:t> </w:t>
      </w:r>
      <w:r>
        <w:rPr/>
        <w:t>and</w:t>
      </w:r>
      <w:r>
        <w:rPr>
          <w:spacing w:val="-7"/>
        </w:rPr>
        <w:t> </w:t>
      </w:r>
      <w:r>
        <w:rPr/>
        <w:t>white.</w:t>
      </w:r>
      <w:r>
        <w:rPr>
          <w:spacing w:val="-6"/>
        </w:rPr>
        <w:t> </w:t>
      </w:r>
      <w:r>
        <w:rPr/>
        <w:t>There</w:t>
      </w:r>
      <w:r>
        <w:rPr>
          <w:spacing w:val="-7"/>
        </w:rPr>
        <w:t> </w:t>
      </w:r>
      <w:r>
        <w:rPr/>
        <w:t>were no signs of malaria in the blood, and Jim Humble was now clear; his mixture definitely cured malaria!</w:t>
      </w:r>
    </w:p>
    <w:p>
      <w:pPr>
        <w:pStyle w:val="Heading1"/>
        <w:ind w:left="616"/>
      </w:pPr>
      <w:r>
        <w:rPr/>
        <w:t>Further tests of MMS followed via the internet</w:t>
      </w:r>
    </w:p>
    <w:p>
      <w:pPr>
        <w:pStyle w:val="BodyText"/>
        <w:spacing w:line="276" w:lineRule="auto" w:before="299"/>
        <w:ind w:left="616" w:right="135"/>
        <w:jc w:val="both"/>
      </w:pPr>
      <w:r>
        <w:rPr/>
        <w:t>Humble got to know a man in Tanzania on the internet. Humble was able to persuade this person to treat some malaria-infected locals with his stabilised oxygen.</w:t>
      </w:r>
      <w:r>
        <w:rPr>
          <w:spacing w:val="-6"/>
        </w:rPr>
        <w:t> </w:t>
      </w:r>
      <w:r>
        <w:rPr/>
        <w:t>As</w:t>
      </w:r>
      <w:r>
        <w:rPr>
          <w:spacing w:val="-7"/>
        </w:rPr>
        <w:t> </w:t>
      </w:r>
      <w:r>
        <w:rPr/>
        <w:t>it</w:t>
      </w:r>
      <w:r>
        <w:rPr>
          <w:spacing w:val="-8"/>
        </w:rPr>
        <w:t> </w:t>
      </w:r>
      <w:r>
        <w:rPr/>
        <w:t>turned</w:t>
      </w:r>
      <w:r>
        <w:rPr>
          <w:spacing w:val="-6"/>
        </w:rPr>
        <w:t> </w:t>
      </w:r>
      <w:r>
        <w:rPr/>
        <w:t>out,</w:t>
      </w:r>
      <w:r>
        <w:rPr>
          <w:spacing w:val="-7"/>
        </w:rPr>
        <w:t> </w:t>
      </w:r>
      <w:r>
        <w:rPr/>
        <w:t>Humble's</w:t>
      </w:r>
      <w:r>
        <w:rPr>
          <w:spacing w:val="-6"/>
        </w:rPr>
        <w:t> </w:t>
      </w:r>
      <w:r>
        <w:rPr/>
        <w:t>mixture</w:t>
      </w:r>
      <w:r>
        <w:rPr>
          <w:spacing w:val="-2"/>
        </w:rPr>
        <w:t> </w:t>
      </w:r>
      <w:r>
        <w:rPr/>
        <w:t>was</w:t>
      </w:r>
      <w:r>
        <w:rPr>
          <w:spacing w:val="-4"/>
        </w:rPr>
        <w:t> </w:t>
      </w:r>
      <w:r>
        <w:rPr/>
        <w:t>quite</w:t>
      </w:r>
      <w:r>
        <w:rPr>
          <w:spacing w:val="-7"/>
        </w:rPr>
        <w:t> </w:t>
      </w:r>
      <w:r>
        <w:rPr/>
        <w:t>successful</w:t>
      </w:r>
      <w:r>
        <w:rPr>
          <w:spacing w:val="-5"/>
        </w:rPr>
        <w:t> </w:t>
      </w:r>
      <w:r>
        <w:rPr/>
        <w:t>in</w:t>
      </w:r>
      <w:r>
        <w:rPr>
          <w:spacing w:val="-6"/>
        </w:rPr>
        <w:t> </w:t>
      </w:r>
      <w:r>
        <w:rPr/>
        <w:t>curing</w:t>
      </w:r>
      <w:r>
        <w:rPr>
          <w:spacing w:val="-6"/>
        </w:rPr>
        <w:t> </w:t>
      </w:r>
      <w:r>
        <w:rPr/>
        <w:t>ma- laria, but not in all patients; a riddle that Humble wanted to</w:t>
      </w:r>
      <w:r>
        <w:rPr>
          <w:spacing w:val="-14"/>
        </w:rPr>
        <w:t> </w:t>
      </w:r>
      <w:r>
        <w:rPr/>
        <w:t>solve!</w:t>
      </w:r>
    </w:p>
    <w:p>
      <w:pPr>
        <w:pStyle w:val="Heading1"/>
        <w:spacing w:before="223"/>
        <w:ind w:left="616"/>
      </w:pPr>
      <w:r>
        <w:rPr/>
        <w:t>Research and own tests improve the mixture</w:t>
      </w:r>
    </w:p>
    <w:p>
      <w:pPr>
        <w:pStyle w:val="BodyText"/>
        <w:spacing w:line="276" w:lineRule="auto" w:before="299"/>
        <w:ind w:left="616" w:right="131"/>
        <w:jc w:val="both"/>
      </w:pPr>
      <w:r>
        <w:rPr/>
        <w:t>The</w:t>
      </w:r>
      <w:r>
        <w:rPr>
          <w:spacing w:val="-6"/>
        </w:rPr>
        <w:t> </w:t>
      </w:r>
      <w:r>
        <w:rPr/>
        <w:t>search</w:t>
      </w:r>
      <w:r>
        <w:rPr>
          <w:spacing w:val="-6"/>
        </w:rPr>
        <w:t> </w:t>
      </w:r>
      <w:r>
        <w:rPr/>
        <w:t>for</w:t>
      </w:r>
      <w:r>
        <w:rPr>
          <w:spacing w:val="-7"/>
        </w:rPr>
        <w:t> </w:t>
      </w:r>
      <w:r>
        <w:rPr/>
        <w:t>the</w:t>
      </w:r>
      <w:r>
        <w:rPr>
          <w:spacing w:val="-5"/>
        </w:rPr>
        <w:t> </w:t>
      </w:r>
      <w:r>
        <w:rPr/>
        <w:t>secret</w:t>
      </w:r>
      <w:r>
        <w:rPr>
          <w:spacing w:val="-10"/>
        </w:rPr>
        <w:t> </w:t>
      </w:r>
      <w:r>
        <w:rPr/>
        <w:t>of</w:t>
      </w:r>
      <w:r>
        <w:rPr>
          <w:spacing w:val="-7"/>
        </w:rPr>
        <w:t> </w:t>
      </w:r>
      <w:r>
        <w:rPr/>
        <w:t>why</w:t>
      </w:r>
      <w:r>
        <w:rPr>
          <w:spacing w:val="-8"/>
        </w:rPr>
        <w:t> </w:t>
      </w:r>
      <w:r>
        <w:rPr/>
        <w:t>stabilised</w:t>
      </w:r>
      <w:r>
        <w:rPr>
          <w:spacing w:val="-6"/>
        </w:rPr>
        <w:t> </w:t>
      </w:r>
      <w:r>
        <w:rPr/>
        <w:t>oxygen</w:t>
      </w:r>
      <w:r>
        <w:rPr>
          <w:spacing w:val="-7"/>
        </w:rPr>
        <w:t> </w:t>
      </w:r>
      <w:r>
        <w:rPr/>
        <w:t>completely</w:t>
      </w:r>
      <w:r>
        <w:rPr>
          <w:spacing w:val="-7"/>
        </w:rPr>
        <w:t> </w:t>
      </w:r>
      <w:r>
        <w:rPr/>
        <w:t>cured</w:t>
      </w:r>
      <w:r>
        <w:rPr>
          <w:spacing w:val="-6"/>
        </w:rPr>
        <w:t> </w:t>
      </w:r>
      <w:r>
        <w:rPr/>
        <w:t>malaria</w:t>
      </w:r>
      <w:r>
        <w:rPr>
          <w:spacing w:val="-6"/>
        </w:rPr>
        <w:t> </w:t>
      </w:r>
      <w:r>
        <w:rPr/>
        <w:t>in some people and not in others led Humble to the libraries and he performed research.</w:t>
      </w:r>
      <w:r>
        <w:rPr>
          <w:spacing w:val="-15"/>
        </w:rPr>
        <w:t> </w:t>
      </w:r>
      <w:r>
        <w:rPr/>
        <w:t>He</w:t>
      </w:r>
      <w:r>
        <w:rPr>
          <w:spacing w:val="-14"/>
        </w:rPr>
        <w:t> </w:t>
      </w:r>
      <w:r>
        <w:rPr/>
        <w:t>found</w:t>
      </w:r>
      <w:r>
        <w:rPr>
          <w:spacing w:val="-13"/>
        </w:rPr>
        <w:t> </w:t>
      </w:r>
      <w:r>
        <w:rPr/>
        <w:t>out</w:t>
      </w:r>
      <w:r>
        <w:rPr>
          <w:spacing w:val="-15"/>
        </w:rPr>
        <w:t> </w:t>
      </w:r>
      <w:r>
        <w:rPr/>
        <w:t>that</w:t>
      </w:r>
      <w:r>
        <w:rPr>
          <w:spacing w:val="-16"/>
        </w:rPr>
        <w:t> </w:t>
      </w:r>
      <w:r>
        <w:rPr/>
        <w:t>his</w:t>
      </w:r>
      <w:r>
        <w:rPr>
          <w:spacing w:val="-15"/>
        </w:rPr>
        <w:t> </w:t>
      </w:r>
      <w:r>
        <w:rPr/>
        <w:t>stabilised</w:t>
      </w:r>
      <w:r>
        <w:rPr>
          <w:spacing w:val="-14"/>
        </w:rPr>
        <w:t> </w:t>
      </w:r>
      <w:r>
        <w:rPr/>
        <w:t>oxygen</w:t>
      </w:r>
      <w:r>
        <w:rPr>
          <w:spacing w:val="-13"/>
        </w:rPr>
        <w:t> </w:t>
      </w:r>
      <w:r>
        <w:rPr/>
        <w:t>(sodium</w:t>
      </w:r>
      <w:r>
        <w:rPr>
          <w:spacing w:val="-14"/>
        </w:rPr>
        <w:t> </w:t>
      </w:r>
      <w:r>
        <w:rPr/>
        <w:t>chlorite)</w:t>
      </w:r>
      <w:r>
        <w:rPr>
          <w:spacing w:val="-15"/>
        </w:rPr>
        <w:t> </w:t>
      </w:r>
      <w:r>
        <w:rPr/>
        <w:t>had</w:t>
      </w:r>
      <w:r>
        <w:rPr>
          <w:spacing w:val="-16"/>
        </w:rPr>
        <w:t> </w:t>
      </w:r>
      <w:r>
        <w:rPr/>
        <w:t>already been used in this form in 1926 on mentally ill children by a Dr. William Koch in</w:t>
      </w:r>
      <w:r>
        <w:rPr>
          <w:spacing w:val="-8"/>
        </w:rPr>
        <w:t> </w:t>
      </w:r>
      <w:r>
        <w:rPr/>
        <w:t>Germany</w:t>
      </w:r>
      <w:r>
        <w:rPr>
          <w:spacing w:val="-8"/>
        </w:rPr>
        <w:t> </w:t>
      </w:r>
      <w:r>
        <w:rPr/>
        <w:t>and</w:t>
      </w:r>
      <w:r>
        <w:rPr>
          <w:spacing w:val="-11"/>
        </w:rPr>
        <w:t> </w:t>
      </w:r>
      <w:r>
        <w:rPr/>
        <w:t>reached</w:t>
      </w:r>
      <w:r>
        <w:rPr>
          <w:spacing w:val="-9"/>
        </w:rPr>
        <w:t> </w:t>
      </w:r>
      <w:r>
        <w:rPr/>
        <w:t>the</w:t>
      </w:r>
      <w:r>
        <w:rPr>
          <w:spacing w:val="-10"/>
        </w:rPr>
        <w:t> </w:t>
      </w:r>
      <w:r>
        <w:rPr/>
        <w:t>United</w:t>
      </w:r>
      <w:r>
        <w:rPr>
          <w:spacing w:val="-9"/>
        </w:rPr>
        <w:t> </w:t>
      </w:r>
      <w:r>
        <w:rPr/>
        <w:t>States</w:t>
      </w:r>
      <w:r>
        <w:rPr>
          <w:spacing w:val="-8"/>
        </w:rPr>
        <w:t> </w:t>
      </w:r>
      <w:r>
        <w:rPr/>
        <w:t>in</w:t>
      </w:r>
      <w:r>
        <w:rPr>
          <w:spacing w:val="-8"/>
        </w:rPr>
        <w:t> </w:t>
      </w:r>
      <w:r>
        <w:rPr/>
        <w:t>1930,</w:t>
      </w:r>
      <w:r>
        <w:rPr>
          <w:spacing w:val="-9"/>
        </w:rPr>
        <w:t> </w:t>
      </w:r>
      <w:r>
        <w:rPr/>
        <w:t>where</w:t>
      </w:r>
      <w:r>
        <w:rPr>
          <w:spacing w:val="-8"/>
        </w:rPr>
        <w:t> </w:t>
      </w:r>
      <w:r>
        <w:rPr/>
        <w:t>it</w:t>
      </w:r>
      <w:r>
        <w:rPr>
          <w:spacing w:val="-10"/>
        </w:rPr>
        <w:t> </w:t>
      </w:r>
      <w:r>
        <w:rPr/>
        <w:t>was</w:t>
      </w:r>
      <w:r>
        <w:rPr>
          <w:spacing w:val="-8"/>
        </w:rPr>
        <w:t> </w:t>
      </w:r>
      <w:r>
        <w:rPr/>
        <w:t>used</w:t>
      </w:r>
      <w:r>
        <w:rPr>
          <w:spacing w:val="-9"/>
        </w:rPr>
        <w:t> </w:t>
      </w:r>
      <w:r>
        <w:rPr/>
        <w:t>by</w:t>
      </w:r>
      <w:r>
        <w:rPr>
          <w:spacing w:val="-8"/>
        </w:rPr>
        <w:t> </w:t>
      </w:r>
      <w:r>
        <w:rPr/>
        <w:t>many other therapists or, mostly without specification of ingredients, was sold as a kind of 'miracle cure'. Eventually, he realised that the stabilised oxygen was</w:t>
      </w:r>
      <w:r>
        <w:rPr>
          <w:spacing w:val="-56"/>
        </w:rPr>
        <w:t> </w:t>
      </w:r>
      <w:r>
        <w:rPr/>
        <w:t>by no means the oxygen available to man in the form of oxygen that is typically useful,</w:t>
      </w:r>
      <w:r>
        <w:rPr>
          <w:spacing w:val="-8"/>
        </w:rPr>
        <w:t> </w:t>
      </w:r>
      <w:r>
        <w:rPr/>
        <w:t>but</w:t>
      </w:r>
      <w:r>
        <w:rPr>
          <w:spacing w:val="-9"/>
        </w:rPr>
        <w:t> </w:t>
      </w:r>
      <w:r>
        <w:rPr/>
        <w:t>that</w:t>
      </w:r>
      <w:r>
        <w:rPr>
          <w:spacing w:val="-9"/>
        </w:rPr>
        <w:t> </w:t>
      </w:r>
      <w:r>
        <w:rPr/>
        <w:t>it</w:t>
      </w:r>
      <w:r>
        <w:rPr>
          <w:spacing w:val="-9"/>
        </w:rPr>
        <w:t> </w:t>
      </w:r>
      <w:r>
        <w:rPr/>
        <w:t>was</w:t>
      </w:r>
      <w:r>
        <w:rPr>
          <w:spacing w:val="-8"/>
        </w:rPr>
        <w:t> </w:t>
      </w:r>
      <w:r>
        <w:rPr/>
        <w:t>an</w:t>
      </w:r>
      <w:r>
        <w:rPr>
          <w:spacing w:val="-9"/>
        </w:rPr>
        <w:t> </w:t>
      </w:r>
      <w:r>
        <w:rPr/>
        <w:t>oxygen</w:t>
      </w:r>
      <w:r>
        <w:rPr>
          <w:spacing w:val="-10"/>
        </w:rPr>
        <w:t> </w:t>
      </w:r>
      <w:r>
        <w:rPr/>
        <w:t>ion</w:t>
      </w:r>
      <w:r>
        <w:rPr>
          <w:spacing w:val="-8"/>
        </w:rPr>
        <w:t> </w:t>
      </w:r>
      <w:r>
        <w:rPr/>
        <w:t>with</w:t>
      </w:r>
      <w:r>
        <w:rPr>
          <w:spacing w:val="-9"/>
        </w:rPr>
        <w:t> </w:t>
      </w:r>
      <w:r>
        <w:rPr/>
        <w:t>the</w:t>
      </w:r>
      <w:r>
        <w:rPr>
          <w:spacing w:val="-7"/>
        </w:rPr>
        <w:t> </w:t>
      </w:r>
      <w:r>
        <w:rPr/>
        <w:t>charge</w:t>
      </w:r>
      <w:r>
        <w:rPr>
          <w:spacing w:val="-7"/>
        </w:rPr>
        <w:t> </w:t>
      </w:r>
      <w:r>
        <w:rPr/>
        <w:t>-2,</w:t>
      </w:r>
      <w:r>
        <w:rPr>
          <w:spacing w:val="-9"/>
        </w:rPr>
        <w:t> </w:t>
      </w:r>
      <w:r>
        <w:rPr/>
        <w:t>a</w:t>
      </w:r>
      <w:r>
        <w:rPr>
          <w:spacing w:val="-9"/>
        </w:rPr>
        <w:t> </w:t>
      </w:r>
      <w:r>
        <w:rPr/>
        <w:t>form</w:t>
      </w:r>
      <w:r>
        <w:rPr>
          <w:spacing w:val="-11"/>
        </w:rPr>
        <w:t> </w:t>
      </w:r>
      <w:r>
        <w:rPr/>
        <w:t>that</w:t>
      </w:r>
      <w:r>
        <w:rPr>
          <w:spacing w:val="-11"/>
        </w:rPr>
        <w:t> </w:t>
      </w:r>
      <w:r>
        <w:rPr/>
        <w:t>is</w:t>
      </w:r>
      <w:r>
        <w:rPr>
          <w:spacing w:val="-8"/>
        </w:rPr>
        <w:t> </w:t>
      </w:r>
      <w:r>
        <w:rPr/>
        <w:t>no</w:t>
      </w:r>
      <w:r>
        <w:rPr>
          <w:spacing w:val="-7"/>
        </w:rPr>
        <w:t> </w:t>
      </w:r>
      <w:r>
        <w:rPr/>
        <w:t>more useful</w:t>
      </w:r>
      <w:r>
        <w:rPr>
          <w:spacing w:val="-25"/>
        </w:rPr>
        <w:t> </w:t>
      </w:r>
      <w:r>
        <w:rPr/>
        <w:t>to</w:t>
      </w:r>
      <w:r>
        <w:rPr>
          <w:spacing w:val="-22"/>
        </w:rPr>
        <w:t> </w:t>
      </w:r>
      <w:r>
        <w:rPr/>
        <w:t>the</w:t>
      </w:r>
      <w:r>
        <w:rPr>
          <w:spacing w:val="-22"/>
        </w:rPr>
        <w:t> </w:t>
      </w:r>
      <w:r>
        <w:rPr/>
        <w:t>body</w:t>
      </w:r>
      <w:r>
        <w:rPr>
          <w:spacing w:val="-23"/>
        </w:rPr>
        <w:t> </w:t>
      </w:r>
      <w:r>
        <w:rPr/>
        <w:t>than</w:t>
      </w:r>
      <w:r>
        <w:rPr>
          <w:spacing w:val="-22"/>
        </w:rPr>
        <w:t> </w:t>
      </w:r>
      <w:r>
        <w:rPr/>
        <w:t>the</w:t>
      </w:r>
      <w:r>
        <w:rPr>
          <w:spacing w:val="-22"/>
        </w:rPr>
        <w:t> </w:t>
      </w:r>
      <w:r>
        <w:rPr/>
        <w:t>oxygen</w:t>
      </w:r>
      <w:r>
        <w:rPr>
          <w:spacing w:val="-22"/>
        </w:rPr>
        <w:t> </w:t>
      </w:r>
      <w:r>
        <w:rPr/>
        <w:t>exhaled</w:t>
      </w:r>
      <w:r>
        <w:rPr>
          <w:spacing w:val="-23"/>
        </w:rPr>
        <w:t> </w:t>
      </w:r>
      <w:r>
        <w:rPr/>
        <w:t>by</w:t>
      </w:r>
      <w:r>
        <w:rPr>
          <w:spacing w:val="-23"/>
        </w:rPr>
        <w:t> </w:t>
      </w:r>
      <w:r>
        <w:rPr/>
        <w:t>us</w:t>
      </w:r>
      <w:r>
        <w:rPr>
          <w:spacing w:val="-23"/>
        </w:rPr>
        <w:t> </w:t>
      </w:r>
      <w:r>
        <w:rPr/>
        <w:t>in</w:t>
      </w:r>
      <w:r>
        <w:rPr>
          <w:spacing w:val="-22"/>
        </w:rPr>
        <w:t> </w:t>
      </w:r>
      <w:r>
        <w:rPr/>
        <w:t>the</w:t>
      </w:r>
      <w:r>
        <w:rPr>
          <w:spacing w:val="-22"/>
        </w:rPr>
        <w:t> </w:t>
      </w:r>
      <w:r>
        <w:rPr/>
        <w:t>form</w:t>
      </w:r>
      <w:r>
        <w:rPr>
          <w:spacing w:val="-25"/>
        </w:rPr>
        <w:t> </w:t>
      </w:r>
      <w:r>
        <w:rPr/>
        <w:t>of</w:t>
      </w:r>
      <w:r>
        <w:rPr>
          <w:spacing w:val="-22"/>
        </w:rPr>
        <w:t> </w:t>
      </w:r>
      <w:r>
        <w:rPr/>
        <w:t>carbon</w:t>
      </w:r>
      <w:r>
        <w:rPr>
          <w:spacing w:val="-22"/>
        </w:rPr>
        <w:t> </w:t>
      </w:r>
      <w:r>
        <w:rPr/>
        <w:t>dioxide. Obviously, it was not the oxygen that killed the malaria pathogens – but what else was</w:t>
      </w:r>
      <w:r>
        <w:rPr>
          <w:spacing w:val="2"/>
        </w:rPr>
        <w:t> </w:t>
      </w:r>
      <w:r>
        <w:rPr/>
        <w:t>it?</w:t>
      </w:r>
    </w:p>
    <w:p>
      <w:pPr>
        <w:spacing w:after="0" w:line="276" w:lineRule="auto"/>
        <w:jc w:val="both"/>
        <w:sectPr>
          <w:pgSz w:w="14270" w:h="16850"/>
          <w:pgMar w:header="0" w:footer="1891" w:top="1340" w:bottom="2080" w:left="800" w:right="1280"/>
        </w:sectPr>
      </w:pPr>
    </w:p>
    <w:p>
      <w:pPr>
        <w:pStyle w:val="BodyText"/>
        <w:spacing w:line="276" w:lineRule="auto" w:before="74"/>
        <w:ind w:left="616" w:right="133"/>
        <w:jc w:val="both"/>
      </w:pPr>
      <w:r>
        <w:rPr/>
        <w:t>Humble was also able to find out that the active ingredient in the water grad- ually decomposed. Humble realised that the pH of the mixture had to be low; so he added 1 teaspoon of acetic acid, which is known to lower the pH, to 20 drops of the mixture. To allow the drug to completely decompose, he</w:t>
      </w:r>
      <w:r>
        <w:rPr>
          <w:spacing w:val="-63"/>
        </w:rPr>
        <w:t> </w:t>
      </w:r>
      <w:r>
        <w:rPr/>
        <w:t>allowed the</w:t>
      </w:r>
      <w:r>
        <w:rPr>
          <w:spacing w:val="-5"/>
        </w:rPr>
        <w:t> </w:t>
      </w:r>
      <w:r>
        <w:rPr/>
        <w:t>sample</w:t>
      </w:r>
      <w:r>
        <w:rPr>
          <w:spacing w:val="-6"/>
        </w:rPr>
        <w:t> </w:t>
      </w:r>
      <w:r>
        <w:rPr/>
        <w:t>to</w:t>
      </w:r>
      <w:r>
        <w:rPr>
          <w:spacing w:val="-5"/>
        </w:rPr>
        <w:t> </w:t>
      </w:r>
      <w:r>
        <w:rPr/>
        <w:t>stand</w:t>
      </w:r>
      <w:r>
        <w:rPr>
          <w:spacing w:val="-6"/>
        </w:rPr>
        <w:t> </w:t>
      </w:r>
      <w:r>
        <w:rPr/>
        <w:t>for</w:t>
      </w:r>
      <w:r>
        <w:rPr>
          <w:spacing w:val="-5"/>
        </w:rPr>
        <w:t> </w:t>
      </w:r>
      <w:r>
        <w:rPr/>
        <w:t>24</w:t>
      </w:r>
      <w:r>
        <w:rPr>
          <w:spacing w:val="-6"/>
        </w:rPr>
        <w:t> </w:t>
      </w:r>
      <w:r>
        <w:rPr/>
        <w:t>hours.</w:t>
      </w:r>
      <w:r>
        <w:rPr>
          <w:spacing w:val="-5"/>
        </w:rPr>
        <w:t> </w:t>
      </w:r>
      <w:r>
        <w:rPr/>
        <w:t>The</w:t>
      </w:r>
      <w:r>
        <w:rPr>
          <w:spacing w:val="-5"/>
        </w:rPr>
        <w:t> </w:t>
      </w:r>
      <w:r>
        <w:rPr/>
        <w:t>subsequent</w:t>
      </w:r>
      <w:r>
        <w:rPr>
          <w:spacing w:val="-6"/>
        </w:rPr>
        <w:t> </w:t>
      </w:r>
      <w:r>
        <w:rPr/>
        <w:t>odour</w:t>
      </w:r>
      <w:r>
        <w:rPr>
          <w:spacing w:val="-6"/>
        </w:rPr>
        <w:t> </w:t>
      </w:r>
      <w:r>
        <w:rPr/>
        <w:t>test</w:t>
      </w:r>
      <w:r>
        <w:rPr>
          <w:spacing w:val="-5"/>
        </w:rPr>
        <w:t> </w:t>
      </w:r>
      <w:r>
        <w:rPr/>
        <w:t>revealed</w:t>
      </w:r>
      <w:r>
        <w:rPr>
          <w:spacing w:val="-7"/>
        </w:rPr>
        <w:t> </w:t>
      </w:r>
      <w:r>
        <w:rPr/>
        <w:t>a</w:t>
      </w:r>
      <w:r>
        <w:rPr>
          <w:spacing w:val="-7"/>
        </w:rPr>
        <w:t> </w:t>
      </w:r>
      <w:r>
        <w:rPr/>
        <w:t>strong chlorine odour and confirmed to Humble that he was well on</w:t>
      </w:r>
      <w:r>
        <w:rPr>
          <w:spacing w:val="-10"/>
        </w:rPr>
        <w:t> </w:t>
      </w:r>
      <w:r>
        <w:rPr/>
        <w:t>track.</w:t>
      </w:r>
    </w:p>
    <w:p>
      <w:pPr>
        <w:pStyle w:val="BodyText"/>
        <w:spacing w:line="276" w:lineRule="auto" w:before="240"/>
        <w:ind w:left="616" w:right="134"/>
        <w:jc w:val="both"/>
      </w:pPr>
      <w:r>
        <w:rPr/>
        <w:t>On the internet, he managed to convince the doctors he had befriended in Tanzania to try out his new mixture on their malaria patients. The result was amazing and pleasing:</w:t>
      </w:r>
    </w:p>
    <w:p>
      <w:pPr>
        <w:pStyle w:val="BodyText"/>
        <w:spacing w:before="239"/>
        <w:ind w:left="616"/>
      </w:pPr>
      <w:r>
        <w:rPr/>
        <w:t>His new formula resulted in a 100 % cure rate!</w:t>
      </w:r>
    </w:p>
    <w:p>
      <w:pPr>
        <w:pStyle w:val="BodyText"/>
        <w:spacing w:line="276" w:lineRule="auto" w:before="305"/>
        <w:ind w:left="616" w:right="132"/>
        <w:jc w:val="both"/>
      </w:pPr>
      <w:r>
        <w:rPr/>
        <w:t>An infinite number of further tests followed, which were accompanied by more</w:t>
      </w:r>
      <w:r>
        <w:rPr>
          <w:spacing w:val="-19"/>
        </w:rPr>
        <w:t> </w:t>
      </w:r>
      <w:r>
        <w:rPr/>
        <w:t>or</w:t>
      </w:r>
      <w:r>
        <w:rPr>
          <w:spacing w:val="-20"/>
        </w:rPr>
        <w:t> </w:t>
      </w:r>
      <w:r>
        <w:rPr/>
        <w:t>less</w:t>
      </w:r>
      <w:r>
        <w:rPr>
          <w:spacing w:val="-19"/>
        </w:rPr>
        <w:t> </w:t>
      </w:r>
      <w:r>
        <w:rPr/>
        <w:t>great</w:t>
      </w:r>
      <w:r>
        <w:rPr>
          <w:spacing w:val="-20"/>
        </w:rPr>
        <w:t> </w:t>
      </w:r>
      <w:r>
        <w:rPr/>
        <w:t>successes.</w:t>
      </w:r>
      <w:r>
        <w:rPr>
          <w:spacing w:val="-17"/>
        </w:rPr>
        <w:t> </w:t>
      </w:r>
      <w:r>
        <w:rPr/>
        <w:t>With</w:t>
      </w:r>
      <w:r>
        <w:rPr>
          <w:spacing w:val="-18"/>
        </w:rPr>
        <w:t> </w:t>
      </w:r>
      <w:r>
        <w:rPr/>
        <w:t>no</w:t>
      </w:r>
      <w:r>
        <w:rPr>
          <w:spacing w:val="-20"/>
        </w:rPr>
        <w:t> </w:t>
      </w:r>
      <w:r>
        <w:rPr/>
        <w:t>water</w:t>
      </w:r>
      <w:r>
        <w:rPr>
          <w:spacing w:val="-14"/>
        </w:rPr>
        <w:t> </w:t>
      </w:r>
      <w:r>
        <w:rPr/>
        <w:t>–</w:t>
      </w:r>
      <w:r>
        <w:rPr>
          <w:spacing w:val="-19"/>
        </w:rPr>
        <w:t> </w:t>
      </w:r>
      <w:r>
        <w:rPr/>
        <w:t>just</w:t>
      </w:r>
      <w:r>
        <w:rPr>
          <w:spacing w:val="-19"/>
        </w:rPr>
        <w:t> </w:t>
      </w:r>
      <w:r>
        <w:rPr/>
        <w:t>20</w:t>
      </w:r>
      <w:r>
        <w:rPr>
          <w:spacing w:val="-18"/>
        </w:rPr>
        <w:t> </w:t>
      </w:r>
      <w:r>
        <w:rPr/>
        <w:t>drops</w:t>
      </w:r>
      <w:r>
        <w:rPr>
          <w:spacing w:val="-20"/>
        </w:rPr>
        <w:t> </w:t>
      </w:r>
      <w:r>
        <w:rPr/>
        <w:t>of</w:t>
      </w:r>
      <w:r>
        <w:rPr>
          <w:spacing w:val="-20"/>
        </w:rPr>
        <w:t> </w:t>
      </w:r>
      <w:r>
        <w:rPr/>
        <w:t>stabilised</w:t>
      </w:r>
      <w:r>
        <w:rPr>
          <w:spacing w:val="-18"/>
        </w:rPr>
        <w:t> </w:t>
      </w:r>
      <w:r>
        <w:rPr/>
        <w:t>oxygen and ¼ teaspoon of vinegar – the mix seemed even better, but most im- portantly, the wait of two hours was reduced to just three minutes, which was impressively demonstrated by a test with a chlorine test strip. Without water, the mixture was barely tolerable in terms of taste – children in particular were afraid of it. So Humble experimented with different juices to conceal the taste of chlorine in his mixture, which takes getting used to; but it was crucial that these did not affect the chlorine content. Simple apple juice without added vitamin C proved to be optimal (vitamin C would have a disruptive effect as an antioxidant).</w:t>
      </w:r>
    </w:p>
    <w:p>
      <w:pPr>
        <w:pStyle w:val="Heading2"/>
        <w:spacing w:before="240"/>
        <w:ind w:left="616"/>
        <w:jc w:val="both"/>
      </w:pPr>
      <w:r>
        <w:rPr/>
        <w:t>The mode of action of Miracle Mineral Supplement</w:t>
      </w:r>
    </w:p>
    <w:p>
      <w:pPr>
        <w:spacing w:after="0"/>
        <w:jc w:val="both"/>
        <w:sectPr>
          <w:pgSz w:w="14270" w:h="16850"/>
          <w:pgMar w:header="0" w:footer="1891" w:top="1340" w:bottom="2080" w:left="800" w:right="1280"/>
        </w:sectPr>
      </w:pPr>
    </w:p>
    <w:p>
      <w:pPr>
        <w:pStyle w:val="BodyText"/>
        <w:spacing w:line="276" w:lineRule="auto" w:before="72"/>
        <w:ind w:left="616" w:right="138"/>
        <w:jc w:val="both"/>
      </w:pPr>
      <w:r>
        <w:rPr/>
        <w:t>Before we explain the effect of MMS on different diseases in detail, it is first of all of interest to explore its general mode of action. If sodium chlorite (NaClO</w:t>
      </w:r>
      <w:r>
        <w:rPr>
          <w:vertAlign w:val="subscript"/>
        </w:rPr>
        <w:t>2</w:t>
      </w:r>
      <w:r>
        <w:rPr>
          <w:vertAlign w:val="baseline"/>
        </w:rPr>
        <w:t>) is mixed with an acid (e.g. vinegar, lemon or lime juice) chlorine dioxide (ClO</w:t>
      </w:r>
      <w:r>
        <w:rPr>
          <w:vertAlign w:val="subscript"/>
        </w:rPr>
        <w:t>2</w:t>
      </w:r>
      <w:r>
        <w:rPr>
          <w:vertAlign w:val="baseline"/>
        </w:rPr>
        <w:t> dioxychloride), a biocide, is produced which interferes with the metabolism of viruses and the transport of nutrients through the cell walls.</w:t>
      </w:r>
    </w:p>
    <w:p>
      <w:pPr>
        <w:pStyle w:val="BodyText"/>
        <w:spacing w:line="276" w:lineRule="auto" w:before="242"/>
        <w:ind w:left="616" w:right="131"/>
        <w:jc w:val="both"/>
      </w:pPr>
      <w:r>
        <w:rPr/>
        <w:t>Chlorine dioxide robs the viruses and toxins of five of their electrons via oxi- dation,</w:t>
      </w:r>
      <w:r>
        <w:rPr>
          <w:spacing w:val="-8"/>
        </w:rPr>
        <w:t> </w:t>
      </w:r>
      <w:r>
        <w:rPr/>
        <w:t>an</w:t>
      </w:r>
      <w:r>
        <w:rPr>
          <w:spacing w:val="-9"/>
        </w:rPr>
        <w:t> </w:t>
      </w:r>
      <w:r>
        <w:rPr/>
        <w:t>oxidation</w:t>
      </w:r>
      <w:r>
        <w:rPr>
          <w:spacing w:val="-8"/>
        </w:rPr>
        <w:t> </w:t>
      </w:r>
      <w:r>
        <w:rPr/>
        <w:t>process</w:t>
      </w:r>
      <w:r>
        <w:rPr>
          <w:spacing w:val="-10"/>
        </w:rPr>
        <w:t> </w:t>
      </w:r>
      <w:r>
        <w:rPr/>
        <w:t>that</w:t>
      </w:r>
      <w:r>
        <w:rPr>
          <w:spacing w:val="-8"/>
        </w:rPr>
        <w:t> </w:t>
      </w:r>
      <w:r>
        <w:rPr/>
        <w:t>leads</w:t>
      </w:r>
      <w:r>
        <w:rPr>
          <w:spacing w:val="-9"/>
        </w:rPr>
        <w:t> </w:t>
      </w:r>
      <w:r>
        <w:rPr/>
        <w:t>to</w:t>
      </w:r>
      <w:r>
        <w:rPr>
          <w:spacing w:val="-8"/>
        </w:rPr>
        <w:t> </w:t>
      </w:r>
      <w:r>
        <w:rPr/>
        <w:t>the</w:t>
      </w:r>
      <w:r>
        <w:rPr>
          <w:spacing w:val="-8"/>
        </w:rPr>
        <w:t> </w:t>
      </w:r>
      <w:r>
        <w:rPr/>
        <w:t>death</w:t>
      </w:r>
      <w:r>
        <w:rPr>
          <w:spacing w:val="-8"/>
        </w:rPr>
        <w:t> </w:t>
      </w:r>
      <w:r>
        <w:rPr/>
        <w:t>and</w:t>
      </w:r>
      <w:r>
        <w:rPr>
          <w:spacing w:val="-9"/>
        </w:rPr>
        <w:t> </w:t>
      </w:r>
      <w:r>
        <w:rPr/>
        <w:t>subsequent</w:t>
      </w:r>
      <w:r>
        <w:rPr>
          <w:spacing w:val="-9"/>
        </w:rPr>
        <w:t> </w:t>
      </w:r>
      <w:r>
        <w:rPr/>
        <w:t>disintegra- tion of viruses or</w:t>
      </w:r>
      <w:r>
        <w:rPr>
          <w:spacing w:val="3"/>
        </w:rPr>
        <w:t> </w:t>
      </w:r>
      <w:r>
        <w:rPr/>
        <w:t>toxins.</w:t>
      </w:r>
    </w:p>
    <w:p>
      <w:pPr>
        <w:pStyle w:val="BodyText"/>
        <w:spacing w:line="276" w:lineRule="auto" w:before="241"/>
        <w:ind w:left="616" w:right="134"/>
        <w:jc w:val="both"/>
      </w:pPr>
      <w:r>
        <w:rPr/>
        <w:t>According to Humble, chlorine dioxide is the </w:t>
      </w:r>
      <w:r>
        <w:rPr>
          <w:i/>
        </w:rPr>
        <w:t>'most efficient killer' </w:t>
      </w:r>
      <w:r>
        <w:rPr/>
        <w:t>of all viruses, bacteria,</w:t>
      </w:r>
      <w:r>
        <w:rPr>
          <w:spacing w:val="-8"/>
        </w:rPr>
        <w:t> </w:t>
      </w:r>
      <w:r>
        <w:rPr/>
        <w:t>moulds,</w:t>
      </w:r>
      <w:r>
        <w:rPr>
          <w:spacing w:val="-7"/>
        </w:rPr>
        <w:t> </w:t>
      </w:r>
      <w:r>
        <w:rPr/>
        <w:t>yeasts</w:t>
      </w:r>
      <w:r>
        <w:rPr>
          <w:spacing w:val="-9"/>
        </w:rPr>
        <w:t> </w:t>
      </w:r>
      <w:r>
        <w:rPr/>
        <w:t>and</w:t>
      </w:r>
      <w:r>
        <w:rPr>
          <w:spacing w:val="-8"/>
        </w:rPr>
        <w:t> </w:t>
      </w:r>
      <w:r>
        <w:rPr/>
        <w:t>other</w:t>
      </w:r>
      <w:r>
        <w:rPr>
          <w:spacing w:val="-8"/>
        </w:rPr>
        <w:t> </w:t>
      </w:r>
      <w:r>
        <w:rPr/>
        <w:t>parasites.</w:t>
      </w:r>
      <w:r>
        <w:rPr>
          <w:spacing w:val="-8"/>
        </w:rPr>
        <w:t> </w:t>
      </w:r>
      <w:r>
        <w:rPr/>
        <w:t>It</w:t>
      </w:r>
      <w:r>
        <w:rPr>
          <w:spacing w:val="-8"/>
        </w:rPr>
        <w:t> </w:t>
      </w:r>
      <w:r>
        <w:rPr/>
        <w:t>is</w:t>
      </w:r>
      <w:r>
        <w:rPr>
          <w:spacing w:val="-10"/>
        </w:rPr>
        <w:t> </w:t>
      </w:r>
      <w:r>
        <w:rPr/>
        <w:t>therefore</w:t>
      </w:r>
      <w:r>
        <w:rPr>
          <w:spacing w:val="-10"/>
        </w:rPr>
        <w:t> </w:t>
      </w:r>
      <w:r>
        <w:rPr/>
        <w:t>no</w:t>
      </w:r>
      <w:r>
        <w:rPr>
          <w:spacing w:val="-9"/>
        </w:rPr>
        <w:t> </w:t>
      </w:r>
      <w:r>
        <w:rPr/>
        <w:t>coincidence</w:t>
      </w:r>
      <w:r>
        <w:rPr>
          <w:spacing w:val="-7"/>
        </w:rPr>
        <w:t> </w:t>
      </w:r>
      <w:r>
        <w:rPr/>
        <w:t>that it has been used successfully in hospitals and in the food industry for sterilisa- tion for more than 100 years. There is probably no other chemical or medical substance that has a comparable effect; in combination with sodium chlorite and vinegar, these same forces are released in our body to eliminate</w:t>
      </w:r>
      <w:r>
        <w:rPr>
          <w:spacing w:val="-50"/>
        </w:rPr>
        <w:t> </w:t>
      </w:r>
      <w:r>
        <w:rPr/>
        <w:t>unwanted microorganisms.</w:t>
      </w:r>
    </w:p>
    <w:p>
      <w:pPr>
        <w:pStyle w:val="BodyText"/>
        <w:spacing w:line="276" w:lineRule="auto" w:before="239"/>
        <w:ind w:left="616" w:right="131"/>
        <w:jc w:val="both"/>
      </w:pPr>
      <w:r>
        <w:rPr/>
        <w:t>The chlorine dioxide molecule (ClO</w:t>
      </w:r>
      <w:r>
        <w:rPr>
          <w:vertAlign w:val="subscript"/>
        </w:rPr>
        <w:t>2</w:t>
      </w:r>
      <w:r>
        <w:rPr>
          <w:vertAlign w:val="baseline"/>
        </w:rPr>
        <w:t>) also breaks down through this reaction and</w:t>
      </w:r>
      <w:r>
        <w:rPr>
          <w:spacing w:val="-8"/>
          <w:vertAlign w:val="baseline"/>
        </w:rPr>
        <w:t> </w:t>
      </w:r>
      <w:r>
        <w:rPr>
          <w:vertAlign w:val="baseline"/>
        </w:rPr>
        <w:t>releases</w:t>
      </w:r>
      <w:r>
        <w:rPr>
          <w:spacing w:val="-6"/>
          <w:vertAlign w:val="baseline"/>
        </w:rPr>
        <w:t> </w:t>
      </w:r>
      <w:r>
        <w:rPr>
          <w:vertAlign w:val="baseline"/>
        </w:rPr>
        <w:t>oxygen.</w:t>
      </w:r>
      <w:r>
        <w:rPr>
          <w:spacing w:val="-6"/>
          <w:vertAlign w:val="baseline"/>
        </w:rPr>
        <w:t> </w:t>
      </w:r>
      <w:r>
        <w:rPr>
          <w:vertAlign w:val="baseline"/>
        </w:rPr>
        <w:t>The</w:t>
      </w:r>
      <w:r>
        <w:rPr>
          <w:spacing w:val="-9"/>
          <w:vertAlign w:val="baseline"/>
        </w:rPr>
        <w:t> </w:t>
      </w:r>
      <w:r>
        <w:rPr>
          <w:vertAlign w:val="baseline"/>
        </w:rPr>
        <w:t>oxygen</w:t>
      </w:r>
      <w:r>
        <w:rPr>
          <w:spacing w:val="-8"/>
          <w:vertAlign w:val="baseline"/>
        </w:rPr>
        <w:t> </w:t>
      </w:r>
      <w:r>
        <w:rPr>
          <w:vertAlign w:val="baseline"/>
        </w:rPr>
        <w:t>(O</w:t>
      </w:r>
      <w:r>
        <w:rPr>
          <w:vertAlign w:val="subscript"/>
        </w:rPr>
        <w:t>2</w:t>
      </w:r>
      <w:r>
        <w:rPr>
          <w:vertAlign w:val="baseline"/>
        </w:rPr>
        <w:t>)</w:t>
      </w:r>
      <w:r>
        <w:rPr>
          <w:spacing w:val="-7"/>
          <w:vertAlign w:val="baseline"/>
        </w:rPr>
        <w:t> </w:t>
      </w:r>
      <w:r>
        <w:rPr>
          <w:vertAlign w:val="baseline"/>
        </w:rPr>
        <w:t>combines</w:t>
      </w:r>
      <w:r>
        <w:rPr>
          <w:spacing w:val="-9"/>
          <w:vertAlign w:val="baseline"/>
        </w:rPr>
        <w:t> </w:t>
      </w:r>
      <w:r>
        <w:rPr>
          <w:vertAlign w:val="baseline"/>
        </w:rPr>
        <w:t>either</w:t>
      </w:r>
      <w:r>
        <w:rPr>
          <w:spacing w:val="-5"/>
          <w:vertAlign w:val="baseline"/>
        </w:rPr>
        <w:t> </w:t>
      </w:r>
      <w:r>
        <w:rPr>
          <w:vertAlign w:val="baseline"/>
        </w:rPr>
        <w:t>with</w:t>
      </w:r>
      <w:r>
        <w:rPr>
          <w:spacing w:val="-7"/>
          <w:vertAlign w:val="baseline"/>
        </w:rPr>
        <w:t> </w:t>
      </w:r>
      <w:r>
        <w:rPr>
          <w:vertAlign w:val="baseline"/>
        </w:rPr>
        <w:t>the</w:t>
      </w:r>
      <w:r>
        <w:rPr>
          <w:spacing w:val="-6"/>
          <w:vertAlign w:val="baseline"/>
        </w:rPr>
        <w:t> </w:t>
      </w:r>
      <w:r>
        <w:rPr>
          <w:vertAlign w:val="baseline"/>
        </w:rPr>
        <w:t>hydrogen</w:t>
      </w:r>
      <w:r>
        <w:rPr>
          <w:spacing w:val="-6"/>
          <w:vertAlign w:val="baseline"/>
        </w:rPr>
        <w:t> </w:t>
      </w:r>
      <w:r>
        <w:rPr>
          <w:vertAlign w:val="baseline"/>
        </w:rPr>
        <w:t>(H</w:t>
      </w:r>
      <w:r>
        <w:rPr>
          <w:vertAlign w:val="subscript"/>
        </w:rPr>
        <w:t>2</w:t>
      </w:r>
      <w:r>
        <w:rPr>
          <w:vertAlign w:val="baseline"/>
        </w:rPr>
        <w:t>) to form water (H</w:t>
      </w:r>
      <w:r>
        <w:rPr>
          <w:vertAlign w:val="subscript"/>
        </w:rPr>
        <w:t>2</w:t>
      </w:r>
      <w:r>
        <w:rPr>
          <w:vertAlign w:val="baseline"/>
        </w:rPr>
        <w:t>O) or with carbon (C) to form carbon dioxide (CO</w:t>
      </w:r>
      <w:r>
        <w:rPr>
          <w:vertAlign w:val="subscript"/>
        </w:rPr>
        <w:t>2</w:t>
      </w:r>
      <w:r>
        <w:rPr>
          <w:vertAlign w:val="baseline"/>
        </w:rPr>
        <w:t>). The charge of the chlorine ion is now neutral and enters into a connection with sodium, i.e. common table salt</w:t>
      </w:r>
      <w:r>
        <w:rPr>
          <w:spacing w:val="4"/>
          <w:vertAlign w:val="baseline"/>
        </w:rPr>
        <w:t> </w:t>
      </w:r>
      <w:r>
        <w:rPr>
          <w:vertAlign w:val="baseline"/>
        </w:rPr>
        <w:t>(NaCl).</w:t>
      </w:r>
    </w:p>
    <w:p>
      <w:pPr>
        <w:pStyle w:val="BodyText"/>
        <w:spacing w:line="276" w:lineRule="auto" w:before="242"/>
        <w:ind w:left="616" w:right="132"/>
        <w:jc w:val="both"/>
      </w:pPr>
      <w:r>
        <w:rPr/>
        <w:t>From a previously very aggressive oxidation molecule, therefore, three harm- less substances are formed via chemical reactions that take place in our</w:t>
      </w:r>
      <w:r>
        <w:rPr>
          <w:spacing w:val="77"/>
        </w:rPr>
        <w:t> </w:t>
      </w:r>
      <w:r>
        <w:rPr/>
        <w:t>body.</w:t>
      </w:r>
    </w:p>
    <w:p>
      <w:pPr>
        <w:spacing w:after="0" w:line="276" w:lineRule="auto"/>
        <w:jc w:val="both"/>
        <w:sectPr>
          <w:pgSz w:w="14270" w:h="16850"/>
          <w:pgMar w:header="0" w:footer="1891" w:top="1340" w:bottom="2080" w:left="800" w:right="1280"/>
        </w:sectPr>
      </w:pPr>
    </w:p>
    <w:p>
      <w:pPr>
        <w:pStyle w:val="BodyText"/>
        <w:spacing w:line="278" w:lineRule="auto" w:before="72"/>
        <w:ind w:left="616" w:right="145"/>
        <w:jc w:val="both"/>
      </w:pPr>
      <w:r>
        <w:rPr/>
        <w:t>As these basic substances are produced, harmful parasites die off during this process.</w:t>
      </w:r>
    </w:p>
    <w:p>
      <w:pPr>
        <w:pStyle w:val="Heading1"/>
        <w:spacing w:before="215"/>
        <w:ind w:left="616"/>
        <w:jc w:val="both"/>
      </w:pPr>
      <w:r>
        <w:rPr/>
        <w:t>Tasks of red and white blood</w:t>
      </w:r>
      <w:r>
        <w:rPr>
          <w:spacing w:val="-55"/>
        </w:rPr>
        <w:t> </w:t>
      </w:r>
      <w:r>
        <w:rPr/>
        <w:t>cells</w:t>
      </w:r>
    </w:p>
    <w:p>
      <w:pPr>
        <w:pStyle w:val="BodyText"/>
        <w:spacing w:line="276" w:lineRule="auto" w:before="299"/>
        <w:ind w:left="616" w:right="134"/>
        <w:jc w:val="both"/>
      </w:pPr>
      <w:r>
        <w:rPr/>
        <w:t>Our blood consists of red (erythrocytes) and white blood cells (leukocytes), which have different tasks to perform. The task of the red blood cells is the transportation of oxygen. The red blood cells absorb oxygen in the lung</w:t>
      </w:r>
      <w:r>
        <w:rPr>
          <w:spacing w:val="-60"/>
        </w:rPr>
        <w:t> </w:t>
      </w:r>
      <w:r>
        <w:rPr/>
        <w:t>capil- laries which they transport via the arteries to the organs.</w:t>
      </w:r>
    </w:p>
    <w:p>
      <w:pPr>
        <w:pStyle w:val="BodyText"/>
        <w:spacing w:line="276" w:lineRule="auto" w:before="242"/>
        <w:ind w:left="616" w:right="138"/>
        <w:jc w:val="both"/>
      </w:pPr>
      <w:r>
        <w:rPr/>
        <w:t>The tasks of white blood cells (leucocytes) include the defence against patho- gens and foreign substances that burden the organism.</w:t>
      </w:r>
    </w:p>
    <w:p>
      <w:pPr>
        <w:pStyle w:val="BodyText"/>
        <w:spacing w:line="276" w:lineRule="auto" w:before="238"/>
        <w:ind w:left="616" w:right="131"/>
        <w:jc w:val="both"/>
      </w:pPr>
      <w:r>
        <w:rPr/>
        <w:t>So</w:t>
      </w:r>
      <w:r>
        <w:rPr>
          <w:spacing w:val="-20"/>
        </w:rPr>
        <w:t> </w:t>
      </w:r>
      <w:r>
        <w:rPr/>
        <w:t>while</w:t>
      </w:r>
      <w:r>
        <w:rPr>
          <w:spacing w:val="-22"/>
        </w:rPr>
        <w:t> </w:t>
      </w:r>
      <w:r>
        <w:rPr/>
        <w:t>the</w:t>
      </w:r>
      <w:r>
        <w:rPr>
          <w:spacing w:val="-20"/>
        </w:rPr>
        <w:t> </w:t>
      </w:r>
      <w:r>
        <w:rPr/>
        <w:t>red</w:t>
      </w:r>
      <w:r>
        <w:rPr>
          <w:spacing w:val="-23"/>
        </w:rPr>
        <w:t> </w:t>
      </w:r>
      <w:r>
        <w:rPr/>
        <w:t>blood</w:t>
      </w:r>
      <w:r>
        <w:rPr>
          <w:spacing w:val="-21"/>
        </w:rPr>
        <w:t> </w:t>
      </w:r>
      <w:r>
        <w:rPr/>
        <w:t>cells</w:t>
      </w:r>
      <w:r>
        <w:rPr>
          <w:spacing w:val="-21"/>
        </w:rPr>
        <w:t> </w:t>
      </w:r>
      <w:r>
        <w:rPr/>
        <w:t>take</w:t>
      </w:r>
      <w:r>
        <w:rPr>
          <w:spacing w:val="-22"/>
        </w:rPr>
        <w:t> </w:t>
      </w:r>
      <w:r>
        <w:rPr/>
        <w:t>on</w:t>
      </w:r>
      <w:r>
        <w:rPr>
          <w:spacing w:val="-19"/>
        </w:rPr>
        <w:t> </w:t>
      </w:r>
      <w:r>
        <w:rPr/>
        <w:t>the</w:t>
      </w:r>
      <w:r>
        <w:rPr>
          <w:spacing w:val="-20"/>
        </w:rPr>
        <w:t> </w:t>
      </w:r>
      <w:r>
        <w:rPr/>
        <w:t>important</w:t>
      </w:r>
      <w:r>
        <w:rPr>
          <w:spacing w:val="-22"/>
        </w:rPr>
        <w:t> </w:t>
      </w:r>
      <w:r>
        <w:rPr/>
        <w:t>task</w:t>
      </w:r>
      <w:r>
        <w:rPr>
          <w:spacing w:val="-21"/>
        </w:rPr>
        <w:t> </w:t>
      </w:r>
      <w:r>
        <w:rPr/>
        <w:t>of</w:t>
      </w:r>
      <w:r>
        <w:rPr>
          <w:spacing w:val="-21"/>
        </w:rPr>
        <w:t> </w:t>
      </w:r>
      <w:r>
        <w:rPr/>
        <w:t>oxygenating</w:t>
      </w:r>
      <w:r>
        <w:rPr>
          <w:spacing w:val="-20"/>
        </w:rPr>
        <w:t> </w:t>
      </w:r>
      <w:r>
        <w:rPr/>
        <w:t>the</w:t>
      </w:r>
      <w:r>
        <w:rPr>
          <w:spacing w:val="-20"/>
        </w:rPr>
        <w:t> </w:t>
      </w:r>
      <w:r>
        <w:rPr/>
        <w:t>body cells, the white blood cells protect us from hostile invaders (bacteria, viruses, fungi) and foreign substances and thus represent an essential part of the im- mune system.</w:t>
      </w:r>
    </w:p>
    <w:p>
      <w:pPr>
        <w:pStyle w:val="Heading1"/>
        <w:spacing w:before="225"/>
        <w:ind w:left="616"/>
        <w:jc w:val="both"/>
      </w:pPr>
      <w:r>
        <w:rPr/>
        <w:t>Effect of MMS on our blood</w:t>
      </w:r>
    </w:p>
    <w:p>
      <w:pPr>
        <w:pStyle w:val="BodyText"/>
        <w:spacing w:line="276" w:lineRule="auto" w:before="299"/>
        <w:ind w:left="616" w:right="141"/>
        <w:jc w:val="both"/>
      </w:pPr>
      <w:r>
        <w:rPr/>
        <w:t>The positive mode of action of Miracle Mineral Supplement is not only meas- urable by blood analysis when you are looking for active viruses, but it very impressive to watch live under a special microscope!</w:t>
      </w:r>
    </w:p>
    <w:p>
      <w:pPr>
        <w:pStyle w:val="Heading2"/>
        <w:spacing w:line="276" w:lineRule="auto" w:before="239"/>
        <w:ind w:left="616" w:right="141"/>
        <w:jc w:val="both"/>
      </w:pPr>
      <w:r>
        <w:rPr/>
        <w:t>To put it in the words of Dr. Friedrich R. Douwes, specialist in internal medicine, oncological physician and medical director of the specialist clinic for internal medicine at St. George in Bad Aibling:</w:t>
      </w:r>
    </w:p>
    <w:p>
      <w:pPr>
        <w:spacing w:after="0" w:line="276" w:lineRule="auto"/>
        <w:jc w:val="both"/>
        <w:sectPr>
          <w:pgSz w:w="14270" w:h="16850"/>
          <w:pgMar w:header="0" w:footer="1891" w:top="1340" w:bottom="2080" w:left="800" w:right="1280"/>
        </w:sectPr>
      </w:pPr>
    </w:p>
    <w:p>
      <w:pPr>
        <w:spacing w:line="276" w:lineRule="auto" w:before="72"/>
        <w:ind w:left="616" w:right="137" w:firstLine="0"/>
        <w:jc w:val="both"/>
        <w:rPr>
          <w:i/>
          <w:sz w:val="38"/>
        </w:rPr>
      </w:pPr>
      <w:r>
        <w:rPr>
          <w:i/>
          <w:sz w:val="38"/>
        </w:rPr>
        <w:t>'Looking at the blood under a darkfield microscope reveals the invigorating effect of MMS. </w:t>
      </w:r>
      <w:r>
        <w:rPr>
          <w:i/>
          <w:sz w:val="38"/>
        </w:rPr>
        <w:t>In</w:t>
      </w:r>
      <w:r>
        <w:rPr>
          <w:i/>
          <w:spacing w:val="-9"/>
          <w:sz w:val="38"/>
        </w:rPr>
        <w:t> </w:t>
      </w:r>
      <w:r>
        <w:rPr>
          <w:i/>
          <w:sz w:val="38"/>
        </w:rPr>
        <w:t>contaminated</w:t>
      </w:r>
      <w:r>
        <w:rPr>
          <w:i/>
          <w:spacing w:val="-9"/>
          <w:sz w:val="38"/>
        </w:rPr>
        <w:t> </w:t>
      </w:r>
      <w:r>
        <w:rPr>
          <w:i/>
          <w:sz w:val="38"/>
        </w:rPr>
        <w:t>blood,</w:t>
      </w:r>
      <w:r>
        <w:rPr>
          <w:i/>
          <w:spacing w:val="-8"/>
          <w:sz w:val="38"/>
        </w:rPr>
        <w:t> </w:t>
      </w:r>
      <w:r>
        <w:rPr>
          <w:i/>
          <w:sz w:val="38"/>
        </w:rPr>
        <w:t>the</w:t>
      </w:r>
      <w:r>
        <w:rPr>
          <w:i/>
          <w:spacing w:val="-8"/>
          <w:sz w:val="38"/>
        </w:rPr>
        <w:t> </w:t>
      </w:r>
      <w:r>
        <w:rPr>
          <w:i/>
          <w:sz w:val="38"/>
        </w:rPr>
        <w:t>surfaces</w:t>
      </w:r>
      <w:r>
        <w:rPr>
          <w:i/>
          <w:spacing w:val="-8"/>
          <w:sz w:val="38"/>
        </w:rPr>
        <w:t> </w:t>
      </w:r>
      <w:r>
        <w:rPr>
          <w:i/>
          <w:sz w:val="38"/>
        </w:rPr>
        <w:t>of</w:t>
      </w:r>
      <w:r>
        <w:rPr>
          <w:i/>
          <w:spacing w:val="-10"/>
          <w:sz w:val="38"/>
        </w:rPr>
        <w:t> </w:t>
      </w:r>
      <w:r>
        <w:rPr>
          <w:i/>
          <w:sz w:val="38"/>
        </w:rPr>
        <w:t>the</w:t>
      </w:r>
      <w:r>
        <w:rPr>
          <w:i/>
          <w:spacing w:val="-8"/>
          <w:sz w:val="38"/>
        </w:rPr>
        <w:t> </w:t>
      </w:r>
      <w:r>
        <w:rPr>
          <w:i/>
          <w:sz w:val="38"/>
        </w:rPr>
        <w:t>red</w:t>
      </w:r>
      <w:r>
        <w:rPr>
          <w:i/>
          <w:spacing w:val="-9"/>
          <w:sz w:val="38"/>
        </w:rPr>
        <w:t> </w:t>
      </w:r>
      <w:r>
        <w:rPr>
          <w:i/>
          <w:sz w:val="38"/>
        </w:rPr>
        <w:t>blood</w:t>
      </w:r>
      <w:r>
        <w:rPr>
          <w:i/>
          <w:spacing w:val="-9"/>
          <w:sz w:val="38"/>
        </w:rPr>
        <w:t> </w:t>
      </w:r>
      <w:r>
        <w:rPr>
          <w:i/>
          <w:sz w:val="38"/>
        </w:rPr>
        <w:t>cells</w:t>
      </w:r>
      <w:r>
        <w:rPr>
          <w:i/>
          <w:spacing w:val="-9"/>
          <w:sz w:val="38"/>
        </w:rPr>
        <w:t> </w:t>
      </w:r>
      <w:r>
        <w:rPr>
          <w:i/>
          <w:sz w:val="38"/>
        </w:rPr>
        <w:t>do</w:t>
      </w:r>
      <w:r>
        <w:rPr>
          <w:i/>
          <w:spacing w:val="-9"/>
          <w:sz w:val="38"/>
        </w:rPr>
        <w:t> </w:t>
      </w:r>
      <w:r>
        <w:rPr>
          <w:i/>
          <w:sz w:val="38"/>
        </w:rPr>
        <w:t>not</w:t>
      </w:r>
      <w:r>
        <w:rPr>
          <w:i/>
          <w:spacing w:val="-8"/>
          <w:sz w:val="38"/>
        </w:rPr>
        <w:t> </w:t>
      </w:r>
      <w:r>
        <w:rPr>
          <w:i/>
          <w:sz w:val="38"/>
        </w:rPr>
        <w:t>show</w:t>
      </w:r>
      <w:r>
        <w:rPr>
          <w:i/>
          <w:spacing w:val="-8"/>
          <w:sz w:val="38"/>
        </w:rPr>
        <w:t> </w:t>
      </w:r>
      <w:r>
        <w:rPr>
          <w:i/>
          <w:sz w:val="38"/>
        </w:rPr>
        <w:t>clearly.</w:t>
      </w:r>
      <w:r>
        <w:rPr>
          <w:i/>
          <w:spacing w:val="-10"/>
          <w:sz w:val="38"/>
        </w:rPr>
        <w:t> </w:t>
      </w:r>
      <w:r>
        <w:rPr>
          <w:i/>
          <w:sz w:val="38"/>
        </w:rPr>
        <w:t>Often,</w:t>
      </w:r>
      <w:r>
        <w:rPr>
          <w:i/>
          <w:spacing w:val="-9"/>
          <w:sz w:val="38"/>
        </w:rPr>
        <w:t> </w:t>
      </w:r>
      <w:r>
        <w:rPr>
          <w:i/>
          <w:sz w:val="38"/>
        </w:rPr>
        <w:t>these</w:t>
      </w:r>
      <w:r>
        <w:rPr>
          <w:i/>
          <w:spacing w:val="-9"/>
          <w:sz w:val="38"/>
        </w:rPr>
        <w:t> </w:t>
      </w:r>
      <w:r>
        <w:rPr>
          <w:i/>
          <w:sz w:val="38"/>
        </w:rPr>
        <w:t>are glued together, indicating excess acidity and a lack of water and</w:t>
      </w:r>
      <w:r>
        <w:rPr>
          <w:i/>
          <w:spacing w:val="-13"/>
          <w:sz w:val="38"/>
        </w:rPr>
        <w:t> </w:t>
      </w:r>
      <w:r>
        <w:rPr>
          <w:i/>
          <w:sz w:val="38"/>
        </w:rPr>
        <w:t>minerals.</w:t>
      </w:r>
    </w:p>
    <w:p>
      <w:pPr>
        <w:spacing w:line="276" w:lineRule="auto" w:before="241"/>
        <w:ind w:left="616" w:right="138" w:firstLine="0"/>
        <w:jc w:val="both"/>
        <w:rPr>
          <w:i/>
          <w:sz w:val="38"/>
        </w:rPr>
      </w:pPr>
      <w:r>
        <w:rPr>
          <w:i/>
          <w:sz w:val="38"/>
        </w:rPr>
        <w:t>One and a half hours after taking 10 drops of MMS activated with acid, the same blood </w:t>
      </w:r>
      <w:r>
        <w:rPr>
          <w:i/>
          <w:sz w:val="38"/>
        </w:rPr>
        <w:t>shows</w:t>
      </w:r>
      <w:r>
        <w:rPr>
          <w:i/>
          <w:spacing w:val="-17"/>
          <w:sz w:val="38"/>
        </w:rPr>
        <w:t> </w:t>
      </w:r>
      <w:r>
        <w:rPr>
          <w:i/>
          <w:sz w:val="38"/>
        </w:rPr>
        <w:t>a</w:t>
      </w:r>
      <w:r>
        <w:rPr>
          <w:i/>
          <w:spacing w:val="-18"/>
          <w:sz w:val="38"/>
        </w:rPr>
        <w:t> </w:t>
      </w:r>
      <w:r>
        <w:rPr>
          <w:i/>
          <w:sz w:val="38"/>
        </w:rPr>
        <w:t>marked</w:t>
      </w:r>
      <w:r>
        <w:rPr>
          <w:i/>
          <w:spacing w:val="-16"/>
          <w:sz w:val="38"/>
        </w:rPr>
        <w:t> </w:t>
      </w:r>
      <w:r>
        <w:rPr>
          <w:i/>
          <w:sz w:val="38"/>
        </w:rPr>
        <w:t>improvement:</w:t>
      </w:r>
      <w:r>
        <w:rPr>
          <w:i/>
          <w:spacing w:val="-16"/>
          <w:sz w:val="38"/>
        </w:rPr>
        <w:t> </w:t>
      </w:r>
      <w:r>
        <w:rPr>
          <w:i/>
          <w:sz w:val="38"/>
        </w:rPr>
        <w:t>the</w:t>
      </w:r>
      <w:r>
        <w:rPr>
          <w:i/>
          <w:spacing w:val="-18"/>
          <w:sz w:val="38"/>
        </w:rPr>
        <w:t> </w:t>
      </w:r>
      <w:r>
        <w:rPr>
          <w:i/>
          <w:sz w:val="38"/>
        </w:rPr>
        <w:t>red</w:t>
      </w:r>
      <w:r>
        <w:rPr>
          <w:i/>
          <w:spacing w:val="-19"/>
          <w:sz w:val="38"/>
        </w:rPr>
        <w:t> </w:t>
      </w:r>
      <w:r>
        <w:rPr>
          <w:i/>
          <w:sz w:val="38"/>
        </w:rPr>
        <w:t>blood</w:t>
      </w:r>
      <w:r>
        <w:rPr>
          <w:i/>
          <w:spacing w:val="-15"/>
          <w:sz w:val="38"/>
        </w:rPr>
        <w:t> </w:t>
      </w:r>
      <w:r>
        <w:rPr>
          <w:i/>
          <w:sz w:val="38"/>
        </w:rPr>
        <w:t>cells</w:t>
      </w:r>
      <w:r>
        <w:rPr>
          <w:i/>
          <w:spacing w:val="-17"/>
          <w:sz w:val="38"/>
        </w:rPr>
        <w:t> </w:t>
      </w:r>
      <w:r>
        <w:rPr>
          <w:i/>
          <w:sz w:val="38"/>
        </w:rPr>
        <w:t>are</w:t>
      </w:r>
      <w:r>
        <w:rPr>
          <w:i/>
          <w:spacing w:val="-18"/>
          <w:sz w:val="38"/>
        </w:rPr>
        <w:t> </w:t>
      </w:r>
      <w:r>
        <w:rPr>
          <w:i/>
          <w:sz w:val="38"/>
        </w:rPr>
        <w:t>much</w:t>
      </w:r>
      <w:r>
        <w:rPr>
          <w:i/>
          <w:spacing w:val="-18"/>
          <w:sz w:val="38"/>
        </w:rPr>
        <w:t> </w:t>
      </w:r>
      <w:r>
        <w:rPr>
          <w:i/>
          <w:sz w:val="38"/>
        </w:rPr>
        <w:t>less</w:t>
      </w:r>
      <w:r>
        <w:rPr>
          <w:i/>
          <w:spacing w:val="-16"/>
          <w:sz w:val="38"/>
        </w:rPr>
        <w:t> </w:t>
      </w:r>
      <w:r>
        <w:rPr>
          <w:i/>
          <w:sz w:val="38"/>
        </w:rPr>
        <w:t>clotted</w:t>
      </w:r>
      <w:r>
        <w:rPr>
          <w:i/>
          <w:spacing w:val="-20"/>
          <w:sz w:val="38"/>
        </w:rPr>
        <w:t> </w:t>
      </w:r>
      <w:r>
        <w:rPr>
          <w:i/>
          <w:sz w:val="38"/>
        </w:rPr>
        <w:t>and,</w:t>
      </w:r>
      <w:r>
        <w:rPr>
          <w:i/>
          <w:spacing w:val="-15"/>
          <w:sz w:val="38"/>
        </w:rPr>
        <w:t> </w:t>
      </w:r>
      <w:r>
        <w:rPr>
          <w:i/>
          <w:sz w:val="38"/>
        </w:rPr>
        <w:t>more</w:t>
      </w:r>
      <w:r>
        <w:rPr>
          <w:i/>
          <w:spacing w:val="-17"/>
          <w:sz w:val="38"/>
        </w:rPr>
        <w:t> </w:t>
      </w:r>
      <w:r>
        <w:rPr>
          <w:i/>
          <w:sz w:val="38"/>
        </w:rPr>
        <w:t>importantly, the white blood cells of the immune system move to the remaining clumps of</w:t>
      </w:r>
      <w:r>
        <w:rPr>
          <w:i/>
          <w:spacing w:val="-27"/>
          <w:sz w:val="38"/>
        </w:rPr>
        <w:t> </w:t>
      </w:r>
      <w:r>
        <w:rPr>
          <w:i/>
          <w:sz w:val="38"/>
        </w:rPr>
        <w:t>crystallisation.</w:t>
      </w:r>
    </w:p>
    <w:p>
      <w:pPr>
        <w:spacing w:line="276" w:lineRule="auto" w:before="242"/>
        <w:ind w:left="616" w:right="141" w:firstLine="0"/>
        <w:jc w:val="both"/>
        <w:rPr>
          <w:i/>
          <w:sz w:val="25"/>
        </w:rPr>
      </w:pPr>
      <w:r>
        <w:rPr>
          <w:i/>
          <w:sz w:val="38"/>
        </w:rPr>
        <w:t>The</w:t>
      </w:r>
      <w:r>
        <w:rPr>
          <w:i/>
          <w:spacing w:val="-7"/>
          <w:sz w:val="38"/>
        </w:rPr>
        <w:t> </w:t>
      </w:r>
      <w:r>
        <w:rPr>
          <w:i/>
          <w:sz w:val="38"/>
        </w:rPr>
        <w:t>corresponding</w:t>
      </w:r>
      <w:r>
        <w:rPr>
          <w:i/>
          <w:spacing w:val="-5"/>
          <w:sz w:val="38"/>
        </w:rPr>
        <w:t> </w:t>
      </w:r>
      <w:r>
        <w:rPr>
          <w:i/>
          <w:sz w:val="38"/>
        </w:rPr>
        <w:t>footage</w:t>
      </w:r>
      <w:r>
        <w:rPr>
          <w:i/>
          <w:spacing w:val="-6"/>
          <w:sz w:val="38"/>
        </w:rPr>
        <w:t> </w:t>
      </w:r>
      <w:r>
        <w:rPr>
          <w:i/>
          <w:sz w:val="38"/>
        </w:rPr>
        <w:t>shows</w:t>
      </w:r>
      <w:r>
        <w:rPr>
          <w:i/>
          <w:spacing w:val="-5"/>
          <w:sz w:val="38"/>
        </w:rPr>
        <w:t> </w:t>
      </w:r>
      <w:r>
        <w:rPr>
          <w:i/>
          <w:sz w:val="38"/>
        </w:rPr>
        <w:t>that</w:t>
      </w:r>
      <w:r>
        <w:rPr>
          <w:i/>
          <w:spacing w:val="-3"/>
          <w:sz w:val="38"/>
        </w:rPr>
        <w:t> </w:t>
      </w:r>
      <w:r>
        <w:rPr>
          <w:i/>
          <w:sz w:val="38"/>
        </w:rPr>
        <w:t>the</w:t>
      </w:r>
      <w:r>
        <w:rPr>
          <w:i/>
          <w:spacing w:val="-4"/>
          <w:sz w:val="38"/>
        </w:rPr>
        <w:t> </w:t>
      </w:r>
      <w:r>
        <w:rPr>
          <w:i/>
          <w:sz w:val="38"/>
        </w:rPr>
        <w:t>white</w:t>
      </w:r>
      <w:r>
        <w:rPr>
          <w:i/>
          <w:spacing w:val="-6"/>
          <w:sz w:val="38"/>
        </w:rPr>
        <w:t> </w:t>
      </w:r>
      <w:r>
        <w:rPr>
          <w:i/>
          <w:sz w:val="38"/>
        </w:rPr>
        <w:t>blood</w:t>
      </w:r>
      <w:r>
        <w:rPr>
          <w:i/>
          <w:spacing w:val="-4"/>
          <w:sz w:val="38"/>
        </w:rPr>
        <w:t> </w:t>
      </w:r>
      <w:r>
        <w:rPr>
          <w:i/>
          <w:sz w:val="38"/>
        </w:rPr>
        <w:t>cells</w:t>
      </w:r>
      <w:r>
        <w:rPr>
          <w:i/>
          <w:spacing w:val="-5"/>
          <w:sz w:val="38"/>
        </w:rPr>
        <w:t> </w:t>
      </w:r>
      <w:r>
        <w:rPr>
          <w:i/>
          <w:sz w:val="38"/>
        </w:rPr>
        <w:t>were</w:t>
      </w:r>
      <w:r>
        <w:rPr>
          <w:i/>
          <w:spacing w:val="-5"/>
          <w:sz w:val="38"/>
        </w:rPr>
        <w:t> </w:t>
      </w:r>
      <w:r>
        <w:rPr>
          <w:i/>
          <w:sz w:val="38"/>
        </w:rPr>
        <w:t>10x</w:t>
      </w:r>
      <w:r>
        <w:rPr>
          <w:i/>
          <w:spacing w:val="-5"/>
          <w:sz w:val="38"/>
        </w:rPr>
        <w:t> </w:t>
      </w:r>
      <w:r>
        <w:rPr>
          <w:i/>
          <w:sz w:val="38"/>
        </w:rPr>
        <w:t>more</w:t>
      </w:r>
      <w:r>
        <w:rPr>
          <w:i/>
          <w:spacing w:val="-5"/>
          <w:sz w:val="38"/>
        </w:rPr>
        <w:t> </w:t>
      </w:r>
      <w:r>
        <w:rPr>
          <w:i/>
          <w:sz w:val="38"/>
        </w:rPr>
        <w:t>active</w:t>
      </w:r>
      <w:r>
        <w:rPr>
          <w:i/>
          <w:spacing w:val="-7"/>
          <w:sz w:val="38"/>
        </w:rPr>
        <w:t> </w:t>
      </w:r>
      <w:r>
        <w:rPr>
          <w:i/>
          <w:sz w:val="38"/>
        </w:rPr>
        <w:t>after</w:t>
      </w:r>
      <w:r>
        <w:rPr>
          <w:i/>
          <w:spacing w:val="-3"/>
          <w:sz w:val="38"/>
        </w:rPr>
        <w:t> </w:t>
      </w:r>
      <w:r>
        <w:rPr>
          <w:i/>
          <w:sz w:val="38"/>
        </w:rPr>
        <w:t>taking </w:t>
      </w:r>
      <w:r>
        <w:rPr>
          <w:i/>
          <w:sz w:val="38"/>
        </w:rPr>
        <w:t>MMS'</w:t>
      </w:r>
      <w:r>
        <w:rPr>
          <w:i/>
          <w:position w:val="9"/>
          <w:sz w:val="25"/>
        </w:rPr>
        <w:t>554</w:t>
      </w:r>
    </w:p>
    <w:p>
      <w:pPr>
        <w:pStyle w:val="BodyText"/>
        <w:spacing w:line="276" w:lineRule="auto" w:before="240"/>
        <w:ind w:left="616" w:right="134"/>
        <w:jc w:val="both"/>
      </w:pPr>
      <w:r>
        <w:rPr/>
        <w:t>The significance of these four sentences is made clear by the fact that</w:t>
      </w:r>
      <w:r>
        <w:rPr>
          <w:spacing w:val="-41"/>
        </w:rPr>
        <w:t> </w:t>
      </w:r>
      <w:r>
        <w:rPr/>
        <w:t>humans can survive for up to 40 days without food, up to 5 days without water, and only a few minutes without oxygen. So oxygen is by far the most important substance for us. Since red blood cells, as we read above, are responsible for transporting</w:t>
      </w:r>
      <w:r>
        <w:rPr>
          <w:spacing w:val="-15"/>
        </w:rPr>
        <w:t> </w:t>
      </w:r>
      <w:r>
        <w:rPr/>
        <w:t>oxygen</w:t>
      </w:r>
      <w:r>
        <w:rPr>
          <w:spacing w:val="-14"/>
        </w:rPr>
        <w:t> </w:t>
      </w:r>
      <w:r>
        <w:rPr/>
        <w:t>into</w:t>
      </w:r>
      <w:r>
        <w:rPr>
          <w:spacing w:val="-15"/>
        </w:rPr>
        <w:t> </w:t>
      </w:r>
      <w:r>
        <w:rPr/>
        <w:t>the</w:t>
      </w:r>
      <w:r>
        <w:rPr>
          <w:spacing w:val="-17"/>
        </w:rPr>
        <w:t> </w:t>
      </w:r>
      <w:r>
        <w:rPr/>
        <w:t>cell,</w:t>
      </w:r>
      <w:r>
        <w:rPr>
          <w:spacing w:val="-17"/>
        </w:rPr>
        <w:t> </w:t>
      </w:r>
      <w:r>
        <w:rPr/>
        <w:t>their</w:t>
      </w:r>
      <w:r>
        <w:rPr>
          <w:spacing w:val="-14"/>
        </w:rPr>
        <w:t> </w:t>
      </w:r>
      <w:r>
        <w:rPr/>
        <w:t>regeneration</w:t>
      </w:r>
      <w:r>
        <w:rPr>
          <w:spacing w:val="-14"/>
        </w:rPr>
        <w:t> </w:t>
      </w:r>
      <w:r>
        <w:rPr/>
        <w:t>and</w:t>
      </w:r>
      <w:r>
        <w:rPr>
          <w:spacing w:val="-15"/>
        </w:rPr>
        <w:t> </w:t>
      </w:r>
      <w:r>
        <w:rPr/>
        <w:t>activation</w:t>
      </w:r>
      <w:r>
        <w:rPr>
          <w:spacing w:val="-15"/>
        </w:rPr>
        <w:t> </w:t>
      </w:r>
      <w:r>
        <w:rPr/>
        <w:t>is</w:t>
      </w:r>
      <w:r>
        <w:rPr>
          <w:spacing w:val="-15"/>
        </w:rPr>
        <w:t> </w:t>
      </w:r>
      <w:r>
        <w:rPr/>
        <w:t>extremely important to our health. The activation of the white blood cells, which are responsible</w:t>
      </w:r>
      <w:r>
        <w:rPr>
          <w:spacing w:val="-23"/>
        </w:rPr>
        <w:t> </w:t>
      </w:r>
      <w:r>
        <w:rPr/>
        <w:t>for</w:t>
      </w:r>
      <w:r>
        <w:rPr>
          <w:spacing w:val="-23"/>
        </w:rPr>
        <w:t> </w:t>
      </w:r>
      <w:r>
        <w:rPr/>
        <w:t>our</w:t>
      </w:r>
      <w:r>
        <w:rPr>
          <w:spacing w:val="-20"/>
        </w:rPr>
        <w:t> </w:t>
      </w:r>
      <w:r>
        <w:rPr/>
        <w:t>immune</w:t>
      </w:r>
      <w:r>
        <w:rPr>
          <w:spacing w:val="-19"/>
        </w:rPr>
        <w:t> </w:t>
      </w:r>
      <w:r>
        <w:rPr/>
        <w:t>system</w:t>
      </w:r>
      <w:r>
        <w:rPr>
          <w:spacing w:val="-19"/>
        </w:rPr>
        <w:t> </w:t>
      </w:r>
      <w:r>
        <w:rPr/>
        <w:t>(defence</w:t>
      </w:r>
      <w:r>
        <w:rPr>
          <w:spacing w:val="-18"/>
        </w:rPr>
        <w:t> </w:t>
      </w:r>
      <w:r>
        <w:rPr/>
        <w:t>against</w:t>
      </w:r>
      <w:r>
        <w:rPr>
          <w:spacing w:val="-20"/>
        </w:rPr>
        <w:t> </w:t>
      </w:r>
      <w:r>
        <w:rPr/>
        <w:t>viruses,</w:t>
      </w:r>
      <w:r>
        <w:rPr>
          <w:spacing w:val="-20"/>
        </w:rPr>
        <w:t> </w:t>
      </w:r>
      <w:r>
        <w:rPr/>
        <w:t>bacteria</w:t>
      </w:r>
      <w:r>
        <w:rPr>
          <w:spacing w:val="-21"/>
        </w:rPr>
        <w:t> </w:t>
      </w:r>
      <w:r>
        <w:rPr/>
        <w:t>and</w:t>
      </w:r>
      <w:r>
        <w:rPr>
          <w:spacing w:val="-20"/>
        </w:rPr>
        <w:t> </w:t>
      </w:r>
      <w:r>
        <w:rPr/>
        <w:t>other pests as well as foreign substances) by a factor of 10 makes this an all-round package. This would clearly prove the strong effect of MMS on our immune system and a general, cell-stimulating effect as</w:t>
      </w:r>
      <w:r>
        <w:rPr>
          <w:spacing w:val="-1"/>
        </w:rPr>
        <w:t> </w:t>
      </w:r>
      <w:r>
        <w:rPr/>
        <w:t>well.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0"/>
        </w:rPr>
      </w:pPr>
      <w:r>
        <w:rPr/>
        <w:pict>
          <v:line style="position:absolute;mso-position-horizontal-relative:page;mso-position-vertical-relative:paragraph;z-index:7208;mso-wrap-distance-left:0;mso-wrap-distance-right:0" from="70.823997pt,7.977515pt" to="214.843997pt,7.977515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554 </w:t>
      </w:r>
      <w:hyperlink r:id="rId240">
        <w:r>
          <w:rPr>
            <w:sz w:val="20"/>
          </w:rPr>
          <w:t>http://www.kstg.net/publikationen/pdf/dr_douwes_informiert/2010-04_MMS_Wirkung.html</w:t>
        </w:r>
      </w:hyperlink>
    </w:p>
    <w:p>
      <w:pPr>
        <w:spacing w:after="0"/>
        <w:jc w:val="left"/>
        <w:rPr>
          <w:sz w:val="20"/>
        </w:rPr>
        <w:sectPr>
          <w:pgSz w:w="14270" w:h="16850"/>
          <w:pgMar w:header="0" w:footer="1891" w:top="1340" w:bottom="2080" w:left="800" w:right="1280"/>
        </w:sectPr>
      </w:pPr>
    </w:p>
    <w:p>
      <w:pPr>
        <w:pStyle w:val="Heading2"/>
        <w:spacing w:before="74"/>
        <w:ind w:left="616"/>
      </w:pPr>
      <w:r>
        <w:rPr/>
        <w:t>To summarise:</w:t>
      </w:r>
    </w:p>
    <w:p>
      <w:pPr>
        <w:pStyle w:val="ListParagraph"/>
        <w:numPr>
          <w:ilvl w:val="1"/>
          <w:numId w:val="71"/>
        </w:numPr>
        <w:tabs>
          <w:tab w:pos="1329" w:val="left" w:leader="none"/>
          <w:tab w:pos="1330" w:val="left" w:leader="none"/>
        </w:tabs>
        <w:spacing w:line="273" w:lineRule="auto" w:before="265" w:after="0"/>
        <w:ind w:left="1329" w:right="145" w:hanging="355"/>
        <w:jc w:val="left"/>
        <w:rPr>
          <w:sz w:val="38"/>
        </w:rPr>
      </w:pPr>
      <w:r>
        <w:rPr>
          <w:sz w:val="38"/>
        </w:rPr>
        <w:t>MMS releases the power of chlorine dioxide, which is unbeatable in the disinfection of viruses, bacteria, moulds and other</w:t>
      </w:r>
      <w:r>
        <w:rPr>
          <w:spacing w:val="-5"/>
          <w:sz w:val="38"/>
        </w:rPr>
        <w:t> </w:t>
      </w:r>
      <w:r>
        <w:rPr>
          <w:sz w:val="38"/>
        </w:rPr>
        <w:t>parasites.</w:t>
      </w:r>
    </w:p>
    <w:p>
      <w:pPr>
        <w:pStyle w:val="ListParagraph"/>
        <w:numPr>
          <w:ilvl w:val="1"/>
          <w:numId w:val="71"/>
        </w:numPr>
        <w:tabs>
          <w:tab w:pos="1329" w:val="left" w:leader="none"/>
          <w:tab w:pos="1330" w:val="left" w:leader="none"/>
          <w:tab w:pos="2557" w:val="left" w:leader="none"/>
          <w:tab w:pos="4430" w:val="left" w:leader="none"/>
          <w:tab w:pos="8878" w:val="left" w:leader="none"/>
        </w:tabs>
        <w:spacing w:line="273" w:lineRule="auto" w:before="8" w:after="0"/>
        <w:ind w:left="1329" w:right="135" w:hanging="355"/>
        <w:jc w:val="left"/>
        <w:rPr>
          <w:sz w:val="38"/>
        </w:rPr>
      </w:pPr>
      <w:r>
        <w:rPr>
          <w:sz w:val="38"/>
        </w:rPr>
        <w:t>At </w:t>
      </w:r>
      <w:r>
        <w:rPr>
          <w:spacing w:val="6"/>
          <w:sz w:val="38"/>
        </w:rPr>
        <w:t> </w:t>
      </w:r>
      <w:r>
        <w:rPr>
          <w:sz w:val="38"/>
        </w:rPr>
        <w:t>the</w:t>
        <w:tab/>
        <w:t>same </w:t>
      </w:r>
      <w:r>
        <w:rPr>
          <w:spacing w:val="6"/>
          <w:sz w:val="38"/>
        </w:rPr>
        <w:t> </w:t>
      </w:r>
      <w:r>
        <w:rPr>
          <w:sz w:val="38"/>
        </w:rPr>
        <w:t>time,</w:t>
        <w:tab/>
        <w:t>it  significantly </w:t>
      </w:r>
      <w:r>
        <w:rPr>
          <w:spacing w:val="6"/>
          <w:sz w:val="38"/>
        </w:rPr>
        <w:t> </w:t>
      </w:r>
      <w:r>
        <w:rPr>
          <w:sz w:val="38"/>
        </w:rPr>
        <w:t>activates </w:t>
      </w:r>
      <w:r>
        <w:rPr>
          <w:spacing w:val="5"/>
          <w:sz w:val="38"/>
        </w:rPr>
        <w:t> </w:t>
      </w:r>
      <w:r>
        <w:rPr>
          <w:sz w:val="38"/>
        </w:rPr>
        <w:t>the</w:t>
        <w:tab/>
        <w:t>white blood cells; it strengthens the immune</w:t>
      </w:r>
      <w:r>
        <w:rPr>
          <w:spacing w:val="1"/>
          <w:sz w:val="38"/>
        </w:rPr>
        <w:t> </w:t>
      </w:r>
      <w:r>
        <w:rPr>
          <w:sz w:val="38"/>
        </w:rPr>
        <w:t>system.</w:t>
      </w:r>
    </w:p>
    <w:p>
      <w:pPr>
        <w:pStyle w:val="ListParagraph"/>
        <w:numPr>
          <w:ilvl w:val="1"/>
          <w:numId w:val="71"/>
        </w:numPr>
        <w:tabs>
          <w:tab w:pos="1329" w:val="left" w:leader="none"/>
          <w:tab w:pos="1330" w:val="left" w:leader="none"/>
        </w:tabs>
        <w:spacing w:line="240" w:lineRule="auto" w:before="7" w:after="0"/>
        <w:ind w:left="1329" w:right="0" w:hanging="355"/>
        <w:jc w:val="left"/>
        <w:rPr>
          <w:sz w:val="38"/>
        </w:rPr>
      </w:pPr>
      <w:r>
        <w:rPr>
          <w:sz w:val="38"/>
        </w:rPr>
        <w:t>It supplies our cells more efficiently with oxygen via the red blood</w:t>
      </w:r>
      <w:r>
        <w:rPr>
          <w:spacing w:val="-20"/>
          <w:sz w:val="38"/>
        </w:rPr>
        <w:t> </w:t>
      </w:r>
      <w:r>
        <w:rPr>
          <w:sz w:val="38"/>
        </w:rPr>
        <w:t>cells.</w:t>
      </w:r>
    </w:p>
    <w:p>
      <w:pPr>
        <w:pStyle w:val="BodyText"/>
        <w:spacing w:line="276" w:lineRule="auto" w:before="302"/>
        <w:ind w:left="616" w:right="132"/>
        <w:jc w:val="both"/>
      </w:pPr>
      <w:r>
        <w:rPr/>
        <w:t>Three factors that could potentially have a positive impact on an improbably large number of diseases. It is almost impossible to name all these diseases in addition to the so-called incurable diseases such as cancer, AIDS, hepatitis, even a common cold, flu, pneumonia, sore throat, warts as well as inflamma- tion in the oral cavity. Examples including the description of application are given in the next section 'Effects and application of MMS'.</w:t>
      </w:r>
    </w:p>
    <w:p>
      <w:pPr>
        <w:pStyle w:val="BodyText"/>
        <w:spacing w:before="240"/>
        <w:ind w:left="616"/>
      </w:pPr>
      <w:r>
        <w:rPr/>
        <w:t>Effect and application of MMS</w:t>
      </w:r>
    </w:p>
    <w:p>
      <w:pPr>
        <w:pStyle w:val="Heading1"/>
        <w:spacing w:line="261" w:lineRule="auto" w:before="288"/>
        <w:ind w:left="616" w:right="148"/>
        <w:jc w:val="both"/>
        <w:rPr>
          <w:b w:val="0"/>
          <w:i w:val="0"/>
          <w:sz w:val="25"/>
        </w:rPr>
      </w:pPr>
      <w:r>
        <w:rPr/>
        <w:t>Application tips by Dr. Douwes (Medical Director of the St. Georg Clinic):</w:t>
      </w:r>
      <w:r>
        <w:rPr>
          <w:b w:val="0"/>
          <w:i w:val="0"/>
          <w:position w:val="9"/>
          <w:sz w:val="25"/>
        </w:rPr>
        <w:t>555</w:t>
      </w:r>
    </w:p>
    <w:p>
      <w:pPr>
        <w:pStyle w:val="BodyText"/>
        <w:spacing w:line="276" w:lineRule="auto" w:before="260"/>
        <w:ind w:left="616" w:right="143"/>
        <w:jc w:val="both"/>
      </w:pPr>
      <w:r>
        <w:rPr/>
        <w:t>For a remedy that has not been screened for admission studies (due to unaf- fordable costs), there may be some assurance that you are learning about it from a medical professional who works as a doctor.</w:t>
      </w:r>
    </w:p>
    <w:p>
      <w:pPr>
        <w:pStyle w:val="BodyText"/>
        <w:spacing w:before="239"/>
        <w:ind w:left="616"/>
        <w:jc w:val="both"/>
      </w:pPr>
      <w:r>
        <w:rPr/>
        <w:t>Dr. Douwes, like us, expressly points out that MMS is not an approved drug</w:t>
      </w:r>
    </w:p>
    <w:p>
      <w:pPr>
        <w:pStyle w:val="BodyText"/>
        <w:rPr>
          <w:sz w:val="20"/>
        </w:rPr>
      </w:pPr>
    </w:p>
    <w:p>
      <w:pPr>
        <w:pStyle w:val="BodyText"/>
        <w:rPr>
          <w:sz w:val="20"/>
        </w:rPr>
      </w:pPr>
    </w:p>
    <w:p>
      <w:pPr>
        <w:pStyle w:val="BodyText"/>
        <w:rPr>
          <w:sz w:val="20"/>
        </w:rPr>
      </w:pPr>
    </w:p>
    <w:p>
      <w:pPr>
        <w:pStyle w:val="BodyText"/>
        <w:spacing w:before="3"/>
        <w:rPr>
          <w:sz w:val="15"/>
        </w:rPr>
      </w:pPr>
      <w:r>
        <w:rPr/>
        <w:pict>
          <v:line style="position:absolute;mso-position-horizontal-relative:page;mso-position-vertical-relative:paragraph;z-index:7232;mso-wrap-distance-left:0;mso-wrap-distance-right:0" from="70.823997pt,10.964946pt" to="214.843997pt,10.964946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555 </w:t>
      </w:r>
      <w:hyperlink r:id="rId241">
        <w:r>
          <w:rPr>
            <w:sz w:val="20"/>
          </w:rPr>
          <w:t>http://www.2012-blog.de/wp-content/gratisdownloads/Dr-Douwe.pdf</w:t>
        </w:r>
      </w:hyperlink>
    </w:p>
    <w:p>
      <w:pPr>
        <w:spacing w:after="0"/>
        <w:jc w:val="left"/>
        <w:rPr>
          <w:sz w:val="20"/>
        </w:rPr>
        <w:sectPr>
          <w:pgSz w:w="14270" w:h="16850"/>
          <w:pgMar w:header="0" w:footer="1891" w:top="1340" w:bottom="2080" w:left="800" w:right="1280"/>
        </w:sectPr>
      </w:pPr>
    </w:p>
    <w:p>
      <w:pPr>
        <w:pStyle w:val="BodyText"/>
        <w:spacing w:before="74"/>
        <w:ind w:left="616"/>
      </w:pPr>
      <w:r>
        <w:rPr/>
        <w:t>or dietary supplement and is exclusively taken at one’s own risk!</w:t>
      </w:r>
    </w:p>
    <w:p>
      <w:pPr>
        <w:pStyle w:val="Heading1"/>
        <w:spacing w:before="287"/>
        <w:ind w:left="616"/>
      </w:pPr>
      <w:r>
        <w:rPr/>
        <w:t>Application tips according to Dr.</w:t>
      </w:r>
      <w:r>
        <w:rPr>
          <w:spacing w:val="-55"/>
        </w:rPr>
        <w:t> </w:t>
      </w:r>
      <w:r>
        <w:rPr/>
        <w:t>Douwes:</w:t>
      </w:r>
    </w:p>
    <w:p>
      <w:pPr>
        <w:pStyle w:val="ListParagraph"/>
        <w:numPr>
          <w:ilvl w:val="1"/>
          <w:numId w:val="71"/>
        </w:numPr>
        <w:tabs>
          <w:tab w:pos="1336" w:val="left" w:leader="none"/>
          <w:tab w:pos="1337" w:val="left" w:leader="none"/>
        </w:tabs>
        <w:spacing w:line="240" w:lineRule="auto" w:before="296" w:after="0"/>
        <w:ind w:left="1336" w:right="0" w:hanging="360"/>
        <w:jc w:val="left"/>
        <w:rPr>
          <w:sz w:val="38"/>
        </w:rPr>
      </w:pPr>
      <w:r>
        <w:rPr>
          <w:sz w:val="38"/>
        </w:rPr>
        <w:t>Start with 1-2 drops of MMS at</w:t>
      </w:r>
      <w:r>
        <w:rPr>
          <w:spacing w:val="-4"/>
          <w:sz w:val="38"/>
        </w:rPr>
        <w:t> </w:t>
      </w:r>
      <w:r>
        <w:rPr>
          <w:sz w:val="38"/>
        </w:rPr>
        <w:t>bedtime.</w:t>
      </w:r>
    </w:p>
    <w:p>
      <w:pPr>
        <w:pStyle w:val="ListParagraph"/>
        <w:numPr>
          <w:ilvl w:val="1"/>
          <w:numId w:val="71"/>
        </w:numPr>
        <w:tabs>
          <w:tab w:pos="1336" w:val="left" w:leader="none"/>
          <w:tab w:pos="1337" w:val="left" w:leader="none"/>
        </w:tabs>
        <w:spacing w:line="273" w:lineRule="auto" w:before="66" w:after="0"/>
        <w:ind w:left="1336" w:right="300" w:hanging="360"/>
        <w:jc w:val="left"/>
        <w:rPr>
          <w:sz w:val="38"/>
        </w:rPr>
      </w:pPr>
      <w:r>
        <w:rPr>
          <w:sz w:val="38"/>
        </w:rPr>
        <w:t>It should be taken 5-10 min before a meal or two hours after a meal, on an empty stomach in any</w:t>
      </w:r>
      <w:r>
        <w:rPr>
          <w:spacing w:val="2"/>
          <w:sz w:val="38"/>
        </w:rPr>
        <w:t> </w:t>
      </w:r>
      <w:r>
        <w:rPr>
          <w:sz w:val="38"/>
        </w:rPr>
        <w:t>case!</w:t>
      </w:r>
    </w:p>
    <w:p>
      <w:pPr>
        <w:pStyle w:val="ListParagraph"/>
        <w:numPr>
          <w:ilvl w:val="1"/>
          <w:numId w:val="71"/>
        </w:numPr>
        <w:tabs>
          <w:tab w:pos="1336" w:val="left" w:leader="none"/>
          <w:tab w:pos="1337" w:val="left" w:leader="none"/>
        </w:tabs>
        <w:spacing w:line="240" w:lineRule="auto" w:before="8" w:after="0"/>
        <w:ind w:left="1336" w:right="0" w:hanging="360"/>
        <w:jc w:val="left"/>
        <w:rPr>
          <w:sz w:val="38"/>
        </w:rPr>
      </w:pPr>
      <w:r>
        <w:rPr>
          <w:sz w:val="38"/>
        </w:rPr>
        <w:t>Vitamins, as antioxidants, dramatically reduce the effects of</w:t>
      </w:r>
      <w:r>
        <w:rPr>
          <w:spacing w:val="-13"/>
          <w:sz w:val="38"/>
        </w:rPr>
        <w:t> </w:t>
      </w:r>
      <w:r>
        <w:rPr>
          <w:sz w:val="38"/>
        </w:rPr>
        <w:t>MMS.</w:t>
      </w:r>
    </w:p>
    <w:p>
      <w:pPr>
        <w:pStyle w:val="BodyText"/>
        <w:spacing w:line="276" w:lineRule="auto" w:before="305"/>
        <w:ind w:left="616" w:right="250"/>
      </w:pPr>
      <w:r>
        <w:rPr/>
        <w:t>Put MMS in a drinking glass, maintain a 1:1 ratio between MMS and the acti- vator (vinegar, citric acid 10 % or hydrochloric acid 9 %). For 1 drop of MMS, add 1 drop of the activating acid substance (see above!).</w:t>
      </w:r>
    </w:p>
    <w:p>
      <w:pPr>
        <w:pStyle w:val="ListParagraph"/>
        <w:numPr>
          <w:ilvl w:val="2"/>
          <w:numId w:val="71"/>
        </w:numPr>
        <w:tabs>
          <w:tab w:pos="1681" w:val="left" w:leader="none"/>
          <w:tab w:pos="1682" w:val="left" w:leader="none"/>
        </w:tabs>
        <w:spacing w:line="273" w:lineRule="auto" w:before="238" w:after="0"/>
        <w:ind w:left="1682" w:right="353" w:hanging="360"/>
        <w:jc w:val="left"/>
        <w:rPr>
          <w:sz w:val="38"/>
        </w:rPr>
      </w:pPr>
      <w:r>
        <w:rPr>
          <w:sz w:val="38"/>
        </w:rPr>
        <w:t>Swirl the glass a little and allow the two substances to react with each other for exactly 3 minutes (use an egg timer or</w:t>
      </w:r>
      <w:r>
        <w:rPr>
          <w:spacing w:val="-7"/>
          <w:sz w:val="38"/>
        </w:rPr>
        <w:t> </w:t>
      </w:r>
      <w:r>
        <w:rPr>
          <w:sz w:val="38"/>
        </w:rPr>
        <w:t>stopwatch!)</w:t>
      </w:r>
    </w:p>
    <w:p>
      <w:pPr>
        <w:pStyle w:val="ListParagraph"/>
        <w:numPr>
          <w:ilvl w:val="2"/>
          <w:numId w:val="71"/>
        </w:numPr>
        <w:tabs>
          <w:tab w:pos="1681" w:val="left" w:leader="none"/>
          <w:tab w:pos="1682" w:val="left" w:leader="none"/>
        </w:tabs>
        <w:spacing w:line="273" w:lineRule="auto" w:before="9" w:after="0"/>
        <w:ind w:left="1682" w:right="271" w:hanging="360"/>
        <w:jc w:val="left"/>
        <w:rPr>
          <w:sz w:val="38"/>
        </w:rPr>
      </w:pPr>
      <w:r>
        <w:rPr>
          <w:sz w:val="38"/>
        </w:rPr>
        <w:t>After 3 minutes, immediately fill the glass with water and immediately drink the</w:t>
      </w:r>
      <w:r>
        <w:rPr>
          <w:spacing w:val="-1"/>
          <w:sz w:val="38"/>
        </w:rPr>
        <w:t> </w:t>
      </w:r>
      <w:r>
        <w:rPr>
          <w:sz w:val="38"/>
        </w:rPr>
        <w:t>substance.</w:t>
      </w:r>
    </w:p>
    <w:p>
      <w:pPr>
        <w:pStyle w:val="ListParagraph"/>
        <w:numPr>
          <w:ilvl w:val="2"/>
          <w:numId w:val="71"/>
        </w:numPr>
        <w:tabs>
          <w:tab w:pos="1681" w:val="left" w:leader="none"/>
          <w:tab w:pos="1682" w:val="left" w:leader="none"/>
        </w:tabs>
        <w:spacing w:line="273" w:lineRule="auto" w:before="8" w:after="0"/>
        <w:ind w:left="1682" w:right="248" w:hanging="360"/>
        <w:jc w:val="left"/>
        <w:rPr>
          <w:sz w:val="38"/>
        </w:rPr>
      </w:pPr>
      <w:r>
        <w:rPr>
          <w:sz w:val="38"/>
        </w:rPr>
        <w:t>If you are particularly averse to the smell of chlorine, you can also use grape juice (without added vitamins) instead of</w:t>
      </w:r>
      <w:r>
        <w:rPr>
          <w:spacing w:val="-2"/>
          <w:sz w:val="38"/>
        </w:rPr>
        <w:t> </w:t>
      </w:r>
      <w:r>
        <w:rPr>
          <w:sz w:val="38"/>
        </w:rPr>
        <w:t>water.</w:t>
      </w:r>
    </w:p>
    <w:p>
      <w:pPr>
        <w:pStyle w:val="ListParagraph"/>
        <w:numPr>
          <w:ilvl w:val="2"/>
          <w:numId w:val="71"/>
        </w:numPr>
        <w:tabs>
          <w:tab w:pos="1681" w:val="left" w:leader="none"/>
          <w:tab w:pos="1682" w:val="left" w:leader="none"/>
        </w:tabs>
        <w:spacing w:line="273" w:lineRule="auto" w:before="7" w:after="0"/>
        <w:ind w:left="1682" w:right="388" w:hanging="360"/>
        <w:jc w:val="left"/>
        <w:rPr>
          <w:sz w:val="38"/>
        </w:rPr>
      </w:pPr>
      <w:r>
        <w:rPr>
          <w:sz w:val="38"/>
        </w:rPr>
        <w:t>If no reaction occurs after 1 drop, for example in the form of nausea or diarrhoea, increase the dose to 2 drops the next day and drink in the morning and in the evening as described</w:t>
      </w:r>
      <w:r>
        <w:rPr>
          <w:spacing w:val="-1"/>
          <w:sz w:val="38"/>
        </w:rPr>
        <w:t> </w:t>
      </w:r>
      <w:r>
        <w:rPr>
          <w:sz w:val="38"/>
        </w:rPr>
        <w:t>above.</w:t>
      </w:r>
    </w:p>
    <w:p>
      <w:pPr>
        <w:pStyle w:val="ListParagraph"/>
        <w:numPr>
          <w:ilvl w:val="2"/>
          <w:numId w:val="71"/>
        </w:numPr>
        <w:tabs>
          <w:tab w:pos="1681" w:val="left" w:leader="none"/>
          <w:tab w:pos="1682" w:val="left" w:leader="none"/>
        </w:tabs>
        <w:spacing w:line="273" w:lineRule="auto" w:before="11" w:after="0"/>
        <w:ind w:left="1682" w:right="183" w:hanging="360"/>
        <w:jc w:val="left"/>
        <w:rPr>
          <w:sz w:val="38"/>
        </w:rPr>
      </w:pPr>
      <w:r>
        <w:rPr>
          <w:sz w:val="38"/>
        </w:rPr>
        <w:t>Maintain this dose for two days; if no unwanted reaction occurs, this dose can be increased to 6 drops (6 drops each of MMS and activator) 3 times a</w:t>
      </w:r>
      <w:r>
        <w:rPr>
          <w:spacing w:val="-2"/>
          <w:sz w:val="38"/>
        </w:rPr>
        <w:t> </w:t>
      </w:r>
      <w:r>
        <w:rPr>
          <w:sz w:val="38"/>
        </w:rPr>
        <w:t>day.</w:t>
      </w:r>
    </w:p>
    <w:p>
      <w:pPr>
        <w:pStyle w:val="ListParagraph"/>
        <w:numPr>
          <w:ilvl w:val="2"/>
          <w:numId w:val="71"/>
        </w:numPr>
        <w:tabs>
          <w:tab w:pos="1681" w:val="left" w:leader="none"/>
          <w:tab w:pos="1682" w:val="left" w:leader="none"/>
        </w:tabs>
        <w:spacing w:line="240" w:lineRule="auto" w:before="13" w:after="0"/>
        <w:ind w:left="1682" w:right="0" w:hanging="360"/>
        <w:jc w:val="left"/>
        <w:rPr>
          <w:sz w:val="38"/>
        </w:rPr>
      </w:pPr>
      <w:r>
        <w:rPr>
          <w:sz w:val="38"/>
        </w:rPr>
        <w:t>This dose of 3 x 6 drops a day can now be taken for a period of</w:t>
      </w:r>
      <w:r>
        <w:rPr>
          <w:spacing w:val="-26"/>
          <w:sz w:val="38"/>
        </w:rPr>
        <w:t> </w:t>
      </w:r>
      <w:r>
        <w:rPr>
          <w:sz w:val="38"/>
        </w:rPr>
        <w:t>three</w:t>
      </w:r>
    </w:p>
    <w:p>
      <w:pPr>
        <w:spacing w:after="0" w:line="240" w:lineRule="auto"/>
        <w:jc w:val="left"/>
        <w:rPr>
          <w:sz w:val="38"/>
        </w:rPr>
        <w:sectPr>
          <w:pgSz w:w="14270" w:h="16850"/>
          <w:pgMar w:header="0" w:footer="1891" w:top="1340" w:bottom="2080" w:left="800" w:right="1280"/>
        </w:sectPr>
      </w:pPr>
    </w:p>
    <w:p>
      <w:pPr>
        <w:pStyle w:val="BodyText"/>
        <w:spacing w:before="72"/>
        <w:ind w:left="1682"/>
      </w:pPr>
      <w:r>
        <w:rPr/>
        <w:t>weeks.</w:t>
      </w:r>
    </w:p>
    <w:p>
      <w:pPr>
        <w:pStyle w:val="ListParagraph"/>
        <w:numPr>
          <w:ilvl w:val="2"/>
          <w:numId w:val="71"/>
        </w:numPr>
        <w:tabs>
          <w:tab w:pos="1681" w:val="left" w:leader="none"/>
          <w:tab w:pos="1682" w:val="left" w:leader="none"/>
        </w:tabs>
        <w:spacing w:line="273" w:lineRule="auto" w:before="66" w:after="0"/>
        <w:ind w:left="1682" w:right="435" w:hanging="360"/>
        <w:jc w:val="left"/>
        <w:rPr>
          <w:sz w:val="38"/>
        </w:rPr>
      </w:pPr>
      <w:r>
        <w:rPr>
          <w:sz w:val="38"/>
        </w:rPr>
        <w:t>In case of side effects such as vomiting or diarrhoea or in case of se- vere dislike, avoid taking for one</w:t>
      </w:r>
      <w:r>
        <w:rPr>
          <w:spacing w:val="-2"/>
          <w:sz w:val="38"/>
        </w:rPr>
        <w:t> </w:t>
      </w:r>
      <w:r>
        <w:rPr>
          <w:sz w:val="38"/>
        </w:rPr>
        <w:t>day.</w:t>
      </w:r>
    </w:p>
    <w:p>
      <w:pPr>
        <w:pStyle w:val="ListParagraph"/>
        <w:numPr>
          <w:ilvl w:val="2"/>
          <w:numId w:val="71"/>
        </w:numPr>
        <w:tabs>
          <w:tab w:pos="1681" w:val="left" w:leader="none"/>
          <w:tab w:pos="1682" w:val="left" w:leader="none"/>
        </w:tabs>
        <w:spacing w:line="273" w:lineRule="auto" w:before="7" w:after="0"/>
        <w:ind w:left="1682" w:right="513" w:hanging="360"/>
        <w:jc w:val="left"/>
        <w:rPr>
          <w:sz w:val="38"/>
        </w:rPr>
      </w:pPr>
      <w:r>
        <w:rPr>
          <w:sz w:val="38"/>
        </w:rPr>
        <w:t>After a maximum of five weeks, take a break for two to three weeks to allow the body to recover from oxidative</w:t>
      </w:r>
      <w:r>
        <w:rPr>
          <w:spacing w:val="-1"/>
          <w:sz w:val="38"/>
        </w:rPr>
        <w:t> </w:t>
      </w:r>
      <w:r>
        <w:rPr>
          <w:sz w:val="38"/>
        </w:rPr>
        <w:t>stress.</w:t>
      </w:r>
    </w:p>
    <w:p>
      <w:pPr>
        <w:pStyle w:val="ListParagraph"/>
        <w:numPr>
          <w:ilvl w:val="2"/>
          <w:numId w:val="71"/>
        </w:numPr>
        <w:tabs>
          <w:tab w:pos="1681" w:val="left" w:leader="none"/>
          <w:tab w:pos="1682" w:val="left" w:leader="none"/>
        </w:tabs>
        <w:spacing w:line="273" w:lineRule="auto" w:before="7" w:after="0"/>
        <w:ind w:left="1682" w:right="455" w:hanging="360"/>
        <w:jc w:val="left"/>
        <w:rPr>
          <w:sz w:val="38"/>
        </w:rPr>
      </w:pPr>
      <w:r>
        <w:rPr>
          <w:sz w:val="38"/>
        </w:rPr>
        <w:t>Now you can and should eat plenty of fruit and vegetables, and vita- min supplements are also allowed again and are even</w:t>
      </w:r>
      <w:r>
        <w:rPr>
          <w:spacing w:val="-14"/>
          <w:sz w:val="38"/>
        </w:rPr>
        <w:t> </w:t>
      </w:r>
      <w:r>
        <w:rPr>
          <w:sz w:val="38"/>
        </w:rPr>
        <w:t>advisable.</w:t>
      </w:r>
    </w:p>
    <w:p>
      <w:pPr>
        <w:pStyle w:val="BodyText"/>
        <w:spacing w:line="276" w:lineRule="auto" w:before="246"/>
        <w:ind w:left="616" w:right="132"/>
        <w:jc w:val="both"/>
      </w:pPr>
      <w:r>
        <w:rPr/>
        <w:t>The following application examples are from Jim Humble's recommenda- tions</w:t>
      </w:r>
      <w:r>
        <w:rPr>
          <w:position w:val="9"/>
          <w:sz w:val="25"/>
        </w:rPr>
        <w:t>556 </w:t>
      </w:r>
      <w:r>
        <w:rPr/>
        <w:t>and should be followed at your own risk (this must be emphasised repeatedly,</w:t>
      </w:r>
      <w:r>
        <w:rPr>
          <w:spacing w:val="-10"/>
        </w:rPr>
        <w:t> </w:t>
      </w:r>
      <w:r>
        <w:rPr/>
        <w:t>since</w:t>
      </w:r>
      <w:r>
        <w:rPr>
          <w:spacing w:val="-11"/>
        </w:rPr>
        <w:t> </w:t>
      </w:r>
      <w:r>
        <w:rPr/>
        <w:t>MMS</w:t>
      </w:r>
      <w:r>
        <w:rPr>
          <w:spacing w:val="-9"/>
        </w:rPr>
        <w:t> </w:t>
      </w:r>
      <w:r>
        <w:rPr/>
        <w:t>is</w:t>
      </w:r>
      <w:r>
        <w:rPr>
          <w:spacing w:val="-9"/>
        </w:rPr>
        <w:t> </w:t>
      </w:r>
      <w:r>
        <w:rPr/>
        <w:t>a</w:t>
      </w:r>
      <w:r>
        <w:rPr>
          <w:spacing w:val="-9"/>
        </w:rPr>
        <w:t> </w:t>
      </w:r>
      <w:r>
        <w:rPr/>
        <w:t>poorly</w:t>
      </w:r>
      <w:r>
        <w:rPr>
          <w:spacing w:val="-10"/>
        </w:rPr>
        <w:t> </w:t>
      </w:r>
      <w:r>
        <w:rPr/>
        <w:t>researched</w:t>
      </w:r>
      <w:r>
        <w:rPr>
          <w:spacing w:val="-9"/>
        </w:rPr>
        <w:t> </w:t>
      </w:r>
      <w:r>
        <w:rPr/>
        <w:t>mixture</w:t>
      </w:r>
      <w:r>
        <w:rPr>
          <w:spacing w:val="-3"/>
        </w:rPr>
        <w:t> </w:t>
      </w:r>
      <w:r>
        <w:rPr/>
        <w:t>–</w:t>
      </w:r>
      <w:r>
        <w:rPr>
          <w:spacing w:val="-10"/>
        </w:rPr>
        <w:t> </w:t>
      </w:r>
      <w:r>
        <w:rPr/>
        <w:t>even</w:t>
      </w:r>
      <w:r>
        <w:rPr>
          <w:spacing w:val="-9"/>
        </w:rPr>
        <w:t> </w:t>
      </w:r>
      <w:r>
        <w:rPr/>
        <w:t>though</w:t>
      </w:r>
      <w:r>
        <w:rPr>
          <w:spacing w:val="-8"/>
        </w:rPr>
        <w:t> </w:t>
      </w:r>
      <w:r>
        <w:rPr/>
        <w:t>countless examples suggest that this is a harmless</w:t>
      </w:r>
      <w:r>
        <w:rPr>
          <w:spacing w:val="-3"/>
        </w:rPr>
        <w:t> </w:t>
      </w:r>
      <w:r>
        <w:rPr/>
        <w:t>substance!)</w:t>
      </w:r>
    </w:p>
    <w:p>
      <w:pPr>
        <w:pStyle w:val="BodyText"/>
        <w:spacing w:line="276" w:lineRule="auto" w:before="242"/>
        <w:ind w:left="616" w:right="133"/>
        <w:jc w:val="both"/>
      </w:pPr>
      <w:r>
        <w:rPr/>
        <w:t>The following applies for all application recommendations: The sodium chlo- rite is activated with vinegar, lemon or lime juice or with citric acid solution. The</w:t>
      </w:r>
      <w:r>
        <w:rPr>
          <w:spacing w:val="-9"/>
        </w:rPr>
        <w:t> </w:t>
      </w:r>
      <w:r>
        <w:rPr/>
        <w:t>juices</w:t>
      </w:r>
      <w:r>
        <w:rPr>
          <w:spacing w:val="-9"/>
        </w:rPr>
        <w:t> </w:t>
      </w:r>
      <w:r>
        <w:rPr/>
        <w:t>should</w:t>
      </w:r>
      <w:r>
        <w:rPr>
          <w:spacing w:val="-10"/>
        </w:rPr>
        <w:t> </w:t>
      </w:r>
      <w:r>
        <w:rPr/>
        <w:t>contain</w:t>
      </w:r>
      <w:r>
        <w:rPr>
          <w:spacing w:val="-10"/>
        </w:rPr>
        <w:t> </w:t>
      </w:r>
      <w:r>
        <w:rPr/>
        <w:t>no</w:t>
      </w:r>
      <w:r>
        <w:rPr>
          <w:spacing w:val="-10"/>
        </w:rPr>
        <w:t> </w:t>
      </w:r>
      <w:r>
        <w:rPr/>
        <w:t>vitamin</w:t>
      </w:r>
      <w:r>
        <w:rPr>
          <w:spacing w:val="-9"/>
        </w:rPr>
        <w:t> </w:t>
      </w:r>
      <w:r>
        <w:rPr/>
        <w:t>C,</w:t>
      </w:r>
      <w:r>
        <w:rPr>
          <w:spacing w:val="-10"/>
        </w:rPr>
        <w:t> </w:t>
      </w:r>
      <w:r>
        <w:rPr/>
        <w:t>as</w:t>
      </w:r>
      <w:r>
        <w:rPr>
          <w:spacing w:val="-11"/>
        </w:rPr>
        <w:t> </w:t>
      </w:r>
      <w:r>
        <w:rPr/>
        <w:t>this</w:t>
      </w:r>
      <w:r>
        <w:rPr>
          <w:spacing w:val="-11"/>
        </w:rPr>
        <w:t> </w:t>
      </w:r>
      <w:r>
        <w:rPr/>
        <w:t>reduces</w:t>
      </w:r>
      <w:r>
        <w:rPr>
          <w:spacing w:val="-8"/>
        </w:rPr>
        <w:t> </w:t>
      </w:r>
      <w:r>
        <w:rPr/>
        <w:t>the</w:t>
      </w:r>
      <w:r>
        <w:rPr>
          <w:spacing w:val="-8"/>
        </w:rPr>
        <w:t> </w:t>
      </w:r>
      <w:r>
        <w:rPr/>
        <w:t>effect</w:t>
      </w:r>
      <w:r>
        <w:rPr>
          <w:spacing w:val="-9"/>
        </w:rPr>
        <w:t> </w:t>
      </w:r>
      <w:r>
        <w:rPr/>
        <w:t>of</w:t>
      </w:r>
      <w:r>
        <w:rPr>
          <w:spacing w:val="-11"/>
        </w:rPr>
        <w:t> </w:t>
      </w:r>
      <w:r>
        <w:rPr/>
        <w:t>the</w:t>
      </w:r>
      <w:r>
        <w:rPr>
          <w:spacing w:val="-11"/>
        </w:rPr>
        <w:t> </w:t>
      </w:r>
      <w:r>
        <w:rPr/>
        <w:t>MMS!</w:t>
      </w:r>
    </w:p>
    <w:p>
      <w:pPr>
        <w:pStyle w:val="Heading1"/>
        <w:ind w:left="616"/>
      </w:pPr>
      <w:r>
        <w:rPr/>
        <w:t>Jim Humble’s standard intake protocol</w:t>
      </w:r>
    </w:p>
    <w:p>
      <w:pPr>
        <w:pStyle w:val="BodyText"/>
        <w:spacing w:line="276" w:lineRule="auto" w:before="299"/>
        <w:ind w:left="616" w:right="142"/>
        <w:jc w:val="both"/>
      </w:pPr>
      <w:r>
        <w:rPr/>
        <w:t>Jim Humble recommends the following intake schedule for general health is- sues (if you have serious medical conditions, another protocol applies, see be- low):</w:t>
      </w:r>
    </w:p>
    <w:p>
      <w:pPr>
        <w:pStyle w:val="BodyText"/>
        <w:rPr>
          <w:sz w:val="20"/>
        </w:rPr>
      </w:pPr>
    </w:p>
    <w:p>
      <w:pPr>
        <w:pStyle w:val="BodyText"/>
        <w:rPr>
          <w:sz w:val="20"/>
        </w:rPr>
      </w:pPr>
    </w:p>
    <w:p>
      <w:pPr>
        <w:pStyle w:val="BodyText"/>
        <w:spacing w:before="3"/>
        <w:rPr>
          <w:sz w:val="21"/>
        </w:rPr>
      </w:pPr>
      <w:r>
        <w:rPr/>
        <w:pict>
          <v:line style="position:absolute;mso-position-horizontal-relative:page;mso-position-vertical-relative:paragraph;z-index:7256;mso-wrap-distance-left:0;mso-wrap-distance-right:0" from="70.823997pt,14.357486pt" to="214.843997pt,14.357486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556 </w:t>
      </w:r>
      <w:r>
        <w:rPr>
          <w:sz w:val="20"/>
        </w:rPr>
        <w:t>Jim Humble: MMS: Der Durchbruch ('The Breakthrough'), Mobiwell, 9th Edition 2010</w:t>
      </w:r>
    </w:p>
    <w:p>
      <w:pPr>
        <w:spacing w:after="0"/>
        <w:jc w:val="left"/>
        <w:rPr>
          <w:sz w:val="20"/>
        </w:rPr>
        <w:sectPr>
          <w:pgSz w:w="14270" w:h="16850"/>
          <w:pgMar w:header="0" w:footer="1891" w:top="1340" w:bottom="2080" w:left="800" w:right="1280"/>
        </w:sectPr>
      </w:pPr>
    </w:p>
    <w:p>
      <w:pPr>
        <w:pStyle w:val="Heading2"/>
        <w:spacing w:before="74"/>
        <w:ind w:left="616"/>
      </w:pPr>
      <w:r>
        <w:rPr/>
        <w:t>Jim Humble’s recommendations for general diseases</w:t>
      </w:r>
    </w:p>
    <w:p>
      <w:pPr>
        <w:pStyle w:val="ListParagraph"/>
        <w:numPr>
          <w:ilvl w:val="2"/>
          <w:numId w:val="71"/>
        </w:numPr>
        <w:tabs>
          <w:tab w:pos="1756" w:val="left" w:leader="none"/>
          <w:tab w:pos="1757" w:val="left" w:leader="none"/>
        </w:tabs>
        <w:spacing w:line="240" w:lineRule="auto" w:before="265" w:after="0"/>
        <w:ind w:left="1756" w:right="0" w:hanging="358"/>
        <w:jc w:val="left"/>
        <w:rPr>
          <w:sz w:val="38"/>
        </w:rPr>
      </w:pPr>
      <w:r>
        <w:rPr>
          <w:sz w:val="38"/>
        </w:rPr>
        <w:t>Start with 1 drop of activated</w:t>
      </w:r>
      <w:r>
        <w:rPr>
          <w:spacing w:val="1"/>
          <w:sz w:val="38"/>
        </w:rPr>
        <w:t> </w:t>
      </w:r>
      <w:r>
        <w:rPr>
          <w:sz w:val="38"/>
        </w:rPr>
        <w:t>MMS.</w:t>
      </w:r>
    </w:p>
    <w:p>
      <w:pPr>
        <w:pStyle w:val="ListParagraph"/>
        <w:numPr>
          <w:ilvl w:val="2"/>
          <w:numId w:val="71"/>
        </w:numPr>
        <w:tabs>
          <w:tab w:pos="1756" w:val="left" w:leader="none"/>
          <w:tab w:pos="1757" w:val="left" w:leader="none"/>
        </w:tabs>
        <w:spacing w:line="240" w:lineRule="auto" w:before="184" w:after="0"/>
        <w:ind w:left="1756" w:right="0" w:hanging="358"/>
        <w:jc w:val="left"/>
        <w:rPr>
          <w:sz w:val="38"/>
        </w:rPr>
      </w:pPr>
      <w:r>
        <w:rPr>
          <w:sz w:val="38"/>
        </w:rPr>
        <w:t>Increase the dose by one more drop if you feel no</w:t>
      </w:r>
      <w:r>
        <w:rPr>
          <w:spacing w:val="-7"/>
          <w:sz w:val="38"/>
        </w:rPr>
        <w:t> </w:t>
      </w:r>
      <w:r>
        <w:rPr>
          <w:sz w:val="38"/>
        </w:rPr>
        <w:t>nausea.</w:t>
      </w:r>
    </w:p>
    <w:p>
      <w:pPr>
        <w:pStyle w:val="ListParagraph"/>
        <w:numPr>
          <w:ilvl w:val="2"/>
          <w:numId w:val="71"/>
        </w:numPr>
        <w:tabs>
          <w:tab w:pos="1756" w:val="left" w:leader="none"/>
          <w:tab w:pos="1757" w:val="left" w:leader="none"/>
        </w:tabs>
        <w:spacing w:line="240" w:lineRule="auto" w:before="184" w:after="0"/>
        <w:ind w:left="1756" w:right="0" w:hanging="358"/>
        <w:jc w:val="left"/>
        <w:rPr>
          <w:sz w:val="38"/>
        </w:rPr>
      </w:pPr>
      <w:r>
        <w:rPr>
          <w:sz w:val="38"/>
        </w:rPr>
        <w:t>Take one dose in the morning and one in the evening.</w:t>
      </w:r>
    </w:p>
    <w:p>
      <w:pPr>
        <w:pStyle w:val="ListParagraph"/>
        <w:numPr>
          <w:ilvl w:val="2"/>
          <w:numId w:val="71"/>
        </w:numPr>
        <w:tabs>
          <w:tab w:pos="1756" w:val="left" w:leader="none"/>
          <w:tab w:pos="1757" w:val="left" w:leader="none"/>
        </w:tabs>
        <w:spacing w:line="240" w:lineRule="auto" w:before="183" w:after="0"/>
        <w:ind w:left="1756" w:right="0" w:hanging="358"/>
        <w:jc w:val="left"/>
        <w:rPr>
          <w:sz w:val="38"/>
        </w:rPr>
      </w:pPr>
      <w:r>
        <w:rPr>
          <w:sz w:val="38"/>
        </w:rPr>
        <w:t>Increase the dose from one day to the next, one drop at a</w:t>
      </w:r>
      <w:r>
        <w:rPr>
          <w:spacing w:val="-8"/>
          <w:sz w:val="38"/>
        </w:rPr>
        <w:t> </w:t>
      </w:r>
      <w:r>
        <w:rPr>
          <w:sz w:val="38"/>
        </w:rPr>
        <w:t>time.</w:t>
      </w:r>
    </w:p>
    <w:p>
      <w:pPr>
        <w:pStyle w:val="ListParagraph"/>
        <w:numPr>
          <w:ilvl w:val="2"/>
          <w:numId w:val="71"/>
        </w:numPr>
        <w:tabs>
          <w:tab w:pos="1756" w:val="left" w:leader="none"/>
          <w:tab w:pos="1757" w:val="left" w:leader="none"/>
        </w:tabs>
        <w:spacing w:line="273" w:lineRule="auto" w:before="184" w:after="0"/>
        <w:ind w:left="1756" w:right="650" w:hanging="358"/>
        <w:jc w:val="left"/>
        <w:rPr>
          <w:sz w:val="38"/>
        </w:rPr>
      </w:pPr>
      <w:r>
        <w:rPr>
          <w:sz w:val="38"/>
        </w:rPr>
        <w:t>In case of nausea, lower the next dose by 1 drop, take this lowered dose 1-2 times and then try to increase the dose</w:t>
      </w:r>
      <w:r>
        <w:rPr>
          <w:spacing w:val="-5"/>
          <w:sz w:val="38"/>
        </w:rPr>
        <w:t> </w:t>
      </w:r>
      <w:r>
        <w:rPr>
          <w:sz w:val="38"/>
        </w:rPr>
        <w:t>again.</w:t>
      </w:r>
    </w:p>
    <w:p>
      <w:pPr>
        <w:pStyle w:val="ListParagraph"/>
        <w:numPr>
          <w:ilvl w:val="2"/>
          <w:numId w:val="71"/>
        </w:numPr>
        <w:tabs>
          <w:tab w:pos="1756" w:val="left" w:leader="none"/>
          <w:tab w:pos="1757" w:val="left" w:leader="none"/>
        </w:tabs>
        <w:spacing w:line="273" w:lineRule="auto" w:before="128" w:after="0"/>
        <w:ind w:left="1756" w:right="461" w:hanging="358"/>
        <w:jc w:val="left"/>
        <w:rPr>
          <w:sz w:val="38"/>
        </w:rPr>
      </w:pPr>
      <w:r>
        <w:rPr>
          <w:sz w:val="38"/>
        </w:rPr>
        <w:t>Gradually increase the dose until you take 3 x 15 drops. Then main- tain this dose for at least one week.</w:t>
      </w:r>
    </w:p>
    <w:p>
      <w:pPr>
        <w:pStyle w:val="ListParagraph"/>
        <w:numPr>
          <w:ilvl w:val="2"/>
          <w:numId w:val="71"/>
        </w:numPr>
        <w:tabs>
          <w:tab w:pos="1756" w:val="left" w:leader="none"/>
          <w:tab w:pos="1757" w:val="left" w:leader="none"/>
        </w:tabs>
        <w:spacing w:line="273" w:lineRule="auto" w:before="129" w:after="0"/>
        <w:ind w:left="1756" w:right="395" w:hanging="358"/>
        <w:jc w:val="left"/>
        <w:rPr>
          <w:sz w:val="38"/>
        </w:rPr>
      </w:pPr>
      <w:r>
        <w:rPr>
          <w:sz w:val="38"/>
        </w:rPr>
        <w:t>Following this, younger people should continue to take 4-6 drops of MMS 2 x weekly, older people should take 4-6 drops once a</w:t>
      </w:r>
      <w:r>
        <w:rPr>
          <w:spacing w:val="-20"/>
          <w:sz w:val="38"/>
        </w:rPr>
        <w:t> </w:t>
      </w:r>
      <w:r>
        <w:rPr>
          <w:sz w:val="38"/>
        </w:rPr>
        <w:t>day.</w:t>
      </w:r>
    </w:p>
    <w:p>
      <w:pPr>
        <w:pStyle w:val="ListParagraph"/>
        <w:numPr>
          <w:ilvl w:val="2"/>
          <w:numId w:val="71"/>
        </w:numPr>
        <w:tabs>
          <w:tab w:pos="1756" w:val="left" w:leader="none"/>
          <w:tab w:pos="1757" w:val="left" w:leader="none"/>
        </w:tabs>
        <w:spacing w:line="273" w:lineRule="auto" w:before="127" w:after="0"/>
        <w:ind w:left="1756" w:right="482" w:hanging="358"/>
        <w:jc w:val="left"/>
        <w:rPr>
          <w:sz w:val="38"/>
        </w:rPr>
      </w:pPr>
      <w:r>
        <w:rPr>
          <w:sz w:val="38"/>
        </w:rPr>
        <w:t>If you have diarrhoea reduce the dose by 2-3 drops. According to Humble, the diarrhoea is due to the cleansing and detoxification of the body and does not need to be treated. It stops by itself once the cleansing and detoxification is</w:t>
      </w:r>
      <w:r>
        <w:rPr>
          <w:spacing w:val="1"/>
          <w:sz w:val="38"/>
        </w:rPr>
        <w:t> </w:t>
      </w:r>
      <w:r>
        <w:rPr>
          <w:sz w:val="38"/>
        </w:rPr>
        <w:t>complete.</w:t>
      </w:r>
    </w:p>
    <w:p>
      <w:pPr>
        <w:pStyle w:val="Heading1"/>
        <w:spacing w:before="238"/>
        <w:ind w:left="616"/>
      </w:pPr>
      <w:r>
        <w:rPr/>
        <w:t>Jim Humble's MMS intake protocol for children</w:t>
      </w:r>
    </w:p>
    <w:p>
      <w:pPr>
        <w:pStyle w:val="ListParagraph"/>
        <w:numPr>
          <w:ilvl w:val="1"/>
          <w:numId w:val="71"/>
        </w:numPr>
        <w:tabs>
          <w:tab w:pos="1324" w:val="left" w:leader="none"/>
          <w:tab w:pos="1325" w:val="left" w:leader="none"/>
        </w:tabs>
        <w:spacing w:line="273" w:lineRule="auto" w:before="260" w:after="0"/>
        <w:ind w:left="1324" w:right="771" w:hanging="355"/>
        <w:jc w:val="left"/>
        <w:rPr>
          <w:sz w:val="38"/>
        </w:rPr>
      </w:pPr>
      <w:r>
        <w:rPr>
          <w:sz w:val="38"/>
        </w:rPr>
        <w:t>Proceed as for the standard protocol (see above), with the difference that the children start with half the dose (discard half of the</w:t>
      </w:r>
      <w:r>
        <w:rPr>
          <w:spacing w:val="-10"/>
          <w:sz w:val="38"/>
        </w:rPr>
        <w:t> </w:t>
      </w:r>
      <w:r>
        <w:rPr>
          <w:sz w:val="38"/>
        </w:rPr>
        <w:t>glass!).</w:t>
      </w:r>
    </w:p>
    <w:p>
      <w:pPr>
        <w:pStyle w:val="ListParagraph"/>
        <w:numPr>
          <w:ilvl w:val="1"/>
          <w:numId w:val="71"/>
        </w:numPr>
        <w:tabs>
          <w:tab w:pos="1324" w:val="left" w:leader="none"/>
          <w:tab w:pos="1325" w:val="left" w:leader="none"/>
        </w:tabs>
        <w:spacing w:line="240" w:lineRule="auto" w:before="128" w:after="0"/>
        <w:ind w:left="1324" w:right="0" w:hanging="355"/>
        <w:jc w:val="left"/>
        <w:rPr>
          <w:sz w:val="38"/>
        </w:rPr>
      </w:pPr>
      <w:r>
        <w:rPr>
          <w:sz w:val="38"/>
        </w:rPr>
        <w:t>The maximum daily dose is 3 drops per 12 kg body</w:t>
      </w:r>
      <w:r>
        <w:rPr>
          <w:spacing w:val="-4"/>
          <w:sz w:val="38"/>
        </w:rPr>
        <w:t> </w:t>
      </w:r>
      <w:r>
        <w:rPr>
          <w:sz w:val="38"/>
        </w:rPr>
        <w:t>weight.</w:t>
      </w:r>
    </w:p>
    <w:p>
      <w:pPr>
        <w:pStyle w:val="ListParagraph"/>
        <w:numPr>
          <w:ilvl w:val="1"/>
          <w:numId w:val="71"/>
        </w:numPr>
        <w:tabs>
          <w:tab w:pos="1324" w:val="left" w:leader="none"/>
          <w:tab w:pos="1325" w:val="left" w:leader="none"/>
        </w:tabs>
        <w:spacing w:line="240" w:lineRule="auto" w:before="184" w:after="0"/>
        <w:ind w:left="1324" w:right="0" w:hanging="355"/>
        <w:jc w:val="left"/>
        <w:rPr>
          <w:sz w:val="38"/>
        </w:rPr>
      </w:pPr>
      <w:r>
        <w:rPr>
          <w:sz w:val="38"/>
        </w:rPr>
        <w:t>Infants should never take more than 2</w:t>
      </w:r>
      <w:r>
        <w:rPr>
          <w:spacing w:val="-3"/>
          <w:sz w:val="38"/>
        </w:rPr>
        <w:t> </w:t>
      </w:r>
      <w:r>
        <w:rPr>
          <w:sz w:val="38"/>
        </w:rPr>
        <w:t>drops/day.</w:t>
      </w:r>
    </w:p>
    <w:p>
      <w:pPr>
        <w:spacing w:after="0" w:line="240" w:lineRule="auto"/>
        <w:jc w:val="left"/>
        <w:rPr>
          <w:sz w:val="38"/>
        </w:rPr>
        <w:sectPr>
          <w:footerReference w:type="default" r:id="rId242"/>
          <w:pgSz w:w="14270" w:h="16850"/>
          <w:pgMar w:footer="1891" w:header="0" w:top="1340" w:bottom="2080" w:left="800" w:right="1280"/>
          <w:pgNumType w:start="1020"/>
        </w:sectPr>
      </w:pPr>
    </w:p>
    <w:p>
      <w:pPr>
        <w:pStyle w:val="Heading1"/>
        <w:spacing w:before="77"/>
        <w:ind w:left="616"/>
        <w:jc w:val="both"/>
      </w:pPr>
      <w:r>
        <w:rPr/>
        <w:t>MMS effect and use for malaria</w:t>
      </w:r>
    </w:p>
    <w:p>
      <w:pPr>
        <w:pStyle w:val="BodyText"/>
        <w:spacing w:line="276" w:lineRule="auto" w:before="299"/>
        <w:ind w:left="616" w:right="134"/>
        <w:jc w:val="both"/>
      </w:pPr>
      <w:r>
        <w:rPr/>
        <w:t>No other disease has been cured as frequently by MMS as malaria. According to Jim Humble, the Miracle Mineral Supplement has already cured 75,000</w:t>
      </w:r>
      <w:r>
        <w:rPr>
          <w:spacing w:val="-60"/>
        </w:rPr>
        <w:t> </w:t>
      </w:r>
      <w:r>
        <w:rPr/>
        <w:t>ma- laria patients.</w:t>
      </w:r>
    </w:p>
    <w:p>
      <w:pPr>
        <w:pStyle w:val="BodyText"/>
        <w:spacing w:line="276" w:lineRule="auto" w:before="239"/>
        <w:ind w:left="616" w:right="133"/>
        <w:jc w:val="both"/>
      </w:pPr>
      <w:r>
        <w:rPr/>
        <w:t>Considering that about 1 million people die each year from malaria, the fact that few doctors have ever heard of MMS, let alone find it widely used</w:t>
      </w:r>
      <w:r>
        <w:rPr>
          <w:spacing w:val="-43"/>
        </w:rPr>
        <w:t> </w:t>
      </w:r>
      <w:r>
        <w:rPr/>
        <w:t>against malaria, is cause for</w:t>
      </w:r>
      <w:r>
        <w:rPr>
          <w:spacing w:val="1"/>
        </w:rPr>
        <w:t> </w:t>
      </w:r>
      <w:r>
        <w:rPr/>
        <w:t>consternation.</w:t>
      </w:r>
    </w:p>
    <w:p>
      <w:pPr>
        <w:pStyle w:val="BodyText"/>
        <w:spacing w:line="276" w:lineRule="auto" w:before="242"/>
        <w:ind w:left="616" w:right="143"/>
        <w:jc w:val="both"/>
      </w:pPr>
      <w:r>
        <w:rPr>
          <w:b/>
        </w:rPr>
        <w:t>Application: </w:t>
      </w:r>
      <w:r>
        <w:rPr/>
        <w:t>15 drops of MMS, another 15 drops of MMS after one to two hours. If symptoms have not resolved after four hours, add a third dose of 15 drops of MMS.</w:t>
      </w:r>
    </w:p>
    <w:p>
      <w:pPr>
        <w:pStyle w:val="Heading1"/>
        <w:spacing w:before="221"/>
        <w:ind w:left="616"/>
        <w:jc w:val="both"/>
      </w:pPr>
      <w:r>
        <w:rPr/>
        <w:t>Effect and use of MMS for periodontitis and gum inflammation</w:t>
      </w:r>
    </w:p>
    <w:p>
      <w:pPr>
        <w:pStyle w:val="BodyText"/>
        <w:spacing w:line="276" w:lineRule="auto" w:before="299"/>
        <w:ind w:left="616" w:right="132"/>
        <w:jc w:val="both"/>
      </w:pPr>
      <w:r>
        <w:rPr/>
        <w:t>In the case of gum infection and inflammation, MMS is extremely effective, and takes no time at all. An inflamed tooth, says Jim Humble, can be cured in as little as four hours, periodontitis and other infections disappear after one week at the latest, and after three weeks, the entire oral cavity can be</w:t>
      </w:r>
      <w:r>
        <w:rPr>
          <w:spacing w:val="-42"/>
        </w:rPr>
        <w:t> </w:t>
      </w:r>
      <w:r>
        <w:rPr/>
        <w:t>expected to be completely</w:t>
      </w:r>
      <w:r>
        <w:rPr>
          <w:spacing w:val="-2"/>
        </w:rPr>
        <w:t> </w:t>
      </w:r>
      <w:r>
        <w:rPr/>
        <w:t>healthy.</w:t>
      </w:r>
    </w:p>
    <w:p>
      <w:pPr>
        <w:pStyle w:val="Heading1"/>
        <w:spacing w:before="223"/>
        <w:ind w:left="616"/>
        <w:jc w:val="both"/>
      </w:pPr>
      <w:r>
        <w:rPr/>
        <w:t>Effects and use of MMS against arteriosclerosis</w:t>
      </w:r>
    </w:p>
    <w:p>
      <w:pPr>
        <w:pStyle w:val="BodyText"/>
        <w:spacing w:line="276" w:lineRule="auto" w:before="299"/>
        <w:ind w:left="616" w:right="139"/>
        <w:jc w:val="both"/>
      </w:pPr>
      <w:r>
        <w:rPr/>
        <w:t>Arteriosclerosis refers to a condition in which the blood vessels gradually be- come blocked due to deposits of cholesterol and calcium, which can lead to a heart attack or stroke. The prevailing opinion of conventional medicine that</w:t>
      </w:r>
    </w:p>
    <w:p>
      <w:pPr>
        <w:spacing w:after="0" w:line="276" w:lineRule="auto"/>
        <w:jc w:val="both"/>
        <w:sectPr>
          <w:pgSz w:w="14270" w:h="16850"/>
          <w:pgMar w:header="0" w:footer="1891" w:top="1320" w:bottom="2080" w:left="800" w:right="1280"/>
        </w:sectPr>
      </w:pPr>
    </w:p>
    <w:p>
      <w:pPr>
        <w:pStyle w:val="BodyText"/>
        <w:spacing w:line="276" w:lineRule="auto" w:before="72"/>
        <w:ind w:left="616" w:right="139"/>
        <w:jc w:val="both"/>
      </w:pPr>
      <w:r>
        <w:rPr/>
        <w:t>arteriosclerosis cannot be reversed has been refuted by countless representa- tive studies. According to Humble, MMS is very good at removing plaques in no time. In his book, he mentions that several people have reported that they have been able to use MMS to reduce cholesterol-related deposits in their ar- teries. Among them was a lady whose arteries were 80 % blocked and after</w:t>
      </w:r>
      <w:r>
        <w:rPr>
          <w:spacing w:val="-48"/>
        </w:rPr>
        <w:t> </w:t>
      </w:r>
      <w:r>
        <w:rPr/>
        <w:t>30 days of taking a dose of 15 drops of MMS 3 times, she was able to reduce her blockages to below 50</w:t>
      </w:r>
      <w:r>
        <w:rPr>
          <w:spacing w:val="1"/>
        </w:rPr>
        <w:t> </w:t>
      </w:r>
      <w:r>
        <w:rPr/>
        <w:t>%!</w:t>
      </w:r>
    </w:p>
    <w:p>
      <w:pPr>
        <w:pStyle w:val="BodyText"/>
        <w:spacing w:line="276" w:lineRule="auto" w:before="243"/>
        <w:ind w:left="616" w:right="133"/>
        <w:jc w:val="both"/>
      </w:pPr>
      <w:r>
        <w:rPr/>
        <w:t>Humble</w:t>
      </w:r>
      <w:r>
        <w:rPr>
          <w:spacing w:val="-8"/>
        </w:rPr>
        <w:t> </w:t>
      </w:r>
      <w:r>
        <w:rPr/>
        <w:t>advises</w:t>
      </w:r>
      <w:r>
        <w:rPr>
          <w:spacing w:val="-6"/>
        </w:rPr>
        <w:t> </w:t>
      </w:r>
      <w:r>
        <w:rPr/>
        <w:t>taking</w:t>
      </w:r>
      <w:r>
        <w:rPr>
          <w:spacing w:val="-6"/>
        </w:rPr>
        <w:t> </w:t>
      </w:r>
      <w:r>
        <w:rPr/>
        <w:t>lots</w:t>
      </w:r>
      <w:r>
        <w:rPr>
          <w:spacing w:val="-6"/>
        </w:rPr>
        <w:t> </w:t>
      </w:r>
      <w:r>
        <w:rPr/>
        <w:t>of</w:t>
      </w:r>
      <w:r>
        <w:rPr>
          <w:spacing w:val="-9"/>
        </w:rPr>
        <w:t> </w:t>
      </w:r>
      <w:r>
        <w:rPr/>
        <w:t>vitamin</w:t>
      </w:r>
      <w:r>
        <w:rPr>
          <w:spacing w:val="-6"/>
        </w:rPr>
        <w:t> </w:t>
      </w:r>
      <w:r>
        <w:rPr/>
        <w:t>C</w:t>
      </w:r>
      <w:r>
        <w:rPr>
          <w:spacing w:val="-8"/>
        </w:rPr>
        <w:t> </w:t>
      </w:r>
      <w:r>
        <w:rPr/>
        <w:t>for</w:t>
      </w:r>
      <w:r>
        <w:rPr>
          <w:spacing w:val="-8"/>
        </w:rPr>
        <w:t> </w:t>
      </w:r>
      <w:r>
        <w:rPr/>
        <w:t>several</w:t>
      </w:r>
      <w:r>
        <w:rPr>
          <w:spacing w:val="-8"/>
        </w:rPr>
        <w:t> </w:t>
      </w:r>
      <w:r>
        <w:rPr/>
        <w:t>weeks</w:t>
      </w:r>
      <w:r>
        <w:rPr>
          <w:spacing w:val="-7"/>
        </w:rPr>
        <w:t> </w:t>
      </w:r>
      <w:r>
        <w:rPr/>
        <w:t>to</w:t>
      </w:r>
      <w:r>
        <w:rPr>
          <w:spacing w:val="-6"/>
        </w:rPr>
        <w:t> </w:t>
      </w:r>
      <w:r>
        <w:rPr/>
        <w:t>stabilise</w:t>
      </w:r>
      <w:r>
        <w:rPr>
          <w:spacing w:val="-7"/>
        </w:rPr>
        <w:t> </w:t>
      </w:r>
      <w:r>
        <w:rPr/>
        <w:t>the</w:t>
      </w:r>
      <w:r>
        <w:rPr>
          <w:spacing w:val="-6"/>
        </w:rPr>
        <w:t> </w:t>
      </w:r>
      <w:r>
        <w:rPr/>
        <w:t>arte- rial walls. Once the cholesterol is eliminated, the arteries</w:t>
      </w:r>
      <w:r>
        <w:rPr>
          <w:spacing w:val="-7"/>
        </w:rPr>
        <w:t> </w:t>
      </w:r>
      <w:r>
        <w:rPr/>
        <w:t>regenerate.</w:t>
      </w:r>
    </w:p>
    <w:p>
      <w:pPr>
        <w:pStyle w:val="Heading1"/>
        <w:spacing w:before="221"/>
        <w:ind w:left="616"/>
      </w:pPr>
      <w:r>
        <w:rPr/>
        <w:t>Effect and use of MMS for heart</w:t>
      </w:r>
      <w:r>
        <w:rPr>
          <w:spacing w:val="-73"/>
        </w:rPr>
        <w:t> </w:t>
      </w:r>
      <w:r>
        <w:rPr/>
        <w:t>disease</w:t>
      </w:r>
    </w:p>
    <w:p>
      <w:pPr>
        <w:pStyle w:val="BodyText"/>
        <w:spacing w:line="276" w:lineRule="auto" w:before="299"/>
        <w:ind w:left="616" w:right="133"/>
        <w:jc w:val="both"/>
        <w:rPr>
          <w:sz w:val="25"/>
        </w:rPr>
      </w:pPr>
      <w:r>
        <w:rPr/>
        <w:t>Many</w:t>
      </w:r>
      <w:r>
        <w:rPr>
          <w:spacing w:val="-24"/>
        </w:rPr>
        <w:t> </w:t>
      </w:r>
      <w:r>
        <w:rPr/>
        <w:t>researchers</w:t>
      </w:r>
      <w:r>
        <w:rPr>
          <w:spacing w:val="-23"/>
        </w:rPr>
        <w:t> </w:t>
      </w:r>
      <w:r>
        <w:rPr/>
        <w:t>suspect</w:t>
      </w:r>
      <w:r>
        <w:rPr>
          <w:spacing w:val="-23"/>
        </w:rPr>
        <w:t> </w:t>
      </w:r>
      <w:r>
        <w:rPr/>
        <w:t>the</w:t>
      </w:r>
      <w:r>
        <w:rPr>
          <w:spacing w:val="-23"/>
        </w:rPr>
        <w:t> </w:t>
      </w:r>
      <w:r>
        <w:rPr/>
        <w:t>Coxsackie</w:t>
      </w:r>
      <w:r>
        <w:rPr>
          <w:spacing w:val="-25"/>
        </w:rPr>
        <w:t> </w:t>
      </w:r>
      <w:r>
        <w:rPr/>
        <w:t>B</w:t>
      </w:r>
      <w:r>
        <w:rPr>
          <w:spacing w:val="-22"/>
        </w:rPr>
        <w:t> </w:t>
      </w:r>
      <w:r>
        <w:rPr/>
        <w:t>virus,</w:t>
      </w:r>
      <w:r>
        <w:rPr>
          <w:spacing w:val="-21"/>
        </w:rPr>
        <w:t> </w:t>
      </w:r>
      <w:r>
        <w:rPr/>
        <w:t>which</w:t>
      </w:r>
      <w:r>
        <w:rPr>
          <w:spacing w:val="-23"/>
        </w:rPr>
        <w:t> </w:t>
      </w:r>
      <w:r>
        <w:rPr/>
        <w:t>affects</w:t>
      </w:r>
      <w:r>
        <w:rPr>
          <w:spacing w:val="-24"/>
        </w:rPr>
        <w:t> </w:t>
      </w:r>
      <w:r>
        <w:rPr/>
        <w:t>the</w:t>
      </w:r>
      <w:r>
        <w:rPr>
          <w:spacing w:val="-23"/>
        </w:rPr>
        <w:t> </w:t>
      </w:r>
      <w:r>
        <w:rPr/>
        <w:t>heart</w:t>
      </w:r>
      <w:r>
        <w:rPr>
          <w:spacing w:val="-24"/>
        </w:rPr>
        <w:t> </w:t>
      </w:r>
      <w:r>
        <w:rPr/>
        <w:t>muscle and leads to heart muscle inflammation, to be behind heart attacks. The heart is then limited in its function and can suffer an infarction. About 1/3 of all heart attacks are said to be due to this</w:t>
      </w:r>
      <w:r>
        <w:rPr>
          <w:spacing w:val="2"/>
        </w:rPr>
        <w:t> </w:t>
      </w:r>
      <w:r>
        <w:rPr/>
        <w:t>virus.</w:t>
      </w:r>
      <w:r>
        <w:rPr>
          <w:position w:val="9"/>
          <w:sz w:val="25"/>
        </w:rPr>
        <w:t>557</w:t>
      </w:r>
    </w:p>
    <w:p>
      <w:pPr>
        <w:pStyle w:val="Heading1"/>
        <w:spacing w:before="225"/>
        <w:ind w:left="616"/>
      </w:pPr>
      <w:r>
        <w:rPr/>
        <w:t>Effect and use on herpes</w:t>
      </w:r>
    </w:p>
    <w:p>
      <w:pPr>
        <w:pStyle w:val="BodyText"/>
        <w:spacing w:line="276" w:lineRule="auto" w:before="297"/>
        <w:ind w:left="616" w:right="134"/>
        <w:jc w:val="both"/>
      </w:pPr>
      <w:r>
        <w:rPr/>
        <w:t>Jim</w:t>
      </w:r>
      <w:r>
        <w:rPr>
          <w:spacing w:val="-22"/>
        </w:rPr>
        <w:t> </w:t>
      </w:r>
      <w:r>
        <w:rPr/>
        <w:t>Humble</w:t>
      </w:r>
      <w:r>
        <w:rPr>
          <w:spacing w:val="-21"/>
        </w:rPr>
        <w:t> </w:t>
      </w:r>
      <w:r>
        <w:rPr/>
        <w:t>recommends</w:t>
      </w:r>
      <w:r>
        <w:rPr>
          <w:spacing w:val="-20"/>
        </w:rPr>
        <w:t> </w:t>
      </w:r>
      <w:r>
        <w:rPr/>
        <w:t>a</w:t>
      </w:r>
      <w:r>
        <w:rPr>
          <w:spacing w:val="-25"/>
        </w:rPr>
        <w:t> </w:t>
      </w:r>
      <w:r>
        <w:rPr/>
        <w:t>phased</w:t>
      </w:r>
      <w:r>
        <w:rPr>
          <w:spacing w:val="-21"/>
        </w:rPr>
        <w:t> </w:t>
      </w:r>
      <w:r>
        <w:rPr/>
        <w:t>intake</w:t>
      </w:r>
      <w:r>
        <w:rPr>
          <w:spacing w:val="-22"/>
        </w:rPr>
        <w:t> </w:t>
      </w:r>
      <w:r>
        <w:rPr/>
        <w:t>over</w:t>
      </w:r>
      <w:r>
        <w:rPr>
          <w:spacing w:val="-23"/>
        </w:rPr>
        <w:t> </w:t>
      </w:r>
      <w:r>
        <w:rPr/>
        <w:t>several</w:t>
      </w:r>
      <w:r>
        <w:rPr>
          <w:spacing w:val="-21"/>
        </w:rPr>
        <w:t> </w:t>
      </w:r>
      <w:r>
        <w:rPr/>
        <w:t>weeks.</w:t>
      </w:r>
      <w:r>
        <w:rPr>
          <w:spacing w:val="-20"/>
        </w:rPr>
        <w:t> </w:t>
      </w:r>
      <w:r>
        <w:rPr/>
        <w:t>Start</w:t>
      </w:r>
      <w:r>
        <w:rPr>
          <w:spacing w:val="-22"/>
        </w:rPr>
        <w:t> </w:t>
      </w:r>
      <w:r>
        <w:rPr/>
        <w:t>with</w:t>
      </w:r>
      <w:r>
        <w:rPr>
          <w:spacing w:val="-21"/>
        </w:rPr>
        <w:t> </w:t>
      </w:r>
      <w:r>
        <w:rPr/>
        <w:t>1</w:t>
      </w:r>
      <w:r>
        <w:rPr>
          <w:spacing w:val="-22"/>
        </w:rPr>
        <w:t> </w:t>
      </w:r>
      <w:r>
        <w:rPr/>
        <w:t>drop and slowly increase until you take 2-4 drops 5-6 times a day. First results are expected</w:t>
      </w:r>
      <w:r>
        <w:rPr>
          <w:spacing w:val="-12"/>
        </w:rPr>
        <w:t> </w:t>
      </w:r>
      <w:r>
        <w:rPr/>
        <w:t>after</w:t>
      </w:r>
      <w:r>
        <w:rPr>
          <w:spacing w:val="-13"/>
        </w:rPr>
        <w:t> </w:t>
      </w:r>
      <w:r>
        <w:rPr/>
        <w:t>two</w:t>
      </w:r>
      <w:r>
        <w:rPr>
          <w:spacing w:val="-12"/>
        </w:rPr>
        <w:t> </w:t>
      </w:r>
      <w:r>
        <w:rPr/>
        <w:t>weeks.</w:t>
      </w:r>
      <w:r>
        <w:rPr>
          <w:spacing w:val="-12"/>
        </w:rPr>
        <w:t> </w:t>
      </w:r>
      <w:r>
        <w:rPr/>
        <w:t>Jim</w:t>
      </w:r>
      <w:r>
        <w:rPr>
          <w:spacing w:val="-15"/>
        </w:rPr>
        <w:t> </w:t>
      </w:r>
      <w:r>
        <w:rPr/>
        <w:t>Humble</w:t>
      </w:r>
      <w:r>
        <w:rPr>
          <w:spacing w:val="-13"/>
        </w:rPr>
        <w:t> </w:t>
      </w:r>
      <w:r>
        <w:rPr/>
        <w:t>recommends</w:t>
      </w:r>
      <w:r>
        <w:rPr>
          <w:spacing w:val="-11"/>
        </w:rPr>
        <w:t> </w:t>
      </w:r>
      <w:r>
        <w:rPr/>
        <w:t>the</w:t>
      </w:r>
      <w:r>
        <w:rPr>
          <w:spacing w:val="-12"/>
        </w:rPr>
        <w:t> </w:t>
      </w:r>
      <w:r>
        <w:rPr/>
        <w:t>combination</w:t>
      </w:r>
      <w:r>
        <w:rPr>
          <w:spacing w:val="-12"/>
        </w:rPr>
        <w:t> </w:t>
      </w:r>
      <w:r>
        <w:rPr/>
        <w:t>of</w:t>
      </w:r>
      <w:r>
        <w:rPr>
          <w:spacing w:val="-12"/>
        </w:rPr>
        <w:t> </w:t>
      </w:r>
      <w:r>
        <w:rPr/>
        <w:t>MMS</w:t>
      </w:r>
    </w:p>
    <w:p>
      <w:pPr>
        <w:pStyle w:val="BodyText"/>
        <w:rPr>
          <w:sz w:val="20"/>
        </w:rPr>
      </w:pPr>
    </w:p>
    <w:p>
      <w:pPr>
        <w:pStyle w:val="BodyText"/>
        <w:spacing w:before="5"/>
        <w:rPr>
          <w:sz w:val="27"/>
        </w:rPr>
      </w:pPr>
      <w:r>
        <w:rPr/>
        <w:pict>
          <v:line style="position:absolute;mso-position-horizontal-relative:page;mso-position-vertical-relative:paragraph;z-index:7280;mso-wrap-distance-left:0;mso-wrap-distance-right:0" from="70.823997pt,17.790014pt" to="214.843997pt,17.790014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557 </w:t>
      </w:r>
      <w:r>
        <w:rPr>
          <w:sz w:val="20"/>
        </w:rPr>
        <w:t>Jim Humble: MMS: Der Durchbruch ('The Breakthrough'), Mobiwell, 9th Edition 2010, p. 124</w:t>
      </w:r>
    </w:p>
    <w:p>
      <w:pPr>
        <w:spacing w:after="0"/>
        <w:jc w:val="left"/>
        <w:rPr>
          <w:sz w:val="20"/>
        </w:rPr>
        <w:sectPr>
          <w:pgSz w:w="14270" w:h="16850"/>
          <w:pgMar w:header="0" w:footer="1891" w:top="1340" w:bottom="2080" w:left="800" w:right="1280"/>
        </w:sectPr>
      </w:pPr>
    </w:p>
    <w:p>
      <w:pPr>
        <w:pStyle w:val="BodyText"/>
        <w:spacing w:before="74"/>
        <w:ind w:left="616"/>
      </w:pPr>
      <w:r>
        <w:rPr/>
        <w:t>with dimethyl sulphoxide (DMSO).</w:t>
      </w:r>
    </w:p>
    <w:p>
      <w:pPr>
        <w:pStyle w:val="Heading1"/>
        <w:spacing w:before="287"/>
        <w:ind w:left="616"/>
        <w:jc w:val="both"/>
      </w:pPr>
      <w:r>
        <w:rPr/>
        <w:t>Effect and use of Miracle Mineral Supplement for Lyme disease</w:t>
      </w:r>
    </w:p>
    <w:p>
      <w:pPr>
        <w:pStyle w:val="BodyText"/>
        <w:spacing w:line="276" w:lineRule="auto" w:before="297"/>
        <w:ind w:left="616" w:right="139"/>
        <w:jc w:val="both"/>
      </w:pPr>
      <w:r>
        <w:rPr/>
        <w:t>According to Jim Humble, Lyme disease can be controlled with MMS. Here, MMS has an immunostimulating effect; the best results are achieved in con- junction with citric acid.</w:t>
      </w:r>
    </w:p>
    <w:p>
      <w:pPr>
        <w:pStyle w:val="BodyText"/>
        <w:spacing w:line="276" w:lineRule="auto" w:before="241"/>
        <w:ind w:left="616" w:right="132"/>
        <w:jc w:val="both"/>
      </w:pPr>
      <w:r>
        <w:rPr>
          <w:b/>
        </w:rPr>
        <w:t>Application:</w:t>
      </w:r>
      <w:r>
        <w:rPr>
          <w:b/>
          <w:spacing w:val="-11"/>
        </w:rPr>
        <w:t> </w:t>
      </w:r>
      <w:r>
        <w:rPr/>
        <w:t>Jim</w:t>
      </w:r>
      <w:r>
        <w:rPr>
          <w:spacing w:val="-11"/>
        </w:rPr>
        <w:t> </w:t>
      </w:r>
      <w:r>
        <w:rPr/>
        <w:t>Humble</w:t>
      </w:r>
      <w:r>
        <w:rPr>
          <w:spacing w:val="-11"/>
        </w:rPr>
        <w:t> </w:t>
      </w:r>
      <w:r>
        <w:rPr/>
        <w:t>recommends</w:t>
      </w:r>
      <w:r>
        <w:rPr>
          <w:spacing w:val="-11"/>
        </w:rPr>
        <w:t> </w:t>
      </w:r>
      <w:r>
        <w:rPr/>
        <w:t>an</w:t>
      </w:r>
      <w:r>
        <w:rPr>
          <w:spacing w:val="-10"/>
        </w:rPr>
        <w:t> </w:t>
      </w:r>
      <w:r>
        <w:rPr/>
        <w:t>initial</w:t>
      </w:r>
      <w:r>
        <w:rPr>
          <w:spacing w:val="-13"/>
        </w:rPr>
        <w:t> </w:t>
      </w:r>
      <w:r>
        <w:rPr/>
        <w:t>dose</w:t>
      </w:r>
      <w:r>
        <w:rPr>
          <w:spacing w:val="-10"/>
        </w:rPr>
        <w:t> </w:t>
      </w:r>
      <w:r>
        <w:rPr/>
        <w:t>of</w:t>
      </w:r>
      <w:r>
        <w:rPr>
          <w:spacing w:val="-11"/>
        </w:rPr>
        <w:t> </w:t>
      </w:r>
      <w:r>
        <w:rPr/>
        <w:t>9-10</w:t>
      </w:r>
      <w:r>
        <w:rPr>
          <w:spacing w:val="-11"/>
        </w:rPr>
        <w:t> </w:t>
      </w:r>
      <w:r>
        <w:rPr/>
        <w:t>drops.</w:t>
      </w:r>
      <w:r>
        <w:rPr>
          <w:spacing w:val="-11"/>
        </w:rPr>
        <w:t> </w:t>
      </w:r>
      <w:r>
        <w:rPr/>
        <w:t>The</w:t>
      </w:r>
      <w:r>
        <w:rPr>
          <w:spacing w:val="-10"/>
        </w:rPr>
        <w:t> </w:t>
      </w:r>
      <w:r>
        <w:rPr/>
        <w:t>sec- ond dose should be 12 drops. Humble recommends up to 5 doses daily for healing.</w:t>
      </w:r>
    </w:p>
    <w:p>
      <w:pPr>
        <w:pStyle w:val="Heading1"/>
        <w:spacing w:before="225"/>
        <w:ind w:left="616"/>
      </w:pPr>
      <w:r>
        <w:rPr/>
        <w:t>Effect and use of MMS for</w:t>
      </w:r>
      <w:r>
        <w:rPr>
          <w:spacing w:val="-60"/>
        </w:rPr>
        <w:t> </w:t>
      </w:r>
      <w:r>
        <w:rPr/>
        <w:t>HIV/AIDS</w:t>
      </w:r>
    </w:p>
    <w:p>
      <w:pPr>
        <w:pStyle w:val="BodyText"/>
        <w:spacing w:line="276" w:lineRule="auto" w:before="297"/>
        <w:ind w:left="616" w:right="133"/>
        <w:jc w:val="both"/>
      </w:pPr>
      <w:r>
        <w:rPr/>
        <w:t>As can be read in the section 'Mode of action of MMS', taking MMS</w:t>
      </w:r>
      <w:r>
        <w:rPr>
          <w:spacing w:val="-48"/>
        </w:rPr>
        <w:t> </w:t>
      </w:r>
      <w:r>
        <w:rPr/>
        <w:t>increases the activity of the white blood cells, which are responsible for the immune system, tenfold under the microscope. Jim Humble reports on 390 AIDS pa- tients treated with MMS in Africa. 60 % of these patients felt so strong after just three days that they wanted to go home to work. The remainder took be- tween</w:t>
      </w:r>
      <w:r>
        <w:rPr>
          <w:spacing w:val="-7"/>
        </w:rPr>
        <w:t> </w:t>
      </w:r>
      <w:r>
        <w:rPr/>
        <w:t>3</w:t>
      </w:r>
      <w:r>
        <w:rPr>
          <w:spacing w:val="-9"/>
        </w:rPr>
        <w:t> </w:t>
      </w:r>
      <w:r>
        <w:rPr/>
        <w:t>and</w:t>
      </w:r>
      <w:r>
        <w:rPr>
          <w:spacing w:val="-7"/>
        </w:rPr>
        <w:t> </w:t>
      </w:r>
      <w:r>
        <w:rPr/>
        <w:t>30</w:t>
      </w:r>
      <w:r>
        <w:rPr>
          <w:spacing w:val="-7"/>
        </w:rPr>
        <w:t> </w:t>
      </w:r>
      <w:r>
        <w:rPr/>
        <w:t>days</w:t>
      </w:r>
      <w:r>
        <w:rPr>
          <w:spacing w:val="-8"/>
        </w:rPr>
        <w:t> </w:t>
      </w:r>
      <w:r>
        <w:rPr/>
        <w:t>and</w:t>
      </w:r>
      <w:r>
        <w:rPr>
          <w:spacing w:val="-7"/>
        </w:rPr>
        <w:t> </w:t>
      </w:r>
      <w:r>
        <w:rPr/>
        <w:t>only</w:t>
      </w:r>
      <w:r>
        <w:rPr>
          <w:spacing w:val="-7"/>
        </w:rPr>
        <w:t> </w:t>
      </w:r>
      <w:r>
        <w:rPr>
          <w:i/>
        </w:rPr>
        <w:t>'2</w:t>
      </w:r>
      <w:r>
        <w:rPr>
          <w:i/>
          <w:spacing w:val="-9"/>
        </w:rPr>
        <w:t> </w:t>
      </w:r>
      <w:r>
        <w:rPr>
          <w:i/>
        </w:rPr>
        <w:t>did</w:t>
      </w:r>
      <w:r>
        <w:rPr>
          <w:i/>
          <w:spacing w:val="-10"/>
        </w:rPr>
        <w:t> </w:t>
      </w:r>
      <w:r>
        <w:rPr>
          <w:i/>
        </w:rPr>
        <w:t>not</w:t>
      </w:r>
      <w:r>
        <w:rPr>
          <w:i/>
          <w:spacing w:val="-8"/>
        </w:rPr>
        <w:t> </w:t>
      </w:r>
      <w:r>
        <w:rPr>
          <w:i/>
        </w:rPr>
        <w:t>return</w:t>
      </w:r>
      <w:r>
        <w:rPr>
          <w:i/>
          <w:spacing w:val="-8"/>
        </w:rPr>
        <w:t> </w:t>
      </w:r>
      <w:r>
        <w:rPr>
          <w:i/>
        </w:rPr>
        <w:t>home'</w:t>
      </w:r>
      <w:r>
        <w:rPr/>
        <w:t>.</w:t>
      </w:r>
      <w:r>
        <w:rPr>
          <w:spacing w:val="-7"/>
        </w:rPr>
        <w:t> </w:t>
      </w:r>
      <w:r>
        <w:rPr/>
        <w:t>Due</w:t>
      </w:r>
      <w:r>
        <w:rPr>
          <w:spacing w:val="-8"/>
        </w:rPr>
        <w:t> </w:t>
      </w:r>
      <w:r>
        <w:rPr/>
        <w:t>to</w:t>
      </w:r>
      <w:r>
        <w:rPr>
          <w:spacing w:val="-8"/>
        </w:rPr>
        <w:t> </w:t>
      </w:r>
      <w:r>
        <w:rPr/>
        <w:t>a</w:t>
      </w:r>
      <w:r>
        <w:rPr>
          <w:spacing w:val="-9"/>
        </w:rPr>
        <w:t> </w:t>
      </w:r>
      <w:r>
        <w:rPr/>
        <w:t>lack</w:t>
      </w:r>
      <w:r>
        <w:rPr>
          <w:spacing w:val="-9"/>
        </w:rPr>
        <w:t> </w:t>
      </w:r>
      <w:r>
        <w:rPr/>
        <w:t>of</w:t>
      </w:r>
      <w:r>
        <w:rPr>
          <w:spacing w:val="-8"/>
        </w:rPr>
        <w:t> </w:t>
      </w:r>
      <w:r>
        <w:rPr/>
        <w:t>money,</w:t>
      </w:r>
      <w:r>
        <w:rPr>
          <w:spacing w:val="-8"/>
        </w:rPr>
        <w:t> </w:t>
      </w:r>
      <w:r>
        <w:rPr/>
        <w:t>no blood tests were conducted on these people, but Humble visited them a few months later, and they were still fine. Jim Humble also reports on AIDS pa- tients</w:t>
      </w:r>
      <w:r>
        <w:rPr>
          <w:spacing w:val="-11"/>
        </w:rPr>
        <w:t> </w:t>
      </w:r>
      <w:r>
        <w:rPr/>
        <w:t>in</w:t>
      </w:r>
      <w:r>
        <w:rPr>
          <w:spacing w:val="-12"/>
        </w:rPr>
        <w:t> </w:t>
      </w:r>
      <w:r>
        <w:rPr/>
        <w:t>the</w:t>
      </w:r>
      <w:r>
        <w:rPr>
          <w:spacing w:val="-10"/>
        </w:rPr>
        <w:t> </w:t>
      </w:r>
      <w:r>
        <w:rPr/>
        <w:t>US</w:t>
      </w:r>
      <w:r>
        <w:rPr>
          <w:spacing w:val="-11"/>
        </w:rPr>
        <w:t> </w:t>
      </w:r>
      <w:r>
        <w:rPr/>
        <w:t>who</w:t>
      </w:r>
      <w:r>
        <w:rPr>
          <w:spacing w:val="-10"/>
        </w:rPr>
        <w:t> </w:t>
      </w:r>
      <w:r>
        <w:rPr/>
        <w:t>have</w:t>
      </w:r>
      <w:r>
        <w:rPr>
          <w:spacing w:val="-11"/>
        </w:rPr>
        <w:t> </w:t>
      </w:r>
      <w:r>
        <w:rPr/>
        <w:t>been</w:t>
      </w:r>
      <w:r>
        <w:rPr>
          <w:spacing w:val="-10"/>
        </w:rPr>
        <w:t> </w:t>
      </w:r>
      <w:r>
        <w:rPr/>
        <w:t>given</w:t>
      </w:r>
      <w:r>
        <w:rPr>
          <w:spacing w:val="-11"/>
        </w:rPr>
        <w:t> </w:t>
      </w:r>
      <w:r>
        <w:rPr/>
        <w:t>MMS</w:t>
      </w:r>
      <w:r>
        <w:rPr>
          <w:spacing w:val="-11"/>
        </w:rPr>
        <w:t> </w:t>
      </w:r>
      <w:r>
        <w:rPr/>
        <w:t>intravenously</w:t>
      </w:r>
      <w:r>
        <w:rPr>
          <w:spacing w:val="-11"/>
        </w:rPr>
        <w:t> </w:t>
      </w:r>
      <w:r>
        <w:rPr/>
        <w:t>and</w:t>
      </w:r>
      <w:r>
        <w:rPr>
          <w:spacing w:val="-11"/>
        </w:rPr>
        <w:t> </w:t>
      </w:r>
      <w:r>
        <w:rPr/>
        <w:t>have</w:t>
      </w:r>
      <w:r>
        <w:rPr>
          <w:spacing w:val="-11"/>
        </w:rPr>
        <w:t> </w:t>
      </w:r>
      <w:r>
        <w:rPr/>
        <w:t>undergone blood tests. Some of them later responded with the encouraging news that another blood test would not have confirmed the presence of the AIDS</w:t>
      </w:r>
      <w:r>
        <w:rPr>
          <w:spacing w:val="-62"/>
        </w:rPr>
        <w:t> </w:t>
      </w:r>
      <w:r>
        <w:rPr/>
        <w:t>virus.</w:t>
      </w:r>
    </w:p>
    <w:p>
      <w:pPr>
        <w:spacing w:after="0" w:line="276" w:lineRule="auto"/>
        <w:jc w:val="both"/>
        <w:sectPr>
          <w:pgSz w:w="14270" w:h="16850"/>
          <w:pgMar w:header="0" w:footer="1891" w:top="1340" w:bottom="2080" w:left="800" w:right="1280"/>
        </w:sectPr>
      </w:pPr>
    </w:p>
    <w:p>
      <w:pPr>
        <w:pStyle w:val="BodyText"/>
        <w:spacing w:line="276" w:lineRule="auto" w:before="74"/>
        <w:ind w:left="616" w:right="137"/>
        <w:jc w:val="both"/>
      </w:pPr>
      <w:r>
        <w:rPr>
          <w:b/>
        </w:rPr>
        <w:t>Application: </w:t>
      </w:r>
      <w:r>
        <w:rPr/>
        <w:t>Gradually and slowly increase the dose, as described in the ap- plication</w:t>
      </w:r>
      <w:r>
        <w:rPr>
          <w:spacing w:val="-24"/>
        </w:rPr>
        <w:t> </w:t>
      </w:r>
      <w:r>
        <w:rPr/>
        <w:t>tips</w:t>
      </w:r>
      <w:r>
        <w:rPr>
          <w:spacing w:val="-22"/>
        </w:rPr>
        <w:t> </w:t>
      </w:r>
      <w:r>
        <w:rPr/>
        <w:t>of</w:t>
      </w:r>
      <w:r>
        <w:rPr>
          <w:spacing w:val="-23"/>
        </w:rPr>
        <w:t> </w:t>
      </w:r>
      <w:r>
        <w:rPr/>
        <w:t>Dr.</w:t>
      </w:r>
      <w:r>
        <w:rPr>
          <w:spacing w:val="-22"/>
        </w:rPr>
        <w:t> </w:t>
      </w:r>
      <w:r>
        <w:rPr/>
        <w:t>Douwes</w:t>
      </w:r>
      <w:r>
        <w:rPr>
          <w:spacing w:val="-23"/>
        </w:rPr>
        <w:t> </w:t>
      </w:r>
      <w:r>
        <w:rPr/>
        <w:t>(see</w:t>
      </w:r>
      <w:r>
        <w:rPr>
          <w:spacing w:val="-22"/>
        </w:rPr>
        <w:t> </w:t>
      </w:r>
      <w:r>
        <w:rPr/>
        <w:t>above).</w:t>
      </w:r>
      <w:r>
        <w:rPr>
          <w:spacing w:val="-22"/>
        </w:rPr>
        <w:t> </w:t>
      </w:r>
      <w:r>
        <w:rPr/>
        <w:t>The</w:t>
      </w:r>
      <w:r>
        <w:rPr>
          <w:spacing w:val="-23"/>
        </w:rPr>
        <w:t> </w:t>
      </w:r>
      <w:r>
        <w:rPr/>
        <w:t>goal</w:t>
      </w:r>
      <w:r>
        <w:rPr>
          <w:spacing w:val="-24"/>
        </w:rPr>
        <w:t> </w:t>
      </w:r>
      <w:r>
        <w:rPr/>
        <w:t>should</w:t>
      </w:r>
      <w:r>
        <w:rPr>
          <w:spacing w:val="-24"/>
        </w:rPr>
        <w:t> </w:t>
      </w:r>
      <w:r>
        <w:rPr/>
        <w:t>be</w:t>
      </w:r>
      <w:r>
        <w:rPr>
          <w:spacing w:val="-24"/>
        </w:rPr>
        <w:t> </w:t>
      </w:r>
      <w:r>
        <w:rPr/>
        <w:t>to</w:t>
      </w:r>
      <w:r>
        <w:rPr>
          <w:spacing w:val="-22"/>
        </w:rPr>
        <w:t> </w:t>
      </w:r>
      <w:r>
        <w:rPr/>
        <w:t>drink</w:t>
      </w:r>
      <w:r>
        <w:rPr>
          <w:spacing w:val="-24"/>
        </w:rPr>
        <w:t> </w:t>
      </w:r>
      <w:r>
        <w:rPr/>
        <w:t>an</w:t>
      </w:r>
      <w:r>
        <w:rPr>
          <w:spacing w:val="-23"/>
        </w:rPr>
        <w:t> </w:t>
      </w:r>
      <w:r>
        <w:rPr/>
        <w:t>hourly dose of 3 activated MMS drops with water or juice. Here, too, it is necessary to lower the dose initially in the event of nausea or vomiting, but not to break off the treatment</w:t>
      </w:r>
      <w:r>
        <w:rPr>
          <w:spacing w:val="2"/>
        </w:rPr>
        <w:t> </w:t>
      </w:r>
      <w:r>
        <w:rPr/>
        <w:t>altogether.</w:t>
      </w:r>
    </w:p>
    <w:p>
      <w:pPr>
        <w:pStyle w:val="Heading1"/>
        <w:spacing w:before="222"/>
        <w:ind w:left="616"/>
      </w:pPr>
      <w:r>
        <w:rPr/>
        <w:t>Effect of MMS on diabetes</w:t>
      </w:r>
    </w:p>
    <w:p>
      <w:pPr>
        <w:pStyle w:val="BodyText"/>
        <w:spacing w:line="276" w:lineRule="auto" w:before="300"/>
        <w:ind w:left="616" w:right="134"/>
        <w:jc w:val="both"/>
      </w:pPr>
      <w:r>
        <w:rPr/>
        <w:t>As with various forms of cancer (as a secondary factor!) and various forms of heart attack, many researchers believe that certain viruses are behind diabetes. The virus, which is occasionally blamed for diabetes, is called Coxsackie B vi- rus.</w:t>
      </w:r>
      <w:r>
        <w:rPr>
          <w:spacing w:val="-18"/>
        </w:rPr>
        <w:t> </w:t>
      </w:r>
      <w:r>
        <w:rPr/>
        <w:t>According</w:t>
      </w:r>
      <w:r>
        <w:rPr>
          <w:spacing w:val="-17"/>
        </w:rPr>
        <w:t> </w:t>
      </w:r>
      <w:r>
        <w:rPr/>
        <w:t>to</w:t>
      </w:r>
      <w:r>
        <w:rPr>
          <w:spacing w:val="-17"/>
        </w:rPr>
        <w:t> </w:t>
      </w:r>
      <w:r>
        <w:rPr/>
        <w:t>virus</w:t>
      </w:r>
      <w:r>
        <w:rPr>
          <w:spacing w:val="-18"/>
        </w:rPr>
        <w:t> </w:t>
      </w:r>
      <w:r>
        <w:rPr/>
        <w:t>theory,</w:t>
      </w:r>
      <w:r>
        <w:rPr>
          <w:spacing w:val="-19"/>
        </w:rPr>
        <w:t> </w:t>
      </w:r>
      <w:r>
        <w:rPr/>
        <w:t>this</w:t>
      </w:r>
      <w:r>
        <w:rPr>
          <w:spacing w:val="-17"/>
        </w:rPr>
        <w:t> </w:t>
      </w:r>
      <w:r>
        <w:rPr/>
        <w:t>attacks</w:t>
      </w:r>
      <w:r>
        <w:rPr>
          <w:spacing w:val="-17"/>
        </w:rPr>
        <w:t> </w:t>
      </w:r>
      <w:r>
        <w:rPr/>
        <w:t>the</w:t>
      </w:r>
      <w:r>
        <w:rPr>
          <w:spacing w:val="-16"/>
        </w:rPr>
        <w:t> </w:t>
      </w:r>
      <w:r>
        <w:rPr/>
        <w:t>pancreas</w:t>
      </w:r>
      <w:r>
        <w:rPr>
          <w:spacing w:val="-17"/>
        </w:rPr>
        <w:t> </w:t>
      </w:r>
      <w:r>
        <w:rPr/>
        <w:t>and</w:t>
      </w:r>
      <w:r>
        <w:rPr>
          <w:spacing w:val="-17"/>
        </w:rPr>
        <w:t> </w:t>
      </w:r>
      <w:r>
        <w:rPr/>
        <w:t>causes</w:t>
      </w:r>
      <w:r>
        <w:rPr>
          <w:spacing w:val="-17"/>
        </w:rPr>
        <w:t> </w:t>
      </w:r>
      <w:r>
        <w:rPr/>
        <w:t>pancreatitis with resulting</w:t>
      </w:r>
      <w:r>
        <w:rPr>
          <w:spacing w:val="1"/>
        </w:rPr>
        <w:t> </w:t>
      </w:r>
      <w:r>
        <w:rPr/>
        <w:t>diabetes.</w:t>
      </w:r>
    </w:p>
    <w:p>
      <w:pPr>
        <w:pStyle w:val="Heading1"/>
        <w:spacing w:before="223"/>
        <w:ind w:left="616"/>
      </w:pPr>
      <w:r>
        <w:rPr/>
        <w:t>Effect of MMS on arthritis</w:t>
      </w:r>
    </w:p>
    <w:p>
      <w:pPr>
        <w:pStyle w:val="BodyText"/>
        <w:spacing w:line="276" w:lineRule="auto" w:before="299"/>
        <w:ind w:left="616" w:right="136"/>
        <w:jc w:val="both"/>
      </w:pPr>
      <w:r>
        <w:rPr/>
        <w:t>Apart</w:t>
      </w:r>
      <w:r>
        <w:rPr>
          <w:spacing w:val="-11"/>
        </w:rPr>
        <w:t> </w:t>
      </w:r>
      <w:r>
        <w:rPr/>
        <w:t>from</w:t>
      </w:r>
      <w:r>
        <w:rPr>
          <w:spacing w:val="-9"/>
        </w:rPr>
        <w:t> </w:t>
      </w:r>
      <w:r>
        <w:rPr/>
        <w:t>metabolic</w:t>
      </w:r>
      <w:r>
        <w:rPr>
          <w:spacing w:val="-10"/>
        </w:rPr>
        <w:t> </w:t>
      </w:r>
      <w:r>
        <w:rPr/>
        <w:t>arthritis,</w:t>
      </w:r>
      <w:r>
        <w:rPr>
          <w:spacing w:val="-8"/>
        </w:rPr>
        <w:t> </w:t>
      </w:r>
      <w:r>
        <w:rPr/>
        <w:t>there</w:t>
      </w:r>
      <w:r>
        <w:rPr>
          <w:spacing w:val="-10"/>
        </w:rPr>
        <w:t> </w:t>
      </w:r>
      <w:r>
        <w:rPr/>
        <w:t>are</w:t>
      </w:r>
      <w:r>
        <w:rPr>
          <w:spacing w:val="-11"/>
        </w:rPr>
        <w:t> </w:t>
      </w:r>
      <w:r>
        <w:rPr/>
        <w:t>several</w:t>
      </w:r>
      <w:r>
        <w:rPr>
          <w:spacing w:val="-13"/>
        </w:rPr>
        <w:t> </w:t>
      </w:r>
      <w:r>
        <w:rPr/>
        <w:t>other</w:t>
      </w:r>
      <w:r>
        <w:rPr>
          <w:spacing w:val="-9"/>
        </w:rPr>
        <w:t> </w:t>
      </w:r>
      <w:r>
        <w:rPr/>
        <w:t>types</w:t>
      </w:r>
      <w:r>
        <w:rPr>
          <w:spacing w:val="-9"/>
        </w:rPr>
        <w:t> </w:t>
      </w:r>
      <w:r>
        <w:rPr/>
        <w:t>of</w:t>
      </w:r>
      <w:r>
        <w:rPr>
          <w:spacing w:val="-12"/>
        </w:rPr>
        <w:t> </w:t>
      </w:r>
      <w:r>
        <w:rPr/>
        <w:t>it,</w:t>
      </w:r>
      <w:r>
        <w:rPr>
          <w:spacing w:val="-12"/>
        </w:rPr>
        <w:t> </w:t>
      </w:r>
      <w:r>
        <w:rPr/>
        <w:t>including</w:t>
      </w:r>
      <w:r>
        <w:rPr>
          <w:spacing w:val="-9"/>
        </w:rPr>
        <w:t> </w:t>
      </w:r>
      <w:r>
        <w:rPr/>
        <w:t>the bacterial-inflammatory form. Here, the bacteria migrate into the joint as a re- sult of accidents or medical interventions and can lead to the destruction of the articular cartilage within a few hours or days. Worse still, they can spread to the rest of the body and, in extreme cases, even lead to kidney failure and death. In 50 % of all cases, it is a Staphylococcus aureus infestation, Staphylo- coccus epidermidis in 25 % of all cases and Streptococci in 15 % of all</w:t>
      </w:r>
      <w:r>
        <w:rPr>
          <w:spacing w:val="-27"/>
        </w:rPr>
        <w:t> </w:t>
      </w:r>
      <w:r>
        <w:rPr/>
        <w:t>cases.</w:t>
      </w:r>
    </w:p>
    <w:p>
      <w:pPr>
        <w:pStyle w:val="BodyText"/>
        <w:spacing w:line="276" w:lineRule="auto" w:before="241"/>
        <w:ind w:left="616" w:right="134"/>
        <w:jc w:val="both"/>
      </w:pPr>
      <w:r>
        <w:rPr/>
        <w:t>Another form of arthritis is fungus-related arthritis, which is usually triggered by the fungus species 'Candida krusei' and 'Candida parapsilosis'.</w:t>
      </w:r>
    </w:p>
    <w:p>
      <w:pPr>
        <w:spacing w:after="0" w:line="276" w:lineRule="auto"/>
        <w:jc w:val="both"/>
        <w:sectPr>
          <w:pgSz w:w="14270" w:h="16850"/>
          <w:pgMar w:header="0" w:footer="1891" w:top="1340" w:bottom="2080" w:left="800" w:right="1280"/>
        </w:sectPr>
      </w:pPr>
    </w:p>
    <w:p>
      <w:pPr>
        <w:pStyle w:val="BodyText"/>
        <w:spacing w:line="276" w:lineRule="auto" w:before="74"/>
        <w:ind w:left="616" w:right="136"/>
        <w:jc w:val="both"/>
      </w:pPr>
      <w:r>
        <w:rPr/>
        <w:t>So-called post-infectious arthritis is caused by pathogens that are often not present</w:t>
      </w:r>
      <w:r>
        <w:rPr>
          <w:spacing w:val="-11"/>
        </w:rPr>
        <w:t> </w:t>
      </w:r>
      <w:r>
        <w:rPr/>
        <w:t>at</w:t>
      </w:r>
      <w:r>
        <w:rPr>
          <w:spacing w:val="-12"/>
        </w:rPr>
        <w:t> </w:t>
      </w:r>
      <w:r>
        <w:rPr/>
        <w:t>the</w:t>
      </w:r>
      <w:r>
        <w:rPr>
          <w:spacing w:val="-11"/>
        </w:rPr>
        <w:t> </w:t>
      </w:r>
      <w:r>
        <w:rPr/>
        <w:t>location,</w:t>
      </w:r>
      <w:r>
        <w:rPr>
          <w:spacing w:val="-10"/>
        </w:rPr>
        <w:t> </w:t>
      </w:r>
      <w:r>
        <w:rPr/>
        <w:t>so</w:t>
      </w:r>
      <w:r>
        <w:rPr>
          <w:spacing w:val="-13"/>
        </w:rPr>
        <w:t> </w:t>
      </w:r>
      <w:r>
        <w:rPr/>
        <w:t>not</w:t>
      </w:r>
      <w:r>
        <w:rPr>
          <w:spacing w:val="-11"/>
        </w:rPr>
        <w:t> </w:t>
      </w:r>
      <w:r>
        <w:rPr/>
        <w:t>directly</w:t>
      </w:r>
      <w:r>
        <w:rPr>
          <w:spacing w:val="-12"/>
        </w:rPr>
        <w:t> </w:t>
      </w:r>
      <w:r>
        <w:rPr/>
        <w:t>in</w:t>
      </w:r>
      <w:r>
        <w:rPr>
          <w:spacing w:val="-11"/>
        </w:rPr>
        <w:t> </w:t>
      </w:r>
      <w:r>
        <w:rPr/>
        <w:t>the</w:t>
      </w:r>
      <w:r>
        <w:rPr>
          <w:spacing w:val="-12"/>
        </w:rPr>
        <w:t> </w:t>
      </w:r>
      <w:r>
        <w:rPr/>
        <w:t>joint,</w:t>
      </w:r>
      <w:r>
        <w:rPr>
          <w:spacing w:val="-11"/>
        </w:rPr>
        <w:t> </w:t>
      </w:r>
      <w:r>
        <w:rPr/>
        <w:t>but</w:t>
      </w:r>
      <w:r>
        <w:rPr>
          <w:spacing w:val="-12"/>
        </w:rPr>
        <w:t> </w:t>
      </w:r>
      <w:r>
        <w:rPr/>
        <w:t>still</w:t>
      </w:r>
      <w:r>
        <w:rPr>
          <w:spacing w:val="-12"/>
        </w:rPr>
        <w:t> </w:t>
      </w:r>
      <w:r>
        <w:rPr/>
        <w:t>lead</w:t>
      </w:r>
      <w:r>
        <w:rPr>
          <w:spacing w:val="-12"/>
        </w:rPr>
        <w:t> </w:t>
      </w:r>
      <w:r>
        <w:rPr/>
        <w:t>to</w:t>
      </w:r>
      <w:r>
        <w:rPr>
          <w:spacing w:val="-13"/>
        </w:rPr>
        <w:t> </w:t>
      </w:r>
      <w:r>
        <w:rPr/>
        <w:t>the</w:t>
      </w:r>
      <w:r>
        <w:rPr>
          <w:spacing w:val="-11"/>
        </w:rPr>
        <w:t> </w:t>
      </w:r>
      <w:r>
        <w:rPr/>
        <w:t>malfunc- tion of the immune system and to arthritis, for example, due to Lyme disease bacteria. Since, like no other substance, MMS destroys all viruses, bacteria, fungi</w:t>
      </w:r>
      <w:r>
        <w:rPr>
          <w:spacing w:val="-8"/>
        </w:rPr>
        <w:t> </w:t>
      </w:r>
      <w:r>
        <w:rPr/>
        <w:t>and</w:t>
      </w:r>
      <w:r>
        <w:rPr>
          <w:spacing w:val="-6"/>
        </w:rPr>
        <w:t> </w:t>
      </w:r>
      <w:r>
        <w:rPr/>
        <w:t>parasites</w:t>
      </w:r>
      <w:r>
        <w:rPr>
          <w:spacing w:val="-6"/>
        </w:rPr>
        <w:t> </w:t>
      </w:r>
      <w:r>
        <w:rPr/>
        <w:t>in</w:t>
      </w:r>
      <w:r>
        <w:rPr>
          <w:spacing w:val="-6"/>
        </w:rPr>
        <w:t> </w:t>
      </w:r>
      <w:r>
        <w:rPr/>
        <w:t>no</w:t>
      </w:r>
      <w:r>
        <w:rPr>
          <w:spacing w:val="-6"/>
        </w:rPr>
        <w:t> </w:t>
      </w:r>
      <w:r>
        <w:rPr/>
        <w:t>time,</w:t>
      </w:r>
      <w:r>
        <w:rPr>
          <w:spacing w:val="-5"/>
        </w:rPr>
        <w:t> </w:t>
      </w:r>
      <w:r>
        <w:rPr/>
        <w:t>these</w:t>
      </w:r>
      <w:r>
        <w:rPr>
          <w:spacing w:val="-6"/>
        </w:rPr>
        <w:t> </w:t>
      </w:r>
      <w:r>
        <w:rPr/>
        <w:t>forms</w:t>
      </w:r>
      <w:r>
        <w:rPr>
          <w:spacing w:val="-5"/>
        </w:rPr>
        <w:t> </w:t>
      </w:r>
      <w:r>
        <w:rPr/>
        <w:t>of</w:t>
      </w:r>
      <w:r>
        <w:rPr>
          <w:spacing w:val="-7"/>
        </w:rPr>
        <w:t> </w:t>
      </w:r>
      <w:r>
        <w:rPr/>
        <w:t>arthritis</w:t>
      </w:r>
      <w:r>
        <w:rPr>
          <w:spacing w:val="-5"/>
        </w:rPr>
        <w:t> </w:t>
      </w:r>
      <w:r>
        <w:rPr/>
        <w:t>can</w:t>
      </w:r>
      <w:r>
        <w:rPr>
          <w:spacing w:val="-5"/>
        </w:rPr>
        <w:t> </w:t>
      </w:r>
      <w:r>
        <w:rPr/>
        <w:t>be</w:t>
      </w:r>
      <w:r>
        <w:rPr>
          <w:spacing w:val="-6"/>
        </w:rPr>
        <w:t> </w:t>
      </w:r>
      <w:r>
        <w:rPr/>
        <w:t>controlled</w:t>
      </w:r>
      <w:r>
        <w:rPr>
          <w:spacing w:val="-7"/>
        </w:rPr>
        <w:t> </w:t>
      </w:r>
      <w:r>
        <w:rPr/>
        <w:t>in</w:t>
      </w:r>
      <w:r>
        <w:rPr>
          <w:spacing w:val="-7"/>
        </w:rPr>
        <w:t> </w:t>
      </w:r>
      <w:r>
        <w:rPr/>
        <w:t>the long term.</w:t>
      </w:r>
    </w:p>
    <w:p>
      <w:pPr>
        <w:spacing w:before="240"/>
        <w:ind w:left="616" w:right="0" w:firstLine="0"/>
        <w:jc w:val="left"/>
        <w:rPr>
          <w:sz w:val="38"/>
        </w:rPr>
      </w:pPr>
      <w:r>
        <w:rPr>
          <w:b/>
          <w:sz w:val="38"/>
        </w:rPr>
        <w:t>Application: </w:t>
      </w:r>
      <w:r>
        <w:rPr>
          <w:sz w:val="38"/>
        </w:rPr>
        <w:t>See Jim Humble's standard intake protocol above!</w:t>
      </w:r>
    </w:p>
    <w:p>
      <w:pPr>
        <w:pStyle w:val="Heading1"/>
        <w:spacing w:before="288"/>
        <w:ind w:left="616"/>
      </w:pPr>
      <w:r>
        <w:rPr/>
        <w:t>Effect and use for asthma</w:t>
      </w:r>
    </w:p>
    <w:p>
      <w:pPr>
        <w:pStyle w:val="BodyText"/>
        <w:spacing w:line="276" w:lineRule="auto" w:before="299"/>
        <w:ind w:left="616" w:right="136"/>
        <w:jc w:val="both"/>
      </w:pPr>
      <w:r>
        <w:rPr/>
        <w:t>According</w:t>
      </w:r>
      <w:r>
        <w:rPr>
          <w:spacing w:val="-18"/>
        </w:rPr>
        <w:t> </w:t>
      </w:r>
      <w:r>
        <w:rPr/>
        <w:t>to</w:t>
      </w:r>
      <w:r>
        <w:rPr>
          <w:spacing w:val="-17"/>
        </w:rPr>
        <w:t> </w:t>
      </w:r>
      <w:r>
        <w:rPr/>
        <w:t>Humble,</w:t>
      </w:r>
      <w:r>
        <w:rPr>
          <w:spacing w:val="-17"/>
        </w:rPr>
        <w:t> </w:t>
      </w:r>
      <w:r>
        <w:rPr/>
        <w:t>MMS</w:t>
      </w:r>
      <w:r>
        <w:rPr>
          <w:spacing w:val="-17"/>
        </w:rPr>
        <w:t> </w:t>
      </w:r>
      <w:r>
        <w:rPr/>
        <w:t>can</w:t>
      </w:r>
      <w:r>
        <w:rPr>
          <w:spacing w:val="-16"/>
        </w:rPr>
        <w:t> </w:t>
      </w:r>
      <w:r>
        <w:rPr/>
        <w:t>permanently</w:t>
      </w:r>
      <w:r>
        <w:rPr>
          <w:spacing w:val="-18"/>
        </w:rPr>
        <w:t> </w:t>
      </w:r>
      <w:r>
        <w:rPr/>
        <w:t>cure</w:t>
      </w:r>
      <w:r>
        <w:rPr>
          <w:spacing w:val="-17"/>
        </w:rPr>
        <w:t> </w:t>
      </w:r>
      <w:r>
        <w:rPr/>
        <w:t>asthma,</w:t>
      </w:r>
      <w:r>
        <w:rPr>
          <w:spacing w:val="-17"/>
        </w:rPr>
        <w:t> </w:t>
      </w:r>
      <w:r>
        <w:rPr/>
        <w:t>though</w:t>
      </w:r>
      <w:r>
        <w:rPr>
          <w:spacing w:val="-17"/>
        </w:rPr>
        <w:t> </w:t>
      </w:r>
      <w:r>
        <w:rPr/>
        <w:t>not</w:t>
      </w:r>
      <w:r>
        <w:rPr>
          <w:spacing w:val="-19"/>
        </w:rPr>
        <w:t> </w:t>
      </w:r>
      <w:r>
        <w:rPr/>
        <w:t>always. An asthma attack, on the other hand, can be stopped within 10 minutes with MMS.</w:t>
      </w:r>
    </w:p>
    <w:p>
      <w:pPr>
        <w:pStyle w:val="BodyText"/>
        <w:spacing w:line="278" w:lineRule="auto" w:before="239"/>
        <w:ind w:left="616" w:right="141"/>
        <w:jc w:val="both"/>
      </w:pPr>
      <w:r>
        <w:rPr>
          <w:b/>
        </w:rPr>
        <w:t>Application: </w:t>
      </w:r>
      <w:r>
        <w:rPr/>
        <w:t>Start with 2 x 2 drops after meals and gradually increase to 2 x 15 drops.</w:t>
      </w:r>
    </w:p>
    <w:p>
      <w:pPr>
        <w:pStyle w:val="Heading1"/>
        <w:spacing w:before="215"/>
        <w:ind w:left="616"/>
      </w:pPr>
      <w:r>
        <w:rPr/>
        <w:t>Effect and use of MMS for</w:t>
      </w:r>
      <w:r>
        <w:rPr>
          <w:spacing w:val="-53"/>
        </w:rPr>
        <w:t> </w:t>
      </w:r>
      <w:r>
        <w:rPr/>
        <w:t>cancer</w:t>
      </w:r>
    </w:p>
    <w:p>
      <w:pPr>
        <w:pStyle w:val="BodyText"/>
        <w:spacing w:line="276" w:lineRule="auto" w:before="299"/>
        <w:ind w:left="616" w:right="132"/>
        <w:jc w:val="both"/>
      </w:pPr>
      <w:r>
        <w:rPr/>
        <w:t>The</w:t>
      </w:r>
      <w:r>
        <w:rPr>
          <w:spacing w:val="-6"/>
        </w:rPr>
        <w:t> </w:t>
      </w:r>
      <w:r>
        <w:rPr/>
        <w:t>immune-enhancing</w:t>
      </w:r>
      <w:r>
        <w:rPr>
          <w:spacing w:val="-6"/>
        </w:rPr>
        <w:t> </w:t>
      </w:r>
      <w:r>
        <w:rPr/>
        <w:t>effects</w:t>
      </w:r>
      <w:r>
        <w:rPr>
          <w:spacing w:val="-7"/>
        </w:rPr>
        <w:t> </w:t>
      </w:r>
      <w:r>
        <w:rPr/>
        <w:t>of</w:t>
      </w:r>
      <w:r>
        <w:rPr>
          <w:spacing w:val="-6"/>
        </w:rPr>
        <w:t> </w:t>
      </w:r>
      <w:r>
        <w:rPr/>
        <w:t>MMS</w:t>
      </w:r>
      <w:r>
        <w:rPr>
          <w:spacing w:val="-6"/>
        </w:rPr>
        <w:t> </w:t>
      </w:r>
      <w:r>
        <w:rPr/>
        <w:t>even</w:t>
      </w:r>
      <w:r>
        <w:rPr>
          <w:spacing w:val="-7"/>
        </w:rPr>
        <w:t> </w:t>
      </w:r>
      <w:r>
        <w:rPr/>
        <w:t>work</w:t>
      </w:r>
      <w:r>
        <w:rPr>
          <w:spacing w:val="-6"/>
        </w:rPr>
        <w:t> </w:t>
      </w:r>
      <w:r>
        <w:rPr/>
        <w:t>on</w:t>
      </w:r>
      <w:r>
        <w:rPr>
          <w:spacing w:val="-7"/>
        </w:rPr>
        <w:t> </w:t>
      </w:r>
      <w:r>
        <w:rPr/>
        <w:t>cancer,</w:t>
      </w:r>
      <w:r>
        <w:rPr>
          <w:spacing w:val="-9"/>
        </w:rPr>
        <w:t> </w:t>
      </w:r>
      <w:r>
        <w:rPr/>
        <w:t>and</w:t>
      </w:r>
      <w:r>
        <w:rPr>
          <w:spacing w:val="-6"/>
        </w:rPr>
        <w:t> </w:t>
      </w:r>
      <w:r>
        <w:rPr/>
        <w:t>it's</w:t>
      </w:r>
      <w:r>
        <w:rPr>
          <w:spacing w:val="-7"/>
        </w:rPr>
        <w:t> </w:t>
      </w:r>
      <w:r>
        <w:rPr/>
        <w:t>not</w:t>
      </w:r>
      <w:r>
        <w:rPr>
          <w:spacing w:val="-6"/>
        </w:rPr>
        <w:t> </w:t>
      </w:r>
      <w:r>
        <w:rPr/>
        <w:t>just Jim Humble who believes Miracle Mineral Supplement is more effective than traditional therapies.</w:t>
      </w:r>
    </w:p>
    <w:p>
      <w:pPr>
        <w:pStyle w:val="Heading2"/>
        <w:spacing w:before="239"/>
        <w:ind w:left="616"/>
      </w:pPr>
      <w:r>
        <w:rPr/>
        <w:t>MMS cures pancreatic cancer</w:t>
      </w:r>
    </w:p>
    <w:p>
      <w:pPr>
        <w:pStyle w:val="BodyText"/>
        <w:spacing w:line="276" w:lineRule="auto" w:before="305"/>
        <w:ind w:left="616" w:right="133"/>
        <w:jc w:val="both"/>
      </w:pPr>
      <w:r>
        <w:rPr/>
        <w:t>Humble</w:t>
      </w:r>
      <w:r>
        <w:rPr>
          <w:spacing w:val="-17"/>
        </w:rPr>
        <w:t> </w:t>
      </w:r>
      <w:r>
        <w:rPr/>
        <w:t>describes</w:t>
      </w:r>
      <w:r>
        <w:rPr>
          <w:spacing w:val="-15"/>
        </w:rPr>
        <w:t> </w:t>
      </w:r>
      <w:r>
        <w:rPr/>
        <w:t>his</w:t>
      </w:r>
      <w:r>
        <w:rPr>
          <w:spacing w:val="-16"/>
        </w:rPr>
        <w:t> </w:t>
      </w:r>
      <w:r>
        <w:rPr/>
        <w:t>first</w:t>
      </w:r>
      <w:r>
        <w:rPr>
          <w:spacing w:val="-17"/>
        </w:rPr>
        <w:t> </w:t>
      </w:r>
      <w:r>
        <w:rPr/>
        <w:t>experiences</w:t>
      </w:r>
      <w:r>
        <w:rPr>
          <w:spacing w:val="-16"/>
        </w:rPr>
        <w:t> </w:t>
      </w:r>
      <w:r>
        <w:rPr/>
        <w:t>with</w:t>
      </w:r>
      <w:r>
        <w:rPr>
          <w:spacing w:val="-16"/>
        </w:rPr>
        <w:t> </w:t>
      </w:r>
      <w:r>
        <w:rPr/>
        <w:t>MMS</w:t>
      </w:r>
      <w:r>
        <w:rPr>
          <w:spacing w:val="-18"/>
        </w:rPr>
        <w:t> </w:t>
      </w:r>
      <w:r>
        <w:rPr/>
        <w:t>and</w:t>
      </w:r>
      <w:r>
        <w:rPr>
          <w:spacing w:val="-13"/>
        </w:rPr>
        <w:t> </w:t>
      </w:r>
      <w:r>
        <w:rPr/>
        <w:t>cancer</w:t>
      </w:r>
      <w:r>
        <w:rPr>
          <w:spacing w:val="-16"/>
        </w:rPr>
        <w:t> </w:t>
      </w:r>
      <w:r>
        <w:rPr/>
        <w:t>as</w:t>
      </w:r>
      <w:r>
        <w:rPr>
          <w:spacing w:val="-17"/>
        </w:rPr>
        <w:t> </w:t>
      </w:r>
      <w:r>
        <w:rPr/>
        <w:t>extremely</w:t>
      </w:r>
      <w:r>
        <w:rPr>
          <w:spacing w:val="-16"/>
        </w:rPr>
        <w:t> </w:t>
      </w:r>
      <w:r>
        <w:rPr/>
        <w:t>suc- cessful.</w:t>
      </w:r>
      <w:r>
        <w:rPr>
          <w:spacing w:val="13"/>
        </w:rPr>
        <w:t> </w:t>
      </w:r>
      <w:r>
        <w:rPr/>
        <w:t>One</w:t>
      </w:r>
      <w:r>
        <w:rPr>
          <w:spacing w:val="13"/>
        </w:rPr>
        <w:t> </w:t>
      </w:r>
      <w:r>
        <w:rPr/>
        <w:t>of</w:t>
      </w:r>
      <w:r>
        <w:rPr>
          <w:spacing w:val="11"/>
        </w:rPr>
        <w:t> </w:t>
      </w:r>
      <w:r>
        <w:rPr/>
        <w:t>his</w:t>
      </w:r>
      <w:r>
        <w:rPr>
          <w:spacing w:val="14"/>
        </w:rPr>
        <w:t> </w:t>
      </w:r>
      <w:r>
        <w:rPr/>
        <w:t>acquaintances</w:t>
      </w:r>
      <w:r>
        <w:rPr>
          <w:spacing w:val="14"/>
        </w:rPr>
        <w:t> </w:t>
      </w:r>
      <w:r>
        <w:rPr/>
        <w:t>suffered</w:t>
      </w:r>
      <w:r>
        <w:rPr>
          <w:spacing w:val="14"/>
        </w:rPr>
        <w:t> </w:t>
      </w:r>
      <w:r>
        <w:rPr/>
        <w:t>from</w:t>
      </w:r>
      <w:r>
        <w:rPr>
          <w:spacing w:val="11"/>
        </w:rPr>
        <w:t> </w:t>
      </w:r>
      <w:r>
        <w:rPr/>
        <w:t>pancreatic</w:t>
      </w:r>
      <w:r>
        <w:rPr>
          <w:spacing w:val="13"/>
        </w:rPr>
        <w:t> </w:t>
      </w:r>
      <w:r>
        <w:rPr/>
        <w:t>cancer.</w:t>
      </w:r>
      <w:r>
        <w:rPr>
          <w:spacing w:val="14"/>
        </w:rPr>
        <w:t> </w:t>
      </w:r>
      <w:r>
        <w:rPr/>
        <w:t>When</w:t>
      </w:r>
      <w:r>
        <w:rPr>
          <w:spacing w:val="14"/>
        </w:rPr>
        <w:t> </w:t>
      </w:r>
      <w:r>
        <w:rPr/>
        <w:t>the</w:t>
      </w:r>
    </w:p>
    <w:p>
      <w:pPr>
        <w:spacing w:after="0" w:line="276" w:lineRule="auto"/>
        <w:jc w:val="both"/>
        <w:sectPr>
          <w:pgSz w:w="14270" w:h="16850"/>
          <w:pgMar w:header="0" w:footer="1891" w:top="1340" w:bottom="2080" w:left="800" w:right="1280"/>
        </w:sectPr>
      </w:pPr>
    </w:p>
    <w:p>
      <w:pPr>
        <w:pStyle w:val="BodyText"/>
        <w:spacing w:line="276" w:lineRule="auto" w:before="72"/>
        <w:ind w:left="616" w:right="133"/>
        <w:jc w:val="both"/>
      </w:pPr>
      <w:r>
        <w:rPr/>
        <w:t>doctors diagnosed a recurrence in the man, they wanted to operate on him. Humble’s</w:t>
      </w:r>
      <w:r>
        <w:rPr>
          <w:spacing w:val="-9"/>
        </w:rPr>
        <w:t> </w:t>
      </w:r>
      <w:r>
        <w:rPr/>
        <w:t>acquaintance,</w:t>
      </w:r>
      <w:r>
        <w:rPr>
          <w:spacing w:val="-8"/>
        </w:rPr>
        <w:t> </w:t>
      </w:r>
      <w:r>
        <w:rPr/>
        <w:t>however,</w:t>
      </w:r>
      <w:r>
        <w:rPr>
          <w:spacing w:val="-9"/>
        </w:rPr>
        <w:t> </w:t>
      </w:r>
      <w:r>
        <w:rPr/>
        <w:t>rejected</w:t>
      </w:r>
      <w:r>
        <w:rPr>
          <w:spacing w:val="-10"/>
        </w:rPr>
        <w:t> </w:t>
      </w:r>
      <w:r>
        <w:rPr/>
        <w:t>this</w:t>
      </w:r>
      <w:r>
        <w:rPr>
          <w:spacing w:val="-8"/>
        </w:rPr>
        <w:t> </w:t>
      </w:r>
      <w:r>
        <w:rPr/>
        <w:t>offer;</w:t>
      </w:r>
      <w:r>
        <w:rPr>
          <w:spacing w:val="-8"/>
        </w:rPr>
        <w:t> </w:t>
      </w:r>
      <w:r>
        <w:rPr/>
        <w:t>instead,</w:t>
      </w:r>
      <w:r>
        <w:rPr>
          <w:spacing w:val="-9"/>
        </w:rPr>
        <w:t> </w:t>
      </w:r>
      <w:r>
        <w:rPr/>
        <w:t>he</w:t>
      </w:r>
      <w:r>
        <w:rPr>
          <w:spacing w:val="-9"/>
        </w:rPr>
        <w:t> </w:t>
      </w:r>
      <w:r>
        <w:rPr/>
        <w:t>decided</w:t>
      </w:r>
      <w:r>
        <w:rPr>
          <w:spacing w:val="-10"/>
        </w:rPr>
        <w:t> </w:t>
      </w:r>
      <w:r>
        <w:rPr/>
        <w:t>to</w:t>
      </w:r>
      <w:r>
        <w:rPr>
          <w:spacing w:val="-8"/>
        </w:rPr>
        <w:t> </w:t>
      </w:r>
      <w:r>
        <w:rPr/>
        <w:t>try treatment with chlorine dioxide, activated with</w:t>
      </w:r>
      <w:r>
        <w:rPr>
          <w:spacing w:val="-1"/>
        </w:rPr>
        <w:t> </w:t>
      </w:r>
      <w:r>
        <w:rPr/>
        <w:t>vinegar!</w:t>
      </w:r>
    </w:p>
    <w:p>
      <w:pPr>
        <w:pStyle w:val="BodyText"/>
        <w:spacing w:line="276" w:lineRule="auto" w:before="241"/>
        <w:ind w:left="616" w:right="136"/>
        <w:jc w:val="both"/>
      </w:pPr>
      <w:r>
        <w:rPr/>
        <w:t>Just two weeks later, the cancer levels, as confirmed by the blood test, had improved</w:t>
      </w:r>
      <w:r>
        <w:rPr>
          <w:spacing w:val="-15"/>
        </w:rPr>
        <w:t> </w:t>
      </w:r>
      <w:r>
        <w:rPr/>
        <w:t>a</w:t>
      </w:r>
      <w:r>
        <w:rPr>
          <w:spacing w:val="-17"/>
        </w:rPr>
        <w:t> </w:t>
      </w:r>
      <w:r>
        <w:rPr/>
        <w:t>lot.</w:t>
      </w:r>
      <w:r>
        <w:rPr>
          <w:spacing w:val="-14"/>
        </w:rPr>
        <w:t> </w:t>
      </w:r>
      <w:r>
        <w:rPr/>
        <w:t>The</w:t>
      </w:r>
      <w:r>
        <w:rPr>
          <w:spacing w:val="-15"/>
        </w:rPr>
        <w:t> </w:t>
      </w:r>
      <w:r>
        <w:rPr/>
        <w:t>Ca</w:t>
      </w:r>
      <w:r>
        <w:rPr>
          <w:spacing w:val="-16"/>
        </w:rPr>
        <w:t> </w:t>
      </w:r>
      <w:r>
        <w:rPr/>
        <w:t>19.9</w:t>
      </w:r>
      <w:r>
        <w:rPr>
          <w:spacing w:val="-15"/>
        </w:rPr>
        <w:t> </w:t>
      </w:r>
      <w:r>
        <w:rPr/>
        <w:t>value</w:t>
      </w:r>
      <w:r>
        <w:rPr>
          <w:spacing w:val="-14"/>
        </w:rPr>
        <w:t> </w:t>
      </w:r>
      <w:r>
        <w:rPr/>
        <w:t>dropped</w:t>
      </w:r>
      <w:r>
        <w:rPr>
          <w:spacing w:val="-15"/>
        </w:rPr>
        <w:t> </w:t>
      </w:r>
      <w:r>
        <w:rPr/>
        <w:t>from</w:t>
      </w:r>
      <w:r>
        <w:rPr>
          <w:spacing w:val="-17"/>
        </w:rPr>
        <w:t> </w:t>
      </w:r>
      <w:r>
        <w:rPr/>
        <w:t>82</w:t>
      </w:r>
      <w:r>
        <w:rPr>
          <w:spacing w:val="-16"/>
        </w:rPr>
        <w:t> </w:t>
      </w:r>
      <w:r>
        <w:rPr/>
        <w:t>to</w:t>
      </w:r>
      <w:r>
        <w:rPr>
          <w:spacing w:val="-14"/>
        </w:rPr>
        <w:t> </w:t>
      </w:r>
      <w:r>
        <w:rPr/>
        <w:t>71</w:t>
      </w:r>
      <w:r>
        <w:rPr>
          <w:spacing w:val="-16"/>
        </w:rPr>
        <w:t> </w:t>
      </w:r>
      <w:r>
        <w:rPr/>
        <w:t>at</w:t>
      </w:r>
      <w:r>
        <w:rPr>
          <w:spacing w:val="-16"/>
        </w:rPr>
        <w:t> </w:t>
      </w:r>
      <w:r>
        <w:rPr/>
        <w:t>first,</w:t>
      </w:r>
      <w:r>
        <w:rPr>
          <w:spacing w:val="-13"/>
        </w:rPr>
        <w:t> </w:t>
      </w:r>
      <w:r>
        <w:rPr/>
        <w:t>a</w:t>
      </w:r>
      <w:r>
        <w:rPr>
          <w:spacing w:val="-17"/>
        </w:rPr>
        <w:t> </w:t>
      </w:r>
      <w:r>
        <w:rPr/>
        <w:t>month</w:t>
      </w:r>
      <w:r>
        <w:rPr>
          <w:spacing w:val="-14"/>
        </w:rPr>
        <w:t> </w:t>
      </w:r>
      <w:r>
        <w:rPr/>
        <w:t>later it fell to 55, another two months later it fell to 29 and finally fell under 5. The doctors</w:t>
      </w:r>
      <w:r>
        <w:rPr>
          <w:spacing w:val="-14"/>
        </w:rPr>
        <w:t> </w:t>
      </w:r>
      <w:r>
        <w:rPr/>
        <w:t>were</w:t>
      </w:r>
      <w:r>
        <w:rPr>
          <w:spacing w:val="-15"/>
        </w:rPr>
        <w:t> </w:t>
      </w:r>
      <w:r>
        <w:rPr/>
        <w:t>very</w:t>
      </w:r>
      <w:r>
        <w:rPr>
          <w:spacing w:val="-14"/>
        </w:rPr>
        <w:t> </w:t>
      </w:r>
      <w:r>
        <w:rPr/>
        <w:t>surprised,</w:t>
      </w:r>
      <w:r>
        <w:rPr>
          <w:spacing w:val="-16"/>
        </w:rPr>
        <w:t> </w:t>
      </w:r>
      <w:r>
        <w:rPr/>
        <w:t>did</w:t>
      </w:r>
      <w:r>
        <w:rPr>
          <w:spacing w:val="-15"/>
        </w:rPr>
        <w:t> </w:t>
      </w:r>
      <w:r>
        <w:rPr/>
        <w:t>not</w:t>
      </w:r>
      <w:r>
        <w:rPr>
          <w:spacing w:val="-15"/>
        </w:rPr>
        <w:t> </w:t>
      </w:r>
      <w:r>
        <w:rPr/>
        <w:t>perform</w:t>
      </w:r>
      <w:r>
        <w:rPr>
          <w:spacing w:val="-16"/>
        </w:rPr>
        <w:t> </w:t>
      </w:r>
      <w:r>
        <w:rPr/>
        <w:t>the</w:t>
      </w:r>
      <w:r>
        <w:rPr>
          <w:spacing w:val="-19"/>
        </w:rPr>
        <w:t> </w:t>
      </w:r>
      <w:r>
        <w:rPr/>
        <w:t>operation</w:t>
      </w:r>
      <w:r>
        <w:rPr>
          <w:spacing w:val="-15"/>
        </w:rPr>
        <w:t> </w:t>
      </w:r>
      <w:r>
        <w:rPr/>
        <w:t>and</w:t>
      </w:r>
      <w:r>
        <w:rPr>
          <w:spacing w:val="-14"/>
        </w:rPr>
        <w:t> </w:t>
      </w:r>
      <w:r>
        <w:rPr/>
        <w:t>finally</w:t>
      </w:r>
      <w:r>
        <w:rPr>
          <w:spacing w:val="-16"/>
        </w:rPr>
        <w:t> </w:t>
      </w:r>
      <w:r>
        <w:rPr/>
        <w:t>released the man as</w:t>
      </w:r>
      <w:r>
        <w:rPr>
          <w:spacing w:val="2"/>
        </w:rPr>
        <w:t> </w:t>
      </w:r>
      <w:r>
        <w:rPr/>
        <w:t>cured.</w:t>
      </w:r>
    </w:p>
    <w:p>
      <w:pPr>
        <w:pStyle w:val="Heading2"/>
        <w:spacing w:before="242"/>
        <w:ind w:left="616"/>
      </w:pPr>
      <w:r>
        <w:rPr/>
        <w:t>Use for cancer including leukaemia:</w:t>
      </w:r>
    </w:p>
    <w:p>
      <w:pPr>
        <w:pStyle w:val="ListParagraph"/>
        <w:numPr>
          <w:ilvl w:val="0"/>
          <w:numId w:val="74"/>
        </w:numPr>
        <w:tabs>
          <w:tab w:pos="890" w:val="left" w:leader="none"/>
        </w:tabs>
        <w:spacing w:line="240" w:lineRule="auto" w:before="303" w:after="0"/>
        <w:ind w:left="616" w:right="0" w:firstLine="0"/>
        <w:jc w:val="left"/>
        <w:rPr>
          <w:sz w:val="38"/>
        </w:rPr>
      </w:pPr>
      <w:r>
        <w:rPr>
          <w:sz w:val="38"/>
        </w:rPr>
        <w:t>day: 2 drops of MMS in the morning, 3 drops of </w:t>
      </w:r>
      <w:r>
        <w:rPr>
          <w:spacing w:val="2"/>
          <w:sz w:val="38"/>
        </w:rPr>
        <w:t>MMS </w:t>
      </w:r>
      <w:r>
        <w:rPr>
          <w:sz w:val="38"/>
        </w:rPr>
        <w:t>in the</w:t>
      </w:r>
      <w:r>
        <w:rPr>
          <w:spacing w:val="-22"/>
          <w:sz w:val="38"/>
        </w:rPr>
        <w:t> </w:t>
      </w:r>
      <w:r>
        <w:rPr>
          <w:sz w:val="38"/>
        </w:rPr>
        <w:t>afternoon.</w:t>
      </w:r>
    </w:p>
    <w:p>
      <w:pPr>
        <w:pStyle w:val="ListParagraph"/>
        <w:numPr>
          <w:ilvl w:val="0"/>
          <w:numId w:val="74"/>
        </w:numPr>
        <w:tabs>
          <w:tab w:pos="902" w:val="left" w:leader="none"/>
        </w:tabs>
        <w:spacing w:line="278" w:lineRule="auto" w:before="304" w:after="0"/>
        <w:ind w:left="616" w:right="143" w:firstLine="0"/>
        <w:jc w:val="both"/>
        <w:rPr>
          <w:sz w:val="38"/>
        </w:rPr>
      </w:pPr>
      <w:r>
        <w:rPr>
          <w:sz w:val="38"/>
        </w:rPr>
        <w:t>days: 4 drops of MMS in the morning, 4 drops every 4 hours, then 4 drops every 2</w:t>
      </w:r>
      <w:r>
        <w:rPr>
          <w:spacing w:val="-1"/>
          <w:sz w:val="38"/>
        </w:rPr>
        <w:t> </w:t>
      </w:r>
      <w:r>
        <w:rPr>
          <w:sz w:val="38"/>
        </w:rPr>
        <w:t>hours.</w:t>
      </w:r>
    </w:p>
    <w:p>
      <w:pPr>
        <w:pStyle w:val="BodyText"/>
        <w:spacing w:line="276" w:lineRule="auto" w:before="233"/>
        <w:ind w:left="616" w:right="132"/>
        <w:jc w:val="both"/>
      </w:pPr>
      <w:r>
        <w:rPr/>
        <w:t>According</w:t>
      </w:r>
      <w:r>
        <w:rPr>
          <w:spacing w:val="-10"/>
        </w:rPr>
        <w:t> </w:t>
      </w:r>
      <w:r>
        <w:rPr/>
        <w:t>to</w:t>
      </w:r>
      <w:r>
        <w:rPr>
          <w:spacing w:val="-9"/>
        </w:rPr>
        <w:t> </w:t>
      </w:r>
      <w:r>
        <w:rPr/>
        <w:t>Jim</w:t>
      </w:r>
      <w:r>
        <w:rPr>
          <w:spacing w:val="-9"/>
        </w:rPr>
        <w:t> </w:t>
      </w:r>
      <w:r>
        <w:rPr/>
        <w:t>Humble,</w:t>
      </w:r>
      <w:r>
        <w:rPr>
          <w:spacing w:val="-9"/>
        </w:rPr>
        <w:t> </w:t>
      </w:r>
      <w:r>
        <w:rPr/>
        <w:t>the</w:t>
      </w:r>
      <w:r>
        <w:rPr>
          <w:spacing w:val="-8"/>
        </w:rPr>
        <w:t> </w:t>
      </w:r>
      <w:r>
        <w:rPr/>
        <w:t>dose</w:t>
      </w:r>
      <w:r>
        <w:rPr>
          <w:spacing w:val="-9"/>
        </w:rPr>
        <w:t> </w:t>
      </w:r>
      <w:r>
        <w:rPr/>
        <w:t>should</w:t>
      </w:r>
      <w:r>
        <w:rPr>
          <w:spacing w:val="-10"/>
        </w:rPr>
        <w:t> </w:t>
      </w:r>
      <w:r>
        <w:rPr/>
        <w:t>be</w:t>
      </w:r>
      <w:r>
        <w:rPr>
          <w:spacing w:val="-9"/>
        </w:rPr>
        <w:t> </w:t>
      </w:r>
      <w:r>
        <w:rPr/>
        <w:t>steadily</w:t>
      </w:r>
      <w:r>
        <w:rPr>
          <w:spacing w:val="-9"/>
        </w:rPr>
        <w:t> </w:t>
      </w:r>
      <w:r>
        <w:rPr/>
        <w:t>increased</w:t>
      </w:r>
      <w:r>
        <w:rPr>
          <w:spacing w:val="-7"/>
        </w:rPr>
        <w:t> </w:t>
      </w:r>
      <w:r>
        <w:rPr/>
        <w:t>and</w:t>
      </w:r>
      <w:r>
        <w:rPr>
          <w:spacing w:val="-9"/>
        </w:rPr>
        <w:t> </w:t>
      </w:r>
      <w:r>
        <w:rPr/>
        <w:t>the</w:t>
      </w:r>
      <w:r>
        <w:rPr>
          <w:spacing w:val="-8"/>
        </w:rPr>
        <w:t> </w:t>
      </w:r>
      <w:r>
        <w:rPr/>
        <w:t>inter- vals between administrations should be reduced. Do not hesitate to increase the dose to 30 drops twice a day or 15 drops 4 times daily, if necessary. If nausea occurs, lower the dose and gradually increase it again as soon as the nausea has resolved.</w:t>
      </w:r>
    </w:p>
    <w:p>
      <w:pPr>
        <w:pStyle w:val="Heading1"/>
        <w:spacing w:before="222"/>
        <w:ind w:left="616"/>
      </w:pPr>
      <w:r>
        <w:rPr/>
        <w:t>Miracle Mineral Supplement successful against skin cancer</w:t>
      </w:r>
    </w:p>
    <w:p>
      <w:pPr>
        <w:pStyle w:val="BodyText"/>
        <w:spacing w:line="276" w:lineRule="auto" w:before="300"/>
        <w:ind w:left="616" w:right="138"/>
        <w:jc w:val="both"/>
      </w:pPr>
      <w:r>
        <w:rPr/>
        <w:t>Skin cancer stands out among tumours in that its development on the skin is usually evident. For skin cancer, MMS is applied locally to the affected area</w:t>
      </w:r>
      <w:r>
        <w:rPr>
          <w:spacing w:val="-44"/>
        </w:rPr>
        <w:t> </w:t>
      </w:r>
      <w:r>
        <w:rPr/>
        <w:t>of the skin; the cancer usually disappears within a</w:t>
      </w:r>
      <w:r>
        <w:rPr>
          <w:spacing w:val="2"/>
        </w:rPr>
        <w:t> </w:t>
      </w:r>
      <w:r>
        <w:rPr/>
        <w:t>week.</w:t>
      </w:r>
    </w:p>
    <w:p>
      <w:pPr>
        <w:spacing w:after="0" w:line="276" w:lineRule="auto"/>
        <w:jc w:val="both"/>
        <w:sectPr>
          <w:pgSz w:w="14270" w:h="16850"/>
          <w:pgMar w:header="0" w:footer="1891" w:top="1340" w:bottom="2080" w:left="800" w:right="1280"/>
        </w:sectPr>
      </w:pPr>
    </w:p>
    <w:p>
      <w:pPr>
        <w:pStyle w:val="BodyText"/>
        <w:spacing w:line="276" w:lineRule="auto" w:before="74"/>
        <w:ind w:left="616" w:right="139"/>
        <w:jc w:val="both"/>
      </w:pPr>
      <w:r>
        <w:rPr>
          <w:b/>
        </w:rPr>
        <w:t>Use of MMS for skin cancer: </w:t>
      </w:r>
      <w:r>
        <w:rPr/>
        <w:t>15 drops of MMS twice a day (Jim Humble reports of a friend who increased the dose to 25 drops and their melanoma disappeared after two weeks.</w:t>
      </w:r>
      <w:r>
        <w:rPr>
          <w:position w:val="9"/>
          <w:sz w:val="25"/>
        </w:rPr>
        <w:t>558</w:t>
      </w:r>
      <w:r>
        <w:rPr/>
        <w:t>)</w:t>
      </w:r>
    </w:p>
    <w:p>
      <w:pPr>
        <w:pStyle w:val="Heading1"/>
        <w:spacing w:line="264" w:lineRule="auto" w:before="222"/>
        <w:ind w:left="616" w:right="140"/>
        <w:jc w:val="both"/>
      </w:pPr>
      <w:r>
        <w:rPr/>
        <w:t>Jim</w:t>
      </w:r>
      <w:r>
        <w:rPr>
          <w:spacing w:val="-44"/>
        </w:rPr>
        <w:t> </w:t>
      </w:r>
      <w:r>
        <w:rPr/>
        <w:t>Humble’s</w:t>
      </w:r>
      <w:r>
        <w:rPr>
          <w:spacing w:val="-41"/>
        </w:rPr>
        <w:t> </w:t>
      </w:r>
      <w:r>
        <w:rPr/>
        <w:t>recommendations</w:t>
      </w:r>
      <w:r>
        <w:rPr>
          <w:spacing w:val="-43"/>
        </w:rPr>
        <w:t> </w:t>
      </w:r>
      <w:r>
        <w:rPr/>
        <w:t>for</w:t>
      </w:r>
      <w:r>
        <w:rPr>
          <w:spacing w:val="-43"/>
        </w:rPr>
        <w:t> </w:t>
      </w:r>
      <w:r>
        <w:rPr/>
        <w:t>cancer</w:t>
      </w:r>
      <w:r>
        <w:rPr>
          <w:spacing w:val="-40"/>
        </w:rPr>
        <w:t> </w:t>
      </w:r>
      <w:r>
        <w:rPr/>
        <w:t>as</w:t>
      </w:r>
      <w:r>
        <w:rPr>
          <w:spacing w:val="-43"/>
        </w:rPr>
        <w:t> </w:t>
      </w:r>
      <w:r>
        <w:rPr/>
        <w:t>well</w:t>
      </w:r>
      <w:r>
        <w:rPr>
          <w:spacing w:val="-43"/>
        </w:rPr>
        <w:t> </w:t>
      </w:r>
      <w:r>
        <w:rPr/>
        <w:t>as</w:t>
      </w:r>
      <w:r>
        <w:rPr>
          <w:spacing w:val="-43"/>
        </w:rPr>
        <w:t> </w:t>
      </w:r>
      <w:r>
        <w:rPr/>
        <w:t>other</w:t>
      </w:r>
      <w:r>
        <w:rPr>
          <w:spacing w:val="-43"/>
        </w:rPr>
        <w:t> </w:t>
      </w:r>
      <w:r>
        <w:rPr/>
        <w:t>serious</w:t>
      </w:r>
      <w:r>
        <w:rPr>
          <w:spacing w:val="-43"/>
        </w:rPr>
        <w:t> </w:t>
      </w:r>
      <w:r>
        <w:rPr/>
        <w:t>ill- nesses</w:t>
      </w:r>
    </w:p>
    <w:p>
      <w:pPr>
        <w:pStyle w:val="ListParagraph"/>
        <w:numPr>
          <w:ilvl w:val="0"/>
          <w:numId w:val="75"/>
        </w:numPr>
        <w:tabs>
          <w:tab w:pos="1329" w:val="left" w:leader="none"/>
          <w:tab w:pos="1330" w:val="left" w:leader="none"/>
        </w:tabs>
        <w:spacing w:line="240" w:lineRule="auto" w:before="212" w:after="0"/>
        <w:ind w:left="1329" w:right="0" w:hanging="355"/>
        <w:jc w:val="left"/>
        <w:rPr>
          <w:sz w:val="38"/>
        </w:rPr>
      </w:pPr>
      <w:r>
        <w:rPr>
          <w:sz w:val="38"/>
        </w:rPr>
        <w:t>Start with 1 drop of MMS per</w:t>
      </w:r>
      <w:r>
        <w:rPr>
          <w:spacing w:val="-2"/>
          <w:sz w:val="38"/>
        </w:rPr>
        <w:t> </w:t>
      </w:r>
      <w:r>
        <w:rPr>
          <w:sz w:val="38"/>
        </w:rPr>
        <w:t>day.</w:t>
      </w:r>
    </w:p>
    <w:p>
      <w:pPr>
        <w:pStyle w:val="ListParagraph"/>
        <w:numPr>
          <w:ilvl w:val="0"/>
          <w:numId w:val="75"/>
        </w:numPr>
        <w:tabs>
          <w:tab w:pos="1330" w:val="left" w:leader="none"/>
        </w:tabs>
        <w:spacing w:line="273" w:lineRule="auto" w:before="184" w:after="0"/>
        <w:ind w:left="1329" w:right="138" w:hanging="355"/>
        <w:jc w:val="both"/>
        <w:rPr>
          <w:sz w:val="38"/>
        </w:rPr>
      </w:pPr>
      <w:r>
        <w:rPr>
          <w:sz w:val="38"/>
        </w:rPr>
        <w:t>If this does not make you sick, increase the dose to 1 drop twice a day (morning and</w:t>
      </w:r>
      <w:r>
        <w:rPr>
          <w:spacing w:val="1"/>
          <w:sz w:val="38"/>
        </w:rPr>
        <w:t> </w:t>
      </w:r>
      <w:r>
        <w:rPr>
          <w:sz w:val="38"/>
        </w:rPr>
        <w:t>evening).</w:t>
      </w:r>
    </w:p>
    <w:p>
      <w:pPr>
        <w:pStyle w:val="ListParagraph"/>
        <w:numPr>
          <w:ilvl w:val="0"/>
          <w:numId w:val="75"/>
        </w:numPr>
        <w:tabs>
          <w:tab w:pos="1330" w:val="left" w:leader="none"/>
        </w:tabs>
        <w:spacing w:line="273" w:lineRule="auto" w:before="127" w:after="0"/>
        <w:ind w:left="1329" w:right="142" w:hanging="355"/>
        <w:jc w:val="both"/>
        <w:rPr>
          <w:sz w:val="38"/>
        </w:rPr>
      </w:pPr>
      <w:r>
        <w:rPr>
          <w:sz w:val="38"/>
        </w:rPr>
        <w:t>If you still do not feel sick, take 2 drops the next morning and 3 drops in the</w:t>
      </w:r>
      <w:r>
        <w:rPr>
          <w:spacing w:val="1"/>
          <w:sz w:val="38"/>
        </w:rPr>
        <w:t> </w:t>
      </w:r>
      <w:r>
        <w:rPr>
          <w:sz w:val="38"/>
        </w:rPr>
        <w:t>evening.</w:t>
      </w:r>
    </w:p>
    <w:p>
      <w:pPr>
        <w:pStyle w:val="ListParagraph"/>
        <w:numPr>
          <w:ilvl w:val="0"/>
          <w:numId w:val="75"/>
        </w:numPr>
        <w:tabs>
          <w:tab w:pos="1330" w:val="left" w:leader="none"/>
        </w:tabs>
        <w:spacing w:line="276" w:lineRule="auto" w:before="127" w:after="0"/>
        <w:ind w:left="1329" w:right="132" w:hanging="355"/>
        <w:jc w:val="both"/>
        <w:rPr>
          <w:sz w:val="38"/>
        </w:rPr>
      </w:pPr>
      <w:r>
        <w:rPr>
          <w:sz w:val="38"/>
        </w:rPr>
        <w:t>Gradually</w:t>
      </w:r>
      <w:r>
        <w:rPr>
          <w:spacing w:val="-27"/>
          <w:sz w:val="38"/>
        </w:rPr>
        <w:t> </w:t>
      </w:r>
      <w:r>
        <w:rPr>
          <w:sz w:val="38"/>
        </w:rPr>
        <w:t>increase</w:t>
      </w:r>
      <w:r>
        <w:rPr>
          <w:spacing w:val="-24"/>
          <w:sz w:val="38"/>
        </w:rPr>
        <w:t> </w:t>
      </w:r>
      <w:r>
        <w:rPr>
          <w:sz w:val="38"/>
        </w:rPr>
        <w:t>the</w:t>
      </w:r>
      <w:r>
        <w:rPr>
          <w:spacing w:val="-25"/>
          <w:sz w:val="38"/>
        </w:rPr>
        <w:t> </w:t>
      </w:r>
      <w:r>
        <w:rPr>
          <w:sz w:val="38"/>
        </w:rPr>
        <w:t>number</w:t>
      </w:r>
      <w:r>
        <w:rPr>
          <w:spacing w:val="-24"/>
          <w:sz w:val="38"/>
        </w:rPr>
        <w:t> </w:t>
      </w:r>
      <w:r>
        <w:rPr>
          <w:sz w:val="38"/>
        </w:rPr>
        <w:t>of</w:t>
      </w:r>
      <w:r>
        <w:rPr>
          <w:spacing w:val="-25"/>
          <w:sz w:val="38"/>
        </w:rPr>
        <w:t> </w:t>
      </w:r>
      <w:r>
        <w:rPr>
          <w:sz w:val="38"/>
        </w:rPr>
        <w:t>drops</w:t>
      </w:r>
      <w:r>
        <w:rPr>
          <w:spacing w:val="-25"/>
          <w:sz w:val="38"/>
        </w:rPr>
        <w:t> </w:t>
      </w:r>
      <w:r>
        <w:rPr>
          <w:sz w:val="38"/>
        </w:rPr>
        <w:t>until</w:t>
      </w:r>
      <w:r>
        <w:rPr>
          <w:spacing w:val="-26"/>
          <w:sz w:val="38"/>
        </w:rPr>
        <w:t> </w:t>
      </w:r>
      <w:r>
        <w:rPr>
          <w:sz w:val="38"/>
        </w:rPr>
        <w:t>you</w:t>
      </w:r>
      <w:r>
        <w:rPr>
          <w:spacing w:val="-24"/>
          <w:sz w:val="38"/>
        </w:rPr>
        <w:t> </w:t>
      </w:r>
      <w:r>
        <w:rPr>
          <w:sz w:val="38"/>
        </w:rPr>
        <w:t>reach</w:t>
      </w:r>
      <w:r>
        <w:rPr>
          <w:spacing w:val="-26"/>
          <w:sz w:val="38"/>
        </w:rPr>
        <w:t> </w:t>
      </w:r>
      <w:r>
        <w:rPr>
          <w:sz w:val="38"/>
        </w:rPr>
        <w:t>a</w:t>
      </w:r>
      <w:r>
        <w:rPr>
          <w:spacing w:val="-26"/>
          <w:sz w:val="38"/>
        </w:rPr>
        <w:t> </w:t>
      </w:r>
      <w:r>
        <w:rPr>
          <w:sz w:val="38"/>
        </w:rPr>
        <w:t>number</w:t>
      </w:r>
      <w:r>
        <w:rPr>
          <w:spacing w:val="-24"/>
          <w:sz w:val="38"/>
        </w:rPr>
        <w:t> </w:t>
      </w:r>
      <w:r>
        <w:rPr>
          <w:sz w:val="38"/>
        </w:rPr>
        <w:t>of</w:t>
      </w:r>
      <w:r>
        <w:rPr>
          <w:spacing w:val="-26"/>
          <w:sz w:val="38"/>
        </w:rPr>
        <w:t> </w:t>
      </w:r>
      <w:r>
        <w:rPr>
          <w:sz w:val="38"/>
        </w:rPr>
        <w:t>drops which</w:t>
      </w:r>
      <w:r>
        <w:rPr>
          <w:spacing w:val="-12"/>
          <w:sz w:val="38"/>
        </w:rPr>
        <w:t> </w:t>
      </w:r>
      <w:r>
        <w:rPr>
          <w:sz w:val="38"/>
        </w:rPr>
        <w:t>makes</w:t>
      </w:r>
      <w:r>
        <w:rPr>
          <w:spacing w:val="-13"/>
          <w:sz w:val="38"/>
        </w:rPr>
        <w:t> </w:t>
      </w:r>
      <w:r>
        <w:rPr>
          <w:sz w:val="38"/>
        </w:rPr>
        <w:t>you</w:t>
      </w:r>
      <w:r>
        <w:rPr>
          <w:spacing w:val="-14"/>
          <w:sz w:val="38"/>
        </w:rPr>
        <w:t> </w:t>
      </w:r>
      <w:r>
        <w:rPr>
          <w:sz w:val="38"/>
        </w:rPr>
        <w:t>feel</w:t>
      </w:r>
      <w:r>
        <w:rPr>
          <w:spacing w:val="-13"/>
          <w:sz w:val="38"/>
        </w:rPr>
        <w:t> </w:t>
      </w:r>
      <w:r>
        <w:rPr>
          <w:sz w:val="38"/>
        </w:rPr>
        <w:t>sick.</w:t>
      </w:r>
      <w:r>
        <w:rPr>
          <w:spacing w:val="-12"/>
          <w:sz w:val="38"/>
        </w:rPr>
        <w:t> </w:t>
      </w:r>
      <w:r>
        <w:rPr>
          <w:sz w:val="38"/>
        </w:rPr>
        <w:t>Then</w:t>
      </w:r>
      <w:r>
        <w:rPr>
          <w:spacing w:val="-14"/>
          <w:sz w:val="38"/>
        </w:rPr>
        <w:t> </w:t>
      </w:r>
      <w:r>
        <w:rPr>
          <w:sz w:val="38"/>
        </w:rPr>
        <w:t>you</w:t>
      </w:r>
      <w:r>
        <w:rPr>
          <w:spacing w:val="-14"/>
          <w:sz w:val="38"/>
        </w:rPr>
        <w:t> </w:t>
      </w:r>
      <w:r>
        <w:rPr>
          <w:sz w:val="38"/>
        </w:rPr>
        <w:t>should</w:t>
      </w:r>
      <w:r>
        <w:rPr>
          <w:spacing w:val="-14"/>
          <w:sz w:val="38"/>
        </w:rPr>
        <w:t> </w:t>
      </w:r>
      <w:r>
        <w:rPr>
          <w:sz w:val="38"/>
        </w:rPr>
        <w:t>take</w:t>
      </w:r>
      <w:r>
        <w:rPr>
          <w:spacing w:val="-13"/>
          <w:sz w:val="38"/>
        </w:rPr>
        <w:t> </w:t>
      </w:r>
      <w:r>
        <w:rPr>
          <w:sz w:val="38"/>
        </w:rPr>
        <w:t>fewer</w:t>
      </w:r>
      <w:r>
        <w:rPr>
          <w:spacing w:val="-13"/>
          <w:sz w:val="38"/>
        </w:rPr>
        <w:t> </w:t>
      </w:r>
      <w:r>
        <w:rPr>
          <w:sz w:val="38"/>
        </w:rPr>
        <w:t>drops</w:t>
      </w:r>
      <w:r>
        <w:rPr>
          <w:spacing w:val="-14"/>
          <w:sz w:val="38"/>
        </w:rPr>
        <w:t> </w:t>
      </w:r>
      <w:r>
        <w:rPr>
          <w:sz w:val="38"/>
        </w:rPr>
        <w:t>for</w:t>
      </w:r>
      <w:r>
        <w:rPr>
          <w:spacing w:val="-14"/>
          <w:sz w:val="38"/>
        </w:rPr>
        <w:t> </w:t>
      </w:r>
      <w:r>
        <w:rPr>
          <w:sz w:val="38"/>
        </w:rPr>
        <w:t>the</w:t>
      </w:r>
      <w:r>
        <w:rPr>
          <w:spacing w:val="-12"/>
          <w:sz w:val="38"/>
        </w:rPr>
        <w:t> </w:t>
      </w:r>
      <w:r>
        <w:rPr>
          <w:sz w:val="38"/>
        </w:rPr>
        <w:t>next dose and the one thereafter, and as soon as you no longer feel bad, try gradually to increase the dose</w:t>
      </w:r>
      <w:r>
        <w:rPr>
          <w:spacing w:val="1"/>
          <w:sz w:val="38"/>
        </w:rPr>
        <w:t> </w:t>
      </w:r>
      <w:r>
        <w:rPr>
          <w:sz w:val="38"/>
        </w:rPr>
        <w:t>again.</w:t>
      </w:r>
    </w:p>
    <w:p>
      <w:pPr>
        <w:pStyle w:val="ListParagraph"/>
        <w:numPr>
          <w:ilvl w:val="0"/>
          <w:numId w:val="75"/>
        </w:numPr>
        <w:tabs>
          <w:tab w:pos="1330" w:val="left" w:leader="none"/>
        </w:tabs>
        <w:spacing w:line="273" w:lineRule="auto" w:before="120" w:after="0"/>
        <w:ind w:left="1329" w:right="136" w:hanging="355"/>
        <w:jc w:val="both"/>
        <w:rPr>
          <w:sz w:val="38"/>
        </w:rPr>
      </w:pPr>
      <w:r>
        <w:rPr>
          <w:sz w:val="38"/>
        </w:rPr>
        <w:t>The</w:t>
      </w:r>
      <w:r>
        <w:rPr>
          <w:spacing w:val="-23"/>
          <w:sz w:val="38"/>
        </w:rPr>
        <w:t> </w:t>
      </w:r>
      <w:r>
        <w:rPr>
          <w:sz w:val="38"/>
        </w:rPr>
        <w:t>aim</w:t>
      </w:r>
      <w:r>
        <w:rPr>
          <w:spacing w:val="-24"/>
          <w:sz w:val="38"/>
        </w:rPr>
        <w:t> </w:t>
      </w:r>
      <w:r>
        <w:rPr>
          <w:sz w:val="38"/>
        </w:rPr>
        <w:t>of</w:t>
      </w:r>
      <w:r>
        <w:rPr>
          <w:spacing w:val="-22"/>
          <w:sz w:val="38"/>
        </w:rPr>
        <w:t> </w:t>
      </w:r>
      <w:r>
        <w:rPr>
          <w:sz w:val="38"/>
        </w:rPr>
        <w:t>this</w:t>
      </w:r>
      <w:r>
        <w:rPr>
          <w:spacing w:val="-23"/>
          <w:sz w:val="38"/>
        </w:rPr>
        <w:t> </w:t>
      </w:r>
      <w:r>
        <w:rPr>
          <w:sz w:val="38"/>
        </w:rPr>
        <w:t>is</w:t>
      </w:r>
      <w:r>
        <w:rPr>
          <w:spacing w:val="-23"/>
          <w:sz w:val="38"/>
        </w:rPr>
        <w:t> </w:t>
      </w:r>
      <w:r>
        <w:rPr>
          <w:sz w:val="38"/>
        </w:rPr>
        <w:t>to</w:t>
      </w:r>
      <w:r>
        <w:rPr>
          <w:spacing w:val="-22"/>
          <w:sz w:val="38"/>
        </w:rPr>
        <w:t> </w:t>
      </w:r>
      <w:r>
        <w:rPr>
          <w:sz w:val="38"/>
        </w:rPr>
        <w:t>move</w:t>
      </w:r>
      <w:r>
        <w:rPr>
          <w:spacing w:val="-23"/>
          <w:sz w:val="38"/>
        </w:rPr>
        <w:t> </w:t>
      </w:r>
      <w:r>
        <w:rPr>
          <w:sz w:val="38"/>
        </w:rPr>
        <w:t>the</w:t>
      </w:r>
      <w:r>
        <w:rPr>
          <w:spacing w:val="-23"/>
          <w:sz w:val="38"/>
        </w:rPr>
        <w:t> </w:t>
      </w:r>
      <w:r>
        <w:rPr>
          <w:sz w:val="38"/>
        </w:rPr>
        <w:t>nausea</w:t>
      </w:r>
      <w:r>
        <w:rPr>
          <w:spacing w:val="-23"/>
          <w:sz w:val="38"/>
        </w:rPr>
        <w:t> </w:t>
      </w:r>
      <w:r>
        <w:rPr>
          <w:sz w:val="38"/>
        </w:rPr>
        <w:t>threshold</w:t>
      </w:r>
      <w:r>
        <w:rPr>
          <w:spacing w:val="-23"/>
          <w:sz w:val="38"/>
        </w:rPr>
        <w:t> </w:t>
      </w:r>
      <w:r>
        <w:rPr>
          <w:sz w:val="38"/>
        </w:rPr>
        <w:t>upwards</w:t>
      </w:r>
      <w:r>
        <w:rPr>
          <w:spacing w:val="-22"/>
          <w:sz w:val="38"/>
        </w:rPr>
        <w:t> </w:t>
      </w:r>
      <w:r>
        <w:rPr>
          <w:sz w:val="38"/>
        </w:rPr>
        <w:t>and</w:t>
      </w:r>
      <w:r>
        <w:rPr>
          <w:spacing w:val="-24"/>
          <w:sz w:val="38"/>
        </w:rPr>
        <w:t> </w:t>
      </w:r>
      <w:r>
        <w:rPr>
          <w:sz w:val="38"/>
        </w:rPr>
        <w:t>thus</w:t>
      </w:r>
      <w:r>
        <w:rPr>
          <w:spacing w:val="-20"/>
          <w:sz w:val="38"/>
        </w:rPr>
        <w:t> </w:t>
      </w:r>
      <w:r>
        <w:rPr>
          <w:sz w:val="38"/>
        </w:rPr>
        <w:t>increase the number of</w:t>
      </w:r>
      <w:r>
        <w:rPr>
          <w:spacing w:val="3"/>
          <w:sz w:val="38"/>
        </w:rPr>
        <w:t> </w:t>
      </w:r>
      <w:r>
        <w:rPr>
          <w:sz w:val="38"/>
        </w:rPr>
        <w:t>drops.</w:t>
      </w:r>
    </w:p>
    <w:p>
      <w:pPr>
        <w:pStyle w:val="ListParagraph"/>
        <w:numPr>
          <w:ilvl w:val="0"/>
          <w:numId w:val="75"/>
        </w:numPr>
        <w:tabs>
          <w:tab w:pos="1330" w:val="left" w:leader="none"/>
        </w:tabs>
        <w:spacing w:line="273" w:lineRule="auto" w:before="127" w:after="0"/>
        <w:ind w:left="1329" w:right="143" w:hanging="355"/>
        <w:jc w:val="both"/>
        <w:rPr>
          <w:sz w:val="38"/>
        </w:rPr>
      </w:pPr>
      <w:r>
        <w:rPr>
          <w:sz w:val="38"/>
        </w:rPr>
        <w:t>According to Humble, the nausea can be partly due to the fact that the cancer is decomposing and the body has to excrete the</w:t>
      </w:r>
      <w:r>
        <w:rPr>
          <w:spacing w:val="-6"/>
          <w:sz w:val="38"/>
        </w:rPr>
        <w:t> </w:t>
      </w:r>
      <w:r>
        <w:rPr>
          <w:sz w:val="38"/>
        </w:rPr>
        <w:t>toxins.</w:t>
      </w:r>
    </w:p>
    <w:p>
      <w:pPr>
        <w:pStyle w:val="BodyText"/>
        <w:rPr>
          <w:sz w:val="20"/>
        </w:rPr>
      </w:pPr>
    </w:p>
    <w:p>
      <w:pPr>
        <w:pStyle w:val="BodyText"/>
        <w:spacing w:before="7"/>
        <w:rPr>
          <w:sz w:val="27"/>
        </w:rPr>
      </w:pPr>
      <w:r>
        <w:rPr/>
        <w:pict>
          <v:line style="position:absolute;mso-position-horizontal-relative:page;mso-position-vertical-relative:paragraph;z-index:7304;mso-wrap-distance-left:0;mso-wrap-distance-right:0" from="70.823997pt,17.887714pt" to="214.843997pt,17.887714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558 </w:t>
      </w:r>
      <w:r>
        <w:rPr>
          <w:sz w:val="20"/>
        </w:rPr>
        <w:t>Jim Humble: MMS: Der Durchbruch ('The Breakthrough'), Mobiwell, 9th Edition 2010, p. 127</w:t>
      </w:r>
    </w:p>
    <w:p>
      <w:pPr>
        <w:spacing w:after="0"/>
        <w:jc w:val="left"/>
        <w:rPr>
          <w:sz w:val="20"/>
        </w:rPr>
        <w:sectPr>
          <w:pgSz w:w="14270" w:h="16850"/>
          <w:pgMar w:header="0" w:footer="1891" w:top="1340" w:bottom="2080" w:left="800" w:right="1280"/>
        </w:sectPr>
      </w:pPr>
    </w:p>
    <w:p>
      <w:pPr>
        <w:pStyle w:val="BodyText"/>
        <w:spacing w:line="276" w:lineRule="auto" w:before="72"/>
        <w:ind w:left="616" w:right="138"/>
        <w:jc w:val="both"/>
      </w:pPr>
      <w:r>
        <w:rPr/>
        <w:t>In</w:t>
      </w:r>
      <w:r>
        <w:rPr>
          <w:spacing w:val="-14"/>
        </w:rPr>
        <w:t> </w:t>
      </w:r>
      <w:r>
        <w:rPr/>
        <w:t>addition</w:t>
      </w:r>
      <w:r>
        <w:rPr>
          <w:spacing w:val="-12"/>
        </w:rPr>
        <w:t> </w:t>
      </w:r>
      <w:r>
        <w:rPr/>
        <w:t>to</w:t>
      </w:r>
      <w:r>
        <w:rPr>
          <w:spacing w:val="-13"/>
        </w:rPr>
        <w:t> </w:t>
      </w:r>
      <w:r>
        <w:rPr/>
        <w:t>nausea,</w:t>
      </w:r>
      <w:r>
        <w:rPr>
          <w:spacing w:val="-14"/>
        </w:rPr>
        <w:t> </w:t>
      </w:r>
      <w:r>
        <w:rPr/>
        <w:t>this</w:t>
      </w:r>
      <w:r>
        <w:rPr>
          <w:spacing w:val="-12"/>
        </w:rPr>
        <w:t> </w:t>
      </w:r>
      <w:r>
        <w:rPr/>
        <w:t>process</w:t>
      </w:r>
      <w:r>
        <w:rPr>
          <w:spacing w:val="-13"/>
        </w:rPr>
        <w:t> </w:t>
      </w:r>
      <w:r>
        <w:rPr/>
        <w:t>of</w:t>
      </w:r>
      <w:r>
        <w:rPr>
          <w:spacing w:val="-14"/>
        </w:rPr>
        <w:t> </w:t>
      </w:r>
      <w:r>
        <w:rPr/>
        <w:t>excretion</w:t>
      </w:r>
      <w:r>
        <w:rPr>
          <w:spacing w:val="-11"/>
        </w:rPr>
        <w:t> </w:t>
      </w:r>
      <w:r>
        <w:rPr/>
        <w:t>can</w:t>
      </w:r>
      <w:r>
        <w:rPr>
          <w:spacing w:val="-13"/>
        </w:rPr>
        <w:t> </w:t>
      </w:r>
      <w:r>
        <w:rPr/>
        <w:t>lead</w:t>
      </w:r>
      <w:r>
        <w:rPr>
          <w:spacing w:val="-14"/>
        </w:rPr>
        <w:t> </w:t>
      </w:r>
      <w:r>
        <w:rPr/>
        <w:t>to</w:t>
      </w:r>
      <w:r>
        <w:rPr>
          <w:spacing w:val="-14"/>
        </w:rPr>
        <w:t> </w:t>
      </w:r>
      <w:r>
        <w:rPr/>
        <w:t>diarrhoea</w:t>
      </w:r>
      <w:r>
        <w:rPr>
          <w:spacing w:val="-15"/>
        </w:rPr>
        <w:t> </w:t>
      </w:r>
      <w:r>
        <w:rPr/>
        <w:t>and</w:t>
      </w:r>
      <w:r>
        <w:rPr>
          <w:spacing w:val="-14"/>
        </w:rPr>
        <w:t> </w:t>
      </w:r>
      <w:r>
        <w:rPr/>
        <w:t>vom- iting, which, according to Humble, is nothing negative, but an indication that the MMS is working if you can tolerate more and more</w:t>
      </w:r>
      <w:r>
        <w:rPr>
          <w:spacing w:val="-5"/>
        </w:rPr>
        <w:t> </w:t>
      </w:r>
      <w:r>
        <w:rPr/>
        <w:t>drops.</w:t>
      </w:r>
    </w:p>
    <w:p>
      <w:pPr>
        <w:pStyle w:val="ListParagraph"/>
        <w:numPr>
          <w:ilvl w:val="1"/>
          <w:numId w:val="74"/>
        </w:numPr>
        <w:tabs>
          <w:tab w:pos="1183" w:val="left" w:leader="none"/>
        </w:tabs>
        <w:spacing w:line="273" w:lineRule="auto" w:before="240" w:after="0"/>
        <w:ind w:left="1182" w:right="932" w:hanging="283"/>
        <w:jc w:val="left"/>
        <w:rPr>
          <w:sz w:val="38"/>
        </w:rPr>
      </w:pPr>
      <w:r>
        <w:rPr>
          <w:sz w:val="38"/>
        </w:rPr>
        <w:t>According to Humble, one should persist when treating cancer; start slowly, but then quickly increase the dose.</w:t>
      </w:r>
    </w:p>
    <w:p>
      <w:pPr>
        <w:pStyle w:val="BodyText"/>
        <w:spacing w:line="278" w:lineRule="auto" w:before="248"/>
        <w:ind w:left="616" w:right="142"/>
        <w:jc w:val="both"/>
      </w:pPr>
      <w:r>
        <w:rPr/>
        <w:t>The goal should be to get MMS into the bloodstream as fast as possible while staying below the nausea limit!</w:t>
      </w:r>
    </w:p>
    <w:p>
      <w:pPr>
        <w:pStyle w:val="ListParagraph"/>
        <w:numPr>
          <w:ilvl w:val="1"/>
          <w:numId w:val="74"/>
        </w:numPr>
        <w:tabs>
          <w:tab w:pos="1408" w:val="left" w:leader="none"/>
          <w:tab w:pos="1409" w:val="left" w:leader="none"/>
        </w:tabs>
        <w:spacing w:line="240" w:lineRule="auto" w:before="232" w:after="0"/>
        <w:ind w:left="1408" w:right="0" w:hanging="509"/>
        <w:jc w:val="left"/>
        <w:rPr>
          <w:sz w:val="38"/>
        </w:rPr>
      </w:pPr>
      <w:r>
        <w:rPr>
          <w:sz w:val="38"/>
        </w:rPr>
        <w:t>In severe cases, Humble recommends 3 activated</w:t>
      </w:r>
      <w:r>
        <w:rPr>
          <w:spacing w:val="1"/>
          <w:sz w:val="38"/>
        </w:rPr>
        <w:t> </w:t>
      </w:r>
      <w:r>
        <w:rPr>
          <w:sz w:val="38"/>
        </w:rPr>
        <w:t>drops</w:t>
      </w:r>
    </w:p>
    <w:p>
      <w:pPr>
        <w:pStyle w:val="BodyText"/>
        <w:spacing w:line="276" w:lineRule="auto" w:before="304"/>
        <w:ind w:left="899" w:right="132"/>
        <w:jc w:val="both"/>
      </w:pPr>
      <w:r>
        <w:rPr/>
        <w:t>in a drinking glass ('activated' means 3 drops of 50 % citric acid or 5 drops of lemon juice mixed in the glass, stirred for a few seconds and left to stand for</w:t>
      </w:r>
      <w:r>
        <w:rPr>
          <w:spacing w:val="-8"/>
        </w:rPr>
        <w:t> </w:t>
      </w:r>
      <w:r>
        <w:rPr/>
        <w:t>three</w:t>
      </w:r>
      <w:r>
        <w:rPr>
          <w:spacing w:val="-11"/>
        </w:rPr>
        <w:t> </w:t>
      </w:r>
      <w:r>
        <w:rPr/>
        <w:t>minutes),</w:t>
      </w:r>
      <w:r>
        <w:rPr>
          <w:spacing w:val="-8"/>
        </w:rPr>
        <w:t> </w:t>
      </w:r>
      <w:r>
        <w:rPr/>
        <w:t>topped</w:t>
      </w:r>
      <w:r>
        <w:rPr>
          <w:spacing w:val="-9"/>
        </w:rPr>
        <w:t> </w:t>
      </w:r>
      <w:r>
        <w:rPr/>
        <w:t>up</w:t>
      </w:r>
      <w:r>
        <w:rPr>
          <w:spacing w:val="-9"/>
        </w:rPr>
        <w:t> </w:t>
      </w:r>
      <w:r>
        <w:rPr/>
        <w:t>with</w:t>
      </w:r>
      <w:r>
        <w:rPr>
          <w:spacing w:val="-9"/>
        </w:rPr>
        <w:t> </w:t>
      </w:r>
      <w:r>
        <w:rPr/>
        <w:t>water</w:t>
      </w:r>
      <w:r>
        <w:rPr>
          <w:spacing w:val="-8"/>
        </w:rPr>
        <w:t> </w:t>
      </w:r>
      <w:r>
        <w:rPr/>
        <w:t>or</w:t>
      </w:r>
      <w:r>
        <w:rPr>
          <w:spacing w:val="-10"/>
        </w:rPr>
        <w:t> </w:t>
      </w:r>
      <w:r>
        <w:rPr/>
        <w:t>juice</w:t>
      </w:r>
      <w:r>
        <w:rPr>
          <w:spacing w:val="-9"/>
        </w:rPr>
        <w:t> </w:t>
      </w:r>
      <w:r>
        <w:rPr/>
        <w:t>and</w:t>
      </w:r>
      <w:r>
        <w:rPr>
          <w:spacing w:val="-9"/>
        </w:rPr>
        <w:t> </w:t>
      </w:r>
      <w:r>
        <w:rPr/>
        <w:t>bottled,</w:t>
      </w:r>
      <w:r>
        <w:rPr>
          <w:spacing w:val="-9"/>
        </w:rPr>
        <w:t> </w:t>
      </w:r>
      <w:r>
        <w:rPr/>
        <w:t>every</w:t>
      </w:r>
      <w:r>
        <w:rPr>
          <w:spacing w:val="-8"/>
        </w:rPr>
        <w:t> </w:t>
      </w:r>
      <w:r>
        <w:rPr/>
        <w:t>hour</w:t>
      </w:r>
      <w:r>
        <w:rPr>
          <w:spacing w:val="-12"/>
        </w:rPr>
        <w:t> </w:t>
      </w:r>
      <w:r>
        <w:rPr/>
        <w:t>for ten consecutive hours a</w:t>
      </w:r>
      <w:r>
        <w:rPr>
          <w:spacing w:val="-1"/>
        </w:rPr>
        <w:t> </w:t>
      </w:r>
      <w:r>
        <w:rPr/>
        <w:t>day.</w:t>
      </w:r>
    </w:p>
    <w:p>
      <w:pPr>
        <w:pStyle w:val="Heading2"/>
        <w:spacing w:before="242"/>
        <w:ind w:left="616"/>
      </w:pPr>
      <w:r>
        <w:rPr/>
        <w:t>MMS in combination with dimethyl sulphoxide (DMSO)</w:t>
      </w:r>
    </w:p>
    <w:p>
      <w:pPr>
        <w:pStyle w:val="BodyText"/>
        <w:spacing w:line="276" w:lineRule="auto" w:before="302"/>
        <w:ind w:left="616" w:right="130"/>
        <w:jc w:val="both"/>
      </w:pPr>
      <w:r>
        <w:rPr/>
        <w:t>In order to maximise the uptake of MMS in life-threatening diseases, Humble recommends</w:t>
      </w:r>
      <w:r>
        <w:rPr>
          <w:spacing w:val="-15"/>
        </w:rPr>
        <w:t> </w:t>
      </w:r>
      <w:r>
        <w:rPr/>
        <w:t>combining</w:t>
      </w:r>
      <w:r>
        <w:rPr>
          <w:spacing w:val="-14"/>
        </w:rPr>
        <w:t> </w:t>
      </w:r>
      <w:r>
        <w:rPr/>
        <w:t>MMS</w:t>
      </w:r>
      <w:r>
        <w:rPr>
          <w:spacing w:val="-16"/>
        </w:rPr>
        <w:t> </w:t>
      </w:r>
      <w:r>
        <w:rPr/>
        <w:t>with</w:t>
      </w:r>
      <w:r>
        <w:rPr>
          <w:spacing w:val="-14"/>
        </w:rPr>
        <w:t> </w:t>
      </w:r>
      <w:r>
        <w:rPr/>
        <w:t>DMSO.</w:t>
      </w:r>
      <w:r>
        <w:rPr>
          <w:spacing w:val="-14"/>
        </w:rPr>
        <w:t> </w:t>
      </w:r>
      <w:r>
        <w:rPr/>
        <w:t>DMSO</w:t>
      </w:r>
      <w:r>
        <w:rPr>
          <w:spacing w:val="-14"/>
        </w:rPr>
        <w:t> </w:t>
      </w:r>
      <w:r>
        <w:rPr/>
        <w:t>acts</w:t>
      </w:r>
      <w:r>
        <w:rPr>
          <w:spacing w:val="-14"/>
        </w:rPr>
        <w:t> </w:t>
      </w:r>
      <w:r>
        <w:rPr/>
        <w:t>as</w:t>
      </w:r>
      <w:r>
        <w:rPr>
          <w:spacing w:val="-16"/>
        </w:rPr>
        <w:t> </w:t>
      </w:r>
      <w:r>
        <w:rPr/>
        <w:t>a</w:t>
      </w:r>
      <w:r>
        <w:rPr>
          <w:spacing w:val="-15"/>
        </w:rPr>
        <w:t> </w:t>
      </w:r>
      <w:r>
        <w:rPr/>
        <w:t>carrier</w:t>
      </w:r>
      <w:r>
        <w:rPr>
          <w:spacing w:val="-14"/>
        </w:rPr>
        <w:t> </w:t>
      </w:r>
      <w:r>
        <w:rPr/>
        <w:t>and</w:t>
      </w:r>
      <w:r>
        <w:rPr>
          <w:spacing w:val="-14"/>
        </w:rPr>
        <w:t> </w:t>
      </w:r>
      <w:r>
        <w:rPr/>
        <w:t>trans- ports the MMS via the skin into the blood. DMSO is a common carrier</w:t>
      </w:r>
      <w:r>
        <w:rPr>
          <w:spacing w:val="-60"/>
        </w:rPr>
        <w:t> </w:t>
      </w:r>
      <w:r>
        <w:rPr/>
        <w:t>which has been frequently used by doctors since 1955 to deliver medication through the skin into the</w:t>
      </w:r>
      <w:r>
        <w:rPr>
          <w:spacing w:val="2"/>
        </w:rPr>
        <w:t> </w:t>
      </w:r>
      <w:r>
        <w:rPr/>
        <w:t>body.</w:t>
      </w:r>
    </w:p>
    <w:p>
      <w:pPr>
        <w:pStyle w:val="BodyText"/>
        <w:spacing w:line="276" w:lineRule="auto" w:before="243"/>
        <w:ind w:left="616" w:right="132"/>
        <w:jc w:val="both"/>
      </w:pPr>
      <w:r>
        <w:rPr/>
        <w:t>Humble relies on experience and various tests designed to prove that DMSO can</w:t>
      </w:r>
      <w:r>
        <w:rPr>
          <w:spacing w:val="-23"/>
        </w:rPr>
        <w:t> </w:t>
      </w:r>
      <w:r>
        <w:rPr/>
        <w:t>reach</w:t>
      </w:r>
      <w:r>
        <w:rPr>
          <w:spacing w:val="-22"/>
        </w:rPr>
        <w:t> </w:t>
      </w:r>
      <w:r>
        <w:rPr/>
        <w:t>into</w:t>
      </w:r>
      <w:r>
        <w:rPr>
          <w:spacing w:val="-23"/>
        </w:rPr>
        <w:t> </w:t>
      </w:r>
      <w:r>
        <w:rPr/>
        <w:t>any</w:t>
      </w:r>
      <w:r>
        <w:rPr>
          <w:spacing w:val="-22"/>
        </w:rPr>
        <w:t> </w:t>
      </w:r>
      <w:r>
        <w:rPr/>
        <w:t>region</w:t>
      </w:r>
      <w:r>
        <w:rPr>
          <w:spacing w:val="-22"/>
        </w:rPr>
        <w:t> </w:t>
      </w:r>
      <w:r>
        <w:rPr/>
        <w:t>in</w:t>
      </w:r>
      <w:r>
        <w:rPr>
          <w:spacing w:val="-22"/>
        </w:rPr>
        <w:t> </w:t>
      </w:r>
      <w:r>
        <w:rPr/>
        <w:t>the</w:t>
      </w:r>
      <w:r>
        <w:rPr>
          <w:spacing w:val="-25"/>
        </w:rPr>
        <w:t> </w:t>
      </w:r>
      <w:r>
        <w:rPr/>
        <w:t>body</w:t>
      </w:r>
      <w:r>
        <w:rPr>
          <w:spacing w:val="-23"/>
        </w:rPr>
        <w:t> </w:t>
      </w:r>
      <w:r>
        <w:rPr/>
        <w:t>and</w:t>
      </w:r>
      <w:r>
        <w:rPr>
          <w:spacing w:val="-23"/>
        </w:rPr>
        <w:t> </w:t>
      </w:r>
      <w:r>
        <w:rPr/>
        <w:t>can</w:t>
      </w:r>
      <w:r>
        <w:rPr>
          <w:spacing w:val="-23"/>
        </w:rPr>
        <w:t> </w:t>
      </w:r>
      <w:r>
        <w:rPr/>
        <w:t>invade</w:t>
      </w:r>
      <w:r>
        <w:rPr>
          <w:spacing w:val="-23"/>
        </w:rPr>
        <w:t> </w:t>
      </w:r>
      <w:r>
        <w:rPr/>
        <w:t>the</w:t>
      </w:r>
      <w:r>
        <w:rPr>
          <w:spacing w:val="-23"/>
        </w:rPr>
        <w:t> </w:t>
      </w:r>
      <w:r>
        <w:rPr/>
        <w:t>cancer</w:t>
      </w:r>
      <w:r>
        <w:rPr>
          <w:spacing w:val="-22"/>
        </w:rPr>
        <w:t> </w:t>
      </w:r>
      <w:r>
        <w:rPr/>
        <w:t>cell.</w:t>
      </w:r>
      <w:r>
        <w:rPr>
          <w:spacing w:val="-23"/>
        </w:rPr>
        <w:t> </w:t>
      </w:r>
      <w:r>
        <w:rPr/>
        <w:t>The</w:t>
      </w:r>
      <w:r>
        <w:rPr>
          <w:spacing w:val="-22"/>
        </w:rPr>
        <w:t> </w:t>
      </w:r>
      <w:r>
        <w:rPr/>
        <w:t>theory is that the MMS mixed with DMSO transports the MMS into the cancer</w:t>
      </w:r>
      <w:r>
        <w:rPr>
          <w:spacing w:val="-22"/>
        </w:rPr>
        <w:t> </w:t>
      </w:r>
      <w:r>
        <w:rPr/>
        <w:t>cells,</w:t>
      </w:r>
    </w:p>
    <w:p>
      <w:pPr>
        <w:spacing w:after="0" w:line="276" w:lineRule="auto"/>
        <w:jc w:val="both"/>
        <w:sectPr>
          <w:pgSz w:w="14270" w:h="16850"/>
          <w:pgMar w:header="0" w:footer="1891" w:top="1340" w:bottom="2080" w:left="800" w:right="1280"/>
        </w:sectPr>
      </w:pPr>
    </w:p>
    <w:p>
      <w:pPr>
        <w:pStyle w:val="BodyText"/>
        <w:spacing w:line="276" w:lineRule="auto" w:before="72"/>
        <w:ind w:left="616" w:right="132"/>
        <w:jc w:val="both"/>
      </w:pPr>
      <w:r>
        <w:rPr/>
        <w:t>thus</w:t>
      </w:r>
      <w:r>
        <w:rPr>
          <w:spacing w:val="-10"/>
        </w:rPr>
        <w:t> </w:t>
      </w:r>
      <w:r>
        <w:rPr/>
        <w:t>enabling</w:t>
      </w:r>
      <w:r>
        <w:rPr>
          <w:spacing w:val="-9"/>
        </w:rPr>
        <w:t> </w:t>
      </w:r>
      <w:r>
        <w:rPr/>
        <w:t>a</w:t>
      </w:r>
      <w:r>
        <w:rPr>
          <w:spacing w:val="-16"/>
        </w:rPr>
        <w:t> </w:t>
      </w:r>
      <w:r>
        <w:rPr/>
        <w:t>better</w:t>
      </w:r>
      <w:r>
        <w:rPr>
          <w:spacing w:val="-9"/>
        </w:rPr>
        <w:t> </w:t>
      </w:r>
      <w:r>
        <w:rPr/>
        <w:t>penetration</w:t>
      </w:r>
      <w:r>
        <w:rPr>
          <w:spacing w:val="-9"/>
        </w:rPr>
        <w:t> </w:t>
      </w:r>
      <w:r>
        <w:rPr/>
        <w:t>of</w:t>
      </w:r>
      <w:r>
        <w:rPr>
          <w:spacing w:val="-11"/>
        </w:rPr>
        <w:t> </w:t>
      </w:r>
      <w:r>
        <w:rPr/>
        <w:t>the</w:t>
      </w:r>
      <w:r>
        <w:rPr>
          <w:spacing w:val="-11"/>
        </w:rPr>
        <w:t> </w:t>
      </w:r>
      <w:r>
        <w:rPr/>
        <w:t>cancer</w:t>
      </w:r>
      <w:r>
        <w:rPr>
          <w:spacing w:val="-12"/>
        </w:rPr>
        <w:t> </w:t>
      </w:r>
      <w:r>
        <w:rPr/>
        <w:t>cells.</w:t>
      </w:r>
      <w:r>
        <w:rPr>
          <w:spacing w:val="-9"/>
        </w:rPr>
        <w:t> </w:t>
      </w:r>
      <w:r>
        <w:rPr/>
        <w:t>The</w:t>
      </w:r>
      <w:r>
        <w:rPr>
          <w:spacing w:val="-11"/>
        </w:rPr>
        <w:t> </w:t>
      </w:r>
      <w:r>
        <w:rPr/>
        <w:t>dimethyl</w:t>
      </w:r>
      <w:r>
        <w:rPr>
          <w:spacing w:val="-11"/>
        </w:rPr>
        <w:t> </w:t>
      </w:r>
      <w:r>
        <w:rPr/>
        <w:t>sulphoxide thus helps to transport the MMS into the cancer cell, where it then destroys the cancer cell from the inside. Administration via the skin should be in com- bination with oral administration as described above. To do this, proceed as follows:</w:t>
      </w:r>
    </w:p>
    <w:p>
      <w:pPr>
        <w:pStyle w:val="ListParagraph"/>
        <w:numPr>
          <w:ilvl w:val="1"/>
          <w:numId w:val="74"/>
        </w:numPr>
        <w:tabs>
          <w:tab w:pos="1329" w:val="left" w:leader="none"/>
          <w:tab w:pos="1330" w:val="left" w:leader="none"/>
        </w:tabs>
        <w:spacing w:line="240" w:lineRule="auto" w:before="202" w:after="0"/>
        <w:ind w:left="1329" w:right="0" w:hanging="355"/>
        <w:jc w:val="left"/>
        <w:rPr>
          <w:sz w:val="38"/>
        </w:rPr>
      </w:pPr>
      <w:r>
        <w:rPr>
          <w:sz w:val="38"/>
        </w:rPr>
        <w:t>Make an MMS dose (as described above) with 10 drops of MMS</w:t>
      </w:r>
      <w:r>
        <w:rPr>
          <w:spacing w:val="-17"/>
          <w:sz w:val="38"/>
        </w:rPr>
        <w:t> </w:t>
      </w:r>
      <w:r>
        <w:rPr>
          <w:sz w:val="38"/>
        </w:rPr>
        <w:t>+.</w:t>
      </w:r>
    </w:p>
    <w:p>
      <w:pPr>
        <w:pStyle w:val="ListParagraph"/>
        <w:numPr>
          <w:ilvl w:val="1"/>
          <w:numId w:val="74"/>
        </w:numPr>
        <w:tabs>
          <w:tab w:pos="1329" w:val="left" w:leader="none"/>
          <w:tab w:pos="1330" w:val="left" w:leader="none"/>
        </w:tabs>
        <w:spacing w:line="240" w:lineRule="auto" w:before="184" w:after="0"/>
        <w:ind w:left="1329" w:right="0" w:hanging="355"/>
        <w:jc w:val="left"/>
        <w:rPr>
          <w:sz w:val="38"/>
        </w:rPr>
      </w:pPr>
      <w:r>
        <w:rPr>
          <w:sz w:val="38"/>
        </w:rPr>
        <w:t>Add 1 teaspoon of DMSO, swirl the jar for 15</w:t>
      </w:r>
      <w:r>
        <w:rPr>
          <w:spacing w:val="-1"/>
          <w:sz w:val="38"/>
        </w:rPr>
        <w:t> </w:t>
      </w:r>
      <w:r>
        <w:rPr>
          <w:sz w:val="38"/>
        </w:rPr>
        <w:t>sec.</w:t>
      </w:r>
    </w:p>
    <w:p>
      <w:pPr>
        <w:pStyle w:val="ListParagraph"/>
        <w:numPr>
          <w:ilvl w:val="1"/>
          <w:numId w:val="74"/>
        </w:numPr>
        <w:tabs>
          <w:tab w:pos="1329" w:val="left" w:leader="none"/>
          <w:tab w:pos="1330" w:val="left" w:leader="none"/>
        </w:tabs>
        <w:spacing w:line="273" w:lineRule="auto" w:before="184" w:after="0"/>
        <w:ind w:left="1329" w:right="140" w:hanging="355"/>
        <w:jc w:val="left"/>
        <w:rPr>
          <w:sz w:val="38"/>
        </w:rPr>
      </w:pPr>
      <w:r>
        <w:rPr>
          <w:sz w:val="38"/>
        </w:rPr>
        <w:t>Immediately rub the mixture on your arm, leg or stomach (must be done immediately!).</w:t>
      </w:r>
    </w:p>
    <w:p>
      <w:pPr>
        <w:pStyle w:val="ListParagraph"/>
        <w:numPr>
          <w:ilvl w:val="1"/>
          <w:numId w:val="74"/>
        </w:numPr>
        <w:tabs>
          <w:tab w:pos="1329" w:val="left" w:leader="none"/>
          <w:tab w:pos="1330" w:val="left" w:leader="none"/>
        </w:tabs>
        <w:spacing w:line="273" w:lineRule="auto" w:before="127" w:after="0"/>
        <w:ind w:left="1329" w:right="133" w:hanging="355"/>
        <w:jc w:val="left"/>
        <w:rPr>
          <w:sz w:val="38"/>
        </w:rPr>
      </w:pPr>
      <w:r>
        <w:rPr>
          <w:sz w:val="38"/>
        </w:rPr>
        <w:t>Repeat</w:t>
      </w:r>
      <w:r>
        <w:rPr>
          <w:spacing w:val="-7"/>
          <w:sz w:val="38"/>
        </w:rPr>
        <w:t> </w:t>
      </w:r>
      <w:r>
        <w:rPr>
          <w:sz w:val="38"/>
        </w:rPr>
        <w:t>this</w:t>
      </w:r>
      <w:r>
        <w:rPr>
          <w:spacing w:val="-5"/>
          <w:sz w:val="38"/>
        </w:rPr>
        <w:t> </w:t>
      </w:r>
      <w:r>
        <w:rPr>
          <w:sz w:val="38"/>
        </w:rPr>
        <w:t>procedure</w:t>
      </w:r>
      <w:r>
        <w:rPr>
          <w:spacing w:val="-6"/>
          <w:sz w:val="38"/>
        </w:rPr>
        <w:t> </w:t>
      </w:r>
      <w:r>
        <w:rPr>
          <w:sz w:val="38"/>
        </w:rPr>
        <w:t>every</w:t>
      </w:r>
      <w:r>
        <w:rPr>
          <w:spacing w:val="-7"/>
          <w:sz w:val="38"/>
        </w:rPr>
        <w:t> </w:t>
      </w:r>
      <w:r>
        <w:rPr>
          <w:sz w:val="38"/>
        </w:rPr>
        <w:t>hour</w:t>
      </w:r>
      <w:r>
        <w:rPr>
          <w:spacing w:val="-6"/>
          <w:sz w:val="38"/>
        </w:rPr>
        <w:t> </w:t>
      </w:r>
      <w:r>
        <w:rPr>
          <w:sz w:val="38"/>
        </w:rPr>
        <w:t>or</w:t>
      </w:r>
      <w:r>
        <w:rPr>
          <w:spacing w:val="-5"/>
          <w:sz w:val="38"/>
        </w:rPr>
        <w:t> </w:t>
      </w:r>
      <w:r>
        <w:rPr>
          <w:sz w:val="38"/>
        </w:rPr>
        <w:t>three</w:t>
      </w:r>
      <w:r>
        <w:rPr>
          <w:spacing w:val="-6"/>
          <w:sz w:val="38"/>
        </w:rPr>
        <w:t> </w:t>
      </w:r>
      <w:r>
        <w:rPr>
          <w:sz w:val="38"/>
        </w:rPr>
        <w:t>times</w:t>
      </w:r>
      <w:r>
        <w:rPr>
          <w:spacing w:val="-8"/>
          <w:sz w:val="38"/>
        </w:rPr>
        <w:t> </w:t>
      </w:r>
      <w:r>
        <w:rPr>
          <w:sz w:val="38"/>
        </w:rPr>
        <w:t>a</w:t>
      </w:r>
      <w:r>
        <w:rPr>
          <w:spacing w:val="-8"/>
          <w:sz w:val="38"/>
        </w:rPr>
        <w:t> </w:t>
      </w:r>
      <w:r>
        <w:rPr>
          <w:sz w:val="38"/>
        </w:rPr>
        <w:t>day</w:t>
      </w:r>
      <w:r>
        <w:rPr>
          <w:spacing w:val="-6"/>
          <w:sz w:val="38"/>
        </w:rPr>
        <w:t> </w:t>
      </w:r>
      <w:r>
        <w:rPr>
          <w:sz w:val="38"/>
        </w:rPr>
        <w:t>(on</w:t>
      </w:r>
      <w:r>
        <w:rPr>
          <w:spacing w:val="-5"/>
          <w:sz w:val="38"/>
        </w:rPr>
        <w:t> </w:t>
      </w:r>
      <w:r>
        <w:rPr>
          <w:sz w:val="38"/>
        </w:rPr>
        <w:t>a</w:t>
      </w:r>
      <w:r>
        <w:rPr>
          <w:spacing w:val="-7"/>
          <w:sz w:val="38"/>
        </w:rPr>
        <w:t> </w:t>
      </w:r>
      <w:r>
        <w:rPr>
          <w:sz w:val="38"/>
        </w:rPr>
        <w:t>different</w:t>
      </w:r>
      <w:r>
        <w:rPr>
          <w:spacing w:val="-7"/>
          <w:sz w:val="38"/>
        </w:rPr>
        <w:t> </w:t>
      </w:r>
      <w:r>
        <w:rPr>
          <w:sz w:val="38"/>
        </w:rPr>
        <w:t>part of the body each time), then pause for four days, then</w:t>
      </w:r>
      <w:r>
        <w:rPr>
          <w:spacing w:val="-1"/>
          <w:sz w:val="38"/>
        </w:rPr>
        <w:t> </w:t>
      </w:r>
      <w:r>
        <w:rPr>
          <w:sz w:val="38"/>
        </w:rPr>
        <w:t>repeat.</w:t>
      </w:r>
    </w:p>
    <w:p>
      <w:pPr>
        <w:pStyle w:val="ListParagraph"/>
        <w:numPr>
          <w:ilvl w:val="1"/>
          <w:numId w:val="74"/>
        </w:numPr>
        <w:tabs>
          <w:tab w:pos="1329" w:val="left" w:leader="none"/>
          <w:tab w:pos="1330" w:val="left" w:leader="none"/>
        </w:tabs>
        <w:spacing w:line="273" w:lineRule="auto" w:before="127" w:after="0"/>
        <w:ind w:left="1329" w:right="147" w:hanging="355"/>
        <w:jc w:val="left"/>
        <w:rPr>
          <w:sz w:val="38"/>
        </w:rPr>
      </w:pPr>
      <w:r>
        <w:rPr>
          <w:sz w:val="38"/>
        </w:rPr>
        <w:t>If the affected area burns, massage in 1 teaspoon of water and apply aloe vera or olive oil after application.</w:t>
      </w:r>
    </w:p>
    <w:p>
      <w:pPr>
        <w:pStyle w:val="ListParagraph"/>
        <w:numPr>
          <w:ilvl w:val="1"/>
          <w:numId w:val="74"/>
        </w:numPr>
        <w:tabs>
          <w:tab w:pos="1329" w:val="left" w:leader="none"/>
          <w:tab w:pos="1330" w:val="left" w:leader="none"/>
        </w:tabs>
        <w:spacing w:line="273" w:lineRule="auto" w:before="130" w:after="0"/>
        <w:ind w:left="1329" w:right="130" w:hanging="355"/>
        <w:jc w:val="left"/>
        <w:rPr>
          <w:sz w:val="38"/>
        </w:rPr>
      </w:pPr>
      <w:r>
        <w:rPr>
          <w:sz w:val="38"/>
        </w:rPr>
        <w:t>MMS</w:t>
      </w:r>
      <w:r>
        <w:rPr>
          <w:spacing w:val="-15"/>
          <w:sz w:val="38"/>
        </w:rPr>
        <w:t> </w:t>
      </w:r>
      <w:r>
        <w:rPr>
          <w:sz w:val="38"/>
        </w:rPr>
        <w:t>is</w:t>
      </w:r>
      <w:r>
        <w:rPr>
          <w:spacing w:val="-15"/>
          <w:sz w:val="38"/>
        </w:rPr>
        <w:t> </w:t>
      </w:r>
      <w:r>
        <w:rPr>
          <w:sz w:val="38"/>
        </w:rPr>
        <w:t>also</w:t>
      </w:r>
      <w:r>
        <w:rPr>
          <w:spacing w:val="-15"/>
          <w:sz w:val="38"/>
        </w:rPr>
        <w:t> </w:t>
      </w:r>
      <w:r>
        <w:rPr>
          <w:sz w:val="38"/>
        </w:rPr>
        <w:t>taken</w:t>
      </w:r>
      <w:r>
        <w:rPr>
          <w:spacing w:val="-14"/>
          <w:sz w:val="38"/>
        </w:rPr>
        <w:t> </w:t>
      </w:r>
      <w:r>
        <w:rPr>
          <w:sz w:val="38"/>
        </w:rPr>
        <w:t>orally</w:t>
      </w:r>
      <w:r>
        <w:rPr>
          <w:spacing w:val="-14"/>
          <w:sz w:val="38"/>
        </w:rPr>
        <w:t> </w:t>
      </w:r>
      <w:r>
        <w:rPr>
          <w:sz w:val="38"/>
        </w:rPr>
        <w:t>throughout</w:t>
      </w:r>
      <w:r>
        <w:rPr>
          <w:spacing w:val="-16"/>
          <w:sz w:val="38"/>
        </w:rPr>
        <w:t> </w:t>
      </w:r>
      <w:r>
        <w:rPr>
          <w:sz w:val="38"/>
        </w:rPr>
        <w:t>the</w:t>
      </w:r>
      <w:r>
        <w:rPr>
          <w:spacing w:val="-13"/>
          <w:sz w:val="38"/>
        </w:rPr>
        <w:t> </w:t>
      </w:r>
      <w:r>
        <w:rPr>
          <w:sz w:val="38"/>
        </w:rPr>
        <w:t>entire</w:t>
      </w:r>
      <w:r>
        <w:rPr>
          <w:spacing w:val="-16"/>
          <w:sz w:val="38"/>
        </w:rPr>
        <w:t> </w:t>
      </w:r>
      <w:r>
        <w:rPr>
          <w:sz w:val="38"/>
        </w:rPr>
        <w:t>period</w:t>
      </w:r>
      <w:r>
        <w:rPr>
          <w:spacing w:val="-14"/>
          <w:sz w:val="38"/>
        </w:rPr>
        <w:t> </w:t>
      </w:r>
      <w:r>
        <w:rPr>
          <w:sz w:val="38"/>
        </w:rPr>
        <w:t>(including</w:t>
      </w:r>
      <w:r>
        <w:rPr>
          <w:spacing w:val="-13"/>
          <w:sz w:val="38"/>
        </w:rPr>
        <w:t> </w:t>
      </w:r>
      <w:r>
        <w:rPr>
          <w:sz w:val="38"/>
        </w:rPr>
        <w:t>the</w:t>
      </w:r>
      <w:r>
        <w:rPr>
          <w:spacing w:val="-13"/>
          <w:sz w:val="38"/>
        </w:rPr>
        <w:t> </w:t>
      </w:r>
      <w:r>
        <w:rPr>
          <w:sz w:val="38"/>
        </w:rPr>
        <w:t>four- day</w:t>
      </w:r>
      <w:r>
        <w:rPr>
          <w:spacing w:val="-2"/>
          <w:sz w:val="38"/>
        </w:rPr>
        <w:t> </w:t>
      </w:r>
      <w:r>
        <w:rPr>
          <w:sz w:val="38"/>
        </w:rPr>
        <w:t>break!).</w:t>
      </w:r>
    </w:p>
    <w:p>
      <w:pPr>
        <w:pStyle w:val="Heading1"/>
        <w:spacing w:before="231"/>
        <w:ind w:left="616"/>
      </w:pPr>
      <w:r>
        <w:rPr/>
        <w:t>Intravenous use of MMS</w:t>
      </w:r>
    </w:p>
    <w:p>
      <w:pPr>
        <w:pStyle w:val="BodyText"/>
        <w:spacing w:line="276" w:lineRule="auto" w:before="297"/>
        <w:ind w:left="616" w:right="133"/>
        <w:jc w:val="both"/>
      </w:pPr>
      <w:r>
        <w:rPr/>
        <w:t>In many cases, intravenous administration of MMS has been more successful than</w:t>
      </w:r>
      <w:r>
        <w:rPr>
          <w:spacing w:val="-7"/>
        </w:rPr>
        <w:t> </w:t>
      </w:r>
      <w:r>
        <w:rPr/>
        <w:t>oral</w:t>
      </w:r>
      <w:r>
        <w:rPr>
          <w:spacing w:val="-9"/>
        </w:rPr>
        <w:t> </w:t>
      </w:r>
      <w:r>
        <w:rPr/>
        <w:t>administration.</w:t>
      </w:r>
      <w:r>
        <w:rPr>
          <w:spacing w:val="-6"/>
        </w:rPr>
        <w:t> </w:t>
      </w:r>
      <w:r>
        <w:rPr/>
        <w:t>Of</w:t>
      </w:r>
      <w:r>
        <w:rPr>
          <w:spacing w:val="-9"/>
        </w:rPr>
        <w:t> </w:t>
      </w:r>
      <w:r>
        <w:rPr/>
        <w:t>course,</w:t>
      </w:r>
      <w:r>
        <w:rPr>
          <w:spacing w:val="-5"/>
        </w:rPr>
        <w:t> </w:t>
      </w:r>
      <w:r>
        <w:rPr/>
        <w:t>intravenous</w:t>
      </w:r>
      <w:r>
        <w:rPr>
          <w:spacing w:val="-11"/>
        </w:rPr>
        <w:t> </w:t>
      </w:r>
      <w:r>
        <w:rPr/>
        <w:t>use</w:t>
      </w:r>
      <w:r>
        <w:rPr>
          <w:spacing w:val="-7"/>
        </w:rPr>
        <w:t> </w:t>
      </w:r>
      <w:r>
        <w:rPr/>
        <w:t>is</w:t>
      </w:r>
      <w:r>
        <w:rPr>
          <w:spacing w:val="-8"/>
        </w:rPr>
        <w:t> </w:t>
      </w:r>
      <w:r>
        <w:rPr/>
        <w:t>exclusively</w:t>
      </w:r>
      <w:r>
        <w:rPr>
          <w:spacing w:val="-8"/>
        </w:rPr>
        <w:t> </w:t>
      </w:r>
      <w:r>
        <w:rPr/>
        <w:t>a</w:t>
      </w:r>
      <w:r>
        <w:rPr>
          <w:spacing w:val="-8"/>
        </w:rPr>
        <w:t> </w:t>
      </w:r>
      <w:r>
        <w:rPr/>
        <w:t>matter</w:t>
      </w:r>
      <w:r>
        <w:rPr>
          <w:spacing w:val="-8"/>
        </w:rPr>
        <w:t> </w:t>
      </w:r>
      <w:r>
        <w:rPr/>
        <w:t>for physicians</w:t>
      </w:r>
      <w:r>
        <w:rPr>
          <w:spacing w:val="-27"/>
        </w:rPr>
        <w:t> </w:t>
      </w:r>
      <w:r>
        <w:rPr/>
        <w:t>or</w:t>
      </w:r>
      <w:r>
        <w:rPr>
          <w:spacing w:val="-26"/>
        </w:rPr>
        <w:t> </w:t>
      </w:r>
      <w:r>
        <w:rPr/>
        <w:t>knowledgeable</w:t>
      </w:r>
      <w:r>
        <w:rPr>
          <w:spacing w:val="-28"/>
        </w:rPr>
        <w:t> </w:t>
      </w:r>
      <w:r>
        <w:rPr/>
        <w:t>therapists.</w:t>
      </w:r>
      <w:r>
        <w:rPr>
          <w:spacing w:val="-26"/>
        </w:rPr>
        <w:t> </w:t>
      </w:r>
      <w:r>
        <w:rPr/>
        <w:t>For</w:t>
      </w:r>
      <w:r>
        <w:rPr>
          <w:spacing w:val="-26"/>
        </w:rPr>
        <w:t> </w:t>
      </w:r>
      <w:r>
        <w:rPr/>
        <w:t>the</w:t>
      </w:r>
      <w:r>
        <w:rPr>
          <w:spacing w:val="-27"/>
        </w:rPr>
        <w:t> </w:t>
      </w:r>
      <w:r>
        <w:rPr/>
        <w:t>first</w:t>
      </w:r>
      <w:r>
        <w:rPr>
          <w:spacing w:val="-27"/>
        </w:rPr>
        <w:t> </w:t>
      </w:r>
      <w:r>
        <w:rPr/>
        <w:t>day,</w:t>
      </w:r>
      <w:r>
        <w:rPr>
          <w:spacing w:val="-27"/>
        </w:rPr>
        <w:t> </w:t>
      </w:r>
      <w:r>
        <w:rPr/>
        <w:t>Humble</w:t>
      </w:r>
      <w:r>
        <w:rPr>
          <w:spacing w:val="-26"/>
        </w:rPr>
        <w:t> </w:t>
      </w:r>
      <w:r>
        <w:rPr/>
        <w:t>recommends 1</w:t>
      </w:r>
      <w:r>
        <w:rPr>
          <w:spacing w:val="-17"/>
        </w:rPr>
        <w:t> </w:t>
      </w:r>
      <w:r>
        <w:rPr/>
        <w:t>drop</w:t>
      </w:r>
      <w:r>
        <w:rPr>
          <w:spacing w:val="-18"/>
        </w:rPr>
        <w:t> </w:t>
      </w:r>
      <w:r>
        <w:rPr/>
        <w:t>of</w:t>
      </w:r>
      <w:r>
        <w:rPr>
          <w:spacing w:val="-18"/>
        </w:rPr>
        <w:t> </w:t>
      </w:r>
      <w:r>
        <w:rPr/>
        <w:t>NON-activated</w:t>
      </w:r>
      <w:r>
        <w:rPr>
          <w:spacing w:val="-16"/>
        </w:rPr>
        <w:t> </w:t>
      </w:r>
      <w:r>
        <w:rPr/>
        <w:t>MMS</w:t>
      </w:r>
      <w:r>
        <w:rPr>
          <w:spacing w:val="-15"/>
        </w:rPr>
        <w:t> </w:t>
      </w:r>
      <w:r>
        <w:rPr/>
        <w:t>to</w:t>
      </w:r>
      <w:r>
        <w:rPr>
          <w:spacing w:val="-15"/>
        </w:rPr>
        <w:t> </w:t>
      </w:r>
      <w:r>
        <w:rPr/>
        <w:t>500</w:t>
      </w:r>
      <w:r>
        <w:rPr>
          <w:spacing w:val="-18"/>
        </w:rPr>
        <w:t> </w:t>
      </w:r>
      <w:r>
        <w:rPr/>
        <w:t>ml</w:t>
      </w:r>
      <w:r>
        <w:rPr>
          <w:spacing w:val="-18"/>
        </w:rPr>
        <w:t> </w:t>
      </w:r>
      <w:r>
        <w:rPr/>
        <w:t>saline</w:t>
      </w:r>
      <w:r>
        <w:rPr>
          <w:spacing w:val="-15"/>
        </w:rPr>
        <w:t> </w:t>
      </w:r>
      <w:r>
        <w:rPr/>
        <w:t>or</w:t>
      </w:r>
      <w:r>
        <w:rPr>
          <w:spacing w:val="-15"/>
        </w:rPr>
        <w:t> </w:t>
      </w:r>
      <w:r>
        <w:rPr/>
        <w:t>glucose</w:t>
      </w:r>
      <w:r>
        <w:rPr>
          <w:spacing w:val="-18"/>
        </w:rPr>
        <w:t> </w:t>
      </w:r>
      <w:r>
        <w:rPr/>
        <w:t>solution.</w:t>
      </w:r>
      <w:r>
        <w:rPr>
          <w:spacing w:val="-15"/>
        </w:rPr>
        <w:t> </w:t>
      </w:r>
      <w:r>
        <w:rPr/>
        <w:t>Now</w:t>
      </w:r>
      <w:r>
        <w:rPr>
          <w:spacing w:val="-19"/>
        </w:rPr>
        <w:t> </w:t>
      </w:r>
      <w:r>
        <w:rPr/>
        <w:t>wait one hour before inserting the drip. This should then be completed within</w:t>
      </w:r>
      <w:r>
        <w:rPr>
          <w:spacing w:val="-35"/>
        </w:rPr>
        <w:t> </w:t>
      </w:r>
      <w:r>
        <w:rPr/>
        <w:t>two</w:t>
      </w:r>
    </w:p>
    <w:p>
      <w:pPr>
        <w:spacing w:after="0" w:line="276" w:lineRule="auto"/>
        <w:jc w:val="both"/>
        <w:sectPr>
          <w:pgSz w:w="14270" w:h="16850"/>
          <w:pgMar w:header="0" w:footer="1891" w:top="1340" w:bottom="2080" w:left="800" w:right="1280"/>
        </w:sectPr>
      </w:pPr>
    </w:p>
    <w:p>
      <w:pPr>
        <w:pStyle w:val="BodyText"/>
        <w:spacing w:line="276" w:lineRule="auto" w:before="72"/>
        <w:ind w:left="616" w:right="136"/>
        <w:jc w:val="both"/>
      </w:pPr>
      <w:r>
        <w:rPr/>
        <w:t>to</w:t>
      </w:r>
      <w:r>
        <w:rPr>
          <w:spacing w:val="-11"/>
        </w:rPr>
        <w:t> </w:t>
      </w:r>
      <w:r>
        <w:rPr/>
        <w:t>four</w:t>
      </w:r>
      <w:r>
        <w:rPr>
          <w:spacing w:val="-10"/>
        </w:rPr>
        <w:t> </w:t>
      </w:r>
      <w:r>
        <w:rPr/>
        <w:t>hours.</w:t>
      </w:r>
      <w:r>
        <w:rPr>
          <w:spacing w:val="-10"/>
        </w:rPr>
        <w:t> </w:t>
      </w:r>
      <w:r>
        <w:rPr/>
        <w:t>On</w:t>
      </w:r>
      <w:r>
        <w:rPr>
          <w:spacing w:val="-10"/>
        </w:rPr>
        <w:t> </w:t>
      </w:r>
      <w:r>
        <w:rPr/>
        <w:t>the</w:t>
      </w:r>
      <w:r>
        <w:rPr>
          <w:spacing w:val="-10"/>
        </w:rPr>
        <w:t> </w:t>
      </w:r>
      <w:r>
        <w:rPr/>
        <w:t>second</w:t>
      </w:r>
      <w:r>
        <w:rPr>
          <w:spacing w:val="-10"/>
        </w:rPr>
        <w:t> </w:t>
      </w:r>
      <w:r>
        <w:rPr/>
        <w:t>day,</w:t>
      </w:r>
      <w:r>
        <w:rPr>
          <w:spacing w:val="-10"/>
        </w:rPr>
        <w:t> </w:t>
      </w:r>
      <w:r>
        <w:rPr/>
        <w:t>you</w:t>
      </w:r>
      <w:r>
        <w:rPr>
          <w:spacing w:val="-12"/>
        </w:rPr>
        <w:t> </w:t>
      </w:r>
      <w:r>
        <w:rPr/>
        <w:t>should</w:t>
      </w:r>
      <w:r>
        <w:rPr>
          <w:spacing w:val="-12"/>
        </w:rPr>
        <w:t> </w:t>
      </w:r>
      <w:r>
        <w:rPr/>
        <w:t>increase</w:t>
      </w:r>
      <w:r>
        <w:rPr>
          <w:spacing w:val="-11"/>
        </w:rPr>
        <w:t> </w:t>
      </w:r>
      <w:r>
        <w:rPr/>
        <w:t>the</w:t>
      </w:r>
      <w:r>
        <w:rPr>
          <w:spacing w:val="-10"/>
        </w:rPr>
        <w:t> </w:t>
      </w:r>
      <w:r>
        <w:rPr/>
        <w:t>dose</w:t>
      </w:r>
      <w:r>
        <w:rPr>
          <w:spacing w:val="-10"/>
        </w:rPr>
        <w:t> </w:t>
      </w:r>
      <w:r>
        <w:rPr/>
        <w:t>to</w:t>
      </w:r>
      <w:r>
        <w:rPr>
          <w:spacing w:val="-15"/>
        </w:rPr>
        <w:t> </w:t>
      </w:r>
      <w:r>
        <w:rPr/>
        <w:t>2</w:t>
      </w:r>
      <w:r>
        <w:rPr>
          <w:spacing w:val="-11"/>
        </w:rPr>
        <w:t> </w:t>
      </w:r>
      <w:r>
        <w:rPr/>
        <w:t>drops</w:t>
      </w:r>
      <w:r>
        <w:rPr>
          <w:spacing w:val="-10"/>
        </w:rPr>
        <w:t> </w:t>
      </w:r>
      <w:r>
        <w:rPr/>
        <w:t>and on the third day to 6-8 drops. From there you should increase daily by 4-8 drops until you reach 22</w:t>
      </w:r>
      <w:r>
        <w:rPr>
          <w:spacing w:val="-4"/>
        </w:rPr>
        <w:t> </w:t>
      </w:r>
      <w:r>
        <w:rPr/>
        <w:t>drops.</w:t>
      </w:r>
    </w:p>
    <w:p>
      <w:pPr>
        <w:pStyle w:val="Heading1"/>
        <w:ind w:left="616"/>
        <w:jc w:val="both"/>
      </w:pPr>
      <w:r>
        <w:rPr/>
        <w:t>External use of MMS</w:t>
      </w:r>
    </w:p>
    <w:p>
      <w:pPr>
        <w:pStyle w:val="BodyText"/>
        <w:spacing w:before="299"/>
        <w:ind w:left="616"/>
        <w:jc w:val="both"/>
      </w:pPr>
      <w:r>
        <w:rPr/>
        <w:t>MMS can also be applied externally; Humble recommends spray bottles.</w:t>
      </w:r>
    </w:p>
    <w:p>
      <w:pPr>
        <w:pStyle w:val="BodyText"/>
        <w:spacing w:line="276" w:lineRule="auto" w:before="304"/>
        <w:ind w:left="616" w:right="132"/>
        <w:jc w:val="both"/>
      </w:pPr>
      <w:r>
        <w:rPr>
          <w:b/>
        </w:rPr>
        <w:t>Application: </w:t>
      </w:r>
      <w:r>
        <w:rPr/>
        <w:t>20 drops of MMS with 100 drops of 10 % citric acid solution. Wait</w:t>
      </w:r>
      <w:r>
        <w:rPr>
          <w:spacing w:val="-15"/>
        </w:rPr>
        <w:t> </w:t>
      </w:r>
      <w:r>
        <w:rPr/>
        <w:t>three</w:t>
      </w:r>
      <w:r>
        <w:rPr>
          <w:spacing w:val="-13"/>
        </w:rPr>
        <w:t> </w:t>
      </w:r>
      <w:r>
        <w:rPr/>
        <w:t>minutes</w:t>
      </w:r>
      <w:r>
        <w:rPr>
          <w:spacing w:val="-14"/>
        </w:rPr>
        <w:t> </w:t>
      </w:r>
      <w:r>
        <w:rPr/>
        <w:t>and</w:t>
      </w:r>
      <w:r>
        <w:rPr>
          <w:spacing w:val="-13"/>
        </w:rPr>
        <w:t> </w:t>
      </w:r>
      <w:r>
        <w:rPr/>
        <w:t>then</w:t>
      </w:r>
      <w:r>
        <w:rPr>
          <w:spacing w:val="-13"/>
        </w:rPr>
        <w:t> </w:t>
      </w:r>
      <w:r>
        <w:rPr/>
        <w:t>pour</w:t>
      </w:r>
      <w:r>
        <w:rPr>
          <w:spacing w:val="-13"/>
        </w:rPr>
        <w:t> </w:t>
      </w:r>
      <w:r>
        <w:rPr/>
        <w:t>everything</w:t>
      </w:r>
      <w:r>
        <w:rPr>
          <w:spacing w:val="-14"/>
        </w:rPr>
        <w:t> </w:t>
      </w:r>
      <w:r>
        <w:rPr/>
        <w:t>together</w:t>
      </w:r>
      <w:r>
        <w:rPr>
          <w:spacing w:val="-13"/>
        </w:rPr>
        <w:t> </w:t>
      </w:r>
      <w:r>
        <w:rPr/>
        <w:t>with</w:t>
      </w:r>
      <w:r>
        <w:rPr>
          <w:spacing w:val="-13"/>
        </w:rPr>
        <w:t> </w:t>
      </w:r>
      <w:r>
        <w:rPr/>
        <w:t>50</w:t>
      </w:r>
      <w:r>
        <w:rPr>
          <w:spacing w:val="-15"/>
        </w:rPr>
        <w:t> </w:t>
      </w:r>
      <w:r>
        <w:rPr/>
        <w:t>ml</w:t>
      </w:r>
      <w:r>
        <w:rPr>
          <w:spacing w:val="-13"/>
        </w:rPr>
        <w:t> </w:t>
      </w:r>
      <w:r>
        <w:rPr/>
        <w:t>of</w:t>
      </w:r>
      <w:r>
        <w:rPr>
          <w:spacing w:val="-14"/>
        </w:rPr>
        <w:t> </w:t>
      </w:r>
      <w:r>
        <w:rPr/>
        <w:t>water</w:t>
      </w:r>
      <w:r>
        <w:rPr>
          <w:spacing w:val="-12"/>
        </w:rPr>
        <w:t> </w:t>
      </w:r>
      <w:r>
        <w:rPr/>
        <w:t>into a 50 ml spray bottle (available at any pharmacy). The resulting mixture can be used for four days before it loses its effect.</w:t>
      </w:r>
    </w:p>
    <w:p>
      <w:pPr>
        <w:pStyle w:val="Heading1"/>
        <w:spacing w:line="264" w:lineRule="auto" w:before="223"/>
        <w:ind w:left="616" w:right="142"/>
        <w:jc w:val="both"/>
      </w:pPr>
      <w:r>
        <w:rPr/>
        <w:t>What</w:t>
      </w:r>
      <w:r>
        <w:rPr>
          <w:spacing w:val="-40"/>
        </w:rPr>
        <w:t> </w:t>
      </w:r>
      <w:r>
        <w:rPr/>
        <w:t>can</w:t>
      </w:r>
      <w:r>
        <w:rPr>
          <w:spacing w:val="-39"/>
        </w:rPr>
        <w:t> </w:t>
      </w:r>
      <w:r>
        <w:rPr/>
        <w:t>be</w:t>
      </w:r>
      <w:r>
        <w:rPr>
          <w:spacing w:val="-39"/>
        </w:rPr>
        <w:t> </w:t>
      </w:r>
      <w:r>
        <w:rPr/>
        <w:t>done</w:t>
      </w:r>
      <w:r>
        <w:rPr>
          <w:spacing w:val="-39"/>
        </w:rPr>
        <w:t> </w:t>
      </w:r>
      <w:r>
        <w:rPr/>
        <w:t>to</w:t>
      </w:r>
      <w:r>
        <w:rPr>
          <w:spacing w:val="-39"/>
        </w:rPr>
        <w:t> </w:t>
      </w:r>
      <w:r>
        <w:rPr/>
        <w:t>counteract</w:t>
      </w:r>
      <w:r>
        <w:rPr>
          <w:spacing w:val="-40"/>
        </w:rPr>
        <w:t> </w:t>
      </w:r>
      <w:r>
        <w:rPr/>
        <w:t>the</w:t>
      </w:r>
      <w:r>
        <w:rPr>
          <w:spacing w:val="-38"/>
        </w:rPr>
        <w:t> </w:t>
      </w:r>
      <w:r>
        <w:rPr/>
        <w:t>taste</w:t>
      </w:r>
      <w:r>
        <w:rPr>
          <w:spacing w:val="-39"/>
        </w:rPr>
        <w:t> </w:t>
      </w:r>
      <w:r>
        <w:rPr/>
        <w:t>of</w:t>
      </w:r>
      <w:r>
        <w:rPr>
          <w:spacing w:val="-39"/>
        </w:rPr>
        <w:t> </w:t>
      </w:r>
      <w:r>
        <w:rPr/>
        <w:t>MMS,</w:t>
      </w:r>
      <w:r>
        <w:rPr>
          <w:spacing w:val="-39"/>
        </w:rPr>
        <w:t> </w:t>
      </w:r>
      <w:r>
        <w:rPr/>
        <w:t>which</w:t>
      </w:r>
      <w:r>
        <w:rPr>
          <w:spacing w:val="-39"/>
        </w:rPr>
        <w:t> </w:t>
      </w:r>
      <w:r>
        <w:rPr/>
        <w:t>takes</w:t>
      </w:r>
      <w:r>
        <w:rPr>
          <w:spacing w:val="-38"/>
        </w:rPr>
        <w:t> </w:t>
      </w:r>
      <w:r>
        <w:rPr/>
        <w:t>getting used</w:t>
      </w:r>
      <w:r>
        <w:rPr>
          <w:spacing w:val="-7"/>
        </w:rPr>
        <w:t> </w:t>
      </w:r>
      <w:r>
        <w:rPr/>
        <w:t>to?</w:t>
      </w:r>
    </w:p>
    <w:p>
      <w:pPr>
        <w:pStyle w:val="BodyText"/>
        <w:spacing w:line="276" w:lineRule="auto" w:before="251"/>
        <w:ind w:left="616" w:right="135"/>
        <w:jc w:val="both"/>
      </w:pPr>
      <w:r>
        <w:rPr/>
        <w:t>Many people have a problem getting used to the taste of MMS. Quite a few people develop a veritable aversion during use, and just the thought of MMS brings</w:t>
      </w:r>
      <w:r>
        <w:rPr>
          <w:spacing w:val="-10"/>
        </w:rPr>
        <w:t> </w:t>
      </w:r>
      <w:r>
        <w:rPr/>
        <w:t>them</w:t>
      </w:r>
      <w:r>
        <w:rPr>
          <w:spacing w:val="-8"/>
        </w:rPr>
        <w:t> </w:t>
      </w:r>
      <w:r>
        <w:rPr/>
        <w:t>close</w:t>
      </w:r>
      <w:r>
        <w:rPr>
          <w:spacing w:val="-9"/>
        </w:rPr>
        <w:t> </w:t>
      </w:r>
      <w:r>
        <w:rPr/>
        <w:t>to</w:t>
      </w:r>
      <w:r>
        <w:rPr>
          <w:spacing w:val="-11"/>
        </w:rPr>
        <w:t> </w:t>
      </w:r>
      <w:r>
        <w:rPr/>
        <w:t>the</w:t>
      </w:r>
      <w:r>
        <w:rPr>
          <w:spacing w:val="-10"/>
        </w:rPr>
        <w:t> </w:t>
      </w:r>
      <w:r>
        <w:rPr/>
        <w:t>limit</w:t>
      </w:r>
      <w:r>
        <w:rPr>
          <w:spacing w:val="-11"/>
        </w:rPr>
        <w:t> </w:t>
      </w:r>
      <w:r>
        <w:rPr/>
        <w:t>of</w:t>
      </w:r>
      <w:r>
        <w:rPr>
          <w:spacing w:val="-11"/>
        </w:rPr>
        <w:t> </w:t>
      </w:r>
      <w:r>
        <w:rPr/>
        <w:t>keeping</w:t>
      </w:r>
      <w:r>
        <w:rPr>
          <w:spacing w:val="-8"/>
        </w:rPr>
        <w:t> </w:t>
      </w:r>
      <w:r>
        <w:rPr/>
        <w:t>their</w:t>
      </w:r>
      <w:r>
        <w:rPr>
          <w:spacing w:val="-10"/>
        </w:rPr>
        <w:t> </w:t>
      </w:r>
      <w:r>
        <w:rPr/>
        <w:t>food</w:t>
      </w:r>
      <w:r>
        <w:rPr>
          <w:spacing w:val="-9"/>
        </w:rPr>
        <w:t> </w:t>
      </w:r>
      <w:r>
        <w:rPr/>
        <w:t>down.</w:t>
      </w:r>
      <w:r>
        <w:rPr>
          <w:spacing w:val="-10"/>
        </w:rPr>
        <w:t> </w:t>
      </w:r>
      <w:r>
        <w:rPr/>
        <w:t>Jim</w:t>
      </w:r>
      <w:r>
        <w:rPr>
          <w:spacing w:val="-8"/>
        </w:rPr>
        <w:t> </w:t>
      </w:r>
      <w:r>
        <w:rPr/>
        <w:t>Humble</w:t>
      </w:r>
      <w:r>
        <w:rPr>
          <w:spacing w:val="-9"/>
        </w:rPr>
        <w:t> </w:t>
      </w:r>
      <w:r>
        <w:rPr/>
        <w:t>reveals a 5-step strategy for using fruit juice to override the taste as much as</w:t>
      </w:r>
      <w:r>
        <w:rPr>
          <w:spacing w:val="-32"/>
        </w:rPr>
        <w:t> </w:t>
      </w:r>
      <w:r>
        <w:rPr/>
        <w:t>possible:</w:t>
      </w:r>
    </w:p>
    <w:p>
      <w:pPr>
        <w:pStyle w:val="Heading1"/>
        <w:spacing w:before="222"/>
        <w:ind w:left="616"/>
        <w:jc w:val="both"/>
        <w:rPr>
          <w:b w:val="0"/>
          <w:i/>
          <w:sz w:val="38"/>
        </w:rPr>
      </w:pPr>
      <w:r>
        <w:rPr/>
        <w:t>Step 1</w:t>
      </w:r>
      <w:r>
        <w:rPr>
          <w:b w:val="0"/>
          <w:i/>
          <w:sz w:val="38"/>
        </w:rPr>
        <w:t>:</w:t>
      </w:r>
    </w:p>
    <w:p>
      <w:pPr>
        <w:pStyle w:val="BodyText"/>
        <w:spacing w:line="276" w:lineRule="auto" w:before="300"/>
        <w:ind w:left="616" w:right="134"/>
        <w:jc w:val="both"/>
      </w:pPr>
      <w:r>
        <w:rPr/>
        <w:t>Fill</w:t>
      </w:r>
      <w:r>
        <w:rPr>
          <w:spacing w:val="-11"/>
        </w:rPr>
        <w:t> </w:t>
      </w:r>
      <w:r>
        <w:rPr/>
        <w:t>half</w:t>
      </w:r>
      <w:r>
        <w:rPr>
          <w:spacing w:val="-9"/>
        </w:rPr>
        <w:t> </w:t>
      </w:r>
      <w:r>
        <w:rPr/>
        <w:t>of</w:t>
      </w:r>
      <w:r>
        <w:rPr>
          <w:spacing w:val="-9"/>
        </w:rPr>
        <w:t> </w:t>
      </w:r>
      <w:r>
        <w:rPr/>
        <w:t>the</w:t>
      </w:r>
      <w:r>
        <w:rPr>
          <w:spacing w:val="-10"/>
        </w:rPr>
        <w:t> </w:t>
      </w:r>
      <w:r>
        <w:rPr/>
        <w:t>glass</w:t>
      </w:r>
      <w:r>
        <w:rPr>
          <w:spacing w:val="-9"/>
        </w:rPr>
        <w:t> </w:t>
      </w:r>
      <w:r>
        <w:rPr/>
        <w:t>into</w:t>
      </w:r>
      <w:r>
        <w:rPr>
          <w:spacing w:val="-10"/>
        </w:rPr>
        <w:t> </w:t>
      </w:r>
      <w:r>
        <w:rPr/>
        <w:t>which</w:t>
      </w:r>
      <w:r>
        <w:rPr>
          <w:spacing w:val="-10"/>
        </w:rPr>
        <w:t> </w:t>
      </w:r>
      <w:r>
        <w:rPr/>
        <w:t>the</w:t>
      </w:r>
      <w:r>
        <w:rPr>
          <w:spacing w:val="-8"/>
        </w:rPr>
        <w:t> </w:t>
      </w:r>
      <w:r>
        <w:rPr/>
        <w:t>MMS</w:t>
      </w:r>
      <w:r>
        <w:rPr>
          <w:spacing w:val="-13"/>
        </w:rPr>
        <w:t> </w:t>
      </w:r>
      <w:r>
        <w:rPr/>
        <w:t>solution</w:t>
      </w:r>
      <w:r>
        <w:rPr>
          <w:spacing w:val="-9"/>
        </w:rPr>
        <w:t> </w:t>
      </w:r>
      <w:r>
        <w:rPr/>
        <w:t>is</w:t>
      </w:r>
      <w:r>
        <w:rPr>
          <w:spacing w:val="-11"/>
        </w:rPr>
        <w:t> </w:t>
      </w:r>
      <w:r>
        <w:rPr/>
        <w:t>to</w:t>
      </w:r>
      <w:r>
        <w:rPr>
          <w:spacing w:val="-11"/>
        </w:rPr>
        <w:t> </w:t>
      </w:r>
      <w:r>
        <w:rPr/>
        <w:t>be</w:t>
      </w:r>
      <w:r>
        <w:rPr>
          <w:spacing w:val="-10"/>
        </w:rPr>
        <w:t> </w:t>
      </w:r>
      <w:r>
        <w:rPr/>
        <w:t>produced</w:t>
      </w:r>
      <w:r>
        <w:rPr>
          <w:spacing w:val="-9"/>
        </w:rPr>
        <w:t> </w:t>
      </w:r>
      <w:r>
        <w:rPr/>
        <w:t>with</w:t>
      </w:r>
      <w:r>
        <w:rPr>
          <w:spacing w:val="-9"/>
        </w:rPr>
        <w:t> </w:t>
      </w:r>
      <w:r>
        <w:rPr/>
        <w:t>juice. The</w:t>
      </w:r>
      <w:r>
        <w:rPr>
          <w:spacing w:val="-13"/>
        </w:rPr>
        <w:t> </w:t>
      </w:r>
      <w:r>
        <w:rPr/>
        <w:t>juice</w:t>
      </w:r>
      <w:r>
        <w:rPr>
          <w:spacing w:val="-14"/>
        </w:rPr>
        <w:t> </w:t>
      </w:r>
      <w:r>
        <w:rPr/>
        <w:t>should</w:t>
      </w:r>
      <w:r>
        <w:rPr>
          <w:spacing w:val="-13"/>
        </w:rPr>
        <w:t> </w:t>
      </w:r>
      <w:r>
        <w:rPr/>
        <w:t>contain</w:t>
      </w:r>
      <w:r>
        <w:rPr>
          <w:spacing w:val="-12"/>
        </w:rPr>
        <w:t> </w:t>
      </w:r>
      <w:r>
        <w:rPr/>
        <w:t>no</w:t>
      </w:r>
      <w:r>
        <w:rPr>
          <w:spacing w:val="-13"/>
        </w:rPr>
        <w:t> </w:t>
      </w:r>
      <w:r>
        <w:rPr/>
        <w:t>vitamin</w:t>
      </w:r>
      <w:r>
        <w:rPr>
          <w:spacing w:val="-14"/>
        </w:rPr>
        <w:t> </w:t>
      </w:r>
      <w:r>
        <w:rPr/>
        <w:t>C,</w:t>
      </w:r>
      <w:r>
        <w:rPr>
          <w:spacing w:val="-15"/>
        </w:rPr>
        <w:t> </w:t>
      </w:r>
      <w:r>
        <w:rPr/>
        <w:t>as</w:t>
      </w:r>
      <w:r>
        <w:rPr>
          <w:spacing w:val="-14"/>
        </w:rPr>
        <w:t> </w:t>
      </w:r>
      <w:r>
        <w:rPr/>
        <w:t>this</w:t>
      </w:r>
      <w:r>
        <w:rPr>
          <w:spacing w:val="-12"/>
        </w:rPr>
        <w:t> </w:t>
      </w:r>
      <w:r>
        <w:rPr/>
        <w:t>reduces</w:t>
      </w:r>
      <w:r>
        <w:rPr>
          <w:spacing w:val="-14"/>
        </w:rPr>
        <w:t> </w:t>
      </w:r>
      <w:r>
        <w:rPr/>
        <w:t>the</w:t>
      </w:r>
      <w:r>
        <w:rPr>
          <w:spacing w:val="-13"/>
        </w:rPr>
        <w:t> </w:t>
      </w:r>
      <w:r>
        <w:rPr/>
        <w:t>effect</w:t>
      </w:r>
      <w:r>
        <w:rPr>
          <w:spacing w:val="-16"/>
        </w:rPr>
        <w:t> </w:t>
      </w:r>
      <w:r>
        <w:rPr/>
        <w:t>of</w:t>
      </w:r>
      <w:r>
        <w:rPr>
          <w:spacing w:val="-14"/>
        </w:rPr>
        <w:t> </w:t>
      </w:r>
      <w:r>
        <w:rPr/>
        <w:t>MMS.</w:t>
      </w:r>
      <w:r>
        <w:rPr>
          <w:spacing w:val="-13"/>
        </w:rPr>
        <w:t> </w:t>
      </w:r>
      <w:r>
        <w:rPr/>
        <w:t>This is followed by 2 teaspoons of the 10 % citric acid</w:t>
      </w:r>
      <w:r>
        <w:rPr>
          <w:spacing w:val="-9"/>
        </w:rPr>
        <w:t> </w:t>
      </w:r>
      <w:r>
        <w:rPr/>
        <w:t>solution.</w:t>
      </w:r>
    </w:p>
    <w:p>
      <w:pPr>
        <w:pStyle w:val="Heading1"/>
        <w:spacing w:before="222"/>
        <w:ind w:left="616"/>
        <w:jc w:val="both"/>
        <w:rPr>
          <w:b w:val="0"/>
          <w:i/>
          <w:sz w:val="38"/>
        </w:rPr>
      </w:pPr>
      <w:r>
        <w:rPr/>
        <w:t>Step 2</w:t>
      </w:r>
      <w:r>
        <w:rPr>
          <w:b w:val="0"/>
          <w:i/>
          <w:sz w:val="38"/>
        </w:rPr>
        <w:t>:</w:t>
      </w:r>
    </w:p>
    <w:p>
      <w:pPr>
        <w:spacing w:after="0"/>
        <w:jc w:val="both"/>
        <w:rPr>
          <w:sz w:val="38"/>
        </w:rPr>
        <w:sectPr>
          <w:footerReference w:type="default" r:id="rId243"/>
          <w:pgSz w:w="14270" w:h="16850"/>
          <w:pgMar w:footer="1891" w:header="0" w:top="1340" w:bottom="2080" w:left="800" w:right="1280"/>
          <w:pgNumType w:start="1030"/>
        </w:sectPr>
      </w:pPr>
    </w:p>
    <w:p>
      <w:pPr>
        <w:pStyle w:val="BodyText"/>
        <w:spacing w:line="276" w:lineRule="auto" w:before="72"/>
        <w:ind w:left="616" w:right="142"/>
        <w:jc w:val="both"/>
      </w:pPr>
      <w:r>
        <w:rPr/>
        <w:t>Add another glass of ¼ of the same juice. This should solely be used for rins- ing.</w:t>
      </w:r>
    </w:p>
    <w:p>
      <w:pPr>
        <w:pStyle w:val="Heading1"/>
        <w:spacing w:before="223"/>
        <w:ind w:left="616"/>
      </w:pPr>
      <w:r>
        <w:rPr/>
        <w:t>Step 3:</w:t>
      </w:r>
    </w:p>
    <w:p>
      <w:pPr>
        <w:pStyle w:val="BodyText"/>
        <w:spacing w:line="276" w:lineRule="auto" w:before="300"/>
        <w:ind w:left="616" w:right="137"/>
        <w:jc w:val="both"/>
      </w:pPr>
      <w:r>
        <w:rPr/>
        <w:t>In the third and final glass, you prepare the MMS solution. As usual, 5 drops of citric acid solution are added per drop of MMS, followed by three minutes of waiting. Next, add half the glass of juice from step 1.</w:t>
      </w:r>
    </w:p>
    <w:p>
      <w:pPr>
        <w:pStyle w:val="Heading1"/>
        <w:spacing w:before="222"/>
        <w:ind w:left="616"/>
        <w:rPr>
          <w:b w:val="0"/>
          <w:i/>
          <w:sz w:val="38"/>
        </w:rPr>
      </w:pPr>
      <w:r>
        <w:rPr/>
        <w:t>Step 4</w:t>
      </w:r>
      <w:r>
        <w:rPr>
          <w:b w:val="0"/>
          <w:i/>
          <w:sz w:val="38"/>
        </w:rPr>
        <w:t>:</w:t>
      </w:r>
    </w:p>
    <w:p>
      <w:pPr>
        <w:pStyle w:val="BodyText"/>
        <w:spacing w:line="276" w:lineRule="auto" w:before="299"/>
        <w:ind w:left="616" w:right="131"/>
        <w:jc w:val="both"/>
      </w:pPr>
      <w:r>
        <w:rPr/>
        <w:t>If</w:t>
      </w:r>
      <w:r>
        <w:rPr>
          <w:spacing w:val="-7"/>
        </w:rPr>
        <w:t> </w:t>
      </w:r>
      <w:r>
        <w:rPr/>
        <w:t>you</w:t>
      </w:r>
      <w:r>
        <w:rPr>
          <w:spacing w:val="-8"/>
        </w:rPr>
        <w:t> </w:t>
      </w:r>
      <w:r>
        <w:rPr/>
        <w:t>also</w:t>
      </w:r>
      <w:r>
        <w:rPr>
          <w:spacing w:val="-9"/>
        </w:rPr>
        <w:t> </w:t>
      </w:r>
      <w:r>
        <w:rPr/>
        <w:t>want</w:t>
      </w:r>
      <w:r>
        <w:rPr>
          <w:spacing w:val="-8"/>
        </w:rPr>
        <w:t> </w:t>
      </w:r>
      <w:r>
        <w:rPr/>
        <w:t>to</w:t>
      </w:r>
      <w:r>
        <w:rPr>
          <w:spacing w:val="-6"/>
        </w:rPr>
        <w:t> </w:t>
      </w:r>
      <w:r>
        <w:rPr/>
        <w:t>conceal</w:t>
      </w:r>
      <w:r>
        <w:rPr>
          <w:spacing w:val="-10"/>
        </w:rPr>
        <w:t> </w:t>
      </w:r>
      <w:r>
        <w:rPr/>
        <w:t>the</w:t>
      </w:r>
      <w:r>
        <w:rPr>
          <w:spacing w:val="-6"/>
        </w:rPr>
        <w:t> </w:t>
      </w:r>
      <w:r>
        <w:rPr/>
        <w:t>taste,</w:t>
      </w:r>
      <w:r>
        <w:rPr>
          <w:spacing w:val="-5"/>
        </w:rPr>
        <w:t> </w:t>
      </w:r>
      <w:r>
        <w:rPr/>
        <w:t>you</w:t>
      </w:r>
      <w:r>
        <w:rPr>
          <w:spacing w:val="-10"/>
        </w:rPr>
        <w:t> </w:t>
      </w:r>
      <w:r>
        <w:rPr/>
        <w:t>can</w:t>
      </w:r>
      <w:r>
        <w:rPr>
          <w:spacing w:val="-6"/>
        </w:rPr>
        <w:t> </w:t>
      </w:r>
      <w:r>
        <w:rPr/>
        <w:t>put</w:t>
      </w:r>
      <w:r>
        <w:rPr>
          <w:spacing w:val="-10"/>
        </w:rPr>
        <w:t> </w:t>
      </w:r>
      <w:r>
        <w:rPr/>
        <w:t>a</w:t>
      </w:r>
      <w:r>
        <w:rPr>
          <w:spacing w:val="-9"/>
        </w:rPr>
        <w:t> </w:t>
      </w:r>
      <w:r>
        <w:rPr/>
        <w:t>piece</w:t>
      </w:r>
      <w:r>
        <w:rPr>
          <w:spacing w:val="-6"/>
        </w:rPr>
        <w:t> </w:t>
      </w:r>
      <w:r>
        <w:rPr/>
        <w:t>of</w:t>
      </w:r>
      <w:r>
        <w:rPr>
          <w:spacing w:val="-9"/>
        </w:rPr>
        <w:t> </w:t>
      </w:r>
      <w:r>
        <w:rPr/>
        <w:t>confectionery</w:t>
      </w:r>
      <w:r>
        <w:rPr>
          <w:spacing w:val="-8"/>
        </w:rPr>
        <w:t> </w:t>
      </w:r>
      <w:r>
        <w:rPr/>
        <w:t>(e.g. lemon or caramel confectionery) into your mouth even before drinking the MMS liquid.</w:t>
      </w:r>
    </w:p>
    <w:p>
      <w:pPr>
        <w:pStyle w:val="Heading1"/>
        <w:ind w:left="616"/>
        <w:rPr>
          <w:b w:val="0"/>
          <w:i/>
          <w:sz w:val="38"/>
        </w:rPr>
      </w:pPr>
      <w:r>
        <w:rPr/>
        <w:t>Step 5</w:t>
      </w:r>
      <w:r>
        <w:rPr>
          <w:b w:val="0"/>
          <w:i/>
          <w:sz w:val="38"/>
        </w:rPr>
        <w:t>:</w:t>
      </w:r>
    </w:p>
    <w:p>
      <w:pPr>
        <w:pStyle w:val="BodyText"/>
        <w:spacing w:line="276" w:lineRule="auto" w:before="299"/>
        <w:ind w:left="616" w:right="136"/>
        <w:jc w:val="both"/>
      </w:pPr>
      <w:r>
        <w:rPr/>
        <w:t>The last and decisive step: Drink half the glass with MMS quickly without breathing and the drink the glass of juice without MMS immediately after- wards. Again, you should drink as much as possible without having to</w:t>
      </w:r>
      <w:r>
        <w:rPr>
          <w:spacing w:val="-65"/>
        </w:rPr>
        <w:t> </w:t>
      </w:r>
      <w:r>
        <w:rPr/>
        <w:t>breathe in between. This is important because breathing oxidises the MMS in the mouth and reveals the taste.</w:t>
      </w:r>
    </w:p>
    <w:p>
      <w:pPr>
        <w:pStyle w:val="BodyText"/>
        <w:spacing w:before="240"/>
        <w:ind w:left="616"/>
      </w:pPr>
      <w:r>
        <w:rPr/>
        <w:t>Side effects of MMS</w:t>
      </w:r>
    </w:p>
    <w:p>
      <w:pPr>
        <w:pStyle w:val="Heading1"/>
        <w:spacing w:line="264" w:lineRule="auto" w:before="287"/>
        <w:ind w:left="616" w:right="146"/>
        <w:jc w:val="both"/>
      </w:pPr>
      <w:r>
        <w:rPr/>
        <w:t>Is</w:t>
      </w:r>
      <w:r>
        <w:rPr>
          <w:spacing w:val="-35"/>
        </w:rPr>
        <w:t> </w:t>
      </w:r>
      <w:r>
        <w:rPr/>
        <w:t>MMS</w:t>
      </w:r>
      <w:r>
        <w:rPr>
          <w:spacing w:val="-35"/>
        </w:rPr>
        <w:t> </w:t>
      </w:r>
      <w:r>
        <w:rPr/>
        <w:t>(Miracle</w:t>
      </w:r>
      <w:r>
        <w:rPr>
          <w:spacing w:val="-36"/>
        </w:rPr>
        <w:t> </w:t>
      </w:r>
      <w:r>
        <w:rPr/>
        <w:t>Mineral</w:t>
      </w:r>
      <w:r>
        <w:rPr>
          <w:spacing w:val="-35"/>
        </w:rPr>
        <w:t> </w:t>
      </w:r>
      <w:r>
        <w:rPr/>
        <w:t>Supplement)</w:t>
      </w:r>
      <w:r>
        <w:rPr>
          <w:spacing w:val="-34"/>
        </w:rPr>
        <w:t> </w:t>
      </w:r>
      <w:r>
        <w:rPr/>
        <w:t>only</w:t>
      </w:r>
      <w:r>
        <w:rPr>
          <w:spacing w:val="-35"/>
        </w:rPr>
        <w:t> </w:t>
      </w:r>
      <w:r>
        <w:rPr/>
        <w:t>dangerous</w:t>
      </w:r>
      <w:r>
        <w:rPr>
          <w:spacing w:val="-34"/>
        </w:rPr>
        <w:t> </w:t>
      </w:r>
      <w:r>
        <w:rPr/>
        <w:t>to</w:t>
      </w:r>
      <w:r>
        <w:rPr>
          <w:spacing w:val="-35"/>
        </w:rPr>
        <w:t> </w:t>
      </w:r>
      <w:r>
        <w:rPr/>
        <w:t>harmful</w:t>
      </w:r>
      <w:r>
        <w:rPr>
          <w:spacing w:val="-36"/>
        </w:rPr>
        <w:t> </w:t>
      </w:r>
      <w:r>
        <w:rPr/>
        <w:t>or- ganisms?</w:t>
      </w:r>
    </w:p>
    <w:p>
      <w:pPr>
        <w:spacing w:after="0" w:line="264" w:lineRule="auto"/>
        <w:jc w:val="both"/>
        <w:sectPr>
          <w:pgSz w:w="14270" w:h="16850"/>
          <w:pgMar w:header="0" w:footer="1891" w:top="1340" w:bottom="2080" w:left="800" w:right="1280"/>
        </w:sectPr>
      </w:pPr>
    </w:p>
    <w:p>
      <w:pPr>
        <w:pStyle w:val="BodyText"/>
        <w:spacing w:line="276" w:lineRule="auto" w:before="74"/>
        <w:ind w:left="616" w:right="138"/>
        <w:jc w:val="both"/>
      </w:pPr>
      <w:r>
        <w:rPr/>
        <w:t>At this point, it is important to emphasise once again that MMS is neither ap- proved as a medicine nor as a dietary supplement and that the application is solely at one's own risk!</w:t>
      </w:r>
    </w:p>
    <w:p>
      <w:pPr>
        <w:pStyle w:val="BodyText"/>
        <w:spacing w:line="276" w:lineRule="auto" w:before="239"/>
        <w:ind w:left="616" w:right="139"/>
        <w:jc w:val="both"/>
      </w:pPr>
      <w:r>
        <w:rPr/>
        <w:t>According</w:t>
      </w:r>
      <w:r>
        <w:rPr>
          <w:spacing w:val="-17"/>
        </w:rPr>
        <w:t> </w:t>
      </w:r>
      <w:r>
        <w:rPr/>
        <w:t>to</w:t>
      </w:r>
      <w:r>
        <w:rPr>
          <w:spacing w:val="-17"/>
        </w:rPr>
        <w:t> </w:t>
      </w:r>
      <w:r>
        <w:rPr/>
        <w:t>Jim</w:t>
      </w:r>
      <w:r>
        <w:rPr>
          <w:spacing w:val="-18"/>
        </w:rPr>
        <w:t> </w:t>
      </w:r>
      <w:r>
        <w:rPr/>
        <w:t>Humble,</w:t>
      </w:r>
      <w:r>
        <w:rPr>
          <w:spacing w:val="-17"/>
        </w:rPr>
        <w:t> </w:t>
      </w:r>
      <w:r>
        <w:rPr/>
        <w:t>the</w:t>
      </w:r>
      <w:r>
        <w:rPr>
          <w:spacing w:val="-19"/>
        </w:rPr>
        <w:t> </w:t>
      </w:r>
      <w:r>
        <w:rPr/>
        <w:t>Miracle</w:t>
      </w:r>
      <w:r>
        <w:rPr>
          <w:spacing w:val="-18"/>
        </w:rPr>
        <w:t> </w:t>
      </w:r>
      <w:r>
        <w:rPr/>
        <w:t>Mineral</w:t>
      </w:r>
      <w:r>
        <w:rPr>
          <w:spacing w:val="-19"/>
        </w:rPr>
        <w:t> </w:t>
      </w:r>
      <w:r>
        <w:rPr/>
        <w:t>Supplement</w:t>
      </w:r>
      <w:r>
        <w:rPr>
          <w:spacing w:val="-18"/>
        </w:rPr>
        <w:t> </w:t>
      </w:r>
      <w:r>
        <w:rPr/>
        <w:t>(MMS)</w:t>
      </w:r>
      <w:r>
        <w:rPr>
          <w:spacing w:val="-18"/>
        </w:rPr>
        <w:t> </w:t>
      </w:r>
      <w:r>
        <w:rPr/>
        <w:t>is</w:t>
      </w:r>
      <w:r>
        <w:rPr>
          <w:spacing w:val="-18"/>
        </w:rPr>
        <w:t> </w:t>
      </w:r>
      <w:r>
        <w:rPr/>
        <w:t>harmless to humans when used properly. This is explained by the fact that MMS only attacks and destroys microbes with a pH value of &lt;7. Human blood has an acid value (pH value) of 7.35-7.45, which means that humans are</w:t>
      </w:r>
      <w:r>
        <w:rPr>
          <w:spacing w:val="-16"/>
        </w:rPr>
        <w:t> </w:t>
      </w:r>
      <w:r>
        <w:rPr/>
        <w:t>protected.</w:t>
      </w:r>
    </w:p>
    <w:p>
      <w:pPr>
        <w:pStyle w:val="BodyText"/>
        <w:spacing w:line="276" w:lineRule="auto" w:before="242"/>
        <w:ind w:left="616" w:right="129"/>
        <w:jc w:val="both"/>
      </w:pPr>
      <w:r>
        <w:rPr/>
        <w:t>Chlorine</w:t>
      </w:r>
      <w:r>
        <w:rPr>
          <w:spacing w:val="-23"/>
        </w:rPr>
        <w:t> </w:t>
      </w:r>
      <w:r>
        <w:rPr/>
        <w:t>dioxide</w:t>
      </w:r>
      <w:r>
        <w:rPr>
          <w:spacing w:val="-23"/>
        </w:rPr>
        <w:t> </w:t>
      </w:r>
      <w:r>
        <w:rPr/>
        <w:t>has</w:t>
      </w:r>
      <w:r>
        <w:rPr>
          <w:spacing w:val="-25"/>
        </w:rPr>
        <w:t> </w:t>
      </w:r>
      <w:r>
        <w:rPr/>
        <w:t>been</w:t>
      </w:r>
      <w:r>
        <w:rPr>
          <w:spacing w:val="-24"/>
        </w:rPr>
        <w:t> </w:t>
      </w:r>
      <w:r>
        <w:rPr/>
        <w:t>used</w:t>
      </w:r>
      <w:r>
        <w:rPr>
          <w:spacing w:val="-24"/>
        </w:rPr>
        <w:t> </w:t>
      </w:r>
      <w:r>
        <w:rPr/>
        <w:t>around</w:t>
      </w:r>
      <w:r>
        <w:rPr>
          <w:spacing w:val="-24"/>
        </w:rPr>
        <w:t> </w:t>
      </w:r>
      <w:r>
        <w:rPr/>
        <w:t>the</w:t>
      </w:r>
      <w:r>
        <w:rPr>
          <w:spacing w:val="-22"/>
        </w:rPr>
        <w:t> </w:t>
      </w:r>
      <w:r>
        <w:rPr/>
        <w:t>world</w:t>
      </w:r>
      <w:r>
        <w:rPr>
          <w:spacing w:val="-23"/>
        </w:rPr>
        <w:t> </w:t>
      </w:r>
      <w:r>
        <w:rPr/>
        <w:t>for</w:t>
      </w:r>
      <w:r>
        <w:rPr>
          <w:spacing w:val="-23"/>
        </w:rPr>
        <w:t> </w:t>
      </w:r>
      <w:r>
        <w:rPr/>
        <w:t>over</w:t>
      </w:r>
      <w:r>
        <w:rPr>
          <w:spacing w:val="-24"/>
        </w:rPr>
        <w:t> </w:t>
      </w:r>
      <w:r>
        <w:rPr/>
        <w:t>70</w:t>
      </w:r>
      <w:r>
        <w:rPr>
          <w:spacing w:val="-24"/>
        </w:rPr>
        <w:t> </w:t>
      </w:r>
      <w:r>
        <w:rPr/>
        <w:t>years</w:t>
      </w:r>
      <w:r>
        <w:rPr>
          <w:spacing w:val="-25"/>
        </w:rPr>
        <w:t> </w:t>
      </w:r>
      <w:r>
        <w:rPr/>
        <w:t>to</w:t>
      </w:r>
      <w:r>
        <w:rPr>
          <w:spacing w:val="-22"/>
        </w:rPr>
        <w:t> </w:t>
      </w:r>
      <w:r>
        <w:rPr/>
        <w:t>kill</w:t>
      </w:r>
      <w:r>
        <w:rPr>
          <w:spacing w:val="-26"/>
        </w:rPr>
        <w:t> </w:t>
      </w:r>
      <w:r>
        <w:rPr/>
        <w:t>germs and pathogens in water purification systems without harming benign bacteria. Chlorine dioxide is an oxidising agent in the truest sense that remains stable for only two hours until it breaks down into chloride (table</w:t>
      </w:r>
      <w:r>
        <w:rPr>
          <w:spacing w:val="-6"/>
        </w:rPr>
        <w:t> </w:t>
      </w:r>
      <w:r>
        <w:rPr/>
        <w:t>salt).</w:t>
      </w:r>
    </w:p>
    <w:p>
      <w:pPr>
        <w:pStyle w:val="BodyText"/>
        <w:spacing w:line="276" w:lineRule="auto" w:before="239"/>
        <w:ind w:left="616" w:right="140"/>
        <w:jc w:val="both"/>
      </w:pPr>
      <w:r>
        <w:rPr/>
        <w:t>However, one dose of MMS continuously releases chlorine dioxide ions over twelve hours; in other words − MMS develops its effect in the organism over twelve hours; it does not leave anything that would lead to side effects.</w:t>
      </w:r>
    </w:p>
    <w:p>
      <w:pPr>
        <w:pStyle w:val="BodyText"/>
        <w:spacing w:line="276" w:lineRule="auto" w:before="242"/>
        <w:ind w:left="616" w:right="138"/>
        <w:jc w:val="both"/>
      </w:pPr>
      <w:r>
        <w:rPr/>
        <w:t>The side effects, which occur very frequently directly after drinking, include nausea. Some people have to vomit; however, according to Humble, this hap- pens only once.</w:t>
      </w:r>
    </w:p>
    <w:p>
      <w:pPr>
        <w:pStyle w:val="BodyText"/>
        <w:spacing w:line="276" w:lineRule="auto" w:before="238"/>
        <w:ind w:left="616" w:right="135"/>
        <w:jc w:val="both"/>
      </w:pPr>
      <w:r>
        <w:rPr/>
        <w:t>Jim</w:t>
      </w:r>
      <w:r>
        <w:rPr>
          <w:spacing w:val="-15"/>
        </w:rPr>
        <w:t> </w:t>
      </w:r>
      <w:r>
        <w:rPr/>
        <w:t>Humble</w:t>
      </w:r>
      <w:r>
        <w:rPr>
          <w:spacing w:val="-15"/>
        </w:rPr>
        <w:t> </w:t>
      </w:r>
      <w:r>
        <w:rPr/>
        <w:t>describes</w:t>
      </w:r>
      <w:r>
        <w:rPr>
          <w:spacing w:val="-13"/>
        </w:rPr>
        <w:t> </w:t>
      </w:r>
      <w:r>
        <w:rPr/>
        <w:t>this</w:t>
      </w:r>
      <w:r>
        <w:rPr>
          <w:spacing w:val="-16"/>
        </w:rPr>
        <w:t> </w:t>
      </w:r>
      <w:r>
        <w:rPr/>
        <w:t>as</w:t>
      </w:r>
      <w:r>
        <w:rPr>
          <w:spacing w:val="-16"/>
        </w:rPr>
        <w:t> </w:t>
      </w:r>
      <w:r>
        <w:rPr/>
        <w:t>a</w:t>
      </w:r>
      <w:r>
        <w:rPr>
          <w:spacing w:val="-15"/>
        </w:rPr>
        <w:t> </w:t>
      </w:r>
      <w:r>
        <w:rPr/>
        <w:t>positive</w:t>
      </w:r>
      <w:r>
        <w:rPr>
          <w:spacing w:val="-14"/>
        </w:rPr>
        <w:t> </w:t>
      </w:r>
      <w:r>
        <w:rPr/>
        <w:t>indication</w:t>
      </w:r>
      <w:r>
        <w:rPr>
          <w:spacing w:val="-14"/>
        </w:rPr>
        <w:t> </w:t>
      </w:r>
      <w:r>
        <w:rPr/>
        <w:t>that</w:t>
      </w:r>
      <w:r>
        <w:rPr>
          <w:spacing w:val="-14"/>
        </w:rPr>
        <w:t> </w:t>
      </w:r>
      <w:r>
        <w:rPr/>
        <w:t>MMS</w:t>
      </w:r>
      <w:r>
        <w:rPr>
          <w:spacing w:val="-15"/>
        </w:rPr>
        <w:t> </w:t>
      </w:r>
      <w:r>
        <w:rPr/>
        <w:t>works</w:t>
      </w:r>
      <w:r>
        <w:rPr>
          <w:spacing w:val="-14"/>
        </w:rPr>
        <w:t> </w:t>
      </w:r>
      <w:r>
        <w:rPr/>
        <w:t>by</w:t>
      </w:r>
      <w:r>
        <w:rPr>
          <w:spacing w:val="-16"/>
        </w:rPr>
        <w:t> </w:t>
      </w:r>
      <w:r>
        <w:rPr/>
        <w:t>explain- ing these side effects with the Herxheimer reaction. This refers to a situation where vast amounts of bacteria, viruses, fungi and parasites die suddenly, re- leasing toxic substances.</w:t>
      </w:r>
    </w:p>
    <w:p>
      <w:pPr>
        <w:spacing w:after="0" w:line="276" w:lineRule="auto"/>
        <w:jc w:val="both"/>
        <w:sectPr>
          <w:pgSz w:w="14270" w:h="16850"/>
          <w:pgMar w:header="0" w:footer="1891" w:top="1340" w:bottom="2080" w:left="800" w:right="1280"/>
        </w:sectPr>
      </w:pPr>
    </w:p>
    <w:p>
      <w:pPr>
        <w:pStyle w:val="BodyText"/>
        <w:spacing w:line="276" w:lineRule="auto" w:before="74"/>
        <w:ind w:left="616" w:right="134"/>
        <w:jc w:val="both"/>
      </w:pPr>
      <w:r>
        <w:rPr/>
        <w:t>The reduction of the dose has been found to be a remedy, but a glass of cold water has proven itself as an immediate remedy. If this does not help, you should dissolve 1-5 g of vitamin C in water and drink it. Alternatively, Jim Humble</w:t>
      </w:r>
      <w:r>
        <w:rPr>
          <w:spacing w:val="-10"/>
        </w:rPr>
        <w:t> </w:t>
      </w:r>
      <w:r>
        <w:rPr/>
        <w:t>recommends</w:t>
      </w:r>
      <w:r>
        <w:rPr>
          <w:spacing w:val="-8"/>
        </w:rPr>
        <w:t> </w:t>
      </w:r>
      <w:r>
        <w:rPr/>
        <w:t>soda</w:t>
      </w:r>
      <w:r>
        <w:rPr>
          <w:spacing w:val="-12"/>
        </w:rPr>
        <w:t> </w:t>
      </w:r>
      <w:r>
        <w:rPr/>
        <w:t>or</w:t>
      </w:r>
      <w:r>
        <w:rPr>
          <w:spacing w:val="-9"/>
        </w:rPr>
        <w:t> </w:t>
      </w:r>
      <w:r>
        <w:rPr/>
        <w:t>an</w:t>
      </w:r>
      <w:r>
        <w:rPr>
          <w:spacing w:val="-9"/>
        </w:rPr>
        <w:t> </w:t>
      </w:r>
      <w:r>
        <w:rPr/>
        <w:t>Alka-Seltzer</w:t>
      </w:r>
      <w:r>
        <w:rPr>
          <w:spacing w:val="-9"/>
        </w:rPr>
        <w:t> </w:t>
      </w:r>
      <w:r>
        <w:rPr/>
        <w:t>tablet</w:t>
      </w:r>
      <w:r>
        <w:rPr>
          <w:spacing w:val="-9"/>
        </w:rPr>
        <w:t> </w:t>
      </w:r>
      <w:r>
        <w:rPr/>
        <w:t>dissolved</w:t>
      </w:r>
      <w:r>
        <w:rPr>
          <w:spacing w:val="-8"/>
        </w:rPr>
        <w:t> </w:t>
      </w:r>
      <w:r>
        <w:rPr/>
        <w:t>in</w:t>
      </w:r>
      <w:r>
        <w:rPr>
          <w:spacing w:val="-14"/>
        </w:rPr>
        <w:t> </w:t>
      </w:r>
      <w:r>
        <w:rPr/>
        <w:t>a</w:t>
      </w:r>
      <w:r>
        <w:rPr>
          <w:spacing w:val="-10"/>
        </w:rPr>
        <w:t> </w:t>
      </w:r>
      <w:r>
        <w:rPr/>
        <w:t>glass</w:t>
      </w:r>
      <w:r>
        <w:rPr>
          <w:spacing w:val="-9"/>
        </w:rPr>
        <w:t> </w:t>
      </w:r>
      <w:r>
        <w:rPr/>
        <w:t>of</w:t>
      </w:r>
      <w:r>
        <w:rPr>
          <w:spacing w:val="-10"/>
        </w:rPr>
        <w:t> </w:t>
      </w:r>
      <w:r>
        <w:rPr/>
        <w:t>wa- ter. Humble attributes a protective mechanism to the body: vomiting. He is convinced that even a very high dose could not do any serious harm, because you</w:t>
      </w:r>
      <w:r>
        <w:rPr>
          <w:spacing w:val="-14"/>
        </w:rPr>
        <w:t> </w:t>
      </w:r>
      <w:r>
        <w:rPr/>
        <w:t>would</w:t>
      </w:r>
      <w:r>
        <w:rPr>
          <w:spacing w:val="-12"/>
        </w:rPr>
        <w:t> </w:t>
      </w:r>
      <w:r>
        <w:rPr/>
        <w:t>simply</w:t>
      </w:r>
      <w:r>
        <w:rPr>
          <w:spacing w:val="-11"/>
        </w:rPr>
        <w:t> </w:t>
      </w:r>
      <w:r>
        <w:rPr/>
        <w:t>vomit</w:t>
      </w:r>
      <w:r>
        <w:rPr>
          <w:spacing w:val="-13"/>
        </w:rPr>
        <w:t> </w:t>
      </w:r>
      <w:r>
        <w:rPr/>
        <w:t>beforehand.</w:t>
      </w:r>
      <w:r>
        <w:rPr>
          <w:spacing w:val="-11"/>
        </w:rPr>
        <w:t> </w:t>
      </w:r>
      <w:r>
        <w:rPr/>
        <w:t>He</w:t>
      </w:r>
      <w:r>
        <w:rPr>
          <w:spacing w:val="-12"/>
        </w:rPr>
        <w:t> </w:t>
      </w:r>
      <w:r>
        <w:rPr/>
        <w:t>also</w:t>
      </w:r>
      <w:r>
        <w:rPr>
          <w:spacing w:val="-11"/>
        </w:rPr>
        <w:t> </w:t>
      </w:r>
      <w:r>
        <w:rPr/>
        <w:t>states</w:t>
      </w:r>
      <w:r>
        <w:rPr>
          <w:spacing w:val="-12"/>
        </w:rPr>
        <w:t> </w:t>
      </w:r>
      <w:r>
        <w:rPr/>
        <w:t>that</w:t>
      </w:r>
      <w:r>
        <w:rPr>
          <w:spacing w:val="-12"/>
        </w:rPr>
        <w:t> </w:t>
      </w:r>
      <w:r>
        <w:rPr/>
        <w:t>overdosing</w:t>
      </w:r>
      <w:r>
        <w:rPr>
          <w:spacing w:val="-11"/>
        </w:rPr>
        <w:t> </w:t>
      </w:r>
      <w:r>
        <w:rPr/>
        <w:t>may</w:t>
      </w:r>
      <w:r>
        <w:rPr>
          <w:spacing w:val="-12"/>
        </w:rPr>
        <w:t> </w:t>
      </w:r>
      <w:r>
        <w:rPr/>
        <w:t>result in hospitalisation but death will not occur under any</w:t>
      </w:r>
      <w:r>
        <w:rPr>
          <w:spacing w:val="-8"/>
        </w:rPr>
        <w:t> </w:t>
      </w:r>
      <w:r>
        <w:rPr/>
        <w:t>circumstances.</w:t>
      </w:r>
    </w:p>
    <w:p>
      <w:pPr>
        <w:pStyle w:val="BodyText"/>
        <w:spacing w:line="276" w:lineRule="auto" w:before="241"/>
        <w:ind w:left="616" w:right="136"/>
        <w:jc w:val="both"/>
      </w:pPr>
      <w:r>
        <w:rPr/>
        <w:t>In</w:t>
      </w:r>
      <w:r>
        <w:rPr>
          <w:spacing w:val="-9"/>
        </w:rPr>
        <w:t> </w:t>
      </w:r>
      <w:r>
        <w:rPr/>
        <w:t>case</w:t>
      </w:r>
      <w:r>
        <w:rPr>
          <w:spacing w:val="-7"/>
        </w:rPr>
        <w:t> </w:t>
      </w:r>
      <w:r>
        <w:rPr/>
        <w:t>of</w:t>
      </w:r>
      <w:r>
        <w:rPr>
          <w:spacing w:val="-8"/>
        </w:rPr>
        <w:t> </w:t>
      </w:r>
      <w:r>
        <w:rPr/>
        <w:t>overdose,</w:t>
      </w:r>
      <w:r>
        <w:rPr>
          <w:spacing w:val="-9"/>
        </w:rPr>
        <w:t> </w:t>
      </w:r>
      <w:r>
        <w:rPr/>
        <w:t>drink</w:t>
      </w:r>
      <w:r>
        <w:rPr>
          <w:spacing w:val="-9"/>
        </w:rPr>
        <w:t> </w:t>
      </w:r>
      <w:r>
        <w:rPr/>
        <w:t>plenty</w:t>
      </w:r>
      <w:r>
        <w:rPr>
          <w:spacing w:val="-11"/>
        </w:rPr>
        <w:t> </w:t>
      </w:r>
      <w:r>
        <w:rPr/>
        <w:t>of</w:t>
      </w:r>
      <w:r>
        <w:rPr>
          <w:spacing w:val="-8"/>
        </w:rPr>
        <w:t> </w:t>
      </w:r>
      <w:r>
        <w:rPr/>
        <w:t>water</w:t>
      </w:r>
      <w:r>
        <w:rPr>
          <w:spacing w:val="-8"/>
        </w:rPr>
        <w:t> </w:t>
      </w:r>
      <w:r>
        <w:rPr/>
        <w:t>(at</w:t>
      </w:r>
      <w:r>
        <w:rPr>
          <w:spacing w:val="-10"/>
        </w:rPr>
        <w:t> </w:t>
      </w:r>
      <w:r>
        <w:rPr/>
        <w:t>least</w:t>
      </w:r>
      <w:r>
        <w:rPr>
          <w:spacing w:val="-9"/>
        </w:rPr>
        <w:t> </w:t>
      </w:r>
      <w:r>
        <w:rPr/>
        <w:t>5</w:t>
      </w:r>
      <w:r>
        <w:rPr>
          <w:spacing w:val="-9"/>
        </w:rPr>
        <w:t> </w:t>
      </w:r>
      <w:r>
        <w:rPr/>
        <w:t>glasses)</w:t>
      </w:r>
      <w:r>
        <w:rPr>
          <w:spacing w:val="-8"/>
        </w:rPr>
        <w:t> </w:t>
      </w:r>
      <w:r>
        <w:rPr/>
        <w:t>at</w:t>
      </w:r>
      <w:r>
        <w:rPr>
          <w:spacing w:val="-11"/>
        </w:rPr>
        <w:t> </w:t>
      </w:r>
      <w:r>
        <w:rPr/>
        <w:t>once,</w:t>
      </w:r>
      <w:r>
        <w:rPr>
          <w:spacing w:val="-8"/>
        </w:rPr>
        <w:t> </w:t>
      </w:r>
      <w:r>
        <w:rPr/>
        <w:t>optimally with</w:t>
      </w:r>
      <w:r>
        <w:rPr>
          <w:spacing w:val="-8"/>
        </w:rPr>
        <w:t> </w:t>
      </w:r>
      <w:r>
        <w:rPr/>
        <w:t>vitamin</w:t>
      </w:r>
      <w:r>
        <w:rPr>
          <w:spacing w:val="-8"/>
        </w:rPr>
        <w:t> </w:t>
      </w:r>
      <w:r>
        <w:rPr/>
        <w:t>C</w:t>
      </w:r>
      <w:r>
        <w:rPr>
          <w:spacing w:val="-10"/>
        </w:rPr>
        <w:t> </w:t>
      </w:r>
      <w:r>
        <w:rPr/>
        <w:t>(5-6</w:t>
      </w:r>
      <w:r>
        <w:rPr>
          <w:spacing w:val="-9"/>
        </w:rPr>
        <w:t> </w:t>
      </w:r>
      <w:r>
        <w:rPr/>
        <w:t>g)</w:t>
      </w:r>
      <w:r>
        <w:rPr>
          <w:spacing w:val="-8"/>
        </w:rPr>
        <w:t> </w:t>
      </w:r>
      <w:r>
        <w:rPr/>
        <w:t>dissolved</w:t>
      </w:r>
      <w:r>
        <w:rPr>
          <w:spacing w:val="-6"/>
        </w:rPr>
        <w:t> </w:t>
      </w:r>
      <w:r>
        <w:rPr/>
        <w:t>in</w:t>
      </w:r>
      <w:r>
        <w:rPr>
          <w:spacing w:val="-8"/>
        </w:rPr>
        <w:t> </w:t>
      </w:r>
      <w:r>
        <w:rPr/>
        <w:t>it,</w:t>
      </w:r>
      <w:r>
        <w:rPr>
          <w:spacing w:val="-8"/>
        </w:rPr>
        <w:t> </w:t>
      </w:r>
      <w:r>
        <w:rPr/>
        <w:t>even</w:t>
      </w:r>
      <w:r>
        <w:rPr>
          <w:spacing w:val="-8"/>
        </w:rPr>
        <w:t> </w:t>
      </w:r>
      <w:r>
        <w:rPr/>
        <w:t>if</w:t>
      </w:r>
      <w:r>
        <w:rPr>
          <w:spacing w:val="-9"/>
        </w:rPr>
        <w:t> </w:t>
      </w:r>
      <w:r>
        <w:rPr/>
        <w:t>you</w:t>
      </w:r>
      <w:r>
        <w:rPr>
          <w:spacing w:val="-8"/>
        </w:rPr>
        <w:t> </w:t>
      </w:r>
      <w:r>
        <w:rPr/>
        <w:t>vomit.</w:t>
      </w:r>
      <w:r>
        <w:rPr>
          <w:spacing w:val="-8"/>
        </w:rPr>
        <w:t> </w:t>
      </w:r>
      <w:r>
        <w:rPr/>
        <w:t>The</w:t>
      </w:r>
      <w:r>
        <w:rPr>
          <w:spacing w:val="-8"/>
        </w:rPr>
        <w:t> </w:t>
      </w:r>
      <w:r>
        <w:rPr/>
        <w:t>vomit</w:t>
      </w:r>
      <w:r>
        <w:rPr>
          <w:spacing w:val="-10"/>
        </w:rPr>
        <w:t> </w:t>
      </w:r>
      <w:r>
        <w:rPr/>
        <w:t>flushes</w:t>
      </w:r>
      <w:r>
        <w:rPr>
          <w:spacing w:val="-7"/>
        </w:rPr>
        <w:t> </w:t>
      </w:r>
      <w:r>
        <w:rPr/>
        <w:t>the MMS out of the body</w:t>
      </w:r>
      <w:r>
        <w:rPr>
          <w:spacing w:val="-4"/>
        </w:rPr>
        <w:t> </w:t>
      </w:r>
      <w:r>
        <w:rPr/>
        <w:t>again.</w:t>
      </w:r>
    </w:p>
    <w:p>
      <w:pPr>
        <w:pStyle w:val="BodyText"/>
        <w:spacing w:line="276" w:lineRule="auto" w:before="239"/>
        <w:ind w:left="616" w:right="140"/>
        <w:jc w:val="both"/>
        <w:rPr>
          <w:sz w:val="25"/>
        </w:rPr>
      </w:pPr>
      <w:r>
        <w:rPr/>
        <w:t>Humble thinks an overdose would be so high that 50 drops of MMS would not cause one. But there are many people who would take 100 drops a day, even if Humble personally advised against it.</w:t>
      </w:r>
      <w:r>
        <w:rPr>
          <w:position w:val="9"/>
          <w:sz w:val="25"/>
        </w:rPr>
        <w:t>559</w:t>
      </w:r>
    </w:p>
    <w:p>
      <w:pPr>
        <w:pStyle w:val="BodyText"/>
        <w:spacing w:before="242"/>
        <w:ind w:left="616"/>
        <w:jc w:val="both"/>
      </w:pPr>
      <w:r>
        <w:rPr/>
        <w:t>Make your own MMS</w:t>
      </w:r>
    </w:p>
    <w:p>
      <w:pPr>
        <w:pStyle w:val="Heading1"/>
        <w:spacing w:before="287"/>
        <w:ind w:left="616"/>
        <w:jc w:val="both"/>
      </w:pPr>
      <w:r>
        <w:rPr/>
        <w:t>Instructions for making your own</w:t>
      </w:r>
      <w:r>
        <w:rPr>
          <w:spacing w:val="-55"/>
        </w:rPr>
        <w:t> </w:t>
      </w:r>
      <w:r>
        <w:rPr/>
        <w:t>MMS</w:t>
      </w:r>
    </w:p>
    <w:p>
      <w:pPr>
        <w:pStyle w:val="BodyText"/>
        <w:spacing w:line="276" w:lineRule="auto" w:before="297"/>
        <w:ind w:left="616" w:right="140"/>
        <w:jc w:val="both"/>
      </w:pPr>
      <w:r>
        <w:rPr/>
        <w:t>It's easy to get ready-made MMS over the internet. However, for those who prefer to make it themselves using the individual ingredients, Humble intro- duces a guide that we would like to share with you.</w:t>
      </w:r>
    </w:p>
    <w:p>
      <w:pPr>
        <w:pStyle w:val="BodyText"/>
        <w:spacing w:before="241"/>
        <w:ind w:left="616"/>
        <w:jc w:val="both"/>
      </w:pPr>
      <w:r>
        <w:rPr/>
        <w:t>The following instructions describe the production of 357 g of MMS. 100 g</w:t>
      </w:r>
    </w:p>
    <w:p>
      <w:pPr>
        <w:pStyle w:val="BodyText"/>
        <w:rPr>
          <w:sz w:val="20"/>
        </w:rPr>
      </w:pPr>
    </w:p>
    <w:p>
      <w:pPr>
        <w:pStyle w:val="BodyText"/>
        <w:spacing w:before="2"/>
        <w:rPr>
          <w:sz w:val="15"/>
        </w:rPr>
      </w:pPr>
      <w:r>
        <w:rPr/>
        <w:pict>
          <v:line style="position:absolute;mso-position-horizontal-relative:page;mso-position-vertical-relative:paragraph;z-index:7328;mso-wrap-distance-left:0;mso-wrap-distance-right:0" from="70.823997pt,10.908735pt" to="214.843997pt,10.908735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559 </w:t>
      </w:r>
      <w:hyperlink r:id="rId244">
        <w:r>
          <w:rPr>
            <w:sz w:val="20"/>
          </w:rPr>
          <w:t>http://www.jimhumblemms.de/node/13</w:t>
        </w:r>
      </w:hyperlink>
    </w:p>
    <w:p>
      <w:pPr>
        <w:spacing w:after="0"/>
        <w:jc w:val="left"/>
        <w:rPr>
          <w:sz w:val="20"/>
        </w:rPr>
        <w:sectPr>
          <w:pgSz w:w="14270" w:h="16850"/>
          <w:pgMar w:header="0" w:footer="1891" w:top="1340" w:bottom="2080" w:left="800" w:right="1280"/>
        </w:sectPr>
      </w:pPr>
    </w:p>
    <w:p>
      <w:pPr>
        <w:pStyle w:val="BodyText"/>
        <w:spacing w:line="276" w:lineRule="auto" w:before="72"/>
        <w:ind w:left="616" w:right="134"/>
        <w:jc w:val="both"/>
      </w:pPr>
      <w:r>
        <w:rPr/>
        <w:t>sodium</w:t>
      </w:r>
      <w:r>
        <w:rPr>
          <w:spacing w:val="-21"/>
        </w:rPr>
        <w:t> </w:t>
      </w:r>
      <w:r>
        <w:rPr/>
        <w:t>chlorite</w:t>
      </w:r>
      <w:r>
        <w:rPr>
          <w:spacing w:val="-24"/>
        </w:rPr>
        <w:t> </w:t>
      </w:r>
      <w:r>
        <w:rPr/>
        <w:t>gives</w:t>
      </w:r>
      <w:r>
        <w:rPr>
          <w:spacing w:val="-21"/>
        </w:rPr>
        <w:t> </w:t>
      </w:r>
      <w:r>
        <w:rPr/>
        <w:t>exactly</w:t>
      </w:r>
      <w:r>
        <w:rPr>
          <w:spacing w:val="-21"/>
        </w:rPr>
        <w:t> </w:t>
      </w:r>
      <w:r>
        <w:rPr/>
        <w:t>357</w:t>
      </w:r>
      <w:r>
        <w:rPr>
          <w:spacing w:val="-19"/>
        </w:rPr>
        <w:t> </w:t>
      </w:r>
      <w:r>
        <w:rPr/>
        <w:t>g</w:t>
      </w:r>
      <w:r>
        <w:rPr>
          <w:spacing w:val="-23"/>
        </w:rPr>
        <w:t> </w:t>
      </w:r>
      <w:r>
        <w:rPr/>
        <w:t>of</w:t>
      </w:r>
      <w:r>
        <w:rPr>
          <w:spacing w:val="-20"/>
        </w:rPr>
        <w:t> </w:t>
      </w:r>
      <w:r>
        <w:rPr/>
        <w:t>MMS;</w:t>
      </w:r>
      <w:r>
        <w:rPr>
          <w:spacing w:val="-23"/>
        </w:rPr>
        <w:t> </w:t>
      </w:r>
      <w:r>
        <w:rPr/>
        <w:t>hence</w:t>
      </w:r>
      <w:r>
        <w:rPr>
          <w:spacing w:val="-22"/>
        </w:rPr>
        <w:t> </w:t>
      </w:r>
      <w:r>
        <w:rPr/>
        <w:t>the</w:t>
      </w:r>
      <w:r>
        <w:rPr>
          <w:spacing w:val="-22"/>
        </w:rPr>
        <w:t> </w:t>
      </w:r>
      <w:r>
        <w:rPr/>
        <w:t>somewhat</w:t>
      </w:r>
      <w:r>
        <w:rPr>
          <w:spacing w:val="-24"/>
        </w:rPr>
        <w:t> </w:t>
      </w:r>
      <w:r>
        <w:rPr/>
        <w:t>strange</w:t>
      </w:r>
      <w:r>
        <w:rPr>
          <w:spacing w:val="-20"/>
        </w:rPr>
        <w:t> </w:t>
      </w:r>
      <w:r>
        <w:rPr/>
        <w:t>num- ber! With 357 g, you receive around 1400 single doses of MMS, which is a quantity of MMS that can supply a whole family for years to</w:t>
      </w:r>
      <w:r>
        <w:rPr>
          <w:spacing w:val="-5"/>
        </w:rPr>
        <w:t> </w:t>
      </w:r>
      <w:r>
        <w:rPr/>
        <w:t>come.</w:t>
      </w:r>
    </w:p>
    <w:p>
      <w:pPr>
        <w:pStyle w:val="Heading1"/>
        <w:ind w:left="616"/>
      </w:pPr>
      <w:r>
        <w:rPr/>
        <w:t>The required utensils</w:t>
      </w:r>
    </w:p>
    <w:p>
      <w:pPr>
        <w:pStyle w:val="BodyText"/>
        <w:spacing w:line="278" w:lineRule="auto" w:before="299"/>
        <w:ind w:left="616"/>
      </w:pPr>
      <w:r>
        <w:rPr/>
        <w:t>The following items are required to make the Miracle Mineral Supplement (MMS) yourself:</w:t>
      </w:r>
    </w:p>
    <w:p>
      <w:pPr>
        <w:pStyle w:val="ListParagraph"/>
        <w:numPr>
          <w:ilvl w:val="2"/>
          <w:numId w:val="74"/>
        </w:numPr>
        <w:tabs>
          <w:tab w:pos="1696" w:val="left" w:leader="none"/>
          <w:tab w:pos="1697" w:val="left" w:leader="none"/>
        </w:tabs>
        <w:spacing w:line="240" w:lineRule="auto" w:before="193" w:after="0"/>
        <w:ind w:left="1758" w:right="0" w:hanging="422"/>
        <w:jc w:val="left"/>
        <w:rPr>
          <w:sz w:val="38"/>
        </w:rPr>
      </w:pPr>
      <w:r>
        <w:rPr>
          <w:sz w:val="38"/>
        </w:rPr>
        <w:t>A plastic bottle, at least 500 ml in size and as opaque as</w:t>
      </w:r>
      <w:r>
        <w:rPr>
          <w:spacing w:val="-14"/>
          <w:sz w:val="38"/>
        </w:rPr>
        <w:t> </w:t>
      </w:r>
      <w:r>
        <w:rPr>
          <w:sz w:val="38"/>
        </w:rPr>
        <w:t>possible</w:t>
      </w:r>
    </w:p>
    <w:p>
      <w:pPr>
        <w:pStyle w:val="ListParagraph"/>
        <w:numPr>
          <w:ilvl w:val="2"/>
          <w:numId w:val="74"/>
        </w:numPr>
        <w:tabs>
          <w:tab w:pos="1696" w:val="left" w:leader="none"/>
          <w:tab w:pos="1697" w:val="left" w:leader="none"/>
        </w:tabs>
        <w:spacing w:line="240" w:lineRule="auto" w:before="184" w:after="0"/>
        <w:ind w:left="1758" w:right="0" w:hanging="422"/>
        <w:jc w:val="left"/>
        <w:rPr>
          <w:sz w:val="38"/>
        </w:rPr>
      </w:pPr>
      <w:r>
        <w:rPr>
          <w:sz w:val="38"/>
        </w:rPr>
        <w:t>950 ml of distilled</w:t>
      </w:r>
      <w:r>
        <w:rPr>
          <w:spacing w:val="-1"/>
          <w:sz w:val="38"/>
        </w:rPr>
        <w:t> </w:t>
      </w:r>
      <w:r>
        <w:rPr>
          <w:sz w:val="38"/>
        </w:rPr>
        <w:t>water</w:t>
      </w:r>
    </w:p>
    <w:p>
      <w:pPr>
        <w:pStyle w:val="ListParagraph"/>
        <w:numPr>
          <w:ilvl w:val="2"/>
          <w:numId w:val="74"/>
        </w:numPr>
        <w:tabs>
          <w:tab w:pos="1696" w:val="left" w:leader="none"/>
          <w:tab w:pos="1697" w:val="left" w:leader="none"/>
        </w:tabs>
        <w:spacing w:line="240" w:lineRule="auto" w:before="184" w:after="0"/>
        <w:ind w:left="1758" w:right="0" w:hanging="422"/>
        <w:jc w:val="left"/>
        <w:rPr>
          <w:sz w:val="38"/>
        </w:rPr>
      </w:pPr>
      <w:r>
        <w:rPr>
          <w:sz w:val="38"/>
        </w:rPr>
        <w:t>Measuring cup with</w:t>
      </w:r>
      <w:r>
        <w:rPr>
          <w:spacing w:val="2"/>
          <w:sz w:val="38"/>
        </w:rPr>
        <w:t> </w:t>
      </w:r>
      <w:r>
        <w:rPr>
          <w:sz w:val="38"/>
        </w:rPr>
        <w:t>spout</w:t>
      </w:r>
    </w:p>
    <w:p>
      <w:pPr>
        <w:pStyle w:val="ListParagraph"/>
        <w:numPr>
          <w:ilvl w:val="2"/>
          <w:numId w:val="74"/>
        </w:numPr>
        <w:tabs>
          <w:tab w:pos="1696" w:val="left" w:leader="none"/>
          <w:tab w:pos="1697" w:val="left" w:leader="none"/>
        </w:tabs>
        <w:spacing w:line="240" w:lineRule="auto" w:before="183" w:after="0"/>
        <w:ind w:left="1758" w:right="0" w:hanging="422"/>
        <w:jc w:val="left"/>
        <w:rPr>
          <w:sz w:val="38"/>
        </w:rPr>
      </w:pPr>
      <w:r>
        <w:rPr>
          <w:sz w:val="38"/>
        </w:rPr>
        <w:t>A &lt;1 litre</w:t>
      </w:r>
      <w:r>
        <w:rPr>
          <w:spacing w:val="-1"/>
          <w:sz w:val="38"/>
        </w:rPr>
        <w:t> </w:t>
      </w:r>
      <w:r>
        <w:rPr>
          <w:sz w:val="38"/>
        </w:rPr>
        <w:t>saucepan</w:t>
      </w:r>
    </w:p>
    <w:p>
      <w:pPr>
        <w:pStyle w:val="ListParagraph"/>
        <w:numPr>
          <w:ilvl w:val="2"/>
          <w:numId w:val="74"/>
        </w:numPr>
        <w:tabs>
          <w:tab w:pos="1696" w:val="left" w:leader="none"/>
          <w:tab w:pos="1697" w:val="left" w:leader="none"/>
        </w:tabs>
        <w:spacing w:line="240" w:lineRule="auto" w:before="186" w:after="0"/>
        <w:ind w:left="1758" w:right="0" w:hanging="422"/>
        <w:jc w:val="left"/>
        <w:rPr>
          <w:sz w:val="38"/>
        </w:rPr>
      </w:pPr>
      <w:r>
        <w:rPr>
          <w:sz w:val="38"/>
        </w:rPr>
        <w:t>A big plastic</w:t>
      </w:r>
      <w:r>
        <w:rPr>
          <w:spacing w:val="1"/>
          <w:sz w:val="38"/>
        </w:rPr>
        <w:t> </w:t>
      </w:r>
      <w:r>
        <w:rPr>
          <w:sz w:val="38"/>
        </w:rPr>
        <w:t>spoon</w:t>
      </w:r>
    </w:p>
    <w:p>
      <w:pPr>
        <w:pStyle w:val="ListParagraph"/>
        <w:numPr>
          <w:ilvl w:val="2"/>
          <w:numId w:val="74"/>
        </w:numPr>
        <w:tabs>
          <w:tab w:pos="1696" w:val="left" w:leader="none"/>
          <w:tab w:pos="1697" w:val="left" w:leader="none"/>
        </w:tabs>
        <w:spacing w:line="240" w:lineRule="auto" w:before="184" w:after="0"/>
        <w:ind w:left="1758" w:right="0" w:hanging="422"/>
        <w:jc w:val="left"/>
        <w:rPr>
          <w:sz w:val="38"/>
        </w:rPr>
      </w:pPr>
      <w:r>
        <w:rPr>
          <w:sz w:val="38"/>
        </w:rPr>
        <w:t>A kitchen scale</w:t>
      </w:r>
    </w:p>
    <w:p>
      <w:pPr>
        <w:pStyle w:val="ListParagraph"/>
        <w:numPr>
          <w:ilvl w:val="2"/>
          <w:numId w:val="74"/>
        </w:numPr>
        <w:tabs>
          <w:tab w:pos="1696" w:val="left" w:leader="none"/>
          <w:tab w:pos="1697" w:val="left" w:leader="none"/>
        </w:tabs>
        <w:spacing w:line="240" w:lineRule="auto" w:before="184" w:after="0"/>
        <w:ind w:left="1758" w:right="0" w:hanging="422"/>
        <w:jc w:val="left"/>
        <w:rPr>
          <w:sz w:val="38"/>
        </w:rPr>
      </w:pPr>
      <w:r>
        <w:rPr>
          <w:sz w:val="38"/>
        </w:rPr>
        <w:t>Some smaller bottles to fill with</w:t>
      </w:r>
      <w:r>
        <w:rPr>
          <w:spacing w:val="2"/>
          <w:sz w:val="38"/>
        </w:rPr>
        <w:t> </w:t>
      </w:r>
      <w:r>
        <w:rPr>
          <w:sz w:val="38"/>
        </w:rPr>
        <w:t>MMS</w:t>
      </w:r>
    </w:p>
    <w:p>
      <w:pPr>
        <w:pStyle w:val="ListParagraph"/>
        <w:numPr>
          <w:ilvl w:val="2"/>
          <w:numId w:val="74"/>
        </w:numPr>
        <w:tabs>
          <w:tab w:pos="1696" w:val="left" w:leader="none"/>
          <w:tab w:pos="1697" w:val="left" w:leader="none"/>
        </w:tabs>
        <w:spacing w:line="240" w:lineRule="auto" w:before="184" w:after="0"/>
        <w:ind w:left="1758" w:right="0" w:hanging="422"/>
        <w:jc w:val="left"/>
        <w:rPr>
          <w:sz w:val="38"/>
        </w:rPr>
      </w:pPr>
      <w:r>
        <w:rPr>
          <w:sz w:val="38"/>
        </w:rPr>
        <w:t>100 g sodium chlori</w:t>
      </w:r>
      <w:r>
        <w:rPr>
          <w:b/>
          <w:sz w:val="38"/>
        </w:rPr>
        <w:t>te </w:t>
      </w:r>
      <w:r>
        <w:rPr>
          <w:sz w:val="38"/>
        </w:rPr>
        <w:t>(not sodium</w:t>
      </w:r>
      <w:r>
        <w:rPr>
          <w:spacing w:val="-2"/>
          <w:sz w:val="38"/>
        </w:rPr>
        <w:t> </w:t>
      </w:r>
      <w:r>
        <w:rPr>
          <w:sz w:val="38"/>
        </w:rPr>
        <w:t>chlori</w:t>
      </w:r>
      <w:r>
        <w:rPr>
          <w:b/>
          <w:sz w:val="38"/>
        </w:rPr>
        <w:t>de!</w:t>
      </w:r>
      <w:r>
        <w:rPr>
          <w:sz w:val="38"/>
        </w:rPr>
        <w:t>)</w:t>
      </w:r>
    </w:p>
    <w:p>
      <w:pPr>
        <w:pStyle w:val="Heading1"/>
        <w:spacing w:line="391" w:lineRule="auto" w:before="287"/>
        <w:ind w:left="616" w:right="5651"/>
      </w:pPr>
      <w:r>
        <w:rPr/>
        <w:t>The</w:t>
      </w:r>
      <w:r>
        <w:rPr>
          <w:spacing w:val="-63"/>
        </w:rPr>
        <w:t> </w:t>
      </w:r>
      <w:r>
        <w:rPr/>
        <w:t>production</w:t>
      </w:r>
      <w:r>
        <w:rPr>
          <w:spacing w:val="-62"/>
        </w:rPr>
        <w:t> </w:t>
      </w:r>
      <w:r>
        <w:rPr/>
        <w:t>of</w:t>
      </w:r>
      <w:r>
        <w:rPr>
          <w:spacing w:val="-62"/>
        </w:rPr>
        <w:t> </w:t>
      </w:r>
      <w:r>
        <w:rPr/>
        <w:t>the</w:t>
      </w:r>
      <w:r>
        <w:rPr>
          <w:spacing w:val="-62"/>
        </w:rPr>
        <w:t> </w:t>
      </w:r>
      <w:r>
        <w:rPr/>
        <w:t>MMS</w:t>
      </w:r>
      <w:r>
        <w:rPr>
          <w:spacing w:val="-62"/>
        </w:rPr>
        <w:t> </w:t>
      </w:r>
      <w:r>
        <w:rPr/>
        <w:t>solution Step 1:</w:t>
      </w:r>
    </w:p>
    <w:p>
      <w:pPr>
        <w:pStyle w:val="BodyText"/>
        <w:spacing w:before="14"/>
        <w:ind w:left="616"/>
        <w:jc w:val="both"/>
      </w:pPr>
      <w:r>
        <w:rPr/>
        <w:t>Weigh out 100 grams of sodium chlorite powder.</w:t>
      </w:r>
    </w:p>
    <w:p>
      <w:pPr>
        <w:pStyle w:val="Heading1"/>
        <w:spacing w:before="286"/>
        <w:ind w:left="616"/>
        <w:jc w:val="both"/>
      </w:pPr>
      <w:r>
        <w:rPr/>
        <w:t>Step 2:</w:t>
      </w:r>
    </w:p>
    <w:p>
      <w:pPr>
        <w:spacing w:after="0"/>
        <w:jc w:val="both"/>
        <w:sectPr>
          <w:pgSz w:w="14270" w:h="16850"/>
          <w:pgMar w:header="0" w:footer="1891" w:top="1340" w:bottom="2080" w:left="800" w:right="1280"/>
        </w:sectPr>
      </w:pPr>
    </w:p>
    <w:p>
      <w:pPr>
        <w:pStyle w:val="BodyText"/>
        <w:spacing w:before="74"/>
        <w:ind w:left="616"/>
        <w:jc w:val="both"/>
      </w:pPr>
      <w:r>
        <w:rPr/>
        <w:t>Add exactly 257 ml of distilled water to the saucepan.</w:t>
      </w:r>
    </w:p>
    <w:p>
      <w:pPr>
        <w:pStyle w:val="Heading1"/>
        <w:spacing w:before="287"/>
        <w:ind w:left="616"/>
        <w:jc w:val="both"/>
      </w:pPr>
      <w:r>
        <w:rPr/>
        <w:t>Step 3:</w:t>
      </w:r>
    </w:p>
    <w:p>
      <w:pPr>
        <w:pStyle w:val="BodyText"/>
        <w:spacing w:before="297"/>
        <w:ind w:left="616"/>
        <w:jc w:val="both"/>
      </w:pPr>
      <w:r>
        <w:rPr/>
        <w:t>Now add the weighed 100 g sodium chlorite powder to the saucepan.</w:t>
      </w:r>
    </w:p>
    <w:p>
      <w:pPr>
        <w:pStyle w:val="Heading1"/>
        <w:spacing w:before="288"/>
        <w:ind w:left="616"/>
        <w:jc w:val="both"/>
      </w:pPr>
      <w:r>
        <w:rPr/>
        <w:t>Step 4:</w:t>
      </w:r>
    </w:p>
    <w:p>
      <w:pPr>
        <w:pStyle w:val="BodyText"/>
        <w:spacing w:line="278" w:lineRule="auto" w:before="299"/>
        <w:ind w:left="616"/>
      </w:pPr>
      <w:r>
        <w:rPr/>
        <w:t>Turn on the hob and stir with a plastic spoon until the powder has completely dissolved. The water should not boil, but should just be slightly heated!</w:t>
      </w:r>
    </w:p>
    <w:p>
      <w:pPr>
        <w:pStyle w:val="Heading1"/>
        <w:spacing w:before="215"/>
        <w:ind w:left="616"/>
      </w:pPr>
      <w:r>
        <w:rPr/>
        <w:t>Step 5:</w:t>
      </w:r>
    </w:p>
    <w:p>
      <w:pPr>
        <w:pStyle w:val="BodyText"/>
        <w:spacing w:line="276" w:lineRule="auto" w:before="300"/>
        <w:ind w:left="616"/>
      </w:pPr>
      <w:r>
        <w:rPr/>
        <w:t>Transfer the liquid into the measuring cup and fill the bottle with it. Screw</w:t>
      </w:r>
      <w:r>
        <w:rPr>
          <w:spacing w:val="-62"/>
        </w:rPr>
        <w:t> </w:t>
      </w:r>
      <w:r>
        <w:rPr/>
        <w:t>the bottle cap closed and let the liquid cool down.</w:t>
      </w:r>
    </w:p>
    <w:p>
      <w:pPr>
        <w:pStyle w:val="Heading1"/>
        <w:spacing w:before="221"/>
        <w:ind w:left="616"/>
      </w:pPr>
      <w:r>
        <w:rPr/>
        <w:t>Step 6:</w:t>
      </w:r>
    </w:p>
    <w:p>
      <w:pPr>
        <w:pStyle w:val="BodyText"/>
        <w:spacing w:line="276" w:lineRule="auto" w:before="299"/>
        <w:ind w:left="616" w:right="132"/>
        <w:jc w:val="both"/>
      </w:pPr>
      <w:r>
        <w:rPr/>
        <w:t>Transfer</w:t>
      </w:r>
      <w:r>
        <w:rPr>
          <w:spacing w:val="-15"/>
        </w:rPr>
        <w:t> </w:t>
      </w:r>
      <w:r>
        <w:rPr/>
        <w:t>the</w:t>
      </w:r>
      <w:r>
        <w:rPr>
          <w:spacing w:val="-14"/>
        </w:rPr>
        <w:t> </w:t>
      </w:r>
      <w:r>
        <w:rPr/>
        <w:t>liquid</w:t>
      </w:r>
      <w:r>
        <w:rPr>
          <w:spacing w:val="-17"/>
        </w:rPr>
        <w:t> </w:t>
      </w:r>
      <w:r>
        <w:rPr/>
        <w:t>to</w:t>
      </w:r>
      <w:r>
        <w:rPr>
          <w:spacing w:val="-15"/>
        </w:rPr>
        <w:t> </w:t>
      </w:r>
      <w:r>
        <w:rPr/>
        <w:t>the</w:t>
      </w:r>
      <w:r>
        <w:rPr>
          <w:spacing w:val="-15"/>
        </w:rPr>
        <w:t> </w:t>
      </w:r>
      <w:r>
        <w:rPr/>
        <w:t>smaller</w:t>
      </w:r>
      <w:r>
        <w:rPr>
          <w:spacing w:val="-15"/>
        </w:rPr>
        <w:t> </w:t>
      </w:r>
      <w:r>
        <w:rPr/>
        <w:t>bottles</w:t>
      </w:r>
      <w:r>
        <w:rPr>
          <w:spacing w:val="-17"/>
        </w:rPr>
        <w:t> </w:t>
      </w:r>
      <w:r>
        <w:rPr/>
        <w:t>or</w:t>
      </w:r>
      <w:r>
        <w:rPr>
          <w:spacing w:val="-15"/>
        </w:rPr>
        <w:t> </w:t>
      </w:r>
      <w:r>
        <w:rPr/>
        <w:t>leave</w:t>
      </w:r>
      <w:r>
        <w:rPr>
          <w:spacing w:val="-17"/>
        </w:rPr>
        <w:t> </w:t>
      </w:r>
      <w:r>
        <w:rPr/>
        <w:t>it</w:t>
      </w:r>
      <w:r>
        <w:rPr>
          <w:spacing w:val="-17"/>
        </w:rPr>
        <w:t> </w:t>
      </w:r>
      <w:r>
        <w:rPr/>
        <w:t>in</w:t>
      </w:r>
      <w:r>
        <w:rPr>
          <w:spacing w:val="-16"/>
        </w:rPr>
        <w:t> </w:t>
      </w:r>
      <w:r>
        <w:rPr/>
        <w:t>one</w:t>
      </w:r>
      <w:r>
        <w:rPr>
          <w:spacing w:val="-15"/>
        </w:rPr>
        <w:t> </w:t>
      </w:r>
      <w:r>
        <w:rPr/>
        <w:t>large</w:t>
      </w:r>
      <w:r>
        <w:rPr>
          <w:spacing w:val="-15"/>
        </w:rPr>
        <w:t> </w:t>
      </w:r>
      <w:r>
        <w:rPr/>
        <w:t>one.</w:t>
      </w:r>
      <w:r>
        <w:rPr>
          <w:spacing w:val="-16"/>
        </w:rPr>
        <w:t> </w:t>
      </w:r>
      <w:r>
        <w:rPr/>
        <w:t>According to</w:t>
      </w:r>
      <w:r>
        <w:rPr>
          <w:spacing w:val="-8"/>
        </w:rPr>
        <w:t> </w:t>
      </w:r>
      <w:r>
        <w:rPr/>
        <w:t>Humble,</w:t>
      </w:r>
      <w:r>
        <w:rPr>
          <w:spacing w:val="-8"/>
        </w:rPr>
        <w:t> </w:t>
      </w:r>
      <w:r>
        <w:rPr/>
        <w:t>the</w:t>
      </w:r>
      <w:r>
        <w:rPr>
          <w:spacing w:val="-10"/>
        </w:rPr>
        <w:t> </w:t>
      </w:r>
      <w:r>
        <w:rPr/>
        <w:t>MMS</w:t>
      </w:r>
      <w:r>
        <w:rPr>
          <w:spacing w:val="-8"/>
        </w:rPr>
        <w:t> </w:t>
      </w:r>
      <w:r>
        <w:rPr/>
        <w:t>lasts</w:t>
      </w:r>
      <w:r>
        <w:rPr>
          <w:spacing w:val="-8"/>
        </w:rPr>
        <w:t> </w:t>
      </w:r>
      <w:r>
        <w:rPr/>
        <w:t>for</w:t>
      </w:r>
      <w:r>
        <w:rPr>
          <w:spacing w:val="-7"/>
        </w:rPr>
        <w:t> </w:t>
      </w:r>
      <w:r>
        <w:rPr/>
        <w:t>two</w:t>
      </w:r>
      <w:r>
        <w:rPr>
          <w:spacing w:val="-7"/>
        </w:rPr>
        <w:t> </w:t>
      </w:r>
      <w:r>
        <w:rPr/>
        <w:t>to</w:t>
      </w:r>
      <w:r>
        <w:rPr>
          <w:spacing w:val="-8"/>
        </w:rPr>
        <w:t> </w:t>
      </w:r>
      <w:r>
        <w:rPr/>
        <w:t>four</w:t>
      </w:r>
      <w:r>
        <w:rPr>
          <w:spacing w:val="-8"/>
        </w:rPr>
        <w:t> </w:t>
      </w:r>
      <w:r>
        <w:rPr/>
        <w:t>years</w:t>
      </w:r>
      <w:r>
        <w:rPr>
          <w:spacing w:val="-11"/>
        </w:rPr>
        <w:t> </w:t>
      </w:r>
      <w:r>
        <w:rPr/>
        <w:t>in</w:t>
      </w:r>
      <w:r>
        <w:rPr>
          <w:spacing w:val="-8"/>
        </w:rPr>
        <w:t> </w:t>
      </w:r>
      <w:r>
        <w:rPr/>
        <w:t>dark</w:t>
      </w:r>
      <w:r>
        <w:rPr>
          <w:spacing w:val="-8"/>
        </w:rPr>
        <w:t> </w:t>
      </w:r>
      <w:r>
        <w:rPr/>
        <w:t>bottles</w:t>
      </w:r>
      <w:r>
        <w:rPr>
          <w:spacing w:val="-10"/>
        </w:rPr>
        <w:t> </w:t>
      </w:r>
      <w:r>
        <w:rPr/>
        <w:t>when</w:t>
      </w:r>
      <w:r>
        <w:rPr>
          <w:spacing w:val="-7"/>
        </w:rPr>
        <w:t> </w:t>
      </w:r>
      <w:r>
        <w:rPr/>
        <w:t>stored</w:t>
      </w:r>
      <w:r>
        <w:rPr>
          <w:spacing w:val="-9"/>
        </w:rPr>
        <w:t> </w:t>
      </w:r>
      <w:r>
        <w:rPr/>
        <w:t>as prescribed. Since the dried sodium chlorite is highly flammable, you should immediately wipe off any spilled liquid.</w:t>
      </w:r>
    </w:p>
    <w:p>
      <w:pPr>
        <w:pStyle w:val="BodyText"/>
        <w:rPr>
          <w:sz w:val="42"/>
        </w:rPr>
      </w:pPr>
    </w:p>
    <w:p>
      <w:pPr>
        <w:pStyle w:val="BodyText"/>
        <w:rPr>
          <w:sz w:val="42"/>
        </w:rPr>
      </w:pPr>
    </w:p>
    <w:p>
      <w:pPr>
        <w:pStyle w:val="BodyText"/>
        <w:spacing w:before="5"/>
        <w:rPr>
          <w:sz w:val="60"/>
        </w:rPr>
      </w:pPr>
    </w:p>
    <w:p>
      <w:pPr>
        <w:pStyle w:val="Heading2"/>
        <w:ind w:left="616"/>
        <w:jc w:val="both"/>
      </w:pPr>
      <w:r>
        <w:rPr/>
        <w:t>MMS − the book</w:t>
      </w:r>
    </w:p>
    <w:p>
      <w:pPr>
        <w:spacing w:before="287"/>
        <w:ind w:left="616" w:right="0" w:firstLine="0"/>
        <w:jc w:val="both"/>
        <w:rPr>
          <w:b/>
          <w:i/>
          <w:sz w:val="40"/>
        </w:rPr>
      </w:pPr>
      <w:r>
        <w:rPr>
          <w:b/>
          <w:i/>
          <w:sz w:val="40"/>
        </w:rPr>
        <w:t>free download:</w:t>
      </w:r>
    </w:p>
    <w:p>
      <w:pPr>
        <w:spacing w:after="0"/>
        <w:jc w:val="both"/>
        <w:rPr>
          <w:sz w:val="40"/>
        </w:rPr>
        <w:sectPr>
          <w:pgSz w:w="14270" w:h="16850"/>
          <w:pgMar w:header="0" w:footer="1891" w:top="1340" w:bottom="2080" w:left="800" w:right="1280"/>
        </w:sectPr>
      </w:pPr>
    </w:p>
    <w:p>
      <w:pPr>
        <w:pStyle w:val="BodyText"/>
        <w:spacing w:line="276" w:lineRule="auto" w:before="74"/>
        <w:ind w:left="616" w:right="136"/>
        <w:jc w:val="both"/>
      </w:pPr>
      <w:r>
        <w:rPr/>
        <w:t>To maximise the dissemination of information about MMS, Jim Humble de- cided to provide you with parts of the two-part book, '”The Miracle Mineral Solution of the 21st Century” for free:</w:t>
      </w:r>
    </w:p>
    <w:p>
      <w:pPr>
        <w:pStyle w:val="BodyText"/>
        <w:spacing w:line="276" w:lineRule="auto" w:before="239"/>
        <w:ind w:left="616" w:right="5518"/>
      </w:pPr>
      <w:r>
        <w:rPr/>
        <w:t>https://mijnstrijdtegenkanker.files.word- press.com/2010/05/mms_part_21.pdf</w:t>
      </w: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spacing w:before="293"/>
        <w:ind w:left="616" w:right="0" w:firstLine="0"/>
        <w:jc w:val="left"/>
        <w:rPr>
          <w:rFonts w:ascii="Cambria"/>
          <w:b/>
          <w:sz w:val="28"/>
        </w:rPr>
      </w:pPr>
      <w:r>
        <w:rPr>
          <w:rFonts w:ascii="Cambria"/>
          <w:b/>
          <w:color w:val="365F91"/>
          <w:sz w:val="28"/>
        </w:rPr>
        <w:t>OMEGA-3 FATTY ACIDS</w:t>
      </w:r>
    </w:p>
    <w:p>
      <w:pPr>
        <w:pStyle w:val="BodyText"/>
        <w:spacing w:before="7"/>
        <w:rPr>
          <w:rFonts w:ascii="Cambria"/>
          <w:b/>
          <w:sz w:val="24"/>
        </w:rPr>
      </w:pPr>
    </w:p>
    <w:p>
      <w:pPr>
        <w:pStyle w:val="BodyText"/>
        <w:spacing w:before="1"/>
        <w:ind w:left="616"/>
      </w:pPr>
      <w:r>
        <w:rPr/>
        <w:t>What are Omega-3 fatty acids?</w:t>
      </w:r>
    </w:p>
    <w:p>
      <w:pPr>
        <w:pStyle w:val="BodyText"/>
        <w:spacing w:line="276" w:lineRule="auto" w:before="302"/>
        <w:ind w:left="616" w:right="132"/>
        <w:jc w:val="both"/>
      </w:pPr>
      <w:r>
        <w:rPr/>
        <w:t>You have surely already heard that there are 'good' and 'bad' fats. Fats which, on the one hand, can cause illness in our affluent society – on the other hand, other fats which are vital for our organism. Few people are aware of the fact that, within the second group of good fats, there are also those who can act</w:t>
      </w:r>
      <w:r>
        <w:rPr>
          <w:spacing w:val="-63"/>
        </w:rPr>
        <w:t> </w:t>
      </w:r>
      <w:r>
        <w:rPr/>
        <w:t>as true health-bringers. The latter undoubtedly include the omega-3 fatty acids, which</w:t>
      </w:r>
      <w:r>
        <w:rPr>
          <w:spacing w:val="-9"/>
        </w:rPr>
        <w:t> </w:t>
      </w:r>
      <w:r>
        <w:rPr/>
        <w:t>affect</w:t>
      </w:r>
      <w:r>
        <w:rPr>
          <w:spacing w:val="-11"/>
        </w:rPr>
        <w:t> </w:t>
      </w:r>
      <w:r>
        <w:rPr/>
        <w:t>important</w:t>
      </w:r>
      <w:r>
        <w:rPr>
          <w:spacing w:val="-11"/>
        </w:rPr>
        <w:t> </w:t>
      </w:r>
      <w:r>
        <w:rPr/>
        <w:t>metabolic</w:t>
      </w:r>
      <w:r>
        <w:rPr>
          <w:spacing w:val="-11"/>
        </w:rPr>
        <w:t> </w:t>
      </w:r>
      <w:r>
        <w:rPr/>
        <w:t>functions</w:t>
      </w:r>
      <w:r>
        <w:rPr>
          <w:spacing w:val="-10"/>
        </w:rPr>
        <w:t> </w:t>
      </w:r>
      <w:r>
        <w:rPr/>
        <w:t>in</w:t>
      </w:r>
      <w:r>
        <w:rPr>
          <w:spacing w:val="-13"/>
        </w:rPr>
        <w:t> </w:t>
      </w:r>
      <w:r>
        <w:rPr/>
        <w:t>the</w:t>
      </w:r>
      <w:r>
        <w:rPr>
          <w:spacing w:val="-10"/>
        </w:rPr>
        <w:t> </w:t>
      </w:r>
      <w:r>
        <w:rPr/>
        <w:t>human</w:t>
      </w:r>
      <w:r>
        <w:rPr>
          <w:spacing w:val="-10"/>
        </w:rPr>
        <w:t> </w:t>
      </w:r>
      <w:r>
        <w:rPr/>
        <w:t>body</w:t>
      </w:r>
      <w:r>
        <w:rPr>
          <w:spacing w:val="-13"/>
        </w:rPr>
        <w:t> </w:t>
      </w:r>
      <w:r>
        <w:rPr/>
        <w:t>and,</w:t>
      </w:r>
      <w:r>
        <w:rPr>
          <w:spacing w:val="-10"/>
        </w:rPr>
        <w:t> </w:t>
      </w:r>
      <w:r>
        <w:rPr/>
        <w:t>therefore, can aid both the prevention and treatment of several diseases, such as cancer, cardiovascular diseases, Alzheimer’s, arthritis depression and</w:t>
      </w:r>
      <w:r>
        <w:rPr>
          <w:spacing w:val="-4"/>
        </w:rPr>
        <w:t> </w:t>
      </w:r>
      <w:r>
        <w:rPr/>
        <w:t>asthma.</w:t>
      </w:r>
    </w:p>
    <w:p>
      <w:pPr>
        <w:pStyle w:val="BodyText"/>
        <w:spacing w:before="244"/>
        <w:ind w:left="616"/>
        <w:jc w:val="both"/>
      </w:pPr>
      <w:r>
        <w:rPr/>
        <w:t>According to a study by Professor Michael Crawford of the Institute of Brain</w:t>
      </w:r>
    </w:p>
    <w:p>
      <w:pPr>
        <w:spacing w:after="0"/>
        <w:jc w:val="both"/>
        <w:sectPr>
          <w:pgSz w:w="14270" w:h="16850"/>
          <w:pgMar w:header="0" w:footer="1891" w:top="1340" w:bottom="2080" w:left="800" w:right="1280"/>
        </w:sectPr>
      </w:pPr>
    </w:p>
    <w:p>
      <w:pPr>
        <w:pStyle w:val="BodyText"/>
        <w:spacing w:line="276" w:lineRule="auto" w:before="72"/>
        <w:ind w:left="616" w:right="132"/>
        <w:jc w:val="both"/>
      </w:pPr>
      <w:r>
        <w:rPr/>
        <w:t>Chemistry,</w:t>
      </w:r>
      <w:r>
        <w:rPr>
          <w:spacing w:val="-19"/>
        </w:rPr>
        <w:t> </w:t>
      </w:r>
      <w:r>
        <w:rPr/>
        <w:t>omega-3</w:t>
      </w:r>
      <w:r>
        <w:rPr>
          <w:spacing w:val="-20"/>
        </w:rPr>
        <w:t> </w:t>
      </w:r>
      <w:r>
        <w:rPr/>
        <w:t>fatty</w:t>
      </w:r>
      <w:r>
        <w:rPr>
          <w:spacing w:val="-21"/>
        </w:rPr>
        <w:t> </w:t>
      </w:r>
      <w:r>
        <w:rPr/>
        <w:t>acids</w:t>
      </w:r>
      <w:r>
        <w:rPr>
          <w:spacing w:val="-20"/>
        </w:rPr>
        <w:t> </w:t>
      </w:r>
      <w:r>
        <w:rPr/>
        <w:t>in</w:t>
      </w:r>
      <w:r>
        <w:rPr>
          <w:spacing w:val="-20"/>
        </w:rPr>
        <w:t> </w:t>
      </w:r>
      <w:r>
        <w:rPr/>
        <w:t>the</w:t>
      </w:r>
      <w:r>
        <w:rPr>
          <w:spacing w:val="-21"/>
        </w:rPr>
        <w:t> </w:t>
      </w:r>
      <w:r>
        <w:rPr/>
        <w:t>womb</w:t>
      </w:r>
      <w:r>
        <w:rPr>
          <w:spacing w:val="-19"/>
        </w:rPr>
        <w:t> </w:t>
      </w:r>
      <w:r>
        <w:rPr/>
        <w:t>affect</w:t>
      </w:r>
      <w:r>
        <w:rPr>
          <w:spacing w:val="-20"/>
        </w:rPr>
        <w:t> </w:t>
      </w:r>
      <w:r>
        <w:rPr/>
        <w:t>the</w:t>
      </w:r>
      <w:r>
        <w:rPr>
          <w:spacing w:val="-20"/>
        </w:rPr>
        <w:t> </w:t>
      </w:r>
      <w:r>
        <w:rPr/>
        <w:t>eyesight</w:t>
      </w:r>
      <w:r>
        <w:rPr>
          <w:spacing w:val="-19"/>
        </w:rPr>
        <w:t> </w:t>
      </w:r>
      <w:r>
        <w:rPr/>
        <w:t>and</w:t>
      </w:r>
      <w:r>
        <w:rPr>
          <w:spacing w:val="-19"/>
        </w:rPr>
        <w:t> </w:t>
      </w:r>
      <w:r>
        <w:rPr/>
        <w:t>intelligence of the embryo and their intake by the expectant mother can still determine whether the child, even in adulthood, will be prone to conditions such as car- diovascular disease.</w:t>
      </w:r>
      <w:r>
        <w:rPr>
          <w:position w:val="9"/>
          <w:sz w:val="25"/>
        </w:rPr>
        <w:t>560 </w:t>
      </w:r>
      <w:r>
        <w:rPr/>
        <w:t>Omega-3 fatty acids are therefore a natural substance that can significantly influence our life from its very beginning and protect against the number one cause of death (cardiovascular degeneration).</w:t>
      </w:r>
      <w:r>
        <w:rPr>
          <w:spacing w:val="-39"/>
        </w:rPr>
        <w:t> </w:t>
      </w:r>
      <w:r>
        <w:rPr/>
        <w:t>Accord- ing to numerous studies, just 30 g of fish per day can reduce the risk of a fatal heart attack or sudden cardiac death by half. This is already guaranteed with two to three fish meals per week.</w:t>
      </w:r>
      <w:r>
        <w:rPr>
          <w:position w:val="9"/>
          <w:sz w:val="25"/>
        </w:rPr>
        <w:t>561 </w:t>
      </w:r>
      <w:r>
        <w:rPr/>
        <w:t>Furthermore, recent study results indicate that omega-3 fatty acids have the immensely important, unique property of slowing telomere shortening on our</w:t>
      </w:r>
      <w:r>
        <w:rPr>
          <w:spacing w:val="-4"/>
        </w:rPr>
        <w:t> </w:t>
      </w:r>
      <w:r>
        <w:rPr/>
        <w:t>chromosomes.</w:t>
      </w:r>
    </w:p>
    <w:p>
      <w:pPr>
        <w:pStyle w:val="BodyText"/>
        <w:spacing w:line="276" w:lineRule="auto" w:before="242"/>
        <w:ind w:left="616" w:right="133"/>
        <w:jc w:val="both"/>
      </w:pPr>
      <w:r>
        <w:rPr/>
        <w:t>The telomeres act as 'protective caps' for our chromosomes, protecting our cells from ageing. Telomere length is considered by age researchers to be the unerring measure of biological ageing and the ability of omega-3 fatty acids to protect</w:t>
      </w:r>
      <w:r>
        <w:rPr>
          <w:spacing w:val="-24"/>
        </w:rPr>
        <w:t> </w:t>
      </w:r>
      <w:r>
        <w:rPr/>
        <w:t>against</w:t>
      </w:r>
      <w:r>
        <w:rPr>
          <w:spacing w:val="-24"/>
        </w:rPr>
        <w:t> </w:t>
      </w:r>
      <w:r>
        <w:rPr/>
        <w:t>telomere</w:t>
      </w:r>
      <w:r>
        <w:rPr>
          <w:spacing w:val="-24"/>
        </w:rPr>
        <w:t> </w:t>
      </w:r>
      <w:r>
        <w:rPr/>
        <w:t>shortening</w:t>
      </w:r>
      <w:r>
        <w:rPr>
          <w:spacing w:val="-23"/>
        </w:rPr>
        <w:t> </w:t>
      </w:r>
      <w:r>
        <w:rPr/>
        <w:t>is</w:t>
      </w:r>
      <w:r>
        <w:rPr>
          <w:spacing w:val="-24"/>
        </w:rPr>
        <w:t> </w:t>
      </w:r>
      <w:r>
        <w:rPr/>
        <w:t>considered</w:t>
      </w:r>
      <w:r>
        <w:rPr>
          <w:spacing w:val="-26"/>
        </w:rPr>
        <w:t> </w:t>
      </w:r>
      <w:r>
        <w:rPr/>
        <w:t>a</w:t>
      </w:r>
      <w:r>
        <w:rPr>
          <w:spacing w:val="-25"/>
        </w:rPr>
        <w:t> </w:t>
      </w:r>
      <w:r>
        <w:rPr/>
        <w:t>clear</w:t>
      </w:r>
      <w:r>
        <w:rPr>
          <w:spacing w:val="-23"/>
        </w:rPr>
        <w:t> </w:t>
      </w:r>
      <w:r>
        <w:rPr/>
        <w:t>indication</w:t>
      </w:r>
      <w:r>
        <w:rPr>
          <w:spacing w:val="-21"/>
        </w:rPr>
        <w:t> </w:t>
      </w:r>
      <w:r>
        <w:rPr/>
        <w:t>that</w:t>
      </w:r>
      <w:r>
        <w:rPr>
          <w:spacing w:val="-24"/>
        </w:rPr>
        <w:t> </w:t>
      </w:r>
      <w:r>
        <w:rPr/>
        <w:t>omega- 3 fatty acids help our cells, and therefore us, remain young and prolong our life.</w:t>
      </w:r>
    </w:p>
    <w:p>
      <w:pPr>
        <w:pStyle w:val="Heading1"/>
        <w:spacing w:before="223"/>
        <w:ind w:left="616"/>
      </w:pPr>
      <w:r>
        <w:rPr/>
        <w:t>Omega-3 fatty acids: the name</w:t>
      </w:r>
    </w:p>
    <w:p>
      <w:pPr>
        <w:pStyle w:val="BodyText"/>
        <w:spacing w:line="276" w:lineRule="auto" w:before="299"/>
        <w:ind w:left="616" w:right="134"/>
        <w:jc w:val="both"/>
      </w:pPr>
      <w:r>
        <w:rPr/>
        <w:t>Omega-3 fatty acids belong to the group of unsaturated fatty acids and, with 18</w:t>
      </w:r>
      <w:r>
        <w:rPr>
          <w:spacing w:val="-12"/>
        </w:rPr>
        <w:t> </w:t>
      </w:r>
      <w:r>
        <w:rPr/>
        <w:t>or</w:t>
      </w:r>
      <w:r>
        <w:rPr>
          <w:spacing w:val="-11"/>
        </w:rPr>
        <w:t> </w:t>
      </w:r>
      <w:r>
        <w:rPr/>
        <w:t>more</w:t>
      </w:r>
      <w:r>
        <w:rPr>
          <w:spacing w:val="-12"/>
        </w:rPr>
        <w:t> </w:t>
      </w:r>
      <w:r>
        <w:rPr/>
        <w:t>carbon</w:t>
      </w:r>
      <w:r>
        <w:rPr>
          <w:spacing w:val="-11"/>
        </w:rPr>
        <w:t> </w:t>
      </w:r>
      <w:r>
        <w:rPr/>
        <w:t>atoms,</w:t>
      </w:r>
      <w:r>
        <w:rPr>
          <w:spacing w:val="-13"/>
        </w:rPr>
        <w:t> </w:t>
      </w:r>
      <w:r>
        <w:rPr/>
        <w:t>are</w:t>
      </w:r>
      <w:r>
        <w:rPr>
          <w:spacing w:val="-14"/>
        </w:rPr>
        <w:t> </w:t>
      </w:r>
      <w:r>
        <w:rPr/>
        <w:t>long-chain</w:t>
      </w:r>
      <w:r>
        <w:rPr>
          <w:spacing w:val="-12"/>
        </w:rPr>
        <w:t> </w:t>
      </w:r>
      <w:r>
        <w:rPr/>
        <w:t>fatty</w:t>
      </w:r>
      <w:r>
        <w:rPr>
          <w:spacing w:val="-12"/>
        </w:rPr>
        <w:t> </w:t>
      </w:r>
      <w:r>
        <w:rPr/>
        <w:t>acids.</w:t>
      </w:r>
      <w:r>
        <w:rPr>
          <w:spacing w:val="-11"/>
        </w:rPr>
        <w:t> </w:t>
      </w:r>
      <w:r>
        <w:rPr/>
        <w:t>The</w:t>
      </w:r>
      <w:r>
        <w:rPr>
          <w:spacing w:val="-11"/>
        </w:rPr>
        <w:t> </w:t>
      </w:r>
      <w:r>
        <w:rPr/>
        <w:t>first</w:t>
      </w:r>
      <w:r>
        <w:rPr>
          <w:spacing w:val="-14"/>
        </w:rPr>
        <w:t> </w:t>
      </w:r>
      <w:r>
        <w:rPr/>
        <w:t>part</w:t>
      </w:r>
      <w:r>
        <w:rPr>
          <w:spacing w:val="-13"/>
        </w:rPr>
        <w:t> </w:t>
      </w:r>
      <w:r>
        <w:rPr/>
        <w:t>of</w:t>
      </w:r>
      <w:r>
        <w:rPr>
          <w:spacing w:val="-11"/>
        </w:rPr>
        <w:t> </w:t>
      </w:r>
      <w:r>
        <w:rPr/>
        <w:t>the</w:t>
      </w:r>
      <w:r>
        <w:rPr>
          <w:spacing w:val="-13"/>
        </w:rPr>
        <w:t> </w:t>
      </w:r>
      <w:r>
        <w:rPr/>
        <w:t>name</w:t>
      </w:r>
    </w:p>
    <w:p>
      <w:pPr>
        <w:pStyle w:val="BodyText"/>
        <w:rPr>
          <w:sz w:val="20"/>
        </w:rPr>
      </w:pPr>
    </w:p>
    <w:p>
      <w:pPr>
        <w:pStyle w:val="BodyText"/>
        <w:rPr>
          <w:sz w:val="17"/>
        </w:rPr>
      </w:pPr>
      <w:r>
        <w:rPr/>
        <w:pict>
          <v:line style="position:absolute;mso-position-horizontal-relative:page;mso-position-vertical-relative:paragraph;z-index:7352;mso-wrap-distance-left:0;mso-wrap-distance-right:0" from="70.823997pt,11.946235pt" to="214.843997pt,11.946235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560 </w:t>
      </w:r>
      <w:r>
        <w:rPr>
          <w:sz w:val="20"/>
        </w:rPr>
        <w:t>Prof. Dr. Michael Hamm and Dirk Neuberger: Omega-3 aktiv-Gesundheit aus dem Meer ('Omega-3 Active-Health from the Sea'), 2006, p.</w:t>
      </w:r>
      <w:r>
        <w:rPr>
          <w:spacing w:val="-36"/>
          <w:sz w:val="20"/>
        </w:rPr>
        <w:t> </w:t>
      </w:r>
      <w:r>
        <w:rPr>
          <w:sz w:val="20"/>
        </w:rPr>
        <w:t>22</w:t>
      </w:r>
    </w:p>
    <w:p>
      <w:pPr>
        <w:spacing w:before="92"/>
        <w:ind w:left="616" w:right="0" w:firstLine="0"/>
        <w:jc w:val="left"/>
        <w:rPr>
          <w:sz w:val="20"/>
        </w:rPr>
      </w:pPr>
      <w:r>
        <w:rPr>
          <w:position w:val="5"/>
          <w:sz w:val="13"/>
        </w:rPr>
        <w:t>561 </w:t>
      </w:r>
      <w:r>
        <w:rPr>
          <w:sz w:val="20"/>
        </w:rPr>
        <w:t>Prof. Dr. Michael Hamm and Dirk Neuberger: Omega-3 aktiv-Gesundheit aus dem Meer ('Omega-3 Active-Health from the Sea'), 2006, p.</w:t>
      </w:r>
      <w:r>
        <w:rPr>
          <w:spacing w:val="-36"/>
          <w:sz w:val="20"/>
        </w:rPr>
        <w:t> </w:t>
      </w:r>
      <w:r>
        <w:rPr>
          <w:sz w:val="20"/>
        </w:rPr>
        <w:t>32</w:t>
      </w:r>
    </w:p>
    <w:p>
      <w:pPr>
        <w:spacing w:after="0"/>
        <w:jc w:val="left"/>
        <w:rPr>
          <w:sz w:val="20"/>
        </w:rPr>
        <w:sectPr>
          <w:pgSz w:w="14270" w:h="16850"/>
          <w:pgMar w:header="0" w:footer="1891" w:top="1340" w:bottom="2080" w:left="800" w:right="1280"/>
        </w:sectPr>
      </w:pPr>
    </w:p>
    <w:p>
      <w:pPr>
        <w:pStyle w:val="BodyText"/>
        <w:spacing w:line="276" w:lineRule="auto" w:before="72"/>
        <w:ind w:left="616" w:right="137"/>
        <w:jc w:val="both"/>
      </w:pPr>
      <w:r>
        <w:rPr>
          <w:i/>
        </w:rPr>
        <w:t>'Omega'</w:t>
      </w:r>
      <w:r>
        <w:rPr>
          <w:i/>
          <w:spacing w:val="-13"/>
        </w:rPr>
        <w:t> </w:t>
      </w:r>
      <w:r>
        <w:rPr/>
        <w:t>comes</w:t>
      </w:r>
      <w:r>
        <w:rPr>
          <w:spacing w:val="-11"/>
        </w:rPr>
        <w:t> </w:t>
      </w:r>
      <w:r>
        <w:rPr/>
        <w:t>from</w:t>
      </w:r>
      <w:r>
        <w:rPr>
          <w:spacing w:val="-11"/>
        </w:rPr>
        <w:t> </w:t>
      </w:r>
      <w:r>
        <w:rPr/>
        <w:t>the</w:t>
      </w:r>
      <w:r>
        <w:rPr>
          <w:spacing w:val="-11"/>
        </w:rPr>
        <w:t> </w:t>
      </w:r>
      <w:r>
        <w:rPr/>
        <w:t>last</w:t>
      </w:r>
      <w:r>
        <w:rPr>
          <w:spacing w:val="-12"/>
        </w:rPr>
        <w:t> </w:t>
      </w:r>
      <w:r>
        <w:rPr/>
        <w:t>letter</w:t>
      </w:r>
      <w:r>
        <w:rPr>
          <w:spacing w:val="-13"/>
        </w:rPr>
        <w:t> </w:t>
      </w:r>
      <w:r>
        <w:rPr/>
        <w:t>of</w:t>
      </w:r>
      <w:r>
        <w:rPr>
          <w:spacing w:val="-11"/>
        </w:rPr>
        <w:t> </w:t>
      </w:r>
      <w:r>
        <w:rPr/>
        <w:t>the</w:t>
      </w:r>
      <w:r>
        <w:rPr>
          <w:spacing w:val="-13"/>
        </w:rPr>
        <w:t> </w:t>
      </w:r>
      <w:r>
        <w:rPr/>
        <w:t>Greek</w:t>
      </w:r>
      <w:r>
        <w:rPr>
          <w:spacing w:val="-11"/>
        </w:rPr>
        <w:t> </w:t>
      </w:r>
      <w:r>
        <w:rPr/>
        <w:t>alphabet</w:t>
      </w:r>
      <w:r>
        <w:rPr>
          <w:spacing w:val="-12"/>
        </w:rPr>
        <w:t> </w:t>
      </w:r>
      <w:r>
        <w:rPr/>
        <w:t>and</w:t>
      </w:r>
      <w:r>
        <w:rPr>
          <w:spacing w:val="-10"/>
        </w:rPr>
        <w:t> </w:t>
      </w:r>
      <w:r>
        <w:rPr/>
        <w:t>stands</w:t>
      </w:r>
      <w:r>
        <w:rPr>
          <w:spacing w:val="-11"/>
        </w:rPr>
        <w:t> </w:t>
      </w:r>
      <w:r>
        <w:rPr/>
        <w:t>for</w:t>
      </w:r>
      <w:r>
        <w:rPr>
          <w:spacing w:val="-10"/>
        </w:rPr>
        <w:t> </w:t>
      </w:r>
      <w:r>
        <w:rPr/>
        <w:t>the</w:t>
      </w:r>
      <w:r>
        <w:rPr>
          <w:spacing w:val="-11"/>
        </w:rPr>
        <w:t> </w:t>
      </w:r>
      <w:r>
        <w:rPr/>
        <w:t>last carbon atom within the fatty acid chain at the methyl end. The first double bond at this end is located at the third carbon atom, which is the reason for the number 3 within the term 'omega-3 fatty</w:t>
      </w:r>
      <w:r>
        <w:rPr>
          <w:spacing w:val="2"/>
        </w:rPr>
        <w:t> </w:t>
      </w:r>
      <w:r>
        <w:rPr/>
        <w:t>acids'.</w:t>
      </w:r>
    </w:p>
    <w:p>
      <w:pPr>
        <w:pStyle w:val="Heading1"/>
        <w:ind w:left="616"/>
        <w:jc w:val="both"/>
      </w:pPr>
      <w:r>
        <w:rPr/>
        <w:t>Good and bad fats</w:t>
      </w:r>
    </w:p>
    <w:p>
      <w:pPr>
        <w:pStyle w:val="BodyText"/>
        <w:spacing w:line="276" w:lineRule="auto" w:before="299"/>
        <w:ind w:left="616" w:right="133"/>
        <w:jc w:val="both"/>
      </w:pPr>
      <w:r>
        <w:rPr/>
        <w:t>The 'good' fats are also called 'essential fatty acids', which are the fatty acids that</w:t>
      </w:r>
      <w:r>
        <w:rPr>
          <w:spacing w:val="-9"/>
        </w:rPr>
        <w:t> </w:t>
      </w:r>
      <w:r>
        <w:rPr/>
        <w:t>are</w:t>
      </w:r>
      <w:r>
        <w:rPr>
          <w:spacing w:val="-9"/>
        </w:rPr>
        <w:t> </w:t>
      </w:r>
      <w:r>
        <w:rPr/>
        <w:t>necessary</w:t>
      </w:r>
      <w:r>
        <w:rPr>
          <w:spacing w:val="-10"/>
        </w:rPr>
        <w:t> </w:t>
      </w:r>
      <w:r>
        <w:rPr/>
        <w:t>for</w:t>
      </w:r>
      <w:r>
        <w:rPr>
          <w:spacing w:val="-8"/>
        </w:rPr>
        <w:t> </w:t>
      </w:r>
      <w:r>
        <w:rPr/>
        <w:t>life,</w:t>
      </w:r>
      <w:r>
        <w:rPr>
          <w:spacing w:val="-9"/>
        </w:rPr>
        <w:t> </w:t>
      </w:r>
      <w:r>
        <w:rPr/>
        <w:t>fatty</w:t>
      </w:r>
      <w:r>
        <w:rPr>
          <w:spacing w:val="-9"/>
        </w:rPr>
        <w:t> </w:t>
      </w:r>
      <w:r>
        <w:rPr/>
        <w:t>acids</w:t>
      </w:r>
      <w:r>
        <w:rPr>
          <w:spacing w:val="-10"/>
        </w:rPr>
        <w:t> </w:t>
      </w:r>
      <w:r>
        <w:rPr/>
        <w:t>that</w:t>
      </w:r>
      <w:r>
        <w:rPr>
          <w:spacing w:val="-9"/>
        </w:rPr>
        <w:t> </w:t>
      </w:r>
      <w:r>
        <w:rPr/>
        <w:t>the</w:t>
      </w:r>
      <w:r>
        <w:rPr>
          <w:spacing w:val="-8"/>
        </w:rPr>
        <w:t> </w:t>
      </w:r>
      <w:r>
        <w:rPr/>
        <w:t>organism</w:t>
      </w:r>
      <w:r>
        <w:rPr>
          <w:spacing w:val="-9"/>
        </w:rPr>
        <w:t> </w:t>
      </w:r>
      <w:r>
        <w:rPr/>
        <w:t>cannot</w:t>
      </w:r>
      <w:r>
        <w:rPr>
          <w:spacing w:val="-8"/>
        </w:rPr>
        <w:t> </w:t>
      </w:r>
      <w:r>
        <w:rPr/>
        <w:t>synthesise</w:t>
      </w:r>
      <w:r>
        <w:rPr>
          <w:spacing w:val="-9"/>
        </w:rPr>
        <w:t> </w:t>
      </w:r>
      <w:r>
        <w:rPr/>
        <w:t>from other nutrients (such as fats, amino acids or water), therefore they have to be obtained solely through food. From a chemical point of view, all those fatty acids that contain at least one double bond distally (away from the carboxy group) from the 9th carbon atom are essential for</w:t>
      </w:r>
      <w:r>
        <w:rPr>
          <w:spacing w:val="-6"/>
        </w:rPr>
        <w:t> </w:t>
      </w:r>
      <w:r>
        <w:rPr/>
        <w:t>humans.</w:t>
      </w:r>
    </w:p>
    <w:p>
      <w:pPr>
        <w:pStyle w:val="BodyText"/>
        <w:spacing w:line="276" w:lineRule="auto" w:before="241"/>
        <w:ind w:left="616" w:right="131"/>
        <w:jc w:val="both"/>
      </w:pPr>
      <w:r>
        <w:rPr/>
        <w:t>Specifically, these are two fatty acids, namely omega-6 fatty acid (also called linoleic acid) and omega-3 fatty acid (linolenic acid). The essential fatty acids are polyunsaturated fatty acids. The body cannot make some of these polyun- saturated fatty acids with double bonds at specific positions itself.</w:t>
      </w:r>
    </w:p>
    <w:p>
      <w:pPr>
        <w:pStyle w:val="BodyText"/>
        <w:spacing w:line="276" w:lineRule="auto" w:before="239"/>
        <w:ind w:left="616" w:right="138"/>
        <w:jc w:val="both"/>
      </w:pPr>
      <w:r>
        <w:rPr/>
        <w:t>From these two essential, vital fatty acids, the body produces other, very im- portant fatty acids and derived products, including arachidonic acid, eicosa- pentaenoic acid and docosahexaenoic acid.</w:t>
      </w:r>
    </w:p>
    <w:p>
      <w:pPr>
        <w:pStyle w:val="BodyText"/>
        <w:spacing w:line="276" w:lineRule="auto" w:before="241"/>
        <w:ind w:left="616" w:right="136"/>
        <w:jc w:val="both"/>
      </w:pPr>
      <w:r>
        <w:rPr/>
        <w:t>While we do not particularly have to worry about the supply of omega-6 fatty acids, as they are abundant in our diet, omega-3 fatty acids pose a particular challenge because they are rare in the modern diet we are accustomed to. If our original diet was previously balanced in terms of omega fatty acids,</w:t>
      </w:r>
      <w:r>
        <w:rPr>
          <w:spacing w:val="88"/>
        </w:rPr>
        <w:t> </w:t>
      </w:r>
      <w:r>
        <w:rPr/>
        <w:t>today</w:t>
      </w:r>
    </w:p>
    <w:p>
      <w:pPr>
        <w:spacing w:after="0" w:line="276" w:lineRule="auto"/>
        <w:jc w:val="both"/>
        <w:sectPr>
          <w:pgSz w:w="14270" w:h="16850"/>
          <w:pgMar w:header="0" w:footer="1891" w:top="1340" w:bottom="2080" w:left="800" w:right="1280"/>
        </w:sectPr>
      </w:pPr>
    </w:p>
    <w:p>
      <w:pPr>
        <w:pStyle w:val="BodyText"/>
        <w:spacing w:before="74"/>
        <w:ind w:left="616"/>
      </w:pPr>
      <w:r>
        <w:rPr/>
        <w:t>it is anything but balanced.</w:t>
      </w:r>
    </w:p>
    <w:p>
      <w:pPr>
        <w:pStyle w:val="BodyText"/>
        <w:spacing w:line="276" w:lineRule="auto" w:before="305"/>
        <w:ind w:left="616" w:right="134"/>
        <w:jc w:val="both"/>
      </w:pPr>
      <w:r>
        <w:rPr/>
        <w:t>According</w:t>
      </w:r>
      <w:r>
        <w:rPr>
          <w:spacing w:val="-21"/>
        </w:rPr>
        <w:t> </w:t>
      </w:r>
      <w:r>
        <w:rPr/>
        <w:t>to</w:t>
      </w:r>
      <w:r>
        <w:rPr>
          <w:spacing w:val="-21"/>
        </w:rPr>
        <w:t> </w:t>
      </w:r>
      <w:r>
        <w:rPr/>
        <w:t>the</w:t>
      </w:r>
      <w:r>
        <w:rPr>
          <w:spacing w:val="-23"/>
        </w:rPr>
        <w:t> </w:t>
      </w:r>
      <w:r>
        <w:rPr/>
        <w:t>2004</w:t>
      </w:r>
      <w:r>
        <w:rPr>
          <w:spacing w:val="-21"/>
        </w:rPr>
        <w:t> </w:t>
      </w:r>
      <w:r>
        <w:rPr/>
        <w:t>Nutrition</w:t>
      </w:r>
      <w:r>
        <w:rPr>
          <w:spacing w:val="-18"/>
        </w:rPr>
        <w:t> </w:t>
      </w:r>
      <w:r>
        <w:rPr/>
        <w:t>Report</w:t>
      </w:r>
      <w:r>
        <w:rPr>
          <w:spacing w:val="-22"/>
        </w:rPr>
        <w:t> </w:t>
      </w:r>
      <w:r>
        <w:rPr/>
        <w:t>of</w:t>
      </w:r>
      <w:r>
        <w:rPr>
          <w:spacing w:val="-21"/>
        </w:rPr>
        <w:t> </w:t>
      </w:r>
      <w:r>
        <w:rPr/>
        <w:t>the</w:t>
      </w:r>
      <w:r>
        <w:rPr>
          <w:spacing w:val="-22"/>
        </w:rPr>
        <w:t> </w:t>
      </w:r>
      <w:r>
        <w:rPr/>
        <w:t>German</w:t>
      </w:r>
      <w:r>
        <w:rPr>
          <w:spacing w:val="-21"/>
        </w:rPr>
        <w:t> </w:t>
      </w:r>
      <w:r>
        <w:rPr/>
        <w:t>Nutrition</w:t>
      </w:r>
      <w:r>
        <w:rPr>
          <w:spacing w:val="-20"/>
        </w:rPr>
        <w:t> </w:t>
      </w:r>
      <w:r>
        <w:rPr/>
        <w:t>Society,</w:t>
      </w:r>
      <w:r>
        <w:rPr>
          <w:spacing w:val="-20"/>
        </w:rPr>
        <w:t> </w:t>
      </w:r>
      <w:r>
        <w:rPr/>
        <w:t>men consume only 250 mg EPA/DHA per day on average, women only 150 mg EPA/DHA</w:t>
      </w:r>
      <w:r>
        <w:rPr>
          <w:spacing w:val="-15"/>
        </w:rPr>
        <w:t> </w:t>
      </w:r>
      <w:r>
        <w:rPr/>
        <w:t>(see</w:t>
      </w:r>
      <w:r>
        <w:rPr>
          <w:spacing w:val="-10"/>
        </w:rPr>
        <w:t> </w:t>
      </w:r>
      <w:r>
        <w:rPr/>
        <w:t>below</w:t>
      </w:r>
      <w:r>
        <w:rPr>
          <w:spacing w:val="-15"/>
        </w:rPr>
        <w:t> </w:t>
      </w:r>
      <w:r>
        <w:rPr/>
        <w:t>for</w:t>
      </w:r>
      <w:r>
        <w:rPr>
          <w:spacing w:val="-12"/>
        </w:rPr>
        <w:t> </w:t>
      </w:r>
      <w:r>
        <w:rPr/>
        <w:t>details).</w:t>
      </w:r>
      <w:r>
        <w:rPr>
          <w:spacing w:val="-14"/>
        </w:rPr>
        <w:t> </w:t>
      </w:r>
      <w:r>
        <w:rPr/>
        <w:t>The</w:t>
      </w:r>
      <w:r>
        <w:rPr>
          <w:spacing w:val="-12"/>
        </w:rPr>
        <w:t> </w:t>
      </w:r>
      <w:r>
        <w:rPr/>
        <w:t>optimal</w:t>
      </w:r>
      <w:r>
        <w:rPr>
          <w:spacing w:val="-15"/>
        </w:rPr>
        <w:t> </w:t>
      </w:r>
      <w:r>
        <w:rPr/>
        <w:t>ratio</w:t>
      </w:r>
      <w:r>
        <w:rPr>
          <w:spacing w:val="-13"/>
        </w:rPr>
        <w:t> </w:t>
      </w:r>
      <w:r>
        <w:rPr/>
        <w:t>of</w:t>
      </w:r>
      <w:r>
        <w:rPr>
          <w:spacing w:val="-14"/>
        </w:rPr>
        <w:t> </w:t>
      </w:r>
      <w:r>
        <w:rPr/>
        <w:t>omega-6</w:t>
      </w:r>
      <w:r>
        <w:rPr>
          <w:spacing w:val="-11"/>
        </w:rPr>
        <w:t> </w:t>
      </w:r>
      <w:r>
        <w:rPr/>
        <w:t>fatty</w:t>
      </w:r>
      <w:r>
        <w:rPr>
          <w:spacing w:val="-15"/>
        </w:rPr>
        <w:t> </w:t>
      </w:r>
      <w:r>
        <w:rPr/>
        <w:t>acids</w:t>
      </w:r>
      <w:r>
        <w:rPr>
          <w:spacing w:val="-13"/>
        </w:rPr>
        <w:t> </w:t>
      </w:r>
      <w:r>
        <w:rPr/>
        <w:t>to omega-3 fatty acids would be between 2:1 and 4:1. In fact, today's ratio is up to 20:1, which is harmful to our health and needs to</w:t>
      </w:r>
      <w:r>
        <w:rPr>
          <w:spacing w:val="-4"/>
        </w:rPr>
        <w:t> </w:t>
      </w:r>
      <w:r>
        <w:rPr/>
        <w:t>change.</w:t>
      </w:r>
    </w:p>
    <w:p>
      <w:pPr>
        <w:pStyle w:val="Heading1"/>
        <w:spacing w:before="223"/>
        <w:ind w:left="616"/>
      </w:pPr>
      <w:r>
        <w:rPr/>
        <w:t>Among the most important omega-3 fatty acids are</w:t>
      </w:r>
    </w:p>
    <w:p>
      <w:pPr>
        <w:spacing w:line="271" w:lineRule="auto" w:before="282"/>
        <w:ind w:left="616" w:right="133" w:firstLine="0"/>
        <w:jc w:val="both"/>
        <w:rPr>
          <w:sz w:val="38"/>
        </w:rPr>
      </w:pPr>
      <w:r>
        <w:rPr>
          <w:b/>
          <w:i/>
          <w:sz w:val="40"/>
        </w:rPr>
        <w:t>Alpha-linolenic acid (ALA): </w:t>
      </w:r>
      <w:r>
        <w:rPr>
          <w:sz w:val="38"/>
        </w:rPr>
        <w:t>Alpha-linolenic acid (ALA) is triple-saturated and occurs in linseed oil, rapeseed oil and walnut oil.</w:t>
      </w:r>
    </w:p>
    <w:p>
      <w:pPr>
        <w:pStyle w:val="BodyText"/>
        <w:spacing w:line="273" w:lineRule="auto" w:before="230"/>
        <w:ind w:left="616" w:right="132"/>
        <w:jc w:val="both"/>
      </w:pPr>
      <w:r>
        <w:rPr>
          <w:b/>
          <w:i/>
          <w:sz w:val="40"/>
        </w:rPr>
        <w:t>Eicosapentaenoic acid (EPA): </w:t>
      </w:r>
      <w:r>
        <w:rPr/>
        <w:t>Eicosapentaenoic acid (EPA) is quintuple- unsaturated and comes from the fat of cold-water fish, such as mackerel, her- ring or salmon.</w:t>
      </w:r>
    </w:p>
    <w:p>
      <w:pPr>
        <w:spacing w:line="271" w:lineRule="auto" w:before="228"/>
        <w:ind w:left="616" w:right="135" w:firstLine="0"/>
        <w:jc w:val="both"/>
        <w:rPr>
          <w:sz w:val="38"/>
        </w:rPr>
      </w:pPr>
      <w:r>
        <w:rPr>
          <w:b/>
          <w:i/>
          <w:sz w:val="40"/>
        </w:rPr>
        <w:t>Docosahexaenoic</w:t>
      </w:r>
      <w:r>
        <w:rPr>
          <w:b/>
          <w:i/>
          <w:spacing w:val="-45"/>
          <w:sz w:val="40"/>
        </w:rPr>
        <w:t> </w:t>
      </w:r>
      <w:r>
        <w:rPr>
          <w:b/>
          <w:i/>
          <w:sz w:val="40"/>
        </w:rPr>
        <w:t>acid</w:t>
      </w:r>
      <w:r>
        <w:rPr>
          <w:b/>
          <w:i/>
          <w:spacing w:val="-45"/>
          <w:sz w:val="40"/>
        </w:rPr>
        <w:t> </w:t>
      </w:r>
      <w:r>
        <w:rPr>
          <w:b/>
          <w:i/>
          <w:sz w:val="40"/>
        </w:rPr>
        <w:t>(DHA):</w:t>
      </w:r>
      <w:r>
        <w:rPr>
          <w:b/>
          <w:i/>
          <w:spacing w:val="-42"/>
          <w:sz w:val="40"/>
        </w:rPr>
        <w:t> </w:t>
      </w:r>
      <w:r>
        <w:rPr>
          <w:sz w:val="38"/>
        </w:rPr>
        <w:t>Docosahexaenoic</w:t>
      </w:r>
      <w:r>
        <w:rPr>
          <w:spacing w:val="-39"/>
          <w:sz w:val="38"/>
        </w:rPr>
        <w:t> </w:t>
      </w:r>
      <w:r>
        <w:rPr>
          <w:sz w:val="38"/>
        </w:rPr>
        <w:t>acid</w:t>
      </w:r>
      <w:r>
        <w:rPr>
          <w:spacing w:val="-40"/>
          <w:sz w:val="38"/>
        </w:rPr>
        <w:t> </w:t>
      </w:r>
      <w:r>
        <w:rPr>
          <w:sz w:val="38"/>
        </w:rPr>
        <w:t>(DHA)</w:t>
      </w:r>
      <w:r>
        <w:rPr>
          <w:spacing w:val="-39"/>
          <w:sz w:val="38"/>
        </w:rPr>
        <w:t> </w:t>
      </w:r>
      <w:r>
        <w:rPr>
          <w:sz w:val="38"/>
        </w:rPr>
        <w:t>is</w:t>
      </w:r>
      <w:r>
        <w:rPr>
          <w:spacing w:val="-39"/>
          <w:sz w:val="38"/>
        </w:rPr>
        <w:t> </w:t>
      </w:r>
      <w:r>
        <w:rPr>
          <w:sz w:val="38"/>
        </w:rPr>
        <w:t>a</w:t>
      </w:r>
      <w:r>
        <w:rPr>
          <w:spacing w:val="-39"/>
          <w:sz w:val="38"/>
        </w:rPr>
        <w:t> </w:t>
      </w:r>
      <w:r>
        <w:rPr>
          <w:sz w:val="38"/>
        </w:rPr>
        <w:t>sextuple- unsaturated fatty acid from fish oils and some</w:t>
      </w:r>
      <w:r>
        <w:rPr>
          <w:spacing w:val="-2"/>
          <w:sz w:val="38"/>
        </w:rPr>
        <w:t> </w:t>
      </w:r>
      <w:r>
        <w:rPr>
          <w:sz w:val="38"/>
        </w:rPr>
        <w:t>algae.</w:t>
      </w:r>
    </w:p>
    <w:p>
      <w:pPr>
        <w:pStyle w:val="BodyText"/>
        <w:spacing w:line="276" w:lineRule="auto" w:before="250"/>
        <w:ind w:left="616" w:right="131"/>
        <w:jc w:val="both"/>
      </w:pPr>
      <w:r>
        <w:rPr/>
        <w:t>As</w:t>
      </w:r>
      <w:r>
        <w:rPr>
          <w:spacing w:val="-14"/>
        </w:rPr>
        <w:t> </w:t>
      </w:r>
      <w:r>
        <w:rPr/>
        <w:t>omega-3</w:t>
      </w:r>
      <w:r>
        <w:rPr>
          <w:spacing w:val="-14"/>
        </w:rPr>
        <w:t> </w:t>
      </w:r>
      <w:r>
        <w:rPr/>
        <w:t>fatty</w:t>
      </w:r>
      <w:r>
        <w:rPr>
          <w:spacing w:val="-15"/>
        </w:rPr>
        <w:t> </w:t>
      </w:r>
      <w:r>
        <w:rPr/>
        <w:t>acids</w:t>
      </w:r>
      <w:r>
        <w:rPr>
          <w:spacing w:val="-14"/>
        </w:rPr>
        <w:t> </w:t>
      </w:r>
      <w:r>
        <w:rPr/>
        <w:t>are</w:t>
      </w:r>
      <w:r>
        <w:rPr>
          <w:spacing w:val="-16"/>
        </w:rPr>
        <w:t> </w:t>
      </w:r>
      <w:r>
        <w:rPr/>
        <w:t>found</w:t>
      </w:r>
      <w:r>
        <w:rPr>
          <w:spacing w:val="-13"/>
        </w:rPr>
        <w:t> </w:t>
      </w:r>
      <w:r>
        <w:rPr/>
        <w:t>mainly</w:t>
      </w:r>
      <w:r>
        <w:rPr>
          <w:spacing w:val="-14"/>
        </w:rPr>
        <w:t> </w:t>
      </w:r>
      <w:r>
        <w:rPr/>
        <w:t>in</w:t>
      </w:r>
      <w:r>
        <w:rPr>
          <w:spacing w:val="-16"/>
        </w:rPr>
        <w:t> </w:t>
      </w:r>
      <w:r>
        <w:rPr/>
        <w:t>oily</w:t>
      </w:r>
      <w:r>
        <w:rPr>
          <w:spacing w:val="-16"/>
        </w:rPr>
        <w:t> </w:t>
      </w:r>
      <w:r>
        <w:rPr/>
        <w:t>cold-water</w:t>
      </w:r>
      <w:r>
        <w:rPr>
          <w:spacing w:val="-14"/>
        </w:rPr>
        <w:t> </w:t>
      </w:r>
      <w:r>
        <w:rPr/>
        <w:t>fish,</w:t>
      </w:r>
      <w:r>
        <w:rPr>
          <w:spacing w:val="-16"/>
        </w:rPr>
        <w:t> </w:t>
      </w:r>
      <w:r>
        <w:rPr/>
        <w:t>such</w:t>
      </w:r>
      <w:r>
        <w:rPr>
          <w:spacing w:val="-13"/>
        </w:rPr>
        <w:t> </w:t>
      </w:r>
      <w:r>
        <w:rPr/>
        <w:t>as</w:t>
      </w:r>
      <w:r>
        <w:rPr>
          <w:spacing w:val="-17"/>
        </w:rPr>
        <w:t> </w:t>
      </w:r>
      <w:r>
        <w:rPr/>
        <w:t>herring and mackerel, and in vegetable oils, such as linseed oil, rapeseed oil and soy- bean oil, these foods should be given adequate consideration within </w:t>
      </w:r>
      <w:r>
        <w:rPr>
          <w:spacing w:val="6"/>
        </w:rPr>
        <w:t>an </w:t>
      </w:r>
      <w:r>
        <w:rPr/>
        <w:t>indi- vidual</w:t>
      </w:r>
      <w:r>
        <w:rPr>
          <w:spacing w:val="-20"/>
        </w:rPr>
        <w:t> </w:t>
      </w:r>
      <w:r>
        <w:rPr/>
        <w:t>diet</w:t>
      </w:r>
      <w:r>
        <w:rPr>
          <w:spacing w:val="-21"/>
        </w:rPr>
        <w:t> </w:t>
      </w:r>
      <w:r>
        <w:rPr/>
        <w:t>to</w:t>
      </w:r>
      <w:r>
        <w:rPr>
          <w:spacing w:val="-19"/>
        </w:rPr>
        <w:t> </w:t>
      </w:r>
      <w:r>
        <w:rPr/>
        <w:t>ensure</w:t>
      </w:r>
      <w:r>
        <w:rPr>
          <w:spacing w:val="-20"/>
        </w:rPr>
        <w:t> </w:t>
      </w:r>
      <w:r>
        <w:rPr/>
        <w:t>adequate</w:t>
      </w:r>
      <w:r>
        <w:rPr>
          <w:spacing w:val="-21"/>
        </w:rPr>
        <w:t> </w:t>
      </w:r>
      <w:r>
        <w:rPr/>
        <w:t>nutrition</w:t>
      </w:r>
      <w:r>
        <w:rPr>
          <w:spacing w:val="-19"/>
        </w:rPr>
        <w:t> </w:t>
      </w:r>
      <w:r>
        <w:rPr/>
        <w:t>and</w:t>
      </w:r>
      <w:r>
        <w:rPr>
          <w:spacing w:val="-19"/>
        </w:rPr>
        <w:t> </w:t>
      </w:r>
      <w:r>
        <w:rPr/>
        <w:t>physiological</w:t>
      </w:r>
      <w:r>
        <w:rPr>
          <w:spacing w:val="-20"/>
        </w:rPr>
        <w:t> </w:t>
      </w:r>
      <w:r>
        <w:rPr/>
        <w:t>balance</w:t>
      </w:r>
      <w:r>
        <w:rPr>
          <w:spacing w:val="-22"/>
        </w:rPr>
        <w:t> </w:t>
      </w:r>
      <w:r>
        <w:rPr/>
        <w:t>of</w:t>
      </w:r>
      <w:r>
        <w:rPr>
          <w:spacing w:val="-20"/>
        </w:rPr>
        <w:t> </w:t>
      </w:r>
      <w:r>
        <w:rPr/>
        <w:t>the</w:t>
      </w:r>
      <w:r>
        <w:rPr>
          <w:spacing w:val="-21"/>
        </w:rPr>
        <w:t> </w:t>
      </w:r>
      <w:r>
        <w:rPr/>
        <w:t>omega fatty acids to each other. The importance of a sufficient supply of omega-3 fatty</w:t>
      </w:r>
      <w:r>
        <w:rPr>
          <w:spacing w:val="-27"/>
        </w:rPr>
        <w:t> </w:t>
      </w:r>
      <w:r>
        <w:rPr/>
        <w:t>acids</w:t>
      </w:r>
      <w:r>
        <w:rPr>
          <w:spacing w:val="-26"/>
        </w:rPr>
        <w:t> </w:t>
      </w:r>
      <w:r>
        <w:rPr/>
        <w:t>becomes</w:t>
      </w:r>
      <w:r>
        <w:rPr>
          <w:spacing w:val="-25"/>
        </w:rPr>
        <w:t> </w:t>
      </w:r>
      <w:r>
        <w:rPr/>
        <w:t>clear</w:t>
      </w:r>
      <w:r>
        <w:rPr>
          <w:spacing w:val="-25"/>
        </w:rPr>
        <w:t> </w:t>
      </w:r>
      <w:r>
        <w:rPr/>
        <w:t>when</w:t>
      </w:r>
      <w:r>
        <w:rPr>
          <w:spacing w:val="-26"/>
        </w:rPr>
        <w:t> </w:t>
      </w:r>
      <w:r>
        <w:rPr/>
        <w:t>one</w:t>
      </w:r>
      <w:r>
        <w:rPr>
          <w:spacing w:val="-26"/>
        </w:rPr>
        <w:t> </w:t>
      </w:r>
      <w:r>
        <w:rPr/>
        <w:t>becomes</w:t>
      </w:r>
      <w:r>
        <w:rPr>
          <w:spacing w:val="-27"/>
        </w:rPr>
        <w:t> </w:t>
      </w:r>
      <w:r>
        <w:rPr/>
        <w:t>aware</w:t>
      </w:r>
      <w:r>
        <w:rPr>
          <w:spacing w:val="-26"/>
        </w:rPr>
        <w:t> </w:t>
      </w:r>
      <w:r>
        <w:rPr/>
        <w:t>of</w:t>
      </w:r>
      <w:r>
        <w:rPr>
          <w:spacing w:val="-26"/>
        </w:rPr>
        <w:t> </w:t>
      </w:r>
      <w:r>
        <w:rPr/>
        <w:t>their</w:t>
      </w:r>
      <w:r>
        <w:rPr>
          <w:spacing w:val="-24"/>
        </w:rPr>
        <w:t> </w:t>
      </w:r>
      <w:r>
        <w:rPr/>
        <w:t>functions</w:t>
      </w:r>
      <w:r>
        <w:rPr>
          <w:spacing w:val="-25"/>
        </w:rPr>
        <w:t> </w:t>
      </w:r>
      <w:r>
        <w:rPr/>
        <w:t>and</w:t>
      </w:r>
      <w:r>
        <w:rPr>
          <w:spacing w:val="-26"/>
        </w:rPr>
        <w:t> </w:t>
      </w:r>
      <w:r>
        <w:rPr/>
        <w:t>tasks,</w:t>
      </w:r>
    </w:p>
    <w:p>
      <w:pPr>
        <w:spacing w:after="0" w:line="276" w:lineRule="auto"/>
        <w:jc w:val="both"/>
        <w:sectPr>
          <w:pgSz w:w="14270" w:h="16850"/>
          <w:pgMar w:header="0" w:footer="1891" w:top="1340" w:bottom="2080" w:left="800" w:right="1280"/>
        </w:sectPr>
      </w:pPr>
    </w:p>
    <w:p>
      <w:pPr>
        <w:pStyle w:val="BodyText"/>
        <w:spacing w:line="276" w:lineRule="auto" w:before="72"/>
        <w:ind w:left="616" w:right="134"/>
        <w:jc w:val="both"/>
      </w:pPr>
      <w:r>
        <w:rPr/>
        <w:t>which</w:t>
      </w:r>
      <w:r>
        <w:rPr>
          <w:spacing w:val="-20"/>
        </w:rPr>
        <w:t> </w:t>
      </w:r>
      <w:r>
        <w:rPr/>
        <w:t>are</w:t>
      </w:r>
      <w:r>
        <w:rPr>
          <w:spacing w:val="-21"/>
        </w:rPr>
        <w:t> </w:t>
      </w:r>
      <w:r>
        <w:rPr/>
        <w:t>important</w:t>
      </w:r>
      <w:r>
        <w:rPr>
          <w:spacing w:val="-20"/>
        </w:rPr>
        <w:t> </w:t>
      </w:r>
      <w:r>
        <w:rPr/>
        <w:t>for</w:t>
      </w:r>
      <w:r>
        <w:rPr>
          <w:spacing w:val="-20"/>
        </w:rPr>
        <w:t> </w:t>
      </w:r>
      <w:r>
        <w:rPr/>
        <w:t>hormone</w:t>
      </w:r>
      <w:r>
        <w:rPr>
          <w:spacing w:val="-20"/>
        </w:rPr>
        <w:t> </w:t>
      </w:r>
      <w:r>
        <w:rPr/>
        <w:t>production,</w:t>
      </w:r>
      <w:r>
        <w:rPr>
          <w:spacing w:val="-20"/>
        </w:rPr>
        <w:t> </w:t>
      </w:r>
      <w:r>
        <w:rPr/>
        <w:t>cell</w:t>
      </w:r>
      <w:r>
        <w:rPr>
          <w:spacing w:val="-21"/>
        </w:rPr>
        <w:t> </w:t>
      </w:r>
      <w:r>
        <w:rPr/>
        <w:t>metabolism,</w:t>
      </w:r>
      <w:r>
        <w:rPr>
          <w:spacing w:val="-20"/>
        </w:rPr>
        <w:t> </w:t>
      </w:r>
      <w:r>
        <w:rPr/>
        <w:t>protein</w:t>
      </w:r>
      <w:r>
        <w:rPr>
          <w:spacing w:val="-20"/>
        </w:rPr>
        <w:t> </w:t>
      </w:r>
      <w:r>
        <w:rPr/>
        <w:t>synthe- sis,</w:t>
      </w:r>
      <w:r>
        <w:rPr>
          <w:spacing w:val="-6"/>
        </w:rPr>
        <w:t> </w:t>
      </w:r>
      <w:r>
        <w:rPr/>
        <w:t>the</w:t>
      </w:r>
      <w:r>
        <w:rPr>
          <w:spacing w:val="-8"/>
        </w:rPr>
        <w:t> </w:t>
      </w:r>
      <w:r>
        <w:rPr/>
        <w:t>formation</w:t>
      </w:r>
      <w:r>
        <w:rPr>
          <w:spacing w:val="-6"/>
        </w:rPr>
        <w:t> </w:t>
      </w:r>
      <w:r>
        <w:rPr/>
        <w:t>of</w:t>
      </w:r>
      <w:r>
        <w:rPr>
          <w:spacing w:val="-9"/>
        </w:rPr>
        <w:t> </w:t>
      </w:r>
      <w:r>
        <w:rPr/>
        <w:t>endogenous</w:t>
      </w:r>
      <w:r>
        <w:rPr>
          <w:spacing w:val="-5"/>
        </w:rPr>
        <w:t> </w:t>
      </w:r>
      <w:r>
        <w:rPr/>
        <w:t>defence</w:t>
      </w:r>
      <w:r>
        <w:rPr>
          <w:spacing w:val="-9"/>
        </w:rPr>
        <w:t> </w:t>
      </w:r>
      <w:r>
        <w:rPr/>
        <w:t>cells</w:t>
      </w:r>
      <w:r>
        <w:rPr>
          <w:spacing w:val="-5"/>
        </w:rPr>
        <w:t> </w:t>
      </w:r>
      <w:r>
        <w:rPr/>
        <w:t>and</w:t>
      </w:r>
      <w:r>
        <w:rPr>
          <w:spacing w:val="-7"/>
        </w:rPr>
        <w:t> </w:t>
      </w:r>
      <w:r>
        <w:rPr/>
        <w:t>the</w:t>
      </w:r>
      <w:r>
        <w:rPr>
          <w:spacing w:val="-6"/>
        </w:rPr>
        <w:t> </w:t>
      </w:r>
      <w:r>
        <w:rPr/>
        <w:t>metabolism</w:t>
      </w:r>
      <w:r>
        <w:rPr>
          <w:spacing w:val="-6"/>
        </w:rPr>
        <w:t> </w:t>
      </w:r>
      <w:r>
        <w:rPr/>
        <w:t>of</w:t>
      </w:r>
      <w:r>
        <w:rPr>
          <w:spacing w:val="-7"/>
        </w:rPr>
        <w:t> </w:t>
      </w:r>
      <w:r>
        <w:rPr/>
        <w:t>the</w:t>
      </w:r>
      <w:r>
        <w:rPr>
          <w:spacing w:val="-7"/>
        </w:rPr>
        <w:t> </w:t>
      </w:r>
      <w:r>
        <w:rPr/>
        <w:t>syn- ovial fluid. Therefore, it is not surprising that omega-3 fatty acids have a great positive effect on our health and can positively affect even chronic diseases such as diabetes, rheumatism and Alzheimer's and can also prevent heart at- tack, atherosclerosis and even</w:t>
      </w:r>
      <w:r>
        <w:rPr>
          <w:spacing w:val="3"/>
        </w:rPr>
        <w:t> </w:t>
      </w:r>
      <w:r>
        <w:rPr/>
        <w:t>cancer.</w:t>
      </w:r>
    </w:p>
    <w:p>
      <w:pPr>
        <w:pStyle w:val="BodyText"/>
        <w:spacing w:line="276" w:lineRule="auto" w:before="242"/>
        <w:ind w:left="616" w:right="133"/>
        <w:jc w:val="both"/>
      </w:pPr>
      <w:r>
        <w:rPr/>
        <w:t>On</w:t>
      </w:r>
      <w:r>
        <w:rPr>
          <w:spacing w:val="-24"/>
        </w:rPr>
        <w:t> </w:t>
      </w:r>
      <w:r>
        <w:rPr/>
        <w:t>the</w:t>
      </w:r>
      <w:r>
        <w:rPr>
          <w:spacing w:val="-23"/>
        </w:rPr>
        <w:t> </w:t>
      </w:r>
      <w:r>
        <w:rPr/>
        <w:t>following</w:t>
      </w:r>
      <w:r>
        <w:rPr>
          <w:spacing w:val="-22"/>
        </w:rPr>
        <w:t> </w:t>
      </w:r>
      <w:r>
        <w:rPr/>
        <w:t>pages,</w:t>
      </w:r>
      <w:r>
        <w:rPr>
          <w:spacing w:val="-24"/>
        </w:rPr>
        <w:t> </w:t>
      </w:r>
      <w:r>
        <w:rPr/>
        <w:t>you</w:t>
      </w:r>
      <w:r>
        <w:rPr>
          <w:spacing w:val="-24"/>
        </w:rPr>
        <w:t> </w:t>
      </w:r>
      <w:r>
        <w:rPr/>
        <w:t>will</w:t>
      </w:r>
      <w:r>
        <w:rPr>
          <w:spacing w:val="-27"/>
        </w:rPr>
        <w:t> </w:t>
      </w:r>
      <w:r>
        <w:rPr/>
        <w:t>learn</w:t>
      </w:r>
      <w:r>
        <w:rPr>
          <w:spacing w:val="-22"/>
        </w:rPr>
        <w:t> </w:t>
      </w:r>
      <w:r>
        <w:rPr/>
        <w:t>everything</w:t>
      </w:r>
      <w:r>
        <w:rPr>
          <w:spacing w:val="-26"/>
        </w:rPr>
        <w:t> </w:t>
      </w:r>
      <w:r>
        <w:rPr/>
        <w:t>worth</w:t>
      </w:r>
      <w:r>
        <w:rPr>
          <w:spacing w:val="-23"/>
        </w:rPr>
        <w:t> </w:t>
      </w:r>
      <w:r>
        <w:rPr/>
        <w:t>knowing</w:t>
      </w:r>
      <w:r>
        <w:rPr>
          <w:spacing w:val="-22"/>
        </w:rPr>
        <w:t> </w:t>
      </w:r>
      <w:r>
        <w:rPr/>
        <w:t>about</w:t>
      </w:r>
      <w:r>
        <w:rPr>
          <w:spacing w:val="-26"/>
        </w:rPr>
        <w:t> </w:t>
      </w:r>
      <w:r>
        <w:rPr/>
        <w:t>omega- 3</w:t>
      </w:r>
      <w:r>
        <w:rPr>
          <w:spacing w:val="-10"/>
        </w:rPr>
        <w:t> </w:t>
      </w:r>
      <w:r>
        <w:rPr/>
        <w:t>fatty</w:t>
      </w:r>
      <w:r>
        <w:rPr>
          <w:spacing w:val="-10"/>
        </w:rPr>
        <w:t> </w:t>
      </w:r>
      <w:r>
        <w:rPr/>
        <w:t>acids.</w:t>
      </w:r>
      <w:r>
        <w:rPr>
          <w:spacing w:val="-9"/>
        </w:rPr>
        <w:t> </w:t>
      </w:r>
      <w:r>
        <w:rPr/>
        <w:t>You</w:t>
      </w:r>
      <w:r>
        <w:rPr>
          <w:spacing w:val="-11"/>
        </w:rPr>
        <w:t> </w:t>
      </w:r>
      <w:r>
        <w:rPr/>
        <w:t>will</w:t>
      </w:r>
      <w:r>
        <w:rPr>
          <w:spacing w:val="-10"/>
        </w:rPr>
        <w:t> </w:t>
      </w:r>
      <w:r>
        <w:rPr/>
        <w:t>learn</w:t>
      </w:r>
      <w:r>
        <w:rPr>
          <w:spacing w:val="-9"/>
        </w:rPr>
        <w:t> </w:t>
      </w:r>
      <w:r>
        <w:rPr/>
        <w:t>more</w:t>
      </w:r>
      <w:r>
        <w:rPr>
          <w:spacing w:val="-9"/>
        </w:rPr>
        <w:t> </w:t>
      </w:r>
      <w:r>
        <w:rPr/>
        <w:t>about</w:t>
      </w:r>
      <w:r>
        <w:rPr>
          <w:spacing w:val="-11"/>
        </w:rPr>
        <w:t> </w:t>
      </w:r>
      <w:r>
        <w:rPr/>
        <w:t>its</w:t>
      </w:r>
      <w:r>
        <w:rPr>
          <w:spacing w:val="-10"/>
        </w:rPr>
        <w:t> </w:t>
      </w:r>
      <w:r>
        <w:rPr/>
        <w:t>occurrence,</w:t>
      </w:r>
      <w:r>
        <w:rPr>
          <w:spacing w:val="-7"/>
        </w:rPr>
        <w:t> </w:t>
      </w:r>
      <w:r>
        <w:rPr/>
        <w:t>its</w:t>
      </w:r>
      <w:r>
        <w:rPr>
          <w:spacing w:val="-12"/>
        </w:rPr>
        <w:t> </w:t>
      </w:r>
      <w:r>
        <w:rPr/>
        <w:t>preventive</w:t>
      </w:r>
      <w:r>
        <w:rPr>
          <w:spacing w:val="-10"/>
        </w:rPr>
        <w:t> </w:t>
      </w:r>
      <w:r>
        <w:rPr/>
        <w:t>and</w:t>
      </w:r>
      <w:r>
        <w:rPr>
          <w:spacing w:val="-9"/>
        </w:rPr>
        <w:t> </w:t>
      </w:r>
      <w:r>
        <w:rPr/>
        <w:t>ther- apeutic effects up to the explicit application for specific diseases or for their prevention, supported by representative</w:t>
      </w:r>
      <w:r>
        <w:rPr>
          <w:spacing w:val="-2"/>
        </w:rPr>
        <w:t> </w:t>
      </w:r>
      <w:r>
        <w:rPr/>
        <w:t>studies.</w:t>
      </w:r>
    </w:p>
    <w:p>
      <w:pPr>
        <w:pStyle w:val="Heading2"/>
        <w:spacing w:before="223"/>
        <w:ind w:left="616"/>
      </w:pPr>
      <w:r>
        <w:rPr/>
        <w:t>Healthy fats vs. unhealthy fats </w:t>
      </w:r>
      <w:r>
        <w:rPr>
          <w:i/>
          <w:sz w:val="40"/>
        </w:rPr>
        <w:t>– </w:t>
      </w:r>
      <w:r>
        <w:rPr/>
        <w:t>a little digression</w:t>
      </w:r>
    </w:p>
    <w:p>
      <w:pPr>
        <w:pStyle w:val="BodyText"/>
        <w:spacing w:line="276" w:lineRule="auto" w:before="299"/>
        <w:ind w:left="616" w:right="137"/>
        <w:jc w:val="both"/>
      </w:pPr>
      <w:r>
        <w:rPr/>
        <w:t>While it is common, in our affluent society, for dietary fats to be seen as the main culprit for the epidemic-like development of obesity, it is all too often overlooked that dietary fats are indispensable and vital to our health. Fats are vital components of our diet. They provide 9 kcal of energy to the body per gram and are the prerequisite for the absorption of so-called fat-soluble vita- mins, which include the vitamins A, D, E and K. As components of cells and building blocks of some hormones, building blocks of the cell membrane and precursors</w:t>
      </w:r>
      <w:r>
        <w:rPr>
          <w:spacing w:val="-26"/>
        </w:rPr>
        <w:t> </w:t>
      </w:r>
      <w:r>
        <w:rPr/>
        <w:t>of</w:t>
      </w:r>
      <w:r>
        <w:rPr>
          <w:spacing w:val="-26"/>
        </w:rPr>
        <w:t> </w:t>
      </w:r>
      <w:r>
        <w:rPr/>
        <w:t>hormone-like</w:t>
      </w:r>
      <w:r>
        <w:rPr>
          <w:spacing w:val="-27"/>
        </w:rPr>
        <w:t> </w:t>
      </w:r>
      <w:r>
        <w:rPr/>
        <w:t>regulatory</w:t>
      </w:r>
      <w:r>
        <w:rPr>
          <w:spacing w:val="-26"/>
        </w:rPr>
        <w:t> </w:t>
      </w:r>
      <w:r>
        <w:rPr/>
        <w:t>substances,</w:t>
      </w:r>
      <w:r>
        <w:rPr>
          <w:spacing w:val="-26"/>
        </w:rPr>
        <w:t> </w:t>
      </w:r>
      <w:r>
        <w:rPr/>
        <w:t>fats</w:t>
      </w:r>
      <w:r>
        <w:rPr>
          <w:spacing w:val="-26"/>
        </w:rPr>
        <w:t> </w:t>
      </w:r>
      <w:r>
        <w:rPr/>
        <w:t>are</w:t>
      </w:r>
      <w:r>
        <w:rPr>
          <w:spacing w:val="-26"/>
        </w:rPr>
        <w:t> </w:t>
      </w:r>
      <w:r>
        <w:rPr/>
        <w:t>crucial</w:t>
      </w:r>
      <w:r>
        <w:rPr>
          <w:spacing w:val="-27"/>
        </w:rPr>
        <w:t> </w:t>
      </w:r>
      <w:r>
        <w:rPr/>
        <w:t>for</w:t>
      </w:r>
      <w:r>
        <w:rPr>
          <w:spacing w:val="-25"/>
        </w:rPr>
        <w:t> </w:t>
      </w:r>
      <w:r>
        <w:rPr/>
        <w:t>metabolic processes and our biochemical</w:t>
      </w:r>
      <w:r>
        <w:rPr>
          <w:spacing w:val="-2"/>
        </w:rPr>
        <w:t> </w:t>
      </w:r>
      <w:r>
        <w:rPr/>
        <w:t>balance.</w:t>
      </w:r>
    </w:p>
    <w:p>
      <w:pPr>
        <w:pStyle w:val="Heading1"/>
        <w:ind w:left="616"/>
        <w:jc w:val="both"/>
      </w:pPr>
      <w:r>
        <w:rPr/>
        <w:t>Fats take on some vital functions, including the function of</w:t>
      </w:r>
    </w:p>
    <w:p>
      <w:pPr>
        <w:pStyle w:val="ListParagraph"/>
        <w:numPr>
          <w:ilvl w:val="2"/>
          <w:numId w:val="74"/>
        </w:numPr>
        <w:tabs>
          <w:tab w:pos="1758" w:val="left" w:leader="none"/>
          <w:tab w:pos="1759" w:val="left" w:leader="none"/>
        </w:tabs>
        <w:spacing w:line="240" w:lineRule="auto" w:before="296" w:after="0"/>
        <w:ind w:left="1758" w:right="0" w:hanging="360"/>
        <w:jc w:val="left"/>
        <w:rPr>
          <w:sz w:val="38"/>
        </w:rPr>
      </w:pPr>
      <w:r>
        <w:rPr>
          <w:sz w:val="38"/>
        </w:rPr>
        <w:t>Saturation: High-fat diets saturate faster than low-fat</w:t>
      </w:r>
      <w:r>
        <w:rPr>
          <w:spacing w:val="-1"/>
          <w:sz w:val="38"/>
        </w:rPr>
        <w:t> </w:t>
      </w:r>
      <w:r>
        <w:rPr>
          <w:sz w:val="38"/>
        </w:rPr>
        <w:t>diets.</w:t>
      </w:r>
    </w:p>
    <w:p>
      <w:pPr>
        <w:spacing w:after="0" w:line="240" w:lineRule="auto"/>
        <w:jc w:val="left"/>
        <w:rPr>
          <w:sz w:val="38"/>
        </w:rPr>
        <w:sectPr>
          <w:footerReference w:type="default" r:id="rId245"/>
          <w:pgSz w:w="14270" w:h="16850"/>
          <w:pgMar w:footer="1891" w:header="0" w:top="1340" w:bottom="2080" w:left="800" w:right="1280"/>
          <w:pgNumType w:start="1040"/>
        </w:sectPr>
      </w:pPr>
    </w:p>
    <w:p>
      <w:pPr>
        <w:pStyle w:val="ListParagraph"/>
        <w:numPr>
          <w:ilvl w:val="2"/>
          <w:numId w:val="74"/>
        </w:numPr>
        <w:tabs>
          <w:tab w:pos="1758" w:val="left" w:leader="none"/>
          <w:tab w:pos="1759" w:val="left" w:leader="none"/>
        </w:tabs>
        <w:spacing w:line="240" w:lineRule="auto" w:before="53" w:after="0"/>
        <w:ind w:left="1758" w:right="0" w:hanging="360"/>
        <w:jc w:val="left"/>
        <w:rPr>
          <w:sz w:val="38"/>
        </w:rPr>
      </w:pPr>
      <w:r>
        <w:rPr>
          <w:sz w:val="38"/>
        </w:rPr>
        <w:t>Insulation: Subcutaneous fat protects the body from</w:t>
      </w:r>
      <w:r>
        <w:rPr>
          <w:spacing w:val="-2"/>
          <w:sz w:val="38"/>
        </w:rPr>
        <w:t> </w:t>
      </w:r>
      <w:r>
        <w:rPr>
          <w:sz w:val="38"/>
        </w:rPr>
        <w:t>cold.</w:t>
      </w:r>
    </w:p>
    <w:p>
      <w:pPr>
        <w:pStyle w:val="ListParagraph"/>
        <w:numPr>
          <w:ilvl w:val="2"/>
          <w:numId w:val="74"/>
        </w:numPr>
        <w:tabs>
          <w:tab w:pos="1758" w:val="left" w:leader="none"/>
          <w:tab w:pos="1759" w:val="left" w:leader="none"/>
        </w:tabs>
        <w:spacing w:line="273" w:lineRule="auto" w:before="306" w:after="0"/>
        <w:ind w:left="1758" w:right="143" w:hanging="360"/>
        <w:jc w:val="left"/>
        <w:rPr>
          <w:sz w:val="38"/>
        </w:rPr>
      </w:pPr>
      <w:r>
        <w:rPr>
          <w:sz w:val="38"/>
        </w:rPr>
        <w:t>Protection: The internal organs are protected from mechanical influ- ences by fatty</w:t>
      </w:r>
      <w:r>
        <w:rPr>
          <w:spacing w:val="-2"/>
          <w:sz w:val="38"/>
        </w:rPr>
        <w:t> </w:t>
      </w:r>
      <w:r>
        <w:rPr>
          <w:sz w:val="38"/>
        </w:rPr>
        <w:t>tissue.</w:t>
      </w:r>
    </w:p>
    <w:p>
      <w:pPr>
        <w:pStyle w:val="ListParagraph"/>
        <w:numPr>
          <w:ilvl w:val="2"/>
          <w:numId w:val="74"/>
        </w:numPr>
        <w:tabs>
          <w:tab w:pos="1758" w:val="left" w:leader="none"/>
          <w:tab w:pos="1759" w:val="left" w:leader="none"/>
        </w:tabs>
        <w:spacing w:line="240" w:lineRule="auto" w:before="247" w:after="0"/>
        <w:ind w:left="1758" w:right="0" w:hanging="360"/>
        <w:jc w:val="left"/>
        <w:rPr>
          <w:sz w:val="38"/>
        </w:rPr>
      </w:pPr>
      <w:r>
        <w:rPr>
          <w:sz w:val="38"/>
        </w:rPr>
        <w:t>Construction: Fat is involved in building cell</w:t>
      </w:r>
      <w:r>
        <w:rPr>
          <w:spacing w:val="-2"/>
          <w:sz w:val="38"/>
        </w:rPr>
        <w:t> </w:t>
      </w:r>
      <w:r>
        <w:rPr>
          <w:sz w:val="38"/>
        </w:rPr>
        <w:t>membranes.</w:t>
      </w:r>
    </w:p>
    <w:p>
      <w:pPr>
        <w:pStyle w:val="ListParagraph"/>
        <w:numPr>
          <w:ilvl w:val="2"/>
          <w:numId w:val="74"/>
        </w:numPr>
        <w:tabs>
          <w:tab w:pos="1758" w:val="left" w:leader="none"/>
          <w:tab w:pos="1759" w:val="left" w:leader="none"/>
        </w:tabs>
        <w:spacing w:line="240" w:lineRule="auto" w:before="304" w:after="0"/>
        <w:ind w:left="1758" w:right="0" w:hanging="360"/>
        <w:jc w:val="left"/>
        <w:rPr>
          <w:sz w:val="38"/>
        </w:rPr>
      </w:pPr>
      <w:r>
        <w:rPr>
          <w:sz w:val="38"/>
        </w:rPr>
        <w:t>Provision of fat-soluble vitamins A, D, E and</w:t>
      </w:r>
      <w:r>
        <w:rPr>
          <w:spacing w:val="4"/>
          <w:sz w:val="38"/>
        </w:rPr>
        <w:t> </w:t>
      </w:r>
      <w:r>
        <w:rPr>
          <w:sz w:val="38"/>
        </w:rPr>
        <w:t>K.</w:t>
      </w:r>
    </w:p>
    <w:p>
      <w:pPr>
        <w:pStyle w:val="ListParagraph"/>
        <w:numPr>
          <w:ilvl w:val="2"/>
          <w:numId w:val="74"/>
        </w:numPr>
        <w:tabs>
          <w:tab w:pos="1758" w:val="left" w:leader="none"/>
          <w:tab w:pos="1759" w:val="left" w:leader="none"/>
        </w:tabs>
        <w:spacing w:line="240" w:lineRule="auto" w:before="304" w:after="0"/>
        <w:ind w:left="1758" w:right="0" w:hanging="360"/>
        <w:jc w:val="left"/>
        <w:rPr>
          <w:sz w:val="38"/>
        </w:rPr>
      </w:pPr>
      <w:r>
        <w:rPr>
          <w:sz w:val="38"/>
        </w:rPr>
        <w:t>Precursor of hormone-like regulatory</w:t>
      </w:r>
      <w:r>
        <w:rPr>
          <w:spacing w:val="-2"/>
          <w:sz w:val="38"/>
        </w:rPr>
        <w:t> </w:t>
      </w:r>
      <w:r>
        <w:rPr>
          <w:sz w:val="38"/>
        </w:rPr>
        <w:t>substances.</w:t>
      </w:r>
    </w:p>
    <w:p>
      <w:pPr>
        <w:pStyle w:val="Heading1"/>
        <w:spacing w:line="388" w:lineRule="auto" w:before="288"/>
        <w:ind w:left="616" w:right="5592"/>
      </w:pPr>
      <w:r>
        <w:rPr>
          <w:w w:val="95"/>
        </w:rPr>
        <w:t>Saturated and unsaturated fatty acids </w:t>
      </w:r>
      <w:r>
        <w:rPr/>
        <w:t>Saturated fatty acids</w:t>
      </w:r>
    </w:p>
    <w:p>
      <w:pPr>
        <w:pStyle w:val="BodyText"/>
        <w:spacing w:line="276" w:lineRule="auto" w:before="20"/>
        <w:ind w:left="616" w:right="137"/>
        <w:jc w:val="both"/>
        <w:rPr>
          <w:i/>
        </w:rPr>
      </w:pPr>
      <w:r>
        <w:rPr/>
        <w:t>Fatty acids are loaded with carbon atoms and hydrogen atoms. If all carbon atoms of a fatty acid are saturated with hydrogen atoms, we have a 'saturated fatty acid'</w:t>
      </w:r>
      <w:r>
        <w:rPr>
          <w:i/>
        </w:rPr>
        <w:t>.</w:t>
      </w:r>
    </w:p>
    <w:p>
      <w:pPr>
        <w:pStyle w:val="BodyText"/>
        <w:spacing w:line="276" w:lineRule="auto" w:before="242"/>
        <w:ind w:left="616" w:right="135"/>
        <w:jc w:val="both"/>
      </w:pPr>
      <w:r>
        <w:rPr/>
        <w:t>Saturated fatty acids can increase our cholesterol levels and cause atheroscle- rotic changes to our blood vessels, so they should only be consumed in mod- eration.</w:t>
      </w:r>
    </w:p>
    <w:p>
      <w:pPr>
        <w:pStyle w:val="BodyText"/>
        <w:spacing w:before="239"/>
        <w:ind w:left="616"/>
        <w:jc w:val="both"/>
      </w:pPr>
      <w:r>
        <w:rPr/>
        <w:t>Saturated fatty acids are mostly of animal origin and occur in:</w:t>
      </w:r>
    </w:p>
    <w:p>
      <w:pPr>
        <w:pStyle w:val="ListParagraph"/>
        <w:numPr>
          <w:ilvl w:val="1"/>
          <w:numId w:val="69"/>
        </w:numPr>
        <w:tabs>
          <w:tab w:pos="1336" w:val="left" w:leader="none"/>
          <w:tab w:pos="1337" w:val="left" w:leader="none"/>
        </w:tabs>
        <w:spacing w:line="240" w:lineRule="auto" w:before="184" w:after="0"/>
        <w:ind w:left="1336" w:right="0" w:hanging="720"/>
        <w:jc w:val="both"/>
        <w:rPr>
          <w:sz w:val="38"/>
        </w:rPr>
      </w:pPr>
      <w:r>
        <w:rPr>
          <w:sz w:val="38"/>
        </w:rPr>
        <w:t>butter</w:t>
      </w:r>
    </w:p>
    <w:p>
      <w:pPr>
        <w:pStyle w:val="ListParagraph"/>
        <w:numPr>
          <w:ilvl w:val="1"/>
          <w:numId w:val="69"/>
        </w:numPr>
        <w:tabs>
          <w:tab w:pos="1336" w:val="left" w:leader="none"/>
          <w:tab w:pos="1337" w:val="left" w:leader="none"/>
        </w:tabs>
        <w:spacing w:line="240" w:lineRule="auto" w:before="185" w:after="0"/>
        <w:ind w:left="1336" w:right="0" w:hanging="720"/>
        <w:jc w:val="both"/>
        <w:rPr>
          <w:sz w:val="38"/>
        </w:rPr>
      </w:pPr>
      <w:r>
        <w:rPr>
          <w:sz w:val="38"/>
        </w:rPr>
        <w:t>hard</w:t>
      </w:r>
      <w:r>
        <w:rPr>
          <w:spacing w:val="-1"/>
          <w:sz w:val="38"/>
        </w:rPr>
        <w:t> </w:t>
      </w:r>
      <w:r>
        <w:rPr>
          <w:sz w:val="38"/>
        </w:rPr>
        <w:t>cheese</w:t>
      </w:r>
    </w:p>
    <w:p>
      <w:pPr>
        <w:pStyle w:val="ListParagraph"/>
        <w:numPr>
          <w:ilvl w:val="1"/>
          <w:numId w:val="69"/>
        </w:numPr>
        <w:tabs>
          <w:tab w:pos="1336" w:val="left" w:leader="none"/>
          <w:tab w:pos="1337" w:val="left" w:leader="none"/>
        </w:tabs>
        <w:spacing w:line="240" w:lineRule="auto" w:before="185" w:after="0"/>
        <w:ind w:left="1336" w:right="0" w:hanging="720"/>
        <w:jc w:val="both"/>
        <w:rPr>
          <w:sz w:val="38"/>
        </w:rPr>
      </w:pPr>
      <w:r>
        <w:rPr>
          <w:sz w:val="38"/>
        </w:rPr>
        <w:t>cream</w:t>
      </w:r>
    </w:p>
    <w:p>
      <w:pPr>
        <w:pStyle w:val="ListParagraph"/>
        <w:numPr>
          <w:ilvl w:val="1"/>
          <w:numId w:val="69"/>
        </w:numPr>
        <w:tabs>
          <w:tab w:pos="1336" w:val="left" w:leader="none"/>
          <w:tab w:pos="1337" w:val="left" w:leader="none"/>
        </w:tabs>
        <w:spacing w:line="240" w:lineRule="auto" w:before="182" w:after="0"/>
        <w:ind w:left="1336" w:right="0" w:hanging="720"/>
        <w:jc w:val="both"/>
        <w:rPr>
          <w:sz w:val="38"/>
        </w:rPr>
      </w:pPr>
      <w:r>
        <w:rPr>
          <w:sz w:val="38"/>
        </w:rPr>
        <w:t>lard</w:t>
      </w:r>
    </w:p>
    <w:p>
      <w:pPr>
        <w:spacing w:after="0" w:line="240" w:lineRule="auto"/>
        <w:jc w:val="both"/>
        <w:rPr>
          <w:sz w:val="38"/>
        </w:rPr>
        <w:sectPr>
          <w:pgSz w:w="14270" w:h="16850"/>
          <w:pgMar w:header="0" w:footer="1891" w:top="1360" w:bottom="2080" w:left="800" w:right="1280"/>
        </w:sectPr>
      </w:pPr>
    </w:p>
    <w:p>
      <w:pPr>
        <w:pStyle w:val="ListParagraph"/>
        <w:numPr>
          <w:ilvl w:val="1"/>
          <w:numId w:val="69"/>
        </w:numPr>
        <w:tabs>
          <w:tab w:pos="1336" w:val="left" w:leader="none"/>
          <w:tab w:pos="1337" w:val="left" w:leader="none"/>
        </w:tabs>
        <w:spacing w:line="240" w:lineRule="auto" w:before="72" w:after="0"/>
        <w:ind w:left="1336" w:right="0" w:hanging="720"/>
        <w:jc w:val="both"/>
        <w:rPr>
          <w:sz w:val="38"/>
        </w:rPr>
      </w:pPr>
      <w:r>
        <w:rPr>
          <w:sz w:val="38"/>
        </w:rPr>
        <w:t>beef tallow</w:t>
      </w:r>
    </w:p>
    <w:p>
      <w:pPr>
        <w:pStyle w:val="ListParagraph"/>
        <w:numPr>
          <w:ilvl w:val="1"/>
          <w:numId w:val="69"/>
        </w:numPr>
        <w:tabs>
          <w:tab w:pos="1336" w:val="left" w:leader="none"/>
          <w:tab w:pos="1337" w:val="left" w:leader="none"/>
        </w:tabs>
        <w:spacing w:line="240" w:lineRule="auto" w:before="184" w:after="0"/>
        <w:ind w:left="1336" w:right="0" w:hanging="720"/>
        <w:jc w:val="both"/>
        <w:rPr>
          <w:sz w:val="38"/>
        </w:rPr>
      </w:pPr>
      <w:r>
        <w:rPr>
          <w:sz w:val="38"/>
        </w:rPr>
        <w:t>meat and sausages</w:t>
      </w:r>
    </w:p>
    <w:p>
      <w:pPr>
        <w:pStyle w:val="ListParagraph"/>
        <w:numPr>
          <w:ilvl w:val="1"/>
          <w:numId w:val="69"/>
        </w:numPr>
        <w:tabs>
          <w:tab w:pos="1336" w:val="left" w:leader="none"/>
          <w:tab w:pos="1337" w:val="left" w:leader="none"/>
        </w:tabs>
        <w:spacing w:line="240" w:lineRule="auto" w:before="185" w:after="0"/>
        <w:ind w:left="1336" w:right="0" w:hanging="720"/>
        <w:jc w:val="both"/>
        <w:rPr>
          <w:sz w:val="38"/>
        </w:rPr>
      </w:pPr>
      <w:r>
        <w:rPr>
          <w:sz w:val="38"/>
        </w:rPr>
        <w:t>palm kernel fat</w:t>
      </w:r>
    </w:p>
    <w:p>
      <w:pPr>
        <w:pStyle w:val="ListParagraph"/>
        <w:numPr>
          <w:ilvl w:val="1"/>
          <w:numId w:val="69"/>
        </w:numPr>
        <w:tabs>
          <w:tab w:pos="1336" w:val="left" w:leader="none"/>
          <w:tab w:pos="1337" w:val="left" w:leader="none"/>
        </w:tabs>
        <w:spacing w:line="240" w:lineRule="auto" w:before="184" w:after="0"/>
        <w:ind w:left="1336" w:right="0" w:hanging="720"/>
        <w:jc w:val="both"/>
        <w:rPr>
          <w:sz w:val="38"/>
        </w:rPr>
      </w:pPr>
      <w:r>
        <w:rPr>
          <w:sz w:val="38"/>
        </w:rPr>
        <w:t>coconut</w:t>
      </w:r>
      <w:r>
        <w:rPr>
          <w:spacing w:val="-7"/>
          <w:sz w:val="38"/>
        </w:rPr>
        <w:t> </w:t>
      </w:r>
      <w:r>
        <w:rPr>
          <w:sz w:val="38"/>
        </w:rPr>
        <w:t>fat</w:t>
      </w:r>
    </w:p>
    <w:p>
      <w:pPr>
        <w:pStyle w:val="Heading1"/>
        <w:spacing w:before="290"/>
        <w:ind w:left="616"/>
        <w:jc w:val="both"/>
      </w:pPr>
      <w:r>
        <w:rPr>
          <w:w w:val="95"/>
        </w:rPr>
        <w:t>Unsaturated fatty</w:t>
      </w:r>
      <w:r>
        <w:rPr>
          <w:spacing w:val="-19"/>
          <w:w w:val="95"/>
        </w:rPr>
        <w:t> </w:t>
      </w:r>
      <w:r>
        <w:rPr>
          <w:w w:val="95"/>
        </w:rPr>
        <w:t>acids</w:t>
      </w:r>
    </w:p>
    <w:p>
      <w:pPr>
        <w:pStyle w:val="BodyText"/>
        <w:spacing w:line="276" w:lineRule="auto" w:before="297"/>
        <w:ind w:left="616" w:right="140"/>
        <w:jc w:val="both"/>
      </w:pPr>
      <w:r>
        <w:rPr/>
        <w:t>If at least two adjacent carbon atoms are linked by double bonds, we have an 'unsaturated fatty acid'. Again, we distinguish between 'monounsaturated fatty acids' and 'polyunsaturated fatty acids'.</w:t>
      </w:r>
    </w:p>
    <w:p>
      <w:pPr>
        <w:pStyle w:val="BodyText"/>
        <w:spacing w:before="239"/>
        <w:ind w:left="616"/>
        <w:jc w:val="both"/>
      </w:pPr>
      <w:r>
        <w:rPr/>
        <w:t>Monounsaturated fatty acids occur in:</w:t>
      </w:r>
    </w:p>
    <w:p>
      <w:pPr>
        <w:pStyle w:val="ListParagraph"/>
        <w:numPr>
          <w:ilvl w:val="0"/>
          <w:numId w:val="76"/>
        </w:numPr>
        <w:tabs>
          <w:tab w:pos="831" w:val="left" w:leader="none"/>
        </w:tabs>
        <w:spacing w:line="240" w:lineRule="auto" w:before="185" w:after="0"/>
        <w:ind w:left="830" w:right="0" w:hanging="214"/>
        <w:jc w:val="both"/>
        <w:rPr>
          <w:sz w:val="38"/>
        </w:rPr>
      </w:pPr>
      <w:r>
        <w:rPr>
          <w:sz w:val="38"/>
        </w:rPr>
        <w:t>olive</w:t>
      </w:r>
      <w:r>
        <w:rPr>
          <w:spacing w:val="-1"/>
          <w:sz w:val="38"/>
        </w:rPr>
        <w:t> </w:t>
      </w:r>
      <w:r>
        <w:rPr>
          <w:sz w:val="38"/>
        </w:rPr>
        <w:t>oil</w:t>
      </w:r>
    </w:p>
    <w:p>
      <w:pPr>
        <w:pStyle w:val="ListParagraph"/>
        <w:numPr>
          <w:ilvl w:val="0"/>
          <w:numId w:val="76"/>
        </w:numPr>
        <w:tabs>
          <w:tab w:pos="831" w:val="left" w:leader="none"/>
        </w:tabs>
        <w:spacing w:line="240" w:lineRule="auto" w:before="184" w:after="0"/>
        <w:ind w:left="830" w:right="0" w:hanging="214"/>
        <w:jc w:val="both"/>
        <w:rPr>
          <w:sz w:val="38"/>
        </w:rPr>
      </w:pPr>
      <w:r>
        <w:rPr>
          <w:sz w:val="38"/>
        </w:rPr>
        <w:t>peanut</w:t>
      </w:r>
      <w:r>
        <w:rPr>
          <w:spacing w:val="-2"/>
          <w:sz w:val="38"/>
        </w:rPr>
        <w:t> </w:t>
      </w:r>
      <w:r>
        <w:rPr>
          <w:sz w:val="38"/>
        </w:rPr>
        <w:t>oil</w:t>
      </w:r>
    </w:p>
    <w:p>
      <w:pPr>
        <w:pStyle w:val="ListParagraph"/>
        <w:numPr>
          <w:ilvl w:val="0"/>
          <w:numId w:val="76"/>
        </w:numPr>
        <w:tabs>
          <w:tab w:pos="831" w:val="left" w:leader="none"/>
        </w:tabs>
        <w:spacing w:line="240" w:lineRule="auto" w:before="185" w:after="0"/>
        <w:ind w:left="830" w:right="0" w:hanging="214"/>
        <w:jc w:val="both"/>
        <w:rPr>
          <w:sz w:val="38"/>
        </w:rPr>
      </w:pPr>
      <w:r>
        <w:rPr>
          <w:sz w:val="38"/>
        </w:rPr>
        <w:t>rapeseed oil</w:t>
      </w:r>
    </w:p>
    <w:p>
      <w:pPr>
        <w:pStyle w:val="ListParagraph"/>
        <w:numPr>
          <w:ilvl w:val="0"/>
          <w:numId w:val="76"/>
        </w:numPr>
        <w:tabs>
          <w:tab w:pos="831" w:val="left" w:leader="none"/>
        </w:tabs>
        <w:spacing w:line="240" w:lineRule="auto" w:before="185" w:after="0"/>
        <w:ind w:left="830" w:right="0" w:hanging="214"/>
        <w:jc w:val="both"/>
        <w:rPr>
          <w:sz w:val="38"/>
        </w:rPr>
      </w:pPr>
      <w:r>
        <w:rPr>
          <w:sz w:val="38"/>
        </w:rPr>
        <w:t>sesame</w:t>
      </w:r>
      <w:r>
        <w:rPr>
          <w:spacing w:val="-1"/>
          <w:sz w:val="38"/>
        </w:rPr>
        <w:t> </w:t>
      </w:r>
      <w:r>
        <w:rPr>
          <w:sz w:val="38"/>
        </w:rPr>
        <w:t>oil</w:t>
      </w:r>
    </w:p>
    <w:p>
      <w:pPr>
        <w:pStyle w:val="ListParagraph"/>
        <w:numPr>
          <w:ilvl w:val="0"/>
          <w:numId w:val="76"/>
        </w:numPr>
        <w:tabs>
          <w:tab w:pos="831" w:val="left" w:leader="none"/>
        </w:tabs>
        <w:spacing w:line="240" w:lineRule="auto" w:before="182" w:after="0"/>
        <w:ind w:left="830" w:right="0" w:hanging="214"/>
        <w:jc w:val="both"/>
        <w:rPr>
          <w:sz w:val="38"/>
        </w:rPr>
      </w:pPr>
      <w:r>
        <w:rPr>
          <w:sz w:val="38"/>
        </w:rPr>
        <w:t>avocado</w:t>
      </w:r>
    </w:p>
    <w:p>
      <w:pPr>
        <w:pStyle w:val="BodyText"/>
        <w:rPr>
          <w:sz w:val="42"/>
        </w:rPr>
      </w:pPr>
    </w:p>
    <w:p>
      <w:pPr>
        <w:pStyle w:val="BodyText"/>
        <w:spacing w:before="1"/>
        <w:rPr>
          <w:sz w:val="50"/>
        </w:rPr>
      </w:pPr>
    </w:p>
    <w:p>
      <w:pPr>
        <w:pStyle w:val="BodyText"/>
        <w:spacing w:line="276" w:lineRule="auto"/>
        <w:ind w:left="616" w:right="139"/>
        <w:jc w:val="both"/>
      </w:pPr>
      <w:r>
        <w:rPr/>
        <w:t>If there are several of these double bonds, it is an 'polyunsaturated fatty acid'. Some</w:t>
      </w:r>
      <w:r>
        <w:rPr>
          <w:spacing w:val="-15"/>
        </w:rPr>
        <w:t> </w:t>
      </w:r>
      <w:r>
        <w:rPr/>
        <w:t>of</w:t>
      </w:r>
      <w:r>
        <w:rPr>
          <w:spacing w:val="-14"/>
        </w:rPr>
        <w:t> </w:t>
      </w:r>
      <w:r>
        <w:rPr/>
        <w:t>the</w:t>
      </w:r>
      <w:r>
        <w:rPr>
          <w:spacing w:val="-14"/>
        </w:rPr>
        <w:t> </w:t>
      </w:r>
      <w:r>
        <w:rPr/>
        <w:t>polyunsaturated</w:t>
      </w:r>
      <w:r>
        <w:rPr>
          <w:spacing w:val="-15"/>
        </w:rPr>
        <w:t> </w:t>
      </w:r>
      <w:r>
        <w:rPr/>
        <w:t>fatty</w:t>
      </w:r>
      <w:r>
        <w:rPr>
          <w:spacing w:val="-14"/>
        </w:rPr>
        <w:t> </w:t>
      </w:r>
      <w:r>
        <w:rPr/>
        <w:t>acids</w:t>
      </w:r>
      <w:r>
        <w:rPr>
          <w:spacing w:val="-15"/>
        </w:rPr>
        <w:t> </w:t>
      </w:r>
      <w:r>
        <w:rPr/>
        <w:t>are</w:t>
      </w:r>
      <w:r>
        <w:rPr>
          <w:spacing w:val="-14"/>
        </w:rPr>
        <w:t> </w:t>
      </w:r>
      <w:r>
        <w:rPr/>
        <w:t>among</w:t>
      </w:r>
      <w:r>
        <w:rPr>
          <w:spacing w:val="-15"/>
        </w:rPr>
        <w:t> </w:t>
      </w:r>
      <w:r>
        <w:rPr/>
        <w:t>the</w:t>
      </w:r>
      <w:r>
        <w:rPr>
          <w:spacing w:val="-13"/>
        </w:rPr>
        <w:t> </w:t>
      </w:r>
      <w:r>
        <w:rPr/>
        <w:t>essential</w:t>
      </w:r>
      <w:r>
        <w:rPr>
          <w:spacing w:val="-17"/>
        </w:rPr>
        <w:t> </w:t>
      </w:r>
      <w:r>
        <w:rPr/>
        <w:t>fatty</w:t>
      </w:r>
      <w:r>
        <w:rPr>
          <w:spacing w:val="-15"/>
        </w:rPr>
        <w:t> </w:t>
      </w:r>
      <w:r>
        <w:rPr/>
        <w:t>acids</w:t>
      </w:r>
      <w:r>
        <w:rPr>
          <w:spacing w:val="-14"/>
        </w:rPr>
        <w:t> </w:t>
      </w:r>
      <w:r>
        <w:rPr/>
        <w:t>that must be taken in food because they cannot be produced by the</w:t>
      </w:r>
      <w:r>
        <w:rPr>
          <w:spacing w:val="-10"/>
        </w:rPr>
        <w:t> </w:t>
      </w:r>
      <w:r>
        <w:rPr/>
        <w:t>body.</w:t>
      </w:r>
    </w:p>
    <w:p>
      <w:pPr>
        <w:pStyle w:val="BodyText"/>
        <w:spacing w:before="242"/>
        <w:ind w:left="616"/>
        <w:jc w:val="both"/>
      </w:pPr>
      <w:r>
        <w:rPr/>
        <w:t>Polyunsaturated fatty acids occur in:</w:t>
      </w:r>
    </w:p>
    <w:p>
      <w:pPr>
        <w:spacing w:after="0"/>
        <w:jc w:val="both"/>
        <w:sectPr>
          <w:pgSz w:w="14270" w:h="16850"/>
          <w:pgMar w:header="0" w:footer="1891" w:top="1340" w:bottom="2080" w:left="800" w:right="1280"/>
        </w:sectPr>
      </w:pPr>
    </w:p>
    <w:p>
      <w:pPr>
        <w:pStyle w:val="ListParagraph"/>
        <w:numPr>
          <w:ilvl w:val="0"/>
          <w:numId w:val="77"/>
        </w:numPr>
        <w:tabs>
          <w:tab w:pos="1032" w:val="left" w:leader="none"/>
        </w:tabs>
        <w:spacing w:line="240" w:lineRule="auto" w:before="53" w:after="0"/>
        <w:ind w:left="1031" w:right="0" w:hanging="415"/>
        <w:jc w:val="both"/>
        <w:rPr>
          <w:sz w:val="38"/>
        </w:rPr>
      </w:pPr>
      <w:r>
        <w:rPr>
          <w:sz w:val="38"/>
        </w:rPr>
        <w:t>nuts</w:t>
      </w:r>
    </w:p>
    <w:p>
      <w:pPr>
        <w:pStyle w:val="ListParagraph"/>
        <w:numPr>
          <w:ilvl w:val="0"/>
          <w:numId w:val="77"/>
        </w:numPr>
        <w:tabs>
          <w:tab w:pos="1032" w:val="left" w:leader="none"/>
        </w:tabs>
        <w:spacing w:line="240" w:lineRule="auto" w:before="186" w:after="0"/>
        <w:ind w:left="1031" w:right="0" w:hanging="415"/>
        <w:jc w:val="both"/>
        <w:rPr>
          <w:sz w:val="38"/>
        </w:rPr>
      </w:pPr>
      <w:r>
        <w:rPr>
          <w:sz w:val="38"/>
        </w:rPr>
        <w:t>crops</w:t>
      </w:r>
    </w:p>
    <w:p>
      <w:pPr>
        <w:pStyle w:val="ListParagraph"/>
        <w:numPr>
          <w:ilvl w:val="0"/>
          <w:numId w:val="77"/>
        </w:numPr>
        <w:tabs>
          <w:tab w:pos="1032" w:val="left" w:leader="none"/>
        </w:tabs>
        <w:spacing w:line="240" w:lineRule="auto" w:before="184" w:after="0"/>
        <w:ind w:left="1031" w:right="0" w:hanging="415"/>
        <w:jc w:val="both"/>
        <w:rPr>
          <w:sz w:val="38"/>
        </w:rPr>
      </w:pPr>
      <w:r>
        <w:rPr>
          <w:sz w:val="38"/>
        </w:rPr>
        <w:t>linseed</w:t>
      </w:r>
      <w:r>
        <w:rPr>
          <w:spacing w:val="-3"/>
          <w:sz w:val="38"/>
        </w:rPr>
        <w:t> </w:t>
      </w:r>
      <w:r>
        <w:rPr>
          <w:sz w:val="38"/>
        </w:rPr>
        <w:t>oil</w:t>
      </w:r>
    </w:p>
    <w:p>
      <w:pPr>
        <w:pStyle w:val="ListParagraph"/>
        <w:numPr>
          <w:ilvl w:val="0"/>
          <w:numId w:val="77"/>
        </w:numPr>
        <w:tabs>
          <w:tab w:pos="1032" w:val="left" w:leader="none"/>
        </w:tabs>
        <w:spacing w:line="240" w:lineRule="auto" w:before="184" w:after="0"/>
        <w:ind w:left="1031" w:right="0" w:hanging="415"/>
        <w:jc w:val="both"/>
        <w:rPr>
          <w:sz w:val="38"/>
        </w:rPr>
      </w:pPr>
      <w:r>
        <w:rPr>
          <w:sz w:val="38"/>
        </w:rPr>
        <w:t>sunflower oil</w:t>
      </w:r>
    </w:p>
    <w:p>
      <w:pPr>
        <w:pStyle w:val="ListParagraph"/>
        <w:numPr>
          <w:ilvl w:val="0"/>
          <w:numId w:val="77"/>
        </w:numPr>
        <w:tabs>
          <w:tab w:pos="1032" w:val="left" w:leader="none"/>
        </w:tabs>
        <w:spacing w:line="240" w:lineRule="auto" w:before="183" w:after="0"/>
        <w:ind w:left="1031" w:right="0" w:hanging="415"/>
        <w:jc w:val="both"/>
        <w:rPr>
          <w:sz w:val="38"/>
        </w:rPr>
      </w:pPr>
      <w:r>
        <w:rPr>
          <w:sz w:val="38"/>
        </w:rPr>
        <w:t>almond</w:t>
      </w:r>
      <w:r>
        <w:rPr>
          <w:spacing w:val="-1"/>
          <w:sz w:val="38"/>
        </w:rPr>
        <w:t> </w:t>
      </w:r>
      <w:r>
        <w:rPr>
          <w:sz w:val="38"/>
        </w:rPr>
        <w:t>oil</w:t>
      </w:r>
    </w:p>
    <w:p>
      <w:pPr>
        <w:pStyle w:val="ListParagraph"/>
        <w:numPr>
          <w:ilvl w:val="0"/>
          <w:numId w:val="77"/>
        </w:numPr>
        <w:tabs>
          <w:tab w:pos="1032" w:val="left" w:leader="none"/>
        </w:tabs>
        <w:spacing w:line="240" w:lineRule="auto" w:before="184" w:after="0"/>
        <w:ind w:left="1031" w:right="0" w:hanging="415"/>
        <w:jc w:val="both"/>
        <w:rPr>
          <w:sz w:val="38"/>
        </w:rPr>
      </w:pPr>
      <w:r>
        <w:rPr>
          <w:sz w:val="38"/>
        </w:rPr>
        <w:t>soybean oil</w:t>
      </w:r>
    </w:p>
    <w:p>
      <w:pPr>
        <w:pStyle w:val="ListParagraph"/>
        <w:numPr>
          <w:ilvl w:val="0"/>
          <w:numId w:val="77"/>
        </w:numPr>
        <w:tabs>
          <w:tab w:pos="1032" w:val="left" w:leader="none"/>
        </w:tabs>
        <w:spacing w:line="240" w:lineRule="auto" w:before="186" w:after="0"/>
        <w:ind w:left="1031" w:right="0" w:hanging="415"/>
        <w:jc w:val="both"/>
        <w:rPr>
          <w:sz w:val="38"/>
        </w:rPr>
      </w:pPr>
      <w:r>
        <w:rPr>
          <w:sz w:val="38"/>
        </w:rPr>
        <w:t>corn</w:t>
      </w:r>
      <w:r>
        <w:rPr>
          <w:spacing w:val="-1"/>
          <w:sz w:val="38"/>
        </w:rPr>
        <w:t> </w:t>
      </w:r>
      <w:r>
        <w:rPr>
          <w:sz w:val="38"/>
        </w:rPr>
        <w:t>oil</w:t>
      </w:r>
    </w:p>
    <w:p>
      <w:pPr>
        <w:pStyle w:val="ListParagraph"/>
        <w:numPr>
          <w:ilvl w:val="0"/>
          <w:numId w:val="77"/>
        </w:numPr>
        <w:tabs>
          <w:tab w:pos="1032" w:val="left" w:leader="none"/>
        </w:tabs>
        <w:spacing w:line="240" w:lineRule="auto" w:before="184" w:after="0"/>
        <w:ind w:left="1031" w:right="0" w:hanging="415"/>
        <w:jc w:val="both"/>
        <w:rPr>
          <w:sz w:val="38"/>
        </w:rPr>
      </w:pPr>
      <w:r>
        <w:rPr>
          <w:sz w:val="38"/>
        </w:rPr>
        <w:t>safflower oil</w:t>
      </w:r>
    </w:p>
    <w:p>
      <w:pPr>
        <w:pStyle w:val="ListParagraph"/>
        <w:numPr>
          <w:ilvl w:val="0"/>
          <w:numId w:val="77"/>
        </w:numPr>
        <w:tabs>
          <w:tab w:pos="1032" w:val="left" w:leader="none"/>
        </w:tabs>
        <w:spacing w:line="240" w:lineRule="auto" w:before="184" w:after="0"/>
        <w:ind w:left="1031" w:right="0" w:hanging="415"/>
        <w:jc w:val="both"/>
        <w:rPr>
          <w:sz w:val="38"/>
        </w:rPr>
      </w:pPr>
      <w:r>
        <w:rPr>
          <w:sz w:val="38"/>
        </w:rPr>
        <w:t>hazelnut</w:t>
      </w:r>
      <w:r>
        <w:rPr>
          <w:spacing w:val="-2"/>
          <w:sz w:val="38"/>
        </w:rPr>
        <w:t> </w:t>
      </w:r>
      <w:r>
        <w:rPr>
          <w:sz w:val="38"/>
        </w:rPr>
        <w:t>oil</w:t>
      </w:r>
    </w:p>
    <w:p>
      <w:pPr>
        <w:pStyle w:val="ListParagraph"/>
        <w:numPr>
          <w:ilvl w:val="0"/>
          <w:numId w:val="77"/>
        </w:numPr>
        <w:tabs>
          <w:tab w:pos="1032" w:val="left" w:leader="none"/>
        </w:tabs>
        <w:spacing w:line="240" w:lineRule="auto" w:before="183" w:after="0"/>
        <w:ind w:left="1031" w:right="0" w:hanging="415"/>
        <w:jc w:val="both"/>
        <w:rPr>
          <w:sz w:val="38"/>
        </w:rPr>
      </w:pPr>
      <w:r>
        <w:rPr>
          <w:sz w:val="38"/>
        </w:rPr>
        <w:t>pumpkin seed</w:t>
      </w:r>
      <w:r>
        <w:rPr>
          <w:spacing w:val="-4"/>
          <w:sz w:val="38"/>
        </w:rPr>
        <w:t> </w:t>
      </w:r>
      <w:r>
        <w:rPr>
          <w:sz w:val="38"/>
        </w:rPr>
        <w:t>oil</w:t>
      </w:r>
    </w:p>
    <w:p>
      <w:pPr>
        <w:pStyle w:val="Heading1"/>
        <w:spacing w:before="288"/>
        <w:ind w:left="616"/>
        <w:jc w:val="both"/>
      </w:pPr>
      <w:r>
        <w:rPr/>
        <w:t>The quantity and the right ratio are crucial!</w:t>
      </w:r>
    </w:p>
    <w:p>
      <w:pPr>
        <w:pStyle w:val="BodyText"/>
        <w:spacing w:line="278" w:lineRule="auto" w:before="297"/>
        <w:ind w:left="616"/>
      </w:pPr>
      <w:r>
        <w:rPr/>
        <w:t>Maintaining optimal health depends on both the right amount of fat and the correct ratio of different fats.</w:t>
      </w:r>
    </w:p>
    <w:p>
      <w:pPr>
        <w:pStyle w:val="BodyText"/>
        <w:spacing w:line="276" w:lineRule="auto" w:before="215"/>
        <w:ind w:left="616" w:right="139"/>
        <w:jc w:val="both"/>
      </w:pPr>
      <w:r>
        <w:rPr>
          <w:b/>
          <w:i/>
          <w:sz w:val="40"/>
        </w:rPr>
        <w:t>Recommended</w:t>
      </w:r>
      <w:r>
        <w:rPr>
          <w:b/>
          <w:i/>
          <w:spacing w:val="-26"/>
          <w:sz w:val="40"/>
        </w:rPr>
        <w:t> </w:t>
      </w:r>
      <w:r>
        <w:rPr>
          <w:b/>
          <w:i/>
          <w:sz w:val="40"/>
        </w:rPr>
        <w:t>fat</w:t>
      </w:r>
      <w:r>
        <w:rPr>
          <w:b/>
          <w:i/>
          <w:spacing w:val="-29"/>
          <w:sz w:val="40"/>
        </w:rPr>
        <w:t> </w:t>
      </w:r>
      <w:r>
        <w:rPr>
          <w:b/>
          <w:i/>
          <w:sz w:val="40"/>
        </w:rPr>
        <w:t>quantity:</w:t>
      </w:r>
      <w:r>
        <w:rPr>
          <w:b/>
          <w:i/>
          <w:spacing w:val="-24"/>
          <w:sz w:val="40"/>
        </w:rPr>
        <w:t> </w:t>
      </w:r>
      <w:r>
        <w:rPr/>
        <w:t>Our</w:t>
      </w:r>
      <w:r>
        <w:rPr>
          <w:spacing w:val="-22"/>
        </w:rPr>
        <w:t> </w:t>
      </w:r>
      <w:r>
        <w:rPr/>
        <w:t>food</w:t>
      </w:r>
      <w:r>
        <w:rPr>
          <w:spacing w:val="-23"/>
        </w:rPr>
        <w:t> </w:t>
      </w:r>
      <w:r>
        <w:rPr/>
        <w:t>consists</w:t>
      </w:r>
      <w:r>
        <w:rPr>
          <w:spacing w:val="-24"/>
        </w:rPr>
        <w:t> </w:t>
      </w:r>
      <w:r>
        <w:rPr/>
        <w:t>of</w:t>
      </w:r>
      <w:r>
        <w:rPr>
          <w:spacing w:val="-21"/>
        </w:rPr>
        <w:t> </w:t>
      </w:r>
      <w:r>
        <w:rPr/>
        <w:t>the</w:t>
      </w:r>
      <w:r>
        <w:rPr>
          <w:spacing w:val="-22"/>
        </w:rPr>
        <w:t> </w:t>
      </w:r>
      <w:r>
        <w:rPr/>
        <w:t>three</w:t>
      </w:r>
      <w:r>
        <w:rPr>
          <w:spacing w:val="-24"/>
        </w:rPr>
        <w:t> </w:t>
      </w:r>
      <w:r>
        <w:rPr/>
        <w:t>macronutrients 'fat', 'protein' and 'carbohydrates'. The proportion of fats in relation to the other two macronutrients 'protein' and 'carbohydrates' should be a maximum of 35 %. With 2000 kcal consumed daily, this equates to about 77 g of fat per day.</w:t>
      </w:r>
    </w:p>
    <w:p>
      <w:pPr>
        <w:spacing w:line="271" w:lineRule="auto" w:before="216"/>
        <w:ind w:left="616" w:right="136" w:firstLine="0"/>
        <w:jc w:val="left"/>
        <w:rPr>
          <w:sz w:val="38"/>
        </w:rPr>
      </w:pPr>
      <w:r>
        <w:rPr>
          <w:b/>
          <w:i/>
          <w:sz w:val="40"/>
        </w:rPr>
        <w:t>Recommended</w:t>
      </w:r>
      <w:r>
        <w:rPr>
          <w:b/>
          <w:i/>
          <w:spacing w:val="-58"/>
          <w:sz w:val="40"/>
        </w:rPr>
        <w:t> </w:t>
      </w:r>
      <w:r>
        <w:rPr>
          <w:b/>
          <w:i/>
          <w:sz w:val="40"/>
        </w:rPr>
        <w:t>ratio</w:t>
      </w:r>
      <w:r>
        <w:rPr>
          <w:b/>
          <w:i/>
          <w:spacing w:val="-59"/>
          <w:sz w:val="40"/>
        </w:rPr>
        <w:t> </w:t>
      </w:r>
      <w:r>
        <w:rPr>
          <w:b/>
          <w:i/>
          <w:sz w:val="40"/>
        </w:rPr>
        <w:t>of</w:t>
      </w:r>
      <w:r>
        <w:rPr>
          <w:b/>
          <w:i/>
          <w:spacing w:val="-59"/>
          <w:sz w:val="40"/>
        </w:rPr>
        <w:t> </w:t>
      </w:r>
      <w:r>
        <w:rPr>
          <w:b/>
          <w:i/>
          <w:sz w:val="40"/>
        </w:rPr>
        <w:t>fatty</w:t>
      </w:r>
      <w:r>
        <w:rPr>
          <w:b/>
          <w:i/>
          <w:spacing w:val="-59"/>
          <w:sz w:val="40"/>
        </w:rPr>
        <w:t> </w:t>
      </w:r>
      <w:r>
        <w:rPr>
          <w:b/>
          <w:i/>
          <w:sz w:val="40"/>
        </w:rPr>
        <w:t>acids</w:t>
      </w:r>
      <w:r>
        <w:rPr>
          <w:b/>
          <w:i/>
          <w:spacing w:val="-57"/>
          <w:sz w:val="40"/>
        </w:rPr>
        <w:t> </w:t>
      </w:r>
      <w:r>
        <w:rPr>
          <w:b/>
          <w:i/>
          <w:sz w:val="40"/>
        </w:rPr>
        <w:t>to</w:t>
      </w:r>
      <w:r>
        <w:rPr>
          <w:b/>
          <w:i/>
          <w:spacing w:val="-60"/>
          <w:sz w:val="40"/>
        </w:rPr>
        <w:t> </w:t>
      </w:r>
      <w:r>
        <w:rPr>
          <w:b/>
          <w:i/>
          <w:sz w:val="40"/>
        </w:rPr>
        <w:t>each</w:t>
      </w:r>
      <w:r>
        <w:rPr>
          <w:b/>
          <w:i/>
          <w:spacing w:val="-58"/>
          <w:sz w:val="40"/>
        </w:rPr>
        <w:t> </w:t>
      </w:r>
      <w:r>
        <w:rPr>
          <w:b/>
          <w:i/>
          <w:sz w:val="40"/>
        </w:rPr>
        <w:t>other:</w:t>
      </w:r>
      <w:r>
        <w:rPr>
          <w:b/>
          <w:i/>
          <w:spacing w:val="-56"/>
          <w:sz w:val="40"/>
        </w:rPr>
        <w:t> </w:t>
      </w:r>
      <w:r>
        <w:rPr>
          <w:sz w:val="38"/>
        </w:rPr>
        <w:t>Nutritionists</w:t>
      </w:r>
      <w:r>
        <w:rPr>
          <w:spacing w:val="-54"/>
          <w:sz w:val="38"/>
        </w:rPr>
        <w:t> </w:t>
      </w:r>
      <w:r>
        <w:rPr>
          <w:sz w:val="38"/>
        </w:rPr>
        <w:t>recommend a supply of fats consisting of:</w:t>
      </w:r>
    </w:p>
    <w:p>
      <w:pPr>
        <w:spacing w:after="0" w:line="271" w:lineRule="auto"/>
        <w:jc w:val="left"/>
        <w:rPr>
          <w:sz w:val="38"/>
        </w:rPr>
        <w:sectPr>
          <w:pgSz w:w="14270" w:h="16850"/>
          <w:pgMar w:header="0" w:footer="1891" w:top="1360" w:bottom="2080" w:left="800" w:right="1280"/>
        </w:sectPr>
      </w:pPr>
    </w:p>
    <w:p>
      <w:pPr>
        <w:pStyle w:val="ListParagraph"/>
        <w:numPr>
          <w:ilvl w:val="1"/>
          <w:numId w:val="77"/>
        </w:numPr>
        <w:tabs>
          <w:tab w:pos="1336" w:val="left" w:leader="none"/>
          <w:tab w:pos="1337" w:val="left" w:leader="none"/>
        </w:tabs>
        <w:spacing w:line="240" w:lineRule="auto" w:before="53" w:after="0"/>
        <w:ind w:left="1336" w:right="0" w:hanging="360"/>
        <w:jc w:val="left"/>
        <w:rPr>
          <w:sz w:val="38"/>
        </w:rPr>
      </w:pPr>
      <w:r>
        <w:rPr>
          <w:sz w:val="38"/>
        </w:rPr>
        <w:t>1/3 animal fats (milk and milk products, meat and sausage</w:t>
      </w:r>
      <w:r>
        <w:rPr>
          <w:spacing w:val="-13"/>
          <w:sz w:val="38"/>
        </w:rPr>
        <w:t> </w:t>
      </w:r>
      <w:r>
        <w:rPr>
          <w:sz w:val="38"/>
        </w:rPr>
        <w:t>products);</w:t>
      </w:r>
    </w:p>
    <w:p>
      <w:pPr>
        <w:pStyle w:val="ListParagraph"/>
        <w:numPr>
          <w:ilvl w:val="1"/>
          <w:numId w:val="77"/>
        </w:numPr>
        <w:tabs>
          <w:tab w:pos="1336" w:val="left" w:leader="none"/>
          <w:tab w:pos="1337" w:val="left" w:leader="none"/>
        </w:tabs>
        <w:spacing w:line="240" w:lineRule="auto" w:before="306" w:after="0"/>
        <w:ind w:left="1336" w:right="0" w:hanging="360"/>
        <w:jc w:val="left"/>
        <w:rPr>
          <w:sz w:val="38"/>
        </w:rPr>
      </w:pPr>
      <w:r>
        <w:rPr>
          <w:sz w:val="38"/>
        </w:rPr>
        <w:t>1/3 from monounsaturated fatty acids (olive oil, rapeseed oil)</w:t>
      </w:r>
      <w:r>
        <w:rPr>
          <w:spacing w:val="-15"/>
          <w:sz w:val="38"/>
        </w:rPr>
        <w:t> </w:t>
      </w:r>
      <w:r>
        <w:rPr>
          <w:sz w:val="38"/>
        </w:rPr>
        <w:t>and</w:t>
      </w:r>
    </w:p>
    <w:p>
      <w:pPr>
        <w:pStyle w:val="ListParagraph"/>
        <w:numPr>
          <w:ilvl w:val="1"/>
          <w:numId w:val="77"/>
        </w:numPr>
        <w:tabs>
          <w:tab w:pos="1336" w:val="left" w:leader="none"/>
          <w:tab w:pos="1337" w:val="left" w:leader="none"/>
        </w:tabs>
        <w:spacing w:line="273" w:lineRule="auto" w:before="304" w:after="0"/>
        <w:ind w:left="1336" w:right="133" w:hanging="360"/>
        <w:jc w:val="left"/>
        <w:rPr>
          <w:sz w:val="38"/>
        </w:rPr>
      </w:pPr>
      <w:r>
        <w:rPr>
          <w:sz w:val="38"/>
        </w:rPr>
        <w:t>1/3</w:t>
      </w:r>
      <w:r>
        <w:rPr>
          <w:spacing w:val="-14"/>
          <w:sz w:val="38"/>
        </w:rPr>
        <w:t> </w:t>
      </w:r>
      <w:r>
        <w:rPr>
          <w:sz w:val="38"/>
        </w:rPr>
        <w:t>polyunsaturated</w:t>
      </w:r>
      <w:r>
        <w:rPr>
          <w:spacing w:val="-14"/>
          <w:sz w:val="38"/>
        </w:rPr>
        <w:t> </w:t>
      </w:r>
      <w:r>
        <w:rPr>
          <w:sz w:val="38"/>
        </w:rPr>
        <w:t>acids</w:t>
      </w:r>
      <w:r>
        <w:rPr>
          <w:spacing w:val="-14"/>
          <w:sz w:val="38"/>
        </w:rPr>
        <w:t> </w:t>
      </w:r>
      <w:r>
        <w:rPr>
          <w:sz w:val="38"/>
        </w:rPr>
        <w:t>(salt-water</w:t>
      </w:r>
      <w:r>
        <w:rPr>
          <w:spacing w:val="-12"/>
          <w:sz w:val="38"/>
        </w:rPr>
        <w:t> </w:t>
      </w:r>
      <w:r>
        <w:rPr>
          <w:sz w:val="38"/>
        </w:rPr>
        <w:t>fish,</w:t>
      </w:r>
      <w:r>
        <w:rPr>
          <w:spacing w:val="-13"/>
          <w:sz w:val="38"/>
        </w:rPr>
        <w:t> </w:t>
      </w:r>
      <w:r>
        <w:rPr>
          <w:sz w:val="38"/>
        </w:rPr>
        <w:t>rapeseed</w:t>
      </w:r>
      <w:r>
        <w:rPr>
          <w:spacing w:val="-12"/>
          <w:sz w:val="38"/>
        </w:rPr>
        <w:t> </w:t>
      </w:r>
      <w:r>
        <w:rPr>
          <w:sz w:val="38"/>
        </w:rPr>
        <w:t>oil,</w:t>
      </w:r>
      <w:r>
        <w:rPr>
          <w:spacing w:val="-14"/>
          <w:sz w:val="38"/>
        </w:rPr>
        <w:t> </w:t>
      </w:r>
      <w:r>
        <w:rPr>
          <w:sz w:val="38"/>
        </w:rPr>
        <w:t>linseed</w:t>
      </w:r>
      <w:r>
        <w:rPr>
          <w:spacing w:val="-13"/>
          <w:sz w:val="38"/>
        </w:rPr>
        <w:t> </w:t>
      </w:r>
      <w:r>
        <w:rPr>
          <w:sz w:val="38"/>
        </w:rPr>
        <w:t>oil,</w:t>
      </w:r>
      <w:r>
        <w:rPr>
          <w:spacing w:val="-13"/>
          <w:sz w:val="38"/>
        </w:rPr>
        <w:t> </w:t>
      </w:r>
      <w:r>
        <w:rPr>
          <w:sz w:val="38"/>
        </w:rPr>
        <w:t>walnut oil).</w:t>
      </w:r>
    </w:p>
    <w:p>
      <w:pPr>
        <w:pStyle w:val="BodyText"/>
        <w:spacing w:line="276" w:lineRule="auto" w:before="246"/>
        <w:ind w:left="616" w:right="133"/>
        <w:jc w:val="both"/>
      </w:pPr>
      <w:r>
        <w:rPr/>
        <w:t>It is recommended to eat two servings of salt-water fish every week; opt for linseed, rapeseed and walnut oil instead of the omega-6 rich sunflower, saf- flower</w:t>
      </w:r>
      <w:r>
        <w:rPr>
          <w:spacing w:val="-18"/>
        </w:rPr>
        <w:t> </w:t>
      </w:r>
      <w:r>
        <w:rPr/>
        <w:t>and</w:t>
      </w:r>
      <w:r>
        <w:rPr>
          <w:spacing w:val="-19"/>
        </w:rPr>
        <w:t> </w:t>
      </w:r>
      <w:r>
        <w:rPr/>
        <w:t>corn</w:t>
      </w:r>
      <w:r>
        <w:rPr>
          <w:spacing w:val="-20"/>
        </w:rPr>
        <w:t> </w:t>
      </w:r>
      <w:r>
        <w:rPr/>
        <w:t>oil</w:t>
      </w:r>
      <w:r>
        <w:rPr>
          <w:spacing w:val="-19"/>
        </w:rPr>
        <w:t> </w:t>
      </w:r>
      <w:r>
        <w:rPr/>
        <w:t>to</w:t>
      </w:r>
      <w:r>
        <w:rPr>
          <w:spacing w:val="-17"/>
        </w:rPr>
        <w:t> </w:t>
      </w:r>
      <w:r>
        <w:rPr/>
        <w:t>maintain</w:t>
      </w:r>
      <w:r>
        <w:rPr>
          <w:spacing w:val="-19"/>
        </w:rPr>
        <w:t> </w:t>
      </w:r>
      <w:r>
        <w:rPr/>
        <w:t>a</w:t>
      </w:r>
      <w:r>
        <w:rPr>
          <w:spacing w:val="-23"/>
        </w:rPr>
        <w:t> </w:t>
      </w:r>
      <w:r>
        <w:rPr/>
        <w:t>healthy</w:t>
      </w:r>
      <w:r>
        <w:rPr>
          <w:spacing w:val="-19"/>
        </w:rPr>
        <w:t> </w:t>
      </w:r>
      <w:r>
        <w:rPr/>
        <w:t>ratio</w:t>
      </w:r>
      <w:r>
        <w:rPr>
          <w:spacing w:val="-18"/>
        </w:rPr>
        <w:t> </w:t>
      </w:r>
      <w:r>
        <w:rPr/>
        <w:t>of</w:t>
      </w:r>
      <w:r>
        <w:rPr>
          <w:spacing w:val="-23"/>
        </w:rPr>
        <w:t> </w:t>
      </w:r>
      <w:r>
        <w:rPr/>
        <w:t>omega-3</w:t>
      </w:r>
      <w:r>
        <w:rPr>
          <w:spacing w:val="-18"/>
        </w:rPr>
        <w:t> </w:t>
      </w:r>
      <w:r>
        <w:rPr/>
        <w:t>fatty</w:t>
      </w:r>
      <w:r>
        <w:rPr>
          <w:spacing w:val="-20"/>
        </w:rPr>
        <w:t> </w:t>
      </w:r>
      <w:r>
        <w:rPr/>
        <w:t>acids</w:t>
      </w:r>
      <w:r>
        <w:rPr>
          <w:spacing w:val="-19"/>
        </w:rPr>
        <w:t> </w:t>
      </w:r>
      <w:r>
        <w:rPr/>
        <w:t>to</w:t>
      </w:r>
      <w:r>
        <w:rPr>
          <w:spacing w:val="-20"/>
        </w:rPr>
        <w:t> </w:t>
      </w:r>
      <w:r>
        <w:rPr/>
        <w:t>omega- 6 fatty</w:t>
      </w:r>
      <w:r>
        <w:rPr>
          <w:spacing w:val="-1"/>
        </w:rPr>
        <w:t> </w:t>
      </w:r>
      <w:r>
        <w:rPr/>
        <w:t>acids.</w:t>
      </w:r>
    </w:p>
    <w:p>
      <w:pPr>
        <w:spacing w:after="0" w:line="276" w:lineRule="auto"/>
        <w:jc w:val="both"/>
        <w:sectPr>
          <w:pgSz w:w="14270" w:h="16850"/>
          <w:pgMar w:header="0" w:footer="1891" w:top="1360" w:bottom="2080" w:left="800" w:right="1280"/>
        </w:sectPr>
      </w:pPr>
    </w:p>
    <w:p>
      <w:pPr>
        <w:pStyle w:val="Heading1"/>
        <w:spacing w:before="77"/>
        <w:ind w:left="616"/>
      </w:pPr>
      <w:r>
        <w:rPr/>
        <w:t>Omega-3 fatty acids vs. Omega-6 fatty</w:t>
      </w:r>
      <w:r>
        <w:rPr>
          <w:spacing w:val="-72"/>
        </w:rPr>
        <w:t> </w:t>
      </w:r>
      <w:r>
        <w:rPr/>
        <w:t>acids</w:t>
      </w:r>
    </w:p>
    <w:p>
      <w:pPr>
        <w:pStyle w:val="BodyText"/>
        <w:spacing w:line="276" w:lineRule="auto" w:before="297"/>
        <w:ind w:left="616" w:right="130"/>
        <w:jc w:val="both"/>
      </w:pPr>
      <w:r>
        <w:rPr>
          <w:b/>
        </w:rPr>
        <w:t>Arachidonic acid </w:t>
      </w:r>
      <w:r>
        <w:rPr/>
        <w:t>is a polyunsaturated fatty acid that belongs to the category of omega-6 fatty acids. Arachidonic acid is usually supplied via animal fats in food, but can also be formed by the body itself from other fatty acids. The most important function of arachidonic acid is the synthesis of tissue hor- mones. An excess of omega-6 fatty acids, for example, proves problematic in inflammatory diseases such as rheumatism and arthritis. This excess of</w:t>
      </w:r>
      <w:r>
        <w:rPr>
          <w:spacing w:val="-41"/>
        </w:rPr>
        <w:t> </w:t>
      </w:r>
      <w:r>
        <w:rPr/>
        <w:t>arachi- donic acid or omega-6 fatty acids in practice is the rule in our modern diet rather than the exception. The result is a mismatch between the omega-6</w:t>
      </w:r>
      <w:r>
        <w:rPr>
          <w:spacing w:val="-56"/>
        </w:rPr>
        <w:t> </w:t>
      </w:r>
      <w:r>
        <w:rPr/>
        <w:t>fatty acids</w:t>
      </w:r>
      <w:r>
        <w:rPr>
          <w:spacing w:val="-25"/>
        </w:rPr>
        <w:t> </w:t>
      </w:r>
      <w:r>
        <w:rPr/>
        <w:t>and</w:t>
      </w:r>
      <w:r>
        <w:rPr>
          <w:spacing w:val="-24"/>
        </w:rPr>
        <w:t> </w:t>
      </w:r>
      <w:r>
        <w:rPr/>
        <w:t>the</w:t>
      </w:r>
      <w:r>
        <w:rPr>
          <w:spacing w:val="-24"/>
        </w:rPr>
        <w:t> </w:t>
      </w:r>
      <w:r>
        <w:rPr/>
        <w:t>omega-3</w:t>
      </w:r>
      <w:r>
        <w:rPr>
          <w:spacing w:val="-24"/>
        </w:rPr>
        <w:t> </w:t>
      </w:r>
      <w:r>
        <w:rPr/>
        <w:t>fatty</w:t>
      </w:r>
      <w:r>
        <w:rPr>
          <w:spacing w:val="-26"/>
        </w:rPr>
        <w:t> </w:t>
      </w:r>
      <w:r>
        <w:rPr/>
        <w:t>acids,</w:t>
      </w:r>
      <w:r>
        <w:rPr>
          <w:spacing w:val="-21"/>
        </w:rPr>
        <w:t> </w:t>
      </w:r>
      <w:r>
        <w:rPr/>
        <w:t>which</w:t>
      </w:r>
      <w:r>
        <w:rPr>
          <w:spacing w:val="-24"/>
        </w:rPr>
        <w:t> </w:t>
      </w:r>
      <w:r>
        <w:rPr/>
        <w:t>is</w:t>
      </w:r>
      <w:r>
        <w:rPr>
          <w:spacing w:val="-24"/>
        </w:rPr>
        <w:t> </w:t>
      </w:r>
      <w:r>
        <w:rPr/>
        <w:t>extremely</w:t>
      </w:r>
      <w:r>
        <w:rPr>
          <w:spacing w:val="-24"/>
        </w:rPr>
        <w:t> </w:t>
      </w:r>
      <w:r>
        <w:rPr/>
        <w:t>problematic</w:t>
      </w:r>
      <w:r>
        <w:rPr>
          <w:spacing w:val="-26"/>
        </w:rPr>
        <w:t> </w:t>
      </w:r>
      <w:r>
        <w:rPr/>
        <w:t>from</w:t>
      </w:r>
      <w:r>
        <w:rPr>
          <w:spacing w:val="-24"/>
        </w:rPr>
        <w:t> </w:t>
      </w:r>
      <w:r>
        <w:rPr/>
        <w:t>a</w:t>
      </w:r>
      <w:r>
        <w:rPr>
          <w:spacing w:val="-25"/>
        </w:rPr>
        <w:t> </w:t>
      </w:r>
      <w:r>
        <w:rPr/>
        <w:t>health point of view.</w:t>
      </w:r>
    </w:p>
    <w:p>
      <w:pPr>
        <w:pStyle w:val="BodyText"/>
        <w:spacing w:line="276" w:lineRule="auto" w:before="242"/>
        <w:ind w:left="616" w:right="133"/>
        <w:jc w:val="both"/>
      </w:pPr>
      <w:r>
        <w:rPr>
          <w:b/>
        </w:rPr>
        <w:t>Eicosapentaenoic acid </w:t>
      </w:r>
      <w:r>
        <w:rPr/>
        <w:t>(abbreviated to EPA) is an omega-3 fatty acid and is the</w:t>
      </w:r>
      <w:r>
        <w:rPr>
          <w:spacing w:val="-10"/>
        </w:rPr>
        <w:t> </w:t>
      </w:r>
      <w:r>
        <w:rPr/>
        <w:t>natural</w:t>
      </w:r>
      <w:r>
        <w:rPr>
          <w:spacing w:val="-11"/>
        </w:rPr>
        <w:t> </w:t>
      </w:r>
      <w:r>
        <w:rPr/>
        <w:t>antagonist</w:t>
      </w:r>
      <w:r>
        <w:rPr>
          <w:spacing w:val="-11"/>
        </w:rPr>
        <w:t> </w:t>
      </w:r>
      <w:r>
        <w:rPr/>
        <w:t>(counterpart)</w:t>
      </w:r>
      <w:r>
        <w:rPr>
          <w:spacing w:val="-12"/>
        </w:rPr>
        <w:t> </w:t>
      </w:r>
      <w:r>
        <w:rPr/>
        <w:t>of</w:t>
      </w:r>
      <w:r>
        <w:rPr>
          <w:spacing w:val="-10"/>
        </w:rPr>
        <w:t> </w:t>
      </w:r>
      <w:r>
        <w:rPr/>
        <w:t>arachidonic</w:t>
      </w:r>
      <w:r>
        <w:rPr>
          <w:spacing w:val="-10"/>
        </w:rPr>
        <w:t> </w:t>
      </w:r>
      <w:r>
        <w:rPr/>
        <w:t>acid,</w:t>
      </w:r>
      <w:r>
        <w:rPr>
          <w:spacing w:val="-11"/>
        </w:rPr>
        <w:t> </w:t>
      </w:r>
      <w:r>
        <w:rPr/>
        <w:t>an</w:t>
      </w:r>
      <w:r>
        <w:rPr>
          <w:spacing w:val="-11"/>
        </w:rPr>
        <w:t> </w:t>
      </w:r>
      <w:r>
        <w:rPr/>
        <w:t>omega-6</w:t>
      </w:r>
      <w:r>
        <w:rPr>
          <w:spacing w:val="-11"/>
        </w:rPr>
        <w:t> </w:t>
      </w:r>
      <w:r>
        <w:rPr/>
        <w:t>fatty</w:t>
      </w:r>
      <w:r>
        <w:rPr>
          <w:spacing w:val="-11"/>
        </w:rPr>
        <w:t> </w:t>
      </w:r>
      <w:r>
        <w:rPr/>
        <w:t>acid. The EPA fatty acid is mostly found in fatty salt-water fish and displaces the arachidonic acid within the metabolism as soon as it is in the right proportion to the omega-6 fatty acids, thus counteracting the harmful and painful inflam- mation. Thus, to benefit from the health benefits of omega-6 fatty acids with- out doing harm to yourself, it is crucial to pay attention to the balanced ratio of the two fatty acids to each other. It is desirable to have a ratio of omega-6 fatty acids to omega-3 fatty acids of between 3:1 and</w:t>
      </w:r>
      <w:r>
        <w:rPr>
          <w:spacing w:val="-3"/>
        </w:rPr>
        <w:t> </w:t>
      </w:r>
      <w:r>
        <w:rPr/>
        <w:t>5:1.</w:t>
      </w:r>
    </w:p>
    <w:p>
      <w:pPr>
        <w:pStyle w:val="Heading2"/>
        <w:spacing w:before="242"/>
        <w:ind w:left="616"/>
        <w:jc w:val="both"/>
      </w:pPr>
      <w:r>
        <w:rPr/>
        <w:t>Omega-3 fatty acids – what do the experts and the press say?</w:t>
      </w:r>
    </w:p>
    <w:p>
      <w:pPr>
        <w:spacing w:before="302"/>
        <w:ind w:left="616" w:right="0" w:firstLine="0"/>
        <w:jc w:val="both"/>
        <w:rPr>
          <w:i/>
          <w:sz w:val="38"/>
        </w:rPr>
      </w:pPr>
      <w:r>
        <w:rPr>
          <w:i/>
          <w:sz w:val="38"/>
        </w:rPr>
        <w:t>'There</w:t>
      </w:r>
      <w:r>
        <w:rPr>
          <w:i/>
          <w:spacing w:val="-15"/>
          <w:sz w:val="38"/>
        </w:rPr>
        <w:t> </w:t>
      </w:r>
      <w:r>
        <w:rPr>
          <w:i/>
          <w:sz w:val="38"/>
        </w:rPr>
        <w:t>is</w:t>
      </w:r>
      <w:r>
        <w:rPr>
          <w:i/>
          <w:spacing w:val="-15"/>
          <w:sz w:val="38"/>
        </w:rPr>
        <w:t> </w:t>
      </w:r>
      <w:r>
        <w:rPr>
          <w:i/>
          <w:sz w:val="38"/>
        </w:rPr>
        <w:t>no</w:t>
      </w:r>
      <w:r>
        <w:rPr>
          <w:i/>
          <w:spacing w:val="-17"/>
          <w:sz w:val="38"/>
        </w:rPr>
        <w:t> </w:t>
      </w:r>
      <w:r>
        <w:rPr>
          <w:i/>
          <w:sz w:val="38"/>
        </w:rPr>
        <w:t>more</w:t>
      </w:r>
      <w:r>
        <w:rPr>
          <w:i/>
          <w:spacing w:val="-17"/>
          <w:sz w:val="38"/>
        </w:rPr>
        <w:t> </w:t>
      </w:r>
      <w:r>
        <w:rPr>
          <w:i/>
          <w:sz w:val="38"/>
        </w:rPr>
        <w:t>important</w:t>
      </w:r>
      <w:r>
        <w:rPr>
          <w:i/>
          <w:spacing w:val="-15"/>
          <w:sz w:val="38"/>
        </w:rPr>
        <w:t> </w:t>
      </w:r>
      <w:r>
        <w:rPr>
          <w:i/>
          <w:sz w:val="38"/>
        </w:rPr>
        <w:t>nutrient</w:t>
      </w:r>
      <w:r>
        <w:rPr>
          <w:i/>
          <w:spacing w:val="-15"/>
          <w:sz w:val="38"/>
        </w:rPr>
        <w:t> </w:t>
      </w:r>
      <w:r>
        <w:rPr>
          <w:i/>
          <w:sz w:val="38"/>
        </w:rPr>
        <w:t>for</w:t>
      </w:r>
      <w:r>
        <w:rPr>
          <w:i/>
          <w:spacing w:val="-14"/>
          <w:sz w:val="38"/>
        </w:rPr>
        <w:t> </w:t>
      </w:r>
      <w:r>
        <w:rPr>
          <w:i/>
          <w:sz w:val="38"/>
        </w:rPr>
        <w:t>protecting</w:t>
      </w:r>
      <w:r>
        <w:rPr>
          <w:i/>
          <w:spacing w:val="-15"/>
          <w:sz w:val="38"/>
        </w:rPr>
        <w:t> </w:t>
      </w:r>
      <w:r>
        <w:rPr>
          <w:i/>
          <w:sz w:val="38"/>
        </w:rPr>
        <w:t>against</w:t>
      </w:r>
      <w:r>
        <w:rPr>
          <w:i/>
          <w:spacing w:val="-13"/>
          <w:sz w:val="38"/>
        </w:rPr>
        <w:t> </w:t>
      </w:r>
      <w:r>
        <w:rPr>
          <w:i/>
          <w:sz w:val="38"/>
        </w:rPr>
        <w:t>heart</w:t>
      </w:r>
      <w:r>
        <w:rPr>
          <w:i/>
          <w:spacing w:val="-15"/>
          <w:sz w:val="38"/>
        </w:rPr>
        <w:t> </w:t>
      </w:r>
      <w:r>
        <w:rPr>
          <w:i/>
          <w:sz w:val="38"/>
        </w:rPr>
        <w:t>disease</w:t>
      </w:r>
      <w:r>
        <w:rPr>
          <w:i/>
          <w:spacing w:val="-11"/>
          <w:sz w:val="38"/>
        </w:rPr>
        <w:t> </w:t>
      </w:r>
      <w:r>
        <w:rPr>
          <w:sz w:val="38"/>
        </w:rPr>
        <w:t>–</w:t>
      </w:r>
      <w:r>
        <w:rPr>
          <w:spacing w:val="-14"/>
          <w:sz w:val="38"/>
        </w:rPr>
        <w:t> </w:t>
      </w:r>
      <w:r>
        <w:rPr>
          <w:i/>
          <w:sz w:val="38"/>
        </w:rPr>
        <w:t>and</w:t>
      </w:r>
      <w:r>
        <w:rPr>
          <w:i/>
          <w:spacing w:val="-15"/>
          <w:sz w:val="38"/>
        </w:rPr>
        <w:t> </w:t>
      </w:r>
      <w:r>
        <w:rPr>
          <w:i/>
          <w:sz w:val="38"/>
        </w:rPr>
        <w:t>none</w:t>
      </w:r>
      <w:r>
        <w:rPr>
          <w:i/>
          <w:spacing w:val="-17"/>
          <w:sz w:val="38"/>
        </w:rPr>
        <w:t> </w:t>
      </w:r>
      <w:r>
        <w:rPr>
          <w:i/>
          <w:sz w:val="38"/>
        </w:rPr>
        <w:t>are</w:t>
      </w:r>
      <w:r>
        <w:rPr>
          <w:i/>
          <w:spacing w:val="-14"/>
          <w:sz w:val="38"/>
        </w:rPr>
        <w:t> </w:t>
      </w:r>
      <w:r>
        <w:rPr>
          <w:i/>
          <w:sz w:val="38"/>
        </w:rPr>
        <w:t>more</w:t>
      </w:r>
    </w:p>
    <w:p>
      <w:pPr>
        <w:spacing w:after="0"/>
        <w:jc w:val="both"/>
        <w:rPr>
          <w:sz w:val="38"/>
        </w:rPr>
        <w:sectPr>
          <w:pgSz w:w="14270" w:h="16850"/>
          <w:pgMar w:header="0" w:footer="1891" w:top="1320" w:bottom="2080" w:left="800" w:right="1280"/>
        </w:sectPr>
      </w:pPr>
    </w:p>
    <w:p>
      <w:pPr>
        <w:spacing w:before="74"/>
        <w:ind w:left="616" w:right="0" w:firstLine="0"/>
        <w:jc w:val="both"/>
        <w:rPr>
          <w:sz w:val="38"/>
        </w:rPr>
      </w:pPr>
      <w:r>
        <w:rPr>
          <w:i/>
          <w:sz w:val="38"/>
        </w:rPr>
        <w:t>frequently absent from our diet than omega-3'. </w:t>
      </w:r>
      <w:r>
        <w:rPr>
          <w:sz w:val="38"/>
        </w:rPr>
        <w:t>(Dr. William Harris, USA)</w:t>
      </w:r>
    </w:p>
    <w:p>
      <w:pPr>
        <w:spacing w:line="276" w:lineRule="auto" w:before="305"/>
        <w:ind w:left="616" w:right="135" w:firstLine="0"/>
        <w:jc w:val="both"/>
        <w:rPr>
          <w:sz w:val="38"/>
        </w:rPr>
      </w:pPr>
      <w:r>
        <w:rPr>
          <w:i/>
          <w:sz w:val="38"/>
        </w:rPr>
        <w:t>'The most striking effect of omega-3 fatty acids is the reduction in triglycerides. They are </w:t>
      </w:r>
      <w:r>
        <w:rPr>
          <w:i/>
          <w:sz w:val="38"/>
        </w:rPr>
        <w:t>reduced by up to 60 %'. </w:t>
      </w:r>
      <w:r>
        <w:rPr>
          <w:sz w:val="38"/>
        </w:rPr>
        <w:t>(Dr. Susanne Engel, Nutrition Officer, Berlin)</w:t>
      </w:r>
    </w:p>
    <w:p>
      <w:pPr>
        <w:spacing w:line="276" w:lineRule="auto" w:before="238"/>
        <w:ind w:left="616" w:right="133" w:firstLine="0"/>
        <w:jc w:val="both"/>
        <w:rPr>
          <w:sz w:val="38"/>
        </w:rPr>
      </w:pPr>
      <w:r>
        <w:rPr>
          <w:i/>
          <w:sz w:val="38"/>
        </w:rPr>
        <w:t>'Omega-3</w:t>
      </w:r>
      <w:r>
        <w:rPr>
          <w:i/>
          <w:spacing w:val="-9"/>
          <w:sz w:val="38"/>
        </w:rPr>
        <w:t> </w:t>
      </w:r>
      <w:r>
        <w:rPr>
          <w:i/>
          <w:sz w:val="38"/>
        </w:rPr>
        <w:t>fatty</w:t>
      </w:r>
      <w:r>
        <w:rPr>
          <w:i/>
          <w:spacing w:val="-9"/>
          <w:sz w:val="38"/>
        </w:rPr>
        <w:t> </w:t>
      </w:r>
      <w:r>
        <w:rPr>
          <w:i/>
          <w:sz w:val="38"/>
        </w:rPr>
        <w:t>acids</w:t>
      </w:r>
      <w:r>
        <w:rPr>
          <w:i/>
          <w:spacing w:val="-10"/>
          <w:sz w:val="38"/>
        </w:rPr>
        <w:t> </w:t>
      </w:r>
      <w:r>
        <w:rPr>
          <w:i/>
          <w:sz w:val="38"/>
        </w:rPr>
        <w:t>decrease</w:t>
      </w:r>
      <w:r>
        <w:rPr>
          <w:i/>
          <w:spacing w:val="-9"/>
          <w:sz w:val="38"/>
        </w:rPr>
        <w:t> </w:t>
      </w:r>
      <w:r>
        <w:rPr>
          <w:i/>
          <w:sz w:val="38"/>
        </w:rPr>
        <w:t>arachidonic</w:t>
      </w:r>
      <w:r>
        <w:rPr>
          <w:i/>
          <w:spacing w:val="-9"/>
          <w:sz w:val="38"/>
        </w:rPr>
        <w:t> </w:t>
      </w:r>
      <w:r>
        <w:rPr>
          <w:i/>
          <w:sz w:val="38"/>
        </w:rPr>
        <w:t>acid</w:t>
      </w:r>
      <w:r>
        <w:rPr>
          <w:i/>
          <w:spacing w:val="-10"/>
          <w:sz w:val="38"/>
        </w:rPr>
        <w:t> </w:t>
      </w:r>
      <w:r>
        <w:rPr>
          <w:i/>
          <w:sz w:val="38"/>
        </w:rPr>
        <w:t>levels,</w:t>
      </w:r>
      <w:r>
        <w:rPr>
          <w:i/>
          <w:spacing w:val="-7"/>
          <w:sz w:val="38"/>
        </w:rPr>
        <w:t> </w:t>
      </w:r>
      <w:r>
        <w:rPr>
          <w:i/>
          <w:sz w:val="38"/>
        </w:rPr>
        <w:t>lower</w:t>
      </w:r>
      <w:r>
        <w:rPr>
          <w:i/>
          <w:spacing w:val="-9"/>
          <w:sz w:val="38"/>
        </w:rPr>
        <w:t> </w:t>
      </w:r>
      <w:r>
        <w:rPr>
          <w:i/>
          <w:sz w:val="38"/>
        </w:rPr>
        <w:t>blood</w:t>
      </w:r>
      <w:r>
        <w:rPr>
          <w:i/>
          <w:spacing w:val="-9"/>
          <w:sz w:val="38"/>
        </w:rPr>
        <w:t> </w:t>
      </w:r>
      <w:r>
        <w:rPr>
          <w:i/>
          <w:sz w:val="38"/>
        </w:rPr>
        <w:t>pressure,</w:t>
      </w:r>
      <w:r>
        <w:rPr>
          <w:i/>
          <w:spacing w:val="-8"/>
          <w:sz w:val="38"/>
        </w:rPr>
        <w:t> </w:t>
      </w:r>
      <w:r>
        <w:rPr>
          <w:i/>
          <w:sz w:val="38"/>
        </w:rPr>
        <w:t>decrease</w:t>
      </w:r>
      <w:r>
        <w:rPr>
          <w:i/>
          <w:spacing w:val="-9"/>
          <w:sz w:val="38"/>
        </w:rPr>
        <w:t> </w:t>
      </w:r>
      <w:r>
        <w:rPr>
          <w:i/>
          <w:sz w:val="38"/>
        </w:rPr>
        <w:t>leukotri- </w:t>
      </w:r>
      <w:r>
        <w:rPr>
          <w:i/>
          <w:sz w:val="38"/>
        </w:rPr>
        <w:t>ene B4 production, and inhibit the inflammatory component of atherosclerosis</w:t>
      </w:r>
      <w:r>
        <w:rPr>
          <w:sz w:val="38"/>
        </w:rPr>
        <w:t>'. (Professor Dr. P.C. Weber, Ludwig Maximilian University of</w:t>
      </w:r>
      <w:r>
        <w:rPr>
          <w:spacing w:val="-5"/>
          <w:sz w:val="38"/>
        </w:rPr>
        <w:t> </w:t>
      </w:r>
      <w:r>
        <w:rPr>
          <w:sz w:val="38"/>
        </w:rPr>
        <w:t>Munich)</w:t>
      </w:r>
    </w:p>
    <w:p>
      <w:pPr>
        <w:spacing w:line="276" w:lineRule="auto" w:before="239"/>
        <w:ind w:left="616" w:right="134" w:firstLine="0"/>
        <w:jc w:val="both"/>
        <w:rPr>
          <w:sz w:val="38"/>
        </w:rPr>
      </w:pPr>
      <w:r>
        <w:rPr>
          <w:sz w:val="38"/>
        </w:rPr>
        <w:t>'</w:t>
      </w:r>
      <w:r>
        <w:rPr>
          <w:i/>
          <w:sz w:val="38"/>
        </w:rPr>
        <w:t>There is no antiarrhythmic drug (drug for the treatment of cardiac arrhythmias) which so </w:t>
      </w:r>
      <w:r>
        <w:rPr>
          <w:i/>
          <w:sz w:val="38"/>
        </w:rPr>
        <w:t>clearly preserves the life of people suffering from arrhythmias like omega-3 fatty acids – and with virtually no side effects'. </w:t>
      </w:r>
      <w:r>
        <w:rPr>
          <w:sz w:val="38"/>
        </w:rPr>
        <w:t>(Dr. Volker Schmiedel, Habichtswaldklinik Kassel)</w:t>
      </w:r>
    </w:p>
    <w:p>
      <w:pPr>
        <w:spacing w:line="276" w:lineRule="auto" w:before="242"/>
        <w:ind w:left="616" w:right="133" w:firstLine="0"/>
        <w:jc w:val="both"/>
        <w:rPr>
          <w:sz w:val="38"/>
        </w:rPr>
      </w:pPr>
      <w:r>
        <w:rPr>
          <w:i/>
          <w:sz w:val="38"/>
        </w:rPr>
        <w:t>'Fish</w:t>
      </w:r>
      <w:r>
        <w:rPr>
          <w:i/>
          <w:spacing w:val="-8"/>
          <w:sz w:val="38"/>
        </w:rPr>
        <w:t> </w:t>
      </w:r>
      <w:r>
        <w:rPr>
          <w:i/>
          <w:sz w:val="38"/>
        </w:rPr>
        <w:t>oil,</w:t>
      </w:r>
      <w:r>
        <w:rPr>
          <w:i/>
          <w:spacing w:val="-6"/>
          <w:sz w:val="38"/>
        </w:rPr>
        <w:t> </w:t>
      </w:r>
      <w:r>
        <w:rPr>
          <w:i/>
          <w:sz w:val="38"/>
        </w:rPr>
        <w:t>especially</w:t>
      </w:r>
      <w:r>
        <w:rPr>
          <w:i/>
          <w:spacing w:val="-9"/>
          <w:sz w:val="38"/>
        </w:rPr>
        <w:t> </w:t>
      </w:r>
      <w:r>
        <w:rPr>
          <w:i/>
          <w:sz w:val="38"/>
        </w:rPr>
        <w:t>that</w:t>
      </w:r>
      <w:r>
        <w:rPr>
          <w:i/>
          <w:spacing w:val="-5"/>
          <w:sz w:val="38"/>
        </w:rPr>
        <w:t> </w:t>
      </w:r>
      <w:r>
        <w:rPr>
          <w:i/>
          <w:sz w:val="38"/>
        </w:rPr>
        <w:t>of</w:t>
      </w:r>
      <w:r>
        <w:rPr>
          <w:i/>
          <w:spacing w:val="-8"/>
          <w:sz w:val="38"/>
        </w:rPr>
        <w:t> </w:t>
      </w:r>
      <w:r>
        <w:rPr>
          <w:i/>
          <w:sz w:val="38"/>
        </w:rPr>
        <w:t>salmon,</w:t>
      </w:r>
      <w:r>
        <w:rPr>
          <w:i/>
          <w:spacing w:val="-9"/>
          <w:sz w:val="38"/>
        </w:rPr>
        <w:t> </w:t>
      </w:r>
      <w:r>
        <w:rPr>
          <w:i/>
          <w:sz w:val="38"/>
        </w:rPr>
        <w:t>not</w:t>
      </w:r>
      <w:r>
        <w:rPr>
          <w:i/>
          <w:spacing w:val="-8"/>
          <w:sz w:val="38"/>
        </w:rPr>
        <w:t> </w:t>
      </w:r>
      <w:r>
        <w:rPr>
          <w:i/>
          <w:sz w:val="38"/>
        </w:rPr>
        <w:t>only</w:t>
      </w:r>
      <w:r>
        <w:rPr>
          <w:i/>
          <w:spacing w:val="-5"/>
          <w:sz w:val="38"/>
        </w:rPr>
        <w:t> </w:t>
      </w:r>
      <w:r>
        <w:rPr>
          <w:i/>
          <w:sz w:val="38"/>
        </w:rPr>
        <w:t>helps</w:t>
      </w:r>
      <w:r>
        <w:rPr>
          <w:i/>
          <w:spacing w:val="-7"/>
          <w:sz w:val="38"/>
        </w:rPr>
        <w:t> </w:t>
      </w:r>
      <w:r>
        <w:rPr>
          <w:i/>
          <w:sz w:val="38"/>
        </w:rPr>
        <w:t>combat</w:t>
      </w:r>
      <w:r>
        <w:rPr>
          <w:i/>
          <w:spacing w:val="-7"/>
          <w:sz w:val="38"/>
        </w:rPr>
        <w:t> </w:t>
      </w:r>
      <w:r>
        <w:rPr>
          <w:i/>
          <w:sz w:val="38"/>
        </w:rPr>
        <w:t>atherosclerosis,</w:t>
      </w:r>
      <w:r>
        <w:rPr>
          <w:i/>
          <w:spacing w:val="-5"/>
          <w:sz w:val="38"/>
        </w:rPr>
        <w:t> </w:t>
      </w:r>
      <w:r>
        <w:rPr>
          <w:i/>
          <w:sz w:val="38"/>
        </w:rPr>
        <w:t>but</w:t>
      </w:r>
      <w:r>
        <w:rPr>
          <w:i/>
          <w:spacing w:val="-8"/>
          <w:sz w:val="38"/>
        </w:rPr>
        <w:t> </w:t>
      </w:r>
      <w:r>
        <w:rPr>
          <w:i/>
          <w:sz w:val="38"/>
        </w:rPr>
        <w:t>also</w:t>
      </w:r>
      <w:r>
        <w:rPr>
          <w:i/>
          <w:spacing w:val="-6"/>
          <w:sz w:val="38"/>
        </w:rPr>
        <w:t> </w:t>
      </w:r>
      <w:r>
        <w:rPr>
          <w:i/>
          <w:sz w:val="38"/>
        </w:rPr>
        <w:t>inflamma- </w:t>
      </w:r>
      <w:r>
        <w:rPr>
          <w:i/>
          <w:sz w:val="38"/>
        </w:rPr>
        <w:t>tion</w:t>
      </w:r>
      <w:r>
        <w:rPr>
          <w:i/>
          <w:spacing w:val="-10"/>
          <w:sz w:val="38"/>
        </w:rPr>
        <w:t> </w:t>
      </w:r>
      <w:r>
        <w:rPr>
          <w:i/>
          <w:sz w:val="38"/>
        </w:rPr>
        <w:t>and</w:t>
      </w:r>
      <w:r>
        <w:rPr>
          <w:i/>
          <w:spacing w:val="-10"/>
          <w:sz w:val="38"/>
        </w:rPr>
        <w:t> </w:t>
      </w:r>
      <w:r>
        <w:rPr>
          <w:i/>
          <w:sz w:val="38"/>
        </w:rPr>
        <w:t>allergies.</w:t>
      </w:r>
      <w:r>
        <w:rPr>
          <w:i/>
          <w:spacing w:val="-9"/>
          <w:sz w:val="38"/>
        </w:rPr>
        <w:t> </w:t>
      </w:r>
      <w:r>
        <w:rPr>
          <w:i/>
          <w:sz w:val="38"/>
        </w:rPr>
        <w:t>In</w:t>
      </w:r>
      <w:r>
        <w:rPr>
          <w:i/>
          <w:spacing w:val="-10"/>
          <w:sz w:val="38"/>
        </w:rPr>
        <w:t> </w:t>
      </w:r>
      <w:r>
        <w:rPr>
          <w:i/>
          <w:sz w:val="38"/>
        </w:rPr>
        <w:t>addition,</w:t>
      </w:r>
      <w:r>
        <w:rPr>
          <w:i/>
          <w:spacing w:val="-9"/>
          <w:sz w:val="38"/>
        </w:rPr>
        <w:t> </w:t>
      </w:r>
      <w:r>
        <w:rPr>
          <w:i/>
          <w:sz w:val="38"/>
        </w:rPr>
        <w:t>it</w:t>
      </w:r>
      <w:r>
        <w:rPr>
          <w:i/>
          <w:spacing w:val="-10"/>
          <w:sz w:val="38"/>
        </w:rPr>
        <w:t> </w:t>
      </w:r>
      <w:r>
        <w:rPr>
          <w:i/>
          <w:sz w:val="38"/>
        </w:rPr>
        <w:t>has</w:t>
      </w:r>
      <w:r>
        <w:rPr>
          <w:i/>
          <w:spacing w:val="-11"/>
          <w:sz w:val="38"/>
        </w:rPr>
        <w:t> </w:t>
      </w:r>
      <w:r>
        <w:rPr>
          <w:i/>
          <w:sz w:val="38"/>
        </w:rPr>
        <w:t>demonstrated</w:t>
      </w:r>
      <w:r>
        <w:rPr>
          <w:i/>
          <w:spacing w:val="-11"/>
          <w:sz w:val="38"/>
        </w:rPr>
        <w:t> </w:t>
      </w:r>
      <w:r>
        <w:rPr>
          <w:i/>
          <w:sz w:val="38"/>
        </w:rPr>
        <w:t>its</w:t>
      </w:r>
      <w:r>
        <w:rPr>
          <w:i/>
          <w:spacing w:val="-10"/>
          <w:sz w:val="38"/>
        </w:rPr>
        <w:t> </w:t>
      </w:r>
      <w:r>
        <w:rPr>
          <w:i/>
          <w:sz w:val="38"/>
        </w:rPr>
        <w:t>efficacy</w:t>
      </w:r>
      <w:r>
        <w:rPr>
          <w:i/>
          <w:spacing w:val="-10"/>
          <w:sz w:val="38"/>
        </w:rPr>
        <w:t> </w:t>
      </w:r>
      <w:r>
        <w:rPr>
          <w:i/>
          <w:sz w:val="38"/>
        </w:rPr>
        <w:t>against</w:t>
      </w:r>
      <w:r>
        <w:rPr>
          <w:i/>
          <w:spacing w:val="-10"/>
          <w:sz w:val="38"/>
        </w:rPr>
        <w:t> </w:t>
      </w:r>
      <w:r>
        <w:rPr>
          <w:i/>
          <w:sz w:val="38"/>
        </w:rPr>
        <w:t>arthritis</w:t>
      </w:r>
      <w:r>
        <w:rPr>
          <w:i/>
          <w:spacing w:val="-8"/>
          <w:sz w:val="38"/>
        </w:rPr>
        <w:t> </w:t>
      </w:r>
      <w:r>
        <w:rPr>
          <w:i/>
          <w:sz w:val="38"/>
        </w:rPr>
        <w:t>(rheumatism) in scientific studies</w:t>
      </w:r>
      <w:r>
        <w:rPr>
          <w:sz w:val="38"/>
        </w:rPr>
        <w:t>'. (Harvard Medical School Health Letter 10,</w:t>
      </w:r>
      <w:r>
        <w:rPr>
          <w:spacing w:val="-8"/>
          <w:sz w:val="38"/>
        </w:rPr>
        <w:t> </w:t>
      </w:r>
      <w:r>
        <w:rPr>
          <w:sz w:val="38"/>
        </w:rPr>
        <w:t>1986)</w:t>
      </w:r>
    </w:p>
    <w:p>
      <w:pPr>
        <w:spacing w:line="276" w:lineRule="auto" w:before="241"/>
        <w:ind w:left="616" w:right="140" w:firstLine="0"/>
        <w:jc w:val="both"/>
        <w:rPr>
          <w:sz w:val="38"/>
        </w:rPr>
      </w:pPr>
      <w:r>
        <w:rPr>
          <w:i/>
          <w:sz w:val="38"/>
        </w:rPr>
        <w:t>'The aforementioned variety of anti-atherogenic effects is achieved by no other natural sub- </w:t>
      </w:r>
      <w:r>
        <w:rPr>
          <w:i/>
          <w:sz w:val="38"/>
        </w:rPr>
        <w:t>stance (other than omega-3 fatty acids) and no drug'. </w:t>
      </w:r>
      <w:r>
        <w:rPr>
          <w:sz w:val="38"/>
        </w:rPr>
        <w:t>(Dr. Peter Singer)</w:t>
      </w:r>
    </w:p>
    <w:p>
      <w:pPr>
        <w:spacing w:line="276" w:lineRule="auto" w:before="238"/>
        <w:ind w:left="616" w:right="131" w:firstLine="0"/>
        <w:jc w:val="both"/>
        <w:rPr>
          <w:sz w:val="38"/>
        </w:rPr>
      </w:pPr>
      <w:r>
        <w:rPr>
          <w:sz w:val="38"/>
        </w:rPr>
        <w:t>'</w:t>
      </w:r>
      <w:r>
        <w:rPr>
          <w:i/>
          <w:sz w:val="38"/>
        </w:rPr>
        <w:t>...there is clear evidence that essential omega-3 fatty acids could be the most potent factors </w:t>
      </w:r>
      <w:r>
        <w:rPr>
          <w:i/>
          <w:sz w:val="38"/>
        </w:rPr>
        <w:t>with cardiac-protective function in the human diet. Optimal omega-3 intake can have a pro- found effect on safely reducing the risk of heart disease and promoting health in men, women and children of all ages'. </w:t>
      </w:r>
      <w:r>
        <w:rPr>
          <w:sz w:val="38"/>
        </w:rPr>
        <w:t>(Dr. William E. Butler, Harvard Medical School)</w:t>
      </w:r>
    </w:p>
    <w:p>
      <w:pPr>
        <w:spacing w:line="276" w:lineRule="auto" w:before="242"/>
        <w:ind w:left="616" w:right="137" w:firstLine="0"/>
        <w:jc w:val="both"/>
        <w:rPr>
          <w:sz w:val="38"/>
        </w:rPr>
      </w:pPr>
      <w:r>
        <w:rPr>
          <w:sz w:val="38"/>
        </w:rPr>
        <w:t>'</w:t>
      </w:r>
      <w:r>
        <w:rPr>
          <w:i/>
          <w:sz w:val="38"/>
        </w:rPr>
        <w:t>Just fatty cold-water fish or their oil is particularly valuable for the body. Reason: polyun- </w:t>
      </w:r>
      <w:r>
        <w:rPr>
          <w:i/>
          <w:sz w:val="38"/>
        </w:rPr>
        <w:t>saturated omega-3 fatty acids make the blood flow better'. </w:t>
      </w:r>
      <w:r>
        <w:rPr>
          <w:sz w:val="38"/>
        </w:rPr>
        <w:t>(Apotheken-Schaufenster 9, 1997)</w:t>
      </w:r>
    </w:p>
    <w:p>
      <w:pPr>
        <w:spacing w:after="0" w:line="276" w:lineRule="auto"/>
        <w:jc w:val="both"/>
        <w:rPr>
          <w:sz w:val="38"/>
        </w:rPr>
        <w:sectPr>
          <w:pgSz w:w="14270" w:h="16850"/>
          <w:pgMar w:header="0" w:footer="1891" w:top="1340" w:bottom="2080" w:left="800" w:right="1280"/>
        </w:sectPr>
      </w:pPr>
    </w:p>
    <w:p>
      <w:pPr>
        <w:spacing w:line="276" w:lineRule="auto" w:before="74"/>
        <w:ind w:left="616" w:right="133" w:firstLine="0"/>
        <w:jc w:val="both"/>
        <w:rPr>
          <w:sz w:val="38"/>
        </w:rPr>
      </w:pPr>
      <w:r>
        <w:rPr>
          <w:i/>
          <w:sz w:val="38"/>
        </w:rPr>
        <w:t>'Several studies have found a significant reduction in the mortality rate of heart patients</w:t>
      </w:r>
      <w:r>
        <w:rPr>
          <w:i/>
          <w:spacing w:val="-64"/>
          <w:sz w:val="38"/>
        </w:rPr>
        <w:t> </w:t>
      </w:r>
      <w:r>
        <w:rPr>
          <w:i/>
          <w:sz w:val="38"/>
        </w:rPr>
        <w:t>who </w:t>
      </w:r>
      <w:r>
        <w:rPr>
          <w:i/>
          <w:sz w:val="38"/>
        </w:rPr>
        <w:t>consumed fish oil (salmon oil)'. </w:t>
      </w:r>
      <w:r>
        <w:rPr>
          <w:sz w:val="38"/>
        </w:rPr>
        <w:t>(Vital 10, 1997)</w:t>
      </w:r>
    </w:p>
    <w:p>
      <w:pPr>
        <w:spacing w:line="276" w:lineRule="auto" w:before="239"/>
        <w:ind w:left="616" w:right="137" w:firstLine="0"/>
        <w:jc w:val="both"/>
        <w:rPr>
          <w:sz w:val="38"/>
        </w:rPr>
      </w:pPr>
      <w:r>
        <w:rPr>
          <w:i/>
          <w:sz w:val="38"/>
        </w:rPr>
        <w:t>'The diet of our modern civilisation is extremely low in omega-3 fatty acids. If you do not </w:t>
      </w:r>
      <w:r>
        <w:rPr>
          <w:i/>
          <w:sz w:val="38"/>
        </w:rPr>
        <w:t>want to die of a fatty heart, you should definitely take fish oil capsules, e.g. from salmon. Fish oil compensates for all nutritional deficits and makes us healthier and happier people'. </w:t>
      </w:r>
      <w:r>
        <w:rPr>
          <w:sz w:val="38"/>
        </w:rPr>
        <w:t>(Prof. S. K. Niazi, University of Illinois, USA)</w:t>
      </w:r>
    </w:p>
    <w:p>
      <w:pPr>
        <w:spacing w:line="276" w:lineRule="auto" w:before="239"/>
        <w:ind w:left="616" w:right="141" w:firstLine="0"/>
        <w:jc w:val="both"/>
        <w:rPr>
          <w:sz w:val="38"/>
        </w:rPr>
      </w:pPr>
      <w:r>
        <w:rPr>
          <w:i/>
          <w:sz w:val="38"/>
        </w:rPr>
        <w:t>'Children who have difficulty concentrating and are hyperactive often suffer from a lack of </w:t>
      </w:r>
      <w:r>
        <w:rPr>
          <w:i/>
          <w:sz w:val="38"/>
        </w:rPr>
        <w:t>essential polyunsaturated fatty acids. The omega-3 fatty acids contained in salmon oil can compensate for this deficiency'. </w:t>
      </w:r>
      <w:r>
        <w:rPr>
          <w:sz w:val="38"/>
        </w:rPr>
        <w:t>(Purdue University, Indiana, USA)</w:t>
      </w:r>
    </w:p>
    <w:p>
      <w:pPr>
        <w:spacing w:line="276" w:lineRule="auto" w:before="241"/>
        <w:ind w:left="616" w:right="136" w:firstLine="0"/>
        <w:jc w:val="both"/>
        <w:rPr>
          <w:sz w:val="38"/>
        </w:rPr>
      </w:pPr>
      <w:r>
        <w:rPr>
          <w:i/>
          <w:sz w:val="38"/>
        </w:rPr>
        <w:t>'One to two fish meals a week or regular supplementation with salmon oil can have a bene- </w:t>
      </w:r>
      <w:r>
        <w:rPr>
          <w:i/>
          <w:sz w:val="38"/>
        </w:rPr>
        <w:t>ficial effect on asthma. As a team of researchers from Campertown, Australia established, the omega-3 fatty acids they contain protect against hyper-responsiveness of the bronchi and asthma. Vitamins C and E also show similar effects'. </w:t>
      </w:r>
      <w:r>
        <w:rPr>
          <w:sz w:val="38"/>
        </w:rPr>
        <w:t>(Nature and Healing 11, 1996)</w:t>
      </w:r>
    </w:p>
    <w:p>
      <w:pPr>
        <w:spacing w:line="276" w:lineRule="auto" w:before="240"/>
        <w:ind w:left="616" w:right="133" w:firstLine="0"/>
        <w:jc w:val="both"/>
        <w:rPr>
          <w:sz w:val="38"/>
        </w:rPr>
      </w:pPr>
      <w:r>
        <w:rPr>
          <w:i/>
          <w:sz w:val="38"/>
        </w:rPr>
        <w:t>'In</w:t>
      </w:r>
      <w:r>
        <w:rPr>
          <w:i/>
          <w:spacing w:val="-11"/>
          <w:sz w:val="38"/>
        </w:rPr>
        <w:t> </w:t>
      </w:r>
      <w:r>
        <w:rPr>
          <w:i/>
          <w:sz w:val="38"/>
        </w:rPr>
        <w:t>10</w:t>
      </w:r>
      <w:r>
        <w:rPr>
          <w:i/>
          <w:spacing w:val="-12"/>
          <w:sz w:val="38"/>
        </w:rPr>
        <w:t> </w:t>
      </w:r>
      <w:r>
        <w:rPr>
          <w:i/>
          <w:sz w:val="38"/>
        </w:rPr>
        <w:t>clinical</w:t>
      </w:r>
      <w:r>
        <w:rPr>
          <w:i/>
          <w:spacing w:val="-13"/>
          <w:sz w:val="38"/>
        </w:rPr>
        <w:t> </w:t>
      </w:r>
      <w:r>
        <w:rPr>
          <w:i/>
          <w:sz w:val="38"/>
        </w:rPr>
        <w:t>trials,</w:t>
      </w:r>
      <w:r>
        <w:rPr>
          <w:i/>
          <w:spacing w:val="-11"/>
          <w:sz w:val="38"/>
        </w:rPr>
        <w:t> </w:t>
      </w:r>
      <w:r>
        <w:rPr>
          <w:i/>
          <w:sz w:val="38"/>
        </w:rPr>
        <w:t>200</w:t>
      </w:r>
      <w:r>
        <w:rPr>
          <w:i/>
          <w:spacing w:val="-13"/>
          <w:sz w:val="38"/>
        </w:rPr>
        <w:t> </w:t>
      </w:r>
      <w:r>
        <w:rPr>
          <w:i/>
          <w:sz w:val="38"/>
        </w:rPr>
        <w:t>patients</w:t>
      </w:r>
      <w:r>
        <w:rPr>
          <w:i/>
          <w:spacing w:val="-12"/>
          <w:sz w:val="38"/>
        </w:rPr>
        <w:t> </w:t>
      </w:r>
      <w:r>
        <w:rPr>
          <w:i/>
          <w:sz w:val="38"/>
        </w:rPr>
        <w:t>showed</w:t>
      </w:r>
      <w:r>
        <w:rPr>
          <w:i/>
          <w:spacing w:val="-12"/>
          <w:sz w:val="38"/>
        </w:rPr>
        <w:t> </w:t>
      </w:r>
      <w:r>
        <w:rPr>
          <w:i/>
          <w:sz w:val="38"/>
        </w:rPr>
        <w:t>an</w:t>
      </w:r>
      <w:r>
        <w:rPr>
          <w:i/>
          <w:spacing w:val="-11"/>
          <w:sz w:val="38"/>
        </w:rPr>
        <w:t> </w:t>
      </w:r>
      <w:r>
        <w:rPr>
          <w:i/>
          <w:sz w:val="38"/>
        </w:rPr>
        <w:t>improvement</w:t>
      </w:r>
      <w:r>
        <w:rPr>
          <w:i/>
          <w:spacing w:val="-11"/>
          <w:sz w:val="38"/>
        </w:rPr>
        <w:t> </w:t>
      </w:r>
      <w:r>
        <w:rPr>
          <w:i/>
          <w:sz w:val="38"/>
        </w:rPr>
        <w:t>in</w:t>
      </w:r>
      <w:r>
        <w:rPr>
          <w:i/>
          <w:spacing w:val="-12"/>
          <w:sz w:val="38"/>
        </w:rPr>
        <w:t> </w:t>
      </w:r>
      <w:r>
        <w:rPr>
          <w:i/>
          <w:sz w:val="38"/>
        </w:rPr>
        <w:t>psoriasis</w:t>
      </w:r>
      <w:r>
        <w:rPr>
          <w:i/>
          <w:spacing w:val="-10"/>
          <w:sz w:val="38"/>
        </w:rPr>
        <w:t> </w:t>
      </w:r>
      <w:r>
        <w:rPr>
          <w:i/>
          <w:sz w:val="38"/>
        </w:rPr>
        <w:t>symptoms</w:t>
      </w:r>
      <w:r>
        <w:rPr>
          <w:i/>
          <w:spacing w:val="-12"/>
          <w:sz w:val="38"/>
        </w:rPr>
        <w:t> </w:t>
      </w:r>
      <w:r>
        <w:rPr>
          <w:i/>
          <w:sz w:val="38"/>
        </w:rPr>
        <w:t>(erythema, </w:t>
      </w:r>
      <w:r>
        <w:rPr>
          <w:i/>
          <w:sz w:val="38"/>
        </w:rPr>
        <w:t>infiltration,</w:t>
      </w:r>
      <w:r>
        <w:rPr>
          <w:i/>
          <w:spacing w:val="-13"/>
          <w:sz w:val="38"/>
        </w:rPr>
        <w:t> </w:t>
      </w:r>
      <w:r>
        <w:rPr>
          <w:i/>
          <w:sz w:val="38"/>
        </w:rPr>
        <w:t>dandruff,</w:t>
      </w:r>
      <w:r>
        <w:rPr>
          <w:i/>
          <w:spacing w:val="-12"/>
          <w:sz w:val="38"/>
        </w:rPr>
        <w:t> </w:t>
      </w:r>
      <w:r>
        <w:rPr>
          <w:i/>
          <w:sz w:val="38"/>
        </w:rPr>
        <w:t>itching).</w:t>
      </w:r>
      <w:r>
        <w:rPr>
          <w:i/>
          <w:spacing w:val="-12"/>
          <w:sz w:val="38"/>
        </w:rPr>
        <w:t> </w:t>
      </w:r>
      <w:r>
        <w:rPr>
          <w:i/>
          <w:sz w:val="38"/>
        </w:rPr>
        <w:t>According</w:t>
      </w:r>
      <w:r>
        <w:rPr>
          <w:i/>
          <w:spacing w:val="-13"/>
          <w:sz w:val="38"/>
        </w:rPr>
        <w:t> </w:t>
      </w:r>
      <w:r>
        <w:rPr>
          <w:i/>
          <w:sz w:val="38"/>
        </w:rPr>
        <w:t>to</w:t>
      </w:r>
      <w:r>
        <w:rPr>
          <w:i/>
          <w:spacing w:val="-13"/>
          <w:sz w:val="38"/>
        </w:rPr>
        <w:t> </w:t>
      </w:r>
      <w:r>
        <w:rPr>
          <w:i/>
          <w:sz w:val="38"/>
        </w:rPr>
        <w:t>all</w:t>
      </w:r>
      <w:r>
        <w:rPr>
          <w:i/>
          <w:spacing w:val="-14"/>
          <w:sz w:val="38"/>
        </w:rPr>
        <w:t> </w:t>
      </w:r>
      <w:r>
        <w:rPr>
          <w:i/>
          <w:sz w:val="38"/>
        </w:rPr>
        <w:t>previous</w:t>
      </w:r>
      <w:r>
        <w:rPr>
          <w:i/>
          <w:spacing w:val="-13"/>
          <w:sz w:val="38"/>
        </w:rPr>
        <w:t> </w:t>
      </w:r>
      <w:r>
        <w:rPr>
          <w:i/>
          <w:sz w:val="38"/>
        </w:rPr>
        <w:t>findings,</w:t>
      </w:r>
      <w:r>
        <w:rPr>
          <w:i/>
          <w:spacing w:val="-12"/>
          <w:sz w:val="38"/>
        </w:rPr>
        <w:t> </w:t>
      </w:r>
      <w:r>
        <w:rPr>
          <w:i/>
          <w:sz w:val="38"/>
        </w:rPr>
        <w:t>the</w:t>
      </w:r>
      <w:r>
        <w:rPr>
          <w:i/>
          <w:spacing w:val="-14"/>
          <w:sz w:val="38"/>
        </w:rPr>
        <w:t> </w:t>
      </w:r>
      <w:r>
        <w:rPr>
          <w:i/>
          <w:sz w:val="38"/>
        </w:rPr>
        <w:t>recommendation</w:t>
      </w:r>
      <w:r>
        <w:rPr>
          <w:i/>
          <w:spacing w:val="-12"/>
          <w:sz w:val="38"/>
        </w:rPr>
        <w:t> </w:t>
      </w:r>
      <w:r>
        <w:rPr>
          <w:i/>
          <w:sz w:val="38"/>
        </w:rPr>
        <w:t>of</w:t>
      </w:r>
      <w:r>
        <w:rPr>
          <w:i/>
          <w:spacing w:val="-12"/>
          <w:sz w:val="38"/>
        </w:rPr>
        <w:t> </w:t>
      </w:r>
      <w:r>
        <w:rPr>
          <w:i/>
          <w:sz w:val="38"/>
        </w:rPr>
        <w:t>fish oil</w:t>
      </w:r>
      <w:r>
        <w:rPr>
          <w:i/>
          <w:spacing w:val="-8"/>
          <w:sz w:val="38"/>
        </w:rPr>
        <w:t> </w:t>
      </w:r>
      <w:r>
        <w:rPr>
          <w:i/>
          <w:sz w:val="38"/>
        </w:rPr>
        <w:t>preparations,</w:t>
      </w:r>
      <w:r>
        <w:rPr>
          <w:i/>
          <w:spacing w:val="-7"/>
          <w:sz w:val="38"/>
        </w:rPr>
        <w:t> </w:t>
      </w:r>
      <w:r>
        <w:rPr>
          <w:i/>
          <w:sz w:val="38"/>
        </w:rPr>
        <w:t>at</w:t>
      </w:r>
      <w:r>
        <w:rPr>
          <w:i/>
          <w:spacing w:val="-12"/>
          <w:sz w:val="38"/>
        </w:rPr>
        <w:t> </w:t>
      </w:r>
      <w:r>
        <w:rPr>
          <w:i/>
          <w:sz w:val="38"/>
        </w:rPr>
        <w:t>least</w:t>
      </w:r>
      <w:r>
        <w:rPr>
          <w:i/>
          <w:spacing w:val="-7"/>
          <w:sz w:val="38"/>
        </w:rPr>
        <w:t> </w:t>
      </w:r>
      <w:r>
        <w:rPr>
          <w:i/>
          <w:sz w:val="38"/>
        </w:rPr>
        <w:t>for</w:t>
      </w:r>
      <w:r>
        <w:rPr>
          <w:i/>
          <w:spacing w:val="-11"/>
          <w:sz w:val="38"/>
        </w:rPr>
        <w:t> </w:t>
      </w:r>
      <w:r>
        <w:rPr>
          <w:i/>
          <w:sz w:val="38"/>
        </w:rPr>
        <w:t>the</w:t>
      </w:r>
      <w:r>
        <w:rPr>
          <w:i/>
          <w:spacing w:val="-8"/>
          <w:sz w:val="38"/>
        </w:rPr>
        <w:t> </w:t>
      </w:r>
      <w:r>
        <w:rPr>
          <w:i/>
          <w:sz w:val="38"/>
        </w:rPr>
        <w:t>adjuvant</w:t>
      </w:r>
      <w:r>
        <w:rPr>
          <w:i/>
          <w:spacing w:val="-9"/>
          <w:sz w:val="38"/>
        </w:rPr>
        <w:t> </w:t>
      </w:r>
      <w:r>
        <w:rPr>
          <w:i/>
          <w:sz w:val="38"/>
        </w:rPr>
        <w:t>treatment</w:t>
      </w:r>
      <w:r>
        <w:rPr>
          <w:i/>
          <w:spacing w:val="-8"/>
          <w:sz w:val="38"/>
        </w:rPr>
        <w:t> </w:t>
      </w:r>
      <w:r>
        <w:rPr>
          <w:i/>
          <w:sz w:val="38"/>
        </w:rPr>
        <w:t>of</w:t>
      </w:r>
      <w:r>
        <w:rPr>
          <w:i/>
          <w:spacing w:val="-10"/>
          <w:sz w:val="38"/>
        </w:rPr>
        <w:t> </w:t>
      </w:r>
      <w:r>
        <w:rPr>
          <w:i/>
          <w:sz w:val="38"/>
        </w:rPr>
        <w:t>psoriasis,</w:t>
      </w:r>
      <w:r>
        <w:rPr>
          <w:i/>
          <w:spacing w:val="-7"/>
          <w:sz w:val="38"/>
        </w:rPr>
        <w:t> </w:t>
      </w:r>
      <w:r>
        <w:rPr>
          <w:i/>
          <w:sz w:val="38"/>
        </w:rPr>
        <w:t>is</w:t>
      </w:r>
      <w:r>
        <w:rPr>
          <w:i/>
          <w:spacing w:val="-9"/>
          <w:sz w:val="38"/>
        </w:rPr>
        <w:t> </w:t>
      </w:r>
      <w:r>
        <w:rPr>
          <w:i/>
          <w:sz w:val="38"/>
        </w:rPr>
        <w:t>justified'.</w:t>
      </w:r>
      <w:r>
        <w:rPr>
          <w:i/>
          <w:spacing w:val="-4"/>
          <w:sz w:val="38"/>
        </w:rPr>
        <w:t> </w:t>
      </w:r>
      <w:r>
        <w:rPr>
          <w:sz w:val="38"/>
        </w:rPr>
        <w:t>(Dr.</w:t>
      </w:r>
      <w:r>
        <w:rPr>
          <w:spacing w:val="-7"/>
          <w:sz w:val="38"/>
        </w:rPr>
        <w:t> </w:t>
      </w:r>
      <w:r>
        <w:rPr>
          <w:sz w:val="38"/>
        </w:rPr>
        <w:t>M.</w:t>
      </w:r>
      <w:r>
        <w:rPr>
          <w:spacing w:val="-9"/>
          <w:sz w:val="38"/>
        </w:rPr>
        <w:t> </w:t>
      </w:r>
      <w:r>
        <w:rPr>
          <w:sz w:val="38"/>
        </w:rPr>
        <w:t>Stän- der, Specialist Clinic for Psoriasis, Bad Bentheim)</w:t>
      </w:r>
    </w:p>
    <w:p>
      <w:pPr>
        <w:spacing w:line="276" w:lineRule="auto" w:before="241"/>
        <w:ind w:left="616" w:right="132" w:firstLine="0"/>
        <w:jc w:val="both"/>
        <w:rPr>
          <w:sz w:val="38"/>
        </w:rPr>
      </w:pPr>
      <w:r>
        <w:rPr>
          <w:i/>
          <w:sz w:val="38"/>
        </w:rPr>
        <w:t>'Unfortunately,</w:t>
      </w:r>
      <w:r>
        <w:rPr>
          <w:i/>
          <w:spacing w:val="-18"/>
          <w:sz w:val="38"/>
        </w:rPr>
        <w:t> </w:t>
      </w:r>
      <w:r>
        <w:rPr>
          <w:i/>
          <w:sz w:val="38"/>
        </w:rPr>
        <w:t>our</w:t>
      </w:r>
      <w:r>
        <w:rPr>
          <w:i/>
          <w:spacing w:val="-20"/>
          <w:sz w:val="38"/>
        </w:rPr>
        <w:t> </w:t>
      </w:r>
      <w:r>
        <w:rPr>
          <w:i/>
          <w:sz w:val="38"/>
        </w:rPr>
        <w:t>body</w:t>
      </w:r>
      <w:r>
        <w:rPr>
          <w:i/>
          <w:spacing w:val="-18"/>
          <w:sz w:val="38"/>
        </w:rPr>
        <w:t> </w:t>
      </w:r>
      <w:r>
        <w:rPr>
          <w:i/>
          <w:sz w:val="38"/>
        </w:rPr>
        <w:t>is</w:t>
      </w:r>
      <w:r>
        <w:rPr>
          <w:i/>
          <w:spacing w:val="-19"/>
          <w:sz w:val="38"/>
        </w:rPr>
        <w:t> </w:t>
      </w:r>
      <w:r>
        <w:rPr>
          <w:i/>
          <w:sz w:val="38"/>
        </w:rPr>
        <w:t>unable</w:t>
      </w:r>
      <w:r>
        <w:rPr>
          <w:i/>
          <w:spacing w:val="-18"/>
          <w:sz w:val="38"/>
        </w:rPr>
        <w:t> </w:t>
      </w:r>
      <w:r>
        <w:rPr>
          <w:i/>
          <w:sz w:val="38"/>
        </w:rPr>
        <w:t>to</w:t>
      </w:r>
      <w:r>
        <w:rPr>
          <w:i/>
          <w:spacing w:val="-18"/>
          <w:sz w:val="38"/>
        </w:rPr>
        <w:t> </w:t>
      </w:r>
      <w:r>
        <w:rPr>
          <w:i/>
          <w:sz w:val="38"/>
        </w:rPr>
        <w:t>produce</w:t>
      </w:r>
      <w:r>
        <w:rPr>
          <w:i/>
          <w:spacing w:val="-19"/>
          <w:sz w:val="38"/>
        </w:rPr>
        <w:t> </w:t>
      </w:r>
      <w:r>
        <w:rPr>
          <w:i/>
          <w:sz w:val="38"/>
        </w:rPr>
        <w:t>sufficient</w:t>
      </w:r>
      <w:r>
        <w:rPr>
          <w:i/>
          <w:spacing w:val="-19"/>
          <w:sz w:val="38"/>
        </w:rPr>
        <w:t> </w:t>
      </w:r>
      <w:r>
        <w:rPr>
          <w:i/>
          <w:sz w:val="38"/>
        </w:rPr>
        <w:t>quantities</w:t>
      </w:r>
      <w:r>
        <w:rPr>
          <w:i/>
          <w:spacing w:val="-19"/>
          <w:sz w:val="38"/>
        </w:rPr>
        <w:t> </w:t>
      </w:r>
      <w:r>
        <w:rPr>
          <w:i/>
          <w:sz w:val="38"/>
        </w:rPr>
        <w:t>of</w:t>
      </w:r>
      <w:r>
        <w:rPr>
          <w:i/>
          <w:spacing w:val="-17"/>
          <w:sz w:val="38"/>
        </w:rPr>
        <w:t> </w:t>
      </w:r>
      <w:r>
        <w:rPr>
          <w:i/>
          <w:sz w:val="38"/>
        </w:rPr>
        <w:t>long-chain</w:t>
      </w:r>
      <w:r>
        <w:rPr>
          <w:i/>
          <w:spacing w:val="-18"/>
          <w:sz w:val="38"/>
        </w:rPr>
        <w:t> </w:t>
      </w:r>
      <w:r>
        <w:rPr>
          <w:i/>
          <w:sz w:val="38"/>
        </w:rPr>
        <w:t>omega-3</w:t>
      </w:r>
      <w:r>
        <w:rPr>
          <w:i/>
          <w:spacing w:val="-18"/>
          <w:sz w:val="38"/>
        </w:rPr>
        <w:t> </w:t>
      </w:r>
      <w:r>
        <w:rPr>
          <w:i/>
          <w:sz w:val="38"/>
        </w:rPr>
        <w:t>fatty </w:t>
      </w:r>
      <w:r>
        <w:rPr>
          <w:i/>
          <w:sz w:val="38"/>
        </w:rPr>
        <w:t>acids. We therefore have to obtain them through food. However, we would have to eat 10 times more fish than is usual today. Since this is not for everyone, I recommend salmon oil concentrates</w:t>
      </w:r>
      <w:r>
        <w:rPr>
          <w:i/>
          <w:spacing w:val="-26"/>
          <w:sz w:val="38"/>
        </w:rPr>
        <w:t> </w:t>
      </w:r>
      <w:r>
        <w:rPr>
          <w:i/>
          <w:sz w:val="38"/>
        </w:rPr>
        <w:t>as</w:t>
      </w:r>
      <w:r>
        <w:rPr>
          <w:i/>
          <w:spacing w:val="-25"/>
          <w:sz w:val="38"/>
        </w:rPr>
        <w:t> </w:t>
      </w:r>
      <w:r>
        <w:rPr>
          <w:i/>
          <w:sz w:val="38"/>
        </w:rPr>
        <w:t>an</w:t>
      </w:r>
      <w:r>
        <w:rPr>
          <w:i/>
          <w:spacing w:val="-24"/>
          <w:sz w:val="38"/>
        </w:rPr>
        <w:t> </w:t>
      </w:r>
      <w:r>
        <w:rPr>
          <w:i/>
          <w:sz w:val="38"/>
        </w:rPr>
        <w:t>alternative</w:t>
      </w:r>
      <w:r>
        <w:rPr>
          <w:i/>
          <w:spacing w:val="-25"/>
          <w:sz w:val="38"/>
        </w:rPr>
        <w:t> </w:t>
      </w:r>
      <w:r>
        <w:rPr>
          <w:i/>
          <w:sz w:val="38"/>
        </w:rPr>
        <w:t>option'.</w:t>
      </w:r>
      <w:r>
        <w:rPr>
          <w:i/>
          <w:spacing w:val="-21"/>
          <w:sz w:val="38"/>
        </w:rPr>
        <w:t> </w:t>
      </w:r>
      <w:r>
        <w:rPr>
          <w:sz w:val="38"/>
        </w:rPr>
        <w:t>(Prof.</w:t>
      </w:r>
      <w:r>
        <w:rPr>
          <w:spacing w:val="-24"/>
          <w:sz w:val="38"/>
        </w:rPr>
        <w:t> </w:t>
      </w:r>
      <w:r>
        <w:rPr>
          <w:sz w:val="38"/>
        </w:rPr>
        <w:t>Dr.</w:t>
      </w:r>
      <w:r>
        <w:rPr>
          <w:spacing w:val="-26"/>
          <w:sz w:val="38"/>
        </w:rPr>
        <w:t> </w:t>
      </w:r>
      <w:r>
        <w:rPr>
          <w:sz w:val="38"/>
        </w:rPr>
        <w:t>Olaf</w:t>
      </w:r>
      <w:r>
        <w:rPr>
          <w:spacing w:val="-25"/>
          <w:sz w:val="38"/>
        </w:rPr>
        <w:t> </w:t>
      </w:r>
      <w:r>
        <w:rPr>
          <w:sz w:val="38"/>
        </w:rPr>
        <w:t>Adam,</w:t>
      </w:r>
      <w:r>
        <w:rPr>
          <w:spacing w:val="-24"/>
          <w:sz w:val="38"/>
        </w:rPr>
        <w:t> </w:t>
      </w:r>
      <w:r>
        <w:rPr>
          <w:sz w:val="38"/>
        </w:rPr>
        <w:t>Walther</w:t>
      </w:r>
      <w:r>
        <w:rPr>
          <w:spacing w:val="-23"/>
          <w:sz w:val="38"/>
        </w:rPr>
        <w:t> </w:t>
      </w:r>
      <w:r>
        <w:rPr>
          <w:sz w:val="38"/>
        </w:rPr>
        <w:t>Straub</w:t>
      </w:r>
      <w:r>
        <w:rPr>
          <w:spacing w:val="-24"/>
          <w:sz w:val="38"/>
        </w:rPr>
        <w:t> </w:t>
      </w:r>
      <w:r>
        <w:rPr>
          <w:sz w:val="38"/>
        </w:rPr>
        <w:t>Institute for Pharmacology and Toxicology,</w:t>
      </w:r>
      <w:r>
        <w:rPr>
          <w:spacing w:val="4"/>
          <w:sz w:val="38"/>
        </w:rPr>
        <w:t> </w:t>
      </w:r>
      <w:r>
        <w:rPr>
          <w:sz w:val="38"/>
        </w:rPr>
        <w:t>Munich)</w:t>
      </w:r>
    </w:p>
    <w:p>
      <w:pPr>
        <w:spacing w:after="0" w:line="276" w:lineRule="auto"/>
        <w:jc w:val="both"/>
        <w:rPr>
          <w:sz w:val="38"/>
        </w:rPr>
        <w:sectPr>
          <w:pgSz w:w="14270" w:h="16850"/>
          <w:pgMar w:header="0" w:footer="1891" w:top="1340" w:bottom="2080" w:left="800" w:right="1280"/>
        </w:sectPr>
      </w:pPr>
    </w:p>
    <w:p>
      <w:pPr>
        <w:spacing w:line="276" w:lineRule="auto" w:before="72"/>
        <w:ind w:left="616" w:right="131" w:firstLine="0"/>
        <w:jc w:val="both"/>
        <w:rPr>
          <w:sz w:val="38"/>
        </w:rPr>
      </w:pPr>
      <w:r>
        <w:rPr>
          <w:i/>
          <w:sz w:val="38"/>
        </w:rPr>
        <w:t>'Through the intake of omega-3 fatty acids, the cell functions can easily be positively influ- </w:t>
      </w:r>
      <w:r>
        <w:rPr>
          <w:i/>
          <w:sz w:val="38"/>
        </w:rPr>
        <w:t>enced. (....) The polyunsaturated omega-3 fatty acids also exhibit antithrombotic and anti- inflammatory effects by creating a balance with arachidonic acid, the most biologically active omega-6 fatty acid'. </w:t>
      </w:r>
      <w:r>
        <w:rPr>
          <w:sz w:val="38"/>
        </w:rPr>
        <w:t>(Apotheker Journal, 9, 1997)</w:t>
      </w:r>
    </w:p>
    <w:p>
      <w:pPr>
        <w:spacing w:line="276" w:lineRule="auto" w:before="241"/>
        <w:ind w:left="616" w:right="133" w:firstLine="0"/>
        <w:jc w:val="both"/>
        <w:rPr>
          <w:sz w:val="38"/>
        </w:rPr>
      </w:pPr>
      <w:r>
        <w:rPr>
          <w:i/>
          <w:sz w:val="38"/>
        </w:rPr>
        <w:t>'...omega-3</w:t>
      </w:r>
      <w:r>
        <w:rPr>
          <w:i/>
          <w:spacing w:val="-6"/>
          <w:sz w:val="38"/>
        </w:rPr>
        <w:t> </w:t>
      </w:r>
      <w:r>
        <w:rPr>
          <w:i/>
          <w:sz w:val="38"/>
        </w:rPr>
        <w:t>deficiency</w:t>
      </w:r>
      <w:r>
        <w:rPr>
          <w:i/>
          <w:spacing w:val="-4"/>
          <w:sz w:val="38"/>
        </w:rPr>
        <w:t> </w:t>
      </w:r>
      <w:r>
        <w:rPr>
          <w:i/>
          <w:sz w:val="38"/>
        </w:rPr>
        <w:t>is</w:t>
      </w:r>
      <w:r>
        <w:rPr>
          <w:i/>
          <w:spacing w:val="-7"/>
          <w:sz w:val="38"/>
        </w:rPr>
        <w:t> </w:t>
      </w:r>
      <w:r>
        <w:rPr>
          <w:i/>
          <w:sz w:val="38"/>
        </w:rPr>
        <w:t>the</w:t>
      </w:r>
      <w:r>
        <w:rPr>
          <w:i/>
          <w:spacing w:val="-4"/>
          <w:sz w:val="38"/>
        </w:rPr>
        <w:t> </w:t>
      </w:r>
      <w:r>
        <w:rPr>
          <w:i/>
          <w:sz w:val="38"/>
        </w:rPr>
        <w:t>Number</w:t>
      </w:r>
      <w:r>
        <w:rPr>
          <w:i/>
          <w:spacing w:val="-7"/>
          <w:sz w:val="38"/>
        </w:rPr>
        <w:t> </w:t>
      </w:r>
      <w:r>
        <w:rPr>
          <w:i/>
          <w:sz w:val="38"/>
        </w:rPr>
        <w:t>Eight</w:t>
      </w:r>
      <w:r>
        <w:rPr>
          <w:i/>
          <w:spacing w:val="-5"/>
          <w:sz w:val="38"/>
        </w:rPr>
        <w:t> </w:t>
      </w:r>
      <w:r>
        <w:rPr>
          <w:i/>
          <w:sz w:val="38"/>
        </w:rPr>
        <w:t>cause</w:t>
      </w:r>
      <w:r>
        <w:rPr>
          <w:i/>
          <w:spacing w:val="-5"/>
          <w:sz w:val="38"/>
        </w:rPr>
        <w:t> </w:t>
      </w:r>
      <w:r>
        <w:rPr>
          <w:i/>
          <w:sz w:val="38"/>
        </w:rPr>
        <w:t>of</w:t>
      </w:r>
      <w:r>
        <w:rPr>
          <w:i/>
          <w:spacing w:val="-4"/>
          <w:sz w:val="38"/>
        </w:rPr>
        <w:t> </w:t>
      </w:r>
      <w:r>
        <w:rPr>
          <w:i/>
          <w:sz w:val="38"/>
        </w:rPr>
        <w:t>avoidable</w:t>
      </w:r>
      <w:r>
        <w:rPr>
          <w:i/>
          <w:spacing w:val="-5"/>
          <w:sz w:val="38"/>
        </w:rPr>
        <w:t> </w:t>
      </w:r>
      <w:r>
        <w:rPr>
          <w:i/>
          <w:sz w:val="38"/>
        </w:rPr>
        <w:t>deaths</w:t>
      </w:r>
      <w:r>
        <w:rPr>
          <w:i/>
          <w:spacing w:val="-4"/>
          <w:sz w:val="38"/>
        </w:rPr>
        <w:t> </w:t>
      </w:r>
      <w:r>
        <w:rPr>
          <w:i/>
          <w:sz w:val="38"/>
        </w:rPr>
        <w:t>in</w:t>
      </w:r>
      <w:r>
        <w:rPr>
          <w:i/>
          <w:spacing w:val="-5"/>
          <w:sz w:val="38"/>
        </w:rPr>
        <w:t> </w:t>
      </w:r>
      <w:r>
        <w:rPr>
          <w:i/>
          <w:sz w:val="38"/>
        </w:rPr>
        <w:t>the</w:t>
      </w:r>
      <w:r>
        <w:rPr>
          <w:i/>
          <w:spacing w:val="-7"/>
          <w:sz w:val="38"/>
        </w:rPr>
        <w:t> </w:t>
      </w:r>
      <w:r>
        <w:rPr>
          <w:i/>
          <w:sz w:val="38"/>
        </w:rPr>
        <w:t>USA,</w:t>
      </w:r>
      <w:r>
        <w:rPr>
          <w:i/>
          <w:spacing w:val="-3"/>
          <w:sz w:val="38"/>
        </w:rPr>
        <w:t> </w:t>
      </w:r>
      <w:r>
        <w:rPr>
          <w:i/>
          <w:sz w:val="38"/>
        </w:rPr>
        <w:t>and</w:t>
      </w:r>
      <w:r>
        <w:rPr>
          <w:i/>
          <w:spacing w:val="-5"/>
          <w:sz w:val="38"/>
        </w:rPr>
        <w:t> </w:t>
      </w:r>
      <w:r>
        <w:rPr>
          <w:i/>
          <w:sz w:val="38"/>
        </w:rPr>
        <w:t>with </w:t>
      </w:r>
      <w:r>
        <w:rPr>
          <w:i/>
          <w:sz w:val="38"/>
        </w:rPr>
        <w:t>omega-3</w:t>
      </w:r>
      <w:r>
        <w:rPr>
          <w:i/>
          <w:spacing w:val="-21"/>
          <w:sz w:val="38"/>
        </w:rPr>
        <w:t> </w:t>
      </w:r>
      <w:r>
        <w:rPr>
          <w:i/>
          <w:sz w:val="38"/>
        </w:rPr>
        <w:t>education,</w:t>
      </w:r>
      <w:r>
        <w:rPr>
          <w:i/>
          <w:spacing w:val="-21"/>
          <w:sz w:val="38"/>
        </w:rPr>
        <w:t> </w:t>
      </w:r>
      <w:r>
        <w:rPr>
          <w:i/>
          <w:sz w:val="38"/>
        </w:rPr>
        <w:t>we</w:t>
      </w:r>
      <w:r>
        <w:rPr>
          <w:i/>
          <w:spacing w:val="-21"/>
          <w:sz w:val="38"/>
        </w:rPr>
        <w:t> </w:t>
      </w:r>
      <w:r>
        <w:rPr>
          <w:i/>
          <w:sz w:val="38"/>
        </w:rPr>
        <w:t>can</w:t>
      </w:r>
      <w:r>
        <w:rPr>
          <w:i/>
          <w:spacing w:val="-21"/>
          <w:sz w:val="38"/>
        </w:rPr>
        <w:t> </w:t>
      </w:r>
      <w:r>
        <w:rPr>
          <w:i/>
          <w:sz w:val="38"/>
        </w:rPr>
        <w:t>prevent</w:t>
      </w:r>
      <w:r>
        <w:rPr>
          <w:i/>
          <w:spacing w:val="-23"/>
          <w:sz w:val="38"/>
        </w:rPr>
        <w:t> </w:t>
      </w:r>
      <w:r>
        <w:rPr>
          <w:i/>
          <w:sz w:val="38"/>
        </w:rPr>
        <w:t>these</w:t>
      </w:r>
      <w:r>
        <w:rPr>
          <w:i/>
          <w:spacing w:val="-21"/>
          <w:sz w:val="38"/>
        </w:rPr>
        <w:t> </w:t>
      </w:r>
      <w:r>
        <w:rPr>
          <w:i/>
          <w:sz w:val="38"/>
        </w:rPr>
        <w:t>unnecessary</w:t>
      </w:r>
      <w:r>
        <w:rPr>
          <w:i/>
          <w:spacing w:val="-19"/>
          <w:sz w:val="38"/>
        </w:rPr>
        <w:t> </w:t>
      </w:r>
      <w:r>
        <w:rPr>
          <w:i/>
          <w:sz w:val="38"/>
        </w:rPr>
        <w:t>deaths</w:t>
      </w:r>
      <w:r>
        <w:rPr>
          <w:i/>
          <w:spacing w:val="-26"/>
          <w:sz w:val="38"/>
        </w:rPr>
        <w:t> </w:t>
      </w:r>
      <w:r>
        <w:rPr>
          <w:i/>
          <w:sz w:val="38"/>
        </w:rPr>
        <w:t>and</w:t>
      </w:r>
      <w:r>
        <w:rPr>
          <w:i/>
          <w:spacing w:val="-20"/>
          <w:sz w:val="38"/>
        </w:rPr>
        <w:t> </w:t>
      </w:r>
      <w:r>
        <w:rPr>
          <w:i/>
          <w:sz w:val="38"/>
        </w:rPr>
        <w:t>promote</w:t>
      </w:r>
      <w:r>
        <w:rPr>
          <w:i/>
          <w:spacing w:val="-21"/>
          <w:sz w:val="38"/>
        </w:rPr>
        <w:t> </w:t>
      </w:r>
      <w:r>
        <w:rPr>
          <w:i/>
          <w:sz w:val="38"/>
        </w:rPr>
        <w:t>wellness.</w:t>
      </w:r>
      <w:r>
        <w:rPr>
          <w:i/>
          <w:spacing w:val="-19"/>
          <w:sz w:val="38"/>
        </w:rPr>
        <w:t> </w:t>
      </w:r>
      <w:r>
        <w:rPr>
          <w:i/>
          <w:sz w:val="38"/>
        </w:rPr>
        <w:t>The</w:t>
      </w:r>
      <w:r>
        <w:rPr>
          <w:i/>
          <w:spacing w:val="-21"/>
          <w:sz w:val="38"/>
        </w:rPr>
        <w:t> </w:t>
      </w:r>
      <w:r>
        <w:rPr>
          <w:i/>
          <w:sz w:val="38"/>
        </w:rPr>
        <w:t>intake of omega-3 fatty acids reduces overall mortality by 20 % and the incidence of sudden cardiac death by 45 %, and has recently been associated with longer life, whereby higher omega-3 levels over 5 years are associated with decreased telomere shortening'. </w:t>
      </w:r>
      <w:r>
        <w:rPr>
          <w:sz w:val="38"/>
        </w:rPr>
        <w:t>(Dr.med. Carol Locke, USA)</w:t>
      </w:r>
    </w:p>
    <w:p>
      <w:pPr>
        <w:spacing w:line="276" w:lineRule="auto" w:before="241"/>
        <w:ind w:left="616" w:right="138" w:firstLine="0"/>
        <w:jc w:val="both"/>
        <w:rPr>
          <w:sz w:val="38"/>
        </w:rPr>
      </w:pPr>
      <w:r>
        <w:rPr>
          <w:i/>
          <w:sz w:val="38"/>
        </w:rPr>
        <w:t>'Salmon oil fatty acids relieve excess cholesterol and lipid levels, improve blood flow and </w:t>
      </w:r>
      <w:r>
        <w:rPr>
          <w:i/>
          <w:sz w:val="38"/>
        </w:rPr>
        <w:t>normalise blood pressure'. </w:t>
      </w:r>
      <w:r>
        <w:rPr>
          <w:sz w:val="38"/>
        </w:rPr>
        <w:t>(Prisma 22, 1997)</w:t>
      </w:r>
    </w:p>
    <w:p>
      <w:pPr>
        <w:spacing w:line="276" w:lineRule="auto" w:before="241"/>
        <w:ind w:left="616" w:right="134" w:firstLine="0"/>
        <w:jc w:val="both"/>
        <w:rPr>
          <w:sz w:val="38"/>
        </w:rPr>
      </w:pPr>
      <w:r>
        <w:rPr>
          <w:i/>
          <w:sz w:val="38"/>
        </w:rPr>
        <w:t>'The omega-3 fatty acids contained in salmon oil lower high blood lipid levels. In particular, </w:t>
      </w:r>
      <w:r>
        <w:rPr>
          <w:i/>
          <w:sz w:val="38"/>
        </w:rPr>
        <w:t>the neutral fat is reduced. On the other hand, there is an increase in HDL cholesterol. This eliminates important risk factors for myocardial infarction. This effect can only be achieved by a permanent intake'. </w:t>
      </w:r>
      <w:r>
        <w:rPr>
          <w:sz w:val="38"/>
        </w:rPr>
        <w:t>(Dr. Peter Singer, Internist, Bensheim)</w:t>
      </w:r>
    </w:p>
    <w:p>
      <w:pPr>
        <w:spacing w:line="276" w:lineRule="auto" w:before="239"/>
        <w:ind w:left="616" w:right="132" w:firstLine="0"/>
        <w:jc w:val="both"/>
        <w:rPr>
          <w:sz w:val="38"/>
        </w:rPr>
      </w:pPr>
      <w:r>
        <w:rPr>
          <w:i/>
          <w:sz w:val="38"/>
        </w:rPr>
        <w:t>'Omega-3 fatty acids are vital nutrients that we need to ingest on a regular basis, just like </w:t>
      </w:r>
      <w:r>
        <w:rPr>
          <w:i/>
          <w:sz w:val="38"/>
        </w:rPr>
        <w:t>vitamins.</w:t>
      </w:r>
      <w:r>
        <w:rPr>
          <w:i/>
          <w:spacing w:val="-19"/>
          <w:sz w:val="38"/>
        </w:rPr>
        <w:t> </w:t>
      </w:r>
      <w:r>
        <w:rPr>
          <w:i/>
          <w:sz w:val="38"/>
        </w:rPr>
        <w:t>They</w:t>
      </w:r>
      <w:r>
        <w:rPr>
          <w:i/>
          <w:spacing w:val="-20"/>
          <w:sz w:val="38"/>
        </w:rPr>
        <w:t> </w:t>
      </w:r>
      <w:r>
        <w:rPr>
          <w:i/>
          <w:sz w:val="38"/>
        </w:rPr>
        <w:t>are</w:t>
      </w:r>
      <w:r>
        <w:rPr>
          <w:i/>
          <w:spacing w:val="-22"/>
          <w:sz w:val="38"/>
        </w:rPr>
        <w:t> </w:t>
      </w:r>
      <w:r>
        <w:rPr>
          <w:i/>
          <w:sz w:val="38"/>
        </w:rPr>
        <w:t>required</w:t>
      </w:r>
      <w:r>
        <w:rPr>
          <w:i/>
          <w:spacing w:val="-21"/>
          <w:sz w:val="38"/>
        </w:rPr>
        <w:t> </w:t>
      </w:r>
      <w:r>
        <w:rPr>
          <w:i/>
          <w:sz w:val="38"/>
        </w:rPr>
        <w:t>for</w:t>
      </w:r>
      <w:r>
        <w:rPr>
          <w:i/>
          <w:spacing w:val="-21"/>
          <w:sz w:val="38"/>
        </w:rPr>
        <w:t> </w:t>
      </w:r>
      <w:r>
        <w:rPr>
          <w:i/>
          <w:sz w:val="38"/>
        </w:rPr>
        <w:t>the</w:t>
      </w:r>
      <w:r>
        <w:rPr>
          <w:i/>
          <w:spacing w:val="-21"/>
          <w:sz w:val="38"/>
        </w:rPr>
        <w:t> </w:t>
      </w:r>
      <w:r>
        <w:rPr>
          <w:i/>
          <w:sz w:val="38"/>
        </w:rPr>
        <w:t>development</w:t>
      </w:r>
      <w:r>
        <w:rPr>
          <w:i/>
          <w:spacing w:val="-19"/>
          <w:sz w:val="38"/>
        </w:rPr>
        <w:t> </w:t>
      </w:r>
      <w:r>
        <w:rPr>
          <w:i/>
          <w:sz w:val="38"/>
        </w:rPr>
        <w:t>of</w:t>
      </w:r>
      <w:r>
        <w:rPr>
          <w:i/>
          <w:spacing w:val="-22"/>
          <w:sz w:val="38"/>
        </w:rPr>
        <w:t> </w:t>
      </w:r>
      <w:r>
        <w:rPr>
          <w:i/>
          <w:sz w:val="38"/>
        </w:rPr>
        <w:t>the</w:t>
      </w:r>
      <w:r>
        <w:rPr>
          <w:i/>
          <w:spacing w:val="-19"/>
          <w:sz w:val="38"/>
        </w:rPr>
        <w:t> </w:t>
      </w:r>
      <w:r>
        <w:rPr>
          <w:i/>
          <w:sz w:val="38"/>
        </w:rPr>
        <w:t>brain</w:t>
      </w:r>
      <w:r>
        <w:rPr>
          <w:i/>
          <w:spacing w:val="-20"/>
          <w:sz w:val="38"/>
        </w:rPr>
        <w:t> </w:t>
      </w:r>
      <w:r>
        <w:rPr>
          <w:i/>
          <w:sz w:val="38"/>
        </w:rPr>
        <w:t>and</w:t>
      </w:r>
      <w:r>
        <w:rPr>
          <w:i/>
          <w:spacing w:val="-20"/>
          <w:sz w:val="38"/>
        </w:rPr>
        <w:t> </w:t>
      </w:r>
      <w:r>
        <w:rPr>
          <w:i/>
          <w:sz w:val="38"/>
        </w:rPr>
        <w:t>visual</w:t>
      </w:r>
      <w:r>
        <w:rPr>
          <w:i/>
          <w:spacing w:val="-20"/>
          <w:sz w:val="38"/>
        </w:rPr>
        <w:t> </w:t>
      </w:r>
      <w:r>
        <w:rPr>
          <w:i/>
          <w:sz w:val="38"/>
        </w:rPr>
        <w:t>function</w:t>
      </w:r>
      <w:r>
        <w:rPr>
          <w:i/>
          <w:spacing w:val="-20"/>
          <w:sz w:val="38"/>
        </w:rPr>
        <w:t> </w:t>
      </w:r>
      <w:r>
        <w:rPr>
          <w:i/>
          <w:sz w:val="38"/>
        </w:rPr>
        <w:t>of</w:t>
      </w:r>
      <w:r>
        <w:rPr>
          <w:i/>
          <w:spacing w:val="-20"/>
          <w:sz w:val="38"/>
        </w:rPr>
        <w:t> </w:t>
      </w:r>
      <w:r>
        <w:rPr>
          <w:i/>
          <w:sz w:val="38"/>
        </w:rPr>
        <w:t>the</w:t>
      </w:r>
      <w:r>
        <w:rPr>
          <w:i/>
          <w:spacing w:val="-22"/>
          <w:sz w:val="38"/>
        </w:rPr>
        <w:t> </w:t>
      </w:r>
      <w:r>
        <w:rPr>
          <w:i/>
          <w:sz w:val="38"/>
        </w:rPr>
        <w:t>unborn child,</w:t>
      </w:r>
      <w:r>
        <w:rPr>
          <w:i/>
          <w:spacing w:val="-4"/>
          <w:sz w:val="38"/>
        </w:rPr>
        <w:t> </w:t>
      </w:r>
      <w:r>
        <w:rPr>
          <w:i/>
          <w:sz w:val="38"/>
        </w:rPr>
        <w:t>so</w:t>
      </w:r>
      <w:r>
        <w:rPr>
          <w:i/>
          <w:spacing w:val="-5"/>
          <w:sz w:val="38"/>
        </w:rPr>
        <w:t> </w:t>
      </w:r>
      <w:r>
        <w:rPr>
          <w:i/>
          <w:sz w:val="38"/>
        </w:rPr>
        <w:t>a</w:t>
      </w:r>
      <w:r>
        <w:rPr>
          <w:i/>
          <w:spacing w:val="-5"/>
          <w:sz w:val="38"/>
        </w:rPr>
        <w:t> </w:t>
      </w:r>
      <w:r>
        <w:rPr>
          <w:i/>
          <w:sz w:val="38"/>
        </w:rPr>
        <w:t>good</w:t>
      </w:r>
      <w:r>
        <w:rPr>
          <w:i/>
          <w:spacing w:val="-5"/>
          <w:sz w:val="38"/>
        </w:rPr>
        <w:t> </w:t>
      </w:r>
      <w:r>
        <w:rPr>
          <w:i/>
          <w:sz w:val="38"/>
        </w:rPr>
        <w:t>supply</w:t>
      </w:r>
      <w:r>
        <w:rPr>
          <w:i/>
          <w:spacing w:val="-3"/>
          <w:sz w:val="38"/>
        </w:rPr>
        <w:t> </w:t>
      </w:r>
      <w:r>
        <w:rPr>
          <w:i/>
          <w:sz w:val="38"/>
        </w:rPr>
        <w:t>of</w:t>
      </w:r>
      <w:r>
        <w:rPr>
          <w:i/>
          <w:spacing w:val="-6"/>
          <w:sz w:val="38"/>
        </w:rPr>
        <w:t> </w:t>
      </w:r>
      <w:r>
        <w:rPr>
          <w:i/>
          <w:sz w:val="38"/>
        </w:rPr>
        <w:t>omega-3</w:t>
      </w:r>
      <w:r>
        <w:rPr>
          <w:i/>
          <w:spacing w:val="-5"/>
          <w:sz w:val="38"/>
        </w:rPr>
        <w:t> </w:t>
      </w:r>
      <w:r>
        <w:rPr>
          <w:i/>
          <w:sz w:val="38"/>
        </w:rPr>
        <w:t>fatty</w:t>
      </w:r>
      <w:r>
        <w:rPr>
          <w:i/>
          <w:spacing w:val="-7"/>
          <w:sz w:val="38"/>
        </w:rPr>
        <w:t> </w:t>
      </w:r>
      <w:r>
        <w:rPr>
          <w:i/>
          <w:sz w:val="38"/>
        </w:rPr>
        <w:t>acids</w:t>
      </w:r>
      <w:r>
        <w:rPr>
          <w:i/>
          <w:spacing w:val="-5"/>
          <w:sz w:val="38"/>
        </w:rPr>
        <w:t> </w:t>
      </w:r>
      <w:r>
        <w:rPr>
          <w:i/>
          <w:sz w:val="38"/>
        </w:rPr>
        <w:t>is</w:t>
      </w:r>
      <w:r>
        <w:rPr>
          <w:i/>
          <w:spacing w:val="-6"/>
          <w:sz w:val="38"/>
        </w:rPr>
        <w:t> </w:t>
      </w:r>
      <w:r>
        <w:rPr>
          <w:i/>
          <w:sz w:val="38"/>
        </w:rPr>
        <w:t>important</w:t>
      </w:r>
      <w:r>
        <w:rPr>
          <w:i/>
          <w:spacing w:val="-5"/>
          <w:sz w:val="38"/>
        </w:rPr>
        <w:t> </w:t>
      </w:r>
      <w:r>
        <w:rPr>
          <w:i/>
          <w:sz w:val="38"/>
        </w:rPr>
        <w:t>during</w:t>
      </w:r>
      <w:r>
        <w:rPr>
          <w:i/>
          <w:spacing w:val="-4"/>
          <w:sz w:val="38"/>
        </w:rPr>
        <w:t> </w:t>
      </w:r>
      <w:r>
        <w:rPr>
          <w:i/>
          <w:sz w:val="38"/>
        </w:rPr>
        <w:t>pregnancy.</w:t>
      </w:r>
      <w:r>
        <w:rPr>
          <w:i/>
          <w:spacing w:val="-8"/>
          <w:sz w:val="38"/>
        </w:rPr>
        <w:t> </w:t>
      </w:r>
      <w:r>
        <w:rPr>
          <w:i/>
          <w:sz w:val="38"/>
        </w:rPr>
        <w:t>Their</w:t>
      </w:r>
      <w:r>
        <w:rPr>
          <w:i/>
          <w:spacing w:val="-5"/>
          <w:sz w:val="38"/>
        </w:rPr>
        <w:t> </w:t>
      </w:r>
      <w:r>
        <w:rPr>
          <w:i/>
          <w:sz w:val="38"/>
        </w:rPr>
        <w:t>effects</w:t>
      </w:r>
      <w:r>
        <w:rPr>
          <w:i/>
          <w:spacing w:val="-5"/>
          <w:sz w:val="38"/>
        </w:rPr>
        <w:t> </w:t>
      </w:r>
      <w:r>
        <w:rPr>
          <w:i/>
          <w:sz w:val="38"/>
        </w:rPr>
        <w:t>on adults</w:t>
      </w:r>
      <w:r>
        <w:rPr>
          <w:i/>
          <w:spacing w:val="-25"/>
          <w:sz w:val="38"/>
        </w:rPr>
        <w:t> </w:t>
      </w:r>
      <w:r>
        <w:rPr>
          <w:i/>
          <w:sz w:val="38"/>
        </w:rPr>
        <w:t>are</w:t>
      </w:r>
      <w:r>
        <w:rPr>
          <w:i/>
          <w:spacing w:val="-24"/>
          <w:sz w:val="38"/>
        </w:rPr>
        <w:t> </w:t>
      </w:r>
      <w:r>
        <w:rPr>
          <w:i/>
          <w:sz w:val="38"/>
        </w:rPr>
        <w:t>also</w:t>
      </w:r>
      <w:r>
        <w:rPr>
          <w:i/>
          <w:spacing w:val="-24"/>
          <w:sz w:val="38"/>
        </w:rPr>
        <w:t> </w:t>
      </w:r>
      <w:r>
        <w:rPr>
          <w:i/>
          <w:sz w:val="38"/>
        </w:rPr>
        <w:t>very</w:t>
      </w:r>
      <w:r>
        <w:rPr>
          <w:i/>
          <w:spacing w:val="-25"/>
          <w:sz w:val="38"/>
        </w:rPr>
        <w:t> </w:t>
      </w:r>
      <w:r>
        <w:rPr>
          <w:i/>
          <w:sz w:val="38"/>
        </w:rPr>
        <w:t>diverse.</w:t>
      </w:r>
      <w:r>
        <w:rPr>
          <w:i/>
          <w:spacing w:val="-23"/>
          <w:sz w:val="38"/>
        </w:rPr>
        <w:t> </w:t>
      </w:r>
      <w:r>
        <w:rPr>
          <w:i/>
          <w:sz w:val="38"/>
        </w:rPr>
        <w:t>They</w:t>
      </w:r>
      <w:r>
        <w:rPr>
          <w:i/>
          <w:spacing w:val="-24"/>
          <w:sz w:val="38"/>
        </w:rPr>
        <w:t> </w:t>
      </w:r>
      <w:r>
        <w:rPr>
          <w:i/>
          <w:sz w:val="38"/>
        </w:rPr>
        <w:t>keep</w:t>
      </w:r>
      <w:r>
        <w:rPr>
          <w:i/>
          <w:spacing w:val="-24"/>
          <w:sz w:val="38"/>
        </w:rPr>
        <w:t> </w:t>
      </w:r>
      <w:r>
        <w:rPr>
          <w:i/>
          <w:sz w:val="38"/>
        </w:rPr>
        <w:t>your</w:t>
      </w:r>
      <w:r>
        <w:rPr>
          <w:i/>
          <w:spacing w:val="-24"/>
          <w:sz w:val="38"/>
        </w:rPr>
        <w:t> </w:t>
      </w:r>
      <w:r>
        <w:rPr>
          <w:i/>
          <w:sz w:val="38"/>
        </w:rPr>
        <w:t>heart</w:t>
      </w:r>
      <w:r>
        <w:rPr>
          <w:i/>
          <w:spacing w:val="-23"/>
          <w:sz w:val="38"/>
        </w:rPr>
        <w:t> </w:t>
      </w:r>
      <w:r>
        <w:rPr>
          <w:i/>
          <w:sz w:val="38"/>
        </w:rPr>
        <w:t>and</w:t>
      </w:r>
      <w:r>
        <w:rPr>
          <w:i/>
          <w:spacing w:val="-24"/>
          <w:sz w:val="38"/>
        </w:rPr>
        <w:t> </w:t>
      </w:r>
      <w:r>
        <w:rPr>
          <w:i/>
          <w:sz w:val="38"/>
        </w:rPr>
        <w:t>blood</w:t>
      </w:r>
      <w:r>
        <w:rPr>
          <w:i/>
          <w:spacing w:val="-26"/>
          <w:sz w:val="38"/>
        </w:rPr>
        <w:t> </w:t>
      </w:r>
      <w:r>
        <w:rPr>
          <w:i/>
          <w:sz w:val="38"/>
        </w:rPr>
        <w:t>vessels</w:t>
      </w:r>
      <w:r>
        <w:rPr>
          <w:i/>
          <w:spacing w:val="-24"/>
          <w:sz w:val="38"/>
        </w:rPr>
        <w:t> </w:t>
      </w:r>
      <w:r>
        <w:rPr>
          <w:i/>
          <w:sz w:val="38"/>
        </w:rPr>
        <w:t>healthy</w:t>
      </w:r>
      <w:r>
        <w:rPr>
          <w:i/>
          <w:spacing w:val="-23"/>
          <w:sz w:val="38"/>
        </w:rPr>
        <w:t> </w:t>
      </w:r>
      <w:r>
        <w:rPr>
          <w:i/>
          <w:sz w:val="38"/>
        </w:rPr>
        <w:t>and</w:t>
      </w:r>
      <w:r>
        <w:rPr>
          <w:i/>
          <w:spacing w:val="-27"/>
          <w:sz w:val="38"/>
        </w:rPr>
        <w:t> </w:t>
      </w:r>
      <w:r>
        <w:rPr>
          <w:i/>
          <w:sz w:val="38"/>
        </w:rPr>
        <w:t>protect</w:t>
      </w:r>
      <w:r>
        <w:rPr>
          <w:i/>
          <w:spacing w:val="-23"/>
          <w:sz w:val="38"/>
        </w:rPr>
        <w:t> </w:t>
      </w:r>
      <w:r>
        <w:rPr>
          <w:i/>
          <w:sz w:val="38"/>
        </w:rPr>
        <w:t>against heart attacks. They relieve inflammatory diseases such as rheumatism and neurodermatitis and can probably also improve our mood and prevent the onset of dementia in old age'.</w:t>
      </w:r>
      <w:r>
        <w:rPr>
          <w:i/>
          <w:spacing w:val="19"/>
          <w:sz w:val="38"/>
        </w:rPr>
        <w:t> </w:t>
      </w:r>
      <w:r>
        <w:rPr>
          <w:sz w:val="38"/>
        </w:rPr>
        <w:t>(Dr</w:t>
      </w:r>
    </w:p>
    <w:p>
      <w:pPr>
        <w:spacing w:after="0" w:line="276" w:lineRule="auto"/>
        <w:jc w:val="both"/>
        <w:rPr>
          <w:sz w:val="38"/>
        </w:rPr>
        <w:sectPr>
          <w:pgSz w:w="14270" w:h="16850"/>
          <w:pgMar w:header="0" w:footer="1891" w:top="1340" w:bottom="2080" w:left="800" w:right="1280"/>
        </w:sectPr>
      </w:pPr>
    </w:p>
    <w:p>
      <w:pPr>
        <w:pStyle w:val="BodyText"/>
        <w:spacing w:before="74"/>
        <w:ind w:left="616"/>
      </w:pPr>
      <w:r>
        <w:rPr/>
        <w:t>Singer, internist and biochemist)</w:t>
      </w: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spacing w:before="10"/>
        <w:rPr>
          <w:sz w:val="62"/>
        </w:rPr>
      </w:pPr>
    </w:p>
    <w:p>
      <w:pPr>
        <w:pStyle w:val="Heading2"/>
        <w:ind w:left="616"/>
      </w:pPr>
      <w:r>
        <w:rPr/>
        <w:t>Scientific investigations and studies on omega-3 fatty acids</w:t>
      </w:r>
    </w:p>
    <w:p>
      <w:pPr>
        <w:pStyle w:val="BodyText"/>
        <w:spacing w:line="276" w:lineRule="auto" w:before="305"/>
        <w:ind w:left="616" w:right="135"/>
        <w:jc w:val="both"/>
        <w:rPr>
          <w:sz w:val="25"/>
        </w:rPr>
      </w:pPr>
      <w:r>
        <w:rPr/>
        <w:t>There</w:t>
      </w:r>
      <w:r>
        <w:rPr>
          <w:spacing w:val="-11"/>
        </w:rPr>
        <w:t> </w:t>
      </w:r>
      <w:r>
        <w:rPr/>
        <w:t>are</w:t>
      </w:r>
      <w:r>
        <w:rPr>
          <w:spacing w:val="-10"/>
        </w:rPr>
        <w:t> </w:t>
      </w:r>
      <w:r>
        <w:rPr/>
        <w:t>more</w:t>
      </w:r>
      <w:r>
        <w:rPr>
          <w:spacing w:val="-11"/>
        </w:rPr>
        <w:t> </w:t>
      </w:r>
      <w:r>
        <w:rPr/>
        <w:t>than</w:t>
      </w:r>
      <w:r>
        <w:rPr>
          <w:spacing w:val="-10"/>
        </w:rPr>
        <w:t> </w:t>
      </w:r>
      <w:r>
        <w:rPr/>
        <w:t>15,000</w:t>
      </w:r>
      <w:r>
        <w:rPr>
          <w:spacing w:val="-12"/>
        </w:rPr>
        <w:t> </w:t>
      </w:r>
      <w:r>
        <w:rPr/>
        <w:t>studies</w:t>
      </w:r>
      <w:r>
        <w:rPr>
          <w:spacing w:val="-10"/>
        </w:rPr>
        <w:t> </w:t>
      </w:r>
      <w:r>
        <w:rPr/>
        <w:t>on</w:t>
      </w:r>
      <w:r>
        <w:rPr>
          <w:spacing w:val="-11"/>
        </w:rPr>
        <w:t> </w:t>
      </w:r>
      <w:r>
        <w:rPr/>
        <w:t>omega-3</w:t>
      </w:r>
      <w:r>
        <w:rPr>
          <w:spacing w:val="-11"/>
        </w:rPr>
        <w:t> </w:t>
      </w:r>
      <w:r>
        <w:rPr/>
        <w:t>fatty</w:t>
      </w:r>
      <w:r>
        <w:rPr>
          <w:spacing w:val="-13"/>
        </w:rPr>
        <w:t> </w:t>
      </w:r>
      <w:r>
        <w:rPr/>
        <w:t>acids</w:t>
      </w:r>
      <w:r>
        <w:rPr>
          <w:spacing w:val="-11"/>
        </w:rPr>
        <w:t> </w:t>
      </w:r>
      <w:r>
        <w:rPr/>
        <w:t>worldwide</w:t>
      </w:r>
      <w:r>
        <w:rPr>
          <w:spacing w:val="-12"/>
        </w:rPr>
        <w:t> </w:t>
      </w:r>
      <w:r>
        <w:rPr/>
        <w:t>that</w:t>
      </w:r>
      <w:r>
        <w:rPr>
          <w:spacing w:val="-11"/>
        </w:rPr>
        <w:t> </w:t>
      </w:r>
      <w:r>
        <w:rPr/>
        <w:t>tes- tify to their high health benefits for the cardiovascular system and metabo- lism.</w:t>
      </w:r>
      <w:r>
        <w:rPr>
          <w:position w:val="9"/>
          <w:sz w:val="25"/>
        </w:rPr>
        <w:t>562</w:t>
      </w:r>
    </w:p>
    <w:p>
      <w:pPr>
        <w:pStyle w:val="Heading1"/>
        <w:spacing w:line="261" w:lineRule="auto" w:before="221"/>
        <w:ind w:left="616" w:right="141"/>
        <w:jc w:val="both"/>
      </w:pPr>
      <w:r>
        <w:rPr/>
        <w:t>Omega-3</w:t>
      </w:r>
      <w:r>
        <w:rPr>
          <w:spacing w:val="-9"/>
        </w:rPr>
        <w:t> </w:t>
      </w:r>
      <w:r>
        <w:rPr/>
        <w:t>fatty</w:t>
      </w:r>
      <w:r>
        <w:rPr>
          <w:spacing w:val="-7"/>
        </w:rPr>
        <w:t> </w:t>
      </w:r>
      <w:r>
        <w:rPr/>
        <w:t>acids</w:t>
      </w:r>
      <w:r>
        <w:rPr>
          <w:spacing w:val="-8"/>
        </w:rPr>
        <w:t> </w:t>
      </w:r>
      <w:r>
        <w:rPr/>
        <w:t>protect</w:t>
      </w:r>
      <w:r>
        <w:rPr>
          <w:spacing w:val="-8"/>
        </w:rPr>
        <w:t> </w:t>
      </w:r>
      <w:r>
        <w:rPr/>
        <w:t>our</w:t>
      </w:r>
      <w:r>
        <w:rPr>
          <w:spacing w:val="-9"/>
        </w:rPr>
        <w:t> </w:t>
      </w:r>
      <w:r>
        <w:rPr/>
        <w:t>telomeres</w:t>
      </w:r>
      <w:r>
        <w:rPr>
          <w:spacing w:val="-8"/>
        </w:rPr>
        <w:t> </w:t>
      </w:r>
      <w:r>
        <w:rPr/>
        <w:t>from</w:t>
      </w:r>
      <w:r>
        <w:rPr>
          <w:spacing w:val="-9"/>
        </w:rPr>
        <w:t> </w:t>
      </w:r>
      <w:r>
        <w:rPr/>
        <w:t>shortening</w:t>
      </w:r>
      <w:r>
        <w:rPr>
          <w:spacing w:val="-8"/>
        </w:rPr>
        <w:t> </w:t>
      </w:r>
      <w:r>
        <w:rPr/>
        <w:t>and</w:t>
      </w:r>
      <w:r>
        <w:rPr>
          <w:spacing w:val="-8"/>
        </w:rPr>
        <w:t> </w:t>
      </w:r>
      <w:r>
        <w:rPr/>
        <w:t>thus prolong</w:t>
      </w:r>
      <w:r>
        <w:rPr>
          <w:spacing w:val="-7"/>
        </w:rPr>
        <w:t> </w:t>
      </w:r>
      <w:r>
        <w:rPr/>
        <w:t>life</w:t>
      </w:r>
    </w:p>
    <w:p>
      <w:pPr>
        <w:pStyle w:val="BodyText"/>
        <w:spacing w:line="276" w:lineRule="auto" w:before="261"/>
        <w:ind w:left="616" w:right="130"/>
        <w:jc w:val="both"/>
      </w:pPr>
      <w:r>
        <w:rPr/>
        <w:t>In the period from September 2000 to January 2009, US researchers investi- gated the leukocyte telomeres of 608 heart patients within the substudy of the large 'Heart and Soul Study' at the start of the study and then after five years. It was found that those patients who had the highest concentration of</w:t>
      </w:r>
      <w:r>
        <w:rPr>
          <w:spacing w:val="-60"/>
        </w:rPr>
        <w:t> </w:t>
      </w:r>
      <w:r>
        <w:rPr/>
        <w:t>omega- 3 fatty acids in the blood showed the slowest telomere shortening rate. This was 0.05 T/S units during the observation period of five years.</w:t>
      </w:r>
    </w:p>
    <w:p>
      <w:pPr>
        <w:pStyle w:val="BodyText"/>
        <w:rPr>
          <w:sz w:val="20"/>
        </w:rPr>
      </w:pPr>
    </w:p>
    <w:p>
      <w:pPr>
        <w:pStyle w:val="BodyText"/>
        <w:spacing w:before="3"/>
        <w:rPr>
          <w:sz w:val="21"/>
        </w:rPr>
      </w:pPr>
      <w:r>
        <w:rPr/>
        <w:pict>
          <v:line style="position:absolute;mso-position-horizontal-relative:page;mso-position-vertical-relative:paragraph;z-index:7376;mso-wrap-distance-left:0;mso-wrap-distance-right:0" from="70.823997pt,14.358765pt" to="214.843997pt,14.358765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562 </w:t>
      </w:r>
      <w:r>
        <w:rPr>
          <w:sz w:val="20"/>
        </w:rPr>
        <w:t>Prof. Dr. Michael Hamm and Dirk Neuberger: Omega-3 aktiv-Gesundheit aus dem Meer ('Omega-3 Active-Health from the Sea'), 2006, p. 32</w:t>
      </w:r>
    </w:p>
    <w:p>
      <w:pPr>
        <w:spacing w:after="0"/>
        <w:jc w:val="left"/>
        <w:rPr>
          <w:sz w:val="20"/>
        </w:rPr>
        <w:sectPr>
          <w:pgSz w:w="14270" w:h="16850"/>
          <w:pgMar w:header="0" w:footer="1891" w:top="1340" w:bottom="2080" w:left="800" w:right="1280"/>
        </w:sectPr>
      </w:pPr>
    </w:p>
    <w:p>
      <w:pPr>
        <w:pStyle w:val="BodyText"/>
        <w:spacing w:line="276" w:lineRule="auto" w:before="72"/>
        <w:ind w:left="616" w:right="133"/>
        <w:jc w:val="both"/>
        <w:rPr>
          <w:sz w:val="25"/>
        </w:rPr>
      </w:pPr>
      <w:r>
        <w:rPr/>
        <w:t>Conversely, those patients who had the lowest omega-3 fatty acid concentra- tion in their blood had the fastest telomere shortening rate of 0.13 telomere- to-single-copy</w:t>
      </w:r>
      <w:r>
        <w:rPr>
          <w:spacing w:val="-6"/>
        </w:rPr>
        <w:t> </w:t>
      </w:r>
      <w:r>
        <w:rPr/>
        <w:t>ratio</w:t>
      </w:r>
      <w:r>
        <w:rPr>
          <w:spacing w:val="-7"/>
        </w:rPr>
        <w:t> </w:t>
      </w:r>
      <w:r>
        <w:rPr/>
        <w:t>T/S.</w:t>
      </w:r>
      <w:r>
        <w:rPr>
          <w:spacing w:val="-5"/>
        </w:rPr>
        <w:t> </w:t>
      </w:r>
      <w:r>
        <w:rPr/>
        <w:t>This</w:t>
      </w:r>
      <w:r>
        <w:rPr>
          <w:spacing w:val="-6"/>
        </w:rPr>
        <w:t> </w:t>
      </w:r>
      <w:r>
        <w:rPr/>
        <w:t>is</w:t>
      </w:r>
      <w:r>
        <w:rPr>
          <w:spacing w:val="-9"/>
        </w:rPr>
        <w:t> </w:t>
      </w:r>
      <w:r>
        <w:rPr/>
        <w:t>a</w:t>
      </w:r>
      <w:r>
        <w:rPr>
          <w:spacing w:val="-7"/>
        </w:rPr>
        <w:t> </w:t>
      </w:r>
      <w:r>
        <w:rPr/>
        <w:t>completely</w:t>
      </w:r>
      <w:r>
        <w:rPr>
          <w:spacing w:val="-7"/>
        </w:rPr>
        <w:t> </w:t>
      </w:r>
      <w:r>
        <w:rPr/>
        <w:t>new</w:t>
      </w:r>
      <w:r>
        <w:rPr>
          <w:spacing w:val="-8"/>
        </w:rPr>
        <w:t> </w:t>
      </w:r>
      <w:r>
        <w:rPr/>
        <w:t>aspect</w:t>
      </w:r>
      <w:r>
        <w:rPr>
          <w:spacing w:val="-6"/>
        </w:rPr>
        <w:t> </w:t>
      </w:r>
      <w:r>
        <w:rPr/>
        <w:t>because</w:t>
      </w:r>
      <w:r>
        <w:rPr>
          <w:spacing w:val="-7"/>
        </w:rPr>
        <w:t> </w:t>
      </w:r>
      <w:r>
        <w:rPr/>
        <w:t>it</w:t>
      </w:r>
      <w:r>
        <w:rPr>
          <w:spacing w:val="-7"/>
        </w:rPr>
        <w:t> </w:t>
      </w:r>
      <w:r>
        <w:rPr/>
        <w:t>had</w:t>
      </w:r>
      <w:r>
        <w:rPr>
          <w:spacing w:val="-7"/>
        </w:rPr>
        <w:t> </w:t>
      </w:r>
      <w:r>
        <w:rPr/>
        <w:t>previ- ously been thought that omega-3 fatty acids only activated the telomerase of cancer cells. The researchers explain this phenomenon with the protection of cells by omega-3 fatty acids from harmful oxygen</w:t>
      </w:r>
      <w:r>
        <w:rPr>
          <w:spacing w:val="-5"/>
        </w:rPr>
        <w:t> </w:t>
      </w:r>
      <w:r>
        <w:rPr/>
        <w:t>radicals.</w:t>
      </w:r>
      <w:r>
        <w:rPr>
          <w:position w:val="9"/>
          <w:sz w:val="25"/>
        </w:rPr>
        <w:t>563</w:t>
      </w:r>
    </w:p>
    <w:p>
      <w:pPr>
        <w:pStyle w:val="Heading1"/>
        <w:spacing w:before="222"/>
        <w:ind w:left="616"/>
      </w:pPr>
      <w:r>
        <w:rPr/>
        <w:t>Omega-3 fatty acids is able to reverse arteriosclerosis</w:t>
      </w:r>
    </w:p>
    <w:p>
      <w:pPr>
        <w:pStyle w:val="BodyText"/>
        <w:spacing w:line="276" w:lineRule="auto" w:before="300"/>
        <w:ind w:left="616" w:right="137"/>
        <w:jc w:val="both"/>
        <w:rPr>
          <w:sz w:val="25"/>
        </w:rPr>
      </w:pPr>
      <w:r>
        <w:rPr/>
        <w:t>Arteriosclerosis is without a doubt the main cause of cardiovascular disease, including</w:t>
      </w:r>
      <w:r>
        <w:rPr>
          <w:spacing w:val="-12"/>
        </w:rPr>
        <w:t> </w:t>
      </w:r>
      <w:r>
        <w:rPr/>
        <w:t>heart</w:t>
      </w:r>
      <w:r>
        <w:rPr>
          <w:spacing w:val="-12"/>
        </w:rPr>
        <w:t> </w:t>
      </w:r>
      <w:r>
        <w:rPr/>
        <w:t>attack</w:t>
      </w:r>
      <w:r>
        <w:rPr>
          <w:spacing w:val="-13"/>
        </w:rPr>
        <w:t> </w:t>
      </w:r>
      <w:r>
        <w:rPr/>
        <w:t>and</w:t>
      </w:r>
      <w:r>
        <w:rPr>
          <w:spacing w:val="-11"/>
        </w:rPr>
        <w:t> </w:t>
      </w:r>
      <w:r>
        <w:rPr/>
        <w:t>stroke.</w:t>
      </w:r>
      <w:r>
        <w:rPr>
          <w:spacing w:val="-10"/>
        </w:rPr>
        <w:t> </w:t>
      </w:r>
      <w:r>
        <w:rPr/>
        <w:t>To</w:t>
      </w:r>
      <w:r>
        <w:rPr>
          <w:spacing w:val="-11"/>
        </w:rPr>
        <w:t> </w:t>
      </w:r>
      <w:r>
        <w:rPr/>
        <w:t>be</w:t>
      </w:r>
      <w:r>
        <w:rPr>
          <w:spacing w:val="-11"/>
        </w:rPr>
        <w:t> </w:t>
      </w:r>
      <w:r>
        <w:rPr/>
        <w:t>clear:</w:t>
      </w:r>
      <w:r>
        <w:rPr>
          <w:spacing w:val="-11"/>
        </w:rPr>
        <w:t> </w:t>
      </w:r>
      <w:r>
        <w:rPr/>
        <w:t>Nothing</w:t>
      </w:r>
      <w:r>
        <w:rPr>
          <w:spacing w:val="-11"/>
        </w:rPr>
        <w:t> </w:t>
      </w:r>
      <w:r>
        <w:rPr/>
        <w:t>is</w:t>
      </w:r>
      <w:r>
        <w:rPr>
          <w:spacing w:val="-11"/>
        </w:rPr>
        <w:t> </w:t>
      </w:r>
      <w:r>
        <w:rPr/>
        <w:t>responsible</w:t>
      </w:r>
      <w:r>
        <w:rPr>
          <w:spacing w:val="-11"/>
        </w:rPr>
        <w:t> </w:t>
      </w:r>
      <w:r>
        <w:rPr/>
        <w:t>for</w:t>
      </w:r>
      <w:r>
        <w:rPr>
          <w:spacing w:val="-10"/>
        </w:rPr>
        <w:t> </w:t>
      </w:r>
      <w:r>
        <w:rPr/>
        <w:t>more deaths in industrialised countries than arteriosclerosis! In a clinical study on 233</w:t>
      </w:r>
      <w:r>
        <w:rPr>
          <w:spacing w:val="-11"/>
        </w:rPr>
        <w:t> </w:t>
      </w:r>
      <w:r>
        <w:rPr/>
        <w:t>patients</w:t>
      </w:r>
      <w:r>
        <w:rPr>
          <w:spacing w:val="-9"/>
        </w:rPr>
        <w:t> </w:t>
      </w:r>
      <w:r>
        <w:rPr/>
        <w:t>in</w:t>
      </w:r>
      <w:r>
        <w:rPr>
          <w:spacing w:val="-9"/>
        </w:rPr>
        <w:t> </w:t>
      </w:r>
      <w:r>
        <w:rPr/>
        <w:t>1999,</w:t>
      </w:r>
      <w:r>
        <w:rPr>
          <w:spacing w:val="-9"/>
        </w:rPr>
        <w:t> </w:t>
      </w:r>
      <w:r>
        <w:rPr/>
        <w:t>Prof.</w:t>
      </w:r>
      <w:r>
        <w:rPr>
          <w:spacing w:val="-9"/>
        </w:rPr>
        <w:t> </w:t>
      </w:r>
      <w:r>
        <w:rPr/>
        <w:t>Dr.</w:t>
      </w:r>
      <w:r>
        <w:rPr>
          <w:spacing w:val="-8"/>
        </w:rPr>
        <w:t> </w:t>
      </w:r>
      <w:r>
        <w:rPr/>
        <w:t>von</w:t>
      </w:r>
      <w:r>
        <w:rPr>
          <w:spacing w:val="-8"/>
        </w:rPr>
        <w:t> </w:t>
      </w:r>
      <w:r>
        <w:rPr/>
        <w:t>Schacky</w:t>
      </w:r>
      <w:r>
        <w:rPr>
          <w:spacing w:val="-12"/>
        </w:rPr>
        <w:t> </w:t>
      </w:r>
      <w:r>
        <w:rPr/>
        <w:t>proved</w:t>
      </w:r>
      <w:r>
        <w:rPr>
          <w:spacing w:val="-9"/>
        </w:rPr>
        <w:t> </w:t>
      </w:r>
      <w:r>
        <w:rPr/>
        <w:t>that</w:t>
      </w:r>
      <w:r>
        <w:rPr>
          <w:spacing w:val="-9"/>
        </w:rPr>
        <w:t> </w:t>
      </w:r>
      <w:r>
        <w:rPr/>
        <w:t>there</w:t>
      </w:r>
      <w:r>
        <w:rPr>
          <w:spacing w:val="-12"/>
        </w:rPr>
        <w:t> </w:t>
      </w:r>
      <w:r>
        <w:rPr/>
        <w:t>was</w:t>
      </w:r>
      <w:r>
        <w:rPr>
          <w:spacing w:val="-9"/>
        </w:rPr>
        <w:t> </w:t>
      </w:r>
      <w:r>
        <w:rPr/>
        <w:t>a</w:t>
      </w:r>
      <w:r>
        <w:rPr>
          <w:spacing w:val="-10"/>
        </w:rPr>
        <w:t> </w:t>
      </w:r>
      <w:r>
        <w:rPr/>
        <w:t>detectable reduction in arteriosclerotic changes over a period of 24 months due to the administration of 6 g of fish oil</w:t>
      </w:r>
      <w:r>
        <w:rPr>
          <w:spacing w:val="-3"/>
        </w:rPr>
        <w:t> </w:t>
      </w:r>
      <w:r>
        <w:rPr/>
        <w:t>concentrate.</w:t>
      </w:r>
      <w:r>
        <w:rPr>
          <w:position w:val="9"/>
          <w:sz w:val="25"/>
        </w:rPr>
        <w:t>564</w:t>
      </w:r>
    </w:p>
    <w:p>
      <w:pPr>
        <w:pStyle w:val="Heading1"/>
        <w:spacing w:line="261" w:lineRule="auto" w:before="223"/>
        <w:ind w:left="616" w:right="143"/>
        <w:jc w:val="both"/>
      </w:pPr>
      <w:r>
        <w:rPr/>
        <w:t>Two</w:t>
      </w:r>
      <w:r>
        <w:rPr>
          <w:spacing w:val="-51"/>
        </w:rPr>
        <w:t> </w:t>
      </w:r>
      <w:r>
        <w:rPr/>
        <w:t>to</w:t>
      </w:r>
      <w:r>
        <w:rPr>
          <w:spacing w:val="-52"/>
        </w:rPr>
        <w:t> </w:t>
      </w:r>
      <w:r>
        <w:rPr/>
        <w:t>three</w:t>
      </w:r>
      <w:r>
        <w:rPr>
          <w:spacing w:val="-51"/>
        </w:rPr>
        <w:t> </w:t>
      </w:r>
      <w:r>
        <w:rPr/>
        <w:t>fish</w:t>
      </w:r>
      <w:r>
        <w:rPr>
          <w:spacing w:val="-51"/>
        </w:rPr>
        <w:t> </w:t>
      </w:r>
      <w:r>
        <w:rPr/>
        <w:t>meals</w:t>
      </w:r>
      <w:r>
        <w:rPr>
          <w:spacing w:val="-51"/>
        </w:rPr>
        <w:t> </w:t>
      </w:r>
      <w:r>
        <w:rPr/>
        <w:t>per</w:t>
      </w:r>
      <w:r>
        <w:rPr>
          <w:spacing w:val="-52"/>
        </w:rPr>
        <w:t> </w:t>
      </w:r>
      <w:r>
        <w:rPr/>
        <w:t>week</w:t>
      </w:r>
      <w:r>
        <w:rPr>
          <w:spacing w:val="-51"/>
        </w:rPr>
        <w:t> </w:t>
      </w:r>
      <w:r>
        <w:rPr/>
        <w:t>preventively</w:t>
      </w:r>
      <w:r>
        <w:rPr>
          <w:spacing w:val="-51"/>
        </w:rPr>
        <w:t> </w:t>
      </w:r>
      <w:r>
        <w:rPr/>
        <w:t>reduce</w:t>
      </w:r>
      <w:r>
        <w:rPr>
          <w:spacing w:val="-52"/>
        </w:rPr>
        <w:t> </w:t>
      </w:r>
      <w:r>
        <w:rPr/>
        <w:t>heart</w:t>
      </w:r>
      <w:r>
        <w:rPr>
          <w:spacing w:val="-51"/>
        </w:rPr>
        <w:t> </w:t>
      </w:r>
      <w:r>
        <w:rPr/>
        <w:t>attack</w:t>
      </w:r>
      <w:r>
        <w:rPr>
          <w:spacing w:val="-51"/>
        </w:rPr>
        <w:t> </w:t>
      </w:r>
      <w:r>
        <w:rPr/>
        <w:t>mor- tality by 50 %</w:t>
      </w:r>
    </w:p>
    <w:p>
      <w:pPr>
        <w:pStyle w:val="BodyText"/>
        <w:spacing w:line="276" w:lineRule="auto" w:before="261"/>
        <w:ind w:left="616" w:right="139"/>
        <w:jc w:val="both"/>
        <w:rPr>
          <w:sz w:val="25"/>
        </w:rPr>
      </w:pPr>
      <w:r>
        <w:rPr/>
        <w:t>According to a Dutch study in 1985, involving 852 men and stretching over a 20-year</w:t>
      </w:r>
      <w:r>
        <w:rPr>
          <w:spacing w:val="-9"/>
        </w:rPr>
        <w:t> </w:t>
      </w:r>
      <w:r>
        <w:rPr/>
        <w:t>period,</w:t>
      </w:r>
      <w:r>
        <w:rPr>
          <w:spacing w:val="-12"/>
        </w:rPr>
        <w:t> </w:t>
      </w:r>
      <w:r>
        <w:rPr/>
        <w:t>heart</w:t>
      </w:r>
      <w:r>
        <w:rPr>
          <w:spacing w:val="-11"/>
        </w:rPr>
        <w:t> </w:t>
      </w:r>
      <w:r>
        <w:rPr/>
        <w:t>attack</w:t>
      </w:r>
      <w:r>
        <w:rPr>
          <w:spacing w:val="-10"/>
        </w:rPr>
        <w:t> </w:t>
      </w:r>
      <w:r>
        <w:rPr/>
        <w:t>mortality</w:t>
      </w:r>
      <w:r>
        <w:rPr>
          <w:spacing w:val="-9"/>
        </w:rPr>
        <w:t> </w:t>
      </w:r>
      <w:r>
        <w:rPr/>
        <w:t>rates</w:t>
      </w:r>
      <w:r>
        <w:rPr>
          <w:spacing w:val="-10"/>
        </w:rPr>
        <w:t> </w:t>
      </w:r>
      <w:r>
        <w:rPr/>
        <w:t>were</w:t>
      </w:r>
      <w:r>
        <w:rPr>
          <w:spacing w:val="-12"/>
        </w:rPr>
        <w:t> </w:t>
      </w:r>
      <w:r>
        <w:rPr/>
        <w:t>reduced</w:t>
      </w:r>
      <w:r>
        <w:rPr>
          <w:spacing w:val="-11"/>
        </w:rPr>
        <w:t> </w:t>
      </w:r>
      <w:r>
        <w:rPr/>
        <w:t>by</w:t>
      </w:r>
      <w:r>
        <w:rPr>
          <w:spacing w:val="-10"/>
        </w:rPr>
        <w:t> </w:t>
      </w:r>
      <w:r>
        <w:rPr/>
        <w:t>50</w:t>
      </w:r>
      <w:r>
        <w:rPr>
          <w:spacing w:val="-13"/>
        </w:rPr>
        <w:t> </w:t>
      </w:r>
      <w:r>
        <w:rPr/>
        <w:t>%</w:t>
      </w:r>
      <w:r>
        <w:rPr>
          <w:spacing w:val="-13"/>
        </w:rPr>
        <w:t> </w:t>
      </w:r>
      <w:r>
        <w:rPr/>
        <w:t>compared</w:t>
      </w:r>
      <w:r>
        <w:rPr>
          <w:spacing w:val="-12"/>
        </w:rPr>
        <w:t> </w:t>
      </w:r>
      <w:r>
        <w:rPr/>
        <w:t>to non-fish eaters.</w:t>
      </w:r>
      <w:r>
        <w:rPr>
          <w:position w:val="9"/>
          <w:sz w:val="25"/>
        </w:rPr>
        <w:t>565</w:t>
      </w:r>
    </w:p>
    <w:p>
      <w:pPr>
        <w:pStyle w:val="Heading1"/>
        <w:spacing w:before="223"/>
        <w:ind w:left="616"/>
        <w:jc w:val="both"/>
      </w:pPr>
      <w:r>
        <w:rPr/>
        <w:t>Deaths after heart attacks reduced by 29 %</w:t>
      </w:r>
    </w:p>
    <w:p>
      <w:pPr>
        <w:pStyle w:val="BodyText"/>
        <w:rPr>
          <w:b/>
          <w:i/>
          <w:sz w:val="20"/>
        </w:rPr>
      </w:pPr>
    </w:p>
    <w:p>
      <w:pPr>
        <w:pStyle w:val="BodyText"/>
        <w:spacing w:before="3"/>
        <w:rPr>
          <w:b/>
          <w:i/>
          <w:sz w:val="23"/>
        </w:rPr>
      </w:pPr>
      <w:r>
        <w:rPr/>
        <w:pict>
          <v:line style="position:absolute;mso-position-horizontal-relative:page;mso-position-vertical-relative:paragraph;z-index:7400;mso-wrap-distance-left:0;mso-wrap-distance-right:0" from="70.823997pt,15.471235pt" to="214.843997pt,15.471235pt" stroked="true" strokeweight=".72003pt" strokecolor="#000000">
            <v:stroke dashstyle="solid"/>
            <w10:wrap type="topAndBottom"/>
          </v:line>
        </w:pict>
      </w:r>
    </w:p>
    <w:p>
      <w:pPr>
        <w:pStyle w:val="BodyText"/>
        <w:spacing w:before="7"/>
        <w:rPr>
          <w:b/>
          <w:i/>
          <w:sz w:val="18"/>
        </w:rPr>
      </w:pPr>
    </w:p>
    <w:p>
      <w:pPr>
        <w:spacing w:before="99"/>
        <w:ind w:left="616" w:right="0" w:firstLine="0"/>
        <w:jc w:val="left"/>
        <w:rPr>
          <w:sz w:val="20"/>
        </w:rPr>
      </w:pPr>
      <w:r>
        <w:rPr>
          <w:position w:val="5"/>
          <w:sz w:val="13"/>
        </w:rPr>
        <w:t>563 </w:t>
      </w:r>
      <w:r>
        <w:rPr>
          <w:sz w:val="20"/>
        </w:rPr>
        <w:t>Farzaneh-Far R. et al.: JAMA January 3, 2010; 303 (3) pp. 250-257</w:t>
      </w:r>
    </w:p>
    <w:p>
      <w:pPr>
        <w:spacing w:before="92"/>
        <w:ind w:left="616" w:right="0" w:firstLine="0"/>
        <w:jc w:val="left"/>
        <w:rPr>
          <w:sz w:val="20"/>
        </w:rPr>
      </w:pPr>
      <w:r>
        <w:rPr>
          <w:position w:val="5"/>
          <w:sz w:val="13"/>
        </w:rPr>
        <w:t>564 </w:t>
      </w:r>
      <w:r>
        <w:rPr>
          <w:sz w:val="20"/>
        </w:rPr>
        <w:t>Prof. Dr. Michael Hamm and Dirk Neuberger: Omega-3 aktiv-Gesundheit aus dem Meer ('Omega-3 Active-Health from the Sea'), 2006, p.</w:t>
      </w:r>
      <w:r>
        <w:rPr>
          <w:spacing w:val="-36"/>
          <w:sz w:val="20"/>
        </w:rPr>
        <w:t> </w:t>
      </w:r>
      <w:r>
        <w:rPr>
          <w:sz w:val="20"/>
        </w:rPr>
        <w:t>45</w:t>
      </w:r>
    </w:p>
    <w:p>
      <w:pPr>
        <w:spacing w:before="94"/>
        <w:ind w:left="616" w:right="0" w:firstLine="0"/>
        <w:jc w:val="left"/>
        <w:rPr>
          <w:sz w:val="20"/>
        </w:rPr>
      </w:pPr>
      <w:r>
        <w:rPr>
          <w:position w:val="5"/>
          <w:sz w:val="13"/>
        </w:rPr>
        <w:t>565 </w:t>
      </w:r>
      <w:r>
        <w:rPr>
          <w:sz w:val="20"/>
        </w:rPr>
        <w:t>Prof. Dr. Michael Hamm and Dirk Neuberger: Omega-3 aktiv-Gesundheit aus dem Meer ('Omega-3 Active-Health from the Sea'), 2006, p.</w:t>
      </w:r>
      <w:r>
        <w:rPr>
          <w:spacing w:val="-34"/>
          <w:sz w:val="20"/>
        </w:rPr>
        <w:t> </w:t>
      </w:r>
      <w:r>
        <w:rPr>
          <w:sz w:val="20"/>
        </w:rPr>
        <w:t>32</w:t>
      </w:r>
    </w:p>
    <w:p>
      <w:pPr>
        <w:spacing w:after="0"/>
        <w:jc w:val="left"/>
        <w:rPr>
          <w:sz w:val="20"/>
        </w:rPr>
        <w:sectPr>
          <w:footerReference w:type="default" r:id="rId246"/>
          <w:pgSz w:w="14270" w:h="16850"/>
          <w:pgMar w:footer="1891" w:header="0" w:top="1340" w:bottom="2080" w:left="800" w:right="1280"/>
          <w:pgNumType w:start="1050"/>
        </w:sectPr>
      </w:pPr>
    </w:p>
    <w:p>
      <w:pPr>
        <w:pStyle w:val="BodyText"/>
        <w:spacing w:line="276" w:lineRule="auto" w:before="72"/>
        <w:ind w:left="616" w:right="132"/>
        <w:jc w:val="both"/>
        <w:rPr>
          <w:sz w:val="25"/>
        </w:rPr>
      </w:pPr>
      <w:r>
        <w:rPr/>
        <w:t>In</w:t>
      </w:r>
      <w:r>
        <w:rPr>
          <w:spacing w:val="-20"/>
        </w:rPr>
        <w:t> </w:t>
      </w:r>
      <w:r>
        <w:rPr/>
        <w:t>a</w:t>
      </w:r>
      <w:r>
        <w:rPr>
          <w:spacing w:val="-21"/>
        </w:rPr>
        <w:t> </w:t>
      </w:r>
      <w:r>
        <w:rPr/>
        <w:t>1989</w:t>
      </w:r>
      <w:r>
        <w:rPr>
          <w:spacing w:val="-21"/>
        </w:rPr>
        <w:t> </w:t>
      </w:r>
      <w:r>
        <w:rPr/>
        <w:t>two-year</w:t>
      </w:r>
      <w:r>
        <w:rPr>
          <w:spacing w:val="-20"/>
        </w:rPr>
        <w:t> </w:t>
      </w:r>
      <w:r>
        <w:rPr/>
        <w:t>study</w:t>
      </w:r>
      <w:r>
        <w:rPr>
          <w:spacing w:val="-20"/>
        </w:rPr>
        <w:t> </w:t>
      </w:r>
      <w:r>
        <w:rPr/>
        <w:t>of</w:t>
      </w:r>
      <w:r>
        <w:rPr>
          <w:spacing w:val="-19"/>
        </w:rPr>
        <w:t> </w:t>
      </w:r>
      <w:r>
        <w:rPr/>
        <w:t>2,033</w:t>
      </w:r>
      <w:r>
        <w:rPr>
          <w:spacing w:val="-19"/>
        </w:rPr>
        <w:t> </w:t>
      </w:r>
      <w:r>
        <w:rPr/>
        <w:t>men</w:t>
      </w:r>
      <w:r>
        <w:rPr>
          <w:spacing w:val="-19"/>
        </w:rPr>
        <w:t> </w:t>
      </w:r>
      <w:r>
        <w:rPr/>
        <w:t>who</w:t>
      </w:r>
      <w:r>
        <w:rPr>
          <w:spacing w:val="-19"/>
        </w:rPr>
        <w:t> </w:t>
      </w:r>
      <w:r>
        <w:rPr/>
        <w:t>had</w:t>
      </w:r>
      <w:r>
        <w:rPr>
          <w:spacing w:val="-19"/>
        </w:rPr>
        <w:t> </w:t>
      </w:r>
      <w:r>
        <w:rPr/>
        <w:t>suffered</w:t>
      </w:r>
      <w:r>
        <w:rPr>
          <w:spacing w:val="-20"/>
        </w:rPr>
        <w:t> </w:t>
      </w:r>
      <w:r>
        <w:rPr/>
        <w:t>myocardial</w:t>
      </w:r>
      <w:r>
        <w:rPr>
          <w:spacing w:val="-21"/>
        </w:rPr>
        <w:t> </w:t>
      </w:r>
      <w:r>
        <w:rPr/>
        <w:t>infarction, Dr. Michael Burr (England), found that those participants who either con- sumed</w:t>
      </w:r>
      <w:r>
        <w:rPr>
          <w:spacing w:val="-23"/>
        </w:rPr>
        <w:t> </w:t>
      </w:r>
      <w:r>
        <w:rPr/>
        <w:t>plenty</w:t>
      </w:r>
      <w:r>
        <w:rPr>
          <w:spacing w:val="-23"/>
        </w:rPr>
        <w:t> </w:t>
      </w:r>
      <w:r>
        <w:rPr/>
        <w:t>of</w:t>
      </w:r>
      <w:r>
        <w:rPr>
          <w:spacing w:val="-25"/>
        </w:rPr>
        <w:t> </w:t>
      </w:r>
      <w:r>
        <w:rPr/>
        <w:t>fish</w:t>
      </w:r>
      <w:r>
        <w:rPr>
          <w:spacing w:val="-22"/>
        </w:rPr>
        <w:t> </w:t>
      </w:r>
      <w:r>
        <w:rPr/>
        <w:t>or</w:t>
      </w:r>
      <w:r>
        <w:rPr>
          <w:spacing w:val="-22"/>
        </w:rPr>
        <w:t> </w:t>
      </w:r>
      <w:r>
        <w:rPr/>
        <w:t>fish</w:t>
      </w:r>
      <w:r>
        <w:rPr>
          <w:spacing w:val="-25"/>
        </w:rPr>
        <w:t> </w:t>
      </w:r>
      <w:r>
        <w:rPr/>
        <w:t>oil</w:t>
      </w:r>
      <w:r>
        <w:rPr>
          <w:spacing w:val="-23"/>
        </w:rPr>
        <w:t> </w:t>
      </w:r>
      <w:r>
        <w:rPr/>
        <w:t>capsules</w:t>
      </w:r>
      <w:r>
        <w:rPr>
          <w:spacing w:val="-22"/>
        </w:rPr>
        <w:t> </w:t>
      </w:r>
      <w:r>
        <w:rPr/>
        <w:t>had</w:t>
      </w:r>
      <w:r>
        <w:rPr>
          <w:spacing w:val="-23"/>
        </w:rPr>
        <w:t> </w:t>
      </w:r>
      <w:r>
        <w:rPr/>
        <w:t>29</w:t>
      </w:r>
      <w:r>
        <w:rPr>
          <w:spacing w:val="-23"/>
        </w:rPr>
        <w:t> </w:t>
      </w:r>
      <w:r>
        <w:rPr/>
        <w:t>%</w:t>
      </w:r>
      <w:r>
        <w:rPr>
          <w:spacing w:val="-25"/>
        </w:rPr>
        <w:t> </w:t>
      </w:r>
      <w:r>
        <w:rPr/>
        <w:t>fewer</w:t>
      </w:r>
      <w:r>
        <w:rPr>
          <w:spacing w:val="-24"/>
        </w:rPr>
        <w:t> </w:t>
      </w:r>
      <w:r>
        <w:rPr/>
        <w:t>deaths</w:t>
      </w:r>
      <w:r>
        <w:rPr>
          <w:spacing w:val="-22"/>
        </w:rPr>
        <w:t> </w:t>
      </w:r>
      <w:r>
        <w:rPr/>
        <w:t>than</w:t>
      </w:r>
      <w:r>
        <w:rPr>
          <w:spacing w:val="-22"/>
        </w:rPr>
        <w:t> </w:t>
      </w:r>
      <w:r>
        <w:rPr/>
        <w:t>the</w:t>
      </w:r>
      <w:r>
        <w:rPr>
          <w:spacing w:val="-22"/>
        </w:rPr>
        <w:t> </w:t>
      </w:r>
      <w:r>
        <w:rPr/>
        <w:t>control group.</w:t>
      </w:r>
      <w:r>
        <w:rPr>
          <w:position w:val="9"/>
          <w:sz w:val="25"/>
        </w:rPr>
        <w:t>566</w:t>
      </w:r>
    </w:p>
    <w:p>
      <w:pPr>
        <w:pStyle w:val="Heading1"/>
        <w:spacing w:line="261" w:lineRule="auto"/>
        <w:ind w:left="616" w:right="132"/>
        <w:jc w:val="both"/>
      </w:pPr>
      <w:r>
        <w:rPr/>
        <w:t>Sudden</w:t>
      </w:r>
      <w:r>
        <w:rPr>
          <w:spacing w:val="-70"/>
        </w:rPr>
        <w:t> </w:t>
      </w:r>
      <w:r>
        <w:rPr/>
        <w:t>cardiac</w:t>
      </w:r>
      <w:r>
        <w:rPr>
          <w:spacing w:val="-68"/>
        </w:rPr>
        <w:t> </w:t>
      </w:r>
      <w:r>
        <w:rPr/>
        <w:t>death</w:t>
      </w:r>
      <w:r>
        <w:rPr>
          <w:spacing w:val="-69"/>
        </w:rPr>
        <w:t> </w:t>
      </w:r>
      <w:r>
        <w:rPr/>
        <w:t>prophylactically</w:t>
      </w:r>
      <w:r>
        <w:rPr>
          <w:spacing w:val="-69"/>
        </w:rPr>
        <w:t> </w:t>
      </w:r>
      <w:r>
        <w:rPr/>
        <w:t>reduced</w:t>
      </w:r>
      <w:r>
        <w:rPr>
          <w:spacing w:val="-69"/>
        </w:rPr>
        <w:t> </w:t>
      </w:r>
      <w:r>
        <w:rPr/>
        <w:t>by</w:t>
      </w:r>
      <w:r>
        <w:rPr>
          <w:spacing w:val="-69"/>
        </w:rPr>
        <w:t> </w:t>
      </w:r>
      <w:r>
        <w:rPr/>
        <w:t>40-45</w:t>
      </w:r>
      <w:r>
        <w:rPr>
          <w:spacing w:val="-69"/>
        </w:rPr>
        <w:t> </w:t>
      </w:r>
      <w:r>
        <w:rPr/>
        <w:t>%</w:t>
      </w:r>
      <w:r>
        <w:rPr>
          <w:spacing w:val="-68"/>
        </w:rPr>
        <w:t> </w:t>
      </w:r>
      <w:r>
        <w:rPr/>
        <w:t>with</w:t>
      </w:r>
      <w:r>
        <w:rPr>
          <w:spacing w:val="-69"/>
        </w:rPr>
        <w:t> </w:t>
      </w:r>
      <w:r>
        <w:rPr/>
        <w:t>omega- 3 fatty acids</w:t>
      </w:r>
    </w:p>
    <w:p>
      <w:pPr>
        <w:pStyle w:val="BodyText"/>
        <w:spacing w:line="276" w:lineRule="auto" w:before="259"/>
        <w:ind w:left="616" w:right="138"/>
        <w:jc w:val="both"/>
        <w:rPr>
          <w:sz w:val="25"/>
        </w:rPr>
      </w:pPr>
      <w:r>
        <w:rPr/>
        <w:t>According to a US study at Boston's Harvard Medical School on more than 45,000 participants with no previous cardiac problems, a daily intake of 250 mg EPA/DHA reduced the risk of sudden cardiac death by 40-50 %!</w:t>
      </w:r>
      <w:r>
        <w:rPr>
          <w:position w:val="9"/>
          <w:sz w:val="25"/>
        </w:rPr>
        <w:t>567</w:t>
      </w:r>
    </w:p>
    <w:p>
      <w:pPr>
        <w:pStyle w:val="Heading1"/>
        <w:spacing w:line="261" w:lineRule="auto" w:before="223"/>
        <w:ind w:left="616" w:right="138"/>
        <w:jc w:val="both"/>
      </w:pPr>
      <w:r>
        <w:rPr/>
        <w:t>Heart attack and stroke reduced by 30 %, sudden cardiac death de- creased by 45 %</w:t>
      </w:r>
    </w:p>
    <w:p>
      <w:pPr>
        <w:pStyle w:val="BodyText"/>
        <w:spacing w:line="276" w:lineRule="auto" w:before="261"/>
        <w:ind w:left="616" w:right="140"/>
        <w:jc w:val="both"/>
        <w:rPr>
          <w:sz w:val="25"/>
        </w:rPr>
      </w:pPr>
      <w:r>
        <w:rPr/>
        <w:t>A large-scale study of 11,000 patients from 172 Italian hospitals provided evi- dence of the protective effect of omega-3 fatty acids. The heart attack and stroke rate dropped by 30 % compared to the control group, and sudden car- diac death dropped by as much as 45 %.</w:t>
      </w:r>
      <w:r>
        <w:rPr>
          <w:position w:val="9"/>
          <w:sz w:val="25"/>
        </w:rPr>
        <w:t>568</w:t>
      </w:r>
    </w:p>
    <w:p>
      <w:pPr>
        <w:pStyle w:val="Heading1"/>
        <w:spacing w:before="222"/>
        <w:ind w:left="616"/>
        <w:jc w:val="both"/>
      </w:pPr>
      <w:r>
        <w:rPr/>
        <w:t>Omega-3 fatty acids reduce triglycerides by 30 %</w:t>
      </w:r>
    </w:p>
    <w:p>
      <w:pPr>
        <w:pStyle w:val="BodyText"/>
        <w:spacing w:line="276" w:lineRule="auto" w:before="299"/>
        <w:ind w:left="616" w:right="136"/>
        <w:jc w:val="both"/>
      </w:pPr>
      <w:r>
        <w:rPr/>
        <w:t>Similar to cholesterol, triglycerides are considered to be a cause of atheroscle- rosis, often leading to serious cardiovascular diseases and dreaded heart at- tacks. Omega-3 fatty acids have the ability to limit the production of triglycer- ides</w:t>
      </w:r>
      <w:r>
        <w:rPr>
          <w:spacing w:val="-5"/>
        </w:rPr>
        <w:t> </w:t>
      </w:r>
      <w:r>
        <w:rPr/>
        <w:t>in</w:t>
      </w:r>
      <w:r>
        <w:rPr>
          <w:spacing w:val="-5"/>
        </w:rPr>
        <w:t> </w:t>
      </w:r>
      <w:r>
        <w:rPr/>
        <w:t>the</w:t>
      </w:r>
      <w:r>
        <w:rPr>
          <w:spacing w:val="-4"/>
        </w:rPr>
        <w:t> </w:t>
      </w:r>
      <w:r>
        <w:rPr/>
        <w:t>liver.</w:t>
      </w:r>
      <w:r>
        <w:rPr>
          <w:spacing w:val="-9"/>
        </w:rPr>
        <w:t> </w:t>
      </w:r>
      <w:r>
        <w:rPr/>
        <w:t>According</w:t>
      </w:r>
      <w:r>
        <w:rPr>
          <w:spacing w:val="-4"/>
        </w:rPr>
        <w:t> </w:t>
      </w:r>
      <w:r>
        <w:rPr/>
        <w:t>to</w:t>
      </w:r>
      <w:r>
        <w:rPr>
          <w:spacing w:val="-7"/>
        </w:rPr>
        <w:t> </w:t>
      </w:r>
      <w:r>
        <w:rPr/>
        <w:t>studies</w:t>
      </w:r>
      <w:r>
        <w:rPr>
          <w:spacing w:val="-3"/>
        </w:rPr>
        <w:t> </w:t>
      </w:r>
      <w:r>
        <w:rPr/>
        <w:t>by</w:t>
      </w:r>
      <w:r>
        <w:rPr>
          <w:spacing w:val="-4"/>
        </w:rPr>
        <w:t> </w:t>
      </w:r>
      <w:r>
        <w:rPr/>
        <w:t>Professor</w:t>
      </w:r>
      <w:r>
        <w:rPr>
          <w:spacing w:val="-3"/>
        </w:rPr>
        <w:t> </w:t>
      </w:r>
      <w:r>
        <w:rPr/>
        <w:t>Dr.</w:t>
      </w:r>
      <w:r>
        <w:rPr>
          <w:spacing w:val="-7"/>
        </w:rPr>
        <w:t> </w:t>
      </w:r>
      <w:r>
        <w:rPr/>
        <w:t>Michael</w:t>
      </w:r>
      <w:r>
        <w:rPr>
          <w:spacing w:val="-8"/>
        </w:rPr>
        <w:t> </w:t>
      </w:r>
      <w:r>
        <w:rPr/>
        <w:t>Gibney,</w:t>
      </w:r>
      <w:r>
        <w:rPr>
          <w:spacing w:val="-4"/>
        </w:rPr>
        <w:t> </w:t>
      </w:r>
      <w:r>
        <w:rPr/>
        <w:t>1</w:t>
      </w:r>
      <w:r>
        <w:rPr>
          <w:spacing w:val="-7"/>
        </w:rPr>
        <w:t> </w:t>
      </w:r>
      <w:r>
        <w:rPr/>
        <w:t>g</w:t>
      </w:r>
      <w:r>
        <w:rPr>
          <w:spacing w:val="-7"/>
        </w:rPr>
        <w:t> </w:t>
      </w:r>
      <w:r>
        <w:rPr/>
        <w:t>of</w:t>
      </w:r>
    </w:p>
    <w:p>
      <w:pPr>
        <w:pStyle w:val="BodyText"/>
        <w:rPr>
          <w:sz w:val="20"/>
        </w:rPr>
      </w:pPr>
    </w:p>
    <w:p>
      <w:pPr>
        <w:pStyle w:val="BodyText"/>
        <w:rPr>
          <w:sz w:val="20"/>
        </w:rPr>
      </w:pPr>
    </w:p>
    <w:p>
      <w:pPr>
        <w:pStyle w:val="BodyText"/>
        <w:spacing w:before="3"/>
        <w:rPr>
          <w:sz w:val="16"/>
        </w:rPr>
      </w:pPr>
      <w:r>
        <w:rPr/>
        <w:pict>
          <v:line style="position:absolute;mso-position-horizontal-relative:page;mso-position-vertical-relative:paragraph;z-index:7424;mso-wrap-distance-left:0;mso-wrap-distance-right:0" from="70.823997pt,11.521235pt" to="214.843997pt,11.521235pt" stroked="true" strokeweight=".72003pt" strokecolor="#000000">
            <v:stroke dashstyle="solid"/>
            <w10:wrap type="topAndBottom"/>
          </v:line>
        </w:pict>
      </w:r>
    </w:p>
    <w:p>
      <w:pPr>
        <w:pStyle w:val="BodyText"/>
        <w:spacing w:before="7"/>
        <w:rPr>
          <w:sz w:val="18"/>
        </w:rPr>
      </w:pPr>
    </w:p>
    <w:p>
      <w:pPr>
        <w:spacing w:line="340" w:lineRule="auto" w:before="99"/>
        <w:ind w:left="616" w:right="338" w:firstLine="0"/>
        <w:jc w:val="both"/>
        <w:rPr>
          <w:sz w:val="20"/>
        </w:rPr>
      </w:pPr>
      <w:r>
        <w:rPr/>
        <w:drawing>
          <wp:anchor distT="0" distB="0" distL="0" distR="0" allowOverlap="1" layoutInCell="1" locked="0" behindDoc="1" simplePos="0" relativeHeight="267175223">
            <wp:simplePos x="0" y="0"/>
            <wp:positionH relativeFrom="page">
              <wp:posOffset>985998</wp:posOffset>
            </wp:positionH>
            <wp:positionV relativeFrom="paragraph">
              <wp:posOffset>347829</wp:posOffset>
            </wp:positionV>
            <wp:extent cx="6379583" cy="902106"/>
            <wp:effectExtent l="0" t="0" r="0" b="0"/>
            <wp:wrapNone/>
            <wp:docPr id="377" name="image2.jpeg" descr=""/>
            <wp:cNvGraphicFramePr>
              <a:graphicFrameLocks noChangeAspect="1"/>
            </wp:cNvGraphicFramePr>
            <a:graphic>
              <a:graphicData uri="http://schemas.openxmlformats.org/drawingml/2006/picture">
                <pic:pic>
                  <pic:nvPicPr>
                    <pic:cNvPr id="378"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566 </w:t>
      </w:r>
      <w:r>
        <w:rPr>
          <w:sz w:val="20"/>
        </w:rPr>
        <w:t>Prof. Dr. Michael Hamm and Dirk Neuberger: Omega-3 aktiv-Gesundheit aus dem Meer ('Omega-3 Active-Health from the Sea'), 2006, p. 22 </w:t>
      </w:r>
      <w:r>
        <w:rPr>
          <w:position w:val="5"/>
          <w:sz w:val="13"/>
        </w:rPr>
        <w:t>567 </w:t>
      </w:r>
      <w:r>
        <w:rPr>
          <w:sz w:val="20"/>
        </w:rPr>
        <w:t>Prof. Dr. Michael Hamm and Dirk Neuberger: Omega-3 aktiv-Gesundheit aus dem Meer ('Omega-3 Active-Health from the Sea'), 2006, p. 34 </w:t>
      </w:r>
      <w:r>
        <w:rPr>
          <w:position w:val="5"/>
          <w:sz w:val="13"/>
        </w:rPr>
        <w:t>568 </w:t>
      </w:r>
      <w:r>
        <w:rPr>
          <w:sz w:val="20"/>
        </w:rPr>
        <w:t>Prof. Dr. Michael Hamm and Dirk Neuberger: Omega-3 aktiv-Gesundheit aus dem Meer ('Omega-3 Active-Health from the Sea'), 2006, p. 35</w:t>
      </w:r>
    </w:p>
    <w:p>
      <w:pPr>
        <w:spacing w:after="0" w:line="340" w:lineRule="auto"/>
        <w:jc w:val="both"/>
        <w:rPr>
          <w:sz w:val="20"/>
        </w:rPr>
        <w:sectPr>
          <w:footerReference w:type="default" r:id="rId247"/>
          <w:pgSz w:w="14270" w:h="16850"/>
          <w:pgMar w:footer="527" w:header="0" w:top="1340" w:bottom="720" w:left="800" w:right="1280"/>
        </w:sectPr>
      </w:pPr>
    </w:p>
    <w:p>
      <w:pPr>
        <w:pStyle w:val="BodyText"/>
        <w:spacing w:line="276" w:lineRule="auto" w:before="72"/>
        <w:ind w:left="616"/>
        <w:rPr>
          <w:sz w:val="25"/>
        </w:rPr>
      </w:pPr>
      <w:r>
        <w:rPr/>
        <w:t>omega-3 fatty acid per day was able to achieve a 25-30 % triglyceride reduc- tion!</w:t>
      </w:r>
      <w:r>
        <w:rPr>
          <w:position w:val="9"/>
          <w:sz w:val="25"/>
        </w:rPr>
        <w:t>569</w:t>
      </w:r>
    </w:p>
    <w:p>
      <w:pPr>
        <w:pStyle w:val="Heading1"/>
        <w:spacing w:before="223"/>
        <w:ind w:left="616"/>
      </w:pPr>
      <w:r>
        <w:rPr/>
        <w:t>Omega-3 fatty acids and their effect on inflammatory diseases</w:t>
      </w:r>
    </w:p>
    <w:p>
      <w:pPr>
        <w:pStyle w:val="BodyText"/>
        <w:spacing w:line="276" w:lineRule="auto" w:before="300"/>
        <w:ind w:left="616"/>
        <w:rPr>
          <w:sz w:val="25"/>
        </w:rPr>
      </w:pPr>
      <w:r>
        <w:rPr/>
        <w:t>In one study, omega-3 fatty acids reduced the incidence of inflammatory dis- eases.</w:t>
      </w:r>
      <w:r>
        <w:rPr>
          <w:position w:val="9"/>
          <w:sz w:val="25"/>
        </w:rPr>
        <w:t>570</w:t>
      </w:r>
    </w:p>
    <w:p>
      <w:pPr>
        <w:pStyle w:val="Heading1"/>
        <w:spacing w:before="223"/>
        <w:ind w:left="616"/>
      </w:pPr>
      <w:r>
        <w:rPr/>
        <w:t>Omega-3 fatty acids in studies on arthritis and rheumatism</w:t>
      </w:r>
    </w:p>
    <w:p>
      <w:pPr>
        <w:pStyle w:val="BodyText"/>
        <w:spacing w:line="276" w:lineRule="auto" w:before="298"/>
        <w:ind w:left="616"/>
        <w:rPr>
          <w:sz w:val="25"/>
        </w:rPr>
      </w:pPr>
      <w:r>
        <w:rPr/>
        <w:t>Increasing</w:t>
      </w:r>
      <w:r>
        <w:rPr>
          <w:spacing w:val="-24"/>
        </w:rPr>
        <w:t> </w:t>
      </w:r>
      <w:r>
        <w:rPr/>
        <w:t>the</w:t>
      </w:r>
      <w:r>
        <w:rPr>
          <w:spacing w:val="-25"/>
        </w:rPr>
        <w:t> </w:t>
      </w:r>
      <w:r>
        <w:rPr/>
        <w:t>ratio</w:t>
      </w:r>
      <w:r>
        <w:rPr>
          <w:spacing w:val="-23"/>
        </w:rPr>
        <w:t> </w:t>
      </w:r>
      <w:r>
        <w:rPr/>
        <w:t>of</w:t>
      </w:r>
      <w:r>
        <w:rPr>
          <w:spacing w:val="-23"/>
        </w:rPr>
        <w:t> </w:t>
      </w:r>
      <w:r>
        <w:rPr/>
        <w:t>omega-3</w:t>
      </w:r>
      <w:r>
        <w:rPr>
          <w:spacing w:val="-24"/>
        </w:rPr>
        <w:t> </w:t>
      </w:r>
      <w:r>
        <w:rPr/>
        <w:t>to</w:t>
      </w:r>
      <w:r>
        <w:rPr>
          <w:spacing w:val="-23"/>
        </w:rPr>
        <w:t> </w:t>
      </w:r>
      <w:r>
        <w:rPr/>
        <w:t>omega-6</w:t>
      </w:r>
      <w:r>
        <w:rPr>
          <w:spacing w:val="-24"/>
        </w:rPr>
        <w:t> </w:t>
      </w:r>
      <w:r>
        <w:rPr/>
        <w:t>fatty</w:t>
      </w:r>
      <w:r>
        <w:rPr>
          <w:spacing w:val="-27"/>
        </w:rPr>
        <w:t> </w:t>
      </w:r>
      <w:r>
        <w:rPr/>
        <w:t>acids</w:t>
      </w:r>
      <w:r>
        <w:rPr>
          <w:spacing w:val="-24"/>
        </w:rPr>
        <w:t> </w:t>
      </w:r>
      <w:r>
        <w:rPr/>
        <w:t>has</w:t>
      </w:r>
      <w:r>
        <w:rPr>
          <w:spacing w:val="-23"/>
        </w:rPr>
        <w:t> </w:t>
      </w:r>
      <w:r>
        <w:rPr/>
        <w:t>been</w:t>
      </w:r>
      <w:r>
        <w:rPr>
          <w:spacing w:val="-25"/>
        </w:rPr>
        <w:t> </w:t>
      </w:r>
      <w:r>
        <w:rPr/>
        <w:t>shown</w:t>
      </w:r>
      <w:r>
        <w:rPr>
          <w:spacing w:val="-24"/>
        </w:rPr>
        <w:t> </w:t>
      </w:r>
      <w:r>
        <w:rPr/>
        <w:t>to</w:t>
      </w:r>
      <w:r>
        <w:rPr>
          <w:spacing w:val="-23"/>
        </w:rPr>
        <w:t> </w:t>
      </w:r>
      <w:r>
        <w:rPr/>
        <w:t>lower the incidence of rheumatoid arthritis in</w:t>
      </w:r>
      <w:r>
        <w:rPr>
          <w:spacing w:val="2"/>
        </w:rPr>
        <w:t> </w:t>
      </w:r>
      <w:r>
        <w:rPr/>
        <w:t>studies.</w:t>
      </w:r>
      <w:r>
        <w:rPr>
          <w:position w:val="9"/>
          <w:sz w:val="25"/>
        </w:rPr>
        <w:t>571</w:t>
      </w:r>
    </w:p>
    <w:p>
      <w:pPr>
        <w:pStyle w:val="Heading1"/>
        <w:spacing w:line="261" w:lineRule="auto" w:before="223"/>
        <w:ind w:left="616" w:right="130"/>
      </w:pPr>
      <w:r>
        <w:rPr/>
        <w:t>Omega-3</w:t>
      </w:r>
      <w:r>
        <w:rPr>
          <w:spacing w:val="-75"/>
        </w:rPr>
        <w:t> </w:t>
      </w:r>
      <w:r>
        <w:rPr/>
        <w:t>fatty</w:t>
      </w:r>
      <w:r>
        <w:rPr>
          <w:spacing w:val="-73"/>
        </w:rPr>
        <w:t> </w:t>
      </w:r>
      <w:r>
        <w:rPr/>
        <w:t>acids</w:t>
      </w:r>
      <w:r>
        <w:rPr>
          <w:spacing w:val="-74"/>
        </w:rPr>
        <w:t> </w:t>
      </w:r>
      <w:r>
        <w:rPr/>
        <w:t>and</w:t>
      </w:r>
      <w:r>
        <w:rPr>
          <w:spacing w:val="-75"/>
        </w:rPr>
        <w:t> </w:t>
      </w:r>
      <w:r>
        <w:rPr/>
        <w:t>their</w:t>
      </w:r>
      <w:r>
        <w:rPr>
          <w:spacing w:val="-73"/>
        </w:rPr>
        <w:t> </w:t>
      </w:r>
      <w:r>
        <w:rPr/>
        <w:t>effect</w:t>
      </w:r>
      <w:r>
        <w:rPr>
          <w:spacing w:val="-74"/>
        </w:rPr>
        <w:t> </w:t>
      </w:r>
      <w:r>
        <w:rPr/>
        <w:t>on</w:t>
      </w:r>
      <w:r>
        <w:rPr>
          <w:spacing w:val="-75"/>
        </w:rPr>
        <w:t> </w:t>
      </w:r>
      <w:r>
        <w:rPr/>
        <w:t>arthritis</w:t>
      </w:r>
      <w:r>
        <w:rPr>
          <w:spacing w:val="-73"/>
        </w:rPr>
        <w:t> </w:t>
      </w:r>
      <w:r>
        <w:rPr/>
        <w:t>and</w:t>
      </w:r>
      <w:r>
        <w:rPr>
          <w:spacing w:val="-74"/>
        </w:rPr>
        <w:t> </w:t>
      </w:r>
      <w:r>
        <w:rPr/>
        <w:t>chronic</w:t>
      </w:r>
      <w:r>
        <w:rPr>
          <w:spacing w:val="-75"/>
        </w:rPr>
        <w:t> </w:t>
      </w:r>
      <w:r>
        <w:rPr/>
        <w:t>joint</w:t>
      </w:r>
      <w:r>
        <w:rPr>
          <w:spacing w:val="-74"/>
        </w:rPr>
        <w:t> </w:t>
      </w:r>
      <w:r>
        <w:rPr/>
        <w:t>arthro- sis</w:t>
      </w:r>
    </w:p>
    <w:p>
      <w:pPr>
        <w:pStyle w:val="BodyText"/>
        <w:spacing w:line="276" w:lineRule="auto" w:before="260"/>
        <w:ind w:left="616" w:right="131"/>
        <w:jc w:val="both"/>
        <w:rPr>
          <w:sz w:val="25"/>
        </w:rPr>
      </w:pPr>
      <w:r>
        <w:rPr/>
        <w:t>Omega-3</w:t>
      </w:r>
      <w:r>
        <w:rPr>
          <w:spacing w:val="-25"/>
        </w:rPr>
        <w:t> </w:t>
      </w:r>
      <w:r>
        <w:rPr/>
        <w:t>fatty</w:t>
      </w:r>
      <w:r>
        <w:rPr>
          <w:spacing w:val="-25"/>
        </w:rPr>
        <w:t> </w:t>
      </w:r>
      <w:r>
        <w:rPr/>
        <w:t>acids</w:t>
      </w:r>
      <w:r>
        <w:rPr>
          <w:spacing w:val="-24"/>
        </w:rPr>
        <w:t> </w:t>
      </w:r>
      <w:r>
        <w:rPr/>
        <w:t>counteract</w:t>
      </w:r>
      <w:r>
        <w:rPr>
          <w:spacing w:val="-24"/>
        </w:rPr>
        <w:t> </w:t>
      </w:r>
      <w:r>
        <w:rPr/>
        <w:t>the</w:t>
      </w:r>
      <w:r>
        <w:rPr>
          <w:spacing w:val="-24"/>
        </w:rPr>
        <w:t> </w:t>
      </w:r>
      <w:r>
        <w:rPr/>
        <w:t>inflammatory</w:t>
      </w:r>
      <w:r>
        <w:rPr>
          <w:spacing w:val="-24"/>
        </w:rPr>
        <w:t> </w:t>
      </w:r>
      <w:r>
        <w:rPr/>
        <w:t>state.</w:t>
      </w:r>
      <w:r>
        <w:rPr>
          <w:spacing w:val="-26"/>
        </w:rPr>
        <w:t> </w:t>
      </w:r>
      <w:r>
        <w:rPr/>
        <w:t>Here,</w:t>
      </w:r>
      <w:r>
        <w:rPr>
          <w:spacing w:val="-26"/>
        </w:rPr>
        <w:t> </w:t>
      </w:r>
      <w:r>
        <w:rPr/>
        <w:t>the</w:t>
      </w:r>
      <w:r>
        <w:rPr>
          <w:spacing w:val="-28"/>
        </w:rPr>
        <w:t> </w:t>
      </w:r>
      <w:r>
        <w:rPr/>
        <w:t>omega-3</w:t>
      </w:r>
      <w:r>
        <w:rPr>
          <w:spacing w:val="-24"/>
        </w:rPr>
        <w:t> </w:t>
      </w:r>
      <w:r>
        <w:rPr/>
        <w:t>fatty acids EPA and DHA (omega-3 fatty acid) displace the inflammatory arachi- donic acid (omega-6 fatty acid) from the lipid membrane of the cell and thus prevent the formation of excessively damaging eicosanoids 2 and prostaglan- din E2.</w:t>
      </w:r>
      <w:r>
        <w:rPr>
          <w:position w:val="9"/>
          <w:sz w:val="25"/>
        </w:rPr>
        <w:t>572</w:t>
      </w:r>
    </w:p>
    <w:p>
      <w:pPr>
        <w:pStyle w:val="BodyText"/>
        <w:rPr>
          <w:sz w:val="42"/>
        </w:rPr>
      </w:pPr>
    </w:p>
    <w:p>
      <w:pPr>
        <w:pStyle w:val="Heading1"/>
        <w:spacing w:before="242"/>
        <w:ind w:left="616"/>
        <w:jc w:val="both"/>
      </w:pPr>
      <w:r>
        <w:rPr/>
        <w:t>US study recommends 3 g fish oil a day for rheumatoid arthritis</w:t>
      </w:r>
    </w:p>
    <w:p>
      <w:pPr>
        <w:pStyle w:val="BodyText"/>
        <w:spacing w:before="300"/>
        <w:ind w:left="616"/>
        <w:jc w:val="both"/>
      </w:pPr>
      <w:r>
        <w:rPr/>
        <w:t>According to a US study, taking 3 g of fish oil every day has a positive effect</w:t>
      </w:r>
    </w:p>
    <w:p>
      <w:pPr>
        <w:pStyle w:val="BodyText"/>
        <w:rPr>
          <w:sz w:val="20"/>
        </w:rPr>
      </w:pPr>
    </w:p>
    <w:p>
      <w:pPr>
        <w:pStyle w:val="BodyText"/>
        <w:rPr>
          <w:sz w:val="20"/>
        </w:rPr>
      </w:pPr>
    </w:p>
    <w:p>
      <w:pPr>
        <w:pStyle w:val="BodyText"/>
        <w:rPr>
          <w:sz w:val="20"/>
        </w:rPr>
      </w:pPr>
    </w:p>
    <w:p>
      <w:pPr>
        <w:pStyle w:val="BodyText"/>
        <w:spacing w:before="3"/>
        <w:rPr>
          <w:sz w:val="18"/>
        </w:rPr>
      </w:pPr>
      <w:r>
        <w:rPr/>
        <w:pict>
          <v:line style="position:absolute;mso-position-horizontal-relative:page;mso-position-vertical-relative:paragraph;z-index:7472;mso-wrap-distance-left:0;mso-wrap-distance-right:0" from="70.823997pt,12.636265pt" to="214.843997pt,12.636265pt" stroked="true" strokeweight=".71997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569 </w:t>
      </w:r>
      <w:r>
        <w:rPr>
          <w:sz w:val="20"/>
        </w:rPr>
        <w:t>Professor Dr. Michael Gibney, 1999</w:t>
      </w:r>
    </w:p>
    <w:p>
      <w:pPr>
        <w:spacing w:before="94"/>
        <w:ind w:left="616" w:right="0" w:firstLine="0"/>
        <w:jc w:val="left"/>
        <w:rPr>
          <w:sz w:val="20"/>
        </w:rPr>
      </w:pPr>
      <w:r>
        <w:rPr>
          <w:position w:val="5"/>
          <w:sz w:val="13"/>
        </w:rPr>
        <w:t>570</w:t>
      </w:r>
      <w:r>
        <w:rPr>
          <w:spacing w:val="-3"/>
          <w:position w:val="5"/>
          <w:sz w:val="13"/>
        </w:rPr>
        <w:t> </w:t>
      </w:r>
      <w:hyperlink r:id="rId249">
        <w:r>
          <w:rPr>
            <w:sz w:val="20"/>
          </w:rPr>
          <w:t>http://www.ncbi.nlm.nih.gov/pubmed/20500789</w:t>
        </w:r>
      </w:hyperlink>
    </w:p>
    <w:p>
      <w:pPr>
        <w:spacing w:before="95"/>
        <w:ind w:left="616" w:right="0" w:firstLine="0"/>
        <w:jc w:val="left"/>
        <w:rPr>
          <w:sz w:val="20"/>
        </w:rPr>
      </w:pPr>
      <w:r>
        <w:rPr>
          <w:position w:val="5"/>
          <w:sz w:val="13"/>
        </w:rPr>
        <w:t>571</w:t>
      </w:r>
      <w:r>
        <w:rPr>
          <w:spacing w:val="-2"/>
          <w:position w:val="5"/>
          <w:sz w:val="13"/>
        </w:rPr>
        <w:t> </w:t>
      </w:r>
      <w:hyperlink r:id="rId249">
        <w:r>
          <w:rPr>
            <w:sz w:val="20"/>
          </w:rPr>
          <w:t>http://www.ncbi.nlm.nih.gov/pubmed/20500789</w:t>
        </w:r>
      </w:hyperlink>
    </w:p>
    <w:p>
      <w:pPr>
        <w:spacing w:before="94"/>
        <w:ind w:left="616" w:right="0" w:firstLine="0"/>
        <w:jc w:val="left"/>
        <w:rPr>
          <w:sz w:val="20"/>
        </w:rPr>
      </w:pPr>
      <w:r>
        <w:rPr>
          <w:position w:val="5"/>
          <w:sz w:val="13"/>
        </w:rPr>
        <w:t>572 </w:t>
      </w:r>
      <w:r>
        <w:rPr>
          <w:sz w:val="20"/>
        </w:rPr>
        <w:t>Ariza-Ariza R. et al.: Sem in Arth and Rheumat, 1998, 27 (6) pp. 366-370</w:t>
      </w:r>
    </w:p>
    <w:p>
      <w:pPr>
        <w:spacing w:after="0"/>
        <w:jc w:val="left"/>
        <w:rPr>
          <w:sz w:val="20"/>
        </w:rPr>
        <w:sectPr>
          <w:footerReference w:type="default" r:id="rId248"/>
          <w:pgSz w:w="14270" w:h="16850"/>
          <w:pgMar w:footer="527" w:header="0" w:top="1340" w:bottom="720" w:left="800" w:right="1280"/>
        </w:sectPr>
      </w:pPr>
    </w:p>
    <w:p>
      <w:pPr>
        <w:pStyle w:val="BodyText"/>
        <w:spacing w:line="276" w:lineRule="auto" w:before="72"/>
        <w:ind w:left="616" w:right="131"/>
        <w:jc w:val="both"/>
        <w:rPr>
          <w:sz w:val="25"/>
        </w:rPr>
      </w:pPr>
      <w:r>
        <w:rPr/>
        <w:t>on rheumatoid arthritis.</w:t>
      </w:r>
      <w:r>
        <w:rPr>
          <w:position w:val="9"/>
          <w:sz w:val="25"/>
        </w:rPr>
        <w:t>573 </w:t>
      </w:r>
      <w:r>
        <w:rPr/>
        <w:t>In 1995, Dr. Paul Fortin and his team of scientists in Boston analysed eleven clinical trials that evaluated the benefits of omega-3 fatty acids in arthritis. He was able to confirm these positive studies collec- tively.</w:t>
      </w:r>
      <w:r>
        <w:rPr>
          <w:position w:val="9"/>
          <w:sz w:val="25"/>
        </w:rPr>
        <w:t>574</w:t>
      </w:r>
    </w:p>
    <w:p>
      <w:pPr>
        <w:pStyle w:val="Heading1"/>
        <w:spacing w:line="261" w:lineRule="auto"/>
        <w:ind w:left="616" w:right="136"/>
        <w:jc w:val="both"/>
      </w:pPr>
      <w:r>
        <w:rPr/>
        <w:t>Omega-3</w:t>
      </w:r>
      <w:r>
        <w:rPr>
          <w:spacing w:val="-19"/>
        </w:rPr>
        <w:t> </w:t>
      </w:r>
      <w:r>
        <w:rPr/>
        <w:t>fatty</w:t>
      </w:r>
      <w:r>
        <w:rPr>
          <w:spacing w:val="-17"/>
        </w:rPr>
        <w:t> </w:t>
      </w:r>
      <w:r>
        <w:rPr/>
        <w:t>acids</w:t>
      </w:r>
      <w:r>
        <w:rPr>
          <w:spacing w:val="-20"/>
        </w:rPr>
        <w:t> </w:t>
      </w:r>
      <w:r>
        <w:rPr/>
        <w:t>and</w:t>
      </w:r>
      <w:r>
        <w:rPr>
          <w:spacing w:val="-19"/>
        </w:rPr>
        <w:t> </w:t>
      </w:r>
      <w:r>
        <w:rPr/>
        <w:t>their</w:t>
      </w:r>
      <w:r>
        <w:rPr>
          <w:spacing w:val="-19"/>
        </w:rPr>
        <w:t> </w:t>
      </w:r>
      <w:r>
        <w:rPr/>
        <w:t>effect</w:t>
      </w:r>
      <w:r>
        <w:rPr>
          <w:spacing w:val="-20"/>
        </w:rPr>
        <w:t> </w:t>
      </w:r>
      <w:r>
        <w:rPr/>
        <w:t>on</w:t>
      </w:r>
      <w:r>
        <w:rPr>
          <w:spacing w:val="-19"/>
        </w:rPr>
        <w:t> </w:t>
      </w:r>
      <w:r>
        <w:rPr/>
        <w:t>arthritis,</w:t>
      </w:r>
      <w:r>
        <w:rPr>
          <w:spacing w:val="-19"/>
        </w:rPr>
        <w:t> </w:t>
      </w:r>
      <w:r>
        <w:rPr/>
        <w:t>inflammatory</w:t>
      </w:r>
      <w:r>
        <w:rPr>
          <w:spacing w:val="-17"/>
        </w:rPr>
        <w:t> </w:t>
      </w:r>
      <w:r>
        <w:rPr/>
        <w:t>bowel disease,</w:t>
      </w:r>
      <w:r>
        <w:rPr>
          <w:spacing w:val="-16"/>
        </w:rPr>
        <w:t> </w:t>
      </w:r>
      <w:r>
        <w:rPr/>
        <w:t>asthma</w:t>
      </w:r>
      <w:r>
        <w:rPr>
          <w:spacing w:val="-14"/>
        </w:rPr>
        <w:t> </w:t>
      </w:r>
      <w:r>
        <w:rPr/>
        <w:t>and</w:t>
      </w:r>
      <w:r>
        <w:rPr>
          <w:spacing w:val="-17"/>
        </w:rPr>
        <w:t> </w:t>
      </w:r>
      <w:r>
        <w:rPr/>
        <w:t>primary</w:t>
      </w:r>
      <w:r>
        <w:rPr>
          <w:spacing w:val="-14"/>
        </w:rPr>
        <w:t> </w:t>
      </w:r>
      <w:r>
        <w:rPr/>
        <w:t>sclerosing</w:t>
      </w:r>
      <w:r>
        <w:rPr>
          <w:spacing w:val="-16"/>
        </w:rPr>
        <w:t> </w:t>
      </w:r>
      <w:r>
        <w:rPr/>
        <w:t>cholangitis</w:t>
      </w:r>
    </w:p>
    <w:p>
      <w:pPr>
        <w:pStyle w:val="BodyText"/>
        <w:spacing w:line="276" w:lineRule="auto" w:before="259"/>
        <w:ind w:left="616" w:right="135"/>
        <w:jc w:val="both"/>
        <w:rPr>
          <w:sz w:val="25"/>
        </w:rPr>
      </w:pPr>
      <w:r>
        <w:rPr/>
        <w:t>In inflammatory diseases with autoimmune components such as rheumatoid arthritis, inflammatory bowel disease, asthma, or primary sclerosing cholangi- tis, a reduction in pro-inflammatory mediators suggests a therapeutic</w:t>
      </w:r>
      <w:r>
        <w:rPr>
          <w:spacing w:val="-38"/>
        </w:rPr>
        <w:t> </w:t>
      </w:r>
      <w:r>
        <w:rPr/>
        <w:t>effect.</w:t>
      </w:r>
      <w:r>
        <w:rPr>
          <w:position w:val="9"/>
          <w:sz w:val="25"/>
        </w:rPr>
        <w:t>575</w:t>
      </w:r>
    </w:p>
    <w:p>
      <w:pPr>
        <w:pStyle w:val="Heading1"/>
        <w:spacing w:line="264" w:lineRule="auto" w:before="223"/>
        <w:ind w:left="616" w:right="140"/>
        <w:jc w:val="both"/>
      </w:pPr>
      <w:r>
        <w:rPr>
          <w:w w:val="95"/>
        </w:rPr>
        <w:t>Omega-3</w:t>
      </w:r>
      <w:r>
        <w:rPr>
          <w:spacing w:val="-9"/>
          <w:w w:val="95"/>
        </w:rPr>
        <w:t> </w:t>
      </w:r>
      <w:r>
        <w:rPr>
          <w:w w:val="95"/>
        </w:rPr>
        <w:t>fatty</w:t>
      </w:r>
      <w:r>
        <w:rPr>
          <w:spacing w:val="-8"/>
          <w:w w:val="95"/>
        </w:rPr>
        <w:t> </w:t>
      </w:r>
      <w:r>
        <w:rPr>
          <w:w w:val="95"/>
        </w:rPr>
        <w:t>acids</w:t>
      </w:r>
      <w:r>
        <w:rPr>
          <w:spacing w:val="-9"/>
          <w:w w:val="95"/>
        </w:rPr>
        <w:t> </w:t>
      </w:r>
      <w:r>
        <w:rPr>
          <w:w w:val="95"/>
        </w:rPr>
        <w:t>benefit</w:t>
      </w:r>
      <w:r>
        <w:rPr>
          <w:spacing w:val="-11"/>
          <w:w w:val="95"/>
        </w:rPr>
        <w:t> </w:t>
      </w:r>
      <w:r>
        <w:rPr>
          <w:w w:val="95"/>
        </w:rPr>
        <w:t>the</w:t>
      </w:r>
      <w:r>
        <w:rPr>
          <w:spacing w:val="-9"/>
          <w:w w:val="95"/>
        </w:rPr>
        <w:t> </w:t>
      </w:r>
      <w:r>
        <w:rPr>
          <w:w w:val="95"/>
        </w:rPr>
        <w:t>treatment</w:t>
      </w:r>
      <w:r>
        <w:rPr>
          <w:spacing w:val="-10"/>
          <w:w w:val="95"/>
        </w:rPr>
        <w:t> </w:t>
      </w:r>
      <w:r>
        <w:rPr>
          <w:w w:val="95"/>
        </w:rPr>
        <w:t>of</w:t>
      </w:r>
      <w:r>
        <w:rPr>
          <w:spacing w:val="-8"/>
          <w:w w:val="95"/>
        </w:rPr>
        <w:t> </w:t>
      </w:r>
      <w:r>
        <w:rPr>
          <w:w w:val="95"/>
        </w:rPr>
        <w:t>inflammatory</w:t>
      </w:r>
      <w:r>
        <w:rPr>
          <w:spacing w:val="-9"/>
          <w:w w:val="95"/>
        </w:rPr>
        <w:t> </w:t>
      </w:r>
      <w:r>
        <w:rPr>
          <w:w w:val="95"/>
        </w:rPr>
        <w:t>diseases</w:t>
      </w:r>
      <w:r>
        <w:rPr>
          <w:spacing w:val="-7"/>
          <w:w w:val="95"/>
        </w:rPr>
        <w:t> </w:t>
      </w:r>
      <w:r>
        <w:rPr>
          <w:w w:val="95"/>
        </w:rPr>
        <w:t>and </w:t>
      </w:r>
      <w:r>
        <w:rPr/>
        <w:t>allow a reduction in the medication</w:t>
      </w:r>
      <w:r>
        <w:rPr>
          <w:spacing w:val="-67"/>
        </w:rPr>
        <w:t> </w:t>
      </w:r>
      <w:r>
        <w:rPr/>
        <w:t>dose.</w:t>
      </w:r>
    </w:p>
    <w:p>
      <w:pPr>
        <w:pStyle w:val="BodyText"/>
        <w:spacing w:line="276" w:lineRule="auto" w:before="252"/>
        <w:ind w:left="616" w:right="135"/>
        <w:jc w:val="both"/>
        <w:rPr>
          <w:sz w:val="25"/>
        </w:rPr>
      </w:pPr>
      <w:r>
        <w:rPr/>
        <w:t>Enteric nutrition with omega-3 polyunsaturated fatty acids provides better treatment for chronic inflammatory diseases such as inflammatory bowel dis- ease, atherosclerosis, pulmonary fibrosis, or rheumatoid processes than drugs alone, thereby allowing for a reduction in the dose of anti-inflammatory drugs which have numerous side effects.</w:t>
      </w:r>
      <w:r>
        <w:rPr>
          <w:position w:val="9"/>
          <w:sz w:val="25"/>
        </w:rPr>
        <w:t>576</w:t>
      </w:r>
    </w:p>
    <w:p>
      <w:pPr>
        <w:pStyle w:val="Heading1"/>
        <w:spacing w:line="261" w:lineRule="auto" w:before="222"/>
        <w:ind w:left="616" w:right="150"/>
        <w:jc w:val="both"/>
      </w:pPr>
      <w:r>
        <w:rPr/>
        <w:t>Omega-3</w:t>
      </w:r>
      <w:r>
        <w:rPr>
          <w:spacing w:val="-28"/>
        </w:rPr>
        <w:t> </w:t>
      </w:r>
      <w:r>
        <w:rPr/>
        <w:t>fatty</w:t>
      </w:r>
      <w:r>
        <w:rPr>
          <w:spacing w:val="-28"/>
        </w:rPr>
        <w:t> </w:t>
      </w:r>
      <w:r>
        <w:rPr/>
        <w:t>acids</w:t>
      </w:r>
      <w:r>
        <w:rPr>
          <w:spacing w:val="-28"/>
        </w:rPr>
        <w:t> </w:t>
      </w:r>
      <w:r>
        <w:rPr/>
        <w:t>reduce</w:t>
      </w:r>
      <w:r>
        <w:rPr>
          <w:spacing w:val="-29"/>
        </w:rPr>
        <w:t> </w:t>
      </w:r>
      <w:r>
        <w:rPr/>
        <w:t>the</w:t>
      </w:r>
      <w:r>
        <w:rPr>
          <w:spacing w:val="-29"/>
        </w:rPr>
        <w:t> </w:t>
      </w:r>
      <w:r>
        <w:rPr/>
        <w:t>incidence</w:t>
      </w:r>
      <w:r>
        <w:rPr>
          <w:spacing w:val="-29"/>
        </w:rPr>
        <w:t> </w:t>
      </w:r>
      <w:r>
        <w:rPr/>
        <w:t>of</w:t>
      </w:r>
      <w:r>
        <w:rPr>
          <w:spacing w:val="-27"/>
        </w:rPr>
        <w:t> </w:t>
      </w:r>
      <w:r>
        <w:rPr/>
        <w:t>inflammatory</w:t>
      </w:r>
      <w:r>
        <w:rPr>
          <w:spacing w:val="-28"/>
        </w:rPr>
        <w:t> </w:t>
      </w:r>
      <w:r>
        <w:rPr/>
        <w:t>bowel</w:t>
      </w:r>
      <w:r>
        <w:rPr>
          <w:spacing w:val="-28"/>
        </w:rPr>
        <w:t> </w:t>
      </w:r>
      <w:r>
        <w:rPr/>
        <w:t>dis- ease in</w:t>
      </w:r>
      <w:r>
        <w:rPr>
          <w:spacing w:val="-14"/>
        </w:rPr>
        <w:t> </w:t>
      </w:r>
      <w:r>
        <w:rPr/>
        <w:t>studies</w:t>
      </w:r>
    </w:p>
    <w:p>
      <w:pPr>
        <w:pStyle w:val="BodyText"/>
        <w:spacing w:before="261"/>
        <w:ind w:left="616"/>
        <w:jc w:val="both"/>
      </w:pPr>
      <w:r>
        <w:rPr/>
        <w:t>In one study, increasing the ratio of omega-3 to omega-6 fatty acids decreased</w:t>
      </w:r>
    </w:p>
    <w:p>
      <w:pPr>
        <w:pStyle w:val="BodyText"/>
        <w:rPr>
          <w:sz w:val="20"/>
        </w:rPr>
      </w:pPr>
    </w:p>
    <w:p>
      <w:pPr>
        <w:pStyle w:val="BodyText"/>
        <w:rPr>
          <w:sz w:val="20"/>
        </w:rPr>
      </w:pPr>
    </w:p>
    <w:p>
      <w:pPr>
        <w:pStyle w:val="BodyText"/>
        <w:rPr>
          <w:sz w:val="20"/>
        </w:rPr>
      </w:pPr>
    </w:p>
    <w:p>
      <w:pPr>
        <w:pStyle w:val="BodyText"/>
        <w:spacing w:before="2"/>
        <w:rPr>
          <w:sz w:val="17"/>
        </w:rPr>
      </w:pPr>
      <w:r>
        <w:rPr/>
        <w:pict>
          <v:line style="position:absolute;mso-position-horizontal-relative:page;mso-position-vertical-relative:paragraph;z-index:7496;mso-wrap-distance-left:0;mso-wrap-distance-right:0" from="70.823997pt,12.030015pt" to="214.843997pt,12.030015pt" stroked="true" strokeweight=".71997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573 </w:t>
      </w:r>
      <w:r>
        <w:rPr>
          <w:sz w:val="20"/>
        </w:rPr>
        <w:t>Kremer J. M., AAm J Clin Nutr. 2000, 71 (1 Suppl) pp. 349-351</w:t>
      </w:r>
    </w:p>
    <w:p>
      <w:pPr>
        <w:spacing w:line="340" w:lineRule="auto" w:before="94"/>
        <w:ind w:left="616" w:right="244" w:firstLine="0"/>
        <w:jc w:val="left"/>
        <w:rPr>
          <w:sz w:val="20"/>
        </w:rPr>
      </w:pPr>
      <w:r>
        <w:rPr/>
        <w:drawing>
          <wp:anchor distT="0" distB="0" distL="0" distR="0" allowOverlap="1" layoutInCell="1" locked="0" behindDoc="1" simplePos="0" relativeHeight="267175295">
            <wp:simplePos x="0" y="0"/>
            <wp:positionH relativeFrom="page">
              <wp:posOffset>985998</wp:posOffset>
            </wp:positionH>
            <wp:positionV relativeFrom="paragraph">
              <wp:posOffset>344654</wp:posOffset>
            </wp:positionV>
            <wp:extent cx="6379583" cy="902106"/>
            <wp:effectExtent l="0" t="0" r="0" b="0"/>
            <wp:wrapNone/>
            <wp:docPr id="381" name="image2.jpeg" descr=""/>
            <wp:cNvGraphicFramePr>
              <a:graphicFrameLocks noChangeAspect="1"/>
            </wp:cNvGraphicFramePr>
            <a:graphic>
              <a:graphicData uri="http://schemas.openxmlformats.org/drawingml/2006/picture">
                <pic:pic>
                  <pic:nvPicPr>
                    <pic:cNvPr id="382"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574 </w:t>
      </w:r>
      <w:r>
        <w:rPr>
          <w:sz w:val="20"/>
        </w:rPr>
        <w:t>Prof. Dr. Michael Hamm and Dirk Neuberger: Omega-3 aktiv-Gesundheit aus dem Meer ('Omega-3 Active-Health from the Sea'), 2006, p. 60 </w:t>
      </w:r>
      <w:r>
        <w:rPr>
          <w:position w:val="5"/>
          <w:sz w:val="13"/>
        </w:rPr>
        <w:t>575 </w:t>
      </w:r>
      <w:r>
        <w:rPr>
          <w:sz w:val="20"/>
        </w:rPr>
        <w:t>Calder P. C.: n-3 polyunsaturated fatty acids, inflammation, and inflammatory diseases. Am J Clin Nutr., 2006 Jun; 83 (6 Suppl.) pp. 1505-1519. </w:t>
      </w:r>
      <w:r>
        <w:rPr>
          <w:position w:val="5"/>
          <w:sz w:val="13"/>
        </w:rPr>
        <w:t>576 </w:t>
      </w:r>
      <w:hyperlink r:id="rId251">
        <w:r>
          <w:rPr>
            <w:sz w:val="20"/>
          </w:rPr>
          <w:t>http://www.ncbi.nlm.nih.gov/pubmed/16771071</w:t>
        </w:r>
      </w:hyperlink>
    </w:p>
    <w:p>
      <w:pPr>
        <w:spacing w:after="0" w:line="340" w:lineRule="auto"/>
        <w:jc w:val="left"/>
        <w:rPr>
          <w:sz w:val="20"/>
        </w:rPr>
        <w:sectPr>
          <w:footerReference w:type="default" r:id="rId250"/>
          <w:pgSz w:w="14270" w:h="16850"/>
          <w:pgMar w:footer="527" w:header="0" w:top="1340" w:bottom="720" w:left="800" w:right="1280"/>
          <w:pgNumType w:start="1053"/>
        </w:sectPr>
      </w:pPr>
    </w:p>
    <w:p>
      <w:pPr>
        <w:pStyle w:val="BodyText"/>
        <w:spacing w:before="72"/>
        <w:ind w:left="616"/>
        <w:rPr>
          <w:sz w:val="25"/>
        </w:rPr>
      </w:pPr>
      <w:r>
        <w:rPr/>
        <w:t>the incidence of inflammatory bowel disease.</w:t>
      </w:r>
      <w:r>
        <w:rPr>
          <w:position w:val="9"/>
          <w:sz w:val="25"/>
        </w:rPr>
        <w:t>577</w:t>
      </w:r>
    </w:p>
    <w:p>
      <w:pPr>
        <w:pStyle w:val="Heading1"/>
        <w:spacing w:line="261" w:lineRule="auto" w:before="287"/>
        <w:ind w:left="616"/>
      </w:pPr>
      <w:r>
        <w:rPr>
          <w:w w:val="95"/>
        </w:rPr>
        <w:t>Omega-3</w:t>
      </w:r>
      <w:r>
        <w:rPr>
          <w:spacing w:val="-14"/>
          <w:w w:val="95"/>
        </w:rPr>
        <w:t> </w:t>
      </w:r>
      <w:r>
        <w:rPr>
          <w:w w:val="95"/>
        </w:rPr>
        <w:t>fatty</w:t>
      </w:r>
      <w:r>
        <w:rPr>
          <w:spacing w:val="-14"/>
          <w:w w:val="95"/>
        </w:rPr>
        <w:t> </w:t>
      </w:r>
      <w:r>
        <w:rPr>
          <w:w w:val="95"/>
        </w:rPr>
        <w:t>acids</w:t>
      </w:r>
      <w:r>
        <w:rPr>
          <w:spacing w:val="-14"/>
          <w:w w:val="95"/>
        </w:rPr>
        <w:t> </w:t>
      </w:r>
      <w:r>
        <w:rPr>
          <w:w w:val="95"/>
        </w:rPr>
        <w:t>have</w:t>
      </w:r>
      <w:r>
        <w:rPr>
          <w:spacing w:val="-14"/>
          <w:w w:val="95"/>
        </w:rPr>
        <w:t> </w:t>
      </w:r>
      <w:r>
        <w:rPr>
          <w:w w:val="95"/>
        </w:rPr>
        <w:t>a</w:t>
      </w:r>
      <w:r>
        <w:rPr>
          <w:spacing w:val="-13"/>
          <w:w w:val="95"/>
        </w:rPr>
        <w:t> </w:t>
      </w:r>
      <w:r>
        <w:rPr>
          <w:w w:val="95"/>
        </w:rPr>
        <w:t>strengthening</w:t>
      </w:r>
      <w:r>
        <w:rPr>
          <w:spacing w:val="-13"/>
          <w:w w:val="95"/>
        </w:rPr>
        <w:t> </w:t>
      </w:r>
      <w:r>
        <w:rPr>
          <w:w w:val="95"/>
        </w:rPr>
        <w:t>and</w:t>
      </w:r>
      <w:r>
        <w:rPr>
          <w:spacing w:val="-14"/>
          <w:w w:val="95"/>
        </w:rPr>
        <w:t> </w:t>
      </w:r>
      <w:r>
        <w:rPr>
          <w:w w:val="95"/>
        </w:rPr>
        <w:t>antitumour</w:t>
      </w:r>
      <w:r>
        <w:rPr>
          <w:spacing w:val="-15"/>
          <w:w w:val="95"/>
        </w:rPr>
        <w:t> </w:t>
      </w:r>
      <w:r>
        <w:rPr>
          <w:w w:val="95"/>
        </w:rPr>
        <w:t>effect</w:t>
      </w:r>
      <w:r>
        <w:rPr>
          <w:spacing w:val="-15"/>
          <w:w w:val="95"/>
        </w:rPr>
        <w:t> </w:t>
      </w:r>
      <w:r>
        <w:rPr>
          <w:w w:val="95"/>
        </w:rPr>
        <w:t>on</w:t>
      </w:r>
      <w:r>
        <w:rPr>
          <w:spacing w:val="-15"/>
          <w:w w:val="95"/>
        </w:rPr>
        <w:t> </w:t>
      </w:r>
      <w:r>
        <w:rPr>
          <w:w w:val="95"/>
        </w:rPr>
        <w:t>can- </w:t>
      </w:r>
      <w:r>
        <w:rPr/>
        <w:t>cer</w:t>
      </w:r>
      <w:r>
        <w:rPr>
          <w:spacing w:val="-7"/>
        </w:rPr>
        <w:t> </w:t>
      </w:r>
      <w:r>
        <w:rPr/>
        <w:t>patients</w:t>
      </w:r>
    </w:p>
    <w:p>
      <w:pPr>
        <w:pStyle w:val="BodyText"/>
        <w:spacing w:line="276" w:lineRule="auto" w:before="260"/>
        <w:ind w:left="616"/>
        <w:rPr>
          <w:sz w:val="25"/>
        </w:rPr>
      </w:pPr>
      <w:r>
        <w:rPr/>
        <w:t>Studies</w:t>
      </w:r>
      <w:r>
        <w:rPr>
          <w:spacing w:val="-23"/>
        </w:rPr>
        <w:t> </w:t>
      </w:r>
      <w:r>
        <w:rPr/>
        <w:t>have</w:t>
      </w:r>
      <w:r>
        <w:rPr>
          <w:spacing w:val="-22"/>
        </w:rPr>
        <w:t> </w:t>
      </w:r>
      <w:r>
        <w:rPr/>
        <w:t>shown</w:t>
      </w:r>
      <w:r>
        <w:rPr>
          <w:spacing w:val="-21"/>
        </w:rPr>
        <w:t> </w:t>
      </w:r>
      <w:r>
        <w:rPr/>
        <w:t>that</w:t>
      </w:r>
      <w:r>
        <w:rPr>
          <w:spacing w:val="-22"/>
        </w:rPr>
        <w:t> </w:t>
      </w:r>
      <w:r>
        <w:rPr/>
        <w:t>EPA</w:t>
      </w:r>
      <w:r>
        <w:rPr>
          <w:spacing w:val="-21"/>
        </w:rPr>
        <w:t> </w:t>
      </w:r>
      <w:r>
        <w:rPr/>
        <w:t>and</w:t>
      </w:r>
      <w:r>
        <w:rPr>
          <w:spacing w:val="-23"/>
        </w:rPr>
        <w:t> </w:t>
      </w:r>
      <w:r>
        <w:rPr/>
        <w:t>DHA</w:t>
      </w:r>
      <w:r>
        <w:rPr>
          <w:spacing w:val="-22"/>
        </w:rPr>
        <w:t> </w:t>
      </w:r>
      <w:r>
        <w:rPr/>
        <w:t>have</w:t>
      </w:r>
      <w:r>
        <w:rPr>
          <w:spacing w:val="-22"/>
        </w:rPr>
        <w:t> </w:t>
      </w:r>
      <w:r>
        <w:rPr/>
        <w:t>an</w:t>
      </w:r>
      <w:r>
        <w:rPr>
          <w:spacing w:val="-24"/>
        </w:rPr>
        <w:t> </w:t>
      </w:r>
      <w:r>
        <w:rPr/>
        <w:t>antitumour</w:t>
      </w:r>
      <w:r>
        <w:rPr>
          <w:spacing w:val="-23"/>
        </w:rPr>
        <w:t> </w:t>
      </w:r>
      <w:r>
        <w:rPr/>
        <w:t>and</w:t>
      </w:r>
      <w:r>
        <w:rPr>
          <w:spacing w:val="-24"/>
        </w:rPr>
        <w:t> </w:t>
      </w:r>
      <w:r>
        <w:rPr/>
        <w:t>strengthening effect in cancer patients.</w:t>
      </w:r>
      <w:r>
        <w:rPr>
          <w:position w:val="9"/>
          <w:sz w:val="25"/>
        </w:rPr>
        <w:t>578</w:t>
      </w:r>
    </w:p>
    <w:p>
      <w:pPr>
        <w:pStyle w:val="Heading1"/>
        <w:ind w:left="616"/>
      </w:pPr>
      <w:r>
        <w:rPr/>
        <w:t>Omega-3 fatty acids reduce the risk of prostate cancer</w:t>
      </w:r>
    </w:p>
    <w:p>
      <w:pPr>
        <w:pStyle w:val="BodyText"/>
        <w:spacing w:line="276" w:lineRule="auto" w:before="297"/>
        <w:ind w:left="616"/>
        <w:rPr>
          <w:sz w:val="25"/>
        </w:rPr>
      </w:pPr>
      <w:r>
        <w:rPr/>
        <w:t>As</w:t>
      </w:r>
      <w:r>
        <w:rPr>
          <w:spacing w:val="-11"/>
        </w:rPr>
        <w:t> </w:t>
      </w:r>
      <w:r>
        <w:rPr/>
        <w:t>studies</w:t>
      </w:r>
      <w:r>
        <w:rPr>
          <w:spacing w:val="-12"/>
        </w:rPr>
        <w:t> </w:t>
      </w:r>
      <w:r>
        <w:rPr/>
        <w:t>have</w:t>
      </w:r>
      <w:r>
        <w:rPr>
          <w:spacing w:val="-11"/>
        </w:rPr>
        <w:t> </w:t>
      </w:r>
      <w:r>
        <w:rPr/>
        <w:t>shown,</w:t>
      </w:r>
      <w:r>
        <w:rPr>
          <w:spacing w:val="-10"/>
        </w:rPr>
        <w:t> </w:t>
      </w:r>
      <w:r>
        <w:rPr/>
        <w:t>increased</w:t>
      </w:r>
      <w:r>
        <w:rPr>
          <w:spacing w:val="-12"/>
        </w:rPr>
        <w:t> </w:t>
      </w:r>
      <w:r>
        <w:rPr/>
        <w:t>levels</w:t>
      </w:r>
      <w:r>
        <w:rPr>
          <w:spacing w:val="-12"/>
        </w:rPr>
        <w:t> </w:t>
      </w:r>
      <w:r>
        <w:rPr/>
        <w:t>of</w:t>
      </w:r>
      <w:r>
        <w:rPr>
          <w:spacing w:val="-11"/>
        </w:rPr>
        <w:t> </w:t>
      </w:r>
      <w:r>
        <w:rPr/>
        <w:t>EPA</w:t>
      </w:r>
      <w:r>
        <w:rPr>
          <w:spacing w:val="-13"/>
        </w:rPr>
        <w:t> </w:t>
      </w:r>
      <w:r>
        <w:rPr/>
        <w:t>and</w:t>
      </w:r>
      <w:r>
        <w:rPr>
          <w:spacing w:val="-11"/>
        </w:rPr>
        <w:t> </w:t>
      </w:r>
      <w:r>
        <w:rPr/>
        <w:t>DHA</w:t>
      </w:r>
      <w:r>
        <w:rPr>
          <w:spacing w:val="-12"/>
        </w:rPr>
        <w:t> </w:t>
      </w:r>
      <w:r>
        <w:rPr/>
        <w:t>in</w:t>
      </w:r>
      <w:r>
        <w:rPr>
          <w:spacing w:val="-12"/>
        </w:rPr>
        <w:t> </w:t>
      </w:r>
      <w:r>
        <w:rPr/>
        <w:t>the</w:t>
      </w:r>
      <w:r>
        <w:rPr>
          <w:spacing w:val="-10"/>
        </w:rPr>
        <w:t> </w:t>
      </w:r>
      <w:r>
        <w:rPr/>
        <w:t>blood</w:t>
      </w:r>
      <w:r>
        <w:rPr>
          <w:spacing w:val="-11"/>
        </w:rPr>
        <w:t> </w:t>
      </w:r>
      <w:r>
        <w:rPr/>
        <w:t>reduce the risk of contracting prostate cancer.</w:t>
      </w:r>
      <w:r>
        <w:rPr>
          <w:position w:val="9"/>
          <w:sz w:val="25"/>
        </w:rPr>
        <w:t>579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r>
        <w:rPr/>
        <w:pict>
          <v:line style="position:absolute;mso-position-horizontal-relative:page;mso-position-vertical-relative:paragraph;z-index:7544;mso-wrap-distance-left:0;mso-wrap-distance-right:0" from="70.823997pt,13.789985pt" to="214.843997pt,13.789985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577 </w:t>
      </w:r>
      <w:hyperlink r:id="rId249">
        <w:r>
          <w:rPr>
            <w:sz w:val="20"/>
          </w:rPr>
          <w:t>http://www.ncbi.nlm.nih.gov/pubmed/20500789</w:t>
        </w:r>
      </w:hyperlink>
    </w:p>
    <w:p>
      <w:pPr>
        <w:spacing w:before="92"/>
        <w:ind w:left="616" w:right="0" w:firstLine="0"/>
        <w:jc w:val="left"/>
        <w:rPr>
          <w:sz w:val="20"/>
        </w:rPr>
      </w:pPr>
      <w:r>
        <w:rPr>
          <w:position w:val="5"/>
          <w:sz w:val="13"/>
        </w:rPr>
        <w:t>578 </w:t>
      </w:r>
      <w:r>
        <w:rPr>
          <w:sz w:val="20"/>
        </w:rPr>
        <w:t>Gogos, C. et al.: Cancer, 1998, p. 82</w:t>
      </w:r>
    </w:p>
    <w:p>
      <w:pPr>
        <w:spacing w:before="94"/>
        <w:ind w:left="616" w:right="0" w:firstLine="0"/>
        <w:jc w:val="left"/>
        <w:rPr>
          <w:sz w:val="20"/>
        </w:rPr>
      </w:pPr>
      <w:r>
        <w:rPr>
          <w:position w:val="5"/>
          <w:sz w:val="13"/>
        </w:rPr>
        <w:t>579 </w:t>
      </w:r>
      <w:r>
        <w:rPr>
          <w:sz w:val="20"/>
        </w:rPr>
        <w:t>AHF launches nutritional intervention study to combat prostate cancer, Primary Care and Cancer, 1996, p. 33 f.</w:t>
      </w:r>
    </w:p>
    <w:p>
      <w:pPr>
        <w:spacing w:after="0"/>
        <w:jc w:val="left"/>
        <w:rPr>
          <w:sz w:val="20"/>
        </w:rPr>
        <w:sectPr>
          <w:footerReference w:type="default" r:id="rId252"/>
          <w:pgSz w:w="14270" w:h="16850"/>
          <w:pgMar w:footer="1891" w:header="0" w:top="1340" w:bottom="2080" w:left="800" w:right="1280"/>
          <w:pgNumType w:start="1054"/>
        </w:sectPr>
      </w:pPr>
    </w:p>
    <w:p>
      <w:pPr>
        <w:pStyle w:val="Heading1"/>
        <w:spacing w:line="261" w:lineRule="auto" w:before="77"/>
        <w:ind w:left="616" w:right="134"/>
        <w:jc w:val="both"/>
      </w:pPr>
      <w:r>
        <w:rPr/>
        <w:t>Omega-3</w:t>
      </w:r>
      <w:r>
        <w:rPr>
          <w:spacing w:val="-29"/>
        </w:rPr>
        <w:t> </w:t>
      </w:r>
      <w:r>
        <w:rPr/>
        <w:t>fatty</w:t>
      </w:r>
      <w:r>
        <w:rPr>
          <w:spacing w:val="-29"/>
        </w:rPr>
        <w:t> </w:t>
      </w:r>
      <w:r>
        <w:rPr/>
        <w:t>acids</w:t>
      </w:r>
      <w:r>
        <w:rPr>
          <w:spacing w:val="-29"/>
        </w:rPr>
        <w:t> </w:t>
      </w:r>
      <w:r>
        <w:rPr/>
        <w:t>increase</w:t>
      </w:r>
      <w:r>
        <w:rPr>
          <w:spacing w:val="-27"/>
        </w:rPr>
        <w:t> </w:t>
      </w:r>
      <w:r>
        <w:rPr/>
        <w:t>the</w:t>
      </w:r>
      <w:r>
        <w:rPr>
          <w:spacing w:val="-28"/>
        </w:rPr>
        <w:t> </w:t>
      </w:r>
      <w:r>
        <w:rPr/>
        <w:t>effect</w:t>
      </w:r>
      <w:r>
        <w:rPr>
          <w:spacing w:val="-29"/>
        </w:rPr>
        <w:t> </w:t>
      </w:r>
      <w:r>
        <w:rPr/>
        <w:t>of</w:t>
      </w:r>
      <w:r>
        <w:rPr>
          <w:spacing w:val="-29"/>
        </w:rPr>
        <w:t> </w:t>
      </w:r>
      <w:r>
        <w:rPr/>
        <w:t>radiotherapy</w:t>
      </w:r>
      <w:r>
        <w:rPr>
          <w:spacing w:val="-29"/>
        </w:rPr>
        <w:t> </w:t>
      </w:r>
      <w:r>
        <w:rPr/>
        <w:t>and</w:t>
      </w:r>
      <w:r>
        <w:rPr>
          <w:spacing w:val="-27"/>
        </w:rPr>
        <w:t> </w:t>
      </w:r>
      <w:r>
        <w:rPr/>
        <w:t>reduce</w:t>
      </w:r>
      <w:r>
        <w:rPr>
          <w:spacing w:val="-29"/>
        </w:rPr>
        <w:t> </w:t>
      </w:r>
      <w:r>
        <w:rPr/>
        <w:t>its damage</w:t>
      </w:r>
    </w:p>
    <w:p>
      <w:pPr>
        <w:pStyle w:val="BodyText"/>
        <w:spacing w:line="276" w:lineRule="auto" w:before="258"/>
        <w:ind w:left="616" w:right="138"/>
        <w:jc w:val="both"/>
        <w:rPr>
          <w:sz w:val="25"/>
        </w:rPr>
      </w:pPr>
      <w:r>
        <w:rPr/>
        <w:t>The</w:t>
      </w:r>
      <w:r>
        <w:rPr>
          <w:spacing w:val="-5"/>
        </w:rPr>
        <w:t> </w:t>
      </w:r>
      <w:r>
        <w:rPr/>
        <w:t>use</w:t>
      </w:r>
      <w:r>
        <w:rPr>
          <w:spacing w:val="-7"/>
        </w:rPr>
        <w:t> </w:t>
      </w:r>
      <w:r>
        <w:rPr/>
        <w:t>of</w:t>
      </w:r>
      <w:r>
        <w:rPr>
          <w:spacing w:val="-6"/>
        </w:rPr>
        <w:t> </w:t>
      </w:r>
      <w:r>
        <w:rPr/>
        <w:t>EPA</w:t>
      </w:r>
      <w:r>
        <w:rPr>
          <w:spacing w:val="-7"/>
        </w:rPr>
        <w:t> </w:t>
      </w:r>
      <w:r>
        <w:rPr/>
        <w:t>and</w:t>
      </w:r>
      <w:r>
        <w:rPr>
          <w:spacing w:val="-5"/>
        </w:rPr>
        <w:t> </w:t>
      </w:r>
      <w:r>
        <w:rPr/>
        <w:t>DHA</w:t>
      </w:r>
      <w:r>
        <w:rPr>
          <w:spacing w:val="-9"/>
        </w:rPr>
        <w:t> </w:t>
      </w:r>
      <w:r>
        <w:rPr/>
        <w:t>on</w:t>
      </w:r>
      <w:r>
        <w:rPr>
          <w:spacing w:val="-6"/>
        </w:rPr>
        <w:t> </w:t>
      </w:r>
      <w:r>
        <w:rPr/>
        <w:t>brain</w:t>
      </w:r>
      <w:r>
        <w:rPr>
          <w:spacing w:val="-6"/>
        </w:rPr>
        <w:t> </w:t>
      </w:r>
      <w:r>
        <w:rPr/>
        <w:t>tumours</w:t>
      </w:r>
      <w:r>
        <w:rPr>
          <w:spacing w:val="-4"/>
        </w:rPr>
        <w:t> </w:t>
      </w:r>
      <w:r>
        <w:rPr/>
        <w:t>in</w:t>
      </w:r>
      <w:r>
        <w:rPr>
          <w:spacing w:val="-5"/>
        </w:rPr>
        <w:t> </w:t>
      </w:r>
      <w:r>
        <w:rPr/>
        <w:t>animal</w:t>
      </w:r>
      <w:r>
        <w:rPr>
          <w:spacing w:val="-6"/>
        </w:rPr>
        <w:t> </w:t>
      </w:r>
      <w:r>
        <w:rPr/>
        <w:t>experiments</w:t>
      </w:r>
      <w:r>
        <w:rPr>
          <w:spacing w:val="-5"/>
        </w:rPr>
        <w:t> </w:t>
      </w:r>
      <w:r>
        <w:rPr/>
        <w:t>improved the healing effect and reduced the radiation damage to the</w:t>
      </w:r>
      <w:r>
        <w:rPr>
          <w:spacing w:val="1"/>
        </w:rPr>
        <w:t> </w:t>
      </w:r>
      <w:r>
        <w:rPr/>
        <w:t>skin.</w:t>
      </w:r>
      <w:r>
        <w:rPr>
          <w:position w:val="9"/>
          <w:sz w:val="25"/>
        </w:rPr>
        <w:t>580</w:t>
      </w:r>
    </w:p>
    <w:p>
      <w:pPr>
        <w:pStyle w:val="Heading1"/>
        <w:spacing w:before="223"/>
        <w:ind w:left="616"/>
      </w:pPr>
      <w:r>
        <w:rPr/>
        <w:t>Omega-3 fatty acids and their effect on multiple sclerosis (MS)</w:t>
      </w:r>
    </w:p>
    <w:p>
      <w:pPr>
        <w:pStyle w:val="BodyText"/>
        <w:spacing w:line="276" w:lineRule="auto" w:before="300"/>
        <w:ind w:left="616" w:right="133"/>
        <w:jc w:val="both"/>
        <w:rPr>
          <w:sz w:val="25"/>
        </w:rPr>
      </w:pPr>
      <w:r>
        <w:rPr/>
        <w:t>The increase in omega-3 fatty acids and simultaneous lowering of omega-6 fatty acids has a positive effect on the further development of multiple sclero- sis, especially at the beginning of the disease.</w:t>
      </w:r>
      <w:r>
        <w:rPr>
          <w:position w:val="9"/>
          <w:sz w:val="25"/>
        </w:rPr>
        <w:t>581</w:t>
      </w:r>
    </w:p>
    <w:p>
      <w:pPr>
        <w:pStyle w:val="Heading1"/>
        <w:ind w:left="616"/>
      </w:pPr>
      <w:r>
        <w:rPr/>
        <w:t>Omega-3 fatty acids and diabetes</w:t>
      </w:r>
    </w:p>
    <w:p>
      <w:pPr>
        <w:pStyle w:val="BodyText"/>
        <w:spacing w:line="276" w:lineRule="auto" w:before="297"/>
        <w:ind w:left="616" w:right="134"/>
        <w:jc w:val="both"/>
        <w:rPr>
          <w:sz w:val="25"/>
        </w:rPr>
      </w:pPr>
      <w:r>
        <w:rPr/>
        <w:t>Diabetics are known to be at great risk of suffering from cardiovascular dis- ease. Omega-3 fatty acids are veritable protective agents that counteract</w:t>
      </w:r>
      <w:r>
        <w:rPr>
          <w:spacing w:val="-52"/>
        </w:rPr>
        <w:t> </w:t>
      </w:r>
      <w:r>
        <w:rPr/>
        <w:t>cardi- ovascular diseases. Some studies have even shown improvements in insulin resistance.</w:t>
      </w:r>
      <w:r>
        <w:rPr>
          <w:position w:val="9"/>
          <w:sz w:val="25"/>
        </w:rPr>
        <w:t>582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r>
        <w:rPr/>
        <w:pict>
          <v:line style="position:absolute;mso-position-horizontal-relative:page;mso-position-vertical-relative:paragraph;z-index:7568;mso-wrap-distance-left:0;mso-wrap-distance-right:0" from="70.823997pt,13.808735pt" to="214.843997pt,13.808735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580 </w:t>
      </w:r>
      <w:r>
        <w:rPr>
          <w:sz w:val="20"/>
        </w:rPr>
        <w:t>Hopewell JW et al.: Br J Cancer, 1993, p. 68 (1)</w:t>
      </w:r>
    </w:p>
    <w:p>
      <w:pPr>
        <w:spacing w:before="92"/>
        <w:ind w:left="616" w:right="0" w:firstLine="0"/>
        <w:jc w:val="left"/>
        <w:rPr>
          <w:sz w:val="20"/>
        </w:rPr>
      </w:pPr>
      <w:r>
        <w:rPr>
          <w:position w:val="5"/>
          <w:sz w:val="13"/>
        </w:rPr>
        <w:t>581 </w:t>
      </w:r>
      <w:r>
        <w:rPr>
          <w:sz w:val="20"/>
        </w:rPr>
        <w:t>Mayer M.: Folia Biologica, 1999; 45, pp. 133-141; therapy report</w:t>
      </w:r>
    </w:p>
    <w:p>
      <w:pPr>
        <w:spacing w:before="94"/>
        <w:ind w:left="616" w:right="0" w:firstLine="0"/>
        <w:jc w:val="left"/>
        <w:rPr>
          <w:sz w:val="20"/>
        </w:rPr>
      </w:pPr>
      <w:r>
        <w:rPr>
          <w:position w:val="5"/>
          <w:sz w:val="13"/>
        </w:rPr>
        <w:t>582 </w:t>
      </w:r>
      <w:r>
        <w:rPr>
          <w:sz w:val="20"/>
        </w:rPr>
        <w:t>Dr. Frank Liebke: Omega-3-Fettsäuren – Gesundheit aus dem Meer ('Omega-3 Fatty Acids – Health from the Sea'), 2001, p. 66</w:t>
      </w:r>
    </w:p>
    <w:p>
      <w:pPr>
        <w:spacing w:after="0"/>
        <w:jc w:val="left"/>
        <w:rPr>
          <w:sz w:val="20"/>
        </w:rPr>
        <w:sectPr>
          <w:pgSz w:w="14270" w:h="16850"/>
          <w:pgMar w:header="0" w:footer="1891" w:top="1320" w:bottom="2080" w:left="800" w:right="1280"/>
        </w:sectPr>
      </w:pPr>
    </w:p>
    <w:p>
      <w:pPr>
        <w:pStyle w:val="Heading1"/>
        <w:spacing w:before="77"/>
        <w:ind w:left="616"/>
      </w:pPr>
      <w:r>
        <w:rPr/>
        <w:t>Omega-3 fatty acids help with headaches and migraine</w:t>
      </w:r>
    </w:p>
    <w:p>
      <w:pPr>
        <w:pStyle w:val="BodyText"/>
        <w:spacing w:line="276" w:lineRule="auto" w:before="297"/>
        <w:ind w:left="616"/>
        <w:rPr>
          <w:sz w:val="25"/>
        </w:rPr>
      </w:pPr>
      <w:r>
        <w:rPr/>
        <w:t>Studies support the theory that the administration of 4 g of EPA and DHA across multiple doses per day helps with headache and migraine.</w:t>
      </w:r>
      <w:r>
        <w:rPr>
          <w:position w:val="9"/>
          <w:sz w:val="25"/>
        </w:rPr>
        <w:t>583</w:t>
      </w:r>
    </w:p>
    <w:p>
      <w:pPr>
        <w:pStyle w:val="Heading1"/>
        <w:spacing w:before="226"/>
        <w:ind w:left="616"/>
      </w:pPr>
      <w:r>
        <w:rPr/>
        <w:t>Omega-3 fatty acids reduce stroke risk by 30 %</w:t>
      </w:r>
    </w:p>
    <w:p>
      <w:pPr>
        <w:pStyle w:val="BodyText"/>
        <w:spacing w:line="276" w:lineRule="auto" w:before="297"/>
        <w:ind w:left="616"/>
        <w:rPr>
          <w:sz w:val="25"/>
        </w:rPr>
      </w:pPr>
      <w:r>
        <w:rPr/>
        <w:t>One study found that people taking omega-3 fatty acids were about 30 % less likely to have ischemic stroke.</w:t>
      </w:r>
      <w:r>
        <w:rPr>
          <w:position w:val="9"/>
          <w:sz w:val="25"/>
        </w:rPr>
        <w:t>584</w:t>
      </w:r>
    </w:p>
    <w:p>
      <w:pPr>
        <w:pStyle w:val="Heading1"/>
        <w:spacing w:line="261" w:lineRule="auto" w:before="221"/>
        <w:ind w:left="616"/>
      </w:pPr>
      <w:r>
        <w:rPr>
          <w:w w:val="95"/>
        </w:rPr>
        <w:t>Omega-3</w:t>
      </w:r>
      <w:r>
        <w:rPr>
          <w:spacing w:val="-24"/>
          <w:w w:val="95"/>
        </w:rPr>
        <w:t> </w:t>
      </w:r>
      <w:r>
        <w:rPr>
          <w:w w:val="95"/>
        </w:rPr>
        <w:t>fatty</w:t>
      </w:r>
      <w:r>
        <w:rPr>
          <w:spacing w:val="-24"/>
          <w:w w:val="95"/>
        </w:rPr>
        <w:t> </w:t>
      </w:r>
      <w:r>
        <w:rPr>
          <w:w w:val="95"/>
        </w:rPr>
        <w:t>acids</w:t>
      </w:r>
      <w:r>
        <w:rPr>
          <w:spacing w:val="-25"/>
          <w:w w:val="95"/>
        </w:rPr>
        <w:t> </w:t>
      </w:r>
      <w:r>
        <w:rPr>
          <w:w w:val="95"/>
        </w:rPr>
        <w:t>successful</w:t>
      </w:r>
      <w:r>
        <w:rPr>
          <w:spacing w:val="-24"/>
          <w:w w:val="95"/>
        </w:rPr>
        <w:t> </w:t>
      </w:r>
      <w:r>
        <w:rPr>
          <w:w w:val="95"/>
        </w:rPr>
        <w:t>against</w:t>
      </w:r>
      <w:r>
        <w:rPr>
          <w:spacing w:val="-26"/>
          <w:w w:val="95"/>
        </w:rPr>
        <w:t> </w:t>
      </w:r>
      <w:r>
        <w:rPr>
          <w:w w:val="95"/>
        </w:rPr>
        <w:t>bronchitis,</w:t>
      </w:r>
      <w:r>
        <w:rPr>
          <w:spacing w:val="-24"/>
          <w:w w:val="95"/>
        </w:rPr>
        <w:t> </w:t>
      </w:r>
      <w:r>
        <w:rPr>
          <w:w w:val="95"/>
        </w:rPr>
        <w:t>asthma</w:t>
      </w:r>
      <w:r>
        <w:rPr>
          <w:spacing w:val="-24"/>
          <w:w w:val="95"/>
        </w:rPr>
        <w:t> </w:t>
      </w:r>
      <w:r>
        <w:rPr>
          <w:w w:val="95"/>
        </w:rPr>
        <w:t>and</w:t>
      </w:r>
      <w:r>
        <w:rPr>
          <w:spacing w:val="-25"/>
          <w:w w:val="95"/>
        </w:rPr>
        <w:t> </w:t>
      </w:r>
      <w:r>
        <w:rPr>
          <w:w w:val="95"/>
        </w:rPr>
        <w:t>other</w:t>
      </w:r>
      <w:r>
        <w:rPr>
          <w:spacing w:val="-25"/>
          <w:w w:val="95"/>
        </w:rPr>
        <w:t> </w:t>
      </w:r>
      <w:r>
        <w:rPr>
          <w:w w:val="95"/>
        </w:rPr>
        <w:t>res- </w:t>
      </w:r>
      <w:r>
        <w:rPr/>
        <w:t>piratory</w:t>
      </w:r>
      <w:r>
        <w:rPr>
          <w:spacing w:val="-7"/>
        </w:rPr>
        <w:t> </w:t>
      </w:r>
      <w:r>
        <w:rPr/>
        <w:t>problems</w:t>
      </w:r>
    </w:p>
    <w:p>
      <w:pPr>
        <w:pStyle w:val="BodyText"/>
        <w:spacing w:line="276" w:lineRule="auto" w:before="261"/>
        <w:ind w:left="616" w:right="131"/>
        <w:jc w:val="both"/>
        <w:rPr>
          <w:sz w:val="25"/>
        </w:rPr>
      </w:pPr>
      <w:r>
        <w:rPr/>
        <w:t>The</w:t>
      </w:r>
      <w:r>
        <w:rPr>
          <w:spacing w:val="-7"/>
        </w:rPr>
        <w:t> </w:t>
      </w:r>
      <w:r>
        <w:rPr/>
        <w:t>lung</w:t>
      </w:r>
      <w:r>
        <w:rPr>
          <w:spacing w:val="-7"/>
        </w:rPr>
        <w:t> </w:t>
      </w:r>
      <w:r>
        <w:rPr/>
        <w:t>mucus</w:t>
      </w:r>
      <w:r>
        <w:rPr>
          <w:spacing w:val="-7"/>
        </w:rPr>
        <w:t> </w:t>
      </w:r>
      <w:r>
        <w:rPr/>
        <w:t>of</w:t>
      </w:r>
      <w:r>
        <w:rPr>
          <w:spacing w:val="-8"/>
        </w:rPr>
        <w:t> </w:t>
      </w:r>
      <w:r>
        <w:rPr/>
        <w:t>asthma</w:t>
      </w:r>
      <w:r>
        <w:rPr>
          <w:spacing w:val="-8"/>
        </w:rPr>
        <w:t> </w:t>
      </w:r>
      <w:r>
        <w:rPr/>
        <w:t>sufferers</w:t>
      </w:r>
      <w:r>
        <w:rPr>
          <w:spacing w:val="-7"/>
        </w:rPr>
        <w:t> </w:t>
      </w:r>
      <w:r>
        <w:rPr/>
        <w:t>has</w:t>
      </w:r>
      <w:r>
        <w:rPr>
          <w:spacing w:val="-6"/>
        </w:rPr>
        <w:t> </w:t>
      </w:r>
      <w:r>
        <w:rPr/>
        <w:t>a</w:t>
      </w:r>
      <w:r>
        <w:rPr>
          <w:spacing w:val="-9"/>
        </w:rPr>
        <w:t> </w:t>
      </w:r>
      <w:r>
        <w:rPr/>
        <w:t>disproportionate</w:t>
      </w:r>
      <w:r>
        <w:rPr>
          <w:spacing w:val="-7"/>
        </w:rPr>
        <w:t> </w:t>
      </w:r>
      <w:r>
        <w:rPr/>
        <w:t>amount</w:t>
      </w:r>
      <w:r>
        <w:rPr>
          <w:spacing w:val="-8"/>
        </w:rPr>
        <w:t> </w:t>
      </w:r>
      <w:r>
        <w:rPr/>
        <w:t>of</w:t>
      </w:r>
      <w:r>
        <w:rPr>
          <w:spacing w:val="-7"/>
        </w:rPr>
        <w:t> </w:t>
      </w:r>
      <w:r>
        <w:rPr/>
        <w:t>inflam- matory messengers, which are formed from the arachidonic acid of omega-6 fatty acids. Omega-3 fatty acids are considered to be antagonists </w:t>
      </w:r>
      <w:r>
        <w:rPr>
          <w:spacing w:val="4"/>
        </w:rPr>
        <w:t>of </w:t>
      </w:r>
      <w:r>
        <w:rPr/>
        <w:t>omega-6 fatty acids, and correcting the mismatch with additional omega-3 fatty acids therefore improves respiratory distress.</w:t>
      </w:r>
      <w:r>
        <w:rPr>
          <w:position w:val="9"/>
          <w:sz w:val="25"/>
        </w:rPr>
        <w:t>585 </w:t>
      </w:r>
      <w:r>
        <w:rPr/>
        <w:t>Omega-3 fatty acids are a powerful drug,</w:t>
      </w:r>
      <w:r>
        <w:rPr>
          <w:spacing w:val="-25"/>
        </w:rPr>
        <w:t> </w:t>
      </w:r>
      <w:r>
        <w:rPr/>
        <w:t>even</w:t>
      </w:r>
      <w:r>
        <w:rPr>
          <w:spacing w:val="-24"/>
        </w:rPr>
        <w:t> </w:t>
      </w:r>
      <w:r>
        <w:rPr/>
        <w:t>in</w:t>
      </w:r>
      <w:r>
        <w:rPr>
          <w:spacing w:val="-27"/>
        </w:rPr>
        <w:t> </w:t>
      </w:r>
      <w:r>
        <w:rPr/>
        <w:t>severe</w:t>
      </w:r>
      <w:r>
        <w:rPr>
          <w:spacing w:val="-24"/>
        </w:rPr>
        <w:t> </w:t>
      </w:r>
      <w:r>
        <w:rPr/>
        <w:t>respiratory</w:t>
      </w:r>
      <w:r>
        <w:rPr>
          <w:spacing w:val="-24"/>
        </w:rPr>
        <w:t> </w:t>
      </w:r>
      <w:r>
        <w:rPr/>
        <w:t>distress</w:t>
      </w:r>
      <w:r>
        <w:rPr>
          <w:spacing w:val="-27"/>
        </w:rPr>
        <w:t> </w:t>
      </w:r>
      <w:r>
        <w:rPr/>
        <w:t>cases,</w:t>
      </w:r>
      <w:r>
        <w:rPr>
          <w:spacing w:val="-27"/>
        </w:rPr>
        <w:t> </w:t>
      </w:r>
      <w:r>
        <w:rPr/>
        <w:t>according</w:t>
      </w:r>
      <w:r>
        <w:rPr>
          <w:spacing w:val="-24"/>
        </w:rPr>
        <w:t> </w:t>
      </w:r>
      <w:r>
        <w:rPr/>
        <w:t>to</w:t>
      </w:r>
      <w:r>
        <w:rPr>
          <w:spacing w:val="-26"/>
        </w:rPr>
        <w:t> </w:t>
      </w:r>
      <w:r>
        <w:rPr/>
        <w:t>respected</w:t>
      </w:r>
      <w:r>
        <w:rPr>
          <w:spacing w:val="-25"/>
        </w:rPr>
        <w:t> </w:t>
      </w:r>
      <w:r>
        <w:rPr/>
        <w:t>American journal </w:t>
      </w:r>
      <w:r>
        <w:rPr>
          <w:i/>
        </w:rPr>
        <w:t>Critical Care</w:t>
      </w:r>
      <w:r>
        <w:rPr>
          <w:i/>
          <w:spacing w:val="1"/>
        </w:rPr>
        <w:t> </w:t>
      </w:r>
      <w:r>
        <w:rPr>
          <w:i/>
        </w:rPr>
        <w:t>Medicine</w:t>
      </w:r>
      <w:r>
        <w:rPr/>
        <w:t>.</w:t>
      </w:r>
      <w:r>
        <w:rPr>
          <w:position w:val="9"/>
          <w:sz w:val="25"/>
        </w:rPr>
        <w:t>586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7"/>
        </w:rPr>
      </w:pPr>
      <w:r>
        <w:rPr/>
        <w:pict>
          <v:line style="position:absolute;mso-position-horizontal-relative:page;mso-position-vertical-relative:paragraph;z-index:7592;mso-wrap-distance-left:0;mso-wrap-distance-right:0" from="70.823997pt,17.986265pt" to="214.843997pt,17.986265pt" stroked="true" strokeweight=".71997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583 </w:t>
      </w:r>
      <w:r>
        <w:rPr>
          <w:sz w:val="20"/>
        </w:rPr>
        <w:t>McCarren T. et al.: Am J Clin Nutr, 1985; 41, p. 874a</w:t>
      </w:r>
    </w:p>
    <w:p>
      <w:pPr>
        <w:spacing w:before="94"/>
        <w:ind w:left="616" w:right="0" w:firstLine="0"/>
        <w:jc w:val="left"/>
        <w:rPr>
          <w:sz w:val="20"/>
        </w:rPr>
      </w:pPr>
      <w:r>
        <w:rPr>
          <w:position w:val="5"/>
          <w:sz w:val="13"/>
        </w:rPr>
        <w:t>584 </w:t>
      </w:r>
      <w:r>
        <w:rPr>
          <w:sz w:val="20"/>
        </w:rPr>
        <w:t>Iso H. et al.: Linoleic acid, other fatty acids, and the risk of stroke. Stroke, 2002, 33, pp. 2086–2093</w:t>
      </w:r>
    </w:p>
    <w:p>
      <w:pPr>
        <w:spacing w:before="95"/>
        <w:ind w:left="616" w:right="0" w:firstLine="0"/>
        <w:jc w:val="left"/>
        <w:rPr>
          <w:sz w:val="20"/>
        </w:rPr>
      </w:pPr>
      <w:r>
        <w:rPr>
          <w:position w:val="5"/>
          <w:sz w:val="13"/>
        </w:rPr>
        <w:t>585 </w:t>
      </w:r>
      <w:r>
        <w:rPr>
          <w:sz w:val="20"/>
        </w:rPr>
        <w:t>Boughton K. S. et al.: Am J Clin Nutr. 1997</w:t>
      </w:r>
    </w:p>
    <w:p>
      <w:pPr>
        <w:spacing w:before="94"/>
        <w:ind w:left="616" w:right="0" w:firstLine="0"/>
        <w:jc w:val="left"/>
        <w:rPr>
          <w:sz w:val="20"/>
        </w:rPr>
      </w:pPr>
      <w:r>
        <w:rPr>
          <w:position w:val="5"/>
          <w:sz w:val="13"/>
        </w:rPr>
        <w:t>586 </w:t>
      </w:r>
      <w:r>
        <w:rPr>
          <w:sz w:val="20"/>
        </w:rPr>
        <w:t>Critical Care Medicine, 1999, 27. pp. 1409-1420</w:t>
      </w:r>
    </w:p>
    <w:p>
      <w:pPr>
        <w:spacing w:after="0"/>
        <w:jc w:val="left"/>
        <w:rPr>
          <w:sz w:val="20"/>
        </w:rPr>
        <w:sectPr>
          <w:footerReference w:type="default" r:id="rId253"/>
          <w:pgSz w:w="14270" w:h="16850"/>
          <w:pgMar w:footer="1984" w:header="0" w:top="1320" w:bottom="2180" w:left="800" w:right="1280"/>
          <w:pgNumType w:start="1056"/>
        </w:sectPr>
      </w:pPr>
    </w:p>
    <w:p>
      <w:pPr>
        <w:pStyle w:val="Heading1"/>
        <w:spacing w:before="75"/>
        <w:ind w:left="616"/>
      </w:pPr>
      <w:r>
        <w:rPr/>
        <w:t>Omega-3 fatty acids and tinnitus</w:t>
      </w:r>
    </w:p>
    <w:p>
      <w:pPr>
        <w:pStyle w:val="BodyText"/>
        <w:spacing w:line="276" w:lineRule="auto" w:before="299"/>
        <w:ind w:left="616" w:right="135"/>
        <w:jc w:val="both"/>
        <w:rPr>
          <w:sz w:val="25"/>
        </w:rPr>
      </w:pPr>
      <w:r>
        <w:rPr/>
        <w:t>In a large study, researchers were able to prove that people with strikingly</w:t>
      </w:r>
      <w:r>
        <w:rPr>
          <w:spacing w:val="-47"/>
        </w:rPr>
        <w:t> </w:t>
      </w:r>
      <w:r>
        <w:rPr/>
        <w:t>low DHA levels are particularly susceptible to tinnitus. This is probably due to</w:t>
      </w:r>
      <w:r>
        <w:rPr>
          <w:spacing w:val="-41"/>
        </w:rPr>
        <w:t> </w:t>
      </w:r>
      <w:r>
        <w:rPr/>
        <w:t>the disturbed flow of the blood in the inner</w:t>
      </w:r>
      <w:r>
        <w:rPr>
          <w:spacing w:val="-3"/>
        </w:rPr>
        <w:t> </w:t>
      </w:r>
      <w:r>
        <w:rPr/>
        <w:t>ear.</w:t>
      </w:r>
      <w:r>
        <w:rPr>
          <w:position w:val="9"/>
          <w:sz w:val="25"/>
        </w:rPr>
        <w:t>587</w:t>
      </w:r>
    </w:p>
    <w:p>
      <w:pPr>
        <w:pStyle w:val="Heading1"/>
        <w:ind w:left="616"/>
      </w:pPr>
      <w:r>
        <w:rPr/>
        <w:t>Omega-3</w:t>
      </w:r>
      <w:r>
        <w:rPr>
          <w:spacing w:val="-50"/>
        </w:rPr>
        <w:t> </w:t>
      </w:r>
      <w:r>
        <w:rPr/>
        <w:t>fatty</w:t>
      </w:r>
      <w:r>
        <w:rPr>
          <w:spacing w:val="-48"/>
        </w:rPr>
        <w:t> </w:t>
      </w:r>
      <w:r>
        <w:rPr/>
        <w:t>acids</w:t>
      </w:r>
      <w:r>
        <w:rPr>
          <w:spacing w:val="-50"/>
        </w:rPr>
        <w:t> </w:t>
      </w:r>
      <w:r>
        <w:rPr/>
        <w:t>help</w:t>
      </w:r>
      <w:r>
        <w:rPr>
          <w:spacing w:val="-50"/>
        </w:rPr>
        <w:t> </w:t>
      </w:r>
      <w:r>
        <w:rPr/>
        <w:t>against</w:t>
      </w:r>
      <w:r>
        <w:rPr>
          <w:spacing w:val="-49"/>
        </w:rPr>
        <w:t> </w:t>
      </w:r>
      <w:r>
        <w:rPr/>
        <w:t>Alzheimer's</w:t>
      </w:r>
      <w:r>
        <w:rPr>
          <w:spacing w:val="-46"/>
        </w:rPr>
        <w:t> </w:t>
      </w:r>
      <w:r>
        <w:rPr/>
        <w:t>and</w:t>
      </w:r>
      <w:r>
        <w:rPr>
          <w:spacing w:val="-50"/>
        </w:rPr>
        <w:t> </w:t>
      </w:r>
      <w:r>
        <w:rPr/>
        <w:t>cognitive</w:t>
      </w:r>
      <w:r>
        <w:rPr>
          <w:spacing w:val="-49"/>
        </w:rPr>
        <w:t> </w:t>
      </w:r>
      <w:r>
        <w:rPr/>
        <w:t>disorders</w:t>
      </w:r>
    </w:p>
    <w:p>
      <w:pPr>
        <w:pStyle w:val="BodyText"/>
        <w:spacing w:line="276" w:lineRule="auto" w:before="299"/>
        <w:ind w:left="616"/>
        <w:rPr>
          <w:sz w:val="25"/>
        </w:rPr>
      </w:pPr>
      <w:r>
        <w:rPr/>
        <w:t>Higher levels of eicosapentaenoic and docosahexaenoic acid are associated with lower risk of cognition loss and dementia, according to several</w:t>
      </w:r>
      <w:r>
        <w:rPr>
          <w:spacing w:val="-51"/>
        </w:rPr>
        <w:t> </w:t>
      </w:r>
      <w:r>
        <w:rPr/>
        <w:t>studies.</w:t>
      </w:r>
      <w:r>
        <w:rPr>
          <w:position w:val="9"/>
          <w:sz w:val="25"/>
        </w:rPr>
        <w:t>588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7"/>
        </w:rPr>
      </w:pPr>
      <w:r>
        <w:rPr/>
        <w:pict>
          <v:line style="position:absolute;mso-position-horizontal-relative:page;mso-position-vertical-relative:paragraph;z-index:7616;mso-wrap-distance-left:0;mso-wrap-distance-right:0" from="70.823997pt,17.913765pt" to="214.843997pt,17.913765pt" stroked="true" strokeweight=".71997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587 </w:t>
      </w:r>
      <w:r>
        <w:rPr>
          <w:sz w:val="20"/>
        </w:rPr>
        <w:t>House JW et al.: Patient Care, 1991; April 15, pp. 82-96</w:t>
      </w:r>
    </w:p>
    <w:p>
      <w:pPr>
        <w:spacing w:line="276" w:lineRule="auto" w:before="94"/>
        <w:ind w:left="616" w:right="140" w:firstLine="0"/>
        <w:jc w:val="left"/>
        <w:rPr>
          <w:sz w:val="20"/>
        </w:rPr>
      </w:pPr>
      <w:r>
        <w:rPr>
          <w:position w:val="5"/>
          <w:sz w:val="13"/>
        </w:rPr>
        <w:t>588 </w:t>
      </w:r>
      <w:r>
        <w:rPr>
          <w:sz w:val="20"/>
        </w:rPr>
        <w:t>Morris M. C. et al.: Fish consumption and cognitive decline with age in a large community study, Arch Neurol, 2005 Dec; 62 (12), pp. 1849–53; Heude B. et al.: EVA Study: Cognitive decline and fatty acid composition of erythrocyte membranes – The EVA Study; Am J Clin Nutr., 2003 Apr; 77(4), pp. 803–808; Schaefer E. J. et al.: Plasma phosphatidylcholine docosahexaenoic acid content and risk of dementia and Alzheimer disease: the Framingham Heart Study, Arch Neurol., 2006 Nov; 63 (11), pp. 1545–1550</w:t>
      </w:r>
    </w:p>
    <w:p>
      <w:pPr>
        <w:spacing w:after="0" w:line="276" w:lineRule="auto"/>
        <w:jc w:val="left"/>
        <w:rPr>
          <w:sz w:val="20"/>
        </w:rPr>
        <w:sectPr>
          <w:pgSz w:w="14270" w:h="16850"/>
          <w:pgMar w:header="0" w:footer="1984" w:top="1320" w:bottom="2180" w:left="800" w:right="1280"/>
        </w:sectPr>
      </w:pPr>
    </w:p>
    <w:p>
      <w:pPr>
        <w:pStyle w:val="Heading1"/>
        <w:spacing w:before="77"/>
        <w:ind w:left="616"/>
      </w:pPr>
      <w:r>
        <w:rPr>
          <w:w w:val="95"/>
        </w:rPr>
        <w:t>Omega-3 fatty acids are neurologically and psychologically</w:t>
      </w:r>
      <w:r>
        <w:rPr>
          <w:spacing w:val="-23"/>
          <w:w w:val="95"/>
        </w:rPr>
        <w:t> </w:t>
      </w:r>
      <w:r>
        <w:rPr>
          <w:w w:val="95"/>
        </w:rPr>
        <w:t>efficient</w:t>
      </w:r>
    </w:p>
    <w:p>
      <w:pPr>
        <w:pStyle w:val="BodyText"/>
        <w:spacing w:line="276" w:lineRule="auto" w:before="299"/>
        <w:ind w:left="616" w:right="134"/>
        <w:jc w:val="both"/>
        <w:rPr>
          <w:sz w:val="25"/>
        </w:rPr>
      </w:pPr>
      <w:r>
        <w:rPr/>
        <w:t>Omega-3 fatty acids play an essential role in the structure and function of the brain</w:t>
      </w:r>
      <w:r>
        <w:rPr>
          <w:spacing w:val="-14"/>
        </w:rPr>
        <w:t> </w:t>
      </w:r>
      <w:r>
        <w:rPr/>
        <w:t>and</w:t>
      </w:r>
      <w:r>
        <w:rPr>
          <w:spacing w:val="-13"/>
        </w:rPr>
        <w:t> </w:t>
      </w:r>
      <w:r>
        <w:rPr/>
        <w:t>eyes.</w:t>
      </w:r>
      <w:r>
        <w:rPr>
          <w:spacing w:val="-12"/>
        </w:rPr>
        <w:t> </w:t>
      </w:r>
      <w:r>
        <w:rPr/>
        <w:t>The</w:t>
      </w:r>
      <w:r>
        <w:rPr>
          <w:spacing w:val="-12"/>
        </w:rPr>
        <w:t> </w:t>
      </w:r>
      <w:r>
        <w:rPr/>
        <w:t>intake</w:t>
      </w:r>
      <w:r>
        <w:rPr>
          <w:spacing w:val="-14"/>
        </w:rPr>
        <w:t> </w:t>
      </w:r>
      <w:r>
        <w:rPr/>
        <w:t>of</w:t>
      </w:r>
      <w:r>
        <w:rPr>
          <w:spacing w:val="-13"/>
        </w:rPr>
        <w:t> </w:t>
      </w:r>
      <w:r>
        <w:rPr/>
        <w:t>omega-3</w:t>
      </w:r>
      <w:r>
        <w:rPr>
          <w:spacing w:val="-13"/>
        </w:rPr>
        <w:t> </w:t>
      </w:r>
      <w:r>
        <w:rPr/>
        <w:t>fatty</w:t>
      </w:r>
      <w:r>
        <w:rPr>
          <w:spacing w:val="-13"/>
        </w:rPr>
        <w:t> </w:t>
      </w:r>
      <w:r>
        <w:rPr/>
        <w:t>acids</w:t>
      </w:r>
      <w:r>
        <w:rPr>
          <w:spacing w:val="-13"/>
        </w:rPr>
        <w:t> </w:t>
      </w:r>
      <w:r>
        <w:rPr/>
        <w:t>leads</w:t>
      </w:r>
      <w:r>
        <w:rPr>
          <w:spacing w:val="-13"/>
        </w:rPr>
        <w:t> </w:t>
      </w:r>
      <w:r>
        <w:rPr/>
        <w:t>to</w:t>
      </w:r>
      <w:r>
        <w:rPr>
          <w:spacing w:val="-13"/>
        </w:rPr>
        <w:t> </w:t>
      </w:r>
      <w:r>
        <w:rPr/>
        <w:t>changes</w:t>
      </w:r>
      <w:r>
        <w:rPr>
          <w:spacing w:val="-12"/>
        </w:rPr>
        <w:t> </w:t>
      </w:r>
      <w:r>
        <w:rPr/>
        <w:t>in</w:t>
      </w:r>
      <w:r>
        <w:rPr>
          <w:spacing w:val="-12"/>
        </w:rPr>
        <w:t> </w:t>
      </w:r>
      <w:r>
        <w:rPr/>
        <w:t>dopamin- ergic function, regulation of hormone systems, alteration of intracellular mes- sage systems, and increased dendritic branching and synapse</w:t>
      </w:r>
      <w:r>
        <w:rPr>
          <w:spacing w:val="-9"/>
        </w:rPr>
        <w:t> </w:t>
      </w:r>
      <w:r>
        <w:rPr/>
        <w:t>formation.</w:t>
      </w:r>
      <w:r>
        <w:rPr>
          <w:position w:val="9"/>
          <w:sz w:val="25"/>
        </w:rPr>
        <w:t>589</w:t>
      </w:r>
    </w:p>
    <w:p>
      <w:pPr>
        <w:pStyle w:val="Heading1"/>
        <w:spacing w:before="222"/>
        <w:ind w:left="616"/>
      </w:pPr>
      <w:r>
        <w:rPr/>
        <w:t>Omega-3 fatty acids effective against depression in studies</w:t>
      </w:r>
    </w:p>
    <w:p>
      <w:pPr>
        <w:pStyle w:val="BodyText"/>
        <w:spacing w:line="276" w:lineRule="auto" w:before="298"/>
        <w:ind w:left="616" w:right="133"/>
        <w:jc w:val="both"/>
        <w:rPr>
          <w:sz w:val="25"/>
        </w:rPr>
      </w:pPr>
      <w:r>
        <w:rPr/>
        <w:t>One study has shown that unipolar depression and bipolar disorder are more common</w:t>
      </w:r>
      <w:r>
        <w:rPr>
          <w:spacing w:val="-9"/>
        </w:rPr>
        <w:t> </w:t>
      </w:r>
      <w:r>
        <w:rPr/>
        <w:t>in</w:t>
      </w:r>
      <w:r>
        <w:rPr>
          <w:spacing w:val="-8"/>
        </w:rPr>
        <w:t> </w:t>
      </w:r>
      <w:r>
        <w:rPr/>
        <w:t>people</w:t>
      </w:r>
      <w:r>
        <w:rPr>
          <w:spacing w:val="-8"/>
        </w:rPr>
        <w:t> </w:t>
      </w:r>
      <w:r>
        <w:rPr/>
        <w:t>with</w:t>
      </w:r>
      <w:r>
        <w:rPr>
          <w:spacing w:val="-8"/>
        </w:rPr>
        <w:t> </w:t>
      </w:r>
      <w:r>
        <w:rPr/>
        <w:t>a</w:t>
      </w:r>
      <w:r>
        <w:rPr>
          <w:spacing w:val="-10"/>
        </w:rPr>
        <w:t> </w:t>
      </w:r>
      <w:r>
        <w:rPr/>
        <w:t>low</w:t>
      </w:r>
      <w:r>
        <w:rPr>
          <w:spacing w:val="-9"/>
        </w:rPr>
        <w:t> </w:t>
      </w:r>
      <w:r>
        <w:rPr/>
        <w:t>intake</w:t>
      </w:r>
      <w:r>
        <w:rPr>
          <w:spacing w:val="-9"/>
        </w:rPr>
        <w:t> </w:t>
      </w:r>
      <w:r>
        <w:rPr/>
        <w:t>of</w:t>
      </w:r>
      <w:r>
        <w:rPr>
          <w:spacing w:val="-8"/>
        </w:rPr>
        <w:t> </w:t>
      </w:r>
      <w:r>
        <w:rPr/>
        <w:t>omega-3s</w:t>
      </w:r>
      <w:r>
        <w:rPr>
          <w:spacing w:val="-8"/>
        </w:rPr>
        <w:t> </w:t>
      </w:r>
      <w:r>
        <w:rPr/>
        <w:t>and</w:t>
      </w:r>
      <w:r>
        <w:rPr>
          <w:spacing w:val="-9"/>
        </w:rPr>
        <w:t> </w:t>
      </w:r>
      <w:r>
        <w:rPr/>
        <w:t>low</w:t>
      </w:r>
      <w:r>
        <w:rPr>
          <w:spacing w:val="-9"/>
        </w:rPr>
        <w:t> </w:t>
      </w:r>
      <w:r>
        <w:rPr/>
        <w:t>levels</w:t>
      </w:r>
      <w:r>
        <w:rPr>
          <w:spacing w:val="-8"/>
        </w:rPr>
        <w:t> </w:t>
      </w:r>
      <w:r>
        <w:rPr/>
        <w:t>of</w:t>
      </w:r>
      <w:r>
        <w:rPr>
          <w:spacing w:val="-8"/>
        </w:rPr>
        <w:t> </w:t>
      </w:r>
      <w:r>
        <w:rPr/>
        <w:t>eicosapen- taenoic acid and docosahexaenoic acid.</w:t>
      </w:r>
      <w:r>
        <w:rPr>
          <w:position w:val="9"/>
          <w:sz w:val="25"/>
        </w:rPr>
        <w:t>590 </w:t>
      </w:r>
      <w:r>
        <w:rPr/>
        <w:t>In another study, Belgian research- ers found significantly lower levels of EPA and DHA (the relevant omega-3s) in 50 patients with</w:t>
      </w:r>
      <w:r>
        <w:rPr>
          <w:spacing w:val="1"/>
        </w:rPr>
        <w:t> </w:t>
      </w:r>
      <w:r>
        <w:rPr/>
        <w:t>depression.</w:t>
      </w:r>
      <w:r>
        <w:rPr>
          <w:position w:val="9"/>
          <w:sz w:val="25"/>
        </w:rPr>
        <w:t>591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0"/>
        </w:rPr>
      </w:pPr>
      <w:r>
        <w:rPr/>
        <w:pict>
          <v:line style="position:absolute;mso-position-horizontal-relative:page;mso-position-vertical-relative:paragraph;z-index:7640;mso-wrap-distance-left:0;mso-wrap-distance-right:0" from="70.823997pt,8.258735pt" to="214.843997pt,8.258735pt" stroked="true" strokeweight=".72003pt" strokecolor="#000000">
            <v:stroke dashstyle="solid"/>
            <w10:wrap type="topAndBottom"/>
          </v:line>
        </w:pict>
      </w:r>
    </w:p>
    <w:p>
      <w:pPr>
        <w:pStyle w:val="BodyText"/>
        <w:spacing w:before="7"/>
        <w:rPr>
          <w:sz w:val="18"/>
        </w:rPr>
      </w:pPr>
    </w:p>
    <w:p>
      <w:pPr>
        <w:spacing w:line="338" w:lineRule="auto" w:before="99"/>
        <w:ind w:left="616" w:right="639" w:firstLine="0"/>
        <w:jc w:val="both"/>
        <w:rPr>
          <w:sz w:val="20"/>
        </w:rPr>
      </w:pPr>
      <w:r>
        <w:rPr>
          <w:position w:val="5"/>
          <w:sz w:val="13"/>
        </w:rPr>
        <w:t>589 </w:t>
      </w:r>
      <w:r>
        <w:rPr>
          <w:sz w:val="20"/>
        </w:rPr>
        <w:t>Freeman MP et al.: Omega-3 fatty acids: evidence basis for treatment and future research in psychiatry, J Clin Psychiatry, 2006; 1954–1967 </w:t>
      </w:r>
      <w:r>
        <w:rPr>
          <w:position w:val="5"/>
          <w:sz w:val="13"/>
        </w:rPr>
        <w:t>590 </w:t>
      </w:r>
      <w:r>
        <w:rPr>
          <w:sz w:val="20"/>
        </w:rPr>
        <w:t>Freeman MP et al.: Omega-3 fatty acids: evidence basis for treatment and future research in psychiatry, J Clin Psychiatry, 2006; 1954–1967 </w:t>
      </w:r>
      <w:r>
        <w:rPr>
          <w:position w:val="5"/>
          <w:sz w:val="13"/>
        </w:rPr>
        <w:t>591 </w:t>
      </w:r>
      <w:r>
        <w:rPr>
          <w:sz w:val="20"/>
        </w:rPr>
        <w:t>Maes M. et al.: J of Affect Disor, 1996; 38, pp. 35-46</w:t>
      </w:r>
    </w:p>
    <w:p>
      <w:pPr>
        <w:pStyle w:val="BodyText"/>
        <w:rPr>
          <w:sz w:val="20"/>
        </w:rPr>
      </w:pPr>
    </w:p>
    <w:p>
      <w:pPr>
        <w:pStyle w:val="BodyText"/>
        <w:rPr>
          <w:sz w:val="20"/>
        </w:rPr>
      </w:pPr>
    </w:p>
    <w:p>
      <w:pPr>
        <w:pStyle w:val="BodyText"/>
        <w:rPr>
          <w:sz w:val="20"/>
        </w:rPr>
      </w:pPr>
    </w:p>
    <w:p>
      <w:pPr>
        <w:pStyle w:val="BodyText"/>
        <w:spacing w:before="2"/>
        <w:rPr>
          <w:sz w:val="20"/>
        </w:rPr>
      </w:pPr>
      <w:r>
        <w:rPr/>
        <w:drawing>
          <wp:anchor distT="0" distB="0" distL="0" distR="0" allowOverlap="1" layoutInCell="1" locked="0" behindDoc="0" simplePos="0" relativeHeight="7664">
            <wp:simplePos x="0" y="0"/>
            <wp:positionH relativeFrom="page">
              <wp:posOffset>985998</wp:posOffset>
            </wp:positionH>
            <wp:positionV relativeFrom="paragraph">
              <wp:posOffset>168929</wp:posOffset>
            </wp:positionV>
            <wp:extent cx="6340974" cy="896874"/>
            <wp:effectExtent l="0" t="0" r="0" b="0"/>
            <wp:wrapTopAndBottom/>
            <wp:docPr id="387" name="image2.jpeg" descr=""/>
            <wp:cNvGraphicFramePr>
              <a:graphicFrameLocks noChangeAspect="1"/>
            </wp:cNvGraphicFramePr>
            <a:graphic>
              <a:graphicData uri="http://schemas.openxmlformats.org/drawingml/2006/picture">
                <pic:pic>
                  <pic:nvPicPr>
                    <pic:cNvPr id="388" name="image2.jpeg"/>
                    <pic:cNvPicPr/>
                  </pic:nvPicPr>
                  <pic:blipFill>
                    <a:blip r:embed="rId21" cstate="print"/>
                    <a:stretch>
                      <a:fillRect/>
                    </a:stretch>
                  </pic:blipFill>
                  <pic:spPr>
                    <a:xfrm>
                      <a:off x="0" y="0"/>
                      <a:ext cx="6340974" cy="896874"/>
                    </a:xfrm>
                    <a:prstGeom prst="rect">
                      <a:avLst/>
                    </a:prstGeom>
                  </pic:spPr>
                </pic:pic>
              </a:graphicData>
            </a:graphic>
          </wp:anchor>
        </w:drawing>
      </w:r>
    </w:p>
    <w:p>
      <w:pPr>
        <w:spacing w:after="0"/>
        <w:rPr>
          <w:sz w:val="20"/>
        </w:rPr>
        <w:sectPr>
          <w:footerReference w:type="default" r:id="rId254"/>
          <w:pgSz w:w="14270" w:h="16850"/>
          <w:pgMar w:footer="527" w:header="0" w:top="1320" w:bottom="720" w:left="800" w:right="1280"/>
          <w:pgNumType w:start="1058"/>
        </w:sectPr>
      </w:pPr>
    </w:p>
    <w:p>
      <w:pPr>
        <w:pStyle w:val="Heading1"/>
        <w:spacing w:before="77"/>
        <w:ind w:left="616"/>
      </w:pPr>
      <w:r>
        <w:rPr/>
        <w:t>Lack of omega-3 fatty acids leads to more frequent suicide attempts</w:t>
      </w:r>
    </w:p>
    <w:p>
      <w:pPr>
        <w:pStyle w:val="BodyText"/>
        <w:spacing w:line="276" w:lineRule="auto" w:before="297"/>
        <w:ind w:left="616"/>
        <w:rPr>
          <w:sz w:val="25"/>
        </w:rPr>
      </w:pPr>
      <w:r>
        <w:rPr/>
        <w:t>Low levels of omega-3 fatty acids are associated with higher susceptibility to suicide.</w:t>
      </w:r>
      <w:r>
        <w:rPr>
          <w:position w:val="9"/>
          <w:sz w:val="25"/>
        </w:rPr>
        <w:t>592</w:t>
      </w:r>
    </w:p>
    <w:p>
      <w:pPr>
        <w:pStyle w:val="Heading1"/>
        <w:spacing w:before="223"/>
        <w:ind w:left="616"/>
      </w:pPr>
      <w:r>
        <w:rPr/>
        <w:t>Omega-3 fatty acids help with borderline personality disorder</w:t>
      </w:r>
    </w:p>
    <w:p>
      <w:pPr>
        <w:pStyle w:val="BodyText"/>
        <w:spacing w:line="276" w:lineRule="auto" w:before="300"/>
        <w:ind w:left="616" w:right="145"/>
        <w:jc w:val="both"/>
        <w:rPr>
          <w:sz w:val="25"/>
        </w:rPr>
      </w:pPr>
      <w:r>
        <w:rPr/>
        <w:t>Evaluations of intervention studies in people with borderline personality dis- order have shown that eicosapentaenoic acid and docosahexaenoic acid (omega-3 fatty acids) can reduce hostility, aggression, and depression.</w:t>
      </w:r>
      <w:r>
        <w:rPr>
          <w:position w:val="9"/>
          <w:sz w:val="25"/>
        </w:rPr>
        <w:t>593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7"/>
        </w:rPr>
      </w:pPr>
      <w:r>
        <w:rPr/>
        <w:pict>
          <v:line style="position:absolute;mso-position-horizontal-relative:page;mso-position-vertical-relative:paragraph;z-index:7688;mso-wrap-distance-left:0;mso-wrap-distance-right:0" from="70.823997pt,17.913765pt" to="214.843997pt,17.913765pt" stroked="true" strokeweight=".71997pt" strokecolor="#000000">
            <v:stroke dashstyle="solid"/>
            <w10:wrap type="topAndBottom"/>
          </v:line>
        </w:pict>
      </w:r>
    </w:p>
    <w:p>
      <w:pPr>
        <w:pStyle w:val="BodyText"/>
        <w:spacing w:before="7"/>
        <w:rPr>
          <w:sz w:val="18"/>
        </w:rPr>
      </w:pPr>
    </w:p>
    <w:p>
      <w:pPr>
        <w:spacing w:line="276" w:lineRule="auto" w:before="99"/>
        <w:ind w:left="616" w:right="244" w:firstLine="0"/>
        <w:jc w:val="left"/>
        <w:rPr>
          <w:sz w:val="20"/>
        </w:rPr>
      </w:pPr>
      <w:r>
        <w:rPr>
          <w:position w:val="5"/>
          <w:sz w:val="13"/>
        </w:rPr>
        <w:t>592 </w:t>
      </w:r>
      <w:r>
        <w:rPr>
          <w:sz w:val="20"/>
        </w:rPr>
        <w:t>Sublette ME: et al.: Omega-3 polyunsaturated essential fatty acid status as a predictor of future suicide risk, Am J Psychiatry, 2006 Jun; 163 (6), pp. 1100–1102</w:t>
      </w:r>
    </w:p>
    <w:p>
      <w:pPr>
        <w:spacing w:line="276" w:lineRule="auto" w:before="61"/>
        <w:ind w:left="616" w:right="296" w:firstLine="0"/>
        <w:jc w:val="left"/>
        <w:rPr>
          <w:sz w:val="20"/>
        </w:rPr>
      </w:pPr>
      <w:r>
        <w:rPr>
          <w:position w:val="5"/>
          <w:sz w:val="13"/>
        </w:rPr>
        <w:t>593 </w:t>
      </w:r>
      <w:r>
        <w:rPr>
          <w:sz w:val="20"/>
        </w:rPr>
        <w:t>Freeman MP et al.: Omega-3 fatty acids: evidence basis for treatment and future research in psychiatry, J Clin Psychiatry, 2006; pp. 1954–1967; Zanarini M. C. und Frankenburg F. R.: Omega-3 Fatty Acid Treatment of Women With Borderline Personality Disorder: A Double-Blind, Pla- cebo-Controlled Pilot Study. Am J Psychiatry, 2003; 160, pp. 167–169</w:t>
      </w:r>
    </w:p>
    <w:p>
      <w:pPr>
        <w:spacing w:after="0" w:line="276" w:lineRule="auto"/>
        <w:jc w:val="left"/>
        <w:rPr>
          <w:sz w:val="20"/>
        </w:rPr>
        <w:sectPr>
          <w:footerReference w:type="default" r:id="rId255"/>
          <w:pgSz w:w="14270" w:h="16850"/>
          <w:pgMar w:footer="1984" w:header="0" w:top="1320" w:bottom="2180" w:left="800" w:right="1280"/>
          <w:pgNumType w:start="105"/>
        </w:sectPr>
      </w:pPr>
    </w:p>
    <w:p>
      <w:pPr>
        <w:pStyle w:val="Heading1"/>
        <w:spacing w:before="77"/>
        <w:ind w:left="616"/>
      </w:pPr>
      <w:r>
        <w:rPr/>
        <w:t>Omega-3 fatty acids help against</w:t>
      </w:r>
      <w:r>
        <w:rPr>
          <w:spacing w:val="-68"/>
        </w:rPr>
        <w:t> </w:t>
      </w:r>
      <w:r>
        <w:rPr/>
        <w:t>schizophrenia</w:t>
      </w:r>
    </w:p>
    <w:p>
      <w:pPr>
        <w:pStyle w:val="BodyText"/>
        <w:spacing w:line="276" w:lineRule="auto" w:before="297"/>
        <w:ind w:left="616" w:right="141"/>
        <w:jc w:val="both"/>
        <w:rPr>
          <w:sz w:val="25"/>
        </w:rPr>
      </w:pPr>
      <w:r>
        <w:rPr/>
        <w:t>Schizophrenia patients showed a much more stable mental state compared to the group that did not consume fish oil.</w:t>
      </w:r>
      <w:r>
        <w:rPr>
          <w:position w:val="9"/>
          <w:sz w:val="25"/>
        </w:rPr>
        <w:t>594</w:t>
      </w:r>
    </w:p>
    <w:p>
      <w:pPr>
        <w:pStyle w:val="Heading1"/>
        <w:spacing w:before="223"/>
        <w:ind w:left="616"/>
      </w:pPr>
      <w:r>
        <w:rPr/>
        <w:t>Omega-3 fatty acids help with</w:t>
      </w:r>
      <w:r>
        <w:rPr>
          <w:spacing w:val="-53"/>
        </w:rPr>
        <w:t> </w:t>
      </w:r>
      <w:r>
        <w:rPr/>
        <w:t>psychosis</w:t>
      </w:r>
    </w:p>
    <w:p>
      <w:pPr>
        <w:pStyle w:val="BodyText"/>
        <w:spacing w:line="276" w:lineRule="auto" w:before="300"/>
        <w:ind w:left="616" w:right="136"/>
        <w:jc w:val="both"/>
        <w:rPr>
          <w:sz w:val="25"/>
        </w:rPr>
      </w:pPr>
      <w:r>
        <w:rPr/>
        <w:t>After a four-month intake of fish oil, the mood of the affected psychosis pa- tients</w:t>
      </w:r>
      <w:r>
        <w:rPr>
          <w:spacing w:val="-14"/>
        </w:rPr>
        <w:t> </w:t>
      </w:r>
      <w:r>
        <w:rPr/>
        <w:t>was</w:t>
      </w:r>
      <w:r>
        <w:rPr>
          <w:spacing w:val="-13"/>
        </w:rPr>
        <w:t> </w:t>
      </w:r>
      <w:r>
        <w:rPr/>
        <w:t>considerably</w:t>
      </w:r>
      <w:r>
        <w:rPr>
          <w:spacing w:val="-15"/>
        </w:rPr>
        <w:t> </w:t>
      </w:r>
      <w:r>
        <w:rPr/>
        <w:t>more</w:t>
      </w:r>
      <w:r>
        <w:rPr>
          <w:spacing w:val="-14"/>
        </w:rPr>
        <w:t> </w:t>
      </w:r>
      <w:r>
        <w:rPr/>
        <w:t>stable</w:t>
      </w:r>
      <w:r>
        <w:rPr>
          <w:spacing w:val="-14"/>
        </w:rPr>
        <w:t> </w:t>
      </w:r>
      <w:r>
        <w:rPr/>
        <w:t>than</w:t>
      </w:r>
      <w:r>
        <w:rPr>
          <w:spacing w:val="-14"/>
        </w:rPr>
        <w:t> </w:t>
      </w:r>
      <w:r>
        <w:rPr/>
        <w:t>that</w:t>
      </w:r>
      <w:r>
        <w:rPr>
          <w:spacing w:val="-14"/>
        </w:rPr>
        <w:t> </w:t>
      </w:r>
      <w:r>
        <w:rPr/>
        <w:t>of</w:t>
      </w:r>
      <w:r>
        <w:rPr>
          <w:spacing w:val="-14"/>
        </w:rPr>
        <w:t> </w:t>
      </w:r>
      <w:r>
        <w:rPr/>
        <w:t>the</w:t>
      </w:r>
      <w:r>
        <w:rPr>
          <w:spacing w:val="-14"/>
        </w:rPr>
        <w:t> </w:t>
      </w:r>
      <w:r>
        <w:rPr/>
        <w:t>comparison</w:t>
      </w:r>
      <w:r>
        <w:rPr>
          <w:spacing w:val="-16"/>
        </w:rPr>
        <w:t> </w:t>
      </w:r>
      <w:r>
        <w:rPr/>
        <w:t>group,</w:t>
      </w:r>
      <w:r>
        <w:rPr>
          <w:spacing w:val="-13"/>
        </w:rPr>
        <w:t> </w:t>
      </w:r>
      <w:r>
        <w:rPr/>
        <w:t>includ- ing rare psychotic</w:t>
      </w:r>
      <w:r>
        <w:rPr>
          <w:spacing w:val="2"/>
        </w:rPr>
        <w:t> </w:t>
      </w:r>
      <w:r>
        <w:rPr/>
        <w:t>relapses.</w:t>
      </w:r>
      <w:r>
        <w:rPr>
          <w:position w:val="9"/>
          <w:sz w:val="25"/>
        </w:rPr>
        <w:t>595</w:t>
      </w:r>
    </w:p>
    <w:p>
      <w:pPr>
        <w:pStyle w:val="BodyText"/>
        <w:spacing w:before="2"/>
        <w:rPr>
          <w:sz w:val="60"/>
        </w:rPr>
      </w:pPr>
    </w:p>
    <w:p>
      <w:pPr>
        <w:pStyle w:val="Heading1"/>
        <w:spacing w:before="1"/>
        <w:ind w:left="616"/>
      </w:pPr>
      <w:r>
        <w:rPr/>
        <w:t>Omega-3 fatty acids help against dementia and Alzheimer's</w:t>
      </w:r>
    </w:p>
    <w:p>
      <w:pPr>
        <w:pStyle w:val="BodyText"/>
        <w:spacing w:line="276" w:lineRule="auto" w:before="296"/>
        <w:ind w:left="616" w:right="138"/>
        <w:jc w:val="both"/>
        <w:rPr>
          <w:sz w:val="25"/>
        </w:rPr>
      </w:pPr>
      <w:r>
        <w:rPr>
          <w:b/>
        </w:rPr>
        <w:t>Dementia increases with falling fish consumption: </w:t>
      </w:r>
      <w:r>
        <w:rPr/>
        <w:t>low DHA levels are always observed in the blood of both Alzheimer’s sufferers and dementia pa- tients. A Dutch study on 5,000 people aged 55 years and older showed after 21/2 years of observation that those who ate little fish were at risk of demen- tia.</w:t>
      </w:r>
      <w:r>
        <w:rPr>
          <w:position w:val="9"/>
          <w:sz w:val="25"/>
        </w:rPr>
        <w:t>596</w:t>
      </w:r>
    </w:p>
    <w:p>
      <w:pPr>
        <w:spacing w:line="276" w:lineRule="auto" w:before="240"/>
        <w:ind w:left="616" w:right="135" w:firstLine="0"/>
        <w:jc w:val="both"/>
        <w:rPr>
          <w:sz w:val="25"/>
        </w:rPr>
      </w:pPr>
      <w:r>
        <w:rPr>
          <w:b/>
          <w:sz w:val="38"/>
        </w:rPr>
        <w:t>Dementia decreases with increasing omega-3 fatty acid levels: </w:t>
      </w:r>
      <w:r>
        <w:rPr>
          <w:sz w:val="38"/>
        </w:rPr>
        <w:t>a signifi- cant</w:t>
      </w:r>
      <w:r>
        <w:rPr>
          <w:spacing w:val="-10"/>
          <w:sz w:val="38"/>
        </w:rPr>
        <w:t> </w:t>
      </w:r>
      <w:r>
        <w:rPr>
          <w:sz w:val="38"/>
        </w:rPr>
        <w:t>improvement</w:t>
      </w:r>
      <w:r>
        <w:rPr>
          <w:spacing w:val="-10"/>
          <w:sz w:val="38"/>
        </w:rPr>
        <w:t> </w:t>
      </w:r>
      <w:r>
        <w:rPr>
          <w:sz w:val="38"/>
        </w:rPr>
        <w:t>in</w:t>
      </w:r>
      <w:r>
        <w:rPr>
          <w:spacing w:val="-9"/>
          <w:sz w:val="38"/>
        </w:rPr>
        <w:t> </w:t>
      </w:r>
      <w:r>
        <w:rPr>
          <w:sz w:val="38"/>
        </w:rPr>
        <w:t>dementia</w:t>
      </w:r>
      <w:r>
        <w:rPr>
          <w:spacing w:val="-11"/>
          <w:sz w:val="38"/>
        </w:rPr>
        <w:t> </w:t>
      </w:r>
      <w:r>
        <w:rPr>
          <w:sz w:val="38"/>
        </w:rPr>
        <w:t>was</w:t>
      </w:r>
      <w:r>
        <w:rPr>
          <w:spacing w:val="-9"/>
          <w:sz w:val="38"/>
        </w:rPr>
        <w:t> </w:t>
      </w:r>
      <w:r>
        <w:rPr>
          <w:sz w:val="38"/>
        </w:rPr>
        <w:t>observed</w:t>
      </w:r>
      <w:r>
        <w:rPr>
          <w:spacing w:val="-10"/>
          <w:sz w:val="38"/>
        </w:rPr>
        <w:t> </w:t>
      </w:r>
      <w:r>
        <w:rPr>
          <w:sz w:val="38"/>
        </w:rPr>
        <w:t>after</w:t>
      </w:r>
      <w:r>
        <w:rPr>
          <w:spacing w:val="-9"/>
          <w:sz w:val="38"/>
        </w:rPr>
        <w:t> </w:t>
      </w:r>
      <w:r>
        <w:rPr>
          <w:sz w:val="38"/>
        </w:rPr>
        <w:t>12</w:t>
      </w:r>
      <w:r>
        <w:rPr>
          <w:spacing w:val="-11"/>
          <w:sz w:val="38"/>
        </w:rPr>
        <w:t> </w:t>
      </w:r>
      <w:r>
        <w:rPr>
          <w:sz w:val="38"/>
        </w:rPr>
        <w:t>months</w:t>
      </w:r>
      <w:r>
        <w:rPr>
          <w:spacing w:val="-11"/>
          <w:sz w:val="38"/>
        </w:rPr>
        <w:t> </w:t>
      </w:r>
      <w:r>
        <w:rPr>
          <w:sz w:val="38"/>
        </w:rPr>
        <w:t>of</w:t>
      </w:r>
      <w:r>
        <w:rPr>
          <w:spacing w:val="-11"/>
          <w:sz w:val="38"/>
        </w:rPr>
        <w:t> </w:t>
      </w:r>
      <w:r>
        <w:rPr>
          <w:sz w:val="38"/>
        </w:rPr>
        <w:t>DHA</w:t>
      </w:r>
      <w:r>
        <w:rPr>
          <w:spacing w:val="-9"/>
          <w:sz w:val="38"/>
        </w:rPr>
        <w:t> </w:t>
      </w:r>
      <w:r>
        <w:rPr>
          <w:sz w:val="38"/>
        </w:rPr>
        <w:t>admin- istration.</w:t>
      </w:r>
      <w:r>
        <w:rPr>
          <w:position w:val="9"/>
          <w:sz w:val="25"/>
        </w:rPr>
        <w:t>597</w:t>
      </w:r>
    </w:p>
    <w:p>
      <w:pPr>
        <w:pStyle w:val="Heading1"/>
        <w:spacing w:line="261" w:lineRule="auto" w:before="222"/>
        <w:ind w:left="616" w:right="146"/>
        <w:jc w:val="both"/>
      </w:pPr>
      <w:r>
        <w:rPr/>
        <w:t>Omega-3</w:t>
      </w:r>
      <w:r>
        <w:rPr>
          <w:spacing w:val="-26"/>
        </w:rPr>
        <w:t> </w:t>
      </w:r>
      <w:r>
        <w:rPr/>
        <w:t>fatty</w:t>
      </w:r>
      <w:r>
        <w:rPr>
          <w:spacing w:val="-24"/>
        </w:rPr>
        <w:t> </w:t>
      </w:r>
      <w:r>
        <w:rPr/>
        <w:t>acids</w:t>
      </w:r>
      <w:r>
        <w:rPr>
          <w:spacing w:val="-26"/>
        </w:rPr>
        <w:t> </w:t>
      </w:r>
      <w:r>
        <w:rPr/>
        <w:t>and</w:t>
      </w:r>
      <w:r>
        <w:rPr>
          <w:spacing w:val="-25"/>
        </w:rPr>
        <w:t> </w:t>
      </w:r>
      <w:r>
        <w:rPr/>
        <w:t>their</w:t>
      </w:r>
      <w:r>
        <w:rPr>
          <w:spacing w:val="-26"/>
        </w:rPr>
        <w:t> </w:t>
      </w:r>
      <w:r>
        <w:rPr/>
        <w:t>effect</w:t>
      </w:r>
      <w:r>
        <w:rPr>
          <w:spacing w:val="-26"/>
        </w:rPr>
        <w:t> </w:t>
      </w:r>
      <w:r>
        <w:rPr/>
        <w:t>on</w:t>
      </w:r>
      <w:r>
        <w:rPr>
          <w:spacing w:val="-26"/>
        </w:rPr>
        <w:t> </w:t>
      </w:r>
      <w:r>
        <w:rPr/>
        <w:t>attention</w:t>
      </w:r>
      <w:r>
        <w:rPr>
          <w:spacing w:val="-26"/>
        </w:rPr>
        <w:t> </w:t>
      </w:r>
      <w:r>
        <w:rPr/>
        <w:t>deficit</w:t>
      </w:r>
      <w:r>
        <w:rPr>
          <w:spacing w:val="-26"/>
        </w:rPr>
        <w:t> </w:t>
      </w:r>
      <w:r>
        <w:rPr/>
        <w:t>hyperactivity disorder</w:t>
      </w:r>
      <w:r>
        <w:rPr>
          <w:spacing w:val="-7"/>
        </w:rPr>
        <w:t> </w:t>
      </w:r>
      <w:r>
        <w:rPr/>
        <w:t>(ADHD)</w:t>
      </w:r>
    </w:p>
    <w:p>
      <w:pPr>
        <w:pStyle w:val="BodyText"/>
        <w:rPr>
          <w:b/>
          <w:i/>
          <w:sz w:val="20"/>
        </w:rPr>
      </w:pPr>
    </w:p>
    <w:p>
      <w:pPr>
        <w:pStyle w:val="BodyText"/>
        <w:rPr>
          <w:b/>
          <w:i/>
          <w:sz w:val="20"/>
        </w:rPr>
      </w:pPr>
    </w:p>
    <w:p>
      <w:pPr>
        <w:pStyle w:val="BodyText"/>
        <w:spacing w:before="6"/>
        <w:rPr>
          <w:b/>
          <w:i/>
          <w:sz w:val="15"/>
        </w:rPr>
      </w:pPr>
      <w:r>
        <w:rPr/>
        <w:pict>
          <v:line style="position:absolute;mso-position-horizontal-relative:page;mso-position-vertical-relative:paragraph;z-index:7712;mso-wrap-distance-left:0;mso-wrap-distance-right:0" from="70.823997pt,11.123765pt" to="214.843997pt,11.123765pt" stroked="true" strokeweight=".71997pt" strokecolor="#000000">
            <v:stroke dashstyle="solid"/>
            <w10:wrap type="topAndBottom"/>
          </v:line>
        </w:pict>
      </w:r>
    </w:p>
    <w:p>
      <w:pPr>
        <w:pStyle w:val="BodyText"/>
        <w:spacing w:before="7"/>
        <w:rPr>
          <w:b/>
          <w:i/>
          <w:sz w:val="18"/>
        </w:rPr>
      </w:pPr>
    </w:p>
    <w:p>
      <w:pPr>
        <w:spacing w:before="99"/>
        <w:ind w:left="616" w:right="0" w:firstLine="0"/>
        <w:jc w:val="left"/>
        <w:rPr>
          <w:sz w:val="20"/>
        </w:rPr>
      </w:pPr>
      <w:r>
        <w:rPr>
          <w:position w:val="5"/>
          <w:sz w:val="13"/>
        </w:rPr>
        <w:t>594 </w:t>
      </w:r>
      <w:r>
        <w:rPr>
          <w:sz w:val="20"/>
        </w:rPr>
        <w:t>Peet M. et al.: Prostagl Leukot Essent Fatty Acids, 1996</w:t>
      </w:r>
    </w:p>
    <w:p>
      <w:pPr>
        <w:spacing w:before="94"/>
        <w:ind w:left="616" w:right="0" w:firstLine="0"/>
        <w:jc w:val="left"/>
        <w:rPr>
          <w:sz w:val="20"/>
        </w:rPr>
      </w:pPr>
      <w:r>
        <w:rPr>
          <w:position w:val="5"/>
          <w:sz w:val="13"/>
        </w:rPr>
        <w:t>595 </w:t>
      </w:r>
      <w:r>
        <w:rPr>
          <w:sz w:val="20"/>
        </w:rPr>
        <w:t>Stoll A. L. et al.: Arch Gen Psychiatry, 1999; 56 (5), pp.</w:t>
      </w:r>
      <w:r>
        <w:rPr>
          <w:spacing w:val="-4"/>
          <w:sz w:val="20"/>
        </w:rPr>
        <w:t> </w:t>
      </w:r>
      <w:r>
        <w:rPr>
          <w:sz w:val="20"/>
        </w:rPr>
        <w:t>407–412</w:t>
      </w:r>
    </w:p>
    <w:p>
      <w:pPr>
        <w:spacing w:before="95"/>
        <w:ind w:left="616" w:right="0" w:firstLine="0"/>
        <w:jc w:val="left"/>
        <w:rPr>
          <w:sz w:val="20"/>
        </w:rPr>
      </w:pPr>
      <w:r>
        <w:rPr>
          <w:position w:val="5"/>
          <w:sz w:val="13"/>
        </w:rPr>
        <w:t>596 </w:t>
      </w:r>
      <w:r>
        <w:rPr>
          <w:sz w:val="20"/>
        </w:rPr>
        <w:t>Kalmijn S. et al.: Annals of Neurology, 1997; 42 (5), pp.</w:t>
      </w:r>
      <w:r>
        <w:rPr>
          <w:spacing w:val="-4"/>
          <w:sz w:val="20"/>
        </w:rPr>
        <w:t> </w:t>
      </w:r>
      <w:r>
        <w:rPr>
          <w:sz w:val="20"/>
        </w:rPr>
        <w:t>776-782</w:t>
      </w:r>
    </w:p>
    <w:p>
      <w:pPr>
        <w:spacing w:before="94"/>
        <w:ind w:left="616" w:right="0" w:firstLine="0"/>
        <w:jc w:val="left"/>
        <w:rPr>
          <w:sz w:val="20"/>
        </w:rPr>
      </w:pPr>
      <w:r>
        <w:rPr>
          <w:position w:val="5"/>
          <w:sz w:val="13"/>
        </w:rPr>
        <w:t>597 </w:t>
      </w:r>
      <w:r>
        <w:rPr>
          <w:sz w:val="20"/>
        </w:rPr>
        <w:t>Terano T. et al.: Lipids, 1999; 34 (Suppl), p. 345 f.</w:t>
      </w:r>
    </w:p>
    <w:p>
      <w:pPr>
        <w:spacing w:after="0"/>
        <w:jc w:val="left"/>
        <w:rPr>
          <w:sz w:val="20"/>
        </w:rPr>
        <w:sectPr>
          <w:footerReference w:type="default" r:id="rId256"/>
          <w:pgSz w:w="14270" w:h="16850"/>
          <w:pgMar w:footer="1984" w:header="0" w:top="1320" w:bottom="2180" w:left="800" w:right="1280"/>
          <w:pgNumType w:start="106"/>
        </w:sectPr>
      </w:pPr>
    </w:p>
    <w:p>
      <w:pPr>
        <w:pStyle w:val="BodyText"/>
        <w:spacing w:line="276" w:lineRule="auto" w:before="72"/>
        <w:ind w:left="616" w:right="132"/>
        <w:jc w:val="both"/>
        <w:rPr>
          <w:sz w:val="25"/>
        </w:rPr>
      </w:pPr>
      <w:r>
        <w:rPr/>
        <w:t>People with attention deficit and hyperactivity disorders were found to have lower omega-3 fatty acid levels than healthy people.</w:t>
      </w:r>
      <w:r>
        <w:rPr>
          <w:position w:val="9"/>
          <w:sz w:val="25"/>
        </w:rPr>
        <w:t>598</w:t>
      </w:r>
    </w:p>
    <w:p>
      <w:pPr>
        <w:pStyle w:val="BodyText"/>
        <w:spacing w:line="276" w:lineRule="auto" w:before="241"/>
        <w:ind w:left="616" w:right="135"/>
        <w:jc w:val="both"/>
        <w:rPr>
          <w:sz w:val="25"/>
        </w:rPr>
      </w:pPr>
      <w:r>
        <w:rPr/>
        <w:t>Another study found that omega-3 fatty acids increase dopamine levels in the brain;</w:t>
      </w:r>
      <w:r>
        <w:rPr>
          <w:spacing w:val="-12"/>
        </w:rPr>
        <w:t> </w:t>
      </w:r>
      <w:r>
        <w:rPr/>
        <w:t>they</w:t>
      </w:r>
      <w:r>
        <w:rPr>
          <w:spacing w:val="-11"/>
        </w:rPr>
        <w:t> </w:t>
      </w:r>
      <w:r>
        <w:rPr/>
        <w:t>act</w:t>
      </w:r>
      <w:r>
        <w:rPr>
          <w:spacing w:val="-13"/>
        </w:rPr>
        <w:t> </w:t>
      </w:r>
      <w:r>
        <w:rPr/>
        <w:t>like</w:t>
      </w:r>
      <w:r>
        <w:rPr>
          <w:spacing w:val="-12"/>
        </w:rPr>
        <w:t> </w:t>
      </w:r>
      <w:r>
        <w:rPr/>
        <w:t>the</w:t>
      </w:r>
      <w:r>
        <w:rPr>
          <w:spacing w:val="-12"/>
        </w:rPr>
        <w:t> </w:t>
      </w:r>
      <w:r>
        <w:rPr/>
        <w:t>common</w:t>
      </w:r>
      <w:r>
        <w:rPr>
          <w:spacing w:val="-16"/>
        </w:rPr>
        <w:t> </w:t>
      </w:r>
      <w:r>
        <w:rPr/>
        <w:t>stimulants</w:t>
      </w:r>
      <w:r>
        <w:rPr>
          <w:spacing w:val="-11"/>
        </w:rPr>
        <w:t> </w:t>
      </w:r>
      <w:r>
        <w:rPr/>
        <w:t>used</w:t>
      </w:r>
      <w:r>
        <w:rPr>
          <w:spacing w:val="-12"/>
        </w:rPr>
        <w:t> </w:t>
      </w:r>
      <w:r>
        <w:rPr/>
        <w:t>to</w:t>
      </w:r>
      <w:r>
        <w:rPr>
          <w:spacing w:val="-12"/>
        </w:rPr>
        <w:t> </w:t>
      </w:r>
      <w:r>
        <w:rPr/>
        <w:t>treat</w:t>
      </w:r>
      <w:r>
        <w:rPr>
          <w:spacing w:val="-12"/>
        </w:rPr>
        <w:t> </w:t>
      </w:r>
      <w:r>
        <w:rPr/>
        <w:t>ADHD;</w:t>
      </w:r>
      <w:r>
        <w:rPr>
          <w:spacing w:val="-11"/>
        </w:rPr>
        <w:t> </w:t>
      </w:r>
      <w:r>
        <w:rPr/>
        <w:t>the</w:t>
      </w:r>
      <w:r>
        <w:rPr>
          <w:spacing w:val="-11"/>
        </w:rPr>
        <w:t> </w:t>
      </w:r>
      <w:r>
        <w:rPr/>
        <w:t>effect</w:t>
      </w:r>
      <w:r>
        <w:rPr>
          <w:spacing w:val="-12"/>
        </w:rPr>
        <w:t> </w:t>
      </w:r>
      <w:r>
        <w:rPr/>
        <w:t>has proven to be</w:t>
      </w:r>
      <w:r>
        <w:rPr>
          <w:spacing w:val="1"/>
        </w:rPr>
        <w:t> </w:t>
      </w:r>
      <w:r>
        <w:rPr/>
        <w:t>long-term.</w:t>
      </w:r>
      <w:r>
        <w:rPr>
          <w:position w:val="9"/>
          <w:sz w:val="25"/>
        </w:rPr>
        <w:t>599</w:t>
      </w:r>
    </w:p>
    <w:p>
      <w:pPr>
        <w:pStyle w:val="BodyText"/>
        <w:rPr>
          <w:sz w:val="42"/>
        </w:rPr>
      </w:pPr>
    </w:p>
    <w:p>
      <w:pPr>
        <w:pStyle w:val="BodyText"/>
        <w:rPr>
          <w:sz w:val="42"/>
        </w:rPr>
      </w:pPr>
    </w:p>
    <w:p>
      <w:pPr>
        <w:pStyle w:val="BodyText"/>
        <w:spacing w:before="1"/>
        <w:rPr>
          <w:sz w:val="41"/>
        </w:rPr>
      </w:pPr>
    </w:p>
    <w:p>
      <w:pPr>
        <w:pStyle w:val="Heading1"/>
        <w:spacing w:line="261" w:lineRule="auto" w:before="0"/>
        <w:ind w:left="616" w:right="146"/>
        <w:jc w:val="both"/>
      </w:pPr>
      <w:r>
        <w:rPr/>
        <w:t>Omega-3</w:t>
      </w:r>
      <w:r>
        <w:rPr>
          <w:spacing w:val="-39"/>
        </w:rPr>
        <w:t> </w:t>
      </w:r>
      <w:r>
        <w:rPr/>
        <w:t>fatty</w:t>
      </w:r>
      <w:r>
        <w:rPr>
          <w:spacing w:val="-38"/>
        </w:rPr>
        <w:t> </w:t>
      </w:r>
      <w:r>
        <w:rPr/>
        <w:t>acids</w:t>
      </w:r>
      <w:r>
        <w:rPr>
          <w:spacing w:val="-39"/>
        </w:rPr>
        <w:t> </w:t>
      </w:r>
      <w:r>
        <w:rPr/>
        <w:t>in</w:t>
      </w:r>
      <w:r>
        <w:rPr>
          <w:spacing w:val="-38"/>
        </w:rPr>
        <w:t> </w:t>
      </w:r>
      <w:r>
        <w:rPr/>
        <w:t>children</w:t>
      </w:r>
      <w:r>
        <w:rPr>
          <w:spacing w:val="-38"/>
        </w:rPr>
        <w:t> </w:t>
      </w:r>
      <w:r>
        <w:rPr/>
        <w:t>with</w:t>
      </w:r>
      <w:r>
        <w:rPr>
          <w:spacing w:val="-39"/>
        </w:rPr>
        <w:t> </w:t>
      </w:r>
      <w:r>
        <w:rPr/>
        <w:t>ADHD</w:t>
      </w:r>
      <w:r>
        <w:rPr>
          <w:spacing w:val="-39"/>
        </w:rPr>
        <w:t> </w:t>
      </w:r>
      <w:r>
        <w:rPr/>
        <w:t>have</w:t>
      </w:r>
      <w:r>
        <w:rPr>
          <w:spacing w:val="-39"/>
        </w:rPr>
        <w:t> </w:t>
      </w:r>
      <w:r>
        <w:rPr/>
        <w:t>a</w:t>
      </w:r>
      <w:r>
        <w:rPr>
          <w:spacing w:val="-38"/>
        </w:rPr>
        <w:t> </w:t>
      </w:r>
      <w:r>
        <w:rPr/>
        <w:t>comparable</w:t>
      </w:r>
      <w:r>
        <w:rPr>
          <w:spacing w:val="-38"/>
        </w:rPr>
        <w:t> </w:t>
      </w:r>
      <w:r>
        <w:rPr/>
        <w:t>effect to conventional</w:t>
      </w:r>
      <w:r>
        <w:rPr>
          <w:spacing w:val="-19"/>
        </w:rPr>
        <w:t> </w:t>
      </w:r>
      <w:r>
        <w:rPr/>
        <w:t>medicines</w:t>
      </w:r>
    </w:p>
    <w:p>
      <w:pPr>
        <w:pStyle w:val="BodyText"/>
        <w:spacing w:before="258"/>
        <w:ind w:left="616"/>
      </w:pPr>
      <w:r>
        <w:rPr/>
        <w:t>In clinical trials in which children with attention deficit received approximately</w:t>
      </w:r>
    </w:p>
    <w:p>
      <w:pPr>
        <w:pStyle w:val="ListParagraph"/>
        <w:numPr>
          <w:ilvl w:val="1"/>
          <w:numId w:val="56"/>
        </w:numPr>
        <w:tabs>
          <w:tab w:pos="1188" w:val="left" w:leader="none"/>
        </w:tabs>
        <w:spacing w:line="276" w:lineRule="auto" w:before="64" w:after="0"/>
        <w:ind w:left="616" w:right="134" w:firstLine="0"/>
        <w:jc w:val="both"/>
        <w:rPr>
          <w:sz w:val="25"/>
        </w:rPr>
      </w:pPr>
      <w:r>
        <w:rPr>
          <w:sz w:val="38"/>
        </w:rPr>
        <w:t>g of omega-3 fatty acids, the long-term treatment effects (over approxi- mately three to six months) were similar to those of conventional medica- tion.</w:t>
      </w:r>
      <w:r>
        <w:rPr>
          <w:position w:val="9"/>
          <w:sz w:val="25"/>
        </w:rPr>
        <w:t>600</w:t>
      </w:r>
    </w:p>
    <w:p>
      <w:pPr>
        <w:pStyle w:val="Heading1"/>
        <w:spacing w:before="225"/>
        <w:ind w:left="616"/>
        <w:jc w:val="both"/>
      </w:pPr>
      <w:r>
        <w:rPr/>
        <w:t>Omega-3 fatty acids combat osteoporosis</w:t>
      </w:r>
    </w:p>
    <w:p>
      <w:pPr>
        <w:pStyle w:val="BodyText"/>
        <w:rPr>
          <w:b/>
          <w:i/>
          <w:sz w:val="20"/>
        </w:rPr>
      </w:pPr>
    </w:p>
    <w:p>
      <w:pPr>
        <w:pStyle w:val="BodyText"/>
        <w:spacing w:before="4"/>
        <w:rPr>
          <w:b/>
          <w:i/>
          <w:sz w:val="29"/>
        </w:rPr>
      </w:pPr>
      <w:r>
        <w:rPr/>
        <w:pict>
          <v:line style="position:absolute;mso-position-horizontal-relative:page;mso-position-vertical-relative:paragraph;z-index:7736;mso-wrap-distance-left:0;mso-wrap-distance-right:0" from="70.823997pt,18.8825pt" to="214.843997pt,18.8825pt" stroked="true" strokeweight=".72pt" strokecolor="#000000">
            <v:stroke dashstyle="solid"/>
            <w10:wrap type="topAndBottom"/>
          </v:line>
        </w:pict>
      </w:r>
    </w:p>
    <w:p>
      <w:pPr>
        <w:pStyle w:val="BodyText"/>
        <w:spacing w:before="7"/>
        <w:rPr>
          <w:b/>
          <w:i/>
          <w:sz w:val="18"/>
        </w:rPr>
      </w:pPr>
    </w:p>
    <w:p>
      <w:pPr>
        <w:spacing w:line="276" w:lineRule="auto" w:before="99"/>
        <w:ind w:left="616" w:right="592" w:firstLine="0"/>
        <w:jc w:val="left"/>
        <w:rPr>
          <w:sz w:val="20"/>
        </w:rPr>
      </w:pPr>
      <w:r>
        <w:rPr>
          <w:position w:val="5"/>
          <w:sz w:val="13"/>
        </w:rPr>
        <w:t>598 </w:t>
      </w:r>
      <w:r>
        <w:rPr>
          <w:sz w:val="20"/>
        </w:rPr>
        <w:t>Antalis C. J. et al.: Omega-3 fatty acid status in attention-deficit/ hyperactivity disorder, In: Prostaglandins Leukot. Essent. Fatty Acids 75, pp. 299–308 PMID 16962757</w:t>
      </w:r>
    </w:p>
    <w:p>
      <w:pPr>
        <w:spacing w:line="276" w:lineRule="auto" w:before="61"/>
        <w:ind w:left="616" w:right="0" w:firstLine="0"/>
        <w:jc w:val="left"/>
        <w:rPr>
          <w:sz w:val="20"/>
        </w:rPr>
      </w:pPr>
      <w:r>
        <w:rPr>
          <w:position w:val="5"/>
          <w:sz w:val="13"/>
        </w:rPr>
        <w:t>599 </w:t>
      </w:r>
      <w:r>
        <w:rPr>
          <w:sz w:val="20"/>
        </w:rPr>
        <w:t>Sinn N. and Bryan J .: Effect of supplementation with polyunsaturated fatty acids and micronutrients on learning and behavior problems associ- ated with child ADHD, In: J Dev Behav Pediatr 28, 2007, pp. 82–91 doi:10.1097/01.DBP.0000267558.88457.a5. PMID 17435458; Richardson A.</w:t>
      </w:r>
    </w:p>
    <w:p>
      <w:pPr>
        <w:spacing w:line="276" w:lineRule="auto" w:before="1"/>
        <w:ind w:left="616" w:right="179" w:firstLine="0"/>
        <w:jc w:val="left"/>
        <w:rPr>
          <w:sz w:val="20"/>
        </w:rPr>
      </w:pPr>
      <w:r>
        <w:rPr>
          <w:sz w:val="20"/>
        </w:rPr>
        <w:t>J. und Montgomery P.: The Oxford-Durham study: a randomized, controlled trial of dietary supplementation with fatty acids in children with de- velopmental coordination disorder. In: Pediatrics 115, 2005, pp. 1360–1366 doi:10.1542/peds.2004–2164 PMID 15867048; Frölich J. und Döpfner M.: The treatment of attention deficit/hyperactivity disorders with polyunsaturated fatty acids – an effective treatment option? In: Z Kinder Ju- gendpsychiatr Psychother ('Z Children Youth Psychiatry Psychother') 36, 2008, pp. 109–116 doi:10.1024/1422-4917.36.2.109 PMID 18622940 (Review)</w:t>
      </w:r>
    </w:p>
    <w:p>
      <w:pPr>
        <w:spacing w:line="276" w:lineRule="auto" w:before="60"/>
        <w:ind w:left="616" w:right="0" w:firstLine="0"/>
        <w:jc w:val="left"/>
        <w:rPr>
          <w:sz w:val="20"/>
        </w:rPr>
      </w:pPr>
      <w:r>
        <w:rPr>
          <w:position w:val="5"/>
          <w:sz w:val="13"/>
        </w:rPr>
        <w:t>600 </w:t>
      </w:r>
      <w:r>
        <w:rPr>
          <w:sz w:val="20"/>
        </w:rPr>
        <w:t>Sinn N. and Bryan J .: Effect of supplementation with polyunsaturated fatty acids and micronutrients on learning and behavior problems associ- ated with child ADHD, In: J Dev Behav Pediatr 28, 2007, pp. 82–91 doi:10.1097/01.DBP.0000267558.88457.a5. PMID 17435458; Richardson A.</w:t>
      </w:r>
    </w:p>
    <w:p>
      <w:pPr>
        <w:pStyle w:val="ListParagraph"/>
        <w:numPr>
          <w:ilvl w:val="0"/>
          <w:numId w:val="78"/>
        </w:numPr>
        <w:tabs>
          <w:tab w:pos="777" w:val="left" w:leader="none"/>
        </w:tabs>
        <w:spacing w:line="276" w:lineRule="auto" w:before="0" w:after="0"/>
        <w:ind w:left="616" w:right="188" w:firstLine="0"/>
        <w:jc w:val="left"/>
        <w:rPr>
          <w:sz w:val="20"/>
        </w:rPr>
      </w:pPr>
      <w:r>
        <w:rPr>
          <w:sz w:val="20"/>
        </w:rPr>
        <w:t>und Montgomery P.: The Oxford-Durham study: a randomized, controlled trial of dietary supplementation with fatty acids in children with de- velopmental coordination disorder. In: Pediatrics 115, 2005, pp. 1360–1366 doi:10.1542/peds.2004–2164 PMID 15867048; Frölich J. und Döpfner M.: The treatment of attention deficit/ hyperactivity disorders with polyunsaturated fatty acids – an effective treatment option? In: Z Kinder Ju- gendpsychiatr Psychother ('Z Children Youth Psychiatry Psychother') 36, 2008, pp. 109–116 doi:10.1024/1422-4917.36.2.109 PMID 18622940 (Review)</w:t>
      </w:r>
    </w:p>
    <w:p>
      <w:pPr>
        <w:spacing w:after="0" w:line="276" w:lineRule="auto"/>
        <w:jc w:val="left"/>
        <w:rPr>
          <w:sz w:val="20"/>
        </w:rPr>
        <w:sectPr>
          <w:footerReference w:type="default" r:id="rId257"/>
          <w:pgSz w:w="14270" w:h="16850"/>
          <w:pgMar w:footer="1984" w:header="0" w:top="1340" w:bottom="2180" w:left="800" w:right="1280"/>
          <w:pgNumType w:start="1061"/>
        </w:sectPr>
      </w:pPr>
    </w:p>
    <w:p>
      <w:pPr>
        <w:pStyle w:val="BodyText"/>
        <w:spacing w:line="276" w:lineRule="auto" w:before="72"/>
        <w:ind w:left="616" w:right="131"/>
        <w:jc w:val="both"/>
        <w:rPr>
          <w:sz w:val="25"/>
        </w:rPr>
      </w:pPr>
      <w:r>
        <w:rPr/>
        <w:t>Calcium</w:t>
      </w:r>
      <w:r>
        <w:rPr>
          <w:spacing w:val="-13"/>
        </w:rPr>
        <w:t> </w:t>
      </w:r>
      <w:r>
        <w:rPr/>
        <w:t>is</w:t>
      </w:r>
      <w:r>
        <w:rPr>
          <w:spacing w:val="-11"/>
        </w:rPr>
        <w:t> </w:t>
      </w:r>
      <w:r>
        <w:rPr/>
        <w:t>known</w:t>
      </w:r>
      <w:r>
        <w:rPr>
          <w:spacing w:val="-10"/>
        </w:rPr>
        <w:t> </w:t>
      </w:r>
      <w:r>
        <w:rPr/>
        <w:t>to</w:t>
      </w:r>
      <w:r>
        <w:rPr>
          <w:spacing w:val="-10"/>
        </w:rPr>
        <w:t> </w:t>
      </w:r>
      <w:r>
        <w:rPr/>
        <w:t>be</w:t>
      </w:r>
      <w:r>
        <w:rPr>
          <w:spacing w:val="-10"/>
        </w:rPr>
        <w:t> </w:t>
      </w:r>
      <w:r>
        <w:rPr/>
        <w:t>the</w:t>
      </w:r>
      <w:r>
        <w:rPr>
          <w:spacing w:val="-11"/>
        </w:rPr>
        <w:t> </w:t>
      </w:r>
      <w:r>
        <w:rPr/>
        <w:t>most</w:t>
      </w:r>
      <w:r>
        <w:rPr>
          <w:spacing w:val="-13"/>
        </w:rPr>
        <w:t> </w:t>
      </w:r>
      <w:r>
        <w:rPr/>
        <w:t>important</w:t>
      </w:r>
      <w:r>
        <w:rPr>
          <w:spacing w:val="-11"/>
        </w:rPr>
        <w:t> </w:t>
      </w:r>
      <w:r>
        <w:rPr/>
        <w:t>building</w:t>
      </w:r>
      <w:r>
        <w:rPr>
          <w:spacing w:val="-10"/>
        </w:rPr>
        <w:t> </w:t>
      </w:r>
      <w:r>
        <w:rPr/>
        <w:t>material</w:t>
      </w:r>
      <w:r>
        <w:rPr>
          <w:spacing w:val="-11"/>
        </w:rPr>
        <w:t> </w:t>
      </w:r>
      <w:r>
        <w:rPr/>
        <w:t>for</w:t>
      </w:r>
      <w:r>
        <w:rPr>
          <w:spacing w:val="-8"/>
        </w:rPr>
        <w:t> </w:t>
      </w:r>
      <w:r>
        <w:rPr/>
        <w:t>our</w:t>
      </w:r>
      <w:r>
        <w:rPr>
          <w:spacing w:val="-10"/>
        </w:rPr>
        <w:t> </w:t>
      </w:r>
      <w:r>
        <w:rPr/>
        <w:t>bones.</w:t>
      </w:r>
      <w:r>
        <w:rPr>
          <w:spacing w:val="-9"/>
        </w:rPr>
        <w:t> </w:t>
      </w:r>
      <w:r>
        <w:rPr/>
        <w:t>If the bones lose calcium, they become porous and prone to breakage – this dis- ease is called osteoporosis. Observations have shown that people who con- sume a lot of omega-3 fatty acids actually have a higher bone density.</w:t>
      </w:r>
      <w:r>
        <w:rPr>
          <w:spacing w:val="-44"/>
        </w:rPr>
        <w:t> </w:t>
      </w:r>
      <w:r>
        <w:rPr/>
        <w:t>Omega- 3 fatty acids thus increase the uptake of calcium in the intestine, activate the osteoblasts and deactivate the bone-degrading</w:t>
      </w:r>
      <w:r>
        <w:rPr>
          <w:spacing w:val="-1"/>
        </w:rPr>
        <w:t> </w:t>
      </w:r>
      <w:r>
        <w:rPr/>
        <w:t>osteoclasts.</w:t>
      </w:r>
      <w:r>
        <w:rPr>
          <w:position w:val="9"/>
          <w:sz w:val="25"/>
        </w:rPr>
        <w:t>601</w:t>
      </w:r>
    </w:p>
    <w:p>
      <w:pPr>
        <w:pStyle w:val="Heading1"/>
        <w:spacing w:before="222"/>
        <w:ind w:left="616"/>
      </w:pPr>
      <w:r>
        <w:rPr/>
        <w:t>Omega-3 fatty acids help against kidney disease</w:t>
      </w:r>
    </w:p>
    <w:p>
      <w:pPr>
        <w:pStyle w:val="BodyText"/>
        <w:spacing w:line="276" w:lineRule="auto" w:before="300"/>
        <w:ind w:left="616" w:right="137"/>
        <w:jc w:val="both"/>
        <w:rPr>
          <w:sz w:val="25"/>
        </w:rPr>
      </w:pPr>
      <w:r>
        <w:rPr/>
        <w:t>Ingestion</w:t>
      </w:r>
      <w:r>
        <w:rPr>
          <w:spacing w:val="-6"/>
        </w:rPr>
        <w:t> </w:t>
      </w:r>
      <w:r>
        <w:rPr/>
        <w:t>of</w:t>
      </w:r>
      <w:r>
        <w:rPr>
          <w:spacing w:val="-7"/>
        </w:rPr>
        <w:t> </w:t>
      </w:r>
      <w:r>
        <w:rPr/>
        <w:t>omega-3</w:t>
      </w:r>
      <w:r>
        <w:rPr>
          <w:spacing w:val="-6"/>
        </w:rPr>
        <w:t> </w:t>
      </w:r>
      <w:r>
        <w:rPr/>
        <w:t>fatty</w:t>
      </w:r>
      <w:r>
        <w:rPr>
          <w:spacing w:val="-8"/>
        </w:rPr>
        <w:t> </w:t>
      </w:r>
      <w:r>
        <w:rPr/>
        <w:t>acids</w:t>
      </w:r>
      <w:r>
        <w:rPr>
          <w:spacing w:val="-7"/>
        </w:rPr>
        <w:t> </w:t>
      </w:r>
      <w:r>
        <w:rPr/>
        <w:t>has</w:t>
      </w:r>
      <w:r>
        <w:rPr>
          <w:spacing w:val="-5"/>
        </w:rPr>
        <w:t> </w:t>
      </w:r>
      <w:r>
        <w:rPr/>
        <w:t>been</w:t>
      </w:r>
      <w:r>
        <w:rPr>
          <w:spacing w:val="-6"/>
        </w:rPr>
        <w:t> </w:t>
      </w:r>
      <w:r>
        <w:rPr/>
        <w:t>shown</w:t>
      </w:r>
      <w:r>
        <w:rPr>
          <w:spacing w:val="-9"/>
        </w:rPr>
        <w:t> </w:t>
      </w:r>
      <w:r>
        <w:rPr/>
        <w:t>to</w:t>
      </w:r>
      <w:r>
        <w:rPr>
          <w:spacing w:val="-5"/>
        </w:rPr>
        <w:t> </w:t>
      </w:r>
      <w:r>
        <w:rPr/>
        <w:t>be</w:t>
      </w:r>
      <w:r>
        <w:rPr>
          <w:spacing w:val="-6"/>
        </w:rPr>
        <w:t> </w:t>
      </w:r>
      <w:r>
        <w:rPr/>
        <w:t>beneficial</w:t>
      </w:r>
      <w:r>
        <w:rPr>
          <w:spacing w:val="-9"/>
        </w:rPr>
        <w:t> </w:t>
      </w:r>
      <w:r>
        <w:rPr/>
        <w:t>in</w:t>
      </w:r>
      <w:r>
        <w:rPr>
          <w:spacing w:val="-6"/>
        </w:rPr>
        <w:t> </w:t>
      </w:r>
      <w:r>
        <w:rPr/>
        <w:t>studies</w:t>
      </w:r>
      <w:r>
        <w:rPr>
          <w:spacing w:val="-7"/>
        </w:rPr>
        <w:t> </w:t>
      </w:r>
      <w:r>
        <w:rPr/>
        <w:t>on glomeruli inflammation (smallest kidney filter unit) and IgA nephropathy (IgAN).</w:t>
      </w:r>
      <w:r>
        <w:rPr>
          <w:position w:val="9"/>
          <w:sz w:val="25"/>
        </w:rPr>
        <w:t>602</w:t>
      </w:r>
    </w:p>
    <w:p>
      <w:pPr>
        <w:pStyle w:val="Heading1"/>
        <w:ind w:left="616"/>
      </w:pPr>
      <w:r>
        <w:rPr/>
        <w:t>Omega-3 fatty acids help against lupus erythematosus (SLE)</w:t>
      </w:r>
    </w:p>
    <w:p>
      <w:pPr>
        <w:pStyle w:val="BodyText"/>
        <w:spacing w:line="276" w:lineRule="auto" w:before="299"/>
        <w:ind w:left="616" w:right="137"/>
        <w:jc w:val="both"/>
        <w:rPr>
          <w:sz w:val="25"/>
        </w:rPr>
      </w:pPr>
      <w:r>
        <w:rPr/>
        <w:t>High doses of omega-3 fatty acids were effective against lupus erythematosus; even lower doses are helpful in the early stages.</w:t>
      </w:r>
      <w:r>
        <w:rPr>
          <w:position w:val="9"/>
          <w:sz w:val="25"/>
        </w:rPr>
        <w:t>603</w:t>
      </w:r>
    </w:p>
    <w:p>
      <w:pPr>
        <w:pStyle w:val="Heading1"/>
        <w:spacing w:before="222"/>
        <w:ind w:left="616"/>
      </w:pPr>
      <w:r>
        <w:rPr/>
        <w:t>Omega-3 fatty acids help with Crohn's disease</w:t>
      </w:r>
    </w:p>
    <w:p>
      <w:pPr>
        <w:pStyle w:val="BodyText"/>
        <w:spacing w:line="276" w:lineRule="auto" w:before="299"/>
        <w:ind w:left="616" w:right="137"/>
        <w:jc w:val="both"/>
        <w:rPr>
          <w:sz w:val="25"/>
        </w:rPr>
      </w:pPr>
      <w:r>
        <w:rPr/>
        <w:t>One</w:t>
      </w:r>
      <w:r>
        <w:rPr>
          <w:spacing w:val="-26"/>
        </w:rPr>
        <w:t> </w:t>
      </w:r>
      <w:r>
        <w:rPr/>
        <w:t>study</w:t>
      </w:r>
      <w:r>
        <w:rPr>
          <w:spacing w:val="-27"/>
        </w:rPr>
        <w:t> </w:t>
      </w:r>
      <w:r>
        <w:rPr/>
        <w:t>found</w:t>
      </w:r>
      <w:r>
        <w:rPr>
          <w:spacing w:val="-25"/>
        </w:rPr>
        <w:t> </w:t>
      </w:r>
      <w:r>
        <w:rPr/>
        <w:t>that</w:t>
      </w:r>
      <w:r>
        <w:rPr>
          <w:spacing w:val="-26"/>
        </w:rPr>
        <w:t> </w:t>
      </w:r>
      <w:r>
        <w:rPr/>
        <w:t>omega-3</w:t>
      </w:r>
      <w:r>
        <w:rPr>
          <w:spacing w:val="-27"/>
        </w:rPr>
        <w:t> </w:t>
      </w:r>
      <w:r>
        <w:rPr/>
        <w:t>fatty</w:t>
      </w:r>
      <w:r>
        <w:rPr>
          <w:spacing w:val="-26"/>
        </w:rPr>
        <w:t> </w:t>
      </w:r>
      <w:r>
        <w:rPr/>
        <w:t>acid</w:t>
      </w:r>
      <w:r>
        <w:rPr>
          <w:spacing w:val="-27"/>
        </w:rPr>
        <w:t> </w:t>
      </w:r>
      <w:r>
        <w:rPr/>
        <w:t>levels</w:t>
      </w:r>
      <w:r>
        <w:rPr>
          <w:spacing w:val="-26"/>
        </w:rPr>
        <w:t> </w:t>
      </w:r>
      <w:r>
        <w:rPr/>
        <w:t>were</w:t>
      </w:r>
      <w:r>
        <w:rPr>
          <w:spacing w:val="-25"/>
        </w:rPr>
        <w:t> </w:t>
      </w:r>
      <w:r>
        <w:rPr/>
        <w:t>below</w:t>
      </w:r>
      <w:r>
        <w:rPr>
          <w:spacing w:val="-27"/>
        </w:rPr>
        <w:t> </w:t>
      </w:r>
      <w:r>
        <w:rPr/>
        <w:t>the</w:t>
      </w:r>
      <w:r>
        <w:rPr>
          <w:spacing w:val="-25"/>
        </w:rPr>
        <w:t> </w:t>
      </w:r>
      <w:r>
        <w:rPr/>
        <w:t>norm</w:t>
      </w:r>
      <w:r>
        <w:rPr>
          <w:spacing w:val="-25"/>
        </w:rPr>
        <w:t> </w:t>
      </w:r>
      <w:r>
        <w:rPr/>
        <w:t>in</w:t>
      </w:r>
      <w:r>
        <w:rPr>
          <w:spacing w:val="-26"/>
        </w:rPr>
        <w:t> </w:t>
      </w:r>
      <w:r>
        <w:rPr/>
        <w:t>Crohn's disease patients compared to the control group; the researchers suggested in- creasing the consumption of fish oil to counteract Crohn's</w:t>
      </w:r>
      <w:r>
        <w:rPr>
          <w:spacing w:val="-5"/>
        </w:rPr>
        <w:t> </w:t>
      </w:r>
      <w:r>
        <w:rPr/>
        <w:t>disease.</w:t>
      </w:r>
      <w:r>
        <w:rPr>
          <w:position w:val="9"/>
          <w:sz w:val="25"/>
        </w:rPr>
        <w:t>604</w:t>
      </w:r>
    </w:p>
    <w:p>
      <w:pPr>
        <w:pStyle w:val="Heading1"/>
        <w:ind w:left="616"/>
        <w:jc w:val="both"/>
      </w:pPr>
      <w:r>
        <w:rPr/>
        <w:t>Omega-3</w:t>
      </w:r>
      <w:r>
        <w:rPr>
          <w:spacing w:val="-65"/>
        </w:rPr>
        <w:t> </w:t>
      </w:r>
      <w:r>
        <w:rPr/>
        <w:t>fatty</w:t>
      </w:r>
      <w:r>
        <w:rPr>
          <w:spacing w:val="-64"/>
        </w:rPr>
        <w:t> </w:t>
      </w:r>
      <w:r>
        <w:rPr/>
        <w:t>acids</w:t>
      </w:r>
      <w:r>
        <w:rPr>
          <w:spacing w:val="-66"/>
        </w:rPr>
        <w:t> </w:t>
      </w:r>
      <w:r>
        <w:rPr/>
        <w:t>help</w:t>
      </w:r>
      <w:r>
        <w:rPr>
          <w:spacing w:val="-65"/>
        </w:rPr>
        <w:t> </w:t>
      </w:r>
      <w:r>
        <w:rPr/>
        <w:t>against</w:t>
      </w:r>
      <w:r>
        <w:rPr>
          <w:spacing w:val="-65"/>
        </w:rPr>
        <w:t> </w:t>
      </w:r>
      <w:r>
        <w:rPr/>
        <w:t>gastric</w:t>
      </w:r>
      <w:r>
        <w:rPr>
          <w:spacing w:val="-65"/>
        </w:rPr>
        <w:t> </w:t>
      </w:r>
      <w:r>
        <w:rPr/>
        <w:t>and</w:t>
      </w:r>
      <w:r>
        <w:rPr>
          <w:spacing w:val="-64"/>
        </w:rPr>
        <w:t> </w:t>
      </w:r>
      <w:r>
        <w:rPr/>
        <w:t>duodenal</w:t>
      </w:r>
      <w:r>
        <w:rPr>
          <w:spacing w:val="-65"/>
        </w:rPr>
        <w:t> </w:t>
      </w:r>
      <w:r>
        <w:rPr/>
        <w:t>ulcers</w:t>
      </w:r>
      <w:r>
        <w:rPr>
          <w:spacing w:val="-64"/>
        </w:rPr>
        <w:t> </w:t>
      </w:r>
      <w:r>
        <w:rPr/>
        <w:t>in</w:t>
      </w:r>
      <w:r>
        <w:rPr>
          <w:spacing w:val="-66"/>
        </w:rPr>
        <w:t> </w:t>
      </w:r>
      <w:r>
        <w:rPr/>
        <w:t>studies</w:t>
      </w:r>
    </w:p>
    <w:p>
      <w:pPr>
        <w:pStyle w:val="BodyText"/>
        <w:spacing w:before="300"/>
        <w:ind w:left="616"/>
        <w:jc w:val="both"/>
      </w:pPr>
      <w:r>
        <w:rPr/>
        <w:t>Omega-3</w:t>
      </w:r>
      <w:r>
        <w:rPr>
          <w:spacing w:val="-21"/>
        </w:rPr>
        <w:t> </w:t>
      </w:r>
      <w:r>
        <w:rPr/>
        <w:t>fatty</w:t>
      </w:r>
      <w:r>
        <w:rPr>
          <w:spacing w:val="-22"/>
        </w:rPr>
        <w:t> </w:t>
      </w:r>
      <w:r>
        <w:rPr/>
        <w:t>acids</w:t>
      </w:r>
      <w:r>
        <w:rPr>
          <w:spacing w:val="-19"/>
        </w:rPr>
        <w:t> </w:t>
      </w:r>
      <w:r>
        <w:rPr/>
        <w:t>effectively</w:t>
      </w:r>
      <w:r>
        <w:rPr>
          <w:spacing w:val="-21"/>
        </w:rPr>
        <w:t> </w:t>
      </w:r>
      <w:r>
        <w:rPr/>
        <w:t>fight</w:t>
      </w:r>
      <w:r>
        <w:rPr>
          <w:spacing w:val="-21"/>
        </w:rPr>
        <w:t> </w:t>
      </w:r>
      <w:r>
        <w:rPr/>
        <w:t>the</w:t>
      </w:r>
      <w:r>
        <w:rPr>
          <w:spacing w:val="-19"/>
        </w:rPr>
        <w:t> </w:t>
      </w:r>
      <w:r>
        <w:rPr/>
        <w:t>bacterium</w:t>
      </w:r>
      <w:r>
        <w:rPr>
          <w:spacing w:val="-21"/>
        </w:rPr>
        <w:t> </w:t>
      </w:r>
      <w:r>
        <w:rPr/>
        <w:t>'helicobacter',</w:t>
      </w:r>
      <w:r>
        <w:rPr>
          <w:spacing w:val="-21"/>
        </w:rPr>
        <w:t> </w:t>
      </w:r>
      <w:r>
        <w:rPr/>
        <w:t>which</w:t>
      </w:r>
      <w:r>
        <w:rPr>
          <w:spacing w:val="-20"/>
        </w:rPr>
        <w:t> </w:t>
      </w:r>
      <w:r>
        <w:rPr/>
        <w:t>affects</w:t>
      </w:r>
    </w:p>
    <w:p>
      <w:pPr>
        <w:pStyle w:val="BodyText"/>
        <w:rPr>
          <w:sz w:val="20"/>
        </w:rPr>
      </w:pPr>
    </w:p>
    <w:p>
      <w:pPr>
        <w:pStyle w:val="BodyText"/>
        <w:spacing w:before="5"/>
        <w:rPr>
          <w:sz w:val="14"/>
        </w:rPr>
      </w:pPr>
      <w:r>
        <w:rPr/>
        <w:pict>
          <v:line style="position:absolute;mso-position-horizontal-relative:page;mso-position-vertical-relative:paragraph;z-index:7760;mso-wrap-distance-left:0;mso-wrap-distance-right:0" from="70.823997pt,10.517515pt" to="214.843997pt,10.517515pt" stroked="true" strokeweight=".71997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601 </w:t>
      </w:r>
      <w:r>
        <w:rPr>
          <w:sz w:val="20"/>
        </w:rPr>
        <w:t>Claasen N. et al.: Bone, 1995; 16 (Suppl), pp. 385-392</w:t>
      </w:r>
    </w:p>
    <w:p>
      <w:pPr>
        <w:spacing w:before="94"/>
        <w:ind w:left="616" w:right="0" w:firstLine="0"/>
        <w:jc w:val="left"/>
        <w:rPr>
          <w:sz w:val="20"/>
        </w:rPr>
      </w:pPr>
      <w:r>
        <w:rPr>
          <w:position w:val="5"/>
          <w:sz w:val="13"/>
        </w:rPr>
        <w:t>602 </w:t>
      </w:r>
      <w:r>
        <w:rPr>
          <w:sz w:val="20"/>
        </w:rPr>
        <w:t>Thaiss F., Deutsches Ärzteblatt (German Medical Journal), 2000; 97 (41), pp. A2708-A2711</w:t>
      </w:r>
    </w:p>
    <w:p>
      <w:pPr>
        <w:spacing w:before="95"/>
        <w:ind w:left="616" w:right="0" w:firstLine="0"/>
        <w:jc w:val="left"/>
        <w:rPr>
          <w:sz w:val="20"/>
        </w:rPr>
      </w:pPr>
      <w:r>
        <w:rPr>
          <w:position w:val="5"/>
          <w:sz w:val="13"/>
        </w:rPr>
        <w:t>603 </w:t>
      </w:r>
      <w:r>
        <w:rPr>
          <w:sz w:val="20"/>
        </w:rPr>
        <w:t>Mohan IK et al.: Prostagl Leukot Essent Fatty Acids, 1997; 56 (3), pp. 193–198</w:t>
      </w:r>
    </w:p>
    <w:p>
      <w:pPr>
        <w:spacing w:before="94"/>
        <w:ind w:left="616" w:right="0" w:firstLine="0"/>
        <w:jc w:val="left"/>
        <w:rPr>
          <w:sz w:val="20"/>
        </w:rPr>
      </w:pPr>
      <w:r>
        <w:rPr>
          <w:position w:val="5"/>
          <w:sz w:val="13"/>
        </w:rPr>
        <w:t>604 </w:t>
      </w:r>
      <w:r>
        <w:rPr>
          <w:sz w:val="20"/>
        </w:rPr>
        <w:t>Siguel E. et al.: Metabolism, 1995; 45 (1), p. 12 f.</w:t>
      </w:r>
    </w:p>
    <w:p>
      <w:pPr>
        <w:spacing w:after="0"/>
        <w:jc w:val="left"/>
        <w:rPr>
          <w:sz w:val="20"/>
        </w:rPr>
        <w:sectPr>
          <w:pgSz w:w="14270" w:h="16850"/>
          <w:pgMar w:header="0" w:footer="1984" w:top="1340" w:bottom="2180" w:left="800" w:right="1280"/>
        </w:sectPr>
      </w:pPr>
    </w:p>
    <w:p>
      <w:pPr>
        <w:pStyle w:val="BodyText"/>
        <w:spacing w:line="276" w:lineRule="auto" w:before="72"/>
        <w:ind w:left="616" w:right="132"/>
        <w:jc w:val="both"/>
        <w:rPr>
          <w:sz w:val="25"/>
        </w:rPr>
      </w:pPr>
      <w:r>
        <w:rPr/>
        <w:t>the</w:t>
      </w:r>
      <w:r>
        <w:rPr>
          <w:spacing w:val="-9"/>
        </w:rPr>
        <w:t> </w:t>
      </w:r>
      <w:r>
        <w:rPr/>
        <w:t>mucous</w:t>
      </w:r>
      <w:r>
        <w:rPr>
          <w:spacing w:val="-9"/>
        </w:rPr>
        <w:t> </w:t>
      </w:r>
      <w:r>
        <w:rPr/>
        <w:t>membranes</w:t>
      </w:r>
      <w:r>
        <w:rPr>
          <w:spacing w:val="-8"/>
        </w:rPr>
        <w:t> </w:t>
      </w:r>
      <w:r>
        <w:rPr/>
        <w:t>of</w:t>
      </w:r>
      <w:r>
        <w:rPr>
          <w:spacing w:val="-11"/>
        </w:rPr>
        <w:t> </w:t>
      </w:r>
      <w:r>
        <w:rPr/>
        <w:t>the</w:t>
      </w:r>
      <w:r>
        <w:rPr>
          <w:spacing w:val="-11"/>
        </w:rPr>
        <w:t> </w:t>
      </w:r>
      <w:r>
        <w:rPr/>
        <w:t>stomach</w:t>
      </w:r>
      <w:r>
        <w:rPr>
          <w:spacing w:val="-8"/>
        </w:rPr>
        <w:t> </w:t>
      </w:r>
      <w:r>
        <w:rPr/>
        <w:t>and</w:t>
      </w:r>
      <w:r>
        <w:rPr>
          <w:spacing w:val="-9"/>
        </w:rPr>
        <w:t> </w:t>
      </w:r>
      <w:r>
        <w:rPr/>
        <w:t>duodenum,</w:t>
      </w:r>
      <w:r>
        <w:rPr>
          <w:spacing w:val="-9"/>
        </w:rPr>
        <w:t> </w:t>
      </w:r>
      <w:r>
        <w:rPr/>
        <w:t>forms</w:t>
      </w:r>
      <w:r>
        <w:rPr>
          <w:spacing w:val="-11"/>
        </w:rPr>
        <w:t> </w:t>
      </w:r>
      <w:r>
        <w:rPr/>
        <w:t>ulcers</w:t>
      </w:r>
      <w:r>
        <w:rPr>
          <w:spacing w:val="-8"/>
        </w:rPr>
        <w:t> </w:t>
      </w:r>
      <w:r>
        <w:rPr/>
        <w:t>and</w:t>
      </w:r>
      <w:r>
        <w:rPr>
          <w:spacing w:val="-12"/>
        </w:rPr>
        <w:t> </w:t>
      </w:r>
      <w:r>
        <w:rPr/>
        <w:t>sup- presses their reproduction. According to studies, helicobacter is particularly prevalent in people who consume low amounts of omega-3 fatty acids in</w:t>
      </w:r>
      <w:r>
        <w:rPr>
          <w:spacing w:val="-59"/>
        </w:rPr>
        <w:t> </w:t>
      </w:r>
      <w:r>
        <w:rPr/>
        <w:t>their diet.</w:t>
      </w:r>
      <w:r>
        <w:rPr>
          <w:position w:val="9"/>
          <w:sz w:val="25"/>
        </w:rPr>
        <w:t>605</w:t>
      </w:r>
    </w:p>
    <w:p>
      <w:pPr>
        <w:pStyle w:val="Heading1"/>
        <w:ind w:left="616"/>
      </w:pPr>
      <w:r>
        <w:rPr/>
        <w:t>Omega-3 fatty acids strengthen vision in studies</w:t>
      </w:r>
    </w:p>
    <w:p>
      <w:pPr>
        <w:pStyle w:val="BodyText"/>
        <w:spacing w:line="276" w:lineRule="auto" w:before="299"/>
        <w:ind w:left="616"/>
        <w:rPr>
          <w:sz w:val="25"/>
        </w:rPr>
      </w:pPr>
      <w:r>
        <w:rPr/>
        <w:t>In a study, Australian researchers have found that just a single fish meal per week can reduce retinal degeneration and maintain vision.</w:t>
      </w:r>
      <w:r>
        <w:rPr>
          <w:position w:val="9"/>
          <w:sz w:val="25"/>
        </w:rPr>
        <w:t>606</w:t>
      </w:r>
    </w:p>
    <w:p>
      <w:pPr>
        <w:pStyle w:val="BodyText"/>
        <w:spacing w:before="3"/>
        <w:rPr>
          <w:sz w:val="60"/>
        </w:rPr>
      </w:pPr>
    </w:p>
    <w:p>
      <w:pPr>
        <w:pStyle w:val="Heading1"/>
        <w:spacing w:before="0"/>
        <w:ind w:left="616"/>
      </w:pPr>
      <w:r>
        <w:rPr/>
        <w:t>Effect of omega-3 fatty acids on eczema and psoriasis</w:t>
      </w:r>
    </w:p>
    <w:p>
      <w:pPr>
        <w:pStyle w:val="BodyText"/>
        <w:spacing w:line="276" w:lineRule="auto" w:before="297"/>
        <w:ind w:left="616"/>
        <w:rPr>
          <w:sz w:val="25"/>
        </w:rPr>
      </w:pPr>
      <w:r>
        <w:rPr/>
        <w:t>Researchers recommend omega-3 fatty acids to prevent flaky, dry skin as well as eczema and psoriasis.</w:t>
      </w:r>
      <w:r>
        <w:rPr>
          <w:position w:val="9"/>
          <w:sz w:val="25"/>
        </w:rPr>
        <w:t>607</w:t>
      </w:r>
    </w:p>
    <w:p>
      <w:pPr>
        <w:pStyle w:val="BodyText"/>
        <w:rPr>
          <w:sz w:val="42"/>
        </w:rPr>
      </w:pPr>
    </w:p>
    <w:p>
      <w:pPr>
        <w:pStyle w:val="BodyText"/>
        <w:rPr>
          <w:sz w:val="42"/>
        </w:rPr>
      </w:pPr>
    </w:p>
    <w:p>
      <w:pPr>
        <w:pStyle w:val="BodyText"/>
        <w:rPr>
          <w:sz w:val="42"/>
        </w:rPr>
      </w:pPr>
    </w:p>
    <w:p>
      <w:pPr>
        <w:pStyle w:val="BodyText"/>
        <w:spacing w:before="1"/>
        <w:rPr>
          <w:sz w:val="57"/>
        </w:rPr>
      </w:pPr>
    </w:p>
    <w:p>
      <w:pPr>
        <w:pStyle w:val="Heading1"/>
        <w:spacing w:before="0"/>
        <w:ind w:left="616"/>
      </w:pPr>
      <w:r>
        <w:rPr/>
        <w:t>Studies show effects of omega-3 fatty acids against tinnitus</w:t>
      </w:r>
    </w:p>
    <w:p>
      <w:pPr>
        <w:pStyle w:val="BodyText"/>
        <w:spacing w:line="276" w:lineRule="auto" w:before="297"/>
        <w:ind w:left="616" w:right="136"/>
        <w:jc w:val="both"/>
        <w:rPr>
          <w:sz w:val="25"/>
        </w:rPr>
      </w:pPr>
      <w:r>
        <w:rPr/>
        <w:t>According to a large study, people with a noticeably low DHA level are espe- cially susceptible to tinnitus. This is probably due to the disturbed flow of blood in the inner ear.</w:t>
      </w:r>
      <w:r>
        <w:rPr>
          <w:position w:val="9"/>
          <w:sz w:val="25"/>
        </w:rPr>
        <w:t>608</w:t>
      </w:r>
    </w:p>
    <w:p>
      <w:pPr>
        <w:pStyle w:val="Heading1"/>
        <w:spacing w:before="222"/>
        <w:ind w:left="616"/>
        <w:jc w:val="both"/>
      </w:pPr>
      <w:r>
        <w:rPr/>
        <w:t>Omega-3 fatty acids beneficial in studies on kidney disease</w:t>
      </w:r>
    </w:p>
    <w:p>
      <w:pPr>
        <w:pStyle w:val="BodyText"/>
        <w:rPr>
          <w:b/>
          <w:i/>
          <w:sz w:val="27"/>
        </w:rPr>
      </w:pPr>
      <w:r>
        <w:rPr/>
        <w:pict>
          <v:line style="position:absolute;mso-position-horizontal-relative:page;mso-position-vertical-relative:paragraph;z-index:7784;mso-wrap-distance-left:0;mso-wrap-distance-right:0" from="70.823997pt,17.548765pt" to="214.843997pt,17.548765pt" stroked="true" strokeweight=".71997pt" strokecolor="#000000">
            <v:stroke dashstyle="solid"/>
            <w10:wrap type="topAndBottom"/>
          </v:line>
        </w:pict>
      </w:r>
    </w:p>
    <w:p>
      <w:pPr>
        <w:pStyle w:val="BodyText"/>
        <w:spacing w:before="7"/>
        <w:rPr>
          <w:b/>
          <w:i/>
          <w:sz w:val="18"/>
        </w:rPr>
      </w:pPr>
    </w:p>
    <w:p>
      <w:pPr>
        <w:spacing w:before="99"/>
        <w:ind w:left="616" w:right="0" w:firstLine="0"/>
        <w:jc w:val="left"/>
        <w:rPr>
          <w:sz w:val="20"/>
        </w:rPr>
      </w:pPr>
      <w:r>
        <w:rPr>
          <w:position w:val="5"/>
          <w:sz w:val="13"/>
        </w:rPr>
        <w:t>605 </w:t>
      </w:r>
      <w:r>
        <w:rPr>
          <w:sz w:val="20"/>
        </w:rPr>
        <w:t>Manjari V. et al.: Prostagl Leukot Essent Fatty Acids, 1998</w:t>
      </w:r>
    </w:p>
    <w:p>
      <w:pPr>
        <w:spacing w:before="94"/>
        <w:ind w:left="616" w:right="0" w:firstLine="0"/>
        <w:jc w:val="left"/>
        <w:rPr>
          <w:sz w:val="20"/>
        </w:rPr>
      </w:pPr>
      <w:r>
        <w:rPr>
          <w:position w:val="5"/>
          <w:sz w:val="13"/>
        </w:rPr>
        <w:t>606 </w:t>
      </w:r>
      <w:r>
        <w:rPr>
          <w:sz w:val="20"/>
        </w:rPr>
        <w:t>Werkman S. et al.: Lipids, 1996; 31 (1), pp. 91-97</w:t>
      </w:r>
    </w:p>
    <w:p>
      <w:pPr>
        <w:spacing w:before="95"/>
        <w:ind w:left="616" w:right="0" w:firstLine="0"/>
        <w:jc w:val="left"/>
        <w:rPr>
          <w:sz w:val="20"/>
        </w:rPr>
      </w:pPr>
      <w:r>
        <w:rPr>
          <w:position w:val="5"/>
          <w:sz w:val="13"/>
        </w:rPr>
        <w:t>607 </w:t>
      </w:r>
      <w:r>
        <w:rPr>
          <w:sz w:val="20"/>
        </w:rPr>
        <w:t>Bjorneboe A. et al.: Br J Dermatol, 1987</w:t>
      </w:r>
    </w:p>
    <w:p>
      <w:pPr>
        <w:spacing w:before="94"/>
        <w:ind w:left="616" w:right="0" w:firstLine="0"/>
        <w:jc w:val="left"/>
        <w:rPr>
          <w:sz w:val="20"/>
        </w:rPr>
      </w:pPr>
      <w:r>
        <w:rPr>
          <w:position w:val="5"/>
          <w:sz w:val="13"/>
        </w:rPr>
        <w:t>608 </w:t>
      </w:r>
      <w:r>
        <w:rPr>
          <w:sz w:val="20"/>
        </w:rPr>
        <w:t>House JW et al.: Patient Care, 1991; April 15, pp. 82-96</w:t>
      </w:r>
    </w:p>
    <w:p>
      <w:pPr>
        <w:spacing w:after="0"/>
        <w:jc w:val="left"/>
        <w:rPr>
          <w:sz w:val="20"/>
        </w:rPr>
        <w:sectPr>
          <w:footerReference w:type="default" r:id="rId258"/>
          <w:pgSz w:w="14270" w:h="16850"/>
          <w:pgMar w:footer="1984" w:header="0" w:top="1340" w:bottom="2180" w:left="800" w:right="1280"/>
        </w:sectPr>
      </w:pPr>
    </w:p>
    <w:p>
      <w:pPr>
        <w:pStyle w:val="BodyText"/>
        <w:spacing w:line="276" w:lineRule="auto" w:before="72"/>
        <w:ind w:left="616" w:right="134"/>
        <w:jc w:val="both"/>
        <w:rPr>
          <w:sz w:val="25"/>
        </w:rPr>
      </w:pPr>
      <w:r>
        <w:rPr/>
        <w:t>The</w:t>
      </w:r>
      <w:r>
        <w:rPr>
          <w:spacing w:val="-18"/>
        </w:rPr>
        <w:t> </w:t>
      </w:r>
      <w:r>
        <w:rPr/>
        <w:t>ingestion</w:t>
      </w:r>
      <w:r>
        <w:rPr>
          <w:spacing w:val="-17"/>
        </w:rPr>
        <w:t> </w:t>
      </w:r>
      <w:r>
        <w:rPr/>
        <w:t>of</w:t>
      </w:r>
      <w:r>
        <w:rPr>
          <w:spacing w:val="-20"/>
        </w:rPr>
        <w:t> </w:t>
      </w:r>
      <w:r>
        <w:rPr/>
        <w:t>omega-3</w:t>
      </w:r>
      <w:r>
        <w:rPr>
          <w:spacing w:val="-18"/>
        </w:rPr>
        <w:t> </w:t>
      </w:r>
      <w:r>
        <w:rPr/>
        <w:t>fatty</w:t>
      </w:r>
      <w:r>
        <w:rPr>
          <w:spacing w:val="-20"/>
        </w:rPr>
        <w:t> </w:t>
      </w:r>
      <w:r>
        <w:rPr/>
        <w:t>acids</w:t>
      </w:r>
      <w:r>
        <w:rPr>
          <w:spacing w:val="-17"/>
        </w:rPr>
        <w:t> </w:t>
      </w:r>
      <w:r>
        <w:rPr/>
        <w:t>has</w:t>
      </w:r>
      <w:r>
        <w:rPr>
          <w:spacing w:val="-17"/>
        </w:rPr>
        <w:t> </w:t>
      </w:r>
      <w:r>
        <w:rPr/>
        <w:t>been</w:t>
      </w:r>
      <w:r>
        <w:rPr>
          <w:spacing w:val="-17"/>
        </w:rPr>
        <w:t> </w:t>
      </w:r>
      <w:r>
        <w:rPr/>
        <w:t>shown</w:t>
      </w:r>
      <w:r>
        <w:rPr>
          <w:spacing w:val="-18"/>
        </w:rPr>
        <w:t> </w:t>
      </w:r>
      <w:r>
        <w:rPr/>
        <w:t>to</w:t>
      </w:r>
      <w:r>
        <w:rPr>
          <w:spacing w:val="-18"/>
        </w:rPr>
        <w:t> </w:t>
      </w:r>
      <w:r>
        <w:rPr/>
        <w:t>be</w:t>
      </w:r>
      <w:r>
        <w:rPr>
          <w:spacing w:val="-18"/>
        </w:rPr>
        <w:t> </w:t>
      </w:r>
      <w:r>
        <w:rPr/>
        <w:t>beneficial</w:t>
      </w:r>
      <w:r>
        <w:rPr>
          <w:spacing w:val="-19"/>
        </w:rPr>
        <w:t> </w:t>
      </w:r>
      <w:r>
        <w:rPr/>
        <w:t>in</w:t>
      </w:r>
      <w:r>
        <w:rPr>
          <w:spacing w:val="-18"/>
        </w:rPr>
        <w:t> </w:t>
      </w:r>
      <w:r>
        <w:rPr/>
        <w:t>studies on glomeruli inflammation (smallest kidney filter unit), IgA nephropathy (IgAN).</w:t>
      </w:r>
      <w:r>
        <w:rPr>
          <w:position w:val="9"/>
          <w:sz w:val="25"/>
        </w:rPr>
        <w:t>609</w:t>
      </w:r>
    </w:p>
    <w:p>
      <w:pPr>
        <w:pStyle w:val="Heading1"/>
        <w:ind w:left="616"/>
      </w:pPr>
      <w:r>
        <w:rPr/>
        <w:t>Omega-3 fatty acids help with</w:t>
      </w:r>
      <w:r>
        <w:rPr>
          <w:spacing w:val="-52"/>
        </w:rPr>
        <w:t> </w:t>
      </w:r>
      <w:r>
        <w:rPr/>
        <w:t>insomnia</w:t>
      </w:r>
    </w:p>
    <w:p>
      <w:pPr>
        <w:pStyle w:val="BodyText"/>
        <w:spacing w:line="276" w:lineRule="auto" w:before="299"/>
        <w:ind w:left="616"/>
        <w:rPr>
          <w:sz w:val="25"/>
        </w:rPr>
      </w:pPr>
      <w:r>
        <w:rPr/>
        <w:t>According to a study, omega-3 fatty acids can regulate the formation of the 'biorhythm hormone' melatonin and provide for restful sleep.</w:t>
      </w:r>
      <w:r>
        <w:rPr>
          <w:position w:val="9"/>
          <w:sz w:val="25"/>
        </w:rPr>
        <w:t>610</w:t>
      </w:r>
    </w:p>
    <w:p>
      <w:pPr>
        <w:pStyle w:val="Heading1"/>
        <w:spacing w:before="222"/>
        <w:ind w:left="616"/>
      </w:pPr>
      <w:r>
        <w:rPr/>
        <w:t>Effect of omega-3 fatty acids on night blindness</w:t>
      </w:r>
    </w:p>
    <w:p>
      <w:pPr>
        <w:pStyle w:val="BodyText"/>
        <w:spacing w:line="276" w:lineRule="auto" w:before="299"/>
        <w:ind w:left="616"/>
        <w:rPr>
          <w:sz w:val="25"/>
        </w:rPr>
      </w:pPr>
      <w:r>
        <w:rPr/>
        <w:t>Regular dietary supplementation with DHA may, according to studies, coun- teract night blindness.</w:t>
      </w:r>
      <w:r>
        <w:rPr>
          <w:position w:val="9"/>
          <w:sz w:val="25"/>
        </w:rPr>
        <w:t>611</w:t>
      </w:r>
    </w:p>
    <w:p>
      <w:pPr>
        <w:pStyle w:val="Heading1"/>
        <w:spacing w:before="223"/>
        <w:ind w:left="616"/>
      </w:pPr>
      <w:r>
        <w:rPr/>
        <w:t>Omega-3 fatty acids help against</w:t>
      </w:r>
      <w:r>
        <w:rPr>
          <w:spacing w:val="-54"/>
        </w:rPr>
        <w:t> </w:t>
      </w:r>
      <w:r>
        <w:rPr/>
        <w:t>viruses</w:t>
      </w:r>
    </w:p>
    <w:p>
      <w:pPr>
        <w:pStyle w:val="BodyText"/>
        <w:spacing w:line="276" w:lineRule="auto" w:before="300"/>
        <w:ind w:left="616"/>
        <w:rPr>
          <w:sz w:val="25"/>
        </w:rPr>
      </w:pPr>
      <w:r>
        <w:rPr/>
        <w:t>Omega-3 fatty acids help against many viral diseases, such as herpes simplex virus.</w:t>
      </w:r>
      <w:r>
        <w:rPr>
          <w:position w:val="9"/>
          <w:sz w:val="25"/>
        </w:rPr>
        <w:t>612</w:t>
      </w:r>
    </w:p>
    <w:p>
      <w:pPr>
        <w:pStyle w:val="BodyText"/>
        <w:rPr>
          <w:sz w:val="42"/>
        </w:rPr>
      </w:pPr>
    </w:p>
    <w:p>
      <w:pPr>
        <w:pStyle w:val="BodyText"/>
        <w:spacing w:before="3"/>
        <w:rPr>
          <w:sz w:val="44"/>
        </w:rPr>
      </w:pPr>
    </w:p>
    <w:p>
      <w:pPr>
        <w:pStyle w:val="Heading2"/>
        <w:ind w:left="616"/>
      </w:pPr>
      <w:r>
        <w:rPr/>
        <w:t>Omega-3 fatty acids successful during pregnancy</w:t>
      </w:r>
    </w:p>
    <w:p>
      <w:pPr>
        <w:spacing w:before="287"/>
        <w:ind w:left="616" w:right="0" w:firstLine="0"/>
        <w:jc w:val="left"/>
        <w:rPr>
          <w:b/>
          <w:i/>
          <w:sz w:val="40"/>
        </w:rPr>
      </w:pPr>
      <w:r>
        <w:rPr>
          <w:b/>
          <w:i/>
          <w:sz w:val="40"/>
        </w:rPr>
        <w:t>Omega-3 fatty acids reduce the risk of premature birth</w:t>
      </w:r>
    </w:p>
    <w:p>
      <w:pPr>
        <w:pStyle w:val="BodyText"/>
        <w:spacing w:before="299"/>
        <w:ind w:left="616"/>
      </w:pPr>
      <w:r>
        <w:rPr/>
        <w:t>Premature birth is less common if supplementation of omega-3 fatty acids is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3"/>
        </w:rPr>
      </w:pPr>
      <w:r>
        <w:rPr/>
        <w:pict>
          <v:line style="position:absolute;mso-position-horizontal-relative:page;mso-position-vertical-relative:paragraph;z-index:7808;mso-wrap-distance-left:0;mso-wrap-distance-right:0" from="70.823997pt,15.373765pt" to="214.843997pt,15.373765pt" stroked="true" strokeweight=".71997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609 </w:t>
      </w:r>
      <w:r>
        <w:rPr>
          <w:sz w:val="20"/>
        </w:rPr>
        <w:t>Thaiss F., Deutsches Ärzteblatt (German Medical Journal), 2000; 97 (41), pp. A2708-A2711</w:t>
      </w:r>
    </w:p>
    <w:p>
      <w:pPr>
        <w:spacing w:before="94"/>
        <w:ind w:left="616" w:right="0" w:firstLine="0"/>
        <w:jc w:val="left"/>
        <w:rPr>
          <w:sz w:val="20"/>
        </w:rPr>
      </w:pPr>
      <w:r>
        <w:rPr>
          <w:position w:val="5"/>
          <w:sz w:val="13"/>
        </w:rPr>
        <w:t>610 </w:t>
      </w:r>
      <w:r>
        <w:rPr>
          <w:sz w:val="20"/>
        </w:rPr>
        <w:t>Zhang H. et al.: Lipid Res, 1998; 39, pp. 1397-1403</w:t>
      </w:r>
    </w:p>
    <w:p>
      <w:pPr>
        <w:spacing w:before="95"/>
        <w:ind w:left="616" w:right="0" w:firstLine="0"/>
        <w:jc w:val="left"/>
        <w:rPr>
          <w:sz w:val="20"/>
        </w:rPr>
      </w:pPr>
      <w:r>
        <w:rPr>
          <w:position w:val="5"/>
          <w:sz w:val="13"/>
        </w:rPr>
        <w:t>611 </w:t>
      </w:r>
      <w:r>
        <w:rPr>
          <w:sz w:val="20"/>
        </w:rPr>
        <w:t>Stordy BJ: Am J Clin Nutr, 2000; 118, pp. 401-404</w:t>
      </w:r>
    </w:p>
    <w:p>
      <w:pPr>
        <w:spacing w:before="94"/>
        <w:ind w:left="616" w:right="0" w:firstLine="0"/>
        <w:jc w:val="left"/>
        <w:rPr>
          <w:sz w:val="20"/>
        </w:rPr>
      </w:pPr>
      <w:r>
        <w:rPr>
          <w:position w:val="5"/>
          <w:sz w:val="13"/>
        </w:rPr>
        <w:t>612 </w:t>
      </w:r>
      <w:r>
        <w:rPr>
          <w:sz w:val="20"/>
        </w:rPr>
        <w:t>Omura Y., Acupunct Electrother Res, 1990; 15 (1), pp. 51-69</w:t>
      </w:r>
    </w:p>
    <w:p>
      <w:pPr>
        <w:spacing w:after="0"/>
        <w:jc w:val="left"/>
        <w:rPr>
          <w:sz w:val="20"/>
        </w:rPr>
        <w:sectPr>
          <w:footerReference w:type="default" r:id="rId259"/>
          <w:pgSz w:w="14270" w:h="16850"/>
          <w:pgMar w:footer="1984" w:header="0" w:top="1340" w:bottom="2180" w:left="800" w:right="1280"/>
          <w:pgNumType w:start="1064"/>
        </w:sectPr>
      </w:pPr>
    </w:p>
    <w:p>
      <w:pPr>
        <w:pStyle w:val="BodyText"/>
        <w:spacing w:before="72"/>
        <w:ind w:left="616"/>
        <w:rPr>
          <w:sz w:val="25"/>
        </w:rPr>
      </w:pPr>
      <w:r>
        <w:rPr/>
        <w:t>commenced before the 33rd week of pregnancy.</w:t>
      </w:r>
      <w:r>
        <w:rPr>
          <w:position w:val="9"/>
          <w:sz w:val="25"/>
        </w:rPr>
        <w:t>613</w:t>
      </w:r>
    </w:p>
    <w:p>
      <w:pPr>
        <w:pStyle w:val="Heading1"/>
        <w:spacing w:before="287"/>
        <w:ind w:left="616"/>
      </w:pPr>
      <w:r>
        <w:rPr/>
        <w:t>Postpartum depression falls with intake of omega-3 fatty acid</w:t>
      </w:r>
    </w:p>
    <w:p>
      <w:pPr>
        <w:pStyle w:val="BodyText"/>
        <w:spacing w:line="276" w:lineRule="auto" w:before="299"/>
        <w:ind w:left="616"/>
        <w:rPr>
          <w:sz w:val="25"/>
        </w:rPr>
      </w:pPr>
      <w:r>
        <w:rPr/>
        <w:t>Postpartum</w:t>
      </w:r>
      <w:r>
        <w:rPr>
          <w:spacing w:val="-23"/>
        </w:rPr>
        <w:t> </w:t>
      </w:r>
      <w:r>
        <w:rPr/>
        <w:t>depression</w:t>
      </w:r>
      <w:r>
        <w:rPr>
          <w:spacing w:val="-24"/>
        </w:rPr>
        <w:t> </w:t>
      </w:r>
      <w:r>
        <w:rPr/>
        <w:t>rarely</w:t>
      </w:r>
      <w:r>
        <w:rPr>
          <w:spacing w:val="-24"/>
        </w:rPr>
        <w:t> </w:t>
      </w:r>
      <w:r>
        <w:rPr/>
        <w:t>occurs</w:t>
      </w:r>
      <w:r>
        <w:rPr>
          <w:spacing w:val="-22"/>
        </w:rPr>
        <w:t> </w:t>
      </w:r>
      <w:r>
        <w:rPr/>
        <w:t>in</w:t>
      </w:r>
      <w:r>
        <w:rPr>
          <w:spacing w:val="-24"/>
        </w:rPr>
        <w:t> </w:t>
      </w:r>
      <w:r>
        <w:rPr/>
        <w:t>people</w:t>
      </w:r>
      <w:r>
        <w:rPr>
          <w:spacing w:val="-25"/>
        </w:rPr>
        <w:t> </w:t>
      </w:r>
      <w:r>
        <w:rPr/>
        <w:t>characterised</w:t>
      </w:r>
      <w:r>
        <w:rPr>
          <w:spacing w:val="-22"/>
        </w:rPr>
        <w:t> </w:t>
      </w:r>
      <w:r>
        <w:rPr/>
        <w:t>by</w:t>
      </w:r>
      <w:r>
        <w:rPr>
          <w:spacing w:val="-25"/>
        </w:rPr>
        <w:t> </w:t>
      </w:r>
      <w:r>
        <w:rPr/>
        <w:t>high</w:t>
      </w:r>
      <w:r>
        <w:rPr>
          <w:spacing w:val="-21"/>
        </w:rPr>
        <w:t> </w:t>
      </w:r>
      <w:r>
        <w:rPr/>
        <w:t>fish</w:t>
      </w:r>
      <w:r>
        <w:rPr>
          <w:spacing w:val="-23"/>
        </w:rPr>
        <w:t> </w:t>
      </w:r>
      <w:r>
        <w:rPr/>
        <w:t>intake or high levels of breast milk in</w:t>
      </w:r>
      <w:r>
        <w:rPr>
          <w:spacing w:val="-3"/>
        </w:rPr>
        <w:t> </w:t>
      </w:r>
      <w:r>
        <w:rPr/>
        <w:t>DHA.</w:t>
      </w:r>
      <w:r>
        <w:rPr>
          <w:position w:val="9"/>
          <w:sz w:val="25"/>
        </w:rPr>
        <w:t>614</w:t>
      </w:r>
    </w:p>
    <w:p>
      <w:pPr>
        <w:pStyle w:val="Heading1"/>
        <w:spacing w:line="261" w:lineRule="auto"/>
        <w:ind w:left="616" w:right="46"/>
      </w:pPr>
      <w:r>
        <w:rPr>
          <w:w w:val="95"/>
        </w:rPr>
        <w:t>Omega-3 fatty acid intake during pregnancy increases the children's in- </w:t>
      </w:r>
      <w:r>
        <w:rPr/>
        <w:t>telligence quotient</w:t>
      </w:r>
    </w:p>
    <w:p>
      <w:pPr>
        <w:pStyle w:val="BodyText"/>
        <w:spacing w:line="276" w:lineRule="auto" w:before="258"/>
        <w:ind w:left="616" w:right="133"/>
        <w:jc w:val="both"/>
        <w:rPr>
          <w:sz w:val="25"/>
        </w:rPr>
      </w:pPr>
      <w:r>
        <w:rPr/>
        <w:t>In an intervention study, four-year-old children whose mothers consumed 2 g eicosapentaenoic acid and docosahexaenoic acid every day during pregnancy had IQs which were 4 points higher than controls.</w:t>
      </w:r>
      <w:r>
        <w:rPr>
          <w:position w:val="9"/>
          <w:sz w:val="25"/>
        </w:rPr>
        <w:t>615</w:t>
      </w:r>
    </w:p>
    <w:p>
      <w:pPr>
        <w:pStyle w:val="Heading1"/>
        <w:spacing w:line="261" w:lineRule="auto"/>
        <w:ind w:left="616"/>
      </w:pPr>
      <w:r>
        <w:rPr>
          <w:w w:val="95"/>
        </w:rPr>
        <w:t>Complex brain performance in children taking omega-3 fatty acids</w:t>
      </w:r>
      <w:r>
        <w:rPr>
          <w:spacing w:val="-59"/>
          <w:w w:val="95"/>
        </w:rPr>
        <w:t> </w:t>
      </w:r>
      <w:r>
        <w:rPr>
          <w:w w:val="95"/>
        </w:rPr>
        <w:t>dur- </w:t>
      </w:r>
      <w:r>
        <w:rPr/>
        <w:t>ing breast-feeding</w:t>
      </w:r>
    </w:p>
    <w:p>
      <w:pPr>
        <w:pStyle w:val="BodyText"/>
        <w:spacing w:line="276" w:lineRule="auto" w:before="260"/>
        <w:ind w:left="616"/>
        <w:rPr>
          <w:sz w:val="25"/>
        </w:rPr>
      </w:pPr>
      <w:r>
        <w:rPr/>
        <w:t>In children whose mothers took eicosapentaenoic acid and docosahexaenoic acid during lactation, a better complex brain performance was found.</w:t>
      </w:r>
      <w:r>
        <w:rPr>
          <w:position w:val="9"/>
          <w:sz w:val="25"/>
        </w:rPr>
        <w:t>616</w:t>
      </w:r>
    </w:p>
    <w:p>
      <w:pPr>
        <w:pStyle w:val="Heading1"/>
        <w:spacing w:before="222"/>
        <w:ind w:left="616"/>
        <w:jc w:val="both"/>
      </w:pPr>
      <w:r>
        <w:rPr/>
        <w:t>Brain development in children promoted by omega-3 fatty acids</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16"/>
        </w:rPr>
      </w:pPr>
      <w:r>
        <w:rPr/>
        <w:pict>
          <v:line style="position:absolute;mso-position-horizontal-relative:page;mso-position-vertical-relative:paragraph;z-index:7832;mso-wrap-distance-left:0;mso-wrap-distance-right:0" from="70.823997pt,11.366265pt" to="214.843997pt,11.366265pt" stroked="true" strokeweight=".71997pt" strokecolor="#000000">
            <v:stroke dashstyle="solid"/>
            <w10:wrap type="topAndBottom"/>
          </v:line>
        </w:pict>
      </w:r>
    </w:p>
    <w:p>
      <w:pPr>
        <w:pStyle w:val="BodyText"/>
        <w:spacing w:before="7"/>
        <w:rPr>
          <w:b/>
          <w:i/>
          <w:sz w:val="18"/>
        </w:rPr>
      </w:pPr>
    </w:p>
    <w:p>
      <w:pPr>
        <w:spacing w:line="276" w:lineRule="auto" w:before="99"/>
        <w:ind w:left="616" w:right="156" w:firstLine="0"/>
        <w:jc w:val="left"/>
        <w:rPr>
          <w:sz w:val="20"/>
        </w:rPr>
      </w:pPr>
      <w:r>
        <w:rPr>
          <w:position w:val="5"/>
          <w:sz w:val="13"/>
        </w:rPr>
        <w:t>613 </w:t>
      </w:r>
      <w:r>
        <w:rPr>
          <w:sz w:val="20"/>
        </w:rPr>
        <w:t>Akrides M. et al.: Marine oil, and other prostaglandin precursor, supplementation for pregnancy uncomplicated by pre-eclampsia or intrauterine growth restriction. Cochrane Database Syst Rev, 2006; 3: CD003402; Olsen S. F. et al: Duration of pregnancy in relation to fish oil supplementa- tion and habitual fish intake: a randomised clinical trial with fish oil. Eur J Clin Nutr, 2007 Feb 7, e-pub</w:t>
      </w:r>
    </w:p>
    <w:p>
      <w:pPr>
        <w:spacing w:line="276" w:lineRule="auto" w:before="62"/>
        <w:ind w:left="616" w:right="0" w:firstLine="0"/>
        <w:jc w:val="left"/>
        <w:rPr>
          <w:sz w:val="20"/>
        </w:rPr>
      </w:pPr>
      <w:r>
        <w:rPr>
          <w:position w:val="5"/>
          <w:sz w:val="13"/>
        </w:rPr>
        <w:t>614 </w:t>
      </w:r>
      <w:r>
        <w:rPr>
          <w:sz w:val="20"/>
        </w:rPr>
        <w:t>Hibbeln J. R.: Seafood consumption, the DHA content of mothers' milk and prevalence rates of postpartum depression: a cross-national, ecolo- gical analysis. J Affect Disord, 2002; 69, p. 15</w:t>
      </w:r>
    </w:p>
    <w:p>
      <w:pPr>
        <w:spacing w:line="276" w:lineRule="auto" w:before="59"/>
        <w:ind w:left="616" w:right="244" w:firstLine="0"/>
        <w:jc w:val="left"/>
        <w:rPr>
          <w:sz w:val="20"/>
        </w:rPr>
      </w:pPr>
      <w:r>
        <w:rPr>
          <w:position w:val="5"/>
          <w:sz w:val="13"/>
        </w:rPr>
        <w:t>615 </w:t>
      </w:r>
      <w:r>
        <w:rPr>
          <w:sz w:val="20"/>
        </w:rPr>
        <w:t>Helland IB et al.: Maternal supplementation with very-long-chain n-3 fatty acids during pregnancy and lactation augments children's IQ at 4 years of age. Pediatrics, 2003; 111, pp. e39–44</w:t>
      </w:r>
    </w:p>
    <w:p>
      <w:pPr>
        <w:spacing w:line="276" w:lineRule="auto" w:before="61"/>
        <w:ind w:left="616" w:right="379" w:firstLine="0"/>
        <w:jc w:val="left"/>
        <w:rPr>
          <w:sz w:val="20"/>
        </w:rPr>
      </w:pPr>
      <w:r>
        <w:rPr>
          <w:position w:val="5"/>
          <w:sz w:val="13"/>
        </w:rPr>
        <w:t>616 </w:t>
      </w:r>
      <w:r>
        <w:rPr>
          <w:sz w:val="20"/>
        </w:rPr>
        <w:t>Jensen Craig L.: Effects of n-3 fatty acids during pregnancy and lactation. In: Am J Clin Nutr. 83, 2006, pp. 1452–1457; Bouwstra H. et al.: Long-chain polyunsaturated fatty acids have a positive effect on the quality of general movements of healthy term infants. Am J Clin Nutr, 2003; 78, pp. 313-318</w:t>
      </w:r>
    </w:p>
    <w:p>
      <w:pPr>
        <w:spacing w:after="0" w:line="276" w:lineRule="auto"/>
        <w:jc w:val="left"/>
        <w:rPr>
          <w:sz w:val="20"/>
        </w:rPr>
        <w:sectPr>
          <w:pgSz w:w="14270" w:h="16850"/>
          <w:pgMar w:header="0" w:footer="1984" w:top="1340" w:bottom="2180" w:left="800" w:right="1280"/>
        </w:sectPr>
      </w:pPr>
    </w:p>
    <w:p>
      <w:pPr>
        <w:pStyle w:val="BodyText"/>
        <w:spacing w:line="276" w:lineRule="auto" w:before="72"/>
        <w:ind w:left="616" w:right="137"/>
        <w:jc w:val="both"/>
        <w:rPr>
          <w:sz w:val="25"/>
        </w:rPr>
      </w:pPr>
      <w:r>
        <w:rPr/>
        <w:t>Brain</w:t>
      </w:r>
      <w:r>
        <w:rPr>
          <w:spacing w:val="-9"/>
        </w:rPr>
        <w:t> </w:t>
      </w:r>
      <w:r>
        <w:rPr/>
        <w:t>development</w:t>
      </w:r>
      <w:r>
        <w:rPr>
          <w:spacing w:val="-9"/>
        </w:rPr>
        <w:t> </w:t>
      </w:r>
      <w:r>
        <w:rPr/>
        <w:t>is</w:t>
      </w:r>
      <w:r>
        <w:rPr>
          <w:spacing w:val="-8"/>
        </w:rPr>
        <w:t> </w:t>
      </w:r>
      <w:r>
        <w:rPr/>
        <w:t>more</w:t>
      </w:r>
      <w:r>
        <w:rPr>
          <w:spacing w:val="-8"/>
        </w:rPr>
        <w:t> </w:t>
      </w:r>
      <w:r>
        <w:rPr/>
        <w:t>favourable</w:t>
      </w:r>
      <w:r>
        <w:rPr>
          <w:spacing w:val="-8"/>
        </w:rPr>
        <w:t> </w:t>
      </w:r>
      <w:r>
        <w:rPr/>
        <w:t>in</w:t>
      </w:r>
      <w:r>
        <w:rPr>
          <w:spacing w:val="-8"/>
        </w:rPr>
        <w:t> </w:t>
      </w:r>
      <w:r>
        <w:rPr/>
        <w:t>children</w:t>
      </w:r>
      <w:r>
        <w:rPr>
          <w:spacing w:val="-8"/>
        </w:rPr>
        <w:t> </w:t>
      </w:r>
      <w:r>
        <w:rPr/>
        <w:t>with</w:t>
      </w:r>
      <w:r>
        <w:rPr>
          <w:spacing w:val="-8"/>
        </w:rPr>
        <w:t> </w:t>
      </w:r>
      <w:r>
        <w:rPr/>
        <w:t>higher</w:t>
      </w:r>
      <w:r>
        <w:rPr>
          <w:spacing w:val="-8"/>
        </w:rPr>
        <w:t> </w:t>
      </w:r>
      <w:r>
        <w:rPr/>
        <w:t>levels</w:t>
      </w:r>
      <w:r>
        <w:rPr>
          <w:spacing w:val="-8"/>
        </w:rPr>
        <w:t> </w:t>
      </w:r>
      <w:r>
        <w:rPr/>
        <w:t>of</w:t>
      </w:r>
      <w:r>
        <w:rPr>
          <w:spacing w:val="-8"/>
        </w:rPr>
        <w:t> </w:t>
      </w:r>
      <w:r>
        <w:rPr/>
        <w:t>eicosa- pentaenoic acid and docosahexaenoic</w:t>
      </w:r>
      <w:r>
        <w:rPr>
          <w:spacing w:val="-3"/>
        </w:rPr>
        <w:t> </w:t>
      </w:r>
      <w:r>
        <w:rPr/>
        <w:t>acid.</w:t>
      </w:r>
      <w:r>
        <w:rPr>
          <w:position w:val="9"/>
          <w:sz w:val="25"/>
        </w:rPr>
        <w:t>617</w:t>
      </w:r>
    </w:p>
    <w:p>
      <w:pPr>
        <w:pStyle w:val="Heading2"/>
        <w:spacing w:before="241"/>
        <w:ind w:left="616"/>
      </w:pPr>
      <w:r>
        <w:rPr/>
        <w:t>Effect of omega-3 fatty acids</w:t>
      </w:r>
    </w:p>
    <w:p>
      <w:pPr>
        <w:pStyle w:val="BodyText"/>
        <w:spacing w:line="276" w:lineRule="auto" w:before="304"/>
        <w:ind w:left="616" w:right="137"/>
        <w:jc w:val="both"/>
      </w:pPr>
      <w:r>
        <w:rPr/>
        <w:t>To understand the wide-ranging effects of omega-3 fatty acids, it is important to first be aware of the physical functions that omega-3 fatty acids influence. These are:</w:t>
      </w:r>
    </w:p>
    <w:p>
      <w:pPr>
        <w:pStyle w:val="ListParagraph"/>
        <w:numPr>
          <w:ilvl w:val="0"/>
          <w:numId w:val="79"/>
        </w:numPr>
        <w:tabs>
          <w:tab w:pos="1617" w:val="left" w:leader="none"/>
          <w:tab w:pos="1618" w:val="left" w:leader="none"/>
        </w:tabs>
        <w:spacing w:line="240" w:lineRule="auto" w:before="121" w:after="0"/>
        <w:ind w:left="1617" w:right="0" w:hanging="643"/>
        <w:jc w:val="left"/>
        <w:rPr>
          <w:sz w:val="38"/>
        </w:rPr>
      </w:pPr>
      <w:r>
        <w:rPr>
          <w:sz w:val="38"/>
        </w:rPr>
        <w:t>hormone</w:t>
      </w:r>
      <w:r>
        <w:rPr>
          <w:spacing w:val="-2"/>
          <w:sz w:val="38"/>
        </w:rPr>
        <w:t> </w:t>
      </w:r>
      <w:r>
        <w:rPr>
          <w:sz w:val="38"/>
        </w:rPr>
        <w:t>production</w:t>
      </w:r>
    </w:p>
    <w:p>
      <w:pPr>
        <w:pStyle w:val="ListParagraph"/>
        <w:numPr>
          <w:ilvl w:val="0"/>
          <w:numId w:val="79"/>
        </w:numPr>
        <w:tabs>
          <w:tab w:pos="1617" w:val="left" w:leader="none"/>
          <w:tab w:pos="1618" w:val="left" w:leader="none"/>
        </w:tabs>
        <w:spacing w:line="240" w:lineRule="auto" w:before="186" w:after="0"/>
        <w:ind w:left="1617" w:right="0" w:hanging="643"/>
        <w:jc w:val="left"/>
        <w:rPr>
          <w:sz w:val="38"/>
        </w:rPr>
      </w:pPr>
      <w:r>
        <w:rPr>
          <w:sz w:val="38"/>
        </w:rPr>
        <w:t>cellular</w:t>
      </w:r>
      <w:r>
        <w:rPr>
          <w:spacing w:val="-1"/>
          <w:sz w:val="38"/>
        </w:rPr>
        <w:t> </w:t>
      </w:r>
      <w:r>
        <w:rPr>
          <w:sz w:val="38"/>
        </w:rPr>
        <w:t>respiration</w:t>
      </w:r>
    </w:p>
    <w:p>
      <w:pPr>
        <w:pStyle w:val="ListParagraph"/>
        <w:numPr>
          <w:ilvl w:val="0"/>
          <w:numId w:val="79"/>
        </w:numPr>
        <w:tabs>
          <w:tab w:pos="1617" w:val="left" w:leader="none"/>
          <w:tab w:pos="1618" w:val="left" w:leader="none"/>
        </w:tabs>
        <w:spacing w:line="240" w:lineRule="auto" w:before="184" w:after="0"/>
        <w:ind w:left="1617" w:right="0" w:hanging="643"/>
        <w:jc w:val="left"/>
        <w:rPr>
          <w:sz w:val="38"/>
        </w:rPr>
      </w:pPr>
      <w:r>
        <w:rPr>
          <w:sz w:val="38"/>
        </w:rPr>
        <w:t>cell</w:t>
      </w:r>
      <w:r>
        <w:rPr>
          <w:spacing w:val="-1"/>
          <w:sz w:val="38"/>
        </w:rPr>
        <w:t> </w:t>
      </w:r>
      <w:r>
        <w:rPr>
          <w:sz w:val="38"/>
        </w:rPr>
        <w:t>metabolism</w:t>
      </w:r>
    </w:p>
    <w:p>
      <w:pPr>
        <w:pStyle w:val="ListParagraph"/>
        <w:numPr>
          <w:ilvl w:val="0"/>
          <w:numId w:val="79"/>
        </w:numPr>
        <w:tabs>
          <w:tab w:pos="1617" w:val="left" w:leader="none"/>
          <w:tab w:pos="1618" w:val="left" w:leader="none"/>
        </w:tabs>
        <w:spacing w:line="240" w:lineRule="auto" w:before="183" w:after="0"/>
        <w:ind w:left="1617" w:right="0" w:hanging="643"/>
        <w:jc w:val="left"/>
        <w:rPr>
          <w:sz w:val="38"/>
        </w:rPr>
      </w:pPr>
      <w:r>
        <w:rPr>
          <w:sz w:val="38"/>
        </w:rPr>
        <w:t>protein synthesis</w:t>
      </w:r>
    </w:p>
    <w:p>
      <w:pPr>
        <w:pStyle w:val="ListParagraph"/>
        <w:numPr>
          <w:ilvl w:val="0"/>
          <w:numId w:val="79"/>
        </w:numPr>
        <w:tabs>
          <w:tab w:pos="1617" w:val="left" w:leader="none"/>
          <w:tab w:pos="1618" w:val="left" w:leader="none"/>
        </w:tabs>
        <w:spacing w:line="240" w:lineRule="auto" w:before="184" w:after="0"/>
        <w:ind w:left="1617" w:right="0" w:hanging="643"/>
        <w:jc w:val="left"/>
        <w:rPr>
          <w:sz w:val="38"/>
        </w:rPr>
      </w:pPr>
      <w:r>
        <w:rPr>
          <w:sz w:val="38"/>
        </w:rPr>
        <w:t>widening of the</w:t>
      </w:r>
      <w:r>
        <w:rPr>
          <w:spacing w:val="2"/>
          <w:sz w:val="38"/>
        </w:rPr>
        <w:t> </w:t>
      </w:r>
      <w:r>
        <w:rPr>
          <w:sz w:val="38"/>
        </w:rPr>
        <w:t>bronchia</w:t>
      </w:r>
    </w:p>
    <w:p>
      <w:pPr>
        <w:pStyle w:val="ListParagraph"/>
        <w:numPr>
          <w:ilvl w:val="0"/>
          <w:numId w:val="79"/>
        </w:numPr>
        <w:tabs>
          <w:tab w:pos="1617" w:val="left" w:leader="none"/>
          <w:tab w:pos="1618" w:val="left" w:leader="none"/>
        </w:tabs>
        <w:spacing w:line="240" w:lineRule="auto" w:before="186" w:after="0"/>
        <w:ind w:left="1617" w:right="0" w:hanging="643"/>
        <w:jc w:val="left"/>
        <w:rPr>
          <w:sz w:val="38"/>
        </w:rPr>
      </w:pPr>
      <w:r>
        <w:rPr>
          <w:sz w:val="38"/>
        </w:rPr>
        <w:t>improvement in oxygen supply to the</w:t>
      </w:r>
      <w:r>
        <w:rPr>
          <w:spacing w:val="-5"/>
          <w:sz w:val="38"/>
        </w:rPr>
        <w:t> </w:t>
      </w:r>
      <w:r>
        <w:rPr>
          <w:sz w:val="38"/>
        </w:rPr>
        <w:t>organs</w:t>
      </w:r>
    </w:p>
    <w:p>
      <w:pPr>
        <w:pStyle w:val="ListParagraph"/>
        <w:numPr>
          <w:ilvl w:val="0"/>
          <w:numId w:val="79"/>
        </w:numPr>
        <w:tabs>
          <w:tab w:pos="1617" w:val="left" w:leader="none"/>
          <w:tab w:pos="1618" w:val="left" w:leader="none"/>
        </w:tabs>
        <w:spacing w:line="240" w:lineRule="auto" w:before="184" w:after="0"/>
        <w:ind w:left="1617" w:right="0" w:hanging="643"/>
        <w:jc w:val="left"/>
        <w:rPr>
          <w:sz w:val="38"/>
        </w:rPr>
      </w:pPr>
      <w:r>
        <w:rPr>
          <w:sz w:val="38"/>
        </w:rPr>
        <w:t>dilation of the blood</w:t>
      </w:r>
      <w:r>
        <w:rPr>
          <w:spacing w:val="-1"/>
          <w:sz w:val="38"/>
        </w:rPr>
        <w:t> </w:t>
      </w:r>
      <w:r>
        <w:rPr>
          <w:sz w:val="38"/>
        </w:rPr>
        <w:t>vessels</w:t>
      </w:r>
    </w:p>
    <w:p>
      <w:pPr>
        <w:pStyle w:val="ListParagraph"/>
        <w:numPr>
          <w:ilvl w:val="0"/>
          <w:numId w:val="79"/>
        </w:numPr>
        <w:tabs>
          <w:tab w:pos="1617" w:val="left" w:leader="none"/>
          <w:tab w:pos="1618" w:val="left" w:leader="none"/>
        </w:tabs>
        <w:spacing w:line="240" w:lineRule="auto" w:before="183" w:after="0"/>
        <w:ind w:left="1617" w:right="0" w:hanging="643"/>
        <w:jc w:val="left"/>
        <w:rPr>
          <w:sz w:val="38"/>
        </w:rPr>
      </w:pPr>
      <w:r>
        <w:rPr>
          <w:sz w:val="38"/>
        </w:rPr>
        <w:t>protection of blood vessels from</w:t>
      </w:r>
      <w:r>
        <w:rPr>
          <w:spacing w:val="-2"/>
          <w:sz w:val="38"/>
        </w:rPr>
        <w:t> </w:t>
      </w:r>
      <w:r>
        <w:rPr>
          <w:sz w:val="38"/>
        </w:rPr>
        <w:t>atherosclerosis</w:t>
      </w:r>
    </w:p>
    <w:p>
      <w:pPr>
        <w:pStyle w:val="ListParagraph"/>
        <w:numPr>
          <w:ilvl w:val="0"/>
          <w:numId w:val="79"/>
        </w:numPr>
        <w:tabs>
          <w:tab w:pos="1617" w:val="left" w:leader="none"/>
          <w:tab w:pos="1618" w:val="left" w:leader="none"/>
        </w:tabs>
        <w:spacing w:line="240" w:lineRule="auto" w:before="184" w:after="0"/>
        <w:ind w:left="1617" w:right="0" w:hanging="643"/>
        <w:jc w:val="left"/>
        <w:rPr>
          <w:sz w:val="38"/>
        </w:rPr>
      </w:pPr>
      <w:r>
        <w:rPr>
          <w:sz w:val="38"/>
        </w:rPr>
        <w:t>formation of the body's own defence cells</w:t>
      </w:r>
    </w:p>
    <w:p>
      <w:pPr>
        <w:pStyle w:val="ListParagraph"/>
        <w:numPr>
          <w:ilvl w:val="0"/>
          <w:numId w:val="79"/>
        </w:numPr>
        <w:tabs>
          <w:tab w:pos="1617" w:val="left" w:leader="none"/>
          <w:tab w:pos="1618" w:val="left" w:leader="none"/>
        </w:tabs>
        <w:spacing w:line="240" w:lineRule="auto" w:before="184" w:after="0"/>
        <w:ind w:left="1617" w:right="0" w:hanging="643"/>
        <w:jc w:val="left"/>
        <w:rPr>
          <w:sz w:val="38"/>
        </w:rPr>
      </w:pPr>
      <w:r>
        <w:rPr>
          <w:sz w:val="38"/>
        </w:rPr>
        <w:t>increase in</w:t>
      </w:r>
      <w:r>
        <w:rPr>
          <w:spacing w:val="-2"/>
          <w:sz w:val="38"/>
        </w:rPr>
        <w:t> </w:t>
      </w:r>
      <w:r>
        <w:rPr>
          <w:sz w:val="38"/>
        </w:rPr>
        <w:t>performance</w:t>
      </w:r>
    </w:p>
    <w:p>
      <w:pPr>
        <w:pStyle w:val="ListParagraph"/>
        <w:numPr>
          <w:ilvl w:val="0"/>
          <w:numId w:val="79"/>
        </w:numPr>
        <w:tabs>
          <w:tab w:pos="1617" w:val="left" w:leader="none"/>
          <w:tab w:pos="1618" w:val="left" w:leader="none"/>
        </w:tabs>
        <w:spacing w:line="240" w:lineRule="auto" w:before="186" w:after="0"/>
        <w:ind w:left="1617" w:right="0" w:hanging="643"/>
        <w:jc w:val="left"/>
        <w:rPr>
          <w:sz w:val="38"/>
        </w:rPr>
      </w:pPr>
      <w:r>
        <w:rPr>
          <w:sz w:val="38"/>
        </w:rPr>
        <w:t>increase in</w:t>
      </w:r>
      <w:r>
        <w:rPr>
          <w:spacing w:val="-1"/>
          <w:sz w:val="38"/>
        </w:rPr>
        <w:t> </w:t>
      </w:r>
      <w:r>
        <w:rPr>
          <w:sz w:val="38"/>
        </w:rPr>
        <w:t>resistance</w:t>
      </w:r>
    </w:p>
    <w:p>
      <w:pPr>
        <w:pStyle w:val="ListParagraph"/>
        <w:numPr>
          <w:ilvl w:val="0"/>
          <w:numId w:val="79"/>
        </w:numPr>
        <w:tabs>
          <w:tab w:pos="1617" w:val="left" w:leader="none"/>
          <w:tab w:pos="1618" w:val="left" w:leader="none"/>
        </w:tabs>
        <w:spacing w:line="240" w:lineRule="auto" w:before="184" w:after="0"/>
        <w:ind w:left="1617" w:right="0" w:hanging="643"/>
        <w:jc w:val="left"/>
        <w:rPr>
          <w:sz w:val="38"/>
        </w:rPr>
      </w:pPr>
      <w:r>
        <w:rPr>
          <w:sz w:val="38"/>
        </w:rPr>
        <w:t>protection against infectious</w:t>
      </w:r>
      <w:r>
        <w:rPr>
          <w:spacing w:val="1"/>
          <w:sz w:val="38"/>
        </w:rPr>
        <w:t> </w:t>
      </w:r>
      <w:r>
        <w:rPr>
          <w:sz w:val="38"/>
        </w:rPr>
        <w:t>diseases</w:t>
      </w:r>
    </w:p>
    <w:p>
      <w:pPr>
        <w:pStyle w:val="BodyText"/>
        <w:rPr>
          <w:sz w:val="20"/>
        </w:rPr>
      </w:pPr>
    </w:p>
    <w:p>
      <w:pPr>
        <w:pStyle w:val="BodyText"/>
        <w:rPr>
          <w:sz w:val="20"/>
        </w:rPr>
      </w:pPr>
    </w:p>
    <w:p>
      <w:pPr>
        <w:pStyle w:val="BodyText"/>
        <w:spacing w:before="7"/>
        <w:rPr>
          <w:sz w:val="19"/>
        </w:rPr>
      </w:pPr>
      <w:r>
        <w:rPr/>
        <w:pict>
          <v:line style="position:absolute;mso-position-horizontal-relative:page;mso-position-vertical-relative:paragraph;z-index:7856;mso-wrap-distance-left:0;mso-wrap-distance-right:0" from="70.823997pt,13.433531pt" to="214.843997pt,13.433531pt" stroked="true" strokeweight=".71997pt" strokecolor="#000000">
            <v:stroke dashstyle="solid"/>
            <w10:wrap type="topAndBottom"/>
          </v:line>
        </w:pict>
      </w:r>
    </w:p>
    <w:p>
      <w:pPr>
        <w:pStyle w:val="BodyText"/>
        <w:spacing w:before="7"/>
        <w:rPr>
          <w:sz w:val="18"/>
        </w:rPr>
      </w:pPr>
    </w:p>
    <w:p>
      <w:pPr>
        <w:spacing w:line="276" w:lineRule="auto" w:before="99"/>
        <w:ind w:left="616" w:right="131" w:firstLine="0"/>
        <w:jc w:val="left"/>
        <w:rPr>
          <w:sz w:val="20"/>
        </w:rPr>
      </w:pPr>
      <w:r>
        <w:rPr>
          <w:position w:val="5"/>
          <w:sz w:val="13"/>
        </w:rPr>
        <w:t>617 </w:t>
      </w:r>
      <w:r>
        <w:rPr>
          <w:sz w:val="20"/>
        </w:rPr>
        <w:t>Jensen Craig L.: Effects of n-3 fatty acids during pregnancy and lactation. In: Am J Clin Nutr. 83, 2006, pp. 1452-1457; Dunstan JA et al.: Cogni- tive assessment at 2½ years following fish supplementation in pregnancy: a randomized controlled trial. Arch Dis Child Fetal Neonatal Ed, 2006 Dec 21, e-pub</w:t>
      </w:r>
    </w:p>
    <w:p>
      <w:pPr>
        <w:spacing w:after="0" w:line="276" w:lineRule="auto"/>
        <w:jc w:val="left"/>
        <w:rPr>
          <w:sz w:val="20"/>
        </w:rPr>
        <w:sectPr>
          <w:pgSz w:w="14270" w:h="16850"/>
          <w:pgMar w:header="0" w:footer="1984" w:top="1340" w:bottom="2500" w:left="800" w:right="1280"/>
        </w:sectPr>
      </w:pPr>
    </w:p>
    <w:p>
      <w:pPr>
        <w:pStyle w:val="ListParagraph"/>
        <w:numPr>
          <w:ilvl w:val="0"/>
          <w:numId w:val="79"/>
        </w:numPr>
        <w:tabs>
          <w:tab w:pos="1617" w:val="left" w:leader="none"/>
          <w:tab w:pos="1618" w:val="left" w:leader="none"/>
        </w:tabs>
        <w:spacing w:line="240" w:lineRule="auto" w:before="53" w:after="0"/>
        <w:ind w:left="1617" w:right="0" w:hanging="643"/>
        <w:jc w:val="left"/>
        <w:rPr>
          <w:sz w:val="38"/>
        </w:rPr>
      </w:pPr>
      <w:r>
        <w:rPr>
          <w:sz w:val="38"/>
        </w:rPr>
        <w:t>better metabolism of synovial</w:t>
      </w:r>
      <w:r>
        <w:rPr>
          <w:spacing w:val="-2"/>
          <w:sz w:val="38"/>
        </w:rPr>
        <w:t> </w:t>
      </w:r>
      <w:r>
        <w:rPr>
          <w:sz w:val="38"/>
        </w:rPr>
        <w:t>fluid</w:t>
      </w:r>
    </w:p>
    <w:p>
      <w:pPr>
        <w:pStyle w:val="ListParagraph"/>
        <w:numPr>
          <w:ilvl w:val="0"/>
          <w:numId w:val="79"/>
        </w:numPr>
        <w:tabs>
          <w:tab w:pos="1617" w:val="left" w:leader="none"/>
          <w:tab w:pos="1618" w:val="left" w:leader="none"/>
        </w:tabs>
        <w:spacing w:line="240" w:lineRule="auto" w:before="186" w:after="0"/>
        <w:ind w:left="1617" w:right="0" w:hanging="643"/>
        <w:jc w:val="left"/>
        <w:rPr>
          <w:sz w:val="38"/>
        </w:rPr>
      </w:pPr>
      <w:r>
        <w:rPr>
          <w:sz w:val="38"/>
        </w:rPr>
        <w:t>inhibition of</w:t>
      </w:r>
      <w:r>
        <w:rPr>
          <w:spacing w:val="-1"/>
          <w:sz w:val="38"/>
        </w:rPr>
        <w:t> </w:t>
      </w:r>
      <w:r>
        <w:rPr>
          <w:sz w:val="38"/>
        </w:rPr>
        <w:t>inflammation</w:t>
      </w:r>
    </w:p>
    <w:p>
      <w:pPr>
        <w:pStyle w:val="ListParagraph"/>
        <w:numPr>
          <w:ilvl w:val="0"/>
          <w:numId w:val="79"/>
        </w:numPr>
        <w:tabs>
          <w:tab w:pos="1617" w:val="left" w:leader="none"/>
          <w:tab w:pos="1618" w:val="left" w:leader="none"/>
        </w:tabs>
        <w:spacing w:line="240" w:lineRule="auto" w:before="184" w:after="0"/>
        <w:ind w:left="1617" w:right="0" w:hanging="643"/>
        <w:jc w:val="left"/>
        <w:rPr>
          <w:sz w:val="38"/>
        </w:rPr>
      </w:pPr>
      <w:r>
        <w:rPr>
          <w:sz w:val="38"/>
        </w:rPr>
        <w:t>protection of telomeres from</w:t>
      </w:r>
      <w:r>
        <w:rPr>
          <w:spacing w:val="-2"/>
          <w:sz w:val="38"/>
        </w:rPr>
        <w:t> </w:t>
      </w:r>
      <w:r>
        <w:rPr>
          <w:sz w:val="38"/>
        </w:rPr>
        <w:t>shortening</w:t>
      </w:r>
    </w:p>
    <w:p>
      <w:pPr>
        <w:pStyle w:val="BodyText"/>
        <w:spacing w:line="276" w:lineRule="auto" w:before="302"/>
        <w:ind w:left="616" w:right="135"/>
        <w:jc w:val="both"/>
      </w:pPr>
      <w:r>
        <w:rPr/>
        <w:t>Because these are crucial bodily functions that omega-3 fatty acids can influ- ence positively, the broad benefits of taking omega-3s on a regular basis, both prophylactically and therapeutically, become evident.</w:t>
      </w:r>
    </w:p>
    <w:p>
      <w:pPr>
        <w:pStyle w:val="BodyText"/>
        <w:spacing w:before="242"/>
        <w:ind w:left="616"/>
        <w:jc w:val="both"/>
      </w:pPr>
      <w:r>
        <w:rPr/>
        <w:t>In studies, omega-3 fatty acids showed a positive effect on:</w:t>
      </w:r>
    </w:p>
    <w:p>
      <w:pPr>
        <w:pStyle w:val="ListParagraph"/>
        <w:numPr>
          <w:ilvl w:val="0"/>
          <w:numId w:val="79"/>
        </w:numPr>
        <w:tabs>
          <w:tab w:pos="1521" w:val="left" w:leader="none"/>
          <w:tab w:pos="1522" w:val="left" w:leader="none"/>
        </w:tabs>
        <w:spacing w:line="240" w:lineRule="auto" w:before="265" w:after="0"/>
        <w:ind w:left="1521" w:right="0" w:hanging="547"/>
        <w:jc w:val="left"/>
        <w:rPr>
          <w:sz w:val="38"/>
        </w:rPr>
      </w:pPr>
      <w:r>
        <w:rPr>
          <w:sz w:val="38"/>
        </w:rPr>
        <w:t>Diabetes</w:t>
      </w:r>
    </w:p>
    <w:p>
      <w:pPr>
        <w:pStyle w:val="ListParagraph"/>
        <w:numPr>
          <w:ilvl w:val="0"/>
          <w:numId w:val="79"/>
        </w:numPr>
        <w:tabs>
          <w:tab w:pos="1521" w:val="left" w:leader="none"/>
          <w:tab w:pos="1522" w:val="left" w:leader="none"/>
        </w:tabs>
        <w:spacing w:line="240" w:lineRule="auto" w:before="184" w:after="0"/>
        <w:ind w:left="1521" w:right="0" w:hanging="547"/>
        <w:jc w:val="left"/>
        <w:rPr>
          <w:sz w:val="38"/>
        </w:rPr>
      </w:pPr>
      <w:r>
        <w:rPr>
          <w:sz w:val="38"/>
        </w:rPr>
        <w:t>Rheumatism</w:t>
      </w:r>
    </w:p>
    <w:p>
      <w:pPr>
        <w:pStyle w:val="ListParagraph"/>
        <w:numPr>
          <w:ilvl w:val="0"/>
          <w:numId w:val="79"/>
        </w:numPr>
        <w:tabs>
          <w:tab w:pos="1521" w:val="left" w:leader="none"/>
          <w:tab w:pos="1522" w:val="left" w:leader="none"/>
        </w:tabs>
        <w:spacing w:line="240" w:lineRule="auto" w:before="183" w:after="0"/>
        <w:ind w:left="1521" w:right="0" w:hanging="547"/>
        <w:jc w:val="left"/>
        <w:rPr>
          <w:sz w:val="38"/>
        </w:rPr>
      </w:pPr>
      <w:r>
        <w:rPr>
          <w:sz w:val="38"/>
        </w:rPr>
        <w:t>Cardiovascular disease</w:t>
      </w:r>
    </w:p>
    <w:p>
      <w:pPr>
        <w:pStyle w:val="ListParagraph"/>
        <w:numPr>
          <w:ilvl w:val="0"/>
          <w:numId w:val="79"/>
        </w:numPr>
        <w:tabs>
          <w:tab w:pos="1521" w:val="left" w:leader="none"/>
          <w:tab w:pos="1522" w:val="left" w:leader="none"/>
        </w:tabs>
        <w:spacing w:line="240" w:lineRule="auto" w:before="184" w:after="0"/>
        <w:ind w:left="1521" w:right="0" w:hanging="547"/>
        <w:jc w:val="left"/>
        <w:rPr>
          <w:sz w:val="38"/>
        </w:rPr>
      </w:pPr>
      <w:r>
        <w:rPr>
          <w:sz w:val="38"/>
        </w:rPr>
        <w:t>Atherosclerosis</w:t>
      </w:r>
    </w:p>
    <w:p>
      <w:pPr>
        <w:pStyle w:val="ListParagraph"/>
        <w:numPr>
          <w:ilvl w:val="0"/>
          <w:numId w:val="79"/>
        </w:numPr>
        <w:tabs>
          <w:tab w:pos="1521" w:val="left" w:leader="none"/>
          <w:tab w:pos="1522" w:val="left" w:leader="none"/>
        </w:tabs>
        <w:spacing w:line="240" w:lineRule="auto" w:before="186" w:after="0"/>
        <w:ind w:left="1521" w:right="0" w:hanging="547"/>
        <w:jc w:val="left"/>
        <w:rPr>
          <w:sz w:val="38"/>
        </w:rPr>
      </w:pPr>
      <w:r>
        <w:rPr>
          <w:sz w:val="38"/>
        </w:rPr>
        <w:t>Dyslipidemia</w:t>
      </w:r>
    </w:p>
    <w:p>
      <w:pPr>
        <w:pStyle w:val="ListParagraph"/>
        <w:numPr>
          <w:ilvl w:val="0"/>
          <w:numId w:val="79"/>
        </w:numPr>
        <w:tabs>
          <w:tab w:pos="1521" w:val="left" w:leader="none"/>
          <w:tab w:pos="1522" w:val="left" w:leader="none"/>
        </w:tabs>
        <w:spacing w:line="240" w:lineRule="auto" w:before="184" w:after="0"/>
        <w:ind w:left="1521" w:right="0" w:hanging="547"/>
        <w:jc w:val="left"/>
        <w:rPr>
          <w:sz w:val="38"/>
        </w:rPr>
      </w:pPr>
      <w:r>
        <w:rPr>
          <w:sz w:val="38"/>
        </w:rPr>
        <w:t>Alzheimer’s</w:t>
      </w:r>
    </w:p>
    <w:p>
      <w:pPr>
        <w:pStyle w:val="ListParagraph"/>
        <w:numPr>
          <w:ilvl w:val="0"/>
          <w:numId w:val="79"/>
        </w:numPr>
        <w:tabs>
          <w:tab w:pos="1521" w:val="left" w:leader="none"/>
          <w:tab w:pos="1522" w:val="left" w:leader="none"/>
        </w:tabs>
        <w:spacing w:line="240" w:lineRule="auto" w:before="184" w:after="0"/>
        <w:ind w:left="1521" w:right="0" w:hanging="547"/>
        <w:jc w:val="left"/>
        <w:rPr>
          <w:sz w:val="38"/>
        </w:rPr>
      </w:pPr>
      <w:r>
        <w:rPr>
          <w:sz w:val="38"/>
        </w:rPr>
        <w:t>Joint</w:t>
      </w:r>
      <w:r>
        <w:rPr>
          <w:spacing w:val="-2"/>
          <w:sz w:val="38"/>
        </w:rPr>
        <w:t> </w:t>
      </w:r>
      <w:r>
        <w:rPr>
          <w:sz w:val="38"/>
        </w:rPr>
        <w:t>pain</w:t>
      </w:r>
    </w:p>
    <w:p>
      <w:pPr>
        <w:pStyle w:val="ListParagraph"/>
        <w:numPr>
          <w:ilvl w:val="0"/>
          <w:numId w:val="79"/>
        </w:numPr>
        <w:tabs>
          <w:tab w:pos="1521" w:val="left" w:leader="none"/>
          <w:tab w:pos="1522" w:val="left" w:leader="none"/>
        </w:tabs>
        <w:spacing w:line="240" w:lineRule="auto" w:before="183" w:after="0"/>
        <w:ind w:left="1521" w:right="0" w:hanging="547"/>
        <w:jc w:val="left"/>
        <w:rPr>
          <w:sz w:val="38"/>
        </w:rPr>
      </w:pPr>
      <w:r>
        <w:rPr>
          <w:sz w:val="38"/>
        </w:rPr>
        <w:t>Asthma</w:t>
      </w:r>
    </w:p>
    <w:p>
      <w:pPr>
        <w:pStyle w:val="ListParagraph"/>
        <w:numPr>
          <w:ilvl w:val="0"/>
          <w:numId w:val="79"/>
        </w:numPr>
        <w:tabs>
          <w:tab w:pos="1521" w:val="left" w:leader="none"/>
          <w:tab w:pos="1522" w:val="left" w:leader="none"/>
        </w:tabs>
        <w:spacing w:line="240" w:lineRule="auto" w:before="184" w:after="0"/>
        <w:ind w:left="1521" w:right="0" w:hanging="547"/>
        <w:jc w:val="left"/>
        <w:rPr>
          <w:sz w:val="38"/>
        </w:rPr>
      </w:pPr>
      <w:r>
        <w:rPr>
          <w:sz w:val="38"/>
        </w:rPr>
        <w:t>Bronchitis</w:t>
      </w:r>
    </w:p>
    <w:p>
      <w:pPr>
        <w:pStyle w:val="ListParagraph"/>
        <w:numPr>
          <w:ilvl w:val="0"/>
          <w:numId w:val="79"/>
        </w:numPr>
        <w:tabs>
          <w:tab w:pos="1521" w:val="left" w:leader="none"/>
          <w:tab w:pos="1522" w:val="left" w:leader="none"/>
        </w:tabs>
        <w:spacing w:line="240" w:lineRule="auto" w:before="186" w:after="0"/>
        <w:ind w:left="1521" w:right="0" w:hanging="547"/>
        <w:jc w:val="left"/>
        <w:rPr>
          <w:sz w:val="38"/>
        </w:rPr>
      </w:pPr>
      <w:r>
        <w:rPr>
          <w:sz w:val="38"/>
        </w:rPr>
        <w:t>Other respiratory</w:t>
      </w:r>
      <w:r>
        <w:rPr>
          <w:spacing w:val="1"/>
          <w:sz w:val="38"/>
        </w:rPr>
        <w:t> </w:t>
      </w:r>
      <w:r>
        <w:rPr>
          <w:sz w:val="38"/>
        </w:rPr>
        <w:t>diseases</w:t>
      </w:r>
    </w:p>
    <w:p>
      <w:pPr>
        <w:pStyle w:val="ListParagraph"/>
        <w:numPr>
          <w:ilvl w:val="0"/>
          <w:numId w:val="79"/>
        </w:numPr>
        <w:tabs>
          <w:tab w:pos="1521" w:val="left" w:leader="none"/>
          <w:tab w:pos="1522" w:val="left" w:leader="none"/>
        </w:tabs>
        <w:spacing w:line="240" w:lineRule="auto" w:before="184" w:after="0"/>
        <w:ind w:left="1521" w:right="0" w:hanging="547"/>
        <w:jc w:val="left"/>
        <w:rPr>
          <w:sz w:val="38"/>
        </w:rPr>
      </w:pPr>
      <w:r>
        <w:rPr>
          <w:sz w:val="38"/>
        </w:rPr>
        <w:t>Attention Deficit Hyperactivity Disorder (ADHD)</w:t>
      </w:r>
    </w:p>
    <w:p>
      <w:pPr>
        <w:pStyle w:val="ListParagraph"/>
        <w:numPr>
          <w:ilvl w:val="0"/>
          <w:numId w:val="79"/>
        </w:numPr>
        <w:tabs>
          <w:tab w:pos="1521" w:val="left" w:leader="none"/>
          <w:tab w:pos="1522" w:val="left" w:leader="none"/>
        </w:tabs>
        <w:spacing w:line="240" w:lineRule="auto" w:before="184" w:after="0"/>
        <w:ind w:left="1521" w:right="0" w:hanging="547"/>
        <w:jc w:val="left"/>
        <w:rPr>
          <w:sz w:val="38"/>
        </w:rPr>
      </w:pPr>
      <w:r>
        <w:rPr>
          <w:sz w:val="38"/>
        </w:rPr>
        <w:t>Depression</w:t>
      </w:r>
    </w:p>
    <w:p>
      <w:pPr>
        <w:spacing w:after="0" w:line="240" w:lineRule="auto"/>
        <w:jc w:val="left"/>
        <w:rPr>
          <w:sz w:val="38"/>
        </w:rPr>
        <w:sectPr>
          <w:footerReference w:type="default" r:id="rId260"/>
          <w:pgSz w:w="14270" w:h="16850"/>
          <w:pgMar w:footer="1891" w:header="0" w:top="1360" w:bottom="2080" w:left="800" w:right="1280"/>
          <w:pgNumType w:start="1067"/>
        </w:sectPr>
      </w:pPr>
    </w:p>
    <w:p>
      <w:pPr>
        <w:pStyle w:val="ListParagraph"/>
        <w:numPr>
          <w:ilvl w:val="0"/>
          <w:numId w:val="79"/>
        </w:numPr>
        <w:tabs>
          <w:tab w:pos="1521" w:val="left" w:leader="none"/>
          <w:tab w:pos="1522" w:val="left" w:leader="none"/>
        </w:tabs>
        <w:spacing w:line="240" w:lineRule="auto" w:before="53" w:after="0"/>
        <w:ind w:left="1521" w:right="0" w:hanging="547"/>
        <w:jc w:val="left"/>
        <w:rPr>
          <w:sz w:val="38"/>
        </w:rPr>
      </w:pPr>
      <w:r>
        <w:rPr>
          <w:sz w:val="38"/>
        </w:rPr>
        <w:t>Psychosis</w:t>
      </w:r>
    </w:p>
    <w:p>
      <w:pPr>
        <w:pStyle w:val="ListParagraph"/>
        <w:numPr>
          <w:ilvl w:val="0"/>
          <w:numId w:val="79"/>
        </w:numPr>
        <w:tabs>
          <w:tab w:pos="1521" w:val="left" w:leader="none"/>
          <w:tab w:pos="1522" w:val="left" w:leader="none"/>
        </w:tabs>
        <w:spacing w:line="240" w:lineRule="auto" w:before="186" w:after="0"/>
        <w:ind w:left="1521" w:right="0" w:hanging="547"/>
        <w:jc w:val="left"/>
        <w:rPr>
          <w:sz w:val="38"/>
        </w:rPr>
      </w:pPr>
      <w:r>
        <w:rPr>
          <w:sz w:val="38"/>
        </w:rPr>
        <w:t>Dementia</w:t>
      </w:r>
    </w:p>
    <w:p>
      <w:pPr>
        <w:pStyle w:val="ListParagraph"/>
        <w:numPr>
          <w:ilvl w:val="0"/>
          <w:numId w:val="79"/>
        </w:numPr>
        <w:tabs>
          <w:tab w:pos="1521" w:val="left" w:leader="none"/>
          <w:tab w:pos="1522" w:val="left" w:leader="none"/>
        </w:tabs>
        <w:spacing w:line="240" w:lineRule="auto" w:before="184" w:after="0"/>
        <w:ind w:left="1521" w:right="0" w:hanging="547"/>
        <w:jc w:val="left"/>
        <w:rPr>
          <w:sz w:val="38"/>
        </w:rPr>
      </w:pPr>
      <w:r>
        <w:rPr>
          <w:sz w:val="38"/>
        </w:rPr>
        <w:t>Psoriasis and eczema</w:t>
      </w:r>
    </w:p>
    <w:p>
      <w:pPr>
        <w:pStyle w:val="ListParagraph"/>
        <w:numPr>
          <w:ilvl w:val="0"/>
          <w:numId w:val="79"/>
        </w:numPr>
        <w:tabs>
          <w:tab w:pos="1521" w:val="left" w:leader="none"/>
          <w:tab w:pos="1522" w:val="left" w:leader="none"/>
        </w:tabs>
        <w:spacing w:line="240" w:lineRule="auto" w:before="184" w:after="0"/>
        <w:ind w:left="1521" w:right="0" w:hanging="547"/>
        <w:jc w:val="left"/>
        <w:rPr>
          <w:sz w:val="38"/>
        </w:rPr>
      </w:pPr>
      <w:r>
        <w:rPr>
          <w:sz w:val="38"/>
        </w:rPr>
        <w:t>Neurodermatitis</w:t>
      </w:r>
    </w:p>
    <w:p>
      <w:pPr>
        <w:pStyle w:val="ListParagraph"/>
        <w:numPr>
          <w:ilvl w:val="0"/>
          <w:numId w:val="79"/>
        </w:numPr>
        <w:tabs>
          <w:tab w:pos="1521" w:val="left" w:leader="none"/>
          <w:tab w:pos="1522" w:val="left" w:leader="none"/>
        </w:tabs>
        <w:spacing w:line="240" w:lineRule="auto" w:before="183" w:after="0"/>
        <w:ind w:left="1521" w:right="0" w:hanging="547"/>
        <w:jc w:val="left"/>
        <w:rPr>
          <w:sz w:val="38"/>
        </w:rPr>
      </w:pPr>
      <w:r>
        <w:rPr>
          <w:sz w:val="38"/>
        </w:rPr>
        <w:t>Kidney disease</w:t>
      </w:r>
    </w:p>
    <w:p>
      <w:pPr>
        <w:pStyle w:val="ListParagraph"/>
        <w:numPr>
          <w:ilvl w:val="0"/>
          <w:numId w:val="79"/>
        </w:numPr>
        <w:tabs>
          <w:tab w:pos="1521" w:val="left" w:leader="none"/>
          <w:tab w:pos="1522" w:val="left" w:leader="none"/>
        </w:tabs>
        <w:spacing w:line="240" w:lineRule="auto" w:before="184" w:after="0"/>
        <w:ind w:left="1521" w:right="0" w:hanging="547"/>
        <w:jc w:val="left"/>
        <w:rPr>
          <w:sz w:val="38"/>
        </w:rPr>
      </w:pPr>
      <w:r>
        <w:rPr>
          <w:sz w:val="38"/>
        </w:rPr>
        <w:t>Viral</w:t>
      </w:r>
      <w:r>
        <w:rPr>
          <w:spacing w:val="-2"/>
          <w:sz w:val="38"/>
        </w:rPr>
        <w:t> </w:t>
      </w:r>
      <w:r>
        <w:rPr>
          <w:sz w:val="38"/>
        </w:rPr>
        <w:t>infections</w:t>
      </w:r>
    </w:p>
    <w:p>
      <w:pPr>
        <w:pStyle w:val="ListParagraph"/>
        <w:numPr>
          <w:ilvl w:val="0"/>
          <w:numId w:val="79"/>
        </w:numPr>
        <w:tabs>
          <w:tab w:pos="1521" w:val="left" w:leader="none"/>
          <w:tab w:pos="1522" w:val="left" w:leader="none"/>
        </w:tabs>
        <w:spacing w:line="240" w:lineRule="auto" w:before="186" w:after="0"/>
        <w:ind w:left="1521" w:right="0" w:hanging="547"/>
        <w:jc w:val="left"/>
        <w:rPr>
          <w:sz w:val="38"/>
        </w:rPr>
      </w:pPr>
      <w:r>
        <w:rPr>
          <w:sz w:val="38"/>
        </w:rPr>
        <w:t>Poor</w:t>
      </w:r>
      <w:r>
        <w:rPr>
          <w:spacing w:val="-3"/>
          <w:sz w:val="38"/>
        </w:rPr>
        <w:t> </w:t>
      </w:r>
      <w:r>
        <w:rPr>
          <w:sz w:val="38"/>
        </w:rPr>
        <w:t>eyesight</w:t>
      </w:r>
    </w:p>
    <w:p>
      <w:pPr>
        <w:pStyle w:val="ListParagraph"/>
        <w:numPr>
          <w:ilvl w:val="0"/>
          <w:numId w:val="79"/>
        </w:numPr>
        <w:tabs>
          <w:tab w:pos="1521" w:val="left" w:leader="none"/>
          <w:tab w:pos="1522" w:val="left" w:leader="none"/>
        </w:tabs>
        <w:spacing w:line="240" w:lineRule="auto" w:before="184" w:after="0"/>
        <w:ind w:left="1521" w:right="0" w:hanging="547"/>
        <w:jc w:val="left"/>
        <w:rPr>
          <w:sz w:val="38"/>
        </w:rPr>
      </w:pPr>
      <w:r>
        <w:rPr>
          <w:sz w:val="38"/>
        </w:rPr>
        <w:t>Sleep</w:t>
      </w:r>
      <w:r>
        <w:rPr>
          <w:spacing w:val="-3"/>
          <w:sz w:val="38"/>
        </w:rPr>
        <w:t> </w:t>
      </w:r>
      <w:r>
        <w:rPr>
          <w:sz w:val="38"/>
        </w:rPr>
        <w:t>disorders</w:t>
      </w:r>
    </w:p>
    <w:p>
      <w:pPr>
        <w:pStyle w:val="ListParagraph"/>
        <w:numPr>
          <w:ilvl w:val="0"/>
          <w:numId w:val="79"/>
        </w:numPr>
        <w:tabs>
          <w:tab w:pos="1521" w:val="left" w:leader="none"/>
          <w:tab w:pos="1522" w:val="left" w:leader="none"/>
        </w:tabs>
        <w:spacing w:line="240" w:lineRule="auto" w:before="184" w:after="0"/>
        <w:ind w:left="1521" w:right="0" w:hanging="547"/>
        <w:jc w:val="left"/>
        <w:rPr>
          <w:sz w:val="38"/>
        </w:rPr>
      </w:pPr>
      <w:r>
        <w:rPr>
          <w:sz w:val="38"/>
        </w:rPr>
        <w:t>Stomach</w:t>
      </w:r>
      <w:r>
        <w:rPr>
          <w:spacing w:val="-4"/>
          <w:sz w:val="38"/>
        </w:rPr>
        <w:t> </w:t>
      </w:r>
      <w:r>
        <w:rPr>
          <w:sz w:val="38"/>
        </w:rPr>
        <w:t>ulcers</w:t>
      </w:r>
    </w:p>
    <w:p>
      <w:pPr>
        <w:pStyle w:val="ListParagraph"/>
        <w:numPr>
          <w:ilvl w:val="0"/>
          <w:numId w:val="79"/>
        </w:numPr>
        <w:tabs>
          <w:tab w:pos="1521" w:val="left" w:leader="none"/>
          <w:tab w:pos="1522" w:val="left" w:leader="none"/>
        </w:tabs>
        <w:spacing w:line="240" w:lineRule="auto" w:before="183" w:after="0"/>
        <w:ind w:left="1521" w:right="0" w:hanging="547"/>
        <w:jc w:val="left"/>
        <w:rPr>
          <w:sz w:val="38"/>
        </w:rPr>
      </w:pPr>
      <w:r>
        <w:rPr>
          <w:sz w:val="38"/>
        </w:rPr>
        <w:t>Duodenal</w:t>
      </w:r>
      <w:r>
        <w:rPr>
          <w:spacing w:val="-2"/>
          <w:sz w:val="38"/>
        </w:rPr>
        <w:t> </w:t>
      </w:r>
      <w:r>
        <w:rPr>
          <w:sz w:val="38"/>
        </w:rPr>
        <w:t>ulcers</w:t>
      </w:r>
    </w:p>
    <w:p>
      <w:pPr>
        <w:pStyle w:val="ListParagraph"/>
        <w:numPr>
          <w:ilvl w:val="0"/>
          <w:numId w:val="79"/>
        </w:numPr>
        <w:tabs>
          <w:tab w:pos="1521" w:val="left" w:leader="none"/>
          <w:tab w:pos="1522" w:val="left" w:leader="none"/>
        </w:tabs>
        <w:spacing w:line="240" w:lineRule="auto" w:before="186" w:after="0"/>
        <w:ind w:left="1521" w:right="0" w:hanging="547"/>
        <w:jc w:val="left"/>
        <w:rPr>
          <w:sz w:val="38"/>
        </w:rPr>
      </w:pPr>
      <w:r>
        <w:rPr>
          <w:sz w:val="38"/>
        </w:rPr>
        <w:t>Inflammatory bowel disease</w:t>
      </w:r>
    </w:p>
    <w:p>
      <w:pPr>
        <w:pStyle w:val="ListParagraph"/>
        <w:numPr>
          <w:ilvl w:val="0"/>
          <w:numId w:val="79"/>
        </w:numPr>
        <w:tabs>
          <w:tab w:pos="1521" w:val="left" w:leader="none"/>
          <w:tab w:pos="1522" w:val="left" w:leader="none"/>
        </w:tabs>
        <w:spacing w:line="240" w:lineRule="auto" w:before="184" w:after="0"/>
        <w:ind w:left="1521" w:right="0" w:hanging="547"/>
        <w:jc w:val="left"/>
        <w:rPr>
          <w:sz w:val="38"/>
        </w:rPr>
      </w:pPr>
      <w:r>
        <w:rPr>
          <w:sz w:val="38"/>
        </w:rPr>
        <w:t>Gastritis</w:t>
      </w:r>
    </w:p>
    <w:p>
      <w:pPr>
        <w:pStyle w:val="ListParagraph"/>
        <w:numPr>
          <w:ilvl w:val="0"/>
          <w:numId w:val="79"/>
        </w:numPr>
        <w:tabs>
          <w:tab w:pos="1521" w:val="left" w:leader="none"/>
          <w:tab w:pos="1522" w:val="left" w:leader="none"/>
        </w:tabs>
        <w:spacing w:line="240" w:lineRule="auto" w:before="184" w:after="0"/>
        <w:ind w:left="1521" w:right="0" w:hanging="547"/>
        <w:jc w:val="left"/>
        <w:rPr>
          <w:sz w:val="38"/>
        </w:rPr>
      </w:pPr>
      <w:r>
        <w:rPr>
          <w:sz w:val="38"/>
        </w:rPr>
        <w:t>Crohn's</w:t>
      </w:r>
      <w:r>
        <w:rPr>
          <w:spacing w:val="-3"/>
          <w:sz w:val="38"/>
        </w:rPr>
        <w:t> </w:t>
      </w:r>
      <w:r>
        <w:rPr>
          <w:sz w:val="38"/>
        </w:rPr>
        <w:t>disease</w:t>
      </w:r>
    </w:p>
    <w:p>
      <w:pPr>
        <w:pStyle w:val="ListParagraph"/>
        <w:numPr>
          <w:ilvl w:val="0"/>
          <w:numId w:val="79"/>
        </w:numPr>
        <w:tabs>
          <w:tab w:pos="1521" w:val="left" w:leader="none"/>
          <w:tab w:pos="1522" w:val="left" w:leader="none"/>
        </w:tabs>
        <w:spacing w:line="240" w:lineRule="auto" w:before="184" w:after="0"/>
        <w:ind w:left="1521" w:right="0" w:hanging="547"/>
        <w:jc w:val="left"/>
        <w:rPr>
          <w:sz w:val="38"/>
        </w:rPr>
      </w:pPr>
      <w:r>
        <w:rPr>
          <w:sz w:val="38"/>
        </w:rPr>
        <w:t>Blurred vision</w:t>
      </w:r>
    </w:p>
    <w:p>
      <w:pPr>
        <w:pStyle w:val="ListParagraph"/>
        <w:numPr>
          <w:ilvl w:val="0"/>
          <w:numId w:val="79"/>
        </w:numPr>
        <w:tabs>
          <w:tab w:pos="1521" w:val="left" w:leader="none"/>
          <w:tab w:pos="1522" w:val="left" w:leader="none"/>
        </w:tabs>
        <w:spacing w:line="240" w:lineRule="auto" w:before="183" w:after="0"/>
        <w:ind w:left="1521" w:right="0" w:hanging="547"/>
        <w:jc w:val="left"/>
        <w:rPr>
          <w:sz w:val="38"/>
        </w:rPr>
      </w:pPr>
      <w:r>
        <w:rPr>
          <w:sz w:val="38"/>
        </w:rPr>
        <w:t>Sleep</w:t>
      </w:r>
      <w:r>
        <w:rPr>
          <w:spacing w:val="1"/>
          <w:sz w:val="38"/>
        </w:rPr>
        <w:t> </w:t>
      </w:r>
      <w:r>
        <w:rPr>
          <w:sz w:val="38"/>
        </w:rPr>
        <w:t>disorders</w:t>
      </w:r>
    </w:p>
    <w:p>
      <w:pPr>
        <w:pStyle w:val="ListParagraph"/>
        <w:numPr>
          <w:ilvl w:val="0"/>
          <w:numId w:val="79"/>
        </w:numPr>
        <w:tabs>
          <w:tab w:pos="1521" w:val="left" w:leader="none"/>
          <w:tab w:pos="1522" w:val="left" w:leader="none"/>
        </w:tabs>
        <w:spacing w:line="240" w:lineRule="auto" w:before="186" w:after="0"/>
        <w:ind w:left="1521" w:right="0" w:hanging="547"/>
        <w:jc w:val="left"/>
        <w:rPr>
          <w:sz w:val="38"/>
        </w:rPr>
      </w:pPr>
      <w:r>
        <w:rPr>
          <w:sz w:val="38"/>
        </w:rPr>
        <w:t>Multiple sclerosis</w:t>
      </w:r>
    </w:p>
    <w:p>
      <w:pPr>
        <w:pStyle w:val="ListParagraph"/>
        <w:numPr>
          <w:ilvl w:val="0"/>
          <w:numId w:val="79"/>
        </w:numPr>
        <w:tabs>
          <w:tab w:pos="1521" w:val="left" w:leader="none"/>
          <w:tab w:pos="1522" w:val="left" w:leader="none"/>
        </w:tabs>
        <w:spacing w:line="240" w:lineRule="auto" w:before="184" w:after="0"/>
        <w:ind w:left="1521" w:right="0" w:hanging="547"/>
        <w:jc w:val="left"/>
        <w:rPr>
          <w:sz w:val="38"/>
        </w:rPr>
      </w:pPr>
      <w:r>
        <w:rPr>
          <w:sz w:val="38"/>
        </w:rPr>
        <w:t>Migraine,</w:t>
      </w:r>
      <w:r>
        <w:rPr>
          <w:spacing w:val="-2"/>
          <w:sz w:val="38"/>
        </w:rPr>
        <w:t> </w:t>
      </w:r>
      <w:r>
        <w:rPr>
          <w:sz w:val="38"/>
        </w:rPr>
        <w:t>headache</w:t>
      </w:r>
    </w:p>
    <w:p>
      <w:pPr>
        <w:pStyle w:val="ListParagraph"/>
        <w:numPr>
          <w:ilvl w:val="0"/>
          <w:numId w:val="79"/>
        </w:numPr>
        <w:tabs>
          <w:tab w:pos="1521" w:val="left" w:leader="none"/>
          <w:tab w:pos="1522" w:val="left" w:leader="none"/>
        </w:tabs>
        <w:spacing w:line="240" w:lineRule="auto" w:before="184" w:after="0"/>
        <w:ind w:left="1521" w:right="0" w:hanging="547"/>
        <w:jc w:val="left"/>
        <w:rPr>
          <w:sz w:val="38"/>
        </w:rPr>
      </w:pPr>
      <w:r>
        <w:rPr>
          <w:sz w:val="38"/>
        </w:rPr>
        <w:t>Lupus erythematosus (SLE)</w:t>
      </w:r>
    </w:p>
    <w:p>
      <w:pPr>
        <w:pStyle w:val="ListParagraph"/>
        <w:numPr>
          <w:ilvl w:val="0"/>
          <w:numId w:val="79"/>
        </w:numPr>
        <w:tabs>
          <w:tab w:pos="1521" w:val="left" w:leader="none"/>
          <w:tab w:pos="1522" w:val="left" w:leader="none"/>
        </w:tabs>
        <w:spacing w:line="240" w:lineRule="auto" w:before="184" w:after="0"/>
        <w:ind w:left="1521" w:right="0" w:hanging="547"/>
        <w:jc w:val="left"/>
        <w:rPr>
          <w:sz w:val="38"/>
        </w:rPr>
      </w:pPr>
      <w:r>
        <w:rPr>
          <w:sz w:val="38"/>
        </w:rPr>
        <w:t>Osteoporosis</w:t>
      </w:r>
    </w:p>
    <w:p>
      <w:pPr>
        <w:spacing w:after="0" w:line="240" w:lineRule="auto"/>
        <w:jc w:val="left"/>
        <w:rPr>
          <w:sz w:val="38"/>
        </w:rPr>
        <w:sectPr>
          <w:pgSz w:w="14270" w:h="16850"/>
          <w:pgMar w:header="0" w:footer="1891" w:top="1360" w:bottom="2080" w:left="800" w:right="1280"/>
        </w:sectPr>
      </w:pPr>
    </w:p>
    <w:p>
      <w:pPr>
        <w:pStyle w:val="ListParagraph"/>
        <w:numPr>
          <w:ilvl w:val="0"/>
          <w:numId w:val="79"/>
        </w:numPr>
        <w:tabs>
          <w:tab w:pos="1521" w:val="left" w:leader="none"/>
          <w:tab w:pos="1522" w:val="left" w:leader="none"/>
        </w:tabs>
        <w:spacing w:line="240" w:lineRule="auto" w:before="53" w:after="0"/>
        <w:ind w:left="1521" w:right="0" w:hanging="547"/>
        <w:jc w:val="left"/>
        <w:rPr>
          <w:sz w:val="38"/>
        </w:rPr>
      </w:pPr>
      <w:r>
        <w:rPr>
          <w:sz w:val="38"/>
        </w:rPr>
        <w:t>Premenstrual syndrome</w:t>
      </w:r>
      <w:r>
        <w:rPr>
          <w:spacing w:val="-1"/>
          <w:sz w:val="38"/>
        </w:rPr>
        <w:t> </w:t>
      </w:r>
      <w:r>
        <w:rPr>
          <w:sz w:val="38"/>
        </w:rPr>
        <w:t>(PMS)</w:t>
      </w:r>
    </w:p>
    <w:p>
      <w:pPr>
        <w:pStyle w:val="ListParagraph"/>
        <w:numPr>
          <w:ilvl w:val="0"/>
          <w:numId w:val="79"/>
        </w:numPr>
        <w:tabs>
          <w:tab w:pos="1521" w:val="left" w:leader="none"/>
          <w:tab w:pos="1522" w:val="left" w:leader="none"/>
        </w:tabs>
        <w:spacing w:line="240" w:lineRule="auto" w:before="186" w:after="0"/>
        <w:ind w:left="1521" w:right="0" w:hanging="547"/>
        <w:jc w:val="left"/>
        <w:rPr>
          <w:sz w:val="38"/>
        </w:rPr>
      </w:pPr>
      <w:r>
        <w:rPr>
          <w:sz w:val="38"/>
        </w:rPr>
        <w:t>Cancer/tumours (colon cancer, prostate</w:t>
      </w:r>
      <w:r>
        <w:rPr>
          <w:spacing w:val="-4"/>
          <w:sz w:val="38"/>
        </w:rPr>
        <w:t> </w:t>
      </w:r>
      <w:r>
        <w:rPr>
          <w:sz w:val="38"/>
        </w:rPr>
        <w:t>cancer,</w:t>
      </w:r>
    </w:p>
    <w:p>
      <w:pPr>
        <w:pStyle w:val="ListParagraph"/>
        <w:numPr>
          <w:ilvl w:val="0"/>
          <w:numId w:val="79"/>
        </w:numPr>
        <w:tabs>
          <w:tab w:pos="1521" w:val="left" w:leader="none"/>
          <w:tab w:pos="1522" w:val="left" w:leader="none"/>
        </w:tabs>
        <w:spacing w:line="240" w:lineRule="auto" w:before="184" w:after="0"/>
        <w:ind w:left="1521" w:right="0" w:hanging="547"/>
        <w:jc w:val="left"/>
        <w:rPr>
          <w:sz w:val="38"/>
        </w:rPr>
      </w:pPr>
      <w:r>
        <w:rPr>
          <w:sz w:val="38"/>
        </w:rPr>
        <w:t>Breast cancer, skin</w:t>
      </w:r>
      <w:r>
        <w:rPr>
          <w:spacing w:val="-3"/>
          <w:sz w:val="38"/>
        </w:rPr>
        <w:t> </w:t>
      </w:r>
      <w:r>
        <w:rPr>
          <w:sz w:val="38"/>
        </w:rPr>
        <w:t>cancer)</w:t>
      </w:r>
    </w:p>
    <w:p>
      <w:pPr>
        <w:pStyle w:val="ListParagraph"/>
        <w:numPr>
          <w:ilvl w:val="0"/>
          <w:numId w:val="79"/>
        </w:numPr>
        <w:tabs>
          <w:tab w:pos="1521" w:val="left" w:leader="none"/>
          <w:tab w:pos="1522" w:val="left" w:leader="none"/>
        </w:tabs>
        <w:spacing w:line="240" w:lineRule="auto" w:before="184" w:after="0"/>
        <w:ind w:left="1521" w:right="0" w:hanging="547"/>
        <w:jc w:val="left"/>
        <w:rPr>
          <w:sz w:val="38"/>
        </w:rPr>
      </w:pPr>
      <w:r>
        <w:rPr>
          <w:sz w:val="38"/>
        </w:rPr>
        <w:t>Premature ageing</w:t>
      </w:r>
    </w:p>
    <w:p>
      <w:pPr>
        <w:pStyle w:val="Heading1"/>
        <w:spacing w:before="287"/>
        <w:ind w:left="616"/>
        <w:jc w:val="both"/>
      </w:pPr>
      <w:r>
        <w:rPr/>
        <w:t>How do Omega-3 fatty acids work?</w:t>
      </w:r>
    </w:p>
    <w:p>
      <w:pPr>
        <w:pStyle w:val="BodyText"/>
        <w:spacing w:line="276" w:lineRule="auto" w:before="297"/>
        <w:ind w:left="616" w:right="133"/>
        <w:jc w:val="both"/>
      </w:pPr>
      <w:r>
        <w:rPr/>
        <w:t>The</w:t>
      </w:r>
      <w:r>
        <w:rPr>
          <w:spacing w:val="-22"/>
        </w:rPr>
        <w:t> </w:t>
      </w:r>
      <w:r>
        <w:rPr/>
        <w:t>omega-3</w:t>
      </w:r>
      <w:r>
        <w:rPr>
          <w:spacing w:val="-23"/>
        </w:rPr>
        <w:t> </w:t>
      </w:r>
      <w:r>
        <w:rPr/>
        <w:t>fatty</w:t>
      </w:r>
      <w:r>
        <w:rPr>
          <w:spacing w:val="-23"/>
        </w:rPr>
        <w:t> </w:t>
      </w:r>
      <w:r>
        <w:rPr/>
        <w:t>acids</w:t>
      </w:r>
      <w:r>
        <w:rPr>
          <w:spacing w:val="-22"/>
        </w:rPr>
        <w:t> </w:t>
      </w:r>
      <w:r>
        <w:rPr/>
        <w:t>have</w:t>
      </w:r>
      <w:r>
        <w:rPr>
          <w:spacing w:val="-22"/>
        </w:rPr>
        <w:t> </w:t>
      </w:r>
      <w:r>
        <w:rPr/>
        <w:t>different</w:t>
      </w:r>
      <w:r>
        <w:rPr>
          <w:spacing w:val="-23"/>
        </w:rPr>
        <w:t> </w:t>
      </w:r>
      <w:r>
        <w:rPr/>
        <w:t>mechanisms</w:t>
      </w:r>
      <w:r>
        <w:rPr>
          <w:spacing w:val="-17"/>
        </w:rPr>
        <w:t> </w:t>
      </w:r>
      <w:r>
        <w:rPr/>
        <w:t>of</w:t>
      </w:r>
      <w:r>
        <w:rPr>
          <w:spacing w:val="-24"/>
        </w:rPr>
        <w:t> </w:t>
      </w:r>
      <w:r>
        <w:rPr/>
        <w:t>action,</w:t>
      </w:r>
      <w:r>
        <w:rPr>
          <w:spacing w:val="-23"/>
        </w:rPr>
        <w:t> </w:t>
      </w:r>
      <w:r>
        <w:rPr/>
        <w:t>and</w:t>
      </w:r>
      <w:r>
        <w:rPr>
          <w:spacing w:val="-23"/>
        </w:rPr>
        <w:t> </w:t>
      </w:r>
      <w:r>
        <w:rPr/>
        <w:t>it</w:t>
      </w:r>
      <w:r>
        <w:rPr>
          <w:spacing w:val="-23"/>
        </w:rPr>
        <w:t> </w:t>
      </w:r>
      <w:r>
        <w:rPr/>
        <w:t>is</w:t>
      </w:r>
      <w:r>
        <w:rPr>
          <w:spacing w:val="-24"/>
        </w:rPr>
        <w:t> </w:t>
      </w:r>
      <w:r>
        <w:rPr/>
        <w:t>precisely this that gives them their broad effect</w:t>
      </w:r>
      <w:r>
        <w:rPr>
          <w:spacing w:val="3"/>
        </w:rPr>
        <w:t> </w:t>
      </w:r>
      <w:r>
        <w:rPr/>
        <w:t>spectrum.</w:t>
      </w:r>
    </w:p>
    <w:p>
      <w:pPr>
        <w:pStyle w:val="BodyText"/>
        <w:spacing w:line="276" w:lineRule="auto" w:before="241"/>
        <w:ind w:left="616" w:right="138"/>
        <w:jc w:val="both"/>
      </w:pPr>
      <w:r>
        <w:rPr/>
        <w:t>Their mechanism of action on our telomeres and our cardiovascular system is impressive, not least due to the fact that the telomere length is a measure of biological age and that cardiovascular disease is the Number One reason for premature death in industrialised nations.</w:t>
      </w:r>
    </w:p>
    <w:p>
      <w:pPr>
        <w:pStyle w:val="Heading1"/>
        <w:spacing w:line="261" w:lineRule="auto" w:before="222"/>
        <w:ind w:left="616" w:right="135"/>
        <w:jc w:val="both"/>
      </w:pPr>
      <w:r>
        <w:rPr>
          <w:w w:val="95"/>
        </w:rPr>
        <w:t>Protective</w:t>
      </w:r>
      <w:r>
        <w:rPr>
          <w:spacing w:val="-15"/>
          <w:w w:val="95"/>
        </w:rPr>
        <w:t> </w:t>
      </w:r>
      <w:r>
        <w:rPr>
          <w:w w:val="95"/>
        </w:rPr>
        <w:t>effect</w:t>
      </w:r>
      <w:r>
        <w:rPr>
          <w:spacing w:val="-16"/>
          <w:w w:val="95"/>
        </w:rPr>
        <w:t> </w:t>
      </w:r>
      <w:r>
        <w:rPr>
          <w:w w:val="95"/>
        </w:rPr>
        <w:t>of</w:t>
      </w:r>
      <w:r>
        <w:rPr>
          <w:spacing w:val="-15"/>
          <w:w w:val="95"/>
        </w:rPr>
        <w:t> </w:t>
      </w:r>
      <w:r>
        <w:rPr>
          <w:w w:val="95"/>
        </w:rPr>
        <w:t>omega-3</w:t>
      </w:r>
      <w:r>
        <w:rPr>
          <w:spacing w:val="-14"/>
          <w:w w:val="95"/>
        </w:rPr>
        <w:t> </w:t>
      </w:r>
      <w:r>
        <w:rPr>
          <w:w w:val="95"/>
        </w:rPr>
        <w:t>fatty</w:t>
      </w:r>
      <w:r>
        <w:rPr>
          <w:spacing w:val="-14"/>
          <w:w w:val="95"/>
        </w:rPr>
        <w:t> </w:t>
      </w:r>
      <w:r>
        <w:rPr>
          <w:w w:val="95"/>
        </w:rPr>
        <w:t>acids</w:t>
      </w:r>
      <w:r>
        <w:rPr>
          <w:spacing w:val="-15"/>
          <w:w w:val="95"/>
        </w:rPr>
        <w:t> </w:t>
      </w:r>
      <w:r>
        <w:rPr>
          <w:w w:val="95"/>
        </w:rPr>
        <w:t>on</w:t>
      </w:r>
      <w:r>
        <w:rPr>
          <w:spacing w:val="-13"/>
          <w:w w:val="95"/>
        </w:rPr>
        <w:t> </w:t>
      </w:r>
      <w:r>
        <w:rPr>
          <w:w w:val="95"/>
        </w:rPr>
        <w:t>our</w:t>
      </w:r>
      <w:r>
        <w:rPr>
          <w:spacing w:val="-16"/>
          <w:w w:val="95"/>
        </w:rPr>
        <w:t> </w:t>
      </w:r>
      <w:r>
        <w:rPr>
          <w:w w:val="95"/>
        </w:rPr>
        <w:t>telomeres</w:t>
      </w:r>
      <w:r>
        <w:rPr>
          <w:spacing w:val="-12"/>
          <w:w w:val="95"/>
        </w:rPr>
        <w:t> </w:t>
      </w:r>
      <w:r>
        <w:rPr>
          <w:w w:val="95"/>
        </w:rPr>
        <w:t>proves</w:t>
      </w:r>
      <w:r>
        <w:rPr>
          <w:spacing w:val="-14"/>
          <w:w w:val="95"/>
        </w:rPr>
        <w:t> </w:t>
      </w:r>
      <w:r>
        <w:rPr>
          <w:w w:val="95"/>
        </w:rPr>
        <w:t>life-pro- </w:t>
      </w:r>
      <w:r>
        <w:rPr/>
        <w:t>longing</w:t>
      </w:r>
    </w:p>
    <w:p>
      <w:pPr>
        <w:pStyle w:val="BodyText"/>
        <w:spacing w:line="276" w:lineRule="auto" w:before="261"/>
        <w:ind w:left="616" w:right="138"/>
        <w:jc w:val="both"/>
      </w:pPr>
      <w:r>
        <w:rPr/>
        <w:t>According</w:t>
      </w:r>
      <w:r>
        <w:rPr>
          <w:spacing w:val="-7"/>
        </w:rPr>
        <w:t> </w:t>
      </w:r>
      <w:r>
        <w:rPr/>
        <w:t>to</w:t>
      </w:r>
      <w:r>
        <w:rPr>
          <w:spacing w:val="-6"/>
        </w:rPr>
        <w:t> </w:t>
      </w:r>
      <w:r>
        <w:rPr/>
        <w:t>a</w:t>
      </w:r>
      <w:r>
        <w:rPr>
          <w:spacing w:val="-7"/>
        </w:rPr>
        <w:t> </w:t>
      </w:r>
      <w:r>
        <w:rPr/>
        <w:t>study</w:t>
      </w:r>
      <w:r>
        <w:rPr>
          <w:spacing w:val="-6"/>
        </w:rPr>
        <w:t> </w:t>
      </w:r>
      <w:r>
        <w:rPr/>
        <w:t>by</w:t>
      </w:r>
      <w:r>
        <w:rPr>
          <w:spacing w:val="-6"/>
        </w:rPr>
        <w:t> </w:t>
      </w:r>
      <w:r>
        <w:rPr/>
        <w:t>US</w:t>
      </w:r>
      <w:r>
        <w:rPr>
          <w:spacing w:val="-6"/>
        </w:rPr>
        <w:t> </w:t>
      </w:r>
      <w:r>
        <w:rPr/>
        <w:t>researchers</w:t>
      </w:r>
      <w:r>
        <w:rPr>
          <w:spacing w:val="-6"/>
        </w:rPr>
        <w:t> </w:t>
      </w:r>
      <w:r>
        <w:rPr/>
        <w:t>in</w:t>
      </w:r>
      <w:r>
        <w:rPr>
          <w:spacing w:val="-6"/>
        </w:rPr>
        <w:t> </w:t>
      </w:r>
      <w:r>
        <w:rPr/>
        <w:t>the</w:t>
      </w:r>
      <w:r>
        <w:rPr>
          <w:spacing w:val="-6"/>
        </w:rPr>
        <w:t> </w:t>
      </w:r>
      <w:r>
        <w:rPr/>
        <w:t>period</w:t>
      </w:r>
      <w:r>
        <w:rPr>
          <w:spacing w:val="-7"/>
        </w:rPr>
        <w:t> </w:t>
      </w:r>
      <w:r>
        <w:rPr/>
        <w:t>from</w:t>
      </w:r>
      <w:r>
        <w:rPr>
          <w:spacing w:val="-6"/>
        </w:rPr>
        <w:t> </w:t>
      </w:r>
      <w:r>
        <w:rPr/>
        <w:t>September</w:t>
      </w:r>
      <w:r>
        <w:rPr>
          <w:spacing w:val="-6"/>
        </w:rPr>
        <w:t> </w:t>
      </w:r>
      <w:r>
        <w:rPr/>
        <w:t>2000</w:t>
      </w:r>
      <w:r>
        <w:rPr>
          <w:spacing w:val="-7"/>
        </w:rPr>
        <w:t> </w:t>
      </w:r>
      <w:r>
        <w:rPr/>
        <w:t>to January 2009, omega-3 fatty acids protect our telomeres from shortening. Te- lomeres act as 'protective caps' on our</w:t>
      </w:r>
      <w:r>
        <w:rPr>
          <w:spacing w:val="-1"/>
        </w:rPr>
        <w:t> </w:t>
      </w:r>
      <w:r>
        <w:rPr/>
        <w:t>chromosomes.</w:t>
      </w:r>
    </w:p>
    <w:p>
      <w:pPr>
        <w:pStyle w:val="BodyText"/>
        <w:spacing w:line="276" w:lineRule="auto" w:before="238"/>
        <w:ind w:left="616" w:right="133"/>
        <w:jc w:val="both"/>
      </w:pPr>
      <w:r>
        <w:rPr/>
        <w:t>Telomere length is a marker of our biological age; with each cell division, the telomeres become shorter until further shortening is impossible and the cell dies.</w:t>
      </w:r>
    </w:p>
    <w:p>
      <w:pPr>
        <w:pStyle w:val="BodyText"/>
        <w:spacing w:before="242"/>
        <w:ind w:left="616"/>
        <w:jc w:val="both"/>
      </w:pPr>
      <w:r>
        <w:rPr/>
        <w:t>Omega-3 fatty acids appear to stop this! Researchers measured the length of</w:t>
      </w:r>
    </w:p>
    <w:p>
      <w:pPr>
        <w:spacing w:after="0"/>
        <w:jc w:val="both"/>
        <w:sectPr>
          <w:pgSz w:w="14270" w:h="16850"/>
          <w:pgMar w:header="0" w:footer="1891" w:top="1360" w:bottom="2080" w:left="800" w:right="1280"/>
        </w:sectPr>
      </w:pPr>
    </w:p>
    <w:p>
      <w:pPr>
        <w:pStyle w:val="BodyText"/>
        <w:spacing w:line="276" w:lineRule="auto" w:before="72"/>
        <w:ind w:left="616" w:right="132"/>
        <w:jc w:val="both"/>
      </w:pPr>
      <w:r>
        <w:rPr/>
        <w:t>leukocyte telomeres from 608 cardiac patients within the substudy of the</w:t>
      </w:r>
      <w:r>
        <w:rPr>
          <w:spacing w:val="-67"/>
        </w:rPr>
        <w:t> </w:t>
      </w:r>
      <w:r>
        <w:rPr/>
        <w:t>large 'Heart and Soul Study' at the beginning of the study and then after five years.</w:t>
      </w:r>
    </w:p>
    <w:p>
      <w:pPr>
        <w:pStyle w:val="BodyText"/>
        <w:spacing w:line="276" w:lineRule="auto" w:before="241"/>
        <w:ind w:left="616" w:right="135"/>
        <w:jc w:val="both"/>
      </w:pPr>
      <w:r>
        <w:rPr/>
        <w:t>It has been found that those patients who had the highest concentration of omega-3</w:t>
      </w:r>
      <w:r>
        <w:rPr>
          <w:spacing w:val="-19"/>
        </w:rPr>
        <w:t> </w:t>
      </w:r>
      <w:r>
        <w:rPr/>
        <w:t>fatty</w:t>
      </w:r>
      <w:r>
        <w:rPr>
          <w:spacing w:val="-18"/>
        </w:rPr>
        <w:t> </w:t>
      </w:r>
      <w:r>
        <w:rPr/>
        <w:t>acids</w:t>
      </w:r>
      <w:r>
        <w:rPr>
          <w:spacing w:val="-18"/>
        </w:rPr>
        <w:t> </w:t>
      </w:r>
      <w:r>
        <w:rPr/>
        <w:t>in</w:t>
      </w:r>
      <w:r>
        <w:rPr>
          <w:spacing w:val="-19"/>
        </w:rPr>
        <w:t> </w:t>
      </w:r>
      <w:r>
        <w:rPr/>
        <w:t>the</w:t>
      </w:r>
      <w:r>
        <w:rPr>
          <w:spacing w:val="-17"/>
        </w:rPr>
        <w:t> </w:t>
      </w:r>
      <w:r>
        <w:rPr/>
        <w:t>blood</w:t>
      </w:r>
      <w:r>
        <w:rPr>
          <w:spacing w:val="-17"/>
        </w:rPr>
        <w:t> </w:t>
      </w:r>
      <w:r>
        <w:rPr/>
        <w:t>had</w:t>
      </w:r>
      <w:r>
        <w:rPr>
          <w:spacing w:val="-19"/>
        </w:rPr>
        <w:t> </w:t>
      </w:r>
      <w:r>
        <w:rPr/>
        <w:t>the</w:t>
      </w:r>
      <w:r>
        <w:rPr>
          <w:spacing w:val="-17"/>
        </w:rPr>
        <w:t> </w:t>
      </w:r>
      <w:r>
        <w:rPr/>
        <w:t>slowest</w:t>
      </w:r>
      <w:r>
        <w:rPr>
          <w:spacing w:val="-18"/>
        </w:rPr>
        <w:t> </w:t>
      </w:r>
      <w:r>
        <w:rPr/>
        <w:t>telomere</w:t>
      </w:r>
      <w:r>
        <w:rPr>
          <w:spacing w:val="-18"/>
        </w:rPr>
        <w:t> </w:t>
      </w:r>
      <w:r>
        <w:rPr/>
        <w:t>shortening</w:t>
      </w:r>
      <w:r>
        <w:rPr>
          <w:spacing w:val="-17"/>
        </w:rPr>
        <w:t> </w:t>
      </w:r>
      <w:r>
        <w:rPr/>
        <w:t>rate.</w:t>
      </w:r>
      <w:r>
        <w:rPr>
          <w:spacing w:val="-17"/>
        </w:rPr>
        <w:t> </w:t>
      </w:r>
      <w:r>
        <w:rPr/>
        <w:t>This was 0.05 T/S units during the observation period of 5</w:t>
      </w:r>
      <w:r>
        <w:rPr>
          <w:spacing w:val="-3"/>
        </w:rPr>
        <w:t> </w:t>
      </w:r>
      <w:r>
        <w:rPr/>
        <w:t>years.</w:t>
      </w:r>
    </w:p>
    <w:p>
      <w:pPr>
        <w:pStyle w:val="BodyText"/>
        <w:spacing w:line="276" w:lineRule="auto" w:before="241"/>
        <w:ind w:left="616" w:right="133"/>
        <w:jc w:val="both"/>
      </w:pPr>
      <w:r>
        <w:rPr/>
        <w:t>Conversely, those patients who had the lowest omega-3 fatty acid concentra- tion in their blood had the fastest telomere shortening rate of 0.13 telomere- to-single-copy ratio T/S.</w:t>
      </w:r>
    </w:p>
    <w:p>
      <w:pPr>
        <w:pStyle w:val="BodyText"/>
        <w:spacing w:line="276" w:lineRule="auto" w:before="239"/>
        <w:ind w:left="616" w:right="138"/>
        <w:jc w:val="both"/>
        <w:rPr>
          <w:sz w:val="25"/>
        </w:rPr>
      </w:pPr>
      <w:r>
        <w:rPr/>
        <w:t>The researchers believe the reason for this phenomenon is the protection of the</w:t>
      </w:r>
      <w:r>
        <w:rPr>
          <w:spacing w:val="-8"/>
        </w:rPr>
        <w:t> </w:t>
      </w:r>
      <w:r>
        <w:rPr/>
        <w:t>cells</w:t>
      </w:r>
      <w:r>
        <w:rPr>
          <w:spacing w:val="-11"/>
        </w:rPr>
        <w:t> </w:t>
      </w:r>
      <w:r>
        <w:rPr/>
        <w:t>by</w:t>
      </w:r>
      <w:r>
        <w:rPr>
          <w:spacing w:val="-10"/>
        </w:rPr>
        <w:t> </w:t>
      </w:r>
      <w:r>
        <w:rPr/>
        <w:t>omega-3</w:t>
      </w:r>
      <w:r>
        <w:rPr>
          <w:spacing w:val="-9"/>
        </w:rPr>
        <w:t> </w:t>
      </w:r>
      <w:r>
        <w:rPr/>
        <w:t>fatty</w:t>
      </w:r>
      <w:r>
        <w:rPr>
          <w:spacing w:val="-10"/>
        </w:rPr>
        <w:t> </w:t>
      </w:r>
      <w:r>
        <w:rPr/>
        <w:t>acids</w:t>
      </w:r>
      <w:r>
        <w:rPr>
          <w:spacing w:val="-9"/>
        </w:rPr>
        <w:t> </w:t>
      </w:r>
      <w:r>
        <w:rPr/>
        <w:t>against</w:t>
      </w:r>
      <w:r>
        <w:rPr>
          <w:spacing w:val="-9"/>
        </w:rPr>
        <w:t> </w:t>
      </w:r>
      <w:r>
        <w:rPr/>
        <w:t>harmful</w:t>
      </w:r>
      <w:r>
        <w:rPr>
          <w:spacing w:val="-10"/>
        </w:rPr>
        <w:t> </w:t>
      </w:r>
      <w:r>
        <w:rPr/>
        <w:t>oxygen</w:t>
      </w:r>
      <w:r>
        <w:rPr>
          <w:spacing w:val="-9"/>
        </w:rPr>
        <w:t> </w:t>
      </w:r>
      <w:r>
        <w:rPr/>
        <w:t>radicals</w:t>
      </w:r>
      <w:r>
        <w:rPr>
          <w:spacing w:val="-9"/>
        </w:rPr>
        <w:t> </w:t>
      </w:r>
      <w:r>
        <w:rPr/>
        <w:t>that</w:t>
      </w:r>
      <w:r>
        <w:rPr>
          <w:spacing w:val="-10"/>
        </w:rPr>
        <w:t> </w:t>
      </w:r>
      <w:r>
        <w:rPr/>
        <w:t>attack</w:t>
      </w:r>
      <w:r>
        <w:rPr>
          <w:spacing w:val="-8"/>
        </w:rPr>
        <w:t> </w:t>
      </w:r>
      <w:r>
        <w:rPr/>
        <w:t>our cells.</w:t>
      </w:r>
      <w:r>
        <w:rPr>
          <w:position w:val="9"/>
          <w:sz w:val="25"/>
        </w:rPr>
        <w:t>618</w:t>
      </w:r>
    </w:p>
    <w:p>
      <w:pPr>
        <w:pStyle w:val="BodyText"/>
        <w:spacing w:line="276" w:lineRule="auto" w:before="241"/>
        <w:ind w:left="616" w:right="134"/>
        <w:jc w:val="both"/>
        <w:rPr>
          <w:sz w:val="25"/>
        </w:rPr>
      </w:pPr>
      <w:r>
        <w:rPr/>
        <w:t>Obviously,</w:t>
      </w:r>
      <w:r>
        <w:rPr>
          <w:spacing w:val="-24"/>
        </w:rPr>
        <w:t> </w:t>
      </w:r>
      <w:r>
        <w:rPr/>
        <w:t>omega-3</w:t>
      </w:r>
      <w:r>
        <w:rPr>
          <w:spacing w:val="-23"/>
        </w:rPr>
        <w:t> </w:t>
      </w:r>
      <w:r>
        <w:rPr/>
        <w:t>fatty</w:t>
      </w:r>
      <w:r>
        <w:rPr>
          <w:spacing w:val="-25"/>
        </w:rPr>
        <w:t> </w:t>
      </w:r>
      <w:r>
        <w:rPr/>
        <w:t>acids</w:t>
      </w:r>
      <w:r>
        <w:rPr>
          <w:spacing w:val="-24"/>
        </w:rPr>
        <w:t> </w:t>
      </w:r>
      <w:r>
        <w:rPr/>
        <w:t>act</w:t>
      </w:r>
      <w:r>
        <w:rPr>
          <w:spacing w:val="-25"/>
        </w:rPr>
        <w:t> </w:t>
      </w:r>
      <w:r>
        <w:rPr/>
        <w:t>at</w:t>
      </w:r>
      <w:r>
        <w:rPr>
          <w:spacing w:val="-25"/>
        </w:rPr>
        <w:t> </w:t>
      </w:r>
      <w:r>
        <w:rPr/>
        <w:t>the</w:t>
      </w:r>
      <w:r>
        <w:rPr>
          <w:spacing w:val="-25"/>
        </w:rPr>
        <w:t> </w:t>
      </w:r>
      <w:r>
        <w:rPr/>
        <w:t>cellular</w:t>
      </w:r>
      <w:r>
        <w:rPr>
          <w:spacing w:val="-24"/>
        </w:rPr>
        <w:t> </w:t>
      </w:r>
      <w:r>
        <w:rPr/>
        <w:t>level</w:t>
      </w:r>
      <w:r>
        <w:rPr>
          <w:spacing w:val="-25"/>
        </w:rPr>
        <w:t> </w:t>
      </w:r>
      <w:r>
        <w:rPr/>
        <w:t>and</w:t>
      </w:r>
      <w:r>
        <w:rPr>
          <w:spacing w:val="-24"/>
        </w:rPr>
        <w:t> </w:t>
      </w:r>
      <w:r>
        <w:rPr/>
        <w:t>so</w:t>
      </w:r>
      <w:r>
        <w:rPr>
          <w:spacing w:val="-24"/>
        </w:rPr>
        <w:t> </w:t>
      </w:r>
      <w:r>
        <w:rPr/>
        <w:t>can</w:t>
      </w:r>
      <w:r>
        <w:rPr>
          <w:spacing w:val="-25"/>
        </w:rPr>
        <w:t> </w:t>
      </w:r>
      <w:r>
        <w:rPr/>
        <w:t>keep</w:t>
      </w:r>
      <w:r>
        <w:rPr>
          <w:spacing w:val="-23"/>
        </w:rPr>
        <w:t> </w:t>
      </w:r>
      <w:r>
        <w:rPr/>
        <w:t>us</w:t>
      </w:r>
      <w:r>
        <w:rPr>
          <w:spacing w:val="-27"/>
        </w:rPr>
        <w:t> </w:t>
      </w:r>
      <w:r>
        <w:rPr/>
        <w:t>young and prolong our lives! More long-term human studies are needed to show the extent of this; in animal studies, supplementation with EPA/DHA has ex- tended the life of the mice by as much as one</w:t>
      </w:r>
      <w:r>
        <w:rPr>
          <w:spacing w:val="-3"/>
        </w:rPr>
        <w:t> </w:t>
      </w:r>
      <w:r>
        <w:rPr/>
        <w:t>third.</w:t>
      </w:r>
      <w:r>
        <w:rPr>
          <w:position w:val="9"/>
          <w:sz w:val="25"/>
        </w:rPr>
        <w:t>619</w:t>
      </w:r>
    </w:p>
    <w:p>
      <w:pPr>
        <w:pStyle w:val="BodyText"/>
        <w:rPr>
          <w:sz w:val="42"/>
        </w:rPr>
      </w:pPr>
    </w:p>
    <w:p>
      <w:pPr>
        <w:pStyle w:val="Heading1"/>
        <w:spacing w:before="242"/>
        <w:ind w:left="616"/>
        <w:jc w:val="both"/>
      </w:pPr>
      <w:r>
        <w:rPr/>
        <w:t>Effect of omega-3 fatty acids on the cardiovascular system</w:t>
      </w:r>
    </w:p>
    <w:p>
      <w:pPr>
        <w:pStyle w:val="BodyText"/>
        <w:spacing w:before="299"/>
        <w:ind w:left="616"/>
        <w:jc w:val="both"/>
      </w:pPr>
      <w:r>
        <w:rPr/>
        <w:t>Omega-3 fatty acids:</w:t>
      </w:r>
    </w:p>
    <w:p>
      <w:pPr>
        <w:pStyle w:val="ListParagraph"/>
        <w:numPr>
          <w:ilvl w:val="1"/>
          <w:numId w:val="79"/>
        </w:numPr>
        <w:tabs>
          <w:tab w:pos="1696" w:val="left" w:leader="none"/>
          <w:tab w:pos="1697" w:val="left" w:leader="none"/>
        </w:tabs>
        <w:spacing w:line="240" w:lineRule="auto" w:before="187" w:after="0"/>
        <w:ind w:left="1763" w:right="0" w:hanging="427"/>
        <w:jc w:val="left"/>
        <w:rPr>
          <w:sz w:val="38"/>
        </w:rPr>
      </w:pPr>
      <w:r>
        <w:rPr>
          <w:sz w:val="38"/>
        </w:rPr>
        <w:t>lower cholesterol,</w:t>
      </w:r>
    </w:p>
    <w:p>
      <w:pPr>
        <w:pStyle w:val="BodyText"/>
        <w:rPr>
          <w:sz w:val="20"/>
        </w:rPr>
      </w:pPr>
    </w:p>
    <w:p>
      <w:pPr>
        <w:pStyle w:val="BodyText"/>
        <w:rPr>
          <w:sz w:val="20"/>
        </w:rPr>
      </w:pPr>
    </w:p>
    <w:p>
      <w:pPr>
        <w:pStyle w:val="BodyText"/>
        <w:spacing w:before="7"/>
        <w:rPr>
          <w:sz w:val="25"/>
        </w:rPr>
      </w:pPr>
      <w:r>
        <w:rPr/>
        <w:pict>
          <v:line style="position:absolute;mso-position-horizontal-relative:page;mso-position-vertical-relative:paragraph;z-index:7880;mso-wrap-distance-left:0;mso-wrap-distance-right:0" from="70.823997pt,16.782465pt" to="214.843997pt,16.782465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618 </w:t>
      </w:r>
      <w:r>
        <w:rPr>
          <w:sz w:val="20"/>
        </w:rPr>
        <w:t>Farzaneh-Far R, et al.: JAMA January 3, 2010; 303 (3), pp. 250-257</w:t>
      </w:r>
    </w:p>
    <w:p>
      <w:pPr>
        <w:spacing w:before="94"/>
        <w:ind w:left="616" w:right="0" w:firstLine="0"/>
        <w:jc w:val="left"/>
        <w:rPr>
          <w:sz w:val="20"/>
        </w:rPr>
      </w:pPr>
      <w:r>
        <w:rPr>
          <w:position w:val="5"/>
          <w:sz w:val="13"/>
        </w:rPr>
        <w:t>619 </w:t>
      </w:r>
      <w:hyperlink r:id="rId262">
        <w:r>
          <w:rPr>
            <w:sz w:val="20"/>
          </w:rPr>
          <w:t>www.hiv-und-aids.de/content/aktuelles/fischoel_verlangsamt_auch_das_altern/index_ger.html</w:t>
        </w:r>
      </w:hyperlink>
    </w:p>
    <w:p>
      <w:pPr>
        <w:spacing w:after="0"/>
        <w:jc w:val="left"/>
        <w:rPr>
          <w:sz w:val="20"/>
        </w:rPr>
        <w:sectPr>
          <w:footerReference w:type="default" r:id="rId261"/>
          <w:pgSz w:w="14270" w:h="16850"/>
          <w:pgMar w:footer="1891" w:header="0" w:top="1340" w:bottom="2080" w:left="800" w:right="1280"/>
          <w:pgNumType w:start="1070"/>
        </w:sectPr>
      </w:pPr>
    </w:p>
    <w:p>
      <w:pPr>
        <w:pStyle w:val="ListParagraph"/>
        <w:numPr>
          <w:ilvl w:val="1"/>
          <w:numId w:val="79"/>
        </w:numPr>
        <w:tabs>
          <w:tab w:pos="1696" w:val="left" w:leader="none"/>
          <w:tab w:pos="1697" w:val="left" w:leader="none"/>
        </w:tabs>
        <w:spacing w:line="240" w:lineRule="auto" w:before="53" w:after="0"/>
        <w:ind w:left="1763" w:right="0" w:hanging="427"/>
        <w:jc w:val="left"/>
        <w:rPr>
          <w:sz w:val="38"/>
        </w:rPr>
      </w:pPr>
      <w:r>
        <w:rPr>
          <w:sz w:val="38"/>
        </w:rPr>
        <w:t>especially 'bad' LDL</w:t>
      </w:r>
      <w:r>
        <w:rPr>
          <w:spacing w:val="-3"/>
          <w:sz w:val="38"/>
        </w:rPr>
        <w:t> </w:t>
      </w:r>
      <w:r>
        <w:rPr>
          <w:sz w:val="38"/>
        </w:rPr>
        <w:t>cholesterol,</w:t>
      </w:r>
    </w:p>
    <w:p>
      <w:pPr>
        <w:pStyle w:val="ListParagraph"/>
        <w:numPr>
          <w:ilvl w:val="1"/>
          <w:numId w:val="79"/>
        </w:numPr>
        <w:tabs>
          <w:tab w:pos="1696" w:val="left" w:leader="none"/>
          <w:tab w:pos="1697" w:val="left" w:leader="none"/>
        </w:tabs>
        <w:spacing w:line="240" w:lineRule="auto" w:before="186" w:after="0"/>
        <w:ind w:left="1763" w:right="0" w:hanging="427"/>
        <w:jc w:val="left"/>
        <w:rPr>
          <w:sz w:val="38"/>
        </w:rPr>
      </w:pPr>
      <w:r>
        <w:rPr>
          <w:sz w:val="38"/>
        </w:rPr>
        <w:t>lower triglycerides,</w:t>
      </w:r>
    </w:p>
    <w:p>
      <w:pPr>
        <w:pStyle w:val="ListParagraph"/>
        <w:numPr>
          <w:ilvl w:val="1"/>
          <w:numId w:val="79"/>
        </w:numPr>
        <w:tabs>
          <w:tab w:pos="1696" w:val="left" w:leader="none"/>
          <w:tab w:pos="1697" w:val="left" w:leader="none"/>
        </w:tabs>
        <w:spacing w:line="240" w:lineRule="auto" w:before="184" w:after="0"/>
        <w:ind w:left="1763" w:right="0" w:hanging="427"/>
        <w:jc w:val="left"/>
        <w:rPr>
          <w:sz w:val="38"/>
        </w:rPr>
      </w:pPr>
      <w:r>
        <w:rPr>
          <w:sz w:val="38"/>
        </w:rPr>
        <w:t>increase 'good' HDL</w:t>
      </w:r>
      <w:r>
        <w:rPr>
          <w:spacing w:val="-1"/>
          <w:sz w:val="38"/>
        </w:rPr>
        <w:t> </w:t>
      </w:r>
      <w:r>
        <w:rPr>
          <w:sz w:val="38"/>
        </w:rPr>
        <w:t>cholesterol,</w:t>
      </w:r>
    </w:p>
    <w:p>
      <w:pPr>
        <w:pStyle w:val="ListParagraph"/>
        <w:numPr>
          <w:ilvl w:val="1"/>
          <w:numId w:val="79"/>
        </w:numPr>
        <w:tabs>
          <w:tab w:pos="1696" w:val="left" w:leader="none"/>
          <w:tab w:pos="1697" w:val="left" w:leader="none"/>
        </w:tabs>
        <w:spacing w:line="240" w:lineRule="auto" w:before="184" w:after="0"/>
        <w:ind w:left="1763" w:right="0" w:hanging="427"/>
        <w:jc w:val="left"/>
        <w:rPr>
          <w:sz w:val="38"/>
        </w:rPr>
      </w:pPr>
      <w:r>
        <w:rPr>
          <w:sz w:val="38"/>
        </w:rPr>
        <w:t>prevent constrictions of the blood</w:t>
      </w:r>
      <w:r>
        <w:rPr>
          <w:spacing w:val="-1"/>
          <w:sz w:val="38"/>
        </w:rPr>
        <w:t> </w:t>
      </w:r>
      <w:r>
        <w:rPr>
          <w:sz w:val="38"/>
        </w:rPr>
        <w:t>vessels,</w:t>
      </w:r>
    </w:p>
    <w:p>
      <w:pPr>
        <w:pStyle w:val="ListParagraph"/>
        <w:numPr>
          <w:ilvl w:val="1"/>
          <w:numId w:val="79"/>
        </w:numPr>
        <w:tabs>
          <w:tab w:pos="1696" w:val="left" w:leader="none"/>
          <w:tab w:pos="1697" w:val="left" w:leader="none"/>
        </w:tabs>
        <w:spacing w:line="240" w:lineRule="auto" w:before="183" w:after="0"/>
        <w:ind w:left="1763" w:right="0" w:hanging="427"/>
        <w:jc w:val="left"/>
        <w:rPr>
          <w:sz w:val="38"/>
        </w:rPr>
      </w:pPr>
      <w:r>
        <w:rPr>
          <w:sz w:val="38"/>
        </w:rPr>
        <w:t>improve blood flow to the heart vessels,</w:t>
      </w:r>
    </w:p>
    <w:p>
      <w:pPr>
        <w:pStyle w:val="ListParagraph"/>
        <w:numPr>
          <w:ilvl w:val="1"/>
          <w:numId w:val="79"/>
        </w:numPr>
        <w:tabs>
          <w:tab w:pos="1696" w:val="left" w:leader="none"/>
          <w:tab w:pos="1697" w:val="left" w:leader="none"/>
        </w:tabs>
        <w:spacing w:line="240" w:lineRule="auto" w:before="184" w:after="0"/>
        <w:ind w:left="1763" w:right="0" w:hanging="427"/>
        <w:jc w:val="left"/>
        <w:rPr>
          <w:sz w:val="38"/>
        </w:rPr>
      </w:pPr>
      <w:r>
        <w:rPr>
          <w:sz w:val="38"/>
        </w:rPr>
        <w:t>increase the oxygenation of the</w:t>
      </w:r>
      <w:r>
        <w:rPr>
          <w:spacing w:val="4"/>
          <w:sz w:val="38"/>
        </w:rPr>
        <w:t> </w:t>
      </w:r>
      <w:r>
        <w:rPr>
          <w:sz w:val="38"/>
        </w:rPr>
        <w:t>heart,</w:t>
      </w:r>
    </w:p>
    <w:p>
      <w:pPr>
        <w:pStyle w:val="ListParagraph"/>
        <w:numPr>
          <w:ilvl w:val="1"/>
          <w:numId w:val="79"/>
        </w:numPr>
        <w:tabs>
          <w:tab w:pos="1696" w:val="left" w:leader="none"/>
          <w:tab w:pos="1697" w:val="left" w:leader="none"/>
        </w:tabs>
        <w:spacing w:line="240" w:lineRule="auto" w:before="186" w:after="0"/>
        <w:ind w:left="1763" w:right="0" w:hanging="427"/>
        <w:jc w:val="left"/>
        <w:rPr>
          <w:sz w:val="38"/>
        </w:rPr>
      </w:pPr>
      <w:r>
        <w:rPr>
          <w:sz w:val="38"/>
        </w:rPr>
        <w:t>reduce deposits on the intima (inner skin of the blood</w:t>
      </w:r>
      <w:r>
        <w:rPr>
          <w:spacing w:val="-7"/>
          <w:sz w:val="38"/>
        </w:rPr>
        <w:t> </w:t>
      </w:r>
      <w:r>
        <w:rPr>
          <w:sz w:val="38"/>
        </w:rPr>
        <w:t>vessels),</w:t>
      </w:r>
    </w:p>
    <w:p>
      <w:pPr>
        <w:pStyle w:val="ListParagraph"/>
        <w:numPr>
          <w:ilvl w:val="1"/>
          <w:numId w:val="79"/>
        </w:numPr>
        <w:tabs>
          <w:tab w:pos="1696" w:val="left" w:leader="none"/>
          <w:tab w:pos="1697" w:val="left" w:leader="none"/>
        </w:tabs>
        <w:spacing w:line="240" w:lineRule="auto" w:before="184" w:after="0"/>
        <w:ind w:left="1763" w:right="0" w:hanging="427"/>
        <w:jc w:val="left"/>
        <w:rPr>
          <w:sz w:val="38"/>
        </w:rPr>
      </w:pPr>
      <w:r>
        <w:rPr>
          <w:sz w:val="38"/>
        </w:rPr>
        <w:t>protect the blood vessels and thus counteract</w:t>
      </w:r>
      <w:r>
        <w:rPr>
          <w:spacing w:val="-12"/>
          <w:sz w:val="38"/>
        </w:rPr>
        <w:t> </w:t>
      </w:r>
      <w:r>
        <w:rPr>
          <w:sz w:val="38"/>
        </w:rPr>
        <w:t>atherosclerosis,</w:t>
      </w:r>
    </w:p>
    <w:p>
      <w:pPr>
        <w:pStyle w:val="ListParagraph"/>
        <w:numPr>
          <w:ilvl w:val="1"/>
          <w:numId w:val="79"/>
        </w:numPr>
        <w:tabs>
          <w:tab w:pos="1696" w:val="left" w:leader="none"/>
          <w:tab w:pos="1697" w:val="left" w:leader="none"/>
        </w:tabs>
        <w:spacing w:line="240" w:lineRule="auto" w:before="184" w:after="0"/>
        <w:ind w:left="1763" w:right="0" w:hanging="427"/>
        <w:jc w:val="left"/>
        <w:rPr>
          <w:sz w:val="38"/>
        </w:rPr>
      </w:pPr>
      <w:r>
        <w:rPr>
          <w:sz w:val="38"/>
        </w:rPr>
        <w:t>can prevent heart attack and stroke and prevent repeat heart</w:t>
      </w:r>
      <w:r>
        <w:rPr>
          <w:spacing w:val="-21"/>
          <w:sz w:val="38"/>
        </w:rPr>
        <w:t> </w:t>
      </w:r>
      <w:r>
        <w:rPr>
          <w:sz w:val="38"/>
        </w:rPr>
        <w:t>attacks,</w:t>
      </w:r>
    </w:p>
    <w:p>
      <w:pPr>
        <w:pStyle w:val="ListParagraph"/>
        <w:numPr>
          <w:ilvl w:val="1"/>
          <w:numId w:val="79"/>
        </w:numPr>
        <w:tabs>
          <w:tab w:pos="1696" w:val="left" w:leader="none"/>
          <w:tab w:pos="1697" w:val="left" w:leader="none"/>
        </w:tabs>
        <w:spacing w:line="240" w:lineRule="auto" w:before="183" w:after="0"/>
        <w:ind w:left="1763" w:right="0" w:hanging="427"/>
        <w:jc w:val="left"/>
        <w:rPr>
          <w:sz w:val="38"/>
        </w:rPr>
      </w:pPr>
      <w:r>
        <w:rPr>
          <w:sz w:val="38"/>
        </w:rPr>
        <w:t>improve the fluidity of the</w:t>
      </w:r>
      <w:r>
        <w:rPr>
          <w:spacing w:val="5"/>
          <w:sz w:val="38"/>
        </w:rPr>
        <w:t> </w:t>
      </w:r>
      <w:r>
        <w:rPr>
          <w:sz w:val="38"/>
        </w:rPr>
        <w:t>blood,</w:t>
      </w:r>
    </w:p>
    <w:p>
      <w:pPr>
        <w:pStyle w:val="ListParagraph"/>
        <w:numPr>
          <w:ilvl w:val="1"/>
          <w:numId w:val="79"/>
        </w:numPr>
        <w:tabs>
          <w:tab w:pos="1696" w:val="left" w:leader="none"/>
          <w:tab w:pos="1697" w:val="left" w:leader="none"/>
        </w:tabs>
        <w:spacing w:line="240" w:lineRule="auto" w:before="186" w:after="0"/>
        <w:ind w:left="1763" w:right="0" w:hanging="427"/>
        <w:jc w:val="left"/>
        <w:rPr>
          <w:sz w:val="38"/>
        </w:rPr>
      </w:pPr>
      <w:r>
        <w:rPr>
          <w:sz w:val="38"/>
        </w:rPr>
        <w:t>help to normalise high blood</w:t>
      </w:r>
      <w:r>
        <w:rPr>
          <w:spacing w:val="6"/>
          <w:sz w:val="38"/>
        </w:rPr>
        <w:t> </w:t>
      </w:r>
      <w:r>
        <w:rPr>
          <w:sz w:val="38"/>
        </w:rPr>
        <w:t>pressure,</w:t>
      </w:r>
    </w:p>
    <w:p>
      <w:pPr>
        <w:pStyle w:val="ListParagraph"/>
        <w:numPr>
          <w:ilvl w:val="1"/>
          <w:numId w:val="79"/>
        </w:numPr>
        <w:tabs>
          <w:tab w:pos="1696" w:val="left" w:leader="none"/>
          <w:tab w:pos="1697" w:val="left" w:leader="none"/>
        </w:tabs>
        <w:spacing w:line="240" w:lineRule="auto" w:before="184" w:after="0"/>
        <w:ind w:left="1763" w:right="0" w:hanging="427"/>
        <w:jc w:val="left"/>
        <w:rPr>
          <w:sz w:val="38"/>
        </w:rPr>
      </w:pPr>
      <w:r>
        <w:rPr>
          <w:sz w:val="38"/>
        </w:rPr>
        <w:t>support the heart in arrhythmia</w:t>
      </w:r>
      <w:r>
        <w:rPr>
          <w:spacing w:val="2"/>
          <w:sz w:val="38"/>
        </w:rPr>
        <w:t> </w:t>
      </w:r>
      <w:r>
        <w:rPr>
          <w:sz w:val="38"/>
        </w:rPr>
        <w:t>and</w:t>
      </w:r>
    </w:p>
    <w:p>
      <w:pPr>
        <w:pStyle w:val="ListParagraph"/>
        <w:numPr>
          <w:ilvl w:val="1"/>
          <w:numId w:val="79"/>
        </w:numPr>
        <w:tabs>
          <w:tab w:pos="1696" w:val="left" w:leader="none"/>
          <w:tab w:pos="1697" w:val="left" w:leader="none"/>
        </w:tabs>
        <w:spacing w:line="240" w:lineRule="auto" w:before="184" w:after="0"/>
        <w:ind w:left="1763" w:right="0" w:hanging="427"/>
        <w:jc w:val="left"/>
        <w:rPr>
          <w:sz w:val="38"/>
        </w:rPr>
      </w:pPr>
      <w:r>
        <w:rPr>
          <w:sz w:val="38"/>
        </w:rPr>
        <w:t>protect against sudden cardiac</w:t>
      </w:r>
      <w:r>
        <w:rPr>
          <w:spacing w:val="1"/>
          <w:sz w:val="38"/>
        </w:rPr>
        <w:t> </w:t>
      </w:r>
      <w:r>
        <w:rPr>
          <w:sz w:val="38"/>
        </w:rPr>
        <w:t>death.</w:t>
      </w:r>
    </w:p>
    <w:p>
      <w:pPr>
        <w:pStyle w:val="BodyText"/>
        <w:rPr>
          <w:sz w:val="44"/>
        </w:rPr>
      </w:pPr>
    </w:p>
    <w:p>
      <w:pPr>
        <w:pStyle w:val="BodyText"/>
        <w:spacing w:before="8"/>
        <w:rPr>
          <w:sz w:val="35"/>
        </w:rPr>
      </w:pPr>
    </w:p>
    <w:p>
      <w:pPr>
        <w:pStyle w:val="Heading1"/>
        <w:spacing w:before="0"/>
        <w:ind w:left="616"/>
        <w:jc w:val="both"/>
      </w:pPr>
      <w:r>
        <w:rPr/>
        <w:t>The Greenland Paradox</w:t>
      </w:r>
    </w:p>
    <w:p>
      <w:pPr>
        <w:pStyle w:val="BodyText"/>
        <w:spacing w:line="276" w:lineRule="auto" w:before="299"/>
        <w:ind w:left="616" w:right="134"/>
        <w:jc w:val="both"/>
      </w:pPr>
      <w:r>
        <w:rPr/>
        <w:t>Under the direction of Dr. H.O. Band and Dr. J. Dyerber, who investigated the dietary habits and health of Greenland's Eskimos in the late 1970s, a sen- sational observation was made which initially seemed very contradictory:</w:t>
      </w:r>
    </w:p>
    <w:p>
      <w:pPr>
        <w:spacing w:after="0" w:line="276" w:lineRule="auto"/>
        <w:jc w:val="both"/>
        <w:sectPr>
          <w:pgSz w:w="14270" w:h="16850"/>
          <w:pgMar w:header="0" w:footer="1891" w:top="1360" w:bottom="2080" w:left="800" w:right="1280"/>
        </w:sectPr>
      </w:pPr>
    </w:p>
    <w:p>
      <w:pPr>
        <w:pStyle w:val="BodyText"/>
        <w:spacing w:line="276" w:lineRule="auto" w:before="72"/>
        <w:ind w:left="616" w:right="134"/>
        <w:jc w:val="both"/>
      </w:pPr>
      <w:r>
        <w:rPr/>
        <w:t>Despite an extremely high intake of fat in their diet, Eskimos, statistically,</w:t>
      </w:r>
      <w:r>
        <w:rPr>
          <w:spacing w:val="-59"/>
        </w:rPr>
        <w:t> </w:t>
      </w:r>
      <w:r>
        <w:rPr/>
        <w:t>suf- fered only very rarely from atherosclerotic cardiovascular diseases.</w:t>
      </w:r>
    </w:p>
    <w:p>
      <w:pPr>
        <w:pStyle w:val="BodyText"/>
        <w:spacing w:line="276" w:lineRule="auto" w:before="241"/>
        <w:ind w:left="616" w:right="135"/>
        <w:jc w:val="both"/>
      </w:pPr>
      <w:r>
        <w:rPr/>
        <w:t>The initially paradoxical phenomenon could be clarified by the researchers: It was due to the large amount of omega-3 fatty acids that Eskimos consume in fish</w:t>
      </w:r>
      <w:r>
        <w:rPr>
          <w:spacing w:val="-9"/>
        </w:rPr>
        <w:t> </w:t>
      </w:r>
      <w:r>
        <w:rPr/>
        <w:t>and</w:t>
      </w:r>
      <w:r>
        <w:rPr>
          <w:spacing w:val="-9"/>
        </w:rPr>
        <w:t> </w:t>
      </w:r>
      <w:r>
        <w:rPr/>
        <w:t>seal</w:t>
      </w:r>
      <w:r>
        <w:rPr>
          <w:spacing w:val="-8"/>
        </w:rPr>
        <w:t> </w:t>
      </w:r>
      <w:r>
        <w:rPr/>
        <w:t>meat</w:t>
      </w:r>
      <w:r>
        <w:rPr>
          <w:spacing w:val="-9"/>
        </w:rPr>
        <w:t> </w:t>
      </w:r>
      <w:r>
        <w:rPr/>
        <w:t>–</w:t>
      </w:r>
      <w:r>
        <w:rPr>
          <w:spacing w:val="-10"/>
        </w:rPr>
        <w:t> </w:t>
      </w:r>
      <w:r>
        <w:rPr/>
        <w:t>something</w:t>
      </w:r>
      <w:r>
        <w:rPr>
          <w:spacing w:val="-8"/>
        </w:rPr>
        <w:t> </w:t>
      </w:r>
      <w:r>
        <w:rPr/>
        <w:t>that</w:t>
      </w:r>
      <w:r>
        <w:rPr>
          <w:spacing w:val="-9"/>
        </w:rPr>
        <w:t> </w:t>
      </w:r>
      <w:r>
        <w:rPr/>
        <w:t>apparently</w:t>
      </w:r>
      <w:r>
        <w:rPr>
          <w:spacing w:val="-9"/>
        </w:rPr>
        <w:t> </w:t>
      </w:r>
      <w:r>
        <w:rPr/>
        <w:t>protects</w:t>
      </w:r>
      <w:r>
        <w:rPr>
          <w:spacing w:val="-9"/>
        </w:rPr>
        <w:t> </w:t>
      </w:r>
      <w:r>
        <w:rPr/>
        <w:t>them</w:t>
      </w:r>
      <w:r>
        <w:rPr>
          <w:spacing w:val="-8"/>
        </w:rPr>
        <w:t> </w:t>
      </w:r>
      <w:r>
        <w:rPr/>
        <w:t>from</w:t>
      </w:r>
      <w:r>
        <w:rPr>
          <w:spacing w:val="-9"/>
        </w:rPr>
        <w:t> </w:t>
      </w:r>
      <w:r>
        <w:rPr/>
        <w:t>atheroscle- rosis, and thus from heart</w:t>
      </w:r>
      <w:r>
        <w:rPr>
          <w:spacing w:val="-2"/>
        </w:rPr>
        <w:t> </w:t>
      </w:r>
      <w:r>
        <w:rPr/>
        <w:t>disease.</w:t>
      </w:r>
    </w:p>
    <w:p>
      <w:pPr>
        <w:pStyle w:val="BodyText"/>
        <w:spacing w:line="276" w:lineRule="auto" w:before="239"/>
        <w:ind w:left="616" w:right="136"/>
        <w:jc w:val="both"/>
      </w:pPr>
      <w:r>
        <w:rPr/>
        <w:t>The critics' question as to why Eskimos have lower life expectancies has also been clarified by the fact that young Eskimos are often the victims of fatal accidents, something that distorts the statistics.</w:t>
      </w:r>
    </w:p>
    <w:p>
      <w:pPr>
        <w:pStyle w:val="BodyText"/>
        <w:spacing w:line="276" w:lineRule="auto" w:before="241"/>
        <w:ind w:left="616" w:right="133"/>
        <w:jc w:val="both"/>
        <w:rPr>
          <w:sz w:val="25"/>
        </w:rPr>
      </w:pPr>
      <w:r>
        <w:rPr/>
        <w:t>Observations from countries that traditionally also have high fish consump- tion, such as Japan, underpin this theory. This is how the Japanese reach the highest</w:t>
      </w:r>
      <w:r>
        <w:rPr>
          <w:spacing w:val="-8"/>
        </w:rPr>
        <w:t> </w:t>
      </w:r>
      <w:r>
        <w:rPr/>
        <w:t>age</w:t>
      </w:r>
      <w:r>
        <w:rPr>
          <w:spacing w:val="-10"/>
        </w:rPr>
        <w:t> </w:t>
      </w:r>
      <w:r>
        <w:rPr/>
        <w:t>worldwide.</w:t>
      </w:r>
      <w:r>
        <w:rPr>
          <w:spacing w:val="-7"/>
        </w:rPr>
        <w:t> </w:t>
      </w:r>
      <w:r>
        <w:rPr/>
        <w:t>In</w:t>
      </w:r>
      <w:r>
        <w:rPr>
          <w:spacing w:val="-8"/>
        </w:rPr>
        <w:t> </w:t>
      </w:r>
      <w:r>
        <w:rPr/>
        <w:t>Portugal,</w:t>
      </w:r>
      <w:r>
        <w:rPr>
          <w:spacing w:val="-8"/>
        </w:rPr>
        <w:t> </w:t>
      </w:r>
      <w:r>
        <w:rPr/>
        <w:t>comparisons</w:t>
      </w:r>
      <w:r>
        <w:rPr>
          <w:spacing w:val="-7"/>
        </w:rPr>
        <w:t> </w:t>
      </w:r>
      <w:r>
        <w:rPr/>
        <w:t>of</w:t>
      </w:r>
      <w:r>
        <w:rPr>
          <w:spacing w:val="-11"/>
        </w:rPr>
        <w:t> </w:t>
      </w:r>
      <w:r>
        <w:rPr/>
        <w:t>the</w:t>
      </w:r>
      <w:r>
        <w:rPr>
          <w:spacing w:val="-9"/>
        </w:rPr>
        <w:t> </w:t>
      </w:r>
      <w:r>
        <w:rPr/>
        <w:t>same</w:t>
      </w:r>
      <w:r>
        <w:rPr>
          <w:spacing w:val="-7"/>
        </w:rPr>
        <w:t> </w:t>
      </w:r>
      <w:r>
        <w:rPr/>
        <w:t>population,</w:t>
      </w:r>
      <w:r>
        <w:rPr>
          <w:spacing w:val="-8"/>
        </w:rPr>
        <w:t> </w:t>
      </w:r>
      <w:r>
        <w:rPr/>
        <w:t>with one</w:t>
      </w:r>
      <w:r>
        <w:rPr>
          <w:spacing w:val="-17"/>
        </w:rPr>
        <w:t> </w:t>
      </w:r>
      <w:r>
        <w:rPr/>
        <w:t>group</w:t>
      </w:r>
      <w:r>
        <w:rPr>
          <w:spacing w:val="-17"/>
        </w:rPr>
        <w:t> </w:t>
      </w:r>
      <w:r>
        <w:rPr/>
        <w:t>living</w:t>
      </w:r>
      <w:r>
        <w:rPr>
          <w:spacing w:val="-16"/>
        </w:rPr>
        <w:t> </w:t>
      </w:r>
      <w:r>
        <w:rPr/>
        <w:t>on</w:t>
      </w:r>
      <w:r>
        <w:rPr>
          <w:spacing w:val="-18"/>
        </w:rPr>
        <w:t> </w:t>
      </w:r>
      <w:r>
        <w:rPr/>
        <w:t>the</w:t>
      </w:r>
      <w:r>
        <w:rPr>
          <w:spacing w:val="-15"/>
        </w:rPr>
        <w:t> </w:t>
      </w:r>
      <w:r>
        <w:rPr/>
        <w:t>coast</w:t>
      </w:r>
      <w:r>
        <w:rPr>
          <w:spacing w:val="-17"/>
        </w:rPr>
        <w:t> </w:t>
      </w:r>
      <w:r>
        <w:rPr/>
        <w:t>and</w:t>
      </w:r>
      <w:r>
        <w:rPr>
          <w:spacing w:val="-17"/>
        </w:rPr>
        <w:t> </w:t>
      </w:r>
      <w:r>
        <w:rPr/>
        <w:t>the</w:t>
      </w:r>
      <w:r>
        <w:rPr>
          <w:spacing w:val="-15"/>
        </w:rPr>
        <w:t> </w:t>
      </w:r>
      <w:r>
        <w:rPr/>
        <w:t>other</w:t>
      </w:r>
      <w:r>
        <w:rPr>
          <w:spacing w:val="-16"/>
        </w:rPr>
        <w:t> </w:t>
      </w:r>
      <w:r>
        <w:rPr/>
        <w:t>group</w:t>
      </w:r>
      <w:r>
        <w:rPr>
          <w:spacing w:val="-17"/>
        </w:rPr>
        <w:t> </w:t>
      </w:r>
      <w:r>
        <w:rPr/>
        <w:t>living</w:t>
      </w:r>
      <w:r>
        <w:rPr>
          <w:spacing w:val="-16"/>
        </w:rPr>
        <w:t> </w:t>
      </w:r>
      <w:r>
        <w:rPr/>
        <w:t>inland,</w:t>
      </w:r>
      <w:r>
        <w:rPr>
          <w:spacing w:val="-15"/>
        </w:rPr>
        <w:t> </w:t>
      </w:r>
      <w:r>
        <w:rPr/>
        <w:t>showed</w:t>
      </w:r>
      <w:r>
        <w:rPr>
          <w:spacing w:val="-17"/>
        </w:rPr>
        <w:t> </w:t>
      </w:r>
      <w:r>
        <w:rPr/>
        <w:t>a</w:t>
      </w:r>
      <w:r>
        <w:rPr>
          <w:spacing w:val="-18"/>
        </w:rPr>
        <w:t> </w:t>
      </w:r>
      <w:r>
        <w:rPr/>
        <w:t>four- fold lower mortality rate within the coastal population compared to the</w:t>
      </w:r>
      <w:r>
        <w:rPr>
          <w:spacing w:val="-58"/>
        </w:rPr>
        <w:t> </w:t>
      </w:r>
      <w:r>
        <w:rPr/>
        <w:t>inland population,</w:t>
      </w:r>
      <w:r>
        <w:rPr>
          <w:spacing w:val="-15"/>
        </w:rPr>
        <w:t> </w:t>
      </w:r>
      <w:r>
        <w:rPr/>
        <w:t>which</w:t>
      </w:r>
      <w:r>
        <w:rPr>
          <w:spacing w:val="-14"/>
        </w:rPr>
        <w:t> </w:t>
      </w:r>
      <w:r>
        <w:rPr/>
        <w:t>can</w:t>
      </w:r>
      <w:r>
        <w:rPr>
          <w:spacing w:val="-15"/>
        </w:rPr>
        <w:t> </w:t>
      </w:r>
      <w:r>
        <w:rPr/>
        <w:t>also</w:t>
      </w:r>
      <w:r>
        <w:rPr>
          <w:spacing w:val="-15"/>
        </w:rPr>
        <w:t> </w:t>
      </w:r>
      <w:r>
        <w:rPr/>
        <w:t>be</w:t>
      </w:r>
      <w:r>
        <w:rPr>
          <w:spacing w:val="-17"/>
        </w:rPr>
        <w:t> </w:t>
      </w:r>
      <w:r>
        <w:rPr/>
        <w:t>attributed</w:t>
      </w:r>
      <w:r>
        <w:rPr>
          <w:spacing w:val="-16"/>
        </w:rPr>
        <w:t> </w:t>
      </w:r>
      <w:r>
        <w:rPr/>
        <w:t>to</w:t>
      </w:r>
      <w:r>
        <w:rPr>
          <w:spacing w:val="-16"/>
        </w:rPr>
        <w:t> </w:t>
      </w:r>
      <w:r>
        <w:rPr/>
        <w:t>higher</w:t>
      </w:r>
      <w:r>
        <w:rPr>
          <w:spacing w:val="-16"/>
        </w:rPr>
        <w:t> </w:t>
      </w:r>
      <w:r>
        <w:rPr/>
        <w:t>fish</w:t>
      </w:r>
      <w:r>
        <w:rPr>
          <w:spacing w:val="-14"/>
        </w:rPr>
        <w:t> </w:t>
      </w:r>
      <w:r>
        <w:rPr/>
        <w:t>consumption.</w:t>
      </w:r>
      <w:r>
        <w:rPr>
          <w:spacing w:val="-15"/>
        </w:rPr>
        <w:t> </w:t>
      </w:r>
      <w:r>
        <w:rPr/>
        <w:t>They</w:t>
      </w:r>
      <w:r>
        <w:rPr>
          <w:spacing w:val="-17"/>
        </w:rPr>
        <w:t> </w:t>
      </w:r>
      <w:r>
        <w:rPr/>
        <w:t>had lower triglyceride levels, as well as lower total cholesterol and LDL choles- terol.</w:t>
      </w:r>
      <w:r>
        <w:rPr>
          <w:position w:val="9"/>
          <w:sz w:val="25"/>
        </w:rPr>
        <w:t>620</w:t>
      </w:r>
    </w:p>
    <w:p>
      <w:pPr>
        <w:pStyle w:val="Heading1"/>
        <w:ind w:left="616"/>
        <w:jc w:val="both"/>
      </w:pPr>
      <w:r>
        <w:rPr/>
        <w:t>Effect of omega-3 fatty acids on high cholesterol</w:t>
      </w:r>
    </w:p>
    <w:p>
      <w:pPr>
        <w:pStyle w:val="BodyText"/>
        <w:rPr>
          <w:b/>
          <w:i/>
          <w:sz w:val="20"/>
        </w:rPr>
      </w:pPr>
    </w:p>
    <w:p>
      <w:pPr>
        <w:pStyle w:val="BodyText"/>
        <w:rPr>
          <w:b/>
          <w:i/>
          <w:sz w:val="20"/>
        </w:rPr>
      </w:pPr>
    </w:p>
    <w:p>
      <w:pPr>
        <w:pStyle w:val="BodyText"/>
        <w:rPr>
          <w:b/>
          <w:i/>
          <w:sz w:val="20"/>
        </w:rPr>
      </w:pPr>
    </w:p>
    <w:p>
      <w:pPr>
        <w:pStyle w:val="BodyText"/>
        <w:spacing w:before="10"/>
        <w:rPr>
          <w:b/>
          <w:i/>
          <w:sz w:val="13"/>
        </w:rPr>
      </w:pPr>
      <w:r>
        <w:rPr/>
        <w:pict>
          <v:line style="position:absolute;mso-position-horizontal-relative:page;mso-position-vertical-relative:paragraph;z-index:7904;mso-wrap-distance-left:0;mso-wrap-distance-right:0" from="70.823997pt,10.208765pt" to="214.843997pt,10.208765pt" stroked="true" strokeweight=".71997pt" strokecolor="#000000">
            <v:stroke dashstyle="solid"/>
            <w10:wrap type="topAndBottom"/>
          </v:line>
        </w:pict>
      </w:r>
    </w:p>
    <w:p>
      <w:pPr>
        <w:pStyle w:val="BodyText"/>
        <w:spacing w:before="7"/>
        <w:rPr>
          <w:b/>
          <w:i/>
          <w:sz w:val="18"/>
        </w:rPr>
      </w:pPr>
    </w:p>
    <w:p>
      <w:pPr>
        <w:spacing w:before="100"/>
        <w:ind w:left="616" w:right="0" w:firstLine="0"/>
        <w:jc w:val="left"/>
        <w:rPr>
          <w:sz w:val="20"/>
        </w:rPr>
      </w:pPr>
      <w:r>
        <w:rPr>
          <w:position w:val="5"/>
          <w:sz w:val="13"/>
        </w:rPr>
        <w:t>620 </w:t>
      </w:r>
      <w:r>
        <w:rPr>
          <w:sz w:val="20"/>
        </w:rPr>
        <w:t>Dr. Frank Liebke: Omega-3-Fettsäuren – Gesundheit aus dem Meer ('Omega-3 Fatty Acids – Health from the Sea'), 2001, p. 35</w:t>
      </w:r>
    </w:p>
    <w:p>
      <w:pPr>
        <w:spacing w:after="0"/>
        <w:jc w:val="left"/>
        <w:rPr>
          <w:sz w:val="20"/>
        </w:rPr>
        <w:sectPr>
          <w:pgSz w:w="14270" w:h="16850"/>
          <w:pgMar w:header="0" w:footer="1891" w:top="1340" w:bottom="2080" w:left="800" w:right="1280"/>
        </w:sectPr>
      </w:pPr>
    </w:p>
    <w:p>
      <w:pPr>
        <w:pStyle w:val="BodyText"/>
        <w:spacing w:line="276" w:lineRule="auto" w:before="72"/>
        <w:ind w:left="616" w:right="135"/>
        <w:jc w:val="both"/>
      </w:pPr>
      <w:r>
        <w:rPr/>
        <w:t>Omega-3 fatty acids lower the bad cholesterol VLDL by about 20-40 % and regulate the mismatch between the 'good' HDL and the bad LDL cholesterol and VLDL cholesterol.</w:t>
      </w:r>
    </w:p>
    <w:p>
      <w:pPr>
        <w:pStyle w:val="Heading1"/>
        <w:ind w:left="616"/>
      </w:pPr>
      <w:r>
        <w:rPr/>
        <w:t>Effect of omega-3 fatty acids on high blood lipid levels/triglycerides</w:t>
      </w:r>
    </w:p>
    <w:p>
      <w:pPr>
        <w:pStyle w:val="BodyText"/>
        <w:spacing w:line="276" w:lineRule="auto" w:before="299"/>
        <w:ind w:left="616" w:right="135"/>
        <w:jc w:val="both"/>
      </w:pPr>
      <w:r>
        <w:rPr/>
        <w:t>Like</w:t>
      </w:r>
      <w:r>
        <w:rPr>
          <w:spacing w:val="-23"/>
        </w:rPr>
        <w:t> </w:t>
      </w:r>
      <w:r>
        <w:rPr/>
        <w:t>cholesterol,</w:t>
      </w:r>
      <w:r>
        <w:rPr>
          <w:spacing w:val="-22"/>
        </w:rPr>
        <w:t> </w:t>
      </w:r>
      <w:r>
        <w:rPr/>
        <w:t>triglycerides</w:t>
      </w:r>
      <w:r>
        <w:rPr>
          <w:spacing w:val="-21"/>
        </w:rPr>
        <w:t> </w:t>
      </w:r>
      <w:r>
        <w:rPr/>
        <w:t>are</w:t>
      </w:r>
      <w:r>
        <w:rPr>
          <w:spacing w:val="-22"/>
        </w:rPr>
        <w:t> </w:t>
      </w:r>
      <w:r>
        <w:rPr/>
        <w:t>one</w:t>
      </w:r>
      <w:r>
        <w:rPr>
          <w:spacing w:val="-21"/>
        </w:rPr>
        <w:t> </w:t>
      </w:r>
      <w:r>
        <w:rPr/>
        <w:t>of</w:t>
      </w:r>
      <w:r>
        <w:rPr>
          <w:spacing w:val="-22"/>
        </w:rPr>
        <w:t> </w:t>
      </w:r>
      <w:r>
        <w:rPr/>
        <w:t>the</w:t>
      </w:r>
      <w:r>
        <w:rPr>
          <w:spacing w:val="-20"/>
        </w:rPr>
        <w:t> </w:t>
      </w:r>
      <w:r>
        <w:rPr/>
        <w:t>causes</w:t>
      </w:r>
      <w:r>
        <w:rPr>
          <w:spacing w:val="-22"/>
        </w:rPr>
        <w:t> </w:t>
      </w:r>
      <w:r>
        <w:rPr/>
        <w:t>of</w:t>
      </w:r>
      <w:r>
        <w:rPr>
          <w:spacing w:val="-22"/>
        </w:rPr>
        <w:t> </w:t>
      </w:r>
      <w:r>
        <w:rPr/>
        <w:t>atherosclerosis</w:t>
      </w:r>
      <w:r>
        <w:rPr>
          <w:spacing w:val="-18"/>
        </w:rPr>
        <w:t> </w:t>
      </w:r>
      <w:r>
        <w:rPr/>
        <w:t>and</w:t>
      </w:r>
      <w:r>
        <w:rPr>
          <w:spacing w:val="-22"/>
        </w:rPr>
        <w:t> </w:t>
      </w:r>
      <w:r>
        <w:rPr/>
        <w:t>often lead to serious cardiovascular diseases, including dreaded heart</w:t>
      </w:r>
      <w:r>
        <w:rPr>
          <w:spacing w:val="-11"/>
        </w:rPr>
        <w:t> </w:t>
      </w:r>
      <w:r>
        <w:rPr/>
        <w:t>attacks.</w:t>
      </w:r>
    </w:p>
    <w:p>
      <w:pPr>
        <w:pStyle w:val="BodyText"/>
        <w:spacing w:line="276" w:lineRule="auto" w:before="239"/>
        <w:ind w:left="616" w:right="137"/>
        <w:jc w:val="both"/>
      </w:pPr>
      <w:r>
        <w:rPr/>
        <w:t>Omega-3 fatty acids have the ability to limit the production of triglycerides in the</w:t>
      </w:r>
      <w:r>
        <w:rPr>
          <w:spacing w:val="-6"/>
        </w:rPr>
        <w:t> </w:t>
      </w:r>
      <w:r>
        <w:rPr/>
        <w:t>liver.</w:t>
      </w:r>
      <w:r>
        <w:rPr>
          <w:spacing w:val="-6"/>
        </w:rPr>
        <w:t> </w:t>
      </w:r>
      <w:r>
        <w:rPr/>
        <w:t>According</w:t>
      </w:r>
      <w:r>
        <w:rPr>
          <w:spacing w:val="-6"/>
        </w:rPr>
        <w:t> </w:t>
      </w:r>
      <w:r>
        <w:rPr/>
        <w:t>to</w:t>
      </w:r>
      <w:r>
        <w:rPr>
          <w:spacing w:val="-5"/>
        </w:rPr>
        <w:t> </w:t>
      </w:r>
      <w:r>
        <w:rPr/>
        <w:t>studies</w:t>
      </w:r>
      <w:r>
        <w:rPr>
          <w:spacing w:val="-7"/>
        </w:rPr>
        <w:t> </w:t>
      </w:r>
      <w:r>
        <w:rPr/>
        <w:t>by</w:t>
      </w:r>
      <w:r>
        <w:rPr>
          <w:spacing w:val="-5"/>
        </w:rPr>
        <w:t> </w:t>
      </w:r>
      <w:r>
        <w:rPr/>
        <w:t>Professor</w:t>
      </w:r>
      <w:r>
        <w:rPr>
          <w:spacing w:val="-8"/>
        </w:rPr>
        <w:t> </w:t>
      </w:r>
      <w:r>
        <w:rPr/>
        <w:t>Dr.</w:t>
      </w:r>
      <w:r>
        <w:rPr>
          <w:spacing w:val="-7"/>
        </w:rPr>
        <w:t> </w:t>
      </w:r>
      <w:r>
        <w:rPr/>
        <w:t>Michael</w:t>
      </w:r>
      <w:r>
        <w:rPr>
          <w:spacing w:val="-8"/>
        </w:rPr>
        <w:t> </w:t>
      </w:r>
      <w:r>
        <w:rPr/>
        <w:t>Gibney,</w:t>
      </w:r>
      <w:r>
        <w:rPr>
          <w:spacing w:val="-5"/>
        </w:rPr>
        <w:t> </w:t>
      </w:r>
      <w:r>
        <w:rPr/>
        <w:t>a</w:t>
      </w:r>
      <w:r>
        <w:rPr>
          <w:spacing w:val="-8"/>
        </w:rPr>
        <w:t> </w:t>
      </w:r>
      <w:r>
        <w:rPr/>
        <w:t>daily</w:t>
      </w:r>
      <w:r>
        <w:rPr>
          <w:spacing w:val="-6"/>
        </w:rPr>
        <w:t> </w:t>
      </w:r>
      <w:r>
        <w:rPr/>
        <w:t>intake of 1 g of omega-3 fatty acid reduced triglycerides by 25-30</w:t>
      </w:r>
      <w:r>
        <w:rPr>
          <w:spacing w:val="-8"/>
        </w:rPr>
        <w:t> </w:t>
      </w:r>
      <w:r>
        <w:rPr/>
        <w:t>%!</w:t>
      </w:r>
    </w:p>
    <w:p>
      <w:pPr>
        <w:pStyle w:val="BodyText"/>
        <w:spacing w:line="276" w:lineRule="auto" w:before="241"/>
        <w:ind w:left="616" w:right="136"/>
        <w:jc w:val="both"/>
      </w:pPr>
      <w:r>
        <w:rPr/>
        <w:t>A dose of approximately 4 g of EPA and DHA over a period of at least three months is recommended.</w:t>
      </w:r>
    </w:p>
    <w:p>
      <w:pPr>
        <w:pStyle w:val="Heading1"/>
        <w:ind w:left="616"/>
      </w:pPr>
      <w:r>
        <w:rPr/>
        <w:t>Effect of omega-3 fatty acids on high blood pressure</w:t>
      </w:r>
    </w:p>
    <w:p>
      <w:pPr>
        <w:pStyle w:val="BodyText"/>
        <w:spacing w:line="276" w:lineRule="auto" w:before="299"/>
        <w:ind w:left="616" w:right="132"/>
        <w:jc w:val="both"/>
      </w:pPr>
      <w:r>
        <w:rPr/>
        <w:t>High</w:t>
      </w:r>
      <w:r>
        <w:rPr>
          <w:spacing w:val="-26"/>
        </w:rPr>
        <w:t> </w:t>
      </w:r>
      <w:r>
        <w:rPr/>
        <w:t>blood</w:t>
      </w:r>
      <w:r>
        <w:rPr>
          <w:spacing w:val="-25"/>
        </w:rPr>
        <w:t> </w:t>
      </w:r>
      <w:r>
        <w:rPr/>
        <w:t>pressure</w:t>
      </w:r>
      <w:r>
        <w:rPr>
          <w:spacing w:val="-25"/>
        </w:rPr>
        <w:t> </w:t>
      </w:r>
      <w:r>
        <w:rPr/>
        <w:t>(&lt;140/90</w:t>
      </w:r>
      <w:r>
        <w:rPr>
          <w:spacing w:val="-24"/>
        </w:rPr>
        <w:t> </w:t>
      </w:r>
      <w:r>
        <w:rPr/>
        <w:t>mmHg)</w:t>
      </w:r>
      <w:r>
        <w:rPr>
          <w:spacing w:val="-26"/>
        </w:rPr>
        <w:t> </w:t>
      </w:r>
      <w:r>
        <w:rPr/>
        <w:t>is</w:t>
      </w:r>
      <w:r>
        <w:rPr>
          <w:spacing w:val="-26"/>
        </w:rPr>
        <w:t> </w:t>
      </w:r>
      <w:r>
        <w:rPr/>
        <w:t>a</w:t>
      </w:r>
      <w:r>
        <w:rPr>
          <w:spacing w:val="-27"/>
        </w:rPr>
        <w:t> </w:t>
      </w:r>
      <w:r>
        <w:rPr/>
        <w:t>risk</w:t>
      </w:r>
      <w:r>
        <w:rPr>
          <w:spacing w:val="-27"/>
        </w:rPr>
        <w:t> </w:t>
      </w:r>
      <w:r>
        <w:rPr/>
        <w:t>factor</w:t>
      </w:r>
      <w:r>
        <w:rPr>
          <w:spacing w:val="-25"/>
        </w:rPr>
        <w:t> </w:t>
      </w:r>
      <w:r>
        <w:rPr/>
        <w:t>for</w:t>
      </w:r>
      <w:r>
        <w:rPr>
          <w:spacing w:val="-24"/>
        </w:rPr>
        <w:t> </w:t>
      </w:r>
      <w:r>
        <w:rPr/>
        <w:t>atherosclerosis,</w:t>
      </w:r>
      <w:r>
        <w:rPr>
          <w:spacing w:val="-25"/>
        </w:rPr>
        <w:t> </w:t>
      </w:r>
      <w:r>
        <w:rPr/>
        <w:t>heart attacks, narcoleptic attacks and kidney failure. Omega-3 fatty acids have ten different mechanisms of action that lower blood pressure; these</w:t>
      </w:r>
      <w:r>
        <w:rPr>
          <w:spacing w:val="-14"/>
        </w:rPr>
        <w:t> </w:t>
      </w:r>
      <w:r>
        <w:rPr/>
        <w:t>include:</w:t>
      </w:r>
    </w:p>
    <w:p>
      <w:pPr>
        <w:pStyle w:val="ListParagraph"/>
        <w:numPr>
          <w:ilvl w:val="1"/>
          <w:numId w:val="79"/>
        </w:numPr>
        <w:tabs>
          <w:tab w:pos="1763" w:val="left" w:leader="none"/>
          <w:tab w:pos="1764" w:val="left" w:leader="none"/>
        </w:tabs>
        <w:spacing w:line="240" w:lineRule="auto" w:before="120" w:after="0"/>
        <w:ind w:left="1763" w:right="0" w:hanging="360"/>
        <w:jc w:val="left"/>
        <w:rPr>
          <w:sz w:val="38"/>
        </w:rPr>
      </w:pPr>
      <w:r>
        <w:rPr>
          <w:sz w:val="38"/>
        </w:rPr>
        <w:t>dilation of capillaries and</w:t>
      </w:r>
      <w:r>
        <w:rPr>
          <w:spacing w:val="2"/>
          <w:sz w:val="38"/>
        </w:rPr>
        <w:t> </w:t>
      </w:r>
      <w:r>
        <w:rPr>
          <w:sz w:val="38"/>
        </w:rPr>
        <w:t>arteries,</w:t>
      </w:r>
    </w:p>
    <w:p>
      <w:pPr>
        <w:pStyle w:val="ListParagraph"/>
        <w:numPr>
          <w:ilvl w:val="1"/>
          <w:numId w:val="79"/>
        </w:numPr>
        <w:tabs>
          <w:tab w:pos="1763" w:val="left" w:leader="none"/>
          <w:tab w:pos="1764" w:val="left" w:leader="none"/>
        </w:tabs>
        <w:spacing w:line="240" w:lineRule="auto" w:before="184" w:after="0"/>
        <w:ind w:left="1763" w:right="0" w:hanging="360"/>
        <w:jc w:val="left"/>
        <w:rPr>
          <w:sz w:val="38"/>
        </w:rPr>
      </w:pPr>
      <w:r>
        <w:rPr>
          <w:sz w:val="38"/>
        </w:rPr>
        <w:t>increase in circulation to the</w:t>
      </w:r>
      <w:r>
        <w:rPr>
          <w:spacing w:val="5"/>
          <w:sz w:val="38"/>
        </w:rPr>
        <w:t> </w:t>
      </w:r>
      <w:r>
        <w:rPr>
          <w:sz w:val="38"/>
        </w:rPr>
        <w:t>kidney,</w:t>
      </w:r>
    </w:p>
    <w:p>
      <w:pPr>
        <w:pStyle w:val="ListParagraph"/>
        <w:numPr>
          <w:ilvl w:val="1"/>
          <w:numId w:val="79"/>
        </w:numPr>
        <w:tabs>
          <w:tab w:pos="1763" w:val="left" w:leader="none"/>
          <w:tab w:pos="1764" w:val="left" w:leader="none"/>
        </w:tabs>
        <w:spacing w:line="273" w:lineRule="auto" w:before="184" w:after="0"/>
        <w:ind w:left="1763" w:right="134" w:hanging="360"/>
        <w:jc w:val="left"/>
        <w:rPr>
          <w:sz w:val="38"/>
        </w:rPr>
      </w:pPr>
      <w:r>
        <w:rPr>
          <w:sz w:val="38"/>
        </w:rPr>
        <w:t>mitigation of the effects of hypertensive hormones (norepinephrine, thromboxane)</w:t>
      </w:r>
      <w:r>
        <w:rPr>
          <w:spacing w:val="-1"/>
          <w:sz w:val="38"/>
        </w:rPr>
        <w:t> </w:t>
      </w:r>
      <w:r>
        <w:rPr>
          <w:sz w:val="38"/>
        </w:rPr>
        <w:t>and</w:t>
      </w:r>
    </w:p>
    <w:p>
      <w:pPr>
        <w:pStyle w:val="ListParagraph"/>
        <w:numPr>
          <w:ilvl w:val="1"/>
          <w:numId w:val="79"/>
        </w:numPr>
        <w:tabs>
          <w:tab w:pos="1763" w:val="left" w:leader="none"/>
          <w:tab w:pos="1764" w:val="left" w:leader="none"/>
        </w:tabs>
        <w:spacing w:line="240" w:lineRule="auto" w:before="130" w:after="0"/>
        <w:ind w:left="1763" w:right="0" w:hanging="360"/>
        <w:jc w:val="left"/>
        <w:rPr>
          <w:sz w:val="38"/>
        </w:rPr>
      </w:pPr>
      <w:r>
        <w:rPr>
          <w:sz w:val="38"/>
        </w:rPr>
        <w:t>reduction</w:t>
      </w:r>
      <w:r>
        <w:rPr>
          <w:spacing w:val="46"/>
          <w:sz w:val="38"/>
        </w:rPr>
        <w:t> </w:t>
      </w:r>
      <w:r>
        <w:rPr>
          <w:sz w:val="38"/>
        </w:rPr>
        <w:t>of</w:t>
      </w:r>
      <w:r>
        <w:rPr>
          <w:spacing w:val="46"/>
          <w:sz w:val="38"/>
        </w:rPr>
        <w:t> </w:t>
      </w:r>
      <w:r>
        <w:rPr>
          <w:sz w:val="38"/>
        </w:rPr>
        <w:t>blood</w:t>
      </w:r>
      <w:r>
        <w:rPr>
          <w:spacing w:val="45"/>
          <w:sz w:val="38"/>
        </w:rPr>
        <w:t> </w:t>
      </w:r>
      <w:r>
        <w:rPr>
          <w:sz w:val="38"/>
        </w:rPr>
        <w:t>pressure-promoting</w:t>
      </w:r>
      <w:r>
        <w:rPr>
          <w:spacing w:val="46"/>
          <w:sz w:val="38"/>
        </w:rPr>
        <w:t> </w:t>
      </w:r>
      <w:r>
        <w:rPr>
          <w:sz w:val="38"/>
        </w:rPr>
        <w:t>electrolytes</w:t>
      </w:r>
      <w:r>
        <w:rPr>
          <w:spacing w:val="46"/>
          <w:sz w:val="38"/>
        </w:rPr>
        <w:t> </w:t>
      </w:r>
      <w:r>
        <w:rPr>
          <w:sz w:val="38"/>
        </w:rPr>
        <w:t>such</w:t>
      </w:r>
      <w:r>
        <w:rPr>
          <w:spacing w:val="46"/>
          <w:sz w:val="38"/>
        </w:rPr>
        <w:t> </w:t>
      </w:r>
      <w:r>
        <w:rPr>
          <w:sz w:val="38"/>
        </w:rPr>
        <w:t>as</w:t>
      </w:r>
      <w:r>
        <w:rPr>
          <w:spacing w:val="45"/>
          <w:sz w:val="38"/>
        </w:rPr>
        <w:t> </w:t>
      </w:r>
      <w:r>
        <w:rPr>
          <w:sz w:val="38"/>
        </w:rPr>
        <w:t>sodium,</w:t>
      </w:r>
    </w:p>
    <w:p>
      <w:pPr>
        <w:spacing w:after="0" w:line="240" w:lineRule="auto"/>
        <w:jc w:val="left"/>
        <w:rPr>
          <w:sz w:val="38"/>
        </w:rPr>
        <w:sectPr>
          <w:pgSz w:w="14270" w:h="16850"/>
          <w:pgMar w:header="0" w:footer="1891" w:top="1340" w:bottom="2080" w:left="800" w:right="1280"/>
        </w:sectPr>
      </w:pPr>
    </w:p>
    <w:p>
      <w:pPr>
        <w:spacing w:before="72"/>
        <w:ind w:left="1763" w:right="0" w:firstLine="0"/>
        <w:jc w:val="left"/>
        <w:rPr>
          <w:sz w:val="25"/>
        </w:rPr>
      </w:pPr>
      <w:r>
        <w:rPr>
          <w:sz w:val="38"/>
        </w:rPr>
        <w:t>calcium.</w:t>
      </w:r>
      <w:r>
        <w:rPr>
          <w:position w:val="9"/>
          <w:sz w:val="25"/>
        </w:rPr>
        <w:t>621</w:t>
      </w:r>
    </w:p>
    <w:p>
      <w:pPr>
        <w:pStyle w:val="BodyText"/>
        <w:spacing w:line="276" w:lineRule="auto" w:before="304"/>
        <w:ind w:left="616" w:right="141"/>
        <w:jc w:val="both"/>
      </w:pPr>
      <w:r>
        <w:rPr/>
        <w:t>Therapeutically,</w:t>
      </w:r>
      <w:r>
        <w:rPr>
          <w:spacing w:val="-13"/>
        </w:rPr>
        <w:t> </w:t>
      </w:r>
      <w:r>
        <w:rPr/>
        <w:t>a</w:t>
      </w:r>
      <w:r>
        <w:rPr>
          <w:spacing w:val="-13"/>
        </w:rPr>
        <w:t> </w:t>
      </w:r>
      <w:r>
        <w:rPr/>
        <w:t>dose</w:t>
      </w:r>
      <w:r>
        <w:rPr>
          <w:spacing w:val="-14"/>
        </w:rPr>
        <w:t> </w:t>
      </w:r>
      <w:r>
        <w:rPr/>
        <w:t>of</w:t>
      </w:r>
      <w:r>
        <w:rPr>
          <w:spacing w:val="-13"/>
        </w:rPr>
        <w:t> </w:t>
      </w:r>
      <w:r>
        <w:rPr/>
        <w:t>about</w:t>
      </w:r>
      <w:r>
        <w:rPr>
          <w:spacing w:val="-16"/>
        </w:rPr>
        <w:t> </w:t>
      </w:r>
      <w:r>
        <w:rPr/>
        <w:t>4</w:t>
      </w:r>
      <w:r>
        <w:rPr>
          <w:spacing w:val="-12"/>
        </w:rPr>
        <w:t> </w:t>
      </w:r>
      <w:r>
        <w:rPr/>
        <w:t>g</w:t>
      </w:r>
      <w:r>
        <w:rPr>
          <w:spacing w:val="-14"/>
        </w:rPr>
        <w:t> </w:t>
      </w:r>
      <w:r>
        <w:rPr/>
        <w:t>of</w:t>
      </w:r>
      <w:r>
        <w:rPr>
          <w:spacing w:val="-13"/>
        </w:rPr>
        <w:t> </w:t>
      </w:r>
      <w:r>
        <w:rPr/>
        <w:t>EPA</w:t>
      </w:r>
      <w:r>
        <w:rPr>
          <w:spacing w:val="-11"/>
        </w:rPr>
        <w:t> </w:t>
      </w:r>
      <w:r>
        <w:rPr/>
        <w:t>and</w:t>
      </w:r>
      <w:r>
        <w:rPr>
          <w:spacing w:val="-16"/>
        </w:rPr>
        <w:t> </w:t>
      </w:r>
      <w:r>
        <w:rPr/>
        <w:t>DHA</w:t>
      </w:r>
      <w:r>
        <w:rPr>
          <w:spacing w:val="-11"/>
        </w:rPr>
        <w:t> </w:t>
      </w:r>
      <w:r>
        <w:rPr/>
        <w:t>over</w:t>
      </w:r>
      <w:r>
        <w:rPr>
          <w:spacing w:val="-11"/>
        </w:rPr>
        <w:t> </w:t>
      </w:r>
      <w:r>
        <w:rPr/>
        <w:t>a</w:t>
      </w:r>
      <w:r>
        <w:rPr>
          <w:spacing w:val="-15"/>
        </w:rPr>
        <w:t> </w:t>
      </w:r>
      <w:r>
        <w:rPr/>
        <w:t>period</w:t>
      </w:r>
      <w:r>
        <w:rPr>
          <w:spacing w:val="-12"/>
        </w:rPr>
        <w:t> </w:t>
      </w:r>
      <w:r>
        <w:rPr/>
        <w:t>of</w:t>
      </w:r>
      <w:r>
        <w:rPr>
          <w:spacing w:val="-13"/>
        </w:rPr>
        <w:t> </w:t>
      </w:r>
      <w:r>
        <w:rPr/>
        <w:t>at</w:t>
      </w:r>
      <w:r>
        <w:rPr>
          <w:spacing w:val="-13"/>
        </w:rPr>
        <w:t> </w:t>
      </w:r>
      <w:r>
        <w:rPr/>
        <w:t>least three months is</w:t>
      </w:r>
      <w:r>
        <w:rPr>
          <w:spacing w:val="-2"/>
        </w:rPr>
        <w:t> </w:t>
      </w:r>
      <w:r>
        <w:rPr/>
        <w:t>recommended.</w:t>
      </w:r>
    </w:p>
    <w:p>
      <w:pPr>
        <w:pStyle w:val="Heading1"/>
        <w:ind w:left="616"/>
      </w:pPr>
      <w:r>
        <w:rPr/>
        <w:t>Effect of omega-3 fatty acids on cardiac arrhythmias</w:t>
      </w:r>
    </w:p>
    <w:p>
      <w:pPr>
        <w:pStyle w:val="BodyText"/>
        <w:spacing w:line="276" w:lineRule="auto" w:before="299"/>
        <w:ind w:left="616" w:right="136"/>
        <w:jc w:val="both"/>
      </w:pPr>
      <w:r>
        <w:rPr/>
        <w:t>Omega-3 fatty acids have a positive influence on cardiac arrhythmias through various mechanisms. For example, they attach directly to the ion channels in the cell membrane of the heart muscle cell, which is responsible for the con- traction</w:t>
      </w:r>
      <w:r>
        <w:rPr>
          <w:spacing w:val="-19"/>
        </w:rPr>
        <w:t> </w:t>
      </w:r>
      <w:r>
        <w:rPr/>
        <w:t>of</w:t>
      </w:r>
      <w:r>
        <w:rPr>
          <w:spacing w:val="-18"/>
        </w:rPr>
        <w:t> </w:t>
      </w:r>
      <w:r>
        <w:rPr/>
        <w:t>the</w:t>
      </w:r>
      <w:r>
        <w:rPr>
          <w:spacing w:val="-21"/>
        </w:rPr>
        <w:t> </w:t>
      </w:r>
      <w:r>
        <w:rPr/>
        <w:t>heart</w:t>
      </w:r>
      <w:r>
        <w:rPr>
          <w:spacing w:val="-18"/>
        </w:rPr>
        <w:t> </w:t>
      </w:r>
      <w:r>
        <w:rPr/>
        <w:t>muscle</w:t>
      </w:r>
      <w:r>
        <w:rPr>
          <w:spacing w:val="-19"/>
        </w:rPr>
        <w:t> </w:t>
      </w:r>
      <w:r>
        <w:rPr/>
        <w:t>fibres,</w:t>
      </w:r>
      <w:r>
        <w:rPr>
          <w:spacing w:val="-18"/>
        </w:rPr>
        <w:t> </w:t>
      </w:r>
      <w:r>
        <w:rPr/>
        <w:t>and</w:t>
      </w:r>
      <w:r>
        <w:rPr>
          <w:spacing w:val="-21"/>
        </w:rPr>
        <w:t> </w:t>
      </w:r>
      <w:r>
        <w:rPr/>
        <w:t>reduce</w:t>
      </w:r>
      <w:r>
        <w:rPr>
          <w:spacing w:val="-20"/>
        </w:rPr>
        <w:t> </w:t>
      </w:r>
      <w:r>
        <w:rPr/>
        <w:t>the</w:t>
      </w:r>
      <w:r>
        <w:rPr>
          <w:spacing w:val="-21"/>
        </w:rPr>
        <w:t> </w:t>
      </w:r>
      <w:r>
        <w:rPr/>
        <w:t>excitability</w:t>
      </w:r>
      <w:r>
        <w:rPr>
          <w:spacing w:val="-20"/>
        </w:rPr>
        <w:t> </w:t>
      </w:r>
      <w:r>
        <w:rPr/>
        <w:t>of</w:t>
      </w:r>
      <w:r>
        <w:rPr>
          <w:spacing w:val="-19"/>
        </w:rPr>
        <w:t> </w:t>
      </w:r>
      <w:r>
        <w:rPr/>
        <w:t>these</w:t>
      </w:r>
      <w:r>
        <w:rPr>
          <w:spacing w:val="-18"/>
        </w:rPr>
        <w:t> </w:t>
      </w:r>
      <w:r>
        <w:rPr/>
        <w:t>channels and thus the ventricular</w:t>
      </w:r>
      <w:r>
        <w:rPr>
          <w:spacing w:val="4"/>
        </w:rPr>
        <w:t> </w:t>
      </w:r>
      <w:r>
        <w:rPr/>
        <w:t>fibrillation.</w:t>
      </w:r>
    </w:p>
    <w:p>
      <w:pPr>
        <w:pStyle w:val="Heading1"/>
        <w:spacing w:before="223"/>
        <w:ind w:left="616"/>
      </w:pPr>
      <w:r>
        <w:rPr/>
        <w:t>Omega-3 fatty acids can reverse</w:t>
      </w:r>
      <w:r>
        <w:rPr>
          <w:spacing w:val="-66"/>
        </w:rPr>
        <w:t> </w:t>
      </w:r>
      <w:r>
        <w:rPr/>
        <w:t>arteriosclerosis</w:t>
      </w:r>
    </w:p>
    <w:p>
      <w:pPr>
        <w:pStyle w:val="BodyText"/>
        <w:spacing w:line="276" w:lineRule="auto" w:before="299"/>
        <w:ind w:left="616" w:right="136"/>
        <w:jc w:val="both"/>
      </w:pPr>
      <w:r>
        <w:rPr/>
        <w:t>Arteriosclerosis</w:t>
      </w:r>
      <w:r>
        <w:rPr>
          <w:spacing w:val="-10"/>
        </w:rPr>
        <w:t> </w:t>
      </w:r>
      <w:r>
        <w:rPr/>
        <w:t>is</w:t>
      </w:r>
      <w:r>
        <w:rPr>
          <w:spacing w:val="-9"/>
        </w:rPr>
        <w:t> </w:t>
      </w:r>
      <w:r>
        <w:rPr/>
        <w:t>considered</w:t>
      </w:r>
      <w:r>
        <w:rPr>
          <w:spacing w:val="-8"/>
        </w:rPr>
        <w:t> </w:t>
      </w:r>
      <w:r>
        <w:rPr/>
        <w:t>the</w:t>
      </w:r>
      <w:r>
        <w:rPr>
          <w:spacing w:val="-9"/>
        </w:rPr>
        <w:t> </w:t>
      </w:r>
      <w:r>
        <w:rPr/>
        <w:t>main</w:t>
      </w:r>
      <w:r>
        <w:rPr>
          <w:spacing w:val="-9"/>
        </w:rPr>
        <w:t> </w:t>
      </w:r>
      <w:r>
        <w:rPr/>
        <w:t>cause</w:t>
      </w:r>
      <w:r>
        <w:rPr>
          <w:spacing w:val="-8"/>
        </w:rPr>
        <w:t> </w:t>
      </w:r>
      <w:r>
        <w:rPr/>
        <w:t>of</w:t>
      </w:r>
      <w:r>
        <w:rPr>
          <w:spacing w:val="-11"/>
        </w:rPr>
        <w:t> </w:t>
      </w:r>
      <w:r>
        <w:rPr/>
        <w:t>cardiovascular</w:t>
      </w:r>
      <w:r>
        <w:rPr>
          <w:spacing w:val="-8"/>
        </w:rPr>
        <w:t> </w:t>
      </w:r>
      <w:r>
        <w:rPr/>
        <w:t>disease,</w:t>
      </w:r>
      <w:r>
        <w:rPr>
          <w:spacing w:val="-8"/>
        </w:rPr>
        <w:t> </w:t>
      </w:r>
      <w:r>
        <w:rPr/>
        <w:t>includ- ing</w:t>
      </w:r>
      <w:r>
        <w:rPr>
          <w:spacing w:val="-10"/>
        </w:rPr>
        <w:t> </w:t>
      </w:r>
      <w:r>
        <w:rPr/>
        <w:t>heart</w:t>
      </w:r>
      <w:r>
        <w:rPr>
          <w:spacing w:val="-11"/>
        </w:rPr>
        <w:t> </w:t>
      </w:r>
      <w:r>
        <w:rPr/>
        <w:t>attack</w:t>
      </w:r>
      <w:r>
        <w:rPr>
          <w:spacing w:val="-12"/>
        </w:rPr>
        <w:t> </w:t>
      </w:r>
      <w:r>
        <w:rPr/>
        <w:t>and</w:t>
      </w:r>
      <w:r>
        <w:rPr>
          <w:spacing w:val="-10"/>
        </w:rPr>
        <w:t> </w:t>
      </w:r>
      <w:r>
        <w:rPr/>
        <w:t>stroke.</w:t>
      </w:r>
      <w:r>
        <w:rPr>
          <w:spacing w:val="-11"/>
        </w:rPr>
        <w:t> </w:t>
      </w:r>
      <w:r>
        <w:rPr/>
        <w:t>Nothing</w:t>
      </w:r>
      <w:r>
        <w:rPr>
          <w:spacing w:val="-10"/>
        </w:rPr>
        <w:t> </w:t>
      </w:r>
      <w:r>
        <w:rPr/>
        <w:t>brings</w:t>
      </w:r>
      <w:r>
        <w:rPr>
          <w:spacing w:val="-10"/>
        </w:rPr>
        <w:t> </w:t>
      </w:r>
      <w:r>
        <w:rPr/>
        <w:t>about</w:t>
      </w:r>
      <w:r>
        <w:rPr>
          <w:spacing w:val="-10"/>
        </w:rPr>
        <w:t> </w:t>
      </w:r>
      <w:r>
        <w:rPr/>
        <w:t>as</w:t>
      </w:r>
      <w:r>
        <w:rPr>
          <w:spacing w:val="-11"/>
        </w:rPr>
        <w:t> </w:t>
      </w:r>
      <w:r>
        <w:rPr/>
        <w:t>many</w:t>
      </w:r>
      <w:r>
        <w:rPr>
          <w:spacing w:val="-9"/>
        </w:rPr>
        <w:t> </w:t>
      </w:r>
      <w:r>
        <w:rPr/>
        <w:t>deaths</w:t>
      </w:r>
      <w:r>
        <w:rPr>
          <w:spacing w:val="-9"/>
        </w:rPr>
        <w:t> </w:t>
      </w:r>
      <w:r>
        <w:rPr/>
        <w:t>in</w:t>
      </w:r>
      <w:r>
        <w:rPr>
          <w:spacing w:val="-13"/>
        </w:rPr>
        <w:t> </w:t>
      </w:r>
      <w:r>
        <w:rPr/>
        <w:t>industrial- ised countries as atherosclerosis! In 1999, in a clinical study on 233 patients, Prof. Dr. von Schacky showed that the administration of 6 dg of a fish oil concentrate over a period of 24 months brought about a detectable reduction in atherosclerotic</w:t>
      </w:r>
      <w:r>
        <w:rPr>
          <w:spacing w:val="1"/>
        </w:rPr>
        <w:t> </w:t>
      </w:r>
      <w:r>
        <w:rPr/>
        <w:t>changes.</w:t>
      </w:r>
    </w:p>
    <w:p>
      <w:pPr>
        <w:pStyle w:val="Heading1"/>
        <w:spacing w:before="223"/>
        <w:ind w:left="616"/>
      </w:pPr>
      <w:r>
        <w:rPr/>
        <w:t>Effect of Omega-3 fatty acids on current risk of heart attack</w:t>
      </w:r>
    </w:p>
    <w:p>
      <w:pPr>
        <w:pStyle w:val="BodyText"/>
        <w:spacing w:line="276" w:lineRule="auto" w:before="299"/>
        <w:ind w:left="616" w:right="134"/>
        <w:jc w:val="both"/>
      </w:pPr>
      <w:r>
        <w:rPr/>
        <w:t>Omega-3</w:t>
      </w:r>
      <w:r>
        <w:rPr>
          <w:spacing w:val="-14"/>
        </w:rPr>
        <w:t> </w:t>
      </w:r>
      <w:r>
        <w:rPr/>
        <w:t>fatty</w:t>
      </w:r>
      <w:r>
        <w:rPr>
          <w:spacing w:val="-14"/>
        </w:rPr>
        <w:t> </w:t>
      </w:r>
      <w:r>
        <w:rPr/>
        <w:t>acids</w:t>
      </w:r>
      <w:r>
        <w:rPr>
          <w:spacing w:val="-13"/>
        </w:rPr>
        <w:t> </w:t>
      </w:r>
      <w:r>
        <w:rPr/>
        <w:t>reduce</w:t>
      </w:r>
      <w:r>
        <w:rPr>
          <w:spacing w:val="-14"/>
        </w:rPr>
        <w:t> </w:t>
      </w:r>
      <w:r>
        <w:rPr/>
        <w:t>the</w:t>
      </w:r>
      <w:r>
        <w:rPr>
          <w:spacing w:val="-13"/>
        </w:rPr>
        <w:t> </w:t>
      </w:r>
      <w:r>
        <w:rPr/>
        <w:t>death</w:t>
      </w:r>
      <w:r>
        <w:rPr>
          <w:spacing w:val="-13"/>
        </w:rPr>
        <w:t> </w:t>
      </w:r>
      <w:r>
        <w:rPr/>
        <w:t>rate</w:t>
      </w:r>
      <w:r>
        <w:rPr>
          <w:spacing w:val="-13"/>
        </w:rPr>
        <w:t> </w:t>
      </w:r>
      <w:r>
        <w:rPr/>
        <w:t>due</w:t>
      </w:r>
      <w:r>
        <w:rPr>
          <w:spacing w:val="-14"/>
        </w:rPr>
        <w:t> </w:t>
      </w:r>
      <w:r>
        <w:rPr/>
        <w:t>to</w:t>
      </w:r>
      <w:r>
        <w:rPr>
          <w:spacing w:val="-13"/>
        </w:rPr>
        <w:t> </w:t>
      </w:r>
      <w:r>
        <w:rPr/>
        <w:t>a</w:t>
      </w:r>
      <w:r>
        <w:rPr>
          <w:spacing w:val="-15"/>
        </w:rPr>
        <w:t> </w:t>
      </w:r>
      <w:r>
        <w:rPr/>
        <w:t>heart</w:t>
      </w:r>
      <w:r>
        <w:rPr>
          <w:spacing w:val="-13"/>
        </w:rPr>
        <w:t> </w:t>
      </w:r>
      <w:r>
        <w:rPr/>
        <w:t>attack</w:t>
      </w:r>
      <w:r>
        <w:rPr>
          <w:spacing w:val="-13"/>
        </w:rPr>
        <w:t> </w:t>
      </w:r>
      <w:r>
        <w:rPr/>
        <w:t>by</w:t>
      </w:r>
      <w:r>
        <w:rPr>
          <w:spacing w:val="-13"/>
        </w:rPr>
        <w:t> </w:t>
      </w:r>
      <w:r>
        <w:rPr/>
        <w:t>30</w:t>
      </w:r>
      <w:r>
        <w:rPr>
          <w:spacing w:val="-14"/>
        </w:rPr>
        <w:t> </w:t>
      </w:r>
      <w:r>
        <w:rPr/>
        <w:t>%;</w:t>
      </w:r>
      <w:r>
        <w:rPr>
          <w:spacing w:val="-13"/>
        </w:rPr>
        <w:t> </w:t>
      </w:r>
      <w:r>
        <w:rPr/>
        <w:t>a</w:t>
      </w:r>
      <w:r>
        <w:rPr>
          <w:spacing w:val="-14"/>
        </w:rPr>
        <w:t> </w:t>
      </w:r>
      <w:r>
        <w:rPr/>
        <w:t>dose of at least 1 g of EPA and DHA is recommended as a preventive</w:t>
      </w:r>
      <w:r>
        <w:rPr>
          <w:spacing w:val="-24"/>
        </w:rPr>
        <w:t> </w:t>
      </w:r>
      <w:r>
        <w:rPr/>
        <w:t>measure.</w:t>
      </w:r>
    </w:p>
    <w:p>
      <w:pPr>
        <w:pStyle w:val="BodyText"/>
        <w:rPr>
          <w:sz w:val="20"/>
        </w:rPr>
      </w:pPr>
    </w:p>
    <w:p>
      <w:pPr>
        <w:pStyle w:val="BodyText"/>
        <w:rPr>
          <w:sz w:val="20"/>
        </w:rPr>
      </w:pPr>
    </w:p>
    <w:p>
      <w:pPr>
        <w:pStyle w:val="BodyText"/>
        <w:spacing w:before="11"/>
        <w:rPr>
          <w:sz w:val="11"/>
        </w:rPr>
      </w:pPr>
      <w:r>
        <w:rPr/>
        <w:pict>
          <v:line style="position:absolute;mso-position-horizontal-relative:page;mso-position-vertical-relative:paragraph;z-index:7928;mso-wrap-distance-left:0;mso-wrap-distance-right:0" from="70.823997pt,9.096235pt" to="214.843997pt,9.096235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621 </w:t>
      </w:r>
      <w:r>
        <w:rPr>
          <w:sz w:val="20"/>
        </w:rPr>
        <w:t>Prof. Dr. Michael Hamm and Dirk Neuberger: Omega-3 aktiv-Gesundheit aus dem Meer ('Omega-3 Active-Health from the Sea'), 2006, p. 40</w:t>
      </w:r>
    </w:p>
    <w:p>
      <w:pPr>
        <w:spacing w:after="0"/>
        <w:jc w:val="left"/>
        <w:rPr>
          <w:sz w:val="20"/>
        </w:rPr>
        <w:sectPr>
          <w:pgSz w:w="14270" w:h="16850"/>
          <w:pgMar w:header="0" w:footer="1891" w:top="1340" w:bottom="2080" w:left="800" w:right="1280"/>
        </w:sectPr>
      </w:pPr>
    </w:p>
    <w:p>
      <w:pPr>
        <w:pStyle w:val="Heading1"/>
        <w:spacing w:before="75"/>
        <w:ind w:left="616"/>
      </w:pPr>
      <w:r>
        <w:rPr/>
        <w:t>Effect of omega-3 fatty acids on cardiac bypass</w:t>
      </w:r>
    </w:p>
    <w:p>
      <w:pPr>
        <w:pStyle w:val="BodyText"/>
        <w:spacing w:line="276" w:lineRule="auto" w:before="299"/>
        <w:ind w:left="616"/>
      </w:pPr>
      <w:r>
        <w:rPr/>
        <w:t>There</w:t>
      </w:r>
      <w:r>
        <w:rPr>
          <w:spacing w:val="-22"/>
        </w:rPr>
        <w:t> </w:t>
      </w:r>
      <w:r>
        <w:rPr/>
        <w:t>is</w:t>
      </w:r>
      <w:r>
        <w:rPr>
          <w:spacing w:val="-22"/>
        </w:rPr>
        <w:t> </w:t>
      </w:r>
      <w:r>
        <w:rPr/>
        <w:t>a</w:t>
      </w:r>
      <w:r>
        <w:rPr>
          <w:spacing w:val="-24"/>
        </w:rPr>
        <w:t> </w:t>
      </w:r>
      <w:r>
        <w:rPr/>
        <w:t>decrease</w:t>
      </w:r>
      <w:r>
        <w:rPr>
          <w:spacing w:val="-21"/>
        </w:rPr>
        <w:t> </w:t>
      </w:r>
      <w:r>
        <w:rPr/>
        <w:t>in</w:t>
      </w:r>
      <w:r>
        <w:rPr>
          <w:spacing w:val="-22"/>
        </w:rPr>
        <w:t> </w:t>
      </w:r>
      <w:r>
        <w:rPr/>
        <w:t>serum</w:t>
      </w:r>
      <w:r>
        <w:rPr>
          <w:spacing w:val="-22"/>
        </w:rPr>
        <w:t> </w:t>
      </w:r>
      <w:r>
        <w:rPr/>
        <w:t>TG</w:t>
      </w:r>
      <w:r>
        <w:rPr>
          <w:spacing w:val="-23"/>
        </w:rPr>
        <w:t> </w:t>
      </w:r>
      <w:r>
        <w:rPr/>
        <w:t>values</w:t>
      </w:r>
      <w:r>
        <w:rPr>
          <w:spacing w:val="-19"/>
        </w:rPr>
        <w:t> </w:t>
      </w:r>
      <w:r>
        <w:rPr/>
        <w:t>of</w:t>
      </w:r>
      <w:r>
        <w:rPr>
          <w:spacing w:val="-22"/>
        </w:rPr>
        <w:t> </w:t>
      </w:r>
      <w:r>
        <w:rPr/>
        <w:t>about</w:t>
      </w:r>
      <w:r>
        <w:rPr>
          <w:spacing w:val="-21"/>
        </w:rPr>
        <w:t> </w:t>
      </w:r>
      <w:r>
        <w:rPr/>
        <w:t>19</w:t>
      </w:r>
      <w:r>
        <w:rPr>
          <w:spacing w:val="-23"/>
        </w:rPr>
        <w:t> </w:t>
      </w:r>
      <w:r>
        <w:rPr/>
        <w:t>%,</w:t>
      </w:r>
      <w:r>
        <w:rPr>
          <w:spacing w:val="-21"/>
        </w:rPr>
        <w:t> </w:t>
      </w:r>
      <w:r>
        <w:rPr/>
        <w:t>with</w:t>
      </w:r>
      <w:r>
        <w:rPr>
          <w:spacing w:val="-22"/>
        </w:rPr>
        <w:t> </w:t>
      </w:r>
      <w:r>
        <w:rPr/>
        <w:t>a</w:t>
      </w:r>
      <w:r>
        <w:rPr>
          <w:spacing w:val="-23"/>
        </w:rPr>
        <w:t> </w:t>
      </w:r>
      <w:r>
        <w:rPr/>
        <w:t>consequent</w:t>
      </w:r>
      <w:r>
        <w:rPr>
          <w:spacing w:val="-23"/>
        </w:rPr>
        <w:t> </w:t>
      </w:r>
      <w:r>
        <w:rPr/>
        <w:t>lower likelihood of</w:t>
      </w:r>
      <w:r>
        <w:rPr>
          <w:spacing w:val="2"/>
        </w:rPr>
        <w:t> </w:t>
      </w:r>
      <w:r>
        <w:rPr/>
        <w:t>reocclusion.</w:t>
      </w:r>
    </w:p>
    <w:p>
      <w:pPr>
        <w:pStyle w:val="Heading1"/>
        <w:spacing w:before="223"/>
        <w:ind w:left="616"/>
      </w:pPr>
      <w:r>
        <w:rPr/>
        <w:t>Effect of omega-3 fatty acids on current risk of stroke</w:t>
      </w:r>
    </w:p>
    <w:p>
      <w:pPr>
        <w:pStyle w:val="BodyText"/>
        <w:spacing w:line="276" w:lineRule="auto" w:before="300"/>
        <w:ind w:left="616"/>
      </w:pPr>
      <w:r>
        <w:rPr/>
        <w:t>Omega-3 fatty acids reduce the death rate from stroke by 30 %, with a recom- mended dose of at least 1 g EPA and DHA.</w:t>
      </w:r>
    </w:p>
    <w:p>
      <w:pPr>
        <w:pStyle w:val="Heading1"/>
        <w:spacing w:before="221"/>
        <w:ind w:left="616"/>
      </w:pPr>
      <w:r>
        <w:rPr/>
        <w:t>Perfusion-enhancing effect</w:t>
      </w:r>
    </w:p>
    <w:p>
      <w:pPr>
        <w:pStyle w:val="BodyText"/>
        <w:spacing w:line="276" w:lineRule="auto" w:before="300"/>
        <w:ind w:left="616" w:right="139"/>
        <w:jc w:val="both"/>
      </w:pPr>
      <w:r>
        <w:rPr/>
        <w:t>The prerequisite for the supply of each body cell with enough oxygen and</w:t>
      </w:r>
      <w:r>
        <w:rPr>
          <w:spacing w:val="-43"/>
        </w:rPr>
        <w:t> </w:t>
      </w:r>
      <w:r>
        <w:rPr/>
        <w:t>nu- trients is sufficient blood circulation. Blood transports the nutrients and oxy- gen to the place of action – to the body cell. A heart attack is the result of a lack of blood flow to the heart, a stroke is the result of a lack of circulation in the brain. Any body tissue dies within a few minutes as soon as its circulation is</w:t>
      </w:r>
      <w:r>
        <w:rPr>
          <w:spacing w:val="-1"/>
        </w:rPr>
        <w:t> </w:t>
      </w:r>
      <w:r>
        <w:rPr/>
        <w:t>insufficient.</w:t>
      </w:r>
    </w:p>
    <w:p>
      <w:pPr>
        <w:pStyle w:val="BodyText"/>
        <w:spacing w:line="276" w:lineRule="auto" w:before="240"/>
        <w:ind w:left="616"/>
      </w:pPr>
      <w:r>
        <w:rPr/>
        <w:t>Omega-3 fatty acids improve the flow properties of the blood through several mechanisms:</w:t>
      </w:r>
    </w:p>
    <w:p>
      <w:pPr>
        <w:pStyle w:val="ListParagraph"/>
        <w:numPr>
          <w:ilvl w:val="1"/>
          <w:numId w:val="79"/>
        </w:numPr>
        <w:tabs>
          <w:tab w:pos="1693" w:val="left" w:leader="none"/>
          <w:tab w:pos="1694" w:val="left" w:leader="none"/>
        </w:tabs>
        <w:spacing w:line="240" w:lineRule="auto" w:before="122" w:after="0"/>
        <w:ind w:left="1694" w:right="0" w:hanging="360"/>
        <w:jc w:val="left"/>
        <w:rPr>
          <w:sz w:val="38"/>
        </w:rPr>
      </w:pPr>
      <w:r>
        <w:rPr>
          <w:sz w:val="38"/>
        </w:rPr>
        <w:t>they dilate the blood</w:t>
      </w:r>
      <w:r>
        <w:rPr>
          <w:spacing w:val="3"/>
          <w:sz w:val="38"/>
        </w:rPr>
        <w:t> </w:t>
      </w:r>
      <w:r>
        <w:rPr>
          <w:sz w:val="38"/>
        </w:rPr>
        <w:t>vessels,</w:t>
      </w:r>
    </w:p>
    <w:p>
      <w:pPr>
        <w:pStyle w:val="ListParagraph"/>
        <w:numPr>
          <w:ilvl w:val="1"/>
          <w:numId w:val="79"/>
        </w:numPr>
        <w:tabs>
          <w:tab w:pos="1693" w:val="left" w:leader="none"/>
          <w:tab w:pos="1694" w:val="left" w:leader="none"/>
        </w:tabs>
        <w:spacing w:line="240" w:lineRule="auto" w:before="184" w:after="0"/>
        <w:ind w:left="1694" w:right="0" w:hanging="360"/>
        <w:jc w:val="left"/>
        <w:rPr>
          <w:sz w:val="38"/>
        </w:rPr>
      </w:pPr>
      <w:r>
        <w:rPr>
          <w:sz w:val="38"/>
        </w:rPr>
        <w:t>they improve blood viscosity (viscous blood becomes</w:t>
      </w:r>
      <w:r>
        <w:rPr>
          <w:spacing w:val="-4"/>
          <w:sz w:val="38"/>
        </w:rPr>
        <w:t> </w:t>
      </w:r>
      <w:r>
        <w:rPr>
          <w:sz w:val="38"/>
        </w:rPr>
        <w:t>thinner),</w:t>
      </w:r>
    </w:p>
    <w:p>
      <w:pPr>
        <w:pStyle w:val="ListParagraph"/>
        <w:numPr>
          <w:ilvl w:val="1"/>
          <w:numId w:val="79"/>
        </w:numPr>
        <w:tabs>
          <w:tab w:pos="1693" w:val="left" w:leader="none"/>
          <w:tab w:pos="1694" w:val="left" w:leader="none"/>
        </w:tabs>
        <w:spacing w:line="240" w:lineRule="auto" w:before="183" w:after="0"/>
        <w:ind w:left="1694" w:right="0" w:hanging="360"/>
        <w:jc w:val="left"/>
        <w:rPr>
          <w:sz w:val="38"/>
        </w:rPr>
      </w:pPr>
      <w:r>
        <w:rPr>
          <w:sz w:val="38"/>
        </w:rPr>
        <w:t>they increase the elasticity of red blood</w:t>
      </w:r>
      <w:r>
        <w:rPr>
          <w:spacing w:val="-1"/>
          <w:sz w:val="38"/>
        </w:rPr>
        <w:t> </w:t>
      </w:r>
      <w:r>
        <w:rPr>
          <w:sz w:val="38"/>
        </w:rPr>
        <w:t>cells,</w:t>
      </w:r>
    </w:p>
    <w:p>
      <w:pPr>
        <w:pStyle w:val="ListParagraph"/>
        <w:numPr>
          <w:ilvl w:val="1"/>
          <w:numId w:val="79"/>
        </w:numPr>
        <w:tabs>
          <w:tab w:pos="1693" w:val="left" w:leader="none"/>
          <w:tab w:pos="1694" w:val="left" w:leader="none"/>
        </w:tabs>
        <w:spacing w:line="240" w:lineRule="auto" w:before="187" w:after="0"/>
        <w:ind w:left="1694" w:right="0" w:hanging="360"/>
        <w:jc w:val="left"/>
        <w:rPr>
          <w:sz w:val="38"/>
        </w:rPr>
      </w:pPr>
      <w:r>
        <w:rPr>
          <w:sz w:val="38"/>
        </w:rPr>
        <w:t>they stabilise cardiac arrhythmias</w:t>
      </w:r>
      <w:r>
        <w:rPr>
          <w:spacing w:val="3"/>
          <w:sz w:val="38"/>
        </w:rPr>
        <w:t> </w:t>
      </w:r>
      <w:r>
        <w:rPr>
          <w:sz w:val="38"/>
        </w:rPr>
        <w:t>and</w:t>
      </w:r>
    </w:p>
    <w:p>
      <w:pPr>
        <w:pStyle w:val="ListParagraph"/>
        <w:numPr>
          <w:ilvl w:val="1"/>
          <w:numId w:val="79"/>
        </w:numPr>
        <w:tabs>
          <w:tab w:pos="1693" w:val="left" w:leader="none"/>
          <w:tab w:pos="1694" w:val="left" w:leader="none"/>
        </w:tabs>
        <w:spacing w:line="240" w:lineRule="auto" w:before="184" w:after="0"/>
        <w:ind w:left="1694" w:right="0" w:hanging="360"/>
        <w:jc w:val="left"/>
        <w:rPr>
          <w:sz w:val="38"/>
        </w:rPr>
      </w:pPr>
      <w:r>
        <w:rPr>
          <w:sz w:val="38"/>
        </w:rPr>
        <w:t>they prevent thrombosis (blood</w:t>
      </w:r>
      <w:r>
        <w:rPr>
          <w:spacing w:val="-3"/>
          <w:sz w:val="38"/>
        </w:rPr>
        <w:t> </w:t>
      </w:r>
      <w:r>
        <w:rPr>
          <w:sz w:val="38"/>
        </w:rPr>
        <w:t>clots).</w:t>
      </w:r>
    </w:p>
    <w:p>
      <w:pPr>
        <w:spacing w:after="0" w:line="240" w:lineRule="auto"/>
        <w:jc w:val="left"/>
        <w:rPr>
          <w:sz w:val="38"/>
        </w:rPr>
        <w:sectPr>
          <w:pgSz w:w="14270" w:h="16850"/>
          <w:pgMar w:header="0" w:footer="1891" w:top="1320" w:bottom="2080" w:left="800" w:right="1280"/>
        </w:sectPr>
      </w:pPr>
    </w:p>
    <w:p>
      <w:pPr>
        <w:pStyle w:val="Heading1"/>
        <w:spacing w:line="261" w:lineRule="auto" w:before="75"/>
        <w:ind w:left="616" w:right="138"/>
        <w:jc w:val="both"/>
      </w:pPr>
      <w:r>
        <w:rPr/>
        <w:t>Effect</w:t>
      </w:r>
      <w:r>
        <w:rPr>
          <w:spacing w:val="-72"/>
        </w:rPr>
        <w:t> </w:t>
      </w:r>
      <w:r>
        <w:rPr/>
        <w:t>of</w:t>
      </w:r>
      <w:r>
        <w:rPr>
          <w:spacing w:val="-71"/>
        </w:rPr>
        <w:t> </w:t>
      </w:r>
      <w:r>
        <w:rPr/>
        <w:t>omega-3</w:t>
      </w:r>
      <w:r>
        <w:rPr>
          <w:spacing w:val="-70"/>
        </w:rPr>
        <w:t> </w:t>
      </w:r>
      <w:r>
        <w:rPr/>
        <w:t>fatty</w:t>
      </w:r>
      <w:r>
        <w:rPr>
          <w:spacing w:val="-71"/>
        </w:rPr>
        <w:t> </w:t>
      </w:r>
      <w:r>
        <w:rPr/>
        <w:t>acids</w:t>
      </w:r>
      <w:r>
        <w:rPr>
          <w:spacing w:val="-72"/>
        </w:rPr>
        <w:t> </w:t>
      </w:r>
      <w:r>
        <w:rPr/>
        <w:t>on</w:t>
      </w:r>
      <w:r>
        <w:rPr>
          <w:spacing w:val="-71"/>
        </w:rPr>
        <w:t> </w:t>
      </w:r>
      <w:r>
        <w:rPr/>
        <w:t>inflammatory</w:t>
      </w:r>
      <w:r>
        <w:rPr>
          <w:spacing w:val="-71"/>
        </w:rPr>
        <w:t> </w:t>
      </w:r>
      <w:r>
        <w:rPr/>
        <w:t>diseases</w:t>
      </w:r>
      <w:r>
        <w:rPr>
          <w:spacing w:val="-70"/>
        </w:rPr>
        <w:t> </w:t>
      </w:r>
      <w:r>
        <w:rPr/>
        <w:t>such</w:t>
      </w:r>
      <w:r>
        <w:rPr>
          <w:spacing w:val="-72"/>
        </w:rPr>
        <w:t> </w:t>
      </w:r>
      <w:r>
        <w:rPr/>
        <w:t>as</w:t>
      </w:r>
      <w:r>
        <w:rPr>
          <w:spacing w:val="-70"/>
        </w:rPr>
        <w:t> </w:t>
      </w:r>
      <w:r>
        <w:rPr/>
        <w:t>rheuma- tism</w:t>
      </w:r>
    </w:p>
    <w:p>
      <w:pPr>
        <w:pStyle w:val="BodyText"/>
        <w:spacing w:line="276" w:lineRule="auto" w:before="260"/>
        <w:ind w:left="616" w:right="128"/>
        <w:jc w:val="both"/>
        <w:rPr>
          <w:sz w:val="25"/>
        </w:rPr>
      </w:pPr>
      <w:r>
        <w:rPr/>
        <w:t>The relatively high proportion of omega-6 fatty acids (e.g. as arachidonic acid in</w:t>
      </w:r>
      <w:r>
        <w:rPr>
          <w:spacing w:val="-6"/>
        </w:rPr>
        <w:t> </w:t>
      </w:r>
      <w:r>
        <w:rPr/>
        <w:t>meat)</w:t>
      </w:r>
      <w:r>
        <w:rPr>
          <w:spacing w:val="-6"/>
        </w:rPr>
        <w:t> </w:t>
      </w:r>
      <w:r>
        <w:rPr/>
        <w:t>develops</w:t>
      </w:r>
      <w:r>
        <w:rPr>
          <w:spacing w:val="-6"/>
        </w:rPr>
        <w:t> </w:t>
      </w:r>
      <w:r>
        <w:rPr/>
        <w:t>a</w:t>
      </w:r>
      <w:r>
        <w:rPr>
          <w:spacing w:val="-9"/>
        </w:rPr>
        <w:t> </w:t>
      </w:r>
      <w:r>
        <w:rPr/>
        <w:t>constant</w:t>
      </w:r>
      <w:r>
        <w:rPr>
          <w:spacing w:val="-8"/>
        </w:rPr>
        <w:t> </w:t>
      </w:r>
      <w:r>
        <w:rPr/>
        <w:t>excess</w:t>
      </w:r>
      <w:r>
        <w:rPr>
          <w:spacing w:val="-7"/>
        </w:rPr>
        <w:t> </w:t>
      </w:r>
      <w:r>
        <w:rPr/>
        <w:t>of</w:t>
      </w:r>
      <w:r>
        <w:rPr>
          <w:spacing w:val="-6"/>
        </w:rPr>
        <w:t> </w:t>
      </w:r>
      <w:r>
        <w:rPr/>
        <w:t>inflammatory</w:t>
      </w:r>
      <w:r>
        <w:rPr>
          <w:spacing w:val="-6"/>
        </w:rPr>
        <w:t> </w:t>
      </w:r>
      <w:r>
        <w:rPr/>
        <w:t>messengers</w:t>
      </w:r>
      <w:r>
        <w:rPr>
          <w:spacing w:val="-9"/>
        </w:rPr>
        <w:t> </w:t>
      </w:r>
      <w:r>
        <w:rPr/>
        <w:t>at</w:t>
      </w:r>
      <w:r>
        <w:rPr>
          <w:spacing w:val="-7"/>
        </w:rPr>
        <w:t> </w:t>
      </w:r>
      <w:r>
        <w:rPr/>
        <w:t>the</w:t>
      </w:r>
      <w:r>
        <w:rPr>
          <w:spacing w:val="-5"/>
        </w:rPr>
        <w:t> </w:t>
      </w:r>
      <w:r>
        <w:rPr/>
        <w:t>molec- ular</w:t>
      </w:r>
      <w:r>
        <w:rPr>
          <w:spacing w:val="-20"/>
        </w:rPr>
        <w:t> </w:t>
      </w:r>
      <w:r>
        <w:rPr/>
        <w:t>level.</w:t>
      </w:r>
      <w:r>
        <w:rPr>
          <w:spacing w:val="-20"/>
        </w:rPr>
        <w:t> </w:t>
      </w:r>
      <w:r>
        <w:rPr/>
        <w:t>As</w:t>
      </w:r>
      <w:r>
        <w:rPr>
          <w:spacing w:val="-20"/>
        </w:rPr>
        <w:t> </w:t>
      </w:r>
      <w:r>
        <w:rPr/>
        <w:t>counterparts</w:t>
      </w:r>
      <w:r>
        <w:rPr>
          <w:spacing w:val="-19"/>
        </w:rPr>
        <w:t> </w:t>
      </w:r>
      <w:r>
        <w:rPr/>
        <w:t>of</w:t>
      </w:r>
      <w:r>
        <w:rPr>
          <w:spacing w:val="-20"/>
        </w:rPr>
        <w:t> </w:t>
      </w:r>
      <w:r>
        <w:rPr/>
        <w:t>omega-6</w:t>
      </w:r>
      <w:r>
        <w:rPr>
          <w:spacing w:val="-20"/>
        </w:rPr>
        <w:t> </w:t>
      </w:r>
      <w:r>
        <w:rPr/>
        <w:t>fatty</w:t>
      </w:r>
      <w:r>
        <w:rPr>
          <w:spacing w:val="-21"/>
        </w:rPr>
        <w:t> </w:t>
      </w:r>
      <w:r>
        <w:rPr/>
        <w:t>acids,</w:t>
      </w:r>
      <w:r>
        <w:rPr>
          <w:spacing w:val="-19"/>
        </w:rPr>
        <w:t> </w:t>
      </w:r>
      <w:r>
        <w:rPr/>
        <w:t>omega-3</w:t>
      </w:r>
      <w:r>
        <w:rPr>
          <w:spacing w:val="-20"/>
        </w:rPr>
        <w:t> </w:t>
      </w:r>
      <w:r>
        <w:rPr/>
        <w:t>fatty</w:t>
      </w:r>
      <w:r>
        <w:rPr>
          <w:spacing w:val="-20"/>
        </w:rPr>
        <w:t> </w:t>
      </w:r>
      <w:r>
        <w:rPr/>
        <w:t>acids</w:t>
      </w:r>
      <w:r>
        <w:rPr>
          <w:spacing w:val="-20"/>
        </w:rPr>
        <w:t> </w:t>
      </w:r>
      <w:r>
        <w:rPr/>
        <w:t>gradually reduce these inflammatory substances (mediators) and thus have a positive</w:t>
      </w:r>
      <w:r>
        <w:rPr>
          <w:spacing w:val="-50"/>
        </w:rPr>
        <w:t> </w:t>
      </w:r>
      <w:r>
        <w:rPr/>
        <w:t>ef- fect on diseases such as arthritis, rheumatism, neurodermatitis, psoriasis, colic and others. The EPA and DHA contained in omega-3 fatty acids displace the inflammatory arachidonic acid from the lipid membrane of the cell and thus prevent the formation of excessively damaging eicosanoids 2 and prostaglan- din E2.</w:t>
      </w:r>
      <w:r>
        <w:rPr>
          <w:position w:val="9"/>
          <w:sz w:val="25"/>
        </w:rPr>
        <w:t>622</w:t>
      </w:r>
    </w:p>
    <w:p>
      <w:pPr>
        <w:pStyle w:val="Heading1"/>
        <w:ind w:left="616"/>
      </w:pPr>
      <w:r>
        <w:rPr/>
        <w:t>Effect of omega-3 fatty acids on</w:t>
      </w:r>
      <w:r>
        <w:rPr>
          <w:spacing w:val="-66"/>
        </w:rPr>
        <w:t> </w:t>
      </w:r>
      <w:r>
        <w:rPr/>
        <w:t>arthritis</w:t>
      </w:r>
    </w:p>
    <w:p>
      <w:pPr>
        <w:pStyle w:val="BodyText"/>
        <w:spacing w:before="299"/>
        <w:ind w:left="616"/>
      </w:pPr>
      <w:r>
        <w:rPr/>
        <w:t>Our modern diet causes us to eat meat, sausage, eggs, milk and dairy products</w:t>
      </w:r>
    </w:p>
    <w:p>
      <w:pPr>
        <w:pStyle w:val="BodyText"/>
        <w:spacing w:line="276" w:lineRule="auto" w:before="63"/>
        <w:ind w:left="616" w:right="136"/>
        <w:jc w:val="both"/>
      </w:pPr>
      <w:r>
        <w:rPr/>
        <w:t>–</w:t>
      </w:r>
      <w:r>
        <w:rPr>
          <w:spacing w:val="-12"/>
        </w:rPr>
        <w:t> </w:t>
      </w:r>
      <w:r>
        <w:rPr/>
        <w:t>an</w:t>
      </w:r>
      <w:r>
        <w:rPr>
          <w:spacing w:val="-10"/>
        </w:rPr>
        <w:t> </w:t>
      </w:r>
      <w:r>
        <w:rPr/>
        <w:t>excess</w:t>
      </w:r>
      <w:r>
        <w:rPr>
          <w:spacing w:val="-10"/>
        </w:rPr>
        <w:t> </w:t>
      </w:r>
      <w:r>
        <w:rPr/>
        <w:t>of</w:t>
      </w:r>
      <w:r>
        <w:rPr>
          <w:spacing w:val="-11"/>
        </w:rPr>
        <w:t> </w:t>
      </w:r>
      <w:r>
        <w:rPr/>
        <w:t>messenger</w:t>
      </w:r>
      <w:r>
        <w:rPr>
          <w:spacing w:val="-12"/>
        </w:rPr>
        <w:t> </w:t>
      </w:r>
      <w:r>
        <w:rPr/>
        <w:t>substances</w:t>
      </w:r>
      <w:r>
        <w:rPr>
          <w:spacing w:val="-10"/>
        </w:rPr>
        <w:t> </w:t>
      </w:r>
      <w:r>
        <w:rPr/>
        <w:t>that</w:t>
      </w:r>
      <w:r>
        <w:rPr>
          <w:spacing w:val="-12"/>
        </w:rPr>
        <w:t> </w:t>
      </w:r>
      <w:r>
        <w:rPr/>
        <w:t>lead</w:t>
      </w:r>
      <w:r>
        <w:rPr>
          <w:spacing w:val="-12"/>
        </w:rPr>
        <w:t> </w:t>
      </w:r>
      <w:r>
        <w:rPr/>
        <w:t>to</w:t>
      </w:r>
      <w:r>
        <w:rPr>
          <w:spacing w:val="-10"/>
        </w:rPr>
        <w:t> </w:t>
      </w:r>
      <w:r>
        <w:rPr/>
        <w:t>inflammatory</w:t>
      </w:r>
      <w:r>
        <w:rPr>
          <w:spacing w:val="-11"/>
        </w:rPr>
        <w:t> </w:t>
      </w:r>
      <w:r>
        <w:rPr/>
        <w:t>reactions</w:t>
      </w:r>
      <w:r>
        <w:rPr>
          <w:spacing w:val="-10"/>
        </w:rPr>
        <w:t> </w:t>
      </w:r>
      <w:r>
        <w:rPr/>
        <w:t>in</w:t>
      </w:r>
      <w:r>
        <w:rPr>
          <w:spacing w:val="-11"/>
        </w:rPr>
        <w:t> </w:t>
      </w:r>
      <w:r>
        <w:rPr/>
        <w:t>the body. These messengers include eicosanoids, which are formed from the pol- yunsaturated fatty acid 'arachidonic</w:t>
      </w:r>
      <w:r>
        <w:rPr>
          <w:spacing w:val="-2"/>
        </w:rPr>
        <w:t> </w:t>
      </w:r>
      <w:r>
        <w:rPr/>
        <w:t>acid'.</w:t>
      </w:r>
    </w:p>
    <w:p>
      <w:pPr>
        <w:pStyle w:val="BodyText"/>
        <w:spacing w:line="276" w:lineRule="auto" w:before="241"/>
        <w:ind w:left="616" w:right="136"/>
        <w:jc w:val="both"/>
      </w:pPr>
      <w:r>
        <w:rPr/>
        <w:t>Omega-3 fatty acids prevent inflammatory mediators and joint swelling. EPA (omega-3</w:t>
      </w:r>
      <w:r>
        <w:rPr>
          <w:spacing w:val="-26"/>
        </w:rPr>
        <w:t> </w:t>
      </w:r>
      <w:r>
        <w:rPr/>
        <w:t>fatty</w:t>
      </w:r>
      <w:r>
        <w:rPr>
          <w:spacing w:val="-25"/>
        </w:rPr>
        <w:t> </w:t>
      </w:r>
      <w:r>
        <w:rPr/>
        <w:t>acid)</w:t>
      </w:r>
      <w:r>
        <w:rPr>
          <w:spacing w:val="-25"/>
        </w:rPr>
        <w:t> </w:t>
      </w:r>
      <w:r>
        <w:rPr/>
        <w:t>binds</w:t>
      </w:r>
      <w:r>
        <w:rPr>
          <w:spacing w:val="-25"/>
        </w:rPr>
        <w:t> </w:t>
      </w:r>
      <w:r>
        <w:rPr/>
        <w:t>the</w:t>
      </w:r>
      <w:r>
        <w:rPr>
          <w:spacing w:val="-24"/>
        </w:rPr>
        <w:t> </w:t>
      </w:r>
      <w:r>
        <w:rPr/>
        <w:t>active</w:t>
      </w:r>
      <w:r>
        <w:rPr>
          <w:spacing w:val="-26"/>
        </w:rPr>
        <w:t> </w:t>
      </w:r>
      <w:r>
        <w:rPr/>
        <w:t>ingredients</w:t>
      </w:r>
      <w:r>
        <w:rPr>
          <w:spacing w:val="-24"/>
        </w:rPr>
        <w:t> </w:t>
      </w:r>
      <w:r>
        <w:rPr/>
        <w:t>that</w:t>
      </w:r>
      <w:r>
        <w:rPr>
          <w:spacing w:val="-24"/>
        </w:rPr>
        <w:t> </w:t>
      </w:r>
      <w:r>
        <w:rPr/>
        <w:t>make</w:t>
      </w:r>
      <w:r>
        <w:rPr>
          <w:spacing w:val="-25"/>
        </w:rPr>
        <w:t> </w:t>
      </w:r>
      <w:r>
        <w:rPr/>
        <w:t>up</w:t>
      </w:r>
      <w:r>
        <w:rPr>
          <w:spacing w:val="-25"/>
        </w:rPr>
        <w:t> </w:t>
      </w:r>
      <w:r>
        <w:rPr/>
        <w:t>the</w:t>
      </w:r>
      <w:r>
        <w:rPr>
          <w:spacing w:val="-22"/>
        </w:rPr>
        <w:t> </w:t>
      </w:r>
      <w:r>
        <w:rPr/>
        <w:t>inflammatory messengers and displace the harmful arachidonic acid from the</w:t>
      </w:r>
      <w:r>
        <w:rPr>
          <w:spacing w:val="-11"/>
        </w:rPr>
        <w:t> </w:t>
      </w:r>
      <w:r>
        <w:rPr/>
        <w:t>cells.</w:t>
      </w:r>
    </w:p>
    <w:p>
      <w:pPr>
        <w:pStyle w:val="BodyText"/>
        <w:rPr>
          <w:sz w:val="25"/>
        </w:rPr>
      </w:pPr>
      <w:r>
        <w:rPr/>
        <w:pict>
          <v:line style="position:absolute;mso-position-horizontal-relative:page;mso-position-vertical-relative:paragraph;z-index:7952;mso-wrap-distance-left:0;mso-wrap-distance-right:0" from="70.823997pt,16.446264pt" to="214.843997pt,16.446264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622 </w:t>
      </w:r>
      <w:r>
        <w:rPr>
          <w:sz w:val="20"/>
        </w:rPr>
        <w:t>Ariza-Ariza R. et al.: Sem in Arth and Rheumat, 1998: 27 (6), pp. 366-370</w:t>
      </w:r>
    </w:p>
    <w:p>
      <w:pPr>
        <w:spacing w:after="0"/>
        <w:jc w:val="left"/>
        <w:rPr>
          <w:sz w:val="20"/>
        </w:rPr>
        <w:sectPr>
          <w:pgSz w:w="14270" w:h="16850"/>
          <w:pgMar w:header="0" w:footer="1891" w:top="1320" w:bottom="2080" w:left="800" w:right="1280"/>
        </w:sectPr>
      </w:pPr>
    </w:p>
    <w:p>
      <w:pPr>
        <w:pStyle w:val="BodyText"/>
        <w:spacing w:line="276" w:lineRule="auto" w:before="72"/>
        <w:ind w:left="616" w:right="136"/>
        <w:jc w:val="both"/>
      </w:pPr>
      <w:r>
        <w:rPr/>
        <w:t>For therapeutic purposes, a dose of at least 1-5 g of EPA and DHA over a period</w:t>
      </w:r>
      <w:r>
        <w:rPr>
          <w:spacing w:val="-22"/>
        </w:rPr>
        <w:t> </w:t>
      </w:r>
      <w:r>
        <w:rPr/>
        <w:t>of</w:t>
      </w:r>
      <w:r>
        <w:rPr>
          <w:spacing w:val="-22"/>
        </w:rPr>
        <w:t> </w:t>
      </w:r>
      <w:r>
        <w:rPr/>
        <w:t>six</w:t>
      </w:r>
      <w:r>
        <w:rPr>
          <w:spacing w:val="-22"/>
        </w:rPr>
        <w:t> </w:t>
      </w:r>
      <w:r>
        <w:rPr/>
        <w:t>months</w:t>
      </w:r>
      <w:r>
        <w:rPr>
          <w:spacing w:val="-19"/>
        </w:rPr>
        <w:t> </w:t>
      </w:r>
      <w:r>
        <w:rPr/>
        <w:t>is</w:t>
      </w:r>
      <w:r>
        <w:rPr>
          <w:spacing w:val="-23"/>
        </w:rPr>
        <w:t> </w:t>
      </w:r>
      <w:r>
        <w:rPr/>
        <w:t>recommended,</w:t>
      </w:r>
      <w:r>
        <w:rPr>
          <w:spacing w:val="-20"/>
        </w:rPr>
        <w:t> </w:t>
      </w:r>
      <w:r>
        <w:rPr/>
        <w:t>as</w:t>
      </w:r>
      <w:r>
        <w:rPr>
          <w:spacing w:val="-24"/>
        </w:rPr>
        <w:t> </w:t>
      </w:r>
      <w:r>
        <w:rPr/>
        <w:t>well</w:t>
      </w:r>
      <w:r>
        <w:rPr>
          <w:spacing w:val="-22"/>
        </w:rPr>
        <w:t> </w:t>
      </w:r>
      <w:r>
        <w:rPr/>
        <w:t>as</w:t>
      </w:r>
      <w:r>
        <w:rPr>
          <w:spacing w:val="-21"/>
        </w:rPr>
        <w:t> </w:t>
      </w:r>
      <w:r>
        <w:rPr/>
        <w:t>a</w:t>
      </w:r>
      <w:r>
        <w:rPr>
          <w:spacing w:val="-23"/>
        </w:rPr>
        <w:t> </w:t>
      </w:r>
      <w:r>
        <w:rPr/>
        <w:t>diet</w:t>
      </w:r>
      <w:r>
        <w:rPr>
          <w:spacing w:val="-22"/>
        </w:rPr>
        <w:t> </w:t>
      </w:r>
      <w:r>
        <w:rPr/>
        <w:t>rich</w:t>
      </w:r>
      <w:r>
        <w:rPr>
          <w:spacing w:val="-22"/>
        </w:rPr>
        <w:t> </w:t>
      </w:r>
      <w:r>
        <w:rPr/>
        <w:t>in</w:t>
      </w:r>
      <w:r>
        <w:rPr>
          <w:spacing w:val="-23"/>
        </w:rPr>
        <w:t> </w:t>
      </w:r>
      <w:r>
        <w:rPr/>
        <w:t>vegetables,</w:t>
      </w:r>
      <w:r>
        <w:rPr>
          <w:spacing w:val="-19"/>
        </w:rPr>
        <w:t> </w:t>
      </w:r>
      <w:r>
        <w:rPr/>
        <w:t>fruits, low-fat dairy and milk products, rapeseed oil, walnut oil and linseed oil,</w:t>
      </w:r>
      <w:r>
        <w:rPr>
          <w:spacing w:val="-66"/>
        </w:rPr>
        <w:t> </w:t>
      </w:r>
      <w:r>
        <w:rPr/>
        <w:t>plenty of marine fish, but as little meat as possible, if any, and no eggs. You should also</w:t>
      </w:r>
      <w:r>
        <w:rPr>
          <w:spacing w:val="-21"/>
        </w:rPr>
        <w:t> </w:t>
      </w:r>
      <w:r>
        <w:rPr/>
        <w:t>take</w:t>
      </w:r>
      <w:r>
        <w:rPr>
          <w:spacing w:val="-21"/>
        </w:rPr>
        <w:t> </w:t>
      </w:r>
      <w:r>
        <w:rPr/>
        <w:t>vitamin</w:t>
      </w:r>
      <w:r>
        <w:rPr>
          <w:spacing w:val="-21"/>
        </w:rPr>
        <w:t> </w:t>
      </w:r>
      <w:r>
        <w:rPr/>
        <w:t>E</w:t>
      </w:r>
      <w:r>
        <w:rPr>
          <w:spacing w:val="-20"/>
        </w:rPr>
        <w:t> </w:t>
      </w:r>
      <w:r>
        <w:rPr/>
        <w:t>and</w:t>
      </w:r>
      <w:r>
        <w:rPr>
          <w:spacing w:val="-21"/>
        </w:rPr>
        <w:t> </w:t>
      </w:r>
      <w:r>
        <w:rPr/>
        <w:t>selenium.</w:t>
      </w:r>
      <w:r>
        <w:rPr>
          <w:spacing w:val="-20"/>
        </w:rPr>
        <w:t> </w:t>
      </w:r>
      <w:r>
        <w:rPr/>
        <w:t>In</w:t>
      </w:r>
      <w:r>
        <w:rPr>
          <w:spacing w:val="-20"/>
        </w:rPr>
        <w:t> </w:t>
      </w:r>
      <w:r>
        <w:rPr/>
        <w:t>severe</w:t>
      </w:r>
      <w:r>
        <w:rPr>
          <w:spacing w:val="-21"/>
        </w:rPr>
        <w:t> </w:t>
      </w:r>
      <w:r>
        <w:rPr/>
        <w:t>cases,</w:t>
      </w:r>
      <w:r>
        <w:rPr>
          <w:spacing w:val="-22"/>
        </w:rPr>
        <w:t> </w:t>
      </w:r>
      <w:r>
        <w:rPr/>
        <w:t>kombucha</w:t>
      </w:r>
      <w:r>
        <w:rPr>
          <w:spacing w:val="-21"/>
        </w:rPr>
        <w:t> </w:t>
      </w:r>
      <w:r>
        <w:rPr/>
        <w:t>fungal</w:t>
      </w:r>
      <w:r>
        <w:rPr>
          <w:spacing w:val="-22"/>
        </w:rPr>
        <w:t> </w:t>
      </w:r>
      <w:r>
        <w:rPr/>
        <w:t>tea</w:t>
      </w:r>
      <w:r>
        <w:rPr>
          <w:spacing w:val="-21"/>
        </w:rPr>
        <w:t> </w:t>
      </w:r>
      <w:r>
        <w:rPr/>
        <w:t>relieves the</w:t>
      </w:r>
      <w:r>
        <w:rPr>
          <w:spacing w:val="-11"/>
        </w:rPr>
        <w:t> </w:t>
      </w:r>
      <w:r>
        <w:rPr/>
        <w:t>symptoms</w:t>
      </w:r>
      <w:r>
        <w:rPr>
          <w:spacing w:val="-11"/>
        </w:rPr>
        <w:t> </w:t>
      </w:r>
      <w:r>
        <w:rPr/>
        <w:t>very</w:t>
      </w:r>
      <w:r>
        <w:rPr>
          <w:spacing w:val="-11"/>
        </w:rPr>
        <w:t> </w:t>
      </w:r>
      <w:r>
        <w:rPr/>
        <w:t>successfully.</w:t>
      </w:r>
      <w:r>
        <w:rPr>
          <w:spacing w:val="-13"/>
        </w:rPr>
        <w:t> </w:t>
      </w:r>
      <w:r>
        <w:rPr/>
        <w:t>However,</w:t>
      </w:r>
      <w:r>
        <w:rPr>
          <w:spacing w:val="-10"/>
        </w:rPr>
        <w:t> </w:t>
      </w:r>
      <w:r>
        <w:rPr/>
        <w:t>according</w:t>
      </w:r>
      <w:r>
        <w:rPr>
          <w:spacing w:val="-11"/>
        </w:rPr>
        <w:t> </w:t>
      </w:r>
      <w:r>
        <w:rPr/>
        <w:t>to</w:t>
      </w:r>
      <w:r>
        <w:rPr>
          <w:spacing w:val="-12"/>
        </w:rPr>
        <w:t> </w:t>
      </w:r>
      <w:r>
        <w:rPr/>
        <w:t>Professor</w:t>
      </w:r>
      <w:r>
        <w:rPr>
          <w:spacing w:val="-11"/>
        </w:rPr>
        <w:t> </w:t>
      </w:r>
      <w:r>
        <w:rPr/>
        <w:t>Olaf</w:t>
      </w:r>
      <w:r>
        <w:rPr>
          <w:spacing w:val="-12"/>
        </w:rPr>
        <w:t> </w:t>
      </w:r>
      <w:r>
        <w:rPr/>
        <w:t>Adam, it takes at least four weeks for the metabolic processes to change accordingly and to have a noticeable</w:t>
      </w:r>
      <w:r>
        <w:rPr>
          <w:spacing w:val="2"/>
        </w:rPr>
        <w:t> </w:t>
      </w:r>
      <w:r>
        <w:rPr/>
        <w:t>effect.</w:t>
      </w:r>
    </w:p>
    <w:p>
      <w:pPr>
        <w:pStyle w:val="Heading1"/>
        <w:ind w:left="616"/>
      </w:pPr>
      <w:r>
        <w:rPr/>
        <w:t>Effect of omega-3 fatty acids on</w:t>
      </w:r>
      <w:r>
        <w:rPr>
          <w:spacing w:val="-74"/>
        </w:rPr>
        <w:t> </w:t>
      </w:r>
      <w:r>
        <w:rPr/>
        <w:t>rheumatism</w:t>
      </w:r>
    </w:p>
    <w:p>
      <w:pPr>
        <w:pStyle w:val="BodyText"/>
        <w:spacing w:line="276" w:lineRule="auto" w:before="299"/>
        <w:ind w:left="616" w:right="134"/>
        <w:jc w:val="both"/>
      </w:pPr>
      <w:r>
        <w:rPr/>
        <w:t>Inflammatory pain and joint swelling is prevented, and morning joint</w:t>
      </w:r>
      <w:r>
        <w:rPr>
          <w:spacing w:val="-40"/>
        </w:rPr>
        <w:t> </w:t>
      </w:r>
      <w:r>
        <w:rPr/>
        <w:t>stiffness ('start-up pain') subsides. It is recommended to use &lt;2.8 g of EPA and </w:t>
      </w:r>
      <w:r>
        <w:rPr>
          <w:spacing w:val="2"/>
        </w:rPr>
        <w:t>DHA </w:t>
      </w:r>
      <w:r>
        <w:rPr/>
        <w:t>a day for a period of 12 months.</w:t>
      </w:r>
    </w:p>
    <w:p>
      <w:pPr>
        <w:pStyle w:val="Heading1"/>
        <w:ind w:left="616"/>
      </w:pPr>
      <w:r>
        <w:rPr/>
        <w:t>Effect of omega-3 fatty acids against arteriosclerosis</w:t>
      </w:r>
    </w:p>
    <w:p>
      <w:pPr>
        <w:pStyle w:val="BodyText"/>
        <w:spacing w:line="276" w:lineRule="auto" w:before="297"/>
        <w:ind w:left="616" w:right="137"/>
        <w:jc w:val="both"/>
      </w:pPr>
      <w:r>
        <w:rPr/>
        <w:t>The intake of omega-3 fatty acids prevents the adhesion of platelets and im- proves the flow of the blood. For therapy purposes, a dose of approximately 3-6 g of EPA and DHA is recommended over a period of six months.</w:t>
      </w:r>
    </w:p>
    <w:p>
      <w:pPr>
        <w:pStyle w:val="BodyText"/>
        <w:rPr>
          <w:sz w:val="42"/>
        </w:rPr>
      </w:pPr>
    </w:p>
    <w:p>
      <w:pPr>
        <w:pStyle w:val="Heading1"/>
        <w:spacing w:before="244"/>
        <w:ind w:left="616"/>
      </w:pPr>
      <w:r>
        <w:rPr/>
        <w:t>Effect of omega-3 fatty acids on</w:t>
      </w:r>
      <w:r>
        <w:rPr>
          <w:spacing w:val="-67"/>
        </w:rPr>
        <w:t> </w:t>
      </w:r>
      <w:r>
        <w:rPr/>
        <w:t>diabetes</w:t>
      </w:r>
    </w:p>
    <w:p>
      <w:pPr>
        <w:pStyle w:val="BodyText"/>
        <w:spacing w:line="276" w:lineRule="auto" w:before="299"/>
        <w:ind w:left="616" w:right="133"/>
        <w:jc w:val="both"/>
      </w:pPr>
      <w:r>
        <w:rPr/>
        <w:t>Diabetics are at high risk of suffering from cardiovascular disease. Omega-3 fatty acids are veritable protective agents that counteract cardiovascular dis- eases. According to some studies, insulin resistance could even be improved.</w:t>
      </w:r>
    </w:p>
    <w:p>
      <w:pPr>
        <w:spacing w:after="0" w:line="276" w:lineRule="auto"/>
        <w:jc w:val="both"/>
        <w:sectPr>
          <w:pgSz w:w="14270" w:h="16850"/>
          <w:pgMar w:header="0" w:footer="1891" w:top="1340" w:bottom="2080" w:left="800" w:right="1280"/>
        </w:sectPr>
      </w:pPr>
    </w:p>
    <w:p>
      <w:pPr>
        <w:pStyle w:val="Heading1"/>
        <w:spacing w:before="75"/>
        <w:ind w:left="616"/>
      </w:pPr>
      <w:r>
        <w:rPr>
          <w:w w:val="95"/>
        </w:rPr>
        <w:t>Omega-3</w:t>
      </w:r>
      <w:r>
        <w:rPr>
          <w:spacing w:val="-12"/>
          <w:w w:val="95"/>
        </w:rPr>
        <w:t> </w:t>
      </w:r>
      <w:r>
        <w:rPr>
          <w:w w:val="95"/>
        </w:rPr>
        <w:t>fatty</w:t>
      </w:r>
      <w:r>
        <w:rPr>
          <w:spacing w:val="-12"/>
          <w:w w:val="95"/>
        </w:rPr>
        <w:t> </w:t>
      </w:r>
      <w:r>
        <w:rPr>
          <w:w w:val="95"/>
        </w:rPr>
        <w:t>acids</w:t>
      </w:r>
      <w:r>
        <w:rPr>
          <w:spacing w:val="-12"/>
          <w:w w:val="95"/>
        </w:rPr>
        <w:t> </w:t>
      </w:r>
      <w:r>
        <w:rPr>
          <w:w w:val="95"/>
        </w:rPr>
        <w:t>and</w:t>
      </w:r>
      <w:r>
        <w:rPr>
          <w:spacing w:val="-13"/>
          <w:w w:val="95"/>
        </w:rPr>
        <w:t> </w:t>
      </w:r>
      <w:r>
        <w:rPr>
          <w:w w:val="95"/>
        </w:rPr>
        <w:t>their</w:t>
      </w:r>
      <w:r>
        <w:rPr>
          <w:spacing w:val="-10"/>
          <w:w w:val="95"/>
        </w:rPr>
        <w:t> </w:t>
      </w:r>
      <w:r>
        <w:rPr>
          <w:w w:val="95"/>
        </w:rPr>
        <w:t>effect</w:t>
      </w:r>
      <w:r>
        <w:rPr>
          <w:spacing w:val="-11"/>
          <w:w w:val="95"/>
        </w:rPr>
        <w:t> </w:t>
      </w:r>
      <w:r>
        <w:rPr>
          <w:w w:val="95"/>
        </w:rPr>
        <w:t>against</w:t>
      </w:r>
      <w:r>
        <w:rPr>
          <w:spacing w:val="-13"/>
          <w:w w:val="95"/>
        </w:rPr>
        <w:t> </w:t>
      </w:r>
      <w:r>
        <w:rPr>
          <w:w w:val="95"/>
        </w:rPr>
        <w:t>gastric</w:t>
      </w:r>
      <w:r>
        <w:rPr>
          <w:spacing w:val="-12"/>
          <w:w w:val="95"/>
        </w:rPr>
        <w:t> </w:t>
      </w:r>
      <w:r>
        <w:rPr>
          <w:w w:val="95"/>
        </w:rPr>
        <w:t>and</w:t>
      </w:r>
      <w:r>
        <w:rPr>
          <w:spacing w:val="-13"/>
          <w:w w:val="95"/>
        </w:rPr>
        <w:t> </w:t>
      </w:r>
      <w:r>
        <w:rPr>
          <w:w w:val="95"/>
        </w:rPr>
        <w:t>duodenal</w:t>
      </w:r>
      <w:r>
        <w:rPr>
          <w:spacing w:val="-10"/>
          <w:w w:val="95"/>
        </w:rPr>
        <w:t> </w:t>
      </w:r>
      <w:r>
        <w:rPr>
          <w:w w:val="95"/>
        </w:rPr>
        <w:t>ulcers</w:t>
      </w:r>
    </w:p>
    <w:p>
      <w:pPr>
        <w:pStyle w:val="BodyText"/>
        <w:spacing w:line="276" w:lineRule="auto" w:before="299"/>
        <w:ind w:left="616" w:right="132"/>
        <w:jc w:val="both"/>
      </w:pPr>
      <w:r>
        <w:rPr/>
        <w:t>Omega-3 fatty acids effectively fight the bacterium 'Helicobacter', which af- fects</w:t>
      </w:r>
      <w:r>
        <w:rPr>
          <w:spacing w:val="-13"/>
        </w:rPr>
        <w:t> </w:t>
      </w:r>
      <w:r>
        <w:rPr/>
        <w:t>the</w:t>
      </w:r>
      <w:r>
        <w:rPr>
          <w:spacing w:val="-15"/>
        </w:rPr>
        <w:t> </w:t>
      </w:r>
      <w:r>
        <w:rPr/>
        <w:t>mucous</w:t>
      </w:r>
      <w:r>
        <w:rPr>
          <w:spacing w:val="-13"/>
        </w:rPr>
        <w:t> </w:t>
      </w:r>
      <w:r>
        <w:rPr/>
        <w:t>membranes</w:t>
      </w:r>
      <w:r>
        <w:rPr>
          <w:spacing w:val="-14"/>
        </w:rPr>
        <w:t> </w:t>
      </w:r>
      <w:r>
        <w:rPr/>
        <w:t>of</w:t>
      </w:r>
      <w:r>
        <w:rPr>
          <w:spacing w:val="-18"/>
        </w:rPr>
        <w:t> </w:t>
      </w:r>
      <w:r>
        <w:rPr/>
        <w:t>the</w:t>
      </w:r>
      <w:r>
        <w:rPr>
          <w:spacing w:val="-13"/>
        </w:rPr>
        <w:t> </w:t>
      </w:r>
      <w:r>
        <w:rPr/>
        <w:t>stomach</w:t>
      </w:r>
      <w:r>
        <w:rPr>
          <w:spacing w:val="-14"/>
        </w:rPr>
        <w:t> </w:t>
      </w:r>
      <w:r>
        <w:rPr/>
        <w:t>and</w:t>
      </w:r>
      <w:r>
        <w:rPr>
          <w:spacing w:val="-13"/>
        </w:rPr>
        <w:t> </w:t>
      </w:r>
      <w:r>
        <w:rPr/>
        <w:t>duodenum</w:t>
      </w:r>
      <w:r>
        <w:rPr>
          <w:spacing w:val="-14"/>
        </w:rPr>
        <w:t> </w:t>
      </w:r>
      <w:r>
        <w:rPr/>
        <w:t>and</w:t>
      </w:r>
      <w:r>
        <w:rPr>
          <w:spacing w:val="-15"/>
        </w:rPr>
        <w:t> </w:t>
      </w:r>
      <w:r>
        <w:rPr/>
        <w:t>forms</w:t>
      </w:r>
      <w:r>
        <w:rPr>
          <w:spacing w:val="-14"/>
        </w:rPr>
        <w:t> </w:t>
      </w:r>
      <w:r>
        <w:rPr/>
        <w:t>ulcers.</w:t>
      </w:r>
    </w:p>
    <w:p>
      <w:pPr>
        <w:pStyle w:val="BodyText"/>
        <w:spacing w:line="276" w:lineRule="auto" w:before="241"/>
        <w:ind w:left="616" w:right="136"/>
        <w:jc w:val="both"/>
        <w:rPr>
          <w:sz w:val="25"/>
        </w:rPr>
      </w:pPr>
      <w:r>
        <w:rPr/>
        <w:t>Omega-3 fatty acids fight the bacterium and suppress its reproduction. Heli- cobacter is particularly prevalent among people who consume few omega-3 fatty acids through their diet.</w:t>
      </w:r>
      <w:r>
        <w:rPr>
          <w:position w:val="9"/>
          <w:sz w:val="25"/>
        </w:rPr>
        <w:t>623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r>
        <w:rPr/>
        <w:pict>
          <v:line style="position:absolute;mso-position-horizontal-relative:page;mso-position-vertical-relative:paragraph;z-index:7976;mso-wrap-distance-left:0;mso-wrap-distance-right:0" from="70.823997pt,11.283765pt" to="214.843997pt,11.283765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623 </w:t>
      </w:r>
      <w:r>
        <w:rPr>
          <w:sz w:val="20"/>
        </w:rPr>
        <w:t>Manjari V. et al.: Prostagl Leukot Essent Fatty Acids, 1998</w:t>
      </w:r>
    </w:p>
    <w:p>
      <w:pPr>
        <w:spacing w:after="0"/>
        <w:jc w:val="left"/>
        <w:rPr>
          <w:sz w:val="20"/>
        </w:rPr>
        <w:sectPr>
          <w:pgSz w:w="14270" w:h="16850"/>
          <w:pgMar w:header="0" w:footer="1891" w:top="1320" w:bottom="2080" w:left="800" w:right="1280"/>
        </w:sectPr>
      </w:pPr>
    </w:p>
    <w:p>
      <w:pPr>
        <w:pStyle w:val="Heading1"/>
        <w:spacing w:before="77"/>
        <w:ind w:left="616"/>
      </w:pPr>
      <w:r>
        <w:rPr/>
        <w:t>Omega-3 fatty acids combat osteoporosis</w:t>
      </w:r>
    </w:p>
    <w:p>
      <w:pPr>
        <w:pStyle w:val="BodyText"/>
        <w:spacing w:line="276" w:lineRule="auto" w:before="297"/>
        <w:ind w:left="616" w:right="131"/>
        <w:jc w:val="both"/>
      </w:pPr>
      <w:r>
        <w:rPr/>
        <w:t>Calcium</w:t>
      </w:r>
      <w:r>
        <w:rPr>
          <w:spacing w:val="-13"/>
        </w:rPr>
        <w:t> </w:t>
      </w:r>
      <w:r>
        <w:rPr/>
        <w:t>is</w:t>
      </w:r>
      <w:r>
        <w:rPr>
          <w:spacing w:val="-11"/>
        </w:rPr>
        <w:t> </w:t>
      </w:r>
      <w:r>
        <w:rPr/>
        <w:t>known</w:t>
      </w:r>
      <w:r>
        <w:rPr>
          <w:spacing w:val="-10"/>
        </w:rPr>
        <w:t> </w:t>
      </w:r>
      <w:r>
        <w:rPr/>
        <w:t>to</w:t>
      </w:r>
      <w:r>
        <w:rPr>
          <w:spacing w:val="-10"/>
        </w:rPr>
        <w:t> </w:t>
      </w:r>
      <w:r>
        <w:rPr/>
        <w:t>be</w:t>
      </w:r>
      <w:r>
        <w:rPr>
          <w:spacing w:val="-10"/>
        </w:rPr>
        <w:t> </w:t>
      </w:r>
      <w:r>
        <w:rPr/>
        <w:t>the</w:t>
      </w:r>
      <w:r>
        <w:rPr>
          <w:spacing w:val="-11"/>
        </w:rPr>
        <w:t> </w:t>
      </w:r>
      <w:r>
        <w:rPr/>
        <w:t>most</w:t>
      </w:r>
      <w:r>
        <w:rPr>
          <w:spacing w:val="-13"/>
        </w:rPr>
        <w:t> </w:t>
      </w:r>
      <w:r>
        <w:rPr/>
        <w:t>important</w:t>
      </w:r>
      <w:r>
        <w:rPr>
          <w:spacing w:val="-11"/>
        </w:rPr>
        <w:t> </w:t>
      </w:r>
      <w:r>
        <w:rPr/>
        <w:t>building</w:t>
      </w:r>
      <w:r>
        <w:rPr>
          <w:spacing w:val="-10"/>
        </w:rPr>
        <w:t> </w:t>
      </w:r>
      <w:r>
        <w:rPr/>
        <w:t>material</w:t>
      </w:r>
      <w:r>
        <w:rPr>
          <w:spacing w:val="-11"/>
        </w:rPr>
        <w:t> </w:t>
      </w:r>
      <w:r>
        <w:rPr/>
        <w:t>for</w:t>
      </w:r>
      <w:r>
        <w:rPr>
          <w:spacing w:val="-8"/>
        </w:rPr>
        <w:t> </w:t>
      </w:r>
      <w:r>
        <w:rPr/>
        <w:t>our</w:t>
      </w:r>
      <w:r>
        <w:rPr>
          <w:spacing w:val="-10"/>
        </w:rPr>
        <w:t> </w:t>
      </w:r>
      <w:r>
        <w:rPr/>
        <w:t>bones.</w:t>
      </w:r>
      <w:r>
        <w:rPr>
          <w:spacing w:val="-9"/>
        </w:rPr>
        <w:t> </w:t>
      </w:r>
      <w:r>
        <w:rPr/>
        <w:t>If the bones lose calcium, they become porous and prone to breakage – this dis- ease</w:t>
      </w:r>
      <w:r>
        <w:rPr>
          <w:spacing w:val="-7"/>
        </w:rPr>
        <w:t> </w:t>
      </w:r>
      <w:r>
        <w:rPr/>
        <w:t>is</w:t>
      </w:r>
      <w:r>
        <w:rPr>
          <w:spacing w:val="-7"/>
        </w:rPr>
        <w:t> </w:t>
      </w:r>
      <w:r>
        <w:rPr/>
        <w:t>called</w:t>
      </w:r>
      <w:r>
        <w:rPr>
          <w:spacing w:val="-11"/>
        </w:rPr>
        <w:t> </w:t>
      </w:r>
      <w:r>
        <w:rPr/>
        <w:t>osteoporosis.</w:t>
      </w:r>
      <w:r>
        <w:rPr>
          <w:spacing w:val="-6"/>
        </w:rPr>
        <w:t> </w:t>
      </w:r>
      <w:r>
        <w:rPr/>
        <w:t>Omega-3</w:t>
      </w:r>
      <w:r>
        <w:rPr>
          <w:spacing w:val="-8"/>
        </w:rPr>
        <w:t> </w:t>
      </w:r>
      <w:r>
        <w:rPr/>
        <w:t>fatty</w:t>
      </w:r>
      <w:r>
        <w:rPr>
          <w:spacing w:val="-8"/>
        </w:rPr>
        <w:t> </w:t>
      </w:r>
      <w:r>
        <w:rPr/>
        <w:t>acids</w:t>
      </w:r>
      <w:r>
        <w:rPr>
          <w:spacing w:val="-8"/>
        </w:rPr>
        <w:t> </w:t>
      </w:r>
      <w:r>
        <w:rPr/>
        <w:t>increase</w:t>
      </w:r>
      <w:r>
        <w:rPr>
          <w:spacing w:val="-7"/>
        </w:rPr>
        <w:t> </w:t>
      </w:r>
      <w:r>
        <w:rPr/>
        <w:t>the</w:t>
      </w:r>
      <w:r>
        <w:rPr>
          <w:spacing w:val="-9"/>
        </w:rPr>
        <w:t> </w:t>
      </w:r>
      <w:r>
        <w:rPr/>
        <w:t>absorption</w:t>
      </w:r>
      <w:r>
        <w:rPr>
          <w:spacing w:val="-6"/>
        </w:rPr>
        <w:t> </w:t>
      </w:r>
      <w:r>
        <w:rPr/>
        <w:t>of</w:t>
      </w:r>
      <w:r>
        <w:rPr>
          <w:spacing w:val="-10"/>
        </w:rPr>
        <w:t> </w:t>
      </w:r>
      <w:r>
        <w:rPr/>
        <w:t>cal- cium in the intestine, activate the osteoblasts and deactivate the bone-degrad- ing osteoclasts.</w:t>
      </w:r>
    </w:p>
    <w:p>
      <w:pPr>
        <w:pStyle w:val="Heading1"/>
        <w:spacing w:line="261" w:lineRule="auto" w:before="223"/>
        <w:ind w:left="616" w:right="145"/>
        <w:jc w:val="both"/>
      </w:pPr>
      <w:r>
        <w:rPr/>
        <w:t>Omega-3</w:t>
      </w:r>
      <w:r>
        <w:rPr>
          <w:spacing w:val="-28"/>
        </w:rPr>
        <w:t> </w:t>
      </w:r>
      <w:r>
        <w:rPr/>
        <w:t>fatty</w:t>
      </w:r>
      <w:r>
        <w:rPr>
          <w:spacing w:val="-26"/>
        </w:rPr>
        <w:t> </w:t>
      </w:r>
      <w:r>
        <w:rPr/>
        <w:t>acids</w:t>
      </w:r>
      <w:r>
        <w:rPr>
          <w:spacing w:val="-28"/>
        </w:rPr>
        <w:t> </w:t>
      </w:r>
      <w:r>
        <w:rPr/>
        <w:t>help</w:t>
      </w:r>
      <w:r>
        <w:rPr>
          <w:spacing w:val="-28"/>
        </w:rPr>
        <w:t> </w:t>
      </w:r>
      <w:r>
        <w:rPr/>
        <w:t>with</w:t>
      </w:r>
      <w:r>
        <w:rPr>
          <w:spacing w:val="-27"/>
        </w:rPr>
        <w:t> </w:t>
      </w:r>
      <w:r>
        <w:rPr/>
        <w:t>attention</w:t>
      </w:r>
      <w:r>
        <w:rPr>
          <w:spacing w:val="-28"/>
        </w:rPr>
        <w:t> </w:t>
      </w:r>
      <w:r>
        <w:rPr/>
        <w:t>deficit</w:t>
      </w:r>
      <w:r>
        <w:rPr>
          <w:spacing w:val="-28"/>
        </w:rPr>
        <w:t> </w:t>
      </w:r>
      <w:r>
        <w:rPr/>
        <w:t>hyperactivity</w:t>
      </w:r>
      <w:r>
        <w:rPr>
          <w:spacing w:val="-28"/>
        </w:rPr>
        <w:t> </w:t>
      </w:r>
      <w:r>
        <w:rPr/>
        <w:t>disorder (ADHD)</w:t>
      </w:r>
    </w:p>
    <w:p>
      <w:pPr>
        <w:pStyle w:val="BodyText"/>
        <w:spacing w:line="276" w:lineRule="auto" w:before="260"/>
        <w:ind w:left="616" w:right="137"/>
        <w:jc w:val="both"/>
      </w:pPr>
      <w:r>
        <w:rPr/>
        <w:t>People with attention deficit and hyperactivity disorders can benefit greatly from regular omega-3 fatty acid intake, as omega-3 fatty acids increase dopa- mine levels in the brain. They act in a similar way to the stimulants commonly used to treat ADHD. Incidentally, the effect has proven to be long-term.</w:t>
      </w:r>
    </w:p>
    <w:p>
      <w:pPr>
        <w:pStyle w:val="Heading1"/>
        <w:spacing w:line="261" w:lineRule="auto"/>
        <w:ind w:left="616" w:right="135"/>
        <w:jc w:val="both"/>
      </w:pPr>
      <w:r>
        <w:rPr>
          <w:w w:val="95"/>
        </w:rPr>
        <w:t>Omega-3</w:t>
      </w:r>
      <w:r>
        <w:rPr>
          <w:spacing w:val="-19"/>
          <w:w w:val="95"/>
        </w:rPr>
        <w:t> </w:t>
      </w:r>
      <w:r>
        <w:rPr>
          <w:w w:val="95"/>
        </w:rPr>
        <w:t>fatty</w:t>
      </w:r>
      <w:r>
        <w:rPr>
          <w:spacing w:val="-17"/>
          <w:w w:val="95"/>
        </w:rPr>
        <w:t> </w:t>
      </w:r>
      <w:r>
        <w:rPr>
          <w:w w:val="95"/>
        </w:rPr>
        <w:t>acids</w:t>
      </w:r>
      <w:r>
        <w:rPr>
          <w:spacing w:val="-20"/>
          <w:w w:val="95"/>
        </w:rPr>
        <w:t> </w:t>
      </w:r>
      <w:r>
        <w:rPr>
          <w:w w:val="95"/>
        </w:rPr>
        <w:t>work</w:t>
      </w:r>
      <w:r>
        <w:rPr>
          <w:spacing w:val="-20"/>
          <w:w w:val="95"/>
        </w:rPr>
        <w:t> </w:t>
      </w:r>
      <w:r>
        <w:rPr>
          <w:w w:val="95"/>
        </w:rPr>
        <w:t>against</w:t>
      </w:r>
      <w:r>
        <w:rPr>
          <w:spacing w:val="-21"/>
          <w:w w:val="95"/>
        </w:rPr>
        <w:t> </w:t>
      </w:r>
      <w:r>
        <w:rPr>
          <w:w w:val="95"/>
        </w:rPr>
        <w:t>ADHD</w:t>
      </w:r>
      <w:r>
        <w:rPr>
          <w:spacing w:val="-20"/>
          <w:w w:val="95"/>
        </w:rPr>
        <w:t> </w:t>
      </w:r>
      <w:r>
        <w:rPr>
          <w:w w:val="95"/>
        </w:rPr>
        <w:t>(attention</w:t>
      </w:r>
      <w:r>
        <w:rPr>
          <w:spacing w:val="-20"/>
          <w:w w:val="95"/>
        </w:rPr>
        <w:t> </w:t>
      </w:r>
      <w:r>
        <w:rPr>
          <w:w w:val="95"/>
        </w:rPr>
        <w:t>deficit)</w:t>
      </w:r>
      <w:r>
        <w:rPr>
          <w:spacing w:val="-17"/>
          <w:w w:val="95"/>
        </w:rPr>
        <w:t> </w:t>
      </w:r>
      <w:r>
        <w:rPr>
          <w:w w:val="95"/>
        </w:rPr>
        <w:t>and</w:t>
      </w:r>
      <w:r>
        <w:rPr>
          <w:spacing w:val="-20"/>
          <w:w w:val="95"/>
        </w:rPr>
        <w:t> </w:t>
      </w:r>
      <w:r>
        <w:rPr>
          <w:w w:val="95"/>
        </w:rPr>
        <w:t>demen- </w:t>
      </w:r>
      <w:r>
        <w:rPr/>
        <w:t>tia</w:t>
      </w:r>
    </w:p>
    <w:p>
      <w:pPr>
        <w:pStyle w:val="BodyText"/>
        <w:spacing w:line="276" w:lineRule="auto" w:before="258"/>
        <w:ind w:left="616" w:right="133"/>
        <w:jc w:val="both"/>
      </w:pPr>
      <w:r>
        <w:rPr/>
        <w:t>Both individuals with ADHD and dementia suffer from a decreased DHA level. Both target groups consume little fish. Omega-3 fatty acids can re-regu- late neurotransmitters in the brain. In addition to omega-3 fatty acids, Prof. Dr. Michael Hamm, in his highly recommended book 'Omega-3-Active – Health from the Sea', also recommends magnesium and zinc.</w:t>
      </w:r>
    </w:p>
    <w:p>
      <w:pPr>
        <w:pStyle w:val="Heading1"/>
        <w:spacing w:before="223"/>
        <w:ind w:left="616"/>
        <w:jc w:val="both"/>
      </w:pPr>
      <w:r>
        <w:rPr/>
        <w:t>Omega-3 fatty acids have a beneficial effect on the immune system</w:t>
      </w:r>
    </w:p>
    <w:p>
      <w:pPr>
        <w:pStyle w:val="BodyText"/>
        <w:spacing w:before="299"/>
        <w:ind w:left="616"/>
        <w:jc w:val="both"/>
      </w:pPr>
      <w:r>
        <w:rPr/>
        <w:t>Omega-3 fatty acids regulate the production of so-called cytokines, signalling</w:t>
      </w:r>
    </w:p>
    <w:p>
      <w:pPr>
        <w:spacing w:after="0"/>
        <w:jc w:val="both"/>
        <w:sectPr>
          <w:pgSz w:w="14270" w:h="16850"/>
          <w:pgMar w:header="0" w:footer="1891" w:top="1320" w:bottom="2080" w:left="800" w:right="1280"/>
        </w:sectPr>
      </w:pPr>
    </w:p>
    <w:p>
      <w:pPr>
        <w:pStyle w:val="BodyText"/>
        <w:spacing w:before="72"/>
        <w:ind w:left="616"/>
      </w:pPr>
      <w:r>
        <w:rPr/>
        <w:t>proteins that control the immune system by transmitting information.</w:t>
      </w:r>
    </w:p>
    <w:p>
      <w:pPr>
        <w:pStyle w:val="Heading1"/>
        <w:spacing w:before="287"/>
        <w:ind w:left="616"/>
      </w:pPr>
      <w:r>
        <w:rPr/>
        <w:t>Effect of omega-3 fatty acids on neurodermatitis and psoriasis</w:t>
      </w:r>
    </w:p>
    <w:p>
      <w:pPr>
        <w:pStyle w:val="BodyText"/>
        <w:spacing w:line="276" w:lineRule="auto" w:before="299"/>
        <w:ind w:left="616" w:right="135"/>
        <w:jc w:val="both"/>
      </w:pPr>
      <w:r>
        <w:rPr/>
        <w:t>Omega-3</w:t>
      </w:r>
      <w:r>
        <w:rPr>
          <w:spacing w:val="-10"/>
        </w:rPr>
        <w:t> </w:t>
      </w:r>
      <w:r>
        <w:rPr/>
        <w:t>fatty</w:t>
      </w:r>
      <w:r>
        <w:rPr>
          <w:spacing w:val="-7"/>
        </w:rPr>
        <w:t> </w:t>
      </w:r>
      <w:r>
        <w:rPr/>
        <w:t>acids</w:t>
      </w:r>
      <w:r>
        <w:rPr>
          <w:spacing w:val="-9"/>
        </w:rPr>
        <w:t> </w:t>
      </w:r>
      <w:r>
        <w:rPr/>
        <w:t>lower</w:t>
      </w:r>
      <w:r>
        <w:rPr>
          <w:spacing w:val="-8"/>
        </w:rPr>
        <w:t> </w:t>
      </w:r>
      <w:r>
        <w:rPr/>
        <w:t>the</w:t>
      </w:r>
      <w:r>
        <w:rPr>
          <w:spacing w:val="-7"/>
        </w:rPr>
        <w:t> </w:t>
      </w:r>
      <w:r>
        <w:rPr/>
        <w:t>receptor</w:t>
      </w:r>
      <w:r>
        <w:rPr>
          <w:spacing w:val="-8"/>
        </w:rPr>
        <w:t> </w:t>
      </w:r>
      <w:r>
        <w:rPr/>
        <w:t>formation</w:t>
      </w:r>
      <w:r>
        <w:rPr>
          <w:spacing w:val="-8"/>
        </w:rPr>
        <w:t> </w:t>
      </w:r>
      <w:r>
        <w:rPr/>
        <w:t>of</w:t>
      </w:r>
      <w:r>
        <w:rPr>
          <w:spacing w:val="-8"/>
        </w:rPr>
        <w:t> </w:t>
      </w:r>
      <w:r>
        <w:rPr/>
        <w:t>leucocytes</w:t>
      </w:r>
      <w:r>
        <w:rPr>
          <w:spacing w:val="-9"/>
        </w:rPr>
        <w:t> </w:t>
      </w:r>
      <w:r>
        <w:rPr/>
        <w:t>IL-2</w:t>
      </w:r>
      <w:r>
        <w:rPr>
          <w:spacing w:val="-6"/>
        </w:rPr>
        <w:t> </w:t>
      </w:r>
      <w:r>
        <w:rPr/>
        <w:t>from</w:t>
      </w:r>
      <w:r>
        <w:rPr>
          <w:spacing w:val="-9"/>
        </w:rPr>
        <w:t> </w:t>
      </w:r>
      <w:r>
        <w:rPr/>
        <w:t>mi- togen-stimulated lymphocytes, which may even lead to the condition being completely</w:t>
      </w:r>
      <w:r>
        <w:rPr>
          <w:spacing w:val="-2"/>
        </w:rPr>
        <w:t> </w:t>
      </w:r>
      <w:r>
        <w:rPr/>
        <w:t>cured.</w:t>
      </w:r>
    </w:p>
    <w:p>
      <w:pPr>
        <w:pStyle w:val="Heading1"/>
        <w:ind w:left="616"/>
      </w:pPr>
      <w:r>
        <w:rPr/>
        <w:t>Omega-3 fatty acids strengthen vision in studies</w:t>
      </w:r>
    </w:p>
    <w:p>
      <w:pPr>
        <w:pStyle w:val="BodyText"/>
        <w:spacing w:line="276" w:lineRule="auto" w:before="298"/>
        <w:ind w:left="616" w:right="143"/>
        <w:jc w:val="both"/>
      </w:pPr>
      <w:r>
        <w:rPr/>
        <w:t>According to Australian researchers, just one single fish meal per week can reduce retinal degeneration and maintain eyesight. This effect is attributed to docosahexaenoic acid (DHA) found in fatty marine fish and certain algae, which plays an important role in neurological, mental and CNS disorders.</w:t>
      </w:r>
    </w:p>
    <w:p>
      <w:pPr>
        <w:pStyle w:val="Heading1"/>
        <w:ind w:left="616"/>
      </w:pPr>
      <w:r>
        <w:rPr/>
        <w:t>Effect of omega-3 fatty acids on night blindness</w:t>
      </w:r>
    </w:p>
    <w:p>
      <w:pPr>
        <w:pStyle w:val="BodyText"/>
        <w:spacing w:line="276" w:lineRule="auto" w:before="299"/>
        <w:ind w:left="616"/>
      </w:pPr>
      <w:r>
        <w:rPr/>
        <w:t>Regular supplementation with DHA can counteract night blindness (see also above 'Omega-3 fatty acids strengthen vision in studies').</w:t>
      </w:r>
    </w:p>
    <w:p>
      <w:pPr>
        <w:pStyle w:val="Heading1"/>
        <w:spacing w:before="222"/>
        <w:ind w:left="616"/>
      </w:pPr>
      <w:r>
        <w:rPr/>
        <w:t>Effect of omega-3 fatty acids on eczema and psoriasis</w:t>
      </w:r>
    </w:p>
    <w:p>
      <w:pPr>
        <w:pStyle w:val="BodyText"/>
        <w:spacing w:line="276" w:lineRule="auto" w:before="299"/>
        <w:ind w:left="616" w:right="135"/>
        <w:jc w:val="both"/>
      </w:pPr>
      <w:r>
        <w:rPr/>
        <w:t>To avoid flaky, dry skin and eczema and psoriasis, researchers recommend omega-3 fatty acids. For chronic inflammatory diseases, such as psoriasis, the intake should be long-term.</w:t>
      </w:r>
    </w:p>
    <w:p>
      <w:pPr>
        <w:pStyle w:val="Heading1"/>
        <w:ind w:left="616"/>
        <w:jc w:val="both"/>
      </w:pPr>
      <w:r>
        <w:rPr/>
        <w:t>Effect of omega-3 fatty acids against neurodermatitis</w:t>
      </w:r>
    </w:p>
    <w:p>
      <w:pPr>
        <w:pStyle w:val="BodyText"/>
        <w:spacing w:before="300"/>
        <w:ind w:left="616"/>
        <w:jc w:val="both"/>
      </w:pPr>
      <w:r>
        <w:rPr/>
        <w:t>If omega-3 fatty acids help with eczema and psoriasis, it seems likely that they</w:t>
      </w:r>
    </w:p>
    <w:p>
      <w:pPr>
        <w:spacing w:after="0"/>
        <w:jc w:val="both"/>
        <w:sectPr>
          <w:footerReference w:type="default" r:id="rId263"/>
          <w:pgSz w:w="14270" w:h="16850"/>
          <w:pgMar w:footer="1891" w:header="0" w:top="1340" w:bottom="2080" w:left="800" w:right="1280"/>
          <w:pgNumType w:start="1080"/>
        </w:sectPr>
      </w:pPr>
    </w:p>
    <w:p>
      <w:pPr>
        <w:pStyle w:val="BodyText"/>
        <w:spacing w:line="276" w:lineRule="auto" w:before="72"/>
        <w:ind w:left="616" w:right="143"/>
        <w:jc w:val="both"/>
      </w:pPr>
      <w:r>
        <w:rPr/>
        <w:t>will also help with neurodermatitis. Therapeutic experience and pharmacolog- ical studies suggest that omega-3 fatty acids also help against neurodermatitis.</w:t>
      </w:r>
    </w:p>
    <w:p>
      <w:pPr>
        <w:pStyle w:val="Heading1"/>
        <w:spacing w:before="223"/>
        <w:ind w:left="616"/>
      </w:pPr>
      <w:r>
        <w:rPr/>
        <w:t>Omega-3 fatty acids work against</w:t>
      </w:r>
      <w:r>
        <w:rPr>
          <w:spacing w:val="-57"/>
        </w:rPr>
        <w:t> </w:t>
      </w:r>
      <w:r>
        <w:rPr/>
        <w:t>insomnia</w:t>
      </w:r>
    </w:p>
    <w:p>
      <w:pPr>
        <w:pStyle w:val="BodyText"/>
        <w:spacing w:line="276" w:lineRule="auto" w:before="300"/>
        <w:ind w:left="616" w:right="131"/>
        <w:jc w:val="both"/>
      </w:pPr>
      <w:r>
        <w:rPr/>
        <w:t>According to a study, omega-3 fatty acids regulate the formation of the 'bio- rhythm hormone' melatonin and allow for a restful sleep.</w:t>
      </w:r>
    </w:p>
    <w:p>
      <w:pPr>
        <w:pStyle w:val="Heading1"/>
        <w:spacing w:before="223"/>
        <w:ind w:left="616"/>
      </w:pPr>
      <w:r>
        <w:rPr/>
        <w:t>Effect of omega-3 fatty acids during pregnancy</w:t>
      </w:r>
    </w:p>
    <w:p>
      <w:pPr>
        <w:pStyle w:val="BodyText"/>
        <w:spacing w:line="276" w:lineRule="auto" w:before="298"/>
        <w:ind w:left="616" w:right="130"/>
        <w:jc w:val="both"/>
      </w:pPr>
      <w:r>
        <w:rPr/>
        <w:t>Omega-3 fatty acids consumed during pregnancy already promote the subse- quent</w:t>
      </w:r>
      <w:r>
        <w:rPr>
          <w:spacing w:val="-13"/>
        </w:rPr>
        <w:t> </w:t>
      </w:r>
      <w:r>
        <w:rPr/>
        <w:t>IQ</w:t>
      </w:r>
      <w:r>
        <w:rPr>
          <w:spacing w:val="-12"/>
        </w:rPr>
        <w:t> </w:t>
      </w:r>
      <w:r>
        <w:rPr/>
        <w:t>of</w:t>
      </w:r>
      <w:r>
        <w:rPr>
          <w:spacing w:val="-11"/>
        </w:rPr>
        <w:t> </w:t>
      </w:r>
      <w:r>
        <w:rPr/>
        <w:t>the</w:t>
      </w:r>
      <w:r>
        <w:rPr>
          <w:spacing w:val="-13"/>
        </w:rPr>
        <w:t> </w:t>
      </w:r>
      <w:r>
        <w:rPr/>
        <w:t>child,</w:t>
      </w:r>
      <w:r>
        <w:rPr>
          <w:spacing w:val="-12"/>
        </w:rPr>
        <w:t> </w:t>
      </w:r>
      <w:r>
        <w:rPr/>
        <w:t>the</w:t>
      </w:r>
      <w:r>
        <w:rPr>
          <w:spacing w:val="-11"/>
        </w:rPr>
        <w:t> </w:t>
      </w:r>
      <w:r>
        <w:rPr/>
        <w:t>nervous</w:t>
      </w:r>
      <w:r>
        <w:rPr>
          <w:spacing w:val="-11"/>
        </w:rPr>
        <w:t> </w:t>
      </w:r>
      <w:r>
        <w:rPr/>
        <w:t>system,</w:t>
      </w:r>
      <w:r>
        <w:rPr>
          <w:spacing w:val="-11"/>
        </w:rPr>
        <w:t> </w:t>
      </w:r>
      <w:r>
        <w:rPr/>
        <w:t>growth,</w:t>
      </w:r>
      <w:r>
        <w:rPr>
          <w:spacing w:val="-12"/>
        </w:rPr>
        <w:t> </w:t>
      </w:r>
      <w:r>
        <w:rPr/>
        <w:t>vision</w:t>
      </w:r>
      <w:r>
        <w:rPr>
          <w:spacing w:val="-11"/>
        </w:rPr>
        <w:t> </w:t>
      </w:r>
      <w:r>
        <w:rPr/>
        <w:t>and</w:t>
      </w:r>
      <w:r>
        <w:rPr>
          <w:spacing w:val="-11"/>
        </w:rPr>
        <w:t> </w:t>
      </w:r>
      <w:r>
        <w:rPr/>
        <w:t>immune</w:t>
      </w:r>
      <w:r>
        <w:rPr>
          <w:spacing w:val="-11"/>
        </w:rPr>
        <w:t> </w:t>
      </w:r>
      <w:r>
        <w:rPr/>
        <w:t>system. On</w:t>
      </w:r>
      <w:r>
        <w:rPr>
          <w:spacing w:val="-12"/>
        </w:rPr>
        <w:t> </w:t>
      </w:r>
      <w:r>
        <w:rPr/>
        <w:t>top</w:t>
      </w:r>
      <w:r>
        <w:rPr>
          <w:spacing w:val="-10"/>
        </w:rPr>
        <w:t> </w:t>
      </w:r>
      <w:r>
        <w:rPr/>
        <w:t>of</w:t>
      </w:r>
      <w:r>
        <w:rPr>
          <w:spacing w:val="-13"/>
        </w:rPr>
        <w:t> </w:t>
      </w:r>
      <w:r>
        <w:rPr/>
        <w:t>this,</w:t>
      </w:r>
      <w:r>
        <w:rPr>
          <w:spacing w:val="-11"/>
        </w:rPr>
        <w:t> </w:t>
      </w:r>
      <w:r>
        <w:rPr/>
        <w:t>they</w:t>
      </w:r>
      <w:r>
        <w:rPr>
          <w:spacing w:val="-11"/>
        </w:rPr>
        <w:t> </w:t>
      </w:r>
      <w:r>
        <w:rPr/>
        <w:t>can</w:t>
      </w:r>
      <w:r>
        <w:rPr>
          <w:spacing w:val="-12"/>
        </w:rPr>
        <w:t> </w:t>
      </w:r>
      <w:r>
        <w:rPr/>
        <w:t>protect</w:t>
      </w:r>
      <w:r>
        <w:rPr>
          <w:spacing w:val="-13"/>
        </w:rPr>
        <w:t> </w:t>
      </w:r>
      <w:r>
        <w:rPr/>
        <w:t>against</w:t>
      </w:r>
      <w:r>
        <w:rPr>
          <w:spacing w:val="-11"/>
        </w:rPr>
        <w:t> </w:t>
      </w:r>
      <w:r>
        <w:rPr/>
        <w:t>cardiovascular</w:t>
      </w:r>
      <w:r>
        <w:rPr>
          <w:spacing w:val="-11"/>
        </w:rPr>
        <w:t> </w:t>
      </w:r>
      <w:r>
        <w:rPr/>
        <w:t>disease</w:t>
      </w:r>
      <w:r>
        <w:rPr>
          <w:spacing w:val="-11"/>
        </w:rPr>
        <w:t> </w:t>
      </w:r>
      <w:r>
        <w:rPr/>
        <w:t>later</w:t>
      </w:r>
      <w:r>
        <w:rPr>
          <w:spacing w:val="-11"/>
        </w:rPr>
        <w:t> </w:t>
      </w:r>
      <w:r>
        <w:rPr/>
        <w:t>in</w:t>
      </w:r>
      <w:r>
        <w:rPr>
          <w:spacing w:val="-11"/>
        </w:rPr>
        <w:t> </w:t>
      </w:r>
      <w:r>
        <w:rPr/>
        <w:t>life.</w:t>
      </w:r>
      <w:r>
        <w:rPr>
          <w:spacing w:val="-13"/>
        </w:rPr>
        <w:t> </w:t>
      </w:r>
      <w:r>
        <w:rPr/>
        <w:t>Due to</w:t>
      </w:r>
      <w:r>
        <w:rPr>
          <w:spacing w:val="-4"/>
        </w:rPr>
        <w:t> </w:t>
      </w:r>
      <w:r>
        <w:rPr/>
        <w:t>the</w:t>
      </w:r>
      <w:r>
        <w:rPr>
          <w:spacing w:val="-8"/>
        </w:rPr>
        <w:t> </w:t>
      </w:r>
      <w:r>
        <w:rPr/>
        <w:t>crucial</w:t>
      </w:r>
      <w:r>
        <w:rPr>
          <w:spacing w:val="-6"/>
        </w:rPr>
        <w:t> </w:t>
      </w:r>
      <w:r>
        <w:rPr/>
        <w:t>importance</w:t>
      </w:r>
      <w:r>
        <w:rPr>
          <w:spacing w:val="-4"/>
        </w:rPr>
        <w:t> </w:t>
      </w:r>
      <w:r>
        <w:rPr/>
        <w:t>of</w:t>
      </w:r>
      <w:r>
        <w:rPr>
          <w:spacing w:val="-7"/>
        </w:rPr>
        <w:t> </w:t>
      </w:r>
      <w:r>
        <w:rPr/>
        <w:t>omega-3</w:t>
      </w:r>
      <w:r>
        <w:rPr>
          <w:spacing w:val="-6"/>
        </w:rPr>
        <w:t> </w:t>
      </w:r>
      <w:r>
        <w:rPr/>
        <w:t>fatty</w:t>
      </w:r>
      <w:r>
        <w:rPr>
          <w:spacing w:val="-5"/>
        </w:rPr>
        <w:t> </w:t>
      </w:r>
      <w:r>
        <w:rPr/>
        <w:t>acids,</w:t>
      </w:r>
      <w:r>
        <w:rPr>
          <w:spacing w:val="-7"/>
        </w:rPr>
        <w:t> </w:t>
      </w:r>
      <w:r>
        <w:rPr/>
        <w:t>these</w:t>
      </w:r>
      <w:r>
        <w:rPr>
          <w:spacing w:val="-3"/>
        </w:rPr>
        <w:t> </w:t>
      </w:r>
      <w:r>
        <w:rPr/>
        <w:t>are</w:t>
      </w:r>
      <w:r>
        <w:rPr>
          <w:spacing w:val="-7"/>
        </w:rPr>
        <w:t> </w:t>
      </w:r>
      <w:r>
        <w:rPr/>
        <w:t>also</w:t>
      </w:r>
      <w:r>
        <w:rPr>
          <w:spacing w:val="-6"/>
        </w:rPr>
        <w:t> </w:t>
      </w:r>
      <w:r>
        <w:rPr/>
        <w:t>found</w:t>
      </w:r>
      <w:r>
        <w:rPr>
          <w:spacing w:val="-6"/>
        </w:rPr>
        <w:t> </w:t>
      </w:r>
      <w:r>
        <w:rPr/>
        <w:t>in</w:t>
      </w:r>
      <w:r>
        <w:rPr>
          <w:spacing w:val="-4"/>
        </w:rPr>
        <w:t> </w:t>
      </w:r>
      <w:r>
        <w:rPr/>
        <w:t>abun- dance in breast milk. Therefore, infant formula enriched with DHA should</w:t>
      </w:r>
      <w:r>
        <w:rPr>
          <w:spacing w:val="-66"/>
        </w:rPr>
        <w:t> </w:t>
      </w:r>
      <w:r>
        <w:rPr/>
        <w:t>be welcomed, particularly with premature babies and non-breastfed infants, ac- cording to Professor William Connor.</w:t>
      </w:r>
      <w:r>
        <w:rPr>
          <w:position w:val="9"/>
          <w:sz w:val="25"/>
        </w:rPr>
        <w:t>624 </w:t>
      </w:r>
      <w:r>
        <w:rPr/>
        <w:t>From the 4th month of pregnancy at the latest up to and during breast-feeding, the mother should take about 2 g DHA and EPA.</w:t>
      </w:r>
    </w:p>
    <w:p>
      <w:pPr>
        <w:pStyle w:val="Heading1"/>
        <w:ind w:left="616"/>
      </w:pPr>
      <w:r>
        <w:rPr/>
        <w:t>Omega-3 fatty acid effect on migraine and headache</w:t>
      </w:r>
    </w:p>
    <w:p>
      <w:pPr>
        <w:pStyle w:val="BodyText"/>
        <w:spacing w:line="276" w:lineRule="auto" w:before="299"/>
        <w:ind w:left="616" w:right="137"/>
        <w:jc w:val="both"/>
      </w:pPr>
      <w:r>
        <w:rPr/>
        <w:t>As omega-6 fatty acids, eicosanoids play an important role in the</w:t>
      </w:r>
      <w:r>
        <w:rPr>
          <w:spacing w:val="-64"/>
        </w:rPr>
        <w:t> </w:t>
      </w:r>
      <w:r>
        <w:rPr/>
        <w:t>management of pain. They act as pain mediators and sensitise people to mechanical, chem- ical and thermal stimuli, lowering the pain threshold. Acting as opponents to</w:t>
      </w:r>
    </w:p>
    <w:p>
      <w:pPr>
        <w:pStyle w:val="BodyText"/>
        <w:rPr>
          <w:sz w:val="20"/>
        </w:rPr>
      </w:pPr>
    </w:p>
    <w:p>
      <w:pPr>
        <w:pStyle w:val="BodyText"/>
        <w:rPr>
          <w:sz w:val="20"/>
        </w:rPr>
      </w:pPr>
    </w:p>
    <w:p>
      <w:pPr>
        <w:pStyle w:val="BodyText"/>
        <w:rPr>
          <w:sz w:val="20"/>
        </w:rPr>
      </w:pPr>
    </w:p>
    <w:p>
      <w:pPr>
        <w:pStyle w:val="BodyText"/>
        <w:spacing w:before="3"/>
        <w:rPr>
          <w:sz w:val="13"/>
        </w:rPr>
      </w:pPr>
      <w:r>
        <w:rPr/>
        <w:pict>
          <v:line style="position:absolute;mso-position-horizontal-relative:page;mso-position-vertical-relative:paragraph;z-index:8000;mso-wrap-distance-left:0;mso-wrap-distance-right:0" from="70.823997pt,9.839985pt" to="214.843997pt,9.839985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624 </w:t>
      </w:r>
      <w:r>
        <w:rPr>
          <w:sz w:val="20"/>
        </w:rPr>
        <w:t>Prof. Dr. Michael Hamm and Dirk Neuberger, Omega-3 aktiv-Gesundheit aus dem Meer ('Omega-3-Active – Health from the Sea'), 2006, p. 23</w:t>
      </w:r>
    </w:p>
    <w:p>
      <w:pPr>
        <w:spacing w:after="0"/>
        <w:jc w:val="left"/>
        <w:rPr>
          <w:sz w:val="20"/>
        </w:rPr>
        <w:sectPr>
          <w:pgSz w:w="14270" w:h="16850"/>
          <w:pgMar w:header="0" w:footer="1891" w:top="1340" w:bottom="2080" w:left="800" w:right="1280"/>
        </w:sectPr>
      </w:pPr>
    </w:p>
    <w:p>
      <w:pPr>
        <w:pStyle w:val="BodyText"/>
        <w:spacing w:line="276" w:lineRule="auto" w:before="72"/>
        <w:ind w:left="616" w:right="134"/>
        <w:jc w:val="both"/>
      </w:pPr>
      <w:r>
        <w:rPr/>
        <w:t>the</w:t>
      </w:r>
      <w:r>
        <w:rPr>
          <w:spacing w:val="-13"/>
        </w:rPr>
        <w:t> </w:t>
      </w:r>
      <w:r>
        <w:rPr/>
        <w:t>omega-6</w:t>
      </w:r>
      <w:r>
        <w:rPr>
          <w:spacing w:val="-14"/>
        </w:rPr>
        <w:t> </w:t>
      </w:r>
      <w:r>
        <w:rPr/>
        <w:t>fatty</w:t>
      </w:r>
      <w:r>
        <w:rPr>
          <w:spacing w:val="-14"/>
        </w:rPr>
        <w:t> </w:t>
      </w:r>
      <w:r>
        <w:rPr/>
        <w:t>acids</w:t>
      </w:r>
      <w:r>
        <w:rPr>
          <w:spacing w:val="-14"/>
        </w:rPr>
        <w:t> </w:t>
      </w:r>
      <w:r>
        <w:rPr/>
        <w:t>are</w:t>
      </w:r>
      <w:r>
        <w:rPr>
          <w:spacing w:val="-13"/>
        </w:rPr>
        <w:t> </w:t>
      </w:r>
      <w:r>
        <w:rPr/>
        <w:t>the</w:t>
      </w:r>
      <w:r>
        <w:rPr>
          <w:spacing w:val="-13"/>
        </w:rPr>
        <w:t> </w:t>
      </w:r>
      <w:r>
        <w:rPr/>
        <w:t>omega-3</w:t>
      </w:r>
      <w:r>
        <w:rPr>
          <w:spacing w:val="-14"/>
        </w:rPr>
        <w:t> </w:t>
      </w:r>
      <w:r>
        <w:rPr/>
        <w:t>fatty</w:t>
      </w:r>
      <w:r>
        <w:rPr>
          <w:spacing w:val="-14"/>
        </w:rPr>
        <w:t> </w:t>
      </w:r>
      <w:r>
        <w:rPr/>
        <w:t>acids,</w:t>
      </w:r>
      <w:r>
        <w:rPr>
          <w:spacing w:val="-13"/>
        </w:rPr>
        <w:t> </w:t>
      </w:r>
      <w:r>
        <w:rPr/>
        <w:t>which</w:t>
      </w:r>
      <w:r>
        <w:rPr>
          <w:spacing w:val="-12"/>
        </w:rPr>
        <w:t> </w:t>
      </w:r>
      <w:r>
        <w:rPr/>
        <w:t>can</w:t>
      </w:r>
      <w:r>
        <w:rPr>
          <w:spacing w:val="-13"/>
        </w:rPr>
        <w:t> </w:t>
      </w:r>
      <w:r>
        <w:rPr/>
        <w:t>accordingly</w:t>
      </w:r>
      <w:r>
        <w:rPr>
          <w:spacing w:val="-14"/>
        </w:rPr>
        <w:t> </w:t>
      </w:r>
      <w:r>
        <w:rPr/>
        <w:t>pre- vent</w:t>
      </w:r>
      <w:r>
        <w:rPr>
          <w:spacing w:val="-21"/>
        </w:rPr>
        <w:t> </w:t>
      </w:r>
      <w:r>
        <w:rPr/>
        <w:t>this</w:t>
      </w:r>
      <w:r>
        <w:rPr>
          <w:spacing w:val="-19"/>
        </w:rPr>
        <w:t> </w:t>
      </w:r>
      <w:r>
        <w:rPr/>
        <w:t>lowering</w:t>
      </w:r>
      <w:r>
        <w:rPr>
          <w:spacing w:val="-21"/>
        </w:rPr>
        <w:t> </w:t>
      </w:r>
      <w:r>
        <w:rPr/>
        <w:t>of</w:t>
      </w:r>
      <w:r>
        <w:rPr>
          <w:spacing w:val="-22"/>
        </w:rPr>
        <w:t> </w:t>
      </w:r>
      <w:r>
        <w:rPr/>
        <w:t>the</w:t>
      </w:r>
      <w:r>
        <w:rPr>
          <w:spacing w:val="-20"/>
        </w:rPr>
        <w:t> </w:t>
      </w:r>
      <w:r>
        <w:rPr/>
        <w:t>pain</w:t>
      </w:r>
      <w:r>
        <w:rPr>
          <w:spacing w:val="-22"/>
        </w:rPr>
        <w:t> </w:t>
      </w:r>
      <w:r>
        <w:rPr/>
        <w:t>threshold.</w:t>
      </w:r>
      <w:r>
        <w:rPr>
          <w:spacing w:val="-19"/>
        </w:rPr>
        <w:t> </w:t>
      </w:r>
      <w:r>
        <w:rPr/>
        <w:t>A</w:t>
      </w:r>
      <w:r>
        <w:rPr>
          <w:spacing w:val="-23"/>
        </w:rPr>
        <w:t> </w:t>
      </w:r>
      <w:r>
        <w:rPr/>
        <w:t>daily</w:t>
      </w:r>
      <w:r>
        <w:rPr>
          <w:spacing w:val="-21"/>
        </w:rPr>
        <w:t> </w:t>
      </w:r>
      <w:r>
        <w:rPr/>
        <w:t>intake</w:t>
      </w:r>
      <w:r>
        <w:rPr>
          <w:spacing w:val="-21"/>
        </w:rPr>
        <w:t> </w:t>
      </w:r>
      <w:r>
        <w:rPr/>
        <w:t>of</w:t>
      </w:r>
      <w:r>
        <w:rPr>
          <w:spacing w:val="-20"/>
        </w:rPr>
        <w:t> </w:t>
      </w:r>
      <w:r>
        <w:rPr/>
        <w:t>4</w:t>
      </w:r>
      <w:r>
        <w:rPr>
          <w:spacing w:val="-21"/>
        </w:rPr>
        <w:t> </w:t>
      </w:r>
      <w:r>
        <w:rPr/>
        <w:t>g</w:t>
      </w:r>
      <w:r>
        <w:rPr>
          <w:spacing w:val="-22"/>
        </w:rPr>
        <w:t> </w:t>
      </w:r>
      <w:r>
        <w:rPr/>
        <w:t>of</w:t>
      </w:r>
      <w:r>
        <w:rPr>
          <w:spacing w:val="-23"/>
        </w:rPr>
        <w:t> </w:t>
      </w:r>
      <w:r>
        <w:rPr/>
        <w:t>EPA</w:t>
      </w:r>
      <w:r>
        <w:rPr>
          <w:spacing w:val="-20"/>
        </w:rPr>
        <w:t> </w:t>
      </w:r>
      <w:r>
        <w:rPr/>
        <w:t>and</w:t>
      </w:r>
      <w:r>
        <w:rPr>
          <w:spacing w:val="-20"/>
        </w:rPr>
        <w:t> </w:t>
      </w:r>
      <w:r>
        <w:rPr/>
        <w:t>DHA is recommended to decrease the intensity and duration of the pain. Further- more, omega-3 fatty acids inhibit the development of inflammatory pain me- diators in the</w:t>
      </w:r>
      <w:r>
        <w:rPr>
          <w:spacing w:val="3"/>
        </w:rPr>
        <w:t> </w:t>
      </w:r>
      <w:r>
        <w:rPr/>
        <w:t>body.</w:t>
      </w:r>
    </w:p>
    <w:p>
      <w:pPr>
        <w:pStyle w:val="Heading1"/>
        <w:ind w:left="616"/>
      </w:pPr>
      <w:r>
        <w:rPr/>
        <w:t>Effect of omega-3 fatty acids on brain performance</w:t>
      </w:r>
    </w:p>
    <w:p>
      <w:pPr>
        <w:pStyle w:val="BodyText"/>
        <w:spacing w:line="276" w:lineRule="auto" w:before="298"/>
        <w:ind w:left="616" w:right="136"/>
        <w:jc w:val="both"/>
      </w:pPr>
      <w:r>
        <w:rPr/>
        <w:t>Increased blood flow to the brain improves brain function and prevents de- mentia. About 1/5 of our brain fat and the fat mass of our nervous system consists of docosahexaenoic acid (DHA), which is found in fatty marine fish and in certain algae. Omega-3 fatty acids play an important role in the central nervous system, neurological and psychological areas.</w:t>
      </w:r>
    </w:p>
    <w:p>
      <w:pPr>
        <w:pStyle w:val="Heading1"/>
        <w:spacing w:before="225"/>
        <w:ind w:left="616"/>
      </w:pPr>
      <w:r>
        <w:rPr/>
        <w:t>Effect of omega-3 fatty acids against depression</w:t>
      </w:r>
    </w:p>
    <w:p>
      <w:pPr>
        <w:pStyle w:val="BodyText"/>
        <w:spacing w:line="276" w:lineRule="auto" w:before="299"/>
        <w:ind w:left="616" w:right="132"/>
        <w:jc w:val="both"/>
      </w:pPr>
      <w:r>
        <w:rPr/>
        <w:t>The intake of omega-3 fatty acids increases the serotonin level and can there- fore effectively prevent depression. It has also been observed that people suf- fering</w:t>
      </w:r>
      <w:r>
        <w:rPr>
          <w:spacing w:val="-23"/>
        </w:rPr>
        <w:t> </w:t>
      </w:r>
      <w:r>
        <w:rPr/>
        <w:t>from</w:t>
      </w:r>
      <w:r>
        <w:rPr>
          <w:spacing w:val="-26"/>
        </w:rPr>
        <w:t> </w:t>
      </w:r>
      <w:r>
        <w:rPr/>
        <w:t>depression</w:t>
      </w:r>
      <w:r>
        <w:rPr>
          <w:spacing w:val="-25"/>
        </w:rPr>
        <w:t> </w:t>
      </w:r>
      <w:r>
        <w:rPr/>
        <w:t>have</w:t>
      </w:r>
      <w:r>
        <w:rPr>
          <w:spacing w:val="-24"/>
        </w:rPr>
        <w:t> </w:t>
      </w:r>
      <w:r>
        <w:rPr/>
        <w:t>an</w:t>
      </w:r>
      <w:r>
        <w:rPr>
          <w:spacing w:val="-24"/>
        </w:rPr>
        <w:t> </w:t>
      </w:r>
      <w:r>
        <w:rPr/>
        <w:t>unfavourable</w:t>
      </w:r>
      <w:r>
        <w:rPr>
          <w:spacing w:val="-24"/>
        </w:rPr>
        <w:t> </w:t>
      </w:r>
      <w:r>
        <w:rPr/>
        <w:t>ratio</w:t>
      </w:r>
      <w:r>
        <w:rPr>
          <w:spacing w:val="-23"/>
        </w:rPr>
        <w:t> </w:t>
      </w:r>
      <w:r>
        <w:rPr/>
        <w:t>of</w:t>
      </w:r>
      <w:r>
        <w:rPr>
          <w:spacing w:val="-26"/>
        </w:rPr>
        <w:t> </w:t>
      </w:r>
      <w:r>
        <w:rPr/>
        <w:t>omega-3</w:t>
      </w:r>
      <w:r>
        <w:rPr>
          <w:spacing w:val="-24"/>
        </w:rPr>
        <w:t> </w:t>
      </w:r>
      <w:r>
        <w:rPr/>
        <w:t>to</w:t>
      </w:r>
      <w:r>
        <w:rPr>
          <w:spacing w:val="-24"/>
        </w:rPr>
        <w:t> </w:t>
      </w:r>
      <w:r>
        <w:rPr/>
        <w:t>omega-6</w:t>
      </w:r>
      <w:r>
        <w:rPr>
          <w:spacing w:val="-24"/>
        </w:rPr>
        <w:t> </w:t>
      </w:r>
      <w:r>
        <w:rPr/>
        <w:t>fatty acids.</w:t>
      </w:r>
    </w:p>
    <w:p>
      <w:pPr>
        <w:pStyle w:val="BodyText"/>
        <w:spacing w:line="276" w:lineRule="auto" w:before="239"/>
        <w:ind w:left="616" w:right="134"/>
        <w:jc w:val="both"/>
      </w:pPr>
      <w:r>
        <w:rPr/>
        <w:t>A</w:t>
      </w:r>
      <w:r>
        <w:rPr>
          <w:spacing w:val="-11"/>
        </w:rPr>
        <w:t> </w:t>
      </w:r>
      <w:r>
        <w:rPr/>
        <w:t>regular</w:t>
      </w:r>
      <w:r>
        <w:rPr>
          <w:spacing w:val="-10"/>
        </w:rPr>
        <w:t> </w:t>
      </w:r>
      <w:r>
        <w:rPr/>
        <w:t>sufficient</w:t>
      </w:r>
      <w:r>
        <w:rPr>
          <w:spacing w:val="-11"/>
        </w:rPr>
        <w:t> </w:t>
      </w:r>
      <w:r>
        <w:rPr/>
        <w:t>intake</w:t>
      </w:r>
      <w:r>
        <w:rPr>
          <w:spacing w:val="-10"/>
        </w:rPr>
        <w:t> </w:t>
      </w:r>
      <w:r>
        <w:rPr/>
        <w:t>of</w:t>
      </w:r>
      <w:r>
        <w:rPr>
          <w:spacing w:val="-10"/>
        </w:rPr>
        <w:t> </w:t>
      </w:r>
      <w:r>
        <w:rPr/>
        <w:t>omega-3</w:t>
      </w:r>
      <w:r>
        <w:rPr>
          <w:spacing w:val="-11"/>
        </w:rPr>
        <w:t> </w:t>
      </w:r>
      <w:r>
        <w:rPr/>
        <w:t>fatty</w:t>
      </w:r>
      <w:r>
        <w:rPr>
          <w:spacing w:val="-11"/>
        </w:rPr>
        <w:t> </w:t>
      </w:r>
      <w:r>
        <w:rPr/>
        <w:t>acids,</w:t>
      </w:r>
      <w:r>
        <w:rPr>
          <w:spacing w:val="-6"/>
        </w:rPr>
        <w:t> </w:t>
      </w:r>
      <w:r>
        <w:rPr/>
        <w:t>which</w:t>
      </w:r>
      <w:r>
        <w:rPr>
          <w:spacing w:val="-9"/>
        </w:rPr>
        <w:t> </w:t>
      </w:r>
      <w:r>
        <w:rPr/>
        <w:t>act</w:t>
      </w:r>
      <w:r>
        <w:rPr>
          <w:spacing w:val="-11"/>
        </w:rPr>
        <w:t> </w:t>
      </w:r>
      <w:r>
        <w:rPr/>
        <w:t>as</w:t>
      </w:r>
      <w:r>
        <w:rPr>
          <w:spacing w:val="-11"/>
        </w:rPr>
        <w:t> </w:t>
      </w:r>
      <w:r>
        <w:rPr/>
        <w:t>mood</w:t>
      </w:r>
      <w:r>
        <w:rPr>
          <w:spacing w:val="-9"/>
        </w:rPr>
        <w:t> </w:t>
      </w:r>
      <w:r>
        <w:rPr/>
        <w:t>boosters, can very effectively counteract depression in many</w:t>
      </w:r>
      <w:r>
        <w:rPr>
          <w:spacing w:val="2"/>
        </w:rPr>
        <w:t> </w:t>
      </w:r>
      <w:r>
        <w:rPr/>
        <w:t>cases.</w:t>
      </w:r>
    </w:p>
    <w:p>
      <w:pPr>
        <w:pStyle w:val="Heading1"/>
        <w:ind w:left="616"/>
        <w:jc w:val="both"/>
      </w:pPr>
      <w:r>
        <w:rPr/>
        <w:t>Postnatal depression (postpartum depression)</w:t>
      </w:r>
    </w:p>
    <w:p>
      <w:pPr>
        <w:pStyle w:val="BodyText"/>
        <w:spacing w:before="297"/>
        <w:ind w:left="616"/>
        <w:jc w:val="both"/>
      </w:pPr>
      <w:r>
        <w:rPr/>
        <w:t>Depression, which affects the mother immediately after the birth of her baby,</w:t>
      </w:r>
    </w:p>
    <w:p>
      <w:pPr>
        <w:spacing w:after="0"/>
        <w:jc w:val="both"/>
        <w:sectPr>
          <w:pgSz w:w="14270" w:h="16850"/>
          <w:pgMar w:header="0" w:footer="1891" w:top="1340" w:bottom="2080" w:left="800" w:right="1280"/>
        </w:sectPr>
      </w:pPr>
    </w:p>
    <w:p>
      <w:pPr>
        <w:pStyle w:val="BodyText"/>
        <w:spacing w:line="276" w:lineRule="auto" w:before="72"/>
        <w:ind w:left="616" w:right="132"/>
        <w:jc w:val="both"/>
      </w:pPr>
      <w:r>
        <w:rPr/>
        <w:t>affects about 10 % of all new mothers. This depression can be directly at- tributed to the mismatch mentioned above, namely, when the mother has had to divert most of the DHA to the unborn baby during pregnancy.</w:t>
      </w:r>
    </w:p>
    <w:p>
      <w:pPr>
        <w:pStyle w:val="Heading1"/>
        <w:ind w:left="616"/>
      </w:pPr>
      <w:r>
        <w:rPr/>
        <w:t>Omega-3 fatty acids help combat</w:t>
      </w:r>
      <w:r>
        <w:rPr>
          <w:spacing w:val="-60"/>
        </w:rPr>
        <w:t> </w:t>
      </w:r>
      <w:r>
        <w:rPr/>
        <w:t>psychosis</w:t>
      </w:r>
    </w:p>
    <w:p>
      <w:pPr>
        <w:pStyle w:val="BodyText"/>
        <w:spacing w:line="276" w:lineRule="auto" w:before="299"/>
        <w:ind w:left="616" w:right="132"/>
        <w:jc w:val="both"/>
      </w:pPr>
      <w:r>
        <w:rPr/>
        <w:t>Studies show that after about a four-month intake of fish oil, the mood of psychotic patients was considerably more stable than that of the comparison group. The phases typical of the disease occurred less frequently.</w:t>
      </w:r>
    </w:p>
    <w:p>
      <w:pPr>
        <w:pStyle w:val="Heading1"/>
        <w:spacing w:before="222"/>
        <w:ind w:left="616"/>
      </w:pPr>
      <w:r>
        <w:rPr/>
        <w:t>Effect of omega-3 fatty acids on menstrual problems</w:t>
      </w:r>
    </w:p>
    <w:p>
      <w:pPr>
        <w:pStyle w:val="BodyText"/>
        <w:spacing w:line="276" w:lineRule="auto" w:before="299"/>
        <w:ind w:left="616" w:right="131"/>
        <w:jc w:val="both"/>
      </w:pPr>
      <w:r>
        <w:rPr/>
        <w:t>With</w:t>
      </w:r>
      <w:r>
        <w:rPr>
          <w:spacing w:val="-7"/>
        </w:rPr>
        <w:t> </w:t>
      </w:r>
      <w:r>
        <w:rPr/>
        <w:t>longer-term</w:t>
      </w:r>
      <w:r>
        <w:rPr>
          <w:spacing w:val="-5"/>
        </w:rPr>
        <w:t> </w:t>
      </w:r>
      <w:r>
        <w:rPr/>
        <w:t>use</w:t>
      </w:r>
      <w:r>
        <w:rPr>
          <w:spacing w:val="-6"/>
        </w:rPr>
        <w:t> </w:t>
      </w:r>
      <w:r>
        <w:rPr/>
        <w:t>(six</w:t>
      </w:r>
      <w:r>
        <w:rPr>
          <w:spacing w:val="-7"/>
        </w:rPr>
        <w:t> </w:t>
      </w:r>
      <w:r>
        <w:rPr/>
        <w:t>to</w:t>
      </w:r>
      <w:r>
        <w:rPr>
          <w:spacing w:val="-6"/>
        </w:rPr>
        <w:t> </w:t>
      </w:r>
      <w:r>
        <w:rPr/>
        <w:t>twelve</w:t>
      </w:r>
      <w:r>
        <w:rPr>
          <w:spacing w:val="-6"/>
        </w:rPr>
        <w:t> </w:t>
      </w:r>
      <w:r>
        <w:rPr/>
        <w:t>weeks),</w:t>
      </w:r>
      <w:r>
        <w:rPr>
          <w:spacing w:val="-5"/>
        </w:rPr>
        <w:t> </w:t>
      </w:r>
      <w:r>
        <w:rPr/>
        <w:t>a</w:t>
      </w:r>
      <w:r>
        <w:rPr>
          <w:spacing w:val="-7"/>
        </w:rPr>
        <w:t> </w:t>
      </w:r>
      <w:r>
        <w:rPr/>
        <w:t>relief</w:t>
      </w:r>
      <w:r>
        <w:rPr>
          <w:spacing w:val="-8"/>
        </w:rPr>
        <w:t> </w:t>
      </w:r>
      <w:r>
        <w:rPr/>
        <w:t>of</w:t>
      </w:r>
      <w:r>
        <w:rPr>
          <w:spacing w:val="-6"/>
        </w:rPr>
        <w:t> </w:t>
      </w:r>
      <w:r>
        <w:rPr/>
        <w:t>the</w:t>
      </w:r>
      <w:r>
        <w:rPr>
          <w:spacing w:val="-5"/>
        </w:rPr>
        <w:t> </w:t>
      </w:r>
      <w:r>
        <w:rPr/>
        <w:t>typical</w:t>
      </w:r>
      <w:r>
        <w:rPr>
          <w:spacing w:val="-6"/>
        </w:rPr>
        <w:t> </w:t>
      </w:r>
      <w:r>
        <w:rPr/>
        <w:t>premenstrual symptoms (PMS) is possible. We recommend 1.8 g of EPA and</w:t>
      </w:r>
      <w:r>
        <w:rPr>
          <w:spacing w:val="-14"/>
        </w:rPr>
        <w:t> </w:t>
      </w:r>
      <w:r>
        <w:rPr/>
        <w:t>DHA.</w:t>
      </w:r>
    </w:p>
    <w:p>
      <w:pPr>
        <w:pStyle w:val="Heading2"/>
        <w:spacing w:before="241"/>
        <w:ind w:left="616"/>
      </w:pPr>
      <w:r>
        <w:rPr/>
        <w:t>Effect of omega-3 fatty acids against cancer</w:t>
      </w:r>
    </w:p>
    <w:p>
      <w:pPr>
        <w:pStyle w:val="BodyText"/>
        <w:spacing w:line="276" w:lineRule="auto" w:before="305"/>
        <w:ind w:left="616" w:right="133"/>
        <w:jc w:val="both"/>
      </w:pPr>
      <w:r>
        <w:rPr/>
        <w:t>The immune function is improved and cancer growth is inhibited, particularly in the case of breast cancer, colon cancer and oesophageal cancer. According to a Spanish study, one to two fish meals per week can reduce the risk of can- cer. People who prefer to eat fish, therefore, succumb 50 % less frequently to cancer of the gastrointestinal tract, 30 % less frequently to ovarian cancer and 20 % less frequently to uterine cancer.</w:t>
      </w:r>
      <w:r>
        <w:rPr>
          <w:position w:val="9"/>
          <w:sz w:val="25"/>
        </w:rPr>
        <w:t>625 </w:t>
      </w:r>
      <w:r>
        <w:rPr/>
        <w:t>The death of about half of all de- ceased cancer patients is not directly attributable to damage by the cancer, but to</w:t>
      </w:r>
      <w:r>
        <w:rPr>
          <w:spacing w:val="-17"/>
        </w:rPr>
        <w:t> </w:t>
      </w:r>
      <w:r>
        <w:rPr/>
        <w:t>the</w:t>
      </w:r>
      <w:r>
        <w:rPr>
          <w:spacing w:val="-19"/>
        </w:rPr>
        <w:t> </w:t>
      </w:r>
      <w:r>
        <w:rPr/>
        <w:t>depletion</w:t>
      </w:r>
      <w:r>
        <w:rPr>
          <w:spacing w:val="-20"/>
        </w:rPr>
        <w:t> </w:t>
      </w:r>
      <w:r>
        <w:rPr/>
        <w:t>and</w:t>
      </w:r>
      <w:r>
        <w:rPr>
          <w:spacing w:val="-16"/>
        </w:rPr>
        <w:t> </w:t>
      </w:r>
      <w:r>
        <w:rPr/>
        <w:t>exhaustion</w:t>
      </w:r>
      <w:r>
        <w:rPr>
          <w:spacing w:val="-16"/>
        </w:rPr>
        <w:t> </w:t>
      </w:r>
      <w:r>
        <w:rPr/>
        <w:t>of</w:t>
      </w:r>
      <w:r>
        <w:rPr>
          <w:spacing w:val="-17"/>
        </w:rPr>
        <w:t> </w:t>
      </w:r>
      <w:r>
        <w:rPr/>
        <w:t>the</w:t>
      </w:r>
      <w:r>
        <w:rPr>
          <w:spacing w:val="-18"/>
        </w:rPr>
        <w:t> </w:t>
      </w:r>
      <w:r>
        <w:rPr/>
        <w:t>body,</w:t>
      </w:r>
      <w:r>
        <w:rPr>
          <w:spacing w:val="-17"/>
        </w:rPr>
        <w:t> </w:t>
      </w:r>
      <w:r>
        <w:rPr/>
        <w:t>also</w:t>
      </w:r>
      <w:r>
        <w:rPr>
          <w:spacing w:val="-19"/>
        </w:rPr>
        <w:t> </w:t>
      </w:r>
      <w:r>
        <w:rPr/>
        <w:t>called</w:t>
      </w:r>
      <w:r>
        <w:rPr>
          <w:spacing w:val="-18"/>
        </w:rPr>
        <w:t> </w:t>
      </w:r>
      <w:r>
        <w:rPr/>
        <w:t>'cachexia'.</w:t>
      </w:r>
      <w:r>
        <w:rPr>
          <w:spacing w:val="-16"/>
        </w:rPr>
        <w:t> </w:t>
      </w:r>
      <w:r>
        <w:rPr/>
        <w:t>Studies</w:t>
      </w:r>
      <w:r>
        <w:rPr>
          <w:spacing w:val="-18"/>
        </w:rPr>
        <w:t> </w:t>
      </w:r>
      <w:r>
        <w:rPr/>
        <w:t>have shown</w:t>
      </w:r>
      <w:r>
        <w:rPr>
          <w:spacing w:val="-11"/>
        </w:rPr>
        <w:t> </w:t>
      </w:r>
      <w:r>
        <w:rPr/>
        <w:t>that</w:t>
      </w:r>
      <w:r>
        <w:rPr>
          <w:spacing w:val="-11"/>
        </w:rPr>
        <w:t> </w:t>
      </w:r>
      <w:r>
        <w:rPr/>
        <w:t>EPA</w:t>
      </w:r>
      <w:r>
        <w:rPr>
          <w:spacing w:val="-10"/>
        </w:rPr>
        <w:t> </w:t>
      </w:r>
      <w:r>
        <w:rPr/>
        <w:t>and</w:t>
      </w:r>
      <w:r>
        <w:rPr>
          <w:spacing w:val="-10"/>
        </w:rPr>
        <w:t> </w:t>
      </w:r>
      <w:r>
        <w:rPr/>
        <w:t>DHA</w:t>
      </w:r>
      <w:r>
        <w:rPr>
          <w:spacing w:val="-12"/>
        </w:rPr>
        <w:t> </w:t>
      </w:r>
      <w:r>
        <w:rPr/>
        <w:t>can</w:t>
      </w:r>
      <w:r>
        <w:rPr>
          <w:spacing w:val="-10"/>
        </w:rPr>
        <w:t> </w:t>
      </w:r>
      <w:r>
        <w:rPr/>
        <w:t>significantly</w:t>
      </w:r>
      <w:r>
        <w:rPr>
          <w:spacing w:val="-12"/>
        </w:rPr>
        <w:t> </w:t>
      </w:r>
      <w:r>
        <w:rPr/>
        <w:t>improve</w:t>
      </w:r>
      <w:r>
        <w:rPr>
          <w:spacing w:val="-10"/>
        </w:rPr>
        <w:t> </w:t>
      </w:r>
      <w:r>
        <w:rPr/>
        <w:t>quality</w:t>
      </w:r>
      <w:r>
        <w:rPr>
          <w:spacing w:val="-11"/>
        </w:rPr>
        <w:t> </w:t>
      </w:r>
      <w:r>
        <w:rPr/>
        <w:t>of</w:t>
      </w:r>
      <w:r>
        <w:rPr>
          <w:spacing w:val="-10"/>
        </w:rPr>
        <w:t> </w:t>
      </w:r>
      <w:r>
        <w:rPr/>
        <w:t>life</w:t>
      </w:r>
      <w:r>
        <w:rPr>
          <w:spacing w:val="-10"/>
        </w:rPr>
        <w:t> </w:t>
      </w:r>
      <w:r>
        <w:rPr/>
        <w:t>and</w:t>
      </w:r>
      <w:r>
        <w:rPr>
          <w:spacing w:val="-10"/>
        </w:rPr>
        <w:t> </w:t>
      </w:r>
      <w:r>
        <w:rPr/>
        <w:t>extend</w:t>
      </w:r>
    </w:p>
    <w:p>
      <w:pPr>
        <w:pStyle w:val="BodyText"/>
        <w:rPr>
          <w:sz w:val="20"/>
        </w:rPr>
      </w:pPr>
    </w:p>
    <w:p>
      <w:pPr>
        <w:pStyle w:val="BodyText"/>
        <w:rPr>
          <w:sz w:val="20"/>
        </w:rPr>
      </w:pPr>
    </w:p>
    <w:p>
      <w:pPr>
        <w:pStyle w:val="BodyText"/>
        <w:spacing w:before="10"/>
        <w:rPr>
          <w:sz w:val="17"/>
        </w:rPr>
      </w:pPr>
      <w:r>
        <w:rPr/>
        <w:pict>
          <v:line style="position:absolute;mso-position-horizontal-relative:page;mso-position-vertical-relative:paragraph;z-index:8024;mso-wrap-distance-left:0;mso-wrap-distance-right:0" from="70.823997pt,12.443765pt" to="214.843997pt,12.443765pt" stroked="true" strokeweight=".71997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625 </w:t>
      </w:r>
      <w:r>
        <w:rPr>
          <w:sz w:val="20"/>
        </w:rPr>
        <w:t>Dr. Frank Liebke: Omega-3-Fettsäuren – Gesundheit aus dem Meer ('Omega-3 Fatty Acids – Health from the Sea'), 2001, p. 40</w:t>
      </w:r>
    </w:p>
    <w:p>
      <w:pPr>
        <w:spacing w:after="0"/>
        <w:jc w:val="left"/>
        <w:rPr>
          <w:sz w:val="20"/>
        </w:rPr>
        <w:sectPr>
          <w:pgSz w:w="14270" w:h="16850"/>
          <w:pgMar w:header="0" w:footer="1891" w:top="1340" w:bottom="2080" w:left="800" w:right="1280"/>
        </w:sectPr>
      </w:pPr>
    </w:p>
    <w:p>
      <w:pPr>
        <w:pStyle w:val="BodyText"/>
        <w:spacing w:line="276" w:lineRule="auto" w:before="72"/>
        <w:ind w:left="616"/>
      </w:pPr>
      <w:r>
        <w:rPr/>
        <w:t>life.</w:t>
      </w:r>
      <w:r>
        <w:rPr>
          <w:position w:val="9"/>
          <w:sz w:val="25"/>
        </w:rPr>
        <w:t>626 </w:t>
      </w:r>
      <w:r>
        <w:rPr/>
        <w:t>Approximately 1.8 g of EPA is recommended over a period of six months.</w:t>
      </w:r>
    </w:p>
    <w:p>
      <w:pPr>
        <w:pStyle w:val="Heading1"/>
        <w:spacing w:before="223"/>
        <w:ind w:left="616"/>
      </w:pPr>
      <w:r>
        <w:rPr/>
        <w:t>Effect of omega-3 fatty acids against prostate cancer</w:t>
      </w:r>
    </w:p>
    <w:p>
      <w:pPr>
        <w:pStyle w:val="BodyText"/>
        <w:spacing w:line="276" w:lineRule="auto" w:before="300"/>
        <w:ind w:left="616" w:right="136"/>
        <w:jc w:val="both"/>
        <w:rPr>
          <w:sz w:val="25"/>
        </w:rPr>
      </w:pPr>
      <w:r>
        <w:rPr/>
        <w:t>It has been scientifically proven that regular intake of omega-3 fatty acids re- duces the risk of prostate cancer. In addition, the </w:t>
      </w:r>
      <w:r>
        <w:rPr>
          <w:i/>
        </w:rPr>
        <w:t>Health Foundation </w:t>
      </w:r>
      <w:r>
        <w:rPr/>
        <w:t>recom- mends increasing the amount of omega-3 fatty acids in the diet.</w:t>
      </w:r>
      <w:r>
        <w:rPr>
          <w:position w:val="9"/>
          <w:sz w:val="25"/>
        </w:rPr>
        <w:t>627</w:t>
      </w:r>
    </w:p>
    <w:p>
      <w:pPr>
        <w:pStyle w:val="Heading1"/>
        <w:spacing w:before="222"/>
        <w:ind w:left="616"/>
      </w:pPr>
      <w:r>
        <w:rPr/>
        <w:t>Effect of omega-3 fatty acids against breast cancer</w:t>
      </w:r>
    </w:p>
    <w:p>
      <w:pPr>
        <w:pStyle w:val="BodyText"/>
        <w:spacing w:line="276" w:lineRule="auto" w:before="299"/>
        <w:ind w:left="616" w:right="135"/>
        <w:jc w:val="both"/>
      </w:pPr>
      <w:r>
        <w:rPr/>
        <w:t>In a comparative study of the risk of Japanese and North American women developing breast cancer, a fivefold lower risk of breast cancer was observed in Japanese women, who traditionally consume a lot more omega-3 fatty</w:t>
      </w:r>
      <w:r>
        <w:rPr>
          <w:spacing w:val="-52"/>
        </w:rPr>
        <w:t> </w:t>
      </w:r>
      <w:r>
        <w:rPr/>
        <w:t>acids in their fish-rich diet.</w:t>
      </w:r>
    </w:p>
    <w:p>
      <w:pPr>
        <w:pStyle w:val="Heading1"/>
        <w:ind w:left="616"/>
      </w:pPr>
      <w:r>
        <w:rPr/>
        <w:t>Effect of omega-3 fatty acids which prevent colon cancer</w:t>
      </w:r>
    </w:p>
    <w:p>
      <w:pPr>
        <w:pStyle w:val="BodyText"/>
        <w:spacing w:line="276" w:lineRule="auto" w:before="300"/>
        <w:ind w:left="616" w:right="41"/>
        <w:rPr>
          <w:sz w:val="25"/>
        </w:rPr>
      </w:pPr>
      <w:r>
        <w:rPr/>
        <w:t>The intake of EPA and DHA is also believed to prevent colon cancer, accord- ing to many experts.</w:t>
      </w:r>
      <w:r>
        <w:rPr>
          <w:position w:val="9"/>
          <w:sz w:val="25"/>
        </w:rPr>
        <w:t>628</w:t>
      </w:r>
    </w:p>
    <w:p>
      <w:pPr>
        <w:pStyle w:val="Heading1"/>
        <w:spacing w:before="221"/>
        <w:ind w:left="616"/>
      </w:pPr>
      <w:r>
        <w:rPr/>
        <w:t>Effect of omega-3 fatty acids against skin cancer</w:t>
      </w:r>
    </w:p>
    <w:p>
      <w:pPr>
        <w:pStyle w:val="BodyText"/>
        <w:spacing w:line="276" w:lineRule="auto" w:before="299"/>
        <w:ind w:left="616"/>
        <w:rPr>
          <w:sz w:val="25"/>
        </w:rPr>
      </w:pPr>
      <w:r>
        <w:rPr/>
        <w:t>According to experts, the intake of DHA is particularly effective against skin cancer.</w:t>
      </w:r>
      <w:r>
        <w:rPr>
          <w:position w:val="9"/>
          <w:sz w:val="25"/>
        </w:rPr>
        <w:t>629</w:t>
      </w:r>
    </w:p>
    <w:p>
      <w:pPr>
        <w:pStyle w:val="Heading1"/>
        <w:ind w:left="616"/>
        <w:jc w:val="both"/>
      </w:pPr>
      <w:r>
        <w:rPr/>
        <w:t>Effect of omega-3 fatty acids on multiple sclerosis</w:t>
      </w:r>
    </w:p>
    <w:p>
      <w:pPr>
        <w:pStyle w:val="BodyText"/>
        <w:rPr>
          <w:b/>
          <w:i/>
          <w:sz w:val="20"/>
        </w:rPr>
      </w:pPr>
    </w:p>
    <w:p>
      <w:pPr>
        <w:pStyle w:val="BodyText"/>
        <w:rPr>
          <w:b/>
          <w:i/>
          <w:sz w:val="20"/>
        </w:rPr>
      </w:pPr>
    </w:p>
    <w:p>
      <w:pPr>
        <w:pStyle w:val="BodyText"/>
        <w:spacing w:before="5"/>
        <w:rPr>
          <w:b/>
          <w:i/>
          <w:sz w:val="16"/>
        </w:rPr>
      </w:pPr>
      <w:r>
        <w:rPr/>
        <w:pict>
          <v:line style="position:absolute;mso-position-horizontal-relative:page;mso-position-vertical-relative:paragraph;z-index:8048;mso-wrap-distance-left:0;mso-wrap-distance-right:0" from="70.823997pt,11.623765pt" to="214.843997pt,11.623765pt" stroked="true" strokeweight=".71997pt" strokecolor="#000000">
            <v:stroke dashstyle="solid"/>
            <w10:wrap type="topAndBottom"/>
          </v:line>
        </w:pict>
      </w:r>
    </w:p>
    <w:p>
      <w:pPr>
        <w:pStyle w:val="BodyText"/>
        <w:spacing w:before="7"/>
        <w:rPr>
          <w:b/>
          <w:i/>
          <w:sz w:val="18"/>
        </w:rPr>
      </w:pPr>
    </w:p>
    <w:p>
      <w:pPr>
        <w:spacing w:line="340" w:lineRule="auto" w:before="99"/>
        <w:ind w:left="616" w:right="1457" w:firstLine="0"/>
        <w:jc w:val="both"/>
        <w:rPr>
          <w:sz w:val="20"/>
        </w:rPr>
      </w:pPr>
      <w:r>
        <w:rPr/>
        <w:drawing>
          <wp:anchor distT="0" distB="0" distL="0" distR="0" allowOverlap="1" layoutInCell="1" locked="0" behindDoc="1" simplePos="0" relativeHeight="267175847">
            <wp:simplePos x="0" y="0"/>
            <wp:positionH relativeFrom="page">
              <wp:posOffset>985998</wp:posOffset>
            </wp:positionH>
            <wp:positionV relativeFrom="paragraph">
              <wp:posOffset>550521</wp:posOffset>
            </wp:positionV>
            <wp:extent cx="6379583" cy="902106"/>
            <wp:effectExtent l="0" t="0" r="0" b="0"/>
            <wp:wrapNone/>
            <wp:docPr id="405" name="image2.jpeg" descr=""/>
            <wp:cNvGraphicFramePr>
              <a:graphicFrameLocks noChangeAspect="1"/>
            </wp:cNvGraphicFramePr>
            <a:graphic>
              <a:graphicData uri="http://schemas.openxmlformats.org/drawingml/2006/picture">
                <pic:pic>
                  <pic:nvPicPr>
                    <pic:cNvPr id="406"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626 </w:t>
      </w:r>
      <w:r>
        <w:rPr>
          <w:sz w:val="20"/>
        </w:rPr>
        <w:t>Dr. Frank Liebke: Omega-3-Fettsäuren – Gesundheit aus dem Meer ('Omega-3 Fatty Acids – Health from the Sea'), 2001, p. 40 </w:t>
      </w:r>
      <w:r>
        <w:rPr>
          <w:position w:val="5"/>
          <w:sz w:val="13"/>
        </w:rPr>
        <w:t>627 </w:t>
      </w:r>
      <w:r>
        <w:rPr>
          <w:sz w:val="20"/>
        </w:rPr>
        <w:t>Dr. Frank Liebke: Omega-3-Fettsäuren – Gesundheit aus dem Meer ('Omega-3 Fatty Acids – Health from the Sea'), 2001, p. 42 </w:t>
      </w:r>
      <w:r>
        <w:rPr>
          <w:position w:val="5"/>
          <w:sz w:val="13"/>
        </w:rPr>
        <w:t>628 </w:t>
      </w:r>
      <w:r>
        <w:rPr>
          <w:sz w:val="20"/>
        </w:rPr>
        <w:t>Dr. Frank Liebke: Omega-3-Fettsäuren – Gesundheit aus dem Meer ('Omega-3 Fatty Acids – Health from the Sea'), 2001, p. 42 </w:t>
      </w:r>
      <w:r>
        <w:rPr>
          <w:position w:val="5"/>
          <w:sz w:val="13"/>
        </w:rPr>
        <w:t>629 </w:t>
      </w:r>
      <w:r>
        <w:rPr>
          <w:sz w:val="20"/>
        </w:rPr>
        <w:t>Dr. Frank Liebke: Omega-3-Fettsäuren – Gesundheit aus dem Meer ('Omega-3 Fatty Acids – Health from the Sea'), 2001, p. 42</w:t>
      </w:r>
    </w:p>
    <w:p>
      <w:pPr>
        <w:spacing w:after="0" w:line="340" w:lineRule="auto"/>
        <w:jc w:val="both"/>
        <w:rPr>
          <w:sz w:val="20"/>
        </w:rPr>
        <w:sectPr>
          <w:footerReference w:type="default" r:id="rId264"/>
          <w:pgSz w:w="14270" w:h="16850"/>
          <w:pgMar w:footer="527" w:header="0" w:top="1340" w:bottom="720" w:left="800" w:right="1280"/>
          <w:pgNumType w:start="1084"/>
        </w:sectPr>
      </w:pPr>
    </w:p>
    <w:p>
      <w:pPr>
        <w:pStyle w:val="BodyText"/>
        <w:spacing w:line="276" w:lineRule="auto" w:before="72"/>
        <w:ind w:left="616" w:right="131"/>
        <w:jc w:val="both"/>
      </w:pPr>
      <w:r>
        <w:rPr/>
        <w:t>The</w:t>
      </w:r>
      <w:r>
        <w:rPr>
          <w:spacing w:val="-6"/>
        </w:rPr>
        <w:t> </w:t>
      </w:r>
      <w:r>
        <w:rPr/>
        <w:t>break-out</w:t>
      </w:r>
      <w:r>
        <w:rPr>
          <w:spacing w:val="-8"/>
        </w:rPr>
        <w:t> </w:t>
      </w:r>
      <w:r>
        <w:rPr/>
        <w:t>intervals</w:t>
      </w:r>
      <w:r>
        <w:rPr>
          <w:spacing w:val="-7"/>
        </w:rPr>
        <w:t> </w:t>
      </w:r>
      <w:r>
        <w:rPr/>
        <w:t>are</w:t>
      </w:r>
      <w:r>
        <w:rPr>
          <w:spacing w:val="-7"/>
        </w:rPr>
        <w:t> </w:t>
      </w:r>
      <w:r>
        <w:rPr/>
        <w:t>reduced,</w:t>
      </w:r>
      <w:r>
        <w:rPr>
          <w:spacing w:val="-7"/>
        </w:rPr>
        <w:t> </w:t>
      </w:r>
      <w:r>
        <w:rPr/>
        <w:t>and</w:t>
      </w:r>
      <w:r>
        <w:rPr>
          <w:spacing w:val="-7"/>
        </w:rPr>
        <w:t> </w:t>
      </w:r>
      <w:r>
        <w:rPr/>
        <w:t>especially</w:t>
      </w:r>
      <w:r>
        <w:rPr>
          <w:spacing w:val="-8"/>
        </w:rPr>
        <w:t> </w:t>
      </w:r>
      <w:r>
        <w:rPr/>
        <w:t>at</w:t>
      </w:r>
      <w:r>
        <w:rPr>
          <w:spacing w:val="-8"/>
        </w:rPr>
        <w:t> </w:t>
      </w:r>
      <w:r>
        <w:rPr/>
        <w:t>the</w:t>
      </w:r>
      <w:r>
        <w:rPr>
          <w:spacing w:val="-6"/>
        </w:rPr>
        <w:t> </w:t>
      </w:r>
      <w:r>
        <w:rPr/>
        <w:t>beginning</w:t>
      </w:r>
      <w:r>
        <w:rPr>
          <w:spacing w:val="-6"/>
        </w:rPr>
        <w:t> </w:t>
      </w:r>
      <w:r>
        <w:rPr/>
        <w:t>of</w:t>
      </w:r>
      <w:r>
        <w:rPr>
          <w:spacing w:val="-7"/>
        </w:rPr>
        <w:t> </w:t>
      </w:r>
      <w:r>
        <w:rPr/>
        <w:t>the</w:t>
      </w:r>
      <w:r>
        <w:rPr>
          <w:spacing w:val="-6"/>
        </w:rPr>
        <w:t> </w:t>
      </w:r>
      <w:r>
        <w:rPr/>
        <w:t>dis- ease, the increase in omega-3 fatty acid content and the reduction in omega-6 fatty acid content have a positive effect on the further course of the disease. Ingestion according to </w:t>
      </w:r>
      <w:r>
        <w:rPr>
          <w:i/>
        </w:rPr>
        <w:t>DACH</w:t>
      </w:r>
      <w:r>
        <w:rPr>
          <w:i/>
          <w:spacing w:val="4"/>
        </w:rPr>
        <w:t> </w:t>
      </w:r>
      <w:r>
        <w:rPr/>
        <w:t>recommendation.</w:t>
      </w:r>
    </w:p>
    <w:p>
      <w:pPr>
        <w:pStyle w:val="Heading1"/>
        <w:spacing w:line="261" w:lineRule="auto"/>
        <w:ind w:left="616" w:right="136"/>
        <w:jc w:val="both"/>
      </w:pPr>
      <w:r>
        <w:rPr/>
        <w:t>Omega-3</w:t>
      </w:r>
      <w:r>
        <w:rPr>
          <w:spacing w:val="-44"/>
        </w:rPr>
        <w:t> </w:t>
      </w:r>
      <w:r>
        <w:rPr/>
        <w:t>fatty</w:t>
      </w:r>
      <w:r>
        <w:rPr>
          <w:spacing w:val="-44"/>
        </w:rPr>
        <w:t> </w:t>
      </w:r>
      <w:r>
        <w:rPr/>
        <w:t>acids</w:t>
      </w:r>
      <w:r>
        <w:rPr>
          <w:spacing w:val="-44"/>
        </w:rPr>
        <w:t> </w:t>
      </w:r>
      <w:r>
        <w:rPr/>
        <w:t>are</w:t>
      </w:r>
      <w:r>
        <w:rPr>
          <w:spacing w:val="-44"/>
        </w:rPr>
        <w:t> </w:t>
      </w:r>
      <w:r>
        <w:rPr/>
        <w:t>effective</w:t>
      </w:r>
      <w:r>
        <w:rPr>
          <w:spacing w:val="-44"/>
        </w:rPr>
        <w:t> </w:t>
      </w:r>
      <w:r>
        <w:rPr/>
        <w:t>against</w:t>
      </w:r>
      <w:r>
        <w:rPr>
          <w:spacing w:val="-44"/>
        </w:rPr>
        <w:t> </w:t>
      </w:r>
      <w:r>
        <w:rPr/>
        <w:t>bronchitis,</w:t>
      </w:r>
      <w:r>
        <w:rPr>
          <w:spacing w:val="-44"/>
        </w:rPr>
        <w:t> </w:t>
      </w:r>
      <w:r>
        <w:rPr/>
        <w:t>asthma</w:t>
      </w:r>
      <w:r>
        <w:rPr>
          <w:spacing w:val="-43"/>
        </w:rPr>
        <w:t> </w:t>
      </w:r>
      <w:r>
        <w:rPr/>
        <w:t>and</w:t>
      </w:r>
      <w:r>
        <w:rPr>
          <w:spacing w:val="-44"/>
        </w:rPr>
        <w:t> </w:t>
      </w:r>
      <w:r>
        <w:rPr/>
        <w:t>other respiratory</w:t>
      </w:r>
      <w:r>
        <w:rPr>
          <w:spacing w:val="-7"/>
        </w:rPr>
        <w:t> </w:t>
      </w:r>
      <w:r>
        <w:rPr/>
        <w:t>problems</w:t>
      </w:r>
    </w:p>
    <w:p>
      <w:pPr>
        <w:pStyle w:val="BodyText"/>
        <w:spacing w:line="276" w:lineRule="auto" w:before="259"/>
        <w:ind w:left="616" w:right="133"/>
        <w:jc w:val="both"/>
      </w:pPr>
      <w:r>
        <w:rPr/>
        <w:t>The</w:t>
      </w:r>
      <w:r>
        <w:rPr>
          <w:spacing w:val="-7"/>
        </w:rPr>
        <w:t> </w:t>
      </w:r>
      <w:r>
        <w:rPr/>
        <w:t>lung</w:t>
      </w:r>
      <w:r>
        <w:rPr>
          <w:spacing w:val="-7"/>
        </w:rPr>
        <w:t> </w:t>
      </w:r>
      <w:r>
        <w:rPr/>
        <w:t>mucus</w:t>
      </w:r>
      <w:r>
        <w:rPr>
          <w:spacing w:val="-7"/>
        </w:rPr>
        <w:t> </w:t>
      </w:r>
      <w:r>
        <w:rPr/>
        <w:t>of</w:t>
      </w:r>
      <w:r>
        <w:rPr>
          <w:spacing w:val="-8"/>
        </w:rPr>
        <w:t> </w:t>
      </w:r>
      <w:r>
        <w:rPr/>
        <w:t>asthma</w:t>
      </w:r>
      <w:r>
        <w:rPr>
          <w:spacing w:val="-8"/>
        </w:rPr>
        <w:t> </w:t>
      </w:r>
      <w:r>
        <w:rPr/>
        <w:t>sufferers</w:t>
      </w:r>
      <w:r>
        <w:rPr>
          <w:spacing w:val="-7"/>
        </w:rPr>
        <w:t> </w:t>
      </w:r>
      <w:r>
        <w:rPr/>
        <w:t>has</w:t>
      </w:r>
      <w:r>
        <w:rPr>
          <w:spacing w:val="-6"/>
        </w:rPr>
        <w:t> </w:t>
      </w:r>
      <w:r>
        <w:rPr/>
        <w:t>a</w:t>
      </w:r>
      <w:r>
        <w:rPr>
          <w:spacing w:val="-9"/>
        </w:rPr>
        <w:t> </w:t>
      </w:r>
      <w:r>
        <w:rPr/>
        <w:t>disproportionate</w:t>
      </w:r>
      <w:r>
        <w:rPr>
          <w:spacing w:val="-7"/>
        </w:rPr>
        <w:t> </w:t>
      </w:r>
      <w:r>
        <w:rPr/>
        <w:t>amount</w:t>
      </w:r>
      <w:r>
        <w:rPr>
          <w:spacing w:val="-8"/>
        </w:rPr>
        <w:t> </w:t>
      </w:r>
      <w:r>
        <w:rPr/>
        <w:t>of</w:t>
      </w:r>
      <w:r>
        <w:rPr>
          <w:spacing w:val="-7"/>
        </w:rPr>
        <w:t> </w:t>
      </w:r>
      <w:r>
        <w:rPr/>
        <w:t>inflam- matory messengers, which are formed from the arachidonic acid of omega-6 fatty acids. Omega-3 fatty acids are considered to be antagonists to omega-6 fatty acids, and correcting the mismatch with additional omega-3 fatty acids therefore improves respiratory distress. According to </w:t>
      </w:r>
      <w:r>
        <w:rPr>
          <w:i/>
        </w:rPr>
        <w:t>Critical Care Medicine</w:t>
      </w:r>
      <w:r>
        <w:rPr/>
        <w:t>, a respected American journal, omega-3 fatty acids have a decisive effect in ex- treme cases of breathing difficulty.</w:t>
      </w:r>
    </w:p>
    <w:p>
      <w:pPr>
        <w:pStyle w:val="Heading1"/>
        <w:spacing w:before="223"/>
        <w:ind w:left="616"/>
      </w:pPr>
      <w:r>
        <w:rPr>
          <w:w w:val="95"/>
        </w:rPr>
        <w:t>Omega-3 fatty acids relieve</w:t>
      </w:r>
      <w:r>
        <w:rPr>
          <w:spacing w:val="-8"/>
          <w:w w:val="95"/>
        </w:rPr>
        <w:t> </w:t>
      </w:r>
      <w:r>
        <w:rPr>
          <w:w w:val="95"/>
        </w:rPr>
        <w:t>pain</w:t>
      </w:r>
    </w:p>
    <w:p>
      <w:pPr>
        <w:pStyle w:val="BodyText"/>
        <w:spacing w:line="276" w:lineRule="auto" w:before="299"/>
        <w:ind w:left="616" w:right="135"/>
        <w:jc w:val="both"/>
      </w:pPr>
      <w:r>
        <w:rPr/>
        <w:t>Eicosanoids are among the representatives of omega-6 fatty acids and also act as</w:t>
      </w:r>
      <w:r>
        <w:rPr>
          <w:spacing w:val="-11"/>
        </w:rPr>
        <w:t> </w:t>
      </w:r>
      <w:r>
        <w:rPr/>
        <w:t>pain</w:t>
      </w:r>
      <w:r>
        <w:rPr>
          <w:spacing w:val="-9"/>
        </w:rPr>
        <w:t> </w:t>
      </w:r>
      <w:r>
        <w:rPr/>
        <w:t>mediators.</w:t>
      </w:r>
      <w:r>
        <w:rPr>
          <w:spacing w:val="-8"/>
        </w:rPr>
        <w:t> </w:t>
      </w:r>
      <w:r>
        <w:rPr/>
        <w:t>They</w:t>
      </w:r>
      <w:r>
        <w:rPr>
          <w:spacing w:val="-11"/>
        </w:rPr>
        <w:t> </w:t>
      </w:r>
      <w:r>
        <w:rPr/>
        <w:t>sensitise</w:t>
      </w:r>
      <w:r>
        <w:rPr>
          <w:spacing w:val="-15"/>
        </w:rPr>
        <w:t> </w:t>
      </w:r>
      <w:r>
        <w:rPr/>
        <w:t>us</w:t>
      </w:r>
      <w:r>
        <w:rPr>
          <w:spacing w:val="-10"/>
        </w:rPr>
        <w:t> </w:t>
      </w:r>
      <w:r>
        <w:rPr/>
        <w:t>to</w:t>
      </w:r>
      <w:r>
        <w:rPr>
          <w:spacing w:val="-9"/>
        </w:rPr>
        <w:t> </w:t>
      </w:r>
      <w:r>
        <w:rPr/>
        <w:t>mechanical,</w:t>
      </w:r>
      <w:r>
        <w:rPr>
          <w:spacing w:val="-9"/>
        </w:rPr>
        <w:t> </w:t>
      </w:r>
      <w:r>
        <w:rPr/>
        <w:t>chemical</w:t>
      </w:r>
      <w:r>
        <w:rPr>
          <w:spacing w:val="-10"/>
        </w:rPr>
        <w:t> </w:t>
      </w:r>
      <w:r>
        <w:rPr/>
        <w:t>and</w:t>
      </w:r>
      <w:r>
        <w:rPr>
          <w:spacing w:val="-9"/>
        </w:rPr>
        <w:t> </w:t>
      </w:r>
      <w:r>
        <w:rPr/>
        <w:t>thermal</w:t>
      </w:r>
      <w:r>
        <w:rPr>
          <w:spacing w:val="-11"/>
        </w:rPr>
        <w:t> </w:t>
      </w:r>
      <w:r>
        <w:rPr/>
        <w:t>stim- uli, lowering the pain threshold. Omega-3 fatty acids, which are known to counteract omega-6 fatty acids, can help prevent this lowering of the pain threshold. In addition, omega-3 fatty acids inhibit the development of inflam- matory pain mediators in the</w:t>
      </w:r>
      <w:r>
        <w:rPr>
          <w:spacing w:val="4"/>
        </w:rPr>
        <w:t> </w:t>
      </w:r>
      <w:r>
        <w:rPr/>
        <w:t>body.</w:t>
      </w:r>
    </w:p>
    <w:p>
      <w:pPr>
        <w:pStyle w:val="BodyText"/>
        <w:spacing w:before="241"/>
        <w:ind w:left="616"/>
        <w:jc w:val="both"/>
      </w:pPr>
      <w:r>
        <w:rPr/>
        <w:t>Omega-3 fatty acids vs. drugs</w:t>
      </w:r>
    </w:p>
    <w:p>
      <w:pPr>
        <w:spacing w:after="0"/>
        <w:jc w:val="both"/>
        <w:sectPr>
          <w:footerReference w:type="default" r:id="rId265"/>
          <w:pgSz w:w="14270" w:h="16850"/>
          <w:pgMar w:footer="1891" w:header="0" w:top="1340" w:bottom="2080" w:left="800" w:right="1280"/>
          <w:pgNumType w:start="1085"/>
        </w:sectPr>
      </w:pPr>
    </w:p>
    <w:p>
      <w:pPr>
        <w:pStyle w:val="Heading1"/>
        <w:spacing w:before="75"/>
        <w:ind w:left="616"/>
      </w:pPr>
      <w:r>
        <w:rPr/>
        <w:t>Isolated effect of drugs</w:t>
      </w:r>
    </w:p>
    <w:p>
      <w:pPr>
        <w:pStyle w:val="BodyText"/>
        <w:spacing w:line="276" w:lineRule="auto" w:before="299"/>
        <w:ind w:left="616" w:right="131"/>
        <w:jc w:val="both"/>
      </w:pPr>
      <w:r>
        <w:rPr/>
        <w:t>The crucial difference between conventional medicine, the conservative form of treatment, and naturopathic medicine, is that conventional medicine uses drugs that almost exclusively fight just the symptoms and not the causes. This results in a specific effect of the conventional drugs, which, for example, only fight high cholesterol or high blood pressure. Among these are, for example, statins</w:t>
      </w:r>
      <w:r>
        <w:rPr>
          <w:spacing w:val="-21"/>
        </w:rPr>
        <w:t> </w:t>
      </w:r>
      <w:r>
        <w:rPr/>
        <w:t>that</w:t>
      </w:r>
      <w:r>
        <w:rPr>
          <w:spacing w:val="-20"/>
        </w:rPr>
        <w:t> </w:t>
      </w:r>
      <w:r>
        <w:rPr/>
        <w:t>have</w:t>
      </w:r>
      <w:r>
        <w:rPr>
          <w:spacing w:val="-18"/>
        </w:rPr>
        <w:t> </w:t>
      </w:r>
      <w:r>
        <w:rPr/>
        <w:t>the</w:t>
      </w:r>
      <w:r>
        <w:rPr>
          <w:spacing w:val="-20"/>
        </w:rPr>
        <w:t> </w:t>
      </w:r>
      <w:r>
        <w:rPr/>
        <w:t>goal</w:t>
      </w:r>
      <w:r>
        <w:rPr>
          <w:spacing w:val="-22"/>
        </w:rPr>
        <w:t> </w:t>
      </w:r>
      <w:r>
        <w:rPr/>
        <w:t>of</w:t>
      </w:r>
      <w:r>
        <w:rPr>
          <w:spacing w:val="-20"/>
        </w:rPr>
        <w:t> </w:t>
      </w:r>
      <w:r>
        <w:rPr/>
        <w:t>lowering</w:t>
      </w:r>
      <w:r>
        <w:rPr>
          <w:spacing w:val="-21"/>
        </w:rPr>
        <w:t> </w:t>
      </w:r>
      <w:r>
        <w:rPr/>
        <w:t>the</w:t>
      </w:r>
      <w:r>
        <w:rPr>
          <w:spacing w:val="-19"/>
        </w:rPr>
        <w:t> </w:t>
      </w:r>
      <w:r>
        <w:rPr/>
        <w:t>high</w:t>
      </w:r>
      <w:r>
        <w:rPr>
          <w:spacing w:val="-19"/>
        </w:rPr>
        <w:t> </w:t>
      </w:r>
      <w:r>
        <w:rPr/>
        <w:t>cholesterol,</w:t>
      </w:r>
      <w:r>
        <w:rPr>
          <w:spacing w:val="-21"/>
        </w:rPr>
        <w:t> </w:t>
      </w:r>
      <w:r>
        <w:rPr/>
        <w:t>or</w:t>
      </w:r>
      <w:r>
        <w:rPr>
          <w:spacing w:val="-19"/>
        </w:rPr>
        <w:t> </w:t>
      </w:r>
      <w:r>
        <w:rPr/>
        <w:t>beta-blockers</w:t>
      </w:r>
      <w:r>
        <w:rPr>
          <w:spacing w:val="-20"/>
        </w:rPr>
        <w:t> </w:t>
      </w:r>
      <w:r>
        <w:rPr/>
        <w:t>that are designed to lower high blood</w:t>
      </w:r>
      <w:r>
        <w:rPr>
          <w:spacing w:val="1"/>
        </w:rPr>
        <w:t> </w:t>
      </w:r>
      <w:r>
        <w:rPr/>
        <w:t>pressure.</w:t>
      </w:r>
    </w:p>
    <w:p>
      <w:pPr>
        <w:pStyle w:val="Heading1"/>
        <w:spacing w:before="226"/>
        <w:ind w:left="616"/>
      </w:pPr>
      <w:r>
        <w:rPr/>
        <w:t>Side effects of drugs</w:t>
      </w:r>
    </w:p>
    <w:p>
      <w:pPr>
        <w:pStyle w:val="BodyText"/>
        <w:spacing w:line="276" w:lineRule="auto" w:before="297"/>
        <w:ind w:left="616" w:right="143"/>
        <w:jc w:val="both"/>
      </w:pPr>
      <w:r>
        <w:rPr/>
        <w:t>Unfortunately, while statins fight high cholesterol quite successfully, they also unfortunately increase the risk of, and may lead to, liver and kidney failure, probably also to oesophageal cancer.</w:t>
      </w:r>
    </w:p>
    <w:p>
      <w:pPr>
        <w:pStyle w:val="Heading1"/>
        <w:ind w:left="616"/>
      </w:pPr>
      <w:r>
        <w:rPr/>
        <w:t>Overall effect of omega-3 fatty acids</w:t>
      </w:r>
    </w:p>
    <w:p>
      <w:pPr>
        <w:pStyle w:val="BodyText"/>
        <w:spacing w:line="276" w:lineRule="auto" w:before="299"/>
        <w:ind w:left="616" w:right="131"/>
        <w:jc w:val="both"/>
      </w:pPr>
      <w:r>
        <w:rPr/>
        <w:t>Thus, while conventional medicines have a specific effect, but, at the same time,</w:t>
      </w:r>
      <w:r>
        <w:rPr>
          <w:spacing w:val="-13"/>
        </w:rPr>
        <w:t> </w:t>
      </w:r>
      <w:r>
        <w:rPr/>
        <w:t>cause</w:t>
      </w:r>
      <w:r>
        <w:rPr>
          <w:spacing w:val="-14"/>
        </w:rPr>
        <w:t> </w:t>
      </w:r>
      <w:r>
        <w:rPr/>
        <w:t>nonspecific</w:t>
      </w:r>
      <w:r>
        <w:rPr>
          <w:spacing w:val="-15"/>
        </w:rPr>
        <w:t> </w:t>
      </w:r>
      <w:r>
        <w:rPr/>
        <w:t>and</w:t>
      </w:r>
      <w:r>
        <w:rPr>
          <w:spacing w:val="-14"/>
        </w:rPr>
        <w:t> </w:t>
      </w:r>
      <w:r>
        <w:rPr/>
        <w:t>very</w:t>
      </w:r>
      <w:r>
        <w:rPr>
          <w:spacing w:val="-13"/>
        </w:rPr>
        <w:t> </w:t>
      </w:r>
      <w:r>
        <w:rPr/>
        <w:t>general</w:t>
      </w:r>
      <w:r>
        <w:rPr>
          <w:spacing w:val="-16"/>
        </w:rPr>
        <w:t> </w:t>
      </w:r>
      <w:r>
        <w:rPr/>
        <w:t>damage</w:t>
      </w:r>
      <w:r>
        <w:rPr>
          <w:spacing w:val="-14"/>
        </w:rPr>
        <w:t> </w:t>
      </w:r>
      <w:r>
        <w:rPr/>
        <w:t>to</w:t>
      </w:r>
      <w:r>
        <w:rPr>
          <w:spacing w:val="-13"/>
        </w:rPr>
        <w:t> </w:t>
      </w:r>
      <w:r>
        <w:rPr/>
        <w:t>our</w:t>
      </w:r>
      <w:r>
        <w:rPr>
          <w:spacing w:val="-14"/>
        </w:rPr>
        <w:t> </w:t>
      </w:r>
      <w:r>
        <w:rPr/>
        <w:t>organism,</w:t>
      </w:r>
      <w:r>
        <w:rPr>
          <w:spacing w:val="-15"/>
        </w:rPr>
        <w:t> </w:t>
      </w:r>
      <w:r>
        <w:rPr/>
        <w:t>natural</w:t>
      </w:r>
      <w:r>
        <w:rPr>
          <w:spacing w:val="-15"/>
        </w:rPr>
        <w:t> </w:t>
      </w:r>
      <w:r>
        <w:rPr/>
        <w:t>rem- edies</w:t>
      </w:r>
      <w:r>
        <w:rPr>
          <w:spacing w:val="-11"/>
        </w:rPr>
        <w:t> </w:t>
      </w:r>
      <w:r>
        <w:rPr/>
        <w:t>work</w:t>
      </w:r>
      <w:r>
        <w:rPr>
          <w:spacing w:val="-10"/>
        </w:rPr>
        <w:t> </w:t>
      </w:r>
      <w:r>
        <w:rPr/>
        <w:t>across</w:t>
      </w:r>
      <w:r>
        <w:rPr>
          <w:spacing w:val="-11"/>
        </w:rPr>
        <w:t> </w:t>
      </w:r>
      <w:r>
        <w:rPr/>
        <w:t>the</w:t>
      </w:r>
      <w:r>
        <w:rPr>
          <w:spacing w:val="-12"/>
        </w:rPr>
        <w:t> </w:t>
      </w:r>
      <w:r>
        <w:rPr/>
        <w:t>board,</w:t>
      </w:r>
      <w:r>
        <w:rPr>
          <w:spacing w:val="-11"/>
        </w:rPr>
        <w:t> </w:t>
      </w:r>
      <w:r>
        <w:rPr/>
        <w:t>without</w:t>
      </w:r>
      <w:r>
        <w:rPr>
          <w:spacing w:val="-12"/>
        </w:rPr>
        <w:t> </w:t>
      </w:r>
      <w:r>
        <w:rPr/>
        <w:t>the</w:t>
      </w:r>
      <w:r>
        <w:rPr>
          <w:spacing w:val="-11"/>
        </w:rPr>
        <w:t> </w:t>
      </w:r>
      <w:r>
        <w:rPr/>
        <w:t>risk</w:t>
      </w:r>
      <w:r>
        <w:rPr>
          <w:spacing w:val="-11"/>
        </w:rPr>
        <w:t> </w:t>
      </w:r>
      <w:r>
        <w:rPr/>
        <w:t>of</w:t>
      </w:r>
      <w:r>
        <w:rPr>
          <w:spacing w:val="-14"/>
        </w:rPr>
        <w:t> </w:t>
      </w:r>
      <w:r>
        <w:rPr/>
        <w:t>side</w:t>
      </w:r>
      <w:r>
        <w:rPr>
          <w:spacing w:val="-11"/>
        </w:rPr>
        <w:t> </w:t>
      </w:r>
      <w:r>
        <w:rPr/>
        <w:t>effects,</w:t>
      </w:r>
      <w:r>
        <w:rPr>
          <w:spacing w:val="-10"/>
        </w:rPr>
        <w:t> </w:t>
      </w:r>
      <w:r>
        <w:rPr/>
        <w:t>or</w:t>
      </w:r>
      <w:r>
        <w:rPr>
          <w:spacing w:val="-11"/>
        </w:rPr>
        <w:t> </w:t>
      </w:r>
      <w:r>
        <w:rPr/>
        <w:t>with</w:t>
      </w:r>
      <w:r>
        <w:rPr>
          <w:spacing w:val="-11"/>
        </w:rPr>
        <w:t> </w:t>
      </w:r>
      <w:r>
        <w:rPr/>
        <w:t>a</w:t>
      </w:r>
      <w:r>
        <w:rPr>
          <w:spacing w:val="-12"/>
        </w:rPr>
        <w:t> </w:t>
      </w:r>
      <w:r>
        <w:rPr/>
        <w:t>very</w:t>
      </w:r>
      <w:r>
        <w:rPr>
          <w:spacing w:val="-11"/>
        </w:rPr>
        <w:t> </w:t>
      </w:r>
      <w:r>
        <w:rPr/>
        <w:t>low one.</w:t>
      </w:r>
    </w:p>
    <w:p>
      <w:pPr>
        <w:pStyle w:val="BodyText"/>
        <w:spacing w:line="276" w:lineRule="auto" w:before="239"/>
        <w:ind w:left="616" w:right="135"/>
        <w:jc w:val="both"/>
      </w:pPr>
      <w:r>
        <w:rPr/>
        <w:t>With regard to the cardiovascular system, especially for omega-3 fatty acids, the</w:t>
      </w:r>
      <w:r>
        <w:rPr>
          <w:spacing w:val="-6"/>
        </w:rPr>
        <w:t> </w:t>
      </w:r>
      <w:r>
        <w:rPr/>
        <w:t>omega-3</w:t>
      </w:r>
      <w:r>
        <w:rPr>
          <w:spacing w:val="-7"/>
        </w:rPr>
        <w:t> </w:t>
      </w:r>
      <w:r>
        <w:rPr/>
        <w:t>fatty</w:t>
      </w:r>
      <w:r>
        <w:rPr>
          <w:spacing w:val="-8"/>
        </w:rPr>
        <w:t> </w:t>
      </w:r>
      <w:r>
        <w:rPr/>
        <w:t>acids</w:t>
      </w:r>
      <w:r>
        <w:rPr>
          <w:spacing w:val="-6"/>
        </w:rPr>
        <w:t> </w:t>
      </w:r>
      <w:r>
        <w:rPr/>
        <w:t>have</w:t>
      </w:r>
      <w:r>
        <w:rPr>
          <w:spacing w:val="-7"/>
        </w:rPr>
        <w:t> </w:t>
      </w:r>
      <w:r>
        <w:rPr/>
        <w:t>a</w:t>
      </w:r>
      <w:r>
        <w:rPr>
          <w:spacing w:val="-10"/>
        </w:rPr>
        <w:t> </w:t>
      </w:r>
      <w:r>
        <w:rPr/>
        <w:t>wide</w:t>
      </w:r>
      <w:r>
        <w:rPr>
          <w:spacing w:val="-7"/>
        </w:rPr>
        <w:t> </w:t>
      </w:r>
      <w:r>
        <w:rPr/>
        <w:t>range</w:t>
      </w:r>
      <w:r>
        <w:rPr>
          <w:spacing w:val="-8"/>
        </w:rPr>
        <w:t> </w:t>
      </w:r>
      <w:r>
        <w:rPr/>
        <w:t>of</w:t>
      </w:r>
      <w:r>
        <w:rPr>
          <w:spacing w:val="-7"/>
        </w:rPr>
        <w:t> </w:t>
      </w:r>
      <w:r>
        <w:rPr/>
        <w:t>effects</w:t>
      </w:r>
      <w:r>
        <w:rPr>
          <w:spacing w:val="-6"/>
        </w:rPr>
        <w:t> </w:t>
      </w:r>
      <w:r>
        <w:rPr/>
        <w:t>on</w:t>
      </w:r>
      <w:r>
        <w:rPr>
          <w:spacing w:val="-8"/>
        </w:rPr>
        <w:t> </w:t>
      </w:r>
      <w:r>
        <w:rPr/>
        <w:t>the</w:t>
      </w:r>
      <w:r>
        <w:rPr>
          <w:spacing w:val="-7"/>
        </w:rPr>
        <w:t> </w:t>
      </w:r>
      <w:r>
        <w:rPr/>
        <w:t>entire</w:t>
      </w:r>
      <w:r>
        <w:rPr>
          <w:spacing w:val="-9"/>
        </w:rPr>
        <w:t> </w:t>
      </w:r>
      <w:r>
        <w:rPr/>
        <w:t>cardiovascu- lar system and</w:t>
      </w:r>
    </w:p>
    <w:p>
      <w:pPr>
        <w:pStyle w:val="ListParagraph"/>
        <w:numPr>
          <w:ilvl w:val="0"/>
          <w:numId w:val="80"/>
        </w:numPr>
        <w:tabs>
          <w:tab w:pos="1032" w:val="left" w:leader="none"/>
        </w:tabs>
        <w:spacing w:line="240" w:lineRule="auto" w:before="203" w:after="0"/>
        <w:ind w:left="1036" w:right="0" w:hanging="420"/>
        <w:jc w:val="both"/>
        <w:rPr>
          <w:sz w:val="38"/>
        </w:rPr>
      </w:pPr>
      <w:r>
        <w:rPr>
          <w:sz w:val="38"/>
        </w:rPr>
        <w:t>reduce the risk of heart</w:t>
      </w:r>
      <w:r>
        <w:rPr>
          <w:spacing w:val="-6"/>
          <w:sz w:val="38"/>
        </w:rPr>
        <w:t> </w:t>
      </w:r>
      <w:r>
        <w:rPr>
          <w:sz w:val="38"/>
        </w:rPr>
        <w:t>attacks,</w:t>
      </w:r>
    </w:p>
    <w:p>
      <w:pPr>
        <w:spacing w:after="0" w:line="240" w:lineRule="auto"/>
        <w:jc w:val="both"/>
        <w:rPr>
          <w:sz w:val="38"/>
        </w:rPr>
        <w:sectPr>
          <w:pgSz w:w="14270" w:h="16850"/>
          <w:pgMar w:header="0" w:footer="1891" w:top="1320" w:bottom="2080" w:left="800" w:right="1280"/>
        </w:sectPr>
      </w:pPr>
    </w:p>
    <w:p>
      <w:pPr>
        <w:pStyle w:val="ListParagraph"/>
        <w:numPr>
          <w:ilvl w:val="0"/>
          <w:numId w:val="80"/>
        </w:numPr>
        <w:tabs>
          <w:tab w:pos="1032" w:val="left" w:leader="none"/>
        </w:tabs>
        <w:spacing w:line="240" w:lineRule="auto" w:before="53" w:after="0"/>
        <w:ind w:left="1036" w:right="0" w:hanging="420"/>
        <w:jc w:val="both"/>
        <w:rPr>
          <w:sz w:val="38"/>
        </w:rPr>
      </w:pPr>
      <w:r>
        <w:rPr>
          <w:sz w:val="38"/>
        </w:rPr>
        <w:t>reduce the risk of</w:t>
      </w:r>
      <w:r>
        <w:rPr>
          <w:spacing w:val="-5"/>
          <w:sz w:val="38"/>
        </w:rPr>
        <w:t> </w:t>
      </w:r>
      <w:r>
        <w:rPr>
          <w:sz w:val="38"/>
        </w:rPr>
        <w:t>stroke,</w:t>
      </w:r>
    </w:p>
    <w:p>
      <w:pPr>
        <w:pStyle w:val="ListParagraph"/>
        <w:numPr>
          <w:ilvl w:val="0"/>
          <w:numId w:val="80"/>
        </w:numPr>
        <w:tabs>
          <w:tab w:pos="1032" w:val="left" w:leader="none"/>
        </w:tabs>
        <w:spacing w:line="240" w:lineRule="auto" w:before="186" w:after="0"/>
        <w:ind w:left="1036" w:right="0" w:hanging="420"/>
        <w:jc w:val="both"/>
        <w:rPr>
          <w:sz w:val="38"/>
        </w:rPr>
      </w:pPr>
      <w:r>
        <w:rPr>
          <w:sz w:val="38"/>
        </w:rPr>
        <w:t>regulate cardiac arrhythmia,</w:t>
      </w:r>
    </w:p>
    <w:p>
      <w:pPr>
        <w:pStyle w:val="ListParagraph"/>
        <w:numPr>
          <w:ilvl w:val="0"/>
          <w:numId w:val="80"/>
        </w:numPr>
        <w:tabs>
          <w:tab w:pos="1032" w:val="left" w:leader="none"/>
        </w:tabs>
        <w:spacing w:line="240" w:lineRule="auto" w:before="184" w:after="0"/>
        <w:ind w:left="1036" w:right="0" w:hanging="420"/>
        <w:jc w:val="both"/>
        <w:rPr>
          <w:sz w:val="38"/>
        </w:rPr>
      </w:pPr>
      <w:r>
        <w:rPr>
          <w:sz w:val="38"/>
        </w:rPr>
        <w:t>counteract thrombosis,</w:t>
      </w:r>
    </w:p>
    <w:p>
      <w:pPr>
        <w:pStyle w:val="ListParagraph"/>
        <w:numPr>
          <w:ilvl w:val="0"/>
          <w:numId w:val="80"/>
        </w:numPr>
        <w:tabs>
          <w:tab w:pos="1032" w:val="left" w:leader="none"/>
        </w:tabs>
        <w:spacing w:line="240" w:lineRule="auto" w:before="184" w:after="0"/>
        <w:ind w:left="1036" w:right="0" w:hanging="420"/>
        <w:jc w:val="both"/>
        <w:rPr>
          <w:sz w:val="38"/>
        </w:rPr>
      </w:pPr>
      <w:r>
        <w:rPr>
          <w:sz w:val="38"/>
        </w:rPr>
        <w:t>counteract atherosclerosis,</w:t>
      </w:r>
    </w:p>
    <w:p>
      <w:pPr>
        <w:pStyle w:val="ListParagraph"/>
        <w:numPr>
          <w:ilvl w:val="0"/>
          <w:numId w:val="80"/>
        </w:numPr>
        <w:tabs>
          <w:tab w:pos="1032" w:val="left" w:leader="none"/>
        </w:tabs>
        <w:spacing w:line="240" w:lineRule="auto" w:before="183" w:after="0"/>
        <w:ind w:left="1036" w:right="0" w:hanging="420"/>
        <w:jc w:val="both"/>
        <w:rPr>
          <w:sz w:val="38"/>
        </w:rPr>
      </w:pPr>
      <w:r>
        <w:rPr>
          <w:sz w:val="38"/>
        </w:rPr>
        <w:t>lower cholesterol</w:t>
      </w:r>
      <w:r>
        <w:rPr>
          <w:spacing w:val="-1"/>
          <w:sz w:val="38"/>
        </w:rPr>
        <w:t> </w:t>
      </w:r>
      <w:r>
        <w:rPr>
          <w:sz w:val="38"/>
        </w:rPr>
        <w:t>and</w:t>
      </w:r>
    </w:p>
    <w:p>
      <w:pPr>
        <w:pStyle w:val="ListParagraph"/>
        <w:numPr>
          <w:ilvl w:val="0"/>
          <w:numId w:val="80"/>
        </w:numPr>
        <w:tabs>
          <w:tab w:pos="1032" w:val="left" w:leader="none"/>
        </w:tabs>
        <w:spacing w:line="240" w:lineRule="auto" w:before="184" w:after="0"/>
        <w:ind w:left="1036" w:right="0" w:hanging="420"/>
        <w:jc w:val="both"/>
        <w:rPr>
          <w:sz w:val="38"/>
        </w:rPr>
      </w:pPr>
      <w:r>
        <w:rPr>
          <w:sz w:val="38"/>
        </w:rPr>
        <w:t>regulate blood pressure.</w:t>
      </w:r>
    </w:p>
    <w:p>
      <w:pPr>
        <w:pStyle w:val="BodyText"/>
        <w:spacing w:before="307"/>
        <w:ind w:left="616"/>
        <w:jc w:val="both"/>
      </w:pPr>
      <w:r>
        <w:rPr/>
        <w:t>All these effects amplify and complement each other in a harmless manner.</w:t>
      </w:r>
    </w:p>
    <w:p>
      <w:pPr>
        <w:pStyle w:val="Heading2"/>
        <w:spacing w:before="302"/>
        <w:ind w:left="616"/>
        <w:jc w:val="both"/>
      </w:pPr>
      <w:r>
        <w:rPr/>
        <w:t>Undersupply and lack of omega-3 fatty acids</w:t>
      </w:r>
    </w:p>
    <w:p>
      <w:pPr>
        <w:pStyle w:val="BodyText"/>
        <w:spacing w:line="276" w:lineRule="auto" w:before="305"/>
        <w:ind w:left="616" w:right="134"/>
        <w:jc w:val="both"/>
      </w:pPr>
      <w:r>
        <w:rPr/>
        <w:t>According</w:t>
      </w:r>
      <w:r>
        <w:rPr>
          <w:spacing w:val="-8"/>
        </w:rPr>
        <w:t> </w:t>
      </w:r>
      <w:r>
        <w:rPr/>
        <w:t>to</w:t>
      </w:r>
      <w:r>
        <w:rPr>
          <w:spacing w:val="-7"/>
        </w:rPr>
        <w:t> </w:t>
      </w:r>
      <w:r>
        <w:rPr/>
        <w:t>leading</w:t>
      </w:r>
      <w:r>
        <w:rPr>
          <w:spacing w:val="-7"/>
        </w:rPr>
        <w:t> </w:t>
      </w:r>
      <w:r>
        <w:rPr/>
        <w:t>scientists,</w:t>
      </w:r>
      <w:r>
        <w:rPr>
          <w:spacing w:val="-7"/>
        </w:rPr>
        <w:t> </w:t>
      </w:r>
      <w:r>
        <w:rPr/>
        <w:t>the</w:t>
      </w:r>
      <w:r>
        <w:rPr>
          <w:spacing w:val="-6"/>
        </w:rPr>
        <w:t> </w:t>
      </w:r>
      <w:r>
        <w:rPr/>
        <w:t>supply</w:t>
      </w:r>
      <w:r>
        <w:rPr>
          <w:spacing w:val="-8"/>
        </w:rPr>
        <w:t> </w:t>
      </w:r>
      <w:r>
        <w:rPr/>
        <w:t>among</w:t>
      </w:r>
      <w:r>
        <w:rPr>
          <w:spacing w:val="-7"/>
        </w:rPr>
        <w:t> </w:t>
      </w:r>
      <w:r>
        <w:rPr/>
        <w:t>the</w:t>
      </w:r>
      <w:r>
        <w:rPr>
          <w:spacing w:val="-7"/>
        </w:rPr>
        <w:t> </w:t>
      </w:r>
      <w:r>
        <w:rPr/>
        <w:t>population</w:t>
      </w:r>
      <w:r>
        <w:rPr>
          <w:spacing w:val="-7"/>
        </w:rPr>
        <w:t> </w:t>
      </w:r>
      <w:r>
        <w:rPr/>
        <w:t>in</w:t>
      </w:r>
      <w:r>
        <w:rPr>
          <w:spacing w:val="-7"/>
        </w:rPr>
        <w:t> </w:t>
      </w:r>
      <w:r>
        <w:rPr/>
        <w:t>the</w:t>
      </w:r>
      <w:r>
        <w:rPr>
          <w:spacing w:val="-7"/>
        </w:rPr>
        <w:t> </w:t>
      </w:r>
      <w:r>
        <w:rPr/>
        <w:t>indus- trialised nations is more than insufficient. Instead of the recommended 0.3 g of EPA and DHA, for example the average German consumes only about</w:t>
      </w:r>
      <w:r>
        <w:rPr>
          <w:spacing w:val="-53"/>
        </w:rPr>
        <w:t> </w:t>
      </w:r>
      <w:r>
        <w:rPr/>
        <w:t>0.1 g per day. According to experts, only 20 % of people in industrialised nations consume the required amount of omega-3 fatty acids. At the same time, the supply of omega-6 fatty acids (linoleic acid) is excessive, which inhibits the conversion</w:t>
      </w:r>
      <w:r>
        <w:rPr>
          <w:spacing w:val="-22"/>
        </w:rPr>
        <w:t> </w:t>
      </w:r>
      <w:r>
        <w:rPr/>
        <w:t>of</w:t>
      </w:r>
      <w:r>
        <w:rPr>
          <w:spacing w:val="-20"/>
        </w:rPr>
        <w:t> </w:t>
      </w:r>
      <w:r>
        <w:rPr/>
        <w:t>the</w:t>
      </w:r>
      <w:r>
        <w:rPr>
          <w:spacing w:val="-18"/>
        </w:rPr>
        <w:t> </w:t>
      </w:r>
      <w:r>
        <w:rPr/>
        <w:t>plant-derived</w:t>
      </w:r>
      <w:r>
        <w:rPr>
          <w:spacing w:val="-21"/>
        </w:rPr>
        <w:t> </w:t>
      </w:r>
      <w:r>
        <w:rPr/>
        <w:t>omega-3</w:t>
      </w:r>
      <w:r>
        <w:rPr>
          <w:spacing w:val="-20"/>
        </w:rPr>
        <w:t> </w:t>
      </w:r>
      <w:r>
        <w:rPr/>
        <w:t>fatty</w:t>
      </w:r>
      <w:r>
        <w:rPr>
          <w:spacing w:val="-20"/>
        </w:rPr>
        <w:t> </w:t>
      </w:r>
      <w:r>
        <w:rPr/>
        <w:t>acid</w:t>
      </w:r>
      <w:r>
        <w:rPr>
          <w:spacing w:val="-20"/>
        </w:rPr>
        <w:t> </w:t>
      </w:r>
      <w:r>
        <w:rPr/>
        <w:t>alpha-linolenic</w:t>
      </w:r>
      <w:r>
        <w:rPr>
          <w:spacing w:val="-18"/>
        </w:rPr>
        <w:t> </w:t>
      </w:r>
      <w:r>
        <w:rPr/>
        <w:t>acid</w:t>
      </w:r>
      <w:r>
        <w:rPr>
          <w:spacing w:val="-20"/>
        </w:rPr>
        <w:t> </w:t>
      </w:r>
      <w:r>
        <w:rPr/>
        <w:t>into</w:t>
      </w:r>
      <w:r>
        <w:rPr>
          <w:spacing w:val="-19"/>
        </w:rPr>
        <w:t> </w:t>
      </w:r>
      <w:r>
        <w:rPr/>
        <w:t>the biologically active forms EPA and</w:t>
      </w:r>
      <w:r>
        <w:rPr>
          <w:spacing w:val="-1"/>
        </w:rPr>
        <w:t> </w:t>
      </w:r>
      <w:r>
        <w:rPr/>
        <w:t>DHA.</w:t>
      </w:r>
    </w:p>
    <w:p>
      <w:pPr>
        <w:pStyle w:val="BodyText"/>
        <w:spacing w:line="276" w:lineRule="auto" w:before="239"/>
        <w:ind w:left="616"/>
      </w:pPr>
      <w:r>
        <w:rPr/>
        <w:t>The optimal ratio of omega-3 fatty acids to omega-6 fatty acids, which would be very desirable from a health perspective, would be 3:1 to 5:1.</w:t>
      </w:r>
    </w:p>
    <w:p>
      <w:pPr>
        <w:pStyle w:val="Heading2"/>
        <w:spacing w:before="241"/>
        <w:ind w:left="616"/>
        <w:jc w:val="both"/>
      </w:pPr>
      <w:r>
        <w:rPr/>
        <w:t>Omega-3 fatty acid requirements and recommendations</w:t>
      </w:r>
    </w:p>
    <w:p>
      <w:pPr>
        <w:spacing w:after="0"/>
        <w:jc w:val="both"/>
        <w:sectPr>
          <w:pgSz w:w="14270" w:h="16850"/>
          <w:pgMar w:header="0" w:footer="1891" w:top="1360" w:bottom="2080" w:left="800" w:right="1280"/>
        </w:sectPr>
      </w:pPr>
    </w:p>
    <w:p>
      <w:pPr>
        <w:spacing w:line="276" w:lineRule="auto" w:before="72"/>
        <w:ind w:left="616" w:right="133" w:firstLine="0"/>
        <w:jc w:val="both"/>
        <w:rPr>
          <w:sz w:val="38"/>
        </w:rPr>
      </w:pPr>
      <w:r>
        <w:rPr>
          <w:sz w:val="38"/>
        </w:rPr>
        <w:t>To ensure an adequate supply of omega-3 fatty acids, the </w:t>
      </w:r>
      <w:r>
        <w:rPr>
          <w:i/>
          <w:sz w:val="38"/>
        </w:rPr>
        <w:t>German Society of Nu- </w:t>
      </w:r>
      <w:r>
        <w:rPr>
          <w:i/>
          <w:sz w:val="38"/>
        </w:rPr>
        <w:t>trition recommends </w:t>
      </w:r>
      <w:r>
        <w:rPr>
          <w:sz w:val="38"/>
        </w:rPr>
        <w:t>containing 0.5 % of total energy in the form of omega-3</w:t>
      </w:r>
      <w:r>
        <w:rPr>
          <w:spacing w:val="-43"/>
          <w:sz w:val="38"/>
        </w:rPr>
        <w:t> </w:t>
      </w:r>
      <w:r>
        <w:rPr>
          <w:sz w:val="38"/>
        </w:rPr>
        <w:t>fatty acids.</w:t>
      </w:r>
    </w:p>
    <w:p>
      <w:pPr>
        <w:pStyle w:val="Heading1"/>
        <w:ind w:left="616"/>
      </w:pPr>
      <w:r>
        <w:rPr/>
        <w:t>Guide to omega-3 fatty acid requirements: Adults</w:t>
      </w:r>
    </w:p>
    <w:p>
      <w:pPr>
        <w:pStyle w:val="BodyText"/>
        <w:spacing w:line="276" w:lineRule="auto" w:before="299" w:after="3"/>
        <w:ind w:left="616" w:right="135"/>
        <w:jc w:val="both"/>
      </w:pPr>
      <w:r>
        <w:rPr/>
        <w:t>The</w:t>
      </w:r>
      <w:r>
        <w:rPr>
          <w:spacing w:val="-24"/>
        </w:rPr>
        <w:t> </w:t>
      </w:r>
      <w:r>
        <w:rPr/>
        <w:t>following</w:t>
      </w:r>
      <w:r>
        <w:rPr>
          <w:spacing w:val="-23"/>
        </w:rPr>
        <w:t> </w:t>
      </w:r>
      <w:r>
        <w:rPr/>
        <w:t>DACH</w:t>
      </w:r>
      <w:r>
        <w:rPr>
          <w:spacing w:val="-25"/>
        </w:rPr>
        <w:t> </w:t>
      </w:r>
      <w:r>
        <w:rPr/>
        <w:t>table</w:t>
      </w:r>
      <w:r>
        <w:rPr>
          <w:spacing w:val="-24"/>
        </w:rPr>
        <w:t> </w:t>
      </w:r>
      <w:r>
        <w:rPr/>
        <w:t>provides</w:t>
      </w:r>
      <w:r>
        <w:rPr>
          <w:spacing w:val="-23"/>
        </w:rPr>
        <w:t> </w:t>
      </w:r>
      <w:r>
        <w:rPr/>
        <w:t>an</w:t>
      </w:r>
      <w:r>
        <w:rPr>
          <w:spacing w:val="-25"/>
        </w:rPr>
        <w:t> </w:t>
      </w:r>
      <w:r>
        <w:rPr/>
        <w:t>overview</w:t>
      </w:r>
      <w:r>
        <w:rPr>
          <w:spacing w:val="-26"/>
        </w:rPr>
        <w:t> </w:t>
      </w:r>
      <w:r>
        <w:rPr/>
        <w:t>of</w:t>
      </w:r>
      <w:r>
        <w:rPr>
          <w:spacing w:val="-23"/>
        </w:rPr>
        <w:t> </w:t>
      </w:r>
      <w:r>
        <w:rPr/>
        <w:t>the</w:t>
      </w:r>
      <w:r>
        <w:rPr>
          <w:spacing w:val="-23"/>
        </w:rPr>
        <w:t> </w:t>
      </w:r>
      <w:r>
        <w:rPr/>
        <w:t>average</w:t>
      </w:r>
      <w:r>
        <w:rPr>
          <w:spacing w:val="-23"/>
        </w:rPr>
        <w:t> </w:t>
      </w:r>
      <w:r>
        <w:rPr/>
        <w:t>level</w:t>
      </w:r>
      <w:r>
        <w:rPr>
          <w:spacing w:val="-25"/>
        </w:rPr>
        <w:t> </w:t>
      </w:r>
      <w:r>
        <w:rPr/>
        <w:t>of</w:t>
      </w:r>
      <w:r>
        <w:rPr>
          <w:spacing w:val="-24"/>
        </w:rPr>
        <w:t> </w:t>
      </w:r>
      <w:r>
        <w:rPr/>
        <w:t>energy intake per day and the resulting need for omega-3 fatty acids in adolescents aged 15 or</w:t>
      </w:r>
      <w:r>
        <w:rPr>
          <w:spacing w:val="-1"/>
        </w:rPr>
        <w:t> </w:t>
      </w:r>
      <w:r>
        <w:rPr/>
        <w:t>over:</w:t>
      </w:r>
    </w:p>
    <w:tbl>
      <w:tblPr>
        <w:tblW w:w="0" w:type="auto"/>
        <w:jc w:val="left"/>
        <w:tblInd w:w="1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4"/>
        <w:gridCol w:w="1841"/>
        <w:gridCol w:w="1844"/>
        <w:gridCol w:w="1844"/>
        <w:gridCol w:w="1841"/>
      </w:tblGrid>
      <w:tr>
        <w:trPr>
          <w:trHeight w:val="2207" w:hRule="atLeast"/>
        </w:trPr>
        <w:tc>
          <w:tcPr>
            <w:tcW w:w="1844" w:type="dxa"/>
            <w:shd w:val="clear" w:color="auto" w:fill="8DB3E1"/>
          </w:tcPr>
          <w:p>
            <w:pPr>
              <w:pStyle w:val="TableParagraph"/>
              <w:spacing w:before="236"/>
              <w:ind w:left="523"/>
              <w:rPr>
                <w:b/>
                <w:sz w:val="38"/>
              </w:rPr>
            </w:pPr>
            <w:r>
              <w:rPr>
                <w:b/>
                <w:sz w:val="38"/>
              </w:rPr>
              <w:t>AGE</w:t>
            </w:r>
          </w:p>
        </w:tc>
        <w:tc>
          <w:tcPr>
            <w:tcW w:w="1841" w:type="dxa"/>
            <w:shd w:val="clear" w:color="auto" w:fill="8DB3E1"/>
          </w:tcPr>
          <w:p>
            <w:pPr>
              <w:pStyle w:val="TableParagraph"/>
              <w:spacing w:before="236"/>
              <w:ind w:left="364"/>
              <w:rPr>
                <w:b/>
                <w:sz w:val="38"/>
              </w:rPr>
            </w:pPr>
            <w:r>
              <w:rPr>
                <w:b/>
                <w:sz w:val="38"/>
              </w:rPr>
              <w:t>MALE</w:t>
            </w:r>
          </w:p>
        </w:tc>
        <w:tc>
          <w:tcPr>
            <w:tcW w:w="1844" w:type="dxa"/>
            <w:shd w:val="clear" w:color="auto" w:fill="8DB3E1"/>
          </w:tcPr>
          <w:p>
            <w:pPr>
              <w:pStyle w:val="TableParagraph"/>
              <w:spacing w:before="236"/>
              <w:ind w:left="133"/>
              <w:rPr>
                <w:b/>
                <w:sz w:val="38"/>
              </w:rPr>
            </w:pPr>
            <w:r>
              <w:rPr>
                <w:b/>
                <w:sz w:val="38"/>
              </w:rPr>
              <w:t>OMEGA-</w:t>
            </w:r>
          </w:p>
          <w:p>
            <w:pPr>
              <w:pStyle w:val="TableParagraph"/>
              <w:spacing w:line="490" w:lineRule="atLeast" w:before="2"/>
              <w:ind w:left="148" w:right="142"/>
              <w:jc w:val="center"/>
              <w:rPr>
                <w:b/>
                <w:sz w:val="38"/>
              </w:rPr>
            </w:pPr>
            <w:r>
              <w:rPr>
                <w:b/>
                <w:sz w:val="38"/>
              </w:rPr>
              <w:t>3 require- ment male:</w:t>
            </w:r>
          </w:p>
        </w:tc>
        <w:tc>
          <w:tcPr>
            <w:tcW w:w="1844" w:type="dxa"/>
            <w:shd w:val="clear" w:color="auto" w:fill="8DB3E1"/>
          </w:tcPr>
          <w:p>
            <w:pPr>
              <w:pStyle w:val="TableParagraph"/>
              <w:spacing w:before="236"/>
              <w:ind w:left="111"/>
              <w:rPr>
                <w:b/>
                <w:sz w:val="38"/>
              </w:rPr>
            </w:pPr>
            <w:r>
              <w:rPr>
                <w:b/>
                <w:sz w:val="38"/>
              </w:rPr>
              <w:t>FEMALE</w:t>
            </w:r>
          </w:p>
        </w:tc>
        <w:tc>
          <w:tcPr>
            <w:tcW w:w="1841" w:type="dxa"/>
            <w:shd w:val="clear" w:color="auto" w:fill="8DB3E1"/>
          </w:tcPr>
          <w:p>
            <w:pPr>
              <w:pStyle w:val="TableParagraph"/>
              <w:spacing w:before="236"/>
              <w:ind w:left="130"/>
              <w:rPr>
                <w:b/>
                <w:sz w:val="38"/>
              </w:rPr>
            </w:pPr>
            <w:r>
              <w:rPr>
                <w:b/>
                <w:sz w:val="38"/>
              </w:rPr>
              <w:t>OMEGA-</w:t>
            </w:r>
          </w:p>
          <w:p>
            <w:pPr>
              <w:pStyle w:val="TableParagraph"/>
              <w:spacing w:line="490" w:lineRule="atLeast" w:before="2"/>
              <w:ind w:left="145" w:right="142"/>
              <w:jc w:val="center"/>
              <w:rPr>
                <w:b/>
                <w:sz w:val="38"/>
              </w:rPr>
            </w:pPr>
            <w:r>
              <w:rPr>
                <w:b/>
                <w:sz w:val="38"/>
              </w:rPr>
              <w:t>3 require- ment fe- male:</w:t>
            </w:r>
          </w:p>
        </w:tc>
      </w:tr>
      <w:tr>
        <w:trPr>
          <w:trHeight w:val="2195" w:hRule="atLeast"/>
        </w:trPr>
        <w:tc>
          <w:tcPr>
            <w:tcW w:w="1844" w:type="dxa"/>
            <w:shd w:val="clear" w:color="auto" w:fill="92D050"/>
          </w:tcPr>
          <w:p>
            <w:pPr>
              <w:pStyle w:val="TableParagraph"/>
              <w:spacing w:before="375"/>
              <w:ind w:left="107"/>
              <w:rPr>
                <w:b/>
                <w:sz w:val="38"/>
              </w:rPr>
            </w:pPr>
            <w:r>
              <w:rPr>
                <w:b/>
                <w:sz w:val="38"/>
              </w:rPr>
              <w:t>15 to un-</w:t>
            </w:r>
          </w:p>
          <w:p>
            <w:pPr>
              <w:pStyle w:val="TableParagraph"/>
              <w:spacing w:line="278" w:lineRule="auto" w:before="65"/>
              <w:ind w:left="107" w:right="216"/>
              <w:rPr>
                <w:b/>
                <w:sz w:val="38"/>
              </w:rPr>
            </w:pPr>
            <w:r>
              <w:rPr>
                <w:b/>
                <w:sz w:val="38"/>
              </w:rPr>
              <w:t>der 19 years</w:t>
            </w:r>
          </w:p>
        </w:tc>
        <w:tc>
          <w:tcPr>
            <w:tcW w:w="1841" w:type="dxa"/>
          </w:tcPr>
          <w:p>
            <w:pPr>
              <w:pStyle w:val="TableParagraph"/>
              <w:tabs>
                <w:tab w:pos="1069" w:val="left" w:leader="none"/>
              </w:tabs>
              <w:spacing w:before="255"/>
              <w:ind w:left="105"/>
              <w:rPr>
                <w:sz w:val="38"/>
              </w:rPr>
            </w:pPr>
            <w:r>
              <w:rPr>
                <w:sz w:val="38"/>
              </w:rPr>
              <w:t>3100</w:t>
              <w:tab/>
              <w:t>kcal:</w:t>
            </w:r>
          </w:p>
          <w:p>
            <w:pPr>
              <w:pStyle w:val="TableParagraph"/>
              <w:spacing w:before="68"/>
              <w:ind w:left="105"/>
              <w:rPr>
                <w:sz w:val="38"/>
              </w:rPr>
            </w:pPr>
            <w:r>
              <w:rPr>
                <w:sz w:val="38"/>
              </w:rPr>
              <w:t>9.2 kcal</w:t>
            </w:r>
          </w:p>
          <w:p>
            <w:pPr>
              <w:pStyle w:val="TableParagraph"/>
              <w:spacing w:before="302"/>
              <w:ind w:left="105"/>
              <w:rPr>
                <w:sz w:val="38"/>
              </w:rPr>
            </w:pPr>
            <w:r>
              <w:rPr>
                <w:sz w:val="38"/>
              </w:rPr>
              <w:t>x 0.5 % =</w:t>
            </w:r>
          </w:p>
        </w:tc>
        <w:tc>
          <w:tcPr>
            <w:tcW w:w="1844" w:type="dxa"/>
            <w:shd w:val="clear" w:color="auto" w:fill="C5D9F0"/>
          </w:tcPr>
          <w:p>
            <w:pPr>
              <w:pStyle w:val="TableParagraph"/>
              <w:rPr>
                <w:sz w:val="42"/>
              </w:rPr>
            </w:pPr>
          </w:p>
          <w:p>
            <w:pPr>
              <w:pStyle w:val="TableParagraph"/>
              <w:rPr>
                <w:sz w:val="42"/>
              </w:rPr>
            </w:pPr>
          </w:p>
          <w:p>
            <w:pPr>
              <w:pStyle w:val="TableParagraph"/>
              <w:rPr>
                <w:sz w:val="42"/>
              </w:rPr>
            </w:pPr>
          </w:p>
          <w:p>
            <w:pPr>
              <w:pStyle w:val="TableParagraph"/>
              <w:spacing w:before="283"/>
              <w:ind w:left="107"/>
              <w:rPr>
                <w:sz w:val="38"/>
              </w:rPr>
            </w:pPr>
            <w:r>
              <w:rPr>
                <w:sz w:val="38"/>
              </w:rPr>
              <w:t>1684 mg</w:t>
            </w:r>
          </w:p>
        </w:tc>
        <w:tc>
          <w:tcPr>
            <w:tcW w:w="1844" w:type="dxa"/>
          </w:tcPr>
          <w:p>
            <w:pPr>
              <w:pStyle w:val="TableParagraph"/>
              <w:tabs>
                <w:tab w:pos="1069" w:val="left" w:leader="none"/>
              </w:tabs>
              <w:spacing w:before="255"/>
              <w:ind w:left="104"/>
              <w:rPr>
                <w:sz w:val="38"/>
              </w:rPr>
            </w:pPr>
            <w:r>
              <w:rPr>
                <w:sz w:val="38"/>
              </w:rPr>
              <w:t>2500</w:t>
              <w:tab/>
              <w:t>kcal:</w:t>
            </w:r>
          </w:p>
          <w:p>
            <w:pPr>
              <w:pStyle w:val="TableParagraph"/>
              <w:spacing w:before="68"/>
              <w:ind w:left="104"/>
              <w:rPr>
                <w:sz w:val="38"/>
              </w:rPr>
            </w:pPr>
            <w:r>
              <w:rPr>
                <w:sz w:val="38"/>
              </w:rPr>
              <w:t>9.2 kcal</w:t>
            </w:r>
          </w:p>
          <w:p>
            <w:pPr>
              <w:pStyle w:val="TableParagraph"/>
              <w:spacing w:before="302"/>
              <w:ind w:left="104"/>
              <w:rPr>
                <w:sz w:val="38"/>
              </w:rPr>
            </w:pPr>
            <w:r>
              <w:rPr>
                <w:sz w:val="38"/>
              </w:rPr>
              <w:t>x 0.5 % =</w:t>
            </w:r>
          </w:p>
        </w:tc>
        <w:tc>
          <w:tcPr>
            <w:tcW w:w="1841" w:type="dxa"/>
            <w:shd w:val="clear" w:color="auto" w:fill="FCE9D9"/>
          </w:tcPr>
          <w:p>
            <w:pPr>
              <w:pStyle w:val="TableParagraph"/>
              <w:spacing w:before="236"/>
              <w:ind w:left="104"/>
              <w:rPr>
                <w:sz w:val="38"/>
              </w:rPr>
            </w:pPr>
            <w:r>
              <w:rPr>
                <w:sz w:val="38"/>
              </w:rPr>
              <w:t>1358 mg</w:t>
            </w:r>
          </w:p>
        </w:tc>
      </w:tr>
      <w:tr>
        <w:trPr>
          <w:trHeight w:val="2193" w:hRule="atLeast"/>
        </w:trPr>
        <w:tc>
          <w:tcPr>
            <w:tcW w:w="1844" w:type="dxa"/>
            <w:shd w:val="clear" w:color="auto" w:fill="92D050"/>
          </w:tcPr>
          <w:p>
            <w:pPr>
              <w:pStyle w:val="TableParagraph"/>
              <w:spacing w:line="276" w:lineRule="auto" w:before="375"/>
              <w:ind w:left="107" w:right="99"/>
              <w:jc w:val="both"/>
              <w:rPr>
                <w:b/>
                <w:sz w:val="38"/>
              </w:rPr>
            </w:pPr>
            <w:r>
              <w:rPr>
                <w:b/>
                <w:sz w:val="38"/>
              </w:rPr>
              <w:t>19 to un- der 25 years</w:t>
            </w:r>
          </w:p>
        </w:tc>
        <w:tc>
          <w:tcPr>
            <w:tcW w:w="1841" w:type="dxa"/>
          </w:tcPr>
          <w:p>
            <w:pPr>
              <w:pStyle w:val="TableParagraph"/>
              <w:tabs>
                <w:tab w:pos="1069" w:val="left" w:leader="none"/>
              </w:tabs>
              <w:spacing w:before="255"/>
              <w:ind w:left="105"/>
              <w:rPr>
                <w:sz w:val="38"/>
              </w:rPr>
            </w:pPr>
            <w:r>
              <w:rPr>
                <w:sz w:val="38"/>
              </w:rPr>
              <w:t>3000</w:t>
              <w:tab/>
              <w:t>kcal:</w:t>
            </w:r>
          </w:p>
          <w:p>
            <w:pPr>
              <w:pStyle w:val="TableParagraph"/>
              <w:spacing w:before="67"/>
              <w:ind w:left="105"/>
              <w:rPr>
                <w:sz w:val="38"/>
              </w:rPr>
            </w:pPr>
            <w:r>
              <w:rPr>
                <w:sz w:val="38"/>
              </w:rPr>
              <w:t>9.2 kcal</w:t>
            </w:r>
          </w:p>
          <w:p>
            <w:pPr>
              <w:pStyle w:val="TableParagraph"/>
              <w:spacing w:before="302"/>
              <w:ind w:left="105"/>
              <w:rPr>
                <w:sz w:val="38"/>
              </w:rPr>
            </w:pPr>
            <w:r>
              <w:rPr>
                <w:sz w:val="38"/>
              </w:rPr>
              <w:t>x 0.5 % =</w:t>
            </w:r>
          </w:p>
        </w:tc>
        <w:tc>
          <w:tcPr>
            <w:tcW w:w="1844" w:type="dxa"/>
            <w:shd w:val="clear" w:color="auto" w:fill="C5D9F0"/>
          </w:tcPr>
          <w:p>
            <w:pPr>
              <w:pStyle w:val="TableParagraph"/>
              <w:rPr>
                <w:sz w:val="42"/>
              </w:rPr>
            </w:pPr>
          </w:p>
          <w:p>
            <w:pPr>
              <w:pStyle w:val="TableParagraph"/>
              <w:rPr>
                <w:sz w:val="42"/>
              </w:rPr>
            </w:pPr>
          </w:p>
          <w:p>
            <w:pPr>
              <w:pStyle w:val="TableParagraph"/>
              <w:rPr>
                <w:sz w:val="42"/>
              </w:rPr>
            </w:pPr>
          </w:p>
          <w:p>
            <w:pPr>
              <w:pStyle w:val="TableParagraph"/>
              <w:spacing w:before="280"/>
              <w:ind w:left="107"/>
              <w:rPr>
                <w:sz w:val="38"/>
              </w:rPr>
            </w:pPr>
            <w:r>
              <w:rPr>
                <w:sz w:val="38"/>
              </w:rPr>
              <w:t>1630 mg</w:t>
            </w:r>
          </w:p>
        </w:tc>
        <w:tc>
          <w:tcPr>
            <w:tcW w:w="1844" w:type="dxa"/>
          </w:tcPr>
          <w:p>
            <w:pPr>
              <w:pStyle w:val="TableParagraph"/>
              <w:tabs>
                <w:tab w:pos="1069" w:val="left" w:leader="none"/>
              </w:tabs>
              <w:spacing w:before="255"/>
              <w:ind w:left="104"/>
              <w:rPr>
                <w:sz w:val="38"/>
              </w:rPr>
            </w:pPr>
            <w:r>
              <w:rPr>
                <w:sz w:val="38"/>
              </w:rPr>
              <w:t>2400</w:t>
              <w:tab/>
              <w:t>kcal:</w:t>
            </w:r>
          </w:p>
          <w:p>
            <w:pPr>
              <w:pStyle w:val="TableParagraph"/>
              <w:spacing w:before="67"/>
              <w:ind w:left="104"/>
              <w:rPr>
                <w:sz w:val="38"/>
              </w:rPr>
            </w:pPr>
            <w:r>
              <w:rPr>
                <w:sz w:val="38"/>
              </w:rPr>
              <w:t>9.2 kcal</w:t>
            </w:r>
          </w:p>
          <w:p>
            <w:pPr>
              <w:pStyle w:val="TableParagraph"/>
              <w:spacing w:before="302"/>
              <w:ind w:left="104"/>
              <w:rPr>
                <w:sz w:val="38"/>
              </w:rPr>
            </w:pPr>
            <w:r>
              <w:rPr>
                <w:sz w:val="38"/>
              </w:rPr>
              <w:t>x 0.5 % =</w:t>
            </w:r>
          </w:p>
        </w:tc>
        <w:tc>
          <w:tcPr>
            <w:tcW w:w="1841" w:type="dxa"/>
            <w:shd w:val="clear" w:color="auto" w:fill="FCE9D9"/>
          </w:tcPr>
          <w:p>
            <w:pPr>
              <w:pStyle w:val="TableParagraph"/>
              <w:spacing w:before="236"/>
              <w:ind w:left="104"/>
              <w:rPr>
                <w:sz w:val="38"/>
              </w:rPr>
            </w:pPr>
            <w:r>
              <w:rPr>
                <w:sz w:val="38"/>
              </w:rPr>
              <w:t>1304 mg</w:t>
            </w:r>
          </w:p>
        </w:tc>
      </w:tr>
      <w:tr>
        <w:trPr>
          <w:trHeight w:val="1464" w:hRule="atLeast"/>
        </w:trPr>
        <w:tc>
          <w:tcPr>
            <w:tcW w:w="1844" w:type="dxa"/>
            <w:shd w:val="clear" w:color="auto" w:fill="92D050"/>
          </w:tcPr>
          <w:p>
            <w:pPr>
              <w:pStyle w:val="TableParagraph"/>
              <w:tabs>
                <w:tab w:pos="666" w:val="left" w:leader="none"/>
                <w:tab w:pos="1185" w:val="left" w:leader="none"/>
                <w:tab w:pos="1731" w:val="right" w:leader="none"/>
              </w:tabs>
              <w:spacing w:line="276" w:lineRule="auto" w:before="357"/>
              <w:ind w:left="107" w:right="100"/>
              <w:rPr>
                <w:b/>
                <w:sz w:val="38"/>
              </w:rPr>
            </w:pPr>
            <w:r>
              <w:rPr>
                <w:b/>
                <w:sz w:val="38"/>
              </w:rPr>
              <w:t>25</w:t>
              <w:tab/>
              <w:t>to</w:t>
              <w:tab/>
              <w:t>un- der</w:t>
              <w:tab/>
              <w:tab/>
              <w:t>51</w:t>
            </w:r>
          </w:p>
        </w:tc>
        <w:tc>
          <w:tcPr>
            <w:tcW w:w="1841" w:type="dxa"/>
          </w:tcPr>
          <w:p>
            <w:pPr>
              <w:pStyle w:val="TableParagraph"/>
              <w:tabs>
                <w:tab w:pos="1069" w:val="left" w:leader="none"/>
              </w:tabs>
              <w:spacing w:before="258"/>
              <w:ind w:left="105"/>
              <w:rPr>
                <w:sz w:val="38"/>
              </w:rPr>
            </w:pPr>
            <w:r>
              <w:rPr>
                <w:sz w:val="38"/>
              </w:rPr>
              <w:t>2900</w:t>
              <w:tab/>
              <w:t>kcal:</w:t>
            </w:r>
          </w:p>
          <w:p>
            <w:pPr>
              <w:pStyle w:val="TableParagraph"/>
              <w:spacing w:before="67"/>
              <w:ind w:left="105"/>
              <w:rPr>
                <w:sz w:val="38"/>
              </w:rPr>
            </w:pPr>
            <w:r>
              <w:rPr>
                <w:sz w:val="38"/>
              </w:rPr>
              <w:t>9.2 kcal</w:t>
            </w:r>
          </w:p>
        </w:tc>
        <w:tc>
          <w:tcPr>
            <w:tcW w:w="1844" w:type="dxa"/>
            <w:shd w:val="clear" w:color="auto" w:fill="C5D9F0"/>
          </w:tcPr>
          <w:p>
            <w:pPr>
              <w:pStyle w:val="TableParagraph"/>
              <w:rPr>
                <w:rFonts w:ascii="Times New Roman"/>
                <w:sz w:val="36"/>
              </w:rPr>
            </w:pPr>
          </w:p>
        </w:tc>
        <w:tc>
          <w:tcPr>
            <w:tcW w:w="1844" w:type="dxa"/>
          </w:tcPr>
          <w:p>
            <w:pPr>
              <w:pStyle w:val="TableParagraph"/>
              <w:tabs>
                <w:tab w:pos="1069" w:val="left" w:leader="none"/>
              </w:tabs>
              <w:spacing w:before="258"/>
              <w:ind w:left="104"/>
              <w:rPr>
                <w:sz w:val="38"/>
              </w:rPr>
            </w:pPr>
            <w:r>
              <w:rPr>
                <w:sz w:val="38"/>
              </w:rPr>
              <w:t>2300</w:t>
              <w:tab/>
              <w:t>kcal:</w:t>
            </w:r>
          </w:p>
          <w:p>
            <w:pPr>
              <w:pStyle w:val="TableParagraph"/>
              <w:spacing w:before="67"/>
              <w:ind w:left="104"/>
              <w:rPr>
                <w:sz w:val="38"/>
              </w:rPr>
            </w:pPr>
            <w:r>
              <w:rPr>
                <w:sz w:val="38"/>
              </w:rPr>
              <w:t>9.2 kcal</w:t>
            </w:r>
          </w:p>
        </w:tc>
        <w:tc>
          <w:tcPr>
            <w:tcW w:w="1841" w:type="dxa"/>
            <w:shd w:val="clear" w:color="auto" w:fill="FCE9D9"/>
          </w:tcPr>
          <w:p>
            <w:pPr>
              <w:pStyle w:val="TableParagraph"/>
              <w:spacing w:before="237"/>
              <w:ind w:left="104"/>
              <w:rPr>
                <w:sz w:val="38"/>
              </w:rPr>
            </w:pPr>
            <w:r>
              <w:rPr>
                <w:sz w:val="38"/>
              </w:rPr>
              <w:t>1250 mg</w:t>
            </w:r>
          </w:p>
        </w:tc>
      </w:tr>
    </w:tbl>
    <w:p>
      <w:pPr>
        <w:spacing w:after="0"/>
        <w:rPr>
          <w:sz w:val="38"/>
        </w:rPr>
        <w:sectPr>
          <w:pgSz w:w="14270" w:h="16850"/>
          <w:pgMar w:header="0" w:footer="1891" w:top="1340" w:bottom="2080" w:left="800" w:right="1280"/>
        </w:sectPr>
      </w:pPr>
    </w:p>
    <w:tbl>
      <w:tblPr>
        <w:tblW w:w="0" w:type="auto"/>
        <w:jc w:val="left"/>
        <w:tblInd w:w="1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4"/>
        <w:gridCol w:w="1841"/>
        <w:gridCol w:w="1844"/>
        <w:gridCol w:w="1844"/>
        <w:gridCol w:w="1841"/>
      </w:tblGrid>
      <w:tr>
        <w:trPr>
          <w:trHeight w:val="732" w:hRule="atLeast"/>
        </w:trPr>
        <w:tc>
          <w:tcPr>
            <w:tcW w:w="1844" w:type="dxa"/>
            <w:shd w:val="clear" w:color="auto" w:fill="92D050"/>
          </w:tcPr>
          <w:p>
            <w:pPr>
              <w:pStyle w:val="TableParagraph"/>
              <w:spacing w:line="424" w:lineRule="exact"/>
              <w:ind w:left="107"/>
              <w:rPr>
                <w:b/>
                <w:sz w:val="38"/>
              </w:rPr>
            </w:pPr>
            <w:r>
              <w:rPr>
                <w:b/>
                <w:sz w:val="38"/>
              </w:rPr>
              <w:t>years</w:t>
            </w:r>
          </w:p>
        </w:tc>
        <w:tc>
          <w:tcPr>
            <w:tcW w:w="1841" w:type="dxa"/>
          </w:tcPr>
          <w:p>
            <w:pPr>
              <w:pStyle w:val="TableParagraph"/>
              <w:spacing w:before="35"/>
              <w:ind w:left="105"/>
              <w:rPr>
                <w:sz w:val="38"/>
              </w:rPr>
            </w:pPr>
            <w:r>
              <w:rPr>
                <w:sz w:val="38"/>
              </w:rPr>
              <w:t>x 0.5 % =</w:t>
            </w:r>
          </w:p>
        </w:tc>
        <w:tc>
          <w:tcPr>
            <w:tcW w:w="1844" w:type="dxa"/>
            <w:shd w:val="clear" w:color="auto" w:fill="C5D9F0"/>
          </w:tcPr>
          <w:p>
            <w:pPr>
              <w:pStyle w:val="TableParagraph"/>
              <w:spacing w:before="234"/>
              <w:ind w:left="107"/>
              <w:rPr>
                <w:sz w:val="38"/>
              </w:rPr>
            </w:pPr>
            <w:r>
              <w:rPr>
                <w:sz w:val="38"/>
              </w:rPr>
              <w:t>1576 mg</w:t>
            </w:r>
          </w:p>
        </w:tc>
        <w:tc>
          <w:tcPr>
            <w:tcW w:w="1844" w:type="dxa"/>
          </w:tcPr>
          <w:p>
            <w:pPr>
              <w:pStyle w:val="TableParagraph"/>
              <w:spacing w:before="35"/>
              <w:ind w:left="104"/>
              <w:rPr>
                <w:sz w:val="38"/>
              </w:rPr>
            </w:pPr>
            <w:r>
              <w:rPr>
                <w:sz w:val="38"/>
              </w:rPr>
              <w:t>x 0.5 % =</w:t>
            </w:r>
          </w:p>
        </w:tc>
        <w:tc>
          <w:tcPr>
            <w:tcW w:w="1841" w:type="dxa"/>
            <w:shd w:val="clear" w:color="auto" w:fill="FCE9D9"/>
          </w:tcPr>
          <w:p>
            <w:pPr>
              <w:pStyle w:val="TableParagraph"/>
              <w:rPr>
                <w:rFonts w:ascii="Times New Roman"/>
                <w:sz w:val="36"/>
              </w:rPr>
            </w:pPr>
          </w:p>
        </w:tc>
      </w:tr>
      <w:tr>
        <w:trPr>
          <w:trHeight w:val="2195" w:hRule="atLeast"/>
        </w:trPr>
        <w:tc>
          <w:tcPr>
            <w:tcW w:w="1844" w:type="dxa"/>
            <w:shd w:val="clear" w:color="auto" w:fill="92D050"/>
          </w:tcPr>
          <w:p>
            <w:pPr>
              <w:pStyle w:val="TableParagraph"/>
              <w:spacing w:line="276" w:lineRule="auto" w:before="373"/>
              <w:ind w:left="107" w:right="99"/>
              <w:jc w:val="both"/>
              <w:rPr>
                <w:b/>
                <w:sz w:val="38"/>
              </w:rPr>
            </w:pPr>
            <w:r>
              <w:rPr>
                <w:b/>
                <w:sz w:val="38"/>
              </w:rPr>
              <w:t>51 to un- der 65 years</w:t>
            </w:r>
          </w:p>
        </w:tc>
        <w:tc>
          <w:tcPr>
            <w:tcW w:w="1841" w:type="dxa"/>
          </w:tcPr>
          <w:p>
            <w:pPr>
              <w:pStyle w:val="TableParagraph"/>
              <w:tabs>
                <w:tab w:pos="1069" w:val="left" w:leader="none"/>
              </w:tabs>
              <w:spacing w:line="278" w:lineRule="auto" w:before="253"/>
              <w:ind w:left="105" w:right="99"/>
              <w:rPr>
                <w:sz w:val="38"/>
              </w:rPr>
            </w:pPr>
            <w:r>
              <w:rPr>
                <w:sz w:val="38"/>
              </w:rPr>
              <w:t>2500</w:t>
              <w:tab/>
              <w:t>kcal: 9.2kcal</w:t>
            </w:r>
          </w:p>
          <w:p>
            <w:pPr>
              <w:pStyle w:val="TableParagraph"/>
              <w:spacing w:before="232"/>
              <w:ind w:left="105"/>
              <w:rPr>
                <w:sz w:val="38"/>
              </w:rPr>
            </w:pPr>
            <w:r>
              <w:rPr>
                <w:sz w:val="38"/>
              </w:rPr>
              <w:t>x 0.5 % =</w:t>
            </w:r>
          </w:p>
        </w:tc>
        <w:tc>
          <w:tcPr>
            <w:tcW w:w="1844" w:type="dxa"/>
            <w:shd w:val="clear" w:color="auto" w:fill="C5D9F0"/>
          </w:tcPr>
          <w:p>
            <w:pPr>
              <w:pStyle w:val="TableParagraph"/>
              <w:rPr>
                <w:sz w:val="42"/>
              </w:rPr>
            </w:pPr>
          </w:p>
          <w:p>
            <w:pPr>
              <w:pStyle w:val="TableParagraph"/>
              <w:rPr>
                <w:sz w:val="42"/>
              </w:rPr>
            </w:pPr>
          </w:p>
          <w:p>
            <w:pPr>
              <w:pStyle w:val="TableParagraph"/>
              <w:rPr>
                <w:sz w:val="42"/>
              </w:rPr>
            </w:pPr>
          </w:p>
          <w:p>
            <w:pPr>
              <w:pStyle w:val="TableParagraph"/>
              <w:spacing w:before="278"/>
              <w:ind w:left="107"/>
              <w:rPr>
                <w:sz w:val="38"/>
              </w:rPr>
            </w:pPr>
            <w:r>
              <w:rPr>
                <w:sz w:val="38"/>
              </w:rPr>
              <w:t>1358 mg</w:t>
            </w:r>
          </w:p>
        </w:tc>
        <w:tc>
          <w:tcPr>
            <w:tcW w:w="1844" w:type="dxa"/>
          </w:tcPr>
          <w:p>
            <w:pPr>
              <w:pStyle w:val="TableParagraph"/>
              <w:tabs>
                <w:tab w:pos="1069" w:val="left" w:leader="none"/>
              </w:tabs>
              <w:spacing w:before="253"/>
              <w:ind w:left="104"/>
              <w:rPr>
                <w:sz w:val="38"/>
              </w:rPr>
            </w:pPr>
            <w:r>
              <w:rPr>
                <w:sz w:val="38"/>
              </w:rPr>
              <w:t>2000</w:t>
              <w:tab/>
              <w:t>kcal:</w:t>
            </w:r>
          </w:p>
          <w:p>
            <w:pPr>
              <w:pStyle w:val="TableParagraph"/>
              <w:spacing w:before="67"/>
              <w:ind w:left="104"/>
              <w:rPr>
                <w:sz w:val="38"/>
              </w:rPr>
            </w:pPr>
            <w:r>
              <w:rPr>
                <w:sz w:val="38"/>
              </w:rPr>
              <w:t>9.2 kcal</w:t>
            </w:r>
          </w:p>
          <w:p>
            <w:pPr>
              <w:pStyle w:val="TableParagraph"/>
              <w:spacing w:before="302"/>
              <w:ind w:left="104"/>
              <w:rPr>
                <w:sz w:val="38"/>
              </w:rPr>
            </w:pPr>
            <w:r>
              <w:rPr>
                <w:sz w:val="38"/>
              </w:rPr>
              <w:t>x 0.5 % =</w:t>
            </w:r>
          </w:p>
        </w:tc>
        <w:tc>
          <w:tcPr>
            <w:tcW w:w="1841" w:type="dxa"/>
            <w:shd w:val="clear" w:color="auto" w:fill="FCE9D9"/>
          </w:tcPr>
          <w:p>
            <w:pPr>
              <w:pStyle w:val="TableParagraph"/>
              <w:spacing w:before="234"/>
              <w:ind w:left="104"/>
              <w:rPr>
                <w:sz w:val="38"/>
              </w:rPr>
            </w:pPr>
            <w:r>
              <w:rPr>
                <w:sz w:val="38"/>
              </w:rPr>
              <w:t>1086 mg</w:t>
            </w:r>
          </w:p>
        </w:tc>
      </w:tr>
      <w:tr>
        <w:trPr>
          <w:trHeight w:val="2196" w:hRule="atLeast"/>
        </w:trPr>
        <w:tc>
          <w:tcPr>
            <w:tcW w:w="1844" w:type="dxa"/>
            <w:shd w:val="clear" w:color="auto" w:fill="92D050"/>
          </w:tcPr>
          <w:p>
            <w:pPr>
              <w:pStyle w:val="TableParagraph"/>
              <w:spacing w:before="11"/>
              <w:rPr>
                <w:sz w:val="54"/>
              </w:rPr>
            </w:pPr>
          </w:p>
          <w:p>
            <w:pPr>
              <w:pStyle w:val="TableParagraph"/>
              <w:tabs>
                <w:tab w:pos="1377" w:val="left" w:leader="none"/>
              </w:tabs>
              <w:spacing w:line="278" w:lineRule="auto"/>
              <w:ind w:left="107" w:right="99"/>
              <w:rPr>
                <w:b/>
                <w:sz w:val="38"/>
              </w:rPr>
            </w:pPr>
            <w:r>
              <w:rPr>
                <w:b/>
                <w:sz w:val="38"/>
              </w:rPr>
              <w:t>over</w:t>
              <w:tab/>
              <w:t>65</w:t>
            </w:r>
            <w:r>
              <w:rPr>
                <w:b/>
                <w:w w:val="99"/>
                <w:sz w:val="38"/>
              </w:rPr>
              <w:t> </w:t>
            </w:r>
            <w:r>
              <w:rPr>
                <w:b/>
                <w:sz w:val="38"/>
              </w:rPr>
              <w:t>years</w:t>
            </w:r>
          </w:p>
        </w:tc>
        <w:tc>
          <w:tcPr>
            <w:tcW w:w="1841" w:type="dxa"/>
          </w:tcPr>
          <w:p>
            <w:pPr>
              <w:pStyle w:val="TableParagraph"/>
              <w:tabs>
                <w:tab w:pos="1069" w:val="left" w:leader="none"/>
              </w:tabs>
              <w:spacing w:before="253"/>
              <w:ind w:left="105"/>
              <w:rPr>
                <w:sz w:val="38"/>
              </w:rPr>
            </w:pPr>
            <w:r>
              <w:rPr>
                <w:sz w:val="38"/>
              </w:rPr>
              <w:t>2300</w:t>
              <w:tab/>
              <w:t>kcal:</w:t>
            </w:r>
          </w:p>
          <w:p>
            <w:pPr>
              <w:pStyle w:val="TableParagraph"/>
              <w:spacing w:before="65"/>
              <w:ind w:left="105"/>
              <w:rPr>
                <w:sz w:val="38"/>
              </w:rPr>
            </w:pPr>
            <w:r>
              <w:rPr>
                <w:sz w:val="38"/>
              </w:rPr>
              <w:t>9.2 kcal</w:t>
            </w:r>
          </w:p>
          <w:p>
            <w:pPr>
              <w:pStyle w:val="TableParagraph"/>
              <w:spacing w:before="304"/>
              <w:ind w:left="105"/>
              <w:rPr>
                <w:sz w:val="38"/>
              </w:rPr>
            </w:pPr>
            <w:r>
              <w:rPr>
                <w:sz w:val="38"/>
              </w:rPr>
              <w:t>x 0.5 % =</w:t>
            </w:r>
          </w:p>
        </w:tc>
        <w:tc>
          <w:tcPr>
            <w:tcW w:w="1844" w:type="dxa"/>
            <w:shd w:val="clear" w:color="auto" w:fill="C5D9F0"/>
          </w:tcPr>
          <w:p>
            <w:pPr>
              <w:pStyle w:val="TableParagraph"/>
              <w:rPr>
                <w:sz w:val="42"/>
              </w:rPr>
            </w:pPr>
          </w:p>
          <w:p>
            <w:pPr>
              <w:pStyle w:val="TableParagraph"/>
              <w:rPr>
                <w:sz w:val="42"/>
              </w:rPr>
            </w:pPr>
          </w:p>
          <w:p>
            <w:pPr>
              <w:pStyle w:val="TableParagraph"/>
              <w:rPr>
                <w:sz w:val="42"/>
              </w:rPr>
            </w:pPr>
          </w:p>
          <w:p>
            <w:pPr>
              <w:pStyle w:val="TableParagraph"/>
              <w:spacing w:before="278"/>
              <w:ind w:left="107"/>
              <w:rPr>
                <w:sz w:val="38"/>
              </w:rPr>
            </w:pPr>
            <w:r>
              <w:rPr>
                <w:sz w:val="38"/>
              </w:rPr>
              <w:t>1250 mg</w:t>
            </w:r>
          </w:p>
        </w:tc>
        <w:tc>
          <w:tcPr>
            <w:tcW w:w="1844" w:type="dxa"/>
          </w:tcPr>
          <w:p>
            <w:pPr>
              <w:pStyle w:val="TableParagraph"/>
              <w:tabs>
                <w:tab w:pos="1069" w:val="left" w:leader="none"/>
              </w:tabs>
              <w:spacing w:before="253"/>
              <w:ind w:left="104"/>
              <w:rPr>
                <w:sz w:val="38"/>
              </w:rPr>
            </w:pPr>
            <w:r>
              <w:rPr>
                <w:sz w:val="38"/>
              </w:rPr>
              <w:t>1800</w:t>
              <w:tab/>
              <w:t>kcal:</w:t>
            </w:r>
          </w:p>
          <w:p>
            <w:pPr>
              <w:pStyle w:val="TableParagraph"/>
              <w:spacing w:before="65"/>
              <w:ind w:left="104"/>
              <w:rPr>
                <w:sz w:val="38"/>
              </w:rPr>
            </w:pPr>
            <w:r>
              <w:rPr>
                <w:sz w:val="38"/>
              </w:rPr>
              <w:t>9.2 kcal</w:t>
            </w:r>
          </w:p>
          <w:p>
            <w:pPr>
              <w:pStyle w:val="TableParagraph"/>
              <w:spacing w:before="304"/>
              <w:ind w:left="104"/>
              <w:rPr>
                <w:sz w:val="38"/>
              </w:rPr>
            </w:pPr>
            <w:r>
              <w:rPr>
                <w:sz w:val="38"/>
              </w:rPr>
              <w:t>x 0.5 % =</w:t>
            </w:r>
          </w:p>
        </w:tc>
        <w:tc>
          <w:tcPr>
            <w:tcW w:w="1841" w:type="dxa"/>
            <w:shd w:val="clear" w:color="auto" w:fill="FCE9D9"/>
          </w:tcPr>
          <w:p>
            <w:pPr>
              <w:pStyle w:val="TableParagraph"/>
              <w:spacing w:before="231"/>
              <w:ind w:left="104"/>
              <w:rPr>
                <w:sz w:val="38"/>
              </w:rPr>
            </w:pPr>
            <w:r>
              <w:rPr>
                <w:sz w:val="38"/>
              </w:rPr>
              <w:t>978 mg</w:t>
            </w:r>
          </w:p>
        </w:tc>
      </w:tr>
    </w:tbl>
    <w:p>
      <w:pPr>
        <w:pStyle w:val="BodyText"/>
        <w:rPr>
          <w:sz w:val="20"/>
        </w:rPr>
      </w:pPr>
    </w:p>
    <w:p>
      <w:pPr>
        <w:pStyle w:val="BodyText"/>
        <w:rPr>
          <w:sz w:val="20"/>
        </w:rPr>
      </w:pPr>
    </w:p>
    <w:p>
      <w:pPr>
        <w:pStyle w:val="BodyText"/>
        <w:rPr>
          <w:sz w:val="20"/>
        </w:rPr>
      </w:pPr>
    </w:p>
    <w:p>
      <w:pPr>
        <w:pStyle w:val="Heading1"/>
        <w:spacing w:before="271"/>
        <w:ind w:left="712"/>
      </w:pPr>
      <w:r>
        <w:rPr/>
        <w:t>Guidelines for the omega-3 fatty acid requirement of children</w:t>
      </w:r>
    </w:p>
    <w:p>
      <w:pPr>
        <w:pStyle w:val="BodyText"/>
        <w:spacing w:before="299"/>
        <w:ind w:left="616"/>
      </w:pPr>
      <w:r>
        <w:rPr/>
        <w:t>The following table illustrates the omega-3 fatty acid requirement of children:</w:t>
      </w:r>
    </w:p>
    <w:p>
      <w:pPr>
        <w:pStyle w:val="BodyText"/>
        <w:spacing w:before="1"/>
        <w:rPr>
          <w:sz w:val="6"/>
        </w:r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18"/>
        <w:gridCol w:w="2553"/>
        <w:gridCol w:w="2124"/>
      </w:tblGrid>
      <w:tr>
        <w:trPr>
          <w:trHeight w:val="731" w:hRule="atLeast"/>
        </w:trPr>
        <w:tc>
          <w:tcPr>
            <w:tcW w:w="2518" w:type="dxa"/>
            <w:shd w:val="clear" w:color="auto" w:fill="00AFEF"/>
          </w:tcPr>
          <w:p>
            <w:pPr>
              <w:pStyle w:val="TableParagraph"/>
              <w:spacing w:before="236"/>
              <w:ind w:left="110"/>
              <w:rPr>
                <w:sz w:val="38"/>
              </w:rPr>
            </w:pPr>
            <w:r>
              <w:rPr>
                <w:sz w:val="38"/>
              </w:rPr>
              <w:t>AGE</w:t>
            </w:r>
          </w:p>
        </w:tc>
        <w:tc>
          <w:tcPr>
            <w:tcW w:w="2553" w:type="dxa"/>
            <w:shd w:val="clear" w:color="auto" w:fill="00AFEF"/>
          </w:tcPr>
          <w:p>
            <w:pPr>
              <w:pStyle w:val="TableParagraph"/>
              <w:spacing w:before="236"/>
              <w:ind w:left="110"/>
              <w:rPr>
                <w:sz w:val="38"/>
              </w:rPr>
            </w:pPr>
            <w:r>
              <w:rPr>
                <w:sz w:val="38"/>
              </w:rPr>
              <w:t>MALE</w:t>
            </w:r>
          </w:p>
        </w:tc>
        <w:tc>
          <w:tcPr>
            <w:tcW w:w="2124" w:type="dxa"/>
            <w:shd w:val="clear" w:color="auto" w:fill="00AFEF"/>
          </w:tcPr>
          <w:p>
            <w:pPr>
              <w:pStyle w:val="TableParagraph"/>
              <w:spacing w:before="236"/>
              <w:ind w:left="108"/>
              <w:rPr>
                <w:sz w:val="38"/>
              </w:rPr>
            </w:pPr>
            <w:r>
              <w:rPr>
                <w:sz w:val="38"/>
              </w:rPr>
              <w:t>FEMALE</w:t>
            </w:r>
          </w:p>
        </w:tc>
      </w:tr>
      <w:tr>
        <w:trPr>
          <w:trHeight w:val="930" w:hRule="atLeast"/>
        </w:trPr>
        <w:tc>
          <w:tcPr>
            <w:tcW w:w="2518" w:type="dxa"/>
            <w:shd w:val="clear" w:color="auto" w:fill="92D050"/>
          </w:tcPr>
          <w:p>
            <w:pPr>
              <w:pStyle w:val="TableParagraph"/>
              <w:spacing w:before="238"/>
              <w:ind w:left="110"/>
              <w:rPr>
                <w:sz w:val="38"/>
              </w:rPr>
            </w:pPr>
            <w:r>
              <w:rPr>
                <w:sz w:val="38"/>
              </w:rPr>
              <w:t>0-4 months</w:t>
            </w:r>
          </w:p>
        </w:tc>
        <w:tc>
          <w:tcPr>
            <w:tcW w:w="2553" w:type="dxa"/>
            <w:shd w:val="clear" w:color="auto" w:fill="C5D9F0"/>
          </w:tcPr>
          <w:p>
            <w:pPr>
              <w:pStyle w:val="TableParagraph"/>
              <w:spacing w:before="238"/>
              <w:ind w:left="110"/>
              <w:rPr>
                <w:sz w:val="38"/>
              </w:rPr>
            </w:pPr>
            <w:r>
              <w:rPr>
                <w:sz w:val="38"/>
              </w:rPr>
              <w:t>261 mg</w:t>
            </w:r>
          </w:p>
        </w:tc>
        <w:tc>
          <w:tcPr>
            <w:tcW w:w="2124" w:type="dxa"/>
            <w:shd w:val="clear" w:color="auto" w:fill="F1DBDB"/>
          </w:tcPr>
          <w:p>
            <w:pPr>
              <w:pStyle w:val="TableParagraph"/>
              <w:spacing w:before="238"/>
              <w:ind w:left="108"/>
              <w:rPr>
                <w:sz w:val="38"/>
              </w:rPr>
            </w:pPr>
            <w:r>
              <w:rPr>
                <w:sz w:val="38"/>
              </w:rPr>
              <w:t>233 mg</w:t>
            </w:r>
          </w:p>
        </w:tc>
      </w:tr>
      <w:tr>
        <w:trPr>
          <w:trHeight w:val="930" w:hRule="atLeast"/>
        </w:trPr>
        <w:tc>
          <w:tcPr>
            <w:tcW w:w="2518" w:type="dxa"/>
            <w:shd w:val="clear" w:color="auto" w:fill="92D050"/>
          </w:tcPr>
          <w:p>
            <w:pPr>
              <w:pStyle w:val="TableParagraph"/>
              <w:spacing w:before="238"/>
              <w:ind w:left="110"/>
              <w:rPr>
                <w:sz w:val="38"/>
              </w:rPr>
            </w:pPr>
            <w:r>
              <w:rPr>
                <w:sz w:val="38"/>
              </w:rPr>
              <w:t>4-12 months</w:t>
            </w:r>
          </w:p>
        </w:tc>
        <w:tc>
          <w:tcPr>
            <w:tcW w:w="2553" w:type="dxa"/>
            <w:shd w:val="clear" w:color="auto" w:fill="C5D9F0"/>
          </w:tcPr>
          <w:p>
            <w:pPr>
              <w:pStyle w:val="TableParagraph"/>
              <w:spacing w:before="238"/>
              <w:ind w:left="110"/>
              <w:rPr>
                <w:sz w:val="38"/>
              </w:rPr>
            </w:pPr>
            <w:r>
              <w:rPr>
                <w:sz w:val="38"/>
              </w:rPr>
              <w:t>426 mg</w:t>
            </w:r>
          </w:p>
        </w:tc>
        <w:tc>
          <w:tcPr>
            <w:tcW w:w="2124" w:type="dxa"/>
            <w:shd w:val="clear" w:color="auto" w:fill="F1DBDB"/>
          </w:tcPr>
          <w:p>
            <w:pPr>
              <w:pStyle w:val="TableParagraph"/>
              <w:spacing w:before="238"/>
              <w:ind w:left="108"/>
              <w:rPr>
                <w:sz w:val="38"/>
              </w:rPr>
            </w:pPr>
            <w:r>
              <w:rPr>
                <w:sz w:val="38"/>
              </w:rPr>
              <w:t>402 mg</w:t>
            </w:r>
          </w:p>
        </w:tc>
      </w:tr>
      <w:tr>
        <w:trPr>
          <w:trHeight w:val="933" w:hRule="atLeast"/>
        </w:trPr>
        <w:tc>
          <w:tcPr>
            <w:tcW w:w="2518" w:type="dxa"/>
            <w:shd w:val="clear" w:color="auto" w:fill="92D050"/>
          </w:tcPr>
          <w:p>
            <w:pPr>
              <w:pStyle w:val="TableParagraph"/>
              <w:spacing w:before="238"/>
              <w:ind w:left="110"/>
              <w:rPr>
                <w:sz w:val="38"/>
              </w:rPr>
            </w:pPr>
            <w:r>
              <w:rPr>
                <w:sz w:val="38"/>
              </w:rPr>
              <w:t>1-4 years</w:t>
            </w:r>
          </w:p>
        </w:tc>
        <w:tc>
          <w:tcPr>
            <w:tcW w:w="2553" w:type="dxa"/>
            <w:shd w:val="clear" w:color="auto" w:fill="C5D9F0"/>
          </w:tcPr>
          <w:p>
            <w:pPr>
              <w:pStyle w:val="TableParagraph"/>
              <w:spacing w:before="238"/>
              <w:ind w:left="110"/>
              <w:rPr>
                <w:sz w:val="38"/>
              </w:rPr>
            </w:pPr>
            <w:r>
              <w:rPr>
                <w:sz w:val="38"/>
              </w:rPr>
              <w:t>668 mg</w:t>
            </w:r>
          </w:p>
        </w:tc>
        <w:tc>
          <w:tcPr>
            <w:tcW w:w="2124" w:type="dxa"/>
            <w:shd w:val="clear" w:color="auto" w:fill="F1DBDB"/>
          </w:tcPr>
          <w:p>
            <w:pPr>
              <w:pStyle w:val="TableParagraph"/>
              <w:spacing w:before="238"/>
              <w:ind w:left="108"/>
              <w:rPr>
                <w:sz w:val="38"/>
              </w:rPr>
            </w:pPr>
            <w:r>
              <w:rPr>
                <w:sz w:val="38"/>
              </w:rPr>
              <w:t>622 mg</w:t>
            </w:r>
          </w:p>
        </w:tc>
      </w:tr>
      <w:tr>
        <w:trPr>
          <w:trHeight w:val="930" w:hRule="atLeast"/>
        </w:trPr>
        <w:tc>
          <w:tcPr>
            <w:tcW w:w="2518" w:type="dxa"/>
            <w:shd w:val="clear" w:color="auto" w:fill="92D050"/>
          </w:tcPr>
          <w:p>
            <w:pPr>
              <w:pStyle w:val="TableParagraph"/>
              <w:spacing w:before="238"/>
              <w:ind w:left="110"/>
              <w:rPr>
                <w:sz w:val="38"/>
              </w:rPr>
            </w:pPr>
            <w:r>
              <w:rPr>
                <w:sz w:val="38"/>
              </w:rPr>
              <w:t>4-7 years</w:t>
            </w:r>
          </w:p>
        </w:tc>
        <w:tc>
          <w:tcPr>
            <w:tcW w:w="2553" w:type="dxa"/>
            <w:shd w:val="clear" w:color="auto" w:fill="C5D9F0"/>
          </w:tcPr>
          <w:p>
            <w:pPr>
              <w:pStyle w:val="TableParagraph"/>
              <w:spacing w:before="238"/>
              <w:ind w:left="110"/>
              <w:rPr>
                <w:sz w:val="38"/>
              </w:rPr>
            </w:pPr>
            <w:r>
              <w:rPr>
                <w:sz w:val="38"/>
              </w:rPr>
              <w:t>879 mg</w:t>
            </w:r>
          </w:p>
        </w:tc>
        <w:tc>
          <w:tcPr>
            <w:tcW w:w="2124" w:type="dxa"/>
            <w:shd w:val="clear" w:color="auto" w:fill="F1DBDB"/>
          </w:tcPr>
          <w:p>
            <w:pPr>
              <w:pStyle w:val="TableParagraph"/>
              <w:spacing w:before="238"/>
              <w:ind w:left="108"/>
              <w:rPr>
                <w:sz w:val="38"/>
              </w:rPr>
            </w:pPr>
            <w:r>
              <w:rPr>
                <w:sz w:val="38"/>
              </w:rPr>
              <w:t>788 mg</w:t>
            </w:r>
          </w:p>
        </w:tc>
      </w:tr>
    </w:tbl>
    <w:p>
      <w:pPr>
        <w:spacing w:after="0"/>
        <w:rPr>
          <w:sz w:val="38"/>
        </w:rPr>
        <w:sectPr>
          <w:pgSz w:w="14270" w:h="16850"/>
          <w:pgMar w:header="0" w:footer="1891" w:top="1420" w:bottom="2080" w:left="800" w:right="1280"/>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18"/>
        <w:gridCol w:w="2553"/>
        <w:gridCol w:w="2124"/>
      </w:tblGrid>
      <w:tr>
        <w:trPr>
          <w:trHeight w:val="933" w:hRule="atLeast"/>
        </w:trPr>
        <w:tc>
          <w:tcPr>
            <w:tcW w:w="2518" w:type="dxa"/>
            <w:shd w:val="clear" w:color="auto" w:fill="92D050"/>
          </w:tcPr>
          <w:p>
            <w:pPr>
              <w:pStyle w:val="TableParagraph"/>
              <w:spacing w:before="236"/>
              <w:ind w:left="110"/>
              <w:rPr>
                <w:sz w:val="38"/>
              </w:rPr>
            </w:pPr>
            <w:r>
              <w:rPr>
                <w:sz w:val="38"/>
              </w:rPr>
              <w:t>7-10 years</w:t>
            </w:r>
          </w:p>
        </w:tc>
        <w:tc>
          <w:tcPr>
            <w:tcW w:w="2553" w:type="dxa"/>
            <w:shd w:val="clear" w:color="auto" w:fill="C5D9F0"/>
          </w:tcPr>
          <w:p>
            <w:pPr>
              <w:pStyle w:val="TableParagraph"/>
              <w:spacing w:before="236"/>
              <w:ind w:left="110"/>
              <w:rPr>
                <w:sz w:val="38"/>
              </w:rPr>
            </w:pPr>
            <w:r>
              <w:rPr>
                <w:sz w:val="38"/>
              </w:rPr>
              <w:t>1089 mg</w:t>
            </w:r>
          </w:p>
        </w:tc>
        <w:tc>
          <w:tcPr>
            <w:tcW w:w="2124" w:type="dxa"/>
            <w:shd w:val="clear" w:color="auto" w:fill="F1DBDB"/>
          </w:tcPr>
          <w:p>
            <w:pPr>
              <w:pStyle w:val="TableParagraph"/>
              <w:spacing w:before="236"/>
              <w:ind w:left="108"/>
              <w:rPr>
                <w:sz w:val="38"/>
              </w:rPr>
            </w:pPr>
            <w:r>
              <w:rPr>
                <w:sz w:val="38"/>
              </w:rPr>
              <w:t>987 mg</w:t>
            </w:r>
          </w:p>
        </w:tc>
      </w:tr>
      <w:tr>
        <w:trPr>
          <w:trHeight w:val="930" w:hRule="atLeast"/>
        </w:trPr>
        <w:tc>
          <w:tcPr>
            <w:tcW w:w="2518" w:type="dxa"/>
            <w:shd w:val="clear" w:color="auto" w:fill="92D050"/>
          </w:tcPr>
          <w:p>
            <w:pPr>
              <w:pStyle w:val="TableParagraph"/>
              <w:spacing w:before="234"/>
              <w:ind w:left="110"/>
              <w:rPr>
                <w:sz w:val="38"/>
              </w:rPr>
            </w:pPr>
            <w:r>
              <w:rPr>
                <w:sz w:val="38"/>
              </w:rPr>
              <w:t>10-13 years</w:t>
            </w:r>
          </w:p>
        </w:tc>
        <w:tc>
          <w:tcPr>
            <w:tcW w:w="2553" w:type="dxa"/>
            <w:shd w:val="clear" w:color="auto" w:fill="C5D9F0"/>
          </w:tcPr>
          <w:p>
            <w:pPr>
              <w:pStyle w:val="TableParagraph"/>
              <w:spacing w:before="234"/>
              <w:ind w:left="110"/>
              <w:rPr>
                <w:sz w:val="38"/>
              </w:rPr>
            </w:pPr>
            <w:r>
              <w:rPr>
                <w:sz w:val="38"/>
              </w:rPr>
              <w:t>1305 mg</w:t>
            </w:r>
          </w:p>
        </w:tc>
        <w:tc>
          <w:tcPr>
            <w:tcW w:w="2124" w:type="dxa"/>
            <w:shd w:val="clear" w:color="auto" w:fill="F1DBDB"/>
          </w:tcPr>
          <w:p>
            <w:pPr>
              <w:pStyle w:val="TableParagraph"/>
              <w:spacing w:before="234"/>
              <w:ind w:left="108"/>
              <w:rPr>
                <w:sz w:val="38"/>
              </w:rPr>
            </w:pPr>
            <w:r>
              <w:rPr>
                <w:sz w:val="38"/>
              </w:rPr>
              <w:t>1172 mg</w:t>
            </w:r>
          </w:p>
        </w:tc>
      </w:tr>
      <w:tr>
        <w:trPr>
          <w:trHeight w:val="933" w:hRule="atLeast"/>
        </w:trPr>
        <w:tc>
          <w:tcPr>
            <w:tcW w:w="2518" w:type="dxa"/>
            <w:shd w:val="clear" w:color="auto" w:fill="92D050"/>
          </w:tcPr>
          <w:p>
            <w:pPr>
              <w:pStyle w:val="TableParagraph"/>
              <w:spacing w:before="234"/>
              <w:ind w:left="110"/>
              <w:rPr>
                <w:sz w:val="38"/>
              </w:rPr>
            </w:pPr>
            <w:r>
              <w:rPr>
                <w:sz w:val="38"/>
              </w:rPr>
              <w:t>13-15 years</w:t>
            </w:r>
          </w:p>
        </w:tc>
        <w:tc>
          <w:tcPr>
            <w:tcW w:w="2553" w:type="dxa"/>
            <w:shd w:val="clear" w:color="auto" w:fill="C5D9F0"/>
          </w:tcPr>
          <w:p>
            <w:pPr>
              <w:pStyle w:val="TableParagraph"/>
              <w:spacing w:before="234"/>
              <w:ind w:left="110"/>
              <w:rPr>
                <w:sz w:val="38"/>
              </w:rPr>
            </w:pPr>
            <w:r>
              <w:rPr>
                <w:sz w:val="38"/>
              </w:rPr>
              <w:t>1547 mg</w:t>
            </w:r>
          </w:p>
        </w:tc>
        <w:tc>
          <w:tcPr>
            <w:tcW w:w="2124" w:type="dxa"/>
            <w:shd w:val="clear" w:color="auto" w:fill="F1DBDB"/>
          </w:tcPr>
          <w:p>
            <w:pPr>
              <w:pStyle w:val="TableParagraph"/>
              <w:spacing w:before="234"/>
              <w:ind w:left="108"/>
              <w:rPr>
                <w:sz w:val="38"/>
              </w:rPr>
            </w:pPr>
            <w:r>
              <w:rPr>
                <w:sz w:val="38"/>
              </w:rPr>
              <w:t>1286 mg</w:t>
            </w:r>
          </w:p>
        </w:tc>
      </w:tr>
    </w:tbl>
    <w:p>
      <w:pPr>
        <w:pStyle w:val="BodyText"/>
        <w:rPr>
          <w:sz w:val="20"/>
        </w:rPr>
      </w:pPr>
    </w:p>
    <w:p>
      <w:pPr>
        <w:pStyle w:val="BodyText"/>
        <w:rPr>
          <w:sz w:val="20"/>
        </w:rPr>
      </w:pPr>
    </w:p>
    <w:p>
      <w:pPr>
        <w:pStyle w:val="BodyText"/>
        <w:rPr>
          <w:sz w:val="20"/>
        </w:rPr>
      </w:pPr>
    </w:p>
    <w:p>
      <w:pPr>
        <w:pStyle w:val="Heading1"/>
        <w:spacing w:before="269"/>
        <w:ind w:left="616"/>
      </w:pPr>
      <w:r>
        <w:rPr/>
        <w:t>Omega-3 fatty acids and vegetarians</w:t>
      </w:r>
    </w:p>
    <w:p>
      <w:pPr>
        <w:pStyle w:val="BodyText"/>
        <w:spacing w:line="276" w:lineRule="auto" w:before="300"/>
        <w:ind w:left="616" w:right="135"/>
        <w:jc w:val="both"/>
      </w:pPr>
      <w:r>
        <w:rPr/>
        <w:t>The shortage situation is even more complicated for vegetarians, as they are known to avoid both fish and fish oil. It follows that the intake of EPA and DHA is low, which can lead to a pronounced lack of omega-3 fatty acids. In the</w:t>
      </w:r>
      <w:r>
        <w:rPr>
          <w:spacing w:val="-13"/>
        </w:rPr>
        <w:t> </w:t>
      </w:r>
      <w:r>
        <w:rPr/>
        <w:t>meantime,</w:t>
      </w:r>
      <w:r>
        <w:rPr>
          <w:spacing w:val="-13"/>
        </w:rPr>
        <w:t> </w:t>
      </w:r>
      <w:r>
        <w:rPr/>
        <w:t>eggs</w:t>
      </w:r>
      <w:r>
        <w:rPr>
          <w:spacing w:val="-12"/>
        </w:rPr>
        <w:t> </w:t>
      </w:r>
      <w:r>
        <w:rPr/>
        <w:t>from</w:t>
      </w:r>
      <w:r>
        <w:rPr>
          <w:spacing w:val="-14"/>
        </w:rPr>
        <w:t> </w:t>
      </w:r>
      <w:r>
        <w:rPr/>
        <w:t>special</w:t>
      </w:r>
      <w:r>
        <w:rPr>
          <w:spacing w:val="-15"/>
        </w:rPr>
        <w:t> </w:t>
      </w:r>
      <w:r>
        <w:rPr/>
        <w:t>production,</w:t>
      </w:r>
      <w:r>
        <w:rPr>
          <w:spacing w:val="-12"/>
        </w:rPr>
        <w:t> </w:t>
      </w:r>
      <w:r>
        <w:rPr/>
        <w:t>when</w:t>
      </w:r>
      <w:r>
        <w:rPr>
          <w:spacing w:val="-13"/>
        </w:rPr>
        <w:t> </w:t>
      </w:r>
      <w:r>
        <w:rPr/>
        <w:t>the</w:t>
      </w:r>
      <w:r>
        <w:rPr>
          <w:spacing w:val="-13"/>
        </w:rPr>
        <w:t> </w:t>
      </w:r>
      <w:r>
        <w:rPr/>
        <w:t>laying</w:t>
      </w:r>
      <w:r>
        <w:rPr>
          <w:spacing w:val="-13"/>
        </w:rPr>
        <w:t> </w:t>
      </w:r>
      <w:r>
        <w:rPr/>
        <w:t>hens</w:t>
      </w:r>
      <w:r>
        <w:rPr>
          <w:spacing w:val="-13"/>
        </w:rPr>
        <w:t> </w:t>
      </w:r>
      <w:r>
        <w:rPr/>
        <w:t>are</w:t>
      </w:r>
      <w:r>
        <w:rPr>
          <w:spacing w:val="-14"/>
        </w:rPr>
        <w:t> </w:t>
      </w:r>
      <w:r>
        <w:rPr/>
        <w:t>fed</w:t>
      </w:r>
      <w:r>
        <w:rPr>
          <w:spacing w:val="-13"/>
        </w:rPr>
        <w:t> </w:t>
      </w:r>
      <w:r>
        <w:rPr/>
        <w:t>with DHA or with linseed-enriched feed, may be eaten by ovo or ovo-lacto vege- tarians. In addition, it is advisable to resort more to linseed, walnut and rape- seed oil; a dietary supplement can be taken in the form of DHA-rich algae oil to boost levels. A shortage is therefore quite avoidable, even for</w:t>
      </w:r>
      <w:r>
        <w:rPr>
          <w:spacing w:val="-26"/>
        </w:rPr>
        <w:t> </w:t>
      </w:r>
      <w:r>
        <w:rPr/>
        <w:t>vegetarians.</w:t>
      </w:r>
    </w:p>
    <w:p>
      <w:pPr>
        <w:pStyle w:val="Heading2"/>
        <w:spacing w:before="241"/>
        <w:ind w:left="616"/>
      </w:pPr>
      <w:r>
        <w:rPr/>
        <w:t>Sources of omega-3 fatty acids</w:t>
      </w:r>
    </w:p>
    <w:p>
      <w:pPr>
        <w:pStyle w:val="BodyText"/>
        <w:spacing w:line="276" w:lineRule="auto" w:before="304"/>
        <w:ind w:left="616"/>
      </w:pPr>
      <w:r>
        <w:rPr/>
        <w:t>There are several ways to ensure an adequate intake of the valuable omega-3 fatty acids:</w:t>
      </w:r>
    </w:p>
    <w:p>
      <w:pPr>
        <w:pStyle w:val="Heading1"/>
        <w:ind w:left="616"/>
        <w:jc w:val="both"/>
      </w:pPr>
      <w:r>
        <w:rPr/>
        <w:t>Omega-3 fatty acids from fish</w:t>
      </w:r>
    </w:p>
    <w:p>
      <w:pPr>
        <w:pStyle w:val="BodyText"/>
        <w:spacing w:before="297"/>
        <w:ind w:left="616"/>
        <w:jc w:val="both"/>
      </w:pPr>
      <w:r>
        <w:rPr/>
        <w:t>One option is fatty salt-water fish such as herring, tuna, mackerel and sardines.</w:t>
      </w:r>
    </w:p>
    <w:p>
      <w:pPr>
        <w:spacing w:after="0"/>
        <w:jc w:val="both"/>
        <w:sectPr>
          <w:footerReference w:type="default" r:id="rId266"/>
          <w:pgSz w:w="14270" w:h="16850"/>
          <w:pgMar w:footer="1891" w:header="0" w:top="1420" w:bottom="2080" w:left="800" w:right="1280"/>
          <w:pgNumType w:start="1090"/>
        </w:sectPr>
      </w:pPr>
    </w:p>
    <w:p>
      <w:pPr>
        <w:pStyle w:val="BodyText"/>
        <w:spacing w:before="72"/>
        <w:ind w:left="616"/>
      </w:pPr>
      <w:r>
        <w:rPr/>
        <w:t>These fish species should be on our menu twice a week.</w:t>
      </w:r>
    </w:p>
    <w:p>
      <w:pPr>
        <w:pStyle w:val="Heading1"/>
        <w:spacing w:before="287"/>
        <w:ind w:left="616"/>
      </w:pPr>
      <w:r>
        <w:rPr/>
        <w:t>Omega-3 fatty acids from canned fish</w:t>
      </w:r>
    </w:p>
    <w:p>
      <w:pPr>
        <w:pStyle w:val="BodyText"/>
        <w:spacing w:line="276" w:lineRule="auto" w:before="299"/>
        <w:ind w:left="616"/>
      </w:pPr>
      <w:r>
        <w:rPr/>
        <w:t>Even canned mackerel, tuna, salmon and sardine are still very good omega-3 sources, despite losing some content during the preservation process.</w:t>
      </w:r>
    </w:p>
    <w:p>
      <w:pPr>
        <w:pStyle w:val="Heading1"/>
        <w:ind w:left="616"/>
      </w:pPr>
      <w:r>
        <w:rPr/>
        <w:t>Omega-3 fatty acids from oils</w:t>
      </w:r>
    </w:p>
    <w:p>
      <w:pPr>
        <w:pStyle w:val="BodyText"/>
        <w:spacing w:line="276" w:lineRule="auto" w:before="300"/>
        <w:ind w:left="616" w:right="133"/>
        <w:jc w:val="both"/>
      </w:pPr>
      <w:r>
        <w:rPr/>
        <w:t>Linseed oil consists of 55 % omega-3 fatty acids and should therefore be pre- ferred.</w:t>
      </w:r>
      <w:r>
        <w:rPr>
          <w:spacing w:val="-17"/>
        </w:rPr>
        <w:t> </w:t>
      </w:r>
      <w:r>
        <w:rPr/>
        <w:t>But</w:t>
      </w:r>
      <w:r>
        <w:rPr>
          <w:spacing w:val="-18"/>
        </w:rPr>
        <w:t> </w:t>
      </w:r>
      <w:r>
        <w:rPr/>
        <w:t>rapeseed</w:t>
      </w:r>
      <w:r>
        <w:rPr>
          <w:spacing w:val="-17"/>
        </w:rPr>
        <w:t> </w:t>
      </w:r>
      <w:r>
        <w:rPr/>
        <w:t>and</w:t>
      </w:r>
      <w:r>
        <w:rPr>
          <w:spacing w:val="-16"/>
        </w:rPr>
        <w:t> </w:t>
      </w:r>
      <w:r>
        <w:rPr/>
        <w:t>walnut</w:t>
      </w:r>
      <w:r>
        <w:rPr>
          <w:spacing w:val="-16"/>
        </w:rPr>
        <w:t> </w:t>
      </w:r>
      <w:r>
        <w:rPr/>
        <w:t>oils</w:t>
      </w:r>
      <w:r>
        <w:rPr>
          <w:spacing w:val="-17"/>
        </w:rPr>
        <w:t> </w:t>
      </w:r>
      <w:r>
        <w:rPr/>
        <w:t>also</w:t>
      </w:r>
      <w:r>
        <w:rPr>
          <w:spacing w:val="-17"/>
        </w:rPr>
        <w:t> </w:t>
      </w:r>
      <w:r>
        <w:rPr/>
        <w:t>provide</w:t>
      </w:r>
      <w:r>
        <w:rPr>
          <w:spacing w:val="-19"/>
        </w:rPr>
        <w:t> </w:t>
      </w:r>
      <w:r>
        <w:rPr/>
        <w:t>plenty</w:t>
      </w:r>
      <w:r>
        <w:rPr>
          <w:spacing w:val="-18"/>
        </w:rPr>
        <w:t> </w:t>
      </w:r>
      <w:r>
        <w:rPr/>
        <w:t>of</w:t>
      </w:r>
      <w:r>
        <w:rPr>
          <w:spacing w:val="-17"/>
        </w:rPr>
        <w:t> </w:t>
      </w:r>
      <w:r>
        <w:rPr/>
        <w:t>omega-3</w:t>
      </w:r>
      <w:r>
        <w:rPr>
          <w:spacing w:val="-18"/>
        </w:rPr>
        <w:t> </w:t>
      </w:r>
      <w:r>
        <w:rPr/>
        <w:t>fatty</w:t>
      </w:r>
      <w:r>
        <w:rPr>
          <w:spacing w:val="-18"/>
        </w:rPr>
        <w:t> </w:t>
      </w:r>
      <w:r>
        <w:rPr/>
        <w:t>acids. It should be noted, however, that vegetable oils alone can only provide a lim- ited</w:t>
      </w:r>
      <w:r>
        <w:rPr>
          <w:spacing w:val="-8"/>
        </w:rPr>
        <w:t> </w:t>
      </w:r>
      <w:r>
        <w:rPr/>
        <w:t>supply</w:t>
      </w:r>
      <w:r>
        <w:rPr>
          <w:spacing w:val="-7"/>
        </w:rPr>
        <w:t> </w:t>
      </w:r>
      <w:r>
        <w:rPr/>
        <w:t>of</w:t>
      </w:r>
      <w:r>
        <w:rPr>
          <w:spacing w:val="-6"/>
        </w:rPr>
        <w:t> </w:t>
      </w:r>
      <w:r>
        <w:rPr/>
        <w:t>the</w:t>
      </w:r>
      <w:r>
        <w:rPr>
          <w:spacing w:val="-7"/>
        </w:rPr>
        <w:t> </w:t>
      </w:r>
      <w:r>
        <w:rPr/>
        <w:t>valuable</w:t>
      </w:r>
      <w:r>
        <w:rPr>
          <w:spacing w:val="-7"/>
        </w:rPr>
        <w:t> </w:t>
      </w:r>
      <w:r>
        <w:rPr/>
        <w:t>EPA,</w:t>
      </w:r>
      <w:r>
        <w:rPr>
          <w:spacing w:val="-5"/>
        </w:rPr>
        <w:t> </w:t>
      </w:r>
      <w:r>
        <w:rPr/>
        <w:t>since</w:t>
      </w:r>
      <w:r>
        <w:rPr>
          <w:spacing w:val="-6"/>
        </w:rPr>
        <w:t> </w:t>
      </w:r>
      <w:r>
        <w:rPr/>
        <w:t>the</w:t>
      </w:r>
      <w:r>
        <w:rPr>
          <w:spacing w:val="-8"/>
        </w:rPr>
        <w:t> </w:t>
      </w:r>
      <w:r>
        <w:rPr/>
        <w:t>supply</w:t>
      </w:r>
      <w:r>
        <w:rPr>
          <w:spacing w:val="-9"/>
        </w:rPr>
        <w:t> </w:t>
      </w:r>
      <w:r>
        <w:rPr/>
        <w:t>of</w:t>
      </w:r>
      <w:r>
        <w:rPr>
          <w:spacing w:val="-7"/>
        </w:rPr>
        <w:t> </w:t>
      </w:r>
      <w:r>
        <w:rPr/>
        <w:t>oils</w:t>
      </w:r>
      <w:r>
        <w:rPr>
          <w:spacing w:val="-7"/>
        </w:rPr>
        <w:t> </w:t>
      </w:r>
      <w:r>
        <w:rPr/>
        <w:t>and</w:t>
      </w:r>
      <w:r>
        <w:rPr>
          <w:spacing w:val="-8"/>
        </w:rPr>
        <w:t> </w:t>
      </w:r>
      <w:r>
        <w:rPr/>
        <w:t>nuts</w:t>
      </w:r>
      <w:r>
        <w:rPr>
          <w:spacing w:val="-10"/>
        </w:rPr>
        <w:t> </w:t>
      </w:r>
      <w:r>
        <w:rPr/>
        <w:t>only</w:t>
      </w:r>
      <w:r>
        <w:rPr>
          <w:spacing w:val="-7"/>
        </w:rPr>
        <w:t> </w:t>
      </w:r>
      <w:r>
        <w:rPr/>
        <w:t>ensures the form of alpha-linolenic acid, from which, however, the body must first produce EPA to then be able to form DHA. Fish and special microalgae, on the other hand, provide a direct supply of EPA and</w:t>
      </w:r>
      <w:r>
        <w:rPr>
          <w:spacing w:val="-7"/>
        </w:rPr>
        <w:t> </w:t>
      </w:r>
      <w:r>
        <w:rPr/>
        <w:t>DHA.</w:t>
      </w:r>
    </w:p>
    <w:p>
      <w:pPr>
        <w:pStyle w:val="Heading1"/>
        <w:spacing w:before="223"/>
        <w:ind w:left="616"/>
      </w:pPr>
      <w:r>
        <w:rPr/>
        <w:t>Added omega-3 fatty acids in food</w:t>
      </w:r>
    </w:p>
    <w:p>
      <w:pPr>
        <w:pStyle w:val="BodyText"/>
        <w:spacing w:line="276" w:lineRule="auto" w:before="297"/>
        <w:ind w:left="616" w:right="244"/>
      </w:pPr>
      <w:r>
        <w:rPr/>
        <w:t>No less valuable are the omega-3 fatty acids which have recently been added to bread, eggs, yoghurt and margarine as so-called 'functional foods'.</w:t>
      </w:r>
    </w:p>
    <w:p>
      <w:pPr>
        <w:pStyle w:val="Heading1"/>
        <w:spacing w:before="223"/>
        <w:ind w:left="616"/>
      </w:pPr>
      <w:r>
        <w:rPr/>
        <w:t>Omega-3 fatty acids from fish oil and microalgae capsules</w:t>
      </w:r>
    </w:p>
    <w:p>
      <w:pPr>
        <w:pStyle w:val="BodyText"/>
        <w:spacing w:line="276" w:lineRule="auto" w:before="300"/>
        <w:ind w:left="616" w:right="134"/>
        <w:jc w:val="both"/>
      </w:pPr>
      <w:r>
        <w:rPr/>
        <w:t>Those who prefer to take supplements can also obtain omega-3 fatty acids in the form of fish oil capsules and micro-algae capsules, which are comparable to</w:t>
      </w:r>
      <w:r>
        <w:rPr>
          <w:spacing w:val="-4"/>
        </w:rPr>
        <w:t> </w:t>
      </w:r>
      <w:r>
        <w:rPr/>
        <w:t>the</w:t>
      </w:r>
      <w:r>
        <w:rPr>
          <w:spacing w:val="-3"/>
        </w:rPr>
        <w:t> </w:t>
      </w:r>
      <w:r>
        <w:rPr/>
        <w:t>value</w:t>
      </w:r>
      <w:r>
        <w:rPr>
          <w:spacing w:val="-6"/>
        </w:rPr>
        <w:t> </w:t>
      </w:r>
      <w:r>
        <w:rPr/>
        <w:t>of</w:t>
      </w:r>
      <w:r>
        <w:rPr>
          <w:spacing w:val="-4"/>
        </w:rPr>
        <w:t> </w:t>
      </w:r>
      <w:r>
        <w:rPr/>
        <w:t>the</w:t>
      </w:r>
      <w:r>
        <w:rPr>
          <w:spacing w:val="-4"/>
        </w:rPr>
        <w:t> </w:t>
      </w:r>
      <w:r>
        <w:rPr/>
        <w:t>omega-3</w:t>
      </w:r>
      <w:r>
        <w:rPr>
          <w:spacing w:val="-6"/>
        </w:rPr>
        <w:t> </w:t>
      </w:r>
      <w:r>
        <w:rPr/>
        <w:t>fatty</w:t>
      </w:r>
      <w:r>
        <w:rPr>
          <w:spacing w:val="-5"/>
        </w:rPr>
        <w:t> </w:t>
      </w:r>
      <w:r>
        <w:rPr/>
        <w:t>acids</w:t>
      </w:r>
      <w:r>
        <w:rPr>
          <w:spacing w:val="-4"/>
        </w:rPr>
        <w:t> </w:t>
      </w:r>
      <w:r>
        <w:rPr/>
        <w:t>from</w:t>
      </w:r>
      <w:r>
        <w:rPr>
          <w:spacing w:val="-6"/>
        </w:rPr>
        <w:t> </w:t>
      </w:r>
      <w:r>
        <w:rPr/>
        <w:t>natural</w:t>
      </w:r>
      <w:r>
        <w:rPr>
          <w:spacing w:val="-6"/>
        </w:rPr>
        <w:t> </w:t>
      </w:r>
      <w:r>
        <w:rPr/>
        <w:t>food.</w:t>
      </w:r>
      <w:r>
        <w:rPr>
          <w:spacing w:val="-4"/>
        </w:rPr>
        <w:t> </w:t>
      </w:r>
      <w:r>
        <w:rPr/>
        <w:t>As</w:t>
      </w:r>
      <w:r>
        <w:rPr>
          <w:spacing w:val="-5"/>
        </w:rPr>
        <w:t> </w:t>
      </w:r>
      <w:r>
        <w:rPr/>
        <w:t>a</w:t>
      </w:r>
      <w:r>
        <w:rPr>
          <w:spacing w:val="-8"/>
        </w:rPr>
        <w:t> </w:t>
      </w:r>
      <w:r>
        <w:rPr/>
        <w:t>basis,</w:t>
      </w:r>
      <w:r>
        <w:rPr>
          <w:spacing w:val="-3"/>
        </w:rPr>
        <w:t> </w:t>
      </w:r>
      <w:r>
        <w:rPr/>
        <w:t>a</w:t>
      </w:r>
      <w:r>
        <w:rPr>
          <w:spacing w:val="-5"/>
        </w:rPr>
        <w:t> </w:t>
      </w:r>
      <w:r>
        <w:rPr/>
        <w:t>smaller dose of about 0.5 g to 1 g/day at first and gradually increasing this dose to</w:t>
      </w:r>
      <w:r>
        <w:rPr>
          <w:spacing w:val="-41"/>
        </w:rPr>
        <w:t> </w:t>
      </w:r>
      <w:r>
        <w:rPr/>
        <w:t>1.5</w:t>
      </w:r>
    </w:p>
    <w:p>
      <w:pPr>
        <w:spacing w:after="0" w:line="276" w:lineRule="auto"/>
        <w:jc w:val="both"/>
        <w:sectPr>
          <w:pgSz w:w="14270" w:h="16850"/>
          <w:pgMar w:header="0" w:footer="1891" w:top="1340" w:bottom="2080" w:left="800" w:right="1280"/>
        </w:sectPr>
      </w:pPr>
    </w:p>
    <w:p>
      <w:pPr>
        <w:pStyle w:val="BodyText"/>
        <w:spacing w:line="276" w:lineRule="auto" w:before="72"/>
        <w:ind w:left="616" w:right="135"/>
        <w:jc w:val="both"/>
      </w:pPr>
      <w:r>
        <w:rPr/>
        <w:t>to 3 g per day is recommended. This gives a sensitive gastrointestinal tract the opportunity to get used to the extra fat digestion with fish oil. At the same time, the intake of 400-800 IU vitamin E along with the fish capsules is rec- ommended.</w:t>
      </w:r>
    </w:p>
    <w:p>
      <w:pPr>
        <w:pStyle w:val="Heading1"/>
        <w:ind w:left="616"/>
        <w:jc w:val="both"/>
      </w:pPr>
      <w:r>
        <w:rPr/>
        <w:t>Summary: Sources of omega-3 fatty</w:t>
      </w:r>
      <w:r>
        <w:rPr>
          <w:spacing w:val="-58"/>
        </w:rPr>
        <w:t> </w:t>
      </w:r>
      <w:r>
        <w:rPr/>
        <w:t>acids</w:t>
      </w:r>
    </w:p>
    <w:p>
      <w:pPr>
        <w:pStyle w:val="ListParagraph"/>
        <w:numPr>
          <w:ilvl w:val="1"/>
          <w:numId w:val="80"/>
        </w:numPr>
        <w:tabs>
          <w:tab w:pos="1042" w:val="left" w:leader="none"/>
        </w:tabs>
        <w:spacing w:line="240" w:lineRule="auto" w:before="180" w:after="0"/>
        <w:ind w:left="1041" w:right="0" w:hanging="295"/>
        <w:jc w:val="left"/>
        <w:rPr>
          <w:sz w:val="38"/>
        </w:rPr>
      </w:pPr>
      <w:r>
        <w:rPr>
          <w:sz w:val="38"/>
        </w:rPr>
        <w:t>linseed oil</w:t>
      </w:r>
    </w:p>
    <w:p>
      <w:pPr>
        <w:pStyle w:val="ListParagraph"/>
        <w:numPr>
          <w:ilvl w:val="1"/>
          <w:numId w:val="80"/>
        </w:numPr>
        <w:tabs>
          <w:tab w:pos="1042" w:val="left" w:leader="none"/>
        </w:tabs>
        <w:spacing w:line="240" w:lineRule="auto" w:before="183" w:after="0"/>
        <w:ind w:left="1041" w:right="0" w:hanging="295"/>
        <w:jc w:val="left"/>
        <w:rPr>
          <w:sz w:val="38"/>
        </w:rPr>
      </w:pPr>
      <w:r>
        <w:rPr>
          <w:sz w:val="38"/>
        </w:rPr>
        <w:t>soybean</w:t>
      </w:r>
      <w:r>
        <w:rPr>
          <w:spacing w:val="1"/>
          <w:sz w:val="38"/>
        </w:rPr>
        <w:t> </w:t>
      </w:r>
      <w:r>
        <w:rPr>
          <w:sz w:val="38"/>
        </w:rPr>
        <w:t>oil</w:t>
      </w:r>
    </w:p>
    <w:p>
      <w:pPr>
        <w:pStyle w:val="ListParagraph"/>
        <w:numPr>
          <w:ilvl w:val="1"/>
          <w:numId w:val="80"/>
        </w:numPr>
        <w:tabs>
          <w:tab w:pos="1042" w:val="left" w:leader="none"/>
        </w:tabs>
        <w:spacing w:line="240" w:lineRule="auto" w:before="185" w:after="0"/>
        <w:ind w:left="1041" w:right="0" w:hanging="295"/>
        <w:jc w:val="left"/>
        <w:rPr>
          <w:sz w:val="38"/>
        </w:rPr>
      </w:pPr>
      <w:r>
        <w:rPr>
          <w:sz w:val="38"/>
        </w:rPr>
        <w:t>rapeseed oil</w:t>
      </w:r>
    </w:p>
    <w:p>
      <w:pPr>
        <w:pStyle w:val="ListParagraph"/>
        <w:numPr>
          <w:ilvl w:val="1"/>
          <w:numId w:val="80"/>
        </w:numPr>
        <w:tabs>
          <w:tab w:pos="1042" w:val="left" w:leader="none"/>
        </w:tabs>
        <w:spacing w:line="240" w:lineRule="auto" w:before="183" w:after="0"/>
        <w:ind w:left="1041" w:right="0" w:hanging="295"/>
        <w:jc w:val="left"/>
        <w:rPr>
          <w:sz w:val="38"/>
        </w:rPr>
      </w:pPr>
      <w:r>
        <w:rPr>
          <w:sz w:val="38"/>
        </w:rPr>
        <w:t>walnut</w:t>
      </w:r>
      <w:r>
        <w:rPr>
          <w:spacing w:val="-1"/>
          <w:sz w:val="38"/>
        </w:rPr>
        <w:t> </w:t>
      </w:r>
      <w:r>
        <w:rPr>
          <w:sz w:val="38"/>
        </w:rPr>
        <w:t>oil</w:t>
      </w:r>
    </w:p>
    <w:p>
      <w:pPr>
        <w:pStyle w:val="ListParagraph"/>
        <w:numPr>
          <w:ilvl w:val="1"/>
          <w:numId w:val="80"/>
        </w:numPr>
        <w:tabs>
          <w:tab w:pos="1042" w:val="left" w:leader="none"/>
        </w:tabs>
        <w:spacing w:line="240" w:lineRule="auto" w:before="185" w:after="0"/>
        <w:ind w:left="1041" w:right="0" w:hanging="295"/>
        <w:jc w:val="left"/>
        <w:rPr>
          <w:sz w:val="38"/>
        </w:rPr>
      </w:pPr>
      <w:r>
        <w:rPr>
          <w:sz w:val="38"/>
        </w:rPr>
        <w:t>herring (especially young</w:t>
      </w:r>
      <w:r>
        <w:rPr>
          <w:spacing w:val="3"/>
          <w:sz w:val="38"/>
        </w:rPr>
        <w:t> </w:t>
      </w:r>
      <w:r>
        <w:rPr>
          <w:sz w:val="38"/>
        </w:rPr>
        <w:t>herring)</w:t>
      </w:r>
    </w:p>
    <w:p>
      <w:pPr>
        <w:pStyle w:val="ListParagraph"/>
        <w:numPr>
          <w:ilvl w:val="1"/>
          <w:numId w:val="80"/>
        </w:numPr>
        <w:tabs>
          <w:tab w:pos="1042" w:val="left" w:leader="none"/>
        </w:tabs>
        <w:spacing w:line="240" w:lineRule="auto" w:before="186" w:after="0"/>
        <w:ind w:left="1041" w:right="0" w:hanging="295"/>
        <w:jc w:val="left"/>
        <w:rPr>
          <w:sz w:val="38"/>
        </w:rPr>
      </w:pPr>
      <w:r>
        <w:rPr>
          <w:sz w:val="38"/>
        </w:rPr>
        <w:t>tuna</w:t>
      </w:r>
    </w:p>
    <w:p>
      <w:pPr>
        <w:pStyle w:val="ListParagraph"/>
        <w:numPr>
          <w:ilvl w:val="1"/>
          <w:numId w:val="80"/>
        </w:numPr>
        <w:tabs>
          <w:tab w:pos="1042" w:val="left" w:leader="none"/>
        </w:tabs>
        <w:spacing w:line="240" w:lineRule="auto" w:before="182" w:after="0"/>
        <w:ind w:left="1041" w:right="0" w:hanging="295"/>
        <w:jc w:val="left"/>
        <w:rPr>
          <w:sz w:val="38"/>
        </w:rPr>
      </w:pPr>
      <w:r>
        <w:rPr>
          <w:sz w:val="38"/>
        </w:rPr>
        <w:t>mackerel</w:t>
      </w:r>
    </w:p>
    <w:p>
      <w:pPr>
        <w:pStyle w:val="ListParagraph"/>
        <w:numPr>
          <w:ilvl w:val="1"/>
          <w:numId w:val="80"/>
        </w:numPr>
        <w:tabs>
          <w:tab w:pos="1042" w:val="left" w:leader="none"/>
        </w:tabs>
        <w:spacing w:line="240" w:lineRule="auto" w:before="186" w:after="0"/>
        <w:ind w:left="1041" w:right="0" w:hanging="295"/>
        <w:jc w:val="left"/>
        <w:rPr>
          <w:sz w:val="38"/>
        </w:rPr>
      </w:pPr>
      <w:r>
        <w:rPr>
          <w:sz w:val="38"/>
        </w:rPr>
        <w:t>sardine</w:t>
      </w:r>
    </w:p>
    <w:p>
      <w:pPr>
        <w:pStyle w:val="ListParagraph"/>
        <w:numPr>
          <w:ilvl w:val="1"/>
          <w:numId w:val="80"/>
        </w:numPr>
        <w:tabs>
          <w:tab w:pos="1137" w:val="left" w:leader="none"/>
          <w:tab w:pos="1138" w:val="left" w:leader="none"/>
        </w:tabs>
        <w:spacing w:line="271" w:lineRule="auto" w:before="183" w:after="0"/>
        <w:ind w:left="1041" w:right="131" w:hanging="295"/>
        <w:jc w:val="left"/>
        <w:rPr>
          <w:sz w:val="38"/>
        </w:rPr>
      </w:pPr>
      <w:r>
        <w:rPr>
          <w:sz w:val="38"/>
        </w:rPr>
        <w:t>Functional food: eggs, bread, yoghurt, margarine, enriched with omega-3 fatty</w:t>
      </w:r>
      <w:r>
        <w:rPr>
          <w:spacing w:val="-2"/>
          <w:sz w:val="38"/>
        </w:rPr>
        <w:t> </w:t>
      </w:r>
      <w:r>
        <w:rPr>
          <w:sz w:val="38"/>
        </w:rPr>
        <w:t>acids</w:t>
      </w:r>
    </w:p>
    <w:p>
      <w:pPr>
        <w:pStyle w:val="ListParagraph"/>
        <w:numPr>
          <w:ilvl w:val="1"/>
          <w:numId w:val="80"/>
        </w:numPr>
        <w:tabs>
          <w:tab w:pos="1042" w:val="left" w:leader="none"/>
        </w:tabs>
        <w:spacing w:line="240" w:lineRule="auto" w:before="133" w:after="0"/>
        <w:ind w:left="1041" w:right="0" w:hanging="295"/>
        <w:jc w:val="left"/>
        <w:rPr>
          <w:sz w:val="38"/>
        </w:rPr>
      </w:pPr>
      <w:r>
        <w:rPr>
          <w:sz w:val="38"/>
        </w:rPr>
        <w:t>fish oil capsules</w:t>
      </w:r>
    </w:p>
    <w:p>
      <w:pPr>
        <w:pStyle w:val="ListParagraph"/>
        <w:numPr>
          <w:ilvl w:val="1"/>
          <w:numId w:val="80"/>
        </w:numPr>
        <w:tabs>
          <w:tab w:pos="1042" w:val="left" w:leader="none"/>
        </w:tabs>
        <w:spacing w:line="240" w:lineRule="auto" w:before="183" w:after="0"/>
        <w:ind w:left="1041" w:right="0" w:hanging="295"/>
        <w:jc w:val="left"/>
        <w:rPr>
          <w:sz w:val="38"/>
        </w:rPr>
      </w:pPr>
      <w:r>
        <w:rPr>
          <w:sz w:val="38"/>
        </w:rPr>
        <w:t>microalgae capsules</w:t>
      </w:r>
    </w:p>
    <w:p>
      <w:pPr>
        <w:pStyle w:val="BodyText"/>
        <w:spacing w:before="305"/>
        <w:ind w:left="616"/>
        <w:jc w:val="both"/>
      </w:pPr>
      <w:r>
        <w:rPr/>
        <w:t>Side effects of omega-3 fatty acids</w:t>
      </w:r>
    </w:p>
    <w:p>
      <w:pPr>
        <w:pStyle w:val="BodyText"/>
        <w:spacing w:before="304"/>
        <w:ind w:left="616"/>
        <w:jc w:val="both"/>
      </w:pPr>
      <w:r>
        <w:rPr/>
        <w:t>In studies that observed a daily dose of up to 7,700 mg of omega-3 fatty acids</w:t>
      </w:r>
    </w:p>
    <w:p>
      <w:pPr>
        <w:spacing w:after="0"/>
        <w:jc w:val="both"/>
        <w:sectPr>
          <w:pgSz w:w="14270" w:h="16850"/>
          <w:pgMar w:header="0" w:footer="1891" w:top="1340" w:bottom="2080" w:left="800" w:right="1280"/>
        </w:sectPr>
      </w:pPr>
    </w:p>
    <w:p>
      <w:pPr>
        <w:pStyle w:val="BodyText"/>
        <w:spacing w:line="278" w:lineRule="auto" w:before="72"/>
        <w:ind w:left="616" w:right="53"/>
        <w:rPr>
          <w:sz w:val="25"/>
        </w:rPr>
      </w:pPr>
      <w:r>
        <w:rPr/>
        <w:t>(a multiplication of the usual dose), no side effects have been reported. A feel- ing of fullness and diarrhoea may occur at levels beyond 20,000 mg per day.</w:t>
      </w:r>
      <w:r>
        <w:rPr>
          <w:position w:val="9"/>
          <w:sz w:val="25"/>
        </w:rPr>
        <w:t>630</w:t>
      </w:r>
    </w:p>
    <w:p>
      <w:pPr>
        <w:pStyle w:val="Heading2"/>
        <w:spacing w:before="232"/>
        <w:ind w:left="616"/>
      </w:pPr>
      <w:r>
        <w:rPr/>
        <w:t>Contraindications of omega-3 fatty acids</w:t>
      </w:r>
    </w:p>
    <w:p>
      <w:pPr>
        <w:pStyle w:val="BodyText"/>
        <w:spacing w:line="276" w:lineRule="auto" w:before="305"/>
        <w:ind w:left="616" w:right="133"/>
        <w:jc w:val="both"/>
      </w:pPr>
      <w:r>
        <w:rPr/>
        <w:t>In case of bile problems and liver ailments as well as acute pancreatitis, the intake of fish oil products can lead to side effects. </w:t>
      </w:r>
      <w:r>
        <w:rPr>
          <w:position w:val="9"/>
          <w:sz w:val="25"/>
        </w:rPr>
        <w:t>631</w:t>
      </w:r>
      <w:r>
        <w:rPr/>
        <w:t>Furthermore, persons taking anti-coagulant medicines should consult their doctor before taking fish oil capsules as fish oil may alter the fluidity of the blood.</w:t>
      </w:r>
    </w:p>
    <w:p>
      <w:pPr>
        <w:pStyle w:val="BodyText"/>
        <w:spacing w:before="242"/>
        <w:ind w:left="616"/>
      </w:pPr>
      <w:r>
        <w:rPr/>
        <w:t>Recommended literature</w:t>
      </w:r>
    </w:p>
    <w:p>
      <w:pPr>
        <w:pStyle w:val="BodyText"/>
        <w:spacing w:line="278" w:lineRule="auto" w:before="302"/>
        <w:ind w:left="616" w:right="138"/>
      </w:pPr>
      <w:r>
        <w:rPr/>
        <w:t>If you want to look more closely at this topic, the following books about omega-3 fatty acids are recommended:</w:t>
      </w:r>
    </w:p>
    <w:p>
      <w:pPr>
        <w:pStyle w:val="BodyText"/>
        <w:spacing w:line="278" w:lineRule="auto" w:before="232"/>
        <w:ind w:left="616"/>
      </w:pPr>
      <w:r>
        <w:rPr/>
        <w:t>Omega-3-Fettsäuren – Gesundheit aus dem Meer ('Omega-3 Fatty Acids – Health from the Sea'), by Dr. Frank Liebke</w:t>
      </w:r>
    </w:p>
    <w:p>
      <w:pPr>
        <w:pStyle w:val="BodyText"/>
        <w:spacing w:line="276" w:lineRule="auto" w:before="233"/>
        <w:ind w:left="616"/>
      </w:pPr>
      <w:r>
        <w:rPr/>
        <w:t>Omega-3 aktiv-Gesundheit aus dem Meer ('Omega-3 Active-Health from the Sea') by Prof. Dr. Michael Hamm and Dirk Neuberger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r>
        <w:rPr/>
        <w:pict>
          <v:line style="position:absolute;mso-position-horizontal-relative:page;mso-position-vertical-relative:paragraph;z-index:8096;mso-wrap-distance-left:0;mso-wrap-distance-right:0" from="70.823997pt,13.972515pt" to="214.843997pt,13.972515pt" stroked="true" strokeweight=".71997pt" strokecolor="#000000">
            <v:stroke dashstyle="solid"/>
            <w10:wrap type="topAndBottom"/>
          </v:line>
        </w:pict>
      </w:r>
    </w:p>
    <w:p>
      <w:pPr>
        <w:pStyle w:val="BodyText"/>
        <w:spacing w:before="7"/>
        <w:rPr>
          <w:sz w:val="18"/>
        </w:rPr>
      </w:pPr>
    </w:p>
    <w:p>
      <w:pPr>
        <w:spacing w:line="276" w:lineRule="auto" w:before="99"/>
        <w:ind w:left="616" w:right="244" w:firstLine="0"/>
        <w:jc w:val="left"/>
        <w:rPr>
          <w:sz w:val="20"/>
        </w:rPr>
      </w:pPr>
      <w:r>
        <w:rPr>
          <w:position w:val="5"/>
          <w:sz w:val="13"/>
        </w:rPr>
        <w:t>630 </w:t>
      </w:r>
      <w:r>
        <w:rPr>
          <w:sz w:val="20"/>
        </w:rPr>
        <w:t>Singer, Peter: Was sind, wie wirken Omega-3-Fettsäuren? 44 Fragen – 44 Antworten. (What are Omega-3 Fatty Acids And How Do They Work? 44 Questions – 44 Answers') 3rd completely revised edition (2000), </w:t>
      </w:r>
      <w:r>
        <w:rPr>
          <w:color w:val="0000FF"/>
          <w:sz w:val="20"/>
          <w:u w:val="single" w:color="0000FF"/>
        </w:rPr>
        <w:t>Umschau Zeitschriftenverlag</w:t>
      </w:r>
      <w:r>
        <w:rPr>
          <w:sz w:val="20"/>
        </w:rPr>
        <w:t>, D-Frankfurt am</w:t>
      </w:r>
      <w:r>
        <w:rPr>
          <w:spacing w:val="-13"/>
          <w:sz w:val="20"/>
        </w:rPr>
        <w:t> </w:t>
      </w:r>
      <w:r>
        <w:rPr>
          <w:sz w:val="20"/>
        </w:rPr>
        <w:t>Main</w:t>
      </w:r>
    </w:p>
    <w:p>
      <w:pPr>
        <w:spacing w:line="276" w:lineRule="auto" w:before="61"/>
        <w:ind w:left="616" w:right="244" w:firstLine="0"/>
        <w:jc w:val="left"/>
        <w:rPr>
          <w:sz w:val="20"/>
        </w:rPr>
      </w:pPr>
      <w:r>
        <w:rPr/>
        <w:drawing>
          <wp:anchor distT="0" distB="0" distL="0" distR="0" allowOverlap="1" layoutInCell="1" locked="0" behindDoc="1" simplePos="0" relativeHeight="267175895">
            <wp:simplePos x="0" y="0"/>
            <wp:positionH relativeFrom="page">
              <wp:posOffset>985998</wp:posOffset>
            </wp:positionH>
            <wp:positionV relativeFrom="paragraph">
              <wp:posOffset>82907</wp:posOffset>
            </wp:positionV>
            <wp:extent cx="6379583" cy="902106"/>
            <wp:effectExtent l="0" t="0" r="0" b="0"/>
            <wp:wrapNone/>
            <wp:docPr id="411" name="image2.jpeg" descr=""/>
            <wp:cNvGraphicFramePr>
              <a:graphicFrameLocks noChangeAspect="1"/>
            </wp:cNvGraphicFramePr>
            <a:graphic>
              <a:graphicData uri="http://schemas.openxmlformats.org/drawingml/2006/picture">
                <pic:pic>
                  <pic:nvPicPr>
                    <pic:cNvPr id="412"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631 </w:t>
      </w:r>
      <w:r>
        <w:rPr>
          <w:sz w:val="20"/>
        </w:rPr>
        <w:t>Singer, Peter: Was sind, wie wirken Omega-3-Fettsäuren? 44 Fragen – 44 Antworten. (What are Omega-3 Fatty Acids And How Do They Work? 44 Questions – 44 Answers') 3rd completely revised edition (2000), </w:t>
      </w:r>
      <w:r>
        <w:rPr>
          <w:color w:val="0000FF"/>
          <w:sz w:val="20"/>
          <w:u w:val="single" w:color="0000FF"/>
        </w:rPr>
        <w:t>Umschau Zeitschriftenverlag</w:t>
      </w:r>
      <w:r>
        <w:rPr>
          <w:sz w:val="20"/>
        </w:rPr>
        <w:t>, D-Frankfurt am</w:t>
      </w:r>
      <w:r>
        <w:rPr>
          <w:spacing w:val="-13"/>
          <w:sz w:val="20"/>
        </w:rPr>
        <w:t> </w:t>
      </w:r>
      <w:r>
        <w:rPr>
          <w:sz w:val="20"/>
        </w:rPr>
        <w:t>Main</w:t>
      </w:r>
    </w:p>
    <w:p>
      <w:pPr>
        <w:spacing w:after="0" w:line="276" w:lineRule="auto"/>
        <w:jc w:val="left"/>
        <w:rPr>
          <w:sz w:val="20"/>
        </w:rPr>
        <w:sectPr>
          <w:footerReference w:type="default" r:id="rId267"/>
          <w:pgSz w:w="14270" w:h="16850"/>
          <w:pgMar w:footer="527" w:header="0" w:top="1340" w:bottom="720" w:left="800" w:right="1280"/>
          <w:pgNumType w:start="1093"/>
        </w:sectPr>
      </w:pPr>
    </w:p>
    <w:p>
      <w:pPr>
        <w:spacing w:before="73"/>
        <w:ind w:left="616" w:right="0" w:firstLine="0"/>
        <w:jc w:val="left"/>
        <w:rPr>
          <w:rFonts w:ascii="Cambria"/>
          <w:b/>
          <w:sz w:val="28"/>
        </w:rPr>
      </w:pPr>
      <w:r>
        <w:rPr>
          <w:rFonts w:ascii="Cambria"/>
          <w:b/>
          <w:color w:val="365F91"/>
          <w:sz w:val="28"/>
        </w:rPr>
        <w:t>OPC, oligomeric proanthocyanidins</w:t>
      </w:r>
    </w:p>
    <w:p>
      <w:pPr>
        <w:pStyle w:val="Heading1"/>
        <w:spacing w:before="273"/>
        <w:ind w:left="616"/>
      </w:pPr>
      <w:r>
        <w:rPr/>
        <w:t>Things to know in advance</w:t>
      </w:r>
    </w:p>
    <w:p>
      <w:pPr>
        <w:pStyle w:val="BodyText"/>
        <w:spacing w:line="276" w:lineRule="auto" w:before="299"/>
        <w:ind w:left="616" w:right="308"/>
        <w:jc w:val="both"/>
      </w:pPr>
      <w:r>
        <w:rPr/>
        <w:t>OPC, an abbreviation for oligomeric proanthocyanidins, belongs to the rela- tively young genus of phytochemicals (bioflavonoids) with astonishing prop- erties in the prevention and treatment of diseases and premature ageing.</w:t>
      </w:r>
    </w:p>
    <w:p>
      <w:pPr>
        <w:pStyle w:val="BodyText"/>
        <w:spacing w:before="7"/>
        <w:rPr>
          <w:sz w:val="43"/>
        </w:rPr>
      </w:pPr>
    </w:p>
    <w:p>
      <w:pPr>
        <w:pStyle w:val="BodyText"/>
        <w:spacing w:line="276" w:lineRule="auto"/>
        <w:ind w:left="616" w:right="655"/>
      </w:pPr>
      <w:r>
        <w:rPr/>
        <w:t>Most of the time, people are initially very sceptical when they hear about a natural substance with a great spectrum of wonderful effects.</w:t>
      </w:r>
    </w:p>
    <w:p>
      <w:pPr>
        <w:pStyle w:val="BodyText"/>
        <w:spacing w:before="7"/>
        <w:rPr>
          <w:sz w:val="43"/>
        </w:rPr>
      </w:pPr>
    </w:p>
    <w:p>
      <w:pPr>
        <w:pStyle w:val="BodyText"/>
        <w:spacing w:line="276" w:lineRule="auto"/>
        <w:ind w:left="616" w:right="175"/>
      </w:pPr>
      <w:r>
        <w:rPr/>
        <w:t>How can one and the same substance help with eye problems, reduce skin wrinkles, make joints painless again, prevent heart attacks and also counteract biological ageing?</w:t>
      </w:r>
    </w:p>
    <w:p>
      <w:pPr>
        <w:pStyle w:val="BodyText"/>
        <w:spacing w:line="276" w:lineRule="auto" w:before="1"/>
        <w:ind w:left="616" w:right="238"/>
      </w:pPr>
      <w:r>
        <w:rPr/>
        <w:t>Conventional medicine teaches us a very isolated view – we have a specialist ophthalmologist, a dermatologist and an orthopaedic surgeon for different ailments – a fatal mistake, because our body is a unified organism and should therefore be regarded holistically...!</w:t>
      </w:r>
    </w:p>
    <w:p>
      <w:pPr>
        <w:pStyle w:val="BodyText"/>
        <w:spacing w:before="8"/>
        <w:rPr>
          <w:sz w:val="43"/>
        </w:rPr>
      </w:pPr>
    </w:p>
    <w:p>
      <w:pPr>
        <w:pStyle w:val="BodyText"/>
        <w:spacing w:line="276" w:lineRule="auto"/>
        <w:ind w:left="616" w:right="539"/>
      </w:pPr>
      <w:r>
        <w:rPr/>
        <w:t>But how can a single natural substance have a positive influence on all things? While the ignorant (qualified doctors often being among them) are puzzled or mockingly sneer about it, the explanation for this phenomenon, which is actually not a phenomenon at all, is still very simple:</w:t>
      </w:r>
    </w:p>
    <w:p>
      <w:pPr>
        <w:spacing w:after="0" w:line="276" w:lineRule="auto"/>
        <w:sectPr>
          <w:footerReference w:type="default" r:id="rId268"/>
          <w:pgSz w:w="14270" w:h="16850"/>
          <w:pgMar w:footer="1891" w:header="0" w:top="1340" w:bottom="2080" w:left="800" w:right="1280"/>
          <w:pgNumType w:start="1094"/>
        </w:sectPr>
      </w:pPr>
    </w:p>
    <w:p>
      <w:pPr>
        <w:pStyle w:val="BodyText"/>
        <w:spacing w:line="276" w:lineRule="auto" w:before="72"/>
        <w:ind w:left="616" w:right="574"/>
        <w:jc w:val="both"/>
      </w:pPr>
      <w:r>
        <w:rPr/>
        <w:t>the cause is very often one and the same for the development of many dis- eases and complaints: inflammation, oxidative stress or collagen degenera- tion, for example!</w:t>
      </w:r>
    </w:p>
    <w:p>
      <w:pPr>
        <w:pStyle w:val="BodyText"/>
        <w:spacing w:before="9"/>
        <w:rPr>
          <w:sz w:val="43"/>
        </w:rPr>
      </w:pPr>
    </w:p>
    <w:p>
      <w:pPr>
        <w:pStyle w:val="BodyText"/>
        <w:spacing w:line="276" w:lineRule="auto"/>
        <w:ind w:left="616" w:right="203"/>
      </w:pPr>
      <w:r>
        <w:rPr/>
        <w:t>However, the symptoms only appear in different organs because each human being is an individual and therefore has their own weak points.</w:t>
      </w:r>
    </w:p>
    <w:p>
      <w:pPr>
        <w:pStyle w:val="BodyText"/>
        <w:spacing w:before="7"/>
        <w:rPr>
          <w:sz w:val="43"/>
        </w:rPr>
      </w:pPr>
    </w:p>
    <w:p>
      <w:pPr>
        <w:pStyle w:val="BodyText"/>
        <w:spacing w:line="276" w:lineRule="auto"/>
        <w:ind w:left="616" w:right="258"/>
      </w:pPr>
      <w:r>
        <w:rPr/>
        <w:t>If the eyes, the skin, the joints and the heart are threatened by inflammation, oxidative stress or collagen degradation, then it is only understandable, if they, in turn, all benefit from the same natural substance, until the disappear- ance of any kind of discomfort – from a natural substance that reduces in- flammation, breaks down oxidative stress and repairs collagens – this sub- stance is OPC, an all-rounder that lives up to these requirements!</w:t>
      </w:r>
    </w:p>
    <w:p>
      <w:pPr>
        <w:pStyle w:val="BodyText"/>
        <w:spacing w:before="8"/>
        <w:rPr>
          <w:sz w:val="43"/>
        </w:rPr>
      </w:pPr>
    </w:p>
    <w:p>
      <w:pPr>
        <w:pStyle w:val="BodyText"/>
        <w:spacing w:line="276" w:lineRule="auto"/>
        <w:ind w:left="616" w:right="150"/>
        <w:jc w:val="both"/>
      </w:pPr>
      <w:r>
        <w:rPr/>
        <w:t>And since biological ageing is ostensibly caused by free radicals, inflammatory processes and collagen degeneration in the body, OPC also successfully takes this challenge onto its strong shoulders...</w:t>
      </w:r>
    </w:p>
    <w:p>
      <w:pPr>
        <w:spacing w:after="0" w:line="276" w:lineRule="auto"/>
        <w:jc w:val="both"/>
        <w:sectPr>
          <w:pgSz w:w="14270" w:h="16850"/>
          <w:pgMar w:header="0" w:footer="1891" w:top="1340" w:bottom="2080" w:left="800" w:right="1280"/>
        </w:sectPr>
      </w:pPr>
    </w:p>
    <w:p>
      <w:pPr>
        <w:pStyle w:val="Heading2"/>
        <w:spacing w:before="74"/>
        <w:ind w:left="616"/>
      </w:pPr>
      <w:r>
        <w:rPr/>
        <w:t>What is it?</w:t>
      </w:r>
    </w:p>
    <w:p>
      <w:pPr>
        <w:pStyle w:val="BodyText"/>
        <w:spacing w:before="3"/>
        <w:rPr>
          <w:b/>
          <w:sz w:val="49"/>
        </w:rPr>
      </w:pPr>
    </w:p>
    <w:p>
      <w:pPr>
        <w:pStyle w:val="BodyText"/>
        <w:spacing w:line="276" w:lineRule="auto"/>
        <w:ind w:left="616" w:right="242"/>
      </w:pPr>
      <w:r>
        <w:rPr/>
        <w:t>OPC is a relatively 'young' bioflavonoid that is largely sabotaged by Big Pharma and medical profession due to its wide-ranging effect. That's why there are not nearly as many OPC studies as there are for other vitamins. But the studies available to us are enormously auspicious, suggesting unprece- dented positive effects on our health; at the same time, they emphasise that OPC is completely safe, even at maximum doses!</w:t>
      </w:r>
    </w:p>
    <w:p>
      <w:pPr>
        <w:pStyle w:val="BodyText"/>
        <w:spacing w:before="9"/>
        <w:rPr>
          <w:sz w:val="43"/>
        </w:rPr>
      </w:pPr>
    </w:p>
    <w:p>
      <w:pPr>
        <w:pStyle w:val="BodyText"/>
        <w:spacing w:line="276" w:lineRule="auto"/>
        <w:ind w:left="616" w:right="199"/>
      </w:pPr>
      <w:r>
        <w:rPr/>
        <w:t>Testimonials from therapists and people who already use OPC also suggest that it is an immense gift from nature. In addition to collagen and elastin syn- thesis and thus the construction and repair of human tissue, which probably no other known substance in the world can do as successfully as OPC </w:t>
      </w:r>
      <w:r>
        <w:rPr>
          <w:i/>
        </w:rPr>
        <w:t>(re- </w:t>
      </w:r>
      <w:r>
        <w:rPr>
          <w:i/>
        </w:rPr>
        <w:t>minder: OPC is the only substance that binds directly to the body proteins to do its job)</w:t>
      </w:r>
      <w:r>
        <w:rPr/>
        <w:t>, OPC manages to neutralise the free radicals threatening us with incredible power – with 20 times the effect of vitamin C and 50 times the effect of vita- min E. Furthermore, OPC works very successfully against inflammation in the organism.</w:t>
      </w:r>
    </w:p>
    <w:p>
      <w:pPr>
        <w:pStyle w:val="BodyText"/>
        <w:spacing w:line="276" w:lineRule="auto" w:before="241"/>
        <w:ind w:left="616" w:right="191"/>
      </w:pPr>
      <w:r>
        <w:rPr/>
        <w:t>These three very well-documented properties probably form the basis for the effects on various illnesses shown in the above table – similar to the effect of vitamin C, but more differentiated and sometimes even more efficient. In the chapter on vitamin C, you can see the amazing effect it has on free radicals in our apple experiment – this effect is actually increased twenty-fold by taking OPC!</w:t>
      </w:r>
    </w:p>
    <w:p>
      <w:pPr>
        <w:spacing w:after="0" w:line="276" w:lineRule="auto"/>
        <w:sectPr>
          <w:pgSz w:w="14270" w:h="16850"/>
          <w:pgMar w:header="0" w:footer="1891" w:top="1340" w:bottom="2080" w:left="800" w:right="1280"/>
        </w:sectPr>
      </w:pPr>
    </w:p>
    <w:p>
      <w:pPr>
        <w:pStyle w:val="BodyText"/>
        <w:spacing w:before="9"/>
        <w:rPr>
          <w:sz w:val="16"/>
        </w:rPr>
      </w:pPr>
    </w:p>
    <w:p>
      <w:pPr>
        <w:pStyle w:val="Heading1"/>
        <w:spacing w:before="100"/>
        <w:ind w:left="616"/>
      </w:pPr>
      <w:r>
        <w:rPr/>
        <w:t>Vitamin deficiency and the role of</w:t>
      </w:r>
      <w:r>
        <w:rPr>
          <w:spacing w:val="-65"/>
        </w:rPr>
        <w:t> </w:t>
      </w:r>
      <w:r>
        <w:rPr/>
        <w:t>OPC</w:t>
      </w:r>
    </w:p>
    <w:p>
      <w:pPr>
        <w:pStyle w:val="BodyText"/>
        <w:spacing w:line="276" w:lineRule="auto" w:before="297"/>
        <w:ind w:left="616" w:right="211"/>
      </w:pPr>
      <w:r>
        <w:rPr/>
        <w:t>As already reported earlier in the book, the chronic lack of vital substances in the population is currently the biggest health problem.</w:t>
      </w:r>
    </w:p>
    <w:p>
      <w:pPr>
        <w:pStyle w:val="BodyText"/>
        <w:spacing w:line="276" w:lineRule="auto" w:before="1"/>
        <w:ind w:left="616" w:right="137"/>
      </w:pPr>
      <w:r>
        <w:rPr/>
        <w:t>Independent studies, such as those of the renowned Karlsruhe Food Labora- tory (Sanatorium Oberthal), and the Swiss pharmaceutical company Geigy are a thorn in the side of the state advisory centres and are not passed on to doc- tors or the public. After all, it was exactly these studies that independently at- tested to a terrifying decline in the vital substances in our fruits and vegeta- bles of up to 92 % over the last 30 years! The reasons for this are mentioned by the study leaders: </w:t>
      </w:r>
      <w:r>
        <w:rPr>
          <w:i/>
        </w:rPr>
        <w:t>leached soils, air pollution, long storage </w:t>
      </w:r>
      <w:r>
        <w:rPr/>
        <w:t>and </w:t>
      </w:r>
      <w:r>
        <w:rPr>
          <w:i/>
        </w:rPr>
        <w:t>excessively fast </w:t>
      </w:r>
      <w:r>
        <w:rPr>
          <w:i/>
        </w:rPr>
        <w:t>growth</w:t>
      </w:r>
      <w:r>
        <w:rPr/>
        <w:t>.</w:t>
      </w:r>
    </w:p>
    <w:p>
      <w:pPr>
        <w:pStyle w:val="BodyText"/>
        <w:rPr>
          <w:sz w:val="42"/>
        </w:rPr>
      </w:pPr>
    </w:p>
    <w:p>
      <w:pPr>
        <w:pStyle w:val="BodyText"/>
        <w:spacing w:line="276" w:lineRule="auto" w:before="260"/>
        <w:ind w:left="616" w:right="211"/>
      </w:pPr>
      <w:r>
        <w:rPr/>
        <w:t>While the vitamin and nutrient content of our fruits and vegetables is de- creasing from year to year (and in some cases is already close to zero), ac- cording to research, in industrialized countries only 10-20 % achieve the al- ready extremely understated vitamin C recommendation of the World Health Organization (WHO) of 60-100 mg a day.</w:t>
      </w:r>
    </w:p>
    <w:p>
      <w:pPr>
        <w:pStyle w:val="BodyText"/>
        <w:rPr>
          <w:sz w:val="42"/>
        </w:rPr>
      </w:pPr>
    </w:p>
    <w:p>
      <w:pPr>
        <w:pStyle w:val="BodyText"/>
        <w:spacing w:before="3"/>
        <w:rPr>
          <w:sz w:val="45"/>
        </w:rPr>
      </w:pPr>
    </w:p>
    <w:p>
      <w:pPr>
        <w:pStyle w:val="Heading2"/>
        <w:spacing w:line="276" w:lineRule="auto"/>
        <w:ind w:left="616" w:right="691"/>
      </w:pPr>
      <w:r>
        <w:rPr/>
        <w:t>It should be the same for all other vitamins – and this is where OPC comes into play!:</w:t>
      </w:r>
    </w:p>
    <w:p>
      <w:pPr>
        <w:spacing w:after="0" w:line="276" w:lineRule="auto"/>
        <w:sectPr>
          <w:pgSz w:w="14270" w:h="16850"/>
          <w:pgMar w:header="0" w:footer="1891" w:top="1600" w:bottom="2080" w:left="800" w:right="1280"/>
        </w:sectPr>
      </w:pPr>
    </w:p>
    <w:p>
      <w:pPr>
        <w:pStyle w:val="BodyText"/>
        <w:spacing w:before="2"/>
        <w:rPr>
          <w:b/>
          <w:sz w:val="18"/>
        </w:rPr>
      </w:pPr>
    </w:p>
    <w:p>
      <w:pPr>
        <w:pStyle w:val="BodyText"/>
        <w:spacing w:line="276" w:lineRule="auto" w:before="99"/>
        <w:ind w:left="616" w:right="228"/>
        <w:jc w:val="both"/>
        <w:rPr>
          <w:sz w:val="25"/>
        </w:rPr>
      </w:pPr>
      <w:r>
        <w:rPr/>
        <w:t>OPC is able to prolong and multiply the effectiveness of vitamins. For exam- ple, research suggests that, in the presence of OPC, vitamins A, C, and E are active for ten times longer.</w:t>
      </w:r>
      <w:r>
        <w:rPr>
          <w:position w:val="9"/>
          <w:sz w:val="25"/>
        </w:rPr>
        <w:t>632</w:t>
      </w:r>
    </w:p>
    <w:p>
      <w:pPr>
        <w:pStyle w:val="BodyText"/>
        <w:rPr>
          <w:sz w:val="42"/>
        </w:rPr>
      </w:pPr>
    </w:p>
    <w:p>
      <w:pPr>
        <w:pStyle w:val="Heading2"/>
        <w:spacing w:before="261"/>
        <w:ind w:left="616"/>
      </w:pPr>
      <w:r>
        <w:rPr/>
        <w:t>The effect of OPC</w:t>
      </w:r>
    </w:p>
    <w:p>
      <w:pPr>
        <w:pStyle w:val="BodyText"/>
        <w:spacing w:line="276" w:lineRule="auto" w:before="303"/>
        <w:ind w:left="616" w:right="483"/>
        <w:jc w:val="both"/>
      </w:pPr>
      <w:r>
        <w:rPr/>
        <w:t>Before we talk in detail about the individual diseases that OPC can prevent and even cure, we will look at some important mechanisms that make OPC so unspeakably valuable:</w:t>
      </w:r>
    </w:p>
    <w:p>
      <w:pPr>
        <w:pStyle w:val="ListParagraph"/>
        <w:numPr>
          <w:ilvl w:val="0"/>
          <w:numId w:val="81"/>
        </w:numPr>
        <w:tabs>
          <w:tab w:pos="888" w:val="left" w:leader="none"/>
        </w:tabs>
        <w:spacing w:line="271" w:lineRule="auto" w:before="241" w:after="0"/>
        <w:ind w:left="616" w:right="179" w:firstLine="0"/>
        <w:jc w:val="left"/>
        <w:rPr>
          <w:rFonts w:ascii="Symbol"/>
          <w:sz w:val="38"/>
        </w:rPr>
      </w:pPr>
      <w:r>
        <w:rPr>
          <w:sz w:val="38"/>
        </w:rPr>
        <w:t>while vitamin C has a positive effect on 95 % of the total metabolism, OPC has the ability to multiply this effect by a FACTOR OF</w:t>
      </w:r>
      <w:r>
        <w:rPr>
          <w:spacing w:val="-2"/>
          <w:sz w:val="38"/>
        </w:rPr>
        <w:t> </w:t>
      </w:r>
      <w:r>
        <w:rPr>
          <w:sz w:val="38"/>
        </w:rPr>
        <w:t>10.</w:t>
      </w:r>
      <w:r>
        <w:rPr>
          <w:position w:val="9"/>
          <w:sz w:val="25"/>
        </w:rPr>
        <w:t>633</w:t>
      </w:r>
    </w:p>
    <w:p>
      <w:pPr>
        <w:pStyle w:val="ListParagraph"/>
        <w:numPr>
          <w:ilvl w:val="0"/>
          <w:numId w:val="81"/>
        </w:numPr>
        <w:tabs>
          <w:tab w:pos="888" w:val="left" w:leader="none"/>
        </w:tabs>
        <w:spacing w:line="271" w:lineRule="auto" w:before="252" w:after="0"/>
        <w:ind w:left="616" w:right="408" w:firstLine="0"/>
        <w:jc w:val="left"/>
        <w:rPr>
          <w:rFonts w:ascii="Symbol"/>
          <w:sz w:val="38"/>
        </w:rPr>
      </w:pPr>
      <w:r>
        <w:rPr>
          <w:sz w:val="38"/>
        </w:rPr>
        <w:t>OPC is considered to be one of the most potent antioxidants, 18-20 times as potent as vitamin C and 40-50 times as potent as vitamin</w:t>
      </w:r>
      <w:r>
        <w:rPr>
          <w:spacing w:val="-6"/>
          <w:sz w:val="38"/>
        </w:rPr>
        <w:t> </w:t>
      </w:r>
      <w:r>
        <w:rPr>
          <w:sz w:val="38"/>
        </w:rPr>
        <w:t>E.</w:t>
      </w:r>
      <w:r>
        <w:rPr>
          <w:position w:val="9"/>
          <w:sz w:val="25"/>
        </w:rPr>
        <w:t>634</w:t>
      </w:r>
    </w:p>
    <w:p>
      <w:pPr>
        <w:pStyle w:val="ListParagraph"/>
        <w:numPr>
          <w:ilvl w:val="0"/>
          <w:numId w:val="81"/>
        </w:numPr>
        <w:tabs>
          <w:tab w:pos="888" w:val="left" w:leader="none"/>
        </w:tabs>
        <w:spacing w:line="273" w:lineRule="auto" w:before="254" w:after="0"/>
        <w:ind w:left="616" w:right="228" w:firstLine="0"/>
        <w:jc w:val="left"/>
        <w:rPr>
          <w:rFonts w:ascii="Symbol"/>
          <w:sz w:val="38"/>
        </w:rPr>
      </w:pPr>
      <w:r>
        <w:rPr>
          <w:sz w:val="38"/>
        </w:rPr>
        <w:t>unlike vitamin C, OPC (vitamin P) binds to protein, especially collagen and elastin. Since these organs mainly consist of elastin and collagen, OPC in- creases the efficiency of the repair processes on the skin, blood vessels, inter- nal organs, bones, etc. many times</w:t>
      </w:r>
      <w:r>
        <w:rPr>
          <w:spacing w:val="-1"/>
          <w:sz w:val="38"/>
        </w:rPr>
        <w:t> </w:t>
      </w:r>
      <w:r>
        <w:rPr>
          <w:sz w:val="38"/>
        </w:rPr>
        <w:t>over.</w:t>
      </w:r>
    </w:p>
    <w:p>
      <w:pPr>
        <w:pStyle w:val="ListParagraph"/>
        <w:numPr>
          <w:ilvl w:val="0"/>
          <w:numId w:val="81"/>
        </w:numPr>
        <w:tabs>
          <w:tab w:pos="888" w:val="left" w:leader="none"/>
        </w:tabs>
        <w:spacing w:line="240" w:lineRule="auto" w:before="251" w:after="0"/>
        <w:ind w:left="616" w:right="0" w:firstLine="0"/>
        <w:jc w:val="both"/>
        <w:rPr>
          <w:rFonts w:ascii="Symbol"/>
          <w:sz w:val="38"/>
        </w:rPr>
      </w:pPr>
      <w:r>
        <w:rPr>
          <w:sz w:val="38"/>
        </w:rPr>
        <w:t>For example, blood vessel resistance is doubled as early as 24 hours</w:t>
      </w:r>
      <w:r>
        <w:rPr>
          <w:spacing w:val="-15"/>
          <w:sz w:val="38"/>
        </w:rPr>
        <w:t> </w:t>
      </w:r>
      <w:r>
        <w:rPr>
          <w:sz w:val="38"/>
        </w:rPr>
        <w:t>after</w:t>
      </w:r>
    </w:p>
    <w:p>
      <w:pPr>
        <w:pStyle w:val="BodyText"/>
        <w:rPr>
          <w:sz w:val="20"/>
        </w:rPr>
      </w:pPr>
    </w:p>
    <w:p>
      <w:pPr>
        <w:pStyle w:val="BodyText"/>
        <w:spacing w:before="8"/>
        <w:rPr>
          <w:sz w:val="26"/>
        </w:rPr>
      </w:pPr>
      <w:r>
        <w:rPr/>
        <w:pict>
          <v:line style="position:absolute;mso-position-horizontal-relative:page;mso-position-vertical-relative:paragraph;z-index:8144;mso-wrap-distance-left:0;mso-wrap-distance-right:0" from="70.823997pt,17.396587pt" to="214.843997pt,17.396587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4"/>
          <w:sz w:val="12"/>
        </w:rPr>
        <w:t>632 </w:t>
      </w:r>
      <w:hyperlink r:id="rId269">
        <w:r>
          <w:rPr>
            <w:sz w:val="20"/>
          </w:rPr>
          <w:t>http://www.vitalstoff-journal.de/aus-der-forschung/bioflavonoide-und-kraeuter/opc-superantioxidans-gegen-das-altern/</w:t>
        </w:r>
      </w:hyperlink>
    </w:p>
    <w:p>
      <w:pPr>
        <w:spacing w:before="92"/>
        <w:ind w:left="616" w:right="0" w:firstLine="0"/>
        <w:jc w:val="left"/>
        <w:rPr>
          <w:sz w:val="20"/>
        </w:rPr>
      </w:pPr>
      <w:r>
        <w:rPr>
          <w:position w:val="4"/>
          <w:sz w:val="12"/>
        </w:rPr>
        <w:t>633 </w:t>
      </w:r>
      <w:r>
        <w:rPr>
          <w:sz w:val="20"/>
        </w:rPr>
        <w:t>Werner Goller: Was verschweigt die Schulmedizin? ('What Does Conventional Medicine Conceal?'), 2009, p. 10</w:t>
      </w:r>
    </w:p>
    <w:p>
      <w:pPr>
        <w:spacing w:before="94"/>
        <w:ind w:left="616" w:right="0" w:firstLine="0"/>
        <w:jc w:val="left"/>
        <w:rPr>
          <w:sz w:val="20"/>
        </w:rPr>
      </w:pPr>
      <w:r>
        <w:rPr>
          <w:position w:val="4"/>
          <w:sz w:val="12"/>
        </w:rPr>
        <w:t>634 </w:t>
      </w:r>
      <w:r>
        <w:rPr>
          <w:sz w:val="20"/>
        </w:rPr>
        <w:t>Anne Simons and Alexander Rucker: Gesund länger leben durch OPC ('Living Healthy Longer Through OPC'), 2005, p. 10</w:t>
      </w:r>
    </w:p>
    <w:p>
      <w:pPr>
        <w:spacing w:after="0"/>
        <w:jc w:val="left"/>
        <w:rPr>
          <w:sz w:val="20"/>
        </w:rPr>
        <w:sectPr>
          <w:pgSz w:w="14270" w:h="16850"/>
          <w:pgMar w:header="0" w:footer="1891" w:top="1600" w:bottom="2080" w:left="800" w:right="1280"/>
        </w:sectPr>
      </w:pPr>
    </w:p>
    <w:p>
      <w:pPr>
        <w:pStyle w:val="BodyText"/>
        <w:spacing w:before="72"/>
        <w:ind w:left="616"/>
      </w:pPr>
      <w:r>
        <w:rPr/>
        <w:t>the first administration of OPC; overall, it triples over time.</w:t>
      </w:r>
    </w:p>
    <w:p>
      <w:pPr>
        <w:pStyle w:val="ListParagraph"/>
        <w:numPr>
          <w:ilvl w:val="0"/>
          <w:numId w:val="81"/>
        </w:numPr>
        <w:tabs>
          <w:tab w:pos="888" w:val="left" w:leader="none"/>
        </w:tabs>
        <w:spacing w:line="273" w:lineRule="auto" w:before="305" w:after="0"/>
        <w:ind w:left="616" w:right="236" w:firstLine="0"/>
        <w:jc w:val="both"/>
        <w:rPr>
          <w:rFonts w:ascii="Symbol"/>
          <w:sz w:val="38"/>
        </w:rPr>
      </w:pPr>
      <w:r>
        <w:rPr>
          <w:sz w:val="38"/>
        </w:rPr>
        <w:t>For stroke patients and people at risk of stroke in particular, this cannot be overemphasised enough, as strokes (cerebral apoplexy) are caused by internal bleeding in the brain</w:t>
      </w:r>
      <w:r>
        <w:rPr>
          <w:spacing w:val="1"/>
          <w:sz w:val="38"/>
        </w:rPr>
        <w:t> </w:t>
      </w:r>
      <w:r>
        <w:rPr>
          <w:sz w:val="38"/>
        </w:rPr>
        <w:t>area.</w:t>
      </w:r>
    </w:p>
    <w:p>
      <w:pPr>
        <w:pStyle w:val="ListParagraph"/>
        <w:numPr>
          <w:ilvl w:val="0"/>
          <w:numId w:val="81"/>
        </w:numPr>
        <w:tabs>
          <w:tab w:pos="888" w:val="left" w:leader="none"/>
        </w:tabs>
        <w:spacing w:line="271" w:lineRule="auto" w:before="249" w:after="0"/>
        <w:ind w:left="616" w:right="294" w:firstLine="0"/>
        <w:jc w:val="left"/>
        <w:rPr>
          <w:rFonts w:ascii="Symbol"/>
          <w:sz w:val="38"/>
        </w:rPr>
      </w:pPr>
      <w:r>
        <w:rPr>
          <w:sz w:val="38"/>
        </w:rPr>
        <w:t>OPC is able to regenerate the skin, smoothen out old wrinkles and prevent new ones even more than vitamin</w:t>
      </w:r>
      <w:r>
        <w:rPr>
          <w:spacing w:val="-1"/>
          <w:sz w:val="38"/>
        </w:rPr>
        <w:t> </w:t>
      </w:r>
      <w:r>
        <w:rPr>
          <w:sz w:val="38"/>
        </w:rPr>
        <w:t>C.</w:t>
      </w:r>
    </w:p>
    <w:p>
      <w:pPr>
        <w:pStyle w:val="ListParagraph"/>
        <w:numPr>
          <w:ilvl w:val="0"/>
          <w:numId w:val="81"/>
        </w:numPr>
        <w:tabs>
          <w:tab w:pos="888" w:val="left" w:leader="none"/>
        </w:tabs>
        <w:spacing w:line="271" w:lineRule="auto" w:before="252" w:after="0"/>
        <w:ind w:left="616" w:right="881" w:firstLine="0"/>
        <w:jc w:val="left"/>
        <w:rPr>
          <w:rFonts w:ascii="Symbol"/>
          <w:sz w:val="38"/>
        </w:rPr>
      </w:pPr>
      <w:r>
        <w:rPr>
          <w:sz w:val="38"/>
        </w:rPr>
        <w:t>OPC improves the fluidity of blood, prevents it from clumping and in- creases the elasticity of the</w:t>
      </w:r>
      <w:r>
        <w:rPr>
          <w:spacing w:val="3"/>
          <w:sz w:val="38"/>
        </w:rPr>
        <w:t> </w:t>
      </w:r>
      <w:r>
        <w:rPr>
          <w:sz w:val="38"/>
        </w:rPr>
        <w:t>vessels.</w:t>
      </w:r>
    </w:p>
    <w:p>
      <w:pPr>
        <w:pStyle w:val="ListParagraph"/>
        <w:numPr>
          <w:ilvl w:val="0"/>
          <w:numId w:val="81"/>
        </w:numPr>
        <w:tabs>
          <w:tab w:pos="888" w:val="left" w:leader="none"/>
        </w:tabs>
        <w:spacing w:line="273" w:lineRule="auto" w:before="251" w:after="0"/>
        <w:ind w:left="616" w:right="160" w:firstLine="0"/>
        <w:jc w:val="left"/>
        <w:rPr>
          <w:rFonts w:ascii="Symbol"/>
          <w:sz w:val="38"/>
        </w:rPr>
      </w:pPr>
      <w:r>
        <w:rPr>
          <w:sz w:val="38"/>
        </w:rPr>
        <w:t>In its capacity as a protector, OPC prevents the penetration of UV rays into the skin and acts like a sunscreen, which should be of interest for sunbed us- ers.</w:t>
      </w:r>
    </w:p>
    <w:p>
      <w:pPr>
        <w:pStyle w:val="ListParagraph"/>
        <w:numPr>
          <w:ilvl w:val="0"/>
          <w:numId w:val="81"/>
        </w:numPr>
        <w:tabs>
          <w:tab w:pos="888" w:val="left" w:leader="none"/>
        </w:tabs>
        <w:spacing w:line="273" w:lineRule="auto" w:before="249" w:after="0"/>
        <w:ind w:left="616" w:right="409" w:firstLine="0"/>
        <w:jc w:val="left"/>
        <w:rPr>
          <w:rFonts w:ascii="Symbol"/>
          <w:sz w:val="38"/>
        </w:rPr>
      </w:pPr>
      <w:r>
        <w:rPr>
          <w:sz w:val="38"/>
        </w:rPr>
        <w:t>While vitamin C is considered to be the most powerful water-soluble anti- oxidant, OPC acts as both a water-soluble and fat-soluble antioxidant, pro- tecting all cells in the human</w:t>
      </w:r>
      <w:r>
        <w:rPr>
          <w:spacing w:val="4"/>
          <w:sz w:val="38"/>
        </w:rPr>
        <w:t> </w:t>
      </w:r>
      <w:r>
        <w:rPr>
          <w:sz w:val="38"/>
        </w:rPr>
        <w:t>body.</w:t>
      </w:r>
    </w:p>
    <w:p>
      <w:pPr>
        <w:pStyle w:val="ListParagraph"/>
        <w:numPr>
          <w:ilvl w:val="0"/>
          <w:numId w:val="81"/>
        </w:numPr>
        <w:tabs>
          <w:tab w:pos="888" w:val="left" w:leader="none"/>
        </w:tabs>
        <w:spacing w:line="273" w:lineRule="auto" w:before="248" w:after="0"/>
        <w:ind w:left="616" w:right="335" w:firstLine="0"/>
        <w:jc w:val="left"/>
        <w:rPr>
          <w:rFonts w:ascii="Symbol"/>
          <w:sz w:val="38"/>
        </w:rPr>
      </w:pPr>
      <w:r>
        <w:rPr>
          <w:sz w:val="38"/>
        </w:rPr>
        <w:t>Just like vitamin C, OPC penetrates the brain barrier and also exerts its</w:t>
      </w:r>
      <w:r>
        <w:rPr>
          <w:spacing w:val="-43"/>
          <w:sz w:val="38"/>
        </w:rPr>
        <w:t> </w:t>
      </w:r>
      <w:r>
        <w:rPr>
          <w:sz w:val="38"/>
        </w:rPr>
        <w:t>an- tioxidant effect on brain cells; it strengthens the blood vessels and keeps them elastic.</w:t>
      </w:r>
    </w:p>
    <w:p>
      <w:pPr>
        <w:pStyle w:val="ListParagraph"/>
        <w:numPr>
          <w:ilvl w:val="0"/>
          <w:numId w:val="81"/>
        </w:numPr>
        <w:tabs>
          <w:tab w:pos="888" w:val="left" w:leader="none"/>
        </w:tabs>
        <w:spacing w:line="271" w:lineRule="auto" w:before="247" w:after="0"/>
        <w:ind w:left="616" w:right="639" w:firstLine="0"/>
        <w:jc w:val="left"/>
        <w:rPr>
          <w:rFonts w:ascii="Symbol"/>
          <w:sz w:val="38"/>
        </w:rPr>
      </w:pPr>
      <w:r>
        <w:rPr>
          <w:sz w:val="38"/>
        </w:rPr>
        <w:t>OPC regulates histamine and histidine production, the two main triggers for various inflammations and</w:t>
      </w:r>
      <w:r>
        <w:rPr>
          <w:spacing w:val="5"/>
          <w:sz w:val="38"/>
        </w:rPr>
        <w:t> </w:t>
      </w:r>
      <w:r>
        <w:rPr>
          <w:sz w:val="38"/>
        </w:rPr>
        <w:t>allergies.</w:t>
      </w:r>
    </w:p>
    <w:p>
      <w:pPr>
        <w:spacing w:after="0" w:line="271" w:lineRule="auto"/>
        <w:jc w:val="left"/>
        <w:rPr>
          <w:rFonts w:ascii="Symbol"/>
          <w:sz w:val="38"/>
        </w:rPr>
        <w:sectPr>
          <w:pgSz w:w="14270" w:h="16850"/>
          <w:pgMar w:header="0" w:footer="1891" w:top="1340" w:bottom="2080" w:left="800" w:right="1280"/>
        </w:sectPr>
      </w:pPr>
    </w:p>
    <w:p>
      <w:pPr>
        <w:pStyle w:val="ListParagraph"/>
        <w:numPr>
          <w:ilvl w:val="0"/>
          <w:numId w:val="81"/>
        </w:numPr>
        <w:tabs>
          <w:tab w:pos="888" w:val="left" w:leader="none"/>
        </w:tabs>
        <w:spacing w:line="271" w:lineRule="auto" w:before="72" w:after="0"/>
        <w:ind w:left="616" w:right="530" w:firstLine="0"/>
        <w:jc w:val="left"/>
        <w:rPr>
          <w:rFonts w:ascii="Symbol"/>
          <w:sz w:val="38"/>
        </w:rPr>
      </w:pPr>
      <w:r>
        <w:rPr>
          <w:sz w:val="38"/>
        </w:rPr>
        <w:t>By doing so, vitamin P prevents or alleviates all inflammatory and allergic reactions in the</w:t>
      </w:r>
      <w:r>
        <w:rPr>
          <w:spacing w:val="1"/>
          <w:sz w:val="38"/>
        </w:rPr>
        <w:t> </w:t>
      </w:r>
      <w:r>
        <w:rPr>
          <w:sz w:val="38"/>
        </w:rPr>
        <w:t>body.</w:t>
      </w:r>
    </w:p>
    <w:p>
      <w:pPr>
        <w:pStyle w:val="BodyText"/>
        <w:rPr>
          <w:sz w:val="42"/>
        </w:rPr>
      </w:pPr>
    </w:p>
    <w:p>
      <w:pPr>
        <w:pStyle w:val="BodyText"/>
        <w:spacing w:before="6"/>
        <w:rPr>
          <w:sz w:val="45"/>
        </w:rPr>
      </w:pPr>
    </w:p>
    <w:p>
      <w:pPr>
        <w:pStyle w:val="BodyText"/>
        <w:spacing w:line="276" w:lineRule="auto" w:before="1"/>
        <w:ind w:left="616" w:right="127"/>
        <w:jc w:val="both"/>
      </w:pPr>
      <w:r>
        <w:rPr/>
        <w:t>It is extremely scandalous to consider that vitamin P (OPC), despite the fact</w:t>
      </w:r>
      <w:r>
        <w:rPr>
          <w:spacing w:val="-48"/>
        </w:rPr>
        <w:t> </w:t>
      </w:r>
      <w:r>
        <w:rPr/>
        <w:t>it is as relevant as, or even more relevant than, vitamin C and despite over 50 years of high quality research by renowned professors around the world, all</w:t>
      </w:r>
      <w:r>
        <w:rPr>
          <w:spacing w:val="-64"/>
        </w:rPr>
        <w:t> </w:t>
      </w:r>
      <w:r>
        <w:rPr/>
        <w:t>of which attribute amazing positive health benefits to OPC, it has received no official recognition and very </w:t>
      </w:r>
      <w:r>
        <w:rPr>
          <w:spacing w:val="2"/>
        </w:rPr>
        <w:t>few </w:t>
      </w:r>
      <w:r>
        <w:rPr/>
        <w:t>people have ever heard of it, let alone know its</w:t>
      </w:r>
      <w:r>
        <w:rPr>
          <w:spacing w:val="-1"/>
        </w:rPr>
        <w:t> </w:t>
      </w:r>
      <w:r>
        <w:rPr/>
        <w:t>benefits!</w:t>
      </w:r>
    </w:p>
    <w:p>
      <w:pPr>
        <w:pStyle w:val="BodyText"/>
        <w:spacing w:line="276" w:lineRule="auto" w:before="240"/>
        <w:ind w:left="616" w:right="139"/>
        <w:jc w:val="both"/>
      </w:pPr>
      <w:r>
        <w:rPr/>
        <w:t>But thanks to the internet, this information can no longer be suppressed; in addition, there are already some highly recommended, authoritative books on the</w:t>
      </w:r>
      <w:r>
        <w:rPr>
          <w:spacing w:val="1"/>
        </w:rPr>
        <w:t> </w:t>
      </w:r>
      <w:r>
        <w:rPr/>
        <w:t>market.</w:t>
      </w:r>
    </w:p>
    <w:p>
      <w:pPr>
        <w:pStyle w:val="BodyText"/>
        <w:spacing w:line="276" w:lineRule="auto" w:before="239"/>
        <w:ind w:left="616" w:right="137"/>
        <w:jc w:val="both"/>
      </w:pPr>
      <w:r>
        <w:rPr/>
        <w:t>In the following chapter, you will find detailed information on OPC, the vita- min C co-vitamin which, according to many molecular biologists and vitamin experts, has already surpassed vitamin C and is considered worldwide to be one of the strongest known antioxidants.</w:t>
      </w:r>
    </w:p>
    <w:p>
      <w:pPr>
        <w:pStyle w:val="Heading2"/>
        <w:spacing w:before="242"/>
        <w:ind w:left="616"/>
        <w:jc w:val="both"/>
      </w:pPr>
      <w:r>
        <w:rPr/>
        <w:t>You will learn:</w:t>
      </w:r>
    </w:p>
    <w:p>
      <w:pPr>
        <w:pStyle w:val="ListParagraph"/>
        <w:numPr>
          <w:ilvl w:val="0"/>
          <w:numId w:val="81"/>
        </w:numPr>
        <w:tabs>
          <w:tab w:pos="888" w:val="left" w:leader="none"/>
        </w:tabs>
        <w:spacing w:line="240" w:lineRule="auto" w:before="302" w:after="0"/>
        <w:ind w:left="616" w:right="0" w:firstLine="0"/>
        <w:jc w:val="both"/>
        <w:rPr>
          <w:rFonts w:ascii="Symbol"/>
          <w:sz w:val="38"/>
        </w:rPr>
      </w:pPr>
      <w:r>
        <w:rPr>
          <w:sz w:val="38"/>
        </w:rPr>
        <w:t>why you should know about</w:t>
      </w:r>
      <w:r>
        <w:rPr>
          <w:spacing w:val="-3"/>
          <w:sz w:val="38"/>
        </w:rPr>
        <w:t> </w:t>
      </w:r>
      <w:r>
        <w:rPr>
          <w:sz w:val="38"/>
        </w:rPr>
        <w:t>OPC;</w:t>
      </w:r>
    </w:p>
    <w:p>
      <w:pPr>
        <w:pStyle w:val="ListParagraph"/>
        <w:numPr>
          <w:ilvl w:val="0"/>
          <w:numId w:val="81"/>
        </w:numPr>
        <w:tabs>
          <w:tab w:pos="888" w:val="left" w:leader="none"/>
        </w:tabs>
        <w:spacing w:line="240" w:lineRule="auto" w:before="306" w:after="0"/>
        <w:ind w:left="616" w:right="0" w:firstLine="0"/>
        <w:jc w:val="both"/>
        <w:rPr>
          <w:rFonts w:ascii="Symbol"/>
          <w:sz w:val="38"/>
        </w:rPr>
      </w:pPr>
      <w:r>
        <w:rPr>
          <w:sz w:val="38"/>
        </w:rPr>
        <w:t>the history of discovery and origin of OPC/vitamin</w:t>
      </w:r>
      <w:r>
        <w:rPr>
          <w:spacing w:val="1"/>
          <w:sz w:val="38"/>
        </w:rPr>
        <w:t> </w:t>
      </w:r>
      <w:r>
        <w:rPr>
          <w:sz w:val="38"/>
        </w:rPr>
        <w:t>P;</w:t>
      </w:r>
    </w:p>
    <w:p>
      <w:pPr>
        <w:pStyle w:val="ListParagraph"/>
        <w:numPr>
          <w:ilvl w:val="0"/>
          <w:numId w:val="81"/>
        </w:numPr>
        <w:tabs>
          <w:tab w:pos="888" w:val="left" w:leader="none"/>
        </w:tabs>
        <w:spacing w:line="240" w:lineRule="auto" w:before="305" w:after="0"/>
        <w:ind w:left="616" w:right="0" w:firstLine="0"/>
        <w:jc w:val="both"/>
        <w:rPr>
          <w:rFonts w:ascii="Symbol"/>
          <w:sz w:val="38"/>
        </w:rPr>
      </w:pPr>
      <w:r>
        <w:rPr>
          <w:sz w:val="38"/>
        </w:rPr>
        <w:t>what OPC/vitamin P is;</w:t>
      </w:r>
    </w:p>
    <w:p>
      <w:pPr>
        <w:spacing w:after="0" w:line="240" w:lineRule="auto"/>
        <w:jc w:val="both"/>
        <w:rPr>
          <w:rFonts w:ascii="Symbol"/>
          <w:sz w:val="38"/>
        </w:rPr>
        <w:sectPr>
          <w:footerReference w:type="default" r:id="rId270"/>
          <w:pgSz w:w="14270" w:h="16850"/>
          <w:pgMar w:footer="1891" w:header="0" w:top="1340" w:bottom="2080" w:left="800" w:right="1280"/>
          <w:pgNumType w:start="1100"/>
        </w:sectPr>
      </w:pPr>
    </w:p>
    <w:p>
      <w:pPr>
        <w:pStyle w:val="ListParagraph"/>
        <w:numPr>
          <w:ilvl w:val="0"/>
          <w:numId w:val="81"/>
        </w:numPr>
        <w:tabs>
          <w:tab w:pos="888" w:val="left" w:leader="none"/>
        </w:tabs>
        <w:spacing w:line="240" w:lineRule="auto" w:before="72" w:after="0"/>
        <w:ind w:left="616" w:right="0" w:firstLine="0"/>
        <w:jc w:val="left"/>
        <w:rPr>
          <w:rFonts w:ascii="Symbol"/>
          <w:sz w:val="38"/>
        </w:rPr>
      </w:pPr>
      <w:r>
        <w:rPr>
          <w:sz w:val="38"/>
        </w:rPr>
        <w:t>the fruits in which OPC are to be found and in which</w:t>
      </w:r>
      <w:r>
        <w:rPr>
          <w:spacing w:val="-6"/>
          <w:sz w:val="38"/>
        </w:rPr>
        <w:t> </w:t>
      </w:r>
      <w:r>
        <w:rPr>
          <w:sz w:val="38"/>
        </w:rPr>
        <w:t>quantities;</w:t>
      </w:r>
    </w:p>
    <w:p>
      <w:pPr>
        <w:pStyle w:val="ListParagraph"/>
        <w:numPr>
          <w:ilvl w:val="0"/>
          <w:numId w:val="81"/>
        </w:numPr>
        <w:tabs>
          <w:tab w:pos="888" w:val="left" w:leader="none"/>
        </w:tabs>
        <w:spacing w:line="240" w:lineRule="auto" w:before="306" w:after="0"/>
        <w:ind w:left="616" w:right="0" w:firstLine="0"/>
        <w:jc w:val="left"/>
        <w:rPr>
          <w:rFonts w:ascii="Symbol"/>
          <w:sz w:val="38"/>
        </w:rPr>
      </w:pPr>
      <w:r>
        <w:rPr>
          <w:sz w:val="38"/>
        </w:rPr>
        <w:t>how OPC is</w:t>
      </w:r>
      <w:r>
        <w:rPr>
          <w:spacing w:val="-3"/>
          <w:sz w:val="38"/>
        </w:rPr>
        <w:t> </w:t>
      </w:r>
      <w:r>
        <w:rPr>
          <w:sz w:val="38"/>
        </w:rPr>
        <w:t>made;</w:t>
      </w:r>
    </w:p>
    <w:p>
      <w:pPr>
        <w:pStyle w:val="ListParagraph"/>
        <w:numPr>
          <w:ilvl w:val="0"/>
          <w:numId w:val="81"/>
        </w:numPr>
        <w:tabs>
          <w:tab w:pos="888" w:val="left" w:leader="none"/>
        </w:tabs>
        <w:spacing w:line="240" w:lineRule="auto" w:before="305" w:after="0"/>
        <w:ind w:left="616" w:right="0" w:firstLine="0"/>
        <w:jc w:val="left"/>
        <w:rPr>
          <w:rFonts w:ascii="Symbol"/>
          <w:sz w:val="38"/>
        </w:rPr>
      </w:pPr>
      <w:r>
        <w:rPr>
          <w:sz w:val="38"/>
        </w:rPr>
        <w:t>why OPC is considered the 'anti-ageing vitamin';</w:t>
      </w:r>
    </w:p>
    <w:p>
      <w:pPr>
        <w:pStyle w:val="ListParagraph"/>
        <w:numPr>
          <w:ilvl w:val="0"/>
          <w:numId w:val="81"/>
        </w:numPr>
        <w:tabs>
          <w:tab w:pos="888" w:val="left" w:leader="none"/>
        </w:tabs>
        <w:spacing w:line="240" w:lineRule="auto" w:before="303" w:after="0"/>
        <w:ind w:left="616" w:right="0" w:firstLine="0"/>
        <w:jc w:val="left"/>
        <w:rPr>
          <w:rFonts w:ascii="Symbol"/>
          <w:sz w:val="38"/>
        </w:rPr>
      </w:pPr>
      <w:r>
        <w:rPr>
          <w:sz w:val="38"/>
        </w:rPr>
        <w:t>how you can make OPC cosmetics</w:t>
      </w:r>
      <w:r>
        <w:rPr>
          <w:spacing w:val="-14"/>
          <w:sz w:val="38"/>
        </w:rPr>
        <w:t> </w:t>
      </w:r>
      <w:r>
        <w:rPr>
          <w:sz w:val="38"/>
        </w:rPr>
        <w:t>yourself;</w:t>
      </w:r>
    </w:p>
    <w:p>
      <w:pPr>
        <w:pStyle w:val="ListParagraph"/>
        <w:numPr>
          <w:ilvl w:val="0"/>
          <w:numId w:val="81"/>
        </w:numPr>
        <w:tabs>
          <w:tab w:pos="888" w:val="left" w:leader="none"/>
        </w:tabs>
        <w:spacing w:line="240" w:lineRule="auto" w:before="305" w:after="0"/>
        <w:ind w:left="616" w:right="0" w:firstLine="0"/>
        <w:jc w:val="left"/>
        <w:rPr>
          <w:rFonts w:ascii="Symbol"/>
          <w:sz w:val="38"/>
        </w:rPr>
      </w:pPr>
      <w:r>
        <w:rPr>
          <w:sz w:val="38"/>
        </w:rPr>
        <w:t>whether and how OPC can extend your</w:t>
      </w:r>
      <w:r>
        <w:rPr>
          <w:spacing w:val="-17"/>
          <w:sz w:val="38"/>
        </w:rPr>
        <w:t> </w:t>
      </w:r>
      <w:r>
        <w:rPr>
          <w:sz w:val="38"/>
        </w:rPr>
        <w:t>life;</w:t>
      </w:r>
    </w:p>
    <w:p>
      <w:pPr>
        <w:pStyle w:val="ListParagraph"/>
        <w:numPr>
          <w:ilvl w:val="0"/>
          <w:numId w:val="81"/>
        </w:numPr>
        <w:tabs>
          <w:tab w:pos="888" w:val="left" w:leader="none"/>
        </w:tabs>
        <w:spacing w:line="271" w:lineRule="auto" w:before="303" w:after="0"/>
        <w:ind w:left="616" w:right="136" w:firstLine="0"/>
        <w:jc w:val="left"/>
        <w:rPr>
          <w:rFonts w:ascii="Symbol"/>
          <w:sz w:val="38"/>
        </w:rPr>
      </w:pPr>
      <w:r>
        <w:rPr>
          <w:sz w:val="38"/>
        </w:rPr>
        <w:t>how</w:t>
      </w:r>
      <w:r>
        <w:rPr>
          <w:spacing w:val="-15"/>
          <w:sz w:val="38"/>
        </w:rPr>
        <w:t> </w:t>
      </w:r>
      <w:r>
        <w:rPr>
          <w:sz w:val="38"/>
        </w:rPr>
        <w:t>the</w:t>
      </w:r>
      <w:r>
        <w:rPr>
          <w:spacing w:val="-12"/>
          <w:sz w:val="38"/>
        </w:rPr>
        <w:t> </w:t>
      </w:r>
      <w:r>
        <w:rPr>
          <w:sz w:val="38"/>
        </w:rPr>
        <w:t>two</w:t>
      </w:r>
      <w:r>
        <w:rPr>
          <w:spacing w:val="-13"/>
          <w:sz w:val="38"/>
        </w:rPr>
        <w:t> </w:t>
      </w:r>
      <w:r>
        <w:rPr>
          <w:sz w:val="38"/>
        </w:rPr>
        <w:t>co-vitamins</w:t>
      </w:r>
      <w:r>
        <w:rPr>
          <w:spacing w:val="-12"/>
          <w:sz w:val="38"/>
        </w:rPr>
        <w:t> </w:t>
      </w:r>
      <w:r>
        <w:rPr>
          <w:sz w:val="38"/>
        </w:rPr>
        <w:t>vitamin</w:t>
      </w:r>
      <w:r>
        <w:rPr>
          <w:spacing w:val="-13"/>
          <w:sz w:val="38"/>
        </w:rPr>
        <w:t> </w:t>
      </w:r>
      <w:r>
        <w:rPr>
          <w:sz w:val="38"/>
        </w:rPr>
        <w:t>C</w:t>
      </w:r>
      <w:r>
        <w:rPr>
          <w:spacing w:val="-15"/>
          <w:sz w:val="38"/>
        </w:rPr>
        <w:t> </w:t>
      </w:r>
      <w:r>
        <w:rPr>
          <w:sz w:val="38"/>
        </w:rPr>
        <w:t>and</w:t>
      </w:r>
      <w:r>
        <w:rPr>
          <w:spacing w:val="-13"/>
          <w:sz w:val="38"/>
        </w:rPr>
        <w:t> </w:t>
      </w:r>
      <w:r>
        <w:rPr>
          <w:sz w:val="38"/>
        </w:rPr>
        <w:t>OPC</w:t>
      </w:r>
      <w:r>
        <w:rPr>
          <w:spacing w:val="-15"/>
          <w:sz w:val="38"/>
        </w:rPr>
        <w:t> </w:t>
      </w:r>
      <w:r>
        <w:rPr>
          <w:sz w:val="38"/>
        </w:rPr>
        <w:t>optimally</w:t>
      </w:r>
      <w:r>
        <w:rPr>
          <w:spacing w:val="-13"/>
          <w:sz w:val="38"/>
        </w:rPr>
        <w:t> </w:t>
      </w:r>
      <w:r>
        <w:rPr>
          <w:sz w:val="38"/>
        </w:rPr>
        <w:t>strengthen</w:t>
      </w:r>
      <w:r>
        <w:rPr>
          <w:spacing w:val="-13"/>
          <w:sz w:val="38"/>
        </w:rPr>
        <w:t> </w:t>
      </w:r>
      <w:r>
        <w:rPr>
          <w:sz w:val="38"/>
        </w:rPr>
        <w:t>and</w:t>
      </w:r>
      <w:r>
        <w:rPr>
          <w:spacing w:val="-13"/>
          <w:sz w:val="38"/>
        </w:rPr>
        <w:t> </w:t>
      </w:r>
      <w:r>
        <w:rPr>
          <w:sz w:val="38"/>
        </w:rPr>
        <w:t>com- plement each other;</w:t>
      </w:r>
    </w:p>
    <w:p>
      <w:pPr>
        <w:pStyle w:val="ListParagraph"/>
        <w:numPr>
          <w:ilvl w:val="0"/>
          <w:numId w:val="81"/>
        </w:numPr>
        <w:tabs>
          <w:tab w:pos="888" w:val="left" w:leader="none"/>
        </w:tabs>
        <w:spacing w:line="240" w:lineRule="auto" w:before="254" w:after="0"/>
        <w:ind w:left="616" w:right="0" w:firstLine="0"/>
        <w:jc w:val="left"/>
        <w:rPr>
          <w:rFonts w:ascii="Symbol"/>
          <w:sz w:val="38"/>
        </w:rPr>
      </w:pPr>
      <w:r>
        <w:rPr>
          <w:sz w:val="38"/>
        </w:rPr>
        <w:t>which diseases vitamin P (OPC) can prevent and even</w:t>
      </w:r>
      <w:r>
        <w:rPr>
          <w:spacing w:val="-2"/>
          <w:sz w:val="38"/>
        </w:rPr>
        <w:t> </w:t>
      </w:r>
      <w:r>
        <w:rPr>
          <w:sz w:val="38"/>
        </w:rPr>
        <w:t>cure;</w:t>
      </w:r>
    </w:p>
    <w:p>
      <w:pPr>
        <w:pStyle w:val="ListParagraph"/>
        <w:numPr>
          <w:ilvl w:val="0"/>
          <w:numId w:val="81"/>
        </w:numPr>
        <w:tabs>
          <w:tab w:pos="888" w:val="left" w:leader="none"/>
        </w:tabs>
        <w:spacing w:line="240" w:lineRule="auto" w:before="302" w:after="0"/>
        <w:ind w:left="616" w:right="0" w:firstLine="0"/>
        <w:jc w:val="left"/>
        <w:rPr>
          <w:rFonts w:ascii="Symbol"/>
          <w:sz w:val="38"/>
        </w:rPr>
      </w:pPr>
      <w:r>
        <w:rPr>
          <w:sz w:val="38"/>
        </w:rPr>
        <w:t>how to easily calculate your personal OPC</w:t>
      </w:r>
      <w:r>
        <w:rPr>
          <w:spacing w:val="-4"/>
          <w:sz w:val="38"/>
        </w:rPr>
        <w:t> </w:t>
      </w:r>
      <w:r>
        <w:rPr>
          <w:sz w:val="38"/>
        </w:rPr>
        <w:t>needs;</w:t>
      </w:r>
    </w:p>
    <w:p>
      <w:pPr>
        <w:pStyle w:val="ListParagraph"/>
        <w:numPr>
          <w:ilvl w:val="0"/>
          <w:numId w:val="81"/>
        </w:numPr>
        <w:tabs>
          <w:tab w:pos="888" w:val="left" w:leader="none"/>
        </w:tabs>
        <w:spacing w:line="240" w:lineRule="auto" w:before="305" w:after="0"/>
        <w:ind w:left="616" w:right="0" w:firstLine="0"/>
        <w:jc w:val="left"/>
        <w:rPr>
          <w:rFonts w:ascii="Symbol"/>
          <w:sz w:val="38"/>
        </w:rPr>
      </w:pPr>
      <w:r>
        <w:rPr>
          <w:sz w:val="38"/>
        </w:rPr>
        <w:t>whether OPC has side effects, and if so, which</w:t>
      </w:r>
      <w:r>
        <w:rPr>
          <w:spacing w:val="-4"/>
          <w:sz w:val="38"/>
        </w:rPr>
        <w:t> </w:t>
      </w:r>
      <w:r>
        <w:rPr>
          <w:sz w:val="38"/>
        </w:rPr>
        <w:t>ones;</w:t>
      </w:r>
    </w:p>
    <w:p>
      <w:pPr>
        <w:pStyle w:val="ListParagraph"/>
        <w:numPr>
          <w:ilvl w:val="0"/>
          <w:numId w:val="81"/>
        </w:numPr>
        <w:tabs>
          <w:tab w:pos="888" w:val="left" w:leader="none"/>
        </w:tabs>
        <w:spacing w:line="240" w:lineRule="auto" w:before="304" w:after="0"/>
        <w:ind w:left="616" w:right="0" w:firstLine="0"/>
        <w:jc w:val="left"/>
        <w:rPr>
          <w:rFonts w:ascii="Symbol"/>
          <w:sz w:val="38"/>
        </w:rPr>
      </w:pPr>
      <w:r>
        <w:rPr>
          <w:sz w:val="38"/>
        </w:rPr>
        <w:t>what to look for when taking</w:t>
      </w:r>
      <w:r>
        <w:rPr>
          <w:spacing w:val="1"/>
          <w:sz w:val="38"/>
        </w:rPr>
        <w:t> </w:t>
      </w:r>
      <w:r>
        <w:rPr>
          <w:sz w:val="38"/>
        </w:rPr>
        <w:t>OPC;</w:t>
      </w:r>
    </w:p>
    <w:p>
      <w:pPr>
        <w:pStyle w:val="ListParagraph"/>
        <w:numPr>
          <w:ilvl w:val="0"/>
          <w:numId w:val="81"/>
        </w:numPr>
        <w:tabs>
          <w:tab w:pos="888" w:val="left" w:leader="none"/>
        </w:tabs>
        <w:spacing w:line="240" w:lineRule="auto" w:before="305" w:after="0"/>
        <w:ind w:left="616" w:right="0" w:firstLine="0"/>
        <w:jc w:val="left"/>
        <w:rPr>
          <w:rFonts w:ascii="Symbol"/>
          <w:sz w:val="38"/>
        </w:rPr>
      </w:pPr>
      <w:r>
        <w:rPr>
          <w:sz w:val="38"/>
        </w:rPr>
        <w:t>what you should be aware of when buying vitamin</w:t>
      </w:r>
      <w:r>
        <w:rPr>
          <w:spacing w:val="-1"/>
          <w:sz w:val="38"/>
        </w:rPr>
        <w:t> </w:t>
      </w:r>
      <w:r>
        <w:rPr>
          <w:sz w:val="38"/>
        </w:rPr>
        <w:t>P;</w:t>
      </w:r>
    </w:p>
    <w:p>
      <w:pPr>
        <w:pStyle w:val="ListParagraph"/>
        <w:numPr>
          <w:ilvl w:val="0"/>
          <w:numId w:val="81"/>
        </w:numPr>
        <w:tabs>
          <w:tab w:pos="888" w:val="left" w:leader="none"/>
        </w:tabs>
        <w:spacing w:line="240" w:lineRule="auto" w:before="305" w:after="0"/>
        <w:ind w:left="616" w:right="0" w:firstLine="0"/>
        <w:jc w:val="left"/>
        <w:rPr>
          <w:rFonts w:ascii="Symbol"/>
          <w:sz w:val="38"/>
        </w:rPr>
      </w:pPr>
      <w:r>
        <w:rPr>
          <w:sz w:val="38"/>
        </w:rPr>
        <w:t>where you can get the best OPC (vitamin</w:t>
      </w:r>
      <w:r>
        <w:rPr>
          <w:spacing w:val="-2"/>
          <w:sz w:val="38"/>
        </w:rPr>
        <w:t> </w:t>
      </w:r>
      <w:r>
        <w:rPr>
          <w:sz w:val="38"/>
        </w:rPr>
        <w:t>P)</w:t>
      </w:r>
    </w:p>
    <w:p>
      <w:pPr>
        <w:pStyle w:val="ListParagraph"/>
        <w:numPr>
          <w:ilvl w:val="0"/>
          <w:numId w:val="81"/>
        </w:numPr>
        <w:tabs>
          <w:tab w:pos="888" w:val="left" w:leader="none"/>
        </w:tabs>
        <w:spacing w:line="240" w:lineRule="auto" w:before="303" w:after="0"/>
        <w:ind w:left="616" w:right="0" w:firstLine="0"/>
        <w:jc w:val="left"/>
        <w:rPr>
          <w:rFonts w:ascii="Symbol" w:hAnsi="Symbol"/>
          <w:sz w:val="38"/>
        </w:rPr>
      </w:pPr>
      <w:r>
        <w:rPr>
          <w:sz w:val="38"/>
        </w:rPr>
        <w:t>and much</w:t>
      </w:r>
      <w:r>
        <w:rPr>
          <w:spacing w:val="1"/>
          <w:sz w:val="38"/>
        </w:rPr>
        <w:t> </w:t>
      </w:r>
      <w:r>
        <w:rPr>
          <w:sz w:val="38"/>
        </w:rPr>
        <w:t>more…</w:t>
      </w:r>
    </w:p>
    <w:p>
      <w:pPr>
        <w:pStyle w:val="BodyText"/>
        <w:rPr>
          <w:sz w:val="48"/>
        </w:rPr>
      </w:pPr>
    </w:p>
    <w:p>
      <w:pPr>
        <w:pStyle w:val="BodyText"/>
        <w:spacing w:before="2"/>
        <w:rPr>
          <w:sz w:val="44"/>
        </w:rPr>
      </w:pPr>
    </w:p>
    <w:p>
      <w:pPr>
        <w:pStyle w:val="Heading2"/>
        <w:ind w:left="616"/>
      </w:pPr>
      <w:r>
        <w:rPr/>
        <w:t>Discovery of OPC</w:t>
      </w:r>
    </w:p>
    <w:p>
      <w:pPr>
        <w:spacing w:after="0"/>
        <w:sectPr>
          <w:pgSz w:w="14270" w:h="16850"/>
          <w:pgMar w:header="0" w:footer="1891" w:top="1340" w:bottom="2080" w:left="800" w:right="1280"/>
        </w:sectPr>
      </w:pPr>
    </w:p>
    <w:p>
      <w:pPr>
        <w:pStyle w:val="BodyText"/>
        <w:spacing w:line="276" w:lineRule="auto" w:before="72"/>
        <w:ind w:left="616" w:right="131"/>
        <w:jc w:val="both"/>
      </w:pPr>
      <w:r>
        <w:rPr/>
        <w:t>A</w:t>
      </w:r>
      <w:r>
        <w:rPr>
          <w:spacing w:val="-7"/>
        </w:rPr>
        <w:t> </w:t>
      </w:r>
      <w:r>
        <w:rPr/>
        <w:t>paradox</w:t>
      </w:r>
      <w:r>
        <w:rPr>
          <w:spacing w:val="-8"/>
        </w:rPr>
        <w:t> </w:t>
      </w:r>
      <w:r>
        <w:rPr/>
        <w:t>that</w:t>
      </w:r>
      <w:r>
        <w:rPr>
          <w:spacing w:val="-7"/>
        </w:rPr>
        <w:t> </w:t>
      </w:r>
      <w:r>
        <w:rPr/>
        <w:t>has</w:t>
      </w:r>
      <w:r>
        <w:rPr>
          <w:spacing w:val="-5"/>
        </w:rPr>
        <w:t> </w:t>
      </w:r>
      <w:r>
        <w:rPr/>
        <w:t>troubled</w:t>
      </w:r>
      <w:r>
        <w:rPr>
          <w:spacing w:val="-7"/>
        </w:rPr>
        <w:t> </w:t>
      </w:r>
      <w:r>
        <w:rPr/>
        <w:t>thousands</w:t>
      </w:r>
      <w:r>
        <w:rPr>
          <w:spacing w:val="-6"/>
        </w:rPr>
        <w:t> </w:t>
      </w:r>
      <w:r>
        <w:rPr/>
        <w:t>of</w:t>
      </w:r>
      <w:r>
        <w:rPr>
          <w:spacing w:val="-6"/>
        </w:rPr>
        <w:t> </w:t>
      </w:r>
      <w:r>
        <w:rPr/>
        <w:t>scientists</w:t>
      </w:r>
      <w:r>
        <w:rPr>
          <w:spacing w:val="-6"/>
        </w:rPr>
        <w:t> </w:t>
      </w:r>
      <w:r>
        <w:rPr/>
        <w:t>and</w:t>
      </w:r>
      <w:r>
        <w:rPr>
          <w:spacing w:val="-7"/>
        </w:rPr>
        <w:t> </w:t>
      </w:r>
      <w:r>
        <w:rPr/>
        <w:t>researchers</w:t>
      </w:r>
      <w:r>
        <w:rPr>
          <w:spacing w:val="-6"/>
        </w:rPr>
        <w:t> </w:t>
      </w:r>
      <w:r>
        <w:rPr/>
        <w:t>for</w:t>
      </w:r>
      <w:r>
        <w:rPr>
          <w:spacing w:val="-7"/>
        </w:rPr>
        <w:t> </w:t>
      </w:r>
      <w:r>
        <w:rPr/>
        <w:t>centu- ries has its origins in France, more specifically in the form of red wine. While it is well-known that alcohol harms our health significantly, red wine helps people live longer and above all with more</w:t>
      </w:r>
      <w:r>
        <w:rPr>
          <w:spacing w:val="-5"/>
        </w:rPr>
        <w:t> </w:t>
      </w:r>
      <w:r>
        <w:rPr/>
        <w:t>vitality...</w:t>
      </w:r>
    </w:p>
    <w:p>
      <w:pPr>
        <w:pStyle w:val="BodyText"/>
        <w:spacing w:line="276" w:lineRule="auto" w:before="241"/>
        <w:ind w:left="616" w:right="129"/>
        <w:jc w:val="both"/>
      </w:pPr>
      <w:r>
        <w:rPr/>
        <w:t>An</w:t>
      </w:r>
      <w:r>
        <w:rPr>
          <w:spacing w:val="-13"/>
        </w:rPr>
        <w:t> </w:t>
      </w:r>
      <w:r>
        <w:rPr/>
        <w:t>elderly</w:t>
      </w:r>
      <w:r>
        <w:rPr>
          <w:spacing w:val="-12"/>
        </w:rPr>
        <w:t> </w:t>
      </w:r>
      <w:r>
        <w:rPr/>
        <w:t>lady,</w:t>
      </w:r>
      <w:r>
        <w:rPr>
          <w:spacing w:val="-11"/>
        </w:rPr>
        <w:t> </w:t>
      </w:r>
      <w:r>
        <w:rPr/>
        <w:t>who</w:t>
      </w:r>
      <w:r>
        <w:rPr>
          <w:spacing w:val="-12"/>
        </w:rPr>
        <w:t> </w:t>
      </w:r>
      <w:r>
        <w:rPr/>
        <w:t>was</w:t>
      </w:r>
      <w:r>
        <w:rPr>
          <w:spacing w:val="-12"/>
        </w:rPr>
        <w:t> </w:t>
      </w:r>
      <w:r>
        <w:rPr/>
        <w:t>the</w:t>
      </w:r>
      <w:r>
        <w:rPr>
          <w:spacing w:val="-12"/>
        </w:rPr>
        <w:t> </w:t>
      </w:r>
      <w:r>
        <w:rPr/>
        <w:t>oldest</w:t>
      </w:r>
      <w:r>
        <w:rPr>
          <w:spacing w:val="-12"/>
        </w:rPr>
        <w:t> </w:t>
      </w:r>
      <w:r>
        <w:rPr/>
        <w:t>person</w:t>
      </w:r>
      <w:r>
        <w:rPr>
          <w:spacing w:val="-12"/>
        </w:rPr>
        <w:t> </w:t>
      </w:r>
      <w:r>
        <w:rPr/>
        <w:t>in</w:t>
      </w:r>
      <w:r>
        <w:rPr>
          <w:spacing w:val="-13"/>
        </w:rPr>
        <w:t> </w:t>
      </w:r>
      <w:r>
        <w:rPr/>
        <w:t>the</w:t>
      </w:r>
      <w:r>
        <w:rPr>
          <w:spacing w:val="-15"/>
        </w:rPr>
        <w:t> </w:t>
      </w:r>
      <w:r>
        <w:rPr/>
        <w:t>world</w:t>
      </w:r>
      <w:r>
        <w:rPr>
          <w:spacing w:val="-13"/>
        </w:rPr>
        <w:t> </w:t>
      </w:r>
      <w:r>
        <w:rPr/>
        <w:t>at</w:t>
      </w:r>
      <w:r>
        <w:rPr>
          <w:spacing w:val="-14"/>
        </w:rPr>
        <w:t> </w:t>
      </w:r>
      <w:r>
        <w:rPr/>
        <w:t>the</w:t>
      </w:r>
      <w:r>
        <w:rPr>
          <w:spacing w:val="-11"/>
        </w:rPr>
        <w:t> </w:t>
      </w:r>
      <w:r>
        <w:rPr/>
        <w:t>age</w:t>
      </w:r>
      <w:r>
        <w:rPr>
          <w:spacing w:val="-11"/>
        </w:rPr>
        <w:t> </w:t>
      </w:r>
      <w:r>
        <w:rPr/>
        <w:t>of</w:t>
      </w:r>
      <w:r>
        <w:rPr>
          <w:spacing w:val="-13"/>
        </w:rPr>
        <w:t> </w:t>
      </w:r>
      <w:r>
        <w:rPr/>
        <w:t>123,</w:t>
      </w:r>
      <w:r>
        <w:rPr>
          <w:spacing w:val="-13"/>
        </w:rPr>
        <w:t> </w:t>
      </w:r>
      <w:r>
        <w:rPr/>
        <w:t>soon attracted</w:t>
      </w:r>
      <w:r>
        <w:rPr>
          <w:spacing w:val="-5"/>
        </w:rPr>
        <w:t> </w:t>
      </w:r>
      <w:r>
        <w:rPr/>
        <w:t>attention</w:t>
      </w:r>
      <w:r>
        <w:rPr>
          <w:spacing w:val="-3"/>
        </w:rPr>
        <w:t> </w:t>
      </w:r>
      <w:r>
        <w:rPr/>
        <w:t>when</w:t>
      </w:r>
      <w:r>
        <w:rPr>
          <w:spacing w:val="-6"/>
        </w:rPr>
        <w:t> </w:t>
      </w:r>
      <w:r>
        <w:rPr/>
        <w:t>she</w:t>
      </w:r>
      <w:r>
        <w:rPr>
          <w:spacing w:val="-7"/>
        </w:rPr>
        <w:t> </w:t>
      </w:r>
      <w:r>
        <w:rPr/>
        <w:t>said</w:t>
      </w:r>
      <w:r>
        <w:rPr>
          <w:spacing w:val="-5"/>
        </w:rPr>
        <w:t> </w:t>
      </w:r>
      <w:r>
        <w:rPr/>
        <w:t>she</w:t>
      </w:r>
      <w:r>
        <w:rPr>
          <w:spacing w:val="-3"/>
        </w:rPr>
        <w:t> </w:t>
      </w:r>
      <w:r>
        <w:rPr/>
        <w:t>drank</w:t>
      </w:r>
      <w:r>
        <w:rPr>
          <w:spacing w:val="-7"/>
        </w:rPr>
        <w:t> </w:t>
      </w:r>
      <w:r>
        <w:rPr/>
        <w:t>up</w:t>
      </w:r>
      <w:r>
        <w:rPr>
          <w:spacing w:val="-5"/>
        </w:rPr>
        <w:t> </w:t>
      </w:r>
      <w:r>
        <w:rPr/>
        <w:t>to</w:t>
      </w:r>
      <w:r>
        <w:rPr>
          <w:spacing w:val="-4"/>
        </w:rPr>
        <w:t> </w:t>
      </w:r>
      <w:r>
        <w:rPr/>
        <w:t>a</w:t>
      </w:r>
      <w:r>
        <w:rPr>
          <w:spacing w:val="-5"/>
        </w:rPr>
        <w:t> </w:t>
      </w:r>
      <w:r>
        <w:rPr/>
        <w:t>litre</w:t>
      </w:r>
      <w:r>
        <w:rPr>
          <w:spacing w:val="-4"/>
        </w:rPr>
        <w:t> </w:t>
      </w:r>
      <w:r>
        <w:rPr/>
        <w:t>of</w:t>
      </w:r>
      <w:r>
        <w:rPr>
          <w:spacing w:val="-6"/>
        </w:rPr>
        <w:t> </w:t>
      </w:r>
      <w:r>
        <w:rPr/>
        <w:t>red</w:t>
      </w:r>
      <w:r>
        <w:rPr>
          <w:spacing w:val="-5"/>
        </w:rPr>
        <w:t> </w:t>
      </w:r>
      <w:r>
        <w:rPr/>
        <w:t>wine</w:t>
      </w:r>
      <w:r>
        <w:rPr>
          <w:spacing w:val="-4"/>
        </w:rPr>
        <w:t> </w:t>
      </w:r>
      <w:r>
        <w:rPr/>
        <w:t>every</w:t>
      </w:r>
      <w:r>
        <w:rPr>
          <w:spacing w:val="-4"/>
        </w:rPr>
        <w:t> </w:t>
      </w:r>
      <w:r>
        <w:rPr/>
        <w:t>day. She was no exception; after all, people from the south of France are among the oldest and healthiest people in the</w:t>
      </w:r>
      <w:r>
        <w:rPr>
          <w:spacing w:val="1"/>
        </w:rPr>
        <w:t> </w:t>
      </w:r>
      <w:r>
        <w:rPr/>
        <w:t>world.</w:t>
      </w:r>
    </w:p>
    <w:p>
      <w:pPr>
        <w:pStyle w:val="BodyText"/>
        <w:spacing w:line="276" w:lineRule="auto" w:before="240"/>
        <w:ind w:left="616" w:right="143"/>
        <w:jc w:val="both"/>
      </w:pPr>
      <w:r>
        <w:rPr/>
        <w:t>But let's go back a few decades, to the birth year of the most valuable vitamin in the world:</w:t>
      </w:r>
    </w:p>
    <w:p>
      <w:pPr>
        <w:pStyle w:val="BodyText"/>
        <w:spacing w:line="276" w:lineRule="auto" w:before="241"/>
        <w:ind w:left="616" w:right="133"/>
        <w:jc w:val="both"/>
      </w:pPr>
      <w:r>
        <w:rPr/>
        <w:t>In</w:t>
      </w:r>
      <w:r>
        <w:rPr>
          <w:spacing w:val="-6"/>
        </w:rPr>
        <w:t> </w:t>
      </w:r>
      <w:r>
        <w:rPr/>
        <w:t>1947,</w:t>
      </w:r>
      <w:r>
        <w:rPr>
          <w:spacing w:val="-7"/>
        </w:rPr>
        <w:t> </w:t>
      </w:r>
      <w:r>
        <w:rPr/>
        <w:t>while</w:t>
      </w:r>
      <w:r>
        <w:rPr>
          <w:spacing w:val="-7"/>
        </w:rPr>
        <w:t> </w:t>
      </w:r>
      <w:r>
        <w:rPr/>
        <w:t>researching</w:t>
      </w:r>
      <w:r>
        <w:rPr>
          <w:spacing w:val="-5"/>
        </w:rPr>
        <w:t> </w:t>
      </w:r>
      <w:r>
        <w:rPr/>
        <w:t>the</w:t>
      </w:r>
      <w:r>
        <w:rPr>
          <w:spacing w:val="-8"/>
        </w:rPr>
        <w:t> </w:t>
      </w:r>
      <w:r>
        <w:rPr/>
        <w:t>reddish-brown</w:t>
      </w:r>
      <w:r>
        <w:rPr>
          <w:spacing w:val="-7"/>
        </w:rPr>
        <w:t> </w:t>
      </w:r>
      <w:r>
        <w:rPr/>
        <w:t>skin</w:t>
      </w:r>
      <w:r>
        <w:rPr>
          <w:spacing w:val="-6"/>
        </w:rPr>
        <w:t> </w:t>
      </w:r>
      <w:r>
        <w:rPr/>
        <w:t>of</w:t>
      </w:r>
      <w:r>
        <w:rPr>
          <w:spacing w:val="-6"/>
        </w:rPr>
        <w:t> </w:t>
      </w:r>
      <w:r>
        <w:rPr/>
        <w:t>the</w:t>
      </w:r>
      <w:r>
        <w:rPr>
          <w:spacing w:val="-8"/>
        </w:rPr>
        <w:t> </w:t>
      </w:r>
      <w:r>
        <w:rPr/>
        <w:t>peanut</w:t>
      </w:r>
      <w:r>
        <w:rPr>
          <w:spacing w:val="-11"/>
        </w:rPr>
        <w:t> </w:t>
      </w:r>
      <w:r>
        <w:rPr/>
        <w:t>for</w:t>
      </w:r>
      <w:r>
        <w:rPr>
          <w:spacing w:val="-5"/>
        </w:rPr>
        <w:t> </w:t>
      </w:r>
      <w:r>
        <w:rPr/>
        <w:t>the</w:t>
      </w:r>
      <w:r>
        <w:rPr>
          <w:spacing w:val="-7"/>
        </w:rPr>
        <w:t> </w:t>
      </w:r>
      <w:r>
        <w:rPr/>
        <w:t>possi- bility of using it as a fattening feed and source of protein for the post-war generation, Prof. Dr. Jack Masquelier found a sensational material that had miraculous</w:t>
      </w:r>
      <w:r>
        <w:rPr>
          <w:spacing w:val="-14"/>
        </w:rPr>
        <w:t> </w:t>
      </w:r>
      <w:r>
        <w:rPr/>
        <w:t>effects</w:t>
      </w:r>
      <w:r>
        <w:rPr>
          <w:spacing w:val="-13"/>
        </w:rPr>
        <w:t> </w:t>
      </w:r>
      <w:r>
        <w:rPr/>
        <w:t>on</w:t>
      </w:r>
      <w:r>
        <w:rPr>
          <w:spacing w:val="-13"/>
        </w:rPr>
        <w:t> </w:t>
      </w:r>
      <w:r>
        <w:rPr/>
        <w:t>the</w:t>
      </w:r>
      <w:r>
        <w:rPr>
          <w:spacing w:val="-14"/>
        </w:rPr>
        <w:t> </w:t>
      </w:r>
      <w:r>
        <w:rPr/>
        <w:t>human</w:t>
      </w:r>
      <w:r>
        <w:rPr>
          <w:spacing w:val="-16"/>
        </w:rPr>
        <w:t> </w:t>
      </w:r>
      <w:r>
        <w:rPr/>
        <w:t>body</w:t>
      </w:r>
      <w:r>
        <w:rPr>
          <w:spacing w:val="-14"/>
        </w:rPr>
        <w:t> </w:t>
      </w:r>
      <w:r>
        <w:rPr/>
        <w:t>in</w:t>
      </w:r>
      <w:r>
        <w:rPr>
          <w:spacing w:val="-14"/>
        </w:rPr>
        <w:t> </w:t>
      </w:r>
      <w:r>
        <w:rPr/>
        <w:t>his</w:t>
      </w:r>
      <w:r>
        <w:rPr>
          <w:spacing w:val="-16"/>
        </w:rPr>
        <w:t> </w:t>
      </w:r>
      <w:r>
        <w:rPr/>
        <w:t>laboratory</w:t>
      </w:r>
      <w:r>
        <w:rPr>
          <w:spacing w:val="-13"/>
        </w:rPr>
        <w:t> </w:t>
      </w:r>
      <w:r>
        <w:rPr/>
        <w:t>connected</w:t>
      </w:r>
      <w:r>
        <w:rPr>
          <w:spacing w:val="-16"/>
        </w:rPr>
        <w:t> </w:t>
      </w:r>
      <w:r>
        <w:rPr/>
        <w:t>to</w:t>
      </w:r>
      <w:r>
        <w:rPr>
          <w:spacing w:val="-14"/>
        </w:rPr>
        <w:t> </w:t>
      </w:r>
      <w:r>
        <w:rPr/>
        <w:t>the</w:t>
      </w:r>
      <w:r>
        <w:rPr>
          <w:spacing w:val="-13"/>
        </w:rPr>
        <w:t> </w:t>
      </w:r>
      <w:r>
        <w:rPr/>
        <w:t>med- ical</w:t>
      </w:r>
      <w:r>
        <w:rPr>
          <w:spacing w:val="-2"/>
        </w:rPr>
        <w:t> </w:t>
      </w:r>
      <w:r>
        <w:rPr/>
        <w:t>faculty.</w:t>
      </w:r>
    </w:p>
    <w:p>
      <w:pPr>
        <w:pStyle w:val="BodyText"/>
        <w:spacing w:line="276" w:lineRule="auto" w:before="240"/>
        <w:ind w:left="616" w:right="139"/>
        <w:jc w:val="both"/>
      </w:pPr>
      <w:r>
        <w:rPr/>
        <w:t>Mankind's longing for the fountain of youth and the source of health is as old as</w:t>
      </w:r>
      <w:r>
        <w:rPr>
          <w:spacing w:val="-25"/>
        </w:rPr>
        <w:t> </w:t>
      </w:r>
      <w:r>
        <w:rPr/>
        <w:t>humanity</w:t>
      </w:r>
      <w:r>
        <w:rPr>
          <w:spacing w:val="-25"/>
        </w:rPr>
        <w:t> </w:t>
      </w:r>
      <w:r>
        <w:rPr/>
        <w:t>itself.</w:t>
      </w:r>
      <w:r>
        <w:rPr>
          <w:spacing w:val="-24"/>
        </w:rPr>
        <w:t> </w:t>
      </w:r>
      <w:r>
        <w:rPr/>
        <w:t>However,</w:t>
      </w:r>
      <w:r>
        <w:rPr>
          <w:spacing w:val="-25"/>
        </w:rPr>
        <w:t> </w:t>
      </w:r>
      <w:r>
        <w:rPr/>
        <w:t>Dr.</w:t>
      </w:r>
      <w:r>
        <w:rPr>
          <w:spacing w:val="-25"/>
        </w:rPr>
        <w:t> </w:t>
      </w:r>
      <w:r>
        <w:rPr/>
        <w:t>Masquelier</w:t>
      </w:r>
      <w:r>
        <w:rPr>
          <w:spacing w:val="-24"/>
        </w:rPr>
        <w:t> </w:t>
      </w:r>
      <w:r>
        <w:rPr/>
        <w:t>realised</w:t>
      </w:r>
      <w:r>
        <w:rPr>
          <w:spacing w:val="-25"/>
        </w:rPr>
        <w:t> </w:t>
      </w:r>
      <w:r>
        <w:rPr/>
        <w:t>in</w:t>
      </w:r>
      <w:r>
        <w:rPr>
          <w:spacing w:val="-24"/>
        </w:rPr>
        <w:t> </w:t>
      </w:r>
      <w:r>
        <w:rPr/>
        <w:t>many</w:t>
      </w:r>
      <w:r>
        <w:rPr>
          <w:spacing w:val="-24"/>
        </w:rPr>
        <w:t> </w:t>
      </w:r>
      <w:r>
        <w:rPr/>
        <w:t>subsequent,</w:t>
      </w:r>
      <w:r>
        <w:rPr>
          <w:spacing w:val="-24"/>
        </w:rPr>
        <w:t> </w:t>
      </w:r>
      <w:r>
        <w:rPr/>
        <w:t>more advanced tests that, with the discovery of oligomer procyanidin (abbreviated to 'OPC' or 'vitamin P'), he had brought this dream closer to</w:t>
      </w:r>
      <w:r>
        <w:rPr>
          <w:spacing w:val="-17"/>
        </w:rPr>
        <w:t> </w:t>
      </w:r>
      <w:r>
        <w:rPr/>
        <w:t>humanity.</w:t>
      </w:r>
    </w:p>
    <w:p>
      <w:pPr>
        <w:pStyle w:val="BodyText"/>
        <w:spacing w:before="239"/>
        <w:ind w:left="616"/>
        <w:jc w:val="both"/>
      </w:pPr>
      <w:r>
        <w:rPr/>
        <w:t>What exactly is OPC?</w:t>
      </w:r>
    </w:p>
    <w:p>
      <w:pPr>
        <w:pStyle w:val="BodyText"/>
        <w:spacing w:before="305"/>
        <w:ind w:left="616"/>
        <w:jc w:val="both"/>
      </w:pPr>
      <w:r>
        <w:rPr/>
        <w:t>Oligomer procyanidins (abbreviated: OPC) is a flavenol which belongs to</w:t>
      </w:r>
      <w:r>
        <w:rPr>
          <w:spacing w:val="55"/>
        </w:rPr>
        <w:t> </w:t>
      </w:r>
      <w:r>
        <w:rPr/>
        <w:t>the</w:t>
      </w:r>
    </w:p>
    <w:p>
      <w:pPr>
        <w:spacing w:after="0"/>
        <w:jc w:val="both"/>
        <w:sectPr>
          <w:pgSz w:w="14270" w:h="16850"/>
          <w:pgMar w:header="0" w:footer="1891" w:top="1340" w:bottom="2080" w:left="800" w:right="1280"/>
        </w:sectPr>
      </w:pPr>
    </w:p>
    <w:p>
      <w:pPr>
        <w:pStyle w:val="BodyText"/>
        <w:spacing w:line="276" w:lineRule="auto" w:before="72"/>
        <w:ind w:left="616" w:right="138"/>
        <w:jc w:val="both"/>
      </w:pPr>
      <w:r>
        <w:rPr/>
        <w:t>group of flavonoids or bioflavonoids; it is a colourless, water-soluble, bitter substance.</w:t>
      </w:r>
    </w:p>
    <w:p>
      <w:pPr>
        <w:pStyle w:val="BodyText"/>
        <w:spacing w:line="276" w:lineRule="auto" w:before="241"/>
        <w:ind w:left="616" w:right="132"/>
        <w:jc w:val="both"/>
      </w:pPr>
      <w:r>
        <w:rPr/>
        <w:t>OPC</w:t>
      </w:r>
      <w:r>
        <w:rPr>
          <w:spacing w:val="-9"/>
        </w:rPr>
        <w:t> </w:t>
      </w:r>
      <w:r>
        <w:rPr/>
        <w:t>(vitamin</w:t>
      </w:r>
      <w:r>
        <w:rPr>
          <w:spacing w:val="-6"/>
        </w:rPr>
        <w:t> </w:t>
      </w:r>
      <w:r>
        <w:rPr/>
        <w:t>P)</w:t>
      </w:r>
      <w:r>
        <w:rPr>
          <w:spacing w:val="-7"/>
        </w:rPr>
        <w:t> </w:t>
      </w:r>
      <w:r>
        <w:rPr/>
        <w:t>is</w:t>
      </w:r>
      <w:r>
        <w:rPr>
          <w:spacing w:val="-6"/>
        </w:rPr>
        <w:t> </w:t>
      </w:r>
      <w:r>
        <w:rPr/>
        <w:t>the</w:t>
      </w:r>
      <w:r>
        <w:rPr>
          <w:spacing w:val="-6"/>
        </w:rPr>
        <w:t> </w:t>
      </w:r>
      <w:r>
        <w:rPr/>
        <w:t>most</w:t>
      </w:r>
      <w:r>
        <w:rPr>
          <w:spacing w:val="-6"/>
        </w:rPr>
        <w:t> </w:t>
      </w:r>
      <w:r>
        <w:rPr/>
        <w:t>important</w:t>
      </w:r>
      <w:r>
        <w:rPr>
          <w:spacing w:val="-7"/>
        </w:rPr>
        <w:t> </w:t>
      </w:r>
      <w:r>
        <w:rPr/>
        <w:t>partner</w:t>
      </w:r>
      <w:r>
        <w:rPr>
          <w:spacing w:val="-7"/>
        </w:rPr>
        <w:t> </w:t>
      </w:r>
      <w:r>
        <w:rPr/>
        <w:t>of</w:t>
      </w:r>
      <w:r>
        <w:rPr>
          <w:spacing w:val="-6"/>
        </w:rPr>
        <w:t> </w:t>
      </w:r>
      <w:r>
        <w:rPr/>
        <w:t>vitamin</w:t>
      </w:r>
      <w:r>
        <w:rPr>
          <w:spacing w:val="-7"/>
        </w:rPr>
        <w:t> </w:t>
      </w:r>
      <w:r>
        <w:rPr/>
        <w:t>C</w:t>
      </w:r>
      <w:r>
        <w:rPr>
          <w:spacing w:val="-7"/>
        </w:rPr>
        <w:t> </w:t>
      </w:r>
      <w:r>
        <w:rPr/>
        <w:t>and</w:t>
      </w:r>
      <w:r>
        <w:rPr>
          <w:spacing w:val="-7"/>
        </w:rPr>
        <w:t> </w:t>
      </w:r>
      <w:r>
        <w:rPr/>
        <w:t>it</w:t>
      </w:r>
      <w:r>
        <w:rPr>
          <w:spacing w:val="-7"/>
        </w:rPr>
        <w:t> </w:t>
      </w:r>
      <w:r>
        <w:rPr/>
        <w:t>has</w:t>
      </w:r>
      <w:r>
        <w:rPr>
          <w:spacing w:val="-6"/>
        </w:rPr>
        <w:t> </w:t>
      </w:r>
      <w:r>
        <w:rPr/>
        <w:t>already been</w:t>
      </w:r>
      <w:r>
        <w:rPr>
          <w:spacing w:val="-12"/>
        </w:rPr>
        <w:t> </w:t>
      </w:r>
      <w:r>
        <w:rPr/>
        <w:t>shown</w:t>
      </w:r>
      <w:r>
        <w:rPr>
          <w:spacing w:val="-13"/>
        </w:rPr>
        <w:t> </w:t>
      </w:r>
      <w:r>
        <w:rPr/>
        <w:t>in</w:t>
      </w:r>
      <w:r>
        <w:rPr>
          <w:spacing w:val="-13"/>
        </w:rPr>
        <w:t> </w:t>
      </w:r>
      <w:r>
        <w:rPr/>
        <w:t>animal</w:t>
      </w:r>
      <w:r>
        <w:rPr>
          <w:spacing w:val="-13"/>
        </w:rPr>
        <w:t> </w:t>
      </w:r>
      <w:r>
        <w:rPr/>
        <w:t>experiments</w:t>
      </w:r>
      <w:r>
        <w:rPr>
          <w:spacing w:val="-13"/>
        </w:rPr>
        <w:t> </w:t>
      </w:r>
      <w:r>
        <w:rPr/>
        <w:t>that</w:t>
      </w:r>
      <w:r>
        <w:rPr>
          <w:spacing w:val="-13"/>
        </w:rPr>
        <w:t> </w:t>
      </w:r>
      <w:r>
        <w:rPr/>
        <w:t>it</w:t>
      </w:r>
      <w:r>
        <w:rPr>
          <w:spacing w:val="-13"/>
        </w:rPr>
        <w:t> </w:t>
      </w:r>
      <w:r>
        <w:rPr/>
        <w:t>is</w:t>
      </w:r>
      <w:r>
        <w:rPr>
          <w:spacing w:val="-13"/>
        </w:rPr>
        <w:t> </w:t>
      </w:r>
      <w:r>
        <w:rPr/>
        <w:t>the</w:t>
      </w:r>
      <w:r>
        <w:rPr>
          <w:spacing w:val="-12"/>
        </w:rPr>
        <w:t> </w:t>
      </w:r>
      <w:r>
        <w:rPr/>
        <w:t>only</w:t>
      </w:r>
      <w:r>
        <w:rPr>
          <w:spacing w:val="-12"/>
        </w:rPr>
        <w:t> </w:t>
      </w:r>
      <w:r>
        <w:rPr/>
        <w:t>known</w:t>
      </w:r>
      <w:r>
        <w:rPr>
          <w:spacing w:val="-13"/>
        </w:rPr>
        <w:t> </w:t>
      </w:r>
      <w:r>
        <w:rPr/>
        <w:t>substance</w:t>
      </w:r>
      <w:r>
        <w:rPr>
          <w:spacing w:val="-12"/>
        </w:rPr>
        <w:t> </w:t>
      </w:r>
      <w:r>
        <w:rPr/>
        <w:t>that</w:t>
      </w:r>
      <w:r>
        <w:rPr>
          <w:spacing w:val="-13"/>
        </w:rPr>
        <w:t> </w:t>
      </w:r>
      <w:r>
        <w:rPr/>
        <w:t>can boost vitamin C by up to 10 times. This is done via the so-called 'redox reac- tion'</w:t>
      </w:r>
      <w:r>
        <w:rPr>
          <w:spacing w:val="-26"/>
        </w:rPr>
        <w:t> </w:t>
      </w:r>
      <w:r>
        <w:rPr/>
        <w:t>(reduction-oxidation</w:t>
      </w:r>
      <w:r>
        <w:rPr>
          <w:spacing w:val="-24"/>
        </w:rPr>
        <w:t> </w:t>
      </w:r>
      <w:r>
        <w:rPr/>
        <w:t>reaction),</w:t>
      </w:r>
      <w:r>
        <w:rPr>
          <w:spacing w:val="-24"/>
        </w:rPr>
        <w:t> </w:t>
      </w:r>
      <w:r>
        <w:rPr/>
        <w:t>within</w:t>
      </w:r>
      <w:r>
        <w:rPr>
          <w:spacing w:val="-24"/>
        </w:rPr>
        <w:t> </w:t>
      </w:r>
      <w:r>
        <w:rPr/>
        <w:t>which</w:t>
      </w:r>
      <w:r>
        <w:rPr>
          <w:spacing w:val="-24"/>
        </w:rPr>
        <w:t> </w:t>
      </w:r>
      <w:r>
        <w:rPr/>
        <w:t>the</w:t>
      </w:r>
      <w:r>
        <w:rPr>
          <w:spacing w:val="-24"/>
        </w:rPr>
        <w:t> </w:t>
      </w:r>
      <w:r>
        <w:rPr/>
        <w:t>OPC</w:t>
      </w:r>
      <w:r>
        <w:rPr>
          <w:spacing w:val="-27"/>
        </w:rPr>
        <w:t> </w:t>
      </w:r>
      <w:r>
        <w:rPr/>
        <w:t>can</w:t>
      </w:r>
      <w:r>
        <w:rPr>
          <w:spacing w:val="-24"/>
        </w:rPr>
        <w:t> </w:t>
      </w:r>
      <w:r>
        <w:rPr/>
        <w:t>regenerate</w:t>
      </w:r>
      <w:r>
        <w:rPr>
          <w:spacing w:val="-25"/>
        </w:rPr>
        <w:t> </w:t>
      </w:r>
      <w:r>
        <w:rPr/>
        <w:t>con- sumed vitamin C molecules up to ten</w:t>
      </w:r>
      <w:r>
        <w:rPr>
          <w:spacing w:val="6"/>
        </w:rPr>
        <w:t> </w:t>
      </w:r>
      <w:r>
        <w:rPr/>
        <w:t>times.</w:t>
      </w:r>
    </w:p>
    <w:p>
      <w:pPr>
        <w:pStyle w:val="BodyText"/>
        <w:spacing w:line="276" w:lineRule="auto" w:before="240"/>
        <w:ind w:left="616" w:right="131"/>
        <w:jc w:val="both"/>
      </w:pPr>
      <w:r>
        <w:rPr/>
        <w:t>In</w:t>
      </w:r>
      <w:r>
        <w:rPr>
          <w:spacing w:val="-11"/>
        </w:rPr>
        <w:t> </w:t>
      </w:r>
      <w:r>
        <w:rPr/>
        <w:t>a</w:t>
      </w:r>
      <w:r>
        <w:rPr>
          <w:spacing w:val="-13"/>
        </w:rPr>
        <w:t> </w:t>
      </w:r>
      <w:r>
        <w:rPr/>
        <w:t>laboratory,</w:t>
      </w:r>
      <w:r>
        <w:rPr>
          <w:spacing w:val="-12"/>
        </w:rPr>
        <w:t> </w:t>
      </w:r>
      <w:r>
        <w:rPr/>
        <w:t>guinea</w:t>
      </w:r>
      <w:r>
        <w:rPr>
          <w:spacing w:val="-12"/>
        </w:rPr>
        <w:t> </w:t>
      </w:r>
      <w:r>
        <w:rPr/>
        <w:t>pigs</w:t>
      </w:r>
      <w:r>
        <w:rPr>
          <w:spacing w:val="-11"/>
        </w:rPr>
        <w:t> </w:t>
      </w:r>
      <w:r>
        <w:rPr/>
        <w:t>were</w:t>
      </w:r>
      <w:r>
        <w:rPr>
          <w:spacing w:val="-10"/>
        </w:rPr>
        <w:t> </w:t>
      </w:r>
      <w:r>
        <w:rPr/>
        <w:t>divided</w:t>
      </w:r>
      <w:r>
        <w:rPr>
          <w:spacing w:val="-13"/>
        </w:rPr>
        <w:t> </w:t>
      </w:r>
      <w:r>
        <w:rPr/>
        <w:t>into</w:t>
      </w:r>
      <w:r>
        <w:rPr>
          <w:spacing w:val="-11"/>
        </w:rPr>
        <w:t> </w:t>
      </w:r>
      <w:r>
        <w:rPr/>
        <w:t>several</w:t>
      </w:r>
      <w:r>
        <w:rPr>
          <w:spacing w:val="-12"/>
        </w:rPr>
        <w:t> </w:t>
      </w:r>
      <w:r>
        <w:rPr/>
        <w:t>groups</w:t>
      </w:r>
      <w:r>
        <w:rPr>
          <w:spacing w:val="-11"/>
        </w:rPr>
        <w:t> </w:t>
      </w:r>
      <w:r>
        <w:rPr/>
        <w:t>and</w:t>
      </w:r>
      <w:r>
        <w:rPr>
          <w:spacing w:val="-13"/>
        </w:rPr>
        <w:t> </w:t>
      </w:r>
      <w:r>
        <w:rPr/>
        <w:t>supplied</w:t>
      </w:r>
      <w:r>
        <w:rPr>
          <w:spacing w:val="-13"/>
        </w:rPr>
        <w:t> </w:t>
      </w:r>
      <w:r>
        <w:rPr/>
        <w:t>with different amounts of vitamin C and OPC. The more vitamin C they got, the stronger</w:t>
      </w:r>
      <w:r>
        <w:rPr>
          <w:spacing w:val="-15"/>
        </w:rPr>
        <w:t> </w:t>
      </w:r>
      <w:r>
        <w:rPr/>
        <w:t>they</w:t>
      </w:r>
      <w:r>
        <w:rPr>
          <w:spacing w:val="-13"/>
        </w:rPr>
        <w:t> </w:t>
      </w:r>
      <w:r>
        <w:rPr/>
        <w:t>became</w:t>
      </w:r>
      <w:r>
        <w:rPr>
          <w:spacing w:val="-14"/>
        </w:rPr>
        <w:t> </w:t>
      </w:r>
      <w:r>
        <w:rPr/>
        <w:t>and</w:t>
      </w:r>
      <w:r>
        <w:rPr>
          <w:spacing w:val="-14"/>
        </w:rPr>
        <w:t> </w:t>
      </w:r>
      <w:r>
        <w:rPr/>
        <w:t>the</w:t>
      </w:r>
      <w:r>
        <w:rPr>
          <w:spacing w:val="-13"/>
        </w:rPr>
        <w:t> </w:t>
      </w:r>
      <w:r>
        <w:rPr/>
        <w:t>longer</w:t>
      </w:r>
      <w:r>
        <w:rPr>
          <w:spacing w:val="-13"/>
        </w:rPr>
        <w:t> </w:t>
      </w:r>
      <w:r>
        <w:rPr/>
        <w:t>their</w:t>
      </w:r>
      <w:r>
        <w:rPr>
          <w:spacing w:val="-15"/>
        </w:rPr>
        <w:t> </w:t>
      </w:r>
      <w:r>
        <w:rPr/>
        <w:t>lifespan</w:t>
      </w:r>
      <w:r>
        <w:rPr>
          <w:spacing w:val="-13"/>
        </w:rPr>
        <w:t> </w:t>
      </w:r>
      <w:r>
        <w:rPr/>
        <w:t>was.</w:t>
      </w:r>
      <w:r>
        <w:rPr>
          <w:spacing w:val="-13"/>
        </w:rPr>
        <w:t> </w:t>
      </w:r>
      <w:r>
        <w:rPr/>
        <w:t>The</w:t>
      </w:r>
      <w:r>
        <w:rPr>
          <w:spacing w:val="-13"/>
        </w:rPr>
        <w:t> </w:t>
      </w:r>
      <w:r>
        <w:rPr/>
        <w:t>amazing</w:t>
      </w:r>
      <w:r>
        <w:rPr>
          <w:spacing w:val="-14"/>
        </w:rPr>
        <w:t> </w:t>
      </w:r>
      <w:r>
        <w:rPr/>
        <w:t>thing</w:t>
      </w:r>
      <w:r>
        <w:rPr>
          <w:spacing w:val="-14"/>
        </w:rPr>
        <w:t> </w:t>
      </w:r>
      <w:r>
        <w:rPr/>
        <w:t>was that even those animals which received very little vitamin C, but also received OPC,</w:t>
      </w:r>
      <w:r>
        <w:rPr>
          <w:spacing w:val="-19"/>
        </w:rPr>
        <w:t> </w:t>
      </w:r>
      <w:r>
        <w:rPr/>
        <w:t>were</w:t>
      </w:r>
      <w:r>
        <w:rPr>
          <w:spacing w:val="-18"/>
        </w:rPr>
        <w:t> </w:t>
      </w:r>
      <w:r>
        <w:rPr/>
        <w:t>in</w:t>
      </w:r>
      <w:r>
        <w:rPr>
          <w:spacing w:val="-20"/>
        </w:rPr>
        <w:t> </w:t>
      </w:r>
      <w:r>
        <w:rPr/>
        <w:t>a</w:t>
      </w:r>
      <w:r>
        <w:rPr>
          <w:spacing w:val="-22"/>
        </w:rPr>
        <w:t> </w:t>
      </w:r>
      <w:r>
        <w:rPr/>
        <w:t>similar</w:t>
      </w:r>
      <w:r>
        <w:rPr>
          <w:spacing w:val="-19"/>
        </w:rPr>
        <w:t> </w:t>
      </w:r>
      <w:r>
        <w:rPr/>
        <w:t>condition</w:t>
      </w:r>
      <w:r>
        <w:rPr>
          <w:spacing w:val="-20"/>
        </w:rPr>
        <w:t> </w:t>
      </w:r>
      <w:r>
        <w:rPr/>
        <w:t>to</w:t>
      </w:r>
      <w:r>
        <w:rPr>
          <w:spacing w:val="-19"/>
        </w:rPr>
        <w:t> </w:t>
      </w:r>
      <w:r>
        <w:rPr/>
        <w:t>those</w:t>
      </w:r>
      <w:r>
        <w:rPr>
          <w:spacing w:val="-21"/>
        </w:rPr>
        <w:t> </w:t>
      </w:r>
      <w:r>
        <w:rPr/>
        <w:t>who</w:t>
      </w:r>
      <w:r>
        <w:rPr>
          <w:spacing w:val="-20"/>
        </w:rPr>
        <w:t> </w:t>
      </w:r>
      <w:r>
        <w:rPr/>
        <w:t>received</w:t>
      </w:r>
      <w:r>
        <w:rPr>
          <w:spacing w:val="-20"/>
        </w:rPr>
        <w:t> </w:t>
      </w:r>
      <w:r>
        <w:rPr/>
        <w:t>four</w:t>
      </w:r>
      <w:r>
        <w:rPr>
          <w:spacing w:val="-18"/>
        </w:rPr>
        <w:t> </w:t>
      </w:r>
      <w:r>
        <w:rPr/>
        <w:t>times</w:t>
      </w:r>
      <w:r>
        <w:rPr>
          <w:spacing w:val="-23"/>
        </w:rPr>
        <w:t> </w:t>
      </w:r>
      <w:r>
        <w:rPr/>
        <w:t>that</w:t>
      </w:r>
      <w:r>
        <w:rPr>
          <w:spacing w:val="-20"/>
        </w:rPr>
        <w:t> </w:t>
      </w:r>
      <w:r>
        <w:rPr/>
        <w:t>amount of vitamin C. This led to the realisation that OPC had to be the long-sought co-partner of vitamin</w:t>
      </w:r>
      <w:r>
        <w:rPr>
          <w:spacing w:val="3"/>
        </w:rPr>
        <w:t> </w:t>
      </w:r>
      <w:r>
        <w:rPr/>
        <w:t>C.</w:t>
      </w:r>
    </w:p>
    <w:p>
      <w:pPr>
        <w:pStyle w:val="BodyText"/>
        <w:spacing w:line="276" w:lineRule="auto" w:before="240"/>
        <w:ind w:left="616" w:right="142"/>
        <w:jc w:val="both"/>
      </w:pPr>
      <w:r>
        <w:rPr/>
        <w:t>Nature emphasises this by the fact that the vitamin C contained in fruits and vegetables never appears without its co-partner, OPC.</w:t>
      </w:r>
    </w:p>
    <w:p>
      <w:pPr>
        <w:pStyle w:val="BodyText"/>
        <w:spacing w:line="276" w:lineRule="auto" w:before="241"/>
        <w:ind w:left="616" w:right="133"/>
        <w:jc w:val="both"/>
        <w:rPr>
          <w:sz w:val="25"/>
        </w:rPr>
      </w:pPr>
      <w:r>
        <w:rPr/>
        <w:t>OPC is absorbed by the body at the same rapid pace as vitamin C; it passes through the oral mucosa in the stomach within fractions of a second and can be detected in the blood within a few minutes. This alone is a clear indication of how important OPC is to the organism, as it is given preferential treat- ment.</w:t>
      </w:r>
      <w:r>
        <w:rPr>
          <w:position w:val="9"/>
          <w:sz w:val="25"/>
        </w:rPr>
        <w:t>635</w:t>
      </w:r>
    </w:p>
    <w:p>
      <w:pPr>
        <w:pStyle w:val="BodyText"/>
        <w:spacing w:before="6"/>
        <w:rPr>
          <w:sz w:val="28"/>
        </w:rPr>
      </w:pPr>
      <w:r>
        <w:rPr/>
        <w:pict>
          <v:line style="position:absolute;mso-position-horizontal-relative:page;mso-position-vertical-relative:paragraph;z-index:8168;mso-wrap-distance-left:0;mso-wrap-distance-right:0" from="70.823997pt,18.433735pt" to="214.843997pt,18.433735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635 </w:t>
      </w:r>
      <w:r>
        <w:rPr>
          <w:sz w:val="20"/>
        </w:rPr>
        <w:t>Werner Goller: Was verschweigt die Schulmedizin? ('What Does Conventional Medicine Conceal?'), 2009, p. 10</w:t>
      </w:r>
    </w:p>
    <w:p>
      <w:pPr>
        <w:spacing w:after="0"/>
        <w:jc w:val="left"/>
        <w:rPr>
          <w:sz w:val="20"/>
        </w:rPr>
        <w:sectPr>
          <w:pgSz w:w="14270" w:h="16850"/>
          <w:pgMar w:header="0" w:footer="1891" w:top="1340" w:bottom="2080" w:left="800" w:right="1280"/>
        </w:sectPr>
      </w:pPr>
    </w:p>
    <w:p>
      <w:pPr>
        <w:pStyle w:val="BodyText"/>
        <w:spacing w:line="276" w:lineRule="auto" w:before="72"/>
        <w:ind w:left="616" w:right="142"/>
        <w:jc w:val="both"/>
      </w:pPr>
      <w:r>
        <w:rPr/>
        <w:t>Vitamin P (OPC) reaches its highest concentration in the blood 45 minutes after ingestion and is used up within 72 hours. In contrast to vitamin C, a re- peated intake of OPC during the day is therefore not necessary.</w:t>
      </w:r>
    </w:p>
    <w:p>
      <w:pPr>
        <w:pStyle w:val="BodyText"/>
        <w:spacing w:line="276" w:lineRule="auto" w:before="241"/>
        <w:ind w:left="616" w:right="131"/>
        <w:jc w:val="both"/>
      </w:pPr>
      <w:r>
        <w:rPr/>
        <w:pict>
          <v:line style="position:absolute;mso-position-horizontal-relative:page;mso-position-vertical-relative:paragraph;z-index:-1259488" from="613.859985pt,61.424484pt" to="613.859985pt,82.664484pt" stroked="true" strokeweight="4.2pt" strokecolor="#ffff00">
            <v:stroke dashstyle="solid"/>
            <w10:wrap type="none"/>
          </v:line>
        </w:pict>
      </w:r>
      <w:r>
        <w:rPr/>
        <w:t>While (as you learned in the chapter 'Vitamin C') we would have to eat about 40</w:t>
      </w:r>
      <w:r>
        <w:rPr>
          <w:spacing w:val="-20"/>
        </w:rPr>
        <w:t> </w:t>
      </w:r>
      <w:r>
        <w:rPr/>
        <w:t>oranges</w:t>
      </w:r>
      <w:r>
        <w:rPr>
          <w:spacing w:val="-20"/>
        </w:rPr>
        <w:t> </w:t>
      </w:r>
      <w:r>
        <w:rPr/>
        <w:t>or</w:t>
      </w:r>
      <w:r>
        <w:rPr>
          <w:spacing w:val="-20"/>
        </w:rPr>
        <w:t> </w:t>
      </w:r>
      <w:r>
        <w:rPr/>
        <w:t>7</w:t>
      </w:r>
      <w:r>
        <w:rPr>
          <w:spacing w:val="-24"/>
        </w:rPr>
        <w:t> </w:t>
      </w:r>
      <w:r>
        <w:rPr/>
        <w:t>kg</w:t>
      </w:r>
      <w:r>
        <w:rPr>
          <w:spacing w:val="-19"/>
        </w:rPr>
        <w:t> </w:t>
      </w:r>
      <w:r>
        <w:rPr/>
        <w:t>of</w:t>
      </w:r>
      <w:r>
        <w:rPr>
          <w:spacing w:val="-21"/>
        </w:rPr>
        <w:t> </w:t>
      </w:r>
      <w:r>
        <w:rPr/>
        <w:t>sauerkraut</w:t>
      </w:r>
      <w:r>
        <w:rPr>
          <w:spacing w:val="-19"/>
        </w:rPr>
        <w:t> </w:t>
      </w:r>
      <w:r>
        <w:rPr/>
        <w:t>every</w:t>
      </w:r>
      <w:r>
        <w:rPr>
          <w:spacing w:val="-18"/>
        </w:rPr>
        <w:t> </w:t>
      </w:r>
      <w:r>
        <w:rPr/>
        <w:t>day</w:t>
      </w:r>
      <w:r>
        <w:rPr>
          <w:spacing w:val="-19"/>
        </w:rPr>
        <w:t> </w:t>
      </w:r>
      <w:r>
        <w:rPr/>
        <w:t>to</w:t>
      </w:r>
      <w:r>
        <w:rPr>
          <w:spacing w:val="-18"/>
        </w:rPr>
        <w:t> </w:t>
      </w:r>
      <w:r>
        <w:rPr/>
        <w:t>meet</w:t>
      </w:r>
      <w:r>
        <w:rPr>
          <w:spacing w:val="-19"/>
        </w:rPr>
        <w:t> </w:t>
      </w:r>
      <w:r>
        <w:rPr/>
        <w:t>our</w:t>
      </w:r>
      <w:r>
        <w:rPr>
          <w:spacing w:val="-21"/>
        </w:rPr>
        <w:t> </w:t>
      </w:r>
      <w:r>
        <w:rPr/>
        <w:t>natural</w:t>
      </w:r>
      <w:r>
        <w:rPr>
          <w:spacing w:val="-20"/>
        </w:rPr>
        <w:t> </w:t>
      </w:r>
      <w:r>
        <w:rPr/>
        <w:t>vitamin</w:t>
      </w:r>
      <w:r>
        <w:rPr>
          <w:spacing w:val="-19"/>
        </w:rPr>
        <w:t> </w:t>
      </w:r>
      <w:r>
        <w:rPr/>
        <w:t>C</w:t>
      </w:r>
      <w:r>
        <w:rPr>
          <w:spacing w:val="-20"/>
        </w:rPr>
        <w:t> </w:t>
      </w:r>
      <w:r>
        <w:rPr/>
        <w:t>needs, meeting our OPC (vitamin P) needs by natural means is similarly difficult. To do this, we would have to drink 2¼ litres of red wine a day (absolutely not recommended) or ½ kg of peanuts (with the skin</w:t>
      </w:r>
      <w:r>
        <w:rPr>
          <w:spacing w:val="-2"/>
        </w:rPr>
        <w:t> </w:t>
      </w:r>
      <w:r>
        <w:rPr/>
        <w:t>on).</w:t>
      </w:r>
    </w:p>
    <w:p>
      <w:pPr>
        <w:pStyle w:val="BodyText"/>
        <w:spacing w:line="276" w:lineRule="auto" w:before="240"/>
        <w:ind w:left="616" w:right="136"/>
        <w:jc w:val="both"/>
      </w:pPr>
      <w:r>
        <w:rPr/>
        <w:t>Again, the OPC deficiency in our modern diet can be attributed to the same factors as our vitamin C deficiency, namely, the classification of the OPC source as 'waste' (peel of fruits and vegetables) and their disposal. The long storage and industrial processing as well as the accumulation of chemical pre- servatives do the rest.</w:t>
      </w:r>
    </w:p>
    <w:p>
      <w:pPr>
        <w:pStyle w:val="BodyText"/>
        <w:spacing w:line="276" w:lineRule="auto" w:before="240"/>
        <w:ind w:left="616" w:right="135"/>
        <w:jc w:val="both"/>
      </w:pPr>
      <w:r>
        <w:rPr/>
        <w:t>This deficiency in vitamin C and vitamin P (OPC) for which humans are re- sponsible is precisely the reason for the rising civilisation diseases, such as al- lergies, atherosclerosis, cardiovascular diseases, vascular diseases, cancer and others.</w:t>
      </w:r>
    </w:p>
    <w:p>
      <w:pPr>
        <w:pStyle w:val="BodyText"/>
        <w:spacing w:line="276" w:lineRule="auto" w:before="241"/>
        <w:ind w:left="616" w:right="133"/>
        <w:jc w:val="both"/>
      </w:pPr>
      <w:r>
        <w:rPr/>
        <w:t>And indeed, nature offers an impressive comparison, namely in the form of animals living freely in nature. Not only can they make vitamin C themselves, they also have the ability to instinctively choose OPC-rich foods in a very se- lective manner.</w:t>
      </w:r>
    </w:p>
    <w:p>
      <w:pPr>
        <w:pStyle w:val="BodyText"/>
        <w:spacing w:before="240"/>
        <w:ind w:left="616"/>
        <w:jc w:val="both"/>
      </w:pPr>
      <w:r>
        <w:rPr/>
        <w:t>These animals do not suffer from any of the above-mentioned diseases, which</w:t>
      </w:r>
    </w:p>
    <w:p>
      <w:pPr>
        <w:spacing w:after="0"/>
        <w:jc w:val="both"/>
        <w:sectPr>
          <w:pgSz w:w="14270" w:h="16850"/>
          <w:pgMar w:header="0" w:footer="1891" w:top="1340" w:bottom="2080" w:left="800" w:right="1280"/>
        </w:sectPr>
      </w:pPr>
    </w:p>
    <w:p>
      <w:pPr>
        <w:pStyle w:val="BodyText"/>
        <w:spacing w:line="276" w:lineRule="auto" w:before="72"/>
        <w:ind w:left="616" w:right="135"/>
        <w:jc w:val="both"/>
      </w:pPr>
      <w:r>
        <w:rPr/>
        <w:t>in</w:t>
      </w:r>
      <w:r>
        <w:rPr>
          <w:spacing w:val="-8"/>
        </w:rPr>
        <w:t> </w:t>
      </w:r>
      <w:r>
        <w:rPr/>
        <w:t>many</w:t>
      </w:r>
      <w:r>
        <w:rPr>
          <w:spacing w:val="-6"/>
        </w:rPr>
        <w:t> </w:t>
      </w:r>
      <w:r>
        <w:rPr/>
        <w:t>cases</w:t>
      </w:r>
      <w:r>
        <w:rPr>
          <w:spacing w:val="-6"/>
        </w:rPr>
        <w:t> </w:t>
      </w:r>
      <w:r>
        <w:rPr/>
        <w:t>bring</w:t>
      </w:r>
      <w:r>
        <w:rPr>
          <w:spacing w:val="-7"/>
        </w:rPr>
        <w:t> </w:t>
      </w:r>
      <w:r>
        <w:rPr/>
        <w:t>us</w:t>
      </w:r>
      <w:r>
        <w:rPr>
          <w:spacing w:val="-7"/>
        </w:rPr>
        <w:t> </w:t>
      </w:r>
      <w:r>
        <w:rPr/>
        <w:t>to</w:t>
      </w:r>
      <w:r>
        <w:rPr>
          <w:spacing w:val="-9"/>
        </w:rPr>
        <w:t> </w:t>
      </w:r>
      <w:r>
        <w:rPr/>
        <w:t>our</w:t>
      </w:r>
      <w:r>
        <w:rPr>
          <w:spacing w:val="-9"/>
        </w:rPr>
        <w:t> </w:t>
      </w:r>
      <w:r>
        <w:rPr/>
        <w:t>death</w:t>
      </w:r>
      <w:r>
        <w:rPr>
          <w:spacing w:val="-8"/>
        </w:rPr>
        <w:t> </w:t>
      </w:r>
      <w:r>
        <w:rPr/>
        <w:t>after</w:t>
      </w:r>
      <w:r>
        <w:rPr>
          <w:spacing w:val="-7"/>
        </w:rPr>
        <w:t> </w:t>
      </w:r>
      <w:r>
        <w:rPr/>
        <w:t>a</w:t>
      </w:r>
      <w:r>
        <w:rPr>
          <w:spacing w:val="-10"/>
        </w:rPr>
        <w:t> </w:t>
      </w:r>
      <w:r>
        <w:rPr/>
        <w:t>long</w:t>
      </w:r>
      <w:r>
        <w:rPr>
          <w:spacing w:val="-9"/>
        </w:rPr>
        <w:t> </w:t>
      </w:r>
      <w:r>
        <w:rPr/>
        <w:t>ordeal.</w:t>
      </w:r>
      <w:r>
        <w:rPr>
          <w:spacing w:val="-8"/>
        </w:rPr>
        <w:t> </w:t>
      </w:r>
      <w:r>
        <w:rPr/>
        <w:t>Even</w:t>
      </w:r>
      <w:r>
        <w:rPr>
          <w:spacing w:val="-7"/>
        </w:rPr>
        <w:t> </w:t>
      </w:r>
      <w:r>
        <w:rPr/>
        <w:t>grizzly</w:t>
      </w:r>
      <w:r>
        <w:rPr>
          <w:spacing w:val="-7"/>
        </w:rPr>
        <w:t> </w:t>
      </w:r>
      <w:r>
        <w:rPr/>
        <w:t>bears</w:t>
      </w:r>
      <w:r>
        <w:rPr>
          <w:spacing w:val="-8"/>
        </w:rPr>
        <w:t> </w:t>
      </w:r>
      <w:r>
        <w:rPr/>
        <w:t>that have cholesterol levels of up to 400 do not even suffer from atherosclerosis, let alone heart attack or stroke.</w:t>
      </w:r>
    </w:p>
    <w:p>
      <w:pPr>
        <w:pStyle w:val="BodyText"/>
        <w:rPr>
          <w:sz w:val="42"/>
        </w:rPr>
      </w:pPr>
    </w:p>
    <w:p>
      <w:pPr>
        <w:pStyle w:val="BodyText"/>
        <w:spacing w:before="11"/>
        <w:rPr>
          <w:sz w:val="42"/>
        </w:rPr>
      </w:pPr>
    </w:p>
    <w:p>
      <w:pPr>
        <w:pStyle w:val="Heading1"/>
        <w:spacing w:before="0"/>
        <w:ind w:left="616"/>
      </w:pPr>
      <w:r>
        <w:rPr/>
        <w:t>Which fruits contain OPC/vitamin P?</w:t>
      </w:r>
    </w:p>
    <w:p>
      <w:pPr>
        <w:pStyle w:val="BodyText"/>
        <w:spacing w:line="276" w:lineRule="auto" w:before="299"/>
        <w:ind w:left="616" w:right="138"/>
        <w:jc w:val="both"/>
      </w:pPr>
      <w:r>
        <w:rPr/>
        <w:t>OPC occurs in red wine, in bark (especially in pine bark) and in wild berries (blackberries/raspberries), as well as in peanuts, leaves, needles, flowers and grape</w:t>
      </w:r>
      <w:r>
        <w:rPr>
          <w:spacing w:val="-11"/>
        </w:rPr>
        <w:t> </w:t>
      </w:r>
      <w:r>
        <w:rPr/>
        <w:t>seeds.</w:t>
      </w:r>
      <w:r>
        <w:rPr>
          <w:spacing w:val="-13"/>
        </w:rPr>
        <w:t> </w:t>
      </w:r>
      <w:r>
        <w:rPr/>
        <w:t>The</w:t>
      </w:r>
      <w:r>
        <w:rPr>
          <w:spacing w:val="-11"/>
        </w:rPr>
        <w:t> </w:t>
      </w:r>
      <w:r>
        <w:rPr/>
        <w:t>USDA</w:t>
      </w:r>
      <w:r>
        <w:rPr>
          <w:spacing w:val="-12"/>
        </w:rPr>
        <w:t> </w:t>
      </w:r>
      <w:r>
        <w:rPr/>
        <w:t>lists</w:t>
      </w:r>
      <w:r>
        <w:rPr>
          <w:spacing w:val="-14"/>
        </w:rPr>
        <w:t> </w:t>
      </w:r>
      <w:r>
        <w:rPr/>
        <w:t>the</w:t>
      </w:r>
      <w:r>
        <w:rPr>
          <w:spacing w:val="-15"/>
        </w:rPr>
        <w:t> </w:t>
      </w:r>
      <w:r>
        <w:rPr/>
        <w:t>following</w:t>
      </w:r>
      <w:r>
        <w:rPr>
          <w:spacing w:val="-11"/>
        </w:rPr>
        <w:t> </w:t>
      </w:r>
      <w:r>
        <w:rPr/>
        <w:t>mg</w:t>
      </w:r>
      <w:r>
        <w:rPr>
          <w:spacing w:val="-11"/>
        </w:rPr>
        <w:t> </w:t>
      </w:r>
      <w:r>
        <w:rPr/>
        <w:t>quantities</w:t>
      </w:r>
      <w:r>
        <w:rPr>
          <w:spacing w:val="-12"/>
        </w:rPr>
        <w:t> </w:t>
      </w:r>
      <w:r>
        <w:rPr/>
        <w:t>of</w:t>
      </w:r>
      <w:r>
        <w:rPr>
          <w:spacing w:val="-11"/>
        </w:rPr>
        <w:t> </w:t>
      </w:r>
      <w:r>
        <w:rPr/>
        <w:t>OPC</w:t>
      </w:r>
      <w:r>
        <w:rPr>
          <w:spacing w:val="-13"/>
        </w:rPr>
        <w:t> </w:t>
      </w:r>
      <w:r>
        <w:rPr/>
        <w:t>per</w:t>
      </w:r>
      <w:r>
        <w:rPr>
          <w:spacing w:val="-12"/>
        </w:rPr>
        <w:t> </w:t>
      </w:r>
      <w:r>
        <w:rPr/>
        <w:t>100</w:t>
      </w:r>
      <w:r>
        <w:rPr>
          <w:spacing w:val="-13"/>
        </w:rPr>
        <w:t> </w:t>
      </w:r>
      <w:r>
        <w:rPr/>
        <w:t>g</w:t>
      </w:r>
      <w:r>
        <w:rPr>
          <w:spacing w:val="-14"/>
        </w:rPr>
        <w:t> </w:t>
      </w:r>
      <w:r>
        <w:rPr/>
        <w:t>for the foods</w:t>
      </w:r>
      <w:r>
        <w:rPr>
          <w:spacing w:val="2"/>
        </w:rPr>
        <w:t> </w:t>
      </w:r>
      <w:r>
        <w:rPr/>
        <w:t>below:</w:t>
      </w:r>
    </w:p>
    <w:p>
      <w:pPr>
        <w:pStyle w:val="BodyText"/>
        <w:rPr>
          <w:sz w:val="20"/>
        </w:rPr>
      </w:pPr>
    </w:p>
    <w:p>
      <w:pPr>
        <w:pStyle w:val="BodyText"/>
        <w:rPr>
          <w:sz w:val="20"/>
        </w:rPr>
      </w:pPr>
    </w:p>
    <w:p>
      <w:pPr>
        <w:pStyle w:val="BodyText"/>
        <w:spacing w:before="4"/>
        <w:rPr>
          <w:sz w:val="25"/>
        </w:rPr>
      </w:pPr>
    </w:p>
    <w:tbl>
      <w:tblPr>
        <w:tblW w:w="0" w:type="auto"/>
        <w:jc w:val="left"/>
        <w:tblInd w:w="3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10"/>
        <w:gridCol w:w="2881"/>
      </w:tblGrid>
      <w:tr>
        <w:trPr>
          <w:trHeight w:val="731" w:hRule="atLeast"/>
        </w:trPr>
        <w:tc>
          <w:tcPr>
            <w:tcW w:w="2410" w:type="dxa"/>
            <w:shd w:val="clear" w:color="auto" w:fill="8DB3E1"/>
          </w:tcPr>
          <w:p>
            <w:pPr>
              <w:pStyle w:val="TableParagraph"/>
              <w:spacing w:before="236"/>
              <w:ind w:left="69"/>
              <w:rPr>
                <w:b/>
                <w:sz w:val="38"/>
              </w:rPr>
            </w:pPr>
            <w:r>
              <w:rPr>
                <w:b/>
                <w:sz w:val="38"/>
              </w:rPr>
              <w:t>Food 100g</w:t>
            </w:r>
          </w:p>
        </w:tc>
        <w:tc>
          <w:tcPr>
            <w:tcW w:w="2881" w:type="dxa"/>
            <w:shd w:val="clear" w:color="auto" w:fill="8DB3E1"/>
          </w:tcPr>
          <w:p>
            <w:pPr>
              <w:pStyle w:val="TableParagraph"/>
              <w:spacing w:before="236"/>
              <w:ind w:left="1022"/>
              <w:rPr>
                <w:b/>
                <w:sz w:val="38"/>
              </w:rPr>
            </w:pPr>
            <w:r>
              <w:rPr>
                <w:b/>
                <w:sz w:val="38"/>
              </w:rPr>
              <w:t>mg OPC</w:t>
            </w:r>
          </w:p>
        </w:tc>
      </w:tr>
      <w:tr>
        <w:trPr>
          <w:trHeight w:val="1223" w:hRule="atLeast"/>
        </w:trPr>
        <w:tc>
          <w:tcPr>
            <w:tcW w:w="2410" w:type="dxa"/>
          </w:tcPr>
          <w:p>
            <w:pPr>
              <w:pStyle w:val="TableParagraph"/>
              <w:spacing w:line="490" w:lineRule="atLeast" w:before="174"/>
              <w:ind w:left="69"/>
              <w:rPr>
                <w:sz w:val="38"/>
              </w:rPr>
            </w:pPr>
            <w:r>
              <w:rPr>
                <w:sz w:val="38"/>
              </w:rPr>
              <w:t>Red wine (table wine)</w:t>
            </w:r>
          </w:p>
        </w:tc>
        <w:tc>
          <w:tcPr>
            <w:tcW w:w="2881" w:type="dxa"/>
          </w:tcPr>
          <w:p>
            <w:pPr>
              <w:pStyle w:val="TableParagraph"/>
              <w:spacing w:before="236"/>
              <w:ind w:left="69"/>
              <w:rPr>
                <w:sz w:val="38"/>
              </w:rPr>
            </w:pPr>
            <w:r>
              <w:rPr>
                <w:sz w:val="38"/>
              </w:rPr>
              <w:t>45.63</w:t>
            </w:r>
          </w:p>
        </w:tc>
      </w:tr>
      <w:tr>
        <w:trPr>
          <w:trHeight w:val="1223" w:hRule="atLeast"/>
        </w:trPr>
        <w:tc>
          <w:tcPr>
            <w:tcW w:w="2410" w:type="dxa"/>
          </w:tcPr>
          <w:p>
            <w:pPr>
              <w:pStyle w:val="TableParagraph"/>
              <w:spacing w:line="490" w:lineRule="atLeast" w:before="174"/>
              <w:ind w:left="69" w:right="51"/>
              <w:rPr>
                <w:sz w:val="38"/>
              </w:rPr>
            </w:pPr>
            <w:r>
              <w:rPr>
                <w:sz w:val="38"/>
              </w:rPr>
              <w:t>Forest blueber- ries</w:t>
            </w:r>
          </w:p>
        </w:tc>
        <w:tc>
          <w:tcPr>
            <w:tcW w:w="2881" w:type="dxa"/>
          </w:tcPr>
          <w:p>
            <w:pPr>
              <w:pStyle w:val="TableParagraph"/>
              <w:spacing w:before="236"/>
              <w:ind w:left="69"/>
              <w:rPr>
                <w:sz w:val="38"/>
              </w:rPr>
            </w:pPr>
            <w:r>
              <w:rPr>
                <w:sz w:val="38"/>
              </w:rPr>
              <w:t>44.23</w:t>
            </w:r>
          </w:p>
        </w:tc>
      </w:tr>
      <w:tr>
        <w:trPr>
          <w:trHeight w:val="731" w:hRule="atLeast"/>
        </w:trPr>
        <w:tc>
          <w:tcPr>
            <w:tcW w:w="2410" w:type="dxa"/>
          </w:tcPr>
          <w:p>
            <w:pPr>
              <w:pStyle w:val="TableParagraph"/>
              <w:spacing w:before="236"/>
              <w:ind w:left="69"/>
              <w:rPr>
                <w:sz w:val="38"/>
              </w:rPr>
            </w:pPr>
            <w:r>
              <w:rPr>
                <w:sz w:val="38"/>
              </w:rPr>
              <w:t>Apples, Gala</w:t>
            </w:r>
          </w:p>
        </w:tc>
        <w:tc>
          <w:tcPr>
            <w:tcW w:w="2881" w:type="dxa"/>
          </w:tcPr>
          <w:p>
            <w:pPr>
              <w:pStyle w:val="TableParagraph"/>
              <w:spacing w:before="236"/>
              <w:ind w:left="69"/>
              <w:rPr>
                <w:sz w:val="38"/>
              </w:rPr>
            </w:pPr>
            <w:r>
              <w:rPr>
                <w:sz w:val="38"/>
              </w:rPr>
              <w:t>41.56</w:t>
            </w:r>
          </w:p>
        </w:tc>
      </w:tr>
      <w:tr>
        <w:trPr>
          <w:trHeight w:val="731" w:hRule="atLeast"/>
        </w:trPr>
        <w:tc>
          <w:tcPr>
            <w:tcW w:w="2410" w:type="dxa"/>
          </w:tcPr>
          <w:p>
            <w:pPr>
              <w:pStyle w:val="TableParagraph"/>
              <w:spacing w:before="236"/>
              <w:ind w:left="69"/>
              <w:rPr>
                <w:sz w:val="38"/>
              </w:rPr>
            </w:pPr>
            <w:r>
              <w:rPr>
                <w:sz w:val="38"/>
              </w:rPr>
              <w:t>Strawberries</w:t>
            </w:r>
          </w:p>
        </w:tc>
        <w:tc>
          <w:tcPr>
            <w:tcW w:w="2881" w:type="dxa"/>
          </w:tcPr>
          <w:p>
            <w:pPr>
              <w:pStyle w:val="TableParagraph"/>
              <w:spacing w:before="236"/>
              <w:ind w:left="69"/>
              <w:rPr>
                <w:sz w:val="38"/>
              </w:rPr>
            </w:pPr>
            <w:r>
              <w:rPr>
                <w:sz w:val="38"/>
              </w:rPr>
              <w:t>42.01</w:t>
            </w:r>
          </w:p>
        </w:tc>
      </w:tr>
      <w:tr>
        <w:trPr>
          <w:trHeight w:val="732" w:hRule="atLeast"/>
        </w:trPr>
        <w:tc>
          <w:tcPr>
            <w:tcW w:w="2410" w:type="dxa"/>
          </w:tcPr>
          <w:p>
            <w:pPr>
              <w:pStyle w:val="TableParagraph"/>
              <w:spacing w:before="237"/>
              <w:ind w:left="69"/>
              <w:rPr>
                <w:sz w:val="38"/>
              </w:rPr>
            </w:pPr>
            <w:r>
              <w:rPr>
                <w:sz w:val="38"/>
              </w:rPr>
              <w:t>Cherries, sweet</w:t>
            </w:r>
          </w:p>
        </w:tc>
        <w:tc>
          <w:tcPr>
            <w:tcW w:w="2881" w:type="dxa"/>
          </w:tcPr>
          <w:p>
            <w:pPr>
              <w:pStyle w:val="TableParagraph"/>
              <w:spacing w:before="237"/>
              <w:ind w:left="69"/>
              <w:rPr>
                <w:sz w:val="38"/>
              </w:rPr>
            </w:pPr>
            <w:r>
              <w:rPr>
                <w:sz w:val="38"/>
              </w:rPr>
              <w:t>17.26</w:t>
            </w:r>
          </w:p>
        </w:tc>
      </w:tr>
      <w:tr>
        <w:trPr>
          <w:trHeight w:val="731" w:hRule="atLeast"/>
        </w:trPr>
        <w:tc>
          <w:tcPr>
            <w:tcW w:w="2410" w:type="dxa"/>
          </w:tcPr>
          <w:p>
            <w:pPr>
              <w:pStyle w:val="TableParagraph"/>
              <w:spacing w:before="236"/>
              <w:ind w:left="69"/>
              <w:rPr>
                <w:sz w:val="38"/>
              </w:rPr>
            </w:pPr>
            <w:r>
              <w:rPr>
                <w:sz w:val="38"/>
              </w:rPr>
              <w:t>Grape juice</w:t>
            </w:r>
          </w:p>
        </w:tc>
        <w:tc>
          <w:tcPr>
            <w:tcW w:w="2881" w:type="dxa"/>
          </w:tcPr>
          <w:p>
            <w:pPr>
              <w:pStyle w:val="TableParagraph"/>
              <w:spacing w:before="236"/>
              <w:ind w:left="69"/>
              <w:rPr>
                <w:sz w:val="38"/>
              </w:rPr>
            </w:pPr>
            <w:r>
              <w:rPr>
                <w:sz w:val="38"/>
              </w:rPr>
              <w:t>14.14</w:t>
            </w:r>
          </w:p>
        </w:tc>
      </w:tr>
    </w:tbl>
    <w:p>
      <w:pPr>
        <w:spacing w:after="0"/>
        <w:rPr>
          <w:sz w:val="38"/>
        </w:rPr>
        <w:sectPr>
          <w:pgSz w:w="14270" w:h="16850"/>
          <w:pgMar w:header="0" w:footer="1891" w:top="1340" w:bottom="2080" w:left="800" w:right="1280"/>
        </w:sectPr>
      </w:pPr>
    </w:p>
    <w:tbl>
      <w:tblPr>
        <w:tblW w:w="0" w:type="auto"/>
        <w:jc w:val="left"/>
        <w:tblInd w:w="3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10"/>
        <w:gridCol w:w="2881"/>
      </w:tblGrid>
      <w:tr>
        <w:trPr>
          <w:trHeight w:val="1224" w:hRule="atLeast"/>
        </w:trPr>
        <w:tc>
          <w:tcPr>
            <w:tcW w:w="2410" w:type="dxa"/>
          </w:tcPr>
          <w:p>
            <w:pPr>
              <w:pStyle w:val="TableParagraph"/>
              <w:spacing w:line="490" w:lineRule="atLeast" w:before="172"/>
              <w:ind w:left="69" w:right="328"/>
              <w:rPr>
                <w:sz w:val="38"/>
              </w:rPr>
            </w:pPr>
            <w:r>
              <w:rPr>
                <w:sz w:val="38"/>
              </w:rPr>
              <w:t>Unsweetened apple juice</w:t>
            </w:r>
          </w:p>
        </w:tc>
        <w:tc>
          <w:tcPr>
            <w:tcW w:w="2881" w:type="dxa"/>
          </w:tcPr>
          <w:p>
            <w:pPr>
              <w:pStyle w:val="TableParagraph"/>
              <w:spacing w:before="234"/>
              <w:ind w:left="69"/>
              <w:rPr>
                <w:sz w:val="38"/>
              </w:rPr>
            </w:pPr>
            <w:r>
              <w:rPr>
                <w:sz w:val="38"/>
              </w:rPr>
              <w:t>12.12</w:t>
            </w:r>
          </w:p>
        </w:tc>
      </w:tr>
      <w:tr>
        <w:trPr>
          <w:trHeight w:val="731" w:hRule="atLeast"/>
        </w:trPr>
        <w:tc>
          <w:tcPr>
            <w:tcW w:w="2410" w:type="dxa"/>
          </w:tcPr>
          <w:p>
            <w:pPr>
              <w:pStyle w:val="TableParagraph"/>
              <w:spacing w:before="231"/>
              <w:ind w:left="69"/>
              <w:rPr>
                <w:sz w:val="38"/>
              </w:rPr>
            </w:pPr>
            <w:r>
              <w:rPr>
                <w:sz w:val="38"/>
              </w:rPr>
              <w:t>Cocoa beans</w:t>
            </w:r>
          </w:p>
        </w:tc>
        <w:tc>
          <w:tcPr>
            <w:tcW w:w="2881" w:type="dxa"/>
          </w:tcPr>
          <w:p>
            <w:pPr>
              <w:pStyle w:val="TableParagraph"/>
              <w:spacing w:before="231"/>
              <w:ind w:left="69"/>
              <w:rPr>
                <w:sz w:val="38"/>
              </w:rPr>
            </w:pPr>
            <w:r>
              <w:rPr>
                <w:sz w:val="38"/>
              </w:rPr>
              <w:t>5.68</w:t>
            </w:r>
          </w:p>
        </w:tc>
      </w:tr>
      <w:tr>
        <w:trPr>
          <w:trHeight w:val="731" w:hRule="atLeast"/>
        </w:trPr>
        <w:tc>
          <w:tcPr>
            <w:tcW w:w="2410" w:type="dxa"/>
          </w:tcPr>
          <w:p>
            <w:pPr>
              <w:pStyle w:val="TableParagraph"/>
              <w:spacing w:before="231"/>
              <w:ind w:left="69"/>
              <w:rPr>
                <w:sz w:val="38"/>
              </w:rPr>
            </w:pPr>
            <w:r>
              <w:rPr>
                <w:sz w:val="38"/>
              </w:rPr>
              <w:t>Bananas</w:t>
            </w:r>
          </w:p>
        </w:tc>
        <w:tc>
          <w:tcPr>
            <w:tcW w:w="2881" w:type="dxa"/>
          </w:tcPr>
          <w:p>
            <w:pPr>
              <w:pStyle w:val="TableParagraph"/>
              <w:spacing w:before="231"/>
              <w:ind w:left="69"/>
              <w:rPr>
                <w:sz w:val="38"/>
              </w:rPr>
            </w:pPr>
            <w:r>
              <w:rPr>
                <w:sz w:val="38"/>
              </w:rPr>
              <w:t>03.37</w:t>
            </w:r>
          </w:p>
        </w:tc>
      </w:tr>
      <w:tr>
        <w:trPr>
          <w:trHeight w:val="731" w:hRule="atLeast"/>
        </w:trPr>
        <w:tc>
          <w:tcPr>
            <w:tcW w:w="2410" w:type="dxa"/>
          </w:tcPr>
          <w:p>
            <w:pPr>
              <w:pStyle w:val="TableParagraph"/>
              <w:spacing w:before="231"/>
              <w:ind w:left="69"/>
              <w:rPr>
                <w:sz w:val="38"/>
              </w:rPr>
            </w:pPr>
            <w:r>
              <w:rPr>
                <w:sz w:val="38"/>
              </w:rPr>
              <w:t>Beer</w:t>
            </w:r>
          </w:p>
        </w:tc>
        <w:tc>
          <w:tcPr>
            <w:tcW w:w="2881" w:type="dxa"/>
          </w:tcPr>
          <w:p>
            <w:pPr>
              <w:pStyle w:val="TableParagraph"/>
              <w:spacing w:before="231"/>
              <w:ind w:left="69"/>
              <w:rPr>
                <w:sz w:val="38"/>
              </w:rPr>
            </w:pPr>
            <w:r>
              <w:rPr>
                <w:sz w:val="38"/>
              </w:rPr>
              <w:t>02.03</w:t>
            </w:r>
          </w:p>
        </w:tc>
      </w:tr>
    </w:tbl>
    <w:p>
      <w:pPr>
        <w:pStyle w:val="BodyText"/>
        <w:spacing w:before="9"/>
        <w:rPr>
          <w:sz w:val="11"/>
        </w:rPr>
      </w:pPr>
    </w:p>
    <w:p>
      <w:pPr>
        <w:spacing w:before="99"/>
        <w:ind w:left="1094" w:right="0" w:firstLine="0"/>
        <w:jc w:val="left"/>
        <w:rPr>
          <w:i/>
          <w:sz w:val="38"/>
        </w:rPr>
      </w:pPr>
      <w:r>
        <w:rPr>
          <w:i/>
          <w:sz w:val="38"/>
        </w:rPr>
        <w:t>Source: USDA, August 2004</w:t>
      </w:r>
    </w:p>
    <w:p>
      <w:pPr>
        <w:pStyle w:val="BodyText"/>
        <w:spacing w:line="276" w:lineRule="auto" w:before="305"/>
        <w:ind w:left="616" w:right="133"/>
        <w:jc w:val="both"/>
      </w:pPr>
      <w:r>
        <w:rPr/>
        <w:t>At this point, however, it should be noted that these are measurements taken from freshly harvested fruit. By the time these fruits reach the consumer, due to</w:t>
      </w:r>
      <w:r>
        <w:rPr>
          <w:spacing w:val="-12"/>
        </w:rPr>
        <w:t> </w:t>
      </w:r>
      <w:r>
        <w:rPr/>
        <w:t>the</w:t>
      </w:r>
      <w:r>
        <w:rPr>
          <w:spacing w:val="-11"/>
        </w:rPr>
        <w:t> </w:t>
      </w:r>
      <w:r>
        <w:rPr/>
        <w:t>long</w:t>
      </w:r>
      <w:r>
        <w:rPr>
          <w:spacing w:val="-12"/>
        </w:rPr>
        <w:t> </w:t>
      </w:r>
      <w:r>
        <w:rPr/>
        <w:t>transport</w:t>
      </w:r>
      <w:r>
        <w:rPr>
          <w:spacing w:val="-12"/>
        </w:rPr>
        <w:t> </w:t>
      </w:r>
      <w:r>
        <w:rPr/>
        <w:t>distances</w:t>
      </w:r>
      <w:r>
        <w:rPr>
          <w:spacing w:val="-11"/>
        </w:rPr>
        <w:t> </w:t>
      </w:r>
      <w:r>
        <w:rPr/>
        <w:t>and</w:t>
      </w:r>
      <w:r>
        <w:rPr>
          <w:spacing w:val="-11"/>
        </w:rPr>
        <w:t> </w:t>
      </w:r>
      <w:r>
        <w:rPr/>
        <w:t>storage</w:t>
      </w:r>
      <w:r>
        <w:rPr>
          <w:spacing w:val="-14"/>
        </w:rPr>
        <w:t> </w:t>
      </w:r>
      <w:r>
        <w:rPr/>
        <w:t>times,</w:t>
      </w:r>
      <w:r>
        <w:rPr>
          <w:spacing w:val="-11"/>
        </w:rPr>
        <w:t> </w:t>
      </w:r>
      <w:r>
        <w:rPr/>
        <w:t>little</w:t>
      </w:r>
      <w:r>
        <w:rPr>
          <w:spacing w:val="-12"/>
        </w:rPr>
        <w:t> </w:t>
      </w:r>
      <w:r>
        <w:rPr/>
        <w:t>or</w:t>
      </w:r>
      <w:r>
        <w:rPr>
          <w:spacing w:val="-13"/>
        </w:rPr>
        <w:t> </w:t>
      </w:r>
      <w:r>
        <w:rPr/>
        <w:t>no</w:t>
      </w:r>
      <w:r>
        <w:rPr>
          <w:spacing w:val="-12"/>
        </w:rPr>
        <w:t> </w:t>
      </w:r>
      <w:r>
        <w:rPr/>
        <w:t>OPC</w:t>
      </w:r>
      <w:r>
        <w:rPr>
          <w:spacing w:val="-13"/>
        </w:rPr>
        <w:t> </w:t>
      </w:r>
      <w:r>
        <w:rPr/>
        <w:t>is</w:t>
      </w:r>
      <w:r>
        <w:rPr>
          <w:spacing w:val="-11"/>
        </w:rPr>
        <w:t> </w:t>
      </w:r>
      <w:r>
        <w:rPr/>
        <w:t>contained in</w:t>
      </w:r>
      <w:r>
        <w:rPr>
          <w:spacing w:val="-16"/>
        </w:rPr>
        <w:t> </w:t>
      </w:r>
      <w:r>
        <w:rPr/>
        <w:t>them.</w:t>
      </w:r>
      <w:r>
        <w:rPr>
          <w:spacing w:val="-15"/>
        </w:rPr>
        <w:t> </w:t>
      </w:r>
      <w:r>
        <w:rPr/>
        <w:t>Red</w:t>
      </w:r>
      <w:r>
        <w:rPr>
          <w:spacing w:val="-15"/>
        </w:rPr>
        <w:t> </w:t>
      </w:r>
      <w:r>
        <w:rPr/>
        <w:t>wine</w:t>
      </w:r>
      <w:r>
        <w:rPr>
          <w:spacing w:val="-15"/>
        </w:rPr>
        <w:t> </w:t>
      </w:r>
      <w:r>
        <w:rPr/>
        <w:t>drinkers</w:t>
      </w:r>
      <w:r>
        <w:rPr>
          <w:spacing w:val="-14"/>
        </w:rPr>
        <w:t> </w:t>
      </w:r>
      <w:r>
        <w:rPr/>
        <w:t>are</w:t>
      </w:r>
      <w:r>
        <w:rPr>
          <w:spacing w:val="-19"/>
        </w:rPr>
        <w:t> </w:t>
      </w:r>
      <w:r>
        <w:rPr/>
        <w:t>more</w:t>
      </w:r>
      <w:r>
        <w:rPr>
          <w:spacing w:val="-15"/>
        </w:rPr>
        <w:t> </w:t>
      </w:r>
      <w:r>
        <w:rPr/>
        <w:t>likely</w:t>
      </w:r>
      <w:r>
        <w:rPr>
          <w:spacing w:val="-15"/>
        </w:rPr>
        <w:t> </w:t>
      </w:r>
      <w:r>
        <w:rPr/>
        <w:t>to</w:t>
      </w:r>
      <w:r>
        <w:rPr>
          <w:spacing w:val="-15"/>
        </w:rPr>
        <w:t> </w:t>
      </w:r>
      <w:r>
        <w:rPr/>
        <w:t>get</w:t>
      </w:r>
      <w:r>
        <w:rPr>
          <w:spacing w:val="-15"/>
        </w:rPr>
        <w:t> </w:t>
      </w:r>
      <w:r>
        <w:rPr/>
        <w:t>their</w:t>
      </w:r>
      <w:r>
        <w:rPr>
          <w:spacing w:val="-16"/>
        </w:rPr>
        <w:t> </w:t>
      </w:r>
      <w:r>
        <w:rPr/>
        <w:t>money's</w:t>
      </w:r>
      <w:r>
        <w:rPr>
          <w:spacing w:val="-17"/>
        </w:rPr>
        <w:t> </w:t>
      </w:r>
      <w:r>
        <w:rPr/>
        <w:t>worth,</w:t>
      </w:r>
      <w:r>
        <w:rPr>
          <w:spacing w:val="-15"/>
        </w:rPr>
        <w:t> </w:t>
      </w:r>
      <w:r>
        <w:rPr/>
        <w:t>but</w:t>
      </w:r>
      <w:r>
        <w:rPr>
          <w:spacing w:val="-17"/>
        </w:rPr>
        <w:t> </w:t>
      </w:r>
      <w:r>
        <w:rPr/>
        <w:t>high alcohol consumption is not recommended in any</w:t>
      </w:r>
      <w:r>
        <w:rPr>
          <w:spacing w:val="-2"/>
        </w:rPr>
        <w:t> </w:t>
      </w:r>
      <w:r>
        <w:rPr/>
        <w:t>case.</w:t>
      </w:r>
    </w:p>
    <w:p>
      <w:pPr>
        <w:pStyle w:val="BodyText"/>
        <w:spacing w:line="276" w:lineRule="auto" w:before="242"/>
        <w:ind w:left="616" w:right="143"/>
        <w:jc w:val="both"/>
      </w:pPr>
      <w:r>
        <w:rPr/>
        <w:t>Fortunately, OPC is now offered in capsule form, as a dietary supplement de- rived from pine bark and grape seeds.</w:t>
      </w:r>
    </w:p>
    <w:p>
      <w:pPr>
        <w:pStyle w:val="BodyText"/>
        <w:spacing w:line="276" w:lineRule="auto" w:before="238"/>
        <w:ind w:left="616" w:right="137"/>
        <w:jc w:val="both"/>
      </w:pPr>
      <w:r>
        <w:rPr/>
        <w:t>While the benefits of garlic, ginseng or rose hips were known and appreciated for</w:t>
      </w:r>
      <w:r>
        <w:rPr>
          <w:spacing w:val="-14"/>
        </w:rPr>
        <w:t> </w:t>
      </w:r>
      <w:r>
        <w:rPr/>
        <w:t>centuries,</w:t>
      </w:r>
      <w:r>
        <w:rPr>
          <w:spacing w:val="-14"/>
        </w:rPr>
        <w:t> </w:t>
      </w:r>
      <w:r>
        <w:rPr/>
        <w:t>the</w:t>
      </w:r>
      <w:r>
        <w:rPr>
          <w:spacing w:val="-15"/>
        </w:rPr>
        <w:t> </w:t>
      </w:r>
      <w:r>
        <w:rPr/>
        <w:t>reasons</w:t>
      </w:r>
      <w:r>
        <w:rPr>
          <w:spacing w:val="-16"/>
        </w:rPr>
        <w:t> </w:t>
      </w:r>
      <w:r>
        <w:rPr/>
        <w:t>were</w:t>
      </w:r>
      <w:r>
        <w:rPr>
          <w:spacing w:val="-14"/>
        </w:rPr>
        <w:t> </w:t>
      </w:r>
      <w:r>
        <w:rPr/>
        <w:t>quite</w:t>
      </w:r>
      <w:r>
        <w:rPr>
          <w:spacing w:val="-16"/>
        </w:rPr>
        <w:t> </w:t>
      </w:r>
      <w:r>
        <w:rPr/>
        <w:t>speculative</w:t>
      </w:r>
      <w:r>
        <w:rPr>
          <w:spacing w:val="-16"/>
        </w:rPr>
        <w:t> </w:t>
      </w:r>
      <w:r>
        <w:rPr/>
        <w:t>until</w:t>
      </w:r>
      <w:r>
        <w:rPr>
          <w:spacing w:val="-15"/>
        </w:rPr>
        <w:t> </w:t>
      </w:r>
      <w:r>
        <w:rPr/>
        <w:t>recently.</w:t>
      </w:r>
      <w:r>
        <w:rPr>
          <w:spacing w:val="-15"/>
        </w:rPr>
        <w:t> </w:t>
      </w:r>
      <w:r>
        <w:rPr/>
        <w:t>The</w:t>
      </w:r>
      <w:r>
        <w:rPr>
          <w:spacing w:val="-14"/>
        </w:rPr>
        <w:t> </w:t>
      </w:r>
      <w:r>
        <w:rPr/>
        <w:t>bitter</w:t>
      </w:r>
      <w:r>
        <w:rPr>
          <w:spacing w:val="-15"/>
        </w:rPr>
        <w:t> </w:t>
      </w:r>
      <w:r>
        <w:rPr/>
        <w:t>after- taste</w:t>
      </w:r>
      <w:r>
        <w:rPr>
          <w:spacing w:val="-21"/>
        </w:rPr>
        <w:t> </w:t>
      </w:r>
      <w:r>
        <w:rPr/>
        <w:t>and</w:t>
      </w:r>
      <w:r>
        <w:rPr>
          <w:spacing w:val="-20"/>
        </w:rPr>
        <w:t> </w:t>
      </w:r>
      <w:r>
        <w:rPr/>
        <w:t>the</w:t>
      </w:r>
      <w:r>
        <w:rPr>
          <w:spacing w:val="-20"/>
        </w:rPr>
        <w:t> </w:t>
      </w:r>
      <w:r>
        <w:rPr/>
        <w:t>presence</w:t>
      </w:r>
      <w:r>
        <w:rPr>
          <w:spacing w:val="-20"/>
        </w:rPr>
        <w:t> </w:t>
      </w:r>
      <w:r>
        <w:rPr/>
        <w:t>of</w:t>
      </w:r>
      <w:r>
        <w:rPr>
          <w:spacing w:val="-21"/>
        </w:rPr>
        <w:t> </w:t>
      </w:r>
      <w:r>
        <w:rPr/>
        <w:t>vitamin</w:t>
      </w:r>
      <w:r>
        <w:rPr>
          <w:spacing w:val="-20"/>
        </w:rPr>
        <w:t> </w:t>
      </w:r>
      <w:r>
        <w:rPr/>
        <w:t>P/OPC</w:t>
      </w:r>
      <w:r>
        <w:rPr>
          <w:spacing w:val="-22"/>
        </w:rPr>
        <w:t> </w:t>
      </w:r>
      <w:r>
        <w:rPr/>
        <w:t>mean</w:t>
      </w:r>
      <w:r>
        <w:rPr>
          <w:spacing w:val="-21"/>
        </w:rPr>
        <w:t> </w:t>
      </w:r>
      <w:r>
        <w:rPr/>
        <w:t>that</w:t>
      </w:r>
      <w:r>
        <w:rPr>
          <w:spacing w:val="-21"/>
        </w:rPr>
        <w:t> </w:t>
      </w:r>
      <w:r>
        <w:rPr/>
        <w:t>scientists</w:t>
      </w:r>
      <w:r>
        <w:rPr>
          <w:spacing w:val="-21"/>
        </w:rPr>
        <w:t> </w:t>
      </w:r>
      <w:r>
        <w:rPr/>
        <w:t>now</w:t>
      </w:r>
      <w:r>
        <w:rPr>
          <w:spacing w:val="-22"/>
        </w:rPr>
        <w:t> </w:t>
      </w:r>
      <w:r>
        <w:rPr/>
        <w:t>assume</w:t>
      </w:r>
      <w:r>
        <w:rPr>
          <w:spacing w:val="-21"/>
        </w:rPr>
        <w:t> </w:t>
      </w:r>
      <w:r>
        <w:rPr/>
        <w:t>that this is the very thing that is responsible for OPC’s health</w:t>
      </w:r>
      <w:r>
        <w:rPr>
          <w:spacing w:val="-9"/>
        </w:rPr>
        <w:t> </w:t>
      </w:r>
      <w:r>
        <w:rPr/>
        <w:t>benefits.</w:t>
      </w:r>
    </w:p>
    <w:p>
      <w:pPr>
        <w:pStyle w:val="Heading2"/>
        <w:spacing w:before="242"/>
        <w:ind w:left="616"/>
        <w:jc w:val="both"/>
      </w:pPr>
      <w:r>
        <w:rPr/>
        <w:t>The production of OPC</w:t>
      </w:r>
    </w:p>
    <w:p>
      <w:pPr>
        <w:pStyle w:val="BodyText"/>
        <w:spacing w:before="303"/>
        <w:ind w:left="616"/>
        <w:jc w:val="both"/>
      </w:pPr>
      <w:r>
        <w:rPr/>
        <w:t>The production of OPC is quite complex and is accomplished by means of a</w:t>
      </w:r>
    </w:p>
    <w:p>
      <w:pPr>
        <w:spacing w:after="0"/>
        <w:jc w:val="both"/>
        <w:sectPr>
          <w:pgSz w:w="14270" w:h="16850"/>
          <w:pgMar w:header="0" w:footer="1891" w:top="1420" w:bottom="2080" w:left="800" w:right="1280"/>
        </w:sectPr>
      </w:pPr>
    </w:p>
    <w:p>
      <w:pPr>
        <w:pStyle w:val="BodyText"/>
        <w:spacing w:line="276" w:lineRule="auto" w:before="72"/>
        <w:ind w:left="616" w:right="131"/>
        <w:jc w:val="both"/>
      </w:pPr>
      <w:r>
        <w:rPr/>
        <w:t>complicated extraction process. The raw materials (bark, seeds, etc.) are first crushed</w:t>
      </w:r>
      <w:r>
        <w:rPr>
          <w:spacing w:val="-21"/>
        </w:rPr>
        <w:t> </w:t>
      </w:r>
      <w:r>
        <w:rPr/>
        <w:t>and</w:t>
      </w:r>
      <w:r>
        <w:rPr>
          <w:spacing w:val="-21"/>
        </w:rPr>
        <w:t> </w:t>
      </w:r>
      <w:r>
        <w:rPr/>
        <w:t>then</w:t>
      </w:r>
      <w:r>
        <w:rPr>
          <w:spacing w:val="-20"/>
        </w:rPr>
        <w:t> </w:t>
      </w:r>
      <w:r>
        <w:rPr/>
        <w:t>heated</w:t>
      </w:r>
      <w:r>
        <w:rPr>
          <w:spacing w:val="-22"/>
        </w:rPr>
        <w:t> </w:t>
      </w:r>
      <w:r>
        <w:rPr/>
        <w:t>in</w:t>
      </w:r>
      <w:r>
        <w:rPr>
          <w:spacing w:val="-21"/>
        </w:rPr>
        <w:t> </w:t>
      </w:r>
      <w:r>
        <w:rPr/>
        <w:t>water.</w:t>
      </w:r>
      <w:r>
        <w:rPr>
          <w:spacing w:val="-19"/>
        </w:rPr>
        <w:t> </w:t>
      </w:r>
      <w:r>
        <w:rPr/>
        <w:t>In</w:t>
      </w:r>
      <w:r>
        <w:rPr>
          <w:spacing w:val="-21"/>
        </w:rPr>
        <w:t> </w:t>
      </w:r>
      <w:r>
        <w:rPr/>
        <w:t>the</w:t>
      </w:r>
      <w:r>
        <w:rPr>
          <w:spacing w:val="-23"/>
        </w:rPr>
        <w:t> </w:t>
      </w:r>
      <w:r>
        <w:rPr/>
        <w:t>following</w:t>
      </w:r>
      <w:r>
        <w:rPr>
          <w:spacing w:val="-21"/>
        </w:rPr>
        <w:t> </w:t>
      </w:r>
      <w:r>
        <w:rPr/>
        <w:t>extraction</w:t>
      </w:r>
      <w:r>
        <w:rPr>
          <w:spacing w:val="-21"/>
        </w:rPr>
        <w:t> </w:t>
      </w:r>
      <w:r>
        <w:rPr/>
        <w:t>process,</w:t>
      </w:r>
      <w:r>
        <w:rPr>
          <w:spacing w:val="-19"/>
        </w:rPr>
        <w:t> </w:t>
      </w:r>
      <w:r>
        <w:rPr/>
        <w:t>patented by Dr. Masquelier, the OPC is separated from the other constituents of the raw materials. In the optimal case, you will get a share of 95 % of OPC,</w:t>
      </w:r>
      <w:r>
        <w:rPr>
          <w:spacing w:val="-55"/>
        </w:rPr>
        <w:t> </w:t>
      </w:r>
      <w:r>
        <w:rPr/>
        <w:t>called 'OPC</w:t>
      </w:r>
      <w:r>
        <w:rPr>
          <w:spacing w:val="-16"/>
        </w:rPr>
        <w:t> </w:t>
      </w:r>
      <w:r>
        <w:rPr/>
        <w:t>95'</w:t>
      </w:r>
      <w:r>
        <w:rPr>
          <w:spacing w:val="-14"/>
        </w:rPr>
        <w:t> </w:t>
      </w:r>
      <w:r>
        <w:rPr/>
        <w:t>in</w:t>
      </w:r>
      <w:r>
        <w:rPr>
          <w:spacing w:val="-14"/>
        </w:rPr>
        <w:t> </w:t>
      </w:r>
      <w:r>
        <w:rPr/>
        <w:t>trade.</w:t>
      </w:r>
      <w:r>
        <w:rPr>
          <w:spacing w:val="-12"/>
        </w:rPr>
        <w:t> </w:t>
      </w:r>
      <w:r>
        <w:rPr/>
        <w:t>Incidentally,</w:t>
      </w:r>
      <w:r>
        <w:rPr>
          <w:spacing w:val="-13"/>
        </w:rPr>
        <w:t> </w:t>
      </w:r>
      <w:r>
        <w:rPr/>
        <w:t>if</w:t>
      </w:r>
      <w:r>
        <w:rPr>
          <w:spacing w:val="-14"/>
        </w:rPr>
        <w:t> </w:t>
      </w:r>
      <w:r>
        <w:rPr/>
        <w:t>the</w:t>
      </w:r>
      <w:r>
        <w:rPr>
          <w:spacing w:val="-13"/>
        </w:rPr>
        <w:t> </w:t>
      </w:r>
      <w:r>
        <w:rPr/>
        <w:t>number</w:t>
      </w:r>
      <w:r>
        <w:rPr>
          <w:spacing w:val="-18"/>
        </w:rPr>
        <w:t> </w:t>
      </w:r>
      <w:r>
        <w:rPr/>
        <w:t>'95'</w:t>
      </w:r>
      <w:r>
        <w:rPr>
          <w:spacing w:val="-15"/>
        </w:rPr>
        <w:t> </w:t>
      </w:r>
      <w:r>
        <w:rPr/>
        <w:t>is</w:t>
      </w:r>
      <w:r>
        <w:rPr>
          <w:spacing w:val="-13"/>
        </w:rPr>
        <w:t> </w:t>
      </w:r>
      <w:r>
        <w:rPr/>
        <w:t>not</w:t>
      </w:r>
      <w:r>
        <w:rPr>
          <w:spacing w:val="-13"/>
        </w:rPr>
        <w:t> </w:t>
      </w:r>
      <w:r>
        <w:rPr/>
        <w:t>mentioned,</w:t>
      </w:r>
      <w:r>
        <w:rPr>
          <w:spacing w:val="-14"/>
        </w:rPr>
        <w:t> </w:t>
      </w:r>
      <w:r>
        <w:rPr/>
        <w:t>it</w:t>
      </w:r>
      <w:r>
        <w:rPr>
          <w:spacing w:val="-14"/>
        </w:rPr>
        <w:t> </w:t>
      </w:r>
      <w:r>
        <w:rPr/>
        <w:t>is</w:t>
      </w:r>
      <w:r>
        <w:rPr>
          <w:spacing w:val="-14"/>
        </w:rPr>
        <w:t> </w:t>
      </w:r>
      <w:r>
        <w:rPr/>
        <w:t>usually an OPC with a percentage of only 40</w:t>
      </w:r>
      <w:r>
        <w:rPr>
          <w:spacing w:val="-4"/>
        </w:rPr>
        <w:t> </w:t>
      </w:r>
      <w:r>
        <w:rPr/>
        <w:t>%.</w:t>
      </w:r>
    </w:p>
    <w:p>
      <w:pPr>
        <w:pStyle w:val="BodyText"/>
        <w:rPr>
          <w:sz w:val="42"/>
        </w:rPr>
      </w:pPr>
    </w:p>
    <w:p>
      <w:pPr>
        <w:pStyle w:val="BodyText"/>
        <w:spacing w:before="10"/>
        <w:rPr>
          <w:sz w:val="42"/>
        </w:rPr>
      </w:pPr>
    </w:p>
    <w:p>
      <w:pPr>
        <w:pStyle w:val="Heading1"/>
        <w:spacing w:before="0"/>
        <w:ind w:left="616"/>
      </w:pPr>
      <w:r>
        <w:rPr/>
        <w:t>OPC and vitamin C – an unbeatable team</w:t>
      </w:r>
    </w:p>
    <w:p>
      <w:pPr>
        <w:pStyle w:val="BodyText"/>
        <w:spacing w:line="276" w:lineRule="auto" w:before="299"/>
        <w:ind w:left="616" w:right="140"/>
        <w:jc w:val="both"/>
      </w:pPr>
      <w:r>
        <w:rPr/>
        <w:t>If</w:t>
      </w:r>
      <w:r>
        <w:rPr>
          <w:spacing w:val="-24"/>
        </w:rPr>
        <w:t> </w:t>
      </w:r>
      <w:r>
        <w:rPr/>
        <w:t>you</w:t>
      </w:r>
      <w:r>
        <w:rPr>
          <w:spacing w:val="-24"/>
        </w:rPr>
        <w:t> </w:t>
      </w:r>
      <w:r>
        <w:rPr/>
        <w:t>ask</w:t>
      </w:r>
      <w:r>
        <w:rPr>
          <w:spacing w:val="-23"/>
        </w:rPr>
        <w:t> </w:t>
      </w:r>
      <w:r>
        <w:rPr/>
        <w:t>yourself</w:t>
      </w:r>
      <w:r>
        <w:rPr>
          <w:spacing w:val="-24"/>
        </w:rPr>
        <w:t> </w:t>
      </w:r>
      <w:r>
        <w:rPr/>
        <w:t>the</w:t>
      </w:r>
      <w:r>
        <w:rPr>
          <w:spacing w:val="-22"/>
        </w:rPr>
        <w:t> </w:t>
      </w:r>
      <w:r>
        <w:rPr/>
        <w:t>legitimate</w:t>
      </w:r>
      <w:r>
        <w:rPr>
          <w:spacing w:val="-22"/>
        </w:rPr>
        <w:t> </w:t>
      </w:r>
      <w:r>
        <w:rPr/>
        <w:t>question</w:t>
      </w:r>
      <w:r>
        <w:rPr>
          <w:spacing w:val="-22"/>
        </w:rPr>
        <w:t> </w:t>
      </w:r>
      <w:r>
        <w:rPr/>
        <w:t>of</w:t>
      </w:r>
      <w:r>
        <w:rPr>
          <w:spacing w:val="-22"/>
        </w:rPr>
        <w:t> </w:t>
      </w:r>
      <w:r>
        <w:rPr/>
        <w:t>whether</w:t>
      </w:r>
      <w:r>
        <w:rPr>
          <w:spacing w:val="-22"/>
        </w:rPr>
        <w:t> </w:t>
      </w:r>
      <w:r>
        <w:rPr/>
        <w:t>vitamin</w:t>
      </w:r>
      <w:r>
        <w:rPr>
          <w:spacing w:val="-22"/>
        </w:rPr>
        <w:t> </w:t>
      </w:r>
      <w:r>
        <w:rPr/>
        <w:t>C</w:t>
      </w:r>
      <w:r>
        <w:rPr>
          <w:spacing w:val="-24"/>
        </w:rPr>
        <w:t> </w:t>
      </w:r>
      <w:r>
        <w:rPr/>
        <w:t>enhances</w:t>
      </w:r>
      <w:r>
        <w:rPr>
          <w:spacing w:val="-23"/>
        </w:rPr>
        <w:t> </w:t>
      </w:r>
      <w:r>
        <w:rPr/>
        <w:t>OPC or OPC enhances vitamin C, the answer is quite simple: both substances en- hance and complement each</w:t>
      </w:r>
      <w:r>
        <w:rPr>
          <w:spacing w:val="1"/>
        </w:rPr>
        <w:t> </w:t>
      </w:r>
      <w:r>
        <w:rPr/>
        <w:t>other.</w:t>
      </w:r>
    </w:p>
    <w:p>
      <w:pPr>
        <w:pStyle w:val="BodyText"/>
        <w:spacing w:line="276" w:lineRule="auto" w:before="241"/>
        <w:ind w:left="616" w:right="131"/>
        <w:jc w:val="both"/>
      </w:pPr>
      <w:r>
        <w:rPr/>
        <w:t>While</w:t>
      </w:r>
      <w:r>
        <w:rPr>
          <w:spacing w:val="-9"/>
        </w:rPr>
        <w:t> </w:t>
      </w:r>
      <w:r>
        <w:rPr/>
        <w:t>vitamin</w:t>
      </w:r>
      <w:r>
        <w:rPr>
          <w:spacing w:val="-8"/>
        </w:rPr>
        <w:t> </w:t>
      </w:r>
      <w:r>
        <w:rPr/>
        <w:t>C</w:t>
      </w:r>
      <w:r>
        <w:rPr>
          <w:spacing w:val="-8"/>
        </w:rPr>
        <w:t> </w:t>
      </w:r>
      <w:r>
        <w:rPr/>
        <w:t>intake</w:t>
      </w:r>
      <w:r>
        <w:rPr>
          <w:spacing w:val="-9"/>
        </w:rPr>
        <w:t> </w:t>
      </w:r>
      <w:r>
        <w:rPr/>
        <w:t>enhances</w:t>
      </w:r>
      <w:r>
        <w:rPr>
          <w:spacing w:val="-7"/>
        </w:rPr>
        <w:t> </w:t>
      </w:r>
      <w:r>
        <w:rPr/>
        <w:t>the</w:t>
      </w:r>
      <w:r>
        <w:rPr>
          <w:spacing w:val="-8"/>
        </w:rPr>
        <w:t> </w:t>
      </w:r>
      <w:r>
        <w:rPr/>
        <w:t>protective</w:t>
      </w:r>
      <w:r>
        <w:rPr>
          <w:spacing w:val="-9"/>
        </w:rPr>
        <w:t> </w:t>
      </w:r>
      <w:r>
        <w:rPr/>
        <w:t>effect</w:t>
      </w:r>
      <w:r>
        <w:rPr>
          <w:spacing w:val="-8"/>
        </w:rPr>
        <w:t> </w:t>
      </w:r>
      <w:r>
        <w:rPr/>
        <w:t>of</w:t>
      </w:r>
      <w:r>
        <w:rPr>
          <w:spacing w:val="-8"/>
        </w:rPr>
        <w:t> </w:t>
      </w:r>
      <w:r>
        <w:rPr/>
        <w:t>OPC</w:t>
      </w:r>
      <w:r>
        <w:rPr>
          <w:spacing w:val="-9"/>
        </w:rPr>
        <w:t> </w:t>
      </w:r>
      <w:r>
        <w:rPr/>
        <w:t>(vitamin</w:t>
      </w:r>
      <w:r>
        <w:rPr>
          <w:spacing w:val="-8"/>
        </w:rPr>
        <w:t> </w:t>
      </w:r>
      <w:r>
        <w:rPr/>
        <w:t>P),</w:t>
      </w:r>
      <w:r>
        <w:rPr>
          <w:spacing w:val="-8"/>
        </w:rPr>
        <w:t> </w:t>
      </w:r>
      <w:r>
        <w:rPr/>
        <w:t>the miraculous functions of vitamin C are boosted by</w:t>
      </w:r>
      <w:r>
        <w:rPr>
          <w:spacing w:val="-1"/>
        </w:rPr>
        <w:t> </w:t>
      </w:r>
      <w:r>
        <w:rPr/>
        <w:t>OPC.</w:t>
      </w:r>
    </w:p>
    <w:p>
      <w:pPr>
        <w:pStyle w:val="BodyText"/>
        <w:spacing w:line="276" w:lineRule="auto" w:before="239"/>
        <w:ind w:left="616" w:right="137"/>
        <w:jc w:val="both"/>
      </w:pPr>
      <w:r>
        <w:rPr/>
        <w:t>In summary, it can be said that OPC and vitamin C are involved in almost all processes in the body, optimally complementing and enhancing each other, and therefore represent the most important substances for humans after oxy- gen and water.</w:t>
      </w:r>
    </w:p>
    <w:p>
      <w:pPr>
        <w:pStyle w:val="Heading1"/>
        <w:ind w:left="616"/>
      </w:pPr>
      <w:r>
        <w:rPr/>
        <w:t>How can the personal OPC requirement be calculated?</w:t>
      </w:r>
    </w:p>
    <w:p>
      <w:pPr>
        <w:pStyle w:val="BodyText"/>
        <w:spacing w:line="276" w:lineRule="auto" w:before="300"/>
        <w:ind w:left="616" w:right="137"/>
        <w:jc w:val="both"/>
      </w:pPr>
      <w:r>
        <w:rPr/>
        <w:t>It</w:t>
      </w:r>
      <w:r>
        <w:rPr>
          <w:spacing w:val="-25"/>
        </w:rPr>
        <w:t> </w:t>
      </w:r>
      <w:r>
        <w:rPr/>
        <w:t>is</w:t>
      </w:r>
      <w:r>
        <w:rPr>
          <w:spacing w:val="-24"/>
        </w:rPr>
        <w:t> </w:t>
      </w:r>
      <w:r>
        <w:rPr/>
        <w:t>indisputable</w:t>
      </w:r>
      <w:r>
        <w:rPr>
          <w:spacing w:val="-25"/>
        </w:rPr>
        <w:t> </w:t>
      </w:r>
      <w:r>
        <w:rPr/>
        <w:t>that</w:t>
      </w:r>
      <w:r>
        <w:rPr>
          <w:spacing w:val="-24"/>
        </w:rPr>
        <w:t> </w:t>
      </w:r>
      <w:r>
        <w:rPr/>
        <w:t>EVERYONE</w:t>
      </w:r>
      <w:r>
        <w:rPr>
          <w:spacing w:val="-25"/>
        </w:rPr>
        <w:t> </w:t>
      </w:r>
      <w:r>
        <w:rPr/>
        <w:t>needs</w:t>
      </w:r>
      <w:r>
        <w:rPr>
          <w:spacing w:val="-25"/>
        </w:rPr>
        <w:t> </w:t>
      </w:r>
      <w:r>
        <w:rPr/>
        <w:t>OPC</w:t>
      </w:r>
      <w:r>
        <w:rPr>
          <w:spacing w:val="-27"/>
        </w:rPr>
        <w:t> </w:t>
      </w:r>
      <w:r>
        <w:rPr/>
        <w:t>and</w:t>
      </w:r>
      <w:r>
        <w:rPr>
          <w:spacing w:val="-24"/>
        </w:rPr>
        <w:t> </w:t>
      </w:r>
      <w:r>
        <w:rPr/>
        <w:t>would</w:t>
      </w:r>
      <w:r>
        <w:rPr>
          <w:spacing w:val="-25"/>
        </w:rPr>
        <w:t> </w:t>
      </w:r>
      <w:r>
        <w:rPr/>
        <w:t>benefit</w:t>
      </w:r>
      <w:r>
        <w:rPr>
          <w:spacing w:val="-25"/>
        </w:rPr>
        <w:t> </w:t>
      </w:r>
      <w:r>
        <w:rPr/>
        <w:t>enormously from a sufficient supply of</w:t>
      </w:r>
      <w:r>
        <w:rPr>
          <w:spacing w:val="-4"/>
        </w:rPr>
        <w:t> </w:t>
      </w:r>
      <w:r>
        <w:rPr/>
        <w:t>OPC.</w:t>
      </w:r>
    </w:p>
    <w:p>
      <w:pPr>
        <w:spacing w:after="0" w:line="276" w:lineRule="auto"/>
        <w:jc w:val="both"/>
        <w:sectPr>
          <w:pgSz w:w="14270" w:h="16850"/>
          <w:pgMar w:header="0" w:footer="1891" w:top="1340" w:bottom="2080" w:left="800" w:right="1280"/>
        </w:sectPr>
      </w:pPr>
    </w:p>
    <w:p>
      <w:pPr>
        <w:pStyle w:val="BodyText"/>
        <w:spacing w:line="276" w:lineRule="auto" w:before="72"/>
        <w:ind w:left="616" w:right="136"/>
        <w:jc w:val="both"/>
      </w:pPr>
      <w:r>
        <w:rPr/>
        <w:t>However, as already described, modern food processing, long storage times, depleted soils, the use of pesticides, environmental factors and other factors have eliminated OPC and vitamin C almost completely from our diet and we are</w:t>
      </w:r>
      <w:r>
        <w:rPr>
          <w:spacing w:val="-9"/>
        </w:rPr>
        <w:t> </w:t>
      </w:r>
      <w:r>
        <w:rPr/>
        <w:t>unable</w:t>
      </w:r>
      <w:r>
        <w:rPr>
          <w:spacing w:val="-9"/>
        </w:rPr>
        <w:t> </w:t>
      </w:r>
      <w:r>
        <w:rPr/>
        <w:t>to</w:t>
      </w:r>
      <w:r>
        <w:rPr>
          <w:spacing w:val="-9"/>
        </w:rPr>
        <w:t> </w:t>
      </w:r>
      <w:r>
        <w:rPr/>
        <w:t>absorb</w:t>
      </w:r>
      <w:r>
        <w:rPr>
          <w:spacing w:val="-8"/>
        </w:rPr>
        <w:t> </w:t>
      </w:r>
      <w:r>
        <w:rPr/>
        <w:t>enough</w:t>
      </w:r>
      <w:r>
        <w:rPr>
          <w:spacing w:val="-9"/>
        </w:rPr>
        <w:t> </w:t>
      </w:r>
      <w:r>
        <w:rPr/>
        <w:t>vitamin</w:t>
      </w:r>
      <w:r>
        <w:rPr>
          <w:spacing w:val="-10"/>
        </w:rPr>
        <w:t> </w:t>
      </w:r>
      <w:r>
        <w:rPr/>
        <w:t>C</w:t>
      </w:r>
      <w:r>
        <w:rPr>
          <w:spacing w:val="-11"/>
        </w:rPr>
        <w:t> </w:t>
      </w:r>
      <w:r>
        <w:rPr/>
        <w:t>and</w:t>
      </w:r>
      <w:r>
        <w:rPr>
          <w:spacing w:val="-9"/>
        </w:rPr>
        <w:t> </w:t>
      </w:r>
      <w:r>
        <w:rPr/>
        <w:t>OPC</w:t>
      </w:r>
      <w:r>
        <w:rPr>
          <w:spacing w:val="-10"/>
        </w:rPr>
        <w:t> </w:t>
      </w:r>
      <w:r>
        <w:rPr/>
        <w:t>through</w:t>
      </w:r>
      <w:r>
        <w:rPr>
          <w:spacing w:val="-9"/>
        </w:rPr>
        <w:t> </w:t>
      </w:r>
      <w:r>
        <w:rPr/>
        <w:t>our</w:t>
      </w:r>
      <w:r>
        <w:rPr>
          <w:spacing w:val="-9"/>
        </w:rPr>
        <w:t> </w:t>
      </w:r>
      <w:r>
        <w:rPr/>
        <w:t>natural</w:t>
      </w:r>
      <w:r>
        <w:rPr>
          <w:spacing w:val="-10"/>
        </w:rPr>
        <w:t> </w:t>
      </w:r>
      <w:r>
        <w:rPr/>
        <w:t>diet;</w:t>
      </w:r>
      <w:r>
        <w:rPr>
          <w:spacing w:val="-9"/>
        </w:rPr>
        <w:t> </w:t>
      </w:r>
      <w:r>
        <w:rPr/>
        <w:t>it</w:t>
      </w:r>
      <w:r>
        <w:rPr>
          <w:spacing w:val="-11"/>
        </w:rPr>
        <w:t> </w:t>
      </w:r>
      <w:r>
        <w:rPr/>
        <w:t>is therefore</w:t>
      </w:r>
      <w:r>
        <w:rPr>
          <w:spacing w:val="-7"/>
        </w:rPr>
        <w:t> </w:t>
      </w:r>
      <w:r>
        <w:rPr/>
        <w:t>in</w:t>
      </w:r>
      <w:r>
        <w:rPr>
          <w:spacing w:val="-7"/>
        </w:rPr>
        <w:t> </w:t>
      </w:r>
      <w:r>
        <w:rPr/>
        <w:t>the</w:t>
      </w:r>
      <w:r>
        <w:rPr>
          <w:spacing w:val="-6"/>
        </w:rPr>
        <w:t> </w:t>
      </w:r>
      <w:r>
        <w:rPr/>
        <w:t>interest</w:t>
      </w:r>
      <w:r>
        <w:rPr>
          <w:spacing w:val="-6"/>
        </w:rPr>
        <w:t> </w:t>
      </w:r>
      <w:r>
        <w:rPr/>
        <w:t>of</w:t>
      </w:r>
      <w:r>
        <w:rPr>
          <w:spacing w:val="-7"/>
        </w:rPr>
        <w:t> </w:t>
      </w:r>
      <w:r>
        <w:rPr/>
        <w:t>everyone</w:t>
      </w:r>
      <w:r>
        <w:rPr>
          <w:spacing w:val="-7"/>
        </w:rPr>
        <w:t> </w:t>
      </w:r>
      <w:r>
        <w:rPr/>
        <w:t>to</w:t>
      </w:r>
      <w:r>
        <w:rPr>
          <w:spacing w:val="-6"/>
        </w:rPr>
        <w:t> </w:t>
      </w:r>
      <w:r>
        <w:rPr/>
        <w:t>compensate</w:t>
      </w:r>
      <w:r>
        <w:rPr>
          <w:spacing w:val="-8"/>
        </w:rPr>
        <w:t> </w:t>
      </w:r>
      <w:r>
        <w:rPr/>
        <w:t>for</w:t>
      </w:r>
      <w:r>
        <w:rPr>
          <w:spacing w:val="-5"/>
        </w:rPr>
        <w:t> </w:t>
      </w:r>
      <w:r>
        <w:rPr/>
        <w:t>this</w:t>
      </w:r>
      <w:r>
        <w:rPr>
          <w:spacing w:val="-6"/>
        </w:rPr>
        <w:t> </w:t>
      </w:r>
      <w:r>
        <w:rPr/>
        <w:t>vitamin</w:t>
      </w:r>
      <w:r>
        <w:rPr>
          <w:spacing w:val="-7"/>
        </w:rPr>
        <w:t> </w:t>
      </w:r>
      <w:r>
        <w:rPr/>
        <w:t>deficiency by taking high-quality, natural</w:t>
      </w:r>
      <w:r>
        <w:rPr>
          <w:spacing w:val="1"/>
        </w:rPr>
        <w:t> </w:t>
      </w:r>
      <w:r>
        <w:rPr/>
        <w:t>supplements.</w:t>
      </w:r>
    </w:p>
    <w:p>
      <w:pPr>
        <w:pStyle w:val="BodyText"/>
        <w:spacing w:line="276" w:lineRule="auto" w:before="240"/>
        <w:ind w:left="616" w:right="137"/>
        <w:jc w:val="both"/>
      </w:pPr>
      <w:r>
        <w:rPr/>
        <w:t>Experience so far suggests a daily recommended amount of 2-3 mg OPC per kg of body weight; on the other hand, intake of less than 1 mg per kg of body weight makes little sense.</w:t>
      </w:r>
    </w:p>
    <w:p>
      <w:pPr>
        <w:pStyle w:val="BodyText"/>
        <w:rPr>
          <w:sz w:val="42"/>
        </w:rPr>
      </w:pPr>
    </w:p>
    <w:p>
      <w:pPr>
        <w:pStyle w:val="BodyText"/>
        <w:rPr>
          <w:sz w:val="42"/>
        </w:rPr>
      </w:pPr>
    </w:p>
    <w:p>
      <w:pPr>
        <w:pStyle w:val="BodyText"/>
        <w:spacing w:line="276" w:lineRule="auto" w:before="314"/>
        <w:ind w:left="616" w:right="135"/>
        <w:jc w:val="both"/>
      </w:pPr>
      <w:r>
        <w:rPr/>
        <w:t>The</w:t>
      </w:r>
      <w:r>
        <w:rPr>
          <w:spacing w:val="-5"/>
        </w:rPr>
        <w:t> </w:t>
      </w:r>
      <w:r>
        <w:rPr/>
        <w:t>upper</w:t>
      </w:r>
      <w:r>
        <w:rPr>
          <w:spacing w:val="-7"/>
        </w:rPr>
        <w:t> </w:t>
      </w:r>
      <w:r>
        <w:rPr/>
        <w:t>intake</w:t>
      </w:r>
      <w:r>
        <w:rPr>
          <w:spacing w:val="-6"/>
        </w:rPr>
        <w:t> </w:t>
      </w:r>
      <w:r>
        <w:rPr/>
        <w:t>recommendations,</w:t>
      </w:r>
      <w:r>
        <w:rPr>
          <w:spacing w:val="-6"/>
        </w:rPr>
        <w:t> </w:t>
      </w:r>
      <w:r>
        <w:rPr/>
        <w:t>however,</w:t>
      </w:r>
      <w:r>
        <w:rPr>
          <w:spacing w:val="-7"/>
        </w:rPr>
        <w:t> </w:t>
      </w:r>
      <w:r>
        <w:rPr/>
        <w:t>are</w:t>
      </w:r>
      <w:r>
        <w:rPr>
          <w:spacing w:val="-4"/>
        </w:rPr>
        <w:t> </w:t>
      </w:r>
      <w:r>
        <w:rPr/>
        <w:t>for</w:t>
      </w:r>
      <w:r>
        <w:rPr>
          <w:spacing w:val="-7"/>
        </w:rPr>
        <w:t> </w:t>
      </w:r>
      <w:r>
        <w:rPr/>
        <w:t>healthy</w:t>
      </w:r>
      <w:r>
        <w:rPr>
          <w:spacing w:val="-8"/>
        </w:rPr>
        <w:t> </w:t>
      </w:r>
      <w:r>
        <w:rPr/>
        <w:t>people.</w:t>
      </w:r>
      <w:r>
        <w:rPr>
          <w:spacing w:val="-5"/>
        </w:rPr>
        <w:t> </w:t>
      </w:r>
      <w:r>
        <w:rPr/>
        <w:t>If</w:t>
      </w:r>
      <w:r>
        <w:rPr>
          <w:spacing w:val="-8"/>
        </w:rPr>
        <w:t> </w:t>
      </w:r>
      <w:r>
        <w:rPr/>
        <w:t>a</w:t>
      </w:r>
      <w:r>
        <w:rPr>
          <w:spacing w:val="-9"/>
        </w:rPr>
        <w:t> </w:t>
      </w:r>
      <w:r>
        <w:rPr/>
        <w:t>per- son is unhealthy, a multiple of the recommended intake may be advisable. In healthy</w:t>
      </w:r>
      <w:r>
        <w:rPr>
          <w:spacing w:val="-12"/>
        </w:rPr>
        <w:t> </w:t>
      </w:r>
      <w:r>
        <w:rPr/>
        <w:t>individuals,</w:t>
      </w:r>
      <w:r>
        <w:rPr>
          <w:spacing w:val="-11"/>
        </w:rPr>
        <w:t> </w:t>
      </w:r>
      <w:r>
        <w:rPr/>
        <w:t>an</w:t>
      </w:r>
      <w:r>
        <w:rPr>
          <w:spacing w:val="-11"/>
        </w:rPr>
        <w:t> </w:t>
      </w:r>
      <w:r>
        <w:rPr/>
        <w:t>intake</w:t>
      </w:r>
      <w:r>
        <w:rPr>
          <w:spacing w:val="-12"/>
        </w:rPr>
        <w:t> </w:t>
      </w:r>
      <w:r>
        <w:rPr/>
        <w:t>of</w:t>
      </w:r>
      <w:r>
        <w:rPr>
          <w:spacing w:val="-13"/>
        </w:rPr>
        <w:t> </w:t>
      </w:r>
      <w:r>
        <w:rPr/>
        <w:t>3</w:t>
      </w:r>
      <w:r>
        <w:rPr>
          <w:spacing w:val="-12"/>
        </w:rPr>
        <w:t> </w:t>
      </w:r>
      <w:r>
        <w:rPr/>
        <w:t>mg/kg</w:t>
      </w:r>
      <w:r>
        <w:rPr>
          <w:spacing w:val="-11"/>
        </w:rPr>
        <w:t> </w:t>
      </w:r>
      <w:r>
        <w:rPr/>
        <w:t>body</w:t>
      </w:r>
      <w:r>
        <w:rPr>
          <w:spacing w:val="-12"/>
        </w:rPr>
        <w:t> </w:t>
      </w:r>
      <w:r>
        <w:rPr/>
        <w:t>weight</w:t>
      </w:r>
      <w:r>
        <w:rPr>
          <w:spacing w:val="-12"/>
        </w:rPr>
        <w:t> </w:t>
      </w:r>
      <w:r>
        <w:rPr/>
        <w:t>is</w:t>
      </w:r>
      <w:r>
        <w:rPr>
          <w:spacing w:val="-12"/>
        </w:rPr>
        <w:t> </w:t>
      </w:r>
      <w:r>
        <w:rPr/>
        <w:t>recommended</w:t>
      </w:r>
      <w:r>
        <w:rPr>
          <w:spacing w:val="-11"/>
        </w:rPr>
        <w:t> </w:t>
      </w:r>
      <w:r>
        <w:rPr/>
        <w:t>for</w:t>
      </w:r>
      <w:r>
        <w:rPr>
          <w:spacing w:val="-10"/>
        </w:rPr>
        <w:t> </w:t>
      </w:r>
      <w:r>
        <w:rPr/>
        <w:t>the first 14 days, which can then be reduced to 2-3 mg/kg body weight and sub- sequently maintained permanently. (OPC must be taken over a whole lifetime because any health benefits gained would otherwise be</w:t>
      </w:r>
      <w:r>
        <w:rPr>
          <w:spacing w:val="-7"/>
        </w:rPr>
        <w:t> </w:t>
      </w:r>
      <w:r>
        <w:rPr/>
        <w:t>reversed).</w:t>
      </w:r>
    </w:p>
    <w:p>
      <w:pPr>
        <w:pStyle w:val="BodyText"/>
        <w:spacing w:line="276" w:lineRule="auto" w:before="240"/>
        <w:ind w:left="616" w:right="132"/>
        <w:jc w:val="both"/>
      </w:pPr>
      <w:r>
        <w:rPr/>
        <w:t>When OPC is used in the treatment of disease, it is not uncommon to admin- ister</w:t>
      </w:r>
      <w:r>
        <w:rPr>
          <w:spacing w:val="-11"/>
        </w:rPr>
        <w:t> </w:t>
      </w:r>
      <w:r>
        <w:rPr/>
        <w:t>400</w:t>
      </w:r>
      <w:r>
        <w:rPr>
          <w:spacing w:val="-12"/>
        </w:rPr>
        <w:t> </w:t>
      </w:r>
      <w:r>
        <w:rPr/>
        <w:t>mg</w:t>
      </w:r>
      <w:r>
        <w:rPr>
          <w:spacing w:val="-11"/>
        </w:rPr>
        <w:t> </w:t>
      </w:r>
      <w:r>
        <w:rPr/>
        <w:t>or</w:t>
      </w:r>
      <w:r>
        <w:rPr>
          <w:spacing w:val="-12"/>
        </w:rPr>
        <w:t> </w:t>
      </w:r>
      <w:r>
        <w:rPr/>
        <w:t>more</w:t>
      </w:r>
      <w:r>
        <w:rPr>
          <w:spacing w:val="-11"/>
        </w:rPr>
        <w:t> </w:t>
      </w:r>
      <w:r>
        <w:rPr/>
        <w:t>daily</w:t>
      </w:r>
      <w:r>
        <w:rPr>
          <w:spacing w:val="-10"/>
        </w:rPr>
        <w:t> </w:t>
      </w:r>
      <w:r>
        <w:rPr/>
        <w:t>without</w:t>
      </w:r>
      <w:r>
        <w:rPr>
          <w:spacing w:val="-13"/>
        </w:rPr>
        <w:t> </w:t>
      </w:r>
      <w:r>
        <w:rPr/>
        <w:t>this</w:t>
      </w:r>
      <w:r>
        <w:rPr>
          <w:spacing w:val="-10"/>
        </w:rPr>
        <w:t> </w:t>
      </w:r>
      <w:r>
        <w:rPr/>
        <w:t>causing</w:t>
      </w:r>
      <w:r>
        <w:rPr>
          <w:spacing w:val="-11"/>
        </w:rPr>
        <w:t> </w:t>
      </w:r>
      <w:r>
        <w:rPr/>
        <w:t>any</w:t>
      </w:r>
      <w:r>
        <w:rPr>
          <w:spacing w:val="-11"/>
        </w:rPr>
        <w:t> </w:t>
      </w:r>
      <w:r>
        <w:rPr/>
        <w:t>interactions</w:t>
      </w:r>
      <w:r>
        <w:rPr>
          <w:spacing w:val="-10"/>
        </w:rPr>
        <w:t> </w:t>
      </w:r>
      <w:r>
        <w:rPr/>
        <w:t>or</w:t>
      </w:r>
      <w:r>
        <w:rPr>
          <w:spacing w:val="-11"/>
        </w:rPr>
        <w:t> </w:t>
      </w:r>
      <w:r>
        <w:rPr/>
        <w:t>side</w:t>
      </w:r>
      <w:r>
        <w:rPr>
          <w:spacing w:val="-10"/>
        </w:rPr>
        <w:t> </w:t>
      </w:r>
      <w:r>
        <w:rPr/>
        <w:t>effects. These</w:t>
      </w:r>
      <w:r>
        <w:rPr>
          <w:spacing w:val="59"/>
        </w:rPr>
        <w:t> </w:t>
      </w:r>
      <w:r>
        <w:rPr/>
        <w:t>doses</w:t>
      </w:r>
      <w:r>
        <w:rPr>
          <w:spacing w:val="58"/>
        </w:rPr>
        <w:t> </w:t>
      </w:r>
      <w:r>
        <w:rPr/>
        <w:t>have</w:t>
      </w:r>
      <w:r>
        <w:rPr>
          <w:spacing w:val="58"/>
        </w:rPr>
        <w:t> </w:t>
      </w:r>
      <w:r>
        <w:rPr/>
        <w:t>been</w:t>
      </w:r>
      <w:r>
        <w:rPr>
          <w:spacing w:val="60"/>
        </w:rPr>
        <w:t> </w:t>
      </w:r>
      <w:r>
        <w:rPr/>
        <w:t>used</w:t>
      </w:r>
      <w:r>
        <w:rPr>
          <w:spacing w:val="57"/>
        </w:rPr>
        <w:t> </w:t>
      </w:r>
      <w:r>
        <w:rPr/>
        <w:t>to</w:t>
      </w:r>
      <w:r>
        <w:rPr>
          <w:spacing w:val="59"/>
        </w:rPr>
        <w:t> </w:t>
      </w:r>
      <w:r>
        <w:rPr/>
        <w:t>treat</w:t>
      </w:r>
      <w:r>
        <w:rPr>
          <w:spacing w:val="60"/>
        </w:rPr>
        <w:t> </w:t>
      </w:r>
      <w:r>
        <w:rPr/>
        <w:t>varicose</w:t>
      </w:r>
      <w:r>
        <w:rPr>
          <w:spacing w:val="56"/>
        </w:rPr>
        <w:t> </w:t>
      </w:r>
      <w:r>
        <w:rPr/>
        <w:t>veins,</w:t>
      </w:r>
      <w:r>
        <w:rPr>
          <w:spacing w:val="58"/>
        </w:rPr>
        <w:t> </w:t>
      </w:r>
      <w:r>
        <w:rPr/>
        <w:t>retinal</w:t>
      </w:r>
      <w:r>
        <w:rPr>
          <w:spacing w:val="59"/>
        </w:rPr>
        <w:t> </w:t>
      </w:r>
      <w:r>
        <w:rPr/>
        <w:t>diseases,</w:t>
      </w:r>
      <w:r>
        <w:rPr>
          <w:spacing w:val="60"/>
        </w:rPr>
        <w:t> </w:t>
      </w:r>
      <w:r>
        <w:rPr/>
        <w:t>PMS,</w:t>
      </w:r>
    </w:p>
    <w:p>
      <w:pPr>
        <w:spacing w:after="0" w:line="276" w:lineRule="auto"/>
        <w:jc w:val="both"/>
        <w:sectPr>
          <w:pgSz w:w="14270" w:h="16850"/>
          <w:pgMar w:header="0" w:footer="1891" w:top="1340" w:bottom="2080" w:left="800" w:right="1280"/>
        </w:sectPr>
      </w:pPr>
    </w:p>
    <w:p>
      <w:pPr>
        <w:pStyle w:val="BodyText"/>
        <w:spacing w:line="410" w:lineRule="auto" w:before="72"/>
        <w:ind w:left="616" w:right="5087"/>
      </w:pPr>
      <w:r>
        <w:rPr/>
        <w:t>sports injuries and postoperative oedema.</w:t>
      </w:r>
      <w:r>
        <w:rPr>
          <w:position w:val="9"/>
          <w:sz w:val="25"/>
        </w:rPr>
        <w:t>636 </w:t>
      </w:r>
      <w:r>
        <w:rPr/>
        <w:t>OPC and its effect on diseases</w:t>
      </w:r>
    </w:p>
    <w:p>
      <w:pPr>
        <w:pStyle w:val="BodyText"/>
        <w:spacing w:before="2"/>
        <w:ind w:left="616"/>
      </w:pPr>
      <w:r>
        <w:rPr/>
        <w:t>The following health benefits are attributed to OPC:</w:t>
      </w:r>
    </w:p>
    <w:p>
      <w:pPr>
        <w:pStyle w:val="Heading2"/>
        <w:numPr>
          <w:ilvl w:val="1"/>
          <w:numId w:val="78"/>
        </w:numPr>
        <w:tabs>
          <w:tab w:pos="1696" w:val="left" w:leader="none"/>
          <w:tab w:pos="1697" w:val="left" w:leader="none"/>
        </w:tabs>
        <w:spacing w:line="276" w:lineRule="auto" w:before="304" w:after="0"/>
        <w:ind w:left="1696" w:right="256" w:hanging="720"/>
        <w:jc w:val="left"/>
      </w:pPr>
      <w:r>
        <w:rPr/>
        <w:t>Table with an overview of the preventive and therapeutic effects of</w:t>
      </w:r>
      <w:r>
        <w:rPr>
          <w:spacing w:val="-2"/>
        </w:rPr>
        <w:t> </w:t>
      </w:r>
      <w:r>
        <w:rPr/>
        <w:t>OPC:</w:t>
      </w:r>
    </w:p>
    <w:p>
      <w:pPr>
        <w:pStyle w:val="BodyText"/>
        <w:rPr>
          <w:b/>
          <w:sz w:val="20"/>
        </w:rPr>
      </w:pPr>
    </w:p>
    <w:p>
      <w:pPr>
        <w:pStyle w:val="BodyText"/>
        <w:rPr>
          <w:b/>
          <w:sz w:val="20"/>
        </w:rPr>
      </w:pPr>
    </w:p>
    <w:p>
      <w:pPr>
        <w:pStyle w:val="BodyText"/>
        <w:rPr>
          <w:b/>
          <w:sz w:val="20"/>
        </w:rPr>
      </w:pPr>
    </w:p>
    <w:p>
      <w:pPr>
        <w:pStyle w:val="BodyText"/>
        <w:spacing w:before="2" w:after="1"/>
        <w:rPr>
          <w:b/>
          <w:sz w:val="23"/>
        </w:r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0"/>
        <w:gridCol w:w="4112"/>
      </w:tblGrid>
      <w:tr>
        <w:trPr>
          <w:trHeight w:val="2406" w:hRule="atLeast"/>
        </w:trPr>
        <w:tc>
          <w:tcPr>
            <w:tcW w:w="2480" w:type="dxa"/>
            <w:shd w:val="clear" w:color="auto" w:fill="8DB3E1"/>
          </w:tcPr>
          <w:p>
            <w:pPr>
              <w:pStyle w:val="TableParagraph"/>
              <w:spacing w:line="276" w:lineRule="auto" w:before="236"/>
              <w:ind w:left="189" w:right="173"/>
              <w:jc w:val="center"/>
              <w:rPr>
                <w:b/>
                <w:sz w:val="38"/>
              </w:rPr>
            </w:pPr>
            <w:r>
              <w:rPr>
                <w:b/>
                <w:sz w:val="38"/>
              </w:rPr>
              <w:t>Symptoms of a vitamin P/OPC defi- ciency:</w:t>
            </w:r>
          </w:p>
        </w:tc>
        <w:tc>
          <w:tcPr>
            <w:tcW w:w="4112" w:type="dxa"/>
            <w:shd w:val="clear" w:color="auto" w:fill="8DB3E1"/>
          </w:tcPr>
          <w:p>
            <w:pPr>
              <w:pStyle w:val="TableParagraph"/>
              <w:spacing w:line="276" w:lineRule="auto" w:before="236"/>
              <w:ind w:left="254" w:right="244"/>
              <w:jc w:val="center"/>
              <w:rPr>
                <w:b/>
                <w:sz w:val="38"/>
              </w:rPr>
            </w:pPr>
            <w:r>
              <w:rPr>
                <w:b/>
                <w:sz w:val="38"/>
              </w:rPr>
              <w:t>Benefits and effects of adequate vitamin P/OPC intake:</w:t>
            </w:r>
          </w:p>
        </w:tc>
      </w:tr>
      <w:tr>
        <w:trPr>
          <w:trHeight w:val="1915" w:hRule="atLeast"/>
        </w:trPr>
        <w:tc>
          <w:tcPr>
            <w:tcW w:w="2480" w:type="dxa"/>
          </w:tcPr>
          <w:p>
            <w:pPr>
              <w:pStyle w:val="TableParagraph"/>
              <w:spacing w:line="278" w:lineRule="auto" w:before="236"/>
              <w:ind w:left="71" w:right="423"/>
              <w:rPr>
                <w:sz w:val="38"/>
              </w:rPr>
            </w:pPr>
            <w:r>
              <w:rPr>
                <w:sz w:val="38"/>
              </w:rPr>
              <w:t>Vitamin defi- ciency</w:t>
            </w:r>
          </w:p>
        </w:tc>
        <w:tc>
          <w:tcPr>
            <w:tcW w:w="4112" w:type="dxa"/>
          </w:tcPr>
          <w:p>
            <w:pPr>
              <w:pStyle w:val="TableParagraph"/>
              <w:spacing w:line="276" w:lineRule="auto" w:before="236"/>
              <w:ind w:left="71" w:right="69"/>
              <w:rPr>
                <w:sz w:val="38"/>
              </w:rPr>
            </w:pPr>
            <w:r>
              <w:rPr>
                <w:sz w:val="38"/>
              </w:rPr>
              <w:t>OPC increases the effects of vitamin C, E and A ten- fold.</w:t>
            </w:r>
          </w:p>
        </w:tc>
      </w:tr>
      <w:tr>
        <w:trPr>
          <w:trHeight w:val="1223" w:hRule="atLeast"/>
        </w:trPr>
        <w:tc>
          <w:tcPr>
            <w:tcW w:w="2480" w:type="dxa"/>
          </w:tcPr>
          <w:p>
            <w:pPr>
              <w:pStyle w:val="TableParagraph"/>
              <w:spacing w:before="238"/>
              <w:ind w:left="71"/>
              <w:rPr>
                <w:sz w:val="38"/>
              </w:rPr>
            </w:pPr>
            <w:r>
              <w:rPr>
                <w:sz w:val="38"/>
              </w:rPr>
              <w:t>Allergies</w:t>
            </w:r>
          </w:p>
        </w:tc>
        <w:tc>
          <w:tcPr>
            <w:tcW w:w="4112" w:type="dxa"/>
          </w:tcPr>
          <w:p>
            <w:pPr>
              <w:pStyle w:val="TableParagraph"/>
              <w:spacing w:line="490" w:lineRule="atLeast" w:before="174"/>
              <w:ind w:left="71"/>
              <w:rPr>
                <w:sz w:val="38"/>
              </w:rPr>
            </w:pPr>
            <w:r>
              <w:rPr>
                <w:sz w:val="38"/>
              </w:rPr>
              <w:t>The regulation of hista- mine and histidine produc-</w:t>
            </w:r>
          </w:p>
        </w:tc>
      </w:tr>
    </w:tbl>
    <w:p>
      <w:pPr>
        <w:pStyle w:val="BodyText"/>
        <w:rPr>
          <w:b/>
          <w:sz w:val="20"/>
        </w:rPr>
      </w:pPr>
    </w:p>
    <w:p>
      <w:pPr>
        <w:pStyle w:val="BodyText"/>
        <w:rPr>
          <w:b/>
          <w:sz w:val="20"/>
        </w:rPr>
      </w:pPr>
    </w:p>
    <w:p>
      <w:pPr>
        <w:pStyle w:val="BodyText"/>
        <w:rPr>
          <w:b/>
          <w:sz w:val="20"/>
        </w:rPr>
      </w:pPr>
    </w:p>
    <w:p>
      <w:pPr>
        <w:pStyle w:val="BodyText"/>
        <w:spacing w:before="6"/>
        <w:rPr>
          <w:b/>
          <w:sz w:val="18"/>
        </w:rPr>
      </w:pPr>
      <w:r>
        <w:rPr/>
        <w:pict>
          <v:line style="position:absolute;mso-position-horizontal-relative:page;mso-position-vertical-relative:paragraph;z-index:8216;mso-wrap-distance-left:0;mso-wrap-distance-right:0" from="70.823997pt,12.810015pt" to="214.843997pt,12.810015pt" stroked="true" strokeweight=".71997pt" strokecolor="#000000">
            <v:stroke dashstyle="solid"/>
            <w10:wrap type="topAndBottom"/>
          </v:line>
        </w:pict>
      </w:r>
    </w:p>
    <w:p>
      <w:pPr>
        <w:pStyle w:val="BodyText"/>
        <w:spacing w:before="7"/>
        <w:rPr>
          <w:b/>
          <w:sz w:val="18"/>
        </w:rPr>
      </w:pPr>
    </w:p>
    <w:p>
      <w:pPr>
        <w:spacing w:before="100"/>
        <w:ind w:left="616" w:right="0" w:firstLine="0"/>
        <w:jc w:val="left"/>
        <w:rPr>
          <w:sz w:val="20"/>
        </w:rPr>
      </w:pPr>
      <w:r>
        <w:rPr>
          <w:position w:val="5"/>
          <w:sz w:val="13"/>
        </w:rPr>
        <w:t>636 </w:t>
      </w:r>
      <w:r>
        <w:rPr>
          <w:sz w:val="20"/>
        </w:rPr>
        <w:t>Anne Simons and Alexander Rucker: Gesund länger leben durch OPC ('Living Healthy Longer Through OPC'), 2005, p. 68</w:t>
      </w:r>
    </w:p>
    <w:p>
      <w:pPr>
        <w:spacing w:after="0"/>
        <w:jc w:val="left"/>
        <w:rPr>
          <w:sz w:val="20"/>
        </w:rPr>
        <w:sectPr>
          <w:pgSz w:w="14270" w:h="16850"/>
          <w:pgMar w:header="0" w:footer="1891" w:top="1340" w:bottom="2080" w:left="800" w:right="1280"/>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0"/>
        <w:gridCol w:w="4112"/>
      </w:tblGrid>
      <w:tr>
        <w:trPr>
          <w:trHeight w:val="4135" w:hRule="atLeast"/>
        </w:trPr>
        <w:tc>
          <w:tcPr>
            <w:tcW w:w="2480" w:type="dxa"/>
          </w:tcPr>
          <w:p>
            <w:pPr>
              <w:pStyle w:val="TableParagraph"/>
              <w:rPr>
                <w:rFonts w:ascii="Times New Roman"/>
                <w:sz w:val="36"/>
              </w:rPr>
            </w:pPr>
          </w:p>
        </w:tc>
        <w:tc>
          <w:tcPr>
            <w:tcW w:w="4112" w:type="dxa"/>
          </w:tcPr>
          <w:p>
            <w:pPr>
              <w:pStyle w:val="TableParagraph"/>
              <w:spacing w:line="276" w:lineRule="auto"/>
              <w:ind w:left="71" w:right="69"/>
              <w:rPr>
                <w:sz w:val="38"/>
              </w:rPr>
            </w:pPr>
            <w:r>
              <w:rPr>
                <w:sz w:val="38"/>
              </w:rPr>
              <w:t>tion leads to fewer aller- gies and improves or pre- vents allergic symptoms such as hay fever, house dust allergy, allergy to moulds, food allergies, al- lergies to insect bites, ani- mal hair and more.</w:t>
            </w:r>
          </w:p>
        </w:tc>
      </w:tr>
      <w:tr>
        <w:trPr>
          <w:trHeight w:val="3388" w:hRule="atLeast"/>
        </w:trPr>
        <w:tc>
          <w:tcPr>
            <w:tcW w:w="2480" w:type="dxa"/>
          </w:tcPr>
          <w:p>
            <w:pPr>
              <w:pStyle w:val="TableParagraph"/>
              <w:spacing w:before="234"/>
              <w:ind w:left="71"/>
              <w:rPr>
                <w:sz w:val="38"/>
              </w:rPr>
            </w:pPr>
            <w:r>
              <w:rPr>
                <w:sz w:val="38"/>
              </w:rPr>
              <w:t>Asthma</w:t>
            </w:r>
          </w:p>
        </w:tc>
        <w:tc>
          <w:tcPr>
            <w:tcW w:w="4112" w:type="dxa"/>
          </w:tcPr>
          <w:p>
            <w:pPr>
              <w:pStyle w:val="TableParagraph"/>
              <w:spacing w:line="276" w:lineRule="auto" w:before="231"/>
              <w:ind w:left="71" w:right="179"/>
              <w:rPr>
                <w:sz w:val="38"/>
              </w:rPr>
            </w:pPr>
            <w:r>
              <w:rPr>
                <w:sz w:val="38"/>
              </w:rPr>
              <w:t>OPC has an anti-inflam- matory and anti-asthmatic effect which significantly improves the condition and can even prevent it entirely.</w:t>
            </w:r>
          </w:p>
        </w:tc>
      </w:tr>
      <w:tr>
        <w:trPr>
          <w:trHeight w:val="3391" w:hRule="atLeast"/>
        </w:trPr>
        <w:tc>
          <w:tcPr>
            <w:tcW w:w="2480" w:type="dxa"/>
          </w:tcPr>
          <w:p>
            <w:pPr>
              <w:pStyle w:val="TableParagraph"/>
              <w:spacing w:line="278" w:lineRule="auto" w:before="231"/>
              <w:ind w:left="71" w:right="178"/>
              <w:rPr>
                <w:sz w:val="38"/>
              </w:rPr>
            </w:pPr>
            <w:r>
              <w:rPr>
                <w:sz w:val="38"/>
              </w:rPr>
              <w:t>Rhinitis (runny nose)</w:t>
            </w:r>
          </w:p>
        </w:tc>
        <w:tc>
          <w:tcPr>
            <w:tcW w:w="4112" w:type="dxa"/>
          </w:tcPr>
          <w:p>
            <w:pPr>
              <w:pStyle w:val="TableParagraph"/>
              <w:spacing w:line="276" w:lineRule="auto" w:before="231"/>
              <w:ind w:left="71" w:right="179"/>
              <w:rPr>
                <w:sz w:val="38"/>
              </w:rPr>
            </w:pPr>
            <w:r>
              <w:rPr>
                <w:sz w:val="38"/>
              </w:rPr>
              <w:t>OPC has an anti-inflam- matory and anti-asthmatic effect which significantly improves the condition and can even prevent it entirely.</w:t>
            </w:r>
          </w:p>
        </w:tc>
      </w:tr>
    </w:tbl>
    <w:p>
      <w:pPr>
        <w:spacing w:after="0" w:line="276" w:lineRule="auto"/>
        <w:rPr>
          <w:sz w:val="38"/>
        </w:rPr>
        <w:sectPr>
          <w:footerReference w:type="default" r:id="rId271"/>
          <w:pgSz w:w="14270" w:h="16850"/>
          <w:pgMar w:footer="404" w:header="0" w:top="1420" w:bottom="600" w:left="800" w:right="1280"/>
          <w:pgNumType w:start="1110"/>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0"/>
        <w:gridCol w:w="4112"/>
      </w:tblGrid>
      <w:tr>
        <w:trPr>
          <w:trHeight w:val="1425" w:hRule="atLeast"/>
        </w:trPr>
        <w:tc>
          <w:tcPr>
            <w:tcW w:w="2480" w:type="dxa"/>
          </w:tcPr>
          <w:p>
            <w:pPr>
              <w:pStyle w:val="TableParagraph"/>
              <w:spacing w:line="276" w:lineRule="auto" w:before="234"/>
              <w:ind w:left="71" w:right="463"/>
              <w:rPr>
                <w:sz w:val="38"/>
              </w:rPr>
            </w:pPr>
            <w:r>
              <w:rPr>
                <w:sz w:val="38"/>
              </w:rPr>
              <w:t>Fatigue syn- drome (CFS)</w:t>
            </w:r>
          </w:p>
        </w:tc>
        <w:tc>
          <w:tcPr>
            <w:tcW w:w="4112" w:type="dxa"/>
          </w:tcPr>
          <w:p>
            <w:pPr>
              <w:pStyle w:val="TableParagraph"/>
              <w:spacing w:line="276" w:lineRule="auto" w:before="234"/>
              <w:ind w:left="71" w:right="69"/>
              <w:rPr>
                <w:sz w:val="38"/>
              </w:rPr>
            </w:pPr>
            <w:r>
              <w:rPr>
                <w:sz w:val="38"/>
              </w:rPr>
              <w:t>OPC prevents and com- bats daytime fatigue (CFS)</w:t>
            </w:r>
          </w:p>
        </w:tc>
      </w:tr>
      <w:tr>
        <w:trPr>
          <w:trHeight w:val="3880" w:hRule="atLeast"/>
        </w:trPr>
        <w:tc>
          <w:tcPr>
            <w:tcW w:w="2480" w:type="dxa"/>
          </w:tcPr>
          <w:p>
            <w:pPr>
              <w:pStyle w:val="TableParagraph"/>
              <w:spacing w:before="234"/>
              <w:ind w:left="71"/>
              <w:rPr>
                <w:sz w:val="38"/>
              </w:rPr>
            </w:pPr>
            <w:r>
              <w:rPr>
                <w:sz w:val="38"/>
              </w:rPr>
              <w:t>Bronchitis</w:t>
            </w:r>
          </w:p>
        </w:tc>
        <w:tc>
          <w:tcPr>
            <w:tcW w:w="4112" w:type="dxa"/>
          </w:tcPr>
          <w:p>
            <w:pPr>
              <w:pStyle w:val="TableParagraph"/>
              <w:spacing w:line="276" w:lineRule="auto" w:before="231"/>
              <w:ind w:left="71" w:right="307"/>
              <w:rPr>
                <w:sz w:val="38"/>
              </w:rPr>
            </w:pPr>
            <w:r>
              <w:rPr>
                <w:sz w:val="38"/>
              </w:rPr>
              <w:t>OPC/vitamin P has an anti-inflammatory and anti-asthmatic effect which significantly im- proves the condition and can even prevent it en- tirely.</w:t>
            </w:r>
          </w:p>
        </w:tc>
      </w:tr>
      <w:tr>
        <w:trPr>
          <w:trHeight w:val="2407" w:hRule="atLeast"/>
        </w:trPr>
        <w:tc>
          <w:tcPr>
            <w:tcW w:w="2480" w:type="dxa"/>
          </w:tcPr>
          <w:p>
            <w:pPr>
              <w:pStyle w:val="TableParagraph"/>
              <w:spacing w:before="234"/>
              <w:ind w:left="71"/>
              <w:rPr>
                <w:sz w:val="38"/>
              </w:rPr>
            </w:pPr>
            <w:r>
              <w:rPr>
                <w:sz w:val="38"/>
              </w:rPr>
              <w:t>Inflammation</w:t>
            </w:r>
          </w:p>
        </w:tc>
        <w:tc>
          <w:tcPr>
            <w:tcW w:w="4112" w:type="dxa"/>
          </w:tcPr>
          <w:p>
            <w:pPr>
              <w:pStyle w:val="TableParagraph"/>
              <w:spacing w:line="276" w:lineRule="auto" w:before="231"/>
              <w:ind w:left="71" w:right="69"/>
              <w:rPr>
                <w:sz w:val="38"/>
              </w:rPr>
            </w:pPr>
            <w:r>
              <w:rPr>
                <w:sz w:val="38"/>
              </w:rPr>
              <w:t>As the most efficient anti- oxidant, OPC successfully prevents inflammatory processes.</w:t>
            </w:r>
          </w:p>
        </w:tc>
      </w:tr>
      <w:tr>
        <w:trPr>
          <w:trHeight w:val="2898" w:hRule="atLeast"/>
        </w:trPr>
        <w:tc>
          <w:tcPr>
            <w:tcW w:w="2480" w:type="dxa"/>
          </w:tcPr>
          <w:p>
            <w:pPr>
              <w:pStyle w:val="TableParagraph"/>
              <w:spacing w:line="276" w:lineRule="auto" w:before="231"/>
              <w:ind w:left="71" w:right="55"/>
              <w:rPr>
                <w:sz w:val="38"/>
              </w:rPr>
            </w:pPr>
            <w:r>
              <w:rPr>
                <w:sz w:val="38"/>
              </w:rPr>
              <w:t>Cold, flu, runny nose, tubercu- losis</w:t>
            </w:r>
          </w:p>
        </w:tc>
        <w:tc>
          <w:tcPr>
            <w:tcW w:w="4112" w:type="dxa"/>
          </w:tcPr>
          <w:p>
            <w:pPr>
              <w:pStyle w:val="TableParagraph"/>
              <w:spacing w:line="276" w:lineRule="auto" w:before="231"/>
              <w:ind w:left="71" w:right="132"/>
              <w:rPr>
                <w:sz w:val="38"/>
              </w:rPr>
            </w:pPr>
            <w:r>
              <w:rPr>
                <w:sz w:val="38"/>
              </w:rPr>
              <w:t>Vitamin P activates the body's defences and relia- bly prevents and treats the symptoms mentioned on the left.</w:t>
            </w:r>
          </w:p>
        </w:tc>
      </w:tr>
      <w:tr>
        <w:trPr>
          <w:trHeight w:val="1423" w:hRule="atLeast"/>
        </w:trPr>
        <w:tc>
          <w:tcPr>
            <w:tcW w:w="2480" w:type="dxa"/>
          </w:tcPr>
          <w:p>
            <w:pPr>
              <w:pStyle w:val="TableParagraph"/>
              <w:spacing w:line="278" w:lineRule="auto" w:before="232"/>
              <w:ind w:left="71" w:right="704"/>
              <w:rPr>
                <w:sz w:val="38"/>
              </w:rPr>
            </w:pPr>
            <w:r>
              <w:rPr>
                <w:sz w:val="38"/>
              </w:rPr>
              <w:t>Depres- sion/mood</w:t>
            </w:r>
          </w:p>
        </w:tc>
        <w:tc>
          <w:tcPr>
            <w:tcW w:w="4112" w:type="dxa"/>
          </w:tcPr>
          <w:p>
            <w:pPr>
              <w:pStyle w:val="TableParagraph"/>
              <w:spacing w:line="276" w:lineRule="auto" w:before="232"/>
              <w:ind w:left="71" w:right="393"/>
              <w:rPr>
                <w:sz w:val="38"/>
              </w:rPr>
            </w:pPr>
            <w:r>
              <w:rPr>
                <w:sz w:val="38"/>
              </w:rPr>
              <w:t>Depression and winter blues diminish or do not</w:t>
            </w:r>
          </w:p>
        </w:tc>
      </w:tr>
    </w:tbl>
    <w:p>
      <w:pPr>
        <w:spacing w:after="0" w:line="276" w:lineRule="auto"/>
        <w:rPr>
          <w:sz w:val="38"/>
        </w:rPr>
        <w:sectPr>
          <w:pgSz w:w="14270" w:h="16850"/>
          <w:pgMar w:header="0" w:footer="404" w:top="1420" w:bottom="600" w:left="800" w:right="1280"/>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0"/>
        <w:gridCol w:w="4112"/>
      </w:tblGrid>
      <w:tr>
        <w:trPr>
          <w:trHeight w:val="2167" w:hRule="atLeast"/>
        </w:trPr>
        <w:tc>
          <w:tcPr>
            <w:tcW w:w="2480" w:type="dxa"/>
          </w:tcPr>
          <w:p>
            <w:pPr>
              <w:pStyle w:val="TableParagraph"/>
              <w:rPr>
                <w:rFonts w:ascii="Times New Roman"/>
                <w:sz w:val="36"/>
              </w:rPr>
            </w:pPr>
          </w:p>
        </w:tc>
        <w:tc>
          <w:tcPr>
            <w:tcW w:w="4112" w:type="dxa"/>
          </w:tcPr>
          <w:p>
            <w:pPr>
              <w:pStyle w:val="TableParagraph"/>
              <w:spacing w:line="276" w:lineRule="auto"/>
              <w:ind w:left="71" w:right="73"/>
              <w:jc w:val="both"/>
              <w:rPr>
                <w:sz w:val="38"/>
              </w:rPr>
            </w:pPr>
            <w:r>
              <w:rPr>
                <w:sz w:val="38"/>
              </w:rPr>
              <w:t>even occur due to the pen- etration of the blood-brain barrier and optimisation of calcium conversion.</w:t>
            </w:r>
          </w:p>
        </w:tc>
      </w:tr>
      <w:tr>
        <w:trPr>
          <w:trHeight w:val="2407" w:hRule="atLeast"/>
        </w:trPr>
        <w:tc>
          <w:tcPr>
            <w:tcW w:w="2480" w:type="dxa"/>
          </w:tcPr>
          <w:p>
            <w:pPr>
              <w:pStyle w:val="TableParagraph"/>
              <w:spacing w:before="234"/>
              <w:ind w:left="71"/>
              <w:rPr>
                <w:sz w:val="38"/>
              </w:rPr>
            </w:pPr>
            <w:r>
              <w:rPr>
                <w:sz w:val="38"/>
              </w:rPr>
              <w:t>Hepatitis</w:t>
            </w:r>
          </w:p>
        </w:tc>
        <w:tc>
          <w:tcPr>
            <w:tcW w:w="4112" w:type="dxa"/>
          </w:tcPr>
          <w:p>
            <w:pPr>
              <w:pStyle w:val="TableParagraph"/>
              <w:spacing w:line="276" w:lineRule="auto" w:before="231"/>
              <w:ind w:left="71" w:right="160"/>
              <w:rPr>
                <w:sz w:val="38"/>
              </w:rPr>
            </w:pPr>
            <w:r>
              <w:rPr>
                <w:sz w:val="38"/>
              </w:rPr>
              <w:t>OPC is able to prevent hepatitis and positively in- fluence an existing condi- tion.</w:t>
            </w:r>
          </w:p>
        </w:tc>
      </w:tr>
      <w:tr>
        <w:trPr>
          <w:trHeight w:val="6833" w:hRule="atLeast"/>
        </w:trPr>
        <w:tc>
          <w:tcPr>
            <w:tcW w:w="2480" w:type="dxa"/>
          </w:tcPr>
          <w:p>
            <w:pPr>
              <w:pStyle w:val="TableParagraph"/>
              <w:spacing w:line="278" w:lineRule="auto" w:before="231"/>
              <w:ind w:left="71" w:right="499"/>
              <w:rPr>
                <w:sz w:val="38"/>
              </w:rPr>
            </w:pPr>
            <w:r>
              <w:rPr>
                <w:sz w:val="38"/>
              </w:rPr>
              <w:t>Lack of con- centration/</w:t>
            </w:r>
          </w:p>
          <w:p>
            <w:pPr>
              <w:pStyle w:val="TableParagraph"/>
              <w:spacing w:before="232"/>
              <w:ind w:left="71"/>
              <w:rPr>
                <w:sz w:val="38"/>
              </w:rPr>
            </w:pPr>
            <w:r>
              <w:rPr>
                <w:sz w:val="38"/>
              </w:rPr>
              <w:t>Intelligence</w:t>
            </w:r>
          </w:p>
        </w:tc>
        <w:tc>
          <w:tcPr>
            <w:tcW w:w="4112" w:type="dxa"/>
          </w:tcPr>
          <w:p>
            <w:pPr>
              <w:pStyle w:val="TableParagraph"/>
              <w:spacing w:line="276" w:lineRule="auto" w:before="231"/>
              <w:ind w:left="71" w:right="60"/>
              <w:rPr>
                <w:sz w:val="38"/>
              </w:rPr>
            </w:pPr>
            <w:r>
              <w:rPr>
                <w:sz w:val="38"/>
              </w:rPr>
              <w:t>By penetrating the blood- brain barrier, initiating an- tioxidative processes and the resulting improvement in blood flow in the brain, it boosts concentration and intelligence. Hyperac- tivity (especially in chil- dren) is prevented, as are learning difficulties, lack</w:t>
            </w:r>
            <w:r>
              <w:rPr>
                <w:spacing w:val="-5"/>
                <w:sz w:val="38"/>
              </w:rPr>
              <w:t> </w:t>
            </w:r>
            <w:r>
              <w:rPr>
                <w:sz w:val="38"/>
              </w:rPr>
              <w:t>of concentration and decreas- ing responsiveness in old age.</w:t>
            </w:r>
          </w:p>
        </w:tc>
      </w:tr>
    </w:tbl>
    <w:p>
      <w:pPr>
        <w:spacing w:after="0" w:line="276" w:lineRule="auto"/>
        <w:rPr>
          <w:sz w:val="38"/>
        </w:rPr>
        <w:sectPr>
          <w:pgSz w:w="14270" w:h="16850"/>
          <w:pgMar w:header="0" w:footer="404" w:top="1420" w:bottom="600" w:left="800" w:right="1280"/>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0"/>
        <w:gridCol w:w="4112"/>
      </w:tblGrid>
      <w:tr>
        <w:trPr>
          <w:trHeight w:val="1915" w:hRule="atLeast"/>
        </w:trPr>
        <w:tc>
          <w:tcPr>
            <w:tcW w:w="2480" w:type="dxa"/>
          </w:tcPr>
          <w:p>
            <w:pPr>
              <w:pStyle w:val="TableParagraph"/>
              <w:spacing w:before="236"/>
              <w:ind w:left="71"/>
              <w:rPr>
                <w:sz w:val="38"/>
              </w:rPr>
            </w:pPr>
            <w:r>
              <w:rPr>
                <w:sz w:val="38"/>
              </w:rPr>
              <w:t>Impotence</w:t>
            </w:r>
          </w:p>
        </w:tc>
        <w:tc>
          <w:tcPr>
            <w:tcW w:w="4112" w:type="dxa"/>
          </w:tcPr>
          <w:p>
            <w:pPr>
              <w:pStyle w:val="TableParagraph"/>
              <w:spacing w:line="276" w:lineRule="auto" w:before="234"/>
              <w:ind w:left="71" w:right="492"/>
              <w:rPr>
                <w:sz w:val="38"/>
              </w:rPr>
            </w:pPr>
            <w:r>
              <w:rPr>
                <w:sz w:val="38"/>
              </w:rPr>
              <w:t>Increased blood flow to the genitals can reliably prevent impotence.</w:t>
            </w:r>
          </w:p>
        </w:tc>
      </w:tr>
      <w:tr>
        <w:trPr>
          <w:trHeight w:val="2899" w:hRule="atLeast"/>
        </w:trPr>
        <w:tc>
          <w:tcPr>
            <w:tcW w:w="2480" w:type="dxa"/>
          </w:tcPr>
          <w:p>
            <w:pPr>
              <w:pStyle w:val="TableParagraph"/>
              <w:spacing w:line="276" w:lineRule="auto" w:before="234"/>
              <w:ind w:left="71" w:right="174"/>
              <w:rPr>
                <w:sz w:val="38"/>
              </w:rPr>
            </w:pPr>
            <w:r>
              <w:rPr>
                <w:sz w:val="38"/>
              </w:rPr>
              <w:t>Distance travel complaints</w:t>
            </w:r>
          </w:p>
        </w:tc>
        <w:tc>
          <w:tcPr>
            <w:tcW w:w="4112" w:type="dxa"/>
          </w:tcPr>
          <w:p>
            <w:pPr>
              <w:pStyle w:val="TableParagraph"/>
              <w:spacing w:line="276" w:lineRule="auto" w:before="234"/>
              <w:ind w:left="71" w:right="238"/>
              <w:rPr>
                <w:sz w:val="38"/>
              </w:rPr>
            </w:pPr>
            <w:r>
              <w:rPr>
                <w:sz w:val="38"/>
              </w:rPr>
              <w:t>The typical problems of long-haul travel such as economy class syndrome, jet lag and swollen ankles, are prevented or relieved.</w:t>
            </w:r>
          </w:p>
        </w:tc>
      </w:tr>
      <w:tr>
        <w:trPr>
          <w:trHeight w:val="2407" w:hRule="atLeast"/>
        </w:trPr>
        <w:tc>
          <w:tcPr>
            <w:tcW w:w="2480" w:type="dxa"/>
          </w:tcPr>
          <w:p>
            <w:pPr>
              <w:pStyle w:val="TableParagraph"/>
              <w:spacing w:before="234"/>
              <w:ind w:left="71"/>
              <w:rPr>
                <w:sz w:val="38"/>
              </w:rPr>
            </w:pPr>
            <w:r>
              <w:rPr>
                <w:sz w:val="38"/>
              </w:rPr>
              <w:t>Fever</w:t>
            </w:r>
          </w:p>
        </w:tc>
        <w:tc>
          <w:tcPr>
            <w:tcW w:w="4112" w:type="dxa"/>
          </w:tcPr>
          <w:p>
            <w:pPr>
              <w:pStyle w:val="TableParagraph"/>
              <w:spacing w:line="276" w:lineRule="auto" w:before="231"/>
              <w:ind w:left="71" w:right="433"/>
              <w:rPr>
                <w:sz w:val="38"/>
              </w:rPr>
            </w:pPr>
            <w:r>
              <w:rPr>
                <w:sz w:val="38"/>
              </w:rPr>
              <w:t>Fever is a reaction to in- flammatory processes.</w:t>
            </w:r>
          </w:p>
          <w:p>
            <w:pPr>
              <w:pStyle w:val="TableParagraph"/>
              <w:spacing w:line="278" w:lineRule="auto" w:before="1"/>
              <w:ind w:left="71" w:right="108"/>
              <w:rPr>
                <w:sz w:val="38"/>
              </w:rPr>
            </w:pPr>
            <w:r>
              <w:rPr>
                <w:sz w:val="38"/>
              </w:rPr>
              <w:t>OPC successfully combats this.</w:t>
            </w:r>
          </w:p>
        </w:tc>
      </w:tr>
      <w:tr>
        <w:trPr>
          <w:trHeight w:val="2406" w:hRule="atLeast"/>
        </w:trPr>
        <w:tc>
          <w:tcPr>
            <w:tcW w:w="2480" w:type="dxa"/>
          </w:tcPr>
          <w:p>
            <w:pPr>
              <w:pStyle w:val="TableParagraph"/>
              <w:spacing w:before="234"/>
              <w:ind w:left="71"/>
              <w:rPr>
                <w:sz w:val="38"/>
              </w:rPr>
            </w:pPr>
            <w:r>
              <w:rPr>
                <w:sz w:val="38"/>
              </w:rPr>
              <w:t>Oedemas</w:t>
            </w:r>
          </w:p>
        </w:tc>
        <w:tc>
          <w:tcPr>
            <w:tcW w:w="4112" w:type="dxa"/>
          </w:tcPr>
          <w:p>
            <w:pPr>
              <w:pStyle w:val="TableParagraph"/>
              <w:spacing w:line="276" w:lineRule="auto" w:before="231"/>
              <w:ind w:left="71" w:right="287"/>
              <w:rPr>
                <w:sz w:val="38"/>
              </w:rPr>
            </w:pPr>
            <w:r>
              <w:rPr>
                <w:sz w:val="38"/>
              </w:rPr>
              <w:t>Venous oedemas and lymphedemas are effec- tively prevented or allevi- ated.</w:t>
            </w:r>
          </w:p>
        </w:tc>
      </w:tr>
      <w:tr>
        <w:trPr>
          <w:trHeight w:val="1716" w:hRule="atLeast"/>
        </w:trPr>
        <w:tc>
          <w:tcPr>
            <w:tcW w:w="2480" w:type="dxa"/>
          </w:tcPr>
          <w:p>
            <w:pPr>
              <w:pStyle w:val="TableParagraph"/>
              <w:spacing w:before="234"/>
              <w:ind w:left="71"/>
              <w:rPr>
                <w:sz w:val="38"/>
              </w:rPr>
            </w:pPr>
            <w:r>
              <w:rPr>
                <w:sz w:val="38"/>
              </w:rPr>
              <w:t>Smoker’s leg</w:t>
            </w:r>
          </w:p>
        </w:tc>
        <w:tc>
          <w:tcPr>
            <w:tcW w:w="4112" w:type="dxa"/>
          </w:tcPr>
          <w:p>
            <w:pPr>
              <w:pStyle w:val="TableParagraph"/>
              <w:spacing w:before="231"/>
              <w:ind w:left="71"/>
              <w:rPr>
                <w:sz w:val="38"/>
              </w:rPr>
            </w:pPr>
            <w:r>
              <w:rPr>
                <w:sz w:val="38"/>
              </w:rPr>
              <w:t>As a reliable antioxidant,</w:t>
            </w:r>
          </w:p>
          <w:p>
            <w:pPr>
              <w:pStyle w:val="TableParagraph"/>
              <w:spacing w:line="490" w:lineRule="atLeast" w:before="3"/>
              <w:ind w:left="71" w:right="369"/>
              <w:rPr>
                <w:sz w:val="38"/>
              </w:rPr>
            </w:pPr>
            <w:r>
              <w:rPr>
                <w:sz w:val="38"/>
              </w:rPr>
              <w:t>vitamin P/OPC protects blood vessels, improves</w:t>
            </w:r>
          </w:p>
        </w:tc>
      </w:tr>
    </w:tbl>
    <w:p>
      <w:pPr>
        <w:spacing w:after="0" w:line="490" w:lineRule="atLeast"/>
        <w:rPr>
          <w:sz w:val="38"/>
        </w:rPr>
        <w:sectPr>
          <w:pgSz w:w="14270" w:h="16850"/>
          <w:pgMar w:header="0" w:footer="404" w:top="1420" w:bottom="600" w:left="800" w:right="1280"/>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0"/>
        <w:gridCol w:w="4112"/>
      </w:tblGrid>
      <w:tr>
        <w:trPr>
          <w:trHeight w:val="1185" w:hRule="atLeast"/>
        </w:trPr>
        <w:tc>
          <w:tcPr>
            <w:tcW w:w="2480" w:type="dxa"/>
          </w:tcPr>
          <w:p>
            <w:pPr>
              <w:pStyle w:val="TableParagraph"/>
              <w:rPr>
                <w:rFonts w:ascii="Times New Roman"/>
                <w:sz w:val="36"/>
              </w:rPr>
            </w:pPr>
          </w:p>
        </w:tc>
        <w:tc>
          <w:tcPr>
            <w:tcW w:w="4112" w:type="dxa"/>
          </w:tcPr>
          <w:p>
            <w:pPr>
              <w:pStyle w:val="TableParagraph"/>
              <w:spacing w:line="276" w:lineRule="auto"/>
              <w:ind w:left="71" w:right="188"/>
              <w:rPr>
                <w:sz w:val="38"/>
              </w:rPr>
            </w:pPr>
            <w:r>
              <w:rPr>
                <w:sz w:val="38"/>
              </w:rPr>
              <w:t>blood circulation and pre- vents smoker's leg.</w:t>
            </w:r>
          </w:p>
        </w:tc>
      </w:tr>
      <w:tr>
        <w:trPr>
          <w:trHeight w:val="2404" w:hRule="atLeast"/>
        </w:trPr>
        <w:tc>
          <w:tcPr>
            <w:tcW w:w="2480" w:type="dxa"/>
          </w:tcPr>
          <w:p>
            <w:pPr>
              <w:pStyle w:val="TableParagraph"/>
              <w:spacing w:before="234"/>
              <w:ind w:left="71"/>
              <w:rPr>
                <w:sz w:val="38"/>
              </w:rPr>
            </w:pPr>
            <w:r>
              <w:rPr>
                <w:sz w:val="38"/>
              </w:rPr>
              <w:t>Kidney disease</w:t>
            </w:r>
          </w:p>
        </w:tc>
        <w:tc>
          <w:tcPr>
            <w:tcW w:w="4112" w:type="dxa"/>
          </w:tcPr>
          <w:p>
            <w:pPr>
              <w:pStyle w:val="TableParagraph"/>
              <w:spacing w:line="276" w:lineRule="auto" w:before="231"/>
              <w:ind w:left="71" w:right="81"/>
              <w:rPr>
                <w:sz w:val="38"/>
              </w:rPr>
            </w:pPr>
            <w:r>
              <w:rPr>
                <w:sz w:val="38"/>
              </w:rPr>
              <w:t>Increased filter function as well as proteinuria due to the strengthening of capil- lary resistance.</w:t>
            </w:r>
          </w:p>
        </w:tc>
      </w:tr>
      <w:tr>
        <w:trPr>
          <w:trHeight w:val="2407" w:hRule="atLeast"/>
        </w:trPr>
        <w:tc>
          <w:tcPr>
            <w:tcW w:w="2480" w:type="dxa"/>
          </w:tcPr>
          <w:p>
            <w:pPr>
              <w:pStyle w:val="TableParagraph"/>
              <w:spacing w:before="237"/>
              <w:ind w:left="71"/>
              <w:rPr>
                <w:sz w:val="38"/>
              </w:rPr>
            </w:pPr>
            <w:r>
              <w:rPr>
                <w:sz w:val="38"/>
              </w:rPr>
              <w:t>Migraine</w:t>
            </w:r>
          </w:p>
        </w:tc>
        <w:tc>
          <w:tcPr>
            <w:tcW w:w="4112" w:type="dxa"/>
          </w:tcPr>
          <w:p>
            <w:pPr>
              <w:pStyle w:val="TableParagraph"/>
              <w:spacing w:line="276" w:lineRule="auto" w:before="234"/>
              <w:ind w:left="71" w:right="412"/>
              <w:jc w:val="both"/>
              <w:rPr>
                <w:sz w:val="38"/>
              </w:rPr>
            </w:pPr>
            <w:r>
              <w:rPr>
                <w:sz w:val="38"/>
              </w:rPr>
              <w:t>Migraines are prevented by antioxidant processes and better blood circula- tion in the brain.</w:t>
            </w:r>
          </w:p>
        </w:tc>
      </w:tr>
      <w:tr>
        <w:trPr>
          <w:trHeight w:val="5357" w:hRule="atLeast"/>
        </w:trPr>
        <w:tc>
          <w:tcPr>
            <w:tcW w:w="2480" w:type="dxa"/>
          </w:tcPr>
          <w:p>
            <w:pPr>
              <w:pStyle w:val="TableParagraph"/>
              <w:spacing w:line="276" w:lineRule="auto" w:before="234"/>
              <w:ind w:left="71" w:right="198"/>
              <w:rPr>
                <w:sz w:val="38"/>
              </w:rPr>
            </w:pPr>
            <w:r>
              <w:rPr>
                <w:sz w:val="38"/>
              </w:rPr>
              <w:t>All diseases which end in '- itis' (neuroder- matitis, gastri- tis, meningitis, bronchitis, ar- thritis, rhinitis etc.)</w:t>
            </w:r>
          </w:p>
        </w:tc>
        <w:tc>
          <w:tcPr>
            <w:tcW w:w="4112" w:type="dxa"/>
          </w:tcPr>
          <w:p>
            <w:pPr>
              <w:pStyle w:val="TableParagraph"/>
              <w:spacing w:line="276" w:lineRule="auto" w:before="234"/>
              <w:ind w:left="71" w:right="128"/>
              <w:rPr>
                <w:sz w:val="38"/>
              </w:rPr>
            </w:pPr>
            <w:r>
              <w:rPr>
                <w:sz w:val="38"/>
              </w:rPr>
              <w:t>Because OPC is the most efficient free radical catcher (antioxidant) and also protects articular car- tilage through collagen synthesis, it successfully prevents inflammatory processes and protects the cartilage. Furthermore, pain is prevented.</w:t>
            </w:r>
          </w:p>
        </w:tc>
      </w:tr>
    </w:tbl>
    <w:p>
      <w:pPr>
        <w:spacing w:after="0" w:line="276" w:lineRule="auto"/>
        <w:rPr>
          <w:sz w:val="38"/>
        </w:rPr>
        <w:sectPr>
          <w:pgSz w:w="14270" w:h="16850"/>
          <w:pgMar w:header="0" w:footer="404" w:top="1420" w:bottom="600" w:left="800" w:right="1280"/>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0"/>
        <w:gridCol w:w="4112"/>
      </w:tblGrid>
      <w:tr>
        <w:trPr>
          <w:trHeight w:val="2407" w:hRule="atLeast"/>
        </w:trPr>
        <w:tc>
          <w:tcPr>
            <w:tcW w:w="2480" w:type="dxa"/>
          </w:tcPr>
          <w:p>
            <w:pPr>
              <w:pStyle w:val="TableParagraph"/>
              <w:spacing w:line="276" w:lineRule="auto" w:before="234"/>
              <w:ind w:left="71" w:right="285"/>
              <w:rPr>
                <w:sz w:val="38"/>
              </w:rPr>
            </w:pPr>
            <w:r>
              <w:rPr>
                <w:sz w:val="38"/>
              </w:rPr>
              <w:t>Side effects of alcoholism</w:t>
            </w:r>
          </w:p>
        </w:tc>
        <w:tc>
          <w:tcPr>
            <w:tcW w:w="4112" w:type="dxa"/>
          </w:tcPr>
          <w:p>
            <w:pPr>
              <w:pStyle w:val="TableParagraph"/>
              <w:spacing w:line="276" w:lineRule="auto" w:before="234"/>
              <w:ind w:left="71" w:right="334"/>
              <w:rPr>
                <w:sz w:val="38"/>
              </w:rPr>
            </w:pPr>
            <w:r>
              <w:rPr>
                <w:sz w:val="38"/>
              </w:rPr>
              <w:t>Liver detoxification is stimulated, liver cirrhosis prevented, anti-rebound effect.</w:t>
            </w:r>
          </w:p>
        </w:tc>
      </w:tr>
      <w:tr>
        <w:trPr>
          <w:trHeight w:val="5849" w:hRule="atLeast"/>
        </w:trPr>
        <w:tc>
          <w:tcPr>
            <w:tcW w:w="2480" w:type="dxa"/>
          </w:tcPr>
          <w:p>
            <w:pPr>
              <w:pStyle w:val="TableParagraph"/>
              <w:spacing w:line="278" w:lineRule="auto" w:before="231"/>
              <w:ind w:left="71"/>
              <w:rPr>
                <w:sz w:val="38"/>
              </w:rPr>
            </w:pPr>
            <w:r>
              <w:rPr>
                <w:w w:val="95"/>
                <w:sz w:val="38"/>
              </w:rPr>
              <w:t>Arthritis/oste- </w:t>
            </w:r>
            <w:r>
              <w:rPr>
                <w:sz w:val="38"/>
              </w:rPr>
              <w:t>oarthritis</w:t>
            </w:r>
          </w:p>
        </w:tc>
        <w:tc>
          <w:tcPr>
            <w:tcW w:w="4112" w:type="dxa"/>
          </w:tcPr>
          <w:p>
            <w:pPr>
              <w:pStyle w:val="TableParagraph"/>
              <w:spacing w:line="276" w:lineRule="auto" w:before="231"/>
              <w:ind w:left="71" w:right="108"/>
              <w:rPr>
                <w:sz w:val="38"/>
              </w:rPr>
            </w:pPr>
            <w:r>
              <w:rPr>
                <w:sz w:val="38"/>
              </w:rPr>
              <w:t>Because OPC is the most efficient free radical catcher (antioxidant) and also protects articular car- tilage through collagen synthesis, it successfully prevents inflammatory processes and protects the cartilage from arthritis and arthrosis. Furthermore, pain is prevented.</w:t>
            </w:r>
          </w:p>
        </w:tc>
      </w:tr>
      <w:tr>
        <w:trPr>
          <w:trHeight w:val="3681" w:hRule="atLeast"/>
        </w:trPr>
        <w:tc>
          <w:tcPr>
            <w:tcW w:w="2480" w:type="dxa"/>
          </w:tcPr>
          <w:p>
            <w:pPr>
              <w:pStyle w:val="TableParagraph"/>
              <w:spacing w:before="234"/>
              <w:ind w:left="71"/>
              <w:rPr>
                <w:sz w:val="38"/>
              </w:rPr>
            </w:pPr>
            <w:r>
              <w:rPr>
                <w:sz w:val="38"/>
              </w:rPr>
              <w:t>Gout</w:t>
            </w:r>
          </w:p>
        </w:tc>
        <w:tc>
          <w:tcPr>
            <w:tcW w:w="4112" w:type="dxa"/>
          </w:tcPr>
          <w:p>
            <w:pPr>
              <w:pStyle w:val="TableParagraph"/>
              <w:spacing w:line="276" w:lineRule="auto" w:before="231"/>
              <w:ind w:left="71" w:right="69"/>
              <w:rPr>
                <w:sz w:val="38"/>
              </w:rPr>
            </w:pPr>
            <w:r>
              <w:rPr>
                <w:sz w:val="38"/>
              </w:rPr>
              <w:t>Because vitamin P is the most efficient free radical catcher (antioxidant) and also protects articular car- tilage through collagen synthesis, it successfully</w:t>
            </w:r>
          </w:p>
          <w:p>
            <w:pPr>
              <w:pStyle w:val="TableParagraph"/>
              <w:spacing w:before="1"/>
              <w:ind w:left="71"/>
              <w:rPr>
                <w:sz w:val="38"/>
              </w:rPr>
            </w:pPr>
            <w:r>
              <w:rPr>
                <w:sz w:val="38"/>
              </w:rPr>
              <w:t>prevents inflammatory</w:t>
            </w:r>
          </w:p>
        </w:tc>
      </w:tr>
    </w:tbl>
    <w:p>
      <w:pPr>
        <w:spacing w:after="0"/>
        <w:rPr>
          <w:sz w:val="38"/>
        </w:rPr>
        <w:sectPr>
          <w:pgSz w:w="14270" w:h="16850"/>
          <w:pgMar w:header="0" w:footer="404" w:top="1420" w:bottom="600" w:left="800" w:right="1280"/>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0"/>
        <w:gridCol w:w="4112"/>
      </w:tblGrid>
      <w:tr>
        <w:trPr>
          <w:trHeight w:val="2167" w:hRule="atLeast"/>
        </w:trPr>
        <w:tc>
          <w:tcPr>
            <w:tcW w:w="2480" w:type="dxa"/>
          </w:tcPr>
          <w:p>
            <w:pPr>
              <w:pStyle w:val="TableParagraph"/>
              <w:rPr>
                <w:rFonts w:ascii="Times New Roman"/>
                <w:sz w:val="36"/>
              </w:rPr>
            </w:pPr>
          </w:p>
        </w:tc>
        <w:tc>
          <w:tcPr>
            <w:tcW w:w="4112" w:type="dxa"/>
          </w:tcPr>
          <w:p>
            <w:pPr>
              <w:pStyle w:val="TableParagraph"/>
              <w:spacing w:line="276" w:lineRule="auto"/>
              <w:ind w:left="71" w:right="108"/>
              <w:rPr>
                <w:sz w:val="38"/>
              </w:rPr>
            </w:pPr>
            <w:r>
              <w:rPr>
                <w:sz w:val="38"/>
              </w:rPr>
              <w:t>processes and protects the cartilage from arthritis and arthrosis. Furthermore, pain is prevented.</w:t>
            </w:r>
          </w:p>
        </w:tc>
      </w:tr>
      <w:tr>
        <w:trPr>
          <w:trHeight w:val="3391" w:hRule="atLeast"/>
        </w:trPr>
        <w:tc>
          <w:tcPr>
            <w:tcW w:w="2480" w:type="dxa"/>
          </w:tcPr>
          <w:p>
            <w:pPr>
              <w:pStyle w:val="TableParagraph"/>
              <w:spacing w:line="278" w:lineRule="auto" w:before="231"/>
              <w:ind w:left="71"/>
              <w:rPr>
                <w:sz w:val="38"/>
              </w:rPr>
            </w:pPr>
            <w:r>
              <w:rPr>
                <w:w w:val="95"/>
                <w:sz w:val="38"/>
              </w:rPr>
              <w:t>Gynaecological </w:t>
            </w:r>
            <w:r>
              <w:rPr>
                <w:sz w:val="38"/>
              </w:rPr>
              <w:t>problems</w:t>
            </w:r>
          </w:p>
        </w:tc>
        <w:tc>
          <w:tcPr>
            <w:tcW w:w="4112" w:type="dxa"/>
          </w:tcPr>
          <w:p>
            <w:pPr>
              <w:pStyle w:val="TableParagraph"/>
              <w:spacing w:line="276" w:lineRule="auto" w:before="231"/>
              <w:ind w:left="71" w:right="231"/>
              <w:rPr>
                <w:sz w:val="38"/>
              </w:rPr>
            </w:pPr>
            <w:r>
              <w:rPr>
                <w:sz w:val="38"/>
              </w:rPr>
              <w:t>OPC/vitamin P prevents or relieves menstrual problems, prevents PMS (premenstrual syndrome), controls the duration and regularity of periods</w:t>
            </w:r>
          </w:p>
        </w:tc>
      </w:tr>
      <w:tr>
        <w:trPr>
          <w:trHeight w:val="3127" w:hRule="atLeast"/>
        </w:trPr>
        <w:tc>
          <w:tcPr>
            <w:tcW w:w="2480" w:type="dxa"/>
          </w:tcPr>
          <w:p>
            <w:pPr>
              <w:pStyle w:val="TableParagraph"/>
              <w:spacing w:before="234"/>
              <w:ind w:left="71"/>
              <w:rPr>
                <w:sz w:val="38"/>
              </w:rPr>
            </w:pPr>
            <w:r>
              <w:rPr>
                <w:sz w:val="38"/>
              </w:rPr>
              <w:t>Infertility</w:t>
            </w:r>
          </w:p>
        </w:tc>
        <w:tc>
          <w:tcPr>
            <w:tcW w:w="4112" w:type="dxa"/>
          </w:tcPr>
          <w:p>
            <w:pPr>
              <w:pStyle w:val="TableParagraph"/>
              <w:spacing w:line="276" w:lineRule="auto" w:before="231"/>
              <w:ind w:left="71" w:right="100"/>
              <w:rPr>
                <w:sz w:val="38"/>
              </w:rPr>
            </w:pPr>
            <w:r>
              <w:rPr>
                <w:sz w:val="38"/>
              </w:rPr>
              <w:t>The mitochondria of the spermatozoa are protected against antioxidation by vitamin P, which signifi- cantly increases fertility.</w:t>
            </w:r>
          </w:p>
        </w:tc>
      </w:tr>
      <w:tr>
        <w:trPr>
          <w:trHeight w:val="1914" w:hRule="atLeast"/>
        </w:trPr>
        <w:tc>
          <w:tcPr>
            <w:tcW w:w="2480" w:type="dxa"/>
          </w:tcPr>
          <w:p>
            <w:pPr>
              <w:pStyle w:val="TableParagraph"/>
              <w:spacing w:before="234"/>
              <w:ind w:left="71"/>
              <w:rPr>
                <w:sz w:val="38"/>
              </w:rPr>
            </w:pPr>
            <w:r>
              <w:rPr>
                <w:sz w:val="38"/>
              </w:rPr>
              <w:t>Bleeding gums</w:t>
            </w:r>
          </w:p>
        </w:tc>
        <w:tc>
          <w:tcPr>
            <w:tcW w:w="4112" w:type="dxa"/>
          </w:tcPr>
          <w:p>
            <w:pPr>
              <w:pStyle w:val="TableParagraph"/>
              <w:spacing w:line="276" w:lineRule="auto" w:before="231"/>
              <w:ind w:left="71" w:right="401"/>
              <w:rPr>
                <w:sz w:val="38"/>
              </w:rPr>
            </w:pPr>
            <w:r>
              <w:rPr>
                <w:sz w:val="38"/>
              </w:rPr>
              <w:t>The active collagen and elastin build-up keep the gums firm and elastic.</w:t>
            </w:r>
          </w:p>
        </w:tc>
      </w:tr>
      <w:tr>
        <w:trPr>
          <w:trHeight w:val="1224" w:hRule="atLeast"/>
        </w:trPr>
        <w:tc>
          <w:tcPr>
            <w:tcW w:w="2480" w:type="dxa"/>
          </w:tcPr>
          <w:p>
            <w:pPr>
              <w:pStyle w:val="TableParagraph"/>
              <w:spacing w:line="490" w:lineRule="atLeast" w:before="169"/>
              <w:ind w:left="71" w:right="423"/>
              <w:rPr>
                <w:sz w:val="38"/>
              </w:rPr>
            </w:pPr>
            <w:r>
              <w:rPr>
                <w:sz w:val="38"/>
              </w:rPr>
              <w:t>Loose </w:t>
            </w:r>
            <w:r>
              <w:rPr>
                <w:w w:val="95"/>
                <w:sz w:val="38"/>
              </w:rPr>
              <w:t>teeth/tooth</w:t>
            </w:r>
          </w:p>
        </w:tc>
        <w:tc>
          <w:tcPr>
            <w:tcW w:w="4112" w:type="dxa"/>
          </w:tcPr>
          <w:p>
            <w:pPr>
              <w:pStyle w:val="TableParagraph"/>
              <w:spacing w:before="232"/>
              <w:ind w:left="71"/>
              <w:rPr>
                <w:sz w:val="38"/>
              </w:rPr>
            </w:pPr>
            <w:r>
              <w:rPr>
                <w:sz w:val="38"/>
              </w:rPr>
              <w:t>Gum tissue is strength-</w:t>
            </w:r>
          </w:p>
        </w:tc>
      </w:tr>
    </w:tbl>
    <w:p>
      <w:pPr>
        <w:spacing w:after="0"/>
        <w:rPr>
          <w:sz w:val="38"/>
        </w:rPr>
        <w:sectPr>
          <w:pgSz w:w="14270" w:h="16850"/>
          <w:pgMar w:header="0" w:footer="404" w:top="1420" w:bottom="600" w:left="800" w:right="1280"/>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0"/>
        <w:gridCol w:w="4112"/>
      </w:tblGrid>
      <w:tr>
        <w:trPr>
          <w:trHeight w:val="1675" w:hRule="atLeast"/>
        </w:trPr>
        <w:tc>
          <w:tcPr>
            <w:tcW w:w="2480" w:type="dxa"/>
          </w:tcPr>
          <w:p>
            <w:pPr>
              <w:pStyle w:val="TableParagraph"/>
              <w:spacing w:line="424" w:lineRule="exact"/>
              <w:ind w:left="71"/>
              <w:rPr>
                <w:sz w:val="38"/>
              </w:rPr>
            </w:pPr>
            <w:r>
              <w:rPr>
                <w:sz w:val="38"/>
              </w:rPr>
              <w:t>loss</w:t>
            </w:r>
          </w:p>
        </w:tc>
        <w:tc>
          <w:tcPr>
            <w:tcW w:w="4112" w:type="dxa"/>
          </w:tcPr>
          <w:p>
            <w:pPr>
              <w:pStyle w:val="TableParagraph"/>
              <w:spacing w:line="276" w:lineRule="auto"/>
              <w:ind w:left="71" w:right="65"/>
              <w:rPr>
                <w:sz w:val="38"/>
              </w:rPr>
            </w:pPr>
            <w:r>
              <w:rPr>
                <w:sz w:val="38"/>
              </w:rPr>
              <w:t>ened by collagen and elas- tin development – teeth sit firm.</w:t>
            </w:r>
          </w:p>
        </w:tc>
      </w:tr>
      <w:tr>
        <w:trPr>
          <w:trHeight w:val="3883" w:hRule="atLeast"/>
        </w:trPr>
        <w:tc>
          <w:tcPr>
            <w:tcW w:w="2480" w:type="dxa"/>
          </w:tcPr>
          <w:p>
            <w:pPr>
              <w:pStyle w:val="TableParagraph"/>
              <w:spacing w:before="236"/>
              <w:ind w:left="71"/>
              <w:rPr>
                <w:sz w:val="38"/>
              </w:rPr>
            </w:pPr>
            <w:r>
              <w:rPr>
                <w:sz w:val="38"/>
              </w:rPr>
              <w:t>Periodontosis</w:t>
            </w:r>
          </w:p>
        </w:tc>
        <w:tc>
          <w:tcPr>
            <w:tcW w:w="4112" w:type="dxa"/>
          </w:tcPr>
          <w:p>
            <w:pPr>
              <w:pStyle w:val="TableParagraph"/>
              <w:spacing w:line="276" w:lineRule="auto" w:before="234"/>
              <w:ind w:left="71" w:right="45"/>
              <w:rPr>
                <w:sz w:val="38"/>
              </w:rPr>
            </w:pPr>
            <w:r>
              <w:rPr>
                <w:sz w:val="38"/>
              </w:rPr>
              <w:t>OPC and vitamin C deficit lead to the demise of ca- pillaries in gums, disturb- ing the blood supply. Gum tissue is strengthened by collagen and elastin devel- opment – teeth sit firm.</w:t>
            </w:r>
          </w:p>
        </w:tc>
      </w:tr>
      <w:tr>
        <w:trPr>
          <w:trHeight w:val="2899" w:hRule="atLeast"/>
        </w:trPr>
        <w:tc>
          <w:tcPr>
            <w:tcW w:w="2480" w:type="dxa"/>
          </w:tcPr>
          <w:p>
            <w:pPr>
              <w:pStyle w:val="TableParagraph"/>
              <w:spacing w:line="276" w:lineRule="auto" w:before="231"/>
              <w:ind w:left="71" w:right="340"/>
              <w:rPr>
                <w:sz w:val="38"/>
              </w:rPr>
            </w:pPr>
            <w:r>
              <w:rPr>
                <w:sz w:val="38"/>
              </w:rPr>
              <w:t>Lung and res- piratory dis- eases</w:t>
            </w:r>
          </w:p>
        </w:tc>
        <w:tc>
          <w:tcPr>
            <w:tcW w:w="4112" w:type="dxa"/>
          </w:tcPr>
          <w:p>
            <w:pPr>
              <w:pStyle w:val="TableParagraph"/>
              <w:spacing w:line="276" w:lineRule="auto" w:before="231"/>
              <w:ind w:left="71" w:right="69"/>
              <w:rPr>
                <w:sz w:val="38"/>
              </w:rPr>
            </w:pPr>
            <w:r>
              <w:rPr>
                <w:sz w:val="38"/>
              </w:rPr>
              <w:t>The antioxidant effects of vitamin P (OPC) protect the lungs and influence lung function (especially in athletes)</w:t>
            </w:r>
          </w:p>
        </w:tc>
      </w:tr>
      <w:tr>
        <w:trPr>
          <w:trHeight w:val="2897" w:hRule="atLeast"/>
        </w:trPr>
        <w:tc>
          <w:tcPr>
            <w:tcW w:w="2480" w:type="dxa"/>
          </w:tcPr>
          <w:p>
            <w:pPr>
              <w:pStyle w:val="TableParagraph"/>
              <w:spacing w:before="234"/>
              <w:ind w:left="71"/>
              <w:rPr>
                <w:sz w:val="38"/>
              </w:rPr>
            </w:pPr>
            <w:r>
              <w:rPr>
                <w:sz w:val="38"/>
              </w:rPr>
              <w:t>Osteoporosis</w:t>
            </w:r>
          </w:p>
        </w:tc>
        <w:tc>
          <w:tcPr>
            <w:tcW w:w="4112" w:type="dxa"/>
          </w:tcPr>
          <w:p>
            <w:pPr>
              <w:pStyle w:val="TableParagraph"/>
              <w:spacing w:line="276" w:lineRule="auto" w:before="231"/>
              <w:ind w:left="71" w:right="148"/>
              <w:rPr>
                <w:sz w:val="38"/>
              </w:rPr>
            </w:pPr>
            <w:r>
              <w:rPr>
                <w:sz w:val="38"/>
              </w:rPr>
              <w:t>The formation of procol- lagen and collagen synthe- sis supports the bone ma- trix and can reliably coun- teract osteoporosis.</w:t>
            </w:r>
          </w:p>
        </w:tc>
      </w:tr>
    </w:tbl>
    <w:p>
      <w:pPr>
        <w:spacing w:after="0" w:line="276" w:lineRule="auto"/>
        <w:rPr>
          <w:sz w:val="38"/>
        </w:rPr>
        <w:sectPr>
          <w:pgSz w:w="14270" w:h="16850"/>
          <w:pgMar w:header="0" w:footer="404" w:top="1420" w:bottom="600" w:left="800" w:right="1280"/>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0"/>
        <w:gridCol w:w="4112"/>
      </w:tblGrid>
      <w:tr>
        <w:trPr>
          <w:trHeight w:val="3883" w:hRule="atLeast"/>
        </w:trPr>
        <w:tc>
          <w:tcPr>
            <w:tcW w:w="2480" w:type="dxa"/>
          </w:tcPr>
          <w:p>
            <w:pPr>
              <w:pStyle w:val="TableParagraph"/>
              <w:spacing w:before="236"/>
              <w:ind w:left="71"/>
              <w:rPr>
                <w:sz w:val="38"/>
              </w:rPr>
            </w:pPr>
            <w:r>
              <w:rPr>
                <w:sz w:val="38"/>
              </w:rPr>
              <w:t>Varicose veins</w:t>
            </w:r>
          </w:p>
        </w:tc>
        <w:tc>
          <w:tcPr>
            <w:tcW w:w="4112" w:type="dxa"/>
          </w:tcPr>
          <w:p>
            <w:pPr>
              <w:pStyle w:val="TableParagraph"/>
              <w:spacing w:line="276" w:lineRule="auto" w:before="234"/>
              <w:ind w:left="71" w:right="41"/>
              <w:rPr>
                <w:sz w:val="38"/>
              </w:rPr>
            </w:pPr>
            <w:r>
              <w:rPr>
                <w:sz w:val="38"/>
              </w:rPr>
              <w:t>Repair processes on vascu- lar walls, improved elastic- ity and the simultaneous reduction of deposits pre- vent the development of varicose veins and make existing ones disappear.</w:t>
            </w:r>
          </w:p>
        </w:tc>
      </w:tr>
      <w:tr>
        <w:trPr>
          <w:trHeight w:val="3880" w:hRule="atLeast"/>
        </w:trPr>
        <w:tc>
          <w:tcPr>
            <w:tcW w:w="2480" w:type="dxa"/>
          </w:tcPr>
          <w:p>
            <w:pPr>
              <w:pStyle w:val="TableParagraph"/>
              <w:spacing w:before="234"/>
              <w:ind w:left="71"/>
              <w:rPr>
                <w:sz w:val="38"/>
              </w:rPr>
            </w:pPr>
            <w:r>
              <w:rPr>
                <w:sz w:val="38"/>
              </w:rPr>
              <w:t>Spider veins</w:t>
            </w:r>
          </w:p>
        </w:tc>
        <w:tc>
          <w:tcPr>
            <w:tcW w:w="4112" w:type="dxa"/>
          </w:tcPr>
          <w:p>
            <w:pPr>
              <w:pStyle w:val="TableParagraph"/>
              <w:spacing w:line="276" w:lineRule="auto" w:before="231"/>
              <w:ind w:left="71" w:right="41"/>
              <w:rPr>
                <w:sz w:val="38"/>
              </w:rPr>
            </w:pPr>
            <w:r>
              <w:rPr>
                <w:sz w:val="38"/>
              </w:rPr>
              <w:t>Repair processes on vascu- lar walls, improved elastic- ity and the simultaneous reduction of deposits pre- vent the development of spider veins and make ex- isting ones disappear.</w:t>
            </w:r>
          </w:p>
        </w:tc>
      </w:tr>
      <w:tr>
        <w:trPr>
          <w:trHeight w:val="3192" w:hRule="atLeast"/>
        </w:trPr>
        <w:tc>
          <w:tcPr>
            <w:tcW w:w="2480" w:type="dxa"/>
          </w:tcPr>
          <w:p>
            <w:pPr>
              <w:pStyle w:val="TableParagraph"/>
              <w:spacing w:line="278" w:lineRule="auto" w:before="231"/>
              <w:ind w:left="71" w:right="538"/>
              <w:rPr>
                <w:sz w:val="38"/>
              </w:rPr>
            </w:pPr>
            <w:r>
              <w:rPr>
                <w:sz w:val="38"/>
              </w:rPr>
              <w:t>Poor wound healing</w:t>
            </w:r>
          </w:p>
        </w:tc>
        <w:tc>
          <w:tcPr>
            <w:tcW w:w="4112" w:type="dxa"/>
          </w:tcPr>
          <w:p>
            <w:pPr>
              <w:pStyle w:val="TableParagraph"/>
              <w:spacing w:line="276" w:lineRule="auto" w:before="231"/>
              <w:ind w:left="71" w:right="65"/>
              <w:rPr>
                <w:sz w:val="38"/>
              </w:rPr>
            </w:pPr>
            <w:r>
              <w:rPr>
                <w:sz w:val="38"/>
              </w:rPr>
              <w:t>As a co-factor in hydrox- ylation, OPC supports col- lagen synthesis and elastin synthesis; furthermore, OPC binds to proteins –</w:t>
            </w:r>
          </w:p>
          <w:p>
            <w:pPr>
              <w:pStyle w:val="TableParagraph"/>
              <w:spacing w:before="3"/>
              <w:ind w:left="71"/>
              <w:rPr>
                <w:sz w:val="38"/>
              </w:rPr>
            </w:pPr>
            <w:r>
              <w:rPr>
                <w:sz w:val="38"/>
              </w:rPr>
              <w:t>all of which accelerate</w:t>
            </w:r>
          </w:p>
        </w:tc>
      </w:tr>
    </w:tbl>
    <w:p>
      <w:pPr>
        <w:spacing w:after="0"/>
        <w:rPr>
          <w:sz w:val="38"/>
        </w:rPr>
        <w:sectPr>
          <w:pgSz w:w="14270" w:h="16850"/>
          <w:pgMar w:header="0" w:footer="404" w:top="1420" w:bottom="600" w:left="800" w:right="1280"/>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0"/>
        <w:gridCol w:w="4112"/>
      </w:tblGrid>
      <w:tr>
        <w:trPr>
          <w:trHeight w:val="1185" w:hRule="atLeast"/>
        </w:trPr>
        <w:tc>
          <w:tcPr>
            <w:tcW w:w="2480" w:type="dxa"/>
          </w:tcPr>
          <w:p>
            <w:pPr>
              <w:pStyle w:val="TableParagraph"/>
              <w:rPr>
                <w:rFonts w:ascii="Times New Roman"/>
                <w:sz w:val="36"/>
              </w:rPr>
            </w:pPr>
          </w:p>
        </w:tc>
        <w:tc>
          <w:tcPr>
            <w:tcW w:w="4112" w:type="dxa"/>
          </w:tcPr>
          <w:p>
            <w:pPr>
              <w:pStyle w:val="TableParagraph"/>
              <w:spacing w:line="276" w:lineRule="auto"/>
              <w:ind w:left="71" w:right="967"/>
              <w:rPr>
                <w:sz w:val="38"/>
              </w:rPr>
            </w:pPr>
            <w:r>
              <w:rPr>
                <w:sz w:val="38"/>
              </w:rPr>
              <w:t>wound healing enor- mously.</w:t>
            </w:r>
          </w:p>
        </w:tc>
      </w:tr>
      <w:tr>
        <w:trPr>
          <w:trHeight w:val="3880" w:hRule="atLeast"/>
        </w:trPr>
        <w:tc>
          <w:tcPr>
            <w:tcW w:w="2480" w:type="dxa"/>
          </w:tcPr>
          <w:p>
            <w:pPr>
              <w:pStyle w:val="TableParagraph"/>
              <w:spacing w:before="234"/>
              <w:ind w:left="71"/>
              <w:rPr>
                <w:sz w:val="38"/>
              </w:rPr>
            </w:pPr>
            <w:r>
              <w:rPr>
                <w:sz w:val="38"/>
              </w:rPr>
              <w:t>Muscle injuries</w:t>
            </w:r>
          </w:p>
        </w:tc>
        <w:tc>
          <w:tcPr>
            <w:tcW w:w="4112" w:type="dxa"/>
          </w:tcPr>
          <w:p>
            <w:pPr>
              <w:pStyle w:val="TableParagraph"/>
              <w:spacing w:line="276" w:lineRule="auto" w:before="231"/>
              <w:ind w:left="71" w:right="65"/>
              <w:rPr>
                <w:sz w:val="38"/>
              </w:rPr>
            </w:pPr>
            <w:r>
              <w:rPr>
                <w:sz w:val="38"/>
              </w:rPr>
              <w:t>As a co-factor in hydrox- ylation, OPC supports col- lagen synthesis and elastin synthesis, and OPC binds to proteins – all of which accelerate the healing of muscle strains and tears.</w:t>
            </w:r>
          </w:p>
        </w:tc>
      </w:tr>
      <w:tr>
        <w:trPr>
          <w:trHeight w:val="3880" w:hRule="atLeast"/>
        </w:trPr>
        <w:tc>
          <w:tcPr>
            <w:tcW w:w="2480" w:type="dxa"/>
          </w:tcPr>
          <w:p>
            <w:pPr>
              <w:pStyle w:val="TableParagraph"/>
              <w:spacing w:before="234"/>
              <w:ind w:left="71"/>
              <w:rPr>
                <w:sz w:val="38"/>
              </w:rPr>
            </w:pPr>
            <w:r>
              <w:rPr>
                <w:sz w:val="38"/>
              </w:rPr>
              <w:t>Bone fractures</w:t>
            </w:r>
          </w:p>
        </w:tc>
        <w:tc>
          <w:tcPr>
            <w:tcW w:w="4112" w:type="dxa"/>
          </w:tcPr>
          <w:p>
            <w:pPr>
              <w:pStyle w:val="TableParagraph"/>
              <w:spacing w:line="276" w:lineRule="auto" w:before="231"/>
              <w:ind w:left="71" w:right="65"/>
              <w:rPr>
                <w:sz w:val="38"/>
              </w:rPr>
            </w:pPr>
            <w:r>
              <w:rPr>
                <w:sz w:val="38"/>
              </w:rPr>
              <w:t>As a co-factor for hydrox- ylation, OPC supports col- lagen synthesis and elastin synthesis, and OPC binds to proteins, all of which accelerates the healing of bone fractures.</w:t>
            </w:r>
          </w:p>
        </w:tc>
      </w:tr>
      <w:tr>
        <w:trPr>
          <w:trHeight w:val="2407" w:hRule="atLeast"/>
        </w:trPr>
        <w:tc>
          <w:tcPr>
            <w:tcW w:w="2480" w:type="dxa"/>
          </w:tcPr>
          <w:p>
            <w:pPr>
              <w:pStyle w:val="TableParagraph"/>
              <w:spacing w:before="236"/>
              <w:ind w:left="71"/>
              <w:rPr>
                <w:sz w:val="38"/>
              </w:rPr>
            </w:pPr>
            <w:r>
              <w:rPr>
                <w:sz w:val="38"/>
              </w:rPr>
              <w:t>Pressure sores</w:t>
            </w:r>
          </w:p>
        </w:tc>
        <w:tc>
          <w:tcPr>
            <w:tcW w:w="4112" w:type="dxa"/>
          </w:tcPr>
          <w:p>
            <w:pPr>
              <w:pStyle w:val="TableParagraph"/>
              <w:spacing w:line="276" w:lineRule="auto" w:before="234"/>
              <w:ind w:left="71" w:right="247"/>
              <w:rPr>
                <w:sz w:val="38"/>
              </w:rPr>
            </w:pPr>
            <w:r>
              <w:rPr>
                <w:sz w:val="38"/>
              </w:rPr>
              <w:t>The increased collagen synthesis of the OPC can successfully prevent pres- sure sores and heal them.</w:t>
            </w:r>
          </w:p>
        </w:tc>
      </w:tr>
    </w:tbl>
    <w:p>
      <w:pPr>
        <w:spacing w:after="0" w:line="276" w:lineRule="auto"/>
        <w:rPr>
          <w:sz w:val="38"/>
        </w:rPr>
        <w:sectPr>
          <w:pgSz w:w="14270" w:h="16850"/>
          <w:pgMar w:header="0" w:footer="404" w:top="1420" w:bottom="600" w:left="800" w:right="1280"/>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0"/>
        <w:gridCol w:w="4112"/>
      </w:tblGrid>
      <w:tr>
        <w:trPr>
          <w:trHeight w:val="2407" w:hRule="atLeast"/>
        </w:trPr>
        <w:tc>
          <w:tcPr>
            <w:tcW w:w="2480" w:type="dxa"/>
          </w:tcPr>
          <w:p>
            <w:pPr>
              <w:pStyle w:val="TableParagraph"/>
              <w:spacing w:before="236"/>
              <w:ind w:left="71"/>
              <w:rPr>
                <w:sz w:val="38"/>
              </w:rPr>
            </w:pPr>
            <w:r>
              <w:rPr>
                <w:sz w:val="38"/>
              </w:rPr>
              <w:t>Haemorrhoids</w:t>
            </w:r>
          </w:p>
        </w:tc>
        <w:tc>
          <w:tcPr>
            <w:tcW w:w="4112" w:type="dxa"/>
          </w:tcPr>
          <w:p>
            <w:pPr>
              <w:pStyle w:val="TableParagraph"/>
              <w:spacing w:line="276" w:lineRule="auto" w:before="234"/>
              <w:ind w:left="71" w:right="120"/>
              <w:rPr>
                <w:sz w:val="38"/>
              </w:rPr>
            </w:pPr>
            <w:r>
              <w:rPr>
                <w:sz w:val="38"/>
              </w:rPr>
              <w:t>Improved elasticity and the prevention of deposits in the vascular system pre- vents haemorrhoids</w:t>
            </w:r>
          </w:p>
        </w:tc>
      </w:tr>
      <w:tr>
        <w:trPr>
          <w:trHeight w:val="9039" w:hRule="atLeast"/>
        </w:trPr>
        <w:tc>
          <w:tcPr>
            <w:tcW w:w="2480" w:type="dxa"/>
          </w:tcPr>
          <w:p>
            <w:pPr>
              <w:pStyle w:val="TableParagraph"/>
              <w:spacing w:line="276" w:lineRule="auto" w:before="231"/>
              <w:ind w:left="71" w:right="182"/>
              <w:rPr>
                <w:sz w:val="38"/>
              </w:rPr>
            </w:pPr>
            <w:r>
              <w:rPr>
                <w:sz w:val="38"/>
              </w:rPr>
              <w:t>High choles- terol and tri- glyceride levels</w:t>
            </w:r>
          </w:p>
        </w:tc>
        <w:tc>
          <w:tcPr>
            <w:tcW w:w="4112" w:type="dxa"/>
          </w:tcPr>
          <w:p>
            <w:pPr>
              <w:pStyle w:val="TableParagraph"/>
              <w:spacing w:line="276" w:lineRule="auto" w:before="231"/>
              <w:ind w:left="71" w:right="132"/>
              <w:rPr>
                <w:sz w:val="38"/>
              </w:rPr>
            </w:pPr>
            <w:r>
              <w:rPr>
                <w:sz w:val="38"/>
              </w:rPr>
              <w:t>OPC is involved as a co- factor in the formation of HDL cholesterol ('good cholesterol') and, as the most efficient antioxidant, protects against LDL cho- lesterol ('bad cholesterol')</w:t>
            </w:r>
          </w:p>
          <w:p>
            <w:pPr>
              <w:pStyle w:val="TableParagraph"/>
              <w:spacing w:line="276" w:lineRule="auto" w:before="243"/>
              <w:ind w:left="71" w:right="85"/>
              <w:rPr>
                <w:sz w:val="38"/>
              </w:rPr>
            </w:pPr>
            <w:r>
              <w:rPr>
                <w:sz w:val="38"/>
              </w:rPr>
              <w:t>Vitamin P keeps the blood vessels sealed due to colla- gen and elastin synthesis, the brain does not report any damage to the liver, so no cholesterol is produced to repair the damage. Inci- dentally, dietary choles- terol accounts for only 5</w:t>
            </w:r>
          </w:p>
          <w:p>
            <w:pPr>
              <w:pStyle w:val="TableParagraph"/>
              <w:spacing w:before="2"/>
              <w:ind w:left="71"/>
              <w:rPr>
                <w:sz w:val="38"/>
              </w:rPr>
            </w:pPr>
            <w:r>
              <w:rPr>
                <w:sz w:val="38"/>
              </w:rPr>
              <w:t>% of total cholesterol.</w:t>
            </w:r>
          </w:p>
        </w:tc>
      </w:tr>
    </w:tbl>
    <w:p>
      <w:pPr>
        <w:spacing w:after="0"/>
        <w:rPr>
          <w:sz w:val="38"/>
        </w:rPr>
        <w:sectPr>
          <w:footerReference w:type="default" r:id="rId272"/>
          <w:pgSz w:w="14270" w:h="16850"/>
          <w:pgMar w:footer="404" w:header="0" w:top="1420" w:bottom="600" w:left="800" w:right="1280"/>
          <w:pgNumType w:start="1120"/>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0"/>
        <w:gridCol w:w="4112"/>
      </w:tblGrid>
      <w:tr>
        <w:trPr>
          <w:trHeight w:val="697" w:hRule="atLeast"/>
        </w:trPr>
        <w:tc>
          <w:tcPr>
            <w:tcW w:w="2480" w:type="dxa"/>
            <w:tcBorders>
              <w:bottom w:val="nil"/>
            </w:tcBorders>
          </w:tcPr>
          <w:p>
            <w:pPr>
              <w:pStyle w:val="TableParagraph"/>
              <w:spacing w:before="234"/>
              <w:ind w:left="71"/>
              <w:rPr>
                <w:sz w:val="38"/>
              </w:rPr>
            </w:pPr>
            <w:r>
              <w:rPr>
                <w:sz w:val="38"/>
              </w:rPr>
              <w:t>Atherosclero-</w:t>
            </w:r>
          </w:p>
        </w:tc>
        <w:tc>
          <w:tcPr>
            <w:tcW w:w="4112" w:type="dxa"/>
            <w:tcBorders>
              <w:bottom w:val="nil"/>
            </w:tcBorders>
          </w:tcPr>
          <w:p>
            <w:pPr>
              <w:pStyle w:val="TableParagraph"/>
              <w:spacing w:before="234"/>
              <w:ind w:left="71"/>
              <w:rPr>
                <w:sz w:val="38"/>
              </w:rPr>
            </w:pPr>
            <w:r>
              <w:rPr>
                <w:sz w:val="38"/>
              </w:rPr>
              <w:t>Through the active colla-</w:t>
            </w:r>
          </w:p>
        </w:tc>
      </w:tr>
      <w:tr>
        <w:trPr>
          <w:trHeight w:val="490" w:hRule="atLeast"/>
        </w:trPr>
        <w:tc>
          <w:tcPr>
            <w:tcW w:w="2480" w:type="dxa"/>
            <w:tcBorders>
              <w:top w:val="nil"/>
              <w:bottom w:val="nil"/>
            </w:tcBorders>
          </w:tcPr>
          <w:p>
            <w:pPr>
              <w:pStyle w:val="TableParagraph"/>
              <w:spacing w:before="26"/>
              <w:ind w:left="71"/>
              <w:rPr>
                <w:sz w:val="38"/>
              </w:rPr>
            </w:pPr>
            <w:r>
              <w:rPr>
                <w:sz w:val="38"/>
              </w:rPr>
              <w:t>sis(blood vessel</w:t>
            </w:r>
          </w:p>
        </w:tc>
        <w:tc>
          <w:tcPr>
            <w:tcW w:w="4112" w:type="dxa"/>
            <w:tcBorders>
              <w:top w:val="nil"/>
              <w:bottom w:val="nil"/>
            </w:tcBorders>
          </w:tcPr>
          <w:p>
            <w:pPr>
              <w:pStyle w:val="TableParagraph"/>
              <w:spacing w:before="26"/>
              <w:ind w:left="71"/>
              <w:rPr>
                <w:sz w:val="38"/>
              </w:rPr>
            </w:pPr>
            <w:r>
              <w:rPr>
                <w:sz w:val="38"/>
              </w:rPr>
              <w:t>gen synthesis of the OPC,</w:t>
            </w:r>
          </w:p>
        </w:tc>
      </w:tr>
      <w:tr>
        <w:trPr>
          <w:trHeight w:val="492" w:hRule="atLeast"/>
        </w:trPr>
        <w:tc>
          <w:tcPr>
            <w:tcW w:w="2480" w:type="dxa"/>
            <w:tcBorders>
              <w:top w:val="nil"/>
              <w:bottom w:val="nil"/>
            </w:tcBorders>
          </w:tcPr>
          <w:p>
            <w:pPr>
              <w:pStyle w:val="TableParagraph"/>
              <w:spacing w:before="27"/>
              <w:ind w:left="71"/>
              <w:rPr>
                <w:sz w:val="38"/>
              </w:rPr>
            </w:pPr>
            <w:r>
              <w:rPr>
                <w:sz w:val="38"/>
              </w:rPr>
              <w:t>calcification),</w:t>
            </w:r>
          </w:p>
        </w:tc>
        <w:tc>
          <w:tcPr>
            <w:tcW w:w="4112" w:type="dxa"/>
            <w:tcBorders>
              <w:top w:val="nil"/>
              <w:bottom w:val="nil"/>
            </w:tcBorders>
          </w:tcPr>
          <w:p>
            <w:pPr>
              <w:pStyle w:val="TableParagraph"/>
              <w:spacing w:before="27"/>
              <w:ind w:left="71"/>
              <w:rPr>
                <w:sz w:val="38"/>
              </w:rPr>
            </w:pPr>
            <w:r>
              <w:rPr>
                <w:sz w:val="38"/>
              </w:rPr>
              <w:t>the intima (vessel wall) is</w:t>
            </w:r>
          </w:p>
        </w:tc>
      </w:tr>
      <w:tr>
        <w:trPr>
          <w:trHeight w:val="491" w:hRule="atLeast"/>
        </w:trPr>
        <w:tc>
          <w:tcPr>
            <w:tcW w:w="2480" w:type="dxa"/>
            <w:tcBorders>
              <w:top w:val="nil"/>
              <w:bottom w:val="nil"/>
            </w:tcBorders>
          </w:tcPr>
          <w:p>
            <w:pPr>
              <w:pStyle w:val="TableParagraph"/>
              <w:spacing w:before="27"/>
              <w:ind w:left="71"/>
              <w:rPr>
                <w:sz w:val="38"/>
              </w:rPr>
            </w:pPr>
            <w:r>
              <w:rPr>
                <w:sz w:val="38"/>
              </w:rPr>
              <w:t>resulting in</w:t>
            </w:r>
          </w:p>
        </w:tc>
        <w:tc>
          <w:tcPr>
            <w:tcW w:w="4112" w:type="dxa"/>
            <w:tcBorders>
              <w:top w:val="nil"/>
              <w:bottom w:val="nil"/>
            </w:tcBorders>
          </w:tcPr>
          <w:p>
            <w:pPr>
              <w:pStyle w:val="TableParagraph"/>
              <w:spacing w:before="27"/>
              <w:ind w:left="71"/>
              <w:rPr>
                <w:sz w:val="38"/>
              </w:rPr>
            </w:pPr>
            <w:r>
              <w:rPr>
                <w:sz w:val="38"/>
              </w:rPr>
              <w:t>kept smooth and silky, cal-</w:t>
            </w:r>
          </w:p>
        </w:tc>
      </w:tr>
      <w:tr>
        <w:trPr>
          <w:trHeight w:val="492" w:hRule="atLeast"/>
        </w:trPr>
        <w:tc>
          <w:tcPr>
            <w:tcW w:w="2480" w:type="dxa"/>
            <w:tcBorders>
              <w:top w:val="nil"/>
              <w:bottom w:val="nil"/>
            </w:tcBorders>
          </w:tcPr>
          <w:p>
            <w:pPr>
              <w:pStyle w:val="TableParagraph"/>
              <w:spacing w:before="27"/>
              <w:ind w:left="71"/>
              <w:rPr>
                <w:sz w:val="38"/>
              </w:rPr>
            </w:pPr>
            <w:r>
              <w:rPr>
                <w:sz w:val="38"/>
              </w:rPr>
              <w:t>high blood</w:t>
            </w:r>
          </w:p>
        </w:tc>
        <w:tc>
          <w:tcPr>
            <w:tcW w:w="4112" w:type="dxa"/>
            <w:tcBorders>
              <w:top w:val="nil"/>
              <w:bottom w:val="nil"/>
            </w:tcBorders>
          </w:tcPr>
          <w:p>
            <w:pPr>
              <w:pStyle w:val="TableParagraph"/>
              <w:spacing w:before="27"/>
              <w:ind w:left="71"/>
              <w:rPr>
                <w:sz w:val="38"/>
              </w:rPr>
            </w:pPr>
            <w:r>
              <w:rPr>
                <w:sz w:val="38"/>
              </w:rPr>
              <w:t>cium and fat deposits can-</w:t>
            </w:r>
          </w:p>
        </w:tc>
      </w:tr>
      <w:tr>
        <w:trPr>
          <w:trHeight w:val="491" w:hRule="atLeast"/>
        </w:trPr>
        <w:tc>
          <w:tcPr>
            <w:tcW w:w="2480" w:type="dxa"/>
            <w:tcBorders>
              <w:top w:val="nil"/>
              <w:bottom w:val="nil"/>
            </w:tcBorders>
          </w:tcPr>
          <w:p>
            <w:pPr>
              <w:pStyle w:val="TableParagraph"/>
              <w:spacing w:before="27"/>
              <w:ind w:left="71"/>
              <w:rPr>
                <w:sz w:val="38"/>
              </w:rPr>
            </w:pPr>
            <w:r>
              <w:rPr>
                <w:sz w:val="38"/>
              </w:rPr>
              <w:t>pressure, to</w:t>
            </w:r>
          </w:p>
        </w:tc>
        <w:tc>
          <w:tcPr>
            <w:tcW w:w="4112" w:type="dxa"/>
            <w:tcBorders>
              <w:top w:val="nil"/>
              <w:bottom w:val="nil"/>
            </w:tcBorders>
          </w:tcPr>
          <w:p>
            <w:pPr>
              <w:pStyle w:val="TableParagraph"/>
              <w:spacing w:before="27"/>
              <w:ind w:left="71"/>
              <w:rPr>
                <w:sz w:val="38"/>
              </w:rPr>
            </w:pPr>
            <w:r>
              <w:rPr>
                <w:sz w:val="38"/>
              </w:rPr>
              <w:t>not attach, atherosclerosis</w:t>
            </w:r>
          </w:p>
        </w:tc>
      </w:tr>
      <w:tr>
        <w:trPr>
          <w:trHeight w:val="491" w:hRule="atLeast"/>
        </w:trPr>
        <w:tc>
          <w:tcPr>
            <w:tcW w:w="2480" w:type="dxa"/>
            <w:tcBorders>
              <w:top w:val="nil"/>
              <w:bottom w:val="nil"/>
            </w:tcBorders>
          </w:tcPr>
          <w:p>
            <w:pPr>
              <w:pStyle w:val="TableParagraph"/>
              <w:spacing w:before="27"/>
              <w:ind w:left="71"/>
              <w:rPr>
                <w:sz w:val="38"/>
              </w:rPr>
            </w:pPr>
            <w:r>
              <w:rPr>
                <w:sz w:val="38"/>
              </w:rPr>
              <w:t>heart attack and</w:t>
            </w:r>
          </w:p>
        </w:tc>
        <w:tc>
          <w:tcPr>
            <w:tcW w:w="4112" w:type="dxa"/>
            <w:tcBorders>
              <w:top w:val="nil"/>
              <w:bottom w:val="nil"/>
            </w:tcBorders>
          </w:tcPr>
          <w:p>
            <w:pPr>
              <w:pStyle w:val="TableParagraph"/>
              <w:spacing w:before="27"/>
              <w:ind w:left="71"/>
              <w:rPr>
                <w:sz w:val="38"/>
              </w:rPr>
            </w:pPr>
            <w:r>
              <w:rPr>
                <w:sz w:val="38"/>
              </w:rPr>
              <w:t>is prevented and existing</w:t>
            </w:r>
          </w:p>
        </w:tc>
      </w:tr>
      <w:tr>
        <w:trPr>
          <w:trHeight w:val="492" w:hRule="atLeast"/>
        </w:trPr>
        <w:tc>
          <w:tcPr>
            <w:tcW w:w="2480" w:type="dxa"/>
            <w:tcBorders>
              <w:top w:val="nil"/>
              <w:bottom w:val="nil"/>
            </w:tcBorders>
          </w:tcPr>
          <w:p>
            <w:pPr>
              <w:pStyle w:val="TableParagraph"/>
              <w:spacing w:before="28"/>
              <w:ind w:left="71"/>
              <w:rPr>
                <w:sz w:val="38"/>
              </w:rPr>
            </w:pPr>
            <w:r>
              <w:rPr>
                <w:sz w:val="38"/>
              </w:rPr>
              <w:t>stroke</w:t>
            </w:r>
          </w:p>
        </w:tc>
        <w:tc>
          <w:tcPr>
            <w:tcW w:w="4112" w:type="dxa"/>
            <w:tcBorders>
              <w:top w:val="nil"/>
              <w:bottom w:val="nil"/>
            </w:tcBorders>
          </w:tcPr>
          <w:p>
            <w:pPr>
              <w:pStyle w:val="TableParagraph"/>
              <w:spacing w:before="26"/>
              <w:ind w:left="71"/>
              <w:rPr>
                <w:sz w:val="38"/>
              </w:rPr>
            </w:pPr>
            <w:r>
              <w:rPr>
                <w:sz w:val="38"/>
              </w:rPr>
              <w:t>atherosclerosis is broken</w:t>
            </w:r>
          </w:p>
        </w:tc>
      </w:tr>
      <w:tr>
        <w:trPr>
          <w:trHeight w:val="490" w:hRule="atLeast"/>
        </w:trPr>
        <w:tc>
          <w:tcPr>
            <w:tcW w:w="2480" w:type="dxa"/>
            <w:tcBorders>
              <w:top w:val="nil"/>
              <w:bottom w:val="nil"/>
            </w:tcBorders>
          </w:tcPr>
          <w:p>
            <w:pPr>
              <w:pStyle w:val="TableParagraph"/>
              <w:rPr>
                <w:rFonts w:ascii="Times New Roman"/>
                <w:sz w:val="36"/>
              </w:rPr>
            </w:pPr>
          </w:p>
        </w:tc>
        <w:tc>
          <w:tcPr>
            <w:tcW w:w="4112" w:type="dxa"/>
            <w:tcBorders>
              <w:top w:val="nil"/>
              <w:bottom w:val="nil"/>
            </w:tcBorders>
          </w:tcPr>
          <w:p>
            <w:pPr>
              <w:pStyle w:val="TableParagraph"/>
              <w:spacing w:before="26"/>
              <w:ind w:left="71"/>
              <w:rPr>
                <w:sz w:val="38"/>
              </w:rPr>
            </w:pPr>
            <w:r>
              <w:rPr>
                <w:sz w:val="38"/>
              </w:rPr>
              <w:t>down. Furthermore, the</w:t>
            </w:r>
          </w:p>
        </w:tc>
      </w:tr>
      <w:tr>
        <w:trPr>
          <w:trHeight w:val="493" w:hRule="atLeast"/>
        </w:trPr>
        <w:tc>
          <w:tcPr>
            <w:tcW w:w="2480" w:type="dxa"/>
            <w:tcBorders>
              <w:top w:val="nil"/>
              <w:bottom w:val="nil"/>
            </w:tcBorders>
          </w:tcPr>
          <w:p>
            <w:pPr>
              <w:pStyle w:val="TableParagraph"/>
              <w:rPr>
                <w:rFonts w:ascii="Times New Roman"/>
                <w:sz w:val="36"/>
              </w:rPr>
            </w:pPr>
          </w:p>
        </w:tc>
        <w:tc>
          <w:tcPr>
            <w:tcW w:w="4112" w:type="dxa"/>
            <w:tcBorders>
              <w:top w:val="nil"/>
              <w:bottom w:val="nil"/>
            </w:tcBorders>
          </w:tcPr>
          <w:p>
            <w:pPr>
              <w:pStyle w:val="TableParagraph"/>
              <w:spacing w:before="27"/>
              <w:ind w:left="71"/>
              <w:rPr>
                <w:sz w:val="38"/>
              </w:rPr>
            </w:pPr>
            <w:r>
              <w:rPr>
                <w:sz w:val="38"/>
              </w:rPr>
              <w:t>proliferation of smooth</w:t>
            </w:r>
          </w:p>
        </w:tc>
      </w:tr>
      <w:tr>
        <w:trPr>
          <w:trHeight w:val="725" w:hRule="atLeast"/>
        </w:trPr>
        <w:tc>
          <w:tcPr>
            <w:tcW w:w="2480" w:type="dxa"/>
            <w:tcBorders>
              <w:top w:val="nil"/>
            </w:tcBorders>
          </w:tcPr>
          <w:p>
            <w:pPr>
              <w:pStyle w:val="TableParagraph"/>
              <w:rPr>
                <w:rFonts w:ascii="Times New Roman"/>
                <w:sz w:val="36"/>
              </w:rPr>
            </w:pPr>
          </w:p>
        </w:tc>
        <w:tc>
          <w:tcPr>
            <w:tcW w:w="4112" w:type="dxa"/>
            <w:tcBorders>
              <w:top w:val="nil"/>
            </w:tcBorders>
          </w:tcPr>
          <w:p>
            <w:pPr>
              <w:pStyle w:val="TableParagraph"/>
              <w:spacing w:before="28"/>
              <w:ind w:left="71"/>
              <w:rPr>
                <w:sz w:val="38"/>
              </w:rPr>
            </w:pPr>
            <w:r>
              <w:rPr>
                <w:sz w:val="38"/>
              </w:rPr>
              <w:t>muscle cells is avoided.</w:t>
            </w:r>
          </w:p>
        </w:tc>
      </w:tr>
      <w:tr>
        <w:trPr>
          <w:trHeight w:val="1915" w:hRule="atLeast"/>
        </w:trPr>
        <w:tc>
          <w:tcPr>
            <w:tcW w:w="2480" w:type="dxa"/>
          </w:tcPr>
          <w:p>
            <w:pPr>
              <w:pStyle w:val="TableParagraph"/>
              <w:spacing w:line="278" w:lineRule="auto" w:before="231"/>
              <w:ind w:left="71" w:right="463"/>
              <w:rPr>
                <w:sz w:val="38"/>
              </w:rPr>
            </w:pPr>
            <w:r>
              <w:rPr>
                <w:sz w:val="38"/>
              </w:rPr>
              <w:t>Eyes: macula degeneration</w:t>
            </w:r>
          </w:p>
        </w:tc>
        <w:tc>
          <w:tcPr>
            <w:tcW w:w="4112" w:type="dxa"/>
          </w:tcPr>
          <w:p>
            <w:pPr>
              <w:pStyle w:val="TableParagraph"/>
              <w:spacing w:line="276" w:lineRule="auto" w:before="231"/>
              <w:ind w:left="71" w:right="128"/>
              <w:rPr>
                <w:sz w:val="38"/>
              </w:rPr>
            </w:pPr>
            <w:r>
              <w:rPr>
                <w:sz w:val="38"/>
              </w:rPr>
              <w:t>Active collagen synthesis prevents macular degener- ation.</w:t>
            </w:r>
          </w:p>
        </w:tc>
      </w:tr>
      <w:tr>
        <w:trPr>
          <w:trHeight w:val="3192" w:hRule="atLeast"/>
        </w:trPr>
        <w:tc>
          <w:tcPr>
            <w:tcW w:w="2480" w:type="dxa"/>
          </w:tcPr>
          <w:p>
            <w:pPr>
              <w:pStyle w:val="TableParagraph"/>
              <w:spacing w:before="234"/>
              <w:ind w:left="71"/>
              <w:rPr>
                <w:sz w:val="38"/>
              </w:rPr>
            </w:pPr>
            <w:r>
              <w:rPr>
                <w:sz w:val="38"/>
              </w:rPr>
              <w:t>Eyes: cataracts</w:t>
            </w:r>
          </w:p>
        </w:tc>
        <w:tc>
          <w:tcPr>
            <w:tcW w:w="4112" w:type="dxa"/>
          </w:tcPr>
          <w:p>
            <w:pPr>
              <w:pStyle w:val="TableParagraph"/>
              <w:spacing w:line="276" w:lineRule="auto" w:before="231"/>
              <w:ind w:left="71" w:right="82"/>
              <w:rPr>
                <w:sz w:val="38"/>
              </w:rPr>
            </w:pPr>
            <w:r>
              <w:rPr>
                <w:sz w:val="38"/>
              </w:rPr>
              <w:t>As the most efficient known antioxidant, vita- min P prevents free</w:t>
            </w:r>
            <w:r>
              <w:rPr>
                <w:spacing w:val="-15"/>
                <w:sz w:val="38"/>
              </w:rPr>
              <w:t> </w:t>
            </w:r>
            <w:r>
              <w:rPr>
                <w:sz w:val="38"/>
              </w:rPr>
              <w:t>radical damage (particularly due to light and oxygen in</w:t>
            </w:r>
            <w:r>
              <w:rPr>
                <w:spacing w:val="-7"/>
                <w:sz w:val="38"/>
              </w:rPr>
              <w:t> </w:t>
            </w:r>
            <w:r>
              <w:rPr>
                <w:sz w:val="38"/>
              </w:rPr>
              <w:t>this</w:t>
            </w:r>
          </w:p>
          <w:p>
            <w:pPr>
              <w:pStyle w:val="TableParagraph"/>
              <w:spacing w:before="3"/>
              <w:ind w:left="71"/>
              <w:rPr>
                <w:sz w:val="38"/>
              </w:rPr>
            </w:pPr>
            <w:r>
              <w:rPr>
                <w:sz w:val="38"/>
              </w:rPr>
              <w:t>case), which cause cata-</w:t>
            </w:r>
          </w:p>
        </w:tc>
      </w:tr>
    </w:tbl>
    <w:p>
      <w:pPr>
        <w:spacing w:after="0"/>
        <w:rPr>
          <w:sz w:val="38"/>
        </w:rPr>
        <w:sectPr>
          <w:pgSz w:w="14270" w:h="16850"/>
          <w:pgMar w:header="0" w:footer="404" w:top="1420" w:bottom="600" w:left="800" w:right="1280"/>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0"/>
        <w:gridCol w:w="4112"/>
      </w:tblGrid>
      <w:tr>
        <w:trPr>
          <w:trHeight w:val="1185" w:hRule="atLeast"/>
        </w:trPr>
        <w:tc>
          <w:tcPr>
            <w:tcW w:w="2480" w:type="dxa"/>
          </w:tcPr>
          <w:p>
            <w:pPr>
              <w:pStyle w:val="TableParagraph"/>
              <w:rPr>
                <w:rFonts w:ascii="Times New Roman"/>
                <w:sz w:val="36"/>
              </w:rPr>
            </w:pPr>
          </w:p>
        </w:tc>
        <w:tc>
          <w:tcPr>
            <w:tcW w:w="4112" w:type="dxa"/>
          </w:tcPr>
          <w:p>
            <w:pPr>
              <w:pStyle w:val="TableParagraph"/>
              <w:spacing w:line="276" w:lineRule="auto"/>
              <w:ind w:left="71" w:right="144"/>
              <w:rPr>
                <w:sz w:val="38"/>
              </w:rPr>
            </w:pPr>
            <w:r>
              <w:rPr>
                <w:sz w:val="38"/>
              </w:rPr>
              <w:t>racts, as well as other con- ditions.</w:t>
            </w:r>
          </w:p>
        </w:tc>
      </w:tr>
      <w:tr>
        <w:trPr>
          <w:trHeight w:val="2205" w:hRule="atLeast"/>
        </w:trPr>
        <w:tc>
          <w:tcPr>
            <w:tcW w:w="2480" w:type="dxa"/>
          </w:tcPr>
          <w:p>
            <w:pPr>
              <w:pStyle w:val="TableParagraph"/>
              <w:spacing w:before="234"/>
              <w:ind w:left="71"/>
              <w:rPr>
                <w:sz w:val="38"/>
              </w:rPr>
            </w:pPr>
            <w:r>
              <w:rPr>
                <w:sz w:val="38"/>
              </w:rPr>
              <w:t>Eyes: dry eyes</w:t>
            </w:r>
          </w:p>
        </w:tc>
        <w:tc>
          <w:tcPr>
            <w:tcW w:w="4112" w:type="dxa"/>
          </w:tcPr>
          <w:p>
            <w:pPr>
              <w:pStyle w:val="TableParagraph"/>
              <w:spacing w:line="276" w:lineRule="auto" w:before="231"/>
              <w:ind w:left="71" w:right="69"/>
              <w:rPr>
                <w:sz w:val="38"/>
              </w:rPr>
            </w:pPr>
            <w:r>
              <w:rPr>
                <w:sz w:val="38"/>
              </w:rPr>
              <w:t>OPC prevents free radical damage, improves blood circulation in the eye and</w:t>
            </w:r>
          </w:p>
          <w:p>
            <w:pPr>
              <w:pStyle w:val="TableParagraph"/>
              <w:spacing w:line="426" w:lineRule="exact"/>
              <w:ind w:left="71"/>
              <w:rPr>
                <w:sz w:val="38"/>
              </w:rPr>
            </w:pPr>
            <w:r>
              <w:rPr>
                <w:sz w:val="38"/>
              </w:rPr>
              <w:t>prevents dry eyes.</w:t>
            </w:r>
          </w:p>
        </w:tc>
      </w:tr>
      <w:tr>
        <w:trPr>
          <w:trHeight w:val="2700" w:hRule="atLeast"/>
        </w:trPr>
        <w:tc>
          <w:tcPr>
            <w:tcW w:w="2480" w:type="dxa"/>
          </w:tcPr>
          <w:p>
            <w:pPr>
              <w:pStyle w:val="TableParagraph"/>
              <w:spacing w:line="278" w:lineRule="auto" w:before="232"/>
              <w:ind w:left="71" w:right="71"/>
              <w:rPr>
                <w:sz w:val="38"/>
              </w:rPr>
            </w:pPr>
            <w:r>
              <w:rPr>
                <w:sz w:val="38"/>
              </w:rPr>
              <w:t>Age-related vis- ual impairment</w:t>
            </w:r>
          </w:p>
        </w:tc>
        <w:tc>
          <w:tcPr>
            <w:tcW w:w="4112" w:type="dxa"/>
          </w:tcPr>
          <w:p>
            <w:pPr>
              <w:pStyle w:val="TableParagraph"/>
              <w:spacing w:line="490" w:lineRule="atLeast" w:before="169"/>
              <w:ind w:left="71" w:right="164"/>
              <w:rPr>
                <w:sz w:val="38"/>
              </w:rPr>
            </w:pPr>
            <w:r>
              <w:rPr>
                <w:sz w:val="38"/>
              </w:rPr>
              <w:t>OPC prevents free radical damage, improves blood circulation to the eye, pre- venting premature vision loss.</w:t>
            </w:r>
          </w:p>
        </w:tc>
      </w:tr>
      <w:tr>
        <w:trPr>
          <w:trHeight w:val="2896" w:hRule="atLeast"/>
        </w:trPr>
        <w:tc>
          <w:tcPr>
            <w:tcW w:w="2480" w:type="dxa"/>
          </w:tcPr>
          <w:p>
            <w:pPr>
              <w:pStyle w:val="TableParagraph"/>
              <w:spacing w:line="278" w:lineRule="auto" w:before="231"/>
              <w:ind w:left="71" w:right="792"/>
              <w:rPr>
                <w:sz w:val="38"/>
              </w:rPr>
            </w:pPr>
            <w:r>
              <w:rPr>
                <w:sz w:val="38"/>
              </w:rPr>
              <w:t>Heavy legs (calves)</w:t>
            </w:r>
          </w:p>
        </w:tc>
        <w:tc>
          <w:tcPr>
            <w:tcW w:w="4112" w:type="dxa"/>
          </w:tcPr>
          <w:p>
            <w:pPr>
              <w:pStyle w:val="TableParagraph"/>
              <w:spacing w:line="276" w:lineRule="auto" w:before="231"/>
              <w:ind w:left="71" w:right="69"/>
              <w:rPr>
                <w:sz w:val="38"/>
              </w:rPr>
            </w:pPr>
            <w:r>
              <w:rPr>
                <w:sz w:val="38"/>
              </w:rPr>
              <w:t>Through antioxidant pro- cesses and better blood circulation in the legs, the blood can flow better, pre- venting heavy legs.</w:t>
            </w:r>
          </w:p>
        </w:tc>
      </w:tr>
      <w:tr>
        <w:trPr>
          <w:trHeight w:val="2899" w:hRule="atLeast"/>
        </w:trPr>
        <w:tc>
          <w:tcPr>
            <w:tcW w:w="2480" w:type="dxa"/>
          </w:tcPr>
          <w:p>
            <w:pPr>
              <w:pStyle w:val="TableParagraph"/>
              <w:spacing w:line="278" w:lineRule="auto" w:before="231"/>
              <w:ind w:left="71" w:right="52"/>
              <w:rPr>
                <w:sz w:val="38"/>
              </w:rPr>
            </w:pPr>
            <w:r>
              <w:rPr>
                <w:sz w:val="38"/>
              </w:rPr>
              <w:t>Lymphatic con- gestion</w:t>
            </w:r>
          </w:p>
        </w:tc>
        <w:tc>
          <w:tcPr>
            <w:tcW w:w="4112" w:type="dxa"/>
          </w:tcPr>
          <w:p>
            <w:pPr>
              <w:pStyle w:val="TableParagraph"/>
              <w:spacing w:line="276" w:lineRule="auto" w:before="231"/>
              <w:ind w:left="71" w:right="239"/>
              <w:rPr>
                <w:sz w:val="38"/>
              </w:rPr>
            </w:pPr>
            <w:r>
              <w:rPr>
                <w:sz w:val="38"/>
              </w:rPr>
              <w:t>Through antioxidant pro- cesses and better blood circulation, the blood can flow better, preventing lymphatic congestion.</w:t>
            </w:r>
          </w:p>
        </w:tc>
      </w:tr>
    </w:tbl>
    <w:p>
      <w:pPr>
        <w:spacing w:after="0" w:line="276" w:lineRule="auto"/>
        <w:rPr>
          <w:sz w:val="38"/>
        </w:rPr>
        <w:sectPr>
          <w:pgSz w:w="14270" w:h="16850"/>
          <w:pgMar w:header="0" w:footer="404" w:top="1420" w:bottom="600" w:left="800" w:right="1280"/>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0"/>
        <w:gridCol w:w="4112"/>
      </w:tblGrid>
      <w:tr>
        <w:trPr>
          <w:trHeight w:val="2899" w:hRule="atLeast"/>
        </w:trPr>
        <w:tc>
          <w:tcPr>
            <w:tcW w:w="2480" w:type="dxa"/>
          </w:tcPr>
          <w:p>
            <w:pPr>
              <w:pStyle w:val="TableParagraph"/>
              <w:spacing w:line="276" w:lineRule="auto" w:before="234"/>
              <w:ind w:left="71" w:right="285"/>
              <w:rPr>
                <w:sz w:val="38"/>
              </w:rPr>
            </w:pPr>
            <w:r>
              <w:rPr>
                <w:sz w:val="38"/>
              </w:rPr>
              <w:t>Meteorosensi- tivity</w:t>
            </w:r>
          </w:p>
        </w:tc>
        <w:tc>
          <w:tcPr>
            <w:tcW w:w="4112" w:type="dxa"/>
          </w:tcPr>
          <w:p>
            <w:pPr>
              <w:pStyle w:val="TableParagraph"/>
              <w:spacing w:line="276" w:lineRule="auto" w:before="234"/>
              <w:ind w:left="71" w:right="239"/>
              <w:rPr>
                <w:sz w:val="38"/>
              </w:rPr>
            </w:pPr>
            <w:r>
              <w:rPr>
                <w:sz w:val="38"/>
              </w:rPr>
              <w:t>Through antioxidant pro- cesses and better blood circulation, the blood can flow better, preventing meteorosensitivity.</w:t>
            </w:r>
          </w:p>
        </w:tc>
      </w:tr>
      <w:tr>
        <w:trPr>
          <w:trHeight w:val="3391" w:hRule="atLeast"/>
        </w:trPr>
        <w:tc>
          <w:tcPr>
            <w:tcW w:w="2480" w:type="dxa"/>
          </w:tcPr>
          <w:p>
            <w:pPr>
              <w:pStyle w:val="TableParagraph"/>
              <w:spacing w:line="278" w:lineRule="auto" w:before="231"/>
              <w:ind w:left="71" w:right="388"/>
              <w:rPr>
                <w:sz w:val="38"/>
              </w:rPr>
            </w:pPr>
            <w:r>
              <w:rPr>
                <w:sz w:val="38"/>
              </w:rPr>
              <w:t>Cold feet and hands</w:t>
            </w:r>
          </w:p>
        </w:tc>
        <w:tc>
          <w:tcPr>
            <w:tcW w:w="4112" w:type="dxa"/>
          </w:tcPr>
          <w:p>
            <w:pPr>
              <w:pStyle w:val="TableParagraph"/>
              <w:spacing w:line="276" w:lineRule="auto" w:before="231"/>
              <w:ind w:left="71" w:right="239"/>
              <w:rPr>
                <w:sz w:val="38"/>
              </w:rPr>
            </w:pPr>
            <w:r>
              <w:rPr>
                <w:sz w:val="38"/>
              </w:rPr>
              <w:t>Through antioxidant pro- cesses and better blood circulation, the blood can flow better through the extremities, preventing cold feet and hands.</w:t>
            </w:r>
          </w:p>
        </w:tc>
      </w:tr>
      <w:tr>
        <w:trPr>
          <w:trHeight w:val="2407" w:hRule="atLeast"/>
        </w:trPr>
        <w:tc>
          <w:tcPr>
            <w:tcW w:w="2480" w:type="dxa"/>
          </w:tcPr>
          <w:p>
            <w:pPr>
              <w:pStyle w:val="TableParagraph"/>
              <w:spacing w:line="278" w:lineRule="auto" w:before="231"/>
              <w:ind w:left="71" w:right="150"/>
              <w:rPr>
                <w:sz w:val="38"/>
              </w:rPr>
            </w:pPr>
            <w:r>
              <w:rPr>
                <w:sz w:val="38"/>
              </w:rPr>
              <w:t>Bleeding inside the eye</w:t>
            </w:r>
          </w:p>
        </w:tc>
        <w:tc>
          <w:tcPr>
            <w:tcW w:w="4112" w:type="dxa"/>
          </w:tcPr>
          <w:p>
            <w:pPr>
              <w:pStyle w:val="TableParagraph"/>
              <w:spacing w:line="276" w:lineRule="auto" w:before="231"/>
              <w:ind w:left="71" w:right="487"/>
              <w:jc w:val="both"/>
              <w:rPr>
                <w:sz w:val="38"/>
              </w:rPr>
            </w:pPr>
            <w:r>
              <w:rPr>
                <w:sz w:val="38"/>
              </w:rPr>
              <w:t>Due to the collagen and elastin structure, the eye vessels are strengthened and kept elastic.</w:t>
            </w:r>
          </w:p>
        </w:tc>
      </w:tr>
      <w:tr>
        <w:trPr>
          <w:trHeight w:val="2897" w:hRule="atLeast"/>
        </w:trPr>
        <w:tc>
          <w:tcPr>
            <w:tcW w:w="2480" w:type="dxa"/>
          </w:tcPr>
          <w:p>
            <w:pPr>
              <w:pStyle w:val="TableParagraph"/>
              <w:spacing w:before="234"/>
              <w:ind w:left="71"/>
              <w:rPr>
                <w:sz w:val="38"/>
              </w:rPr>
            </w:pPr>
            <w:r>
              <w:rPr>
                <w:sz w:val="38"/>
              </w:rPr>
              <w:t>Dry skin</w:t>
            </w:r>
          </w:p>
        </w:tc>
        <w:tc>
          <w:tcPr>
            <w:tcW w:w="4112" w:type="dxa"/>
          </w:tcPr>
          <w:p>
            <w:pPr>
              <w:pStyle w:val="TableParagraph"/>
              <w:spacing w:line="276" w:lineRule="auto" w:before="231"/>
              <w:ind w:left="71" w:right="409"/>
              <w:rPr>
                <w:sz w:val="38"/>
              </w:rPr>
            </w:pPr>
            <w:r>
              <w:rPr>
                <w:sz w:val="38"/>
              </w:rPr>
              <w:t>Thanks to the collagen and elastin build-up and renewal, dry skin is avoided and the skin be- comes supple again.</w:t>
            </w:r>
          </w:p>
        </w:tc>
      </w:tr>
    </w:tbl>
    <w:p>
      <w:pPr>
        <w:spacing w:after="0" w:line="276" w:lineRule="auto"/>
        <w:rPr>
          <w:sz w:val="38"/>
        </w:rPr>
        <w:sectPr>
          <w:pgSz w:w="14270" w:h="16850"/>
          <w:pgMar w:header="0" w:footer="404" w:top="1420" w:bottom="600" w:left="800" w:right="1280"/>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0"/>
        <w:gridCol w:w="4112"/>
      </w:tblGrid>
      <w:tr>
        <w:trPr>
          <w:trHeight w:val="3883" w:hRule="atLeast"/>
        </w:trPr>
        <w:tc>
          <w:tcPr>
            <w:tcW w:w="2480" w:type="dxa"/>
          </w:tcPr>
          <w:p>
            <w:pPr>
              <w:pStyle w:val="TableParagraph"/>
              <w:spacing w:before="236"/>
              <w:ind w:left="71"/>
              <w:rPr>
                <w:sz w:val="38"/>
              </w:rPr>
            </w:pPr>
            <w:r>
              <w:rPr>
                <w:sz w:val="38"/>
              </w:rPr>
              <w:t>Wrinkles</w:t>
            </w:r>
          </w:p>
        </w:tc>
        <w:tc>
          <w:tcPr>
            <w:tcW w:w="4112" w:type="dxa"/>
          </w:tcPr>
          <w:p>
            <w:pPr>
              <w:pStyle w:val="TableParagraph"/>
              <w:spacing w:line="276" w:lineRule="auto" w:before="234"/>
              <w:ind w:left="71" w:right="108"/>
              <w:rPr>
                <w:sz w:val="38"/>
              </w:rPr>
            </w:pPr>
            <w:r>
              <w:rPr>
                <w:sz w:val="38"/>
              </w:rPr>
              <w:t>Collagen and elastin build- up and renewal prevent wrinkles and minimise ex- isting wrinkles. The anti- oxidant effect protects the cells from destruction (ageing).</w:t>
            </w:r>
          </w:p>
        </w:tc>
      </w:tr>
      <w:tr>
        <w:trPr>
          <w:trHeight w:val="2406" w:hRule="atLeast"/>
        </w:trPr>
        <w:tc>
          <w:tcPr>
            <w:tcW w:w="2480" w:type="dxa"/>
          </w:tcPr>
          <w:p>
            <w:pPr>
              <w:pStyle w:val="TableParagraph"/>
              <w:spacing w:line="278" w:lineRule="auto" w:before="231"/>
              <w:ind w:left="71" w:right="665"/>
              <w:rPr>
                <w:sz w:val="38"/>
              </w:rPr>
            </w:pPr>
            <w:r>
              <w:rPr>
                <w:sz w:val="38"/>
              </w:rPr>
              <w:t>Burns of all types</w:t>
            </w:r>
          </w:p>
        </w:tc>
        <w:tc>
          <w:tcPr>
            <w:tcW w:w="4112" w:type="dxa"/>
          </w:tcPr>
          <w:p>
            <w:pPr>
              <w:pStyle w:val="TableParagraph"/>
              <w:spacing w:line="276" w:lineRule="auto" w:before="231"/>
              <w:ind w:left="71" w:right="211"/>
              <w:rPr>
                <w:sz w:val="38"/>
              </w:rPr>
            </w:pPr>
            <w:r>
              <w:rPr>
                <w:sz w:val="38"/>
              </w:rPr>
              <w:t>Accelerated collagen and elastin synthesis as well as the renewal of skin cells heal burns more quickly.</w:t>
            </w:r>
          </w:p>
        </w:tc>
      </w:tr>
      <w:tr>
        <w:trPr>
          <w:trHeight w:val="3388" w:hRule="atLeast"/>
        </w:trPr>
        <w:tc>
          <w:tcPr>
            <w:tcW w:w="2480" w:type="dxa"/>
          </w:tcPr>
          <w:p>
            <w:pPr>
              <w:pStyle w:val="TableParagraph"/>
              <w:spacing w:before="234"/>
              <w:ind w:left="71"/>
              <w:rPr>
                <w:sz w:val="38"/>
              </w:rPr>
            </w:pPr>
            <w:r>
              <w:rPr>
                <w:sz w:val="38"/>
              </w:rPr>
              <w:t>Acne/pimples</w:t>
            </w:r>
          </w:p>
        </w:tc>
        <w:tc>
          <w:tcPr>
            <w:tcW w:w="4112" w:type="dxa"/>
          </w:tcPr>
          <w:p>
            <w:pPr>
              <w:pStyle w:val="TableParagraph"/>
              <w:spacing w:line="276" w:lineRule="auto" w:before="231"/>
              <w:ind w:left="71" w:right="251"/>
              <w:rPr>
                <w:sz w:val="38"/>
              </w:rPr>
            </w:pPr>
            <w:r>
              <w:rPr>
                <w:sz w:val="38"/>
              </w:rPr>
              <w:t>Hormonal influences as well as accelerated colla- gen and elastin synthesis prevent acne and pimples and eliminate existing ones.</w:t>
            </w:r>
          </w:p>
        </w:tc>
      </w:tr>
      <w:tr>
        <w:trPr>
          <w:trHeight w:val="1716" w:hRule="atLeast"/>
        </w:trPr>
        <w:tc>
          <w:tcPr>
            <w:tcW w:w="2480" w:type="dxa"/>
          </w:tcPr>
          <w:p>
            <w:pPr>
              <w:pStyle w:val="TableParagraph"/>
              <w:spacing w:before="234"/>
              <w:ind w:left="71"/>
              <w:rPr>
                <w:sz w:val="38"/>
              </w:rPr>
            </w:pPr>
            <w:r>
              <w:rPr>
                <w:sz w:val="38"/>
              </w:rPr>
              <w:t>Eczema</w:t>
            </w:r>
          </w:p>
        </w:tc>
        <w:tc>
          <w:tcPr>
            <w:tcW w:w="4112" w:type="dxa"/>
          </w:tcPr>
          <w:p>
            <w:pPr>
              <w:pStyle w:val="TableParagraph"/>
              <w:spacing w:before="231"/>
              <w:ind w:left="71"/>
              <w:rPr>
                <w:sz w:val="38"/>
              </w:rPr>
            </w:pPr>
            <w:r>
              <w:rPr>
                <w:sz w:val="38"/>
              </w:rPr>
              <w:t>Accelerated collagen and</w:t>
            </w:r>
          </w:p>
          <w:p>
            <w:pPr>
              <w:pStyle w:val="TableParagraph"/>
              <w:spacing w:line="490" w:lineRule="atLeast" w:before="3"/>
              <w:ind w:left="71" w:right="314"/>
              <w:rPr>
                <w:sz w:val="38"/>
              </w:rPr>
            </w:pPr>
            <w:r>
              <w:rPr>
                <w:sz w:val="38"/>
              </w:rPr>
              <w:t>elastin synthesis prevents eczema and counteracts</w:t>
            </w:r>
          </w:p>
        </w:tc>
      </w:tr>
    </w:tbl>
    <w:p>
      <w:pPr>
        <w:spacing w:after="0" w:line="490" w:lineRule="atLeast"/>
        <w:rPr>
          <w:sz w:val="38"/>
        </w:rPr>
        <w:sectPr>
          <w:pgSz w:w="14270" w:h="16850"/>
          <w:pgMar w:header="0" w:footer="404" w:top="1420" w:bottom="600" w:left="800" w:right="1280"/>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0"/>
        <w:gridCol w:w="4112"/>
      </w:tblGrid>
      <w:tr>
        <w:trPr>
          <w:trHeight w:val="732" w:hRule="atLeast"/>
        </w:trPr>
        <w:tc>
          <w:tcPr>
            <w:tcW w:w="2480" w:type="dxa"/>
          </w:tcPr>
          <w:p>
            <w:pPr>
              <w:pStyle w:val="TableParagraph"/>
              <w:rPr>
                <w:rFonts w:ascii="Times New Roman"/>
                <w:sz w:val="36"/>
              </w:rPr>
            </w:pPr>
          </w:p>
        </w:tc>
        <w:tc>
          <w:tcPr>
            <w:tcW w:w="4112" w:type="dxa"/>
          </w:tcPr>
          <w:p>
            <w:pPr>
              <w:pStyle w:val="TableParagraph"/>
              <w:spacing w:line="424" w:lineRule="exact"/>
              <w:ind w:left="71"/>
              <w:rPr>
                <w:sz w:val="38"/>
              </w:rPr>
            </w:pPr>
            <w:r>
              <w:rPr>
                <w:sz w:val="38"/>
              </w:rPr>
              <w:t>existing conditions.</w:t>
            </w:r>
          </w:p>
        </w:tc>
      </w:tr>
      <w:tr>
        <w:trPr>
          <w:trHeight w:val="2406" w:hRule="atLeast"/>
        </w:trPr>
        <w:tc>
          <w:tcPr>
            <w:tcW w:w="2480" w:type="dxa"/>
          </w:tcPr>
          <w:p>
            <w:pPr>
              <w:pStyle w:val="TableParagraph"/>
              <w:spacing w:before="236"/>
              <w:ind w:left="71"/>
              <w:rPr>
                <w:sz w:val="38"/>
              </w:rPr>
            </w:pPr>
            <w:r>
              <w:rPr>
                <w:sz w:val="38"/>
              </w:rPr>
              <w:t>Stretch marks</w:t>
            </w:r>
          </w:p>
        </w:tc>
        <w:tc>
          <w:tcPr>
            <w:tcW w:w="4112" w:type="dxa"/>
          </w:tcPr>
          <w:p>
            <w:pPr>
              <w:pStyle w:val="TableParagraph"/>
              <w:spacing w:line="276" w:lineRule="auto" w:before="234"/>
              <w:ind w:left="71" w:right="52"/>
              <w:rPr>
                <w:sz w:val="38"/>
              </w:rPr>
            </w:pPr>
            <w:r>
              <w:rPr>
                <w:sz w:val="38"/>
              </w:rPr>
              <w:t>Accelerated collagen and elastin synthesis prevents stretch marks and counter- acts existing ones.</w:t>
            </w:r>
          </w:p>
        </w:tc>
      </w:tr>
      <w:tr>
        <w:trPr>
          <w:trHeight w:val="2407" w:hRule="atLeast"/>
        </w:trPr>
        <w:tc>
          <w:tcPr>
            <w:tcW w:w="2480" w:type="dxa"/>
          </w:tcPr>
          <w:p>
            <w:pPr>
              <w:pStyle w:val="TableParagraph"/>
              <w:spacing w:line="278" w:lineRule="auto" w:before="232"/>
              <w:ind w:left="71" w:right="127"/>
              <w:rPr>
                <w:sz w:val="38"/>
              </w:rPr>
            </w:pPr>
            <w:r>
              <w:rPr>
                <w:sz w:val="38"/>
              </w:rPr>
              <w:t>Arthrosis (joint wear)</w:t>
            </w:r>
          </w:p>
        </w:tc>
        <w:tc>
          <w:tcPr>
            <w:tcW w:w="4112" w:type="dxa"/>
          </w:tcPr>
          <w:p>
            <w:pPr>
              <w:pStyle w:val="TableParagraph"/>
              <w:spacing w:line="276" w:lineRule="auto" w:before="232"/>
              <w:ind w:left="71" w:right="176"/>
              <w:rPr>
                <w:sz w:val="38"/>
              </w:rPr>
            </w:pPr>
            <w:r>
              <w:rPr>
                <w:sz w:val="38"/>
              </w:rPr>
              <w:t>The hyaline cartilage is re- generated thanks to im- proved collagen and elas- tin synthesis.</w:t>
            </w:r>
          </w:p>
        </w:tc>
      </w:tr>
      <w:tr>
        <w:trPr>
          <w:trHeight w:val="6142" w:hRule="atLeast"/>
        </w:trPr>
        <w:tc>
          <w:tcPr>
            <w:tcW w:w="2480" w:type="dxa"/>
          </w:tcPr>
          <w:p>
            <w:pPr>
              <w:pStyle w:val="TableParagraph"/>
              <w:spacing w:before="234"/>
              <w:ind w:left="71"/>
              <w:rPr>
                <w:sz w:val="38"/>
              </w:rPr>
            </w:pPr>
            <w:r>
              <w:rPr>
                <w:sz w:val="38"/>
              </w:rPr>
              <w:t>Stroke</w:t>
            </w:r>
          </w:p>
        </w:tc>
        <w:tc>
          <w:tcPr>
            <w:tcW w:w="4112" w:type="dxa"/>
          </w:tcPr>
          <w:p>
            <w:pPr>
              <w:pStyle w:val="TableParagraph"/>
              <w:spacing w:line="276" w:lineRule="auto" w:before="231"/>
              <w:ind w:left="71" w:right="104"/>
              <w:rPr>
                <w:sz w:val="38"/>
              </w:rPr>
            </w:pPr>
            <w:r>
              <w:rPr>
                <w:sz w:val="38"/>
              </w:rPr>
              <w:t>The intima (inner vascular wall) remains smooth and supple due to active colla- gen development, calcium and fat deposits cannot at- tach, atherosclerosis, the main cause of strokes, is prevented and existing atherosclerosis is broken down. Furthermore, smooth muscle tumours</w:t>
            </w:r>
          </w:p>
          <w:p>
            <w:pPr>
              <w:pStyle w:val="TableParagraph"/>
              <w:spacing w:before="3"/>
              <w:ind w:left="71"/>
              <w:rPr>
                <w:sz w:val="38"/>
              </w:rPr>
            </w:pPr>
            <w:r>
              <w:rPr>
                <w:sz w:val="38"/>
              </w:rPr>
              <w:t>are prevented, vitamin</w:t>
            </w:r>
          </w:p>
        </w:tc>
      </w:tr>
    </w:tbl>
    <w:p>
      <w:pPr>
        <w:spacing w:after="0"/>
        <w:rPr>
          <w:sz w:val="38"/>
        </w:rPr>
        <w:sectPr>
          <w:pgSz w:w="14270" w:h="16850"/>
          <w:pgMar w:header="0" w:footer="404" w:top="1420" w:bottom="600" w:left="800" w:right="1280"/>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0"/>
        <w:gridCol w:w="4112"/>
      </w:tblGrid>
      <w:tr>
        <w:trPr>
          <w:trHeight w:val="3151" w:hRule="atLeast"/>
        </w:trPr>
        <w:tc>
          <w:tcPr>
            <w:tcW w:w="2480" w:type="dxa"/>
          </w:tcPr>
          <w:p>
            <w:pPr>
              <w:pStyle w:val="TableParagraph"/>
              <w:rPr>
                <w:rFonts w:ascii="Times New Roman"/>
                <w:sz w:val="36"/>
              </w:rPr>
            </w:pPr>
          </w:p>
        </w:tc>
        <w:tc>
          <w:tcPr>
            <w:tcW w:w="4112" w:type="dxa"/>
          </w:tcPr>
          <w:p>
            <w:pPr>
              <w:pStyle w:val="TableParagraph"/>
              <w:spacing w:line="276" w:lineRule="auto"/>
              <w:ind w:left="71" w:right="69"/>
              <w:rPr>
                <w:sz w:val="38"/>
              </w:rPr>
            </w:pPr>
            <w:r>
              <w:rPr>
                <w:sz w:val="38"/>
              </w:rPr>
              <w:t>P/OPC protects against fatty acids and decon- structs fatty deposits and represents an antioxidative protection for LDL cho- lesterol.</w:t>
            </w:r>
          </w:p>
        </w:tc>
      </w:tr>
      <w:tr>
        <w:trPr>
          <w:trHeight w:val="8799" w:hRule="atLeast"/>
        </w:trPr>
        <w:tc>
          <w:tcPr>
            <w:tcW w:w="2480" w:type="dxa"/>
          </w:tcPr>
          <w:p>
            <w:pPr>
              <w:pStyle w:val="TableParagraph"/>
              <w:spacing w:before="234"/>
              <w:ind w:left="71"/>
              <w:rPr>
                <w:sz w:val="38"/>
              </w:rPr>
            </w:pPr>
            <w:r>
              <w:rPr>
                <w:sz w:val="38"/>
              </w:rPr>
              <w:t>Heart attack</w:t>
            </w:r>
          </w:p>
        </w:tc>
        <w:tc>
          <w:tcPr>
            <w:tcW w:w="4112" w:type="dxa"/>
          </w:tcPr>
          <w:p>
            <w:pPr>
              <w:pStyle w:val="TableParagraph"/>
              <w:spacing w:line="276" w:lineRule="auto" w:before="232"/>
              <w:ind w:left="71" w:right="120"/>
              <w:rPr>
                <w:sz w:val="38"/>
              </w:rPr>
            </w:pPr>
            <w:r>
              <w:rPr>
                <w:sz w:val="38"/>
              </w:rPr>
              <w:t>Through active collagen construction, the intima (inner vessel wall) is kept smooth and supple, cal- cium and fat deposits can- not attach, atherosclerosis, the main cause of heart at- tacks, is prevented and ex- isting atherosclerosis is re- duced. Furthermore, smooth muscle tumours are prevented, OPC pro- tects against fatty acids and deconstructs fatty de- posits and represents an antioxidative protection for LDL</w:t>
            </w:r>
            <w:r>
              <w:rPr>
                <w:spacing w:val="-1"/>
                <w:sz w:val="38"/>
              </w:rPr>
              <w:t> </w:t>
            </w:r>
            <w:r>
              <w:rPr>
                <w:sz w:val="38"/>
              </w:rPr>
              <w:t>cholesterol.</w:t>
            </w:r>
          </w:p>
        </w:tc>
      </w:tr>
    </w:tbl>
    <w:p>
      <w:pPr>
        <w:spacing w:after="0" w:line="276" w:lineRule="auto"/>
        <w:rPr>
          <w:sz w:val="38"/>
        </w:rPr>
        <w:sectPr>
          <w:pgSz w:w="14270" w:h="16850"/>
          <w:pgMar w:header="0" w:footer="404" w:top="1420" w:bottom="600" w:left="800" w:right="1280"/>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0"/>
        <w:gridCol w:w="4112"/>
      </w:tblGrid>
      <w:tr>
        <w:trPr>
          <w:trHeight w:val="9291" w:hRule="atLeast"/>
        </w:trPr>
        <w:tc>
          <w:tcPr>
            <w:tcW w:w="2480" w:type="dxa"/>
          </w:tcPr>
          <w:p>
            <w:pPr>
              <w:pStyle w:val="TableParagraph"/>
              <w:spacing w:before="236"/>
              <w:ind w:left="71"/>
              <w:rPr>
                <w:sz w:val="38"/>
              </w:rPr>
            </w:pPr>
            <w:r>
              <w:rPr>
                <w:sz w:val="38"/>
              </w:rPr>
              <w:t>Thrombosis</w:t>
            </w:r>
          </w:p>
        </w:tc>
        <w:tc>
          <w:tcPr>
            <w:tcW w:w="4112" w:type="dxa"/>
          </w:tcPr>
          <w:p>
            <w:pPr>
              <w:pStyle w:val="TableParagraph"/>
              <w:spacing w:line="276" w:lineRule="auto" w:before="234"/>
              <w:ind w:left="71" w:right="144"/>
              <w:rPr>
                <w:sz w:val="38"/>
              </w:rPr>
            </w:pPr>
            <w:r>
              <w:rPr>
                <w:sz w:val="38"/>
              </w:rPr>
              <w:t>Collagen development protects the inner vessel wall from damage and keeps it smooth and sup- ple. Calcium and fat de- posits cannot attach, ath- erosclerosis, the main cause of thrombosis, is prevented and existing atherosclerosis is reduced. Furthermore, smooth muscle tumours are pre- vented, vitamin P protects against fatty acids and de- constructs fatty deposits and represents an antioxi- dative protection for LDL cholesterol.</w:t>
            </w:r>
          </w:p>
        </w:tc>
      </w:tr>
      <w:tr>
        <w:trPr>
          <w:trHeight w:val="2208" w:hRule="atLeast"/>
        </w:trPr>
        <w:tc>
          <w:tcPr>
            <w:tcW w:w="2480" w:type="dxa"/>
          </w:tcPr>
          <w:p>
            <w:pPr>
              <w:pStyle w:val="TableParagraph"/>
              <w:spacing w:line="278" w:lineRule="auto" w:before="231"/>
              <w:ind w:left="71" w:right="685"/>
              <w:rPr>
                <w:sz w:val="38"/>
              </w:rPr>
            </w:pPr>
            <w:r>
              <w:rPr>
                <w:sz w:val="38"/>
              </w:rPr>
              <w:t>High blood pressure</w:t>
            </w:r>
          </w:p>
        </w:tc>
        <w:tc>
          <w:tcPr>
            <w:tcW w:w="4112" w:type="dxa"/>
          </w:tcPr>
          <w:p>
            <w:pPr>
              <w:pStyle w:val="TableParagraph"/>
              <w:spacing w:line="276" w:lineRule="auto" w:before="231"/>
              <w:ind w:left="71" w:right="69"/>
              <w:rPr>
                <w:sz w:val="38"/>
              </w:rPr>
            </w:pPr>
            <w:r>
              <w:rPr>
                <w:sz w:val="38"/>
              </w:rPr>
              <w:t>Vitamin C deficiency and OPC deficiency have a di- rect correlation with high</w:t>
            </w:r>
          </w:p>
          <w:p>
            <w:pPr>
              <w:pStyle w:val="TableParagraph"/>
              <w:spacing w:before="2"/>
              <w:ind w:left="71"/>
              <w:rPr>
                <w:sz w:val="38"/>
              </w:rPr>
            </w:pPr>
            <w:r>
              <w:rPr>
                <w:sz w:val="38"/>
              </w:rPr>
              <w:t>blood pressure. The intake</w:t>
            </w:r>
          </w:p>
        </w:tc>
      </w:tr>
    </w:tbl>
    <w:p>
      <w:pPr>
        <w:spacing w:after="0"/>
        <w:rPr>
          <w:sz w:val="38"/>
        </w:rPr>
        <w:sectPr>
          <w:pgSz w:w="14270" w:h="16850"/>
          <w:pgMar w:header="0" w:footer="404" w:top="1420" w:bottom="600" w:left="800" w:right="1280"/>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0"/>
        <w:gridCol w:w="4112"/>
      </w:tblGrid>
      <w:tr>
        <w:trPr>
          <w:trHeight w:val="4627" w:hRule="atLeast"/>
        </w:trPr>
        <w:tc>
          <w:tcPr>
            <w:tcW w:w="2480" w:type="dxa"/>
          </w:tcPr>
          <w:p>
            <w:pPr>
              <w:pStyle w:val="TableParagraph"/>
              <w:rPr>
                <w:rFonts w:ascii="Times New Roman"/>
                <w:sz w:val="36"/>
              </w:rPr>
            </w:pPr>
          </w:p>
        </w:tc>
        <w:tc>
          <w:tcPr>
            <w:tcW w:w="4112" w:type="dxa"/>
          </w:tcPr>
          <w:p>
            <w:pPr>
              <w:pStyle w:val="TableParagraph"/>
              <w:spacing w:line="276" w:lineRule="auto"/>
              <w:ind w:left="71" w:right="89"/>
              <w:rPr>
                <w:sz w:val="38"/>
              </w:rPr>
            </w:pPr>
            <w:r>
              <w:rPr>
                <w:sz w:val="38"/>
              </w:rPr>
              <w:t>of OPC and vitamin C</w:t>
            </w:r>
            <w:r>
              <w:rPr>
                <w:spacing w:val="-12"/>
                <w:sz w:val="38"/>
              </w:rPr>
              <w:t> </w:t>
            </w:r>
            <w:r>
              <w:rPr>
                <w:sz w:val="38"/>
              </w:rPr>
              <w:t>sig- nificantly reduces high blood pressure due, among other things, to the improved collagen and elastin synthesis and thereby the renewal and elasticity of the blood ves- sels.</w:t>
            </w:r>
          </w:p>
        </w:tc>
      </w:tr>
      <w:tr>
        <w:trPr>
          <w:trHeight w:val="1914" w:hRule="atLeast"/>
        </w:trPr>
        <w:tc>
          <w:tcPr>
            <w:tcW w:w="2480" w:type="dxa"/>
          </w:tcPr>
          <w:p>
            <w:pPr>
              <w:pStyle w:val="TableParagraph"/>
              <w:spacing w:line="278" w:lineRule="auto" w:before="231"/>
              <w:ind w:left="71" w:right="297"/>
              <w:rPr>
                <w:sz w:val="38"/>
              </w:rPr>
            </w:pPr>
            <w:r>
              <w:rPr>
                <w:sz w:val="38"/>
              </w:rPr>
              <w:t>High blood li- pid levels</w:t>
            </w:r>
          </w:p>
        </w:tc>
        <w:tc>
          <w:tcPr>
            <w:tcW w:w="4112" w:type="dxa"/>
          </w:tcPr>
          <w:p>
            <w:pPr>
              <w:pStyle w:val="TableParagraph"/>
              <w:spacing w:line="276" w:lineRule="auto" w:before="231"/>
              <w:ind w:left="71" w:right="191"/>
              <w:rPr>
                <w:sz w:val="38"/>
              </w:rPr>
            </w:pPr>
            <w:r>
              <w:rPr>
                <w:sz w:val="38"/>
              </w:rPr>
              <w:t>Vitamin P/OPC regulates lipid levels (LDL and HDL cholesterol)</w:t>
            </w:r>
          </w:p>
        </w:tc>
      </w:tr>
      <w:tr>
        <w:trPr>
          <w:trHeight w:val="2404" w:hRule="atLeast"/>
        </w:trPr>
        <w:tc>
          <w:tcPr>
            <w:tcW w:w="2480" w:type="dxa"/>
          </w:tcPr>
          <w:p>
            <w:pPr>
              <w:pStyle w:val="TableParagraph"/>
              <w:spacing w:line="276" w:lineRule="auto" w:before="231"/>
              <w:ind w:left="71" w:right="155"/>
              <w:rPr>
                <w:sz w:val="38"/>
              </w:rPr>
            </w:pPr>
            <w:r>
              <w:rPr>
                <w:sz w:val="38"/>
              </w:rPr>
              <w:t>Connective tis- sue: sagging skin and cellu- lite</w:t>
            </w:r>
          </w:p>
        </w:tc>
        <w:tc>
          <w:tcPr>
            <w:tcW w:w="4112" w:type="dxa"/>
          </w:tcPr>
          <w:p>
            <w:pPr>
              <w:pStyle w:val="TableParagraph"/>
              <w:spacing w:line="276" w:lineRule="auto" w:before="231"/>
              <w:ind w:left="71" w:right="53"/>
              <w:rPr>
                <w:sz w:val="38"/>
              </w:rPr>
            </w:pPr>
            <w:r>
              <w:rPr>
                <w:sz w:val="38"/>
              </w:rPr>
              <w:t>The active construction and renewal of collagen and elastin prevent sagging skin and cellulite.</w:t>
            </w:r>
          </w:p>
        </w:tc>
      </w:tr>
      <w:tr>
        <w:trPr>
          <w:trHeight w:val="2407" w:hRule="atLeast"/>
        </w:trPr>
        <w:tc>
          <w:tcPr>
            <w:tcW w:w="2480" w:type="dxa"/>
          </w:tcPr>
          <w:p>
            <w:pPr>
              <w:pStyle w:val="TableParagraph"/>
              <w:spacing w:before="236"/>
              <w:ind w:left="71"/>
              <w:rPr>
                <w:sz w:val="38"/>
              </w:rPr>
            </w:pPr>
            <w:r>
              <w:rPr>
                <w:sz w:val="38"/>
              </w:rPr>
              <w:t>Cancer</w:t>
            </w:r>
          </w:p>
        </w:tc>
        <w:tc>
          <w:tcPr>
            <w:tcW w:w="4112" w:type="dxa"/>
          </w:tcPr>
          <w:p>
            <w:pPr>
              <w:pStyle w:val="TableParagraph"/>
              <w:spacing w:line="276" w:lineRule="auto" w:before="234"/>
              <w:ind w:left="71" w:right="69"/>
              <w:rPr>
                <w:sz w:val="38"/>
              </w:rPr>
            </w:pPr>
            <w:r>
              <w:rPr>
                <w:sz w:val="38"/>
              </w:rPr>
              <w:t>Is prevented or combatted by support of the immune system and build-up of collagen and elastin.</w:t>
            </w:r>
          </w:p>
        </w:tc>
      </w:tr>
    </w:tbl>
    <w:p>
      <w:pPr>
        <w:spacing w:after="0" w:line="276" w:lineRule="auto"/>
        <w:rPr>
          <w:sz w:val="38"/>
        </w:rPr>
        <w:sectPr>
          <w:pgSz w:w="14270" w:h="16850"/>
          <w:pgMar w:header="0" w:footer="404" w:top="1420" w:bottom="600" w:left="800" w:right="1280"/>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0"/>
        <w:gridCol w:w="4112"/>
      </w:tblGrid>
      <w:tr>
        <w:trPr>
          <w:trHeight w:val="2899" w:hRule="atLeast"/>
        </w:trPr>
        <w:tc>
          <w:tcPr>
            <w:tcW w:w="2480" w:type="dxa"/>
          </w:tcPr>
          <w:p>
            <w:pPr>
              <w:pStyle w:val="TableParagraph"/>
              <w:spacing w:before="236"/>
              <w:ind w:left="71"/>
              <w:rPr>
                <w:sz w:val="38"/>
              </w:rPr>
            </w:pPr>
            <w:r>
              <w:rPr>
                <w:sz w:val="38"/>
              </w:rPr>
              <w:t>Alzheimer’s</w:t>
            </w:r>
          </w:p>
        </w:tc>
        <w:tc>
          <w:tcPr>
            <w:tcW w:w="4112" w:type="dxa"/>
          </w:tcPr>
          <w:p>
            <w:pPr>
              <w:pStyle w:val="TableParagraph"/>
              <w:spacing w:line="276" w:lineRule="auto" w:before="234"/>
              <w:ind w:left="71" w:right="310"/>
              <w:rPr>
                <w:sz w:val="38"/>
              </w:rPr>
            </w:pPr>
            <w:r>
              <w:rPr>
                <w:sz w:val="38"/>
              </w:rPr>
              <w:t>Due to the prevention of cell destruction by oxida- tion, Alzheimer's is pre- vented or the condition gets better.</w:t>
            </w:r>
          </w:p>
        </w:tc>
      </w:tr>
      <w:tr>
        <w:trPr>
          <w:trHeight w:val="2899" w:hRule="atLeast"/>
        </w:trPr>
        <w:tc>
          <w:tcPr>
            <w:tcW w:w="2480" w:type="dxa"/>
          </w:tcPr>
          <w:p>
            <w:pPr>
              <w:pStyle w:val="TableParagraph"/>
              <w:spacing w:line="278" w:lineRule="auto" w:before="231"/>
              <w:ind w:left="71"/>
              <w:rPr>
                <w:sz w:val="38"/>
              </w:rPr>
            </w:pPr>
            <w:r>
              <w:rPr>
                <w:sz w:val="38"/>
              </w:rPr>
              <w:t>Multiple Scle- rosis (MS)</w:t>
            </w:r>
          </w:p>
        </w:tc>
        <w:tc>
          <w:tcPr>
            <w:tcW w:w="4112" w:type="dxa"/>
          </w:tcPr>
          <w:p>
            <w:pPr>
              <w:pStyle w:val="TableParagraph"/>
              <w:spacing w:line="276" w:lineRule="auto" w:before="231"/>
              <w:ind w:left="71" w:right="310"/>
              <w:rPr>
                <w:sz w:val="38"/>
              </w:rPr>
            </w:pPr>
            <w:r>
              <w:rPr>
                <w:sz w:val="38"/>
              </w:rPr>
              <w:t>Due to the prevention of cell destruction by oxida- tion, MS can be avoided or the condition im- proved.</w:t>
            </w:r>
          </w:p>
        </w:tc>
      </w:tr>
      <w:tr>
        <w:trPr>
          <w:trHeight w:val="2407" w:hRule="atLeast"/>
        </w:trPr>
        <w:tc>
          <w:tcPr>
            <w:tcW w:w="2480" w:type="dxa"/>
          </w:tcPr>
          <w:p>
            <w:pPr>
              <w:pStyle w:val="TableParagraph"/>
              <w:spacing w:before="234"/>
              <w:ind w:left="71"/>
              <w:rPr>
                <w:sz w:val="38"/>
              </w:rPr>
            </w:pPr>
            <w:r>
              <w:rPr>
                <w:sz w:val="38"/>
              </w:rPr>
              <w:t>Senility</w:t>
            </w:r>
          </w:p>
        </w:tc>
        <w:tc>
          <w:tcPr>
            <w:tcW w:w="4112" w:type="dxa"/>
          </w:tcPr>
          <w:p>
            <w:pPr>
              <w:pStyle w:val="TableParagraph"/>
              <w:spacing w:line="276" w:lineRule="auto" w:before="231"/>
              <w:ind w:left="71" w:right="310"/>
              <w:rPr>
                <w:sz w:val="38"/>
              </w:rPr>
            </w:pPr>
            <w:r>
              <w:rPr>
                <w:sz w:val="38"/>
              </w:rPr>
              <w:t>Due to the prevention of cell destruction by oxida- tion, senility can be pre- vented or ameliorated.</w:t>
            </w:r>
          </w:p>
        </w:tc>
      </w:tr>
      <w:tr>
        <w:trPr>
          <w:trHeight w:val="2406" w:hRule="atLeast"/>
        </w:trPr>
        <w:tc>
          <w:tcPr>
            <w:tcW w:w="2480" w:type="dxa"/>
          </w:tcPr>
          <w:p>
            <w:pPr>
              <w:pStyle w:val="TableParagraph"/>
              <w:spacing w:before="234"/>
              <w:ind w:left="71"/>
              <w:rPr>
                <w:sz w:val="38"/>
              </w:rPr>
            </w:pPr>
            <w:r>
              <w:rPr>
                <w:sz w:val="38"/>
              </w:rPr>
              <w:t>Forgetfulness</w:t>
            </w:r>
          </w:p>
        </w:tc>
        <w:tc>
          <w:tcPr>
            <w:tcW w:w="4112" w:type="dxa"/>
          </w:tcPr>
          <w:p>
            <w:pPr>
              <w:pStyle w:val="TableParagraph"/>
              <w:spacing w:line="276" w:lineRule="auto" w:before="231"/>
              <w:ind w:left="71" w:right="305"/>
              <w:jc w:val="both"/>
              <w:rPr>
                <w:sz w:val="38"/>
              </w:rPr>
            </w:pPr>
            <w:r>
              <w:rPr>
                <w:sz w:val="38"/>
              </w:rPr>
              <w:t>Due to the prevention of cell destruction by oxida- tion, forgetfulness can be strongly reduced.</w:t>
            </w:r>
          </w:p>
        </w:tc>
      </w:tr>
      <w:tr>
        <w:trPr>
          <w:trHeight w:val="1423" w:hRule="atLeast"/>
        </w:trPr>
        <w:tc>
          <w:tcPr>
            <w:tcW w:w="2480" w:type="dxa"/>
          </w:tcPr>
          <w:p>
            <w:pPr>
              <w:pStyle w:val="TableParagraph"/>
              <w:spacing w:line="278" w:lineRule="auto" w:before="232"/>
              <w:ind w:left="71" w:right="328"/>
              <w:rPr>
                <w:sz w:val="38"/>
              </w:rPr>
            </w:pPr>
            <w:r>
              <w:rPr>
                <w:sz w:val="38"/>
              </w:rPr>
              <w:t>Hair loss, hair breakage</w:t>
            </w:r>
          </w:p>
        </w:tc>
        <w:tc>
          <w:tcPr>
            <w:tcW w:w="4112" w:type="dxa"/>
          </w:tcPr>
          <w:p>
            <w:pPr>
              <w:pStyle w:val="TableParagraph"/>
              <w:spacing w:line="276" w:lineRule="auto" w:before="232"/>
              <w:ind w:left="71" w:right="80"/>
              <w:rPr>
                <w:sz w:val="38"/>
              </w:rPr>
            </w:pPr>
            <w:r>
              <w:rPr>
                <w:sz w:val="38"/>
              </w:rPr>
              <w:t>The increased blood circu- lation in the scalp area can</w:t>
            </w:r>
          </w:p>
        </w:tc>
      </w:tr>
    </w:tbl>
    <w:p>
      <w:pPr>
        <w:spacing w:after="0" w:line="276" w:lineRule="auto"/>
        <w:rPr>
          <w:sz w:val="38"/>
        </w:rPr>
        <w:sectPr>
          <w:pgSz w:w="14270" w:h="16850"/>
          <w:pgMar w:header="0" w:footer="404" w:top="1420" w:bottom="600" w:left="800" w:right="1280"/>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0"/>
        <w:gridCol w:w="4112"/>
      </w:tblGrid>
      <w:tr>
        <w:trPr>
          <w:trHeight w:val="1675" w:hRule="atLeast"/>
        </w:trPr>
        <w:tc>
          <w:tcPr>
            <w:tcW w:w="2480" w:type="dxa"/>
          </w:tcPr>
          <w:p>
            <w:pPr>
              <w:pStyle w:val="TableParagraph"/>
              <w:rPr>
                <w:rFonts w:ascii="Times New Roman"/>
                <w:sz w:val="36"/>
              </w:rPr>
            </w:pPr>
          </w:p>
        </w:tc>
        <w:tc>
          <w:tcPr>
            <w:tcW w:w="4112" w:type="dxa"/>
          </w:tcPr>
          <w:p>
            <w:pPr>
              <w:pStyle w:val="TableParagraph"/>
              <w:spacing w:line="276" w:lineRule="auto"/>
              <w:ind w:left="71" w:right="307"/>
              <w:jc w:val="both"/>
              <w:rPr>
                <w:sz w:val="38"/>
              </w:rPr>
            </w:pPr>
            <w:r>
              <w:rPr>
                <w:sz w:val="38"/>
              </w:rPr>
              <w:t>prevent hair loss and hair breakage; healthy growth is encouraged.</w:t>
            </w:r>
          </w:p>
        </w:tc>
      </w:tr>
      <w:tr>
        <w:trPr>
          <w:trHeight w:val="2899" w:hRule="atLeast"/>
        </w:trPr>
        <w:tc>
          <w:tcPr>
            <w:tcW w:w="2480" w:type="dxa"/>
          </w:tcPr>
          <w:p>
            <w:pPr>
              <w:pStyle w:val="TableParagraph"/>
              <w:spacing w:before="236"/>
              <w:ind w:left="71"/>
              <w:rPr>
                <w:sz w:val="38"/>
              </w:rPr>
            </w:pPr>
            <w:r>
              <w:rPr>
                <w:sz w:val="38"/>
              </w:rPr>
              <w:t>Parkinson’s</w:t>
            </w:r>
          </w:p>
        </w:tc>
        <w:tc>
          <w:tcPr>
            <w:tcW w:w="4112" w:type="dxa"/>
          </w:tcPr>
          <w:p>
            <w:pPr>
              <w:pStyle w:val="TableParagraph"/>
              <w:spacing w:line="276" w:lineRule="auto" w:before="234"/>
              <w:ind w:left="71" w:right="310"/>
              <w:rPr>
                <w:sz w:val="38"/>
              </w:rPr>
            </w:pPr>
            <w:r>
              <w:rPr>
                <w:sz w:val="38"/>
              </w:rPr>
              <w:t>Due to the prevention of cell destruction by oxida- tion, Parkinson's is pre- vented or the condition gets better.</w:t>
            </w:r>
          </w:p>
        </w:tc>
      </w:tr>
      <w:tr>
        <w:trPr>
          <w:trHeight w:val="4372" w:hRule="atLeast"/>
        </w:trPr>
        <w:tc>
          <w:tcPr>
            <w:tcW w:w="2480" w:type="dxa"/>
          </w:tcPr>
          <w:p>
            <w:pPr>
              <w:pStyle w:val="TableParagraph"/>
              <w:spacing w:before="234"/>
              <w:ind w:left="71"/>
              <w:rPr>
                <w:sz w:val="38"/>
              </w:rPr>
            </w:pPr>
            <w:r>
              <w:rPr>
                <w:sz w:val="38"/>
              </w:rPr>
              <w:t>Ageing</w:t>
            </w:r>
          </w:p>
        </w:tc>
        <w:tc>
          <w:tcPr>
            <w:tcW w:w="4112" w:type="dxa"/>
          </w:tcPr>
          <w:p>
            <w:pPr>
              <w:pStyle w:val="TableParagraph"/>
              <w:spacing w:line="276" w:lineRule="auto" w:before="231"/>
              <w:ind w:left="71" w:right="132"/>
              <w:rPr>
                <w:sz w:val="38"/>
              </w:rPr>
            </w:pPr>
            <w:r>
              <w:rPr>
                <w:sz w:val="38"/>
              </w:rPr>
              <w:t>As the most important and most efficient antioxi- dant, OPC/vitamin P</w:t>
            </w:r>
            <w:r>
              <w:rPr>
                <w:spacing w:val="-9"/>
                <w:sz w:val="38"/>
              </w:rPr>
              <w:t> </w:t>
            </w:r>
            <w:r>
              <w:rPr>
                <w:sz w:val="38"/>
              </w:rPr>
              <w:t>very successfully combats oxi- dation and thus the de- struction (ageing) of body cells while reducing cell- mediated</w:t>
            </w:r>
            <w:r>
              <w:rPr>
                <w:spacing w:val="-2"/>
                <w:sz w:val="38"/>
              </w:rPr>
              <w:t> </w:t>
            </w:r>
            <w:r>
              <w:rPr>
                <w:sz w:val="38"/>
              </w:rPr>
              <w:t>immunity.</w:t>
            </w:r>
          </w:p>
        </w:tc>
      </w:tr>
      <w:tr>
        <w:trPr>
          <w:trHeight w:val="2899" w:hRule="atLeast"/>
        </w:trPr>
        <w:tc>
          <w:tcPr>
            <w:tcW w:w="2480" w:type="dxa"/>
          </w:tcPr>
          <w:p>
            <w:pPr>
              <w:pStyle w:val="TableParagraph"/>
              <w:spacing w:before="236"/>
              <w:ind w:left="71"/>
              <w:rPr>
                <w:sz w:val="38"/>
              </w:rPr>
            </w:pPr>
            <w:r>
              <w:rPr>
                <w:sz w:val="38"/>
              </w:rPr>
              <w:t>Detoxification</w:t>
            </w:r>
          </w:p>
        </w:tc>
        <w:tc>
          <w:tcPr>
            <w:tcW w:w="4112" w:type="dxa"/>
          </w:tcPr>
          <w:p>
            <w:pPr>
              <w:pStyle w:val="TableParagraph"/>
              <w:spacing w:line="276" w:lineRule="auto" w:before="234"/>
              <w:ind w:left="71" w:right="41"/>
              <w:rPr>
                <w:sz w:val="38"/>
              </w:rPr>
            </w:pPr>
            <w:r>
              <w:rPr>
                <w:sz w:val="38"/>
              </w:rPr>
              <w:t>Vitamin P promotes the decline of so-called oxi- dases and helps the liver to break down toxins and other toxic substances.</w:t>
            </w:r>
          </w:p>
        </w:tc>
      </w:tr>
    </w:tbl>
    <w:p>
      <w:pPr>
        <w:spacing w:after="0" w:line="276" w:lineRule="auto"/>
        <w:rPr>
          <w:sz w:val="38"/>
        </w:rPr>
        <w:sectPr>
          <w:footerReference w:type="default" r:id="rId273"/>
          <w:pgSz w:w="14270" w:h="16850"/>
          <w:pgMar w:footer="404" w:header="0" w:top="1420" w:bottom="600" w:left="800" w:right="1280"/>
          <w:pgNumType w:start="1130"/>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0"/>
        <w:gridCol w:w="4112"/>
      </w:tblGrid>
      <w:tr>
        <w:trPr>
          <w:trHeight w:val="3192" w:hRule="atLeast"/>
        </w:trPr>
        <w:tc>
          <w:tcPr>
            <w:tcW w:w="2480" w:type="dxa"/>
          </w:tcPr>
          <w:p>
            <w:pPr>
              <w:pStyle w:val="TableParagraph"/>
              <w:spacing w:line="276" w:lineRule="auto" w:before="234"/>
              <w:ind w:left="71" w:right="384"/>
              <w:rPr>
                <w:sz w:val="38"/>
              </w:rPr>
            </w:pPr>
            <w:r>
              <w:rPr>
                <w:sz w:val="38"/>
              </w:rPr>
              <w:t>Methemoglo- binemia</w:t>
            </w:r>
          </w:p>
        </w:tc>
        <w:tc>
          <w:tcPr>
            <w:tcW w:w="4112" w:type="dxa"/>
          </w:tcPr>
          <w:p>
            <w:pPr>
              <w:pStyle w:val="TableParagraph"/>
              <w:spacing w:line="276" w:lineRule="auto" w:before="234"/>
              <w:ind w:left="71" w:right="71"/>
              <w:jc w:val="both"/>
              <w:rPr>
                <w:sz w:val="38"/>
              </w:rPr>
            </w:pPr>
            <w:r>
              <w:rPr>
                <w:sz w:val="38"/>
              </w:rPr>
              <w:t>The cause of this disease is haemoglobin oxidation.</w:t>
            </w:r>
          </w:p>
          <w:p>
            <w:pPr>
              <w:pStyle w:val="TableParagraph"/>
              <w:spacing w:line="276" w:lineRule="auto"/>
              <w:ind w:left="71" w:right="146"/>
              <w:jc w:val="both"/>
              <w:rPr>
                <w:sz w:val="38"/>
              </w:rPr>
            </w:pPr>
            <w:r>
              <w:rPr>
                <w:sz w:val="38"/>
              </w:rPr>
              <w:t>Here, vitamin OPC prom- ises a significant improve- ment as the most effective</w:t>
            </w:r>
          </w:p>
          <w:p>
            <w:pPr>
              <w:pStyle w:val="TableParagraph"/>
              <w:ind w:left="71"/>
              <w:jc w:val="both"/>
              <w:rPr>
                <w:sz w:val="38"/>
              </w:rPr>
            </w:pPr>
            <w:r>
              <w:rPr>
                <w:sz w:val="38"/>
              </w:rPr>
              <w:t>antioxidant.</w:t>
            </w:r>
          </w:p>
        </w:tc>
      </w:tr>
    </w:tbl>
    <w:p>
      <w:pPr>
        <w:pStyle w:val="BodyText"/>
        <w:rPr>
          <w:sz w:val="20"/>
        </w:rPr>
      </w:pPr>
    </w:p>
    <w:p>
      <w:pPr>
        <w:pStyle w:val="BodyText"/>
        <w:rPr>
          <w:sz w:val="20"/>
        </w:rPr>
      </w:pPr>
    </w:p>
    <w:p>
      <w:pPr>
        <w:pStyle w:val="BodyText"/>
        <w:rPr>
          <w:sz w:val="20"/>
        </w:rPr>
      </w:pPr>
    </w:p>
    <w:p>
      <w:pPr>
        <w:pStyle w:val="BodyText"/>
        <w:spacing w:before="10"/>
        <w:rPr>
          <w:sz w:val="16"/>
        </w:rPr>
      </w:pPr>
    </w:p>
    <w:p>
      <w:pPr>
        <w:pStyle w:val="Heading2"/>
        <w:numPr>
          <w:ilvl w:val="1"/>
          <w:numId w:val="78"/>
        </w:numPr>
        <w:tabs>
          <w:tab w:pos="1092" w:val="left" w:leader="none"/>
        </w:tabs>
        <w:spacing w:line="240" w:lineRule="auto" w:before="99" w:after="0"/>
        <w:ind w:left="1091" w:right="0" w:hanging="475"/>
        <w:jc w:val="left"/>
      </w:pPr>
      <w:r>
        <w:rPr/>
        <w:t>Detailed</w:t>
      </w:r>
      <w:r>
        <w:rPr>
          <w:spacing w:val="-25"/>
        </w:rPr>
        <w:t> </w:t>
      </w:r>
      <w:r>
        <w:rPr/>
        <w:t>explanation</w:t>
      </w:r>
      <w:r>
        <w:rPr>
          <w:spacing w:val="-24"/>
        </w:rPr>
        <w:t> </w:t>
      </w:r>
      <w:r>
        <w:rPr/>
        <w:t>of</w:t>
      </w:r>
      <w:r>
        <w:rPr>
          <w:spacing w:val="-24"/>
        </w:rPr>
        <w:t> </w:t>
      </w:r>
      <w:r>
        <w:rPr/>
        <w:t>the</w:t>
      </w:r>
      <w:r>
        <w:rPr>
          <w:spacing w:val="-24"/>
        </w:rPr>
        <w:t> </w:t>
      </w:r>
      <w:r>
        <w:rPr/>
        <w:t>preventive</w:t>
      </w:r>
      <w:r>
        <w:rPr>
          <w:spacing w:val="-24"/>
        </w:rPr>
        <w:t> </w:t>
      </w:r>
      <w:r>
        <w:rPr/>
        <w:t>and</w:t>
      </w:r>
      <w:r>
        <w:rPr>
          <w:spacing w:val="-25"/>
        </w:rPr>
        <w:t> </w:t>
      </w:r>
      <w:r>
        <w:rPr/>
        <w:t>therapeutic</w:t>
      </w:r>
      <w:r>
        <w:rPr>
          <w:spacing w:val="-25"/>
        </w:rPr>
        <w:t> </w:t>
      </w:r>
      <w:r>
        <w:rPr/>
        <w:t>effects</w:t>
      </w:r>
      <w:r>
        <w:rPr>
          <w:spacing w:val="-24"/>
        </w:rPr>
        <w:t> </w:t>
      </w:r>
      <w:r>
        <w:rPr/>
        <w:t>of</w:t>
      </w:r>
      <w:r>
        <w:rPr>
          <w:spacing w:val="-24"/>
        </w:rPr>
        <w:t> </w:t>
      </w:r>
      <w:r>
        <w:rPr/>
        <w:t>OPC</w:t>
      </w:r>
    </w:p>
    <w:p>
      <w:pPr>
        <w:pStyle w:val="BodyText"/>
        <w:spacing w:line="276" w:lineRule="auto" w:before="305"/>
        <w:ind w:left="616" w:right="131"/>
        <w:jc w:val="both"/>
      </w:pPr>
      <w:r>
        <w:rPr/>
        <w:t>OPC/vitamin</w:t>
      </w:r>
      <w:r>
        <w:rPr>
          <w:spacing w:val="-10"/>
        </w:rPr>
        <w:t> </w:t>
      </w:r>
      <w:r>
        <w:rPr/>
        <w:t>P</w:t>
      </w:r>
      <w:r>
        <w:rPr>
          <w:spacing w:val="-10"/>
        </w:rPr>
        <w:t> </w:t>
      </w:r>
      <w:r>
        <w:rPr/>
        <w:t>is</w:t>
      </w:r>
      <w:r>
        <w:rPr>
          <w:spacing w:val="-9"/>
        </w:rPr>
        <w:t> </w:t>
      </w:r>
      <w:r>
        <w:rPr/>
        <w:t>a</w:t>
      </w:r>
      <w:r>
        <w:rPr>
          <w:spacing w:val="-11"/>
        </w:rPr>
        <w:t> </w:t>
      </w:r>
      <w:r>
        <w:rPr/>
        <w:t>relatively</w:t>
      </w:r>
      <w:r>
        <w:rPr>
          <w:spacing w:val="-10"/>
        </w:rPr>
        <w:t> </w:t>
      </w:r>
      <w:r>
        <w:rPr/>
        <w:t>'young</w:t>
      </w:r>
      <w:r>
        <w:rPr>
          <w:spacing w:val="-10"/>
        </w:rPr>
        <w:t> </w:t>
      </w:r>
      <w:r>
        <w:rPr/>
        <w:t>vitamin'</w:t>
      </w:r>
      <w:r>
        <w:rPr>
          <w:spacing w:val="-9"/>
        </w:rPr>
        <w:t> </w:t>
      </w:r>
      <w:r>
        <w:rPr/>
        <w:t>and</w:t>
      </w:r>
      <w:r>
        <w:rPr>
          <w:spacing w:val="-8"/>
        </w:rPr>
        <w:t> </w:t>
      </w:r>
      <w:r>
        <w:rPr/>
        <w:t>is</w:t>
      </w:r>
      <w:r>
        <w:rPr>
          <w:spacing w:val="-10"/>
        </w:rPr>
        <w:t> </w:t>
      </w:r>
      <w:r>
        <w:rPr/>
        <w:t>scandalously</w:t>
      </w:r>
      <w:r>
        <w:rPr>
          <w:spacing w:val="-10"/>
        </w:rPr>
        <w:t> </w:t>
      </w:r>
      <w:r>
        <w:rPr/>
        <w:t>sabotaged</w:t>
      </w:r>
      <w:r>
        <w:rPr>
          <w:spacing w:val="-10"/>
        </w:rPr>
        <w:t> </w:t>
      </w:r>
      <w:r>
        <w:rPr/>
        <w:t>to the greatest extent possible by certain lobby groups due to its enormous po- tential for action. That's why there are not nearly as many studies on OPC as there are for other 'older' vitamins. But the studies available to us are enor- mously</w:t>
      </w:r>
      <w:r>
        <w:rPr>
          <w:spacing w:val="-8"/>
        </w:rPr>
        <w:t> </w:t>
      </w:r>
      <w:r>
        <w:rPr/>
        <w:t>auspicious,</w:t>
      </w:r>
      <w:r>
        <w:rPr>
          <w:spacing w:val="-7"/>
        </w:rPr>
        <w:t> </w:t>
      </w:r>
      <w:r>
        <w:rPr/>
        <w:t>suggesting</w:t>
      </w:r>
      <w:r>
        <w:rPr>
          <w:spacing w:val="-8"/>
        </w:rPr>
        <w:t> </w:t>
      </w:r>
      <w:r>
        <w:rPr/>
        <w:t>unprecedented</w:t>
      </w:r>
      <w:r>
        <w:rPr>
          <w:spacing w:val="-10"/>
        </w:rPr>
        <w:t> </w:t>
      </w:r>
      <w:r>
        <w:rPr/>
        <w:t>positive</w:t>
      </w:r>
      <w:r>
        <w:rPr>
          <w:spacing w:val="-8"/>
        </w:rPr>
        <w:t> </w:t>
      </w:r>
      <w:r>
        <w:rPr/>
        <w:t>effects</w:t>
      </w:r>
      <w:r>
        <w:rPr>
          <w:spacing w:val="-6"/>
        </w:rPr>
        <w:t> </w:t>
      </w:r>
      <w:r>
        <w:rPr/>
        <w:t>on</w:t>
      </w:r>
      <w:r>
        <w:rPr>
          <w:spacing w:val="-8"/>
        </w:rPr>
        <w:t> </w:t>
      </w:r>
      <w:r>
        <w:rPr/>
        <w:t>our</w:t>
      </w:r>
      <w:r>
        <w:rPr>
          <w:spacing w:val="-10"/>
        </w:rPr>
        <w:t> </w:t>
      </w:r>
      <w:r>
        <w:rPr/>
        <w:t>health;</w:t>
      </w:r>
      <w:r>
        <w:rPr>
          <w:spacing w:val="-7"/>
        </w:rPr>
        <w:t> </w:t>
      </w:r>
      <w:r>
        <w:rPr/>
        <w:t>at the</w:t>
      </w:r>
      <w:r>
        <w:rPr>
          <w:spacing w:val="-12"/>
        </w:rPr>
        <w:t> </w:t>
      </w:r>
      <w:r>
        <w:rPr/>
        <w:t>same</w:t>
      </w:r>
      <w:r>
        <w:rPr>
          <w:spacing w:val="-12"/>
        </w:rPr>
        <w:t> </w:t>
      </w:r>
      <w:r>
        <w:rPr/>
        <w:t>time,</w:t>
      </w:r>
      <w:r>
        <w:rPr>
          <w:spacing w:val="-11"/>
        </w:rPr>
        <w:t> </w:t>
      </w:r>
      <w:r>
        <w:rPr/>
        <w:t>they</w:t>
      </w:r>
      <w:r>
        <w:rPr>
          <w:spacing w:val="-12"/>
        </w:rPr>
        <w:t> </w:t>
      </w:r>
      <w:r>
        <w:rPr/>
        <w:t>emphasise</w:t>
      </w:r>
      <w:r>
        <w:rPr>
          <w:spacing w:val="-12"/>
        </w:rPr>
        <w:t> </w:t>
      </w:r>
      <w:r>
        <w:rPr/>
        <w:t>the</w:t>
      </w:r>
      <w:r>
        <w:rPr>
          <w:spacing w:val="-12"/>
        </w:rPr>
        <w:t> </w:t>
      </w:r>
      <w:r>
        <w:rPr/>
        <w:t>freedom</w:t>
      </w:r>
      <w:r>
        <w:rPr>
          <w:spacing w:val="-11"/>
        </w:rPr>
        <w:t> </w:t>
      </w:r>
      <w:r>
        <w:rPr/>
        <w:t>from</w:t>
      </w:r>
      <w:r>
        <w:rPr>
          <w:spacing w:val="-14"/>
        </w:rPr>
        <w:t> </w:t>
      </w:r>
      <w:r>
        <w:rPr/>
        <w:t>side</w:t>
      </w:r>
      <w:r>
        <w:rPr>
          <w:spacing w:val="-12"/>
        </w:rPr>
        <w:t> </w:t>
      </w:r>
      <w:r>
        <w:rPr/>
        <w:t>effects</w:t>
      </w:r>
      <w:r>
        <w:rPr>
          <w:spacing w:val="-12"/>
        </w:rPr>
        <w:t> </w:t>
      </w:r>
      <w:r>
        <w:rPr/>
        <w:t>and</w:t>
      </w:r>
      <w:r>
        <w:rPr>
          <w:spacing w:val="-12"/>
        </w:rPr>
        <w:t> </w:t>
      </w:r>
      <w:r>
        <w:rPr/>
        <w:t>the</w:t>
      </w:r>
      <w:r>
        <w:rPr>
          <w:spacing w:val="-12"/>
        </w:rPr>
        <w:t> </w:t>
      </w:r>
      <w:r>
        <w:rPr/>
        <w:t>complete safety of the vitamin. Also, testimonials from people who already use OPC speak of an immense gift from nature – with many benefits from one single vitamin which, with current knowledge, we are far from knowing the totality of.</w:t>
      </w:r>
    </w:p>
    <w:p>
      <w:pPr>
        <w:spacing w:line="276" w:lineRule="auto" w:before="239"/>
        <w:ind w:left="616" w:right="132" w:firstLine="0"/>
        <w:jc w:val="both"/>
        <w:rPr>
          <w:sz w:val="38"/>
        </w:rPr>
      </w:pPr>
      <w:r>
        <w:rPr>
          <w:sz w:val="38"/>
        </w:rPr>
        <w:t>In addition to collagen and elastin synthesis and thus the construction and re- pair of human tissue, which probably no other known substance in the world can do as successfully as OPC/vitamin P </w:t>
      </w:r>
      <w:r>
        <w:rPr>
          <w:i/>
          <w:sz w:val="38"/>
        </w:rPr>
        <w:t>(reminder: OPC is the only substance that </w:t>
      </w:r>
      <w:r>
        <w:rPr>
          <w:i/>
          <w:sz w:val="38"/>
        </w:rPr>
        <w:t>binds</w:t>
      </w:r>
      <w:r>
        <w:rPr>
          <w:i/>
          <w:spacing w:val="-14"/>
          <w:sz w:val="38"/>
        </w:rPr>
        <w:t> </w:t>
      </w:r>
      <w:r>
        <w:rPr>
          <w:i/>
          <w:sz w:val="38"/>
        </w:rPr>
        <w:t>directly</w:t>
      </w:r>
      <w:r>
        <w:rPr>
          <w:i/>
          <w:spacing w:val="-10"/>
          <w:sz w:val="38"/>
        </w:rPr>
        <w:t> </w:t>
      </w:r>
      <w:r>
        <w:rPr>
          <w:i/>
          <w:sz w:val="38"/>
        </w:rPr>
        <w:t>to</w:t>
      </w:r>
      <w:r>
        <w:rPr>
          <w:i/>
          <w:spacing w:val="-14"/>
          <w:sz w:val="38"/>
        </w:rPr>
        <w:t> </w:t>
      </w:r>
      <w:r>
        <w:rPr>
          <w:i/>
          <w:sz w:val="38"/>
        </w:rPr>
        <w:t>the</w:t>
      </w:r>
      <w:r>
        <w:rPr>
          <w:i/>
          <w:spacing w:val="-15"/>
          <w:sz w:val="38"/>
        </w:rPr>
        <w:t> </w:t>
      </w:r>
      <w:r>
        <w:rPr>
          <w:i/>
          <w:sz w:val="38"/>
        </w:rPr>
        <w:t>proteins),</w:t>
      </w:r>
      <w:r>
        <w:rPr>
          <w:i/>
          <w:spacing w:val="-7"/>
          <w:sz w:val="38"/>
        </w:rPr>
        <w:t> </w:t>
      </w:r>
      <w:r>
        <w:rPr>
          <w:sz w:val="38"/>
        </w:rPr>
        <w:t>OPC,</w:t>
      </w:r>
      <w:r>
        <w:rPr>
          <w:spacing w:val="-14"/>
          <w:sz w:val="38"/>
        </w:rPr>
        <w:t> </w:t>
      </w:r>
      <w:r>
        <w:rPr>
          <w:sz w:val="38"/>
        </w:rPr>
        <w:t>with</w:t>
      </w:r>
      <w:r>
        <w:rPr>
          <w:spacing w:val="-11"/>
          <w:sz w:val="38"/>
        </w:rPr>
        <w:t> </w:t>
      </w:r>
      <w:r>
        <w:rPr>
          <w:sz w:val="38"/>
        </w:rPr>
        <w:t>a</w:t>
      </w:r>
      <w:r>
        <w:rPr>
          <w:spacing w:val="-13"/>
          <w:sz w:val="38"/>
        </w:rPr>
        <w:t> </w:t>
      </w:r>
      <w:r>
        <w:rPr>
          <w:sz w:val="38"/>
        </w:rPr>
        <w:t>previously</w:t>
      </w:r>
      <w:r>
        <w:rPr>
          <w:spacing w:val="-13"/>
          <w:sz w:val="38"/>
        </w:rPr>
        <w:t> </w:t>
      </w:r>
      <w:r>
        <w:rPr>
          <w:sz w:val="38"/>
        </w:rPr>
        <w:t>unknown</w:t>
      </w:r>
      <w:r>
        <w:rPr>
          <w:spacing w:val="-12"/>
          <w:sz w:val="38"/>
        </w:rPr>
        <w:t> </w:t>
      </w:r>
      <w:r>
        <w:rPr>
          <w:sz w:val="38"/>
        </w:rPr>
        <w:t>power,</w:t>
      </w:r>
      <w:r>
        <w:rPr>
          <w:spacing w:val="-11"/>
          <w:sz w:val="38"/>
        </w:rPr>
        <w:t> </w:t>
      </w:r>
      <w:r>
        <w:rPr>
          <w:sz w:val="38"/>
        </w:rPr>
        <w:t>manages</w:t>
      </w:r>
      <w:r>
        <w:rPr>
          <w:spacing w:val="-14"/>
          <w:sz w:val="38"/>
        </w:rPr>
        <w:t> </w:t>
      </w:r>
      <w:r>
        <w:rPr>
          <w:sz w:val="38"/>
        </w:rPr>
        <w:t>to</w:t>
      </w:r>
    </w:p>
    <w:p>
      <w:pPr>
        <w:spacing w:after="0" w:line="276" w:lineRule="auto"/>
        <w:jc w:val="both"/>
        <w:rPr>
          <w:sz w:val="38"/>
        </w:rPr>
        <w:sectPr>
          <w:pgSz w:w="14270" w:h="16850"/>
          <w:pgMar w:header="0" w:footer="404" w:top="1420" w:bottom="600" w:left="800" w:right="1280"/>
        </w:sectPr>
      </w:pPr>
    </w:p>
    <w:p>
      <w:pPr>
        <w:pStyle w:val="BodyText"/>
        <w:spacing w:line="278" w:lineRule="auto" w:before="72"/>
        <w:ind w:left="616" w:right="136"/>
        <w:jc w:val="both"/>
      </w:pPr>
      <w:r>
        <w:rPr/>
        <w:t>neutralise harmful free radicals - with 20 times the effect of vitamin C and 50 times the effect of vitamin E.</w:t>
      </w:r>
    </w:p>
    <w:p>
      <w:pPr>
        <w:pStyle w:val="BodyText"/>
        <w:spacing w:line="276" w:lineRule="auto" w:before="232"/>
        <w:ind w:left="616" w:right="133"/>
        <w:jc w:val="both"/>
      </w:pPr>
      <w:r>
        <w:rPr/>
        <w:t>These two very well-documented properties probably form the basis for the effects shown in the table above in various clinical pictures – similar to the effect of vitamin C (but many times more efficient). OPC certainly has count- less other benefits which previously largely unknown.</w:t>
      </w:r>
    </w:p>
    <w:p>
      <w:pPr>
        <w:pStyle w:val="Heading1"/>
        <w:spacing w:before="225"/>
        <w:ind w:left="616"/>
      </w:pPr>
      <w:r>
        <w:rPr>
          <w:w w:val="95"/>
        </w:rPr>
        <w:t>Arteriosclerosis, heart attack, stroke, pulmonary infarction, thrombosis</w:t>
      </w:r>
    </w:p>
    <w:p>
      <w:pPr>
        <w:pStyle w:val="BodyText"/>
        <w:spacing w:line="276" w:lineRule="auto" w:before="299"/>
        <w:ind w:left="616" w:right="135"/>
        <w:jc w:val="both"/>
      </w:pPr>
      <w:r>
        <w:rPr/>
        <w:t>Atherosclerosis</w:t>
      </w:r>
      <w:r>
        <w:rPr>
          <w:spacing w:val="-13"/>
        </w:rPr>
        <w:t> </w:t>
      </w:r>
      <w:r>
        <w:rPr/>
        <w:t>('calcification</w:t>
      </w:r>
      <w:r>
        <w:rPr>
          <w:spacing w:val="-10"/>
        </w:rPr>
        <w:t> </w:t>
      </w:r>
      <w:r>
        <w:rPr/>
        <w:t>of</w:t>
      </w:r>
      <w:r>
        <w:rPr>
          <w:spacing w:val="-12"/>
        </w:rPr>
        <w:t> </w:t>
      </w:r>
      <w:r>
        <w:rPr/>
        <w:t>veins')</w:t>
      </w:r>
      <w:r>
        <w:rPr>
          <w:spacing w:val="-11"/>
        </w:rPr>
        <w:t> </w:t>
      </w:r>
      <w:r>
        <w:rPr/>
        <w:t>refers</w:t>
      </w:r>
      <w:r>
        <w:rPr>
          <w:spacing w:val="-11"/>
        </w:rPr>
        <w:t> </w:t>
      </w:r>
      <w:r>
        <w:rPr/>
        <w:t>to</w:t>
      </w:r>
      <w:r>
        <w:rPr>
          <w:spacing w:val="-9"/>
        </w:rPr>
        <w:t> </w:t>
      </w:r>
      <w:r>
        <w:rPr/>
        <w:t>the</w:t>
      </w:r>
      <w:r>
        <w:rPr>
          <w:spacing w:val="-10"/>
        </w:rPr>
        <w:t> </w:t>
      </w:r>
      <w:r>
        <w:rPr/>
        <w:t>deposition</w:t>
      </w:r>
      <w:r>
        <w:rPr>
          <w:spacing w:val="-11"/>
        </w:rPr>
        <w:t> </w:t>
      </w:r>
      <w:r>
        <w:rPr/>
        <w:t>of</w:t>
      </w:r>
      <w:r>
        <w:rPr>
          <w:spacing w:val="-12"/>
        </w:rPr>
        <w:t> </w:t>
      </w:r>
      <w:r>
        <w:rPr/>
        <w:t>blood</w:t>
      </w:r>
      <w:r>
        <w:rPr>
          <w:spacing w:val="-12"/>
        </w:rPr>
        <w:t> </w:t>
      </w:r>
      <w:r>
        <w:rPr/>
        <w:t>lipids and calcium on the inner wall of the blood vessels (arteries). These deposits lead to clogging in blood vessels, meaning the oxygen-enriched blood cannot flow</w:t>
      </w:r>
      <w:r>
        <w:rPr>
          <w:spacing w:val="-2"/>
        </w:rPr>
        <w:t> </w:t>
      </w:r>
      <w:r>
        <w:rPr/>
        <w:t>properly.</w:t>
      </w:r>
    </w:p>
    <w:p>
      <w:pPr>
        <w:pStyle w:val="BodyText"/>
        <w:spacing w:line="276" w:lineRule="auto" w:before="239"/>
        <w:ind w:left="616" w:right="138"/>
        <w:jc w:val="both"/>
      </w:pPr>
      <w:r>
        <w:rPr/>
        <w:t>If the clogging of the artery is so large that the blood does not reach the heart sufficiently, it will not receive oxygen, leading to a heart attack. See details in chapter 'Vitamin C'</w:t>
      </w:r>
    </w:p>
    <w:p>
      <w:pPr>
        <w:pStyle w:val="BodyText"/>
        <w:rPr>
          <w:sz w:val="42"/>
        </w:rPr>
      </w:pPr>
    </w:p>
    <w:p>
      <w:pPr>
        <w:pStyle w:val="BodyText"/>
        <w:spacing w:before="4"/>
        <w:rPr>
          <w:sz w:val="44"/>
        </w:rPr>
      </w:pPr>
    </w:p>
    <w:p>
      <w:pPr>
        <w:pStyle w:val="Heading2"/>
        <w:ind w:left="616"/>
      </w:pPr>
      <w:r>
        <w:rPr/>
        <w:t>Cancer</w:t>
      </w:r>
    </w:p>
    <w:p>
      <w:pPr>
        <w:tabs>
          <w:tab w:pos="9287" w:val="left" w:leader="none"/>
        </w:tabs>
        <w:spacing w:line="278" w:lineRule="auto" w:before="304"/>
        <w:ind w:left="616" w:right="542" w:firstLine="0"/>
        <w:jc w:val="left"/>
        <w:rPr>
          <w:b/>
          <w:sz w:val="38"/>
        </w:rPr>
      </w:pPr>
      <w:r>
        <w:rPr>
          <w:b/>
          <w:sz w:val="38"/>
        </w:rPr>
        <w:t>About one in two people in Central Europe</w:t>
      </w:r>
      <w:r>
        <w:rPr>
          <w:b/>
          <w:spacing w:val="-17"/>
          <w:sz w:val="38"/>
        </w:rPr>
        <w:t> </w:t>
      </w:r>
      <w:r>
        <w:rPr>
          <w:b/>
          <w:sz w:val="38"/>
        </w:rPr>
        <w:t>and</w:t>
      </w:r>
      <w:r>
        <w:rPr>
          <w:b/>
          <w:spacing w:val="-3"/>
          <w:sz w:val="38"/>
        </w:rPr>
        <w:t> </w:t>
      </w:r>
      <w:r>
        <w:rPr>
          <w:b/>
          <w:sz w:val="38"/>
        </w:rPr>
        <w:t>the</w:t>
        <w:tab/>
        <w:t>USA </w:t>
      </w:r>
      <w:r>
        <w:rPr>
          <w:b/>
          <w:position w:val="9"/>
          <w:sz w:val="25"/>
        </w:rPr>
        <w:t>637 </w:t>
      </w:r>
      <w:r>
        <w:rPr>
          <w:b/>
          <w:sz w:val="38"/>
        </w:rPr>
        <w:t>suffers from cancer, one in four dies of it</w:t>
      </w:r>
      <w:r>
        <w:rPr>
          <w:b/>
          <w:position w:val="9"/>
          <w:sz w:val="25"/>
        </w:rPr>
        <w:t>638 </w:t>
      </w:r>
      <w:r>
        <w:rPr>
          <w:b/>
          <w:sz w:val="38"/>
        </w:rPr>
        <w:t>– and the number is</w:t>
      </w:r>
      <w:r>
        <w:rPr>
          <w:b/>
          <w:spacing w:val="-49"/>
          <w:sz w:val="38"/>
        </w:rPr>
        <w:t> </w:t>
      </w:r>
      <w:r>
        <w:rPr>
          <w:b/>
          <w:sz w:val="38"/>
        </w:rPr>
        <w:t>rising.</w:t>
      </w:r>
    </w:p>
    <w:p>
      <w:pPr>
        <w:pStyle w:val="BodyText"/>
        <w:spacing w:before="233"/>
        <w:ind w:left="616"/>
        <w:jc w:val="both"/>
      </w:pPr>
      <w:r>
        <w:rPr/>
        <w:t>As we have already seen in the section 'Vitamin C', a number of mechanisms</w:t>
      </w:r>
    </w:p>
    <w:p>
      <w:pPr>
        <w:pStyle w:val="BodyText"/>
        <w:rPr>
          <w:sz w:val="20"/>
        </w:rPr>
      </w:pPr>
    </w:p>
    <w:p>
      <w:pPr>
        <w:pStyle w:val="BodyText"/>
        <w:spacing w:before="2"/>
        <w:rPr>
          <w:sz w:val="16"/>
        </w:rPr>
      </w:pPr>
      <w:r>
        <w:rPr/>
        <w:pict>
          <v:line style="position:absolute;mso-position-horizontal-relative:page;mso-position-vertical-relative:paragraph;z-index:8240;mso-wrap-distance-left:0;mso-wrap-distance-right:0" from="70.823997pt,11.491235pt" to="214.843997pt,11.491235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637 </w:t>
      </w:r>
      <w:r>
        <w:rPr>
          <w:sz w:val="20"/>
        </w:rPr>
        <w:t>https://</w:t>
      </w:r>
      <w:hyperlink r:id="rId7">
        <w:r>
          <w:rPr>
            <w:sz w:val="20"/>
          </w:rPr>
          <w:t>www.medicalnewstoday.com/articles/288916.php</w:t>
        </w:r>
      </w:hyperlink>
    </w:p>
    <w:p>
      <w:pPr>
        <w:spacing w:before="94"/>
        <w:ind w:left="616" w:right="0" w:firstLine="0"/>
        <w:jc w:val="left"/>
        <w:rPr>
          <w:sz w:val="20"/>
        </w:rPr>
      </w:pPr>
      <w:r>
        <w:rPr>
          <w:position w:val="5"/>
          <w:sz w:val="13"/>
        </w:rPr>
        <w:t>638 </w:t>
      </w:r>
      <w:r>
        <w:rPr>
          <w:sz w:val="20"/>
        </w:rPr>
        <w:t>https://gis.cdc.gov/Cancer/USCS/DataViz.html</w:t>
      </w:r>
    </w:p>
    <w:p>
      <w:pPr>
        <w:spacing w:after="0"/>
        <w:jc w:val="left"/>
        <w:rPr>
          <w:sz w:val="20"/>
        </w:rPr>
        <w:sectPr>
          <w:pgSz w:w="14270" w:h="16850"/>
          <w:pgMar w:header="0" w:footer="404" w:top="1340" w:bottom="2080" w:left="800" w:right="1280"/>
        </w:sectPr>
      </w:pPr>
    </w:p>
    <w:p>
      <w:pPr>
        <w:pStyle w:val="BodyText"/>
        <w:spacing w:line="278" w:lineRule="auto" w:before="72"/>
        <w:ind w:left="616"/>
      </w:pPr>
      <w:r>
        <w:rPr/>
        <w:t>of</w:t>
      </w:r>
      <w:r>
        <w:rPr>
          <w:spacing w:val="-19"/>
        </w:rPr>
        <w:t> </w:t>
      </w:r>
      <w:r>
        <w:rPr/>
        <w:t>the</w:t>
      </w:r>
      <w:r>
        <w:rPr>
          <w:spacing w:val="-17"/>
        </w:rPr>
        <w:t> </w:t>
      </w:r>
      <w:r>
        <w:rPr/>
        <w:t>partner</w:t>
      </w:r>
      <w:r>
        <w:rPr>
          <w:spacing w:val="-17"/>
        </w:rPr>
        <w:t> </w:t>
      </w:r>
      <w:r>
        <w:rPr/>
        <w:t>vitamin</w:t>
      </w:r>
      <w:r>
        <w:rPr>
          <w:spacing w:val="-17"/>
        </w:rPr>
        <w:t> </w:t>
      </w:r>
      <w:r>
        <w:rPr/>
        <w:t>C</w:t>
      </w:r>
      <w:r>
        <w:rPr>
          <w:spacing w:val="-19"/>
        </w:rPr>
        <w:t> </w:t>
      </w:r>
      <w:r>
        <w:rPr/>
        <w:t>are</w:t>
      </w:r>
      <w:r>
        <w:rPr>
          <w:spacing w:val="-17"/>
        </w:rPr>
        <w:t> </w:t>
      </w:r>
      <w:r>
        <w:rPr/>
        <w:t>involved</w:t>
      </w:r>
      <w:r>
        <w:rPr>
          <w:spacing w:val="-19"/>
        </w:rPr>
        <w:t> </w:t>
      </w:r>
      <w:r>
        <w:rPr/>
        <w:t>in</w:t>
      </w:r>
      <w:r>
        <w:rPr>
          <w:spacing w:val="-18"/>
        </w:rPr>
        <w:t> </w:t>
      </w:r>
      <w:r>
        <w:rPr/>
        <w:t>the</w:t>
      </w:r>
      <w:r>
        <w:rPr>
          <w:spacing w:val="-17"/>
        </w:rPr>
        <w:t> </w:t>
      </w:r>
      <w:r>
        <w:rPr/>
        <w:t>prevention</w:t>
      </w:r>
      <w:r>
        <w:rPr>
          <w:spacing w:val="-17"/>
        </w:rPr>
        <w:t> </w:t>
      </w:r>
      <w:r>
        <w:rPr/>
        <w:t>and</w:t>
      </w:r>
      <w:r>
        <w:rPr>
          <w:spacing w:val="-19"/>
        </w:rPr>
        <w:t> </w:t>
      </w:r>
      <w:r>
        <w:rPr/>
        <w:t>treatment</w:t>
      </w:r>
      <w:r>
        <w:rPr>
          <w:spacing w:val="-18"/>
        </w:rPr>
        <w:t> </w:t>
      </w:r>
      <w:r>
        <w:rPr/>
        <w:t>potential of cancer.</w:t>
      </w:r>
    </w:p>
    <w:p>
      <w:pPr>
        <w:pStyle w:val="BodyText"/>
        <w:spacing w:line="276" w:lineRule="auto" w:before="232"/>
        <w:ind w:left="616" w:right="141"/>
        <w:jc w:val="both"/>
      </w:pPr>
      <w:r>
        <w:rPr/>
        <w:t>Since there are only a few meaningful studies on OPC and tumour formation to date, we are particularly interested in three mechanisms that have already been well-researched for OPC:</w:t>
      </w:r>
    </w:p>
    <w:p>
      <w:pPr>
        <w:pStyle w:val="ListParagraph"/>
        <w:numPr>
          <w:ilvl w:val="0"/>
          <w:numId w:val="82"/>
        </w:numPr>
        <w:tabs>
          <w:tab w:pos="1000" w:val="left" w:leader="none"/>
        </w:tabs>
        <w:spacing w:line="240" w:lineRule="auto" w:before="241" w:after="0"/>
        <w:ind w:left="616" w:right="0" w:firstLine="0"/>
        <w:jc w:val="left"/>
        <w:rPr>
          <w:sz w:val="38"/>
        </w:rPr>
      </w:pPr>
      <w:r>
        <w:rPr>
          <w:sz w:val="38"/>
        </w:rPr>
        <w:t>strengthening the immune</w:t>
      </w:r>
      <w:r>
        <w:rPr>
          <w:spacing w:val="1"/>
          <w:sz w:val="38"/>
        </w:rPr>
        <w:t> </w:t>
      </w:r>
      <w:r>
        <w:rPr>
          <w:sz w:val="38"/>
        </w:rPr>
        <w:t>system,</w:t>
      </w:r>
    </w:p>
    <w:p>
      <w:pPr>
        <w:pStyle w:val="ListParagraph"/>
        <w:numPr>
          <w:ilvl w:val="0"/>
          <w:numId w:val="82"/>
        </w:numPr>
        <w:tabs>
          <w:tab w:pos="1000" w:val="left" w:leader="none"/>
        </w:tabs>
        <w:spacing w:line="240" w:lineRule="auto" w:before="305" w:after="0"/>
        <w:ind w:left="616" w:right="0" w:firstLine="0"/>
        <w:jc w:val="left"/>
        <w:rPr>
          <w:sz w:val="38"/>
        </w:rPr>
      </w:pPr>
      <w:r>
        <w:rPr>
          <w:sz w:val="38"/>
        </w:rPr>
        <w:t>preventing of oxidation</w:t>
      </w:r>
      <w:r>
        <w:rPr>
          <w:spacing w:val="-1"/>
          <w:sz w:val="38"/>
        </w:rPr>
        <w:t> </w:t>
      </w:r>
      <w:r>
        <w:rPr>
          <w:sz w:val="38"/>
        </w:rPr>
        <w:t>and</w:t>
      </w:r>
    </w:p>
    <w:p>
      <w:pPr>
        <w:pStyle w:val="ListParagraph"/>
        <w:numPr>
          <w:ilvl w:val="0"/>
          <w:numId w:val="82"/>
        </w:numPr>
        <w:tabs>
          <w:tab w:pos="1000" w:val="left" w:leader="none"/>
        </w:tabs>
        <w:spacing w:line="410" w:lineRule="auto" w:before="305" w:after="0"/>
        <w:ind w:left="616" w:right="8481" w:firstLine="0"/>
        <w:jc w:val="left"/>
        <w:rPr>
          <w:sz w:val="38"/>
        </w:rPr>
      </w:pPr>
      <w:r>
        <w:rPr>
          <w:sz w:val="38"/>
        </w:rPr>
        <w:t>collagen synthesis. It is</w:t>
      </w:r>
      <w:r>
        <w:rPr>
          <w:spacing w:val="-1"/>
          <w:sz w:val="38"/>
        </w:rPr>
        <w:t> </w:t>
      </w:r>
      <w:r>
        <w:rPr>
          <w:sz w:val="38"/>
        </w:rPr>
        <w:t>known</w:t>
      </w:r>
    </w:p>
    <w:p>
      <w:pPr>
        <w:pStyle w:val="ListParagraph"/>
        <w:numPr>
          <w:ilvl w:val="1"/>
          <w:numId w:val="82"/>
        </w:numPr>
        <w:tabs>
          <w:tab w:pos="1220" w:val="left" w:leader="none"/>
        </w:tabs>
        <w:spacing w:line="271" w:lineRule="auto" w:before="0" w:after="0"/>
        <w:ind w:left="1182" w:right="134" w:hanging="139"/>
        <w:jc w:val="left"/>
        <w:rPr>
          <w:sz w:val="38"/>
        </w:rPr>
      </w:pPr>
      <w:r>
        <w:rPr>
          <w:sz w:val="38"/>
        </w:rPr>
        <w:t>that cancer weakens the immune system and is very frequently the result of a weak immune system in the first</w:t>
      </w:r>
      <w:r>
        <w:rPr>
          <w:spacing w:val="-3"/>
          <w:sz w:val="38"/>
        </w:rPr>
        <w:t> </w:t>
      </w:r>
      <w:r>
        <w:rPr>
          <w:sz w:val="38"/>
        </w:rPr>
        <w:t>place.</w:t>
      </w:r>
    </w:p>
    <w:p>
      <w:pPr>
        <w:pStyle w:val="ListParagraph"/>
        <w:numPr>
          <w:ilvl w:val="1"/>
          <w:numId w:val="82"/>
        </w:numPr>
        <w:tabs>
          <w:tab w:pos="1220" w:val="left" w:leader="none"/>
        </w:tabs>
        <w:spacing w:line="240" w:lineRule="auto" w:before="251" w:after="0"/>
        <w:ind w:left="1182" w:right="0" w:hanging="139"/>
        <w:jc w:val="left"/>
        <w:rPr>
          <w:sz w:val="38"/>
        </w:rPr>
      </w:pPr>
      <w:r>
        <w:rPr>
          <w:sz w:val="38"/>
        </w:rPr>
        <w:t>that oxidation (free radicals) can lead to</w:t>
      </w:r>
      <w:r>
        <w:rPr>
          <w:spacing w:val="1"/>
          <w:sz w:val="38"/>
        </w:rPr>
        <w:t> </w:t>
      </w:r>
      <w:r>
        <w:rPr>
          <w:sz w:val="38"/>
        </w:rPr>
        <w:t>cancer</w:t>
      </w:r>
    </w:p>
    <w:p>
      <w:pPr>
        <w:pStyle w:val="ListParagraph"/>
        <w:numPr>
          <w:ilvl w:val="1"/>
          <w:numId w:val="82"/>
        </w:numPr>
        <w:tabs>
          <w:tab w:pos="1220" w:val="left" w:leader="none"/>
        </w:tabs>
        <w:spacing w:line="271" w:lineRule="auto" w:before="306" w:after="0"/>
        <w:ind w:left="1182" w:right="131" w:hanging="139"/>
        <w:jc w:val="left"/>
        <w:rPr>
          <w:sz w:val="38"/>
        </w:rPr>
      </w:pPr>
      <w:r>
        <w:rPr>
          <w:sz w:val="38"/>
        </w:rPr>
        <w:t>that ravenous cancer cells attack our organs, which are mostly made up</w:t>
      </w:r>
      <w:r>
        <w:rPr>
          <w:spacing w:val="-51"/>
          <w:sz w:val="38"/>
        </w:rPr>
        <w:t> </w:t>
      </w:r>
      <w:r>
        <w:rPr>
          <w:sz w:val="38"/>
        </w:rPr>
        <w:t>of collagen and</w:t>
      </w:r>
      <w:r>
        <w:rPr>
          <w:spacing w:val="2"/>
          <w:sz w:val="38"/>
        </w:rPr>
        <w:t> </w:t>
      </w:r>
      <w:r>
        <w:rPr>
          <w:sz w:val="38"/>
        </w:rPr>
        <w:t>elastin.</w:t>
      </w:r>
    </w:p>
    <w:p>
      <w:pPr>
        <w:pStyle w:val="ListParagraph"/>
        <w:numPr>
          <w:ilvl w:val="0"/>
          <w:numId w:val="83"/>
        </w:numPr>
        <w:tabs>
          <w:tab w:pos="1500" w:val="left" w:leader="none"/>
        </w:tabs>
        <w:spacing w:line="276" w:lineRule="auto" w:before="250" w:after="0"/>
        <w:ind w:left="1403" w:right="133" w:hanging="360"/>
        <w:jc w:val="both"/>
        <w:rPr>
          <w:sz w:val="38"/>
        </w:rPr>
      </w:pPr>
      <w:r>
        <w:rPr>
          <w:i/>
          <w:sz w:val="38"/>
        </w:rPr>
        <w:t>The immune system: </w:t>
      </w:r>
      <w:r>
        <w:rPr>
          <w:sz w:val="38"/>
        </w:rPr>
        <w:t>As the most important co-partner of vitamin C, OPC is able to significantly strengthen the immune system – at the same time, our immune system greatly benefits from its ability to multiply and strengthen the effects of vitamin A, vitamin E and vitamin C by a factor of ten.</w:t>
      </w:r>
    </w:p>
    <w:p>
      <w:pPr>
        <w:spacing w:after="0" w:line="276" w:lineRule="auto"/>
        <w:jc w:val="both"/>
        <w:rPr>
          <w:sz w:val="38"/>
        </w:rPr>
        <w:sectPr>
          <w:pgSz w:w="14270" w:h="16850"/>
          <w:pgMar w:header="0" w:footer="404" w:top="1340" w:bottom="2080" w:left="800" w:right="1280"/>
        </w:sectPr>
      </w:pPr>
    </w:p>
    <w:p>
      <w:pPr>
        <w:pStyle w:val="ListParagraph"/>
        <w:numPr>
          <w:ilvl w:val="0"/>
          <w:numId w:val="83"/>
        </w:numPr>
        <w:tabs>
          <w:tab w:pos="1500" w:val="left" w:leader="none"/>
        </w:tabs>
        <w:spacing w:line="276" w:lineRule="auto" w:before="72" w:after="0"/>
        <w:ind w:left="1403" w:right="133" w:hanging="360"/>
        <w:jc w:val="both"/>
        <w:rPr>
          <w:sz w:val="38"/>
        </w:rPr>
      </w:pPr>
      <w:r>
        <w:rPr>
          <w:i/>
          <w:sz w:val="38"/>
        </w:rPr>
        <w:t>Antioxidation</w:t>
      </w:r>
      <w:r>
        <w:rPr>
          <w:i/>
          <w:spacing w:val="-26"/>
          <w:sz w:val="38"/>
        </w:rPr>
        <w:t> </w:t>
      </w:r>
      <w:r>
        <w:rPr>
          <w:i/>
          <w:sz w:val="38"/>
        </w:rPr>
        <w:t>in</w:t>
      </w:r>
      <w:r>
        <w:rPr>
          <w:i/>
          <w:spacing w:val="-27"/>
          <w:sz w:val="38"/>
        </w:rPr>
        <w:t> </w:t>
      </w:r>
      <w:r>
        <w:rPr>
          <w:i/>
          <w:sz w:val="38"/>
        </w:rPr>
        <w:t>the</w:t>
      </w:r>
      <w:r>
        <w:rPr>
          <w:i/>
          <w:spacing w:val="-27"/>
          <w:sz w:val="38"/>
        </w:rPr>
        <w:t> </w:t>
      </w:r>
      <w:r>
        <w:rPr>
          <w:i/>
          <w:sz w:val="38"/>
        </w:rPr>
        <w:t>prevention</w:t>
      </w:r>
      <w:r>
        <w:rPr>
          <w:i/>
          <w:spacing w:val="-26"/>
          <w:sz w:val="38"/>
        </w:rPr>
        <w:t> </w:t>
      </w:r>
      <w:r>
        <w:rPr>
          <w:i/>
          <w:sz w:val="38"/>
        </w:rPr>
        <w:t>of</w:t>
      </w:r>
      <w:r>
        <w:rPr>
          <w:i/>
          <w:spacing w:val="-26"/>
          <w:sz w:val="38"/>
        </w:rPr>
        <w:t> </w:t>
      </w:r>
      <w:r>
        <w:rPr>
          <w:i/>
          <w:sz w:val="38"/>
        </w:rPr>
        <w:t>cancer:</w:t>
      </w:r>
      <w:r>
        <w:rPr>
          <w:i/>
          <w:spacing w:val="-26"/>
          <w:sz w:val="38"/>
        </w:rPr>
        <w:t> </w:t>
      </w:r>
      <w:r>
        <w:rPr>
          <w:sz w:val="38"/>
        </w:rPr>
        <w:t>An</w:t>
      </w:r>
      <w:r>
        <w:rPr>
          <w:spacing w:val="-26"/>
          <w:sz w:val="38"/>
        </w:rPr>
        <w:t> </w:t>
      </w:r>
      <w:r>
        <w:rPr>
          <w:sz w:val="38"/>
        </w:rPr>
        <w:t>extremely</w:t>
      </w:r>
      <w:r>
        <w:rPr>
          <w:spacing w:val="-25"/>
          <w:sz w:val="38"/>
        </w:rPr>
        <w:t> </w:t>
      </w:r>
      <w:r>
        <w:rPr>
          <w:sz w:val="38"/>
        </w:rPr>
        <w:t>potent</w:t>
      </w:r>
      <w:r>
        <w:rPr>
          <w:spacing w:val="-26"/>
          <w:sz w:val="38"/>
        </w:rPr>
        <w:t> </w:t>
      </w:r>
      <w:r>
        <w:rPr>
          <w:sz w:val="38"/>
        </w:rPr>
        <w:t>antioxidant</w:t>
      </w:r>
      <w:r>
        <w:rPr>
          <w:spacing w:val="-27"/>
          <w:sz w:val="38"/>
        </w:rPr>
        <w:t> </w:t>
      </w:r>
      <w:r>
        <w:rPr>
          <w:sz w:val="38"/>
        </w:rPr>
        <w:t>(40- 50 times as powerful as vitamin E, 18 to 20 times as powerful as vitamin C), OPC can kill attacking free radicals before they can cause</w:t>
      </w:r>
      <w:r>
        <w:rPr>
          <w:spacing w:val="-14"/>
          <w:sz w:val="38"/>
        </w:rPr>
        <w:t> </w:t>
      </w:r>
      <w:r>
        <w:rPr>
          <w:sz w:val="38"/>
        </w:rPr>
        <w:t>damage.</w:t>
      </w:r>
    </w:p>
    <w:p>
      <w:pPr>
        <w:pStyle w:val="ListParagraph"/>
        <w:numPr>
          <w:ilvl w:val="0"/>
          <w:numId w:val="83"/>
        </w:numPr>
        <w:tabs>
          <w:tab w:pos="1500" w:val="left" w:leader="none"/>
        </w:tabs>
        <w:spacing w:line="276" w:lineRule="auto" w:before="241" w:after="0"/>
        <w:ind w:left="1403" w:right="135" w:hanging="360"/>
        <w:jc w:val="both"/>
        <w:rPr>
          <w:sz w:val="38"/>
        </w:rPr>
      </w:pPr>
      <w:r>
        <w:rPr>
          <w:b/>
          <w:sz w:val="38"/>
        </w:rPr>
        <w:t>Collagen/elastin</w:t>
      </w:r>
      <w:r>
        <w:rPr>
          <w:b/>
          <w:spacing w:val="-15"/>
          <w:sz w:val="38"/>
        </w:rPr>
        <w:t> </w:t>
      </w:r>
      <w:r>
        <w:rPr>
          <w:b/>
          <w:sz w:val="38"/>
        </w:rPr>
        <w:t>synthesis</w:t>
      </w:r>
      <w:r>
        <w:rPr>
          <w:b/>
          <w:spacing w:val="-15"/>
          <w:sz w:val="38"/>
        </w:rPr>
        <w:t> </w:t>
      </w:r>
      <w:r>
        <w:rPr>
          <w:b/>
          <w:sz w:val="38"/>
        </w:rPr>
        <w:t>in</w:t>
      </w:r>
      <w:r>
        <w:rPr>
          <w:b/>
          <w:spacing w:val="-13"/>
          <w:sz w:val="38"/>
        </w:rPr>
        <w:t> </w:t>
      </w:r>
      <w:r>
        <w:rPr>
          <w:b/>
          <w:sz w:val="38"/>
        </w:rPr>
        <w:t>the</w:t>
      </w:r>
      <w:r>
        <w:rPr>
          <w:b/>
          <w:spacing w:val="-12"/>
          <w:sz w:val="38"/>
        </w:rPr>
        <w:t> </w:t>
      </w:r>
      <w:r>
        <w:rPr>
          <w:b/>
          <w:sz w:val="38"/>
        </w:rPr>
        <w:t>treatment</w:t>
      </w:r>
      <w:r>
        <w:rPr>
          <w:b/>
          <w:spacing w:val="-13"/>
          <w:sz w:val="38"/>
        </w:rPr>
        <w:t> </w:t>
      </w:r>
      <w:r>
        <w:rPr>
          <w:b/>
          <w:sz w:val="38"/>
        </w:rPr>
        <w:t>and</w:t>
      </w:r>
      <w:r>
        <w:rPr>
          <w:b/>
          <w:spacing w:val="-15"/>
          <w:sz w:val="38"/>
        </w:rPr>
        <w:t> </w:t>
      </w:r>
      <w:r>
        <w:rPr>
          <w:b/>
          <w:sz w:val="38"/>
        </w:rPr>
        <w:t>prevention</w:t>
      </w:r>
      <w:r>
        <w:rPr>
          <w:b/>
          <w:spacing w:val="-13"/>
          <w:sz w:val="38"/>
        </w:rPr>
        <w:t> </w:t>
      </w:r>
      <w:r>
        <w:rPr>
          <w:b/>
          <w:sz w:val="38"/>
        </w:rPr>
        <w:t>of</w:t>
      </w:r>
      <w:r>
        <w:rPr>
          <w:b/>
          <w:spacing w:val="-15"/>
          <w:sz w:val="38"/>
        </w:rPr>
        <w:t> </w:t>
      </w:r>
      <w:r>
        <w:rPr>
          <w:b/>
          <w:sz w:val="38"/>
        </w:rPr>
        <w:t>can- cer: </w:t>
      </w:r>
      <w:r>
        <w:rPr>
          <w:sz w:val="38"/>
        </w:rPr>
        <w:t>As already described, OPC is the only substance that binds to colla- gen and elastin and is able to protect and repair them, a mechanism that cannot be overestimated, especially in the case of cancer, which tries to consume the collagens (organ</w:t>
      </w:r>
      <w:r>
        <w:rPr>
          <w:spacing w:val="2"/>
          <w:sz w:val="38"/>
        </w:rPr>
        <w:t> </w:t>
      </w:r>
      <w:r>
        <w:rPr>
          <w:sz w:val="38"/>
        </w:rPr>
        <w:t>structure).</w:t>
      </w:r>
    </w:p>
    <w:p>
      <w:pPr>
        <w:pStyle w:val="BodyText"/>
        <w:spacing w:line="276" w:lineRule="auto" w:before="240"/>
        <w:ind w:left="616" w:right="136"/>
        <w:jc w:val="both"/>
      </w:pPr>
      <w:r>
        <w:rPr/>
        <w:t>Of course, OPC can do all this most efficiently with its cooperation partner, vitamin C. The two vitamins act like two inseparable twins, each doing their own thing, but together forming an unbeatable team. It is therefore not very surprising that these two substances only occur together in nature.</w:t>
      </w:r>
    </w:p>
    <w:p>
      <w:pPr>
        <w:pStyle w:val="BodyText"/>
        <w:spacing w:line="276" w:lineRule="auto" w:before="242"/>
        <w:ind w:left="616" w:right="135"/>
        <w:jc w:val="both"/>
      </w:pPr>
      <w:r>
        <w:rPr/>
        <w:t>Although there are some representative studies demonstrating the efficacy of high-dose vitamin C as a cooperative vitamin </w:t>
      </w:r>
      <w:r>
        <w:rPr>
          <w:spacing w:val="2"/>
        </w:rPr>
        <w:t>of </w:t>
      </w:r>
      <w:r>
        <w:rPr/>
        <w:t>OPC even without</w:t>
      </w:r>
      <w:r>
        <w:rPr>
          <w:spacing w:val="-57"/>
        </w:rPr>
        <w:t> </w:t>
      </w:r>
      <w:r>
        <w:rPr/>
        <w:t>additional substances (see section 'Vitamin C'), one should of course not rely on a single remedy</w:t>
      </w:r>
      <w:r>
        <w:rPr>
          <w:spacing w:val="-14"/>
        </w:rPr>
        <w:t> </w:t>
      </w:r>
      <w:r>
        <w:rPr/>
        <w:t>for</w:t>
      </w:r>
      <w:r>
        <w:rPr>
          <w:spacing w:val="-13"/>
        </w:rPr>
        <w:t> </w:t>
      </w:r>
      <w:r>
        <w:rPr/>
        <w:t>acute</w:t>
      </w:r>
      <w:r>
        <w:rPr>
          <w:spacing w:val="-13"/>
        </w:rPr>
        <w:t> </w:t>
      </w:r>
      <w:r>
        <w:rPr/>
        <w:t>cancer</w:t>
      </w:r>
      <w:r>
        <w:rPr>
          <w:spacing w:val="-11"/>
        </w:rPr>
        <w:t> </w:t>
      </w:r>
      <w:r>
        <w:rPr/>
        <w:t>–</w:t>
      </w:r>
      <w:r>
        <w:rPr>
          <w:spacing w:val="-13"/>
        </w:rPr>
        <w:t> </w:t>
      </w:r>
      <w:r>
        <w:rPr/>
        <w:t>rather</w:t>
      </w:r>
      <w:r>
        <w:rPr>
          <w:spacing w:val="-13"/>
        </w:rPr>
        <w:t> </w:t>
      </w:r>
      <w:r>
        <w:rPr/>
        <w:t>it</w:t>
      </w:r>
      <w:r>
        <w:rPr>
          <w:spacing w:val="-15"/>
        </w:rPr>
        <w:t> </w:t>
      </w:r>
      <w:r>
        <w:rPr/>
        <w:t>is</w:t>
      </w:r>
      <w:r>
        <w:rPr>
          <w:spacing w:val="-13"/>
        </w:rPr>
        <w:t> </w:t>
      </w:r>
      <w:r>
        <w:rPr/>
        <w:t>a</w:t>
      </w:r>
      <w:r>
        <w:rPr>
          <w:spacing w:val="-15"/>
        </w:rPr>
        <w:t> </w:t>
      </w:r>
      <w:r>
        <w:rPr/>
        <w:t>'composition'</w:t>
      </w:r>
      <w:r>
        <w:rPr>
          <w:spacing w:val="-13"/>
        </w:rPr>
        <w:t> </w:t>
      </w:r>
      <w:r>
        <w:rPr/>
        <w:t>of</w:t>
      </w:r>
      <w:r>
        <w:rPr>
          <w:spacing w:val="-14"/>
        </w:rPr>
        <w:t> </w:t>
      </w:r>
      <w:r>
        <w:rPr/>
        <w:t>natural</w:t>
      </w:r>
      <w:r>
        <w:rPr>
          <w:spacing w:val="-14"/>
        </w:rPr>
        <w:t> </w:t>
      </w:r>
      <w:r>
        <w:rPr/>
        <w:t>substances</w:t>
      </w:r>
      <w:r>
        <w:rPr>
          <w:spacing w:val="-13"/>
        </w:rPr>
        <w:t> </w:t>
      </w:r>
      <w:r>
        <w:rPr/>
        <w:t>that fight the cancer in</w:t>
      </w:r>
      <w:r>
        <w:rPr>
          <w:spacing w:val="2"/>
        </w:rPr>
        <w:t> </w:t>
      </w:r>
      <w:r>
        <w:rPr/>
        <w:t>interaction.</w:t>
      </w:r>
    </w:p>
    <w:p>
      <w:pPr>
        <w:pStyle w:val="Heading1"/>
        <w:spacing w:before="222"/>
        <w:ind w:left="616"/>
      </w:pPr>
      <w:r>
        <w:rPr/>
        <w:t>OPC/vitamin P and allergies</w:t>
      </w:r>
    </w:p>
    <w:p>
      <w:pPr>
        <w:pStyle w:val="BodyText"/>
        <w:spacing w:line="276" w:lineRule="auto" w:before="299"/>
        <w:ind w:left="616" w:right="131"/>
        <w:jc w:val="both"/>
      </w:pPr>
      <w:r>
        <w:rPr/>
        <w:t>We</w:t>
      </w:r>
      <w:r>
        <w:rPr>
          <w:spacing w:val="-18"/>
        </w:rPr>
        <w:t> </w:t>
      </w:r>
      <w:r>
        <w:rPr/>
        <w:t>'owe'</w:t>
      </w:r>
      <w:r>
        <w:rPr>
          <w:spacing w:val="-18"/>
        </w:rPr>
        <w:t> </w:t>
      </w:r>
      <w:r>
        <w:rPr/>
        <w:t>changing</w:t>
      </w:r>
      <w:r>
        <w:rPr>
          <w:spacing w:val="-18"/>
        </w:rPr>
        <w:t> </w:t>
      </w:r>
      <w:r>
        <w:rPr/>
        <w:t>environmental</w:t>
      </w:r>
      <w:r>
        <w:rPr>
          <w:spacing w:val="-20"/>
        </w:rPr>
        <w:t> </w:t>
      </w:r>
      <w:r>
        <w:rPr/>
        <w:t>conditions,</w:t>
      </w:r>
      <w:r>
        <w:rPr>
          <w:spacing w:val="-17"/>
        </w:rPr>
        <w:t> </w:t>
      </w:r>
      <w:r>
        <w:rPr/>
        <w:t>such</w:t>
      </w:r>
      <w:r>
        <w:rPr>
          <w:spacing w:val="-18"/>
        </w:rPr>
        <w:t> </w:t>
      </w:r>
      <w:r>
        <w:rPr/>
        <w:t>as</w:t>
      </w:r>
      <w:r>
        <w:rPr>
          <w:spacing w:val="-18"/>
        </w:rPr>
        <w:t> </w:t>
      </w:r>
      <w:r>
        <w:rPr/>
        <w:t>radiation,</w:t>
      </w:r>
      <w:r>
        <w:rPr>
          <w:spacing w:val="-18"/>
        </w:rPr>
        <w:t> </w:t>
      </w:r>
      <w:r>
        <w:rPr/>
        <w:t>smog</w:t>
      </w:r>
      <w:r>
        <w:rPr>
          <w:spacing w:val="-18"/>
        </w:rPr>
        <w:t> </w:t>
      </w:r>
      <w:r>
        <w:rPr/>
        <w:t>and</w:t>
      </w:r>
      <w:r>
        <w:rPr>
          <w:spacing w:val="-18"/>
        </w:rPr>
        <w:t> </w:t>
      </w:r>
      <w:r>
        <w:rPr/>
        <w:t>pes- ticides, for a veritable allergy epidemic, starting with asthma, hay fever, bron- chitis,</w:t>
      </w:r>
      <w:r>
        <w:rPr>
          <w:spacing w:val="-15"/>
        </w:rPr>
        <w:t> </w:t>
      </w:r>
      <w:r>
        <w:rPr/>
        <w:t>rhinitis,</w:t>
      </w:r>
      <w:r>
        <w:rPr>
          <w:spacing w:val="-16"/>
        </w:rPr>
        <w:t> </w:t>
      </w:r>
      <w:r>
        <w:rPr/>
        <w:t>food</w:t>
      </w:r>
      <w:r>
        <w:rPr>
          <w:spacing w:val="-15"/>
        </w:rPr>
        <w:t> </w:t>
      </w:r>
      <w:r>
        <w:rPr/>
        <w:t>allergies,</w:t>
      </w:r>
      <w:r>
        <w:rPr>
          <w:spacing w:val="-15"/>
        </w:rPr>
        <w:t> </w:t>
      </w:r>
      <w:r>
        <w:rPr/>
        <w:t>pet</w:t>
      </w:r>
      <w:r>
        <w:rPr>
          <w:spacing w:val="-20"/>
        </w:rPr>
        <w:t> </w:t>
      </w:r>
      <w:r>
        <w:rPr/>
        <w:t>allergies,</w:t>
      </w:r>
      <w:r>
        <w:rPr>
          <w:spacing w:val="-14"/>
        </w:rPr>
        <w:t> </w:t>
      </w:r>
      <w:r>
        <w:rPr/>
        <w:t>house-dust</w:t>
      </w:r>
      <w:r>
        <w:rPr>
          <w:spacing w:val="-16"/>
        </w:rPr>
        <w:t> </w:t>
      </w:r>
      <w:r>
        <w:rPr/>
        <w:t>allergies</w:t>
      </w:r>
      <w:r>
        <w:rPr>
          <w:spacing w:val="-14"/>
        </w:rPr>
        <w:t> </w:t>
      </w:r>
      <w:r>
        <w:rPr/>
        <w:t>and</w:t>
      </w:r>
      <w:r>
        <w:rPr>
          <w:spacing w:val="-16"/>
        </w:rPr>
        <w:t> </w:t>
      </w:r>
      <w:r>
        <w:rPr/>
        <w:t>many</w:t>
      </w:r>
      <w:r>
        <w:rPr>
          <w:spacing w:val="-14"/>
        </w:rPr>
        <w:t> </w:t>
      </w:r>
      <w:r>
        <w:rPr/>
        <w:t>more.</w:t>
      </w:r>
    </w:p>
    <w:p>
      <w:pPr>
        <w:spacing w:after="0" w:line="276" w:lineRule="auto"/>
        <w:jc w:val="both"/>
        <w:sectPr>
          <w:pgSz w:w="14270" w:h="16850"/>
          <w:pgMar w:header="0" w:footer="404" w:top="1340" w:bottom="2080" w:left="800" w:right="1280"/>
        </w:sectPr>
      </w:pPr>
    </w:p>
    <w:p>
      <w:pPr>
        <w:pStyle w:val="BodyText"/>
        <w:spacing w:line="276" w:lineRule="auto" w:before="74"/>
        <w:ind w:left="616" w:right="135"/>
        <w:jc w:val="both"/>
      </w:pPr>
      <w:r>
        <w:rPr/>
        <w:t>In</w:t>
      </w:r>
      <w:r>
        <w:rPr>
          <w:spacing w:val="-9"/>
        </w:rPr>
        <w:t> </w:t>
      </w:r>
      <w:r>
        <w:rPr/>
        <w:t>1985,</w:t>
      </w:r>
      <w:r>
        <w:rPr>
          <w:spacing w:val="-10"/>
        </w:rPr>
        <w:t> </w:t>
      </w:r>
      <w:r>
        <w:rPr/>
        <w:t>Japanese</w:t>
      </w:r>
      <w:r>
        <w:rPr>
          <w:spacing w:val="-8"/>
        </w:rPr>
        <w:t> </w:t>
      </w:r>
      <w:r>
        <w:rPr/>
        <w:t>scientists</w:t>
      </w:r>
      <w:r>
        <w:rPr>
          <w:spacing w:val="-9"/>
        </w:rPr>
        <w:t> </w:t>
      </w:r>
      <w:r>
        <w:rPr/>
        <w:t>succeeded</w:t>
      </w:r>
      <w:r>
        <w:rPr>
          <w:spacing w:val="-9"/>
        </w:rPr>
        <w:t> </w:t>
      </w:r>
      <w:r>
        <w:rPr/>
        <w:t>in</w:t>
      </w:r>
      <w:r>
        <w:rPr>
          <w:spacing w:val="-9"/>
        </w:rPr>
        <w:t> </w:t>
      </w:r>
      <w:r>
        <w:rPr/>
        <w:t>proving</w:t>
      </w:r>
      <w:r>
        <w:rPr>
          <w:spacing w:val="-8"/>
        </w:rPr>
        <w:t> </w:t>
      </w:r>
      <w:r>
        <w:rPr/>
        <w:t>that</w:t>
      </w:r>
      <w:r>
        <w:rPr>
          <w:spacing w:val="-9"/>
        </w:rPr>
        <w:t> </w:t>
      </w:r>
      <w:r>
        <w:rPr/>
        <w:t>OPC</w:t>
      </w:r>
      <w:r>
        <w:rPr>
          <w:spacing w:val="-10"/>
        </w:rPr>
        <w:t> </w:t>
      </w:r>
      <w:r>
        <w:rPr/>
        <w:t>addresses</w:t>
      </w:r>
      <w:r>
        <w:rPr>
          <w:spacing w:val="-8"/>
        </w:rPr>
        <w:t> </w:t>
      </w:r>
      <w:r>
        <w:rPr/>
        <w:t>the</w:t>
      </w:r>
      <w:r>
        <w:rPr>
          <w:spacing w:val="-7"/>
        </w:rPr>
        <w:t> </w:t>
      </w:r>
      <w:r>
        <w:rPr/>
        <w:t>root of the problem and unleashes its effect where the allergic reaction (inflamma- tion) begins via the activation of the hyaluronidase</w:t>
      </w:r>
      <w:r>
        <w:rPr>
          <w:spacing w:val="-1"/>
        </w:rPr>
        <w:t> </w:t>
      </w:r>
      <w:r>
        <w:rPr/>
        <w:t>enzyme.</w:t>
      </w:r>
    </w:p>
    <w:p>
      <w:pPr>
        <w:pStyle w:val="BodyText"/>
        <w:spacing w:line="278" w:lineRule="auto" w:before="239"/>
        <w:ind w:left="616" w:right="133"/>
        <w:jc w:val="both"/>
        <w:rPr>
          <w:sz w:val="25"/>
        </w:rPr>
      </w:pPr>
      <w:r>
        <w:rPr/>
        <w:t>At this point, OPC (vitamin P) blocks the allergy-causing histamine.</w:t>
      </w:r>
      <w:r>
        <w:rPr>
          <w:position w:val="9"/>
          <w:sz w:val="25"/>
        </w:rPr>
        <w:t>639 </w:t>
      </w:r>
      <w:r>
        <w:rPr/>
        <w:t>It also suppresses histidine from another allergenic agent.</w:t>
      </w:r>
      <w:r>
        <w:rPr>
          <w:position w:val="9"/>
          <w:sz w:val="25"/>
        </w:rPr>
        <w:t>640</w:t>
      </w:r>
    </w:p>
    <w:p>
      <w:pPr>
        <w:pStyle w:val="BodyText"/>
        <w:spacing w:line="276" w:lineRule="auto" w:before="232"/>
        <w:ind w:left="616" w:right="135"/>
        <w:jc w:val="both"/>
        <w:rPr>
          <w:sz w:val="25"/>
        </w:rPr>
      </w:pPr>
      <w:r>
        <w:rPr/>
        <w:t>The answer of conventional medicine cannot and must not represent the</w:t>
      </w:r>
      <w:r>
        <w:rPr>
          <w:spacing w:val="-67"/>
        </w:rPr>
        <w:t> </w:t>
      </w:r>
      <w:r>
        <w:rPr/>
        <w:t>con- clusion of our knowledge on this, because the drugs of the pharmaceutical in- dustry, the so-called antihistamines, are associated with some unpleasant side effects, from fatigue to nausea, headache, dizziness and... Here, too, OPC in- teracts with vitamin C to best develop its effect as a natural antiallergic. In a study, Dr. A. Clemetson proved that histamine in the blood is always associ- ated</w:t>
      </w:r>
      <w:r>
        <w:rPr>
          <w:spacing w:val="-20"/>
        </w:rPr>
        <w:t> </w:t>
      </w:r>
      <w:r>
        <w:rPr/>
        <w:t>with</w:t>
      </w:r>
      <w:r>
        <w:rPr>
          <w:spacing w:val="-18"/>
        </w:rPr>
        <w:t> </w:t>
      </w:r>
      <w:r>
        <w:rPr/>
        <w:t>a</w:t>
      </w:r>
      <w:r>
        <w:rPr>
          <w:spacing w:val="-19"/>
        </w:rPr>
        <w:t> </w:t>
      </w:r>
      <w:r>
        <w:rPr/>
        <w:t>vitamin</w:t>
      </w:r>
      <w:r>
        <w:rPr>
          <w:spacing w:val="-18"/>
        </w:rPr>
        <w:t> </w:t>
      </w:r>
      <w:r>
        <w:rPr/>
        <w:t>C</w:t>
      </w:r>
      <w:r>
        <w:rPr>
          <w:spacing w:val="-20"/>
        </w:rPr>
        <w:t> </w:t>
      </w:r>
      <w:r>
        <w:rPr/>
        <w:t>deficiency;</w:t>
      </w:r>
      <w:r>
        <w:rPr>
          <w:spacing w:val="-17"/>
        </w:rPr>
        <w:t> </w:t>
      </w:r>
      <w:r>
        <w:rPr/>
        <w:t>the</w:t>
      </w:r>
      <w:r>
        <w:rPr>
          <w:spacing w:val="-21"/>
        </w:rPr>
        <w:t> </w:t>
      </w:r>
      <w:r>
        <w:rPr/>
        <w:t>further</w:t>
      </w:r>
      <w:r>
        <w:rPr>
          <w:spacing w:val="-20"/>
        </w:rPr>
        <w:t> </w:t>
      </w:r>
      <w:r>
        <w:rPr/>
        <w:t>the</w:t>
      </w:r>
      <w:r>
        <w:rPr>
          <w:spacing w:val="-22"/>
        </w:rPr>
        <w:t> </w:t>
      </w:r>
      <w:r>
        <w:rPr/>
        <w:t>vitamin</w:t>
      </w:r>
      <w:r>
        <w:rPr>
          <w:spacing w:val="-18"/>
        </w:rPr>
        <w:t> </w:t>
      </w:r>
      <w:r>
        <w:rPr/>
        <w:t>C</w:t>
      </w:r>
      <w:r>
        <w:rPr>
          <w:spacing w:val="-19"/>
        </w:rPr>
        <w:t> </w:t>
      </w:r>
      <w:r>
        <w:rPr/>
        <w:t>level</w:t>
      </w:r>
      <w:r>
        <w:rPr>
          <w:spacing w:val="-20"/>
        </w:rPr>
        <w:t> </w:t>
      </w:r>
      <w:r>
        <w:rPr/>
        <w:t>falls,</w:t>
      </w:r>
      <w:r>
        <w:rPr>
          <w:spacing w:val="-18"/>
        </w:rPr>
        <w:t> </w:t>
      </w:r>
      <w:r>
        <w:rPr/>
        <w:t>the</w:t>
      </w:r>
      <w:r>
        <w:rPr>
          <w:spacing w:val="-19"/>
        </w:rPr>
        <w:t> </w:t>
      </w:r>
      <w:r>
        <w:rPr/>
        <w:t>higher the histamine level</w:t>
      </w:r>
      <w:r>
        <w:rPr>
          <w:spacing w:val="1"/>
        </w:rPr>
        <w:t> </w:t>
      </w:r>
      <w:r>
        <w:rPr/>
        <w:t>rises.</w:t>
      </w:r>
      <w:r>
        <w:rPr>
          <w:position w:val="9"/>
          <w:sz w:val="25"/>
        </w:rPr>
        <w:t>641</w:t>
      </w:r>
    </w:p>
    <w:p>
      <w:pPr>
        <w:pStyle w:val="BodyText"/>
        <w:spacing w:line="276" w:lineRule="auto" w:before="242"/>
        <w:ind w:left="616" w:right="133"/>
        <w:jc w:val="both"/>
      </w:pPr>
      <w:r>
        <w:rPr/>
        <w:t>Vitamin C most likely works as a serious co-factor in the degradation and ex- cretion of histamines, reducing the histamine level and preventing allergies or making natural healing possible.</w:t>
      </w:r>
      <w:r>
        <w:rPr>
          <w:position w:val="9"/>
          <w:sz w:val="25"/>
        </w:rPr>
        <w:t>642 </w:t>
      </w:r>
      <w:r>
        <w:rPr/>
        <w:t>In conjunction with OPC, it is a strong an- tiallergic – without painful side effects.</w:t>
      </w:r>
    </w:p>
    <w:p>
      <w:pPr>
        <w:pStyle w:val="Heading2"/>
        <w:spacing w:before="239"/>
        <w:ind w:left="616"/>
      </w:pPr>
      <w:r>
        <w:rPr/>
        <w:t>OPC and Alzheimer’s/Parkinson’s</w:t>
      </w:r>
    </w:p>
    <w:p>
      <w:pPr>
        <w:pStyle w:val="BodyText"/>
        <w:spacing w:line="276" w:lineRule="auto" w:before="304"/>
        <w:ind w:left="616" w:right="137"/>
        <w:jc w:val="both"/>
      </w:pPr>
      <w:r>
        <w:rPr/>
        <w:t>According</w:t>
      </w:r>
      <w:r>
        <w:rPr>
          <w:spacing w:val="-20"/>
        </w:rPr>
        <w:t> </w:t>
      </w:r>
      <w:r>
        <w:rPr/>
        <w:t>to</w:t>
      </w:r>
      <w:r>
        <w:rPr>
          <w:spacing w:val="-19"/>
        </w:rPr>
        <w:t> </w:t>
      </w:r>
      <w:r>
        <w:rPr/>
        <w:t>recent</w:t>
      </w:r>
      <w:r>
        <w:rPr>
          <w:spacing w:val="-20"/>
        </w:rPr>
        <w:t> </w:t>
      </w:r>
      <w:r>
        <w:rPr/>
        <w:t>studies,</w:t>
      </w:r>
      <w:r>
        <w:rPr>
          <w:spacing w:val="-19"/>
        </w:rPr>
        <w:t> </w:t>
      </w:r>
      <w:r>
        <w:rPr/>
        <w:t>the</w:t>
      </w:r>
      <w:r>
        <w:rPr>
          <w:spacing w:val="-21"/>
        </w:rPr>
        <w:t> </w:t>
      </w:r>
      <w:r>
        <w:rPr/>
        <w:t>oxidation</w:t>
      </w:r>
      <w:r>
        <w:rPr>
          <w:spacing w:val="-19"/>
        </w:rPr>
        <w:t> </w:t>
      </w:r>
      <w:r>
        <w:rPr/>
        <w:t>and</w:t>
      </w:r>
      <w:r>
        <w:rPr>
          <w:spacing w:val="-20"/>
        </w:rPr>
        <w:t> </w:t>
      </w:r>
      <w:r>
        <w:rPr/>
        <w:t>thus</w:t>
      </w:r>
      <w:r>
        <w:rPr>
          <w:spacing w:val="-19"/>
        </w:rPr>
        <w:t> </w:t>
      </w:r>
      <w:r>
        <w:rPr/>
        <w:t>the</w:t>
      </w:r>
      <w:r>
        <w:rPr>
          <w:spacing w:val="-18"/>
        </w:rPr>
        <w:t> </w:t>
      </w:r>
      <w:r>
        <w:rPr/>
        <w:t>destruction</w:t>
      </w:r>
      <w:r>
        <w:rPr>
          <w:spacing w:val="-19"/>
        </w:rPr>
        <w:t> </w:t>
      </w:r>
      <w:r>
        <w:rPr/>
        <w:t>of</w:t>
      </w:r>
      <w:r>
        <w:rPr>
          <w:spacing w:val="-20"/>
        </w:rPr>
        <w:t> </w:t>
      </w:r>
      <w:r>
        <w:rPr/>
        <w:t>cells</w:t>
      </w:r>
      <w:r>
        <w:rPr>
          <w:spacing w:val="-22"/>
        </w:rPr>
        <w:t> </w:t>
      </w:r>
      <w:r>
        <w:rPr/>
        <w:t>also plays</w:t>
      </w:r>
      <w:r>
        <w:rPr>
          <w:spacing w:val="40"/>
        </w:rPr>
        <w:t> </w:t>
      </w:r>
      <w:r>
        <w:rPr/>
        <w:t>a</w:t>
      </w:r>
      <w:r>
        <w:rPr>
          <w:spacing w:val="40"/>
        </w:rPr>
        <w:t> </w:t>
      </w:r>
      <w:r>
        <w:rPr/>
        <w:t>crucial</w:t>
      </w:r>
      <w:r>
        <w:rPr>
          <w:spacing w:val="40"/>
        </w:rPr>
        <w:t> </w:t>
      </w:r>
      <w:r>
        <w:rPr/>
        <w:t>role</w:t>
      </w:r>
      <w:r>
        <w:rPr>
          <w:spacing w:val="41"/>
        </w:rPr>
        <w:t> </w:t>
      </w:r>
      <w:r>
        <w:rPr/>
        <w:t>in</w:t>
      </w:r>
      <w:r>
        <w:rPr>
          <w:spacing w:val="40"/>
        </w:rPr>
        <w:t> </w:t>
      </w:r>
      <w:r>
        <w:rPr/>
        <w:t>these</w:t>
      </w:r>
      <w:r>
        <w:rPr>
          <w:spacing w:val="42"/>
        </w:rPr>
        <w:t> </w:t>
      </w:r>
      <w:r>
        <w:rPr/>
        <w:t>diseases.</w:t>
      </w:r>
      <w:r>
        <w:rPr>
          <w:spacing w:val="42"/>
        </w:rPr>
        <w:t> </w:t>
      </w:r>
      <w:r>
        <w:rPr/>
        <w:t>In</w:t>
      </w:r>
      <w:r>
        <w:rPr>
          <w:spacing w:val="39"/>
        </w:rPr>
        <w:t> </w:t>
      </w:r>
      <w:r>
        <w:rPr/>
        <w:t>its</w:t>
      </w:r>
      <w:r>
        <w:rPr>
          <w:spacing w:val="40"/>
        </w:rPr>
        <w:t> </w:t>
      </w:r>
      <w:r>
        <w:rPr/>
        <w:t>capacity</w:t>
      </w:r>
      <w:r>
        <w:rPr>
          <w:spacing w:val="40"/>
        </w:rPr>
        <w:t> </w:t>
      </w:r>
      <w:r>
        <w:rPr/>
        <w:t>as</w:t>
      </w:r>
      <w:r>
        <w:rPr>
          <w:spacing w:val="40"/>
        </w:rPr>
        <w:t> </w:t>
      </w:r>
      <w:r>
        <w:rPr/>
        <w:t>one</w:t>
      </w:r>
      <w:r>
        <w:rPr>
          <w:spacing w:val="38"/>
        </w:rPr>
        <w:t> </w:t>
      </w:r>
      <w:r>
        <w:rPr/>
        <w:t>of</w:t>
      </w:r>
      <w:r>
        <w:rPr>
          <w:spacing w:val="40"/>
        </w:rPr>
        <w:t> </w:t>
      </w:r>
      <w:r>
        <w:rPr/>
        <w:t>the</w:t>
      </w:r>
      <w:r>
        <w:rPr>
          <w:spacing w:val="41"/>
        </w:rPr>
        <w:t> </w:t>
      </w:r>
      <w:r>
        <w:rPr/>
        <w:t>strongest</w:t>
      </w:r>
    </w:p>
    <w:p>
      <w:pPr>
        <w:pStyle w:val="BodyText"/>
        <w:spacing w:before="1"/>
        <w:rPr>
          <w:sz w:val="26"/>
        </w:rPr>
      </w:pPr>
      <w:r>
        <w:rPr/>
        <w:pict>
          <v:line style="position:absolute;mso-position-horizontal-relative:page;mso-position-vertical-relative:paragraph;z-index:8264;mso-wrap-distance-left:0;mso-wrap-distance-right:0" from="70.823997pt,17.073765pt" to="214.843997pt,17.073765pt" stroked="true" strokeweight=".71997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639 </w:t>
      </w:r>
      <w:r>
        <w:rPr>
          <w:sz w:val="20"/>
        </w:rPr>
        <w:t>Anne Simons and Alexander Rucker: Gesund länger leben durch OPC ('Living Healthy Longer Through OPC'), 2005, p. 117</w:t>
      </w:r>
    </w:p>
    <w:p>
      <w:pPr>
        <w:spacing w:before="94"/>
        <w:ind w:left="616" w:right="0" w:firstLine="0"/>
        <w:jc w:val="left"/>
        <w:rPr>
          <w:sz w:val="20"/>
        </w:rPr>
      </w:pPr>
      <w:r>
        <w:rPr>
          <w:position w:val="5"/>
          <w:sz w:val="13"/>
        </w:rPr>
        <w:t>640 </w:t>
      </w:r>
      <w:r>
        <w:rPr>
          <w:sz w:val="20"/>
        </w:rPr>
        <w:t>Werner Goller: Was verschweigt die Schulmedizin? ('What Does Conventional Medicine Conceal?'), 2009, p. 10</w:t>
      </w:r>
    </w:p>
    <w:p>
      <w:pPr>
        <w:spacing w:before="95"/>
        <w:ind w:left="616" w:right="0" w:firstLine="0"/>
        <w:jc w:val="left"/>
        <w:rPr>
          <w:sz w:val="20"/>
        </w:rPr>
      </w:pPr>
      <w:r>
        <w:rPr>
          <w:position w:val="5"/>
          <w:sz w:val="13"/>
        </w:rPr>
        <w:t>641 </w:t>
      </w:r>
      <w:r>
        <w:rPr>
          <w:sz w:val="20"/>
        </w:rPr>
        <w:t>Clemetson C. A. B.: Histamine and ascorbic acid in human blood. Journal of Nutrition 1980; 110, pp. 662–668</w:t>
      </w:r>
    </w:p>
    <w:p>
      <w:pPr>
        <w:spacing w:line="276" w:lineRule="auto" w:before="94"/>
        <w:ind w:left="616" w:right="0" w:firstLine="0"/>
        <w:jc w:val="left"/>
        <w:rPr>
          <w:sz w:val="20"/>
        </w:rPr>
      </w:pPr>
      <w:r>
        <w:rPr>
          <w:position w:val="5"/>
          <w:sz w:val="13"/>
        </w:rPr>
        <w:t>642 </w:t>
      </w:r>
      <w:r>
        <w:rPr>
          <w:sz w:val="20"/>
        </w:rPr>
        <w:t>Ziemann B. and Enzmann F .: Vitamin C Ascorbinsäure, Ein lebensnotwendiger Schutzfaktor, 'Vitamin C Ascorbic Acid, A Vital Protective Factor', 1998, MSE Pharmaceutics</w:t>
      </w:r>
    </w:p>
    <w:p>
      <w:pPr>
        <w:spacing w:after="0" w:line="276" w:lineRule="auto"/>
        <w:jc w:val="left"/>
        <w:rPr>
          <w:sz w:val="20"/>
        </w:rPr>
        <w:sectPr>
          <w:footerReference w:type="default" r:id="rId274"/>
          <w:pgSz w:w="14270" w:h="16850"/>
          <w:pgMar w:footer="1984" w:header="0" w:top="1340" w:bottom="2180" w:left="800" w:right="1280"/>
          <w:pgNumType w:start="1135"/>
        </w:sectPr>
      </w:pPr>
    </w:p>
    <w:p>
      <w:pPr>
        <w:pStyle w:val="BodyText"/>
        <w:spacing w:line="276" w:lineRule="auto" w:before="72"/>
        <w:ind w:left="616" w:right="137"/>
        <w:jc w:val="both"/>
        <w:rPr>
          <w:sz w:val="25"/>
        </w:rPr>
      </w:pPr>
      <w:r>
        <w:rPr/>
        <w:t>known antioxidants (20 times as strong as vitamin C, 40 times as strong as vitamin E), OPC offers reliable protection against brain cell damage. Inci- dentally, vitamin P (OPC) increases the effect of vitamin C by a factor of ten; this in turn improves hormone production, including the production of</w:t>
      </w:r>
      <w:r>
        <w:rPr>
          <w:spacing w:val="-37"/>
        </w:rPr>
        <w:t> </w:t>
      </w:r>
      <w:r>
        <w:rPr/>
        <w:t>dopa- mine and melatonin, as well as the neurotransmitters (messenger substances) in the brain. The activation of neurotransmitters also improves concentration and memory performance and improves</w:t>
      </w:r>
      <w:r>
        <w:rPr>
          <w:spacing w:val="2"/>
        </w:rPr>
        <w:t> </w:t>
      </w:r>
      <w:r>
        <w:rPr/>
        <w:t>reactions.</w:t>
      </w:r>
      <w:r>
        <w:rPr>
          <w:position w:val="9"/>
          <w:sz w:val="25"/>
        </w:rPr>
        <w:t>643</w:t>
      </w:r>
    </w:p>
    <w:p>
      <w:pPr>
        <w:pStyle w:val="BodyText"/>
        <w:spacing w:line="276" w:lineRule="auto" w:before="243"/>
        <w:ind w:left="616" w:right="133"/>
        <w:jc w:val="both"/>
      </w:pPr>
      <w:r>
        <w:rPr/>
        <w:t>Scientists at the John Hopkins University were able to prove that, in 4,740 persons aged 65 or older, taking vitamin C with vitamin E – the two vitamins whose effects OPC increases by a factor of ten – can reduce Alzheimer's dis- ease. Those who took both vitamins were 78 % less at risk of Alzheimer's.</w:t>
      </w:r>
    </w:p>
    <w:p>
      <w:pPr>
        <w:pStyle w:val="BodyText"/>
        <w:spacing w:before="239"/>
        <w:ind w:left="616"/>
      </w:pPr>
      <w:r>
        <w:rPr/>
        <w:t>The main reason for this effect is the protection against free radicals.</w:t>
      </w:r>
    </w:p>
    <w:p>
      <w:pPr>
        <w:pStyle w:val="Heading1"/>
        <w:spacing w:before="287"/>
        <w:ind w:left="616"/>
      </w:pPr>
      <w:r>
        <w:rPr/>
        <w:t>OPC and its effect on depression</w:t>
      </w:r>
    </w:p>
    <w:p>
      <w:pPr>
        <w:pStyle w:val="BodyText"/>
        <w:spacing w:line="276" w:lineRule="auto" w:before="300"/>
        <w:ind w:left="616" w:right="132"/>
        <w:jc w:val="both"/>
        <w:rPr>
          <w:sz w:val="25"/>
        </w:rPr>
      </w:pPr>
      <w:r>
        <w:rPr/>
        <w:t>Like vitamin C, OPC is able to cross the blood-brain barrier because of its molecular</w:t>
      </w:r>
      <w:r>
        <w:rPr>
          <w:spacing w:val="-8"/>
        </w:rPr>
        <w:t> </w:t>
      </w:r>
      <w:r>
        <w:rPr/>
        <w:t>structure.</w:t>
      </w:r>
      <w:r>
        <w:rPr>
          <w:spacing w:val="-8"/>
        </w:rPr>
        <w:t> </w:t>
      </w:r>
      <w:r>
        <w:rPr/>
        <w:t>It</w:t>
      </w:r>
      <w:r>
        <w:rPr>
          <w:spacing w:val="-9"/>
        </w:rPr>
        <w:t> </w:t>
      </w:r>
      <w:r>
        <w:rPr/>
        <w:t>increases</w:t>
      </w:r>
      <w:r>
        <w:rPr>
          <w:spacing w:val="-9"/>
        </w:rPr>
        <w:t> </w:t>
      </w:r>
      <w:r>
        <w:rPr/>
        <w:t>the</w:t>
      </w:r>
      <w:r>
        <w:rPr>
          <w:spacing w:val="-7"/>
        </w:rPr>
        <w:t> </w:t>
      </w:r>
      <w:r>
        <w:rPr/>
        <w:t>effect</w:t>
      </w:r>
      <w:r>
        <w:rPr>
          <w:spacing w:val="-8"/>
        </w:rPr>
        <w:t> </w:t>
      </w:r>
      <w:r>
        <w:rPr/>
        <w:t>of</w:t>
      </w:r>
      <w:r>
        <w:rPr>
          <w:spacing w:val="-8"/>
        </w:rPr>
        <w:t> </w:t>
      </w:r>
      <w:r>
        <w:rPr/>
        <w:t>vitamin</w:t>
      </w:r>
      <w:r>
        <w:rPr>
          <w:spacing w:val="-8"/>
        </w:rPr>
        <w:t> </w:t>
      </w:r>
      <w:r>
        <w:rPr/>
        <w:t>C</w:t>
      </w:r>
      <w:r>
        <w:rPr>
          <w:spacing w:val="-10"/>
        </w:rPr>
        <w:t> </w:t>
      </w:r>
      <w:r>
        <w:rPr/>
        <w:t>by</w:t>
      </w:r>
      <w:r>
        <w:rPr>
          <w:spacing w:val="-8"/>
        </w:rPr>
        <w:t> </w:t>
      </w:r>
      <w:r>
        <w:rPr/>
        <w:t>a</w:t>
      </w:r>
      <w:r>
        <w:rPr>
          <w:spacing w:val="-9"/>
        </w:rPr>
        <w:t> </w:t>
      </w:r>
      <w:r>
        <w:rPr/>
        <w:t>factor</w:t>
      </w:r>
      <w:r>
        <w:rPr>
          <w:spacing w:val="-7"/>
        </w:rPr>
        <w:t> </w:t>
      </w:r>
      <w:r>
        <w:rPr/>
        <w:t>of</w:t>
      </w:r>
      <w:r>
        <w:rPr>
          <w:spacing w:val="-8"/>
        </w:rPr>
        <w:t> </w:t>
      </w:r>
      <w:r>
        <w:rPr/>
        <w:t>ten;</w:t>
      </w:r>
      <w:r>
        <w:rPr>
          <w:spacing w:val="-9"/>
        </w:rPr>
        <w:t> </w:t>
      </w:r>
      <w:r>
        <w:rPr/>
        <w:t>this, in turn, can help prevent depression by optimising calcium metabolism. Cal- cium in turn has a direct influence on neurotransmitters</w:t>
      </w:r>
      <w:r>
        <w:rPr>
          <w:spacing w:val="-6"/>
        </w:rPr>
        <w:t> </w:t>
      </w:r>
      <w:r>
        <w:rPr/>
        <w:t>(messengers).</w:t>
      </w:r>
      <w:r>
        <w:rPr>
          <w:position w:val="9"/>
          <w:sz w:val="25"/>
        </w:rPr>
        <w:t>644</w:t>
      </w:r>
    </w:p>
    <w:p>
      <w:pPr>
        <w:pStyle w:val="BodyText"/>
        <w:spacing w:line="278" w:lineRule="auto" w:before="239"/>
        <w:ind w:left="616" w:right="132"/>
        <w:jc w:val="both"/>
        <w:rPr>
          <w:sz w:val="25"/>
        </w:rPr>
      </w:pPr>
      <w:r>
        <w:rPr/>
        <w:t>Conversely, even a slight vitamin C deficiency can cause chronic depression, irritability and fatigue.</w:t>
      </w:r>
      <w:r>
        <w:rPr>
          <w:position w:val="9"/>
          <w:sz w:val="25"/>
        </w:rPr>
        <w:t>645</w:t>
      </w:r>
    </w:p>
    <w:p>
      <w:pPr>
        <w:pStyle w:val="BodyText"/>
        <w:rPr>
          <w:sz w:val="20"/>
        </w:rPr>
      </w:pPr>
    </w:p>
    <w:p>
      <w:pPr>
        <w:pStyle w:val="BodyText"/>
        <w:spacing w:before="7"/>
        <w:rPr>
          <w:sz w:val="15"/>
        </w:rPr>
      </w:pPr>
      <w:r>
        <w:rPr/>
        <w:pict>
          <v:line style="position:absolute;mso-position-horizontal-relative:page;mso-position-vertical-relative:paragraph;z-index:8288;mso-wrap-distance-left:0;mso-wrap-distance-right:0" from="70.823997pt,11.146235pt" to="214.843997pt,11.146235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643 </w:t>
      </w:r>
      <w:r>
        <w:rPr>
          <w:sz w:val="20"/>
        </w:rPr>
        <w:t>Werner Goller: Was verschweigt die Schulmedizin? ('What Does Conventional Medicine Conceal?'), 2009, p.</w:t>
      </w:r>
      <w:r>
        <w:rPr>
          <w:spacing w:val="-29"/>
          <w:sz w:val="20"/>
        </w:rPr>
        <w:t> </w:t>
      </w:r>
      <w:r>
        <w:rPr>
          <w:sz w:val="20"/>
        </w:rPr>
        <w:t>17</w:t>
      </w:r>
    </w:p>
    <w:p>
      <w:pPr>
        <w:spacing w:before="92"/>
        <w:ind w:left="616" w:right="0" w:firstLine="0"/>
        <w:jc w:val="left"/>
        <w:rPr>
          <w:sz w:val="20"/>
        </w:rPr>
      </w:pPr>
      <w:r>
        <w:rPr>
          <w:position w:val="5"/>
          <w:sz w:val="13"/>
        </w:rPr>
        <w:t>644 </w:t>
      </w:r>
      <w:r>
        <w:rPr>
          <w:sz w:val="20"/>
        </w:rPr>
        <w:t>Werner Goller: Was verschweigt die Schulmedizin? ('What Does Conventional Medicine Conceal?'), 2009, p.</w:t>
      </w:r>
      <w:r>
        <w:rPr>
          <w:spacing w:val="-24"/>
          <w:sz w:val="20"/>
        </w:rPr>
        <w:t> </w:t>
      </w:r>
      <w:r>
        <w:rPr>
          <w:sz w:val="20"/>
        </w:rPr>
        <w:t>18</w:t>
      </w:r>
    </w:p>
    <w:p>
      <w:pPr>
        <w:spacing w:before="94"/>
        <w:ind w:left="616" w:right="0" w:firstLine="0"/>
        <w:jc w:val="left"/>
        <w:rPr>
          <w:sz w:val="20"/>
        </w:rPr>
      </w:pPr>
      <w:r>
        <w:rPr>
          <w:position w:val="5"/>
          <w:sz w:val="13"/>
        </w:rPr>
        <w:t>645 </w:t>
      </w:r>
      <w:hyperlink r:id="rId275">
        <w:r>
          <w:rPr>
            <w:sz w:val="20"/>
          </w:rPr>
          <w:t>http://focus-blog.pharmxplorer.at/2009/08/orthomolekulare-medizin-zusammenhange-zwischen-mikronahrstoffen-und-depression/</w:t>
        </w:r>
      </w:hyperlink>
    </w:p>
    <w:p>
      <w:pPr>
        <w:spacing w:after="0"/>
        <w:jc w:val="left"/>
        <w:rPr>
          <w:sz w:val="20"/>
        </w:rPr>
        <w:sectPr>
          <w:pgSz w:w="14270" w:h="16850"/>
          <w:pgMar w:header="0" w:footer="1984" w:top="1340" w:bottom="2580" w:left="800" w:right="1280"/>
        </w:sectPr>
      </w:pPr>
    </w:p>
    <w:p>
      <w:pPr>
        <w:pStyle w:val="Heading1"/>
        <w:spacing w:line="261" w:lineRule="auto" w:before="77"/>
        <w:ind w:left="616" w:right="136"/>
        <w:jc w:val="both"/>
      </w:pPr>
      <w:r>
        <w:rPr>
          <w:w w:val="95"/>
        </w:rPr>
        <w:t>OPC against neurodermitis, arthritis, bronchitis, eczema, periodontitis, </w:t>
      </w:r>
      <w:r>
        <w:rPr/>
        <w:t>meningitis</w:t>
      </w:r>
    </w:p>
    <w:p>
      <w:pPr>
        <w:pStyle w:val="BodyText"/>
        <w:spacing w:line="276" w:lineRule="auto" w:before="258"/>
        <w:ind w:left="616" w:right="135"/>
        <w:jc w:val="both"/>
      </w:pPr>
      <w:r>
        <w:rPr/>
        <w:t>For all inflammations that end in '-itis' or '-is', oxidation (free radicals) plays the decisive role. Since OPC is a very powerful antioxidant, it effectively</w:t>
      </w:r>
      <w:r>
        <w:rPr>
          <w:spacing w:val="-57"/>
        </w:rPr>
        <w:t> </w:t>
      </w:r>
      <w:r>
        <w:rPr/>
        <w:t>com- bats the occurrence of inflammation and all related diseases. In this way, OPC/vitamin P very successfully prevents inflammatory processes and re- lieves existing inflammations and diseases.</w:t>
      </w:r>
    </w:p>
    <w:p>
      <w:pPr>
        <w:pStyle w:val="Heading1"/>
        <w:spacing w:line="261" w:lineRule="auto" w:before="223"/>
        <w:ind w:left="616" w:right="137"/>
        <w:jc w:val="both"/>
      </w:pPr>
      <w:r>
        <w:rPr/>
        <w:t>OPC/vitamin</w:t>
      </w:r>
      <w:r>
        <w:rPr>
          <w:spacing w:val="-53"/>
        </w:rPr>
        <w:t> </w:t>
      </w:r>
      <w:r>
        <w:rPr/>
        <w:t>P</w:t>
      </w:r>
      <w:r>
        <w:rPr>
          <w:spacing w:val="-53"/>
        </w:rPr>
        <w:t> </w:t>
      </w:r>
      <w:r>
        <w:rPr/>
        <w:t>and</w:t>
      </w:r>
      <w:r>
        <w:rPr>
          <w:spacing w:val="-53"/>
        </w:rPr>
        <w:t> </w:t>
      </w:r>
      <w:r>
        <w:rPr/>
        <w:t>its</w:t>
      </w:r>
      <w:r>
        <w:rPr>
          <w:spacing w:val="-52"/>
        </w:rPr>
        <w:t> </w:t>
      </w:r>
      <w:r>
        <w:rPr/>
        <w:t>effect</w:t>
      </w:r>
      <w:r>
        <w:rPr>
          <w:spacing w:val="-52"/>
        </w:rPr>
        <w:t> </w:t>
      </w:r>
      <w:r>
        <w:rPr/>
        <w:t>on</w:t>
      </w:r>
      <w:r>
        <w:rPr>
          <w:spacing w:val="-54"/>
        </w:rPr>
        <w:t> </w:t>
      </w:r>
      <w:r>
        <w:rPr/>
        <w:t>cold,</w:t>
      </w:r>
      <w:r>
        <w:rPr>
          <w:spacing w:val="-52"/>
        </w:rPr>
        <w:t> </w:t>
      </w:r>
      <w:r>
        <w:rPr/>
        <w:t>fever,</w:t>
      </w:r>
      <w:r>
        <w:rPr>
          <w:spacing w:val="-52"/>
        </w:rPr>
        <w:t> </w:t>
      </w:r>
      <w:r>
        <w:rPr/>
        <w:t>flu,</w:t>
      </w:r>
      <w:r>
        <w:rPr>
          <w:spacing w:val="-53"/>
        </w:rPr>
        <w:t> </w:t>
      </w:r>
      <w:r>
        <w:rPr/>
        <w:t>runny</w:t>
      </w:r>
      <w:r>
        <w:rPr>
          <w:spacing w:val="-53"/>
        </w:rPr>
        <w:t> </w:t>
      </w:r>
      <w:r>
        <w:rPr/>
        <w:t>nose,</w:t>
      </w:r>
      <w:r>
        <w:rPr>
          <w:spacing w:val="-53"/>
        </w:rPr>
        <w:t> </w:t>
      </w:r>
      <w:r>
        <w:rPr/>
        <w:t>tuberculo- sis</w:t>
      </w:r>
    </w:p>
    <w:p>
      <w:pPr>
        <w:pStyle w:val="BodyText"/>
        <w:spacing w:line="276" w:lineRule="auto" w:before="260"/>
        <w:ind w:left="616" w:right="137"/>
        <w:jc w:val="both"/>
      </w:pPr>
      <w:r>
        <w:rPr/>
        <w:t>OPC activates our immune system, and vitamin C is known to successfully fight colds, flu, runny nose and tuberculosis and fever – OPC boosts vitamin C’s effects by a factor of ten and supports very successful recovery.</w:t>
      </w:r>
    </w:p>
    <w:p>
      <w:pPr>
        <w:pStyle w:val="Heading1"/>
        <w:ind w:left="616"/>
      </w:pPr>
      <w:r>
        <w:rPr/>
        <w:t>OPC increases memory and eliminates concentration problems</w:t>
      </w:r>
    </w:p>
    <w:p>
      <w:pPr>
        <w:pStyle w:val="BodyText"/>
        <w:spacing w:line="276" w:lineRule="auto" w:before="297"/>
        <w:ind w:left="616" w:right="132"/>
        <w:jc w:val="both"/>
      </w:pPr>
      <w:r>
        <w:rPr/>
        <w:t>Memory and lack of concentration are largely related to the decrease in the supply of nutrients and oxygen to the brain. Oxidation, ultimately atheroscle- rosis, prevents optimal supply of oxygen and nutrients. Owing to its low mo- lecular density, OPC is able to overcome the brain barrier and do its job in its capacity as one of the strongest known antioxidants (20 times as strong as</w:t>
      </w:r>
      <w:r>
        <w:rPr>
          <w:spacing w:val="-40"/>
        </w:rPr>
        <w:t> </w:t>
      </w:r>
      <w:r>
        <w:rPr/>
        <w:t>vit- amin</w:t>
      </w:r>
      <w:r>
        <w:rPr>
          <w:spacing w:val="-25"/>
        </w:rPr>
        <w:t> </w:t>
      </w:r>
      <w:r>
        <w:rPr/>
        <w:t>C,</w:t>
      </w:r>
      <w:r>
        <w:rPr>
          <w:spacing w:val="-25"/>
        </w:rPr>
        <w:t> </w:t>
      </w:r>
      <w:r>
        <w:rPr/>
        <w:t>50</w:t>
      </w:r>
      <w:r>
        <w:rPr>
          <w:spacing w:val="-24"/>
        </w:rPr>
        <w:t> </w:t>
      </w:r>
      <w:r>
        <w:rPr/>
        <w:t>times</w:t>
      </w:r>
      <w:r>
        <w:rPr>
          <w:spacing w:val="-24"/>
        </w:rPr>
        <w:t> </w:t>
      </w:r>
      <w:r>
        <w:rPr/>
        <w:t>as</w:t>
      </w:r>
      <w:r>
        <w:rPr>
          <w:spacing w:val="-25"/>
        </w:rPr>
        <w:t> </w:t>
      </w:r>
      <w:r>
        <w:rPr/>
        <w:t>strong</w:t>
      </w:r>
      <w:r>
        <w:rPr>
          <w:spacing w:val="-26"/>
        </w:rPr>
        <w:t> </w:t>
      </w:r>
      <w:r>
        <w:rPr/>
        <w:t>as</w:t>
      </w:r>
      <w:r>
        <w:rPr>
          <w:spacing w:val="-25"/>
        </w:rPr>
        <w:t> </w:t>
      </w:r>
      <w:r>
        <w:rPr/>
        <w:t>vitamin</w:t>
      </w:r>
      <w:r>
        <w:rPr>
          <w:spacing w:val="-23"/>
        </w:rPr>
        <w:t> </w:t>
      </w:r>
      <w:r>
        <w:rPr/>
        <w:t>E).</w:t>
      </w:r>
      <w:r>
        <w:rPr>
          <w:spacing w:val="-24"/>
        </w:rPr>
        <w:t> </w:t>
      </w:r>
      <w:r>
        <w:rPr/>
        <w:t>OPC</w:t>
      </w:r>
      <w:r>
        <w:rPr>
          <w:spacing w:val="-27"/>
        </w:rPr>
        <w:t> </w:t>
      </w:r>
      <w:r>
        <w:rPr/>
        <w:t>offers</w:t>
      </w:r>
      <w:r>
        <w:rPr>
          <w:spacing w:val="-23"/>
        </w:rPr>
        <w:t> </w:t>
      </w:r>
      <w:r>
        <w:rPr/>
        <w:t>reliable</w:t>
      </w:r>
      <w:r>
        <w:rPr>
          <w:spacing w:val="-19"/>
        </w:rPr>
        <w:t> </w:t>
      </w:r>
      <w:r>
        <w:rPr/>
        <w:t>protection</w:t>
      </w:r>
      <w:r>
        <w:rPr>
          <w:spacing w:val="-24"/>
        </w:rPr>
        <w:t> </w:t>
      </w:r>
      <w:r>
        <w:rPr/>
        <w:t>against damage</w:t>
      </w:r>
      <w:r>
        <w:rPr>
          <w:spacing w:val="-6"/>
        </w:rPr>
        <w:t> </w:t>
      </w:r>
      <w:r>
        <w:rPr/>
        <w:t>to</w:t>
      </w:r>
      <w:r>
        <w:rPr>
          <w:spacing w:val="-5"/>
        </w:rPr>
        <w:t> </w:t>
      </w:r>
      <w:r>
        <w:rPr/>
        <w:t>the</w:t>
      </w:r>
      <w:r>
        <w:rPr>
          <w:spacing w:val="-5"/>
        </w:rPr>
        <w:t> </w:t>
      </w:r>
      <w:r>
        <w:rPr/>
        <w:t>brain</w:t>
      </w:r>
      <w:r>
        <w:rPr>
          <w:spacing w:val="-5"/>
        </w:rPr>
        <w:t> </w:t>
      </w:r>
      <w:r>
        <w:rPr/>
        <w:t>cells</w:t>
      </w:r>
      <w:r>
        <w:rPr>
          <w:spacing w:val="-5"/>
        </w:rPr>
        <w:t> </w:t>
      </w:r>
      <w:r>
        <w:rPr/>
        <w:t>and</w:t>
      </w:r>
      <w:r>
        <w:rPr>
          <w:spacing w:val="-6"/>
        </w:rPr>
        <w:t> </w:t>
      </w:r>
      <w:r>
        <w:rPr/>
        <w:t>increases</w:t>
      </w:r>
      <w:r>
        <w:rPr>
          <w:spacing w:val="-3"/>
        </w:rPr>
        <w:t> </w:t>
      </w:r>
      <w:r>
        <w:rPr/>
        <w:t>the</w:t>
      </w:r>
      <w:r>
        <w:rPr>
          <w:spacing w:val="-5"/>
        </w:rPr>
        <w:t> </w:t>
      </w:r>
      <w:r>
        <w:rPr/>
        <w:t>effect</w:t>
      </w:r>
      <w:r>
        <w:rPr>
          <w:spacing w:val="-8"/>
        </w:rPr>
        <w:t> </w:t>
      </w:r>
      <w:r>
        <w:rPr/>
        <w:t>of</w:t>
      </w:r>
      <w:r>
        <w:rPr>
          <w:spacing w:val="-6"/>
        </w:rPr>
        <w:t> </w:t>
      </w:r>
      <w:r>
        <w:rPr/>
        <w:t>vitamin</w:t>
      </w:r>
      <w:r>
        <w:rPr>
          <w:spacing w:val="-4"/>
        </w:rPr>
        <w:t> </w:t>
      </w:r>
      <w:r>
        <w:rPr/>
        <w:t>C</w:t>
      </w:r>
      <w:r>
        <w:rPr>
          <w:spacing w:val="-7"/>
        </w:rPr>
        <w:t> </w:t>
      </w:r>
      <w:r>
        <w:rPr/>
        <w:t>tenfold.</w:t>
      </w:r>
      <w:r>
        <w:rPr>
          <w:spacing w:val="-5"/>
        </w:rPr>
        <w:t> </w:t>
      </w:r>
      <w:r>
        <w:rPr/>
        <w:t>This</w:t>
      </w:r>
      <w:r>
        <w:rPr>
          <w:spacing w:val="-4"/>
        </w:rPr>
        <w:t> </w:t>
      </w:r>
      <w:r>
        <w:rPr/>
        <w:t>in</w:t>
      </w:r>
    </w:p>
    <w:p>
      <w:pPr>
        <w:spacing w:after="0" w:line="276" w:lineRule="auto"/>
        <w:jc w:val="both"/>
        <w:sectPr>
          <w:footerReference w:type="default" r:id="rId276"/>
          <w:pgSz w:w="14270" w:h="16850"/>
          <w:pgMar w:footer="1891" w:header="0" w:top="1320" w:bottom="2080" w:left="800" w:right="1280"/>
          <w:pgNumType w:start="1137"/>
        </w:sectPr>
      </w:pPr>
    </w:p>
    <w:p>
      <w:pPr>
        <w:pStyle w:val="BodyText"/>
        <w:spacing w:line="276" w:lineRule="auto" w:before="72"/>
        <w:ind w:left="616" w:right="143"/>
        <w:jc w:val="both"/>
        <w:rPr>
          <w:sz w:val="25"/>
        </w:rPr>
      </w:pPr>
      <w:r>
        <w:rPr/>
        <w:t>turn improves hormone production, including that of dopamine and melato- nin, as well as the production of neurotransmitters (messenger substances) in the</w:t>
      </w:r>
      <w:r>
        <w:rPr>
          <w:spacing w:val="-26"/>
        </w:rPr>
        <w:t> </w:t>
      </w:r>
      <w:r>
        <w:rPr/>
        <w:t>brain.</w:t>
      </w:r>
      <w:r>
        <w:rPr>
          <w:spacing w:val="-26"/>
        </w:rPr>
        <w:t> </w:t>
      </w:r>
      <w:r>
        <w:rPr/>
        <w:t>The</w:t>
      </w:r>
      <w:r>
        <w:rPr>
          <w:spacing w:val="-25"/>
        </w:rPr>
        <w:t> </w:t>
      </w:r>
      <w:r>
        <w:rPr/>
        <w:t>activation</w:t>
      </w:r>
      <w:r>
        <w:rPr>
          <w:spacing w:val="-25"/>
        </w:rPr>
        <w:t> </w:t>
      </w:r>
      <w:r>
        <w:rPr/>
        <w:t>of</w:t>
      </w:r>
      <w:r>
        <w:rPr>
          <w:spacing w:val="-25"/>
        </w:rPr>
        <w:t> </w:t>
      </w:r>
      <w:r>
        <w:rPr/>
        <w:t>neurotransmitters</w:t>
      </w:r>
      <w:r>
        <w:rPr>
          <w:spacing w:val="-25"/>
        </w:rPr>
        <w:t> </w:t>
      </w:r>
      <w:r>
        <w:rPr/>
        <w:t>also</w:t>
      </w:r>
      <w:r>
        <w:rPr>
          <w:spacing w:val="-25"/>
        </w:rPr>
        <w:t> </w:t>
      </w:r>
      <w:r>
        <w:rPr/>
        <w:t>improves</w:t>
      </w:r>
      <w:r>
        <w:rPr>
          <w:spacing w:val="-26"/>
        </w:rPr>
        <w:t> </w:t>
      </w:r>
      <w:r>
        <w:rPr/>
        <w:t>concentration</w:t>
      </w:r>
      <w:r>
        <w:rPr>
          <w:spacing w:val="-25"/>
        </w:rPr>
        <w:t> </w:t>
      </w:r>
      <w:r>
        <w:rPr/>
        <w:t>and memory performance and improves</w:t>
      </w:r>
      <w:r>
        <w:rPr>
          <w:spacing w:val="2"/>
        </w:rPr>
        <w:t> </w:t>
      </w:r>
      <w:r>
        <w:rPr/>
        <w:t>reactions.</w:t>
      </w:r>
      <w:r>
        <w:rPr>
          <w:position w:val="9"/>
          <w:sz w:val="25"/>
        </w:rPr>
        <w:t>646</w:t>
      </w:r>
    </w:p>
    <w:p>
      <w:pPr>
        <w:pStyle w:val="Heading1"/>
        <w:ind w:left="616"/>
      </w:pPr>
      <w:r>
        <w:rPr/>
        <w:t>Wound healing with OPC</w:t>
      </w:r>
    </w:p>
    <w:p>
      <w:pPr>
        <w:pStyle w:val="BodyText"/>
        <w:spacing w:line="276" w:lineRule="auto" w:before="299"/>
        <w:ind w:left="616" w:right="132"/>
        <w:jc w:val="both"/>
      </w:pPr>
      <w:r>
        <w:rPr/>
        <w:t>The</w:t>
      </w:r>
      <w:r>
        <w:rPr>
          <w:spacing w:val="-18"/>
        </w:rPr>
        <w:t> </w:t>
      </w:r>
      <w:r>
        <w:rPr/>
        <w:t>prerequisites</w:t>
      </w:r>
      <w:r>
        <w:rPr>
          <w:spacing w:val="-18"/>
        </w:rPr>
        <w:t> </w:t>
      </w:r>
      <w:r>
        <w:rPr/>
        <w:t>for</w:t>
      </w:r>
      <w:r>
        <w:rPr>
          <w:spacing w:val="-18"/>
        </w:rPr>
        <w:t> </w:t>
      </w:r>
      <w:r>
        <w:rPr/>
        <w:t>fast</w:t>
      </w:r>
      <w:r>
        <w:rPr>
          <w:spacing w:val="-19"/>
        </w:rPr>
        <w:t> </w:t>
      </w:r>
      <w:r>
        <w:rPr/>
        <w:t>wound</w:t>
      </w:r>
      <w:r>
        <w:rPr>
          <w:spacing w:val="-19"/>
        </w:rPr>
        <w:t> </w:t>
      </w:r>
      <w:r>
        <w:rPr/>
        <w:t>healing</w:t>
      </w:r>
      <w:r>
        <w:rPr>
          <w:spacing w:val="-18"/>
        </w:rPr>
        <w:t> </w:t>
      </w:r>
      <w:r>
        <w:rPr/>
        <w:t>are</w:t>
      </w:r>
      <w:r>
        <w:rPr>
          <w:spacing w:val="-19"/>
        </w:rPr>
        <w:t> </w:t>
      </w:r>
      <w:r>
        <w:rPr/>
        <w:t>sufficient</w:t>
      </w:r>
      <w:r>
        <w:rPr>
          <w:spacing w:val="-18"/>
        </w:rPr>
        <w:t> </w:t>
      </w:r>
      <w:r>
        <w:rPr/>
        <w:t>collagen</w:t>
      </w:r>
      <w:r>
        <w:rPr>
          <w:spacing w:val="-18"/>
        </w:rPr>
        <w:t> </w:t>
      </w:r>
      <w:r>
        <w:rPr/>
        <w:t>and</w:t>
      </w:r>
      <w:r>
        <w:rPr>
          <w:spacing w:val="-18"/>
        </w:rPr>
        <w:t> </w:t>
      </w:r>
      <w:r>
        <w:rPr/>
        <w:t>elastin</w:t>
      </w:r>
      <w:r>
        <w:rPr>
          <w:spacing w:val="-18"/>
        </w:rPr>
        <w:t> </w:t>
      </w:r>
      <w:r>
        <w:rPr/>
        <w:t>syn- thesis. Since it is known that this is OPC’s strength, wounds and even bone fractures heal much faster with vitamin</w:t>
      </w:r>
      <w:r>
        <w:rPr>
          <w:spacing w:val="2"/>
        </w:rPr>
        <w:t> </w:t>
      </w:r>
      <w:r>
        <w:rPr/>
        <w:t>P.</w:t>
      </w:r>
    </w:p>
    <w:p>
      <w:pPr>
        <w:pStyle w:val="Heading2"/>
        <w:spacing w:before="240"/>
        <w:ind w:left="616"/>
      </w:pPr>
      <w:r>
        <w:rPr/>
        <w:t>Respiratory diseases (bronchitis, asthma)</w:t>
      </w:r>
    </w:p>
    <w:p>
      <w:pPr>
        <w:pStyle w:val="BodyText"/>
        <w:spacing w:line="276" w:lineRule="auto" w:before="304"/>
        <w:ind w:left="616" w:right="132"/>
        <w:jc w:val="both"/>
      </w:pPr>
      <w:r>
        <w:rPr/>
        <w:t>As described, OPC/vitamin P is highly anti-inflammatory and anti-asthmatic. This has a very positive effect on respiratory diseases such as bronchitis and asthma and can minimise and even prevent the onset of both diseases.</w:t>
      </w:r>
    </w:p>
    <w:p>
      <w:pPr>
        <w:pStyle w:val="Heading1"/>
        <w:ind w:left="616"/>
      </w:pPr>
      <w:r>
        <w:rPr/>
        <w:t>OPC against impotence</w:t>
      </w:r>
    </w:p>
    <w:p>
      <w:pPr>
        <w:pStyle w:val="BodyText"/>
        <w:spacing w:line="276" w:lineRule="auto" w:before="297"/>
        <w:ind w:left="616" w:right="134"/>
        <w:jc w:val="both"/>
      </w:pPr>
      <w:r>
        <w:rPr/>
        <w:t>About 10 % of all men suffer from impotence; 85-90 % of cases can be at- tributed to medical reasons. OPC/vitamin P repairs the blood vessels and en- sures</w:t>
      </w:r>
      <w:r>
        <w:rPr>
          <w:spacing w:val="-23"/>
        </w:rPr>
        <w:t> </w:t>
      </w:r>
      <w:r>
        <w:rPr/>
        <w:t>optimised</w:t>
      </w:r>
      <w:r>
        <w:rPr>
          <w:spacing w:val="-26"/>
        </w:rPr>
        <w:t> </w:t>
      </w:r>
      <w:r>
        <w:rPr/>
        <w:t>blood</w:t>
      </w:r>
      <w:r>
        <w:rPr>
          <w:spacing w:val="-23"/>
        </w:rPr>
        <w:t> </w:t>
      </w:r>
      <w:r>
        <w:rPr/>
        <w:t>circulation.</w:t>
      </w:r>
      <w:r>
        <w:rPr>
          <w:spacing w:val="-23"/>
        </w:rPr>
        <w:t> </w:t>
      </w:r>
      <w:r>
        <w:rPr/>
        <w:t>As</w:t>
      </w:r>
      <w:r>
        <w:rPr>
          <w:spacing w:val="-26"/>
        </w:rPr>
        <w:t> </w:t>
      </w:r>
      <w:r>
        <w:rPr/>
        <w:t>a</w:t>
      </w:r>
      <w:r>
        <w:rPr>
          <w:spacing w:val="-24"/>
        </w:rPr>
        <w:t> </w:t>
      </w:r>
      <w:r>
        <w:rPr/>
        <w:t>result,</w:t>
      </w:r>
      <w:r>
        <w:rPr>
          <w:spacing w:val="-24"/>
        </w:rPr>
        <w:t> </w:t>
      </w:r>
      <w:r>
        <w:rPr/>
        <w:t>blood</w:t>
      </w:r>
      <w:r>
        <w:rPr>
          <w:spacing w:val="-24"/>
        </w:rPr>
        <w:t> </w:t>
      </w:r>
      <w:r>
        <w:rPr/>
        <w:t>passes</w:t>
      </w:r>
      <w:r>
        <w:rPr>
          <w:spacing w:val="-24"/>
        </w:rPr>
        <w:t> </w:t>
      </w:r>
      <w:r>
        <w:rPr/>
        <w:t>to</w:t>
      </w:r>
      <w:r>
        <w:rPr>
          <w:spacing w:val="-23"/>
        </w:rPr>
        <w:t> </w:t>
      </w:r>
      <w:r>
        <w:rPr/>
        <w:t>the</w:t>
      </w:r>
      <w:r>
        <w:rPr>
          <w:spacing w:val="-22"/>
        </w:rPr>
        <w:t> </w:t>
      </w:r>
      <w:r>
        <w:rPr/>
        <w:t>genitals</w:t>
      </w:r>
      <w:r>
        <w:rPr>
          <w:spacing w:val="-23"/>
        </w:rPr>
        <w:t> </w:t>
      </w:r>
      <w:r>
        <w:rPr/>
        <w:t>more easily and thus supports erections</w:t>
      </w:r>
      <w:r>
        <w:rPr>
          <w:spacing w:val="2"/>
        </w:rPr>
        <w:t> </w:t>
      </w:r>
      <w:r>
        <w:rPr/>
        <w:t>('stiffness').</w:t>
      </w:r>
    </w:p>
    <w:p>
      <w:pPr>
        <w:pStyle w:val="BodyText"/>
        <w:rPr>
          <w:sz w:val="20"/>
        </w:rPr>
      </w:pPr>
    </w:p>
    <w:p>
      <w:pPr>
        <w:pStyle w:val="BodyText"/>
        <w:rPr>
          <w:sz w:val="20"/>
        </w:rPr>
      </w:pPr>
    </w:p>
    <w:p>
      <w:pPr>
        <w:pStyle w:val="BodyText"/>
        <w:spacing w:before="10"/>
        <w:rPr>
          <w:sz w:val="29"/>
        </w:rPr>
      </w:pPr>
      <w:r>
        <w:rPr/>
        <w:pict>
          <v:line style="position:absolute;mso-position-horizontal-relative:page;mso-position-vertical-relative:paragraph;z-index:8312;mso-wrap-distance-left:0;mso-wrap-distance-right:0" from="70.823997pt,19.177515pt" to="214.843997pt,19.177515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646 </w:t>
      </w:r>
      <w:r>
        <w:rPr>
          <w:sz w:val="20"/>
        </w:rPr>
        <w:t>Werner Goller: Was verschweigt die Schulmedizin? ('What Does Conventional Medicine Conceal?'), 2009, p. 17</w:t>
      </w:r>
    </w:p>
    <w:p>
      <w:pPr>
        <w:spacing w:after="0"/>
        <w:jc w:val="left"/>
        <w:rPr>
          <w:sz w:val="20"/>
        </w:rPr>
        <w:sectPr>
          <w:pgSz w:w="14270" w:h="16850"/>
          <w:pgMar w:header="0" w:footer="1891" w:top="1340" w:bottom="2080" w:left="800" w:right="1280"/>
        </w:sectPr>
      </w:pPr>
    </w:p>
    <w:p>
      <w:pPr>
        <w:pStyle w:val="Heading1"/>
        <w:spacing w:before="75"/>
        <w:ind w:left="616"/>
      </w:pPr>
      <w:r>
        <w:rPr/>
        <w:t>Infertility</w:t>
      </w:r>
    </w:p>
    <w:p>
      <w:pPr>
        <w:pStyle w:val="BodyText"/>
        <w:spacing w:line="276" w:lineRule="auto" w:before="299"/>
        <w:ind w:left="616" w:right="137"/>
        <w:jc w:val="both"/>
      </w:pPr>
      <w:r>
        <w:rPr/>
        <w:t>Studies suggest that the destruction of sperm by free radicals (oxidants) also plays a key role in infertility. OPC has been shown to protect spermatozoa mitochondria from oxidation and increase fertility.</w:t>
      </w:r>
    </w:p>
    <w:p>
      <w:pPr>
        <w:pStyle w:val="Heading1"/>
        <w:ind w:left="616"/>
      </w:pPr>
      <w:r>
        <w:rPr/>
        <w:t>OPC and its effect on kidney</w:t>
      </w:r>
      <w:r>
        <w:rPr>
          <w:spacing w:val="-61"/>
        </w:rPr>
        <w:t> </w:t>
      </w:r>
      <w:r>
        <w:rPr/>
        <w:t>disease</w:t>
      </w:r>
    </w:p>
    <w:p>
      <w:pPr>
        <w:pStyle w:val="BodyText"/>
        <w:spacing w:line="276" w:lineRule="auto" w:before="299"/>
        <w:ind w:left="616" w:right="125"/>
        <w:jc w:val="both"/>
      </w:pPr>
      <w:r>
        <w:rPr/>
        <w:t>OPC, together with vitamin C, can strengthen the resistance of our</w:t>
      </w:r>
      <w:r>
        <w:rPr>
          <w:spacing w:val="-55"/>
        </w:rPr>
        <w:t> </w:t>
      </w:r>
      <w:r>
        <w:rPr/>
        <w:t>capillaries, which results in a higher filtration rate and a better excretion of proteins.</w:t>
      </w:r>
      <w:r>
        <w:rPr>
          <w:spacing w:val="-56"/>
        </w:rPr>
        <w:t> </w:t>
      </w:r>
      <w:r>
        <w:rPr/>
        <w:t>Kid- ney disease can thus be prevented and kidney problems can be completely eliminated.</w:t>
      </w:r>
    </w:p>
    <w:p>
      <w:pPr>
        <w:pStyle w:val="Heading1"/>
        <w:spacing w:before="222"/>
        <w:ind w:left="616"/>
      </w:pPr>
      <w:r>
        <w:rPr/>
        <w:t>OPC/vitamin P and its effect on</w:t>
      </w:r>
      <w:r>
        <w:rPr>
          <w:spacing w:val="-68"/>
        </w:rPr>
        <w:t> </w:t>
      </w:r>
      <w:r>
        <w:rPr/>
        <w:t>migraines</w:t>
      </w:r>
    </w:p>
    <w:p>
      <w:pPr>
        <w:pStyle w:val="BodyText"/>
        <w:spacing w:line="276" w:lineRule="auto" w:before="300"/>
        <w:ind w:left="616" w:right="131"/>
        <w:jc w:val="both"/>
      </w:pPr>
      <w:r>
        <w:rPr/>
        <w:t>Migraine</w:t>
      </w:r>
      <w:r>
        <w:rPr>
          <w:spacing w:val="-16"/>
        </w:rPr>
        <w:t> </w:t>
      </w:r>
      <w:r>
        <w:rPr/>
        <w:t>is</w:t>
      </w:r>
      <w:r>
        <w:rPr>
          <w:spacing w:val="-17"/>
        </w:rPr>
        <w:t> </w:t>
      </w:r>
      <w:r>
        <w:rPr/>
        <w:t>a</w:t>
      </w:r>
      <w:r>
        <w:rPr>
          <w:spacing w:val="-18"/>
        </w:rPr>
        <w:t> </w:t>
      </w:r>
      <w:r>
        <w:rPr/>
        <w:t>civilisation</w:t>
      </w:r>
      <w:r>
        <w:rPr>
          <w:spacing w:val="-16"/>
        </w:rPr>
        <w:t> </w:t>
      </w:r>
      <w:r>
        <w:rPr/>
        <w:t>disease</w:t>
      </w:r>
      <w:r>
        <w:rPr>
          <w:spacing w:val="-17"/>
        </w:rPr>
        <w:t> </w:t>
      </w:r>
      <w:r>
        <w:rPr/>
        <w:t>that</w:t>
      </w:r>
      <w:r>
        <w:rPr>
          <w:spacing w:val="-17"/>
        </w:rPr>
        <w:t> </w:t>
      </w:r>
      <w:r>
        <w:rPr/>
        <w:t>affects</w:t>
      </w:r>
      <w:r>
        <w:rPr>
          <w:spacing w:val="-17"/>
        </w:rPr>
        <w:t> </w:t>
      </w:r>
      <w:r>
        <w:rPr/>
        <w:t>about</w:t>
      </w:r>
      <w:r>
        <w:rPr>
          <w:spacing w:val="-16"/>
        </w:rPr>
        <w:t> </w:t>
      </w:r>
      <w:r>
        <w:rPr/>
        <w:t>10</w:t>
      </w:r>
      <w:r>
        <w:rPr>
          <w:spacing w:val="-18"/>
        </w:rPr>
        <w:t> </w:t>
      </w:r>
      <w:r>
        <w:rPr/>
        <w:t>%</w:t>
      </w:r>
      <w:r>
        <w:rPr>
          <w:spacing w:val="-17"/>
        </w:rPr>
        <w:t> </w:t>
      </w:r>
      <w:r>
        <w:rPr/>
        <w:t>of</w:t>
      </w:r>
      <w:r>
        <w:rPr>
          <w:spacing w:val="-16"/>
        </w:rPr>
        <w:t> </w:t>
      </w:r>
      <w:r>
        <w:rPr/>
        <w:t>all</w:t>
      </w:r>
      <w:r>
        <w:rPr>
          <w:spacing w:val="-18"/>
        </w:rPr>
        <w:t> </w:t>
      </w:r>
      <w:r>
        <w:rPr/>
        <w:t>people</w:t>
      </w:r>
      <w:r>
        <w:rPr>
          <w:spacing w:val="-17"/>
        </w:rPr>
        <w:t> </w:t>
      </w:r>
      <w:r>
        <w:rPr/>
        <w:t>in</w:t>
      </w:r>
      <w:r>
        <w:rPr>
          <w:spacing w:val="-17"/>
        </w:rPr>
        <w:t> </w:t>
      </w:r>
      <w:r>
        <w:rPr/>
        <w:t>Central Europe and the United States. As the prevalence of migraine in industrialised countries has increased by a factor of 2 to 3 over the past 40 years, it can be assumed that environmental factors and lifestyle play a significant role in the development of migraines. Migraines can be triggered in sensitive people by special</w:t>
      </w:r>
      <w:r>
        <w:rPr>
          <w:spacing w:val="-15"/>
        </w:rPr>
        <w:t> </w:t>
      </w:r>
      <w:r>
        <w:rPr/>
        <w:t>situations</w:t>
      </w:r>
      <w:r>
        <w:rPr>
          <w:spacing w:val="-13"/>
        </w:rPr>
        <w:t> </w:t>
      </w:r>
      <w:r>
        <w:rPr/>
        <w:t>or</w:t>
      </w:r>
      <w:r>
        <w:rPr>
          <w:spacing w:val="-13"/>
        </w:rPr>
        <w:t> </w:t>
      </w:r>
      <w:r>
        <w:rPr/>
        <w:t>substances,</w:t>
      </w:r>
      <w:r>
        <w:rPr>
          <w:spacing w:val="-16"/>
        </w:rPr>
        <w:t> </w:t>
      </w:r>
      <w:r>
        <w:rPr/>
        <w:t>called</w:t>
      </w:r>
      <w:r>
        <w:rPr>
          <w:spacing w:val="-14"/>
        </w:rPr>
        <w:t> </w:t>
      </w:r>
      <w:r>
        <w:rPr/>
        <w:t>'triggers'</w:t>
      </w:r>
      <w:r>
        <w:rPr>
          <w:spacing w:val="-13"/>
        </w:rPr>
        <w:t> </w:t>
      </w:r>
      <w:r>
        <w:rPr/>
        <w:t>(key</w:t>
      </w:r>
      <w:r>
        <w:rPr>
          <w:spacing w:val="-14"/>
        </w:rPr>
        <w:t> </w:t>
      </w:r>
      <w:r>
        <w:rPr/>
        <w:t>stimuli).</w:t>
      </w:r>
      <w:r>
        <w:rPr>
          <w:spacing w:val="-14"/>
        </w:rPr>
        <w:t> </w:t>
      </w:r>
      <w:r>
        <w:rPr/>
        <w:t>These</w:t>
      </w:r>
      <w:r>
        <w:rPr>
          <w:spacing w:val="-13"/>
        </w:rPr>
        <w:t> </w:t>
      </w:r>
      <w:r>
        <w:rPr/>
        <w:t>specifically include</w:t>
      </w:r>
      <w:r>
        <w:rPr>
          <w:spacing w:val="-24"/>
        </w:rPr>
        <w:t> </w:t>
      </w:r>
      <w:r>
        <w:rPr/>
        <w:t>hormonal</w:t>
      </w:r>
      <w:r>
        <w:rPr>
          <w:spacing w:val="-24"/>
        </w:rPr>
        <w:t> </w:t>
      </w:r>
      <w:r>
        <w:rPr/>
        <w:t>factors,</w:t>
      </w:r>
      <w:r>
        <w:rPr>
          <w:spacing w:val="-22"/>
        </w:rPr>
        <w:t> </w:t>
      </w:r>
      <w:r>
        <w:rPr/>
        <w:t>sleep,</w:t>
      </w:r>
      <w:r>
        <w:rPr>
          <w:spacing w:val="-26"/>
        </w:rPr>
        <w:t> </w:t>
      </w:r>
      <w:r>
        <w:rPr/>
        <w:t>stress,</w:t>
      </w:r>
      <w:r>
        <w:rPr>
          <w:spacing w:val="-25"/>
        </w:rPr>
        <w:t> </w:t>
      </w:r>
      <w:r>
        <w:rPr/>
        <w:t>food</w:t>
      </w:r>
      <w:r>
        <w:rPr>
          <w:spacing w:val="-23"/>
        </w:rPr>
        <w:t> </w:t>
      </w:r>
      <w:r>
        <w:rPr/>
        <w:t>and</w:t>
      </w:r>
      <w:r>
        <w:rPr>
          <w:spacing w:val="-24"/>
        </w:rPr>
        <w:t> </w:t>
      </w:r>
      <w:r>
        <w:rPr/>
        <w:t>environmental</w:t>
      </w:r>
      <w:r>
        <w:rPr>
          <w:spacing w:val="-24"/>
        </w:rPr>
        <w:t> </w:t>
      </w:r>
      <w:r>
        <w:rPr/>
        <w:t>factors.</w:t>
      </w:r>
      <w:r>
        <w:rPr>
          <w:position w:val="9"/>
          <w:sz w:val="25"/>
        </w:rPr>
        <w:t>647</w:t>
      </w:r>
      <w:r>
        <w:rPr>
          <w:spacing w:val="32"/>
          <w:position w:val="9"/>
          <w:sz w:val="25"/>
        </w:rPr>
        <w:t> </w:t>
      </w:r>
      <w:r>
        <w:rPr/>
        <w:t>Due to the low molecular density, vitamin P/OPC penetrates the brain barrier and acts as a protective antioxidant directly on brain cells. Here, OPC can reliably protect</w:t>
      </w:r>
      <w:r>
        <w:rPr>
          <w:spacing w:val="-25"/>
        </w:rPr>
        <w:t> </w:t>
      </w:r>
      <w:r>
        <w:rPr/>
        <w:t>against</w:t>
      </w:r>
      <w:r>
        <w:rPr>
          <w:spacing w:val="-24"/>
        </w:rPr>
        <w:t> </w:t>
      </w:r>
      <w:r>
        <w:rPr/>
        <w:t>the</w:t>
      </w:r>
      <w:r>
        <w:rPr>
          <w:spacing w:val="-25"/>
        </w:rPr>
        <w:t> </w:t>
      </w:r>
      <w:r>
        <w:rPr/>
        <w:t>effects</w:t>
      </w:r>
      <w:r>
        <w:rPr>
          <w:spacing w:val="-25"/>
        </w:rPr>
        <w:t> </w:t>
      </w:r>
      <w:r>
        <w:rPr/>
        <w:t>of</w:t>
      </w:r>
      <w:r>
        <w:rPr>
          <w:spacing w:val="-24"/>
        </w:rPr>
        <w:t> </w:t>
      </w:r>
      <w:r>
        <w:rPr/>
        <w:t>environmental</w:t>
      </w:r>
      <w:r>
        <w:rPr>
          <w:spacing w:val="-25"/>
        </w:rPr>
        <w:t> </w:t>
      </w:r>
      <w:r>
        <w:rPr/>
        <w:t>factors</w:t>
      </w:r>
      <w:r>
        <w:rPr>
          <w:spacing w:val="-24"/>
        </w:rPr>
        <w:t> </w:t>
      </w:r>
      <w:r>
        <w:rPr/>
        <w:t>while</w:t>
      </w:r>
      <w:r>
        <w:rPr>
          <w:spacing w:val="-24"/>
        </w:rPr>
        <w:t> </w:t>
      </w:r>
      <w:r>
        <w:rPr/>
        <w:t>ensuring</w:t>
      </w:r>
      <w:r>
        <w:rPr>
          <w:spacing w:val="-27"/>
        </w:rPr>
        <w:t> </w:t>
      </w:r>
      <w:r>
        <w:rPr/>
        <w:t>better</w:t>
      </w:r>
      <w:r>
        <w:rPr>
          <w:spacing w:val="-26"/>
        </w:rPr>
        <w:t> </w:t>
      </w:r>
      <w:r>
        <w:rPr/>
        <w:t>blood</w:t>
      </w:r>
    </w:p>
    <w:p>
      <w:pPr>
        <w:pStyle w:val="BodyText"/>
        <w:rPr>
          <w:sz w:val="20"/>
        </w:rPr>
      </w:pPr>
    </w:p>
    <w:p>
      <w:pPr>
        <w:pStyle w:val="BodyText"/>
        <w:rPr>
          <w:sz w:val="20"/>
        </w:rPr>
      </w:pPr>
    </w:p>
    <w:p>
      <w:pPr>
        <w:pStyle w:val="BodyText"/>
        <w:spacing w:before="10"/>
        <w:rPr>
          <w:sz w:val="10"/>
        </w:rPr>
      </w:pPr>
      <w:r>
        <w:rPr/>
        <w:pict>
          <v:line style="position:absolute;mso-position-horizontal-relative:page;mso-position-vertical-relative:paragraph;z-index:8336;mso-wrap-distance-left:0;mso-wrap-distance-right:0" from="70.823997pt,8.508735pt" to="214.843997pt,8.508735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647 </w:t>
      </w:r>
      <w:hyperlink r:id="rId277">
        <w:r>
          <w:rPr>
            <w:sz w:val="20"/>
          </w:rPr>
          <w:t>http://de.wikipedia.org/wiki/Migr%C3%A4ne#Ausl.C3.B6sende_Faktoren</w:t>
        </w:r>
      </w:hyperlink>
    </w:p>
    <w:p>
      <w:pPr>
        <w:spacing w:after="0"/>
        <w:jc w:val="left"/>
        <w:rPr>
          <w:sz w:val="20"/>
        </w:rPr>
        <w:sectPr>
          <w:pgSz w:w="14270" w:h="16850"/>
          <w:pgMar w:header="0" w:footer="1891" w:top="1320" w:bottom="2080" w:left="800" w:right="1280"/>
        </w:sectPr>
      </w:pPr>
    </w:p>
    <w:p>
      <w:pPr>
        <w:pStyle w:val="BodyText"/>
        <w:spacing w:before="74"/>
        <w:ind w:left="616"/>
      </w:pPr>
      <w:r>
        <w:rPr/>
        <w:t>flow to the brain, which can prevent or alleviate migraine.</w:t>
      </w:r>
    </w:p>
    <w:p>
      <w:pPr>
        <w:pStyle w:val="BodyText"/>
        <w:rPr>
          <w:sz w:val="42"/>
        </w:rPr>
      </w:pPr>
    </w:p>
    <w:p>
      <w:pPr>
        <w:pStyle w:val="BodyText"/>
        <w:spacing w:before="4"/>
        <w:rPr>
          <w:sz w:val="48"/>
        </w:rPr>
      </w:pPr>
    </w:p>
    <w:p>
      <w:pPr>
        <w:pStyle w:val="Heading1"/>
        <w:spacing w:before="1"/>
        <w:ind w:left="616"/>
      </w:pPr>
      <w:r>
        <w:rPr/>
        <w:t>OPC against periodontosis</w:t>
      </w:r>
    </w:p>
    <w:p>
      <w:pPr>
        <w:pStyle w:val="BodyText"/>
        <w:spacing w:line="276" w:lineRule="auto" w:before="299"/>
        <w:ind w:left="616" w:right="130"/>
        <w:jc w:val="both"/>
      </w:pPr>
      <w:r>
        <w:rPr/>
        <w:t>OPC</w:t>
      </w:r>
      <w:r>
        <w:rPr>
          <w:spacing w:val="-16"/>
        </w:rPr>
        <w:t> </w:t>
      </w:r>
      <w:r>
        <w:rPr/>
        <w:t>and</w:t>
      </w:r>
      <w:r>
        <w:rPr>
          <w:spacing w:val="-13"/>
        </w:rPr>
        <w:t> </w:t>
      </w:r>
      <w:r>
        <w:rPr/>
        <w:t>vitamin</w:t>
      </w:r>
      <w:r>
        <w:rPr>
          <w:spacing w:val="-14"/>
        </w:rPr>
        <w:t> </w:t>
      </w:r>
      <w:r>
        <w:rPr/>
        <w:t>C</w:t>
      </w:r>
      <w:r>
        <w:rPr>
          <w:spacing w:val="-15"/>
        </w:rPr>
        <w:t> </w:t>
      </w:r>
      <w:r>
        <w:rPr/>
        <w:t>deficiency</w:t>
      </w:r>
      <w:r>
        <w:rPr>
          <w:spacing w:val="-14"/>
        </w:rPr>
        <w:t> </w:t>
      </w:r>
      <w:r>
        <w:rPr/>
        <w:t>has</w:t>
      </w:r>
      <w:r>
        <w:rPr>
          <w:spacing w:val="-12"/>
        </w:rPr>
        <w:t> </w:t>
      </w:r>
      <w:r>
        <w:rPr/>
        <w:t>been</w:t>
      </w:r>
      <w:r>
        <w:rPr>
          <w:spacing w:val="-13"/>
        </w:rPr>
        <w:t> </w:t>
      </w:r>
      <w:r>
        <w:rPr/>
        <w:t>proven</w:t>
      </w:r>
      <w:r>
        <w:rPr>
          <w:spacing w:val="-14"/>
        </w:rPr>
        <w:t> </w:t>
      </w:r>
      <w:r>
        <w:rPr/>
        <w:t>to</w:t>
      </w:r>
      <w:r>
        <w:rPr>
          <w:spacing w:val="-14"/>
        </w:rPr>
        <w:t> </w:t>
      </w:r>
      <w:r>
        <w:rPr/>
        <w:t>cause</w:t>
      </w:r>
      <w:r>
        <w:rPr>
          <w:spacing w:val="-13"/>
        </w:rPr>
        <w:t> </w:t>
      </w:r>
      <w:r>
        <w:rPr/>
        <w:t>the</w:t>
      </w:r>
      <w:r>
        <w:rPr>
          <w:spacing w:val="-13"/>
        </w:rPr>
        <w:t> </w:t>
      </w:r>
      <w:r>
        <w:rPr/>
        <w:t>destruction</w:t>
      </w:r>
      <w:r>
        <w:rPr>
          <w:spacing w:val="-12"/>
        </w:rPr>
        <w:t> </w:t>
      </w:r>
      <w:r>
        <w:rPr/>
        <w:t>of</w:t>
      </w:r>
      <w:r>
        <w:rPr>
          <w:spacing w:val="-14"/>
        </w:rPr>
        <w:t> </w:t>
      </w:r>
      <w:r>
        <w:rPr/>
        <w:t>the smallest blood vessels in our gums. As a result, the blood supply is disrupted and the gum tissue is not sufficiently supplied with nutrients and is impaired. OPC,</w:t>
      </w:r>
      <w:r>
        <w:rPr>
          <w:spacing w:val="-12"/>
        </w:rPr>
        <w:t> </w:t>
      </w:r>
      <w:r>
        <w:rPr/>
        <w:t>the</w:t>
      </w:r>
      <w:r>
        <w:rPr>
          <w:spacing w:val="-12"/>
        </w:rPr>
        <w:t> </w:t>
      </w:r>
      <w:r>
        <w:rPr/>
        <w:t>best-known</w:t>
      </w:r>
      <w:r>
        <w:rPr>
          <w:spacing w:val="-13"/>
        </w:rPr>
        <w:t> </w:t>
      </w:r>
      <w:r>
        <w:rPr/>
        <w:t>collagen</w:t>
      </w:r>
      <w:r>
        <w:rPr>
          <w:spacing w:val="-14"/>
        </w:rPr>
        <w:t> </w:t>
      </w:r>
      <w:r>
        <w:rPr/>
        <w:t>and</w:t>
      </w:r>
      <w:r>
        <w:rPr>
          <w:spacing w:val="-11"/>
        </w:rPr>
        <w:t> </w:t>
      </w:r>
      <w:r>
        <w:rPr/>
        <w:t>elastin</w:t>
      </w:r>
      <w:r>
        <w:rPr>
          <w:spacing w:val="-12"/>
        </w:rPr>
        <w:t> </w:t>
      </w:r>
      <w:r>
        <w:rPr/>
        <w:t>modulator,</w:t>
      </w:r>
      <w:r>
        <w:rPr>
          <w:spacing w:val="-12"/>
        </w:rPr>
        <w:t> </w:t>
      </w:r>
      <w:r>
        <w:rPr/>
        <w:t>strengthens</w:t>
      </w:r>
      <w:r>
        <w:rPr>
          <w:spacing w:val="-14"/>
        </w:rPr>
        <w:t> </w:t>
      </w:r>
      <w:r>
        <w:rPr/>
        <w:t>the</w:t>
      </w:r>
      <w:r>
        <w:rPr>
          <w:spacing w:val="-13"/>
        </w:rPr>
        <w:t> </w:t>
      </w:r>
      <w:r>
        <w:rPr/>
        <w:t>gum</w:t>
      </w:r>
      <w:r>
        <w:rPr>
          <w:spacing w:val="-13"/>
        </w:rPr>
        <w:t> </w:t>
      </w:r>
      <w:r>
        <w:rPr/>
        <w:t>tis- sue and reliably prevents</w:t>
      </w:r>
      <w:r>
        <w:rPr>
          <w:spacing w:val="1"/>
        </w:rPr>
        <w:t> </w:t>
      </w:r>
      <w:r>
        <w:rPr/>
        <w:t>periodontosis.</w:t>
      </w:r>
    </w:p>
    <w:p>
      <w:pPr>
        <w:pStyle w:val="Heading1"/>
        <w:spacing w:before="223"/>
        <w:ind w:left="616"/>
      </w:pPr>
      <w:r>
        <w:rPr/>
        <w:t>OPC/vitamin P and its effect on</w:t>
      </w:r>
      <w:r>
        <w:rPr>
          <w:spacing w:val="-58"/>
        </w:rPr>
        <w:t> </w:t>
      </w:r>
      <w:r>
        <w:rPr/>
        <w:t>gout</w:t>
      </w:r>
    </w:p>
    <w:p>
      <w:pPr>
        <w:pStyle w:val="BodyText"/>
        <w:spacing w:line="276" w:lineRule="auto" w:before="299"/>
        <w:ind w:left="616" w:right="138"/>
        <w:jc w:val="both"/>
      </w:pPr>
      <w:r>
        <w:rPr/>
        <w:t>Gout is also one of the inflammatory diseases caused by free radicals. No an- tioxidant can rein in nearly as many free radicals as OPC does. At the same time, OPC docks onto the hyaline cartilage, protects it and rebuilds it via col- lagen synthesis. Furthermore, OPC has a pain-relieving effect in this area, which makes therapy easier.</w:t>
      </w:r>
    </w:p>
    <w:p>
      <w:pPr>
        <w:pStyle w:val="Heading1"/>
        <w:spacing w:before="223"/>
        <w:ind w:left="616"/>
      </w:pPr>
      <w:r>
        <w:rPr/>
        <w:t>OPC for arthritis/arthrosis</w:t>
      </w:r>
    </w:p>
    <w:p>
      <w:pPr>
        <w:pStyle w:val="BodyText"/>
        <w:spacing w:line="276" w:lineRule="auto" w:before="299"/>
        <w:ind w:left="616" w:right="131"/>
        <w:jc w:val="both"/>
      </w:pPr>
      <w:r>
        <w:rPr/>
        <w:t>The</w:t>
      </w:r>
      <w:r>
        <w:rPr>
          <w:spacing w:val="-6"/>
        </w:rPr>
        <w:t> </w:t>
      </w:r>
      <w:r>
        <w:rPr/>
        <w:t>strength</w:t>
      </w:r>
      <w:r>
        <w:rPr>
          <w:spacing w:val="-5"/>
        </w:rPr>
        <w:t> </w:t>
      </w:r>
      <w:r>
        <w:rPr/>
        <w:t>of</w:t>
      </w:r>
      <w:r>
        <w:rPr>
          <w:spacing w:val="-8"/>
        </w:rPr>
        <w:t> </w:t>
      </w:r>
      <w:r>
        <w:rPr/>
        <w:t>OPC</w:t>
      </w:r>
      <w:r>
        <w:rPr>
          <w:spacing w:val="-8"/>
        </w:rPr>
        <w:t> </w:t>
      </w:r>
      <w:r>
        <w:rPr/>
        <w:t>lies</w:t>
      </w:r>
      <w:r>
        <w:rPr>
          <w:spacing w:val="-6"/>
        </w:rPr>
        <w:t> </w:t>
      </w:r>
      <w:r>
        <w:rPr/>
        <w:t>precisely</w:t>
      </w:r>
      <w:r>
        <w:rPr>
          <w:spacing w:val="-4"/>
        </w:rPr>
        <w:t> </w:t>
      </w:r>
      <w:r>
        <w:rPr/>
        <w:t>in</w:t>
      </w:r>
      <w:r>
        <w:rPr>
          <w:spacing w:val="-6"/>
        </w:rPr>
        <w:t> </w:t>
      </w:r>
      <w:r>
        <w:rPr/>
        <w:t>the</w:t>
      </w:r>
      <w:r>
        <w:rPr>
          <w:spacing w:val="-5"/>
        </w:rPr>
        <w:t> </w:t>
      </w:r>
      <w:r>
        <w:rPr/>
        <w:t>two</w:t>
      </w:r>
      <w:r>
        <w:rPr>
          <w:spacing w:val="-6"/>
        </w:rPr>
        <w:t> </w:t>
      </w:r>
      <w:r>
        <w:rPr/>
        <w:t>factors</w:t>
      </w:r>
      <w:r>
        <w:rPr>
          <w:spacing w:val="-5"/>
        </w:rPr>
        <w:t> </w:t>
      </w:r>
      <w:r>
        <w:rPr/>
        <w:t>that</w:t>
      </w:r>
      <w:r>
        <w:rPr>
          <w:spacing w:val="-6"/>
        </w:rPr>
        <w:t> </w:t>
      </w:r>
      <w:r>
        <w:rPr/>
        <w:t>guarantee</w:t>
      </w:r>
      <w:r>
        <w:rPr>
          <w:spacing w:val="-5"/>
        </w:rPr>
        <w:t> </w:t>
      </w:r>
      <w:r>
        <w:rPr/>
        <w:t>the</w:t>
      </w:r>
      <w:r>
        <w:rPr>
          <w:spacing w:val="-5"/>
        </w:rPr>
        <w:t> </w:t>
      </w:r>
      <w:r>
        <w:rPr/>
        <w:t>health of</w:t>
      </w:r>
      <w:r>
        <w:rPr>
          <w:spacing w:val="-17"/>
        </w:rPr>
        <w:t> </w:t>
      </w:r>
      <w:r>
        <w:rPr/>
        <w:t>joints:</w:t>
      </w:r>
      <w:r>
        <w:rPr>
          <w:spacing w:val="-16"/>
        </w:rPr>
        <w:t> </w:t>
      </w:r>
      <w:r>
        <w:rPr/>
        <w:t>namely,</w:t>
      </w:r>
      <w:r>
        <w:rPr>
          <w:spacing w:val="-16"/>
        </w:rPr>
        <w:t> </w:t>
      </w:r>
      <w:r>
        <w:rPr/>
        <w:t>the</w:t>
      </w:r>
      <w:r>
        <w:rPr>
          <w:spacing w:val="-15"/>
        </w:rPr>
        <w:t> </w:t>
      </w:r>
      <w:r>
        <w:rPr/>
        <w:t>action</w:t>
      </w:r>
      <w:r>
        <w:rPr>
          <w:spacing w:val="-16"/>
        </w:rPr>
        <w:t> </w:t>
      </w:r>
      <w:r>
        <w:rPr/>
        <w:t>against</w:t>
      </w:r>
      <w:r>
        <w:rPr>
          <w:spacing w:val="-17"/>
        </w:rPr>
        <w:t> </w:t>
      </w:r>
      <w:r>
        <w:rPr/>
        <w:t>inflammatory</w:t>
      </w:r>
      <w:r>
        <w:rPr>
          <w:spacing w:val="-17"/>
        </w:rPr>
        <w:t> </w:t>
      </w:r>
      <w:r>
        <w:rPr/>
        <w:t>processes</w:t>
      </w:r>
      <w:r>
        <w:rPr>
          <w:spacing w:val="-18"/>
        </w:rPr>
        <w:t> </w:t>
      </w:r>
      <w:r>
        <w:rPr/>
        <w:t>in</w:t>
      </w:r>
      <w:r>
        <w:rPr>
          <w:spacing w:val="-16"/>
        </w:rPr>
        <w:t> </w:t>
      </w:r>
      <w:r>
        <w:rPr/>
        <w:t>the</w:t>
      </w:r>
      <w:r>
        <w:rPr>
          <w:spacing w:val="-18"/>
        </w:rPr>
        <w:t> </w:t>
      </w:r>
      <w:r>
        <w:rPr/>
        <w:t>joint</w:t>
      </w:r>
      <w:r>
        <w:rPr>
          <w:spacing w:val="-17"/>
        </w:rPr>
        <w:t> </w:t>
      </w:r>
      <w:r>
        <w:rPr/>
        <w:t>(arthri- tis)</w:t>
      </w:r>
      <w:r>
        <w:rPr>
          <w:spacing w:val="-14"/>
        </w:rPr>
        <w:t> </w:t>
      </w:r>
      <w:r>
        <w:rPr/>
        <w:t>and</w:t>
      </w:r>
      <w:r>
        <w:rPr>
          <w:spacing w:val="-12"/>
        </w:rPr>
        <w:t> </w:t>
      </w:r>
      <w:r>
        <w:rPr/>
        <w:t>in</w:t>
      </w:r>
      <w:r>
        <w:rPr>
          <w:spacing w:val="-13"/>
        </w:rPr>
        <w:t> </w:t>
      </w:r>
      <w:r>
        <w:rPr/>
        <w:t>the</w:t>
      </w:r>
      <w:r>
        <w:rPr>
          <w:spacing w:val="-14"/>
        </w:rPr>
        <w:t> </w:t>
      </w:r>
      <w:r>
        <w:rPr/>
        <w:t>protection</w:t>
      </w:r>
      <w:r>
        <w:rPr>
          <w:spacing w:val="-13"/>
        </w:rPr>
        <w:t> </w:t>
      </w:r>
      <w:r>
        <w:rPr/>
        <w:t>and</w:t>
      </w:r>
      <w:r>
        <w:rPr>
          <w:spacing w:val="-12"/>
        </w:rPr>
        <w:t> </w:t>
      </w:r>
      <w:r>
        <w:rPr/>
        <w:t>rebuilding</w:t>
      </w:r>
      <w:r>
        <w:rPr>
          <w:spacing w:val="-12"/>
        </w:rPr>
        <w:t> </w:t>
      </w:r>
      <w:r>
        <w:rPr/>
        <w:t>of</w:t>
      </w:r>
      <w:r>
        <w:rPr>
          <w:spacing w:val="-13"/>
        </w:rPr>
        <w:t> </w:t>
      </w:r>
      <w:r>
        <w:rPr/>
        <w:t>the</w:t>
      </w:r>
      <w:r>
        <w:rPr>
          <w:spacing w:val="-14"/>
        </w:rPr>
        <w:t> </w:t>
      </w:r>
      <w:r>
        <w:rPr/>
        <w:t>hyaline</w:t>
      </w:r>
      <w:r>
        <w:rPr>
          <w:spacing w:val="-13"/>
        </w:rPr>
        <w:t> </w:t>
      </w:r>
      <w:r>
        <w:rPr/>
        <w:t>articular</w:t>
      </w:r>
      <w:r>
        <w:rPr>
          <w:spacing w:val="-12"/>
        </w:rPr>
        <w:t> </w:t>
      </w:r>
      <w:r>
        <w:rPr/>
        <w:t>cartilage.</w:t>
      </w:r>
      <w:r>
        <w:rPr>
          <w:spacing w:val="-13"/>
        </w:rPr>
        <w:t> </w:t>
      </w:r>
      <w:r>
        <w:rPr/>
        <w:t>Thus, the cartilage is protected from arthritis and arthrosis and even</w:t>
      </w:r>
      <w:r>
        <w:rPr>
          <w:spacing w:val="-9"/>
        </w:rPr>
        <w:t> </w:t>
      </w:r>
      <w:r>
        <w:rPr/>
        <w:t>rebuilt.</w:t>
      </w:r>
    </w:p>
    <w:p>
      <w:pPr>
        <w:pStyle w:val="Heading1"/>
        <w:spacing w:before="222"/>
        <w:ind w:left="616"/>
        <w:jc w:val="both"/>
      </w:pPr>
      <w:r>
        <w:rPr>
          <w:w w:val="95"/>
        </w:rPr>
        <w:t>OPC and its effect on premenstrual syndrome/gynaecological disorders</w:t>
      </w:r>
    </w:p>
    <w:p>
      <w:pPr>
        <w:spacing w:after="0"/>
        <w:jc w:val="both"/>
        <w:sectPr>
          <w:footerReference w:type="default" r:id="rId278"/>
          <w:pgSz w:w="14270" w:h="16850"/>
          <w:pgMar w:footer="1891" w:header="0" w:top="1340" w:bottom="2080" w:left="800" w:right="1280"/>
          <w:pgNumType w:start="1140"/>
        </w:sectPr>
      </w:pPr>
    </w:p>
    <w:p>
      <w:pPr>
        <w:pStyle w:val="BodyText"/>
        <w:spacing w:line="276" w:lineRule="auto" w:before="72"/>
        <w:ind w:left="616" w:right="141"/>
        <w:jc w:val="both"/>
      </w:pPr>
      <w:r>
        <w:rPr/>
        <w:t>OPC has proven itself against premenstrual symptoms and also controls the regularity of the female period.</w:t>
      </w:r>
    </w:p>
    <w:p>
      <w:pPr>
        <w:pStyle w:val="Heading1"/>
        <w:spacing w:before="223"/>
        <w:ind w:left="616"/>
      </w:pPr>
      <w:r>
        <w:rPr/>
        <w:t>OPC/vitamin P and its effect on</w:t>
      </w:r>
      <w:r>
        <w:rPr>
          <w:spacing w:val="-73"/>
        </w:rPr>
        <w:t> </w:t>
      </w:r>
      <w:r>
        <w:rPr/>
        <w:t>osteoporosis</w:t>
      </w:r>
    </w:p>
    <w:p>
      <w:pPr>
        <w:pStyle w:val="BodyText"/>
        <w:spacing w:line="276" w:lineRule="auto" w:before="300"/>
        <w:ind w:left="616" w:right="134"/>
        <w:jc w:val="both"/>
      </w:pPr>
      <w:r>
        <w:rPr/>
        <w:t>Many</w:t>
      </w:r>
      <w:r>
        <w:rPr>
          <w:spacing w:val="-9"/>
        </w:rPr>
        <w:t> </w:t>
      </w:r>
      <w:r>
        <w:rPr/>
        <w:t>menopausal</w:t>
      </w:r>
      <w:r>
        <w:rPr>
          <w:spacing w:val="-10"/>
        </w:rPr>
        <w:t> </w:t>
      </w:r>
      <w:r>
        <w:rPr/>
        <w:t>women</w:t>
      </w:r>
      <w:r>
        <w:rPr>
          <w:spacing w:val="-8"/>
        </w:rPr>
        <w:t> </w:t>
      </w:r>
      <w:r>
        <w:rPr/>
        <w:t>fall</w:t>
      </w:r>
      <w:r>
        <w:rPr>
          <w:spacing w:val="-11"/>
        </w:rPr>
        <w:t> </w:t>
      </w:r>
      <w:r>
        <w:rPr/>
        <w:t>victim</w:t>
      </w:r>
      <w:r>
        <w:rPr>
          <w:spacing w:val="-9"/>
        </w:rPr>
        <w:t> </w:t>
      </w:r>
      <w:r>
        <w:rPr/>
        <w:t>to</w:t>
      </w:r>
      <w:r>
        <w:rPr>
          <w:spacing w:val="-9"/>
        </w:rPr>
        <w:t> </w:t>
      </w:r>
      <w:r>
        <w:rPr/>
        <w:t>bone</w:t>
      </w:r>
      <w:r>
        <w:rPr>
          <w:spacing w:val="-9"/>
        </w:rPr>
        <w:t> </w:t>
      </w:r>
      <w:r>
        <w:rPr/>
        <w:t>atrophy</w:t>
      </w:r>
      <w:r>
        <w:rPr>
          <w:spacing w:val="-9"/>
        </w:rPr>
        <w:t> </w:t>
      </w:r>
      <w:r>
        <w:rPr/>
        <w:t>('osteoporosis')</w:t>
      </w:r>
      <w:r>
        <w:rPr>
          <w:spacing w:val="-10"/>
        </w:rPr>
        <w:t> </w:t>
      </w:r>
      <w:r>
        <w:rPr/>
        <w:t>but,</w:t>
      </w:r>
      <w:r>
        <w:rPr>
          <w:spacing w:val="-9"/>
        </w:rPr>
        <w:t> </w:t>
      </w:r>
      <w:r>
        <w:rPr/>
        <w:t>due to unhealthy lifestyle and environmental factors, it is affecting more and more young people of both sexes. Through the formation of procollagen and colla- gen synthesis, OPC is able to support the bone matrix and thus prevent oste- oporosis.</w:t>
      </w:r>
    </w:p>
    <w:p>
      <w:pPr>
        <w:pStyle w:val="Heading1"/>
        <w:spacing w:before="222"/>
        <w:ind w:left="616"/>
      </w:pPr>
      <w:r>
        <w:rPr/>
        <w:t>OPC helps with varicose veins and spider veins</w:t>
      </w:r>
    </w:p>
    <w:p>
      <w:pPr>
        <w:pStyle w:val="BodyText"/>
        <w:spacing w:line="276" w:lineRule="auto" w:before="300"/>
        <w:ind w:left="616" w:right="133"/>
        <w:jc w:val="both"/>
      </w:pPr>
      <w:r>
        <w:rPr/>
        <w:t>Repair processes on vascular walls, improved elasticity, and simultaneous re- duction of deposits prevent the development of varicose veins and spider veins; existing varicose veins and spider veins may disappear.</w:t>
      </w:r>
    </w:p>
    <w:p>
      <w:pPr>
        <w:pStyle w:val="Heading1"/>
        <w:ind w:left="616"/>
      </w:pPr>
      <w:r>
        <w:rPr/>
        <w:t>OPC against haemorrhoids</w:t>
      </w:r>
    </w:p>
    <w:p>
      <w:pPr>
        <w:pStyle w:val="BodyText"/>
        <w:spacing w:line="276" w:lineRule="auto" w:before="297"/>
        <w:ind w:left="616" w:right="131"/>
        <w:jc w:val="both"/>
      </w:pPr>
      <w:r>
        <w:rPr/>
        <w:t>OPC</w:t>
      </w:r>
      <w:r>
        <w:rPr>
          <w:spacing w:val="-11"/>
        </w:rPr>
        <w:t> </w:t>
      </w:r>
      <w:r>
        <w:rPr/>
        <w:t>improves</w:t>
      </w:r>
      <w:r>
        <w:rPr>
          <w:spacing w:val="-8"/>
        </w:rPr>
        <w:t> </w:t>
      </w:r>
      <w:r>
        <w:rPr/>
        <w:t>the</w:t>
      </w:r>
      <w:r>
        <w:rPr>
          <w:spacing w:val="-7"/>
        </w:rPr>
        <w:t> </w:t>
      </w:r>
      <w:r>
        <w:rPr/>
        <w:t>elasticity</w:t>
      </w:r>
      <w:r>
        <w:rPr>
          <w:spacing w:val="-10"/>
        </w:rPr>
        <w:t> </w:t>
      </w:r>
      <w:r>
        <w:rPr/>
        <w:t>of</w:t>
      </w:r>
      <w:r>
        <w:rPr>
          <w:spacing w:val="-8"/>
        </w:rPr>
        <w:t> </w:t>
      </w:r>
      <w:r>
        <w:rPr/>
        <w:t>the</w:t>
      </w:r>
      <w:r>
        <w:rPr>
          <w:spacing w:val="-7"/>
        </w:rPr>
        <w:t> </w:t>
      </w:r>
      <w:r>
        <w:rPr/>
        <w:t>blood</w:t>
      </w:r>
      <w:r>
        <w:rPr>
          <w:spacing w:val="-8"/>
        </w:rPr>
        <w:t> </w:t>
      </w:r>
      <w:r>
        <w:rPr/>
        <w:t>vessels</w:t>
      </w:r>
      <w:r>
        <w:rPr>
          <w:spacing w:val="-11"/>
        </w:rPr>
        <w:t> </w:t>
      </w:r>
      <w:r>
        <w:rPr/>
        <w:t>in</w:t>
      </w:r>
      <w:r>
        <w:rPr>
          <w:spacing w:val="-8"/>
        </w:rPr>
        <w:t> </w:t>
      </w:r>
      <w:r>
        <w:rPr/>
        <w:t>the</w:t>
      </w:r>
      <w:r>
        <w:rPr>
          <w:spacing w:val="-7"/>
        </w:rPr>
        <w:t> </w:t>
      </w:r>
      <w:r>
        <w:rPr/>
        <w:t>anus</w:t>
      </w:r>
      <w:r>
        <w:rPr>
          <w:spacing w:val="-10"/>
        </w:rPr>
        <w:t> </w:t>
      </w:r>
      <w:r>
        <w:rPr/>
        <w:t>area</w:t>
      </w:r>
      <w:r>
        <w:rPr>
          <w:spacing w:val="-9"/>
        </w:rPr>
        <w:t> </w:t>
      </w:r>
      <w:r>
        <w:rPr/>
        <w:t>and</w:t>
      </w:r>
      <w:r>
        <w:rPr>
          <w:spacing w:val="-8"/>
        </w:rPr>
        <w:t> </w:t>
      </w:r>
      <w:r>
        <w:rPr/>
        <w:t>prevents deposits in the blood vessels; both of these factors prevent haemorrhoids and provide relief.</w:t>
      </w:r>
    </w:p>
    <w:p>
      <w:pPr>
        <w:pStyle w:val="Heading1"/>
        <w:ind w:left="616"/>
      </w:pPr>
      <w:r>
        <w:rPr/>
        <w:t>OPC/vitamin P and its effect on pulmonary respiratory diseases</w:t>
      </w:r>
    </w:p>
    <w:p>
      <w:pPr>
        <w:pStyle w:val="BodyText"/>
        <w:spacing w:line="276" w:lineRule="auto" w:before="299"/>
        <w:ind w:left="616" w:right="137"/>
        <w:jc w:val="both"/>
      </w:pPr>
      <w:r>
        <w:rPr/>
        <w:t>The antioxidant effects of vitamin P (OPC) on the lung capillaries protect the lungs</w:t>
      </w:r>
      <w:r>
        <w:rPr>
          <w:spacing w:val="-19"/>
        </w:rPr>
        <w:t> </w:t>
      </w:r>
      <w:r>
        <w:rPr/>
        <w:t>and</w:t>
      </w:r>
      <w:r>
        <w:rPr>
          <w:spacing w:val="-19"/>
        </w:rPr>
        <w:t> </w:t>
      </w:r>
      <w:r>
        <w:rPr/>
        <w:t>positively</w:t>
      </w:r>
      <w:r>
        <w:rPr>
          <w:spacing w:val="-19"/>
        </w:rPr>
        <w:t> </w:t>
      </w:r>
      <w:r>
        <w:rPr/>
        <w:t>influence</w:t>
      </w:r>
      <w:r>
        <w:rPr>
          <w:spacing w:val="-18"/>
        </w:rPr>
        <w:t> </w:t>
      </w:r>
      <w:r>
        <w:rPr/>
        <w:t>lung</w:t>
      </w:r>
      <w:r>
        <w:rPr>
          <w:spacing w:val="-19"/>
        </w:rPr>
        <w:t> </w:t>
      </w:r>
      <w:r>
        <w:rPr/>
        <w:t>function.</w:t>
      </w:r>
      <w:r>
        <w:rPr>
          <w:spacing w:val="-18"/>
        </w:rPr>
        <w:t> </w:t>
      </w:r>
      <w:r>
        <w:rPr/>
        <w:t>The</w:t>
      </w:r>
      <w:r>
        <w:rPr>
          <w:spacing w:val="-21"/>
        </w:rPr>
        <w:t> </w:t>
      </w:r>
      <w:r>
        <w:rPr/>
        <w:t>latter</w:t>
      </w:r>
      <w:r>
        <w:rPr>
          <w:spacing w:val="-18"/>
        </w:rPr>
        <w:t> </w:t>
      </w:r>
      <w:r>
        <w:rPr/>
        <w:t>is</w:t>
      </w:r>
      <w:r>
        <w:rPr>
          <w:spacing w:val="-19"/>
        </w:rPr>
        <w:t> </w:t>
      </w:r>
      <w:r>
        <w:rPr/>
        <w:t>especially</w:t>
      </w:r>
      <w:r>
        <w:rPr>
          <w:spacing w:val="-19"/>
        </w:rPr>
        <w:t> </w:t>
      </w:r>
      <w:r>
        <w:rPr/>
        <w:t>relevant</w:t>
      </w:r>
      <w:r>
        <w:rPr>
          <w:spacing w:val="-19"/>
        </w:rPr>
        <w:t> </w:t>
      </w:r>
      <w:r>
        <w:rPr/>
        <w:t>for endurance athletes.</w:t>
      </w:r>
    </w:p>
    <w:p>
      <w:pPr>
        <w:spacing w:after="0" w:line="276" w:lineRule="auto"/>
        <w:jc w:val="both"/>
        <w:sectPr>
          <w:pgSz w:w="14270" w:h="16850"/>
          <w:pgMar w:header="0" w:footer="1891" w:top="1340" w:bottom="2080" w:left="800" w:right="1280"/>
        </w:sectPr>
      </w:pPr>
    </w:p>
    <w:p>
      <w:pPr>
        <w:pStyle w:val="Heading1"/>
        <w:spacing w:before="75"/>
        <w:ind w:left="616"/>
      </w:pPr>
      <w:r>
        <w:rPr/>
        <w:t>OPC and heavy legs</w:t>
      </w:r>
    </w:p>
    <w:p>
      <w:pPr>
        <w:pStyle w:val="BodyText"/>
        <w:spacing w:line="276" w:lineRule="auto" w:before="299"/>
        <w:ind w:left="616" w:right="134"/>
        <w:jc w:val="both"/>
      </w:pPr>
      <w:r>
        <w:rPr/>
        <w:t>'Heavy legs' describe the state of a lymphatic compression and circulatory dis- order.</w:t>
      </w:r>
      <w:r>
        <w:rPr>
          <w:spacing w:val="-24"/>
        </w:rPr>
        <w:t> </w:t>
      </w:r>
      <w:r>
        <w:rPr/>
        <w:t>Venous</w:t>
      </w:r>
      <w:r>
        <w:rPr>
          <w:spacing w:val="-23"/>
        </w:rPr>
        <w:t> </w:t>
      </w:r>
      <w:r>
        <w:rPr/>
        <w:t>disorders</w:t>
      </w:r>
      <w:r>
        <w:rPr>
          <w:spacing w:val="-25"/>
        </w:rPr>
        <w:t> </w:t>
      </w:r>
      <w:r>
        <w:rPr/>
        <w:t>in</w:t>
      </w:r>
      <w:r>
        <w:rPr>
          <w:spacing w:val="-23"/>
        </w:rPr>
        <w:t> </w:t>
      </w:r>
      <w:r>
        <w:rPr/>
        <w:t>the</w:t>
      </w:r>
      <w:r>
        <w:rPr>
          <w:spacing w:val="-25"/>
        </w:rPr>
        <w:t> </w:t>
      </w:r>
      <w:r>
        <w:rPr/>
        <w:t>leg</w:t>
      </w:r>
      <w:r>
        <w:rPr>
          <w:spacing w:val="-26"/>
        </w:rPr>
        <w:t> </w:t>
      </w:r>
      <w:r>
        <w:rPr/>
        <w:t>area</w:t>
      </w:r>
      <w:r>
        <w:rPr>
          <w:spacing w:val="-24"/>
        </w:rPr>
        <w:t> </w:t>
      </w:r>
      <w:r>
        <w:rPr/>
        <w:t>(especially</w:t>
      </w:r>
      <w:r>
        <w:rPr>
          <w:spacing w:val="-27"/>
        </w:rPr>
        <w:t> </w:t>
      </w:r>
      <w:r>
        <w:rPr/>
        <w:t>calves)</w:t>
      </w:r>
      <w:r>
        <w:rPr>
          <w:spacing w:val="-24"/>
        </w:rPr>
        <w:t> </w:t>
      </w:r>
      <w:r>
        <w:rPr/>
        <w:t>are</w:t>
      </w:r>
      <w:r>
        <w:rPr>
          <w:spacing w:val="-24"/>
        </w:rPr>
        <w:t> </w:t>
      </w:r>
      <w:r>
        <w:rPr/>
        <w:t>the</w:t>
      </w:r>
      <w:r>
        <w:rPr>
          <w:spacing w:val="-23"/>
        </w:rPr>
        <w:t> </w:t>
      </w:r>
      <w:r>
        <w:rPr/>
        <w:t>most</w:t>
      </w:r>
      <w:r>
        <w:rPr>
          <w:spacing w:val="-24"/>
        </w:rPr>
        <w:t> </w:t>
      </w:r>
      <w:r>
        <w:rPr/>
        <w:t>common cause of 'heavy legs'. Through the antioxidant processes and the resulting im- proved</w:t>
      </w:r>
      <w:r>
        <w:rPr>
          <w:spacing w:val="-11"/>
        </w:rPr>
        <w:t> </w:t>
      </w:r>
      <w:r>
        <w:rPr/>
        <w:t>circulation</w:t>
      </w:r>
      <w:r>
        <w:rPr>
          <w:spacing w:val="-11"/>
        </w:rPr>
        <w:t> </w:t>
      </w:r>
      <w:r>
        <w:rPr/>
        <w:t>in</w:t>
      </w:r>
      <w:r>
        <w:rPr>
          <w:spacing w:val="-11"/>
        </w:rPr>
        <w:t> </w:t>
      </w:r>
      <w:r>
        <w:rPr/>
        <w:t>the</w:t>
      </w:r>
      <w:r>
        <w:rPr>
          <w:spacing w:val="-11"/>
        </w:rPr>
        <w:t> </w:t>
      </w:r>
      <w:r>
        <w:rPr/>
        <w:t>legs,</w:t>
      </w:r>
      <w:r>
        <w:rPr>
          <w:spacing w:val="-10"/>
        </w:rPr>
        <w:t> </w:t>
      </w:r>
      <w:r>
        <w:rPr/>
        <w:t>OPC</w:t>
      </w:r>
      <w:r>
        <w:rPr>
          <w:spacing w:val="-12"/>
        </w:rPr>
        <w:t> </w:t>
      </w:r>
      <w:r>
        <w:rPr/>
        <w:t>ensures</w:t>
      </w:r>
      <w:r>
        <w:rPr>
          <w:spacing w:val="-10"/>
        </w:rPr>
        <w:t> </w:t>
      </w:r>
      <w:r>
        <w:rPr/>
        <w:t>that</w:t>
      </w:r>
      <w:r>
        <w:rPr>
          <w:spacing w:val="-11"/>
        </w:rPr>
        <w:t> </w:t>
      </w:r>
      <w:r>
        <w:rPr/>
        <w:t>the</w:t>
      </w:r>
      <w:r>
        <w:rPr>
          <w:spacing w:val="-11"/>
        </w:rPr>
        <w:t> </w:t>
      </w:r>
      <w:r>
        <w:rPr/>
        <w:t>blood</w:t>
      </w:r>
      <w:r>
        <w:rPr>
          <w:spacing w:val="-10"/>
        </w:rPr>
        <w:t> </w:t>
      </w:r>
      <w:r>
        <w:rPr/>
        <w:t>can</w:t>
      </w:r>
      <w:r>
        <w:rPr>
          <w:spacing w:val="-11"/>
        </w:rPr>
        <w:t> </w:t>
      </w:r>
      <w:r>
        <w:rPr/>
        <w:t>also</w:t>
      </w:r>
      <w:r>
        <w:rPr>
          <w:spacing w:val="-10"/>
        </w:rPr>
        <w:t> </w:t>
      </w:r>
      <w:r>
        <w:rPr/>
        <w:t>flow</w:t>
      </w:r>
      <w:r>
        <w:rPr>
          <w:spacing w:val="-12"/>
        </w:rPr>
        <w:t> </w:t>
      </w:r>
      <w:r>
        <w:rPr/>
        <w:t>better in the lower extremities; heavy legs are thus</w:t>
      </w:r>
      <w:r>
        <w:rPr>
          <w:spacing w:val="2"/>
        </w:rPr>
        <w:t> </w:t>
      </w:r>
      <w:r>
        <w:rPr/>
        <w:t>prevented.</w:t>
      </w:r>
    </w:p>
    <w:p>
      <w:pPr>
        <w:pStyle w:val="Heading1"/>
        <w:spacing w:before="223"/>
        <w:ind w:left="616"/>
      </w:pPr>
      <w:r>
        <w:rPr/>
        <w:t>OPC and dry skin</w:t>
      </w:r>
    </w:p>
    <w:p>
      <w:pPr>
        <w:pStyle w:val="BodyText"/>
        <w:spacing w:line="276" w:lineRule="auto" w:before="299"/>
        <w:ind w:left="616" w:right="136"/>
        <w:jc w:val="both"/>
      </w:pPr>
      <w:r>
        <w:rPr/>
        <w:t>Many people suffer from dry, sometimes rough skin. Here, OPC can help greatly as it binds to the skin's collagens and elastin and nourishes and regen- erates the skin from the inside.</w:t>
      </w:r>
    </w:p>
    <w:p>
      <w:pPr>
        <w:pStyle w:val="Heading1"/>
        <w:ind w:left="616"/>
      </w:pPr>
      <w:r>
        <w:rPr/>
        <w:t>OPC and its effect on acne and</w:t>
      </w:r>
      <w:r>
        <w:rPr>
          <w:spacing w:val="-73"/>
        </w:rPr>
        <w:t> </w:t>
      </w:r>
      <w:r>
        <w:rPr/>
        <w:t>pimples</w:t>
      </w:r>
    </w:p>
    <w:p>
      <w:pPr>
        <w:pStyle w:val="BodyText"/>
        <w:spacing w:line="276" w:lineRule="auto" w:before="299"/>
        <w:ind w:left="616" w:right="134"/>
        <w:jc w:val="both"/>
      </w:pPr>
      <w:r>
        <w:rPr/>
        <w:t>Due</w:t>
      </w:r>
      <w:r>
        <w:rPr>
          <w:spacing w:val="-26"/>
        </w:rPr>
        <w:t> </w:t>
      </w:r>
      <w:r>
        <w:rPr/>
        <w:t>to</w:t>
      </w:r>
      <w:r>
        <w:rPr>
          <w:spacing w:val="-23"/>
        </w:rPr>
        <w:t> </w:t>
      </w:r>
      <w:r>
        <w:rPr/>
        <w:t>the</w:t>
      </w:r>
      <w:r>
        <w:rPr>
          <w:spacing w:val="-26"/>
        </w:rPr>
        <w:t> </w:t>
      </w:r>
      <w:r>
        <w:rPr/>
        <w:t>accelerated</w:t>
      </w:r>
      <w:r>
        <w:rPr>
          <w:spacing w:val="-24"/>
        </w:rPr>
        <w:t> </w:t>
      </w:r>
      <w:r>
        <w:rPr/>
        <w:t>regeneration</w:t>
      </w:r>
      <w:r>
        <w:rPr>
          <w:spacing w:val="-24"/>
        </w:rPr>
        <w:t> </w:t>
      </w:r>
      <w:r>
        <w:rPr/>
        <w:t>of</w:t>
      </w:r>
      <w:r>
        <w:rPr>
          <w:spacing w:val="-26"/>
        </w:rPr>
        <w:t> </w:t>
      </w:r>
      <w:r>
        <w:rPr/>
        <w:t>the</w:t>
      </w:r>
      <w:r>
        <w:rPr>
          <w:spacing w:val="-26"/>
        </w:rPr>
        <w:t> </w:t>
      </w:r>
      <w:r>
        <w:rPr/>
        <w:t>skin</w:t>
      </w:r>
      <w:r>
        <w:rPr>
          <w:spacing w:val="-23"/>
        </w:rPr>
        <w:t> </w:t>
      </w:r>
      <w:r>
        <w:rPr/>
        <w:t>(due</w:t>
      </w:r>
      <w:r>
        <w:rPr>
          <w:spacing w:val="-25"/>
        </w:rPr>
        <w:t> </w:t>
      </w:r>
      <w:r>
        <w:rPr/>
        <w:t>to</w:t>
      </w:r>
      <w:r>
        <w:rPr>
          <w:spacing w:val="-24"/>
        </w:rPr>
        <w:t> </w:t>
      </w:r>
      <w:r>
        <w:rPr/>
        <w:t>the</w:t>
      </w:r>
      <w:r>
        <w:rPr>
          <w:spacing w:val="-25"/>
        </w:rPr>
        <w:t> </w:t>
      </w:r>
      <w:r>
        <w:rPr/>
        <w:t>synthesis</w:t>
      </w:r>
      <w:r>
        <w:rPr>
          <w:spacing w:val="-25"/>
        </w:rPr>
        <w:t> </w:t>
      </w:r>
      <w:r>
        <w:rPr/>
        <w:t>of</w:t>
      </w:r>
      <w:r>
        <w:rPr>
          <w:spacing w:val="-23"/>
        </w:rPr>
        <w:t> </w:t>
      </w:r>
      <w:r>
        <w:rPr/>
        <w:t>collagen and elastin), the skin renews itself more quickly and acne or pimples are pre- vented.</w:t>
      </w:r>
    </w:p>
    <w:p>
      <w:pPr>
        <w:pStyle w:val="Heading1"/>
        <w:spacing w:before="222"/>
        <w:ind w:left="616"/>
      </w:pPr>
      <w:r>
        <w:rPr/>
        <w:t>OPC/vitamin P against cellulite/weak connective tissue</w:t>
      </w:r>
    </w:p>
    <w:p>
      <w:pPr>
        <w:pStyle w:val="BodyText"/>
        <w:spacing w:line="276" w:lineRule="auto" w:before="299"/>
        <w:ind w:left="616" w:right="134"/>
        <w:jc w:val="both"/>
      </w:pPr>
      <w:r>
        <w:rPr/>
        <w:t>The</w:t>
      </w:r>
      <w:r>
        <w:rPr>
          <w:spacing w:val="-9"/>
        </w:rPr>
        <w:t> </w:t>
      </w:r>
      <w:r>
        <w:rPr/>
        <w:t>tightening</w:t>
      </w:r>
      <w:r>
        <w:rPr>
          <w:spacing w:val="-11"/>
        </w:rPr>
        <w:t> </w:t>
      </w:r>
      <w:r>
        <w:rPr/>
        <w:t>of</w:t>
      </w:r>
      <w:r>
        <w:rPr>
          <w:spacing w:val="-10"/>
        </w:rPr>
        <w:t> </w:t>
      </w:r>
      <w:r>
        <w:rPr/>
        <w:t>connective</w:t>
      </w:r>
      <w:r>
        <w:rPr>
          <w:spacing w:val="-9"/>
        </w:rPr>
        <w:t> </w:t>
      </w:r>
      <w:r>
        <w:rPr/>
        <w:t>tissue</w:t>
      </w:r>
      <w:r>
        <w:rPr>
          <w:spacing w:val="-10"/>
        </w:rPr>
        <w:t> </w:t>
      </w:r>
      <w:r>
        <w:rPr/>
        <w:t>of</w:t>
      </w:r>
      <w:r>
        <w:rPr>
          <w:spacing w:val="-8"/>
        </w:rPr>
        <w:t> </w:t>
      </w:r>
      <w:r>
        <w:rPr/>
        <w:t>all</w:t>
      </w:r>
      <w:r>
        <w:rPr>
          <w:spacing w:val="-10"/>
        </w:rPr>
        <w:t> </w:t>
      </w:r>
      <w:r>
        <w:rPr/>
        <w:t>kinds</w:t>
      </w:r>
      <w:r>
        <w:rPr>
          <w:spacing w:val="-8"/>
        </w:rPr>
        <w:t> </w:t>
      </w:r>
      <w:r>
        <w:rPr/>
        <w:t>is</w:t>
      </w:r>
      <w:r>
        <w:rPr>
          <w:spacing w:val="-14"/>
        </w:rPr>
        <w:t> </w:t>
      </w:r>
      <w:r>
        <w:rPr/>
        <w:t>the</w:t>
      </w:r>
      <w:r>
        <w:rPr>
          <w:spacing w:val="-8"/>
        </w:rPr>
        <w:t> </w:t>
      </w:r>
      <w:r>
        <w:rPr/>
        <w:t>forte</w:t>
      </w:r>
      <w:r>
        <w:rPr>
          <w:spacing w:val="-11"/>
        </w:rPr>
        <w:t> </w:t>
      </w:r>
      <w:r>
        <w:rPr/>
        <w:t>of</w:t>
      </w:r>
      <w:r>
        <w:rPr>
          <w:spacing w:val="-9"/>
        </w:rPr>
        <w:t> </w:t>
      </w:r>
      <w:r>
        <w:rPr/>
        <w:t>OPC.</w:t>
      </w:r>
      <w:r>
        <w:rPr>
          <w:spacing w:val="-10"/>
        </w:rPr>
        <w:t> </w:t>
      </w:r>
      <w:r>
        <w:rPr/>
        <w:t>The</w:t>
      </w:r>
      <w:r>
        <w:rPr>
          <w:spacing w:val="-9"/>
        </w:rPr>
        <w:t> </w:t>
      </w:r>
      <w:r>
        <w:rPr/>
        <w:t>active construction and renewal of collagen and elastin prevent sagging tissue and cellulite and reduce existing tissue</w:t>
      </w:r>
      <w:r>
        <w:rPr>
          <w:spacing w:val="-1"/>
        </w:rPr>
        <w:t> </w:t>
      </w:r>
      <w:r>
        <w:rPr/>
        <w:t>weakness.</w:t>
      </w:r>
    </w:p>
    <w:p>
      <w:pPr>
        <w:pStyle w:val="Heading1"/>
        <w:spacing w:before="225"/>
        <w:ind w:left="616"/>
        <w:jc w:val="both"/>
      </w:pPr>
      <w:r>
        <w:rPr/>
        <w:t>OPC/vitamin P helps with stretch</w:t>
      </w:r>
      <w:r>
        <w:rPr>
          <w:spacing w:val="-57"/>
        </w:rPr>
        <w:t> </w:t>
      </w:r>
      <w:r>
        <w:rPr/>
        <w:t>marks</w:t>
      </w:r>
    </w:p>
    <w:p>
      <w:pPr>
        <w:pStyle w:val="BodyText"/>
        <w:spacing w:before="296"/>
        <w:ind w:left="616"/>
        <w:jc w:val="both"/>
      </w:pPr>
      <w:r>
        <w:rPr/>
        <w:t>OPC is known to accelerate collagen and elastin production; stretch marks are</w:t>
      </w:r>
    </w:p>
    <w:p>
      <w:pPr>
        <w:spacing w:after="0"/>
        <w:jc w:val="both"/>
        <w:sectPr>
          <w:pgSz w:w="14270" w:h="16850"/>
          <w:pgMar w:header="0" w:footer="1891" w:top="1320" w:bottom="2080" w:left="800" w:right="1280"/>
        </w:sectPr>
      </w:pPr>
    </w:p>
    <w:p>
      <w:pPr>
        <w:pStyle w:val="BodyText"/>
        <w:spacing w:before="72"/>
        <w:ind w:left="616"/>
      </w:pPr>
      <w:r>
        <w:rPr/>
        <w:t>prevented and existing ones are even partially eliminated.</w:t>
      </w:r>
    </w:p>
    <w:p>
      <w:pPr>
        <w:pStyle w:val="Heading1"/>
        <w:spacing w:before="287"/>
        <w:ind w:left="616"/>
      </w:pPr>
      <w:r>
        <w:rPr/>
        <w:t>OPC and its effect on detoxification</w:t>
      </w:r>
    </w:p>
    <w:p>
      <w:pPr>
        <w:pStyle w:val="BodyText"/>
        <w:spacing w:line="276" w:lineRule="auto" w:before="299"/>
        <w:ind w:left="616" w:right="134"/>
        <w:jc w:val="both"/>
      </w:pPr>
      <w:r>
        <w:rPr/>
        <w:t>It</w:t>
      </w:r>
      <w:r>
        <w:rPr>
          <w:spacing w:val="-12"/>
        </w:rPr>
        <w:t> </w:t>
      </w:r>
      <w:r>
        <w:rPr/>
        <w:t>has</w:t>
      </w:r>
      <w:r>
        <w:rPr>
          <w:spacing w:val="-10"/>
        </w:rPr>
        <w:t> </w:t>
      </w:r>
      <w:r>
        <w:rPr/>
        <w:t>been</w:t>
      </w:r>
      <w:r>
        <w:rPr>
          <w:spacing w:val="-11"/>
        </w:rPr>
        <w:t> </w:t>
      </w:r>
      <w:r>
        <w:rPr/>
        <w:t>shown</w:t>
      </w:r>
      <w:r>
        <w:rPr>
          <w:spacing w:val="-11"/>
        </w:rPr>
        <w:t> </w:t>
      </w:r>
      <w:r>
        <w:rPr/>
        <w:t>that</w:t>
      </w:r>
      <w:r>
        <w:rPr>
          <w:spacing w:val="-9"/>
        </w:rPr>
        <w:t> </w:t>
      </w:r>
      <w:r>
        <w:rPr/>
        <w:t>OPC</w:t>
      </w:r>
      <w:r>
        <w:rPr>
          <w:spacing w:val="-13"/>
        </w:rPr>
        <w:t> </w:t>
      </w:r>
      <w:r>
        <w:rPr/>
        <w:t>(vitamin</w:t>
      </w:r>
      <w:r>
        <w:rPr>
          <w:spacing w:val="-10"/>
        </w:rPr>
        <w:t> </w:t>
      </w:r>
      <w:r>
        <w:rPr/>
        <w:t>P)</w:t>
      </w:r>
      <w:r>
        <w:rPr>
          <w:spacing w:val="-12"/>
        </w:rPr>
        <w:t> </w:t>
      </w:r>
      <w:r>
        <w:rPr/>
        <w:t>promotes</w:t>
      </w:r>
      <w:r>
        <w:rPr>
          <w:spacing w:val="-10"/>
        </w:rPr>
        <w:t> </w:t>
      </w:r>
      <w:r>
        <w:rPr/>
        <w:t>the</w:t>
      </w:r>
      <w:r>
        <w:rPr>
          <w:spacing w:val="-10"/>
        </w:rPr>
        <w:t> </w:t>
      </w:r>
      <w:r>
        <w:rPr/>
        <w:t>breakdown</w:t>
      </w:r>
      <w:r>
        <w:rPr>
          <w:spacing w:val="-11"/>
        </w:rPr>
        <w:t> </w:t>
      </w:r>
      <w:r>
        <w:rPr/>
        <w:t>of</w:t>
      </w:r>
      <w:r>
        <w:rPr>
          <w:spacing w:val="-10"/>
        </w:rPr>
        <w:t> </w:t>
      </w:r>
      <w:r>
        <w:rPr/>
        <w:t>so-called </w:t>
      </w:r>
      <w:r>
        <w:rPr>
          <w:i/>
        </w:rPr>
        <w:t>oxidases </w:t>
      </w:r>
      <w:r>
        <w:rPr/>
        <w:t>and helps the liver to break down toxins and other toxic substances</w:t>
      </w:r>
      <w:r>
        <w:rPr>
          <w:spacing w:val="-41"/>
        </w:rPr>
        <w:t> </w:t>
      </w:r>
      <w:r>
        <w:rPr/>
        <w:t>in the body. People who drink a lot of alcohol, smoke or take hormones are</w:t>
      </w:r>
      <w:r>
        <w:rPr>
          <w:spacing w:val="-62"/>
        </w:rPr>
        <w:t> </w:t>
      </w:r>
      <w:r>
        <w:rPr/>
        <w:t>par- ticularly advised to take</w:t>
      </w:r>
      <w:r>
        <w:rPr>
          <w:spacing w:val="2"/>
        </w:rPr>
        <w:t> </w:t>
      </w:r>
      <w:r>
        <w:rPr/>
        <w:t>OPC.</w:t>
      </w:r>
    </w:p>
    <w:p>
      <w:pPr>
        <w:pStyle w:val="Heading1"/>
        <w:spacing w:before="223"/>
        <w:ind w:left="616"/>
      </w:pPr>
      <w:r>
        <w:rPr/>
        <w:t>OPC helps with hair loss and hair breakage</w:t>
      </w:r>
    </w:p>
    <w:p>
      <w:pPr>
        <w:pStyle w:val="BodyText"/>
        <w:spacing w:line="276" w:lineRule="auto" w:before="299"/>
        <w:ind w:left="616" w:right="136"/>
        <w:jc w:val="both"/>
      </w:pPr>
      <w:r>
        <w:rPr/>
        <w:t>OPC</w:t>
      </w:r>
      <w:r>
        <w:rPr>
          <w:spacing w:val="-9"/>
        </w:rPr>
        <w:t> </w:t>
      </w:r>
      <w:r>
        <w:rPr/>
        <w:t>increases</w:t>
      </w:r>
      <w:r>
        <w:rPr>
          <w:spacing w:val="-7"/>
        </w:rPr>
        <w:t> </w:t>
      </w:r>
      <w:r>
        <w:rPr/>
        <w:t>blood</w:t>
      </w:r>
      <w:r>
        <w:rPr>
          <w:spacing w:val="-9"/>
        </w:rPr>
        <w:t> </w:t>
      </w:r>
      <w:r>
        <w:rPr/>
        <w:t>circulation</w:t>
      </w:r>
      <w:r>
        <w:rPr>
          <w:spacing w:val="-9"/>
        </w:rPr>
        <w:t> </w:t>
      </w:r>
      <w:r>
        <w:rPr/>
        <w:t>in</w:t>
      </w:r>
      <w:r>
        <w:rPr>
          <w:spacing w:val="-8"/>
        </w:rPr>
        <w:t> </w:t>
      </w:r>
      <w:r>
        <w:rPr/>
        <w:t>the</w:t>
      </w:r>
      <w:r>
        <w:rPr>
          <w:spacing w:val="-7"/>
        </w:rPr>
        <w:t> </w:t>
      </w:r>
      <w:r>
        <w:rPr/>
        <w:t>scalp</w:t>
      </w:r>
      <w:r>
        <w:rPr>
          <w:spacing w:val="-9"/>
        </w:rPr>
        <w:t> </w:t>
      </w:r>
      <w:r>
        <w:rPr/>
        <w:t>area</w:t>
      </w:r>
      <w:r>
        <w:rPr>
          <w:spacing w:val="-9"/>
        </w:rPr>
        <w:t> </w:t>
      </w:r>
      <w:r>
        <w:rPr/>
        <w:t>and</w:t>
      </w:r>
      <w:r>
        <w:rPr>
          <w:spacing w:val="-8"/>
        </w:rPr>
        <w:t> </w:t>
      </w:r>
      <w:r>
        <w:rPr/>
        <w:t>contributes</w:t>
      </w:r>
      <w:r>
        <w:rPr>
          <w:spacing w:val="-9"/>
        </w:rPr>
        <w:t> </w:t>
      </w:r>
      <w:r>
        <w:rPr/>
        <w:t>to</w:t>
      </w:r>
      <w:r>
        <w:rPr>
          <w:spacing w:val="-8"/>
        </w:rPr>
        <w:t> </w:t>
      </w:r>
      <w:r>
        <w:rPr/>
        <w:t>the</w:t>
      </w:r>
      <w:r>
        <w:rPr>
          <w:spacing w:val="-7"/>
        </w:rPr>
        <w:t> </w:t>
      </w:r>
      <w:r>
        <w:rPr/>
        <w:t>better supply of nutrients and oxygen to the follicles. In this way, OPC can prevent hair loss and prevent hair</w:t>
      </w:r>
      <w:r>
        <w:rPr>
          <w:spacing w:val="4"/>
        </w:rPr>
        <w:t> </w:t>
      </w:r>
      <w:r>
        <w:rPr/>
        <w:t>breakage.</w:t>
      </w:r>
    </w:p>
    <w:p>
      <w:pPr>
        <w:pStyle w:val="Heading1"/>
        <w:ind w:left="616"/>
      </w:pPr>
      <w:r>
        <w:rPr/>
        <w:t>Both OPC and vitamin C thus produce their effect on several fronts:</w:t>
      </w:r>
    </w:p>
    <w:p>
      <w:pPr>
        <w:pStyle w:val="BodyText"/>
        <w:spacing w:line="276" w:lineRule="auto" w:before="299"/>
        <w:ind w:left="616" w:right="138"/>
        <w:jc w:val="both"/>
      </w:pPr>
      <w:r>
        <w:rPr/>
        <w:t>hormonal, antiviral/bacterial, purifying as a catalyst, antioxidant, collagen and elastin building. As you can see in the description of the effects on individual diseases above, the antioxidative effect and influence on collagen and elastin development are of the greatest importance here:</w:t>
      </w:r>
    </w:p>
    <w:p>
      <w:pPr>
        <w:pStyle w:val="Heading2"/>
        <w:spacing w:before="240"/>
        <w:ind w:left="616"/>
      </w:pPr>
      <w:r>
        <w:rPr/>
        <w:t>OXIDATION = DEGENERATION, DISEASES, AGEING</w:t>
      </w:r>
    </w:p>
    <w:p>
      <w:pPr>
        <w:pStyle w:val="BodyText"/>
        <w:spacing w:line="276" w:lineRule="auto" w:before="304"/>
        <w:ind w:left="616" w:right="136"/>
        <w:jc w:val="both"/>
      </w:pPr>
      <w:r>
        <w:rPr/>
        <w:t>While</w:t>
      </w:r>
      <w:r>
        <w:rPr>
          <w:spacing w:val="-8"/>
        </w:rPr>
        <w:t> </w:t>
      </w:r>
      <w:r>
        <w:rPr/>
        <w:t>the</w:t>
      </w:r>
      <w:r>
        <w:rPr>
          <w:spacing w:val="-5"/>
        </w:rPr>
        <w:t> </w:t>
      </w:r>
      <w:r>
        <w:rPr/>
        <w:t>medical</w:t>
      </w:r>
      <w:r>
        <w:rPr>
          <w:spacing w:val="-6"/>
        </w:rPr>
        <w:t> </w:t>
      </w:r>
      <w:r>
        <w:rPr/>
        <w:t>profession</w:t>
      </w:r>
      <w:r>
        <w:rPr>
          <w:spacing w:val="-6"/>
        </w:rPr>
        <w:t> </w:t>
      </w:r>
      <w:r>
        <w:rPr/>
        <w:t>does</w:t>
      </w:r>
      <w:r>
        <w:rPr>
          <w:spacing w:val="-5"/>
        </w:rPr>
        <w:t> </w:t>
      </w:r>
      <w:r>
        <w:rPr/>
        <w:t>not</w:t>
      </w:r>
      <w:r>
        <w:rPr>
          <w:spacing w:val="-6"/>
        </w:rPr>
        <w:t> </w:t>
      </w:r>
      <w:r>
        <w:rPr/>
        <w:t>know</w:t>
      </w:r>
      <w:r>
        <w:rPr>
          <w:spacing w:val="-7"/>
        </w:rPr>
        <w:t> </w:t>
      </w:r>
      <w:r>
        <w:rPr/>
        <w:t>what</w:t>
      </w:r>
      <w:r>
        <w:rPr>
          <w:spacing w:val="-7"/>
        </w:rPr>
        <w:t> </w:t>
      </w:r>
      <w:r>
        <w:rPr/>
        <w:t>to</w:t>
      </w:r>
      <w:r>
        <w:rPr>
          <w:spacing w:val="-6"/>
        </w:rPr>
        <w:t> </w:t>
      </w:r>
      <w:r>
        <w:rPr/>
        <w:t>do</w:t>
      </w:r>
      <w:r>
        <w:rPr>
          <w:spacing w:val="-5"/>
        </w:rPr>
        <w:t> </w:t>
      </w:r>
      <w:r>
        <w:rPr/>
        <w:t>about</w:t>
      </w:r>
      <w:r>
        <w:rPr>
          <w:spacing w:val="-8"/>
        </w:rPr>
        <w:t> </w:t>
      </w:r>
      <w:r>
        <w:rPr/>
        <w:t>deadly</w:t>
      </w:r>
      <w:r>
        <w:rPr>
          <w:spacing w:val="-6"/>
        </w:rPr>
        <w:t> </w:t>
      </w:r>
      <w:r>
        <w:rPr/>
        <w:t>diseases such as cancer, heart disease, stroke and others, (you will discover the reason why they do not want to know in the sections 'Reason for fraud' and 'Manip- ulative network'), nevertheless, all serious scientists agree on one</w:t>
      </w:r>
      <w:r>
        <w:rPr>
          <w:spacing w:val="-14"/>
        </w:rPr>
        <w:t> </w:t>
      </w:r>
      <w:r>
        <w:rPr/>
        <w:t>fact:</w:t>
      </w:r>
    </w:p>
    <w:p>
      <w:pPr>
        <w:spacing w:after="0" w:line="276" w:lineRule="auto"/>
        <w:jc w:val="both"/>
        <w:sectPr>
          <w:pgSz w:w="14270" w:h="16850"/>
          <w:pgMar w:header="0" w:footer="1891" w:top="1340" w:bottom="2080" w:left="800" w:right="1280"/>
        </w:sectPr>
      </w:pPr>
    </w:p>
    <w:p>
      <w:pPr>
        <w:pStyle w:val="Heading1"/>
        <w:spacing w:line="261" w:lineRule="auto" w:before="77"/>
        <w:ind w:left="616"/>
      </w:pPr>
      <w:r>
        <w:rPr/>
        <w:t>Ageing</w:t>
      </w:r>
      <w:r>
        <w:rPr>
          <w:spacing w:val="-41"/>
        </w:rPr>
        <w:t> </w:t>
      </w:r>
      <w:r>
        <w:rPr/>
        <w:t>processes</w:t>
      </w:r>
      <w:r>
        <w:rPr>
          <w:spacing w:val="-40"/>
        </w:rPr>
        <w:t> </w:t>
      </w:r>
      <w:r>
        <w:rPr/>
        <w:t>and</w:t>
      </w:r>
      <w:r>
        <w:rPr>
          <w:spacing w:val="-40"/>
        </w:rPr>
        <w:t> </w:t>
      </w:r>
      <w:r>
        <w:rPr/>
        <w:t>most</w:t>
      </w:r>
      <w:r>
        <w:rPr>
          <w:spacing w:val="-40"/>
        </w:rPr>
        <w:t> </w:t>
      </w:r>
      <w:r>
        <w:rPr/>
        <w:t>diseases</w:t>
      </w:r>
      <w:r>
        <w:rPr>
          <w:spacing w:val="-40"/>
        </w:rPr>
        <w:t> </w:t>
      </w:r>
      <w:r>
        <w:rPr/>
        <w:t>are</w:t>
      </w:r>
      <w:r>
        <w:rPr>
          <w:spacing w:val="-39"/>
        </w:rPr>
        <w:t> </w:t>
      </w:r>
      <w:r>
        <w:rPr/>
        <w:t>related</w:t>
      </w:r>
      <w:r>
        <w:rPr>
          <w:spacing w:val="-40"/>
        </w:rPr>
        <w:t> </w:t>
      </w:r>
      <w:r>
        <w:rPr/>
        <w:t>to</w:t>
      </w:r>
      <w:r>
        <w:rPr>
          <w:spacing w:val="-40"/>
        </w:rPr>
        <w:t> </w:t>
      </w:r>
      <w:r>
        <w:rPr/>
        <w:t>the</w:t>
      </w:r>
      <w:r>
        <w:rPr>
          <w:spacing w:val="-39"/>
        </w:rPr>
        <w:t> </w:t>
      </w:r>
      <w:r>
        <w:rPr/>
        <w:t>oxidation</w:t>
      </w:r>
      <w:r>
        <w:rPr>
          <w:spacing w:val="-34"/>
        </w:rPr>
        <w:t> </w:t>
      </w:r>
      <w:r>
        <w:rPr/>
        <w:t>of</w:t>
      </w:r>
      <w:r>
        <w:rPr>
          <w:spacing w:val="-39"/>
        </w:rPr>
        <w:t> </w:t>
      </w:r>
      <w:r>
        <w:rPr/>
        <w:t>our body</w:t>
      </w:r>
      <w:r>
        <w:rPr>
          <w:spacing w:val="-7"/>
        </w:rPr>
        <w:t> </w:t>
      </w:r>
      <w:r>
        <w:rPr/>
        <w:t>cells.</w:t>
      </w:r>
    </w:p>
    <w:p>
      <w:pPr>
        <w:pStyle w:val="BodyText"/>
        <w:spacing w:before="258"/>
        <w:ind w:left="616"/>
      </w:pPr>
      <w:r>
        <w:rPr/>
        <w:t>What is meant by this?</w:t>
      </w:r>
    </w:p>
    <w:p>
      <w:pPr>
        <w:pStyle w:val="BodyText"/>
        <w:spacing w:line="276" w:lineRule="auto" w:before="304"/>
        <w:ind w:left="616" w:right="139"/>
        <w:jc w:val="both"/>
      </w:pPr>
      <w:r>
        <w:rPr/>
        <w:t>As has been frequently stated, oxidation is caused by so-called 'free radicals' which, in combination with oxygen, attack and destroy our body cells. It is precisely this destruction that causes diseases and makes us age.</w:t>
      </w:r>
    </w:p>
    <w:p>
      <w:pPr>
        <w:pStyle w:val="Heading1"/>
        <w:spacing w:before="225"/>
        <w:ind w:left="616"/>
      </w:pPr>
      <w:r>
        <w:rPr/>
        <w:t>We believe:</w:t>
      </w:r>
    </w:p>
    <w:p>
      <w:pPr>
        <w:pStyle w:val="ListParagraph"/>
        <w:numPr>
          <w:ilvl w:val="0"/>
          <w:numId w:val="80"/>
        </w:numPr>
        <w:tabs>
          <w:tab w:pos="1036" w:val="left" w:leader="none"/>
          <w:tab w:pos="1037" w:val="left" w:leader="none"/>
        </w:tabs>
        <w:spacing w:line="273" w:lineRule="auto" w:before="298" w:after="0"/>
        <w:ind w:left="1036" w:right="146" w:hanging="360"/>
        <w:jc w:val="left"/>
        <w:rPr>
          <w:sz w:val="38"/>
        </w:rPr>
      </w:pPr>
      <w:r>
        <w:rPr>
          <w:sz w:val="38"/>
        </w:rPr>
        <w:t>Free radicals damage our cell membranes, our cells, our genes, our DNA, our protein and our fats.</w:t>
      </w:r>
    </w:p>
    <w:p>
      <w:pPr>
        <w:pStyle w:val="ListParagraph"/>
        <w:numPr>
          <w:ilvl w:val="0"/>
          <w:numId w:val="80"/>
        </w:numPr>
        <w:tabs>
          <w:tab w:pos="1036" w:val="left" w:leader="none"/>
          <w:tab w:pos="1037" w:val="left" w:leader="none"/>
        </w:tabs>
        <w:spacing w:line="240" w:lineRule="auto" w:before="247" w:after="0"/>
        <w:ind w:left="1036" w:right="0" w:hanging="360"/>
        <w:jc w:val="left"/>
        <w:rPr>
          <w:sz w:val="38"/>
        </w:rPr>
      </w:pPr>
      <w:r>
        <w:rPr>
          <w:sz w:val="38"/>
        </w:rPr>
        <w:t>Free radicals accelerate tissue breakdown, i.e. physical</w:t>
      </w:r>
      <w:r>
        <w:rPr>
          <w:spacing w:val="-7"/>
          <w:sz w:val="38"/>
        </w:rPr>
        <w:t> </w:t>
      </w:r>
      <w:r>
        <w:rPr>
          <w:sz w:val="38"/>
        </w:rPr>
        <w:t>ageing.</w:t>
      </w:r>
    </w:p>
    <w:p>
      <w:pPr>
        <w:pStyle w:val="ListParagraph"/>
        <w:numPr>
          <w:ilvl w:val="0"/>
          <w:numId w:val="80"/>
        </w:numPr>
        <w:tabs>
          <w:tab w:pos="1036" w:val="left" w:leader="none"/>
          <w:tab w:pos="1037" w:val="left" w:leader="none"/>
        </w:tabs>
        <w:spacing w:line="240" w:lineRule="auto" w:before="306" w:after="0"/>
        <w:ind w:left="1036" w:right="0" w:hanging="360"/>
        <w:jc w:val="left"/>
        <w:rPr>
          <w:sz w:val="38"/>
        </w:rPr>
      </w:pPr>
      <w:r>
        <w:rPr>
          <w:sz w:val="38"/>
        </w:rPr>
        <w:t>Free radicals create or accelerate a number of civilisation diseases, such</w:t>
      </w:r>
      <w:r>
        <w:rPr>
          <w:spacing w:val="-18"/>
          <w:sz w:val="38"/>
        </w:rPr>
        <w:t> </w:t>
      </w:r>
      <w:r>
        <w:rPr>
          <w:sz w:val="38"/>
        </w:rPr>
        <w:t>as:</w:t>
      </w:r>
    </w:p>
    <w:p>
      <w:pPr>
        <w:pStyle w:val="ListParagraph"/>
        <w:numPr>
          <w:ilvl w:val="0"/>
          <w:numId w:val="84"/>
        </w:numPr>
        <w:tabs>
          <w:tab w:pos="1757" w:val="left" w:leader="none"/>
        </w:tabs>
        <w:spacing w:line="240" w:lineRule="auto" w:before="303" w:after="0"/>
        <w:ind w:left="1756" w:right="0" w:hanging="360"/>
        <w:jc w:val="left"/>
        <w:rPr>
          <w:sz w:val="38"/>
        </w:rPr>
      </w:pPr>
      <w:r>
        <w:rPr>
          <w:sz w:val="38"/>
        </w:rPr>
        <w:t>Atherosclerosis</w:t>
      </w:r>
    </w:p>
    <w:p>
      <w:pPr>
        <w:pStyle w:val="ListParagraph"/>
        <w:numPr>
          <w:ilvl w:val="0"/>
          <w:numId w:val="84"/>
        </w:numPr>
        <w:tabs>
          <w:tab w:pos="1757" w:val="left" w:leader="none"/>
        </w:tabs>
        <w:spacing w:line="240" w:lineRule="auto" w:before="50" w:after="0"/>
        <w:ind w:left="1756" w:right="0" w:hanging="360"/>
        <w:jc w:val="left"/>
        <w:rPr>
          <w:sz w:val="38"/>
        </w:rPr>
      </w:pPr>
      <w:r>
        <w:rPr>
          <w:sz w:val="38"/>
        </w:rPr>
        <w:t>Respiratory diseases</w:t>
      </w:r>
    </w:p>
    <w:p>
      <w:pPr>
        <w:pStyle w:val="ListParagraph"/>
        <w:numPr>
          <w:ilvl w:val="0"/>
          <w:numId w:val="84"/>
        </w:numPr>
        <w:tabs>
          <w:tab w:pos="1757" w:val="left" w:leader="none"/>
        </w:tabs>
        <w:spacing w:line="240" w:lineRule="auto" w:before="48" w:after="0"/>
        <w:ind w:left="1756" w:right="0" w:hanging="360"/>
        <w:jc w:val="left"/>
        <w:rPr>
          <w:sz w:val="38"/>
        </w:rPr>
      </w:pPr>
      <w:r>
        <w:rPr>
          <w:sz w:val="38"/>
        </w:rPr>
        <w:t>Blood vessel</w:t>
      </w:r>
      <w:r>
        <w:rPr>
          <w:spacing w:val="-1"/>
          <w:sz w:val="38"/>
        </w:rPr>
        <w:t> </w:t>
      </w:r>
      <w:r>
        <w:rPr>
          <w:sz w:val="38"/>
        </w:rPr>
        <w:t>diseases</w:t>
      </w:r>
    </w:p>
    <w:p>
      <w:pPr>
        <w:pStyle w:val="ListParagraph"/>
        <w:numPr>
          <w:ilvl w:val="0"/>
          <w:numId w:val="84"/>
        </w:numPr>
        <w:tabs>
          <w:tab w:pos="1757" w:val="left" w:leader="none"/>
        </w:tabs>
        <w:spacing w:line="240" w:lineRule="auto" w:before="51" w:after="0"/>
        <w:ind w:left="1756" w:right="0" w:hanging="360"/>
        <w:jc w:val="left"/>
        <w:rPr>
          <w:sz w:val="38"/>
        </w:rPr>
      </w:pPr>
      <w:r>
        <w:rPr>
          <w:sz w:val="38"/>
        </w:rPr>
        <w:t>Cancer</w:t>
      </w:r>
    </w:p>
    <w:p>
      <w:pPr>
        <w:pStyle w:val="ListParagraph"/>
        <w:numPr>
          <w:ilvl w:val="0"/>
          <w:numId w:val="84"/>
        </w:numPr>
        <w:tabs>
          <w:tab w:pos="1757" w:val="left" w:leader="none"/>
        </w:tabs>
        <w:spacing w:line="240" w:lineRule="auto" w:before="50" w:after="0"/>
        <w:ind w:left="1756" w:right="0" w:hanging="360"/>
        <w:jc w:val="left"/>
        <w:rPr>
          <w:sz w:val="38"/>
        </w:rPr>
      </w:pPr>
      <w:r>
        <w:rPr>
          <w:sz w:val="38"/>
        </w:rPr>
        <w:t>Diabetes</w:t>
      </w:r>
    </w:p>
    <w:p>
      <w:pPr>
        <w:pStyle w:val="ListParagraph"/>
        <w:numPr>
          <w:ilvl w:val="0"/>
          <w:numId w:val="84"/>
        </w:numPr>
        <w:tabs>
          <w:tab w:pos="1757" w:val="left" w:leader="none"/>
        </w:tabs>
        <w:spacing w:line="240" w:lineRule="auto" w:before="50" w:after="0"/>
        <w:ind w:left="1756" w:right="0" w:hanging="360"/>
        <w:jc w:val="left"/>
        <w:rPr>
          <w:sz w:val="38"/>
        </w:rPr>
      </w:pPr>
      <w:r>
        <w:rPr>
          <w:sz w:val="38"/>
        </w:rPr>
        <w:t>Cystic</w:t>
      </w:r>
      <w:r>
        <w:rPr>
          <w:spacing w:val="-2"/>
          <w:sz w:val="38"/>
        </w:rPr>
        <w:t> </w:t>
      </w:r>
      <w:r>
        <w:rPr>
          <w:sz w:val="38"/>
        </w:rPr>
        <w:t>fibrosis</w:t>
      </w:r>
    </w:p>
    <w:p>
      <w:pPr>
        <w:pStyle w:val="ListParagraph"/>
        <w:numPr>
          <w:ilvl w:val="0"/>
          <w:numId w:val="84"/>
        </w:numPr>
        <w:tabs>
          <w:tab w:pos="1757" w:val="left" w:leader="none"/>
        </w:tabs>
        <w:spacing w:line="240" w:lineRule="auto" w:before="51" w:after="0"/>
        <w:ind w:left="1756" w:right="0" w:hanging="360"/>
        <w:jc w:val="left"/>
        <w:rPr>
          <w:sz w:val="38"/>
        </w:rPr>
      </w:pPr>
      <w:r>
        <w:rPr>
          <w:sz w:val="38"/>
        </w:rPr>
        <w:t>Inflammation</w:t>
      </w:r>
    </w:p>
    <w:p>
      <w:pPr>
        <w:pStyle w:val="ListParagraph"/>
        <w:numPr>
          <w:ilvl w:val="0"/>
          <w:numId w:val="84"/>
        </w:numPr>
        <w:tabs>
          <w:tab w:pos="1757" w:val="left" w:leader="none"/>
        </w:tabs>
        <w:spacing w:line="240" w:lineRule="auto" w:before="51" w:after="0"/>
        <w:ind w:left="1756" w:right="0" w:hanging="360"/>
        <w:jc w:val="left"/>
        <w:rPr>
          <w:sz w:val="38"/>
        </w:rPr>
      </w:pPr>
      <w:r>
        <w:rPr>
          <w:sz w:val="38"/>
        </w:rPr>
        <w:t>Hepatitis</w:t>
      </w:r>
    </w:p>
    <w:p>
      <w:pPr>
        <w:pStyle w:val="ListParagraph"/>
        <w:numPr>
          <w:ilvl w:val="0"/>
          <w:numId w:val="84"/>
        </w:numPr>
        <w:tabs>
          <w:tab w:pos="1757" w:val="left" w:leader="none"/>
        </w:tabs>
        <w:spacing w:line="240" w:lineRule="auto" w:before="50" w:after="0"/>
        <w:ind w:left="1756" w:right="0" w:hanging="360"/>
        <w:jc w:val="left"/>
        <w:rPr>
          <w:sz w:val="38"/>
        </w:rPr>
      </w:pPr>
      <w:r>
        <w:rPr>
          <w:sz w:val="38"/>
        </w:rPr>
        <w:t>Parkinson’s</w:t>
      </w:r>
    </w:p>
    <w:p>
      <w:pPr>
        <w:pStyle w:val="ListParagraph"/>
        <w:numPr>
          <w:ilvl w:val="0"/>
          <w:numId w:val="84"/>
        </w:numPr>
        <w:tabs>
          <w:tab w:pos="1757" w:val="left" w:leader="none"/>
        </w:tabs>
        <w:spacing w:line="240" w:lineRule="auto" w:before="48" w:after="0"/>
        <w:ind w:left="1756" w:right="0" w:hanging="360"/>
        <w:jc w:val="left"/>
        <w:rPr>
          <w:sz w:val="38"/>
        </w:rPr>
      </w:pPr>
      <w:r>
        <w:rPr>
          <w:sz w:val="38"/>
        </w:rPr>
        <w:t>Alzheimer’s</w:t>
      </w:r>
    </w:p>
    <w:p>
      <w:pPr>
        <w:spacing w:after="0" w:line="240" w:lineRule="auto"/>
        <w:jc w:val="left"/>
        <w:rPr>
          <w:sz w:val="38"/>
        </w:rPr>
        <w:sectPr>
          <w:pgSz w:w="14270" w:h="16850"/>
          <w:pgMar w:header="0" w:footer="1891" w:top="1320" w:bottom="2080" w:left="800" w:right="1280"/>
        </w:sectPr>
      </w:pPr>
    </w:p>
    <w:p>
      <w:pPr>
        <w:pStyle w:val="ListParagraph"/>
        <w:numPr>
          <w:ilvl w:val="0"/>
          <w:numId w:val="84"/>
        </w:numPr>
        <w:tabs>
          <w:tab w:pos="1757" w:val="left" w:leader="none"/>
        </w:tabs>
        <w:spacing w:line="240" w:lineRule="auto" w:before="72" w:after="0"/>
        <w:ind w:left="1756" w:right="0" w:hanging="360"/>
        <w:jc w:val="left"/>
        <w:rPr>
          <w:sz w:val="38"/>
        </w:rPr>
      </w:pPr>
      <w:r>
        <w:rPr>
          <w:sz w:val="38"/>
        </w:rPr>
        <w:t>Arthritis</w:t>
      </w:r>
    </w:p>
    <w:p>
      <w:pPr>
        <w:pStyle w:val="ListParagraph"/>
        <w:numPr>
          <w:ilvl w:val="0"/>
          <w:numId w:val="84"/>
        </w:numPr>
        <w:tabs>
          <w:tab w:pos="1757" w:val="left" w:leader="none"/>
        </w:tabs>
        <w:spacing w:line="240" w:lineRule="auto" w:before="50" w:after="0"/>
        <w:ind w:left="1756" w:right="0" w:hanging="360"/>
        <w:jc w:val="left"/>
        <w:rPr>
          <w:sz w:val="38"/>
        </w:rPr>
      </w:pPr>
      <w:r>
        <w:rPr>
          <w:sz w:val="38"/>
        </w:rPr>
        <w:t>Down’s</w:t>
      </w:r>
      <w:r>
        <w:rPr>
          <w:spacing w:val="1"/>
          <w:sz w:val="38"/>
        </w:rPr>
        <w:t> </w:t>
      </w:r>
      <w:r>
        <w:rPr>
          <w:sz w:val="38"/>
        </w:rPr>
        <w:t>syndrome</w:t>
      </w:r>
    </w:p>
    <w:p>
      <w:pPr>
        <w:pStyle w:val="BodyText"/>
        <w:rPr>
          <w:sz w:val="44"/>
        </w:rPr>
      </w:pPr>
    </w:p>
    <w:p>
      <w:pPr>
        <w:pStyle w:val="BodyText"/>
        <w:rPr>
          <w:sz w:val="44"/>
        </w:rPr>
      </w:pPr>
    </w:p>
    <w:p>
      <w:pPr>
        <w:pStyle w:val="BodyText"/>
        <w:rPr>
          <w:sz w:val="44"/>
        </w:rPr>
      </w:pPr>
    </w:p>
    <w:p>
      <w:pPr>
        <w:pStyle w:val="Heading2"/>
        <w:spacing w:line="276" w:lineRule="auto" w:before="270"/>
        <w:ind w:left="616" w:right="136"/>
        <w:jc w:val="both"/>
      </w:pPr>
      <w:r>
        <w:rPr/>
        <w:t>ANTIOXIDATION = REGENERATION – PRESERVING HEALTH AND YOUTH</w:t>
      </w:r>
    </w:p>
    <w:p>
      <w:pPr>
        <w:pStyle w:val="BodyText"/>
        <w:spacing w:line="276" w:lineRule="auto" w:before="239"/>
        <w:ind w:left="616" w:right="137"/>
        <w:jc w:val="both"/>
      </w:pPr>
      <w:r>
        <w:rPr/>
        <w:t>Therefore, the inversion of the argument means that we remain untouched</w:t>
      </w:r>
      <w:r>
        <w:rPr>
          <w:spacing w:val="-49"/>
        </w:rPr>
        <w:t> </w:t>
      </w:r>
      <w:r>
        <w:rPr/>
        <w:t>by most diseases and, after we have finished growing, we will NOT age biologi- cally</w:t>
      </w:r>
      <w:r>
        <w:rPr>
          <w:spacing w:val="-27"/>
        </w:rPr>
        <w:t> </w:t>
      </w:r>
      <w:r>
        <w:rPr/>
        <w:t>if</w:t>
      </w:r>
      <w:r>
        <w:rPr>
          <w:spacing w:val="-27"/>
        </w:rPr>
        <w:t> </w:t>
      </w:r>
      <w:r>
        <w:rPr/>
        <w:t>the</w:t>
      </w:r>
      <w:r>
        <w:rPr>
          <w:spacing w:val="-24"/>
        </w:rPr>
        <w:t> </w:t>
      </w:r>
      <w:r>
        <w:rPr/>
        <w:t>body</w:t>
      </w:r>
      <w:r>
        <w:rPr>
          <w:spacing w:val="-28"/>
        </w:rPr>
        <w:t> </w:t>
      </w:r>
      <w:r>
        <w:rPr/>
        <w:t>could</w:t>
      </w:r>
      <w:r>
        <w:rPr>
          <w:spacing w:val="-25"/>
        </w:rPr>
        <w:t> </w:t>
      </w:r>
      <w:r>
        <w:rPr/>
        <w:t>neutralise</w:t>
      </w:r>
      <w:r>
        <w:rPr>
          <w:spacing w:val="-26"/>
        </w:rPr>
        <w:t> </w:t>
      </w:r>
      <w:r>
        <w:rPr/>
        <w:t>all</w:t>
      </w:r>
      <w:r>
        <w:rPr>
          <w:spacing w:val="-26"/>
        </w:rPr>
        <w:t> </w:t>
      </w:r>
      <w:r>
        <w:rPr/>
        <w:t>free</w:t>
      </w:r>
      <w:r>
        <w:rPr>
          <w:spacing w:val="-25"/>
        </w:rPr>
        <w:t> </w:t>
      </w:r>
      <w:r>
        <w:rPr/>
        <w:t>radicals</w:t>
      </w:r>
      <w:r>
        <w:rPr>
          <w:spacing w:val="-26"/>
        </w:rPr>
        <w:t> </w:t>
      </w:r>
      <w:r>
        <w:rPr/>
        <w:t>(oxidants).</w:t>
      </w:r>
      <w:r>
        <w:rPr>
          <w:spacing w:val="-24"/>
        </w:rPr>
        <w:t> </w:t>
      </w:r>
      <w:r>
        <w:rPr/>
        <w:t>Since</w:t>
      </w:r>
      <w:r>
        <w:rPr>
          <w:spacing w:val="-28"/>
        </w:rPr>
        <w:t> </w:t>
      </w:r>
      <w:r>
        <w:rPr/>
        <w:t>OPC</w:t>
      </w:r>
      <w:r>
        <w:rPr>
          <w:spacing w:val="-27"/>
        </w:rPr>
        <w:t> </w:t>
      </w:r>
      <w:r>
        <w:rPr/>
        <w:t>(vitamin</w:t>
      </w:r>
    </w:p>
    <w:p>
      <w:pPr>
        <w:pStyle w:val="ListParagraph"/>
        <w:numPr>
          <w:ilvl w:val="0"/>
          <w:numId w:val="85"/>
        </w:numPr>
        <w:tabs>
          <w:tab w:pos="1030" w:val="left" w:leader="none"/>
        </w:tabs>
        <w:spacing w:line="278" w:lineRule="auto" w:before="1" w:after="0"/>
        <w:ind w:left="616" w:right="135" w:firstLine="0"/>
        <w:jc w:val="both"/>
        <w:rPr>
          <w:sz w:val="38"/>
        </w:rPr>
      </w:pPr>
      <w:r>
        <w:rPr>
          <w:sz w:val="38"/>
        </w:rPr>
        <w:t>is</w:t>
      </w:r>
      <w:r>
        <w:rPr>
          <w:spacing w:val="-9"/>
          <w:sz w:val="38"/>
        </w:rPr>
        <w:t> </w:t>
      </w:r>
      <w:r>
        <w:rPr>
          <w:sz w:val="38"/>
        </w:rPr>
        <w:t>one</w:t>
      </w:r>
      <w:r>
        <w:rPr>
          <w:spacing w:val="-8"/>
          <w:sz w:val="38"/>
        </w:rPr>
        <w:t> </w:t>
      </w:r>
      <w:r>
        <w:rPr>
          <w:sz w:val="38"/>
        </w:rPr>
        <w:t>of</w:t>
      </w:r>
      <w:r>
        <w:rPr>
          <w:spacing w:val="-8"/>
          <w:sz w:val="38"/>
        </w:rPr>
        <w:t> </w:t>
      </w:r>
      <w:r>
        <w:rPr>
          <w:sz w:val="38"/>
        </w:rPr>
        <w:t>the</w:t>
      </w:r>
      <w:r>
        <w:rPr>
          <w:spacing w:val="-10"/>
          <w:sz w:val="38"/>
        </w:rPr>
        <w:t> </w:t>
      </w:r>
      <w:r>
        <w:rPr>
          <w:sz w:val="38"/>
        </w:rPr>
        <w:t>most</w:t>
      </w:r>
      <w:r>
        <w:rPr>
          <w:spacing w:val="-8"/>
          <w:sz w:val="38"/>
        </w:rPr>
        <w:t> </w:t>
      </w:r>
      <w:r>
        <w:rPr>
          <w:sz w:val="38"/>
        </w:rPr>
        <w:t>efficient</w:t>
      </w:r>
      <w:r>
        <w:rPr>
          <w:spacing w:val="-8"/>
          <w:sz w:val="38"/>
        </w:rPr>
        <w:t> </w:t>
      </w:r>
      <w:r>
        <w:rPr>
          <w:sz w:val="38"/>
        </w:rPr>
        <w:t>antioxidants</w:t>
      </w:r>
      <w:r>
        <w:rPr>
          <w:spacing w:val="-8"/>
          <w:sz w:val="38"/>
        </w:rPr>
        <w:t> </w:t>
      </w:r>
      <w:r>
        <w:rPr>
          <w:sz w:val="38"/>
        </w:rPr>
        <w:t>(40-50</w:t>
      </w:r>
      <w:r>
        <w:rPr>
          <w:spacing w:val="-9"/>
          <w:sz w:val="38"/>
        </w:rPr>
        <w:t> </w:t>
      </w:r>
      <w:r>
        <w:rPr>
          <w:sz w:val="38"/>
        </w:rPr>
        <w:t>times</w:t>
      </w:r>
      <w:r>
        <w:rPr>
          <w:spacing w:val="-8"/>
          <w:sz w:val="38"/>
        </w:rPr>
        <w:t> </w:t>
      </w:r>
      <w:r>
        <w:rPr>
          <w:sz w:val="38"/>
        </w:rPr>
        <w:t>as</w:t>
      </w:r>
      <w:r>
        <w:rPr>
          <w:spacing w:val="-9"/>
          <w:sz w:val="38"/>
        </w:rPr>
        <w:t> </w:t>
      </w:r>
      <w:r>
        <w:rPr>
          <w:sz w:val="38"/>
        </w:rPr>
        <w:t>effective</w:t>
      </w:r>
      <w:r>
        <w:rPr>
          <w:spacing w:val="-9"/>
          <w:sz w:val="38"/>
        </w:rPr>
        <w:t> </w:t>
      </w:r>
      <w:r>
        <w:rPr>
          <w:sz w:val="38"/>
        </w:rPr>
        <w:t>as</w:t>
      </w:r>
      <w:r>
        <w:rPr>
          <w:spacing w:val="-10"/>
          <w:sz w:val="38"/>
        </w:rPr>
        <w:t> </w:t>
      </w:r>
      <w:r>
        <w:rPr>
          <w:sz w:val="38"/>
        </w:rPr>
        <w:t>vitamin E and 18-20 times as effective as vitamin C), it is of immense</w:t>
      </w:r>
      <w:r>
        <w:rPr>
          <w:spacing w:val="-16"/>
          <w:sz w:val="38"/>
        </w:rPr>
        <w:t> </w:t>
      </w:r>
      <w:r>
        <w:rPr>
          <w:sz w:val="38"/>
        </w:rPr>
        <w:t>importance.</w:t>
      </w:r>
    </w:p>
    <w:p>
      <w:pPr>
        <w:pStyle w:val="BodyText"/>
        <w:spacing w:line="278" w:lineRule="auto" w:before="232"/>
        <w:ind w:left="616" w:right="184"/>
        <w:jc w:val="both"/>
      </w:pPr>
      <w:r>
        <w:rPr/>
        <w:t>COLLAGEN ELASTIN RESYNTHESIS = RENEWAL OF TISSUE/OR- GANS</w:t>
      </w:r>
    </w:p>
    <w:p>
      <w:pPr>
        <w:pStyle w:val="BodyText"/>
        <w:spacing w:line="276" w:lineRule="auto" w:before="232"/>
        <w:ind w:left="616" w:right="137"/>
        <w:jc w:val="both"/>
      </w:pPr>
      <w:r>
        <w:rPr/>
        <w:t>Roughly speaking, the most important tissue forms of humans, which deter- mine lifespan, age, youthfulness and health (skin, blood vessels, nerve tracts, joints, organs, bones, etc.) consist mainly of the two protein building blocks (amino acids) 'elastin' and 'collagen'. What do OPC and vitamin C have to do with this? And what do they have in common?</w:t>
      </w:r>
    </w:p>
    <w:p>
      <w:pPr>
        <w:pStyle w:val="BodyText"/>
        <w:spacing w:line="276" w:lineRule="auto" w:before="241"/>
        <w:ind w:left="616" w:right="137"/>
        <w:jc w:val="both"/>
      </w:pPr>
      <w:r>
        <w:rPr/>
        <w:t>It’s quite simple: They are the most effective partners for the reconstruction and maintenance of collagen and elastin. Your body cannot create and</w:t>
      </w:r>
      <w:r>
        <w:rPr>
          <w:spacing w:val="54"/>
        </w:rPr>
        <w:t> </w:t>
      </w:r>
      <w:r>
        <w:rPr/>
        <w:t>regen-</w:t>
      </w:r>
    </w:p>
    <w:p>
      <w:pPr>
        <w:spacing w:after="0" w:line="276" w:lineRule="auto"/>
        <w:jc w:val="both"/>
        <w:sectPr>
          <w:pgSz w:w="14270" w:h="16850"/>
          <w:pgMar w:header="0" w:footer="1891" w:top="1340" w:bottom="2080" w:left="800" w:right="1280"/>
        </w:sectPr>
      </w:pPr>
    </w:p>
    <w:p>
      <w:pPr>
        <w:pStyle w:val="BodyText"/>
        <w:spacing w:line="276" w:lineRule="auto" w:before="72"/>
        <w:ind w:left="616" w:right="136"/>
        <w:jc w:val="both"/>
      </w:pPr>
      <w:r>
        <w:rPr/>
        <w:pict>
          <v:line style="position:absolute;mso-position-horizontal-relative:page;mso-position-vertical-relative:paragraph;z-index:-1259296" from="260.510010pt,52.974533pt" to="260.510010pt,74.334533pt" stroked="true" strokeweight="4.2pt" strokecolor="#ffff00">
            <v:stroke dashstyle="solid"/>
            <w10:wrap type="none"/>
          </v:line>
        </w:pict>
      </w:r>
      <w:r>
        <w:rPr/>
        <w:t>erate collagen or elastin without vitamin C. When supplied with sufficient vit- amin C, your body uses collagen and elastin synthesis to protect itself against diseases</w:t>
      </w:r>
      <w:r>
        <w:rPr>
          <w:spacing w:val="-22"/>
        </w:rPr>
        <w:t> </w:t>
      </w:r>
      <w:r>
        <w:rPr/>
        <w:t>and</w:t>
      </w:r>
      <w:r>
        <w:rPr>
          <w:spacing w:val="-21"/>
        </w:rPr>
        <w:t> </w:t>
      </w:r>
      <w:r>
        <w:rPr/>
        <w:t>degeneration.</w:t>
      </w:r>
      <w:r>
        <w:rPr>
          <w:spacing w:val="-21"/>
        </w:rPr>
        <w:t> </w:t>
      </w:r>
      <w:r>
        <w:rPr/>
        <w:t>In</w:t>
      </w:r>
      <w:r>
        <w:rPr>
          <w:spacing w:val="-22"/>
        </w:rPr>
        <w:t> </w:t>
      </w:r>
      <w:r>
        <w:rPr/>
        <w:t>contrast</w:t>
      </w:r>
      <w:r>
        <w:rPr>
          <w:spacing w:val="-21"/>
        </w:rPr>
        <w:t> </w:t>
      </w:r>
      <w:r>
        <w:rPr/>
        <w:t>to</w:t>
      </w:r>
      <w:r>
        <w:rPr>
          <w:spacing w:val="-21"/>
        </w:rPr>
        <w:t> </w:t>
      </w:r>
      <w:r>
        <w:rPr/>
        <w:t>vitamin</w:t>
      </w:r>
      <w:r>
        <w:rPr>
          <w:spacing w:val="-18"/>
        </w:rPr>
        <w:t> </w:t>
      </w:r>
      <w:r>
        <w:rPr/>
        <w:t>C,</w:t>
      </w:r>
      <w:r>
        <w:rPr>
          <w:spacing w:val="-23"/>
        </w:rPr>
        <w:t> </w:t>
      </w:r>
      <w:r>
        <w:rPr/>
        <w:t>OPC</w:t>
      </w:r>
      <w:r>
        <w:rPr>
          <w:spacing w:val="-23"/>
        </w:rPr>
        <w:t> </w:t>
      </w:r>
      <w:r>
        <w:rPr/>
        <w:t>has</w:t>
      </w:r>
      <w:r>
        <w:rPr>
          <w:spacing w:val="-20"/>
        </w:rPr>
        <w:t> </w:t>
      </w:r>
      <w:r>
        <w:rPr/>
        <w:t>a</w:t>
      </w:r>
      <w:r>
        <w:rPr>
          <w:spacing w:val="-22"/>
        </w:rPr>
        <w:t> </w:t>
      </w:r>
      <w:r>
        <w:rPr/>
        <w:t>protein</w:t>
      </w:r>
      <w:r>
        <w:rPr>
          <w:spacing w:val="-21"/>
        </w:rPr>
        <w:t> </w:t>
      </w:r>
      <w:r>
        <w:rPr/>
        <w:t>affinity, binds directly to the collagens and elastin and thus succeeds in performing its task directly where it is needed.</w:t>
      </w:r>
    </w:p>
    <w:p>
      <w:pPr>
        <w:pStyle w:val="BodyText"/>
        <w:spacing w:before="242"/>
        <w:ind w:left="616"/>
      </w:pPr>
      <w:r>
        <w:rPr/>
        <w:t>OPC anti-ageing vitamin</w:t>
      </w:r>
    </w:p>
    <w:p>
      <w:pPr>
        <w:pStyle w:val="BodyText"/>
        <w:spacing w:line="276" w:lineRule="auto" w:before="302"/>
        <w:ind w:left="616" w:right="135"/>
        <w:jc w:val="both"/>
      </w:pPr>
      <w:r>
        <w:rPr/>
        <w:t>Ageing after bone growth is due to oxidative destruction of body cells by free radicals. Here, the antioxidants play the most important role in suppressing and delaying biological ageing. As we have already stated several times, OPC is one of the strongest antioxidants (18-20x as strong as vitamin C and even 40-50x as strong as vitamin E).</w:t>
      </w:r>
    </w:p>
    <w:p>
      <w:pPr>
        <w:pStyle w:val="BodyText"/>
        <w:spacing w:line="276" w:lineRule="auto" w:before="242"/>
        <w:ind w:left="616" w:right="133"/>
        <w:jc w:val="both"/>
      </w:pPr>
      <w:r>
        <w:rPr/>
        <w:t>OPC fights all free radicals in the body very reliably and helps to significantly delay its biological ageing. Many molecular researchers claim that with OPC, you</w:t>
      </w:r>
      <w:r>
        <w:rPr>
          <w:spacing w:val="-20"/>
        </w:rPr>
        <w:t> </w:t>
      </w:r>
      <w:r>
        <w:rPr/>
        <w:t>could</w:t>
      </w:r>
      <w:r>
        <w:rPr>
          <w:spacing w:val="-19"/>
        </w:rPr>
        <w:t> </w:t>
      </w:r>
      <w:r>
        <w:rPr/>
        <w:t>live</w:t>
      </w:r>
      <w:r>
        <w:rPr>
          <w:spacing w:val="-19"/>
        </w:rPr>
        <w:t> </w:t>
      </w:r>
      <w:r>
        <w:rPr/>
        <w:t>to</w:t>
      </w:r>
      <w:r>
        <w:rPr>
          <w:spacing w:val="-16"/>
        </w:rPr>
        <w:t> </w:t>
      </w:r>
      <w:r>
        <w:rPr/>
        <w:t>be</w:t>
      </w:r>
      <w:r>
        <w:rPr>
          <w:spacing w:val="-18"/>
        </w:rPr>
        <w:t> </w:t>
      </w:r>
      <w:r>
        <w:rPr/>
        <w:t>120</w:t>
      </w:r>
      <w:r>
        <w:rPr>
          <w:spacing w:val="-20"/>
        </w:rPr>
        <w:t> </w:t>
      </w:r>
      <w:r>
        <w:rPr/>
        <w:t>or</w:t>
      </w:r>
      <w:r>
        <w:rPr>
          <w:spacing w:val="-17"/>
        </w:rPr>
        <w:t> </w:t>
      </w:r>
      <w:r>
        <w:rPr/>
        <w:t>older</w:t>
      </w:r>
      <w:r>
        <w:rPr>
          <w:spacing w:val="-18"/>
        </w:rPr>
        <w:t> </w:t>
      </w:r>
      <w:r>
        <w:rPr/>
        <w:t>if</w:t>
      </w:r>
      <w:r>
        <w:rPr>
          <w:spacing w:val="-18"/>
        </w:rPr>
        <w:t> </w:t>
      </w:r>
      <w:r>
        <w:rPr/>
        <w:t>you</w:t>
      </w:r>
      <w:r>
        <w:rPr>
          <w:spacing w:val="-20"/>
        </w:rPr>
        <w:t> </w:t>
      </w:r>
      <w:r>
        <w:rPr/>
        <w:t>start</w:t>
      </w:r>
      <w:r>
        <w:rPr>
          <w:spacing w:val="-17"/>
        </w:rPr>
        <w:t> </w:t>
      </w:r>
      <w:r>
        <w:rPr/>
        <w:t>taking</w:t>
      </w:r>
      <w:r>
        <w:rPr>
          <w:spacing w:val="-16"/>
        </w:rPr>
        <w:t> </w:t>
      </w:r>
      <w:r>
        <w:rPr/>
        <w:t>it</w:t>
      </w:r>
      <w:r>
        <w:rPr>
          <w:spacing w:val="-20"/>
        </w:rPr>
        <w:t> </w:t>
      </w:r>
      <w:r>
        <w:rPr/>
        <w:t>early.</w:t>
      </w:r>
      <w:r>
        <w:rPr>
          <w:spacing w:val="-17"/>
        </w:rPr>
        <w:t> </w:t>
      </w:r>
      <w:r>
        <w:rPr/>
        <w:t>Animal</w:t>
      </w:r>
      <w:r>
        <w:rPr>
          <w:spacing w:val="-19"/>
        </w:rPr>
        <w:t> </w:t>
      </w:r>
      <w:r>
        <w:rPr/>
        <w:t>experiments confirmed this theory; on average, the life of the tested mice was increased by 30 % – 40 %.</w:t>
      </w:r>
      <w:r>
        <w:rPr>
          <w:position w:val="9"/>
          <w:sz w:val="25"/>
        </w:rPr>
        <w:t>648 </w:t>
      </w:r>
      <w:r>
        <w:rPr/>
        <w:t>The average life expectancy of a human is about 77 years – a 40 % life extension, as shown by the experiments on animals, would mean a life expectancy of 108</w:t>
      </w:r>
      <w:r>
        <w:rPr>
          <w:spacing w:val="-1"/>
        </w:rPr>
        <w:t> </w:t>
      </w:r>
      <w:r>
        <w:rPr/>
        <w:t>years.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0"/>
        </w:rPr>
      </w:pPr>
      <w:r>
        <w:rPr/>
        <w:pict>
          <v:line style="position:absolute;mso-position-horizontal-relative:page;mso-position-vertical-relative:paragraph;z-index:8360;mso-wrap-distance-left:0;mso-wrap-distance-right:0" from="70.823997pt,8.033765pt" to="214.843997pt,8.033765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648 </w:t>
      </w:r>
      <w:r>
        <w:rPr>
          <w:sz w:val="20"/>
        </w:rPr>
        <w:t>Schwitters, loc. cit., p. 138 f.</w:t>
      </w:r>
    </w:p>
    <w:p>
      <w:pPr>
        <w:spacing w:after="0"/>
        <w:jc w:val="left"/>
        <w:rPr>
          <w:sz w:val="20"/>
        </w:rPr>
        <w:sectPr>
          <w:pgSz w:w="14270" w:h="16850"/>
          <w:pgMar w:header="0" w:footer="1891" w:top="1340" w:bottom="2080" w:left="800" w:right="1280"/>
        </w:sectPr>
      </w:pPr>
    </w:p>
    <w:p>
      <w:pPr>
        <w:pStyle w:val="Heading1"/>
        <w:spacing w:before="77"/>
        <w:ind w:left="616"/>
      </w:pPr>
      <w:r>
        <w:rPr/>
        <w:t>OPC prevents wrinkles and smoothens existing wrinkles</w:t>
      </w:r>
    </w:p>
    <w:p>
      <w:pPr>
        <w:pStyle w:val="BodyText"/>
        <w:spacing w:line="276" w:lineRule="auto" w:before="299"/>
        <w:ind w:left="616" w:right="133"/>
        <w:jc w:val="both"/>
      </w:pPr>
      <w:r>
        <w:rPr/>
        <w:t>OPC</w:t>
      </w:r>
      <w:r>
        <w:rPr>
          <w:spacing w:val="-22"/>
        </w:rPr>
        <w:t> </w:t>
      </w:r>
      <w:r>
        <w:rPr/>
        <w:t>has</w:t>
      </w:r>
      <w:r>
        <w:rPr>
          <w:spacing w:val="-18"/>
        </w:rPr>
        <w:t> </w:t>
      </w:r>
      <w:r>
        <w:rPr/>
        <w:t>the</w:t>
      </w:r>
      <w:r>
        <w:rPr>
          <w:spacing w:val="-19"/>
        </w:rPr>
        <w:t> </w:t>
      </w:r>
      <w:r>
        <w:rPr/>
        <w:t>ability</w:t>
      </w:r>
      <w:r>
        <w:rPr>
          <w:spacing w:val="-18"/>
        </w:rPr>
        <w:t> </w:t>
      </w:r>
      <w:r>
        <w:rPr/>
        <w:t>to</w:t>
      </w:r>
      <w:r>
        <w:rPr>
          <w:spacing w:val="-18"/>
        </w:rPr>
        <w:t> </w:t>
      </w:r>
      <w:r>
        <w:rPr/>
        <w:t>prevent</w:t>
      </w:r>
      <w:r>
        <w:rPr>
          <w:spacing w:val="-20"/>
        </w:rPr>
        <w:t> </w:t>
      </w:r>
      <w:r>
        <w:rPr/>
        <w:t>skin</w:t>
      </w:r>
      <w:r>
        <w:rPr>
          <w:spacing w:val="-18"/>
        </w:rPr>
        <w:t> </w:t>
      </w:r>
      <w:r>
        <w:rPr/>
        <w:t>ageing</w:t>
      </w:r>
      <w:r>
        <w:rPr>
          <w:spacing w:val="-19"/>
        </w:rPr>
        <w:t> </w:t>
      </w:r>
      <w:r>
        <w:rPr/>
        <w:t>(wrinkles)</w:t>
      </w:r>
      <w:r>
        <w:rPr>
          <w:spacing w:val="-19"/>
        </w:rPr>
        <w:t> </w:t>
      </w:r>
      <w:r>
        <w:rPr/>
        <w:t>and</w:t>
      </w:r>
      <w:r>
        <w:rPr>
          <w:spacing w:val="-19"/>
        </w:rPr>
        <w:t> </w:t>
      </w:r>
      <w:r>
        <w:rPr/>
        <w:t>partially</w:t>
      </w:r>
      <w:r>
        <w:rPr>
          <w:spacing w:val="-18"/>
        </w:rPr>
        <w:t> </w:t>
      </w:r>
      <w:r>
        <w:rPr/>
        <w:t>re-smoothen existing wrinkles. But how does OPC do this? There are three known mecha- nisms that OPC employs for skin protection and-</w:t>
      </w:r>
      <w:r>
        <w:rPr>
          <w:spacing w:val="-5"/>
        </w:rPr>
        <w:t> </w:t>
      </w:r>
      <w:r>
        <w:rPr/>
        <w:t>regeneration:</w:t>
      </w:r>
    </w:p>
    <w:p>
      <w:pPr>
        <w:pStyle w:val="ListParagraph"/>
        <w:numPr>
          <w:ilvl w:val="1"/>
          <w:numId w:val="85"/>
        </w:numPr>
        <w:tabs>
          <w:tab w:pos="1337" w:val="left" w:leader="none"/>
        </w:tabs>
        <w:spacing w:line="276" w:lineRule="auto" w:before="239" w:after="0"/>
        <w:ind w:left="1336" w:right="140" w:hanging="360"/>
        <w:jc w:val="both"/>
        <w:rPr>
          <w:sz w:val="38"/>
        </w:rPr>
      </w:pPr>
      <w:r>
        <w:rPr>
          <w:sz w:val="38"/>
        </w:rPr>
        <w:t>OPC regulates the 'sprouting' of collagen, ensuring that the connective tissue and vessels are neither too weak nor too rigid and</w:t>
      </w:r>
      <w:r>
        <w:rPr>
          <w:spacing w:val="-8"/>
          <w:sz w:val="38"/>
        </w:rPr>
        <w:t> </w:t>
      </w:r>
      <w:r>
        <w:rPr>
          <w:sz w:val="38"/>
        </w:rPr>
        <w:t>solid.</w:t>
      </w:r>
    </w:p>
    <w:p>
      <w:pPr>
        <w:pStyle w:val="ListParagraph"/>
        <w:numPr>
          <w:ilvl w:val="1"/>
          <w:numId w:val="85"/>
        </w:numPr>
        <w:tabs>
          <w:tab w:pos="1337" w:val="left" w:leader="none"/>
        </w:tabs>
        <w:spacing w:line="276" w:lineRule="auto" w:before="239" w:after="0"/>
        <w:ind w:left="1336" w:right="132" w:hanging="360"/>
        <w:jc w:val="both"/>
        <w:rPr>
          <w:sz w:val="38"/>
        </w:rPr>
      </w:pPr>
      <w:r>
        <w:rPr>
          <w:sz w:val="38"/>
        </w:rPr>
        <w:t>Vitamin P (OPC) enhances the effect of vitamin C and its co-vitamin for strong collagen synthesis, even if the body only receives low amounts of vitamin C.</w:t>
      </w:r>
    </w:p>
    <w:p>
      <w:pPr>
        <w:pStyle w:val="ListParagraph"/>
        <w:numPr>
          <w:ilvl w:val="1"/>
          <w:numId w:val="85"/>
        </w:numPr>
        <w:tabs>
          <w:tab w:pos="1337" w:val="left" w:leader="none"/>
        </w:tabs>
        <w:spacing w:line="276" w:lineRule="auto" w:before="241" w:after="0"/>
        <w:ind w:left="1336" w:right="138" w:hanging="360"/>
        <w:jc w:val="both"/>
        <w:rPr>
          <w:sz w:val="38"/>
        </w:rPr>
      </w:pPr>
      <w:r>
        <w:rPr>
          <w:sz w:val="38"/>
        </w:rPr>
        <w:t>OPC protects collagen and elastin (i.e. skin, vessels, organs) from attack by aggressive enzymes and destruction by</w:t>
      </w:r>
      <w:r>
        <w:rPr>
          <w:spacing w:val="1"/>
          <w:sz w:val="38"/>
        </w:rPr>
        <w:t> </w:t>
      </w:r>
      <w:r>
        <w:rPr>
          <w:sz w:val="38"/>
        </w:rPr>
        <w:t>them.</w:t>
      </w:r>
    </w:p>
    <w:p>
      <w:pPr>
        <w:pStyle w:val="BodyText"/>
        <w:spacing w:line="276" w:lineRule="auto" w:before="241"/>
        <w:ind w:left="616" w:right="135"/>
        <w:jc w:val="both"/>
      </w:pPr>
      <w:r>
        <w:rPr/>
        <w:t>With the correct dosage of OPC (if possible with vitamin C) the formation of wrinkles is decelerated; existing wrinkles are smoothened and, as a side effect, the emergence of new wrinkles is reliably prevented. At this point, one</w:t>
      </w:r>
      <w:r>
        <w:rPr>
          <w:spacing w:val="-53"/>
        </w:rPr>
        <w:t> </w:t>
      </w:r>
      <w:r>
        <w:rPr/>
        <w:t>should mention</w:t>
      </w:r>
      <w:r>
        <w:rPr>
          <w:spacing w:val="-12"/>
        </w:rPr>
        <w:t> </w:t>
      </w:r>
      <w:r>
        <w:rPr/>
        <w:t>a</w:t>
      </w:r>
      <w:r>
        <w:rPr>
          <w:spacing w:val="-17"/>
        </w:rPr>
        <w:t> </w:t>
      </w:r>
      <w:r>
        <w:rPr/>
        <w:t>study</w:t>
      </w:r>
      <w:r>
        <w:rPr>
          <w:spacing w:val="-16"/>
        </w:rPr>
        <w:t> </w:t>
      </w:r>
      <w:r>
        <w:rPr/>
        <w:t>by</w:t>
      </w:r>
      <w:r>
        <w:rPr>
          <w:spacing w:val="-15"/>
        </w:rPr>
        <w:t> </w:t>
      </w:r>
      <w:r>
        <w:rPr/>
        <w:t>the</w:t>
      </w:r>
      <w:r>
        <w:rPr>
          <w:spacing w:val="-13"/>
        </w:rPr>
        <w:t> </w:t>
      </w:r>
      <w:r>
        <w:rPr/>
        <w:t>Unilever</w:t>
      </w:r>
      <w:r>
        <w:rPr>
          <w:spacing w:val="-16"/>
        </w:rPr>
        <w:t> </w:t>
      </w:r>
      <w:r>
        <w:rPr/>
        <w:t>Research</w:t>
      </w:r>
      <w:r>
        <w:rPr>
          <w:spacing w:val="-14"/>
        </w:rPr>
        <w:t> </w:t>
      </w:r>
      <w:r>
        <w:rPr/>
        <w:t>Institute</w:t>
      </w:r>
      <w:r>
        <w:rPr>
          <w:spacing w:val="-16"/>
        </w:rPr>
        <w:t> </w:t>
      </w:r>
      <w:r>
        <w:rPr/>
        <w:t>in</w:t>
      </w:r>
      <w:r>
        <w:rPr>
          <w:spacing w:val="-14"/>
        </w:rPr>
        <w:t> </w:t>
      </w:r>
      <w:r>
        <w:rPr/>
        <w:t>Bedford,</w:t>
      </w:r>
      <w:r>
        <w:rPr>
          <w:spacing w:val="-15"/>
        </w:rPr>
        <w:t> </w:t>
      </w:r>
      <w:r>
        <w:rPr/>
        <w:t>UK,</w:t>
      </w:r>
      <w:r>
        <w:rPr>
          <w:spacing w:val="-15"/>
        </w:rPr>
        <w:t> </w:t>
      </w:r>
      <w:r>
        <w:rPr/>
        <w:t>which</w:t>
      </w:r>
      <w:r>
        <w:rPr>
          <w:spacing w:val="-14"/>
        </w:rPr>
        <w:t> </w:t>
      </w:r>
      <w:r>
        <w:rPr/>
        <w:t>was intended to identify the substance that could keep the skin young and healthy for as long as</w:t>
      </w:r>
      <w:r>
        <w:rPr>
          <w:spacing w:val="-1"/>
        </w:rPr>
        <w:t> </w:t>
      </w:r>
      <w:r>
        <w:rPr/>
        <w:t>possible.</w:t>
      </w:r>
    </w:p>
    <w:p>
      <w:pPr>
        <w:pStyle w:val="BodyText"/>
        <w:spacing w:line="276" w:lineRule="auto" w:before="240"/>
        <w:ind w:left="616" w:right="136"/>
        <w:jc w:val="both"/>
      </w:pPr>
      <w:r>
        <w:rPr/>
        <w:t>4,000 women over 40 years old were asked about their eating habits and then observed for a further 30 years. Those who consumed more vitamin C had</w:t>
      </w:r>
    </w:p>
    <w:p>
      <w:pPr>
        <w:spacing w:after="0" w:line="276" w:lineRule="auto"/>
        <w:jc w:val="both"/>
        <w:sectPr>
          <w:pgSz w:w="14270" w:h="16850"/>
          <w:pgMar w:header="0" w:footer="1891" w:top="1320" w:bottom="2080" w:left="800" w:right="1280"/>
        </w:sectPr>
      </w:pPr>
    </w:p>
    <w:p>
      <w:pPr>
        <w:pStyle w:val="BodyText"/>
        <w:spacing w:line="276" w:lineRule="auto" w:before="72"/>
        <w:ind w:left="616" w:right="131"/>
        <w:jc w:val="both"/>
      </w:pPr>
      <w:r>
        <w:rPr/>
        <w:t>fewer</w:t>
      </w:r>
      <w:r>
        <w:rPr>
          <w:spacing w:val="-14"/>
        </w:rPr>
        <w:t> </w:t>
      </w:r>
      <w:r>
        <w:rPr/>
        <w:t>wrinkles</w:t>
      </w:r>
      <w:r>
        <w:rPr>
          <w:spacing w:val="-14"/>
        </w:rPr>
        <w:t> </w:t>
      </w:r>
      <w:r>
        <w:rPr/>
        <w:t>–</w:t>
      </w:r>
      <w:r>
        <w:rPr>
          <w:spacing w:val="-11"/>
        </w:rPr>
        <w:t> </w:t>
      </w:r>
      <w:r>
        <w:rPr/>
        <w:t>and</w:t>
      </w:r>
      <w:r>
        <w:rPr>
          <w:spacing w:val="-13"/>
        </w:rPr>
        <w:t> </w:t>
      </w:r>
      <w:r>
        <w:rPr/>
        <w:t>the</w:t>
      </w:r>
      <w:r>
        <w:rPr>
          <w:spacing w:val="-13"/>
        </w:rPr>
        <w:t> </w:t>
      </w:r>
      <w:r>
        <w:rPr/>
        <w:t>more</w:t>
      </w:r>
      <w:r>
        <w:rPr>
          <w:spacing w:val="-13"/>
        </w:rPr>
        <w:t> </w:t>
      </w:r>
      <w:r>
        <w:rPr/>
        <w:t>they</w:t>
      </w:r>
      <w:r>
        <w:rPr>
          <w:spacing w:val="-14"/>
        </w:rPr>
        <w:t> </w:t>
      </w:r>
      <w:r>
        <w:rPr/>
        <w:t>took,</w:t>
      </w:r>
      <w:r>
        <w:rPr>
          <w:spacing w:val="-13"/>
        </w:rPr>
        <w:t> </w:t>
      </w:r>
      <w:r>
        <w:rPr/>
        <w:t>the</w:t>
      </w:r>
      <w:r>
        <w:rPr>
          <w:spacing w:val="-13"/>
        </w:rPr>
        <w:t> </w:t>
      </w:r>
      <w:r>
        <w:rPr/>
        <w:t>fewer</w:t>
      </w:r>
      <w:r>
        <w:rPr>
          <w:spacing w:val="-12"/>
        </w:rPr>
        <w:t> </w:t>
      </w:r>
      <w:r>
        <w:rPr/>
        <w:t>wrinkles</w:t>
      </w:r>
      <w:r>
        <w:rPr>
          <w:spacing w:val="-13"/>
        </w:rPr>
        <w:t> </w:t>
      </w:r>
      <w:r>
        <w:rPr/>
        <w:t>they</w:t>
      </w:r>
      <w:r>
        <w:rPr>
          <w:spacing w:val="-12"/>
        </w:rPr>
        <w:t> </w:t>
      </w:r>
      <w:r>
        <w:rPr/>
        <w:t>had.</w:t>
      </w:r>
      <w:r>
        <w:rPr>
          <w:position w:val="9"/>
          <w:sz w:val="25"/>
        </w:rPr>
        <w:t>649</w:t>
      </w:r>
      <w:r>
        <w:rPr>
          <w:spacing w:val="31"/>
          <w:position w:val="9"/>
          <w:sz w:val="25"/>
        </w:rPr>
        <w:t> </w:t>
      </w:r>
      <w:r>
        <w:rPr/>
        <w:t>Apart from</w:t>
      </w:r>
      <w:r>
        <w:rPr>
          <w:spacing w:val="-21"/>
        </w:rPr>
        <w:t> </w:t>
      </w:r>
      <w:r>
        <w:rPr/>
        <w:t>the</w:t>
      </w:r>
      <w:r>
        <w:rPr>
          <w:spacing w:val="-20"/>
        </w:rPr>
        <w:t> </w:t>
      </w:r>
      <w:r>
        <w:rPr/>
        <w:t>fact</w:t>
      </w:r>
      <w:r>
        <w:rPr>
          <w:spacing w:val="-21"/>
        </w:rPr>
        <w:t> </w:t>
      </w:r>
      <w:r>
        <w:rPr/>
        <w:t>that</w:t>
      </w:r>
      <w:r>
        <w:rPr>
          <w:spacing w:val="-22"/>
        </w:rPr>
        <w:t> </w:t>
      </w:r>
      <w:r>
        <w:rPr/>
        <w:t>OPC</w:t>
      </w:r>
      <w:r>
        <w:rPr>
          <w:spacing w:val="-22"/>
        </w:rPr>
        <w:t> </w:t>
      </w:r>
      <w:r>
        <w:rPr/>
        <w:t>already</w:t>
      </w:r>
      <w:r>
        <w:rPr>
          <w:spacing w:val="-22"/>
        </w:rPr>
        <w:t> </w:t>
      </w:r>
      <w:r>
        <w:rPr/>
        <w:t>counteracts</w:t>
      </w:r>
      <w:r>
        <w:rPr>
          <w:spacing w:val="-20"/>
        </w:rPr>
        <w:t> </w:t>
      </w:r>
      <w:r>
        <w:rPr/>
        <w:t>skin</w:t>
      </w:r>
      <w:r>
        <w:rPr>
          <w:spacing w:val="-21"/>
        </w:rPr>
        <w:t> </w:t>
      </w:r>
      <w:r>
        <w:rPr/>
        <w:t>ageing</w:t>
      </w:r>
      <w:r>
        <w:rPr>
          <w:spacing w:val="-19"/>
        </w:rPr>
        <w:t> </w:t>
      </w:r>
      <w:r>
        <w:rPr/>
        <w:t>on</w:t>
      </w:r>
      <w:r>
        <w:rPr>
          <w:spacing w:val="-20"/>
        </w:rPr>
        <w:t> </w:t>
      </w:r>
      <w:r>
        <w:rPr/>
        <w:t>its</w:t>
      </w:r>
      <w:r>
        <w:rPr>
          <w:spacing w:val="-23"/>
        </w:rPr>
        <w:t> </w:t>
      </w:r>
      <w:r>
        <w:rPr/>
        <w:t>own</w:t>
      </w:r>
      <w:r>
        <w:rPr>
          <w:spacing w:val="-23"/>
        </w:rPr>
        <w:t> </w:t>
      </w:r>
      <w:r>
        <w:rPr/>
        <w:t>like</w:t>
      </w:r>
      <w:r>
        <w:rPr>
          <w:spacing w:val="-20"/>
        </w:rPr>
        <w:t> </w:t>
      </w:r>
      <w:r>
        <w:rPr/>
        <w:t>no</w:t>
      </w:r>
      <w:r>
        <w:rPr>
          <w:spacing w:val="-20"/>
        </w:rPr>
        <w:t> </w:t>
      </w:r>
      <w:r>
        <w:rPr/>
        <w:t>other known remedy (long-term studies do not yet exist because vitamin P is rela- tively 'young'), this illustrates the fact that OPC increases the effect of vitamin C tenfold and thus the enormous effect of both</w:t>
      </w:r>
      <w:r>
        <w:rPr>
          <w:spacing w:val="-2"/>
        </w:rPr>
        <w:t> </w:t>
      </w:r>
      <w:r>
        <w:rPr/>
        <w:t>components.</w:t>
      </w:r>
    </w:p>
    <w:p>
      <w:pPr>
        <w:pStyle w:val="BodyText"/>
        <w:spacing w:before="242"/>
        <w:ind w:left="616"/>
        <w:jc w:val="both"/>
      </w:pPr>
      <w:r>
        <w:rPr/>
        <w:t>Who needs OPC?</w:t>
      </w:r>
    </w:p>
    <w:p>
      <w:pPr>
        <w:pStyle w:val="BodyText"/>
        <w:spacing w:line="276" w:lineRule="auto" w:before="302"/>
        <w:ind w:left="616" w:right="139"/>
        <w:jc w:val="both"/>
      </w:pPr>
      <w:r>
        <w:rPr/>
        <w:t>For all the diseases listed above, researchers have found a lower vitamin C concentration in the body than in healthy people (unfortunately, results for OPC are not yet available).</w:t>
      </w:r>
    </w:p>
    <w:p>
      <w:pPr>
        <w:pStyle w:val="BodyText"/>
        <w:spacing w:line="276" w:lineRule="auto" w:before="242"/>
        <w:ind w:left="616" w:right="140"/>
        <w:jc w:val="both"/>
      </w:pPr>
      <w:r>
        <w:rPr/>
        <w:t>This in itself is a clear indication that the body uses its vitamin C reserves to deal with getting ill. Since a normal diet can include 100 mg of vitamin C per day</w:t>
      </w:r>
      <w:r>
        <w:rPr>
          <w:spacing w:val="-7"/>
        </w:rPr>
        <w:t> </w:t>
      </w:r>
      <w:r>
        <w:rPr/>
        <w:t>at</w:t>
      </w:r>
      <w:r>
        <w:rPr>
          <w:spacing w:val="-8"/>
        </w:rPr>
        <w:t> </w:t>
      </w:r>
      <w:r>
        <w:rPr/>
        <w:t>most,</w:t>
      </w:r>
      <w:r>
        <w:rPr>
          <w:spacing w:val="-5"/>
        </w:rPr>
        <w:t> </w:t>
      </w:r>
      <w:r>
        <w:rPr/>
        <w:t>an</w:t>
      </w:r>
      <w:r>
        <w:rPr>
          <w:spacing w:val="-7"/>
        </w:rPr>
        <w:t> </w:t>
      </w:r>
      <w:r>
        <w:rPr/>
        <w:t>additional</w:t>
      </w:r>
      <w:r>
        <w:rPr>
          <w:spacing w:val="-8"/>
        </w:rPr>
        <w:t> </w:t>
      </w:r>
      <w:r>
        <w:rPr/>
        <w:t>nutritional</w:t>
      </w:r>
      <w:r>
        <w:rPr>
          <w:spacing w:val="-7"/>
        </w:rPr>
        <w:t> </w:t>
      </w:r>
      <w:r>
        <w:rPr/>
        <w:t>supplement</w:t>
      </w:r>
      <w:r>
        <w:rPr>
          <w:spacing w:val="-7"/>
        </w:rPr>
        <w:t> </w:t>
      </w:r>
      <w:r>
        <w:rPr/>
        <w:t>with</w:t>
      </w:r>
      <w:r>
        <w:rPr>
          <w:spacing w:val="-5"/>
        </w:rPr>
        <w:t> </w:t>
      </w:r>
      <w:r>
        <w:rPr/>
        <w:t>natural</w:t>
      </w:r>
      <w:r>
        <w:rPr>
          <w:spacing w:val="-8"/>
        </w:rPr>
        <w:t> </w:t>
      </w:r>
      <w:r>
        <w:rPr/>
        <w:t>vitamin</w:t>
      </w:r>
      <w:r>
        <w:rPr>
          <w:spacing w:val="-7"/>
        </w:rPr>
        <w:t> </w:t>
      </w:r>
      <w:r>
        <w:rPr/>
        <w:t>C</w:t>
      </w:r>
      <w:r>
        <w:rPr>
          <w:spacing w:val="-7"/>
        </w:rPr>
        <w:t> </w:t>
      </w:r>
      <w:r>
        <w:rPr/>
        <w:t>prep- arations is essential.</w:t>
      </w:r>
    </w:p>
    <w:p>
      <w:pPr>
        <w:pStyle w:val="BodyText"/>
        <w:spacing w:line="276" w:lineRule="auto" w:before="239"/>
        <w:ind w:left="616" w:right="136"/>
        <w:jc w:val="both"/>
      </w:pPr>
      <w:r>
        <w:rPr/>
        <w:t>However, supplementation with OPC will work wonders even with insuffi- cient vitamin C intake. The older, sicker and weaker you feel, the faster you will feel the positive benefits.</w:t>
      </w:r>
    </w:p>
    <w:p>
      <w:pPr>
        <w:pStyle w:val="BodyText"/>
        <w:spacing w:line="276" w:lineRule="auto" w:before="241"/>
        <w:ind w:left="616" w:right="144"/>
        <w:jc w:val="both"/>
        <w:rPr>
          <w:sz w:val="25"/>
        </w:rPr>
      </w:pPr>
      <w:r>
        <w:rPr/>
        <w:t>But healthy and young people can also enjoy the preventive benefits of OPC intake, and completely free of side effects. No complications have been re- ported in over 40 years, even during pregnancy.</w:t>
      </w:r>
      <w:r>
        <w:rPr>
          <w:position w:val="9"/>
          <w:sz w:val="25"/>
        </w:rPr>
        <w:t>650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4"/>
        </w:rPr>
      </w:pPr>
      <w:r>
        <w:rPr/>
        <w:pict>
          <v:line style="position:absolute;mso-position-horizontal-relative:page;mso-position-vertical-relative:paragraph;z-index:8408;mso-wrap-distance-left:0;mso-wrap-distance-right:0" from="70.823997pt,10.602485pt" to="214.843997pt,10.602485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649 </w:t>
      </w:r>
      <w:r>
        <w:rPr>
          <w:sz w:val="20"/>
        </w:rPr>
        <w:t>Source: Natur&amp;Gesund ('Nature &amp; Health')</w:t>
      </w:r>
    </w:p>
    <w:p>
      <w:pPr>
        <w:spacing w:before="94"/>
        <w:ind w:left="616" w:right="0" w:firstLine="0"/>
        <w:jc w:val="left"/>
        <w:rPr>
          <w:sz w:val="20"/>
        </w:rPr>
      </w:pPr>
      <w:r>
        <w:rPr>
          <w:position w:val="5"/>
          <w:sz w:val="13"/>
        </w:rPr>
        <w:t>650 </w:t>
      </w:r>
      <w:r>
        <w:rPr>
          <w:sz w:val="20"/>
        </w:rPr>
        <w:t>Werner Goller: Was verschweigt die Schulmedizin? ('What Does Conventional Medicine Conceal?'), 2009, p. 17</w:t>
      </w:r>
    </w:p>
    <w:p>
      <w:pPr>
        <w:spacing w:after="0"/>
        <w:jc w:val="left"/>
        <w:rPr>
          <w:sz w:val="20"/>
        </w:rPr>
        <w:sectPr>
          <w:pgSz w:w="14270" w:h="16850"/>
          <w:pgMar w:header="0" w:footer="1891" w:top="1340" w:bottom="2080" w:left="800" w:right="1280"/>
        </w:sectPr>
      </w:pPr>
    </w:p>
    <w:p>
      <w:pPr>
        <w:pStyle w:val="Heading1"/>
        <w:spacing w:before="77"/>
        <w:ind w:left="616"/>
      </w:pPr>
      <w:r>
        <w:rPr/>
        <w:t>Note on using OPC/vitamin P for the first time</w:t>
      </w:r>
    </w:p>
    <w:p>
      <w:pPr>
        <w:pStyle w:val="BodyText"/>
        <w:spacing w:line="276" w:lineRule="auto" w:before="297"/>
        <w:ind w:left="616" w:right="135"/>
        <w:jc w:val="both"/>
      </w:pPr>
      <w:r>
        <w:rPr/>
        <w:t>As with most potentially effective natural remedies, the first use of OPC may initially make symptoms more severe and cause discomfort, headache,</w:t>
      </w:r>
      <w:r>
        <w:rPr>
          <w:spacing w:val="-40"/>
        </w:rPr>
        <w:t> </w:t>
      </w:r>
      <w:r>
        <w:rPr/>
        <w:t>fatigue, and flu-like</w:t>
      </w:r>
      <w:r>
        <w:rPr>
          <w:spacing w:val="-1"/>
        </w:rPr>
        <w:t> </w:t>
      </w:r>
      <w:r>
        <w:rPr/>
        <w:t>symptoms.</w:t>
      </w:r>
    </w:p>
    <w:p>
      <w:pPr>
        <w:pStyle w:val="BodyText"/>
        <w:spacing w:line="276" w:lineRule="auto" w:before="241"/>
        <w:ind w:left="616" w:right="131"/>
        <w:jc w:val="both"/>
      </w:pPr>
      <w:r>
        <w:rPr/>
        <w:t>This is due to the increased release of toxins, such as heavy metals, pesticides and herbicides, and this is a POSITIVE thing. Do not let this concern you – continue</w:t>
      </w:r>
      <w:r>
        <w:rPr>
          <w:spacing w:val="-13"/>
        </w:rPr>
        <w:t> </w:t>
      </w:r>
      <w:r>
        <w:rPr/>
        <w:t>to</w:t>
      </w:r>
      <w:r>
        <w:rPr>
          <w:spacing w:val="-10"/>
        </w:rPr>
        <w:t> </w:t>
      </w:r>
      <w:r>
        <w:rPr/>
        <w:t>take</w:t>
      </w:r>
      <w:r>
        <w:rPr>
          <w:spacing w:val="-9"/>
        </w:rPr>
        <w:t> </w:t>
      </w:r>
      <w:r>
        <w:rPr/>
        <w:t>OPC</w:t>
      </w:r>
      <w:r>
        <w:rPr>
          <w:spacing w:val="-13"/>
        </w:rPr>
        <w:t> </w:t>
      </w:r>
      <w:r>
        <w:rPr/>
        <w:t>–</w:t>
      </w:r>
      <w:r>
        <w:rPr>
          <w:spacing w:val="-10"/>
        </w:rPr>
        <w:t> </w:t>
      </w:r>
      <w:r>
        <w:rPr/>
        <w:t>the</w:t>
      </w:r>
      <w:r>
        <w:rPr>
          <w:spacing w:val="-10"/>
        </w:rPr>
        <w:t> </w:t>
      </w:r>
      <w:r>
        <w:rPr/>
        <w:t>symptoms</w:t>
      </w:r>
      <w:r>
        <w:rPr>
          <w:spacing w:val="-10"/>
        </w:rPr>
        <w:t> </w:t>
      </w:r>
      <w:r>
        <w:rPr/>
        <w:t>disappear</w:t>
      </w:r>
      <w:r>
        <w:rPr>
          <w:spacing w:val="-10"/>
        </w:rPr>
        <w:t> </w:t>
      </w:r>
      <w:r>
        <w:rPr/>
        <w:t>on</w:t>
      </w:r>
      <w:r>
        <w:rPr>
          <w:spacing w:val="-11"/>
        </w:rPr>
        <w:t> </w:t>
      </w:r>
      <w:r>
        <w:rPr/>
        <w:t>their</w:t>
      </w:r>
      <w:r>
        <w:rPr>
          <w:spacing w:val="-10"/>
        </w:rPr>
        <w:t> </w:t>
      </w:r>
      <w:r>
        <w:rPr/>
        <w:t>own</w:t>
      </w:r>
      <w:r>
        <w:rPr>
          <w:spacing w:val="-10"/>
        </w:rPr>
        <w:t> </w:t>
      </w:r>
      <w:r>
        <w:rPr/>
        <w:t>after</w:t>
      </w:r>
      <w:r>
        <w:rPr>
          <w:spacing w:val="-11"/>
        </w:rPr>
        <w:t> </w:t>
      </w:r>
      <w:r>
        <w:rPr/>
        <w:t>a</w:t>
      </w:r>
      <w:r>
        <w:rPr>
          <w:spacing w:val="-13"/>
        </w:rPr>
        <w:t> </w:t>
      </w:r>
      <w:r>
        <w:rPr/>
        <w:t>few</w:t>
      </w:r>
      <w:r>
        <w:rPr>
          <w:spacing w:val="-12"/>
        </w:rPr>
        <w:t> </w:t>
      </w:r>
      <w:r>
        <w:rPr/>
        <w:t>days and from there you will feel increasingly comfortable and healthy. There is even a rule which applies here: The stronger these initial symptoms are, the better you will feel afterwards. Green tea helps cleanse your</w:t>
      </w:r>
      <w:r>
        <w:rPr>
          <w:spacing w:val="-8"/>
        </w:rPr>
        <w:t> </w:t>
      </w:r>
      <w:r>
        <w:rPr/>
        <w:t>body.</w:t>
      </w:r>
    </w:p>
    <w:p>
      <w:pPr>
        <w:pStyle w:val="Heading1"/>
        <w:spacing w:before="223"/>
        <w:ind w:left="616"/>
      </w:pPr>
      <w:r>
        <w:rPr/>
        <w:t>General things to consider when taking OPC</w:t>
      </w:r>
    </w:p>
    <w:p>
      <w:pPr>
        <w:pStyle w:val="ListParagraph"/>
        <w:numPr>
          <w:ilvl w:val="0"/>
          <w:numId w:val="86"/>
        </w:numPr>
        <w:tabs>
          <w:tab w:pos="1036" w:val="left" w:leader="none"/>
          <w:tab w:pos="1037" w:val="left" w:leader="none"/>
        </w:tabs>
        <w:spacing w:line="240" w:lineRule="auto" w:before="181" w:after="0"/>
        <w:ind w:left="1036" w:right="0" w:hanging="358"/>
        <w:jc w:val="left"/>
        <w:rPr>
          <w:sz w:val="38"/>
        </w:rPr>
      </w:pPr>
      <w:r>
        <w:rPr>
          <w:sz w:val="38"/>
        </w:rPr>
        <w:t>One should take OPC half an hour before or after a</w:t>
      </w:r>
      <w:r>
        <w:rPr>
          <w:spacing w:val="-8"/>
          <w:sz w:val="38"/>
        </w:rPr>
        <w:t> </w:t>
      </w:r>
      <w:r>
        <w:rPr>
          <w:sz w:val="38"/>
        </w:rPr>
        <w:t>meal.</w:t>
      </w:r>
    </w:p>
    <w:p>
      <w:pPr>
        <w:pStyle w:val="ListParagraph"/>
        <w:numPr>
          <w:ilvl w:val="0"/>
          <w:numId w:val="86"/>
        </w:numPr>
        <w:tabs>
          <w:tab w:pos="1036" w:val="left" w:leader="none"/>
          <w:tab w:pos="1037" w:val="left" w:leader="none"/>
        </w:tabs>
        <w:spacing w:line="273" w:lineRule="auto" w:before="184" w:after="0"/>
        <w:ind w:left="1036" w:right="136" w:hanging="358"/>
        <w:jc w:val="left"/>
        <w:rPr>
          <w:sz w:val="38"/>
        </w:rPr>
      </w:pPr>
      <w:r>
        <w:rPr>
          <w:sz w:val="38"/>
        </w:rPr>
        <w:t>Since OPC, unlike vitamin C, is stored in the body for about 72 hours, tak- ing it once a day is</w:t>
      </w:r>
      <w:r>
        <w:rPr>
          <w:spacing w:val="-2"/>
          <w:sz w:val="38"/>
        </w:rPr>
        <w:t> </w:t>
      </w:r>
      <w:r>
        <w:rPr>
          <w:sz w:val="38"/>
        </w:rPr>
        <w:t>sufficient.</w:t>
      </w:r>
    </w:p>
    <w:p>
      <w:pPr>
        <w:pStyle w:val="ListParagraph"/>
        <w:numPr>
          <w:ilvl w:val="0"/>
          <w:numId w:val="86"/>
        </w:numPr>
        <w:tabs>
          <w:tab w:pos="1037" w:val="left" w:leader="none"/>
        </w:tabs>
        <w:spacing w:line="276" w:lineRule="auto" w:before="127" w:after="0"/>
        <w:ind w:left="1036" w:right="136" w:hanging="358"/>
        <w:jc w:val="both"/>
        <w:rPr>
          <w:sz w:val="38"/>
        </w:rPr>
      </w:pPr>
      <w:r>
        <w:rPr>
          <w:sz w:val="38"/>
        </w:rPr>
        <w:t>Since</w:t>
      </w:r>
      <w:r>
        <w:rPr>
          <w:spacing w:val="-16"/>
          <w:sz w:val="38"/>
        </w:rPr>
        <w:t> </w:t>
      </w:r>
      <w:r>
        <w:rPr>
          <w:sz w:val="38"/>
        </w:rPr>
        <w:t>OPC</w:t>
      </w:r>
      <w:r>
        <w:rPr>
          <w:spacing w:val="-19"/>
          <w:sz w:val="38"/>
        </w:rPr>
        <w:t> </w:t>
      </w:r>
      <w:r>
        <w:rPr>
          <w:sz w:val="38"/>
        </w:rPr>
        <w:t>has</w:t>
      </w:r>
      <w:r>
        <w:rPr>
          <w:spacing w:val="-15"/>
          <w:sz w:val="38"/>
        </w:rPr>
        <w:t> </w:t>
      </w:r>
      <w:r>
        <w:rPr>
          <w:sz w:val="38"/>
        </w:rPr>
        <w:t>the</w:t>
      </w:r>
      <w:r>
        <w:rPr>
          <w:spacing w:val="-16"/>
          <w:sz w:val="38"/>
        </w:rPr>
        <w:t> </w:t>
      </w:r>
      <w:r>
        <w:rPr>
          <w:sz w:val="38"/>
        </w:rPr>
        <w:t>affinity</w:t>
      </w:r>
      <w:r>
        <w:rPr>
          <w:spacing w:val="-17"/>
          <w:sz w:val="38"/>
        </w:rPr>
        <w:t> </w:t>
      </w:r>
      <w:r>
        <w:rPr>
          <w:sz w:val="38"/>
        </w:rPr>
        <w:t>to</w:t>
      </w:r>
      <w:r>
        <w:rPr>
          <w:spacing w:val="-16"/>
          <w:sz w:val="38"/>
        </w:rPr>
        <w:t> </w:t>
      </w:r>
      <w:r>
        <w:rPr>
          <w:sz w:val="38"/>
        </w:rPr>
        <w:t>bind</w:t>
      </w:r>
      <w:r>
        <w:rPr>
          <w:spacing w:val="-17"/>
          <w:sz w:val="38"/>
        </w:rPr>
        <w:t> </w:t>
      </w:r>
      <w:r>
        <w:rPr>
          <w:sz w:val="38"/>
        </w:rPr>
        <w:t>to</w:t>
      </w:r>
      <w:r>
        <w:rPr>
          <w:spacing w:val="-15"/>
          <w:sz w:val="38"/>
        </w:rPr>
        <w:t> </w:t>
      </w:r>
      <w:r>
        <w:rPr>
          <w:sz w:val="38"/>
        </w:rPr>
        <w:t>proteins,</w:t>
      </w:r>
      <w:r>
        <w:rPr>
          <w:spacing w:val="-15"/>
          <w:sz w:val="38"/>
        </w:rPr>
        <w:t> </w:t>
      </w:r>
      <w:r>
        <w:rPr>
          <w:sz w:val="38"/>
        </w:rPr>
        <w:t>you</w:t>
      </w:r>
      <w:r>
        <w:rPr>
          <w:spacing w:val="-18"/>
          <w:sz w:val="38"/>
        </w:rPr>
        <w:t> </w:t>
      </w:r>
      <w:r>
        <w:rPr>
          <w:sz w:val="38"/>
        </w:rPr>
        <w:t>should</w:t>
      </w:r>
      <w:r>
        <w:rPr>
          <w:spacing w:val="-18"/>
          <w:sz w:val="38"/>
        </w:rPr>
        <w:t> </w:t>
      </w:r>
      <w:r>
        <w:rPr>
          <w:sz w:val="38"/>
        </w:rPr>
        <w:t>never</w:t>
      </w:r>
      <w:r>
        <w:rPr>
          <w:spacing w:val="-15"/>
          <w:sz w:val="38"/>
        </w:rPr>
        <w:t> </w:t>
      </w:r>
      <w:r>
        <w:rPr>
          <w:sz w:val="38"/>
        </w:rPr>
        <w:t>take</w:t>
      </w:r>
      <w:r>
        <w:rPr>
          <w:spacing w:val="-18"/>
          <w:sz w:val="38"/>
        </w:rPr>
        <w:t> </w:t>
      </w:r>
      <w:r>
        <w:rPr>
          <w:sz w:val="38"/>
        </w:rPr>
        <w:t>it</w:t>
      </w:r>
      <w:r>
        <w:rPr>
          <w:spacing w:val="-18"/>
          <w:sz w:val="38"/>
        </w:rPr>
        <w:t> </w:t>
      </w:r>
      <w:r>
        <w:rPr>
          <w:sz w:val="38"/>
        </w:rPr>
        <w:t>with a high protein diet (dairy products, eggs, etc.). This would result in OPC binding to the nutritional constituents instead of your body's own protein and being excreted without</w:t>
      </w:r>
      <w:r>
        <w:rPr>
          <w:spacing w:val="1"/>
          <w:sz w:val="38"/>
        </w:rPr>
        <w:t> </w:t>
      </w:r>
      <w:r>
        <w:rPr>
          <w:sz w:val="38"/>
        </w:rPr>
        <w:t>effect.</w:t>
      </w:r>
    </w:p>
    <w:p>
      <w:pPr>
        <w:pStyle w:val="BodyText"/>
        <w:spacing w:before="238"/>
        <w:ind w:left="616"/>
      </w:pPr>
      <w:r>
        <w:rPr/>
        <w:t>OPC cosmetics</w:t>
      </w:r>
    </w:p>
    <w:p>
      <w:pPr>
        <w:pStyle w:val="BodyText"/>
        <w:spacing w:line="276" w:lineRule="auto" w:before="305"/>
        <w:ind w:left="616"/>
      </w:pPr>
      <w:r>
        <w:rPr/>
        <w:t>'Beauty comes from within' – folk wisdom that applies perfectly to nutrients. Without question, 'cosmetics from within', i.e. the intake of proper nutrients</w:t>
      </w:r>
    </w:p>
    <w:p>
      <w:pPr>
        <w:spacing w:after="0" w:line="276" w:lineRule="auto"/>
        <w:sectPr>
          <w:pgSz w:w="14270" w:h="16850"/>
          <w:pgMar w:header="0" w:footer="1891" w:top="1320" w:bottom="2080" w:left="800" w:right="1280"/>
        </w:sectPr>
      </w:pPr>
    </w:p>
    <w:p>
      <w:pPr>
        <w:pStyle w:val="BodyText"/>
        <w:spacing w:line="276" w:lineRule="auto" w:before="72"/>
        <w:ind w:left="616" w:right="139"/>
        <w:jc w:val="both"/>
      </w:pPr>
      <w:r>
        <w:rPr/>
        <w:t>(vitamins, minerals, trace elements), are much more important to our appear- ance than applying creams locally. As is known, OPC/vitamin P is as efficient in collagen and elastin synthesis as any other substance known worldwide.</w:t>
      </w:r>
    </w:p>
    <w:p>
      <w:pPr>
        <w:pStyle w:val="BodyText"/>
        <w:spacing w:line="276" w:lineRule="auto" w:before="241"/>
        <w:ind w:left="616" w:right="133"/>
        <w:jc w:val="both"/>
      </w:pPr>
      <w:r>
        <w:rPr/>
        <w:t>Nonetheless,</w:t>
      </w:r>
      <w:r>
        <w:rPr>
          <w:spacing w:val="-19"/>
        </w:rPr>
        <w:t> </w:t>
      </w:r>
      <w:r>
        <w:rPr/>
        <w:t>creams</w:t>
      </w:r>
      <w:r>
        <w:rPr>
          <w:spacing w:val="-19"/>
        </w:rPr>
        <w:t> </w:t>
      </w:r>
      <w:r>
        <w:rPr/>
        <w:t>have</w:t>
      </w:r>
      <w:r>
        <w:rPr>
          <w:spacing w:val="-19"/>
        </w:rPr>
        <w:t> </w:t>
      </w:r>
      <w:r>
        <w:rPr/>
        <w:t>their</w:t>
      </w:r>
      <w:r>
        <w:rPr>
          <w:spacing w:val="-18"/>
        </w:rPr>
        <w:t> </w:t>
      </w:r>
      <w:r>
        <w:rPr/>
        <w:t>relevance</w:t>
      </w:r>
      <w:r>
        <w:rPr>
          <w:spacing w:val="-18"/>
        </w:rPr>
        <w:t> </w:t>
      </w:r>
      <w:r>
        <w:rPr/>
        <w:t>and</w:t>
      </w:r>
      <w:r>
        <w:rPr>
          <w:spacing w:val="-19"/>
        </w:rPr>
        <w:t> </w:t>
      </w:r>
      <w:r>
        <w:rPr/>
        <w:t>locally</w:t>
      </w:r>
      <w:r>
        <w:rPr>
          <w:spacing w:val="-18"/>
        </w:rPr>
        <w:t> </w:t>
      </w:r>
      <w:r>
        <w:rPr/>
        <w:t>enhance</w:t>
      </w:r>
      <w:r>
        <w:rPr>
          <w:spacing w:val="-18"/>
        </w:rPr>
        <w:t> </w:t>
      </w:r>
      <w:r>
        <w:rPr/>
        <w:t>the</w:t>
      </w:r>
      <w:r>
        <w:rPr>
          <w:spacing w:val="-18"/>
        </w:rPr>
        <w:t> </w:t>
      </w:r>
      <w:r>
        <w:rPr/>
        <w:t>effect</w:t>
      </w:r>
      <w:r>
        <w:rPr>
          <w:spacing w:val="-18"/>
        </w:rPr>
        <w:t> </w:t>
      </w:r>
      <w:r>
        <w:rPr/>
        <w:t>of</w:t>
      </w:r>
      <w:r>
        <w:rPr>
          <w:spacing w:val="-19"/>
        </w:rPr>
        <w:t> </w:t>
      </w:r>
      <w:r>
        <w:rPr/>
        <w:t>skin protection</w:t>
      </w:r>
      <w:r>
        <w:rPr>
          <w:spacing w:val="-10"/>
        </w:rPr>
        <w:t> </w:t>
      </w:r>
      <w:r>
        <w:rPr/>
        <w:t>and</w:t>
      </w:r>
      <w:r>
        <w:rPr>
          <w:spacing w:val="-12"/>
        </w:rPr>
        <w:t> </w:t>
      </w:r>
      <w:r>
        <w:rPr/>
        <w:t>skin</w:t>
      </w:r>
      <w:r>
        <w:rPr>
          <w:spacing w:val="-10"/>
        </w:rPr>
        <w:t> </w:t>
      </w:r>
      <w:r>
        <w:rPr/>
        <w:t>rejuvenation</w:t>
      </w:r>
      <w:r>
        <w:rPr>
          <w:spacing w:val="-8"/>
        </w:rPr>
        <w:t> </w:t>
      </w:r>
      <w:r>
        <w:rPr/>
        <w:t>that</w:t>
      </w:r>
      <w:r>
        <w:rPr>
          <w:spacing w:val="-10"/>
        </w:rPr>
        <w:t> </w:t>
      </w:r>
      <w:r>
        <w:rPr/>
        <w:t>you</w:t>
      </w:r>
      <w:r>
        <w:rPr>
          <w:spacing w:val="-10"/>
        </w:rPr>
        <w:t> </w:t>
      </w:r>
      <w:r>
        <w:rPr/>
        <w:t>experience</w:t>
      </w:r>
      <w:r>
        <w:rPr>
          <w:spacing w:val="-10"/>
        </w:rPr>
        <w:t> </w:t>
      </w:r>
      <w:r>
        <w:rPr/>
        <w:t>from</w:t>
      </w:r>
      <w:r>
        <w:rPr>
          <w:spacing w:val="-12"/>
        </w:rPr>
        <w:t> </w:t>
      </w:r>
      <w:r>
        <w:rPr/>
        <w:t>the</w:t>
      </w:r>
      <w:r>
        <w:rPr>
          <w:spacing w:val="-12"/>
        </w:rPr>
        <w:t> </w:t>
      </w:r>
      <w:r>
        <w:rPr/>
        <w:t>inside</w:t>
      </w:r>
      <w:r>
        <w:rPr>
          <w:spacing w:val="-9"/>
        </w:rPr>
        <w:t> </w:t>
      </w:r>
      <w:r>
        <w:rPr/>
        <w:t>by</w:t>
      </w:r>
      <w:r>
        <w:rPr>
          <w:spacing w:val="-10"/>
        </w:rPr>
        <w:t> </w:t>
      </w:r>
      <w:r>
        <w:rPr/>
        <w:t>taking OPC. A test at a German clinic on patients who had undergone skin abrasion to remove scars found that locally applied OPC improves cell regeneration, protects the skin, and provides a generally better cosmetic appearance.</w:t>
      </w:r>
      <w:r>
        <w:rPr>
          <w:position w:val="9"/>
          <w:sz w:val="25"/>
        </w:rPr>
        <w:t>651 </w:t>
      </w:r>
      <w:r>
        <w:rPr/>
        <w:t>The combination of cleansing toner and a body oil lotion has always been well- proven in local</w:t>
      </w:r>
      <w:r>
        <w:rPr>
          <w:spacing w:val="1"/>
        </w:rPr>
        <w:t> </w:t>
      </w:r>
      <w:r>
        <w:rPr/>
        <w:t>cosmetics.</w:t>
      </w:r>
    </w:p>
    <w:p>
      <w:pPr>
        <w:pStyle w:val="Heading1"/>
        <w:ind w:left="616"/>
        <w:jc w:val="both"/>
      </w:pPr>
      <w:r>
        <w:rPr/>
        <w:t>Making your own OPC face tonic</w:t>
      </w:r>
    </w:p>
    <w:p>
      <w:pPr>
        <w:spacing w:before="299"/>
        <w:ind w:left="616" w:right="0" w:firstLine="0"/>
        <w:jc w:val="both"/>
        <w:rPr>
          <w:i/>
          <w:sz w:val="38"/>
        </w:rPr>
      </w:pPr>
      <w:r>
        <w:rPr>
          <w:i/>
          <w:sz w:val="38"/>
        </w:rPr>
        <w:t>Ingredients:</w:t>
      </w:r>
    </w:p>
    <w:p>
      <w:pPr>
        <w:pStyle w:val="ListParagraph"/>
        <w:numPr>
          <w:ilvl w:val="0"/>
          <w:numId w:val="86"/>
        </w:numPr>
        <w:tabs>
          <w:tab w:pos="1037" w:val="left" w:leader="none"/>
        </w:tabs>
        <w:spacing w:line="240" w:lineRule="auto" w:before="66" w:after="0"/>
        <w:ind w:left="1036" w:right="0" w:hanging="358"/>
        <w:jc w:val="both"/>
        <w:rPr>
          <w:sz w:val="38"/>
        </w:rPr>
      </w:pPr>
      <w:r>
        <w:rPr>
          <w:sz w:val="38"/>
        </w:rPr>
        <w:t>50 mg OPC (in capsule</w:t>
      </w:r>
      <w:r>
        <w:rPr>
          <w:spacing w:val="-1"/>
          <w:sz w:val="38"/>
        </w:rPr>
        <w:t> </w:t>
      </w:r>
      <w:r>
        <w:rPr>
          <w:sz w:val="38"/>
        </w:rPr>
        <w:t>form)</w:t>
      </w:r>
    </w:p>
    <w:p>
      <w:pPr>
        <w:pStyle w:val="ListParagraph"/>
        <w:numPr>
          <w:ilvl w:val="0"/>
          <w:numId w:val="86"/>
        </w:numPr>
        <w:tabs>
          <w:tab w:pos="1037" w:val="left" w:leader="none"/>
        </w:tabs>
        <w:spacing w:line="240" w:lineRule="auto" w:before="64" w:after="0"/>
        <w:ind w:left="1036" w:right="0" w:hanging="358"/>
        <w:jc w:val="both"/>
        <w:rPr>
          <w:sz w:val="38"/>
        </w:rPr>
      </w:pPr>
      <w:r>
        <w:rPr>
          <w:sz w:val="38"/>
        </w:rPr>
        <w:t>50 mg rosewater (available in</w:t>
      </w:r>
      <w:r>
        <w:rPr>
          <w:spacing w:val="-1"/>
          <w:sz w:val="38"/>
        </w:rPr>
        <w:t> </w:t>
      </w:r>
      <w:r>
        <w:rPr>
          <w:sz w:val="38"/>
        </w:rPr>
        <w:t>pharmacies)</w:t>
      </w:r>
    </w:p>
    <w:p>
      <w:pPr>
        <w:pStyle w:val="ListParagraph"/>
        <w:numPr>
          <w:ilvl w:val="0"/>
          <w:numId w:val="86"/>
        </w:numPr>
        <w:tabs>
          <w:tab w:pos="1037" w:val="left" w:leader="none"/>
        </w:tabs>
        <w:spacing w:line="240" w:lineRule="auto" w:before="63" w:after="0"/>
        <w:ind w:left="1036" w:right="0" w:hanging="358"/>
        <w:jc w:val="both"/>
        <w:rPr>
          <w:sz w:val="38"/>
        </w:rPr>
      </w:pPr>
      <w:r>
        <w:rPr>
          <w:sz w:val="38"/>
        </w:rPr>
        <w:t>Cotton wool</w:t>
      </w:r>
    </w:p>
    <w:p>
      <w:pPr>
        <w:spacing w:before="303"/>
        <w:ind w:left="616" w:right="0" w:firstLine="0"/>
        <w:jc w:val="both"/>
        <w:rPr>
          <w:i/>
          <w:sz w:val="38"/>
        </w:rPr>
      </w:pPr>
      <w:r>
        <w:rPr>
          <w:i/>
          <w:sz w:val="38"/>
        </w:rPr>
        <w:t>Instructions:</w:t>
      </w:r>
    </w:p>
    <w:p>
      <w:pPr>
        <w:pStyle w:val="ListParagraph"/>
        <w:numPr>
          <w:ilvl w:val="0"/>
          <w:numId w:val="86"/>
        </w:numPr>
        <w:tabs>
          <w:tab w:pos="1036" w:val="left" w:leader="none"/>
          <w:tab w:pos="1037" w:val="left" w:leader="none"/>
        </w:tabs>
        <w:spacing w:line="273" w:lineRule="auto" w:before="66" w:after="0"/>
        <w:ind w:left="1036" w:right="143" w:hanging="358"/>
        <w:jc w:val="left"/>
        <w:rPr>
          <w:sz w:val="38"/>
        </w:rPr>
      </w:pPr>
      <w:r>
        <w:rPr>
          <w:sz w:val="38"/>
        </w:rPr>
        <w:t>First, cut a 50 mg OPC capsule and dissolve the powder in 50 mg of rose water</w:t>
      </w:r>
    </w:p>
    <w:p>
      <w:pPr>
        <w:pStyle w:val="ListParagraph"/>
        <w:numPr>
          <w:ilvl w:val="0"/>
          <w:numId w:val="86"/>
        </w:numPr>
        <w:tabs>
          <w:tab w:pos="1037" w:val="left" w:leader="none"/>
        </w:tabs>
        <w:spacing w:line="240" w:lineRule="auto" w:before="7" w:after="0"/>
        <w:ind w:left="1036" w:right="0" w:hanging="358"/>
        <w:jc w:val="both"/>
        <w:rPr>
          <w:sz w:val="38"/>
        </w:rPr>
      </w:pPr>
      <w:r>
        <w:rPr>
          <w:sz w:val="38"/>
        </w:rPr>
        <w:t>Shake briefly, soak a cotton ball in it and clean your</w:t>
      </w:r>
      <w:r>
        <w:rPr>
          <w:spacing w:val="-7"/>
          <w:sz w:val="38"/>
        </w:rPr>
        <w:t> </w:t>
      </w:r>
      <w:r>
        <w:rPr>
          <w:sz w:val="38"/>
        </w:rPr>
        <w:t>face.</w:t>
      </w:r>
    </w:p>
    <w:p>
      <w:pPr>
        <w:pStyle w:val="BodyText"/>
        <w:spacing w:before="5"/>
        <w:rPr>
          <w:sz w:val="18"/>
        </w:rPr>
      </w:pPr>
      <w:r>
        <w:rPr/>
        <w:pict>
          <v:line style="position:absolute;mso-position-horizontal-relative:page;mso-position-vertical-relative:paragraph;z-index:8432;mso-wrap-distance-left:0;mso-wrap-distance-right:0" from="70.823997pt,12.757427pt" to="214.843997pt,12.757427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651 </w:t>
      </w:r>
      <w:r>
        <w:rPr>
          <w:sz w:val="20"/>
        </w:rPr>
        <w:t>Anne Simons, Alexander Rucker 'Gesund länger leben durch OPC' ('Living Healthy Longer Through OPC') 2005, p. 143</w:t>
      </w:r>
    </w:p>
    <w:p>
      <w:pPr>
        <w:spacing w:after="0"/>
        <w:jc w:val="left"/>
        <w:rPr>
          <w:sz w:val="20"/>
        </w:rPr>
        <w:sectPr>
          <w:footerReference w:type="default" r:id="rId279"/>
          <w:pgSz w:w="14270" w:h="16850"/>
          <w:pgMar w:footer="1891" w:header="0" w:top="1340" w:bottom="2080" w:left="800" w:right="1280"/>
          <w:pgNumType w:start="1150"/>
        </w:sectPr>
      </w:pPr>
    </w:p>
    <w:p>
      <w:pPr>
        <w:pStyle w:val="Heading1"/>
        <w:spacing w:before="75"/>
        <w:ind w:left="616"/>
      </w:pPr>
      <w:r>
        <w:rPr/>
        <w:t>Making your own OPC body lotion:</w:t>
      </w:r>
    </w:p>
    <w:p>
      <w:pPr>
        <w:spacing w:before="299"/>
        <w:ind w:left="616" w:right="0" w:firstLine="0"/>
        <w:jc w:val="left"/>
        <w:rPr>
          <w:i/>
          <w:sz w:val="38"/>
        </w:rPr>
      </w:pPr>
      <w:r>
        <w:rPr>
          <w:i/>
          <w:sz w:val="38"/>
        </w:rPr>
        <w:t>Ingredients:</w:t>
      </w:r>
    </w:p>
    <w:p>
      <w:pPr>
        <w:pStyle w:val="ListParagraph"/>
        <w:numPr>
          <w:ilvl w:val="0"/>
          <w:numId w:val="86"/>
        </w:numPr>
        <w:tabs>
          <w:tab w:pos="1036" w:val="left" w:leader="none"/>
          <w:tab w:pos="1037" w:val="left" w:leader="none"/>
        </w:tabs>
        <w:spacing w:line="240" w:lineRule="auto" w:before="66" w:after="0"/>
        <w:ind w:left="1036" w:right="0" w:hanging="358"/>
        <w:jc w:val="left"/>
        <w:rPr>
          <w:sz w:val="38"/>
        </w:rPr>
      </w:pPr>
      <w:r>
        <w:rPr>
          <w:sz w:val="38"/>
        </w:rPr>
        <w:t>50 mg OPC (in capsule</w:t>
      </w:r>
      <w:r>
        <w:rPr>
          <w:spacing w:val="-1"/>
          <w:sz w:val="38"/>
        </w:rPr>
        <w:t> </w:t>
      </w:r>
      <w:r>
        <w:rPr>
          <w:sz w:val="38"/>
        </w:rPr>
        <w:t>form)</w:t>
      </w:r>
    </w:p>
    <w:p>
      <w:pPr>
        <w:pStyle w:val="ListParagraph"/>
        <w:numPr>
          <w:ilvl w:val="0"/>
          <w:numId w:val="86"/>
        </w:numPr>
        <w:tabs>
          <w:tab w:pos="1036" w:val="left" w:leader="none"/>
          <w:tab w:pos="1037" w:val="left" w:leader="none"/>
        </w:tabs>
        <w:spacing w:line="273" w:lineRule="auto" w:before="63" w:after="0"/>
        <w:ind w:left="1036" w:right="133" w:hanging="358"/>
        <w:jc w:val="left"/>
        <w:rPr>
          <w:sz w:val="38"/>
        </w:rPr>
      </w:pPr>
      <w:r>
        <w:rPr>
          <w:sz w:val="38"/>
        </w:rPr>
        <w:t>50 mg mixture of wheat germ and evening primrose oil (available in phar- macies, mixing ratio</w:t>
      </w:r>
      <w:r>
        <w:rPr>
          <w:spacing w:val="2"/>
          <w:sz w:val="38"/>
        </w:rPr>
        <w:t> </w:t>
      </w:r>
      <w:r>
        <w:rPr>
          <w:sz w:val="38"/>
        </w:rPr>
        <w:t>1:1).</w:t>
      </w:r>
    </w:p>
    <w:p>
      <w:pPr>
        <w:spacing w:before="246"/>
        <w:ind w:left="616" w:right="0" w:firstLine="0"/>
        <w:jc w:val="left"/>
        <w:rPr>
          <w:i/>
          <w:sz w:val="38"/>
        </w:rPr>
      </w:pPr>
      <w:r>
        <w:rPr>
          <w:i/>
          <w:sz w:val="38"/>
        </w:rPr>
        <w:t>Instructions:</w:t>
      </w:r>
    </w:p>
    <w:p>
      <w:pPr>
        <w:pStyle w:val="ListParagraph"/>
        <w:numPr>
          <w:ilvl w:val="0"/>
          <w:numId w:val="86"/>
        </w:numPr>
        <w:tabs>
          <w:tab w:pos="1036" w:val="left" w:leader="none"/>
          <w:tab w:pos="1037" w:val="left" w:leader="none"/>
        </w:tabs>
        <w:spacing w:line="240" w:lineRule="auto" w:before="67" w:after="0"/>
        <w:ind w:left="1036" w:right="0" w:hanging="358"/>
        <w:jc w:val="left"/>
        <w:rPr>
          <w:sz w:val="38"/>
        </w:rPr>
      </w:pPr>
      <w:r>
        <w:rPr>
          <w:sz w:val="38"/>
        </w:rPr>
        <w:t>First, cut open a 50 mg OPC</w:t>
      </w:r>
      <w:r>
        <w:rPr>
          <w:spacing w:val="-4"/>
          <w:sz w:val="38"/>
        </w:rPr>
        <w:t> </w:t>
      </w:r>
      <w:r>
        <w:rPr>
          <w:sz w:val="38"/>
        </w:rPr>
        <w:t>capsule.</w:t>
      </w:r>
    </w:p>
    <w:p>
      <w:pPr>
        <w:pStyle w:val="ListParagraph"/>
        <w:numPr>
          <w:ilvl w:val="0"/>
          <w:numId w:val="86"/>
        </w:numPr>
        <w:tabs>
          <w:tab w:pos="1036" w:val="left" w:leader="none"/>
          <w:tab w:pos="1037" w:val="left" w:leader="none"/>
        </w:tabs>
        <w:spacing w:line="273" w:lineRule="auto" w:before="63" w:after="0"/>
        <w:ind w:left="1036" w:right="137" w:hanging="358"/>
        <w:jc w:val="left"/>
        <w:rPr>
          <w:sz w:val="38"/>
        </w:rPr>
      </w:pPr>
      <w:r>
        <w:rPr>
          <w:sz w:val="38"/>
        </w:rPr>
        <w:t>Mix the powder with 50 mg wheat germ evening primrose oil mixture (25 mg each)</w:t>
      </w:r>
    </w:p>
    <w:p>
      <w:pPr>
        <w:pStyle w:val="ListParagraph"/>
        <w:numPr>
          <w:ilvl w:val="0"/>
          <w:numId w:val="86"/>
        </w:numPr>
        <w:tabs>
          <w:tab w:pos="1036" w:val="left" w:leader="none"/>
          <w:tab w:pos="1037" w:val="left" w:leader="none"/>
        </w:tabs>
        <w:spacing w:line="273" w:lineRule="auto" w:before="7" w:after="0"/>
        <w:ind w:left="1036" w:right="141" w:hanging="358"/>
        <w:jc w:val="left"/>
        <w:rPr>
          <w:sz w:val="38"/>
        </w:rPr>
      </w:pPr>
      <w:r>
        <w:rPr>
          <w:sz w:val="38"/>
        </w:rPr>
        <w:t>After washing or showering, rub your face or your whole body evenly with the OPC</w:t>
      </w:r>
      <w:r>
        <w:rPr>
          <w:spacing w:val="-2"/>
          <w:sz w:val="38"/>
        </w:rPr>
        <w:t> </w:t>
      </w:r>
      <w:r>
        <w:rPr>
          <w:sz w:val="38"/>
        </w:rPr>
        <w:t>lotion.</w:t>
      </w:r>
    </w:p>
    <w:p>
      <w:pPr>
        <w:pStyle w:val="BodyText"/>
        <w:rPr>
          <w:sz w:val="42"/>
        </w:rPr>
      </w:pPr>
    </w:p>
    <w:p>
      <w:pPr>
        <w:pStyle w:val="BodyText"/>
        <w:rPr>
          <w:sz w:val="42"/>
        </w:rPr>
      </w:pPr>
    </w:p>
    <w:p>
      <w:pPr>
        <w:pStyle w:val="BodyText"/>
        <w:rPr>
          <w:sz w:val="42"/>
        </w:rPr>
      </w:pPr>
    </w:p>
    <w:p>
      <w:pPr>
        <w:pStyle w:val="BodyText"/>
        <w:rPr>
          <w:sz w:val="42"/>
        </w:rPr>
      </w:pPr>
    </w:p>
    <w:p>
      <w:pPr>
        <w:pStyle w:val="BodyText"/>
        <w:spacing w:before="8"/>
        <w:rPr>
          <w:sz w:val="46"/>
        </w:rPr>
      </w:pPr>
    </w:p>
    <w:p>
      <w:pPr>
        <w:pStyle w:val="BodyText"/>
        <w:ind w:left="616"/>
      </w:pPr>
      <w:r>
        <w:rPr/>
        <w:t>Side effects of OPC</w:t>
      </w:r>
    </w:p>
    <w:p>
      <w:pPr>
        <w:pStyle w:val="BodyText"/>
        <w:spacing w:line="276" w:lineRule="auto" w:before="303"/>
        <w:ind w:left="616" w:right="132"/>
        <w:jc w:val="both"/>
      </w:pPr>
      <w:r>
        <w:rPr/>
        <w:t>According</w:t>
      </w:r>
      <w:r>
        <w:rPr>
          <w:spacing w:val="-16"/>
        </w:rPr>
        <w:t> </w:t>
      </w:r>
      <w:r>
        <w:rPr/>
        <w:t>to</w:t>
      </w:r>
      <w:r>
        <w:rPr>
          <w:spacing w:val="-19"/>
        </w:rPr>
        <w:t> </w:t>
      </w:r>
      <w:r>
        <w:rPr/>
        <w:t>the</w:t>
      </w:r>
      <w:r>
        <w:rPr>
          <w:spacing w:val="-16"/>
        </w:rPr>
        <w:t> </w:t>
      </w:r>
      <w:r>
        <w:rPr/>
        <w:t>discoverer</w:t>
      </w:r>
      <w:r>
        <w:rPr>
          <w:spacing w:val="-19"/>
        </w:rPr>
        <w:t> </w:t>
      </w:r>
      <w:r>
        <w:rPr/>
        <w:t>of</w:t>
      </w:r>
      <w:r>
        <w:rPr>
          <w:spacing w:val="-19"/>
        </w:rPr>
        <w:t> </w:t>
      </w:r>
      <w:r>
        <w:rPr/>
        <w:t>vitamin</w:t>
      </w:r>
      <w:r>
        <w:rPr>
          <w:spacing w:val="-16"/>
        </w:rPr>
        <w:t> </w:t>
      </w:r>
      <w:r>
        <w:rPr/>
        <w:t>P,</w:t>
      </w:r>
      <w:r>
        <w:rPr>
          <w:spacing w:val="-15"/>
        </w:rPr>
        <w:t> </w:t>
      </w:r>
      <w:r>
        <w:rPr/>
        <w:t>Prof.</w:t>
      </w:r>
      <w:r>
        <w:rPr>
          <w:spacing w:val="-20"/>
        </w:rPr>
        <w:t> </w:t>
      </w:r>
      <w:r>
        <w:rPr/>
        <w:t>Dr.</w:t>
      </w:r>
      <w:r>
        <w:rPr>
          <w:spacing w:val="-16"/>
        </w:rPr>
        <w:t> </w:t>
      </w:r>
      <w:r>
        <w:rPr/>
        <w:t>Masquelier,</w:t>
      </w:r>
      <w:r>
        <w:rPr>
          <w:spacing w:val="-18"/>
        </w:rPr>
        <w:t> </w:t>
      </w:r>
      <w:r>
        <w:rPr/>
        <w:t>OPC</w:t>
      </w:r>
      <w:r>
        <w:rPr>
          <w:spacing w:val="-19"/>
        </w:rPr>
        <w:t> </w:t>
      </w:r>
      <w:r>
        <w:rPr/>
        <w:t>is</w:t>
      </w:r>
      <w:r>
        <w:rPr>
          <w:spacing w:val="-17"/>
        </w:rPr>
        <w:t> </w:t>
      </w:r>
      <w:r>
        <w:rPr/>
        <w:t>neither carcinogenic nor mutagenic. A long-term, side effect-free regimen of</w:t>
      </w:r>
      <w:r>
        <w:rPr>
          <w:spacing w:val="59"/>
        </w:rPr>
        <w:t> </w:t>
      </w:r>
      <w:r>
        <w:rPr/>
        <w:t>six months at a dose of 35,000 mg OPC/day (about 100 times the recommended dose) gives vitamin P the same level of safety as vitamin</w:t>
      </w:r>
      <w:r>
        <w:rPr>
          <w:spacing w:val="-5"/>
        </w:rPr>
        <w:t> </w:t>
      </w:r>
      <w:r>
        <w:rPr/>
        <w:t>C.</w:t>
      </w:r>
    </w:p>
    <w:p>
      <w:pPr>
        <w:spacing w:after="0" w:line="276" w:lineRule="auto"/>
        <w:jc w:val="both"/>
        <w:sectPr>
          <w:pgSz w:w="14270" w:h="16850"/>
          <w:pgMar w:header="0" w:footer="1891" w:top="1320" w:bottom="2080" w:left="800" w:right="1280"/>
        </w:sectPr>
      </w:pPr>
    </w:p>
    <w:p>
      <w:pPr>
        <w:pStyle w:val="BodyText"/>
        <w:spacing w:line="276" w:lineRule="auto" w:before="72"/>
        <w:ind w:left="616" w:right="136"/>
        <w:jc w:val="both"/>
        <w:rPr>
          <w:sz w:val="25"/>
        </w:rPr>
      </w:pPr>
      <w:r>
        <w:rPr/>
        <w:t>In</w:t>
      </w:r>
      <w:r>
        <w:rPr>
          <w:spacing w:val="-14"/>
        </w:rPr>
        <w:t> </w:t>
      </w:r>
      <w:r>
        <w:rPr/>
        <w:t>France,</w:t>
      </w:r>
      <w:r>
        <w:rPr>
          <w:spacing w:val="-13"/>
        </w:rPr>
        <w:t> </w:t>
      </w:r>
      <w:r>
        <w:rPr/>
        <w:t>OPC</w:t>
      </w:r>
      <w:r>
        <w:rPr>
          <w:spacing w:val="-16"/>
        </w:rPr>
        <w:t> </w:t>
      </w:r>
      <w:r>
        <w:rPr/>
        <w:t>is</w:t>
      </w:r>
      <w:r>
        <w:rPr>
          <w:spacing w:val="-14"/>
        </w:rPr>
        <w:t> </w:t>
      </w:r>
      <w:r>
        <w:rPr/>
        <w:t>the</w:t>
      </w:r>
      <w:r>
        <w:rPr>
          <w:spacing w:val="-13"/>
        </w:rPr>
        <w:t> </w:t>
      </w:r>
      <w:r>
        <w:rPr/>
        <w:t>foundation</w:t>
      </w:r>
      <w:r>
        <w:rPr>
          <w:spacing w:val="-12"/>
        </w:rPr>
        <w:t> </w:t>
      </w:r>
      <w:r>
        <w:rPr/>
        <w:t>in</w:t>
      </w:r>
      <w:r>
        <w:rPr>
          <w:spacing w:val="-14"/>
        </w:rPr>
        <w:t> </w:t>
      </w:r>
      <w:r>
        <w:rPr/>
        <w:t>three</w:t>
      </w:r>
      <w:r>
        <w:rPr>
          <w:spacing w:val="-16"/>
        </w:rPr>
        <w:t> </w:t>
      </w:r>
      <w:r>
        <w:rPr/>
        <w:t>vascular-protective</w:t>
      </w:r>
      <w:r>
        <w:rPr>
          <w:spacing w:val="-15"/>
        </w:rPr>
        <w:t> </w:t>
      </w:r>
      <w:r>
        <w:rPr/>
        <w:t>medications</w:t>
      </w:r>
      <w:r>
        <w:rPr>
          <w:spacing w:val="-13"/>
        </w:rPr>
        <w:t> </w:t>
      </w:r>
      <w:r>
        <w:rPr/>
        <w:t>and has long been prescribed</w:t>
      </w:r>
      <w:r>
        <w:rPr>
          <w:spacing w:val="3"/>
        </w:rPr>
        <w:t> </w:t>
      </w:r>
      <w:r>
        <w:rPr/>
        <w:t>there.</w:t>
      </w:r>
      <w:r>
        <w:rPr>
          <w:position w:val="9"/>
          <w:sz w:val="25"/>
        </w:rPr>
        <w:t>652</w:t>
      </w:r>
    </w:p>
    <w:p>
      <w:pPr>
        <w:pStyle w:val="BodyText"/>
        <w:rPr>
          <w:sz w:val="42"/>
        </w:rPr>
      </w:pPr>
    </w:p>
    <w:p>
      <w:pPr>
        <w:pStyle w:val="BodyText"/>
        <w:rPr>
          <w:sz w:val="42"/>
        </w:rPr>
      </w:pPr>
    </w:p>
    <w:p>
      <w:pPr>
        <w:spacing w:before="269"/>
        <w:ind w:left="616" w:right="0" w:firstLine="0"/>
        <w:jc w:val="left"/>
        <w:rPr>
          <w:rFonts w:ascii="Cambria"/>
          <w:b/>
          <w:sz w:val="28"/>
        </w:rPr>
      </w:pPr>
      <w:r>
        <w:rPr>
          <w:rFonts w:ascii="Cambria"/>
          <w:b/>
          <w:color w:val="365F91"/>
          <w:sz w:val="28"/>
        </w:rPr>
        <w:t>ORGANIC GERMANIUM</w:t>
      </w:r>
    </w:p>
    <w:p>
      <w:pPr>
        <w:pStyle w:val="BodyText"/>
        <w:spacing w:before="287"/>
        <w:ind w:left="616"/>
      </w:pPr>
      <w:r>
        <w:rPr/>
        <w:t>Things to know in advance</w:t>
      </w:r>
    </w:p>
    <w:p>
      <w:pPr>
        <w:pStyle w:val="BodyText"/>
        <w:spacing w:line="278" w:lineRule="auto" w:before="305"/>
        <w:ind w:left="616" w:right="130"/>
        <w:jc w:val="both"/>
      </w:pPr>
      <w:r>
        <w:rPr/>
        <w:t>The most common question about this topic is always: ‘What is organic ger- manium?’</w:t>
      </w:r>
    </w:p>
    <w:p>
      <w:pPr>
        <w:spacing w:line="276" w:lineRule="auto" w:before="232"/>
        <w:ind w:left="616" w:right="132" w:firstLine="0"/>
        <w:jc w:val="both"/>
        <w:rPr>
          <w:i/>
          <w:sz w:val="38"/>
        </w:rPr>
      </w:pPr>
      <w:r>
        <w:rPr>
          <w:sz w:val="38"/>
        </w:rPr>
        <w:t>This</w:t>
      </w:r>
      <w:r>
        <w:rPr>
          <w:spacing w:val="-13"/>
          <w:sz w:val="38"/>
        </w:rPr>
        <w:t> </w:t>
      </w:r>
      <w:r>
        <w:rPr>
          <w:sz w:val="38"/>
        </w:rPr>
        <w:t>question</w:t>
      </w:r>
      <w:r>
        <w:rPr>
          <w:spacing w:val="-13"/>
          <w:sz w:val="38"/>
        </w:rPr>
        <w:t> </w:t>
      </w:r>
      <w:r>
        <w:rPr>
          <w:sz w:val="38"/>
        </w:rPr>
        <w:t>can</w:t>
      </w:r>
      <w:r>
        <w:rPr>
          <w:spacing w:val="-14"/>
          <w:sz w:val="38"/>
        </w:rPr>
        <w:t> </w:t>
      </w:r>
      <w:r>
        <w:rPr>
          <w:sz w:val="38"/>
        </w:rPr>
        <w:t>be</w:t>
      </w:r>
      <w:r>
        <w:rPr>
          <w:spacing w:val="-13"/>
          <w:sz w:val="38"/>
        </w:rPr>
        <w:t> </w:t>
      </w:r>
      <w:r>
        <w:rPr>
          <w:sz w:val="38"/>
        </w:rPr>
        <w:t>answered</w:t>
      </w:r>
      <w:r>
        <w:rPr>
          <w:spacing w:val="-13"/>
          <w:sz w:val="38"/>
        </w:rPr>
        <w:t> </w:t>
      </w:r>
      <w:r>
        <w:rPr>
          <w:sz w:val="38"/>
        </w:rPr>
        <w:t>very</w:t>
      </w:r>
      <w:r>
        <w:rPr>
          <w:spacing w:val="-14"/>
          <w:sz w:val="38"/>
        </w:rPr>
        <w:t> </w:t>
      </w:r>
      <w:r>
        <w:rPr>
          <w:sz w:val="38"/>
        </w:rPr>
        <w:t>quickly</w:t>
      </w:r>
      <w:r>
        <w:rPr>
          <w:spacing w:val="-14"/>
          <w:sz w:val="38"/>
        </w:rPr>
        <w:t> </w:t>
      </w:r>
      <w:r>
        <w:rPr>
          <w:sz w:val="38"/>
        </w:rPr>
        <w:t>with</w:t>
      </w:r>
      <w:r>
        <w:rPr>
          <w:spacing w:val="-13"/>
          <w:sz w:val="38"/>
        </w:rPr>
        <w:t> </w:t>
      </w:r>
      <w:r>
        <w:rPr>
          <w:sz w:val="38"/>
        </w:rPr>
        <w:t>the</w:t>
      </w:r>
      <w:r>
        <w:rPr>
          <w:spacing w:val="-13"/>
          <w:sz w:val="38"/>
        </w:rPr>
        <w:t> </w:t>
      </w:r>
      <w:r>
        <w:rPr>
          <w:sz w:val="38"/>
        </w:rPr>
        <w:t>description</w:t>
      </w:r>
      <w:r>
        <w:rPr>
          <w:spacing w:val="-15"/>
          <w:sz w:val="38"/>
        </w:rPr>
        <w:t> </w:t>
      </w:r>
      <w:r>
        <w:rPr>
          <w:sz w:val="38"/>
        </w:rPr>
        <w:t>by</w:t>
      </w:r>
      <w:r>
        <w:rPr>
          <w:spacing w:val="-13"/>
          <w:sz w:val="38"/>
        </w:rPr>
        <w:t> </w:t>
      </w:r>
      <w:r>
        <w:rPr>
          <w:sz w:val="38"/>
        </w:rPr>
        <w:t>the</w:t>
      </w:r>
      <w:r>
        <w:rPr>
          <w:spacing w:val="-13"/>
          <w:sz w:val="38"/>
        </w:rPr>
        <w:t> </w:t>
      </w:r>
      <w:r>
        <w:rPr>
          <w:sz w:val="38"/>
        </w:rPr>
        <w:t>discov- erer of organic germanium, Dr. Asai: </w:t>
      </w:r>
      <w:r>
        <w:rPr>
          <w:i/>
          <w:sz w:val="38"/>
        </w:rPr>
        <w:t>‘It seems that germanium is a substance that </w:t>
      </w:r>
      <w:r>
        <w:rPr>
          <w:i/>
          <w:sz w:val="38"/>
        </w:rPr>
        <w:t>originates in heretofore unknown dimensions with an immediate connection to the vital</w:t>
      </w:r>
      <w:r>
        <w:rPr>
          <w:i/>
          <w:spacing w:val="-67"/>
          <w:sz w:val="38"/>
        </w:rPr>
        <w:t> </w:t>
      </w:r>
      <w:r>
        <w:rPr>
          <w:i/>
          <w:sz w:val="38"/>
        </w:rPr>
        <w:t>forces of life.’</w:t>
      </w:r>
    </w:p>
    <w:p>
      <w:pPr>
        <w:pStyle w:val="BodyText"/>
        <w:spacing w:line="276" w:lineRule="auto" w:before="240"/>
        <w:ind w:left="616" w:right="133"/>
        <w:jc w:val="both"/>
      </w:pPr>
      <w:r>
        <w:rPr/>
        <w:t>But before we approach this question in depth, a counter-question presents itself:</w:t>
      </w:r>
      <w:r>
        <w:rPr>
          <w:spacing w:val="69"/>
        </w:rPr>
        <w:t> </w:t>
      </w:r>
      <w:r>
        <w:rPr/>
        <w:t>How</w:t>
      </w:r>
      <w:r>
        <w:rPr>
          <w:spacing w:val="-14"/>
        </w:rPr>
        <w:t> </w:t>
      </w:r>
      <w:r>
        <w:rPr/>
        <w:t>can</w:t>
      </w:r>
      <w:r>
        <w:rPr>
          <w:spacing w:val="-10"/>
        </w:rPr>
        <w:t> </w:t>
      </w:r>
      <w:r>
        <w:rPr/>
        <w:t>we</w:t>
      </w:r>
      <w:r>
        <w:rPr>
          <w:spacing w:val="-14"/>
        </w:rPr>
        <w:t> </w:t>
      </w:r>
      <w:r>
        <w:rPr/>
        <w:t>describe</w:t>
      </w:r>
      <w:r>
        <w:rPr>
          <w:spacing w:val="-13"/>
        </w:rPr>
        <w:t> </w:t>
      </w:r>
      <w:r>
        <w:rPr/>
        <w:t>it</w:t>
      </w:r>
      <w:r>
        <w:rPr>
          <w:spacing w:val="-14"/>
        </w:rPr>
        <w:t> </w:t>
      </w:r>
      <w:r>
        <w:rPr/>
        <w:t>as</w:t>
      </w:r>
      <w:r>
        <w:rPr>
          <w:spacing w:val="-11"/>
        </w:rPr>
        <w:t> </w:t>
      </w:r>
      <w:r>
        <w:rPr/>
        <w:t>anything</w:t>
      </w:r>
      <w:r>
        <w:rPr>
          <w:spacing w:val="-13"/>
        </w:rPr>
        <w:t> </w:t>
      </w:r>
      <w:r>
        <w:rPr/>
        <w:t>but</w:t>
      </w:r>
      <w:r>
        <w:rPr>
          <w:spacing w:val="-14"/>
        </w:rPr>
        <w:t> </w:t>
      </w:r>
      <w:r>
        <w:rPr/>
        <w:t>‘scandalous’</w:t>
      </w:r>
      <w:r>
        <w:rPr>
          <w:spacing w:val="-13"/>
        </w:rPr>
        <w:t> </w:t>
      </w:r>
      <w:r>
        <w:rPr/>
        <w:t>that</w:t>
      </w:r>
      <w:r>
        <w:rPr>
          <w:spacing w:val="-13"/>
        </w:rPr>
        <w:t> </w:t>
      </w:r>
      <w:r>
        <w:rPr/>
        <w:t>a</w:t>
      </w:r>
      <w:r>
        <w:rPr>
          <w:spacing w:val="-14"/>
        </w:rPr>
        <w:t> </w:t>
      </w:r>
      <w:r>
        <w:rPr/>
        <w:t>trace</w:t>
      </w:r>
      <w:r>
        <w:rPr>
          <w:spacing w:val="-13"/>
        </w:rPr>
        <w:t> </w:t>
      </w:r>
      <w:r>
        <w:rPr/>
        <w:t>element (mineral) with an apparently unbelievable potential impact on our health, free of any side effects and already used with success for over 30 years in other countries for the treatment of the most severe illnesses, is hardly known and that hardly anyone has heard of its</w:t>
      </w:r>
      <w:r>
        <w:rPr>
          <w:spacing w:val="-2"/>
        </w:rPr>
        <w:t> </w:t>
      </w:r>
      <w:r>
        <w:rPr/>
        <w:t>existence?</w:t>
      </w:r>
    </w:p>
    <w:p>
      <w:pPr>
        <w:pStyle w:val="BodyText"/>
        <w:rPr>
          <w:sz w:val="20"/>
        </w:rPr>
      </w:pPr>
    </w:p>
    <w:p>
      <w:pPr>
        <w:pStyle w:val="BodyText"/>
        <w:rPr>
          <w:sz w:val="20"/>
        </w:rPr>
      </w:pPr>
    </w:p>
    <w:p>
      <w:pPr>
        <w:pStyle w:val="BodyText"/>
        <w:spacing w:before="7"/>
        <w:rPr>
          <w:sz w:val="18"/>
        </w:rPr>
      </w:pPr>
      <w:r>
        <w:rPr/>
        <w:pict>
          <v:line style="position:absolute;mso-position-horizontal-relative:page;mso-position-vertical-relative:paragraph;z-index:8456;mso-wrap-distance-left:0;mso-wrap-distance-right:0" from="70.823997pt,12.836929pt" to="214.843997pt,12.836929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652 </w:t>
      </w:r>
      <w:r>
        <w:rPr>
          <w:sz w:val="20"/>
        </w:rPr>
        <w:t>Anne Simons, Alexander Rucker 'Gesund länger leben durch OPC' ('Living Healthy Longer Through OPC') 2005, p. 10</w:t>
      </w:r>
    </w:p>
    <w:p>
      <w:pPr>
        <w:spacing w:after="0"/>
        <w:jc w:val="left"/>
        <w:rPr>
          <w:sz w:val="20"/>
        </w:rPr>
        <w:sectPr>
          <w:pgSz w:w="14270" w:h="16850"/>
          <w:pgMar w:header="0" w:footer="1891" w:top="1340" w:bottom="2080" w:left="800" w:right="1280"/>
        </w:sectPr>
      </w:pPr>
    </w:p>
    <w:p>
      <w:pPr>
        <w:pStyle w:val="BodyText"/>
        <w:spacing w:line="276" w:lineRule="auto" w:before="74"/>
        <w:ind w:left="616" w:right="127"/>
        <w:jc w:val="both"/>
      </w:pPr>
      <w:r>
        <w:rPr/>
        <w:t>This</w:t>
      </w:r>
      <w:r>
        <w:rPr>
          <w:spacing w:val="-23"/>
        </w:rPr>
        <w:t> </w:t>
      </w:r>
      <w:r>
        <w:rPr/>
        <w:t>is</w:t>
      </w:r>
      <w:r>
        <w:rPr>
          <w:spacing w:val="-26"/>
        </w:rPr>
        <w:t> </w:t>
      </w:r>
      <w:r>
        <w:rPr/>
        <w:t>simply</w:t>
      </w:r>
      <w:r>
        <w:rPr>
          <w:spacing w:val="-24"/>
        </w:rPr>
        <w:t> </w:t>
      </w:r>
      <w:r>
        <w:rPr/>
        <w:t>an</w:t>
      </w:r>
      <w:r>
        <w:rPr>
          <w:spacing w:val="-25"/>
        </w:rPr>
        <w:t> </w:t>
      </w:r>
      <w:r>
        <w:rPr/>
        <w:t>especially</w:t>
      </w:r>
      <w:r>
        <w:rPr>
          <w:spacing w:val="-25"/>
        </w:rPr>
        <w:t> </w:t>
      </w:r>
      <w:r>
        <w:rPr/>
        <w:t>large</w:t>
      </w:r>
      <w:r>
        <w:rPr>
          <w:spacing w:val="-26"/>
        </w:rPr>
        <w:t> </w:t>
      </w:r>
      <w:r>
        <w:rPr/>
        <w:t>scandal</w:t>
      </w:r>
      <w:r>
        <w:rPr>
          <w:spacing w:val="-22"/>
        </w:rPr>
        <w:t> </w:t>
      </w:r>
      <w:r>
        <w:rPr/>
        <w:t>among</w:t>
      </w:r>
      <w:r>
        <w:rPr>
          <w:spacing w:val="-23"/>
        </w:rPr>
        <w:t> </w:t>
      </w:r>
      <w:r>
        <w:rPr/>
        <w:t>many</w:t>
      </w:r>
      <w:r>
        <w:rPr>
          <w:spacing w:val="-23"/>
        </w:rPr>
        <w:t> </w:t>
      </w:r>
      <w:r>
        <w:rPr/>
        <w:t>within</w:t>
      </w:r>
      <w:r>
        <w:rPr>
          <w:spacing w:val="-23"/>
        </w:rPr>
        <w:t> </w:t>
      </w:r>
      <w:r>
        <w:rPr/>
        <w:t>our</w:t>
      </w:r>
      <w:r>
        <w:rPr>
          <w:spacing w:val="-23"/>
        </w:rPr>
        <w:t> </w:t>
      </w:r>
      <w:r>
        <w:rPr/>
        <w:t>health</w:t>
      </w:r>
      <w:r>
        <w:rPr>
          <w:spacing w:val="-22"/>
        </w:rPr>
        <w:t> </w:t>
      </w:r>
      <w:r>
        <w:rPr/>
        <w:t>system. But it gets worse: While germanium is recognised for what it is, a therapeutic substance, in the United States (where it can be found in every drugstore), Ja- pan,</w:t>
      </w:r>
      <w:r>
        <w:rPr>
          <w:spacing w:val="-8"/>
        </w:rPr>
        <w:t> </w:t>
      </w:r>
      <w:r>
        <w:rPr/>
        <w:t>France,</w:t>
      </w:r>
      <w:r>
        <w:rPr>
          <w:spacing w:val="-7"/>
        </w:rPr>
        <w:t> </w:t>
      </w:r>
      <w:r>
        <w:rPr/>
        <w:t>Norway</w:t>
      </w:r>
      <w:r>
        <w:rPr>
          <w:spacing w:val="-8"/>
        </w:rPr>
        <w:t> </w:t>
      </w:r>
      <w:r>
        <w:rPr/>
        <w:t>and</w:t>
      </w:r>
      <w:r>
        <w:rPr>
          <w:spacing w:val="-8"/>
        </w:rPr>
        <w:t> </w:t>
      </w:r>
      <w:r>
        <w:rPr/>
        <w:t>Holland</w:t>
      </w:r>
      <w:r>
        <w:rPr>
          <w:spacing w:val="-10"/>
        </w:rPr>
        <w:t> </w:t>
      </w:r>
      <w:r>
        <w:rPr/>
        <w:t>and</w:t>
      </w:r>
      <w:r>
        <w:rPr>
          <w:spacing w:val="-8"/>
        </w:rPr>
        <w:t> </w:t>
      </w:r>
      <w:r>
        <w:rPr/>
        <w:t>several</w:t>
      </w:r>
      <w:r>
        <w:rPr>
          <w:spacing w:val="-10"/>
        </w:rPr>
        <w:t> </w:t>
      </w:r>
      <w:r>
        <w:rPr/>
        <w:t>other</w:t>
      </w:r>
      <w:r>
        <w:rPr>
          <w:spacing w:val="-8"/>
        </w:rPr>
        <w:t> </w:t>
      </w:r>
      <w:r>
        <w:rPr/>
        <w:t>countries,</w:t>
      </w:r>
      <w:r>
        <w:rPr>
          <w:spacing w:val="-8"/>
        </w:rPr>
        <w:t> </w:t>
      </w:r>
      <w:r>
        <w:rPr/>
        <w:t>where</w:t>
      </w:r>
      <w:r>
        <w:rPr>
          <w:spacing w:val="-8"/>
        </w:rPr>
        <w:t> </w:t>
      </w:r>
      <w:r>
        <w:rPr/>
        <w:t>is</w:t>
      </w:r>
      <w:r>
        <w:rPr>
          <w:spacing w:val="-8"/>
        </w:rPr>
        <w:t> </w:t>
      </w:r>
      <w:r>
        <w:rPr/>
        <w:t>can</w:t>
      </w:r>
      <w:r>
        <w:rPr>
          <w:spacing w:val="-7"/>
        </w:rPr>
        <w:t> </w:t>
      </w:r>
      <w:r>
        <w:rPr/>
        <w:t>be sold as a dietary supplement, its sale is prohibited in many other</w:t>
      </w:r>
      <w:r>
        <w:rPr>
          <w:spacing w:val="-19"/>
        </w:rPr>
        <w:t> </w:t>
      </w:r>
      <w:r>
        <w:rPr/>
        <w:t>countries!</w:t>
      </w:r>
    </w:p>
    <w:p>
      <w:pPr>
        <w:pStyle w:val="BodyText"/>
        <w:spacing w:line="276" w:lineRule="auto" w:before="240"/>
        <w:ind w:left="616" w:right="131"/>
        <w:jc w:val="both"/>
      </w:pPr>
      <w:r>
        <w:rPr/>
        <w:t>Prices</w:t>
      </w:r>
      <w:r>
        <w:rPr>
          <w:spacing w:val="-25"/>
        </w:rPr>
        <w:t> </w:t>
      </w:r>
      <w:r>
        <w:rPr/>
        <w:t>on</w:t>
      </w:r>
      <w:r>
        <w:rPr>
          <w:spacing w:val="-25"/>
        </w:rPr>
        <w:t> </w:t>
      </w:r>
      <w:r>
        <w:rPr/>
        <w:t>the</w:t>
      </w:r>
      <w:r>
        <w:rPr>
          <w:spacing w:val="-26"/>
        </w:rPr>
        <w:t> </w:t>
      </w:r>
      <w:r>
        <w:rPr/>
        <w:t>black</w:t>
      </w:r>
      <w:r>
        <w:rPr>
          <w:spacing w:val="-25"/>
        </w:rPr>
        <w:t> </w:t>
      </w:r>
      <w:r>
        <w:rPr/>
        <w:t>market</w:t>
      </w:r>
      <w:r>
        <w:rPr>
          <w:spacing w:val="-24"/>
        </w:rPr>
        <w:t> </w:t>
      </w:r>
      <w:r>
        <w:rPr/>
        <w:t>are</w:t>
      </w:r>
      <w:r>
        <w:rPr>
          <w:spacing w:val="-25"/>
        </w:rPr>
        <w:t> </w:t>
      </w:r>
      <w:r>
        <w:rPr/>
        <w:t>sometimes</w:t>
      </w:r>
      <w:r>
        <w:rPr>
          <w:spacing w:val="-24"/>
        </w:rPr>
        <w:t> </w:t>
      </w:r>
      <w:r>
        <w:rPr/>
        <w:t>exorbitantly</w:t>
      </w:r>
      <w:r>
        <w:rPr>
          <w:spacing w:val="-25"/>
        </w:rPr>
        <w:t> </w:t>
      </w:r>
      <w:r>
        <w:rPr/>
        <w:t>high</w:t>
      </w:r>
      <w:r>
        <w:rPr>
          <w:spacing w:val="-23"/>
        </w:rPr>
        <w:t> </w:t>
      </w:r>
      <w:r>
        <w:rPr/>
        <w:t>and</w:t>
      </w:r>
      <w:r>
        <w:rPr>
          <w:spacing w:val="-25"/>
        </w:rPr>
        <w:t> </w:t>
      </w:r>
      <w:r>
        <w:rPr/>
        <w:t>reliable</w:t>
      </w:r>
      <w:r>
        <w:rPr>
          <w:spacing w:val="-25"/>
        </w:rPr>
        <w:t> </w:t>
      </w:r>
      <w:r>
        <w:rPr/>
        <w:t>sources are difficult to find, even if there are still suppliers on the German-speaking internet. The term ‘germanium’ might be known to a few technologically-in- terested people from the field of microelectronics in the construction of tran- sistors; it should not, however, be confused with ‘</w:t>
      </w:r>
      <w:r>
        <w:rPr>
          <w:u w:val="single"/>
        </w:rPr>
        <w:t>organic</w:t>
      </w:r>
      <w:r>
        <w:rPr/>
        <w:t> germanium’, which refers to an almost miraculous substance which has been the subject of inten- sive scientific and medical research for around 30 years, especially in</w:t>
      </w:r>
      <w:r>
        <w:rPr>
          <w:spacing w:val="-19"/>
        </w:rPr>
        <w:t> </w:t>
      </w:r>
      <w:r>
        <w:rPr/>
        <w:t>Japan.</w:t>
      </w:r>
    </w:p>
    <w:p>
      <w:pPr>
        <w:pStyle w:val="BodyText"/>
        <w:spacing w:line="276" w:lineRule="auto" w:before="241"/>
        <w:ind w:left="616" w:right="137"/>
        <w:jc w:val="both"/>
      </w:pPr>
      <w:r>
        <w:rPr/>
        <w:t>It refers to a mineral, or more precisely a trace element, which, without any side effects, combines amazingly diverse health effects. Without getting into too much detail, it is most likely due to the political structures in our country as well as the excessive lobbying that takes place (in this case by the powerful ‘Big</w:t>
      </w:r>
      <w:r>
        <w:rPr>
          <w:spacing w:val="-9"/>
        </w:rPr>
        <w:t> </w:t>
      </w:r>
      <w:r>
        <w:rPr/>
        <w:t>Pharma’)</w:t>
      </w:r>
      <w:r>
        <w:rPr>
          <w:spacing w:val="-9"/>
        </w:rPr>
        <w:t> </w:t>
      </w:r>
      <w:r>
        <w:rPr/>
        <w:t>that</w:t>
      </w:r>
      <w:r>
        <w:rPr>
          <w:spacing w:val="-8"/>
        </w:rPr>
        <w:t> </w:t>
      </w:r>
      <w:r>
        <w:rPr/>
        <w:t>the</w:t>
      </w:r>
      <w:r>
        <w:rPr>
          <w:spacing w:val="-8"/>
        </w:rPr>
        <w:t> </w:t>
      </w:r>
      <w:r>
        <w:rPr/>
        <w:t>spread</w:t>
      </w:r>
      <w:r>
        <w:rPr>
          <w:spacing w:val="-9"/>
        </w:rPr>
        <w:t> </w:t>
      </w:r>
      <w:r>
        <w:rPr/>
        <w:t>of</w:t>
      </w:r>
      <w:r>
        <w:rPr>
          <w:spacing w:val="-8"/>
        </w:rPr>
        <w:t> </w:t>
      </w:r>
      <w:r>
        <w:rPr/>
        <w:t>information</w:t>
      </w:r>
      <w:r>
        <w:rPr>
          <w:spacing w:val="-9"/>
        </w:rPr>
        <w:t> </w:t>
      </w:r>
      <w:r>
        <w:rPr/>
        <w:t>about</w:t>
      </w:r>
      <w:r>
        <w:rPr>
          <w:spacing w:val="-11"/>
        </w:rPr>
        <w:t> </w:t>
      </w:r>
      <w:r>
        <w:rPr/>
        <w:t>miraculous,</w:t>
      </w:r>
      <w:r>
        <w:rPr>
          <w:spacing w:val="-7"/>
        </w:rPr>
        <w:t> </w:t>
      </w:r>
      <w:r>
        <w:rPr/>
        <w:t>or</w:t>
      </w:r>
      <w:r>
        <w:rPr>
          <w:spacing w:val="-8"/>
        </w:rPr>
        <w:t> </w:t>
      </w:r>
      <w:r>
        <w:rPr/>
        <w:t>at</w:t>
      </w:r>
      <w:r>
        <w:rPr>
          <w:spacing w:val="-10"/>
        </w:rPr>
        <w:t> </w:t>
      </w:r>
      <w:r>
        <w:rPr/>
        <w:t>least</w:t>
      </w:r>
      <w:r>
        <w:rPr>
          <w:spacing w:val="-10"/>
        </w:rPr>
        <w:t> </w:t>
      </w:r>
      <w:r>
        <w:rPr/>
        <w:t>very helpful, natural substances, not to mention the natural substances themselves, along with all available resources, is</w:t>
      </w:r>
      <w:r>
        <w:rPr>
          <w:spacing w:val="-2"/>
        </w:rPr>
        <w:t> </w:t>
      </w:r>
      <w:r>
        <w:rPr/>
        <w:t>prevented.</w:t>
      </w:r>
    </w:p>
    <w:p>
      <w:pPr>
        <w:pStyle w:val="BodyText"/>
        <w:spacing w:line="276" w:lineRule="auto" w:before="240"/>
        <w:ind w:left="616" w:right="132"/>
        <w:jc w:val="both"/>
      </w:pPr>
      <w:r>
        <w:rPr/>
        <w:t>A prime example of this is organic germanium, the very existence of which your doctor will not have heard of, if he has not coincidentally completed his medical studies in Japan. But back to organic germanium! While minerals and trace elements like zinc, selenium, iron, chrome, manganese, magnesium and</w:t>
      </w:r>
    </w:p>
    <w:p>
      <w:pPr>
        <w:spacing w:after="0" w:line="276" w:lineRule="auto"/>
        <w:jc w:val="both"/>
        <w:sectPr>
          <w:pgSz w:w="14270" w:h="16850"/>
          <w:pgMar w:header="0" w:footer="1891" w:top="1340" w:bottom="2080" w:left="800" w:right="1280"/>
        </w:sectPr>
      </w:pPr>
    </w:p>
    <w:p>
      <w:pPr>
        <w:pStyle w:val="BodyText"/>
        <w:spacing w:line="276" w:lineRule="auto" w:before="72"/>
        <w:ind w:left="616" w:right="133"/>
        <w:jc w:val="both"/>
      </w:pPr>
      <w:r>
        <w:rPr/>
        <w:t>even, in the latest research, silicon have justifiably received recognition in sci- entific circles in our country, organic germanium has not only, to date, led an outsider existence in central Europe and the United States – it is even prohib- ited in our own country, which is truly shocking when you become aware of its tremendous</w:t>
      </w:r>
    </w:p>
    <w:p>
      <w:pPr>
        <w:pStyle w:val="ListParagraph"/>
        <w:numPr>
          <w:ilvl w:val="0"/>
          <w:numId w:val="80"/>
        </w:numPr>
        <w:tabs>
          <w:tab w:pos="1032" w:val="left" w:leader="none"/>
        </w:tabs>
        <w:spacing w:line="240" w:lineRule="auto" w:before="241" w:after="0"/>
        <w:ind w:left="1036" w:right="0" w:hanging="420"/>
        <w:jc w:val="both"/>
        <w:rPr>
          <w:sz w:val="38"/>
        </w:rPr>
      </w:pPr>
      <w:r>
        <w:rPr>
          <w:sz w:val="38"/>
        </w:rPr>
        <w:t>immune system stimulating,</w:t>
      </w:r>
    </w:p>
    <w:p>
      <w:pPr>
        <w:pStyle w:val="ListParagraph"/>
        <w:numPr>
          <w:ilvl w:val="0"/>
          <w:numId w:val="80"/>
        </w:numPr>
        <w:tabs>
          <w:tab w:pos="1032" w:val="left" w:leader="none"/>
        </w:tabs>
        <w:spacing w:line="240" w:lineRule="auto" w:before="66" w:after="0"/>
        <w:ind w:left="1036" w:right="0" w:hanging="420"/>
        <w:jc w:val="both"/>
        <w:rPr>
          <w:sz w:val="38"/>
        </w:rPr>
      </w:pPr>
      <w:r>
        <w:rPr>
          <w:sz w:val="38"/>
        </w:rPr>
        <w:t>oxygen</w:t>
      </w:r>
      <w:r>
        <w:rPr>
          <w:spacing w:val="-3"/>
          <w:sz w:val="38"/>
        </w:rPr>
        <w:t> </w:t>
      </w:r>
      <w:r>
        <w:rPr>
          <w:sz w:val="38"/>
        </w:rPr>
        <w:t>enriching,</w:t>
      </w:r>
    </w:p>
    <w:p>
      <w:pPr>
        <w:pStyle w:val="ListParagraph"/>
        <w:numPr>
          <w:ilvl w:val="0"/>
          <w:numId w:val="80"/>
        </w:numPr>
        <w:tabs>
          <w:tab w:pos="1032" w:val="left" w:leader="none"/>
        </w:tabs>
        <w:spacing w:line="240" w:lineRule="auto" w:before="64" w:after="0"/>
        <w:ind w:left="1036" w:right="0" w:hanging="420"/>
        <w:jc w:val="both"/>
        <w:rPr>
          <w:sz w:val="38"/>
        </w:rPr>
      </w:pPr>
      <w:r>
        <w:rPr>
          <w:sz w:val="38"/>
        </w:rPr>
        <w:t>detoxifying,</w:t>
      </w:r>
    </w:p>
    <w:p>
      <w:pPr>
        <w:pStyle w:val="ListParagraph"/>
        <w:numPr>
          <w:ilvl w:val="0"/>
          <w:numId w:val="80"/>
        </w:numPr>
        <w:tabs>
          <w:tab w:pos="1032" w:val="left" w:leader="none"/>
        </w:tabs>
        <w:spacing w:line="240" w:lineRule="auto" w:before="64" w:after="0"/>
        <w:ind w:left="1036" w:right="0" w:hanging="420"/>
        <w:jc w:val="both"/>
        <w:rPr>
          <w:sz w:val="38"/>
        </w:rPr>
      </w:pPr>
      <w:r>
        <w:rPr>
          <w:sz w:val="38"/>
        </w:rPr>
        <w:t>antiviral and</w:t>
      </w:r>
      <w:r>
        <w:rPr>
          <w:spacing w:val="-2"/>
          <w:sz w:val="38"/>
        </w:rPr>
        <w:t> </w:t>
      </w:r>
      <w:r>
        <w:rPr>
          <w:sz w:val="38"/>
        </w:rPr>
        <w:t>antifungal,</w:t>
      </w:r>
    </w:p>
    <w:p>
      <w:pPr>
        <w:pStyle w:val="ListParagraph"/>
        <w:numPr>
          <w:ilvl w:val="0"/>
          <w:numId w:val="80"/>
        </w:numPr>
        <w:tabs>
          <w:tab w:pos="1032" w:val="left" w:leader="none"/>
        </w:tabs>
        <w:spacing w:line="240" w:lineRule="auto" w:before="63" w:after="0"/>
        <w:ind w:left="1036" w:right="0" w:hanging="420"/>
        <w:jc w:val="both"/>
        <w:rPr>
          <w:sz w:val="38"/>
        </w:rPr>
      </w:pPr>
      <w:r>
        <w:rPr>
          <w:sz w:val="38"/>
        </w:rPr>
        <w:t>anti-radiative and</w:t>
      </w:r>
      <w:r>
        <w:rPr>
          <w:spacing w:val="1"/>
          <w:sz w:val="38"/>
        </w:rPr>
        <w:t> </w:t>
      </w:r>
      <w:r>
        <w:rPr>
          <w:sz w:val="38"/>
        </w:rPr>
        <w:t>anti-mutational,</w:t>
      </w:r>
    </w:p>
    <w:p>
      <w:pPr>
        <w:pStyle w:val="ListParagraph"/>
        <w:numPr>
          <w:ilvl w:val="0"/>
          <w:numId w:val="80"/>
        </w:numPr>
        <w:tabs>
          <w:tab w:pos="1032" w:val="left" w:leader="none"/>
        </w:tabs>
        <w:spacing w:line="240" w:lineRule="auto" w:before="66" w:after="0"/>
        <w:ind w:left="1036" w:right="0" w:hanging="420"/>
        <w:jc w:val="both"/>
        <w:rPr>
          <w:sz w:val="38"/>
        </w:rPr>
      </w:pPr>
      <w:r>
        <w:rPr>
          <w:sz w:val="38"/>
        </w:rPr>
        <w:t>and pain</w:t>
      </w:r>
      <w:r>
        <w:rPr>
          <w:spacing w:val="-1"/>
          <w:sz w:val="38"/>
        </w:rPr>
        <w:t> </w:t>
      </w:r>
      <w:r>
        <w:rPr>
          <w:sz w:val="38"/>
        </w:rPr>
        <w:t>relieving</w:t>
      </w:r>
    </w:p>
    <w:p>
      <w:pPr>
        <w:pStyle w:val="BodyText"/>
        <w:spacing w:line="276" w:lineRule="auto" w:before="302"/>
        <w:ind w:left="616" w:right="133"/>
        <w:jc w:val="both"/>
      </w:pPr>
      <w:r>
        <w:rPr/>
        <w:t>properties – researched and described in countless scientific papers and stud- ies. Accompany us on a journey of exploration of one of the most repressed and unrecognised health supplements of our era and get to know an ‘all- rounder’</w:t>
      </w:r>
      <w:r>
        <w:rPr>
          <w:spacing w:val="-10"/>
        </w:rPr>
        <w:t> </w:t>
      </w:r>
      <w:r>
        <w:rPr/>
        <w:t>that</w:t>
      </w:r>
      <w:r>
        <w:rPr>
          <w:spacing w:val="-11"/>
        </w:rPr>
        <w:t> </w:t>
      </w:r>
      <w:r>
        <w:rPr/>
        <w:t>knows,</w:t>
      </w:r>
      <w:r>
        <w:rPr>
          <w:spacing w:val="-9"/>
        </w:rPr>
        <w:t> </w:t>
      </w:r>
      <w:r>
        <w:rPr/>
        <w:t>due</w:t>
      </w:r>
      <w:r>
        <w:rPr>
          <w:spacing w:val="-12"/>
        </w:rPr>
        <w:t> </w:t>
      </w:r>
      <w:r>
        <w:rPr/>
        <w:t>to</w:t>
      </w:r>
      <w:r>
        <w:rPr>
          <w:spacing w:val="-10"/>
        </w:rPr>
        <w:t> </w:t>
      </w:r>
      <w:r>
        <w:rPr/>
        <w:t>its</w:t>
      </w:r>
      <w:r>
        <w:rPr>
          <w:spacing w:val="-10"/>
        </w:rPr>
        <w:t> </w:t>
      </w:r>
      <w:r>
        <w:rPr/>
        <w:t>broad</w:t>
      </w:r>
      <w:r>
        <w:rPr>
          <w:spacing w:val="-12"/>
        </w:rPr>
        <w:t> </w:t>
      </w:r>
      <w:r>
        <w:rPr/>
        <w:t>range</w:t>
      </w:r>
      <w:r>
        <w:rPr>
          <w:spacing w:val="-10"/>
        </w:rPr>
        <w:t> </w:t>
      </w:r>
      <w:r>
        <w:rPr/>
        <w:t>of</w:t>
      </w:r>
      <w:r>
        <w:rPr>
          <w:spacing w:val="-9"/>
        </w:rPr>
        <w:t> </w:t>
      </w:r>
      <w:r>
        <w:rPr/>
        <w:t>effects,</w:t>
      </w:r>
      <w:r>
        <w:rPr>
          <w:spacing w:val="-9"/>
        </w:rPr>
        <w:t> </w:t>
      </w:r>
      <w:r>
        <w:rPr/>
        <w:t>how</w:t>
      </w:r>
      <w:r>
        <w:rPr>
          <w:spacing w:val="-11"/>
        </w:rPr>
        <w:t> </w:t>
      </w:r>
      <w:r>
        <w:rPr/>
        <w:t>to</w:t>
      </w:r>
      <w:r>
        <w:rPr>
          <w:spacing w:val="-10"/>
        </w:rPr>
        <w:t> </w:t>
      </w:r>
      <w:r>
        <w:rPr/>
        <w:t>treat</w:t>
      </w:r>
      <w:r>
        <w:rPr>
          <w:spacing w:val="-11"/>
        </w:rPr>
        <w:t> </w:t>
      </w:r>
      <w:r>
        <w:rPr/>
        <w:t>a</w:t>
      </w:r>
      <w:r>
        <w:rPr>
          <w:spacing w:val="-11"/>
        </w:rPr>
        <w:t> </w:t>
      </w:r>
      <w:r>
        <w:rPr/>
        <w:t>variety</w:t>
      </w:r>
      <w:r>
        <w:rPr>
          <w:spacing w:val="-10"/>
        </w:rPr>
        <w:t> </w:t>
      </w:r>
      <w:r>
        <w:rPr/>
        <w:t>of illnesses, from the simple flu to circulatory system disturbances and arthritis, all the way to illnesses like cancer or even AIDS , a full list of which would extend far beyond the limits of this</w:t>
      </w:r>
      <w:r>
        <w:rPr>
          <w:spacing w:val="4"/>
        </w:rPr>
        <w:t> </w:t>
      </w:r>
      <w:r>
        <w:rPr/>
        <w:t>preface!</w:t>
      </w:r>
    </w:p>
    <w:p>
      <w:pPr>
        <w:pStyle w:val="BodyText"/>
        <w:spacing w:before="241"/>
        <w:ind w:left="616"/>
      </w:pPr>
      <w:r>
        <w:rPr/>
        <w:t>Discovery of organic germanium</w:t>
      </w:r>
    </w:p>
    <w:p>
      <w:pPr>
        <w:pStyle w:val="BodyText"/>
        <w:spacing w:line="276" w:lineRule="auto" w:before="305"/>
        <w:ind w:left="616" w:right="135"/>
        <w:jc w:val="both"/>
      </w:pPr>
      <w:r>
        <w:rPr/>
        <w:t>As</w:t>
      </w:r>
      <w:r>
        <w:rPr>
          <w:spacing w:val="-11"/>
        </w:rPr>
        <w:t> </w:t>
      </w:r>
      <w:r>
        <w:rPr/>
        <w:t>mentioned</w:t>
      </w:r>
      <w:r>
        <w:rPr>
          <w:spacing w:val="-10"/>
        </w:rPr>
        <w:t> </w:t>
      </w:r>
      <w:r>
        <w:rPr/>
        <w:t>in</w:t>
      </w:r>
      <w:r>
        <w:rPr>
          <w:spacing w:val="-11"/>
        </w:rPr>
        <w:t> </w:t>
      </w:r>
      <w:r>
        <w:rPr/>
        <w:t>the</w:t>
      </w:r>
      <w:r>
        <w:rPr>
          <w:spacing w:val="-10"/>
        </w:rPr>
        <w:t> </w:t>
      </w:r>
      <w:r>
        <w:rPr/>
        <w:t>preface,</w:t>
      </w:r>
      <w:r>
        <w:rPr>
          <w:spacing w:val="-10"/>
        </w:rPr>
        <w:t> </w:t>
      </w:r>
      <w:r>
        <w:rPr/>
        <w:t>we</w:t>
      </w:r>
      <w:r>
        <w:rPr>
          <w:spacing w:val="-14"/>
        </w:rPr>
        <w:t> </w:t>
      </w:r>
      <w:r>
        <w:rPr/>
        <w:t>must</w:t>
      </w:r>
      <w:r>
        <w:rPr>
          <w:spacing w:val="-11"/>
        </w:rPr>
        <w:t> </w:t>
      </w:r>
      <w:r>
        <w:rPr/>
        <w:t>very</w:t>
      </w:r>
      <w:r>
        <w:rPr>
          <w:spacing w:val="-10"/>
        </w:rPr>
        <w:t> </w:t>
      </w:r>
      <w:r>
        <w:rPr/>
        <w:t>clearly</w:t>
      </w:r>
      <w:r>
        <w:rPr>
          <w:spacing w:val="-8"/>
        </w:rPr>
        <w:t> </w:t>
      </w:r>
      <w:r>
        <w:rPr/>
        <w:t>distinguish</w:t>
      </w:r>
      <w:r>
        <w:rPr>
          <w:spacing w:val="-10"/>
        </w:rPr>
        <w:t> </w:t>
      </w:r>
      <w:r>
        <w:rPr/>
        <w:t>between</w:t>
      </w:r>
      <w:r>
        <w:rPr>
          <w:spacing w:val="-10"/>
        </w:rPr>
        <w:t> </w:t>
      </w:r>
      <w:r>
        <w:rPr/>
        <w:t>‘germa- nium’ and ‘organic germanium’, even if they are related to each other.</w:t>
      </w:r>
      <w:r>
        <w:rPr>
          <w:spacing w:val="-57"/>
        </w:rPr>
        <w:t> </w:t>
      </w:r>
      <w:r>
        <w:rPr/>
        <w:t>Germa- nium</w:t>
      </w:r>
      <w:r>
        <w:rPr>
          <w:spacing w:val="9"/>
        </w:rPr>
        <w:t> </w:t>
      </w:r>
      <w:r>
        <w:rPr/>
        <w:t>is,</w:t>
      </w:r>
      <w:r>
        <w:rPr>
          <w:spacing w:val="10"/>
        </w:rPr>
        <w:t> </w:t>
      </w:r>
      <w:r>
        <w:rPr/>
        <w:t>first</w:t>
      </w:r>
      <w:r>
        <w:rPr>
          <w:spacing w:val="10"/>
        </w:rPr>
        <w:t> </w:t>
      </w:r>
      <w:r>
        <w:rPr/>
        <w:t>of</w:t>
      </w:r>
      <w:r>
        <w:rPr>
          <w:spacing w:val="10"/>
        </w:rPr>
        <w:t> </w:t>
      </w:r>
      <w:r>
        <w:rPr/>
        <w:t>all,</w:t>
      </w:r>
      <w:r>
        <w:rPr>
          <w:spacing w:val="11"/>
        </w:rPr>
        <w:t> </w:t>
      </w:r>
      <w:r>
        <w:rPr/>
        <w:t>a</w:t>
      </w:r>
      <w:r>
        <w:rPr>
          <w:spacing w:val="9"/>
        </w:rPr>
        <w:t> </w:t>
      </w:r>
      <w:r>
        <w:rPr/>
        <w:t>metalloid</w:t>
      </w:r>
      <w:r>
        <w:rPr>
          <w:spacing w:val="12"/>
        </w:rPr>
        <w:t> </w:t>
      </w:r>
      <w:r>
        <w:rPr/>
        <w:t>with</w:t>
      </w:r>
      <w:r>
        <w:rPr>
          <w:spacing w:val="10"/>
        </w:rPr>
        <w:t> </w:t>
      </w:r>
      <w:r>
        <w:rPr/>
        <w:t>the</w:t>
      </w:r>
      <w:r>
        <w:rPr>
          <w:spacing w:val="11"/>
        </w:rPr>
        <w:t> </w:t>
      </w:r>
      <w:r>
        <w:rPr/>
        <w:t>atomic</w:t>
      </w:r>
      <w:r>
        <w:rPr>
          <w:spacing w:val="12"/>
        </w:rPr>
        <w:t> </w:t>
      </w:r>
      <w:r>
        <w:rPr/>
        <w:t>number</w:t>
      </w:r>
      <w:r>
        <w:rPr>
          <w:spacing w:val="19"/>
        </w:rPr>
        <w:t> </w:t>
      </w:r>
      <w:r>
        <w:rPr/>
        <w:t>32,</w:t>
      </w:r>
      <w:r>
        <w:rPr>
          <w:spacing w:val="11"/>
        </w:rPr>
        <w:t> </w:t>
      </w:r>
      <w:r>
        <w:rPr/>
        <w:t>an</w:t>
      </w:r>
      <w:r>
        <w:rPr>
          <w:spacing w:val="10"/>
        </w:rPr>
        <w:t> </w:t>
      </w:r>
      <w:r>
        <w:rPr/>
        <w:t>atomic</w:t>
      </w:r>
      <w:r>
        <w:rPr>
          <w:spacing w:val="11"/>
        </w:rPr>
        <w:t> </w:t>
      </w:r>
      <w:r>
        <w:rPr/>
        <w:t>weight</w:t>
      </w:r>
    </w:p>
    <w:p>
      <w:pPr>
        <w:spacing w:after="0" w:line="276" w:lineRule="auto"/>
        <w:jc w:val="both"/>
        <w:sectPr>
          <w:pgSz w:w="14270" w:h="16850"/>
          <w:pgMar w:header="0" w:footer="1891" w:top="1340" w:bottom="2080" w:left="800" w:right="1280"/>
        </w:sectPr>
      </w:pPr>
    </w:p>
    <w:p>
      <w:pPr>
        <w:pStyle w:val="BodyText"/>
        <w:spacing w:line="276" w:lineRule="auto" w:before="72"/>
        <w:ind w:left="616" w:right="130"/>
        <w:jc w:val="both"/>
      </w:pPr>
      <w:r>
        <w:rPr/>
        <w:t>of 72.60 and a density of 5.36 g/cm</w:t>
      </w:r>
      <w:r>
        <w:rPr>
          <w:position w:val="9"/>
          <w:sz w:val="25"/>
        </w:rPr>
        <w:t>3. </w:t>
      </w:r>
      <w:r>
        <w:rPr/>
        <w:t>Germanium is found in low concentra- tions in zinc, lead and copper as well as in several types of carbon. Already about 130 years ago, the Russian Chemist Dimitri Mendeleev, the inventor of the periodic table, predicted the existence of the element ‘Germanium’. The element owes the name ‘germanium’ to the Chemist Clemens Winkler, who discovered the predicted element during an analysis of silver ore. Because Winker was German, he decided to name the element ‘germanium’ in honour of</w:t>
      </w:r>
      <w:r>
        <w:rPr>
          <w:spacing w:val="-19"/>
        </w:rPr>
        <w:t> </w:t>
      </w:r>
      <w:r>
        <w:rPr/>
        <w:t>his</w:t>
      </w:r>
      <w:r>
        <w:rPr>
          <w:spacing w:val="-21"/>
        </w:rPr>
        <w:t> </w:t>
      </w:r>
      <w:r>
        <w:rPr/>
        <w:t>homeland.</w:t>
      </w:r>
      <w:r>
        <w:rPr>
          <w:spacing w:val="-19"/>
        </w:rPr>
        <w:t> </w:t>
      </w:r>
      <w:r>
        <w:rPr/>
        <w:t>An</w:t>
      </w:r>
      <w:r>
        <w:rPr>
          <w:spacing w:val="-18"/>
        </w:rPr>
        <w:t> </w:t>
      </w:r>
      <w:r>
        <w:rPr/>
        <w:t>element</w:t>
      </w:r>
      <w:r>
        <w:rPr>
          <w:spacing w:val="-21"/>
        </w:rPr>
        <w:t> </w:t>
      </w:r>
      <w:r>
        <w:rPr/>
        <w:t>was</w:t>
      </w:r>
      <w:r>
        <w:rPr>
          <w:spacing w:val="-18"/>
        </w:rPr>
        <w:t> </w:t>
      </w:r>
      <w:r>
        <w:rPr/>
        <w:t>discovered,</w:t>
      </w:r>
      <w:r>
        <w:rPr>
          <w:spacing w:val="-20"/>
        </w:rPr>
        <w:t> </w:t>
      </w:r>
      <w:r>
        <w:rPr/>
        <w:t>the</w:t>
      </w:r>
      <w:r>
        <w:rPr>
          <w:spacing w:val="-20"/>
        </w:rPr>
        <w:t> </w:t>
      </w:r>
      <w:r>
        <w:rPr/>
        <w:t>use</w:t>
      </w:r>
      <w:r>
        <w:rPr>
          <w:spacing w:val="-19"/>
        </w:rPr>
        <w:t> </w:t>
      </w:r>
      <w:r>
        <w:rPr/>
        <w:t>of</w:t>
      </w:r>
      <w:r>
        <w:rPr>
          <w:spacing w:val="-18"/>
        </w:rPr>
        <w:t> </w:t>
      </w:r>
      <w:r>
        <w:rPr/>
        <w:t>which,</w:t>
      </w:r>
      <w:r>
        <w:rPr>
          <w:spacing w:val="-20"/>
        </w:rPr>
        <w:t> </w:t>
      </w:r>
      <w:r>
        <w:rPr/>
        <w:t>however,</w:t>
      </w:r>
      <w:r>
        <w:rPr>
          <w:spacing w:val="-17"/>
        </w:rPr>
        <w:t> </w:t>
      </w:r>
      <w:r>
        <w:rPr/>
        <w:t>could not yet really have been appreciated at the time. The next 60 years saw mod- erate</w:t>
      </w:r>
      <w:r>
        <w:rPr>
          <w:spacing w:val="-13"/>
        </w:rPr>
        <w:t> </w:t>
      </w:r>
      <w:r>
        <w:rPr/>
        <w:t>to</w:t>
      </w:r>
      <w:r>
        <w:rPr>
          <w:spacing w:val="-10"/>
        </w:rPr>
        <w:t> </w:t>
      </w:r>
      <w:r>
        <w:rPr/>
        <w:t>little</w:t>
      </w:r>
      <w:r>
        <w:rPr>
          <w:spacing w:val="-11"/>
        </w:rPr>
        <w:t> </w:t>
      </w:r>
      <w:r>
        <w:rPr/>
        <w:t>interest</w:t>
      </w:r>
      <w:r>
        <w:rPr>
          <w:spacing w:val="-11"/>
        </w:rPr>
        <w:t> </w:t>
      </w:r>
      <w:r>
        <w:rPr/>
        <w:t>in</w:t>
      </w:r>
      <w:r>
        <w:rPr>
          <w:spacing w:val="-11"/>
        </w:rPr>
        <w:t> </w:t>
      </w:r>
      <w:r>
        <w:rPr/>
        <w:t>the</w:t>
      </w:r>
      <w:r>
        <w:rPr>
          <w:spacing w:val="-12"/>
        </w:rPr>
        <w:t> </w:t>
      </w:r>
      <w:r>
        <w:rPr/>
        <w:t>newly</w:t>
      </w:r>
      <w:r>
        <w:rPr>
          <w:spacing w:val="-11"/>
        </w:rPr>
        <w:t> </w:t>
      </w:r>
      <w:r>
        <w:rPr/>
        <w:t>discovered</w:t>
      </w:r>
      <w:r>
        <w:rPr>
          <w:spacing w:val="-11"/>
        </w:rPr>
        <w:t> </w:t>
      </w:r>
      <w:r>
        <w:rPr/>
        <w:t>element</w:t>
      </w:r>
      <w:r>
        <w:rPr>
          <w:spacing w:val="-11"/>
        </w:rPr>
        <w:t> </w:t>
      </w:r>
      <w:r>
        <w:rPr/>
        <w:t>‘germanium’.</w:t>
      </w:r>
      <w:r>
        <w:rPr>
          <w:spacing w:val="-10"/>
        </w:rPr>
        <w:t> </w:t>
      </w:r>
      <w:r>
        <w:rPr/>
        <w:t>Around</w:t>
      </w:r>
      <w:r>
        <w:rPr>
          <w:spacing w:val="-12"/>
        </w:rPr>
        <w:t> </w:t>
      </w:r>
      <w:r>
        <w:rPr/>
        <w:t>60 years</w:t>
      </w:r>
      <w:r>
        <w:rPr>
          <w:spacing w:val="-13"/>
        </w:rPr>
        <w:t> </w:t>
      </w:r>
      <w:r>
        <w:rPr/>
        <w:t>later,</w:t>
      </w:r>
      <w:r>
        <w:rPr>
          <w:spacing w:val="-14"/>
        </w:rPr>
        <w:t> </w:t>
      </w:r>
      <w:r>
        <w:rPr/>
        <w:t>Shockley,</w:t>
      </w:r>
      <w:r>
        <w:rPr>
          <w:spacing w:val="-14"/>
        </w:rPr>
        <w:t> </w:t>
      </w:r>
      <w:r>
        <w:rPr/>
        <w:t>Brittain</w:t>
      </w:r>
      <w:r>
        <w:rPr>
          <w:spacing w:val="-13"/>
        </w:rPr>
        <w:t> </w:t>
      </w:r>
      <w:r>
        <w:rPr/>
        <w:t>and</w:t>
      </w:r>
      <w:r>
        <w:rPr>
          <w:spacing w:val="-14"/>
        </w:rPr>
        <w:t> </w:t>
      </w:r>
      <w:r>
        <w:rPr/>
        <w:t>Bardeen</w:t>
      </w:r>
      <w:r>
        <w:rPr>
          <w:spacing w:val="-13"/>
        </w:rPr>
        <w:t> </w:t>
      </w:r>
      <w:r>
        <w:rPr/>
        <w:t>discovered</w:t>
      </w:r>
      <w:r>
        <w:rPr>
          <w:spacing w:val="-14"/>
        </w:rPr>
        <w:t> </w:t>
      </w:r>
      <w:r>
        <w:rPr/>
        <w:t>the</w:t>
      </w:r>
      <w:r>
        <w:rPr>
          <w:spacing w:val="-12"/>
        </w:rPr>
        <w:t> </w:t>
      </w:r>
      <w:r>
        <w:rPr/>
        <w:t>usefulness</w:t>
      </w:r>
      <w:r>
        <w:rPr>
          <w:spacing w:val="-13"/>
        </w:rPr>
        <w:t> </w:t>
      </w:r>
      <w:r>
        <w:rPr/>
        <w:t>of</w:t>
      </w:r>
      <w:r>
        <w:rPr>
          <w:spacing w:val="-16"/>
        </w:rPr>
        <w:t> </w:t>
      </w:r>
      <w:r>
        <w:rPr/>
        <w:t>germa- nium from American telephone laboratories due to its semiconductor proper- ties</w:t>
      </w:r>
      <w:r>
        <w:rPr>
          <w:spacing w:val="-23"/>
        </w:rPr>
        <w:t> </w:t>
      </w:r>
      <w:r>
        <w:rPr/>
        <w:t>in</w:t>
      </w:r>
      <w:r>
        <w:rPr>
          <w:spacing w:val="-23"/>
        </w:rPr>
        <w:t> </w:t>
      </w:r>
      <w:r>
        <w:rPr/>
        <w:t>the</w:t>
      </w:r>
      <w:r>
        <w:rPr>
          <w:spacing w:val="-22"/>
        </w:rPr>
        <w:t> </w:t>
      </w:r>
      <w:r>
        <w:rPr/>
        <w:t>development</w:t>
      </w:r>
      <w:r>
        <w:rPr>
          <w:spacing w:val="-24"/>
        </w:rPr>
        <w:t> </w:t>
      </w:r>
      <w:r>
        <w:rPr/>
        <w:t>of</w:t>
      </w:r>
      <w:r>
        <w:rPr>
          <w:spacing w:val="-22"/>
        </w:rPr>
        <w:t> </w:t>
      </w:r>
      <w:r>
        <w:rPr/>
        <w:t>transistors</w:t>
      </w:r>
      <w:r>
        <w:rPr>
          <w:spacing w:val="-23"/>
        </w:rPr>
        <w:t> </w:t>
      </w:r>
      <w:r>
        <w:rPr/>
        <w:t>and</w:t>
      </w:r>
      <w:r>
        <w:rPr>
          <w:spacing w:val="-23"/>
        </w:rPr>
        <w:t> </w:t>
      </w:r>
      <w:r>
        <w:rPr/>
        <w:t>diodes.</w:t>
      </w:r>
      <w:r>
        <w:rPr>
          <w:spacing w:val="-25"/>
        </w:rPr>
        <w:t> </w:t>
      </w:r>
      <w:r>
        <w:rPr/>
        <w:t>This</w:t>
      </w:r>
      <w:r>
        <w:rPr>
          <w:spacing w:val="-22"/>
        </w:rPr>
        <w:t> </w:t>
      </w:r>
      <w:r>
        <w:rPr/>
        <w:t>should</w:t>
      </w:r>
      <w:r>
        <w:rPr>
          <w:spacing w:val="-25"/>
        </w:rPr>
        <w:t> </w:t>
      </w:r>
      <w:r>
        <w:rPr/>
        <w:t>have</w:t>
      </w:r>
      <w:r>
        <w:rPr>
          <w:spacing w:val="-22"/>
        </w:rPr>
        <w:t> </w:t>
      </w:r>
      <w:r>
        <w:rPr/>
        <w:t>represented a milestone in the development of modern</w:t>
      </w:r>
      <w:r>
        <w:rPr>
          <w:spacing w:val="1"/>
        </w:rPr>
        <w:t> </w:t>
      </w:r>
      <w:r>
        <w:rPr/>
        <w:t>civilisation.</w:t>
      </w:r>
    </w:p>
    <w:p>
      <w:pPr>
        <w:pStyle w:val="BodyText"/>
        <w:spacing w:line="276" w:lineRule="auto" w:before="244"/>
        <w:ind w:left="616" w:right="132"/>
        <w:jc w:val="both"/>
      </w:pPr>
      <w:r>
        <w:rPr/>
        <w:t>The</w:t>
      </w:r>
      <w:r>
        <w:rPr>
          <w:spacing w:val="-9"/>
        </w:rPr>
        <w:t> </w:t>
      </w:r>
      <w:r>
        <w:rPr/>
        <w:t>inestimable</w:t>
      </w:r>
      <w:r>
        <w:rPr>
          <w:spacing w:val="-9"/>
        </w:rPr>
        <w:t> </w:t>
      </w:r>
      <w:r>
        <w:rPr/>
        <w:t>usefulness</w:t>
      </w:r>
      <w:r>
        <w:rPr>
          <w:spacing w:val="-9"/>
        </w:rPr>
        <w:t> </w:t>
      </w:r>
      <w:r>
        <w:rPr/>
        <w:t>of</w:t>
      </w:r>
      <w:r>
        <w:rPr>
          <w:spacing w:val="-9"/>
        </w:rPr>
        <w:t> </w:t>
      </w:r>
      <w:r>
        <w:rPr/>
        <w:t>germanium</w:t>
      </w:r>
      <w:r>
        <w:rPr>
          <w:spacing w:val="-10"/>
        </w:rPr>
        <w:t> </w:t>
      </w:r>
      <w:r>
        <w:rPr/>
        <w:t>for</w:t>
      </w:r>
      <w:r>
        <w:rPr>
          <w:spacing w:val="-8"/>
        </w:rPr>
        <w:t> </w:t>
      </w:r>
      <w:r>
        <w:rPr/>
        <w:t>technology</w:t>
      </w:r>
      <w:r>
        <w:rPr>
          <w:spacing w:val="-9"/>
        </w:rPr>
        <w:t> </w:t>
      </w:r>
      <w:r>
        <w:rPr/>
        <w:t>seemed</w:t>
      </w:r>
      <w:r>
        <w:rPr>
          <w:spacing w:val="-14"/>
        </w:rPr>
        <w:t> </w:t>
      </w:r>
      <w:r>
        <w:rPr/>
        <w:t>obvious,</w:t>
      </w:r>
      <w:r>
        <w:rPr>
          <w:spacing w:val="-8"/>
        </w:rPr>
        <w:t> </w:t>
      </w:r>
      <w:r>
        <w:rPr/>
        <w:t>but a connection to organic germanium, i.e. its biochemical relation, which would later cause a sensation in the medical world, was not at all yet present at the time. The qualities which helped provide germanium in semiconductors with its worldwide success were already making the later discoverer of organic ger- manium, Dr. Asai,</w:t>
      </w:r>
      <w:r>
        <w:rPr>
          <w:spacing w:val="1"/>
        </w:rPr>
        <w:t> </w:t>
      </w:r>
      <w:r>
        <w:rPr/>
        <w:t>wonder.</w:t>
      </w:r>
    </w:p>
    <w:p>
      <w:pPr>
        <w:pStyle w:val="BodyText"/>
        <w:spacing w:line="276" w:lineRule="auto" w:before="240"/>
        <w:ind w:left="616" w:right="132"/>
        <w:jc w:val="both"/>
      </w:pPr>
      <w:r>
        <w:rPr/>
        <w:t>Dr. Asai connected the technological phenomenon known as the ‘+/- hole effect’</w:t>
      </w:r>
      <w:r>
        <w:rPr>
          <w:spacing w:val="-18"/>
        </w:rPr>
        <w:t> </w:t>
      </w:r>
      <w:r>
        <w:rPr/>
        <w:t>with</w:t>
      </w:r>
      <w:r>
        <w:rPr>
          <w:spacing w:val="-18"/>
        </w:rPr>
        <w:t> </w:t>
      </w:r>
      <w:r>
        <w:rPr/>
        <w:t>the</w:t>
      </w:r>
      <w:r>
        <w:rPr>
          <w:spacing w:val="-18"/>
        </w:rPr>
        <w:t> </w:t>
      </w:r>
      <w:r>
        <w:rPr/>
        <w:t>physiological</w:t>
      </w:r>
      <w:r>
        <w:rPr>
          <w:spacing w:val="-19"/>
        </w:rPr>
        <w:t> </w:t>
      </w:r>
      <w:r>
        <w:rPr/>
        <w:t>behaviour</w:t>
      </w:r>
      <w:r>
        <w:rPr>
          <w:spacing w:val="-19"/>
        </w:rPr>
        <w:t> </w:t>
      </w:r>
      <w:r>
        <w:rPr/>
        <w:t>of</w:t>
      </w:r>
      <w:r>
        <w:rPr>
          <w:spacing w:val="-19"/>
        </w:rPr>
        <w:t> </w:t>
      </w:r>
      <w:r>
        <w:rPr/>
        <w:t>the</w:t>
      </w:r>
      <w:r>
        <w:rPr>
          <w:spacing w:val="-18"/>
        </w:rPr>
        <w:t> </w:t>
      </w:r>
      <w:r>
        <w:rPr/>
        <w:t>human</w:t>
      </w:r>
      <w:r>
        <w:rPr>
          <w:spacing w:val="-18"/>
        </w:rPr>
        <w:t> </w:t>
      </w:r>
      <w:r>
        <w:rPr/>
        <w:t>body,</w:t>
      </w:r>
      <w:r>
        <w:rPr>
          <w:spacing w:val="-18"/>
        </w:rPr>
        <w:t> </w:t>
      </w:r>
      <w:r>
        <w:rPr/>
        <w:t>which</w:t>
      </w:r>
      <w:r>
        <w:rPr>
          <w:spacing w:val="-18"/>
        </w:rPr>
        <w:t> </w:t>
      </w:r>
      <w:r>
        <w:rPr/>
        <w:t>also</w:t>
      </w:r>
      <w:r>
        <w:rPr>
          <w:spacing w:val="-18"/>
        </w:rPr>
        <w:t> </w:t>
      </w:r>
      <w:r>
        <w:rPr/>
        <w:t>follows the physical laws of mass. In the ‘+/- hole effect’,</w:t>
      </w:r>
      <w:r>
        <w:rPr>
          <w:spacing w:val="16"/>
        </w:rPr>
        <w:t> </w:t>
      </w:r>
      <w:r>
        <w:rPr/>
        <w:t>four of the 32 electrons of</w:t>
      </w:r>
    </w:p>
    <w:p>
      <w:pPr>
        <w:spacing w:after="0" w:line="276" w:lineRule="auto"/>
        <w:jc w:val="both"/>
        <w:sectPr>
          <w:pgSz w:w="14270" w:h="16850"/>
          <w:pgMar w:header="0" w:footer="1891" w:top="1340" w:bottom="2080" w:left="800" w:right="1280"/>
        </w:sectPr>
      </w:pPr>
    </w:p>
    <w:p>
      <w:pPr>
        <w:pStyle w:val="BodyText"/>
        <w:spacing w:line="276" w:lineRule="auto" w:before="72"/>
        <w:ind w:left="616" w:right="131"/>
        <w:jc w:val="both"/>
      </w:pPr>
      <w:r>
        <w:rPr/>
        <w:t>the outermost surface of the atom are in continual motion and then, due to their</w:t>
      </w:r>
      <w:r>
        <w:rPr>
          <w:spacing w:val="-13"/>
        </w:rPr>
        <w:t> </w:t>
      </w:r>
      <w:r>
        <w:rPr/>
        <w:t>negative</w:t>
      </w:r>
      <w:r>
        <w:rPr>
          <w:spacing w:val="-14"/>
        </w:rPr>
        <w:t> </w:t>
      </w:r>
      <w:r>
        <w:rPr/>
        <w:t>charge,</w:t>
      </w:r>
      <w:r>
        <w:rPr>
          <w:spacing w:val="-12"/>
        </w:rPr>
        <w:t> </w:t>
      </w:r>
      <w:r>
        <w:rPr/>
        <w:t>emit</w:t>
      </w:r>
      <w:r>
        <w:rPr>
          <w:spacing w:val="-14"/>
        </w:rPr>
        <w:t> </w:t>
      </w:r>
      <w:r>
        <w:rPr/>
        <w:t>one</w:t>
      </w:r>
      <w:r>
        <w:rPr>
          <w:spacing w:val="-13"/>
        </w:rPr>
        <w:t> </w:t>
      </w:r>
      <w:r>
        <w:rPr/>
        <w:t>of</w:t>
      </w:r>
      <w:r>
        <w:rPr>
          <w:spacing w:val="-16"/>
        </w:rPr>
        <w:t> </w:t>
      </w:r>
      <w:r>
        <w:rPr/>
        <w:t>the</w:t>
      </w:r>
      <w:r>
        <w:rPr>
          <w:spacing w:val="-12"/>
        </w:rPr>
        <w:t> </w:t>
      </w:r>
      <w:r>
        <w:rPr/>
        <w:t>four</w:t>
      </w:r>
      <w:r>
        <w:rPr>
          <w:spacing w:val="-13"/>
        </w:rPr>
        <w:t> </w:t>
      </w:r>
      <w:r>
        <w:rPr/>
        <w:t>electrons</w:t>
      </w:r>
      <w:r>
        <w:rPr>
          <w:spacing w:val="-13"/>
        </w:rPr>
        <w:t> </w:t>
      </w:r>
      <w:r>
        <w:rPr/>
        <w:t>when</w:t>
      </w:r>
      <w:r>
        <w:rPr>
          <w:spacing w:val="-12"/>
        </w:rPr>
        <w:t> </w:t>
      </w:r>
      <w:r>
        <w:rPr/>
        <w:t>coming</w:t>
      </w:r>
      <w:r>
        <w:rPr>
          <w:spacing w:val="-15"/>
        </w:rPr>
        <w:t> </w:t>
      </w:r>
      <w:r>
        <w:rPr/>
        <w:t>into</w:t>
      </w:r>
      <w:r>
        <w:rPr>
          <w:spacing w:val="-13"/>
        </w:rPr>
        <w:t> </w:t>
      </w:r>
      <w:r>
        <w:rPr/>
        <w:t>contact with a foreign substance, whereby the remaining three electrons are attracted by other atoms in order to restore balance. In 1945, Dr. Asai, entrusted with the establishment of the Carbon Research Foundation, discovered that coal</w:t>
      </w:r>
      <w:r>
        <w:rPr>
          <w:spacing w:val="-69"/>
        </w:rPr>
        <w:t> </w:t>
      </w:r>
      <w:r>
        <w:rPr/>
        <w:t>as well as several plants contained germanium. Asai intuitively researched plants which had been traditionally known for centuries to be highly effective in the treatment of malignant tumours. Next to ginseng, sansukon, shshi, buchsdronsaat and others, the greatest proportion of germanium was to be found in shelf fungi, a type of plant that was already recognised in the past in the struggle against cancer. The further interest of Dr. Asai led him to other plants which were traditionally considered generally beneficial to the health. To his amazement, these also contained a disproportionate amount of (or- ganic)</w:t>
      </w:r>
      <w:r>
        <w:rPr>
          <w:spacing w:val="-2"/>
        </w:rPr>
        <w:t> </w:t>
      </w:r>
      <w:r>
        <w:rPr/>
        <w:t>germanium.</w:t>
      </w:r>
    </w:p>
    <w:p>
      <w:pPr>
        <w:pStyle w:val="Heading2"/>
        <w:spacing w:before="244"/>
        <w:ind w:left="616"/>
      </w:pPr>
      <w:r>
        <w:rPr/>
        <w:t>First experiments with organic germanium</w:t>
      </w:r>
    </w:p>
    <w:p>
      <w:pPr>
        <w:pStyle w:val="BodyText"/>
        <w:spacing w:line="276" w:lineRule="auto" w:before="302"/>
        <w:ind w:left="616" w:right="134"/>
        <w:jc w:val="both"/>
      </w:pPr>
      <w:r>
        <w:rPr/>
        <w:t>Asai conducted the first experiments on living material on the ginseng plant. This species of plant is known for being very demanding and only growing in optimal conditions and with perfect soil conditions. As a general rule, it can take up to 30 years after a harvest until the same soil can produce another harvest.</w:t>
      </w:r>
    </w:p>
    <w:p>
      <w:pPr>
        <w:pStyle w:val="Heading1"/>
        <w:spacing w:before="225"/>
        <w:ind w:left="616"/>
        <w:jc w:val="both"/>
      </w:pPr>
      <w:r>
        <w:rPr/>
        <w:t>The experiment with organic germanium on ginseng</w:t>
      </w:r>
    </w:p>
    <w:p>
      <w:pPr>
        <w:pStyle w:val="BodyText"/>
        <w:spacing w:before="297"/>
        <w:ind w:left="616"/>
        <w:jc w:val="both"/>
      </w:pPr>
      <w:r>
        <w:rPr/>
        <w:t>Dr.</w:t>
      </w:r>
      <w:r>
        <w:rPr>
          <w:spacing w:val="-18"/>
        </w:rPr>
        <w:t> </w:t>
      </w:r>
      <w:r>
        <w:rPr/>
        <w:t>Asai</w:t>
      </w:r>
      <w:r>
        <w:rPr>
          <w:spacing w:val="-18"/>
        </w:rPr>
        <w:t> </w:t>
      </w:r>
      <w:r>
        <w:rPr/>
        <w:t>planted</w:t>
      </w:r>
      <w:r>
        <w:rPr>
          <w:spacing w:val="-19"/>
        </w:rPr>
        <w:t> </w:t>
      </w:r>
      <w:r>
        <w:rPr/>
        <w:t>multiple</w:t>
      </w:r>
      <w:r>
        <w:rPr>
          <w:spacing w:val="-18"/>
        </w:rPr>
        <w:t> </w:t>
      </w:r>
      <w:r>
        <w:rPr/>
        <w:t>8</w:t>
      </w:r>
      <w:r>
        <w:rPr>
          <w:spacing w:val="-19"/>
        </w:rPr>
        <w:t> </w:t>
      </w:r>
      <w:r>
        <w:rPr/>
        <w:t>cm</w:t>
      </w:r>
      <w:r>
        <w:rPr>
          <w:spacing w:val="-17"/>
        </w:rPr>
        <w:t> </w:t>
      </w:r>
      <w:r>
        <w:rPr/>
        <w:t>long</w:t>
      </w:r>
      <w:r>
        <w:rPr>
          <w:spacing w:val="-19"/>
        </w:rPr>
        <w:t> </w:t>
      </w:r>
      <w:r>
        <w:rPr/>
        <w:t>ginseng</w:t>
      </w:r>
      <w:r>
        <w:rPr>
          <w:spacing w:val="-20"/>
        </w:rPr>
        <w:t> </w:t>
      </w:r>
      <w:r>
        <w:rPr/>
        <w:t>sprouts</w:t>
      </w:r>
      <w:r>
        <w:rPr>
          <w:spacing w:val="-18"/>
        </w:rPr>
        <w:t> </w:t>
      </w:r>
      <w:r>
        <w:rPr/>
        <w:t>in</w:t>
      </w:r>
      <w:r>
        <w:rPr>
          <w:spacing w:val="-18"/>
        </w:rPr>
        <w:t> </w:t>
      </w:r>
      <w:r>
        <w:rPr/>
        <w:t>various</w:t>
      </w:r>
      <w:r>
        <w:rPr>
          <w:spacing w:val="-18"/>
        </w:rPr>
        <w:t> </w:t>
      </w:r>
      <w:r>
        <w:rPr/>
        <w:t>containers,</w:t>
      </w:r>
      <w:r>
        <w:rPr>
          <w:spacing w:val="-17"/>
        </w:rPr>
        <w:t> </w:t>
      </w:r>
      <w:r>
        <w:rPr/>
        <w:t>only</w:t>
      </w:r>
    </w:p>
    <w:p>
      <w:pPr>
        <w:spacing w:after="0"/>
        <w:jc w:val="both"/>
        <w:sectPr>
          <w:pgSz w:w="14270" w:h="16850"/>
          <w:pgMar w:header="0" w:footer="1891" w:top="1340" w:bottom="2080" w:left="800" w:right="1280"/>
        </w:sectPr>
      </w:pPr>
    </w:p>
    <w:p>
      <w:pPr>
        <w:pStyle w:val="BodyText"/>
        <w:spacing w:line="276" w:lineRule="auto" w:before="72"/>
        <w:ind w:left="616" w:right="130"/>
        <w:jc w:val="both"/>
      </w:pPr>
      <w:r>
        <w:rPr/>
        <w:t>watering one of them with a solution of germanium acetate. While after a </w:t>
      </w:r>
      <w:r>
        <w:rPr>
          <w:spacing w:val="2"/>
        </w:rPr>
        <w:t>six- </w:t>
      </w:r>
      <w:r>
        <w:rPr/>
        <w:t>month breeding process the sprouts which were watered with germanium ac- etate</w:t>
      </w:r>
      <w:r>
        <w:rPr>
          <w:spacing w:val="-17"/>
        </w:rPr>
        <w:t> </w:t>
      </w:r>
      <w:r>
        <w:rPr/>
        <w:t>reached</w:t>
      </w:r>
      <w:r>
        <w:rPr>
          <w:spacing w:val="-17"/>
        </w:rPr>
        <w:t> </w:t>
      </w:r>
      <w:r>
        <w:rPr/>
        <w:t>a</w:t>
      </w:r>
      <w:r>
        <w:rPr>
          <w:spacing w:val="-18"/>
        </w:rPr>
        <w:t> </w:t>
      </w:r>
      <w:r>
        <w:rPr/>
        <w:t>height</w:t>
      </w:r>
      <w:r>
        <w:rPr>
          <w:spacing w:val="-15"/>
        </w:rPr>
        <w:t> </w:t>
      </w:r>
      <w:r>
        <w:rPr/>
        <w:t>of</w:t>
      </w:r>
      <w:r>
        <w:rPr>
          <w:spacing w:val="-16"/>
        </w:rPr>
        <w:t> </w:t>
      </w:r>
      <w:r>
        <w:rPr/>
        <w:t>30</w:t>
      </w:r>
      <w:r>
        <w:rPr>
          <w:spacing w:val="-15"/>
        </w:rPr>
        <w:t> </w:t>
      </w:r>
      <w:r>
        <w:rPr/>
        <w:t>cm</w:t>
      </w:r>
      <w:r>
        <w:rPr>
          <w:spacing w:val="-16"/>
        </w:rPr>
        <w:t> </w:t>
      </w:r>
      <w:r>
        <w:rPr/>
        <w:t>and</w:t>
      </w:r>
      <w:r>
        <w:rPr>
          <w:spacing w:val="-15"/>
        </w:rPr>
        <w:t> </w:t>
      </w:r>
      <w:r>
        <w:rPr/>
        <w:t>already</w:t>
      </w:r>
      <w:r>
        <w:rPr>
          <w:spacing w:val="-17"/>
        </w:rPr>
        <w:t> </w:t>
      </w:r>
      <w:r>
        <w:rPr/>
        <w:t>gave</w:t>
      </w:r>
      <w:r>
        <w:rPr>
          <w:spacing w:val="-16"/>
        </w:rPr>
        <w:t> </w:t>
      </w:r>
      <w:r>
        <w:rPr/>
        <w:t>off</w:t>
      </w:r>
      <w:r>
        <w:rPr>
          <w:spacing w:val="-15"/>
        </w:rPr>
        <w:t> </w:t>
      </w:r>
      <w:r>
        <w:rPr/>
        <w:t>a</w:t>
      </w:r>
      <w:r>
        <w:rPr>
          <w:spacing w:val="-18"/>
        </w:rPr>
        <w:t> </w:t>
      </w:r>
      <w:r>
        <w:rPr/>
        <w:t>ginseng</w:t>
      </w:r>
      <w:r>
        <w:rPr>
          <w:spacing w:val="-16"/>
        </w:rPr>
        <w:t> </w:t>
      </w:r>
      <w:r>
        <w:rPr/>
        <w:t>aroma,</w:t>
      </w:r>
      <w:r>
        <w:rPr>
          <w:spacing w:val="-17"/>
        </w:rPr>
        <w:t> </w:t>
      </w:r>
      <w:r>
        <w:rPr/>
        <w:t>the</w:t>
      </w:r>
      <w:r>
        <w:rPr>
          <w:spacing w:val="-14"/>
        </w:rPr>
        <w:t> </w:t>
      </w:r>
      <w:r>
        <w:rPr/>
        <w:t>other sprouts only reached a height of 10 cm and only gave off a very weak ginseng aroma.</w:t>
      </w:r>
    </w:p>
    <w:p>
      <w:pPr>
        <w:pStyle w:val="Heading1"/>
        <w:ind w:left="616"/>
      </w:pPr>
      <w:r>
        <w:rPr/>
        <w:t>Other experiments with organic germanium on plants</w:t>
      </w:r>
    </w:p>
    <w:p>
      <w:pPr>
        <w:pStyle w:val="BodyText"/>
        <w:spacing w:line="276" w:lineRule="auto" w:before="300"/>
        <w:ind w:left="616" w:right="132"/>
        <w:jc w:val="both"/>
      </w:pPr>
      <w:r>
        <w:rPr/>
        <w:t>Obviously inspired by these research results, Asai was able to find out in fur- ther experiments that organic germanium was an important element of the plants’ immune system. Interestingly, detaching a leaf of bamboo grass from the island of Yakushima led the plant to start to decay. Here, Dr. Asai saw his theory confirmed that the germanium follows a circulatory route from the roots through the leaves and back to the earth. Interrupting this circulation takes away the plant’s immune defences which protect against germs and vi- ruses with the help of the germanium. At this point, by the way, Dr. Asai doubted the effect of artificially cultivated ginseng, because as soon as it is taken out of its original soil, the germanium circulation is also in this case in- terrupted. Further interesting experiments followed. Asai determined, among other things, that rice soaked in germanium thrives at a temperature of 5 °C, while</w:t>
      </w:r>
      <w:r>
        <w:rPr>
          <w:spacing w:val="-22"/>
        </w:rPr>
        <w:t> </w:t>
      </w:r>
      <w:r>
        <w:rPr/>
        <w:t>it</w:t>
      </w:r>
      <w:r>
        <w:rPr>
          <w:spacing w:val="-21"/>
        </w:rPr>
        <w:t> </w:t>
      </w:r>
      <w:r>
        <w:rPr/>
        <w:t>decays</w:t>
      </w:r>
      <w:r>
        <w:rPr>
          <w:spacing w:val="-19"/>
        </w:rPr>
        <w:t> </w:t>
      </w:r>
      <w:r>
        <w:rPr/>
        <w:t>without</w:t>
      </w:r>
      <w:r>
        <w:rPr>
          <w:spacing w:val="-23"/>
        </w:rPr>
        <w:t> </w:t>
      </w:r>
      <w:r>
        <w:rPr/>
        <w:t>germanium.</w:t>
      </w:r>
      <w:r>
        <w:rPr>
          <w:spacing w:val="-19"/>
        </w:rPr>
        <w:t> </w:t>
      </w:r>
      <w:r>
        <w:rPr/>
        <w:t>Alongside</w:t>
      </w:r>
      <w:r>
        <w:rPr>
          <w:spacing w:val="-21"/>
        </w:rPr>
        <w:t> </w:t>
      </w:r>
      <w:r>
        <w:rPr/>
        <w:t>protecting</w:t>
      </w:r>
      <w:r>
        <w:rPr>
          <w:spacing w:val="-20"/>
        </w:rPr>
        <w:t> </w:t>
      </w:r>
      <w:r>
        <w:rPr/>
        <w:t>against</w:t>
      </w:r>
      <w:r>
        <w:rPr>
          <w:spacing w:val="-23"/>
        </w:rPr>
        <w:t> </w:t>
      </w:r>
      <w:r>
        <w:rPr/>
        <w:t>parasites,</w:t>
      </w:r>
      <w:r>
        <w:rPr>
          <w:spacing w:val="-19"/>
        </w:rPr>
        <w:t> </w:t>
      </w:r>
      <w:r>
        <w:rPr/>
        <w:t>ger- manium turned out to be effective in the strengthening of the immune</w:t>
      </w:r>
      <w:r>
        <w:rPr>
          <w:spacing w:val="-42"/>
        </w:rPr>
        <w:t> </w:t>
      </w:r>
      <w:r>
        <w:rPr/>
        <w:t>system against</w:t>
      </w:r>
      <w:r>
        <w:rPr>
          <w:spacing w:val="-15"/>
        </w:rPr>
        <w:t> </w:t>
      </w:r>
      <w:r>
        <w:rPr/>
        <w:t>the</w:t>
      </w:r>
      <w:r>
        <w:rPr>
          <w:spacing w:val="-14"/>
        </w:rPr>
        <w:t> </w:t>
      </w:r>
      <w:r>
        <w:rPr/>
        <w:t>cold.</w:t>
      </w:r>
      <w:r>
        <w:rPr>
          <w:spacing w:val="-19"/>
        </w:rPr>
        <w:t> </w:t>
      </w:r>
      <w:r>
        <w:rPr/>
        <w:t>Even</w:t>
      </w:r>
      <w:r>
        <w:rPr>
          <w:spacing w:val="-14"/>
        </w:rPr>
        <w:t> </w:t>
      </w:r>
      <w:r>
        <w:rPr/>
        <w:t>a</w:t>
      </w:r>
      <w:r>
        <w:rPr>
          <w:spacing w:val="-19"/>
        </w:rPr>
        <w:t> </w:t>
      </w:r>
      <w:r>
        <w:rPr/>
        <w:t>small</w:t>
      </w:r>
      <w:r>
        <w:rPr>
          <w:spacing w:val="-16"/>
        </w:rPr>
        <w:t> </w:t>
      </w:r>
      <w:r>
        <w:rPr/>
        <w:t>amount</w:t>
      </w:r>
      <w:r>
        <w:rPr>
          <w:spacing w:val="-15"/>
        </w:rPr>
        <w:t> </w:t>
      </w:r>
      <w:r>
        <w:rPr/>
        <w:t>of</w:t>
      </w:r>
      <w:r>
        <w:rPr>
          <w:spacing w:val="-15"/>
        </w:rPr>
        <w:t> </w:t>
      </w:r>
      <w:r>
        <w:rPr/>
        <w:t>germanium</w:t>
      </w:r>
      <w:r>
        <w:rPr>
          <w:spacing w:val="-14"/>
        </w:rPr>
        <w:t> </w:t>
      </w:r>
      <w:r>
        <w:rPr/>
        <w:t>solution</w:t>
      </w:r>
      <w:r>
        <w:rPr>
          <w:spacing w:val="-14"/>
        </w:rPr>
        <w:t> </w:t>
      </w:r>
      <w:r>
        <w:rPr/>
        <w:t>induced</w:t>
      </w:r>
      <w:r>
        <w:rPr>
          <w:spacing w:val="-15"/>
        </w:rPr>
        <w:t> </w:t>
      </w:r>
      <w:r>
        <w:rPr/>
        <w:t>all</w:t>
      </w:r>
      <w:r>
        <w:rPr>
          <w:spacing w:val="-16"/>
        </w:rPr>
        <w:t> </w:t>
      </w:r>
      <w:r>
        <w:rPr/>
        <w:t>plans to grow faster.</w:t>
      </w:r>
    </w:p>
    <w:p>
      <w:pPr>
        <w:pStyle w:val="BodyText"/>
        <w:spacing w:before="240"/>
        <w:ind w:left="616"/>
        <w:jc w:val="both"/>
      </w:pPr>
      <w:r>
        <w:rPr/>
        <w:t>It seemed as if there was an amazing relationship between living substances</w:t>
      </w:r>
    </w:p>
    <w:p>
      <w:pPr>
        <w:spacing w:after="0"/>
        <w:jc w:val="both"/>
        <w:sectPr>
          <w:pgSz w:w="14270" w:h="16850"/>
          <w:pgMar w:header="0" w:footer="1891" w:top="1340" w:bottom="2080" w:left="800" w:right="1280"/>
        </w:sectPr>
      </w:pPr>
    </w:p>
    <w:p>
      <w:pPr>
        <w:pStyle w:val="BodyText"/>
        <w:spacing w:line="276" w:lineRule="auto" w:before="72"/>
        <w:ind w:left="616" w:right="135"/>
        <w:jc w:val="both"/>
      </w:pPr>
      <w:r>
        <w:rPr/>
        <w:t>and metals which should be explored in further experiments. However, with- out</w:t>
      </w:r>
      <w:r>
        <w:rPr>
          <w:spacing w:val="-10"/>
        </w:rPr>
        <w:t> </w:t>
      </w:r>
      <w:r>
        <w:rPr/>
        <w:t>extracting</w:t>
      </w:r>
      <w:r>
        <w:rPr>
          <w:spacing w:val="-8"/>
        </w:rPr>
        <w:t> </w:t>
      </w:r>
      <w:r>
        <w:rPr/>
        <w:t>results</w:t>
      </w:r>
      <w:r>
        <w:rPr>
          <w:spacing w:val="-10"/>
        </w:rPr>
        <w:t> </w:t>
      </w:r>
      <w:r>
        <w:rPr/>
        <w:t>from</w:t>
      </w:r>
      <w:r>
        <w:rPr>
          <w:spacing w:val="-8"/>
        </w:rPr>
        <w:t> </w:t>
      </w:r>
      <w:r>
        <w:rPr/>
        <w:t>this,</w:t>
      </w:r>
      <w:r>
        <w:rPr>
          <w:spacing w:val="-8"/>
        </w:rPr>
        <w:t> </w:t>
      </w:r>
      <w:r>
        <w:rPr/>
        <w:t>the</w:t>
      </w:r>
      <w:r>
        <w:rPr>
          <w:spacing w:val="-9"/>
        </w:rPr>
        <w:t> </w:t>
      </w:r>
      <w:r>
        <w:rPr/>
        <w:t>whole</w:t>
      </w:r>
      <w:r>
        <w:rPr>
          <w:spacing w:val="-7"/>
        </w:rPr>
        <w:t> </w:t>
      </w:r>
      <w:r>
        <w:rPr/>
        <w:t>thing</w:t>
      </w:r>
      <w:r>
        <w:rPr>
          <w:spacing w:val="-10"/>
        </w:rPr>
        <w:t> </w:t>
      </w:r>
      <w:r>
        <w:rPr/>
        <w:t>would</w:t>
      </w:r>
      <w:r>
        <w:rPr>
          <w:spacing w:val="-10"/>
        </w:rPr>
        <w:t> </w:t>
      </w:r>
      <w:r>
        <w:rPr/>
        <w:t>have</w:t>
      </w:r>
      <w:r>
        <w:rPr>
          <w:spacing w:val="-8"/>
        </w:rPr>
        <w:t> </w:t>
      </w:r>
      <w:r>
        <w:rPr/>
        <w:t>made</w:t>
      </w:r>
      <w:r>
        <w:rPr>
          <w:spacing w:val="-8"/>
        </w:rPr>
        <w:t> </w:t>
      </w:r>
      <w:r>
        <w:rPr/>
        <w:t>no</w:t>
      </w:r>
      <w:r>
        <w:rPr>
          <w:spacing w:val="-8"/>
        </w:rPr>
        <w:t> </w:t>
      </w:r>
      <w:r>
        <w:rPr/>
        <w:t>sense,</w:t>
      </w:r>
      <w:r>
        <w:rPr>
          <w:spacing w:val="-8"/>
        </w:rPr>
        <w:t> </w:t>
      </w:r>
      <w:r>
        <w:rPr/>
        <w:t>as it was, in the given form, only partially useful for</w:t>
      </w:r>
      <w:r>
        <w:rPr>
          <w:spacing w:val="-3"/>
        </w:rPr>
        <w:t> </w:t>
      </w:r>
      <w:r>
        <w:rPr/>
        <w:t>humans.</w:t>
      </w:r>
    </w:p>
    <w:p>
      <w:pPr>
        <w:pStyle w:val="Heading1"/>
        <w:ind w:left="616"/>
        <w:jc w:val="both"/>
      </w:pPr>
      <w:r>
        <w:rPr/>
        <w:t>Transforming germanium into a useful</w:t>
      </w:r>
      <w:r>
        <w:rPr>
          <w:spacing w:val="-61"/>
        </w:rPr>
        <w:t> </w:t>
      </w:r>
      <w:r>
        <w:rPr/>
        <w:t>form</w:t>
      </w:r>
    </w:p>
    <w:p>
      <w:pPr>
        <w:pStyle w:val="BodyText"/>
        <w:spacing w:line="276" w:lineRule="auto" w:before="299"/>
        <w:ind w:left="616" w:right="134"/>
        <w:jc w:val="both"/>
      </w:pPr>
      <w:r>
        <w:rPr/>
        <w:t>While the efforts of the electronics industry to this day have been focused on finding</w:t>
      </w:r>
      <w:r>
        <w:rPr>
          <w:spacing w:val="-9"/>
        </w:rPr>
        <w:t> </w:t>
      </w:r>
      <w:r>
        <w:rPr/>
        <w:t>a</w:t>
      </w:r>
      <w:r>
        <w:rPr>
          <w:spacing w:val="-9"/>
        </w:rPr>
        <w:t> </w:t>
      </w:r>
      <w:r>
        <w:rPr/>
        <w:t>way</w:t>
      </w:r>
      <w:r>
        <w:rPr>
          <w:spacing w:val="-9"/>
        </w:rPr>
        <w:t> </w:t>
      </w:r>
      <w:r>
        <w:rPr/>
        <w:t>to</w:t>
      </w:r>
      <w:r>
        <w:rPr>
          <w:spacing w:val="-7"/>
        </w:rPr>
        <w:t> </w:t>
      </w:r>
      <w:r>
        <w:rPr/>
        <w:t>transform</w:t>
      </w:r>
      <w:r>
        <w:rPr>
          <w:spacing w:val="-8"/>
        </w:rPr>
        <w:t> </w:t>
      </w:r>
      <w:r>
        <w:rPr/>
        <w:t>organic</w:t>
      </w:r>
      <w:r>
        <w:rPr>
          <w:spacing w:val="-10"/>
        </w:rPr>
        <w:t> </w:t>
      </w:r>
      <w:r>
        <w:rPr/>
        <w:t>germanium</w:t>
      </w:r>
      <w:r>
        <w:rPr>
          <w:spacing w:val="-9"/>
        </w:rPr>
        <w:t> </w:t>
      </w:r>
      <w:r>
        <w:rPr/>
        <w:t>into</w:t>
      </w:r>
      <w:r>
        <w:rPr>
          <w:spacing w:val="-8"/>
        </w:rPr>
        <w:t> </w:t>
      </w:r>
      <w:r>
        <w:rPr/>
        <w:t>an</w:t>
      </w:r>
      <w:r>
        <w:rPr>
          <w:spacing w:val="-9"/>
        </w:rPr>
        <w:t> </w:t>
      </w:r>
      <w:r>
        <w:rPr/>
        <w:t>inorganic</w:t>
      </w:r>
      <w:r>
        <w:rPr>
          <w:spacing w:val="-9"/>
        </w:rPr>
        <w:t> </w:t>
      </w:r>
      <w:r>
        <w:rPr/>
        <w:t>substance</w:t>
      </w:r>
      <w:r>
        <w:rPr>
          <w:spacing w:val="-9"/>
        </w:rPr>
        <w:t> </w:t>
      </w:r>
      <w:r>
        <w:rPr/>
        <w:t>for semiconductors, Dr. Asai was now presented with the opposite task, trans- forming inorganic geranium into an organic form. For 10 years, Dr. Asai groped around in the dark until, in November 1967, he finally succeeded in developing</w:t>
      </w:r>
      <w:r>
        <w:rPr>
          <w:spacing w:val="-15"/>
        </w:rPr>
        <w:t> </w:t>
      </w:r>
      <w:r>
        <w:rPr/>
        <w:t>a</w:t>
      </w:r>
      <w:r>
        <w:rPr>
          <w:spacing w:val="-15"/>
        </w:rPr>
        <w:t> </w:t>
      </w:r>
      <w:r>
        <w:rPr/>
        <w:t>synthetic</w:t>
      </w:r>
      <w:r>
        <w:rPr>
          <w:spacing w:val="-14"/>
        </w:rPr>
        <w:t> </w:t>
      </w:r>
      <w:r>
        <w:rPr/>
        <w:t>form</w:t>
      </w:r>
      <w:r>
        <w:rPr>
          <w:spacing w:val="-14"/>
        </w:rPr>
        <w:t> </w:t>
      </w:r>
      <w:r>
        <w:rPr/>
        <w:t>of</w:t>
      </w:r>
      <w:r>
        <w:rPr>
          <w:spacing w:val="-16"/>
        </w:rPr>
        <w:t> </w:t>
      </w:r>
      <w:r>
        <w:rPr/>
        <w:t>a</w:t>
      </w:r>
      <w:r>
        <w:rPr>
          <w:spacing w:val="-18"/>
        </w:rPr>
        <w:t> </w:t>
      </w:r>
      <w:r>
        <w:rPr/>
        <w:t>water-soluble,</w:t>
      </w:r>
      <w:r>
        <w:rPr>
          <w:spacing w:val="-13"/>
        </w:rPr>
        <w:t> </w:t>
      </w:r>
      <w:r>
        <w:rPr/>
        <w:t>organic</w:t>
      </w:r>
      <w:r>
        <w:rPr>
          <w:spacing w:val="-14"/>
        </w:rPr>
        <w:t> </w:t>
      </w:r>
      <w:r>
        <w:rPr/>
        <w:t>germanium</w:t>
      </w:r>
      <w:r>
        <w:rPr>
          <w:spacing w:val="-15"/>
        </w:rPr>
        <w:t> </w:t>
      </w:r>
      <w:r>
        <w:rPr/>
        <w:t>compound with the name ‘germanium-carboxyl-ethyl-sesquioxyd’ and the chemical for- mula ‘GeCH2</w:t>
      </w:r>
      <w:r>
        <w:rPr>
          <w:spacing w:val="-3"/>
        </w:rPr>
        <w:t> </w:t>
      </w:r>
      <w:r>
        <w:rPr/>
        <w:t>CH2COOH203’.</w:t>
      </w:r>
    </w:p>
    <w:p>
      <w:pPr>
        <w:pStyle w:val="BodyText"/>
        <w:spacing w:line="276" w:lineRule="auto" w:before="241"/>
        <w:ind w:left="616" w:right="133"/>
        <w:jc w:val="both"/>
      </w:pPr>
      <w:r>
        <w:rPr/>
        <w:t>This compound has an extreme degree of hydrogen bonding and its structure is meshed with three oxygen atoms on one germanium atom. The germanium atom has four exchangeable electrons, whereby three alternately bind to an oxygen atom while the fourth is a free radical. The oxygen atoms alternately bind with the germanium atoms in a beautiful shape which reminds one of a flower ornament.</w:t>
      </w:r>
    </w:p>
    <w:p>
      <w:pPr>
        <w:pStyle w:val="Heading1"/>
        <w:spacing w:before="223"/>
        <w:ind w:left="616"/>
        <w:jc w:val="both"/>
      </w:pPr>
      <w:r>
        <w:rPr/>
        <w:t>The first test of the organic germanium on human beings</w:t>
      </w:r>
    </w:p>
    <w:p>
      <w:pPr>
        <w:pStyle w:val="BodyText"/>
        <w:spacing w:line="276" w:lineRule="auto" w:before="300"/>
        <w:ind w:left="616" w:right="136"/>
        <w:jc w:val="both"/>
      </w:pPr>
      <w:r>
        <w:rPr/>
        <w:t>Years often pass until a new substance moves on from all of the toxicity tests and receives approval for trials on human subjects. It is often the euphoria of the inventor that leads him or her to risk testing it on his or her own body,</w:t>
      </w:r>
    </w:p>
    <w:p>
      <w:pPr>
        <w:spacing w:after="0" w:line="276" w:lineRule="auto"/>
        <w:jc w:val="both"/>
        <w:sectPr>
          <w:pgSz w:w="14270" w:h="16850"/>
          <w:pgMar w:header="0" w:footer="1891" w:top="1340" w:bottom="2080" w:left="800" w:right="1280"/>
        </w:sectPr>
      </w:pPr>
    </w:p>
    <w:p>
      <w:pPr>
        <w:pStyle w:val="BodyText"/>
        <w:spacing w:line="276" w:lineRule="auto" w:before="72"/>
        <w:ind w:left="616" w:right="131"/>
        <w:jc w:val="both"/>
      </w:pPr>
      <w:r>
        <w:rPr/>
        <w:t>long</w:t>
      </w:r>
      <w:r>
        <w:rPr>
          <w:spacing w:val="-16"/>
        </w:rPr>
        <w:t> </w:t>
      </w:r>
      <w:r>
        <w:rPr/>
        <w:t>before</w:t>
      </w:r>
      <w:r>
        <w:rPr>
          <w:spacing w:val="-18"/>
        </w:rPr>
        <w:t> </w:t>
      </w:r>
      <w:r>
        <w:rPr/>
        <w:t>it</w:t>
      </w:r>
      <w:r>
        <w:rPr>
          <w:spacing w:val="-18"/>
        </w:rPr>
        <w:t> </w:t>
      </w:r>
      <w:r>
        <w:rPr/>
        <w:t>is</w:t>
      </w:r>
      <w:r>
        <w:rPr>
          <w:spacing w:val="-18"/>
        </w:rPr>
        <w:t> </w:t>
      </w:r>
      <w:r>
        <w:rPr/>
        <w:t>tested</w:t>
      </w:r>
      <w:r>
        <w:rPr>
          <w:spacing w:val="-14"/>
        </w:rPr>
        <w:t> </w:t>
      </w:r>
      <w:r>
        <w:rPr/>
        <w:t>on</w:t>
      </w:r>
      <w:r>
        <w:rPr>
          <w:spacing w:val="-18"/>
        </w:rPr>
        <w:t> </w:t>
      </w:r>
      <w:r>
        <w:rPr/>
        <w:t>other</w:t>
      </w:r>
      <w:r>
        <w:rPr>
          <w:spacing w:val="-17"/>
        </w:rPr>
        <w:t> </w:t>
      </w:r>
      <w:r>
        <w:rPr/>
        <w:t>people.</w:t>
      </w:r>
      <w:r>
        <w:rPr>
          <w:spacing w:val="-16"/>
        </w:rPr>
        <w:t> </w:t>
      </w:r>
      <w:r>
        <w:rPr/>
        <w:t>Suffering</w:t>
      </w:r>
      <w:r>
        <w:rPr>
          <w:spacing w:val="-18"/>
        </w:rPr>
        <w:t> </w:t>
      </w:r>
      <w:r>
        <w:rPr/>
        <w:t>from</w:t>
      </w:r>
      <w:r>
        <w:rPr>
          <w:spacing w:val="-16"/>
        </w:rPr>
        <w:t> </w:t>
      </w:r>
      <w:r>
        <w:rPr/>
        <w:t>polyarthritis,</w:t>
      </w:r>
      <w:r>
        <w:rPr>
          <w:spacing w:val="-15"/>
        </w:rPr>
        <w:t> </w:t>
      </w:r>
      <w:r>
        <w:rPr/>
        <w:t>which</w:t>
      </w:r>
      <w:r>
        <w:rPr>
          <w:spacing w:val="-17"/>
        </w:rPr>
        <w:t> </w:t>
      </w:r>
      <w:r>
        <w:rPr/>
        <w:t>still remains</w:t>
      </w:r>
      <w:r>
        <w:rPr>
          <w:spacing w:val="-16"/>
        </w:rPr>
        <w:t> </w:t>
      </w:r>
      <w:r>
        <w:rPr/>
        <w:t>a</w:t>
      </w:r>
      <w:r>
        <w:rPr>
          <w:spacing w:val="-20"/>
        </w:rPr>
        <w:t> </w:t>
      </w:r>
      <w:r>
        <w:rPr/>
        <w:t>riddle</w:t>
      </w:r>
      <w:r>
        <w:rPr>
          <w:spacing w:val="-19"/>
        </w:rPr>
        <w:t> </w:t>
      </w:r>
      <w:r>
        <w:rPr/>
        <w:t>for</w:t>
      </w:r>
      <w:r>
        <w:rPr>
          <w:spacing w:val="-14"/>
        </w:rPr>
        <w:t> </w:t>
      </w:r>
      <w:r>
        <w:rPr/>
        <w:t>conventional</w:t>
      </w:r>
      <w:r>
        <w:rPr>
          <w:spacing w:val="-17"/>
        </w:rPr>
        <w:t> </w:t>
      </w:r>
      <w:r>
        <w:rPr/>
        <w:t>medicine,</w:t>
      </w:r>
      <w:r>
        <w:rPr>
          <w:spacing w:val="-18"/>
        </w:rPr>
        <w:t> </w:t>
      </w:r>
      <w:r>
        <w:rPr/>
        <w:t>Dr.</w:t>
      </w:r>
      <w:r>
        <w:rPr>
          <w:spacing w:val="-18"/>
        </w:rPr>
        <w:t> </w:t>
      </w:r>
      <w:r>
        <w:rPr/>
        <w:t>Asai</w:t>
      </w:r>
      <w:r>
        <w:rPr>
          <w:spacing w:val="-16"/>
        </w:rPr>
        <w:t> </w:t>
      </w:r>
      <w:r>
        <w:rPr/>
        <w:t>decided</w:t>
      </w:r>
      <w:r>
        <w:rPr>
          <w:spacing w:val="-17"/>
        </w:rPr>
        <w:t> </w:t>
      </w:r>
      <w:r>
        <w:rPr/>
        <w:t>to</w:t>
      </w:r>
      <w:r>
        <w:rPr>
          <w:spacing w:val="-14"/>
        </w:rPr>
        <w:t> </w:t>
      </w:r>
      <w:r>
        <w:rPr/>
        <w:t>perform</w:t>
      </w:r>
      <w:r>
        <w:rPr>
          <w:spacing w:val="-17"/>
        </w:rPr>
        <w:t> </w:t>
      </w:r>
      <w:r>
        <w:rPr/>
        <w:t>a</w:t>
      </w:r>
      <w:r>
        <w:rPr>
          <w:spacing w:val="-19"/>
        </w:rPr>
        <w:t> </w:t>
      </w:r>
      <w:r>
        <w:rPr/>
        <w:t>self- test</w:t>
      </w:r>
      <w:r>
        <w:rPr>
          <w:spacing w:val="-9"/>
        </w:rPr>
        <w:t> </w:t>
      </w:r>
      <w:r>
        <w:rPr/>
        <w:t>with</w:t>
      </w:r>
      <w:r>
        <w:rPr>
          <w:spacing w:val="-9"/>
        </w:rPr>
        <w:t> </w:t>
      </w:r>
      <w:r>
        <w:rPr/>
        <w:t>organic</w:t>
      </w:r>
      <w:r>
        <w:rPr>
          <w:spacing w:val="-9"/>
        </w:rPr>
        <w:t> </w:t>
      </w:r>
      <w:r>
        <w:rPr/>
        <w:t>germanium,</w:t>
      </w:r>
      <w:r>
        <w:rPr>
          <w:spacing w:val="-9"/>
        </w:rPr>
        <w:t> </w:t>
      </w:r>
      <w:r>
        <w:rPr/>
        <w:t>especially</w:t>
      </w:r>
      <w:r>
        <w:rPr>
          <w:spacing w:val="-8"/>
        </w:rPr>
        <w:t> </w:t>
      </w:r>
      <w:r>
        <w:rPr/>
        <w:t>because</w:t>
      </w:r>
      <w:r>
        <w:rPr>
          <w:spacing w:val="-9"/>
        </w:rPr>
        <w:t> </w:t>
      </w:r>
      <w:r>
        <w:rPr/>
        <w:t>he</w:t>
      </w:r>
      <w:r>
        <w:rPr>
          <w:spacing w:val="-8"/>
        </w:rPr>
        <w:t> </w:t>
      </w:r>
      <w:r>
        <w:rPr/>
        <w:t>was</w:t>
      </w:r>
      <w:r>
        <w:rPr>
          <w:spacing w:val="-9"/>
        </w:rPr>
        <w:t> </w:t>
      </w:r>
      <w:r>
        <w:rPr/>
        <w:t>convinced</w:t>
      </w:r>
      <w:r>
        <w:rPr>
          <w:spacing w:val="-8"/>
        </w:rPr>
        <w:t> </w:t>
      </w:r>
      <w:r>
        <w:rPr/>
        <w:t>that</w:t>
      </w:r>
      <w:r>
        <w:rPr>
          <w:spacing w:val="-9"/>
        </w:rPr>
        <w:t> </w:t>
      </w:r>
      <w:r>
        <w:rPr/>
        <w:t>his</w:t>
      </w:r>
      <w:r>
        <w:rPr>
          <w:spacing w:val="-8"/>
        </w:rPr>
        <w:t> </w:t>
      </w:r>
      <w:r>
        <w:rPr/>
        <w:t>dis- covery was at the very least harmless and should not lead to any notable side effects. After ten days of this oral medication with organic germanium in</w:t>
      </w:r>
      <w:r>
        <w:rPr>
          <w:spacing w:val="-45"/>
        </w:rPr>
        <w:t> </w:t>
      </w:r>
      <w:r>
        <w:rPr/>
        <w:t>con- nection</w:t>
      </w:r>
      <w:r>
        <w:rPr>
          <w:spacing w:val="-7"/>
        </w:rPr>
        <w:t> </w:t>
      </w:r>
      <w:r>
        <w:rPr/>
        <w:t>with</w:t>
      </w:r>
      <w:r>
        <w:rPr>
          <w:spacing w:val="-6"/>
        </w:rPr>
        <w:t> </w:t>
      </w:r>
      <w:r>
        <w:rPr/>
        <w:t>water,</w:t>
      </w:r>
      <w:r>
        <w:rPr>
          <w:spacing w:val="-6"/>
        </w:rPr>
        <w:t> </w:t>
      </w:r>
      <w:r>
        <w:rPr/>
        <w:t>Dr.</w:t>
      </w:r>
      <w:r>
        <w:rPr>
          <w:spacing w:val="-7"/>
        </w:rPr>
        <w:t> </w:t>
      </w:r>
      <w:r>
        <w:rPr/>
        <w:t>Asai</w:t>
      </w:r>
      <w:r>
        <w:rPr>
          <w:spacing w:val="-8"/>
        </w:rPr>
        <w:t> </w:t>
      </w:r>
      <w:r>
        <w:rPr/>
        <w:t>could</w:t>
      </w:r>
      <w:r>
        <w:rPr>
          <w:spacing w:val="-7"/>
        </w:rPr>
        <w:t> </w:t>
      </w:r>
      <w:r>
        <w:rPr/>
        <w:t>already</w:t>
      </w:r>
      <w:r>
        <w:rPr>
          <w:spacing w:val="-7"/>
        </w:rPr>
        <w:t> </w:t>
      </w:r>
      <w:r>
        <w:rPr/>
        <w:t>stand</w:t>
      </w:r>
      <w:r>
        <w:rPr>
          <w:spacing w:val="-9"/>
        </w:rPr>
        <w:t> </w:t>
      </w:r>
      <w:r>
        <w:rPr/>
        <w:t>up</w:t>
      </w:r>
      <w:r>
        <w:rPr>
          <w:spacing w:val="-7"/>
        </w:rPr>
        <w:t> </w:t>
      </w:r>
      <w:r>
        <w:rPr/>
        <w:t>again</w:t>
      </w:r>
      <w:r>
        <w:rPr>
          <w:spacing w:val="-7"/>
        </w:rPr>
        <w:t> </w:t>
      </w:r>
      <w:r>
        <w:rPr/>
        <w:t>and</w:t>
      </w:r>
      <w:r>
        <w:rPr>
          <w:spacing w:val="-8"/>
        </w:rPr>
        <w:t> </w:t>
      </w:r>
      <w:r>
        <w:rPr/>
        <w:t>walk</w:t>
      </w:r>
      <w:r>
        <w:rPr>
          <w:spacing w:val="-7"/>
        </w:rPr>
        <w:t> </w:t>
      </w:r>
      <w:r>
        <w:rPr/>
        <w:t>around</w:t>
      </w:r>
      <w:r>
        <w:rPr>
          <w:spacing w:val="-7"/>
        </w:rPr>
        <w:t> </w:t>
      </w:r>
      <w:r>
        <w:rPr/>
        <w:t>the house. He felt, moreover, ‘</w:t>
      </w:r>
      <w:r>
        <w:rPr>
          <w:i/>
        </w:rPr>
        <w:t>pronouncedly</w:t>
      </w:r>
      <w:r>
        <w:rPr>
          <w:i/>
          <w:spacing w:val="-1"/>
        </w:rPr>
        <w:t> </w:t>
      </w:r>
      <w:r>
        <w:rPr>
          <w:i/>
        </w:rPr>
        <w:t>healthy</w:t>
      </w:r>
      <w:r>
        <w:rPr/>
        <w:t>’.</w:t>
      </w:r>
    </w:p>
    <w:p>
      <w:pPr>
        <w:pStyle w:val="Heading1"/>
        <w:spacing w:before="226"/>
        <w:ind w:left="616"/>
        <w:jc w:val="both"/>
      </w:pPr>
      <w:r>
        <w:rPr/>
        <w:t>Trials with organic germanium on other ill persons ensue</w:t>
      </w:r>
    </w:p>
    <w:p>
      <w:pPr>
        <w:pStyle w:val="BodyText"/>
        <w:spacing w:line="276" w:lineRule="auto" w:before="299"/>
        <w:ind w:left="616" w:right="136"/>
        <w:jc w:val="both"/>
      </w:pPr>
      <w:r>
        <w:rPr/>
        <w:t>An</w:t>
      </w:r>
      <w:r>
        <w:rPr>
          <w:spacing w:val="-12"/>
        </w:rPr>
        <w:t> </w:t>
      </w:r>
      <w:r>
        <w:rPr/>
        <w:t>acupuncturist</w:t>
      </w:r>
      <w:r>
        <w:rPr>
          <w:spacing w:val="-12"/>
        </w:rPr>
        <w:t> </w:t>
      </w:r>
      <w:r>
        <w:rPr/>
        <w:t>who</w:t>
      </w:r>
      <w:r>
        <w:rPr>
          <w:spacing w:val="-11"/>
        </w:rPr>
        <w:t> </w:t>
      </w:r>
      <w:r>
        <w:rPr/>
        <w:t>was</w:t>
      </w:r>
      <w:r>
        <w:rPr>
          <w:spacing w:val="-11"/>
        </w:rPr>
        <w:t> </w:t>
      </w:r>
      <w:r>
        <w:rPr/>
        <w:t>treating</w:t>
      </w:r>
      <w:r>
        <w:rPr>
          <w:spacing w:val="-11"/>
        </w:rPr>
        <w:t> </w:t>
      </w:r>
      <w:r>
        <w:rPr/>
        <w:t>Dr.</w:t>
      </w:r>
      <w:r>
        <w:rPr>
          <w:spacing w:val="-11"/>
        </w:rPr>
        <w:t> </w:t>
      </w:r>
      <w:r>
        <w:rPr/>
        <w:t>Asai</w:t>
      </w:r>
      <w:r>
        <w:rPr>
          <w:spacing w:val="-12"/>
        </w:rPr>
        <w:t> </w:t>
      </w:r>
      <w:r>
        <w:rPr/>
        <w:t>for</w:t>
      </w:r>
      <w:r>
        <w:rPr>
          <w:spacing w:val="-13"/>
        </w:rPr>
        <w:t> </w:t>
      </w:r>
      <w:r>
        <w:rPr/>
        <w:t>his</w:t>
      </w:r>
      <w:r>
        <w:rPr>
          <w:spacing w:val="-11"/>
        </w:rPr>
        <w:t> </w:t>
      </w:r>
      <w:r>
        <w:rPr/>
        <w:t>illness—considered</w:t>
      </w:r>
      <w:r>
        <w:rPr>
          <w:spacing w:val="-11"/>
        </w:rPr>
        <w:t> </w:t>
      </w:r>
      <w:r>
        <w:rPr/>
        <w:t>‘incur- able’ by conventional medicine—was amazed after only a few weeks by the extremely positive condition of Dr. Asai and asked him to make some of this portentous substance available for his other</w:t>
      </w:r>
      <w:r>
        <w:rPr>
          <w:spacing w:val="-3"/>
        </w:rPr>
        <w:t> </w:t>
      </w:r>
      <w:r>
        <w:rPr/>
        <w:t>patients.</w:t>
      </w:r>
    </w:p>
    <w:p>
      <w:pPr>
        <w:pStyle w:val="BodyText"/>
        <w:spacing w:line="276" w:lineRule="auto" w:before="239"/>
        <w:ind w:left="616" w:right="140"/>
        <w:jc w:val="both"/>
      </w:pPr>
      <w:r>
        <w:rPr/>
        <w:t>After</w:t>
      </w:r>
      <w:r>
        <w:rPr>
          <w:spacing w:val="-16"/>
        </w:rPr>
        <w:t> </w:t>
      </w:r>
      <w:r>
        <w:rPr/>
        <w:t>first</w:t>
      </w:r>
      <w:r>
        <w:rPr>
          <w:spacing w:val="-16"/>
        </w:rPr>
        <w:t> </w:t>
      </w:r>
      <w:r>
        <w:rPr/>
        <w:t>testing</w:t>
      </w:r>
      <w:r>
        <w:rPr>
          <w:spacing w:val="-15"/>
        </w:rPr>
        <w:t> </w:t>
      </w:r>
      <w:r>
        <w:rPr/>
        <w:t>it</w:t>
      </w:r>
      <w:r>
        <w:rPr>
          <w:spacing w:val="-17"/>
        </w:rPr>
        <w:t> </w:t>
      </w:r>
      <w:r>
        <w:rPr/>
        <w:t>on</w:t>
      </w:r>
      <w:r>
        <w:rPr>
          <w:spacing w:val="-16"/>
        </w:rPr>
        <w:t> </w:t>
      </w:r>
      <w:r>
        <w:rPr/>
        <w:t>himself</w:t>
      </w:r>
      <w:r>
        <w:rPr>
          <w:spacing w:val="-16"/>
        </w:rPr>
        <w:t> </w:t>
      </w:r>
      <w:r>
        <w:rPr/>
        <w:t>some</w:t>
      </w:r>
      <w:r>
        <w:rPr>
          <w:spacing w:val="-15"/>
        </w:rPr>
        <w:t> </w:t>
      </w:r>
      <w:r>
        <w:rPr/>
        <w:t>further</w:t>
      </w:r>
      <w:r>
        <w:rPr>
          <w:spacing w:val="-14"/>
        </w:rPr>
        <w:t> </w:t>
      </w:r>
      <w:r>
        <w:rPr/>
        <w:t>weeks</w:t>
      </w:r>
      <w:r>
        <w:rPr>
          <w:spacing w:val="-16"/>
        </w:rPr>
        <w:t> </w:t>
      </w:r>
      <w:r>
        <w:rPr/>
        <w:t>in</w:t>
      </w:r>
      <w:r>
        <w:rPr>
          <w:spacing w:val="-14"/>
        </w:rPr>
        <w:t> </w:t>
      </w:r>
      <w:r>
        <w:rPr/>
        <w:t>order</w:t>
      </w:r>
      <w:r>
        <w:rPr>
          <w:spacing w:val="-15"/>
        </w:rPr>
        <w:t> </w:t>
      </w:r>
      <w:r>
        <w:rPr/>
        <w:t>to</w:t>
      </w:r>
      <w:r>
        <w:rPr>
          <w:spacing w:val="-15"/>
        </w:rPr>
        <w:t> </w:t>
      </w:r>
      <w:r>
        <w:rPr/>
        <w:t>rule</w:t>
      </w:r>
      <w:r>
        <w:rPr>
          <w:spacing w:val="-16"/>
        </w:rPr>
        <w:t> </w:t>
      </w:r>
      <w:r>
        <w:rPr/>
        <w:t>out</w:t>
      </w:r>
      <w:r>
        <w:rPr>
          <w:spacing w:val="-18"/>
        </w:rPr>
        <w:t> </w:t>
      </w:r>
      <w:r>
        <w:rPr/>
        <w:t>any</w:t>
      </w:r>
      <w:r>
        <w:rPr>
          <w:spacing w:val="-15"/>
        </w:rPr>
        <w:t> </w:t>
      </w:r>
      <w:r>
        <w:rPr/>
        <w:t>side effects, Asai gave the acupuncturist some of his organic germanium for his patients.</w:t>
      </w:r>
    </w:p>
    <w:p>
      <w:pPr>
        <w:pStyle w:val="BodyText"/>
        <w:spacing w:line="276" w:lineRule="auto" w:before="239"/>
        <w:ind w:left="616" w:right="132"/>
        <w:jc w:val="both"/>
      </w:pPr>
      <w:r>
        <w:rPr/>
        <w:t>The acupuncturist gave it to his patients who were suffering from illnesses considered</w:t>
      </w:r>
      <w:r>
        <w:rPr>
          <w:spacing w:val="-21"/>
        </w:rPr>
        <w:t> </w:t>
      </w:r>
      <w:r>
        <w:rPr/>
        <w:t>incurable</w:t>
      </w:r>
      <w:r>
        <w:rPr>
          <w:spacing w:val="-22"/>
        </w:rPr>
        <w:t> </w:t>
      </w:r>
      <w:r>
        <w:rPr/>
        <w:t>by</w:t>
      </w:r>
      <w:r>
        <w:rPr>
          <w:spacing w:val="-21"/>
        </w:rPr>
        <w:t> </w:t>
      </w:r>
      <w:r>
        <w:rPr/>
        <w:t>conventional</w:t>
      </w:r>
      <w:r>
        <w:rPr>
          <w:spacing w:val="-23"/>
        </w:rPr>
        <w:t> </w:t>
      </w:r>
      <w:r>
        <w:rPr/>
        <w:t>medicine</w:t>
      </w:r>
      <w:r>
        <w:rPr>
          <w:spacing w:val="-20"/>
        </w:rPr>
        <w:t> </w:t>
      </w:r>
      <w:r>
        <w:rPr/>
        <w:t>(including</w:t>
      </w:r>
      <w:r>
        <w:rPr>
          <w:spacing w:val="-21"/>
        </w:rPr>
        <w:t> </w:t>
      </w:r>
      <w:r>
        <w:rPr/>
        <w:t>cirrhosis</w:t>
      </w:r>
      <w:r>
        <w:rPr>
          <w:spacing w:val="-14"/>
        </w:rPr>
        <w:t> </w:t>
      </w:r>
      <w:r>
        <w:rPr/>
        <w:t>of</w:t>
      </w:r>
      <w:r>
        <w:rPr>
          <w:spacing w:val="-21"/>
        </w:rPr>
        <w:t> </w:t>
      </w:r>
      <w:r>
        <w:rPr/>
        <w:t>the</w:t>
      </w:r>
      <w:r>
        <w:rPr>
          <w:spacing w:val="-20"/>
        </w:rPr>
        <w:t> </w:t>
      </w:r>
      <w:r>
        <w:rPr/>
        <w:t>liver, cancer, and epilepsy) and was astonished by their visible improvement after consuming</w:t>
      </w:r>
      <w:r>
        <w:rPr>
          <w:spacing w:val="-23"/>
        </w:rPr>
        <w:t> </w:t>
      </w:r>
      <w:r>
        <w:rPr/>
        <w:t>organic</w:t>
      </w:r>
      <w:r>
        <w:rPr>
          <w:spacing w:val="-22"/>
        </w:rPr>
        <w:t> </w:t>
      </w:r>
      <w:r>
        <w:rPr/>
        <w:t>germanium.</w:t>
      </w:r>
      <w:r>
        <w:rPr>
          <w:spacing w:val="-24"/>
        </w:rPr>
        <w:t> </w:t>
      </w:r>
      <w:r>
        <w:rPr/>
        <w:t>And</w:t>
      </w:r>
      <w:r>
        <w:rPr>
          <w:spacing w:val="-22"/>
        </w:rPr>
        <w:t> </w:t>
      </w:r>
      <w:r>
        <w:rPr/>
        <w:t>so</w:t>
      </w:r>
      <w:r>
        <w:rPr>
          <w:spacing w:val="-21"/>
        </w:rPr>
        <w:t> </w:t>
      </w:r>
      <w:r>
        <w:rPr/>
        <w:t>the</w:t>
      </w:r>
      <w:r>
        <w:rPr>
          <w:spacing w:val="-24"/>
        </w:rPr>
        <w:t> </w:t>
      </w:r>
      <w:r>
        <w:rPr/>
        <w:t>inevitable</w:t>
      </w:r>
      <w:r>
        <w:rPr>
          <w:spacing w:val="-23"/>
        </w:rPr>
        <w:t> </w:t>
      </w:r>
      <w:r>
        <w:rPr/>
        <w:t>happened:</w:t>
      </w:r>
      <w:r>
        <w:rPr>
          <w:spacing w:val="-24"/>
        </w:rPr>
        <w:t> </w:t>
      </w:r>
      <w:r>
        <w:rPr/>
        <w:t>The</w:t>
      </w:r>
      <w:r>
        <w:rPr>
          <w:spacing w:val="-22"/>
        </w:rPr>
        <w:t> </w:t>
      </w:r>
      <w:r>
        <w:rPr/>
        <w:t>acupunc- turist was forced by the health authorities to immediately end his treatments with organic germanium as a still unresearched medicine. There was, then, nothing</w:t>
      </w:r>
      <w:r>
        <w:rPr>
          <w:spacing w:val="29"/>
        </w:rPr>
        <w:t> </w:t>
      </w:r>
      <w:r>
        <w:rPr/>
        <w:t>left</w:t>
      </w:r>
      <w:r>
        <w:rPr>
          <w:spacing w:val="29"/>
        </w:rPr>
        <w:t> </w:t>
      </w:r>
      <w:r>
        <w:rPr/>
        <w:t>for</w:t>
      </w:r>
      <w:r>
        <w:rPr>
          <w:spacing w:val="28"/>
        </w:rPr>
        <w:t> </w:t>
      </w:r>
      <w:r>
        <w:rPr/>
        <w:t>Dr.</w:t>
      </w:r>
      <w:r>
        <w:rPr>
          <w:spacing w:val="30"/>
        </w:rPr>
        <w:t> </w:t>
      </w:r>
      <w:r>
        <w:rPr/>
        <w:t>Asai</w:t>
      </w:r>
      <w:r>
        <w:rPr>
          <w:spacing w:val="28"/>
        </w:rPr>
        <w:t> </w:t>
      </w:r>
      <w:r>
        <w:rPr/>
        <w:t>to</w:t>
      </w:r>
      <w:r>
        <w:rPr>
          <w:spacing w:val="30"/>
        </w:rPr>
        <w:t> </w:t>
      </w:r>
      <w:r>
        <w:rPr/>
        <w:t>do</w:t>
      </w:r>
      <w:r>
        <w:rPr>
          <w:spacing w:val="30"/>
        </w:rPr>
        <w:t> </w:t>
      </w:r>
      <w:r>
        <w:rPr/>
        <w:t>other</w:t>
      </w:r>
      <w:r>
        <w:rPr>
          <w:spacing w:val="30"/>
        </w:rPr>
        <w:t> </w:t>
      </w:r>
      <w:r>
        <w:rPr/>
        <w:t>than</w:t>
      </w:r>
      <w:r>
        <w:rPr>
          <w:spacing w:val="30"/>
        </w:rPr>
        <w:t> </w:t>
      </w:r>
      <w:r>
        <w:rPr/>
        <w:t>to</w:t>
      </w:r>
      <w:r>
        <w:rPr>
          <w:spacing w:val="29"/>
        </w:rPr>
        <w:t> </w:t>
      </w:r>
      <w:r>
        <w:rPr/>
        <w:t>continue</w:t>
      </w:r>
      <w:r>
        <w:rPr>
          <w:spacing w:val="29"/>
        </w:rPr>
        <w:t> </w:t>
      </w:r>
      <w:r>
        <w:rPr/>
        <w:t>his</w:t>
      </w:r>
      <w:r>
        <w:rPr>
          <w:spacing w:val="30"/>
        </w:rPr>
        <w:t> </w:t>
      </w:r>
      <w:r>
        <w:rPr/>
        <w:t>experiments</w:t>
      </w:r>
      <w:r>
        <w:rPr>
          <w:spacing w:val="30"/>
        </w:rPr>
        <w:t> </w:t>
      </w:r>
      <w:r>
        <w:rPr/>
        <w:t>with</w:t>
      </w:r>
    </w:p>
    <w:p>
      <w:pPr>
        <w:spacing w:after="0" w:line="276" w:lineRule="auto"/>
        <w:jc w:val="both"/>
        <w:sectPr>
          <w:pgSz w:w="14270" w:h="16850"/>
          <w:pgMar w:header="0" w:footer="1891" w:top="1340" w:bottom="2080" w:left="800" w:right="1280"/>
        </w:sectPr>
      </w:pPr>
    </w:p>
    <w:p>
      <w:pPr>
        <w:pStyle w:val="BodyText"/>
        <w:spacing w:line="276" w:lineRule="auto" w:before="72"/>
        <w:ind w:left="616" w:right="133"/>
        <w:jc w:val="both"/>
      </w:pPr>
      <w:r>
        <w:rPr/>
        <w:t>organic germanium on animals, until it might one day officially be permitted for human beings. You can read more about this in the next section ‘Effects of Organic Germanium’.</w:t>
      </w:r>
    </w:p>
    <w:p>
      <w:pPr>
        <w:pStyle w:val="BodyText"/>
        <w:spacing w:before="241"/>
        <w:ind w:left="616"/>
      </w:pPr>
      <w:r>
        <w:rPr/>
        <w:t>Effects of organic germanium</w:t>
      </w:r>
    </w:p>
    <w:p>
      <w:pPr>
        <w:pStyle w:val="Heading1"/>
        <w:spacing w:before="290"/>
        <w:ind w:left="616"/>
      </w:pPr>
      <w:r>
        <w:rPr/>
        <w:t>Amazing healing successes with organic germanium on animals</w:t>
      </w:r>
    </w:p>
    <w:p>
      <w:pPr>
        <w:pStyle w:val="BodyText"/>
        <w:spacing w:line="276" w:lineRule="auto" w:before="296"/>
        <w:ind w:left="616" w:right="135"/>
        <w:jc w:val="both"/>
      </w:pPr>
      <w:r>
        <w:rPr/>
        <w:t>Before Dr. Asai could extensively test the effect on human beings, then, he had to subject himself to the legal requirements and first test the effects of organic germanium on animals.</w:t>
      </w:r>
    </w:p>
    <w:p>
      <w:pPr>
        <w:pStyle w:val="Heading1"/>
        <w:spacing w:before="225"/>
        <w:ind w:left="616"/>
      </w:pPr>
      <w:r>
        <w:rPr/>
        <w:t>Miraculous wound healing on a cat</w:t>
      </w:r>
    </w:p>
    <w:p>
      <w:pPr>
        <w:pStyle w:val="BodyText"/>
        <w:spacing w:line="276" w:lineRule="auto" w:before="297"/>
        <w:ind w:left="616" w:right="133"/>
        <w:jc w:val="both"/>
      </w:pPr>
      <w:r>
        <w:rPr/>
        <w:t>His</w:t>
      </w:r>
      <w:r>
        <w:rPr>
          <w:spacing w:val="-10"/>
        </w:rPr>
        <w:t> </w:t>
      </w:r>
      <w:r>
        <w:rPr/>
        <w:t>own</w:t>
      </w:r>
      <w:r>
        <w:rPr>
          <w:spacing w:val="-9"/>
        </w:rPr>
        <w:t> </w:t>
      </w:r>
      <w:r>
        <w:rPr/>
        <w:t>cat</w:t>
      </w:r>
      <w:r>
        <w:rPr>
          <w:spacing w:val="-9"/>
        </w:rPr>
        <w:t> </w:t>
      </w:r>
      <w:r>
        <w:rPr/>
        <w:t>became</w:t>
      </w:r>
      <w:r>
        <w:rPr>
          <w:spacing w:val="-10"/>
        </w:rPr>
        <w:t> </w:t>
      </w:r>
      <w:r>
        <w:rPr/>
        <w:t>his</w:t>
      </w:r>
      <w:r>
        <w:rPr>
          <w:spacing w:val="-8"/>
        </w:rPr>
        <w:t> </w:t>
      </w:r>
      <w:r>
        <w:rPr/>
        <w:t>first</w:t>
      </w:r>
      <w:r>
        <w:rPr>
          <w:spacing w:val="-12"/>
        </w:rPr>
        <w:t> </w:t>
      </w:r>
      <w:r>
        <w:rPr/>
        <w:t>test</w:t>
      </w:r>
      <w:r>
        <w:rPr>
          <w:spacing w:val="-10"/>
        </w:rPr>
        <w:t> </w:t>
      </w:r>
      <w:r>
        <w:rPr/>
        <w:t>animal,</w:t>
      </w:r>
      <w:r>
        <w:rPr>
          <w:spacing w:val="-9"/>
        </w:rPr>
        <w:t> </w:t>
      </w:r>
      <w:r>
        <w:rPr/>
        <w:t>after</w:t>
      </w:r>
      <w:r>
        <w:rPr>
          <w:spacing w:val="-9"/>
        </w:rPr>
        <w:t> </w:t>
      </w:r>
      <w:r>
        <w:rPr/>
        <w:t>it</w:t>
      </w:r>
      <w:r>
        <w:rPr>
          <w:spacing w:val="-11"/>
        </w:rPr>
        <w:t> </w:t>
      </w:r>
      <w:r>
        <w:rPr/>
        <w:t>emerged</w:t>
      </w:r>
      <w:r>
        <w:rPr>
          <w:spacing w:val="-8"/>
        </w:rPr>
        <w:t> </w:t>
      </w:r>
      <w:r>
        <w:rPr/>
        <w:t>the</w:t>
      </w:r>
      <w:r>
        <w:rPr>
          <w:spacing w:val="-11"/>
        </w:rPr>
        <w:t> </w:t>
      </w:r>
      <w:r>
        <w:rPr/>
        <w:t>loser</w:t>
      </w:r>
      <w:r>
        <w:rPr>
          <w:spacing w:val="-11"/>
        </w:rPr>
        <w:t> </w:t>
      </w:r>
      <w:r>
        <w:rPr/>
        <w:t>from</w:t>
      </w:r>
      <w:r>
        <w:rPr>
          <w:spacing w:val="-11"/>
        </w:rPr>
        <w:t> </w:t>
      </w:r>
      <w:r>
        <w:rPr/>
        <w:t>a</w:t>
      </w:r>
      <w:r>
        <w:rPr>
          <w:spacing w:val="-10"/>
        </w:rPr>
        <w:t> </w:t>
      </w:r>
      <w:r>
        <w:rPr/>
        <w:t>hard fight</w:t>
      </w:r>
      <w:r>
        <w:rPr>
          <w:spacing w:val="-20"/>
        </w:rPr>
        <w:t> </w:t>
      </w:r>
      <w:r>
        <w:rPr/>
        <w:t>with</w:t>
      </w:r>
      <w:r>
        <w:rPr>
          <w:spacing w:val="-20"/>
        </w:rPr>
        <w:t> </w:t>
      </w:r>
      <w:r>
        <w:rPr/>
        <w:t>a</w:t>
      </w:r>
      <w:r>
        <w:rPr>
          <w:spacing w:val="-21"/>
        </w:rPr>
        <w:t> </w:t>
      </w:r>
      <w:r>
        <w:rPr/>
        <w:t>dog.</w:t>
      </w:r>
      <w:r>
        <w:rPr>
          <w:spacing w:val="-22"/>
        </w:rPr>
        <w:t> </w:t>
      </w:r>
      <w:r>
        <w:rPr/>
        <w:t>The</w:t>
      </w:r>
      <w:r>
        <w:rPr>
          <w:spacing w:val="-19"/>
        </w:rPr>
        <w:t> </w:t>
      </w:r>
      <w:r>
        <w:rPr/>
        <w:t>wounds</w:t>
      </w:r>
      <w:r>
        <w:rPr>
          <w:spacing w:val="-22"/>
        </w:rPr>
        <w:t> </w:t>
      </w:r>
      <w:r>
        <w:rPr/>
        <w:t>were</w:t>
      </w:r>
      <w:r>
        <w:rPr>
          <w:spacing w:val="-20"/>
        </w:rPr>
        <w:t> </w:t>
      </w:r>
      <w:r>
        <w:rPr/>
        <w:t>so</w:t>
      </w:r>
      <w:r>
        <w:rPr>
          <w:spacing w:val="-22"/>
        </w:rPr>
        <w:t> </w:t>
      </w:r>
      <w:r>
        <w:rPr/>
        <w:t>severe</w:t>
      </w:r>
      <w:r>
        <w:rPr>
          <w:spacing w:val="-20"/>
        </w:rPr>
        <w:t> </w:t>
      </w:r>
      <w:r>
        <w:rPr/>
        <w:t>that</w:t>
      </w:r>
      <w:r>
        <w:rPr>
          <w:spacing w:val="-22"/>
        </w:rPr>
        <w:t> </w:t>
      </w:r>
      <w:r>
        <w:rPr/>
        <w:t>Dr.</w:t>
      </w:r>
      <w:r>
        <w:rPr>
          <w:spacing w:val="-20"/>
        </w:rPr>
        <w:t> </w:t>
      </w:r>
      <w:r>
        <w:rPr/>
        <w:t>Asai</w:t>
      </w:r>
      <w:r>
        <w:rPr>
          <w:spacing w:val="-21"/>
        </w:rPr>
        <w:t> </w:t>
      </w:r>
      <w:r>
        <w:rPr/>
        <w:t>and</w:t>
      </w:r>
      <w:r>
        <w:rPr>
          <w:spacing w:val="-20"/>
        </w:rPr>
        <w:t> </w:t>
      </w:r>
      <w:r>
        <w:rPr/>
        <w:t>his</w:t>
      </w:r>
      <w:r>
        <w:rPr>
          <w:spacing w:val="-23"/>
        </w:rPr>
        <w:t> </w:t>
      </w:r>
      <w:r>
        <w:rPr/>
        <w:t>family</w:t>
      </w:r>
      <w:r>
        <w:rPr>
          <w:spacing w:val="-21"/>
        </w:rPr>
        <w:t> </w:t>
      </w:r>
      <w:r>
        <w:rPr/>
        <w:t>feared for</w:t>
      </w:r>
      <w:r>
        <w:rPr>
          <w:spacing w:val="-4"/>
        </w:rPr>
        <w:t> </w:t>
      </w:r>
      <w:r>
        <w:rPr/>
        <w:t>the</w:t>
      </w:r>
      <w:r>
        <w:rPr>
          <w:spacing w:val="-3"/>
        </w:rPr>
        <w:t> </w:t>
      </w:r>
      <w:r>
        <w:rPr/>
        <w:t>life</w:t>
      </w:r>
      <w:r>
        <w:rPr>
          <w:spacing w:val="-7"/>
        </w:rPr>
        <w:t> </w:t>
      </w:r>
      <w:r>
        <w:rPr/>
        <w:t>of</w:t>
      </w:r>
      <w:r>
        <w:rPr>
          <w:spacing w:val="-5"/>
        </w:rPr>
        <w:t> </w:t>
      </w:r>
      <w:r>
        <w:rPr/>
        <w:t>the</w:t>
      </w:r>
      <w:r>
        <w:rPr>
          <w:spacing w:val="-3"/>
        </w:rPr>
        <w:t> </w:t>
      </w:r>
      <w:r>
        <w:rPr/>
        <w:t>beloved</w:t>
      </w:r>
      <w:r>
        <w:rPr>
          <w:spacing w:val="-4"/>
        </w:rPr>
        <w:t> </w:t>
      </w:r>
      <w:r>
        <w:rPr/>
        <w:t>animal.</w:t>
      </w:r>
      <w:r>
        <w:rPr>
          <w:spacing w:val="-5"/>
        </w:rPr>
        <w:t> </w:t>
      </w:r>
      <w:r>
        <w:rPr/>
        <w:t>Dr.</w:t>
      </w:r>
      <w:r>
        <w:rPr>
          <w:spacing w:val="-6"/>
        </w:rPr>
        <w:t> </w:t>
      </w:r>
      <w:r>
        <w:rPr/>
        <w:t>Asai</w:t>
      </w:r>
      <w:r>
        <w:rPr>
          <w:spacing w:val="-4"/>
        </w:rPr>
        <w:t> </w:t>
      </w:r>
      <w:r>
        <w:rPr/>
        <w:t>treated</w:t>
      </w:r>
      <w:r>
        <w:rPr>
          <w:spacing w:val="-6"/>
        </w:rPr>
        <w:t> </w:t>
      </w:r>
      <w:r>
        <w:rPr/>
        <w:t>the</w:t>
      </w:r>
      <w:r>
        <w:rPr>
          <w:spacing w:val="-3"/>
        </w:rPr>
        <w:t> </w:t>
      </w:r>
      <w:r>
        <w:rPr/>
        <w:t>Siamese</w:t>
      </w:r>
      <w:r>
        <w:rPr>
          <w:spacing w:val="-3"/>
        </w:rPr>
        <w:t> </w:t>
      </w:r>
      <w:r>
        <w:rPr/>
        <w:t>cat</w:t>
      </w:r>
      <w:r>
        <w:rPr>
          <w:spacing w:val="-6"/>
        </w:rPr>
        <w:t> </w:t>
      </w:r>
      <w:r>
        <w:rPr/>
        <w:t>in</w:t>
      </w:r>
      <w:r>
        <w:rPr>
          <w:spacing w:val="-4"/>
        </w:rPr>
        <w:t> </w:t>
      </w:r>
      <w:r>
        <w:rPr/>
        <w:t>the</w:t>
      </w:r>
      <w:r>
        <w:rPr>
          <w:spacing w:val="-7"/>
        </w:rPr>
        <w:t> </w:t>
      </w:r>
      <w:r>
        <w:rPr/>
        <w:t>pres- ence</w:t>
      </w:r>
      <w:r>
        <w:rPr>
          <w:spacing w:val="-14"/>
        </w:rPr>
        <w:t> </w:t>
      </w:r>
      <w:r>
        <w:rPr/>
        <w:t>of</w:t>
      </w:r>
      <w:r>
        <w:rPr>
          <w:spacing w:val="-13"/>
        </w:rPr>
        <w:t> </w:t>
      </w:r>
      <w:r>
        <w:rPr/>
        <w:t>a</w:t>
      </w:r>
      <w:r>
        <w:rPr>
          <w:spacing w:val="-15"/>
        </w:rPr>
        <w:t> </w:t>
      </w:r>
      <w:r>
        <w:rPr/>
        <w:t>veterinarian</w:t>
      </w:r>
      <w:r>
        <w:rPr>
          <w:spacing w:val="-13"/>
        </w:rPr>
        <w:t> </w:t>
      </w:r>
      <w:r>
        <w:rPr/>
        <w:t>both</w:t>
      </w:r>
      <w:r>
        <w:rPr>
          <w:spacing w:val="-14"/>
        </w:rPr>
        <w:t> </w:t>
      </w:r>
      <w:r>
        <w:rPr/>
        <w:t>internally</w:t>
      </w:r>
      <w:r>
        <w:rPr>
          <w:spacing w:val="-14"/>
        </w:rPr>
        <w:t> </w:t>
      </w:r>
      <w:r>
        <w:rPr/>
        <w:t>and</w:t>
      </w:r>
      <w:r>
        <w:rPr>
          <w:spacing w:val="-13"/>
        </w:rPr>
        <w:t> </w:t>
      </w:r>
      <w:r>
        <w:rPr/>
        <w:t>externally</w:t>
      </w:r>
      <w:r>
        <w:rPr>
          <w:spacing w:val="-14"/>
        </w:rPr>
        <w:t> </w:t>
      </w:r>
      <w:r>
        <w:rPr/>
        <w:t>by</w:t>
      </w:r>
      <w:r>
        <w:rPr>
          <w:spacing w:val="-13"/>
        </w:rPr>
        <w:t> </w:t>
      </w:r>
      <w:r>
        <w:rPr/>
        <w:t>giving</w:t>
      </w:r>
      <w:r>
        <w:rPr>
          <w:spacing w:val="-13"/>
        </w:rPr>
        <w:t> </w:t>
      </w:r>
      <w:r>
        <w:rPr/>
        <w:t>the</w:t>
      </w:r>
      <w:r>
        <w:rPr>
          <w:spacing w:val="-12"/>
        </w:rPr>
        <w:t> </w:t>
      </w:r>
      <w:r>
        <w:rPr/>
        <w:t>cat</w:t>
      </w:r>
      <w:r>
        <w:rPr>
          <w:spacing w:val="-15"/>
        </w:rPr>
        <w:t> </w:t>
      </w:r>
      <w:r>
        <w:rPr/>
        <w:t>a</w:t>
      </w:r>
      <w:r>
        <w:rPr>
          <w:spacing w:val="-14"/>
        </w:rPr>
        <w:t> </w:t>
      </w:r>
      <w:r>
        <w:rPr/>
        <w:t>solution of</w:t>
      </w:r>
      <w:r>
        <w:rPr>
          <w:spacing w:val="-12"/>
        </w:rPr>
        <w:t> </w:t>
      </w:r>
      <w:r>
        <w:rPr/>
        <w:t>organic</w:t>
      </w:r>
      <w:r>
        <w:rPr>
          <w:spacing w:val="-15"/>
        </w:rPr>
        <w:t> </w:t>
      </w:r>
      <w:r>
        <w:rPr/>
        <w:t>germanium</w:t>
      </w:r>
      <w:r>
        <w:rPr>
          <w:spacing w:val="-13"/>
        </w:rPr>
        <w:t> </w:t>
      </w:r>
      <w:r>
        <w:rPr/>
        <w:t>to</w:t>
      </w:r>
      <w:r>
        <w:rPr>
          <w:spacing w:val="-11"/>
        </w:rPr>
        <w:t> </w:t>
      </w:r>
      <w:r>
        <w:rPr/>
        <w:t>drink</w:t>
      </w:r>
      <w:r>
        <w:rPr>
          <w:spacing w:val="-12"/>
        </w:rPr>
        <w:t> </w:t>
      </w:r>
      <w:r>
        <w:rPr/>
        <w:t>and</w:t>
      </w:r>
      <w:r>
        <w:rPr>
          <w:spacing w:val="-12"/>
        </w:rPr>
        <w:t> </w:t>
      </w:r>
      <w:r>
        <w:rPr/>
        <w:t>at</w:t>
      </w:r>
      <w:r>
        <w:rPr>
          <w:spacing w:val="-13"/>
        </w:rPr>
        <w:t> </w:t>
      </w:r>
      <w:r>
        <w:rPr/>
        <w:t>the</w:t>
      </w:r>
      <w:r>
        <w:rPr>
          <w:spacing w:val="-13"/>
        </w:rPr>
        <w:t> </w:t>
      </w:r>
      <w:r>
        <w:rPr/>
        <w:t>same</w:t>
      </w:r>
      <w:r>
        <w:rPr>
          <w:spacing w:val="-11"/>
        </w:rPr>
        <w:t> </w:t>
      </w:r>
      <w:r>
        <w:rPr/>
        <w:t>time</w:t>
      </w:r>
      <w:r>
        <w:rPr>
          <w:spacing w:val="-12"/>
        </w:rPr>
        <w:t> </w:t>
      </w:r>
      <w:r>
        <w:rPr/>
        <w:t>applying</w:t>
      </w:r>
      <w:r>
        <w:rPr>
          <w:spacing w:val="-11"/>
        </w:rPr>
        <w:t> </w:t>
      </w:r>
      <w:r>
        <w:rPr/>
        <w:t>bandages</w:t>
      </w:r>
      <w:r>
        <w:rPr>
          <w:spacing w:val="-12"/>
        </w:rPr>
        <w:t> </w:t>
      </w:r>
      <w:r>
        <w:rPr/>
        <w:t>dipped in organic germanium to the animal.</w:t>
      </w:r>
    </w:p>
    <w:p>
      <w:pPr>
        <w:pStyle w:val="BodyText"/>
        <w:spacing w:line="276" w:lineRule="auto" w:before="240"/>
        <w:ind w:left="616" w:right="137"/>
        <w:jc w:val="both"/>
      </w:pPr>
      <w:r>
        <w:rPr/>
        <w:t>A few days later, when the veterinarian came to visit, he was amazed by the rapid healing of the wounds and made the comment that he now believed in miracles...</w:t>
      </w:r>
    </w:p>
    <w:p>
      <w:pPr>
        <w:pStyle w:val="Heading1"/>
        <w:ind w:left="616"/>
        <w:jc w:val="both"/>
      </w:pPr>
      <w:r>
        <w:rPr/>
        <w:t>Healing of koi carp</w:t>
      </w:r>
    </w:p>
    <w:p>
      <w:pPr>
        <w:spacing w:after="0"/>
        <w:jc w:val="both"/>
        <w:sectPr>
          <w:footerReference w:type="default" r:id="rId280"/>
          <w:pgSz w:w="14270" w:h="16850"/>
          <w:pgMar w:footer="1891" w:header="0" w:top="1340" w:bottom="2080" w:left="800" w:right="1280"/>
          <w:pgNumType w:start="1160"/>
        </w:sectPr>
      </w:pPr>
    </w:p>
    <w:p>
      <w:pPr>
        <w:pStyle w:val="BodyText"/>
        <w:spacing w:line="276" w:lineRule="auto" w:before="74"/>
        <w:ind w:left="616" w:right="130"/>
        <w:jc w:val="both"/>
      </w:pPr>
      <w:r>
        <w:rPr/>
        <w:t>Koi</w:t>
      </w:r>
      <w:r>
        <w:rPr>
          <w:spacing w:val="-22"/>
        </w:rPr>
        <w:t> </w:t>
      </w:r>
      <w:r>
        <w:rPr/>
        <w:t>carp</w:t>
      </w:r>
      <w:r>
        <w:rPr>
          <w:spacing w:val="-20"/>
        </w:rPr>
        <w:t> </w:t>
      </w:r>
      <w:r>
        <w:rPr/>
        <w:t>are</w:t>
      </w:r>
      <w:r>
        <w:rPr>
          <w:spacing w:val="-21"/>
        </w:rPr>
        <w:t> </w:t>
      </w:r>
      <w:r>
        <w:rPr/>
        <w:t>considered</w:t>
      </w:r>
      <w:r>
        <w:rPr>
          <w:spacing w:val="-21"/>
        </w:rPr>
        <w:t> </w:t>
      </w:r>
      <w:r>
        <w:rPr/>
        <w:t>highly</w:t>
      </w:r>
      <w:r>
        <w:rPr>
          <w:spacing w:val="-22"/>
        </w:rPr>
        <w:t> </w:t>
      </w:r>
      <w:r>
        <w:rPr/>
        <w:t>susceptible</w:t>
      </w:r>
      <w:r>
        <w:rPr>
          <w:spacing w:val="-20"/>
        </w:rPr>
        <w:t> </w:t>
      </w:r>
      <w:r>
        <w:rPr/>
        <w:t>to</w:t>
      </w:r>
      <w:r>
        <w:rPr>
          <w:spacing w:val="-21"/>
        </w:rPr>
        <w:t> </w:t>
      </w:r>
      <w:r>
        <w:rPr/>
        <w:t>all</w:t>
      </w:r>
      <w:r>
        <w:rPr>
          <w:spacing w:val="-23"/>
        </w:rPr>
        <w:t> </w:t>
      </w:r>
      <w:r>
        <w:rPr/>
        <w:t>kinds</w:t>
      </w:r>
      <w:r>
        <w:rPr>
          <w:spacing w:val="-21"/>
        </w:rPr>
        <w:t> </w:t>
      </w:r>
      <w:r>
        <w:rPr/>
        <w:t>of</w:t>
      </w:r>
      <w:r>
        <w:rPr>
          <w:spacing w:val="-21"/>
        </w:rPr>
        <w:t> </w:t>
      </w:r>
      <w:r>
        <w:rPr/>
        <w:t>diseases.</w:t>
      </w:r>
      <w:r>
        <w:rPr>
          <w:spacing w:val="-22"/>
        </w:rPr>
        <w:t> </w:t>
      </w:r>
      <w:r>
        <w:rPr/>
        <w:t>An</w:t>
      </w:r>
      <w:r>
        <w:rPr>
          <w:spacing w:val="-21"/>
        </w:rPr>
        <w:t> </w:t>
      </w:r>
      <w:r>
        <w:rPr/>
        <w:t>acquaint- ance</w:t>
      </w:r>
      <w:r>
        <w:rPr>
          <w:spacing w:val="-11"/>
        </w:rPr>
        <w:t> </w:t>
      </w:r>
      <w:r>
        <w:rPr/>
        <w:t>of</w:t>
      </w:r>
      <w:r>
        <w:rPr>
          <w:spacing w:val="-10"/>
        </w:rPr>
        <w:t> </w:t>
      </w:r>
      <w:r>
        <w:rPr/>
        <w:t>Dr.</w:t>
      </w:r>
      <w:r>
        <w:rPr>
          <w:spacing w:val="-12"/>
        </w:rPr>
        <w:t> </w:t>
      </w:r>
      <w:r>
        <w:rPr/>
        <w:t>Asai</w:t>
      </w:r>
      <w:r>
        <w:rPr>
          <w:spacing w:val="-11"/>
        </w:rPr>
        <w:t> </w:t>
      </w:r>
      <w:r>
        <w:rPr/>
        <w:t>was</w:t>
      </w:r>
      <w:r>
        <w:rPr>
          <w:spacing w:val="-11"/>
        </w:rPr>
        <w:t> </w:t>
      </w:r>
      <w:r>
        <w:rPr/>
        <w:t>complaining</w:t>
      </w:r>
      <w:r>
        <w:rPr>
          <w:spacing w:val="-10"/>
        </w:rPr>
        <w:t> </w:t>
      </w:r>
      <w:r>
        <w:rPr/>
        <w:t>one</w:t>
      </w:r>
      <w:r>
        <w:rPr>
          <w:spacing w:val="-13"/>
        </w:rPr>
        <w:t> </w:t>
      </w:r>
      <w:r>
        <w:rPr/>
        <w:t>day</w:t>
      </w:r>
      <w:r>
        <w:rPr>
          <w:spacing w:val="-11"/>
        </w:rPr>
        <w:t> </w:t>
      </w:r>
      <w:r>
        <w:rPr/>
        <w:t>that</w:t>
      </w:r>
      <w:r>
        <w:rPr>
          <w:spacing w:val="-12"/>
        </w:rPr>
        <w:t> </w:t>
      </w:r>
      <w:r>
        <w:rPr/>
        <w:t>his</w:t>
      </w:r>
      <w:r>
        <w:rPr>
          <w:spacing w:val="-10"/>
        </w:rPr>
        <w:t> </w:t>
      </w:r>
      <w:r>
        <w:rPr/>
        <w:t>koi</w:t>
      </w:r>
      <w:r>
        <w:rPr>
          <w:spacing w:val="-10"/>
        </w:rPr>
        <w:t> </w:t>
      </w:r>
      <w:r>
        <w:rPr/>
        <w:t>were</w:t>
      </w:r>
      <w:r>
        <w:rPr>
          <w:spacing w:val="-10"/>
        </w:rPr>
        <w:t> </w:t>
      </w:r>
      <w:r>
        <w:rPr/>
        <w:t>lying</w:t>
      </w:r>
      <w:r>
        <w:rPr>
          <w:spacing w:val="-13"/>
        </w:rPr>
        <w:t> </w:t>
      </w:r>
      <w:r>
        <w:rPr/>
        <w:t>on</w:t>
      </w:r>
      <w:r>
        <w:rPr>
          <w:spacing w:val="-11"/>
        </w:rPr>
        <w:t> </w:t>
      </w:r>
      <w:r>
        <w:rPr/>
        <w:t>their</w:t>
      </w:r>
      <w:r>
        <w:rPr>
          <w:spacing w:val="-12"/>
        </w:rPr>
        <w:t> </w:t>
      </w:r>
      <w:r>
        <w:rPr/>
        <w:t>sides and gasping for air and were losing their scales. Dr. Asai recommended to his acquaintance that he put a cup of the germanium solution into the water for the</w:t>
      </w:r>
      <w:r>
        <w:rPr>
          <w:spacing w:val="-17"/>
        </w:rPr>
        <w:t> </w:t>
      </w:r>
      <w:r>
        <w:rPr/>
        <w:t>carp</w:t>
      </w:r>
      <w:r>
        <w:rPr>
          <w:spacing w:val="-16"/>
        </w:rPr>
        <w:t> </w:t>
      </w:r>
      <w:r>
        <w:rPr/>
        <w:t>which</w:t>
      </w:r>
      <w:r>
        <w:rPr>
          <w:spacing w:val="-17"/>
        </w:rPr>
        <w:t> </w:t>
      </w:r>
      <w:r>
        <w:rPr/>
        <w:t>were</w:t>
      </w:r>
      <w:r>
        <w:rPr>
          <w:spacing w:val="-16"/>
        </w:rPr>
        <w:t> </w:t>
      </w:r>
      <w:r>
        <w:rPr/>
        <w:t>closer</w:t>
      </w:r>
      <w:r>
        <w:rPr>
          <w:spacing w:val="-16"/>
        </w:rPr>
        <w:t> </w:t>
      </w:r>
      <w:r>
        <w:rPr/>
        <w:t>to</w:t>
      </w:r>
      <w:r>
        <w:rPr>
          <w:spacing w:val="-17"/>
        </w:rPr>
        <w:t> </w:t>
      </w:r>
      <w:r>
        <w:rPr/>
        <w:t>death</w:t>
      </w:r>
      <w:r>
        <w:rPr>
          <w:spacing w:val="-17"/>
        </w:rPr>
        <w:t> </w:t>
      </w:r>
      <w:r>
        <w:rPr/>
        <w:t>than</w:t>
      </w:r>
      <w:r>
        <w:rPr>
          <w:spacing w:val="-16"/>
        </w:rPr>
        <w:t> </w:t>
      </w:r>
      <w:r>
        <w:rPr/>
        <w:t>life.</w:t>
      </w:r>
      <w:r>
        <w:rPr>
          <w:spacing w:val="-18"/>
        </w:rPr>
        <w:t> </w:t>
      </w:r>
      <w:r>
        <w:rPr/>
        <w:t>The</w:t>
      </w:r>
      <w:r>
        <w:rPr>
          <w:spacing w:val="-16"/>
        </w:rPr>
        <w:t> </w:t>
      </w:r>
      <w:r>
        <w:rPr/>
        <w:t>fish</w:t>
      </w:r>
      <w:r>
        <w:rPr>
          <w:spacing w:val="-16"/>
        </w:rPr>
        <w:t> </w:t>
      </w:r>
      <w:r>
        <w:rPr/>
        <w:t>recovered</w:t>
      </w:r>
      <w:r>
        <w:rPr>
          <w:spacing w:val="-21"/>
        </w:rPr>
        <w:t> </w:t>
      </w:r>
      <w:r>
        <w:rPr/>
        <w:t>in</w:t>
      </w:r>
      <w:r>
        <w:rPr>
          <w:spacing w:val="-17"/>
        </w:rPr>
        <w:t> </w:t>
      </w:r>
      <w:r>
        <w:rPr/>
        <w:t>a</w:t>
      </w:r>
      <w:r>
        <w:rPr>
          <w:spacing w:val="-18"/>
        </w:rPr>
        <w:t> </w:t>
      </w:r>
      <w:r>
        <w:rPr/>
        <w:t>very</w:t>
      </w:r>
      <w:r>
        <w:rPr>
          <w:spacing w:val="-17"/>
        </w:rPr>
        <w:t> </w:t>
      </w:r>
      <w:r>
        <w:rPr/>
        <w:t>short period of time, swam around vigorously in their pond and willingly accepted food.</w:t>
      </w:r>
    </w:p>
    <w:p>
      <w:pPr>
        <w:pStyle w:val="Heading1"/>
        <w:ind w:left="616"/>
        <w:jc w:val="both"/>
      </w:pPr>
      <w:r>
        <w:rPr/>
        <w:t>Veterinarians demand quick approval of organic germanium</w:t>
      </w:r>
    </w:p>
    <w:p>
      <w:pPr>
        <w:pStyle w:val="BodyText"/>
        <w:spacing w:line="276" w:lineRule="auto" w:before="299"/>
        <w:ind w:left="616" w:right="132"/>
        <w:jc w:val="both"/>
      </w:pPr>
      <w:r>
        <w:rPr/>
        <w:t>Not</w:t>
      </w:r>
      <w:r>
        <w:rPr>
          <w:spacing w:val="-23"/>
        </w:rPr>
        <w:t> </w:t>
      </w:r>
      <w:r>
        <w:rPr/>
        <w:t>only</w:t>
      </w:r>
      <w:r>
        <w:rPr>
          <w:spacing w:val="-23"/>
        </w:rPr>
        <w:t> </w:t>
      </w:r>
      <w:r>
        <w:rPr/>
        <w:t>bad</w:t>
      </w:r>
      <w:r>
        <w:rPr>
          <w:spacing w:val="-23"/>
        </w:rPr>
        <w:t> </w:t>
      </w:r>
      <w:r>
        <w:rPr/>
        <w:t>news</w:t>
      </w:r>
      <w:r>
        <w:rPr>
          <w:spacing w:val="-23"/>
        </w:rPr>
        <w:t> </w:t>
      </w:r>
      <w:r>
        <w:rPr/>
        <w:t>spreads</w:t>
      </w:r>
      <w:r>
        <w:rPr>
          <w:spacing w:val="-23"/>
        </w:rPr>
        <w:t> </w:t>
      </w:r>
      <w:r>
        <w:rPr/>
        <w:t>like</w:t>
      </w:r>
      <w:r>
        <w:rPr>
          <w:spacing w:val="-24"/>
        </w:rPr>
        <w:t> </w:t>
      </w:r>
      <w:r>
        <w:rPr/>
        <w:t>wildfire—sometimes</w:t>
      </w:r>
      <w:r>
        <w:rPr>
          <w:spacing w:val="-21"/>
        </w:rPr>
        <w:t> </w:t>
      </w:r>
      <w:r>
        <w:rPr/>
        <w:t>good</w:t>
      </w:r>
      <w:r>
        <w:rPr>
          <w:spacing w:val="-22"/>
        </w:rPr>
        <w:t> </w:t>
      </w:r>
      <w:r>
        <w:rPr/>
        <w:t>news</w:t>
      </w:r>
      <w:r>
        <w:rPr>
          <w:spacing w:val="-25"/>
        </w:rPr>
        <w:t> </w:t>
      </w:r>
      <w:r>
        <w:rPr/>
        <w:t>does,</w:t>
      </w:r>
      <w:r>
        <w:rPr>
          <w:spacing w:val="-22"/>
        </w:rPr>
        <w:t> </w:t>
      </w:r>
      <w:r>
        <w:rPr/>
        <w:t>too!</w:t>
      </w:r>
      <w:r>
        <w:rPr>
          <w:spacing w:val="-25"/>
        </w:rPr>
        <w:t> </w:t>
      </w:r>
      <w:r>
        <w:rPr/>
        <w:t>The news</w:t>
      </w:r>
      <w:r>
        <w:rPr>
          <w:spacing w:val="-12"/>
        </w:rPr>
        <w:t> </w:t>
      </w:r>
      <w:r>
        <w:rPr/>
        <w:t>about</w:t>
      </w:r>
      <w:r>
        <w:rPr>
          <w:spacing w:val="-12"/>
        </w:rPr>
        <w:t> </w:t>
      </w:r>
      <w:r>
        <w:rPr/>
        <w:t>the</w:t>
      </w:r>
      <w:r>
        <w:rPr>
          <w:spacing w:val="-11"/>
        </w:rPr>
        <w:t> </w:t>
      </w:r>
      <w:r>
        <w:rPr/>
        <w:t>successful</w:t>
      </w:r>
      <w:r>
        <w:rPr>
          <w:spacing w:val="-12"/>
        </w:rPr>
        <w:t> </w:t>
      </w:r>
      <w:r>
        <w:rPr/>
        <w:t>treatment</w:t>
      </w:r>
      <w:r>
        <w:rPr>
          <w:spacing w:val="-11"/>
        </w:rPr>
        <w:t> </w:t>
      </w:r>
      <w:r>
        <w:rPr/>
        <w:t>of</w:t>
      </w:r>
      <w:r>
        <w:rPr>
          <w:spacing w:val="-11"/>
        </w:rPr>
        <w:t> </w:t>
      </w:r>
      <w:r>
        <w:rPr/>
        <w:t>the</w:t>
      </w:r>
      <w:r>
        <w:rPr>
          <w:spacing w:val="-10"/>
        </w:rPr>
        <w:t> </w:t>
      </w:r>
      <w:r>
        <w:rPr/>
        <w:t>animals</w:t>
      </w:r>
      <w:r>
        <w:rPr>
          <w:spacing w:val="-11"/>
        </w:rPr>
        <w:t> </w:t>
      </w:r>
      <w:r>
        <w:rPr/>
        <w:t>spread</w:t>
      </w:r>
      <w:r>
        <w:rPr>
          <w:spacing w:val="-12"/>
        </w:rPr>
        <w:t> </w:t>
      </w:r>
      <w:r>
        <w:rPr/>
        <w:t>like</w:t>
      </w:r>
      <w:r>
        <w:rPr>
          <w:spacing w:val="-12"/>
        </w:rPr>
        <w:t> </w:t>
      </w:r>
      <w:r>
        <w:rPr/>
        <w:t>wildfire,</w:t>
      </w:r>
      <w:r>
        <w:rPr>
          <w:spacing w:val="-6"/>
        </w:rPr>
        <w:t> </w:t>
      </w:r>
      <w:r>
        <w:rPr/>
        <w:t>so</w:t>
      </w:r>
      <w:r>
        <w:rPr>
          <w:spacing w:val="-9"/>
        </w:rPr>
        <w:t> </w:t>
      </w:r>
      <w:r>
        <w:rPr/>
        <w:t>that veterinarians</w:t>
      </w:r>
      <w:r>
        <w:rPr>
          <w:spacing w:val="-10"/>
        </w:rPr>
        <w:t> </w:t>
      </w:r>
      <w:r>
        <w:rPr/>
        <w:t>also</w:t>
      </w:r>
      <w:r>
        <w:rPr>
          <w:spacing w:val="-10"/>
        </w:rPr>
        <w:t> </w:t>
      </w:r>
      <w:r>
        <w:rPr/>
        <w:t>began</w:t>
      </w:r>
      <w:r>
        <w:rPr>
          <w:spacing w:val="-9"/>
        </w:rPr>
        <w:t> </w:t>
      </w:r>
      <w:r>
        <w:rPr/>
        <w:t>to</w:t>
      </w:r>
      <w:r>
        <w:rPr>
          <w:spacing w:val="-12"/>
        </w:rPr>
        <w:t> </w:t>
      </w:r>
      <w:r>
        <w:rPr/>
        <w:t>treat</w:t>
      </w:r>
      <w:r>
        <w:rPr>
          <w:spacing w:val="-13"/>
        </w:rPr>
        <w:t> </w:t>
      </w:r>
      <w:r>
        <w:rPr/>
        <w:t>their</w:t>
      </w:r>
      <w:r>
        <w:rPr>
          <w:spacing w:val="-8"/>
        </w:rPr>
        <w:t> </w:t>
      </w:r>
      <w:r>
        <w:rPr/>
        <w:t>animal</w:t>
      </w:r>
      <w:r>
        <w:rPr>
          <w:spacing w:val="-11"/>
        </w:rPr>
        <w:t> </w:t>
      </w:r>
      <w:r>
        <w:rPr/>
        <w:t>patients</w:t>
      </w:r>
      <w:r>
        <w:rPr>
          <w:spacing w:val="-9"/>
        </w:rPr>
        <w:t> </w:t>
      </w:r>
      <w:r>
        <w:rPr/>
        <w:t>with</w:t>
      </w:r>
      <w:r>
        <w:rPr>
          <w:spacing w:val="-10"/>
        </w:rPr>
        <w:t> </w:t>
      </w:r>
      <w:r>
        <w:rPr/>
        <w:t>organic</w:t>
      </w:r>
      <w:r>
        <w:rPr>
          <w:spacing w:val="-11"/>
        </w:rPr>
        <w:t> </w:t>
      </w:r>
      <w:r>
        <w:rPr/>
        <w:t>germanium.</w:t>
      </w:r>
    </w:p>
    <w:p>
      <w:pPr>
        <w:pStyle w:val="BodyText"/>
        <w:spacing w:line="276" w:lineRule="auto" w:before="239"/>
        <w:ind w:left="616" w:right="136"/>
        <w:jc w:val="both"/>
      </w:pPr>
      <w:r>
        <w:rPr/>
        <w:t>The healing effects were so convincing, even with supposedly incurable ill- nesses, that many veterinarians thus demanded germanium be approved as quickly as possible.</w:t>
      </w:r>
    </w:p>
    <w:p>
      <w:pPr>
        <w:pStyle w:val="Heading1"/>
        <w:ind w:left="616"/>
        <w:jc w:val="both"/>
      </w:pPr>
      <w:r>
        <w:rPr/>
        <w:t>Organic germanium in official animal</w:t>
      </w:r>
      <w:r>
        <w:rPr>
          <w:spacing w:val="-60"/>
        </w:rPr>
        <w:t> </w:t>
      </w:r>
      <w:r>
        <w:rPr/>
        <w:t>trials</w:t>
      </w:r>
    </w:p>
    <w:p>
      <w:pPr>
        <w:pStyle w:val="BodyText"/>
        <w:spacing w:line="276" w:lineRule="auto" w:before="297"/>
        <w:ind w:left="616" w:right="135"/>
        <w:jc w:val="both"/>
      </w:pPr>
      <w:r>
        <w:rPr/>
        <w:t>In the meantime, his polyarthritis healed with the help of organic germanium, this</w:t>
      </w:r>
      <w:r>
        <w:rPr>
          <w:spacing w:val="-9"/>
        </w:rPr>
        <w:t> </w:t>
      </w:r>
      <w:r>
        <w:rPr/>
        <w:t>and</w:t>
      </w:r>
      <w:r>
        <w:rPr>
          <w:spacing w:val="-9"/>
        </w:rPr>
        <w:t> </w:t>
      </w:r>
      <w:r>
        <w:rPr/>
        <w:t>the</w:t>
      </w:r>
      <w:r>
        <w:rPr>
          <w:spacing w:val="-11"/>
        </w:rPr>
        <w:t> </w:t>
      </w:r>
      <w:r>
        <w:rPr/>
        <w:t>successful</w:t>
      </w:r>
      <w:r>
        <w:rPr>
          <w:spacing w:val="-11"/>
        </w:rPr>
        <w:t> </w:t>
      </w:r>
      <w:r>
        <w:rPr/>
        <w:t>healings</w:t>
      </w:r>
      <w:r>
        <w:rPr>
          <w:spacing w:val="-10"/>
        </w:rPr>
        <w:t> </w:t>
      </w:r>
      <w:r>
        <w:rPr/>
        <w:t>of</w:t>
      </w:r>
      <w:r>
        <w:rPr>
          <w:spacing w:val="-10"/>
        </w:rPr>
        <w:t> </w:t>
      </w:r>
      <w:r>
        <w:rPr/>
        <w:t>animals</w:t>
      </w:r>
      <w:r>
        <w:rPr>
          <w:spacing w:val="-9"/>
        </w:rPr>
        <w:t> </w:t>
      </w:r>
      <w:r>
        <w:rPr/>
        <w:t>gave</w:t>
      </w:r>
      <w:r>
        <w:rPr>
          <w:spacing w:val="-10"/>
        </w:rPr>
        <w:t> </w:t>
      </w:r>
      <w:r>
        <w:rPr/>
        <w:t>Dr.</w:t>
      </w:r>
      <w:r>
        <w:rPr>
          <w:spacing w:val="-8"/>
        </w:rPr>
        <w:t> </w:t>
      </w:r>
      <w:r>
        <w:rPr/>
        <w:t>Asai</w:t>
      </w:r>
      <w:r>
        <w:rPr>
          <w:spacing w:val="-12"/>
        </w:rPr>
        <w:t> </w:t>
      </w:r>
      <w:r>
        <w:rPr/>
        <w:t>so</w:t>
      </w:r>
      <w:r>
        <w:rPr>
          <w:spacing w:val="-10"/>
        </w:rPr>
        <w:t> </w:t>
      </w:r>
      <w:r>
        <w:rPr/>
        <w:t>much</w:t>
      </w:r>
      <w:r>
        <w:rPr>
          <w:spacing w:val="-11"/>
        </w:rPr>
        <w:t> </w:t>
      </w:r>
      <w:r>
        <w:rPr/>
        <w:t>courage</w:t>
      </w:r>
      <w:r>
        <w:rPr>
          <w:spacing w:val="-10"/>
        </w:rPr>
        <w:t> </w:t>
      </w:r>
      <w:r>
        <w:rPr/>
        <w:t>that he decided to aim for official animal trials with organic</w:t>
      </w:r>
      <w:r>
        <w:rPr>
          <w:spacing w:val="-5"/>
        </w:rPr>
        <w:t> </w:t>
      </w:r>
      <w:r>
        <w:rPr/>
        <w:t>germanium.</w:t>
      </w:r>
    </w:p>
    <w:p>
      <w:pPr>
        <w:pStyle w:val="Heading1"/>
        <w:ind w:left="616"/>
        <w:jc w:val="both"/>
      </w:pPr>
      <w:r>
        <w:rPr/>
        <w:t>Organic germanium non-toxic, safe, and free of side effects</w:t>
      </w:r>
    </w:p>
    <w:p>
      <w:pPr>
        <w:pStyle w:val="BodyText"/>
        <w:spacing w:before="300"/>
        <w:ind w:left="616"/>
        <w:jc w:val="both"/>
      </w:pPr>
      <w:r>
        <w:rPr/>
        <w:t>First, the potential toxicity (poisonousness) needed to be extensively tested in</w:t>
      </w:r>
    </w:p>
    <w:p>
      <w:pPr>
        <w:spacing w:after="0"/>
        <w:jc w:val="both"/>
        <w:sectPr>
          <w:pgSz w:w="14270" w:h="16850"/>
          <w:pgMar w:header="0" w:footer="1891" w:top="1340" w:bottom="2080" w:left="800" w:right="1280"/>
        </w:sectPr>
      </w:pPr>
    </w:p>
    <w:p>
      <w:pPr>
        <w:pStyle w:val="BodyText"/>
        <w:spacing w:line="276" w:lineRule="auto" w:before="72"/>
        <w:ind w:left="616" w:right="132"/>
        <w:jc w:val="both"/>
      </w:pPr>
      <w:r>
        <w:rPr/>
        <w:t>professional toxicity tests. After acute, sub-acute, and chronic toxicity includ- ing deforming effects could be ruled out and organic geranium turned out to be totally non-toxic and harmless, it was not especially difficult for Dr. Asai, on the basis of the previous miraculous healings, to accumulate the necessary capital and open his own clinic on the outskirts of Tokyo focused on the re- search of and treatment with organic germanium.</w:t>
      </w:r>
    </w:p>
    <w:p>
      <w:pPr>
        <w:pStyle w:val="Heading1"/>
        <w:spacing w:before="225"/>
        <w:ind w:left="616"/>
      </w:pPr>
      <w:r>
        <w:rPr/>
        <w:t>Amazing recovery of untreatable patients</w:t>
      </w:r>
    </w:p>
    <w:p>
      <w:pPr>
        <w:spacing w:line="276" w:lineRule="auto" w:before="300"/>
        <w:ind w:left="616" w:right="132" w:firstLine="0"/>
        <w:jc w:val="both"/>
        <w:rPr>
          <w:i/>
          <w:sz w:val="25"/>
        </w:rPr>
      </w:pPr>
      <w:r>
        <w:rPr>
          <w:sz w:val="38"/>
        </w:rPr>
        <w:t>Parallel</w:t>
      </w:r>
      <w:r>
        <w:rPr>
          <w:spacing w:val="-18"/>
          <w:sz w:val="38"/>
        </w:rPr>
        <w:t> </w:t>
      </w:r>
      <w:r>
        <w:rPr>
          <w:sz w:val="38"/>
        </w:rPr>
        <w:t>to</w:t>
      </w:r>
      <w:r>
        <w:rPr>
          <w:spacing w:val="-16"/>
          <w:sz w:val="38"/>
        </w:rPr>
        <w:t> </w:t>
      </w:r>
      <w:r>
        <w:rPr>
          <w:sz w:val="38"/>
        </w:rPr>
        <w:t>this,</w:t>
      </w:r>
      <w:r>
        <w:rPr>
          <w:spacing w:val="-19"/>
          <w:sz w:val="38"/>
        </w:rPr>
        <w:t> </w:t>
      </w:r>
      <w:r>
        <w:rPr>
          <w:sz w:val="38"/>
        </w:rPr>
        <w:t>Asai’s</w:t>
      </w:r>
      <w:r>
        <w:rPr>
          <w:spacing w:val="-17"/>
          <w:sz w:val="38"/>
        </w:rPr>
        <w:t> </w:t>
      </w:r>
      <w:r>
        <w:rPr>
          <w:sz w:val="38"/>
        </w:rPr>
        <w:t>medical</w:t>
      </w:r>
      <w:r>
        <w:rPr>
          <w:spacing w:val="-17"/>
          <w:sz w:val="38"/>
        </w:rPr>
        <w:t> </w:t>
      </w:r>
      <w:r>
        <w:rPr>
          <w:sz w:val="38"/>
        </w:rPr>
        <w:t>colleagues</w:t>
      </w:r>
      <w:r>
        <w:rPr>
          <w:spacing w:val="-16"/>
          <w:sz w:val="38"/>
        </w:rPr>
        <w:t> </w:t>
      </w:r>
      <w:r>
        <w:rPr>
          <w:sz w:val="38"/>
        </w:rPr>
        <w:t>made</w:t>
      </w:r>
      <w:r>
        <w:rPr>
          <w:spacing w:val="-18"/>
          <w:sz w:val="38"/>
        </w:rPr>
        <w:t> </w:t>
      </w:r>
      <w:r>
        <w:rPr>
          <w:sz w:val="38"/>
        </w:rPr>
        <w:t>it</w:t>
      </w:r>
      <w:r>
        <w:rPr>
          <w:spacing w:val="-18"/>
          <w:sz w:val="38"/>
        </w:rPr>
        <w:t> </w:t>
      </w:r>
      <w:r>
        <w:rPr>
          <w:sz w:val="38"/>
        </w:rPr>
        <w:t>clear</w:t>
      </w:r>
      <w:r>
        <w:rPr>
          <w:spacing w:val="-16"/>
          <w:sz w:val="38"/>
        </w:rPr>
        <w:t> </w:t>
      </w:r>
      <w:r>
        <w:rPr>
          <w:sz w:val="38"/>
        </w:rPr>
        <w:t>that</w:t>
      </w:r>
      <w:r>
        <w:rPr>
          <w:spacing w:val="-20"/>
          <w:sz w:val="38"/>
        </w:rPr>
        <w:t> </w:t>
      </w:r>
      <w:r>
        <w:rPr>
          <w:sz w:val="38"/>
        </w:rPr>
        <w:t>they</w:t>
      </w:r>
      <w:r>
        <w:rPr>
          <w:spacing w:val="-20"/>
          <w:sz w:val="38"/>
        </w:rPr>
        <w:t> </w:t>
      </w:r>
      <w:r>
        <w:rPr>
          <w:sz w:val="38"/>
        </w:rPr>
        <w:t>were</w:t>
      </w:r>
      <w:r>
        <w:rPr>
          <w:spacing w:val="-16"/>
          <w:sz w:val="38"/>
        </w:rPr>
        <w:t> </w:t>
      </w:r>
      <w:r>
        <w:rPr>
          <w:sz w:val="38"/>
        </w:rPr>
        <w:t>also</w:t>
      </w:r>
      <w:r>
        <w:rPr>
          <w:spacing w:val="-19"/>
          <w:sz w:val="38"/>
        </w:rPr>
        <w:t> </w:t>
      </w:r>
      <w:r>
        <w:rPr>
          <w:sz w:val="38"/>
        </w:rPr>
        <w:t>ready to treat their patients with organic germanium, so that they could profit from the major experience. In his book </w:t>
      </w:r>
      <w:r>
        <w:rPr>
          <w:i/>
          <w:sz w:val="38"/>
        </w:rPr>
        <w:t>Organic Germanium – A Hope for Many Ill Peo- </w:t>
      </w:r>
      <w:r>
        <w:rPr>
          <w:i/>
          <w:sz w:val="38"/>
        </w:rPr>
        <w:t>ple</w:t>
      </w:r>
      <w:r>
        <w:rPr>
          <w:sz w:val="38"/>
        </w:rPr>
        <w:t>, Dr. Asai describes the ‘</w:t>
      </w:r>
      <w:r>
        <w:rPr>
          <w:i/>
          <w:sz w:val="38"/>
        </w:rPr>
        <w:t>amazing recovery of patients with illnesses that hardly re- </w:t>
      </w:r>
      <w:r>
        <w:rPr>
          <w:i/>
          <w:sz w:val="38"/>
        </w:rPr>
        <w:t>sponded to pharmaceutical treatment</w:t>
      </w:r>
      <w:r>
        <w:rPr>
          <w:sz w:val="38"/>
        </w:rPr>
        <w:t>’.</w:t>
      </w:r>
      <w:r>
        <w:rPr>
          <w:spacing w:val="-1"/>
          <w:sz w:val="38"/>
        </w:rPr>
        <w:t> </w:t>
      </w:r>
      <w:r>
        <w:rPr>
          <w:i/>
          <w:position w:val="9"/>
          <w:sz w:val="25"/>
        </w:rPr>
        <w:t>653</w:t>
      </w:r>
    </w:p>
    <w:p>
      <w:pPr>
        <w:pStyle w:val="Heading2"/>
        <w:spacing w:before="239"/>
        <w:ind w:left="616"/>
      </w:pPr>
      <w:r>
        <w:rPr/>
        <w:t>How does organic germanium work?</w:t>
      </w:r>
    </w:p>
    <w:p>
      <w:pPr>
        <w:pStyle w:val="BodyText"/>
        <w:spacing w:line="276" w:lineRule="auto" w:before="305"/>
        <w:ind w:left="616" w:right="136"/>
        <w:jc w:val="both"/>
      </w:pPr>
      <w:r>
        <w:rPr/>
        <w:t>Before we speak about the specific effects of organic germanium on illnesses, it will be interesting to learn which operating principles lead to the</w:t>
      </w:r>
      <w:r>
        <w:rPr>
          <w:spacing w:val="-41"/>
        </w:rPr>
        <w:t> </w:t>
      </w:r>
      <w:r>
        <w:rPr/>
        <w:t>astounding recoveries. As soon as an individual natural substance shows itself to have a positive influence on a variety of illnesses, and even to heal them, it is logical to assume that it is a matter of a comprehensive overall effect. This is exactly the case with organic germanium and these properties are due to its specific structure, composition and its electrical</w:t>
      </w:r>
      <w:r>
        <w:rPr>
          <w:spacing w:val="-2"/>
        </w:rPr>
        <w:t> </w:t>
      </w:r>
      <w:r>
        <w:rPr/>
        <w:t>properties.</w:t>
      </w:r>
    </w:p>
    <w:p>
      <w:pPr>
        <w:pStyle w:val="BodyText"/>
        <w:rPr>
          <w:sz w:val="20"/>
        </w:rPr>
      </w:pPr>
    </w:p>
    <w:p>
      <w:pPr>
        <w:pStyle w:val="BodyText"/>
        <w:rPr>
          <w:sz w:val="20"/>
        </w:rPr>
      </w:pPr>
    </w:p>
    <w:p>
      <w:pPr>
        <w:pStyle w:val="BodyText"/>
        <w:rPr>
          <w:sz w:val="20"/>
        </w:rPr>
      </w:pPr>
    </w:p>
    <w:p>
      <w:pPr>
        <w:pStyle w:val="BodyText"/>
        <w:spacing w:before="9"/>
        <w:rPr>
          <w:sz w:val="22"/>
        </w:rPr>
      </w:pPr>
      <w:r>
        <w:rPr/>
        <w:pict>
          <v:line style="position:absolute;mso-position-horizontal-relative:page;mso-position-vertical-relative:paragraph;z-index:8480;mso-wrap-distance-left:0;mso-wrap-distance-right:0" from="70.823997pt,15.202485pt" to="214.843997pt,15.202485pt" stroked="true" strokeweight=".72003pt" strokecolor="#000000">
            <v:stroke dashstyle="solid"/>
            <w10:wrap type="topAndBottom"/>
          </v:line>
        </w:pict>
      </w:r>
    </w:p>
    <w:p>
      <w:pPr>
        <w:pStyle w:val="BodyText"/>
        <w:spacing w:before="7"/>
        <w:rPr>
          <w:sz w:val="18"/>
        </w:rPr>
      </w:pPr>
    </w:p>
    <w:p>
      <w:pPr>
        <w:spacing w:line="276" w:lineRule="auto" w:before="99"/>
        <w:ind w:left="616" w:right="155" w:firstLine="0"/>
        <w:jc w:val="left"/>
        <w:rPr>
          <w:sz w:val="20"/>
        </w:rPr>
      </w:pPr>
      <w:r>
        <w:rPr>
          <w:position w:val="5"/>
          <w:sz w:val="13"/>
        </w:rPr>
        <w:t>653</w:t>
      </w:r>
      <w:r>
        <w:rPr>
          <w:sz w:val="20"/>
        </w:rPr>
        <w:t>Kazuhiko Asai: ‘Organisches Germanium – eine Hoffnung für viele Kranke’ </w:t>
      </w:r>
      <w:r>
        <w:rPr>
          <w:i/>
          <w:sz w:val="20"/>
        </w:rPr>
        <w:t>(Organic Germanium – A Hope for Many Ill People), </w:t>
      </w:r>
      <w:r>
        <w:rPr>
          <w:sz w:val="20"/>
        </w:rPr>
        <w:t>5th Edition 2001, p. 32.</w:t>
      </w:r>
    </w:p>
    <w:p>
      <w:pPr>
        <w:spacing w:after="0" w:line="276" w:lineRule="auto"/>
        <w:jc w:val="left"/>
        <w:rPr>
          <w:sz w:val="20"/>
        </w:rPr>
        <w:sectPr>
          <w:pgSz w:w="14270" w:h="16850"/>
          <w:pgMar w:header="0" w:footer="1891" w:top="1340" w:bottom="2080" w:left="800" w:right="1280"/>
        </w:sectPr>
      </w:pPr>
    </w:p>
    <w:p>
      <w:pPr>
        <w:pStyle w:val="Heading2"/>
        <w:spacing w:before="74"/>
        <w:ind w:left="616"/>
      </w:pPr>
      <w:r>
        <w:rPr/>
        <w:t>General effects of organic germanium</w:t>
      </w:r>
    </w:p>
    <w:p>
      <w:pPr>
        <w:spacing w:before="287"/>
        <w:ind w:left="616" w:right="0" w:firstLine="0"/>
        <w:jc w:val="left"/>
        <w:rPr>
          <w:b/>
          <w:i/>
          <w:sz w:val="40"/>
        </w:rPr>
      </w:pPr>
      <w:r>
        <w:rPr>
          <w:b/>
          <w:i/>
          <w:sz w:val="40"/>
        </w:rPr>
        <w:t>Effect on the immune system</w:t>
      </w:r>
    </w:p>
    <w:p>
      <w:pPr>
        <w:pStyle w:val="BodyText"/>
        <w:spacing w:line="276" w:lineRule="auto" w:before="297"/>
        <w:ind w:left="616" w:right="136"/>
        <w:jc w:val="both"/>
      </w:pPr>
      <w:r>
        <w:rPr/>
        <w:t>The most important guard of our health and our lives is our immune system. It protects us from intruders in the form of viruses, bacteria and fungi. It also protects</w:t>
      </w:r>
      <w:r>
        <w:rPr>
          <w:spacing w:val="-11"/>
        </w:rPr>
        <w:t> </w:t>
      </w:r>
      <w:r>
        <w:rPr/>
        <w:t>us</w:t>
      </w:r>
      <w:r>
        <w:rPr>
          <w:spacing w:val="-15"/>
        </w:rPr>
        <w:t> </w:t>
      </w:r>
      <w:r>
        <w:rPr/>
        <w:t>from</w:t>
      </w:r>
      <w:r>
        <w:rPr>
          <w:spacing w:val="-14"/>
        </w:rPr>
        <w:t> </w:t>
      </w:r>
      <w:r>
        <w:rPr/>
        <w:t>foreign</w:t>
      </w:r>
      <w:r>
        <w:rPr>
          <w:spacing w:val="-13"/>
        </w:rPr>
        <w:t> </w:t>
      </w:r>
      <w:r>
        <w:rPr/>
        <w:t>substances</w:t>
      </w:r>
      <w:r>
        <w:rPr>
          <w:spacing w:val="-10"/>
        </w:rPr>
        <w:t> </w:t>
      </w:r>
      <w:r>
        <w:rPr/>
        <w:t>that</w:t>
      </w:r>
      <w:r>
        <w:rPr>
          <w:spacing w:val="-12"/>
        </w:rPr>
        <w:t> </w:t>
      </w:r>
      <w:r>
        <w:rPr/>
        <w:t>endanger</w:t>
      </w:r>
      <w:r>
        <w:rPr>
          <w:spacing w:val="-12"/>
        </w:rPr>
        <w:t> </w:t>
      </w:r>
      <w:r>
        <w:rPr/>
        <w:t>our</w:t>
      </w:r>
      <w:r>
        <w:rPr>
          <w:spacing w:val="-11"/>
        </w:rPr>
        <w:t> </w:t>
      </w:r>
      <w:r>
        <w:rPr/>
        <w:t>health</w:t>
      </w:r>
      <w:r>
        <w:rPr>
          <w:spacing w:val="-12"/>
        </w:rPr>
        <w:t> </w:t>
      </w:r>
      <w:r>
        <w:rPr/>
        <w:t>like</w:t>
      </w:r>
      <w:r>
        <w:rPr>
          <w:spacing w:val="-15"/>
        </w:rPr>
        <w:t> </w:t>
      </w:r>
      <w:r>
        <w:rPr/>
        <w:t>heavy</w:t>
      </w:r>
      <w:r>
        <w:rPr>
          <w:spacing w:val="-12"/>
        </w:rPr>
        <w:t> </w:t>
      </w:r>
      <w:r>
        <w:rPr/>
        <w:t>metals and chemicals that the modern era in which we live brings more strongly with it.</w:t>
      </w:r>
      <w:r>
        <w:rPr>
          <w:spacing w:val="-10"/>
        </w:rPr>
        <w:t> </w:t>
      </w:r>
      <w:r>
        <w:rPr/>
        <w:t>Geranium</w:t>
      </w:r>
      <w:r>
        <w:rPr>
          <w:spacing w:val="-10"/>
        </w:rPr>
        <w:t> </w:t>
      </w:r>
      <w:r>
        <w:rPr/>
        <w:t>has</w:t>
      </w:r>
      <w:r>
        <w:rPr>
          <w:spacing w:val="-10"/>
        </w:rPr>
        <w:t> </w:t>
      </w:r>
      <w:r>
        <w:rPr/>
        <w:t>been</w:t>
      </w:r>
      <w:r>
        <w:rPr>
          <w:spacing w:val="-9"/>
        </w:rPr>
        <w:t> </w:t>
      </w:r>
      <w:r>
        <w:rPr/>
        <w:t>demonstrated</w:t>
      </w:r>
      <w:r>
        <w:rPr>
          <w:spacing w:val="-10"/>
        </w:rPr>
        <w:t> </w:t>
      </w:r>
      <w:r>
        <w:rPr/>
        <w:t>not</w:t>
      </w:r>
      <w:r>
        <w:rPr>
          <w:spacing w:val="-10"/>
        </w:rPr>
        <w:t> </w:t>
      </w:r>
      <w:r>
        <w:rPr/>
        <w:t>only</w:t>
      </w:r>
      <w:r>
        <w:rPr>
          <w:spacing w:val="-10"/>
        </w:rPr>
        <w:t> </w:t>
      </w:r>
      <w:r>
        <w:rPr/>
        <w:t>to</w:t>
      </w:r>
      <w:r>
        <w:rPr>
          <w:spacing w:val="-10"/>
        </w:rPr>
        <w:t> </w:t>
      </w:r>
      <w:r>
        <w:rPr/>
        <w:t>stimulate</w:t>
      </w:r>
      <w:r>
        <w:rPr>
          <w:spacing w:val="-10"/>
        </w:rPr>
        <w:t> </w:t>
      </w:r>
      <w:r>
        <w:rPr/>
        <w:t>our</w:t>
      </w:r>
      <w:r>
        <w:rPr>
          <w:spacing w:val="-10"/>
        </w:rPr>
        <w:t> </w:t>
      </w:r>
      <w:r>
        <w:rPr/>
        <w:t>immune</w:t>
      </w:r>
      <w:r>
        <w:rPr>
          <w:spacing w:val="-9"/>
        </w:rPr>
        <w:t> </w:t>
      </w:r>
      <w:r>
        <w:rPr/>
        <w:t>system but also has an immune modulating function in the context of homeostasis. This means that the organic germanium brings the active components of the immune system into harmony and optimises them by encouraging interferon synthesis, among other things.</w:t>
      </w:r>
    </w:p>
    <w:p>
      <w:pPr>
        <w:pStyle w:val="Heading1"/>
        <w:spacing w:before="225"/>
        <w:ind w:left="616"/>
        <w:jc w:val="both"/>
      </w:pPr>
      <w:r>
        <w:rPr/>
        <w:t>We may say in summary:</w:t>
      </w:r>
    </w:p>
    <w:p>
      <w:pPr>
        <w:pStyle w:val="BodyText"/>
        <w:spacing w:before="298"/>
        <w:ind w:left="1041"/>
      </w:pPr>
      <w:r>
        <w:rPr>
          <w:rFonts w:ascii="Times New Roman"/>
        </w:rPr>
        <w:t>-</w:t>
      </w:r>
      <w:r>
        <w:rPr/>
        <w:t>Organic germanium stimulates the production of immune interferons.</w:t>
      </w:r>
    </w:p>
    <w:p>
      <w:pPr>
        <w:pStyle w:val="BodyText"/>
        <w:spacing w:before="66"/>
        <w:ind w:left="1041"/>
      </w:pPr>
      <w:r>
        <w:rPr>
          <w:rFonts w:ascii="Times New Roman"/>
        </w:rPr>
        <w:t>-</w:t>
      </w:r>
      <w:r>
        <w:rPr/>
        <w:t>Organic germanium strengthens the effect of natural killer cells.</w:t>
      </w:r>
    </w:p>
    <w:p>
      <w:pPr>
        <w:pStyle w:val="BodyText"/>
        <w:spacing w:before="64"/>
        <w:ind w:left="1041"/>
      </w:pPr>
      <w:r>
        <w:rPr>
          <w:rFonts w:ascii="Times New Roman"/>
        </w:rPr>
        <w:t>-</w:t>
      </w:r>
      <w:r>
        <w:rPr/>
        <w:t>It encourages the production of T suppressor cells.</w:t>
      </w:r>
    </w:p>
    <w:p>
      <w:pPr>
        <w:pStyle w:val="BodyText"/>
        <w:spacing w:before="64"/>
        <w:ind w:left="1041"/>
      </w:pPr>
      <w:r>
        <w:rPr>
          <w:rFonts w:ascii="Times New Roman"/>
        </w:rPr>
        <w:t>-</w:t>
      </w:r>
      <w:r>
        <w:rPr/>
        <w:t>Organic germanium strengthens weakened immunity.</w:t>
      </w:r>
    </w:p>
    <w:p>
      <w:pPr>
        <w:pStyle w:val="Heading1"/>
        <w:spacing w:before="287"/>
        <w:ind w:left="616"/>
        <w:jc w:val="both"/>
      </w:pPr>
      <w:r>
        <w:rPr/>
        <w:t>Effect of organic germanium on the oxygen enrichment of cells</w:t>
      </w:r>
    </w:p>
    <w:p>
      <w:pPr>
        <w:pStyle w:val="BodyText"/>
        <w:spacing w:line="276" w:lineRule="auto" w:before="299"/>
        <w:ind w:left="616" w:right="138"/>
        <w:jc w:val="both"/>
      </w:pPr>
      <w:r>
        <w:rPr/>
        <w:t>Dr.</w:t>
      </w:r>
      <w:r>
        <w:rPr>
          <w:spacing w:val="-13"/>
        </w:rPr>
        <w:t> </w:t>
      </w:r>
      <w:r>
        <w:rPr/>
        <w:t>Asai</w:t>
      </w:r>
      <w:r>
        <w:rPr>
          <w:spacing w:val="-13"/>
        </w:rPr>
        <w:t> </w:t>
      </w:r>
      <w:r>
        <w:rPr/>
        <w:t>ascribes</w:t>
      </w:r>
      <w:r>
        <w:rPr>
          <w:spacing w:val="-13"/>
        </w:rPr>
        <w:t> </w:t>
      </w:r>
      <w:r>
        <w:rPr/>
        <w:t>the</w:t>
      </w:r>
      <w:r>
        <w:rPr>
          <w:spacing w:val="-12"/>
        </w:rPr>
        <w:t> </w:t>
      </w:r>
      <w:r>
        <w:rPr/>
        <w:t>greatest</w:t>
      </w:r>
      <w:r>
        <w:rPr>
          <w:spacing w:val="-14"/>
        </w:rPr>
        <w:t> </w:t>
      </w:r>
      <w:r>
        <w:rPr/>
        <w:t>proportion</w:t>
      </w:r>
      <w:r>
        <w:rPr>
          <w:spacing w:val="-12"/>
        </w:rPr>
        <w:t> </w:t>
      </w:r>
      <w:r>
        <w:rPr/>
        <w:t>of</w:t>
      </w:r>
      <w:r>
        <w:rPr>
          <w:spacing w:val="-15"/>
        </w:rPr>
        <w:t> </w:t>
      </w:r>
      <w:r>
        <w:rPr/>
        <w:t>the</w:t>
      </w:r>
      <w:r>
        <w:rPr>
          <w:spacing w:val="-15"/>
        </w:rPr>
        <w:t> </w:t>
      </w:r>
      <w:r>
        <w:rPr/>
        <w:t>effect</w:t>
      </w:r>
      <w:r>
        <w:rPr>
          <w:spacing w:val="-12"/>
        </w:rPr>
        <w:t> </w:t>
      </w:r>
      <w:r>
        <w:rPr/>
        <w:t>against</w:t>
      </w:r>
      <w:r>
        <w:rPr>
          <w:spacing w:val="-14"/>
        </w:rPr>
        <w:t> </w:t>
      </w:r>
      <w:r>
        <w:rPr/>
        <w:t>numerous</w:t>
      </w:r>
      <w:r>
        <w:rPr>
          <w:spacing w:val="-12"/>
        </w:rPr>
        <w:t> </w:t>
      </w:r>
      <w:r>
        <w:rPr/>
        <w:t>illness to</w:t>
      </w:r>
      <w:r>
        <w:rPr>
          <w:spacing w:val="-16"/>
        </w:rPr>
        <w:t> </w:t>
      </w:r>
      <w:r>
        <w:rPr/>
        <w:t>this</w:t>
      </w:r>
      <w:r>
        <w:rPr>
          <w:spacing w:val="-17"/>
        </w:rPr>
        <w:t> </w:t>
      </w:r>
      <w:r>
        <w:rPr/>
        <w:t>role.</w:t>
      </w:r>
      <w:r>
        <w:rPr>
          <w:spacing w:val="-16"/>
        </w:rPr>
        <w:t> </w:t>
      </w:r>
      <w:r>
        <w:rPr/>
        <w:t>Sick</w:t>
      </w:r>
      <w:r>
        <w:rPr>
          <w:spacing w:val="-17"/>
        </w:rPr>
        <w:t> </w:t>
      </w:r>
      <w:r>
        <w:rPr/>
        <w:t>tissues</w:t>
      </w:r>
      <w:r>
        <w:rPr>
          <w:spacing w:val="-15"/>
        </w:rPr>
        <w:t> </w:t>
      </w:r>
      <w:r>
        <w:rPr/>
        <w:t>are</w:t>
      </w:r>
      <w:r>
        <w:rPr>
          <w:spacing w:val="-16"/>
        </w:rPr>
        <w:t> </w:t>
      </w:r>
      <w:r>
        <w:rPr/>
        <w:t>very</w:t>
      </w:r>
      <w:r>
        <w:rPr>
          <w:spacing w:val="-16"/>
        </w:rPr>
        <w:t> </w:t>
      </w:r>
      <w:r>
        <w:rPr/>
        <w:t>often</w:t>
      </w:r>
      <w:r>
        <w:rPr>
          <w:spacing w:val="-16"/>
        </w:rPr>
        <w:t> </w:t>
      </w:r>
      <w:r>
        <w:rPr/>
        <w:t>negatively</w:t>
      </w:r>
      <w:r>
        <w:rPr>
          <w:spacing w:val="-15"/>
        </w:rPr>
        <w:t> </w:t>
      </w:r>
      <w:r>
        <w:rPr/>
        <w:t>characterised</w:t>
      </w:r>
      <w:r>
        <w:rPr>
          <w:spacing w:val="-16"/>
        </w:rPr>
        <w:t> </w:t>
      </w:r>
      <w:r>
        <w:rPr/>
        <w:t>by</w:t>
      </w:r>
      <w:r>
        <w:rPr>
          <w:spacing w:val="-16"/>
        </w:rPr>
        <w:t> </w:t>
      </w:r>
      <w:r>
        <w:rPr/>
        <w:t>their</w:t>
      </w:r>
      <w:r>
        <w:rPr>
          <w:spacing w:val="-16"/>
        </w:rPr>
        <w:t> </w:t>
      </w:r>
      <w:r>
        <w:rPr/>
        <w:t>inability to absorb much oxygen. Organic germanium binds oxygen atoms to itself, which</w:t>
      </w:r>
      <w:r>
        <w:rPr>
          <w:spacing w:val="10"/>
        </w:rPr>
        <w:t> </w:t>
      </w:r>
      <w:r>
        <w:rPr/>
        <w:t>in</w:t>
      </w:r>
      <w:r>
        <w:rPr>
          <w:spacing w:val="11"/>
        </w:rPr>
        <w:t> </w:t>
      </w:r>
      <w:r>
        <w:rPr/>
        <w:t>turn</w:t>
      </w:r>
      <w:r>
        <w:rPr>
          <w:spacing w:val="12"/>
        </w:rPr>
        <w:t> </w:t>
      </w:r>
      <w:r>
        <w:rPr/>
        <w:t>bind</w:t>
      </w:r>
      <w:r>
        <w:rPr>
          <w:spacing w:val="10"/>
        </w:rPr>
        <w:t> </w:t>
      </w:r>
      <w:r>
        <w:rPr/>
        <w:t>to</w:t>
      </w:r>
      <w:r>
        <w:rPr>
          <w:spacing w:val="10"/>
        </w:rPr>
        <w:t> </w:t>
      </w:r>
      <w:r>
        <w:rPr/>
        <w:t>free</w:t>
      </w:r>
      <w:r>
        <w:rPr>
          <w:spacing w:val="11"/>
        </w:rPr>
        <w:t> </w:t>
      </w:r>
      <w:r>
        <w:rPr/>
        <w:t>hydrogen</w:t>
      </w:r>
      <w:r>
        <w:rPr>
          <w:spacing w:val="12"/>
        </w:rPr>
        <w:t> </w:t>
      </w:r>
      <w:r>
        <w:rPr/>
        <w:t>and</w:t>
      </w:r>
      <w:r>
        <w:rPr>
          <w:spacing w:val="11"/>
        </w:rPr>
        <w:t> </w:t>
      </w:r>
      <w:r>
        <w:rPr/>
        <w:t>see</w:t>
      </w:r>
      <w:r>
        <w:rPr>
          <w:spacing w:val="10"/>
        </w:rPr>
        <w:t> </w:t>
      </w:r>
      <w:r>
        <w:rPr/>
        <w:t>to</w:t>
      </w:r>
      <w:r>
        <w:rPr>
          <w:spacing w:val="8"/>
        </w:rPr>
        <w:t> </w:t>
      </w:r>
      <w:r>
        <w:rPr/>
        <w:t>it</w:t>
      </w:r>
      <w:r>
        <w:rPr>
          <w:spacing w:val="9"/>
        </w:rPr>
        <w:t> </w:t>
      </w:r>
      <w:r>
        <w:rPr/>
        <w:t>that</w:t>
      </w:r>
      <w:r>
        <w:rPr>
          <w:spacing w:val="11"/>
        </w:rPr>
        <w:t> </w:t>
      </w:r>
      <w:r>
        <w:rPr/>
        <w:t>the</w:t>
      </w:r>
      <w:r>
        <w:rPr>
          <w:spacing w:val="11"/>
        </w:rPr>
        <w:t> </w:t>
      </w:r>
      <w:r>
        <w:rPr/>
        <w:t>oxygen</w:t>
      </w:r>
      <w:r>
        <w:rPr>
          <w:spacing w:val="8"/>
        </w:rPr>
        <w:t> </w:t>
      </w:r>
      <w:r>
        <w:rPr/>
        <w:t>taken</w:t>
      </w:r>
      <w:r>
        <w:rPr>
          <w:spacing w:val="11"/>
        </w:rPr>
        <w:t> </w:t>
      </w:r>
      <w:r>
        <w:rPr/>
        <w:t>in</w:t>
      </w:r>
      <w:r>
        <w:rPr>
          <w:spacing w:val="11"/>
        </w:rPr>
        <w:t> </w:t>
      </w:r>
      <w:r>
        <w:rPr/>
        <w:t>by</w:t>
      </w:r>
    </w:p>
    <w:p>
      <w:pPr>
        <w:spacing w:after="0" w:line="276" w:lineRule="auto"/>
        <w:jc w:val="both"/>
        <w:sectPr>
          <w:pgSz w:w="14270" w:h="16850"/>
          <w:pgMar w:header="0" w:footer="1891" w:top="1340" w:bottom="2080" w:left="800" w:right="1280"/>
        </w:sectPr>
      </w:pPr>
    </w:p>
    <w:p>
      <w:pPr>
        <w:pStyle w:val="BodyText"/>
        <w:spacing w:line="276" w:lineRule="auto" w:before="72"/>
        <w:ind w:left="616" w:right="130"/>
        <w:jc w:val="both"/>
      </w:pPr>
      <w:r>
        <w:rPr/>
        <w:t>breathing</w:t>
      </w:r>
      <w:r>
        <w:rPr>
          <w:spacing w:val="-9"/>
        </w:rPr>
        <w:t> </w:t>
      </w:r>
      <w:r>
        <w:rPr/>
        <w:t>can</w:t>
      </w:r>
      <w:r>
        <w:rPr>
          <w:spacing w:val="-7"/>
        </w:rPr>
        <w:t> </w:t>
      </w:r>
      <w:r>
        <w:rPr/>
        <w:t>get</w:t>
      </w:r>
      <w:r>
        <w:rPr>
          <w:spacing w:val="-10"/>
        </w:rPr>
        <w:t> </w:t>
      </w:r>
      <w:r>
        <w:rPr/>
        <w:t>to</w:t>
      </w:r>
      <w:r>
        <w:rPr>
          <w:spacing w:val="-8"/>
        </w:rPr>
        <w:t> </w:t>
      </w:r>
      <w:r>
        <w:rPr/>
        <w:t>the</w:t>
      </w:r>
      <w:r>
        <w:rPr>
          <w:spacing w:val="-10"/>
        </w:rPr>
        <w:t> </w:t>
      </w:r>
      <w:r>
        <w:rPr/>
        <w:t>body</w:t>
      </w:r>
      <w:r>
        <w:rPr>
          <w:spacing w:val="-12"/>
        </w:rPr>
        <w:t> </w:t>
      </w:r>
      <w:r>
        <w:rPr/>
        <w:t>cells</w:t>
      </w:r>
      <w:r>
        <w:rPr>
          <w:spacing w:val="-8"/>
        </w:rPr>
        <w:t> </w:t>
      </w:r>
      <w:r>
        <w:rPr/>
        <w:t>unimpeded</w:t>
      </w:r>
      <w:r>
        <w:rPr>
          <w:spacing w:val="-8"/>
        </w:rPr>
        <w:t> </w:t>
      </w:r>
      <w:r>
        <w:rPr/>
        <w:t>and</w:t>
      </w:r>
      <w:r>
        <w:rPr>
          <w:spacing w:val="-10"/>
        </w:rPr>
        <w:t> </w:t>
      </w:r>
      <w:r>
        <w:rPr/>
        <w:t>revitalise</w:t>
      </w:r>
      <w:r>
        <w:rPr>
          <w:spacing w:val="-8"/>
        </w:rPr>
        <w:t> </w:t>
      </w:r>
      <w:r>
        <w:rPr/>
        <w:t>them.</w:t>
      </w:r>
      <w:r>
        <w:rPr>
          <w:spacing w:val="-8"/>
        </w:rPr>
        <w:t> </w:t>
      </w:r>
      <w:r>
        <w:rPr/>
        <w:t>In</w:t>
      </w:r>
      <w:r>
        <w:rPr>
          <w:spacing w:val="-10"/>
        </w:rPr>
        <w:t> </w:t>
      </w:r>
      <w:r>
        <w:rPr/>
        <w:t>this</w:t>
      </w:r>
      <w:r>
        <w:rPr>
          <w:spacing w:val="-7"/>
        </w:rPr>
        <w:t> </w:t>
      </w:r>
      <w:r>
        <w:rPr/>
        <w:t>way, organic germanium transports oxygen via the finest capillaries to every tissue and every body cell of our organism, but is itself broken down after about 20 hours without causing any damage. If it were a metal it could be stored, but</w:t>
      </w:r>
      <w:r>
        <w:rPr>
          <w:spacing w:val="-57"/>
        </w:rPr>
        <w:t> </w:t>
      </w:r>
      <w:r>
        <w:rPr/>
        <w:t>as a metalloid germanium cannot be stored in the body. An anaerobic (oxygen- poor) environment itself causes our body problems; for example, it is known that certain negative microorganisms, like Candida, thrive best in such an en- vironment and abundantly reproduce, causing damage to the</w:t>
      </w:r>
      <w:r>
        <w:rPr>
          <w:spacing w:val="-6"/>
        </w:rPr>
        <w:t> </w:t>
      </w:r>
      <w:r>
        <w:rPr/>
        <w:t>health.</w:t>
      </w:r>
    </w:p>
    <w:p>
      <w:pPr>
        <w:pStyle w:val="BodyText"/>
        <w:spacing w:line="276" w:lineRule="auto" w:before="243"/>
        <w:ind w:left="616" w:right="134"/>
        <w:jc w:val="both"/>
      </w:pPr>
      <w:r>
        <w:rPr/>
        <w:t>Organic</w:t>
      </w:r>
      <w:r>
        <w:rPr>
          <w:spacing w:val="-8"/>
        </w:rPr>
        <w:t> </w:t>
      </w:r>
      <w:r>
        <w:rPr/>
        <w:t>germanium</w:t>
      </w:r>
      <w:r>
        <w:rPr>
          <w:spacing w:val="-8"/>
        </w:rPr>
        <w:t> </w:t>
      </w:r>
      <w:r>
        <w:rPr/>
        <w:t>refills</w:t>
      </w:r>
      <w:r>
        <w:rPr>
          <w:spacing w:val="-7"/>
        </w:rPr>
        <w:t> </w:t>
      </w:r>
      <w:r>
        <w:rPr/>
        <w:t>used</w:t>
      </w:r>
      <w:r>
        <w:rPr>
          <w:spacing w:val="-10"/>
        </w:rPr>
        <w:t> </w:t>
      </w:r>
      <w:r>
        <w:rPr/>
        <w:t>oxygen</w:t>
      </w:r>
      <w:r>
        <w:rPr>
          <w:spacing w:val="-8"/>
        </w:rPr>
        <w:t> </w:t>
      </w:r>
      <w:r>
        <w:rPr/>
        <w:t>reserves</w:t>
      </w:r>
      <w:r>
        <w:rPr>
          <w:spacing w:val="-8"/>
        </w:rPr>
        <w:t> </w:t>
      </w:r>
      <w:r>
        <w:rPr/>
        <w:t>in</w:t>
      </w:r>
      <w:r>
        <w:rPr>
          <w:spacing w:val="-8"/>
        </w:rPr>
        <w:t> </w:t>
      </w:r>
      <w:r>
        <w:rPr/>
        <w:t>the</w:t>
      </w:r>
      <w:r>
        <w:rPr>
          <w:spacing w:val="-9"/>
        </w:rPr>
        <w:t> </w:t>
      </w:r>
      <w:r>
        <w:rPr/>
        <w:t>body</w:t>
      </w:r>
      <w:r>
        <w:rPr>
          <w:spacing w:val="-9"/>
        </w:rPr>
        <w:t> </w:t>
      </w:r>
      <w:r>
        <w:rPr/>
        <w:t>and</w:t>
      </w:r>
      <w:r>
        <w:rPr>
          <w:spacing w:val="-10"/>
        </w:rPr>
        <w:t> </w:t>
      </w:r>
      <w:r>
        <w:rPr/>
        <w:t>optimises</w:t>
      </w:r>
      <w:r>
        <w:rPr>
          <w:spacing w:val="-7"/>
        </w:rPr>
        <w:t> </w:t>
      </w:r>
      <w:r>
        <w:rPr/>
        <w:t>the oxygen</w:t>
      </w:r>
      <w:r>
        <w:rPr>
          <w:spacing w:val="-10"/>
        </w:rPr>
        <w:t> </w:t>
      </w:r>
      <w:r>
        <w:rPr/>
        <w:t>delivery</w:t>
      </w:r>
      <w:r>
        <w:rPr>
          <w:spacing w:val="-9"/>
        </w:rPr>
        <w:t> </w:t>
      </w:r>
      <w:r>
        <w:rPr/>
        <w:t>of</w:t>
      </w:r>
      <w:r>
        <w:rPr>
          <w:spacing w:val="-9"/>
        </w:rPr>
        <w:t> </w:t>
      </w:r>
      <w:r>
        <w:rPr/>
        <w:t>our</w:t>
      </w:r>
      <w:r>
        <w:rPr>
          <w:spacing w:val="-9"/>
        </w:rPr>
        <w:t> </w:t>
      </w:r>
      <w:r>
        <w:rPr/>
        <w:t>organism.</w:t>
      </w:r>
      <w:r>
        <w:rPr>
          <w:spacing w:val="-11"/>
        </w:rPr>
        <w:t> </w:t>
      </w:r>
      <w:r>
        <w:rPr/>
        <w:t>Oxygen</w:t>
      </w:r>
      <w:r>
        <w:rPr>
          <w:spacing w:val="-8"/>
        </w:rPr>
        <w:t> </w:t>
      </w:r>
      <w:r>
        <w:rPr/>
        <w:t>in</w:t>
      </w:r>
      <w:r>
        <w:rPr>
          <w:spacing w:val="-9"/>
        </w:rPr>
        <w:t> </w:t>
      </w:r>
      <w:r>
        <w:rPr/>
        <w:t>turn</w:t>
      </w:r>
      <w:r>
        <w:rPr>
          <w:spacing w:val="-8"/>
        </w:rPr>
        <w:t> </w:t>
      </w:r>
      <w:r>
        <w:rPr/>
        <w:t>means</w:t>
      </w:r>
      <w:r>
        <w:rPr>
          <w:spacing w:val="-9"/>
        </w:rPr>
        <w:t> </w:t>
      </w:r>
      <w:r>
        <w:rPr/>
        <w:t>life,</w:t>
      </w:r>
      <w:r>
        <w:rPr>
          <w:spacing w:val="-9"/>
        </w:rPr>
        <w:t> </w:t>
      </w:r>
      <w:r>
        <w:rPr/>
        <w:t>even</w:t>
      </w:r>
      <w:r>
        <w:rPr>
          <w:spacing w:val="-11"/>
        </w:rPr>
        <w:t> </w:t>
      </w:r>
      <w:r>
        <w:rPr/>
        <w:t>or</w:t>
      </w:r>
      <w:r>
        <w:rPr>
          <w:spacing w:val="-8"/>
        </w:rPr>
        <w:t> </w:t>
      </w:r>
      <w:r>
        <w:rPr/>
        <w:t>especially for</w:t>
      </w:r>
      <w:r>
        <w:rPr>
          <w:spacing w:val="-21"/>
        </w:rPr>
        <w:t> </w:t>
      </w:r>
      <w:r>
        <w:rPr/>
        <w:t>our</w:t>
      </w:r>
      <w:r>
        <w:rPr>
          <w:spacing w:val="-24"/>
        </w:rPr>
        <w:t> </w:t>
      </w:r>
      <w:r>
        <w:rPr/>
        <w:t>bodily</w:t>
      </w:r>
      <w:r>
        <w:rPr>
          <w:spacing w:val="-23"/>
        </w:rPr>
        <w:t> </w:t>
      </w:r>
      <w:r>
        <w:rPr/>
        <w:t>cells.</w:t>
      </w:r>
      <w:r>
        <w:rPr>
          <w:spacing w:val="-22"/>
        </w:rPr>
        <w:t> </w:t>
      </w:r>
      <w:r>
        <w:rPr/>
        <w:t>Dr.</w:t>
      </w:r>
      <w:r>
        <w:rPr>
          <w:spacing w:val="-24"/>
        </w:rPr>
        <w:t> </w:t>
      </w:r>
      <w:r>
        <w:rPr/>
        <w:t>Asai’s</w:t>
      </w:r>
      <w:r>
        <w:rPr>
          <w:spacing w:val="-22"/>
        </w:rPr>
        <w:t> </w:t>
      </w:r>
      <w:r>
        <w:rPr/>
        <w:t>thesis</w:t>
      </w:r>
      <w:r>
        <w:rPr>
          <w:spacing w:val="-22"/>
        </w:rPr>
        <w:t> </w:t>
      </w:r>
      <w:r>
        <w:rPr/>
        <w:t>thus</w:t>
      </w:r>
      <w:r>
        <w:rPr>
          <w:spacing w:val="-24"/>
        </w:rPr>
        <w:t> </w:t>
      </w:r>
      <w:r>
        <w:rPr/>
        <w:t>sounds</w:t>
      </w:r>
      <w:r>
        <w:rPr>
          <w:spacing w:val="-24"/>
        </w:rPr>
        <w:t> </w:t>
      </w:r>
      <w:r>
        <w:rPr/>
        <w:t>highly</w:t>
      </w:r>
      <w:r>
        <w:rPr>
          <w:spacing w:val="-22"/>
        </w:rPr>
        <w:t> </w:t>
      </w:r>
      <w:r>
        <w:rPr/>
        <w:t>plausible.</w:t>
      </w:r>
      <w:r>
        <w:rPr>
          <w:spacing w:val="-21"/>
        </w:rPr>
        <w:t> </w:t>
      </w:r>
      <w:r>
        <w:rPr/>
        <w:t>Interestingly, organic germanium can also generate energy without oxygen, something that does not work without electrons which germanium transports to the location where</w:t>
      </w:r>
      <w:r>
        <w:rPr>
          <w:spacing w:val="-26"/>
        </w:rPr>
        <w:t> </w:t>
      </w:r>
      <w:r>
        <w:rPr/>
        <w:t>it</w:t>
      </w:r>
      <w:r>
        <w:rPr>
          <w:spacing w:val="-26"/>
        </w:rPr>
        <w:t> </w:t>
      </w:r>
      <w:r>
        <w:rPr/>
        <w:t>takes</w:t>
      </w:r>
      <w:r>
        <w:rPr>
          <w:spacing w:val="-25"/>
        </w:rPr>
        <w:t> </w:t>
      </w:r>
      <w:r>
        <w:rPr/>
        <w:t>place.</w:t>
      </w:r>
      <w:r>
        <w:rPr>
          <w:spacing w:val="-26"/>
        </w:rPr>
        <w:t> </w:t>
      </w:r>
      <w:r>
        <w:rPr/>
        <w:t>Organic</w:t>
      </w:r>
      <w:r>
        <w:rPr>
          <w:spacing w:val="-26"/>
        </w:rPr>
        <w:t> </w:t>
      </w:r>
      <w:r>
        <w:rPr/>
        <w:t>germanium</w:t>
      </w:r>
      <w:r>
        <w:rPr>
          <w:spacing w:val="-25"/>
        </w:rPr>
        <w:t> </w:t>
      </w:r>
      <w:r>
        <w:rPr/>
        <w:t>may</w:t>
      </w:r>
      <w:r>
        <w:rPr>
          <w:spacing w:val="-27"/>
        </w:rPr>
        <w:t> </w:t>
      </w:r>
      <w:r>
        <w:rPr/>
        <w:t>on</w:t>
      </w:r>
      <w:r>
        <w:rPr>
          <w:spacing w:val="-24"/>
        </w:rPr>
        <w:t> </w:t>
      </w:r>
      <w:r>
        <w:rPr/>
        <w:t>the</w:t>
      </w:r>
      <w:r>
        <w:rPr>
          <w:spacing w:val="-24"/>
        </w:rPr>
        <w:t> </w:t>
      </w:r>
      <w:r>
        <w:rPr/>
        <w:t>one</w:t>
      </w:r>
      <w:r>
        <w:rPr>
          <w:spacing w:val="-26"/>
        </w:rPr>
        <w:t> </w:t>
      </w:r>
      <w:r>
        <w:rPr/>
        <w:t>hand</w:t>
      </w:r>
      <w:r>
        <w:rPr>
          <w:spacing w:val="-25"/>
        </w:rPr>
        <w:t> </w:t>
      </w:r>
      <w:r>
        <w:rPr/>
        <w:t>be</w:t>
      </w:r>
      <w:r>
        <w:rPr>
          <w:spacing w:val="-25"/>
        </w:rPr>
        <w:t> </w:t>
      </w:r>
      <w:r>
        <w:rPr/>
        <w:t>able</w:t>
      </w:r>
      <w:r>
        <w:rPr>
          <w:spacing w:val="-26"/>
        </w:rPr>
        <w:t> </w:t>
      </w:r>
      <w:r>
        <w:rPr/>
        <w:t>to</w:t>
      </w:r>
      <w:r>
        <w:rPr>
          <w:spacing w:val="-24"/>
        </w:rPr>
        <w:t> </w:t>
      </w:r>
      <w:r>
        <w:rPr/>
        <w:t>enrich our</w:t>
      </w:r>
      <w:r>
        <w:rPr>
          <w:spacing w:val="-9"/>
        </w:rPr>
        <w:t> </w:t>
      </w:r>
      <w:r>
        <w:rPr/>
        <w:t>bodily</w:t>
      </w:r>
      <w:r>
        <w:rPr>
          <w:spacing w:val="-9"/>
        </w:rPr>
        <w:t> </w:t>
      </w:r>
      <w:r>
        <w:rPr/>
        <w:t>tissues</w:t>
      </w:r>
      <w:r>
        <w:rPr>
          <w:spacing w:val="-9"/>
        </w:rPr>
        <w:t> </w:t>
      </w:r>
      <w:r>
        <w:rPr/>
        <w:t>with</w:t>
      </w:r>
      <w:r>
        <w:rPr>
          <w:spacing w:val="-9"/>
        </w:rPr>
        <w:t> </w:t>
      </w:r>
      <w:r>
        <w:rPr/>
        <w:t>oxygen,</w:t>
      </w:r>
      <w:r>
        <w:rPr>
          <w:spacing w:val="-7"/>
        </w:rPr>
        <w:t> </w:t>
      </w:r>
      <w:r>
        <w:rPr/>
        <w:t>but</w:t>
      </w:r>
      <w:r>
        <w:rPr>
          <w:spacing w:val="-10"/>
        </w:rPr>
        <w:t> </w:t>
      </w:r>
      <w:r>
        <w:rPr/>
        <w:t>also</w:t>
      </w:r>
      <w:r>
        <w:rPr>
          <w:spacing w:val="-8"/>
        </w:rPr>
        <w:t> </w:t>
      </w:r>
      <w:r>
        <w:rPr/>
        <w:t>at</w:t>
      </w:r>
      <w:r>
        <w:rPr>
          <w:spacing w:val="-11"/>
        </w:rPr>
        <w:t> </w:t>
      </w:r>
      <w:r>
        <w:rPr/>
        <w:t>the</w:t>
      </w:r>
      <w:r>
        <w:rPr>
          <w:spacing w:val="-7"/>
        </w:rPr>
        <w:t> </w:t>
      </w:r>
      <w:r>
        <w:rPr/>
        <w:t>same</w:t>
      </w:r>
      <w:r>
        <w:rPr>
          <w:spacing w:val="-9"/>
        </w:rPr>
        <w:t> </w:t>
      </w:r>
      <w:r>
        <w:rPr/>
        <w:t>time</w:t>
      </w:r>
      <w:r>
        <w:rPr>
          <w:spacing w:val="-8"/>
        </w:rPr>
        <w:t> </w:t>
      </w:r>
      <w:r>
        <w:rPr/>
        <w:t>helps</w:t>
      </w:r>
      <w:r>
        <w:rPr>
          <w:spacing w:val="-9"/>
        </w:rPr>
        <w:t> </w:t>
      </w:r>
      <w:r>
        <w:rPr/>
        <w:t>retain</w:t>
      </w:r>
      <w:r>
        <w:rPr>
          <w:spacing w:val="-8"/>
        </w:rPr>
        <w:t> </w:t>
      </w:r>
      <w:r>
        <w:rPr/>
        <w:t>energy</w:t>
      </w:r>
      <w:r>
        <w:rPr>
          <w:spacing w:val="-9"/>
        </w:rPr>
        <w:t> </w:t>
      </w:r>
      <w:r>
        <w:rPr/>
        <w:t>in the</w:t>
      </w:r>
      <w:r>
        <w:rPr>
          <w:spacing w:val="-7"/>
        </w:rPr>
        <w:t> </w:t>
      </w:r>
      <w:r>
        <w:rPr/>
        <w:t>case</w:t>
      </w:r>
      <w:r>
        <w:rPr>
          <w:spacing w:val="-8"/>
        </w:rPr>
        <w:t> </w:t>
      </w:r>
      <w:r>
        <w:rPr/>
        <w:t>of</w:t>
      </w:r>
      <w:r>
        <w:rPr>
          <w:spacing w:val="-9"/>
        </w:rPr>
        <w:t> </w:t>
      </w:r>
      <w:r>
        <w:rPr/>
        <w:t>lack</w:t>
      </w:r>
      <w:r>
        <w:rPr>
          <w:spacing w:val="-11"/>
        </w:rPr>
        <w:t> </w:t>
      </w:r>
      <w:r>
        <w:rPr/>
        <w:t>of</w:t>
      </w:r>
      <w:r>
        <w:rPr>
          <w:spacing w:val="-7"/>
        </w:rPr>
        <w:t> </w:t>
      </w:r>
      <w:r>
        <w:rPr/>
        <w:t>oxygen,</w:t>
      </w:r>
      <w:r>
        <w:rPr>
          <w:spacing w:val="-8"/>
        </w:rPr>
        <w:t> </w:t>
      </w:r>
      <w:r>
        <w:rPr/>
        <w:t>which</w:t>
      </w:r>
      <w:r>
        <w:rPr>
          <w:spacing w:val="-7"/>
        </w:rPr>
        <w:t> </w:t>
      </w:r>
      <w:r>
        <w:rPr/>
        <w:t>in</w:t>
      </w:r>
      <w:r>
        <w:rPr>
          <w:spacing w:val="-10"/>
        </w:rPr>
        <w:t> </w:t>
      </w:r>
      <w:r>
        <w:rPr/>
        <w:t>many</w:t>
      </w:r>
      <w:r>
        <w:rPr>
          <w:spacing w:val="-8"/>
        </w:rPr>
        <w:t> </w:t>
      </w:r>
      <w:r>
        <w:rPr/>
        <w:t>cases</w:t>
      </w:r>
      <w:r>
        <w:rPr>
          <w:spacing w:val="-10"/>
        </w:rPr>
        <w:t> </w:t>
      </w:r>
      <w:r>
        <w:rPr/>
        <w:t>can</w:t>
      </w:r>
      <w:r>
        <w:rPr>
          <w:spacing w:val="-6"/>
        </w:rPr>
        <w:t> </w:t>
      </w:r>
      <w:r>
        <w:rPr/>
        <w:t>avoid</w:t>
      </w:r>
      <w:r>
        <w:rPr>
          <w:spacing w:val="-8"/>
        </w:rPr>
        <w:t> </w:t>
      </w:r>
      <w:r>
        <w:rPr/>
        <w:t>stroke,</w:t>
      </w:r>
      <w:r>
        <w:rPr>
          <w:spacing w:val="-6"/>
        </w:rPr>
        <w:t> </w:t>
      </w:r>
      <w:r>
        <w:rPr/>
        <w:t>heart</w:t>
      </w:r>
      <w:r>
        <w:rPr>
          <w:spacing w:val="-9"/>
        </w:rPr>
        <w:t> </w:t>
      </w:r>
      <w:r>
        <w:rPr/>
        <w:t>attacks and general tissue necrosis. Taking organic germanium in appropriate doses leads to a feeling of hyperthermia (warmth) as well as a tingling feeling, which Dr. Asai sees as tangible evidence of oxygen enrichment in the</w:t>
      </w:r>
      <w:r>
        <w:rPr>
          <w:spacing w:val="-15"/>
        </w:rPr>
        <w:t> </w:t>
      </w:r>
      <w:r>
        <w:rPr/>
        <w:t>body.</w:t>
      </w:r>
    </w:p>
    <w:p>
      <w:pPr>
        <w:pStyle w:val="Heading1"/>
        <w:spacing w:before="223"/>
        <w:ind w:left="616"/>
      </w:pPr>
      <w:r>
        <w:rPr/>
        <w:t>Electromagnetic effect</w:t>
      </w:r>
    </w:p>
    <w:p>
      <w:pPr>
        <w:pStyle w:val="BodyText"/>
        <w:spacing w:line="276" w:lineRule="auto" w:before="300"/>
        <w:ind w:left="616" w:right="135"/>
        <w:jc w:val="both"/>
      </w:pPr>
      <w:r>
        <w:rPr/>
        <w:t>Because</w:t>
      </w:r>
      <w:r>
        <w:rPr>
          <w:spacing w:val="-7"/>
        </w:rPr>
        <w:t> </w:t>
      </w:r>
      <w:r>
        <w:rPr/>
        <w:t>organic</w:t>
      </w:r>
      <w:r>
        <w:rPr>
          <w:spacing w:val="-10"/>
        </w:rPr>
        <w:t> </w:t>
      </w:r>
      <w:r>
        <w:rPr/>
        <w:t>germanium</w:t>
      </w:r>
      <w:r>
        <w:rPr>
          <w:spacing w:val="-7"/>
        </w:rPr>
        <w:t> </w:t>
      </w:r>
      <w:r>
        <w:rPr/>
        <w:t>is</w:t>
      </w:r>
      <w:r>
        <w:rPr>
          <w:spacing w:val="-7"/>
        </w:rPr>
        <w:t> </w:t>
      </w:r>
      <w:r>
        <w:rPr/>
        <w:t>a</w:t>
      </w:r>
      <w:r>
        <w:rPr>
          <w:spacing w:val="-13"/>
        </w:rPr>
        <w:t> </w:t>
      </w:r>
      <w:r>
        <w:rPr/>
        <w:t>metalloid,</w:t>
      </w:r>
      <w:r>
        <w:rPr>
          <w:spacing w:val="-7"/>
        </w:rPr>
        <w:t> </w:t>
      </w:r>
      <w:r>
        <w:rPr/>
        <w:t>it</w:t>
      </w:r>
      <w:r>
        <w:rPr>
          <w:spacing w:val="-8"/>
        </w:rPr>
        <w:t> </w:t>
      </w:r>
      <w:r>
        <w:rPr/>
        <w:t>also</w:t>
      </w:r>
      <w:r>
        <w:rPr>
          <w:spacing w:val="-7"/>
        </w:rPr>
        <w:t> </w:t>
      </w:r>
      <w:r>
        <w:rPr/>
        <w:t>naturally</w:t>
      </w:r>
      <w:r>
        <w:rPr>
          <w:spacing w:val="-4"/>
        </w:rPr>
        <w:t> </w:t>
      </w:r>
      <w:r>
        <w:rPr/>
        <w:t>has</w:t>
      </w:r>
      <w:r>
        <w:rPr>
          <w:spacing w:val="-6"/>
        </w:rPr>
        <w:t> </w:t>
      </w:r>
      <w:r>
        <w:rPr/>
        <w:t>an</w:t>
      </w:r>
      <w:r>
        <w:rPr>
          <w:spacing w:val="-12"/>
        </w:rPr>
        <w:t> </w:t>
      </w:r>
      <w:r>
        <w:rPr/>
        <w:t>influence</w:t>
      </w:r>
      <w:r>
        <w:rPr>
          <w:spacing w:val="-6"/>
        </w:rPr>
        <w:t> </w:t>
      </w:r>
      <w:r>
        <w:rPr/>
        <w:t>on the behaviour of electrons. With respect to the fact that the total information flow</w:t>
      </w:r>
      <w:r>
        <w:rPr>
          <w:spacing w:val="17"/>
        </w:rPr>
        <w:t> </w:t>
      </w:r>
      <w:r>
        <w:rPr/>
        <w:t>of</w:t>
      </w:r>
      <w:r>
        <w:rPr>
          <w:spacing w:val="20"/>
        </w:rPr>
        <w:t> </w:t>
      </w:r>
      <w:r>
        <w:rPr/>
        <w:t>our</w:t>
      </w:r>
      <w:r>
        <w:rPr>
          <w:spacing w:val="17"/>
        </w:rPr>
        <w:t> </w:t>
      </w:r>
      <w:r>
        <w:rPr/>
        <w:t>organism</w:t>
      </w:r>
      <w:r>
        <w:rPr>
          <w:spacing w:val="20"/>
        </w:rPr>
        <w:t> </w:t>
      </w:r>
      <w:r>
        <w:rPr/>
        <w:t>takes</w:t>
      </w:r>
      <w:r>
        <w:rPr>
          <w:spacing w:val="19"/>
        </w:rPr>
        <w:t> </w:t>
      </w:r>
      <w:r>
        <w:rPr/>
        <w:t>place</w:t>
      </w:r>
      <w:r>
        <w:rPr>
          <w:spacing w:val="19"/>
        </w:rPr>
        <w:t> </w:t>
      </w:r>
      <w:r>
        <w:rPr/>
        <w:t>via</w:t>
      </w:r>
      <w:r>
        <w:rPr>
          <w:spacing w:val="18"/>
        </w:rPr>
        <w:t> </w:t>
      </w:r>
      <w:r>
        <w:rPr/>
        <w:t>electrons,</w:t>
      </w:r>
      <w:r>
        <w:rPr>
          <w:spacing w:val="17"/>
        </w:rPr>
        <w:t> </w:t>
      </w:r>
      <w:r>
        <w:rPr/>
        <w:t>we</w:t>
      </w:r>
      <w:r>
        <w:rPr>
          <w:spacing w:val="18"/>
        </w:rPr>
        <w:t> </w:t>
      </w:r>
      <w:r>
        <w:rPr/>
        <w:t>can</w:t>
      </w:r>
      <w:r>
        <w:rPr>
          <w:spacing w:val="20"/>
        </w:rPr>
        <w:t> </w:t>
      </w:r>
      <w:r>
        <w:rPr/>
        <w:t>already</w:t>
      </w:r>
      <w:r>
        <w:rPr>
          <w:spacing w:val="16"/>
        </w:rPr>
        <w:t> </w:t>
      </w:r>
      <w:r>
        <w:rPr/>
        <w:t>get</w:t>
      </w:r>
      <w:r>
        <w:rPr>
          <w:spacing w:val="19"/>
        </w:rPr>
        <w:t> </w:t>
      </w:r>
      <w:r>
        <w:rPr/>
        <w:t>a</w:t>
      </w:r>
      <w:r>
        <w:rPr>
          <w:spacing w:val="18"/>
        </w:rPr>
        <w:t> </w:t>
      </w:r>
      <w:r>
        <w:rPr/>
        <w:t>sense</w:t>
      </w:r>
      <w:r>
        <w:rPr>
          <w:spacing w:val="17"/>
        </w:rPr>
        <w:t> </w:t>
      </w:r>
      <w:r>
        <w:rPr/>
        <w:t>of</w:t>
      </w:r>
    </w:p>
    <w:p>
      <w:pPr>
        <w:spacing w:after="0" w:line="276" w:lineRule="auto"/>
        <w:jc w:val="both"/>
        <w:sectPr>
          <w:pgSz w:w="14270" w:h="16850"/>
          <w:pgMar w:header="0" w:footer="1891" w:top="1340" w:bottom="2080" w:left="800" w:right="1280"/>
        </w:sectPr>
      </w:pPr>
    </w:p>
    <w:p>
      <w:pPr>
        <w:pStyle w:val="BodyText"/>
        <w:spacing w:line="276" w:lineRule="auto" w:before="72"/>
        <w:ind w:left="616" w:right="140"/>
        <w:jc w:val="both"/>
      </w:pPr>
      <w:r>
        <w:rPr/>
        <w:t>the effect of organic germanium on our body. Organic germanium may bring blocked energies in ill people into harmony via the manipulation of electric as well as magnetic currents and thus stimulate healing processes.</w:t>
      </w:r>
    </w:p>
    <w:p>
      <w:pPr>
        <w:pStyle w:val="Heading1"/>
        <w:ind w:left="616"/>
      </w:pPr>
      <w:r>
        <w:rPr/>
        <w:t>Effect against attacks of free radicals</w:t>
      </w:r>
    </w:p>
    <w:p>
      <w:pPr>
        <w:pStyle w:val="BodyText"/>
        <w:spacing w:line="276" w:lineRule="auto" w:before="299"/>
        <w:ind w:left="616" w:right="140"/>
        <w:jc w:val="both"/>
      </w:pPr>
      <w:r>
        <w:rPr/>
        <w:t>Another mechanism with which organic germanium protects our health is its potential as an antioxidant. Our cells are attacked millions of times every day by</w:t>
      </w:r>
      <w:r>
        <w:rPr>
          <w:spacing w:val="-21"/>
        </w:rPr>
        <w:t> </w:t>
      </w:r>
      <w:r>
        <w:rPr/>
        <w:t>free</w:t>
      </w:r>
      <w:r>
        <w:rPr>
          <w:spacing w:val="-19"/>
        </w:rPr>
        <w:t> </w:t>
      </w:r>
      <w:r>
        <w:rPr/>
        <w:t>radicals.</w:t>
      </w:r>
      <w:r>
        <w:rPr>
          <w:spacing w:val="-19"/>
        </w:rPr>
        <w:t> </w:t>
      </w:r>
      <w:r>
        <w:rPr/>
        <w:t>In</w:t>
      </w:r>
      <w:r>
        <w:rPr>
          <w:spacing w:val="-19"/>
        </w:rPr>
        <w:t> </w:t>
      </w:r>
      <w:r>
        <w:rPr/>
        <w:t>connection</w:t>
      </w:r>
      <w:r>
        <w:rPr>
          <w:spacing w:val="-19"/>
        </w:rPr>
        <w:t> </w:t>
      </w:r>
      <w:r>
        <w:rPr/>
        <w:t>with</w:t>
      </w:r>
      <w:r>
        <w:rPr>
          <w:spacing w:val="-20"/>
        </w:rPr>
        <w:t> </w:t>
      </w:r>
      <w:r>
        <w:rPr/>
        <w:t>oxygen,</w:t>
      </w:r>
      <w:r>
        <w:rPr>
          <w:spacing w:val="-19"/>
        </w:rPr>
        <w:t> </w:t>
      </w:r>
      <w:r>
        <w:rPr/>
        <w:t>oxidation</w:t>
      </w:r>
      <w:r>
        <w:rPr>
          <w:spacing w:val="-20"/>
        </w:rPr>
        <w:t> </w:t>
      </w:r>
      <w:r>
        <w:rPr/>
        <w:t>then</w:t>
      </w:r>
      <w:r>
        <w:rPr>
          <w:spacing w:val="-19"/>
        </w:rPr>
        <w:t> </w:t>
      </w:r>
      <w:r>
        <w:rPr/>
        <w:t>occurs</w:t>
      </w:r>
      <w:r>
        <w:rPr>
          <w:spacing w:val="-19"/>
        </w:rPr>
        <w:t> </w:t>
      </w:r>
      <w:r>
        <w:rPr/>
        <w:t>and</w:t>
      </w:r>
      <w:r>
        <w:rPr>
          <w:spacing w:val="-20"/>
        </w:rPr>
        <w:t> </w:t>
      </w:r>
      <w:r>
        <w:rPr/>
        <w:t>thus</w:t>
      </w:r>
      <w:r>
        <w:rPr>
          <w:spacing w:val="-19"/>
        </w:rPr>
        <w:t> </w:t>
      </w:r>
      <w:r>
        <w:rPr/>
        <w:t>the destruction of our bodily</w:t>
      </w:r>
      <w:r>
        <w:rPr>
          <w:spacing w:val="1"/>
        </w:rPr>
        <w:t> </w:t>
      </w:r>
      <w:r>
        <w:rPr/>
        <w:t>cells:</w:t>
      </w:r>
    </w:p>
    <w:p>
      <w:pPr>
        <w:pStyle w:val="ListParagraph"/>
        <w:numPr>
          <w:ilvl w:val="0"/>
          <w:numId w:val="80"/>
        </w:numPr>
        <w:tabs>
          <w:tab w:pos="1036" w:val="left" w:leader="none"/>
          <w:tab w:pos="1037" w:val="left" w:leader="none"/>
        </w:tabs>
        <w:spacing w:line="273" w:lineRule="auto" w:before="203" w:after="0"/>
        <w:ind w:left="1036" w:right="133" w:hanging="358"/>
        <w:jc w:val="left"/>
        <w:rPr>
          <w:sz w:val="38"/>
        </w:rPr>
      </w:pPr>
      <w:r>
        <w:rPr>
          <w:sz w:val="38"/>
        </w:rPr>
        <w:t>Free radicals destroy our cells, our cell membranes, our DNA, </w:t>
      </w:r>
      <w:r>
        <w:rPr>
          <w:spacing w:val="3"/>
          <w:sz w:val="38"/>
        </w:rPr>
        <w:t>our </w:t>
      </w:r>
      <w:r>
        <w:rPr>
          <w:sz w:val="38"/>
        </w:rPr>
        <w:t>genes, our bodies’ own protein and</w:t>
      </w:r>
      <w:r>
        <w:rPr>
          <w:spacing w:val="1"/>
          <w:sz w:val="38"/>
        </w:rPr>
        <w:t> </w:t>
      </w:r>
      <w:r>
        <w:rPr>
          <w:sz w:val="38"/>
        </w:rPr>
        <w:t>fat.</w:t>
      </w:r>
    </w:p>
    <w:p>
      <w:pPr>
        <w:pStyle w:val="ListParagraph"/>
        <w:numPr>
          <w:ilvl w:val="0"/>
          <w:numId w:val="80"/>
        </w:numPr>
        <w:tabs>
          <w:tab w:pos="1036" w:val="left" w:leader="none"/>
          <w:tab w:pos="1037" w:val="left" w:leader="none"/>
        </w:tabs>
        <w:spacing w:line="273" w:lineRule="auto" w:before="127" w:after="0"/>
        <w:ind w:left="1036" w:right="142" w:hanging="358"/>
        <w:jc w:val="left"/>
        <w:rPr>
          <w:sz w:val="38"/>
        </w:rPr>
      </w:pPr>
      <w:r>
        <w:rPr>
          <w:sz w:val="38"/>
        </w:rPr>
        <w:t>Free radicals accelerate tissue deterioration and that which we perceive as ‘bodily</w:t>
      </w:r>
      <w:r>
        <w:rPr>
          <w:spacing w:val="-1"/>
          <w:sz w:val="38"/>
        </w:rPr>
        <w:t> </w:t>
      </w:r>
      <w:r>
        <w:rPr>
          <w:sz w:val="38"/>
        </w:rPr>
        <w:t>aging’.</w:t>
      </w:r>
    </w:p>
    <w:p>
      <w:pPr>
        <w:pStyle w:val="ListParagraph"/>
        <w:numPr>
          <w:ilvl w:val="0"/>
          <w:numId w:val="80"/>
        </w:numPr>
        <w:tabs>
          <w:tab w:pos="1036" w:val="left" w:leader="none"/>
          <w:tab w:pos="1037" w:val="left" w:leader="none"/>
        </w:tabs>
        <w:spacing w:line="273" w:lineRule="auto" w:before="127" w:after="0"/>
        <w:ind w:left="1036" w:right="130" w:hanging="358"/>
        <w:jc w:val="left"/>
        <w:rPr>
          <w:sz w:val="38"/>
        </w:rPr>
      </w:pPr>
      <w:r>
        <w:rPr>
          <w:sz w:val="38"/>
        </w:rPr>
        <w:t>Free radicals cause or accelerate many so-called civilisation diseases, for</w:t>
      </w:r>
      <w:r>
        <w:rPr>
          <w:spacing w:val="-49"/>
          <w:sz w:val="38"/>
        </w:rPr>
        <w:t> </w:t>
      </w:r>
      <w:r>
        <w:rPr>
          <w:sz w:val="38"/>
        </w:rPr>
        <w:t>ex- ample:</w:t>
      </w:r>
    </w:p>
    <w:p>
      <w:pPr>
        <w:pStyle w:val="ListParagraph"/>
        <w:numPr>
          <w:ilvl w:val="0"/>
          <w:numId w:val="87"/>
        </w:numPr>
        <w:tabs>
          <w:tab w:pos="2037" w:val="left" w:leader="none"/>
          <w:tab w:pos="2038" w:val="left" w:leader="none"/>
        </w:tabs>
        <w:spacing w:line="240" w:lineRule="auto" w:before="7" w:after="0"/>
        <w:ind w:left="2037" w:right="0" w:hanging="643"/>
        <w:jc w:val="left"/>
        <w:rPr>
          <w:sz w:val="38"/>
        </w:rPr>
      </w:pPr>
      <w:r>
        <w:rPr>
          <w:sz w:val="38"/>
        </w:rPr>
        <w:t>Atherosclerosis</w:t>
      </w:r>
    </w:p>
    <w:p>
      <w:pPr>
        <w:pStyle w:val="ListParagraph"/>
        <w:numPr>
          <w:ilvl w:val="0"/>
          <w:numId w:val="87"/>
        </w:numPr>
        <w:tabs>
          <w:tab w:pos="2037" w:val="left" w:leader="none"/>
          <w:tab w:pos="2038" w:val="left" w:leader="none"/>
        </w:tabs>
        <w:spacing w:line="240" w:lineRule="auto" w:before="64" w:after="0"/>
        <w:ind w:left="2037" w:right="0" w:hanging="643"/>
        <w:jc w:val="left"/>
        <w:rPr>
          <w:sz w:val="38"/>
        </w:rPr>
      </w:pPr>
      <w:r>
        <w:rPr>
          <w:sz w:val="38"/>
        </w:rPr>
        <w:t>Respiratory diseases</w:t>
      </w:r>
    </w:p>
    <w:p>
      <w:pPr>
        <w:pStyle w:val="ListParagraph"/>
        <w:numPr>
          <w:ilvl w:val="0"/>
          <w:numId w:val="87"/>
        </w:numPr>
        <w:tabs>
          <w:tab w:pos="2037" w:val="left" w:leader="none"/>
          <w:tab w:pos="2038" w:val="left" w:leader="none"/>
        </w:tabs>
        <w:spacing w:line="240" w:lineRule="auto" w:before="64" w:after="0"/>
        <w:ind w:left="2037" w:right="0" w:hanging="643"/>
        <w:jc w:val="left"/>
        <w:rPr>
          <w:sz w:val="38"/>
        </w:rPr>
      </w:pPr>
      <w:r>
        <w:rPr>
          <w:sz w:val="38"/>
        </w:rPr>
        <w:t>Blood vessel diseases</w:t>
      </w:r>
    </w:p>
    <w:p>
      <w:pPr>
        <w:pStyle w:val="ListParagraph"/>
        <w:numPr>
          <w:ilvl w:val="0"/>
          <w:numId w:val="87"/>
        </w:numPr>
        <w:tabs>
          <w:tab w:pos="2037" w:val="left" w:leader="none"/>
          <w:tab w:pos="2038" w:val="left" w:leader="none"/>
        </w:tabs>
        <w:spacing w:line="240" w:lineRule="auto" w:before="63" w:after="0"/>
        <w:ind w:left="2037" w:right="0" w:hanging="643"/>
        <w:jc w:val="left"/>
        <w:rPr>
          <w:sz w:val="38"/>
        </w:rPr>
      </w:pPr>
      <w:r>
        <w:rPr>
          <w:sz w:val="38"/>
        </w:rPr>
        <w:t>Diabetes</w:t>
      </w:r>
    </w:p>
    <w:p>
      <w:pPr>
        <w:pStyle w:val="ListParagraph"/>
        <w:numPr>
          <w:ilvl w:val="0"/>
          <w:numId w:val="87"/>
        </w:numPr>
        <w:tabs>
          <w:tab w:pos="2037" w:val="left" w:leader="none"/>
          <w:tab w:pos="2038" w:val="left" w:leader="none"/>
        </w:tabs>
        <w:spacing w:line="240" w:lineRule="auto" w:before="64" w:after="0"/>
        <w:ind w:left="2037" w:right="0" w:hanging="643"/>
        <w:jc w:val="left"/>
        <w:rPr>
          <w:sz w:val="38"/>
        </w:rPr>
      </w:pPr>
      <w:r>
        <w:rPr>
          <w:sz w:val="38"/>
        </w:rPr>
        <w:t>Cancer</w:t>
      </w:r>
    </w:p>
    <w:p>
      <w:pPr>
        <w:pStyle w:val="ListParagraph"/>
        <w:numPr>
          <w:ilvl w:val="0"/>
          <w:numId w:val="87"/>
        </w:numPr>
        <w:tabs>
          <w:tab w:pos="2037" w:val="left" w:leader="none"/>
          <w:tab w:pos="2038" w:val="left" w:leader="none"/>
        </w:tabs>
        <w:spacing w:line="240" w:lineRule="auto" w:before="67" w:after="0"/>
        <w:ind w:left="2037" w:right="0" w:hanging="643"/>
        <w:jc w:val="left"/>
        <w:rPr>
          <w:sz w:val="38"/>
        </w:rPr>
      </w:pPr>
      <w:r>
        <w:rPr>
          <w:sz w:val="38"/>
        </w:rPr>
        <w:t>Arthritis</w:t>
      </w:r>
    </w:p>
    <w:p>
      <w:pPr>
        <w:pStyle w:val="ListParagraph"/>
        <w:numPr>
          <w:ilvl w:val="0"/>
          <w:numId w:val="87"/>
        </w:numPr>
        <w:tabs>
          <w:tab w:pos="2037" w:val="left" w:leader="none"/>
          <w:tab w:pos="2038" w:val="left" w:leader="none"/>
        </w:tabs>
        <w:spacing w:line="240" w:lineRule="auto" w:before="63" w:after="0"/>
        <w:ind w:left="2037" w:right="0" w:hanging="643"/>
        <w:jc w:val="left"/>
        <w:rPr>
          <w:sz w:val="38"/>
        </w:rPr>
      </w:pPr>
      <w:r>
        <w:rPr>
          <w:sz w:val="38"/>
        </w:rPr>
        <w:t>Cystic</w:t>
      </w:r>
      <w:r>
        <w:rPr>
          <w:spacing w:val="-2"/>
          <w:sz w:val="38"/>
        </w:rPr>
        <w:t> </w:t>
      </w:r>
      <w:r>
        <w:rPr>
          <w:sz w:val="38"/>
        </w:rPr>
        <w:t>fibrosis</w:t>
      </w:r>
    </w:p>
    <w:p>
      <w:pPr>
        <w:pStyle w:val="ListParagraph"/>
        <w:numPr>
          <w:ilvl w:val="0"/>
          <w:numId w:val="87"/>
        </w:numPr>
        <w:tabs>
          <w:tab w:pos="2037" w:val="left" w:leader="none"/>
          <w:tab w:pos="2038" w:val="left" w:leader="none"/>
        </w:tabs>
        <w:spacing w:line="240" w:lineRule="auto" w:before="64" w:after="0"/>
        <w:ind w:left="2037" w:right="0" w:hanging="643"/>
        <w:jc w:val="left"/>
        <w:rPr>
          <w:sz w:val="38"/>
        </w:rPr>
      </w:pPr>
      <w:r>
        <w:rPr>
          <w:sz w:val="38"/>
        </w:rPr>
        <w:t>Hepatitis</w:t>
      </w:r>
    </w:p>
    <w:p>
      <w:pPr>
        <w:spacing w:after="0" w:line="240" w:lineRule="auto"/>
        <w:jc w:val="left"/>
        <w:rPr>
          <w:sz w:val="38"/>
        </w:rPr>
        <w:sectPr>
          <w:pgSz w:w="14270" w:h="16850"/>
          <w:pgMar w:header="0" w:footer="1891" w:top="1340" w:bottom="2080" w:left="800" w:right="1280"/>
        </w:sectPr>
      </w:pPr>
    </w:p>
    <w:p>
      <w:pPr>
        <w:pStyle w:val="ListParagraph"/>
        <w:numPr>
          <w:ilvl w:val="0"/>
          <w:numId w:val="87"/>
        </w:numPr>
        <w:tabs>
          <w:tab w:pos="2037" w:val="left" w:leader="none"/>
          <w:tab w:pos="2038" w:val="left" w:leader="none"/>
        </w:tabs>
        <w:spacing w:line="240" w:lineRule="auto" w:before="53" w:after="0"/>
        <w:ind w:left="2037" w:right="0" w:hanging="643"/>
        <w:jc w:val="left"/>
        <w:rPr>
          <w:sz w:val="38"/>
        </w:rPr>
      </w:pPr>
      <w:r>
        <w:rPr>
          <w:sz w:val="38"/>
        </w:rPr>
        <w:t>Inflammation</w:t>
      </w:r>
    </w:p>
    <w:p>
      <w:pPr>
        <w:pStyle w:val="ListParagraph"/>
        <w:numPr>
          <w:ilvl w:val="0"/>
          <w:numId w:val="87"/>
        </w:numPr>
        <w:tabs>
          <w:tab w:pos="2037" w:val="left" w:leader="none"/>
          <w:tab w:pos="2038" w:val="left" w:leader="none"/>
        </w:tabs>
        <w:spacing w:line="240" w:lineRule="auto" w:before="66" w:after="0"/>
        <w:ind w:left="2037" w:right="0" w:hanging="643"/>
        <w:jc w:val="left"/>
        <w:rPr>
          <w:sz w:val="38"/>
        </w:rPr>
      </w:pPr>
      <w:r>
        <w:rPr>
          <w:sz w:val="38"/>
        </w:rPr>
        <w:t>Alzheimer’s</w:t>
      </w:r>
    </w:p>
    <w:p>
      <w:pPr>
        <w:pStyle w:val="ListParagraph"/>
        <w:numPr>
          <w:ilvl w:val="0"/>
          <w:numId w:val="87"/>
        </w:numPr>
        <w:tabs>
          <w:tab w:pos="2037" w:val="left" w:leader="none"/>
          <w:tab w:pos="2038" w:val="left" w:leader="none"/>
        </w:tabs>
        <w:spacing w:line="240" w:lineRule="auto" w:before="64" w:after="0"/>
        <w:ind w:left="2037" w:right="0" w:hanging="643"/>
        <w:jc w:val="left"/>
        <w:rPr>
          <w:sz w:val="38"/>
        </w:rPr>
      </w:pPr>
      <w:r>
        <w:rPr>
          <w:sz w:val="38"/>
        </w:rPr>
        <w:t>Parkinson’s</w:t>
      </w:r>
    </w:p>
    <w:p>
      <w:pPr>
        <w:pStyle w:val="ListParagraph"/>
        <w:numPr>
          <w:ilvl w:val="0"/>
          <w:numId w:val="87"/>
        </w:numPr>
        <w:tabs>
          <w:tab w:pos="2037" w:val="left" w:leader="none"/>
          <w:tab w:pos="2038" w:val="left" w:leader="none"/>
        </w:tabs>
        <w:spacing w:line="240" w:lineRule="auto" w:before="64" w:after="0"/>
        <w:ind w:left="2037" w:right="0" w:hanging="643"/>
        <w:jc w:val="left"/>
        <w:rPr>
          <w:sz w:val="38"/>
        </w:rPr>
      </w:pPr>
      <w:r>
        <w:rPr>
          <w:sz w:val="38"/>
        </w:rPr>
        <w:t>Down’s syndrome and many others</w:t>
      </w:r>
    </w:p>
    <w:p>
      <w:pPr>
        <w:pStyle w:val="BodyText"/>
        <w:spacing w:line="276" w:lineRule="auto" w:before="302"/>
        <w:ind w:left="616" w:right="133"/>
        <w:jc w:val="both"/>
      </w:pPr>
      <w:r>
        <w:rPr/>
        <w:t>Many</w:t>
      </w:r>
      <w:r>
        <w:rPr>
          <w:spacing w:val="-12"/>
        </w:rPr>
        <w:t> </w:t>
      </w:r>
      <w:r>
        <w:rPr/>
        <w:t>studies,</w:t>
      </w:r>
      <w:r>
        <w:rPr>
          <w:spacing w:val="-12"/>
        </w:rPr>
        <w:t> </w:t>
      </w:r>
      <w:r>
        <w:rPr/>
        <w:t>including</w:t>
      </w:r>
      <w:r>
        <w:rPr>
          <w:spacing w:val="-11"/>
        </w:rPr>
        <w:t> </w:t>
      </w:r>
      <w:r>
        <w:rPr/>
        <w:t>at</w:t>
      </w:r>
      <w:r>
        <w:rPr>
          <w:spacing w:val="-14"/>
        </w:rPr>
        <w:t> </w:t>
      </w:r>
      <w:r>
        <w:rPr/>
        <w:t>the</w:t>
      </w:r>
      <w:r>
        <w:rPr>
          <w:spacing w:val="-13"/>
        </w:rPr>
        <w:t> </w:t>
      </w:r>
      <w:r>
        <w:rPr/>
        <w:t>Institute</w:t>
      </w:r>
      <w:r>
        <w:rPr>
          <w:spacing w:val="-12"/>
        </w:rPr>
        <w:t> </w:t>
      </w:r>
      <w:r>
        <w:rPr/>
        <w:t>for</w:t>
      </w:r>
      <w:r>
        <w:rPr>
          <w:spacing w:val="-11"/>
        </w:rPr>
        <w:t> </w:t>
      </w:r>
      <w:r>
        <w:rPr/>
        <w:t>Physiological</w:t>
      </w:r>
      <w:r>
        <w:rPr>
          <w:spacing w:val="-13"/>
        </w:rPr>
        <w:t> </w:t>
      </w:r>
      <w:r>
        <w:rPr/>
        <w:t>Chemistry</w:t>
      </w:r>
      <w:r>
        <w:rPr>
          <w:spacing w:val="-12"/>
        </w:rPr>
        <w:t> </w:t>
      </w:r>
      <w:r>
        <w:rPr/>
        <w:t>at</w:t>
      </w:r>
      <w:r>
        <w:rPr>
          <w:spacing w:val="-16"/>
        </w:rPr>
        <w:t> </w:t>
      </w:r>
      <w:r>
        <w:rPr/>
        <w:t>the</w:t>
      </w:r>
      <w:r>
        <w:rPr>
          <w:spacing w:val="-13"/>
        </w:rPr>
        <w:t> </w:t>
      </w:r>
      <w:r>
        <w:rPr/>
        <w:t>Uni- versity of Hannover, have been able to show that organic germanium has an influence on peroxidase and catalase as well as on the glutathione enzyme</w:t>
      </w:r>
      <w:r>
        <w:rPr>
          <w:spacing w:val="-50"/>
        </w:rPr>
        <w:t> </w:t>
      </w:r>
      <w:r>
        <w:rPr/>
        <w:t>sys- tem and in this way helps avoid oxidative destruction (in cooperation with other</w:t>
      </w:r>
      <w:r>
        <w:rPr>
          <w:spacing w:val="-8"/>
        </w:rPr>
        <w:t> </w:t>
      </w:r>
      <w:r>
        <w:rPr/>
        <w:t>important</w:t>
      </w:r>
      <w:r>
        <w:rPr>
          <w:spacing w:val="-13"/>
        </w:rPr>
        <w:t> </w:t>
      </w:r>
      <w:r>
        <w:rPr/>
        <w:t>antioxidants</w:t>
      </w:r>
      <w:r>
        <w:rPr>
          <w:spacing w:val="-9"/>
        </w:rPr>
        <w:t> </w:t>
      </w:r>
      <w:r>
        <w:rPr/>
        <w:t>like</w:t>
      </w:r>
      <w:r>
        <w:rPr>
          <w:spacing w:val="-10"/>
        </w:rPr>
        <w:t> </w:t>
      </w:r>
      <w:r>
        <w:rPr/>
        <w:t>OPC,</w:t>
      </w:r>
      <w:r>
        <w:rPr>
          <w:spacing w:val="-7"/>
        </w:rPr>
        <w:t> </w:t>
      </w:r>
      <w:r>
        <w:rPr/>
        <w:t>Vitamin</w:t>
      </w:r>
      <w:r>
        <w:rPr>
          <w:spacing w:val="-10"/>
        </w:rPr>
        <w:t> </w:t>
      </w:r>
      <w:r>
        <w:rPr/>
        <w:t>C,</w:t>
      </w:r>
      <w:r>
        <w:rPr>
          <w:spacing w:val="-8"/>
        </w:rPr>
        <w:t> </w:t>
      </w:r>
      <w:r>
        <w:rPr/>
        <w:t>Vitamin</w:t>
      </w:r>
      <w:r>
        <w:rPr>
          <w:spacing w:val="-10"/>
        </w:rPr>
        <w:t> </w:t>
      </w:r>
      <w:r>
        <w:rPr/>
        <w:t>E,</w:t>
      </w:r>
      <w:r>
        <w:rPr>
          <w:spacing w:val="-7"/>
        </w:rPr>
        <w:t> </w:t>
      </w:r>
      <w:r>
        <w:rPr/>
        <w:t>coenzyme</w:t>
      </w:r>
      <w:r>
        <w:rPr>
          <w:spacing w:val="-10"/>
        </w:rPr>
        <w:t> </w:t>
      </w:r>
      <w:r>
        <w:rPr/>
        <w:t>Q10 and selenium).</w:t>
      </w:r>
    </w:p>
    <w:p>
      <w:pPr>
        <w:pStyle w:val="Heading1"/>
        <w:spacing w:before="225"/>
        <w:ind w:left="616"/>
      </w:pPr>
      <w:r>
        <w:rPr/>
        <w:t>Cancer cell-destroying, cytotoxic effect</w:t>
      </w:r>
    </w:p>
    <w:p>
      <w:pPr>
        <w:pStyle w:val="BodyText"/>
        <w:spacing w:line="276" w:lineRule="auto" w:before="297"/>
        <w:ind w:left="616" w:right="133"/>
        <w:jc w:val="both"/>
      </w:pPr>
      <w:r>
        <w:rPr/>
        <w:t>When considered physically, a cancerous ulcer is extremely positively</w:t>
      </w:r>
      <w:r>
        <w:rPr>
          <w:spacing w:val="-47"/>
        </w:rPr>
        <w:t> </w:t>
      </w:r>
      <w:r>
        <w:rPr/>
        <w:t>charged, which is not compatible at all with the negative charge of the organic germa- nium. If a particle of germanium comes into contact with the cancer cell, it cracks</w:t>
      </w:r>
      <w:r>
        <w:rPr>
          <w:spacing w:val="-12"/>
        </w:rPr>
        <w:t> </w:t>
      </w:r>
      <w:r>
        <w:rPr/>
        <w:t>open</w:t>
      </w:r>
      <w:r>
        <w:rPr>
          <w:spacing w:val="-10"/>
        </w:rPr>
        <w:t> </w:t>
      </w:r>
      <w:r>
        <w:rPr/>
        <w:t>the</w:t>
      </w:r>
      <w:r>
        <w:rPr>
          <w:spacing w:val="-12"/>
        </w:rPr>
        <w:t> </w:t>
      </w:r>
      <w:r>
        <w:rPr/>
        <w:t>positive</w:t>
      </w:r>
      <w:r>
        <w:rPr>
          <w:spacing w:val="-12"/>
        </w:rPr>
        <w:t> </w:t>
      </w:r>
      <w:r>
        <w:rPr/>
        <w:t>charge</w:t>
      </w:r>
      <w:r>
        <w:rPr>
          <w:spacing w:val="-10"/>
        </w:rPr>
        <w:t> </w:t>
      </w:r>
      <w:r>
        <w:rPr/>
        <w:t>of</w:t>
      </w:r>
      <w:r>
        <w:rPr>
          <w:spacing w:val="-10"/>
        </w:rPr>
        <w:t> </w:t>
      </w:r>
      <w:r>
        <w:rPr/>
        <w:t>the</w:t>
      </w:r>
      <w:r>
        <w:rPr>
          <w:spacing w:val="-11"/>
        </w:rPr>
        <w:t> </w:t>
      </w:r>
      <w:r>
        <w:rPr/>
        <w:t>cancerous</w:t>
      </w:r>
      <w:r>
        <w:rPr>
          <w:spacing w:val="-13"/>
        </w:rPr>
        <w:t> </w:t>
      </w:r>
      <w:r>
        <w:rPr/>
        <w:t>tumour</w:t>
      </w:r>
      <w:r>
        <w:rPr>
          <w:spacing w:val="-11"/>
        </w:rPr>
        <w:t> </w:t>
      </w:r>
      <w:r>
        <w:rPr/>
        <w:t>like</w:t>
      </w:r>
      <w:r>
        <w:rPr>
          <w:spacing w:val="-12"/>
        </w:rPr>
        <w:t> </w:t>
      </w:r>
      <w:r>
        <w:rPr/>
        <w:t>a</w:t>
      </w:r>
      <w:r>
        <w:rPr>
          <w:spacing w:val="-12"/>
        </w:rPr>
        <w:t> </w:t>
      </w:r>
      <w:r>
        <w:rPr/>
        <w:t>shell</w:t>
      </w:r>
      <w:r>
        <w:rPr>
          <w:spacing w:val="-12"/>
        </w:rPr>
        <w:t> </w:t>
      </w:r>
      <w:r>
        <w:rPr/>
        <w:t>and</w:t>
      </w:r>
      <w:r>
        <w:rPr>
          <w:spacing w:val="-10"/>
        </w:rPr>
        <w:t> </w:t>
      </w:r>
      <w:r>
        <w:rPr/>
        <w:t>desta- bilises</w:t>
      </w:r>
      <w:r>
        <w:rPr>
          <w:spacing w:val="-6"/>
        </w:rPr>
        <w:t> </w:t>
      </w:r>
      <w:r>
        <w:rPr/>
        <w:t>it</w:t>
      </w:r>
      <w:r>
        <w:rPr>
          <w:spacing w:val="-8"/>
        </w:rPr>
        <w:t> </w:t>
      </w:r>
      <w:r>
        <w:rPr/>
        <w:t>until</w:t>
      </w:r>
      <w:r>
        <w:rPr>
          <w:spacing w:val="-8"/>
        </w:rPr>
        <w:t> </w:t>
      </w:r>
      <w:r>
        <w:rPr/>
        <w:t>it</w:t>
      </w:r>
      <w:r>
        <w:rPr>
          <w:spacing w:val="-6"/>
        </w:rPr>
        <w:t> </w:t>
      </w:r>
      <w:r>
        <w:rPr/>
        <w:t>disintegrates.</w:t>
      </w:r>
      <w:r>
        <w:rPr>
          <w:spacing w:val="-5"/>
        </w:rPr>
        <w:t> </w:t>
      </w:r>
      <w:r>
        <w:rPr/>
        <w:t>The</w:t>
      </w:r>
      <w:r>
        <w:rPr>
          <w:spacing w:val="-6"/>
        </w:rPr>
        <w:t> </w:t>
      </w:r>
      <w:r>
        <w:rPr/>
        <w:t>dead</w:t>
      </w:r>
      <w:r>
        <w:rPr>
          <w:spacing w:val="-7"/>
        </w:rPr>
        <w:t> </w:t>
      </w:r>
      <w:r>
        <w:rPr/>
        <w:t>remains</w:t>
      </w:r>
      <w:r>
        <w:rPr>
          <w:spacing w:val="-6"/>
        </w:rPr>
        <w:t> </w:t>
      </w:r>
      <w:r>
        <w:rPr/>
        <w:t>of</w:t>
      </w:r>
      <w:r>
        <w:rPr>
          <w:spacing w:val="-7"/>
        </w:rPr>
        <w:t> </w:t>
      </w:r>
      <w:r>
        <w:rPr/>
        <w:t>the</w:t>
      </w:r>
      <w:r>
        <w:rPr>
          <w:spacing w:val="-5"/>
        </w:rPr>
        <w:t> </w:t>
      </w:r>
      <w:r>
        <w:rPr/>
        <w:t>cancer</w:t>
      </w:r>
      <w:r>
        <w:rPr>
          <w:spacing w:val="-6"/>
        </w:rPr>
        <w:t> </w:t>
      </w:r>
      <w:r>
        <w:rPr/>
        <w:t>cell</w:t>
      </w:r>
      <w:r>
        <w:rPr>
          <w:spacing w:val="-8"/>
        </w:rPr>
        <w:t> </w:t>
      </w:r>
      <w:r>
        <w:rPr/>
        <w:t>are</w:t>
      </w:r>
      <w:r>
        <w:rPr>
          <w:spacing w:val="-7"/>
        </w:rPr>
        <w:t> </w:t>
      </w:r>
      <w:r>
        <w:rPr/>
        <w:t>removed from the body via the</w:t>
      </w:r>
      <w:r>
        <w:rPr>
          <w:spacing w:val="2"/>
        </w:rPr>
        <w:t> </w:t>
      </w:r>
      <w:r>
        <w:rPr/>
        <w:t>liver.</w:t>
      </w:r>
    </w:p>
    <w:p>
      <w:pPr>
        <w:pStyle w:val="Heading1"/>
        <w:spacing w:before="226"/>
        <w:ind w:left="616"/>
      </w:pPr>
      <w:r>
        <w:rPr/>
        <w:t>Detoxifying effect</w:t>
      </w:r>
    </w:p>
    <w:p>
      <w:pPr>
        <w:pStyle w:val="BodyText"/>
        <w:spacing w:line="276" w:lineRule="auto" w:before="296"/>
        <w:ind w:left="616" w:right="134"/>
        <w:jc w:val="both"/>
      </w:pPr>
      <w:r>
        <w:rPr/>
        <w:t>We live in a world that is full of stresses by way of toxins, heavy metals and radiation.</w:t>
      </w:r>
      <w:r>
        <w:rPr>
          <w:spacing w:val="-17"/>
        </w:rPr>
        <w:t> </w:t>
      </w:r>
      <w:r>
        <w:rPr/>
        <w:t>With</w:t>
      </w:r>
      <w:r>
        <w:rPr>
          <w:spacing w:val="-15"/>
        </w:rPr>
        <w:t> </w:t>
      </w:r>
      <w:r>
        <w:rPr/>
        <w:t>organic</w:t>
      </w:r>
      <w:r>
        <w:rPr>
          <w:spacing w:val="-18"/>
        </w:rPr>
        <w:t> </w:t>
      </w:r>
      <w:r>
        <w:rPr/>
        <w:t>germanium,</w:t>
      </w:r>
      <w:r>
        <w:rPr>
          <w:spacing w:val="-16"/>
        </w:rPr>
        <w:t> </w:t>
      </w:r>
      <w:r>
        <w:rPr/>
        <w:t>a</w:t>
      </w:r>
      <w:r>
        <w:rPr>
          <w:spacing w:val="-19"/>
        </w:rPr>
        <w:t> </w:t>
      </w:r>
      <w:r>
        <w:rPr/>
        <w:t>natural</w:t>
      </w:r>
      <w:r>
        <w:rPr>
          <w:spacing w:val="-19"/>
        </w:rPr>
        <w:t> </w:t>
      </w:r>
      <w:r>
        <w:rPr/>
        <w:t>substance</w:t>
      </w:r>
      <w:r>
        <w:rPr>
          <w:spacing w:val="-16"/>
        </w:rPr>
        <w:t> </w:t>
      </w:r>
      <w:r>
        <w:rPr/>
        <w:t>is</w:t>
      </w:r>
      <w:r>
        <w:rPr>
          <w:spacing w:val="-18"/>
        </w:rPr>
        <w:t> </w:t>
      </w:r>
      <w:r>
        <w:rPr/>
        <w:t>available</w:t>
      </w:r>
      <w:r>
        <w:rPr>
          <w:spacing w:val="-17"/>
        </w:rPr>
        <w:t> </w:t>
      </w:r>
      <w:r>
        <w:rPr/>
        <w:t>which</w:t>
      </w:r>
      <w:r>
        <w:rPr>
          <w:spacing w:val="-16"/>
        </w:rPr>
        <w:t> </w:t>
      </w:r>
      <w:r>
        <w:rPr/>
        <w:t>frees the</w:t>
      </w:r>
      <w:r>
        <w:rPr>
          <w:spacing w:val="34"/>
        </w:rPr>
        <w:t> </w:t>
      </w:r>
      <w:r>
        <w:rPr/>
        <w:t>body</w:t>
      </w:r>
      <w:r>
        <w:rPr>
          <w:spacing w:val="33"/>
        </w:rPr>
        <w:t> </w:t>
      </w:r>
      <w:r>
        <w:rPr/>
        <w:t>of</w:t>
      </w:r>
      <w:r>
        <w:rPr>
          <w:spacing w:val="34"/>
        </w:rPr>
        <w:t> </w:t>
      </w:r>
      <w:r>
        <w:rPr/>
        <w:t>dangerous</w:t>
      </w:r>
      <w:r>
        <w:rPr>
          <w:spacing w:val="34"/>
        </w:rPr>
        <w:t> </w:t>
      </w:r>
      <w:r>
        <w:rPr/>
        <w:t>foreign</w:t>
      </w:r>
      <w:r>
        <w:rPr>
          <w:spacing w:val="33"/>
        </w:rPr>
        <w:t> </w:t>
      </w:r>
      <w:r>
        <w:rPr/>
        <w:t>substances,</w:t>
      </w:r>
      <w:r>
        <w:rPr>
          <w:spacing w:val="35"/>
        </w:rPr>
        <w:t> </w:t>
      </w:r>
      <w:r>
        <w:rPr/>
        <w:t>malignant</w:t>
      </w:r>
      <w:r>
        <w:rPr>
          <w:spacing w:val="33"/>
        </w:rPr>
        <w:t> </w:t>
      </w:r>
      <w:r>
        <w:rPr/>
        <w:t>contaminations,</w:t>
      </w:r>
      <w:r>
        <w:rPr>
          <w:spacing w:val="35"/>
        </w:rPr>
        <w:t> </w:t>
      </w:r>
      <w:r>
        <w:rPr/>
        <w:t>heavy</w:t>
      </w:r>
    </w:p>
    <w:p>
      <w:pPr>
        <w:spacing w:after="0" w:line="276" w:lineRule="auto"/>
        <w:jc w:val="both"/>
        <w:sectPr>
          <w:pgSz w:w="14270" w:h="16850"/>
          <w:pgMar w:header="0" w:footer="1891" w:top="1360" w:bottom="2080" w:left="800" w:right="1280"/>
        </w:sectPr>
      </w:pPr>
    </w:p>
    <w:p>
      <w:pPr>
        <w:pStyle w:val="BodyText"/>
        <w:spacing w:line="276" w:lineRule="auto" w:before="72"/>
        <w:ind w:left="616" w:right="136"/>
        <w:jc w:val="both"/>
      </w:pPr>
      <w:r>
        <w:rPr/>
        <w:t>metals</w:t>
      </w:r>
      <w:r>
        <w:rPr>
          <w:spacing w:val="-8"/>
        </w:rPr>
        <w:t> </w:t>
      </w:r>
      <w:r>
        <w:rPr/>
        <w:t>and</w:t>
      </w:r>
      <w:r>
        <w:rPr>
          <w:spacing w:val="-7"/>
        </w:rPr>
        <w:t> </w:t>
      </w:r>
      <w:r>
        <w:rPr/>
        <w:t>radiation.</w:t>
      </w:r>
      <w:r>
        <w:rPr>
          <w:spacing w:val="-7"/>
        </w:rPr>
        <w:t> </w:t>
      </w:r>
      <w:r>
        <w:rPr/>
        <w:t>Quicksilver,</w:t>
      </w:r>
      <w:r>
        <w:rPr>
          <w:spacing w:val="-6"/>
        </w:rPr>
        <w:t> </w:t>
      </w:r>
      <w:r>
        <w:rPr/>
        <w:t>cadmium</w:t>
      </w:r>
      <w:r>
        <w:rPr>
          <w:spacing w:val="-8"/>
        </w:rPr>
        <w:t> </w:t>
      </w:r>
      <w:r>
        <w:rPr/>
        <w:t>and</w:t>
      </w:r>
      <w:r>
        <w:rPr>
          <w:spacing w:val="-7"/>
        </w:rPr>
        <w:t> </w:t>
      </w:r>
      <w:r>
        <w:rPr/>
        <w:t>other</w:t>
      </w:r>
      <w:r>
        <w:rPr>
          <w:spacing w:val="-7"/>
        </w:rPr>
        <w:t> </w:t>
      </w:r>
      <w:r>
        <w:rPr/>
        <w:t>heavy</w:t>
      </w:r>
      <w:r>
        <w:rPr>
          <w:spacing w:val="-8"/>
        </w:rPr>
        <w:t> </w:t>
      </w:r>
      <w:r>
        <w:rPr/>
        <w:t>metals</w:t>
      </w:r>
      <w:r>
        <w:rPr>
          <w:spacing w:val="-8"/>
        </w:rPr>
        <w:t> </w:t>
      </w:r>
      <w:r>
        <w:rPr/>
        <w:t>are</w:t>
      </w:r>
      <w:r>
        <w:rPr>
          <w:spacing w:val="-7"/>
        </w:rPr>
        <w:t> </w:t>
      </w:r>
      <w:r>
        <w:rPr/>
        <w:t>depos- ited into our bodies and cause serious damages to our health. Organic germa- nium binds all of these dangerous substances to itself and conveys them out of the body. According to Dr. Asai, this happens because the positively charged ions of the toxins are captured in the net of the negatively charged ions of the organic germanium and are then flushed from the</w:t>
      </w:r>
      <w:r>
        <w:rPr>
          <w:spacing w:val="-10"/>
        </w:rPr>
        <w:t> </w:t>
      </w:r>
      <w:r>
        <w:rPr/>
        <w:t>body.</w:t>
      </w:r>
    </w:p>
    <w:p>
      <w:pPr>
        <w:pStyle w:val="BodyText"/>
        <w:spacing w:line="276" w:lineRule="auto" w:before="242"/>
        <w:ind w:left="616" w:right="137"/>
        <w:jc w:val="both"/>
      </w:pPr>
      <w:r>
        <w:rPr/>
        <w:t>The</w:t>
      </w:r>
      <w:r>
        <w:rPr>
          <w:spacing w:val="-21"/>
        </w:rPr>
        <w:t> </w:t>
      </w:r>
      <w:r>
        <w:rPr/>
        <w:t>blood</w:t>
      </w:r>
      <w:r>
        <w:rPr>
          <w:spacing w:val="-21"/>
        </w:rPr>
        <w:t> </w:t>
      </w:r>
      <w:r>
        <w:rPr/>
        <w:t>is</w:t>
      </w:r>
      <w:r>
        <w:rPr>
          <w:spacing w:val="-21"/>
        </w:rPr>
        <w:t> </w:t>
      </w:r>
      <w:r>
        <w:rPr/>
        <w:t>also</w:t>
      </w:r>
      <w:r>
        <w:rPr>
          <w:spacing w:val="-21"/>
        </w:rPr>
        <w:t> </w:t>
      </w:r>
      <w:r>
        <w:rPr/>
        <w:t>detoxified</w:t>
      </w:r>
      <w:r>
        <w:rPr>
          <w:spacing w:val="-19"/>
        </w:rPr>
        <w:t> </w:t>
      </w:r>
      <w:r>
        <w:rPr/>
        <w:t>via</w:t>
      </w:r>
      <w:r>
        <w:rPr>
          <w:spacing w:val="-22"/>
        </w:rPr>
        <w:t> </w:t>
      </w:r>
      <w:r>
        <w:rPr/>
        <w:t>the</w:t>
      </w:r>
      <w:r>
        <w:rPr>
          <w:spacing w:val="-20"/>
        </w:rPr>
        <w:t> </w:t>
      </w:r>
      <w:r>
        <w:rPr/>
        <w:t>negatively</w:t>
      </w:r>
      <w:r>
        <w:rPr>
          <w:spacing w:val="-22"/>
        </w:rPr>
        <w:t> </w:t>
      </w:r>
      <w:r>
        <w:rPr/>
        <w:t>charged</w:t>
      </w:r>
      <w:r>
        <w:rPr>
          <w:spacing w:val="-20"/>
        </w:rPr>
        <w:t> </w:t>
      </w:r>
      <w:r>
        <w:rPr/>
        <w:t>oxygen</w:t>
      </w:r>
      <w:r>
        <w:rPr>
          <w:spacing w:val="-21"/>
        </w:rPr>
        <w:t> </w:t>
      </w:r>
      <w:r>
        <w:rPr/>
        <w:t>ions,</w:t>
      </w:r>
      <w:r>
        <w:rPr>
          <w:spacing w:val="-20"/>
        </w:rPr>
        <w:t> </w:t>
      </w:r>
      <w:r>
        <w:rPr/>
        <w:t>which</w:t>
      </w:r>
      <w:r>
        <w:rPr>
          <w:spacing w:val="-19"/>
        </w:rPr>
        <w:t> </w:t>
      </w:r>
      <w:r>
        <w:rPr/>
        <w:t>ben- efits all organs and tissue types. During this process, deformed and diseased red blood cells are repaired. Organic germanium also works efficiently against side effects of cobalt radiation. Here, a very good effect is demonstrated after an introductory dose of 100 mg/day with 300</w:t>
      </w:r>
      <w:r>
        <w:rPr>
          <w:spacing w:val="-1"/>
        </w:rPr>
        <w:t> </w:t>
      </w:r>
      <w:r>
        <w:rPr/>
        <w:t>mg/day.</w:t>
      </w:r>
    </w:p>
    <w:p>
      <w:pPr>
        <w:pStyle w:val="Heading1"/>
        <w:spacing w:before="223"/>
        <w:ind w:left="616"/>
        <w:jc w:val="both"/>
      </w:pPr>
      <w:r>
        <w:rPr/>
        <w:t>Antimutagenic effect</w:t>
      </w:r>
    </w:p>
    <w:p>
      <w:pPr>
        <w:pStyle w:val="BodyText"/>
        <w:spacing w:line="276" w:lineRule="auto" w:before="299"/>
        <w:ind w:left="616" w:right="139"/>
        <w:jc w:val="both"/>
      </w:pPr>
      <w:r>
        <w:rPr/>
        <w:t>Germanium has been shown to have an antimutagenic effect. In strictly con- trolled studies, organic germanium (Ge-132) was able to reduce mutations in</w:t>
      </w:r>
    </w:p>
    <w:p>
      <w:pPr>
        <w:pStyle w:val="BodyText"/>
        <w:spacing w:line="276" w:lineRule="auto"/>
        <w:ind w:left="616" w:right="131"/>
        <w:jc w:val="both"/>
      </w:pPr>
      <w:r>
        <w:rPr/>
        <w:t>E. coli caused by gamma rays by a factor of 20. The mutation rate of Trp-P-2 induced salmonella typhimurium was able to be reduced by a factor of 40 to 67.</w:t>
      </w:r>
    </w:p>
    <w:p>
      <w:pPr>
        <w:pStyle w:val="Heading1"/>
        <w:spacing w:before="223"/>
        <w:ind w:left="616"/>
        <w:jc w:val="both"/>
      </w:pPr>
      <w:r>
        <w:rPr/>
        <w:t>Analgesic effect</w:t>
      </w:r>
    </w:p>
    <w:p>
      <w:pPr>
        <w:pStyle w:val="BodyText"/>
        <w:spacing w:line="276" w:lineRule="auto" w:before="299"/>
        <w:ind w:left="616" w:right="139"/>
        <w:jc w:val="both"/>
      </w:pPr>
      <w:r>
        <w:rPr/>
        <w:t>Organic germanium has an influence on endorphins and thus has an</w:t>
      </w:r>
      <w:r>
        <w:rPr>
          <w:spacing w:val="-46"/>
        </w:rPr>
        <w:t> </w:t>
      </w:r>
      <w:r>
        <w:rPr/>
        <w:t>analgesic (pain-relieving) effect. Additionally, it can augment the effect of conventional pain medications. Due to the fact that organic germanium enhances the anal- gesic effect of morphine analgesics, one may assume that organic</w:t>
      </w:r>
      <w:r>
        <w:rPr>
          <w:spacing w:val="86"/>
        </w:rPr>
        <w:t> </w:t>
      </w:r>
      <w:r>
        <w:rPr/>
        <w:t>germanium</w:t>
      </w:r>
    </w:p>
    <w:p>
      <w:pPr>
        <w:spacing w:after="0" w:line="276" w:lineRule="auto"/>
        <w:jc w:val="both"/>
        <w:sectPr>
          <w:pgSz w:w="14270" w:h="16850"/>
          <w:pgMar w:header="0" w:footer="1891" w:top="1340" w:bottom="2080" w:left="800" w:right="1280"/>
        </w:sectPr>
      </w:pPr>
    </w:p>
    <w:p>
      <w:pPr>
        <w:pStyle w:val="BodyText"/>
        <w:spacing w:line="276" w:lineRule="auto" w:before="72"/>
        <w:ind w:left="616" w:right="135"/>
        <w:jc w:val="both"/>
      </w:pPr>
      <w:r>
        <w:rPr/>
        <w:t>(Ge-132)</w:t>
      </w:r>
      <w:r>
        <w:rPr>
          <w:spacing w:val="-18"/>
        </w:rPr>
        <w:t> </w:t>
      </w:r>
      <w:r>
        <w:rPr/>
        <w:t>activates</w:t>
      </w:r>
      <w:r>
        <w:rPr>
          <w:spacing w:val="-15"/>
        </w:rPr>
        <w:t> </w:t>
      </w:r>
      <w:r>
        <w:rPr/>
        <w:t>the</w:t>
      </w:r>
      <w:r>
        <w:rPr>
          <w:spacing w:val="-16"/>
        </w:rPr>
        <w:t> </w:t>
      </w:r>
      <w:r>
        <w:rPr/>
        <w:t>analgesic</w:t>
      </w:r>
      <w:r>
        <w:rPr>
          <w:spacing w:val="-17"/>
        </w:rPr>
        <w:t> </w:t>
      </w:r>
      <w:r>
        <w:rPr/>
        <w:t>system</w:t>
      </w:r>
      <w:r>
        <w:rPr>
          <w:spacing w:val="-16"/>
        </w:rPr>
        <w:t> </w:t>
      </w:r>
      <w:r>
        <w:rPr/>
        <w:t>via</w:t>
      </w:r>
      <w:r>
        <w:rPr>
          <w:spacing w:val="-19"/>
        </w:rPr>
        <w:t> </w:t>
      </w:r>
      <w:r>
        <w:rPr/>
        <w:t>an</w:t>
      </w:r>
      <w:r>
        <w:rPr>
          <w:spacing w:val="-16"/>
        </w:rPr>
        <w:t> </w:t>
      </w:r>
      <w:r>
        <w:rPr/>
        <w:t>opium</w:t>
      </w:r>
      <w:r>
        <w:rPr>
          <w:spacing w:val="-17"/>
        </w:rPr>
        <w:t> </w:t>
      </w:r>
      <w:r>
        <w:rPr/>
        <w:t>receptor</w:t>
      </w:r>
      <w:r>
        <w:rPr>
          <w:spacing w:val="-17"/>
        </w:rPr>
        <w:t> </w:t>
      </w:r>
      <w:r>
        <w:rPr/>
        <w:t>in</w:t>
      </w:r>
      <w:r>
        <w:rPr>
          <w:spacing w:val="-16"/>
        </w:rPr>
        <w:t> </w:t>
      </w:r>
      <w:r>
        <w:rPr/>
        <w:t>the</w:t>
      </w:r>
      <w:r>
        <w:rPr>
          <w:spacing w:val="-16"/>
        </w:rPr>
        <w:t> </w:t>
      </w:r>
      <w:r>
        <w:rPr/>
        <w:t>brain.</w:t>
      </w:r>
      <w:r>
        <w:rPr>
          <w:spacing w:val="-17"/>
        </w:rPr>
        <w:t> </w:t>
      </w:r>
      <w:r>
        <w:rPr/>
        <w:t>The analgesic effect of organic germanium has been especially proven with rheu- matism patients, cancer patients and patients with angina</w:t>
      </w:r>
      <w:r>
        <w:rPr>
          <w:spacing w:val="-6"/>
        </w:rPr>
        <w:t> </w:t>
      </w:r>
      <w:r>
        <w:rPr/>
        <w:t>pectoris.</w:t>
      </w:r>
    </w:p>
    <w:p>
      <w:pPr>
        <w:pStyle w:val="Heading1"/>
        <w:ind w:left="616"/>
      </w:pPr>
      <w:r>
        <w:rPr/>
        <w:t>Antiviral and antifungal effect</w:t>
      </w:r>
    </w:p>
    <w:p>
      <w:pPr>
        <w:pStyle w:val="BodyText"/>
        <w:spacing w:before="299"/>
        <w:ind w:left="616"/>
      </w:pPr>
      <w:r>
        <w:rPr/>
        <w:t>Furthermore, organic germanium also has an antiviral and antifungal effect.</w:t>
      </w:r>
    </w:p>
    <w:p>
      <w:pPr>
        <w:pStyle w:val="Heading1"/>
        <w:spacing w:before="287"/>
        <w:ind w:left="616"/>
      </w:pPr>
      <w:r>
        <w:rPr/>
        <w:t>Has the effect of organic germanium been proven?</w:t>
      </w:r>
    </w:p>
    <w:p>
      <w:pPr>
        <w:pStyle w:val="BodyText"/>
        <w:spacing w:line="276" w:lineRule="auto" w:before="300"/>
        <w:ind w:left="616" w:right="140"/>
        <w:jc w:val="both"/>
      </w:pPr>
      <w:r>
        <w:rPr/>
        <w:t>With so much promise related to a single natural substance, the scepticism of those especially who have not yet had many dealings with natural remedies is understandably quite large, and so many of these people might question such a wholehearted promise of organic germanium’s health effects.</w:t>
      </w:r>
    </w:p>
    <w:p>
      <w:pPr>
        <w:pStyle w:val="BodyText"/>
        <w:spacing w:line="276" w:lineRule="auto" w:before="239"/>
        <w:ind w:left="616" w:right="136"/>
        <w:jc w:val="both"/>
      </w:pPr>
      <w:r>
        <w:rPr/>
        <w:t>In</w:t>
      </w:r>
      <w:r>
        <w:rPr>
          <w:spacing w:val="-10"/>
        </w:rPr>
        <w:t> </w:t>
      </w:r>
      <w:r>
        <w:rPr/>
        <w:t>contrast</w:t>
      </w:r>
      <w:r>
        <w:rPr>
          <w:spacing w:val="-10"/>
        </w:rPr>
        <w:t> </w:t>
      </w:r>
      <w:r>
        <w:rPr/>
        <w:t>to</w:t>
      </w:r>
      <w:r>
        <w:rPr>
          <w:spacing w:val="-11"/>
        </w:rPr>
        <w:t> </w:t>
      </w:r>
      <w:r>
        <w:rPr/>
        <w:t>most</w:t>
      </w:r>
      <w:r>
        <w:rPr>
          <w:spacing w:val="-10"/>
        </w:rPr>
        <w:t> </w:t>
      </w:r>
      <w:r>
        <w:rPr/>
        <w:t>natural</w:t>
      </w:r>
      <w:r>
        <w:rPr>
          <w:spacing w:val="-10"/>
        </w:rPr>
        <w:t> </w:t>
      </w:r>
      <w:r>
        <w:rPr/>
        <w:t>remedies,</w:t>
      </w:r>
      <w:r>
        <w:rPr>
          <w:spacing w:val="-8"/>
        </w:rPr>
        <w:t> </w:t>
      </w:r>
      <w:r>
        <w:rPr/>
        <w:t>organic</w:t>
      </w:r>
      <w:r>
        <w:rPr>
          <w:spacing w:val="-10"/>
        </w:rPr>
        <w:t> </w:t>
      </w:r>
      <w:r>
        <w:rPr/>
        <w:t>germanium</w:t>
      </w:r>
      <w:r>
        <w:rPr>
          <w:spacing w:val="-10"/>
        </w:rPr>
        <w:t> </w:t>
      </w:r>
      <w:r>
        <w:rPr/>
        <w:t>is</w:t>
      </w:r>
      <w:r>
        <w:rPr>
          <w:spacing w:val="-9"/>
        </w:rPr>
        <w:t> </w:t>
      </w:r>
      <w:r>
        <w:rPr/>
        <w:t>a</w:t>
      </w:r>
      <w:r>
        <w:rPr>
          <w:spacing w:val="-10"/>
        </w:rPr>
        <w:t> </w:t>
      </w:r>
      <w:r>
        <w:rPr/>
        <w:t>substance</w:t>
      </w:r>
      <w:r>
        <w:rPr>
          <w:spacing w:val="-9"/>
        </w:rPr>
        <w:t> </w:t>
      </w:r>
      <w:r>
        <w:rPr/>
        <w:t>whose production has a creative, intellectual value. This authorises the patenting of a product.</w:t>
      </w:r>
    </w:p>
    <w:p>
      <w:pPr>
        <w:pStyle w:val="BodyText"/>
        <w:spacing w:line="276" w:lineRule="auto" w:before="242"/>
        <w:ind w:left="616" w:right="144"/>
        <w:jc w:val="both"/>
      </w:pPr>
      <w:r>
        <w:rPr/>
        <w:t>In such a patent, of course, a proven, unobjectionable usefulness for the end user must be demonstrated</w:t>
      </w:r>
    </w:p>
    <w:p>
      <w:pPr>
        <w:spacing w:line="264" w:lineRule="auto" w:before="221"/>
        <w:ind w:left="616" w:right="138" w:firstLine="0"/>
        <w:jc w:val="both"/>
        <w:rPr>
          <w:sz w:val="38"/>
        </w:rPr>
      </w:pPr>
      <w:r>
        <w:rPr>
          <w:b/>
          <w:sz w:val="38"/>
        </w:rPr>
        <w:t>US Patent No. 4.473.581 Title </w:t>
      </w:r>
      <w:r>
        <w:rPr>
          <w:b/>
          <w:i/>
          <w:sz w:val="40"/>
        </w:rPr>
        <w:t>‘Organogermanium Induction of Inter- feron Production’, Ishida et al.,</w:t>
      </w:r>
      <w:r>
        <w:rPr>
          <w:b/>
          <w:i/>
          <w:spacing w:val="-71"/>
          <w:sz w:val="40"/>
        </w:rPr>
        <w:t> </w:t>
      </w:r>
      <w:r>
        <w:rPr>
          <w:b/>
          <w:sz w:val="38"/>
        </w:rPr>
        <w:t>September 25, 1984</w:t>
      </w:r>
      <w:r>
        <w:rPr>
          <w:sz w:val="38"/>
        </w:rPr>
        <w:t>:</w:t>
      </w:r>
    </w:p>
    <w:p>
      <w:pPr>
        <w:pStyle w:val="ListParagraph"/>
        <w:numPr>
          <w:ilvl w:val="0"/>
          <w:numId w:val="88"/>
        </w:numPr>
        <w:tabs>
          <w:tab w:pos="1096" w:val="left" w:leader="none"/>
          <w:tab w:pos="1097" w:val="left" w:leader="none"/>
        </w:tabs>
        <w:spacing w:line="240" w:lineRule="auto" w:before="250" w:after="0"/>
        <w:ind w:left="1096" w:right="0" w:hanging="360"/>
        <w:jc w:val="left"/>
        <w:rPr>
          <w:sz w:val="38"/>
        </w:rPr>
      </w:pPr>
      <w:r>
        <w:rPr>
          <w:sz w:val="38"/>
        </w:rPr>
        <w:t>Immunising Properties</w:t>
      </w:r>
    </w:p>
    <w:p>
      <w:pPr>
        <w:pStyle w:val="ListParagraph"/>
        <w:numPr>
          <w:ilvl w:val="0"/>
          <w:numId w:val="88"/>
        </w:numPr>
        <w:tabs>
          <w:tab w:pos="1096" w:val="left" w:leader="none"/>
          <w:tab w:pos="1097" w:val="left" w:leader="none"/>
        </w:tabs>
        <w:spacing w:line="273" w:lineRule="auto" w:before="67" w:after="0"/>
        <w:ind w:left="1096" w:right="399" w:hanging="360"/>
        <w:jc w:val="left"/>
        <w:rPr>
          <w:sz w:val="38"/>
        </w:rPr>
      </w:pPr>
      <w:r>
        <w:rPr>
          <w:sz w:val="38"/>
        </w:rPr>
        <w:t>Production of interferon (immune gamma interferon type 2) with effects against viruses and</w:t>
      </w:r>
      <w:r>
        <w:rPr>
          <w:spacing w:val="1"/>
          <w:sz w:val="38"/>
        </w:rPr>
        <w:t> </w:t>
      </w:r>
      <w:r>
        <w:rPr>
          <w:sz w:val="38"/>
        </w:rPr>
        <w:t>cancer</w:t>
      </w:r>
    </w:p>
    <w:p>
      <w:pPr>
        <w:spacing w:after="0" w:line="273" w:lineRule="auto"/>
        <w:jc w:val="left"/>
        <w:rPr>
          <w:sz w:val="38"/>
        </w:rPr>
        <w:sectPr>
          <w:pgSz w:w="14270" w:h="16850"/>
          <w:pgMar w:header="0" w:footer="1891" w:top="1340" w:bottom="2080" w:left="800" w:right="1280"/>
        </w:sectPr>
      </w:pPr>
    </w:p>
    <w:p>
      <w:pPr>
        <w:pStyle w:val="ListParagraph"/>
        <w:numPr>
          <w:ilvl w:val="0"/>
          <w:numId w:val="88"/>
        </w:numPr>
        <w:tabs>
          <w:tab w:pos="1096" w:val="left" w:leader="none"/>
          <w:tab w:pos="1097" w:val="left" w:leader="none"/>
        </w:tabs>
        <w:spacing w:line="240" w:lineRule="auto" w:before="53" w:after="0"/>
        <w:ind w:left="1096" w:right="0" w:hanging="360"/>
        <w:jc w:val="left"/>
        <w:rPr>
          <w:sz w:val="38"/>
        </w:rPr>
      </w:pPr>
      <w:r>
        <w:rPr>
          <w:sz w:val="38"/>
        </w:rPr>
        <w:t>Activation of</w:t>
      </w:r>
      <w:r>
        <w:rPr>
          <w:spacing w:val="1"/>
          <w:sz w:val="38"/>
        </w:rPr>
        <w:t> </w:t>
      </w:r>
      <w:r>
        <w:rPr>
          <w:sz w:val="38"/>
        </w:rPr>
        <w:t>macrophages</w:t>
      </w:r>
    </w:p>
    <w:p>
      <w:pPr>
        <w:pStyle w:val="ListParagraph"/>
        <w:numPr>
          <w:ilvl w:val="0"/>
          <w:numId w:val="88"/>
        </w:numPr>
        <w:tabs>
          <w:tab w:pos="1096" w:val="left" w:leader="none"/>
          <w:tab w:pos="1097" w:val="left" w:leader="none"/>
        </w:tabs>
        <w:spacing w:line="240" w:lineRule="auto" w:before="66" w:after="0"/>
        <w:ind w:left="1096" w:right="0" w:hanging="360"/>
        <w:jc w:val="left"/>
        <w:rPr>
          <w:sz w:val="38"/>
        </w:rPr>
      </w:pPr>
      <w:r>
        <w:rPr>
          <w:sz w:val="38"/>
        </w:rPr>
        <w:t>cytolytic (cell-damaging) effect on cancer</w:t>
      </w:r>
      <w:r>
        <w:rPr>
          <w:spacing w:val="1"/>
          <w:sz w:val="38"/>
        </w:rPr>
        <w:t> </w:t>
      </w:r>
      <w:r>
        <w:rPr>
          <w:sz w:val="38"/>
        </w:rPr>
        <w:t>cells</w:t>
      </w:r>
    </w:p>
    <w:p>
      <w:pPr>
        <w:pStyle w:val="Heading1"/>
        <w:spacing w:before="288"/>
        <w:ind w:left="616"/>
      </w:pPr>
      <w:r>
        <w:rPr/>
        <w:t>Specific effects on diseases</w:t>
      </w:r>
    </w:p>
    <w:p>
      <w:pPr>
        <w:pStyle w:val="BodyText"/>
        <w:spacing w:line="276" w:lineRule="auto" w:before="296"/>
        <w:ind w:left="616" w:right="134"/>
        <w:jc w:val="both"/>
      </w:pPr>
      <w:r>
        <w:rPr/>
        <w:t>With the above-mentioned properties of strengthening the immune system, enriching cells with oxygen, protecting healthy cells from free radicals, having a damaging effect on cancer cells and detoxifying the organism, organic ger- manium is in fact predestined to put an end to many diseases, and not only life-threatening ones! While research into organic germanium is still largely in its infancy, there are nonetheless already findings and evidence concerning its amazing effects on the following illnesses:</w:t>
      </w:r>
    </w:p>
    <w:p>
      <w:pPr>
        <w:pStyle w:val="Heading1"/>
        <w:ind w:left="616"/>
      </w:pPr>
      <w:r>
        <w:rPr/>
        <w:t>Effects of organic germanium on</w:t>
      </w:r>
      <w:r>
        <w:rPr>
          <w:spacing w:val="-54"/>
        </w:rPr>
        <w:t> </w:t>
      </w:r>
      <w:r>
        <w:rPr/>
        <w:t>cancer</w:t>
      </w:r>
    </w:p>
    <w:p>
      <w:pPr>
        <w:pStyle w:val="BodyText"/>
        <w:spacing w:line="276" w:lineRule="auto" w:before="299"/>
        <w:ind w:left="616" w:right="132"/>
        <w:jc w:val="both"/>
      </w:pPr>
      <w:r>
        <w:rPr/>
        <w:t>Studies have shown that organic germanium has a cancer-inhibiting effect</w:t>
      </w:r>
      <w:r>
        <w:rPr>
          <w:spacing w:val="-55"/>
        </w:rPr>
        <w:t> </w:t>
      </w:r>
      <w:r>
        <w:rPr/>
        <w:t>and both a directly and indirectly destructive effect on cancer cells. On the one hand,</w:t>
      </w:r>
      <w:r>
        <w:rPr>
          <w:spacing w:val="-26"/>
        </w:rPr>
        <w:t> </w:t>
      </w:r>
      <w:r>
        <w:rPr/>
        <w:t>the</w:t>
      </w:r>
      <w:r>
        <w:rPr>
          <w:spacing w:val="-28"/>
        </w:rPr>
        <w:t> </w:t>
      </w:r>
      <w:r>
        <w:rPr/>
        <w:t>negatively-charged</w:t>
      </w:r>
      <w:r>
        <w:rPr>
          <w:spacing w:val="-27"/>
        </w:rPr>
        <w:t> </w:t>
      </w:r>
      <w:r>
        <w:rPr/>
        <w:t>germanium</w:t>
      </w:r>
      <w:r>
        <w:rPr>
          <w:spacing w:val="-26"/>
        </w:rPr>
        <w:t> </w:t>
      </w:r>
      <w:r>
        <w:rPr/>
        <w:t>breaks</w:t>
      </w:r>
      <w:r>
        <w:rPr>
          <w:spacing w:val="-26"/>
        </w:rPr>
        <w:t> </w:t>
      </w:r>
      <w:r>
        <w:rPr/>
        <w:t>through</w:t>
      </w:r>
      <w:r>
        <w:rPr>
          <w:spacing w:val="-26"/>
        </w:rPr>
        <w:t> </w:t>
      </w:r>
      <w:r>
        <w:rPr/>
        <w:t>the</w:t>
      </w:r>
      <w:r>
        <w:rPr>
          <w:spacing w:val="-28"/>
        </w:rPr>
        <w:t> </w:t>
      </w:r>
      <w:r>
        <w:rPr/>
        <w:t>positively-charged cancer wall and destabilises it until it falls apart. Then the remains of the dead cancer cells are transported out of the body via the liver. On the other hand, organic germanium stimulates the T suppressor cells, macrophages, natural killer cells as well as the production of lymphokines which cooperate in con- quering the cancer. In animal trials, the effect of natural killer cells was tripled from 10 % to 33 %. Organic germanium has the ability to melt down the tu- mour and, on the basis of its immune strengthening and bioelectric qualities, to avoid metastases.</w:t>
      </w:r>
    </w:p>
    <w:p>
      <w:pPr>
        <w:spacing w:after="0" w:line="276" w:lineRule="auto"/>
        <w:jc w:val="both"/>
        <w:sectPr>
          <w:pgSz w:w="14270" w:h="16850"/>
          <w:pgMar w:header="0" w:footer="1891" w:top="1360" w:bottom="2080" w:left="800" w:right="1280"/>
        </w:sectPr>
      </w:pPr>
    </w:p>
    <w:p>
      <w:pPr>
        <w:pStyle w:val="BodyText"/>
        <w:spacing w:line="276" w:lineRule="auto" w:before="74"/>
        <w:ind w:left="616" w:right="135"/>
        <w:jc w:val="both"/>
      </w:pPr>
      <w:r>
        <w:rPr/>
        <w:t>Here it is assumed that the bioelectric properties of the metalloid</w:t>
      </w:r>
      <w:r>
        <w:rPr>
          <w:spacing w:val="-68"/>
        </w:rPr>
        <w:t> </w:t>
      </w:r>
      <w:r>
        <w:rPr/>
        <w:t>‘germanium’ have a highly viscous effect on our blood, which makes it impossible for the cancer cells to become established and develop into a cancerous tumour. Or- ganic</w:t>
      </w:r>
      <w:r>
        <w:rPr>
          <w:spacing w:val="-23"/>
        </w:rPr>
        <w:t> </w:t>
      </w:r>
      <w:r>
        <w:rPr/>
        <w:t>germanium</w:t>
      </w:r>
      <w:r>
        <w:rPr>
          <w:spacing w:val="-23"/>
        </w:rPr>
        <w:t> </w:t>
      </w:r>
      <w:r>
        <w:rPr/>
        <w:t>is</w:t>
      </w:r>
      <w:r>
        <w:rPr>
          <w:spacing w:val="-23"/>
        </w:rPr>
        <w:t> </w:t>
      </w:r>
      <w:r>
        <w:rPr/>
        <w:t>thus</w:t>
      </w:r>
      <w:r>
        <w:rPr>
          <w:spacing w:val="-22"/>
        </w:rPr>
        <w:t> </w:t>
      </w:r>
      <w:r>
        <w:rPr/>
        <w:t>able</w:t>
      </w:r>
      <w:r>
        <w:rPr>
          <w:spacing w:val="-23"/>
        </w:rPr>
        <w:t> </w:t>
      </w:r>
      <w:r>
        <w:rPr/>
        <w:t>to</w:t>
      </w:r>
      <w:r>
        <w:rPr>
          <w:spacing w:val="-20"/>
        </w:rPr>
        <w:t> </w:t>
      </w:r>
      <w:r>
        <w:rPr/>
        <w:t>transform</w:t>
      </w:r>
      <w:r>
        <w:rPr>
          <w:spacing w:val="-23"/>
        </w:rPr>
        <w:t> </w:t>
      </w:r>
      <w:r>
        <w:rPr/>
        <w:t>a</w:t>
      </w:r>
      <w:r>
        <w:rPr>
          <w:spacing w:val="-23"/>
        </w:rPr>
        <w:t> </w:t>
      </w:r>
      <w:r>
        <w:rPr/>
        <w:t>deformed</w:t>
      </w:r>
      <w:r>
        <w:rPr>
          <w:spacing w:val="-22"/>
        </w:rPr>
        <w:t> </w:t>
      </w:r>
      <w:r>
        <w:rPr/>
        <w:t>cancer</w:t>
      </w:r>
      <w:r>
        <w:rPr>
          <w:spacing w:val="-22"/>
        </w:rPr>
        <w:t> </w:t>
      </w:r>
      <w:r>
        <w:rPr/>
        <w:t>cell</w:t>
      </w:r>
      <w:r>
        <w:rPr>
          <w:spacing w:val="-23"/>
        </w:rPr>
        <w:t> </w:t>
      </w:r>
      <w:r>
        <w:rPr/>
        <w:t>into</w:t>
      </w:r>
      <w:r>
        <w:rPr>
          <w:spacing w:val="-22"/>
        </w:rPr>
        <w:t> </w:t>
      </w:r>
      <w:r>
        <w:rPr/>
        <w:t>a</w:t>
      </w:r>
      <w:r>
        <w:rPr>
          <w:spacing w:val="-24"/>
        </w:rPr>
        <w:t> </w:t>
      </w:r>
      <w:r>
        <w:rPr/>
        <w:t>normal cell by way of cellular and electrochemical metabolic processes. In addition, it is very efficient in counteracting cancer pain. Similarly to his triumph over his own polyarthritis, Dr. Asai was able, after a larynx operation, to overcome his own cancer entirely without radiation or chemotherapy with the help of or- ganic</w:t>
      </w:r>
      <w:r>
        <w:rPr>
          <w:spacing w:val="-2"/>
        </w:rPr>
        <w:t> </w:t>
      </w:r>
      <w:r>
        <w:rPr/>
        <w:t>germanium.</w:t>
      </w:r>
    </w:p>
    <w:p>
      <w:pPr>
        <w:pStyle w:val="Heading1"/>
        <w:spacing w:line="264" w:lineRule="auto" w:before="222"/>
        <w:ind w:left="616"/>
      </w:pPr>
      <w:r>
        <w:rPr>
          <w:w w:val="95"/>
        </w:rPr>
        <w:t>Organic</w:t>
      </w:r>
      <w:r>
        <w:rPr>
          <w:spacing w:val="-18"/>
          <w:w w:val="95"/>
        </w:rPr>
        <w:t> </w:t>
      </w:r>
      <w:r>
        <w:rPr>
          <w:w w:val="95"/>
        </w:rPr>
        <w:t>germanium</w:t>
      </w:r>
      <w:r>
        <w:rPr>
          <w:spacing w:val="-19"/>
          <w:w w:val="95"/>
        </w:rPr>
        <w:t> </w:t>
      </w:r>
      <w:r>
        <w:rPr>
          <w:w w:val="95"/>
        </w:rPr>
        <w:t>demonstrates</w:t>
      </w:r>
      <w:r>
        <w:rPr>
          <w:spacing w:val="-18"/>
          <w:w w:val="95"/>
        </w:rPr>
        <w:t> </w:t>
      </w:r>
      <w:r>
        <w:rPr>
          <w:w w:val="95"/>
        </w:rPr>
        <w:t>particularly</w:t>
      </w:r>
      <w:r>
        <w:rPr>
          <w:spacing w:val="-18"/>
          <w:w w:val="95"/>
        </w:rPr>
        <w:t> </w:t>
      </w:r>
      <w:r>
        <w:rPr>
          <w:w w:val="95"/>
        </w:rPr>
        <w:t>good</w:t>
      </w:r>
      <w:r>
        <w:rPr>
          <w:spacing w:val="-19"/>
          <w:w w:val="95"/>
        </w:rPr>
        <w:t> </w:t>
      </w:r>
      <w:r>
        <w:rPr>
          <w:w w:val="95"/>
        </w:rPr>
        <w:t>results</w:t>
      </w:r>
      <w:r>
        <w:rPr>
          <w:spacing w:val="-19"/>
          <w:w w:val="95"/>
        </w:rPr>
        <w:t> </w:t>
      </w:r>
      <w:r>
        <w:rPr>
          <w:w w:val="95"/>
        </w:rPr>
        <w:t>with</w:t>
      </w:r>
      <w:r>
        <w:rPr>
          <w:spacing w:val="-18"/>
          <w:w w:val="95"/>
        </w:rPr>
        <w:t> </w:t>
      </w:r>
      <w:r>
        <w:rPr>
          <w:w w:val="95"/>
        </w:rPr>
        <w:t>the</w:t>
      </w:r>
      <w:r>
        <w:rPr>
          <w:spacing w:val="-17"/>
          <w:w w:val="95"/>
        </w:rPr>
        <w:t> </w:t>
      </w:r>
      <w:r>
        <w:rPr>
          <w:w w:val="95"/>
        </w:rPr>
        <w:t>fol- </w:t>
      </w:r>
      <w:r>
        <w:rPr/>
        <w:t>lowing types of</w:t>
      </w:r>
      <w:r>
        <w:rPr>
          <w:spacing w:val="-22"/>
        </w:rPr>
        <w:t> </w:t>
      </w:r>
      <w:r>
        <w:rPr/>
        <w:t>cancer:</w:t>
      </w:r>
    </w:p>
    <w:p>
      <w:pPr>
        <w:pStyle w:val="ListParagraph"/>
        <w:numPr>
          <w:ilvl w:val="0"/>
          <w:numId w:val="89"/>
        </w:numPr>
        <w:tabs>
          <w:tab w:pos="831" w:val="left" w:leader="none"/>
        </w:tabs>
        <w:spacing w:line="240" w:lineRule="auto" w:before="211" w:after="0"/>
        <w:ind w:left="830" w:right="0" w:hanging="214"/>
        <w:jc w:val="both"/>
        <w:rPr>
          <w:sz w:val="38"/>
        </w:rPr>
      </w:pPr>
      <w:r>
        <w:rPr>
          <w:sz w:val="38"/>
        </w:rPr>
        <w:t>Lung cancer</w:t>
      </w:r>
    </w:p>
    <w:p>
      <w:pPr>
        <w:pStyle w:val="ListParagraph"/>
        <w:numPr>
          <w:ilvl w:val="0"/>
          <w:numId w:val="89"/>
        </w:numPr>
        <w:tabs>
          <w:tab w:pos="831" w:val="left" w:leader="none"/>
        </w:tabs>
        <w:spacing w:line="240" w:lineRule="auto" w:before="64" w:after="0"/>
        <w:ind w:left="830" w:right="0" w:hanging="214"/>
        <w:jc w:val="both"/>
        <w:rPr>
          <w:sz w:val="38"/>
        </w:rPr>
      </w:pPr>
      <w:r>
        <w:rPr>
          <w:sz w:val="38"/>
        </w:rPr>
        <w:t>Colon cancer</w:t>
      </w:r>
    </w:p>
    <w:p>
      <w:pPr>
        <w:pStyle w:val="ListParagraph"/>
        <w:numPr>
          <w:ilvl w:val="0"/>
          <w:numId w:val="89"/>
        </w:numPr>
        <w:tabs>
          <w:tab w:pos="831" w:val="left" w:leader="none"/>
        </w:tabs>
        <w:spacing w:line="240" w:lineRule="auto" w:before="65" w:after="0"/>
        <w:ind w:left="830" w:right="0" w:hanging="214"/>
        <w:jc w:val="both"/>
        <w:rPr>
          <w:sz w:val="38"/>
        </w:rPr>
      </w:pPr>
      <w:r>
        <w:rPr>
          <w:sz w:val="38"/>
        </w:rPr>
        <w:t>Cervical</w:t>
      </w:r>
      <w:r>
        <w:rPr>
          <w:spacing w:val="-2"/>
          <w:sz w:val="38"/>
        </w:rPr>
        <w:t> </w:t>
      </w:r>
      <w:r>
        <w:rPr>
          <w:sz w:val="38"/>
        </w:rPr>
        <w:t>cancer</w:t>
      </w:r>
    </w:p>
    <w:p>
      <w:pPr>
        <w:pStyle w:val="ListParagraph"/>
        <w:numPr>
          <w:ilvl w:val="0"/>
          <w:numId w:val="89"/>
        </w:numPr>
        <w:tabs>
          <w:tab w:pos="831" w:val="left" w:leader="none"/>
        </w:tabs>
        <w:spacing w:line="240" w:lineRule="auto" w:before="64" w:after="0"/>
        <w:ind w:left="830" w:right="0" w:hanging="214"/>
        <w:jc w:val="both"/>
        <w:rPr>
          <w:sz w:val="38"/>
        </w:rPr>
      </w:pPr>
      <w:r>
        <w:rPr>
          <w:sz w:val="38"/>
        </w:rPr>
        <w:t>Breast</w:t>
      </w:r>
      <w:r>
        <w:rPr>
          <w:spacing w:val="-1"/>
          <w:sz w:val="38"/>
        </w:rPr>
        <w:t> </w:t>
      </w:r>
      <w:r>
        <w:rPr>
          <w:sz w:val="38"/>
        </w:rPr>
        <w:t>cancer</w:t>
      </w:r>
    </w:p>
    <w:p>
      <w:pPr>
        <w:pStyle w:val="ListParagraph"/>
        <w:numPr>
          <w:ilvl w:val="0"/>
          <w:numId w:val="89"/>
        </w:numPr>
        <w:tabs>
          <w:tab w:pos="831" w:val="left" w:leader="none"/>
        </w:tabs>
        <w:spacing w:line="240" w:lineRule="auto" w:before="63" w:after="0"/>
        <w:ind w:left="830" w:right="0" w:hanging="214"/>
        <w:jc w:val="both"/>
        <w:rPr>
          <w:sz w:val="38"/>
        </w:rPr>
      </w:pPr>
      <w:r>
        <w:rPr>
          <w:sz w:val="38"/>
        </w:rPr>
        <w:t>Ovarian</w:t>
      </w:r>
      <w:r>
        <w:rPr>
          <w:spacing w:val="-8"/>
          <w:sz w:val="38"/>
        </w:rPr>
        <w:t> </w:t>
      </w:r>
      <w:r>
        <w:rPr>
          <w:sz w:val="38"/>
        </w:rPr>
        <w:t>cancer</w:t>
      </w:r>
    </w:p>
    <w:p>
      <w:pPr>
        <w:pStyle w:val="ListParagraph"/>
        <w:numPr>
          <w:ilvl w:val="0"/>
          <w:numId w:val="89"/>
        </w:numPr>
        <w:tabs>
          <w:tab w:pos="831" w:val="left" w:leader="none"/>
        </w:tabs>
        <w:spacing w:line="240" w:lineRule="auto" w:before="64" w:after="0"/>
        <w:ind w:left="830" w:right="0" w:hanging="214"/>
        <w:jc w:val="both"/>
        <w:rPr>
          <w:sz w:val="38"/>
        </w:rPr>
      </w:pPr>
      <w:r>
        <w:rPr>
          <w:sz w:val="38"/>
        </w:rPr>
        <w:t>Prostate</w:t>
      </w:r>
      <w:r>
        <w:rPr>
          <w:spacing w:val="-4"/>
          <w:sz w:val="38"/>
        </w:rPr>
        <w:t> </w:t>
      </w:r>
      <w:r>
        <w:rPr>
          <w:sz w:val="38"/>
        </w:rPr>
        <w:t>cancer</w:t>
      </w:r>
    </w:p>
    <w:p>
      <w:pPr>
        <w:pStyle w:val="ListParagraph"/>
        <w:numPr>
          <w:ilvl w:val="0"/>
          <w:numId w:val="89"/>
        </w:numPr>
        <w:tabs>
          <w:tab w:pos="831" w:val="left" w:leader="none"/>
        </w:tabs>
        <w:spacing w:line="240" w:lineRule="auto" w:before="65" w:after="0"/>
        <w:ind w:left="830" w:right="0" w:hanging="214"/>
        <w:jc w:val="both"/>
        <w:rPr>
          <w:sz w:val="38"/>
        </w:rPr>
      </w:pPr>
      <w:r>
        <w:rPr>
          <w:sz w:val="38"/>
        </w:rPr>
        <w:t>There is also a positive effect on</w:t>
      </w:r>
      <w:r>
        <w:rPr>
          <w:spacing w:val="-2"/>
          <w:sz w:val="38"/>
        </w:rPr>
        <w:t> </w:t>
      </w:r>
      <w:r>
        <w:rPr>
          <w:sz w:val="38"/>
        </w:rPr>
        <w:t>leukaemia</w:t>
      </w:r>
    </w:p>
    <w:p>
      <w:pPr>
        <w:spacing w:after="0" w:line="240" w:lineRule="auto"/>
        <w:jc w:val="both"/>
        <w:rPr>
          <w:sz w:val="38"/>
        </w:rPr>
        <w:sectPr>
          <w:footerReference w:type="default" r:id="rId281"/>
          <w:pgSz w:w="14270" w:h="16850"/>
          <w:pgMar w:footer="1891" w:header="0" w:top="1340" w:bottom="2080" w:left="800" w:right="1280"/>
          <w:pgNumType w:start="1170"/>
        </w:sectPr>
      </w:pPr>
    </w:p>
    <w:p>
      <w:pPr>
        <w:pStyle w:val="Heading1"/>
        <w:spacing w:line="261" w:lineRule="auto" w:before="77"/>
        <w:ind w:left="616" w:right="134"/>
      </w:pPr>
      <w:r>
        <w:rPr/>
        <w:t>The</w:t>
      </w:r>
      <w:r>
        <w:rPr>
          <w:spacing w:val="-48"/>
        </w:rPr>
        <w:t> </w:t>
      </w:r>
      <w:r>
        <w:rPr/>
        <w:t>suppression</w:t>
      </w:r>
      <w:r>
        <w:rPr>
          <w:spacing w:val="-48"/>
        </w:rPr>
        <w:t> </w:t>
      </w:r>
      <w:r>
        <w:rPr/>
        <w:t>of</w:t>
      </w:r>
      <w:r>
        <w:rPr>
          <w:spacing w:val="-46"/>
        </w:rPr>
        <w:t> </w:t>
      </w:r>
      <w:r>
        <w:rPr/>
        <w:t>tumours</w:t>
      </w:r>
      <w:r>
        <w:rPr>
          <w:spacing w:val="-46"/>
        </w:rPr>
        <w:t> </w:t>
      </w:r>
      <w:r>
        <w:rPr/>
        <w:t>by</w:t>
      </w:r>
      <w:r>
        <w:rPr>
          <w:spacing w:val="-48"/>
        </w:rPr>
        <w:t> </w:t>
      </w:r>
      <w:r>
        <w:rPr/>
        <w:t>organic</w:t>
      </w:r>
      <w:r>
        <w:rPr>
          <w:spacing w:val="-48"/>
        </w:rPr>
        <w:t> </w:t>
      </w:r>
      <w:r>
        <w:rPr/>
        <w:t>germanium</w:t>
      </w:r>
      <w:r>
        <w:rPr>
          <w:spacing w:val="-47"/>
        </w:rPr>
        <w:t> </w:t>
      </w:r>
      <w:r>
        <w:rPr/>
        <w:t>is</w:t>
      </w:r>
      <w:r>
        <w:rPr>
          <w:spacing w:val="-48"/>
        </w:rPr>
        <w:t> </w:t>
      </w:r>
      <w:r>
        <w:rPr/>
        <w:t>described</w:t>
      </w:r>
      <w:r>
        <w:rPr>
          <w:spacing w:val="-46"/>
        </w:rPr>
        <w:t> </w:t>
      </w:r>
      <w:r>
        <w:rPr/>
        <w:t>in</w:t>
      </w:r>
      <w:r>
        <w:rPr>
          <w:spacing w:val="-48"/>
        </w:rPr>
        <w:t> </w:t>
      </w:r>
      <w:r>
        <w:rPr/>
        <w:t>the following</w:t>
      </w:r>
      <w:r>
        <w:rPr>
          <w:spacing w:val="-6"/>
        </w:rPr>
        <w:t> </w:t>
      </w:r>
      <w:r>
        <w:rPr/>
        <w:t>way:</w:t>
      </w:r>
    </w:p>
    <w:p>
      <w:pPr>
        <w:pStyle w:val="ListParagraph"/>
        <w:numPr>
          <w:ilvl w:val="0"/>
          <w:numId w:val="90"/>
        </w:numPr>
        <w:tabs>
          <w:tab w:pos="1036" w:val="left" w:leader="none"/>
          <w:tab w:pos="1037" w:val="left" w:leader="none"/>
        </w:tabs>
        <w:spacing w:line="240" w:lineRule="auto" w:before="257" w:after="0"/>
        <w:ind w:left="1036" w:right="0" w:hanging="358"/>
        <w:jc w:val="left"/>
        <w:rPr>
          <w:sz w:val="38"/>
        </w:rPr>
      </w:pPr>
      <w:r>
        <w:rPr>
          <w:sz w:val="38"/>
        </w:rPr>
        <w:t>Organic germanium stimulates T cells to produce gamma</w:t>
      </w:r>
      <w:r>
        <w:rPr>
          <w:spacing w:val="-8"/>
          <w:sz w:val="38"/>
        </w:rPr>
        <w:t> </w:t>
      </w:r>
      <w:r>
        <w:rPr>
          <w:sz w:val="38"/>
        </w:rPr>
        <w:t>interferons.</w:t>
      </w:r>
    </w:p>
    <w:p>
      <w:pPr>
        <w:pStyle w:val="ListParagraph"/>
        <w:numPr>
          <w:ilvl w:val="0"/>
          <w:numId w:val="90"/>
        </w:numPr>
        <w:tabs>
          <w:tab w:pos="1036" w:val="left" w:leader="none"/>
          <w:tab w:pos="1037" w:val="left" w:leader="none"/>
        </w:tabs>
        <w:spacing w:line="240" w:lineRule="auto" w:before="66" w:after="0"/>
        <w:ind w:left="1036" w:right="0" w:hanging="358"/>
        <w:jc w:val="left"/>
        <w:rPr>
          <w:sz w:val="38"/>
        </w:rPr>
      </w:pPr>
      <w:r>
        <w:rPr>
          <w:sz w:val="38"/>
        </w:rPr>
        <w:t>The interferon activates the</w:t>
      </w:r>
      <w:r>
        <w:rPr>
          <w:spacing w:val="4"/>
          <w:sz w:val="38"/>
        </w:rPr>
        <w:t> </w:t>
      </w:r>
      <w:r>
        <w:rPr>
          <w:sz w:val="38"/>
        </w:rPr>
        <w:t>macrophages.</w:t>
      </w:r>
    </w:p>
    <w:p>
      <w:pPr>
        <w:pStyle w:val="ListParagraph"/>
        <w:numPr>
          <w:ilvl w:val="0"/>
          <w:numId w:val="90"/>
        </w:numPr>
        <w:tabs>
          <w:tab w:pos="1036" w:val="left" w:leader="none"/>
          <w:tab w:pos="1037" w:val="left" w:leader="none"/>
        </w:tabs>
        <w:spacing w:line="240" w:lineRule="auto" w:before="66" w:after="0"/>
        <w:ind w:left="1036" w:right="0" w:hanging="358"/>
        <w:jc w:val="left"/>
        <w:rPr>
          <w:sz w:val="38"/>
        </w:rPr>
      </w:pPr>
      <w:r>
        <w:rPr>
          <w:sz w:val="38"/>
        </w:rPr>
        <w:t>The macrophages suppress tumour growth and tumour</w:t>
      </w:r>
      <w:r>
        <w:rPr>
          <w:spacing w:val="-9"/>
          <w:sz w:val="38"/>
        </w:rPr>
        <w:t> </w:t>
      </w:r>
      <w:r>
        <w:rPr>
          <w:sz w:val="38"/>
        </w:rPr>
        <w:t>reproduction.</w:t>
      </w:r>
    </w:p>
    <w:p>
      <w:pPr>
        <w:pStyle w:val="ListParagraph"/>
        <w:numPr>
          <w:ilvl w:val="0"/>
          <w:numId w:val="90"/>
        </w:numPr>
        <w:tabs>
          <w:tab w:pos="1036" w:val="left" w:leader="none"/>
          <w:tab w:pos="1037" w:val="left" w:leader="none"/>
        </w:tabs>
        <w:spacing w:line="273" w:lineRule="auto" w:before="64" w:after="0"/>
        <w:ind w:left="1036" w:right="456" w:hanging="358"/>
        <w:jc w:val="left"/>
        <w:rPr>
          <w:sz w:val="38"/>
        </w:rPr>
      </w:pPr>
      <w:r>
        <w:rPr>
          <w:sz w:val="38"/>
        </w:rPr>
        <w:t>Organic germanium suppresses the DNA, RNA and protein synthesis of the cancer</w:t>
      </w:r>
      <w:r>
        <w:rPr>
          <w:spacing w:val="2"/>
          <w:sz w:val="38"/>
        </w:rPr>
        <w:t> </w:t>
      </w:r>
      <w:r>
        <w:rPr>
          <w:sz w:val="38"/>
        </w:rPr>
        <w:t>cells.</w:t>
      </w:r>
    </w:p>
    <w:p>
      <w:pPr>
        <w:pStyle w:val="BodyText"/>
        <w:spacing w:line="276" w:lineRule="auto" w:before="246"/>
        <w:ind w:left="616" w:right="134"/>
        <w:jc w:val="both"/>
      </w:pPr>
      <w:r>
        <w:rPr/>
        <w:t>It is no wonder that contemporary research into organic germanium primarily focuses on its cancer-curing effects and that there are cancer clinics in Japan which exclusively and very successfully use organic germanium treatments.</w:t>
      </w:r>
    </w:p>
    <w:p>
      <w:pPr>
        <w:pStyle w:val="Heading2"/>
        <w:spacing w:before="241"/>
        <w:ind w:left="616"/>
      </w:pPr>
      <w:r>
        <w:rPr/>
        <w:t>Effects of organic germanium on cardiovascular disease</w:t>
      </w:r>
    </w:p>
    <w:p>
      <w:pPr>
        <w:spacing w:before="285"/>
        <w:ind w:left="616" w:right="0" w:firstLine="0"/>
        <w:jc w:val="left"/>
        <w:rPr>
          <w:b/>
          <w:i/>
          <w:sz w:val="40"/>
        </w:rPr>
      </w:pPr>
      <w:r>
        <w:rPr>
          <w:b/>
          <w:i/>
          <w:sz w:val="40"/>
        </w:rPr>
        <w:t>High blood pressure</w:t>
      </w:r>
    </w:p>
    <w:p>
      <w:pPr>
        <w:pStyle w:val="BodyText"/>
        <w:spacing w:line="276" w:lineRule="auto" w:before="299"/>
        <w:ind w:left="616" w:right="134"/>
        <w:jc w:val="both"/>
      </w:pPr>
      <w:r>
        <w:rPr/>
        <w:t>Organic</w:t>
      </w:r>
      <w:r>
        <w:rPr>
          <w:spacing w:val="-21"/>
        </w:rPr>
        <w:t> </w:t>
      </w:r>
      <w:r>
        <w:rPr/>
        <w:t>germanium</w:t>
      </w:r>
      <w:r>
        <w:rPr>
          <w:spacing w:val="-21"/>
        </w:rPr>
        <w:t> </w:t>
      </w:r>
      <w:r>
        <w:rPr/>
        <w:t>enriches</w:t>
      </w:r>
      <w:r>
        <w:rPr>
          <w:spacing w:val="-19"/>
        </w:rPr>
        <w:t> </w:t>
      </w:r>
      <w:r>
        <w:rPr/>
        <w:t>the</w:t>
      </w:r>
      <w:r>
        <w:rPr>
          <w:spacing w:val="-18"/>
        </w:rPr>
        <w:t> </w:t>
      </w:r>
      <w:r>
        <w:rPr/>
        <w:t>blood</w:t>
      </w:r>
      <w:r>
        <w:rPr>
          <w:spacing w:val="-19"/>
        </w:rPr>
        <w:t> </w:t>
      </w:r>
      <w:r>
        <w:rPr/>
        <w:t>with</w:t>
      </w:r>
      <w:r>
        <w:rPr>
          <w:spacing w:val="-19"/>
        </w:rPr>
        <w:t> </w:t>
      </w:r>
      <w:r>
        <w:rPr/>
        <w:t>oxygen,</w:t>
      </w:r>
      <w:r>
        <w:rPr>
          <w:spacing w:val="-18"/>
        </w:rPr>
        <w:t> </w:t>
      </w:r>
      <w:r>
        <w:rPr/>
        <w:t>which</w:t>
      </w:r>
      <w:r>
        <w:rPr>
          <w:spacing w:val="-19"/>
        </w:rPr>
        <w:t> </w:t>
      </w:r>
      <w:r>
        <w:rPr/>
        <w:t>automatically</w:t>
      </w:r>
      <w:r>
        <w:rPr>
          <w:spacing w:val="-21"/>
        </w:rPr>
        <w:t> </w:t>
      </w:r>
      <w:r>
        <w:rPr/>
        <w:t>leads to it becoming thinner and the blood pressure decreasing to normal values. Taking even higher doses does not further decrease the blood pressure after</w:t>
      </w:r>
      <w:r>
        <w:rPr>
          <w:spacing w:val="-64"/>
        </w:rPr>
        <w:t> </w:t>
      </w:r>
      <w:r>
        <w:rPr/>
        <w:t>it has returned to</w:t>
      </w:r>
      <w:r>
        <w:rPr>
          <w:spacing w:val="1"/>
        </w:rPr>
        <w:t> </w:t>
      </w:r>
      <w:r>
        <w:rPr/>
        <w:t>normal.</w:t>
      </w:r>
    </w:p>
    <w:p>
      <w:pPr>
        <w:pStyle w:val="Heading1"/>
        <w:spacing w:before="225"/>
        <w:ind w:left="616"/>
      </w:pPr>
      <w:r>
        <w:rPr/>
        <w:t>High cholesterol</w:t>
      </w:r>
    </w:p>
    <w:p>
      <w:pPr>
        <w:pStyle w:val="BodyText"/>
        <w:spacing w:before="299"/>
        <w:ind w:left="616"/>
      </w:pPr>
      <w:r>
        <w:rPr/>
        <w:t>In animal trials, organic germanium was able to lower the cholesterol level.</w:t>
      </w:r>
    </w:p>
    <w:p>
      <w:pPr>
        <w:pStyle w:val="Heading1"/>
        <w:spacing w:before="285"/>
        <w:ind w:left="616"/>
      </w:pPr>
      <w:r>
        <w:rPr/>
        <w:t>Heart attack</w:t>
      </w:r>
    </w:p>
    <w:p>
      <w:pPr>
        <w:pStyle w:val="BodyText"/>
        <w:spacing w:before="300"/>
        <w:ind w:left="616"/>
      </w:pPr>
      <w:r>
        <w:rPr/>
        <w:t>A heart attack is characterised by a necrosis of the heart tissue due to a lack</w:t>
      </w:r>
      <w:r>
        <w:rPr>
          <w:spacing w:val="-63"/>
        </w:rPr>
        <w:t> </w:t>
      </w:r>
      <w:r>
        <w:rPr/>
        <w:t>of</w:t>
      </w:r>
    </w:p>
    <w:p>
      <w:pPr>
        <w:spacing w:after="0"/>
        <w:sectPr>
          <w:pgSz w:w="14270" w:h="16850"/>
          <w:pgMar w:header="0" w:footer="1891" w:top="1320" w:bottom="2080" w:left="800" w:right="1280"/>
        </w:sectPr>
      </w:pPr>
    </w:p>
    <w:p>
      <w:pPr>
        <w:pStyle w:val="BodyText"/>
        <w:spacing w:line="276" w:lineRule="auto" w:before="72"/>
        <w:ind w:left="616" w:right="141"/>
        <w:jc w:val="both"/>
      </w:pPr>
      <w:r>
        <w:rPr/>
        <w:t>oxygen supply to the heart. The oxygen enriching function of organic germa- nium also has a protective effect against heart attacks. If a heart attack is still unavoidable despite germanium, experience shows that it frequently turns out to be milder and does not leave behind permanent damage to the heart tissue.</w:t>
      </w:r>
    </w:p>
    <w:p>
      <w:pPr>
        <w:pStyle w:val="Heading1"/>
        <w:ind w:left="616"/>
      </w:pPr>
      <w:r>
        <w:rPr/>
        <w:t>Stroke</w:t>
      </w:r>
    </w:p>
    <w:p>
      <w:pPr>
        <w:pStyle w:val="BodyText"/>
        <w:spacing w:line="276" w:lineRule="auto" w:before="299"/>
        <w:ind w:left="616" w:right="132"/>
        <w:jc w:val="both"/>
      </w:pPr>
      <w:r>
        <w:rPr/>
        <w:t>A</w:t>
      </w:r>
      <w:r>
        <w:rPr>
          <w:spacing w:val="-14"/>
        </w:rPr>
        <w:t> </w:t>
      </w:r>
      <w:r>
        <w:rPr/>
        <w:t>stroke</w:t>
      </w:r>
      <w:r>
        <w:rPr>
          <w:spacing w:val="-15"/>
        </w:rPr>
        <w:t> </w:t>
      </w:r>
      <w:r>
        <w:rPr/>
        <w:t>is</w:t>
      </w:r>
      <w:r>
        <w:rPr>
          <w:spacing w:val="-14"/>
        </w:rPr>
        <w:t> </w:t>
      </w:r>
      <w:r>
        <w:rPr/>
        <w:t>mainly</w:t>
      </w:r>
      <w:r>
        <w:rPr>
          <w:spacing w:val="-14"/>
        </w:rPr>
        <w:t> </w:t>
      </w:r>
      <w:r>
        <w:rPr/>
        <w:t>based</w:t>
      </w:r>
      <w:r>
        <w:rPr>
          <w:spacing w:val="-16"/>
        </w:rPr>
        <w:t> </w:t>
      </w:r>
      <w:r>
        <w:rPr/>
        <w:t>on</w:t>
      </w:r>
      <w:r>
        <w:rPr>
          <w:spacing w:val="-15"/>
        </w:rPr>
        <w:t> </w:t>
      </w:r>
      <w:r>
        <w:rPr/>
        <w:t>the</w:t>
      </w:r>
      <w:r>
        <w:rPr>
          <w:spacing w:val="-15"/>
        </w:rPr>
        <w:t> </w:t>
      </w:r>
      <w:r>
        <w:rPr/>
        <w:t>same</w:t>
      </w:r>
      <w:r>
        <w:rPr>
          <w:spacing w:val="-13"/>
        </w:rPr>
        <w:t> </w:t>
      </w:r>
      <w:r>
        <w:rPr/>
        <w:t>mechanisms</w:t>
      </w:r>
      <w:r>
        <w:rPr>
          <w:spacing w:val="-13"/>
        </w:rPr>
        <w:t> </w:t>
      </w:r>
      <w:r>
        <w:rPr/>
        <w:t>as</w:t>
      </w:r>
      <w:r>
        <w:rPr>
          <w:spacing w:val="-16"/>
        </w:rPr>
        <w:t> </w:t>
      </w:r>
      <w:r>
        <w:rPr/>
        <w:t>with</w:t>
      </w:r>
      <w:r>
        <w:rPr>
          <w:spacing w:val="-14"/>
        </w:rPr>
        <w:t> </w:t>
      </w:r>
      <w:r>
        <w:rPr/>
        <w:t>a</w:t>
      </w:r>
      <w:r>
        <w:rPr>
          <w:spacing w:val="-15"/>
        </w:rPr>
        <w:t> </w:t>
      </w:r>
      <w:r>
        <w:rPr/>
        <w:t>heart</w:t>
      </w:r>
      <w:r>
        <w:rPr>
          <w:spacing w:val="-19"/>
        </w:rPr>
        <w:t> </w:t>
      </w:r>
      <w:r>
        <w:rPr/>
        <w:t>attack,</w:t>
      </w:r>
      <w:r>
        <w:rPr>
          <w:spacing w:val="-13"/>
        </w:rPr>
        <w:t> </w:t>
      </w:r>
      <w:r>
        <w:rPr/>
        <w:t>which lead to the suppression of oxygen supply to the tissue. Here, too, the oxygen enriching effect of organic germanium can prevent a stroke and be</w:t>
      </w:r>
      <w:r>
        <w:rPr>
          <w:spacing w:val="-61"/>
        </w:rPr>
        <w:t> </w:t>
      </w:r>
      <w:r>
        <w:rPr/>
        <w:t>life-saving.</w:t>
      </w:r>
    </w:p>
    <w:p>
      <w:pPr>
        <w:pStyle w:val="Heading1"/>
        <w:spacing w:before="225"/>
        <w:ind w:left="616"/>
      </w:pPr>
      <w:r>
        <w:rPr/>
        <w:t>Smoker’s leg</w:t>
      </w:r>
    </w:p>
    <w:p>
      <w:pPr>
        <w:pStyle w:val="BodyText"/>
        <w:spacing w:line="278" w:lineRule="auto" w:before="297"/>
        <w:ind w:left="616" w:right="142"/>
        <w:jc w:val="both"/>
      </w:pPr>
      <w:r>
        <w:rPr/>
        <w:t>Because organic germanium makes the blood thinner, it improves circulation and counteracts smoker’s leg.</w:t>
      </w:r>
    </w:p>
    <w:p>
      <w:pPr>
        <w:pStyle w:val="Heading1"/>
        <w:spacing w:before="215"/>
        <w:ind w:left="616"/>
      </w:pPr>
      <w:r>
        <w:rPr/>
        <w:t>Further effects on cardiovascular diseases</w:t>
      </w:r>
    </w:p>
    <w:p>
      <w:pPr>
        <w:pStyle w:val="BodyText"/>
        <w:spacing w:line="276" w:lineRule="auto" w:before="299"/>
        <w:ind w:left="616" w:right="131"/>
        <w:jc w:val="both"/>
      </w:pPr>
      <w:r>
        <w:rPr/>
        <w:t>Organic germanium also has an effect on angina pectoris, atherosclerosis and apoplexy.</w:t>
      </w:r>
    </w:p>
    <w:p>
      <w:pPr>
        <w:pStyle w:val="Heading1"/>
        <w:ind w:left="616"/>
      </w:pPr>
      <w:r>
        <w:rPr/>
        <w:t>Effect on multiple sclerosis (MS)</w:t>
      </w:r>
    </w:p>
    <w:p>
      <w:pPr>
        <w:pStyle w:val="BodyText"/>
        <w:spacing w:line="276" w:lineRule="auto" w:before="297"/>
        <w:ind w:left="616" w:right="133"/>
        <w:jc w:val="both"/>
      </w:pPr>
      <w:r>
        <w:rPr/>
        <w:t>Multiple sclerosis, which to this day is considered an incurable illness, is the focus of much research. The oxygen enriching effect of organic germanium also seems to be present with this oppressive illness. According to Dr. Vries, organic germanium as a combination therapy with an intensive oxygen treat- ment can lead to an </w:t>
      </w:r>
      <w:r>
        <w:rPr>
          <w:i/>
        </w:rPr>
        <w:t>‘incredible improvement’ </w:t>
      </w:r>
      <w:r>
        <w:rPr/>
        <w:t>in the condition of the MS patient.</w:t>
      </w:r>
    </w:p>
    <w:p>
      <w:pPr>
        <w:spacing w:after="0" w:line="276" w:lineRule="auto"/>
        <w:jc w:val="both"/>
        <w:sectPr>
          <w:pgSz w:w="14270" w:h="16850"/>
          <w:pgMar w:header="0" w:footer="1891" w:top="1340" w:bottom="2080" w:left="800" w:right="1280"/>
        </w:sectPr>
      </w:pPr>
    </w:p>
    <w:p>
      <w:pPr>
        <w:pStyle w:val="BodyText"/>
        <w:spacing w:line="278" w:lineRule="auto" w:before="72"/>
        <w:ind w:left="616"/>
      </w:pPr>
      <w:r>
        <w:rPr/>
        <w:t>Among other things, the vision is improved, because eye function is directly related to oxygen.</w:t>
      </w:r>
    </w:p>
    <w:p>
      <w:pPr>
        <w:pStyle w:val="Heading1"/>
        <w:spacing w:before="215"/>
        <w:ind w:left="616"/>
      </w:pPr>
      <w:r>
        <w:rPr/>
        <w:t>Effects of organic germanium on</w:t>
      </w:r>
      <w:r>
        <w:rPr>
          <w:spacing w:val="-56"/>
        </w:rPr>
        <w:t> </w:t>
      </w:r>
      <w:r>
        <w:rPr/>
        <w:t>epilepsy</w:t>
      </w:r>
    </w:p>
    <w:p>
      <w:pPr>
        <w:pStyle w:val="BodyText"/>
        <w:spacing w:line="278" w:lineRule="auto" w:before="299"/>
        <w:ind w:left="616" w:right="64"/>
      </w:pPr>
      <w:r>
        <w:rPr/>
        <w:t>There are reports of positive cases of successful cures of epilepsy with organic germanium (sanumgerman and Ge-132).</w:t>
      </w:r>
    </w:p>
    <w:p>
      <w:pPr>
        <w:pStyle w:val="Heading1"/>
        <w:spacing w:before="215"/>
        <w:ind w:left="616"/>
      </w:pPr>
      <w:r>
        <w:rPr/>
        <w:t>Effect on arthritis</w:t>
      </w:r>
    </w:p>
    <w:p>
      <w:pPr>
        <w:pStyle w:val="BodyText"/>
        <w:spacing w:line="276" w:lineRule="auto" w:before="300"/>
        <w:ind w:left="616" w:right="131"/>
        <w:jc w:val="both"/>
      </w:pPr>
      <w:r>
        <w:rPr/>
        <w:t>The best evidence of organic germanium’s effect on arthritis is Dr. Asai him- self,</w:t>
      </w:r>
      <w:r>
        <w:rPr>
          <w:spacing w:val="-11"/>
        </w:rPr>
        <w:t> </w:t>
      </w:r>
      <w:r>
        <w:rPr/>
        <w:t>the</w:t>
      </w:r>
      <w:r>
        <w:rPr>
          <w:spacing w:val="-11"/>
        </w:rPr>
        <w:t> </w:t>
      </w:r>
      <w:r>
        <w:rPr/>
        <w:t>discoverer</w:t>
      </w:r>
      <w:r>
        <w:rPr>
          <w:spacing w:val="-11"/>
        </w:rPr>
        <w:t> </w:t>
      </w:r>
      <w:r>
        <w:rPr/>
        <w:t>of</w:t>
      </w:r>
      <w:r>
        <w:rPr>
          <w:spacing w:val="-10"/>
        </w:rPr>
        <w:t> </w:t>
      </w:r>
      <w:r>
        <w:rPr/>
        <w:t>organic</w:t>
      </w:r>
      <w:r>
        <w:rPr>
          <w:spacing w:val="-12"/>
        </w:rPr>
        <w:t> </w:t>
      </w:r>
      <w:r>
        <w:rPr/>
        <w:t>germanium.</w:t>
      </w:r>
      <w:r>
        <w:rPr>
          <w:spacing w:val="-11"/>
        </w:rPr>
        <w:t> </w:t>
      </w:r>
      <w:r>
        <w:rPr/>
        <w:t>He</w:t>
      </w:r>
      <w:r>
        <w:rPr>
          <w:spacing w:val="-12"/>
        </w:rPr>
        <w:t> </w:t>
      </w:r>
      <w:r>
        <w:rPr/>
        <w:t>suffered</w:t>
      </w:r>
      <w:r>
        <w:rPr>
          <w:spacing w:val="-11"/>
        </w:rPr>
        <w:t> </w:t>
      </w:r>
      <w:r>
        <w:rPr/>
        <w:t>from</w:t>
      </w:r>
      <w:r>
        <w:rPr>
          <w:spacing w:val="-12"/>
        </w:rPr>
        <w:t> </w:t>
      </w:r>
      <w:r>
        <w:rPr/>
        <w:t>severe</w:t>
      </w:r>
      <w:r>
        <w:rPr>
          <w:spacing w:val="-12"/>
        </w:rPr>
        <w:t> </w:t>
      </w:r>
      <w:r>
        <w:rPr/>
        <w:t>polyarthri- tis, was considered untreatable by conventional medicine and was able to heal himself in only a few weeks with the help of organic germanium! There are numerous studies in which organic germanium (Ge-132) was able to demon- strate</w:t>
      </w:r>
      <w:r>
        <w:rPr>
          <w:spacing w:val="-16"/>
        </w:rPr>
        <w:t> </w:t>
      </w:r>
      <w:r>
        <w:rPr/>
        <w:t>successes</w:t>
      </w:r>
      <w:r>
        <w:rPr>
          <w:spacing w:val="-17"/>
        </w:rPr>
        <w:t> </w:t>
      </w:r>
      <w:r>
        <w:rPr/>
        <w:t>with</w:t>
      </w:r>
      <w:r>
        <w:rPr>
          <w:spacing w:val="-14"/>
        </w:rPr>
        <w:t> </w:t>
      </w:r>
      <w:r>
        <w:rPr/>
        <w:t>arthritis.</w:t>
      </w:r>
      <w:r>
        <w:rPr>
          <w:spacing w:val="-13"/>
        </w:rPr>
        <w:t> </w:t>
      </w:r>
      <w:r>
        <w:rPr/>
        <w:t>It</w:t>
      </w:r>
      <w:r>
        <w:rPr>
          <w:spacing w:val="-15"/>
        </w:rPr>
        <w:t> </w:t>
      </w:r>
      <w:r>
        <w:rPr/>
        <w:t>led</w:t>
      </w:r>
      <w:r>
        <w:rPr>
          <w:spacing w:val="-15"/>
        </w:rPr>
        <w:t> </w:t>
      </w:r>
      <w:r>
        <w:rPr/>
        <w:t>to</w:t>
      </w:r>
      <w:r>
        <w:rPr>
          <w:spacing w:val="-14"/>
        </w:rPr>
        <w:t> </w:t>
      </w:r>
      <w:r>
        <w:rPr/>
        <w:t>the</w:t>
      </w:r>
      <w:r>
        <w:rPr>
          <w:spacing w:val="-16"/>
        </w:rPr>
        <w:t> </w:t>
      </w:r>
      <w:r>
        <w:rPr/>
        <w:t>normalisation</w:t>
      </w:r>
      <w:r>
        <w:rPr>
          <w:spacing w:val="-13"/>
        </w:rPr>
        <w:t> </w:t>
      </w:r>
      <w:r>
        <w:rPr/>
        <w:t>of</w:t>
      </w:r>
      <w:r>
        <w:rPr>
          <w:spacing w:val="-15"/>
        </w:rPr>
        <w:t> </w:t>
      </w:r>
      <w:r>
        <w:rPr/>
        <w:t>T</w:t>
      </w:r>
      <w:r>
        <w:rPr>
          <w:spacing w:val="-17"/>
        </w:rPr>
        <w:t> </w:t>
      </w:r>
      <w:r>
        <w:rPr/>
        <w:t>lymphocytes,</w:t>
      </w:r>
      <w:r>
        <w:rPr>
          <w:spacing w:val="-16"/>
        </w:rPr>
        <w:t> </w:t>
      </w:r>
      <w:r>
        <w:rPr/>
        <w:t>the effect of interferons, the activity of killer cells and antibody-dependent cyto- toxicity. With 82 % of patients (14 of 17), their condition considerably im- proved, expressed by the lessening of joint pain as well as the typical</w:t>
      </w:r>
      <w:r>
        <w:rPr>
          <w:spacing w:val="-67"/>
        </w:rPr>
        <w:t> </w:t>
      </w:r>
      <w:r>
        <w:rPr/>
        <w:t>warm-up pain and stiffness in the morning. It is believed that the organic germanium acts in this case as an</w:t>
      </w:r>
      <w:r>
        <w:rPr>
          <w:spacing w:val="2"/>
        </w:rPr>
        <w:t> </w:t>
      </w:r>
      <w:r>
        <w:rPr/>
        <w:t>immunomodulator.</w:t>
      </w:r>
    </w:p>
    <w:p>
      <w:pPr>
        <w:pStyle w:val="Heading2"/>
        <w:spacing w:before="240"/>
        <w:ind w:left="616"/>
      </w:pPr>
      <w:r>
        <w:rPr/>
        <w:t>Here the following process is assumed:</w:t>
      </w:r>
    </w:p>
    <w:p>
      <w:pPr>
        <w:pStyle w:val="ListParagraph"/>
        <w:numPr>
          <w:ilvl w:val="0"/>
          <w:numId w:val="90"/>
        </w:numPr>
        <w:tabs>
          <w:tab w:pos="1091" w:val="left" w:leader="none"/>
          <w:tab w:pos="1092" w:val="left" w:leader="none"/>
        </w:tabs>
        <w:spacing w:line="273" w:lineRule="auto" w:before="265" w:after="0"/>
        <w:ind w:left="1091" w:right="133" w:hanging="355"/>
        <w:jc w:val="left"/>
        <w:rPr>
          <w:sz w:val="38"/>
        </w:rPr>
      </w:pPr>
      <w:r>
        <w:rPr>
          <w:sz w:val="38"/>
        </w:rPr>
        <w:t>Organic germanium influences those macrophages which take part in the inflammation and the immune</w:t>
      </w:r>
      <w:r>
        <w:rPr>
          <w:spacing w:val="3"/>
          <w:sz w:val="38"/>
        </w:rPr>
        <w:t> </w:t>
      </w:r>
      <w:r>
        <w:rPr>
          <w:sz w:val="38"/>
        </w:rPr>
        <w:t>regulation;</w:t>
      </w:r>
    </w:p>
    <w:p>
      <w:pPr>
        <w:pStyle w:val="ListParagraph"/>
        <w:numPr>
          <w:ilvl w:val="0"/>
          <w:numId w:val="90"/>
        </w:numPr>
        <w:tabs>
          <w:tab w:pos="1091" w:val="left" w:leader="none"/>
          <w:tab w:pos="1092" w:val="left" w:leader="none"/>
        </w:tabs>
        <w:spacing w:line="240" w:lineRule="auto" w:before="127" w:after="0"/>
        <w:ind w:left="1091" w:right="0" w:hanging="355"/>
        <w:jc w:val="left"/>
        <w:rPr>
          <w:sz w:val="38"/>
        </w:rPr>
      </w:pPr>
      <w:r>
        <w:rPr>
          <w:sz w:val="38"/>
        </w:rPr>
        <w:t>these influence the antigen presentation of the T helper</w:t>
      </w:r>
      <w:r>
        <w:rPr>
          <w:spacing w:val="-1"/>
          <w:sz w:val="38"/>
        </w:rPr>
        <w:t> </w:t>
      </w:r>
      <w:r>
        <w:rPr>
          <w:sz w:val="38"/>
        </w:rPr>
        <w:t>cells,</w:t>
      </w:r>
    </w:p>
    <w:p>
      <w:pPr>
        <w:spacing w:after="0" w:line="240" w:lineRule="auto"/>
        <w:jc w:val="left"/>
        <w:rPr>
          <w:sz w:val="38"/>
        </w:rPr>
        <w:sectPr>
          <w:pgSz w:w="14270" w:h="16850"/>
          <w:pgMar w:header="0" w:footer="1891" w:top="1340" w:bottom="2080" w:left="800" w:right="1280"/>
        </w:sectPr>
      </w:pPr>
    </w:p>
    <w:p>
      <w:pPr>
        <w:pStyle w:val="ListParagraph"/>
        <w:numPr>
          <w:ilvl w:val="0"/>
          <w:numId w:val="90"/>
        </w:numPr>
        <w:tabs>
          <w:tab w:pos="1091" w:val="left" w:leader="none"/>
          <w:tab w:pos="1092" w:val="left" w:leader="none"/>
        </w:tabs>
        <w:spacing w:line="240" w:lineRule="auto" w:before="53" w:after="0"/>
        <w:ind w:left="1091" w:right="0" w:hanging="355"/>
        <w:jc w:val="left"/>
        <w:rPr>
          <w:sz w:val="38"/>
        </w:rPr>
      </w:pPr>
      <w:r>
        <w:rPr>
          <w:sz w:val="38"/>
        </w:rPr>
        <w:t>which then leads to the induction of suppressive</w:t>
      </w:r>
      <w:r>
        <w:rPr>
          <w:spacing w:val="-1"/>
          <w:sz w:val="38"/>
        </w:rPr>
        <w:t> </w:t>
      </w:r>
      <w:r>
        <w:rPr>
          <w:sz w:val="38"/>
        </w:rPr>
        <w:t>cells.</w:t>
      </w:r>
    </w:p>
    <w:p>
      <w:pPr>
        <w:pStyle w:val="Heading1"/>
        <w:spacing w:before="290"/>
        <w:ind w:left="616"/>
      </w:pPr>
      <w:r>
        <w:rPr/>
        <w:t>Effect of organic germanium on</w:t>
      </w:r>
      <w:r>
        <w:rPr>
          <w:spacing w:val="-64"/>
        </w:rPr>
        <w:t> </w:t>
      </w:r>
      <w:r>
        <w:rPr/>
        <w:t>osteoporosis</w:t>
      </w:r>
    </w:p>
    <w:p>
      <w:pPr>
        <w:pStyle w:val="BodyText"/>
        <w:spacing w:line="276" w:lineRule="auto" w:before="297"/>
        <w:ind w:left="616" w:right="132"/>
        <w:jc w:val="both"/>
      </w:pPr>
      <w:r>
        <w:rPr/>
        <w:t>According to a 12-month study at the University of Tokyo, not only did the bone density of the patient group treated with 1500 mg of organic</w:t>
      </w:r>
      <w:r>
        <w:rPr>
          <w:spacing w:val="-69"/>
        </w:rPr>
        <w:t> </w:t>
      </w:r>
      <w:r>
        <w:rPr/>
        <w:t>germanium (Ge-132) not shrink, it even increased, while the bone density of the control group</w:t>
      </w:r>
      <w:r>
        <w:rPr>
          <w:spacing w:val="-24"/>
        </w:rPr>
        <w:t> </w:t>
      </w:r>
      <w:r>
        <w:rPr/>
        <w:t>which</w:t>
      </w:r>
      <w:r>
        <w:rPr>
          <w:spacing w:val="-23"/>
        </w:rPr>
        <w:t> </w:t>
      </w:r>
      <w:r>
        <w:rPr/>
        <w:t>received</w:t>
      </w:r>
      <w:r>
        <w:rPr>
          <w:spacing w:val="-25"/>
        </w:rPr>
        <w:t> </w:t>
      </w:r>
      <w:r>
        <w:rPr/>
        <w:t>no</w:t>
      </w:r>
      <w:r>
        <w:rPr>
          <w:spacing w:val="-23"/>
        </w:rPr>
        <w:t> </w:t>
      </w:r>
      <w:r>
        <w:rPr/>
        <w:t>organic</w:t>
      </w:r>
      <w:r>
        <w:rPr>
          <w:spacing w:val="-25"/>
        </w:rPr>
        <w:t> </w:t>
      </w:r>
      <w:r>
        <w:rPr/>
        <w:t>germanium</w:t>
      </w:r>
      <w:r>
        <w:rPr>
          <w:spacing w:val="-24"/>
        </w:rPr>
        <w:t> </w:t>
      </w:r>
      <w:r>
        <w:rPr/>
        <w:t>decreased</w:t>
      </w:r>
      <w:r>
        <w:rPr>
          <w:spacing w:val="-23"/>
        </w:rPr>
        <w:t> </w:t>
      </w:r>
      <w:r>
        <w:rPr/>
        <w:t>further.</w:t>
      </w:r>
      <w:r>
        <w:rPr>
          <w:spacing w:val="-24"/>
        </w:rPr>
        <w:t> </w:t>
      </w:r>
      <w:r>
        <w:rPr/>
        <w:t>It</w:t>
      </w:r>
      <w:r>
        <w:rPr>
          <w:spacing w:val="-29"/>
        </w:rPr>
        <w:t> </w:t>
      </w:r>
      <w:r>
        <w:rPr/>
        <w:t>was</w:t>
      </w:r>
      <w:r>
        <w:rPr>
          <w:spacing w:val="-23"/>
        </w:rPr>
        <w:t> </w:t>
      </w:r>
      <w:r>
        <w:rPr/>
        <w:t>assumed that this effect could be traced back to the reduction of the PHT serum con- tent. The effect was the most pronounced in the first three</w:t>
      </w:r>
      <w:r>
        <w:rPr>
          <w:spacing w:val="-6"/>
        </w:rPr>
        <w:t> </w:t>
      </w:r>
      <w:r>
        <w:rPr/>
        <w:t>months.</w:t>
      </w:r>
    </w:p>
    <w:p>
      <w:pPr>
        <w:pStyle w:val="Heading1"/>
        <w:spacing w:before="223"/>
        <w:ind w:left="616"/>
      </w:pPr>
      <w:r>
        <w:rPr/>
        <w:t>Effects of organic germanium on</w:t>
      </w:r>
      <w:r>
        <w:rPr>
          <w:spacing w:val="-55"/>
        </w:rPr>
        <w:t> </w:t>
      </w:r>
      <w:r>
        <w:rPr/>
        <w:t>malaria</w:t>
      </w:r>
    </w:p>
    <w:p>
      <w:pPr>
        <w:pStyle w:val="BodyText"/>
        <w:spacing w:line="276" w:lineRule="auto" w:before="299"/>
        <w:ind w:left="616" w:right="136"/>
        <w:jc w:val="both"/>
      </w:pPr>
      <w:r>
        <w:rPr/>
        <w:t>While malaria is already largely resistant to the common malaria medications, spirogermanium was able to demonstrate significant effects against chloro- quine-resistant and sensitive strains of plasmodium falciparum.</w:t>
      </w:r>
    </w:p>
    <w:p>
      <w:pPr>
        <w:pStyle w:val="Heading1"/>
        <w:spacing w:before="222"/>
        <w:ind w:left="616"/>
      </w:pPr>
      <w:r>
        <w:rPr/>
        <w:t>Effect on Raynaud syndrome</w:t>
      </w:r>
    </w:p>
    <w:p>
      <w:pPr>
        <w:pStyle w:val="BodyText"/>
        <w:spacing w:line="276" w:lineRule="auto" w:before="299"/>
        <w:ind w:left="616" w:right="136"/>
        <w:jc w:val="both"/>
      </w:pPr>
      <w:r>
        <w:rPr/>
        <w:t>Raynaud syndrome (morbus Raynaud) is a vascular disease which is</w:t>
      </w:r>
      <w:r>
        <w:rPr>
          <w:spacing w:val="-67"/>
        </w:rPr>
        <w:t> </w:t>
      </w:r>
      <w:r>
        <w:rPr/>
        <w:t>character- ised by the extremities (hands and feet) growing pale due to vasospasms and which can lead to amputations due to limbs dying off. It was observed that taking organic germanium led to substantial improvements to patient condi- tion.</w:t>
      </w:r>
    </w:p>
    <w:p>
      <w:pPr>
        <w:pStyle w:val="Heading1"/>
        <w:spacing w:before="223"/>
        <w:ind w:left="616"/>
        <w:jc w:val="both"/>
      </w:pPr>
      <w:r>
        <w:rPr/>
        <w:t>Effect on high-risk pregnancies</w:t>
      </w:r>
    </w:p>
    <w:p>
      <w:pPr>
        <w:spacing w:after="0"/>
        <w:jc w:val="both"/>
        <w:sectPr>
          <w:pgSz w:w="14270" w:h="16850"/>
          <w:pgMar w:header="0" w:footer="1891" w:top="1360" w:bottom="2080" w:left="800" w:right="1280"/>
        </w:sectPr>
      </w:pPr>
    </w:p>
    <w:p>
      <w:pPr>
        <w:pStyle w:val="BodyText"/>
        <w:spacing w:line="276" w:lineRule="auto" w:before="74"/>
        <w:ind w:left="616" w:right="137"/>
        <w:jc w:val="both"/>
      </w:pPr>
      <w:r>
        <w:rPr/>
        <w:t>It</w:t>
      </w:r>
      <w:r>
        <w:rPr>
          <w:spacing w:val="-8"/>
        </w:rPr>
        <w:t> </w:t>
      </w:r>
      <w:r>
        <w:rPr/>
        <w:t>has</w:t>
      </w:r>
      <w:r>
        <w:rPr>
          <w:spacing w:val="-6"/>
        </w:rPr>
        <w:t> </w:t>
      </w:r>
      <w:r>
        <w:rPr/>
        <w:t>been</w:t>
      </w:r>
      <w:r>
        <w:rPr>
          <w:spacing w:val="-6"/>
        </w:rPr>
        <w:t> </w:t>
      </w:r>
      <w:r>
        <w:rPr/>
        <w:t>reported</w:t>
      </w:r>
      <w:r>
        <w:rPr>
          <w:spacing w:val="-7"/>
        </w:rPr>
        <w:t> </w:t>
      </w:r>
      <w:r>
        <w:rPr/>
        <w:t>that</w:t>
      </w:r>
      <w:r>
        <w:rPr>
          <w:spacing w:val="-7"/>
        </w:rPr>
        <w:t> </w:t>
      </w:r>
      <w:r>
        <w:rPr/>
        <w:t>high-risk</w:t>
      </w:r>
      <w:r>
        <w:rPr>
          <w:spacing w:val="-7"/>
        </w:rPr>
        <w:t> </w:t>
      </w:r>
      <w:r>
        <w:rPr/>
        <w:t>pregnancies</w:t>
      </w:r>
      <w:r>
        <w:rPr>
          <w:spacing w:val="-6"/>
        </w:rPr>
        <w:t> </w:t>
      </w:r>
      <w:r>
        <w:rPr/>
        <w:t>show</w:t>
      </w:r>
      <w:r>
        <w:rPr>
          <w:spacing w:val="-8"/>
        </w:rPr>
        <w:t> </w:t>
      </w:r>
      <w:r>
        <w:rPr/>
        <w:t>a</w:t>
      </w:r>
      <w:r>
        <w:rPr>
          <w:spacing w:val="-8"/>
        </w:rPr>
        <w:t> </w:t>
      </w:r>
      <w:r>
        <w:rPr/>
        <w:t>milder</w:t>
      </w:r>
      <w:r>
        <w:rPr>
          <w:spacing w:val="-6"/>
        </w:rPr>
        <w:t> </w:t>
      </w:r>
      <w:r>
        <w:rPr/>
        <w:t>course</w:t>
      </w:r>
      <w:r>
        <w:rPr>
          <w:spacing w:val="-7"/>
        </w:rPr>
        <w:t> </w:t>
      </w:r>
      <w:r>
        <w:rPr/>
        <w:t>of</w:t>
      </w:r>
      <w:r>
        <w:rPr>
          <w:spacing w:val="-7"/>
        </w:rPr>
        <w:t> </w:t>
      </w:r>
      <w:r>
        <w:rPr/>
        <w:t>devel- opment.</w:t>
      </w:r>
    </w:p>
    <w:p>
      <w:pPr>
        <w:pStyle w:val="Heading1"/>
        <w:spacing w:before="221"/>
        <w:ind w:left="616"/>
      </w:pPr>
      <w:r>
        <w:rPr/>
        <w:t>Effect on skin diseases</w:t>
      </w:r>
    </w:p>
    <w:p>
      <w:pPr>
        <w:pStyle w:val="BodyText"/>
        <w:spacing w:line="276" w:lineRule="auto" w:before="300"/>
        <w:ind w:left="616" w:right="137"/>
        <w:jc w:val="both"/>
      </w:pPr>
      <w:r>
        <w:rPr/>
        <w:t>Positive results with organic germanium have been reported with eczema, burns, warts, herpes and corns. The oxygen enriching effect of germanium</w:t>
      </w:r>
      <w:r>
        <w:rPr>
          <w:spacing w:val="-57"/>
        </w:rPr>
        <w:t> </w:t>
      </w:r>
      <w:r>
        <w:rPr/>
        <w:t>on burns especially helps with a quick alleviation of pain and the healing of the burnt tissue.</w:t>
      </w:r>
    </w:p>
    <w:p>
      <w:pPr>
        <w:pStyle w:val="Heading1"/>
        <w:ind w:left="616"/>
      </w:pPr>
      <w:r>
        <w:rPr/>
        <w:t>Effect of organic germanium on</w:t>
      </w:r>
      <w:r>
        <w:rPr>
          <w:spacing w:val="-62"/>
        </w:rPr>
        <w:t> </w:t>
      </w:r>
      <w:r>
        <w:rPr/>
        <w:t>AIDS/HIV</w:t>
      </w:r>
    </w:p>
    <w:p>
      <w:pPr>
        <w:pStyle w:val="BodyText"/>
        <w:spacing w:line="276" w:lineRule="auto" w:before="300"/>
        <w:ind w:left="616" w:right="134"/>
        <w:jc w:val="both"/>
      </w:pPr>
      <w:r>
        <w:rPr/>
        <w:t>AIDS, as is well-known, is an illness that debilitates the immune system. The strong effects of organic germanium suggest that it could also be successful</w:t>
      </w:r>
      <w:r>
        <w:rPr>
          <w:spacing w:val="-42"/>
        </w:rPr>
        <w:t> </w:t>
      </w:r>
      <w:r>
        <w:rPr/>
        <w:t>in the fight against AIDS.</w:t>
      </w:r>
    </w:p>
    <w:p>
      <w:pPr>
        <w:pStyle w:val="BodyText"/>
        <w:spacing w:line="276" w:lineRule="auto" w:before="238"/>
        <w:ind w:left="616" w:right="132"/>
        <w:jc w:val="both"/>
      </w:pPr>
      <w:r>
        <w:rPr/>
        <w:t>In</w:t>
      </w:r>
      <w:r>
        <w:rPr>
          <w:spacing w:val="-23"/>
        </w:rPr>
        <w:t> </w:t>
      </w:r>
      <w:r>
        <w:rPr/>
        <w:t>Japan</w:t>
      </w:r>
      <w:r>
        <w:rPr>
          <w:spacing w:val="-24"/>
        </w:rPr>
        <w:t> </w:t>
      </w:r>
      <w:r>
        <w:rPr/>
        <w:t>there</w:t>
      </w:r>
      <w:r>
        <w:rPr>
          <w:spacing w:val="-23"/>
        </w:rPr>
        <w:t> </w:t>
      </w:r>
      <w:r>
        <w:rPr/>
        <w:t>are</w:t>
      </w:r>
      <w:r>
        <w:rPr>
          <w:spacing w:val="-23"/>
        </w:rPr>
        <w:t> </w:t>
      </w:r>
      <w:r>
        <w:rPr/>
        <w:t>AIDS</w:t>
      </w:r>
      <w:r>
        <w:rPr>
          <w:spacing w:val="-22"/>
        </w:rPr>
        <w:t> </w:t>
      </w:r>
      <w:r>
        <w:rPr/>
        <w:t>clinics</w:t>
      </w:r>
      <w:r>
        <w:rPr>
          <w:spacing w:val="-22"/>
        </w:rPr>
        <w:t> </w:t>
      </w:r>
      <w:r>
        <w:rPr/>
        <w:t>which</w:t>
      </w:r>
      <w:r>
        <w:rPr>
          <w:spacing w:val="-23"/>
        </w:rPr>
        <w:t> </w:t>
      </w:r>
      <w:r>
        <w:rPr/>
        <w:t>have</w:t>
      </w:r>
      <w:r>
        <w:rPr>
          <w:spacing w:val="-26"/>
        </w:rPr>
        <w:t> </w:t>
      </w:r>
      <w:r>
        <w:rPr/>
        <w:t>specialised</w:t>
      </w:r>
      <w:r>
        <w:rPr>
          <w:spacing w:val="-24"/>
        </w:rPr>
        <w:t> </w:t>
      </w:r>
      <w:r>
        <w:rPr/>
        <w:t>exclusively</w:t>
      </w:r>
      <w:r>
        <w:rPr>
          <w:spacing w:val="-24"/>
        </w:rPr>
        <w:t> </w:t>
      </w:r>
      <w:r>
        <w:rPr/>
        <w:t>on</w:t>
      </w:r>
      <w:r>
        <w:rPr>
          <w:spacing w:val="-22"/>
        </w:rPr>
        <w:t> </w:t>
      </w:r>
      <w:r>
        <w:rPr/>
        <w:t>treatment with</w:t>
      </w:r>
      <w:r>
        <w:rPr>
          <w:spacing w:val="-17"/>
        </w:rPr>
        <w:t> </w:t>
      </w:r>
      <w:r>
        <w:rPr/>
        <w:t>organic</w:t>
      </w:r>
      <w:r>
        <w:rPr>
          <w:spacing w:val="-17"/>
        </w:rPr>
        <w:t> </w:t>
      </w:r>
      <w:r>
        <w:rPr/>
        <w:t>germanium,</w:t>
      </w:r>
      <w:r>
        <w:rPr>
          <w:spacing w:val="-17"/>
        </w:rPr>
        <w:t> </w:t>
      </w:r>
      <w:r>
        <w:rPr/>
        <w:t>with</w:t>
      </w:r>
      <w:r>
        <w:rPr>
          <w:spacing w:val="-16"/>
        </w:rPr>
        <w:t> </w:t>
      </w:r>
      <w:r>
        <w:rPr/>
        <w:t>great</w:t>
      </w:r>
      <w:r>
        <w:rPr>
          <w:spacing w:val="-17"/>
        </w:rPr>
        <w:t> </w:t>
      </w:r>
      <w:r>
        <w:rPr/>
        <w:t>success.</w:t>
      </w:r>
      <w:r>
        <w:rPr>
          <w:spacing w:val="-16"/>
        </w:rPr>
        <w:t> </w:t>
      </w:r>
      <w:r>
        <w:rPr/>
        <w:t>There</w:t>
      </w:r>
      <w:r>
        <w:rPr>
          <w:spacing w:val="-16"/>
        </w:rPr>
        <w:t> </w:t>
      </w:r>
      <w:r>
        <w:rPr/>
        <w:t>are</w:t>
      </w:r>
      <w:r>
        <w:rPr>
          <w:spacing w:val="-17"/>
        </w:rPr>
        <w:t> </w:t>
      </w:r>
      <w:r>
        <w:rPr/>
        <w:t>also</w:t>
      </w:r>
      <w:r>
        <w:rPr>
          <w:spacing w:val="-19"/>
        </w:rPr>
        <w:t> </w:t>
      </w:r>
      <w:r>
        <w:rPr/>
        <w:t>experiential</w:t>
      </w:r>
      <w:r>
        <w:rPr>
          <w:spacing w:val="-18"/>
        </w:rPr>
        <w:t> </w:t>
      </w:r>
      <w:r>
        <w:rPr/>
        <w:t>reports on the treatment of Kaposi’s sarcoma with organic</w:t>
      </w:r>
      <w:r>
        <w:rPr>
          <w:spacing w:val="-4"/>
        </w:rPr>
        <w:t> </w:t>
      </w:r>
      <w:r>
        <w:rPr/>
        <w:t>germanium.</w:t>
      </w:r>
    </w:p>
    <w:p>
      <w:pPr>
        <w:pStyle w:val="Heading1"/>
        <w:spacing w:before="225"/>
        <w:ind w:left="616"/>
      </w:pPr>
      <w:r>
        <w:rPr/>
        <w:t>Effect of organic germanium on Candida albicans</w:t>
      </w:r>
    </w:p>
    <w:p>
      <w:pPr>
        <w:pStyle w:val="BodyText"/>
        <w:spacing w:line="276" w:lineRule="auto" w:before="297"/>
        <w:ind w:left="616" w:right="135"/>
        <w:jc w:val="both"/>
      </w:pPr>
      <w:r>
        <w:rPr/>
        <w:t>In studies, even small amounts of organic germanium (100 ug/ml) could sup- press the growth of Candida albicans and other fungi. It is assumed that the oxygen-enriching effect of organic germanium can put an end to the fungi, because these only grow in an oxygen-poor environment.</w:t>
      </w:r>
    </w:p>
    <w:p>
      <w:pPr>
        <w:pStyle w:val="Heading1"/>
        <w:ind w:left="616"/>
        <w:jc w:val="both"/>
      </w:pPr>
      <w:r>
        <w:rPr/>
        <w:t>Effect of organic germanium on Lyme disease</w:t>
      </w:r>
    </w:p>
    <w:p>
      <w:pPr>
        <w:spacing w:after="0"/>
        <w:jc w:val="both"/>
        <w:sectPr>
          <w:pgSz w:w="14270" w:h="16850"/>
          <w:pgMar w:header="0" w:footer="1891" w:top="1340" w:bottom="2080" w:left="800" w:right="1280"/>
        </w:sectPr>
      </w:pPr>
    </w:p>
    <w:p>
      <w:pPr>
        <w:pStyle w:val="BodyText"/>
        <w:spacing w:line="276" w:lineRule="auto" w:before="74"/>
        <w:ind w:left="616" w:right="48"/>
      </w:pPr>
      <w:r>
        <w:rPr/>
        <w:t>Organic germanium has also demonstrated therapeutic success with Lyme dis- ease and is suited for long-term therapy due to its lack of side effects.</w:t>
      </w:r>
    </w:p>
    <w:p>
      <w:pPr>
        <w:pStyle w:val="Heading1"/>
        <w:spacing w:before="221"/>
        <w:ind w:left="616"/>
      </w:pPr>
      <w:r>
        <w:rPr/>
        <w:t>Effect on eye diseases</w:t>
      </w:r>
    </w:p>
    <w:p>
      <w:pPr>
        <w:pStyle w:val="BodyText"/>
        <w:spacing w:line="276" w:lineRule="auto" w:before="300"/>
        <w:ind w:left="616" w:right="129"/>
        <w:jc w:val="both"/>
      </w:pPr>
      <w:r>
        <w:rPr/>
        <w:t>Positive</w:t>
      </w:r>
      <w:r>
        <w:rPr>
          <w:spacing w:val="-7"/>
        </w:rPr>
        <w:t> </w:t>
      </w:r>
      <w:r>
        <w:rPr/>
        <w:t>reports</w:t>
      </w:r>
      <w:r>
        <w:rPr>
          <w:spacing w:val="-11"/>
        </w:rPr>
        <w:t> </w:t>
      </w:r>
      <w:r>
        <w:rPr/>
        <w:t>are</w:t>
      </w:r>
      <w:r>
        <w:rPr>
          <w:spacing w:val="-7"/>
        </w:rPr>
        <w:t> </w:t>
      </w:r>
      <w:r>
        <w:rPr/>
        <w:t>present</w:t>
      </w:r>
      <w:r>
        <w:rPr>
          <w:spacing w:val="-9"/>
        </w:rPr>
        <w:t> </w:t>
      </w:r>
      <w:r>
        <w:rPr/>
        <w:t>for</w:t>
      </w:r>
      <w:r>
        <w:rPr>
          <w:spacing w:val="-8"/>
        </w:rPr>
        <w:t> </w:t>
      </w:r>
      <w:r>
        <w:rPr/>
        <w:t>retinal</w:t>
      </w:r>
      <w:r>
        <w:rPr>
          <w:spacing w:val="-7"/>
        </w:rPr>
        <w:t> </w:t>
      </w:r>
      <w:r>
        <w:rPr/>
        <w:t>detachment,</w:t>
      </w:r>
      <w:r>
        <w:rPr>
          <w:spacing w:val="-6"/>
        </w:rPr>
        <w:t> </w:t>
      </w:r>
      <w:r>
        <w:rPr/>
        <w:t>glaucoma,</w:t>
      </w:r>
      <w:r>
        <w:rPr>
          <w:spacing w:val="-6"/>
        </w:rPr>
        <w:t> </w:t>
      </w:r>
      <w:r>
        <w:rPr/>
        <w:t>cataracts</w:t>
      </w:r>
      <w:r>
        <w:rPr>
          <w:spacing w:val="-5"/>
        </w:rPr>
        <w:t> </w:t>
      </w:r>
      <w:r>
        <w:rPr/>
        <w:t>as</w:t>
      </w:r>
      <w:r>
        <w:rPr>
          <w:spacing w:val="-7"/>
        </w:rPr>
        <w:t> </w:t>
      </w:r>
      <w:r>
        <w:rPr/>
        <w:t>well as retinal burns and burns of the optic nerve. Although the effect is still not entirely clarified, researchers assume that the oxygen enriching effect leads to these positive results. Dr. Asai augments this with this thesis that organic ger- manium rejuvenates the blood vessels of the</w:t>
      </w:r>
      <w:r>
        <w:rPr>
          <w:spacing w:val="1"/>
        </w:rPr>
        <w:t> </w:t>
      </w:r>
      <w:r>
        <w:rPr/>
        <w:t>retina.</w:t>
      </w:r>
    </w:p>
    <w:p>
      <w:pPr>
        <w:pStyle w:val="Heading1"/>
        <w:spacing w:before="225"/>
        <w:ind w:left="616"/>
      </w:pPr>
      <w:r>
        <w:rPr/>
        <w:t>Effect on colds/flu</w:t>
      </w:r>
    </w:p>
    <w:p>
      <w:pPr>
        <w:pStyle w:val="BodyText"/>
        <w:spacing w:line="278" w:lineRule="auto" w:before="297"/>
        <w:ind w:left="616"/>
      </w:pPr>
      <w:r>
        <w:rPr/>
        <w:t>The strengthening of the immune system as well as the antiviral effect of or- ganic germanium explain its influence on colds and the flu .</w:t>
      </w:r>
    </w:p>
    <w:p>
      <w:pPr>
        <w:pStyle w:val="BodyText"/>
        <w:rPr>
          <w:sz w:val="42"/>
        </w:rPr>
      </w:pPr>
    </w:p>
    <w:p>
      <w:pPr>
        <w:pStyle w:val="BodyText"/>
        <w:spacing w:before="2"/>
        <w:rPr>
          <w:sz w:val="42"/>
        </w:rPr>
      </w:pPr>
    </w:p>
    <w:p>
      <w:pPr>
        <w:pStyle w:val="Heading1"/>
        <w:spacing w:line="261" w:lineRule="auto" w:before="0"/>
        <w:ind w:left="616"/>
      </w:pPr>
      <w:r>
        <w:rPr>
          <w:w w:val="95"/>
        </w:rPr>
        <w:t>Summary</w:t>
      </w:r>
      <w:r>
        <w:rPr>
          <w:spacing w:val="-22"/>
          <w:w w:val="95"/>
        </w:rPr>
        <w:t> </w:t>
      </w:r>
      <w:r>
        <w:rPr>
          <w:w w:val="95"/>
        </w:rPr>
        <w:t>of</w:t>
      </w:r>
      <w:r>
        <w:rPr>
          <w:spacing w:val="-20"/>
          <w:w w:val="95"/>
        </w:rPr>
        <w:t> </w:t>
      </w:r>
      <w:r>
        <w:rPr>
          <w:w w:val="95"/>
        </w:rPr>
        <w:t>illnesses</w:t>
      </w:r>
      <w:r>
        <w:rPr>
          <w:spacing w:val="-22"/>
          <w:w w:val="95"/>
        </w:rPr>
        <w:t> </w:t>
      </w:r>
      <w:r>
        <w:rPr>
          <w:w w:val="95"/>
        </w:rPr>
        <w:t>which</w:t>
      </w:r>
      <w:r>
        <w:rPr>
          <w:spacing w:val="-21"/>
          <w:w w:val="95"/>
        </w:rPr>
        <w:t> </w:t>
      </w:r>
      <w:r>
        <w:rPr>
          <w:w w:val="95"/>
        </w:rPr>
        <w:t>studies</w:t>
      </w:r>
      <w:r>
        <w:rPr>
          <w:spacing w:val="-21"/>
          <w:w w:val="95"/>
        </w:rPr>
        <w:t> </w:t>
      </w:r>
      <w:r>
        <w:rPr>
          <w:w w:val="95"/>
        </w:rPr>
        <w:t>and</w:t>
      </w:r>
      <w:r>
        <w:rPr>
          <w:spacing w:val="-21"/>
          <w:w w:val="95"/>
        </w:rPr>
        <w:t> </w:t>
      </w:r>
      <w:r>
        <w:rPr>
          <w:w w:val="95"/>
        </w:rPr>
        <w:t>observations</w:t>
      </w:r>
      <w:r>
        <w:rPr>
          <w:spacing w:val="-21"/>
          <w:w w:val="95"/>
        </w:rPr>
        <w:t> </w:t>
      </w:r>
      <w:r>
        <w:rPr>
          <w:w w:val="95"/>
        </w:rPr>
        <w:t>by</w:t>
      </w:r>
      <w:r>
        <w:rPr>
          <w:spacing w:val="-21"/>
          <w:w w:val="95"/>
        </w:rPr>
        <w:t> </w:t>
      </w:r>
      <w:r>
        <w:rPr>
          <w:w w:val="95"/>
        </w:rPr>
        <w:t>therapists</w:t>
      </w:r>
      <w:r>
        <w:rPr>
          <w:spacing w:val="-22"/>
          <w:w w:val="95"/>
        </w:rPr>
        <w:t> </w:t>
      </w:r>
      <w:r>
        <w:rPr>
          <w:w w:val="95"/>
        </w:rPr>
        <w:t>show </w:t>
      </w:r>
      <w:r>
        <w:rPr/>
        <w:t>organic germanium influences</w:t>
      </w:r>
      <w:r>
        <w:rPr>
          <w:spacing w:val="-36"/>
        </w:rPr>
        <w:t> </w:t>
      </w:r>
      <w:r>
        <w:rPr/>
        <w:t>positively:</w:t>
      </w:r>
    </w:p>
    <w:p>
      <w:pPr>
        <w:pStyle w:val="ListParagraph"/>
        <w:numPr>
          <w:ilvl w:val="0"/>
          <w:numId w:val="90"/>
        </w:numPr>
        <w:tabs>
          <w:tab w:pos="1096" w:val="left" w:leader="none"/>
          <w:tab w:pos="1097" w:val="left" w:leader="none"/>
        </w:tabs>
        <w:spacing w:line="240" w:lineRule="auto" w:before="221" w:after="0"/>
        <w:ind w:left="1096" w:right="0" w:hanging="360"/>
        <w:jc w:val="left"/>
        <w:rPr>
          <w:sz w:val="38"/>
        </w:rPr>
      </w:pPr>
      <w:r>
        <w:rPr>
          <w:sz w:val="38"/>
        </w:rPr>
        <w:t>High blood</w:t>
      </w:r>
      <w:r>
        <w:rPr>
          <w:spacing w:val="1"/>
          <w:sz w:val="38"/>
        </w:rPr>
        <w:t> </w:t>
      </w:r>
      <w:r>
        <w:rPr>
          <w:sz w:val="38"/>
        </w:rPr>
        <w:t>pressure</w:t>
      </w:r>
    </w:p>
    <w:p>
      <w:pPr>
        <w:pStyle w:val="ListParagraph"/>
        <w:numPr>
          <w:ilvl w:val="0"/>
          <w:numId w:val="90"/>
        </w:numPr>
        <w:tabs>
          <w:tab w:pos="1096" w:val="left" w:leader="none"/>
          <w:tab w:pos="1097" w:val="left" w:leader="none"/>
        </w:tabs>
        <w:spacing w:line="240" w:lineRule="auto" w:before="184" w:after="0"/>
        <w:ind w:left="1096" w:right="0" w:hanging="360"/>
        <w:jc w:val="left"/>
        <w:rPr>
          <w:sz w:val="38"/>
        </w:rPr>
      </w:pPr>
      <w:r>
        <w:rPr>
          <w:sz w:val="38"/>
        </w:rPr>
        <w:t>Atherosclerosis</w:t>
      </w:r>
    </w:p>
    <w:p>
      <w:pPr>
        <w:pStyle w:val="ListParagraph"/>
        <w:numPr>
          <w:ilvl w:val="0"/>
          <w:numId w:val="90"/>
        </w:numPr>
        <w:tabs>
          <w:tab w:pos="1096" w:val="left" w:leader="none"/>
          <w:tab w:pos="1097" w:val="left" w:leader="none"/>
        </w:tabs>
        <w:spacing w:line="240" w:lineRule="auto" w:before="183" w:after="0"/>
        <w:ind w:left="1096" w:right="0" w:hanging="360"/>
        <w:jc w:val="left"/>
        <w:rPr>
          <w:sz w:val="38"/>
        </w:rPr>
      </w:pPr>
      <w:r>
        <w:rPr>
          <w:sz w:val="38"/>
        </w:rPr>
        <w:t>Heart</w:t>
      </w:r>
      <w:r>
        <w:rPr>
          <w:spacing w:val="-1"/>
          <w:sz w:val="38"/>
        </w:rPr>
        <w:t> </w:t>
      </w:r>
      <w:r>
        <w:rPr>
          <w:sz w:val="38"/>
        </w:rPr>
        <w:t>Attack</w:t>
      </w:r>
    </w:p>
    <w:p>
      <w:pPr>
        <w:pStyle w:val="ListParagraph"/>
        <w:numPr>
          <w:ilvl w:val="0"/>
          <w:numId w:val="90"/>
        </w:numPr>
        <w:tabs>
          <w:tab w:pos="1096" w:val="left" w:leader="none"/>
          <w:tab w:pos="1097" w:val="left" w:leader="none"/>
        </w:tabs>
        <w:spacing w:line="240" w:lineRule="auto" w:before="184" w:after="0"/>
        <w:ind w:left="1096" w:right="0" w:hanging="360"/>
        <w:jc w:val="left"/>
        <w:rPr>
          <w:sz w:val="38"/>
        </w:rPr>
      </w:pPr>
      <w:r>
        <w:rPr>
          <w:sz w:val="38"/>
        </w:rPr>
        <w:t>Stroke</w:t>
      </w:r>
    </w:p>
    <w:p>
      <w:pPr>
        <w:pStyle w:val="ListParagraph"/>
        <w:numPr>
          <w:ilvl w:val="0"/>
          <w:numId w:val="90"/>
        </w:numPr>
        <w:tabs>
          <w:tab w:pos="1096" w:val="left" w:leader="none"/>
          <w:tab w:pos="1097" w:val="left" w:leader="none"/>
        </w:tabs>
        <w:spacing w:line="240" w:lineRule="auto" w:before="184" w:after="0"/>
        <w:ind w:left="1096" w:right="0" w:hanging="360"/>
        <w:jc w:val="left"/>
        <w:rPr>
          <w:sz w:val="38"/>
        </w:rPr>
      </w:pPr>
      <w:r>
        <w:rPr>
          <w:sz w:val="38"/>
        </w:rPr>
        <w:t>Diabetes</w:t>
      </w:r>
    </w:p>
    <w:p>
      <w:pPr>
        <w:spacing w:after="0" w:line="240" w:lineRule="auto"/>
        <w:jc w:val="left"/>
        <w:rPr>
          <w:sz w:val="38"/>
        </w:rPr>
        <w:sectPr>
          <w:pgSz w:w="14270" w:h="16850"/>
          <w:pgMar w:header="0" w:footer="1891" w:top="1340" w:bottom="2080" w:left="800" w:right="1280"/>
        </w:sectPr>
      </w:pPr>
    </w:p>
    <w:p>
      <w:pPr>
        <w:pStyle w:val="ListParagraph"/>
        <w:numPr>
          <w:ilvl w:val="0"/>
          <w:numId w:val="90"/>
        </w:numPr>
        <w:tabs>
          <w:tab w:pos="1096" w:val="left" w:leader="none"/>
          <w:tab w:pos="1097" w:val="left" w:leader="none"/>
        </w:tabs>
        <w:spacing w:line="240" w:lineRule="auto" w:before="53" w:after="0"/>
        <w:ind w:left="1096" w:right="0" w:hanging="360"/>
        <w:jc w:val="left"/>
        <w:rPr>
          <w:sz w:val="38"/>
        </w:rPr>
      </w:pPr>
      <w:r>
        <w:rPr>
          <w:sz w:val="38"/>
        </w:rPr>
        <w:t>Liver failure</w:t>
      </w:r>
    </w:p>
    <w:p>
      <w:pPr>
        <w:pStyle w:val="ListParagraph"/>
        <w:numPr>
          <w:ilvl w:val="0"/>
          <w:numId w:val="90"/>
        </w:numPr>
        <w:tabs>
          <w:tab w:pos="1096" w:val="left" w:leader="none"/>
          <w:tab w:pos="1097" w:val="left" w:leader="none"/>
        </w:tabs>
        <w:spacing w:line="240" w:lineRule="auto" w:before="186" w:after="0"/>
        <w:ind w:left="1096" w:right="0" w:hanging="360"/>
        <w:jc w:val="left"/>
        <w:rPr>
          <w:sz w:val="38"/>
        </w:rPr>
      </w:pPr>
      <w:r>
        <w:rPr>
          <w:sz w:val="38"/>
        </w:rPr>
        <w:t>Liver cell carcinoma</w:t>
      </w:r>
    </w:p>
    <w:p>
      <w:pPr>
        <w:pStyle w:val="ListParagraph"/>
        <w:numPr>
          <w:ilvl w:val="0"/>
          <w:numId w:val="90"/>
        </w:numPr>
        <w:tabs>
          <w:tab w:pos="1096" w:val="left" w:leader="none"/>
          <w:tab w:pos="1097" w:val="left" w:leader="none"/>
        </w:tabs>
        <w:spacing w:line="240" w:lineRule="auto" w:before="184" w:after="0"/>
        <w:ind w:left="1096" w:right="0" w:hanging="360"/>
        <w:jc w:val="left"/>
        <w:rPr>
          <w:sz w:val="38"/>
        </w:rPr>
      </w:pPr>
      <w:r>
        <w:rPr>
          <w:sz w:val="38"/>
        </w:rPr>
        <w:t>Hepatoma</w:t>
      </w:r>
    </w:p>
    <w:p>
      <w:pPr>
        <w:pStyle w:val="ListParagraph"/>
        <w:numPr>
          <w:ilvl w:val="0"/>
          <w:numId w:val="90"/>
        </w:numPr>
        <w:tabs>
          <w:tab w:pos="1096" w:val="left" w:leader="none"/>
          <w:tab w:pos="1097" w:val="left" w:leader="none"/>
        </w:tabs>
        <w:spacing w:line="240" w:lineRule="auto" w:before="184" w:after="0"/>
        <w:ind w:left="1096" w:right="0" w:hanging="360"/>
        <w:jc w:val="left"/>
        <w:rPr>
          <w:sz w:val="38"/>
        </w:rPr>
      </w:pPr>
      <w:r>
        <w:rPr>
          <w:sz w:val="38"/>
        </w:rPr>
        <w:t>Asthma</w:t>
      </w:r>
    </w:p>
    <w:p>
      <w:pPr>
        <w:pStyle w:val="ListParagraph"/>
        <w:numPr>
          <w:ilvl w:val="0"/>
          <w:numId w:val="90"/>
        </w:numPr>
        <w:tabs>
          <w:tab w:pos="1096" w:val="left" w:leader="none"/>
          <w:tab w:pos="1097" w:val="left" w:leader="none"/>
        </w:tabs>
        <w:spacing w:line="240" w:lineRule="auto" w:before="183" w:after="0"/>
        <w:ind w:left="1096" w:right="0" w:hanging="360"/>
        <w:jc w:val="left"/>
        <w:rPr>
          <w:sz w:val="38"/>
        </w:rPr>
      </w:pPr>
      <w:r>
        <w:rPr>
          <w:sz w:val="38"/>
        </w:rPr>
        <w:t>Eye Diseases</w:t>
      </w:r>
      <w:r>
        <w:rPr>
          <w:spacing w:val="2"/>
          <w:sz w:val="38"/>
        </w:rPr>
        <w:t> </w:t>
      </w:r>
      <w:r>
        <w:rPr>
          <w:sz w:val="38"/>
        </w:rPr>
        <w:t>(neuritis/blindness)</w:t>
      </w:r>
    </w:p>
    <w:p>
      <w:pPr>
        <w:pStyle w:val="ListParagraph"/>
        <w:numPr>
          <w:ilvl w:val="0"/>
          <w:numId w:val="90"/>
        </w:numPr>
        <w:tabs>
          <w:tab w:pos="1096" w:val="left" w:leader="none"/>
          <w:tab w:pos="1097" w:val="left" w:leader="none"/>
        </w:tabs>
        <w:spacing w:line="240" w:lineRule="auto" w:before="184" w:after="0"/>
        <w:ind w:left="1096" w:right="0" w:hanging="360"/>
        <w:jc w:val="left"/>
        <w:rPr>
          <w:sz w:val="38"/>
        </w:rPr>
      </w:pPr>
      <w:r>
        <w:rPr>
          <w:sz w:val="38"/>
        </w:rPr>
        <w:t>Retinal</w:t>
      </w:r>
      <w:r>
        <w:rPr>
          <w:spacing w:val="-1"/>
          <w:sz w:val="38"/>
        </w:rPr>
        <w:t> </w:t>
      </w:r>
      <w:r>
        <w:rPr>
          <w:sz w:val="38"/>
        </w:rPr>
        <w:t>degeneration</w:t>
      </w:r>
    </w:p>
    <w:p>
      <w:pPr>
        <w:pStyle w:val="ListParagraph"/>
        <w:numPr>
          <w:ilvl w:val="0"/>
          <w:numId w:val="90"/>
        </w:numPr>
        <w:tabs>
          <w:tab w:pos="1096" w:val="left" w:leader="none"/>
          <w:tab w:pos="1097" w:val="left" w:leader="none"/>
        </w:tabs>
        <w:spacing w:line="240" w:lineRule="auto" w:before="186" w:after="0"/>
        <w:ind w:left="1096" w:right="0" w:hanging="360"/>
        <w:jc w:val="left"/>
        <w:rPr>
          <w:sz w:val="38"/>
        </w:rPr>
      </w:pPr>
      <w:r>
        <w:rPr>
          <w:sz w:val="38"/>
        </w:rPr>
        <w:t>Retinal</w:t>
      </w:r>
      <w:r>
        <w:rPr>
          <w:spacing w:val="-1"/>
          <w:sz w:val="38"/>
        </w:rPr>
        <w:t> </w:t>
      </w:r>
      <w:r>
        <w:rPr>
          <w:sz w:val="38"/>
        </w:rPr>
        <w:t>inflammation</w:t>
      </w:r>
    </w:p>
    <w:p>
      <w:pPr>
        <w:pStyle w:val="ListParagraph"/>
        <w:numPr>
          <w:ilvl w:val="0"/>
          <w:numId w:val="90"/>
        </w:numPr>
        <w:tabs>
          <w:tab w:pos="1096" w:val="left" w:leader="none"/>
          <w:tab w:pos="1097" w:val="left" w:leader="none"/>
        </w:tabs>
        <w:spacing w:line="240" w:lineRule="auto" w:before="184" w:after="0"/>
        <w:ind w:left="1096" w:right="0" w:hanging="360"/>
        <w:jc w:val="left"/>
        <w:rPr>
          <w:sz w:val="38"/>
        </w:rPr>
      </w:pPr>
      <w:r>
        <w:rPr>
          <w:sz w:val="38"/>
        </w:rPr>
        <w:t>Hearing problems</w:t>
      </w:r>
    </w:p>
    <w:p>
      <w:pPr>
        <w:pStyle w:val="ListParagraph"/>
        <w:numPr>
          <w:ilvl w:val="0"/>
          <w:numId w:val="90"/>
        </w:numPr>
        <w:tabs>
          <w:tab w:pos="1096" w:val="left" w:leader="none"/>
          <w:tab w:pos="1097" w:val="left" w:leader="none"/>
        </w:tabs>
        <w:spacing w:line="240" w:lineRule="auto" w:before="184" w:after="0"/>
        <w:ind w:left="1096" w:right="0" w:hanging="360"/>
        <w:jc w:val="left"/>
        <w:rPr>
          <w:sz w:val="38"/>
        </w:rPr>
      </w:pPr>
      <w:r>
        <w:rPr>
          <w:sz w:val="38"/>
        </w:rPr>
        <w:t>Dermatitis</w:t>
      </w:r>
    </w:p>
    <w:p>
      <w:pPr>
        <w:pStyle w:val="ListParagraph"/>
        <w:numPr>
          <w:ilvl w:val="0"/>
          <w:numId w:val="90"/>
        </w:numPr>
        <w:tabs>
          <w:tab w:pos="1096" w:val="left" w:leader="none"/>
          <w:tab w:pos="1097" w:val="left" w:leader="none"/>
        </w:tabs>
        <w:spacing w:line="240" w:lineRule="auto" w:before="183" w:after="0"/>
        <w:ind w:left="1096" w:right="0" w:hanging="360"/>
        <w:jc w:val="left"/>
        <w:rPr>
          <w:sz w:val="38"/>
        </w:rPr>
      </w:pPr>
      <w:r>
        <w:rPr>
          <w:sz w:val="38"/>
        </w:rPr>
        <w:t>Lyme</w:t>
      </w:r>
      <w:r>
        <w:rPr>
          <w:spacing w:val="1"/>
          <w:sz w:val="38"/>
        </w:rPr>
        <w:t> </w:t>
      </w:r>
      <w:r>
        <w:rPr>
          <w:sz w:val="38"/>
        </w:rPr>
        <w:t>disease</w:t>
      </w:r>
    </w:p>
    <w:p>
      <w:pPr>
        <w:pStyle w:val="ListParagraph"/>
        <w:numPr>
          <w:ilvl w:val="0"/>
          <w:numId w:val="90"/>
        </w:numPr>
        <w:tabs>
          <w:tab w:pos="1096" w:val="left" w:leader="none"/>
          <w:tab w:pos="1097" w:val="left" w:leader="none"/>
        </w:tabs>
        <w:spacing w:line="240" w:lineRule="auto" w:before="186" w:after="0"/>
        <w:ind w:left="1096" w:right="0" w:hanging="360"/>
        <w:jc w:val="left"/>
        <w:rPr>
          <w:sz w:val="38"/>
        </w:rPr>
      </w:pPr>
      <w:r>
        <w:rPr>
          <w:sz w:val="38"/>
        </w:rPr>
        <w:t>Tinnitus</w:t>
      </w:r>
    </w:p>
    <w:p>
      <w:pPr>
        <w:pStyle w:val="ListParagraph"/>
        <w:numPr>
          <w:ilvl w:val="0"/>
          <w:numId w:val="90"/>
        </w:numPr>
        <w:tabs>
          <w:tab w:pos="1096" w:val="left" w:leader="none"/>
          <w:tab w:pos="1097" w:val="left" w:leader="none"/>
        </w:tabs>
        <w:spacing w:line="240" w:lineRule="auto" w:before="184" w:after="0"/>
        <w:ind w:left="1096" w:right="0" w:hanging="360"/>
        <w:jc w:val="left"/>
        <w:rPr>
          <w:sz w:val="38"/>
        </w:rPr>
      </w:pPr>
      <w:r>
        <w:rPr>
          <w:sz w:val="38"/>
        </w:rPr>
        <w:t>Malaria</w:t>
      </w:r>
    </w:p>
    <w:p>
      <w:pPr>
        <w:pStyle w:val="ListParagraph"/>
        <w:numPr>
          <w:ilvl w:val="0"/>
          <w:numId w:val="90"/>
        </w:numPr>
        <w:tabs>
          <w:tab w:pos="1096" w:val="left" w:leader="none"/>
          <w:tab w:pos="1097" w:val="left" w:leader="none"/>
        </w:tabs>
        <w:spacing w:line="240" w:lineRule="auto" w:before="184" w:after="0"/>
        <w:ind w:left="1096" w:right="0" w:hanging="360"/>
        <w:jc w:val="left"/>
        <w:rPr>
          <w:sz w:val="38"/>
        </w:rPr>
      </w:pPr>
      <w:r>
        <w:rPr>
          <w:sz w:val="38"/>
        </w:rPr>
        <w:t>Menopause problems</w:t>
      </w:r>
    </w:p>
    <w:p>
      <w:pPr>
        <w:pStyle w:val="ListParagraph"/>
        <w:numPr>
          <w:ilvl w:val="0"/>
          <w:numId w:val="90"/>
        </w:numPr>
        <w:tabs>
          <w:tab w:pos="1096" w:val="left" w:leader="none"/>
          <w:tab w:pos="1097" w:val="left" w:leader="none"/>
        </w:tabs>
        <w:spacing w:line="240" w:lineRule="auto" w:before="184" w:after="0"/>
        <w:ind w:left="1096" w:right="0" w:hanging="360"/>
        <w:jc w:val="left"/>
        <w:rPr>
          <w:sz w:val="38"/>
        </w:rPr>
      </w:pPr>
      <w:r>
        <w:rPr>
          <w:sz w:val="38"/>
        </w:rPr>
        <w:t>Chronic fatigue</w:t>
      </w:r>
      <w:r>
        <w:rPr>
          <w:spacing w:val="-3"/>
          <w:sz w:val="38"/>
        </w:rPr>
        <w:t> </w:t>
      </w:r>
      <w:r>
        <w:rPr>
          <w:sz w:val="38"/>
        </w:rPr>
        <w:t>syndrome</w:t>
      </w:r>
    </w:p>
    <w:p>
      <w:pPr>
        <w:pStyle w:val="ListParagraph"/>
        <w:numPr>
          <w:ilvl w:val="0"/>
          <w:numId w:val="90"/>
        </w:numPr>
        <w:tabs>
          <w:tab w:pos="1096" w:val="left" w:leader="none"/>
          <w:tab w:pos="1097" w:val="left" w:leader="none"/>
        </w:tabs>
        <w:spacing w:line="240" w:lineRule="auto" w:before="183" w:after="0"/>
        <w:ind w:left="1096" w:right="0" w:hanging="360"/>
        <w:jc w:val="left"/>
        <w:rPr>
          <w:sz w:val="38"/>
        </w:rPr>
      </w:pPr>
      <w:r>
        <w:rPr>
          <w:sz w:val="38"/>
        </w:rPr>
        <w:t>Brain thrombosis</w:t>
      </w:r>
    </w:p>
    <w:p>
      <w:pPr>
        <w:pStyle w:val="ListParagraph"/>
        <w:numPr>
          <w:ilvl w:val="0"/>
          <w:numId w:val="90"/>
        </w:numPr>
        <w:tabs>
          <w:tab w:pos="1096" w:val="left" w:leader="none"/>
          <w:tab w:pos="1097" w:val="left" w:leader="none"/>
        </w:tabs>
        <w:spacing w:line="240" w:lineRule="auto" w:before="186" w:after="0"/>
        <w:ind w:left="1096" w:right="0" w:hanging="360"/>
        <w:jc w:val="left"/>
        <w:rPr>
          <w:sz w:val="38"/>
        </w:rPr>
      </w:pPr>
      <w:r>
        <w:rPr>
          <w:sz w:val="38"/>
        </w:rPr>
        <w:t>Dementia</w:t>
      </w:r>
    </w:p>
    <w:p>
      <w:pPr>
        <w:pStyle w:val="ListParagraph"/>
        <w:numPr>
          <w:ilvl w:val="0"/>
          <w:numId w:val="90"/>
        </w:numPr>
        <w:tabs>
          <w:tab w:pos="1096" w:val="left" w:leader="none"/>
          <w:tab w:pos="1097" w:val="left" w:leader="none"/>
        </w:tabs>
        <w:spacing w:line="240" w:lineRule="auto" w:before="184" w:after="0"/>
        <w:ind w:left="1096" w:right="0" w:hanging="360"/>
        <w:jc w:val="left"/>
        <w:rPr>
          <w:sz w:val="38"/>
        </w:rPr>
      </w:pPr>
      <w:r>
        <w:rPr>
          <w:sz w:val="38"/>
        </w:rPr>
        <w:t>Depression</w:t>
      </w:r>
    </w:p>
    <w:p>
      <w:pPr>
        <w:pStyle w:val="ListParagraph"/>
        <w:numPr>
          <w:ilvl w:val="0"/>
          <w:numId w:val="90"/>
        </w:numPr>
        <w:tabs>
          <w:tab w:pos="1096" w:val="left" w:leader="none"/>
          <w:tab w:pos="1097" w:val="left" w:leader="none"/>
        </w:tabs>
        <w:spacing w:line="240" w:lineRule="auto" w:before="184" w:after="0"/>
        <w:ind w:left="1096" w:right="0" w:hanging="360"/>
        <w:jc w:val="left"/>
        <w:rPr>
          <w:sz w:val="38"/>
        </w:rPr>
      </w:pPr>
      <w:r>
        <w:rPr>
          <w:sz w:val="38"/>
        </w:rPr>
        <w:t>Schizophrenia</w:t>
      </w:r>
    </w:p>
    <w:p>
      <w:pPr>
        <w:pStyle w:val="ListParagraph"/>
        <w:numPr>
          <w:ilvl w:val="0"/>
          <w:numId w:val="90"/>
        </w:numPr>
        <w:tabs>
          <w:tab w:pos="1096" w:val="left" w:leader="none"/>
          <w:tab w:pos="1097" w:val="left" w:leader="none"/>
        </w:tabs>
        <w:spacing w:line="240" w:lineRule="auto" w:before="184" w:after="0"/>
        <w:ind w:left="1096" w:right="0" w:hanging="360"/>
        <w:jc w:val="left"/>
        <w:rPr>
          <w:sz w:val="38"/>
        </w:rPr>
      </w:pPr>
      <w:r>
        <w:rPr>
          <w:sz w:val="38"/>
        </w:rPr>
        <w:t>Psychosis</w:t>
      </w:r>
    </w:p>
    <w:p>
      <w:pPr>
        <w:spacing w:after="0" w:line="240" w:lineRule="auto"/>
        <w:jc w:val="left"/>
        <w:rPr>
          <w:sz w:val="38"/>
        </w:rPr>
        <w:sectPr>
          <w:pgSz w:w="14270" w:h="16850"/>
          <w:pgMar w:header="0" w:footer="1891" w:top="1360" w:bottom="2080" w:left="800" w:right="1280"/>
        </w:sectPr>
      </w:pPr>
    </w:p>
    <w:p>
      <w:pPr>
        <w:pStyle w:val="ListParagraph"/>
        <w:numPr>
          <w:ilvl w:val="0"/>
          <w:numId w:val="90"/>
        </w:numPr>
        <w:tabs>
          <w:tab w:pos="1096" w:val="left" w:leader="none"/>
          <w:tab w:pos="1097" w:val="left" w:leader="none"/>
        </w:tabs>
        <w:spacing w:line="240" w:lineRule="auto" w:before="53" w:after="0"/>
        <w:ind w:left="1096" w:right="0" w:hanging="360"/>
        <w:jc w:val="left"/>
        <w:rPr>
          <w:sz w:val="38"/>
        </w:rPr>
      </w:pPr>
      <w:r>
        <w:rPr>
          <w:sz w:val="38"/>
        </w:rPr>
        <w:t>Disorders of the peripheral nervous</w:t>
      </w:r>
      <w:r>
        <w:rPr>
          <w:spacing w:val="-5"/>
          <w:sz w:val="38"/>
        </w:rPr>
        <w:t> </w:t>
      </w:r>
      <w:r>
        <w:rPr>
          <w:sz w:val="38"/>
        </w:rPr>
        <w:t>system</w:t>
      </w:r>
    </w:p>
    <w:p>
      <w:pPr>
        <w:pStyle w:val="ListParagraph"/>
        <w:numPr>
          <w:ilvl w:val="0"/>
          <w:numId w:val="90"/>
        </w:numPr>
        <w:tabs>
          <w:tab w:pos="1096" w:val="left" w:leader="none"/>
          <w:tab w:pos="1097" w:val="left" w:leader="none"/>
        </w:tabs>
        <w:spacing w:line="240" w:lineRule="auto" w:before="186" w:after="0"/>
        <w:ind w:left="1096" w:right="0" w:hanging="360"/>
        <w:jc w:val="left"/>
        <w:rPr>
          <w:sz w:val="38"/>
        </w:rPr>
      </w:pPr>
      <w:r>
        <w:rPr>
          <w:sz w:val="38"/>
        </w:rPr>
        <w:t>Parkinson’s</w:t>
      </w:r>
    </w:p>
    <w:p>
      <w:pPr>
        <w:pStyle w:val="ListParagraph"/>
        <w:numPr>
          <w:ilvl w:val="0"/>
          <w:numId w:val="90"/>
        </w:numPr>
        <w:tabs>
          <w:tab w:pos="1096" w:val="left" w:leader="none"/>
          <w:tab w:pos="1097" w:val="left" w:leader="none"/>
        </w:tabs>
        <w:spacing w:line="240" w:lineRule="auto" w:before="184" w:after="0"/>
        <w:ind w:left="1096" w:right="0" w:hanging="360"/>
        <w:jc w:val="left"/>
        <w:rPr>
          <w:sz w:val="38"/>
        </w:rPr>
      </w:pPr>
      <w:r>
        <w:rPr>
          <w:sz w:val="38"/>
        </w:rPr>
        <w:t>Flu/influenza</w:t>
      </w:r>
    </w:p>
    <w:p>
      <w:pPr>
        <w:pStyle w:val="ListParagraph"/>
        <w:numPr>
          <w:ilvl w:val="0"/>
          <w:numId w:val="90"/>
        </w:numPr>
        <w:tabs>
          <w:tab w:pos="1096" w:val="left" w:leader="none"/>
          <w:tab w:pos="1097" w:val="left" w:leader="none"/>
        </w:tabs>
        <w:spacing w:line="240" w:lineRule="auto" w:before="184" w:after="0"/>
        <w:ind w:left="1096" w:right="0" w:hanging="360"/>
        <w:jc w:val="left"/>
        <w:rPr>
          <w:sz w:val="38"/>
        </w:rPr>
      </w:pPr>
      <w:r>
        <w:rPr>
          <w:sz w:val="38"/>
        </w:rPr>
        <w:t>Reynaud</w:t>
      </w:r>
      <w:r>
        <w:rPr>
          <w:spacing w:val="-2"/>
          <w:sz w:val="38"/>
        </w:rPr>
        <w:t> </w:t>
      </w:r>
      <w:r>
        <w:rPr>
          <w:sz w:val="38"/>
        </w:rPr>
        <w:t>disease</w:t>
      </w:r>
    </w:p>
    <w:p>
      <w:pPr>
        <w:pStyle w:val="ListParagraph"/>
        <w:numPr>
          <w:ilvl w:val="0"/>
          <w:numId w:val="90"/>
        </w:numPr>
        <w:tabs>
          <w:tab w:pos="1096" w:val="left" w:leader="none"/>
          <w:tab w:pos="1097" w:val="left" w:leader="none"/>
        </w:tabs>
        <w:spacing w:line="240" w:lineRule="auto" w:before="183" w:after="0"/>
        <w:ind w:left="1096" w:right="0" w:hanging="360"/>
        <w:jc w:val="left"/>
        <w:rPr>
          <w:sz w:val="38"/>
        </w:rPr>
      </w:pPr>
      <w:r>
        <w:rPr>
          <w:sz w:val="38"/>
        </w:rPr>
        <w:t>Kashin–Beck</w:t>
      </w:r>
      <w:r>
        <w:rPr>
          <w:spacing w:val="-1"/>
          <w:sz w:val="38"/>
        </w:rPr>
        <w:t> </w:t>
      </w:r>
      <w:r>
        <w:rPr>
          <w:sz w:val="38"/>
        </w:rPr>
        <w:t>disease</w:t>
      </w:r>
    </w:p>
    <w:p>
      <w:pPr>
        <w:pStyle w:val="ListParagraph"/>
        <w:numPr>
          <w:ilvl w:val="0"/>
          <w:numId w:val="90"/>
        </w:numPr>
        <w:tabs>
          <w:tab w:pos="1096" w:val="left" w:leader="none"/>
          <w:tab w:pos="1097" w:val="left" w:leader="none"/>
        </w:tabs>
        <w:spacing w:line="240" w:lineRule="auto" w:before="184" w:after="0"/>
        <w:ind w:left="1096" w:right="0" w:hanging="360"/>
        <w:jc w:val="left"/>
        <w:rPr>
          <w:sz w:val="38"/>
        </w:rPr>
      </w:pPr>
      <w:r>
        <w:rPr>
          <w:sz w:val="38"/>
        </w:rPr>
        <w:t>Epilepsy</w:t>
      </w:r>
    </w:p>
    <w:p>
      <w:pPr>
        <w:pStyle w:val="ListParagraph"/>
        <w:numPr>
          <w:ilvl w:val="0"/>
          <w:numId w:val="90"/>
        </w:numPr>
        <w:tabs>
          <w:tab w:pos="1096" w:val="left" w:leader="none"/>
          <w:tab w:pos="1097" w:val="left" w:leader="none"/>
        </w:tabs>
        <w:spacing w:line="240" w:lineRule="auto" w:before="186" w:after="0"/>
        <w:ind w:left="1096" w:right="0" w:hanging="360"/>
        <w:jc w:val="left"/>
        <w:rPr>
          <w:sz w:val="38"/>
        </w:rPr>
      </w:pPr>
      <w:r>
        <w:rPr>
          <w:sz w:val="38"/>
        </w:rPr>
        <w:t>Prostate</w:t>
      </w:r>
      <w:r>
        <w:rPr>
          <w:spacing w:val="-1"/>
          <w:sz w:val="38"/>
        </w:rPr>
        <w:t> </w:t>
      </w:r>
      <w:r>
        <w:rPr>
          <w:sz w:val="38"/>
        </w:rPr>
        <w:t>disorders</w:t>
      </w:r>
    </w:p>
    <w:p>
      <w:pPr>
        <w:pStyle w:val="ListParagraph"/>
        <w:numPr>
          <w:ilvl w:val="0"/>
          <w:numId w:val="90"/>
        </w:numPr>
        <w:tabs>
          <w:tab w:pos="1096" w:val="left" w:leader="none"/>
          <w:tab w:pos="1097" w:val="left" w:leader="none"/>
        </w:tabs>
        <w:spacing w:line="240" w:lineRule="auto" w:before="184" w:after="0"/>
        <w:ind w:left="1096" w:right="0" w:hanging="360"/>
        <w:jc w:val="left"/>
        <w:rPr>
          <w:sz w:val="38"/>
        </w:rPr>
      </w:pPr>
      <w:r>
        <w:rPr>
          <w:sz w:val="38"/>
        </w:rPr>
        <w:t>Candida</w:t>
      </w:r>
    </w:p>
    <w:p>
      <w:pPr>
        <w:pStyle w:val="ListParagraph"/>
        <w:numPr>
          <w:ilvl w:val="0"/>
          <w:numId w:val="90"/>
        </w:numPr>
        <w:tabs>
          <w:tab w:pos="1096" w:val="left" w:leader="none"/>
          <w:tab w:pos="1097" w:val="left" w:leader="none"/>
        </w:tabs>
        <w:spacing w:line="240" w:lineRule="auto" w:before="184" w:after="0"/>
        <w:ind w:left="1096" w:right="0" w:hanging="360"/>
        <w:jc w:val="left"/>
        <w:rPr>
          <w:sz w:val="38"/>
        </w:rPr>
      </w:pPr>
      <w:r>
        <w:rPr>
          <w:sz w:val="38"/>
        </w:rPr>
        <w:t>Haemorrhoids</w:t>
      </w:r>
    </w:p>
    <w:p>
      <w:pPr>
        <w:pStyle w:val="ListParagraph"/>
        <w:numPr>
          <w:ilvl w:val="0"/>
          <w:numId w:val="90"/>
        </w:numPr>
        <w:tabs>
          <w:tab w:pos="1096" w:val="left" w:leader="none"/>
          <w:tab w:pos="1097" w:val="left" w:leader="none"/>
        </w:tabs>
        <w:spacing w:line="240" w:lineRule="auto" w:before="183" w:after="0"/>
        <w:ind w:left="1096" w:right="0" w:hanging="360"/>
        <w:jc w:val="left"/>
        <w:rPr>
          <w:sz w:val="38"/>
        </w:rPr>
      </w:pPr>
      <w:r>
        <w:rPr>
          <w:sz w:val="38"/>
        </w:rPr>
        <w:t>Ulcers</w:t>
      </w:r>
    </w:p>
    <w:p>
      <w:pPr>
        <w:pStyle w:val="ListParagraph"/>
        <w:numPr>
          <w:ilvl w:val="0"/>
          <w:numId w:val="90"/>
        </w:numPr>
        <w:tabs>
          <w:tab w:pos="1096" w:val="left" w:leader="none"/>
          <w:tab w:pos="1097" w:val="left" w:leader="none"/>
        </w:tabs>
        <w:spacing w:line="240" w:lineRule="auto" w:before="186" w:after="0"/>
        <w:ind w:left="1096" w:right="0" w:hanging="360"/>
        <w:jc w:val="left"/>
        <w:rPr>
          <w:sz w:val="38"/>
        </w:rPr>
      </w:pPr>
      <w:r>
        <w:rPr>
          <w:sz w:val="38"/>
        </w:rPr>
        <w:t>Gastritis</w:t>
      </w:r>
    </w:p>
    <w:p>
      <w:pPr>
        <w:pStyle w:val="ListParagraph"/>
        <w:numPr>
          <w:ilvl w:val="0"/>
          <w:numId w:val="90"/>
        </w:numPr>
        <w:tabs>
          <w:tab w:pos="1096" w:val="left" w:leader="none"/>
          <w:tab w:pos="1097" w:val="left" w:leader="none"/>
        </w:tabs>
        <w:spacing w:line="240" w:lineRule="auto" w:before="184" w:after="0"/>
        <w:ind w:left="1096" w:right="0" w:hanging="360"/>
        <w:jc w:val="left"/>
        <w:rPr>
          <w:sz w:val="38"/>
        </w:rPr>
      </w:pPr>
      <w:r>
        <w:rPr>
          <w:sz w:val="38"/>
        </w:rPr>
        <w:t>Warts</w:t>
      </w:r>
    </w:p>
    <w:p>
      <w:pPr>
        <w:pStyle w:val="BodyText"/>
        <w:rPr>
          <w:sz w:val="44"/>
        </w:rPr>
      </w:pPr>
    </w:p>
    <w:p>
      <w:pPr>
        <w:pStyle w:val="BodyText"/>
        <w:rPr>
          <w:sz w:val="44"/>
        </w:rPr>
      </w:pPr>
    </w:p>
    <w:p>
      <w:pPr>
        <w:pStyle w:val="BodyText"/>
        <w:spacing w:before="1"/>
        <w:rPr>
          <w:sz w:val="44"/>
        </w:rPr>
      </w:pPr>
    </w:p>
    <w:p>
      <w:pPr>
        <w:pStyle w:val="Heading2"/>
        <w:ind w:left="616"/>
        <w:jc w:val="both"/>
      </w:pPr>
      <w:r>
        <w:rPr/>
        <w:t>Sources of organic germanium deposits</w:t>
      </w:r>
    </w:p>
    <w:p>
      <w:pPr>
        <w:pStyle w:val="BodyText"/>
        <w:spacing w:line="276" w:lineRule="auto" w:before="304"/>
        <w:ind w:left="616" w:right="132"/>
        <w:jc w:val="both"/>
      </w:pPr>
      <w:r>
        <w:rPr/>
        <w:t>As a natural trace element, traces of organic germanium are present in almost all foods. That includes grains, leek, garlic, onions and ginseng. Medicinal springs often presumably owe their effect to the high amount of organic ger- manium;</w:t>
      </w:r>
      <w:r>
        <w:rPr>
          <w:spacing w:val="-11"/>
        </w:rPr>
        <w:t> </w:t>
      </w:r>
      <w:r>
        <w:rPr/>
        <w:t>it</w:t>
      </w:r>
      <w:r>
        <w:rPr>
          <w:spacing w:val="-13"/>
        </w:rPr>
        <w:t> </w:t>
      </w:r>
      <w:r>
        <w:rPr/>
        <w:t>is</w:t>
      </w:r>
      <w:r>
        <w:rPr>
          <w:spacing w:val="-14"/>
        </w:rPr>
        <w:t> </w:t>
      </w:r>
      <w:r>
        <w:rPr/>
        <w:t>present</w:t>
      </w:r>
      <w:r>
        <w:rPr>
          <w:spacing w:val="-12"/>
        </w:rPr>
        <w:t> </w:t>
      </w:r>
      <w:r>
        <w:rPr/>
        <w:t>in</w:t>
      </w:r>
      <w:r>
        <w:rPr>
          <w:spacing w:val="-14"/>
        </w:rPr>
        <w:t> </w:t>
      </w:r>
      <w:r>
        <w:rPr/>
        <w:t>the</w:t>
      </w:r>
      <w:r>
        <w:rPr>
          <w:spacing w:val="-13"/>
        </w:rPr>
        <w:t> </w:t>
      </w:r>
      <w:r>
        <w:rPr/>
        <w:t>famous</w:t>
      </w:r>
      <w:r>
        <w:rPr>
          <w:spacing w:val="-12"/>
        </w:rPr>
        <w:t> </w:t>
      </w:r>
      <w:r>
        <w:rPr/>
        <w:t>waters</w:t>
      </w:r>
      <w:r>
        <w:rPr>
          <w:spacing w:val="-11"/>
        </w:rPr>
        <w:t> </w:t>
      </w:r>
      <w:r>
        <w:rPr/>
        <w:t>of</w:t>
      </w:r>
      <w:r>
        <w:rPr>
          <w:spacing w:val="-13"/>
        </w:rPr>
        <w:t> </w:t>
      </w:r>
      <w:r>
        <w:rPr/>
        <w:t>Lourdes</w:t>
      </w:r>
      <w:r>
        <w:rPr>
          <w:spacing w:val="-11"/>
        </w:rPr>
        <w:t> </w:t>
      </w:r>
      <w:r>
        <w:rPr/>
        <w:t>(perhaps</w:t>
      </w:r>
      <w:r>
        <w:rPr>
          <w:spacing w:val="-13"/>
        </w:rPr>
        <w:t> </w:t>
      </w:r>
      <w:r>
        <w:rPr/>
        <w:t>the</w:t>
      </w:r>
      <w:r>
        <w:rPr>
          <w:spacing w:val="-11"/>
        </w:rPr>
        <w:t> </w:t>
      </w:r>
      <w:r>
        <w:rPr/>
        <w:t>God-given blessing</w:t>
      </w:r>
      <w:r>
        <w:rPr>
          <w:spacing w:val="-12"/>
        </w:rPr>
        <w:t> </w:t>
      </w:r>
      <w:r>
        <w:rPr/>
        <w:t>that</w:t>
      </w:r>
      <w:r>
        <w:rPr>
          <w:spacing w:val="-12"/>
        </w:rPr>
        <w:t> </w:t>
      </w:r>
      <w:r>
        <w:rPr/>
        <w:t>led</w:t>
      </w:r>
      <w:r>
        <w:rPr>
          <w:spacing w:val="-15"/>
        </w:rPr>
        <w:t> </w:t>
      </w:r>
      <w:r>
        <w:rPr/>
        <w:t>to</w:t>
      </w:r>
      <w:r>
        <w:rPr>
          <w:spacing w:val="-11"/>
        </w:rPr>
        <w:t> </w:t>
      </w:r>
      <w:r>
        <w:rPr/>
        <w:t>the</w:t>
      </w:r>
      <w:r>
        <w:rPr>
          <w:spacing w:val="-11"/>
        </w:rPr>
        <w:t> </w:t>
      </w:r>
      <w:r>
        <w:rPr/>
        <w:t>sudden</w:t>
      </w:r>
      <w:r>
        <w:rPr>
          <w:spacing w:val="-12"/>
        </w:rPr>
        <w:t> </w:t>
      </w:r>
      <w:r>
        <w:rPr/>
        <w:t>healings</w:t>
      </w:r>
      <w:r>
        <w:rPr>
          <w:spacing w:val="-11"/>
        </w:rPr>
        <w:t> </w:t>
      </w:r>
      <w:r>
        <w:rPr/>
        <w:t>of</w:t>
      </w:r>
      <w:r>
        <w:rPr>
          <w:spacing w:val="-11"/>
        </w:rPr>
        <w:t> </w:t>
      </w:r>
      <w:r>
        <w:rPr/>
        <w:t>sick</w:t>
      </w:r>
      <w:r>
        <w:rPr>
          <w:spacing w:val="-11"/>
        </w:rPr>
        <w:t> </w:t>
      </w:r>
      <w:r>
        <w:rPr/>
        <w:t>people?),</w:t>
      </w:r>
      <w:r>
        <w:rPr>
          <w:spacing w:val="-11"/>
        </w:rPr>
        <w:t> </w:t>
      </w:r>
      <w:r>
        <w:rPr/>
        <w:t>the</w:t>
      </w:r>
      <w:r>
        <w:rPr>
          <w:spacing w:val="-12"/>
        </w:rPr>
        <w:t> </w:t>
      </w:r>
      <w:r>
        <w:rPr/>
        <w:t>Haderheck</w:t>
      </w:r>
      <w:r>
        <w:rPr>
          <w:spacing w:val="-11"/>
        </w:rPr>
        <w:t> </w:t>
      </w:r>
      <w:r>
        <w:rPr/>
        <w:t>Spring</w:t>
      </w:r>
    </w:p>
    <w:p>
      <w:pPr>
        <w:spacing w:after="0" w:line="276" w:lineRule="auto"/>
        <w:jc w:val="both"/>
        <w:sectPr>
          <w:pgSz w:w="14270" w:h="16850"/>
          <w:pgMar w:header="0" w:footer="1891" w:top="1360" w:bottom="2080" w:left="800" w:right="1280"/>
        </w:sectPr>
      </w:pPr>
    </w:p>
    <w:p>
      <w:pPr>
        <w:pStyle w:val="BodyText"/>
        <w:spacing w:line="276" w:lineRule="auto" w:before="72"/>
        <w:ind w:left="616" w:right="133"/>
        <w:jc w:val="both"/>
      </w:pPr>
      <w:r>
        <w:rPr/>
        <w:t>and the Dunaris Spring in the Eifel mountains. The average intake of organic germanium varies according to diet between 1 and 3 mg/day, whereby a low- carbohydrate diet contains less germanium.</w:t>
      </w:r>
    </w:p>
    <w:p>
      <w:pPr>
        <w:spacing w:line="400" w:lineRule="auto" w:before="241"/>
        <w:ind w:left="616" w:right="2510" w:firstLine="0"/>
        <w:jc w:val="left"/>
        <w:rPr>
          <w:sz w:val="38"/>
        </w:rPr>
      </w:pPr>
      <w:r>
        <w:rPr>
          <w:b/>
          <w:sz w:val="38"/>
        </w:rPr>
        <w:t>Different germanium preparations on the market </w:t>
      </w:r>
      <w:r>
        <w:rPr>
          <w:b/>
          <w:i/>
          <w:sz w:val="40"/>
        </w:rPr>
        <w:t>Germanium preparations for internal consumption </w:t>
      </w:r>
      <w:r>
        <w:rPr>
          <w:sz w:val="38"/>
        </w:rPr>
        <w:t>Three kinds of organic germanium are offered on the market:</w:t>
      </w:r>
    </w:p>
    <w:p>
      <w:pPr>
        <w:pStyle w:val="ListParagraph"/>
        <w:numPr>
          <w:ilvl w:val="0"/>
          <w:numId w:val="91"/>
        </w:numPr>
        <w:tabs>
          <w:tab w:pos="1031" w:val="left" w:leader="none"/>
          <w:tab w:pos="1032" w:val="left" w:leader="none"/>
        </w:tabs>
        <w:spacing w:line="433" w:lineRule="exact" w:before="0" w:after="0"/>
        <w:ind w:left="1043" w:right="0" w:hanging="427"/>
        <w:jc w:val="left"/>
        <w:rPr>
          <w:sz w:val="38"/>
        </w:rPr>
      </w:pPr>
      <w:r>
        <w:rPr>
          <w:sz w:val="38"/>
        </w:rPr>
        <w:t>Carboxylethyl germanium sesquioxide (Dr. Asais</w:t>
      </w:r>
      <w:r>
        <w:rPr>
          <w:spacing w:val="-3"/>
          <w:sz w:val="38"/>
        </w:rPr>
        <w:t> </w:t>
      </w:r>
      <w:r>
        <w:rPr>
          <w:sz w:val="38"/>
        </w:rPr>
        <w:t>Ge-132)</w:t>
      </w:r>
    </w:p>
    <w:p>
      <w:pPr>
        <w:pStyle w:val="ListParagraph"/>
        <w:numPr>
          <w:ilvl w:val="0"/>
          <w:numId w:val="91"/>
        </w:numPr>
        <w:tabs>
          <w:tab w:pos="1031" w:val="left" w:leader="none"/>
          <w:tab w:pos="1032" w:val="left" w:leader="none"/>
        </w:tabs>
        <w:spacing w:line="240" w:lineRule="auto" w:before="184" w:after="0"/>
        <w:ind w:left="1043" w:right="0" w:hanging="427"/>
        <w:jc w:val="left"/>
        <w:rPr>
          <w:sz w:val="38"/>
        </w:rPr>
      </w:pPr>
      <w:r>
        <w:rPr>
          <w:sz w:val="38"/>
        </w:rPr>
        <w:t>Sanumgerman</w:t>
      </w:r>
    </w:p>
    <w:p>
      <w:pPr>
        <w:pStyle w:val="ListParagraph"/>
        <w:numPr>
          <w:ilvl w:val="0"/>
          <w:numId w:val="91"/>
        </w:numPr>
        <w:tabs>
          <w:tab w:pos="1031" w:val="left" w:leader="none"/>
          <w:tab w:pos="1032" w:val="left" w:leader="none"/>
        </w:tabs>
        <w:spacing w:line="240" w:lineRule="auto" w:before="183" w:after="0"/>
        <w:ind w:left="1043" w:right="0" w:hanging="427"/>
        <w:jc w:val="left"/>
        <w:rPr>
          <w:sz w:val="38"/>
        </w:rPr>
      </w:pPr>
      <w:r>
        <w:rPr>
          <w:sz w:val="38"/>
        </w:rPr>
        <w:t>Germanium</w:t>
      </w:r>
      <w:r>
        <w:rPr>
          <w:spacing w:val="-1"/>
          <w:sz w:val="38"/>
        </w:rPr>
        <w:t> </w:t>
      </w:r>
      <w:r>
        <w:rPr>
          <w:sz w:val="38"/>
        </w:rPr>
        <w:t>lactocitrate</w:t>
      </w:r>
    </w:p>
    <w:p>
      <w:pPr>
        <w:spacing w:line="273" w:lineRule="auto" w:before="285"/>
        <w:ind w:left="616" w:right="0" w:firstLine="0"/>
        <w:jc w:val="left"/>
        <w:rPr>
          <w:sz w:val="38"/>
        </w:rPr>
      </w:pPr>
      <w:r>
        <w:rPr>
          <w:b/>
          <w:i/>
          <w:sz w:val="40"/>
        </w:rPr>
        <w:t>Carboxylethyl germanium sesquioxide: </w:t>
      </w:r>
      <w:r>
        <w:rPr>
          <w:sz w:val="38"/>
        </w:rPr>
        <w:t>This preparation is the original from Dr. Asai, the discoverer of organic germanium.</w:t>
      </w:r>
    </w:p>
    <w:p>
      <w:pPr>
        <w:pStyle w:val="BodyText"/>
        <w:rPr>
          <w:sz w:val="42"/>
        </w:rPr>
      </w:pPr>
    </w:p>
    <w:p>
      <w:pPr>
        <w:pStyle w:val="BodyText"/>
        <w:rPr>
          <w:sz w:val="43"/>
        </w:rPr>
      </w:pPr>
    </w:p>
    <w:p>
      <w:pPr>
        <w:pStyle w:val="BodyText"/>
        <w:spacing w:line="273" w:lineRule="auto"/>
        <w:ind w:left="616" w:right="135"/>
        <w:jc w:val="both"/>
      </w:pPr>
      <w:r>
        <w:rPr>
          <w:b/>
          <w:i/>
          <w:sz w:val="40"/>
        </w:rPr>
        <w:t>Sanumgerman:</w:t>
      </w:r>
      <w:r>
        <w:rPr>
          <w:b/>
          <w:i/>
          <w:spacing w:val="-42"/>
          <w:sz w:val="40"/>
        </w:rPr>
        <w:t> </w:t>
      </w:r>
      <w:r>
        <w:rPr/>
        <w:t>Sanumgerman</w:t>
      </w:r>
      <w:r>
        <w:rPr>
          <w:spacing w:val="-39"/>
        </w:rPr>
        <w:t> </w:t>
      </w:r>
      <w:r>
        <w:rPr/>
        <w:t>is</w:t>
      </w:r>
      <w:r>
        <w:rPr>
          <w:spacing w:val="-38"/>
        </w:rPr>
        <w:t> </w:t>
      </w:r>
      <w:r>
        <w:rPr/>
        <w:t>an</w:t>
      </w:r>
      <w:r>
        <w:rPr>
          <w:spacing w:val="-39"/>
        </w:rPr>
        <w:t> </w:t>
      </w:r>
      <w:r>
        <w:rPr/>
        <w:t>organic</w:t>
      </w:r>
      <w:r>
        <w:rPr>
          <w:spacing w:val="-40"/>
        </w:rPr>
        <w:t> </w:t>
      </w:r>
      <w:r>
        <w:rPr/>
        <w:t>germanium</w:t>
      </w:r>
      <w:r>
        <w:rPr>
          <w:spacing w:val="-40"/>
        </w:rPr>
        <w:t> </w:t>
      </w:r>
      <w:r>
        <w:rPr/>
        <w:t>produced</w:t>
      </w:r>
      <w:r>
        <w:rPr>
          <w:spacing w:val="-39"/>
        </w:rPr>
        <w:t> </w:t>
      </w:r>
      <w:r>
        <w:rPr/>
        <w:t>by</w:t>
      </w:r>
      <w:r>
        <w:rPr>
          <w:spacing w:val="-39"/>
        </w:rPr>
        <w:t> </w:t>
      </w:r>
      <w:r>
        <w:rPr/>
        <w:t>the</w:t>
      </w:r>
      <w:r>
        <w:rPr>
          <w:spacing w:val="-38"/>
        </w:rPr>
        <w:t> </w:t>
      </w:r>
      <w:r>
        <w:rPr/>
        <w:t>Ger- man company Sanum-Kehlbeck which came to be in cooperation with Dr. Asai and can look back on a 30-year history of</w:t>
      </w:r>
      <w:r>
        <w:rPr>
          <w:spacing w:val="-2"/>
        </w:rPr>
        <w:t> </w:t>
      </w:r>
      <w:r>
        <w:rPr/>
        <w:t>use.</w:t>
      </w:r>
    </w:p>
    <w:p>
      <w:pPr>
        <w:pStyle w:val="BodyText"/>
        <w:spacing w:line="271" w:lineRule="auto" w:before="245"/>
        <w:ind w:left="616" w:right="133"/>
        <w:jc w:val="both"/>
      </w:pPr>
      <w:r>
        <w:rPr/>
        <w:t>It</w:t>
      </w:r>
      <w:r>
        <w:rPr>
          <w:spacing w:val="-10"/>
        </w:rPr>
        <w:t> </w:t>
      </w:r>
      <w:r>
        <w:rPr/>
        <w:t>seems</w:t>
      </w:r>
      <w:r>
        <w:rPr>
          <w:spacing w:val="-9"/>
        </w:rPr>
        <w:t> </w:t>
      </w:r>
      <w:r>
        <w:rPr/>
        <w:t>however</w:t>
      </w:r>
      <w:r>
        <w:rPr>
          <w:spacing w:val="-9"/>
        </w:rPr>
        <w:t> </w:t>
      </w:r>
      <w:r>
        <w:rPr/>
        <w:t>that</w:t>
      </w:r>
      <w:r>
        <w:rPr>
          <w:spacing w:val="-9"/>
        </w:rPr>
        <w:t> </w:t>
      </w:r>
      <w:r>
        <w:rPr/>
        <w:t>Sanum-Kehlbeck</w:t>
      </w:r>
      <w:r>
        <w:rPr>
          <w:spacing w:val="-9"/>
        </w:rPr>
        <w:t> </w:t>
      </w:r>
      <w:r>
        <w:rPr/>
        <w:t>today</w:t>
      </w:r>
      <w:r>
        <w:rPr>
          <w:spacing w:val="-8"/>
        </w:rPr>
        <w:t> </w:t>
      </w:r>
      <w:r>
        <w:rPr/>
        <w:t>only</w:t>
      </w:r>
      <w:r>
        <w:rPr>
          <w:spacing w:val="-10"/>
        </w:rPr>
        <w:t> </w:t>
      </w:r>
      <w:r>
        <w:rPr/>
        <w:t>produces</w:t>
      </w:r>
      <w:r>
        <w:rPr>
          <w:spacing w:val="-9"/>
        </w:rPr>
        <w:t> </w:t>
      </w:r>
      <w:r>
        <w:rPr/>
        <w:t>sanumgerman</w:t>
      </w:r>
      <w:r>
        <w:rPr>
          <w:spacing w:val="-9"/>
        </w:rPr>
        <w:t> </w:t>
      </w:r>
      <w:r>
        <w:rPr/>
        <w:t>in the</w:t>
      </w:r>
      <w:r>
        <w:rPr>
          <w:spacing w:val="-15"/>
        </w:rPr>
        <w:t> </w:t>
      </w:r>
      <w:r>
        <w:rPr/>
        <w:t>form</w:t>
      </w:r>
      <w:r>
        <w:rPr>
          <w:spacing w:val="-18"/>
        </w:rPr>
        <w:t> </w:t>
      </w:r>
      <w:r>
        <w:rPr/>
        <w:t>of</w:t>
      </w:r>
      <w:r>
        <w:rPr>
          <w:spacing w:val="-15"/>
        </w:rPr>
        <w:t> </w:t>
      </w:r>
      <w:r>
        <w:rPr/>
        <w:t>drops</w:t>
      </w:r>
      <w:r>
        <w:rPr>
          <w:spacing w:val="-16"/>
        </w:rPr>
        <w:t> </w:t>
      </w:r>
      <w:r>
        <w:rPr/>
        <w:t>which</w:t>
      </w:r>
      <w:r>
        <w:rPr>
          <w:spacing w:val="-14"/>
        </w:rPr>
        <w:t> </w:t>
      </w:r>
      <w:r>
        <w:rPr/>
        <w:t>are</w:t>
      </w:r>
      <w:r>
        <w:rPr>
          <w:spacing w:val="-16"/>
        </w:rPr>
        <w:t> </w:t>
      </w:r>
      <w:r>
        <w:rPr/>
        <w:t>declared</w:t>
      </w:r>
      <w:r>
        <w:rPr>
          <w:spacing w:val="-16"/>
        </w:rPr>
        <w:t> </w:t>
      </w:r>
      <w:r>
        <w:rPr/>
        <w:t>as</w:t>
      </w:r>
      <w:r>
        <w:rPr>
          <w:spacing w:val="-17"/>
        </w:rPr>
        <w:t> </w:t>
      </w:r>
      <w:r>
        <w:rPr/>
        <w:t>a</w:t>
      </w:r>
      <w:r>
        <w:rPr>
          <w:spacing w:val="-17"/>
        </w:rPr>
        <w:t> </w:t>
      </w:r>
      <w:r>
        <w:rPr/>
        <w:t>homeopathic</w:t>
      </w:r>
      <w:r>
        <w:rPr>
          <w:spacing w:val="-17"/>
        </w:rPr>
        <w:t> </w:t>
      </w:r>
      <w:r>
        <w:rPr/>
        <w:t>medicine</w:t>
      </w:r>
      <w:r>
        <w:rPr>
          <w:spacing w:val="-15"/>
        </w:rPr>
        <w:t> </w:t>
      </w:r>
      <w:r>
        <w:rPr/>
        <w:t>and</w:t>
      </w:r>
      <w:r>
        <w:rPr>
          <w:spacing w:val="-16"/>
        </w:rPr>
        <w:t> </w:t>
      </w:r>
      <w:r>
        <w:rPr/>
        <w:t>thus</w:t>
      </w:r>
      <w:r>
        <w:rPr>
          <w:spacing w:val="-15"/>
        </w:rPr>
        <w:t> </w:t>
      </w:r>
      <w:r>
        <w:rPr/>
        <w:t>able to be sold. Here it is important to note that Ge-132 contains the most</w:t>
      </w:r>
      <w:r>
        <w:rPr>
          <w:spacing w:val="-49"/>
        </w:rPr>
        <w:t> </w:t>
      </w:r>
      <w:r>
        <w:rPr/>
        <w:t>organic germanium</w:t>
      </w:r>
      <w:r>
        <w:rPr>
          <w:spacing w:val="-20"/>
        </w:rPr>
        <w:t> </w:t>
      </w:r>
      <w:r>
        <w:rPr/>
        <w:t>at</w:t>
      </w:r>
      <w:r>
        <w:rPr>
          <w:spacing w:val="-21"/>
        </w:rPr>
        <w:t> </w:t>
      </w:r>
      <w:r>
        <w:rPr/>
        <w:t>42</w:t>
      </w:r>
      <w:r>
        <w:rPr>
          <w:spacing w:val="-20"/>
        </w:rPr>
        <w:t> </w:t>
      </w:r>
      <w:r>
        <w:rPr/>
        <w:t>%,</w:t>
      </w:r>
      <w:r>
        <w:rPr>
          <w:spacing w:val="-19"/>
        </w:rPr>
        <w:t> </w:t>
      </w:r>
      <w:r>
        <w:rPr/>
        <w:t>followed</w:t>
      </w:r>
      <w:r>
        <w:rPr>
          <w:spacing w:val="-19"/>
        </w:rPr>
        <w:t> </w:t>
      </w:r>
      <w:r>
        <w:rPr/>
        <w:t>by</w:t>
      </w:r>
      <w:r>
        <w:rPr>
          <w:spacing w:val="-19"/>
        </w:rPr>
        <w:t> </w:t>
      </w:r>
      <w:r>
        <w:rPr/>
        <w:t>sanumgerman</w:t>
      </w:r>
      <w:r>
        <w:rPr>
          <w:spacing w:val="-21"/>
        </w:rPr>
        <w:t> </w:t>
      </w:r>
      <w:r>
        <w:rPr/>
        <w:t>at</w:t>
      </w:r>
      <w:r>
        <w:rPr>
          <w:spacing w:val="-21"/>
        </w:rPr>
        <w:t> </w:t>
      </w:r>
      <w:r>
        <w:rPr/>
        <w:t>17</w:t>
      </w:r>
      <w:r>
        <w:rPr>
          <w:spacing w:val="-20"/>
        </w:rPr>
        <w:t> </w:t>
      </w:r>
      <w:r>
        <w:rPr/>
        <w:t>%</w:t>
      </w:r>
      <w:r>
        <w:rPr>
          <w:spacing w:val="-20"/>
        </w:rPr>
        <w:t> </w:t>
      </w:r>
      <w:r>
        <w:rPr/>
        <w:t>and</w:t>
      </w:r>
      <w:r>
        <w:rPr>
          <w:spacing w:val="-18"/>
        </w:rPr>
        <w:t> </w:t>
      </w:r>
      <w:r>
        <w:rPr>
          <w:b/>
          <w:i/>
          <w:sz w:val="40"/>
        </w:rPr>
        <w:t>Germanium</w:t>
      </w:r>
      <w:r>
        <w:rPr>
          <w:b/>
          <w:i/>
          <w:spacing w:val="-26"/>
          <w:sz w:val="40"/>
        </w:rPr>
        <w:t> </w:t>
      </w:r>
      <w:r>
        <w:rPr>
          <w:b/>
          <w:i/>
          <w:sz w:val="40"/>
        </w:rPr>
        <w:t>lac- tocitrate </w:t>
      </w:r>
      <w:r>
        <w:rPr/>
        <w:t>with only 10</w:t>
      </w:r>
      <w:r>
        <w:rPr>
          <w:spacing w:val="-9"/>
        </w:rPr>
        <w:t> </w:t>
      </w:r>
      <w:r>
        <w:rPr/>
        <w:t>%.</w:t>
      </w:r>
    </w:p>
    <w:p>
      <w:pPr>
        <w:spacing w:after="0" w:line="271" w:lineRule="auto"/>
        <w:jc w:val="both"/>
        <w:sectPr>
          <w:pgSz w:w="14270" w:h="16850"/>
          <w:pgMar w:header="0" w:footer="1891" w:top="1340" w:bottom="2080" w:left="800" w:right="1280"/>
        </w:sectPr>
      </w:pPr>
    </w:p>
    <w:p>
      <w:pPr>
        <w:pStyle w:val="Heading1"/>
        <w:spacing w:before="77"/>
        <w:ind w:left="616"/>
      </w:pPr>
      <w:r>
        <w:rPr/>
        <w:t>Germanium products for external use</w:t>
      </w:r>
    </w:p>
    <w:p>
      <w:pPr>
        <w:pStyle w:val="BodyText"/>
        <w:spacing w:line="276" w:lineRule="auto" w:before="299"/>
        <w:ind w:left="616" w:right="131"/>
        <w:jc w:val="both"/>
      </w:pPr>
      <w:r>
        <w:rPr/>
        <w:t>Alongside the products which are officially prohibited in many countries for internal use, there are also products on the market for external application based</w:t>
      </w:r>
      <w:r>
        <w:rPr>
          <w:spacing w:val="-12"/>
        </w:rPr>
        <w:t> </w:t>
      </w:r>
      <w:r>
        <w:rPr/>
        <w:t>on</w:t>
      </w:r>
      <w:r>
        <w:rPr>
          <w:spacing w:val="-13"/>
        </w:rPr>
        <w:t> </w:t>
      </w:r>
      <w:r>
        <w:rPr/>
        <w:t>organic</w:t>
      </w:r>
      <w:r>
        <w:rPr>
          <w:spacing w:val="-12"/>
        </w:rPr>
        <w:t> </w:t>
      </w:r>
      <w:r>
        <w:rPr/>
        <w:t>germanium.</w:t>
      </w:r>
      <w:r>
        <w:rPr>
          <w:spacing w:val="-11"/>
        </w:rPr>
        <w:t> </w:t>
      </w:r>
      <w:r>
        <w:rPr/>
        <w:t>These</w:t>
      </w:r>
      <w:r>
        <w:rPr>
          <w:spacing w:val="-12"/>
        </w:rPr>
        <w:t> </w:t>
      </w:r>
      <w:r>
        <w:rPr/>
        <w:t>products</w:t>
      </w:r>
      <w:r>
        <w:rPr>
          <w:spacing w:val="-12"/>
        </w:rPr>
        <w:t> </w:t>
      </w:r>
      <w:r>
        <w:rPr/>
        <w:t>are</w:t>
      </w:r>
      <w:r>
        <w:rPr>
          <w:spacing w:val="-11"/>
        </w:rPr>
        <w:t> </w:t>
      </w:r>
      <w:r>
        <w:rPr/>
        <w:t>legally</w:t>
      </w:r>
      <w:r>
        <w:rPr>
          <w:spacing w:val="-13"/>
        </w:rPr>
        <w:t> </w:t>
      </w:r>
      <w:r>
        <w:rPr/>
        <w:t>available,</w:t>
      </w:r>
      <w:r>
        <w:rPr>
          <w:spacing w:val="-12"/>
        </w:rPr>
        <w:t> </w:t>
      </w:r>
      <w:r>
        <w:rPr/>
        <w:t>even</w:t>
      </w:r>
      <w:r>
        <w:rPr>
          <w:spacing w:val="-11"/>
        </w:rPr>
        <w:t> </w:t>
      </w:r>
      <w:r>
        <w:rPr/>
        <w:t>if</w:t>
      </w:r>
      <w:r>
        <w:rPr>
          <w:spacing w:val="-15"/>
        </w:rPr>
        <w:t> </w:t>
      </w:r>
      <w:r>
        <w:rPr/>
        <w:t>their declaration is not allowed to show any healing or health-promoting effects. They are generally cosmetics and body care</w:t>
      </w:r>
      <w:r>
        <w:rPr>
          <w:spacing w:val="-5"/>
        </w:rPr>
        <w:t> </w:t>
      </w:r>
      <w:r>
        <w:rPr/>
        <w:t>products.</w:t>
      </w:r>
    </w:p>
    <w:p>
      <w:pPr>
        <w:pStyle w:val="Heading2"/>
        <w:spacing w:before="238"/>
        <w:ind w:left="616"/>
      </w:pPr>
      <w:r>
        <w:rPr/>
        <w:t>Organic germanium – dosage</w:t>
      </w:r>
    </w:p>
    <w:p>
      <w:pPr>
        <w:pStyle w:val="BodyText"/>
        <w:spacing w:line="276" w:lineRule="auto" w:before="304"/>
        <w:ind w:left="616" w:right="133"/>
        <w:jc w:val="both"/>
      </w:pPr>
      <w:r>
        <w:rPr/>
        <w:t>The</w:t>
      </w:r>
      <w:r>
        <w:rPr>
          <w:spacing w:val="-19"/>
        </w:rPr>
        <w:t> </w:t>
      </w:r>
      <w:r>
        <w:rPr/>
        <w:t>usual</w:t>
      </w:r>
      <w:r>
        <w:rPr>
          <w:spacing w:val="-20"/>
        </w:rPr>
        <w:t> </w:t>
      </w:r>
      <w:r>
        <w:rPr/>
        <w:t>recommendation</w:t>
      </w:r>
      <w:r>
        <w:rPr>
          <w:spacing w:val="-18"/>
        </w:rPr>
        <w:t> </w:t>
      </w:r>
      <w:r>
        <w:rPr/>
        <w:t>for</w:t>
      </w:r>
      <w:r>
        <w:rPr>
          <w:spacing w:val="-17"/>
        </w:rPr>
        <w:t> </w:t>
      </w:r>
      <w:r>
        <w:rPr/>
        <w:t>organic</w:t>
      </w:r>
      <w:r>
        <w:rPr>
          <w:spacing w:val="-19"/>
        </w:rPr>
        <w:t> </w:t>
      </w:r>
      <w:r>
        <w:rPr/>
        <w:t>germanium</w:t>
      </w:r>
      <w:r>
        <w:rPr>
          <w:spacing w:val="-19"/>
        </w:rPr>
        <w:t> </w:t>
      </w:r>
      <w:r>
        <w:rPr/>
        <w:t>(Ge-132</w:t>
      </w:r>
      <w:r>
        <w:rPr>
          <w:spacing w:val="-20"/>
        </w:rPr>
        <w:t> </w:t>
      </w:r>
      <w:r>
        <w:rPr/>
        <w:t>or</w:t>
      </w:r>
      <w:r>
        <w:rPr>
          <w:spacing w:val="-18"/>
        </w:rPr>
        <w:t> </w:t>
      </w:r>
      <w:r>
        <w:rPr/>
        <w:t>Sanumgerman) generally lies between 20–1500 mg per day, although 20mg is the minimum limit</w:t>
      </w:r>
      <w:r>
        <w:rPr>
          <w:spacing w:val="-19"/>
        </w:rPr>
        <w:t> </w:t>
      </w:r>
      <w:r>
        <w:rPr/>
        <w:t>for</w:t>
      </w:r>
      <w:r>
        <w:rPr>
          <w:spacing w:val="-16"/>
        </w:rPr>
        <w:t> </w:t>
      </w:r>
      <w:r>
        <w:rPr/>
        <w:t>achieving</w:t>
      </w:r>
      <w:r>
        <w:rPr>
          <w:spacing w:val="-17"/>
        </w:rPr>
        <w:t> </w:t>
      </w:r>
      <w:r>
        <w:rPr/>
        <w:t>any</w:t>
      </w:r>
      <w:r>
        <w:rPr>
          <w:spacing w:val="-20"/>
        </w:rPr>
        <w:t> </w:t>
      </w:r>
      <w:r>
        <w:rPr/>
        <w:t>effects.</w:t>
      </w:r>
      <w:r>
        <w:rPr>
          <w:spacing w:val="-17"/>
        </w:rPr>
        <w:t> </w:t>
      </w:r>
      <w:r>
        <w:rPr/>
        <w:t>Severe</w:t>
      </w:r>
      <w:r>
        <w:rPr>
          <w:spacing w:val="-17"/>
        </w:rPr>
        <w:t> </w:t>
      </w:r>
      <w:r>
        <w:rPr/>
        <w:t>illnesses</w:t>
      </w:r>
      <w:r>
        <w:rPr>
          <w:spacing w:val="-19"/>
        </w:rPr>
        <w:t> </w:t>
      </w:r>
      <w:r>
        <w:rPr/>
        <w:t>require</w:t>
      </w:r>
      <w:r>
        <w:rPr>
          <w:spacing w:val="-17"/>
        </w:rPr>
        <w:t> </w:t>
      </w:r>
      <w:r>
        <w:rPr/>
        <w:t>a</w:t>
      </w:r>
      <w:r>
        <w:rPr>
          <w:spacing w:val="-18"/>
        </w:rPr>
        <w:t> </w:t>
      </w:r>
      <w:r>
        <w:rPr/>
        <w:t>higher</w:t>
      </w:r>
      <w:r>
        <w:rPr>
          <w:spacing w:val="-19"/>
        </w:rPr>
        <w:t> </w:t>
      </w:r>
      <w:r>
        <w:rPr/>
        <w:t>dosage</w:t>
      </w:r>
      <w:r>
        <w:rPr>
          <w:spacing w:val="-17"/>
        </w:rPr>
        <w:t> </w:t>
      </w:r>
      <w:r>
        <w:rPr/>
        <w:t>and</w:t>
      </w:r>
      <w:r>
        <w:rPr>
          <w:spacing w:val="-19"/>
        </w:rPr>
        <w:t> </w:t>
      </w:r>
      <w:r>
        <w:rPr/>
        <w:t>vary between 1000–5000 mg, although the European norm prescribes 200–1200 mg per day of organic</w:t>
      </w:r>
      <w:r>
        <w:rPr>
          <w:spacing w:val="-3"/>
        </w:rPr>
        <w:t> </w:t>
      </w:r>
      <w:r>
        <w:rPr/>
        <w:t>germanium.</w:t>
      </w: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spacing w:before="2"/>
        <w:rPr>
          <w:sz w:val="51"/>
        </w:rPr>
      </w:pPr>
    </w:p>
    <w:p>
      <w:pPr>
        <w:pStyle w:val="Heading1"/>
        <w:spacing w:line="264" w:lineRule="auto" w:before="0"/>
        <w:ind w:left="616" w:right="143"/>
        <w:jc w:val="both"/>
      </w:pPr>
      <w:r>
        <w:rPr/>
        <w:t>Organic</w:t>
      </w:r>
      <w:r>
        <w:rPr>
          <w:spacing w:val="-15"/>
        </w:rPr>
        <w:t> </w:t>
      </w:r>
      <w:r>
        <w:rPr/>
        <w:t>germanium</w:t>
      </w:r>
      <w:r>
        <w:rPr>
          <w:spacing w:val="-14"/>
        </w:rPr>
        <w:t> </w:t>
      </w:r>
      <w:r>
        <w:rPr/>
        <w:t>dosage</w:t>
      </w:r>
      <w:r>
        <w:rPr>
          <w:spacing w:val="-16"/>
        </w:rPr>
        <w:t> </w:t>
      </w:r>
      <w:r>
        <w:rPr/>
        <w:t>table</w:t>
      </w:r>
      <w:r>
        <w:rPr>
          <w:spacing w:val="-16"/>
        </w:rPr>
        <w:t> </w:t>
      </w:r>
      <w:r>
        <w:rPr/>
        <w:t>(according</w:t>
      </w:r>
      <w:r>
        <w:rPr>
          <w:spacing w:val="-14"/>
        </w:rPr>
        <w:t> </w:t>
      </w:r>
      <w:r>
        <w:rPr/>
        <w:t>to</w:t>
      </w:r>
      <w:r>
        <w:rPr>
          <w:spacing w:val="-16"/>
        </w:rPr>
        <w:t> </w:t>
      </w:r>
      <w:r>
        <w:rPr/>
        <w:t>Dr.</w:t>
      </w:r>
      <w:r>
        <w:rPr>
          <w:spacing w:val="-16"/>
        </w:rPr>
        <w:t> </w:t>
      </w:r>
      <w:r>
        <w:rPr/>
        <w:t>Asai</w:t>
      </w:r>
      <w:r>
        <w:rPr>
          <w:spacing w:val="-14"/>
        </w:rPr>
        <w:t> </w:t>
      </w:r>
      <w:r>
        <w:rPr/>
        <w:t>or</w:t>
      </w:r>
      <w:r>
        <w:rPr>
          <w:spacing w:val="-16"/>
        </w:rPr>
        <w:t> </w:t>
      </w:r>
      <w:r>
        <w:rPr/>
        <w:t>Dr.</w:t>
      </w:r>
      <w:r>
        <w:rPr>
          <w:spacing w:val="-16"/>
        </w:rPr>
        <w:t> </w:t>
      </w:r>
      <w:r>
        <w:rPr/>
        <w:t>Oka- zawa and Dr. Tanaka and Dr.</w:t>
      </w:r>
      <w:r>
        <w:rPr>
          <w:spacing w:val="-65"/>
        </w:rPr>
        <w:t> </w:t>
      </w:r>
      <w:r>
        <w:rPr/>
        <w:t>Okazawa):</w:t>
      </w:r>
    </w:p>
    <w:p>
      <w:pPr>
        <w:spacing w:after="0" w:line="264" w:lineRule="auto"/>
        <w:jc w:val="both"/>
        <w:sectPr>
          <w:footerReference w:type="default" r:id="rId282"/>
          <w:pgSz w:w="14270" w:h="16850"/>
          <w:pgMar w:footer="404" w:header="0" w:top="1320" w:bottom="600" w:left="800" w:right="1280"/>
          <w:pgNumType w:start="1180"/>
        </w:sectPr>
      </w:pPr>
    </w:p>
    <w:p>
      <w:pPr>
        <w:pStyle w:val="BodyText"/>
        <w:rPr>
          <w:rFonts w:ascii="Times New Roman"/>
          <w:sz w:val="20"/>
        </w:rPr>
      </w:pPr>
    </w:p>
    <w:p>
      <w:pPr>
        <w:pStyle w:val="BodyText"/>
        <w:spacing w:before="3"/>
        <w:rPr>
          <w:rFonts w:ascii="Times New Roman"/>
          <w:sz w:val="24"/>
        </w:r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20"/>
        <w:gridCol w:w="4993"/>
      </w:tblGrid>
      <w:tr>
        <w:trPr>
          <w:trHeight w:val="2154" w:hRule="atLeast"/>
        </w:trPr>
        <w:tc>
          <w:tcPr>
            <w:tcW w:w="4220" w:type="dxa"/>
            <w:shd w:val="clear" w:color="auto" w:fill="8DB3E1"/>
          </w:tcPr>
          <w:p>
            <w:pPr>
              <w:pStyle w:val="TableParagraph"/>
              <w:spacing w:before="238"/>
              <w:ind w:left="248" w:right="239"/>
              <w:jc w:val="center"/>
              <w:rPr>
                <w:b/>
                <w:sz w:val="38"/>
              </w:rPr>
            </w:pPr>
            <w:r>
              <w:rPr>
                <w:b/>
                <w:sz w:val="38"/>
              </w:rPr>
              <w:t>ILLNESS</w:t>
            </w:r>
          </w:p>
        </w:tc>
        <w:tc>
          <w:tcPr>
            <w:tcW w:w="4993" w:type="dxa"/>
            <w:shd w:val="clear" w:color="auto" w:fill="8DB3E1"/>
          </w:tcPr>
          <w:p>
            <w:pPr>
              <w:pStyle w:val="TableParagraph"/>
              <w:spacing w:line="278" w:lineRule="auto" w:before="236"/>
              <w:ind w:left="288" w:right="278"/>
              <w:jc w:val="center"/>
              <w:rPr>
                <w:b/>
                <w:sz w:val="38"/>
              </w:rPr>
            </w:pPr>
            <w:r>
              <w:rPr>
                <w:b/>
                <w:sz w:val="38"/>
              </w:rPr>
              <w:t>DOSAGE FOR ORGANIC GERMANIUM</w:t>
            </w:r>
          </w:p>
          <w:p>
            <w:pPr>
              <w:pStyle w:val="TableParagraph"/>
              <w:spacing w:before="232"/>
              <w:ind w:left="284" w:right="281"/>
              <w:jc w:val="center"/>
              <w:rPr>
                <w:b/>
                <w:sz w:val="38"/>
              </w:rPr>
            </w:pPr>
            <w:r>
              <w:rPr>
                <w:b/>
                <w:sz w:val="38"/>
              </w:rPr>
              <w:t>(Ge-132)/day</w:t>
            </w:r>
          </w:p>
        </w:tc>
      </w:tr>
      <w:tr>
        <w:trPr>
          <w:trHeight w:val="1663" w:hRule="atLeast"/>
        </w:trPr>
        <w:tc>
          <w:tcPr>
            <w:tcW w:w="4220" w:type="dxa"/>
          </w:tcPr>
          <w:p>
            <w:pPr>
              <w:pStyle w:val="TableParagraph"/>
              <w:spacing w:before="238"/>
              <w:ind w:left="249" w:right="238"/>
              <w:jc w:val="center"/>
              <w:rPr>
                <w:sz w:val="38"/>
              </w:rPr>
            </w:pPr>
            <w:r>
              <w:rPr>
                <w:sz w:val="38"/>
              </w:rPr>
              <w:t>Nephrosis</w:t>
            </w:r>
          </w:p>
        </w:tc>
        <w:tc>
          <w:tcPr>
            <w:tcW w:w="4993" w:type="dxa"/>
          </w:tcPr>
          <w:p>
            <w:pPr>
              <w:pStyle w:val="TableParagraph"/>
              <w:spacing w:before="238"/>
              <w:ind w:left="288" w:right="281"/>
              <w:jc w:val="center"/>
              <w:rPr>
                <w:sz w:val="38"/>
              </w:rPr>
            </w:pPr>
            <w:r>
              <w:rPr>
                <w:sz w:val="38"/>
              </w:rPr>
              <w:t>3 x 30 mg per kg body weight</w:t>
            </w:r>
          </w:p>
        </w:tc>
      </w:tr>
      <w:tr>
        <w:trPr>
          <w:trHeight w:val="1662" w:hRule="atLeast"/>
        </w:trPr>
        <w:tc>
          <w:tcPr>
            <w:tcW w:w="4220" w:type="dxa"/>
          </w:tcPr>
          <w:p>
            <w:pPr>
              <w:pStyle w:val="TableParagraph"/>
              <w:spacing w:before="238"/>
              <w:ind w:left="249" w:right="238"/>
              <w:jc w:val="center"/>
              <w:rPr>
                <w:sz w:val="38"/>
              </w:rPr>
            </w:pPr>
            <w:r>
              <w:rPr>
                <w:sz w:val="38"/>
              </w:rPr>
              <w:t>Prostate problems</w:t>
            </w:r>
          </w:p>
        </w:tc>
        <w:tc>
          <w:tcPr>
            <w:tcW w:w="4993" w:type="dxa"/>
          </w:tcPr>
          <w:p>
            <w:pPr>
              <w:pStyle w:val="TableParagraph"/>
              <w:spacing w:before="238"/>
              <w:ind w:left="286" w:right="281"/>
              <w:jc w:val="center"/>
              <w:rPr>
                <w:sz w:val="38"/>
              </w:rPr>
            </w:pPr>
            <w:r>
              <w:rPr>
                <w:sz w:val="38"/>
              </w:rPr>
              <w:t>800 mg</w:t>
            </w:r>
          </w:p>
        </w:tc>
      </w:tr>
      <w:tr>
        <w:trPr>
          <w:trHeight w:val="1663" w:hRule="atLeast"/>
        </w:trPr>
        <w:tc>
          <w:tcPr>
            <w:tcW w:w="4220" w:type="dxa"/>
          </w:tcPr>
          <w:p>
            <w:pPr>
              <w:pStyle w:val="TableParagraph"/>
              <w:spacing w:before="238"/>
              <w:ind w:left="248" w:right="239"/>
              <w:jc w:val="center"/>
              <w:rPr>
                <w:sz w:val="38"/>
              </w:rPr>
            </w:pPr>
            <w:r>
              <w:rPr>
                <w:sz w:val="38"/>
              </w:rPr>
              <w:t>Atopic dermatitis</w:t>
            </w:r>
          </w:p>
        </w:tc>
        <w:tc>
          <w:tcPr>
            <w:tcW w:w="4993" w:type="dxa"/>
          </w:tcPr>
          <w:p>
            <w:pPr>
              <w:pStyle w:val="TableParagraph"/>
              <w:spacing w:before="238"/>
              <w:ind w:left="288" w:right="281"/>
              <w:jc w:val="center"/>
              <w:rPr>
                <w:sz w:val="38"/>
              </w:rPr>
            </w:pPr>
            <w:r>
              <w:rPr>
                <w:sz w:val="38"/>
              </w:rPr>
              <w:t>4 x 20 mg per kg body weight</w:t>
            </w:r>
          </w:p>
        </w:tc>
      </w:tr>
      <w:tr>
        <w:trPr>
          <w:trHeight w:val="1662" w:hRule="atLeast"/>
        </w:trPr>
        <w:tc>
          <w:tcPr>
            <w:tcW w:w="4220" w:type="dxa"/>
          </w:tcPr>
          <w:p>
            <w:pPr>
              <w:pStyle w:val="TableParagraph"/>
              <w:spacing w:before="238"/>
              <w:ind w:left="249" w:right="239"/>
              <w:jc w:val="center"/>
              <w:rPr>
                <w:sz w:val="38"/>
              </w:rPr>
            </w:pPr>
            <w:r>
              <w:rPr>
                <w:sz w:val="38"/>
              </w:rPr>
              <w:t>Kashin–Beck disease</w:t>
            </w:r>
          </w:p>
        </w:tc>
        <w:tc>
          <w:tcPr>
            <w:tcW w:w="4993" w:type="dxa"/>
          </w:tcPr>
          <w:p>
            <w:pPr>
              <w:pStyle w:val="TableParagraph"/>
              <w:spacing w:before="238"/>
              <w:ind w:left="2143"/>
              <w:rPr>
                <w:sz w:val="38"/>
              </w:rPr>
            </w:pPr>
            <w:r>
              <w:rPr>
                <w:sz w:val="38"/>
              </w:rPr>
              <w:t>1.5 g</w:t>
            </w:r>
          </w:p>
        </w:tc>
      </w:tr>
      <w:tr>
        <w:trPr>
          <w:trHeight w:val="1665" w:hRule="atLeast"/>
        </w:trPr>
        <w:tc>
          <w:tcPr>
            <w:tcW w:w="4220" w:type="dxa"/>
          </w:tcPr>
          <w:p>
            <w:pPr>
              <w:pStyle w:val="TableParagraph"/>
              <w:spacing w:before="241"/>
              <w:ind w:left="249" w:right="239"/>
              <w:jc w:val="center"/>
              <w:rPr>
                <w:sz w:val="38"/>
              </w:rPr>
            </w:pPr>
            <w:r>
              <w:rPr>
                <w:sz w:val="38"/>
              </w:rPr>
              <w:t>Cerebellum degeneration</w:t>
            </w:r>
          </w:p>
        </w:tc>
        <w:tc>
          <w:tcPr>
            <w:tcW w:w="4993" w:type="dxa"/>
          </w:tcPr>
          <w:p>
            <w:pPr>
              <w:pStyle w:val="TableParagraph"/>
              <w:spacing w:before="241"/>
              <w:ind w:left="288" w:right="281"/>
              <w:jc w:val="center"/>
              <w:rPr>
                <w:sz w:val="38"/>
              </w:rPr>
            </w:pPr>
            <w:r>
              <w:rPr>
                <w:sz w:val="38"/>
              </w:rPr>
              <w:t>2 x 40 mg per kg body weight</w:t>
            </w:r>
          </w:p>
        </w:tc>
      </w:tr>
    </w:tbl>
    <w:p>
      <w:pPr>
        <w:spacing w:after="0"/>
        <w:jc w:val="center"/>
        <w:rPr>
          <w:sz w:val="38"/>
        </w:rPr>
        <w:sectPr>
          <w:pgSz w:w="14270" w:h="16850"/>
          <w:pgMar w:header="0" w:footer="404" w:top="1600" w:bottom="600" w:left="800" w:right="1280"/>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20"/>
        <w:gridCol w:w="4993"/>
      </w:tblGrid>
      <w:tr>
        <w:trPr>
          <w:trHeight w:val="1665" w:hRule="atLeast"/>
        </w:trPr>
        <w:tc>
          <w:tcPr>
            <w:tcW w:w="4220" w:type="dxa"/>
          </w:tcPr>
          <w:p>
            <w:pPr>
              <w:pStyle w:val="TableParagraph"/>
              <w:spacing w:before="236"/>
              <w:ind w:left="249" w:right="238"/>
              <w:jc w:val="center"/>
              <w:rPr>
                <w:sz w:val="38"/>
              </w:rPr>
            </w:pPr>
            <w:r>
              <w:rPr>
                <w:sz w:val="38"/>
              </w:rPr>
              <w:t>Subacute neuropathy</w:t>
            </w:r>
          </w:p>
        </w:tc>
        <w:tc>
          <w:tcPr>
            <w:tcW w:w="4993" w:type="dxa"/>
          </w:tcPr>
          <w:p>
            <w:pPr>
              <w:pStyle w:val="TableParagraph"/>
              <w:spacing w:before="236"/>
              <w:ind w:left="288" w:right="281"/>
              <w:jc w:val="center"/>
              <w:rPr>
                <w:sz w:val="38"/>
              </w:rPr>
            </w:pPr>
            <w:r>
              <w:rPr>
                <w:sz w:val="38"/>
              </w:rPr>
              <w:t>2 x 40 mg per kg body weight</w:t>
            </w:r>
          </w:p>
        </w:tc>
      </w:tr>
      <w:tr>
        <w:trPr>
          <w:trHeight w:val="2155" w:hRule="atLeast"/>
        </w:trPr>
        <w:tc>
          <w:tcPr>
            <w:tcW w:w="4220" w:type="dxa"/>
          </w:tcPr>
          <w:p>
            <w:pPr>
              <w:pStyle w:val="TableParagraph"/>
              <w:spacing w:line="278" w:lineRule="auto" w:before="231"/>
              <w:ind w:left="1420" w:right="210" w:hanging="1121"/>
              <w:rPr>
                <w:sz w:val="38"/>
              </w:rPr>
            </w:pPr>
            <w:r>
              <w:rPr>
                <w:sz w:val="38"/>
              </w:rPr>
              <w:t>Retrobulbar neuritis/full blindness</w:t>
            </w:r>
          </w:p>
        </w:tc>
        <w:tc>
          <w:tcPr>
            <w:tcW w:w="4993" w:type="dxa"/>
          </w:tcPr>
          <w:p>
            <w:pPr>
              <w:pStyle w:val="TableParagraph"/>
              <w:spacing w:line="278" w:lineRule="auto" w:before="231"/>
              <w:ind w:left="909" w:right="108" w:hanging="776"/>
              <w:rPr>
                <w:sz w:val="38"/>
              </w:rPr>
            </w:pPr>
            <w:r>
              <w:rPr>
                <w:sz w:val="38"/>
              </w:rPr>
              <w:t>2 x 40 mg per kg body weight + germanium eye drops</w:t>
            </w:r>
          </w:p>
        </w:tc>
      </w:tr>
      <w:tr>
        <w:trPr>
          <w:trHeight w:val="1422" w:hRule="atLeast"/>
        </w:trPr>
        <w:tc>
          <w:tcPr>
            <w:tcW w:w="4220" w:type="dxa"/>
          </w:tcPr>
          <w:p>
            <w:pPr>
              <w:pStyle w:val="TableParagraph"/>
              <w:spacing w:line="278" w:lineRule="auto" w:before="231"/>
              <w:ind w:left="1742" w:right="210" w:hanging="1503"/>
              <w:rPr>
                <w:sz w:val="38"/>
              </w:rPr>
            </w:pPr>
            <w:r>
              <w:rPr>
                <w:sz w:val="38"/>
              </w:rPr>
              <w:t>Extreme pain (e.g. cancer pain)</w:t>
            </w:r>
          </w:p>
        </w:tc>
        <w:tc>
          <w:tcPr>
            <w:tcW w:w="4993" w:type="dxa"/>
          </w:tcPr>
          <w:p>
            <w:pPr>
              <w:pStyle w:val="TableParagraph"/>
              <w:spacing w:before="234"/>
              <w:ind w:left="288" w:right="281"/>
              <w:jc w:val="center"/>
              <w:rPr>
                <w:sz w:val="38"/>
              </w:rPr>
            </w:pPr>
            <w:r>
              <w:rPr>
                <w:sz w:val="38"/>
              </w:rPr>
              <w:t>3-4 g</w:t>
            </w:r>
          </w:p>
        </w:tc>
      </w:tr>
      <w:tr>
        <w:trPr>
          <w:trHeight w:val="1914" w:hRule="atLeast"/>
        </w:trPr>
        <w:tc>
          <w:tcPr>
            <w:tcW w:w="4220" w:type="dxa"/>
          </w:tcPr>
          <w:p>
            <w:pPr>
              <w:pStyle w:val="TableParagraph"/>
              <w:spacing w:line="276" w:lineRule="auto" w:before="231"/>
              <w:ind w:left="136" w:right="104" w:firstLine="283"/>
              <w:rPr>
                <w:sz w:val="38"/>
              </w:rPr>
            </w:pPr>
            <w:r>
              <w:rPr>
                <w:sz w:val="38"/>
              </w:rPr>
              <w:t>Hepatoma – benignant liver cell adenoma and ma- lignant liver cell carcinoma</w:t>
            </w:r>
          </w:p>
        </w:tc>
        <w:tc>
          <w:tcPr>
            <w:tcW w:w="4993" w:type="dxa"/>
          </w:tcPr>
          <w:p>
            <w:pPr>
              <w:pStyle w:val="TableParagraph"/>
              <w:spacing w:line="278" w:lineRule="auto" w:before="231"/>
              <w:ind w:left="594" w:right="108" w:hanging="461"/>
              <w:rPr>
                <w:sz w:val="38"/>
              </w:rPr>
            </w:pPr>
            <w:r>
              <w:rPr>
                <w:sz w:val="38"/>
              </w:rPr>
              <w:t>3 x 35 mg per kg body weight + suppositories + injections</w:t>
            </w:r>
          </w:p>
        </w:tc>
      </w:tr>
      <w:tr>
        <w:trPr>
          <w:trHeight w:val="1663" w:hRule="atLeast"/>
        </w:trPr>
        <w:tc>
          <w:tcPr>
            <w:tcW w:w="4220" w:type="dxa"/>
          </w:tcPr>
          <w:p>
            <w:pPr>
              <w:pStyle w:val="TableParagraph"/>
              <w:spacing w:before="234"/>
              <w:ind w:left="247" w:right="239"/>
              <w:jc w:val="center"/>
              <w:rPr>
                <w:sz w:val="38"/>
              </w:rPr>
            </w:pPr>
            <w:r>
              <w:rPr>
                <w:sz w:val="38"/>
              </w:rPr>
              <w:t>Leukaemia</w:t>
            </w:r>
          </w:p>
        </w:tc>
        <w:tc>
          <w:tcPr>
            <w:tcW w:w="4993" w:type="dxa"/>
          </w:tcPr>
          <w:p>
            <w:pPr>
              <w:pStyle w:val="TableParagraph"/>
              <w:spacing w:before="234"/>
              <w:ind w:left="286" w:right="281"/>
              <w:jc w:val="center"/>
              <w:rPr>
                <w:sz w:val="38"/>
              </w:rPr>
            </w:pPr>
            <w:r>
              <w:rPr>
                <w:sz w:val="38"/>
              </w:rPr>
              <w:t>500 mg</w:t>
            </w:r>
          </w:p>
        </w:tc>
      </w:tr>
      <w:tr>
        <w:trPr>
          <w:trHeight w:val="933" w:hRule="atLeast"/>
        </w:trPr>
        <w:tc>
          <w:tcPr>
            <w:tcW w:w="4220" w:type="dxa"/>
          </w:tcPr>
          <w:p>
            <w:pPr>
              <w:pStyle w:val="TableParagraph"/>
              <w:spacing w:before="234"/>
              <w:ind w:left="247" w:right="239"/>
              <w:jc w:val="center"/>
              <w:rPr>
                <w:sz w:val="38"/>
              </w:rPr>
            </w:pPr>
            <w:r>
              <w:rPr>
                <w:sz w:val="38"/>
              </w:rPr>
              <w:t>Preventing metastases</w:t>
            </w:r>
          </w:p>
        </w:tc>
        <w:tc>
          <w:tcPr>
            <w:tcW w:w="4993" w:type="dxa"/>
          </w:tcPr>
          <w:p>
            <w:pPr>
              <w:pStyle w:val="TableParagraph"/>
              <w:spacing w:before="234"/>
              <w:ind w:left="287" w:right="281"/>
              <w:jc w:val="center"/>
              <w:rPr>
                <w:sz w:val="38"/>
              </w:rPr>
            </w:pPr>
            <w:r>
              <w:rPr>
                <w:sz w:val="38"/>
              </w:rPr>
              <w:t>500mg</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2"/>
        <w:spacing w:before="274"/>
        <w:ind w:left="616"/>
      </w:pPr>
      <w:r>
        <w:rPr/>
        <w:t>Does organic germanium have side effects – is it poisonous?</w:t>
      </w:r>
    </w:p>
    <w:p>
      <w:pPr>
        <w:spacing w:after="0"/>
        <w:sectPr>
          <w:pgSz w:w="14270" w:h="16850"/>
          <w:pgMar w:header="0" w:footer="404" w:top="1420" w:bottom="600" w:left="800" w:right="1280"/>
        </w:sectPr>
      </w:pPr>
    </w:p>
    <w:p>
      <w:pPr>
        <w:pStyle w:val="BodyText"/>
        <w:spacing w:line="276" w:lineRule="auto" w:before="72"/>
        <w:ind w:left="616" w:right="132"/>
        <w:jc w:val="both"/>
      </w:pPr>
      <w:r>
        <w:rPr/>
        <w:t>It is crucial, even essential for survival, to distinguish between </w:t>
      </w:r>
      <w:r>
        <w:rPr>
          <w:u w:val="single"/>
        </w:rPr>
        <w:t>organic</w:t>
      </w:r>
      <w:r>
        <w:rPr/>
        <w:t> germa- nium</w:t>
      </w:r>
      <w:r>
        <w:rPr>
          <w:spacing w:val="-16"/>
        </w:rPr>
        <w:t> </w:t>
      </w:r>
      <w:r>
        <w:rPr/>
        <w:t>and</w:t>
      </w:r>
      <w:r>
        <w:rPr>
          <w:spacing w:val="-14"/>
        </w:rPr>
        <w:t> </w:t>
      </w:r>
      <w:r>
        <w:rPr>
          <w:u w:val="single"/>
        </w:rPr>
        <w:t>inorganic</w:t>
      </w:r>
      <w:r>
        <w:rPr>
          <w:spacing w:val="-14"/>
        </w:rPr>
        <w:t> </w:t>
      </w:r>
      <w:r>
        <w:rPr/>
        <w:t>germanium.</w:t>
      </w:r>
      <w:r>
        <w:rPr>
          <w:spacing w:val="-16"/>
        </w:rPr>
        <w:t> </w:t>
      </w:r>
      <w:r>
        <w:rPr/>
        <w:t>All</w:t>
      </w:r>
      <w:r>
        <w:rPr>
          <w:spacing w:val="-17"/>
        </w:rPr>
        <w:t> </w:t>
      </w:r>
      <w:r>
        <w:rPr/>
        <w:t>inorganic</w:t>
      </w:r>
      <w:r>
        <w:rPr>
          <w:spacing w:val="-15"/>
        </w:rPr>
        <w:t> </w:t>
      </w:r>
      <w:r>
        <w:rPr/>
        <w:t>germanium</w:t>
      </w:r>
      <w:r>
        <w:rPr>
          <w:spacing w:val="-16"/>
        </w:rPr>
        <w:t> </w:t>
      </w:r>
      <w:r>
        <w:rPr/>
        <w:t>connections</w:t>
      </w:r>
      <w:r>
        <w:rPr>
          <w:spacing w:val="-14"/>
        </w:rPr>
        <w:t> </w:t>
      </w:r>
      <w:r>
        <w:rPr/>
        <w:t>are</w:t>
      </w:r>
      <w:r>
        <w:rPr>
          <w:spacing w:val="-17"/>
        </w:rPr>
        <w:t> </w:t>
      </w:r>
      <w:r>
        <w:rPr/>
        <w:t>pre- sumably poisonous, which is also true of germanium oxide, but not, however, with</w:t>
      </w:r>
      <w:r>
        <w:rPr>
          <w:spacing w:val="-10"/>
        </w:rPr>
        <w:t> </w:t>
      </w:r>
      <w:r>
        <w:rPr>
          <w:u w:val="single"/>
        </w:rPr>
        <w:t>organic</w:t>
      </w:r>
      <w:r>
        <w:rPr>
          <w:spacing w:val="-9"/>
        </w:rPr>
        <w:t> </w:t>
      </w:r>
      <w:r>
        <w:rPr/>
        <w:t>germanium!</w:t>
      </w:r>
      <w:r>
        <w:rPr>
          <w:spacing w:val="-9"/>
        </w:rPr>
        <w:t> </w:t>
      </w:r>
      <w:r>
        <w:rPr/>
        <w:t>The</w:t>
      </w:r>
      <w:r>
        <w:rPr>
          <w:spacing w:val="-11"/>
        </w:rPr>
        <w:t> </w:t>
      </w:r>
      <w:r>
        <w:rPr/>
        <w:t>human</w:t>
      </w:r>
      <w:r>
        <w:rPr>
          <w:spacing w:val="-9"/>
        </w:rPr>
        <w:t> </w:t>
      </w:r>
      <w:r>
        <w:rPr/>
        <w:t>body</w:t>
      </w:r>
      <w:r>
        <w:rPr>
          <w:spacing w:val="-12"/>
        </w:rPr>
        <w:t> </w:t>
      </w:r>
      <w:r>
        <w:rPr/>
        <w:t>does</w:t>
      </w:r>
      <w:r>
        <w:rPr>
          <w:spacing w:val="-13"/>
        </w:rPr>
        <w:t> </w:t>
      </w:r>
      <w:r>
        <w:rPr/>
        <w:t>not</w:t>
      </w:r>
      <w:r>
        <w:rPr>
          <w:spacing w:val="-11"/>
        </w:rPr>
        <w:t> </w:t>
      </w:r>
      <w:r>
        <w:rPr/>
        <w:t>store</w:t>
      </w:r>
      <w:r>
        <w:rPr>
          <w:spacing w:val="-9"/>
        </w:rPr>
        <w:t> </w:t>
      </w:r>
      <w:r>
        <w:rPr/>
        <w:t>organic</w:t>
      </w:r>
      <w:r>
        <w:rPr>
          <w:spacing w:val="-10"/>
        </w:rPr>
        <w:t> </w:t>
      </w:r>
      <w:r>
        <w:rPr/>
        <w:t>germanium. Approximately two hours after consumption, the concentration in the blood plasma is at its highest and, after three days at most, is expelled from the</w:t>
      </w:r>
      <w:r>
        <w:rPr>
          <w:spacing w:val="-60"/>
        </w:rPr>
        <w:t> </w:t>
      </w:r>
      <w:r>
        <w:rPr/>
        <w:t>body (primarily via the kidneys) together with all of the toxins and contaminants it could bind itself to during this</w:t>
      </w:r>
      <w:r>
        <w:rPr>
          <w:spacing w:val="1"/>
        </w:rPr>
        <w:t> </w:t>
      </w:r>
      <w:r>
        <w:rPr/>
        <w:t>time.</w:t>
      </w:r>
    </w:p>
    <w:p>
      <w:pPr>
        <w:pStyle w:val="Heading1"/>
        <w:spacing w:before="226"/>
        <w:ind w:left="616"/>
      </w:pPr>
      <w:r>
        <w:rPr/>
        <w:t>Is it dangerous during the 20</w:t>
      </w:r>
      <w:r>
        <w:rPr>
          <w:spacing w:val="-55"/>
        </w:rPr>
        <w:t> </w:t>
      </w:r>
      <w:r>
        <w:rPr/>
        <w:t>hours?</w:t>
      </w:r>
    </w:p>
    <w:p>
      <w:pPr>
        <w:pStyle w:val="BodyText"/>
        <w:spacing w:line="276" w:lineRule="auto" w:before="297"/>
        <w:ind w:left="616" w:right="139"/>
        <w:jc w:val="both"/>
      </w:pPr>
      <w:r>
        <w:rPr/>
        <w:t>While</w:t>
      </w:r>
      <w:r>
        <w:rPr>
          <w:spacing w:val="-13"/>
        </w:rPr>
        <w:t> </w:t>
      </w:r>
      <w:r>
        <w:rPr/>
        <w:t>inorganic</w:t>
      </w:r>
      <w:r>
        <w:rPr>
          <w:spacing w:val="-12"/>
        </w:rPr>
        <w:t> </w:t>
      </w:r>
      <w:r>
        <w:rPr/>
        <w:t>germanium</w:t>
      </w:r>
      <w:r>
        <w:rPr>
          <w:spacing w:val="-12"/>
        </w:rPr>
        <w:t> </w:t>
      </w:r>
      <w:r>
        <w:rPr/>
        <w:t>(as</w:t>
      </w:r>
      <w:r>
        <w:rPr>
          <w:spacing w:val="-12"/>
        </w:rPr>
        <w:t> </w:t>
      </w:r>
      <w:r>
        <w:rPr/>
        <w:t>found</w:t>
      </w:r>
      <w:r>
        <w:rPr>
          <w:spacing w:val="-11"/>
        </w:rPr>
        <w:t> </w:t>
      </w:r>
      <w:r>
        <w:rPr/>
        <w:t>in</w:t>
      </w:r>
      <w:r>
        <w:rPr>
          <w:spacing w:val="-12"/>
        </w:rPr>
        <w:t> </w:t>
      </w:r>
      <w:r>
        <w:rPr/>
        <w:t>electronics)</w:t>
      </w:r>
      <w:r>
        <w:rPr>
          <w:spacing w:val="-12"/>
        </w:rPr>
        <w:t> </w:t>
      </w:r>
      <w:r>
        <w:rPr/>
        <w:t>can</w:t>
      </w:r>
      <w:r>
        <w:rPr>
          <w:spacing w:val="-11"/>
        </w:rPr>
        <w:t> </w:t>
      </w:r>
      <w:r>
        <w:rPr/>
        <w:t>be</w:t>
      </w:r>
      <w:r>
        <w:rPr>
          <w:spacing w:val="-11"/>
        </w:rPr>
        <w:t> </w:t>
      </w:r>
      <w:r>
        <w:rPr/>
        <w:t>toxic,</w:t>
      </w:r>
      <w:r>
        <w:rPr>
          <w:spacing w:val="-13"/>
        </w:rPr>
        <w:t> </w:t>
      </w:r>
      <w:r>
        <w:rPr/>
        <w:t>animal</w:t>
      </w:r>
      <w:r>
        <w:rPr>
          <w:spacing w:val="-13"/>
        </w:rPr>
        <w:t> </w:t>
      </w:r>
      <w:r>
        <w:rPr/>
        <w:t>trials have shown no toxicity with up to 3.4 g of organic germanium per kg body weight in the case of mice and 10g of organic germanium in the case of</w:t>
      </w:r>
      <w:r>
        <w:rPr>
          <w:spacing w:val="-20"/>
        </w:rPr>
        <w:t> </w:t>
      </w:r>
      <w:r>
        <w:rPr/>
        <w:t>rats.</w:t>
      </w:r>
    </w:p>
    <w:p>
      <w:pPr>
        <w:pStyle w:val="BodyText"/>
        <w:spacing w:line="276" w:lineRule="auto" w:before="241"/>
        <w:ind w:left="616" w:right="133"/>
        <w:jc w:val="both"/>
      </w:pPr>
      <w:r>
        <w:rPr/>
        <w:t>A 70 kg human being would thus have to take, instead of the recommended 20–1500</w:t>
      </w:r>
      <w:r>
        <w:rPr>
          <w:spacing w:val="-13"/>
        </w:rPr>
        <w:t> </w:t>
      </w:r>
      <w:r>
        <w:rPr/>
        <w:t>mg,</w:t>
      </w:r>
      <w:r>
        <w:rPr>
          <w:spacing w:val="-12"/>
        </w:rPr>
        <w:t> </w:t>
      </w:r>
      <w:r>
        <w:rPr/>
        <w:t>238,000</w:t>
      </w:r>
      <w:r>
        <w:rPr>
          <w:spacing w:val="-14"/>
        </w:rPr>
        <w:t> </w:t>
      </w:r>
      <w:r>
        <w:rPr/>
        <w:t>mg</w:t>
      </w:r>
      <w:r>
        <w:rPr>
          <w:spacing w:val="-13"/>
        </w:rPr>
        <w:t> </w:t>
      </w:r>
      <w:r>
        <w:rPr/>
        <w:t>of</w:t>
      </w:r>
      <w:r>
        <w:rPr>
          <w:spacing w:val="-13"/>
        </w:rPr>
        <w:t> </w:t>
      </w:r>
      <w:r>
        <w:rPr/>
        <w:t>organic</w:t>
      </w:r>
      <w:r>
        <w:rPr>
          <w:spacing w:val="-14"/>
        </w:rPr>
        <w:t> </w:t>
      </w:r>
      <w:r>
        <w:rPr/>
        <w:t>germanium</w:t>
      </w:r>
      <w:r>
        <w:rPr>
          <w:spacing w:val="-10"/>
        </w:rPr>
        <w:t> </w:t>
      </w:r>
      <w:r>
        <w:rPr/>
        <w:t>to</w:t>
      </w:r>
      <w:r>
        <w:rPr>
          <w:spacing w:val="-13"/>
        </w:rPr>
        <w:t> </w:t>
      </w:r>
      <w:r>
        <w:rPr/>
        <w:t>expect</w:t>
      </w:r>
      <w:r>
        <w:rPr>
          <w:spacing w:val="-13"/>
        </w:rPr>
        <w:t> </w:t>
      </w:r>
      <w:r>
        <w:rPr/>
        <w:t>a</w:t>
      </w:r>
      <w:r>
        <w:rPr>
          <w:spacing w:val="-14"/>
        </w:rPr>
        <w:t> </w:t>
      </w:r>
      <w:r>
        <w:rPr/>
        <w:t>toxic</w:t>
      </w:r>
      <w:r>
        <w:rPr>
          <w:spacing w:val="-12"/>
        </w:rPr>
        <w:t> </w:t>
      </w:r>
      <w:r>
        <w:rPr/>
        <w:t>effect,</w:t>
      </w:r>
      <w:r>
        <w:rPr>
          <w:spacing w:val="-12"/>
        </w:rPr>
        <w:t> </w:t>
      </w:r>
      <w:r>
        <w:rPr/>
        <w:t>which is 158 times the amount of the recommendation. An initial feeling of discom- fort, accompanied by headaches, skin outbreaks or initial pains (e.g. with ar- thritis) can be traced to the detoxifying mechanisms of the organism and gen- erally</w:t>
      </w:r>
      <w:r>
        <w:rPr>
          <w:spacing w:val="-16"/>
        </w:rPr>
        <w:t> </w:t>
      </w:r>
      <w:r>
        <w:rPr/>
        <w:t>disappear</w:t>
      </w:r>
      <w:r>
        <w:rPr>
          <w:spacing w:val="-16"/>
        </w:rPr>
        <w:t> </w:t>
      </w:r>
      <w:r>
        <w:rPr/>
        <w:t>after</w:t>
      </w:r>
      <w:r>
        <w:rPr>
          <w:spacing w:val="-16"/>
        </w:rPr>
        <w:t> </w:t>
      </w:r>
      <w:r>
        <w:rPr/>
        <w:t>a</w:t>
      </w:r>
      <w:r>
        <w:rPr>
          <w:spacing w:val="-18"/>
        </w:rPr>
        <w:t> </w:t>
      </w:r>
      <w:r>
        <w:rPr/>
        <w:t>few</w:t>
      </w:r>
      <w:r>
        <w:rPr>
          <w:spacing w:val="-17"/>
        </w:rPr>
        <w:t> </w:t>
      </w:r>
      <w:r>
        <w:rPr/>
        <w:t>days,</w:t>
      </w:r>
      <w:r>
        <w:rPr>
          <w:spacing w:val="-18"/>
        </w:rPr>
        <w:t> </w:t>
      </w:r>
      <w:r>
        <w:rPr/>
        <w:t>or</w:t>
      </w:r>
      <w:r>
        <w:rPr>
          <w:spacing w:val="-16"/>
        </w:rPr>
        <w:t> </w:t>
      </w:r>
      <w:r>
        <w:rPr/>
        <w:t>after</w:t>
      </w:r>
      <w:r>
        <w:rPr>
          <w:spacing w:val="-17"/>
        </w:rPr>
        <w:t> </w:t>
      </w:r>
      <w:r>
        <w:rPr/>
        <w:t>two</w:t>
      </w:r>
      <w:r>
        <w:rPr>
          <w:spacing w:val="-16"/>
        </w:rPr>
        <w:t> </w:t>
      </w:r>
      <w:r>
        <w:rPr/>
        <w:t>weeks</w:t>
      </w:r>
      <w:r>
        <w:rPr>
          <w:spacing w:val="-15"/>
        </w:rPr>
        <w:t> </w:t>
      </w:r>
      <w:r>
        <w:rPr/>
        <w:t>at</w:t>
      </w:r>
      <w:r>
        <w:rPr>
          <w:spacing w:val="-18"/>
        </w:rPr>
        <w:t> </w:t>
      </w:r>
      <w:r>
        <w:rPr/>
        <w:t>the</w:t>
      </w:r>
      <w:r>
        <w:rPr>
          <w:spacing w:val="-15"/>
        </w:rPr>
        <w:t> </w:t>
      </w:r>
      <w:r>
        <w:rPr/>
        <w:t>latest.</w:t>
      </w:r>
      <w:r>
        <w:rPr>
          <w:spacing w:val="-19"/>
        </w:rPr>
        <w:t> </w:t>
      </w:r>
      <w:r>
        <w:rPr/>
        <w:t>One</w:t>
      </w:r>
      <w:r>
        <w:rPr>
          <w:spacing w:val="-17"/>
        </w:rPr>
        <w:t> </w:t>
      </w:r>
      <w:r>
        <w:rPr/>
        <w:t>particular form of organic germanium is spirogermanium, which in contrast to the</w:t>
      </w:r>
      <w:r>
        <w:rPr>
          <w:spacing w:val="-56"/>
        </w:rPr>
        <w:t> </w:t>
      </w:r>
      <w:r>
        <w:rPr/>
        <w:t>other forms of organic germanium (which is categorized as a dietary supplement) was</w:t>
      </w:r>
      <w:r>
        <w:rPr>
          <w:spacing w:val="-19"/>
        </w:rPr>
        <w:t> </w:t>
      </w:r>
      <w:r>
        <w:rPr/>
        <w:t>developed</w:t>
      </w:r>
      <w:r>
        <w:rPr>
          <w:spacing w:val="-18"/>
        </w:rPr>
        <w:t> </w:t>
      </w:r>
      <w:r>
        <w:rPr/>
        <w:t>as</w:t>
      </w:r>
      <w:r>
        <w:rPr>
          <w:spacing w:val="-19"/>
        </w:rPr>
        <w:t> </w:t>
      </w:r>
      <w:r>
        <w:rPr/>
        <w:t>a</w:t>
      </w:r>
      <w:r>
        <w:rPr>
          <w:spacing w:val="-22"/>
        </w:rPr>
        <w:t> </w:t>
      </w:r>
      <w:r>
        <w:rPr/>
        <w:t>medication.</w:t>
      </w:r>
      <w:r>
        <w:rPr>
          <w:spacing w:val="-21"/>
        </w:rPr>
        <w:t> </w:t>
      </w:r>
      <w:r>
        <w:rPr/>
        <w:t>According</w:t>
      </w:r>
      <w:r>
        <w:rPr>
          <w:spacing w:val="-19"/>
        </w:rPr>
        <w:t> </w:t>
      </w:r>
      <w:r>
        <w:rPr/>
        <w:t>to</w:t>
      </w:r>
      <w:r>
        <w:rPr>
          <w:spacing w:val="-18"/>
        </w:rPr>
        <w:t> </w:t>
      </w:r>
      <w:r>
        <w:rPr/>
        <w:t>various</w:t>
      </w:r>
      <w:r>
        <w:rPr>
          <w:spacing w:val="-18"/>
        </w:rPr>
        <w:t> </w:t>
      </w:r>
      <w:r>
        <w:rPr/>
        <w:t>reports,</w:t>
      </w:r>
      <w:r>
        <w:rPr>
          <w:spacing w:val="-22"/>
        </w:rPr>
        <w:t> </w:t>
      </w:r>
      <w:r>
        <w:rPr/>
        <w:t>the</w:t>
      </w:r>
      <w:r>
        <w:rPr>
          <w:spacing w:val="-23"/>
        </w:rPr>
        <w:t> </w:t>
      </w:r>
      <w:r>
        <w:rPr/>
        <w:t>consumption of spirogermanium leads to a temporary (passing)</w:t>
      </w:r>
      <w:r>
        <w:rPr>
          <w:spacing w:val="-2"/>
        </w:rPr>
        <w:t> </w:t>
      </w:r>
      <w:r>
        <w:rPr/>
        <w:t>nervousness.</w:t>
      </w:r>
    </w:p>
    <w:p>
      <w:pPr>
        <w:spacing w:after="0" w:line="276" w:lineRule="auto"/>
        <w:jc w:val="both"/>
        <w:sectPr>
          <w:pgSz w:w="14270" w:h="16850"/>
          <w:pgMar w:header="0" w:footer="404" w:top="1340" w:bottom="2080" w:left="800" w:right="1280"/>
        </w:sectPr>
      </w:pPr>
    </w:p>
    <w:p>
      <w:pPr>
        <w:pStyle w:val="BodyText"/>
        <w:spacing w:before="74"/>
        <w:ind w:left="616"/>
      </w:pPr>
      <w:r>
        <w:rPr/>
        <w:t>Studies of organic germanium</w:t>
      </w:r>
    </w:p>
    <w:p>
      <w:pPr>
        <w:pStyle w:val="BodyText"/>
        <w:spacing w:line="276" w:lineRule="auto" w:before="302"/>
        <w:ind w:left="616" w:right="140"/>
        <w:jc w:val="both"/>
      </w:pPr>
      <w:r>
        <w:rPr/>
        <w:t>As already noted in the section ‘Effects of Organic Germanium’, the research into organic germanium is still in its infancy. Nevertheless, research has been continuing for many years and there are serious studies and scientific papers on the effects of organic germanium.</w:t>
      </w:r>
    </w:p>
    <w:p>
      <w:pPr>
        <w:pStyle w:val="Heading2"/>
        <w:spacing w:before="244"/>
        <w:ind w:left="616"/>
      </w:pPr>
      <w:r>
        <w:rPr/>
        <w:t>Organic germanium successful against cancer according to studies</w:t>
      </w:r>
    </w:p>
    <w:p>
      <w:pPr>
        <w:pStyle w:val="BodyText"/>
        <w:spacing w:line="276" w:lineRule="auto" w:before="303"/>
        <w:ind w:left="616"/>
      </w:pPr>
      <w:r>
        <w:rPr/>
        <w:t>The</w:t>
      </w:r>
      <w:r>
        <w:rPr>
          <w:spacing w:val="-19"/>
        </w:rPr>
        <w:t> </w:t>
      </w:r>
      <w:r>
        <w:rPr/>
        <w:t>scientists</w:t>
      </w:r>
      <w:r>
        <w:rPr>
          <w:spacing w:val="-18"/>
        </w:rPr>
        <w:t> </w:t>
      </w:r>
      <w:r>
        <w:rPr/>
        <w:t>Brutkiewicz</w:t>
      </w:r>
      <w:r>
        <w:rPr>
          <w:spacing w:val="-18"/>
        </w:rPr>
        <w:t> </w:t>
      </w:r>
      <w:r>
        <w:rPr/>
        <w:t>and</w:t>
      </w:r>
      <w:r>
        <w:rPr>
          <w:spacing w:val="-19"/>
        </w:rPr>
        <w:t> </w:t>
      </w:r>
      <w:r>
        <w:rPr/>
        <w:t>Pollard</w:t>
      </w:r>
      <w:r>
        <w:rPr>
          <w:spacing w:val="-18"/>
        </w:rPr>
        <w:t> </w:t>
      </w:r>
      <w:r>
        <w:rPr/>
        <w:t>were</w:t>
      </w:r>
      <w:r>
        <w:rPr>
          <w:spacing w:val="-18"/>
        </w:rPr>
        <w:t> </w:t>
      </w:r>
      <w:r>
        <w:rPr/>
        <w:t>able</w:t>
      </w:r>
      <w:r>
        <w:rPr>
          <w:spacing w:val="-21"/>
        </w:rPr>
        <w:t> </w:t>
      </w:r>
      <w:r>
        <w:rPr/>
        <w:t>to</w:t>
      </w:r>
      <w:r>
        <w:rPr>
          <w:spacing w:val="-18"/>
        </w:rPr>
        <w:t> </w:t>
      </w:r>
      <w:r>
        <w:rPr/>
        <w:t>demonstrate</w:t>
      </w:r>
      <w:r>
        <w:rPr>
          <w:spacing w:val="-19"/>
        </w:rPr>
        <w:t> </w:t>
      </w:r>
      <w:r>
        <w:rPr/>
        <w:t>a</w:t>
      </w:r>
      <w:r>
        <w:rPr>
          <w:spacing w:val="-21"/>
        </w:rPr>
        <w:t> </w:t>
      </w:r>
      <w:r>
        <w:rPr/>
        <w:t>clear</w:t>
      </w:r>
      <w:r>
        <w:rPr>
          <w:spacing w:val="-18"/>
        </w:rPr>
        <w:t> </w:t>
      </w:r>
      <w:r>
        <w:rPr/>
        <w:t>cancer- inhibiting effect in their</w:t>
      </w:r>
      <w:r>
        <w:rPr>
          <w:spacing w:val="3"/>
        </w:rPr>
        <w:t> </w:t>
      </w:r>
      <w:r>
        <w:rPr/>
        <w:t>studies.</w:t>
      </w:r>
    </w:p>
    <w:p>
      <w:pPr>
        <w:pStyle w:val="BodyText"/>
        <w:spacing w:line="276" w:lineRule="auto" w:before="241"/>
        <w:ind w:left="616"/>
        <w:rPr>
          <w:sz w:val="25"/>
        </w:rPr>
      </w:pPr>
      <w:r>
        <w:rPr/>
        <w:t>This effect is ascribed primarily to the stimulation of T cells and macrophages as well as the production of gamma interferon (lymphokine).</w:t>
      </w:r>
      <w:r>
        <w:rPr>
          <w:position w:val="9"/>
          <w:sz w:val="25"/>
        </w:rPr>
        <w:t>654</w:t>
      </w:r>
    </w:p>
    <w:p>
      <w:pPr>
        <w:pStyle w:val="BodyText"/>
        <w:spacing w:line="410" w:lineRule="auto" w:before="238"/>
        <w:ind w:left="616" w:right="3824"/>
        <w:rPr>
          <w:sz w:val="25"/>
        </w:rPr>
      </w:pPr>
      <w:r>
        <w:rPr/>
        <w:t>Successes with organic germanium on lymphomas</w:t>
      </w:r>
      <w:r>
        <w:rPr>
          <w:position w:val="9"/>
          <w:sz w:val="25"/>
        </w:rPr>
        <w:t>655 </w:t>
      </w:r>
      <w:r>
        <w:rPr/>
        <w:t>Antitumoural activity of organic germanium</w:t>
      </w:r>
      <w:r>
        <w:rPr>
          <w:position w:val="9"/>
          <w:sz w:val="25"/>
        </w:rPr>
        <w:t>656 </w:t>
      </w:r>
      <w:r>
        <w:rPr/>
        <w:t>Organic germanium with advanced uterine cancer</w:t>
      </w:r>
      <w:r>
        <w:rPr>
          <w:position w:val="9"/>
          <w:sz w:val="25"/>
        </w:rPr>
        <w:t>657 </w:t>
      </w:r>
      <w:r>
        <w:rPr/>
        <w:t>Organic germanium and advanced ovarian cancer</w:t>
      </w:r>
      <w:r>
        <w:rPr>
          <w:position w:val="9"/>
          <w:sz w:val="25"/>
        </w:rPr>
        <w:t>658</w:t>
      </w:r>
    </w:p>
    <w:p>
      <w:pPr>
        <w:pStyle w:val="Heading1"/>
        <w:spacing w:line="437" w:lineRule="exact" w:before="0"/>
        <w:ind w:left="616"/>
        <w:rPr>
          <w:b w:val="0"/>
          <w:i w:val="0"/>
          <w:sz w:val="25"/>
        </w:rPr>
      </w:pPr>
      <w:r>
        <w:rPr/>
        <w:t>Organic germanium and advanced breast cancer</w:t>
      </w:r>
      <w:r>
        <w:rPr>
          <w:b w:val="0"/>
          <w:i w:val="0"/>
          <w:position w:val="9"/>
          <w:sz w:val="25"/>
        </w:rPr>
        <w:t>659</w:t>
      </w:r>
    </w:p>
    <w:p>
      <w:pPr>
        <w:pStyle w:val="BodyText"/>
        <w:rPr>
          <w:sz w:val="20"/>
        </w:rPr>
      </w:pPr>
    </w:p>
    <w:p>
      <w:pPr>
        <w:pStyle w:val="BodyText"/>
        <w:rPr>
          <w:sz w:val="20"/>
        </w:rPr>
      </w:pPr>
    </w:p>
    <w:p>
      <w:pPr>
        <w:pStyle w:val="BodyText"/>
        <w:spacing w:before="8"/>
        <w:rPr>
          <w:sz w:val="21"/>
        </w:rPr>
      </w:pPr>
      <w:r>
        <w:rPr/>
        <w:pict>
          <v:line style="position:absolute;mso-position-horizontal-relative:page;mso-position-vertical-relative:paragraph;z-index:8504;mso-wrap-distance-left:0;mso-wrap-distance-right:0" from="70.823997pt,14.611818pt" to="214.843997pt,14.611818pt" stroked="true" strokeweight=".72003pt" strokecolor="#000000">
            <v:stroke dashstyle="solid"/>
            <w10:wrap type="topAndBottom"/>
          </v:line>
        </w:pict>
      </w:r>
    </w:p>
    <w:p>
      <w:pPr>
        <w:pStyle w:val="BodyText"/>
        <w:spacing w:before="7"/>
        <w:rPr>
          <w:sz w:val="18"/>
        </w:rPr>
      </w:pPr>
    </w:p>
    <w:p>
      <w:pPr>
        <w:spacing w:line="276" w:lineRule="auto" w:before="100"/>
        <w:ind w:left="616" w:right="0" w:firstLine="0"/>
        <w:jc w:val="left"/>
        <w:rPr>
          <w:sz w:val="20"/>
        </w:rPr>
      </w:pPr>
      <w:r>
        <w:rPr>
          <w:position w:val="5"/>
          <w:sz w:val="13"/>
        </w:rPr>
        <w:t>654 </w:t>
      </w:r>
      <w:r>
        <w:rPr>
          <w:sz w:val="20"/>
        </w:rPr>
        <w:t>Suzuki et al.: Importance of T-Cells and Macrophages in the Antitumour Activity of carboxyethylgermanium Sesquioxide (Ge-132), Anti-cancer Res., 1986, 6, p. 177-182</w:t>
      </w:r>
    </w:p>
    <w:p>
      <w:pPr>
        <w:spacing w:line="276" w:lineRule="auto" w:before="61"/>
        <w:ind w:left="616" w:right="156" w:firstLine="0"/>
        <w:jc w:val="left"/>
        <w:rPr>
          <w:sz w:val="20"/>
        </w:rPr>
      </w:pPr>
      <w:r>
        <w:rPr>
          <w:position w:val="5"/>
          <w:sz w:val="13"/>
        </w:rPr>
        <w:t>655 </w:t>
      </w:r>
      <w:r>
        <w:rPr>
          <w:sz w:val="20"/>
        </w:rPr>
        <w:t>Phase II Eastern Co-operative Oncology Group Study of Spirogermanium in previously treated lymphoma. Cancer Treat. Rep., 70, 1986, p. 917 f.</w:t>
      </w:r>
    </w:p>
    <w:p>
      <w:pPr>
        <w:spacing w:line="276" w:lineRule="auto" w:before="58"/>
        <w:ind w:left="616" w:right="223" w:firstLine="0"/>
        <w:jc w:val="left"/>
        <w:rPr>
          <w:sz w:val="20"/>
        </w:rPr>
      </w:pPr>
      <w:r>
        <w:rPr>
          <w:position w:val="5"/>
          <w:sz w:val="13"/>
        </w:rPr>
        <w:t>656 </w:t>
      </w:r>
      <w:r>
        <w:rPr>
          <w:sz w:val="20"/>
        </w:rPr>
        <w:t>Antitumoral Activity of Ge-132, a new organogermanium compound in mice is expressed through the functions of macrophages and t lympho- cytes, Gan-To Kagaku Ryoho, 1985, 12, 1445-1452.</w:t>
      </w:r>
    </w:p>
    <w:p>
      <w:pPr>
        <w:spacing w:line="340" w:lineRule="auto" w:before="61"/>
        <w:ind w:left="616" w:right="1924" w:firstLine="0"/>
        <w:jc w:val="left"/>
        <w:rPr>
          <w:sz w:val="20"/>
        </w:rPr>
      </w:pPr>
      <w:r>
        <w:rPr>
          <w:position w:val="5"/>
          <w:sz w:val="13"/>
        </w:rPr>
        <w:t>657 </w:t>
      </w:r>
      <w:r>
        <w:rPr>
          <w:sz w:val="20"/>
        </w:rPr>
        <w:t>Phase II Study of Spirogermanium in Patients with Advanced Carcinoma of the Cervix, Cancer Treat. Rep. 67, p. 193 f. </w:t>
      </w:r>
      <w:r>
        <w:rPr>
          <w:position w:val="5"/>
          <w:sz w:val="13"/>
        </w:rPr>
        <w:t>658 </w:t>
      </w:r>
      <w:r>
        <w:rPr>
          <w:sz w:val="20"/>
        </w:rPr>
        <w:t>Trope, C. et al.: Phase II Study of Spirogermanium in Advanced ovarian malignancy, cancer treat. Rep., 1981, 65, p. 119 f. </w:t>
      </w:r>
      <w:r>
        <w:rPr>
          <w:position w:val="5"/>
          <w:sz w:val="13"/>
        </w:rPr>
        <w:t>659 </w:t>
      </w:r>
      <w:r>
        <w:rPr>
          <w:sz w:val="20"/>
        </w:rPr>
        <w:t>Kuebler, J. P. et al.: Phase II Study of Spirogermanium in advanced breast cancer, cancer treat. Rep., 1984, 68, 1515</w:t>
      </w:r>
      <w:r>
        <w:rPr>
          <w:spacing w:val="-23"/>
          <w:sz w:val="20"/>
        </w:rPr>
        <w:t> </w:t>
      </w:r>
      <w:r>
        <w:rPr>
          <w:sz w:val="20"/>
        </w:rPr>
        <w:t>f.</w:t>
      </w:r>
    </w:p>
    <w:p>
      <w:pPr>
        <w:spacing w:after="0" w:line="340" w:lineRule="auto"/>
        <w:jc w:val="left"/>
        <w:rPr>
          <w:sz w:val="20"/>
        </w:rPr>
        <w:sectPr>
          <w:footerReference w:type="default" r:id="rId283"/>
          <w:pgSz w:w="14270" w:h="16850"/>
          <w:pgMar w:footer="1984" w:header="0" w:top="1340" w:bottom="2180" w:left="800" w:right="1280"/>
          <w:pgNumType w:start="1184"/>
        </w:sectPr>
      </w:pPr>
    </w:p>
    <w:p>
      <w:pPr>
        <w:spacing w:line="405" w:lineRule="auto" w:before="77"/>
        <w:ind w:left="616" w:right="244" w:firstLine="0"/>
        <w:jc w:val="left"/>
        <w:rPr>
          <w:sz w:val="25"/>
        </w:rPr>
      </w:pPr>
      <w:r>
        <w:rPr>
          <w:b/>
          <w:i/>
          <w:w w:val="95"/>
          <w:sz w:val="40"/>
        </w:rPr>
        <w:t>Organic germanium in the treatment of metastasising breast cancer</w:t>
      </w:r>
      <w:r>
        <w:rPr>
          <w:w w:val="95"/>
          <w:position w:val="9"/>
          <w:sz w:val="25"/>
        </w:rPr>
        <w:t>660 </w:t>
      </w:r>
      <w:r>
        <w:rPr>
          <w:sz w:val="38"/>
        </w:rPr>
        <w:t>Inhibition of cancer growth and metastasis with organic germanium</w:t>
      </w:r>
      <w:r>
        <w:rPr>
          <w:position w:val="9"/>
          <w:sz w:val="25"/>
        </w:rPr>
        <w:t>661 </w:t>
      </w:r>
      <w:r>
        <w:rPr>
          <w:sz w:val="38"/>
        </w:rPr>
        <w:t>Organic germanium and metastasising malignant melanoma</w:t>
      </w:r>
      <w:r>
        <w:rPr>
          <w:position w:val="9"/>
          <w:sz w:val="25"/>
        </w:rPr>
        <w:t>662</w:t>
      </w:r>
    </w:p>
    <w:p>
      <w:pPr>
        <w:pStyle w:val="BodyText"/>
        <w:spacing w:before="5"/>
        <w:ind w:left="616"/>
        <w:rPr>
          <w:sz w:val="25"/>
        </w:rPr>
      </w:pPr>
      <w:r>
        <w:rPr/>
        <w:t>Organic germanium and lung</w:t>
      </w:r>
      <w:r>
        <w:rPr>
          <w:spacing w:val="-12"/>
        </w:rPr>
        <w:t> </w:t>
      </w:r>
      <w:r>
        <w:rPr/>
        <w:t>cancer</w:t>
      </w:r>
      <w:r>
        <w:rPr>
          <w:position w:val="9"/>
          <w:sz w:val="25"/>
        </w:rPr>
        <w:t>663</w:t>
      </w:r>
    </w:p>
    <w:p>
      <w:pPr>
        <w:spacing w:line="410" w:lineRule="auto" w:before="305"/>
        <w:ind w:left="616" w:right="2874" w:firstLine="0"/>
        <w:jc w:val="left"/>
        <w:rPr>
          <w:sz w:val="25"/>
        </w:rPr>
      </w:pPr>
      <w:r>
        <w:rPr>
          <w:sz w:val="38"/>
        </w:rPr>
        <w:t>Organic germanium and metastasising prostate cancer</w:t>
      </w:r>
      <w:r>
        <w:rPr>
          <w:position w:val="9"/>
          <w:sz w:val="25"/>
        </w:rPr>
        <w:t>664 </w:t>
      </w:r>
      <w:r>
        <w:rPr>
          <w:sz w:val="38"/>
        </w:rPr>
        <w:t>Organic germanium successful against arthritis in studies</w:t>
      </w:r>
      <w:r>
        <w:rPr>
          <w:position w:val="9"/>
          <w:sz w:val="25"/>
        </w:rPr>
        <w:t>665 </w:t>
      </w:r>
      <w:r>
        <w:rPr>
          <w:i/>
          <w:sz w:val="38"/>
        </w:rPr>
        <w:t>Organic germanium counteracts</w:t>
      </w:r>
      <w:r>
        <w:rPr>
          <w:i/>
          <w:spacing w:val="-1"/>
          <w:sz w:val="38"/>
        </w:rPr>
        <w:t> </w:t>
      </w:r>
      <w:r>
        <w:rPr>
          <w:i/>
          <w:sz w:val="38"/>
        </w:rPr>
        <w:t>mutations</w:t>
      </w:r>
      <w:r>
        <w:rPr>
          <w:position w:val="9"/>
          <w:sz w:val="25"/>
        </w:rPr>
        <w:t>666</w:t>
      </w:r>
    </w:p>
    <w:p>
      <w:pPr>
        <w:spacing w:before="3"/>
        <w:ind w:left="616" w:right="0" w:firstLine="0"/>
        <w:jc w:val="left"/>
        <w:rPr>
          <w:i/>
          <w:sz w:val="38"/>
        </w:rPr>
      </w:pPr>
      <w:r>
        <w:rPr>
          <w:i/>
          <w:sz w:val="38"/>
        </w:rPr>
        <w:t>Organic germanium strengthens the immune system by encouraging interferon production</w:t>
      </w:r>
    </w:p>
    <w:p>
      <w:pPr>
        <w:pStyle w:val="BodyText"/>
        <w:spacing w:line="276" w:lineRule="auto" w:before="305"/>
        <w:ind w:left="616" w:right="244"/>
      </w:pPr>
      <w:r>
        <w:rPr/>
        <w:t>‘Induction of interferon and activation of NKcells and macrophages in mice by oral administration of Ge-132, an organic germanium compound’.</w:t>
      </w:r>
    </w:p>
    <w:p>
      <w:pPr>
        <w:pStyle w:val="BodyText"/>
        <w:spacing w:before="239"/>
        <w:ind w:left="616"/>
      </w:pPr>
      <w:r>
        <w:rPr/>
        <w:t>Organic germanium and anti-ageing</w:t>
      </w:r>
    </w:p>
    <w:p>
      <w:pPr>
        <w:pStyle w:val="BodyText"/>
        <w:spacing w:line="276" w:lineRule="auto" w:before="304"/>
        <w:ind w:left="616" w:right="133"/>
        <w:jc w:val="both"/>
      </w:pPr>
      <w:r>
        <w:rPr/>
        <w:t>One of the most decisive factors in ageing is called ‘amyloidosis’. This refers to</w:t>
      </w:r>
      <w:r>
        <w:rPr>
          <w:spacing w:val="-15"/>
        </w:rPr>
        <w:t> </w:t>
      </w:r>
      <w:r>
        <w:rPr/>
        <w:t>an</w:t>
      </w:r>
      <w:r>
        <w:rPr>
          <w:spacing w:val="-14"/>
        </w:rPr>
        <w:t> </w:t>
      </w:r>
      <w:r>
        <w:rPr/>
        <w:t>enrichment</w:t>
      </w:r>
      <w:r>
        <w:rPr>
          <w:spacing w:val="-15"/>
        </w:rPr>
        <w:t> </w:t>
      </w:r>
      <w:r>
        <w:rPr/>
        <w:t>of</w:t>
      </w:r>
      <w:r>
        <w:rPr>
          <w:spacing w:val="-15"/>
        </w:rPr>
        <w:t> </w:t>
      </w:r>
      <w:r>
        <w:rPr/>
        <w:t>abnormally</w:t>
      </w:r>
      <w:r>
        <w:rPr>
          <w:spacing w:val="-15"/>
        </w:rPr>
        <w:t> </w:t>
      </w:r>
      <w:r>
        <w:rPr/>
        <w:t>altered</w:t>
      </w:r>
      <w:r>
        <w:rPr>
          <w:spacing w:val="-14"/>
        </w:rPr>
        <w:t> </w:t>
      </w:r>
      <w:r>
        <w:rPr/>
        <w:t>proteins</w:t>
      </w:r>
      <w:r>
        <w:rPr>
          <w:spacing w:val="-14"/>
        </w:rPr>
        <w:t> </w:t>
      </w:r>
      <w:r>
        <w:rPr/>
        <w:t>in</w:t>
      </w:r>
      <w:r>
        <w:rPr>
          <w:spacing w:val="-14"/>
        </w:rPr>
        <w:t> </w:t>
      </w:r>
      <w:r>
        <w:rPr/>
        <w:t>the</w:t>
      </w:r>
      <w:r>
        <w:rPr>
          <w:spacing w:val="-13"/>
        </w:rPr>
        <w:t> </w:t>
      </w:r>
      <w:r>
        <w:rPr/>
        <w:t>space</w:t>
      </w:r>
      <w:r>
        <w:rPr>
          <w:spacing w:val="-15"/>
        </w:rPr>
        <w:t> </w:t>
      </w:r>
      <w:r>
        <w:rPr/>
        <w:t>between</w:t>
      </w:r>
      <w:r>
        <w:rPr>
          <w:spacing w:val="-13"/>
        </w:rPr>
        <w:t> </w:t>
      </w:r>
      <w:r>
        <w:rPr/>
        <w:t>the</w:t>
      </w:r>
      <w:r>
        <w:rPr>
          <w:spacing w:val="-14"/>
        </w:rPr>
        <w:t> </w:t>
      </w:r>
      <w:r>
        <w:rPr/>
        <w:t>cells. These</w:t>
      </w:r>
      <w:r>
        <w:rPr>
          <w:spacing w:val="17"/>
        </w:rPr>
        <w:t> </w:t>
      </w:r>
      <w:r>
        <w:rPr/>
        <w:t>are</w:t>
      </w:r>
      <w:r>
        <w:rPr>
          <w:spacing w:val="18"/>
        </w:rPr>
        <w:t> </w:t>
      </w:r>
      <w:r>
        <w:rPr/>
        <w:t>insoluble</w:t>
      </w:r>
      <w:r>
        <w:rPr>
          <w:spacing w:val="17"/>
        </w:rPr>
        <w:t> </w:t>
      </w:r>
      <w:r>
        <w:rPr/>
        <w:t>deposits</w:t>
      </w:r>
      <w:r>
        <w:rPr>
          <w:spacing w:val="17"/>
        </w:rPr>
        <w:t> </w:t>
      </w:r>
      <w:r>
        <w:rPr/>
        <w:t>in</w:t>
      </w:r>
      <w:r>
        <w:rPr>
          <w:spacing w:val="18"/>
        </w:rPr>
        <w:t> </w:t>
      </w:r>
      <w:r>
        <w:rPr/>
        <w:t>the</w:t>
      </w:r>
      <w:r>
        <w:rPr>
          <w:spacing w:val="17"/>
        </w:rPr>
        <w:t> </w:t>
      </w:r>
      <w:r>
        <w:rPr/>
        <w:t>form</w:t>
      </w:r>
      <w:r>
        <w:rPr>
          <w:spacing w:val="18"/>
        </w:rPr>
        <w:t> </w:t>
      </w:r>
      <w:r>
        <w:rPr/>
        <w:t>of</w:t>
      </w:r>
      <w:r>
        <w:rPr>
          <w:spacing w:val="17"/>
        </w:rPr>
        <w:t> </w:t>
      </w:r>
      <w:r>
        <w:rPr/>
        <w:t>the</w:t>
      </w:r>
      <w:r>
        <w:rPr>
          <w:spacing w:val="16"/>
        </w:rPr>
        <w:t> </w:t>
      </w:r>
      <w:r>
        <w:rPr/>
        <w:t>smallest</w:t>
      </w:r>
      <w:r>
        <w:rPr>
          <w:spacing w:val="19"/>
        </w:rPr>
        <w:t> </w:t>
      </w:r>
      <w:r>
        <w:rPr/>
        <w:t>motion</w:t>
      </w:r>
      <w:r>
        <w:rPr>
          <w:spacing w:val="17"/>
        </w:rPr>
        <w:t> </w:t>
      </w:r>
      <w:r>
        <w:rPr/>
        <w:t>unit,</w:t>
      </w:r>
      <w:r>
        <w:rPr>
          <w:spacing w:val="18"/>
        </w:rPr>
        <w:t> </w:t>
      </w:r>
      <w:r>
        <w:rPr/>
        <w:t>the</w:t>
      </w:r>
      <w:r>
        <w:rPr>
          <w:spacing w:val="18"/>
        </w:rPr>
        <w:t> </w:t>
      </w:r>
      <w:r>
        <w:rPr>
          <w:spacing w:val="3"/>
        </w:rPr>
        <w:t>so-</w:t>
      </w:r>
    </w:p>
    <w:p>
      <w:pPr>
        <w:pStyle w:val="BodyText"/>
        <w:rPr>
          <w:sz w:val="20"/>
        </w:rPr>
      </w:pPr>
    </w:p>
    <w:p>
      <w:pPr>
        <w:pStyle w:val="BodyText"/>
        <w:spacing w:before="3"/>
        <w:rPr>
          <w:sz w:val="25"/>
        </w:rPr>
      </w:pPr>
      <w:r>
        <w:rPr/>
        <w:pict>
          <v:line style="position:absolute;mso-position-horizontal-relative:page;mso-position-vertical-relative:paragraph;z-index:8528;mso-wrap-distance-left:0;mso-wrap-distance-right:0" from="70.823997pt,16.602514pt" to="214.843997pt,16.602514pt" stroked="true" strokeweight=".71997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660 </w:t>
      </w:r>
      <w:r>
        <w:rPr>
          <w:sz w:val="20"/>
        </w:rPr>
        <w:t>Phase II Study of Spirogermanium in the treatment of metastasic breast cancer, cancer treat. Rep., 1984, 68, p. 1197 f.</w:t>
      </w:r>
    </w:p>
    <w:p>
      <w:pPr>
        <w:spacing w:line="276" w:lineRule="auto" w:before="94"/>
        <w:ind w:left="616" w:right="244" w:firstLine="0"/>
        <w:jc w:val="left"/>
        <w:rPr>
          <w:sz w:val="20"/>
        </w:rPr>
      </w:pPr>
      <w:r>
        <w:rPr>
          <w:position w:val="5"/>
          <w:sz w:val="13"/>
        </w:rPr>
        <w:t>661 </w:t>
      </w:r>
      <w:r>
        <w:rPr>
          <w:sz w:val="20"/>
        </w:rPr>
        <w:t>Inhibition of tumour growth and metastasic in association with modification of immune response by novel organic germanium compounds, J. Biol. Response Mod., 1985, 3, p. 159-168.</w:t>
      </w:r>
    </w:p>
    <w:p>
      <w:pPr>
        <w:spacing w:before="62"/>
        <w:ind w:left="616" w:right="0" w:firstLine="0"/>
        <w:jc w:val="left"/>
        <w:rPr>
          <w:sz w:val="20"/>
        </w:rPr>
      </w:pPr>
      <w:r>
        <w:rPr>
          <w:position w:val="5"/>
          <w:sz w:val="13"/>
        </w:rPr>
        <w:t>662 </w:t>
      </w:r>
      <w:r>
        <w:rPr>
          <w:sz w:val="20"/>
        </w:rPr>
        <w:t>Canada Clinical Trials Group, Invest New Drugs, 1985, 3, 303 ff.</w:t>
      </w:r>
    </w:p>
    <w:p>
      <w:pPr>
        <w:pStyle w:val="BodyText"/>
        <w:rPr>
          <w:sz w:val="22"/>
        </w:rPr>
      </w:pPr>
    </w:p>
    <w:p>
      <w:pPr>
        <w:spacing w:before="163"/>
        <w:ind w:left="616" w:right="0" w:firstLine="0"/>
        <w:jc w:val="left"/>
        <w:rPr>
          <w:sz w:val="20"/>
        </w:rPr>
      </w:pPr>
      <w:r>
        <w:rPr>
          <w:position w:val="5"/>
          <w:sz w:val="13"/>
        </w:rPr>
        <w:t>663 </w:t>
      </w:r>
      <w:r>
        <w:rPr>
          <w:sz w:val="20"/>
        </w:rPr>
        <w:t>Phase II Study of Spirogermanium in advanced non-small cell lung cancer, Cancer Treat. Rep., 1986, 70, p. 673 f.</w:t>
      </w:r>
    </w:p>
    <w:p>
      <w:pPr>
        <w:spacing w:before="95"/>
        <w:ind w:left="616" w:right="0" w:firstLine="0"/>
        <w:jc w:val="left"/>
        <w:rPr>
          <w:sz w:val="20"/>
        </w:rPr>
      </w:pPr>
      <w:r>
        <w:rPr>
          <w:position w:val="5"/>
          <w:sz w:val="13"/>
        </w:rPr>
        <w:t>664 </w:t>
      </w:r>
      <w:r>
        <w:rPr>
          <w:sz w:val="20"/>
        </w:rPr>
        <w:t>Phase II Study of Spirogermanium in metastatic prostate cancer, Cancer Treat. Rep., 1986, 70, p. 673 f.</w:t>
      </w:r>
    </w:p>
    <w:p>
      <w:pPr>
        <w:spacing w:before="94"/>
        <w:ind w:left="616" w:right="0" w:firstLine="0"/>
        <w:jc w:val="left"/>
        <w:rPr>
          <w:sz w:val="20"/>
        </w:rPr>
      </w:pPr>
      <w:r>
        <w:rPr>
          <w:position w:val="5"/>
          <w:sz w:val="13"/>
        </w:rPr>
        <w:t>665 </w:t>
      </w:r>
      <w:r>
        <w:rPr>
          <w:sz w:val="20"/>
        </w:rPr>
        <w:t>Antiarthritic and Immunoregulatory Activity of Spirogermanium, J. Pharmacol. Exp. Ther., 1986, 236, 103-110.</w:t>
      </w:r>
    </w:p>
    <w:p>
      <w:pPr>
        <w:spacing w:line="276" w:lineRule="auto" w:before="94"/>
        <w:ind w:left="616" w:right="214" w:firstLine="0"/>
        <w:jc w:val="left"/>
        <w:rPr>
          <w:sz w:val="20"/>
        </w:rPr>
      </w:pPr>
      <w:r>
        <w:rPr>
          <w:position w:val="5"/>
          <w:sz w:val="13"/>
        </w:rPr>
        <w:t>666 </w:t>
      </w:r>
      <w:r>
        <w:rPr>
          <w:sz w:val="20"/>
        </w:rPr>
        <w:t>Antimutagenic Effect of germanium oxide on trp-p-2 induced frameshift mutations in salmonella Thyphimurium TA98 and TA 1538, Mutation research, 1984, 125, S. 145-151.</w:t>
      </w:r>
    </w:p>
    <w:p>
      <w:pPr>
        <w:spacing w:after="0" w:line="276" w:lineRule="auto"/>
        <w:jc w:val="left"/>
        <w:rPr>
          <w:sz w:val="20"/>
        </w:rPr>
        <w:sectPr>
          <w:pgSz w:w="14270" w:h="16850"/>
          <w:pgMar w:header="0" w:footer="1984" w:top="1320" w:bottom="2180" w:left="800" w:right="1280"/>
        </w:sectPr>
      </w:pPr>
    </w:p>
    <w:p>
      <w:pPr>
        <w:pStyle w:val="BodyText"/>
        <w:spacing w:line="276" w:lineRule="auto" w:before="72"/>
        <w:ind w:left="616" w:right="135"/>
        <w:jc w:val="both"/>
      </w:pPr>
      <w:r>
        <w:rPr/>
        <w:t>called ‘fibril’. There is additionally a so-called ‘AS amyloid’ stored primarily in the heart and brain, which ensures gradually diminishing functions. Organic germanium inhibits the appearance of amyloidosis and in this way</w:t>
      </w:r>
      <w:r>
        <w:rPr>
          <w:spacing w:val="-55"/>
        </w:rPr>
        <w:t> </w:t>
      </w:r>
      <w:r>
        <w:rPr/>
        <w:t>counteracts biological ageing.</w:t>
      </w:r>
    </w:p>
    <w:p>
      <w:pPr>
        <w:spacing w:after="0" w:line="276" w:lineRule="auto"/>
        <w:jc w:val="both"/>
        <w:sectPr>
          <w:footerReference w:type="default" r:id="rId284"/>
          <w:pgSz w:w="14270" w:h="16850"/>
          <w:pgMar w:footer="1891" w:header="0" w:top="1340" w:bottom="2080" w:left="800" w:right="1280"/>
          <w:pgNumType w:start="1186"/>
        </w:sectPr>
      </w:pPr>
    </w:p>
    <w:p>
      <w:pPr>
        <w:pStyle w:val="BodyText"/>
        <w:spacing w:before="74"/>
        <w:ind w:left="616"/>
      </w:pPr>
      <w:r>
        <w:rPr/>
        <w:t>Conclusion</w:t>
      </w:r>
    </w:p>
    <w:p>
      <w:pPr>
        <w:pStyle w:val="Heading1"/>
        <w:spacing w:before="285"/>
        <w:ind w:left="616"/>
      </w:pPr>
      <w:r>
        <w:rPr/>
        <w:t>Quo vadis organic germanium?</w:t>
      </w:r>
    </w:p>
    <w:p>
      <w:pPr>
        <w:pStyle w:val="BodyText"/>
        <w:spacing w:line="276" w:lineRule="auto" w:before="299"/>
        <w:ind w:left="616" w:right="137"/>
        <w:jc w:val="both"/>
      </w:pPr>
      <w:r>
        <w:rPr/>
        <w:t>While organic germanium is an approved and widely available dietary supple- ment in other European countries, the United States, and Japan, the official sale of it is strictly forbidden in many countries!</w:t>
      </w:r>
    </w:p>
    <w:p>
      <w:pPr>
        <w:pStyle w:val="BodyText"/>
        <w:spacing w:line="276" w:lineRule="auto" w:before="241"/>
        <w:ind w:left="616" w:right="135"/>
        <w:jc w:val="both"/>
      </w:pPr>
      <w:r>
        <w:rPr/>
        <w:t>House searches are regularly carried out and fines imposed; with repeat of- fenses, the ‘offenders’ are threatened with even more severe penalties. The question may justifiably be asked why a double standard applies here: Why is organic</w:t>
      </w:r>
      <w:r>
        <w:rPr>
          <w:spacing w:val="-23"/>
        </w:rPr>
        <w:t> </w:t>
      </w:r>
      <w:r>
        <w:rPr/>
        <w:t>germanium</w:t>
      </w:r>
      <w:r>
        <w:rPr>
          <w:spacing w:val="-23"/>
        </w:rPr>
        <w:t> </w:t>
      </w:r>
      <w:r>
        <w:rPr/>
        <w:t>sold</w:t>
      </w:r>
      <w:r>
        <w:rPr>
          <w:spacing w:val="-24"/>
        </w:rPr>
        <w:t> </w:t>
      </w:r>
      <w:r>
        <w:rPr/>
        <w:t>legally</w:t>
      </w:r>
      <w:r>
        <w:rPr>
          <w:spacing w:val="-24"/>
        </w:rPr>
        <w:t> </w:t>
      </w:r>
      <w:r>
        <w:rPr/>
        <w:t>in</w:t>
      </w:r>
      <w:r>
        <w:rPr>
          <w:spacing w:val="-22"/>
        </w:rPr>
        <w:t> </w:t>
      </w:r>
      <w:r>
        <w:rPr/>
        <w:t>other</w:t>
      </w:r>
      <w:r>
        <w:rPr>
          <w:spacing w:val="-22"/>
        </w:rPr>
        <w:t> </w:t>
      </w:r>
      <w:r>
        <w:rPr/>
        <w:t>countries</w:t>
      </w:r>
      <w:r>
        <w:rPr>
          <w:spacing w:val="-22"/>
        </w:rPr>
        <w:t> </w:t>
      </w:r>
      <w:r>
        <w:rPr/>
        <w:t>that</w:t>
      </w:r>
      <w:r>
        <w:rPr>
          <w:spacing w:val="-23"/>
        </w:rPr>
        <w:t> </w:t>
      </w:r>
      <w:r>
        <w:rPr/>
        <w:t>belong</w:t>
      </w:r>
      <w:r>
        <w:rPr>
          <w:spacing w:val="-22"/>
        </w:rPr>
        <w:t> </w:t>
      </w:r>
      <w:r>
        <w:rPr/>
        <w:t>to</w:t>
      </w:r>
      <w:r>
        <w:rPr>
          <w:spacing w:val="-24"/>
        </w:rPr>
        <w:t> </w:t>
      </w:r>
      <w:r>
        <w:rPr/>
        <w:t>our</w:t>
      </w:r>
      <w:r>
        <w:rPr>
          <w:spacing w:val="-22"/>
        </w:rPr>
        <w:t> </w:t>
      </w:r>
      <w:r>
        <w:rPr/>
        <w:t>same</w:t>
      </w:r>
      <w:r>
        <w:rPr>
          <w:spacing w:val="-22"/>
        </w:rPr>
        <w:t> </w:t>
      </w:r>
      <w:r>
        <w:rPr/>
        <w:t>trade zone and yet vigorously repressed and persecuted in our own esteemed coun- try? How can it be that there are cancer and AIDS clinics in the United States and Japan that are specialised in treatment with organic germanium and per- form</w:t>
      </w:r>
      <w:r>
        <w:rPr>
          <w:spacing w:val="-14"/>
        </w:rPr>
        <w:t> </w:t>
      </w:r>
      <w:r>
        <w:rPr/>
        <w:t>successful</w:t>
      </w:r>
      <w:r>
        <w:rPr>
          <w:spacing w:val="-17"/>
        </w:rPr>
        <w:t> </w:t>
      </w:r>
      <w:r>
        <w:rPr/>
        <w:t>treatments,</w:t>
      </w:r>
      <w:r>
        <w:rPr>
          <w:spacing w:val="-13"/>
        </w:rPr>
        <w:t> </w:t>
      </w:r>
      <w:r>
        <w:rPr/>
        <w:t>while</w:t>
      </w:r>
      <w:r>
        <w:rPr>
          <w:spacing w:val="-15"/>
        </w:rPr>
        <w:t> </w:t>
      </w:r>
      <w:r>
        <w:rPr/>
        <w:t>in</w:t>
      </w:r>
      <w:r>
        <w:rPr>
          <w:spacing w:val="-13"/>
        </w:rPr>
        <w:t> </w:t>
      </w:r>
      <w:r>
        <w:rPr/>
        <w:t>this</w:t>
      </w:r>
      <w:r>
        <w:rPr>
          <w:spacing w:val="-13"/>
        </w:rPr>
        <w:t> </w:t>
      </w:r>
      <w:r>
        <w:rPr/>
        <w:t>country</w:t>
      </w:r>
      <w:r>
        <w:rPr>
          <w:spacing w:val="-17"/>
        </w:rPr>
        <w:t> </w:t>
      </w:r>
      <w:r>
        <w:rPr/>
        <w:t>it</w:t>
      </w:r>
      <w:r>
        <w:rPr>
          <w:spacing w:val="-15"/>
        </w:rPr>
        <w:t> </w:t>
      </w:r>
      <w:r>
        <w:rPr/>
        <w:t>is</w:t>
      </w:r>
      <w:r>
        <w:rPr>
          <w:spacing w:val="-13"/>
        </w:rPr>
        <w:t> </w:t>
      </w:r>
      <w:r>
        <w:rPr/>
        <w:t>most</w:t>
      </w:r>
      <w:r>
        <w:rPr>
          <w:spacing w:val="-16"/>
        </w:rPr>
        <w:t> </w:t>
      </w:r>
      <w:r>
        <w:rPr/>
        <w:t>likely</w:t>
      </w:r>
      <w:r>
        <w:rPr>
          <w:spacing w:val="-13"/>
        </w:rPr>
        <w:t> </w:t>
      </w:r>
      <w:r>
        <w:rPr/>
        <w:t>that</w:t>
      </w:r>
      <w:r>
        <w:rPr>
          <w:spacing w:val="-15"/>
        </w:rPr>
        <w:t> </w:t>
      </w:r>
      <w:r>
        <w:rPr/>
        <w:t>your</w:t>
      </w:r>
      <w:r>
        <w:rPr>
          <w:spacing w:val="-13"/>
        </w:rPr>
        <w:t> </w:t>
      </w:r>
      <w:r>
        <w:rPr/>
        <w:t>own doctor has never even heard of organic germanium? A question that could be answered</w:t>
      </w:r>
      <w:r>
        <w:rPr>
          <w:spacing w:val="-10"/>
        </w:rPr>
        <w:t> </w:t>
      </w:r>
      <w:r>
        <w:rPr/>
        <w:t>if</w:t>
      </w:r>
      <w:r>
        <w:rPr>
          <w:spacing w:val="-10"/>
        </w:rPr>
        <w:t> </w:t>
      </w:r>
      <w:r>
        <w:rPr/>
        <w:t>you</w:t>
      </w:r>
      <w:r>
        <w:rPr>
          <w:spacing w:val="-13"/>
        </w:rPr>
        <w:t> </w:t>
      </w:r>
      <w:r>
        <w:rPr/>
        <w:t>were</w:t>
      </w:r>
      <w:r>
        <w:rPr>
          <w:spacing w:val="-9"/>
        </w:rPr>
        <w:t> </w:t>
      </w:r>
      <w:r>
        <w:rPr/>
        <w:t>to</w:t>
      </w:r>
      <w:r>
        <w:rPr>
          <w:spacing w:val="-10"/>
        </w:rPr>
        <w:t> </w:t>
      </w:r>
      <w:r>
        <w:rPr/>
        <w:t>research</w:t>
      </w:r>
      <w:r>
        <w:rPr>
          <w:spacing w:val="-11"/>
        </w:rPr>
        <w:t> </w:t>
      </w:r>
      <w:r>
        <w:rPr/>
        <w:t>the</w:t>
      </w:r>
      <w:r>
        <w:rPr>
          <w:spacing w:val="-8"/>
        </w:rPr>
        <w:t> </w:t>
      </w:r>
      <w:r>
        <w:rPr/>
        <w:t>power</w:t>
      </w:r>
      <w:r>
        <w:rPr>
          <w:spacing w:val="-9"/>
        </w:rPr>
        <w:t> </w:t>
      </w:r>
      <w:r>
        <w:rPr/>
        <w:t>of</w:t>
      </w:r>
      <w:r>
        <w:rPr>
          <w:spacing w:val="-12"/>
        </w:rPr>
        <w:t> </w:t>
      </w:r>
      <w:r>
        <w:rPr/>
        <w:t>lobbyists</w:t>
      </w:r>
      <w:r>
        <w:rPr>
          <w:spacing w:val="-8"/>
        </w:rPr>
        <w:t> </w:t>
      </w:r>
      <w:r>
        <w:rPr/>
        <w:t>in</w:t>
      </w:r>
      <w:r>
        <w:rPr>
          <w:spacing w:val="-12"/>
        </w:rPr>
        <w:t> </w:t>
      </w:r>
      <w:r>
        <w:rPr/>
        <w:t>our</w:t>
      </w:r>
      <w:r>
        <w:rPr>
          <w:spacing w:val="-9"/>
        </w:rPr>
        <w:t> </w:t>
      </w:r>
      <w:r>
        <w:rPr/>
        <w:t>political</w:t>
      </w:r>
      <w:r>
        <w:rPr>
          <w:spacing w:val="-11"/>
        </w:rPr>
        <w:t> </w:t>
      </w:r>
      <w:r>
        <w:rPr/>
        <w:t>system and identify the dominant branches in that</w:t>
      </w:r>
      <w:r>
        <w:rPr>
          <w:spacing w:val="3"/>
        </w:rPr>
        <w:t> </w:t>
      </w:r>
      <w:r>
        <w:rPr/>
        <w:t>lobbying...</w:t>
      </w:r>
    </w:p>
    <w:p>
      <w:pPr>
        <w:pStyle w:val="BodyText"/>
        <w:spacing w:line="276" w:lineRule="auto" w:before="241"/>
        <w:ind w:left="616" w:right="136"/>
        <w:jc w:val="both"/>
      </w:pPr>
      <w:r>
        <w:rPr/>
        <w:t>The wish remains to this date that the decisive structures of our health</w:t>
      </w:r>
      <w:r>
        <w:rPr>
          <w:spacing w:val="-43"/>
        </w:rPr>
        <w:t> </w:t>
      </w:r>
      <w:r>
        <w:rPr/>
        <w:t>system turn</w:t>
      </w:r>
      <w:r>
        <w:rPr>
          <w:spacing w:val="-6"/>
        </w:rPr>
        <w:t> </w:t>
      </w:r>
      <w:r>
        <w:rPr/>
        <w:t>180</w:t>
      </w:r>
      <w:r>
        <w:rPr>
          <w:spacing w:val="-7"/>
        </w:rPr>
        <w:t> </w:t>
      </w:r>
      <w:r>
        <w:rPr/>
        <w:t>degrees</w:t>
      </w:r>
      <w:r>
        <w:rPr>
          <w:spacing w:val="-5"/>
        </w:rPr>
        <w:t> </w:t>
      </w:r>
      <w:r>
        <w:rPr/>
        <w:t>in</w:t>
      </w:r>
      <w:r>
        <w:rPr>
          <w:spacing w:val="-7"/>
        </w:rPr>
        <w:t> </w:t>
      </w:r>
      <w:r>
        <w:rPr/>
        <w:t>favour</w:t>
      </w:r>
      <w:r>
        <w:rPr>
          <w:spacing w:val="-6"/>
        </w:rPr>
        <w:t> </w:t>
      </w:r>
      <w:r>
        <w:rPr/>
        <w:t>of</w:t>
      </w:r>
      <w:r>
        <w:rPr>
          <w:spacing w:val="-6"/>
        </w:rPr>
        <w:t> </w:t>
      </w:r>
      <w:r>
        <w:rPr/>
        <w:t>the</w:t>
      </w:r>
      <w:r>
        <w:rPr>
          <w:spacing w:val="-6"/>
        </w:rPr>
        <w:t> </w:t>
      </w:r>
      <w:r>
        <w:rPr/>
        <w:t>species</w:t>
      </w:r>
      <w:r>
        <w:rPr>
          <w:spacing w:val="-5"/>
        </w:rPr>
        <w:t> </w:t>
      </w:r>
      <w:r>
        <w:rPr/>
        <w:t>‘human</w:t>
      </w:r>
      <w:r>
        <w:rPr>
          <w:spacing w:val="-6"/>
        </w:rPr>
        <w:t> </w:t>
      </w:r>
      <w:r>
        <w:rPr/>
        <w:t>being’</w:t>
      </w:r>
      <w:r>
        <w:rPr>
          <w:spacing w:val="-6"/>
        </w:rPr>
        <w:t> </w:t>
      </w:r>
      <w:r>
        <w:rPr/>
        <w:t>and</w:t>
      </w:r>
      <w:r>
        <w:rPr>
          <w:spacing w:val="-6"/>
        </w:rPr>
        <w:t> </w:t>
      </w:r>
      <w:r>
        <w:rPr/>
        <w:t>that</w:t>
      </w:r>
      <w:r>
        <w:rPr>
          <w:spacing w:val="-6"/>
        </w:rPr>
        <w:t> </w:t>
      </w:r>
      <w:r>
        <w:rPr/>
        <w:t>a</w:t>
      </w:r>
      <w:r>
        <w:rPr>
          <w:spacing w:val="-8"/>
        </w:rPr>
        <w:t> </w:t>
      </w:r>
      <w:r>
        <w:rPr/>
        <w:t>remedy</w:t>
      </w:r>
      <w:r>
        <w:rPr>
          <w:spacing w:val="-5"/>
        </w:rPr>
        <w:t> </w:t>
      </w:r>
      <w:r>
        <w:rPr/>
        <w:t>like organic germanium receives the place that it unquestionably deserves in</w:t>
      </w:r>
      <w:r>
        <w:rPr>
          <w:spacing w:val="-48"/>
        </w:rPr>
        <w:t> </w:t>
      </w:r>
      <w:r>
        <w:rPr/>
        <w:t>medi- cal treatment and the prevention of disease.</w:t>
      </w:r>
    </w:p>
    <w:p>
      <w:pPr>
        <w:spacing w:after="0" w:line="276" w:lineRule="auto"/>
        <w:jc w:val="both"/>
        <w:sectPr>
          <w:pgSz w:w="14270" w:h="16850"/>
          <w:pgMar w:header="0" w:footer="1891" w:top="1340" w:bottom="2080" w:left="800" w:right="1280"/>
        </w:sectPr>
      </w:pPr>
    </w:p>
    <w:p>
      <w:pPr>
        <w:spacing w:before="73"/>
        <w:ind w:left="616" w:right="0" w:firstLine="0"/>
        <w:jc w:val="both"/>
        <w:rPr>
          <w:rFonts w:ascii="Cambria"/>
          <w:b/>
          <w:sz w:val="28"/>
        </w:rPr>
      </w:pPr>
      <w:r>
        <w:rPr>
          <w:rFonts w:ascii="Cambria"/>
          <w:b/>
          <w:color w:val="365F91"/>
          <w:sz w:val="28"/>
        </w:rPr>
        <w:t>PAPAYA/PAPAIN</w:t>
      </w:r>
    </w:p>
    <w:p>
      <w:pPr>
        <w:spacing w:before="275"/>
        <w:ind w:left="616" w:right="0" w:firstLine="0"/>
        <w:jc w:val="both"/>
        <w:rPr>
          <w:b/>
          <w:sz w:val="38"/>
        </w:rPr>
      </w:pPr>
      <w:r>
        <w:rPr>
          <w:b/>
          <w:sz w:val="38"/>
        </w:rPr>
        <w:t>Papaya – the ‘</w:t>
      </w:r>
      <w:r>
        <w:rPr>
          <w:b/>
          <w:i/>
          <w:sz w:val="40"/>
        </w:rPr>
        <w:t>Fruit of the Angels</w:t>
      </w:r>
      <w:r>
        <w:rPr>
          <w:b/>
          <w:sz w:val="38"/>
        </w:rPr>
        <w:t>’</w:t>
      </w:r>
    </w:p>
    <w:p>
      <w:pPr>
        <w:pStyle w:val="BodyText"/>
        <w:spacing w:line="276" w:lineRule="auto" w:before="297"/>
        <w:ind w:left="616" w:right="131"/>
        <w:jc w:val="both"/>
      </w:pPr>
      <w:r>
        <w:rPr/>
        <w:t>It was surely the delicious taste first of all that caused Columbus, upon his discovery of the papaya fruit, to call it the ‘fruit of the angels’. That papaya could have so much more to offer than its refreshingly delicious taste—that, of</w:t>
      </w:r>
      <w:r>
        <w:rPr>
          <w:spacing w:val="-8"/>
        </w:rPr>
        <w:t> </w:t>
      </w:r>
      <w:r>
        <w:rPr/>
        <w:t>course,</w:t>
      </w:r>
      <w:r>
        <w:rPr>
          <w:spacing w:val="-9"/>
        </w:rPr>
        <w:t> </w:t>
      </w:r>
      <w:r>
        <w:rPr/>
        <w:t>Columbus</w:t>
      </w:r>
      <w:r>
        <w:rPr>
          <w:spacing w:val="-8"/>
        </w:rPr>
        <w:t> </w:t>
      </w:r>
      <w:r>
        <w:rPr/>
        <w:t>could</w:t>
      </w:r>
      <w:r>
        <w:rPr>
          <w:spacing w:val="-8"/>
        </w:rPr>
        <w:t> </w:t>
      </w:r>
      <w:r>
        <w:rPr/>
        <w:t>not</w:t>
      </w:r>
      <w:r>
        <w:rPr>
          <w:spacing w:val="-12"/>
        </w:rPr>
        <w:t> </w:t>
      </w:r>
      <w:r>
        <w:rPr/>
        <w:t>have</w:t>
      </w:r>
      <w:r>
        <w:rPr>
          <w:spacing w:val="-8"/>
        </w:rPr>
        <w:t> </w:t>
      </w:r>
      <w:r>
        <w:rPr/>
        <w:t>guessed</w:t>
      </w:r>
      <w:r>
        <w:rPr>
          <w:spacing w:val="-8"/>
        </w:rPr>
        <w:t> </w:t>
      </w:r>
      <w:r>
        <w:rPr/>
        <w:t>after</w:t>
      </w:r>
      <w:r>
        <w:rPr>
          <w:spacing w:val="-7"/>
        </w:rPr>
        <w:t> </w:t>
      </w:r>
      <w:r>
        <w:rPr/>
        <w:t>his</w:t>
      </w:r>
      <w:r>
        <w:rPr>
          <w:spacing w:val="-9"/>
        </w:rPr>
        <w:t> </w:t>
      </w:r>
      <w:r>
        <w:rPr/>
        <w:t>first</w:t>
      </w:r>
      <w:r>
        <w:rPr>
          <w:spacing w:val="-10"/>
        </w:rPr>
        <w:t> </w:t>
      </w:r>
      <w:r>
        <w:rPr/>
        <w:t>encounter</w:t>
      </w:r>
      <w:r>
        <w:rPr>
          <w:spacing w:val="-7"/>
        </w:rPr>
        <w:t> </w:t>
      </w:r>
      <w:r>
        <w:rPr/>
        <w:t>with</w:t>
      </w:r>
      <w:r>
        <w:rPr>
          <w:spacing w:val="-7"/>
        </w:rPr>
        <w:t> </w:t>
      </w:r>
      <w:r>
        <w:rPr/>
        <w:t>this potential natural</w:t>
      </w:r>
      <w:r>
        <w:rPr>
          <w:spacing w:val="1"/>
        </w:rPr>
        <w:t> </w:t>
      </w:r>
      <w:r>
        <w:rPr/>
        <w:t>remedy.</w:t>
      </w:r>
    </w:p>
    <w:p>
      <w:pPr>
        <w:pStyle w:val="BodyText"/>
        <w:spacing w:line="276" w:lineRule="auto" w:before="240"/>
        <w:ind w:left="616" w:right="135"/>
        <w:jc w:val="both"/>
      </w:pPr>
      <w:r>
        <w:rPr/>
        <w:t>The</w:t>
      </w:r>
      <w:r>
        <w:rPr>
          <w:spacing w:val="-19"/>
        </w:rPr>
        <w:t> </w:t>
      </w:r>
      <w:r>
        <w:rPr/>
        <w:t>detoxifying,</w:t>
      </w:r>
      <w:r>
        <w:rPr>
          <w:spacing w:val="-16"/>
        </w:rPr>
        <w:t> </w:t>
      </w:r>
      <w:r>
        <w:rPr/>
        <w:t>purifying,</w:t>
      </w:r>
      <w:r>
        <w:rPr>
          <w:spacing w:val="-18"/>
        </w:rPr>
        <w:t> </w:t>
      </w:r>
      <w:r>
        <w:rPr/>
        <w:t>immune-strengthening</w:t>
      </w:r>
      <w:r>
        <w:rPr>
          <w:spacing w:val="-18"/>
        </w:rPr>
        <w:t> </w:t>
      </w:r>
      <w:r>
        <w:rPr/>
        <w:t>–</w:t>
      </w:r>
      <w:r>
        <w:rPr>
          <w:spacing w:val="-20"/>
        </w:rPr>
        <w:t> </w:t>
      </w:r>
      <w:r>
        <w:rPr/>
        <w:t>in</w:t>
      </w:r>
      <w:r>
        <w:rPr>
          <w:spacing w:val="-19"/>
        </w:rPr>
        <w:t> </w:t>
      </w:r>
      <w:r>
        <w:rPr/>
        <w:t>short:</w:t>
      </w:r>
      <w:r>
        <w:rPr>
          <w:spacing w:val="-22"/>
        </w:rPr>
        <w:t> </w:t>
      </w:r>
      <w:r>
        <w:rPr/>
        <w:t>the</w:t>
      </w:r>
      <w:r>
        <w:rPr>
          <w:spacing w:val="-20"/>
        </w:rPr>
        <w:t> </w:t>
      </w:r>
      <w:r>
        <w:rPr/>
        <w:t>healing</w:t>
      </w:r>
      <w:r>
        <w:rPr>
          <w:spacing w:val="-18"/>
        </w:rPr>
        <w:t> </w:t>
      </w:r>
      <w:r>
        <w:rPr/>
        <w:t>effect of papaya has been appreciated for centuries by native peoples around the globe</w:t>
      </w:r>
      <w:r>
        <w:rPr>
          <w:spacing w:val="-22"/>
        </w:rPr>
        <w:t> </w:t>
      </w:r>
      <w:r>
        <w:rPr/>
        <w:t>and</w:t>
      </w:r>
      <w:r>
        <w:rPr>
          <w:spacing w:val="-21"/>
        </w:rPr>
        <w:t> </w:t>
      </w:r>
      <w:r>
        <w:rPr/>
        <w:t>used</w:t>
      </w:r>
      <w:r>
        <w:rPr>
          <w:spacing w:val="-21"/>
        </w:rPr>
        <w:t> </w:t>
      </w:r>
      <w:r>
        <w:rPr/>
        <w:t>on</w:t>
      </w:r>
      <w:r>
        <w:rPr>
          <w:spacing w:val="-22"/>
        </w:rPr>
        <w:t> </w:t>
      </w:r>
      <w:r>
        <w:rPr/>
        <w:t>all</w:t>
      </w:r>
      <w:r>
        <w:rPr>
          <w:spacing w:val="-23"/>
        </w:rPr>
        <w:t> </w:t>
      </w:r>
      <w:r>
        <w:rPr/>
        <w:t>variety</w:t>
      </w:r>
      <w:r>
        <w:rPr>
          <w:spacing w:val="-21"/>
        </w:rPr>
        <w:t> </w:t>
      </w:r>
      <w:r>
        <w:rPr/>
        <w:t>of</w:t>
      </w:r>
      <w:r>
        <w:rPr>
          <w:spacing w:val="-22"/>
        </w:rPr>
        <w:t> </w:t>
      </w:r>
      <w:r>
        <w:rPr/>
        <w:t>illnesses</w:t>
      </w:r>
      <w:r>
        <w:rPr>
          <w:spacing w:val="-20"/>
        </w:rPr>
        <w:t> </w:t>
      </w:r>
      <w:r>
        <w:rPr/>
        <w:t>and</w:t>
      </w:r>
      <w:r>
        <w:rPr>
          <w:spacing w:val="-24"/>
        </w:rPr>
        <w:t> </w:t>
      </w:r>
      <w:r>
        <w:rPr/>
        <w:t>complaints,</w:t>
      </w:r>
      <w:r>
        <w:rPr>
          <w:spacing w:val="-21"/>
        </w:rPr>
        <w:t> </w:t>
      </w:r>
      <w:r>
        <w:rPr/>
        <w:t>e.g.</w:t>
      </w:r>
      <w:r>
        <w:rPr>
          <w:spacing w:val="-23"/>
        </w:rPr>
        <w:t> </w:t>
      </w:r>
      <w:r>
        <w:rPr/>
        <w:t>by</w:t>
      </w:r>
      <w:r>
        <w:rPr>
          <w:spacing w:val="-21"/>
        </w:rPr>
        <w:t> </w:t>
      </w:r>
      <w:r>
        <w:rPr/>
        <w:t>the</w:t>
      </w:r>
      <w:r>
        <w:rPr>
          <w:spacing w:val="-23"/>
        </w:rPr>
        <w:t> </w:t>
      </w:r>
      <w:r>
        <w:rPr/>
        <w:t>Aborigines, the Indians of Central and South America, the native peoples of India, the Kahunas and even the</w:t>
      </w:r>
      <w:r>
        <w:rPr>
          <w:spacing w:val="4"/>
        </w:rPr>
        <w:t> </w:t>
      </w:r>
      <w:r>
        <w:rPr/>
        <w:t>Chinese.</w:t>
      </w:r>
    </w:p>
    <w:p>
      <w:pPr>
        <w:pStyle w:val="BodyText"/>
        <w:spacing w:line="276" w:lineRule="auto" w:before="239"/>
        <w:ind w:left="616" w:right="134"/>
        <w:jc w:val="both"/>
      </w:pPr>
      <w:r>
        <w:rPr/>
        <w:t>For</w:t>
      </w:r>
      <w:r>
        <w:rPr>
          <w:spacing w:val="-13"/>
        </w:rPr>
        <w:t> </w:t>
      </w:r>
      <w:r>
        <w:rPr/>
        <w:t>the</w:t>
      </w:r>
      <w:r>
        <w:rPr>
          <w:spacing w:val="-15"/>
        </w:rPr>
        <w:t> </w:t>
      </w:r>
      <w:r>
        <w:rPr/>
        <w:t>native</w:t>
      </w:r>
      <w:r>
        <w:rPr>
          <w:spacing w:val="-14"/>
        </w:rPr>
        <w:t> </w:t>
      </w:r>
      <w:r>
        <w:rPr/>
        <w:t>Australians</w:t>
      </w:r>
      <w:r>
        <w:rPr>
          <w:spacing w:val="-13"/>
        </w:rPr>
        <w:t> </w:t>
      </w:r>
      <w:r>
        <w:rPr/>
        <w:t>(Aborigines)</w:t>
      </w:r>
      <w:r>
        <w:rPr>
          <w:spacing w:val="-14"/>
        </w:rPr>
        <w:t> </w:t>
      </w:r>
      <w:r>
        <w:rPr/>
        <w:t>and</w:t>
      </w:r>
      <w:r>
        <w:rPr>
          <w:spacing w:val="-13"/>
        </w:rPr>
        <w:t> </w:t>
      </w:r>
      <w:r>
        <w:rPr/>
        <w:t>the</w:t>
      </w:r>
      <w:r>
        <w:rPr>
          <w:spacing w:val="-15"/>
        </w:rPr>
        <w:t> </w:t>
      </w:r>
      <w:r>
        <w:rPr/>
        <w:t>Kahunas</w:t>
      </w:r>
      <w:r>
        <w:rPr>
          <w:spacing w:val="-13"/>
        </w:rPr>
        <w:t> </w:t>
      </w:r>
      <w:r>
        <w:rPr/>
        <w:t>on</w:t>
      </w:r>
      <w:r>
        <w:rPr>
          <w:spacing w:val="-14"/>
        </w:rPr>
        <w:t> </w:t>
      </w:r>
      <w:r>
        <w:rPr/>
        <w:t>Hawaii,</w:t>
      </w:r>
      <w:r>
        <w:rPr>
          <w:spacing w:val="-13"/>
        </w:rPr>
        <w:t> </w:t>
      </w:r>
      <w:r>
        <w:rPr/>
        <w:t>this</w:t>
      </w:r>
      <w:r>
        <w:rPr>
          <w:spacing w:val="-13"/>
        </w:rPr>
        <w:t> </w:t>
      </w:r>
      <w:r>
        <w:rPr/>
        <w:t>‘mag- ical</w:t>
      </w:r>
      <w:r>
        <w:rPr>
          <w:spacing w:val="-22"/>
        </w:rPr>
        <w:t> </w:t>
      </w:r>
      <w:r>
        <w:rPr/>
        <w:t>fruit’</w:t>
      </w:r>
      <w:r>
        <w:rPr>
          <w:spacing w:val="-21"/>
        </w:rPr>
        <w:t> </w:t>
      </w:r>
      <w:r>
        <w:rPr/>
        <w:t>is</w:t>
      </w:r>
      <w:r>
        <w:rPr>
          <w:spacing w:val="-21"/>
        </w:rPr>
        <w:t> </w:t>
      </w:r>
      <w:r>
        <w:rPr/>
        <w:t>THE</w:t>
      </w:r>
      <w:r>
        <w:rPr>
          <w:spacing w:val="-18"/>
        </w:rPr>
        <w:t> </w:t>
      </w:r>
      <w:r>
        <w:rPr/>
        <w:t>cancer</w:t>
      </w:r>
      <w:r>
        <w:rPr>
          <w:spacing w:val="-20"/>
        </w:rPr>
        <w:t> </w:t>
      </w:r>
      <w:r>
        <w:rPr/>
        <w:t>remedy</w:t>
      </w:r>
      <w:r>
        <w:rPr>
          <w:spacing w:val="-20"/>
        </w:rPr>
        <w:t> </w:t>
      </w:r>
      <w:r>
        <w:rPr/>
        <w:t>per</w:t>
      </w:r>
      <w:r>
        <w:rPr>
          <w:spacing w:val="-20"/>
        </w:rPr>
        <w:t> </w:t>
      </w:r>
      <w:r>
        <w:rPr/>
        <w:t>se</w:t>
      </w:r>
      <w:r>
        <w:rPr>
          <w:spacing w:val="-16"/>
        </w:rPr>
        <w:t> </w:t>
      </w:r>
      <w:r>
        <w:rPr/>
        <w:t>–</w:t>
      </w:r>
      <w:r>
        <w:rPr>
          <w:spacing w:val="-21"/>
        </w:rPr>
        <w:t> </w:t>
      </w:r>
      <w:r>
        <w:rPr/>
        <w:t>and</w:t>
      </w:r>
      <w:r>
        <w:rPr>
          <w:spacing w:val="-20"/>
        </w:rPr>
        <w:t> </w:t>
      </w:r>
      <w:r>
        <w:rPr/>
        <w:t>this</w:t>
      </w:r>
      <w:r>
        <w:rPr>
          <w:spacing w:val="-19"/>
        </w:rPr>
        <w:t> </w:t>
      </w:r>
      <w:r>
        <w:rPr/>
        <w:t>rightfully,</w:t>
      </w:r>
      <w:r>
        <w:rPr>
          <w:spacing w:val="-20"/>
        </w:rPr>
        <w:t> </w:t>
      </w:r>
      <w:r>
        <w:rPr/>
        <w:t>as</w:t>
      </w:r>
      <w:r>
        <w:rPr>
          <w:spacing w:val="-20"/>
        </w:rPr>
        <w:t> </w:t>
      </w:r>
      <w:r>
        <w:rPr/>
        <w:t>the</w:t>
      </w:r>
      <w:r>
        <w:rPr>
          <w:spacing w:val="-17"/>
        </w:rPr>
        <w:t> </w:t>
      </w:r>
      <w:r>
        <w:rPr/>
        <w:t>600</w:t>
      </w:r>
      <w:r>
        <w:rPr>
          <w:spacing w:val="-21"/>
        </w:rPr>
        <w:t> </w:t>
      </w:r>
      <w:r>
        <w:rPr/>
        <w:t>scientific studies about the cancer-healing powers of papaya</w:t>
      </w:r>
      <w:r>
        <w:rPr>
          <w:spacing w:val="-3"/>
        </w:rPr>
        <w:t> </w:t>
      </w:r>
      <w:r>
        <w:rPr/>
        <w:t>reinforce!</w:t>
      </w:r>
    </w:p>
    <w:p>
      <w:pPr>
        <w:pStyle w:val="BodyText"/>
        <w:spacing w:line="276" w:lineRule="auto" w:before="242"/>
        <w:ind w:left="616" w:right="135"/>
        <w:jc w:val="both"/>
      </w:pPr>
      <w:r>
        <w:rPr/>
        <w:t>The immune-strengthening, detoxifying and base-forming potential of papaya in connection with many other mechanisms of action lead to as yet unrecog- nised healing possibilities as well as to relief of numerous diseases and disor- ders.</w:t>
      </w:r>
    </w:p>
    <w:p>
      <w:pPr>
        <w:spacing w:after="0" w:line="276" w:lineRule="auto"/>
        <w:jc w:val="both"/>
        <w:sectPr>
          <w:pgSz w:w="14270" w:h="16850"/>
          <w:pgMar w:header="0" w:footer="1891" w:top="1340" w:bottom="2080" w:left="800" w:right="1280"/>
        </w:sectPr>
      </w:pPr>
    </w:p>
    <w:p>
      <w:pPr>
        <w:pStyle w:val="Heading2"/>
        <w:spacing w:before="74"/>
        <w:ind w:left="616"/>
      </w:pPr>
      <w:r>
        <w:rPr/>
        <w:t>Papaya – the basic botanical information</w:t>
      </w:r>
    </w:p>
    <w:p>
      <w:pPr>
        <w:spacing w:before="287"/>
        <w:ind w:left="616" w:right="0" w:firstLine="0"/>
        <w:jc w:val="left"/>
        <w:rPr>
          <w:b/>
          <w:i/>
          <w:sz w:val="40"/>
        </w:rPr>
      </w:pPr>
      <w:r>
        <w:rPr>
          <w:b/>
          <w:i/>
          <w:sz w:val="40"/>
        </w:rPr>
        <w:t>Name</w:t>
      </w:r>
    </w:p>
    <w:p>
      <w:pPr>
        <w:pStyle w:val="BodyText"/>
        <w:spacing w:line="276" w:lineRule="auto" w:before="297"/>
        <w:ind w:left="616" w:right="136"/>
        <w:jc w:val="both"/>
      </w:pPr>
      <w:r>
        <w:rPr/>
        <w:t>The papaya (botanical name ‘Carica papaya’) is also called the ‘melon tree’ or ‘papaya tree’, and sometimes also the ‘Poor Man’s Banana’ or the ‘Hoosier Banana’. It belongs to the plant family of the melon tree plant. The name ‘pa- paya’ originates in the language of the Arawak Indians, who have used the pa- paya fruit for ages as a medicinal plant.</w:t>
      </w:r>
    </w:p>
    <w:p>
      <w:pPr>
        <w:pStyle w:val="Heading1"/>
        <w:spacing w:before="226"/>
        <w:ind w:left="616"/>
      </w:pPr>
      <w:r>
        <w:rPr/>
        <w:t>Appearance</w:t>
      </w:r>
    </w:p>
    <w:p>
      <w:pPr>
        <w:pStyle w:val="BodyText"/>
        <w:spacing w:line="276" w:lineRule="auto" w:before="299"/>
        <w:ind w:left="616" w:right="133"/>
        <w:jc w:val="both"/>
      </w:pPr>
      <w:r>
        <w:rPr/>
        <w:t>The papaya fruit grows on papaya trees that are approx. 3-8 m tall, often in a bunch of up to 9 individual fruits. Their shapes range from pear-like to oval and become about 8-15 cm long and weigh up to 400 g.</w:t>
      </w:r>
    </w:p>
    <w:p>
      <w:pPr>
        <w:pStyle w:val="BodyText"/>
        <w:spacing w:line="276" w:lineRule="auto" w:before="239"/>
        <w:ind w:left="616" w:right="135"/>
        <w:jc w:val="both"/>
      </w:pPr>
      <w:r>
        <w:rPr/>
        <w:t>The still unripe papaya fruit is green; once it ripens, it takes on a yellow-green to yellow-orange colour. Within the papaya is a hollow space; the flesh is, in- dependently of type and ripeness, yellow to dark orange. In the middle, there are the black pits which resemble peppercorns.</w:t>
      </w:r>
    </w:p>
    <w:p>
      <w:pPr>
        <w:pStyle w:val="Heading1"/>
        <w:spacing w:before="222"/>
        <w:ind w:left="616"/>
      </w:pPr>
      <w:r>
        <w:rPr/>
        <w:t>Taste</w:t>
      </w:r>
    </w:p>
    <w:p>
      <w:pPr>
        <w:pStyle w:val="BodyText"/>
        <w:spacing w:line="278" w:lineRule="auto" w:before="299"/>
        <w:ind w:left="616" w:right="137"/>
        <w:jc w:val="both"/>
      </w:pPr>
      <w:r>
        <w:rPr/>
        <w:t>The</w:t>
      </w:r>
      <w:r>
        <w:rPr>
          <w:spacing w:val="-15"/>
        </w:rPr>
        <w:t> </w:t>
      </w:r>
      <w:r>
        <w:rPr/>
        <w:t>flesh</w:t>
      </w:r>
      <w:r>
        <w:rPr>
          <w:spacing w:val="-15"/>
        </w:rPr>
        <w:t> </w:t>
      </w:r>
      <w:r>
        <w:rPr/>
        <w:t>of</w:t>
      </w:r>
      <w:r>
        <w:rPr>
          <w:spacing w:val="-15"/>
        </w:rPr>
        <w:t> </w:t>
      </w:r>
      <w:r>
        <w:rPr/>
        <w:t>the</w:t>
      </w:r>
      <w:r>
        <w:rPr>
          <w:spacing w:val="-14"/>
        </w:rPr>
        <w:t> </w:t>
      </w:r>
      <w:r>
        <w:rPr/>
        <w:t>papaya</w:t>
      </w:r>
      <w:r>
        <w:rPr>
          <w:spacing w:val="-16"/>
        </w:rPr>
        <w:t> </w:t>
      </w:r>
      <w:r>
        <w:rPr/>
        <w:t>fruit</w:t>
      </w:r>
      <w:r>
        <w:rPr>
          <w:spacing w:val="-17"/>
        </w:rPr>
        <w:t> </w:t>
      </w:r>
      <w:r>
        <w:rPr/>
        <w:t>resembles</w:t>
      </w:r>
      <w:r>
        <w:rPr>
          <w:spacing w:val="-15"/>
        </w:rPr>
        <w:t> </w:t>
      </w:r>
      <w:r>
        <w:rPr/>
        <w:t>that</w:t>
      </w:r>
      <w:r>
        <w:rPr>
          <w:spacing w:val="-16"/>
        </w:rPr>
        <w:t> </w:t>
      </w:r>
      <w:r>
        <w:rPr/>
        <w:t>of</w:t>
      </w:r>
      <w:r>
        <w:rPr>
          <w:spacing w:val="-15"/>
        </w:rPr>
        <w:t> </w:t>
      </w:r>
      <w:r>
        <w:rPr/>
        <w:t>the</w:t>
      </w:r>
      <w:r>
        <w:rPr>
          <w:spacing w:val="-13"/>
        </w:rPr>
        <w:t> </w:t>
      </w:r>
      <w:r>
        <w:rPr/>
        <w:t>melon</w:t>
      </w:r>
      <w:r>
        <w:rPr>
          <w:spacing w:val="-15"/>
        </w:rPr>
        <w:t> </w:t>
      </w:r>
      <w:r>
        <w:rPr/>
        <w:t>or</w:t>
      </w:r>
      <w:r>
        <w:rPr>
          <w:spacing w:val="-15"/>
        </w:rPr>
        <w:t> </w:t>
      </w:r>
      <w:r>
        <w:rPr/>
        <w:t>apricot,</w:t>
      </w:r>
      <w:r>
        <w:rPr>
          <w:spacing w:val="-15"/>
        </w:rPr>
        <w:t> </w:t>
      </w:r>
      <w:r>
        <w:rPr/>
        <w:t>but</w:t>
      </w:r>
      <w:r>
        <w:rPr>
          <w:spacing w:val="-16"/>
        </w:rPr>
        <w:t> </w:t>
      </w:r>
      <w:r>
        <w:rPr/>
        <w:t>is</w:t>
      </w:r>
      <w:r>
        <w:rPr>
          <w:spacing w:val="-16"/>
        </w:rPr>
        <w:t> </w:t>
      </w:r>
      <w:r>
        <w:rPr/>
        <w:t>very soft and</w:t>
      </w:r>
      <w:r>
        <w:rPr>
          <w:spacing w:val="-2"/>
        </w:rPr>
        <w:t> </w:t>
      </w:r>
      <w:r>
        <w:rPr/>
        <w:t>sweet.</w:t>
      </w:r>
    </w:p>
    <w:p>
      <w:pPr>
        <w:spacing w:after="0" w:line="278" w:lineRule="auto"/>
        <w:jc w:val="both"/>
        <w:sectPr>
          <w:pgSz w:w="14270" w:h="16850"/>
          <w:pgMar w:header="0" w:footer="1891" w:top="1340" w:bottom="2080" w:left="800" w:right="1280"/>
        </w:sectPr>
      </w:pPr>
    </w:p>
    <w:p>
      <w:pPr>
        <w:pStyle w:val="Heading1"/>
        <w:spacing w:before="77"/>
        <w:ind w:left="616"/>
      </w:pPr>
      <w:r>
        <w:rPr/>
        <w:t>Origin</w:t>
      </w:r>
    </w:p>
    <w:p>
      <w:pPr>
        <w:pStyle w:val="BodyText"/>
        <w:spacing w:line="276" w:lineRule="auto" w:before="299"/>
        <w:ind w:left="616" w:right="137"/>
        <w:jc w:val="both"/>
      </w:pPr>
      <w:r>
        <w:rPr/>
        <w:t>Originally from the coastal regions and lowlands of the American tropics, it was the Spaniards who relocated the papaya as early as the beginning of the 16th century to the Philippines and the Antilles and there began to grow the plant.</w:t>
      </w:r>
    </w:p>
    <w:p>
      <w:pPr>
        <w:pStyle w:val="Heading1"/>
        <w:spacing w:before="222"/>
        <w:ind w:left="616"/>
      </w:pPr>
      <w:r>
        <w:rPr/>
        <w:t>Cultivation</w:t>
      </w:r>
    </w:p>
    <w:p>
      <w:pPr>
        <w:pStyle w:val="BodyText"/>
        <w:spacing w:line="276" w:lineRule="auto" w:before="300"/>
        <w:ind w:left="616" w:right="135"/>
        <w:jc w:val="both"/>
      </w:pPr>
      <w:r>
        <w:rPr/>
        <w:t>The tropical to subtropical climate mirrored the conditions the papaya needs for its growth. Today it is thus cultivated mainly in Florida (USA), India, Aus- tralia, Africa, Brazil and in South and Central America. Papaya is offered</w:t>
      </w:r>
      <w:r>
        <w:rPr>
          <w:spacing w:val="-43"/>
        </w:rPr>
        <w:t> </w:t>
      </w:r>
      <w:r>
        <w:rPr/>
        <w:t>year- round on the</w:t>
      </w:r>
      <w:r>
        <w:rPr>
          <w:spacing w:val="-1"/>
        </w:rPr>
        <w:t> </w:t>
      </w:r>
      <w:r>
        <w:rPr/>
        <w:t>market.</w:t>
      </w:r>
    </w:p>
    <w:p>
      <w:pPr>
        <w:pStyle w:val="Heading1"/>
        <w:spacing w:before="222"/>
        <w:ind w:left="616"/>
      </w:pPr>
      <w:r>
        <w:rPr/>
        <w:t>Papaya enzyme ‘papain’</w:t>
      </w:r>
    </w:p>
    <w:p>
      <w:pPr>
        <w:pStyle w:val="BodyText"/>
        <w:spacing w:line="276" w:lineRule="auto" w:before="299"/>
        <w:ind w:left="616" w:right="129"/>
        <w:jc w:val="both"/>
      </w:pPr>
      <w:r>
        <w:rPr/>
        <w:t>Towards the end of the 20th Century, scientists were able to isolate the most important</w:t>
      </w:r>
      <w:r>
        <w:rPr>
          <w:spacing w:val="-12"/>
        </w:rPr>
        <w:t> </w:t>
      </w:r>
      <w:r>
        <w:rPr/>
        <w:t>enzyme</w:t>
      </w:r>
      <w:r>
        <w:rPr>
          <w:spacing w:val="-10"/>
        </w:rPr>
        <w:t> </w:t>
      </w:r>
      <w:r>
        <w:rPr/>
        <w:t>of</w:t>
      </w:r>
      <w:r>
        <w:rPr>
          <w:spacing w:val="-10"/>
        </w:rPr>
        <w:t> </w:t>
      </w:r>
      <w:r>
        <w:rPr/>
        <w:t>the</w:t>
      </w:r>
      <w:r>
        <w:rPr>
          <w:spacing w:val="-10"/>
        </w:rPr>
        <w:t> </w:t>
      </w:r>
      <w:r>
        <w:rPr/>
        <w:t>papaya,</w:t>
      </w:r>
      <w:r>
        <w:rPr>
          <w:spacing w:val="-11"/>
        </w:rPr>
        <w:t> </w:t>
      </w:r>
      <w:r>
        <w:rPr/>
        <w:t>‘papain’,</w:t>
      </w:r>
      <w:r>
        <w:rPr>
          <w:spacing w:val="-10"/>
        </w:rPr>
        <w:t> </w:t>
      </w:r>
      <w:r>
        <w:rPr/>
        <w:t>from</w:t>
      </w:r>
      <w:r>
        <w:rPr>
          <w:spacing w:val="-14"/>
        </w:rPr>
        <w:t> </w:t>
      </w:r>
      <w:r>
        <w:rPr/>
        <w:t>the</w:t>
      </w:r>
      <w:r>
        <w:rPr>
          <w:spacing w:val="-10"/>
        </w:rPr>
        <w:t> </w:t>
      </w:r>
      <w:r>
        <w:rPr/>
        <w:t>leaves</w:t>
      </w:r>
      <w:r>
        <w:rPr>
          <w:spacing w:val="-11"/>
        </w:rPr>
        <w:t> </w:t>
      </w:r>
      <w:r>
        <w:rPr/>
        <w:t>and</w:t>
      </w:r>
      <w:r>
        <w:rPr>
          <w:spacing w:val="-10"/>
        </w:rPr>
        <w:t> </w:t>
      </w:r>
      <w:r>
        <w:rPr/>
        <w:t>still</w:t>
      </w:r>
      <w:r>
        <w:rPr>
          <w:spacing w:val="-9"/>
        </w:rPr>
        <w:t> </w:t>
      </w:r>
      <w:r>
        <w:rPr/>
        <w:t>unripe</w:t>
      </w:r>
      <w:r>
        <w:rPr>
          <w:spacing w:val="-10"/>
        </w:rPr>
        <w:t> </w:t>
      </w:r>
      <w:r>
        <w:rPr/>
        <w:t>fruit of</w:t>
      </w:r>
      <w:r>
        <w:rPr>
          <w:spacing w:val="-14"/>
        </w:rPr>
        <w:t> </w:t>
      </w:r>
      <w:r>
        <w:rPr/>
        <w:t>the</w:t>
      </w:r>
      <w:r>
        <w:rPr>
          <w:spacing w:val="-15"/>
        </w:rPr>
        <w:t> </w:t>
      </w:r>
      <w:r>
        <w:rPr/>
        <w:t>papaya</w:t>
      </w:r>
      <w:r>
        <w:rPr>
          <w:spacing w:val="-14"/>
        </w:rPr>
        <w:t> </w:t>
      </w:r>
      <w:r>
        <w:rPr/>
        <w:t>tree.</w:t>
      </w:r>
      <w:r>
        <w:rPr>
          <w:spacing w:val="-13"/>
        </w:rPr>
        <w:t> </w:t>
      </w:r>
      <w:r>
        <w:rPr/>
        <w:t>Papain</w:t>
      </w:r>
      <w:r>
        <w:rPr>
          <w:spacing w:val="-12"/>
        </w:rPr>
        <w:t> </w:t>
      </w:r>
      <w:r>
        <w:rPr/>
        <w:t>is</w:t>
      </w:r>
      <w:r>
        <w:rPr>
          <w:spacing w:val="-15"/>
        </w:rPr>
        <w:t> </w:t>
      </w:r>
      <w:r>
        <w:rPr/>
        <w:t>mainly</w:t>
      </w:r>
      <w:r>
        <w:rPr>
          <w:spacing w:val="-14"/>
        </w:rPr>
        <w:t> </w:t>
      </w:r>
      <w:r>
        <w:rPr/>
        <w:t>extracted</w:t>
      </w:r>
      <w:r>
        <w:rPr>
          <w:spacing w:val="-13"/>
        </w:rPr>
        <w:t> </w:t>
      </w:r>
      <w:r>
        <w:rPr/>
        <w:t>from</w:t>
      </w:r>
      <w:r>
        <w:rPr>
          <w:spacing w:val="-14"/>
        </w:rPr>
        <w:t> </w:t>
      </w:r>
      <w:r>
        <w:rPr/>
        <w:t>the</w:t>
      </w:r>
      <w:r>
        <w:rPr>
          <w:spacing w:val="-12"/>
        </w:rPr>
        <w:t> </w:t>
      </w:r>
      <w:r>
        <w:rPr/>
        <w:t>latex</w:t>
      </w:r>
      <w:r>
        <w:rPr>
          <w:spacing w:val="-15"/>
        </w:rPr>
        <w:t> </w:t>
      </w:r>
      <w:r>
        <w:rPr/>
        <w:t>of</w:t>
      </w:r>
      <w:r>
        <w:rPr>
          <w:spacing w:val="-15"/>
        </w:rPr>
        <w:t> </w:t>
      </w:r>
      <w:r>
        <w:rPr/>
        <w:t>the</w:t>
      </w:r>
      <w:r>
        <w:rPr>
          <w:spacing w:val="-14"/>
        </w:rPr>
        <w:t> </w:t>
      </w:r>
      <w:r>
        <w:rPr/>
        <w:t>papaya</w:t>
      </w:r>
      <w:r>
        <w:rPr>
          <w:spacing w:val="-14"/>
        </w:rPr>
        <w:t> </w:t>
      </w:r>
      <w:r>
        <w:rPr/>
        <w:t>tree, but a few other fruits also contain smaller amounts of papain. Papain is a </w:t>
      </w:r>
      <w:r>
        <w:rPr>
          <w:spacing w:val="5"/>
        </w:rPr>
        <w:t>so- </w:t>
      </w:r>
      <w:r>
        <w:rPr/>
        <w:t>called ‘proteolytic enzyme’ which is composed of more than 200 amino acids. Its therapeutic uses are diverse and range from aiding digestion to the healing of wounds and the vitalisation of heart function all the way to cancer. In its role in digestive support, papain primarily splits peptide connections which basic amino acids take part in. It is thus predestined to facilitate the digestion of</w:t>
      </w:r>
      <w:r>
        <w:rPr>
          <w:spacing w:val="-7"/>
        </w:rPr>
        <w:t> </w:t>
      </w:r>
      <w:r>
        <w:rPr/>
        <w:t>dietary</w:t>
      </w:r>
      <w:r>
        <w:rPr>
          <w:spacing w:val="-6"/>
        </w:rPr>
        <w:t> </w:t>
      </w:r>
      <w:r>
        <w:rPr/>
        <w:t>protein.</w:t>
      </w:r>
      <w:r>
        <w:rPr>
          <w:spacing w:val="-6"/>
        </w:rPr>
        <w:t> </w:t>
      </w:r>
      <w:r>
        <w:rPr/>
        <w:t>An</w:t>
      </w:r>
      <w:r>
        <w:rPr>
          <w:spacing w:val="-6"/>
        </w:rPr>
        <w:t> </w:t>
      </w:r>
      <w:r>
        <w:rPr/>
        <w:t>interesting</w:t>
      </w:r>
      <w:r>
        <w:rPr>
          <w:spacing w:val="-9"/>
        </w:rPr>
        <w:t> </w:t>
      </w:r>
      <w:r>
        <w:rPr/>
        <w:t>fact</w:t>
      </w:r>
      <w:r>
        <w:rPr>
          <w:spacing w:val="-7"/>
        </w:rPr>
        <w:t> </w:t>
      </w:r>
      <w:r>
        <w:rPr/>
        <w:t>for</w:t>
      </w:r>
      <w:r>
        <w:rPr>
          <w:spacing w:val="-5"/>
        </w:rPr>
        <w:t> </w:t>
      </w:r>
      <w:r>
        <w:rPr/>
        <w:t>people</w:t>
      </w:r>
      <w:r>
        <w:rPr>
          <w:spacing w:val="-9"/>
        </w:rPr>
        <w:t> </w:t>
      </w:r>
      <w:r>
        <w:rPr/>
        <w:t>who</w:t>
      </w:r>
      <w:r>
        <w:rPr>
          <w:spacing w:val="-6"/>
        </w:rPr>
        <w:t> </w:t>
      </w:r>
      <w:r>
        <w:rPr/>
        <w:t>suffer</w:t>
      </w:r>
      <w:r>
        <w:rPr>
          <w:spacing w:val="-5"/>
        </w:rPr>
        <w:t> </w:t>
      </w:r>
      <w:r>
        <w:rPr/>
        <w:t>from</w:t>
      </w:r>
      <w:r>
        <w:rPr>
          <w:spacing w:val="-7"/>
        </w:rPr>
        <w:t> </w:t>
      </w:r>
      <w:r>
        <w:rPr/>
        <w:t>gluten</w:t>
      </w:r>
      <w:r>
        <w:rPr>
          <w:spacing w:val="-5"/>
        </w:rPr>
        <w:t> </w:t>
      </w:r>
      <w:r>
        <w:rPr/>
        <w:t>intol- erance is that it also helps digest gliadin as a part of the gluten and can</w:t>
      </w:r>
      <w:r>
        <w:rPr>
          <w:spacing w:val="12"/>
        </w:rPr>
        <w:t> </w:t>
      </w:r>
      <w:r>
        <w:rPr/>
        <w:t>reduce</w:t>
      </w:r>
    </w:p>
    <w:p>
      <w:pPr>
        <w:spacing w:after="0" w:line="276" w:lineRule="auto"/>
        <w:jc w:val="both"/>
        <w:sectPr>
          <w:footerReference w:type="default" r:id="rId285"/>
          <w:pgSz w:w="14270" w:h="16850"/>
          <w:pgMar w:footer="1891" w:header="0" w:top="1320" w:bottom="2080" w:left="800" w:right="1280"/>
          <w:pgNumType w:start="1190"/>
        </w:sectPr>
      </w:pPr>
    </w:p>
    <w:p>
      <w:pPr>
        <w:pStyle w:val="BodyText"/>
        <w:spacing w:before="74"/>
        <w:ind w:left="616"/>
      </w:pPr>
      <w:r>
        <w:rPr/>
        <w:t>the intolerance and sometimes even eliminate it.</w:t>
      </w:r>
    </w:p>
    <w:p>
      <w:pPr>
        <w:pStyle w:val="BodyText"/>
        <w:spacing w:line="276" w:lineRule="auto" w:before="305"/>
        <w:ind w:left="616" w:right="133"/>
        <w:jc w:val="both"/>
      </w:pPr>
      <w:r>
        <w:rPr/>
        <w:t>The papaya enzymes have a special protein-dissolving power, but attack only sick tissue (cancer tumours) and protect the healthy cells at the same time. Healthy</w:t>
      </w:r>
      <w:r>
        <w:rPr>
          <w:spacing w:val="-12"/>
        </w:rPr>
        <w:t> </w:t>
      </w:r>
      <w:r>
        <w:rPr/>
        <w:t>cells</w:t>
      </w:r>
      <w:r>
        <w:rPr>
          <w:spacing w:val="-11"/>
        </w:rPr>
        <w:t> </w:t>
      </w:r>
      <w:r>
        <w:rPr/>
        <w:t>possess</w:t>
      </w:r>
      <w:r>
        <w:rPr>
          <w:spacing w:val="-11"/>
        </w:rPr>
        <w:t> </w:t>
      </w:r>
      <w:r>
        <w:rPr/>
        <w:t>protective</w:t>
      </w:r>
      <w:r>
        <w:rPr>
          <w:spacing w:val="-14"/>
        </w:rPr>
        <w:t> </w:t>
      </w:r>
      <w:r>
        <w:rPr/>
        <w:t>mechanisms</w:t>
      </w:r>
      <w:r>
        <w:rPr>
          <w:spacing w:val="-11"/>
        </w:rPr>
        <w:t> </w:t>
      </w:r>
      <w:r>
        <w:rPr/>
        <w:t>against</w:t>
      </w:r>
      <w:r>
        <w:rPr>
          <w:spacing w:val="-11"/>
        </w:rPr>
        <w:t> </w:t>
      </w:r>
      <w:r>
        <w:rPr/>
        <w:t>voracious,</w:t>
      </w:r>
      <w:r>
        <w:rPr>
          <w:spacing w:val="-11"/>
        </w:rPr>
        <w:t> </w:t>
      </w:r>
      <w:r>
        <w:rPr/>
        <w:t>proteolytic</w:t>
      </w:r>
      <w:r>
        <w:rPr>
          <w:spacing w:val="-12"/>
        </w:rPr>
        <w:t> </w:t>
      </w:r>
      <w:r>
        <w:rPr/>
        <w:t>en- zymes,</w:t>
      </w:r>
      <w:r>
        <w:rPr>
          <w:spacing w:val="-19"/>
        </w:rPr>
        <w:t> </w:t>
      </w:r>
      <w:r>
        <w:rPr/>
        <w:t>while</w:t>
      </w:r>
      <w:r>
        <w:rPr>
          <w:spacing w:val="-17"/>
        </w:rPr>
        <w:t> </w:t>
      </w:r>
      <w:r>
        <w:rPr/>
        <w:t>cancer</w:t>
      </w:r>
      <w:r>
        <w:rPr>
          <w:spacing w:val="-16"/>
        </w:rPr>
        <w:t> </w:t>
      </w:r>
      <w:r>
        <w:rPr/>
        <w:t>cells</w:t>
      </w:r>
      <w:r>
        <w:rPr>
          <w:spacing w:val="-16"/>
        </w:rPr>
        <w:t> </w:t>
      </w:r>
      <w:r>
        <w:rPr/>
        <w:t>only</w:t>
      </w:r>
      <w:r>
        <w:rPr>
          <w:spacing w:val="-16"/>
        </w:rPr>
        <w:t> </w:t>
      </w:r>
      <w:r>
        <w:rPr/>
        <w:t>develop</w:t>
      </w:r>
      <w:r>
        <w:rPr>
          <w:spacing w:val="-16"/>
        </w:rPr>
        <w:t> </w:t>
      </w:r>
      <w:r>
        <w:rPr/>
        <w:t>enzyme</w:t>
      </w:r>
      <w:r>
        <w:rPr>
          <w:spacing w:val="-18"/>
        </w:rPr>
        <w:t> </w:t>
      </w:r>
      <w:r>
        <w:rPr/>
        <w:t>inhibitors</w:t>
      </w:r>
      <w:r>
        <w:rPr>
          <w:spacing w:val="-17"/>
        </w:rPr>
        <w:t> </w:t>
      </w:r>
      <w:r>
        <w:rPr/>
        <w:t>within</w:t>
      </w:r>
      <w:r>
        <w:rPr>
          <w:spacing w:val="-16"/>
        </w:rPr>
        <w:t> </w:t>
      </w:r>
      <w:r>
        <w:rPr/>
        <w:t>12</w:t>
      </w:r>
      <w:r>
        <w:rPr>
          <w:spacing w:val="-17"/>
        </w:rPr>
        <w:t> </w:t>
      </w:r>
      <w:r>
        <w:rPr/>
        <w:t>to</w:t>
      </w:r>
      <w:r>
        <w:rPr>
          <w:spacing w:val="-16"/>
        </w:rPr>
        <w:t> </w:t>
      </w:r>
      <w:r>
        <w:rPr/>
        <w:t>48</w:t>
      </w:r>
      <w:r>
        <w:rPr>
          <w:spacing w:val="-17"/>
        </w:rPr>
        <w:t> </w:t>
      </w:r>
      <w:r>
        <w:rPr/>
        <w:t>hours</w:t>
      </w:r>
    </w:p>
    <w:p>
      <w:pPr>
        <w:pStyle w:val="BodyText"/>
        <w:spacing w:before="1"/>
        <w:ind w:left="616"/>
        <w:rPr>
          <w:sz w:val="25"/>
        </w:rPr>
      </w:pPr>
      <w:r>
        <w:rPr/>
        <w:t>– a time long enough to selectively eliminate cancer cells.</w:t>
      </w:r>
      <w:r>
        <w:rPr>
          <w:position w:val="9"/>
          <w:sz w:val="25"/>
        </w:rPr>
        <w:t>667</w:t>
      </w:r>
    </w:p>
    <w:p>
      <w:pPr>
        <w:pStyle w:val="BodyText"/>
        <w:spacing w:line="276" w:lineRule="auto" w:before="303"/>
        <w:ind w:left="616" w:right="135"/>
        <w:jc w:val="both"/>
      </w:pPr>
      <w:r>
        <w:rPr/>
        <w:t>During heart therapy or the prevention of cardiovascular diseases like heart attack and stroke, papain contributes to the breaking down of fibrin and fi- brinogen, which could otherwise lead to the clotting of blood cells together with serious cardiovascular health problems.</w:t>
      </w:r>
    </w:p>
    <w:p>
      <w:pPr>
        <w:pStyle w:val="BodyText"/>
        <w:spacing w:line="278" w:lineRule="auto" w:before="239"/>
        <w:ind w:left="616" w:right="136"/>
        <w:jc w:val="both"/>
      </w:pPr>
      <w:r>
        <w:rPr/>
        <w:t>Incidentally, green, unripe papayas contain almost 5000 % more papain than ripe papayas!</w:t>
      </w:r>
    </w:p>
    <w:p>
      <w:pPr>
        <w:pStyle w:val="Heading1"/>
        <w:spacing w:before="215"/>
        <w:ind w:left="616"/>
      </w:pPr>
      <w:r>
        <w:rPr/>
        <w:t>Medical recognition of the papain</w:t>
      </w:r>
      <w:r>
        <w:rPr>
          <w:spacing w:val="-60"/>
        </w:rPr>
        <w:t> </w:t>
      </w:r>
      <w:r>
        <w:rPr/>
        <w:t>enzyme</w:t>
      </w:r>
    </w:p>
    <w:p>
      <w:pPr>
        <w:pStyle w:val="BodyText"/>
        <w:spacing w:line="276" w:lineRule="auto" w:before="300"/>
        <w:ind w:left="616" w:right="134"/>
        <w:jc w:val="both"/>
      </w:pPr>
      <w:r>
        <w:rPr/>
        <w:t>In 1982, papaya extract was officially recognized by American pharmaceutical authorities.</w:t>
      </w:r>
      <w:r>
        <w:rPr>
          <w:position w:val="9"/>
          <w:sz w:val="25"/>
        </w:rPr>
        <w:t>668 </w:t>
      </w:r>
      <w:r>
        <w:rPr/>
        <w:t>Papain assists the papaya tree, which itself almost never suffers from</w:t>
      </w:r>
      <w:r>
        <w:rPr>
          <w:spacing w:val="-9"/>
        </w:rPr>
        <w:t> </w:t>
      </w:r>
      <w:r>
        <w:rPr/>
        <w:t>diseases</w:t>
      </w:r>
      <w:r>
        <w:rPr>
          <w:spacing w:val="-10"/>
        </w:rPr>
        <w:t> </w:t>
      </w:r>
      <w:r>
        <w:rPr/>
        <w:t>or</w:t>
      </w:r>
      <w:r>
        <w:rPr>
          <w:spacing w:val="-9"/>
        </w:rPr>
        <w:t> </w:t>
      </w:r>
      <w:r>
        <w:rPr/>
        <w:t>is</w:t>
      </w:r>
      <w:r>
        <w:rPr>
          <w:spacing w:val="-8"/>
        </w:rPr>
        <w:t> </w:t>
      </w:r>
      <w:r>
        <w:rPr/>
        <w:t>infested</w:t>
      </w:r>
      <w:r>
        <w:rPr>
          <w:spacing w:val="-11"/>
        </w:rPr>
        <w:t> </w:t>
      </w:r>
      <w:r>
        <w:rPr/>
        <w:t>with</w:t>
      </w:r>
      <w:r>
        <w:rPr>
          <w:spacing w:val="-8"/>
        </w:rPr>
        <w:t> </w:t>
      </w:r>
      <w:r>
        <w:rPr/>
        <w:t>parasites,</w:t>
      </w:r>
      <w:r>
        <w:rPr>
          <w:spacing w:val="-7"/>
        </w:rPr>
        <w:t> </w:t>
      </w:r>
      <w:r>
        <w:rPr/>
        <w:t>as</w:t>
      </w:r>
      <w:r>
        <w:rPr>
          <w:spacing w:val="-9"/>
        </w:rPr>
        <w:t> </w:t>
      </w:r>
      <w:r>
        <w:rPr/>
        <w:t>a</w:t>
      </w:r>
      <w:r>
        <w:rPr>
          <w:spacing w:val="-12"/>
        </w:rPr>
        <w:t> </w:t>
      </w:r>
      <w:r>
        <w:rPr/>
        <w:t>defence</w:t>
      </w:r>
      <w:r>
        <w:rPr>
          <w:spacing w:val="-8"/>
        </w:rPr>
        <w:t> </w:t>
      </w:r>
      <w:r>
        <w:rPr/>
        <w:t>system</w:t>
      </w:r>
      <w:r>
        <w:rPr>
          <w:spacing w:val="-10"/>
        </w:rPr>
        <w:t> </w:t>
      </w:r>
      <w:r>
        <w:rPr/>
        <w:t>against</w:t>
      </w:r>
      <w:r>
        <w:rPr>
          <w:spacing w:val="-9"/>
        </w:rPr>
        <w:t> </w:t>
      </w:r>
      <w:r>
        <w:rPr/>
        <w:t>destruc- tive and disease-causing microorganisms. It was thus obvious to try out this operating</w:t>
      </w:r>
      <w:r>
        <w:rPr>
          <w:spacing w:val="-22"/>
        </w:rPr>
        <w:t> </w:t>
      </w:r>
      <w:r>
        <w:rPr/>
        <w:t>principle</w:t>
      </w:r>
      <w:r>
        <w:rPr>
          <w:spacing w:val="-22"/>
        </w:rPr>
        <w:t> </w:t>
      </w:r>
      <w:r>
        <w:rPr/>
        <w:t>on</w:t>
      </w:r>
      <w:r>
        <w:rPr>
          <w:spacing w:val="-21"/>
        </w:rPr>
        <w:t> </w:t>
      </w:r>
      <w:r>
        <w:rPr/>
        <w:t>human</w:t>
      </w:r>
      <w:r>
        <w:rPr>
          <w:spacing w:val="-22"/>
        </w:rPr>
        <w:t> </w:t>
      </w:r>
      <w:r>
        <w:rPr/>
        <w:t>beings,</w:t>
      </w:r>
      <w:r>
        <w:rPr>
          <w:spacing w:val="-21"/>
        </w:rPr>
        <w:t> </w:t>
      </w:r>
      <w:r>
        <w:rPr/>
        <w:t>and</w:t>
      </w:r>
      <w:r>
        <w:rPr>
          <w:spacing w:val="-21"/>
        </w:rPr>
        <w:t> </w:t>
      </w:r>
      <w:r>
        <w:rPr/>
        <w:t>for</w:t>
      </w:r>
      <w:r>
        <w:rPr>
          <w:spacing w:val="-21"/>
        </w:rPr>
        <w:t> </w:t>
      </w:r>
      <w:r>
        <w:rPr/>
        <w:t>humans,</w:t>
      </w:r>
      <w:r>
        <w:rPr>
          <w:spacing w:val="-22"/>
        </w:rPr>
        <w:t> </w:t>
      </w:r>
      <w:r>
        <w:rPr/>
        <w:t>too,</w:t>
      </w:r>
      <w:r>
        <w:rPr>
          <w:spacing w:val="-22"/>
        </w:rPr>
        <w:t> </w:t>
      </w:r>
      <w:r>
        <w:rPr/>
        <w:t>the</w:t>
      </w:r>
      <w:r>
        <w:rPr>
          <w:spacing w:val="-22"/>
        </w:rPr>
        <w:t> </w:t>
      </w:r>
      <w:r>
        <w:rPr/>
        <w:t>immune</w:t>
      </w:r>
      <w:r>
        <w:rPr>
          <w:spacing w:val="-21"/>
        </w:rPr>
        <w:t> </w:t>
      </w:r>
      <w:r>
        <w:rPr/>
        <w:t>system defended</w:t>
      </w:r>
      <w:r>
        <w:rPr>
          <w:spacing w:val="-15"/>
        </w:rPr>
        <w:t> </w:t>
      </w:r>
      <w:r>
        <w:rPr/>
        <w:t>itself</w:t>
      </w:r>
      <w:r>
        <w:rPr>
          <w:spacing w:val="-15"/>
        </w:rPr>
        <w:t> </w:t>
      </w:r>
      <w:r>
        <w:rPr/>
        <w:t>best</w:t>
      </w:r>
      <w:r>
        <w:rPr>
          <w:spacing w:val="-15"/>
        </w:rPr>
        <w:t> </w:t>
      </w:r>
      <w:r>
        <w:rPr/>
        <w:t>when</w:t>
      </w:r>
      <w:r>
        <w:rPr>
          <w:spacing w:val="-13"/>
        </w:rPr>
        <w:t> </w:t>
      </w:r>
      <w:r>
        <w:rPr/>
        <w:t>enzymes</w:t>
      </w:r>
      <w:r>
        <w:rPr>
          <w:spacing w:val="-14"/>
        </w:rPr>
        <w:t> </w:t>
      </w:r>
      <w:r>
        <w:rPr/>
        <w:t>activate</w:t>
      </w:r>
      <w:r>
        <w:rPr>
          <w:spacing w:val="-15"/>
        </w:rPr>
        <w:t> </w:t>
      </w:r>
      <w:r>
        <w:rPr/>
        <w:t>our</w:t>
      </w:r>
      <w:r>
        <w:rPr>
          <w:spacing w:val="-14"/>
        </w:rPr>
        <w:t> </w:t>
      </w:r>
      <w:r>
        <w:rPr/>
        <w:t>immune</w:t>
      </w:r>
      <w:r>
        <w:rPr>
          <w:spacing w:val="-15"/>
        </w:rPr>
        <w:t> </w:t>
      </w:r>
      <w:r>
        <w:rPr/>
        <w:t>cells</w:t>
      </w:r>
      <w:r>
        <w:rPr>
          <w:spacing w:val="-14"/>
        </w:rPr>
        <w:t> </w:t>
      </w:r>
      <w:r>
        <w:rPr/>
        <w:t>and</w:t>
      </w:r>
      <w:r>
        <w:rPr>
          <w:spacing w:val="-15"/>
        </w:rPr>
        <w:t> </w:t>
      </w:r>
      <w:r>
        <w:rPr/>
        <w:t>protect</w:t>
      </w:r>
      <w:r>
        <w:rPr>
          <w:spacing w:val="-14"/>
        </w:rPr>
        <w:t> </w:t>
      </w:r>
      <w:r>
        <w:rPr/>
        <w:t>from</w:t>
      </w:r>
    </w:p>
    <w:p>
      <w:pPr>
        <w:pStyle w:val="BodyText"/>
        <w:rPr>
          <w:sz w:val="20"/>
        </w:rPr>
      </w:pPr>
    </w:p>
    <w:p>
      <w:pPr>
        <w:pStyle w:val="BodyText"/>
        <w:spacing w:before="11"/>
        <w:rPr>
          <w:sz w:val="17"/>
        </w:rPr>
      </w:pPr>
      <w:r>
        <w:rPr/>
        <w:pict>
          <v:line style="position:absolute;mso-position-horizontal-relative:page;mso-position-vertical-relative:paragraph;z-index:8552;mso-wrap-distance-left:0;mso-wrap-distance-right:0" from="70.823997pt,12.462485pt" to="214.843997pt,12.462485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667 </w:t>
      </w:r>
      <w:r>
        <w:rPr>
          <w:sz w:val="20"/>
        </w:rPr>
        <w:t>Barbara Simonsohn: Papaya – Heilen mit der Wunderfrucht ('Papaya – Healing with the Wonder Fruit'), 2nd Edition, 1998, p. 97.</w:t>
      </w:r>
    </w:p>
    <w:p>
      <w:pPr>
        <w:spacing w:before="92"/>
        <w:ind w:left="616" w:right="0" w:firstLine="0"/>
        <w:jc w:val="left"/>
        <w:rPr>
          <w:sz w:val="20"/>
        </w:rPr>
      </w:pPr>
      <w:r>
        <w:rPr>
          <w:position w:val="5"/>
          <w:sz w:val="13"/>
        </w:rPr>
        <w:t>668 </w:t>
      </w:r>
      <w:r>
        <w:rPr>
          <w:sz w:val="20"/>
        </w:rPr>
        <w:t>Andrea Ehring: Das Krebsmittel der Aborigines: Papaya, 1st Edition, 1998, p. 16.</w:t>
      </w:r>
    </w:p>
    <w:p>
      <w:pPr>
        <w:spacing w:after="0"/>
        <w:jc w:val="left"/>
        <w:rPr>
          <w:sz w:val="20"/>
        </w:rPr>
        <w:sectPr>
          <w:pgSz w:w="14270" w:h="16850"/>
          <w:pgMar w:header="0" w:footer="1891" w:top="1340" w:bottom="2080" w:left="800" w:right="1280"/>
        </w:sectPr>
      </w:pPr>
    </w:p>
    <w:p>
      <w:pPr>
        <w:pStyle w:val="BodyText"/>
        <w:spacing w:before="74"/>
        <w:ind w:left="616"/>
      </w:pPr>
      <w:r>
        <w:rPr/>
        <w:t>bacteria, fungi, viruses and even cancer cells.</w:t>
      </w:r>
    </w:p>
    <w:p>
      <w:pPr>
        <w:pStyle w:val="Heading1"/>
        <w:spacing w:before="287"/>
        <w:ind w:left="616"/>
      </w:pPr>
      <w:r>
        <w:rPr/>
        <w:t>Papain and its medical uses</w:t>
      </w:r>
    </w:p>
    <w:p>
      <w:pPr>
        <w:pStyle w:val="BodyText"/>
        <w:spacing w:before="297"/>
        <w:ind w:left="616"/>
      </w:pPr>
      <w:r>
        <w:rPr/>
        <w:t>The therapeutic uses of papain are diverse and include:</w:t>
      </w:r>
    </w:p>
    <w:p>
      <w:pPr>
        <w:pStyle w:val="ListParagraph"/>
        <w:numPr>
          <w:ilvl w:val="0"/>
          <w:numId w:val="91"/>
        </w:numPr>
        <w:tabs>
          <w:tab w:pos="1031" w:val="left" w:leader="none"/>
          <w:tab w:pos="1032" w:val="left" w:leader="none"/>
        </w:tabs>
        <w:spacing w:line="240" w:lineRule="auto" w:before="266" w:after="0"/>
        <w:ind w:left="1043" w:right="0" w:hanging="427"/>
        <w:jc w:val="left"/>
        <w:rPr>
          <w:sz w:val="38"/>
        </w:rPr>
      </w:pPr>
      <w:r>
        <w:rPr>
          <w:sz w:val="38"/>
        </w:rPr>
        <w:t>cancer,</w:t>
      </w:r>
    </w:p>
    <w:p>
      <w:pPr>
        <w:pStyle w:val="ListParagraph"/>
        <w:numPr>
          <w:ilvl w:val="0"/>
          <w:numId w:val="91"/>
        </w:numPr>
        <w:tabs>
          <w:tab w:pos="1031" w:val="left" w:leader="none"/>
          <w:tab w:pos="1032" w:val="left" w:leader="none"/>
        </w:tabs>
        <w:spacing w:line="240" w:lineRule="auto" w:before="183" w:after="0"/>
        <w:ind w:left="1043" w:right="0" w:hanging="427"/>
        <w:jc w:val="left"/>
        <w:rPr>
          <w:sz w:val="38"/>
        </w:rPr>
      </w:pPr>
      <w:r>
        <w:rPr>
          <w:sz w:val="38"/>
        </w:rPr>
        <w:t>inflammatory diseases of all</w:t>
      </w:r>
      <w:r>
        <w:rPr>
          <w:spacing w:val="1"/>
          <w:sz w:val="38"/>
        </w:rPr>
        <w:t> </w:t>
      </w:r>
      <w:r>
        <w:rPr>
          <w:sz w:val="38"/>
        </w:rPr>
        <w:t>kinds,</w:t>
      </w:r>
    </w:p>
    <w:p>
      <w:pPr>
        <w:pStyle w:val="ListParagraph"/>
        <w:numPr>
          <w:ilvl w:val="0"/>
          <w:numId w:val="91"/>
        </w:numPr>
        <w:tabs>
          <w:tab w:pos="1031" w:val="left" w:leader="none"/>
          <w:tab w:pos="1032" w:val="left" w:leader="none"/>
        </w:tabs>
        <w:spacing w:line="240" w:lineRule="auto" w:before="187" w:after="0"/>
        <w:ind w:left="1043" w:right="0" w:hanging="427"/>
        <w:jc w:val="left"/>
        <w:rPr>
          <w:sz w:val="38"/>
        </w:rPr>
      </w:pPr>
      <w:r>
        <w:rPr>
          <w:sz w:val="38"/>
        </w:rPr>
        <w:t>cardiovascular disease</w:t>
      </w:r>
    </w:p>
    <w:p>
      <w:pPr>
        <w:pStyle w:val="ListParagraph"/>
        <w:numPr>
          <w:ilvl w:val="0"/>
          <w:numId w:val="91"/>
        </w:numPr>
        <w:tabs>
          <w:tab w:pos="1031" w:val="left" w:leader="none"/>
          <w:tab w:pos="1032" w:val="left" w:leader="none"/>
        </w:tabs>
        <w:spacing w:line="240" w:lineRule="auto" w:before="183" w:after="0"/>
        <w:ind w:left="1043" w:right="0" w:hanging="427"/>
        <w:jc w:val="left"/>
        <w:rPr>
          <w:sz w:val="38"/>
        </w:rPr>
      </w:pPr>
      <w:r>
        <w:rPr>
          <w:sz w:val="38"/>
        </w:rPr>
        <w:t>digestion problems of all</w:t>
      </w:r>
      <w:r>
        <w:rPr>
          <w:spacing w:val="-1"/>
          <w:sz w:val="38"/>
        </w:rPr>
        <w:t> </w:t>
      </w:r>
      <w:r>
        <w:rPr>
          <w:sz w:val="38"/>
        </w:rPr>
        <w:t>kinds,</w:t>
      </w:r>
    </w:p>
    <w:p>
      <w:pPr>
        <w:pStyle w:val="ListParagraph"/>
        <w:numPr>
          <w:ilvl w:val="0"/>
          <w:numId w:val="91"/>
        </w:numPr>
        <w:tabs>
          <w:tab w:pos="1031" w:val="left" w:leader="none"/>
          <w:tab w:pos="1032" w:val="left" w:leader="none"/>
        </w:tabs>
        <w:spacing w:line="240" w:lineRule="auto" w:before="184" w:after="0"/>
        <w:ind w:left="1043" w:right="0" w:hanging="427"/>
        <w:jc w:val="left"/>
        <w:rPr>
          <w:sz w:val="38"/>
        </w:rPr>
      </w:pPr>
      <w:r>
        <w:rPr>
          <w:sz w:val="38"/>
        </w:rPr>
        <w:t>gastrointestinal ulcers,</w:t>
      </w:r>
    </w:p>
    <w:p>
      <w:pPr>
        <w:pStyle w:val="ListParagraph"/>
        <w:numPr>
          <w:ilvl w:val="0"/>
          <w:numId w:val="91"/>
        </w:numPr>
        <w:tabs>
          <w:tab w:pos="1031" w:val="left" w:leader="none"/>
          <w:tab w:pos="1032" w:val="left" w:leader="none"/>
        </w:tabs>
        <w:spacing w:line="240" w:lineRule="auto" w:before="184" w:after="0"/>
        <w:ind w:left="1043" w:right="0" w:hanging="427"/>
        <w:jc w:val="left"/>
        <w:rPr>
          <w:sz w:val="38"/>
        </w:rPr>
      </w:pPr>
      <w:r>
        <w:rPr>
          <w:sz w:val="38"/>
        </w:rPr>
        <w:t>poorly healing</w:t>
      </w:r>
      <w:r>
        <w:rPr>
          <w:spacing w:val="-2"/>
          <w:sz w:val="38"/>
        </w:rPr>
        <w:t> </w:t>
      </w:r>
      <w:r>
        <w:rPr>
          <w:sz w:val="38"/>
        </w:rPr>
        <w:t>wounds,</w:t>
      </w:r>
    </w:p>
    <w:p>
      <w:pPr>
        <w:pStyle w:val="ListParagraph"/>
        <w:numPr>
          <w:ilvl w:val="0"/>
          <w:numId w:val="91"/>
        </w:numPr>
        <w:tabs>
          <w:tab w:pos="1031" w:val="left" w:leader="none"/>
          <w:tab w:pos="1032" w:val="left" w:leader="none"/>
        </w:tabs>
        <w:spacing w:line="240" w:lineRule="auto" w:before="186" w:after="0"/>
        <w:ind w:left="1043" w:right="0" w:hanging="427"/>
        <w:jc w:val="left"/>
        <w:rPr>
          <w:sz w:val="38"/>
        </w:rPr>
      </w:pPr>
      <w:r>
        <w:rPr>
          <w:sz w:val="38"/>
        </w:rPr>
        <w:t>fistulas.</w:t>
      </w:r>
    </w:p>
    <w:p>
      <w:pPr>
        <w:spacing w:after="0" w:line="240" w:lineRule="auto"/>
        <w:jc w:val="left"/>
        <w:rPr>
          <w:sz w:val="38"/>
        </w:rPr>
        <w:sectPr>
          <w:pgSz w:w="14270" w:h="16850"/>
          <w:pgMar w:header="0" w:footer="1891" w:top="1340" w:bottom="2080" w:left="800" w:right="1280"/>
        </w:sectPr>
      </w:pPr>
    </w:p>
    <w:p>
      <w:pPr>
        <w:pStyle w:val="Heading2"/>
        <w:spacing w:before="74"/>
        <w:ind w:left="616"/>
      </w:pPr>
      <w:r>
        <w:rPr/>
        <w:t>Active ingredients in papaya</w:t>
      </w:r>
    </w:p>
    <w:p>
      <w:pPr>
        <w:pStyle w:val="BodyText"/>
        <w:spacing w:line="276" w:lineRule="auto" w:before="305"/>
        <w:ind w:left="616" w:right="134"/>
        <w:jc w:val="both"/>
      </w:pPr>
      <w:r>
        <w:rPr/>
        <w:t>Alongside</w:t>
      </w:r>
      <w:r>
        <w:rPr>
          <w:spacing w:val="-11"/>
        </w:rPr>
        <w:t> </w:t>
      </w:r>
      <w:r>
        <w:rPr/>
        <w:t>the</w:t>
      </w:r>
      <w:r>
        <w:rPr>
          <w:spacing w:val="-8"/>
        </w:rPr>
        <w:t> </w:t>
      </w:r>
      <w:r>
        <w:rPr/>
        <w:t>extremely</w:t>
      </w:r>
      <w:r>
        <w:rPr>
          <w:spacing w:val="-9"/>
        </w:rPr>
        <w:t> </w:t>
      </w:r>
      <w:r>
        <w:rPr/>
        <w:t>important</w:t>
      </w:r>
      <w:r>
        <w:rPr>
          <w:spacing w:val="-10"/>
        </w:rPr>
        <w:t> </w:t>
      </w:r>
      <w:r>
        <w:rPr/>
        <w:t>enzyme</w:t>
      </w:r>
      <w:r>
        <w:rPr>
          <w:spacing w:val="-8"/>
        </w:rPr>
        <w:t> </w:t>
      </w:r>
      <w:r>
        <w:rPr/>
        <w:t>‘papain’</w:t>
      </w:r>
      <w:r>
        <w:rPr>
          <w:spacing w:val="-10"/>
        </w:rPr>
        <w:t> </w:t>
      </w:r>
      <w:r>
        <w:rPr/>
        <w:t>which</w:t>
      </w:r>
      <w:r>
        <w:rPr>
          <w:spacing w:val="-8"/>
        </w:rPr>
        <w:t> </w:t>
      </w:r>
      <w:r>
        <w:rPr/>
        <w:t>we</w:t>
      </w:r>
      <w:r>
        <w:rPr>
          <w:spacing w:val="-10"/>
        </w:rPr>
        <w:t> </w:t>
      </w:r>
      <w:r>
        <w:rPr/>
        <w:t>described</w:t>
      </w:r>
      <w:r>
        <w:rPr>
          <w:spacing w:val="-9"/>
        </w:rPr>
        <w:t> </w:t>
      </w:r>
      <w:r>
        <w:rPr/>
        <w:t>in</w:t>
      </w:r>
      <w:r>
        <w:rPr>
          <w:spacing w:val="-9"/>
        </w:rPr>
        <w:t> </w:t>
      </w:r>
      <w:r>
        <w:rPr/>
        <w:t>de- tail above, papaya also possesses numerous other notable active ingredients. The flesh of the papaya fruit consists of 89 % water, 11 % carbohydrates</w:t>
      </w:r>
      <w:r>
        <w:rPr>
          <w:spacing w:val="66"/>
        </w:rPr>
        <w:t> </w:t>
      </w:r>
      <w:r>
        <w:rPr/>
        <w:t>and</w:t>
      </w:r>
    </w:p>
    <w:p>
      <w:pPr>
        <w:pStyle w:val="BodyText"/>
        <w:spacing w:before="1"/>
        <w:ind w:left="616"/>
        <w:rPr>
          <w:sz w:val="25"/>
        </w:rPr>
      </w:pPr>
      <w:r>
        <w:rPr/>
        <w:t>0.4 % protein.</w:t>
      </w:r>
      <w:r>
        <w:rPr>
          <w:position w:val="9"/>
          <w:sz w:val="25"/>
        </w:rPr>
        <w:t>669</w:t>
      </w:r>
    </w:p>
    <w:p>
      <w:pPr>
        <w:pStyle w:val="BodyText"/>
        <w:spacing w:line="276" w:lineRule="auto" w:before="302"/>
        <w:ind w:left="616" w:right="137"/>
        <w:jc w:val="both"/>
      </w:pPr>
      <w:r>
        <w:rPr/>
        <w:t>The</w:t>
      </w:r>
      <w:r>
        <w:rPr>
          <w:spacing w:val="-14"/>
        </w:rPr>
        <w:t> </w:t>
      </w:r>
      <w:r>
        <w:rPr/>
        <w:t>papaya</w:t>
      </w:r>
      <w:r>
        <w:rPr>
          <w:spacing w:val="-15"/>
        </w:rPr>
        <w:t> </w:t>
      </w:r>
      <w:r>
        <w:rPr/>
        <w:t>fruit</w:t>
      </w:r>
      <w:r>
        <w:rPr>
          <w:spacing w:val="-16"/>
        </w:rPr>
        <w:t> </w:t>
      </w:r>
      <w:r>
        <w:rPr/>
        <w:t>has</w:t>
      </w:r>
      <w:r>
        <w:rPr>
          <w:spacing w:val="-16"/>
        </w:rPr>
        <w:t> </w:t>
      </w:r>
      <w:r>
        <w:rPr/>
        <w:t>honestly</w:t>
      </w:r>
      <w:r>
        <w:rPr>
          <w:spacing w:val="-16"/>
        </w:rPr>
        <w:t> </w:t>
      </w:r>
      <w:r>
        <w:rPr/>
        <w:t>earned</w:t>
      </w:r>
      <w:r>
        <w:rPr>
          <w:spacing w:val="-15"/>
        </w:rPr>
        <w:t> </w:t>
      </w:r>
      <w:r>
        <w:rPr/>
        <w:t>its</w:t>
      </w:r>
      <w:r>
        <w:rPr>
          <w:spacing w:val="-14"/>
        </w:rPr>
        <w:t> </w:t>
      </w:r>
      <w:r>
        <w:rPr/>
        <w:t>Cuban</w:t>
      </w:r>
      <w:r>
        <w:rPr>
          <w:spacing w:val="-13"/>
        </w:rPr>
        <w:t> </w:t>
      </w:r>
      <w:r>
        <w:rPr/>
        <w:t>name</w:t>
      </w:r>
      <w:r>
        <w:rPr>
          <w:spacing w:val="-15"/>
        </w:rPr>
        <w:t> </w:t>
      </w:r>
      <w:r>
        <w:rPr/>
        <w:t>‘Fruta</w:t>
      </w:r>
      <w:r>
        <w:rPr>
          <w:spacing w:val="-15"/>
        </w:rPr>
        <w:t> </w:t>
      </w:r>
      <w:r>
        <w:rPr/>
        <w:t>de</w:t>
      </w:r>
      <w:r>
        <w:rPr>
          <w:spacing w:val="-15"/>
        </w:rPr>
        <w:t> </w:t>
      </w:r>
      <w:r>
        <w:rPr/>
        <w:t>Bomba’</w:t>
      </w:r>
      <w:r>
        <w:rPr>
          <w:spacing w:val="-14"/>
        </w:rPr>
        <w:t> </w:t>
      </w:r>
      <w:r>
        <w:rPr/>
        <w:t>(Bomb fruit) due to its enormous variety of healthy ingredients, and the papaya is in fact a real ‘vital substance bomb’ with numerous vitamins, minerals, trace ele- ments and</w:t>
      </w:r>
      <w:r>
        <w:rPr>
          <w:spacing w:val="1"/>
        </w:rPr>
        <w:t> </w:t>
      </w:r>
      <w:r>
        <w:rPr/>
        <w:t>enzymes.</w:t>
      </w:r>
    </w:p>
    <w:p>
      <w:pPr>
        <w:pStyle w:val="BodyText"/>
        <w:spacing w:line="276" w:lineRule="auto" w:before="240"/>
        <w:ind w:left="616" w:right="135"/>
        <w:jc w:val="both"/>
      </w:pPr>
      <w:r>
        <w:rPr/>
        <w:t>It is assumed that most of the active ingredients contained in the papaya have so far not been identified and defined by science. On this topic, the papaya expert Prof. Chung-Shih Tang of the University of Honolulu speaks of a real ‘</w:t>
      </w:r>
      <w:r>
        <w:rPr>
          <w:i/>
        </w:rPr>
        <w:t>knowledge gap in the therapeutic value of the papaya plant</w:t>
      </w:r>
      <w:r>
        <w:rPr/>
        <w:t>’, and this despite many hundreds of</w:t>
      </w:r>
      <w:r>
        <w:rPr>
          <w:spacing w:val="2"/>
        </w:rPr>
        <w:t> </w:t>
      </w:r>
      <w:r>
        <w:rPr/>
        <w:t>studies.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4"/>
        </w:rPr>
      </w:pPr>
      <w:r>
        <w:rPr/>
        <w:pict>
          <v:line style="position:absolute;mso-position-horizontal-relative:page;mso-position-vertical-relative:paragraph;z-index:8576;mso-wrap-distance-left:0;mso-wrap-distance-right:0" from="70.823997pt,16.365015pt" to="214.843997pt,16.365015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669 </w:t>
      </w:r>
      <w:r>
        <w:rPr>
          <w:sz w:val="20"/>
        </w:rPr>
        <w:t>USDA 2005</w:t>
      </w:r>
    </w:p>
    <w:p>
      <w:pPr>
        <w:spacing w:after="0"/>
        <w:jc w:val="left"/>
        <w:rPr>
          <w:sz w:val="20"/>
        </w:rPr>
        <w:sectPr>
          <w:pgSz w:w="14270" w:h="16850"/>
          <w:pgMar w:header="0" w:footer="1891" w:top="1340" w:bottom="2080" w:left="800" w:right="12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9"/>
        </w:rPr>
      </w:pPr>
    </w:p>
    <w:p>
      <w:pPr>
        <w:pStyle w:val="BodyText"/>
        <w:spacing w:line="278" w:lineRule="auto" w:before="100"/>
        <w:ind w:left="616"/>
        <w:rPr>
          <w:sz w:val="25"/>
        </w:rPr>
      </w:pPr>
      <w:r>
        <w:rPr/>
        <w:t>The following active ingredients have so far been demonstrated in the papaya fruit:</w:t>
      </w:r>
      <w:r>
        <w:rPr>
          <w:position w:val="9"/>
          <w:sz w:val="25"/>
        </w:rPr>
        <w:t>670</w:t>
      </w:r>
    </w:p>
    <w:p>
      <w:pPr>
        <w:pStyle w:val="BodyText"/>
        <w:spacing w:before="3"/>
        <w:rPr>
          <w:sz w:val="17"/>
        </w:r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06"/>
        <w:gridCol w:w="4606"/>
      </w:tblGrid>
      <w:tr>
        <w:trPr>
          <w:trHeight w:val="931" w:hRule="atLeast"/>
        </w:trPr>
        <w:tc>
          <w:tcPr>
            <w:tcW w:w="9212" w:type="dxa"/>
            <w:gridSpan w:val="2"/>
            <w:shd w:val="clear" w:color="auto" w:fill="8DB3E1"/>
          </w:tcPr>
          <w:p>
            <w:pPr>
              <w:pStyle w:val="TableParagraph"/>
              <w:spacing w:before="239"/>
              <w:ind w:left="254"/>
              <w:rPr>
                <w:b/>
                <w:sz w:val="38"/>
              </w:rPr>
            </w:pPr>
            <w:r>
              <w:rPr>
                <w:b/>
                <w:sz w:val="38"/>
              </w:rPr>
              <w:t>Ingredients of a Papaya Fruit 500g/approximate value</w:t>
            </w:r>
          </w:p>
        </w:tc>
      </w:tr>
      <w:tr>
        <w:trPr>
          <w:trHeight w:val="813" w:hRule="atLeast"/>
        </w:trPr>
        <w:tc>
          <w:tcPr>
            <w:tcW w:w="4606" w:type="dxa"/>
          </w:tcPr>
          <w:p>
            <w:pPr>
              <w:pStyle w:val="TableParagraph"/>
              <w:spacing w:before="118"/>
              <w:ind w:left="110"/>
              <w:rPr>
                <w:sz w:val="38"/>
              </w:rPr>
            </w:pPr>
            <w:r>
              <w:rPr>
                <w:sz w:val="38"/>
              </w:rPr>
              <w:t>Provitamin A</w:t>
            </w:r>
          </w:p>
        </w:tc>
        <w:tc>
          <w:tcPr>
            <w:tcW w:w="4606" w:type="dxa"/>
          </w:tcPr>
          <w:p>
            <w:pPr>
              <w:pStyle w:val="TableParagraph"/>
              <w:spacing w:before="118"/>
              <w:ind w:left="110"/>
              <w:rPr>
                <w:sz w:val="38"/>
              </w:rPr>
            </w:pPr>
            <w:r>
              <w:rPr>
                <w:sz w:val="38"/>
              </w:rPr>
              <w:t>2.80 mg</w:t>
            </w:r>
          </w:p>
        </w:tc>
      </w:tr>
      <w:tr>
        <w:trPr>
          <w:trHeight w:val="810" w:hRule="atLeast"/>
        </w:trPr>
        <w:tc>
          <w:tcPr>
            <w:tcW w:w="4606" w:type="dxa"/>
          </w:tcPr>
          <w:p>
            <w:pPr>
              <w:pStyle w:val="TableParagraph"/>
              <w:spacing w:before="118"/>
              <w:ind w:left="110"/>
              <w:rPr>
                <w:sz w:val="38"/>
              </w:rPr>
            </w:pPr>
            <w:r>
              <w:rPr>
                <w:sz w:val="38"/>
              </w:rPr>
              <w:t>Vitamin C</w:t>
            </w:r>
          </w:p>
        </w:tc>
        <w:tc>
          <w:tcPr>
            <w:tcW w:w="4606" w:type="dxa"/>
          </w:tcPr>
          <w:p>
            <w:pPr>
              <w:pStyle w:val="TableParagraph"/>
              <w:spacing w:before="118"/>
              <w:ind w:left="110"/>
              <w:rPr>
                <w:sz w:val="38"/>
              </w:rPr>
            </w:pPr>
            <w:r>
              <w:rPr>
                <w:sz w:val="38"/>
              </w:rPr>
              <w:t>420 mg</w:t>
            </w:r>
          </w:p>
        </w:tc>
      </w:tr>
      <w:tr>
        <w:trPr>
          <w:trHeight w:val="810" w:hRule="atLeast"/>
        </w:trPr>
        <w:tc>
          <w:tcPr>
            <w:tcW w:w="4606" w:type="dxa"/>
          </w:tcPr>
          <w:p>
            <w:pPr>
              <w:pStyle w:val="TableParagraph"/>
              <w:spacing w:before="118"/>
              <w:ind w:left="110"/>
              <w:rPr>
                <w:sz w:val="38"/>
              </w:rPr>
            </w:pPr>
            <w:r>
              <w:rPr>
                <w:sz w:val="38"/>
              </w:rPr>
              <w:t>Vitamin B1 (Thiamine)</w:t>
            </w:r>
          </w:p>
        </w:tc>
        <w:tc>
          <w:tcPr>
            <w:tcW w:w="4606" w:type="dxa"/>
          </w:tcPr>
          <w:p>
            <w:pPr>
              <w:pStyle w:val="TableParagraph"/>
              <w:spacing w:before="118"/>
              <w:ind w:left="110"/>
              <w:rPr>
                <w:sz w:val="38"/>
              </w:rPr>
            </w:pPr>
            <w:r>
              <w:rPr>
                <w:sz w:val="38"/>
              </w:rPr>
              <w:t>0.15 mg</w:t>
            </w:r>
          </w:p>
        </w:tc>
      </w:tr>
      <w:tr>
        <w:trPr>
          <w:trHeight w:val="813" w:hRule="atLeast"/>
        </w:trPr>
        <w:tc>
          <w:tcPr>
            <w:tcW w:w="4606" w:type="dxa"/>
          </w:tcPr>
          <w:p>
            <w:pPr>
              <w:pStyle w:val="TableParagraph"/>
              <w:spacing w:before="121"/>
              <w:ind w:left="110"/>
              <w:rPr>
                <w:sz w:val="38"/>
              </w:rPr>
            </w:pPr>
            <w:r>
              <w:rPr>
                <w:sz w:val="38"/>
              </w:rPr>
              <w:t>Vitamin B2 (Riboflavin)</w:t>
            </w:r>
          </w:p>
        </w:tc>
        <w:tc>
          <w:tcPr>
            <w:tcW w:w="4606" w:type="dxa"/>
          </w:tcPr>
          <w:p>
            <w:pPr>
              <w:pStyle w:val="TableParagraph"/>
              <w:spacing w:before="121"/>
              <w:ind w:left="110"/>
              <w:rPr>
                <w:sz w:val="38"/>
              </w:rPr>
            </w:pPr>
            <w:r>
              <w:rPr>
                <w:sz w:val="38"/>
              </w:rPr>
              <w:t>0.20 mg</w:t>
            </w:r>
          </w:p>
        </w:tc>
      </w:tr>
      <w:tr>
        <w:trPr>
          <w:trHeight w:val="810" w:hRule="atLeast"/>
        </w:trPr>
        <w:tc>
          <w:tcPr>
            <w:tcW w:w="4606" w:type="dxa"/>
          </w:tcPr>
          <w:p>
            <w:pPr>
              <w:pStyle w:val="TableParagraph"/>
              <w:spacing w:before="118"/>
              <w:ind w:left="110"/>
              <w:rPr>
                <w:sz w:val="38"/>
              </w:rPr>
            </w:pPr>
            <w:r>
              <w:rPr>
                <w:sz w:val="38"/>
              </w:rPr>
              <w:t>Vitamin B3 (Niacin)</w:t>
            </w:r>
          </w:p>
        </w:tc>
        <w:tc>
          <w:tcPr>
            <w:tcW w:w="4606" w:type="dxa"/>
          </w:tcPr>
          <w:p>
            <w:pPr>
              <w:pStyle w:val="TableParagraph"/>
              <w:spacing w:before="118"/>
              <w:ind w:left="110"/>
              <w:rPr>
                <w:sz w:val="38"/>
              </w:rPr>
            </w:pPr>
            <w:r>
              <w:rPr>
                <w:sz w:val="38"/>
              </w:rPr>
              <w:t>1.75 mg</w:t>
            </w:r>
          </w:p>
        </w:tc>
      </w:tr>
      <w:tr>
        <w:trPr>
          <w:trHeight w:val="810" w:hRule="atLeast"/>
        </w:trPr>
        <w:tc>
          <w:tcPr>
            <w:tcW w:w="4606" w:type="dxa"/>
          </w:tcPr>
          <w:p>
            <w:pPr>
              <w:pStyle w:val="TableParagraph"/>
              <w:spacing w:before="118"/>
              <w:ind w:left="110"/>
              <w:rPr>
                <w:sz w:val="38"/>
              </w:rPr>
            </w:pPr>
            <w:r>
              <w:rPr>
                <w:sz w:val="38"/>
              </w:rPr>
              <w:t>Vitamin B6</w:t>
            </w:r>
          </w:p>
        </w:tc>
        <w:tc>
          <w:tcPr>
            <w:tcW w:w="4606" w:type="dxa"/>
          </w:tcPr>
          <w:p>
            <w:pPr>
              <w:pStyle w:val="TableParagraph"/>
              <w:spacing w:before="118"/>
              <w:ind w:left="110"/>
              <w:rPr>
                <w:sz w:val="38"/>
              </w:rPr>
            </w:pPr>
            <w:r>
              <w:rPr>
                <w:sz w:val="38"/>
              </w:rPr>
              <w:t>0.15 mg</w:t>
            </w:r>
          </w:p>
        </w:tc>
      </w:tr>
      <w:tr>
        <w:trPr>
          <w:trHeight w:val="813" w:hRule="atLeast"/>
        </w:trPr>
        <w:tc>
          <w:tcPr>
            <w:tcW w:w="4606" w:type="dxa"/>
          </w:tcPr>
          <w:p>
            <w:pPr>
              <w:pStyle w:val="TableParagraph"/>
              <w:spacing w:before="121"/>
              <w:ind w:left="110"/>
              <w:rPr>
                <w:sz w:val="38"/>
              </w:rPr>
            </w:pPr>
            <w:r>
              <w:rPr>
                <w:sz w:val="38"/>
              </w:rPr>
              <w:t>Vitamin E</w:t>
            </w:r>
          </w:p>
        </w:tc>
        <w:tc>
          <w:tcPr>
            <w:tcW w:w="4606" w:type="dxa"/>
          </w:tcPr>
          <w:p>
            <w:pPr>
              <w:pStyle w:val="TableParagraph"/>
              <w:spacing w:before="121"/>
              <w:ind w:left="206"/>
              <w:rPr>
                <w:sz w:val="38"/>
              </w:rPr>
            </w:pPr>
            <w:r>
              <w:rPr>
                <w:sz w:val="38"/>
              </w:rPr>
              <w:t>3.50 mg</w:t>
            </w:r>
          </w:p>
        </w:tc>
      </w:tr>
    </w:tbl>
    <w:p>
      <w:pPr>
        <w:pStyle w:val="BodyText"/>
        <w:rPr>
          <w:sz w:val="20"/>
        </w:rPr>
      </w:pPr>
    </w:p>
    <w:p>
      <w:pPr>
        <w:pStyle w:val="BodyText"/>
        <w:spacing w:before="2"/>
        <w:rPr>
          <w:sz w:val="24"/>
        </w:rPr>
      </w:pPr>
      <w:r>
        <w:rPr/>
        <w:pict>
          <v:line style="position:absolute;mso-position-horizontal-relative:page;mso-position-vertical-relative:paragraph;z-index:8600;mso-wrap-distance-left:0;mso-wrap-distance-right:0" from="70.823997pt,15.990015pt" to="214.843997pt,15.990015pt" stroked="true" strokeweight=".71997pt" strokecolor="#000000">
            <v:stroke dashstyle="solid"/>
            <w10:wrap type="topAndBottom"/>
          </v:line>
        </w:pict>
      </w:r>
    </w:p>
    <w:p>
      <w:pPr>
        <w:spacing w:before="309"/>
        <w:ind w:left="616" w:right="0" w:firstLine="0"/>
        <w:jc w:val="left"/>
        <w:rPr>
          <w:sz w:val="20"/>
        </w:rPr>
      </w:pPr>
      <w:r>
        <w:rPr>
          <w:position w:val="5"/>
          <w:sz w:val="13"/>
        </w:rPr>
        <w:t>670 </w:t>
      </w:r>
      <w:r>
        <w:rPr>
          <w:sz w:val="20"/>
        </w:rPr>
        <w:t>Barbara Simonsohn: Papaya – Heilen mit der Wunderfrucht ('Papaya – Healing with the Wonder Fruit'), 2nd Edition, 1998, p. 46.</w:t>
      </w:r>
    </w:p>
    <w:p>
      <w:pPr>
        <w:spacing w:after="0"/>
        <w:jc w:val="left"/>
        <w:rPr>
          <w:sz w:val="20"/>
        </w:rPr>
        <w:sectPr>
          <w:pgSz w:w="14270" w:h="16850"/>
          <w:pgMar w:header="0" w:footer="1891" w:top="1600" w:bottom="2080" w:left="800" w:right="1280"/>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06"/>
        <w:gridCol w:w="4606"/>
      </w:tblGrid>
      <w:tr>
        <w:trPr>
          <w:trHeight w:val="813" w:hRule="atLeast"/>
        </w:trPr>
        <w:tc>
          <w:tcPr>
            <w:tcW w:w="4606" w:type="dxa"/>
          </w:tcPr>
          <w:p>
            <w:pPr>
              <w:pStyle w:val="TableParagraph"/>
              <w:spacing w:before="116"/>
              <w:ind w:left="110"/>
              <w:rPr>
                <w:sz w:val="38"/>
              </w:rPr>
            </w:pPr>
            <w:r>
              <w:rPr>
                <w:sz w:val="38"/>
              </w:rPr>
              <w:t>Vitamin H (Biotin)</w:t>
            </w:r>
          </w:p>
        </w:tc>
        <w:tc>
          <w:tcPr>
            <w:tcW w:w="4606" w:type="dxa"/>
          </w:tcPr>
          <w:p>
            <w:pPr>
              <w:pStyle w:val="TableParagraph"/>
              <w:spacing w:before="116"/>
              <w:ind w:left="110"/>
              <w:rPr>
                <w:sz w:val="38"/>
              </w:rPr>
            </w:pPr>
            <w:r>
              <w:rPr>
                <w:sz w:val="38"/>
              </w:rPr>
              <w:t>0.10 mg</w:t>
            </w:r>
          </w:p>
        </w:tc>
      </w:tr>
      <w:tr>
        <w:trPr>
          <w:trHeight w:val="810" w:hRule="atLeast"/>
        </w:trPr>
        <w:tc>
          <w:tcPr>
            <w:tcW w:w="4606" w:type="dxa"/>
          </w:tcPr>
          <w:p>
            <w:pPr>
              <w:pStyle w:val="TableParagraph"/>
              <w:spacing w:before="114"/>
              <w:ind w:left="110"/>
              <w:rPr>
                <w:sz w:val="38"/>
              </w:rPr>
            </w:pPr>
            <w:r>
              <w:rPr>
                <w:sz w:val="38"/>
              </w:rPr>
              <w:t>Potassium</w:t>
            </w:r>
          </w:p>
        </w:tc>
        <w:tc>
          <w:tcPr>
            <w:tcW w:w="4606" w:type="dxa"/>
          </w:tcPr>
          <w:p>
            <w:pPr>
              <w:pStyle w:val="TableParagraph"/>
              <w:spacing w:before="114"/>
              <w:ind w:left="110"/>
              <w:rPr>
                <w:sz w:val="38"/>
              </w:rPr>
            </w:pPr>
            <w:r>
              <w:rPr>
                <w:sz w:val="38"/>
              </w:rPr>
              <w:t>1300 mg</w:t>
            </w:r>
          </w:p>
        </w:tc>
      </w:tr>
      <w:tr>
        <w:trPr>
          <w:trHeight w:val="810" w:hRule="atLeast"/>
        </w:trPr>
        <w:tc>
          <w:tcPr>
            <w:tcW w:w="4606" w:type="dxa"/>
          </w:tcPr>
          <w:p>
            <w:pPr>
              <w:pStyle w:val="TableParagraph"/>
              <w:spacing w:before="114"/>
              <w:ind w:left="110"/>
              <w:rPr>
                <w:sz w:val="38"/>
              </w:rPr>
            </w:pPr>
            <w:r>
              <w:rPr>
                <w:sz w:val="38"/>
              </w:rPr>
              <w:t>Calcium</w:t>
            </w:r>
          </w:p>
        </w:tc>
        <w:tc>
          <w:tcPr>
            <w:tcW w:w="4606" w:type="dxa"/>
          </w:tcPr>
          <w:p>
            <w:pPr>
              <w:pStyle w:val="TableParagraph"/>
              <w:spacing w:before="114"/>
              <w:ind w:left="110"/>
              <w:rPr>
                <w:sz w:val="38"/>
              </w:rPr>
            </w:pPr>
            <w:r>
              <w:rPr>
                <w:sz w:val="38"/>
              </w:rPr>
              <w:t>120 mg</w:t>
            </w:r>
          </w:p>
        </w:tc>
      </w:tr>
      <w:tr>
        <w:trPr>
          <w:trHeight w:val="813" w:hRule="atLeast"/>
        </w:trPr>
        <w:tc>
          <w:tcPr>
            <w:tcW w:w="4606" w:type="dxa"/>
          </w:tcPr>
          <w:p>
            <w:pPr>
              <w:pStyle w:val="TableParagraph"/>
              <w:spacing w:before="116"/>
              <w:ind w:left="110"/>
              <w:rPr>
                <w:sz w:val="38"/>
              </w:rPr>
            </w:pPr>
            <w:r>
              <w:rPr>
                <w:sz w:val="38"/>
              </w:rPr>
              <w:t>Iron</w:t>
            </w:r>
          </w:p>
        </w:tc>
        <w:tc>
          <w:tcPr>
            <w:tcW w:w="4606" w:type="dxa"/>
          </w:tcPr>
          <w:p>
            <w:pPr>
              <w:pStyle w:val="TableParagraph"/>
              <w:spacing w:before="116"/>
              <w:ind w:left="110"/>
              <w:rPr>
                <w:sz w:val="38"/>
              </w:rPr>
            </w:pPr>
            <w:r>
              <w:rPr>
                <w:sz w:val="38"/>
              </w:rPr>
              <w:t>2 mg</w:t>
            </w:r>
          </w:p>
        </w:tc>
      </w:tr>
      <w:tr>
        <w:trPr>
          <w:trHeight w:val="811" w:hRule="atLeast"/>
        </w:trPr>
        <w:tc>
          <w:tcPr>
            <w:tcW w:w="4606" w:type="dxa"/>
          </w:tcPr>
          <w:p>
            <w:pPr>
              <w:pStyle w:val="TableParagraph"/>
              <w:spacing w:before="114"/>
              <w:ind w:left="110"/>
              <w:rPr>
                <w:sz w:val="38"/>
              </w:rPr>
            </w:pPr>
            <w:r>
              <w:rPr>
                <w:sz w:val="38"/>
              </w:rPr>
              <w:t>Magnesium</w:t>
            </w:r>
          </w:p>
        </w:tc>
        <w:tc>
          <w:tcPr>
            <w:tcW w:w="4606" w:type="dxa"/>
          </w:tcPr>
          <w:p>
            <w:pPr>
              <w:pStyle w:val="TableParagraph"/>
              <w:spacing w:before="114"/>
              <w:ind w:left="110"/>
              <w:rPr>
                <w:sz w:val="38"/>
              </w:rPr>
            </w:pPr>
            <w:r>
              <w:rPr>
                <w:sz w:val="38"/>
              </w:rPr>
              <w:t>200 mg</w:t>
            </w:r>
          </w:p>
        </w:tc>
      </w:tr>
      <w:tr>
        <w:trPr>
          <w:trHeight w:val="810" w:hRule="atLeast"/>
        </w:trPr>
        <w:tc>
          <w:tcPr>
            <w:tcW w:w="4606" w:type="dxa"/>
          </w:tcPr>
          <w:p>
            <w:pPr>
              <w:pStyle w:val="TableParagraph"/>
              <w:spacing w:before="114"/>
              <w:ind w:left="110"/>
              <w:rPr>
                <w:sz w:val="38"/>
              </w:rPr>
            </w:pPr>
            <w:r>
              <w:rPr>
                <w:sz w:val="38"/>
              </w:rPr>
              <w:t>Phosphorus</w:t>
            </w:r>
          </w:p>
        </w:tc>
        <w:tc>
          <w:tcPr>
            <w:tcW w:w="4606" w:type="dxa"/>
          </w:tcPr>
          <w:p>
            <w:pPr>
              <w:pStyle w:val="TableParagraph"/>
              <w:spacing w:before="114"/>
              <w:ind w:left="110"/>
              <w:rPr>
                <w:sz w:val="38"/>
              </w:rPr>
            </w:pPr>
            <w:r>
              <w:rPr>
                <w:sz w:val="38"/>
              </w:rPr>
              <w:t>80 mg</w:t>
            </w:r>
          </w:p>
        </w:tc>
      </w:tr>
      <w:tr>
        <w:trPr>
          <w:trHeight w:val="813" w:hRule="atLeast"/>
        </w:trPr>
        <w:tc>
          <w:tcPr>
            <w:tcW w:w="4606" w:type="dxa"/>
          </w:tcPr>
          <w:p>
            <w:pPr>
              <w:pStyle w:val="TableParagraph"/>
              <w:spacing w:before="116"/>
              <w:ind w:left="110"/>
              <w:rPr>
                <w:sz w:val="38"/>
              </w:rPr>
            </w:pPr>
            <w:r>
              <w:rPr>
                <w:sz w:val="38"/>
              </w:rPr>
              <w:t>Sodium</w:t>
            </w:r>
          </w:p>
        </w:tc>
        <w:tc>
          <w:tcPr>
            <w:tcW w:w="4606" w:type="dxa"/>
          </w:tcPr>
          <w:p>
            <w:pPr>
              <w:pStyle w:val="TableParagraph"/>
              <w:spacing w:before="116"/>
              <w:ind w:left="110"/>
              <w:rPr>
                <w:sz w:val="38"/>
              </w:rPr>
            </w:pPr>
            <w:r>
              <w:rPr>
                <w:sz w:val="38"/>
              </w:rPr>
              <w:t>14 mg</w:t>
            </w:r>
          </w:p>
        </w:tc>
      </w:tr>
      <w:tr>
        <w:trPr>
          <w:trHeight w:val="810" w:hRule="atLeast"/>
        </w:trPr>
        <w:tc>
          <w:tcPr>
            <w:tcW w:w="4606" w:type="dxa"/>
          </w:tcPr>
          <w:p>
            <w:pPr>
              <w:pStyle w:val="TableParagraph"/>
              <w:spacing w:before="114"/>
              <w:ind w:left="110"/>
              <w:rPr>
                <w:sz w:val="38"/>
              </w:rPr>
            </w:pPr>
            <w:r>
              <w:rPr>
                <w:sz w:val="38"/>
              </w:rPr>
              <w:t>Protein</w:t>
            </w:r>
          </w:p>
        </w:tc>
        <w:tc>
          <w:tcPr>
            <w:tcW w:w="4606" w:type="dxa"/>
          </w:tcPr>
          <w:p>
            <w:pPr>
              <w:pStyle w:val="TableParagraph"/>
              <w:spacing w:before="114"/>
              <w:ind w:left="110"/>
              <w:rPr>
                <w:sz w:val="38"/>
              </w:rPr>
            </w:pPr>
            <w:r>
              <w:rPr>
                <w:sz w:val="38"/>
              </w:rPr>
              <w:t>2 mg</w:t>
            </w:r>
          </w:p>
        </w:tc>
      </w:tr>
      <w:tr>
        <w:trPr>
          <w:trHeight w:val="813" w:hRule="atLeast"/>
        </w:trPr>
        <w:tc>
          <w:tcPr>
            <w:tcW w:w="4606" w:type="dxa"/>
          </w:tcPr>
          <w:p>
            <w:pPr>
              <w:pStyle w:val="TableParagraph"/>
              <w:spacing w:before="114"/>
              <w:ind w:left="110"/>
              <w:rPr>
                <w:sz w:val="38"/>
              </w:rPr>
            </w:pPr>
            <w:r>
              <w:rPr>
                <w:sz w:val="38"/>
              </w:rPr>
              <w:t>Carbohydrates</w:t>
            </w:r>
          </w:p>
        </w:tc>
        <w:tc>
          <w:tcPr>
            <w:tcW w:w="4606" w:type="dxa"/>
          </w:tcPr>
          <w:p>
            <w:pPr>
              <w:pStyle w:val="TableParagraph"/>
              <w:spacing w:before="114"/>
              <w:ind w:left="110"/>
              <w:rPr>
                <w:sz w:val="38"/>
              </w:rPr>
            </w:pPr>
            <w:r>
              <w:rPr>
                <w:sz w:val="38"/>
              </w:rPr>
              <w:t>10 mg</w:t>
            </w:r>
          </w:p>
        </w:tc>
      </w:tr>
      <w:tr>
        <w:trPr>
          <w:trHeight w:val="810" w:hRule="atLeast"/>
        </w:trPr>
        <w:tc>
          <w:tcPr>
            <w:tcW w:w="4606" w:type="dxa"/>
          </w:tcPr>
          <w:p>
            <w:pPr>
              <w:pStyle w:val="TableParagraph"/>
              <w:spacing w:before="114"/>
              <w:ind w:left="110"/>
              <w:rPr>
                <w:sz w:val="38"/>
              </w:rPr>
            </w:pPr>
            <w:r>
              <w:rPr>
                <w:sz w:val="38"/>
              </w:rPr>
              <w:t>Fat</w:t>
            </w:r>
          </w:p>
        </w:tc>
        <w:tc>
          <w:tcPr>
            <w:tcW w:w="4606" w:type="dxa"/>
          </w:tcPr>
          <w:p>
            <w:pPr>
              <w:pStyle w:val="TableParagraph"/>
              <w:spacing w:before="114"/>
              <w:ind w:left="110"/>
              <w:rPr>
                <w:sz w:val="38"/>
              </w:rPr>
            </w:pPr>
            <w:r>
              <w:rPr>
                <w:sz w:val="38"/>
              </w:rPr>
              <w:t>4 mg</w:t>
            </w:r>
          </w:p>
        </w:tc>
      </w:tr>
    </w:tbl>
    <w:p>
      <w:pPr>
        <w:pStyle w:val="BodyText"/>
        <w:spacing w:before="11"/>
        <w:rPr>
          <w:sz w:val="11"/>
        </w:rPr>
      </w:pPr>
    </w:p>
    <w:p>
      <w:pPr>
        <w:pStyle w:val="BodyText"/>
        <w:spacing w:before="99"/>
        <w:ind w:left="616"/>
      </w:pPr>
      <w:r>
        <w:rPr/>
        <w:t>The papaya fruit also contains the following identified active ingredients:</w:t>
      </w:r>
    </w:p>
    <w:p>
      <w:pPr>
        <w:pStyle w:val="ListParagraph"/>
        <w:numPr>
          <w:ilvl w:val="0"/>
          <w:numId w:val="91"/>
        </w:numPr>
        <w:tabs>
          <w:tab w:pos="1031" w:val="left" w:leader="none"/>
          <w:tab w:pos="1032" w:val="left" w:leader="none"/>
        </w:tabs>
        <w:spacing w:line="240" w:lineRule="auto" w:before="301" w:after="0"/>
        <w:ind w:left="1043" w:right="0" w:hanging="427"/>
        <w:jc w:val="left"/>
        <w:rPr>
          <w:sz w:val="38"/>
        </w:rPr>
      </w:pPr>
      <w:r>
        <w:rPr>
          <w:sz w:val="38"/>
        </w:rPr>
        <w:t>Papain</w:t>
      </w:r>
    </w:p>
    <w:p>
      <w:pPr>
        <w:pStyle w:val="ListParagraph"/>
        <w:numPr>
          <w:ilvl w:val="0"/>
          <w:numId w:val="91"/>
        </w:numPr>
        <w:tabs>
          <w:tab w:pos="1031" w:val="left" w:leader="none"/>
          <w:tab w:pos="1032" w:val="left" w:leader="none"/>
        </w:tabs>
        <w:spacing w:line="240" w:lineRule="auto" w:before="306" w:after="0"/>
        <w:ind w:left="1043" w:right="0" w:hanging="427"/>
        <w:jc w:val="left"/>
        <w:rPr>
          <w:sz w:val="38"/>
        </w:rPr>
      </w:pPr>
      <w:r>
        <w:rPr>
          <w:sz w:val="38"/>
        </w:rPr>
        <w:t>Carpain</w:t>
      </w:r>
    </w:p>
    <w:p>
      <w:pPr>
        <w:pStyle w:val="ListParagraph"/>
        <w:numPr>
          <w:ilvl w:val="0"/>
          <w:numId w:val="91"/>
        </w:numPr>
        <w:tabs>
          <w:tab w:pos="1031" w:val="left" w:leader="none"/>
          <w:tab w:pos="1032" w:val="left" w:leader="none"/>
        </w:tabs>
        <w:spacing w:line="240" w:lineRule="auto" w:before="305" w:after="0"/>
        <w:ind w:left="1043" w:right="0" w:hanging="427"/>
        <w:jc w:val="left"/>
        <w:rPr>
          <w:sz w:val="38"/>
        </w:rPr>
      </w:pPr>
      <w:r>
        <w:rPr>
          <w:sz w:val="38"/>
        </w:rPr>
        <w:t>Campesterol</w:t>
      </w:r>
    </w:p>
    <w:p>
      <w:pPr>
        <w:pStyle w:val="ListParagraph"/>
        <w:numPr>
          <w:ilvl w:val="0"/>
          <w:numId w:val="91"/>
        </w:numPr>
        <w:tabs>
          <w:tab w:pos="1031" w:val="left" w:leader="none"/>
          <w:tab w:pos="1032" w:val="left" w:leader="none"/>
        </w:tabs>
        <w:spacing w:line="240" w:lineRule="auto" w:before="303" w:after="0"/>
        <w:ind w:left="1043" w:right="0" w:hanging="427"/>
        <w:jc w:val="left"/>
        <w:rPr>
          <w:sz w:val="38"/>
        </w:rPr>
      </w:pPr>
      <w:r>
        <w:rPr>
          <w:sz w:val="38"/>
        </w:rPr>
        <w:t>Cryptoxanthin</w:t>
      </w:r>
    </w:p>
    <w:p>
      <w:pPr>
        <w:spacing w:after="0" w:line="240" w:lineRule="auto"/>
        <w:jc w:val="left"/>
        <w:rPr>
          <w:sz w:val="38"/>
        </w:rPr>
        <w:sectPr>
          <w:pgSz w:w="14270" w:h="16850"/>
          <w:pgMar w:header="0" w:footer="1891" w:top="1420" w:bottom="2080" w:left="800" w:right="1280"/>
        </w:sectPr>
      </w:pPr>
    </w:p>
    <w:p>
      <w:pPr>
        <w:pStyle w:val="ListParagraph"/>
        <w:numPr>
          <w:ilvl w:val="0"/>
          <w:numId w:val="91"/>
        </w:numPr>
        <w:tabs>
          <w:tab w:pos="1031" w:val="left" w:leader="none"/>
          <w:tab w:pos="1032" w:val="left" w:leader="none"/>
        </w:tabs>
        <w:spacing w:line="240" w:lineRule="auto" w:before="53" w:after="0"/>
        <w:ind w:left="1043" w:right="0" w:hanging="427"/>
        <w:jc w:val="left"/>
        <w:rPr>
          <w:sz w:val="38"/>
        </w:rPr>
      </w:pPr>
      <w:r>
        <w:rPr>
          <w:sz w:val="38"/>
        </w:rPr>
        <w:t>Stigmasterol</w:t>
      </w:r>
    </w:p>
    <w:p>
      <w:pPr>
        <w:pStyle w:val="ListParagraph"/>
        <w:numPr>
          <w:ilvl w:val="0"/>
          <w:numId w:val="91"/>
        </w:numPr>
        <w:tabs>
          <w:tab w:pos="1031" w:val="left" w:leader="none"/>
          <w:tab w:pos="1032" w:val="left" w:leader="none"/>
        </w:tabs>
        <w:spacing w:line="240" w:lineRule="auto" w:before="306" w:after="0"/>
        <w:ind w:left="1043" w:right="0" w:hanging="427"/>
        <w:jc w:val="left"/>
        <w:rPr>
          <w:sz w:val="38"/>
        </w:rPr>
      </w:pPr>
      <w:r>
        <w:rPr>
          <w:sz w:val="38"/>
        </w:rPr>
        <w:t>Phenylalanine</w:t>
      </w:r>
    </w:p>
    <w:p>
      <w:pPr>
        <w:pStyle w:val="ListParagraph"/>
        <w:numPr>
          <w:ilvl w:val="0"/>
          <w:numId w:val="91"/>
        </w:numPr>
        <w:tabs>
          <w:tab w:pos="1031" w:val="left" w:leader="none"/>
          <w:tab w:pos="1032" w:val="left" w:leader="none"/>
        </w:tabs>
        <w:spacing w:line="240" w:lineRule="auto" w:before="304" w:after="0"/>
        <w:ind w:left="1043" w:right="0" w:hanging="427"/>
        <w:jc w:val="left"/>
        <w:rPr>
          <w:sz w:val="38"/>
        </w:rPr>
      </w:pPr>
      <w:r>
        <w:rPr>
          <w:sz w:val="38"/>
        </w:rPr>
        <w:t>Myrosin</w:t>
      </w:r>
    </w:p>
    <w:p>
      <w:pPr>
        <w:pStyle w:val="ListParagraph"/>
        <w:numPr>
          <w:ilvl w:val="0"/>
          <w:numId w:val="91"/>
        </w:numPr>
        <w:tabs>
          <w:tab w:pos="1031" w:val="left" w:leader="none"/>
          <w:tab w:pos="1032" w:val="left" w:leader="none"/>
        </w:tabs>
        <w:spacing w:line="240" w:lineRule="auto" w:before="304" w:after="0"/>
        <w:ind w:left="1043" w:right="0" w:hanging="427"/>
        <w:jc w:val="left"/>
        <w:rPr>
          <w:sz w:val="38"/>
        </w:rPr>
      </w:pPr>
      <w:r>
        <w:rPr>
          <w:sz w:val="38"/>
        </w:rPr>
        <w:t>Pseudocarpain</w:t>
      </w:r>
    </w:p>
    <w:p>
      <w:pPr>
        <w:pStyle w:val="ListParagraph"/>
        <w:numPr>
          <w:ilvl w:val="0"/>
          <w:numId w:val="91"/>
        </w:numPr>
        <w:tabs>
          <w:tab w:pos="1031" w:val="left" w:leader="none"/>
          <w:tab w:pos="1032" w:val="left" w:leader="none"/>
        </w:tabs>
        <w:spacing w:line="240" w:lineRule="auto" w:before="303" w:after="0"/>
        <w:ind w:left="1043" w:right="0" w:hanging="427"/>
        <w:jc w:val="left"/>
        <w:rPr>
          <w:sz w:val="38"/>
        </w:rPr>
      </w:pPr>
      <w:r>
        <w:rPr>
          <w:sz w:val="38"/>
        </w:rPr>
        <w:t>Violaxanthin</w:t>
      </w:r>
    </w:p>
    <w:p>
      <w:pPr>
        <w:pStyle w:val="ListParagraph"/>
        <w:numPr>
          <w:ilvl w:val="0"/>
          <w:numId w:val="91"/>
        </w:numPr>
        <w:tabs>
          <w:tab w:pos="1031" w:val="left" w:leader="none"/>
          <w:tab w:pos="1032" w:val="left" w:leader="none"/>
        </w:tabs>
        <w:spacing w:line="240" w:lineRule="auto" w:before="304" w:after="0"/>
        <w:ind w:left="1043" w:right="0" w:hanging="427"/>
        <w:jc w:val="left"/>
        <w:rPr>
          <w:sz w:val="38"/>
        </w:rPr>
      </w:pPr>
      <w:r>
        <w:rPr>
          <w:sz w:val="38"/>
        </w:rPr>
        <w:t>Flavonoids</w:t>
      </w:r>
    </w:p>
    <w:p>
      <w:pPr>
        <w:pStyle w:val="ListParagraph"/>
        <w:numPr>
          <w:ilvl w:val="0"/>
          <w:numId w:val="91"/>
        </w:numPr>
        <w:tabs>
          <w:tab w:pos="1031" w:val="left" w:leader="none"/>
          <w:tab w:pos="1032" w:val="left" w:leader="none"/>
        </w:tabs>
        <w:spacing w:line="240" w:lineRule="auto" w:before="306" w:after="0"/>
        <w:ind w:left="1043" w:right="0" w:hanging="427"/>
        <w:jc w:val="left"/>
        <w:rPr>
          <w:sz w:val="38"/>
        </w:rPr>
      </w:pPr>
      <w:r>
        <w:rPr>
          <w:sz w:val="38"/>
        </w:rPr>
        <w:t>Essential</w:t>
      </w:r>
      <w:r>
        <w:rPr>
          <w:spacing w:val="-2"/>
          <w:sz w:val="38"/>
        </w:rPr>
        <w:t> </w:t>
      </w:r>
      <w:r>
        <w:rPr>
          <w:sz w:val="38"/>
        </w:rPr>
        <w:t>oils</w:t>
      </w:r>
    </w:p>
    <w:p>
      <w:pPr>
        <w:pStyle w:val="ListParagraph"/>
        <w:numPr>
          <w:ilvl w:val="0"/>
          <w:numId w:val="91"/>
        </w:numPr>
        <w:tabs>
          <w:tab w:pos="1031" w:val="left" w:leader="none"/>
          <w:tab w:pos="1032" w:val="left" w:leader="none"/>
        </w:tabs>
        <w:spacing w:line="240" w:lineRule="auto" w:before="304" w:after="0"/>
        <w:ind w:left="1043" w:right="0" w:hanging="427"/>
        <w:jc w:val="left"/>
        <w:rPr>
          <w:sz w:val="38"/>
        </w:rPr>
      </w:pPr>
      <w:r>
        <w:rPr>
          <w:sz w:val="38"/>
        </w:rPr>
        <w:t>Bitter substances</w:t>
      </w:r>
    </w:p>
    <w:p>
      <w:pPr>
        <w:pStyle w:val="ListParagraph"/>
        <w:numPr>
          <w:ilvl w:val="0"/>
          <w:numId w:val="91"/>
        </w:numPr>
        <w:tabs>
          <w:tab w:pos="1031" w:val="left" w:leader="none"/>
          <w:tab w:pos="1032" w:val="left" w:leader="none"/>
        </w:tabs>
        <w:spacing w:line="240" w:lineRule="auto" w:before="304" w:after="0"/>
        <w:ind w:left="1043" w:right="0" w:hanging="427"/>
        <w:jc w:val="left"/>
        <w:rPr>
          <w:sz w:val="38"/>
        </w:rPr>
      </w:pPr>
      <w:r>
        <w:rPr>
          <w:sz w:val="38"/>
        </w:rPr>
        <w:t>Tannins</w:t>
      </w:r>
    </w:p>
    <w:p>
      <w:pPr>
        <w:pStyle w:val="ListParagraph"/>
        <w:numPr>
          <w:ilvl w:val="0"/>
          <w:numId w:val="91"/>
        </w:numPr>
        <w:tabs>
          <w:tab w:pos="1031" w:val="left" w:leader="none"/>
          <w:tab w:pos="1032" w:val="left" w:leader="none"/>
        </w:tabs>
        <w:spacing w:line="240" w:lineRule="auto" w:before="303" w:after="0"/>
        <w:ind w:left="1043" w:right="0" w:hanging="427"/>
        <w:jc w:val="left"/>
        <w:rPr>
          <w:sz w:val="38"/>
        </w:rPr>
      </w:pPr>
      <w:r>
        <w:rPr>
          <w:sz w:val="38"/>
        </w:rPr>
        <w:t>Selenium</w:t>
      </w:r>
    </w:p>
    <w:p>
      <w:pPr>
        <w:pStyle w:val="ListParagraph"/>
        <w:numPr>
          <w:ilvl w:val="0"/>
          <w:numId w:val="91"/>
        </w:numPr>
        <w:tabs>
          <w:tab w:pos="1031" w:val="left" w:leader="none"/>
          <w:tab w:pos="1032" w:val="left" w:leader="none"/>
        </w:tabs>
        <w:spacing w:line="240" w:lineRule="auto" w:before="307" w:after="0"/>
        <w:ind w:left="1043" w:right="0" w:hanging="427"/>
        <w:jc w:val="left"/>
        <w:rPr>
          <w:sz w:val="38"/>
        </w:rPr>
      </w:pPr>
      <w:r>
        <w:rPr>
          <w:sz w:val="38"/>
        </w:rPr>
        <w:t>Riboflavin</w:t>
      </w:r>
    </w:p>
    <w:p>
      <w:pPr>
        <w:pStyle w:val="BodyText"/>
        <w:rPr>
          <w:sz w:val="44"/>
        </w:rPr>
      </w:pPr>
    </w:p>
    <w:p>
      <w:pPr>
        <w:pStyle w:val="Heading2"/>
        <w:spacing w:before="299"/>
        <w:ind w:left="616"/>
      </w:pPr>
      <w:r>
        <w:rPr/>
        <w:t>Effects/application</w:t>
      </w:r>
    </w:p>
    <w:p>
      <w:pPr>
        <w:spacing w:before="304"/>
        <w:ind w:left="616" w:right="0" w:firstLine="0"/>
        <w:jc w:val="left"/>
        <w:rPr>
          <w:sz w:val="38"/>
        </w:rPr>
      </w:pPr>
      <w:r>
        <w:rPr>
          <w:i/>
          <w:sz w:val="38"/>
        </w:rPr>
        <w:t>‘A PAPAYA A DAY – KEEPS THE DOCTOR AWAY’ </w:t>
      </w:r>
      <w:r>
        <w:rPr>
          <w:sz w:val="38"/>
        </w:rPr>
        <w:t>... they say in Ha-</w:t>
      </w:r>
    </w:p>
    <w:p>
      <w:pPr>
        <w:pStyle w:val="BodyText"/>
        <w:spacing w:before="62"/>
        <w:ind w:left="616"/>
      </w:pPr>
      <w:r>
        <w:rPr/>
        <w:t>waii.</w:t>
      </w:r>
    </w:p>
    <w:p>
      <w:pPr>
        <w:pStyle w:val="BodyText"/>
        <w:spacing w:line="276" w:lineRule="auto" w:before="306"/>
        <w:ind w:left="616"/>
      </w:pPr>
      <w:r>
        <w:rPr/>
        <w:t>The numerous ingredients of the ‘vital bomb’ papaya in a perfect relationship to one another explain the broad spectrum of effects of this legendary fruit.</w:t>
      </w:r>
    </w:p>
    <w:p>
      <w:pPr>
        <w:spacing w:after="0" w:line="276" w:lineRule="auto"/>
        <w:sectPr>
          <w:pgSz w:w="14270" w:h="16850"/>
          <w:pgMar w:header="0" w:footer="1891" w:top="1360" w:bottom="2080" w:left="800" w:right="1280"/>
        </w:sectPr>
      </w:pPr>
    </w:p>
    <w:p>
      <w:pPr>
        <w:pStyle w:val="BodyText"/>
        <w:spacing w:line="276" w:lineRule="auto" w:before="72"/>
        <w:ind w:left="616" w:right="135"/>
        <w:jc w:val="both"/>
      </w:pPr>
      <w:r>
        <w:rPr/>
        <w:t>These are present throughout the whole papaya fruit in all of its parts, from the roots to the trunk, the leaves, the blossoms, the skin, the pulp, the milk all the way to the seeds.</w:t>
      </w:r>
    </w:p>
    <w:p>
      <w:pPr>
        <w:pStyle w:val="BodyText"/>
        <w:spacing w:line="276" w:lineRule="auto" w:before="241"/>
        <w:ind w:left="616" w:right="133"/>
        <w:jc w:val="both"/>
      </w:pPr>
      <w:r>
        <w:rPr/>
        <w:t>The green, unripe papaya is purported, by the way, to have a greater healing potential</w:t>
      </w:r>
      <w:r>
        <w:rPr>
          <w:spacing w:val="-12"/>
        </w:rPr>
        <w:t> </w:t>
      </w:r>
      <w:r>
        <w:rPr/>
        <w:t>than</w:t>
      </w:r>
      <w:r>
        <w:rPr>
          <w:spacing w:val="-11"/>
        </w:rPr>
        <w:t> </w:t>
      </w:r>
      <w:r>
        <w:rPr/>
        <w:t>the</w:t>
      </w:r>
      <w:r>
        <w:rPr>
          <w:spacing w:val="-11"/>
        </w:rPr>
        <w:t> </w:t>
      </w:r>
      <w:r>
        <w:rPr/>
        <w:t>ripe</w:t>
      </w:r>
      <w:r>
        <w:rPr>
          <w:spacing w:val="-10"/>
        </w:rPr>
        <w:t> </w:t>
      </w:r>
      <w:r>
        <w:rPr/>
        <w:t>papaya</w:t>
      </w:r>
      <w:r>
        <w:rPr>
          <w:spacing w:val="-13"/>
        </w:rPr>
        <w:t> </w:t>
      </w:r>
      <w:r>
        <w:rPr/>
        <w:t>fruit.</w:t>
      </w:r>
      <w:r>
        <w:rPr>
          <w:spacing w:val="-12"/>
        </w:rPr>
        <w:t> </w:t>
      </w:r>
      <w:r>
        <w:rPr/>
        <w:t>In</w:t>
      </w:r>
      <w:r>
        <w:rPr>
          <w:spacing w:val="-11"/>
        </w:rPr>
        <w:t> </w:t>
      </w:r>
      <w:r>
        <w:rPr/>
        <w:t>the</w:t>
      </w:r>
      <w:r>
        <w:rPr>
          <w:spacing w:val="-10"/>
        </w:rPr>
        <w:t> </w:t>
      </w:r>
      <w:r>
        <w:rPr/>
        <w:t>seeds</w:t>
      </w:r>
      <w:r>
        <w:rPr>
          <w:spacing w:val="-11"/>
        </w:rPr>
        <w:t> </w:t>
      </w:r>
      <w:r>
        <w:rPr/>
        <w:t>there</w:t>
      </w:r>
      <w:r>
        <w:rPr>
          <w:spacing w:val="-11"/>
        </w:rPr>
        <w:t> </w:t>
      </w:r>
      <w:r>
        <w:rPr/>
        <w:t>are,</w:t>
      </w:r>
      <w:r>
        <w:rPr>
          <w:spacing w:val="-10"/>
        </w:rPr>
        <w:t> </w:t>
      </w:r>
      <w:r>
        <w:rPr/>
        <w:t>among</w:t>
      </w:r>
      <w:r>
        <w:rPr>
          <w:spacing w:val="-14"/>
        </w:rPr>
        <w:t> </w:t>
      </w:r>
      <w:r>
        <w:rPr/>
        <w:t>other</w:t>
      </w:r>
      <w:r>
        <w:rPr>
          <w:spacing w:val="-11"/>
        </w:rPr>
        <w:t> </w:t>
      </w:r>
      <w:r>
        <w:rPr/>
        <w:t>things, the highly effective enzyme papain, as well as the enzyme ‘carpain myrosin’ and essential</w:t>
      </w:r>
      <w:r>
        <w:rPr>
          <w:spacing w:val="-1"/>
        </w:rPr>
        <w:t> </w:t>
      </w:r>
      <w:r>
        <w:rPr/>
        <w:t>oils.</w:t>
      </w:r>
    </w:p>
    <w:p>
      <w:pPr>
        <w:pStyle w:val="BodyText"/>
        <w:spacing w:line="276" w:lineRule="auto" w:before="242"/>
        <w:ind w:left="616" w:right="136"/>
        <w:jc w:val="both"/>
      </w:pPr>
      <w:r>
        <w:rPr/>
        <w:t>Almost</w:t>
      </w:r>
      <w:r>
        <w:rPr>
          <w:spacing w:val="-19"/>
        </w:rPr>
        <w:t> </w:t>
      </w:r>
      <w:r>
        <w:rPr/>
        <w:t>all</w:t>
      </w:r>
      <w:r>
        <w:rPr>
          <w:spacing w:val="-19"/>
        </w:rPr>
        <w:t> </w:t>
      </w:r>
      <w:r>
        <w:rPr/>
        <w:t>parts</w:t>
      </w:r>
      <w:r>
        <w:rPr>
          <w:spacing w:val="-16"/>
        </w:rPr>
        <w:t> </w:t>
      </w:r>
      <w:r>
        <w:rPr/>
        <w:t>of</w:t>
      </w:r>
      <w:r>
        <w:rPr>
          <w:spacing w:val="-19"/>
        </w:rPr>
        <w:t> </w:t>
      </w:r>
      <w:r>
        <w:rPr/>
        <w:t>the</w:t>
      </w:r>
      <w:r>
        <w:rPr>
          <w:spacing w:val="-17"/>
        </w:rPr>
        <w:t> </w:t>
      </w:r>
      <w:r>
        <w:rPr/>
        <w:t>papaya</w:t>
      </w:r>
      <w:r>
        <w:rPr>
          <w:spacing w:val="-20"/>
        </w:rPr>
        <w:t> </w:t>
      </w:r>
      <w:r>
        <w:rPr/>
        <w:t>fruit</w:t>
      </w:r>
      <w:r>
        <w:rPr>
          <w:spacing w:val="-19"/>
        </w:rPr>
        <w:t> </w:t>
      </w:r>
      <w:r>
        <w:rPr/>
        <w:t>can</w:t>
      </w:r>
      <w:r>
        <w:rPr>
          <w:spacing w:val="-18"/>
        </w:rPr>
        <w:t> </w:t>
      </w:r>
      <w:r>
        <w:rPr/>
        <w:t>be</w:t>
      </w:r>
      <w:r>
        <w:rPr>
          <w:spacing w:val="-18"/>
        </w:rPr>
        <w:t> </w:t>
      </w:r>
      <w:r>
        <w:rPr/>
        <w:t>used</w:t>
      </w:r>
      <w:r>
        <w:rPr>
          <w:spacing w:val="-19"/>
        </w:rPr>
        <w:t> </w:t>
      </w:r>
      <w:r>
        <w:rPr/>
        <w:t>for</w:t>
      </w:r>
      <w:r>
        <w:rPr>
          <w:spacing w:val="-17"/>
        </w:rPr>
        <w:t> </w:t>
      </w:r>
      <w:r>
        <w:rPr/>
        <w:t>medical</w:t>
      </w:r>
      <w:r>
        <w:rPr>
          <w:spacing w:val="-20"/>
        </w:rPr>
        <w:t> </w:t>
      </w:r>
      <w:r>
        <w:rPr/>
        <w:t>purposes.</w:t>
      </w:r>
      <w:r>
        <w:rPr>
          <w:spacing w:val="-17"/>
        </w:rPr>
        <w:t> </w:t>
      </w:r>
      <w:r>
        <w:rPr/>
        <w:t>The</w:t>
      </w:r>
      <w:r>
        <w:rPr>
          <w:spacing w:val="-18"/>
        </w:rPr>
        <w:t> </w:t>
      </w:r>
      <w:r>
        <w:rPr/>
        <w:t>pulp of the papaya combines the effect of the other parts of the papaya fruit in the corresponding relationship. Individual parts of the papaya are predestined for specific</w:t>
      </w:r>
      <w:r>
        <w:rPr>
          <w:spacing w:val="-1"/>
        </w:rPr>
        <w:t> </w:t>
      </w:r>
      <w:r>
        <w:rPr/>
        <w:t>diseases:</w:t>
      </w:r>
    </w:p>
    <w:p>
      <w:pPr>
        <w:spacing w:after="0" w:line="276" w:lineRule="auto"/>
        <w:jc w:val="both"/>
        <w:sectPr>
          <w:pgSz w:w="14270" w:h="16850"/>
          <w:pgMar w:header="0" w:footer="1891" w:top="1340" w:bottom="2080" w:left="800" w:right="1280"/>
        </w:sectPr>
      </w:pPr>
    </w:p>
    <w:p>
      <w:pPr>
        <w:pStyle w:val="Heading1"/>
        <w:spacing w:before="77"/>
        <w:ind w:left="616"/>
      </w:pPr>
      <w:r>
        <w:rPr/>
        <w:t>Effect of the individual plant components of the papaya:</w:t>
      </w:r>
    </w:p>
    <w:p>
      <w:pPr>
        <w:pStyle w:val="BodyText"/>
        <w:spacing w:before="3"/>
        <w:rPr>
          <w:b/>
          <w:i/>
          <w:sz w:val="23"/>
        </w:r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2"/>
        <w:gridCol w:w="1707"/>
        <w:gridCol w:w="2127"/>
        <w:gridCol w:w="1558"/>
      </w:tblGrid>
      <w:tr>
        <w:trPr>
          <w:trHeight w:val="1914" w:hRule="atLeast"/>
        </w:trPr>
        <w:tc>
          <w:tcPr>
            <w:tcW w:w="1522" w:type="dxa"/>
            <w:shd w:val="clear" w:color="auto" w:fill="8DB3E1"/>
          </w:tcPr>
          <w:p>
            <w:pPr>
              <w:pStyle w:val="TableParagraph"/>
              <w:spacing w:line="276" w:lineRule="auto" w:before="236"/>
              <w:ind w:left="345" w:right="163" w:hanging="166"/>
              <w:rPr>
                <w:b/>
                <w:sz w:val="38"/>
              </w:rPr>
            </w:pPr>
            <w:r>
              <w:rPr>
                <w:b/>
                <w:sz w:val="38"/>
              </w:rPr>
              <w:t>Papaya blos- soms</w:t>
            </w:r>
          </w:p>
        </w:tc>
        <w:tc>
          <w:tcPr>
            <w:tcW w:w="1707" w:type="dxa"/>
            <w:shd w:val="clear" w:color="auto" w:fill="8DB3E1"/>
          </w:tcPr>
          <w:p>
            <w:pPr>
              <w:pStyle w:val="TableParagraph"/>
              <w:spacing w:line="278" w:lineRule="auto" w:before="236"/>
              <w:ind w:left="412" w:right="239" w:hanging="142"/>
              <w:rPr>
                <w:b/>
                <w:sz w:val="38"/>
              </w:rPr>
            </w:pPr>
            <w:r>
              <w:rPr>
                <w:b/>
                <w:sz w:val="38"/>
              </w:rPr>
              <w:t>Papaya</w:t>
            </w:r>
            <w:r>
              <w:rPr>
                <w:b/>
                <w:w w:val="99"/>
                <w:sz w:val="38"/>
              </w:rPr>
              <w:t> </w:t>
            </w:r>
            <w:r>
              <w:rPr>
                <w:b/>
                <w:sz w:val="38"/>
              </w:rPr>
              <w:t>seeds</w:t>
            </w:r>
          </w:p>
        </w:tc>
        <w:tc>
          <w:tcPr>
            <w:tcW w:w="2127" w:type="dxa"/>
            <w:shd w:val="clear" w:color="auto" w:fill="8DB3E1"/>
          </w:tcPr>
          <w:p>
            <w:pPr>
              <w:pStyle w:val="TableParagraph"/>
              <w:spacing w:line="278" w:lineRule="auto" w:before="236"/>
              <w:ind w:left="577" w:right="451" w:hanging="99"/>
              <w:rPr>
                <w:b/>
                <w:sz w:val="38"/>
              </w:rPr>
            </w:pPr>
            <w:r>
              <w:rPr>
                <w:b/>
                <w:sz w:val="38"/>
              </w:rPr>
              <w:t>Papaya leaves</w:t>
            </w:r>
          </w:p>
        </w:tc>
        <w:tc>
          <w:tcPr>
            <w:tcW w:w="1558" w:type="dxa"/>
            <w:shd w:val="clear" w:color="auto" w:fill="8DB3E1"/>
          </w:tcPr>
          <w:p>
            <w:pPr>
              <w:pStyle w:val="TableParagraph"/>
              <w:spacing w:line="278" w:lineRule="auto" w:before="236"/>
              <w:ind w:left="455" w:right="165" w:hanging="260"/>
              <w:rPr>
                <w:b/>
                <w:sz w:val="38"/>
              </w:rPr>
            </w:pPr>
            <w:r>
              <w:rPr>
                <w:b/>
                <w:sz w:val="38"/>
              </w:rPr>
              <w:t>Papaya root</w:t>
            </w:r>
          </w:p>
        </w:tc>
      </w:tr>
      <w:tr>
        <w:trPr>
          <w:trHeight w:val="3384" w:hRule="atLeast"/>
        </w:trPr>
        <w:tc>
          <w:tcPr>
            <w:tcW w:w="1522" w:type="dxa"/>
            <w:tcBorders>
              <w:bottom w:val="nil"/>
            </w:tcBorders>
          </w:tcPr>
          <w:p>
            <w:pPr>
              <w:pStyle w:val="TableParagraph"/>
              <w:spacing w:line="278" w:lineRule="auto" w:before="236"/>
              <w:ind w:left="111" w:right="98"/>
              <w:jc w:val="center"/>
              <w:rPr>
                <w:sz w:val="38"/>
              </w:rPr>
            </w:pPr>
            <w:r>
              <w:rPr>
                <w:w w:val="95"/>
                <w:sz w:val="38"/>
              </w:rPr>
              <w:t>Bron- </w:t>
            </w:r>
            <w:r>
              <w:rPr>
                <w:sz w:val="38"/>
              </w:rPr>
              <w:t>chitis,</w:t>
            </w:r>
          </w:p>
          <w:p>
            <w:pPr>
              <w:pStyle w:val="TableParagraph"/>
              <w:spacing w:before="233"/>
              <w:ind w:left="111" w:right="105"/>
              <w:jc w:val="center"/>
              <w:rPr>
                <w:sz w:val="38"/>
              </w:rPr>
            </w:pPr>
            <w:r>
              <w:rPr>
                <w:sz w:val="38"/>
              </w:rPr>
              <w:t>Jaundice</w:t>
            </w:r>
          </w:p>
        </w:tc>
        <w:tc>
          <w:tcPr>
            <w:tcW w:w="1707" w:type="dxa"/>
            <w:tcBorders>
              <w:bottom w:val="nil"/>
            </w:tcBorders>
          </w:tcPr>
          <w:p>
            <w:pPr>
              <w:pStyle w:val="TableParagraph"/>
              <w:spacing w:before="238"/>
              <w:ind w:left="294"/>
              <w:rPr>
                <w:sz w:val="38"/>
              </w:rPr>
            </w:pPr>
            <w:r>
              <w:rPr>
                <w:sz w:val="38"/>
              </w:rPr>
              <w:t>Cancer,</w:t>
            </w:r>
          </w:p>
          <w:p>
            <w:pPr>
              <w:pStyle w:val="TableParagraph"/>
              <w:spacing w:line="276" w:lineRule="auto" w:before="303"/>
              <w:ind w:left="112" w:right="102" w:hanging="1"/>
              <w:jc w:val="center"/>
              <w:rPr>
                <w:sz w:val="38"/>
              </w:rPr>
            </w:pPr>
            <w:r>
              <w:rPr>
                <w:sz w:val="38"/>
              </w:rPr>
              <w:t>Weak im- mune</w:t>
            </w:r>
            <w:r>
              <w:rPr>
                <w:spacing w:val="-1"/>
                <w:sz w:val="38"/>
              </w:rPr>
              <w:t> </w:t>
            </w:r>
            <w:r>
              <w:rPr>
                <w:sz w:val="38"/>
              </w:rPr>
              <w:t>sys-</w:t>
            </w:r>
            <w:r>
              <w:rPr>
                <w:w w:val="99"/>
                <w:sz w:val="38"/>
              </w:rPr>
              <w:t> </w:t>
            </w:r>
            <w:r>
              <w:rPr>
                <w:sz w:val="38"/>
              </w:rPr>
              <w:t>tem</w:t>
            </w:r>
          </w:p>
          <w:p>
            <w:pPr>
              <w:pStyle w:val="TableParagraph"/>
              <w:spacing w:before="241"/>
              <w:ind w:left="86" w:right="79"/>
              <w:jc w:val="center"/>
              <w:rPr>
                <w:sz w:val="38"/>
              </w:rPr>
            </w:pPr>
            <w:r>
              <w:rPr>
                <w:sz w:val="38"/>
              </w:rPr>
              <w:t>Flu</w:t>
            </w:r>
          </w:p>
        </w:tc>
        <w:tc>
          <w:tcPr>
            <w:tcW w:w="2127" w:type="dxa"/>
            <w:vMerge w:val="restart"/>
          </w:tcPr>
          <w:p>
            <w:pPr>
              <w:pStyle w:val="TableParagraph"/>
              <w:spacing w:line="278" w:lineRule="auto" w:before="236"/>
              <w:ind w:left="107" w:right="99"/>
              <w:jc w:val="center"/>
              <w:rPr>
                <w:sz w:val="38"/>
              </w:rPr>
            </w:pPr>
            <w:r>
              <w:rPr>
                <w:sz w:val="38"/>
              </w:rPr>
              <w:t>Fungal in- fections,</w:t>
            </w:r>
          </w:p>
          <w:p>
            <w:pPr>
              <w:pStyle w:val="TableParagraph"/>
              <w:spacing w:line="410" w:lineRule="auto" w:before="233"/>
              <w:ind w:left="258" w:right="249" w:hanging="3"/>
              <w:jc w:val="center"/>
              <w:rPr>
                <w:sz w:val="38"/>
              </w:rPr>
            </w:pPr>
            <w:r>
              <w:rPr>
                <w:sz w:val="38"/>
              </w:rPr>
              <w:t>Cough, Asthma, </w:t>
            </w:r>
            <w:r>
              <w:rPr>
                <w:w w:val="95"/>
                <w:sz w:val="38"/>
              </w:rPr>
              <w:t>Bronchitis, </w:t>
            </w:r>
            <w:r>
              <w:rPr>
                <w:sz w:val="38"/>
              </w:rPr>
              <w:t>cancer,</w:t>
            </w:r>
          </w:p>
          <w:p>
            <w:pPr>
              <w:pStyle w:val="TableParagraph"/>
              <w:spacing w:line="276" w:lineRule="auto" w:before="2"/>
              <w:ind w:left="126" w:right="121" w:firstLine="3"/>
              <w:jc w:val="center"/>
              <w:rPr>
                <w:sz w:val="38"/>
              </w:rPr>
            </w:pPr>
            <w:r>
              <w:rPr>
                <w:sz w:val="38"/>
              </w:rPr>
              <w:t>Detoxifying effect,</w:t>
            </w:r>
            <w:r>
              <w:rPr>
                <w:spacing w:val="-6"/>
                <w:sz w:val="38"/>
              </w:rPr>
              <w:t> </w:t>
            </w:r>
            <w:r>
              <w:rPr>
                <w:sz w:val="38"/>
              </w:rPr>
              <w:t>blood pressure</w:t>
            </w:r>
          </w:p>
          <w:p>
            <w:pPr>
              <w:pStyle w:val="TableParagraph"/>
              <w:spacing w:before="241"/>
              <w:ind w:left="479"/>
              <w:rPr>
                <w:sz w:val="38"/>
              </w:rPr>
            </w:pPr>
            <w:r>
              <w:rPr>
                <w:sz w:val="38"/>
              </w:rPr>
              <w:t>Malaria,</w:t>
            </w:r>
          </w:p>
          <w:p>
            <w:pPr>
              <w:pStyle w:val="TableParagraph"/>
              <w:spacing w:line="276" w:lineRule="auto" w:before="304"/>
              <w:ind w:left="107" w:right="101"/>
              <w:jc w:val="center"/>
              <w:rPr>
                <w:sz w:val="38"/>
              </w:rPr>
            </w:pPr>
            <w:r>
              <w:rPr>
                <w:spacing w:val="-1"/>
                <w:sz w:val="38"/>
              </w:rPr>
              <w:t>Tuberculo- </w:t>
            </w:r>
            <w:r>
              <w:rPr>
                <w:sz w:val="38"/>
              </w:rPr>
              <w:t>sis,</w:t>
            </w:r>
          </w:p>
          <w:p>
            <w:pPr>
              <w:pStyle w:val="TableParagraph"/>
              <w:spacing w:line="278" w:lineRule="auto" w:before="239"/>
              <w:ind w:left="107" w:right="101"/>
              <w:jc w:val="center"/>
              <w:rPr>
                <w:sz w:val="38"/>
              </w:rPr>
            </w:pPr>
            <w:r>
              <w:rPr>
                <w:sz w:val="38"/>
              </w:rPr>
              <w:t>Wound</w:t>
            </w:r>
            <w:r>
              <w:rPr>
                <w:spacing w:val="-8"/>
                <w:sz w:val="38"/>
              </w:rPr>
              <w:t> </w:t>
            </w:r>
            <w:r>
              <w:rPr>
                <w:sz w:val="38"/>
              </w:rPr>
              <w:t>heal- ing</w:t>
            </w:r>
          </w:p>
        </w:tc>
        <w:tc>
          <w:tcPr>
            <w:tcW w:w="1558" w:type="dxa"/>
            <w:tcBorders>
              <w:bottom w:val="nil"/>
            </w:tcBorders>
          </w:tcPr>
          <w:p>
            <w:pPr>
              <w:pStyle w:val="TableParagraph"/>
              <w:spacing w:line="276" w:lineRule="auto" w:before="236"/>
              <w:ind w:left="210" w:right="198"/>
              <w:jc w:val="center"/>
              <w:rPr>
                <w:sz w:val="38"/>
              </w:rPr>
            </w:pPr>
            <w:r>
              <w:rPr>
                <w:sz w:val="38"/>
              </w:rPr>
              <w:t>Bladder weak- ness,</w:t>
            </w:r>
          </w:p>
          <w:p>
            <w:pPr>
              <w:pStyle w:val="TableParagraph"/>
              <w:spacing w:line="276" w:lineRule="auto" w:before="242"/>
              <w:ind w:left="243" w:right="235"/>
              <w:jc w:val="center"/>
              <w:rPr>
                <w:sz w:val="38"/>
              </w:rPr>
            </w:pPr>
            <w:r>
              <w:rPr>
                <w:w w:val="95"/>
                <w:sz w:val="38"/>
              </w:rPr>
              <w:t>Kidney </w:t>
            </w:r>
            <w:r>
              <w:rPr>
                <w:sz w:val="38"/>
              </w:rPr>
              <w:t>prob-</w:t>
            </w:r>
          </w:p>
          <w:p>
            <w:pPr>
              <w:pStyle w:val="TableParagraph"/>
              <w:ind w:left="203" w:right="198"/>
              <w:jc w:val="center"/>
              <w:rPr>
                <w:sz w:val="38"/>
              </w:rPr>
            </w:pPr>
            <w:r>
              <w:rPr>
                <w:sz w:val="38"/>
              </w:rPr>
              <w:t>lems,</w:t>
            </w:r>
          </w:p>
        </w:tc>
      </w:tr>
      <w:tr>
        <w:trPr>
          <w:trHeight w:val="720" w:hRule="atLeast"/>
        </w:trPr>
        <w:tc>
          <w:tcPr>
            <w:tcW w:w="1522" w:type="dxa"/>
            <w:tcBorders>
              <w:top w:val="nil"/>
              <w:bottom w:val="nil"/>
            </w:tcBorders>
          </w:tcPr>
          <w:p>
            <w:pPr>
              <w:pStyle w:val="TableParagraph"/>
              <w:rPr>
                <w:rFonts w:ascii="Times New Roman"/>
                <w:sz w:val="36"/>
              </w:rPr>
            </w:pPr>
          </w:p>
        </w:tc>
        <w:tc>
          <w:tcPr>
            <w:tcW w:w="1707" w:type="dxa"/>
            <w:tcBorders>
              <w:top w:val="nil"/>
              <w:bottom w:val="nil"/>
            </w:tcBorders>
          </w:tcPr>
          <w:p>
            <w:pPr>
              <w:pStyle w:val="TableParagraph"/>
              <w:spacing w:before="20"/>
              <w:ind w:left="83" w:right="79"/>
              <w:jc w:val="center"/>
              <w:rPr>
                <w:sz w:val="38"/>
              </w:rPr>
            </w:pPr>
            <w:r>
              <w:rPr>
                <w:sz w:val="38"/>
              </w:rPr>
              <w:t>Colds</w:t>
            </w:r>
          </w:p>
        </w:tc>
        <w:tc>
          <w:tcPr>
            <w:tcW w:w="2127" w:type="dxa"/>
            <w:vMerge/>
            <w:tcBorders>
              <w:top w:val="nil"/>
            </w:tcBorders>
          </w:tcPr>
          <w:p>
            <w:pPr>
              <w:rPr>
                <w:sz w:val="2"/>
                <w:szCs w:val="2"/>
              </w:rPr>
            </w:pPr>
          </w:p>
        </w:tc>
        <w:tc>
          <w:tcPr>
            <w:tcW w:w="1558" w:type="dxa"/>
            <w:tcBorders>
              <w:top w:val="nil"/>
              <w:bottom w:val="nil"/>
            </w:tcBorders>
          </w:tcPr>
          <w:p>
            <w:pPr>
              <w:pStyle w:val="TableParagraph"/>
              <w:spacing w:before="272"/>
              <w:ind w:left="206" w:right="198"/>
              <w:jc w:val="center"/>
              <w:rPr>
                <w:sz w:val="38"/>
              </w:rPr>
            </w:pPr>
            <w:r>
              <w:rPr>
                <w:sz w:val="38"/>
              </w:rPr>
              <w:t>STDs,</w:t>
            </w:r>
          </w:p>
        </w:tc>
      </w:tr>
      <w:tr>
        <w:trPr>
          <w:trHeight w:val="1215" w:hRule="atLeast"/>
        </w:trPr>
        <w:tc>
          <w:tcPr>
            <w:tcW w:w="1522" w:type="dxa"/>
            <w:tcBorders>
              <w:top w:val="nil"/>
              <w:bottom w:val="nil"/>
            </w:tcBorders>
          </w:tcPr>
          <w:p>
            <w:pPr>
              <w:pStyle w:val="TableParagraph"/>
              <w:rPr>
                <w:rFonts w:ascii="Times New Roman"/>
                <w:sz w:val="36"/>
              </w:rPr>
            </w:pPr>
          </w:p>
        </w:tc>
        <w:tc>
          <w:tcPr>
            <w:tcW w:w="1707" w:type="dxa"/>
            <w:tcBorders>
              <w:top w:val="nil"/>
              <w:bottom w:val="nil"/>
            </w:tcBorders>
          </w:tcPr>
          <w:p>
            <w:pPr>
              <w:pStyle w:val="TableParagraph"/>
              <w:spacing w:line="278" w:lineRule="auto" w:before="21"/>
              <w:ind w:left="160" w:right="108" w:hanging="24"/>
              <w:rPr>
                <w:sz w:val="38"/>
              </w:rPr>
            </w:pPr>
            <w:r>
              <w:rPr>
                <w:sz w:val="38"/>
              </w:rPr>
              <w:t>Digestion</w:t>
            </w:r>
            <w:r>
              <w:rPr>
                <w:w w:val="99"/>
                <w:sz w:val="38"/>
              </w:rPr>
              <w:t> </w:t>
            </w:r>
            <w:r>
              <w:rPr>
                <w:sz w:val="38"/>
              </w:rPr>
              <w:t>problems</w:t>
            </w:r>
          </w:p>
        </w:tc>
        <w:tc>
          <w:tcPr>
            <w:tcW w:w="2127" w:type="dxa"/>
            <w:vMerge/>
            <w:tcBorders>
              <w:top w:val="nil"/>
            </w:tcBorders>
          </w:tcPr>
          <w:p>
            <w:pPr>
              <w:rPr>
                <w:sz w:val="2"/>
                <w:szCs w:val="2"/>
              </w:rPr>
            </w:pPr>
          </w:p>
        </w:tc>
        <w:tc>
          <w:tcPr>
            <w:tcW w:w="1558" w:type="dxa"/>
            <w:tcBorders>
              <w:top w:val="nil"/>
              <w:bottom w:val="nil"/>
            </w:tcBorders>
          </w:tcPr>
          <w:p>
            <w:pPr>
              <w:pStyle w:val="TableParagraph"/>
              <w:spacing w:line="490" w:lineRule="atLeast" w:before="211"/>
              <w:ind w:left="363" w:right="115" w:hanging="221"/>
              <w:rPr>
                <w:sz w:val="38"/>
              </w:rPr>
            </w:pPr>
            <w:r>
              <w:rPr>
                <w:sz w:val="38"/>
              </w:rPr>
              <w:t>Skin dis- eases,</w:t>
            </w:r>
          </w:p>
        </w:tc>
      </w:tr>
      <w:tr>
        <w:trPr>
          <w:trHeight w:val="1212" w:hRule="atLeast"/>
        </w:trPr>
        <w:tc>
          <w:tcPr>
            <w:tcW w:w="1522" w:type="dxa"/>
            <w:tcBorders>
              <w:top w:val="nil"/>
              <w:bottom w:val="nil"/>
            </w:tcBorders>
          </w:tcPr>
          <w:p>
            <w:pPr>
              <w:pStyle w:val="TableParagraph"/>
              <w:rPr>
                <w:rFonts w:ascii="Times New Roman"/>
                <w:sz w:val="36"/>
              </w:rPr>
            </w:pPr>
          </w:p>
        </w:tc>
        <w:tc>
          <w:tcPr>
            <w:tcW w:w="1707" w:type="dxa"/>
            <w:tcBorders>
              <w:top w:val="nil"/>
              <w:bottom w:val="nil"/>
            </w:tcBorders>
          </w:tcPr>
          <w:p>
            <w:pPr>
              <w:pStyle w:val="TableParagraph"/>
              <w:spacing w:line="276" w:lineRule="auto" w:before="20"/>
              <w:ind w:left="222" w:right="138" w:hanging="53"/>
              <w:rPr>
                <w:sz w:val="38"/>
              </w:rPr>
            </w:pPr>
            <w:r>
              <w:rPr>
                <w:sz w:val="38"/>
              </w:rPr>
              <w:t>Intestinal parasites</w:t>
            </w:r>
          </w:p>
        </w:tc>
        <w:tc>
          <w:tcPr>
            <w:tcW w:w="2127" w:type="dxa"/>
            <w:vMerge/>
            <w:tcBorders>
              <w:top w:val="nil"/>
            </w:tcBorders>
          </w:tcPr>
          <w:p>
            <w:pPr>
              <w:rPr>
                <w:sz w:val="2"/>
                <w:szCs w:val="2"/>
              </w:rPr>
            </w:pPr>
          </w:p>
        </w:tc>
        <w:tc>
          <w:tcPr>
            <w:tcW w:w="1558" w:type="dxa"/>
            <w:tcBorders>
              <w:top w:val="nil"/>
              <w:bottom w:val="nil"/>
            </w:tcBorders>
          </w:tcPr>
          <w:p>
            <w:pPr>
              <w:pStyle w:val="TableParagraph"/>
              <w:spacing w:line="490" w:lineRule="atLeast" w:before="209"/>
              <w:ind w:left="510" w:right="276" w:hanging="204"/>
              <w:rPr>
                <w:sz w:val="38"/>
              </w:rPr>
            </w:pPr>
            <w:r>
              <w:rPr>
                <w:sz w:val="38"/>
              </w:rPr>
              <w:t>Bleed-</w:t>
            </w:r>
            <w:r>
              <w:rPr>
                <w:w w:val="99"/>
                <w:sz w:val="38"/>
              </w:rPr>
              <w:t> </w:t>
            </w:r>
            <w:r>
              <w:rPr>
                <w:sz w:val="38"/>
              </w:rPr>
              <w:t>ing,</w:t>
            </w:r>
          </w:p>
        </w:tc>
      </w:tr>
      <w:tr>
        <w:trPr>
          <w:trHeight w:val="719" w:hRule="atLeast"/>
        </w:trPr>
        <w:tc>
          <w:tcPr>
            <w:tcW w:w="1522" w:type="dxa"/>
            <w:tcBorders>
              <w:top w:val="nil"/>
              <w:bottom w:val="nil"/>
            </w:tcBorders>
          </w:tcPr>
          <w:p>
            <w:pPr>
              <w:pStyle w:val="TableParagraph"/>
              <w:rPr>
                <w:rFonts w:ascii="Times New Roman"/>
                <w:sz w:val="36"/>
              </w:rPr>
            </w:pPr>
          </w:p>
        </w:tc>
        <w:tc>
          <w:tcPr>
            <w:tcW w:w="1707" w:type="dxa"/>
            <w:tcBorders>
              <w:top w:val="nil"/>
              <w:bottom w:val="nil"/>
            </w:tcBorders>
          </w:tcPr>
          <w:p>
            <w:pPr>
              <w:pStyle w:val="TableParagraph"/>
              <w:spacing w:before="21"/>
              <w:ind w:left="89" w:right="79"/>
              <w:jc w:val="center"/>
              <w:rPr>
                <w:sz w:val="38"/>
              </w:rPr>
            </w:pPr>
            <w:r>
              <w:rPr>
                <w:sz w:val="38"/>
              </w:rPr>
              <w:t>Diarrhoea</w:t>
            </w:r>
          </w:p>
        </w:tc>
        <w:tc>
          <w:tcPr>
            <w:tcW w:w="2127" w:type="dxa"/>
            <w:vMerge/>
            <w:tcBorders>
              <w:top w:val="nil"/>
            </w:tcBorders>
          </w:tcPr>
          <w:p>
            <w:pPr>
              <w:rPr>
                <w:sz w:val="2"/>
                <w:szCs w:val="2"/>
              </w:rPr>
            </w:pPr>
          </w:p>
        </w:tc>
        <w:tc>
          <w:tcPr>
            <w:tcW w:w="1558" w:type="dxa"/>
            <w:tcBorders>
              <w:top w:val="nil"/>
              <w:bottom w:val="nil"/>
            </w:tcBorders>
          </w:tcPr>
          <w:p>
            <w:pPr>
              <w:pStyle w:val="TableParagraph"/>
              <w:spacing w:before="270"/>
              <w:ind w:left="87" w:right="83"/>
              <w:jc w:val="center"/>
              <w:rPr>
                <w:sz w:val="38"/>
              </w:rPr>
            </w:pPr>
            <w:r>
              <w:rPr>
                <w:sz w:val="38"/>
              </w:rPr>
              <w:t>Jaundice,</w:t>
            </w:r>
          </w:p>
        </w:tc>
      </w:tr>
      <w:tr>
        <w:trPr>
          <w:trHeight w:val="722" w:hRule="atLeast"/>
        </w:trPr>
        <w:tc>
          <w:tcPr>
            <w:tcW w:w="1522" w:type="dxa"/>
            <w:tcBorders>
              <w:top w:val="nil"/>
              <w:bottom w:val="nil"/>
            </w:tcBorders>
          </w:tcPr>
          <w:p>
            <w:pPr>
              <w:pStyle w:val="TableParagraph"/>
              <w:rPr>
                <w:rFonts w:ascii="Times New Roman"/>
                <w:sz w:val="36"/>
              </w:rPr>
            </w:pPr>
          </w:p>
        </w:tc>
        <w:tc>
          <w:tcPr>
            <w:tcW w:w="1707" w:type="dxa"/>
            <w:tcBorders>
              <w:top w:val="nil"/>
              <w:bottom w:val="nil"/>
            </w:tcBorders>
          </w:tcPr>
          <w:p>
            <w:pPr>
              <w:pStyle w:val="TableParagraph"/>
              <w:spacing w:before="21"/>
              <w:ind w:left="84" w:right="79"/>
              <w:jc w:val="center"/>
              <w:rPr>
                <w:sz w:val="38"/>
              </w:rPr>
            </w:pPr>
            <w:r>
              <w:rPr>
                <w:sz w:val="38"/>
              </w:rPr>
              <w:t>Diabetes</w:t>
            </w:r>
          </w:p>
        </w:tc>
        <w:tc>
          <w:tcPr>
            <w:tcW w:w="2127" w:type="dxa"/>
            <w:vMerge/>
            <w:tcBorders>
              <w:top w:val="nil"/>
            </w:tcBorders>
          </w:tcPr>
          <w:p>
            <w:pPr>
              <w:rPr>
                <w:sz w:val="2"/>
                <w:szCs w:val="2"/>
              </w:rPr>
            </w:pPr>
          </w:p>
        </w:tc>
        <w:tc>
          <w:tcPr>
            <w:tcW w:w="1558" w:type="dxa"/>
            <w:tcBorders>
              <w:top w:val="nil"/>
              <w:bottom w:val="nil"/>
            </w:tcBorders>
          </w:tcPr>
          <w:p>
            <w:pPr>
              <w:pStyle w:val="TableParagraph"/>
              <w:spacing w:before="273"/>
              <w:ind w:left="206" w:right="198"/>
              <w:jc w:val="center"/>
              <w:rPr>
                <w:sz w:val="38"/>
              </w:rPr>
            </w:pPr>
            <w:r>
              <w:rPr>
                <w:sz w:val="38"/>
              </w:rPr>
              <w:t>Worms</w:t>
            </w:r>
          </w:p>
        </w:tc>
      </w:tr>
      <w:tr>
        <w:trPr>
          <w:trHeight w:val="1207" w:hRule="atLeast"/>
        </w:trPr>
        <w:tc>
          <w:tcPr>
            <w:tcW w:w="1522" w:type="dxa"/>
            <w:tcBorders>
              <w:top w:val="nil"/>
            </w:tcBorders>
          </w:tcPr>
          <w:p>
            <w:pPr>
              <w:pStyle w:val="TableParagraph"/>
              <w:rPr>
                <w:rFonts w:ascii="Times New Roman"/>
                <w:sz w:val="36"/>
              </w:rPr>
            </w:pPr>
          </w:p>
        </w:tc>
        <w:tc>
          <w:tcPr>
            <w:tcW w:w="1707" w:type="dxa"/>
            <w:tcBorders>
              <w:top w:val="nil"/>
            </w:tcBorders>
          </w:tcPr>
          <w:p>
            <w:pPr>
              <w:pStyle w:val="TableParagraph"/>
              <w:spacing w:line="278" w:lineRule="auto" w:before="21"/>
              <w:ind w:left="131" w:firstLine="220"/>
              <w:rPr>
                <w:sz w:val="38"/>
              </w:rPr>
            </w:pPr>
            <w:r>
              <w:rPr>
                <w:sz w:val="38"/>
              </w:rPr>
              <w:t>Fungal </w:t>
            </w:r>
            <w:r>
              <w:rPr>
                <w:w w:val="95"/>
                <w:sz w:val="38"/>
              </w:rPr>
              <w:t>infections</w:t>
            </w:r>
          </w:p>
        </w:tc>
        <w:tc>
          <w:tcPr>
            <w:tcW w:w="2127" w:type="dxa"/>
            <w:vMerge/>
            <w:tcBorders>
              <w:top w:val="nil"/>
            </w:tcBorders>
          </w:tcPr>
          <w:p>
            <w:pPr>
              <w:rPr>
                <w:sz w:val="2"/>
                <w:szCs w:val="2"/>
              </w:rPr>
            </w:pPr>
          </w:p>
        </w:tc>
        <w:tc>
          <w:tcPr>
            <w:tcW w:w="1558" w:type="dxa"/>
            <w:tcBorders>
              <w:top w:val="nil"/>
            </w:tcBorders>
          </w:tcPr>
          <w:p>
            <w:pPr>
              <w:pStyle w:val="TableParagraph"/>
              <w:rPr>
                <w:rFonts w:ascii="Times New Roman"/>
                <w:sz w:val="36"/>
              </w:rPr>
            </w:pPr>
          </w:p>
        </w:tc>
      </w:tr>
    </w:tbl>
    <w:p>
      <w:pPr>
        <w:spacing w:after="0"/>
        <w:rPr>
          <w:rFonts w:ascii="Times New Roman"/>
          <w:sz w:val="36"/>
        </w:rPr>
        <w:sectPr>
          <w:pgSz w:w="14270" w:h="16850"/>
          <w:pgMar w:header="0" w:footer="1891" w:top="1320" w:bottom="2080" w:left="800" w:right="1280"/>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2"/>
        <w:gridCol w:w="1707"/>
        <w:gridCol w:w="2127"/>
        <w:gridCol w:w="1558"/>
      </w:tblGrid>
      <w:tr>
        <w:trPr>
          <w:trHeight w:val="5146" w:hRule="atLeast"/>
        </w:trPr>
        <w:tc>
          <w:tcPr>
            <w:tcW w:w="1522" w:type="dxa"/>
          </w:tcPr>
          <w:p>
            <w:pPr>
              <w:pStyle w:val="TableParagraph"/>
              <w:rPr>
                <w:rFonts w:ascii="Times New Roman"/>
                <w:sz w:val="36"/>
              </w:rPr>
            </w:pPr>
          </w:p>
        </w:tc>
        <w:tc>
          <w:tcPr>
            <w:tcW w:w="1707" w:type="dxa"/>
          </w:tcPr>
          <w:p>
            <w:pPr>
              <w:pStyle w:val="TableParagraph"/>
              <w:spacing w:line="276" w:lineRule="auto" w:before="35"/>
              <w:ind w:left="239" w:right="227" w:firstLine="244"/>
              <w:jc w:val="both"/>
              <w:rPr>
                <w:sz w:val="38"/>
              </w:rPr>
            </w:pPr>
            <w:r>
              <w:rPr>
                <w:sz w:val="38"/>
              </w:rPr>
              <w:t>High blood pressure</w:t>
            </w:r>
          </w:p>
          <w:p>
            <w:pPr>
              <w:pStyle w:val="TableParagraph"/>
              <w:spacing w:line="278" w:lineRule="auto" w:before="239"/>
              <w:ind w:left="89" w:right="79"/>
              <w:jc w:val="center"/>
              <w:rPr>
                <w:sz w:val="38"/>
              </w:rPr>
            </w:pPr>
            <w:r>
              <w:rPr>
                <w:w w:val="95"/>
                <w:sz w:val="38"/>
              </w:rPr>
              <w:t>Menstrual </w:t>
            </w:r>
            <w:r>
              <w:rPr>
                <w:sz w:val="38"/>
              </w:rPr>
              <w:t>cramps</w:t>
            </w:r>
          </w:p>
          <w:p>
            <w:pPr>
              <w:pStyle w:val="TableParagraph"/>
              <w:spacing w:line="276" w:lineRule="auto" w:before="232"/>
              <w:ind w:left="361" w:right="352"/>
              <w:jc w:val="center"/>
              <w:rPr>
                <w:sz w:val="38"/>
              </w:rPr>
            </w:pPr>
            <w:r>
              <w:rPr>
                <w:w w:val="95"/>
                <w:sz w:val="38"/>
              </w:rPr>
              <w:t>Meno- </w:t>
            </w:r>
            <w:r>
              <w:rPr>
                <w:sz w:val="38"/>
              </w:rPr>
              <w:t>pausal com- plaints</w:t>
            </w:r>
          </w:p>
        </w:tc>
        <w:tc>
          <w:tcPr>
            <w:tcW w:w="2127" w:type="dxa"/>
          </w:tcPr>
          <w:p>
            <w:pPr>
              <w:pStyle w:val="TableParagraph"/>
              <w:rPr>
                <w:rFonts w:ascii="Times New Roman"/>
                <w:sz w:val="36"/>
              </w:rPr>
            </w:pPr>
          </w:p>
        </w:tc>
        <w:tc>
          <w:tcPr>
            <w:tcW w:w="1558" w:type="dxa"/>
          </w:tcPr>
          <w:p>
            <w:pPr>
              <w:pStyle w:val="TableParagraph"/>
              <w:rPr>
                <w:rFonts w:ascii="Times New Roman"/>
                <w:sz w:val="36"/>
              </w:rPr>
            </w:pPr>
          </w:p>
        </w:tc>
      </w:tr>
    </w:tbl>
    <w:p>
      <w:pPr>
        <w:pStyle w:val="BodyText"/>
        <w:rPr>
          <w:b/>
          <w:i/>
          <w:sz w:val="20"/>
        </w:rPr>
      </w:pPr>
    </w:p>
    <w:p>
      <w:pPr>
        <w:pStyle w:val="BodyText"/>
        <w:rPr>
          <w:b/>
          <w:i/>
          <w:sz w:val="20"/>
        </w:rPr>
      </w:pPr>
    </w:p>
    <w:p>
      <w:pPr>
        <w:pStyle w:val="BodyText"/>
        <w:rPr>
          <w:b/>
          <w:i/>
          <w:sz w:val="20"/>
        </w:rPr>
      </w:pPr>
    </w:p>
    <w:p>
      <w:pPr>
        <w:pStyle w:val="BodyText"/>
        <w:rPr>
          <w:b/>
          <w:i/>
          <w:sz w:val="17"/>
        </w:rPr>
      </w:pPr>
    </w:p>
    <w:p>
      <w:pPr>
        <w:pStyle w:val="Heading2"/>
        <w:spacing w:before="100"/>
        <w:ind w:left="616"/>
      </w:pPr>
      <w:r>
        <w:rPr/>
        <w:t>General effects of papaya</w:t>
      </w:r>
    </w:p>
    <w:p>
      <w:pPr>
        <w:pStyle w:val="BodyText"/>
        <w:spacing w:before="302"/>
        <w:ind w:left="616"/>
      </w:pPr>
      <w:r>
        <w:rPr/>
        <w:t>The general effects of the papaya fruit are:</w:t>
      </w:r>
    </w:p>
    <w:p>
      <w:pPr>
        <w:pStyle w:val="ListParagraph"/>
        <w:numPr>
          <w:ilvl w:val="0"/>
          <w:numId w:val="91"/>
        </w:numPr>
        <w:tabs>
          <w:tab w:pos="1317" w:val="left" w:leader="none"/>
          <w:tab w:pos="1318" w:val="left" w:leader="none"/>
        </w:tabs>
        <w:spacing w:line="240" w:lineRule="auto" w:before="265" w:after="0"/>
        <w:ind w:left="1317" w:right="0" w:hanging="701"/>
        <w:jc w:val="left"/>
        <w:rPr>
          <w:sz w:val="38"/>
        </w:rPr>
      </w:pPr>
      <w:r>
        <w:rPr>
          <w:sz w:val="38"/>
        </w:rPr>
        <w:t>antioxidant/cytoprotective</w:t>
      </w:r>
    </w:p>
    <w:p>
      <w:pPr>
        <w:pStyle w:val="ListParagraph"/>
        <w:numPr>
          <w:ilvl w:val="0"/>
          <w:numId w:val="91"/>
        </w:numPr>
        <w:tabs>
          <w:tab w:pos="1317" w:val="left" w:leader="none"/>
          <w:tab w:pos="1318" w:val="left" w:leader="none"/>
        </w:tabs>
        <w:spacing w:line="240" w:lineRule="auto" w:before="122" w:after="0"/>
        <w:ind w:left="1317" w:right="0" w:hanging="701"/>
        <w:jc w:val="left"/>
        <w:rPr>
          <w:sz w:val="38"/>
        </w:rPr>
      </w:pPr>
      <w:r>
        <w:rPr>
          <w:sz w:val="38"/>
        </w:rPr>
        <w:t>immune system-boosting</w:t>
      </w:r>
    </w:p>
    <w:p>
      <w:pPr>
        <w:pStyle w:val="ListParagraph"/>
        <w:numPr>
          <w:ilvl w:val="0"/>
          <w:numId w:val="91"/>
        </w:numPr>
        <w:tabs>
          <w:tab w:pos="1314" w:val="left" w:leader="none"/>
          <w:tab w:pos="1315" w:val="left" w:leader="none"/>
        </w:tabs>
        <w:spacing w:line="240" w:lineRule="auto" w:before="118" w:after="0"/>
        <w:ind w:left="1314" w:right="0" w:hanging="698"/>
        <w:jc w:val="left"/>
        <w:rPr>
          <w:sz w:val="38"/>
        </w:rPr>
      </w:pPr>
      <w:r>
        <w:rPr>
          <w:sz w:val="38"/>
        </w:rPr>
        <w:t>rejuvenating</w:t>
      </w:r>
    </w:p>
    <w:p>
      <w:pPr>
        <w:pStyle w:val="ListParagraph"/>
        <w:numPr>
          <w:ilvl w:val="0"/>
          <w:numId w:val="91"/>
        </w:numPr>
        <w:tabs>
          <w:tab w:pos="1317" w:val="left" w:leader="none"/>
          <w:tab w:pos="1318" w:val="left" w:leader="none"/>
        </w:tabs>
        <w:spacing w:line="240" w:lineRule="auto" w:before="122" w:after="0"/>
        <w:ind w:left="1317" w:right="0" w:hanging="701"/>
        <w:jc w:val="left"/>
        <w:rPr>
          <w:sz w:val="38"/>
        </w:rPr>
      </w:pPr>
      <w:r>
        <w:rPr>
          <w:sz w:val="38"/>
        </w:rPr>
        <w:t>vitalising</w:t>
      </w:r>
    </w:p>
    <w:p>
      <w:pPr>
        <w:pStyle w:val="ListParagraph"/>
        <w:numPr>
          <w:ilvl w:val="0"/>
          <w:numId w:val="91"/>
        </w:numPr>
        <w:tabs>
          <w:tab w:pos="1317" w:val="left" w:leader="none"/>
          <w:tab w:pos="1318" w:val="left" w:leader="none"/>
        </w:tabs>
        <w:spacing w:line="240" w:lineRule="auto" w:before="118" w:after="0"/>
        <w:ind w:left="1317" w:right="0" w:hanging="701"/>
        <w:jc w:val="left"/>
        <w:rPr>
          <w:sz w:val="38"/>
        </w:rPr>
      </w:pPr>
      <w:r>
        <w:rPr>
          <w:sz w:val="38"/>
        </w:rPr>
        <w:t>detoxifying</w:t>
      </w:r>
    </w:p>
    <w:p>
      <w:pPr>
        <w:pStyle w:val="ListParagraph"/>
        <w:numPr>
          <w:ilvl w:val="0"/>
          <w:numId w:val="91"/>
        </w:numPr>
        <w:tabs>
          <w:tab w:pos="1314" w:val="left" w:leader="none"/>
          <w:tab w:pos="1315" w:val="left" w:leader="none"/>
        </w:tabs>
        <w:spacing w:line="240" w:lineRule="auto" w:before="122" w:after="0"/>
        <w:ind w:left="1314" w:right="0" w:hanging="698"/>
        <w:jc w:val="left"/>
        <w:rPr>
          <w:sz w:val="38"/>
        </w:rPr>
      </w:pPr>
      <w:r>
        <w:rPr>
          <w:sz w:val="38"/>
        </w:rPr>
        <w:t>purifying</w:t>
      </w:r>
    </w:p>
    <w:p>
      <w:pPr>
        <w:pStyle w:val="ListParagraph"/>
        <w:numPr>
          <w:ilvl w:val="0"/>
          <w:numId w:val="91"/>
        </w:numPr>
        <w:tabs>
          <w:tab w:pos="1317" w:val="left" w:leader="none"/>
          <w:tab w:pos="1318" w:val="left" w:leader="none"/>
        </w:tabs>
        <w:spacing w:line="240" w:lineRule="auto" w:before="119" w:after="0"/>
        <w:ind w:left="1317" w:right="0" w:hanging="701"/>
        <w:jc w:val="left"/>
        <w:rPr>
          <w:sz w:val="38"/>
        </w:rPr>
      </w:pPr>
      <w:r>
        <w:rPr>
          <w:sz w:val="38"/>
        </w:rPr>
        <w:t>deacidifying</w:t>
      </w:r>
    </w:p>
    <w:p>
      <w:pPr>
        <w:pStyle w:val="ListParagraph"/>
        <w:numPr>
          <w:ilvl w:val="0"/>
          <w:numId w:val="91"/>
        </w:numPr>
        <w:tabs>
          <w:tab w:pos="1317" w:val="left" w:leader="none"/>
          <w:tab w:pos="1318" w:val="left" w:leader="none"/>
        </w:tabs>
        <w:spacing w:line="240" w:lineRule="auto" w:before="121" w:after="0"/>
        <w:ind w:left="1317" w:right="0" w:hanging="701"/>
        <w:jc w:val="left"/>
        <w:rPr>
          <w:sz w:val="38"/>
        </w:rPr>
      </w:pPr>
      <w:r>
        <w:rPr>
          <w:sz w:val="38"/>
        </w:rPr>
        <w:t>accelerates wound</w:t>
      </w:r>
      <w:r>
        <w:rPr>
          <w:spacing w:val="-1"/>
          <w:sz w:val="38"/>
        </w:rPr>
        <w:t> </w:t>
      </w:r>
      <w:r>
        <w:rPr>
          <w:sz w:val="38"/>
        </w:rPr>
        <w:t>healing</w:t>
      </w:r>
    </w:p>
    <w:p>
      <w:pPr>
        <w:spacing w:after="0" w:line="240" w:lineRule="auto"/>
        <w:jc w:val="left"/>
        <w:rPr>
          <w:sz w:val="38"/>
        </w:rPr>
        <w:sectPr>
          <w:pgSz w:w="14270" w:h="16850"/>
          <w:pgMar w:header="0" w:footer="1891" w:top="1420" w:bottom="2080" w:left="800" w:right="1280"/>
        </w:sectPr>
      </w:pPr>
    </w:p>
    <w:p>
      <w:pPr>
        <w:pStyle w:val="ListParagraph"/>
        <w:numPr>
          <w:ilvl w:val="0"/>
          <w:numId w:val="91"/>
        </w:numPr>
        <w:tabs>
          <w:tab w:pos="1317" w:val="left" w:leader="none"/>
          <w:tab w:pos="1318" w:val="left" w:leader="none"/>
        </w:tabs>
        <w:spacing w:line="240" w:lineRule="auto" w:before="53" w:after="0"/>
        <w:ind w:left="1317" w:right="0" w:hanging="701"/>
        <w:jc w:val="left"/>
        <w:rPr>
          <w:sz w:val="38"/>
        </w:rPr>
      </w:pPr>
      <w:r>
        <w:rPr>
          <w:sz w:val="38"/>
        </w:rPr>
        <w:t>lowers blood</w:t>
      </w:r>
      <w:r>
        <w:rPr>
          <w:spacing w:val="-3"/>
          <w:sz w:val="38"/>
        </w:rPr>
        <w:t> </w:t>
      </w:r>
      <w:r>
        <w:rPr>
          <w:sz w:val="38"/>
        </w:rPr>
        <w:t>pressure</w:t>
      </w:r>
    </w:p>
    <w:p>
      <w:pPr>
        <w:pStyle w:val="ListParagraph"/>
        <w:numPr>
          <w:ilvl w:val="0"/>
          <w:numId w:val="91"/>
        </w:numPr>
        <w:tabs>
          <w:tab w:pos="1043" w:val="left" w:leader="none"/>
          <w:tab w:pos="1044" w:val="left" w:leader="none"/>
        </w:tabs>
        <w:spacing w:line="240" w:lineRule="auto" w:before="122" w:after="0"/>
        <w:ind w:left="1043" w:right="132" w:hanging="427"/>
        <w:jc w:val="left"/>
        <w:rPr>
          <w:sz w:val="38"/>
        </w:rPr>
      </w:pPr>
      <w:r>
        <w:rPr>
          <w:sz w:val="38"/>
        </w:rPr>
        <w:t>anti-atherogenic (protects against atherosclerosis and removes existing vas- cular calcification)</w:t>
      </w:r>
    </w:p>
    <w:p>
      <w:pPr>
        <w:pStyle w:val="ListParagraph"/>
        <w:numPr>
          <w:ilvl w:val="0"/>
          <w:numId w:val="91"/>
        </w:numPr>
        <w:tabs>
          <w:tab w:pos="1315" w:val="left" w:leader="none"/>
        </w:tabs>
        <w:spacing w:line="240" w:lineRule="auto" w:before="120" w:after="0"/>
        <w:ind w:left="1314" w:right="0" w:hanging="698"/>
        <w:jc w:val="both"/>
        <w:rPr>
          <w:sz w:val="38"/>
        </w:rPr>
      </w:pPr>
      <w:r>
        <w:rPr>
          <w:sz w:val="38"/>
        </w:rPr>
        <w:t>counteracts the development of</w:t>
      </w:r>
      <w:r>
        <w:rPr>
          <w:spacing w:val="-2"/>
          <w:sz w:val="38"/>
        </w:rPr>
        <w:t> </w:t>
      </w:r>
      <w:r>
        <w:rPr>
          <w:sz w:val="38"/>
        </w:rPr>
        <w:t>cancer</w:t>
      </w:r>
    </w:p>
    <w:p>
      <w:pPr>
        <w:pStyle w:val="ListParagraph"/>
        <w:numPr>
          <w:ilvl w:val="0"/>
          <w:numId w:val="91"/>
        </w:numPr>
        <w:tabs>
          <w:tab w:pos="1315" w:val="left" w:leader="none"/>
        </w:tabs>
        <w:spacing w:line="240" w:lineRule="auto" w:before="119" w:after="0"/>
        <w:ind w:left="1314" w:right="0" w:hanging="698"/>
        <w:jc w:val="both"/>
        <w:rPr>
          <w:sz w:val="38"/>
        </w:rPr>
      </w:pPr>
      <w:r>
        <w:rPr>
          <w:sz w:val="38"/>
        </w:rPr>
        <w:t>protects the cardiovascular</w:t>
      </w:r>
      <w:r>
        <w:rPr>
          <w:spacing w:val="-2"/>
          <w:sz w:val="38"/>
        </w:rPr>
        <w:t> </w:t>
      </w:r>
      <w:r>
        <w:rPr>
          <w:sz w:val="38"/>
        </w:rPr>
        <w:t>system</w:t>
      </w:r>
    </w:p>
    <w:p>
      <w:pPr>
        <w:pStyle w:val="ListParagraph"/>
        <w:numPr>
          <w:ilvl w:val="0"/>
          <w:numId w:val="91"/>
        </w:numPr>
        <w:tabs>
          <w:tab w:pos="1318" w:val="left" w:leader="none"/>
        </w:tabs>
        <w:spacing w:line="240" w:lineRule="auto" w:before="122" w:after="0"/>
        <w:ind w:left="1317" w:right="0" w:hanging="701"/>
        <w:jc w:val="both"/>
        <w:rPr>
          <w:sz w:val="38"/>
        </w:rPr>
      </w:pPr>
      <w:r>
        <w:rPr>
          <w:sz w:val="38"/>
        </w:rPr>
        <w:t>aids</w:t>
      </w:r>
      <w:r>
        <w:rPr>
          <w:spacing w:val="-1"/>
          <w:sz w:val="38"/>
        </w:rPr>
        <w:t> </w:t>
      </w:r>
      <w:r>
        <w:rPr>
          <w:sz w:val="38"/>
        </w:rPr>
        <w:t>digestion</w:t>
      </w:r>
    </w:p>
    <w:p>
      <w:pPr>
        <w:pStyle w:val="ListParagraph"/>
        <w:numPr>
          <w:ilvl w:val="0"/>
          <w:numId w:val="91"/>
        </w:numPr>
        <w:tabs>
          <w:tab w:pos="1315" w:val="left" w:leader="none"/>
        </w:tabs>
        <w:spacing w:line="240" w:lineRule="auto" w:before="118" w:after="0"/>
        <w:ind w:left="1314" w:right="0" w:hanging="698"/>
        <w:jc w:val="both"/>
        <w:rPr>
          <w:sz w:val="38"/>
        </w:rPr>
      </w:pPr>
      <w:r>
        <w:rPr>
          <w:sz w:val="38"/>
        </w:rPr>
        <w:t>builds the intestinal flora</w:t>
      </w:r>
    </w:p>
    <w:p>
      <w:pPr>
        <w:pStyle w:val="ListParagraph"/>
        <w:numPr>
          <w:ilvl w:val="0"/>
          <w:numId w:val="91"/>
        </w:numPr>
        <w:tabs>
          <w:tab w:pos="1318" w:val="left" w:leader="none"/>
        </w:tabs>
        <w:spacing w:line="240" w:lineRule="auto" w:before="120" w:after="0"/>
        <w:ind w:left="1317" w:right="0" w:hanging="701"/>
        <w:jc w:val="both"/>
        <w:rPr>
          <w:sz w:val="38"/>
        </w:rPr>
      </w:pPr>
      <w:r>
        <w:rPr>
          <w:sz w:val="38"/>
        </w:rPr>
        <w:t>invigorates the endocrine</w:t>
      </w:r>
      <w:r>
        <w:rPr>
          <w:spacing w:val="-2"/>
          <w:sz w:val="38"/>
        </w:rPr>
        <w:t> </w:t>
      </w:r>
      <w:r>
        <w:rPr>
          <w:sz w:val="38"/>
        </w:rPr>
        <w:t>system</w:t>
      </w:r>
    </w:p>
    <w:p>
      <w:pPr>
        <w:pStyle w:val="ListParagraph"/>
        <w:numPr>
          <w:ilvl w:val="0"/>
          <w:numId w:val="91"/>
        </w:numPr>
        <w:tabs>
          <w:tab w:pos="1318" w:val="left" w:leader="none"/>
        </w:tabs>
        <w:spacing w:line="240" w:lineRule="auto" w:before="121" w:after="0"/>
        <w:ind w:left="1317" w:right="0" w:hanging="701"/>
        <w:jc w:val="both"/>
        <w:rPr>
          <w:sz w:val="38"/>
        </w:rPr>
      </w:pPr>
      <w:r>
        <w:rPr>
          <w:sz w:val="38"/>
        </w:rPr>
        <w:t>antibacterial</w:t>
      </w:r>
    </w:p>
    <w:p>
      <w:pPr>
        <w:pStyle w:val="ListParagraph"/>
        <w:numPr>
          <w:ilvl w:val="0"/>
          <w:numId w:val="91"/>
        </w:numPr>
        <w:tabs>
          <w:tab w:pos="1318" w:val="left" w:leader="none"/>
        </w:tabs>
        <w:spacing w:line="240" w:lineRule="auto" w:before="119" w:after="0"/>
        <w:ind w:left="1317" w:right="0" w:hanging="701"/>
        <w:jc w:val="both"/>
        <w:rPr>
          <w:sz w:val="38"/>
        </w:rPr>
      </w:pPr>
      <w:r>
        <w:rPr>
          <w:sz w:val="38"/>
        </w:rPr>
        <w:t>antiviral</w:t>
      </w:r>
    </w:p>
    <w:p>
      <w:pPr>
        <w:pStyle w:val="ListParagraph"/>
        <w:numPr>
          <w:ilvl w:val="0"/>
          <w:numId w:val="91"/>
        </w:numPr>
        <w:tabs>
          <w:tab w:pos="1318" w:val="left" w:leader="none"/>
        </w:tabs>
        <w:spacing w:line="240" w:lineRule="auto" w:before="121" w:after="0"/>
        <w:ind w:left="1317" w:right="0" w:hanging="701"/>
        <w:jc w:val="both"/>
        <w:rPr>
          <w:sz w:val="38"/>
        </w:rPr>
      </w:pPr>
      <w:r>
        <w:rPr>
          <w:sz w:val="38"/>
        </w:rPr>
        <w:t>antifungal</w:t>
      </w:r>
    </w:p>
    <w:p>
      <w:pPr>
        <w:pStyle w:val="ListParagraph"/>
        <w:numPr>
          <w:ilvl w:val="0"/>
          <w:numId w:val="91"/>
        </w:numPr>
        <w:tabs>
          <w:tab w:pos="1318" w:val="left" w:leader="none"/>
        </w:tabs>
        <w:spacing w:line="240" w:lineRule="auto" w:before="119" w:after="0"/>
        <w:ind w:left="1317" w:right="0" w:hanging="701"/>
        <w:jc w:val="both"/>
        <w:rPr>
          <w:sz w:val="38"/>
        </w:rPr>
      </w:pPr>
      <w:r>
        <w:rPr>
          <w:sz w:val="38"/>
        </w:rPr>
        <w:t>anthelminthic (combats</w:t>
      </w:r>
      <w:r>
        <w:rPr>
          <w:spacing w:val="1"/>
          <w:sz w:val="38"/>
        </w:rPr>
        <w:t> </w:t>
      </w:r>
      <w:r>
        <w:rPr>
          <w:sz w:val="38"/>
        </w:rPr>
        <w:t>worms)</w:t>
      </w:r>
    </w:p>
    <w:p>
      <w:pPr>
        <w:pStyle w:val="ListParagraph"/>
        <w:numPr>
          <w:ilvl w:val="0"/>
          <w:numId w:val="91"/>
        </w:numPr>
        <w:tabs>
          <w:tab w:pos="1318" w:val="left" w:leader="none"/>
        </w:tabs>
        <w:spacing w:line="240" w:lineRule="auto" w:before="121" w:after="0"/>
        <w:ind w:left="1317" w:right="0" w:hanging="701"/>
        <w:jc w:val="both"/>
        <w:rPr>
          <w:sz w:val="38"/>
        </w:rPr>
      </w:pPr>
      <w:r>
        <w:rPr>
          <w:sz w:val="38"/>
        </w:rPr>
        <w:t>anti-inflammatory</w:t>
      </w:r>
    </w:p>
    <w:p>
      <w:pPr>
        <w:pStyle w:val="ListParagraph"/>
        <w:numPr>
          <w:ilvl w:val="0"/>
          <w:numId w:val="91"/>
        </w:numPr>
        <w:tabs>
          <w:tab w:pos="1315" w:val="left" w:leader="none"/>
        </w:tabs>
        <w:spacing w:line="240" w:lineRule="auto" w:before="119" w:after="0"/>
        <w:ind w:left="1314" w:right="0" w:hanging="698"/>
        <w:jc w:val="both"/>
        <w:rPr>
          <w:sz w:val="38"/>
        </w:rPr>
      </w:pPr>
      <w:r>
        <w:rPr>
          <w:sz w:val="38"/>
        </w:rPr>
        <w:t>helps with weight</w:t>
      </w:r>
      <w:r>
        <w:rPr>
          <w:spacing w:val="1"/>
          <w:sz w:val="38"/>
        </w:rPr>
        <w:t> </w:t>
      </w:r>
      <w:r>
        <w:rPr>
          <w:sz w:val="38"/>
        </w:rPr>
        <w:t>loss</w:t>
      </w:r>
    </w:p>
    <w:p>
      <w:pPr>
        <w:pStyle w:val="Heading1"/>
        <w:spacing w:before="225"/>
        <w:ind w:left="616"/>
        <w:jc w:val="both"/>
      </w:pPr>
      <w:r>
        <w:rPr/>
        <w:t>Antioxidative effect of papaya</w:t>
      </w:r>
    </w:p>
    <w:p>
      <w:pPr>
        <w:pStyle w:val="BodyText"/>
        <w:spacing w:line="276" w:lineRule="auto" w:before="297"/>
        <w:ind w:left="616" w:right="130"/>
        <w:jc w:val="both"/>
      </w:pPr>
      <w:r>
        <w:rPr/>
        <w:t>Papaya</w:t>
      </w:r>
      <w:r>
        <w:rPr>
          <w:spacing w:val="-24"/>
        </w:rPr>
        <w:t> </w:t>
      </w:r>
      <w:r>
        <w:rPr/>
        <w:t>has</w:t>
      </w:r>
      <w:r>
        <w:rPr>
          <w:spacing w:val="-24"/>
        </w:rPr>
        <w:t> </w:t>
      </w:r>
      <w:r>
        <w:rPr/>
        <w:t>an</w:t>
      </w:r>
      <w:r>
        <w:rPr>
          <w:spacing w:val="-25"/>
        </w:rPr>
        <w:t> </w:t>
      </w:r>
      <w:r>
        <w:rPr/>
        <w:t>enormous</w:t>
      </w:r>
      <w:r>
        <w:rPr>
          <w:spacing w:val="-25"/>
        </w:rPr>
        <w:t> </w:t>
      </w:r>
      <w:r>
        <w:rPr/>
        <w:t>antioxidative</w:t>
      </w:r>
      <w:r>
        <w:rPr>
          <w:spacing w:val="-24"/>
        </w:rPr>
        <w:t> </w:t>
      </w:r>
      <w:r>
        <w:rPr/>
        <w:t>potential,</w:t>
      </w:r>
      <w:r>
        <w:rPr>
          <w:spacing w:val="-23"/>
        </w:rPr>
        <w:t> </w:t>
      </w:r>
      <w:r>
        <w:rPr/>
        <w:t>which</w:t>
      </w:r>
      <w:r>
        <w:rPr>
          <w:spacing w:val="-24"/>
        </w:rPr>
        <w:t> </w:t>
      </w:r>
      <w:r>
        <w:rPr/>
        <w:t>cannot</w:t>
      </w:r>
      <w:r>
        <w:rPr>
          <w:spacing w:val="-25"/>
        </w:rPr>
        <w:t> </w:t>
      </w:r>
      <w:r>
        <w:rPr/>
        <w:t>be</w:t>
      </w:r>
      <w:r>
        <w:rPr>
          <w:spacing w:val="-26"/>
        </w:rPr>
        <w:t> </w:t>
      </w:r>
      <w:r>
        <w:rPr/>
        <w:t>valued</w:t>
      </w:r>
      <w:r>
        <w:rPr>
          <w:spacing w:val="-23"/>
        </w:rPr>
        <w:t> </w:t>
      </w:r>
      <w:r>
        <w:rPr/>
        <w:t>highly enough when you think of the fact that around 80 % of all diseases, including early ageing, can be ascribed to cell destruction by free radicals and that our approximately 37,2 trillion body cells are subjected to an astonishing 10,000- 80,000 attacks per day. Among these antioxidative cell defenders is, among others,</w:t>
      </w:r>
      <w:r>
        <w:rPr>
          <w:spacing w:val="22"/>
        </w:rPr>
        <w:t> </w:t>
      </w:r>
      <w:r>
        <w:rPr/>
        <w:t>Vitamin</w:t>
      </w:r>
      <w:r>
        <w:rPr>
          <w:spacing w:val="20"/>
        </w:rPr>
        <w:t> </w:t>
      </w:r>
      <w:r>
        <w:rPr/>
        <w:t>C,</w:t>
      </w:r>
      <w:r>
        <w:rPr>
          <w:spacing w:val="21"/>
        </w:rPr>
        <w:t> </w:t>
      </w:r>
      <w:r>
        <w:rPr/>
        <w:t>of</w:t>
      </w:r>
      <w:r>
        <w:rPr>
          <w:spacing w:val="21"/>
        </w:rPr>
        <w:t> </w:t>
      </w:r>
      <w:r>
        <w:rPr/>
        <w:t>which</w:t>
      </w:r>
      <w:r>
        <w:rPr>
          <w:spacing w:val="22"/>
        </w:rPr>
        <w:t> </w:t>
      </w:r>
      <w:r>
        <w:rPr/>
        <w:t>the</w:t>
      </w:r>
      <w:r>
        <w:rPr>
          <w:spacing w:val="21"/>
        </w:rPr>
        <w:t> </w:t>
      </w:r>
      <w:r>
        <w:rPr/>
        <w:t>papaya</w:t>
      </w:r>
      <w:r>
        <w:rPr>
          <w:spacing w:val="20"/>
        </w:rPr>
        <w:t> </w:t>
      </w:r>
      <w:r>
        <w:rPr/>
        <w:t>contains</w:t>
      </w:r>
      <w:r>
        <w:rPr>
          <w:spacing w:val="21"/>
        </w:rPr>
        <w:t> </w:t>
      </w:r>
      <w:r>
        <w:rPr/>
        <w:t>even</w:t>
      </w:r>
      <w:r>
        <w:rPr>
          <w:spacing w:val="22"/>
        </w:rPr>
        <w:t> </w:t>
      </w:r>
      <w:r>
        <w:rPr/>
        <w:t>more</w:t>
      </w:r>
      <w:r>
        <w:rPr>
          <w:spacing w:val="21"/>
        </w:rPr>
        <w:t> </w:t>
      </w:r>
      <w:r>
        <w:rPr/>
        <w:t>than</w:t>
      </w:r>
      <w:r>
        <w:rPr>
          <w:spacing w:val="22"/>
        </w:rPr>
        <w:t> </w:t>
      </w:r>
      <w:r>
        <w:rPr/>
        <w:t>oranges</w:t>
      </w:r>
      <w:r>
        <w:rPr>
          <w:spacing w:val="21"/>
        </w:rPr>
        <w:t> </w:t>
      </w:r>
      <w:r>
        <w:rPr/>
        <w:t>or</w:t>
      </w:r>
    </w:p>
    <w:p>
      <w:pPr>
        <w:spacing w:after="0" w:line="276" w:lineRule="auto"/>
        <w:jc w:val="both"/>
        <w:sectPr>
          <w:footerReference w:type="default" r:id="rId286"/>
          <w:pgSz w:w="14270" w:h="16850"/>
          <w:pgMar w:footer="1891" w:header="0" w:top="1360" w:bottom="2080" w:left="800" w:right="1280"/>
          <w:pgNumType w:start="1200"/>
        </w:sectPr>
      </w:pPr>
    </w:p>
    <w:p>
      <w:pPr>
        <w:pStyle w:val="BodyText"/>
        <w:spacing w:before="74"/>
        <w:ind w:left="616"/>
      </w:pPr>
      <w:r>
        <w:rPr/>
        <w:t>kiwi, as well as carotene, which papaya offers more of than carrots.</w:t>
      </w:r>
    </w:p>
    <w:p>
      <w:pPr>
        <w:pStyle w:val="Heading1"/>
        <w:spacing w:before="287"/>
        <w:ind w:left="616"/>
      </w:pPr>
      <w:r>
        <w:rPr/>
        <w:t>Immune-strengthening effect of papaya</w:t>
      </w:r>
    </w:p>
    <w:p>
      <w:pPr>
        <w:pStyle w:val="BodyText"/>
        <w:spacing w:line="278" w:lineRule="auto" w:before="297"/>
        <w:ind w:left="616" w:right="48"/>
      </w:pPr>
      <w:r>
        <w:rPr/>
        <w:t>The strengthening and regulating effects of papaya on our immune system has multiple factors and is based on</w:t>
      </w:r>
    </w:p>
    <w:p>
      <w:pPr>
        <w:pStyle w:val="ListParagraph"/>
        <w:numPr>
          <w:ilvl w:val="1"/>
          <w:numId w:val="91"/>
        </w:numPr>
        <w:tabs>
          <w:tab w:pos="1330" w:val="left" w:leader="none"/>
        </w:tabs>
        <w:spacing w:line="271" w:lineRule="auto" w:before="192" w:after="0"/>
        <w:ind w:left="1329" w:right="509" w:hanging="355"/>
        <w:jc w:val="left"/>
        <w:rPr>
          <w:sz w:val="38"/>
        </w:rPr>
      </w:pPr>
      <w:r>
        <w:rPr>
          <w:sz w:val="38"/>
        </w:rPr>
        <w:t>the relief of the immune system by antiviral and antibacterial as well as antifungal</w:t>
      </w:r>
      <w:r>
        <w:rPr>
          <w:spacing w:val="-2"/>
          <w:sz w:val="38"/>
        </w:rPr>
        <w:t> </w:t>
      </w:r>
      <w:r>
        <w:rPr>
          <w:sz w:val="38"/>
        </w:rPr>
        <w:t>effects;</w:t>
      </w:r>
    </w:p>
    <w:p>
      <w:pPr>
        <w:pStyle w:val="ListParagraph"/>
        <w:numPr>
          <w:ilvl w:val="1"/>
          <w:numId w:val="91"/>
        </w:numPr>
        <w:tabs>
          <w:tab w:pos="1330" w:val="left" w:leader="none"/>
        </w:tabs>
        <w:spacing w:line="271" w:lineRule="auto" w:before="135" w:after="0"/>
        <w:ind w:left="1329" w:right="727" w:hanging="355"/>
        <w:jc w:val="left"/>
        <w:rPr>
          <w:sz w:val="38"/>
        </w:rPr>
      </w:pPr>
      <w:r>
        <w:rPr>
          <w:sz w:val="38"/>
        </w:rPr>
        <w:t>the elimination of immune complexes and the prevention of the new formation of further immune</w:t>
      </w:r>
      <w:r>
        <w:rPr>
          <w:spacing w:val="3"/>
          <w:sz w:val="38"/>
        </w:rPr>
        <w:t> </w:t>
      </w:r>
      <w:r>
        <w:rPr>
          <w:sz w:val="38"/>
        </w:rPr>
        <w:t>complexes;</w:t>
      </w:r>
    </w:p>
    <w:p>
      <w:pPr>
        <w:pStyle w:val="ListParagraph"/>
        <w:numPr>
          <w:ilvl w:val="1"/>
          <w:numId w:val="91"/>
        </w:numPr>
        <w:tabs>
          <w:tab w:pos="1330" w:val="left" w:leader="none"/>
        </w:tabs>
        <w:spacing w:line="240" w:lineRule="auto" w:before="131" w:after="0"/>
        <w:ind w:left="1329" w:right="0" w:hanging="355"/>
        <w:jc w:val="left"/>
        <w:rPr>
          <w:sz w:val="38"/>
        </w:rPr>
      </w:pPr>
      <w:r>
        <w:rPr>
          <w:sz w:val="38"/>
        </w:rPr>
        <w:t>the purifying and detoxifying</w:t>
      </w:r>
      <w:r>
        <w:rPr>
          <w:spacing w:val="3"/>
          <w:sz w:val="38"/>
        </w:rPr>
        <w:t> </w:t>
      </w:r>
      <w:r>
        <w:rPr>
          <w:sz w:val="38"/>
        </w:rPr>
        <w:t>effect;</w:t>
      </w:r>
    </w:p>
    <w:p>
      <w:pPr>
        <w:pStyle w:val="ListParagraph"/>
        <w:numPr>
          <w:ilvl w:val="1"/>
          <w:numId w:val="91"/>
        </w:numPr>
        <w:tabs>
          <w:tab w:pos="1330" w:val="left" w:leader="none"/>
        </w:tabs>
        <w:spacing w:line="240" w:lineRule="auto" w:before="185" w:after="0"/>
        <w:ind w:left="1329" w:right="0" w:hanging="355"/>
        <w:jc w:val="left"/>
        <w:rPr>
          <w:sz w:val="38"/>
        </w:rPr>
      </w:pPr>
      <w:r>
        <w:rPr>
          <w:sz w:val="38"/>
        </w:rPr>
        <w:t>optimal breakdown of protein-based metabolic</w:t>
      </w:r>
      <w:r>
        <w:rPr>
          <w:spacing w:val="-2"/>
          <w:sz w:val="38"/>
        </w:rPr>
        <w:t> </w:t>
      </w:r>
      <w:r>
        <w:rPr>
          <w:sz w:val="38"/>
        </w:rPr>
        <w:t>products;</w:t>
      </w:r>
    </w:p>
    <w:p>
      <w:pPr>
        <w:pStyle w:val="ListParagraph"/>
        <w:numPr>
          <w:ilvl w:val="1"/>
          <w:numId w:val="91"/>
        </w:numPr>
        <w:tabs>
          <w:tab w:pos="1330" w:val="left" w:leader="none"/>
        </w:tabs>
        <w:spacing w:line="271" w:lineRule="auto" w:before="183" w:after="0"/>
        <w:ind w:left="1329" w:right="221" w:hanging="355"/>
        <w:jc w:val="left"/>
        <w:rPr>
          <w:sz w:val="38"/>
        </w:rPr>
      </w:pPr>
      <w:r>
        <w:rPr>
          <w:sz w:val="38"/>
        </w:rPr>
        <w:t>the high proportion of vital substances, again Vitamin C, and the cleans- ing of the intestinal</w:t>
      </w:r>
      <w:r>
        <w:rPr>
          <w:spacing w:val="4"/>
          <w:sz w:val="38"/>
        </w:rPr>
        <w:t> </w:t>
      </w:r>
      <w:r>
        <w:rPr>
          <w:sz w:val="38"/>
        </w:rPr>
        <w:t>villi.</w:t>
      </w:r>
    </w:p>
    <w:p>
      <w:pPr>
        <w:pStyle w:val="Heading1"/>
        <w:spacing w:before="238"/>
        <w:ind w:left="616"/>
      </w:pPr>
      <w:r>
        <w:rPr/>
        <w:t>Virus-killing and anti-bacterial effects of</w:t>
      </w:r>
      <w:r>
        <w:rPr>
          <w:spacing w:val="-69"/>
        </w:rPr>
        <w:t> </w:t>
      </w:r>
      <w:r>
        <w:rPr/>
        <w:t>papaya</w:t>
      </w:r>
    </w:p>
    <w:p>
      <w:pPr>
        <w:pStyle w:val="BodyText"/>
        <w:spacing w:line="276" w:lineRule="auto" w:before="297"/>
        <w:ind w:left="616" w:right="134"/>
        <w:jc w:val="both"/>
      </w:pPr>
      <w:r>
        <w:rPr/>
        <w:t>In contrast to most fruits, which are protected from intruders like insects and other</w:t>
      </w:r>
      <w:r>
        <w:rPr>
          <w:spacing w:val="-10"/>
        </w:rPr>
        <w:t> </w:t>
      </w:r>
      <w:r>
        <w:rPr/>
        <w:t>pests</w:t>
      </w:r>
      <w:r>
        <w:rPr>
          <w:spacing w:val="-12"/>
        </w:rPr>
        <w:t> </w:t>
      </w:r>
      <w:r>
        <w:rPr/>
        <w:t>by</w:t>
      </w:r>
      <w:r>
        <w:rPr>
          <w:spacing w:val="-10"/>
        </w:rPr>
        <w:t> </w:t>
      </w:r>
      <w:r>
        <w:rPr/>
        <w:t>their</w:t>
      </w:r>
      <w:r>
        <w:rPr>
          <w:spacing w:val="-10"/>
        </w:rPr>
        <w:t> </w:t>
      </w:r>
      <w:r>
        <w:rPr/>
        <w:t>hard</w:t>
      </w:r>
      <w:r>
        <w:rPr>
          <w:spacing w:val="-12"/>
        </w:rPr>
        <w:t> </w:t>
      </w:r>
      <w:r>
        <w:rPr/>
        <w:t>skin,</w:t>
      </w:r>
      <w:r>
        <w:rPr>
          <w:spacing w:val="-9"/>
        </w:rPr>
        <w:t> </w:t>
      </w:r>
      <w:r>
        <w:rPr/>
        <w:t>the</w:t>
      </w:r>
      <w:r>
        <w:rPr>
          <w:spacing w:val="-11"/>
        </w:rPr>
        <w:t> </w:t>
      </w:r>
      <w:r>
        <w:rPr/>
        <w:t>papaya</w:t>
      </w:r>
      <w:r>
        <w:rPr>
          <w:spacing w:val="-11"/>
        </w:rPr>
        <w:t> </w:t>
      </w:r>
      <w:r>
        <w:rPr/>
        <w:t>fruit</w:t>
      </w:r>
      <w:r>
        <w:rPr>
          <w:spacing w:val="-10"/>
        </w:rPr>
        <w:t> </w:t>
      </w:r>
      <w:r>
        <w:rPr/>
        <w:t>possesses</w:t>
      </w:r>
      <w:r>
        <w:rPr>
          <w:spacing w:val="-11"/>
        </w:rPr>
        <w:t> </w:t>
      </w:r>
      <w:r>
        <w:rPr/>
        <w:t>proper</w:t>
      </w:r>
      <w:r>
        <w:rPr>
          <w:spacing w:val="-11"/>
        </w:rPr>
        <w:t> </w:t>
      </w:r>
      <w:r>
        <w:rPr/>
        <w:t>killer</w:t>
      </w:r>
      <w:r>
        <w:rPr>
          <w:spacing w:val="-10"/>
        </w:rPr>
        <w:t> </w:t>
      </w:r>
      <w:r>
        <w:rPr/>
        <w:t>enzymes which</w:t>
      </w:r>
      <w:r>
        <w:rPr>
          <w:spacing w:val="-14"/>
        </w:rPr>
        <w:t> </w:t>
      </w:r>
      <w:r>
        <w:rPr/>
        <w:t>protect</w:t>
      </w:r>
      <w:r>
        <w:rPr>
          <w:spacing w:val="-15"/>
        </w:rPr>
        <w:t> </w:t>
      </w:r>
      <w:r>
        <w:rPr/>
        <w:t>the</w:t>
      </w:r>
      <w:r>
        <w:rPr>
          <w:spacing w:val="-15"/>
        </w:rPr>
        <w:t> </w:t>
      </w:r>
      <w:r>
        <w:rPr/>
        <w:t>fruit</w:t>
      </w:r>
      <w:r>
        <w:rPr>
          <w:spacing w:val="-15"/>
        </w:rPr>
        <w:t> </w:t>
      </w:r>
      <w:r>
        <w:rPr/>
        <w:t>from</w:t>
      </w:r>
      <w:r>
        <w:rPr>
          <w:spacing w:val="-15"/>
        </w:rPr>
        <w:t> </w:t>
      </w:r>
      <w:r>
        <w:rPr/>
        <w:t>within.</w:t>
      </w:r>
      <w:r>
        <w:rPr>
          <w:spacing w:val="-14"/>
        </w:rPr>
        <w:t> </w:t>
      </w:r>
      <w:r>
        <w:rPr/>
        <w:t>These</w:t>
      </w:r>
      <w:r>
        <w:rPr>
          <w:spacing w:val="-15"/>
        </w:rPr>
        <w:t> </w:t>
      </w:r>
      <w:r>
        <w:rPr/>
        <w:t>are</w:t>
      </w:r>
      <w:r>
        <w:rPr>
          <w:spacing w:val="-14"/>
        </w:rPr>
        <w:t> </w:t>
      </w:r>
      <w:r>
        <w:rPr/>
        <w:t>the</w:t>
      </w:r>
      <w:r>
        <w:rPr>
          <w:spacing w:val="-17"/>
        </w:rPr>
        <w:t> </w:t>
      </w:r>
      <w:r>
        <w:rPr/>
        <w:t>enzymes</w:t>
      </w:r>
      <w:r>
        <w:rPr>
          <w:spacing w:val="-16"/>
        </w:rPr>
        <w:t> </w:t>
      </w:r>
      <w:r>
        <w:rPr/>
        <w:t>‘papain’,</w:t>
      </w:r>
      <w:r>
        <w:rPr>
          <w:spacing w:val="-16"/>
        </w:rPr>
        <w:t> </w:t>
      </w:r>
      <w:r>
        <w:rPr/>
        <w:t>‘papayaly- sozyme’,</w:t>
      </w:r>
      <w:r>
        <w:rPr>
          <w:spacing w:val="-15"/>
        </w:rPr>
        <w:t> </w:t>
      </w:r>
      <w:r>
        <w:rPr/>
        <w:t>and</w:t>
      </w:r>
      <w:r>
        <w:rPr>
          <w:spacing w:val="-17"/>
        </w:rPr>
        <w:t> </w:t>
      </w:r>
      <w:r>
        <w:rPr/>
        <w:t>‘chymopapain’,</w:t>
      </w:r>
      <w:r>
        <w:rPr>
          <w:spacing w:val="-14"/>
        </w:rPr>
        <w:t> </w:t>
      </w:r>
      <w:r>
        <w:rPr/>
        <w:t>which</w:t>
      </w:r>
      <w:r>
        <w:rPr>
          <w:spacing w:val="-14"/>
        </w:rPr>
        <w:t> </w:t>
      </w:r>
      <w:r>
        <w:rPr/>
        <w:t>are</w:t>
      </w:r>
      <w:r>
        <w:rPr>
          <w:spacing w:val="-17"/>
        </w:rPr>
        <w:t> </w:t>
      </w:r>
      <w:r>
        <w:rPr/>
        <w:t>especially</w:t>
      </w:r>
      <w:r>
        <w:rPr>
          <w:spacing w:val="-17"/>
        </w:rPr>
        <w:t> </w:t>
      </w:r>
      <w:r>
        <w:rPr/>
        <w:t>numerous</w:t>
      </w:r>
      <w:r>
        <w:rPr>
          <w:spacing w:val="-15"/>
        </w:rPr>
        <w:t> </w:t>
      </w:r>
      <w:r>
        <w:rPr/>
        <w:t>in</w:t>
      </w:r>
      <w:r>
        <w:rPr>
          <w:spacing w:val="-15"/>
        </w:rPr>
        <w:t> </w:t>
      </w:r>
      <w:r>
        <w:rPr/>
        <w:t>the</w:t>
      </w:r>
      <w:r>
        <w:rPr>
          <w:spacing w:val="-17"/>
        </w:rPr>
        <w:t> </w:t>
      </w:r>
      <w:r>
        <w:rPr/>
        <w:t>papaya</w:t>
      </w:r>
      <w:r>
        <w:rPr>
          <w:spacing w:val="-16"/>
        </w:rPr>
        <w:t> </w:t>
      </w:r>
      <w:r>
        <w:rPr/>
        <w:t>fruit when it is not yet ripe.</w:t>
      </w:r>
    </w:p>
    <w:p>
      <w:pPr>
        <w:pStyle w:val="Heading1"/>
        <w:spacing w:before="223"/>
        <w:ind w:left="616"/>
      </w:pPr>
      <w:r>
        <w:rPr/>
        <w:t>Purifying and detoxifying effects of</w:t>
      </w:r>
      <w:r>
        <w:rPr>
          <w:spacing w:val="-58"/>
        </w:rPr>
        <w:t> </w:t>
      </w:r>
      <w:r>
        <w:rPr/>
        <w:t>papaya</w:t>
      </w:r>
    </w:p>
    <w:p>
      <w:pPr>
        <w:spacing w:after="0"/>
        <w:sectPr>
          <w:pgSz w:w="14270" w:h="16850"/>
          <w:pgMar w:header="0" w:footer="1891" w:top="1340" w:bottom="2080" w:left="800" w:right="1280"/>
        </w:sectPr>
      </w:pPr>
    </w:p>
    <w:p>
      <w:pPr>
        <w:pStyle w:val="BodyText"/>
        <w:spacing w:line="276" w:lineRule="auto" w:before="74"/>
        <w:ind w:left="616" w:right="135"/>
        <w:jc w:val="both"/>
      </w:pPr>
      <w:r>
        <w:rPr/>
        <w:t>The</w:t>
      </w:r>
      <w:r>
        <w:rPr>
          <w:spacing w:val="-22"/>
        </w:rPr>
        <w:t> </w:t>
      </w:r>
      <w:r>
        <w:rPr/>
        <w:t>papaya</w:t>
      </w:r>
      <w:r>
        <w:rPr>
          <w:spacing w:val="-22"/>
        </w:rPr>
        <w:t> </w:t>
      </w:r>
      <w:r>
        <w:rPr/>
        <w:t>enzymes</w:t>
      </w:r>
      <w:r>
        <w:rPr>
          <w:spacing w:val="-21"/>
        </w:rPr>
        <w:t> </w:t>
      </w:r>
      <w:r>
        <w:rPr/>
        <w:t>digest</w:t>
      </w:r>
      <w:r>
        <w:rPr>
          <w:spacing w:val="-22"/>
        </w:rPr>
        <w:t> </w:t>
      </w:r>
      <w:r>
        <w:rPr/>
        <w:t>food</w:t>
      </w:r>
      <w:r>
        <w:rPr>
          <w:spacing w:val="-23"/>
        </w:rPr>
        <w:t> </w:t>
      </w:r>
      <w:r>
        <w:rPr/>
        <w:t>waste,</w:t>
      </w:r>
      <w:r>
        <w:rPr>
          <w:spacing w:val="-21"/>
        </w:rPr>
        <w:t> </w:t>
      </w:r>
      <w:r>
        <w:rPr/>
        <w:t>while</w:t>
      </w:r>
      <w:r>
        <w:rPr>
          <w:spacing w:val="-22"/>
        </w:rPr>
        <w:t> </w:t>
      </w:r>
      <w:r>
        <w:rPr/>
        <w:t>the</w:t>
      </w:r>
      <w:r>
        <w:rPr>
          <w:spacing w:val="-24"/>
        </w:rPr>
        <w:t> </w:t>
      </w:r>
      <w:r>
        <w:rPr/>
        <w:t>gland-activating</w:t>
      </w:r>
      <w:r>
        <w:rPr>
          <w:spacing w:val="-21"/>
        </w:rPr>
        <w:t> </w:t>
      </w:r>
      <w:r>
        <w:rPr/>
        <w:t>and</w:t>
      </w:r>
      <w:r>
        <w:rPr>
          <w:spacing w:val="-21"/>
        </w:rPr>
        <w:t> </w:t>
      </w:r>
      <w:r>
        <w:rPr/>
        <w:t>vivifying effect</w:t>
      </w:r>
      <w:r>
        <w:rPr>
          <w:spacing w:val="-19"/>
        </w:rPr>
        <w:t> </w:t>
      </w:r>
      <w:r>
        <w:rPr/>
        <w:t>of</w:t>
      </w:r>
      <w:r>
        <w:rPr>
          <w:spacing w:val="-21"/>
        </w:rPr>
        <w:t> </w:t>
      </w:r>
      <w:r>
        <w:rPr/>
        <w:t>papaya</w:t>
      </w:r>
      <w:r>
        <w:rPr>
          <w:spacing w:val="-22"/>
        </w:rPr>
        <w:t> </w:t>
      </w:r>
      <w:r>
        <w:rPr/>
        <w:t>contributes</w:t>
      </w:r>
      <w:r>
        <w:rPr>
          <w:spacing w:val="-19"/>
        </w:rPr>
        <w:t> </w:t>
      </w:r>
      <w:r>
        <w:rPr/>
        <w:t>to</w:t>
      </w:r>
      <w:r>
        <w:rPr>
          <w:spacing w:val="-21"/>
        </w:rPr>
        <w:t> </w:t>
      </w:r>
      <w:r>
        <w:rPr/>
        <w:t>the</w:t>
      </w:r>
      <w:r>
        <w:rPr>
          <w:spacing w:val="-19"/>
        </w:rPr>
        <w:t> </w:t>
      </w:r>
      <w:r>
        <w:rPr/>
        <w:t>improved</w:t>
      </w:r>
      <w:r>
        <w:rPr>
          <w:spacing w:val="-21"/>
        </w:rPr>
        <w:t> </w:t>
      </w:r>
      <w:r>
        <w:rPr/>
        <w:t>removal</w:t>
      </w:r>
      <w:r>
        <w:rPr>
          <w:spacing w:val="-19"/>
        </w:rPr>
        <w:t> </w:t>
      </w:r>
      <w:r>
        <w:rPr/>
        <w:t>of</w:t>
      </w:r>
      <w:r>
        <w:rPr>
          <w:spacing w:val="-19"/>
        </w:rPr>
        <w:t> </w:t>
      </w:r>
      <w:r>
        <w:rPr/>
        <w:t>toxins</w:t>
      </w:r>
      <w:r>
        <w:rPr>
          <w:spacing w:val="-21"/>
        </w:rPr>
        <w:t> </w:t>
      </w:r>
      <w:r>
        <w:rPr/>
        <w:t>and</w:t>
      </w:r>
      <w:r>
        <w:rPr>
          <w:spacing w:val="-19"/>
        </w:rPr>
        <w:t> </w:t>
      </w:r>
      <w:r>
        <w:rPr/>
        <w:t>waste</w:t>
      </w:r>
      <w:r>
        <w:rPr>
          <w:spacing w:val="-18"/>
        </w:rPr>
        <w:t> </w:t>
      </w:r>
      <w:r>
        <w:rPr/>
        <w:t>from the</w:t>
      </w:r>
      <w:r>
        <w:rPr>
          <w:spacing w:val="1"/>
        </w:rPr>
        <w:t> </w:t>
      </w:r>
      <w:r>
        <w:rPr/>
        <w:t>organism.</w:t>
      </w:r>
    </w:p>
    <w:p>
      <w:pPr>
        <w:pStyle w:val="Heading1"/>
        <w:spacing w:before="222"/>
        <w:ind w:left="616"/>
      </w:pPr>
      <w:r>
        <w:rPr/>
        <w:t>Effect of papaya on our endocrine</w:t>
      </w:r>
      <w:r>
        <w:rPr>
          <w:spacing w:val="-69"/>
        </w:rPr>
        <w:t> </w:t>
      </w:r>
      <w:r>
        <w:rPr/>
        <w:t>system</w:t>
      </w:r>
    </w:p>
    <w:p>
      <w:pPr>
        <w:pStyle w:val="BodyText"/>
        <w:spacing w:line="278" w:lineRule="auto" w:before="299"/>
        <w:ind w:left="616"/>
      </w:pPr>
      <w:r>
        <w:rPr/>
        <w:t>The endocrine system has a fundamental influence on our health and our</w:t>
      </w:r>
      <w:r>
        <w:rPr>
          <w:spacing w:val="-51"/>
        </w:rPr>
        <w:t> </w:t>
      </w:r>
      <w:r>
        <w:rPr/>
        <w:t>bio- logical ageing..</w:t>
      </w:r>
    </w:p>
    <w:p>
      <w:pPr>
        <w:pStyle w:val="BodyText"/>
        <w:spacing w:before="233"/>
        <w:ind w:left="616"/>
        <w:jc w:val="both"/>
      </w:pPr>
      <w:r>
        <w:rPr/>
        <w:t>It contains:</w:t>
      </w:r>
    </w:p>
    <w:p>
      <w:pPr>
        <w:pStyle w:val="ListParagraph"/>
        <w:numPr>
          <w:ilvl w:val="0"/>
          <w:numId w:val="92"/>
        </w:numPr>
        <w:tabs>
          <w:tab w:pos="974" w:val="left" w:leader="none"/>
        </w:tabs>
        <w:spacing w:line="240" w:lineRule="auto" w:before="266" w:after="0"/>
        <w:ind w:left="973" w:right="0" w:hanging="357"/>
        <w:jc w:val="both"/>
        <w:rPr>
          <w:sz w:val="38"/>
        </w:rPr>
      </w:pPr>
      <w:r>
        <w:rPr>
          <w:sz w:val="38"/>
        </w:rPr>
        <w:t>Pineal gland</w:t>
      </w:r>
    </w:p>
    <w:p>
      <w:pPr>
        <w:pStyle w:val="ListParagraph"/>
        <w:numPr>
          <w:ilvl w:val="0"/>
          <w:numId w:val="92"/>
        </w:numPr>
        <w:tabs>
          <w:tab w:pos="974" w:val="left" w:leader="none"/>
        </w:tabs>
        <w:spacing w:line="240" w:lineRule="auto" w:before="264" w:after="0"/>
        <w:ind w:left="973" w:right="0" w:hanging="357"/>
        <w:jc w:val="both"/>
        <w:rPr>
          <w:sz w:val="38"/>
        </w:rPr>
      </w:pPr>
      <w:r>
        <w:rPr>
          <w:sz w:val="38"/>
        </w:rPr>
        <w:t>Pituitary</w:t>
      </w:r>
      <w:r>
        <w:rPr>
          <w:spacing w:val="-1"/>
          <w:sz w:val="38"/>
        </w:rPr>
        <w:t> </w:t>
      </w:r>
      <w:r>
        <w:rPr>
          <w:sz w:val="38"/>
        </w:rPr>
        <w:t>gland</w:t>
      </w:r>
    </w:p>
    <w:p>
      <w:pPr>
        <w:pStyle w:val="ListParagraph"/>
        <w:numPr>
          <w:ilvl w:val="0"/>
          <w:numId w:val="92"/>
        </w:numPr>
        <w:tabs>
          <w:tab w:pos="974" w:val="left" w:leader="none"/>
        </w:tabs>
        <w:spacing w:line="240" w:lineRule="auto" w:before="263" w:after="0"/>
        <w:ind w:left="973" w:right="0" w:hanging="357"/>
        <w:jc w:val="both"/>
        <w:rPr>
          <w:sz w:val="38"/>
        </w:rPr>
      </w:pPr>
      <w:r>
        <w:rPr>
          <w:sz w:val="38"/>
        </w:rPr>
        <w:t>Mammary glands</w:t>
      </w:r>
    </w:p>
    <w:p>
      <w:pPr>
        <w:pStyle w:val="ListParagraph"/>
        <w:numPr>
          <w:ilvl w:val="0"/>
          <w:numId w:val="92"/>
        </w:numPr>
        <w:tabs>
          <w:tab w:pos="974" w:val="left" w:leader="none"/>
        </w:tabs>
        <w:spacing w:line="240" w:lineRule="auto" w:before="264" w:after="0"/>
        <w:ind w:left="973" w:right="0" w:hanging="357"/>
        <w:jc w:val="both"/>
        <w:rPr>
          <w:sz w:val="38"/>
        </w:rPr>
      </w:pPr>
      <w:r>
        <w:rPr>
          <w:sz w:val="38"/>
        </w:rPr>
        <w:t>Thyroid and parathyroid glands</w:t>
      </w:r>
    </w:p>
    <w:p>
      <w:pPr>
        <w:pStyle w:val="ListParagraph"/>
        <w:numPr>
          <w:ilvl w:val="0"/>
          <w:numId w:val="92"/>
        </w:numPr>
        <w:tabs>
          <w:tab w:pos="974" w:val="left" w:leader="none"/>
        </w:tabs>
        <w:spacing w:line="240" w:lineRule="auto" w:before="264" w:after="0"/>
        <w:ind w:left="973" w:right="0" w:hanging="357"/>
        <w:jc w:val="both"/>
        <w:rPr>
          <w:sz w:val="38"/>
        </w:rPr>
      </w:pPr>
      <w:r>
        <w:rPr>
          <w:sz w:val="38"/>
        </w:rPr>
        <w:t>Spleen</w:t>
      </w:r>
    </w:p>
    <w:p>
      <w:pPr>
        <w:pStyle w:val="ListParagraph"/>
        <w:numPr>
          <w:ilvl w:val="0"/>
          <w:numId w:val="92"/>
        </w:numPr>
        <w:tabs>
          <w:tab w:pos="974" w:val="left" w:leader="none"/>
        </w:tabs>
        <w:spacing w:line="240" w:lineRule="auto" w:before="266" w:after="0"/>
        <w:ind w:left="973" w:right="0" w:hanging="357"/>
        <w:jc w:val="both"/>
        <w:rPr>
          <w:sz w:val="38"/>
        </w:rPr>
      </w:pPr>
      <w:r>
        <w:rPr>
          <w:sz w:val="38"/>
        </w:rPr>
        <w:t>Corpus luteum</w:t>
      </w:r>
    </w:p>
    <w:p>
      <w:pPr>
        <w:pStyle w:val="ListParagraph"/>
        <w:numPr>
          <w:ilvl w:val="0"/>
          <w:numId w:val="92"/>
        </w:numPr>
        <w:tabs>
          <w:tab w:pos="974" w:val="left" w:leader="none"/>
        </w:tabs>
        <w:spacing w:line="240" w:lineRule="auto" w:before="264" w:after="0"/>
        <w:ind w:left="973" w:right="0" w:hanging="357"/>
        <w:jc w:val="both"/>
        <w:rPr>
          <w:sz w:val="38"/>
        </w:rPr>
      </w:pPr>
      <w:r>
        <w:rPr>
          <w:sz w:val="38"/>
        </w:rPr>
        <w:t>Thymus</w:t>
      </w:r>
    </w:p>
    <w:p>
      <w:pPr>
        <w:pStyle w:val="ListParagraph"/>
        <w:numPr>
          <w:ilvl w:val="0"/>
          <w:numId w:val="92"/>
        </w:numPr>
        <w:tabs>
          <w:tab w:pos="974" w:val="left" w:leader="none"/>
        </w:tabs>
        <w:spacing w:line="240" w:lineRule="auto" w:before="264" w:after="0"/>
        <w:ind w:left="973" w:right="0" w:hanging="357"/>
        <w:jc w:val="both"/>
        <w:rPr>
          <w:sz w:val="38"/>
        </w:rPr>
      </w:pPr>
      <w:r>
        <w:rPr>
          <w:sz w:val="38"/>
        </w:rPr>
        <w:t>Lymph nodes</w:t>
      </w:r>
    </w:p>
    <w:p>
      <w:pPr>
        <w:pStyle w:val="ListParagraph"/>
        <w:numPr>
          <w:ilvl w:val="0"/>
          <w:numId w:val="92"/>
        </w:numPr>
        <w:tabs>
          <w:tab w:pos="974" w:val="left" w:leader="none"/>
        </w:tabs>
        <w:spacing w:line="240" w:lineRule="auto" w:before="263" w:after="0"/>
        <w:ind w:left="973" w:right="0" w:hanging="357"/>
        <w:jc w:val="both"/>
        <w:rPr>
          <w:sz w:val="38"/>
        </w:rPr>
      </w:pPr>
      <w:r>
        <w:rPr>
          <w:sz w:val="38"/>
        </w:rPr>
        <w:t>Adrenal</w:t>
      </w:r>
      <w:r>
        <w:rPr>
          <w:spacing w:val="1"/>
          <w:sz w:val="38"/>
        </w:rPr>
        <w:t> </w:t>
      </w:r>
      <w:r>
        <w:rPr>
          <w:sz w:val="38"/>
        </w:rPr>
        <w:t>glands</w:t>
      </w:r>
    </w:p>
    <w:p>
      <w:pPr>
        <w:pStyle w:val="ListParagraph"/>
        <w:numPr>
          <w:ilvl w:val="0"/>
          <w:numId w:val="92"/>
        </w:numPr>
        <w:tabs>
          <w:tab w:pos="1152" w:val="left" w:leader="none"/>
        </w:tabs>
        <w:spacing w:line="240" w:lineRule="auto" w:before="265" w:after="0"/>
        <w:ind w:left="1151" w:right="0" w:hanging="535"/>
        <w:jc w:val="both"/>
        <w:rPr>
          <w:sz w:val="38"/>
        </w:rPr>
      </w:pPr>
      <w:r>
        <w:rPr>
          <w:sz w:val="38"/>
        </w:rPr>
        <w:t>Liver</w:t>
      </w:r>
    </w:p>
    <w:p>
      <w:pPr>
        <w:pStyle w:val="ListParagraph"/>
        <w:numPr>
          <w:ilvl w:val="0"/>
          <w:numId w:val="92"/>
        </w:numPr>
        <w:tabs>
          <w:tab w:pos="1152" w:val="left" w:leader="none"/>
        </w:tabs>
        <w:spacing w:line="240" w:lineRule="auto" w:before="263" w:after="0"/>
        <w:ind w:left="1151" w:right="0" w:hanging="535"/>
        <w:jc w:val="both"/>
        <w:rPr>
          <w:sz w:val="38"/>
        </w:rPr>
      </w:pPr>
      <w:r>
        <w:rPr>
          <w:sz w:val="38"/>
        </w:rPr>
        <w:t>Pancreas</w:t>
      </w:r>
    </w:p>
    <w:p>
      <w:pPr>
        <w:spacing w:after="0" w:line="240" w:lineRule="auto"/>
        <w:jc w:val="both"/>
        <w:rPr>
          <w:sz w:val="38"/>
        </w:rPr>
        <w:sectPr>
          <w:pgSz w:w="14270" w:h="16850"/>
          <w:pgMar w:header="0" w:footer="1891" w:top="1340" w:bottom="2080" w:left="800" w:right="1280"/>
        </w:sectPr>
      </w:pPr>
    </w:p>
    <w:p>
      <w:pPr>
        <w:pStyle w:val="ListParagraph"/>
        <w:numPr>
          <w:ilvl w:val="0"/>
          <w:numId w:val="92"/>
        </w:numPr>
        <w:tabs>
          <w:tab w:pos="1152" w:val="left" w:leader="none"/>
        </w:tabs>
        <w:spacing w:line="240" w:lineRule="auto" w:before="74" w:after="0"/>
        <w:ind w:left="1151" w:right="0" w:hanging="535"/>
        <w:jc w:val="left"/>
        <w:rPr>
          <w:sz w:val="38"/>
        </w:rPr>
      </w:pPr>
      <w:r>
        <w:rPr>
          <w:sz w:val="38"/>
        </w:rPr>
        <w:t>Ovaries</w:t>
      </w:r>
    </w:p>
    <w:p>
      <w:pPr>
        <w:pStyle w:val="ListParagraph"/>
        <w:numPr>
          <w:ilvl w:val="0"/>
          <w:numId w:val="92"/>
        </w:numPr>
        <w:tabs>
          <w:tab w:pos="1152" w:val="left" w:leader="none"/>
        </w:tabs>
        <w:spacing w:line="240" w:lineRule="auto" w:before="266" w:after="0"/>
        <w:ind w:left="1151" w:right="0" w:hanging="535"/>
        <w:jc w:val="left"/>
        <w:rPr>
          <w:sz w:val="38"/>
        </w:rPr>
      </w:pPr>
      <w:r>
        <w:rPr>
          <w:sz w:val="38"/>
        </w:rPr>
        <w:t>Testes</w:t>
      </w:r>
    </w:p>
    <w:p>
      <w:pPr>
        <w:pStyle w:val="BodyText"/>
        <w:spacing w:line="276" w:lineRule="auto" w:before="302"/>
        <w:ind w:left="616" w:right="144"/>
        <w:jc w:val="both"/>
      </w:pPr>
      <w:r>
        <w:rPr/>
        <w:t>Looking at the list of organs belonging to the endocrine system, it becomes clear how important it is to keep our endocrine system young and active and thus healthy. Papaya seems to excellently master exactly this!</w:t>
      </w:r>
    </w:p>
    <w:p>
      <w:pPr>
        <w:pStyle w:val="Heading1"/>
        <w:spacing w:before="222"/>
        <w:ind w:left="616"/>
      </w:pPr>
      <w:r>
        <w:rPr/>
        <w:t>Specific effects of papaya on diseases</w:t>
      </w:r>
    </w:p>
    <w:p>
      <w:pPr>
        <w:pStyle w:val="BodyText"/>
        <w:spacing w:line="278" w:lineRule="auto" w:before="300"/>
        <w:ind w:left="616"/>
      </w:pPr>
      <w:r>
        <w:rPr/>
        <w:t>The papaya fruit has a positive influence on the following diseased and condi- tions:</w:t>
      </w:r>
    </w:p>
    <w:p>
      <w:pPr>
        <w:pStyle w:val="ListParagraph"/>
        <w:numPr>
          <w:ilvl w:val="0"/>
          <w:numId w:val="91"/>
        </w:numPr>
        <w:tabs>
          <w:tab w:pos="1031" w:val="left" w:leader="none"/>
          <w:tab w:pos="1032" w:val="left" w:leader="none"/>
        </w:tabs>
        <w:spacing w:line="240" w:lineRule="auto" w:before="193" w:after="0"/>
        <w:ind w:left="1043" w:right="0" w:hanging="427"/>
        <w:jc w:val="left"/>
        <w:rPr>
          <w:sz w:val="38"/>
        </w:rPr>
      </w:pPr>
      <w:r>
        <w:rPr>
          <w:sz w:val="38"/>
        </w:rPr>
        <w:t>Coronary heart</w:t>
      </w:r>
      <w:r>
        <w:rPr>
          <w:spacing w:val="-3"/>
          <w:sz w:val="38"/>
        </w:rPr>
        <w:t> </w:t>
      </w:r>
      <w:r>
        <w:rPr>
          <w:sz w:val="38"/>
        </w:rPr>
        <w:t>diseases</w:t>
      </w:r>
    </w:p>
    <w:p>
      <w:pPr>
        <w:pStyle w:val="ListParagraph"/>
        <w:numPr>
          <w:ilvl w:val="0"/>
          <w:numId w:val="91"/>
        </w:numPr>
        <w:tabs>
          <w:tab w:pos="1031" w:val="left" w:leader="none"/>
          <w:tab w:pos="1032" w:val="left" w:leader="none"/>
        </w:tabs>
        <w:spacing w:line="240" w:lineRule="auto" w:before="183" w:after="0"/>
        <w:ind w:left="1043" w:right="0" w:hanging="427"/>
        <w:jc w:val="left"/>
        <w:rPr>
          <w:sz w:val="38"/>
        </w:rPr>
      </w:pPr>
      <w:r>
        <w:rPr>
          <w:sz w:val="38"/>
        </w:rPr>
        <w:t>High blood</w:t>
      </w:r>
      <w:r>
        <w:rPr>
          <w:spacing w:val="-1"/>
          <w:sz w:val="38"/>
        </w:rPr>
        <w:t> </w:t>
      </w:r>
      <w:r>
        <w:rPr>
          <w:sz w:val="38"/>
        </w:rPr>
        <w:t>pressure</w:t>
      </w:r>
    </w:p>
    <w:p>
      <w:pPr>
        <w:pStyle w:val="ListParagraph"/>
        <w:numPr>
          <w:ilvl w:val="0"/>
          <w:numId w:val="91"/>
        </w:numPr>
        <w:tabs>
          <w:tab w:pos="1031" w:val="left" w:leader="none"/>
          <w:tab w:pos="1032" w:val="left" w:leader="none"/>
        </w:tabs>
        <w:spacing w:line="240" w:lineRule="auto" w:before="184" w:after="0"/>
        <w:ind w:left="1043" w:right="0" w:hanging="427"/>
        <w:jc w:val="left"/>
        <w:rPr>
          <w:sz w:val="38"/>
        </w:rPr>
      </w:pPr>
      <w:r>
        <w:rPr>
          <w:sz w:val="38"/>
        </w:rPr>
        <w:t>Atherosclerosis</w:t>
      </w:r>
    </w:p>
    <w:p>
      <w:pPr>
        <w:pStyle w:val="ListParagraph"/>
        <w:numPr>
          <w:ilvl w:val="0"/>
          <w:numId w:val="91"/>
        </w:numPr>
        <w:tabs>
          <w:tab w:pos="1031" w:val="left" w:leader="none"/>
          <w:tab w:pos="1032" w:val="left" w:leader="none"/>
        </w:tabs>
        <w:spacing w:line="240" w:lineRule="auto" w:before="184" w:after="0"/>
        <w:ind w:left="1043" w:right="0" w:hanging="427"/>
        <w:jc w:val="left"/>
        <w:rPr>
          <w:sz w:val="38"/>
        </w:rPr>
      </w:pPr>
      <w:r>
        <w:rPr>
          <w:sz w:val="38"/>
        </w:rPr>
        <w:t>Flu/Colds</w:t>
      </w:r>
    </w:p>
    <w:p>
      <w:pPr>
        <w:pStyle w:val="ListParagraph"/>
        <w:numPr>
          <w:ilvl w:val="0"/>
          <w:numId w:val="91"/>
        </w:numPr>
        <w:tabs>
          <w:tab w:pos="1031" w:val="left" w:leader="none"/>
          <w:tab w:pos="1032" w:val="left" w:leader="none"/>
        </w:tabs>
        <w:spacing w:line="240" w:lineRule="auto" w:before="186" w:after="0"/>
        <w:ind w:left="1043" w:right="0" w:hanging="427"/>
        <w:jc w:val="left"/>
        <w:rPr>
          <w:sz w:val="38"/>
        </w:rPr>
      </w:pPr>
      <w:r>
        <w:rPr>
          <w:sz w:val="38"/>
        </w:rPr>
        <w:t>Bronchitis</w:t>
      </w:r>
    </w:p>
    <w:p>
      <w:pPr>
        <w:pStyle w:val="ListParagraph"/>
        <w:numPr>
          <w:ilvl w:val="0"/>
          <w:numId w:val="91"/>
        </w:numPr>
        <w:tabs>
          <w:tab w:pos="1031" w:val="left" w:leader="none"/>
          <w:tab w:pos="1032" w:val="left" w:leader="none"/>
        </w:tabs>
        <w:spacing w:line="240" w:lineRule="auto" w:before="184" w:after="0"/>
        <w:ind w:left="1043" w:right="0" w:hanging="427"/>
        <w:jc w:val="left"/>
        <w:rPr>
          <w:sz w:val="38"/>
        </w:rPr>
      </w:pPr>
      <w:r>
        <w:rPr>
          <w:sz w:val="38"/>
        </w:rPr>
        <w:t>Asthma</w:t>
      </w:r>
    </w:p>
    <w:p>
      <w:pPr>
        <w:pStyle w:val="ListParagraph"/>
        <w:numPr>
          <w:ilvl w:val="0"/>
          <w:numId w:val="91"/>
        </w:numPr>
        <w:tabs>
          <w:tab w:pos="1031" w:val="left" w:leader="none"/>
          <w:tab w:pos="1032" w:val="left" w:leader="none"/>
        </w:tabs>
        <w:spacing w:line="240" w:lineRule="auto" w:before="183" w:after="0"/>
        <w:ind w:left="1043" w:right="0" w:hanging="427"/>
        <w:jc w:val="left"/>
        <w:rPr>
          <w:sz w:val="38"/>
        </w:rPr>
      </w:pPr>
      <w:r>
        <w:rPr>
          <w:sz w:val="38"/>
        </w:rPr>
        <w:t>Acne</w:t>
      </w:r>
    </w:p>
    <w:p>
      <w:pPr>
        <w:pStyle w:val="ListParagraph"/>
        <w:numPr>
          <w:ilvl w:val="0"/>
          <w:numId w:val="91"/>
        </w:numPr>
        <w:tabs>
          <w:tab w:pos="1031" w:val="left" w:leader="none"/>
          <w:tab w:pos="1032" w:val="left" w:leader="none"/>
        </w:tabs>
        <w:spacing w:line="240" w:lineRule="auto" w:before="184" w:after="0"/>
        <w:ind w:left="1043" w:right="0" w:hanging="427"/>
        <w:jc w:val="left"/>
        <w:rPr>
          <w:sz w:val="38"/>
        </w:rPr>
      </w:pPr>
      <w:r>
        <w:rPr>
          <w:sz w:val="38"/>
        </w:rPr>
        <w:t>Pancreas</w:t>
      </w:r>
      <w:r>
        <w:rPr>
          <w:spacing w:val="-2"/>
          <w:sz w:val="38"/>
        </w:rPr>
        <w:t> </w:t>
      </w:r>
      <w:r>
        <w:rPr>
          <w:sz w:val="38"/>
        </w:rPr>
        <w:t>problems</w:t>
      </w:r>
    </w:p>
    <w:p>
      <w:pPr>
        <w:pStyle w:val="ListParagraph"/>
        <w:numPr>
          <w:ilvl w:val="0"/>
          <w:numId w:val="91"/>
        </w:numPr>
        <w:tabs>
          <w:tab w:pos="1031" w:val="left" w:leader="none"/>
          <w:tab w:pos="1032" w:val="left" w:leader="none"/>
        </w:tabs>
        <w:spacing w:line="240" w:lineRule="auto" w:before="186" w:after="0"/>
        <w:ind w:left="1043" w:right="0" w:hanging="427"/>
        <w:jc w:val="left"/>
        <w:rPr>
          <w:sz w:val="38"/>
        </w:rPr>
      </w:pPr>
      <w:r>
        <w:rPr>
          <w:sz w:val="38"/>
        </w:rPr>
        <w:t>Inflammation of the colon (Colitis)</w:t>
      </w:r>
    </w:p>
    <w:p>
      <w:pPr>
        <w:pStyle w:val="ListParagraph"/>
        <w:numPr>
          <w:ilvl w:val="0"/>
          <w:numId w:val="91"/>
        </w:numPr>
        <w:tabs>
          <w:tab w:pos="1031" w:val="left" w:leader="none"/>
          <w:tab w:pos="1032" w:val="left" w:leader="none"/>
        </w:tabs>
        <w:spacing w:line="240" w:lineRule="auto" w:before="184" w:after="0"/>
        <w:ind w:left="1043" w:right="0" w:hanging="427"/>
        <w:jc w:val="left"/>
        <w:rPr>
          <w:sz w:val="38"/>
        </w:rPr>
      </w:pPr>
      <w:r>
        <w:rPr>
          <w:sz w:val="38"/>
        </w:rPr>
        <w:t>Irritable bowel syndrome (irritable</w:t>
      </w:r>
      <w:r>
        <w:rPr>
          <w:spacing w:val="-3"/>
          <w:sz w:val="38"/>
        </w:rPr>
        <w:t> </w:t>
      </w:r>
      <w:r>
        <w:rPr>
          <w:sz w:val="38"/>
        </w:rPr>
        <w:t>colon)</w:t>
      </w:r>
    </w:p>
    <w:p>
      <w:pPr>
        <w:pStyle w:val="ListParagraph"/>
        <w:numPr>
          <w:ilvl w:val="0"/>
          <w:numId w:val="91"/>
        </w:numPr>
        <w:tabs>
          <w:tab w:pos="1031" w:val="left" w:leader="none"/>
          <w:tab w:pos="1032" w:val="left" w:leader="none"/>
        </w:tabs>
        <w:spacing w:line="240" w:lineRule="auto" w:before="184" w:after="0"/>
        <w:ind w:left="1043" w:right="0" w:hanging="427"/>
        <w:jc w:val="left"/>
        <w:rPr>
          <w:sz w:val="38"/>
        </w:rPr>
      </w:pPr>
      <w:r>
        <w:rPr>
          <w:sz w:val="38"/>
        </w:rPr>
        <w:t>Diarrhoea</w:t>
      </w:r>
    </w:p>
    <w:p>
      <w:pPr>
        <w:spacing w:after="0" w:line="240" w:lineRule="auto"/>
        <w:jc w:val="left"/>
        <w:rPr>
          <w:sz w:val="38"/>
        </w:rPr>
        <w:sectPr>
          <w:pgSz w:w="14270" w:h="16850"/>
          <w:pgMar w:header="0" w:footer="1891" w:top="1340" w:bottom="2080" w:left="800" w:right="1280"/>
        </w:sectPr>
      </w:pPr>
    </w:p>
    <w:p>
      <w:pPr>
        <w:pStyle w:val="ListParagraph"/>
        <w:numPr>
          <w:ilvl w:val="0"/>
          <w:numId w:val="91"/>
        </w:numPr>
        <w:tabs>
          <w:tab w:pos="1031" w:val="left" w:leader="none"/>
          <w:tab w:pos="1032" w:val="left" w:leader="none"/>
        </w:tabs>
        <w:spacing w:line="240" w:lineRule="auto" w:before="53" w:after="0"/>
        <w:ind w:left="1043" w:right="0" w:hanging="427"/>
        <w:jc w:val="left"/>
        <w:rPr>
          <w:sz w:val="38"/>
        </w:rPr>
      </w:pPr>
      <w:r>
        <w:rPr>
          <w:sz w:val="38"/>
        </w:rPr>
        <w:t>Signs of</w:t>
      </w:r>
      <w:r>
        <w:rPr>
          <w:spacing w:val="-3"/>
          <w:sz w:val="38"/>
        </w:rPr>
        <w:t> </w:t>
      </w:r>
      <w:r>
        <w:rPr>
          <w:sz w:val="38"/>
        </w:rPr>
        <w:t>ageing</w:t>
      </w:r>
    </w:p>
    <w:p>
      <w:pPr>
        <w:pStyle w:val="ListParagraph"/>
        <w:numPr>
          <w:ilvl w:val="0"/>
          <w:numId w:val="91"/>
        </w:numPr>
        <w:tabs>
          <w:tab w:pos="1031" w:val="left" w:leader="none"/>
          <w:tab w:pos="1032" w:val="left" w:leader="none"/>
        </w:tabs>
        <w:spacing w:line="240" w:lineRule="auto" w:before="186" w:after="0"/>
        <w:ind w:left="1043" w:right="0" w:hanging="427"/>
        <w:jc w:val="left"/>
        <w:rPr>
          <w:sz w:val="38"/>
        </w:rPr>
      </w:pPr>
      <w:r>
        <w:rPr>
          <w:sz w:val="38"/>
        </w:rPr>
        <w:t>Cancer</w:t>
      </w:r>
    </w:p>
    <w:p>
      <w:pPr>
        <w:pStyle w:val="ListParagraph"/>
        <w:numPr>
          <w:ilvl w:val="0"/>
          <w:numId w:val="91"/>
        </w:numPr>
        <w:tabs>
          <w:tab w:pos="1031" w:val="left" w:leader="none"/>
          <w:tab w:pos="1032" w:val="left" w:leader="none"/>
        </w:tabs>
        <w:spacing w:line="240" w:lineRule="auto" w:before="184" w:after="0"/>
        <w:ind w:left="1043" w:right="0" w:hanging="427"/>
        <w:jc w:val="left"/>
        <w:rPr>
          <w:sz w:val="38"/>
        </w:rPr>
      </w:pPr>
      <w:r>
        <w:rPr>
          <w:sz w:val="38"/>
        </w:rPr>
        <w:t>Diabetes</w:t>
      </w:r>
    </w:p>
    <w:p>
      <w:pPr>
        <w:pStyle w:val="ListParagraph"/>
        <w:numPr>
          <w:ilvl w:val="0"/>
          <w:numId w:val="91"/>
        </w:numPr>
        <w:tabs>
          <w:tab w:pos="1031" w:val="left" w:leader="none"/>
          <w:tab w:pos="1032" w:val="left" w:leader="none"/>
        </w:tabs>
        <w:spacing w:line="240" w:lineRule="auto" w:before="184" w:after="0"/>
        <w:ind w:left="1043" w:right="0" w:hanging="427"/>
        <w:jc w:val="left"/>
        <w:rPr>
          <w:sz w:val="38"/>
        </w:rPr>
      </w:pPr>
      <w:r>
        <w:rPr>
          <w:sz w:val="38"/>
        </w:rPr>
        <w:t>Multiple sclerosis</w:t>
      </w:r>
      <w:r>
        <w:rPr>
          <w:spacing w:val="4"/>
          <w:sz w:val="38"/>
        </w:rPr>
        <w:t> </w:t>
      </w:r>
      <w:r>
        <w:rPr>
          <w:sz w:val="38"/>
        </w:rPr>
        <w:t>(MS)</w:t>
      </w:r>
    </w:p>
    <w:p>
      <w:pPr>
        <w:pStyle w:val="ListParagraph"/>
        <w:numPr>
          <w:ilvl w:val="0"/>
          <w:numId w:val="91"/>
        </w:numPr>
        <w:tabs>
          <w:tab w:pos="1031" w:val="left" w:leader="none"/>
          <w:tab w:pos="1032" w:val="left" w:leader="none"/>
        </w:tabs>
        <w:spacing w:line="240" w:lineRule="auto" w:before="183" w:after="0"/>
        <w:ind w:left="1043" w:right="0" w:hanging="427"/>
        <w:jc w:val="left"/>
        <w:rPr>
          <w:sz w:val="38"/>
        </w:rPr>
      </w:pPr>
      <w:r>
        <w:rPr>
          <w:sz w:val="38"/>
        </w:rPr>
        <w:t>Thrombosis</w:t>
      </w:r>
    </w:p>
    <w:p>
      <w:pPr>
        <w:pStyle w:val="ListParagraph"/>
        <w:numPr>
          <w:ilvl w:val="0"/>
          <w:numId w:val="91"/>
        </w:numPr>
        <w:tabs>
          <w:tab w:pos="1031" w:val="left" w:leader="none"/>
          <w:tab w:pos="1032" w:val="left" w:leader="none"/>
        </w:tabs>
        <w:spacing w:line="240" w:lineRule="auto" w:before="184" w:after="0"/>
        <w:ind w:left="1043" w:right="0" w:hanging="427"/>
        <w:jc w:val="left"/>
        <w:rPr>
          <w:sz w:val="38"/>
        </w:rPr>
      </w:pPr>
      <w:r>
        <w:rPr>
          <w:sz w:val="38"/>
        </w:rPr>
        <w:t>STDs</w:t>
      </w:r>
    </w:p>
    <w:p>
      <w:pPr>
        <w:pStyle w:val="ListParagraph"/>
        <w:numPr>
          <w:ilvl w:val="0"/>
          <w:numId w:val="91"/>
        </w:numPr>
        <w:tabs>
          <w:tab w:pos="1031" w:val="left" w:leader="none"/>
          <w:tab w:pos="1032" w:val="left" w:leader="none"/>
        </w:tabs>
        <w:spacing w:line="240" w:lineRule="auto" w:before="186" w:after="0"/>
        <w:ind w:left="1043" w:right="0" w:hanging="427"/>
        <w:jc w:val="left"/>
        <w:rPr>
          <w:sz w:val="38"/>
        </w:rPr>
      </w:pPr>
      <w:r>
        <w:rPr>
          <w:sz w:val="38"/>
        </w:rPr>
        <w:t>Sinus</w:t>
      </w:r>
      <w:r>
        <w:rPr>
          <w:spacing w:val="-1"/>
          <w:sz w:val="38"/>
        </w:rPr>
        <w:t> </w:t>
      </w:r>
      <w:r>
        <w:rPr>
          <w:sz w:val="38"/>
        </w:rPr>
        <w:t>infection</w:t>
      </w:r>
    </w:p>
    <w:p>
      <w:pPr>
        <w:pStyle w:val="ListParagraph"/>
        <w:numPr>
          <w:ilvl w:val="0"/>
          <w:numId w:val="91"/>
        </w:numPr>
        <w:tabs>
          <w:tab w:pos="1031" w:val="left" w:leader="none"/>
          <w:tab w:pos="1032" w:val="left" w:leader="none"/>
        </w:tabs>
        <w:spacing w:line="240" w:lineRule="auto" w:before="184" w:after="0"/>
        <w:ind w:left="1043" w:right="0" w:hanging="427"/>
        <w:jc w:val="left"/>
        <w:rPr>
          <w:sz w:val="38"/>
        </w:rPr>
      </w:pPr>
      <w:r>
        <w:rPr>
          <w:sz w:val="38"/>
        </w:rPr>
        <w:t>Sore throat</w:t>
      </w:r>
    </w:p>
    <w:p>
      <w:pPr>
        <w:pStyle w:val="ListParagraph"/>
        <w:numPr>
          <w:ilvl w:val="0"/>
          <w:numId w:val="91"/>
        </w:numPr>
        <w:tabs>
          <w:tab w:pos="1031" w:val="left" w:leader="none"/>
          <w:tab w:pos="1032" w:val="left" w:leader="none"/>
        </w:tabs>
        <w:spacing w:line="240" w:lineRule="auto" w:before="184" w:after="0"/>
        <w:ind w:left="1043" w:right="0" w:hanging="427"/>
        <w:jc w:val="left"/>
        <w:rPr>
          <w:sz w:val="38"/>
        </w:rPr>
      </w:pPr>
      <w:r>
        <w:rPr>
          <w:sz w:val="38"/>
        </w:rPr>
        <w:t>Tuberculosis</w:t>
      </w:r>
    </w:p>
    <w:p>
      <w:pPr>
        <w:pStyle w:val="ListParagraph"/>
        <w:numPr>
          <w:ilvl w:val="0"/>
          <w:numId w:val="91"/>
        </w:numPr>
        <w:tabs>
          <w:tab w:pos="1031" w:val="left" w:leader="none"/>
          <w:tab w:pos="1032" w:val="left" w:leader="none"/>
        </w:tabs>
        <w:spacing w:line="240" w:lineRule="auto" w:before="183" w:after="0"/>
        <w:ind w:left="1043" w:right="0" w:hanging="427"/>
        <w:jc w:val="left"/>
        <w:rPr>
          <w:sz w:val="38"/>
        </w:rPr>
      </w:pPr>
      <w:r>
        <w:rPr>
          <w:sz w:val="38"/>
        </w:rPr>
        <w:t>Osteoporosis</w:t>
      </w:r>
    </w:p>
    <w:p>
      <w:pPr>
        <w:pStyle w:val="ListParagraph"/>
        <w:numPr>
          <w:ilvl w:val="0"/>
          <w:numId w:val="91"/>
        </w:numPr>
        <w:tabs>
          <w:tab w:pos="1031" w:val="left" w:leader="none"/>
          <w:tab w:pos="1032" w:val="left" w:leader="none"/>
        </w:tabs>
        <w:spacing w:line="240" w:lineRule="auto" w:before="186" w:after="0"/>
        <w:ind w:left="1043" w:right="0" w:hanging="427"/>
        <w:jc w:val="left"/>
        <w:rPr>
          <w:sz w:val="38"/>
        </w:rPr>
      </w:pPr>
      <w:r>
        <w:rPr>
          <w:sz w:val="38"/>
        </w:rPr>
        <w:t>AIDS</w:t>
      </w:r>
    </w:p>
    <w:p>
      <w:pPr>
        <w:pStyle w:val="ListParagraph"/>
        <w:numPr>
          <w:ilvl w:val="0"/>
          <w:numId w:val="91"/>
        </w:numPr>
        <w:tabs>
          <w:tab w:pos="1031" w:val="left" w:leader="none"/>
          <w:tab w:pos="1032" w:val="left" w:leader="none"/>
        </w:tabs>
        <w:spacing w:line="240" w:lineRule="auto" w:before="184" w:after="0"/>
        <w:ind w:left="1043" w:right="0" w:hanging="427"/>
        <w:jc w:val="left"/>
        <w:rPr>
          <w:sz w:val="38"/>
        </w:rPr>
      </w:pPr>
      <w:r>
        <w:rPr>
          <w:sz w:val="38"/>
        </w:rPr>
        <w:t>Arthritis</w:t>
      </w:r>
    </w:p>
    <w:p>
      <w:pPr>
        <w:pStyle w:val="ListParagraph"/>
        <w:numPr>
          <w:ilvl w:val="0"/>
          <w:numId w:val="91"/>
        </w:numPr>
        <w:tabs>
          <w:tab w:pos="1031" w:val="left" w:leader="none"/>
          <w:tab w:pos="1032" w:val="left" w:leader="none"/>
        </w:tabs>
        <w:spacing w:line="240" w:lineRule="auto" w:before="184" w:after="0"/>
        <w:ind w:left="1043" w:right="0" w:hanging="427"/>
        <w:jc w:val="left"/>
        <w:rPr>
          <w:sz w:val="38"/>
        </w:rPr>
      </w:pPr>
      <w:r>
        <w:rPr>
          <w:sz w:val="38"/>
        </w:rPr>
        <w:t>Arthrosis</w:t>
      </w:r>
    </w:p>
    <w:p>
      <w:pPr>
        <w:pStyle w:val="ListParagraph"/>
        <w:numPr>
          <w:ilvl w:val="0"/>
          <w:numId w:val="91"/>
        </w:numPr>
        <w:tabs>
          <w:tab w:pos="1031" w:val="left" w:leader="none"/>
          <w:tab w:pos="1032" w:val="left" w:leader="none"/>
        </w:tabs>
        <w:spacing w:line="240" w:lineRule="auto" w:before="184" w:after="0"/>
        <w:ind w:left="1043" w:right="0" w:hanging="427"/>
        <w:jc w:val="left"/>
        <w:rPr>
          <w:sz w:val="38"/>
        </w:rPr>
      </w:pPr>
      <w:r>
        <w:rPr>
          <w:sz w:val="38"/>
        </w:rPr>
        <w:t>Rheumatism of the</w:t>
      </w:r>
      <w:r>
        <w:rPr>
          <w:spacing w:val="3"/>
          <w:sz w:val="38"/>
        </w:rPr>
        <w:t> </w:t>
      </w:r>
      <w:r>
        <w:rPr>
          <w:sz w:val="38"/>
        </w:rPr>
        <w:t>joints</w:t>
      </w:r>
    </w:p>
    <w:p>
      <w:pPr>
        <w:pStyle w:val="ListParagraph"/>
        <w:numPr>
          <w:ilvl w:val="0"/>
          <w:numId w:val="91"/>
        </w:numPr>
        <w:tabs>
          <w:tab w:pos="1031" w:val="left" w:leader="none"/>
          <w:tab w:pos="1032" w:val="left" w:leader="none"/>
        </w:tabs>
        <w:spacing w:line="240" w:lineRule="auto" w:before="183" w:after="0"/>
        <w:ind w:left="1043" w:right="0" w:hanging="427"/>
        <w:jc w:val="left"/>
        <w:rPr>
          <w:sz w:val="38"/>
        </w:rPr>
      </w:pPr>
      <w:r>
        <w:rPr>
          <w:sz w:val="38"/>
        </w:rPr>
        <w:t>Muscle</w:t>
      </w:r>
      <w:r>
        <w:rPr>
          <w:spacing w:val="-1"/>
          <w:sz w:val="38"/>
        </w:rPr>
        <w:t> </w:t>
      </w:r>
      <w:r>
        <w:rPr>
          <w:sz w:val="38"/>
        </w:rPr>
        <w:t>rheumatism</w:t>
      </w:r>
    </w:p>
    <w:p>
      <w:pPr>
        <w:pStyle w:val="ListParagraph"/>
        <w:numPr>
          <w:ilvl w:val="0"/>
          <w:numId w:val="91"/>
        </w:numPr>
        <w:tabs>
          <w:tab w:pos="1031" w:val="left" w:leader="none"/>
          <w:tab w:pos="1032" w:val="left" w:leader="none"/>
        </w:tabs>
        <w:spacing w:line="240" w:lineRule="auto" w:before="186" w:after="0"/>
        <w:ind w:left="1043" w:right="0" w:hanging="427"/>
        <w:jc w:val="left"/>
        <w:rPr>
          <w:sz w:val="38"/>
        </w:rPr>
      </w:pPr>
      <w:r>
        <w:rPr>
          <w:sz w:val="38"/>
        </w:rPr>
        <w:t>Cellulitis</w:t>
      </w:r>
    </w:p>
    <w:p>
      <w:pPr>
        <w:pStyle w:val="ListParagraph"/>
        <w:numPr>
          <w:ilvl w:val="0"/>
          <w:numId w:val="91"/>
        </w:numPr>
        <w:tabs>
          <w:tab w:pos="1031" w:val="left" w:leader="none"/>
          <w:tab w:pos="1032" w:val="left" w:leader="none"/>
        </w:tabs>
        <w:spacing w:line="240" w:lineRule="auto" w:before="184" w:after="0"/>
        <w:ind w:left="1043" w:right="0" w:hanging="427"/>
        <w:jc w:val="left"/>
        <w:rPr>
          <w:sz w:val="38"/>
        </w:rPr>
      </w:pPr>
      <w:r>
        <w:rPr>
          <w:sz w:val="38"/>
        </w:rPr>
        <w:t>Insect</w:t>
      </w:r>
      <w:r>
        <w:rPr>
          <w:spacing w:val="-1"/>
          <w:sz w:val="38"/>
        </w:rPr>
        <w:t> </w:t>
      </w:r>
      <w:r>
        <w:rPr>
          <w:sz w:val="38"/>
        </w:rPr>
        <w:t>bites</w:t>
      </w:r>
    </w:p>
    <w:p>
      <w:pPr>
        <w:pStyle w:val="ListParagraph"/>
        <w:numPr>
          <w:ilvl w:val="0"/>
          <w:numId w:val="91"/>
        </w:numPr>
        <w:tabs>
          <w:tab w:pos="1031" w:val="left" w:leader="none"/>
          <w:tab w:pos="1032" w:val="left" w:leader="none"/>
        </w:tabs>
        <w:spacing w:line="240" w:lineRule="auto" w:before="184" w:after="0"/>
        <w:ind w:left="1043" w:right="0" w:hanging="427"/>
        <w:jc w:val="left"/>
        <w:rPr>
          <w:sz w:val="38"/>
        </w:rPr>
      </w:pPr>
      <w:r>
        <w:rPr>
          <w:sz w:val="38"/>
        </w:rPr>
        <w:t>Flatulence</w:t>
      </w:r>
    </w:p>
    <w:p>
      <w:pPr>
        <w:pStyle w:val="ListParagraph"/>
        <w:numPr>
          <w:ilvl w:val="0"/>
          <w:numId w:val="91"/>
        </w:numPr>
        <w:tabs>
          <w:tab w:pos="1031" w:val="left" w:leader="none"/>
          <w:tab w:pos="1032" w:val="left" w:leader="none"/>
        </w:tabs>
        <w:spacing w:line="240" w:lineRule="auto" w:before="184" w:after="0"/>
        <w:ind w:left="1043" w:right="0" w:hanging="427"/>
        <w:jc w:val="left"/>
        <w:rPr>
          <w:sz w:val="38"/>
        </w:rPr>
      </w:pPr>
      <w:r>
        <w:rPr>
          <w:sz w:val="38"/>
        </w:rPr>
        <w:t>Inflammation of all</w:t>
      </w:r>
      <w:r>
        <w:rPr>
          <w:spacing w:val="-2"/>
          <w:sz w:val="38"/>
        </w:rPr>
        <w:t> </w:t>
      </w:r>
      <w:r>
        <w:rPr>
          <w:sz w:val="38"/>
        </w:rPr>
        <w:t>kinds</w:t>
      </w:r>
    </w:p>
    <w:p>
      <w:pPr>
        <w:spacing w:after="0" w:line="240" w:lineRule="auto"/>
        <w:jc w:val="left"/>
        <w:rPr>
          <w:sz w:val="38"/>
        </w:rPr>
        <w:sectPr>
          <w:pgSz w:w="14270" w:h="16850"/>
          <w:pgMar w:header="0" w:footer="1891" w:top="1360" w:bottom="2080" w:left="800" w:right="1280"/>
        </w:sectPr>
      </w:pPr>
    </w:p>
    <w:p>
      <w:pPr>
        <w:pStyle w:val="ListParagraph"/>
        <w:numPr>
          <w:ilvl w:val="0"/>
          <w:numId w:val="91"/>
        </w:numPr>
        <w:tabs>
          <w:tab w:pos="1031" w:val="left" w:leader="none"/>
          <w:tab w:pos="1032" w:val="left" w:leader="none"/>
        </w:tabs>
        <w:spacing w:line="240" w:lineRule="auto" w:before="53" w:after="0"/>
        <w:ind w:left="1043" w:right="0" w:hanging="427"/>
        <w:jc w:val="left"/>
        <w:rPr>
          <w:sz w:val="38"/>
        </w:rPr>
      </w:pPr>
      <w:r>
        <w:rPr>
          <w:sz w:val="38"/>
        </w:rPr>
        <w:t>Burns</w:t>
      </w:r>
    </w:p>
    <w:p>
      <w:pPr>
        <w:pStyle w:val="ListParagraph"/>
        <w:numPr>
          <w:ilvl w:val="0"/>
          <w:numId w:val="91"/>
        </w:numPr>
        <w:tabs>
          <w:tab w:pos="1031" w:val="left" w:leader="none"/>
          <w:tab w:pos="1032" w:val="left" w:leader="none"/>
        </w:tabs>
        <w:spacing w:line="240" w:lineRule="auto" w:before="186" w:after="0"/>
        <w:ind w:left="1043" w:right="0" w:hanging="427"/>
        <w:jc w:val="left"/>
        <w:rPr>
          <w:sz w:val="38"/>
        </w:rPr>
      </w:pPr>
      <w:r>
        <w:rPr>
          <w:sz w:val="38"/>
        </w:rPr>
        <w:t>Liver problems/liver</w:t>
      </w:r>
      <w:r>
        <w:rPr>
          <w:spacing w:val="1"/>
          <w:sz w:val="38"/>
        </w:rPr>
        <w:t> </w:t>
      </w:r>
      <w:r>
        <w:rPr>
          <w:sz w:val="38"/>
        </w:rPr>
        <w:t>cirrhosis</w:t>
      </w:r>
    </w:p>
    <w:p>
      <w:pPr>
        <w:pStyle w:val="ListParagraph"/>
        <w:numPr>
          <w:ilvl w:val="0"/>
          <w:numId w:val="91"/>
        </w:numPr>
        <w:tabs>
          <w:tab w:pos="1031" w:val="left" w:leader="none"/>
          <w:tab w:pos="1032" w:val="left" w:leader="none"/>
        </w:tabs>
        <w:spacing w:line="240" w:lineRule="auto" w:before="184" w:after="0"/>
        <w:ind w:left="1043" w:right="0" w:hanging="427"/>
        <w:jc w:val="left"/>
        <w:rPr>
          <w:sz w:val="38"/>
        </w:rPr>
      </w:pPr>
      <w:r>
        <w:rPr>
          <w:sz w:val="38"/>
        </w:rPr>
        <w:t>Athlete’s foot</w:t>
      </w:r>
    </w:p>
    <w:p>
      <w:pPr>
        <w:pStyle w:val="ListParagraph"/>
        <w:numPr>
          <w:ilvl w:val="0"/>
          <w:numId w:val="91"/>
        </w:numPr>
        <w:tabs>
          <w:tab w:pos="1031" w:val="left" w:leader="none"/>
          <w:tab w:pos="1032" w:val="left" w:leader="none"/>
        </w:tabs>
        <w:spacing w:line="240" w:lineRule="auto" w:before="184" w:after="0"/>
        <w:ind w:left="1043" w:right="0" w:hanging="427"/>
        <w:jc w:val="left"/>
        <w:rPr>
          <w:sz w:val="38"/>
        </w:rPr>
      </w:pPr>
      <w:r>
        <w:rPr>
          <w:sz w:val="38"/>
        </w:rPr>
        <w:t>Eczema</w:t>
      </w:r>
    </w:p>
    <w:p>
      <w:pPr>
        <w:pStyle w:val="ListParagraph"/>
        <w:numPr>
          <w:ilvl w:val="0"/>
          <w:numId w:val="91"/>
        </w:numPr>
        <w:tabs>
          <w:tab w:pos="1031" w:val="left" w:leader="none"/>
          <w:tab w:pos="1032" w:val="left" w:leader="none"/>
        </w:tabs>
        <w:spacing w:line="240" w:lineRule="auto" w:before="183" w:after="0"/>
        <w:ind w:left="1043" w:right="0" w:hanging="427"/>
        <w:jc w:val="left"/>
        <w:rPr>
          <w:sz w:val="38"/>
        </w:rPr>
      </w:pPr>
      <w:r>
        <w:rPr>
          <w:sz w:val="38"/>
        </w:rPr>
        <w:t>Oedema</w:t>
      </w:r>
    </w:p>
    <w:p>
      <w:pPr>
        <w:pStyle w:val="ListParagraph"/>
        <w:numPr>
          <w:ilvl w:val="0"/>
          <w:numId w:val="91"/>
        </w:numPr>
        <w:tabs>
          <w:tab w:pos="1031" w:val="left" w:leader="none"/>
          <w:tab w:pos="1032" w:val="left" w:leader="none"/>
        </w:tabs>
        <w:spacing w:line="240" w:lineRule="auto" w:before="184" w:after="0"/>
        <w:ind w:left="1043" w:right="0" w:hanging="427"/>
        <w:jc w:val="left"/>
        <w:rPr>
          <w:sz w:val="38"/>
        </w:rPr>
      </w:pPr>
      <w:r>
        <w:rPr>
          <w:sz w:val="38"/>
        </w:rPr>
        <w:t>Haemorrhoids</w:t>
      </w:r>
    </w:p>
    <w:p>
      <w:pPr>
        <w:pStyle w:val="ListParagraph"/>
        <w:numPr>
          <w:ilvl w:val="0"/>
          <w:numId w:val="91"/>
        </w:numPr>
        <w:tabs>
          <w:tab w:pos="1031" w:val="left" w:leader="none"/>
          <w:tab w:pos="1032" w:val="left" w:leader="none"/>
        </w:tabs>
        <w:spacing w:line="240" w:lineRule="auto" w:before="186" w:after="0"/>
        <w:ind w:left="1043" w:right="0" w:hanging="427"/>
        <w:jc w:val="left"/>
        <w:rPr>
          <w:sz w:val="38"/>
        </w:rPr>
      </w:pPr>
      <w:r>
        <w:rPr>
          <w:sz w:val="38"/>
        </w:rPr>
        <w:t>Embolisms</w:t>
      </w:r>
    </w:p>
    <w:p>
      <w:pPr>
        <w:pStyle w:val="ListParagraph"/>
        <w:numPr>
          <w:ilvl w:val="0"/>
          <w:numId w:val="91"/>
        </w:numPr>
        <w:tabs>
          <w:tab w:pos="1031" w:val="left" w:leader="none"/>
          <w:tab w:pos="1032" w:val="left" w:leader="none"/>
        </w:tabs>
        <w:spacing w:line="240" w:lineRule="auto" w:before="184" w:after="0"/>
        <w:ind w:left="1043" w:right="0" w:hanging="427"/>
        <w:jc w:val="left"/>
        <w:rPr>
          <w:sz w:val="38"/>
        </w:rPr>
      </w:pPr>
      <w:r>
        <w:rPr>
          <w:sz w:val="38"/>
        </w:rPr>
        <w:t>Fungi , mycoses (Candida albicans e.</w:t>
      </w:r>
      <w:r>
        <w:rPr>
          <w:spacing w:val="2"/>
          <w:sz w:val="38"/>
        </w:rPr>
        <w:t> </w:t>
      </w:r>
      <w:r>
        <w:rPr>
          <w:sz w:val="38"/>
        </w:rPr>
        <w:t>g.)</w:t>
      </w:r>
    </w:p>
    <w:p>
      <w:pPr>
        <w:pStyle w:val="ListParagraph"/>
        <w:numPr>
          <w:ilvl w:val="0"/>
          <w:numId w:val="91"/>
        </w:numPr>
        <w:tabs>
          <w:tab w:pos="1031" w:val="left" w:leader="none"/>
          <w:tab w:pos="1032" w:val="left" w:leader="none"/>
        </w:tabs>
        <w:spacing w:line="240" w:lineRule="auto" w:before="184" w:after="0"/>
        <w:ind w:left="1043" w:right="0" w:hanging="427"/>
        <w:jc w:val="left"/>
        <w:rPr>
          <w:sz w:val="38"/>
        </w:rPr>
      </w:pPr>
      <w:r>
        <w:rPr>
          <w:sz w:val="38"/>
        </w:rPr>
        <w:t>Psoriasis</w:t>
      </w:r>
    </w:p>
    <w:p>
      <w:pPr>
        <w:pStyle w:val="ListParagraph"/>
        <w:numPr>
          <w:ilvl w:val="0"/>
          <w:numId w:val="91"/>
        </w:numPr>
        <w:tabs>
          <w:tab w:pos="1031" w:val="left" w:leader="none"/>
          <w:tab w:pos="1032" w:val="left" w:leader="none"/>
        </w:tabs>
        <w:spacing w:line="240" w:lineRule="auto" w:before="183" w:after="0"/>
        <w:ind w:left="1043" w:right="0" w:hanging="427"/>
        <w:jc w:val="left"/>
        <w:rPr>
          <w:sz w:val="38"/>
        </w:rPr>
      </w:pPr>
      <w:r>
        <w:rPr>
          <w:sz w:val="38"/>
        </w:rPr>
        <w:t>Herpes</w:t>
      </w:r>
    </w:p>
    <w:p>
      <w:pPr>
        <w:pStyle w:val="ListParagraph"/>
        <w:numPr>
          <w:ilvl w:val="0"/>
          <w:numId w:val="91"/>
        </w:numPr>
        <w:tabs>
          <w:tab w:pos="1031" w:val="left" w:leader="none"/>
          <w:tab w:pos="1032" w:val="left" w:leader="none"/>
        </w:tabs>
        <w:spacing w:line="240" w:lineRule="auto" w:before="186" w:after="0"/>
        <w:ind w:left="1043" w:right="0" w:hanging="427"/>
        <w:jc w:val="left"/>
        <w:rPr>
          <w:sz w:val="38"/>
        </w:rPr>
      </w:pPr>
      <w:r>
        <w:rPr>
          <w:sz w:val="38"/>
        </w:rPr>
        <w:t>Shingles</w:t>
      </w:r>
    </w:p>
    <w:p>
      <w:pPr>
        <w:pStyle w:val="ListParagraph"/>
        <w:numPr>
          <w:ilvl w:val="0"/>
          <w:numId w:val="91"/>
        </w:numPr>
        <w:tabs>
          <w:tab w:pos="1031" w:val="left" w:leader="none"/>
          <w:tab w:pos="1032" w:val="left" w:leader="none"/>
        </w:tabs>
        <w:spacing w:line="240" w:lineRule="auto" w:before="184" w:after="0"/>
        <w:ind w:left="1043" w:right="0" w:hanging="427"/>
        <w:jc w:val="left"/>
        <w:rPr>
          <w:sz w:val="38"/>
        </w:rPr>
      </w:pPr>
      <w:r>
        <w:rPr>
          <w:sz w:val="38"/>
        </w:rPr>
        <w:t>Digestion</w:t>
      </w:r>
      <w:r>
        <w:rPr>
          <w:spacing w:val="-2"/>
          <w:sz w:val="38"/>
        </w:rPr>
        <w:t> </w:t>
      </w:r>
      <w:r>
        <w:rPr>
          <w:sz w:val="38"/>
        </w:rPr>
        <w:t>problems</w:t>
      </w:r>
    </w:p>
    <w:p>
      <w:pPr>
        <w:pStyle w:val="ListParagraph"/>
        <w:numPr>
          <w:ilvl w:val="0"/>
          <w:numId w:val="91"/>
        </w:numPr>
        <w:tabs>
          <w:tab w:pos="1031" w:val="left" w:leader="none"/>
          <w:tab w:pos="1032" w:val="left" w:leader="none"/>
        </w:tabs>
        <w:spacing w:line="240" w:lineRule="auto" w:before="184" w:after="0"/>
        <w:ind w:left="1043" w:right="0" w:hanging="427"/>
        <w:jc w:val="left"/>
        <w:rPr>
          <w:sz w:val="38"/>
        </w:rPr>
      </w:pPr>
      <w:r>
        <w:rPr>
          <w:sz w:val="38"/>
        </w:rPr>
        <w:t>Gastritis</w:t>
      </w:r>
    </w:p>
    <w:p>
      <w:pPr>
        <w:pStyle w:val="ListParagraph"/>
        <w:numPr>
          <w:ilvl w:val="0"/>
          <w:numId w:val="91"/>
        </w:numPr>
        <w:tabs>
          <w:tab w:pos="1031" w:val="left" w:leader="none"/>
          <w:tab w:pos="1032" w:val="left" w:leader="none"/>
        </w:tabs>
        <w:spacing w:line="240" w:lineRule="auto" w:before="184" w:after="0"/>
        <w:ind w:left="1043" w:right="0" w:hanging="427"/>
        <w:jc w:val="left"/>
        <w:rPr>
          <w:sz w:val="38"/>
        </w:rPr>
      </w:pPr>
      <w:r>
        <w:rPr>
          <w:sz w:val="38"/>
        </w:rPr>
        <w:t>General stomach complaints</w:t>
      </w:r>
    </w:p>
    <w:p>
      <w:pPr>
        <w:pStyle w:val="ListParagraph"/>
        <w:numPr>
          <w:ilvl w:val="0"/>
          <w:numId w:val="91"/>
        </w:numPr>
        <w:tabs>
          <w:tab w:pos="1031" w:val="left" w:leader="none"/>
          <w:tab w:pos="1032" w:val="left" w:leader="none"/>
        </w:tabs>
        <w:spacing w:line="240" w:lineRule="auto" w:before="183" w:after="0"/>
        <w:ind w:left="1043" w:right="0" w:hanging="427"/>
        <w:jc w:val="left"/>
        <w:rPr>
          <w:sz w:val="38"/>
        </w:rPr>
      </w:pPr>
      <w:r>
        <w:rPr>
          <w:sz w:val="38"/>
        </w:rPr>
        <w:t>Heartburn</w:t>
      </w:r>
    </w:p>
    <w:p>
      <w:pPr>
        <w:pStyle w:val="ListParagraph"/>
        <w:numPr>
          <w:ilvl w:val="0"/>
          <w:numId w:val="91"/>
        </w:numPr>
        <w:tabs>
          <w:tab w:pos="1031" w:val="left" w:leader="none"/>
          <w:tab w:pos="1032" w:val="left" w:leader="none"/>
        </w:tabs>
        <w:spacing w:line="240" w:lineRule="auto" w:before="186" w:after="0"/>
        <w:ind w:left="1043" w:right="0" w:hanging="427"/>
        <w:jc w:val="left"/>
        <w:rPr>
          <w:sz w:val="38"/>
        </w:rPr>
      </w:pPr>
      <w:r>
        <w:rPr>
          <w:sz w:val="38"/>
        </w:rPr>
        <w:t>Stomach</w:t>
      </w:r>
      <w:r>
        <w:rPr>
          <w:spacing w:val="-2"/>
          <w:sz w:val="38"/>
        </w:rPr>
        <w:t> </w:t>
      </w:r>
      <w:r>
        <w:rPr>
          <w:sz w:val="38"/>
        </w:rPr>
        <w:t>ulcers</w:t>
      </w:r>
    </w:p>
    <w:p>
      <w:pPr>
        <w:pStyle w:val="ListParagraph"/>
        <w:numPr>
          <w:ilvl w:val="0"/>
          <w:numId w:val="91"/>
        </w:numPr>
        <w:tabs>
          <w:tab w:pos="1031" w:val="left" w:leader="none"/>
          <w:tab w:pos="1032" w:val="left" w:leader="none"/>
        </w:tabs>
        <w:spacing w:line="240" w:lineRule="auto" w:before="184" w:after="0"/>
        <w:ind w:left="1043" w:right="0" w:hanging="427"/>
        <w:jc w:val="left"/>
        <w:rPr>
          <w:sz w:val="38"/>
        </w:rPr>
      </w:pPr>
      <w:r>
        <w:rPr>
          <w:sz w:val="38"/>
        </w:rPr>
        <w:t>Libido problems/impotence</w:t>
      </w:r>
    </w:p>
    <w:p>
      <w:pPr>
        <w:pStyle w:val="ListParagraph"/>
        <w:numPr>
          <w:ilvl w:val="0"/>
          <w:numId w:val="91"/>
        </w:numPr>
        <w:tabs>
          <w:tab w:pos="1031" w:val="left" w:leader="none"/>
          <w:tab w:pos="1032" w:val="left" w:leader="none"/>
        </w:tabs>
        <w:spacing w:line="240" w:lineRule="auto" w:before="184" w:after="0"/>
        <w:ind w:left="1043" w:right="0" w:hanging="427"/>
        <w:jc w:val="left"/>
        <w:rPr>
          <w:sz w:val="38"/>
        </w:rPr>
      </w:pPr>
      <w:r>
        <w:rPr>
          <w:sz w:val="38"/>
        </w:rPr>
        <w:t>Gingivitis/Parodontosis</w:t>
      </w:r>
    </w:p>
    <w:p>
      <w:pPr>
        <w:spacing w:after="0" w:line="240" w:lineRule="auto"/>
        <w:jc w:val="left"/>
        <w:rPr>
          <w:sz w:val="38"/>
        </w:rPr>
        <w:sectPr>
          <w:pgSz w:w="14270" w:h="16850"/>
          <w:pgMar w:header="0" w:footer="1891" w:top="1360" w:bottom="2080" w:left="800" w:right="1280"/>
        </w:sectPr>
      </w:pPr>
    </w:p>
    <w:p>
      <w:pPr>
        <w:pStyle w:val="Heading1"/>
        <w:spacing w:before="77"/>
        <w:ind w:left="616"/>
        <w:jc w:val="both"/>
      </w:pPr>
      <w:r>
        <w:rPr/>
        <w:t>Effect of papaya on acidification</w:t>
      </w:r>
    </w:p>
    <w:p>
      <w:pPr>
        <w:pStyle w:val="BodyText"/>
        <w:spacing w:line="276" w:lineRule="auto" w:before="299"/>
        <w:ind w:left="616" w:right="130"/>
        <w:jc w:val="both"/>
      </w:pPr>
      <w:r>
        <w:rPr/>
        <w:t>Paracelsus</w:t>
      </w:r>
      <w:r>
        <w:rPr>
          <w:spacing w:val="-23"/>
        </w:rPr>
        <w:t> </w:t>
      </w:r>
      <w:r>
        <w:rPr/>
        <w:t>had</w:t>
      </w:r>
      <w:r>
        <w:rPr>
          <w:spacing w:val="-22"/>
        </w:rPr>
        <w:t> </w:t>
      </w:r>
      <w:r>
        <w:rPr/>
        <w:t>already</w:t>
      </w:r>
      <w:r>
        <w:rPr>
          <w:spacing w:val="-23"/>
        </w:rPr>
        <w:t> </w:t>
      </w:r>
      <w:r>
        <w:rPr/>
        <w:t>named</w:t>
      </w:r>
      <w:r>
        <w:rPr>
          <w:spacing w:val="-22"/>
        </w:rPr>
        <w:t> </w:t>
      </w:r>
      <w:r>
        <w:rPr/>
        <w:t>the</w:t>
      </w:r>
      <w:r>
        <w:rPr>
          <w:spacing w:val="-21"/>
        </w:rPr>
        <w:t> </w:t>
      </w:r>
      <w:r>
        <w:rPr/>
        <w:t>acidification</w:t>
      </w:r>
      <w:r>
        <w:rPr>
          <w:spacing w:val="-18"/>
        </w:rPr>
        <w:t> </w:t>
      </w:r>
      <w:r>
        <w:rPr/>
        <w:t>of</w:t>
      </w:r>
      <w:r>
        <w:rPr>
          <w:spacing w:val="-20"/>
        </w:rPr>
        <w:t> </w:t>
      </w:r>
      <w:r>
        <w:rPr/>
        <w:t>our</w:t>
      </w:r>
      <w:r>
        <w:rPr>
          <w:spacing w:val="-22"/>
        </w:rPr>
        <w:t> </w:t>
      </w:r>
      <w:r>
        <w:rPr/>
        <w:t>organism</w:t>
      </w:r>
      <w:r>
        <w:rPr>
          <w:spacing w:val="-22"/>
        </w:rPr>
        <w:t> </w:t>
      </w:r>
      <w:r>
        <w:rPr/>
        <w:t>‘the</w:t>
      </w:r>
      <w:r>
        <w:rPr>
          <w:spacing w:val="-22"/>
        </w:rPr>
        <w:t> </w:t>
      </w:r>
      <w:r>
        <w:rPr/>
        <w:t>fundamen- tal evil of all diseases’. Diseases of civilisation like cancer, Diabetes, rheuma- tism and others were ascribed directly or indirectly to acidification. By way of the false, acidifying modern diet, medications, and modern stress, which also produce acids in the body, our organism is very much</w:t>
      </w:r>
      <w:r>
        <w:rPr>
          <w:spacing w:val="-8"/>
        </w:rPr>
        <w:t> </w:t>
      </w:r>
      <w:r>
        <w:rPr/>
        <w:t>over-acidified.</w:t>
      </w:r>
    </w:p>
    <w:p>
      <w:pPr>
        <w:pStyle w:val="BodyText"/>
        <w:spacing w:line="276" w:lineRule="auto" w:before="240"/>
        <w:ind w:left="616" w:right="132"/>
        <w:jc w:val="both"/>
      </w:pPr>
      <w:r>
        <w:rPr/>
        <w:t>In a state of permanent acidification, we are often depressed, tired, fatigued and</w:t>
      </w:r>
      <w:r>
        <w:rPr>
          <w:spacing w:val="-8"/>
        </w:rPr>
        <w:t> </w:t>
      </w:r>
      <w:r>
        <w:rPr/>
        <w:t>irritable.</w:t>
      </w:r>
      <w:r>
        <w:rPr>
          <w:spacing w:val="-7"/>
        </w:rPr>
        <w:t> </w:t>
      </w:r>
      <w:r>
        <w:rPr/>
        <w:t>A</w:t>
      </w:r>
      <w:r>
        <w:rPr>
          <w:spacing w:val="-9"/>
        </w:rPr>
        <w:t> </w:t>
      </w:r>
      <w:r>
        <w:rPr/>
        <w:t>vicious</w:t>
      </w:r>
      <w:r>
        <w:rPr>
          <w:spacing w:val="-7"/>
        </w:rPr>
        <w:t> </w:t>
      </w:r>
      <w:r>
        <w:rPr/>
        <w:t>circle</w:t>
      </w:r>
      <w:r>
        <w:rPr>
          <w:spacing w:val="-8"/>
        </w:rPr>
        <w:t> </w:t>
      </w:r>
      <w:r>
        <w:rPr/>
        <w:t>then</w:t>
      </w:r>
      <w:r>
        <w:rPr>
          <w:spacing w:val="-6"/>
        </w:rPr>
        <w:t> </w:t>
      </w:r>
      <w:r>
        <w:rPr/>
        <w:t>emerges</w:t>
      </w:r>
      <w:r>
        <w:rPr>
          <w:spacing w:val="-8"/>
        </w:rPr>
        <w:t> </w:t>
      </w:r>
      <w:r>
        <w:rPr/>
        <w:t>if</w:t>
      </w:r>
      <w:r>
        <w:rPr>
          <w:spacing w:val="-8"/>
        </w:rPr>
        <w:t> </w:t>
      </w:r>
      <w:r>
        <w:rPr/>
        <w:t>we</w:t>
      </w:r>
      <w:r>
        <w:rPr>
          <w:spacing w:val="-9"/>
        </w:rPr>
        <w:t> </w:t>
      </w:r>
      <w:r>
        <w:rPr/>
        <w:t>reach</w:t>
      </w:r>
      <w:r>
        <w:rPr>
          <w:spacing w:val="-7"/>
        </w:rPr>
        <w:t> </w:t>
      </w:r>
      <w:r>
        <w:rPr/>
        <w:t>for</w:t>
      </w:r>
      <w:r>
        <w:rPr>
          <w:spacing w:val="-7"/>
        </w:rPr>
        <w:t> </w:t>
      </w:r>
      <w:r>
        <w:rPr/>
        <w:t>the</w:t>
      </w:r>
      <w:r>
        <w:rPr>
          <w:spacing w:val="-6"/>
        </w:rPr>
        <w:t> </w:t>
      </w:r>
      <w:r>
        <w:rPr/>
        <w:t>false</w:t>
      </w:r>
      <w:r>
        <w:rPr>
          <w:spacing w:val="-8"/>
        </w:rPr>
        <w:t> </w:t>
      </w:r>
      <w:r>
        <w:rPr/>
        <w:t>means,</w:t>
      </w:r>
      <w:r>
        <w:rPr>
          <w:spacing w:val="-6"/>
        </w:rPr>
        <w:t> </w:t>
      </w:r>
      <w:r>
        <w:rPr/>
        <w:t>like coffee,</w:t>
      </w:r>
      <w:r>
        <w:rPr>
          <w:spacing w:val="-6"/>
        </w:rPr>
        <w:t> </w:t>
      </w:r>
      <w:r>
        <w:rPr/>
        <w:t>to</w:t>
      </w:r>
      <w:r>
        <w:rPr>
          <w:spacing w:val="-6"/>
        </w:rPr>
        <w:t> </w:t>
      </w:r>
      <w:r>
        <w:rPr/>
        <w:t>do</w:t>
      </w:r>
      <w:r>
        <w:rPr>
          <w:spacing w:val="-6"/>
        </w:rPr>
        <w:t> </w:t>
      </w:r>
      <w:r>
        <w:rPr/>
        <w:t>something</w:t>
      </w:r>
      <w:r>
        <w:rPr>
          <w:spacing w:val="-5"/>
        </w:rPr>
        <w:t> </w:t>
      </w:r>
      <w:r>
        <w:rPr/>
        <w:t>against</w:t>
      </w:r>
      <w:r>
        <w:rPr>
          <w:spacing w:val="-7"/>
        </w:rPr>
        <w:t> </w:t>
      </w:r>
      <w:r>
        <w:rPr/>
        <w:t>the</w:t>
      </w:r>
      <w:r>
        <w:rPr>
          <w:spacing w:val="-6"/>
        </w:rPr>
        <w:t> </w:t>
      </w:r>
      <w:r>
        <w:rPr/>
        <w:t>tiredness,</w:t>
      </w:r>
      <w:r>
        <w:rPr>
          <w:spacing w:val="-6"/>
        </w:rPr>
        <w:t> </w:t>
      </w:r>
      <w:r>
        <w:rPr/>
        <w:t>or</w:t>
      </w:r>
      <w:r>
        <w:rPr>
          <w:spacing w:val="-8"/>
        </w:rPr>
        <w:t> </w:t>
      </w:r>
      <w:r>
        <w:rPr/>
        <w:t>alcohol</w:t>
      </w:r>
      <w:r>
        <w:rPr>
          <w:spacing w:val="-7"/>
        </w:rPr>
        <w:t> </w:t>
      </w:r>
      <w:r>
        <w:rPr/>
        <w:t>or</w:t>
      </w:r>
      <w:r>
        <w:rPr>
          <w:spacing w:val="-6"/>
        </w:rPr>
        <w:t> </w:t>
      </w:r>
      <w:r>
        <w:rPr/>
        <w:t>sweets</w:t>
      </w:r>
      <w:r>
        <w:rPr>
          <w:spacing w:val="-5"/>
        </w:rPr>
        <w:t> </w:t>
      </w:r>
      <w:r>
        <w:rPr/>
        <w:t>to</w:t>
      </w:r>
      <w:r>
        <w:rPr>
          <w:spacing w:val="-6"/>
        </w:rPr>
        <w:t> </w:t>
      </w:r>
      <w:r>
        <w:rPr/>
        <w:t>numb</w:t>
      </w:r>
      <w:r>
        <w:rPr>
          <w:spacing w:val="-6"/>
        </w:rPr>
        <w:t> </w:t>
      </w:r>
      <w:r>
        <w:rPr/>
        <w:t>us or distract</w:t>
      </w:r>
      <w:r>
        <w:rPr>
          <w:spacing w:val="1"/>
        </w:rPr>
        <w:t> </w:t>
      </w:r>
      <w:r>
        <w:rPr/>
        <w:t>us.</w:t>
      </w:r>
    </w:p>
    <w:p>
      <w:pPr>
        <w:pStyle w:val="BodyText"/>
        <w:spacing w:line="276" w:lineRule="auto" w:before="239"/>
        <w:ind w:left="616" w:right="134"/>
        <w:jc w:val="both"/>
      </w:pPr>
      <w:r>
        <w:rPr/>
        <w:t>These are exactly the foods and stimulants that make the acidification even worse; we become even more stressed, which in turn weakens our immune system and this leads very soon to serious chronic illnesses!</w:t>
      </w:r>
    </w:p>
    <w:p>
      <w:pPr>
        <w:pStyle w:val="BodyText"/>
        <w:spacing w:line="276" w:lineRule="auto" w:before="240"/>
        <w:ind w:left="616" w:right="134"/>
        <w:jc w:val="both"/>
      </w:pPr>
      <w:r>
        <w:rPr/>
        <w:t>Because the papaya is the most base-heavy of all known fruits, it has the po- tential to regulate the acid-base balance (measured as a pH value). Parallel to this,</w:t>
      </w:r>
      <w:r>
        <w:rPr>
          <w:spacing w:val="-7"/>
        </w:rPr>
        <w:t> </w:t>
      </w:r>
      <w:r>
        <w:rPr/>
        <w:t>papaya</w:t>
      </w:r>
      <w:r>
        <w:rPr>
          <w:spacing w:val="-9"/>
        </w:rPr>
        <w:t> </w:t>
      </w:r>
      <w:r>
        <w:rPr/>
        <w:t>provides</w:t>
      </w:r>
      <w:r>
        <w:rPr>
          <w:spacing w:val="-7"/>
        </w:rPr>
        <w:t> </w:t>
      </w:r>
      <w:r>
        <w:rPr/>
        <w:t>us</w:t>
      </w:r>
      <w:r>
        <w:rPr>
          <w:spacing w:val="-8"/>
        </w:rPr>
        <w:t> </w:t>
      </w:r>
      <w:r>
        <w:rPr/>
        <w:t>with</w:t>
      </w:r>
      <w:r>
        <w:rPr>
          <w:spacing w:val="-7"/>
        </w:rPr>
        <w:t> </w:t>
      </w:r>
      <w:r>
        <w:rPr/>
        <w:t>healthy</w:t>
      </w:r>
      <w:r>
        <w:rPr>
          <w:spacing w:val="-8"/>
        </w:rPr>
        <w:t> </w:t>
      </w:r>
      <w:r>
        <w:rPr/>
        <w:t>intestinal</w:t>
      </w:r>
      <w:r>
        <w:rPr>
          <w:spacing w:val="-8"/>
        </w:rPr>
        <w:t> </w:t>
      </w:r>
      <w:r>
        <w:rPr/>
        <w:t>flora</w:t>
      </w:r>
      <w:r>
        <w:rPr>
          <w:spacing w:val="-9"/>
        </w:rPr>
        <w:t> </w:t>
      </w:r>
      <w:r>
        <w:rPr/>
        <w:t>and</w:t>
      </w:r>
      <w:r>
        <w:rPr>
          <w:spacing w:val="-8"/>
        </w:rPr>
        <w:t> </w:t>
      </w:r>
      <w:r>
        <w:rPr/>
        <w:t>activates</w:t>
      </w:r>
      <w:r>
        <w:rPr>
          <w:spacing w:val="-8"/>
        </w:rPr>
        <w:t> </w:t>
      </w:r>
      <w:r>
        <w:rPr/>
        <w:t>our</w:t>
      </w:r>
      <w:r>
        <w:rPr>
          <w:spacing w:val="-8"/>
        </w:rPr>
        <w:t> </w:t>
      </w:r>
      <w:r>
        <w:rPr/>
        <w:t>metabo- lism which ultimately leads to a detoxifying and intestine-purifying effect as well as a feeling of bodily and mental</w:t>
      </w:r>
      <w:r>
        <w:rPr>
          <w:spacing w:val="-4"/>
        </w:rPr>
        <w:t> </w:t>
      </w:r>
      <w:r>
        <w:rPr/>
        <w:t>wellness.</w:t>
      </w:r>
    </w:p>
    <w:p>
      <w:pPr>
        <w:pStyle w:val="BodyText"/>
        <w:spacing w:line="276" w:lineRule="auto" w:before="241"/>
        <w:ind w:left="616" w:right="130"/>
        <w:jc w:val="both"/>
      </w:pPr>
      <w:r>
        <w:rPr/>
        <w:t>Typical</w:t>
      </w:r>
      <w:r>
        <w:rPr>
          <w:spacing w:val="-15"/>
        </w:rPr>
        <w:t> </w:t>
      </w:r>
      <w:r>
        <w:rPr/>
        <w:t>diseases</w:t>
      </w:r>
      <w:r>
        <w:rPr>
          <w:spacing w:val="-13"/>
        </w:rPr>
        <w:t> </w:t>
      </w:r>
      <w:r>
        <w:rPr/>
        <w:t>of</w:t>
      </w:r>
      <w:r>
        <w:rPr>
          <w:spacing w:val="-15"/>
        </w:rPr>
        <w:t> </w:t>
      </w:r>
      <w:r>
        <w:rPr/>
        <w:t>civilisation</w:t>
      </w:r>
      <w:r>
        <w:rPr>
          <w:spacing w:val="-14"/>
        </w:rPr>
        <w:t> </w:t>
      </w:r>
      <w:r>
        <w:rPr/>
        <w:t>which</w:t>
      </w:r>
      <w:r>
        <w:rPr>
          <w:spacing w:val="-13"/>
        </w:rPr>
        <w:t> </w:t>
      </w:r>
      <w:r>
        <w:rPr/>
        <w:t>can</w:t>
      </w:r>
      <w:r>
        <w:rPr>
          <w:spacing w:val="-16"/>
        </w:rPr>
        <w:t> </w:t>
      </w:r>
      <w:r>
        <w:rPr/>
        <w:t>be</w:t>
      </w:r>
      <w:r>
        <w:rPr>
          <w:spacing w:val="-14"/>
        </w:rPr>
        <w:t> </w:t>
      </w:r>
      <w:r>
        <w:rPr/>
        <w:t>ascribed</w:t>
      </w:r>
      <w:r>
        <w:rPr>
          <w:spacing w:val="-14"/>
        </w:rPr>
        <w:t> </w:t>
      </w:r>
      <w:r>
        <w:rPr/>
        <w:t>to</w:t>
      </w:r>
      <w:r>
        <w:rPr>
          <w:spacing w:val="-15"/>
        </w:rPr>
        <w:t> </w:t>
      </w:r>
      <w:r>
        <w:rPr/>
        <w:t>acidification,</w:t>
      </w:r>
      <w:r>
        <w:rPr>
          <w:spacing w:val="-13"/>
        </w:rPr>
        <w:t> </w:t>
      </w:r>
      <w:r>
        <w:rPr/>
        <w:t>e.g.</w:t>
      </w:r>
      <w:r>
        <w:rPr>
          <w:spacing w:val="-16"/>
        </w:rPr>
        <w:t> </w:t>
      </w:r>
      <w:r>
        <w:rPr/>
        <w:t>rheu- matism, atherosclerosis , diabetes or cancer, have their breeding ground re- moved and the organism can begin to gradually</w:t>
      </w:r>
      <w:r>
        <w:rPr>
          <w:spacing w:val="-1"/>
        </w:rPr>
        <w:t> </w:t>
      </w:r>
      <w:r>
        <w:rPr/>
        <w:t>regenerate.</w:t>
      </w:r>
    </w:p>
    <w:p>
      <w:pPr>
        <w:spacing w:after="0" w:line="276" w:lineRule="auto"/>
        <w:jc w:val="both"/>
        <w:sectPr>
          <w:pgSz w:w="14270" w:h="16850"/>
          <w:pgMar w:header="0" w:footer="1891" w:top="1320" w:bottom="2080" w:left="800" w:right="1280"/>
        </w:sectPr>
      </w:pPr>
    </w:p>
    <w:p>
      <w:pPr>
        <w:pStyle w:val="Heading1"/>
        <w:spacing w:before="77"/>
        <w:ind w:left="616"/>
      </w:pPr>
      <w:r>
        <w:rPr/>
        <w:t>Effect of papaya on cardiovascular</w:t>
      </w:r>
      <w:r>
        <w:rPr>
          <w:spacing w:val="-63"/>
        </w:rPr>
        <w:t> </w:t>
      </w:r>
      <w:r>
        <w:rPr/>
        <w:t>diseases</w:t>
      </w:r>
    </w:p>
    <w:p>
      <w:pPr>
        <w:pStyle w:val="BodyText"/>
        <w:spacing w:line="276" w:lineRule="auto" w:before="299"/>
        <w:ind w:left="616" w:right="135"/>
        <w:jc w:val="both"/>
      </w:pPr>
      <w:r>
        <w:rPr/>
        <w:t>According to new research, regularly eating papaya can decrease the risk of atherosclerosis,</w:t>
      </w:r>
      <w:r>
        <w:rPr>
          <w:spacing w:val="-14"/>
        </w:rPr>
        <w:t> </w:t>
      </w:r>
      <w:r>
        <w:rPr/>
        <w:t>heart</w:t>
      </w:r>
      <w:r>
        <w:rPr>
          <w:spacing w:val="-10"/>
        </w:rPr>
        <w:t> </w:t>
      </w:r>
      <w:r>
        <w:rPr/>
        <w:t>attack</w:t>
      </w:r>
      <w:r>
        <w:rPr>
          <w:spacing w:val="-9"/>
        </w:rPr>
        <w:t> </w:t>
      </w:r>
      <w:r>
        <w:rPr/>
        <w:t>and</w:t>
      </w:r>
      <w:r>
        <w:rPr>
          <w:spacing w:val="-12"/>
        </w:rPr>
        <w:t> </w:t>
      </w:r>
      <w:r>
        <w:rPr/>
        <w:t>stroke.</w:t>
      </w:r>
      <w:r>
        <w:rPr>
          <w:spacing w:val="-8"/>
        </w:rPr>
        <w:t> </w:t>
      </w:r>
      <w:r>
        <w:rPr/>
        <w:t>The</w:t>
      </w:r>
      <w:r>
        <w:rPr>
          <w:spacing w:val="-11"/>
        </w:rPr>
        <w:t> </w:t>
      </w:r>
      <w:r>
        <w:rPr/>
        <w:t>ingredients</w:t>
      </w:r>
      <w:r>
        <w:rPr>
          <w:spacing w:val="-9"/>
        </w:rPr>
        <w:t> </w:t>
      </w:r>
      <w:r>
        <w:rPr/>
        <w:t>of</w:t>
      </w:r>
      <w:r>
        <w:rPr>
          <w:spacing w:val="-12"/>
        </w:rPr>
        <w:t> </w:t>
      </w:r>
      <w:r>
        <w:rPr/>
        <w:t>papaya</w:t>
      </w:r>
      <w:r>
        <w:rPr>
          <w:spacing w:val="-10"/>
        </w:rPr>
        <w:t> </w:t>
      </w:r>
      <w:r>
        <w:rPr/>
        <w:t>break</w:t>
      </w:r>
      <w:r>
        <w:rPr>
          <w:spacing w:val="-10"/>
        </w:rPr>
        <w:t> </w:t>
      </w:r>
      <w:r>
        <w:rPr/>
        <w:t>down blood vessel deposits and the alkaloid ‘carpain’, contained in papaya, lowers cholesterol and fat levels in the blood. The blood pressure normalising func- tion of carpain takes the burden off the heart muscle. Papain contributes to the breaking down of fibrin and fibrinogen and the avoidance of blood cell clotting.</w:t>
      </w:r>
    </w:p>
    <w:p>
      <w:pPr>
        <w:pStyle w:val="Heading1"/>
        <w:ind w:left="616"/>
        <w:jc w:val="both"/>
      </w:pPr>
      <w:r>
        <w:rPr/>
        <w:t>Summary of the effect of papaya on cardiovascular diseases</w:t>
      </w:r>
    </w:p>
    <w:p>
      <w:pPr>
        <w:pStyle w:val="ListParagraph"/>
        <w:numPr>
          <w:ilvl w:val="1"/>
          <w:numId w:val="91"/>
        </w:numPr>
        <w:tabs>
          <w:tab w:pos="1337" w:val="left" w:leader="none"/>
        </w:tabs>
        <w:spacing w:line="240" w:lineRule="auto" w:before="256" w:after="0"/>
        <w:ind w:left="1336" w:right="0" w:hanging="360"/>
        <w:jc w:val="left"/>
        <w:rPr>
          <w:sz w:val="38"/>
        </w:rPr>
      </w:pPr>
      <w:r>
        <w:rPr>
          <w:sz w:val="38"/>
        </w:rPr>
        <w:t>Papaya counteracts</w:t>
      </w:r>
      <w:r>
        <w:rPr>
          <w:spacing w:val="1"/>
          <w:sz w:val="38"/>
        </w:rPr>
        <w:t> </w:t>
      </w:r>
      <w:r>
        <w:rPr>
          <w:sz w:val="38"/>
        </w:rPr>
        <w:t>atherosclerosis,</w:t>
      </w:r>
    </w:p>
    <w:p>
      <w:pPr>
        <w:pStyle w:val="ListParagraph"/>
        <w:numPr>
          <w:ilvl w:val="1"/>
          <w:numId w:val="91"/>
        </w:numPr>
        <w:tabs>
          <w:tab w:pos="1337" w:val="left" w:leader="none"/>
        </w:tabs>
        <w:spacing w:line="240" w:lineRule="auto" w:before="186" w:after="0"/>
        <w:ind w:left="1336" w:right="0" w:hanging="360"/>
        <w:jc w:val="left"/>
        <w:rPr>
          <w:sz w:val="38"/>
        </w:rPr>
      </w:pPr>
      <w:r>
        <w:rPr>
          <w:sz w:val="38"/>
        </w:rPr>
        <w:t>it lowers cholesterol and fat levels in the</w:t>
      </w:r>
      <w:r>
        <w:rPr>
          <w:spacing w:val="-3"/>
          <w:sz w:val="38"/>
        </w:rPr>
        <w:t> </w:t>
      </w:r>
      <w:r>
        <w:rPr>
          <w:sz w:val="38"/>
        </w:rPr>
        <w:t>blood,</w:t>
      </w:r>
    </w:p>
    <w:p>
      <w:pPr>
        <w:pStyle w:val="ListParagraph"/>
        <w:numPr>
          <w:ilvl w:val="1"/>
          <w:numId w:val="91"/>
        </w:numPr>
        <w:tabs>
          <w:tab w:pos="1337" w:val="left" w:leader="none"/>
        </w:tabs>
        <w:spacing w:line="240" w:lineRule="auto" w:before="182" w:after="0"/>
        <w:ind w:left="1336" w:right="0" w:hanging="360"/>
        <w:jc w:val="left"/>
        <w:rPr>
          <w:sz w:val="38"/>
        </w:rPr>
      </w:pPr>
      <w:r>
        <w:rPr>
          <w:sz w:val="38"/>
        </w:rPr>
        <w:t>normalises blood pressure</w:t>
      </w:r>
      <w:r>
        <w:rPr>
          <w:spacing w:val="2"/>
          <w:sz w:val="38"/>
        </w:rPr>
        <w:t> </w:t>
      </w:r>
      <w:r>
        <w:rPr>
          <w:sz w:val="38"/>
        </w:rPr>
        <w:t>and</w:t>
      </w:r>
    </w:p>
    <w:p>
      <w:pPr>
        <w:pStyle w:val="ListParagraph"/>
        <w:numPr>
          <w:ilvl w:val="1"/>
          <w:numId w:val="91"/>
        </w:numPr>
        <w:tabs>
          <w:tab w:pos="1337" w:val="left" w:leader="none"/>
        </w:tabs>
        <w:spacing w:line="240" w:lineRule="auto" w:before="186" w:after="0"/>
        <w:ind w:left="1336" w:right="0" w:hanging="360"/>
        <w:jc w:val="left"/>
        <w:rPr>
          <w:sz w:val="38"/>
        </w:rPr>
      </w:pPr>
      <w:r>
        <w:rPr>
          <w:sz w:val="38"/>
        </w:rPr>
        <w:t>counteracts blood clotting.</w:t>
      </w:r>
    </w:p>
    <w:p>
      <w:pPr>
        <w:spacing w:after="0" w:line="240" w:lineRule="auto"/>
        <w:jc w:val="left"/>
        <w:rPr>
          <w:sz w:val="38"/>
        </w:rPr>
        <w:sectPr>
          <w:pgSz w:w="14270" w:h="16850"/>
          <w:pgMar w:header="0" w:footer="1891" w:top="1320" w:bottom="2080" w:left="800" w:right="1280"/>
        </w:sectPr>
      </w:pPr>
    </w:p>
    <w:p>
      <w:pPr>
        <w:pStyle w:val="Heading1"/>
        <w:spacing w:before="77"/>
        <w:ind w:left="616"/>
      </w:pPr>
      <w:r>
        <w:rPr/>
        <w:t>Effect/application of papaya against high blood pressure</w:t>
      </w:r>
    </w:p>
    <w:p>
      <w:pPr>
        <w:pStyle w:val="BodyText"/>
        <w:spacing w:line="276" w:lineRule="auto" w:before="299"/>
        <w:ind w:left="616" w:right="136"/>
        <w:jc w:val="both"/>
      </w:pPr>
      <w:r>
        <w:rPr/>
        <w:t>The blood pressure lowering effect of papaya should primarily be ascribed to its blood-thinning properties. Particularly suited to this purpose is the juice of an unripe papaya fruit which one should drink in the morning and evening.</w:t>
      </w:r>
    </w:p>
    <w:p>
      <w:pPr>
        <w:pStyle w:val="Heading1"/>
        <w:spacing w:before="222"/>
        <w:ind w:left="616"/>
      </w:pPr>
      <w:r>
        <w:rPr/>
        <w:t>Effect of papaya on AIDS</w:t>
      </w:r>
    </w:p>
    <w:p>
      <w:pPr>
        <w:pStyle w:val="BodyText"/>
        <w:spacing w:line="276" w:lineRule="auto" w:before="299"/>
        <w:ind w:left="616" w:right="132"/>
        <w:jc w:val="both"/>
      </w:pPr>
      <w:r>
        <w:rPr/>
        <w:t>The new ray of hope on the distant horizon in the struggle against AIDS is enzyme therapy. In the USA, Australia and Costa Rica, Anthony J. Cichoke had notable success with enzyme therapy for AIDS patients and described these successes with the title New Hope for AIDS. Papain and other</w:t>
      </w:r>
      <w:r>
        <w:rPr>
          <w:spacing w:val="-45"/>
        </w:rPr>
        <w:t> </w:t>
      </w:r>
      <w:r>
        <w:rPr/>
        <w:t>enzymes in</w:t>
      </w:r>
      <w:r>
        <w:rPr>
          <w:spacing w:val="-15"/>
        </w:rPr>
        <w:t> </w:t>
      </w:r>
      <w:r>
        <w:rPr/>
        <w:t>papaya</w:t>
      </w:r>
      <w:r>
        <w:rPr>
          <w:spacing w:val="-16"/>
        </w:rPr>
        <w:t> </w:t>
      </w:r>
      <w:r>
        <w:rPr/>
        <w:t>belong</w:t>
      </w:r>
      <w:r>
        <w:rPr>
          <w:spacing w:val="-16"/>
        </w:rPr>
        <w:t> </w:t>
      </w:r>
      <w:r>
        <w:rPr/>
        <w:t>to</w:t>
      </w:r>
      <w:r>
        <w:rPr>
          <w:spacing w:val="-17"/>
        </w:rPr>
        <w:t> </w:t>
      </w:r>
      <w:r>
        <w:rPr/>
        <w:t>the</w:t>
      </w:r>
      <w:r>
        <w:rPr>
          <w:spacing w:val="-13"/>
        </w:rPr>
        <w:t> </w:t>
      </w:r>
      <w:r>
        <w:rPr/>
        <w:t>category</w:t>
      </w:r>
      <w:r>
        <w:rPr>
          <w:spacing w:val="-19"/>
        </w:rPr>
        <w:t> </w:t>
      </w:r>
      <w:r>
        <w:rPr/>
        <w:t>of</w:t>
      </w:r>
      <w:r>
        <w:rPr>
          <w:spacing w:val="-14"/>
        </w:rPr>
        <w:t> </w:t>
      </w:r>
      <w:r>
        <w:rPr/>
        <w:t>proteolytic</w:t>
      </w:r>
      <w:r>
        <w:rPr>
          <w:spacing w:val="-16"/>
        </w:rPr>
        <w:t> </w:t>
      </w:r>
      <w:r>
        <w:rPr/>
        <w:t>enzymes,</w:t>
      </w:r>
      <w:r>
        <w:rPr>
          <w:spacing w:val="-16"/>
        </w:rPr>
        <w:t> </w:t>
      </w:r>
      <w:r>
        <w:rPr/>
        <w:t>which</w:t>
      </w:r>
      <w:r>
        <w:rPr>
          <w:spacing w:val="-13"/>
        </w:rPr>
        <w:t> </w:t>
      </w:r>
      <w:r>
        <w:rPr/>
        <w:t>have</w:t>
      </w:r>
      <w:r>
        <w:rPr>
          <w:spacing w:val="-15"/>
        </w:rPr>
        <w:t> </w:t>
      </w:r>
      <w:r>
        <w:rPr/>
        <w:t>the</w:t>
      </w:r>
      <w:r>
        <w:rPr>
          <w:spacing w:val="-13"/>
        </w:rPr>
        <w:t> </w:t>
      </w:r>
      <w:r>
        <w:rPr/>
        <w:t>ability to return immune complexes to the blood circulation and to dissolve them, which can lead to a cessation of symptoms and the standstill of the disease AIDS.</w:t>
      </w:r>
    </w:p>
    <w:p>
      <w:pPr>
        <w:pStyle w:val="Heading1"/>
        <w:ind w:left="616"/>
      </w:pPr>
      <w:r>
        <w:rPr/>
        <w:t>Effect of papaya on pancreas</w:t>
      </w:r>
      <w:r>
        <w:rPr>
          <w:spacing w:val="-53"/>
        </w:rPr>
        <w:t> </w:t>
      </w:r>
      <w:r>
        <w:rPr/>
        <w:t>problems</w:t>
      </w:r>
    </w:p>
    <w:p>
      <w:pPr>
        <w:pStyle w:val="BodyText"/>
        <w:spacing w:line="276" w:lineRule="auto" w:before="300"/>
        <w:ind w:left="616" w:right="136"/>
        <w:jc w:val="both"/>
      </w:pPr>
      <w:r>
        <w:rPr/>
        <w:t>As mentioned above, the enzymes of the papaya are in a position to split pro- teins. Papain and other enzymes in the papaya fruit can relieve the pancreas and quickly end the typical feeling of fullness.</w:t>
      </w:r>
    </w:p>
    <w:p>
      <w:pPr>
        <w:spacing w:after="0" w:line="276" w:lineRule="auto"/>
        <w:jc w:val="both"/>
        <w:sectPr>
          <w:pgSz w:w="14270" w:h="16850"/>
          <w:pgMar w:header="0" w:footer="1891" w:top="1320" w:bottom="2080" w:left="800" w:right="1280"/>
        </w:sectPr>
      </w:pPr>
    </w:p>
    <w:p>
      <w:pPr>
        <w:pStyle w:val="Heading1"/>
        <w:spacing w:before="77"/>
        <w:ind w:left="616"/>
      </w:pPr>
      <w:r>
        <w:rPr/>
        <w:t>Effect of papaya on libido problems and impotence</w:t>
      </w:r>
    </w:p>
    <w:p>
      <w:pPr>
        <w:pStyle w:val="BodyText"/>
        <w:spacing w:line="276" w:lineRule="auto" w:before="299"/>
        <w:ind w:left="616" w:right="137"/>
        <w:jc w:val="both"/>
      </w:pPr>
      <w:r>
        <w:rPr/>
        <w:t>Because papaya stimulates all glands, and thus also the sexual glands, it was truly destined to strengthen our libido and to revitalise our sex lives. Support- ing this is the circulation-enhancing effect of papaya on all organs, and thus also the sexual organs.</w:t>
      </w:r>
    </w:p>
    <w:p>
      <w:pPr>
        <w:pStyle w:val="Heading1"/>
        <w:spacing w:before="222"/>
        <w:ind w:left="616"/>
      </w:pPr>
      <w:r>
        <w:rPr/>
        <w:t>Effect of papaya on fungal infection (mycoses)</w:t>
      </w:r>
    </w:p>
    <w:p>
      <w:pPr>
        <w:pStyle w:val="BodyText"/>
        <w:spacing w:line="276" w:lineRule="auto" w:before="300"/>
        <w:ind w:left="616"/>
      </w:pPr>
      <w:r>
        <w:rPr/>
        <w:t>It has been shown that papaya supports a balanced acid-base balance and therefore removes the breeding ground for fungi in the intestines.</w:t>
      </w:r>
    </w:p>
    <w:p>
      <w:pPr>
        <w:pStyle w:val="Heading1"/>
        <w:spacing w:before="223"/>
        <w:ind w:left="616"/>
      </w:pPr>
      <w:r>
        <w:rPr/>
        <w:t>Effect on sexually transmitted diseases</w:t>
      </w:r>
    </w:p>
    <w:p>
      <w:pPr>
        <w:pStyle w:val="BodyText"/>
        <w:spacing w:line="278" w:lineRule="auto" w:before="297"/>
        <w:ind w:left="616"/>
      </w:pPr>
      <w:r>
        <w:rPr/>
        <w:t>As</w:t>
      </w:r>
      <w:r>
        <w:rPr>
          <w:spacing w:val="-22"/>
        </w:rPr>
        <w:t> </w:t>
      </w:r>
      <w:r>
        <w:rPr/>
        <w:t>proven</w:t>
      </w:r>
      <w:r>
        <w:rPr>
          <w:spacing w:val="-22"/>
        </w:rPr>
        <w:t> </w:t>
      </w:r>
      <w:r>
        <w:rPr/>
        <w:t>virus</w:t>
      </w:r>
      <w:r>
        <w:rPr>
          <w:spacing w:val="-24"/>
        </w:rPr>
        <w:t> </w:t>
      </w:r>
      <w:r>
        <w:rPr/>
        <w:t>killers,</w:t>
      </w:r>
      <w:r>
        <w:rPr>
          <w:spacing w:val="-21"/>
        </w:rPr>
        <w:t> </w:t>
      </w:r>
      <w:r>
        <w:rPr/>
        <w:t>the</w:t>
      </w:r>
      <w:r>
        <w:rPr>
          <w:spacing w:val="-23"/>
        </w:rPr>
        <w:t> </w:t>
      </w:r>
      <w:r>
        <w:rPr/>
        <w:t>enzymes</w:t>
      </w:r>
      <w:r>
        <w:rPr>
          <w:spacing w:val="-20"/>
        </w:rPr>
        <w:t> </w:t>
      </w:r>
      <w:r>
        <w:rPr/>
        <w:t>of</w:t>
      </w:r>
      <w:r>
        <w:rPr>
          <w:spacing w:val="-23"/>
        </w:rPr>
        <w:t> </w:t>
      </w:r>
      <w:r>
        <w:rPr/>
        <w:t>the</w:t>
      </w:r>
      <w:r>
        <w:rPr>
          <w:spacing w:val="-23"/>
        </w:rPr>
        <w:t> </w:t>
      </w:r>
      <w:r>
        <w:rPr/>
        <w:t>papaya</w:t>
      </w:r>
      <w:r>
        <w:rPr>
          <w:spacing w:val="-23"/>
        </w:rPr>
        <w:t> </w:t>
      </w:r>
      <w:r>
        <w:rPr/>
        <w:t>fruit,</w:t>
      </w:r>
      <w:r>
        <w:rPr>
          <w:spacing w:val="-21"/>
        </w:rPr>
        <w:t> </w:t>
      </w:r>
      <w:r>
        <w:rPr/>
        <w:t>especially</w:t>
      </w:r>
      <w:r>
        <w:rPr>
          <w:spacing w:val="-22"/>
        </w:rPr>
        <w:t> </w:t>
      </w:r>
      <w:r>
        <w:rPr/>
        <w:t>papain,</w:t>
      </w:r>
      <w:r>
        <w:rPr>
          <w:spacing w:val="-23"/>
        </w:rPr>
        <w:t> </w:t>
      </w:r>
      <w:r>
        <w:rPr/>
        <w:t>work effectively against all forms of sexually transmitted</w:t>
      </w:r>
      <w:r>
        <w:rPr>
          <w:spacing w:val="-6"/>
        </w:rPr>
        <w:t> </w:t>
      </w:r>
      <w:r>
        <w:rPr/>
        <w:t>disease.</w:t>
      </w:r>
    </w:p>
    <w:p>
      <w:pPr>
        <w:pStyle w:val="Heading1"/>
        <w:spacing w:before="215"/>
        <w:ind w:left="616"/>
      </w:pPr>
      <w:r>
        <w:rPr/>
        <w:t>Effect of papaya on tuberculosis</w:t>
      </w:r>
    </w:p>
    <w:p>
      <w:pPr>
        <w:pStyle w:val="BodyText"/>
        <w:spacing w:line="276" w:lineRule="auto" w:before="300"/>
        <w:ind w:left="616" w:right="139"/>
        <w:jc w:val="both"/>
      </w:pPr>
      <w:r>
        <w:rPr/>
        <w:t>In the case of tuberculosis, the enzyme ‘carpain’ is the most significant, as it has</w:t>
      </w:r>
      <w:r>
        <w:rPr>
          <w:spacing w:val="-6"/>
        </w:rPr>
        <w:t> </w:t>
      </w:r>
      <w:r>
        <w:rPr/>
        <w:t>traditionally</w:t>
      </w:r>
      <w:r>
        <w:rPr>
          <w:spacing w:val="-4"/>
        </w:rPr>
        <w:t> </w:t>
      </w:r>
      <w:r>
        <w:rPr/>
        <w:t>been</w:t>
      </w:r>
      <w:r>
        <w:rPr>
          <w:spacing w:val="-7"/>
        </w:rPr>
        <w:t> </w:t>
      </w:r>
      <w:r>
        <w:rPr/>
        <w:t>used</w:t>
      </w:r>
      <w:r>
        <w:rPr>
          <w:spacing w:val="-6"/>
        </w:rPr>
        <w:t> </w:t>
      </w:r>
      <w:r>
        <w:rPr/>
        <w:t>to</w:t>
      </w:r>
      <w:r>
        <w:rPr>
          <w:spacing w:val="-7"/>
        </w:rPr>
        <w:t> </w:t>
      </w:r>
      <w:r>
        <w:rPr/>
        <w:t>treat</w:t>
      </w:r>
      <w:r>
        <w:rPr>
          <w:spacing w:val="-7"/>
        </w:rPr>
        <w:t> </w:t>
      </w:r>
      <w:r>
        <w:rPr/>
        <w:t>tuberculosis</w:t>
      </w:r>
      <w:r>
        <w:rPr>
          <w:spacing w:val="-6"/>
        </w:rPr>
        <w:t> </w:t>
      </w:r>
      <w:r>
        <w:rPr/>
        <w:t>on</w:t>
      </w:r>
      <w:r>
        <w:rPr>
          <w:spacing w:val="-8"/>
        </w:rPr>
        <w:t> </w:t>
      </w:r>
      <w:r>
        <w:rPr/>
        <w:t>the</w:t>
      </w:r>
      <w:r>
        <w:rPr>
          <w:spacing w:val="-4"/>
        </w:rPr>
        <w:t> </w:t>
      </w:r>
      <w:r>
        <w:rPr/>
        <w:t>basis</w:t>
      </w:r>
      <w:r>
        <w:rPr>
          <w:spacing w:val="-8"/>
        </w:rPr>
        <w:t> </w:t>
      </w:r>
      <w:r>
        <w:rPr/>
        <w:t>of</w:t>
      </w:r>
      <w:r>
        <w:rPr>
          <w:spacing w:val="-7"/>
        </w:rPr>
        <w:t> </w:t>
      </w:r>
      <w:r>
        <w:rPr/>
        <w:t>its</w:t>
      </w:r>
      <w:r>
        <w:rPr>
          <w:spacing w:val="-10"/>
        </w:rPr>
        <w:t> </w:t>
      </w:r>
      <w:r>
        <w:rPr/>
        <w:t>antibacterial effects. Carpain can be found in the green papaya as well as in the</w:t>
      </w:r>
      <w:r>
        <w:rPr>
          <w:spacing w:val="-14"/>
        </w:rPr>
        <w:t> </w:t>
      </w:r>
      <w:r>
        <w:rPr/>
        <w:t>leaves.</w:t>
      </w:r>
    </w:p>
    <w:p>
      <w:pPr>
        <w:pStyle w:val="BodyText"/>
        <w:rPr>
          <w:sz w:val="42"/>
        </w:rPr>
      </w:pPr>
    </w:p>
    <w:p>
      <w:pPr>
        <w:pStyle w:val="BodyText"/>
        <w:rPr>
          <w:sz w:val="42"/>
        </w:rPr>
      </w:pPr>
    </w:p>
    <w:p>
      <w:pPr>
        <w:pStyle w:val="BodyText"/>
        <w:rPr>
          <w:sz w:val="42"/>
        </w:rPr>
      </w:pPr>
    </w:p>
    <w:p>
      <w:pPr>
        <w:pStyle w:val="BodyText"/>
        <w:rPr>
          <w:sz w:val="42"/>
        </w:rPr>
      </w:pPr>
    </w:p>
    <w:p>
      <w:pPr>
        <w:pStyle w:val="BodyText"/>
        <w:spacing w:before="10"/>
        <w:rPr>
          <w:sz w:val="46"/>
        </w:rPr>
      </w:pPr>
    </w:p>
    <w:p>
      <w:pPr>
        <w:pStyle w:val="Heading1"/>
        <w:spacing w:before="0"/>
        <w:ind w:left="616"/>
        <w:jc w:val="both"/>
      </w:pPr>
      <w:r>
        <w:rPr/>
        <w:t>Effect and use on asthma</w:t>
      </w:r>
    </w:p>
    <w:p>
      <w:pPr>
        <w:spacing w:after="0"/>
        <w:jc w:val="both"/>
        <w:sectPr>
          <w:pgSz w:w="14270" w:h="16850"/>
          <w:pgMar w:header="0" w:footer="1891" w:top="1320" w:bottom="2080" w:left="800" w:right="1280"/>
        </w:sectPr>
      </w:pPr>
    </w:p>
    <w:p>
      <w:pPr>
        <w:pStyle w:val="BodyText"/>
        <w:spacing w:line="276" w:lineRule="auto" w:before="74"/>
        <w:ind w:left="616" w:right="134"/>
        <w:jc w:val="both"/>
      </w:pPr>
      <w:r>
        <w:rPr/>
        <w:t>Papaya</w:t>
      </w:r>
      <w:r>
        <w:rPr>
          <w:spacing w:val="-15"/>
        </w:rPr>
        <w:t> </w:t>
      </w:r>
      <w:r>
        <w:rPr/>
        <w:t>is</w:t>
      </w:r>
      <w:r>
        <w:rPr>
          <w:spacing w:val="-14"/>
        </w:rPr>
        <w:t> </w:t>
      </w:r>
      <w:r>
        <w:rPr/>
        <w:t>a</w:t>
      </w:r>
      <w:r>
        <w:rPr>
          <w:spacing w:val="-13"/>
        </w:rPr>
        <w:t> </w:t>
      </w:r>
      <w:r>
        <w:rPr/>
        <w:t>well-proven</w:t>
      </w:r>
      <w:r>
        <w:rPr>
          <w:spacing w:val="-13"/>
        </w:rPr>
        <w:t> </w:t>
      </w:r>
      <w:r>
        <w:rPr/>
        <w:t>remedy</w:t>
      </w:r>
      <w:r>
        <w:rPr>
          <w:spacing w:val="-14"/>
        </w:rPr>
        <w:t> </w:t>
      </w:r>
      <w:r>
        <w:rPr/>
        <w:t>for</w:t>
      </w:r>
      <w:r>
        <w:rPr>
          <w:spacing w:val="-13"/>
        </w:rPr>
        <w:t> </w:t>
      </w:r>
      <w:r>
        <w:rPr/>
        <w:t>asthma</w:t>
      </w:r>
      <w:r>
        <w:rPr>
          <w:spacing w:val="-10"/>
        </w:rPr>
        <w:t> </w:t>
      </w:r>
      <w:r>
        <w:rPr/>
        <w:t>For</w:t>
      </w:r>
      <w:r>
        <w:rPr>
          <w:spacing w:val="-13"/>
        </w:rPr>
        <w:t> </w:t>
      </w:r>
      <w:r>
        <w:rPr/>
        <w:t>this</w:t>
      </w:r>
      <w:r>
        <w:rPr>
          <w:spacing w:val="-14"/>
        </w:rPr>
        <w:t> </w:t>
      </w:r>
      <w:r>
        <w:rPr/>
        <w:t>purpose,</w:t>
      </w:r>
      <w:r>
        <w:rPr>
          <w:spacing w:val="-13"/>
        </w:rPr>
        <w:t> </w:t>
      </w:r>
      <w:r>
        <w:rPr/>
        <w:t>the</w:t>
      </w:r>
      <w:r>
        <w:rPr>
          <w:spacing w:val="-15"/>
        </w:rPr>
        <w:t> </w:t>
      </w:r>
      <w:r>
        <w:rPr/>
        <w:t>papaya</w:t>
      </w:r>
      <w:r>
        <w:rPr>
          <w:spacing w:val="-15"/>
        </w:rPr>
        <w:t> </w:t>
      </w:r>
      <w:r>
        <w:rPr/>
        <w:t>leaves are</w:t>
      </w:r>
      <w:r>
        <w:rPr>
          <w:spacing w:val="-7"/>
        </w:rPr>
        <w:t> </w:t>
      </w:r>
      <w:r>
        <w:rPr/>
        <w:t>boiled</w:t>
      </w:r>
      <w:r>
        <w:rPr>
          <w:spacing w:val="-7"/>
        </w:rPr>
        <w:t> </w:t>
      </w:r>
      <w:r>
        <w:rPr/>
        <w:t>in</w:t>
      </w:r>
      <w:r>
        <w:rPr>
          <w:spacing w:val="-6"/>
        </w:rPr>
        <w:t> </w:t>
      </w:r>
      <w:r>
        <w:rPr/>
        <w:t>0.5</w:t>
      </w:r>
      <w:r>
        <w:rPr>
          <w:spacing w:val="-4"/>
        </w:rPr>
        <w:t> </w:t>
      </w:r>
      <w:r>
        <w:rPr/>
        <w:t>L</w:t>
      </w:r>
      <w:r>
        <w:rPr>
          <w:spacing w:val="-8"/>
        </w:rPr>
        <w:t> </w:t>
      </w:r>
      <w:r>
        <w:rPr/>
        <w:t>of</w:t>
      </w:r>
      <w:r>
        <w:rPr>
          <w:spacing w:val="-6"/>
        </w:rPr>
        <w:t> </w:t>
      </w:r>
      <w:r>
        <w:rPr/>
        <w:t>water</w:t>
      </w:r>
      <w:r>
        <w:rPr>
          <w:spacing w:val="-7"/>
        </w:rPr>
        <w:t> </w:t>
      </w:r>
      <w:r>
        <w:rPr/>
        <w:t>and</w:t>
      </w:r>
      <w:r>
        <w:rPr>
          <w:spacing w:val="-6"/>
        </w:rPr>
        <w:t> </w:t>
      </w:r>
      <w:r>
        <w:rPr/>
        <w:t>then</w:t>
      </w:r>
      <w:r>
        <w:rPr>
          <w:spacing w:val="-6"/>
        </w:rPr>
        <w:t> </w:t>
      </w:r>
      <w:r>
        <w:rPr/>
        <w:t>strained.</w:t>
      </w:r>
      <w:r>
        <w:rPr>
          <w:spacing w:val="-6"/>
        </w:rPr>
        <w:t> </w:t>
      </w:r>
      <w:r>
        <w:rPr/>
        <w:t>The</w:t>
      </w:r>
      <w:r>
        <w:rPr>
          <w:spacing w:val="-5"/>
        </w:rPr>
        <w:t> </w:t>
      </w:r>
      <w:r>
        <w:rPr/>
        <w:t>decoction</w:t>
      </w:r>
      <w:r>
        <w:rPr>
          <w:spacing w:val="-5"/>
        </w:rPr>
        <w:t> </w:t>
      </w:r>
      <w:r>
        <w:rPr/>
        <w:t>of</w:t>
      </w:r>
      <w:r>
        <w:rPr>
          <w:spacing w:val="-7"/>
        </w:rPr>
        <w:t> </w:t>
      </w:r>
      <w:r>
        <w:rPr/>
        <w:t>this</w:t>
      </w:r>
      <w:r>
        <w:rPr>
          <w:spacing w:val="-5"/>
        </w:rPr>
        <w:t> </w:t>
      </w:r>
      <w:r>
        <w:rPr/>
        <w:t>process</w:t>
      </w:r>
      <w:r>
        <w:rPr>
          <w:spacing w:val="-4"/>
        </w:rPr>
        <w:t> </w:t>
      </w:r>
      <w:r>
        <w:rPr/>
        <w:t>is drunk warm twice daily, once in the morning and once in the evening. Alter- natively, or as a supplement to this, one can also eat the ripe flesh of the fruit together with the skin and seeds on an empty</w:t>
      </w:r>
      <w:r>
        <w:rPr>
          <w:spacing w:val="-3"/>
        </w:rPr>
        <w:t> </w:t>
      </w:r>
      <w:r>
        <w:rPr/>
        <w:t>stomach.</w:t>
      </w:r>
    </w:p>
    <w:p>
      <w:pPr>
        <w:pStyle w:val="Heading1"/>
        <w:spacing w:before="222"/>
        <w:ind w:left="616"/>
      </w:pPr>
      <w:r>
        <w:rPr/>
        <w:t>Effect and use of papaya with</w:t>
      </w:r>
      <w:r>
        <w:rPr>
          <w:spacing w:val="-63"/>
        </w:rPr>
        <w:t> </w:t>
      </w:r>
      <w:r>
        <w:rPr/>
        <w:t>bronchitis</w:t>
      </w:r>
    </w:p>
    <w:p>
      <w:pPr>
        <w:pStyle w:val="BodyText"/>
        <w:spacing w:line="276" w:lineRule="auto" w:before="300"/>
        <w:ind w:left="616" w:right="132"/>
        <w:jc w:val="both"/>
      </w:pPr>
      <w:r>
        <w:rPr/>
        <w:t>Boil</w:t>
      </w:r>
      <w:r>
        <w:rPr>
          <w:spacing w:val="-13"/>
        </w:rPr>
        <w:t> </w:t>
      </w:r>
      <w:r>
        <w:rPr/>
        <w:t>the</w:t>
      </w:r>
      <w:r>
        <w:rPr>
          <w:spacing w:val="-12"/>
        </w:rPr>
        <w:t> </w:t>
      </w:r>
      <w:r>
        <w:rPr/>
        <w:t>papaya</w:t>
      </w:r>
      <w:r>
        <w:rPr>
          <w:spacing w:val="-13"/>
        </w:rPr>
        <w:t> </w:t>
      </w:r>
      <w:r>
        <w:rPr/>
        <w:t>leaves</w:t>
      </w:r>
      <w:r>
        <w:rPr>
          <w:spacing w:val="-13"/>
        </w:rPr>
        <w:t> </w:t>
      </w:r>
      <w:r>
        <w:rPr/>
        <w:t>in</w:t>
      </w:r>
      <w:r>
        <w:rPr>
          <w:spacing w:val="-13"/>
        </w:rPr>
        <w:t> </w:t>
      </w:r>
      <w:r>
        <w:rPr/>
        <w:t>0.5</w:t>
      </w:r>
      <w:r>
        <w:rPr>
          <w:spacing w:val="-12"/>
        </w:rPr>
        <w:t> </w:t>
      </w:r>
      <w:r>
        <w:rPr/>
        <w:t>L</w:t>
      </w:r>
      <w:r>
        <w:rPr>
          <w:spacing w:val="-14"/>
        </w:rPr>
        <w:t> </w:t>
      </w:r>
      <w:r>
        <w:rPr/>
        <w:t>of</w:t>
      </w:r>
      <w:r>
        <w:rPr>
          <w:spacing w:val="-13"/>
        </w:rPr>
        <w:t> </w:t>
      </w:r>
      <w:r>
        <w:rPr/>
        <w:t>water</w:t>
      </w:r>
      <w:r>
        <w:rPr>
          <w:spacing w:val="-11"/>
        </w:rPr>
        <w:t> </w:t>
      </w:r>
      <w:r>
        <w:rPr/>
        <w:t>and</w:t>
      </w:r>
      <w:r>
        <w:rPr>
          <w:spacing w:val="-13"/>
        </w:rPr>
        <w:t> </w:t>
      </w:r>
      <w:r>
        <w:rPr/>
        <w:t>then</w:t>
      </w:r>
      <w:r>
        <w:rPr>
          <w:spacing w:val="-12"/>
        </w:rPr>
        <w:t> </w:t>
      </w:r>
      <w:r>
        <w:rPr/>
        <w:t>strain</w:t>
      </w:r>
      <w:r>
        <w:rPr>
          <w:spacing w:val="-12"/>
        </w:rPr>
        <w:t> </w:t>
      </w:r>
      <w:r>
        <w:rPr/>
        <w:t>them.</w:t>
      </w:r>
      <w:r>
        <w:rPr>
          <w:spacing w:val="-12"/>
        </w:rPr>
        <w:t> </w:t>
      </w:r>
      <w:r>
        <w:rPr/>
        <w:t>Drink</w:t>
      </w:r>
      <w:r>
        <w:rPr>
          <w:spacing w:val="-13"/>
        </w:rPr>
        <w:t> </w:t>
      </w:r>
      <w:r>
        <w:rPr/>
        <w:t>the</w:t>
      </w:r>
      <w:r>
        <w:rPr>
          <w:spacing w:val="-11"/>
        </w:rPr>
        <w:t> </w:t>
      </w:r>
      <w:r>
        <w:rPr/>
        <w:t>decoc- tion twice per</w:t>
      </w:r>
      <w:r>
        <w:rPr>
          <w:spacing w:val="1"/>
        </w:rPr>
        <w:t> </w:t>
      </w:r>
      <w:r>
        <w:rPr/>
        <w:t>day.</w:t>
      </w:r>
    </w:p>
    <w:p>
      <w:pPr>
        <w:pStyle w:val="Heading1"/>
        <w:ind w:left="616"/>
      </w:pPr>
      <w:r>
        <w:rPr/>
        <w:t>Effect and use on acne</w:t>
      </w:r>
    </w:p>
    <w:p>
      <w:pPr>
        <w:pStyle w:val="BodyText"/>
        <w:spacing w:line="276" w:lineRule="auto" w:before="297"/>
        <w:ind w:left="616" w:right="139"/>
        <w:jc w:val="both"/>
      </w:pPr>
      <w:r>
        <w:rPr/>
        <w:t>The purifying, antibacterial effect of papaya is also demonstrated in the treat- ment of acne (pimples). The fleshy side of the papaya skin is laid on the part of the skin to be treated.</w:t>
      </w:r>
    </w:p>
    <w:p>
      <w:pPr>
        <w:pStyle w:val="Heading1"/>
        <w:ind w:left="616"/>
      </w:pPr>
      <w:r>
        <w:rPr/>
        <w:t>Effect and use of papaya on athlete’s foot</w:t>
      </w:r>
    </w:p>
    <w:p>
      <w:pPr>
        <w:pStyle w:val="BodyText"/>
        <w:spacing w:line="276" w:lineRule="auto" w:before="299"/>
        <w:ind w:left="616" w:right="139"/>
        <w:jc w:val="both"/>
      </w:pPr>
      <w:r>
        <w:rPr/>
        <w:t>The antifungal effect of the papaya fruit does not lose its influence with ath- lete’s foot, either. For this condition we recommend foot baths with papaya vinegar. Afterwards, rub papaya oil on the affected area.</w:t>
      </w:r>
    </w:p>
    <w:p>
      <w:pPr>
        <w:spacing w:after="0" w:line="276" w:lineRule="auto"/>
        <w:jc w:val="both"/>
        <w:sectPr>
          <w:footerReference w:type="default" r:id="rId287"/>
          <w:pgSz w:w="14270" w:h="16850"/>
          <w:pgMar w:footer="1891" w:header="0" w:top="1340" w:bottom="2080" w:left="800" w:right="1280"/>
          <w:pgNumType w:start="1210"/>
        </w:sectPr>
      </w:pPr>
    </w:p>
    <w:p>
      <w:pPr>
        <w:pStyle w:val="Heading1"/>
        <w:spacing w:before="77"/>
        <w:ind w:left="616"/>
      </w:pPr>
      <w:r>
        <w:rPr/>
        <w:t>Effect and use on digestion</w:t>
      </w:r>
      <w:r>
        <w:rPr>
          <w:spacing w:val="-51"/>
        </w:rPr>
        <w:t> </w:t>
      </w:r>
      <w:r>
        <w:rPr/>
        <w:t>problems</w:t>
      </w:r>
    </w:p>
    <w:p>
      <w:pPr>
        <w:pStyle w:val="BodyText"/>
        <w:spacing w:line="276" w:lineRule="auto" w:before="299"/>
        <w:ind w:left="616" w:right="138"/>
        <w:jc w:val="both"/>
      </w:pPr>
      <w:r>
        <w:rPr/>
        <w:t>In contrast to pepsin, which is often administered for digestive problems, and all other enzymes, papaya is characterised by its effectiveness in both acidic and</w:t>
      </w:r>
      <w:r>
        <w:rPr>
          <w:spacing w:val="-15"/>
        </w:rPr>
        <w:t> </w:t>
      </w:r>
      <w:r>
        <w:rPr/>
        <w:t>basic</w:t>
      </w:r>
      <w:r>
        <w:rPr>
          <w:spacing w:val="-16"/>
        </w:rPr>
        <w:t> </w:t>
      </w:r>
      <w:r>
        <w:rPr/>
        <w:t>environments.</w:t>
      </w:r>
      <w:r>
        <w:rPr>
          <w:spacing w:val="-15"/>
        </w:rPr>
        <w:t> </w:t>
      </w:r>
      <w:r>
        <w:rPr/>
        <w:t>This</w:t>
      </w:r>
      <w:r>
        <w:rPr>
          <w:spacing w:val="-14"/>
        </w:rPr>
        <w:t> </w:t>
      </w:r>
      <w:r>
        <w:rPr/>
        <w:t>means</w:t>
      </w:r>
      <w:r>
        <w:rPr>
          <w:spacing w:val="-14"/>
        </w:rPr>
        <w:t> </w:t>
      </w:r>
      <w:r>
        <w:rPr/>
        <w:t>that</w:t>
      </w:r>
      <w:r>
        <w:rPr>
          <w:spacing w:val="-15"/>
        </w:rPr>
        <w:t> </w:t>
      </w:r>
      <w:r>
        <w:rPr/>
        <w:t>the</w:t>
      </w:r>
      <w:r>
        <w:rPr>
          <w:spacing w:val="-14"/>
        </w:rPr>
        <w:t> </w:t>
      </w:r>
      <w:r>
        <w:rPr/>
        <w:t>papaya</w:t>
      </w:r>
      <w:r>
        <w:rPr>
          <w:spacing w:val="-16"/>
        </w:rPr>
        <w:t> </w:t>
      </w:r>
      <w:r>
        <w:rPr/>
        <w:t>enzyme</w:t>
      </w:r>
      <w:r>
        <w:rPr>
          <w:spacing w:val="-14"/>
        </w:rPr>
        <w:t> </w:t>
      </w:r>
      <w:r>
        <w:rPr/>
        <w:t>‘papain’</w:t>
      </w:r>
      <w:r>
        <w:rPr>
          <w:spacing w:val="-15"/>
        </w:rPr>
        <w:t> </w:t>
      </w:r>
      <w:r>
        <w:rPr/>
        <w:t>dissolves foods into their component parts in the shortest amount of time without irri- tating the intestinal tract. This facilitates our digestion in a very gentle and smooth way and counteracts the digestion problems at the</w:t>
      </w:r>
      <w:r>
        <w:rPr>
          <w:spacing w:val="-3"/>
        </w:rPr>
        <w:t> </w:t>
      </w:r>
      <w:r>
        <w:rPr/>
        <w:t>root.</w:t>
      </w:r>
    </w:p>
    <w:p>
      <w:pPr>
        <w:pStyle w:val="BodyText"/>
        <w:spacing w:line="276" w:lineRule="auto" w:before="241"/>
        <w:ind w:left="616" w:right="132"/>
        <w:jc w:val="both"/>
      </w:pPr>
      <w:r>
        <w:rPr/>
        <w:t>In</w:t>
      </w:r>
      <w:r>
        <w:rPr>
          <w:spacing w:val="-16"/>
        </w:rPr>
        <w:t> </w:t>
      </w:r>
      <w:r>
        <w:rPr/>
        <w:t>addition,</w:t>
      </w:r>
      <w:r>
        <w:rPr>
          <w:spacing w:val="-16"/>
        </w:rPr>
        <w:t> </w:t>
      </w:r>
      <w:r>
        <w:rPr/>
        <w:t>the</w:t>
      </w:r>
      <w:r>
        <w:rPr>
          <w:spacing w:val="-15"/>
        </w:rPr>
        <w:t> </w:t>
      </w:r>
      <w:r>
        <w:rPr/>
        <w:t>papaya</w:t>
      </w:r>
      <w:r>
        <w:rPr>
          <w:spacing w:val="-18"/>
        </w:rPr>
        <w:t> </w:t>
      </w:r>
      <w:r>
        <w:rPr/>
        <w:t>enzymes</w:t>
      </w:r>
      <w:r>
        <w:rPr>
          <w:spacing w:val="-18"/>
        </w:rPr>
        <w:t> </w:t>
      </w:r>
      <w:r>
        <w:rPr/>
        <w:t>have</w:t>
      </w:r>
      <w:r>
        <w:rPr>
          <w:spacing w:val="-16"/>
        </w:rPr>
        <w:t> </w:t>
      </w:r>
      <w:r>
        <w:rPr/>
        <w:t>a</w:t>
      </w:r>
      <w:r>
        <w:rPr>
          <w:spacing w:val="-18"/>
        </w:rPr>
        <w:t> </w:t>
      </w:r>
      <w:r>
        <w:rPr/>
        <w:t>cleansing</w:t>
      </w:r>
      <w:r>
        <w:rPr>
          <w:spacing w:val="-15"/>
        </w:rPr>
        <w:t> </w:t>
      </w:r>
      <w:r>
        <w:rPr/>
        <w:t>function;</w:t>
      </w:r>
      <w:r>
        <w:rPr>
          <w:spacing w:val="-16"/>
        </w:rPr>
        <w:t> </w:t>
      </w:r>
      <w:r>
        <w:rPr/>
        <w:t>no</w:t>
      </w:r>
      <w:r>
        <w:rPr>
          <w:spacing w:val="-16"/>
        </w:rPr>
        <w:t> </w:t>
      </w:r>
      <w:r>
        <w:rPr/>
        <w:t>undigested</w:t>
      </w:r>
      <w:r>
        <w:rPr>
          <w:spacing w:val="-16"/>
        </w:rPr>
        <w:t> </w:t>
      </w:r>
      <w:r>
        <w:rPr/>
        <w:t>food components remain in the intestinal villi which could lead to the</w:t>
      </w:r>
      <w:r>
        <w:rPr>
          <w:spacing w:val="-48"/>
        </w:rPr>
        <w:t> </w:t>
      </w:r>
      <w:r>
        <w:rPr/>
        <w:t>reproduction of</w:t>
      </w:r>
      <w:r>
        <w:rPr>
          <w:spacing w:val="-14"/>
        </w:rPr>
        <w:t> </w:t>
      </w:r>
      <w:r>
        <w:rPr/>
        <w:t>putrid</w:t>
      </w:r>
      <w:r>
        <w:rPr>
          <w:spacing w:val="-14"/>
        </w:rPr>
        <w:t> </w:t>
      </w:r>
      <w:r>
        <w:rPr/>
        <w:t>bacteria</w:t>
      </w:r>
      <w:r>
        <w:rPr>
          <w:spacing w:val="-15"/>
        </w:rPr>
        <w:t> </w:t>
      </w:r>
      <w:r>
        <w:rPr/>
        <w:t>and</w:t>
      </w:r>
      <w:r>
        <w:rPr>
          <w:spacing w:val="-13"/>
        </w:rPr>
        <w:t> </w:t>
      </w:r>
      <w:r>
        <w:rPr/>
        <w:t>the</w:t>
      </w:r>
      <w:r>
        <w:rPr>
          <w:spacing w:val="-13"/>
        </w:rPr>
        <w:t> </w:t>
      </w:r>
      <w:r>
        <w:rPr/>
        <w:t>resulting</w:t>
      </w:r>
      <w:r>
        <w:rPr>
          <w:spacing w:val="-13"/>
        </w:rPr>
        <w:t> </w:t>
      </w:r>
      <w:r>
        <w:rPr/>
        <w:t>diseases</w:t>
      </w:r>
      <w:r>
        <w:rPr>
          <w:spacing w:val="-13"/>
        </w:rPr>
        <w:t> </w:t>
      </w:r>
      <w:r>
        <w:rPr/>
        <w:t>(e.g.</w:t>
      </w:r>
      <w:r>
        <w:rPr>
          <w:spacing w:val="-16"/>
        </w:rPr>
        <w:t> </w:t>
      </w:r>
      <w:r>
        <w:rPr/>
        <w:t>cancer)</w:t>
      </w:r>
      <w:r>
        <w:rPr>
          <w:spacing w:val="-13"/>
        </w:rPr>
        <w:t> </w:t>
      </w:r>
      <w:r>
        <w:rPr/>
        <w:t>or</w:t>
      </w:r>
      <w:r>
        <w:rPr>
          <w:spacing w:val="-13"/>
        </w:rPr>
        <w:t> </w:t>
      </w:r>
      <w:r>
        <w:rPr/>
        <w:t>even</w:t>
      </w:r>
      <w:r>
        <w:rPr>
          <w:spacing w:val="-12"/>
        </w:rPr>
        <w:t> </w:t>
      </w:r>
      <w:r>
        <w:rPr/>
        <w:t>to</w:t>
      </w:r>
      <w:r>
        <w:rPr>
          <w:spacing w:val="-14"/>
        </w:rPr>
        <w:t> </w:t>
      </w:r>
      <w:r>
        <w:rPr/>
        <w:t>the</w:t>
      </w:r>
      <w:r>
        <w:rPr>
          <w:spacing w:val="-12"/>
        </w:rPr>
        <w:t> </w:t>
      </w:r>
      <w:r>
        <w:rPr/>
        <w:t>poison- ing</w:t>
      </w:r>
      <w:r>
        <w:rPr>
          <w:spacing w:val="-12"/>
        </w:rPr>
        <w:t> </w:t>
      </w:r>
      <w:r>
        <w:rPr/>
        <w:t>of</w:t>
      </w:r>
      <w:r>
        <w:rPr>
          <w:spacing w:val="-15"/>
        </w:rPr>
        <w:t> </w:t>
      </w:r>
      <w:r>
        <w:rPr/>
        <w:t>the</w:t>
      </w:r>
      <w:r>
        <w:rPr>
          <w:spacing w:val="-13"/>
        </w:rPr>
        <w:t> </w:t>
      </w:r>
      <w:r>
        <w:rPr/>
        <w:t>organism.</w:t>
      </w:r>
      <w:r>
        <w:rPr>
          <w:position w:val="9"/>
          <w:sz w:val="25"/>
        </w:rPr>
        <w:t>671</w:t>
      </w:r>
      <w:r>
        <w:rPr>
          <w:spacing w:val="29"/>
          <w:position w:val="9"/>
          <w:sz w:val="25"/>
        </w:rPr>
        <w:t> </w:t>
      </w:r>
      <w:r>
        <w:rPr/>
        <w:t>Due</w:t>
      </w:r>
      <w:r>
        <w:rPr>
          <w:spacing w:val="-12"/>
        </w:rPr>
        <w:t> </w:t>
      </w:r>
      <w:r>
        <w:rPr/>
        <w:t>to</w:t>
      </w:r>
      <w:r>
        <w:rPr>
          <w:spacing w:val="-12"/>
        </w:rPr>
        <w:t> </w:t>
      </w:r>
      <w:r>
        <w:rPr/>
        <w:t>its</w:t>
      </w:r>
      <w:r>
        <w:rPr>
          <w:spacing w:val="-13"/>
        </w:rPr>
        <w:t> </w:t>
      </w:r>
      <w:r>
        <w:rPr/>
        <w:t>digestion-aiding</w:t>
      </w:r>
      <w:r>
        <w:rPr>
          <w:spacing w:val="-11"/>
        </w:rPr>
        <w:t> </w:t>
      </w:r>
      <w:r>
        <w:rPr/>
        <w:t>effect,</w:t>
      </w:r>
      <w:r>
        <w:rPr>
          <w:spacing w:val="-12"/>
        </w:rPr>
        <w:t> </w:t>
      </w:r>
      <w:r>
        <w:rPr/>
        <w:t>it</w:t>
      </w:r>
      <w:r>
        <w:rPr>
          <w:spacing w:val="-14"/>
        </w:rPr>
        <w:t> </w:t>
      </w:r>
      <w:r>
        <w:rPr/>
        <w:t>always</w:t>
      </w:r>
      <w:r>
        <w:rPr>
          <w:spacing w:val="-11"/>
        </w:rPr>
        <w:t> </w:t>
      </w:r>
      <w:r>
        <w:rPr/>
        <w:t>makes</w:t>
      </w:r>
      <w:r>
        <w:rPr>
          <w:spacing w:val="-13"/>
        </w:rPr>
        <w:t> </w:t>
      </w:r>
      <w:r>
        <w:rPr/>
        <w:t>sense to order papaya as a dessert after a heavy</w:t>
      </w:r>
      <w:r>
        <w:rPr>
          <w:spacing w:val="-6"/>
        </w:rPr>
        <w:t> </w:t>
      </w:r>
      <w:r>
        <w:rPr/>
        <w:t>meal.</w:t>
      </w:r>
    </w:p>
    <w:p>
      <w:pPr>
        <w:pStyle w:val="Heading1"/>
        <w:spacing w:before="222"/>
        <w:ind w:left="616"/>
      </w:pPr>
      <w:r>
        <w:rPr/>
        <w:t>Effect on flatulence</w:t>
      </w:r>
    </w:p>
    <w:p>
      <w:pPr>
        <w:pStyle w:val="BodyText"/>
        <w:spacing w:line="276" w:lineRule="auto" w:before="300"/>
        <w:ind w:left="616" w:right="137"/>
        <w:jc w:val="both"/>
      </w:pPr>
      <w:r>
        <w:rPr/>
        <w:t>The enzymes contained in papaya facilitate digestion, suppress the accelerated growth of putrid bacteria and the build up of gas. This all counteracts flatu- lence.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6"/>
        </w:rPr>
      </w:pPr>
      <w:r>
        <w:rPr/>
        <w:pict>
          <v:line style="position:absolute;mso-position-horizontal-relative:page;mso-position-vertical-relative:paragraph;z-index:8624;mso-wrap-distance-left:0;mso-wrap-distance-right:0" from="70.823997pt,17.502485pt" to="214.843997pt,17.502485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671 </w:t>
      </w:r>
      <w:r>
        <w:rPr>
          <w:sz w:val="20"/>
        </w:rPr>
        <w:t>Barbara Simonsohn: Papaya – Heilen mit der Wunderfrucht ('Papaya – Healing with the Wonder Fruit'), 2nd Edition 1998, p. 86.</w:t>
      </w:r>
    </w:p>
    <w:p>
      <w:pPr>
        <w:spacing w:after="0"/>
        <w:jc w:val="left"/>
        <w:rPr>
          <w:sz w:val="20"/>
        </w:rPr>
        <w:sectPr>
          <w:pgSz w:w="14270" w:h="16850"/>
          <w:pgMar w:header="0" w:footer="1891" w:top="1320" w:bottom="2080" w:left="800" w:right="1280"/>
        </w:sectPr>
      </w:pPr>
    </w:p>
    <w:p>
      <w:pPr>
        <w:pStyle w:val="Heading1"/>
        <w:spacing w:before="77"/>
        <w:ind w:left="616"/>
      </w:pPr>
      <w:r>
        <w:rPr/>
        <w:t>Effect and use with diarrhoea</w:t>
      </w:r>
    </w:p>
    <w:p>
      <w:pPr>
        <w:pStyle w:val="BodyText"/>
        <w:spacing w:line="276" w:lineRule="auto" w:before="299"/>
        <w:ind w:left="616" w:right="133"/>
        <w:jc w:val="both"/>
      </w:pPr>
      <w:r>
        <w:rPr/>
        <w:t>The digestion-regulating and antibacterial effect also turn out to be good</w:t>
      </w:r>
      <w:r>
        <w:rPr>
          <w:spacing w:val="-49"/>
        </w:rPr>
        <w:t> </w:t>
      </w:r>
      <w:r>
        <w:rPr/>
        <w:t>rem- edies for diarrhoea. Here the green papaya has proven itself the best, and should</w:t>
      </w:r>
      <w:r>
        <w:rPr>
          <w:spacing w:val="-15"/>
        </w:rPr>
        <w:t> </w:t>
      </w:r>
      <w:r>
        <w:rPr/>
        <w:t>be</w:t>
      </w:r>
      <w:r>
        <w:rPr>
          <w:spacing w:val="-13"/>
        </w:rPr>
        <w:t> </w:t>
      </w:r>
      <w:r>
        <w:rPr/>
        <w:t>eaten</w:t>
      </w:r>
      <w:r>
        <w:rPr>
          <w:spacing w:val="-16"/>
        </w:rPr>
        <w:t> </w:t>
      </w:r>
      <w:r>
        <w:rPr/>
        <w:t>multiple</w:t>
      </w:r>
      <w:r>
        <w:rPr>
          <w:spacing w:val="-13"/>
        </w:rPr>
        <w:t> </w:t>
      </w:r>
      <w:r>
        <w:rPr/>
        <w:t>times</w:t>
      </w:r>
      <w:r>
        <w:rPr>
          <w:spacing w:val="-13"/>
        </w:rPr>
        <w:t> </w:t>
      </w:r>
      <w:r>
        <w:rPr/>
        <w:t>per</w:t>
      </w:r>
      <w:r>
        <w:rPr>
          <w:spacing w:val="-13"/>
        </w:rPr>
        <w:t> </w:t>
      </w:r>
      <w:r>
        <w:rPr/>
        <w:t>day.</w:t>
      </w:r>
      <w:r>
        <w:rPr>
          <w:spacing w:val="-13"/>
        </w:rPr>
        <w:t> </w:t>
      </w:r>
      <w:r>
        <w:rPr/>
        <w:t>In</w:t>
      </w:r>
      <w:r>
        <w:rPr>
          <w:spacing w:val="-15"/>
        </w:rPr>
        <w:t> </w:t>
      </w:r>
      <w:r>
        <w:rPr/>
        <w:t>South</w:t>
      </w:r>
      <w:r>
        <w:rPr>
          <w:spacing w:val="-16"/>
        </w:rPr>
        <w:t> </w:t>
      </w:r>
      <w:r>
        <w:rPr/>
        <w:t>America,</w:t>
      </w:r>
      <w:r>
        <w:rPr>
          <w:spacing w:val="-13"/>
        </w:rPr>
        <w:t> </w:t>
      </w:r>
      <w:r>
        <w:rPr/>
        <w:t>20g</w:t>
      </w:r>
      <w:r>
        <w:rPr>
          <w:spacing w:val="-13"/>
        </w:rPr>
        <w:t> </w:t>
      </w:r>
      <w:r>
        <w:rPr/>
        <w:t>of</w:t>
      </w:r>
      <w:r>
        <w:rPr>
          <w:spacing w:val="-16"/>
        </w:rPr>
        <w:t> </w:t>
      </w:r>
      <w:r>
        <w:rPr/>
        <w:t>green</w:t>
      </w:r>
      <w:r>
        <w:rPr>
          <w:spacing w:val="-12"/>
        </w:rPr>
        <w:t> </w:t>
      </w:r>
      <w:r>
        <w:rPr/>
        <w:t>papaya are boiled in 0.5 L water and are drunk as tea at the main</w:t>
      </w:r>
      <w:r>
        <w:rPr>
          <w:spacing w:val="-8"/>
        </w:rPr>
        <w:t> </w:t>
      </w:r>
      <w:r>
        <w:rPr/>
        <w:t>mealtimes.</w:t>
      </w:r>
    </w:p>
    <w:p>
      <w:pPr>
        <w:pStyle w:val="Heading1"/>
        <w:spacing w:before="222"/>
        <w:ind w:left="616"/>
      </w:pPr>
      <w:r>
        <w:rPr/>
        <w:t>Effect and use with blood in</w:t>
      </w:r>
      <w:r>
        <w:rPr>
          <w:spacing w:val="-55"/>
        </w:rPr>
        <w:t> </w:t>
      </w:r>
      <w:r>
        <w:rPr/>
        <w:t>urine</w:t>
      </w:r>
    </w:p>
    <w:p>
      <w:pPr>
        <w:pStyle w:val="BodyText"/>
        <w:spacing w:line="276" w:lineRule="auto" w:before="300"/>
        <w:ind w:left="616" w:right="139"/>
        <w:jc w:val="both"/>
      </w:pPr>
      <w:r>
        <w:rPr/>
        <w:t>One should of course immediately consult a doctor in cases of blood in the urine; native peoples prepare a tea from the papaya root and drink about one cup of it three times per day.</w:t>
      </w:r>
    </w:p>
    <w:p>
      <w:pPr>
        <w:pStyle w:val="Heading1"/>
        <w:spacing w:before="221"/>
        <w:ind w:left="616"/>
      </w:pPr>
      <w:r>
        <w:rPr/>
        <w:t>Effect of papaya on gastritis</w:t>
      </w:r>
    </w:p>
    <w:p>
      <w:pPr>
        <w:pStyle w:val="BodyText"/>
        <w:spacing w:line="276" w:lineRule="auto" w:before="300"/>
        <w:ind w:left="616" w:right="134"/>
        <w:jc w:val="both"/>
      </w:pPr>
      <w:r>
        <w:rPr/>
        <w:t>Due to the intestinal cleaning and anti-inflammatory effects described above, papaya</w:t>
      </w:r>
      <w:r>
        <w:rPr>
          <w:spacing w:val="-13"/>
        </w:rPr>
        <w:t> </w:t>
      </w:r>
      <w:r>
        <w:rPr/>
        <w:t>and/or</w:t>
      </w:r>
      <w:r>
        <w:rPr>
          <w:spacing w:val="-12"/>
        </w:rPr>
        <w:t> </w:t>
      </w:r>
      <w:r>
        <w:rPr/>
        <w:t>its</w:t>
      </w:r>
      <w:r>
        <w:rPr>
          <w:spacing w:val="-11"/>
        </w:rPr>
        <w:t> </w:t>
      </w:r>
      <w:r>
        <w:rPr/>
        <w:t>enzyme</w:t>
      </w:r>
      <w:r>
        <w:rPr>
          <w:spacing w:val="-11"/>
        </w:rPr>
        <w:t> </w:t>
      </w:r>
      <w:r>
        <w:rPr/>
        <w:t>papain</w:t>
      </w:r>
      <w:r>
        <w:rPr>
          <w:spacing w:val="-12"/>
        </w:rPr>
        <w:t> </w:t>
      </w:r>
      <w:r>
        <w:rPr/>
        <w:t>has</w:t>
      </w:r>
      <w:r>
        <w:rPr>
          <w:spacing w:val="-11"/>
        </w:rPr>
        <w:t> </w:t>
      </w:r>
      <w:r>
        <w:rPr/>
        <w:t>proven</w:t>
      </w:r>
      <w:r>
        <w:rPr>
          <w:spacing w:val="-11"/>
        </w:rPr>
        <w:t> </w:t>
      </w:r>
      <w:r>
        <w:rPr/>
        <w:t>itself</w:t>
      </w:r>
      <w:r>
        <w:rPr>
          <w:spacing w:val="-12"/>
        </w:rPr>
        <w:t> </w:t>
      </w:r>
      <w:r>
        <w:rPr/>
        <w:t>highly</w:t>
      </w:r>
      <w:r>
        <w:rPr>
          <w:spacing w:val="-12"/>
        </w:rPr>
        <w:t> </w:t>
      </w:r>
      <w:r>
        <w:rPr/>
        <w:t>useful</w:t>
      </w:r>
      <w:r>
        <w:rPr>
          <w:spacing w:val="-11"/>
        </w:rPr>
        <w:t> </w:t>
      </w:r>
      <w:r>
        <w:rPr/>
        <w:t>in</w:t>
      </w:r>
      <w:r>
        <w:rPr>
          <w:spacing w:val="-12"/>
        </w:rPr>
        <w:t> </w:t>
      </w:r>
      <w:r>
        <w:rPr/>
        <w:t>the</w:t>
      </w:r>
      <w:r>
        <w:rPr>
          <w:spacing w:val="-10"/>
        </w:rPr>
        <w:t> </w:t>
      </w:r>
      <w:r>
        <w:rPr/>
        <w:t>relief</w:t>
      </w:r>
      <w:r>
        <w:rPr>
          <w:spacing w:val="-13"/>
        </w:rPr>
        <w:t> </w:t>
      </w:r>
      <w:r>
        <w:rPr/>
        <w:t>of gastritis. Papain dissolves dietary protein, which additionally supports gastritis therapy.</w:t>
      </w:r>
    </w:p>
    <w:p>
      <w:pPr>
        <w:spacing w:after="0" w:line="276" w:lineRule="auto"/>
        <w:jc w:val="both"/>
        <w:sectPr>
          <w:pgSz w:w="14270" w:h="16850"/>
          <w:pgMar w:header="0" w:footer="1891" w:top="1320" w:bottom="2080" w:left="800" w:right="1280"/>
        </w:sectPr>
      </w:pPr>
    </w:p>
    <w:p>
      <w:pPr>
        <w:pStyle w:val="Heading1"/>
        <w:spacing w:before="77"/>
        <w:ind w:left="616"/>
      </w:pPr>
      <w:r>
        <w:rPr/>
        <w:t>Effect and use with general stomach complaints</w:t>
      </w:r>
    </w:p>
    <w:p>
      <w:pPr>
        <w:pStyle w:val="BodyText"/>
        <w:spacing w:line="276" w:lineRule="auto" w:before="299"/>
        <w:ind w:left="616" w:right="140"/>
        <w:jc w:val="both"/>
      </w:pPr>
      <w:r>
        <w:rPr/>
        <w:t>The use of unripe (green) papaya or ripe papaya depends on the intensity of the complaints. Because the unripe papaya is more potent, it is recommended for more severe stomach complaints, while the ripe papaya is sufficient for more minor stomach problems. Alternatively, one may also use papaya blos- som essence or tincture of papaya.</w:t>
      </w:r>
    </w:p>
    <w:p>
      <w:pPr>
        <w:pStyle w:val="Heading1"/>
        <w:spacing w:before="223"/>
        <w:ind w:left="616"/>
      </w:pPr>
      <w:r>
        <w:rPr/>
        <w:t>Effect and use of the papaya fruit on heartburn</w:t>
      </w:r>
    </w:p>
    <w:p>
      <w:pPr>
        <w:pStyle w:val="BodyText"/>
        <w:spacing w:line="276" w:lineRule="auto" w:before="299"/>
        <w:ind w:left="616"/>
      </w:pPr>
      <w:r>
        <w:rPr/>
        <w:t>The ripe fruit, or alternatively its juice, counteracts heartburn and can lead to very quick relief.</w:t>
      </w:r>
    </w:p>
    <w:p>
      <w:pPr>
        <w:pStyle w:val="Heading1"/>
        <w:spacing w:before="221"/>
        <w:ind w:left="616"/>
      </w:pPr>
      <w:r>
        <w:rPr/>
        <w:t>Effect and use on stomach ulcers</w:t>
      </w:r>
    </w:p>
    <w:p>
      <w:pPr>
        <w:pStyle w:val="BodyText"/>
        <w:spacing w:line="276" w:lineRule="auto" w:before="300"/>
        <w:ind w:left="616" w:right="134"/>
        <w:jc w:val="both"/>
      </w:pPr>
      <w:r>
        <w:rPr/>
        <w:t>The green papaya, as well as papain-containing enzyme preparations, counter- acts the development of stomach ulcers. A papaya blossom essence is also highly recommended.</w:t>
      </w:r>
    </w:p>
    <w:p>
      <w:pPr>
        <w:pStyle w:val="Heading1"/>
        <w:ind w:left="616"/>
      </w:pPr>
      <w:r>
        <w:rPr/>
        <w:t>Effect and use of papaya on sore</w:t>
      </w:r>
      <w:r>
        <w:rPr>
          <w:spacing w:val="-72"/>
        </w:rPr>
        <w:t> </w:t>
      </w:r>
      <w:r>
        <w:rPr/>
        <w:t>throat</w:t>
      </w:r>
    </w:p>
    <w:p>
      <w:pPr>
        <w:pStyle w:val="BodyText"/>
        <w:spacing w:line="276" w:lineRule="auto" w:before="299"/>
        <w:ind w:left="616"/>
      </w:pPr>
      <w:r>
        <w:rPr/>
        <w:t>Mix the juice of an unripe papaya with honey and drink occasionally through- out the day.</w:t>
      </w:r>
    </w:p>
    <w:p>
      <w:pPr>
        <w:spacing w:after="0" w:line="276" w:lineRule="auto"/>
        <w:sectPr>
          <w:pgSz w:w="14270" w:h="16850"/>
          <w:pgMar w:header="0" w:footer="1891" w:top="1320" w:bottom="2080" w:left="800" w:right="1280"/>
        </w:sectPr>
      </w:pPr>
    </w:p>
    <w:p>
      <w:pPr>
        <w:pStyle w:val="Heading1"/>
        <w:spacing w:before="77"/>
        <w:ind w:left="616"/>
      </w:pPr>
      <w:r>
        <w:rPr/>
        <w:t>Liver-strengthening effect (liver cirrhosis) and use of the papaya</w:t>
      </w:r>
    </w:p>
    <w:p>
      <w:pPr>
        <w:pStyle w:val="BodyText"/>
        <w:spacing w:line="276" w:lineRule="auto" w:before="299"/>
        <w:ind w:left="616" w:right="133"/>
        <w:jc w:val="both"/>
      </w:pPr>
      <w:r>
        <w:rPr/>
        <w:t>For a liver-strengthening and liver-healing effect, we recommend the juice of the green and ripe papaya fruit. For liver inflammations, experts also recom- mend papain-containing enzyme preparations. For liver cirrhosis, we can rec- ommend</w:t>
      </w:r>
      <w:r>
        <w:rPr>
          <w:spacing w:val="-11"/>
        </w:rPr>
        <w:t> </w:t>
      </w:r>
      <w:r>
        <w:rPr/>
        <w:t>a</w:t>
      </w:r>
      <w:r>
        <w:rPr>
          <w:spacing w:val="-11"/>
        </w:rPr>
        <w:t> </w:t>
      </w:r>
      <w:r>
        <w:rPr/>
        <w:t>papaya</w:t>
      </w:r>
      <w:r>
        <w:rPr>
          <w:spacing w:val="-11"/>
        </w:rPr>
        <w:t> </w:t>
      </w:r>
      <w:r>
        <w:rPr/>
        <w:t>juice</w:t>
      </w:r>
      <w:r>
        <w:rPr>
          <w:spacing w:val="-10"/>
        </w:rPr>
        <w:t> </w:t>
      </w:r>
      <w:r>
        <w:rPr/>
        <w:t>of</w:t>
      </w:r>
      <w:r>
        <w:rPr>
          <w:spacing w:val="-10"/>
        </w:rPr>
        <w:t> </w:t>
      </w:r>
      <w:r>
        <w:rPr/>
        <w:t>ground</w:t>
      </w:r>
      <w:r>
        <w:rPr>
          <w:spacing w:val="-10"/>
        </w:rPr>
        <w:t> </w:t>
      </w:r>
      <w:r>
        <w:rPr/>
        <w:t>seeds</w:t>
      </w:r>
      <w:r>
        <w:rPr>
          <w:spacing w:val="-10"/>
        </w:rPr>
        <w:t> </w:t>
      </w:r>
      <w:r>
        <w:rPr/>
        <w:t>mixed</w:t>
      </w:r>
      <w:r>
        <w:rPr>
          <w:spacing w:val="-8"/>
        </w:rPr>
        <w:t> </w:t>
      </w:r>
      <w:r>
        <w:rPr/>
        <w:t>with</w:t>
      </w:r>
      <w:r>
        <w:rPr>
          <w:spacing w:val="-11"/>
        </w:rPr>
        <w:t> </w:t>
      </w:r>
      <w:r>
        <w:rPr/>
        <w:t>a</w:t>
      </w:r>
      <w:r>
        <w:rPr>
          <w:spacing w:val="-11"/>
        </w:rPr>
        <w:t> </w:t>
      </w:r>
      <w:r>
        <w:rPr/>
        <w:t>bit</w:t>
      </w:r>
      <w:r>
        <w:rPr>
          <w:spacing w:val="-11"/>
        </w:rPr>
        <w:t> </w:t>
      </w:r>
      <w:r>
        <w:rPr/>
        <w:t>of</w:t>
      </w:r>
      <w:r>
        <w:rPr>
          <w:spacing w:val="-9"/>
        </w:rPr>
        <w:t> </w:t>
      </w:r>
      <w:r>
        <w:rPr/>
        <w:t>lemon</w:t>
      </w:r>
      <w:r>
        <w:rPr>
          <w:spacing w:val="-10"/>
        </w:rPr>
        <w:t> </w:t>
      </w:r>
      <w:r>
        <w:rPr/>
        <w:t>juice.</w:t>
      </w:r>
      <w:r>
        <w:rPr>
          <w:spacing w:val="-9"/>
        </w:rPr>
        <w:t> </w:t>
      </w:r>
      <w:r>
        <w:rPr/>
        <w:t>Swal- low 1-2 teaspoons of this</w:t>
      </w:r>
      <w:r>
        <w:rPr>
          <w:spacing w:val="-2"/>
        </w:rPr>
        <w:t> </w:t>
      </w:r>
      <w:r>
        <w:rPr/>
        <w:t>daily.</w:t>
      </w:r>
    </w:p>
    <w:p>
      <w:pPr>
        <w:pStyle w:val="Heading1"/>
        <w:spacing w:before="223"/>
        <w:ind w:left="616"/>
      </w:pPr>
      <w:r>
        <w:rPr/>
        <w:t>Effect and use on haemorrhoids</w:t>
      </w:r>
    </w:p>
    <w:p>
      <w:pPr>
        <w:pStyle w:val="BodyText"/>
        <w:spacing w:line="276" w:lineRule="auto" w:before="299"/>
        <w:ind w:left="616" w:right="134"/>
        <w:jc w:val="both"/>
      </w:pPr>
      <w:r>
        <w:rPr/>
        <w:t>Native</w:t>
      </w:r>
      <w:r>
        <w:rPr>
          <w:spacing w:val="-8"/>
        </w:rPr>
        <w:t> </w:t>
      </w:r>
      <w:r>
        <w:rPr/>
        <w:t>peoples</w:t>
      </w:r>
      <w:r>
        <w:rPr>
          <w:spacing w:val="-7"/>
        </w:rPr>
        <w:t> </w:t>
      </w:r>
      <w:r>
        <w:rPr/>
        <w:t>of</w:t>
      </w:r>
      <w:r>
        <w:rPr>
          <w:spacing w:val="-7"/>
        </w:rPr>
        <w:t> </w:t>
      </w:r>
      <w:r>
        <w:rPr/>
        <w:t>Africa</w:t>
      </w:r>
      <w:r>
        <w:rPr>
          <w:spacing w:val="-7"/>
        </w:rPr>
        <w:t> </w:t>
      </w:r>
      <w:r>
        <w:rPr/>
        <w:t>successfully</w:t>
      </w:r>
      <w:r>
        <w:rPr>
          <w:spacing w:val="-7"/>
        </w:rPr>
        <w:t> </w:t>
      </w:r>
      <w:r>
        <w:rPr/>
        <w:t>use</w:t>
      </w:r>
      <w:r>
        <w:rPr>
          <w:spacing w:val="-7"/>
        </w:rPr>
        <w:t> </w:t>
      </w:r>
      <w:r>
        <w:rPr/>
        <w:t>the</w:t>
      </w:r>
      <w:r>
        <w:rPr>
          <w:spacing w:val="-6"/>
        </w:rPr>
        <w:t> </w:t>
      </w:r>
      <w:r>
        <w:rPr/>
        <w:t>roots</w:t>
      </w:r>
      <w:r>
        <w:rPr>
          <w:spacing w:val="-5"/>
        </w:rPr>
        <w:t> </w:t>
      </w:r>
      <w:r>
        <w:rPr/>
        <w:t>of</w:t>
      </w:r>
      <w:r>
        <w:rPr>
          <w:spacing w:val="-7"/>
        </w:rPr>
        <w:t> </w:t>
      </w:r>
      <w:r>
        <w:rPr/>
        <w:t>the</w:t>
      </w:r>
      <w:r>
        <w:rPr>
          <w:spacing w:val="-8"/>
        </w:rPr>
        <w:t> </w:t>
      </w:r>
      <w:r>
        <w:rPr/>
        <w:t>papaya</w:t>
      </w:r>
      <w:r>
        <w:rPr>
          <w:spacing w:val="-8"/>
        </w:rPr>
        <w:t> </w:t>
      </w:r>
      <w:r>
        <w:rPr/>
        <w:t>plant</w:t>
      </w:r>
      <w:r>
        <w:rPr>
          <w:spacing w:val="-7"/>
        </w:rPr>
        <w:t> </w:t>
      </w:r>
      <w:r>
        <w:rPr/>
        <w:t>to</w:t>
      </w:r>
      <w:r>
        <w:rPr>
          <w:spacing w:val="-6"/>
        </w:rPr>
        <w:t> </w:t>
      </w:r>
      <w:r>
        <w:rPr/>
        <w:t>treat haemorrhoids. Alternatively, dip a cotton pad in papaya oil and dab it on the affected spot occasionally throughout the</w:t>
      </w:r>
      <w:r>
        <w:rPr>
          <w:spacing w:val="-2"/>
        </w:rPr>
        <w:t> </w:t>
      </w:r>
      <w:r>
        <w:rPr/>
        <w:t>day.</w:t>
      </w:r>
    </w:p>
    <w:p>
      <w:pPr>
        <w:pStyle w:val="Heading1"/>
        <w:spacing w:before="222"/>
        <w:ind w:left="616"/>
      </w:pPr>
      <w:r>
        <w:rPr/>
        <w:t>Effect and use on insect bites</w:t>
      </w:r>
    </w:p>
    <w:p>
      <w:pPr>
        <w:pStyle w:val="BodyText"/>
        <w:spacing w:line="278" w:lineRule="auto" w:before="299"/>
        <w:ind w:left="616" w:right="136"/>
        <w:jc w:val="both"/>
      </w:pPr>
      <w:r>
        <w:rPr/>
        <w:t>The Indians traditionally use the milky sap of the unripe papaya fruit; another alternative is to use an enzyme salve with papain (e.g. Wobenzym N salve).</w:t>
      </w:r>
    </w:p>
    <w:p>
      <w:pPr>
        <w:pStyle w:val="Heading1"/>
        <w:spacing w:before="215"/>
        <w:ind w:left="616"/>
      </w:pPr>
      <w:r>
        <w:rPr/>
        <w:t>Effect and use of papaya on</w:t>
      </w:r>
      <w:r>
        <w:rPr>
          <w:spacing w:val="-56"/>
        </w:rPr>
        <w:t> </w:t>
      </w:r>
      <w:r>
        <w:rPr/>
        <w:t>diabetes</w:t>
      </w:r>
    </w:p>
    <w:p>
      <w:pPr>
        <w:pStyle w:val="BodyText"/>
        <w:spacing w:line="276" w:lineRule="auto" w:before="300"/>
        <w:ind w:left="616" w:right="135"/>
        <w:jc w:val="both"/>
      </w:pPr>
      <w:r>
        <w:rPr/>
        <w:t>The papaya enzymes can support the splitting of the macronutrients ‘fat’ and ‘protein’ and be a real help to diabetics. For this purpose, the remedy ‘papa- yasan’</w:t>
      </w:r>
      <w:r>
        <w:rPr>
          <w:spacing w:val="-8"/>
        </w:rPr>
        <w:t> </w:t>
      </w:r>
      <w:r>
        <w:rPr/>
        <w:t>is</w:t>
      </w:r>
      <w:r>
        <w:rPr>
          <w:spacing w:val="-12"/>
        </w:rPr>
        <w:t> </w:t>
      </w:r>
      <w:r>
        <w:rPr/>
        <w:t>useful.</w:t>
      </w:r>
      <w:r>
        <w:rPr>
          <w:spacing w:val="-10"/>
        </w:rPr>
        <w:t> </w:t>
      </w:r>
      <w:r>
        <w:rPr/>
        <w:t>You</w:t>
      </w:r>
      <w:r>
        <w:rPr>
          <w:spacing w:val="-10"/>
        </w:rPr>
        <w:t> </w:t>
      </w:r>
      <w:r>
        <w:rPr/>
        <w:t>could</w:t>
      </w:r>
      <w:r>
        <w:rPr>
          <w:spacing w:val="-10"/>
        </w:rPr>
        <w:t> </w:t>
      </w:r>
      <w:r>
        <w:rPr/>
        <w:t>also</w:t>
      </w:r>
      <w:r>
        <w:rPr>
          <w:spacing w:val="-10"/>
        </w:rPr>
        <w:t> </w:t>
      </w:r>
      <w:r>
        <w:rPr/>
        <w:t>prepare</w:t>
      </w:r>
      <w:r>
        <w:rPr>
          <w:spacing w:val="-9"/>
        </w:rPr>
        <w:t> </w:t>
      </w:r>
      <w:r>
        <w:rPr/>
        <w:t>a</w:t>
      </w:r>
      <w:r>
        <w:rPr>
          <w:spacing w:val="-12"/>
        </w:rPr>
        <w:t> </w:t>
      </w:r>
      <w:r>
        <w:rPr/>
        <w:t>tea</w:t>
      </w:r>
      <w:r>
        <w:rPr>
          <w:spacing w:val="-10"/>
        </w:rPr>
        <w:t> </w:t>
      </w:r>
      <w:r>
        <w:rPr/>
        <w:t>from</w:t>
      </w:r>
      <w:r>
        <w:rPr>
          <w:spacing w:val="-9"/>
        </w:rPr>
        <w:t> </w:t>
      </w:r>
      <w:r>
        <w:rPr/>
        <w:t>the</w:t>
      </w:r>
      <w:r>
        <w:rPr>
          <w:spacing w:val="-10"/>
        </w:rPr>
        <w:t> </w:t>
      </w:r>
      <w:r>
        <w:rPr/>
        <w:t>decoction</w:t>
      </w:r>
      <w:r>
        <w:rPr>
          <w:spacing w:val="-10"/>
        </w:rPr>
        <w:t> </w:t>
      </w:r>
      <w:r>
        <w:rPr/>
        <w:t>of</w:t>
      </w:r>
      <w:r>
        <w:rPr>
          <w:spacing w:val="-10"/>
        </w:rPr>
        <w:t> </w:t>
      </w:r>
      <w:r>
        <w:rPr/>
        <w:t>the</w:t>
      </w:r>
      <w:r>
        <w:rPr>
          <w:spacing w:val="-11"/>
        </w:rPr>
        <w:t> </w:t>
      </w:r>
      <w:r>
        <w:rPr/>
        <w:t>papaya seeds.</w:t>
      </w:r>
    </w:p>
    <w:p>
      <w:pPr>
        <w:spacing w:after="0" w:line="276" w:lineRule="auto"/>
        <w:jc w:val="both"/>
        <w:sectPr>
          <w:pgSz w:w="14270" w:h="16850"/>
          <w:pgMar w:header="0" w:footer="1891" w:top="1320" w:bottom="2080" w:left="800" w:right="1280"/>
        </w:sectPr>
      </w:pPr>
    </w:p>
    <w:p>
      <w:pPr>
        <w:pStyle w:val="Heading1"/>
        <w:spacing w:before="77"/>
        <w:ind w:left="616"/>
      </w:pPr>
      <w:r>
        <w:rPr/>
        <w:t>Effect of papaya on multiple sclerosis</w:t>
      </w:r>
      <w:r>
        <w:rPr>
          <w:spacing w:val="-71"/>
        </w:rPr>
        <w:t> </w:t>
      </w:r>
      <w:r>
        <w:rPr/>
        <w:t>(MS)</w:t>
      </w:r>
    </w:p>
    <w:p>
      <w:pPr>
        <w:pStyle w:val="BodyText"/>
        <w:spacing w:line="276" w:lineRule="auto" w:before="299"/>
        <w:ind w:left="616" w:right="136"/>
        <w:jc w:val="both"/>
      </w:pPr>
      <w:r>
        <w:rPr/>
        <w:t>For multiple sclerosis, a combined preparation based on the various enzymes, including papain, is recommended. These successfully counteract not only vi- ruses (many researchers and doctors suspect that MS is caused by viruses) but can also neutralise certain toxic effects of food, e.g. of wheat gluten.</w:t>
      </w:r>
    </w:p>
    <w:p>
      <w:pPr>
        <w:pStyle w:val="Heading1"/>
        <w:spacing w:before="222"/>
        <w:ind w:left="616"/>
      </w:pPr>
      <w:r>
        <w:rPr/>
        <w:t>Effect against thrombosis</w:t>
      </w:r>
    </w:p>
    <w:p>
      <w:pPr>
        <w:pStyle w:val="BodyText"/>
        <w:spacing w:line="276" w:lineRule="auto" w:before="300"/>
        <w:ind w:left="616" w:right="134"/>
        <w:jc w:val="both"/>
      </w:pPr>
      <w:r>
        <w:rPr/>
        <w:t>Papaya keeps the blood thin and in this way can prevent thrombosis. Blood clots, which can become seriously life-threatening as soon as they clog an ar- tery, are dissolved by the enzymes.</w:t>
      </w:r>
    </w:p>
    <w:p>
      <w:pPr>
        <w:pStyle w:val="Heading1"/>
        <w:spacing w:before="221"/>
        <w:ind w:left="616"/>
      </w:pPr>
      <w:r>
        <w:rPr/>
        <w:t>Effect of papaya on herpes</w:t>
      </w:r>
    </w:p>
    <w:p>
      <w:pPr>
        <w:pStyle w:val="BodyText"/>
        <w:spacing w:line="276" w:lineRule="auto" w:before="300"/>
        <w:ind w:left="616" w:right="136"/>
        <w:jc w:val="both"/>
      </w:pPr>
      <w:r>
        <w:rPr/>
        <w:t>People infected with herpes simplex and/or herpes B virus can experience re- lief and may even be cured with papaya. For herpes simplex, enzyme salves containing papain for external application are recommended, as they are for the herpes B virus. Both therapies should be supplemented by internal con- sumption of papaya.</w:t>
      </w:r>
    </w:p>
    <w:p>
      <w:pPr>
        <w:pStyle w:val="BodyText"/>
        <w:spacing w:line="278" w:lineRule="auto" w:before="240"/>
        <w:ind w:left="616" w:right="135"/>
        <w:jc w:val="both"/>
        <w:rPr>
          <w:sz w:val="25"/>
        </w:rPr>
      </w:pPr>
      <w:r>
        <w:rPr/>
        <w:t>Numerous studies at university clinics attest to a recovery rate of up to 80 % after three months of consistent treatment with enzymes. </w:t>
      </w:r>
      <w:r>
        <w:rPr>
          <w:position w:val="9"/>
          <w:sz w:val="25"/>
        </w:rPr>
        <w:t>672</w:t>
      </w:r>
    </w:p>
    <w:p>
      <w:pPr>
        <w:pStyle w:val="BodyText"/>
        <w:rPr>
          <w:sz w:val="42"/>
        </w:rPr>
      </w:pPr>
    </w:p>
    <w:p>
      <w:pPr>
        <w:pStyle w:val="BodyText"/>
        <w:spacing w:before="2"/>
        <w:rPr>
          <w:sz w:val="42"/>
        </w:rPr>
      </w:pPr>
    </w:p>
    <w:p>
      <w:pPr>
        <w:pStyle w:val="Heading1"/>
        <w:spacing w:before="0"/>
        <w:ind w:left="616"/>
        <w:jc w:val="both"/>
      </w:pPr>
      <w:r>
        <w:rPr/>
        <w:t>Effect of papaya on malaria</w:t>
      </w:r>
    </w:p>
    <w:p>
      <w:pPr>
        <w:pStyle w:val="BodyText"/>
        <w:rPr>
          <w:b/>
          <w:i/>
          <w:sz w:val="20"/>
        </w:rPr>
      </w:pPr>
    </w:p>
    <w:p>
      <w:pPr>
        <w:pStyle w:val="BodyText"/>
        <w:spacing w:before="8"/>
        <w:rPr>
          <w:b/>
          <w:i/>
          <w:sz w:val="15"/>
        </w:rPr>
      </w:pPr>
      <w:r>
        <w:rPr/>
        <w:pict>
          <v:line style="position:absolute;mso-position-horizontal-relative:page;mso-position-vertical-relative:paragraph;z-index:8648;mso-wrap-distance-left:0;mso-wrap-distance-right:0" from="70.823997pt,11.224985pt" to="214.843997pt,11.224985pt" stroked="true" strokeweight=".72003pt" strokecolor="#000000">
            <v:stroke dashstyle="solid"/>
            <w10:wrap type="topAndBottom"/>
          </v:line>
        </w:pict>
      </w:r>
    </w:p>
    <w:p>
      <w:pPr>
        <w:pStyle w:val="BodyText"/>
        <w:spacing w:before="7"/>
        <w:rPr>
          <w:b/>
          <w:i/>
          <w:sz w:val="18"/>
        </w:rPr>
      </w:pPr>
    </w:p>
    <w:p>
      <w:pPr>
        <w:spacing w:before="99"/>
        <w:ind w:left="616" w:right="0" w:firstLine="0"/>
        <w:jc w:val="left"/>
        <w:rPr>
          <w:sz w:val="20"/>
        </w:rPr>
      </w:pPr>
      <w:r>
        <w:rPr>
          <w:position w:val="5"/>
          <w:sz w:val="13"/>
        </w:rPr>
        <w:t>672 </w:t>
      </w:r>
      <w:r>
        <w:rPr>
          <w:sz w:val="20"/>
        </w:rPr>
        <w:t>Barbara Simonsohn: Papaya – Heilen mit der Wunderfrucht ('Papaya – Healing with the Wonder Fruit'), 2nd Edition 1998, p. 173.</w:t>
      </w:r>
    </w:p>
    <w:p>
      <w:pPr>
        <w:spacing w:after="0"/>
        <w:jc w:val="left"/>
        <w:rPr>
          <w:sz w:val="20"/>
        </w:rPr>
        <w:sectPr>
          <w:pgSz w:w="14270" w:h="16850"/>
          <w:pgMar w:header="0" w:footer="1891" w:top="1320" w:bottom="2080" w:left="800" w:right="1280"/>
        </w:sectPr>
      </w:pPr>
    </w:p>
    <w:p>
      <w:pPr>
        <w:pStyle w:val="BodyText"/>
        <w:spacing w:line="276" w:lineRule="auto" w:before="74"/>
        <w:ind w:left="616" w:right="136"/>
        <w:jc w:val="both"/>
      </w:pPr>
      <w:r>
        <w:rPr/>
        <w:t>As</w:t>
      </w:r>
      <w:r>
        <w:rPr>
          <w:spacing w:val="-10"/>
        </w:rPr>
        <w:t> </w:t>
      </w:r>
      <w:r>
        <w:rPr/>
        <w:t>we</w:t>
      </w:r>
      <w:r>
        <w:rPr>
          <w:spacing w:val="-11"/>
        </w:rPr>
        <w:t> </w:t>
      </w:r>
      <w:r>
        <w:rPr/>
        <w:t>have</w:t>
      </w:r>
      <w:r>
        <w:rPr>
          <w:spacing w:val="-12"/>
        </w:rPr>
        <w:t> </w:t>
      </w:r>
      <w:r>
        <w:rPr/>
        <w:t>already</w:t>
      </w:r>
      <w:r>
        <w:rPr>
          <w:spacing w:val="-10"/>
        </w:rPr>
        <w:t> </w:t>
      </w:r>
      <w:r>
        <w:rPr/>
        <w:t>read</w:t>
      </w:r>
      <w:r>
        <w:rPr>
          <w:spacing w:val="-11"/>
        </w:rPr>
        <w:t> </w:t>
      </w:r>
      <w:r>
        <w:rPr/>
        <w:t>a</w:t>
      </w:r>
      <w:r>
        <w:rPr>
          <w:spacing w:val="-13"/>
        </w:rPr>
        <w:t> </w:t>
      </w:r>
      <w:r>
        <w:rPr/>
        <w:t>number</w:t>
      </w:r>
      <w:r>
        <w:rPr>
          <w:spacing w:val="-10"/>
        </w:rPr>
        <w:t> </w:t>
      </w:r>
      <w:r>
        <w:rPr/>
        <w:t>of</w:t>
      </w:r>
      <w:r>
        <w:rPr>
          <w:spacing w:val="-11"/>
        </w:rPr>
        <w:t> </w:t>
      </w:r>
      <w:r>
        <w:rPr/>
        <w:t>times,</w:t>
      </w:r>
      <w:r>
        <w:rPr>
          <w:spacing w:val="-11"/>
        </w:rPr>
        <w:t> </w:t>
      </w:r>
      <w:r>
        <w:rPr/>
        <w:t>the</w:t>
      </w:r>
      <w:r>
        <w:rPr>
          <w:spacing w:val="-11"/>
        </w:rPr>
        <w:t> </w:t>
      </w:r>
      <w:r>
        <w:rPr/>
        <w:t>enzymes</w:t>
      </w:r>
      <w:r>
        <w:rPr>
          <w:spacing w:val="-11"/>
        </w:rPr>
        <w:t> </w:t>
      </w:r>
      <w:r>
        <w:rPr/>
        <w:t>of</w:t>
      </w:r>
      <w:r>
        <w:rPr>
          <w:spacing w:val="-11"/>
        </w:rPr>
        <w:t> </w:t>
      </w:r>
      <w:r>
        <w:rPr/>
        <w:t>the</w:t>
      </w:r>
      <w:r>
        <w:rPr>
          <w:spacing w:val="-12"/>
        </w:rPr>
        <w:t> </w:t>
      </w:r>
      <w:r>
        <w:rPr/>
        <w:t>papaya</w:t>
      </w:r>
      <w:r>
        <w:rPr>
          <w:spacing w:val="-10"/>
        </w:rPr>
        <w:t> </w:t>
      </w:r>
      <w:r>
        <w:rPr/>
        <w:t>are</w:t>
      </w:r>
      <w:r>
        <w:rPr>
          <w:spacing w:val="-10"/>
        </w:rPr>
        <w:t> </w:t>
      </w:r>
      <w:r>
        <w:rPr/>
        <w:t>real virus killers which even confront the HIV virus . These can also help with malaria.</w:t>
      </w:r>
    </w:p>
    <w:p>
      <w:pPr>
        <w:pStyle w:val="Heading1"/>
        <w:spacing w:before="222"/>
        <w:ind w:left="616"/>
      </w:pPr>
      <w:r>
        <w:rPr/>
        <w:t>Effect of papaya on flu and</w:t>
      </w:r>
      <w:r>
        <w:rPr>
          <w:spacing w:val="-51"/>
        </w:rPr>
        <w:t> </w:t>
      </w:r>
      <w:r>
        <w:rPr/>
        <w:t>colds</w:t>
      </w:r>
    </w:p>
    <w:p>
      <w:pPr>
        <w:pStyle w:val="BodyText"/>
        <w:spacing w:line="276" w:lineRule="auto" w:before="299"/>
        <w:ind w:left="616" w:right="134"/>
        <w:jc w:val="both"/>
      </w:pPr>
      <w:r>
        <w:rPr/>
        <w:t>As we know, flu and colds are caused by viruses. Papaya’s effectiveness in combating viruses, bacteria and fungi is, next to its immune strengthening function, what makes papaya a potential remedy for flu and colds. The rest is accomplished</w:t>
      </w:r>
      <w:r>
        <w:rPr>
          <w:spacing w:val="-25"/>
        </w:rPr>
        <w:t> </w:t>
      </w:r>
      <w:r>
        <w:rPr/>
        <w:t>by</w:t>
      </w:r>
      <w:r>
        <w:rPr>
          <w:spacing w:val="-25"/>
        </w:rPr>
        <w:t> </w:t>
      </w:r>
      <w:r>
        <w:rPr/>
        <w:t>the</w:t>
      </w:r>
      <w:r>
        <w:rPr>
          <w:spacing w:val="-25"/>
        </w:rPr>
        <w:t> </w:t>
      </w:r>
      <w:r>
        <w:rPr/>
        <w:t>large</w:t>
      </w:r>
      <w:r>
        <w:rPr>
          <w:spacing w:val="-23"/>
        </w:rPr>
        <w:t> </w:t>
      </w:r>
      <w:r>
        <w:rPr/>
        <w:t>number</w:t>
      </w:r>
      <w:r>
        <w:rPr>
          <w:spacing w:val="-24"/>
        </w:rPr>
        <w:t> </w:t>
      </w:r>
      <w:r>
        <w:rPr/>
        <w:t>of</w:t>
      </w:r>
      <w:r>
        <w:rPr>
          <w:spacing w:val="-26"/>
        </w:rPr>
        <w:t> </w:t>
      </w:r>
      <w:r>
        <w:rPr/>
        <w:t>vitamins</w:t>
      </w:r>
      <w:r>
        <w:rPr>
          <w:spacing w:val="-23"/>
        </w:rPr>
        <w:t> </w:t>
      </w:r>
      <w:r>
        <w:rPr/>
        <w:t>and</w:t>
      </w:r>
      <w:r>
        <w:rPr>
          <w:spacing w:val="-24"/>
        </w:rPr>
        <w:t> </w:t>
      </w:r>
      <w:r>
        <w:rPr/>
        <w:t>other</w:t>
      </w:r>
      <w:r>
        <w:rPr>
          <w:spacing w:val="-26"/>
        </w:rPr>
        <w:t> </w:t>
      </w:r>
      <w:r>
        <w:rPr/>
        <w:t>vital</w:t>
      </w:r>
      <w:r>
        <w:rPr>
          <w:spacing w:val="-25"/>
        </w:rPr>
        <w:t> </w:t>
      </w:r>
      <w:r>
        <w:rPr/>
        <w:t>substances</w:t>
      </w:r>
      <w:r>
        <w:rPr>
          <w:spacing w:val="-23"/>
        </w:rPr>
        <w:t> </w:t>
      </w:r>
      <w:r>
        <w:rPr/>
        <w:t>which are effective against flu and colds, e.g. Vitamin</w:t>
      </w:r>
      <w:r>
        <w:rPr>
          <w:spacing w:val="1"/>
        </w:rPr>
        <w:t> </w:t>
      </w:r>
      <w:r>
        <w:rPr/>
        <w:t>C.</w:t>
      </w:r>
    </w:p>
    <w:p>
      <w:pPr>
        <w:pStyle w:val="Heading1"/>
        <w:spacing w:before="223"/>
        <w:ind w:left="616"/>
      </w:pPr>
      <w:r>
        <w:rPr/>
        <w:t>Effect of papaya on shingles</w:t>
      </w:r>
    </w:p>
    <w:p>
      <w:pPr>
        <w:pStyle w:val="BodyText"/>
        <w:spacing w:before="299"/>
        <w:ind w:left="616"/>
      </w:pPr>
      <w:r>
        <w:rPr/>
        <w:t>Enzyme therapy is a proven alternative treatment for shingles.</w:t>
      </w:r>
    </w:p>
    <w:p>
      <w:pPr>
        <w:pStyle w:val="Heading1"/>
        <w:spacing w:before="287"/>
        <w:ind w:left="616"/>
      </w:pPr>
      <w:r>
        <w:rPr/>
        <w:t>Effect and use of papain on arthritis and rheumatism</w:t>
      </w:r>
    </w:p>
    <w:p>
      <w:pPr>
        <w:pStyle w:val="BodyText"/>
        <w:spacing w:line="276" w:lineRule="auto" w:before="300"/>
        <w:ind w:left="616" w:right="132"/>
        <w:jc w:val="both"/>
      </w:pPr>
      <w:r>
        <w:rPr/>
        <w:t>The enzyme ‘papain’, contained in papaya, thins the blood, detoxifies the in- flammatory site and prevents immune reactions which lead to inflammation. The pains that appear with arthritis or rheumatism are eliminated when the papaya enzymes dissolve the contaminants which painfully irritate the nerve endings. In contrast to the traditional medications used by conventional med- icine,</w:t>
      </w:r>
      <w:r>
        <w:rPr>
          <w:spacing w:val="-9"/>
        </w:rPr>
        <w:t> </w:t>
      </w:r>
      <w:r>
        <w:rPr/>
        <w:t>the</w:t>
      </w:r>
      <w:r>
        <w:rPr>
          <w:spacing w:val="-11"/>
        </w:rPr>
        <w:t> </w:t>
      </w:r>
      <w:r>
        <w:rPr/>
        <w:t>immune</w:t>
      </w:r>
      <w:r>
        <w:rPr>
          <w:spacing w:val="-9"/>
        </w:rPr>
        <w:t> </w:t>
      </w:r>
      <w:r>
        <w:rPr/>
        <w:t>system</w:t>
      </w:r>
      <w:r>
        <w:rPr>
          <w:spacing w:val="-8"/>
        </w:rPr>
        <w:t> </w:t>
      </w:r>
      <w:r>
        <w:rPr/>
        <w:t>is</w:t>
      </w:r>
      <w:r>
        <w:rPr>
          <w:spacing w:val="-12"/>
        </w:rPr>
        <w:t> </w:t>
      </w:r>
      <w:r>
        <w:rPr/>
        <w:t>not</w:t>
      </w:r>
      <w:r>
        <w:rPr>
          <w:spacing w:val="-14"/>
        </w:rPr>
        <w:t> </w:t>
      </w:r>
      <w:r>
        <w:rPr/>
        <w:t>suppressed</w:t>
      </w:r>
      <w:r>
        <w:rPr>
          <w:spacing w:val="-10"/>
        </w:rPr>
        <w:t> </w:t>
      </w:r>
      <w:r>
        <w:rPr/>
        <w:t>but</w:t>
      </w:r>
      <w:r>
        <w:rPr>
          <w:spacing w:val="-10"/>
        </w:rPr>
        <w:t> </w:t>
      </w:r>
      <w:r>
        <w:rPr/>
        <w:t>rather</w:t>
      </w:r>
      <w:r>
        <w:rPr>
          <w:spacing w:val="-9"/>
        </w:rPr>
        <w:t> </w:t>
      </w:r>
      <w:r>
        <w:rPr/>
        <w:t>supported.</w:t>
      </w:r>
      <w:r>
        <w:rPr>
          <w:spacing w:val="-11"/>
        </w:rPr>
        <w:t> </w:t>
      </w:r>
      <w:r>
        <w:rPr/>
        <w:t>Most</w:t>
      </w:r>
      <w:r>
        <w:rPr>
          <w:spacing w:val="-11"/>
        </w:rPr>
        <w:t> </w:t>
      </w:r>
      <w:r>
        <w:rPr/>
        <w:t>people suffering from rheumatism are also over-acidified; here, papaya works against acidification and thus facilitates healing. There are combined preparations for both internal and external use for arthritis and other joint inflammations,</w:t>
      </w:r>
      <w:r>
        <w:rPr>
          <w:spacing w:val="3"/>
        </w:rPr>
        <w:t> </w:t>
      </w:r>
      <w:r>
        <w:rPr/>
        <w:t>e.g.</w:t>
      </w:r>
    </w:p>
    <w:p>
      <w:pPr>
        <w:spacing w:after="0" w:line="276" w:lineRule="auto"/>
        <w:jc w:val="both"/>
        <w:sectPr>
          <w:pgSz w:w="14270" w:h="16850"/>
          <w:pgMar w:header="0" w:footer="1891" w:top="1340" w:bottom="2080" w:left="800" w:right="1280"/>
        </w:sectPr>
      </w:pPr>
    </w:p>
    <w:p>
      <w:pPr>
        <w:pStyle w:val="BodyText"/>
        <w:spacing w:before="74"/>
        <w:ind w:left="616"/>
      </w:pPr>
      <w:r>
        <w:rPr/>
        <w:t>Wobenzym, Mulsal or WobeMugos.</w:t>
      </w:r>
    </w:p>
    <w:p>
      <w:pPr>
        <w:pStyle w:val="Heading1"/>
        <w:spacing w:before="287"/>
        <w:ind w:left="616"/>
      </w:pPr>
      <w:r>
        <w:rPr/>
        <w:t>Effect and use of papaya for menstrual cramps</w:t>
      </w:r>
    </w:p>
    <w:p>
      <w:pPr>
        <w:pStyle w:val="BodyText"/>
        <w:spacing w:line="278" w:lineRule="auto" w:before="297"/>
        <w:ind w:left="616"/>
      </w:pPr>
      <w:r>
        <w:rPr/>
        <w:t>The</w:t>
      </w:r>
      <w:r>
        <w:rPr>
          <w:spacing w:val="-16"/>
        </w:rPr>
        <w:t> </w:t>
      </w:r>
      <w:r>
        <w:rPr/>
        <w:t>use</w:t>
      </w:r>
      <w:r>
        <w:rPr>
          <w:spacing w:val="-17"/>
        </w:rPr>
        <w:t> </w:t>
      </w:r>
      <w:r>
        <w:rPr/>
        <w:t>of</w:t>
      </w:r>
      <w:r>
        <w:rPr>
          <w:spacing w:val="-16"/>
        </w:rPr>
        <w:t> </w:t>
      </w:r>
      <w:r>
        <w:rPr/>
        <w:t>papaya</w:t>
      </w:r>
      <w:r>
        <w:rPr>
          <w:spacing w:val="-18"/>
        </w:rPr>
        <w:t> </w:t>
      </w:r>
      <w:r>
        <w:rPr/>
        <w:t>seeds</w:t>
      </w:r>
      <w:r>
        <w:rPr>
          <w:spacing w:val="-14"/>
        </w:rPr>
        <w:t> </w:t>
      </w:r>
      <w:r>
        <w:rPr/>
        <w:t>is</w:t>
      </w:r>
      <w:r>
        <w:rPr>
          <w:spacing w:val="-17"/>
        </w:rPr>
        <w:t> </w:t>
      </w:r>
      <w:r>
        <w:rPr/>
        <w:t>a</w:t>
      </w:r>
      <w:r>
        <w:rPr>
          <w:spacing w:val="-18"/>
        </w:rPr>
        <w:t> </w:t>
      </w:r>
      <w:r>
        <w:rPr/>
        <w:t>well-proven</w:t>
      </w:r>
      <w:r>
        <w:rPr>
          <w:spacing w:val="-16"/>
        </w:rPr>
        <w:t> </w:t>
      </w:r>
      <w:r>
        <w:rPr/>
        <w:t>remedy</w:t>
      </w:r>
      <w:r>
        <w:rPr>
          <w:spacing w:val="-18"/>
        </w:rPr>
        <w:t> </w:t>
      </w:r>
      <w:r>
        <w:rPr/>
        <w:t>for</w:t>
      </w:r>
      <w:r>
        <w:rPr>
          <w:spacing w:val="-15"/>
        </w:rPr>
        <w:t> </w:t>
      </w:r>
      <w:r>
        <w:rPr/>
        <w:t>menstrual</w:t>
      </w:r>
      <w:r>
        <w:rPr>
          <w:spacing w:val="-17"/>
        </w:rPr>
        <w:t> </w:t>
      </w:r>
      <w:r>
        <w:rPr/>
        <w:t>cramps</w:t>
      </w:r>
      <w:r>
        <w:rPr>
          <w:spacing w:val="-16"/>
        </w:rPr>
        <w:t> </w:t>
      </w:r>
      <w:r>
        <w:rPr/>
        <w:t>and</w:t>
      </w:r>
      <w:r>
        <w:rPr>
          <w:spacing w:val="-16"/>
        </w:rPr>
        <w:t> </w:t>
      </w:r>
      <w:r>
        <w:rPr/>
        <w:t>has been used by native peoples for centuries to counteract these</w:t>
      </w:r>
      <w:r>
        <w:rPr>
          <w:spacing w:val="-16"/>
        </w:rPr>
        <w:t> </w:t>
      </w:r>
      <w:r>
        <w:rPr/>
        <w:t>complaints.</w:t>
      </w:r>
    </w:p>
    <w:p>
      <w:pPr>
        <w:pStyle w:val="Heading1"/>
        <w:spacing w:before="215"/>
        <w:ind w:left="616"/>
      </w:pPr>
      <w:r>
        <w:rPr/>
        <w:t>Effect/use of papaya on burns</w:t>
      </w:r>
    </w:p>
    <w:p>
      <w:pPr>
        <w:pStyle w:val="BodyText"/>
        <w:spacing w:line="276" w:lineRule="auto" w:before="300"/>
        <w:ind w:left="616" w:right="134"/>
        <w:jc w:val="both"/>
      </w:pPr>
      <w:r>
        <w:rPr/>
        <w:t>The use of papaya’s milky sap, or alternatively a papain-based enzyme salve which one rubs onto the wound, can counteract burn blisters and speed up recovery.</w:t>
      </w:r>
    </w:p>
    <w:p>
      <w:pPr>
        <w:pStyle w:val="Heading1"/>
        <w:ind w:left="616"/>
      </w:pPr>
      <w:r>
        <w:rPr/>
        <w:t>Effect and use for wound healing</w:t>
      </w:r>
    </w:p>
    <w:p>
      <w:pPr>
        <w:pStyle w:val="BodyText"/>
        <w:spacing w:line="278" w:lineRule="auto" w:before="297"/>
        <w:ind w:left="616"/>
      </w:pPr>
      <w:r>
        <w:rPr/>
        <w:t>Native peoples use freshly pressed papaya leaves to treat festering wounds. Alternatively, one can also use a papain-containing enzyme salve.</w:t>
      </w:r>
    </w:p>
    <w:p>
      <w:pPr>
        <w:spacing w:after="0" w:line="278" w:lineRule="auto"/>
        <w:sectPr>
          <w:pgSz w:w="14270" w:h="16850"/>
          <w:pgMar w:header="0" w:footer="1891" w:top="1340" w:bottom="2080" w:left="800" w:right="1280"/>
        </w:sectPr>
      </w:pPr>
    </w:p>
    <w:p>
      <w:pPr>
        <w:pStyle w:val="Heading1"/>
        <w:spacing w:before="77"/>
        <w:ind w:left="616"/>
      </w:pPr>
      <w:r>
        <w:rPr/>
        <w:t>Papaya as a weight-loss aid</w:t>
      </w:r>
    </w:p>
    <w:p>
      <w:pPr>
        <w:pStyle w:val="BodyText"/>
        <w:spacing w:line="276" w:lineRule="auto" w:before="299"/>
        <w:ind w:left="616" w:right="133"/>
        <w:jc w:val="both"/>
      </w:pPr>
      <w:r>
        <w:rPr/>
        <w:t>Papaya has an optimal nutritional balance with a very low energy density.</w:t>
      </w:r>
      <w:r>
        <w:rPr>
          <w:spacing w:val="-53"/>
        </w:rPr>
        <w:t> </w:t>
      </w:r>
      <w:r>
        <w:rPr/>
        <w:t>This means that papaya is highly nutritious and vitalising but at the same time low in calories, which is crucial for losing weight.</w:t>
      </w:r>
    </w:p>
    <w:p>
      <w:pPr>
        <w:pStyle w:val="BodyText"/>
        <w:spacing w:line="276" w:lineRule="auto" w:before="239"/>
        <w:ind w:left="616" w:right="133"/>
        <w:jc w:val="both"/>
      </w:pPr>
      <w:r>
        <w:rPr/>
        <w:t>As</w:t>
      </w:r>
      <w:r>
        <w:rPr>
          <w:spacing w:val="-19"/>
        </w:rPr>
        <w:t> </w:t>
      </w:r>
      <w:r>
        <w:rPr/>
        <w:t>a</w:t>
      </w:r>
      <w:r>
        <w:rPr>
          <w:spacing w:val="-20"/>
        </w:rPr>
        <w:t> </w:t>
      </w:r>
      <w:r>
        <w:rPr/>
        <w:t>true</w:t>
      </w:r>
      <w:r>
        <w:rPr>
          <w:spacing w:val="-19"/>
        </w:rPr>
        <w:t> </w:t>
      </w:r>
      <w:r>
        <w:rPr/>
        <w:t>enzyme</w:t>
      </w:r>
      <w:r>
        <w:rPr>
          <w:spacing w:val="-17"/>
        </w:rPr>
        <w:t> </w:t>
      </w:r>
      <w:r>
        <w:rPr/>
        <w:t>bomb,</w:t>
      </w:r>
      <w:r>
        <w:rPr>
          <w:spacing w:val="-18"/>
        </w:rPr>
        <w:t> </w:t>
      </w:r>
      <w:r>
        <w:rPr/>
        <w:t>papaya</w:t>
      </w:r>
      <w:r>
        <w:rPr>
          <w:spacing w:val="-20"/>
        </w:rPr>
        <w:t> </w:t>
      </w:r>
      <w:r>
        <w:rPr/>
        <w:t>also</w:t>
      </w:r>
      <w:r>
        <w:rPr>
          <w:spacing w:val="-17"/>
        </w:rPr>
        <w:t> </w:t>
      </w:r>
      <w:r>
        <w:rPr/>
        <w:t>helps</w:t>
      </w:r>
      <w:r>
        <w:rPr>
          <w:spacing w:val="-18"/>
        </w:rPr>
        <w:t> </w:t>
      </w:r>
      <w:r>
        <w:rPr/>
        <w:t>stimulate</w:t>
      </w:r>
      <w:r>
        <w:rPr>
          <w:spacing w:val="-20"/>
        </w:rPr>
        <w:t> </w:t>
      </w:r>
      <w:r>
        <w:rPr/>
        <w:t>digestion</w:t>
      </w:r>
      <w:r>
        <w:rPr>
          <w:spacing w:val="-18"/>
        </w:rPr>
        <w:t> </w:t>
      </w:r>
      <w:r>
        <w:rPr/>
        <w:t>and</w:t>
      </w:r>
      <w:r>
        <w:rPr>
          <w:spacing w:val="-16"/>
        </w:rPr>
        <w:t> </w:t>
      </w:r>
      <w:r>
        <w:rPr/>
        <w:t>metabolism. Digestion occurs more efficiently and nutrients are broken down more effec- tively and quickly and recruited for energy delivery instead of – as is the case with slow digestion – burdening the intestinal tract and getting stored as body fat. The ripe flesh of the papaya fruit is also a real diuretic, which dehydrates the body and flushes water build-ups from bodily</w:t>
      </w:r>
      <w:r>
        <w:rPr>
          <w:spacing w:val="1"/>
        </w:rPr>
        <w:t> </w:t>
      </w:r>
      <w:r>
        <w:rPr/>
        <w:t>tissue.</w:t>
      </w:r>
    </w:p>
    <w:p>
      <w:pPr>
        <w:pStyle w:val="Heading1"/>
        <w:spacing w:before="223"/>
        <w:ind w:left="616"/>
      </w:pPr>
      <w:r>
        <w:rPr/>
        <w:t>Effect of papaya on cellulitis</w:t>
      </w:r>
    </w:p>
    <w:p>
      <w:pPr>
        <w:pStyle w:val="BodyText"/>
        <w:spacing w:line="276" w:lineRule="auto" w:before="299"/>
        <w:ind w:left="616" w:right="130"/>
        <w:jc w:val="both"/>
      </w:pPr>
      <w:r>
        <w:rPr/>
        <w:t>Cellulitis is the result of stored food waste and weak connective tissue. En- zyme-rich fruits like the papaya can counteract cellulitis on the basis of its de- acidifying and purgative effects.</w:t>
      </w:r>
    </w:p>
    <w:p>
      <w:pPr>
        <w:pStyle w:val="Heading1"/>
        <w:spacing w:before="225"/>
        <w:ind w:left="616"/>
      </w:pPr>
      <w:r>
        <w:rPr/>
        <w:t>Papaya and its effect/use on bleeding of the gums and parodontosis</w:t>
      </w:r>
    </w:p>
    <w:p>
      <w:pPr>
        <w:pStyle w:val="BodyText"/>
        <w:spacing w:line="276" w:lineRule="auto" w:before="297"/>
        <w:ind w:left="616" w:right="138"/>
        <w:jc w:val="both"/>
      </w:pPr>
      <w:r>
        <w:rPr/>
        <w:t>Best suited for this purpose is the whole ripe papaya fruit. You massage the gums with the flesh of the fruit and with the papaya seeds several times per day until the desired result occurs.</w:t>
      </w:r>
    </w:p>
    <w:p>
      <w:pPr>
        <w:pStyle w:val="Heading1"/>
        <w:ind w:left="616"/>
        <w:jc w:val="both"/>
      </w:pPr>
      <w:r>
        <w:rPr/>
        <w:t>Effect and use of papaya on</w:t>
      </w:r>
      <w:r>
        <w:rPr>
          <w:spacing w:val="-55"/>
        </w:rPr>
        <w:t> </w:t>
      </w:r>
      <w:r>
        <w:rPr/>
        <w:t>cancer</w:t>
      </w:r>
    </w:p>
    <w:p>
      <w:pPr>
        <w:pStyle w:val="BodyText"/>
        <w:spacing w:before="299"/>
        <w:ind w:left="616"/>
        <w:jc w:val="both"/>
      </w:pPr>
      <w:r>
        <w:rPr/>
        <w:t>Because papaya has primarily proven itself to be an effective remedy against</w:t>
      </w:r>
    </w:p>
    <w:p>
      <w:pPr>
        <w:spacing w:after="0"/>
        <w:jc w:val="both"/>
        <w:sectPr>
          <w:pgSz w:w="14270" w:h="16850"/>
          <w:pgMar w:header="0" w:footer="1891" w:top="1320" w:bottom="2080" w:left="800" w:right="1280"/>
        </w:sectPr>
      </w:pPr>
    </w:p>
    <w:p>
      <w:pPr>
        <w:pStyle w:val="BodyText"/>
        <w:spacing w:line="278" w:lineRule="auto" w:before="72"/>
        <w:ind w:left="616" w:right="134"/>
        <w:jc w:val="both"/>
      </w:pPr>
      <w:r>
        <w:rPr/>
        <w:t>the life-threatening disease of cancer, we have dedicated a separate section to this subject (see the section ‘Papaya and Cancer’).</w:t>
      </w:r>
    </w:p>
    <w:p>
      <w:pPr>
        <w:pStyle w:val="Heading1"/>
        <w:spacing w:before="215"/>
        <w:ind w:left="616"/>
      </w:pPr>
      <w:r>
        <w:rPr/>
        <w:t>Rejuvenating effect of papaya</w:t>
      </w:r>
    </w:p>
    <w:p>
      <w:pPr>
        <w:pStyle w:val="BodyText"/>
        <w:spacing w:line="278" w:lineRule="auto" w:before="299"/>
        <w:ind w:left="616" w:right="142"/>
        <w:jc w:val="both"/>
      </w:pPr>
      <w:r>
        <w:rPr/>
        <w:t>The effect of papaya against early ageing has its own dedicated section below (see ‘Papaya Anti-Ageing’).</w:t>
      </w:r>
    </w:p>
    <w:p>
      <w:pPr>
        <w:pStyle w:val="BodyText"/>
        <w:rPr>
          <w:sz w:val="42"/>
        </w:rPr>
      </w:pPr>
    </w:p>
    <w:p>
      <w:pPr>
        <w:pStyle w:val="BodyText"/>
        <w:spacing w:before="8"/>
        <w:rPr>
          <w:sz w:val="43"/>
        </w:rPr>
      </w:pPr>
    </w:p>
    <w:p>
      <w:pPr>
        <w:pStyle w:val="Heading2"/>
        <w:spacing w:before="1"/>
        <w:ind w:left="616"/>
      </w:pPr>
      <w:r>
        <w:rPr/>
        <w:t>Papaya and cancer</w:t>
      </w:r>
    </w:p>
    <w:p>
      <w:pPr>
        <w:spacing w:before="287"/>
        <w:ind w:left="616" w:right="0" w:firstLine="0"/>
        <w:jc w:val="left"/>
        <w:rPr>
          <w:b/>
          <w:i/>
          <w:sz w:val="40"/>
        </w:rPr>
      </w:pPr>
      <w:r>
        <w:rPr>
          <w:b/>
          <w:i/>
          <w:sz w:val="40"/>
        </w:rPr>
        <w:t>Effect and use of papaya (papain) on cancer</w:t>
      </w:r>
    </w:p>
    <w:p>
      <w:pPr>
        <w:pStyle w:val="BodyText"/>
        <w:spacing w:line="276" w:lineRule="auto" w:before="299"/>
        <w:ind w:left="616" w:right="137"/>
        <w:jc w:val="both"/>
      </w:pPr>
      <w:r>
        <w:rPr/>
        <w:t>Papaya</w:t>
      </w:r>
      <w:r>
        <w:rPr>
          <w:spacing w:val="-12"/>
        </w:rPr>
        <w:t> </w:t>
      </w:r>
      <w:r>
        <w:rPr/>
        <w:t>has</w:t>
      </w:r>
      <w:r>
        <w:rPr>
          <w:spacing w:val="-11"/>
        </w:rPr>
        <w:t> </w:t>
      </w:r>
      <w:r>
        <w:rPr/>
        <w:t>been</w:t>
      </w:r>
      <w:r>
        <w:rPr>
          <w:spacing w:val="-11"/>
        </w:rPr>
        <w:t> </w:t>
      </w:r>
      <w:r>
        <w:rPr/>
        <w:t>used</w:t>
      </w:r>
      <w:r>
        <w:rPr>
          <w:spacing w:val="-13"/>
        </w:rPr>
        <w:t> </w:t>
      </w:r>
      <w:r>
        <w:rPr/>
        <w:t>for</w:t>
      </w:r>
      <w:r>
        <w:rPr>
          <w:spacing w:val="-10"/>
        </w:rPr>
        <w:t> </w:t>
      </w:r>
      <w:r>
        <w:rPr/>
        <w:t>centuries</w:t>
      </w:r>
      <w:r>
        <w:rPr>
          <w:spacing w:val="-11"/>
        </w:rPr>
        <w:t> </w:t>
      </w:r>
      <w:r>
        <w:rPr/>
        <w:t>by</w:t>
      </w:r>
      <w:r>
        <w:rPr>
          <w:spacing w:val="-12"/>
        </w:rPr>
        <w:t> </w:t>
      </w:r>
      <w:r>
        <w:rPr/>
        <w:t>the</w:t>
      </w:r>
      <w:r>
        <w:rPr>
          <w:spacing w:val="-11"/>
        </w:rPr>
        <w:t> </w:t>
      </w:r>
      <w:r>
        <w:rPr/>
        <w:t>Indians</w:t>
      </w:r>
      <w:r>
        <w:rPr>
          <w:spacing w:val="-11"/>
        </w:rPr>
        <w:t> </w:t>
      </w:r>
      <w:r>
        <w:rPr/>
        <w:t>of</w:t>
      </w:r>
      <w:r>
        <w:rPr>
          <w:spacing w:val="-12"/>
        </w:rPr>
        <w:t> </w:t>
      </w:r>
      <w:r>
        <w:rPr/>
        <w:t>Central</w:t>
      </w:r>
      <w:r>
        <w:rPr>
          <w:spacing w:val="-12"/>
        </w:rPr>
        <w:t> </w:t>
      </w:r>
      <w:r>
        <w:rPr/>
        <w:t>and</w:t>
      </w:r>
      <w:r>
        <w:rPr>
          <w:spacing w:val="-11"/>
        </w:rPr>
        <w:t> </w:t>
      </w:r>
      <w:r>
        <w:rPr/>
        <w:t>South</w:t>
      </w:r>
      <w:r>
        <w:rPr>
          <w:spacing w:val="-12"/>
        </w:rPr>
        <w:t> </w:t>
      </w:r>
      <w:r>
        <w:rPr/>
        <w:t>Amer- ica, by the Aborigines, the native peoples of Australia, and by the Kahunas of Hawaii as a traditional cancer</w:t>
      </w:r>
      <w:r>
        <w:rPr>
          <w:spacing w:val="-3"/>
        </w:rPr>
        <w:t> </w:t>
      </w:r>
      <w:r>
        <w:rPr/>
        <w:t>remedy.</w:t>
      </w:r>
    </w:p>
    <w:p>
      <w:pPr>
        <w:pStyle w:val="BodyText"/>
        <w:spacing w:line="276" w:lineRule="auto" w:before="239"/>
        <w:ind w:left="616" w:right="137"/>
        <w:jc w:val="both"/>
      </w:pPr>
      <w:r>
        <w:rPr/>
        <w:t>There</w:t>
      </w:r>
      <w:r>
        <w:rPr>
          <w:spacing w:val="-19"/>
        </w:rPr>
        <w:t> </w:t>
      </w:r>
      <w:r>
        <w:rPr/>
        <w:t>are</w:t>
      </w:r>
      <w:r>
        <w:rPr>
          <w:spacing w:val="-20"/>
        </w:rPr>
        <w:t> </w:t>
      </w:r>
      <w:r>
        <w:rPr/>
        <w:t>numerous</w:t>
      </w:r>
      <w:r>
        <w:rPr>
          <w:spacing w:val="-20"/>
        </w:rPr>
        <w:t> </w:t>
      </w:r>
      <w:r>
        <w:rPr/>
        <w:t>first-hand</w:t>
      </w:r>
      <w:r>
        <w:rPr>
          <w:spacing w:val="-19"/>
        </w:rPr>
        <w:t> </w:t>
      </w:r>
      <w:r>
        <w:rPr/>
        <w:t>reports</w:t>
      </w:r>
      <w:r>
        <w:rPr>
          <w:spacing w:val="-19"/>
        </w:rPr>
        <w:t> </w:t>
      </w:r>
      <w:r>
        <w:rPr/>
        <w:t>of</w:t>
      </w:r>
      <w:r>
        <w:rPr>
          <w:spacing w:val="-22"/>
        </w:rPr>
        <w:t> </w:t>
      </w:r>
      <w:r>
        <w:rPr/>
        <w:t>people,</w:t>
      </w:r>
      <w:r>
        <w:rPr>
          <w:spacing w:val="-23"/>
        </w:rPr>
        <w:t> </w:t>
      </w:r>
      <w:r>
        <w:rPr/>
        <w:t>on</w:t>
      </w:r>
      <w:r>
        <w:rPr>
          <w:spacing w:val="-19"/>
        </w:rPr>
        <w:t> </w:t>
      </w:r>
      <w:r>
        <w:rPr/>
        <w:t>whom</w:t>
      </w:r>
      <w:r>
        <w:rPr>
          <w:spacing w:val="-19"/>
        </w:rPr>
        <w:t> </w:t>
      </w:r>
      <w:r>
        <w:rPr/>
        <w:t>conventional</w:t>
      </w:r>
      <w:r>
        <w:rPr>
          <w:spacing w:val="-20"/>
        </w:rPr>
        <w:t> </w:t>
      </w:r>
      <w:r>
        <w:rPr/>
        <w:t>med- icine had given up, being healed of their cancer through the use of papaya alone. Cancer-inhibiting substances have been identified in both the skin and the leaves and stems of the papaya fruit.</w:t>
      </w:r>
    </w:p>
    <w:p>
      <w:pPr>
        <w:spacing w:after="0" w:line="276" w:lineRule="auto"/>
        <w:jc w:val="both"/>
        <w:sectPr>
          <w:pgSz w:w="14270" w:h="16850"/>
          <w:pgMar w:header="0" w:footer="1891" w:top="1340" w:bottom="2080" w:left="800" w:right="1280"/>
        </w:sectPr>
      </w:pPr>
    </w:p>
    <w:p>
      <w:pPr>
        <w:pStyle w:val="Heading1"/>
        <w:spacing w:line="261" w:lineRule="auto" w:before="77"/>
        <w:ind w:left="616" w:right="139"/>
        <w:jc w:val="both"/>
      </w:pPr>
      <w:r>
        <w:rPr>
          <w:w w:val="95"/>
        </w:rPr>
        <w:t>Proof</w:t>
      </w:r>
      <w:r>
        <w:rPr>
          <w:spacing w:val="-17"/>
          <w:w w:val="95"/>
        </w:rPr>
        <w:t> </w:t>
      </w:r>
      <w:r>
        <w:rPr>
          <w:w w:val="95"/>
        </w:rPr>
        <w:t>of</w:t>
      </w:r>
      <w:r>
        <w:rPr>
          <w:spacing w:val="-17"/>
          <w:w w:val="95"/>
        </w:rPr>
        <w:t> </w:t>
      </w:r>
      <w:r>
        <w:rPr>
          <w:w w:val="95"/>
        </w:rPr>
        <w:t>effectiveness</w:t>
      </w:r>
      <w:r>
        <w:rPr>
          <w:spacing w:val="-16"/>
          <w:w w:val="95"/>
        </w:rPr>
        <w:t> </w:t>
      </w:r>
      <w:r>
        <w:rPr>
          <w:w w:val="95"/>
        </w:rPr>
        <w:t>confirmed</w:t>
      </w:r>
      <w:r>
        <w:rPr>
          <w:spacing w:val="-15"/>
          <w:w w:val="95"/>
        </w:rPr>
        <w:t> </w:t>
      </w:r>
      <w:r>
        <w:rPr>
          <w:w w:val="95"/>
        </w:rPr>
        <w:t>by</w:t>
      </w:r>
      <w:r>
        <w:rPr>
          <w:spacing w:val="-18"/>
          <w:w w:val="95"/>
        </w:rPr>
        <w:t> </w:t>
      </w:r>
      <w:r>
        <w:rPr>
          <w:w w:val="95"/>
        </w:rPr>
        <w:t>the</w:t>
      </w:r>
      <w:r>
        <w:rPr>
          <w:spacing w:val="-18"/>
          <w:w w:val="95"/>
        </w:rPr>
        <w:t> </w:t>
      </w:r>
      <w:r>
        <w:rPr>
          <w:w w:val="95"/>
        </w:rPr>
        <w:t>National</w:t>
      </w:r>
      <w:r>
        <w:rPr>
          <w:spacing w:val="-17"/>
          <w:w w:val="95"/>
        </w:rPr>
        <w:t> </w:t>
      </w:r>
      <w:r>
        <w:rPr>
          <w:w w:val="95"/>
        </w:rPr>
        <w:t>Cancer</w:t>
      </w:r>
      <w:r>
        <w:rPr>
          <w:spacing w:val="-18"/>
          <w:w w:val="95"/>
        </w:rPr>
        <w:t> </w:t>
      </w:r>
      <w:r>
        <w:rPr>
          <w:w w:val="95"/>
        </w:rPr>
        <w:t>Institute</w:t>
      </w:r>
      <w:r>
        <w:rPr>
          <w:spacing w:val="-18"/>
          <w:w w:val="95"/>
        </w:rPr>
        <w:t> </w:t>
      </w:r>
      <w:r>
        <w:rPr>
          <w:w w:val="95"/>
        </w:rPr>
        <w:t>(NCI) </w:t>
      </w:r>
      <w:r>
        <w:rPr/>
        <w:t>of the United</w:t>
      </w:r>
      <w:r>
        <w:rPr>
          <w:spacing w:val="-23"/>
        </w:rPr>
        <w:t> </w:t>
      </w:r>
      <w:r>
        <w:rPr/>
        <w:t>States</w:t>
      </w:r>
    </w:p>
    <w:p>
      <w:pPr>
        <w:pStyle w:val="BodyText"/>
        <w:spacing w:line="276" w:lineRule="auto" w:before="258"/>
        <w:ind w:left="616" w:right="135"/>
        <w:jc w:val="both"/>
      </w:pPr>
      <w:r>
        <w:rPr/>
        <w:t>The effect of papaya on cancer was comprehensively studied from 1992 to 1995</w:t>
      </w:r>
      <w:r>
        <w:rPr>
          <w:spacing w:val="-20"/>
        </w:rPr>
        <w:t> </w:t>
      </w:r>
      <w:r>
        <w:rPr/>
        <w:t>in</w:t>
      </w:r>
      <w:r>
        <w:rPr>
          <w:spacing w:val="-19"/>
        </w:rPr>
        <w:t> </w:t>
      </w:r>
      <w:r>
        <w:rPr/>
        <w:t>the</w:t>
      </w:r>
      <w:r>
        <w:rPr>
          <w:spacing w:val="-17"/>
        </w:rPr>
        <w:t> </w:t>
      </w:r>
      <w:r>
        <w:rPr/>
        <w:t>Office</w:t>
      </w:r>
      <w:r>
        <w:rPr>
          <w:spacing w:val="-18"/>
        </w:rPr>
        <w:t> </w:t>
      </w:r>
      <w:r>
        <w:rPr/>
        <w:t>for</w:t>
      </w:r>
      <w:r>
        <w:rPr>
          <w:spacing w:val="-17"/>
        </w:rPr>
        <w:t> </w:t>
      </w:r>
      <w:r>
        <w:rPr/>
        <w:t>Medicinal</w:t>
      </w:r>
      <w:r>
        <w:rPr>
          <w:spacing w:val="-20"/>
        </w:rPr>
        <w:t> </w:t>
      </w:r>
      <w:r>
        <w:rPr/>
        <w:t>Chemistry</w:t>
      </w:r>
      <w:r>
        <w:rPr>
          <w:spacing w:val="-17"/>
        </w:rPr>
        <w:t> </w:t>
      </w:r>
      <w:r>
        <w:rPr/>
        <w:t>and</w:t>
      </w:r>
      <w:r>
        <w:rPr>
          <w:spacing w:val="-19"/>
        </w:rPr>
        <w:t> </w:t>
      </w:r>
      <w:r>
        <w:rPr/>
        <w:t>Pharmacology</w:t>
      </w:r>
      <w:r>
        <w:rPr>
          <w:spacing w:val="-17"/>
        </w:rPr>
        <w:t> </w:t>
      </w:r>
      <w:r>
        <w:rPr/>
        <w:t>by</w:t>
      </w:r>
      <w:r>
        <w:rPr>
          <w:spacing w:val="-21"/>
        </w:rPr>
        <w:t> </w:t>
      </w:r>
      <w:r>
        <w:rPr/>
        <w:t>the</w:t>
      </w:r>
      <w:r>
        <w:rPr>
          <w:spacing w:val="-18"/>
        </w:rPr>
        <w:t> </w:t>
      </w:r>
      <w:r>
        <w:rPr/>
        <w:t>scientists Dr. Jerry L. McLaughlin, Dr. Yan Zhang, Dr. Qing Ye and Geng-Xian Zhao, supported by the National Cancer Institute</w:t>
      </w:r>
      <w:r>
        <w:rPr>
          <w:i/>
        </w:rPr>
        <w:t>, </w:t>
      </w:r>
      <w:r>
        <w:rPr/>
        <w:t>the NCI, and National Health</w:t>
      </w:r>
      <w:r>
        <w:rPr>
          <w:spacing w:val="-42"/>
        </w:rPr>
        <w:t> </w:t>
      </w:r>
      <w:r>
        <w:rPr/>
        <w:t>In- stitute of the United States. After extensive research, they came to the result that</w:t>
      </w:r>
      <w:r>
        <w:rPr>
          <w:spacing w:val="-9"/>
        </w:rPr>
        <w:t> </w:t>
      </w:r>
      <w:r>
        <w:rPr/>
        <w:t>there</w:t>
      </w:r>
      <w:r>
        <w:rPr>
          <w:spacing w:val="-9"/>
        </w:rPr>
        <w:t> </w:t>
      </w:r>
      <w:r>
        <w:rPr/>
        <w:t>are</w:t>
      </w:r>
      <w:r>
        <w:rPr>
          <w:spacing w:val="-8"/>
        </w:rPr>
        <w:t> </w:t>
      </w:r>
      <w:r>
        <w:rPr/>
        <w:t>cancer-inhibiting</w:t>
      </w:r>
      <w:r>
        <w:rPr>
          <w:spacing w:val="-9"/>
        </w:rPr>
        <w:t> </w:t>
      </w:r>
      <w:r>
        <w:rPr/>
        <w:t>substances</w:t>
      </w:r>
      <w:r>
        <w:rPr>
          <w:spacing w:val="-8"/>
        </w:rPr>
        <w:t> </w:t>
      </w:r>
      <w:r>
        <w:rPr/>
        <w:t>in</w:t>
      </w:r>
      <w:r>
        <w:rPr>
          <w:spacing w:val="-7"/>
        </w:rPr>
        <w:t> </w:t>
      </w:r>
      <w:r>
        <w:rPr>
          <w:u w:val="single"/>
        </w:rPr>
        <w:t>every</w:t>
      </w:r>
      <w:r>
        <w:rPr>
          <w:spacing w:val="-9"/>
        </w:rPr>
        <w:t> </w:t>
      </w:r>
      <w:r>
        <w:rPr/>
        <w:t>part</w:t>
      </w:r>
      <w:r>
        <w:rPr>
          <w:spacing w:val="-10"/>
        </w:rPr>
        <w:t> </w:t>
      </w:r>
      <w:r>
        <w:rPr/>
        <w:t>of</w:t>
      </w:r>
      <w:r>
        <w:rPr>
          <w:spacing w:val="-8"/>
        </w:rPr>
        <w:t> </w:t>
      </w:r>
      <w:r>
        <w:rPr/>
        <w:t>the</w:t>
      </w:r>
      <w:r>
        <w:rPr>
          <w:spacing w:val="-8"/>
        </w:rPr>
        <w:t> </w:t>
      </w:r>
      <w:r>
        <w:rPr/>
        <w:t>papaya</w:t>
      </w:r>
      <w:r>
        <w:rPr>
          <w:spacing w:val="-9"/>
        </w:rPr>
        <w:t> </w:t>
      </w:r>
      <w:r>
        <w:rPr/>
        <w:t>tree,</w:t>
      </w:r>
      <w:r>
        <w:rPr>
          <w:spacing w:val="-7"/>
        </w:rPr>
        <w:t> </w:t>
      </w:r>
      <w:r>
        <w:rPr/>
        <w:t>but especially in the leaves, the stems, and the small</w:t>
      </w:r>
      <w:r>
        <w:rPr>
          <w:spacing w:val="1"/>
        </w:rPr>
        <w:t> </w:t>
      </w:r>
      <w:r>
        <w:rPr/>
        <w:t>branches.</w:t>
      </w:r>
    </w:p>
    <w:p>
      <w:pPr>
        <w:pStyle w:val="BodyText"/>
        <w:spacing w:line="276" w:lineRule="auto" w:before="241"/>
        <w:ind w:left="616" w:right="134"/>
        <w:jc w:val="both"/>
      </w:pPr>
      <w:r>
        <w:rPr/>
        <w:t>As of today, there are over 600 scientific studies on the healing power of pa- paya</w:t>
      </w:r>
      <w:r>
        <w:rPr>
          <w:spacing w:val="-11"/>
        </w:rPr>
        <w:t> </w:t>
      </w:r>
      <w:r>
        <w:rPr/>
        <w:t>on</w:t>
      </w:r>
      <w:r>
        <w:rPr>
          <w:spacing w:val="-9"/>
        </w:rPr>
        <w:t> </w:t>
      </w:r>
      <w:r>
        <w:rPr/>
        <w:t>cancer,</w:t>
      </w:r>
      <w:r>
        <w:rPr>
          <w:spacing w:val="-14"/>
        </w:rPr>
        <w:t> </w:t>
      </w:r>
      <w:r>
        <w:rPr/>
        <w:t>and</w:t>
      </w:r>
      <w:r>
        <w:rPr>
          <w:spacing w:val="-10"/>
        </w:rPr>
        <w:t> </w:t>
      </w:r>
      <w:r>
        <w:rPr/>
        <w:t>the</w:t>
      </w:r>
      <w:r>
        <w:rPr>
          <w:spacing w:val="-10"/>
        </w:rPr>
        <w:t> </w:t>
      </w:r>
      <w:r>
        <w:rPr/>
        <w:t>Australian</w:t>
      </w:r>
      <w:r>
        <w:rPr>
          <w:spacing w:val="-11"/>
        </w:rPr>
        <w:t> </w:t>
      </w:r>
      <w:r>
        <w:rPr/>
        <w:t>government</w:t>
      </w:r>
      <w:r>
        <w:rPr>
          <w:spacing w:val="-15"/>
        </w:rPr>
        <w:t> </w:t>
      </w:r>
      <w:r>
        <w:rPr/>
        <w:t>officially</w:t>
      </w:r>
      <w:r>
        <w:rPr>
          <w:spacing w:val="-12"/>
        </w:rPr>
        <w:t> </w:t>
      </w:r>
      <w:r>
        <w:rPr/>
        <w:t>states</w:t>
      </w:r>
      <w:r>
        <w:rPr>
          <w:spacing w:val="-11"/>
        </w:rPr>
        <w:t> </w:t>
      </w:r>
      <w:r>
        <w:rPr/>
        <w:t>that</w:t>
      </w:r>
      <w:r>
        <w:rPr>
          <w:spacing w:val="-10"/>
        </w:rPr>
        <w:t> </w:t>
      </w:r>
      <w:r>
        <w:rPr/>
        <w:t>the</w:t>
      </w:r>
      <w:r>
        <w:rPr>
          <w:spacing w:val="-6"/>
        </w:rPr>
        <w:t> </w:t>
      </w:r>
      <w:r>
        <w:rPr/>
        <w:t>papaya plant is a medicinal plant for</w:t>
      </w:r>
      <w:r>
        <w:rPr>
          <w:spacing w:val="-2"/>
        </w:rPr>
        <w:t> </w:t>
      </w:r>
      <w:r>
        <w:rPr/>
        <w:t>cancer.</w:t>
      </w:r>
    </w:p>
    <w:p>
      <w:pPr>
        <w:pStyle w:val="BodyText"/>
        <w:spacing w:line="276" w:lineRule="auto" w:before="241"/>
        <w:ind w:left="616" w:right="133"/>
        <w:jc w:val="both"/>
      </w:pPr>
      <w:r>
        <w:rPr/>
        <w:t>The oldest report on the use of papain was found by Barbara Simonsohn, the author of the book Papaya – Healing with the Wonder Fruit</w:t>
      </w:r>
      <w:r>
        <w:rPr>
          <w:i/>
        </w:rPr>
        <w:t>, </w:t>
      </w:r>
      <w:r>
        <w:rPr/>
        <w:t>in the British Medical</w:t>
      </w:r>
      <w:r>
        <w:rPr>
          <w:spacing w:val="-23"/>
        </w:rPr>
        <w:t> </w:t>
      </w:r>
      <w:r>
        <w:rPr/>
        <w:t>Journal</w:t>
      </w:r>
      <w:r>
        <w:rPr>
          <w:spacing w:val="-17"/>
        </w:rPr>
        <w:t> </w:t>
      </w:r>
      <w:r>
        <w:rPr/>
        <w:t>of</w:t>
      </w:r>
      <w:r>
        <w:rPr>
          <w:spacing w:val="-21"/>
        </w:rPr>
        <w:t> </w:t>
      </w:r>
      <w:r>
        <w:rPr/>
        <w:t>16</w:t>
      </w:r>
      <w:r>
        <w:rPr>
          <w:spacing w:val="-21"/>
        </w:rPr>
        <w:t> </w:t>
      </w:r>
      <w:r>
        <w:rPr/>
        <w:t>June</w:t>
      </w:r>
      <w:r>
        <w:rPr>
          <w:spacing w:val="-21"/>
        </w:rPr>
        <w:t> </w:t>
      </w:r>
      <w:r>
        <w:rPr/>
        <w:t>1906.</w:t>
      </w:r>
      <w:r>
        <w:rPr>
          <w:spacing w:val="-18"/>
        </w:rPr>
        <w:t> </w:t>
      </w:r>
      <w:r>
        <w:rPr/>
        <w:t>There,</w:t>
      </w:r>
      <w:r>
        <w:rPr>
          <w:spacing w:val="-21"/>
        </w:rPr>
        <w:t> </w:t>
      </w:r>
      <w:r>
        <w:rPr/>
        <w:t>W.J.</w:t>
      </w:r>
      <w:r>
        <w:rPr>
          <w:spacing w:val="-19"/>
        </w:rPr>
        <w:t> </w:t>
      </w:r>
      <w:r>
        <w:rPr/>
        <w:t>Branch</w:t>
      </w:r>
      <w:r>
        <w:rPr>
          <w:spacing w:val="-21"/>
        </w:rPr>
        <w:t> </w:t>
      </w:r>
      <w:r>
        <w:rPr/>
        <w:t>writes</w:t>
      </w:r>
      <w:r>
        <w:rPr>
          <w:spacing w:val="-19"/>
        </w:rPr>
        <w:t> </w:t>
      </w:r>
      <w:r>
        <w:rPr/>
        <w:t>about</w:t>
      </w:r>
      <w:r>
        <w:rPr>
          <w:spacing w:val="-21"/>
        </w:rPr>
        <w:t> </w:t>
      </w:r>
      <w:r>
        <w:rPr/>
        <w:t>his</w:t>
      </w:r>
      <w:r>
        <w:rPr>
          <w:spacing w:val="-19"/>
        </w:rPr>
        <w:t> </w:t>
      </w:r>
      <w:r>
        <w:rPr/>
        <w:t>successes dissolving a tumour with an injection of 2 g of papain: </w:t>
      </w:r>
      <w:r>
        <w:rPr>
          <w:i/>
        </w:rPr>
        <w:t>‘One of the tumours</w:t>
      </w:r>
      <w:r>
        <w:rPr>
          <w:i/>
          <w:spacing w:val="-62"/>
        </w:rPr>
        <w:t> </w:t>
      </w:r>
      <w:r>
        <w:rPr>
          <w:i/>
        </w:rPr>
        <w:t>needed </w:t>
      </w:r>
      <w:r>
        <w:rPr>
          <w:i/>
        </w:rPr>
        <w:t>to be injected with this solution three times before it dissolved.’ </w:t>
      </w:r>
      <w:r>
        <w:rPr/>
        <w:t>But even Columbus, Marco</w:t>
      </w:r>
      <w:r>
        <w:rPr>
          <w:spacing w:val="-17"/>
        </w:rPr>
        <w:t> </w:t>
      </w:r>
      <w:r>
        <w:rPr/>
        <w:t>Polo,</w:t>
      </w:r>
      <w:r>
        <w:rPr>
          <w:spacing w:val="-17"/>
        </w:rPr>
        <w:t> </w:t>
      </w:r>
      <w:r>
        <w:rPr/>
        <w:t>Magellan</w:t>
      </w:r>
      <w:r>
        <w:rPr>
          <w:spacing w:val="-16"/>
        </w:rPr>
        <w:t> </w:t>
      </w:r>
      <w:r>
        <w:rPr/>
        <w:t>and</w:t>
      </w:r>
      <w:r>
        <w:rPr>
          <w:spacing w:val="-17"/>
        </w:rPr>
        <w:t> </w:t>
      </w:r>
      <w:r>
        <w:rPr/>
        <w:t>Vasco</w:t>
      </w:r>
      <w:r>
        <w:rPr>
          <w:spacing w:val="-17"/>
        </w:rPr>
        <w:t> </w:t>
      </w:r>
      <w:r>
        <w:rPr/>
        <w:t>da</w:t>
      </w:r>
      <w:r>
        <w:rPr>
          <w:spacing w:val="-17"/>
        </w:rPr>
        <w:t> </w:t>
      </w:r>
      <w:r>
        <w:rPr/>
        <w:t>Gama</w:t>
      </w:r>
      <w:r>
        <w:rPr>
          <w:spacing w:val="-16"/>
        </w:rPr>
        <w:t> </w:t>
      </w:r>
      <w:r>
        <w:rPr/>
        <w:t>had</w:t>
      </w:r>
      <w:r>
        <w:rPr>
          <w:spacing w:val="-16"/>
        </w:rPr>
        <w:t> </w:t>
      </w:r>
      <w:r>
        <w:rPr/>
        <w:t>already</w:t>
      </w:r>
      <w:r>
        <w:rPr>
          <w:spacing w:val="-18"/>
        </w:rPr>
        <w:t> </w:t>
      </w:r>
      <w:r>
        <w:rPr/>
        <w:t>reported</w:t>
      </w:r>
      <w:r>
        <w:rPr>
          <w:spacing w:val="-18"/>
        </w:rPr>
        <w:t> </w:t>
      </w:r>
      <w:r>
        <w:rPr/>
        <w:t>on</w:t>
      </w:r>
      <w:r>
        <w:rPr>
          <w:spacing w:val="-16"/>
        </w:rPr>
        <w:t> </w:t>
      </w:r>
      <w:r>
        <w:rPr/>
        <w:t>the</w:t>
      </w:r>
      <w:r>
        <w:rPr>
          <w:spacing w:val="-6"/>
        </w:rPr>
        <w:t> </w:t>
      </w:r>
      <w:r>
        <w:rPr/>
        <w:t>healing powers of the papaya</w:t>
      </w:r>
      <w:r>
        <w:rPr>
          <w:spacing w:val="1"/>
        </w:rPr>
        <w:t> </w:t>
      </w:r>
      <w:r>
        <w:rPr/>
        <w:t>fruit.</w:t>
      </w:r>
    </w:p>
    <w:p>
      <w:pPr>
        <w:pStyle w:val="BodyText"/>
        <w:spacing w:line="276" w:lineRule="auto" w:before="240"/>
        <w:ind w:left="616" w:right="134"/>
        <w:jc w:val="both"/>
      </w:pPr>
      <w:r>
        <w:rPr/>
        <w:t>As already mentioned, the papaya enzymes have a special protein-dissolving power,</w:t>
      </w:r>
      <w:r>
        <w:rPr>
          <w:spacing w:val="-22"/>
        </w:rPr>
        <w:t> </w:t>
      </w:r>
      <w:r>
        <w:rPr/>
        <w:t>but</w:t>
      </w:r>
      <w:r>
        <w:rPr>
          <w:spacing w:val="-24"/>
        </w:rPr>
        <w:t> </w:t>
      </w:r>
      <w:r>
        <w:rPr/>
        <w:t>attack</w:t>
      </w:r>
      <w:r>
        <w:rPr>
          <w:spacing w:val="-21"/>
        </w:rPr>
        <w:t> </w:t>
      </w:r>
      <w:r>
        <w:rPr/>
        <w:t>only</w:t>
      </w:r>
      <w:r>
        <w:rPr>
          <w:spacing w:val="-24"/>
        </w:rPr>
        <w:t> </w:t>
      </w:r>
      <w:r>
        <w:rPr/>
        <w:t>sick</w:t>
      </w:r>
      <w:r>
        <w:rPr>
          <w:spacing w:val="-21"/>
        </w:rPr>
        <w:t> </w:t>
      </w:r>
      <w:r>
        <w:rPr/>
        <w:t>tissue</w:t>
      </w:r>
      <w:r>
        <w:rPr>
          <w:spacing w:val="-24"/>
        </w:rPr>
        <w:t> </w:t>
      </w:r>
      <w:r>
        <w:rPr/>
        <w:t>(cancer</w:t>
      </w:r>
      <w:r>
        <w:rPr>
          <w:spacing w:val="-23"/>
        </w:rPr>
        <w:t> </w:t>
      </w:r>
      <w:r>
        <w:rPr/>
        <w:t>tumours)</w:t>
      </w:r>
      <w:r>
        <w:rPr>
          <w:spacing w:val="-21"/>
        </w:rPr>
        <w:t> </w:t>
      </w:r>
      <w:r>
        <w:rPr/>
        <w:t>and</w:t>
      </w:r>
      <w:r>
        <w:rPr>
          <w:spacing w:val="-22"/>
        </w:rPr>
        <w:t> </w:t>
      </w:r>
      <w:r>
        <w:rPr/>
        <w:t>protect</w:t>
      </w:r>
      <w:r>
        <w:rPr>
          <w:spacing w:val="-22"/>
        </w:rPr>
        <w:t> </w:t>
      </w:r>
      <w:r>
        <w:rPr/>
        <w:t>the</w:t>
      </w:r>
      <w:r>
        <w:rPr>
          <w:spacing w:val="-23"/>
        </w:rPr>
        <w:t> </w:t>
      </w:r>
      <w:r>
        <w:rPr/>
        <w:t>healthy</w:t>
      </w:r>
      <w:r>
        <w:rPr>
          <w:spacing w:val="-22"/>
        </w:rPr>
        <w:t> </w:t>
      </w:r>
      <w:r>
        <w:rPr/>
        <w:t>cells at the same time.</w:t>
      </w:r>
    </w:p>
    <w:p>
      <w:pPr>
        <w:spacing w:after="0" w:line="276" w:lineRule="auto"/>
        <w:jc w:val="both"/>
        <w:sectPr>
          <w:footerReference w:type="default" r:id="rId288"/>
          <w:pgSz w:w="14270" w:h="16850"/>
          <w:pgMar w:footer="1891" w:header="0" w:top="1320" w:bottom="2080" w:left="800" w:right="1280"/>
          <w:pgNumType w:start="1220"/>
        </w:sectPr>
      </w:pPr>
    </w:p>
    <w:p>
      <w:pPr>
        <w:pStyle w:val="BodyText"/>
        <w:spacing w:line="276" w:lineRule="auto" w:before="74"/>
        <w:ind w:left="616" w:right="132"/>
        <w:jc w:val="both"/>
      </w:pPr>
      <w:r>
        <w:rPr/>
        <w:t>Healthy</w:t>
      </w:r>
      <w:r>
        <w:rPr>
          <w:spacing w:val="-12"/>
        </w:rPr>
        <w:t> </w:t>
      </w:r>
      <w:r>
        <w:rPr/>
        <w:t>cells</w:t>
      </w:r>
      <w:r>
        <w:rPr>
          <w:spacing w:val="-11"/>
        </w:rPr>
        <w:t> </w:t>
      </w:r>
      <w:r>
        <w:rPr/>
        <w:t>possess</w:t>
      </w:r>
      <w:r>
        <w:rPr>
          <w:spacing w:val="-12"/>
        </w:rPr>
        <w:t> </w:t>
      </w:r>
      <w:r>
        <w:rPr/>
        <w:t>protective</w:t>
      </w:r>
      <w:r>
        <w:rPr>
          <w:spacing w:val="-14"/>
        </w:rPr>
        <w:t> </w:t>
      </w:r>
      <w:r>
        <w:rPr/>
        <w:t>mechanisms</w:t>
      </w:r>
      <w:r>
        <w:rPr>
          <w:spacing w:val="-11"/>
        </w:rPr>
        <w:t> </w:t>
      </w:r>
      <w:r>
        <w:rPr/>
        <w:t>against</w:t>
      </w:r>
      <w:r>
        <w:rPr>
          <w:spacing w:val="-11"/>
        </w:rPr>
        <w:t> </w:t>
      </w:r>
      <w:r>
        <w:rPr/>
        <w:t>voracious,</w:t>
      </w:r>
      <w:r>
        <w:rPr>
          <w:spacing w:val="-11"/>
        </w:rPr>
        <w:t> </w:t>
      </w:r>
      <w:r>
        <w:rPr/>
        <w:t>proteolytic</w:t>
      </w:r>
      <w:r>
        <w:rPr>
          <w:spacing w:val="-11"/>
        </w:rPr>
        <w:t> </w:t>
      </w:r>
      <w:r>
        <w:rPr/>
        <w:t>en- zymes,</w:t>
      </w:r>
      <w:r>
        <w:rPr>
          <w:spacing w:val="-19"/>
        </w:rPr>
        <w:t> </w:t>
      </w:r>
      <w:r>
        <w:rPr/>
        <w:t>while</w:t>
      </w:r>
      <w:r>
        <w:rPr>
          <w:spacing w:val="-17"/>
        </w:rPr>
        <w:t> </w:t>
      </w:r>
      <w:r>
        <w:rPr/>
        <w:t>cancer</w:t>
      </w:r>
      <w:r>
        <w:rPr>
          <w:spacing w:val="-16"/>
        </w:rPr>
        <w:t> </w:t>
      </w:r>
      <w:r>
        <w:rPr/>
        <w:t>cells</w:t>
      </w:r>
      <w:r>
        <w:rPr>
          <w:spacing w:val="-16"/>
        </w:rPr>
        <w:t> </w:t>
      </w:r>
      <w:r>
        <w:rPr/>
        <w:t>only</w:t>
      </w:r>
      <w:r>
        <w:rPr>
          <w:spacing w:val="-16"/>
        </w:rPr>
        <w:t> </w:t>
      </w:r>
      <w:r>
        <w:rPr/>
        <w:t>develop</w:t>
      </w:r>
      <w:r>
        <w:rPr>
          <w:spacing w:val="-16"/>
        </w:rPr>
        <w:t> </w:t>
      </w:r>
      <w:r>
        <w:rPr/>
        <w:t>enzyme</w:t>
      </w:r>
      <w:r>
        <w:rPr>
          <w:spacing w:val="-18"/>
        </w:rPr>
        <w:t> </w:t>
      </w:r>
      <w:r>
        <w:rPr/>
        <w:t>inhibitors</w:t>
      </w:r>
      <w:r>
        <w:rPr>
          <w:spacing w:val="-16"/>
        </w:rPr>
        <w:t> </w:t>
      </w:r>
      <w:r>
        <w:rPr/>
        <w:t>within</w:t>
      </w:r>
      <w:r>
        <w:rPr>
          <w:spacing w:val="-17"/>
        </w:rPr>
        <w:t> </w:t>
      </w:r>
      <w:r>
        <w:rPr/>
        <w:t>12</w:t>
      </w:r>
      <w:r>
        <w:rPr>
          <w:spacing w:val="-17"/>
        </w:rPr>
        <w:t> </w:t>
      </w:r>
      <w:r>
        <w:rPr/>
        <w:t>to</w:t>
      </w:r>
      <w:r>
        <w:rPr>
          <w:spacing w:val="-16"/>
        </w:rPr>
        <w:t> </w:t>
      </w:r>
      <w:r>
        <w:rPr/>
        <w:t>48</w:t>
      </w:r>
      <w:r>
        <w:rPr>
          <w:spacing w:val="-17"/>
        </w:rPr>
        <w:t> </w:t>
      </w:r>
      <w:r>
        <w:rPr/>
        <w:t>hours</w:t>
      </w:r>
    </w:p>
    <w:p>
      <w:pPr>
        <w:pStyle w:val="BodyText"/>
        <w:spacing w:before="1"/>
        <w:ind w:left="616"/>
        <w:jc w:val="both"/>
        <w:rPr>
          <w:sz w:val="25"/>
        </w:rPr>
      </w:pPr>
      <w:r>
        <w:rPr/>
        <w:t>– a time long enough to selectively eliminate cancer cells.</w:t>
      </w:r>
      <w:r>
        <w:rPr>
          <w:position w:val="9"/>
          <w:sz w:val="25"/>
        </w:rPr>
        <w:t>673</w:t>
      </w:r>
    </w:p>
    <w:p>
      <w:pPr>
        <w:spacing w:line="276" w:lineRule="auto" w:before="302"/>
        <w:ind w:left="616" w:right="131" w:firstLine="0"/>
        <w:jc w:val="both"/>
        <w:rPr>
          <w:sz w:val="25"/>
        </w:rPr>
      </w:pPr>
      <w:r>
        <w:rPr>
          <w:sz w:val="38"/>
        </w:rPr>
        <w:t>And a citation from the researcher Allgeier on this topic: </w:t>
      </w:r>
      <w:r>
        <w:rPr>
          <w:i/>
          <w:sz w:val="38"/>
        </w:rPr>
        <w:t>‘The impressive thing </w:t>
      </w:r>
      <w:r>
        <w:rPr>
          <w:i/>
          <w:sz w:val="38"/>
        </w:rPr>
        <w:t>about this method also: the process of destroying and dissolving which the enzymes carry out ceases at the limits of the tumour. No healthy, normal cells are damaged or destroyed. En- zymes are in fact a specific cancer remedy: they eliminate the cancer and only the cancer.’</w:t>
      </w:r>
      <w:r>
        <w:rPr>
          <w:position w:val="9"/>
          <w:sz w:val="25"/>
        </w:rPr>
        <w:t>674</w:t>
      </w:r>
    </w:p>
    <w:p>
      <w:pPr>
        <w:pStyle w:val="BodyText"/>
        <w:spacing w:line="276" w:lineRule="auto" w:before="242"/>
        <w:ind w:left="616" w:right="132"/>
        <w:jc w:val="both"/>
      </w:pPr>
      <w:r>
        <w:rPr/>
        <w:t>Many well-known researchers and doctors swear on the effect of papaya against</w:t>
      </w:r>
      <w:r>
        <w:rPr>
          <w:spacing w:val="-12"/>
        </w:rPr>
        <w:t> </w:t>
      </w:r>
      <w:r>
        <w:rPr/>
        <w:t>cancer,</w:t>
      </w:r>
      <w:r>
        <w:rPr>
          <w:spacing w:val="-11"/>
        </w:rPr>
        <w:t> </w:t>
      </w:r>
      <w:r>
        <w:rPr/>
        <w:t>e.g.</w:t>
      </w:r>
      <w:r>
        <w:rPr>
          <w:spacing w:val="-11"/>
        </w:rPr>
        <w:t> </w:t>
      </w:r>
      <w:r>
        <w:rPr/>
        <w:t>Professor</w:t>
      </w:r>
      <w:r>
        <w:rPr>
          <w:spacing w:val="-14"/>
        </w:rPr>
        <w:t> </w:t>
      </w:r>
      <w:r>
        <w:rPr/>
        <w:t>Chung-Shih</w:t>
      </w:r>
      <w:r>
        <w:rPr>
          <w:spacing w:val="-12"/>
        </w:rPr>
        <w:t> </w:t>
      </w:r>
      <w:r>
        <w:rPr/>
        <w:t>Tang,</w:t>
      </w:r>
      <w:r>
        <w:rPr>
          <w:spacing w:val="-10"/>
        </w:rPr>
        <w:t> </w:t>
      </w:r>
      <w:r>
        <w:rPr/>
        <w:t>who</w:t>
      </w:r>
      <w:r>
        <w:rPr>
          <w:spacing w:val="-11"/>
        </w:rPr>
        <w:t> </w:t>
      </w:r>
      <w:r>
        <w:rPr/>
        <w:t>ascribes</w:t>
      </w:r>
      <w:r>
        <w:rPr>
          <w:spacing w:val="-11"/>
        </w:rPr>
        <w:t> </w:t>
      </w:r>
      <w:r>
        <w:rPr/>
        <w:t>a</w:t>
      </w:r>
      <w:r>
        <w:rPr>
          <w:spacing w:val="-15"/>
        </w:rPr>
        <w:t> </w:t>
      </w:r>
      <w:r>
        <w:rPr/>
        <w:t>major</w:t>
      </w:r>
      <w:r>
        <w:rPr>
          <w:spacing w:val="-11"/>
        </w:rPr>
        <w:t> </w:t>
      </w:r>
      <w:r>
        <w:rPr/>
        <w:t>effect</w:t>
      </w:r>
      <w:r>
        <w:rPr>
          <w:spacing w:val="-11"/>
        </w:rPr>
        <w:t> </w:t>
      </w:r>
      <w:r>
        <w:rPr/>
        <w:t>to carpain, a main alkaloid of the papaya, extracted from the leaves and green parts of the papaya plant. His work is also supported in the United States by Dr. McLaughlin of Purdue University in Lafayette, Indiana. He, too, is con- vinced that ‘carpain’, extracted from papaya leaves, is a natural substance ca- pable of dissolving cancer</w:t>
      </w:r>
      <w:r>
        <w:rPr>
          <w:spacing w:val="3"/>
        </w:rPr>
        <w:t> </w:t>
      </w:r>
      <w:r>
        <w:rPr/>
        <w:t>cells.</w:t>
      </w:r>
    </w:p>
    <w:p>
      <w:pPr>
        <w:pStyle w:val="BodyText"/>
        <w:spacing w:line="276" w:lineRule="auto" w:before="241"/>
        <w:ind w:left="616" w:right="133"/>
        <w:jc w:val="both"/>
      </w:pPr>
      <w:r>
        <w:rPr/>
        <w:t>The</w:t>
      </w:r>
      <w:r>
        <w:rPr>
          <w:spacing w:val="-7"/>
        </w:rPr>
        <w:t> </w:t>
      </w:r>
      <w:r>
        <w:rPr/>
        <w:t>mechanism</w:t>
      </w:r>
      <w:r>
        <w:rPr>
          <w:spacing w:val="-12"/>
        </w:rPr>
        <w:t> </w:t>
      </w:r>
      <w:r>
        <w:rPr/>
        <w:t>of</w:t>
      </w:r>
      <w:r>
        <w:rPr>
          <w:spacing w:val="-8"/>
        </w:rPr>
        <w:t> </w:t>
      </w:r>
      <w:r>
        <w:rPr/>
        <w:t>action</w:t>
      </w:r>
      <w:r>
        <w:rPr>
          <w:spacing w:val="-7"/>
        </w:rPr>
        <w:t> </w:t>
      </w:r>
      <w:r>
        <w:rPr/>
        <w:t>is</w:t>
      </w:r>
      <w:r>
        <w:rPr>
          <w:spacing w:val="-10"/>
        </w:rPr>
        <w:t> </w:t>
      </w:r>
      <w:r>
        <w:rPr/>
        <w:t>multifactorial.</w:t>
      </w:r>
      <w:r>
        <w:rPr>
          <w:spacing w:val="-8"/>
        </w:rPr>
        <w:t> </w:t>
      </w:r>
      <w:r>
        <w:rPr/>
        <w:t>The</w:t>
      </w:r>
      <w:r>
        <w:rPr>
          <w:spacing w:val="-7"/>
        </w:rPr>
        <w:t> </w:t>
      </w:r>
      <w:r>
        <w:rPr/>
        <w:t>enzymes</w:t>
      </w:r>
      <w:r>
        <w:rPr>
          <w:spacing w:val="-8"/>
        </w:rPr>
        <w:t> </w:t>
      </w:r>
      <w:r>
        <w:rPr/>
        <w:t>of</w:t>
      </w:r>
      <w:r>
        <w:rPr>
          <w:spacing w:val="-10"/>
        </w:rPr>
        <w:t> </w:t>
      </w:r>
      <w:r>
        <w:rPr/>
        <w:t>the</w:t>
      </w:r>
      <w:r>
        <w:rPr>
          <w:spacing w:val="-9"/>
        </w:rPr>
        <w:t> </w:t>
      </w:r>
      <w:r>
        <w:rPr/>
        <w:t>papaya</w:t>
      </w:r>
      <w:r>
        <w:rPr>
          <w:spacing w:val="-8"/>
        </w:rPr>
        <w:t> </w:t>
      </w:r>
      <w:r>
        <w:rPr/>
        <w:t>assume a significant role, however. In the opinion of Professor Wrba of Vienna, one could halve the cancer rate simply by preventatively treating people at risk of cancer with enzymes, among other things. Prevention is of course the most essential part. If the cancer has already appeared, however, one should also remember that the great majority of patients do not die of their initial</w:t>
      </w:r>
      <w:r>
        <w:rPr>
          <w:spacing w:val="7"/>
        </w:rPr>
        <w:t> </w:t>
      </w:r>
      <w:r>
        <w:rPr/>
        <w:t>tumour</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3"/>
        </w:rPr>
      </w:pPr>
      <w:r>
        <w:rPr/>
        <w:pict>
          <v:line style="position:absolute;mso-position-horizontal-relative:page;mso-position-vertical-relative:paragraph;z-index:8672;mso-wrap-distance-left:0;mso-wrap-distance-right:0" from="70.823997pt,9.921235pt" to="214.843997pt,9.921235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673 </w:t>
      </w:r>
      <w:r>
        <w:rPr>
          <w:sz w:val="20"/>
        </w:rPr>
        <w:t>Barbara Simonsohn: Papaya – Heilen mit der Wunderfrucht ('Papaya – Healing with the Wonder Fruit'), 2nd Edition, 1998, p. 97.</w:t>
      </w:r>
    </w:p>
    <w:p>
      <w:pPr>
        <w:spacing w:before="94"/>
        <w:ind w:left="616" w:right="0" w:firstLine="0"/>
        <w:jc w:val="left"/>
        <w:rPr>
          <w:sz w:val="20"/>
        </w:rPr>
      </w:pPr>
      <w:r>
        <w:rPr>
          <w:position w:val="5"/>
          <w:sz w:val="13"/>
        </w:rPr>
        <w:t>674 </w:t>
      </w:r>
      <w:r>
        <w:rPr>
          <w:sz w:val="20"/>
        </w:rPr>
        <w:t>Allgeier, loc. cit., p. 109</w:t>
      </w:r>
    </w:p>
    <w:p>
      <w:pPr>
        <w:spacing w:after="0"/>
        <w:jc w:val="left"/>
        <w:rPr>
          <w:sz w:val="20"/>
        </w:rPr>
        <w:sectPr>
          <w:pgSz w:w="14270" w:h="16850"/>
          <w:pgMar w:header="0" w:footer="1891" w:top="1340" w:bottom="2080" w:left="800" w:right="1280"/>
        </w:sectPr>
      </w:pPr>
    </w:p>
    <w:p>
      <w:pPr>
        <w:pStyle w:val="BodyText"/>
        <w:spacing w:line="276" w:lineRule="auto" w:before="72"/>
        <w:ind w:left="616"/>
      </w:pPr>
      <w:r>
        <w:rPr/>
        <w:t>but rather of metastases – something that enzyme therapy can effectively pre- vent!</w:t>
      </w:r>
    </w:p>
    <w:p>
      <w:pPr>
        <w:pStyle w:val="Heading1"/>
        <w:spacing w:before="226"/>
        <w:ind w:left="616"/>
      </w:pPr>
      <w:r>
        <w:rPr/>
        <w:t>How papaya counteracts cancer:</w:t>
      </w:r>
    </w:p>
    <w:p>
      <w:pPr>
        <w:pStyle w:val="ListParagraph"/>
        <w:numPr>
          <w:ilvl w:val="0"/>
          <w:numId w:val="93"/>
        </w:numPr>
        <w:tabs>
          <w:tab w:pos="1337" w:val="left" w:leader="none"/>
        </w:tabs>
        <w:spacing w:line="273" w:lineRule="auto" w:before="257" w:after="0"/>
        <w:ind w:left="1336" w:right="130" w:hanging="360"/>
        <w:jc w:val="both"/>
        <w:rPr>
          <w:sz w:val="38"/>
        </w:rPr>
      </w:pPr>
      <w:r>
        <w:rPr>
          <w:sz w:val="38"/>
        </w:rPr>
        <w:t>Papaya possesses certain enzymes which expose the cancer cells, remove their fibrin shells and make them recognisable again to our body’s own immune system and able to be</w:t>
      </w:r>
      <w:r>
        <w:rPr>
          <w:spacing w:val="2"/>
          <w:sz w:val="38"/>
        </w:rPr>
        <w:t> </w:t>
      </w:r>
      <w:r>
        <w:rPr>
          <w:sz w:val="38"/>
        </w:rPr>
        <w:t>attacked.</w:t>
      </w:r>
    </w:p>
    <w:p>
      <w:pPr>
        <w:pStyle w:val="ListParagraph"/>
        <w:numPr>
          <w:ilvl w:val="0"/>
          <w:numId w:val="93"/>
        </w:numPr>
        <w:tabs>
          <w:tab w:pos="1336" w:val="left" w:leader="none"/>
          <w:tab w:pos="1337" w:val="left" w:leader="none"/>
        </w:tabs>
        <w:spacing w:line="273" w:lineRule="auto" w:before="133" w:after="0"/>
        <w:ind w:left="1336" w:right="665" w:hanging="360"/>
        <w:jc w:val="left"/>
        <w:rPr>
          <w:sz w:val="38"/>
        </w:rPr>
      </w:pPr>
      <w:r>
        <w:rPr>
          <w:sz w:val="38"/>
        </w:rPr>
        <w:t>Papaya enzymes activate the tumour necrosis factor TNF, a molecule that destroys cancer cells within our immune systems.</w:t>
      </w:r>
    </w:p>
    <w:p>
      <w:pPr>
        <w:pStyle w:val="ListParagraph"/>
        <w:numPr>
          <w:ilvl w:val="0"/>
          <w:numId w:val="93"/>
        </w:numPr>
        <w:tabs>
          <w:tab w:pos="1336" w:val="left" w:leader="none"/>
          <w:tab w:pos="1337" w:val="left" w:leader="none"/>
        </w:tabs>
        <w:spacing w:line="273" w:lineRule="auto" w:before="127" w:after="0"/>
        <w:ind w:left="1336" w:right="201" w:hanging="360"/>
        <w:jc w:val="left"/>
        <w:rPr>
          <w:sz w:val="38"/>
        </w:rPr>
      </w:pPr>
      <w:r>
        <w:rPr>
          <w:sz w:val="38"/>
        </w:rPr>
        <w:t>Papaya enzymes (papain) possess a selective, protein-dissolving property and destroy the cancerous tissue, while at the same time protecting healthy</w:t>
      </w:r>
      <w:r>
        <w:rPr>
          <w:spacing w:val="-1"/>
          <w:sz w:val="38"/>
        </w:rPr>
        <w:t> </w:t>
      </w:r>
      <w:r>
        <w:rPr>
          <w:sz w:val="38"/>
        </w:rPr>
        <w:t>tissue.</w:t>
      </w:r>
    </w:p>
    <w:p>
      <w:pPr>
        <w:pStyle w:val="ListParagraph"/>
        <w:numPr>
          <w:ilvl w:val="0"/>
          <w:numId w:val="93"/>
        </w:numPr>
        <w:tabs>
          <w:tab w:pos="1336" w:val="left" w:leader="none"/>
          <w:tab w:pos="1337" w:val="left" w:leader="none"/>
        </w:tabs>
        <w:spacing w:line="273" w:lineRule="auto" w:before="131" w:after="0"/>
        <w:ind w:left="1336" w:right="413" w:hanging="360"/>
        <w:jc w:val="left"/>
        <w:rPr>
          <w:sz w:val="38"/>
        </w:rPr>
      </w:pPr>
      <w:r>
        <w:rPr>
          <w:sz w:val="38"/>
        </w:rPr>
        <w:t>Types of cancer that are (secondarily) caused by viruses can be avoided and combatted via papain’s virus-destroying</w:t>
      </w:r>
      <w:r>
        <w:rPr>
          <w:spacing w:val="-2"/>
          <w:sz w:val="38"/>
        </w:rPr>
        <w:t> </w:t>
      </w:r>
      <w:r>
        <w:rPr>
          <w:sz w:val="38"/>
        </w:rPr>
        <w:t>function.</w:t>
      </w:r>
    </w:p>
    <w:p>
      <w:pPr>
        <w:pStyle w:val="ListParagraph"/>
        <w:numPr>
          <w:ilvl w:val="0"/>
          <w:numId w:val="93"/>
        </w:numPr>
        <w:tabs>
          <w:tab w:pos="1336" w:val="left" w:leader="none"/>
          <w:tab w:pos="1337" w:val="left" w:leader="none"/>
        </w:tabs>
        <w:spacing w:line="273" w:lineRule="auto" w:before="128" w:after="0"/>
        <w:ind w:left="1336" w:right="338" w:hanging="360"/>
        <w:jc w:val="left"/>
        <w:rPr>
          <w:sz w:val="38"/>
        </w:rPr>
      </w:pPr>
      <w:r>
        <w:rPr>
          <w:sz w:val="38"/>
        </w:rPr>
        <w:t>Papaya has been proven to strengthen our immune system and increase the activity of natural phagocytes (scavenger cells) as well as macro- phages, which combat cancer</w:t>
      </w:r>
      <w:r>
        <w:rPr>
          <w:spacing w:val="2"/>
          <w:sz w:val="38"/>
        </w:rPr>
        <w:t> </w:t>
      </w:r>
      <w:r>
        <w:rPr>
          <w:sz w:val="38"/>
        </w:rPr>
        <w:t>cells.</w:t>
      </w:r>
    </w:p>
    <w:p>
      <w:pPr>
        <w:pStyle w:val="ListParagraph"/>
        <w:numPr>
          <w:ilvl w:val="0"/>
          <w:numId w:val="93"/>
        </w:numPr>
        <w:tabs>
          <w:tab w:pos="1336" w:val="left" w:leader="none"/>
          <w:tab w:pos="1337" w:val="left" w:leader="none"/>
        </w:tabs>
        <w:spacing w:line="273" w:lineRule="auto" w:before="132" w:after="0"/>
        <w:ind w:left="1336" w:right="284" w:hanging="360"/>
        <w:jc w:val="left"/>
        <w:rPr>
          <w:sz w:val="38"/>
        </w:rPr>
      </w:pPr>
      <w:r>
        <w:rPr>
          <w:sz w:val="38"/>
        </w:rPr>
        <w:t>Papaya protects the cells from free radicals and thus also from mutation and the appearance of</w:t>
      </w:r>
      <w:r>
        <w:rPr>
          <w:spacing w:val="4"/>
          <w:sz w:val="38"/>
        </w:rPr>
        <w:t> </w:t>
      </w:r>
      <w:r>
        <w:rPr>
          <w:sz w:val="38"/>
        </w:rPr>
        <w:t>cancer.</w:t>
      </w:r>
    </w:p>
    <w:p>
      <w:pPr>
        <w:pStyle w:val="ListParagraph"/>
        <w:numPr>
          <w:ilvl w:val="0"/>
          <w:numId w:val="93"/>
        </w:numPr>
        <w:tabs>
          <w:tab w:pos="1336" w:val="left" w:leader="none"/>
          <w:tab w:pos="1337" w:val="left" w:leader="none"/>
        </w:tabs>
        <w:spacing w:line="273" w:lineRule="auto" w:before="127" w:after="0"/>
        <w:ind w:left="1336" w:right="184" w:hanging="360"/>
        <w:jc w:val="left"/>
        <w:rPr>
          <w:sz w:val="38"/>
        </w:rPr>
      </w:pPr>
      <w:r>
        <w:rPr>
          <w:sz w:val="38"/>
        </w:rPr>
        <w:t>Papaya has an intestine-cleansing and stabilising effect (‘Death sits in the intestines!’) and putrid products in the intestines which could lead to cancer are</w:t>
      </w:r>
      <w:r>
        <w:rPr>
          <w:spacing w:val="1"/>
          <w:sz w:val="38"/>
        </w:rPr>
        <w:t> </w:t>
      </w:r>
      <w:r>
        <w:rPr>
          <w:sz w:val="38"/>
        </w:rPr>
        <w:t>avoided.</w:t>
      </w:r>
    </w:p>
    <w:p>
      <w:pPr>
        <w:spacing w:after="0" w:line="273" w:lineRule="auto"/>
        <w:jc w:val="left"/>
        <w:rPr>
          <w:sz w:val="38"/>
        </w:rPr>
        <w:sectPr>
          <w:pgSz w:w="14270" w:h="16850"/>
          <w:pgMar w:header="0" w:footer="1891" w:top="1340" w:bottom="2080" w:left="800" w:right="1280"/>
        </w:sectPr>
      </w:pPr>
    </w:p>
    <w:p>
      <w:pPr>
        <w:pStyle w:val="ListParagraph"/>
        <w:numPr>
          <w:ilvl w:val="0"/>
          <w:numId w:val="93"/>
        </w:numPr>
        <w:tabs>
          <w:tab w:pos="1336" w:val="left" w:leader="none"/>
          <w:tab w:pos="1337" w:val="left" w:leader="none"/>
        </w:tabs>
        <w:spacing w:line="273" w:lineRule="auto" w:before="53" w:after="0"/>
        <w:ind w:left="1336" w:right="278" w:hanging="360"/>
        <w:jc w:val="left"/>
        <w:rPr>
          <w:sz w:val="38"/>
        </w:rPr>
      </w:pPr>
      <w:r>
        <w:rPr>
          <w:sz w:val="38"/>
        </w:rPr>
        <w:t>Papaya de-acidifies the organism (‘Cancer can only develop in acidic en- vironments!’)</w:t>
      </w:r>
    </w:p>
    <w:p>
      <w:pPr>
        <w:pStyle w:val="ListParagraph"/>
        <w:numPr>
          <w:ilvl w:val="0"/>
          <w:numId w:val="93"/>
        </w:numPr>
        <w:tabs>
          <w:tab w:pos="1336" w:val="left" w:leader="none"/>
          <w:tab w:pos="1337" w:val="left" w:leader="none"/>
        </w:tabs>
        <w:spacing w:line="276" w:lineRule="auto" w:before="127" w:after="0"/>
        <w:ind w:left="1336" w:right="180" w:hanging="360"/>
        <w:jc w:val="left"/>
        <w:rPr>
          <w:sz w:val="38"/>
        </w:rPr>
      </w:pPr>
      <w:r>
        <w:rPr>
          <w:sz w:val="38"/>
        </w:rPr>
        <w:t>It also possesses numerous other active ingredients that have already been shown in studies to have a cancer-healing effect, e.g. beta-carotene, Vitamin C, selenium and</w:t>
      </w:r>
      <w:r>
        <w:rPr>
          <w:spacing w:val="-1"/>
          <w:sz w:val="38"/>
        </w:rPr>
        <w:t> </w:t>
      </w:r>
      <w:r>
        <w:rPr>
          <w:sz w:val="38"/>
        </w:rPr>
        <w:t>arginine.</w:t>
      </w:r>
    </w:p>
    <w:p>
      <w:pPr>
        <w:pStyle w:val="ListParagraph"/>
        <w:numPr>
          <w:ilvl w:val="0"/>
          <w:numId w:val="93"/>
        </w:numPr>
        <w:tabs>
          <w:tab w:pos="1336" w:val="left" w:leader="none"/>
          <w:tab w:pos="1337" w:val="left" w:leader="none"/>
        </w:tabs>
        <w:spacing w:line="240" w:lineRule="auto" w:before="119" w:after="0"/>
        <w:ind w:left="1336" w:right="0" w:hanging="360"/>
        <w:jc w:val="left"/>
        <w:rPr>
          <w:sz w:val="38"/>
        </w:rPr>
      </w:pPr>
      <w:r>
        <w:rPr>
          <w:sz w:val="38"/>
        </w:rPr>
        <w:t>Papaya relieves the side effects of chemotherapy and radiation</w:t>
      </w:r>
      <w:r>
        <w:rPr>
          <w:spacing w:val="-21"/>
          <w:sz w:val="38"/>
        </w:rPr>
        <w:t> </w:t>
      </w:r>
      <w:r>
        <w:rPr>
          <w:sz w:val="38"/>
        </w:rPr>
        <w:t>therapy.</w:t>
      </w:r>
    </w:p>
    <w:p>
      <w:pPr>
        <w:pStyle w:val="ListParagraph"/>
        <w:numPr>
          <w:ilvl w:val="0"/>
          <w:numId w:val="93"/>
        </w:numPr>
        <w:tabs>
          <w:tab w:pos="1336" w:val="left" w:leader="none"/>
          <w:tab w:pos="1337" w:val="left" w:leader="none"/>
        </w:tabs>
        <w:spacing w:line="240" w:lineRule="auto" w:before="187" w:after="0"/>
        <w:ind w:left="1336" w:right="0" w:hanging="360"/>
        <w:jc w:val="left"/>
        <w:rPr>
          <w:sz w:val="38"/>
        </w:rPr>
      </w:pPr>
      <w:r>
        <w:rPr>
          <w:sz w:val="38"/>
        </w:rPr>
        <w:t>It assists with wound healing after</w:t>
      </w:r>
      <w:r>
        <w:rPr>
          <w:spacing w:val="-2"/>
          <w:sz w:val="38"/>
        </w:rPr>
        <w:t> </w:t>
      </w:r>
      <w:r>
        <w:rPr>
          <w:sz w:val="38"/>
        </w:rPr>
        <w:t>operations.</w:t>
      </w:r>
    </w:p>
    <w:p>
      <w:pPr>
        <w:pStyle w:val="ListParagraph"/>
        <w:numPr>
          <w:ilvl w:val="0"/>
          <w:numId w:val="93"/>
        </w:numPr>
        <w:tabs>
          <w:tab w:pos="1336" w:val="left" w:leader="none"/>
          <w:tab w:pos="1337" w:val="left" w:leader="none"/>
        </w:tabs>
        <w:spacing w:line="240" w:lineRule="auto" w:before="184" w:after="0"/>
        <w:ind w:left="1336" w:right="0" w:hanging="360"/>
        <w:jc w:val="left"/>
        <w:rPr>
          <w:sz w:val="38"/>
        </w:rPr>
      </w:pPr>
      <w:r>
        <w:rPr>
          <w:sz w:val="38"/>
        </w:rPr>
        <w:t>Papaya stimulates the appetite and recovery after cancer</w:t>
      </w:r>
      <w:r>
        <w:rPr>
          <w:spacing w:val="-7"/>
          <w:sz w:val="38"/>
        </w:rPr>
        <w:t> </w:t>
      </w:r>
      <w:r>
        <w:rPr>
          <w:sz w:val="38"/>
        </w:rPr>
        <w:t>cachexia.</w:t>
      </w:r>
    </w:p>
    <w:p>
      <w:pPr>
        <w:pStyle w:val="Heading1"/>
        <w:spacing w:before="287"/>
        <w:ind w:left="616"/>
      </w:pPr>
      <w:r>
        <w:rPr/>
        <w:t>Papaya – millions of times stronger than cytostatics?</w:t>
      </w:r>
    </w:p>
    <w:p>
      <w:pPr>
        <w:pStyle w:val="BodyText"/>
        <w:spacing w:line="276" w:lineRule="auto" w:before="297"/>
        <w:ind w:left="616"/>
      </w:pPr>
      <w:r>
        <w:rPr/>
        <w:t>According to the statement of Dr. Jerry McLaughlin, the active ingredients of papaya</w:t>
      </w:r>
      <w:r>
        <w:rPr>
          <w:spacing w:val="-14"/>
        </w:rPr>
        <w:t> </w:t>
      </w:r>
      <w:r>
        <w:rPr/>
        <w:t>are</w:t>
      </w:r>
      <w:r>
        <w:rPr>
          <w:spacing w:val="-11"/>
        </w:rPr>
        <w:t> </w:t>
      </w:r>
      <w:r>
        <w:rPr/>
        <w:t>millions</w:t>
      </w:r>
      <w:r>
        <w:rPr>
          <w:spacing w:val="-13"/>
        </w:rPr>
        <w:t> </w:t>
      </w:r>
      <w:r>
        <w:rPr/>
        <w:t>of</w:t>
      </w:r>
      <w:r>
        <w:rPr>
          <w:spacing w:val="-12"/>
        </w:rPr>
        <w:t> </w:t>
      </w:r>
      <w:r>
        <w:rPr/>
        <w:t>times</w:t>
      </w:r>
      <w:r>
        <w:rPr>
          <w:spacing w:val="-13"/>
        </w:rPr>
        <w:t> </w:t>
      </w:r>
      <w:r>
        <w:rPr/>
        <w:t>stronger</w:t>
      </w:r>
      <w:r>
        <w:rPr>
          <w:spacing w:val="-10"/>
        </w:rPr>
        <w:t> </w:t>
      </w:r>
      <w:r>
        <w:rPr/>
        <w:t>than</w:t>
      </w:r>
      <w:r>
        <w:rPr>
          <w:spacing w:val="-13"/>
        </w:rPr>
        <w:t> </w:t>
      </w:r>
      <w:r>
        <w:rPr/>
        <w:t>the</w:t>
      </w:r>
      <w:r>
        <w:rPr>
          <w:spacing w:val="-14"/>
        </w:rPr>
        <w:t> </w:t>
      </w:r>
      <w:r>
        <w:rPr/>
        <w:t>most</w:t>
      </w:r>
      <w:r>
        <w:rPr>
          <w:spacing w:val="-12"/>
        </w:rPr>
        <w:t> </w:t>
      </w:r>
      <w:r>
        <w:rPr/>
        <w:t>commonly</w:t>
      </w:r>
      <w:r>
        <w:rPr>
          <w:spacing w:val="-14"/>
        </w:rPr>
        <w:t> </w:t>
      </w:r>
      <w:r>
        <w:rPr/>
        <w:t>used</w:t>
      </w:r>
      <w:r>
        <w:rPr>
          <w:spacing w:val="-12"/>
        </w:rPr>
        <w:t> </w:t>
      </w:r>
      <w:r>
        <w:rPr/>
        <w:t>cytostatic.</w:t>
      </w:r>
    </w:p>
    <w:p>
      <w:pPr>
        <w:spacing w:before="24"/>
        <w:ind w:left="616" w:right="0" w:firstLine="0"/>
        <w:jc w:val="left"/>
        <w:rPr>
          <w:sz w:val="25"/>
        </w:rPr>
      </w:pPr>
      <w:r>
        <w:rPr>
          <w:sz w:val="25"/>
        </w:rPr>
        <w:t>675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5"/>
        </w:rPr>
      </w:pPr>
      <w:r>
        <w:rPr/>
        <w:pict>
          <v:line style="position:absolute;mso-position-horizontal-relative:page;mso-position-vertical-relative:paragraph;z-index:8696;mso-wrap-distance-left:0;mso-wrap-distance-right:0" from="70.823997pt,11.005205pt" to="214.843997pt,11.005205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675 </w:t>
      </w:r>
      <w:r>
        <w:rPr>
          <w:sz w:val="20"/>
        </w:rPr>
        <w:t>Andrea Ehring: Das Krebsmittel der Aborigines: Papaya, 1st Edition, 1998, p. 19.</w:t>
      </w:r>
    </w:p>
    <w:p>
      <w:pPr>
        <w:spacing w:after="0"/>
        <w:jc w:val="left"/>
        <w:rPr>
          <w:sz w:val="20"/>
        </w:rPr>
        <w:sectPr>
          <w:pgSz w:w="14270" w:h="16850"/>
          <w:pgMar w:header="0" w:footer="1891" w:top="1360" w:bottom="2080" w:left="800" w:right="1280"/>
        </w:sectPr>
      </w:pPr>
    </w:p>
    <w:p>
      <w:pPr>
        <w:pStyle w:val="Heading1"/>
        <w:spacing w:before="77"/>
        <w:ind w:left="616"/>
      </w:pPr>
      <w:r>
        <w:rPr/>
        <w:t>Papaya anti-cancer recipe</w:t>
      </w:r>
    </w:p>
    <w:p>
      <w:pPr>
        <w:pStyle w:val="BodyText"/>
        <w:spacing w:line="276" w:lineRule="auto" w:before="299"/>
        <w:ind w:left="616" w:right="134"/>
        <w:jc w:val="both"/>
      </w:pPr>
      <w:r>
        <w:rPr/>
        <w:t>Papaya</w:t>
      </w:r>
      <w:r>
        <w:rPr>
          <w:spacing w:val="-16"/>
        </w:rPr>
        <w:t> </w:t>
      </w:r>
      <w:r>
        <w:rPr/>
        <w:t>leaves</w:t>
      </w:r>
      <w:r>
        <w:rPr>
          <w:spacing w:val="-17"/>
        </w:rPr>
        <w:t> </w:t>
      </w:r>
      <w:r>
        <w:rPr/>
        <w:t>assume</w:t>
      </w:r>
      <w:r>
        <w:rPr>
          <w:spacing w:val="-17"/>
        </w:rPr>
        <w:t> </w:t>
      </w:r>
      <w:r>
        <w:rPr/>
        <w:t>a</w:t>
      </w:r>
      <w:r>
        <w:rPr>
          <w:spacing w:val="-18"/>
        </w:rPr>
        <w:t> </w:t>
      </w:r>
      <w:r>
        <w:rPr/>
        <w:t>major</w:t>
      </w:r>
      <w:r>
        <w:rPr>
          <w:spacing w:val="-18"/>
        </w:rPr>
        <w:t> </w:t>
      </w:r>
      <w:r>
        <w:rPr/>
        <w:t>role</w:t>
      </w:r>
      <w:r>
        <w:rPr>
          <w:spacing w:val="-15"/>
        </w:rPr>
        <w:t> </w:t>
      </w:r>
      <w:r>
        <w:rPr/>
        <w:t>in</w:t>
      </w:r>
      <w:r>
        <w:rPr>
          <w:spacing w:val="-19"/>
        </w:rPr>
        <w:t> </w:t>
      </w:r>
      <w:r>
        <w:rPr/>
        <w:t>cancer</w:t>
      </w:r>
      <w:r>
        <w:rPr>
          <w:spacing w:val="-18"/>
        </w:rPr>
        <w:t> </w:t>
      </w:r>
      <w:r>
        <w:rPr/>
        <w:t>therapy</w:t>
      </w:r>
      <w:r>
        <w:rPr>
          <w:spacing w:val="-16"/>
        </w:rPr>
        <w:t> </w:t>
      </w:r>
      <w:r>
        <w:rPr/>
        <w:t>and</w:t>
      </w:r>
      <w:r>
        <w:rPr>
          <w:spacing w:val="-19"/>
        </w:rPr>
        <w:t> </w:t>
      </w:r>
      <w:r>
        <w:rPr/>
        <w:t>are</w:t>
      </w:r>
      <w:r>
        <w:rPr>
          <w:spacing w:val="-18"/>
        </w:rPr>
        <w:t> </w:t>
      </w:r>
      <w:r>
        <w:rPr/>
        <w:t>leading</w:t>
      </w:r>
      <w:r>
        <w:rPr>
          <w:spacing w:val="-16"/>
        </w:rPr>
        <w:t> </w:t>
      </w:r>
      <w:r>
        <w:rPr/>
        <w:t>to</w:t>
      </w:r>
      <w:r>
        <w:rPr>
          <w:spacing w:val="-19"/>
        </w:rPr>
        <w:t> </w:t>
      </w:r>
      <w:r>
        <w:rPr/>
        <w:t>growing interest on the part of the medical world and the public due to the accumula- tion of reports of successfully cured cancer sufferers with the fermented pa- paya leaf</w:t>
      </w:r>
      <w:r>
        <w:rPr>
          <w:spacing w:val="-1"/>
        </w:rPr>
        <w:t> </w:t>
      </w:r>
      <w:r>
        <w:rPr/>
        <w:t>concentrate.</w:t>
      </w:r>
    </w:p>
    <w:p>
      <w:pPr>
        <w:pStyle w:val="BodyText"/>
        <w:spacing w:line="276" w:lineRule="auto" w:before="239"/>
        <w:ind w:left="616" w:right="135"/>
        <w:jc w:val="both"/>
      </w:pPr>
      <w:r>
        <w:rPr/>
        <w:t>The papaya anti-cancer recipe originates with the Aborigines and is based on papaya leaves. The first person to try out this recipe was Stan Sheldon, who successfully used it to combat his own lung cancer. In 1962, a rapidly growing lung cancer was discovered on the sides of Stan Sheldon’s lungs. He was on his death bed when an old Aboriginal man revealed to him a secret papaya recipe which came from a shaman. Every day, Sheldon drank 200 ml of the drink, accompanied by 3 teaspoons of molasses, another healing secret of the Aborigines.</w:t>
      </w:r>
    </w:p>
    <w:p>
      <w:pPr>
        <w:pStyle w:val="BodyText"/>
        <w:spacing w:line="276" w:lineRule="auto" w:before="242"/>
        <w:ind w:left="616" w:right="139"/>
        <w:jc w:val="both"/>
        <w:rPr>
          <w:sz w:val="25"/>
        </w:rPr>
      </w:pPr>
      <w:r>
        <w:rPr/>
        <w:t>Two months later, in the course of his routine X-ray exams, Sheldon was de- termined to have healthy lungs; further tests confirmed the finding. He shares his experiences with other cancer sufferers; 16 of them were completely healed!</w:t>
      </w:r>
      <w:r>
        <w:rPr>
          <w:position w:val="9"/>
          <w:sz w:val="25"/>
        </w:rPr>
        <w:t>676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3"/>
        </w:rPr>
      </w:pPr>
      <w:r>
        <w:rPr/>
        <w:pict>
          <v:line style="position:absolute;mso-position-horizontal-relative:page;mso-position-vertical-relative:paragraph;z-index:8720;mso-wrap-distance-left:0;mso-wrap-distance-right:0" from="70.823997pt,10.040015pt" to="214.843997pt,10.040015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676 </w:t>
      </w:r>
      <w:r>
        <w:rPr>
          <w:sz w:val="20"/>
        </w:rPr>
        <w:t>Andrea Ehring: Das Krebsmittel der Aborigines: Papaya, 1st Edition, 1998, p. 11.</w:t>
      </w:r>
    </w:p>
    <w:p>
      <w:pPr>
        <w:spacing w:after="0"/>
        <w:jc w:val="left"/>
        <w:rPr>
          <w:sz w:val="20"/>
        </w:rPr>
        <w:sectPr>
          <w:pgSz w:w="14270" w:h="16850"/>
          <w:pgMar w:header="0" w:footer="1891" w:top="1320" w:bottom="2080" w:left="800" w:right="1280"/>
        </w:sectPr>
      </w:pPr>
    </w:p>
    <w:p>
      <w:pPr>
        <w:pStyle w:val="Heading1"/>
        <w:spacing w:before="77"/>
        <w:ind w:left="616"/>
        <w:jc w:val="both"/>
      </w:pPr>
      <w:r>
        <w:rPr/>
        <w:t>Instructions for the papaya anti-cancer</w:t>
      </w:r>
      <w:r>
        <w:rPr>
          <w:spacing w:val="-63"/>
        </w:rPr>
        <w:t> </w:t>
      </w:r>
      <w:r>
        <w:rPr/>
        <w:t>recipe</w:t>
      </w:r>
    </w:p>
    <w:p>
      <w:pPr>
        <w:pStyle w:val="BodyText"/>
        <w:spacing w:line="276" w:lineRule="auto" w:before="299"/>
        <w:ind w:left="616" w:right="139"/>
        <w:jc w:val="both"/>
      </w:pPr>
      <w:r>
        <w:rPr/>
        <w:t>Take seven to eight medium-sized papaya leaves with stems, not too young and not too old, and wash them well and then lightly dry them.</w:t>
      </w:r>
    </w:p>
    <w:p>
      <w:pPr>
        <w:pStyle w:val="BodyText"/>
        <w:spacing w:line="276" w:lineRule="auto" w:before="239"/>
        <w:ind w:left="616" w:right="132"/>
        <w:jc w:val="both"/>
      </w:pPr>
      <w:r>
        <w:rPr/>
        <w:t>Cut them into small pieces (similar to cabbage), let them boil for two hours in a</w:t>
      </w:r>
      <w:r>
        <w:rPr>
          <w:spacing w:val="-8"/>
        </w:rPr>
        <w:t> </w:t>
      </w:r>
      <w:r>
        <w:rPr/>
        <w:t>pot</w:t>
      </w:r>
      <w:r>
        <w:rPr>
          <w:spacing w:val="-6"/>
        </w:rPr>
        <w:t> </w:t>
      </w:r>
      <w:r>
        <w:rPr/>
        <w:t>without</w:t>
      </w:r>
      <w:r>
        <w:rPr>
          <w:spacing w:val="-8"/>
        </w:rPr>
        <w:t> </w:t>
      </w:r>
      <w:r>
        <w:rPr/>
        <w:t>a</w:t>
      </w:r>
      <w:r>
        <w:rPr>
          <w:spacing w:val="-7"/>
        </w:rPr>
        <w:t> </w:t>
      </w:r>
      <w:r>
        <w:rPr/>
        <w:t>top</w:t>
      </w:r>
      <w:r>
        <w:rPr>
          <w:spacing w:val="-5"/>
        </w:rPr>
        <w:t> </w:t>
      </w:r>
      <w:r>
        <w:rPr/>
        <w:t>with</w:t>
      </w:r>
      <w:r>
        <w:rPr>
          <w:spacing w:val="-5"/>
        </w:rPr>
        <w:t> </w:t>
      </w:r>
      <w:r>
        <w:rPr/>
        <w:t>2</w:t>
      </w:r>
      <w:r>
        <w:rPr>
          <w:spacing w:val="-6"/>
        </w:rPr>
        <w:t> </w:t>
      </w:r>
      <w:r>
        <w:rPr/>
        <w:t>litres</w:t>
      </w:r>
      <w:r>
        <w:rPr>
          <w:spacing w:val="-8"/>
        </w:rPr>
        <w:t> </w:t>
      </w:r>
      <w:r>
        <w:rPr/>
        <w:t>of</w:t>
      </w:r>
      <w:r>
        <w:rPr>
          <w:spacing w:val="-7"/>
        </w:rPr>
        <w:t> </w:t>
      </w:r>
      <w:r>
        <w:rPr/>
        <w:t>water</w:t>
      </w:r>
      <w:r>
        <w:rPr>
          <w:spacing w:val="-5"/>
        </w:rPr>
        <w:t> </w:t>
      </w:r>
      <w:r>
        <w:rPr/>
        <w:t>at</w:t>
      </w:r>
      <w:r>
        <w:rPr>
          <w:spacing w:val="-7"/>
        </w:rPr>
        <w:t> </w:t>
      </w:r>
      <w:r>
        <w:rPr/>
        <w:t>medium</w:t>
      </w:r>
      <w:r>
        <w:rPr>
          <w:spacing w:val="-6"/>
        </w:rPr>
        <w:t> </w:t>
      </w:r>
      <w:r>
        <w:rPr/>
        <w:t>heat</w:t>
      </w:r>
      <w:r>
        <w:rPr>
          <w:spacing w:val="-7"/>
        </w:rPr>
        <w:t> </w:t>
      </w:r>
      <w:r>
        <w:rPr/>
        <w:t>until</w:t>
      </w:r>
      <w:r>
        <w:rPr>
          <w:spacing w:val="-7"/>
        </w:rPr>
        <w:t> </w:t>
      </w:r>
      <w:r>
        <w:rPr/>
        <w:t>the</w:t>
      </w:r>
      <w:r>
        <w:rPr>
          <w:spacing w:val="-5"/>
        </w:rPr>
        <w:t> </w:t>
      </w:r>
      <w:r>
        <w:rPr/>
        <w:t>water</w:t>
      </w:r>
      <w:r>
        <w:rPr>
          <w:spacing w:val="-5"/>
        </w:rPr>
        <w:t> </w:t>
      </w:r>
      <w:r>
        <w:rPr/>
        <w:t>is</w:t>
      </w:r>
      <w:r>
        <w:rPr>
          <w:spacing w:val="-6"/>
        </w:rPr>
        <w:t> </w:t>
      </w:r>
      <w:r>
        <w:rPr/>
        <w:t>half evaporated.</w:t>
      </w:r>
    </w:p>
    <w:p>
      <w:pPr>
        <w:pStyle w:val="BodyText"/>
        <w:spacing w:line="276" w:lineRule="auto" w:before="241"/>
        <w:ind w:left="616" w:right="131"/>
        <w:jc w:val="both"/>
      </w:pPr>
      <w:r>
        <w:rPr/>
        <w:t>Afterwards, strain the leaves and pour the extract into bottles. It can be kept in the refrigerator for three to five days, when it becomes cloudy and then cannot be used anymore.</w:t>
      </w:r>
    </w:p>
    <w:p>
      <w:pPr>
        <w:pStyle w:val="Heading1"/>
        <w:spacing w:before="222"/>
        <w:ind w:left="616"/>
        <w:jc w:val="both"/>
      </w:pPr>
      <w:r>
        <w:rPr/>
        <w:t>Papaya</w:t>
      </w:r>
      <w:r>
        <w:rPr>
          <w:spacing w:val="-47"/>
        </w:rPr>
        <w:t> </w:t>
      </w:r>
      <w:r>
        <w:rPr/>
        <w:t>extract</w:t>
      </w:r>
      <w:r>
        <w:rPr>
          <w:spacing w:val="-46"/>
        </w:rPr>
        <w:t> </w:t>
      </w:r>
      <w:r>
        <w:rPr/>
        <w:t>relieves</w:t>
      </w:r>
      <w:r>
        <w:rPr>
          <w:spacing w:val="-47"/>
        </w:rPr>
        <w:t> </w:t>
      </w:r>
      <w:r>
        <w:rPr/>
        <w:t>the</w:t>
      </w:r>
      <w:r>
        <w:rPr>
          <w:spacing w:val="-48"/>
        </w:rPr>
        <w:t> </w:t>
      </w:r>
      <w:r>
        <w:rPr/>
        <w:t>side</w:t>
      </w:r>
      <w:r>
        <w:rPr>
          <w:spacing w:val="-47"/>
        </w:rPr>
        <w:t> </w:t>
      </w:r>
      <w:r>
        <w:rPr/>
        <w:t>effects</w:t>
      </w:r>
      <w:r>
        <w:rPr>
          <w:spacing w:val="-48"/>
        </w:rPr>
        <w:t> </w:t>
      </w:r>
      <w:r>
        <w:rPr/>
        <w:t>of</w:t>
      </w:r>
      <w:r>
        <w:rPr>
          <w:spacing w:val="-47"/>
        </w:rPr>
        <w:t> </w:t>
      </w:r>
      <w:r>
        <w:rPr/>
        <w:t>radiation</w:t>
      </w:r>
      <w:r>
        <w:rPr>
          <w:spacing w:val="-47"/>
        </w:rPr>
        <w:t> </w:t>
      </w:r>
      <w:r>
        <w:rPr/>
        <w:t>and</w:t>
      </w:r>
      <w:r>
        <w:rPr>
          <w:spacing w:val="-48"/>
        </w:rPr>
        <w:t> </w:t>
      </w:r>
      <w:r>
        <w:rPr/>
        <w:t>chemotherapy</w:t>
      </w:r>
    </w:p>
    <w:p>
      <w:pPr>
        <w:pStyle w:val="BodyText"/>
        <w:spacing w:line="276" w:lineRule="auto" w:before="299"/>
        <w:ind w:left="616" w:right="134"/>
        <w:jc w:val="both"/>
      </w:pPr>
      <w:r>
        <w:rPr/>
        <w:t>The proteolytic enzymes contained in papaya minimise the side effects of chemotherapy</w:t>
      </w:r>
      <w:r>
        <w:rPr>
          <w:spacing w:val="-19"/>
        </w:rPr>
        <w:t> </w:t>
      </w:r>
      <w:r>
        <w:rPr/>
        <w:t>and</w:t>
      </w:r>
      <w:r>
        <w:rPr>
          <w:spacing w:val="-18"/>
        </w:rPr>
        <w:t> </w:t>
      </w:r>
      <w:r>
        <w:rPr/>
        <w:t>radiation</w:t>
      </w:r>
      <w:r>
        <w:rPr>
          <w:spacing w:val="-18"/>
        </w:rPr>
        <w:t> </w:t>
      </w:r>
      <w:r>
        <w:rPr/>
        <w:t>therapy.</w:t>
      </w:r>
      <w:r>
        <w:rPr>
          <w:spacing w:val="-19"/>
        </w:rPr>
        <w:t> </w:t>
      </w:r>
      <w:r>
        <w:rPr/>
        <w:t>The</w:t>
      </w:r>
      <w:r>
        <w:rPr>
          <w:spacing w:val="-18"/>
        </w:rPr>
        <w:t> </w:t>
      </w:r>
      <w:r>
        <w:rPr/>
        <w:t>anti-radiative</w:t>
      </w:r>
      <w:r>
        <w:rPr>
          <w:spacing w:val="-18"/>
        </w:rPr>
        <w:t> </w:t>
      </w:r>
      <w:r>
        <w:rPr/>
        <w:t>effect</w:t>
      </w:r>
      <w:r>
        <w:rPr>
          <w:spacing w:val="-18"/>
        </w:rPr>
        <w:t> </w:t>
      </w:r>
      <w:r>
        <w:rPr/>
        <w:t>was</w:t>
      </w:r>
      <w:r>
        <w:rPr>
          <w:spacing w:val="-19"/>
        </w:rPr>
        <w:t> </w:t>
      </w:r>
      <w:r>
        <w:rPr/>
        <w:t>first</w:t>
      </w:r>
      <w:r>
        <w:rPr>
          <w:spacing w:val="-19"/>
        </w:rPr>
        <w:t> </w:t>
      </w:r>
      <w:r>
        <w:rPr/>
        <w:t>attested to in papain in the 1960s by the </w:t>
      </w:r>
      <w:r>
        <w:rPr>
          <w:i/>
        </w:rPr>
        <w:t>Medical Institute of the USAF. </w:t>
      </w:r>
      <w:r>
        <w:rPr/>
        <w:t>During radiation therapy, the papaya enzymes prevent or minimise diarrhoea, skin outbreaks, mucous membrane swelling and</w:t>
      </w:r>
      <w:r>
        <w:rPr>
          <w:spacing w:val="2"/>
        </w:rPr>
        <w:t> </w:t>
      </w:r>
      <w:r>
        <w:rPr/>
        <w:t>scarring.</w:t>
      </w:r>
    </w:p>
    <w:p>
      <w:pPr>
        <w:pStyle w:val="BodyText"/>
        <w:spacing w:line="276" w:lineRule="auto" w:before="240"/>
        <w:ind w:left="616" w:right="136"/>
        <w:jc w:val="both"/>
      </w:pPr>
      <w:r>
        <w:rPr/>
        <w:t>With the use of papaya enzymes, inflammatory and metabolic products are more quickly broken down. The enzymes should be taken in high doses im- mediately after chemo- or radiotherapy; the recommended dose is 3-5 tablets</w:t>
      </w:r>
    </w:p>
    <w:p>
      <w:pPr>
        <w:spacing w:after="0" w:line="276" w:lineRule="auto"/>
        <w:jc w:val="both"/>
        <w:sectPr>
          <w:pgSz w:w="14270" w:h="16850"/>
          <w:pgMar w:header="0" w:footer="1891" w:top="1320" w:bottom="2080" w:left="800" w:right="1280"/>
        </w:sectPr>
      </w:pPr>
    </w:p>
    <w:p>
      <w:pPr>
        <w:pStyle w:val="BodyText"/>
        <w:spacing w:before="74"/>
        <w:ind w:left="616"/>
        <w:rPr>
          <w:sz w:val="25"/>
        </w:rPr>
      </w:pPr>
      <w:r>
        <w:rPr/>
        <w:t>3</w:t>
      </w:r>
      <w:r>
        <w:rPr>
          <w:spacing w:val="-21"/>
        </w:rPr>
        <w:t> </w:t>
      </w:r>
      <w:r>
        <w:rPr/>
        <w:t>times</w:t>
      </w:r>
      <w:r>
        <w:rPr>
          <w:spacing w:val="-19"/>
        </w:rPr>
        <w:t> </w:t>
      </w:r>
      <w:r>
        <w:rPr/>
        <w:t>a</w:t>
      </w:r>
      <w:r>
        <w:rPr>
          <w:spacing w:val="-21"/>
        </w:rPr>
        <w:t> </w:t>
      </w:r>
      <w:r>
        <w:rPr/>
        <w:t>day</w:t>
      </w:r>
      <w:r>
        <w:rPr>
          <w:spacing w:val="-21"/>
        </w:rPr>
        <w:t> </w:t>
      </w:r>
      <w:r>
        <w:rPr/>
        <w:t>over</w:t>
      </w:r>
      <w:r>
        <w:rPr>
          <w:spacing w:val="-18"/>
        </w:rPr>
        <w:t> </w:t>
      </w:r>
      <w:r>
        <w:rPr/>
        <w:t>the</w:t>
      </w:r>
      <w:r>
        <w:rPr>
          <w:spacing w:val="-19"/>
        </w:rPr>
        <w:t> </w:t>
      </w:r>
      <w:r>
        <w:rPr/>
        <w:t>course</w:t>
      </w:r>
      <w:r>
        <w:rPr>
          <w:spacing w:val="-20"/>
        </w:rPr>
        <w:t> </w:t>
      </w:r>
      <w:r>
        <w:rPr/>
        <w:t>of</w:t>
      </w:r>
      <w:r>
        <w:rPr>
          <w:spacing w:val="-25"/>
        </w:rPr>
        <w:t> </w:t>
      </w:r>
      <w:r>
        <w:rPr/>
        <w:t>a</w:t>
      </w:r>
      <w:r>
        <w:rPr>
          <w:spacing w:val="-20"/>
        </w:rPr>
        <w:t> </w:t>
      </w:r>
      <w:r>
        <w:rPr/>
        <w:t>year.</w:t>
      </w:r>
      <w:r>
        <w:rPr>
          <w:spacing w:val="-19"/>
        </w:rPr>
        <w:t> </w:t>
      </w:r>
      <w:r>
        <w:rPr/>
        <w:t>Afterwards,</w:t>
      </w:r>
      <w:r>
        <w:rPr>
          <w:spacing w:val="-19"/>
        </w:rPr>
        <w:t> </w:t>
      </w:r>
      <w:r>
        <w:rPr/>
        <w:t>the</w:t>
      </w:r>
      <w:r>
        <w:rPr>
          <w:spacing w:val="-19"/>
        </w:rPr>
        <w:t> </w:t>
      </w:r>
      <w:r>
        <w:rPr/>
        <w:t>dose</w:t>
      </w:r>
      <w:r>
        <w:rPr>
          <w:spacing w:val="-22"/>
        </w:rPr>
        <w:t> </w:t>
      </w:r>
      <w:r>
        <w:rPr/>
        <w:t>may</w:t>
      </w:r>
      <w:r>
        <w:rPr>
          <w:spacing w:val="-21"/>
        </w:rPr>
        <w:t> </w:t>
      </w:r>
      <w:r>
        <w:rPr/>
        <w:t>be</w:t>
      </w:r>
      <w:r>
        <w:rPr>
          <w:spacing w:val="-20"/>
        </w:rPr>
        <w:t> </w:t>
      </w:r>
      <w:r>
        <w:rPr/>
        <w:t>reduced.</w:t>
      </w:r>
      <w:r>
        <w:rPr>
          <w:position w:val="9"/>
          <w:sz w:val="25"/>
        </w:rPr>
        <w:t>677</w:t>
      </w:r>
    </w:p>
    <w:p>
      <w:pPr>
        <w:pStyle w:val="Heading1"/>
        <w:spacing w:line="261" w:lineRule="auto" w:before="287"/>
        <w:ind w:left="616" w:right="138"/>
        <w:jc w:val="both"/>
      </w:pPr>
      <w:r>
        <w:rPr>
          <w:w w:val="95"/>
        </w:rPr>
        <w:t>Papaya</w:t>
      </w:r>
      <w:r>
        <w:rPr>
          <w:spacing w:val="-15"/>
          <w:w w:val="95"/>
        </w:rPr>
        <w:t> </w:t>
      </w:r>
      <w:r>
        <w:rPr>
          <w:w w:val="95"/>
        </w:rPr>
        <w:t>supports</w:t>
      </w:r>
      <w:r>
        <w:rPr>
          <w:spacing w:val="-16"/>
          <w:w w:val="95"/>
        </w:rPr>
        <w:t> </w:t>
      </w:r>
      <w:r>
        <w:rPr>
          <w:w w:val="95"/>
        </w:rPr>
        <w:t>wound</w:t>
      </w:r>
      <w:r>
        <w:rPr>
          <w:spacing w:val="-15"/>
          <w:w w:val="95"/>
        </w:rPr>
        <w:t> </w:t>
      </w:r>
      <w:r>
        <w:rPr>
          <w:w w:val="95"/>
        </w:rPr>
        <w:t>healing</w:t>
      </w:r>
      <w:r>
        <w:rPr>
          <w:spacing w:val="-16"/>
          <w:w w:val="95"/>
        </w:rPr>
        <w:t> </w:t>
      </w:r>
      <w:r>
        <w:rPr>
          <w:w w:val="95"/>
        </w:rPr>
        <w:t>after</w:t>
      </w:r>
      <w:r>
        <w:rPr>
          <w:spacing w:val="-16"/>
          <w:w w:val="95"/>
        </w:rPr>
        <w:t> </w:t>
      </w:r>
      <w:r>
        <w:rPr>
          <w:w w:val="95"/>
        </w:rPr>
        <w:t>operations</w:t>
      </w:r>
      <w:r>
        <w:rPr>
          <w:spacing w:val="-15"/>
          <w:w w:val="95"/>
        </w:rPr>
        <w:t> </w:t>
      </w:r>
      <w:r>
        <w:rPr>
          <w:w w:val="95"/>
        </w:rPr>
        <w:t>and</w:t>
      </w:r>
      <w:r>
        <w:rPr>
          <w:spacing w:val="-16"/>
          <w:w w:val="95"/>
        </w:rPr>
        <w:t> </w:t>
      </w:r>
      <w:r>
        <w:rPr>
          <w:w w:val="95"/>
        </w:rPr>
        <w:t>minimises</w:t>
      </w:r>
      <w:r>
        <w:rPr>
          <w:spacing w:val="-17"/>
          <w:w w:val="95"/>
        </w:rPr>
        <w:t> </w:t>
      </w:r>
      <w:r>
        <w:rPr>
          <w:w w:val="95"/>
        </w:rPr>
        <w:t>compli- </w:t>
      </w:r>
      <w:r>
        <w:rPr/>
        <w:t>cations</w:t>
      </w:r>
    </w:p>
    <w:p>
      <w:pPr>
        <w:pStyle w:val="BodyText"/>
        <w:spacing w:line="278" w:lineRule="auto" w:before="258"/>
        <w:ind w:left="616" w:right="136"/>
        <w:jc w:val="both"/>
      </w:pPr>
      <w:r>
        <w:rPr/>
        <w:t>Papaya enzymes speed wound healing and minimise the risk of embolisms, thrombosis and oedema, which accompany the operation.</w:t>
      </w:r>
    </w:p>
    <w:p>
      <w:pPr>
        <w:pStyle w:val="Heading1"/>
        <w:spacing w:before="215"/>
        <w:ind w:left="616"/>
      </w:pPr>
      <w:r>
        <w:rPr/>
        <w:t>Papaya concentrate counteracts cancer</w:t>
      </w:r>
      <w:r>
        <w:rPr>
          <w:spacing w:val="-57"/>
        </w:rPr>
        <w:t> </w:t>
      </w:r>
      <w:r>
        <w:rPr/>
        <w:t>cachexia</w:t>
      </w:r>
    </w:p>
    <w:p>
      <w:pPr>
        <w:pStyle w:val="BodyText"/>
        <w:spacing w:line="276" w:lineRule="auto" w:before="300"/>
        <w:ind w:left="616" w:right="131"/>
        <w:jc w:val="both"/>
      </w:pPr>
      <w:r>
        <w:rPr/>
        <w:t>Papaya increases the appetite and can thus counteract the weight loss (ca- chexia) caused by cancer. Body weight and sense of well-being increase to- gether.</w:t>
      </w:r>
    </w:p>
    <w:p>
      <w:pPr>
        <w:pStyle w:val="Heading2"/>
        <w:spacing w:before="239"/>
        <w:ind w:left="616"/>
      </w:pPr>
      <w:r>
        <w:rPr/>
        <w:t>Papaya and anti-ageing</w:t>
      </w:r>
    </w:p>
    <w:p>
      <w:pPr>
        <w:pStyle w:val="BodyText"/>
        <w:spacing w:line="276" w:lineRule="auto" w:before="304"/>
        <w:ind w:left="616" w:right="137"/>
        <w:jc w:val="both"/>
      </w:pPr>
      <w:r>
        <w:rPr>
          <w:i/>
        </w:rPr>
        <w:t>‘Papaya</w:t>
      </w:r>
      <w:r>
        <w:rPr>
          <w:i/>
          <w:spacing w:val="-8"/>
        </w:rPr>
        <w:t> </w:t>
      </w:r>
      <w:r>
        <w:rPr>
          <w:i/>
        </w:rPr>
        <w:t>is</w:t>
      </w:r>
      <w:r>
        <w:rPr>
          <w:i/>
          <w:spacing w:val="-7"/>
        </w:rPr>
        <w:t> </w:t>
      </w:r>
      <w:r>
        <w:rPr>
          <w:i/>
        </w:rPr>
        <w:t>the</w:t>
      </w:r>
      <w:r>
        <w:rPr>
          <w:i/>
          <w:spacing w:val="-7"/>
        </w:rPr>
        <w:t> </w:t>
      </w:r>
      <w:r>
        <w:rPr>
          <w:i/>
        </w:rPr>
        <w:t>fruit</w:t>
      </w:r>
      <w:r>
        <w:rPr>
          <w:i/>
          <w:spacing w:val="-5"/>
        </w:rPr>
        <w:t> </w:t>
      </w:r>
      <w:r>
        <w:rPr>
          <w:i/>
        </w:rPr>
        <w:t>of</w:t>
      </w:r>
      <w:r>
        <w:rPr>
          <w:i/>
          <w:spacing w:val="-5"/>
        </w:rPr>
        <w:t> </w:t>
      </w:r>
      <w:r>
        <w:rPr>
          <w:i/>
        </w:rPr>
        <w:t>the</w:t>
      </w:r>
      <w:r>
        <w:rPr>
          <w:i/>
          <w:spacing w:val="-7"/>
        </w:rPr>
        <w:t> </w:t>
      </w:r>
      <w:r>
        <w:rPr>
          <w:i/>
        </w:rPr>
        <w:t>long</w:t>
      </w:r>
      <w:r>
        <w:rPr>
          <w:i/>
          <w:spacing w:val="-9"/>
        </w:rPr>
        <w:t> </w:t>
      </w:r>
      <w:r>
        <w:rPr>
          <w:i/>
        </w:rPr>
        <w:t>life.</w:t>
      </w:r>
      <w:r>
        <w:rPr/>
        <w:t>’</w:t>
      </w:r>
      <w:r>
        <w:rPr>
          <w:spacing w:val="-7"/>
        </w:rPr>
        <w:t> </w:t>
      </w:r>
      <w:r>
        <w:rPr/>
        <w:t>So</w:t>
      </w:r>
      <w:r>
        <w:rPr>
          <w:spacing w:val="-8"/>
        </w:rPr>
        <w:t> </w:t>
      </w:r>
      <w:r>
        <w:rPr/>
        <w:t>goes</w:t>
      </w:r>
      <w:r>
        <w:rPr>
          <w:spacing w:val="-5"/>
        </w:rPr>
        <w:t> </w:t>
      </w:r>
      <w:r>
        <w:rPr/>
        <w:t>an</w:t>
      </w:r>
      <w:r>
        <w:rPr>
          <w:spacing w:val="-6"/>
        </w:rPr>
        <w:t> </w:t>
      </w:r>
      <w:r>
        <w:rPr/>
        <w:t>ancient</w:t>
      </w:r>
      <w:r>
        <w:rPr>
          <w:spacing w:val="-7"/>
        </w:rPr>
        <w:t> </w:t>
      </w:r>
      <w:r>
        <w:rPr/>
        <w:t>Chinese</w:t>
      </w:r>
      <w:r>
        <w:rPr>
          <w:spacing w:val="-6"/>
        </w:rPr>
        <w:t> </w:t>
      </w:r>
      <w:r>
        <w:rPr/>
        <w:t>proverb.</w:t>
      </w:r>
      <w:r>
        <w:rPr>
          <w:spacing w:val="-6"/>
        </w:rPr>
        <w:t> </w:t>
      </w:r>
      <w:r>
        <w:rPr/>
        <w:t>According to Dr. B. Lytton Benard, the director of the hospital in Guadalajara (Mexico), the papaya has a purifying function not only in the digestive tract but also on all bodily</w:t>
      </w:r>
      <w:r>
        <w:rPr>
          <w:spacing w:val="-3"/>
        </w:rPr>
        <w:t> </w:t>
      </w:r>
      <w:r>
        <w:rPr/>
        <w:t>tissue:</w:t>
      </w:r>
    </w:p>
    <w:p>
      <w:pPr>
        <w:spacing w:line="276" w:lineRule="auto" w:before="242"/>
        <w:ind w:left="616" w:right="139" w:firstLine="0"/>
        <w:jc w:val="both"/>
        <w:rPr>
          <w:i/>
          <w:sz w:val="38"/>
        </w:rPr>
      </w:pPr>
      <w:r>
        <w:rPr>
          <w:i/>
          <w:sz w:val="38"/>
        </w:rPr>
        <w:t>‘The papaya holds the key to bodily rejuvenation and life extension in full possession of our </w:t>
      </w:r>
      <w:r>
        <w:rPr>
          <w:i/>
          <w:sz w:val="38"/>
        </w:rPr>
        <w:t>powers.’</w:t>
      </w:r>
    </w:p>
    <w:p>
      <w:pPr>
        <w:pStyle w:val="BodyText"/>
        <w:spacing w:before="239"/>
        <w:ind w:left="616"/>
        <w:jc w:val="both"/>
      </w:pPr>
      <w:r>
        <w:rPr/>
        <w:t>Dr. Norman W. Walker confirms the rejuvenating effect of papaya and</w:t>
      </w:r>
      <w:r>
        <w:rPr>
          <w:spacing w:val="69"/>
        </w:rPr>
        <w:t> </w:t>
      </w:r>
      <w:r>
        <w:rPr/>
        <w:t>bases</w:t>
      </w:r>
    </w:p>
    <w:p>
      <w:pPr>
        <w:pStyle w:val="BodyText"/>
        <w:rPr>
          <w:sz w:val="20"/>
        </w:rPr>
      </w:pPr>
    </w:p>
    <w:p>
      <w:pPr>
        <w:pStyle w:val="BodyText"/>
        <w:spacing w:before="8"/>
        <w:rPr>
          <w:sz w:val="12"/>
        </w:rPr>
      </w:pPr>
      <w:r>
        <w:rPr/>
        <w:pict>
          <v:line style="position:absolute;mso-position-horizontal-relative:page;mso-position-vertical-relative:paragraph;z-index:8744;mso-wrap-distance-left:0;mso-wrap-distance-right:0" from="70.823997pt,9.543765pt" to="214.843997pt,9.543765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677 </w:t>
      </w:r>
      <w:r>
        <w:rPr>
          <w:sz w:val="20"/>
        </w:rPr>
        <w:t>Andrea Ehring: Das Krebsmittel der Aborigines: Papaya, 1st Edition, 1998, p. 39.</w:t>
      </w:r>
    </w:p>
    <w:p>
      <w:pPr>
        <w:spacing w:after="0"/>
        <w:jc w:val="left"/>
        <w:rPr>
          <w:sz w:val="20"/>
        </w:rPr>
        <w:sectPr>
          <w:pgSz w:w="14270" w:h="16850"/>
          <w:pgMar w:header="0" w:footer="1891" w:top="1340" w:bottom="2080" w:left="800" w:right="1280"/>
        </w:sectPr>
      </w:pPr>
    </w:p>
    <w:p>
      <w:pPr>
        <w:pStyle w:val="BodyText"/>
        <w:spacing w:before="74"/>
        <w:ind w:left="616"/>
      </w:pPr>
      <w:r>
        <w:rPr/>
        <w:t>this on the stimulation and harmonisation of our glandular system.</w:t>
      </w:r>
    </w:p>
    <w:p>
      <w:pPr>
        <w:spacing w:before="305"/>
        <w:ind w:left="616" w:right="0" w:firstLine="0"/>
        <w:jc w:val="left"/>
        <w:rPr>
          <w:sz w:val="38"/>
        </w:rPr>
      </w:pPr>
      <w:r>
        <w:rPr>
          <w:i/>
          <w:sz w:val="38"/>
        </w:rPr>
        <w:t>‘The papaya is the tree of eternal youth.’ </w:t>
      </w:r>
      <w:r>
        <w:rPr>
          <w:sz w:val="38"/>
        </w:rPr>
        <w:t>(Vasco da Gama)</w:t>
      </w:r>
    </w:p>
    <w:p>
      <w:pPr>
        <w:pStyle w:val="BodyText"/>
        <w:spacing w:line="276" w:lineRule="auto" w:before="302"/>
        <w:ind w:left="616" w:right="133"/>
        <w:jc w:val="both"/>
        <w:rPr>
          <w:sz w:val="25"/>
        </w:rPr>
      </w:pPr>
      <w:r>
        <w:rPr/>
        <w:t>Helima Neumann sees another rejuvenating mechanism in the fact that the amino acid ‘arginine’, developed by exposure to papain, causes an increased distribution of the growth hormone HGH (Human Growth Hormone) through the pituitary gland. HGH is a hormone that is important for the re- newal</w:t>
      </w:r>
      <w:r>
        <w:rPr>
          <w:spacing w:val="-8"/>
        </w:rPr>
        <w:t> </w:t>
      </w:r>
      <w:r>
        <w:rPr/>
        <w:t>of</w:t>
      </w:r>
      <w:r>
        <w:rPr>
          <w:spacing w:val="-7"/>
        </w:rPr>
        <w:t> </w:t>
      </w:r>
      <w:r>
        <w:rPr/>
        <w:t>cells</w:t>
      </w:r>
      <w:r>
        <w:rPr>
          <w:spacing w:val="-6"/>
        </w:rPr>
        <w:t> </w:t>
      </w:r>
      <w:r>
        <w:rPr/>
        <w:t>and</w:t>
      </w:r>
      <w:r>
        <w:rPr>
          <w:spacing w:val="-7"/>
        </w:rPr>
        <w:t> </w:t>
      </w:r>
      <w:r>
        <w:rPr/>
        <w:t>the</w:t>
      </w:r>
      <w:r>
        <w:rPr>
          <w:spacing w:val="-6"/>
        </w:rPr>
        <w:t> </w:t>
      </w:r>
      <w:r>
        <w:rPr/>
        <w:t>regeneration</w:t>
      </w:r>
      <w:r>
        <w:rPr>
          <w:spacing w:val="-6"/>
        </w:rPr>
        <w:t> </w:t>
      </w:r>
      <w:r>
        <w:rPr/>
        <w:t>of</w:t>
      </w:r>
      <w:r>
        <w:rPr>
          <w:spacing w:val="-9"/>
        </w:rPr>
        <w:t> </w:t>
      </w:r>
      <w:r>
        <w:rPr/>
        <w:t>skin,</w:t>
      </w:r>
      <w:r>
        <w:rPr>
          <w:spacing w:val="-5"/>
        </w:rPr>
        <w:t> </w:t>
      </w:r>
      <w:r>
        <w:rPr/>
        <w:t>muscles</w:t>
      </w:r>
      <w:r>
        <w:rPr>
          <w:spacing w:val="-7"/>
        </w:rPr>
        <w:t> </w:t>
      </w:r>
      <w:r>
        <w:rPr/>
        <w:t>and</w:t>
      </w:r>
      <w:r>
        <w:rPr>
          <w:spacing w:val="-7"/>
        </w:rPr>
        <w:t> </w:t>
      </w:r>
      <w:r>
        <w:rPr/>
        <w:t>cartilage</w:t>
      </w:r>
      <w:r>
        <w:rPr>
          <w:spacing w:val="-7"/>
        </w:rPr>
        <w:t> </w:t>
      </w:r>
      <w:r>
        <w:rPr/>
        <w:t>as</w:t>
      </w:r>
      <w:r>
        <w:rPr>
          <w:spacing w:val="-7"/>
        </w:rPr>
        <w:t> </w:t>
      </w:r>
      <w:r>
        <w:rPr/>
        <w:t>well</w:t>
      </w:r>
      <w:r>
        <w:rPr>
          <w:spacing w:val="-8"/>
        </w:rPr>
        <w:t> </w:t>
      </w:r>
      <w:r>
        <w:rPr/>
        <w:t>as</w:t>
      </w:r>
      <w:r>
        <w:rPr>
          <w:spacing w:val="-6"/>
        </w:rPr>
        <w:t> </w:t>
      </w:r>
      <w:r>
        <w:rPr/>
        <w:t>the liver; it also helps keep the degeneration of bodily cells in check and protect body tissues from ulcers and</w:t>
      </w:r>
      <w:r>
        <w:rPr>
          <w:spacing w:val="1"/>
        </w:rPr>
        <w:t> </w:t>
      </w:r>
      <w:r>
        <w:rPr/>
        <w:t>cancer.</w:t>
      </w:r>
      <w:r>
        <w:rPr>
          <w:position w:val="9"/>
          <w:sz w:val="25"/>
        </w:rPr>
        <w:t>678</w:t>
      </w:r>
    </w:p>
    <w:p>
      <w:pPr>
        <w:pStyle w:val="BodyText"/>
        <w:spacing w:line="276" w:lineRule="auto" w:before="241"/>
        <w:ind w:left="616" w:right="133"/>
        <w:jc w:val="both"/>
      </w:pPr>
      <w:r>
        <w:rPr/>
        <w:t>Enzymes are what keep our glandular system and thus our entire body young. With age, however, our bodies produce fewer and fewer of these enzymes, which is why the regular consumption of enzyme-rich tropical fruits like the papaya is a good preventative measure. For this purpose, experts recommend one or, if possible, two papayas per day.</w:t>
      </w:r>
    </w:p>
    <w:p>
      <w:pPr>
        <w:pStyle w:val="Heading2"/>
        <w:spacing w:before="242"/>
        <w:ind w:left="616"/>
      </w:pPr>
      <w:r>
        <w:rPr/>
        <w:t>Papaya studies</w:t>
      </w:r>
    </w:p>
    <w:p>
      <w:pPr>
        <w:pStyle w:val="BodyText"/>
        <w:spacing w:line="278" w:lineRule="auto" w:before="302"/>
        <w:ind w:left="616" w:right="146"/>
        <w:jc w:val="both"/>
      </w:pPr>
      <w:r>
        <w:rPr/>
        <w:t>Countless studies have been able to demonstrate the high healing potential of papaya and its most important enzyme ‘papain’.</w:t>
      </w:r>
    </w:p>
    <w:p>
      <w:pPr>
        <w:pStyle w:val="Heading1"/>
        <w:spacing w:before="215"/>
        <w:ind w:left="616"/>
        <w:jc w:val="both"/>
      </w:pPr>
      <w:r>
        <w:rPr/>
        <w:t>Papain</w:t>
      </w:r>
      <w:r>
        <w:rPr>
          <w:spacing w:val="-34"/>
        </w:rPr>
        <w:t> </w:t>
      </w:r>
      <w:r>
        <w:rPr/>
        <w:t>enzyme</w:t>
      </w:r>
      <w:r>
        <w:rPr>
          <w:spacing w:val="-33"/>
        </w:rPr>
        <w:t> </w:t>
      </w:r>
      <w:r>
        <w:rPr/>
        <w:t>therapy</w:t>
      </w:r>
      <w:r>
        <w:rPr>
          <w:spacing w:val="-33"/>
        </w:rPr>
        <w:t> </w:t>
      </w:r>
      <w:r>
        <w:rPr/>
        <w:t>improves</w:t>
      </w:r>
      <w:r>
        <w:rPr>
          <w:spacing w:val="-33"/>
        </w:rPr>
        <w:t> </w:t>
      </w:r>
      <w:r>
        <w:rPr/>
        <w:t>the</w:t>
      </w:r>
      <w:r>
        <w:rPr>
          <w:spacing w:val="-33"/>
        </w:rPr>
        <w:t> </w:t>
      </w:r>
      <w:r>
        <w:rPr/>
        <w:t>quality</w:t>
      </w:r>
      <w:r>
        <w:rPr>
          <w:spacing w:val="-33"/>
        </w:rPr>
        <w:t> </w:t>
      </w:r>
      <w:r>
        <w:rPr/>
        <w:t>of</w:t>
      </w:r>
      <w:r>
        <w:rPr>
          <w:spacing w:val="-33"/>
        </w:rPr>
        <w:t> </w:t>
      </w:r>
      <w:r>
        <w:rPr/>
        <w:t>life</w:t>
      </w:r>
      <w:r>
        <w:rPr>
          <w:spacing w:val="-32"/>
        </w:rPr>
        <w:t> </w:t>
      </w:r>
      <w:r>
        <w:rPr/>
        <w:t>of</w:t>
      </w:r>
      <w:r>
        <w:rPr>
          <w:spacing w:val="-33"/>
        </w:rPr>
        <w:t> </w:t>
      </w:r>
      <w:r>
        <w:rPr/>
        <w:t>tumour</w:t>
      </w:r>
      <w:r>
        <w:rPr>
          <w:spacing w:val="-32"/>
        </w:rPr>
        <w:t> </w:t>
      </w:r>
      <w:r>
        <w:rPr/>
        <w:t>patients</w:t>
      </w:r>
    </w:p>
    <w:p>
      <w:pPr>
        <w:pStyle w:val="BodyText"/>
        <w:rPr>
          <w:b/>
          <w:i/>
          <w:sz w:val="20"/>
        </w:rPr>
      </w:pPr>
    </w:p>
    <w:p>
      <w:pPr>
        <w:pStyle w:val="BodyText"/>
        <w:spacing w:before="3"/>
        <w:rPr>
          <w:b/>
          <w:i/>
          <w:sz w:val="11"/>
        </w:rPr>
      </w:pPr>
      <w:r>
        <w:rPr/>
        <w:pict>
          <v:line style="position:absolute;mso-position-horizontal-relative:page;mso-position-vertical-relative:paragraph;z-index:8768;mso-wrap-distance-left:0;mso-wrap-distance-right:0" from="70.823997pt,8.700015pt" to="214.843997pt,8.700015pt" stroked="true" strokeweight=".71997pt" strokecolor="#000000">
            <v:stroke dashstyle="solid"/>
            <w10:wrap type="topAndBottom"/>
          </v:line>
        </w:pict>
      </w:r>
    </w:p>
    <w:p>
      <w:pPr>
        <w:pStyle w:val="BodyText"/>
        <w:spacing w:before="7"/>
        <w:rPr>
          <w:b/>
          <w:i/>
          <w:sz w:val="18"/>
        </w:rPr>
      </w:pPr>
    </w:p>
    <w:p>
      <w:pPr>
        <w:spacing w:before="100"/>
        <w:ind w:left="616" w:right="0" w:firstLine="0"/>
        <w:jc w:val="left"/>
        <w:rPr>
          <w:sz w:val="20"/>
        </w:rPr>
      </w:pPr>
      <w:r>
        <w:rPr>
          <w:position w:val="5"/>
          <w:sz w:val="13"/>
        </w:rPr>
        <w:t>678 </w:t>
      </w:r>
      <w:r>
        <w:rPr>
          <w:sz w:val="20"/>
        </w:rPr>
        <w:t>Barbara Simonsohn: Papaya – Heilen mit der Wunderfrucht ('Papaya – Healing with the Wonder Fruit'), 2nd Edition, 1998, p. 67.</w:t>
      </w:r>
    </w:p>
    <w:p>
      <w:pPr>
        <w:spacing w:after="0"/>
        <w:jc w:val="left"/>
        <w:rPr>
          <w:sz w:val="20"/>
        </w:rPr>
        <w:sectPr>
          <w:pgSz w:w="14270" w:h="16850"/>
          <w:pgMar w:header="0" w:footer="1891" w:top="1340" w:bottom="2080" w:left="800" w:right="1280"/>
        </w:sectPr>
      </w:pPr>
    </w:p>
    <w:p>
      <w:pPr>
        <w:pStyle w:val="Heading1"/>
        <w:spacing w:before="77"/>
        <w:ind w:left="616"/>
      </w:pPr>
      <w:r>
        <w:rPr/>
        <w:t>and increases lifespan</w:t>
      </w:r>
    </w:p>
    <w:p>
      <w:pPr>
        <w:pStyle w:val="BodyText"/>
        <w:spacing w:line="276" w:lineRule="auto" w:before="299"/>
        <w:ind w:left="616" w:right="138"/>
        <w:jc w:val="both"/>
        <w:rPr>
          <w:sz w:val="25"/>
        </w:rPr>
      </w:pPr>
      <w:r>
        <w:rPr/>
        <w:t>In contrast to the standard treatments of conventional medicine, which often do</w:t>
      </w:r>
      <w:r>
        <w:rPr>
          <w:spacing w:val="-11"/>
        </w:rPr>
        <w:t> </w:t>
      </w:r>
      <w:r>
        <w:rPr/>
        <w:t>increase</w:t>
      </w:r>
      <w:r>
        <w:rPr>
          <w:spacing w:val="-11"/>
        </w:rPr>
        <w:t> </w:t>
      </w:r>
      <w:r>
        <w:rPr/>
        <w:t>lifespan</w:t>
      </w:r>
      <w:r>
        <w:rPr>
          <w:spacing w:val="-10"/>
        </w:rPr>
        <w:t> </w:t>
      </w:r>
      <w:r>
        <w:rPr/>
        <w:t>but</w:t>
      </w:r>
      <w:r>
        <w:rPr>
          <w:spacing w:val="-13"/>
        </w:rPr>
        <w:t> </w:t>
      </w:r>
      <w:r>
        <w:rPr/>
        <w:t>worsen</w:t>
      </w:r>
      <w:r>
        <w:rPr>
          <w:spacing w:val="-11"/>
        </w:rPr>
        <w:t> </w:t>
      </w:r>
      <w:r>
        <w:rPr/>
        <w:t>the</w:t>
      </w:r>
      <w:r>
        <w:rPr>
          <w:spacing w:val="-10"/>
        </w:rPr>
        <w:t> </w:t>
      </w:r>
      <w:r>
        <w:rPr/>
        <w:t>quality</w:t>
      </w:r>
      <w:r>
        <w:rPr>
          <w:spacing w:val="-11"/>
        </w:rPr>
        <w:t> </w:t>
      </w:r>
      <w:r>
        <w:rPr/>
        <w:t>of</w:t>
      </w:r>
      <w:r>
        <w:rPr>
          <w:spacing w:val="-11"/>
        </w:rPr>
        <w:t> </w:t>
      </w:r>
      <w:r>
        <w:rPr/>
        <w:t>life</w:t>
      </w:r>
      <w:r>
        <w:rPr>
          <w:spacing w:val="-10"/>
        </w:rPr>
        <w:t> </w:t>
      </w:r>
      <w:r>
        <w:rPr/>
        <w:t>of</w:t>
      </w:r>
      <w:r>
        <w:rPr>
          <w:spacing w:val="-11"/>
        </w:rPr>
        <w:t> </w:t>
      </w:r>
      <w:r>
        <w:rPr/>
        <w:t>patients,</w:t>
      </w:r>
      <w:r>
        <w:rPr>
          <w:spacing w:val="-11"/>
        </w:rPr>
        <w:t> </w:t>
      </w:r>
      <w:r>
        <w:rPr/>
        <w:t>studies</w:t>
      </w:r>
      <w:r>
        <w:rPr>
          <w:spacing w:val="-11"/>
        </w:rPr>
        <w:t> </w:t>
      </w:r>
      <w:r>
        <w:rPr/>
        <w:t>of</w:t>
      </w:r>
      <w:r>
        <w:rPr>
          <w:spacing w:val="-11"/>
        </w:rPr>
        <w:t> </w:t>
      </w:r>
      <w:r>
        <w:rPr/>
        <w:t>papain in cancer treatment show an improvement to quality of life as well as a longer lifespan.</w:t>
      </w:r>
      <w:r>
        <w:rPr>
          <w:position w:val="9"/>
          <w:sz w:val="25"/>
        </w:rPr>
        <w:t>679</w:t>
      </w:r>
    </w:p>
    <w:p>
      <w:pPr>
        <w:pStyle w:val="Heading1"/>
        <w:spacing w:before="222"/>
        <w:ind w:left="616"/>
      </w:pPr>
      <w:r>
        <w:rPr/>
        <w:t>Papaya demonstrates antioxidant effects in studies</w:t>
      </w:r>
    </w:p>
    <w:p>
      <w:pPr>
        <w:pStyle w:val="BodyText"/>
        <w:spacing w:line="276" w:lineRule="auto" w:before="300"/>
        <w:ind w:left="616"/>
        <w:rPr>
          <w:sz w:val="25"/>
        </w:rPr>
      </w:pPr>
      <w:r>
        <w:rPr/>
        <w:t>In studies, the fresh of the papaya fruit, the seeds, and the pulp of unripe pa- paya fruits demonstrate an antioxidant effect.</w:t>
      </w:r>
      <w:r>
        <w:rPr>
          <w:position w:val="9"/>
          <w:sz w:val="25"/>
        </w:rPr>
        <w:t>680</w:t>
      </w:r>
    </w:p>
    <w:p>
      <w:pPr>
        <w:pStyle w:val="Heading1"/>
        <w:spacing w:before="223"/>
        <w:ind w:left="616"/>
      </w:pPr>
      <w:r>
        <w:rPr/>
        <w:t>Studies show papaya’s antibacterial effect</w:t>
      </w:r>
    </w:p>
    <w:p>
      <w:pPr>
        <w:pStyle w:val="BodyText"/>
        <w:spacing w:before="297"/>
        <w:ind w:left="616"/>
        <w:rPr>
          <w:sz w:val="25"/>
        </w:rPr>
      </w:pPr>
      <w:r>
        <w:rPr/>
        <w:t>According to studies, the milky sap of the papaya has an antibacterial effect.</w:t>
      </w:r>
      <w:r>
        <w:rPr>
          <w:position w:val="9"/>
          <w:sz w:val="25"/>
        </w:rPr>
        <w:t>681</w:t>
      </w:r>
    </w:p>
    <w:p>
      <w:pPr>
        <w:pStyle w:val="Heading1"/>
        <w:spacing w:before="288"/>
        <w:ind w:left="616"/>
      </w:pPr>
      <w:r>
        <w:rPr/>
        <w:t>Antimycotic (antifungal) effect proven in</w:t>
      </w:r>
      <w:r>
        <w:rPr>
          <w:spacing w:val="-74"/>
        </w:rPr>
        <w:t> </w:t>
      </w:r>
      <w:r>
        <w:rPr/>
        <w:t>studies</w:t>
      </w:r>
    </w:p>
    <w:p>
      <w:pPr>
        <w:pStyle w:val="BodyText"/>
        <w:spacing w:line="276" w:lineRule="auto" w:before="299"/>
        <w:ind w:left="616" w:right="139"/>
        <w:jc w:val="both"/>
        <w:rPr>
          <w:sz w:val="25"/>
        </w:rPr>
      </w:pPr>
      <w:r>
        <w:rPr/>
        <w:t>The researcher Giordani and his team were able to demonstrate antimycotic substances in the papaya, i.e. components of the papaya that counteract the growth of fungi.</w:t>
      </w:r>
      <w:r>
        <w:rPr>
          <w:position w:val="9"/>
          <w:sz w:val="25"/>
        </w:rPr>
        <w:t>682</w:t>
      </w:r>
    </w:p>
    <w:p>
      <w:pPr>
        <w:pStyle w:val="Heading1"/>
        <w:ind w:left="616"/>
      </w:pPr>
      <w:r>
        <w:rPr/>
        <w:t>Anthelminthic (anti-worm) effect proven in studies</w:t>
      </w:r>
    </w:p>
    <w:p>
      <w:pPr>
        <w:pStyle w:val="BodyText"/>
        <w:spacing w:line="278" w:lineRule="auto" w:before="297"/>
        <w:ind w:left="616"/>
        <w:rPr>
          <w:sz w:val="25"/>
        </w:rPr>
      </w:pPr>
      <w:r>
        <w:rPr/>
        <w:t>Satrija et al. were able to demonstrate a clear anti-helminthic effect in their studies on the papaya.</w:t>
      </w:r>
      <w:r>
        <w:rPr>
          <w:position w:val="9"/>
          <w:sz w:val="25"/>
        </w:rPr>
        <w:t>683</w:t>
      </w:r>
    </w:p>
    <w:p>
      <w:pPr>
        <w:pStyle w:val="BodyText"/>
        <w:rPr>
          <w:sz w:val="20"/>
        </w:rPr>
      </w:pPr>
    </w:p>
    <w:p>
      <w:pPr>
        <w:pStyle w:val="BodyText"/>
        <w:rPr>
          <w:sz w:val="20"/>
        </w:rPr>
      </w:pPr>
    </w:p>
    <w:p>
      <w:pPr>
        <w:pStyle w:val="BodyText"/>
        <w:spacing w:before="11"/>
        <w:rPr>
          <w:sz w:val="23"/>
        </w:rPr>
      </w:pPr>
      <w:r>
        <w:rPr/>
        <w:pict>
          <v:line style="position:absolute;mso-position-horizontal-relative:page;mso-position-vertical-relative:paragraph;z-index:8792;mso-wrap-distance-left:0;mso-wrap-distance-right:0" from="70.823997pt,15.843735pt" to="214.843997pt,15.843735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679 </w:t>
      </w:r>
      <w:r>
        <w:rPr>
          <w:sz w:val="20"/>
        </w:rPr>
        <w:t>Hager 1996</w:t>
      </w:r>
    </w:p>
    <w:p>
      <w:pPr>
        <w:spacing w:before="92"/>
        <w:ind w:left="616" w:right="0" w:firstLine="0"/>
        <w:jc w:val="left"/>
        <w:rPr>
          <w:rFonts w:ascii="Calibri"/>
          <w:sz w:val="20"/>
        </w:rPr>
      </w:pPr>
      <w:r>
        <w:rPr>
          <w:rFonts w:ascii="Calibri"/>
          <w:position w:val="7"/>
          <w:sz w:val="13"/>
        </w:rPr>
        <w:t>680  </w:t>
      </w:r>
      <w:r>
        <w:rPr>
          <w:rFonts w:ascii="Calibri"/>
          <w:sz w:val="20"/>
        </w:rPr>
        <w:t>Osato et al.</w:t>
      </w:r>
      <w:r>
        <w:rPr>
          <w:rFonts w:ascii="Calibri"/>
          <w:spacing w:val="-26"/>
          <w:sz w:val="20"/>
        </w:rPr>
        <w:t> </w:t>
      </w:r>
      <w:r>
        <w:rPr>
          <w:rFonts w:ascii="Calibri"/>
          <w:sz w:val="20"/>
        </w:rPr>
        <w:t>1993</w:t>
      </w:r>
    </w:p>
    <w:p>
      <w:pPr>
        <w:spacing w:before="96"/>
        <w:ind w:left="616" w:right="0" w:firstLine="0"/>
        <w:jc w:val="left"/>
        <w:rPr>
          <w:sz w:val="20"/>
        </w:rPr>
      </w:pPr>
      <w:r>
        <w:rPr>
          <w:position w:val="5"/>
          <w:sz w:val="13"/>
        </w:rPr>
        <w:t>681  </w:t>
      </w:r>
      <w:r>
        <w:rPr>
          <w:sz w:val="20"/>
        </w:rPr>
        <w:t>Hewitt et al.</w:t>
      </w:r>
      <w:r>
        <w:rPr>
          <w:spacing w:val="-28"/>
          <w:sz w:val="20"/>
        </w:rPr>
        <w:t> </w:t>
      </w:r>
      <w:r>
        <w:rPr>
          <w:sz w:val="20"/>
        </w:rPr>
        <w:t>2000</w:t>
      </w:r>
    </w:p>
    <w:p>
      <w:pPr>
        <w:spacing w:before="94"/>
        <w:ind w:left="616" w:right="0" w:firstLine="0"/>
        <w:jc w:val="left"/>
        <w:rPr>
          <w:sz w:val="20"/>
        </w:rPr>
      </w:pPr>
      <w:r>
        <w:rPr/>
        <w:drawing>
          <wp:anchor distT="0" distB="0" distL="0" distR="0" allowOverlap="1" layoutInCell="1" locked="0" behindDoc="1" simplePos="0" relativeHeight="267176591">
            <wp:simplePos x="0" y="0"/>
            <wp:positionH relativeFrom="page">
              <wp:posOffset>985998</wp:posOffset>
            </wp:positionH>
            <wp:positionV relativeFrom="paragraph">
              <wp:posOffset>141962</wp:posOffset>
            </wp:positionV>
            <wp:extent cx="6379583" cy="902106"/>
            <wp:effectExtent l="0" t="0" r="0" b="0"/>
            <wp:wrapNone/>
            <wp:docPr id="449" name="image2.jpeg" descr=""/>
            <wp:cNvGraphicFramePr>
              <a:graphicFrameLocks noChangeAspect="1"/>
            </wp:cNvGraphicFramePr>
            <a:graphic>
              <a:graphicData uri="http://schemas.openxmlformats.org/drawingml/2006/picture">
                <pic:pic>
                  <pic:nvPicPr>
                    <pic:cNvPr id="450"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682 </w:t>
      </w:r>
      <w:r>
        <w:rPr>
          <w:sz w:val="20"/>
        </w:rPr>
        <w:t>Giordani et al. 1996</w:t>
      </w:r>
    </w:p>
    <w:p>
      <w:pPr>
        <w:spacing w:before="94"/>
        <w:ind w:left="616" w:right="0" w:firstLine="0"/>
        <w:jc w:val="left"/>
        <w:rPr>
          <w:sz w:val="20"/>
        </w:rPr>
      </w:pPr>
      <w:r>
        <w:rPr>
          <w:position w:val="5"/>
          <w:sz w:val="13"/>
        </w:rPr>
        <w:t>683 </w:t>
      </w:r>
      <w:r>
        <w:rPr>
          <w:sz w:val="20"/>
        </w:rPr>
        <w:t>Satrija et al. 1994, 1995</w:t>
      </w:r>
    </w:p>
    <w:p>
      <w:pPr>
        <w:spacing w:after="0"/>
        <w:jc w:val="left"/>
        <w:rPr>
          <w:sz w:val="20"/>
        </w:rPr>
        <w:sectPr>
          <w:footerReference w:type="default" r:id="rId289"/>
          <w:pgSz w:w="14270" w:h="16850"/>
          <w:pgMar w:footer="527" w:header="0" w:top="1320" w:bottom="720" w:left="800" w:right="1280"/>
          <w:pgNumType w:start="1228"/>
        </w:sectPr>
      </w:pPr>
    </w:p>
    <w:p>
      <w:pPr>
        <w:pStyle w:val="Heading1"/>
        <w:spacing w:before="77"/>
        <w:ind w:left="616"/>
      </w:pPr>
      <w:r>
        <w:rPr/>
        <w:t>Studies</w:t>
      </w:r>
      <w:r>
        <w:rPr>
          <w:spacing w:val="-64"/>
        </w:rPr>
        <w:t> </w:t>
      </w:r>
      <w:r>
        <w:rPr/>
        <w:t>demonstrate</w:t>
      </w:r>
      <w:r>
        <w:rPr>
          <w:spacing w:val="-65"/>
        </w:rPr>
        <w:t> </w:t>
      </w:r>
      <w:r>
        <w:rPr/>
        <w:t>papaya’s</w:t>
      </w:r>
      <w:r>
        <w:rPr>
          <w:spacing w:val="-64"/>
        </w:rPr>
        <w:t> </w:t>
      </w:r>
      <w:r>
        <w:rPr/>
        <w:t>anti-helminthic</w:t>
      </w:r>
      <w:r>
        <w:rPr>
          <w:spacing w:val="-65"/>
        </w:rPr>
        <w:t> </w:t>
      </w:r>
      <w:r>
        <w:rPr/>
        <w:t>and</w:t>
      </w:r>
      <w:r>
        <w:rPr>
          <w:spacing w:val="-64"/>
        </w:rPr>
        <w:t> </w:t>
      </w:r>
      <w:r>
        <w:rPr/>
        <w:t>anti-amoebic</w:t>
      </w:r>
      <w:r>
        <w:rPr>
          <w:spacing w:val="-65"/>
        </w:rPr>
        <w:t> </w:t>
      </w:r>
      <w:r>
        <w:rPr/>
        <w:t>effect</w:t>
      </w:r>
    </w:p>
    <w:p>
      <w:pPr>
        <w:pStyle w:val="BodyText"/>
        <w:spacing w:line="276" w:lineRule="auto" w:before="299"/>
        <w:ind w:left="616" w:right="135"/>
        <w:jc w:val="both"/>
      </w:pPr>
      <w:r>
        <w:rPr/>
        <w:t>Tona et al. (1998) and Okeniyi et al. (2007) were able to demonstrate the anti- helminthic and anti-amoebic effects of the pulp and seeds of the papaya.</w:t>
      </w:r>
    </w:p>
    <w:p>
      <w:pPr>
        <w:pStyle w:val="Heading2"/>
        <w:spacing w:before="239"/>
        <w:ind w:left="616"/>
      </w:pPr>
      <w:r>
        <w:rPr/>
        <w:t>Create papaya medicine yourself</w:t>
      </w:r>
    </w:p>
    <w:p>
      <w:pPr>
        <w:spacing w:line="276" w:lineRule="auto" w:before="304"/>
        <w:ind w:left="616" w:right="137" w:firstLine="0"/>
        <w:jc w:val="both"/>
        <w:rPr>
          <w:sz w:val="38"/>
        </w:rPr>
      </w:pPr>
      <w:r>
        <w:rPr>
          <w:sz w:val="38"/>
        </w:rPr>
        <w:t>The following instructions come from the highly recommendable book by Harald W. Tietze, </w:t>
      </w:r>
      <w:r>
        <w:rPr>
          <w:i/>
          <w:sz w:val="38"/>
        </w:rPr>
        <w:t>Die sagenhafte Heilkraft der Papaya </w:t>
      </w:r>
      <w:r>
        <w:rPr>
          <w:sz w:val="38"/>
        </w:rPr>
        <w:t>(‘The Legendary Healing Power of Papaya’).</w:t>
      </w:r>
    </w:p>
    <w:p>
      <w:pPr>
        <w:pStyle w:val="Heading1"/>
        <w:spacing w:before="225"/>
        <w:ind w:left="616"/>
      </w:pPr>
      <w:r>
        <w:rPr/>
        <w:t>Papaya anti-cancer recipe</w:t>
      </w:r>
    </w:p>
    <w:p>
      <w:pPr>
        <w:pStyle w:val="BodyText"/>
        <w:spacing w:line="276" w:lineRule="auto" w:before="299"/>
        <w:ind w:left="616" w:right="136"/>
        <w:jc w:val="both"/>
      </w:pPr>
      <w:r>
        <w:rPr/>
        <w:t>Take seven to eight medium-sized papaya leaves with stems, not too young and not too old, and wash them well and then lightly dry them.</w:t>
      </w:r>
    </w:p>
    <w:p>
      <w:pPr>
        <w:pStyle w:val="BodyText"/>
        <w:spacing w:line="276" w:lineRule="auto" w:before="238"/>
        <w:ind w:left="616" w:right="132"/>
        <w:jc w:val="both"/>
      </w:pPr>
      <w:r>
        <w:rPr/>
        <w:t>Cut them into small pieces (similar to cabbage), let them boil for two hours in a</w:t>
      </w:r>
      <w:r>
        <w:rPr>
          <w:spacing w:val="-8"/>
        </w:rPr>
        <w:t> </w:t>
      </w:r>
      <w:r>
        <w:rPr/>
        <w:t>pot</w:t>
      </w:r>
      <w:r>
        <w:rPr>
          <w:spacing w:val="-6"/>
        </w:rPr>
        <w:t> </w:t>
      </w:r>
      <w:r>
        <w:rPr/>
        <w:t>without</w:t>
      </w:r>
      <w:r>
        <w:rPr>
          <w:spacing w:val="-8"/>
        </w:rPr>
        <w:t> </w:t>
      </w:r>
      <w:r>
        <w:rPr/>
        <w:t>a</w:t>
      </w:r>
      <w:r>
        <w:rPr>
          <w:spacing w:val="-7"/>
        </w:rPr>
        <w:t> </w:t>
      </w:r>
      <w:r>
        <w:rPr/>
        <w:t>top</w:t>
      </w:r>
      <w:r>
        <w:rPr>
          <w:spacing w:val="-5"/>
        </w:rPr>
        <w:t> </w:t>
      </w:r>
      <w:r>
        <w:rPr/>
        <w:t>with</w:t>
      </w:r>
      <w:r>
        <w:rPr>
          <w:spacing w:val="-5"/>
        </w:rPr>
        <w:t> </w:t>
      </w:r>
      <w:r>
        <w:rPr/>
        <w:t>2</w:t>
      </w:r>
      <w:r>
        <w:rPr>
          <w:spacing w:val="-6"/>
        </w:rPr>
        <w:t> </w:t>
      </w:r>
      <w:r>
        <w:rPr/>
        <w:t>litres</w:t>
      </w:r>
      <w:r>
        <w:rPr>
          <w:spacing w:val="-8"/>
        </w:rPr>
        <w:t> </w:t>
      </w:r>
      <w:r>
        <w:rPr/>
        <w:t>of</w:t>
      </w:r>
      <w:r>
        <w:rPr>
          <w:spacing w:val="-7"/>
        </w:rPr>
        <w:t> </w:t>
      </w:r>
      <w:r>
        <w:rPr/>
        <w:t>water</w:t>
      </w:r>
      <w:r>
        <w:rPr>
          <w:spacing w:val="-5"/>
        </w:rPr>
        <w:t> </w:t>
      </w:r>
      <w:r>
        <w:rPr/>
        <w:t>at</w:t>
      </w:r>
      <w:r>
        <w:rPr>
          <w:spacing w:val="-7"/>
        </w:rPr>
        <w:t> </w:t>
      </w:r>
      <w:r>
        <w:rPr/>
        <w:t>medium</w:t>
      </w:r>
      <w:r>
        <w:rPr>
          <w:spacing w:val="-6"/>
        </w:rPr>
        <w:t> </w:t>
      </w:r>
      <w:r>
        <w:rPr/>
        <w:t>heat</w:t>
      </w:r>
      <w:r>
        <w:rPr>
          <w:spacing w:val="-7"/>
        </w:rPr>
        <w:t> </w:t>
      </w:r>
      <w:r>
        <w:rPr/>
        <w:t>until</w:t>
      </w:r>
      <w:r>
        <w:rPr>
          <w:spacing w:val="-7"/>
        </w:rPr>
        <w:t> </w:t>
      </w:r>
      <w:r>
        <w:rPr/>
        <w:t>the</w:t>
      </w:r>
      <w:r>
        <w:rPr>
          <w:spacing w:val="-5"/>
        </w:rPr>
        <w:t> </w:t>
      </w:r>
      <w:r>
        <w:rPr/>
        <w:t>water</w:t>
      </w:r>
      <w:r>
        <w:rPr>
          <w:spacing w:val="-5"/>
        </w:rPr>
        <w:t> </w:t>
      </w:r>
      <w:r>
        <w:rPr/>
        <w:t>is</w:t>
      </w:r>
      <w:r>
        <w:rPr>
          <w:spacing w:val="-6"/>
        </w:rPr>
        <w:t> </w:t>
      </w:r>
      <w:r>
        <w:rPr/>
        <w:t>half evaporated.</w:t>
      </w:r>
    </w:p>
    <w:p>
      <w:pPr>
        <w:pStyle w:val="BodyText"/>
        <w:spacing w:line="276" w:lineRule="auto" w:before="242"/>
        <w:ind w:left="616" w:right="140"/>
        <w:jc w:val="both"/>
      </w:pPr>
      <w:r>
        <w:rPr/>
        <w:t>Afterwards, strain the leaves and pour the extract into bottles. It can be kept in the refrigerator for three to five days, when it becomes cloudy and then cannot be used anymore.</w:t>
      </w:r>
    </w:p>
    <w:p>
      <w:pPr>
        <w:pStyle w:val="Heading1"/>
        <w:spacing w:before="221"/>
        <w:ind w:left="616"/>
      </w:pPr>
      <w:r>
        <w:rPr/>
        <w:t>Papaya blossom essence</w:t>
      </w:r>
    </w:p>
    <w:p>
      <w:pPr>
        <w:pStyle w:val="BodyText"/>
        <w:spacing w:line="278" w:lineRule="auto" w:before="300"/>
        <w:ind w:left="616" w:right="138"/>
        <w:jc w:val="both"/>
      </w:pPr>
      <w:r>
        <w:rPr/>
        <w:t>Papaya essences can be produced from any part of the papaya plant and can be used, for example, on sores or for blood problems.</w:t>
      </w:r>
    </w:p>
    <w:p>
      <w:pPr>
        <w:spacing w:after="0" w:line="278" w:lineRule="auto"/>
        <w:jc w:val="both"/>
        <w:sectPr>
          <w:footerReference w:type="default" r:id="rId290"/>
          <w:pgSz w:w="14270" w:h="16850"/>
          <w:pgMar w:footer="1891" w:header="0" w:top="1320" w:bottom="2080" w:left="800" w:right="1280"/>
          <w:pgNumType w:start="122"/>
        </w:sectPr>
      </w:pPr>
    </w:p>
    <w:p>
      <w:pPr>
        <w:pStyle w:val="BodyText"/>
        <w:rPr>
          <w:sz w:val="20"/>
        </w:rPr>
      </w:pPr>
    </w:p>
    <w:p>
      <w:pPr>
        <w:pStyle w:val="BodyText"/>
        <w:spacing w:before="2"/>
        <w:rPr>
          <w:sz w:val="18"/>
        </w:rPr>
      </w:pPr>
    </w:p>
    <w:p>
      <w:pPr>
        <w:pStyle w:val="Heading1"/>
        <w:spacing w:before="99"/>
        <w:ind w:left="616"/>
      </w:pPr>
      <w:r>
        <w:rPr/>
        <w:t>Essence against intestinal problems</w:t>
      </w:r>
    </w:p>
    <w:p>
      <w:pPr>
        <w:pStyle w:val="BodyText"/>
        <w:spacing w:before="297"/>
        <w:ind w:left="616"/>
      </w:pPr>
      <w:r>
        <w:rPr/>
        <w:t>The seeds are crushed and the pulp used for balancing out stomach acids.</w:t>
      </w:r>
    </w:p>
    <w:p>
      <w:pPr>
        <w:pStyle w:val="Heading1"/>
        <w:spacing w:before="288"/>
        <w:ind w:left="616"/>
      </w:pPr>
      <w:r>
        <w:rPr/>
        <w:t>Essence for heart problems and</w:t>
      </w:r>
      <w:r>
        <w:rPr>
          <w:spacing w:val="-55"/>
        </w:rPr>
        <w:t> </w:t>
      </w:r>
      <w:r>
        <w:rPr/>
        <w:t>stress</w:t>
      </w:r>
    </w:p>
    <w:p>
      <w:pPr>
        <w:pStyle w:val="BodyText"/>
        <w:spacing w:line="278" w:lineRule="auto" w:before="299"/>
        <w:ind w:left="616"/>
      </w:pPr>
      <w:r>
        <w:rPr/>
        <w:t>Here you make use of all plant components by placing the components in a preserving jar and then placing the jar in the sun.</w:t>
      </w:r>
    </w:p>
    <w:p>
      <w:pPr>
        <w:pStyle w:val="Heading1"/>
        <w:spacing w:before="215"/>
        <w:ind w:left="616"/>
      </w:pPr>
      <w:r>
        <w:rPr/>
        <w:t>Papaya tea</w:t>
      </w:r>
    </w:p>
    <w:p>
      <w:pPr>
        <w:pStyle w:val="BodyText"/>
        <w:spacing w:line="276" w:lineRule="auto" w:before="300"/>
        <w:ind w:left="616" w:right="137"/>
        <w:jc w:val="both"/>
      </w:pPr>
      <w:r>
        <w:rPr/>
        <w:t>Papaya tea is prepared in the same way as all other herbal teas. It is important to</w:t>
      </w:r>
      <w:r>
        <w:rPr>
          <w:spacing w:val="-22"/>
        </w:rPr>
        <w:t> </w:t>
      </w:r>
      <w:r>
        <w:rPr/>
        <w:t>pay</w:t>
      </w:r>
      <w:r>
        <w:rPr>
          <w:spacing w:val="-21"/>
        </w:rPr>
        <w:t> </w:t>
      </w:r>
      <w:r>
        <w:rPr/>
        <w:t>attention</w:t>
      </w:r>
      <w:r>
        <w:rPr>
          <w:spacing w:val="-25"/>
        </w:rPr>
        <w:t> </w:t>
      </w:r>
      <w:r>
        <w:rPr/>
        <w:t>to</w:t>
      </w:r>
      <w:r>
        <w:rPr>
          <w:spacing w:val="-22"/>
        </w:rPr>
        <w:t> </w:t>
      </w:r>
      <w:r>
        <w:rPr/>
        <w:t>the</w:t>
      </w:r>
      <w:r>
        <w:rPr>
          <w:spacing w:val="-23"/>
        </w:rPr>
        <w:t> </w:t>
      </w:r>
      <w:r>
        <w:rPr/>
        <w:t>quality</w:t>
      </w:r>
      <w:r>
        <w:rPr>
          <w:spacing w:val="-22"/>
        </w:rPr>
        <w:t> </w:t>
      </w:r>
      <w:r>
        <w:rPr/>
        <w:t>of</w:t>
      </w:r>
      <w:r>
        <w:rPr>
          <w:spacing w:val="-21"/>
        </w:rPr>
        <w:t> </w:t>
      </w:r>
      <w:r>
        <w:rPr/>
        <w:t>the</w:t>
      </w:r>
      <w:r>
        <w:rPr>
          <w:spacing w:val="-20"/>
        </w:rPr>
        <w:t> </w:t>
      </w:r>
      <w:r>
        <w:rPr/>
        <w:t>tea</w:t>
      </w:r>
      <w:r>
        <w:rPr>
          <w:spacing w:val="-22"/>
        </w:rPr>
        <w:t> </w:t>
      </w:r>
      <w:r>
        <w:rPr/>
        <w:t>you</w:t>
      </w:r>
      <w:r>
        <w:rPr>
          <w:spacing w:val="-25"/>
        </w:rPr>
        <w:t> </w:t>
      </w:r>
      <w:r>
        <w:rPr/>
        <w:t>purchase,</w:t>
      </w:r>
      <w:r>
        <w:rPr>
          <w:spacing w:val="-22"/>
        </w:rPr>
        <w:t> </w:t>
      </w:r>
      <w:r>
        <w:rPr/>
        <w:t>which</w:t>
      </w:r>
      <w:r>
        <w:rPr>
          <w:spacing w:val="-23"/>
        </w:rPr>
        <w:t> </w:t>
      </w:r>
      <w:r>
        <w:rPr/>
        <w:t>is</w:t>
      </w:r>
      <w:r>
        <w:rPr>
          <w:spacing w:val="-24"/>
        </w:rPr>
        <w:t> </w:t>
      </w:r>
      <w:r>
        <w:rPr/>
        <w:t>not</w:t>
      </w:r>
      <w:r>
        <w:rPr>
          <w:spacing w:val="-22"/>
        </w:rPr>
        <w:t> </w:t>
      </w:r>
      <w:r>
        <w:rPr/>
        <w:t>infrequently reflected in the price.</w:t>
      </w:r>
    </w:p>
    <w:p>
      <w:pPr>
        <w:pStyle w:val="Heading1"/>
        <w:spacing w:before="221"/>
        <w:ind w:left="616"/>
      </w:pPr>
      <w:r>
        <w:rPr/>
        <w:t>Papaya tincture</w:t>
      </w:r>
    </w:p>
    <w:p>
      <w:pPr>
        <w:pStyle w:val="BodyText"/>
        <w:spacing w:line="276" w:lineRule="auto" w:before="300"/>
        <w:ind w:left="616" w:right="131"/>
        <w:jc w:val="both"/>
      </w:pPr>
      <w:r>
        <w:rPr/>
        <w:t>The</w:t>
      </w:r>
      <w:r>
        <w:rPr>
          <w:spacing w:val="-13"/>
        </w:rPr>
        <w:t> </w:t>
      </w:r>
      <w:r>
        <w:rPr/>
        <w:t>skin</w:t>
      </w:r>
      <w:r>
        <w:rPr>
          <w:spacing w:val="-13"/>
        </w:rPr>
        <w:t> </w:t>
      </w:r>
      <w:r>
        <w:rPr/>
        <w:t>of</w:t>
      </w:r>
      <w:r>
        <w:rPr>
          <w:spacing w:val="-13"/>
        </w:rPr>
        <w:t> </w:t>
      </w:r>
      <w:r>
        <w:rPr/>
        <w:t>the</w:t>
      </w:r>
      <w:r>
        <w:rPr>
          <w:spacing w:val="-13"/>
        </w:rPr>
        <w:t> </w:t>
      </w:r>
      <w:r>
        <w:rPr/>
        <w:t>papaya,</w:t>
      </w:r>
      <w:r>
        <w:rPr>
          <w:spacing w:val="-13"/>
        </w:rPr>
        <w:t> </w:t>
      </w:r>
      <w:r>
        <w:rPr/>
        <w:t>especially,</w:t>
      </w:r>
      <w:r>
        <w:rPr>
          <w:spacing w:val="-12"/>
        </w:rPr>
        <w:t> </w:t>
      </w:r>
      <w:r>
        <w:rPr/>
        <w:t>has</w:t>
      </w:r>
      <w:r>
        <w:rPr>
          <w:spacing w:val="-13"/>
        </w:rPr>
        <w:t> </w:t>
      </w:r>
      <w:r>
        <w:rPr/>
        <w:t>a</w:t>
      </w:r>
      <w:r>
        <w:rPr>
          <w:spacing w:val="-14"/>
        </w:rPr>
        <w:t> </w:t>
      </w:r>
      <w:r>
        <w:rPr/>
        <w:t>high</w:t>
      </w:r>
      <w:r>
        <w:rPr>
          <w:spacing w:val="-13"/>
        </w:rPr>
        <w:t> </w:t>
      </w:r>
      <w:r>
        <w:rPr/>
        <w:t>medicinal</w:t>
      </w:r>
      <w:r>
        <w:rPr>
          <w:spacing w:val="-13"/>
        </w:rPr>
        <w:t> </w:t>
      </w:r>
      <w:r>
        <w:rPr/>
        <w:t>value;</w:t>
      </w:r>
      <w:r>
        <w:rPr>
          <w:spacing w:val="-13"/>
        </w:rPr>
        <w:t> </w:t>
      </w:r>
      <w:r>
        <w:rPr/>
        <w:t>an</w:t>
      </w:r>
      <w:r>
        <w:rPr>
          <w:spacing w:val="-11"/>
        </w:rPr>
        <w:t> </w:t>
      </w:r>
      <w:r>
        <w:rPr/>
        <w:t>effective</w:t>
      </w:r>
      <w:r>
        <w:rPr>
          <w:spacing w:val="-13"/>
        </w:rPr>
        <w:t> </w:t>
      </w:r>
      <w:r>
        <w:rPr/>
        <w:t>tinc- ture can be extracted from it. For this purpose, peel a ripe fruit, leave a bit of pulp</w:t>
      </w:r>
      <w:r>
        <w:rPr>
          <w:spacing w:val="-7"/>
        </w:rPr>
        <w:t> </w:t>
      </w:r>
      <w:r>
        <w:rPr/>
        <w:t>on</w:t>
      </w:r>
      <w:r>
        <w:rPr>
          <w:spacing w:val="-7"/>
        </w:rPr>
        <w:t> </w:t>
      </w:r>
      <w:r>
        <w:rPr/>
        <w:t>the</w:t>
      </w:r>
      <w:r>
        <w:rPr>
          <w:spacing w:val="-6"/>
        </w:rPr>
        <w:t> </w:t>
      </w:r>
      <w:r>
        <w:rPr/>
        <w:t>skin</w:t>
      </w:r>
      <w:r>
        <w:rPr>
          <w:spacing w:val="-8"/>
        </w:rPr>
        <w:t> </w:t>
      </w:r>
      <w:r>
        <w:rPr/>
        <w:t>and</w:t>
      </w:r>
      <w:r>
        <w:rPr>
          <w:spacing w:val="-7"/>
        </w:rPr>
        <w:t> </w:t>
      </w:r>
      <w:r>
        <w:rPr/>
        <w:t>then</w:t>
      </w:r>
      <w:r>
        <w:rPr>
          <w:spacing w:val="-6"/>
        </w:rPr>
        <w:t> </w:t>
      </w:r>
      <w:r>
        <w:rPr/>
        <w:t>place</w:t>
      </w:r>
      <w:r>
        <w:rPr>
          <w:spacing w:val="-9"/>
        </w:rPr>
        <w:t> </w:t>
      </w:r>
      <w:r>
        <w:rPr/>
        <w:t>this</w:t>
      </w:r>
      <w:r>
        <w:rPr>
          <w:spacing w:val="-5"/>
        </w:rPr>
        <w:t> </w:t>
      </w:r>
      <w:r>
        <w:rPr/>
        <w:t>in</w:t>
      </w:r>
      <w:r>
        <w:rPr>
          <w:spacing w:val="-9"/>
        </w:rPr>
        <w:t> </w:t>
      </w:r>
      <w:r>
        <w:rPr/>
        <w:t>a</w:t>
      </w:r>
      <w:r>
        <w:rPr>
          <w:spacing w:val="-8"/>
        </w:rPr>
        <w:t> </w:t>
      </w:r>
      <w:r>
        <w:rPr/>
        <w:t>clean</w:t>
      </w:r>
      <w:r>
        <w:rPr>
          <w:spacing w:val="-5"/>
        </w:rPr>
        <w:t> </w:t>
      </w:r>
      <w:r>
        <w:rPr/>
        <w:t>glass.</w:t>
      </w:r>
      <w:r>
        <w:rPr>
          <w:spacing w:val="-9"/>
        </w:rPr>
        <w:t> </w:t>
      </w:r>
      <w:r>
        <w:rPr/>
        <w:t>Then</w:t>
      </w:r>
      <w:r>
        <w:rPr>
          <w:spacing w:val="-7"/>
        </w:rPr>
        <w:t> </w:t>
      </w:r>
      <w:r>
        <w:rPr/>
        <w:t>pour</w:t>
      </w:r>
      <w:r>
        <w:rPr>
          <w:spacing w:val="-7"/>
        </w:rPr>
        <w:t> </w:t>
      </w:r>
      <w:r>
        <w:rPr/>
        <w:t>alcohol</w:t>
      </w:r>
      <w:r>
        <w:rPr>
          <w:spacing w:val="-8"/>
        </w:rPr>
        <w:t> </w:t>
      </w:r>
      <w:r>
        <w:rPr/>
        <w:t>(useful for this purpose are vodka, fruit schnapps, cognac) until the skins are all cov- ered. Let it soak in for four to six weeks and shake it vigorously every</w:t>
      </w:r>
      <w:r>
        <w:rPr>
          <w:spacing w:val="-22"/>
        </w:rPr>
        <w:t> </w:t>
      </w:r>
      <w:r>
        <w:rPr/>
        <w:t>day.</w:t>
      </w:r>
    </w:p>
    <w:p>
      <w:pPr>
        <w:pStyle w:val="Heading1"/>
        <w:spacing w:before="222"/>
        <w:ind w:left="616"/>
      </w:pPr>
      <w:r>
        <w:rPr/>
        <w:t>Papaya compresses</w:t>
      </w:r>
    </w:p>
    <w:p>
      <w:pPr>
        <w:pStyle w:val="BodyText"/>
        <w:spacing w:line="278" w:lineRule="auto" w:before="300"/>
        <w:ind w:left="616"/>
      </w:pPr>
      <w:r>
        <w:rPr/>
        <w:t>For compresses, crush the young leaves, or alternatively the skins, heat them, and lay them on or bind them to the location to be treated.</w:t>
      </w:r>
    </w:p>
    <w:p>
      <w:pPr>
        <w:spacing w:after="0" w:line="278" w:lineRule="auto"/>
        <w:sectPr>
          <w:footerReference w:type="default" r:id="rId291"/>
          <w:pgSz w:w="14270" w:h="16850"/>
          <w:pgMar w:footer="1891" w:header="0" w:top="1600" w:bottom="2080" w:left="800" w:right="1280"/>
          <w:pgNumType w:start="123"/>
        </w:sectPr>
      </w:pPr>
    </w:p>
    <w:p>
      <w:pPr>
        <w:pStyle w:val="Heading1"/>
        <w:spacing w:before="77"/>
        <w:ind w:left="616"/>
      </w:pPr>
      <w:r>
        <w:rPr/>
        <w:t>Papaya vinegar</w:t>
      </w:r>
    </w:p>
    <w:p>
      <w:pPr>
        <w:pStyle w:val="BodyText"/>
        <w:spacing w:line="276" w:lineRule="auto" w:before="299"/>
        <w:ind w:left="616" w:right="133"/>
        <w:jc w:val="both"/>
      </w:pPr>
      <w:r>
        <w:rPr/>
        <w:t>You can place thinly cut papaya strips or grated pieces of the unpeeled fruit</w:t>
      </w:r>
      <w:r>
        <w:rPr>
          <w:spacing w:val="-60"/>
        </w:rPr>
        <w:t> </w:t>
      </w:r>
      <w:r>
        <w:rPr/>
        <w:t>in vinegar. To do this, fill a jar 2/3 full and pour enough vinegar over the</w:t>
      </w:r>
      <w:r>
        <w:rPr>
          <w:spacing w:val="-67"/>
        </w:rPr>
        <w:t> </w:t>
      </w:r>
      <w:r>
        <w:rPr/>
        <w:t>papaya to</w:t>
      </w:r>
      <w:r>
        <w:rPr>
          <w:spacing w:val="-8"/>
        </w:rPr>
        <w:t> </w:t>
      </w:r>
      <w:r>
        <w:rPr/>
        <w:t>cover</w:t>
      </w:r>
      <w:r>
        <w:rPr>
          <w:spacing w:val="-7"/>
        </w:rPr>
        <w:t> </w:t>
      </w:r>
      <w:r>
        <w:rPr/>
        <w:t>all</w:t>
      </w:r>
      <w:r>
        <w:rPr>
          <w:spacing w:val="-10"/>
        </w:rPr>
        <w:t> </w:t>
      </w:r>
      <w:r>
        <w:rPr/>
        <w:t>of</w:t>
      </w:r>
      <w:r>
        <w:rPr>
          <w:spacing w:val="-8"/>
        </w:rPr>
        <w:t> </w:t>
      </w:r>
      <w:r>
        <w:rPr/>
        <w:t>it.</w:t>
      </w:r>
      <w:r>
        <w:rPr>
          <w:spacing w:val="-6"/>
        </w:rPr>
        <w:t> </w:t>
      </w:r>
      <w:r>
        <w:rPr/>
        <w:t>After</w:t>
      </w:r>
      <w:r>
        <w:rPr>
          <w:spacing w:val="-7"/>
        </w:rPr>
        <w:t> </w:t>
      </w:r>
      <w:r>
        <w:rPr/>
        <w:t>at</w:t>
      </w:r>
      <w:r>
        <w:rPr>
          <w:spacing w:val="-10"/>
        </w:rPr>
        <w:t> </w:t>
      </w:r>
      <w:r>
        <w:rPr/>
        <w:t>least</w:t>
      </w:r>
      <w:r>
        <w:rPr>
          <w:spacing w:val="-9"/>
        </w:rPr>
        <w:t> </w:t>
      </w:r>
      <w:r>
        <w:rPr/>
        <w:t>four</w:t>
      </w:r>
      <w:r>
        <w:rPr>
          <w:spacing w:val="-9"/>
        </w:rPr>
        <w:t> </w:t>
      </w:r>
      <w:r>
        <w:rPr/>
        <w:t>weeks</w:t>
      </w:r>
      <w:r>
        <w:rPr>
          <w:spacing w:val="-8"/>
        </w:rPr>
        <w:t> </w:t>
      </w:r>
      <w:r>
        <w:rPr/>
        <w:t>of</w:t>
      </w:r>
      <w:r>
        <w:rPr>
          <w:spacing w:val="-8"/>
        </w:rPr>
        <w:t> </w:t>
      </w:r>
      <w:r>
        <w:rPr/>
        <w:t>storage,</w:t>
      </w:r>
      <w:r>
        <w:rPr>
          <w:spacing w:val="-6"/>
        </w:rPr>
        <w:t> </w:t>
      </w:r>
      <w:r>
        <w:rPr/>
        <w:t>the</w:t>
      </w:r>
      <w:r>
        <w:rPr>
          <w:spacing w:val="-7"/>
        </w:rPr>
        <w:t> </w:t>
      </w:r>
      <w:r>
        <w:rPr/>
        <w:t>vinegar</w:t>
      </w:r>
      <w:r>
        <w:rPr>
          <w:spacing w:val="-8"/>
        </w:rPr>
        <w:t> </w:t>
      </w:r>
      <w:r>
        <w:rPr/>
        <w:t>can</w:t>
      </w:r>
      <w:r>
        <w:rPr>
          <w:spacing w:val="-7"/>
        </w:rPr>
        <w:t> </w:t>
      </w:r>
      <w:r>
        <w:rPr/>
        <w:t>be</w:t>
      </w:r>
      <w:r>
        <w:rPr>
          <w:spacing w:val="-8"/>
        </w:rPr>
        <w:t> </w:t>
      </w:r>
      <w:r>
        <w:rPr/>
        <w:t>sieved as</w:t>
      </w:r>
      <w:r>
        <w:rPr>
          <w:spacing w:val="-1"/>
        </w:rPr>
        <w:t> </w:t>
      </w:r>
      <w:r>
        <w:rPr/>
        <w:t>needed.</w:t>
      </w:r>
    </w:p>
    <w:p>
      <w:pPr>
        <w:pStyle w:val="Heading1"/>
        <w:spacing w:before="222"/>
        <w:ind w:left="616"/>
      </w:pPr>
      <w:r>
        <w:rPr/>
        <w:t>Papaya oil</w:t>
      </w:r>
    </w:p>
    <w:p>
      <w:pPr>
        <w:pStyle w:val="BodyText"/>
        <w:spacing w:line="276" w:lineRule="auto" w:before="300"/>
        <w:ind w:left="616" w:right="135"/>
        <w:jc w:val="both"/>
      </w:pPr>
      <w:r>
        <w:rPr/>
        <w:t>Cut</w:t>
      </w:r>
      <w:r>
        <w:rPr>
          <w:spacing w:val="-5"/>
        </w:rPr>
        <w:t> </w:t>
      </w:r>
      <w:r>
        <w:rPr/>
        <w:t>up</w:t>
      </w:r>
      <w:r>
        <w:rPr>
          <w:spacing w:val="-5"/>
        </w:rPr>
        <w:t> </w:t>
      </w:r>
      <w:r>
        <w:rPr/>
        <w:t>leaves</w:t>
      </w:r>
      <w:r>
        <w:rPr>
          <w:spacing w:val="-4"/>
        </w:rPr>
        <w:t> </w:t>
      </w:r>
      <w:r>
        <w:rPr/>
        <w:t>and</w:t>
      </w:r>
      <w:r>
        <w:rPr>
          <w:spacing w:val="-4"/>
        </w:rPr>
        <w:t> </w:t>
      </w:r>
      <w:r>
        <w:rPr/>
        <w:t>skin</w:t>
      </w:r>
      <w:r>
        <w:rPr>
          <w:spacing w:val="-3"/>
        </w:rPr>
        <w:t> </w:t>
      </w:r>
      <w:r>
        <w:rPr/>
        <w:t>and</w:t>
      </w:r>
      <w:r>
        <w:rPr>
          <w:spacing w:val="-7"/>
        </w:rPr>
        <w:t> </w:t>
      </w:r>
      <w:r>
        <w:rPr/>
        <w:t>place</w:t>
      </w:r>
      <w:r>
        <w:rPr>
          <w:spacing w:val="-9"/>
        </w:rPr>
        <w:t> </w:t>
      </w:r>
      <w:r>
        <w:rPr/>
        <w:t>them</w:t>
      </w:r>
      <w:r>
        <w:rPr>
          <w:spacing w:val="-4"/>
        </w:rPr>
        <w:t> </w:t>
      </w:r>
      <w:r>
        <w:rPr/>
        <w:t>in</w:t>
      </w:r>
      <w:r>
        <w:rPr>
          <w:spacing w:val="-7"/>
        </w:rPr>
        <w:t> </w:t>
      </w:r>
      <w:r>
        <w:rPr/>
        <w:t>a</w:t>
      </w:r>
      <w:r>
        <w:rPr>
          <w:spacing w:val="-5"/>
        </w:rPr>
        <w:t> </w:t>
      </w:r>
      <w:r>
        <w:rPr/>
        <w:t>pot.</w:t>
      </w:r>
      <w:r>
        <w:rPr>
          <w:spacing w:val="-6"/>
        </w:rPr>
        <w:t> </w:t>
      </w:r>
      <w:r>
        <w:rPr/>
        <w:t>Then</w:t>
      </w:r>
      <w:r>
        <w:rPr>
          <w:spacing w:val="-4"/>
        </w:rPr>
        <w:t> </w:t>
      </w:r>
      <w:r>
        <w:rPr/>
        <w:t>pour</w:t>
      </w:r>
      <w:r>
        <w:rPr>
          <w:spacing w:val="-5"/>
        </w:rPr>
        <w:t> </w:t>
      </w:r>
      <w:r>
        <w:rPr/>
        <w:t>olive</w:t>
      </w:r>
      <w:r>
        <w:rPr>
          <w:spacing w:val="-7"/>
        </w:rPr>
        <w:t> </w:t>
      </w:r>
      <w:r>
        <w:rPr/>
        <w:t>oil</w:t>
      </w:r>
      <w:r>
        <w:rPr>
          <w:spacing w:val="-6"/>
        </w:rPr>
        <w:t> </w:t>
      </w:r>
      <w:r>
        <w:rPr/>
        <w:t>over</w:t>
      </w:r>
      <w:r>
        <w:rPr>
          <w:spacing w:val="-3"/>
        </w:rPr>
        <w:t> </w:t>
      </w:r>
      <w:r>
        <w:rPr/>
        <w:t>these until all papaya parts are covered. Bring the oil to a simmer for five minutes and then let it stand for one to two days before pressing it with a</w:t>
      </w:r>
      <w:r>
        <w:rPr>
          <w:spacing w:val="-15"/>
        </w:rPr>
        <w:t> </w:t>
      </w:r>
      <w:r>
        <w:rPr/>
        <w:t>towel.</w:t>
      </w:r>
    </w:p>
    <w:p>
      <w:pPr>
        <w:pStyle w:val="Heading2"/>
        <w:spacing w:before="239"/>
        <w:ind w:left="616"/>
      </w:pPr>
      <w:r>
        <w:rPr/>
        <w:t>Does papaya cause any side effects or interactions?</w:t>
      </w:r>
    </w:p>
    <w:p>
      <w:pPr>
        <w:pStyle w:val="BodyText"/>
        <w:spacing w:line="276" w:lineRule="auto" w:before="304"/>
        <w:ind w:left="616" w:right="133"/>
        <w:jc w:val="both"/>
      </w:pPr>
      <w:r>
        <w:rPr/>
        <w:t>Papaya is generally considered a safe medicinal plant; side effects are rare and usually only observed with excessive use. There are people who are allergic to the pollen of the blossoms, but this is rather rare. Yellow-coloured palms and soles of the feet after excessive papaya consumption are harmless and reversi- ble and are due to the storage of beta carotene.</w:t>
      </w:r>
    </w:p>
    <w:p>
      <w:pPr>
        <w:pStyle w:val="BodyText"/>
        <w:spacing w:line="276" w:lineRule="auto" w:before="240"/>
        <w:ind w:left="616" w:right="133"/>
        <w:jc w:val="both"/>
      </w:pPr>
      <w:r>
        <w:rPr/>
        <w:t>Pregnant people should avoid all parts of </w:t>
      </w:r>
      <w:r>
        <w:rPr>
          <w:spacing w:val="2"/>
        </w:rPr>
        <w:t>the </w:t>
      </w:r>
      <w:r>
        <w:rPr/>
        <w:t>papaya plant except for the</w:t>
      </w:r>
      <w:r>
        <w:rPr>
          <w:spacing w:val="-56"/>
        </w:rPr>
        <w:t> </w:t>
      </w:r>
      <w:r>
        <w:rPr/>
        <w:t>pulp of</w:t>
      </w:r>
      <w:r>
        <w:rPr>
          <w:spacing w:val="-4"/>
        </w:rPr>
        <w:t> </w:t>
      </w:r>
      <w:r>
        <w:rPr/>
        <w:t>a</w:t>
      </w:r>
      <w:r>
        <w:rPr>
          <w:spacing w:val="-5"/>
        </w:rPr>
        <w:t> </w:t>
      </w:r>
      <w:r>
        <w:rPr>
          <w:u w:val="single"/>
        </w:rPr>
        <w:t>ripe</w:t>
      </w:r>
      <w:r>
        <w:rPr>
          <w:spacing w:val="-6"/>
        </w:rPr>
        <w:t> </w:t>
      </w:r>
      <w:r>
        <w:rPr/>
        <w:t>papaya.</w:t>
      </w:r>
      <w:r>
        <w:rPr>
          <w:spacing w:val="-3"/>
        </w:rPr>
        <w:t> </w:t>
      </w:r>
      <w:r>
        <w:rPr/>
        <w:t>Other</w:t>
      </w:r>
      <w:r>
        <w:rPr>
          <w:spacing w:val="-3"/>
        </w:rPr>
        <w:t> </w:t>
      </w:r>
      <w:r>
        <w:rPr/>
        <w:t>parts,</w:t>
      </w:r>
      <w:r>
        <w:rPr>
          <w:spacing w:val="-6"/>
        </w:rPr>
        <w:t> </w:t>
      </w:r>
      <w:r>
        <w:rPr/>
        <w:t>as</w:t>
      </w:r>
      <w:r>
        <w:rPr>
          <w:spacing w:val="-7"/>
        </w:rPr>
        <w:t> </w:t>
      </w:r>
      <w:r>
        <w:rPr/>
        <w:t>well</w:t>
      </w:r>
      <w:r>
        <w:rPr>
          <w:spacing w:val="-5"/>
        </w:rPr>
        <w:t> </w:t>
      </w:r>
      <w:r>
        <w:rPr/>
        <w:t>as</w:t>
      </w:r>
      <w:r>
        <w:rPr>
          <w:spacing w:val="-4"/>
        </w:rPr>
        <w:t> </w:t>
      </w:r>
      <w:r>
        <w:rPr/>
        <w:t>the</w:t>
      </w:r>
      <w:r>
        <w:rPr>
          <w:spacing w:val="-3"/>
        </w:rPr>
        <w:t> </w:t>
      </w:r>
      <w:r>
        <w:rPr/>
        <w:t>pulp</w:t>
      </w:r>
      <w:r>
        <w:rPr>
          <w:spacing w:val="-6"/>
        </w:rPr>
        <w:t> </w:t>
      </w:r>
      <w:r>
        <w:rPr/>
        <w:t>of</w:t>
      </w:r>
      <w:r>
        <w:rPr>
          <w:spacing w:val="-4"/>
        </w:rPr>
        <w:t> </w:t>
      </w:r>
      <w:r>
        <w:rPr/>
        <w:t>the</w:t>
      </w:r>
      <w:r>
        <w:rPr>
          <w:spacing w:val="-2"/>
        </w:rPr>
        <w:t> </w:t>
      </w:r>
      <w:r>
        <w:rPr>
          <w:u w:val="single"/>
        </w:rPr>
        <w:t>unripe</w:t>
      </w:r>
      <w:r>
        <w:rPr>
          <w:spacing w:val="-7"/>
        </w:rPr>
        <w:t> </w:t>
      </w:r>
      <w:r>
        <w:rPr/>
        <w:t>papaya</w:t>
      </w:r>
      <w:r>
        <w:rPr>
          <w:spacing w:val="-3"/>
        </w:rPr>
        <w:t> </w:t>
      </w:r>
      <w:r>
        <w:rPr/>
        <w:t>can</w:t>
      </w:r>
      <w:r>
        <w:rPr>
          <w:spacing w:val="-3"/>
        </w:rPr>
        <w:t> </w:t>
      </w:r>
      <w:r>
        <w:rPr/>
        <w:t>lead to miscarriage; they are even used by native peoples as an</w:t>
      </w:r>
      <w:r>
        <w:rPr>
          <w:spacing w:val="-19"/>
        </w:rPr>
        <w:t> </w:t>
      </w:r>
      <w:r>
        <w:rPr/>
        <w:t>abortifacient.</w:t>
      </w:r>
    </w:p>
    <w:p>
      <w:pPr>
        <w:spacing w:after="0" w:line="276" w:lineRule="auto"/>
        <w:jc w:val="both"/>
        <w:sectPr>
          <w:footerReference w:type="default" r:id="rId292"/>
          <w:pgSz w:w="14270" w:h="16850"/>
          <w:pgMar w:footer="1891" w:header="0" w:top="1320" w:bottom="2080" w:left="800" w:right="1280"/>
          <w:pgNumType w:start="1231"/>
        </w:sectPr>
      </w:pPr>
    </w:p>
    <w:p>
      <w:pPr>
        <w:spacing w:before="73"/>
        <w:ind w:left="616" w:right="0" w:firstLine="0"/>
        <w:jc w:val="left"/>
        <w:rPr>
          <w:rFonts w:ascii="Cambria"/>
          <w:b/>
          <w:sz w:val="28"/>
        </w:rPr>
      </w:pPr>
      <w:r>
        <w:rPr>
          <w:rFonts w:ascii="Cambria"/>
          <w:b/>
          <w:color w:val="365F91"/>
          <w:sz w:val="28"/>
        </w:rPr>
        <w:t>PROPOLIS</w:t>
      </w:r>
    </w:p>
    <w:p>
      <w:pPr>
        <w:pStyle w:val="BodyText"/>
        <w:spacing w:before="11"/>
        <w:rPr>
          <w:rFonts w:ascii="Cambria"/>
          <w:b/>
          <w:sz w:val="24"/>
        </w:rPr>
      </w:pPr>
    </w:p>
    <w:p>
      <w:pPr>
        <w:pStyle w:val="Heading2"/>
        <w:ind w:left="616"/>
      </w:pPr>
      <w:r>
        <w:rPr/>
        <w:t>What is propolis? – Preface</w:t>
      </w:r>
    </w:p>
    <w:p>
      <w:pPr>
        <w:pStyle w:val="BodyText"/>
        <w:spacing w:line="276" w:lineRule="auto" w:before="302"/>
        <w:ind w:left="616" w:right="136"/>
        <w:jc w:val="both"/>
      </w:pPr>
      <w:r>
        <w:rPr/>
        <w:t>Since the beginning of time, human beings have used ‘Nature’ as their major model for both their technical and medical achievements. There would be no aeroplanes</w:t>
      </w:r>
      <w:r>
        <w:rPr>
          <w:spacing w:val="-9"/>
        </w:rPr>
        <w:t> </w:t>
      </w:r>
      <w:r>
        <w:rPr/>
        <w:t>without</w:t>
      </w:r>
      <w:r>
        <w:rPr>
          <w:spacing w:val="-11"/>
        </w:rPr>
        <w:t> </w:t>
      </w:r>
      <w:r>
        <w:rPr/>
        <w:t>birds,</w:t>
      </w:r>
      <w:r>
        <w:rPr>
          <w:spacing w:val="-8"/>
        </w:rPr>
        <w:t> </w:t>
      </w:r>
      <w:r>
        <w:rPr/>
        <w:t>just</w:t>
      </w:r>
      <w:r>
        <w:rPr>
          <w:spacing w:val="-9"/>
        </w:rPr>
        <w:t> </w:t>
      </w:r>
      <w:r>
        <w:rPr/>
        <w:t>as</w:t>
      </w:r>
      <w:r>
        <w:rPr>
          <w:spacing w:val="-10"/>
        </w:rPr>
        <w:t> </w:t>
      </w:r>
      <w:r>
        <w:rPr/>
        <w:t>there</w:t>
      </w:r>
      <w:r>
        <w:rPr>
          <w:spacing w:val="-10"/>
        </w:rPr>
        <w:t> </w:t>
      </w:r>
      <w:r>
        <w:rPr/>
        <w:t>would</w:t>
      </w:r>
      <w:r>
        <w:rPr>
          <w:spacing w:val="-10"/>
        </w:rPr>
        <w:t> </w:t>
      </w:r>
      <w:r>
        <w:rPr/>
        <w:t>be</w:t>
      </w:r>
      <w:r>
        <w:rPr>
          <w:spacing w:val="-9"/>
        </w:rPr>
        <w:t> </w:t>
      </w:r>
      <w:r>
        <w:rPr/>
        <w:t>no</w:t>
      </w:r>
      <w:r>
        <w:rPr>
          <w:spacing w:val="-8"/>
        </w:rPr>
        <w:t> </w:t>
      </w:r>
      <w:r>
        <w:rPr/>
        <w:t>medicine</w:t>
      </w:r>
      <w:r>
        <w:rPr>
          <w:spacing w:val="-9"/>
        </w:rPr>
        <w:t> </w:t>
      </w:r>
      <w:r>
        <w:rPr/>
        <w:t>without</w:t>
      </w:r>
      <w:r>
        <w:rPr>
          <w:spacing w:val="-11"/>
        </w:rPr>
        <w:t> </w:t>
      </w:r>
      <w:r>
        <w:rPr/>
        <w:t>the</w:t>
      </w:r>
      <w:r>
        <w:rPr>
          <w:spacing w:val="-9"/>
        </w:rPr>
        <w:t> </w:t>
      </w:r>
      <w:r>
        <w:rPr/>
        <w:t>heal- ing substances found in nature. That these substances cannot be perfectly im- itated is obvious – and so countless numbers of medications emerge which have neither the effectiveness nor the safety which ‘Nature’ provides,</w:t>
      </w:r>
      <w:r>
        <w:rPr>
          <w:spacing w:val="-18"/>
        </w:rPr>
        <w:t> </w:t>
      </w:r>
      <w:r>
        <w:rPr/>
        <w:t>because</w:t>
      </w:r>
    </w:p>
    <w:p>
      <w:pPr>
        <w:pStyle w:val="BodyText"/>
        <w:spacing w:line="276" w:lineRule="auto"/>
        <w:ind w:left="616" w:right="138"/>
        <w:jc w:val="both"/>
      </w:pPr>
      <w:r>
        <w:rPr/>
        <w:t>– to use the example of ‘technology’ again – aeroplanes sometimes crash, but birds never do...</w:t>
      </w:r>
    </w:p>
    <w:p>
      <w:pPr>
        <w:pStyle w:val="BodyText"/>
        <w:spacing w:line="276" w:lineRule="auto" w:before="241"/>
        <w:ind w:left="616" w:right="133"/>
        <w:jc w:val="both"/>
      </w:pPr>
      <w:r>
        <w:rPr/>
        <w:t>The smarter among us have already understood that – if possible – it is much more</w:t>
      </w:r>
      <w:r>
        <w:rPr>
          <w:spacing w:val="-12"/>
        </w:rPr>
        <w:t> </w:t>
      </w:r>
      <w:r>
        <w:rPr/>
        <w:t>advantageous</w:t>
      </w:r>
      <w:r>
        <w:rPr>
          <w:spacing w:val="-11"/>
        </w:rPr>
        <w:t> </w:t>
      </w:r>
      <w:r>
        <w:rPr/>
        <w:t>to</w:t>
      </w:r>
      <w:r>
        <w:rPr>
          <w:spacing w:val="-12"/>
        </w:rPr>
        <w:t> </w:t>
      </w:r>
      <w:r>
        <w:rPr/>
        <w:t>refer</w:t>
      </w:r>
      <w:r>
        <w:rPr>
          <w:spacing w:val="-11"/>
        </w:rPr>
        <w:t> </w:t>
      </w:r>
      <w:r>
        <w:rPr/>
        <w:t>directly</w:t>
      </w:r>
      <w:r>
        <w:rPr>
          <w:spacing w:val="-12"/>
        </w:rPr>
        <w:t> </w:t>
      </w:r>
      <w:r>
        <w:rPr/>
        <w:t>to</w:t>
      </w:r>
      <w:r>
        <w:rPr>
          <w:spacing w:val="-12"/>
        </w:rPr>
        <w:t> </w:t>
      </w:r>
      <w:r>
        <w:rPr/>
        <w:t>natural</w:t>
      </w:r>
      <w:r>
        <w:rPr>
          <w:spacing w:val="-13"/>
        </w:rPr>
        <w:t> </w:t>
      </w:r>
      <w:r>
        <w:rPr/>
        <w:t>remedies</w:t>
      </w:r>
      <w:r>
        <w:rPr>
          <w:spacing w:val="-11"/>
        </w:rPr>
        <w:t> </w:t>
      </w:r>
      <w:r>
        <w:rPr/>
        <w:t>rather</w:t>
      </w:r>
      <w:r>
        <w:rPr>
          <w:spacing w:val="-12"/>
        </w:rPr>
        <w:t> </w:t>
      </w:r>
      <w:r>
        <w:rPr/>
        <w:t>than</w:t>
      </w:r>
      <w:r>
        <w:rPr>
          <w:spacing w:val="-11"/>
        </w:rPr>
        <w:t> </w:t>
      </w:r>
      <w:r>
        <w:rPr/>
        <w:t>their</w:t>
      </w:r>
      <w:r>
        <w:rPr>
          <w:spacing w:val="-12"/>
        </w:rPr>
        <w:t> </w:t>
      </w:r>
      <w:r>
        <w:rPr/>
        <w:t>crude plagiarisms. Luckily, interest in natural remedies is continually increasing among the</w:t>
      </w:r>
      <w:r>
        <w:rPr>
          <w:spacing w:val="2"/>
        </w:rPr>
        <w:t> </w:t>
      </w:r>
      <w:r>
        <w:rPr/>
        <w:t>public.</w:t>
      </w:r>
    </w:p>
    <w:p>
      <w:pPr>
        <w:pStyle w:val="BodyText"/>
        <w:spacing w:line="276" w:lineRule="auto" w:before="240"/>
        <w:ind w:left="616" w:right="139"/>
        <w:jc w:val="both"/>
      </w:pPr>
      <w:r>
        <w:rPr/>
        <w:t>Not to be forgotten in the medicinal repertoire of ‘Mother Nature’ is apither- apy,</w:t>
      </w:r>
      <w:r>
        <w:rPr>
          <w:spacing w:val="-20"/>
        </w:rPr>
        <w:t> </w:t>
      </w:r>
      <w:r>
        <w:rPr/>
        <w:t>an</w:t>
      </w:r>
      <w:r>
        <w:rPr>
          <w:spacing w:val="-21"/>
        </w:rPr>
        <w:t> </w:t>
      </w:r>
      <w:r>
        <w:rPr/>
        <w:t>independent</w:t>
      </w:r>
      <w:r>
        <w:rPr>
          <w:spacing w:val="-21"/>
        </w:rPr>
        <w:t> </w:t>
      </w:r>
      <w:r>
        <w:rPr/>
        <w:t>branch</w:t>
      </w:r>
      <w:r>
        <w:rPr>
          <w:spacing w:val="-22"/>
        </w:rPr>
        <w:t> </w:t>
      </w:r>
      <w:r>
        <w:rPr/>
        <w:t>of</w:t>
      </w:r>
      <w:r>
        <w:rPr>
          <w:spacing w:val="-21"/>
        </w:rPr>
        <w:t> </w:t>
      </w:r>
      <w:r>
        <w:rPr/>
        <w:t>treatment</w:t>
      </w:r>
      <w:r>
        <w:rPr>
          <w:spacing w:val="-21"/>
        </w:rPr>
        <w:t> </w:t>
      </w:r>
      <w:r>
        <w:rPr/>
        <w:t>within</w:t>
      </w:r>
      <w:r>
        <w:rPr>
          <w:spacing w:val="-20"/>
        </w:rPr>
        <w:t> </w:t>
      </w:r>
      <w:r>
        <w:rPr/>
        <w:t>alternative</w:t>
      </w:r>
      <w:r>
        <w:rPr>
          <w:spacing w:val="-21"/>
        </w:rPr>
        <w:t> </w:t>
      </w:r>
      <w:r>
        <w:rPr/>
        <w:t>medicine</w:t>
      </w:r>
      <w:r>
        <w:rPr>
          <w:spacing w:val="-20"/>
        </w:rPr>
        <w:t> </w:t>
      </w:r>
      <w:r>
        <w:rPr/>
        <w:t>using</w:t>
      </w:r>
      <w:r>
        <w:rPr>
          <w:spacing w:val="-20"/>
        </w:rPr>
        <w:t> </w:t>
      </w:r>
      <w:r>
        <w:rPr/>
        <w:t>nat- ural substances produced by bees. Next to pollen, honey, royal jelly and bee venom, propolis is the most important of these substances. Propolis is a resin produced by bees to resist all kinds of parasites in their warm hives, which</w:t>
      </w:r>
      <w:r>
        <w:rPr>
          <w:spacing w:val="-52"/>
        </w:rPr>
        <w:t> </w:t>
      </w:r>
      <w:r>
        <w:rPr/>
        <w:t>are thus well-suited for them, from bacteria to viruses to fungal growths, and to keep themselves and their offspring free of all</w:t>
      </w:r>
      <w:r>
        <w:rPr>
          <w:spacing w:val="-3"/>
        </w:rPr>
        <w:t> </w:t>
      </w:r>
      <w:r>
        <w:rPr/>
        <w:t>diseases.</w:t>
      </w:r>
    </w:p>
    <w:p>
      <w:pPr>
        <w:pStyle w:val="BodyText"/>
        <w:spacing w:before="240"/>
        <w:ind w:left="616"/>
        <w:jc w:val="both"/>
      </w:pPr>
      <w:r>
        <w:rPr/>
        <w:t>For this purpose, the bees collect resin from tree buds and damaged tree bark</w:t>
      </w:r>
    </w:p>
    <w:p>
      <w:pPr>
        <w:spacing w:after="0"/>
        <w:jc w:val="both"/>
        <w:sectPr>
          <w:pgSz w:w="14270" w:h="16850"/>
          <w:pgMar w:header="0" w:footer="1891" w:top="1340" w:bottom="2080" w:left="800" w:right="1280"/>
        </w:sectPr>
      </w:pPr>
    </w:p>
    <w:p>
      <w:pPr>
        <w:pStyle w:val="BodyText"/>
        <w:spacing w:line="276" w:lineRule="auto" w:before="72"/>
        <w:ind w:left="616" w:right="133"/>
        <w:jc w:val="both"/>
      </w:pPr>
      <w:r>
        <w:rPr/>
        <w:t>(mainly</w:t>
      </w:r>
      <w:r>
        <w:rPr>
          <w:spacing w:val="-25"/>
        </w:rPr>
        <w:t> </w:t>
      </w:r>
      <w:r>
        <w:rPr/>
        <w:t>from</w:t>
      </w:r>
      <w:r>
        <w:rPr>
          <w:spacing w:val="-25"/>
        </w:rPr>
        <w:t> </w:t>
      </w:r>
      <w:r>
        <w:rPr/>
        <w:t>poplars</w:t>
      </w:r>
      <w:r>
        <w:rPr>
          <w:spacing w:val="-24"/>
        </w:rPr>
        <w:t> </w:t>
      </w:r>
      <w:r>
        <w:rPr/>
        <w:t>but</w:t>
      </w:r>
      <w:r>
        <w:rPr>
          <w:spacing w:val="-26"/>
        </w:rPr>
        <w:t> </w:t>
      </w:r>
      <w:r>
        <w:rPr/>
        <w:t>birches,</w:t>
      </w:r>
      <w:r>
        <w:rPr>
          <w:spacing w:val="-24"/>
        </w:rPr>
        <w:t> </w:t>
      </w:r>
      <w:r>
        <w:rPr/>
        <w:t>pines,</w:t>
      </w:r>
      <w:r>
        <w:rPr>
          <w:spacing w:val="-26"/>
        </w:rPr>
        <w:t> </w:t>
      </w:r>
      <w:r>
        <w:rPr/>
        <w:t>spruces,</w:t>
      </w:r>
      <w:r>
        <w:rPr>
          <w:spacing w:val="-29"/>
        </w:rPr>
        <w:t> </w:t>
      </w:r>
      <w:r>
        <w:rPr/>
        <w:t>alders</w:t>
      </w:r>
      <w:r>
        <w:rPr>
          <w:spacing w:val="-25"/>
        </w:rPr>
        <w:t> </w:t>
      </w:r>
      <w:r>
        <w:rPr/>
        <w:t>and</w:t>
      </w:r>
      <w:r>
        <w:rPr>
          <w:spacing w:val="-25"/>
        </w:rPr>
        <w:t> </w:t>
      </w:r>
      <w:r>
        <w:rPr/>
        <w:t>other</w:t>
      </w:r>
      <w:r>
        <w:rPr>
          <w:spacing w:val="-27"/>
        </w:rPr>
        <w:t> </w:t>
      </w:r>
      <w:r>
        <w:rPr/>
        <w:t>kinds</w:t>
      </w:r>
      <w:r>
        <w:rPr>
          <w:spacing w:val="-25"/>
        </w:rPr>
        <w:t> </w:t>
      </w:r>
      <w:r>
        <w:rPr/>
        <w:t>of</w:t>
      </w:r>
      <w:r>
        <w:rPr>
          <w:spacing w:val="-24"/>
        </w:rPr>
        <w:t> </w:t>
      </w:r>
      <w:r>
        <w:rPr/>
        <w:t>trees are also options) and mix it in the beehive with their own ferments, flower pollen and wax in order to guarantee a sterile and tightly-sealed dwelling for themselves and their offspring, protecting from rain, heat, cold, and</w:t>
      </w:r>
      <w:r>
        <w:rPr>
          <w:spacing w:val="-20"/>
        </w:rPr>
        <w:t> </w:t>
      </w:r>
      <w:r>
        <w:rPr/>
        <w:t>wind.</w:t>
      </w:r>
    </w:p>
    <w:p>
      <w:pPr>
        <w:pStyle w:val="BodyText"/>
        <w:spacing w:line="276" w:lineRule="auto" w:before="241"/>
        <w:ind w:left="616" w:right="137"/>
        <w:jc w:val="both"/>
      </w:pPr>
      <w:r>
        <w:rPr/>
        <w:t>This self-produced mass is what we humans ultimately call ‘propolis’. To put it simply, the bees make use of plant extracts that are already quite healthy in themselves and then optimise their effect by mixing it with their own secre- tions.</w:t>
      </w:r>
    </w:p>
    <w:p>
      <w:pPr>
        <w:pStyle w:val="Heading1"/>
        <w:spacing w:before="225"/>
        <w:ind w:left="616"/>
        <w:jc w:val="both"/>
      </w:pPr>
      <w:r>
        <w:rPr/>
        <w:t>Propolis – the name</w:t>
      </w:r>
    </w:p>
    <w:p>
      <w:pPr>
        <w:pStyle w:val="BodyText"/>
        <w:spacing w:line="278" w:lineRule="auto" w:before="297"/>
        <w:ind w:left="616" w:right="138"/>
        <w:jc w:val="both"/>
      </w:pPr>
      <w:r>
        <w:rPr/>
        <w:t>Translated from the Greek, ‘propolis’ means ‘before the city’ in the sense of ‘protection for the city’, that city being, of course, the beehive.</w:t>
      </w:r>
    </w:p>
    <w:p>
      <w:pPr>
        <w:pStyle w:val="Heading1"/>
        <w:spacing w:before="215"/>
        <w:ind w:left="616"/>
        <w:jc w:val="both"/>
      </w:pPr>
      <w:r>
        <w:rPr/>
        <w:t>Propolis – the history</w:t>
      </w:r>
    </w:p>
    <w:p>
      <w:pPr>
        <w:pStyle w:val="BodyText"/>
        <w:spacing w:line="276" w:lineRule="auto" w:before="300"/>
        <w:ind w:left="616" w:right="137"/>
        <w:jc w:val="both"/>
      </w:pPr>
      <w:r>
        <w:rPr/>
        <w:t>Propolis</w:t>
      </w:r>
      <w:r>
        <w:rPr>
          <w:spacing w:val="-17"/>
        </w:rPr>
        <w:t> </w:t>
      </w:r>
      <w:r>
        <w:rPr/>
        <w:t>is</w:t>
      </w:r>
      <w:r>
        <w:rPr>
          <w:spacing w:val="-18"/>
        </w:rPr>
        <w:t> </w:t>
      </w:r>
      <w:r>
        <w:rPr/>
        <w:t>not</w:t>
      </w:r>
      <w:r>
        <w:rPr>
          <w:spacing w:val="-18"/>
        </w:rPr>
        <w:t> </w:t>
      </w:r>
      <w:r>
        <w:rPr/>
        <w:t>a</w:t>
      </w:r>
      <w:r>
        <w:rPr>
          <w:spacing w:val="-19"/>
        </w:rPr>
        <w:t> </w:t>
      </w:r>
      <w:r>
        <w:rPr/>
        <w:t>new</w:t>
      </w:r>
      <w:r>
        <w:rPr>
          <w:spacing w:val="-16"/>
        </w:rPr>
        <w:t> </w:t>
      </w:r>
      <w:r>
        <w:rPr/>
        <w:t>discovery</w:t>
      </w:r>
      <w:r>
        <w:rPr>
          <w:spacing w:val="-15"/>
        </w:rPr>
        <w:t> </w:t>
      </w:r>
      <w:r>
        <w:rPr/>
        <w:t>for</w:t>
      </w:r>
      <w:r>
        <w:rPr>
          <w:spacing w:val="-16"/>
        </w:rPr>
        <w:t> </w:t>
      </w:r>
      <w:r>
        <w:rPr/>
        <w:t>us,</w:t>
      </w:r>
      <w:r>
        <w:rPr>
          <w:spacing w:val="-17"/>
        </w:rPr>
        <w:t> </w:t>
      </w:r>
      <w:r>
        <w:rPr/>
        <w:t>as</w:t>
      </w:r>
      <w:r>
        <w:rPr>
          <w:spacing w:val="-16"/>
        </w:rPr>
        <w:t> </w:t>
      </w:r>
      <w:r>
        <w:rPr/>
        <w:t>its</w:t>
      </w:r>
      <w:r>
        <w:rPr>
          <w:spacing w:val="-18"/>
        </w:rPr>
        <w:t> </w:t>
      </w:r>
      <w:r>
        <w:rPr/>
        <w:t>use</w:t>
      </w:r>
      <w:r>
        <w:rPr>
          <w:spacing w:val="-18"/>
        </w:rPr>
        <w:t> </w:t>
      </w:r>
      <w:r>
        <w:rPr/>
        <w:t>by</w:t>
      </w:r>
      <w:r>
        <w:rPr>
          <w:spacing w:val="-15"/>
        </w:rPr>
        <w:t> </w:t>
      </w:r>
      <w:r>
        <w:rPr/>
        <w:t>human</w:t>
      </w:r>
      <w:r>
        <w:rPr>
          <w:spacing w:val="-15"/>
        </w:rPr>
        <w:t> </w:t>
      </w:r>
      <w:r>
        <w:rPr/>
        <w:t>beings</w:t>
      </w:r>
      <w:r>
        <w:rPr>
          <w:spacing w:val="-20"/>
        </w:rPr>
        <w:t> </w:t>
      </w:r>
      <w:r>
        <w:rPr/>
        <w:t>for</w:t>
      </w:r>
      <w:r>
        <w:rPr>
          <w:spacing w:val="-14"/>
        </w:rPr>
        <w:t> </w:t>
      </w:r>
      <w:r>
        <w:rPr/>
        <w:t>their</w:t>
      </w:r>
      <w:r>
        <w:rPr>
          <w:spacing w:val="-16"/>
        </w:rPr>
        <w:t> </w:t>
      </w:r>
      <w:r>
        <w:rPr/>
        <w:t>own health maintenance is very well documented all the way back to ancient times. Hippocrates,</w:t>
      </w:r>
      <w:r>
        <w:rPr>
          <w:spacing w:val="-9"/>
        </w:rPr>
        <w:t> </w:t>
      </w:r>
      <w:r>
        <w:rPr/>
        <w:t>for</w:t>
      </w:r>
      <w:r>
        <w:rPr>
          <w:spacing w:val="-11"/>
        </w:rPr>
        <w:t> </w:t>
      </w:r>
      <w:r>
        <w:rPr/>
        <w:t>example,</w:t>
      </w:r>
      <w:r>
        <w:rPr>
          <w:spacing w:val="-10"/>
        </w:rPr>
        <w:t> </w:t>
      </w:r>
      <w:r>
        <w:rPr/>
        <w:t>raved</w:t>
      </w:r>
      <w:r>
        <w:rPr>
          <w:spacing w:val="-10"/>
        </w:rPr>
        <w:t> </w:t>
      </w:r>
      <w:r>
        <w:rPr/>
        <w:t>about</w:t>
      </w:r>
      <w:r>
        <w:rPr>
          <w:spacing w:val="-12"/>
        </w:rPr>
        <w:t> </w:t>
      </w:r>
      <w:r>
        <w:rPr/>
        <w:t>the</w:t>
      </w:r>
      <w:r>
        <w:rPr>
          <w:spacing w:val="-8"/>
        </w:rPr>
        <w:t> </w:t>
      </w:r>
      <w:r>
        <w:rPr/>
        <w:t>effect</w:t>
      </w:r>
      <w:r>
        <w:rPr>
          <w:spacing w:val="-12"/>
        </w:rPr>
        <w:t> </w:t>
      </w:r>
      <w:r>
        <w:rPr/>
        <w:t>of</w:t>
      </w:r>
      <w:r>
        <w:rPr>
          <w:spacing w:val="-10"/>
        </w:rPr>
        <w:t> </w:t>
      </w:r>
      <w:r>
        <w:rPr/>
        <w:t>propolis</w:t>
      </w:r>
      <w:r>
        <w:rPr>
          <w:spacing w:val="-10"/>
        </w:rPr>
        <w:t> </w:t>
      </w:r>
      <w:r>
        <w:rPr/>
        <w:t>on</w:t>
      </w:r>
      <w:r>
        <w:rPr>
          <w:spacing w:val="-11"/>
        </w:rPr>
        <w:t> </w:t>
      </w:r>
      <w:r>
        <w:rPr/>
        <w:t>sores,</w:t>
      </w:r>
      <w:r>
        <w:rPr>
          <w:spacing w:val="-9"/>
        </w:rPr>
        <w:t> </w:t>
      </w:r>
      <w:r>
        <w:rPr/>
        <w:t>and</w:t>
      </w:r>
      <w:r>
        <w:rPr>
          <w:spacing w:val="-12"/>
        </w:rPr>
        <w:t> </w:t>
      </w:r>
      <w:r>
        <w:rPr/>
        <w:t>Ar- istotle recommended propolis for skin diseases and festering wounds. While doctors were already using propolis for treatment of wounds, bruises, sores and other conditions, the ancients had used it for embalming their</w:t>
      </w:r>
      <w:r>
        <w:rPr>
          <w:spacing w:val="-31"/>
        </w:rPr>
        <w:t> </w:t>
      </w:r>
      <w:r>
        <w:rPr/>
        <w:t>mummies.</w:t>
      </w:r>
    </w:p>
    <w:p>
      <w:pPr>
        <w:pStyle w:val="BodyText"/>
        <w:spacing w:line="276" w:lineRule="auto" w:before="239"/>
        <w:ind w:left="616" w:right="138"/>
        <w:jc w:val="both"/>
      </w:pPr>
      <w:r>
        <w:rPr/>
        <w:t>Both were very clever, as the antiseptic and sealing properties of the propolis pitch are demonstrably good for both purposes, as the mummies which are still preserved to this day demonstrate.</w:t>
      </w:r>
    </w:p>
    <w:p>
      <w:pPr>
        <w:spacing w:after="0" w:line="276" w:lineRule="auto"/>
        <w:jc w:val="both"/>
        <w:sectPr>
          <w:pgSz w:w="14270" w:h="16850"/>
          <w:pgMar w:header="0" w:footer="1891" w:top="1340" w:bottom="2080" w:left="800" w:right="1280"/>
        </w:sectPr>
      </w:pPr>
    </w:p>
    <w:p>
      <w:pPr>
        <w:pStyle w:val="BodyText"/>
        <w:spacing w:line="276" w:lineRule="auto" w:before="74"/>
        <w:ind w:left="616" w:right="137"/>
        <w:jc w:val="both"/>
      </w:pPr>
      <w:r>
        <w:rPr/>
        <w:t>Bees</w:t>
      </w:r>
      <w:r>
        <w:rPr>
          <w:spacing w:val="-22"/>
        </w:rPr>
        <w:t> </w:t>
      </w:r>
      <w:r>
        <w:rPr/>
        <w:t>also</w:t>
      </w:r>
      <w:r>
        <w:rPr>
          <w:spacing w:val="-21"/>
        </w:rPr>
        <w:t> </w:t>
      </w:r>
      <w:r>
        <w:rPr/>
        <w:t>use</w:t>
      </w:r>
      <w:r>
        <w:rPr>
          <w:spacing w:val="-21"/>
        </w:rPr>
        <w:t> </w:t>
      </w:r>
      <w:r>
        <w:rPr/>
        <w:t>the</w:t>
      </w:r>
      <w:r>
        <w:rPr>
          <w:spacing w:val="-23"/>
        </w:rPr>
        <w:t> </w:t>
      </w:r>
      <w:r>
        <w:rPr/>
        <w:t>same</w:t>
      </w:r>
      <w:r>
        <w:rPr>
          <w:spacing w:val="-21"/>
        </w:rPr>
        <w:t> </w:t>
      </w:r>
      <w:r>
        <w:rPr/>
        <w:t>mechanism</w:t>
      </w:r>
      <w:r>
        <w:rPr>
          <w:spacing w:val="-21"/>
        </w:rPr>
        <w:t> </w:t>
      </w:r>
      <w:r>
        <w:rPr/>
        <w:t>against</w:t>
      </w:r>
      <w:r>
        <w:rPr>
          <w:spacing w:val="-22"/>
        </w:rPr>
        <w:t> </w:t>
      </w:r>
      <w:r>
        <w:rPr/>
        <w:t>intruders,</w:t>
      </w:r>
      <w:r>
        <w:rPr>
          <w:spacing w:val="-20"/>
        </w:rPr>
        <w:t> </w:t>
      </w:r>
      <w:r>
        <w:rPr/>
        <w:t>e.g.</w:t>
      </w:r>
      <w:r>
        <w:rPr>
          <w:spacing w:val="-23"/>
        </w:rPr>
        <w:t> </w:t>
      </w:r>
      <w:r>
        <w:rPr/>
        <w:t>mice,</w:t>
      </w:r>
      <w:r>
        <w:rPr>
          <w:spacing w:val="-20"/>
        </w:rPr>
        <w:t> </w:t>
      </w:r>
      <w:r>
        <w:rPr/>
        <w:t>which</w:t>
      </w:r>
      <w:r>
        <w:rPr>
          <w:spacing w:val="-21"/>
        </w:rPr>
        <w:t> </w:t>
      </w:r>
      <w:r>
        <w:rPr/>
        <w:t>they</w:t>
      </w:r>
      <w:r>
        <w:rPr>
          <w:spacing w:val="-21"/>
        </w:rPr>
        <w:t> </w:t>
      </w:r>
      <w:r>
        <w:rPr/>
        <w:t>sting to    death    but    are    unable    to    remove    from     their     hives.     They cover the intruder’s corpse with a thick film of propolis and can thus prevent decomposition bacteria from growing in their own</w:t>
      </w:r>
      <w:r>
        <w:rPr>
          <w:spacing w:val="-8"/>
        </w:rPr>
        <w:t> </w:t>
      </w:r>
      <w:r>
        <w:rPr/>
        <w:t>hive.</w:t>
      </w:r>
    </w:p>
    <w:p>
      <w:pPr>
        <w:pStyle w:val="Heading1"/>
        <w:spacing w:before="222"/>
        <w:ind w:left="616"/>
        <w:jc w:val="both"/>
      </w:pPr>
      <w:r>
        <w:rPr/>
        <w:t>Propolis – the rediscovery</w:t>
      </w:r>
    </w:p>
    <w:p>
      <w:pPr>
        <w:pStyle w:val="BodyText"/>
        <w:spacing w:line="276" w:lineRule="auto" w:before="299"/>
        <w:ind w:left="616" w:right="136"/>
        <w:jc w:val="both"/>
      </w:pPr>
      <w:r>
        <w:rPr/>
        <w:t>A supposedly positive-seeming advance of the pharmaceutical industry with patents</w:t>
      </w:r>
      <w:r>
        <w:rPr>
          <w:spacing w:val="-23"/>
        </w:rPr>
        <w:t> </w:t>
      </w:r>
      <w:r>
        <w:rPr/>
        <w:t>for</w:t>
      </w:r>
      <w:r>
        <w:rPr>
          <w:spacing w:val="-21"/>
        </w:rPr>
        <w:t> </w:t>
      </w:r>
      <w:r>
        <w:rPr/>
        <w:t>penicillin</w:t>
      </w:r>
      <w:r>
        <w:rPr>
          <w:spacing w:val="-24"/>
        </w:rPr>
        <w:t> </w:t>
      </w:r>
      <w:r>
        <w:rPr/>
        <w:t>&amp;</w:t>
      </w:r>
      <w:r>
        <w:rPr>
          <w:spacing w:val="-23"/>
        </w:rPr>
        <w:t> </w:t>
      </w:r>
      <w:r>
        <w:rPr/>
        <w:t>co.</w:t>
      </w:r>
      <w:r>
        <w:rPr>
          <w:spacing w:val="-23"/>
        </w:rPr>
        <w:t> </w:t>
      </w:r>
      <w:r>
        <w:rPr/>
        <w:t>pushed</w:t>
      </w:r>
      <w:r>
        <w:rPr>
          <w:spacing w:val="-23"/>
        </w:rPr>
        <w:t> </w:t>
      </w:r>
      <w:r>
        <w:rPr/>
        <w:t>propolis,</w:t>
      </w:r>
      <w:r>
        <w:rPr>
          <w:spacing w:val="-23"/>
        </w:rPr>
        <w:t> </w:t>
      </w:r>
      <w:r>
        <w:rPr/>
        <w:t>and</w:t>
      </w:r>
      <w:r>
        <w:rPr>
          <w:spacing w:val="-23"/>
        </w:rPr>
        <w:t> </w:t>
      </w:r>
      <w:r>
        <w:rPr/>
        <w:t>other</w:t>
      </w:r>
      <w:r>
        <w:rPr>
          <w:spacing w:val="-21"/>
        </w:rPr>
        <w:t> </w:t>
      </w:r>
      <w:r>
        <w:rPr/>
        <w:t>natural</w:t>
      </w:r>
      <w:r>
        <w:rPr>
          <w:spacing w:val="-18"/>
        </w:rPr>
        <w:t> </w:t>
      </w:r>
      <w:r>
        <w:rPr/>
        <w:t>remedies</w:t>
      </w:r>
      <w:r>
        <w:rPr>
          <w:spacing w:val="-21"/>
        </w:rPr>
        <w:t> </w:t>
      </w:r>
      <w:r>
        <w:rPr/>
        <w:t>as</w:t>
      </w:r>
      <w:r>
        <w:rPr>
          <w:spacing w:val="-23"/>
        </w:rPr>
        <w:t> </w:t>
      </w:r>
      <w:r>
        <w:rPr/>
        <w:t>well, from the minds of doctors and therapists.</w:t>
      </w:r>
    </w:p>
    <w:p>
      <w:pPr>
        <w:pStyle w:val="BodyText"/>
        <w:spacing w:line="276" w:lineRule="auto" w:before="240"/>
        <w:ind w:left="616" w:right="140"/>
        <w:jc w:val="both"/>
      </w:pPr>
      <w:r>
        <w:rPr/>
        <w:t>For the rediscovery of propolis we can thank, among others, a Danish bee breeder names Karl Lund Aagaard, whose experiments covered all aspects of bee colonies and beehives, and thus also the bees’ putty resin, i.e. propolis.</w:t>
      </w:r>
    </w:p>
    <w:p>
      <w:pPr>
        <w:pStyle w:val="BodyText"/>
        <w:spacing w:line="276" w:lineRule="auto" w:before="241"/>
        <w:ind w:left="616" w:right="134"/>
        <w:jc w:val="both"/>
      </w:pPr>
      <w:r>
        <w:rPr/>
        <w:t>He</w:t>
      </w:r>
      <w:r>
        <w:rPr>
          <w:spacing w:val="-9"/>
        </w:rPr>
        <w:t> </w:t>
      </w:r>
      <w:r>
        <w:rPr/>
        <w:t>undertook</w:t>
      </w:r>
      <w:r>
        <w:rPr>
          <w:spacing w:val="-8"/>
        </w:rPr>
        <w:t> </w:t>
      </w:r>
      <w:r>
        <w:rPr/>
        <w:t>his</w:t>
      </w:r>
      <w:r>
        <w:rPr>
          <w:spacing w:val="-7"/>
        </w:rPr>
        <w:t> </w:t>
      </w:r>
      <w:r>
        <w:rPr/>
        <w:t>first</w:t>
      </w:r>
      <w:r>
        <w:rPr>
          <w:spacing w:val="-11"/>
        </w:rPr>
        <w:t> </w:t>
      </w:r>
      <w:r>
        <w:rPr/>
        <w:t>experiments</w:t>
      </w:r>
      <w:r>
        <w:rPr>
          <w:spacing w:val="-8"/>
        </w:rPr>
        <w:t> </w:t>
      </w:r>
      <w:r>
        <w:rPr/>
        <w:t>regarding</w:t>
      </w:r>
      <w:r>
        <w:rPr>
          <w:spacing w:val="-10"/>
        </w:rPr>
        <w:t> </w:t>
      </w:r>
      <w:r>
        <w:rPr/>
        <w:t>the</w:t>
      </w:r>
      <w:r>
        <w:rPr>
          <w:spacing w:val="-12"/>
        </w:rPr>
        <w:t> </w:t>
      </w:r>
      <w:r>
        <w:rPr/>
        <w:t>health</w:t>
      </w:r>
      <w:r>
        <w:rPr>
          <w:spacing w:val="-9"/>
        </w:rPr>
        <w:t> </w:t>
      </w:r>
      <w:r>
        <w:rPr/>
        <w:t>properties</w:t>
      </w:r>
      <w:r>
        <w:rPr>
          <w:spacing w:val="-8"/>
        </w:rPr>
        <w:t> </w:t>
      </w:r>
      <w:r>
        <w:rPr/>
        <w:t>of</w:t>
      </w:r>
      <w:r>
        <w:rPr>
          <w:spacing w:val="-10"/>
        </w:rPr>
        <w:t> </w:t>
      </w:r>
      <w:r>
        <w:rPr/>
        <w:t>propolis on himself. A severe sore throat, accompanied by a high fever, was a perfect opportunity for this and, to the amazement of his wife, who was a nurse by trade, fully abated overnight until it was nothing more than a light redness of the throat. This redness of the throat, he claimed, completely disappeared the next</w:t>
      </w:r>
      <w:r>
        <w:rPr>
          <w:spacing w:val="-2"/>
        </w:rPr>
        <w:t> </w:t>
      </w:r>
      <w:r>
        <w:rPr/>
        <w:t>day.</w:t>
      </w:r>
    </w:p>
    <w:p>
      <w:pPr>
        <w:pStyle w:val="BodyText"/>
        <w:spacing w:line="278" w:lineRule="auto" w:before="240"/>
        <w:ind w:left="616" w:right="135"/>
        <w:jc w:val="both"/>
      </w:pPr>
      <w:r>
        <w:rPr/>
        <w:t>This was the occasion for further self-tests, which were soon accompanied by similarly fascinating results.</w:t>
      </w:r>
    </w:p>
    <w:p>
      <w:pPr>
        <w:pStyle w:val="BodyText"/>
        <w:spacing w:line="276" w:lineRule="auto" w:before="233"/>
        <w:ind w:left="616" w:right="140"/>
        <w:jc w:val="both"/>
      </w:pPr>
      <w:r>
        <w:rPr/>
        <w:t>The recognition, that propolis would help counteract numerous illnesses not only in bees but also, in the same way, in human beings, was not far off.</w:t>
      </w:r>
    </w:p>
    <w:p>
      <w:pPr>
        <w:spacing w:after="0" w:line="276" w:lineRule="auto"/>
        <w:jc w:val="both"/>
        <w:sectPr>
          <w:pgSz w:w="14270" w:h="16850"/>
          <w:pgMar w:header="0" w:footer="1891" w:top="1340" w:bottom="2080" w:left="800" w:right="1280"/>
        </w:sectPr>
      </w:pPr>
    </w:p>
    <w:p>
      <w:pPr>
        <w:pStyle w:val="Heading2"/>
        <w:spacing w:before="74"/>
        <w:ind w:left="616"/>
      </w:pPr>
      <w:r>
        <w:rPr/>
        <w:t>Active ingredients in propolis</w:t>
      </w:r>
    </w:p>
    <w:p>
      <w:pPr>
        <w:pStyle w:val="BodyText"/>
        <w:spacing w:line="278" w:lineRule="auto" w:before="302"/>
        <w:ind w:left="616"/>
      </w:pPr>
      <w:r>
        <w:rPr/>
        <w:t>To</w:t>
      </w:r>
      <w:r>
        <w:rPr>
          <w:spacing w:val="-12"/>
        </w:rPr>
        <w:t> </w:t>
      </w:r>
      <w:r>
        <w:rPr/>
        <w:t>this</w:t>
      </w:r>
      <w:r>
        <w:rPr>
          <w:spacing w:val="-11"/>
        </w:rPr>
        <w:t> </w:t>
      </w:r>
      <w:r>
        <w:rPr/>
        <w:t>day,</w:t>
      </w:r>
      <w:r>
        <w:rPr>
          <w:spacing w:val="-14"/>
        </w:rPr>
        <w:t> </w:t>
      </w:r>
      <w:r>
        <w:rPr/>
        <w:t>scientists</w:t>
      </w:r>
      <w:r>
        <w:rPr>
          <w:spacing w:val="-12"/>
        </w:rPr>
        <w:t> </w:t>
      </w:r>
      <w:r>
        <w:rPr/>
        <w:t>have</w:t>
      </w:r>
      <w:r>
        <w:rPr>
          <w:spacing w:val="-14"/>
        </w:rPr>
        <w:t> </w:t>
      </w:r>
      <w:r>
        <w:rPr/>
        <w:t>been</w:t>
      </w:r>
      <w:r>
        <w:rPr>
          <w:spacing w:val="-15"/>
        </w:rPr>
        <w:t> </w:t>
      </w:r>
      <w:r>
        <w:rPr/>
        <w:t>able</w:t>
      </w:r>
      <w:r>
        <w:rPr>
          <w:spacing w:val="-12"/>
        </w:rPr>
        <w:t> </w:t>
      </w:r>
      <w:r>
        <w:rPr/>
        <w:t>to</w:t>
      </w:r>
      <w:r>
        <w:rPr>
          <w:spacing w:val="-11"/>
        </w:rPr>
        <w:t> </w:t>
      </w:r>
      <w:r>
        <w:rPr/>
        <w:t>identify</w:t>
      </w:r>
      <w:r>
        <w:rPr>
          <w:spacing w:val="-13"/>
        </w:rPr>
        <w:t> </w:t>
      </w:r>
      <w:r>
        <w:rPr/>
        <w:t>approximately</w:t>
      </w:r>
      <w:r>
        <w:rPr>
          <w:spacing w:val="-12"/>
        </w:rPr>
        <w:t> </w:t>
      </w:r>
      <w:r>
        <w:rPr/>
        <w:t>200</w:t>
      </w:r>
      <w:r>
        <w:rPr>
          <w:spacing w:val="-12"/>
        </w:rPr>
        <w:t> </w:t>
      </w:r>
      <w:r>
        <w:rPr/>
        <w:t>ingredients in propolis.</w:t>
      </w:r>
    </w:p>
    <w:p>
      <w:pPr>
        <w:pStyle w:val="BodyText"/>
        <w:spacing w:line="276" w:lineRule="auto" w:before="233"/>
        <w:ind w:left="616" w:right="139"/>
        <w:jc w:val="both"/>
        <w:rPr>
          <w:sz w:val="25"/>
        </w:rPr>
      </w:pPr>
      <w:r>
        <w:rPr/>
        <w:t>Among these ingredients are vitamins, minerals, trace elements, secondary plant substances and essential oils. The main active ingredients are without question, however, the flavonoids which are among the secondary plant sub- stances. </w:t>
      </w:r>
      <w:r>
        <w:rPr>
          <w:position w:val="9"/>
          <w:sz w:val="25"/>
        </w:rPr>
        <w:t>684</w:t>
      </w:r>
    </w:p>
    <w:p>
      <w:pPr>
        <w:pStyle w:val="BodyText"/>
        <w:spacing w:line="276" w:lineRule="auto" w:before="242"/>
        <w:ind w:left="616" w:right="134"/>
        <w:jc w:val="both"/>
      </w:pPr>
      <w:r>
        <w:rPr/>
        <w:t>It must definitely first be noted, however, that there is not ONE standardised propolis;</w:t>
      </w:r>
      <w:r>
        <w:rPr>
          <w:spacing w:val="-19"/>
        </w:rPr>
        <w:t> </w:t>
      </w:r>
      <w:r>
        <w:rPr/>
        <w:t>rather,</w:t>
      </w:r>
      <w:r>
        <w:rPr>
          <w:spacing w:val="-22"/>
        </w:rPr>
        <w:t> </w:t>
      </w:r>
      <w:r>
        <w:rPr/>
        <w:t>its</w:t>
      </w:r>
      <w:r>
        <w:rPr>
          <w:spacing w:val="-20"/>
        </w:rPr>
        <w:t> </w:t>
      </w:r>
      <w:r>
        <w:rPr/>
        <w:t>composition</w:t>
      </w:r>
      <w:r>
        <w:rPr>
          <w:spacing w:val="-19"/>
        </w:rPr>
        <w:t> </w:t>
      </w:r>
      <w:r>
        <w:rPr/>
        <w:t>(and</w:t>
      </w:r>
      <w:r>
        <w:rPr>
          <w:spacing w:val="-18"/>
        </w:rPr>
        <w:t> </w:t>
      </w:r>
      <w:r>
        <w:rPr/>
        <w:t>thus</w:t>
      </w:r>
      <w:r>
        <w:rPr>
          <w:spacing w:val="-19"/>
        </w:rPr>
        <w:t> </w:t>
      </w:r>
      <w:r>
        <w:rPr/>
        <w:t>effectiveness)</w:t>
      </w:r>
      <w:r>
        <w:rPr>
          <w:spacing w:val="-20"/>
        </w:rPr>
        <w:t> </w:t>
      </w:r>
      <w:r>
        <w:rPr/>
        <w:t>depends</w:t>
      </w:r>
      <w:r>
        <w:rPr>
          <w:spacing w:val="-22"/>
        </w:rPr>
        <w:t> </w:t>
      </w:r>
      <w:r>
        <w:rPr/>
        <w:t>heavily</w:t>
      </w:r>
      <w:r>
        <w:rPr>
          <w:spacing w:val="-19"/>
        </w:rPr>
        <w:t> </w:t>
      </w:r>
      <w:r>
        <w:rPr/>
        <w:t>upon the region (geographically-conditioned particularities of plants) in which the bees</w:t>
      </w:r>
      <w:r>
        <w:rPr>
          <w:spacing w:val="-13"/>
        </w:rPr>
        <w:t> </w:t>
      </w:r>
      <w:r>
        <w:rPr/>
        <w:t>were</w:t>
      </w:r>
      <w:r>
        <w:rPr>
          <w:spacing w:val="-14"/>
        </w:rPr>
        <w:t> </w:t>
      </w:r>
      <w:r>
        <w:rPr/>
        <w:t>active,</w:t>
      </w:r>
      <w:r>
        <w:rPr>
          <w:spacing w:val="-16"/>
        </w:rPr>
        <w:t> </w:t>
      </w:r>
      <w:r>
        <w:rPr/>
        <w:t>as</w:t>
      </w:r>
      <w:r>
        <w:rPr>
          <w:spacing w:val="-14"/>
        </w:rPr>
        <w:t> </w:t>
      </w:r>
      <w:r>
        <w:rPr/>
        <w:t>well</w:t>
      </w:r>
      <w:r>
        <w:rPr>
          <w:spacing w:val="-15"/>
        </w:rPr>
        <w:t> </w:t>
      </w:r>
      <w:r>
        <w:rPr/>
        <w:t>as</w:t>
      </w:r>
      <w:r>
        <w:rPr>
          <w:spacing w:val="-14"/>
        </w:rPr>
        <w:t> </w:t>
      </w:r>
      <w:r>
        <w:rPr/>
        <w:t>the</w:t>
      </w:r>
      <w:r>
        <w:rPr>
          <w:spacing w:val="-13"/>
        </w:rPr>
        <w:t> </w:t>
      </w:r>
      <w:r>
        <w:rPr/>
        <w:t>season.</w:t>
      </w:r>
      <w:r>
        <w:rPr>
          <w:spacing w:val="66"/>
        </w:rPr>
        <w:t> </w:t>
      </w:r>
      <w:r>
        <w:rPr/>
        <w:t>Effectiveness</w:t>
      </w:r>
      <w:r>
        <w:rPr>
          <w:spacing w:val="-12"/>
        </w:rPr>
        <w:t> </w:t>
      </w:r>
      <w:r>
        <w:rPr/>
        <w:t>can</w:t>
      </w:r>
      <w:r>
        <w:rPr>
          <w:spacing w:val="-13"/>
        </w:rPr>
        <w:t> </w:t>
      </w:r>
      <w:r>
        <w:rPr/>
        <w:t>thus</w:t>
      </w:r>
      <w:r>
        <w:rPr>
          <w:spacing w:val="-16"/>
        </w:rPr>
        <w:t> </w:t>
      </w:r>
      <w:r>
        <w:rPr/>
        <w:t>vary</w:t>
      </w:r>
      <w:r>
        <w:rPr>
          <w:spacing w:val="-14"/>
        </w:rPr>
        <w:t> </w:t>
      </w:r>
      <w:r>
        <w:rPr/>
        <w:t>from</w:t>
      </w:r>
      <w:r>
        <w:rPr>
          <w:spacing w:val="-14"/>
        </w:rPr>
        <w:t> </w:t>
      </w:r>
      <w:r>
        <w:rPr/>
        <w:t>prop- olis to</w:t>
      </w:r>
      <w:r>
        <w:rPr>
          <w:spacing w:val="1"/>
        </w:rPr>
        <w:t> </w:t>
      </w:r>
      <w:r>
        <w:rPr/>
        <w:t>propolis.</w:t>
      </w:r>
    </w:p>
    <w:p>
      <w:pPr>
        <w:pStyle w:val="BodyText"/>
        <w:rPr>
          <w:sz w:val="42"/>
        </w:rPr>
      </w:pPr>
    </w:p>
    <w:p>
      <w:pPr>
        <w:pStyle w:val="BodyText"/>
        <w:spacing w:before="9"/>
        <w:rPr>
          <w:sz w:val="42"/>
        </w:rPr>
      </w:pPr>
    </w:p>
    <w:p>
      <w:pPr>
        <w:pStyle w:val="Heading1"/>
        <w:spacing w:line="391" w:lineRule="auto" w:before="0"/>
        <w:ind w:left="616" w:right="6297"/>
      </w:pPr>
      <w:r>
        <w:rPr>
          <w:w w:val="95"/>
        </w:rPr>
        <w:t>Material composition of propolis </w:t>
      </w:r>
      <w:r>
        <w:rPr/>
        <w:t>(approximate values)</w:t>
      </w:r>
    </w:p>
    <w:p>
      <w:pPr>
        <w:pStyle w:val="BodyText"/>
        <w:spacing w:before="12"/>
        <w:ind w:left="616"/>
        <w:jc w:val="both"/>
        <w:rPr>
          <w:sz w:val="25"/>
        </w:rPr>
      </w:pPr>
      <w:r>
        <w:rPr/>
        <w:t>Propolis is primarily composed of the following individual materials: </w:t>
      </w:r>
      <w:r>
        <w:rPr>
          <w:position w:val="9"/>
          <w:sz w:val="25"/>
        </w:rPr>
        <w:t>685</w:t>
      </w:r>
    </w:p>
    <w:p>
      <w:pPr>
        <w:pStyle w:val="ListParagraph"/>
        <w:numPr>
          <w:ilvl w:val="0"/>
          <w:numId w:val="81"/>
        </w:numPr>
        <w:tabs>
          <w:tab w:pos="1336" w:val="left" w:leader="none"/>
          <w:tab w:pos="1337" w:val="left" w:leader="none"/>
        </w:tabs>
        <w:spacing w:line="240" w:lineRule="auto" w:before="264" w:after="0"/>
        <w:ind w:left="1336" w:right="0" w:hanging="720"/>
        <w:jc w:val="both"/>
        <w:rPr>
          <w:rFonts w:ascii="Symbol"/>
          <w:sz w:val="20"/>
        </w:rPr>
      </w:pPr>
      <w:r>
        <w:rPr>
          <w:sz w:val="38"/>
        </w:rPr>
        <w:t>50 %</w:t>
      </w:r>
      <w:r>
        <w:rPr>
          <w:spacing w:val="-1"/>
          <w:sz w:val="38"/>
        </w:rPr>
        <w:t> </w:t>
      </w:r>
      <w:r>
        <w:rPr>
          <w:sz w:val="38"/>
        </w:rPr>
        <w:t>resin</w:t>
      </w:r>
    </w:p>
    <w:p>
      <w:pPr>
        <w:pStyle w:val="ListParagraph"/>
        <w:numPr>
          <w:ilvl w:val="0"/>
          <w:numId w:val="81"/>
        </w:numPr>
        <w:tabs>
          <w:tab w:pos="1336" w:val="left" w:leader="none"/>
          <w:tab w:pos="1337" w:val="left" w:leader="none"/>
        </w:tabs>
        <w:spacing w:line="240" w:lineRule="auto" w:before="184" w:after="0"/>
        <w:ind w:left="1336" w:right="0" w:hanging="720"/>
        <w:jc w:val="both"/>
        <w:rPr>
          <w:rFonts w:ascii="Symbol"/>
          <w:sz w:val="20"/>
        </w:rPr>
      </w:pPr>
      <w:r>
        <w:rPr>
          <w:sz w:val="38"/>
        </w:rPr>
        <w:t>30 %</w:t>
      </w:r>
      <w:r>
        <w:rPr>
          <w:spacing w:val="-1"/>
          <w:sz w:val="38"/>
        </w:rPr>
        <w:t> </w:t>
      </w:r>
      <w:r>
        <w:rPr>
          <w:sz w:val="38"/>
        </w:rPr>
        <w:t>wax</w:t>
      </w:r>
    </w:p>
    <w:p>
      <w:pPr>
        <w:pStyle w:val="ListParagraph"/>
        <w:numPr>
          <w:ilvl w:val="0"/>
          <w:numId w:val="81"/>
        </w:numPr>
        <w:tabs>
          <w:tab w:pos="1336" w:val="left" w:leader="none"/>
          <w:tab w:pos="1337" w:val="left" w:leader="none"/>
        </w:tabs>
        <w:spacing w:line="240" w:lineRule="auto" w:before="185" w:after="0"/>
        <w:ind w:left="1336" w:right="0" w:hanging="720"/>
        <w:jc w:val="both"/>
        <w:rPr>
          <w:rFonts w:ascii="Symbol"/>
          <w:sz w:val="20"/>
        </w:rPr>
      </w:pPr>
      <w:r>
        <w:rPr>
          <w:sz w:val="38"/>
        </w:rPr>
        <w:t>10 % essential</w:t>
      </w:r>
      <w:r>
        <w:rPr>
          <w:spacing w:val="-2"/>
          <w:sz w:val="38"/>
        </w:rPr>
        <w:t> </w:t>
      </w:r>
      <w:r>
        <w:rPr>
          <w:sz w:val="38"/>
        </w:rPr>
        <w:t>oils</w:t>
      </w:r>
    </w:p>
    <w:p>
      <w:pPr>
        <w:pStyle w:val="BodyText"/>
        <w:spacing w:before="6"/>
        <w:rPr>
          <w:sz w:val="18"/>
        </w:rPr>
      </w:pPr>
      <w:r>
        <w:rPr/>
        <w:pict>
          <v:line style="position:absolute;mso-position-horizontal-relative:page;mso-position-vertical-relative:paragraph;z-index:8840;mso-wrap-distance-left:0;mso-wrap-distance-right:0" from="70.823997pt,12.793735pt" to="214.843997pt,12.793735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684 </w:t>
      </w:r>
      <w:r>
        <w:rPr>
          <w:sz w:val="20"/>
        </w:rPr>
        <w:t>Burdock, 1998</w:t>
      </w:r>
    </w:p>
    <w:p>
      <w:pPr>
        <w:spacing w:before="94"/>
        <w:ind w:left="616" w:right="0" w:firstLine="0"/>
        <w:jc w:val="left"/>
        <w:rPr>
          <w:sz w:val="20"/>
        </w:rPr>
      </w:pPr>
      <w:r>
        <w:rPr>
          <w:position w:val="5"/>
          <w:sz w:val="13"/>
        </w:rPr>
        <w:t>685 </w:t>
      </w:r>
      <w:r>
        <w:rPr>
          <w:sz w:val="20"/>
        </w:rPr>
        <w:t>Eva Marbach: Heilen mit Propolis (‘Healing with Propolis’), 2009, p. 12</w:t>
      </w:r>
    </w:p>
    <w:p>
      <w:pPr>
        <w:spacing w:after="0"/>
        <w:jc w:val="left"/>
        <w:rPr>
          <w:sz w:val="20"/>
        </w:rPr>
        <w:sectPr>
          <w:pgSz w:w="14270" w:h="16850"/>
          <w:pgMar w:header="0" w:footer="1891" w:top="1340" w:bottom="2080" w:left="800" w:right="1280"/>
        </w:sectPr>
      </w:pPr>
    </w:p>
    <w:p>
      <w:pPr>
        <w:pStyle w:val="ListParagraph"/>
        <w:numPr>
          <w:ilvl w:val="0"/>
          <w:numId w:val="81"/>
        </w:numPr>
        <w:tabs>
          <w:tab w:pos="1336" w:val="left" w:leader="none"/>
          <w:tab w:pos="1337" w:val="left" w:leader="none"/>
        </w:tabs>
        <w:spacing w:line="240" w:lineRule="auto" w:before="72" w:after="0"/>
        <w:ind w:left="1336" w:right="0" w:hanging="720"/>
        <w:jc w:val="left"/>
        <w:rPr>
          <w:rFonts w:ascii="Symbol"/>
          <w:sz w:val="20"/>
        </w:rPr>
      </w:pPr>
      <w:r>
        <w:rPr>
          <w:sz w:val="38"/>
        </w:rPr>
        <w:t>5 %</w:t>
      </w:r>
      <w:r>
        <w:rPr>
          <w:spacing w:val="-1"/>
          <w:sz w:val="38"/>
        </w:rPr>
        <w:t> </w:t>
      </w:r>
      <w:r>
        <w:rPr>
          <w:sz w:val="38"/>
        </w:rPr>
        <w:t>pollen</w:t>
      </w:r>
    </w:p>
    <w:p>
      <w:pPr>
        <w:pStyle w:val="ListParagraph"/>
        <w:numPr>
          <w:ilvl w:val="0"/>
          <w:numId w:val="81"/>
        </w:numPr>
        <w:tabs>
          <w:tab w:pos="1336" w:val="left" w:leader="none"/>
          <w:tab w:pos="1337" w:val="left" w:leader="none"/>
        </w:tabs>
        <w:spacing w:line="240" w:lineRule="auto" w:before="184" w:after="0"/>
        <w:ind w:left="1336" w:right="0" w:hanging="720"/>
        <w:jc w:val="left"/>
        <w:rPr>
          <w:rFonts w:ascii="Symbol"/>
          <w:sz w:val="20"/>
        </w:rPr>
      </w:pPr>
      <w:r>
        <w:rPr>
          <w:sz w:val="38"/>
        </w:rPr>
        <w:t>3 % organic</w:t>
      </w:r>
      <w:r>
        <w:rPr>
          <w:spacing w:val="-2"/>
          <w:sz w:val="38"/>
        </w:rPr>
        <w:t> </w:t>
      </w:r>
      <w:r>
        <w:rPr>
          <w:sz w:val="38"/>
        </w:rPr>
        <w:t>substances</w:t>
      </w:r>
    </w:p>
    <w:p>
      <w:pPr>
        <w:pStyle w:val="ListParagraph"/>
        <w:numPr>
          <w:ilvl w:val="0"/>
          <w:numId w:val="81"/>
        </w:numPr>
        <w:tabs>
          <w:tab w:pos="1336" w:val="left" w:leader="none"/>
          <w:tab w:pos="1337" w:val="left" w:leader="none"/>
        </w:tabs>
        <w:spacing w:line="240" w:lineRule="auto" w:before="185" w:after="0"/>
        <w:ind w:left="1336" w:right="0" w:hanging="720"/>
        <w:jc w:val="left"/>
        <w:rPr>
          <w:rFonts w:ascii="Symbol"/>
          <w:sz w:val="20"/>
        </w:rPr>
      </w:pPr>
      <w:r>
        <w:rPr>
          <w:sz w:val="38"/>
        </w:rPr>
        <w:t>2 %</w:t>
      </w:r>
      <w:r>
        <w:rPr>
          <w:spacing w:val="-1"/>
          <w:sz w:val="38"/>
        </w:rPr>
        <w:t> </w:t>
      </w:r>
      <w:r>
        <w:rPr>
          <w:sz w:val="38"/>
        </w:rPr>
        <w:t>minerals</w:t>
      </w:r>
    </w:p>
    <w:p>
      <w:pPr>
        <w:pStyle w:val="Heading1"/>
        <w:spacing w:before="289"/>
        <w:ind w:left="616"/>
      </w:pPr>
      <w:r>
        <w:rPr/>
        <w:t>Vitamins in propolis</w:t>
      </w:r>
    </w:p>
    <w:p>
      <w:pPr>
        <w:pStyle w:val="BodyText"/>
        <w:spacing w:line="278" w:lineRule="auto" w:before="297"/>
        <w:ind w:left="616" w:right="120"/>
      </w:pPr>
      <w:r>
        <w:rPr/>
        <w:t>Except for Vitamin K, propolis contains virtually every vitamin which the hu- man organism requires, including Vitamin A, B1, B3, C, E and biotin.</w:t>
      </w:r>
    </w:p>
    <w:p>
      <w:pPr>
        <w:pStyle w:val="BodyText"/>
        <w:rPr>
          <w:sz w:val="42"/>
        </w:rPr>
      </w:pPr>
    </w:p>
    <w:p>
      <w:pPr>
        <w:pStyle w:val="BodyText"/>
        <w:spacing w:before="3"/>
        <w:rPr>
          <w:sz w:val="42"/>
        </w:rPr>
      </w:pPr>
    </w:p>
    <w:p>
      <w:pPr>
        <w:pStyle w:val="Heading1"/>
        <w:spacing w:before="0"/>
        <w:ind w:left="616"/>
      </w:pPr>
      <w:r>
        <w:rPr/>
        <w:t>Minerals/trace elements in propolis</w:t>
      </w:r>
    </w:p>
    <w:p>
      <w:pPr>
        <w:pStyle w:val="BodyText"/>
        <w:spacing w:before="299"/>
        <w:ind w:left="616"/>
      </w:pPr>
      <w:r>
        <w:rPr/>
        <w:t>Among the minerals/trace elements in propolis are:</w:t>
      </w:r>
    </w:p>
    <w:p>
      <w:pPr>
        <w:pStyle w:val="BodyText"/>
        <w:tabs>
          <w:tab w:pos="1031" w:val="left" w:leader="none"/>
        </w:tabs>
        <w:spacing w:before="263"/>
        <w:ind w:left="616"/>
      </w:pPr>
      <w:r>
        <w:rPr>
          <w:rFonts w:ascii="Times New Roman"/>
        </w:rPr>
        <w:t>-</w:t>
        <w:tab/>
      </w:r>
      <w:r>
        <w:rPr/>
        <w:t>Calcium</w:t>
      </w:r>
    </w:p>
    <w:p>
      <w:pPr>
        <w:pStyle w:val="BodyText"/>
        <w:tabs>
          <w:tab w:pos="1031" w:val="left" w:leader="none"/>
        </w:tabs>
        <w:spacing w:before="66"/>
        <w:ind w:left="616"/>
      </w:pPr>
      <w:r>
        <w:rPr>
          <w:rFonts w:ascii="Times New Roman"/>
        </w:rPr>
        <w:t>-</w:t>
        <w:tab/>
      </w:r>
      <w:r>
        <w:rPr/>
        <w:t>Magnesium</w:t>
      </w:r>
    </w:p>
    <w:p>
      <w:pPr>
        <w:pStyle w:val="BodyText"/>
        <w:tabs>
          <w:tab w:pos="1031" w:val="left" w:leader="none"/>
        </w:tabs>
        <w:spacing w:before="64"/>
        <w:ind w:left="616"/>
      </w:pPr>
      <w:r>
        <w:rPr>
          <w:rFonts w:ascii="Times New Roman"/>
        </w:rPr>
        <w:t>-</w:t>
        <w:tab/>
      </w:r>
      <w:r>
        <w:rPr/>
        <w:t>Iron</w:t>
      </w:r>
    </w:p>
    <w:p>
      <w:pPr>
        <w:pStyle w:val="BodyText"/>
        <w:tabs>
          <w:tab w:pos="1031" w:val="left" w:leader="none"/>
        </w:tabs>
        <w:spacing w:before="64"/>
        <w:ind w:left="616"/>
      </w:pPr>
      <w:r>
        <w:rPr>
          <w:rFonts w:ascii="Times New Roman"/>
        </w:rPr>
        <w:t>-</w:t>
        <w:tab/>
      </w:r>
      <w:r>
        <w:rPr/>
        <w:t>Manganese</w:t>
      </w:r>
    </w:p>
    <w:p>
      <w:pPr>
        <w:pStyle w:val="BodyText"/>
        <w:tabs>
          <w:tab w:pos="1031" w:val="left" w:leader="none"/>
        </w:tabs>
        <w:spacing w:before="63"/>
        <w:ind w:left="616"/>
      </w:pPr>
      <w:r>
        <w:rPr>
          <w:rFonts w:ascii="Times New Roman"/>
        </w:rPr>
        <w:t>-</w:t>
        <w:tab/>
      </w:r>
      <w:r>
        <w:rPr/>
        <w:t>Zinc</w:t>
      </w:r>
    </w:p>
    <w:p>
      <w:pPr>
        <w:pStyle w:val="BodyText"/>
        <w:tabs>
          <w:tab w:pos="1031" w:val="left" w:leader="none"/>
        </w:tabs>
        <w:spacing w:before="64"/>
        <w:ind w:left="616"/>
      </w:pPr>
      <w:r>
        <w:rPr>
          <w:rFonts w:ascii="Times New Roman"/>
        </w:rPr>
        <w:t>-</w:t>
        <w:tab/>
      </w:r>
      <w:r>
        <w:rPr/>
        <w:t>Silicon</w:t>
      </w:r>
    </w:p>
    <w:p>
      <w:pPr>
        <w:pStyle w:val="BodyText"/>
        <w:tabs>
          <w:tab w:pos="1031" w:val="left" w:leader="none"/>
        </w:tabs>
        <w:spacing w:before="66"/>
        <w:ind w:left="616"/>
      </w:pPr>
      <w:r>
        <w:rPr>
          <w:rFonts w:ascii="Times New Roman"/>
        </w:rPr>
        <w:t>-</w:t>
        <w:tab/>
      </w:r>
      <w:r>
        <w:rPr/>
        <w:t>Selenium</w:t>
      </w:r>
    </w:p>
    <w:p>
      <w:pPr>
        <w:pStyle w:val="BodyText"/>
        <w:tabs>
          <w:tab w:pos="1031" w:val="left" w:leader="none"/>
        </w:tabs>
        <w:spacing w:before="64"/>
        <w:ind w:left="616"/>
      </w:pPr>
      <w:r>
        <w:rPr>
          <w:rFonts w:ascii="Times New Roman"/>
        </w:rPr>
        <w:t>-</w:t>
        <w:tab/>
      </w:r>
      <w:r>
        <w:rPr/>
        <w:t>Vanadium</w:t>
      </w:r>
    </w:p>
    <w:p>
      <w:pPr>
        <w:pStyle w:val="BodyText"/>
        <w:tabs>
          <w:tab w:pos="1031" w:val="left" w:leader="none"/>
        </w:tabs>
        <w:spacing w:before="63"/>
        <w:ind w:left="616"/>
      </w:pPr>
      <w:r>
        <w:rPr>
          <w:rFonts w:ascii="Times New Roman"/>
        </w:rPr>
        <w:t>-</w:t>
        <w:tab/>
      </w:r>
      <w:r>
        <w:rPr/>
        <w:t>Copper</w:t>
      </w:r>
    </w:p>
    <w:p>
      <w:pPr>
        <w:pStyle w:val="BodyText"/>
        <w:tabs>
          <w:tab w:pos="1031" w:val="left" w:leader="none"/>
        </w:tabs>
        <w:spacing w:before="64"/>
        <w:ind w:left="616"/>
      </w:pPr>
      <w:r>
        <w:rPr>
          <w:rFonts w:ascii="Times New Roman"/>
        </w:rPr>
        <w:t>-</w:t>
        <w:tab/>
      </w:r>
      <w:r>
        <w:rPr/>
        <w:t>Chrome</w:t>
      </w:r>
    </w:p>
    <w:p>
      <w:pPr>
        <w:pStyle w:val="BodyText"/>
        <w:spacing w:before="302"/>
        <w:ind w:left="616"/>
      </w:pPr>
      <w:r>
        <w:rPr/>
        <w:t>Propolis can also be accompanied by numerous secondary plant substances,</w:t>
      </w:r>
    </w:p>
    <w:p>
      <w:pPr>
        <w:spacing w:after="0"/>
        <w:sectPr>
          <w:pgSz w:w="14270" w:h="16850"/>
          <w:pgMar w:header="0" w:footer="1891" w:top="1340" w:bottom="2080" w:left="800" w:right="1280"/>
        </w:sectPr>
      </w:pPr>
    </w:p>
    <w:p>
      <w:pPr>
        <w:pStyle w:val="BodyText"/>
        <w:spacing w:line="278" w:lineRule="auto" w:before="72"/>
        <w:ind w:left="616"/>
      </w:pPr>
      <w:r>
        <w:rPr/>
        <w:t>whose significance for our health is attested to by the latest modern science. Among these are:</w:t>
      </w:r>
    </w:p>
    <w:p>
      <w:pPr>
        <w:pStyle w:val="BodyText"/>
        <w:spacing w:before="193"/>
        <w:ind w:left="616"/>
        <w:jc w:val="both"/>
      </w:pPr>
      <w:r>
        <w:rPr>
          <w:rFonts w:ascii="Times New Roman"/>
        </w:rPr>
        <w:t>- </w:t>
      </w:r>
      <w:r>
        <w:rPr/>
        <w:t>Flavonoids</w:t>
      </w:r>
    </w:p>
    <w:p>
      <w:pPr>
        <w:pStyle w:val="BodyText"/>
        <w:spacing w:before="66"/>
        <w:ind w:left="616"/>
        <w:jc w:val="both"/>
      </w:pPr>
      <w:r>
        <w:rPr>
          <w:rFonts w:ascii="Times New Roman"/>
        </w:rPr>
        <w:t>- </w:t>
      </w:r>
      <w:r>
        <w:rPr/>
        <w:t>Flavons</w:t>
      </w:r>
    </w:p>
    <w:p>
      <w:pPr>
        <w:pStyle w:val="BodyText"/>
        <w:spacing w:before="63"/>
        <w:ind w:left="616"/>
        <w:jc w:val="both"/>
      </w:pPr>
      <w:r>
        <w:rPr>
          <w:rFonts w:ascii="Times New Roman"/>
        </w:rPr>
        <w:t>- </w:t>
      </w:r>
      <w:r>
        <w:rPr/>
        <w:t>Ruthin</w:t>
      </w:r>
    </w:p>
    <w:p>
      <w:pPr>
        <w:pStyle w:val="BodyText"/>
        <w:spacing w:before="64"/>
        <w:ind w:left="616"/>
        <w:jc w:val="both"/>
      </w:pPr>
      <w:r>
        <w:rPr>
          <w:rFonts w:ascii="Times New Roman"/>
        </w:rPr>
        <w:t>- </w:t>
      </w:r>
      <w:r>
        <w:rPr/>
        <w:t>Quercinine</w:t>
      </w:r>
    </w:p>
    <w:p>
      <w:pPr>
        <w:pStyle w:val="BodyText"/>
        <w:spacing w:before="64"/>
        <w:ind w:left="616"/>
        <w:jc w:val="both"/>
      </w:pPr>
      <w:r>
        <w:rPr>
          <w:rFonts w:ascii="Times New Roman"/>
        </w:rPr>
        <w:t>- </w:t>
      </w:r>
      <w:r>
        <w:rPr/>
        <w:t>Pinobanksin</w:t>
      </w:r>
    </w:p>
    <w:p>
      <w:pPr>
        <w:pStyle w:val="BodyText"/>
        <w:spacing w:before="64"/>
        <w:ind w:left="616"/>
        <w:jc w:val="both"/>
      </w:pPr>
      <w:r>
        <w:rPr>
          <w:rFonts w:ascii="Times New Roman"/>
        </w:rPr>
        <w:t>- </w:t>
      </w:r>
      <w:r>
        <w:rPr/>
        <w:t>Pinocembrin</w:t>
      </w:r>
    </w:p>
    <w:p>
      <w:pPr>
        <w:pStyle w:val="BodyText"/>
        <w:spacing w:before="66"/>
        <w:ind w:left="616"/>
        <w:jc w:val="both"/>
      </w:pPr>
      <w:r>
        <w:rPr>
          <w:rFonts w:ascii="Times New Roman"/>
        </w:rPr>
        <w:t>- </w:t>
      </w:r>
      <w:r>
        <w:rPr>
          <w:rFonts w:ascii="Times New Roman"/>
          <w:spacing w:val="89"/>
        </w:rPr>
        <w:t> </w:t>
      </w:r>
      <w:r>
        <w:rPr/>
        <w:t>Halangin</w:t>
      </w:r>
    </w:p>
    <w:p>
      <w:pPr>
        <w:pStyle w:val="BodyText"/>
        <w:spacing w:before="64"/>
        <w:ind w:left="616"/>
        <w:jc w:val="both"/>
      </w:pPr>
      <w:r>
        <w:rPr>
          <w:rFonts w:ascii="Times New Roman"/>
        </w:rPr>
        <w:t>- </w:t>
      </w:r>
      <w:r>
        <w:rPr>
          <w:rFonts w:ascii="Times New Roman"/>
          <w:spacing w:val="91"/>
        </w:rPr>
        <w:t> </w:t>
      </w:r>
      <w:r>
        <w:rPr/>
        <w:t>Apigenin</w:t>
      </w:r>
    </w:p>
    <w:p>
      <w:pPr>
        <w:pStyle w:val="BodyText"/>
        <w:spacing w:before="63"/>
        <w:ind w:left="616"/>
        <w:jc w:val="both"/>
      </w:pPr>
      <w:r>
        <w:rPr>
          <w:rFonts w:ascii="Times New Roman"/>
        </w:rPr>
        <w:t>- </w:t>
      </w:r>
      <w:r>
        <w:rPr>
          <w:rFonts w:ascii="Times New Roman"/>
          <w:spacing w:val="94"/>
        </w:rPr>
        <w:t> </w:t>
      </w:r>
      <w:r>
        <w:rPr/>
        <w:t>Galangin</w:t>
      </w:r>
    </w:p>
    <w:p>
      <w:pPr>
        <w:pStyle w:val="BodyText"/>
        <w:spacing w:before="64"/>
        <w:ind w:left="616"/>
        <w:jc w:val="both"/>
        <w:rPr>
          <w:rFonts w:ascii="Times New Roman"/>
        </w:rPr>
      </w:pPr>
      <w:r>
        <w:rPr>
          <w:rFonts w:ascii="Times New Roman"/>
          <w:w w:val="99"/>
        </w:rPr>
        <w:t>-</w:t>
      </w:r>
    </w:p>
    <w:p>
      <w:pPr>
        <w:pStyle w:val="Heading1"/>
        <w:spacing w:before="310"/>
        <w:ind w:left="616"/>
        <w:jc w:val="both"/>
      </w:pPr>
      <w:r>
        <w:rPr/>
        <w:t>How does propolis work, and what does it work against?</w:t>
      </w:r>
    </w:p>
    <w:p>
      <w:pPr>
        <w:pStyle w:val="BodyText"/>
        <w:spacing w:line="276" w:lineRule="auto" w:before="297"/>
        <w:ind w:left="616" w:right="132"/>
        <w:jc w:val="both"/>
      </w:pPr>
      <w:r>
        <w:rPr/>
        <w:t>Before we examine the individual diseases and disorders for which propolis is a</w:t>
      </w:r>
      <w:r>
        <w:rPr>
          <w:spacing w:val="-18"/>
        </w:rPr>
        <w:t> </w:t>
      </w:r>
      <w:r>
        <w:rPr/>
        <w:t>well-proven</w:t>
      </w:r>
      <w:r>
        <w:rPr>
          <w:spacing w:val="-15"/>
        </w:rPr>
        <w:t> </w:t>
      </w:r>
      <w:r>
        <w:rPr/>
        <w:t>remedy,</w:t>
      </w:r>
      <w:r>
        <w:rPr>
          <w:spacing w:val="-14"/>
        </w:rPr>
        <w:t> </w:t>
      </w:r>
      <w:r>
        <w:rPr/>
        <w:t>it</w:t>
      </w:r>
      <w:r>
        <w:rPr>
          <w:spacing w:val="-17"/>
        </w:rPr>
        <w:t> </w:t>
      </w:r>
      <w:r>
        <w:rPr/>
        <w:t>will</w:t>
      </w:r>
      <w:r>
        <w:rPr>
          <w:spacing w:val="-17"/>
        </w:rPr>
        <w:t> </w:t>
      </w:r>
      <w:r>
        <w:rPr/>
        <w:t>first</w:t>
      </w:r>
      <w:r>
        <w:rPr>
          <w:spacing w:val="-17"/>
        </w:rPr>
        <w:t> </w:t>
      </w:r>
      <w:r>
        <w:rPr/>
        <w:t>be</w:t>
      </w:r>
      <w:r>
        <w:rPr>
          <w:spacing w:val="-17"/>
        </w:rPr>
        <w:t> </w:t>
      </w:r>
      <w:r>
        <w:rPr/>
        <w:t>interesting</w:t>
      </w:r>
      <w:r>
        <w:rPr>
          <w:spacing w:val="-15"/>
        </w:rPr>
        <w:t> </w:t>
      </w:r>
      <w:r>
        <w:rPr/>
        <w:t>to</w:t>
      </w:r>
      <w:r>
        <w:rPr>
          <w:spacing w:val="-18"/>
        </w:rPr>
        <w:t> </w:t>
      </w:r>
      <w:r>
        <w:rPr/>
        <w:t>learn</w:t>
      </w:r>
      <w:r>
        <w:rPr>
          <w:spacing w:val="-15"/>
        </w:rPr>
        <w:t> </w:t>
      </w:r>
      <w:r>
        <w:rPr/>
        <w:t>the</w:t>
      </w:r>
      <w:r>
        <w:rPr>
          <w:spacing w:val="-18"/>
        </w:rPr>
        <w:t> </w:t>
      </w:r>
      <w:r>
        <w:rPr/>
        <w:t>way</w:t>
      </w:r>
      <w:r>
        <w:rPr>
          <w:spacing w:val="-15"/>
        </w:rPr>
        <w:t> </w:t>
      </w:r>
      <w:r>
        <w:rPr/>
        <w:t>in</w:t>
      </w:r>
      <w:r>
        <w:rPr>
          <w:spacing w:val="-18"/>
        </w:rPr>
        <w:t> </w:t>
      </w:r>
      <w:r>
        <w:rPr/>
        <w:t>which</w:t>
      </w:r>
      <w:r>
        <w:rPr>
          <w:spacing w:val="-14"/>
        </w:rPr>
        <w:t> </w:t>
      </w:r>
      <w:r>
        <w:rPr/>
        <w:t>prop- olis has its</w:t>
      </w:r>
      <w:r>
        <w:rPr>
          <w:spacing w:val="1"/>
        </w:rPr>
        <w:t> </w:t>
      </w:r>
      <w:r>
        <w:rPr/>
        <w:t>effect.</w:t>
      </w:r>
    </w:p>
    <w:p>
      <w:pPr>
        <w:pStyle w:val="Heading1"/>
        <w:ind w:left="616"/>
      </w:pPr>
      <w:r>
        <w:rPr/>
        <w:t>Mechanism of action of propolis</w:t>
      </w:r>
    </w:p>
    <w:p>
      <w:pPr>
        <w:pStyle w:val="BodyText"/>
        <w:spacing w:line="276" w:lineRule="auto" w:before="299"/>
        <w:ind w:left="616" w:right="135"/>
        <w:jc w:val="both"/>
      </w:pPr>
      <w:r>
        <w:rPr/>
        <w:t>In the case of propolis, too, it is the perfect composition of the individual ac- tive ingredients listed above—like the instruments in an orchestra, which to- gether cause an overall effect that cannot be reproduced by human hands—</w:t>
      </w:r>
    </w:p>
    <w:p>
      <w:pPr>
        <w:spacing w:after="0" w:line="276" w:lineRule="auto"/>
        <w:jc w:val="both"/>
        <w:sectPr>
          <w:pgSz w:w="14270" w:h="16850"/>
          <w:pgMar w:header="0" w:footer="1891" w:top="1340" w:bottom="2080" w:left="800" w:right="1280"/>
        </w:sectPr>
      </w:pPr>
    </w:p>
    <w:p>
      <w:pPr>
        <w:pStyle w:val="BodyText"/>
        <w:spacing w:line="276" w:lineRule="auto" w:before="72"/>
        <w:ind w:left="616" w:right="135"/>
        <w:jc w:val="both"/>
      </w:pPr>
      <w:r>
        <w:rPr/>
        <w:t>that causes the desired healing effect, from simple sore throat to life-threaten- ing diseases like cancer . The central role in this, scientists agree, is played by flavonoids.</w:t>
      </w:r>
    </w:p>
    <w:p>
      <w:pPr>
        <w:pStyle w:val="Heading2"/>
        <w:spacing w:before="241"/>
        <w:ind w:left="616"/>
        <w:jc w:val="both"/>
      </w:pPr>
      <w:r>
        <w:rPr/>
        <w:t>General effects of propolis:</w:t>
      </w:r>
    </w:p>
    <w:p>
      <w:pPr>
        <w:pStyle w:val="BodyText"/>
        <w:spacing w:before="304"/>
        <w:ind w:left="616"/>
        <w:jc w:val="both"/>
      </w:pPr>
      <w:r>
        <w:rPr>
          <w:rFonts w:ascii="Times New Roman"/>
        </w:rPr>
        <w:t>- </w:t>
      </w:r>
      <w:r>
        <w:rPr/>
        <w:t>Immune system strengthening/regulating</w:t>
      </w:r>
    </w:p>
    <w:p>
      <w:pPr>
        <w:pStyle w:val="BodyText"/>
        <w:spacing w:before="66"/>
        <w:ind w:left="616"/>
        <w:jc w:val="both"/>
      </w:pPr>
      <w:r>
        <w:rPr>
          <w:rFonts w:ascii="Times New Roman"/>
        </w:rPr>
        <w:t>- </w:t>
      </w:r>
      <w:r>
        <w:rPr/>
        <w:t>Revitalising</w:t>
      </w:r>
    </w:p>
    <w:p>
      <w:pPr>
        <w:pStyle w:val="BodyText"/>
        <w:spacing w:before="64"/>
        <w:ind w:left="616"/>
        <w:jc w:val="both"/>
      </w:pPr>
      <w:r>
        <w:rPr>
          <w:rFonts w:ascii="Times New Roman"/>
        </w:rPr>
        <w:t>- </w:t>
      </w:r>
      <w:r>
        <w:rPr/>
        <w:t>Cell-rejuvenating</w:t>
      </w:r>
    </w:p>
    <w:p>
      <w:pPr>
        <w:pStyle w:val="BodyText"/>
        <w:spacing w:before="63"/>
        <w:ind w:left="616"/>
        <w:jc w:val="both"/>
      </w:pPr>
      <w:r>
        <w:rPr>
          <w:rFonts w:ascii="Times New Roman"/>
        </w:rPr>
        <w:t>- </w:t>
      </w:r>
      <w:r>
        <w:rPr/>
        <w:t>antibacterial</w:t>
      </w:r>
    </w:p>
    <w:p>
      <w:pPr>
        <w:pStyle w:val="BodyText"/>
        <w:spacing w:before="66"/>
        <w:ind w:left="616"/>
        <w:jc w:val="both"/>
      </w:pPr>
      <w:r>
        <w:rPr>
          <w:rFonts w:ascii="Times New Roman"/>
        </w:rPr>
        <w:t>- </w:t>
      </w:r>
      <w:r>
        <w:rPr/>
        <w:t>antiviral</w:t>
      </w:r>
    </w:p>
    <w:p>
      <w:pPr>
        <w:pStyle w:val="BodyText"/>
        <w:spacing w:before="64"/>
        <w:ind w:left="616"/>
        <w:jc w:val="both"/>
      </w:pPr>
      <w:r>
        <w:rPr>
          <w:rFonts w:ascii="Times New Roman"/>
        </w:rPr>
        <w:t>- </w:t>
      </w:r>
      <w:r>
        <w:rPr/>
        <w:t>antifungal</w:t>
      </w:r>
    </w:p>
    <w:p>
      <w:pPr>
        <w:pStyle w:val="BodyText"/>
        <w:spacing w:before="64"/>
        <w:ind w:left="616"/>
        <w:jc w:val="both"/>
      </w:pPr>
      <w:r>
        <w:rPr>
          <w:rFonts w:ascii="Times New Roman"/>
        </w:rPr>
        <w:t>- </w:t>
      </w:r>
      <w:r>
        <w:rPr/>
        <w:t>analgesic (pain-relieving)</w:t>
      </w:r>
    </w:p>
    <w:p>
      <w:pPr>
        <w:pStyle w:val="BodyText"/>
        <w:spacing w:before="63"/>
        <w:ind w:left="616"/>
        <w:jc w:val="both"/>
      </w:pPr>
      <w:r>
        <w:rPr>
          <w:rFonts w:ascii="Times New Roman"/>
        </w:rPr>
        <w:t>- </w:t>
      </w:r>
      <w:r>
        <w:rPr/>
        <w:t>antioxidative (against free radicals)</w:t>
      </w:r>
    </w:p>
    <w:p>
      <w:pPr>
        <w:pStyle w:val="BodyText"/>
        <w:spacing w:before="64"/>
        <w:ind w:left="616"/>
        <w:jc w:val="both"/>
      </w:pPr>
      <w:r>
        <w:rPr>
          <w:rFonts w:ascii="Times New Roman"/>
        </w:rPr>
        <w:t>- </w:t>
      </w:r>
      <w:r>
        <w:rPr/>
        <w:t>detoxifying (e.g. heavy metals)</w:t>
      </w:r>
    </w:p>
    <w:p>
      <w:pPr>
        <w:pStyle w:val="BodyText"/>
        <w:spacing w:before="66"/>
        <w:ind w:left="616"/>
        <w:jc w:val="both"/>
      </w:pPr>
      <w:r>
        <w:rPr>
          <w:rFonts w:ascii="Times New Roman"/>
        </w:rPr>
        <w:t>- </w:t>
      </w:r>
      <w:r>
        <w:rPr/>
        <w:t>anti-carcinogenic (against the development of cancer)</w:t>
      </w:r>
    </w:p>
    <w:p>
      <w:pPr>
        <w:pStyle w:val="BodyText"/>
        <w:spacing w:before="64"/>
        <w:ind w:left="616"/>
        <w:jc w:val="both"/>
      </w:pPr>
      <w:r>
        <w:rPr>
          <w:rFonts w:ascii="Times New Roman"/>
        </w:rPr>
        <w:t>- </w:t>
      </w:r>
      <w:r>
        <w:rPr/>
        <w:t>antiallergic</w:t>
      </w:r>
    </w:p>
    <w:p>
      <w:pPr>
        <w:pStyle w:val="BodyText"/>
        <w:spacing w:before="64"/>
        <w:ind w:left="616"/>
        <w:jc w:val="both"/>
      </w:pPr>
      <w:r>
        <w:rPr>
          <w:rFonts w:ascii="Times New Roman"/>
        </w:rPr>
        <w:t>- </w:t>
      </w:r>
      <w:r>
        <w:rPr/>
        <w:t>blood pressure regulating,</w:t>
      </w:r>
    </w:p>
    <w:p>
      <w:pPr>
        <w:pStyle w:val="Heading1"/>
        <w:spacing w:before="287"/>
        <w:ind w:left="616"/>
        <w:jc w:val="both"/>
      </w:pPr>
      <w:r>
        <w:rPr/>
        <w:t>Immune system-reinforcing effects of</w:t>
      </w:r>
      <w:r>
        <w:rPr>
          <w:spacing w:val="-53"/>
        </w:rPr>
        <w:t> </w:t>
      </w:r>
      <w:r>
        <w:rPr/>
        <w:t>propolis</w:t>
      </w:r>
    </w:p>
    <w:p>
      <w:pPr>
        <w:pStyle w:val="BodyText"/>
        <w:spacing w:line="276" w:lineRule="auto" w:before="297"/>
        <w:ind w:left="616" w:right="133"/>
        <w:jc w:val="both"/>
      </w:pPr>
      <w:r>
        <w:rPr/>
        <w:t>It is well known that our health rises and falls with our immune system. If we have</w:t>
      </w:r>
      <w:r>
        <w:rPr>
          <w:spacing w:val="-8"/>
        </w:rPr>
        <w:t> </w:t>
      </w:r>
      <w:r>
        <w:rPr/>
        <w:t>a</w:t>
      </w:r>
      <w:r>
        <w:rPr>
          <w:spacing w:val="-9"/>
        </w:rPr>
        <w:t> </w:t>
      </w:r>
      <w:r>
        <w:rPr/>
        <w:t>strong</w:t>
      </w:r>
      <w:r>
        <w:rPr>
          <w:spacing w:val="-9"/>
        </w:rPr>
        <w:t> </w:t>
      </w:r>
      <w:r>
        <w:rPr/>
        <w:t>immune</w:t>
      </w:r>
      <w:r>
        <w:rPr>
          <w:spacing w:val="-8"/>
        </w:rPr>
        <w:t> </w:t>
      </w:r>
      <w:r>
        <w:rPr/>
        <w:t>system,</w:t>
      </w:r>
      <w:r>
        <w:rPr>
          <w:spacing w:val="-8"/>
        </w:rPr>
        <w:t> </w:t>
      </w:r>
      <w:r>
        <w:rPr/>
        <w:t>all</w:t>
      </w:r>
      <w:r>
        <w:rPr>
          <w:spacing w:val="-9"/>
        </w:rPr>
        <w:t> </w:t>
      </w:r>
      <w:r>
        <w:rPr/>
        <w:t>of</w:t>
      </w:r>
      <w:r>
        <w:rPr>
          <w:spacing w:val="-7"/>
        </w:rPr>
        <w:t> </w:t>
      </w:r>
      <w:r>
        <w:rPr/>
        <w:t>these</w:t>
      </w:r>
      <w:r>
        <w:rPr>
          <w:spacing w:val="-9"/>
        </w:rPr>
        <w:t> </w:t>
      </w:r>
      <w:r>
        <w:rPr/>
        <w:t>pathogens,</w:t>
      </w:r>
      <w:r>
        <w:rPr>
          <w:spacing w:val="-7"/>
        </w:rPr>
        <w:t> </w:t>
      </w:r>
      <w:r>
        <w:rPr/>
        <w:t>deformed</w:t>
      </w:r>
      <w:r>
        <w:rPr>
          <w:spacing w:val="-7"/>
        </w:rPr>
        <w:t> </w:t>
      </w:r>
      <w:r>
        <w:rPr/>
        <w:t>cells</w:t>
      </w:r>
      <w:r>
        <w:rPr>
          <w:spacing w:val="-8"/>
        </w:rPr>
        <w:t> </w:t>
      </w:r>
      <w:r>
        <w:rPr/>
        <w:t>and</w:t>
      </w:r>
      <w:r>
        <w:rPr>
          <w:spacing w:val="-7"/>
        </w:rPr>
        <w:t> </w:t>
      </w:r>
      <w:r>
        <w:rPr/>
        <w:t>even allergens</w:t>
      </w:r>
      <w:r>
        <w:rPr>
          <w:spacing w:val="-11"/>
        </w:rPr>
        <w:t> </w:t>
      </w:r>
      <w:r>
        <w:rPr/>
        <w:t>know</w:t>
      </w:r>
      <w:r>
        <w:rPr>
          <w:spacing w:val="-12"/>
        </w:rPr>
        <w:t> </w:t>
      </w:r>
      <w:r>
        <w:rPr/>
        <w:t>to</w:t>
      </w:r>
      <w:r>
        <w:rPr>
          <w:spacing w:val="-10"/>
        </w:rPr>
        <w:t> </w:t>
      </w:r>
      <w:r>
        <w:rPr/>
        <w:t>stay</w:t>
      </w:r>
      <w:r>
        <w:rPr>
          <w:spacing w:val="-10"/>
        </w:rPr>
        <w:t> </w:t>
      </w:r>
      <w:r>
        <w:rPr/>
        <w:t>away</w:t>
      </w:r>
      <w:r>
        <w:rPr>
          <w:spacing w:val="-11"/>
        </w:rPr>
        <w:t> </w:t>
      </w:r>
      <w:r>
        <w:rPr/>
        <w:t>from</w:t>
      </w:r>
      <w:r>
        <w:rPr>
          <w:spacing w:val="-11"/>
        </w:rPr>
        <w:t> </w:t>
      </w:r>
      <w:r>
        <w:rPr/>
        <w:t>our</w:t>
      </w:r>
      <w:r>
        <w:rPr>
          <w:spacing w:val="-11"/>
        </w:rPr>
        <w:t> </w:t>
      </w:r>
      <w:r>
        <w:rPr/>
        <w:t>bodies;</w:t>
      </w:r>
      <w:r>
        <w:rPr>
          <w:spacing w:val="-10"/>
        </w:rPr>
        <w:t> </w:t>
      </w:r>
      <w:r>
        <w:rPr/>
        <w:t>here</w:t>
      </w:r>
      <w:r>
        <w:rPr>
          <w:spacing w:val="-11"/>
        </w:rPr>
        <w:t> </w:t>
      </w:r>
      <w:r>
        <w:rPr/>
        <w:t>it</w:t>
      </w:r>
      <w:r>
        <w:rPr>
          <w:spacing w:val="-12"/>
        </w:rPr>
        <w:t> </w:t>
      </w:r>
      <w:r>
        <w:rPr/>
        <w:t>is</w:t>
      </w:r>
      <w:r>
        <w:rPr>
          <w:spacing w:val="-11"/>
        </w:rPr>
        <w:t> </w:t>
      </w:r>
      <w:r>
        <w:rPr/>
        <w:t>a</w:t>
      </w:r>
      <w:r>
        <w:rPr>
          <w:spacing w:val="-12"/>
        </w:rPr>
        <w:t> </w:t>
      </w:r>
      <w:r>
        <w:rPr/>
        <w:t>case</w:t>
      </w:r>
      <w:r>
        <w:rPr>
          <w:spacing w:val="-11"/>
        </w:rPr>
        <w:t> </w:t>
      </w:r>
      <w:r>
        <w:rPr/>
        <w:t>of</w:t>
      </w:r>
      <w:r>
        <w:rPr>
          <w:spacing w:val="-13"/>
        </w:rPr>
        <w:t> </w:t>
      </w:r>
      <w:r>
        <w:rPr/>
        <w:t>activating</w:t>
      </w:r>
      <w:r>
        <w:rPr>
          <w:spacing w:val="-10"/>
        </w:rPr>
        <w:t> </w:t>
      </w:r>
      <w:r>
        <w:rPr/>
        <w:t>self- healing</w:t>
      </w:r>
      <w:r>
        <w:rPr>
          <w:spacing w:val="-11"/>
        </w:rPr>
        <w:t> </w:t>
      </w:r>
      <w:r>
        <w:rPr/>
        <w:t>powers.</w:t>
      </w:r>
      <w:r>
        <w:rPr>
          <w:spacing w:val="-12"/>
        </w:rPr>
        <w:t> </w:t>
      </w:r>
      <w:r>
        <w:rPr/>
        <w:t>But</w:t>
      </w:r>
      <w:r>
        <w:rPr>
          <w:spacing w:val="-12"/>
        </w:rPr>
        <w:t> </w:t>
      </w:r>
      <w:r>
        <w:rPr/>
        <w:t>if</w:t>
      </w:r>
      <w:r>
        <w:rPr>
          <w:spacing w:val="-12"/>
        </w:rPr>
        <w:t> </w:t>
      </w:r>
      <w:r>
        <w:rPr/>
        <w:t>our</w:t>
      </w:r>
      <w:r>
        <w:rPr>
          <w:spacing w:val="-11"/>
        </w:rPr>
        <w:t> </w:t>
      </w:r>
      <w:r>
        <w:rPr/>
        <w:t>immune</w:t>
      </w:r>
      <w:r>
        <w:rPr>
          <w:spacing w:val="-10"/>
        </w:rPr>
        <w:t> </w:t>
      </w:r>
      <w:r>
        <w:rPr/>
        <w:t>system</w:t>
      </w:r>
      <w:r>
        <w:rPr>
          <w:spacing w:val="-11"/>
        </w:rPr>
        <w:t> </w:t>
      </w:r>
      <w:r>
        <w:rPr/>
        <w:t>is</w:t>
      </w:r>
      <w:r>
        <w:rPr>
          <w:spacing w:val="-13"/>
        </w:rPr>
        <w:t> </w:t>
      </w:r>
      <w:r>
        <w:rPr/>
        <w:t>attacked</w:t>
      </w:r>
      <w:r>
        <w:rPr>
          <w:spacing w:val="-11"/>
        </w:rPr>
        <w:t> </w:t>
      </w:r>
      <w:r>
        <w:rPr/>
        <w:t>for</w:t>
      </w:r>
      <w:r>
        <w:rPr>
          <w:spacing w:val="-9"/>
        </w:rPr>
        <w:t> </w:t>
      </w:r>
      <w:r>
        <w:rPr/>
        <w:t>only</w:t>
      </w:r>
      <w:r>
        <w:rPr>
          <w:spacing w:val="-12"/>
        </w:rPr>
        <w:t> </w:t>
      </w:r>
      <w:r>
        <w:rPr/>
        <w:t>a</w:t>
      </w:r>
      <w:r>
        <w:rPr>
          <w:spacing w:val="-12"/>
        </w:rPr>
        <w:t> </w:t>
      </w:r>
      <w:r>
        <w:rPr/>
        <w:t>short</w:t>
      </w:r>
      <w:r>
        <w:rPr>
          <w:spacing w:val="-11"/>
        </w:rPr>
        <w:t> </w:t>
      </w:r>
      <w:r>
        <w:rPr/>
        <w:t>time,</w:t>
      </w:r>
      <w:r>
        <w:rPr>
          <w:spacing w:val="-11"/>
        </w:rPr>
        <w:t> </w:t>
      </w:r>
      <w:r>
        <w:rPr/>
        <w:t>we sense it immediately and feel sickly and</w:t>
      </w:r>
      <w:r>
        <w:rPr>
          <w:spacing w:val="1"/>
        </w:rPr>
        <w:t> </w:t>
      </w:r>
      <w:r>
        <w:rPr/>
        <w:t>weakened.</w:t>
      </w:r>
    </w:p>
    <w:p>
      <w:pPr>
        <w:spacing w:after="0" w:line="276" w:lineRule="auto"/>
        <w:jc w:val="both"/>
        <w:sectPr>
          <w:pgSz w:w="14270" w:h="16850"/>
          <w:pgMar w:header="0" w:footer="1891" w:top="1340" w:bottom="2080" w:left="800" w:right="1280"/>
        </w:sectPr>
      </w:pPr>
    </w:p>
    <w:p>
      <w:pPr>
        <w:pStyle w:val="BodyText"/>
        <w:spacing w:line="276" w:lineRule="auto" w:before="74"/>
        <w:ind w:left="616" w:right="131"/>
        <w:jc w:val="both"/>
      </w:pPr>
      <w:r>
        <w:rPr/>
        <w:t>Perfectly</w:t>
      </w:r>
      <w:r>
        <w:rPr>
          <w:spacing w:val="-19"/>
        </w:rPr>
        <w:t> </w:t>
      </w:r>
      <w:r>
        <w:rPr/>
        <w:t>coordinated</w:t>
      </w:r>
      <w:r>
        <w:rPr>
          <w:spacing w:val="-19"/>
        </w:rPr>
        <w:t> </w:t>
      </w:r>
      <w:r>
        <w:rPr/>
        <w:t>active</w:t>
      </w:r>
      <w:r>
        <w:rPr>
          <w:spacing w:val="-20"/>
        </w:rPr>
        <w:t> </w:t>
      </w:r>
      <w:r>
        <w:rPr/>
        <w:t>ingredients</w:t>
      </w:r>
      <w:r>
        <w:rPr>
          <w:spacing w:val="-18"/>
        </w:rPr>
        <w:t> </w:t>
      </w:r>
      <w:r>
        <w:rPr/>
        <w:t>in</w:t>
      </w:r>
      <w:r>
        <w:rPr>
          <w:spacing w:val="-19"/>
        </w:rPr>
        <w:t> </w:t>
      </w:r>
      <w:r>
        <w:rPr/>
        <w:t>the</w:t>
      </w:r>
      <w:r>
        <w:rPr>
          <w:spacing w:val="-18"/>
        </w:rPr>
        <w:t> </w:t>
      </w:r>
      <w:r>
        <w:rPr/>
        <w:t>form</w:t>
      </w:r>
      <w:r>
        <w:rPr>
          <w:spacing w:val="-18"/>
        </w:rPr>
        <w:t> </w:t>
      </w:r>
      <w:r>
        <w:rPr/>
        <w:t>of</w:t>
      </w:r>
      <w:r>
        <w:rPr>
          <w:spacing w:val="-19"/>
        </w:rPr>
        <w:t> </w:t>
      </w:r>
      <w:r>
        <w:rPr/>
        <w:t>vitamins,</w:t>
      </w:r>
      <w:r>
        <w:rPr>
          <w:spacing w:val="-18"/>
        </w:rPr>
        <w:t> </w:t>
      </w:r>
      <w:r>
        <w:rPr/>
        <w:t>trace</w:t>
      </w:r>
      <w:r>
        <w:rPr>
          <w:spacing w:val="-18"/>
        </w:rPr>
        <w:t> </w:t>
      </w:r>
      <w:r>
        <w:rPr/>
        <w:t>elements and</w:t>
      </w:r>
      <w:r>
        <w:rPr>
          <w:spacing w:val="-10"/>
        </w:rPr>
        <w:t> </w:t>
      </w:r>
      <w:r>
        <w:rPr/>
        <w:t>flavonoids</w:t>
      </w:r>
      <w:r>
        <w:rPr>
          <w:spacing w:val="-9"/>
        </w:rPr>
        <w:t> </w:t>
      </w:r>
      <w:r>
        <w:rPr/>
        <w:t>provide</w:t>
      </w:r>
      <w:r>
        <w:rPr>
          <w:spacing w:val="-11"/>
        </w:rPr>
        <w:t> </w:t>
      </w:r>
      <w:r>
        <w:rPr/>
        <w:t>our</w:t>
      </w:r>
      <w:r>
        <w:rPr>
          <w:spacing w:val="-9"/>
        </w:rPr>
        <w:t> </w:t>
      </w:r>
      <w:r>
        <w:rPr/>
        <w:t>immune</w:t>
      </w:r>
      <w:r>
        <w:rPr>
          <w:spacing w:val="-9"/>
        </w:rPr>
        <w:t> </w:t>
      </w:r>
      <w:r>
        <w:rPr/>
        <w:t>systems</w:t>
      </w:r>
      <w:r>
        <w:rPr>
          <w:spacing w:val="-10"/>
        </w:rPr>
        <w:t> </w:t>
      </w:r>
      <w:r>
        <w:rPr/>
        <w:t>with</w:t>
      </w:r>
      <w:r>
        <w:rPr>
          <w:spacing w:val="-7"/>
        </w:rPr>
        <w:t> </w:t>
      </w:r>
      <w:r>
        <w:rPr/>
        <w:t>a</w:t>
      </w:r>
      <w:r>
        <w:rPr>
          <w:spacing w:val="-11"/>
        </w:rPr>
        <w:t> </w:t>
      </w:r>
      <w:r>
        <w:rPr/>
        <w:t>reliable</w:t>
      </w:r>
      <w:r>
        <w:rPr>
          <w:spacing w:val="-9"/>
        </w:rPr>
        <w:t> </w:t>
      </w:r>
      <w:r>
        <w:rPr/>
        <w:t>defence.</w:t>
      </w:r>
      <w:r>
        <w:rPr>
          <w:spacing w:val="-9"/>
        </w:rPr>
        <w:t> </w:t>
      </w:r>
      <w:r>
        <w:rPr/>
        <w:t>Primarily, though—and here researchers are agreed—, the notable immune system de- fence can be traced to the flavonoids. In case of an attack by intruders, these activate the immune system and introduce defence</w:t>
      </w:r>
      <w:r>
        <w:rPr>
          <w:spacing w:val="-2"/>
        </w:rPr>
        <w:t> </w:t>
      </w:r>
      <w:r>
        <w:rPr/>
        <w:t>mechanisms.</w:t>
      </w:r>
    </w:p>
    <w:p>
      <w:pPr>
        <w:pStyle w:val="BodyText"/>
        <w:spacing w:line="276" w:lineRule="auto" w:before="240"/>
        <w:ind w:left="616" w:right="137"/>
        <w:jc w:val="both"/>
      </w:pPr>
      <w:r>
        <w:rPr/>
        <w:t>Propolis is also able to reactivate even aged thymus glands which are respon- sible for the production of antibodies. Experiments indicate an immune-reg- ulating effect; depending on need, the immune system is either strengthened or an overactive immune system is subdued and inflammations inhibited.</w:t>
      </w:r>
    </w:p>
    <w:p>
      <w:pPr>
        <w:spacing w:after="0" w:line="276" w:lineRule="auto"/>
        <w:jc w:val="both"/>
        <w:sectPr>
          <w:pgSz w:w="14270" w:h="16850"/>
          <w:pgMar w:header="0" w:footer="1891" w:top="1340" w:bottom="2080" w:left="800" w:right="1280"/>
        </w:sectPr>
      </w:pPr>
    </w:p>
    <w:p>
      <w:pPr>
        <w:pStyle w:val="Heading1"/>
        <w:spacing w:before="77"/>
        <w:ind w:left="616"/>
      </w:pPr>
      <w:r>
        <w:rPr/>
        <w:t>Revitalising effect of propolis</w:t>
      </w:r>
    </w:p>
    <w:p>
      <w:pPr>
        <w:pStyle w:val="BodyText"/>
        <w:spacing w:line="276" w:lineRule="auto" w:before="299"/>
        <w:ind w:left="616" w:right="139"/>
        <w:jc w:val="both"/>
      </w:pPr>
      <w:r>
        <w:rPr/>
        <w:t>By intervening in metabolic processes and speeding them up, propolis is pre- cisely predestined to give older and ill people energy again by boosting their age- or illness-dependent metabolic processes.</w:t>
      </w:r>
    </w:p>
    <w:p>
      <w:pPr>
        <w:pStyle w:val="Heading1"/>
        <w:spacing w:before="222"/>
        <w:ind w:left="616"/>
      </w:pPr>
      <w:r>
        <w:rPr/>
        <w:t>Cell-rejuvenating effect of propolis</w:t>
      </w:r>
    </w:p>
    <w:p>
      <w:pPr>
        <w:pStyle w:val="BodyText"/>
        <w:spacing w:line="276" w:lineRule="auto" w:before="299"/>
        <w:ind w:left="616" w:right="147"/>
        <w:jc w:val="both"/>
        <w:rPr>
          <w:sz w:val="25"/>
        </w:rPr>
      </w:pPr>
      <w:r>
        <w:rPr/>
        <w:t>Propolis is able, in the view of Prof. Dr. E. Dorling, not only to significantly speed up cell rejuvenation, but even to double it!</w:t>
      </w:r>
      <w:r>
        <w:rPr>
          <w:position w:val="9"/>
          <w:sz w:val="25"/>
        </w:rPr>
        <w:t>686</w:t>
      </w:r>
    </w:p>
    <w:p>
      <w:pPr>
        <w:pStyle w:val="Heading1"/>
        <w:ind w:left="616"/>
      </w:pPr>
      <w:r>
        <w:rPr/>
        <w:t>Antibacterial, antiviral and antifungal effects of propolis</w:t>
      </w:r>
    </w:p>
    <w:p>
      <w:pPr>
        <w:pStyle w:val="BodyText"/>
        <w:spacing w:line="276" w:lineRule="auto" w:before="297"/>
        <w:ind w:left="616" w:right="133"/>
        <w:jc w:val="both"/>
      </w:pPr>
      <w:r>
        <w:rPr/>
        <w:t>In</w:t>
      </w:r>
      <w:r>
        <w:rPr>
          <w:spacing w:val="-9"/>
        </w:rPr>
        <w:t> </w:t>
      </w:r>
      <w:r>
        <w:rPr/>
        <w:t>contrast</w:t>
      </w:r>
      <w:r>
        <w:rPr>
          <w:spacing w:val="-10"/>
        </w:rPr>
        <w:t> </w:t>
      </w:r>
      <w:r>
        <w:rPr/>
        <w:t>to</w:t>
      </w:r>
      <w:r>
        <w:rPr>
          <w:spacing w:val="-11"/>
        </w:rPr>
        <w:t> </w:t>
      </w:r>
      <w:r>
        <w:rPr/>
        <w:t>antibiotics</w:t>
      </w:r>
      <w:r>
        <w:rPr>
          <w:spacing w:val="-8"/>
        </w:rPr>
        <w:t> </w:t>
      </w:r>
      <w:r>
        <w:rPr/>
        <w:t>(i.e.</w:t>
      </w:r>
      <w:r>
        <w:rPr>
          <w:spacing w:val="-8"/>
        </w:rPr>
        <w:t> </w:t>
      </w:r>
      <w:r>
        <w:rPr/>
        <w:t>penicillin</w:t>
      </w:r>
      <w:r>
        <w:rPr>
          <w:spacing w:val="-8"/>
        </w:rPr>
        <w:t> </w:t>
      </w:r>
      <w:r>
        <w:rPr/>
        <w:t>&amp;</w:t>
      </w:r>
      <w:r>
        <w:rPr>
          <w:spacing w:val="-10"/>
        </w:rPr>
        <w:t> </w:t>
      </w:r>
      <w:r>
        <w:rPr/>
        <w:t>co.),</w:t>
      </w:r>
      <w:r>
        <w:rPr>
          <w:spacing w:val="-9"/>
        </w:rPr>
        <w:t> </w:t>
      </w:r>
      <w:r>
        <w:rPr/>
        <w:t>which</w:t>
      </w:r>
      <w:r>
        <w:rPr>
          <w:spacing w:val="-8"/>
        </w:rPr>
        <w:t> </w:t>
      </w:r>
      <w:r>
        <w:rPr/>
        <w:t>are</w:t>
      </w:r>
      <w:r>
        <w:rPr>
          <w:spacing w:val="-9"/>
        </w:rPr>
        <w:t> </w:t>
      </w:r>
      <w:r>
        <w:rPr/>
        <w:t>only</w:t>
      </w:r>
      <w:r>
        <w:rPr>
          <w:spacing w:val="-9"/>
        </w:rPr>
        <w:t> </w:t>
      </w:r>
      <w:r>
        <w:rPr/>
        <w:t>able</w:t>
      </w:r>
      <w:r>
        <w:rPr>
          <w:spacing w:val="-12"/>
        </w:rPr>
        <w:t> </w:t>
      </w:r>
      <w:r>
        <w:rPr/>
        <w:t>to</w:t>
      </w:r>
      <w:r>
        <w:rPr>
          <w:spacing w:val="-9"/>
        </w:rPr>
        <w:t> </w:t>
      </w:r>
      <w:r>
        <w:rPr/>
        <w:t>eliminate a dozen different bacteria strains, propolis takes on all parasites, from</w:t>
      </w:r>
      <w:r>
        <w:rPr>
          <w:spacing w:val="-61"/>
        </w:rPr>
        <w:t> </w:t>
      </w:r>
      <w:r>
        <w:rPr/>
        <w:t>bacteria to viruses and</w:t>
      </w:r>
      <w:r>
        <w:rPr>
          <w:spacing w:val="2"/>
        </w:rPr>
        <w:t> </w:t>
      </w:r>
      <w:r>
        <w:rPr/>
        <w:t>fungi.</w:t>
      </w:r>
    </w:p>
    <w:p>
      <w:pPr>
        <w:pStyle w:val="BodyText"/>
        <w:spacing w:line="276" w:lineRule="auto" w:before="241"/>
        <w:ind w:left="616" w:right="135"/>
        <w:jc w:val="both"/>
      </w:pPr>
      <w:r>
        <w:rPr/>
        <w:t>Furthermore, these parasites, in contrast to the situation with antibiotics, can- not develop any resistance to propolis, which makes it an excellent and well- loved alternative to damaging antibiotics.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1"/>
        </w:rPr>
      </w:pPr>
      <w:r>
        <w:rPr/>
        <w:pict>
          <v:line style="position:absolute;mso-position-horizontal-relative:page;mso-position-vertical-relative:paragraph;z-index:8864;mso-wrap-distance-left:0;mso-wrap-distance-right:0" from="70.823997pt,8.996235pt" to="214.843997pt,8.996235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686 </w:t>
      </w:r>
      <w:r>
        <w:rPr>
          <w:sz w:val="20"/>
        </w:rPr>
        <w:t>Prof. Dr. E. Dörling, Propolis Newsletter, Referate-Dienst Nr. 3, 1982</w:t>
      </w:r>
    </w:p>
    <w:p>
      <w:pPr>
        <w:spacing w:after="0"/>
        <w:jc w:val="left"/>
        <w:rPr>
          <w:sz w:val="20"/>
        </w:rPr>
        <w:sectPr>
          <w:footerReference w:type="default" r:id="rId293"/>
          <w:pgSz w:w="14270" w:h="16850"/>
          <w:pgMar w:footer="1891" w:header="0" w:top="1320" w:bottom="2080" w:left="800" w:right="1280"/>
          <w:pgNumType w:start="1240"/>
        </w:sectPr>
      </w:pPr>
    </w:p>
    <w:p>
      <w:pPr>
        <w:pStyle w:val="Heading1"/>
        <w:spacing w:before="77"/>
        <w:ind w:left="616"/>
      </w:pPr>
      <w:r>
        <w:rPr/>
        <w:t>Analgesic effect of propolis</w:t>
      </w:r>
    </w:p>
    <w:p>
      <w:pPr>
        <w:pStyle w:val="BodyText"/>
        <w:spacing w:line="276" w:lineRule="auto" w:before="299"/>
        <w:ind w:left="616" w:right="130"/>
        <w:jc w:val="both"/>
      </w:pPr>
      <w:r>
        <w:rPr/>
        <w:t>The</w:t>
      </w:r>
      <w:r>
        <w:rPr>
          <w:spacing w:val="-18"/>
        </w:rPr>
        <w:t> </w:t>
      </w:r>
      <w:r>
        <w:rPr/>
        <w:t>flavonoids</w:t>
      </w:r>
      <w:r>
        <w:rPr>
          <w:spacing w:val="-19"/>
        </w:rPr>
        <w:t> </w:t>
      </w:r>
      <w:r>
        <w:rPr/>
        <w:t>contained</w:t>
      </w:r>
      <w:r>
        <w:rPr>
          <w:spacing w:val="-18"/>
        </w:rPr>
        <w:t> </w:t>
      </w:r>
      <w:r>
        <w:rPr/>
        <w:t>in</w:t>
      </w:r>
      <w:r>
        <w:rPr>
          <w:spacing w:val="-18"/>
        </w:rPr>
        <w:t> </w:t>
      </w:r>
      <w:r>
        <w:rPr/>
        <w:t>propolis</w:t>
      </w:r>
      <w:r>
        <w:rPr>
          <w:spacing w:val="-17"/>
        </w:rPr>
        <w:t> </w:t>
      </w:r>
      <w:r>
        <w:rPr/>
        <w:t>are</w:t>
      </w:r>
      <w:r>
        <w:rPr>
          <w:spacing w:val="-18"/>
        </w:rPr>
        <w:t> </w:t>
      </w:r>
      <w:r>
        <w:rPr/>
        <w:t>natural</w:t>
      </w:r>
      <w:r>
        <w:rPr>
          <w:spacing w:val="-19"/>
        </w:rPr>
        <w:t> </w:t>
      </w:r>
      <w:r>
        <w:rPr/>
        <w:t>antagonists</w:t>
      </w:r>
      <w:r>
        <w:rPr>
          <w:spacing w:val="-18"/>
        </w:rPr>
        <w:t> </w:t>
      </w:r>
      <w:r>
        <w:rPr/>
        <w:t>of</w:t>
      </w:r>
      <w:r>
        <w:rPr>
          <w:spacing w:val="-18"/>
        </w:rPr>
        <w:t> </w:t>
      </w:r>
      <w:r>
        <w:rPr/>
        <w:t>prostaglandins, which are known to play a causative role in pain. This entails a true anaesthe- tising</w:t>
      </w:r>
      <w:r>
        <w:rPr>
          <w:spacing w:val="-9"/>
        </w:rPr>
        <w:t> </w:t>
      </w:r>
      <w:r>
        <w:rPr/>
        <w:t>effect</w:t>
      </w:r>
      <w:r>
        <w:rPr>
          <w:spacing w:val="-10"/>
        </w:rPr>
        <w:t> </w:t>
      </w:r>
      <w:r>
        <w:rPr/>
        <w:t>and</w:t>
      </w:r>
      <w:r>
        <w:rPr>
          <w:spacing w:val="-12"/>
        </w:rPr>
        <w:t> </w:t>
      </w:r>
      <w:r>
        <w:rPr/>
        <w:t>offers</w:t>
      </w:r>
      <w:r>
        <w:rPr>
          <w:spacing w:val="-9"/>
        </w:rPr>
        <w:t> </w:t>
      </w:r>
      <w:r>
        <w:rPr/>
        <w:t>a</w:t>
      </w:r>
      <w:r>
        <w:rPr>
          <w:spacing w:val="-14"/>
        </w:rPr>
        <w:t> </w:t>
      </w:r>
      <w:r>
        <w:rPr/>
        <w:t>healthy</w:t>
      </w:r>
      <w:r>
        <w:rPr>
          <w:spacing w:val="-13"/>
        </w:rPr>
        <w:t> </w:t>
      </w:r>
      <w:r>
        <w:rPr/>
        <w:t>alternative</w:t>
      </w:r>
      <w:r>
        <w:rPr>
          <w:spacing w:val="-10"/>
        </w:rPr>
        <w:t> </w:t>
      </w:r>
      <w:r>
        <w:rPr/>
        <w:t>to</w:t>
      </w:r>
      <w:r>
        <w:rPr>
          <w:spacing w:val="-10"/>
        </w:rPr>
        <w:t> </w:t>
      </w:r>
      <w:r>
        <w:rPr/>
        <w:t>the</w:t>
      </w:r>
      <w:r>
        <w:rPr>
          <w:spacing w:val="-9"/>
        </w:rPr>
        <w:t> </w:t>
      </w:r>
      <w:r>
        <w:rPr/>
        <w:t>numerous,</w:t>
      </w:r>
      <w:r>
        <w:rPr>
          <w:spacing w:val="-12"/>
        </w:rPr>
        <w:t> </w:t>
      </w:r>
      <w:r>
        <w:rPr/>
        <w:t>often</w:t>
      </w:r>
      <w:r>
        <w:rPr>
          <w:spacing w:val="-8"/>
        </w:rPr>
        <w:t> </w:t>
      </w:r>
      <w:r>
        <w:rPr/>
        <w:t>side</w:t>
      </w:r>
      <w:r>
        <w:rPr>
          <w:spacing w:val="-12"/>
        </w:rPr>
        <w:t> </w:t>
      </w:r>
      <w:r>
        <w:rPr/>
        <w:t>effect- heavy medications of conventional</w:t>
      </w:r>
      <w:r>
        <w:rPr>
          <w:spacing w:val="-2"/>
        </w:rPr>
        <w:t> </w:t>
      </w:r>
      <w:r>
        <w:rPr/>
        <w:t>medicine.</w:t>
      </w:r>
    </w:p>
    <w:p>
      <w:pPr>
        <w:pStyle w:val="Heading1"/>
        <w:spacing w:before="222"/>
        <w:ind w:left="616"/>
      </w:pPr>
      <w:r>
        <w:rPr/>
        <w:t>Antioxidative effect of propolis</w:t>
      </w:r>
    </w:p>
    <w:p>
      <w:pPr>
        <w:pStyle w:val="BodyText"/>
        <w:spacing w:line="276" w:lineRule="auto" w:before="300"/>
        <w:ind w:left="616" w:right="147"/>
        <w:jc w:val="both"/>
      </w:pPr>
      <w:r>
        <w:rPr/>
        <w:t>One of the most notable abilities of propolis is without question its ability to capture free radicals and to protect us from their attacks.</w:t>
      </w:r>
    </w:p>
    <w:p>
      <w:pPr>
        <w:pStyle w:val="BodyText"/>
        <w:spacing w:line="276" w:lineRule="auto" w:before="241"/>
        <w:ind w:left="616" w:right="134"/>
        <w:jc w:val="both"/>
        <w:rPr>
          <w:sz w:val="25"/>
        </w:rPr>
      </w:pPr>
      <w:r>
        <w:rPr/>
        <w:t>Free radicals emerge from metabolic processes, stress, pollution, medications and so on and attack every one of our body cells countless times per day, in order to grab an electron from them. In this way, our genome and our organ- ism are gradually destroyed; we suffer from severe illnesses and age more quickly. Propolis can, according to experiments, protect our cells from free radicals more effectively than Vitamin C and Vitamin E.</w:t>
      </w:r>
      <w:r>
        <w:rPr>
          <w:position w:val="9"/>
          <w:sz w:val="25"/>
        </w:rPr>
        <w:t>687</w:t>
      </w:r>
    </w:p>
    <w:p>
      <w:pPr>
        <w:pStyle w:val="BodyText"/>
        <w:spacing w:line="276" w:lineRule="auto" w:before="240"/>
        <w:ind w:left="616" w:right="135"/>
        <w:jc w:val="both"/>
      </w:pPr>
      <w:r>
        <w:rPr/>
        <w:t>Free radicals attack our approximately 37,2 trillion bodily cells around 10,000 times per day and permanently damage them. This has been shown to lead to the following diseases and disorders: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0"/>
        </w:rPr>
      </w:pPr>
      <w:r>
        <w:rPr/>
        <w:pict>
          <v:line style="position:absolute;mso-position-horizontal-relative:page;mso-position-vertical-relative:paragraph;z-index:8888;mso-wrap-distance-left:0;mso-wrap-distance-right:0" from="70.823997pt,8.521265pt" to="214.843997pt,8.521265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687 </w:t>
      </w:r>
      <w:r>
        <w:rPr>
          <w:sz w:val="20"/>
        </w:rPr>
        <w:t>Basnet et al. 1997</w:t>
      </w:r>
    </w:p>
    <w:p>
      <w:pPr>
        <w:spacing w:after="0"/>
        <w:jc w:val="left"/>
        <w:rPr>
          <w:sz w:val="20"/>
        </w:rPr>
        <w:sectPr>
          <w:pgSz w:w="14270" w:h="16850"/>
          <w:pgMar w:header="0" w:footer="1891" w:top="1320" w:bottom="2080" w:left="800" w:right="1280"/>
        </w:sectPr>
      </w:pPr>
    </w:p>
    <w:p>
      <w:pPr>
        <w:pStyle w:val="Heading1"/>
        <w:spacing w:before="77"/>
        <w:ind w:left="616"/>
        <w:jc w:val="both"/>
      </w:pPr>
      <w:r>
        <w:rPr/>
        <w:t>Diseases caused by free radicals</w:t>
      </w:r>
    </w:p>
    <w:p>
      <w:pPr>
        <w:pStyle w:val="ListParagraph"/>
        <w:numPr>
          <w:ilvl w:val="0"/>
          <w:numId w:val="94"/>
        </w:numPr>
        <w:tabs>
          <w:tab w:pos="1324" w:val="left" w:leader="none"/>
          <w:tab w:pos="1325" w:val="left" w:leader="none"/>
        </w:tabs>
        <w:spacing w:line="240" w:lineRule="auto" w:before="260" w:after="0"/>
        <w:ind w:left="1324" w:right="0" w:hanging="360"/>
        <w:jc w:val="left"/>
        <w:rPr>
          <w:sz w:val="38"/>
        </w:rPr>
      </w:pPr>
      <w:r>
        <w:rPr>
          <w:sz w:val="38"/>
        </w:rPr>
        <w:t>Cardiovascular diseases due to atherosclerosis</w:t>
      </w:r>
    </w:p>
    <w:p>
      <w:pPr>
        <w:pStyle w:val="ListParagraph"/>
        <w:numPr>
          <w:ilvl w:val="0"/>
          <w:numId w:val="94"/>
        </w:numPr>
        <w:tabs>
          <w:tab w:pos="1324" w:val="left" w:leader="none"/>
          <w:tab w:pos="1325" w:val="left" w:leader="none"/>
        </w:tabs>
        <w:spacing w:line="240" w:lineRule="auto" w:before="184" w:after="0"/>
        <w:ind w:left="1324" w:right="0" w:hanging="360"/>
        <w:jc w:val="left"/>
        <w:rPr>
          <w:sz w:val="38"/>
        </w:rPr>
      </w:pPr>
      <w:r>
        <w:rPr>
          <w:sz w:val="38"/>
        </w:rPr>
        <w:t>Cancer</w:t>
      </w:r>
    </w:p>
    <w:p>
      <w:pPr>
        <w:pStyle w:val="ListParagraph"/>
        <w:numPr>
          <w:ilvl w:val="0"/>
          <w:numId w:val="94"/>
        </w:numPr>
        <w:tabs>
          <w:tab w:pos="1324" w:val="left" w:leader="none"/>
          <w:tab w:pos="1325" w:val="left" w:leader="none"/>
        </w:tabs>
        <w:spacing w:line="240" w:lineRule="auto" w:before="183" w:after="0"/>
        <w:ind w:left="1324" w:right="0" w:hanging="360"/>
        <w:jc w:val="left"/>
        <w:rPr>
          <w:sz w:val="38"/>
        </w:rPr>
      </w:pPr>
      <w:r>
        <w:rPr>
          <w:sz w:val="38"/>
        </w:rPr>
        <w:t>Diabetes</w:t>
      </w:r>
    </w:p>
    <w:p>
      <w:pPr>
        <w:pStyle w:val="ListParagraph"/>
        <w:numPr>
          <w:ilvl w:val="0"/>
          <w:numId w:val="94"/>
        </w:numPr>
        <w:tabs>
          <w:tab w:pos="1324" w:val="left" w:leader="none"/>
          <w:tab w:pos="1325" w:val="left" w:leader="none"/>
        </w:tabs>
        <w:spacing w:line="240" w:lineRule="auto" w:before="184" w:after="0"/>
        <w:ind w:left="1324" w:right="0" w:hanging="360"/>
        <w:jc w:val="left"/>
        <w:rPr>
          <w:sz w:val="38"/>
        </w:rPr>
      </w:pPr>
      <w:r>
        <w:rPr>
          <w:sz w:val="38"/>
        </w:rPr>
        <w:t>Cataracts</w:t>
      </w:r>
    </w:p>
    <w:p>
      <w:pPr>
        <w:pStyle w:val="ListParagraph"/>
        <w:numPr>
          <w:ilvl w:val="0"/>
          <w:numId w:val="94"/>
        </w:numPr>
        <w:tabs>
          <w:tab w:pos="1324" w:val="left" w:leader="none"/>
          <w:tab w:pos="1325" w:val="left" w:leader="none"/>
        </w:tabs>
        <w:spacing w:line="240" w:lineRule="auto" w:before="183" w:after="0"/>
        <w:ind w:left="1324" w:right="0" w:hanging="360"/>
        <w:jc w:val="left"/>
        <w:rPr>
          <w:sz w:val="38"/>
        </w:rPr>
      </w:pPr>
      <w:r>
        <w:rPr>
          <w:sz w:val="38"/>
        </w:rPr>
        <w:t>Arthritis</w:t>
      </w:r>
    </w:p>
    <w:p>
      <w:pPr>
        <w:pStyle w:val="ListParagraph"/>
        <w:numPr>
          <w:ilvl w:val="0"/>
          <w:numId w:val="94"/>
        </w:numPr>
        <w:tabs>
          <w:tab w:pos="1324" w:val="left" w:leader="none"/>
          <w:tab w:pos="1325" w:val="left" w:leader="none"/>
        </w:tabs>
        <w:spacing w:line="240" w:lineRule="auto" w:before="187" w:after="0"/>
        <w:ind w:left="1324" w:right="0" w:hanging="360"/>
        <w:jc w:val="left"/>
        <w:rPr>
          <w:sz w:val="38"/>
        </w:rPr>
      </w:pPr>
      <w:r>
        <w:rPr>
          <w:sz w:val="38"/>
        </w:rPr>
        <w:t>Premature ageing</w:t>
      </w:r>
    </w:p>
    <w:p>
      <w:pPr>
        <w:pStyle w:val="ListParagraph"/>
        <w:numPr>
          <w:ilvl w:val="0"/>
          <w:numId w:val="94"/>
        </w:numPr>
        <w:tabs>
          <w:tab w:pos="1324" w:val="left" w:leader="none"/>
          <w:tab w:pos="1325" w:val="left" w:leader="none"/>
        </w:tabs>
        <w:spacing w:line="240" w:lineRule="auto" w:before="184" w:after="0"/>
        <w:ind w:left="1324" w:right="0" w:hanging="360"/>
        <w:jc w:val="left"/>
        <w:rPr>
          <w:sz w:val="38"/>
        </w:rPr>
      </w:pPr>
      <w:r>
        <w:rPr>
          <w:sz w:val="38"/>
        </w:rPr>
        <w:t>Alzheimer’s</w:t>
      </w:r>
    </w:p>
    <w:p>
      <w:pPr>
        <w:pStyle w:val="ListParagraph"/>
        <w:numPr>
          <w:ilvl w:val="0"/>
          <w:numId w:val="94"/>
        </w:numPr>
        <w:tabs>
          <w:tab w:pos="1324" w:val="left" w:leader="none"/>
          <w:tab w:pos="1325" w:val="left" w:leader="none"/>
        </w:tabs>
        <w:spacing w:line="240" w:lineRule="auto" w:before="183" w:after="0"/>
        <w:ind w:left="1324" w:right="0" w:hanging="360"/>
        <w:jc w:val="left"/>
        <w:rPr>
          <w:sz w:val="38"/>
        </w:rPr>
      </w:pPr>
      <w:r>
        <w:rPr>
          <w:sz w:val="38"/>
        </w:rPr>
        <w:t>Pancreatitis</w:t>
      </w:r>
    </w:p>
    <w:p>
      <w:pPr>
        <w:pStyle w:val="ListParagraph"/>
        <w:numPr>
          <w:ilvl w:val="0"/>
          <w:numId w:val="94"/>
        </w:numPr>
        <w:tabs>
          <w:tab w:pos="1324" w:val="left" w:leader="none"/>
          <w:tab w:pos="1325" w:val="left" w:leader="none"/>
        </w:tabs>
        <w:spacing w:line="240" w:lineRule="auto" w:before="184" w:after="0"/>
        <w:ind w:left="1324" w:right="0" w:hanging="360"/>
        <w:jc w:val="left"/>
        <w:rPr>
          <w:sz w:val="38"/>
        </w:rPr>
      </w:pPr>
      <w:r>
        <w:rPr>
          <w:sz w:val="38"/>
        </w:rPr>
        <w:t>Down’s</w:t>
      </w:r>
      <w:r>
        <w:rPr>
          <w:spacing w:val="1"/>
          <w:sz w:val="38"/>
        </w:rPr>
        <w:t> </w:t>
      </w:r>
      <w:r>
        <w:rPr>
          <w:sz w:val="38"/>
        </w:rPr>
        <w:t>syndrome</w:t>
      </w:r>
    </w:p>
    <w:p>
      <w:pPr>
        <w:pStyle w:val="ListParagraph"/>
        <w:numPr>
          <w:ilvl w:val="0"/>
          <w:numId w:val="94"/>
        </w:numPr>
        <w:tabs>
          <w:tab w:pos="1324" w:val="left" w:leader="none"/>
          <w:tab w:pos="1325" w:val="left" w:leader="none"/>
        </w:tabs>
        <w:spacing w:line="240" w:lineRule="auto" w:before="184" w:after="0"/>
        <w:ind w:left="1324" w:right="0" w:hanging="360"/>
        <w:jc w:val="left"/>
        <w:rPr>
          <w:sz w:val="38"/>
        </w:rPr>
      </w:pPr>
      <w:r>
        <w:rPr>
          <w:sz w:val="38"/>
        </w:rPr>
        <w:t>Chronic fatigue</w:t>
      </w:r>
      <w:r>
        <w:rPr>
          <w:spacing w:val="-3"/>
          <w:sz w:val="38"/>
        </w:rPr>
        <w:t> </w:t>
      </w:r>
      <w:r>
        <w:rPr>
          <w:sz w:val="38"/>
        </w:rPr>
        <w:t>syndrome</w:t>
      </w:r>
    </w:p>
    <w:p>
      <w:pPr>
        <w:pStyle w:val="ListParagraph"/>
        <w:numPr>
          <w:ilvl w:val="0"/>
          <w:numId w:val="94"/>
        </w:numPr>
        <w:tabs>
          <w:tab w:pos="1324" w:val="left" w:leader="none"/>
          <w:tab w:pos="1325" w:val="left" w:leader="none"/>
        </w:tabs>
        <w:spacing w:line="240" w:lineRule="auto" w:before="186" w:after="0"/>
        <w:ind w:left="1324" w:right="0" w:hanging="360"/>
        <w:jc w:val="left"/>
        <w:rPr>
          <w:sz w:val="38"/>
        </w:rPr>
      </w:pPr>
      <w:r>
        <w:rPr>
          <w:sz w:val="38"/>
        </w:rPr>
        <w:t>Damage to the central nervous</w:t>
      </w:r>
      <w:r>
        <w:rPr>
          <w:spacing w:val="3"/>
          <w:sz w:val="38"/>
        </w:rPr>
        <w:t> </w:t>
      </w:r>
      <w:r>
        <w:rPr>
          <w:sz w:val="38"/>
        </w:rPr>
        <w:t>system</w:t>
      </w:r>
    </w:p>
    <w:p>
      <w:pPr>
        <w:pStyle w:val="ListParagraph"/>
        <w:numPr>
          <w:ilvl w:val="0"/>
          <w:numId w:val="94"/>
        </w:numPr>
        <w:tabs>
          <w:tab w:pos="1324" w:val="left" w:leader="none"/>
          <w:tab w:pos="1325" w:val="left" w:leader="none"/>
        </w:tabs>
        <w:spacing w:line="240" w:lineRule="auto" w:before="184" w:after="0"/>
        <w:ind w:left="1324" w:right="0" w:hanging="360"/>
        <w:jc w:val="left"/>
        <w:rPr>
          <w:sz w:val="38"/>
        </w:rPr>
      </w:pPr>
      <w:r>
        <w:rPr>
          <w:sz w:val="38"/>
        </w:rPr>
        <w:t>Crohn's disease and many</w:t>
      </w:r>
      <w:r>
        <w:rPr>
          <w:spacing w:val="4"/>
          <w:sz w:val="38"/>
        </w:rPr>
        <w:t> </w:t>
      </w:r>
      <w:r>
        <w:rPr>
          <w:sz w:val="38"/>
        </w:rPr>
        <w:t>others</w:t>
      </w:r>
    </w:p>
    <w:p>
      <w:pPr>
        <w:pStyle w:val="BodyText"/>
        <w:spacing w:line="276" w:lineRule="auto" w:before="302"/>
        <w:ind w:left="616" w:right="137"/>
        <w:jc w:val="both"/>
      </w:pPr>
      <w:r>
        <w:rPr/>
        <w:t>Propolis contains an impressive number of antioxidants, biologically active substances which sacrifice themselves to provide the missing molecule to the hungry radical and in this way neutralise it.</w:t>
      </w:r>
    </w:p>
    <w:p>
      <w:pPr>
        <w:spacing w:after="0" w:line="276" w:lineRule="auto"/>
        <w:jc w:val="both"/>
        <w:sectPr>
          <w:pgSz w:w="14270" w:h="16850"/>
          <w:pgMar w:header="0" w:footer="1891" w:top="1320" w:bottom="2080" w:left="800" w:right="1280"/>
        </w:sectPr>
      </w:pPr>
    </w:p>
    <w:p>
      <w:pPr>
        <w:pStyle w:val="Heading1"/>
        <w:spacing w:before="77"/>
        <w:ind w:left="616"/>
      </w:pPr>
      <w:r>
        <w:rPr/>
        <w:t>Detoxifying effect of propolis</w:t>
      </w:r>
    </w:p>
    <w:p>
      <w:pPr>
        <w:pStyle w:val="BodyText"/>
        <w:spacing w:line="276" w:lineRule="auto" w:before="299"/>
        <w:ind w:left="616"/>
      </w:pPr>
      <w:r>
        <w:rPr/>
        <w:t>Propolis is in a position to neutralise certain heavy metals, e.g. mercury, by dissolving it from the affected organs and purging it via the blood.</w:t>
      </w:r>
    </w:p>
    <w:p>
      <w:pPr>
        <w:pStyle w:val="BodyText"/>
        <w:spacing w:line="278" w:lineRule="auto" w:before="239"/>
        <w:ind w:left="616"/>
      </w:pPr>
      <w:r>
        <w:rPr/>
        <w:t>We</w:t>
      </w:r>
      <w:r>
        <w:rPr>
          <w:spacing w:val="-24"/>
        </w:rPr>
        <w:t> </w:t>
      </w:r>
      <w:r>
        <w:rPr/>
        <w:t>also</w:t>
      </w:r>
      <w:r>
        <w:rPr>
          <w:spacing w:val="-23"/>
        </w:rPr>
        <w:t> </w:t>
      </w:r>
      <w:r>
        <w:rPr/>
        <w:t>primarily</w:t>
      </w:r>
      <w:r>
        <w:rPr>
          <w:spacing w:val="-24"/>
        </w:rPr>
        <w:t> </w:t>
      </w:r>
      <w:r>
        <w:rPr/>
        <w:t>have</w:t>
      </w:r>
      <w:r>
        <w:rPr>
          <w:spacing w:val="-23"/>
        </w:rPr>
        <w:t> </w:t>
      </w:r>
      <w:r>
        <w:rPr/>
        <w:t>flavonoids</w:t>
      </w:r>
      <w:r>
        <w:rPr>
          <w:spacing w:val="-24"/>
        </w:rPr>
        <w:t> </w:t>
      </w:r>
      <w:r>
        <w:rPr/>
        <w:t>to</w:t>
      </w:r>
      <w:r>
        <w:rPr>
          <w:spacing w:val="-23"/>
        </w:rPr>
        <w:t> </w:t>
      </w:r>
      <w:r>
        <w:rPr/>
        <w:t>thank</w:t>
      </w:r>
      <w:r>
        <w:rPr>
          <w:spacing w:val="-23"/>
        </w:rPr>
        <w:t> </w:t>
      </w:r>
      <w:r>
        <w:rPr/>
        <w:t>for</w:t>
      </w:r>
      <w:r>
        <w:rPr>
          <w:spacing w:val="-23"/>
        </w:rPr>
        <w:t> </w:t>
      </w:r>
      <w:r>
        <w:rPr/>
        <w:t>this,</w:t>
      </w:r>
      <w:r>
        <w:rPr>
          <w:spacing w:val="-23"/>
        </w:rPr>
        <w:t> </w:t>
      </w:r>
      <w:r>
        <w:rPr/>
        <w:t>which</w:t>
      </w:r>
      <w:r>
        <w:rPr>
          <w:spacing w:val="-22"/>
        </w:rPr>
        <w:t> </w:t>
      </w:r>
      <w:r>
        <w:rPr/>
        <w:t>carry</w:t>
      </w:r>
      <w:r>
        <w:rPr>
          <w:spacing w:val="-26"/>
        </w:rPr>
        <w:t> </w:t>
      </w:r>
      <w:r>
        <w:rPr/>
        <w:t>out</w:t>
      </w:r>
      <w:r>
        <w:rPr>
          <w:spacing w:val="-24"/>
        </w:rPr>
        <w:t> </w:t>
      </w:r>
      <w:r>
        <w:rPr/>
        <w:t>detoxifying work in the body, next to many other</w:t>
      </w:r>
      <w:r>
        <w:rPr>
          <w:spacing w:val="2"/>
        </w:rPr>
        <w:t> </w:t>
      </w:r>
      <w:r>
        <w:rPr/>
        <w:t>jobs.</w:t>
      </w:r>
    </w:p>
    <w:p>
      <w:pPr>
        <w:pStyle w:val="BodyText"/>
        <w:spacing w:line="276" w:lineRule="auto" w:before="232"/>
        <w:ind w:left="616"/>
        <w:rPr>
          <w:sz w:val="25"/>
        </w:rPr>
      </w:pPr>
      <w:r>
        <w:rPr/>
        <w:t>Propolis may not, however, be seen as an initial</w:t>
      </w:r>
      <w:r>
        <w:rPr>
          <w:spacing w:val="-69"/>
        </w:rPr>
        <w:t> </w:t>
      </w:r>
      <w:r>
        <w:rPr/>
        <w:t>medication for severe poison- ing. </w:t>
      </w:r>
      <w:r>
        <w:rPr>
          <w:position w:val="9"/>
          <w:sz w:val="25"/>
        </w:rPr>
        <w:t>688</w:t>
      </w:r>
    </w:p>
    <w:p>
      <w:pPr>
        <w:pStyle w:val="Heading1"/>
        <w:ind w:left="616"/>
      </w:pPr>
      <w:r>
        <w:rPr/>
        <w:t>Anti-carcinogenic effects of propolis:</w:t>
      </w:r>
    </w:p>
    <w:p>
      <w:pPr>
        <w:pStyle w:val="BodyText"/>
        <w:spacing w:line="276" w:lineRule="auto" w:before="299"/>
        <w:ind w:left="616" w:right="133"/>
        <w:jc w:val="both"/>
      </w:pPr>
      <w:r>
        <w:rPr/>
        <w:t>The anti-carcinogenic effects of propolis are based on a number of factors: Alongside the antioxidative, antiviral and immune-strengthening properties of propolis, it also contains four substances that have been shown to directly kill cancer cells and to inhibit the growth of cancer.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r>
        <w:rPr/>
        <w:pict>
          <v:line style="position:absolute;mso-position-horizontal-relative:page;mso-position-vertical-relative:paragraph;z-index:8912;mso-wrap-distance-left:0;mso-wrap-distance-right:0" from="70.823997pt,18.950014pt" to="214.843997pt,18.950014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688 </w:t>
      </w:r>
      <w:r>
        <w:rPr>
          <w:sz w:val="20"/>
        </w:rPr>
        <w:t>Dirk Rohwedder und Prof. Havsteen: Propolis, der Stoff, aus dem Gesundheit ist (‘Propolis, the Stuff that Health is Made Of’), 1987, p. 87 f.</w:t>
      </w:r>
    </w:p>
    <w:p>
      <w:pPr>
        <w:spacing w:after="0"/>
        <w:jc w:val="left"/>
        <w:rPr>
          <w:sz w:val="20"/>
        </w:rPr>
        <w:sectPr>
          <w:pgSz w:w="14270" w:h="16850"/>
          <w:pgMar w:header="0" w:footer="1891" w:top="1320" w:bottom="2080" w:left="800" w:right="1280"/>
        </w:sectPr>
      </w:pPr>
    </w:p>
    <w:p>
      <w:pPr>
        <w:pStyle w:val="Heading1"/>
        <w:spacing w:before="77"/>
        <w:ind w:left="616"/>
      </w:pPr>
      <w:r>
        <w:rPr/>
        <w:t>Among the active ingredients of propolis are:</w:t>
      </w:r>
    </w:p>
    <w:p>
      <w:pPr>
        <w:pStyle w:val="ListParagraph"/>
        <w:numPr>
          <w:ilvl w:val="0"/>
          <w:numId w:val="95"/>
        </w:numPr>
        <w:tabs>
          <w:tab w:pos="1031" w:val="left" w:leader="none"/>
          <w:tab w:pos="1032" w:val="left" w:leader="none"/>
        </w:tabs>
        <w:spacing w:line="240" w:lineRule="auto" w:before="260" w:after="0"/>
        <w:ind w:left="1031" w:right="0" w:hanging="415"/>
        <w:jc w:val="left"/>
        <w:rPr>
          <w:sz w:val="25"/>
        </w:rPr>
      </w:pPr>
      <w:r>
        <w:rPr>
          <w:sz w:val="38"/>
        </w:rPr>
        <w:t>Clerodanditerpenoide </w:t>
      </w:r>
      <w:r>
        <w:rPr>
          <w:position w:val="9"/>
          <w:sz w:val="25"/>
        </w:rPr>
        <w:t>689</w:t>
      </w:r>
    </w:p>
    <w:p>
      <w:pPr>
        <w:pStyle w:val="ListParagraph"/>
        <w:numPr>
          <w:ilvl w:val="0"/>
          <w:numId w:val="95"/>
        </w:numPr>
        <w:tabs>
          <w:tab w:pos="1031" w:val="left" w:leader="none"/>
          <w:tab w:pos="1032" w:val="left" w:leader="none"/>
        </w:tabs>
        <w:spacing w:line="240" w:lineRule="auto" w:before="184" w:after="0"/>
        <w:ind w:left="1031" w:right="0" w:hanging="415"/>
        <w:jc w:val="left"/>
        <w:rPr>
          <w:sz w:val="25"/>
        </w:rPr>
      </w:pPr>
      <w:r>
        <w:rPr>
          <w:sz w:val="38"/>
        </w:rPr>
        <w:t>Artepillin C</w:t>
      </w:r>
      <w:r>
        <w:rPr>
          <w:position w:val="9"/>
          <w:sz w:val="25"/>
        </w:rPr>
        <w:t>690</w:t>
      </w:r>
    </w:p>
    <w:p>
      <w:pPr>
        <w:pStyle w:val="ListParagraph"/>
        <w:numPr>
          <w:ilvl w:val="0"/>
          <w:numId w:val="95"/>
        </w:numPr>
        <w:tabs>
          <w:tab w:pos="1031" w:val="left" w:leader="none"/>
          <w:tab w:pos="1032" w:val="left" w:leader="none"/>
        </w:tabs>
        <w:spacing w:line="240" w:lineRule="auto" w:before="183" w:after="0"/>
        <w:ind w:left="1031" w:right="0" w:hanging="415"/>
        <w:jc w:val="left"/>
        <w:rPr>
          <w:sz w:val="25"/>
        </w:rPr>
      </w:pPr>
      <w:r>
        <w:rPr>
          <w:sz w:val="38"/>
        </w:rPr>
        <w:t>Benzofurane</w:t>
      </w:r>
      <w:r>
        <w:rPr>
          <w:spacing w:val="-3"/>
          <w:sz w:val="38"/>
        </w:rPr>
        <w:t> </w:t>
      </w:r>
      <w:r>
        <w:rPr>
          <w:position w:val="9"/>
          <w:sz w:val="25"/>
        </w:rPr>
        <w:t>691</w:t>
      </w:r>
    </w:p>
    <w:p>
      <w:pPr>
        <w:pStyle w:val="ListParagraph"/>
        <w:numPr>
          <w:ilvl w:val="0"/>
          <w:numId w:val="95"/>
        </w:numPr>
        <w:tabs>
          <w:tab w:pos="1031" w:val="left" w:leader="none"/>
          <w:tab w:pos="1032" w:val="left" w:leader="none"/>
        </w:tabs>
        <w:spacing w:line="240" w:lineRule="auto" w:before="184" w:after="0"/>
        <w:ind w:left="1031" w:right="0" w:hanging="415"/>
        <w:jc w:val="left"/>
        <w:rPr>
          <w:sz w:val="38"/>
        </w:rPr>
      </w:pPr>
      <w:r>
        <w:rPr>
          <w:sz w:val="38"/>
        </w:rPr>
        <w:t>CAPE</w:t>
      </w:r>
    </w:p>
    <w:p>
      <w:pPr>
        <w:pStyle w:val="BodyText"/>
        <w:spacing w:before="304"/>
        <w:ind w:left="616"/>
      </w:pPr>
      <w:r>
        <w:rPr/>
        <w:t>More on this topic in the section ‘Propolis and Cancer’.</w:t>
      </w:r>
    </w:p>
    <w:p>
      <w:pPr>
        <w:pStyle w:val="Heading1"/>
        <w:spacing w:before="288"/>
        <w:ind w:left="616"/>
      </w:pPr>
      <w:r>
        <w:rPr/>
        <w:t>Antiallergic effect of propolis</w:t>
      </w:r>
    </w:p>
    <w:p>
      <w:pPr>
        <w:pStyle w:val="BodyText"/>
        <w:spacing w:line="278" w:lineRule="auto" w:before="297"/>
        <w:ind w:left="616"/>
      </w:pPr>
      <w:r>
        <w:rPr/>
        <w:t>The antiallergic effect of propolis can primarily be attributed to the flavonoids it contains. Allergies are known to be caused by the release of histamine.</w:t>
      </w:r>
    </w:p>
    <w:p>
      <w:pPr>
        <w:pStyle w:val="BodyText"/>
        <w:spacing w:line="278" w:lineRule="auto" w:before="232"/>
        <w:ind w:left="616"/>
      </w:pPr>
      <w:r>
        <w:rPr/>
        <w:t>The flavonoids in propolis protect the mast cells which distribute histamine, curtails this distribution and thus directly hinder allergic reactions.</w:t>
      </w:r>
    </w:p>
    <w:p>
      <w:pPr>
        <w:pStyle w:val="Heading1"/>
        <w:spacing w:before="216"/>
        <w:ind w:left="616"/>
      </w:pPr>
      <w:r>
        <w:rPr/>
        <w:t>Blood pressure regulating effect of</w:t>
      </w:r>
      <w:r>
        <w:rPr>
          <w:spacing w:val="-56"/>
        </w:rPr>
        <w:t> </w:t>
      </w:r>
      <w:r>
        <w:rPr/>
        <w:t>propolis</w:t>
      </w:r>
    </w:p>
    <w:p>
      <w:pPr>
        <w:pStyle w:val="BodyText"/>
        <w:spacing w:line="276" w:lineRule="auto" w:before="299"/>
        <w:ind w:left="616"/>
      </w:pPr>
      <w:r>
        <w:rPr/>
        <w:t>According</w:t>
      </w:r>
      <w:r>
        <w:rPr>
          <w:spacing w:val="-16"/>
        </w:rPr>
        <w:t> </w:t>
      </w:r>
      <w:r>
        <w:rPr/>
        <w:t>to</w:t>
      </w:r>
      <w:r>
        <w:rPr>
          <w:spacing w:val="-18"/>
        </w:rPr>
        <w:t> </w:t>
      </w:r>
      <w:r>
        <w:rPr/>
        <w:t>corresponding</w:t>
      </w:r>
      <w:r>
        <w:rPr>
          <w:spacing w:val="-18"/>
        </w:rPr>
        <w:t> </w:t>
      </w:r>
      <w:r>
        <w:rPr/>
        <w:t>studies</w:t>
      </w:r>
      <w:r>
        <w:rPr>
          <w:position w:val="9"/>
          <w:sz w:val="25"/>
        </w:rPr>
        <w:t>692</w:t>
      </w:r>
      <w:r>
        <w:rPr/>
        <w:t>,</w:t>
      </w:r>
      <w:r>
        <w:rPr>
          <w:spacing w:val="-14"/>
        </w:rPr>
        <w:t> </w:t>
      </w:r>
      <w:r>
        <w:rPr/>
        <w:t>propolis</w:t>
      </w:r>
      <w:r>
        <w:rPr>
          <w:spacing w:val="-16"/>
        </w:rPr>
        <w:t> </w:t>
      </w:r>
      <w:r>
        <w:rPr/>
        <w:t>can</w:t>
      </w:r>
      <w:r>
        <w:rPr>
          <w:spacing w:val="-16"/>
        </w:rPr>
        <w:t> </w:t>
      </w:r>
      <w:r>
        <w:rPr/>
        <w:t>significantly</w:t>
      </w:r>
      <w:r>
        <w:rPr>
          <w:spacing w:val="-17"/>
        </w:rPr>
        <w:t> </w:t>
      </w:r>
      <w:r>
        <w:rPr/>
        <w:t>decrease</w:t>
      </w:r>
      <w:r>
        <w:rPr>
          <w:spacing w:val="-15"/>
        </w:rPr>
        <w:t> </w:t>
      </w:r>
      <w:r>
        <w:rPr/>
        <w:t>high blood pressure.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0"/>
        </w:rPr>
      </w:pPr>
      <w:r>
        <w:rPr/>
        <w:pict>
          <v:line style="position:absolute;mso-position-horizontal-relative:page;mso-position-vertical-relative:paragraph;z-index:8936;mso-wrap-distance-left:0;mso-wrap-distance-right:0" from="70.823997pt,8.257437pt" to="214.843997pt,8.257437pt" stroked="true" strokeweight=".71997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689  </w:t>
      </w:r>
      <w:r>
        <w:rPr>
          <w:sz w:val="20"/>
        </w:rPr>
        <w:t>Matsuno et al.</w:t>
      </w:r>
      <w:r>
        <w:rPr>
          <w:spacing w:val="-30"/>
          <w:sz w:val="20"/>
        </w:rPr>
        <w:t> </w:t>
      </w:r>
      <w:r>
        <w:rPr>
          <w:sz w:val="20"/>
        </w:rPr>
        <w:t>1995</w:t>
      </w:r>
    </w:p>
    <w:p>
      <w:pPr>
        <w:spacing w:before="94"/>
        <w:ind w:left="616" w:right="0" w:firstLine="0"/>
        <w:jc w:val="left"/>
        <w:rPr>
          <w:sz w:val="20"/>
        </w:rPr>
      </w:pPr>
      <w:r>
        <w:rPr>
          <w:position w:val="5"/>
          <w:sz w:val="13"/>
        </w:rPr>
        <w:t>690  </w:t>
      </w:r>
      <w:r>
        <w:rPr>
          <w:sz w:val="20"/>
        </w:rPr>
        <w:t>Matsuno et al.</w:t>
      </w:r>
      <w:r>
        <w:rPr>
          <w:spacing w:val="-30"/>
          <w:sz w:val="20"/>
        </w:rPr>
        <w:t> </w:t>
      </w:r>
      <w:r>
        <w:rPr>
          <w:sz w:val="20"/>
        </w:rPr>
        <w:t>1997</w:t>
      </w:r>
    </w:p>
    <w:p>
      <w:pPr>
        <w:spacing w:before="95"/>
        <w:ind w:left="616" w:right="0" w:firstLine="0"/>
        <w:jc w:val="left"/>
        <w:rPr>
          <w:sz w:val="20"/>
        </w:rPr>
      </w:pPr>
      <w:r>
        <w:rPr/>
        <w:drawing>
          <wp:anchor distT="0" distB="0" distL="0" distR="0" allowOverlap="1" layoutInCell="1" locked="0" behindDoc="1" simplePos="0" relativeHeight="267176735">
            <wp:simplePos x="0" y="0"/>
            <wp:positionH relativeFrom="page">
              <wp:posOffset>985998</wp:posOffset>
            </wp:positionH>
            <wp:positionV relativeFrom="paragraph">
              <wp:posOffset>142597</wp:posOffset>
            </wp:positionV>
            <wp:extent cx="6379583" cy="902106"/>
            <wp:effectExtent l="0" t="0" r="0" b="0"/>
            <wp:wrapNone/>
            <wp:docPr id="459" name="image2.jpeg" descr=""/>
            <wp:cNvGraphicFramePr>
              <a:graphicFrameLocks noChangeAspect="1"/>
            </wp:cNvGraphicFramePr>
            <a:graphic>
              <a:graphicData uri="http://schemas.openxmlformats.org/drawingml/2006/picture">
                <pic:pic>
                  <pic:nvPicPr>
                    <pic:cNvPr id="460"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691  </w:t>
      </w:r>
      <w:r>
        <w:rPr>
          <w:sz w:val="20"/>
        </w:rPr>
        <w:t>Banskota et al.</w:t>
      </w:r>
      <w:r>
        <w:rPr>
          <w:spacing w:val="-27"/>
          <w:sz w:val="20"/>
        </w:rPr>
        <w:t> </w:t>
      </w:r>
      <w:r>
        <w:rPr>
          <w:sz w:val="20"/>
        </w:rPr>
        <w:t>2000</w:t>
      </w:r>
    </w:p>
    <w:p>
      <w:pPr>
        <w:spacing w:before="94"/>
        <w:ind w:left="616" w:right="0" w:firstLine="0"/>
        <w:jc w:val="left"/>
        <w:rPr>
          <w:sz w:val="20"/>
        </w:rPr>
      </w:pPr>
      <w:r>
        <w:rPr>
          <w:position w:val="5"/>
          <w:sz w:val="13"/>
        </w:rPr>
        <w:t>692 </w:t>
      </w:r>
      <w:r>
        <w:rPr>
          <w:sz w:val="20"/>
        </w:rPr>
        <w:t>Prof. Dr. V. Harnay: Propolis, Apimondia Verlag, 1975</w:t>
      </w:r>
    </w:p>
    <w:p>
      <w:pPr>
        <w:spacing w:after="0"/>
        <w:jc w:val="left"/>
        <w:rPr>
          <w:sz w:val="20"/>
        </w:rPr>
        <w:sectPr>
          <w:footerReference w:type="default" r:id="rId294"/>
          <w:pgSz w:w="14270" w:h="16850"/>
          <w:pgMar w:footer="527" w:header="0" w:top="1320" w:bottom="720" w:left="800" w:right="1280"/>
          <w:pgNumType w:start="1244"/>
        </w:sectPr>
      </w:pPr>
    </w:p>
    <w:p>
      <w:pPr>
        <w:pStyle w:val="Heading1"/>
        <w:spacing w:before="77"/>
        <w:ind w:left="616"/>
      </w:pPr>
      <w:r>
        <w:rPr/>
        <w:t>Specific effect of propolis on diseases and disorders</w:t>
      </w:r>
    </w:p>
    <w:p>
      <w:pPr>
        <w:pStyle w:val="BodyText"/>
        <w:spacing w:line="276" w:lineRule="auto" w:before="299"/>
        <w:ind w:left="616" w:right="132"/>
        <w:jc w:val="both"/>
      </w:pPr>
      <w:r>
        <w:rPr/>
        <w:t>It is unnecessary to emphasise that we are talking about a substance that acts effectively against innumerable diseases and disorders—strengthens the im- mune system, has antibacterial, antiviral and antifungal effects, successfully combats free radicals, detoxifies, protects our DNA and rejuvenates our cells.</w:t>
      </w:r>
    </w:p>
    <w:p>
      <w:pPr>
        <w:pStyle w:val="BodyText"/>
        <w:spacing w:line="276" w:lineRule="auto" w:before="239"/>
        <w:ind w:left="616"/>
      </w:pPr>
      <w:r>
        <w:rPr/>
        <w:t>The</w:t>
      </w:r>
      <w:r>
        <w:rPr>
          <w:spacing w:val="-17"/>
        </w:rPr>
        <w:t> </w:t>
      </w:r>
      <w:r>
        <w:rPr/>
        <w:t>following</w:t>
      </w:r>
      <w:r>
        <w:rPr>
          <w:spacing w:val="-16"/>
        </w:rPr>
        <w:t> </w:t>
      </w:r>
      <w:r>
        <w:rPr/>
        <w:t>diseases</w:t>
      </w:r>
      <w:r>
        <w:rPr>
          <w:spacing w:val="-16"/>
        </w:rPr>
        <w:t> </w:t>
      </w:r>
      <w:r>
        <w:rPr/>
        <w:t>and</w:t>
      </w:r>
      <w:r>
        <w:rPr>
          <w:spacing w:val="-19"/>
        </w:rPr>
        <w:t> </w:t>
      </w:r>
      <w:r>
        <w:rPr/>
        <w:t>disorders</w:t>
      </w:r>
      <w:r>
        <w:rPr>
          <w:spacing w:val="-16"/>
        </w:rPr>
        <w:t> </w:t>
      </w:r>
      <w:r>
        <w:rPr/>
        <w:t>are</w:t>
      </w:r>
      <w:r>
        <w:rPr>
          <w:spacing w:val="-18"/>
        </w:rPr>
        <w:t> </w:t>
      </w:r>
      <w:r>
        <w:rPr/>
        <w:t>only</w:t>
      </w:r>
      <w:r>
        <w:rPr>
          <w:spacing w:val="-20"/>
        </w:rPr>
        <w:t> </w:t>
      </w:r>
      <w:r>
        <w:rPr/>
        <w:t>some</w:t>
      </w:r>
      <w:r>
        <w:rPr>
          <w:spacing w:val="-17"/>
        </w:rPr>
        <w:t> </w:t>
      </w:r>
      <w:r>
        <w:rPr/>
        <w:t>examples</w:t>
      </w:r>
      <w:r>
        <w:rPr>
          <w:spacing w:val="-15"/>
        </w:rPr>
        <w:t> </w:t>
      </w:r>
      <w:r>
        <w:rPr/>
        <w:t>of</w:t>
      </w:r>
      <w:r>
        <w:rPr>
          <w:spacing w:val="-19"/>
        </w:rPr>
        <w:t> </w:t>
      </w:r>
      <w:r>
        <w:rPr/>
        <w:t>conditions</w:t>
      </w:r>
      <w:r>
        <w:rPr>
          <w:spacing w:val="-16"/>
        </w:rPr>
        <w:t> </w:t>
      </w:r>
      <w:r>
        <w:rPr/>
        <w:t>for which propolis is an extremely helpful natural remedy:</w:t>
      </w:r>
    </w:p>
    <w:p>
      <w:pPr>
        <w:pStyle w:val="ListParagraph"/>
        <w:numPr>
          <w:ilvl w:val="0"/>
          <w:numId w:val="95"/>
        </w:numPr>
        <w:tabs>
          <w:tab w:pos="1032" w:val="left" w:leader="none"/>
        </w:tabs>
        <w:spacing w:line="240" w:lineRule="auto" w:before="202" w:after="0"/>
        <w:ind w:left="1031" w:right="0" w:hanging="415"/>
        <w:jc w:val="both"/>
        <w:rPr>
          <w:sz w:val="38"/>
        </w:rPr>
      </w:pPr>
      <w:r>
        <w:rPr>
          <w:sz w:val="38"/>
        </w:rPr>
        <w:t>Abscesses</w:t>
      </w:r>
    </w:p>
    <w:p>
      <w:pPr>
        <w:pStyle w:val="ListParagraph"/>
        <w:numPr>
          <w:ilvl w:val="0"/>
          <w:numId w:val="95"/>
        </w:numPr>
        <w:tabs>
          <w:tab w:pos="1032" w:val="left" w:leader="none"/>
        </w:tabs>
        <w:spacing w:line="240" w:lineRule="auto" w:before="184" w:after="0"/>
        <w:ind w:left="1031" w:right="0" w:hanging="415"/>
        <w:jc w:val="both"/>
        <w:rPr>
          <w:sz w:val="38"/>
        </w:rPr>
      </w:pPr>
      <w:r>
        <w:rPr>
          <w:sz w:val="38"/>
        </w:rPr>
        <w:t>AIDS</w:t>
      </w:r>
    </w:p>
    <w:p>
      <w:pPr>
        <w:pStyle w:val="ListParagraph"/>
        <w:numPr>
          <w:ilvl w:val="0"/>
          <w:numId w:val="95"/>
        </w:numPr>
        <w:tabs>
          <w:tab w:pos="1032" w:val="left" w:leader="none"/>
        </w:tabs>
        <w:spacing w:line="240" w:lineRule="auto" w:before="184" w:after="0"/>
        <w:ind w:left="1031" w:right="0" w:hanging="415"/>
        <w:jc w:val="both"/>
        <w:rPr>
          <w:sz w:val="38"/>
        </w:rPr>
      </w:pPr>
      <w:r>
        <w:rPr>
          <w:sz w:val="38"/>
        </w:rPr>
        <w:t>Allergies (Hay</w:t>
      </w:r>
      <w:r>
        <w:rPr>
          <w:spacing w:val="2"/>
          <w:sz w:val="38"/>
        </w:rPr>
        <w:t> </w:t>
      </w:r>
      <w:r>
        <w:rPr>
          <w:sz w:val="38"/>
        </w:rPr>
        <w:t>fever)</w:t>
      </w:r>
    </w:p>
    <w:p>
      <w:pPr>
        <w:pStyle w:val="ListParagraph"/>
        <w:numPr>
          <w:ilvl w:val="0"/>
          <w:numId w:val="95"/>
        </w:numPr>
        <w:tabs>
          <w:tab w:pos="1032" w:val="left" w:leader="none"/>
        </w:tabs>
        <w:spacing w:line="240" w:lineRule="auto" w:before="183" w:after="0"/>
        <w:ind w:left="1031" w:right="0" w:hanging="415"/>
        <w:jc w:val="both"/>
        <w:rPr>
          <w:sz w:val="38"/>
        </w:rPr>
      </w:pPr>
      <w:r>
        <w:rPr>
          <w:sz w:val="38"/>
        </w:rPr>
        <w:t>Ageing complaints</w:t>
      </w:r>
      <w:r>
        <w:rPr>
          <w:spacing w:val="-2"/>
          <w:sz w:val="38"/>
        </w:rPr>
        <w:t> </w:t>
      </w:r>
      <w:r>
        <w:rPr>
          <w:sz w:val="38"/>
        </w:rPr>
        <w:t>(anti-ageing)</w:t>
      </w:r>
    </w:p>
    <w:p>
      <w:pPr>
        <w:pStyle w:val="ListParagraph"/>
        <w:numPr>
          <w:ilvl w:val="0"/>
          <w:numId w:val="95"/>
        </w:numPr>
        <w:tabs>
          <w:tab w:pos="1032" w:val="left" w:leader="none"/>
        </w:tabs>
        <w:spacing w:line="240" w:lineRule="auto" w:before="184" w:after="0"/>
        <w:ind w:left="1031" w:right="0" w:hanging="415"/>
        <w:jc w:val="both"/>
        <w:rPr>
          <w:sz w:val="38"/>
        </w:rPr>
      </w:pPr>
      <w:r>
        <w:rPr>
          <w:sz w:val="38"/>
        </w:rPr>
        <w:t>Immunodeficiency</w:t>
      </w:r>
    </w:p>
    <w:p>
      <w:pPr>
        <w:pStyle w:val="ListParagraph"/>
        <w:numPr>
          <w:ilvl w:val="0"/>
          <w:numId w:val="95"/>
        </w:numPr>
        <w:tabs>
          <w:tab w:pos="1032" w:val="left" w:leader="none"/>
        </w:tabs>
        <w:spacing w:line="240" w:lineRule="auto" w:before="186" w:after="0"/>
        <w:ind w:left="1031" w:right="0" w:hanging="415"/>
        <w:jc w:val="both"/>
        <w:rPr>
          <w:sz w:val="38"/>
        </w:rPr>
      </w:pPr>
      <w:r>
        <w:rPr>
          <w:sz w:val="38"/>
        </w:rPr>
        <w:t>Tonsillitis</w:t>
      </w:r>
    </w:p>
    <w:p>
      <w:pPr>
        <w:pStyle w:val="ListParagraph"/>
        <w:numPr>
          <w:ilvl w:val="0"/>
          <w:numId w:val="95"/>
        </w:numPr>
        <w:tabs>
          <w:tab w:pos="1032" w:val="left" w:leader="none"/>
        </w:tabs>
        <w:spacing w:line="240" w:lineRule="auto" w:before="184" w:after="0"/>
        <w:ind w:left="1031" w:right="0" w:hanging="415"/>
        <w:jc w:val="both"/>
        <w:rPr>
          <w:sz w:val="38"/>
        </w:rPr>
      </w:pPr>
      <w:r>
        <w:rPr>
          <w:sz w:val="38"/>
        </w:rPr>
        <w:t>Gingivitis</w:t>
      </w:r>
    </w:p>
    <w:p>
      <w:pPr>
        <w:pStyle w:val="ListParagraph"/>
        <w:numPr>
          <w:ilvl w:val="0"/>
          <w:numId w:val="95"/>
        </w:numPr>
        <w:tabs>
          <w:tab w:pos="1032" w:val="left" w:leader="none"/>
        </w:tabs>
        <w:spacing w:line="240" w:lineRule="auto" w:before="184" w:after="0"/>
        <w:ind w:left="1031" w:right="0" w:hanging="415"/>
        <w:jc w:val="both"/>
        <w:rPr>
          <w:sz w:val="38"/>
        </w:rPr>
      </w:pPr>
      <w:r>
        <w:rPr>
          <w:sz w:val="38"/>
        </w:rPr>
        <w:t>Toothache</w:t>
      </w:r>
    </w:p>
    <w:p>
      <w:pPr>
        <w:pStyle w:val="ListParagraph"/>
        <w:numPr>
          <w:ilvl w:val="0"/>
          <w:numId w:val="95"/>
        </w:numPr>
        <w:tabs>
          <w:tab w:pos="1032" w:val="left" w:leader="none"/>
        </w:tabs>
        <w:spacing w:line="240" w:lineRule="auto" w:before="183" w:after="0"/>
        <w:ind w:left="1031" w:right="0" w:hanging="415"/>
        <w:jc w:val="both"/>
        <w:rPr>
          <w:sz w:val="38"/>
        </w:rPr>
      </w:pPr>
      <w:r>
        <w:rPr>
          <w:sz w:val="38"/>
        </w:rPr>
        <w:t>Acne</w:t>
      </w:r>
    </w:p>
    <w:p>
      <w:pPr>
        <w:pStyle w:val="ListParagraph"/>
        <w:numPr>
          <w:ilvl w:val="0"/>
          <w:numId w:val="95"/>
        </w:numPr>
        <w:tabs>
          <w:tab w:pos="1032" w:val="left" w:leader="none"/>
        </w:tabs>
        <w:spacing w:line="240" w:lineRule="auto" w:before="186" w:after="0"/>
        <w:ind w:left="1031" w:right="0" w:hanging="415"/>
        <w:jc w:val="both"/>
        <w:rPr>
          <w:sz w:val="38"/>
        </w:rPr>
      </w:pPr>
      <w:r>
        <w:rPr>
          <w:sz w:val="38"/>
        </w:rPr>
        <w:t>Bronchitis</w:t>
      </w:r>
    </w:p>
    <w:p>
      <w:pPr>
        <w:pStyle w:val="ListParagraph"/>
        <w:numPr>
          <w:ilvl w:val="0"/>
          <w:numId w:val="95"/>
        </w:numPr>
        <w:tabs>
          <w:tab w:pos="1032" w:val="left" w:leader="none"/>
        </w:tabs>
        <w:spacing w:line="240" w:lineRule="auto" w:before="184" w:after="0"/>
        <w:ind w:left="1031" w:right="0" w:hanging="415"/>
        <w:jc w:val="both"/>
        <w:rPr>
          <w:sz w:val="38"/>
        </w:rPr>
      </w:pPr>
      <w:r>
        <w:rPr>
          <w:sz w:val="38"/>
        </w:rPr>
        <w:t>Cardiovascular</w:t>
      </w:r>
      <w:r>
        <w:rPr>
          <w:spacing w:val="1"/>
          <w:sz w:val="38"/>
        </w:rPr>
        <w:t> </w:t>
      </w:r>
      <w:r>
        <w:rPr>
          <w:sz w:val="38"/>
        </w:rPr>
        <w:t>disease</w:t>
      </w:r>
    </w:p>
    <w:p>
      <w:pPr>
        <w:pStyle w:val="ListParagraph"/>
        <w:numPr>
          <w:ilvl w:val="0"/>
          <w:numId w:val="95"/>
        </w:numPr>
        <w:tabs>
          <w:tab w:pos="1032" w:val="left" w:leader="none"/>
        </w:tabs>
        <w:spacing w:line="240" w:lineRule="auto" w:before="184" w:after="0"/>
        <w:ind w:left="1031" w:right="0" w:hanging="415"/>
        <w:jc w:val="both"/>
        <w:rPr>
          <w:sz w:val="38"/>
        </w:rPr>
      </w:pPr>
      <w:r>
        <w:rPr>
          <w:sz w:val="38"/>
        </w:rPr>
        <w:t>High blood</w:t>
      </w:r>
      <w:r>
        <w:rPr>
          <w:spacing w:val="-1"/>
          <w:sz w:val="38"/>
        </w:rPr>
        <w:t> </w:t>
      </w:r>
      <w:r>
        <w:rPr>
          <w:sz w:val="38"/>
        </w:rPr>
        <w:t>pressure</w:t>
      </w:r>
    </w:p>
    <w:p>
      <w:pPr>
        <w:spacing w:after="0" w:line="240" w:lineRule="auto"/>
        <w:jc w:val="both"/>
        <w:rPr>
          <w:sz w:val="38"/>
        </w:rPr>
        <w:sectPr>
          <w:footerReference w:type="default" r:id="rId295"/>
          <w:pgSz w:w="14270" w:h="16850"/>
          <w:pgMar w:footer="1891" w:header="0" w:top="1320" w:bottom="2080" w:left="800" w:right="1280"/>
          <w:pgNumType w:start="1245"/>
        </w:sectPr>
      </w:pPr>
    </w:p>
    <w:p>
      <w:pPr>
        <w:pStyle w:val="ListParagraph"/>
        <w:numPr>
          <w:ilvl w:val="0"/>
          <w:numId w:val="95"/>
        </w:numPr>
        <w:tabs>
          <w:tab w:pos="1031" w:val="left" w:leader="none"/>
          <w:tab w:pos="1032" w:val="left" w:leader="none"/>
        </w:tabs>
        <w:spacing w:line="240" w:lineRule="auto" w:before="53" w:after="0"/>
        <w:ind w:left="1031" w:right="0" w:hanging="415"/>
        <w:jc w:val="left"/>
        <w:rPr>
          <w:sz w:val="38"/>
        </w:rPr>
      </w:pPr>
      <w:r>
        <w:rPr>
          <w:sz w:val="38"/>
        </w:rPr>
        <w:t>Arteriosclerosis</w:t>
      </w:r>
    </w:p>
    <w:p>
      <w:pPr>
        <w:pStyle w:val="ListParagraph"/>
        <w:numPr>
          <w:ilvl w:val="0"/>
          <w:numId w:val="95"/>
        </w:numPr>
        <w:tabs>
          <w:tab w:pos="1031" w:val="left" w:leader="none"/>
          <w:tab w:pos="1032" w:val="left" w:leader="none"/>
        </w:tabs>
        <w:spacing w:line="240" w:lineRule="auto" w:before="186" w:after="0"/>
        <w:ind w:left="1031" w:right="0" w:hanging="415"/>
        <w:jc w:val="left"/>
        <w:rPr>
          <w:sz w:val="38"/>
        </w:rPr>
      </w:pPr>
      <w:r>
        <w:rPr>
          <w:sz w:val="38"/>
        </w:rPr>
        <w:t>High cholesterol</w:t>
      </w:r>
    </w:p>
    <w:p>
      <w:pPr>
        <w:pStyle w:val="ListParagraph"/>
        <w:numPr>
          <w:ilvl w:val="0"/>
          <w:numId w:val="95"/>
        </w:numPr>
        <w:tabs>
          <w:tab w:pos="1031" w:val="left" w:leader="none"/>
          <w:tab w:pos="1032" w:val="left" w:leader="none"/>
        </w:tabs>
        <w:spacing w:line="240" w:lineRule="auto" w:before="184" w:after="0"/>
        <w:ind w:left="1031" w:right="0" w:hanging="415"/>
        <w:jc w:val="left"/>
        <w:rPr>
          <w:sz w:val="38"/>
        </w:rPr>
      </w:pPr>
      <w:r>
        <w:rPr>
          <w:sz w:val="38"/>
        </w:rPr>
        <w:t>Cardiac</w:t>
      </w:r>
      <w:r>
        <w:rPr>
          <w:spacing w:val="-1"/>
          <w:sz w:val="38"/>
        </w:rPr>
        <w:t> </w:t>
      </w:r>
      <w:r>
        <w:rPr>
          <w:sz w:val="38"/>
        </w:rPr>
        <w:t>arrhythmia</w:t>
      </w:r>
    </w:p>
    <w:p>
      <w:pPr>
        <w:pStyle w:val="ListParagraph"/>
        <w:numPr>
          <w:ilvl w:val="0"/>
          <w:numId w:val="95"/>
        </w:numPr>
        <w:tabs>
          <w:tab w:pos="1031" w:val="left" w:leader="none"/>
          <w:tab w:pos="1032" w:val="left" w:leader="none"/>
        </w:tabs>
        <w:spacing w:line="240" w:lineRule="auto" w:before="184" w:after="0"/>
        <w:ind w:left="1031" w:right="0" w:hanging="415"/>
        <w:jc w:val="left"/>
        <w:rPr>
          <w:sz w:val="38"/>
        </w:rPr>
      </w:pPr>
      <w:r>
        <w:rPr>
          <w:sz w:val="38"/>
        </w:rPr>
        <w:t>Asthma</w:t>
      </w:r>
    </w:p>
    <w:p>
      <w:pPr>
        <w:pStyle w:val="ListParagraph"/>
        <w:numPr>
          <w:ilvl w:val="0"/>
          <w:numId w:val="95"/>
        </w:numPr>
        <w:tabs>
          <w:tab w:pos="1031" w:val="left" w:leader="none"/>
          <w:tab w:pos="1032" w:val="left" w:leader="none"/>
        </w:tabs>
        <w:spacing w:line="240" w:lineRule="auto" w:before="183" w:after="0"/>
        <w:ind w:left="1031" w:right="0" w:hanging="415"/>
        <w:jc w:val="left"/>
        <w:rPr>
          <w:sz w:val="38"/>
        </w:rPr>
      </w:pPr>
      <w:r>
        <w:rPr>
          <w:sz w:val="38"/>
        </w:rPr>
        <w:t>Colds/sore</w:t>
      </w:r>
      <w:r>
        <w:rPr>
          <w:spacing w:val="-3"/>
          <w:sz w:val="38"/>
        </w:rPr>
        <w:t> </w:t>
      </w:r>
      <w:r>
        <w:rPr>
          <w:sz w:val="38"/>
        </w:rPr>
        <w:t>throat</w:t>
      </w:r>
    </w:p>
    <w:p>
      <w:pPr>
        <w:pStyle w:val="ListParagraph"/>
        <w:numPr>
          <w:ilvl w:val="0"/>
          <w:numId w:val="95"/>
        </w:numPr>
        <w:tabs>
          <w:tab w:pos="1031" w:val="left" w:leader="none"/>
          <w:tab w:pos="1032" w:val="left" w:leader="none"/>
        </w:tabs>
        <w:spacing w:line="240" w:lineRule="auto" w:before="184" w:after="0"/>
        <w:ind w:left="1031" w:right="0" w:hanging="415"/>
        <w:jc w:val="left"/>
        <w:rPr>
          <w:sz w:val="38"/>
        </w:rPr>
      </w:pPr>
      <w:r>
        <w:rPr>
          <w:sz w:val="38"/>
        </w:rPr>
        <w:t>Flu</w:t>
      </w:r>
    </w:p>
    <w:p>
      <w:pPr>
        <w:pStyle w:val="ListParagraph"/>
        <w:numPr>
          <w:ilvl w:val="0"/>
          <w:numId w:val="95"/>
        </w:numPr>
        <w:tabs>
          <w:tab w:pos="1031" w:val="left" w:leader="none"/>
          <w:tab w:pos="1032" w:val="left" w:leader="none"/>
        </w:tabs>
        <w:spacing w:line="240" w:lineRule="auto" w:before="186" w:after="0"/>
        <w:ind w:left="1031" w:right="0" w:hanging="415"/>
        <w:jc w:val="left"/>
        <w:rPr>
          <w:sz w:val="38"/>
        </w:rPr>
      </w:pPr>
      <w:r>
        <w:rPr>
          <w:sz w:val="38"/>
        </w:rPr>
        <w:t>Sore throat</w:t>
      </w:r>
    </w:p>
    <w:p>
      <w:pPr>
        <w:pStyle w:val="ListParagraph"/>
        <w:numPr>
          <w:ilvl w:val="0"/>
          <w:numId w:val="95"/>
        </w:numPr>
        <w:tabs>
          <w:tab w:pos="1031" w:val="left" w:leader="none"/>
          <w:tab w:pos="1032" w:val="left" w:leader="none"/>
        </w:tabs>
        <w:spacing w:line="240" w:lineRule="auto" w:before="184" w:after="0"/>
        <w:ind w:left="1031" w:right="0" w:hanging="415"/>
        <w:jc w:val="left"/>
        <w:rPr>
          <w:sz w:val="38"/>
        </w:rPr>
      </w:pPr>
      <w:r>
        <w:rPr>
          <w:sz w:val="38"/>
        </w:rPr>
        <w:t>Otitis</w:t>
      </w:r>
    </w:p>
    <w:p>
      <w:pPr>
        <w:pStyle w:val="ListParagraph"/>
        <w:numPr>
          <w:ilvl w:val="0"/>
          <w:numId w:val="95"/>
        </w:numPr>
        <w:tabs>
          <w:tab w:pos="1031" w:val="left" w:leader="none"/>
          <w:tab w:pos="1032" w:val="left" w:leader="none"/>
        </w:tabs>
        <w:spacing w:line="240" w:lineRule="auto" w:before="184" w:after="0"/>
        <w:ind w:left="1031" w:right="0" w:hanging="415"/>
        <w:jc w:val="left"/>
        <w:rPr>
          <w:sz w:val="38"/>
        </w:rPr>
      </w:pPr>
      <w:r>
        <w:rPr>
          <w:sz w:val="38"/>
        </w:rPr>
        <w:t>Cystitis</w:t>
      </w:r>
    </w:p>
    <w:p>
      <w:pPr>
        <w:pStyle w:val="ListParagraph"/>
        <w:numPr>
          <w:ilvl w:val="0"/>
          <w:numId w:val="95"/>
        </w:numPr>
        <w:tabs>
          <w:tab w:pos="1031" w:val="left" w:leader="none"/>
          <w:tab w:pos="1032" w:val="left" w:leader="none"/>
        </w:tabs>
        <w:spacing w:line="240" w:lineRule="auto" w:before="183" w:after="0"/>
        <w:ind w:left="1031" w:right="0" w:hanging="415"/>
        <w:jc w:val="left"/>
        <w:rPr>
          <w:sz w:val="38"/>
        </w:rPr>
      </w:pPr>
      <w:r>
        <w:rPr>
          <w:sz w:val="38"/>
        </w:rPr>
        <w:t>Conjunctivitis</w:t>
      </w:r>
    </w:p>
    <w:p>
      <w:pPr>
        <w:pStyle w:val="ListParagraph"/>
        <w:numPr>
          <w:ilvl w:val="0"/>
          <w:numId w:val="95"/>
        </w:numPr>
        <w:tabs>
          <w:tab w:pos="1031" w:val="left" w:leader="none"/>
          <w:tab w:pos="1032" w:val="left" w:leader="none"/>
        </w:tabs>
        <w:spacing w:line="240" w:lineRule="auto" w:before="186" w:after="0"/>
        <w:ind w:left="1031" w:right="0" w:hanging="415"/>
        <w:jc w:val="left"/>
        <w:rPr>
          <w:sz w:val="38"/>
        </w:rPr>
      </w:pPr>
      <w:r>
        <w:rPr>
          <w:sz w:val="38"/>
        </w:rPr>
        <w:t>Joint</w:t>
      </w:r>
      <w:r>
        <w:rPr>
          <w:spacing w:val="-1"/>
          <w:sz w:val="38"/>
        </w:rPr>
        <w:t> </w:t>
      </w:r>
      <w:r>
        <w:rPr>
          <w:sz w:val="38"/>
        </w:rPr>
        <w:t>inflammation</w:t>
      </w:r>
    </w:p>
    <w:p>
      <w:pPr>
        <w:pStyle w:val="ListParagraph"/>
        <w:numPr>
          <w:ilvl w:val="0"/>
          <w:numId w:val="95"/>
        </w:numPr>
        <w:tabs>
          <w:tab w:pos="1031" w:val="left" w:leader="none"/>
          <w:tab w:pos="1032" w:val="left" w:leader="none"/>
        </w:tabs>
        <w:spacing w:line="240" w:lineRule="auto" w:before="184" w:after="0"/>
        <w:ind w:left="1031" w:right="0" w:hanging="415"/>
        <w:jc w:val="left"/>
        <w:rPr>
          <w:sz w:val="38"/>
        </w:rPr>
      </w:pPr>
      <w:r>
        <w:rPr>
          <w:sz w:val="38"/>
        </w:rPr>
        <w:t>Lyme</w:t>
      </w:r>
      <w:r>
        <w:rPr>
          <w:spacing w:val="1"/>
          <w:sz w:val="38"/>
        </w:rPr>
        <w:t> </w:t>
      </w:r>
      <w:r>
        <w:rPr>
          <w:sz w:val="38"/>
        </w:rPr>
        <w:t>disease</w:t>
      </w:r>
    </w:p>
    <w:p>
      <w:pPr>
        <w:pStyle w:val="ListParagraph"/>
        <w:numPr>
          <w:ilvl w:val="0"/>
          <w:numId w:val="95"/>
        </w:numPr>
        <w:tabs>
          <w:tab w:pos="1031" w:val="left" w:leader="none"/>
          <w:tab w:pos="1032" w:val="left" w:leader="none"/>
        </w:tabs>
        <w:spacing w:line="240" w:lineRule="auto" w:before="184" w:after="0"/>
        <w:ind w:left="1031" w:right="0" w:hanging="415"/>
        <w:jc w:val="left"/>
        <w:rPr>
          <w:sz w:val="38"/>
        </w:rPr>
      </w:pPr>
      <w:r>
        <w:rPr>
          <w:sz w:val="38"/>
        </w:rPr>
        <w:t>Skin</w:t>
      </w:r>
      <w:r>
        <w:rPr>
          <w:spacing w:val="-2"/>
          <w:sz w:val="38"/>
        </w:rPr>
        <w:t> </w:t>
      </w:r>
      <w:r>
        <w:rPr>
          <w:sz w:val="38"/>
        </w:rPr>
        <w:t>fungus</w:t>
      </w:r>
    </w:p>
    <w:p>
      <w:pPr>
        <w:pStyle w:val="ListParagraph"/>
        <w:numPr>
          <w:ilvl w:val="0"/>
          <w:numId w:val="95"/>
        </w:numPr>
        <w:tabs>
          <w:tab w:pos="1031" w:val="left" w:leader="none"/>
          <w:tab w:pos="1032" w:val="left" w:leader="none"/>
        </w:tabs>
        <w:spacing w:line="240" w:lineRule="auto" w:before="184" w:after="0"/>
        <w:ind w:left="1031" w:right="0" w:hanging="415"/>
        <w:jc w:val="left"/>
        <w:rPr>
          <w:sz w:val="38"/>
        </w:rPr>
      </w:pPr>
      <w:r>
        <w:rPr>
          <w:sz w:val="38"/>
        </w:rPr>
        <w:t>Athlete’s</w:t>
      </w:r>
      <w:r>
        <w:rPr>
          <w:spacing w:val="-2"/>
          <w:sz w:val="38"/>
        </w:rPr>
        <w:t> </w:t>
      </w:r>
      <w:r>
        <w:rPr>
          <w:sz w:val="38"/>
        </w:rPr>
        <w:t>foot</w:t>
      </w:r>
    </w:p>
    <w:p>
      <w:pPr>
        <w:pStyle w:val="ListParagraph"/>
        <w:numPr>
          <w:ilvl w:val="0"/>
          <w:numId w:val="95"/>
        </w:numPr>
        <w:tabs>
          <w:tab w:pos="1031" w:val="left" w:leader="none"/>
          <w:tab w:pos="1032" w:val="left" w:leader="none"/>
        </w:tabs>
        <w:spacing w:line="240" w:lineRule="auto" w:before="183" w:after="0"/>
        <w:ind w:left="1031" w:right="0" w:hanging="415"/>
        <w:jc w:val="left"/>
        <w:rPr>
          <w:sz w:val="38"/>
        </w:rPr>
      </w:pPr>
      <w:r>
        <w:rPr>
          <w:sz w:val="38"/>
        </w:rPr>
        <w:t>Corns</w:t>
      </w:r>
    </w:p>
    <w:p>
      <w:pPr>
        <w:pStyle w:val="ListParagraph"/>
        <w:numPr>
          <w:ilvl w:val="0"/>
          <w:numId w:val="95"/>
        </w:numPr>
        <w:tabs>
          <w:tab w:pos="1031" w:val="left" w:leader="none"/>
          <w:tab w:pos="1032" w:val="left" w:leader="none"/>
        </w:tabs>
        <w:spacing w:line="240" w:lineRule="auto" w:before="186" w:after="0"/>
        <w:ind w:left="1031" w:right="0" w:hanging="415"/>
        <w:jc w:val="left"/>
        <w:rPr>
          <w:sz w:val="38"/>
        </w:rPr>
      </w:pPr>
      <w:r>
        <w:rPr>
          <w:sz w:val="38"/>
        </w:rPr>
        <w:t>Shingles</w:t>
      </w:r>
    </w:p>
    <w:p>
      <w:pPr>
        <w:pStyle w:val="ListParagraph"/>
        <w:numPr>
          <w:ilvl w:val="0"/>
          <w:numId w:val="95"/>
        </w:numPr>
        <w:tabs>
          <w:tab w:pos="1031" w:val="left" w:leader="none"/>
          <w:tab w:pos="1032" w:val="left" w:leader="none"/>
        </w:tabs>
        <w:spacing w:line="240" w:lineRule="auto" w:before="184" w:after="0"/>
        <w:ind w:left="1031" w:right="0" w:hanging="415"/>
        <w:jc w:val="left"/>
        <w:rPr>
          <w:sz w:val="38"/>
        </w:rPr>
      </w:pPr>
      <w:r>
        <w:rPr>
          <w:sz w:val="38"/>
        </w:rPr>
        <w:t>Intestinal inflammation</w:t>
      </w:r>
    </w:p>
    <w:p>
      <w:pPr>
        <w:pStyle w:val="ListParagraph"/>
        <w:numPr>
          <w:ilvl w:val="0"/>
          <w:numId w:val="95"/>
        </w:numPr>
        <w:tabs>
          <w:tab w:pos="1031" w:val="left" w:leader="none"/>
          <w:tab w:pos="1032" w:val="left" w:leader="none"/>
        </w:tabs>
        <w:spacing w:line="240" w:lineRule="auto" w:before="184" w:after="0"/>
        <w:ind w:left="1031" w:right="0" w:hanging="415"/>
        <w:jc w:val="left"/>
        <w:rPr>
          <w:sz w:val="38"/>
        </w:rPr>
      </w:pPr>
      <w:r>
        <w:rPr>
          <w:sz w:val="38"/>
        </w:rPr>
        <w:t>Gastritis</w:t>
      </w:r>
    </w:p>
    <w:p>
      <w:pPr>
        <w:pStyle w:val="ListParagraph"/>
        <w:numPr>
          <w:ilvl w:val="0"/>
          <w:numId w:val="95"/>
        </w:numPr>
        <w:tabs>
          <w:tab w:pos="1031" w:val="left" w:leader="none"/>
          <w:tab w:pos="1032" w:val="left" w:leader="none"/>
        </w:tabs>
        <w:spacing w:line="240" w:lineRule="auto" w:before="184" w:after="0"/>
        <w:ind w:left="1031" w:right="0" w:hanging="415"/>
        <w:jc w:val="left"/>
        <w:rPr>
          <w:sz w:val="38"/>
        </w:rPr>
      </w:pPr>
      <w:r>
        <w:rPr>
          <w:sz w:val="38"/>
        </w:rPr>
        <w:t>Duodenitis</w:t>
      </w:r>
    </w:p>
    <w:p>
      <w:pPr>
        <w:spacing w:after="0" w:line="240" w:lineRule="auto"/>
        <w:jc w:val="left"/>
        <w:rPr>
          <w:sz w:val="38"/>
        </w:rPr>
        <w:sectPr>
          <w:pgSz w:w="14270" w:h="16850"/>
          <w:pgMar w:header="0" w:footer="1891" w:top="1360" w:bottom="2080" w:left="800" w:right="1280"/>
        </w:sectPr>
      </w:pPr>
    </w:p>
    <w:p>
      <w:pPr>
        <w:pStyle w:val="ListParagraph"/>
        <w:numPr>
          <w:ilvl w:val="0"/>
          <w:numId w:val="95"/>
        </w:numPr>
        <w:tabs>
          <w:tab w:pos="1031" w:val="left" w:leader="none"/>
          <w:tab w:pos="1032" w:val="left" w:leader="none"/>
        </w:tabs>
        <w:spacing w:line="240" w:lineRule="auto" w:before="53" w:after="0"/>
        <w:ind w:left="1031" w:right="0" w:hanging="415"/>
        <w:jc w:val="left"/>
        <w:rPr>
          <w:sz w:val="38"/>
        </w:rPr>
      </w:pPr>
      <w:r>
        <w:rPr>
          <w:sz w:val="38"/>
        </w:rPr>
        <w:t>Intestinal infections</w:t>
      </w:r>
    </w:p>
    <w:p>
      <w:pPr>
        <w:pStyle w:val="ListParagraph"/>
        <w:numPr>
          <w:ilvl w:val="0"/>
          <w:numId w:val="95"/>
        </w:numPr>
        <w:tabs>
          <w:tab w:pos="1031" w:val="left" w:leader="none"/>
          <w:tab w:pos="1032" w:val="left" w:leader="none"/>
        </w:tabs>
        <w:spacing w:line="240" w:lineRule="auto" w:before="186" w:after="0"/>
        <w:ind w:left="1031" w:right="0" w:hanging="415"/>
        <w:jc w:val="left"/>
        <w:rPr>
          <w:sz w:val="38"/>
        </w:rPr>
      </w:pPr>
      <w:r>
        <w:rPr>
          <w:sz w:val="38"/>
        </w:rPr>
        <w:t>Urinary tract</w:t>
      </w:r>
      <w:r>
        <w:rPr>
          <w:spacing w:val="-2"/>
          <w:sz w:val="38"/>
        </w:rPr>
        <w:t> </w:t>
      </w:r>
      <w:r>
        <w:rPr>
          <w:sz w:val="38"/>
        </w:rPr>
        <w:t>infections</w:t>
      </w:r>
    </w:p>
    <w:p>
      <w:pPr>
        <w:pStyle w:val="ListParagraph"/>
        <w:numPr>
          <w:ilvl w:val="0"/>
          <w:numId w:val="95"/>
        </w:numPr>
        <w:tabs>
          <w:tab w:pos="1031" w:val="left" w:leader="none"/>
          <w:tab w:pos="1032" w:val="left" w:leader="none"/>
        </w:tabs>
        <w:spacing w:line="240" w:lineRule="auto" w:before="184" w:after="0"/>
        <w:ind w:left="1031" w:right="0" w:hanging="415"/>
        <w:jc w:val="left"/>
        <w:rPr>
          <w:sz w:val="38"/>
        </w:rPr>
      </w:pPr>
      <w:r>
        <w:rPr>
          <w:sz w:val="38"/>
        </w:rPr>
        <w:t>Haemorrhoids</w:t>
      </w:r>
    </w:p>
    <w:p>
      <w:pPr>
        <w:pStyle w:val="ListParagraph"/>
        <w:numPr>
          <w:ilvl w:val="0"/>
          <w:numId w:val="95"/>
        </w:numPr>
        <w:tabs>
          <w:tab w:pos="1031" w:val="left" w:leader="none"/>
          <w:tab w:pos="1032" w:val="left" w:leader="none"/>
        </w:tabs>
        <w:spacing w:line="240" w:lineRule="auto" w:before="184" w:after="0"/>
        <w:ind w:left="1031" w:right="0" w:hanging="415"/>
        <w:jc w:val="left"/>
        <w:rPr>
          <w:sz w:val="38"/>
        </w:rPr>
      </w:pPr>
      <w:r>
        <w:rPr>
          <w:sz w:val="38"/>
        </w:rPr>
        <w:t>Ulcers</w:t>
      </w:r>
    </w:p>
    <w:p>
      <w:pPr>
        <w:pStyle w:val="ListParagraph"/>
        <w:numPr>
          <w:ilvl w:val="0"/>
          <w:numId w:val="95"/>
        </w:numPr>
        <w:tabs>
          <w:tab w:pos="1031" w:val="left" w:leader="none"/>
          <w:tab w:pos="1032" w:val="left" w:leader="none"/>
        </w:tabs>
        <w:spacing w:line="240" w:lineRule="auto" w:before="183" w:after="0"/>
        <w:ind w:left="1031" w:right="0" w:hanging="415"/>
        <w:jc w:val="left"/>
        <w:rPr>
          <w:sz w:val="38"/>
        </w:rPr>
      </w:pPr>
      <w:r>
        <w:rPr>
          <w:sz w:val="38"/>
        </w:rPr>
        <w:t>Menopausal</w:t>
      </w:r>
      <w:r>
        <w:rPr>
          <w:spacing w:val="-2"/>
          <w:sz w:val="38"/>
        </w:rPr>
        <w:t> </w:t>
      </w:r>
      <w:r>
        <w:rPr>
          <w:sz w:val="38"/>
        </w:rPr>
        <w:t>complaints</w:t>
      </w:r>
    </w:p>
    <w:p>
      <w:pPr>
        <w:pStyle w:val="ListParagraph"/>
        <w:numPr>
          <w:ilvl w:val="0"/>
          <w:numId w:val="95"/>
        </w:numPr>
        <w:tabs>
          <w:tab w:pos="1031" w:val="left" w:leader="none"/>
          <w:tab w:pos="1032" w:val="left" w:leader="none"/>
        </w:tabs>
        <w:spacing w:line="240" w:lineRule="auto" w:before="184" w:after="0"/>
        <w:ind w:left="1031" w:right="0" w:hanging="415"/>
        <w:jc w:val="left"/>
        <w:rPr>
          <w:sz w:val="38"/>
        </w:rPr>
      </w:pPr>
      <w:r>
        <w:rPr>
          <w:sz w:val="38"/>
        </w:rPr>
        <w:t>Heavy metal</w:t>
      </w:r>
      <w:r>
        <w:rPr>
          <w:spacing w:val="-2"/>
          <w:sz w:val="38"/>
        </w:rPr>
        <w:t> </w:t>
      </w:r>
      <w:r>
        <w:rPr>
          <w:sz w:val="38"/>
        </w:rPr>
        <w:t>poisoning</w:t>
      </w:r>
    </w:p>
    <w:p>
      <w:pPr>
        <w:pStyle w:val="ListParagraph"/>
        <w:numPr>
          <w:ilvl w:val="0"/>
          <w:numId w:val="95"/>
        </w:numPr>
        <w:tabs>
          <w:tab w:pos="1031" w:val="left" w:leader="none"/>
          <w:tab w:pos="1032" w:val="left" w:leader="none"/>
        </w:tabs>
        <w:spacing w:line="240" w:lineRule="auto" w:before="186" w:after="0"/>
        <w:ind w:left="1031" w:right="0" w:hanging="415"/>
        <w:jc w:val="left"/>
        <w:rPr>
          <w:sz w:val="38"/>
        </w:rPr>
      </w:pPr>
      <w:r>
        <w:rPr>
          <w:sz w:val="38"/>
        </w:rPr>
        <w:t>Boils</w:t>
      </w:r>
    </w:p>
    <w:p>
      <w:pPr>
        <w:pStyle w:val="ListParagraph"/>
        <w:numPr>
          <w:ilvl w:val="0"/>
          <w:numId w:val="95"/>
        </w:numPr>
        <w:tabs>
          <w:tab w:pos="1031" w:val="left" w:leader="none"/>
          <w:tab w:pos="1032" w:val="left" w:leader="none"/>
        </w:tabs>
        <w:spacing w:line="240" w:lineRule="auto" w:before="184" w:after="0"/>
        <w:ind w:left="1031" w:right="0" w:hanging="415"/>
        <w:jc w:val="left"/>
        <w:rPr>
          <w:sz w:val="38"/>
        </w:rPr>
      </w:pPr>
      <w:r>
        <w:rPr>
          <w:sz w:val="38"/>
        </w:rPr>
        <w:t>Skin</w:t>
      </w:r>
      <w:r>
        <w:rPr>
          <w:spacing w:val="-2"/>
          <w:sz w:val="38"/>
        </w:rPr>
        <w:t> </w:t>
      </w:r>
      <w:r>
        <w:rPr>
          <w:sz w:val="38"/>
        </w:rPr>
        <w:t>eczema</w:t>
      </w:r>
    </w:p>
    <w:p>
      <w:pPr>
        <w:pStyle w:val="ListParagraph"/>
        <w:numPr>
          <w:ilvl w:val="0"/>
          <w:numId w:val="95"/>
        </w:numPr>
        <w:tabs>
          <w:tab w:pos="1031" w:val="left" w:leader="none"/>
          <w:tab w:pos="1032" w:val="left" w:leader="none"/>
        </w:tabs>
        <w:spacing w:line="240" w:lineRule="auto" w:before="184" w:after="0"/>
        <w:ind w:left="1031" w:right="0" w:hanging="415"/>
        <w:jc w:val="left"/>
        <w:rPr>
          <w:sz w:val="38"/>
        </w:rPr>
      </w:pPr>
      <w:r>
        <w:rPr>
          <w:sz w:val="38"/>
        </w:rPr>
        <w:t>Dementia/memory problems</w:t>
      </w:r>
    </w:p>
    <w:p>
      <w:pPr>
        <w:pStyle w:val="ListParagraph"/>
        <w:numPr>
          <w:ilvl w:val="0"/>
          <w:numId w:val="95"/>
        </w:numPr>
        <w:tabs>
          <w:tab w:pos="1031" w:val="left" w:leader="none"/>
          <w:tab w:pos="1032" w:val="left" w:leader="none"/>
        </w:tabs>
        <w:spacing w:line="240" w:lineRule="auto" w:before="183" w:after="0"/>
        <w:ind w:left="1031" w:right="0" w:hanging="415"/>
        <w:jc w:val="left"/>
        <w:rPr>
          <w:sz w:val="38"/>
        </w:rPr>
      </w:pPr>
      <w:r>
        <w:rPr>
          <w:sz w:val="38"/>
        </w:rPr>
        <w:t>Shingles</w:t>
      </w:r>
    </w:p>
    <w:p>
      <w:pPr>
        <w:pStyle w:val="ListParagraph"/>
        <w:numPr>
          <w:ilvl w:val="0"/>
          <w:numId w:val="95"/>
        </w:numPr>
        <w:tabs>
          <w:tab w:pos="1031" w:val="left" w:leader="none"/>
          <w:tab w:pos="1032" w:val="left" w:leader="none"/>
        </w:tabs>
        <w:spacing w:line="240" w:lineRule="auto" w:before="186" w:after="0"/>
        <w:ind w:left="1031" w:right="0" w:hanging="415"/>
        <w:jc w:val="left"/>
        <w:rPr>
          <w:sz w:val="38"/>
        </w:rPr>
      </w:pPr>
      <w:r>
        <w:rPr>
          <w:sz w:val="38"/>
        </w:rPr>
        <w:t>Psoriasis</w:t>
      </w:r>
    </w:p>
    <w:p>
      <w:pPr>
        <w:pStyle w:val="ListParagraph"/>
        <w:numPr>
          <w:ilvl w:val="0"/>
          <w:numId w:val="95"/>
        </w:numPr>
        <w:tabs>
          <w:tab w:pos="1031" w:val="left" w:leader="none"/>
          <w:tab w:pos="1032" w:val="left" w:leader="none"/>
        </w:tabs>
        <w:spacing w:line="240" w:lineRule="auto" w:before="184" w:after="0"/>
        <w:ind w:left="1031" w:right="0" w:hanging="415"/>
        <w:jc w:val="left"/>
        <w:rPr>
          <w:sz w:val="38"/>
        </w:rPr>
      </w:pPr>
      <w:r>
        <w:rPr>
          <w:sz w:val="38"/>
        </w:rPr>
        <w:t>Cuts</w:t>
      </w:r>
    </w:p>
    <w:p>
      <w:pPr>
        <w:pStyle w:val="ListParagraph"/>
        <w:numPr>
          <w:ilvl w:val="0"/>
          <w:numId w:val="95"/>
        </w:numPr>
        <w:tabs>
          <w:tab w:pos="1031" w:val="left" w:leader="none"/>
          <w:tab w:pos="1032" w:val="left" w:leader="none"/>
        </w:tabs>
        <w:spacing w:line="240" w:lineRule="auto" w:before="184" w:after="0"/>
        <w:ind w:left="1031" w:right="0" w:hanging="415"/>
        <w:jc w:val="left"/>
        <w:rPr>
          <w:sz w:val="38"/>
        </w:rPr>
      </w:pPr>
      <w:r>
        <w:rPr>
          <w:sz w:val="38"/>
        </w:rPr>
        <w:t>Abrasions</w:t>
      </w:r>
    </w:p>
    <w:p>
      <w:pPr>
        <w:pStyle w:val="ListParagraph"/>
        <w:numPr>
          <w:ilvl w:val="0"/>
          <w:numId w:val="95"/>
        </w:numPr>
        <w:tabs>
          <w:tab w:pos="1031" w:val="left" w:leader="none"/>
          <w:tab w:pos="1032" w:val="left" w:leader="none"/>
        </w:tabs>
        <w:spacing w:line="240" w:lineRule="auto" w:before="184" w:after="0"/>
        <w:ind w:left="1031" w:right="0" w:hanging="415"/>
        <w:jc w:val="left"/>
        <w:rPr>
          <w:sz w:val="38"/>
        </w:rPr>
      </w:pPr>
      <w:r>
        <w:rPr>
          <w:sz w:val="38"/>
        </w:rPr>
        <w:t>Bruises</w:t>
      </w:r>
    </w:p>
    <w:p>
      <w:pPr>
        <w:pStyle w:val="ListParagraph"/>
        <w:numPr>
          <w:ilvl w:val="0"/>
          <w:numId w:val="95"/>
        </w:numPr>
        <w:tabs>
          <w:tab w:pos="1031" w:val="left" w:leader="none"/>
          <w:tab w:pos="1032" w:val="left" w:leader="none"/>
        </w:tabs>
        <w:spacing w:line="240" w:lineRule="auto" w:before="183" w:after="0"/>
        <w:ind w:left="1031" w:right="0" w:hanging="415"/>
        <w:jc w:val="left"/>
        <w:rPr>
          <w:sz w:val="38"/>
        </w:rPr>
      </w:pPr>
      <w:r>
        <w:rPr>
          <w:sz w:val="38"/>
        </w:rPr>
        <w:t>Tenosynovitis</w:t>
      </w:r>
    </w:p>
    <w:p>
      <w:pPr>
        <w:pStyle w:val="ListParagraph"/>
        <w:numPr>
          <w:ilvl w:val="0"/>
          <w:numId w:val="95"/>
        </w:numPr>
        <w:tabs>
          <w:tab w:pos="1031" w:val="left" w:leader="none"/>
          <w:tab w:pos="1032" w:val="left" w:leader="none"/>
        </w:tabs>
        <w:spacing w:line="240" w:lineRule="auto" w:before="186" w:after="0"/>
        <w:ind w:left="1031" w:right="0" w:hanging="415"/>
        <w:jc w:val="left"/>
        <w:rPr>
          <w:sz w:val="38"/>
        </w:rPr>
      </w:pPr>
      <w:r>
        <w:rPr>
          <w:sz w:val="38"/>
        </w:rPr>
        <w:t>Itching</w:t>
      </w:r>
    </w:p>
    <w:p>
      <w:pPr>
        <w:pStyle w:val="ListParagraph"/>
        <w:numPr>
          <w:ilvl w:val="0"/>
          <w:numId w:val="95"/>
        </w:numPr>
        <w:tabs>
          <w:tab w:pos="1031" w:val="left" w:leader="none"/>
          <w:tab w:pos="1032" w:val="left" w:leader="none"/>
        </w:tabs>
        <w:spacing w:line="240" w:lineRule="auto" w:before="184" w:after="0"/>
        <w:ind w:left="1031" w:right="0" w:hanging="415"/>
        <w:jc w:val="left"/>
        <w:rPr>
          <w:sz w:val="38"/>
        </w:rPr>
      </w:pPr>
      <w:r>
        <w:rPr>
          <w:sz w:val="38"/>
        </w:rPr>
        <w:t>Nappy</w:t>
      </w:r>
      <w:r>
        <w:rPr>
          <w:spacing w:val="-3"/>
          <w:sz w:val="38"/>
        </w:rPr>
        <w:t> </w:t>
      </w:r>
      <w:r>
        <w:rPr>
          <w:sz w:val="38"/>
        </w:rPr>
        <w:t>rash</w:t>
      </w:r>
    </w:p>
    <w:p>
      <w:pPr>
        <w:pStyle w:val="ListParagraph"/>
        <w:numPr>
          <w:ilvl w:val="0"/>
          <w:numId w:val="95"/>
        </w:numPr>
        <w:tabs>
          <w:tab w:pos="1031" w:val="left" w:leader="none"/>
          <w:tab w:pos="1032" w:val="left" w:leader="none"/>
        </w:tabs>
        <w:spacing w:line="240" w:lineRule="auto" w:before="184" w:after="0"/>
        <w:ind w:left="1031" w:right="0" w:hanging="415"/>
        <w:jc w:val="left"/>
        <w:rPr>
          <w:sz w:val="38"/>
        </w:rPr>
      </w:pPr>
      <w:r>
        <w:rPr>
          <w:sz w:val="38"/>
        </w:rPr>
        <w:t>Tuberculosis</w:t>
      </w:r>
    </w:p>
    <w:p>
      <w:pPr>
        <w:pStyle w:val="ListParagraph"/>
        <w:numPr>
          <w:ilvl w:val="0"/>
          <w:numId w:val="95"/>
        </w:numPr>
        <w:tabs>
          <w:tab w:pos="1031" w:val="left" w:leader="none"/>
          <w:tab w:pos="1032" w:val="left" w:leader="none"/>
        </w:tabs>
        <w:spacing w:line="240" w:lineRule="auto" w:before="184" w:after="0"/>
        <w:ind w:left="1031" w:right="0" w:hanging="415"/>
        <w:jc w:val="left"/>
        <w:rPr>
          <w:sz w:val="38"/>
        </w:rPr>
      </w:pPr>
      <w:r>
        <w:rPr>
          <w:sz w:val="38"/>
        </w:rPr>
        <w:t>Herpes</w:t>
      </w:r>
    </w:p>
    <w:p>
      <w:pPr>
        <w:spacing w:after="0" w:line="240" w:lineRule="auto"/>
        <w:jc w:val="left"/>
        <w:rPr>
          <w:sz w:val="38"/>
        </w:rPr>
        <w:sectPr>
          <w:pgSz w:w="14270" w:h="16850"/>
          <w:pgMar w:header="0" w:footer="1891" w:top="1360" w:bottom="2080" w:left="800" w:right="1280"/>
        </w:sectPr>
      </w:pPr>
    </w:p>
    <w:p>
      <w:pPr>
        <w:pStyle w:val="ListParagraph"/>
        <w:numPr>
          <w:ilvl w:val="0"/>
          <w:numId w:val="95"/>
        </w:numPr>
        <w:tabs>
          <w:tab w:pos="1031" w:val="left" w:leader="none"/>
          <w:tab w:pos="1032" w:val="left" w:leader="none"/>
        </w:tabs>
        <w:spacing w:line="240" w:lineRule="auto" w:before="53" w:after="0"/>
        <w:ind w:left="1031" w:right="0" w:hanging="415"/>
        <w:jc w:val="left"/>
        <w:rPr>
          <w:sz w:val="38"/>
        </w:rPr>
      </w:pPr>
      <w:r>
        <w:rPr>
          <w:sz w:val="38"/>
        </w:rPr>
        <w:t>Neurodermitis</w:t>
      </w:r>
    </w:p>
    <w:p>
      <w:pPr>
        <w:pStyle w:val="ListParagraph"/>
        <w:numPr>
          <w:ilvl w:val="0"/>
          <w:numId w:val="95"/>
        </w:numPr>
        <w:tabs>
          <w:tab w:pos="1031" w:val="left" w:leader="none"/>
          <w:tab w:pos="1032" w:val="left" w:leader="none"/>
        </w:tabs>
        <w:spacing w:line="240" w:lineRule="auto" w:before="186" w:after="0"/>
        <w:ind w:left="1031" w:right="0" w:hanging="415"/>
        <w:jc w:val="left"/>
        <w:rPr>
          <w:sz w:val="38"/>
        </w:rPr>
      </w:pPr>
      <w:r>
        <w:rPr>
          <w:sz w:val="38"/>
        </w:rPr>
        <w:t>Hives</w:t>
      </w:r>
    </w:p>
    <w:p>
      <w:pPr>
        <w:pStyle w:val="ListParagraph"/>
        <w:numPr>
          <w:ilvl w:val="0"/>
          <w:numId w:val="95"/>
        </w:numPr>
        <w:tabs>
          <w:tab w:pos="1031" w:val="left" w:leader="none"/>
          <w:tab w:pos="1032" w:val="left" w:leader="none"/>
        </w:tabs>
        <w:spacing w:line="240" w:lineRule="auto" w:before="184" w:after="0"/>
        <w:ind w:left="1031" w:right="0" w:hanging="415"/>
        <w:jc w:val="left"/>
        <w:rPr>
          <w:sz w:val="38"/>
        </w:rPr>
      </w:pPr>
      <w:r>
        <w:rPr>
          <w:sz w:val="38"/>
        </w:rPr>
        <w:t>Warts</w:t>
      </w:r>
    </w:p>
    <w:p>
      <w:pPr>
        <w:pStyle w:val="ListParagraph"/>
        <w:numPr>
          <w:ilvl w:val="0"/>
          <w:numId w:val="95"/>
        </w:numPr>
        <w:tabs>
          <w:tab w:pos="1031" w:val="left" w:leader="none"/>
          <w:tab w:pos="1032" w:val="left" w:leader="none"/>
        </w:tabs>
        <w:spacing w:line="240" w:lineRule="auto" w:before="184" w:after="0"/>
        <w:ind w:left="1031" w:right="0" w:hanging="415"/>
        <w:jc w:val="left"/>
        <w:rPr>
          <w:sz w:val="38"/>
        </w:rPr>
      </w:pPr>
      <w:r>
        <w:rPr>
          <w:sz w:val="38"/>
        </w:rPr>
        <w:t>Skin</w:t>
      </w:r>
      <w:r>
        <w:rPr>
          <w:spacing w:val="-2"/>
          <w:sz w:val="38"/>
        </w:rPr>
        <w:t> </w:t>
      </w:r>
      <w:r>
        <w:rPr>
          <w:sz w:val="38"/>
        </w:rPr>
        <w:t>burns</w:t>
      </w:r>
    </w:p>
    <w:p>
      <w:pPr>
        <w:pStyle w:val="ListParagraph"/>
        <w:numPr>
          <w:ilvl w:val="0"/>
          <w:numId w:val="95"/>
        </w:numPr>
        <w:tabs>
          <w:tab w:pos="1031" w:val="left" w:leader="none"/>
          <w:tab w:pos="1032" w:val="left" w:leader="none"/>
        </w:tabs>
        <w:spacing w:line="240" w:lineRule="auto" w:before="183" w:after="0"/>
        <w:ind w:left="1031" w:right="0" w:hanging="415"/>
        <w:jc w:val="left"/>
        <w:rPr>
          <w:sz w:val="38"/>
        </w:rPr>
      </w:pPr>
      <w:r>
        <w:rPr>
          <w:sz w:val="38"/>
        </w:rPr>
        <w:t>Sunburn</w:t>
      </w:r>
    </w:p>
    <w:p>
      <w:pPr>
        <w:pStyle w:val="ListParagraph"/>
        <w:numPr>
          <w:ilvl w:val="0"/>
          <w:numId w:val="95"/>
        </w:numPr>
        <w:tabs>
          <w:tab w:pos="1031" w:val="left" w:leader="none"/>
          <w:tab w:pos="1032" w:val="left" w:leader="none"/>
        </w:tabs>
        <w:spacing w:line="240" w:lineRule="auto" w:before="184" w:after="0"/>
        <w:ind w:left="1031" w:right="0" w:hanging="415"/>
        <w:jc w:val="left"/>
        <w:rPr>
          <w:sz w:val="38"/>
        </w:rPr>
      </w:pPr>
      <w:r>
        <w:rPr>
          <w:sz w:val="38"/>
        </w:rPr>
        <w:t>Tennis</w:t>
      </w:r>
      <w:r>
        <w:rPr>
          <w:spacing w:val="-3"/>
          <w:sz w:val="38"/>
        </w:rPr>
        <w:t> </w:t>
      </w:r>
      <w:r>
        <w:rPr>
          <w:sz w:val="38"/>
        </w:rPr>
        <w:t>elbow</w:t>
      </w:r>
    </w:p>
    <w:p>
      <w:pPr>
        <w:pStyle w:val="ListParagraph"/>
        <w:numPr>
          <w:ilvl w:val="0"/>
          <w:numId w:val="95"/>
        </w:numPr>
        <w:tabs>
          <w:tab w:pos="1031" w:val="left" w:leader="none"/>
          <w:tab w:pos="1032" w:val="left" w:leader="none"/>
        </w:tabs>
        <w:spacing w:line="240" w:lineRule="auto" w:before="186" w:after="0"/>
        <w:ind w:left="1031" w:right="0" w:hanging="415"/>
        <w:jc w:val="left"/>
        <w:rPr>
          <w:sz w:val="38"/>
        </w:rPr>
      </w:pPr>
      <w:r>
        <w:rPr>
          <w:sz w:val="38"/>
        </w:rPr>
        <w:t>Circulatory disorders</w:t>
      </w:r>
    </w:p>
    <w:p>
      <w:pPr>
        <w:pStyle w:val="ListParagraph"/>
        <w:numPr>
          <w:ilvl w:val="0"/>
          <w:numId w:val="95"/>
        </w:numPr>
        <w:tabs>
          <w:tab w:pos="1031" w:val="left" w:leader="none"/>
          <w:tab w:pos="1032" w:val="left" w:leader="none"/>
        </w:tabs>
        <w:spacing w:line="240" w:lineRule="auto" w:before="184" w:after="0"/>
        <w:ind w:left="1031" w:right="0" w:hanging="415"/>
        <w:jc w:val="left"/>
        <w:rPr>
          <w:sz w:val="38"/>
        </w:rPr>
      </w:pPr>
      <w:r>
        <w:rPr>
          <w:sz w:val="38"/>
        </w:rPr>
        <w:t>Claudication</w:t>
      </w:r>
    </w:p>
    <w:p>
      <w:pPr>
        <w:pStyle w:val="ListParagraph"/>
        <w:numPr>
          <w:ilvl w:val="0"/>
          <w:numId w:val="95"/>
        </w:numPr>
        <w:tabs>
          <w:tab w:pos="1031" w:val="left" w:leader="none"/>
          <w:tab w:pos="1032" w:val="left" w:leader="none"/>
        </w:tabs>
        <w:spacing w:line="240" w:lineRule="auto" w:before="184" w:after="0"/>
        <w:ind w:left="1031" w:right="0" w:hanging="415"/>
        <w:jc w:val="left"/>
        <w:rPr>
          <w:sz w:val="38"/>
        </w:rPr>
      </w:pPr>
      <w:r>
        <w:rPr>
          <w:sz w:val="38"/>
        </w:rPr>
        <w:t>Smoker’s</w:t>
      </w:r>
      <w:r>
        <w:rPr>
          <w:spacing w:val="-9"/>
          <w:sz w:val="38"/>
        </w:rPr>
        <w:t> </w:t>
      </w:r>
      <w:r>
        <w:rPr>
          <w:sz w:val="38"/>
        </w:rPr>
        <w:t>leg</w:t>
      </w:r>
    </w:p>
    <w:p>
      <w:pPr>
        <w:pStyle w:val="ListParagraph"/>
        <w:numPr>
          <w:ilvl w:val="0"/>
          <w:numId w:val="95"/>
        </w:numPr>
        <w:tabs>
          <w:tab w:pos="1031" w:val="left" w:leader="none"/>
          <w:tab w:pos="1032" w:val="left" w:leader="none"/>
        </w:tabs>
        <w:spacing w:line="240" w:lineRule="auto" w:before="183" w:after="0"/>
        <w:ind w:left="1031" w:right="0" w:hanging="415"/>
        <w:jc w:val="left"/>
        <w:rPr>
          <w:sz w:val="38"/>
        </w:rPr>
      </w:pPr>
      <w:r>
        <w:rPr>
          <w:sz w:val="38"/>
        </w:rPr>
        <w:t>Menstrual</w:t>
      </w:r>
      <w:r>
        <w:rPr>
          <w:spacing w:val="-2"/>
          <w:sz w:val="38"/>
        </w:rPr>
        <w:t> </w:t>
      </w:r>
      <w:r>
        <w:rPr>
          <w:sz w:val="38"/>
        </w:rPr>
        <w:t>cramps</w:t>
      </w:r>
    </w:p>
    <w:p>
      <w:pPr>
        <w:pStyle w:val="ListParagraph"/>
        <w:numPr>
          <w:ilvl w:val="0"/>
          <w:numId w:val="95"/>
        </w:numPr>
        <w:tabs>
          <w:tab w:pos="1031" w:val="left" w:leader="none"/>
          <w:tab w:pos="1032" w:val="left" w:leader="none"/>
        </w:tabs>
        <w:spacing w:line="240" w:lineRule="auto" w:before="186" w:after="0"/>
        <w:ind w:left="1031" w:right="0" w:hanging="415"/>
        <w:jc w:val="left"/>
        <w:rPr>
          <w:sz w:val="38"/>
        </w:rPr>
      </w:pPr>
      <w:r>
        <w:rPr>
          <w:sz w:val="38"/>
        </w:rPr>
        <w:t>Infectious diseases</w:t>
      </w:r>
    </w:p>
    <w:p>
      <w:pPr>
        <w:pStyle w:val="ListParagraph"/>
        <w:numPr>
          <w:ilvl w:val="0"/>
          <w:numId w:val="95"/>
        </w:numPr>
        <w:tabs>
          <w:tab w:pos="1031" w:val="left" w:leader="none"/>
          <w:tab w:pos="1032" w:val="left" w:leader="none"/>
        </w:tabs>
        <w:spacing w:line="240" w:lineRule="auto" w:before="184" w:after="0"/>
        <w:ind w:left="1031" w:right="0" w:hanging="415"/>
        <w:jc w:val="left"/>
        <w:rPr>
          <w:sz w:val="38"/>
        </w:rPr>
      </w:pPr>
      <w:r>
        <w:rPr>
          <w:sz w:val="38"/>
        </w:rPr>
        <w:t>Sinus</w:t>
      </w:r>
      <w:r>
        <w:rPr>
          <w:spacing w:val="-1"/>
          <w:sz w:val="38"/>
        </w:rPr>
        <w:t> </w:t>
      </w:r>
      <w:r>
        <w:rPr>
          <w:sz w:val="38"/>
        </w:rPr>
        <w:t>infection</w:t>
      </w:r>
    </w:p>
    <w:p>
      <w:pPr>
        <w:pStyle w:val="ListParagraph"/>
        <w:numPr>
          <w:ilvl w:val="0"/>
          <w:numId w:val="95"/>
        </w:numPr>
        <w:tabs>
          <w:tab w:pos="1031" w:val="left" w:leader="none"/>
          <w:tab w:pos="1032" w:val="left" w:leader="none"/>
        </w:tabs>
        <w:spacing w:line="240" w:lineRule="auto" w:before="184" w:after="0"/>
        <w:ind w:left="1031" w:right="0" w:hanging="415"/>
        <w:jc w:val="left"/>
        <w:rPr>
          <w:sz w:val="38"/>
        </w:rPr>
      </w:pPr>
      <w:r>
        <w:rPr>
          <w:sz w:val="38"/>
        </w:rPr>
        <w:t>Wound</w:t>
      </w:r>
      <w:r>
        <w:rPr>
          <w:spacing w:val="-1"/>
          <w:sz w:val="38"/>
        </w:rPr>
        <w:t> </w:t>
      </w:r>
      <w:r>
        <w:rPr>
          <w:sz w:val="38"/>
        </w:rPr>
        <w:t>healing</w:t>
      </w:r>
    </w:p>
    <w:p>
      <w:pPr>
        <w:pStyle w:val="ListParagraph"/>
        <w:numPr>
          <w:ilvl w:val="0"/>
          <w:numId w:val="95"/>
        </w:numPr>
        <w:tabs>
          <w:tab w:pos="1031" w:val="left" w:leader="none"/>
          <w:tab w:pos="1032" w:val="left" w:leader="none"/>
        </w:tabs>
        <w:spacing w:line="240" w:lineRule="auto" w:before="184" w:after="0"/>
        <w:ind w:left="1031" w:right="0" w:hanging="415"/>
        <w:jc w:val="left"/>
        <w:rPr>
          <w:sz w:val="38"/>
        </w:rPr>
      </w:pPr>
      <w:r>
        <w:rPr>
          <w:sz w:val="38"/>
        </w:rPr>
        <w:t>Arthritis</w:t>
      </w:r>
    </w:p>
    <w:p>
      <w:pPr>
        <w:pStyle w:val="ListParagraph"/>
        <w:numPr>
          <w:ilvl w:val="0"/>
          <w:numId w:val="95"/>
        </w:numPr>
        <w:tabs>
          <w:tab w:pos="1031" w:val="left" w:leader="none"/>
          <w:tab w:pos="1032" w:val="left" w:leader="none"/>
        </w:tabs>
        <w:spacing w:line="240" w:lineRule="auto" w:before="183" w:after="0"/>
        <w:ind w:left="1031" w:right="0" w:hanging="415"/>
        <w:jc w:val="left"/>
        <w:rPr>
          <w:sz w:val="38"/>
        </w:rPr>
      </w:pPr>
      <w:r>
        <w:rPr>
          <w:sz w:val="38"/>
        </w:rPr>
        <w:t>Rheumatism</w:t>
      </w:r>
    </w:p>
    <w:p>
      <w:pPr>
        <w:pStyle w:val="ListParagraph"/>
        <w:numPr>
          <w:ilvl w:val="0"/>
          <w:numId w:val="95"/>
        </w:numPr>
        <w:tabs>
          <w:tab w:pos="1031" w:val="left" w:leader="none"/>
          <w:tab w:pos="1032" w:val="left" w:leader="none"/>
        </w:tabs>
        <w:spacing w:line="240" w:lineRule="auto" w:before="186" w:after="0"/>
        <w:ind w:left="1031" w:right="0" w:hanging="415"/>
        <w:jc w:val="left"/>
        <w:rPr>
          <w:sz w:val="38"/>
        </w:rPr>
      </w:pPr>
      <w:r>
        <w:rPr>
          <w:sz w:val="38"/>
        </w:rPr>
        <w:t>Activated arthrosis</w:t>
      </w:r>
    </w:p>
    <w:p>
      <w:pPr>
        <w:pStyle w:val="Heading1"/>
        <w:spacing w:before="288"/>
        <w:ind w:left="616"/>
      </w:pPr>
      <w:r>
        <w:rPr/>
        <w:t>Effect of propolis on ageing complaints – anti-ageing</w:t>
      </w:r>
    </w:p>
    <w:p>
      <w:pPr>
        <w:spacing w:after="0"/>
        <w:sectPr>
          <w:pgSz w:w="14270" w:h="16850"/>
          <w:pgMar w:header="0" w:footer="1891" w:top="1360" w:bottom="2080" w:left="800" w:right="1280"/>
        </w:sectPr>
      </w:pPr>
    </w:p>
    <w:p>
      <w:pPr>
        <w:pStyle w:val="BodyText"/>
        <w:spacing w:line="276" w:lineRule="auto" w:before="74"/>
        <w:ind w:left="616" w:right="133"/>
        <w:jc w:val="both"/>
      </w:pPr>
      <w:r>
        <w:rPr/>
        <w:t>Certainly</w:t>
      </w:r>
      <w:r>
        <w:rPr>
          <w:spacing w:val="-12"/>
        </w:rPr>
        <w:t> </w:t>
      </w:r>
      <w:r>
        <w:rPr/>
        <w:t>the</w:t>
      </w:r>
      <w:r>
        <w:rPr>
          <w:spacing w:val="-10"/>
        </w:rPr>
        <w:t> </w:t>
      </w:r>
      <w:r>
        <w:rPr/>
        <w:t>most</w:t>
      </w:r>
      <w:r>
        <w:rPr>
          <w:spacing w:val="-10"/>
        </w:rPr>
        <w:t> </w:t>
      </w:r>
      <w:r>
        <w:rPr/>
        <w:t>sensational</w:t>
      </w:r>
      <w:r>
        <w:rPr>
          <w:spacing w:val="-11"/>
        </w:rPr>
        <w:t> </w:t>
      </w:r>
      <w:r>
        <w:rPr/>
        <w:t>ability</w:t>
      </w:r>
      <w:r>
        <w:rPr>
          <w:spacing w:val="-12"/>
        </w:rPr>
        <w:t> </w:t>
      </w:r>
      <w:r>
        <w:rPr/>
        <w:t>of</w:t>
      </w:r>
      <w:r>
        <w:rPr>
          <w:spacing w:val="-11"/>
        </w:rPr>
        <w:t> </w:t>
      </w:r>
      <w:r>
        <w:rPr/>
        <w:t>propolis</w:t>
      </w:r>
      <w:r>
        <w:rPr>
          <w:spacing w:val="-13"/>
        </w:rPr>
        <w:t> </w:t>
      </w:r>
      <w:r>
        <w:rPr/>
        <w:t>with</w:t>
      </w:r>
      <w:r>
        <w:rPr>
          <w:spacing w:val="-11"/>
        </w:rPr>
        <w:t> </w:t>
      </w:r>
      <w:r>
        <w:rPr/>
        <w:t>respect</w:t>
      </w:r>
      <w:r>
        <w:rPr>
          <w:spacing w:val="-11"/>
        </w:rPr>
        <w:t> </w:t>
      </w:r>
      <w:r>
        <w:rPr/>
        <w:t>to</w:t>
      </w:r>
      <w:r>
        <w:rPr>
          <w:spacing w:val="-12"/>
        </w:rPr>
        <w:t> </w:t>
      </w:r>
      <w:r>
        <w:rPr/>
        <w:t>its</w:t>
      </w:r>
      <w:r>
        <w:rPr>
          <w:spacing w:val="-11"/>
        </w:rPr>
        <w:t> </w:t>
      </w:r>
      <w:r>
        <w:rPr/>
        <w:t>anti-ageing effect is the property that enables it to double the rejuvenation rate of cells.</w:t>
      </w:r>
      <w:r>
        <w:rPr>
          <w:position w:val="9"/>
          <w:sz w:val="25"/>
        </w:rPr>
        <w:t>693 </w:t>
      </w:r>
      <w:r>
        <w:rPr/>
        <w:t>Propolis is a proven remedy for all varieties of ageing complaints. Our ageing is primarily caused by the attacks of free radicals. Experts thus claim that a person could live up to 120 years if he or she were able to avoid all attacks by free radicals. Propolis has demonstrated highly efficient antioxidative</w:t>
      </w:r>
      <w:r>
        <w:rPr>
          <w:spacing w:val="-63"/>
        </w:rPr>
        <w:t> </w:t>
      </w:r>
      <w:r>
        <w:rPr/>
        <w:t>capabili- ties in numerous experiments. In addition, our immune systems continually break</w:t>
      </w:r>
      <w:r>
        <w:rPr>
          <w:spacing w:val="-8"/>
        </w:rPr>
        <w:t> </w:t>
      </w:r>
      <w:r>
        <w:rPr/>
        <w:t>down</w:t>
      </w:r>
      <w:r>
        <w:rPr>
          <w:spacing w:val="-7"/>
        </w:rPr>
        <w:t> </w:t>
      </w:r>
      <w:r>
        <w:rPr/>
        <w:t>with</w:t>
      </w:r>
      <w:r>
        <w:rPr>
          <w:spacing w:val="-7"/>
        </w:rPr>
        <w:t> </w:t>
      </w:r>
      <w:r>
        <w:rPr/>
        <w:t>advancing</w:t>
      </w:r>
      <w:r>
        <w:rPr>
          <w:spacing w:val="-7"/>
        </w:rPr>
        <w:t> </w:t>
      </w:r>
      <w:r>
        <w:rPr/>
        <w:t>age.</w:t>
      </w:r>
      <w:r>
        <w:rPr>
          <w:spacing w:val="-9"/>
        </w:rPr>
        <w:t> </w:t>
      </w:r>
      <w:r>
        <w:rPr/>
        <w:t>The</w:t>
      </w:r>
      <w:r>
        <w:rPr>
          <w:spacing w:val="-7"/>
        </w:rPr>
        <w:t> </w:t>
      </w:r>
      <w:r>
        <w:rPr/>
        <w:t>immune-strengthening</w:t>
      </w:r>
      <w:r>
        <w:rPr>
          <w:spacing w:val="-10"/>
        </w:rPr>
        <w:t> </w:t>
      </w:r>
      <w:r>
        <w:rPr/>
        <w:t>effect</w:t>
      </w:r>
      <w:r>
        <w:rPr>
          <w:spacing w:val="-7"/>
        </w:rPr>
        <w:t> </w:t>
      </w:r>
      <w:r>
        <w:rPr/>
        <w:t>of</w:t>
      </w:r>
      <w:r>
        <w:rPr>
          <w:spacing w:val="-8"/>
        </w:rPr>
        <w:t> </w:t>
      </w:r>
      <w:r>
        <w:rPr/>
        <w:t>propolis is also suited for this aspect of ageing. Propolis also has a positive effect on memory loss in old age and can thus counteract senile</w:t>
      </w:r>
      <w:r>
        <w:rPr>
          <w:spacing w:val="-7"/>
        </w:rPr>
        <w:t> </w:t>
      </w:r>
      <w:r>
        <w:rPr/>
        <w:t>dementia.</w:t>
      </w:r>
    </w:p>
    <w:p>
      <w:pPr>
        <w:pStyle w:val="BodyText"/>
        <w:rPr>
          <w:sz w:val="42"/>
        </w:rPr>
      </w:pPr>
    </w:p>
    <w:p>
      <w:pPr>
        <w:pStyle w:val="BodyText"/>
        <w:spacing w:before="9"/>
        <w:rPr>
          <w:sz w:val="42"/>
        </w:rPr>
      </w:pPr>
    </w:p>
    <w:p>
      <w:pPr>
        <w:pStyle w:val="Heading1"/>
        <w:spacing w:before="1"/>
        <w:ind w:left="616"/>
      </w:pPr>
      <w:r>
        <w:rPr/>
        <w:t>Effects of propolis on AIDS</w:t>
      </w:r>
    </w:p>
    <w:p>
      <w:pPr>
        <w:pStyle w:val="BodyText"/>
        <w:spacing w:line="276" w:lineRule="auto" w:before="299"/>
        <w:ind w:left="616" w:right="133"/>
        <w:jc w:val="both"/>
      </w:pPr>
      <w:r>
        <w:rPr/>
        <w:t>To this day, AIDS is considered incurable. That is why it is more important than ever to direct our focus to natural remedies that stimulate the immune system</w:t>
      </w:r>
      <w:r>
        <w:rPr>
          <w:spacing w:val="-9"/>
        </w:rPr>
        <w:t> </w:t>
      </w:r>
      <w:r>
        <w:rPr/>
        <w:t>to</w:t>
      </w:r>
      <w:r>
        <w:rPr>
          <w:spacing w:val="-10"/>
        </w:rPr>
        <w:t> </w:t>
      </w:r>
      <w:r>
        <w:rPr/>
        <w:t>such</w:t>
      </w:r>
      <w:r>
        <w:rPr>
          <w:spacing w:val="-8"/>
        </w:rPr>
        <w:t> </w:t>
      </w:r>
      <w:r>
        <w:rPr/>
        <w:t>a</w:t>
      </w:r>
      <w:r>
        <w:rPr>
          <w:spacing w:val="-12"/>
        </w:rPr>
        <w:t> </w:t>
      </w:r>
      <w:r>
        <w:rPr/>
        <w:t>degree</w:t>
      </w:r>
      <w:r>
        <w:rPr>
          <w:spacing w:val="-9"/>
        </w:rPr>
        <w:t> </w:t>
      </w:r>
      <w:r>
        <w:rPr/>
        <w:t>that</w:t>
      </w:r>
      <w:r>
        <w:rPr>
          <w:spacing w:val="-9"/>
        </w:rPr>
        <w:t> </w:t>
      </w:r>
      <w:r>
        <w:rPr/>
        <w:t>they</w:t>
      </w:r>
      <w:r>
        <w:rPr>
          <w:spacing w:val="-10"/>
        </w:rPr>
        <w:t> </w:t>
      </w:r>
      <w:r>
        <w:rPr/>
        <w:t>have</w:t>
      </w:r>
      <w:r>
        <w:rPr>
          <w:spacing w:val="-9"/>
        </w:rPr>
        <w:t> </w:t>
      </w:r>
      <w:r>
        <w:rPr/>
        <w:t>an</w:t>
      </w:r>
      <w:r>
        <w:rPr>
          <w:spacing w:val="-8"/>
        </w:rPr>
        <w:t> </w:t>
      </w:r>
      <w:r>
        <w:rPr/>
        <w:t>effect</w:t>
      </w:r>
      <w:r>
        <w:rPr>
          <w:spacing w:val="-11"/>
        </w:rPr>
        <w:t> </w:t>
      </w:r>
      <w:r>
        <w:rPr/>
        <w:t>on</w:t>
      </w:r>
      <w:r>
        <w:rPr>
          <w:spacing w:val="-8"/>
        </w:rPr>
        <w:t> </w:t>
      </w:r>
      <w:r>
        <w:rPr/>
        <w:t>AIDS</w:t>
      </w:r>
      <w:r>
        <w:rPr>
          <w:spacing w:val="-9"/>
        </w:rPr>
        <w:t> </w:t>
      </w:r>
      <w:r>
        <w:rPr/>
        <w:t>and</w:t>
      </w:r>
      <w:r>
        <w:rPr>
          <w:spacing w:val="-8"/>
        </w:rPr>
        <w:t> </w:t>
      </w:r>
      <w:r>
        <w:rPr/>
        <w:t>are</w:t>
      </w:r>
      <w:r>
        <w:rPr>
          <w:spacing w:val="-14"/>
        </w:rPr>
        <w:t> </w:t>
      </w:r>
      <w:r>
        <w:rPr/>
        <w:t>able</w:t>
      </w:r>
      <w:r>
        <w:rPr>
          <w:spacing w:val="-5"/>
        </w:rPr>
        <w:t> </w:t>
      </w:r>
      <w:r>
        <w:rPr/>
        <w:t>to</w:t>
      </w:r>
      <w:r>
        <w:rPr>
          <w:spacing w:val="-9"/>
        </w:rPr>
        <w:t> </w:t>
      </w:r>
      <w:r>
        <w:rPr/>
        <w:t>delay or</w:t>
      </w:r>
      <w:r>
        <w:rPr>
          <w:spacing w:val="-16"/>
        </w:rPr>
        <w:t> </w:t>
      </w:r>
      <w:r>
        <w:rPr/>
        <w:t>even</w:t>
      </w:r>
      <w:r>
        <w:rPr>
          <w:spacing w:val="-15"/>
        </w:rPr>
        <w:t> </w:t>
      </w:r>
      <w:r>
        <w:rPr/>
        <w:t>prevent</w:t>
      </w:r>
      <w:r>
        <w:rPr>
          <w:spacing w:val="-18"/>
        </w:rPr>
        <w:t> </w:t>
      </w:r>
      <w:r>
        <w:rPr/>
        <w:t>the</w:t>
      </w:r>
      <w:r>
        <w:rPr>
          <w:spacing w:val="-14"/>
        </w:rPr>
        <w:t> </w:t>
      </w:r>
      <w:r>
        <w:rPr/>
        <w:t>outbreak</w:t>
      </w:r>
      <w:r>
        <w:rPr>
          <w:spacing w:val="-16"/>
        </w:rPr>
        <w:t> </w:t>
      </w:r>
      <w:r>
        <w:rPr/>
        <w:t>of</w:t>
      </w:r>
      <w:r>
        <w:rPr>
          <w:spacing w:val="-15"/>
        </w:rPr>
        <w:t> </w:t>
      </w:r>
      <w:r>
        <w:rPr/>
        <w:t>the</w:t>
      </w:r>
      <w:r>
        <w:rPr>
          <w:spacing w:val="-14"/>
        </w:rPr>
        <w:t> </w:t>
      </w:r>
      <w:r>
        <w:rPr/>
        <w:t>disease.</w:t>
      </w:r>
      <w:r>
        <w:rPr>
          <w:spacing w:val="-15"/>
        </w:rPr>
        <w:t> </w:t>
      </w:r>
      <w:r>
        <w:rPr/>
        <w:t>A</w:t>
      </w:r>
      <w:r>
        <w:rPr>
          <w:spacing w:val="-16"/>
        </w:rPr>
        <w:t> </w:t>
      </w:r>
      <w:r>
        <w:rPr/>
        <w:t>study</w:t>
      </w:r>
      <w:r>
        <w:rPr>
          <w:spacing w:val="-16"/>
        </w:rPr>
        <w:t> </w:t>
      </w:r>
      <w:r>
        <w:rPr/>
        <w:t>by</w:t>
      </w:r>
      <w:r>
        <w:rPr>
          <w:spacing w:val="-16"/>
        </w:rPr>
        <w:t> </w:t>
      </w:r>
      <w:r>
        <w:rPr/>
        <w:t>Harish</w:t>
      </w:r>
      <w:r>
        <w:rPr>
          <w:spacing w:val="-15"/>
        </w:rPr>
        <w:t> </w:t>
      </w:r>
      <w:r>
        <w:rPr/>
        <w:t>et</w:t>
      </w:r>
      <w:r>
        <w:rPr>
          <w:spacing w:val="-16"/>
        </w:rPr>
        <w:t> </w:t>
      </w:r>
      <w:r>
        <w:rPr/>
        <w:t>al.</w:t>
      </w:r>
      <w:r>
        <w:rPr>
          <w:spacing w:val="-16"/>
        </w:rPr>
        <w:t> </w:t>
      </w:r>
      <w:r>
        <w:rPr/>
        <w:t>from</w:t>
      </w:r>
      <w:r>
        <w:rPr>
          <w:spacing w:val="-16"/>
        </w:rPr>
        <w:t> </w:t>
      </w:r>
      <w:r>
        <w:rPr/>
        <w:t>1997 gives us occasion for hope, as they emphasised the effectiveness of propolis on HIV and</w:t>
      </w:r>
      <w:r>
        <w:rPr>
          <w:spacing w:val="2"/>
        </w:rPr>
        <w:t> </w:t>
      </w:r>
      <w:r>
        <w:rPr/>
        <w:t>AIDS.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0"/>
        </w:rPr>
      </w:pPr>
      <w:r>
        <w:rPr/>
        <w:pict>
          <v:line style="position:absolute;mso-position-horizontal-relative:page;mso-position-vertical-relative:paragraph;z-index:8984;mso-wrap-distance-left:0;mso-wrap-distance-right:0" from="70.823997pt,7.990015pt" to="214.843997pt,7.990015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693 </w:t>
      </w:r>
      <w:r>
        <w:rPr>
          <w:sz w:val="20"/>
        </w:rPr>
        <w:t>Prof. Dr. E. Dörling: Propolis Newsletter, Referate-Dienst Nr. 3, 1982</w:t>
      </w:r>
    </w:p>
    <w:p>
      <w:pPr>
        <w:spacing w:after="0"/>
        <w:jc w:val="left"/>
        <w:rPr>
          <w:sz w:val="20"/>
        </w:rPr>
        <w:sectPr>
          <w:pgSz w:w="14270" w:h="16850"/>
          <w:pgMar w:header="0" w:footer="1891" w:top="1340" w:bottom="2080" w:left="800" w:right="1280"/>
        </w:sectPr>
      </w:pPr>
    </w:p>
    <w:p>
      <w:pPr>
        <w:pStyle w:val="Heading1"/>
        <w:spacing w:before="77"/>
        <w:ind w:left="616"/>
      </w:pPr>
      <w:r>
        <w:rPr/>
        <w:t>Effect of propolis on allergies</w:t>
      </w:r>
    </w:p>
    <w:p>
      <w:pPr>
        <w:pStyle w:val="BodyText"/>
        <w:spacing w:line="276" w:lineRule="auto" w:before="299"/>
        <w:ind w:left="616" w:right="138"/>
        <w:jc w:val="both"/>
      </w:pPr>
      <w:r>
        <w:rPr/>
        <w:t>Among the most common types of allergy are pollen allergies (hay fever), ani- mal</w:t>
      </w:r>
      <w:r>
        <w:rPr>
          <w:spacing w:val="-17"/>
        </w:rPr>
        <w:t> </w:t>
      </w:r>
      <w:r>
        <w:rPr/>
        <w:t>hair</w:t>
      </w:r>
      <w:r>
        <w:rPr>
          <w:spacing w:val="-16"/>
        </w:rPr>
        <w:t> </w:t>
      </w:r>
      <w:r>
        <w:rPr/>
        <w:t>allergies,</w:t>
      </w:r>
      <w:r>
        <w:rPr>
          <w:spacing w:val="-15"/>
        </w:rPr>
        <w:t> </w:t>
      </w:r>
      <w:r>
        <w:rPr/>
        <w:t>food</w:t>
      </w:r>
      <w:r>
        <w:rPr>
          <w:spacing w:val="-17"/>
        </w:rPr>
        <w:t> </w:t>
      </w:r>
      <w:r>
        <w:rPr/>
        <w:t>allergies,</w:t>
      </w:r>
      <w:r>
        <w:rPr>
          <w:spacing w:val="-15"/>
        </w:rPr>
        <w:t> </w:t>
      </w:r>
      <w:r>
        <w:rPr/>
        <w:t>insect</w:t>
      </w:r>
      <w:r>
        <w:rPr>
          <w:spacing w:val="-16"/>
        </w:rPr>
        <w:t> </w:t>
      </w:r>
      <w:r>
        <w:rPr/>
        <w:t>allergies</w:t>
      </w:r>
      <w:r>
        <w:rPr>
          <w:spacing w:val="-16"/>
        </w:rPr>
        <w:t> </w:t>
      </w:r>
      <w:r>
        <w:rPr/>
        <w:t>as</w:t>
      </w:r>
      <w:r>
        <w:rPr>
          <w:spacing w:val="-16"/>
        </w:rPr>
        <w:t> </w:t>
      </w:r>
      <w:r>
        <w:rPr/>
        <w:t>well</w:t>
      </w:r>
      <w:r>
        <w:rPr>
          <w:spacing w:val="-18"/>
        </w:rPr>
        <w:t> </w:t>
      </w:r>
      <w:r>
        <w:rPr/>
        <w:t>as</w:t>
      </w:r>
      <w:r>
        <w:rPr>
          <w:spacing w:val="-16"/>
        </w:rPr>
        <w:t> </w:t>
      </w:r>
      <w:r>
        <w:rPr/>
        <w:t>dust</w:t>
      </w:r>
      <w:r>
        <w:rPr>
          <w:spacing w:val="-17"/>
        </w:rPr>
        <w:t> </w:t>
      </w:r>
      <w:r>
        <w:rPr/>
        <w:t>mite</w:t>
      </w:r>
      <w:r>
        <w:rPr>
          <w:spacing w:val="-15"/>
        </w:rPr>
        <w:t> </w:t>
      </w:r>
      <w:r>
        <w:rPr/>
        <w:t>allergy.</w:t>
      </w:r>
      <w:r>
        <w:rPr>
          <w:spacing w:val="-15"/>
        </w:rPr>
        <w:t> </w:t>
      </w:r>
      <w:r>
        <w:rPr/>
        <w:t>The flavonoids</w:t>
      </w:r>
      <w:r>
        <w:rPr>
          <w:spacing w:val="-10"/>
        </w:rPr>
        <w:t> </w:t>
      </w:r>
      <w:r>
        <w:rPr/>
        <w:t>which</w:t>
      </w:r>
      <w:r>
        <w:rPr>
          <w:spacing w:val="-9"/>
        </w:rPr>
        <w:t> </w:t>
      </w:r>
      <w:r>
        <w:rPr/>
        <w:t>are</w:t>
      </w:r>
      <w:r>
        <w:rPr>
          <w:spacing w:val="-10"/>
        </w:rPr>
        <w:t> </w:t>
      </w:r>
      <w:r>
        <w:rPr/>
        <w:t>contained</w:t>
      </w:r>
      <w:r>
        <w:rPr>
          <w:spacing w:val="-12"/>
        </w:rPr>
        <w:t> </w:t>
      </w:r>
      <w:r>
        <w:rPr/>
        <w:t>so</w:t>
      </w:r>
      <w:r>
        <w:rPr>
          <w:spacing w:val="-9"/>
        </w:rPr>
        <w:t> </w:t>
      </w:r>
      <w:r>
        <w:rPr/>
        <w:t>numerously</w:t>
      </w:r>
      <w:r>
        <w:rPr>
          <w:spacing w:val="-9"/>
        </w:rPr>
        <w:t> </w:t>
      </w:r>
      <w:r>
        <w:rPr/>
        <w:t>in</w:t>
      </w:r>
      <w:r>
        <w:rPr>
          <w:spacing w:val="-9"/>
        </w:rPr>
        <w:t> </w:t>
      </w:r>
      <w:r>
        <w:rPr/>
        <w:t>propolis</w:t>
      </w:r>
      <w:r>
        <w:rPr>
          <w:spacing w:val="-11"/>
        </w:rPr>
        <w:t> </w:t>
      </w:r>
      <w:r>
        <w:rPr/>
        <w:t>defend</w:t>
      </w:r>
      <w:r>
        <w:rPr>
          <w:spacing w:val="-11"/>
        </w:rPr>
        <w:t> </w:t>
      </w:r>
      <w:r>
        <w:rPr/>
        <w:t>not</w:t>
      </w:r>
      <w:r>
        <w:rPr>
          <w:spacing w:val="-11"/>
        </w:rPr>
        <w:t> </w:t>
      </w:r>
      <w:r>
        <w:rPr/>
        <w:t>only</w:t>
      </w:r>
      <w:r>
        <w:rPr>
          <w:spacing w:val="-9"/>
        </w:rPr>
        <w:t> </w:t>
      </w:r>
      <w:r>
        <w:rPr/>
        <w:t>the mast</w:t>
      </w:r>
      <w:r>
        <w:rPr>
          <w:spacing w:val="-24"/>
        </w:rPr>
        <w:t> </w:t>
      </w:r>
      <w:r>
        <w:rPr/>
        <w:t>cells</w:t>
      </w:r>
      <w:r>
        <w:rPr>
          <w:spacing w:val="-23"/>
        </w:rPr>
        <w:t> </w:t>
      </w:r>
      <w:r>
        <w:rPr/>
        <w:t>that</w:t>
      </w:r>
      <w:r>
        <w:rPr>
          <w:spacing w:val="-26"/>
        </w:rPr>
        <w:t> </w:t>
      </w:r>
      <w:r>
        <w:rPr/>
        <w:t>are</w:t>
      </w:r>
      <w:r>
        <w:rPr>
          <w:spacing w:val="-24"/>
        </w:rPr>
        <w:t> </w:t>
      </w:r>
      <w:r>
        <w:rPr/>
        <w:t>responsible</w:t>
      </w:r>
      <w:r>
        <w:rPr>
          <w:spacing w:val="-24"/>
        </w:rPr>
        <w:t> </w:t>
      </w:r>
      <w:r>
        <w:rPr/>
        <w:t>for</w:t>
      </w:r>
      <w:r>
        <w:rPr>
          <w:spacing w:val="-25"/>
        </w:rPr>
        <w:t> </w:t>
      </w:r>
      <w:r>
        <w:rPr/>
        <w:t>histamine</w:t>
      </w:r>
      <w:r>
        <w:rPr>
          <w:spacing w:val="-23"/>
        </w:rPr>
        <w:t> </w:t>
      </w:r>
      <w:r>
        <w:rPr/>
        <w:t>release,</w:t>
      </w:r>
      <w:r>
        <w:rPr>
          <w:spacing w:val="-23"/>
        </w:rPr>
        <w:t> </w:t>
      </w:r>
      <w:r>
        <w:rPr/>
        <w:t>but</w:t>
      </w:r>
      <w:r>
        <w:rPr>
          <w:spacing w:val="-25"/>
        </w:rPr>
        <w:t> </w:t>
      </w:r>
      <w:r>
        <w:rPr/>
        <w:t>also</w:t>
      </w:r>
      <w:r>
        <w:rPr>
          <w:spacing w:val="-23"/>
        </w:rPr>
        <w:t> </w:t>
      </w:r>
      <w:r>
        <w:rPr/>
        <w:t>inhibit</w:t>
      </w:r>
      <w:r>
        <w:rPr>
          <w:spacing w:val="-25"/>
        </w:rPr>
        <w:t> </w:t>
      </w:r>
      <w:r>
        <w:rPr/>
        <w:t>this</w:t>
      </w:r>
      <w:r>
        <w:rPr>
          <w:spacing w:val="-23"/>
        </w:rPr>
        <w:t> </w:t>
      </w:r>
      <w:r>
        <w:rPr/>
        <w:t>release.</w:t>
      </w:r>
    </w:p>
    <w:p>
      <w:pPr>
        <w:pStyle w:val="BodyText"/>
        <w:spacing w:line="276" w:lineRule="auto" w:before="239"/>
        <w:ind w:left="616" w:right="131"/>
        <w:jc w:val="both"/>
        <w:rPr>
          <w:sz w:val="25"/>
        </w:rPr>
      </w:pPr>
      <w:r>
        <w:rPr/>
        <w:t>There</w:t>
      </w:r>
      <w:r>
        <w:rPr>
          <w:spacing w:val="-12"/>
        </w:rPr>
        <w:t> </w:t>
      </w:r>
      <w:r>
        <w:rPr/>
        <w:t>are</w:t>
      </w:r>
      <w:r>
        <w:rPr>
          <w:spacing w:val="-14"/>
        </w:rPr>
        <w:t> </w:t>
      </w:r>
      <w:r>
        <w:rPr/>
        <w:t>reports</w:t>
      </w:r>
      <w:r>
        <w:rPr>
          <w:spacing w:val="-11"/>
        </w:rPr>
        <w:t> </w:t>
      </w:r>
      <w:r>
        <w:rPr/>
        <w:t>of</w:t>
      </w:r>
      <w:r>
        <w:rPr>
          <w:spacing w:val="-14"/>
        </w:rPr>
        <w:t> </w:t>
      </w:r>
      <w:r>
        <w:rPr/>
        <w:t>even</w:t>
      </w:r>
      <w:r>
        <w:rPr>
          <w:spacing w:val="-14"/>
        </w:rPr>
        <w:t> </w:t>
      </w:r>
      <w:r>
        <w:rPr/>
        <w:t>the</w:t>
      </w:r>
      <w:r>
        <w:rPr>
          <w:spacing w:val="-13"/>
        </w:rPr>
        <w:t> </w:t>
      </w:r>
      <w:r>
        <w:rPr/>
        <w:t>most</w:t>
      </w:r>
      <w:r>
        <w:rPr>
          <w:spacing w:val="-12"/>
        </w:rPr>
        <w:t> </w:t>
      </w:r>
      <w:r>
        <w:rPr/>
        <w:t>extreme</w:t>
      </w:r>
      <w:r>
        <w:rPr>
          <w:spacing w:val="-11"/>
        </w:rPr>
        <w:t> </w:t>
      </w:r>
      <w:r>
        <w:rPr/>
        <w:t>allergy</w:t>
      </w:r>
      <w:r>
        <w:rPr>
          <w:spacing w:val="-12"/>
        </w:rPr>
        <w:t> </w:t>
      </w:r>
      <w:r>
        <w:rPr/>
        <w:t>cases,</w:t>
      </w:r>
      <w:r>
        <w:rPr>
          <w:spacing w:val="-11"/>
        </w:rPr>
        <w:t> </w:t>
      </w:r>
      <w:r>
        <w:rPr/>
        <w:t>e.g.</w:t>
      </w:r>
      <w:r>
        <w:rPr>
          <w:spacing w:val="-13"/>
        </w:rPr>
        <w:t> </w:t>
      </w:r>
      <w:r>
        <w:rPr/>
        <w:t>hay</w:t>
      </w:r>
      <w:r>
        <w:rPr>
          <w:spacing w:val="-14"/>
        </w:rPr>
        <w:t> </w:t>
      </w:r>
      <w:r>
        <w:rPr/>
        <w:t>fever,</w:t>
      </w:r>
      <w:r>
        <w:rPr>
          <w:spacing w:val="-12"/>
        </w:rPr>
        <w:t> </w:t>
      </w:r>
      <w:r>
        <w:rPr/>
        <w:t>receiv- ing not only relief but even a complete cure after repeated use of propolis treatment, after which no further use was</w:t>
      </w:r>
      <w:r>
        <w:rPr>
          <w:spacing w:val="2"/>
        </w:rPr>
        <w:t> </w:t>
      </w:r>
      <w:r>
        <w:rPr/>
        <w:t>necessary.</w:t>
      </w:r>
      <w:r>
        <w:rPr>
          <w:position w:val="9"/>
          <w:sz w:val="25"/>
        </w:rPr>
        <w:t>694</w:t>
      </w:r>
    </w:p>
    <w:p>
      <w:pPr>
        <w:pStyle w:val="Heading1"/>
        <w:spacing w:before="225"/>
        <w:ind w:left="616"/>
      </w:pPr>
      <w:r>
        <w:rPr/>
        <w:t>Effects of propolis on the flu</w:t>
      </w:r>
    </w:p>
    <w:p>
      <w:pPr>
        <w:pStyle w:val="BodyText"/>
        <w:spacing w:line="276" w:lineRule="auto" w:before="297"/>
        <w:ind w:left="616" w:right="133"/>
        <w:jc w:val="both"/>
      </w:pPr>
      <w:r>
        <w:rPr/>
        <w:t>Propolis has proven itself effective for all stages and intensities of flu. Its pro- nounced antiviral and simultaneously immune-strengthening effects are</w:t>
      </w:r>
      <w:r>
        <w:rPr>
          <w:spacing w:val="-66"/>
        </w:rPr>
        <w:t> </w:t>
      </w:r>
      <w:r>
        <w:rPr/>
        <w:t>highly relevant to the treatment goal.</w:t>
      </w:r>
    </w:p>
    <w:p>
      <w:pPr>
        <w:pStyle w:val="Heading1"/>
        <w:ind w:left="616"/>
      </w:pPr>
      <w:r>
        <w:rPr/>
        <w:t>Effect of propolis on tennis elbow</w:t>
      </w:r>
    </w:p>
    <w:p>
      <w:pPr>
        <w:pStyle w:val="BodyText"/>
        <w:spacing w:line="276" w:lineRule="auto" w:before="299"/>
        <w:ind w:left="616" w:right="137"/>
        <w:jc w:val="both"/>
      </w:pPr>
      <w:r>
        <w:rPr/>
        <w:t>A</w:t>
      </w:r>
      <w:r>
        <w:rPr>
          <w:spacing w:val="-24"/>
        </w:rPr>
        <w:t> </w:t>
      </w:r>
      <w:r>
        <w:rPr/>
        <w:t>propolis</w:t>
      </w:r>
      <w:r>
        <w:rPr>
          <w:spacing w:val="-22"/>
        </w:rPr>
        <w:t> </w:t>
      </w:r>
      <w:r>
        <w:rPr/>
        <w:t>salve,</w:t>
      </w:r>
      <w:r>
        <w:rPr>
          <w:spacing w:val="-26"/>
        </w:rPr>
        <w:t> </w:t>
      </w:r>
      <w:r>
        <w:rPr/>
        <w:t>used</w:t>
      </w:r>
      <w:r>
        <w:rPr>
          <w:spacing w:val="-23"/>
        </w:rPr>
        <w:t> </w:t>
      </w:r>
      <w:r>
        <w:rPr/>
        <w:t>multiple</w:t>
      </w:r>
      <w:r>
        <w:rPr>
          <w:spacing w:val="-24"/>
        </w:rPr>
        <w:t> </w:t>
      </w:r>
      <w:r>
        <w:rPr/>
        <w:t>times</w:t>
      </w:r>
      <w:r>
        <w:rPr>
          <w:spacing w:val="-22"/>
        </w:rPr>
        <w:t> </w:t>
      </w:r>
      <w:r>
        <w:rPr/>
        <w:t>per</w:t>
      </w:r>
      <w:r>
        <w:rPr>
          <w:spacing w:val="-23"/>
        </w:rPr>
        <w:t> </w:t>
      </w:r>
      <w:r>
        <w:rPr/>
        <w:t>day,</w:t>
      </w:r>
      <w:r>
        <w:rPr>
          <w:spacing w:val="-25"/>
        </w:rPr>
        <w:t> </w:t>
      </w:r>
      <w:r>
        <w:rPr/>
        <w:t>seems</w:t>
      </w:r>
      <w:r>
        <w:rPr>
          <w:spacing w:val="-23"/>
        </w:rPr>
        <w:t> </w:t>
      </w:r>
      <w:r>
        <w:rPr/>
        <w:t>to</w:t>
      </w:r>
      <w:r>
        <w:rPr>
          <w:spacing w:val="-23"/>
        </w:rPr>
        <w:t> </w:t>
      </w:r>
      <w:r>
        <w:rPr/>
        <w:t>work</w:t>
      </w:r>
      <w:r>
        <w:rPr>
          <w:spacing w:val="-22"/>
        </w:rPr>
        <w:t> </w:t>
      </w:r>
      <w:r>
        <w:rPr/>
        <w:t>wonders</w:t>
      </w:r>
      <w:r>
        <w:rPr>
          <w:spacing w:val="-23"/>
        </w:rPr>
        <w:t> </w:t>
      </w:r>
      <w:r>
        <w:rPr/>
        <w:t>on</w:t>
      </w:r>
      <w:r>
        <w:rPr>
          <w:spacing w:val="-22"/>
        </w:rPr>
        <w:t> </w:t>
      </w:r>
      <w:r>
        <w:rPr/>
        <w:t>tennis elbow.</w:t>
      </w:r>
      <w:r>
        <w:rPr>
          <w:spacing w:val="-19"/>
        </w:rPr>
        <w:t> </w:t>
      </w:r>
      <w:r>
        <w:rPr/>
        <w:t>During</w:t>
      </w:r>
      <w:r>
        <w:rPr>
          <w:spacing w:val="-17"/>
        </w:rPr>
        <w:t> </w:t>
      </w:r>
      <w:r>
        <w:rPr/>
        <w:t>application,</w:t>
      </w:r>
      <w:r>
        <w:rPr>
          <w:spacing w:val="-17"/>
        </w:rPr>
        <w:t> </w:t>
      </w:r>
      <w:r>
        <w:rPr/>
        <w:t>the</w:t>
      </w:r>
      <w:r>
        <w:rPr>
          <w:spacing w:val="-18"/>
        </w:rPr>
        <w:t> </w:t>
      </w:r>
      <w:r>
        <w:rPr/>
        <w:t>relevant</w:t>
      </w:r>
      <w:r>
        <w:rPr>
          <w:spacing w:val="-18"/>
        </w:rPr>
        <w:t> </w:t>
      </w:r>
      <w:r>
        <w:rPr/>
        <w:t>arm</w:t>
      </w:r>
      <w:r>
        <w:rPr>
          <w:spacing w:val="-17"/>
        </w:rPr>
        <w:t> </w:t>
      </w:r>
      <w:r>
        <w:rPr/>
        <w:t>should</w:t>
      </w:r>
      <w:r>
        <w:rPr>
          <w:spacing w:val="-18"/>
        </w:rPr>
        <w:t> </w:t>
      </w:r>
      <w:r>
        <w:rPr/>
        <w:t>be</w:t>
      </w:r>
      <w:r>
        <w:rPr>
          <w:spacing w:val="-19"/>
        </w:rPr>
        <w:t> </w:t>
      </w:r>
      <w:r>
        <w:rPr/>
        <w:t>relieved</w:t>
      </w:r>
      <w:r>
        <w:rPr>
          <w:spacing w:val="-19"/>
        </w:rPr>
        <w:t> </w:t>
      </w:r>
      <w:r>
        <w:rPr/>
        <w:t>as</w:t>
      </w:r>
      <w:r>
        <w:rPr>
          <w:spacing w:val="-16"/>
        </w:rPr>
        <w:t> </w:t>
      </w:r>
      <w:r>
        <w:rPr/>
        <w:t>much</w:t>
      </w:r>
      <w:r>
        <w:rPr>
          <w:spacing w:val="-17"/>
        </w:rPr>
        <w:t> </w:t>
      </w:r>
      <w:r>
        <w:rPr/>
        <w:t>as</w:t>
      </w:r>
      <w:r>
        <w:rPr>
          <w:spacing w:val="-19"/>
        </w:rPr>
        <w:t> </w:t>
      </w:r>
      <w:r>
        <w:rPr/>
        <w:t>pos- sible or kept completely</w:t>
      </w:r>
      <w:r>
        <w:rPr>
          <w:spacing w:val="-2"/>
        </w:rPr>
        <w:t> </w:t>
      </w:r>
      <w:r>
        <w:rPr/>
        <w:t>still.</w:t>
      </w:r>
    </w:p>
    <w:p>
      <w:pPr>
        <w:pStyle w:val="Heading1"/>
        <w:spacing w:before="222"/>
        <w:ind w:left="616"/>
        <w:jc w:val="both"/>
      </w:pPr>
      <w:r>
        <w:rPr>
          <w:w w:val="95"/>
        </w:rPr>
        <w:t>Effect of propolis on circulatory disorders, intermittent claudication and</w:t>
      </w:r>
    </w:p>
    <w:p>
      <w:pPr>
        <w:pStyle w:val="BodyText"/>
        <w:rPr>
          <w:b/>
          <w:i/>
          <w:sz w:val="20"/>
        </w:rPr>
      </w:pPr>
    </w:p>
    <w:p>
      <w:pPr>
        <w:pStyle w:val="BodyText"/>
        <w:rPr>
          <w:b/>
          <w:i/>
          <w:sz w:val="20"/>
        </w:rPr>
      </w:pPr>
    </w:p>
    <w:p>
      <w:pPr>
        <w:pStyle w:val="BodyText"/>
        <w:spacing w:before="7"/>
        <w:rPr>
          <w:b/>
          <w:i/>
          <w:sz w:val="13"/>
        </w:rPr>
      </w:pPr>
      <w:r>
        <w:rPr/>
        <w:pict>
          <v:line style="position:absolute;mso-position-horizontal-relative:page;mso-position-vertical-relative:paragraph;z-index:9008;mso-wrap-distance-left:0;mso-wrap-distance-right:0" from="70.823997pt,10.033765pt" to="214.843997pt,10.033765pt" stroked="true" strokeweight=".71997pt" strokecolor="#000000">
            <v:stroke dashstyle="solid"/>
            <w10:wrap type="topAndBottom"/>
          </v:line>
        </w:pict>
      </w:r>
    </w:p>
    <w:p>
      <w:pPr>
        <w:pStyle w:val="BodyText"/>
        <w:spacing w:before="7"/>
        <w:rPr>
          <w:b/>
          <w:i/>
          <w:sz w:val="18"/>
        </w:rPr>
      </w:pPr>
    </w:p>
    <w:p>
      <w:pPr>
        <w:spacing w:before="100"/>
        <w:ind w:left="616" w:right="0" w:firstLine="0"/>
        <w:jc w:val="left"/>
        <w:rPr>
          <w:sz w:val="20"/>
        </w:rPr>
      </w:pPr>
      <w:r>
        <w:rPr>
          <w:position w:val="5"/>
          <w:sz w:val="13"/>
        </w:rPr>
        <w:t>694 </w:t>
      </w:r>
      <w:r>
        <w:rPr>
          <w:sz w:val="20"/>
        </w:rPr>
        <w:t>Dirk Rohwedder und Prof. Havsteen: Propolis, der Stoff, aus dem Gesundheit ist (‘Propolis, the Stuff that Health is Made Of’), 1987, p. 67</w:t>
      </w:r>
    </w:p>
    <w:p>
      <w:pPr>
        <w:spacing w:after="0"/>
        <w:jc w:val="left"/>
        <w:rPr>
          <w:sz w:val="20"/>
        </w:rPr>
        <w:sectPr>
          <w:footerReference w:type="default" r:id="rId296"/>
          <w:pgSz w:w="14270" w:h="16850"/>
          <w:pgMar w:footer="1891" w:header="0" w:top="1320" w:bottom="2080" w:left="800" w:right="1280"/>
          <w:pgNumType w:start="1250"/>
        </w:sectPr>
      </w:pPr>
    </w:p>
    <w:p>
      <w:pPr>
        <w:pStyle w:val="Heading1"/>
        <w:spacing w:before="77"/>
        <w:ind w:left="616"/>
      </w:pPr>
      <w:r>
        <w:rPr/>
        <w:t>smoker’s leg</w:t>
      </w:r>
    </w:p>
    <w:p>
      <w:pPr>
        <w:pStyle w:val="BodyText"/>
        <w:spacing w:line="276" w:lineRule="auto" w:before="299"/>
        <w:ind w:left="616" w:right="136"/>
        <w:jc w:val="both"/>
      </w:pPr>
      <w:r>
        <w:rPr/>
        <w:t>The use of propolis salve has proven itself highly effective on circulatory dis- orders,</w:t>
      </w:r>
      <w:r>
        <w:rPr>
          <w:spacing w:val="-11"/>
        </w:rPr>
        <w:t> </w:t>
      </w:r>
      <w:r>
        <w:rPr/>
        <w:t>intermittent</w:t>
      </w:r>
      <w:r>
        <w:rPr>
          <w:spacing w:val="-10"/>
        </w:rPr>
        <w:t> </w:t>
      </w:r>
      <w:r>
        <w:rPr/>
        <w:t>claudication</w:t>
      </w:r>
      <w:r>
        <w:rPr>
          <w:spacing w:val="-13"/>
        </w:rPr>
        <w:t> </w:t>
      </w:r>
      <w:r>
        <w:rPr/>
        <w:t>and</w:t>
      </w:r>
      <w:r>
        <w:rPr>
          <w:spacing w:val="-11"/>
        </w:rPr>
        <w:t> </w:t>
      </w:r>
      <w:r>
        <w:rPr/>
        <w:t>smoker’s</w:t>
      </w:r>
      <w:r>
        <w:rPr>
          <w:spacing w:val="-10"/>
        </w:rPr>
        <w:t> </w:t>
      </w:r>
      <w:r>
        <w:rPr/>
        <w:t>leg.</w:t>
      </w:r>
      <w:r>
        <w:rPr>
          <w:spacing w:val="-12"/>
        </w:rPr>
        <w:t> </w:t>
      </w:r>
      <w:r>
        <w:rPr/>
        <w:t>Firmly</w:t>
      </w:r>
      <w:r>
        <w:rPr>
          <w:spacing w:val="-11"/>
        </w:rPr>
        <w:t> </w:t>
      </w:r>
      <w:r>
        <w:rPr/>
        <w:t>rub</w:t>
      </w:r>
      <w:r>
        <w:rPr>
          <w:spacing w:val="-12"/>
        </w:rPr>
        <w:t> </w:t>
      </w:r>
      <w:r>
        <w:rPr/>
        <w:t>in</w:t>
      </w:r>
      <w:r>
        <w:rPr>
          <w:spacing w:val="-13"/>
        </w:rPr>
        <w:t> </w:t>
      </w:r>
      <w:r>
        <w:rPr/>
        <w:t>the</w:t>
      </w:r>
      <w:r>
        <w:rPr>
          <w:spacing w:val="-11"/>
        </w:rPr>
        <w:t> </w:t>
      </w:r>
      <w:r>
        <w:rPr/>
        <w:t>salve</w:t>
      </w:r>
      <w:r>
        <w:rPr>
          <w:spacing w:val="-12"/>
        </w:rPr>
        <w:t> </w:t>
      </w:r>
      <w:r>
        <w:rPr/>
        <w:t>mul- tiple times per day, especially before going to sleep.</w:t>
      </w:r>
    </w:p>
    <w:p>
      <w:pPr>
        <w:pStyle w:val="Heading1"/>
        <w:spacing w:before="222"/>
        <w:ind w:left="616"/>
      </w:pPr>
      <w:r>
        <w:rPr/>
        <w:t>Effect of propolis on skin diseases, acne, shingles, herpes etc.</w:t>
      </w:r>
    </w:p>
    <w:p>
      <w:pPr>
        <w:pStyle w:val="BodyText"/>
        <w:spacing w:line="276" w:lineRule="auto" w:before="299"/>
        <w:ind w:left="616" w:right="132"/>
        <w:jc w:val="both"/>
      </w:pPr>
      <w:r>
        <w:rPr/>
        <w:t>Propolis,</w:t>
      </w:r>
      <w:r>
        <w:rPr>
          <w:spacing w:val="-5"/>
        </w:rPr>
        <w:t> </w:t>
      </w:r>
      <w:r>
        <w:rPr/>
        <w:t>in</w:t>
      </w:r>
      <w:r>
        <w:rPr>
          <w:spacing w:val="-6"/>
        </w:rPr>
        <w:t> </w:t>
      </w:r>
      <w:r>
        <w:rPr/>
        <w:t>the</w:t>
      </w:r>
      <w:r>
        <w:rPr>
          <w:spacing w:val="-7"/>
        </w:rPr>
        <w:t> </w:t>
      </w:r>
      <w:r>
        <w:rPr/>
        <w:t>form</w:t>
      </w:r>
      <w:r>
        <w:rPr>
          <w:spacing w:val="-6"/>
        </w:rPr>
        <w:t> </w:t>
      </w:r>
      <w:r>
        <w:rPr/>
        <w:t>of</w:t>
      </w:r>
      <w:r>
        <w:rPr>
          <w:spacing w:val="-6"/>
        </w:rPr>
        <w:t> </w:t>
      </w:r>
      <w:r>
        <w:rPr/>
        <w:t>a</w:t>
      </w:r>
      <w:r>
        <w:rPr>
          <w:spacing w:val="-7"/>
        </w:rPr>
        <w:t> </w:t>
      </w:r>
      <w:r>
        <w:rPr/>
        <w:t>salve</w:t>
      </w:r>
      <w:r>
        <w:rPr>
          <w:spacing w:val="-6"/>
        </w:rPr>
        <w:t> </w:t>
      </w:r>
      <w:r>
        <w:rPr/>
        <w:t>for</w:t>
      </w:r>
      <w:r>
        <w:rPr>
          <w:spacing w:val="-5"/>
        </w:rPr>
        <w:t> </w:t>
      </w:r>
      <w:r>
        <w:rPr/>
        <w:t>external</w:t>
      </w:r>
      <w:r>
        <w:rPr>
          <w:spacing w:val="-6"/>
        </w:rPr>
        <w:t> </w:t>
      </w:r>
      <w:r>
        <w:rPr/>
        <w:t>application,</w:t>
      </w:r>
      <w:r>
        <w:rPr>
          <w:spacing w:val="-5"/>
        </w:rPr>
        <w:t> </w:t>
      </w:r>
      <w:r>
        <w:rPr/>
        <w:t>has</w:t>
      </w:r>
      <w:r>
        <w:rPr>
          <w:spacing w:val="-5"/>
        </w:rPr>
        <w:t> </w:t>
      </w:r>
      <w:r>
        <w:rPr/>
        <w:t>proven</w:t>
      </w:r>
      <w:r>
        <w:rPr>
          <w:spacing w:val="-5"/>
        </w:rPr>
        <w:t> </w:t>
      </w:r>
      <w:r>
        <w:rPr/>
        <w:t>to</w:t>
      </w:r>
      <w:r>
        <w:rPr>
          <w:spacing w:val="-5"/>
        </w:rPr>
        <w:t> </w:t>
      </w:r>
      <w:r>
        <w:rPr/>
        <w:t>be</w:t>
      </w:r>
      <w:r>
        <w:rPr>
          <w:spacing w:val="-5"/>
        </w:rPr>
        <w:t> </w:t>
      </w:r>
      <w:r>
        <w:rPr/>
        <w:t>truly excellent for numerous skin diseases, from acne to shingles all the way to her- pes.</w:t>
      </w:r>
    </w:p>
    <w:p>
      <w:pPr>
        <w:spacing w:after="0" w:line="276" w:lineRule="auto"/>
        <w:jc w:val="both"/>
        <w:sectPr>
          <w:pgSz w:w="14270" w:h="16850"/>
          <w:pgMar w:header="0" w:footer="1891" w:top="1320" w:bottom="2080" w:left="800" w:right="1280"/>
        </w:sectPr>
      </w:pPr>
    </w:p>
    <w:p>
      <w:pPr>
        <w:pStyle w:val="Heading1"/>
        <w:spacing w:before="77"/>
        <w:ind w:left="616"/>
      </w:pPr>
      <w:r>
        <w:rPr/>
        <w:t>Effects of propolis on haemorrhoids</w:t>
      </w:r>
    </w:p>
    <w:p>
      <w:pPr>
        <w:pStyle w:val="BodyText"/>
        <w:spacing w:line="276" w:lineRule="auto" w:before="299"/>
        <w:ind w:left="616" w:right="135"/>
        <w:jc w:val="both"/>
      </w:pPr>
      <w:r>
        <w:rPr/>
        <w:t>For</w:t>
      </w:r>
      <w:r>
        <w:rPr>
          <w:spacing w:val="-9"/>
        </w:rPr>
        <w:t> </w:t>
      </w:r>
      <w:r>
        <w:rPr/>
        <w:t>haemorrhoids,</w:t>
      </w:r>
      <w:r>
        <w:rPr>
          <w:spacing w:val="-9"/>
        </w:rPr>
        <w:t> </w:t>
      </w:r>
      <w:r>
        <w:rPr/>
        <w:t>you</w:t>
      </w:r>
      <w:r>
        <w:rPr>
          <w:spacing w:val="-11"/>
        </w:rPr>
        <w:t> </w:t>
      </w:r>
      <w:r>
        <w:rPr/>
        <w:t>should</w:t>
      </w:r>
      <w:r>
        <w:rPr>
          <w:spacing w:val="-11"/>
        </w:rPr>
        <w:t> </w:t>
      </w:r>
      <w:r>
        <w:rPr/>
        <w:t>apply</w:t>
      </w:r>
      <w:r>
        <w:rPr>
          <w:spacing w:val="-11"/>
        </w:rPr>
        <w:t> </w:t>
      </w:r>
      <w:r>
        <w:rPr/>
        <w:t>propolis</w:t>
      </w:r>
      <w:r>
        <w:rPr>
          <w:spacing w:val="-12"/>
        </w:rPr>
        <w:t> </w:t>
      </w:r>
      <w:r>
        <w:rPr/>
        <w:t>externally</w:t>
      </w:r>
      <w:r>
        <w:rPr>
          <w:spacing w:val="-10"/>
        </w:rPr>
        <w:t> </w:t>
      </w:r>
      <w:r>
        <w:rPr/>
        <w:t>in</w:t>
      </w:r>
      <w:r>
        <w:rPr>
          <w:spacing w:val="-10"/>
        </w:rPr>
        <w:t> </w:t>
      </w:r>
      <w:r>
        <w:rPr/>
        <w:t>the</w:t>
      </w:r>
      <w:r>
        <w:rPr>
          <w:spacing w:val="-12"/>
        </w:rPr>
        <w:t> </w:t>
      </w:r>
      <w:r>
        <w:rPr/>
        <w:t>form</w:t>
      </w:r>
      <w:r>
        <w:rPr>
          <w:spacing w:val="-10"/>
        </w:rPr>
        <w:t> </w:t>
      </w:r>
      <w:r>
        <w:rPr/>
        <w:t>of</w:t>
      </w:r>
      <w:r>
        <w:rPr>
          <w:spacing w:val="-12"/>
        </w:rPr>
        <w:t> </w:t>
      </w:r>
      <w:r>
        <w:rPr/>
        <w:t>a</w:t>
      </w:r>
      <w:r>
        <w:rPr>
          <w:spacing w:val="-13"/>
        </w:rPr>
        <w:t> </w:t>
      </w:r>
      <w:r>
        <w:rPr/>
        <w:t>prop- olis salve. The salve should be applied multiple times per day to the anus</w:t>
      </w:r>
      <w:r>
        <w:rPr>
          <w:spacing w:val="-48"/>
        </w:rPr>
        <w:t> </w:t>
      </w:r>
      <w:r>
        <w:rPr/>
        <w:t>both externally and</w:t>
      </w:r>
      <w:r>
        <w:rPr>
          <w:spacing w:val="1"/>
        </w:rPr>
        <w:t> </w:t>
      </w:r>
      <w:r>
        <w:rPr/>
        <w:t>internally.</w:t>
      </w:r>
    </w:p>
    <w:p>
      <w:pPr>
        <w:pStyle w:val="Heading1"/>
        <w:spacing w:before="222"/>
        <w:ind w:left="616"/>
      </w:pPr>
      <w:r>
        <w:rPr/>
        <w:t>Effect of propolis on rheumatism/arthritis</w:t>
      </w:r>
    </w:p>
    <w:p>
      <w:pPr>
        <w:pStyle w:val="BodyText"/>
        <w:spacing w:line="276" w:lineRule="auto" w:before="299"/>
        <w:ind w:left="616" w:right="133"/>
        <w:jc w:val="both"/>
      </w:pPr>
      <w:r>
        <w:rPr/>
        <w:t>Propolis</w:t>
      </w:r>
      <w:r>
        <w:rPr>
          <w:spacing w:val="-8"/>
        </w:rPr>
        <w:t> </w:t>
      </w:r>
      <w:r>
        <w:rPr/>
        <w:t>has</w:t>
      </w:r>
      <w:r>
        <w:rPr>
          <w:spacing w:val="-7"/>
        </w:rPr>
        <w:t> </w:t>
      </w:r>
      <w:r>
        <w:rPr/>
        <w:t>achieved</w:t>
      </w:r>
      <w:r>
        <w:rPr>
          <w:spacing w:val="-7"/>
        </w:rPr>
        <w:t> </w:t>
      </w:r>
      <w:r>
        <w:rPr/>
        <w:t>excellent</w:t>
      </w:r>
      <w:r>
        <w:rPr>
          <w:spacing w:val="-8"/>
        </w:rPr>
        <w:t> </w:t>
      </w:r>
      <w:r>
        <w:rPr/>
        <w:t>results</w:t>
      </w:r>
      <w:r>
        <w:rPr>
          <w:spacing w:val="-7"/>
        </w:rPr>
        <w:t> </w:t>
      </w:r>
      <w:r>
        <w:rPr/>
        <w:t>for</w:t>
      </w:r>
      <w:r>
        <w:rPr>
          <w:spacing w:val="-6"/>
        </w:rPr>
        <w:t> </w:t>
      </w:r>
      <w:r>
        <w:rPr/>
        <w:t>rheumatism</w:t>
      </w:r>
      <w:r>
        <w:rPr>
          <w:spacing w:val="-6"/>
        </w:rPr>
        <w:t> </w:t>
      </w:r>
      <w:r>
        <w:rPr/>
        <w:t>and</w:t>
      </w:r>
      <w:r>
        <w:rPr>
          <w:spacing w:val="-8"/>
        </w:rPr>
        <w:t> </w:t>
      </w:r>
      <w:r>
        <w:rPr/>
        <w:t>arthritis</w:t>
      </w:r>
      <w:r>
        <w:rPr>
          <w:spacing w:val="-7"/>
        </w:rPr>
        <w:t> </w:t>
      </w:r>
      <w:r>
        <w:rPr/>
        <w:t>patients</w:t>
      </w:r>
      <w:r>
        <w:rPr>
          <w:spacing w:val="-7"/>
        </w:rPr>
        <w:t> </w:t>
      </w:r>
      <w:r>
        <w:rPr/>
        <w:t>in double-blind studies and should be applied externally as a</w:t>
      </w:r>
      <w:r>
        <w:rPr>
          <w:spacing w:val="-9"/>
        </w:rPr>
        <w:t> </w:t>
      </w:r>
      <w:r>
        <w:rPr/>
        <w:t>salve.</w:t>
      </w:r>
    </w:p>
    <w:p>
      <w:pPr>
        <w:pStyle w:val="BodyText"/>
        <w:spacing w:line="276" w:lineRule="auto" w:before="241"/>
        <w:ind w:left="616" w:right="135"/>
        <w:jc w:val="both"/>
        <w:rPr>
          <w:sz w:val="25"/>
        </w:rPr>
      </w:pPr>
      <w:r>
        <w:rPr/>
        <w:t>In a double-blind experiment, 28 rheumatism patients were treated with a propolis</w:t>
      </w:r>
      <w:r>
        <w:rPr>
          <w:spacing w:val="-24"/>
        </w:rPr>
        <w:t> </w:t>
      </w:r>
      <w:r>
        <w:rPr/>
        <w:t>salve</w:t>
      </w:r>
      <w:r>
        <w:rPr>
          <w:spacing w:val="-25"/>
        </w:rPr>
        <w:t> </w:t>
      </w:r>
      <w:r>
        <w:rPr/>
        <w:t>and</w:t>
      </w:r>
      <w:r>
        <w:rPr>
          <w:spacing w:val="-25"/>
        </w:rPr>
        <w:t> </w:t>
      </w:r>
      <w:r>
        <w:rPr/>
        <w:t>a</w:t>
      </w:r>
      <w:r>
        <w:rPr>
          <w:spacing w:val="-25"/>
        </w:rPr>
        <w:t> </w:t>
      </w:r>
      <w:r>
        <w:rPr/>
        <w:t>placebo</w:t>
      </w:r>
      <w:r>
        <w:rPr>
          <w:spacing w:val="-24"/>
        </w:rPr>
        <w:t> </w:t>
      </w:r>
      <w:r>
        <w:rPr/>
        <w:t>preparation.</w:t>
      </w:r>
      <w:r>
        <w:rPr>
          <w:spacing w:val="-24"/>
        </w:rPr>
        <w:t> </w:t>
      </w:r>
      <w:r>
        <w:rPr/>
        <w:t>Those</w:t>
      </w:r>
      <w:r>
        <w:rPr>
          <w:spacing w:val="-23"/>
        </w:rPr>
        <w:t> </w:t>
      </w:r>
      <w:r>
        <w:rPr/>
        <w:t>rheumatism</w:t>
      </w:r>
      <w:r>
        <w:rPr>
          <w:spacing w:val="-24"/>
        </w:rPr>
        <w:t> </w:t>
      </w:r>
      <w:r>
        <w:rPr/>
        <w:t>patients</w:t>
      </w:r>
      <w:r>
        <w:rPr>
          <w:spacing w:val="-24"/>
        </w:rPr>
        <w:t> </w:t>
      </w:r>
      <w:r>
        <w:rPr/>
        <w:t>who</w:t>
      </w:r>
      <w:r>
        <w:rPr>
          <w:spacing w:val="-24"/>
        </w:rPr>
        <w:t> </w:t>
      </w:r>
      <w:r>
        <w:rPr/>
        <w:t>were treated with the propolis preparation experienced an </w:t>
      </w:r>
      <w:r>
        <w:rPr>
          <w:i/>
        </w:rPr>
        <w:t>‘impressive improvement </w:t>
      </w:r>
      <w:r>
        <w:rPr>
          <w:i/>
        </w:rPr>
        <w:t>within the first week.’</w:t>
      </w:r>
      <w:r>
        <w:rPr>
          <w:position w:val="9"/>
          <w:sz w:val="25"/>
        </w:rPr>
        <w:t>695</w:t>
      </w:r>
    </w:p>
    <w:p>
      <w:pPr>
        <w:pStyle w:val="BodyText"/>
        <w:spacing w:line="278" w:lineRule="auto" w:before="239"/>
        <w:ind w:left="616" w:right="133"/>
        <w:jc w:val="both"/>
      </w:pPr>
      <w:r>
        <w:rPr/>
        <w:t>The propolis salve should be applied to the affected joints as a thin film 2-3 times daily.</w:t>
      </w:r>
    </w:p>
    <w:p>
      <w:pPr>
        <w:pStyle w:val="Heading1"/>
        <w:spacing w:before="216"/>
        <w:ind w:left="616"/>
      </w:pPr>
      <w:r>
        <w:rPr/>
        <w:t>Effect of propolis on active arthrosis</w:t>
      </w:r>
    </w:p>
    <w:p>
      <w:pPr>
        <w:pStyle w:val="BodyText"/>
        <w:spacing w:line="276" w:lineRule="auto" w:before="299"/>
        <w:ind w:left="616" w:right="137"/>
        <w:jc w:val="both"/>
        <w:rPr>
          <w:sz w:val="25"/>
        </w:rPr>
      </w:pPr>
      <w:r>
        <w:rPr/>
        <w:t>In</w:t>
      </w:r>
      <w:r>
        <w:rPr>
          <w:spacing w:val="-16"/>
        </w:rPr>
        <w:t> </w:t>
      </w:r>
      <w:r>
        <w:rPr/>
        <w:t>a</w:t>
      </w:r>
      <w:r>
        <w:rPr>
          <w:spacing w:val="-20"/>
        </w:rPr>
        <w:t> </w:t>
      </w:r>
      <w:r>
        <w:rPr/>
        <w:t>series</w:t>
      </w:r>
      <w:r>
        <w:rPr>
          <w:spacing w:val="-19"/>
        </w:rPr>
        <w:t> </w:t>
      </w:r>
      <w:r>
        <w:rPr/>
        <w:t>of</w:t>
      </w:r>
      <w:r>
        <w:rPr>
          <w:spacing w:val="-18"/>
        </w:rPr>
        <w:t> </w:t>
      </w:r>
      <w:r>
        <w:rPr/>
        <w:t>experiments</w:t>
      </w:r>
      <w:r>
        <w:rPr>
          <w:spacing w:val="-16"/>
        </w:rPr>
        <w:t> </w:t>
      </w:r>
      <w:r>
        <w:rPr/>
        <w:t>on</w:t>
      </w:r>
      <w:r>
        <w:rPr>
          <w:spacing w:val="-18"/>
        </w:rPr>
        <w:t> </w:t>
      </w:r>
      <w:r>
        <w:rPr/>
        <w:t>arthrosis</w:t>
      </w:r>
      <w:r>
        <w:rPr>
          <w:spacing w:val="-18"/>
        </w:rPr>
        <w:t> </w:t>
      </w:r>
      <w:r>
        <w:rPr/>
        <w:t>patients,</w:t>
      </w:r>
      <w:r>
        <w:rPr>
          <w:spacing w:val="-15"/>
        </w:rPr>
        <w:t> </w:t>
      </w:r>
      <w:r>
        <w:rPr/>
        <w:t>more</w:t>
      </w:r>
      <w:r>
        <w:rPr>
          <w:spacing w:val="-16"/>
        </w:rPr>
        <w:t> </w:t>
      </w:r>
      <w:r>
        <w:rPr/>
        <w:t>than</w:t>
      </w:r>
      <w:r>
        <w:rPr>
          <w:spacing w:val="-18"/>
        </w:rPr>
        <w:t> </w:t>
      </w:r>
      <w:r>
        <w:rPr/>
        <w:t>80</w:t>
      </w:r>
      <w:r>
        <w:rPr>
          <w:spacing w:val="-17"/>
        </w:rPr>
        <w:t> </w:t>
      </w:r>
      <w:r>
        <w:rPr/>
        <w:t>%</w:t>
      </w:r>
      <w:r>
        <w:rPr>
          <w:spacing w:val="-19"/>
        </w:rPr>
        <w:t> </w:t>
      </w:r>
      <w:r>
        <w:rPr/>
        <w:t>of</w:t>
      </w:r>
      <w:r>
        <w:rPr>
          <w:spacing w:val="-19"/>
        </w:rPr>
        <w:t> </w:t>
      </w:r>
      <w:r>
        <w:rPr/>
        <w:t>the</w:t>
      </w:r>
      <w:r>
        <w:rPr>
          <w:spacing w:val="-18"/>
        </w:rPr>
        <w:t> </w:t>
      </w:r>
      <w:r>
        <w:rPr/>
        <w:t>patients treated with propolis salve were pain-free within a</w:t>
      </w:r>
      <w:r>
        <w:rPr>
          <w:spacing w:val="-2"/>
        </w:rPr>
        <w:t> </w:t>
      </w:r>
      <w:r>
        <w:rPr/>
        <w:t>week.</w:t>
      </w:r>
      <w:r>
        <w:rPr>
          <w:position w:val="9"/>
          <w:sz w:val="25"/>
        </w:rPr>
        <w:t>696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r>
        <w:rPr/>
        <w:pict>
          <v:line style="position:absolute;mso-position-horizontal-relative:page;mso-position-vertical-relative:paragraph;z-index:9032;mso-wrap-distance-left:0;mso-wrap-distance-right:0" from="70.823997pt,15.256235pt" to="214.843997pt,15.256235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695 </w:t>
      </w:r>
      <w:r>
        <w:rPr>
          <w:sz w:val="20"/>
        </w:rPr>
        <w:t>Dirk Rohwedder und Prof. Havsteen: Propolis, der Stoff, aus dem Gesundheit ist (‘Propolis, the Stuff that Health is Made Of’), 1987, p.</w:t>
      </w:r>
      <w:r>
        <w:rPr>
          <w:spacing w:val="-34"/>
          <w:sz w:val="20"/>
        </w:rPr>
        <w:t> </w:t>
      </w:r>
      <w:r>
        <w:rPr>
          <w:sz w:val="20"/>
        </w:rPr>
        <w:t>85</w:t>
      </w:r>
    </w:p>
    <w:p>
      <w:pPr>
        <w:spacing w:before="94"/>
        <w:ind w:left="616" w:right="0" w:firstLine="0"/>
        <w:jc w:val="left"/>
        <w:rPr>
          <w:sz w:val="20"/>
        </w:rPr>
      </w:pPr>
      <w:r>
        <w:rPr>
          <w:position w:val="5"/>
          <w:sz w:val="13"/>
        </w:rPr>
        <w:t>696 </w:t>
      </w:r>
      <w:r>
        <w:rPr>
          <w:sz w:val="20"/>
        </w:rPr>
        <w:t>Dirk Rohwedder und Prof. Havsteen: Propolis, der Stoff, aus dem Gesundheit ist (‘Propolis, the Stuff that Health is Made Of’), 1987, p.</w:t>
      </w:r>
      <w:r>
        <w:rPr>
          <w:spacing w:val="-31"/>
          <w:sz w:val="20"/>
        </w:rPr>
        <w:t> </w:t>
      </w:r>
      <w:r>
        <w:rPr>
          <w:sz w:val="20"/>
        </w:rPr>
        <w:t>86</w:t>
      </w:r>
    </w:p>
    <w:p>
      <w:pPr>
        <w:spacing w:after="0"/>
        <w:jc w:val="left"/>
        <w:rPr>
          <w:sz w:val="20"/>
        </w:rPr>
        <w:sectPr>
          <w:pgSz w:w="14270" w:h="16850"/>
          <w:pgMar w:header="0" w:footer="1891" w:top="1320" w:bottom="2080" w:left="800" w:right="1280"/>
        </w:sectPr>
      </w:pPr>
    </w:p>
    <w:p>
      <w:pPr>
        <w:pStyle w:val="Heading1"/>
        <w:spacing w:before="77"/>
        <w:ind w:left="616"/>
      </w:pPr>
      <w:r>
        <w:rPr/>
        <w:t>Effect of propolis on menopausal</w:t>
      </w:r>
      <w:r>
        <w:rPr>
          <w:spacing w:val="-62"/>
        </w:rPr>
        <w:t> </w:t>
      </w:r>
      <w:r>
        <w:rPr/>
        <w:t>symptoms</w:t>
      </w:r>
    </w:p>
    <w:p>
      <w:pPr>
        <w:pStyle w:val="BodyText"/>
        <w:spacing w:line="276" w:lineRule="auto" w:before="299"/>
        <w:ind w:left="616" w:right="134"/>
        <w:jc w:val="both"/>
        <w:rPr>
          <w:sz w:val="25"/>
        </w:rPr>
      </w:pPr>
      <w:r>
        <w:rPr/>
        <w:t>Propolis</w:t>
      </w:r>
      <w:r>
        <w:rPr>
          <w:spacing w:val="-19"/>
        </w:rPr>
        <w:t> </w:t>
      </w:r>
      <w:r>
        <w:rPr/>
        <w:t>led</w:t>
      </w:r>
      <w:r>
        <w:rPr>
          <w:spacing w:val="-19"/>
        </w:rPr>
        <w:t> </w:t>
      </w:r>
      <w:r>
        <w:rPr/>
        <w:t>to</w:t>
      </w:r>
      <w:r>
        <w:rPr>
          <w:spacing w:val="-17"/>
        </w:rPr>
        <w:t> </w:t>
      </w:r>
      <w:r>
        <w:rPr/>
        <w:t>amazingly</w:t>
      </w:r>
      <w:r>
        <w:rPr>
          <w:spacing w:val="-17"/>
        </w:rPr>
        <w:t> </w:t>
      </w:r>
      <w:r>
        <w:rPr/>
        <w:t>good</w:t>
      </w:r>
      <w:r>
        <w:rPr>
          <w:spacing w:val="-17"/>
        </w:rPr>
        <w:t> </w:t>
      </w:r>
      <w:r>
        <w:rPr/>
        <w:t>results</w:t>
      </w:r>
      <w:r>
        <w:rPr>
          <w:spacing w:val="-18"/>
        </w:rPr>
        <w:t> </w:t>
      </w:r>
      <w:r>
        <w:rPr/>
        <w:t>in</w:t>
      </w:r>
      <w:r>
        <w:rPr>
          <w:spacing w:val="-18"/>
        </w:rPr>
        <w:t> </w:t>
      </w:r>
      <w:r>
        <w:rPr/>
        <w:t>several</w:t>
      </w:r>
      <w:r>
        <w:rPr>
          <w:spacing w:val="-19"/>
        </w:rPr>
        <w:t> </w:t>
      </w:r>
      <w:r>
        <w:rPr/>
        <w:t>series</w:t>
      </w:r>
      <w:r>
        <w:rPr>
          <w:spacing w:val="-17"/>
        </w:rPr>
        <w:t> </w:t>
      </w:r>
      <w:r>
        <w:rPr/>
        <w:t>of</w:t>
      </w:r>
      <w:r>
        <w:rPr>
          <w:spacing w:val="-18"/>
        </w:rPr>
        <w:t> </w:t>
      </w:r>
      <w:r>
        <w:rPr/>
        <w:t>experiments</w:t>
      </w:r>
      <w:r>
        <w:rPr>
          <w:spacing w:val="-18"/>
        </w:rPr>
        <w:t> </w:t>
      </w:r>
      <w:r>
        <w:rPr/>
        <w:t>on</w:t>
      </w:r>
      <w:r>
        <w:rPr>
          <w:spacing w:val="-17"/>
        </w:rPr>
        <w:t> </w:t>
      </w:r>
      <w:r>
        <w:rPr/>
        <w:t>men- opausal symptoms. This can be attributed to the stimulation of decisive meta- bolic processes by</w:t>
      </w:r>
      <w:r>
        <w:rPr>
          <w:spacing w:val="-1"/>
        </w:rPr>
        <w:t> </w:t>
      </w:r>
      <w:r>
        <w:rPr/>
        <w:t>propolis.</w:t>
      </w:r>
      <w:r>
        <w:rPr>
          <w:position w:val="9"/>
          <w:sz w:val="25"/>
        </w:rPr>
        <w:t>697</w:t>
      </w:r>
    </w:p>
    <w:p>
      <w:pPr>
        <w:pStyle w:val="Heading1"/>
        <w:spacing w:before="222"/>
        <w:ind w:left="616"/>
      </w:pPr>
      <w:r>
        <w:rPr/>
        <w:t>Effect of propolis on infectious</w:t>
      </w:r>
      <w:r>
        <w:rPr>
          <w:spacing w:val="-54"/>
        </w:rPr>
        <w:t> </w:t>
      </w:r>
      <w:r>
        <w:rPr/>
        <w:t>diseases</w:t>
      </w:r>
    </w:p>
    <w:p>
      <w:pPr>
        <w:pStyle w:val="BodyText"/>
        <w:spacing w:before="299"/>
        <w:ind w:left="616"/>
      </w:pPr>
      <w:r>
        <w:rPr/>
        <w:t>Various parasites can play a primary role in infections, from bacteria to fungi.</w:t>
      </w:r>
    </w:p>
    <w:p>
      <w:pPr>
        <w:pStyle w:val="BodyText"/>
        <w:spacing w:line="276" w:lineRule="auto" w:before="305"/>
        <w:ind w:left="616"/>
      </w:pPr>
      <w:r>
        <w:rPr/>
        <w:t>Because propolis (in contrast to antibiotics) knows how to take on all three types of parasite, it is basically predestined for use against infectious diseases.</w:t>
      </w:r>
    </w:p>
    <w:p>
      <w:pPr>
        <w:pStyle w:val="Heading1"/>
        <w:ind w:left="616"/>
      </w:pPr>
      <w:r>
        <w:rPr/>
        <w:t>Propolis and its effect on wound</w:t>
      </w:r>
      <w:r>
        <w:rPr>
          <w:spacing w:val="-67"/>
        </w:rPr>
        <w:t> </w:t>
      </w:r>
      <w:r>
        <w:rPr/>
        <w:t>healing</w:t>
      </w:r>
    </w:p>
    <w:p>
      <w:pPr>
        <w:pStyle w:val="BodyText"/>
        <w:spacing w:line="278" w:lineRule="auto" w:before="296"/>
        <w:ind w:left="616"/>
      </w:pPr>
      <w:r>
        <w:rPr/>
        <w:t>Bees</w:t>
      </w:r>
      <w:r>
        <w:rPr>
          <w:spacing w:val="-24"/>
        </w:rPr>
        <w:t> </w:t>
      </w:r>
      <w:r>
        <w:rPr/>
        <w:t>use</w:t>
      </w:r>
      <w:r>
        <w:rPr>
          <w:spacing w:val="-25"/>
        </w:rPr>
        <w:t> </w:t>
      </w:r>
      <w:r>
        <w:rPr/>
        <w:t>propolis</w:t>
      </w:r>
      <w:r>
        <w:rPr>
          <w:spacing w:val="-24"/>
        </w:rPr>
        <w:t> </w:t>
      </w:r>
      <w:r>
        <w:rPr/>
        <w:t>to</w:t>
      </w:r>
      <w:r>
        <w:rPr>
          <w:spacing w:val="-23"/>
        </w:rPr>
        <w:t> </w:t>
      </w:r>
      <w:r>
        <w:rPr/>
        <w:t>insulate</w:t>
      </w:r>
      <w:r>
        <w:rPr>
          <w:spacing w:val="-26"/>
        </w:rPr>
        <w:t> </w:t>
      </w:r>
      <w:r>
        <w:rPr/>
        <w:t>and</w:t>
      </w:r>
      <w:r>
        <w:rPr>
          <w:spacing w:val="-24"/>
        </w:rPr>
        <w:t> </w:t>
      </w:r>
      <w:r>
        <w:rPr/>
        <w:t>disinfect</w:t>
      </w:r>
      <w:r>
        <w:rPr>
          <w:spacing w:val="-25"/>
        </w:rPr>
        <w:t> </w:t>
      </w:r>
      <w:r>
        <w:rPr/>
        <w:t>their</w:t>
      </w:r>
      <w:r>
        <w:rPr>
          <w:spacing w:val="-24"/>
        </w:rPr>
        <w:t> </w:t>
      </w:r>
      <w:r>
        <w:rPr/>
        <w:t>beehives.</w:t>
      </w:r>
      <w:r>
        <w:rPr>
          <w:spacing w:val="-23"/>
        </w:rPr>
        <w:t> </w:t>
      </w:r>
      <w:r>
        <w:rPr/>
        <w:t>A</w:t>
      </w:r>
      <w:r>
        <w:rPr>
          <w:spacing w:val="-25"/>
        </w:rPr>
        <w:t> </w:t>
      </w:r>
      <w:r>
        <w:rPr/>
        <w:t>wound</w:t>
      </w:r>
      <w:r>
        <w:rPr>
          <w:spacing w:val="-25"/>
        </w:rPr>
        <w:t> </w:t>
      </w:r>
      <w:r>
        <w:rPr/>
        <w:t>needs</w:t>
      </w:r>
      <w:r>
        <w:rPr>
          <w:spacing w:val="-23"/>
        </w:rPr>
        <w:t> </w:t>
      </w:r>
      <w:r>
        <w:rPr/>
        <w:t>noth- ing more: disinfection and to be healed as quickly as</w:t>
      </w:r>
      <w:r>
        <w:rPr>
          <w:spacing w:val="-5"/>
        </w:rPr>
        <w:t> </w:t>
      </w:r>
      <w:r>
        <w:rPr/>
        <w:t>possible.</w:t>
      </w:r>
    </w:p>
    <w:p>
      <w:pPr>
        <w:pStyle w:val="BodyText"/>
        <w:spacing w:line="278" w:lineRule="auto" w:before="233"/>
        <w:ind w:left="616"/>
      </w:pPr>
      <w:r>
        <w:rPr/>
        <w:t>To achieve this, propolis encourages wound-closing collagens and inhibits the influences of certain enzymes that would disrupt would healing.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2"/>
        </w:rPr>
      </w:pPr>
      <w:r>
        <w:rPr/>
        <w:pict>
          <v:line style="position:absolute;mso-position-horizontal-relative:page;mso-position-vertical-relative:paragraph;z-index:9056;mso-wrap-distance-left:0;mso-wrap-distance-right:0" from="70.823997pt,14.978765pt" to="214.843997pt,14.978765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697 </w:t>
      </w:r>
      <w:r>
        <w:rPr>
          <w:sz w:val="20"/>
        </w:rPr>
        <w:t>Dirk Rohwedder und Prof. Havsteen: Propolis, der Stoff, aus dem Gesundheit ist (‘Propolis, the Stuff that Health is Made Of’), 1987, p. 89</w:t>
      </w:r>
    </w:p>
    <w:p>
      <w:pPr>
        <w:spacing w:after="0"/>
        <w:jc w:val="left"/>
        <w:rPr>
          <w:sz w:val="20"/>
        </w:rPr>
        <w:sectPr>
          <w:pgSz w:w="14270" w:h="16850"/>
          <w:pgMar w:header="0" w:footer="1891" w:top="1320" w:bottom="2080" w:left="800" w:right="1280"/>
        </w:sectPr>
      </w:pPr>
    </w:p>
    <w:p>
      <w:pPr>
        <w:pStyle w:val="Heading2"/>
        <w:spacing w:before="74"/>
        <w:ind w:left="616"/>
      </w:pPr>
      <w:r>
        <w:rPr/>
        <w:t>Propolis and cancer</w:t>
      </w:r>
    </w:p>
    <w:p>
      <w:pPr>
        <w:spacing w:before="287"/>
        <w:ind w:left="616" w:right="0" w:firstLine="0"/>
        <w:jc w:val="left"/>
        <w:rPr>
          <w:b/>
          <w:i/>
          <w:sz w:val="40"/>
        </w:rPr>
      </w:pPr>
      <w:r>
        <w:rPr>
          <w:b/>
          <w:i/>
          <w:sz w:val="40"/>
        </w:rPr>
        <w:t>Propolis in alternative and complementary cancer treatment</w:t>
      </w:r>
    </w:p>
    <w:p>
      <w:pPr>
        <w:pStyle w:val="BodyText"/>
        <w:spacing w:line="276" w:lineRule="auto" w:before="297"/>
        <w:ind w:left="616" w:right="137"/>
        <w:jc w:val="both"/>
      </w:pPr>
      <w:r>
        <w:rPr/>
        <w:t>While propolis has become famous mainly for its antibacterial and antiallergic properties, it has been showing, especially in recent years, further unexpected potential, namely in the fight against cancer! Thus, cancer research has lately been showing a strong interest in this natural substance from bees, as it</w:t>
      </w:r>
      <w:r>
        <w:rPr>
          <w:spacing w:val="-49"/>
        </w:rPr>
        <w:t> </w:t>
      </w:r>
      <w:r>
        <w:rPr/>
        <w:t>seems that propolis possesses both direct cancer cell-killing and growth-inhibiting properties.</w:t>
      </w:r>
    </w:p>
    <w:p>
      <w:pPr>
        <w:pStyle w:val="Heading1"/>
        <w:spacing w:before="226"/>
        <w:ind w:left="616"/>
        <w:jc w:val="both"/>
      </w:pPr>
      <w:r>
        <w:rPr/>
        <w:t>The following active ingredients in propolis are responsible for this:</w:t>
      </w:r>
    </w:p>
    <w:p>
      <w:pPr>
        <w:pStyle w:val="ListParagraph"/>
        <w:numPr>
          <w:ilvl w:val="0"/>
          <w:numId w:val="95"/>
        </w:numPr>
        <w:tabs>
          <w:tab w:pos="1126" w:val="left" w:leader="none"/>
        </w:tabs>
        <w:spacing w:line="240" w:lineRule="auto" w:before="257" w:after="0"/>
        <w:ind w:left="1125" w:right="0" w:hanging="509"/>
        <w:jc w:val="both"/>
        <w:rPr>
          <w:sz w:val="25"/>
        </w:rPr>
      </w:pPr>
      <w:r>
        <w:rPr>
          <w:sz w:val="38"/>
        </w:rPr>
        <w:t>Clerodanditerpenoide </w:t>
      </w:r>
      <w:r>
        <w:rPr>
          <w:position w:val="9"/>
          <w:sz w:val="25"/>
        </w:rPr>
        <w:t>698</w:t>
      </w:r>
    </w:p>
    <w:p>
      <w:pPr>
        <w:pStyle w:val="ListParagraph"/>
        <w:numPr>
          <w:ilvl w:val="0"/>
          <w:numId w:val="95"/>
        </w:numPr>
        <w:tabs>
          <w:tab w:pos="1126" w:val="left" w:leader="none"/>
        </w:tabs>
        <w:spacing w:line="240" w:lineRule="auto" w:before="187" w:after="0"/>
        <w:ind w:left="1125" w:right="0" w:hanging="509"/>
        <w:jc w:val="both"/>
        <w:rPr>
          <w:sz w:val="25"/>
        </w:rPr>
      </w:pPr>
      <w:r>
        <w:rPr>
          <w:sz w:val="38"/>
        </w:rPr>
        <w:t>Artepillin C</w:t>
      </w:r>
      <w:r>
        <w:rPr>
          <w:position w:val="9"/>
          <w:sz w:val="25"/>
        </w:rPr>
        <w:t>699</w:t>
      </w:r>
    </w:p>
    <w:p>
      <w:pPr>
        <w:pStyle w:val="ListParagraph"/>
        <w:numPr>
          <w:ilvl w:val="0"/>
          <w:numId w:val="95"/>
        </w:numPr>
        <w:tabs>
          <w:tab w:pos="1126" w:val="left" w:leader="none"/>
        </w:tabs>
        <w:spacing w:line="240" w:lineRule="auto" w:before="183" w:after="0"/>
        <w:ind w:left="1125" w:right="0" w:hanging="509"/>
        <w:jc w:val="both"/>
        <w:rPr>
          <w:sz w:val="25"/>
        </w:rPr>
      </w:pPr>
      <w:r>
        <w:rPr>
          <w:sz w:val="38"/>
        </w:rPr>
        <w:t>Benzofurane</w:t>
      </w:r>
      <w:r>
        <w:rPr>
          <w:spacing w:val="-1"/>
          <w:sz w:val="38"/>
        </w:rPr>
        <w:t> </w:t>
      </w:r>
      <w:r>
        <w:rPr>
          <w:position w:val="9"/>
          <w:sz w:val="25"/>
        </w:rPr>
        <w:t>700</w:t>
      </w:r>
    </w:p>
    <w:p>
      <w:pPr>
        <w:pStyle w:val="ListParagraph"/>
        <w:numPr>
          <w:ilvl w:val="0"/>
          <w:numId w:val="95"/>
        </w:numPr>
        <w:tabs>
          <w:tab w:pos="1126" w:val="left" w:leader="none"/>
        </w:tabs>
        <w:spacing w:line="240" w:lineRule="auto" w:before="184" w:after="0"/>
        <w:ind w:left="1125" w:right="0" w:hanging="509"/>
        <w:jc w:val="both"/>
        <w:rPr>
          <w:sz w:val="38"/>
        </w:rPr>
      </w:pPr>
      <w:r>
        <w:rPr>
          <w:sz w:val="38"/>
        </w:rPr>
        <w:t>CAPE (Caffeic Acid Phenethyl</w:t>
      </w:r>
      <w:r>
        <w:rPr>
          <w:spacing w:val="-3"/>
          <w:sz w:val="38"/>
        </w:rPr>
        <w:t> </w:t>
      </w:r>
      <w:r>
        <w:rPr>
          <w:sz w:val="38"/>
        </w:rPr>
        <w:t>Ester)</w:t>
      </w:r>
    </w:p>
    <w:p>
      <w:pPr>
        <w:spacing w:line="276" w:lineRule="auto" w:before="302"/>
        <w:ind w:left="616" w:right="136" w:firstLine="0"/>
        <w:jc w:val="both"/>
        <w:rPr>
          <w:sz w:val="25"/>
        </w:rPr>
      </w:pPr>
      <w:r>
        <w:rPr>
          <w:i/>
          <w:sz w:val="38"/>
        </w:rPr>
        <w:t>‘We were able to isolate substances that specifically hindered the growth of tumour cells in </w:t>
      </w:r>
      <w:r>
        <w:rPr>
          <w:i/>
          <w:sz w:val="38"/>
        </w:rPr>
        <w:t>their</w:t>
      </w:r>
      <w:r>
        <w:rPr>
          <w:i/>
          <w:spacing w:val="-9"/>
          <w:sz w:val="38"/>
        </w:rPr>
        <w:t> </w:t>
      </w:r>
      <w:r>
        <w:rPr>
          <w:i/>
          <w:sz w:val="38"/>
        </w:rPr>
        <w:t>growth’</w:t>
      </w:r>
      <w:r>
        <w:rPr>
          <w:sz w:val="38"/>
        </w:rPr>
        <w:t>,</w:t>
      </w:r>
      <w:r>
        <w:rPr>
          <w:spacing w:val="-8"/>
          <w:sz w:val="38"/>
        </w:rPr>
        <w:t> </w:t>
      </w:r>
      <w:r>
        <w:rPr>
          <w:sz w:val="38"/>
        </w:rPr>
        <w:t>according</w:t>
      </w:r>
      <w:r>
        <w:rPr>
          <w:spacing w:val="-8"/>
          <w:sz w:val="38"/>
        </w:rPr>
        <w:t> </w:t>
      </w:r>
      <w:r>
        <w:rPr>
          <w:sz w:val="38"/>
        </w:rPr>
        <w:t>to</w:t>
      </w:r>
      <w:r>
        <w:rPr>
          <w:spacing w:val="-9"/>
          <w:sz w:val="38"/>
        </w:rPr>
        <w:t> </w:t>
      </w:r>
      <w:r>
        <w:rPr>
          <w:sz w:val="38"/>
        </w:rPr>
        <w:t>Prof.</w:t>
      </w:r>
      <w:r>
        <w:rPr>
          <w:spacing w:val="-8"/>
          <w:sz w:val="38"/>
        </w:rPr>
        <w:t> </w:t>
      </w:r>
      <w:r>
        <w:rPr>
          <w:sz w:val="38"/>
        </w:rPr>
        <w:t>Dr.</w:t>
      </w:r>
      <w:r>
        <w:rPr>
          <w:spacing w:val="-8"/>
          <w:sz w:val="38"/>
        </w:rPr>
        <w:t> </w:t>
      </w:r>
      <w:r>
        <w:rPr>
          <w:sz w:val="38"/>
        </w:rPr>
        <w:t>Peter</w:t>
      </w:r>
      <w:r>
        <w:rPr>
          <w:spacing w:val="-8"/>
          <w:sz w:val="38"/>
        </w:rPr>
        <w:t> </w:t>
      </w:r>
      <w:r>
        <w:rPr>
          <w:sz w:val="38"/>
        </w:rPr>
        <w:t>Reusch</w:t>
      </w:r>
      <w:r>
        <w:rPr>
          <w:spacing w:val="-11"/>
          <w:sz w:val="38"/>
        </w:rPr>
        <w:t> </w:t>
      </w:r>
      <w:r>
        <w:rPr>
          <w:sz w:val="38"/>
        </w:rPr>
        <w:t>of</w:t>
      </w:r>
      <w:r>
        <w:rPr>
          <w:spacing w:val="-8"/>
          <w:sz w:val="38"/>
        </w:rPr>
        <w:t> </w:t>
      </w:r>
      <w:r>
        <w:rPr>
          <w:sz w:val="38"/>
        </w:rPr>
        <w:t>the</w:t>
      </w:r>
      <w:r>
        <w:rPr>
          <w:spacing w:val="-8"/>
          <w:sz w:val="38"/>
        </w:rPr>
        <w:t> </w:t>
      </w:r>
      <w:r>
        <w:rPr>
          <w:sz w:val="38"/>
        </w:rPr>
        <w:t>Ruhr</w:t>
      </w:r>
      <w:r>
        <w:rPr>
          <w:spacing w:val="-8"/>
          <w:sz w:val="38"/>
        </w:rPr>
        <w:t> </w:t>
      </w:r>
      <w:r>
        <w:rPr>
          <w:sz w:val="38"/>
        </w:rPr>
        <w:t>University</w:t>
      </w:r>
      <w:r>
        <w:rPr>
          <w:spacing w:val="-10"/>
          <w:sz w:val="38"/>
        </w:rPr>
        <w:t> </w:t>
      </w:r>
      <w:r>
        <w:rPr>
          <w:sz w:val="38"/>
        </w:rPr>
        <w:t>of</w:t>
      </w:r>
      <w:r>
        <w:rPr>
          <w:spacing w:val="-8"/>
          <w:sz w:val="38"/>
        </w:rPr>
        <w:t> </w:t>
      </w:r>
      <w:r>
        <w:rPr>
          <w:sz w:val="38"/>
        </w:rPr>
        <w:t>Bo- chum. </w:t>
      </w:r>
      <w:r>
        <w:rPr>
          <w:position w:val="9"/>
          <w:sz w:val="25"/>
        </w:rPr>
        <w:t>701</w:t>
      </w:r>
    </w:p>
    <w:p>
      <w:pPr>
        <w:pStyle w:val="BodyText"/>
        <w:spacing w:line="276" w:lineRule="auto" w:before="241"/>
        <w:ind w:left="616" w:right="133"/>
        <w:jc w:val="both"/>
      </w:pPr>
      <w:r>
        <w:rPr/>
        <w:t>Scientists at the University of Chicago were able, in animal tests, to inhibit the reproduction</w:t>
      </w:r>
      <w:r>
        <w:rPr>
          <w:spacing w:val="-14"/>
        </w:rPr>
        <w:t> </w:t>
      </w:r>
      <w:r>
        <w:rPr/>
        <w:t>of</w:t>
      </w:r>
      <w:r>
        <w:rPr>
          <w:spacing w:val="-14"/>
        </w:rPr>
        <w:t> </w:t>
      </w:r>
      <w:r>
        <w:rPr/>
        <w:t>prostate</w:t>
      </w:r>
      <w:r>
        <w:rPr>
          <w:spacing w:val="-15"/>
        </w:rPr>
        <w:t> </w:t>
      </w:r>
      <w:r>
        <w:rPr/>
        <w:t>tumours</w:t>
      </w:r>
      <w:r>
        <w:rPr>
          <w:spacing w:val="-13"/>
        </w:rPr>
        <w:t> </w:t>
      </w:r>
      <w:r>
        <w:rPr/>
        <w:t>with</w:t>
      </w:r>
      <w:r>
        <w:rPr>
          <w:spacing w:val="-14"/>
        </w:rPr>
        <w:t> </w:t>
      </w:r>
      <w:r>
        <w:rPr/>
        <w:t>the</w:t>
      </w:r>
      <w:r>
        <w:rPr>
          <w:spacing w:val="-13"/>
        </w:rPr>
        <w:t> </w:t>
      </w:r>
      <w:r>
        <w:rPr/>
        <w:t>help</w:t>
      </w:r>
      <w:r>
        <w:rPr>
          <w:spacing w:val="-12"/>
        </w:rPr>
        <w:t> </w:t>
      </w:r>
      <w:r>
        <w:rPr/>
        <w:t>of</w:t>
      </w:r>
      <w:r>
        <w:rPr>
          <w:spacing w:val="-14"/>
        </w:rPr>
        <w:t> </w:t>
      </w:r>
      <w:r>
        <w:rPr/>
        <w:t>a</w:t>
      </w:r>
      <w:r>
        <w:rPr>
          <w:spacing w:val="-15"/>
        </w:rPr>
        <w:t> </w:t>
      </w:r>
      <w:r>
        <w:rPr/>
        <w:t>substance</w:t>
      </w:r>
      <w:r>
        <w:rPr>
          <w:spacing w:val="-13"/>
        </w:rPr>
        <w:t> </w:t>
      </w:r>
      <w:r>
        <w:rPr/>
        <w:t>naturally</w:t>
      </w:r>
      <w:r>
        <w:rPr>
          <w:spacing w:val="-14"/>
        </w:rPr>
        <w:t> </w:t>
      </w:r>
      <w:r>
        <w:rPr/>
        <w:t>occur- ring in propolis called Caffeic Acid Phenethyl Ester (CAPE), as the</w:t>
      </w:r>
      <w:r>
        <w:rPr>
          <w:spacing w:val="56"/>
        </w:rPr>
        <w:t> </w:t>
      </w:r>
      <w:r>
        <w:rPr/>
        <w:t>magazine</w:t>
      </w:r>
    </w:p>
    <w:p>
      <w:pPr>
        <w:pStyle w:val="BodyText"/>
        <w:rPr>
          <w:sz w:val="20"/>
        </w:rPr>
      </w:pPr>
    </w:p>
    <w:p>
      <w:pPr>
        <w:pStyle w:val="BodyText"/>
        <w:spacing w:before="5"/>
        <w:rPr>
          <w:sz w:val="13"/>
        </w:rPr>
      </w:pPr>
      <w:r>
        <w:rPr/>
        <w:pict>
          <v:line style="position:absolute;mso-position-horizontal-relative:page;mso-position-vertical-relative:paragraph;z-index:9080;mso-wrap-distance-left:0;mso-wrap-distance-right:0" from="70.823997pt,9.924937pt" to="214.843997pt,9.924937pt" stroked="true" strokeweight=".71997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698  </w:t>
      </w:r>
      <w:r>
        <w:rPr>
          <w:sz w:val="20"/>
        </w:rPr>
        <w:t>Matsuno et al.</w:t>
      </w:r>
      <w:r>
        <w:rPr>
          <w:spacing w:val="-30"/>
          <w:sz w:val="20"/>
        </w:rPr>
        <w:t> </w:t>
      </w:r>
      <w:r>
        <w:rPr>
          <w:sz w:val="20"/>
        </w:rPr>
        <w:t>1995</w:t>
      </w:r>
    </w:p>
    <w:p>
      <w:pPr>
        <w:spacing w:before="94"/>
        <w:ind w:left="616" w:right="0" w:firstLine="0"/>
        <w:jc w:val="left"/>
        <w:rPr>
          <w:sz w:val="20"/>
        </w:rPr>
      </w:pPr>
      <w:r>
        <w:rPr>
          <w:position w:val="5"/>
          <w:sz w:val="13"/>
        </w:rPr>
        <w:t>699  </w:t>
      </w:r>
      <w:r>
        <w:rPr>
          <w:sz w:val="20"/>
        </w:rPr>
        <w:t>Matsuno et al.</w:t>
      </w:r>
      <w:r>
        <w:rPr>
          <w:spacing w:val="-30"/>
          <w:sz w:val="20"/>
        </w:rPr>
        <w:t> </w:t>
      </w:r>
      <w:r>
        <w:rPr>
          <w:sz w:val="20"/>
        </w:rPr>
        <w:t>1997</w:t>
      </w:r>
    </w:p>
    <w:p>
      <w:pPr>
        <w:spacing w:before="95"/>
        <w:ind w:left="616" w:right="0" w:firstLine="0"/>
        <w:jc w:val="left"/>
        <w:rPr>
          <w:sz w:val="20"/>
        </w:rPr>
      </w:pPr>
      <w:r>
        <w:rPr/>
        <w:drawing>
          <wp:anchor distT="0" distB="0" distL="0" distR="0" allowOverlap="1" layoutInCell="1" locked="0" behindDoc="1" simplePos="0" relativeHeight="267176879">
            <wp:simplePos x="0" y="0"/>
            <wp:positionH relativeFrom="page">
              <wp:posOffset>985998</wp:posOffset>
            </wp:positionH>
            <wp:positionV relativeFrom="paragraph">
              <wp:posOffset>142597</wp:posOffset>
            </wp:positionV>
            <wp:extent cx="6379583" cy="902106"/>
            <wp:effectExtent l="0" t="0" r="0" b="0"/>
            <wp:wrapNone/>
            <wp:docPr id="465" name="image2.jpeg" descr=""/>
            <wp:cNvGraphicFramePr>
              <a:graphicFrameLocks noChangeAspect="1"/>
            </wp:cNvGraphicFramePr>
            <a:graphic>
              <a:graphicData uri="http://schemas.openxmlformats.org/drawingml/2006/picture">
                <pic:pic>
                  <pic:nvPicPr>
                    <pic:cNvPr id="466"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700  </w:t>
      </w:r>
      <w:r>
        <w:rPr>
          <w:sz w:val="20"/>
        </w:rPr>
        <w:t>Banskota et al.</w:t>
      </w:r>
      <w:r>
        <w:rPr>
          <w:spacing w:val="-27"/>
          <w:sz w:val="20"/>
        </w:rPr>
        <w:t> </w:t>
      </w:r>
      <w:r>
        <w:rPr>
          <w:sz w:val="20"/>
        </w:rPr>
        <w:t>2000</w:t>
      </w:r>
    </w:p>
    <w:p>
      <w:pPr>
        <w:spacing w:before="94"/>
        <w:ind w:left="616" w:right="0" w:firstLine="0"/>
        <w:jc w:val="left"/>
        <w:rPr>
          <w:sz w:val="20"/>
        </w:rPr>
      </w:pPr>
      <w:r>
        <w:rPr>
          <w:position w:val="5"/>
          <w:sz w:val="13"/>
        </w:rPr>
        <w:t>701 </w:t>
      </w:r>
      <w:r>
        <w:rPr>
          <w:sz w:val="20"/>
        </w:rPr>
        <w:t>Prof. Dr. Peter Reusch of Ruhr University Bochum, in vivo on 13.11. 2007</w:t>
      </w:r>
    </w:p>
    <w:p>
      <w:pPr>
        <w:spacing w:after="0"/>
        <w:jc w:val="left"/>
        <w:rPr>
          <w:sz w:val="20"/>
        </w:rPr>
        <w:sectPr>
          <w:footerReference w:type="default" r:id="rId297"/>
          <w:pgSz w:w="14270" w:h="16850"/>
          <w:pgMar w:footer="527" w:header="0" w:top="1340" w:bottom="720" w:left="800" w:right="1280"/>
        </w:sectPr>
      </w:pPr>
    </w:p>
    <w:p>
      <w:pPr>
        <w:pStyle w:val="BodyText"/>
        <w:spacing w:before="74"/>
        <w:ind w:left="616"/>
        <w:rPr>
          <w:sz w:val="25"/>
        </w:rPr>
      </w:pPr>
      <w:r>
        <w:rPr/>
        <w:t>Cancer Prevention Research reported.</w:t>
      </w:r>
      <w:r>
        <w:rPr>
          <w:position w:val="9"/>
          <w:sz w:val="25"/>
        </w:rPr>
        <w:t>702</w:t>
      </w:r>
    </w:p>
    <w:p>
      <w:pPr>
        <w:pStyle w:val="BodyText"/>
        <w:spacing w:line="276" w:lineRule="auto" w:before="305"/>
        <w:ind w:left="616" w:right="134"/>
        <w:jc w:val="both"/>
        <w:rPr>
          <w:sz w:val="25"/>
        </w:rPr>
      </w:pPr>
      <w:r>
        <w:rPr/>
        <w:t>Even in small doses, CAPE inhibits the proliferation, that is the growth, of malignant cells by suppressing the nutrient supply of the cancer cell, which after</w:t>
      </w:r>
      <w:r>
        <w:rPr>
          <w:spacing w:val="-21"/>
        </w:rPr>
        <w:t> </w:t>
      </w:r>
      <w:r>
        <w:rPr/>
        <w:t>only</w:t>
      </w:r>
      <w:r>
        <w:rPr>
          <w:spacing w:val="-24"/>
        </w:rPr>
        <w:t> </w:t>
      </w:r>
      <w:r>
        <w:rPr/>
        <w:t>six</w:t>
      </w:r>
      <w:r>
        <w:rPr>
          <w:spacing w:val="-21"/>
        </w:rPr>
        <w:t> </w:t>
      </w:r>
      <w:r>
        <w:rPr/>
        <w:t>weeks</w:t>
      </w:r>
      <w:r>
        <w:rPr>
          <w:spacing w:val="-21"/>
        </w:rPr>
        <w:t> </w:t>
      </w:r>
      <w:r>
        <w:rPr/>
        <w:t>led</w:t>
      </w:r>
      <w:r>
        <w:rPr>
          <w:spacing w:val="-21"/>
        </w:rPr>
        <w:t> </w:t>
      </w:r>
      <w:r>
        <w:rPr/>
        <w:t>to</w:t>
      </w:r>
      <w:r>
        <w:rPr>
          <w:spacing w:val="-23"/>
        </w:rPr>
        <w:t> </w:t>
      </w:r>
      <w:r>
        <w:rPr/>
        <w:t>a</w:t>
      </w:r>
      <w:r>
        <w:rPr>
          <w:spacing w:val="-24"/>
        </w:rPr>
        <w:t> </w:t>
      </w:r>
      <w:r>
        <w:rPr/>
        <w:t>noticeable</w:t>
      </w:r>
      <w:r>
        <w:rPr>
          <w:spacing w:val="-21"/>
        </w:rPr>
        <w:t> </w:t>
      </w:r>
      <w:r>
        <w:rPr/>
        <w:t>halving</w:t>
      </w:r>
      <w:r>
        <w:rPr>
          <w:spacing w:val="-20"/>
        </w:rPr>
        <w:t> </w:t>
      </w:r>
      <w:r>
        <w:rPr/>
        <w:t>of</w:t>
      </w:r>
      <w:r>
        <w:rPr>
          <w:spacing w:val="-23"/>
        </w:rPr>
        <w:t> </w:t>
      </w:r>
      <w:r>
        <w:rPr/>
        <w:t>the</w:t>
      </w:r>
      <w:r>
        <w:rPr>
          <w:spacing w:val="-20"/>
        </w:rPr>
        <w:t> </w:t>
      </w:r>
      <w:r>
        <w:rPr/>
        <w:t>growth</w:t>
      </w:r>
      <w:r>
        <w:rPr>
          <w:spacing w:val="-22"/>
        </w:rPr>
        <w:t> </w:t>
      </w:r>
      <w:r>
        <w:rPr/>
        <w:t>rate</w:t>
      </w:r>
      <w:r>
        <w:rPr>
          <w:spacing w:val="-24"/>
        </w:rPr>
        <w:t> </w:t>
      </w:r>
      <w:r>
        <w:rPr/>
        <w:t>of</w:t>
      </w:r>
      <w:r>
        <w:rPr>
          <w:spacing w:val="-20"/>
        </w:rPr>
        <w:t> </w:t>
      </w:r>
      <w:r>
        <w:rPr/>
        <w:t>the</w:t>
      </w:r>
      <w:r>
        <w:rPr>
          <w:spacing w:val="-23"/>
        </w:rPr>
        <w:t> </w:t>
      </w:r>
      <w:r>
        <w:rPr/>
        <w:t>tumour cells. CAPE also restored cell communication via corresponding cell junc- tions.</w:t>
      </w:r>
      <w:r>
        <w:rPr>
          <w:position w:val="9"/>
          <w:sz w:val="25"/>
        </w:rPr>
        <w:t>703</w:t>
      </w:r>
    </w:p>
    <w:p>
      <w:pPr>
        <w:pStyle w:val="BodyText"/>
        <w:spacing w:line="276" w:lineRule="auto" w:before="237"/>
        <w:ind w:left="616" w:right="136"/>
        <w:jc w:val="both"/>
        <w:rPr>
          <w:sz w:val="25"/>
        </w:rPr>
      </w:pPr>
      <w:r>
        <w:rPr/>
        <w:t>It should be emphasized that all of these effects were, to the greatest possible extent, selectively achieved, i.e. limited to the cancer cells, while the healthy cells were protected (which is not the case with conventional medicine).</w:t>
      </w:r>
      <w:r>
        <w:rPr>
          <w:position w:val="9"/>
          <w:sz w:val="25"/>
        </w:rPr>
        <w:t>704</w:t>
      </w:r>
    </w:p>
    <w:p>
      <w:pPr>
        <w:pStyle w:val="BodyText"/>
        <w:spacing w:line="276" w:lineRule="auto" w:before="242"/>
        <w:ind w:left="616" w:right="132"/>
        <w:jc w:val="both"/>
        <w:rPr>
          <w:sz w:val="25"/>
        </w:rPr>
      </w:pPr>
      <w:r>
        <w:rPr/>
        <w:t>There are treatment reports according to which the metastases completely dried up and were no longer dangerous.</w:t>
      </w:r>
      <w:r>
        <w:rPr>
          <w:position w:val="9"/>
          <w:sz w:val="25"/>
        </w:rPr>
        <w:t>705</w:t>
      </w:r>
    </w:p>
    <w:p>
      <w:pPr>
        <w:pStyle w:val="BodyText"/>
        <w:spacing w:line="276" w:lineRule="auto" w:before="240"/>
        <w:ind w:left="616" w:right="139"/>
        <w:jc w:val="both"/>
      </w:pPr>
      <w:r>
        <w:rPr/>
        <w:t>As the magazine </w:t>
      </w:r>
      <w:r>
        <w:rPr>
          <w:i/>
        </w:rPr>
        <w:t>Gesundes Leben </w:t>
      </w:r>
      <w:r>
        <w:rPr/>
        <w:t>(‘Healthy Living’) reported in the February 1983 edition, there are known cases where the consumption of propolis was able to avert surgical intervention.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2"/>
        </w:rPr>
      </w:pPr>
      <w:r>
        <w:rPr/>
        <w:pict>
          <v:line style="position:absolute;mso-position-horizontal-relative:page;mso-position-vertical-relative:paragraph;z-index:9128;mso-wrap-distance-left:0;mso-wrap-distance-right:0" from="70.823997pt,9.548765pt" to="214.843997pt,9.548765pt" stroked="true" strokeweight=".71997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702 </w:t>
      </w:r>
      <w:r>
        <w:rPr>
          <w:sz w:val="20"/>
        </w:rPr>
        <w:t>May 2012; 5 (5), p. 788–797</w:t>
      </w:r>
    </w:p>
    <w:p>
      <w:pPr>
        <w:spacing w:before="94"/>
        <w:ind w:left="616" w:right="0" w:firstLine="0"/>
        <w:jc w:val="left"/>
        <w:rPr>
          <w:sz w:val="20"/>
        </w:rPr>
      </w:pPr>
      <w:r>
        <w:rPr>
          <w:position w:val="5"/>
          <w:sz w:val="13"/>
        </w:rPr>
        <w:t>703 </w:t>
      </w:r>
      <w:r>
        <w:rPr>
          <w:sz w:val="20"/>
        </w:rPr>
        <w:t>Na et al. 2000</w:t>
      </w:r>
    </w:p>
    <w:p>
      <w:pPr>
        <w:spacing w:before="95"/>
        <w:ind w:left="616" w:right="0" w:firstLine="0"/>
        <w:jc w:val="left"/>
        <w:rPr>
          <w:sz w:val="20"/>
        </w:rPr>
      </w:pPr>
      <w:r>
        <w:rPr/>
        <w:drawing>
          <wp:anchor distT="0" distB="0" distL="0" distR="0" allowOverlap="1" layoutInCell="1" locked="0" behindDoc="1" simplePos="0" relativeHeight="267176927">
            <wp:simplePos x="0" y="0"/>
            <wp:positionH relativeFrom="page">
              <wp:posOffset>985998</wp:posOffset>
            </wp:positionH>
            <wp:positionV relativeFrom="paragraph">
              <wp:posOffset>142597</wp:posOffset>
            </wp:positionV>
            <wp:extent cx="6379583" cy="902106"/>
            <wp:effectExtent l="0" t="0" r="0" b="0"/>
            <wp:wrapNone/>
            <wp:docPr id="467" name="image2.jpeg" descr=""/>
            <wp:cNvGraphicFramePr>
              <a:graphicFrameLocks noChangeAspect="1"/>
            </wp:cNvGraphicFramePr>
            <a:graphic>
              <a:graphicData uri="http://schemas.openxmlformats.org/drawingml/2006/picture">
                <pic:pic>
                  <pic:nvPicPr>
                    <pic:cNvPr id="468"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704 </w:t>
      </w:r>
      <w:r>
        <w:rPr>
          <w:sz w:val="20"/>
        </w:rPr>
        <w:t>Matsuno et al. 1997</w:t>
      </w:r>
    </w:p>
    <w:p>
      <w:pPr>
        <w:spacing w:before="94"/>
        <w:ind w:left="616" w:right="0" w:firstLine="0"/>
        <w:jc w:val="left"/>
        <w:rPr>
          <w:sz w:val="20"/>
        </w:rPr>
      </w:pPr>
      <w:r>
        <w:rPr>
          <w:position w:val="5"/>
          <w:sz w:val="13"/>
        </w:rPr>
        <w:t>705 </w:t>
      </w:r>
      <w:r>
        <w:rPr>
          <w:sz w:val="20"/>
        </w:rPr>
        <w:t>K. Olsen, Kreiszeitung Frederiksborg Amts Avis, 15.08.1973</w:t>
      </w:r>
    </w:p>
    <w:p>
      <w:pPr>
        <w:spacing w:after="0"/>
        <w:jc w:val="left"/>
        <w:rPr>
          <w:sz w:val="20"/>
        </w:rPr>
        <w:sectPr>
          <w:footerReference w:type="default" r:id="rId298"/>
          <w:pgSz w:w="14270" w:h="16850"/>
          <w:pgMar w:footer="527" w:header="0" w:top="1340" w:bottom="720" w:left="800" w:right="1280"/>
          <w:pgNumType w:start="1255"/>
        </w:sectPr>
      </w:pPr>
    </w:p>
    <w:p>
      <w:pPr>
        <w:pStyle w:val="Heading1"/>
        <w:spacing w:before="77"/>
        <w:ind w:left="616"/>
      </w:pPr>
      <w:r>
        <w:rPr/>
        <w:t>Propolis counteracts cancer in the following concrete way:</w:t>
      </w:r>
    </w:p>
    <w:p>
      <w:pPr>
        <w:spacing w:before="282"/>
        <w:ind w:left="616" w:right="0" w:firstLine="0"/>
        <w:jc w:val="left"/>
        <w:rPr>
          <w:b/>
          <w:i/>
          <w:sz w:val="40"/>
        </w:rPr>
      </w:pPr>
      <w:r>
        <w:rPr>
          <w:b/>
          <w:i/>
          <w:sz w:val="40"/>
        </w:rPr>
        <w:t>Propolis</w:t>
      </w:r>
      <w:r>
        <w:rPr>
          <w:b/>
          <w:i/>
          <w:spacing w:val="-54"/>
          <w:sz w:val="40"/>
        </w:rPr>
        <w:t> </w:t>
      </w:r>
      <w:r>
        <w:rPr>
          <w:b/>
          <w:i/>
          <w:sz w:val="40"/>
        </w:rPr>
        <w:t>introduces</w:t>
      </w:r>
      <w:r>
        <w:rPr>
          <w:b/>
          <w:i/>
          <w:spacing w:val="-54"/>
          <w:sz w:val="40"/>
        </w:rPr>
        <w:t> </w:t>
      </w:r>
      <w:r>
        <w:rPr>
          <w:b/>
          <w:i/>
          <w:sz w:val="40"/>
        </w:rPr>
        <w:t>apoptosis</w:t>
      </w:r>
      <w:r>
        <w:rPr>
          <w:b/>
          <w:i/>
          <w:spacing w:val="-52"/>
          <w:sz w:val="40"/>
        </w:rPr>
        <w:t> </w:t>
      </w:r>
      <w:r>
        <w:rPr>
          <w:b/>
          <w:i/>
          <w:sz w:val="40"/>
        </w:rPr>
        <w:t>(the</w:t>
      </w:r>
      <w:r>
        <w:rPr>
          <w:b/>
          <w:i/>
          <w:spacing w:val="-53"/>
          <w:sz w:val="40"/>
        </w:rPr>
        <w:t> </w:t>
      </w:r>
      <w:r>
        <w:rPr>
          <w:b/>
          <w:i/>
          <w:sz w:val="40"/>
        </w:rPr>
        <w:t>suicide</w:t>
      </w:r>
      <w:r>
        <w:rPr>
          <w:b/>
          <w:i/>
          <w:spacing w:val="-54"/>
          <w:sz w:val="40"/>
        </w:rPr>
        <w:t> </w:t>
      </w:r>
      <w:r>
        <w:rPr>
          <w:b/>
          <w:i/>
          <w:sz w:val="40"/>
        </w:rPr>
        <w:t>programme</w:t>
      </w:r>
      <w:r>
        <w:rPr>
          <w:b/>
          <w:i/>
          <w:spacing w:val="-53"/>
          <w:sz w:val="40"/>
        </w:rPr>
        <w:t> </w:t>
      </w:r>
      <w:r>
        <w:rPr>
          <w:b/>
          <w:i/>
          <w:sz w:val="40"/>
        </w:rPr>
        <w:t>of</w:t>
      </w:r>
      <w:r>
        <w:rPr>
          <w:b/>
          <w:i/>
          <w:spacing w:val="-54"/>
          <w:sz w:val="40"/>
        </w:rPr>
        <w:t> </w:t>
      </w:r>
      <w:r>
        <w:rPr>
          <w:b/>
          <w:i/>
          <w:sz w:val="40"/>
        </w:rPr>
        <w:t>cancer</w:t>
      </w:r>
      <w:r>
        <w:rPr>
          <w:b/>
          <w:i/>
          <w:spacing w:val="-54"/>
          <w:sz w:val="40"/>
        </w:rPr>
        <w:t> </w:t>
      </w:r>
      <w:r>
        <w:rPr>
          <w:b/>
          <w:i/>
          <w:sz w:val="40"/>
        </w:rPr>
        <w:t>cells)</w:t>
      </w:r>
    </w:p>
    <w:p>
      <w:pPr>
        <w:pStyle w:val="BodyText"/>
        <w:spacing w:line="278" w:lineRule="auto" w:before="297"/>
        <w:ind w:left="616"/>
        <w:rPr>
          <w:sz w:val="25"/>
        </w:rPr>
      </w:pPr>
      <w:r>
        <w:rPr/>
        <w:t>The</w:t>
      </w:r>
      <w:r>
        <w:rPr>
          <w:spacing w:val="-13"/>
        </w:rPr>
        <w:t> </w:t>
      </w:r>
      <w:r>
        <w:rPr/>
        <w:t>active</w:t>
      </w:r>
      <w:r>
        <w:rPr>
          <w:spacing w:val="-14"/>
        </w:rPr>
        <w:t> </w:t>
      </w:r>
      <w:r>
        <w:rPr/>
        <w:t>ingredient</w:t>
      </w:r>
      <w:r>
        <w:rPr>
          <w:spacing w:val="-12"/>
        </w:rPr>
        <w:t> </w:t>
      </w:r>
      <w:r>
        <w:rPr/>
        <w:t>‘Artepillin</w:t>
      </w:r>
      <w:r>
        <w:rPr>
          <w:spacing w:val="-13"/>
        </w:rPr>
        <w:t> </w:t>
      </w:r>
      <w:r>
        <w:rPr/>
        <w:t>C’,</w:t>
      </w:r>
      <w:r>
        <w:rPr>
          <w:spacing w:val="-12"/>
        </w:rPr>
        <w:t> </w:t>
      </w:r>
      <w:r>
        <w:rPr/>
        <w:t>contained</w:t>
      </w:r>
      <w:r>
        <w:rPr>
          <w:spacing w:val="-14"/>
        </w:rPr>
        <w:t> </w:t>
      </w:r>
      <w:r>
        <w:rPr/>
        <w:t>in</w:t>
      </w:r>
      <w:r>
        <w:rPr>
          <w:spacing w:val="-13"/>
        </w:rPr>
        <w:t> </w:t>
      </w:r>
      <w:r>
        <w:rPr/>
        <w:t>propolis,</w:t>
      </w:r>
      <w:r>
        <w:rPr>
          <w:spacing w:val="-12"/>
        </w:rPr>
        <w:t> </w:t>
      </w:r>
      <w:r>
        <w:rPr/>
        <w:t>activates</w:t>
      </w:r>
      <w:r>
        <w:rPr>
          <w:spacing w:val="-12"/>
        </w:rPr>
        <w:t> </w:t>
      </w:r>
      <w:r>
        <w:rPr/>
        <w:t>the</w:t>
      </w:r>
      <w:r>
        <w:rPr>
          <w:spacing w:val="-12"/>
        </w:rPr>
        <w:t> </w:t>
      </w:r>
      <w:r>
        <w:rPr/>
        <w:t>biolog- ically programmed cell death within the cancer cell, the so-called</w:t>
      </w:r>
      <w:r>
        <w:rPr>
          <w:spacing w:val="-26"/>
        </w:rPr>
        <w:t> </w:t>
      </w:r>
      <w:r>
        <w:rPr/>
        <w:t>apoptosis.</w:t>
      </w:r>
      <w:r>
        <w:rPr>
          <w:position w:val="9"/>
          <w:sz w:val="25"/>
        </w:rPr>
        <w:t>706</w:t>
      </w:r>
    </w:p>
    <w:p>
      <w:pPr>
        <w:pStyle w:val="Heading1"/>
        <w:spacing w:before="215"/>
        <w:ind w:left="616"/>
      </w:pPr>
      <w:r>
        <w:rPr/>
        <w:t>Propolis</w:t>
      </w:r>
      <w:r>
        <w:rPr>
          <w:spacing w:val="-64"/>
        </w:rPr>
        <w:t> </w:t>
      </w:r>
      <w:r>
        <w:rPr/>
        <w:t>suppress</w:t>
      </w:r>
      <w:r>
        <w:rPr>
          <w:spacing w:val="-64"/>
        </w:rPr>
        <w:t> </w:t>
      </w:r>
      <w:r>
        <w:rPr/>
        <w:t>the</w:t>
      </w:r>
      <w:r>
        <w:rPr>
          <w:spacing w:val="-64"/>
        </w:rPr>
        <w:t> </w:t>
      </w:r>
      <w:r>
        <w:rPr/>
        <w:t>development</w:t>
      </w:r>
      <w:r>
        <w:rPr>
          <w:spacing w:val="-64"/>
        </w:rPr>
        <w:t> </w:t>
      </w:r>
      <w:r>
        <w:rPr/>
        <w:t>of</w:t>
      </w:r>
      <w:r>
        <w:rPr>
          <w:spacing w:val="-63"/>
        </w:rPr>
        <w:t> </w:t>
      </w:r>
      <w:r>
        <w:rPr/>
        <w:t>new</w:t>
      </w:r>
      <w:r>
        <w:rPr>
          <w:spacing w:val="-64"/>
        </w:rPr>
        <w:t> </w:t>
      </w:r>
      <w:r>
        <w:rPr/>
        <w:t>blood</w:t>
      </w:r>
      <w:r>
        <w:rPr>
          <w:spacing w:val="-63"/>
        </w:rPr>
        <w:t> </w:t>
      </w:r>
      <w:r>
        <w:rPr/>
        <w:t>vessels</w:t>
      </w:r>
      <w:r>
        <w:rPr>
          <w:spacing w:val="-64"/>
        </w:rPr>
        <w:t> </w:t>
      </w:r>
      <w:r>
        <w:rPr/>
        <w:t>in</w:t>
      </w:r>
      <w:r>
        <w:rPr>
          <w:spacing w:val="-64"/>
        </w:rPr>
        <w:t> </w:t>
      </w:r>
      <w:r>
        <w:rPr/>
        <w:t>the</w:t>
      </w:r>
      <w:r>
        <w:rPr>
          <w:spacing w:val="-64"/>
        </w:rPr>
        <w:t> </w:t>
      </w:r>
      <w:r>
        <w:rPr/>
        <w:t>tumour</w:t>
      </w:r>
    </w:p>
    <w:p>
      <w:pPr>
        <w:pStyle w:val="BodyText"/>
        <w:spacing w:line="276" w:lineRule="auto" w:before="300"/>
        <w:ind w:left="616"/>
      </w:pPr>
      <w:r>
        <w:rPr/>
        <w:t>The same substance (artepillin C) inhibits the development of new blood ves- sels in the tumour, which starves it and causes the cancer to shrink.</w:t>
      </w:r>
    </w:p>
    <w:p>
      <w:pPr>
        <w:pStyle w:val="Heading1"/>
        <w:spacing w:before="223"/>
        <w:ind w:left="616"/>
      </w:pPr>
      <w:r>
        <w:rPr/>
        <w:t>Propolis strengthens the immune system</w:t>
      </w:r>
    </w:p>
    <w:p>
      <w:pPr>
        <w:pStyle w:val="BodyText"/>
        <w:spacing w:line="276" w:lineRule="auto" w:before="299"/>
        <w:ind w:left="616" w:right="135"/>
        <w:jc w:val="both"/>
      </w:pPr>
      <w:r>
        <w:rPr/>
        <w:t>The property of propolis which strengthens the immune system – here we should primarily mention the numerous secondary plant substances (flavo- noids</w:t>
      </w:r>
      <w:r>
        <w:rPr>
          <w:spacing w:val="-15"/>
        </w:rPr>
        <w:t> </w:t>
      </w:r>
      <w:r>
        <w:rPr/>
        <w:t>&amp;</w:t>
      </w:r>
      <w:r>
        <w:rPr>
          <w:spacing w:val="-15"/>
        </w:rPr>
        <w:t> </w:t>
      </w:r>
      <w:r>
        <w:rPr/>
        <w:t>co.)</w:t>
      </w:r>
      <w:r>
        <w:rPr>
          <w:spacing w:val="-15"/>
        </w:rPr>
        <w:t> </w:t>
      </w:r>
      <w:r>
        <w:rPr/>
        <w:t>–</w:t>
      </w:r>
      <w:r>
        <w:rPr>
          <w:spacing w:val="-15"/>
        </w:rPr>
        <w:t> </w:t>
      </w:r>
      <w:r>
        <w:rPr/>
        <w:t>provides</w:t>
      </w:r>
      <w:r>
        <w:rPr>
          <w:spacing w:val="-14"/>
        </w:rPr>
        <w:t> </w:t>
      </w:r>
      <w:r>
        <w:rPr/>
        <w:t>the</w:t>
      </w:r>
      <w:r>
        <w:rPr>
          <w:spacing w:val="-17"/>
        </w:rPr>
        <w:t> </w:t>
      </w:r>
      <w:r>
        <w:rPr/>
        <w:t>organism</w:t>
      </w:r>
      <w:r>
        <w:rPr>
          <w:spacing w:val="-14"/>
        </w:rPr>
        <w:t> </w:t>
      </w:r>
      <w:r>
        <w:rPr/>
        <w:t>with</w:t>
      </w:r>
      <w:r>
        <w:rPr>
          <w:spacing w:val="-14"/>
        </w:rPr>
        <w:t> </w:t>
      </w:r>
      <w:r>
        <w:rPr/>
        <w:t>a</w:t>
      </w:r>
      <w:r>
        <w:rPr>
          <w:spacing w:val="-18"/>
        </w:rPr>
        <w:t> </w:t>
      </w:r>
      <w:r>
        <w:rPr/>
        <w:t>preventative</w:t>
      </w:r>
      <w:r>
        <w:rPr>
          <w:spacing w:val="-15"/>
        </w:rPr>
        <w:t> </w:t>
      </w:r>
      <w:r>
        <w:rPr/>
        <w:t>and</w:t>
      </w:r>
      <w:r>
        <w:rPr>
          <w:spacing w:val="-14"/>
        </w:rPr>
        <w:t> </w:t>
      </w:r>
      <w:r>
        <w:rPr/>
        <w:t>cancer-inhibiting defence.</w:t>
      </w:r>
    </w:p>
    <w:p>
      <w:pPr>
        <w:pStyle w:val="Heading1"/>
        <w:spacing w:before="223"/>
        <w:ind w:left="616"/>
      </w:pPr>
      <w:r>
        <w:rPr/>
        <w:t>Effect of propolis on cancer as an antioxidant</w:t>
      </w:r>
    </w:p>
    <w:p>
      <w:pPr>
        <w:pStyle w:val="BodyText"/>
        <w:spacing w:line="276" w:lineRule="auto" w:before="299"/>
        <w:ind w:left="616" w:right="139"/>
        <w:jc w:val="both"/>
      </w:pPr>
      <w:r>
        <w:rPr/>
        <w:t>Free radicals can lead to cell mutations and subsequently the development of cancer. Propolis turns out to be a very effective antioxidant and can already fulfil this aspect.</w:t>
      </w:r>
    </w:p>
    <w:p>
      <w:pPr>
        <w:pStyle w:val="BodyText"/>
        <w:rPr>
          <w:sz w:val="20"/>
        </w:rPr>
      </w:pPr>
    </w:p>
    <w:p>
      <w:pPr>
        <w:pStyle w:val="BodyText"/>
        <w:rPr>
          <w:sz w:val="20"/>
        </w:rPr>
      </w:pPr>
    </w:p>
    <w:p>
      <w:pPr>
        <w:pStyle w:val="BodyText"/>
        <w:rPr>
          <w:sz w:val="20"/>
        </w:rPr>
      </w:pPr>
    </w:p>
    <w:p>
      <w:pPr>
        <w:pStyle w:val="BodyText"/>
        <w:spacing w:before="7"/>
        <w:rPr>
          <w:sz w:val="10"/>
        </w:rPr>
      </w:pPr>
      <w:r>
        <w:rPr/>
        <w:pict>
          <v:line style="position:absolute;mso-position-horizontal-relative:page;mso-position-vertical-relative:paragraph;z-index:9176;mso-wrap-distance-left:0;mso-wrap-distance-right:0" from="70.823997pt,8.368765pt" to="214.843997pt,8.368765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706 </w:t>
      </w:r>
      <w:r>
        <w:rPr>
          <w:sz w:val="20"/>
        </w:rPr>
        <w:t>Su et al. 1995, Chiao et al. 1995, Jeng et al. 2000</w:t>
      </w:r>
    </w:p>
    <w:p>
      <w:pPr>
        <w:spacing w:after="0"/>
        <w:jc w:val="left"/>
        <w:rPr>
          <w:sz w:val="20"/>
        </w:rPr>
        <w:sectPr>
          <w:footerReference w:type="default" r:id="rId299"/>
          <w:pgSz w:w="14270" w:h="16850"/>
          <w:pgMar w:footer="1891" w:header="0" w:top="1320" w:bottom="2080" w:left="800" w:right="1280"/>
          <w:pgNumType w:start="1256"/>
        </w:sectPr>
      </w:pPr>
    </w:p>
    <w:p>
      <w:pPr>
        <w:pStyle w:val="Heading1"/>
        <w:spacing w:before="77"/>
        <w:ind w:left="616"/>
      </w:pPr>
      <w:r>
        <w:rPr/>
        <w:t>Antiviral effect of propolis on cancer</w:t>
      </w:r>
    </w:p>
    <w:p>
      <w:pPr>
        <w:pStyle w:val="BodyText"/>
        <w:spacing w:line="276" w:lineRule="auto" w:before="299"/>
        <w:ind w:left="616" w:right="132"/>
        <w:jc w:val="both"/>
      </w:pPr>
      <w:r>
        <w:rPr/>
        <w:t>Today we know that the development of certain types of cancer is related to viruses. By deploying its antiviral function, it also deploys a cancer-preventing and -inhibiting activity.</w:t>
      </w:r>
    </w:p>
    <w:p>
      <w:pPr>
        <w:pStyle w:val="Heading1"/>
        <w:spacing w:before="222"/>
        <w:ind w:left="616"/>
      </w:pPr>
      <w:r>
        <w:rPr/>
        <w:t>Which types of cancer does propolis have an effect on?</w:t>
      </w:r>
    </w:p>
    <w:p>
      <w:pPr>
        <w:pStyle w:val="BodyText"/>
        <w:spacing w:line="276" w:lineRule="auto" w:before="299"/>
        <w:ind w:left="616" w:right="135"/>
        <w:jc w:val="both"/>
        <w:rPr>
          <w:sz w:val="25"/>
        </w:rPr>
      </w:pPr>
      <w:r>
        <w:rPr/>
        <w:t>Due to the comprehensive, multifactorial effect, we can assume that propolis is effective on numerous types of cancer; we will have to wait for further re- search</w:t>
      </w:r>
      <w:r>
        <w:rPr>
          <w:spacing w:val="-16"/>
        </w:rPr>
        <w:t> </w:t>
      </w:r>
      <w:r>
        <w:rPr/>
        <w:t>on</w:t>
      </w:r>
      <w:r>
        <w:rPr>
          <w:spacing w:val="-15"/>
        </w:rPr>
        <w:t> </w:t>
      </w:r>
      <w:r>
        <w:rPr/>
        <w:t>the</w:t>
      </w:r>
      <w:r>
        <w:rPr>
          <w:spacing w:val="-17"/>
        </w:rPr>
        <w:t> </w:t>
      </w:r>
      <w:r>
        <w:rPr/>
        <w:t>subject</w:t>
      </w:r>
      <w:r>
        <w:rPr>
          <w:spacing w:val="-15"/>
        </w:rPr>
        <w:t> </w:t>
      </w:r>
      <w:r>
        <w:rPr/>
        <w:t>though.</w:t>
      </w:r>
      <w:r>
        <w:rPr>
          <w:spacing w:val="-16"/>
        </w:rPr>
        <w:t> </w:t>
      </w:r>
      <w:r>
        <w:rPr/>
        <w:t>Propolis</w:t>
      </w:r>
      <w:r>
        <w:rPr>
          <w:spacing w:val="-15"/>
        </w:rPr>
        <w:t> </w:t>
      </w:r>
      <w:r>
        <w:rPr/>
        <w:t>has</w:t>
      </w:r>
      <w:r>
        <w:rPr>
          <w:spacing w:val="-15"/>
        </w:rPr>
        <w:t> </w:t>
      </w:r>
      <w:r>
        <w:rPr/>
        <w:t>been</w:t>
      </w:r>
      <w:r>
        <w:rPr>
          <w:spacing w:val="-17"/>
        </w:rPr>
        <w:t> </w:t>
      </w:r>
      <w:r>
        <w:rPr/>
        <w:t>shown</w:t>
      </w:r>
      <w:r>
        <w:rPr>
          <w:spacing w:val="-16"/>
        </w:rPr>
        <w:t> </w:t>
      </w:r>
      <w:r>
        <w:rPr/>
        <w:t>to</w:t>
      </w:r>
      <w:r>
        <w:rPr>
          <w:spacing w:val="-15"/>
        </w:rPr>
        <w:t> </w:t>
      </w:r>
      <w:r>
        <w:rPr/>
        <w:t>hinder</w:t>
      </w:r>
      <w:r>
        <w:rPr>
          <w:spacing w:val="-17"/>
        </w:rPr>
        <w:t> </w:t>
      </w:r>
      <w:r>
        <w:rPr/>
        <w:t>the</w:t>
      </w:r>
      <w:r>
        <w:rPr>
          <w:spacing w:val="-15"/>
        </w:rPr>
        <w:t> </w:t>
      </w:r>
      <w:r>
        <w:rPr/>
        <w:t>following types of cancer (in animal</w:t>
      </w:r>
      <w:r>
        <w:rPr>
          <w:spacing w:val="1"/>
        </w:rPr>
        <w:t> </w:t>
      </w:r>
      <w:r>
        <w:rPr/>
        <w:t>studies):</w:t>
      </w:r>
      <w:r>
        <w:rPr>
          <w:position w:val="9"/>
          <w:sz w:val="25"/>
        </w:rPr>
        <w:t>707</w:t>
      </w:r>
    </w:p>
    <w:p>
      <w:pPr>
        <w:pStyle w:val="ListParagraph"/>
        <w:numPr>
          <w:ilvl w:val="0"/>
          <w:numId w:val="95"/>
        </w:numPr>
        <w:tabs>
          <w:tab w:pos="1126" w:val="left" w:leader="none"/>
        </w:tabs>
        <w:spacing w:line="240" w:lineRule="auto" w:before="200" w:after="0"/>
        <w:ind w:left="1125" w:right="0" w:hanging="509"/>
        <w:jc w:val="both"/>
        <w:rPr>
          <w:sz w:val="38"/>
        </w:rPr>
      </w:pPr>
      <w:r>
        <w:rPr>
          <w:sz w:val="38"/>
        </w:rPr>
        <w:t>Breast</w:t>
      </w:r>
      <w:r>
        <w:rPr>
          <w:spacing w:val="-7"/>
          <w:sz w:val="38"/>
        </w:rPr>
        <w:t> </w:t>
      </w:r>
      <w:r>
        <w:rPr>
          <w:sz w:val="38"/>
        </w:rPr>
        <w:t>cancer</w:t>
      </w:r>
    </w:p>
    <w:p>
      <w:pPr>
        <w:pStyle w:val="ListParagraph"/>
        <w:numPr>
          <w:ilvl w:val="0"/>
          <w:numId w:val="95"/>
        </w:numPr>
        <w:tabs>
          <w:tab w:pos="1126" w:val="left" w:leader="none"/>
        </w:tabs>
        <w:spacing w:line="240" w:lineRule="auto" w:before="186" w:after="0"/>
        <w:ind w:left="1125" w:right="0" w:hanging="509"/>
        <w:jc w:val="both"/>
        <w:rPr>
          <w:sz w:val="38"/>
        </w:rPr>
      </w:pPr>
      <w:r>
        <w:rPr>
          <w:sz w:val="38"/>
        </w:rPr>
        <w:t>Colon</w:t>
      </w:r>
      <w:r>
        <w:rPr>
          <w:spacing w:val="-7"/>
          <w:sz w:val="38"/>
        </w:rPr>
        <w:t> </w:t>
      </w:r>
      <w:r>
        <w:rPr>
          <w:sz w:val="38"/>
        </w:rPr>
        <w:t>cancer</w:t>
      </w:r>
    </w:p>
    <w:p>
      <w:pPr>
        <w:pStyle w:val="ListParagraph"/>
        <w:numPr>
          <w:ilvl w:val="0"/>
          <w:numId w:val="95"/>
        </w:numPr>
        <w:tabs>
          <w:tab w:pos="1126" w:val="left" w:leader="none"/>
        </w:tabs>
        <w:spacing w:line="240" w:lineRule="auto" w:before="184" w:after="0"/>
        <w:ind w:left="1125" w:right="0" w:hanging="509"/>
        <w:jc w:val="both"/>
        <w:rPr>
          <w:sz w:val="38"/>
        </w:rPr>
      </w:pPr>
      <w:r>
        <w:rPr>
          <w:sz w:val="38"/>
        </w:rPr>
        <w:t>Kidney cancer</w:t>
      </w:r>
    </w:p>
    <w:p>
      <w:pPr>
        <w:pStyle w:val="ListParagraph"/>
        <w:numPr>
          <w:ilvl w:val="0"/>
          <w:numId w:val="95"/>
        </w:numPr>
        <w:tabs>
          <w:tab w:pos="1126" w:val="left" w:leader="none"/>
        </w:tabs>
        <w:spacing w:line="240" w:lineRule="auto" w:before="184" w:after="0"/>
        <w:ind w:left="1125" w:right="0" w:hanging="509"/>
        <w:jc w:val="both"/>
        <w:rPr>
          <w:sz w:val="38"/>
        </w:rPr>
      </w:pPr>
      <w:r>
        <w:rPr>
          <w:sz w:val="38"/>
        </w:rPr>
        <w:t>Skin cancer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4"/>
        </w:rPr>
      </w:pPr>
      <w:r>
        <w:rPr/>
        <w:pict>
          <v:line style="position:absolute;mso-position-horizontal-relative:page;mso-position-vertical-relative:paragraph;z-index:9200;mso-wrap-distance-left:0;mso-wrap-distance-right:0" from="70.823997pt,10.616187pt" to="214.843997pt,10.616187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707 </w:t>
      </w:r>
      <w:r>
        <w:rPr>
          <w:sz w:val="20"/>
        </w:rPr>
        <w:t>Huang et al. 1996, Mitamura et al. 1996, Kimoto et al. 1998, Kawabe et al. 2000, Rao et al. 1995</w:t>
      </w:r>
    </w:p>
    <w:p>
      <w:pPr>
        <w:spacing w:after="0"/>
        <w:jc w:val="left"/>
        <w:rPr>
          <w:sz w:val="20"/>
        </w:rPr>
        <w:sectPr>
          <w:pgSz w:w="14270" w:h="16850"/>
          <w:pgMar w:header="0" w:footer="1891" w:top="1320" w:bottom="2080" w:left="800" w:right="1280"/>
        </w:sectPr>
      </w:pPr>
    </w:p>
    <w:p>
      <w:pPr>
        <w:pStyle w:val="Heading1"/>
        <w:spacing w:line="261" w:lineRule="auto" w:before="77"/>
        <w:ind w:left="616" w:right="141"/>
        <w:jc w:val="both"/>
      </w:pPr>
      <w:r>
        <w:rPr/>
        <w:t>Propolis</w:t>
      </w:r>
      <w:r>
        <w:rPr>
          <w:spacing w:val="-39"/>
        </w:rPr>
        <w:t> </w:t>
      </w:r>
      <w:r>
        <w:rPr/>
        <w:t>enhances</w:t>
      </w:r>
      <w:r>
        <w:rPr>
          <w:spacing w:val="-38"/>
        </w:rPr>
        <w:t> </w:t>
      </w:r>
      <w:r>
        <w:rPr/>
        <w:t>the</w:t>
      </w:r>
      <w:r>
        <w:rPr>
          <w:spacing w:val="-37"/>
        </w:rPr>
        <w:t> </w:t>
      </w:r>
      <w:r>
        <w:rPr/>
        <w:t>effects</w:t>
      </w:r>
      <w:r>
        <w:rPr>
          <w:spacing w:val="-36"/>
        </w:rPr>
        <w:t> </w:t>
      </w:r>
      <w:r>
        <w:rPr/>
        <w:t>of</w:t>
      </w:r>
      <w:r>
        <w:rPr>
          <w:spacing w:val="-38"/>
        </w:rPr>
        <w:t> </w:t>
      </w:r>
      <w:r>
        <w:rPr/>
        <w:t>chemotherapy</w:t>
      </w:r>
      <w:r>
        <w:rPr>
          <w:spacing w:val="-39"/>
        </w:rPr>
        <w:t> </w:t>
      </w:r>
      <w:r>
        <w:rPr/>
        <w:t>and</w:t>
      </w:r>
      <w:r>
        <w:rPr>
          <w:spacing w:val="-37"/>
        </w:rPr>
        <w:t> </w:t>
      </w:r>
      <w:r>
        <w:rPr/>
        <w:t>relieves</w:t>
      </w:r>
      <w:r>
        <w:rPr>
          <w:spacing w:val="-36"/>
        </w:rPr>
        <w:t> </w:t>
      </w:r>
      <w:r>
        <w:rPr/>
        <w:t>its</w:t>
      </w:r>
      <w:r>
        <w:rPr>
          <w:spacing w:val="-38"/>
        </w:rPr>
        <w:t> </w:t>
      </w:r>
      <w:r>
        <w:rPr/>
        <w:t>side</w:t>
      </w:r>
      <w:r>
        <w:rPr>
          <w:spacing w:val="-39"/>
        </w:rPr>
        <w:t> </w:t>
      </w:r>
      <w:r>
        <w:rPr/>
        <w:t>ef- fects</w:t>
      </w:r>
    </w:p>
    <w:p>
      <w:pPr>
        <w:pStyle w:val="BodyText"/>
        <w:spacing w:line="276" w:lineRule="auto" w:before="258"/>
        <w:ind w:left="616" w:right="131"/>
        <w:jc w:val="both"/>
        <w:rPr>
          <w:sz w:val="25"/>
        </w:rPr>
      </w:pPr>
      <w:r>
        <w:rPr/>
        <w:t>There</w:t>
      </w:r>
      <w:r>
        <w:rPr>
          <w:spacing w:val="-10"/>
        </w:rPr>
        <w:t> </w:t>
      </w:r>
      <w:r>
        <w:rPr/>
        <w:t>are</w:t>
      </w:r>
      <w:r>
        <w:rPr>
          <w:spacing w:val="-11"/>
        </w:rPr>
        <w:t> </w:t>
      </w:r>
      <w:r>
        <w:rPr/>
        <w:t>several</w:t>
      </w:r>
      <w:r>
        <w:rPr>
          <w:spacing w:val="-10"/>
        </w:rPr>
        <w:t> </w:t>
      </w:r>
      <w:r>
        <w:rPr/>
        <w:t>studies</w:t>
      </w:r>
      <w:r>
        <w:rPr>
          <w:spacing w:val="-10"/>
        </w:rPr>
        <w:t> </w:t>
      </w:r>
      <w:r>
        <w:rPr/>
        <w:t>that</w:t>
      </w:r>
      <w:r>
        <w:rPr>
          <w:spacing w:val="-9"/>
        </w:rPr>
        <w:t> </w:t>
      </w:r>
      <w:r>
        <w:rPr/>
        <w:t>indicate</w:t>
      </w:r>
      <w:r>
        <w:rPr>
          <w:spacing w:val="-11"/>
        </w:rPr>
        <w:t> </w:t>
      </w:r>
      <w:r>
        <w:rPr/>
        <w:t>that</w:t>
      </w:r>
      <w:r>
        <w:rPr>
          <w:spacing w:val="-9"/>
        </w:rPr>
        <w:t> </w:t>
      </w:r>
      <w:r>
        <w:rPr/>
        <w:t>the</w:t>
      </w:r>
      <w:r>
        <w:rPr>
          <w:spacing w:val="-11"/>
        </w:rPr>
        <w:t> </w:t>
      </w:r>
      <w:r>
        <w:rPr/>
        <w:t>combination</w:t>
      </w:r>
      <w:r>
        <w:rPr>
          <w:spacing w:val="-8"/>
        </w:rPr>
        <w:t> </w:t>
      </w:r>
      <w:r>
        <w:rPr/>
        <w:t>of</w:t>
      </w:r>
      <w:r>
        <w:rPr>
          <w:spacing w:val="-14"/>
        </w:rPr>
        <w:t> </w:t>
      </w:r>
      <w:r>
        <w:rPr/>
        <w:t>chemotherapies (with the exception of bleomycin</w:t>
      </w:r>
      <w:r>
        <w:rPr>
          <w:position w:val="9"/>
          <w:sz w:val="25"/>
        </w:rPr>
        <w:t>708</w:t>
      </w:r>
      <w:r>
        <w:rPr/>
        <w:t>) with propolis strengthens the effect of the chemotherapies and decreases side effects.</w:t>
      </w:r>
      <w:r>
        <w:rPr>
          <w:position w:val="9"/>
          <w:sz w:val="25"/>
        </w:rPr>
        <w:t>709 </w:t>
      </w:r>
      <w:r>
        <w:rPr/>
        <w:t>Among other things, propo- lis</w:t>
      </w:r>
      <w:r>
        <w:rPr>
          <w:spacing w:val="-19"/>
        </w:rPr>
        <w:t> </w:t>
      </w:r>
      <w:r>
        <w:rPr/>
        <w:t>can</w:t>
      </w:r>
      <w:r>
        <w:rPr>
          <w:spacing w:val="-17"/>
        </w:rPr>
        <w:t> </w:t>
      </w:r>
      <w:r>
        <w:rPr/>
        <w:t>protect</w:t>
      </w:r>
      <w:r>
        <w:rPr>
          <w:spacing w:val="-18"/>
        </w:rPr>
        <w:t> </w:t>
      </w:r>
      <w:r>
        <w:rPr/>
        <w:t>against</w:t>
      </w:r>
      <w:r>
        <w:rPr>
          <w:spacing w:val="-18"/>
        </w:rPr>
        <w:t> </w:t>
      </w:r>
      <w:r>
        <w:rPr/>
        <w:t>the</w:t>
      </w:r>
      <w:r>
        <w:rPr>
          <w:spacing w:val="-18"/>
        </w:rPr>
        <w:t> </w:t>
      </w:r>
      <w:r>
        <w:rPr/>
        <w:t>weakening</w:t>
      </w:r>
      <w:r>
        <w:rPr>
          <w:spacing w:val="-17"/>
        </w:rPr>
        <w:t> </w:t>
      </w:r>
      <w:r>
        <w:rPr/>
        <w:t>of</w:t>
      </w:r>
      <w:r>
        <w:rPr>
          <w:spacing w:val="-18"/>
        </w:rPr>
        <w:t> </w:t>
      </w:r>
      <w:r>
        <w:rPr/>
        <w:t>the</w:t>
      </w:r>
      <w:r>
        <w:rPr>
          <w:spacing w:val="-18"/>
        </w:rPr>
        <w:t> </w:t>
      </w:r>
      <w:r>
        <w:rPr/>
        <w:t>heart</w:t>
      </w:r>
      <w:r>
        <w:rPr>
          <w:spacing w:val="-21"/>
        </w:rPr>
        <w:t> </w:t>
      </w:r>
      <w:r>
        <w:rPr/>
        <w:t>muscle</w:t>
      </w:r>
      <w:r>
        <w:rPr>
          <w:spacing w:val="-18"/>
        </w:rPr>
        <w:t> </w:t>
      </w:r>
      <w:r>
        <w:rPr/>
        <w:t>caused</w:t>
      </w:r>
      <w:r>
        <w:rPr>
          <w:spacing w:val="-18"/>
        </w:rPr>
        <w:t> </w:t>
      </w:r>
      <w:r>
        <w:rPr/>
        <w:t>by</w:t>
      </w:r>
      <w:r>
        <w:rPr>
          <w:spacing w:val="-17"/>
        </w:rPr>
        <w:t> </w:t>
      </w:r>
      <w:r>
        <w:rPr/>
        <w:t>chemother- apy.</w:t>
      </w:r>
      <w:r>
        <w:rPr>
          <w:position w:val="9"/>
          <w:sz w:val="25"/>
        </w:rPr>
        <w:t>710</w:t>
      </w:r>
    </w:p>
    <w:p>
      <w:pPr>
        <w:pStyle w:val="Heading1"/>
        <w:spacing w:before="225"/>
        <w:ind w:left="616"/>
      </w:pPr>
      <w:r>
        <w:rPr/>
        <w:t>Propolis minimises side effects of</w:t>
      </w:r>
      <w:r>
        <w:rPr>
          <w:spacing w:val="-67"/>
        </w:rPr>
        <w:t> </w:t>
      </w:r>
      <w:r>
        <w:rPr/>
        <w:t>radiotherapy</w:t>
      </w:r>
    </w:p>
    <w:p>
      <w:pPr>
        <w:pStyle w:val="BodyText"/>
        <w:spacing w:before="299"/>
        <w:ind w:left="616"/>
        <w:rPr>
          <w:sz w:val="25"/>
        </w:rPr>
      </w:pPr>
      <w:r>
        <w:rPr/>
        <w:t>Inflamed swelling induced by radiotherapy can be minimised with propolis.</w:t>
      </w:r>
      <w:r>
        <w:rPr>
          <w:position w:val="9"/>
          <w:sz w:val="25"/>
        </w:rPr>
        <w:t>711</w:t>
      </w:r>
    </w:p>
    <w:p>
      <w:pPr>
        <w:pStyle w:val="Heading2"/>
        <w:spacing w:before="302"/>
        <w:ind w:left="616"/>
      </w:pPr>
      <w:r>
        <w:rPr/>
        <w:t>Studies and research on propolis</w:t>
      </w:r>
    </w:p>
    <w:p>
      <w:pPr>
        <w:pStyle w:val="BodyText"/>
        <w:spacing w:line="276" w:lineRule="auto" w:before="305"/>
        <w:ind w:left="616" w:right="136"/>
        <w:jc w:val="both"/>
      </w:pPr>
      <w:r>
        <w:rPr/>
        <w:t>Numerous</w:t>
      </w:r>
      <w:r>
        <w:rPr>
          <w:spacing w:val="-9"/>
        </w:rPr>
        <w:t> </w:t>
      </w:r>
      <w:r>
        <w:rPr/>
        <w:t>studies</w:t>
      </w:r>
      <w:r>
        <w:rPr>
          <w:spacing w:val="-7"/>
        </w:rPr>
        <w:t> </w:t>
      </w:r>
      <w:r>
        <w:rPr/>
        <w:t>from</w:t>
      </w:r>
      <w:r>
        <w:rPr>
          <w:spacing w:val="-8"/>
        </w:rPr>
        <w:t> </w:t>
      </w:r>
      <w:r>
        <w:rPr/>
        <w:t>around</w:t>
      </w:r>
      <w:r>
        <w:rPr>
          <w:spacing w:val="-8"/>
        </w:rPr>
        <w:t> </w:t>
      </w:r>
      <w:r>
        <w:rPr/>
        <w:t>the</w:t>
      </w:r>
      <w:r>
        <w:rPr>
          <w:spacing w:val="-7"/>
        </w:rPr>
        <w:t> </w:t>
      </w:r>
      <w:r>
        <w:rPr/>
        <w:t>world</w:t>
      </w:r>
      <w:r>
        <w:rPr>
          <w:spacing w:val="-8"/>
        </w:rPr>
        <w:t> </w:t>
      </w:r>
      <w:r>
        <w:rPr/>
        <w:t>emphasise</w:t>
      </w:r>
      <w:r>
        <w:rPr>
          <w:spacing w:val="-8"/>
        </w:rPr>
        <w:t> </w:t>
      </w:r>
      <w:r>
        <w:rPr/>
        <w:t>the</w:t>
      </w:r>
      <w:r>
        <w:rPr>
          <w:spacing w:val="-7"/>
        </w:rPr>
        <w:t> </w:t>
      </w:r>
      <w:r>
        <w:rPr/>
        <w:t>positive</w:t>
      </w:r>
      <w:r>
        <w:rPr>
          <w:spacing w:val="-9"/>
        </w:rPr>
        <w:t> </w:t>
      </w:r>
      <w:r>
        <w:rPr/>
        <w:t>mechanisms against numerous illnesses and all sorts of ailments listed above in the section ‘Effect of Propolis’.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5"/>
        </w:rPr>
      </w:pPr>
      <w:r>
        <w:rPr/>
        <w:pict>
          <v:line style="position:absolute;mso-position-horizontal-relative:page;mso-position-vertical-relative:paragraph;z-index:9224;mso-wrap-distance-left:0;mso-wrap-distance-right:0" from="70.823997pt,10.880015pt" to="214.843997pt,10.880015pt" stroked="true" strokeweight=".71997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708 </w:t>
      </w:r>
      <w:r>
        <w:rPr>
          <w:sz w:val="20"/>
        </w:rPr>
        <w:t>Scheller et al. 1989</w:t>
      </w:r>
    </w:p>
    <w:p>
      <w:pPr>
        <w:spacing w:before="94"/>
        <w:ind w:left="616" w:right="0" w:firstLine="0"/>
        <w:jc w:val="left"/>
        <w:rPr>
          <w:sz w:val="20"/>
        </w:rPr>
      </w:pPr>
      <w:r>
        <w:rPr>
          <w:position w:val="5"/>
          <w:sz w:val="13"/>
        </w:rPr>
        <w:t>709 </w:t>
      </w:r>
      <w:r>
        <w:rPr>
          <w:sz w:val="20"/>
        </w:rPr>
        <w:t>Or Olli et al. 2005, 2006</w:t>
      </w:r>
    </w:p>
    <w:p>
      <w:pPr>
        <w:spacing w:before="95"/>
        <w:ind w:left="616" w:right="0" w:firstLine="0"/>
        <w:jc w:val="left"/>
        <w:rPr>
          <w:sz w:val="20"/>
        </w:rPr>
      </w:pPr>
      <w:r>
        <w:rPr/>
        <w:drawing>
          <wp:anchor distT="0" distB="0" distL="0" distR="0" allowOverlap="1" layoutInCell="1" locked="0" behindDoc="1" simplePos="0" relativeHeight="267177023">
            <wp:simplePos x="0" y="0"/>
            <wp:positionH relativeFrom="page">
              <wp:posOffset>985998</wp:posOffset>
            </wp:positionH>
            <wp:positionV relativeFrom="paragraph">
              <wp:posOffset>142597</wp:posOffset>
            </wp:positionV>
            <wp:extent cx="6379583" cy="902106"/>
            <wp:effectExtent l="0" t="0" r="0" b="0"/>
            <wp:wrapNone/>
            <wp:docPr id="471" name="image2.jpeg" descr=""/>
            <wp:cNvGraphicFramePr>
              <a:graphicFrameLocks noChangeAspect="1"/>
            </wp:cNvGraphicFramePr>
            <a:graphic>
              <a:graphicData uri="http://schemas.openxmlformats.org/drawingml/2006/picture">
                <pic:pic>
                  <pic:nvPicPr>
                    <pic:cNvPr id="472"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710 </w:t>
      </w:r>
      <w:r>
        <w:rPr>
          <w:sz w:val="20"/>
        </w:rPr>
        <w:t>Chopra et al. 1995</w:t>
      </w:r>
    </w:p>
    <w:p>
      <w:pPr>
        <w:spacing w:before="94"/>
        <w:ind w:left="616" w:right="0" w:firstLine="0"/>
        <w:jc w:val="left"/>
        <w:rPr>
          <w:sz w:val="20"/>
        </w:rPr>
      </w:pPr>
      <w:r>
        <w:rPr>
          <w:position w:val="5"/>
          <w:sz w:val="13"/>
        </w:rPr>
        <w:t>711 </w:t>
      </w:r>
      <w:r>
        <w:rPr>
          <w:sz w:val="20"/>
        </w:rPr>
        <w:t>El-Ghazaly, Khayyal, 1995</w:t>
      </w:r>
    </w:p>
    <w:p>
      <w:pPr>
        <w:spacing w:after="0"/>
        <w:jc w:val="left"/>
        <w:rPr>
          <w:sz w:val="20"/>
        </w:rPr>
        <w:sectPr>
          <w:footerReference w:type="default" r:id="rId300"/>
          <w:pgSz w:w="14270" w:h="16850"/>
          <w:pgMar w:footer="527" w:header="0" w:top="1320" w:bottom="720" w:left="800" w:right="1280"/>
        </w:sectPr>
      </w:pPr>
    </w:p>
    <w:p>
      <w:pPr>
        <w:pStyle w:val="Heading1"/>
        <w:spacing w:before="77"/>
        <w:ind w:left="616"/>
      </w:pPr>
      <w:r>
        <w:rPr/>
        <w:t>Propolis as a helpful, natural</w:t>
      </w:r>
      <w:r>
        <w:rPr>
          <w:spacing w:val="-59"/>
        </w:rPr>
        <w:t> </w:t>
      </w:r>
      <w:r>
        <w:rPr/>
        <w:t>anti-histamine</w:t>
      </w:r>
    </w:p>
    <w:p>
      <w:pPr>
        <w:pStyle w:val="BodyText"/>
        <w:spacing w:line="276" w:lineRule="auto" w:before="299"/>
        <w:ind w:left="616"/>
      </w:pPr>
      <w:r>
        <w:rPr/>
        <w:t>Because propolis naturally inhibits the release of histamines, it works effec- tively against all kinds of allergies</w:t>
      </w:r>
      <w:r>
        <w:rPr>
          <w:position w:val="9"/>
          <w:sz w:val="25"/>
        </w:rPr>
        <w:t>712</w:t>
      </w:r>
      <w:r>
        <w:rPr/>
        <w:t>.</w:t>
      </w:r>
    </w:p>
    <w:p>
      <w:pPr>
        <w:pStyle w:val="Heading1"/>
        <w:spacing w:before="221"/>
        <w:ind w:left="616"/>
      </w:pPr>
      <w:r>
        <w:rPr/>
        <w:t>Patients with severe hay fever completely cured</w:t>
      </w:r>
    </w:p>
    <w:p>
      <w:pPr>
        <w:pStyle w:val="BodyText"/>
        <w:spacing w:line="276" w:lineRule="auto" w:before="300"/>
        <w:ind w:left="616" w:right="132"/>
        <w:jc w:val="both"/>
        <w:rPr>
          <w:sz w:val="25"/>
        </w:rPr>
      </w:pPr>
      <w:r>
        <w:rPr/>
        <w:t>At the Sorbonne (University of Paris), patients suffering from hay fever in its peak</w:t>
      </w:r>
      <w:r>
        <w:rPr>
          <w:spacing w:val="-8"/>
        </w:rPr>
        <w:t> </w:t>
      </w:r>
      <w:r>
        <w:rPr/>
        <w:t>season</w:t>
      </w:r>
      <w:r>
        <w:rPr>
          <w:spacing w:val="-7"/>
        </w:rPr>
        <w:t> </w:t>
      </w:r>
      <w:r>
        <w:rPr/>
        <w:t>were</w:t>
      </w:r>
      <w:r>
        <w:rPr>
          <w:spacing w:val="-7"/>
        </w:rPr>
        <w:t> </w:t>
      </w:r>
      <w:r>
        <w:rPr/>
        <w:t>treated</w:t>
      </w:r>
      <w:r>
        <w:rPr>
          <w:spacing w:val="-6"/>
        </w:rPr>
        <w:t> </w:t>
      </w:r>
      <w:r>
        <w:rPr/>
        <w:t>with</w:t>
      </w:r>
      <w:r>
        <w:rPr>
          <w:spacing w:val="-6"/>
        </w:rPr>
        <w:t> </w:t>
      </w:r>
      <w:r>
        <w:rPr/>
        <w:t>8</w:t>
      </w:r>
      <w:r>
        <w:rPr>
          <w:spacing w:val="-10"/>
        </w:rPr>
        <w:t> </w:t>
      </w:r>
      <w:r>
        <w:rPr/>
        <w:t>propolis</w:t>
      </w:r>
      <w:r>
        <w:rPr>
          <w:spacing w:val="-7"/>
        </w:rPr>
        <w:t> </w:t>
      </w:r>
      <w:r>
        <w:rPr/>
        <w:t>capsules</w:t>
      </w:r>
      <w:r>
        <w:rPr>
          <w:spacing w:val="-6"/>
        </w:rPr>
        <w:t> </w:t>
      </w:r>
      <w:r>
        <w:rPr/>
        <w:t>per</w:t>
      </w:r>
      <w:r>
        <w:rPr>
          <w:spacing w:val="-9"/>
        </w:rPr>
        <w:t> </w:t>
      </w:r>
      <w:r>
        <w:rPr/>
        <w:t>day.</w:t>
      </w:r>
      <w:r>
        <w:rPr>
          <w:spacing w:val="-6"/>
        </w:rPr>
        <w:t> </w:t>
      </w:r>
      <w:r>
        <w:rPr/>
        <w:t>After</w:t>
      </w:r>
      <w:r>
        <w:rPr>
          <w:spacing w:val="-9"/>
        </w:rPr>
        <w:t> </w:t>
      </w:r>
      <w:r>
        <w:rPr/>
        <w:t>the</w:t>
      </w:r>
      <w:r>
        <w:rPr>
          <w:spacing w:val="-6"/>
        </w:rPr>
        <w:t> </w:t>
      </w:r>
      <w:r>
        <w:rPr/>
        <w:t>first</w:t>
      </w:r>
      <w:r>
        <w:rPr>
          <w:spacing w:val="-7"/>
        </w:rPr>
        <w:t> </w:t>
      </w:r>
      <w:r>
        <w:rPr/>
        <w:t>week of</w:t>
      </w:r>
      <w:r>
        <w:rPr>
          <w:spacing w:val="-20"/>
        </w:rPr>
        <w:t> </w:t>
      </w:r>
      <w:r>
        <w:rPr/>
        <w:t>regular</w:t>
      </w:r>
      <w:r>
        <w:rPr>
          <w:spacing w:val="-20"/>
        </w:rPr>
        <w:t> </w:t>
      </w:r>
      <w:r>
        <w:rPr/>
        <w:t>consumption,</w:t>
      </w:r>
      <w:r>
        <w:rPr>
          <w:spacing w:val="-19"/>
        </w:rPr>
        <w:t> </w:t>
      </w:r>
      <w:r>
        <w:rPr/>
        <w:t>the</w:t>
      </w:r>
      <w:r>
        <w:rPr>
          <w:spacing w:val="-16"/>
        </w:rPr>
        <w:t> </w:t>
      </w:r>
      <w:r>
        <w:rPr/>
        <w:t>patients</w:t>
      </w:r>
      <w:r>
        <w:rPr>
          <w:spacing w:val="-19"/>
        </w:rPr>
        <w:t> </w:t>
      </w:r>
      <w:r>
        <w:rPr/>
        <w:t>were</w:t>
      </w:r>
      <w:r>
        <w:rPr>
          <w:spacing w:val="-19"/>
        </w:rPr>
        <w:t> </w:t>
      </w:r>
      <w:r>
        <w:rPr/>
        <w:t>already</w:t>
      </w:r>
      <w:r>
        <w:rPr>
          <w:spacing w:val="-19"/>
        </w:rPr>
        <w:t> </w:t>
      </w:r>
      <w:r>
        <w:rPr/>
        <w:t>amazingly</w:t>
      </w:r>
      <w:r>
        <w:rPr>
          <w:spacing w:val="-19"/>
        </w:rPr>
        <w:t> </w:t>
      </w:r>
      <w:r>
        <w:rPr/>
        <w:t>free</w:t>
      </w:r>
      <w:r>
        <w:rPr>
          <w:spacing w:val="-19"/>
        </w:rPr>
        <w:t> </w:t>
      </w:r>
      <w:r>
        <w:rPr/>
        <w:t>of</w:t>
      </w:r>
      <w:r>
        <w:rPr>
          <w:spacing w:val="-20"/>
        </w:rPr>
        <w:t> </w:t>
      </w:r>
      <w:r>
        <w:rPr/>
        <w:t>symptoms, which was said to have lasted to the end of the hay fever season. In both of the next two years, they were treated with small doses of propolis and have been cured ever since. Further treatment in subsequent years was no longer necessary.</w:t>
      </w:r>
      <w:r>
        <w:rPr>
          <w:position w:val="9"/>
          <w:sz w:val="25"/>
        </w:rPr>
        <w:t>713</w:t>
      </w:r>
    </w:p>
    <w:p>
      <w:pPr>
        <w:pStyle w:val="Heading1"/>
        <w:spacing w:before="223"/>
        <w:ind w:left="616"/>
      </w:pPr>
      <w:r>
        <w:rPr/>
        <w:t>Propolis protects the genome (DNA) from damage</w:t>
      </w:r>
    </w:p>
    <w:p>
      <w:pPr>
        <w:pStyle w:val="BodyText"/>
        <w:spacing w:line="276" w:lineRule="auto" w:before="300"/>
        <w:ind w:left="616"/>
        <w:rPr>
          <w:sz w:val="25"/>
        </w:rPr>
      </w:pPr>
      <w:r>
        <w:rPr/>
        <w:t>The genome is constantly being attacked by free radicals, among other things. Propolis was proven in studies to be able to defend the genome from this.</w:t>
      </w:r>
      <w:r>
        <w:rPr>
          <w:position w:val="9"/>
          <w:sz w:val="25"/>
        </w:rPr>
        <w:t>714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r>
        <w:rPr/>
        <w:pict>
          <v:line style="position:absolute;mso-position-horizontal-relative:page;mso-position-vertical-relative:paragraph;z-index:9272;mso-wrap-distance-left:0;mso-wrap-distance-right:0" from="70.823997pt,11.736265pt" to="214.843997pt,11.736265pt" stroked="true" strokeweight=".71997pt" strokecolor="#000000">
            <v:stroke dashstyle="solid"/>
            <w10:wrap type="topAndBottom"/>
          </v:line>
        </w:pict>
      </w:r>
    </w:p>
    <w:p>
      <w:pPr>
        <w:pStyle w:val="BodyText"/>
        <w:spacing w:before="7"/>
        <w:rPr>
          <w:sz w:val="18"/>
        </w:rPr>
      </w:pPr>
    </w:p>
    <w:p>
      <w:pPr>
        <w:spacing w:line="276" w:lineRule="auto" w:before="99"/>
        <w:ind w:left="616" w:right="244" w:firstLine="0"/>
        <w:jc w:val="left"/>
        <w:rPr>
          <w:sz w:val="20"/>
        </w:rPr>
      </w:pPr>
      <w:r>
        <w:rPr>
          <w:position w:val="5"/>
          <w:sz w:val="13"/>
        </w:rPr>
        <w:t>712 </w:t>
      </w:r>
      <w:r>
        <w:rPr>
          <w:sz w:val="20"/>
        </w:rPr>
        <w:t>Press conference ‘Neue Aspekte zum Apitherapeutikum Propolis’ (‘New Aspects of Propolis Apitherapy’), Prof. B.Havsteen, Dr. H. Modrack, Dr. Galka, Hamburg 1985</w:t>
      </w:r>
    </w:p>
    <w:p>
      <w:pPr>
        <w:spacing w:before="61"/>
        <w:ind w:left="616" w:right="0" w:firstLine="0"/>
        <w:jc w:val="left"/>
        <w:rPr>
          <w:sz w:val="20"/>
        </w:rPr>
      </w:pPr>
      <w:r>
        <w:rPr>
          <w:position w:val="5"/>
          <w:sz w:val="13"/>
        </w:rPr>
        <w:t>713 </w:t>
      </w:r>
      <w:r>
        <w:rPr>
          <w:sz w:val="20"/>
        </w:rPr>
        <w:t>Prof. Dr. Chauvin, Paris. Propolis Symposium in Budapest, 1980</w:t>
      </w:r>
    </w:p>
    <w:p>
      <w:pPr>
        <w:spacing w:before="94"/>
        <w:ind w:left="616" w:right="0" w:firstLine="0"/>
        <w:jc w:val="left"/>
        <w:rPr>
          <w:sz w:val="20"/>
        </w:rPr>
      </w:pPr>
      <w:r>
        <w:rPr>
          <w:position w:val="5"/>
          <w:sz w:val="13"/>
        </w:rPr>
        <w:t>714 </w:t>
      </w:r>
      <w:r>
        <w:rPr>
          <w:sz w:val="20"/>
        </w:rPr>
        <w:t>Montoro 2005</w:t>
      </w:r>
    </w:p>
    <w:p>
      <w:pPr>
        <w:spacing w:after="0"/>
        <w:jc w:val="left"/>
        <w:rPr>
          <w:sz w:val="20"/>
        </w:rPr>
        <w:sectPr>
          <w:footerReference w:type="default" r:id="rId301"/>
          <w:pgSz w:w="14270" w:h="16850"/>
          <w:pgMar w:footer="527" w:header="0" w:top="1320" w:bottom="720" w:left="800" w:right="1280"/>
        </w:sectPr>
      </w:pPr>
    </w:p>
    <w:p>
      <w:pPr>
        <w:pStyle w:val="Heading1"/>
        <w:spacing w:before="77"/>
        <w:ind w:left="616"/>
      </w:pPr>
      <w:r>
        <w:rPr/>
        <w:t>Lower cholesterol with propolis achieved in studies</w:t>
      </w:r>
    </w:p>
    <w:p>
      <w:pPr>
        <w:pStyle w:val="BodyText"/>
        <w:spacing w:line="276" w:lineRule="auto" w:before="299"/>
        <w:ind w:left="616" w:right="137"/>
        <w:jc w:val="both"/>
        <w:rPr>
          <w:sz w:val="25"/>
        </w:rPr>
      </w:pPr>
      <w:r>
        <w:rPr/>
        <w:t>For</w:t>
      </w:r>
      <w:r>
        <w:rPr>
          <w:spacing w:val="-16"/>
        </w:rPr>
        <w:t> </w:t>
      </w:r>
      <w:r>
        <w:rPr/>
        <w:t>over</w:t>
      </w:r>
      <w:r>
        <w:rPr>
          <w:spacing w:val="-17"/>
        </w:rPr>
        <w:t> </w:t>
      </w:r>
      <w:r>
        <w:rPr/>
        <w:t>four</w:t>
      </w:r>
      <w:r>
        <w:rPr>
          <w:spacing w:val="-17"/>
        </w:rPr>
        <w:t> </w:t>
      </w:r>
      <w:r>
        <w:rPr/>
        <w:t>weeks,</w:t>
      </w:r>
      <w:r>
        <w:rPr>
          <w:spacing w:val="-16"/>
        </w:rPr>
        <w:t> </w:t>
      </w:r>
      <w:r>
        <w:rPr/>
        <w:t>45</w:t>
      </w:r>
      <w:r>
        <w:rPr>
          <w:spacing w:val="-18"/>
        </w:rPr>
        <w:t> </w:t>
      </w:r>
      <w:r>
        <w:rPr/>
        <w:t>patients</w:t>
      </w:r>
      <w:r>
        <w:rPr>
          <w:spacing w:val="-20"/>
        </w:rPr>
        <w:t> </w:t>
      </w:r>
      <w:r>
        <w:rPr/>
        <w:t>with</w:t>
      </w:r>
      <w:r>
        <w:rPr>
          <w:spacing w:val="-17"/>
        </w:rPr>
        <w:t> </w:t>
      </w:r>
      <w:r>
        <w:rPr/>
        <w:t>high</w:t>
      </w:r>
      <w:r>
        <w:rPr>
          <w:spacing w:val="-16"/>
        </w:rPr>
        <w:t> </w:t>
      </w:r>
      <w:r>
        <w:rPr/>
        <w:t>cholesterol</w:t>
      </w:r>
      <w:r>
        <w:rPr>
          <w:spacing w:val="-17"/>
        </w:rPr>
        <w:t> </w:t>
      </w:r>
      <w:r>
        <w:rPr/>
        <w:t>and</w:t>
      </w:r>
      <w:r>
        <w:rPr>
          <w:spacing w:val="-17"/>
        </w:rPr>
        <w:t> </w:t>
      </w:r>
      <w:r>
        <w:rPr/>
        <w:t>high</w:t>
      </w:r>
      <w:r>
        <w:rPr>
          <w:spacing w:val="-18"/>
        </w:rPr>
        <w:t> </w:t>
      </w:r>
      <w:r>
        <w:rPr/>
        <w:t>blood</w:t>
      </w:r>
      <w:r>
        <w:rPr>
          <w:spacing w:val="-18"/>
        </w:rPr>
        <w:t> </w:t>
      </w:r>
      <w:r>
        <w:rPr/>
        <w:t>pressure were administered 1 propolis capsule 3 times per day. Every patient’s choles- terol levels were substantially</w:t>
      </w:r>
      <w:r>
        <w:rPr>
          <w:spacing w:val="-1"/>
        </w:rPr>
        <w:t> </w:t>
      </w:r>
      <w:r>
        <w:rPr/>
        <w:t>decreased.</w:t>
      </w:r>
      <w:r>
        <w:rPr>
          <w:position w:val="9"/>
          <w:sz w:val="25"/>
        </w:rPr>
        <w:t>715</w:t>
      </w:r>
    </w:p>
    <w:p>
      <w:pPr>
        <w:pStyle w:val="Heading1"/>
        <w:spacing w:before="222"/>
        <w:ind w:left="616"/>
      </w:pPr>
      <w:r>
        <w:rPr/>
        <w:t>Studies show that propolis reduces high blood pressure</w:t>
      </w:r>
    </w:p>
    <w:p>
      <w:pPr>
        <w:pStyle w:val="BodyText"/>
        <w:spacing w:line="276" w:lineRule="auto" w:before="299"/>
        <w:ind w:left="616" w:right="131"/>
        <w:jc w:val="both"/>
        <w:rPr>
          <w:sz w:val="25"/>
        </w:rPr>
      </w:pPr>
      <w:r>
        <w:rPr/>
        <w:t>A</w:t>
      </w:r>
      <w:r>
        <w:rPr>
          <w:spacing w:val="-15"/>
        </w:rPr>
        <w:t> </w:t>
      </w:r>
      <w:r>
        <w:rPr/>
        <w:t>Bulgarian</w:t>
      </w:r>
      <w:r>
        <w:rPr>
          <w:spacing w:val="-14"/>
        </w:rPr>
        <w:t> </w:t>
      </w:r>
      <w:r>
        <w:rPr/>
        <w:t>study</w:t>
      </w:r>
      <w:r>
        <w:rPr>
          <w:spacing w:val="-15"/>
        </w:rPr>
        <w:t> </w:t>
      </w:r>
      <w:r>
        <w:rPr/>
        <w:t>of</w:t>
      </w:r>
      <w:r>
        <w:rPr>
          <w:spacing w:val="-16"/>
        </w:rPr>
        <w:t> </w:t>
      </w:r>
      <w:r>
        <w:rPr/>
        <w:t>34</w:t>
      </w:r>
      <w:r>
        <w:rPr>
          <w:spacing w:val="-15"/>
        </w:rPr>
        <w:t> </w:t>
      </w:r>
      <w:r>
        <w:rPr/>
        <w:t>patients</w:t>
      </w:r>
      <w:r>
        <w:rPr>
          <w:spacing w:val="-19"/>
        </w:rPr>
        <w:t> </w:t>
      </w:r>
      <w:r>
        <w:rPr/>
        <w:t>with</w:t>
      </w:r>
      <w:r>
        <w:rPr>
          <w:spacing w:val="-15"/>
        </w:rPr>
        <w:t> </w:t>
      </w:r>
      <w:r>
        <w:rPr/>
        <w:t>chronic</w:t>
      </w:r>
      <w:r>
        <w:rPr>
          <w:spacing w:val="-16"/>
        </w:rPr>
        <w:t> </w:t>
      </w:r>
      <w:r>
        <w:rPr/>
        <w:t>high</w:t>
      </w:r>
      <w:r>
        <w:rPr>
          <w:spacing w:val="-14"/>
        </w:rPr>
        <w:t> </w:t>
      </w:r>
      <w:r>
        <w:rPr/>
        <w:t>blood</w:t>
      </w:r>
      <w:r>
        <w:rPr>
          <w:spacing w:val="-16"/>
        </w:rPr>
        <w:t> </w:t>
      </w:r>
      <w:r>
        <w:rPr/>
        <w:t>pressure</w:t>
      </w:r>
      <w:r>
        <w:rPr>
          <w:spacing w:val="-16"/>
        </w:rPr>
        <w:t> </w:t>
      </w:r>
      <w:r>
        <w:rPr/>
        <w:t>showed</w:t>
      </w:r>
      <w:r>
        <w:rPr>
          <w:spacing w:val="-16"/>
        </w:rPr>
        <w:t> </w:t>
      </w:r>
      <w:r>
        <w:rPr/>
        <w:t>that it was possible to lower systolic high blood pressure by 10-15 mmHg on</w:t>
      </w:r>
      <w:r>
        <w:rPr>
          <w:spacing w:val="-49"/>
        </w:rPr>
        <w:t> </w:t>
      </w:r>
      <w:r>
        <w:rPr/>
        <w:t>aver- age</w:t>
      </w:r>
      <w:r>
        <w:rPr>
          <w:spacing w:val="-12"/>
        </w:rPr>
        <w:t> </w:t>
      </w:r>
      <w:r>
        <w:rPr/>
        <w:t>and</w:t>
      </w:r>
      <w:r>
        <w:rPr>
          <w:spacing w:val="-11"/>
        </w:rPr>
        <w:t> </w:t>
      </w:r>
      <w:r>
        <w:rPr/>
        <w:t>diastolic</w:t>
      </w:r>
      <w:r>
        <w:rPr>
          <w:spacing w:val="-10"/>
        </w:rPr>
        <w:t> </w:t>
      </w:r>
      <w:r>
        <w:rPr/>
        <w:t>high</w:t>
      </w:r>
      <w:r>
        <w:rPr>
          <w:spacing w:val="-10"/>
        </w:rPr>
        <w:t> </w:t>
      </w:r>
      <w:r>
        <w:rPr/>
        <w:t>blood</w:t>
      </w:r>
      <w:r>
        <w:rPr>
          <w:spacing w:val="-14"/>
        </w:rPr>
        <w:t> </w:t>
      </w:r>
      <w:r>
        <w:rPr/>
        <w:t>pressure</w:t>
      </w:r>
      <w:r>
        <w:rPr>
          <w:spacing w:val="-10"/>
        </w:rPr>
        <w:t> </w:t>
      </w:r>
      <w:r>
        <w:rPr/>
        <w:t>by</w:t>
      </w:r>
      <w:r>
        <w:rPr>
          <w:spacing w:val="-11"/>
        </w:rPr>
        <w:t> </w:t>
      </w:r>
      <w:r>
        <w:rPr/>
        <w:t>5-10</w:t>
      </w:r>
      <w:r>
        <w:rPr>
          <w:spacing w:val="-12"/>
        </w:rPr>
        <w:t> </w:t>
      </w:r>
      <w:r>
        <w:rPr/>
        <w:t>mmHg,</w:t>
      </w:r>
      <w:r>
        <w:rPr>
          <w:spacing w:val="-11"/>
        </w:rPr>
        <w:t> </w:t>
      </w:r>
      <w:r>
        <w:rPr/>
        <w:t>which</w:t>
      </w:r>
      <w:r>
        <w:rPr>
          <w:spacing w:val="-11"/>
        </w:rPr>
        <w:t> </w:t>
      </w:r>
      <w:r>
        <w:rPr/>
        <w:t>should</w:t>
      </w:r>
      <w:r>
        <w:rPr>
          <w:spacing w:val="-11"/>
        </w:rPr>
        <w:t> </w:t>
      </w:r>
      <w:r>
        <w:rPr/>
        <w:t>be</w:t>
      </w:r>
      <w:r>
        <w:rPr>
          <w:spacing w:val="-11"/>
        </w:rPr>
        <w:t> </w:t>
      </w:r>
      <w:r>
        <w:rPr/>
        <w:t>consid- ered significant.</w:t>
      </w:r>
      <w:r>
        <w:rPr>
          <w:position w:val="9"/>
          <w:sz w:val="25"/>
        </w:rPr>
        <w:t>716</w:t>
      </w:r>
    </w:p>
    <w:p>
      <w:pPr>
        <w:pStyle w:val="Heading1"/>
        <w:spacing w:before="222"/>
        <w:ind w:left="616"/>
      </w:pPr>
      <w:r>
        <w:rPr/>
        <w:t>Propolis demonstrates potential as an efficient antiviral in studies</w:t>
      </w:r>
    </w:p>
    <w:p>
      <w:pPr>
        <w:pStyle w:val="BodyText"/>
        <w:spacing w:line="278" w:lineRule="auto" w:before="300"/>
        <w:ind w:left="616"/>
        <w:rPr>
          <w:sz w:val="25"/>
        </w:rPr>
      </w:pPr>
      <w:r>
        <w:rPr/>
        <w:t>The antiviral effect of propolis has been supported by numerous studies, in- cluding against herpes viruses, influenza, and adeno viruses.</w:t>
      </w:r>
      <w:r>
        <w:rPr>
          <w:position w:val="9"/>
          <w:sz w:val="25"/>
        </w:rPr>
        <w:t>717</w:t>
      </w:r>
    </w:p>
    <w:p>
      <w:pPr>
        <w:pStyle w:val="Heading1"/>
        <w:spacing w:before="215"/>
        <w:ind w:left="616"/>
      </w:pPr>
      <w:r>
        <w:rPr/>
        <w:t>Propolis effective on HIV and AIDS</w:t>
      </w:r>
    </w:p>
    <w:p>
      <w:pPr>
        <w:pStyle w:val="BodyText"/>
        <w:spacing w:line="276" w:lineRule="auto" w:before="299"/>
        <w:ind w:left="616"/>
        <w:rPr>
          <w:sz w:val="25"/>
        </w:rPr>
      </w:pPr>
      <w:r>
        <w:rPr/>
        <w:t>Studies have shown that propolis even has a positive effect on HIV and AIDS.</w:t>
      </w:r>
      <w:r>
        <w:rPr>
          <w:position w:val="9"/>
          <w:sz w:val="25"/>
        </w:rPr>
        <w:t>718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4"/>
        </w:rPr>
      </w:pPr>
      <w:r>
        <w:rPr/>
        <w:pict>
          <v:line style="position:absolute;mso-position-horizontal-relative:page;mso-position-vertical-relative:paragraph;z-index:9296;mso-wrap-distance-left:0;mso-wrap-distance-right:0" from="70.823997pt,16.408766pt" to="214.843997pt,16.408766pt" stroked="true" strokeweight=".71997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715 </w:t>
      </w:r>
      <w:r>
        <w:rPr>
          <w:sz w:val="20"/>
        </w:rPr>
        <w:t>Dr. Fan Chu, Talk at Apitherapy Symposium in Bucharest, 1980</w:t>
      </w:r>
    </w:p>
    <w:p>
      <w:pPr>
        <w:spacing w:before="94"/>
        <w:ind w:left="616" w:right="0" w:firstLine="0"/>
        <w:jc w:val="left"/>
        <w:rPr>
          <w:sz w:val="20"/>
        </w:rPr>
      </w:pPr>
      <w:r>
        <w:rPr>
          <w:position w:val="5"/>
          <w:sz w:val="13"/>
        </w:rPr>
        <w:t>716 </w:t>
      </w:r>
      <w:r>
        <w:rPr>
          <w:sz w:val="20"/>
        </w:rPr>
        <w:t>Prof. Dr. Harnay: Propolis, Apimondia Verlag 1984</w:t>
      </w:r>
    </w:p>
    <w:p>
      <w:pPr>
        <w:spacing w:before="95"/>
        <w:ind w:left="616" w:right="0" w:firstLine="0"/>
        <w:jc w:val="left"/>
        <w:rPr>
          <w:sz w:val="20"/>
        </w:rPr>
      </w:pPr>
      <w:r>
        <w:rPr/>
        <w:drawing>
          <wp:anchor distT="0" distB="0" distL="0" distR="0" allowOverlap="1" layoutInCell="1" locked="0" behindDoc="1" simplePos="0" relativeHeight="267177095">
            <wp:simplePos x="0" y="0"/>
            <wp:positionH relativeFrom="page">
              <wp:posOffset>985998</wp:posOffset>
            </wp:positionH>
            <wp:positionV relativeFrom="paragraph">
              <wp:posOffset>142597</wp:posOffset>
            </wp:positionV>
            <wp:extent cx="6379583" cy="902106"/>
            <wp:effectExtent l="0" t="0" r="0" b="0"/>
            <wp:wrapNone/>
            <wp:docPr id="475" name="image2.jpeg" descr=""/>
            <wp:cNvGraphicFramePr>
              <a:graphicFrameLocks noChangeAspect="1"/>
            </wp:cNvGraphicFramePr>
            <a:graphic>
              <a:graphicData uri="http://schemas.openxmlformats.org/drawingml/2006/picture">
                <pic:pic>
                  <pic:nvPicPr>
                    <pic:cNvPr id="476"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717 </w:t>
      </w:r>
      <w:r>
        <w:rPr>
          <w:sz w:val="20"/>
        </w:rPr>
        <w:t>Kujumgiev et al. 1999, Neychev et al. 1988, Levkofitz et al. 1997</w:t>
      </w:r>
    </w:p>
    <w:p>
      <w:pPr>
        <w:spacing w:before="94"/>
        <w:ind w:left="616" w:right="0" w:firstLine="0"/>
        <w:jc w:val="left"/>
        <w:rPr>
          <w:sz w:val="20"/>
        </w:rPr>
      </w:pPr>
      <w:r>
        <w:rPr>
          <w:position w:val="5"/>
          <w:sz w:val="13"/>
        </w:rPr>
        <w:t>718 </w:t>
      </w:r>
      <w:r>
        <w:rPr>
          <w:sz w:val="20"/>
        </w:rPr>
        <w:t>Harish et al. 1997</w:t>
      </w:r>
    </w:p>
    <w:p>
      <w:pPr>
        <w:spacing w:after="0"/>
        <w:jc w:val="left"/>
        <w:rPr>
          <w:sz w:val="20"/>
        </w:rPr>
        <w:sectPr>
          <w:footerReference w:type="default" r:id="rId302"/>
          <w:pgSz w:w="14270" w:h="16850"/>
          <w:pgMar w:footer="527" w:header="0" w:top="1320" w:bottom="720" w:left="800" w:right="1280"/>
          <w:pgNumType w:start="1260"/>
        </w:sectPr>
      </w:pPr>
    </w:p>
    <w:p>
      <w:pPr>
        <w:pStyle w:val="Heading1"/>
        <w:spacing w:before="77"/>
        <w:ind w:left="616"/>
      </w:pPr>
      <w:r>
        <w:rPr/>
        <w:t>Propolis decreases flu outbreaks to</w:t>
      </w:r>
      <w:r>
        <w:rPr>
          <w:spacing w:val="-51"/>
        </w:rPr>
        <w:t> </w:t>
      </w:r>
      <w:r>
        <w:rPr/>
        <w:t>1/6</w:t>
      </w:r>
    </w:p>
    <w:p>
      <w:pPr>
        <w:pStyle w:val="BodyText"/>
        <w:spacing w:line="276" w:lineRule="auto" w:before="299"/>
        <w:ind w:left="616" w:right="136"/>
        <w:jc w:val="both"/>
        <w:rPr>
          <w:sz w:val="25"/>
        </w:rPr>
      </w:pPr>
      <w:r>
        <w:rPr/>
        <w:t>In Yugoslavia, the effect of propolis on the aggressive Hong Kong flu virus was tested in the framework of a large study. While 60 % of the group which took no propolis became infected with the feared flu, it was only 10 % in the propolis group.</w:t>
      </w:r>
      <w:r>
        <w:rPr>
          <w:position w:val="9"/>
          <w:sz w:val="25"/>
        </w:rPr>
        <w:t>719</w:t>
      </w:r>
    </w:p>
    <w:p>
      <w:pPr>
        <w:pStyle w:val="Heading1"/>
        <w:spacing w:before="222"/>
        <w:ind w:left="616"/>
      </w:pPr>
      <w:r>
        <w:rPr/>
        <w:t>Propolis protects vitamin C</w:t>
      </w:r>
    </w:p>
    <w:p>
      <w:pPr>
        <w:pStyle w:val="BodyText"/>
        <w:spacing w:line="276" w:lineRule="auto" w:before="300"/>
        <w:ind w:left="616" w:right="135"/>
        <w:jc w:val="both"/>
      </w:pPr>
      <w:r>
        <w:rPr/>
        <w:t>Vitamin</w:t>
      </w:r>
      <w:r>
        <w:rPr>
          <w:spacing w:val="-16"/>
        </w:rPr>
        <w:t> </w:t>
      </w:r>
      <w:r>
        <w:rPr/>
        <w:t>C</w:t>
      </w:r>
      <w:r>
        <w:rPr>
          <w:spacing w:val="-18"/>
        </w:rPr>
        <w:t> </w:t>
      </w:r>
      <w:r>
        <w:rPr/>
        <w:t>is</w:t>
      </w:r>
      <w:r>
        <w:rPr>
          <w:spacing w:val="-17"/>
        </w:rPr>
        <w:t> </w:t>
      </w:r>
      <w:r>
        <w:rPr/>
        <w:t>one</w:t>
      </w:r>
      <w:r>
        <w:rPr>
          <w:spacing w:val="-17"/>
        </w:rPr>
        <w:t> </w:t>
      </w:r>
      <w:r>
        <w:rPr/>
        <w:t>of</w:t>
      </w:r>
      <w:r>
        <w:rPr>
          <w:spacing w:val="-16"/>
        </w:rPr>
        <w:t> </w:t>
      </w:r>
      <w:r>
        <w:rPr/>
        <w:t>the</w:t>
      </w:r>
      <w:r>
        <w:rPr>
          <w:spacing w:val="-16"/>
        </w:rPr>
        <w:t> </w:t>
      </w:r>
      <w:r>
        <w:rPr/>
        <w:t>essential</w:t>
      </w:r>
      <w:r>
        <w:rPr>
          <w:spacing w:val="-21"/>
        </w:rPr>
        <w:t> </w:t>
      </w:r>
      <w:r>
        <w:rPr/>
        <w:t>antioxidants</w:t>
      </w:r>
      <w:r>
        <w:rPr>
          <w:spacing w:val="-16"/>
        </w:rPr>
        <w:t> </w:t>
      </w:r>
      <w:r>
        <w:rPr/>
        <w:t>in</w:t>
      </w:r>
      <w:r>
        <w:rPr>
          <w:spacing w:val="-16"/>
        </w:rPr>
        <w:t> </w:t>
      </w:r>
      <w:r>
        <w:rPr/>
        <w:t>the</w:t>
      </w:r>
      <w:r>
        <w:rPr>
          <w:spacing w:val="-16"/>
        </w:rPr>
        <w:t> </w:t>
      </w:r>
      <w:r>
        <w:rPr/>
        <w:t>‘antioxidant</w:t>
      </w:r>
      <w:r>
        <w:rPr>
          <w:spacing w:val="-16"/>
        </w:rPr>
        <w:t> </w:t>
      </w:r>
      <w:r>
        <w:rPr/>
        <w:t>orchestra’</w:t>
      </w:r>
      <w:r>
        <w:rPr>
          <w:spacing w:val="-16"/>
        </w:rPr>
        <w:t> </w:t>
      </w:r>
      <w:r>
        <w:rPr/>
        <w:t>and also plays a major part in collagen development. Every single second, it pro- tects</w:t>
      </w:r>
      <w:r>
        <w:rPr>
          <w:spacing w:val="-14"/>
        </w:rPr>
        <w:t> </w:t>
      </w:r>
      <w:r>
        <w:rPr/>
        <w:t>our</w:t>
      </w:r>
      <w:r>
        <w:rPr>
          <w:spacing w:val="-14"/>
        </w:rPr>
        <w:t> </w:t>
      </w:r>
      <w:r>
        <w:rPr/>
        <w:t>cells</w:t>
      </w:r>
      <w:r>
        <w:rPr>
          <w:spacing w:val="-14"/>
        </w:rPr>
        <w:t> </w:t>
      </w:r>
      <w:r>
        <w:rPr/>
        <w:t>from</w:t>
      </w:r>
      <w:r>
        <w:rPr>
          <w:spacing w:val="-14"/>
        </w:rPr>
        <w:t> </w:t>
      </w:r>
      <w:r>
        <w:rPr/>
        <w:t>innumerable</w:t>
      </w:r>
      <w:r>
        <w:rPr>
          <w:spacing w:val="-15"/>
        </w:rPr>
        <w:t> </w:t>
      </w:r>
      <w:r>
        <w:rPr/>
        <w:t>attacks</w:t>
      </w:r>
      <w:r>
        <w:rPr>
          <w:spacing w:val="-14"/>
        </w:rPr>
        <w:t> </w:t>
      </w:r>
      <w:r>
        <w:rPr/>
        <w:t>by</w:t>
      </w:r>
      <w:r>
        <w:rPr>
          <w:spacing w:val="-14"/>
        </w:rPr>
        <w:t> </w:t>
      </w:r>
      <w:r>
        <w:rPr/>
        <w:t>free</w:t>
      </w:r>
      <w:r>
        <w:rPr>
          <w:spacing w:val="-13"/>
        </w:rPr>
        <w:t> </w:t>
      </w:r>
      <w:r>
        <w:rPr/>
        <w:t>radicals</w:t>
      </w:r>
      <w:r>
        <w:rPr>
          <w:spacing w:val="-12"/>
        </w:rPr>
        <w:t> </w:t>
      </w:r>
      <w:r>
        <w:rPr/>
        <w:t>and</w:t>
      </w:r>
      <w:r>
        <w:rPr>
          <w:spacing w:val="-14"/>
        </w:rPr>
        <w:t> </w:t>
      </w:r>
      <w:r>
        <w:rPr/>
        <w:t>itself</w:t>
      </w:r>
      <w:r>
        <w:rPr>
          <w:spacing w:val="-12"/>
        </w:rPr>
        <w:t> </w:t>
      </w:r>
      <w:r>
        <w:rPr/>
        <w:t>breaks</w:t>
      </w:r>
      <w:r>
        <w:rPr>
          <w:spacing w:val="-14"/>
        </w:rPr>
        <w:t> </w:t>
      </w:r>
      <w:r>
        <w:rPr/>
        <w:t>down during the</w:t>
      </w:r>
      <w:r>
        <w:rPr>
          <w:spacing w:val="2"/>
        </w:rPr>
        <w:t> </w:t>
      </w:r>
      <w:r>
        <w:rPr/>
        <w:t>process.</w:t>
      </w:r>
    </w:p>
    <w:p>
      <w:pPr>
        <w:pStyle w:val="BodyText"/>
        <w:spacing w:line="276" w:lineRule="auto" w:before="239"/>
        <w:ind w:left="616" w:right="145"/>
        <w:jc w:val="both"/>
        <w:rPr>
          <w:sz w:val="25"/>
        </w:rPr>
      </w:pPr>
      <w:r>
        <w:rPr/>
        <w:t>Studies have shown that propolis decreases the consumption of Vitamin C. Independently of its own antioxidants which it delivers itself, it also addition- ally protects Vitamin C.</w:t>
      </w:r>
      <w:r>
        <w:rPr>
          <w:position w:val="9"/>
          <w:sz w:val="25"/>
        </w:rPr>
        <w:t>720</w:t>
      </w:r>
    </w:p>
    <w:p>
      <w:pPr>
        <w:pStyle w:val="Heading1"/>
        <w:ind w:left="616"/>
        <w:jc w:val="both"/>
      </w:pPr>
      <w:r>
        <w:rPr/>
        <w:t>Propolis protects tooth enamel</w:t>
      </w:r>
    </w:p>
    <w:p>
      <w:pPr>
        <w:pStyle w:val="BodyText"/>
        <w:spacing w:before="300"/>
        <w:ind w:left="616"/>
        <w:jc w:val="both"/>
        <w:rPr>
          <w:sz w:val="25"/>
        </w:rPr>
      </w:pPr>
      <w:r>
        <w:rPr/>
        <w:t>Propolis has been shown in studies to significantly strengthen tooth enamel.</w:t>
      </w:r>
      <w:r>
        <w:rPr>
          <w:position w:val="9"/>
          <w:sz w:val="25"/>
        </w:rPr>
        <w:t>721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r>
        <w:rPr/>
        <w:pict>
          <v:line style="position:absolute;mso-position-horizontal-relative:page;mso-position-vertical-relative:paragraph;z-index:9344;mso-wrap-distance-left:0;mso-wrap-distance-right:0" from="70.823997pt,11.971235pt" to="214.843997pt,11.971235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719 </w:t>
      </w:r>
      <w:r>
        <w:rPr>
          <w:sz w:val="20"/>
        </w:rPr>
        <w:t>Dr. I. Osmanagic: Report of the preventive properties of propolis against influenza, Sarajevo, 1976</w:t>
      </w:r>
    </w:p>
    <w:p>
      <w:pPr>
        <w:spacing w:before="92"/>
        <w:ind w:left="616" w:right="0" w:firstLine="0"/>
        <w:jc w:val="left"/>
        <w:rPr>
          <w:sz w:val="20"/>
        </w:rPr>
      </w:pPr>
      <w:r>
        <w:rPr>
          <w:position w:val="5"/>
          <w:sz w:val="13"/>
        </w:rPr>
        <w:t>720 </w:t>
      </w:r>
      <w:r>
        <w:rPr>
          <w:sz w:val="20"/>
        </w:rPr>
        <w:t>Sun et al. 2000</w:t>
      </w:r>
    </w:p>
    <w:p>
      <w:pPr>
        <w:spacing w:before="94"/>
        <w:ind w:left="616" w:right="0" w:firstLine="0"/>
        <w:jc w:val="left"/>
        <w:rPr>
          <w:sz w:val="20"/>
        </w:rPr>
      </w:pPr>
      <w:r>
        <w:rPr>
          <w:position w:val="5"/>
          <w:sz w:val="13"/>
        </w:rPr>
        <w:t>721 </w:t>
      </w:r>
      <w:r>
        <w:rPr>
          <w:sz w:val="20"/>
        </w:rPr>
        <w:t>Giamalia et al. 1999</w:t>
      </w:r>
    </w:p>
    <w:p>
      <w:pPr>
        <w:spacing w:after="0"/>
        <w:jc w:val="left"/>
        <w:rPr>
          <w:sz w:val="20"/>
        </w:rPr>
        <w:sectPr>
          <w:footerReference w:type="default" r:id="rId303"/>
          <w:pgSz w:w="14270" w:h="16850"/>
          <w:pgMar w:footer="1891" w:header="0" w:top="1320" w:bottom="2080" w:left="800" w:right="1280"/>
          <w:pgNumType w:start="1261"/>
        </w:sectPr>
      </w:pPr>
    </w:p>
    <w:p>
      <w:pPr>
        <w:pStyle w:val="Heading1"/>
        <w:spacing w:before="77"/>
        <w:ind w:left="616"/>
      </w:pPr>
      <w:r>
        <w:rPr/>
        <w:t>Propolis</w:t>
      </w:r>
      <w:r>
        <w:rPr>
          <w:spacing w:val="-42"/>
        </w:rPr>
        <w:t> </w:t>
      </w:r>
      <w:r>
        <w:rPr/>
        <w:t>demonstrates</w:t>
      </w:r>
      <w:r>
        <w:rPr>
          <w:spacing w:val="-40"/>
        </w:rPr>
        <w:t> </w:t>
      </w:r>
      <w:r>
        <w:rPr/>
        <w:t>a</w:t>
      </w:r>
      <w:r>
        <w:rPr>
          <w:spacing w:val="-39"/>
        </w:rPr>
        <w:t> </w:t>
      </w:r>
      <w:r>
        <w:rPr/>
        <w:t>90</w:t>
      </w:r>
      <w:r>
        <w:rPr>
          <w:spacing w:val="-42"/>
        </w:rPr>
        <w:t> </w:t>
      </w:r>
      <w:r>
        <w:rPr/>
        <w:t>%</w:t>
      </w:r>
      <w:r>
        <w:rPr>
          <w:spacing w:val="-39"/>
        </w:rPr>
        <w:t> </w:t>
      </w:r>
      <w:r>
        <w:rPr/>
        <w:t>relief</w:t>
      </w:r>
      <w:r>
        <w:rPr>
          <w:spacing w:val="-40"/>
        </w:rPr>
        <w:t> </w:t>
      </w:r>
      <w:r>
        <w:rPr/>
        <w:t>of</w:t>
      </w:r>
      <w:r>
        <w:rPr>
          <w:spacing w:val="-42"/>
        </w:rPr>
        <w:t> </w:t>
      </w:r>
      <w:r>
        <w:rPr/>
        <w:t>bronchitis</w:t>
      </w:r>
      <w:r>
        <w:rPr>
          <w:spacing w:val="-36"/>
        </w:rPr>
        <w:t> </w:t>
      </w:r>
      <w:r>
        <w:rPr/>
        <w:t>in</w:t>
      </w:r>
      <w:r>
        <w:rPr>
          <w:spacing w:val="-41"/>
        </w:rPr>
        <w:t> </w:t>
      </w:r>
      <w:r>
        <w:rPr/>
        <w:t>a</w:t>
      </w:r>
      <w:r>
        <w:rPr>
          <w:spacing w:val="-40"/>
        </w:rPr>
        <w:t> </w:t>
      </w:r>
      <w:r>
        <w:rPr/>
        <w:t>Bucharest</w:t>
      </w:r>
      <w:r>
        <w:rPr>
          <w:spacing w:val="-41"/>
        </w:rPr>
        <w:t> </w:t>
      </w:r>
      <w:r>
        <w:rPr/>
        <w:t>study</w:t>
      </w:r>
    </w:p>
    <w:p>
      <w:pPr>
        <w:pStyle w:val="BodyText"/>
        <w:spacing w:line="276" w:lineRule="auto" w:before="299"/>
        <w:ind w:left="616" w:right="133"/>
        <w:jc w:val="both"/>
        <w:rPr>
          <w:sz w:val="25"/>
        </w:rPr>
      </w:pPr>
      <w:r>
        <w:rPr/>
        <w:t>A long-term treatment in a Bucharest clinic resulted in an improvement in bronchitis symptoms by 90 %</w:t>
      </w:r>
      <w:r>
        <w:rPr>
          <w:position w:val="9"/>
          <w:sz w:val="25"/>
        </w:rPr>
        <w:t>722</w:t>
      </w:r>
    </w:p>
    <w:p>
      <w:pPr>
        <w:pStyle w:val="Heading1"/>
        <w:spacing w:line="264" w:lineRule="auto" w:before="221"/>
        <w:ind w:left="616" w:right="150"/>
        <w:jc w:val="both"/>
      </w:pPr>
      <w:r>
        <w:rPr/>
        <w:t>Propolis protects our liver from poisoning by alcohol and other</w:t>
      </w:r>
      <w:r>
        <w:rPr>
          <w:spacing w:val="-38"/>
        </w:rPr>
        <w:t> </w:t>
      </w:r>
      <w:r>
        <w:rPr/>
        <w:t>sub- stances</w:t>
      </w:r>
    </w:p>
    <w:p>
      <w:pPr>
        <w:pStyle w:val="BodyText"/>
        <w:spacing w:line="276" w:lineRule="auto" w:before="252"/>
        <w:ind w:left="616" w:right="136"/>
        <w:jc w:val="both"/>
        <w:rPr>
          <w:sz w:val="25"/>
        </w:rPr>
      </w:pPr>
      <w:r>
        <w:rPr/>
        <w:t>Numerous studies have shown that the liver cells are protected by the con- sumption of propolis from damage caused by substances like alcohol, allyl al- cohol, galactosamine and others.</w:t>
      </w:r>
      <w:r>
        <w:rPr>
          <w:position w:val="9"/>
          <w:sz w:val="25"/>
        </w:rPr>
        <w:t>723</w:t>
      </w:r>
    </w:p>
    <w:p>
      <w:pPr>
        <w:pStyle w:val="Heading1"/>
        <w:ind w:left="616"/>
      </w:pPr>
      <w:r>
        <w:rPr/>
        <w:t>Propolis successful against skin diseases in studies</w:t>
      </w:r>
    </w:p>
    <w:p>
      <w:pPr>
        <w:pStyle w:val="BodyText"/>
        <w:spacing w:line="276" w:lineRule="auto" w:before="297"/>
        <w:ind w:left="616" w:right="135"/>
        <w:jc w:val="both"/>
        <w:rPr>
          <w:sz w:val="25"/>
        </w:rPr>
      </w:pPr>
      <w:r>
        <w:rPr/>
        <w:t>In</w:t>
      </w:r>
      <w:r>
        <w:rPr>
          <w:spacing w:val="-17"/>
        </w:rPr>
        <w:t> </w:t>
      </w:r>
      <w:r>
        <w:rPr/>
        <w:t>numerous</w:t>
      </w:r>
      <w:r>
        <w:rPr>
          <w:spacing w:val="-16"/>
        </w:rPr>
        <w:t> </w:t>
      </w:r>
      <w:r>
        <w:rPr/>
        <w:t>experiments</w:t>
      </w:r>
      <w:r>
        <w:rPr>
          <w:spacing w:val="-15"/>
        </w:rPr>
        <w:t> </w:t>
      </w:r>
      <w:r>
        <w:rPr/>
        <w:t>and</w:t>
      </w:r>
      <w:r>
        <w:rPr>
          <w:spacing w:val="-18"/>
        </w:rPr>
        <w:t> </w:t>
      </w:r>
      <w:r>
        <w:rPr/>
        <w:t>clinical</w:t>
      </w:r>
      <w:r>
        <w:rPr>
          <w:spacing w:val="-17"/>
        </w:rPr>
        <w:t> </w:t>
      </w:r>
      <w:r>
        <w:rPr/>
        <w:t>tests,</w:t>
      </w:r>
      <w:r>
        <w:rPr>
          <w:spacing w:val="-15"/>
        </w:rPr>
        <w:t> </w:t>
      </w:r>
      <w:r>
        <w:rPr/>
        <w:t>propolis</w:t>
      </w:r>
      <w:r>
        <w:rPr>
          <w:spacing w:val="-18"/>
        </w:rPr>
        <w:t> </w:t>
      </w:r>
      <w:r>
        <w:rPr/>
        <w:t>was</w:t>
      </w:r>
      <w:r>
        <w:rPr>
          <w:spacing w:val="-15"/>
        </w:rPr>
        <w:t> </w:t>
      </w:r>
      <w:r>
        <w:rPr/>
        <w:t>able</w:t>
      </w:r>
      <w:r>
        <w:rPr>
          <w:spacing w:val="-16"/>
        </w:rPr>
        <w:t> </w:t>
      </w:r>
      <w:r>
        <w:rPr/>
        <w:t>to</w:t>
      </w:r>
      <w:r>
        <w:rPr>
          <w:spacing w:val="-18"/>
        </w:rPr>
        <w:t> </w:t>
      </w:r>
      <w:r>
        <w:rPr/>
        <w:t>achieve</w:t>
      </w:r>
      <w:r>
        <w:rPr>
          <w:spacing w:val="-16"/>
        </w:rPr>
        <w:t> </w:t>
      </w:r>
      <w:r>
        <w:rPr/>
        <w:t>amaz- ing</w:t>
      </w:r>
      <w:r>
        <w:rPr>
          <w:spacing w:val="-21"/>
        </w:rPr>
        <w:t> </w:t>
      </w:r>
      <w:r>
        <w:rPr/>
        <w:t>successes</w:t>
      </w:r>
      <w:r>
        <w:rPr>
          <w:spacing w:val="-19"/>
        </w:rPr>
        <w:t> </w:t>
      </w:r>
      <w:r>
        <w:rPr/>
        <w:t>via</w:t>
      </w:r>
      <w:r>
        <w:rPr>
          <w:spacing w:val="-21"/>
        </w:rPr>
        <w:t> </w:t>
      </w:r>
      <w:r>
        <w:rPr/>
        <w:t>external</w:t>
      </w:r>
      <w:r>
        <w:rPr>
          <w:spacing w:val="-22"/>
        </w:rPr>
        <w:t> </w:t>
      </w:r>
      <w:r>
        <w:rPr/>
        <w:t>application</w:t>
      </w:r>
      <w:r>
        <w:rPr>
          <w:spacing w:val="-20"/>
        </w:rPr>
        <w:t> </w:t>
      </w:r>
      <w:r>
        <w:rPr/>
        <w:t>(propolis</w:t>
      </w:r>
      <w:r>
        <w:rPr>
          <w:spacing w:val="-20"/>
        </w:rPr>
        <w:t> </w:t>
      </w:r>
      <w:r>
        <w:rPr/>
        <w:t>salve)</w:t>
      </w:r>
      <w:r>
        <w:rPr>
          <w:spacing w:val="-21"/>
        </w:rPr>
        <w:t> </w:t>
      </w:r>
      <w:r>
        <w:rPr/>
        <w:t>on</w:t>
      </w:r>
      <w:r>
        <w:rPr>
          <w:spacing w:val="-19"/>
        </w:rPr>
        <w:t> </w:t>
      </w:r>
      <w:r>
        <w:rPr/>
        <w:t>skin</w:t>
      </w:r>
      <w:r>
        <w:rPr>
          <w:spacing w:val="-20"/>
        </w:rPr>
        <w:t> </w:t>
      </w:r>
      <w:r>
        <w:rPr/>
        <w:t>diseases</w:t>
      </w:r>
      <w:r>
        <w:rPr>
          <w:spacing w:val="-20"/>
        </w:rPr>
        <w:t> </w:t>
      </w:r>
      <w:r>
        <w:rPr/>
        <w:t>like</w:t>
      </w:r>
      <w:r>
        <w:rPr>
          <w:spacing w:val="-22"/>
        </w:rPr>
        <w:t> </w:t>
      </w:r>
      <w:r>
        <w:rPr/>
        <w:t>acne, herpes and</w:t>
      </w:r>
      <w:r>
        <w:rPr>
          <w:spacing w:val="1"/>
        </w:rPr>
        <w:t> </w:t>
      </w:r>
      <w:r>
        <w:rPr/>
        <w:t>shingles.</w:t>
      </w:r>
      <w:r>
        <w:rPr>
          <w:position w:val="9"/>
          <w:sz w:val="25"/>
        </w:rPr>
        <w:t>724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4"/>
        </w:rPr>
      </w:pPr>
      <w:r>
        <w:rPr/>
        <w:pict>
          <v:line style="position:absolute;mso-position-horizontal-relative:page;mso-position-vertical-relative:paragraph;z-index:9368;mso-wrap-distance-left:0;mso-wrap-distance-right:0" from="70.823997pt,15.889985pt" to="214.843997pt,15.889985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722 </w:t>
      </w:r>
      <w:r>
        <w:rPr>
          <w:sz w:val="20"/>
        </w:rPr>
        <w:t>Prof. Dr. V. Harnay: Propolis, Apimondia Verlag, 1975</w:t>
      </w:r>
    </w:p>
    <w:p>
      <w:pPr>
        <w:spacing w:before="92"/>
        <w:ind w:left="616" w:right="0" w:firstLine="0"/>
        <w:jc w:val="left"/>
        <w:rPr>
          <w:sz w:val="20"/>
        </w:rPr>
      </w:pPr>
      <w:r>
        <w:rPr>
          <w:position w:val="5"/>
          <w:sz w:val="13"/>
        </w:rPr>
        <w:t>723 </w:t>
      </w:r>
      <w:r>
        <w:rPr>
          <w:sz w:val="20"/>
        </w:rPr>
        <w:t>Gonzales et al. 1995, Rodriguez et al. 1997, Lin et al. 1997, Baznet et al. 1997</w:t>
      </w:r>
    </w:p>
    <w:p>
      <w:pPr>
        <w:spacing w:before="94"/>
        <w:ind w:left="616" w:right="0" w:firstLine="0"/>
        <w:jc w:val="left"/>
        <w:rPr>
          <w:sz w:val="20"/>
        </w:rPr>
      </w:pPr>
      <w:r>
        <w:rPr>
          <w:position w:val="5"/>
          <w:sz w:val="13"/>
        </w:rPr>
        <w:t>724 </w:t>
      </w:r>
      <w:r>
        <w:rPr>
          <w:sz w:val="20"/>
        </w:rPr>
        <w:t>Dr. F. K. Keiks: Application locale d´extrait de propolis dans le traitement du zona. Talk at Apitherapy Symposium in Yugoslavia, 1978</w:t>
      </w:r>
    </w:p>
    <w:p>
      <w:pPr>
        <w:spacing w:after="0"/>
        <w:jc w:val="left"/>
        <w:rPr>
          <w:sz w:val="20"/>
        </w:rPr>
        <w:sectPr>
          <w:pgSz w:w="14270" w:h="16850"/>
          <w:pgMar w:header="0" w:footer="1891" w:top="1320" w:bottom="2080" w:left="800" w:right="1280"/>
        </w:sectPr>
      </w:pPr>
    </w:p>
    <w:p>
      <w:pPr>
        <w:pStyle w:val="Heading1"/>
        <w:spacing w:line="261" w:lineRule="auto" w:before="77"/>
        <w:ind w:left="616" w:right="148"/>
        <w:jc w:val="both"/>
      </w:pPr>
      <w:r>
        <w:rPr/>
        <w:t>Propolis</w:t>
      </w:r>
      <w:r>
        <w:rPr>
          <w:spacing w:val="-36"/>
        </w:rPr>
        <w:t> </w:t>
      </w:r>
      <w:r>
        <w:rPr/>
        <w:t>demonstrates</w:t>
      </w:r>
      <w:r>
        <w:rPr>
          <w:spacing w:val="-35"/>
        </w:rPr>
        <w:t> </w:t>
      </w:r>
      <w:r>
        <w:rPr/>
        <w:t>better</w:t>
      </w:r>
      <w:r>
        <w:rPr>
          <w:spacing w:val="-35"/>
        </w:rPr>
        <w:t> </w:t>
      </w:r>
      <w:r>
        <w:rPr/>
        <w:t>antioxidative</w:t>
      </w:r>
      <w:r>
        <w:rPr>
          <w:spacing w:val="-34"/>
        </w:rPr>
        <w:t> </w:t>
      </w:r>
      <w:r>
        <w:rPr/>
        <w:t>properties</w:t>
      </w:r>
      <w:r>
        <w:rPr>
          <w:spacing w:val="-35"/>
        </w:rPr>
        <w:t> </w:t>
      </w:r>
      <w:r>
        <w:rPr/>
        <w:t>than</w:t>
      </w:r>
      <w:r>
        <w:rPr>
          <w:spacing w:val="-36"/>
        </w:rPr>
        <w:t> </w:t>
      </w:r>
      <w:r>
        <w:rPr/>
        <w:t>Vitamin</w:t>
      </w:r>
      <w:r>
        <w:rPr>
          <w:spacing w:val="-36"/>
        </w:rPr>
        <w:t> </w:t>
      </w:r>
      <w:r>
        <w:rPr/>
        <w:t>C and</w:t>
      </w:r>
      <w:r>
        <w:rPr>
          <w:spacing w:val="-7"/>
        </w:rPr>
        <w:t> </w:t>
      </w:r>
      <w:r>
        <w:rPr/>
        <w:t>E</w:t>
      </w:r>
    </w:p>
    <w:p>
      <w:pPr>
        <w:pStyle w:val="BodyText"/>
        <w:spacing w:line="276" w:lineRule="auto" w:before="258"/>
        <w:ind w:left="616" w:right="138"/>
        <w:jc w:val="both"/>
        <w:rPr>
          <w:sz w:val="25"/>
        </w:rPr>
      </w:pPr>
      <w:r>
        <w:rPr/>
        <w:t>Basnet et al. were able to show in studies that certain substances in propolis demonstrates</w:t>
      </w:r>
      <w:r>
        <w:rPr>
          <w:spacing w:val="-11"/>
        </w:rPr>
        <w:t> </w:t>
      </w:r>
      <w:r>
        <w:rPr/>
        <w:t>a</w:t>
      </w:r>
      <w:r>
        <w:rPr>
          <w:spacing w:val="-14"/>
        </w:rPr>
        <w:t> </w:t>
      </w:r>
      <w:r>
        <w:rPr/>
        <w:t>higher</w:t>
      </w:r>
      <w:r>
        <w:rPr>
          <w:spacing w:val="-11"/>
        </w:rPr>
        <w:t> </w:t>
      </w:r>
      <w:r>
        <w:rPr/>
        <w:t>potential</w:t>
      </w:r>
      <w:r>
        <w:rPr>
          <w:spacing w:val="-12"/>
        </w:rPr>
        <w:t> </w:t>
      </w:r>
      <w:r>
        <w:rPr/>
        <w:t>for</w:t>
      </w:r>
      <w:r>
        <w:rPr>
          <w:spacing w:val="-10"/>
        </w:rPr>
        <w:t> </w:t>
      </w:r>
      <w:r>
        <w:rPr/>
        <w:t>protecting</w:t>
      </w:r>
      <w:r>
        <w:rPr>
          <w:spacing w:val="-11"/>
        </w:rPr>
        <w:t> </w:t>
      </w:r>
      <w:r>
        <w:rPr/>
        <w:t>our</w:t>
      </w:r>
      <w:r>
        <w:rPr>
          <w:spacing w:val="-12"/>
        </w:rPr>
        <w:t> </w:t>
      </w:r>
      <w:r>
        <w:rPr/>
        <w:t>cells</w:t>
      </w:r>
      <w:r>
        <w:rPr>
          <w:spacing w:val="-11"/>
        </w:rPr>
        <w:t> </w:t>
      </w:r>
      <w:r>
        <w:rPr/>
        <w:t>from</w:t>
      </w:r>
      <w:r>
        <w:rPr>
          <w:spacing w:val="-12"/>
        </w:rPr>
        <w:t> </w:t>
      </w:r>
      <w:r>
        <w:rPr/>
        <w:t>free</w:t>
      </w:r>
      <w:r>
        <w:rPr>
          <w:spacing w:val="-11"/>
        </w:rPr>
        <w:t> </w:t>
      </w:r>
      <w:r>
        <w:rPr/>
        <w:t>radicals</w:t>
      </w:r>
      <w:r>
        <w:rPr>
          <w:spacing w:val="-12"/>
        </w:rPr>
        <w:t> </w:t>
      </w:r>
      <w:r>
        <w:rPr/>
        <w:t>than Vitamin C and Vitamin</w:t>
      </w:r>
      <w:r>
        <w:rPr>
          <w:spacing w:val="1"/>
        </w:rPr>
        <w:t> </w:t>
      </w:r>
      <w:r>
        <w:rPr/>
        <w:t>E.</w:t>
      </w:r>
      <w:r>
        <w:rPr>
          <w:position w:val="9"/>
          <w:sz w:val="25"/>
        </w:rPr>
        <w:t>725</w:t>
      </w:r>
    </w:p>
    <w:p>
      <w:pPr>
        <w:pStyle w:val="Heading2"/>
        <w:spacing w:before="241"/>
        <w:ind w:left="616"/>
        <w:jc w:val="both"/>
      </w:pPr>
      <w:r>
        <w:rPr/>
        <w:t>Propolis products</w:t>
      </w:r>
    </w:p>
    <w:p>
      <w:pPr>
        <w:spacing w:before="288"/>
        <w:ind w:left="616" w:right="0" w:firstLine="0"/>
        <w:jc w:val="both"/>
        <w:rPr>
          <w:b/>
          <w:i/>
          <w:sz w:val="40"/>
        </w:rPr>
      </w:pPr>
      <w:r>
        <w:rPr>
          <w:b/>
          <w:i/>
          <w:sz w:val="40"/>
        </w:rPr>
        <w:t>Propolis products and their use</w:t>
      </w:r>
    </w:p>
    <w:p>
      <w:pPr>
        <w:pStyle w:val="BodyText"/>
        <w:spacing w:line="276" w:lineRule="auto" w:before="299"/>
        <w:ind w:left="616" w:right="136"/>
        <w:jc w:val="both"/>
      </w:pPr>
      <w:r>
        <w:rPr/>
        <w:t>Increasing demand, resulting from the ever-growing interest from the public in alternative remedies, led to propolis appearing in every imaginable form in pharmacies.</w:t>
      </w:r>
    </w:p>
    <w:p>
      <w:pPr>
        <w:pStyle w:val="BodyText"/>
        <w:spacing w:line="276" w:lineRule="auto" w:before="239"/>
        <w:ind w:left="616" w:right="135"/>
        <w:jc w:val="both"/>
      </w:pPr>
      <w:r>
        <w:rPr/>
        <w:t>In</w:t>
      </w:r>
      <w:r>
        <w:rPr>
          <w:spacing w:val="-15"/>
        </w:rPr>
        <w:t> </w:t>
      </w:r>
      <w:r>
        <w:rPr/>
        <w:t>previous</w:t>
      </w:r>
      <w:r>
        <w:rPr>
          <w:spacing w:val="-14"/>
        </w:rPr>
        <w:t> </w:t>
      </w:r>
      <w:r>
        <w:rPr/>
        <w:t>chapters,</w:t>
      </w:r>
      <w:r>
        <w:rPr>
          <w:spacing w:val="-13"/>
        </w:rPr>
        <w:t> </w:t>
      </w:r>
      <w:r>
        <w:rPr/>
        <w:t>we</w:t>
      </w:r>
      <w:r>
        <w:rPr>
          <w:spacing w:val="-15"/>
        </w:rPr>
        <w:t> </w:t>
      </w:r>
      <w:r>
        <w:rPr/>
        <w:t>were</w:t>
      </w:r>
      <w:r>
        <w:rPr>
          <w:spacing w:val="-14"/>
        </w:rPr>
        <w:t> </w:t>
      </w:r>
      <w:r>
        <w:rPr/>
        <w:t>able</w:t>
      </w:r>
      <w:r>
        <w:rPr>
          <w:spacing w:val="-15"/>
        </w:rPr>
        <w:t> </w:t>
      </w:r>
      <w:r>
        <w:rPr/>
        <w:t>to</w:t>
      </w:r>
      <w:r>
        <w:rPr>
          <w:spacing w:val="-14"/>
        </w:rPr>
        <w:t> </w:t>
      </w:r>
      <w:r>
        <w:rPr/>
        <w:t>illustrate</w:t>
      </w:r>
      <w:r>
        <w:rPr>
          <w:spacing w:val="-14"/>
        </w:rPr>
        <w:t> </w:t>
      </w:r>
      <w:r>
        <w:rPr/>
        <w:t>the</w:t>
      </w:r>
      <w:r>
        <w:rPr>
          <w:spacing w:val="-14"/>
        </w:rPr>
        <w:t> </w:t>
      </w:r>
      <w:r>
        <w:rPr/>
        <w:t>effectiveness</w:t>
      </w:r>
      <w:r>
        <w:rPr>
          <w:spacing w:val="-16"/>
        </w:rPr>
        <w:t> </w:t>
      </w:r>
      <w:r>
        <w:rPr/>
        <w:t>of</w:t>
      </w:r>
      <w:r>
        <w:rPr>
          <w:spacing w:val="-15"/>
        </w:rPr>
        <w:t> </w:t>
      </w:r>
      <w:r>
        <w:rPr/>
        <w:t>propolis</w:t>
      </w:r>
      <w:r>
        <w:rPr>
          <w:spacing w:val="-16"/>
        </w:rPr>
        <w:t> </w:t>
      </w:r>
      <w:r>
        <w:rPr/>
        <w:t>on individual diseases and disorders. We all know that prevention is always</w:t>
      </w:r>
      <w:r>
        <w:rPr>
          <w:spacing w:val="-62"/>
        </w:rPr>
        <w:t> </w:t>
      </w:r>
      <w:r>
        <w:rPr/>
        <w:t>better than</w:t>
      </w:r>
      <w:r>
        <w:rPr>
          <w:spacing w:val="-21"/>
        </w:rPr>
        <w:t> </w:t>
      </w:r>
      <w:r>
        <w:rPr/>
        <w:t>healing,</w:t>
      </w:r>
      <w:r>
        <w:rPr>
          <w:spacing w:val="-21"/>
        </w:rPr>
        <w:t> </w:t>
      </w:r>
      <w:r>
        <w:rPr/>
        <w:t>and</w:t>
      </w:r>
      <w:r>
        <w:rPr>
          <w:spacing w:val="-21"/>
        </w:rPr>
        <w:t> </w:t>
      </w:r>
      <w:r>
        <w:rPr/>
        <w:t>propolis</w:t>
      </w:r>
      <w:r>
        <w:rPr>
          <w:spacing w:val="-21"/>
        </w:rPr>
        <w:t> </w:t>
      </w:r>
      <w:r>
        <w:rPr/>
        <w:t>is</w:t>
      </w:r>
      <w:r>
        <w:rPr>
          <w:spacing w:val="-23"/>
        </w:rPr>
        <w:t> </w:t>
      </w:r>
      <w:r>
        <w:rPr/>
        <w:t>also</w:t>
      </w:r>
      <w:r>
        <w:rPr>
          <w:spacing w:val="-23"/>
        </w:rPr>
        <w:t> </w:t>
      </w:r>
      <w:r>
        <w:rPr/>
        <w:t>suitable</w:t>
      </w:r>
      <w:r>
        <w:rPr>
          <w:spacing w:val="-21"/>
        </w:rPr>
        <w:t> </w:t>
      </w:r>
      <w:r>
        <w:rPr/>
        <w:t>as</w:t>
      </w:r>
      <w:r>
        <w:rPr>
          <w:spacing w:val="-21"/>
        </w:rPr>
        <w:t> </w:t>
      </w:r>
      <w:r>
        <w:rPr/>
        <w:t>a</w:t>
      </w:r>
      <w:r>
        <w:rPr>
          <w:spacing w:val="-20"/>
        </w:rPr>
        <w:t> </w:t>
      </w:r>
      <w:r>
        <w:rPr/>
        <w:t>long-term</w:t>
      </w:r>
      <w:r>
        <w:rPr>
          <w:spacing w:val="-22"/>
        </w:rPr>
        <w:t> </w:t>
      </w:r>
      <w:r>
        <w:rPr/>
        <w:t>prophylactic</w:t>
      </w:r>
      <w:r>
        <w:rPr>
          <w:spacing w:val="-21"/>
        </w:rPr>
        <w:t> </w:t>
      </w:r>
      <w:r>
        <w:rPr/>
        <w:t>treatment in order to prevent illnesses from appearing in the first</w:t>
      </w:r>
      <w:r>
        <w:rPr>
          <w:spacing w:val="-2"/>
        </w:rPr>
        <w:t> </w:t>
      </w:r>
      <w:r>
        <w:rPr/>
        <w:t>place.</w:t>
      </w:r>
    </w:p>
    <w:p>
      <w:pPr>
        <w:pStyle w:val="BodyText"/>
        <w:spacing w:line="276" w:lineRule="auto" w:before="242"/>
        <w:ind w:left="616" w:right="136"/>
        <w:jc w:val="both"/>
      </w:pPr>
      <w:r>
        <w:rPr/>
        <w:t>The following listed propolis products can be found at the pharmacy. Two advantages of getting these products from a pharmacy, instead of attempting to produce them yourself, are the standardised amounts and consistent</w:t>
      </w:r>
      <w:r>
        <w:rPr>
          <w:spacing w:val="-67"/>
        </w:rPr>
        <w:t> </w:t>
      </w:r>
      <w:r>
        <w:rPr/>
        <w:t>quality which</w:t>
      </w:r>
      <w:r>
        <w:rPr>
          <w:spacing w:val="-16"/>
        </w:rPr>
        <w:t> </w:t>
      </w:r>
      <w:r>
        <w:rPr/>
        <w:t>products</w:t>
      </w:r>
      <w:r>
        <w:rPr>
          <w:spacing w:val="-17"/>
        </w:rPr>
        <w:t> </w:t>
      </w:r>
      <w:r>
        <w:rPr/>
        <w:t>from</w:t>
      </w:r>
      <w:r>
        <w:rPr>
          <w:spacing w:val="-18"/>
        </w:rPr>
        <w:t> </w:t>
      </w:r>
      <w:r>
        <w:rPr/>
        <w:t>the</w:t>
      </w:r>
      <w:r>
        <w:rPr>
          <w:spacing w:val="-16"/>
        </w:rPr>
        <w:t> </w:t>
      </w:r>
      <w:r>
        <w:rPr/>
        <w:t>pharmacy</w:t>
      </w:r>
      <w:r>
        <w:rPr>
          <w:spacing w:val="-18"/>
        </w:rPr>
        <w:t> </w:t>
      </w:r>
      <w:r>
        <w:rPr/>
        <w:t>provide,</w:t>
      </w:r>
      <w:r>
        <w:rPr>
          <w:spacing w:val="-17"/>
        </w:rPr>
        <w:t> </w:t>
      </w:r>
      <w:r>
        <w:rPr/>
        <w:t>which</w:t>
      </w:r>
      <w:r>
        <w:rPr>
          <w:spacing w:val="-16"/>
        </w:rPr>
        <w:t> </w:t>
      </w:r>
      <w:r>
        <w:rPr/>
        <w:t>play</w:t>
      </w:r>
      <w:r>
        <w:rPr>
          <w:spacing w:val="-18"/>
        </w:rPr>
        <w:t> </w:t>
      </w:r>
      <w:r>
        <w:rPr/>
        <w:t>an</w:t>
      </w:r>
      <w:r>
        <w:rPr>
          <w:spacing w:val="-17"/>
        </w:rPr>
        <w:t> </w:t>
      </w:r>
      <w:r>
        <w:rPr/>
        <w:t>important</w:t>
      </w:r>
      <w:r>
        <w:rPr>
          <w:spacing w:val="-17"/>
        </w:rPr>
        <w:t> </w:t>
      </w:r>
      <w:r>
        <w:rPr/>
        <w:t>role</w:t>
      </w:r>
      <w:r>
        <w:rPr>
          <w:spacing w:val="-18"/>
        </w:rPr>
        <w:t> </w:t>
      </w:r>
      <w:r>
        <w:rPr/>
        <w:t>with</w:t>
      </w:r>
    </w:p>
    <w:p>
      <w:pPr>
        <w:pStyle w:val="BodyText"/>
        <w:spacing w:before="10"/>
        <w:rPr>
          <w:sz w:val="25"/>
        </w:rPr>
      </w:pPr>
      <w:r>
        <w:rPr/>
        <w:pict>
          <v:line style="position:absolute;mso-position-horizontal-relative:page;mso-position-vertical-relative:paragraph;z-index:9392;mso-wrap-distance-left:0;mso-wrap-distance-right:0" from="70.823997pt,16.927515pt" to="214.843997pt,16.927515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725 </w:t>
      </w:r>
      <w:r>
        <w:rPr>
          <w:sz w:val="20"/>
        </w:rPr>
        <w:t>Basnet et al. 1997</w:t>
      </w:r>
    </w:p>
    <w:p>
      <w:pPr>
        <w:spacing w:after="0"/>
        <w:jc w:val="left"/>
        <w:rPr>
          <w:sz w:val="20"/>
        </w:rPr>
        <w:sectPr>
          <w:pgSz w:w="14270" w:h="16850"/>
          <w:pgMar w:header="0" w:footer="1891" w:top="1320" w:bottom="2080" w:left="800" w:right="1280"/>
        </w:sectPr>
      </w:pPr>
    </w:p>
    <w:p>
      <w:pPr>
        <w:pStyle w:val="BodyText"/>
        <w:spacing w:before="74"/>
        <w:ind w:left="616"/>
      </w:pPr>
      <w:r>
        <w:rPr/>
        <w:t>regard to effectiveness.</w:t>
      </w:r>
    </w:p>
    <w:p>
      <w:pPr>
        <w:pStyle w:val="Heading1"/>
        <w:spacing w:before="287"/>
        <w:ind w:left="616"/>
      </w:pPr>
      <w:r>
        <w:rPr/>
        <w:t>Propolis capsules</w:t>
      </w:r>
    </w:p>
    <w:p>
      <w:pPr>
        <w:pStyle w:val="BodyText"/>
        <w:spacing w:line="278" w:lineRule="auto" w:before="297"/>
        <w:ind w:left="616" w:right="143"/>
        <w:jc w:val="both"/>
      </w:pPr>
      <w:r>
        <w:rPr/>
        <w:t>The consumption of propolis capsules is advisable for the vast majority of ill- nesses as well as for prophylactic purposes.</w:t>
      </w:r>
    </w:p>
    <w:p>
      <w:pPr>
        <w:pStyle w:val="Heading1"/>
        <w:spacing w:before="215"/>
        <w:ind w:left="616"/>
      </w:pPr>
      <w:r>
        <w:rPr/>
        <w:t>Propolis powder</w:t>
      </w:r>
    </w:p>
    <w:p>
      <w:pPr>
        <w:pStyle w:val="BodyText"/>
        <w:spacing w:line="276" w:lineRule="auto" w:before="300"/>
        <w:ind w:left="616" w:right="134"/>
        <w:jc w:val="both"/>
      </w:pPr>
      <w:r>
        <w:rPr/>
        <w:t>One alternative to propolis capsules is propolis powder. It should be noted, however, that more organs of the body can be reached with the capsule form, as</w:t>
      </w:r>
      <w:r>
        <w:rPr>
          <w:spacing w:val="-13"/>
        </w:rPr>
        <w:t> </w:t>
      </w:r>
      <w:r>
        <w:rPr/>
        <w:t>the</w:t>
      </w:r>
      <w:r>
        <w:rPr>
          <w:spacing w:val="-11"/>
        </w:rPr>
        <w:t> </w:t>
      </w:r>
      <w:r>
        <w:rPr/>
        <w:t>active</w:t>
      </w:r>
      <w:r>
        <w:rPr>
          <w:spacing w:val="-13"/>
        </w:rPr>
        <w:t> </w:t>
      </w:r>
      <w:r>
        <w:rPr/>
        <w:t>ingredients,</w:t>
      </w:r>
      <w:r>
        <w:rPr>
          <w:spacing w:val="-11"/>
        </w:rPr>
        <w:t> </w:t>
      </w:r>
      <w:r>
        <w:rPr/>
        <w:t>protected</w:t>
      </w:r>
      <w:r>
        <w:rPr>
          <w:spacing w:val="-12"/>
        </w:rPr>
        <w:t> </w:t>
      </w:r>
      <w:r>
        <w:rPr/>
        <w:t>by</w:t>
      </w:r>
      <w:r>
        <w:rPr>
          <w:spacing w:val="-11"/>
        </w:rPr>
        <w:t> </w:t>
      </w:r>
      <w:r>
        <w:rPr/>
        <w:t>the</w:t>
      </w:r>
      <w:r>
        <w:rPr>
          <w:spacing w:val="-11"/>
        </w:rPr>
        <w:t> </w:t>
      </w:r>
      <w:r>
        <w:rPr/>
        <w:t>capsule,</w:t>
      </w:r>
      <w:r>
        <w:rPr>
          <w:spacing w:val="-11"/>
        </w:rPr>
        <w:t> </w:t>
      </w:r>
      <w:r>
        <w:rPr/>
        <w:t>reach</w:t>
      </w:r>
      <w:r>
        <w:rPr>
          <w:spacing w:val="-11"/>
        </w:rPr>
        <w:t> </w:t>
      </w:r>
      <w:r>
        <w:rPr/>
        <w:t>the</w:t>
      </w:r>
      <w:r>
        <w:rPr>
          <w:spacing w:val="-11"/>
        </w:rPr>
        <w:t> </w:t>
      </w:r>
      <w:r>
        <w:rPr/>
        <w:t>reabsorbing</w:t>
      </w:r>
      <w:r>
        <w:rPr>
          <w:spacing w:val="-11"/>
        </w:rPr>
        <w:t> </w:t>
      </w:r>
      <w:r>
        <w:rPr/>
        <w:t>intes- tinal walls in great amounts and can be better absorbed and transferred to the blood.</w:t>
      </w:r>
    </w:p>
    <w:p>
      <w:pPr>
        <w:pStyle w:val="Heading1"/>
        <w:spacing w:before="222"/>
        <w:ind w:left="616"/>
      </w:pPr>
      <w:r>
        <w:rPr/>
        <w:t>Propolis tincture</w:t>
      </w:r>
    </w:p>
    <w:p>
      <w:pPr>
        <w:pStyle w:val="BodyText"/>
        <w:spacing w:line="278" w:lineRule="auto" w:before="300"/>
        <w:ind w:left="616" w:right="137"/>
        <w:jc w:val="both"/>
      </w:pPr>
      <w:r>
        <w:rPr/>
        <w:t>Dissolved in high-percentage alcohol (preferably 96 %), you can also receive propolis tinctures which are suited for both internal and external use.</w:t>
      </w:r>
    </w:p>
    <w:p>
      <w:pPr>
        <w:pStyle w:val="BodyText"/>
        <w:spacing w:line="276" w:lineRule="auto" w:before="232"/>
        <w:ind w:left="616" w:right="130"/>
        <w:jc w:val="both"/>
      </w:pPr>
      <w:r>
        <w:rPr/>
        <w:t>Propolis tincture can be used externally in the form of rinses, on compresses and</w:t>
      </w:r>
      <w:r>
        <w:rPr>
          <w:spacing w:val="-11"/>
        </w:rPr>
        <w:t> </w:t>
      </w:r>
      <w:r>
        <w:rPr/>
        <w:t>wraps</w:t>
      </w:r>
      <w:r>
        <w:rPr>
          <w:spacing w:val="-11"/>
        </w:rPr>
        <w:t> </w:t>
      </w:r>
      <w:r>
        <w:rPr/>
        <w:t>as</w:t>
      </w:r>
      <w:r>
        <w:rPr>
          <w:spacing w:val="-12"/>
        </w:rPr>
        <w:t> </w:t>
      </w:r>
      <w:r>
        <w:rPr/>
        <w:t>well</w:t>
      </w:r>
      <w:r>
        <w:rPr>
          <w:spacing w:val="-13"/>
        </w:rPr>
        <w:t> </w:t>
      </w:r>
      <w:r>
        <w:rPr/>
        <w:t>as</w:t>
      </w:r>
      <w:r>
        <w:rPr>
          <w:spacing w:val="-12"/>
        </w:rPr>
        <w:t> </w:t>
      </w:r>
      <w:r>
        <w:rPr/>
        <w:t>in</w:t>
      </w:r>
      <w:r>
        <w:rPr>
          <w:spacing w:val="-12"/>
        </w:rPr>
        <w:t> </w:t>
      </w:r>
      <w:r>
        <w:rPr/>
        <w:t>baths</w:t>
      </w:r>
      <w:r>
        <w:rPr>
          <w:spacing w:val="-12"/>
        </w:rPr>
        <w:t> </w:t>
      </w:r>
      <w:r>
        <w:rPr/>
        <w:t>and</w:t>
      </w:r>
      <w:r>
        <w:rPr>
          <w:spacing w:val="-14"/>
        </w:rPr>
        <w:t> </w:t>
      </w:r>
      <w:r>
        <w:rPr/>
        <w:t>partial</w:t>
      </w:r>
      <w:r>
        <w:rPr>
          <w:spacing w:val="-13"/>
        </w:rPr>
        <w:t> </w:t>
      </w:r>
      <w:r>
        <w:rPr/>
        <w:t>baths.</w:t>
      </w:r>
      <w:r>
        <w:rPr>
          <w:spacing w:val="-10"/>
        </w:rPr>
        <w:t> </w:t>
      </w:r>
      <w:r>
        <w:rPr/>
        <w:t>Because</w:t>
      </w:r>
      <w:r>
        <w:rPr>
          <w:spacing w:val="-11"/>
        </w:rPr>
        <w:t> </w:t>
      </w:r>
      <w:r>
        <w:rPr/>
        <w:t>the</w:t>
      </w:r>
      <w:r>
        <w:rPr>
          <w:spacing w:val="-11"/>
        </w:rPr>
        <w:t> </w:t>
      </w:r>
      <w:r>
        <w:rPr/>
        <w:t>pure</w:t>
      </w:r>
      <w:r>
        <w:rPr>
          <w:spacing w:val="-11"/>
        </w:rPr>
        <w:t> </w:t>
      </w:r>
      <w:r>
        <w:rPr/>
        <w:t>tincture</w:t>
      </w:r>
      <w:r>
        <w:rPr>
          <w:spacing w:val="-10"/>
        </w:rPr>
        <w:t> </w:t>
      </w:r>
      <w:r>
        <w:rPr/>
        <w:t>is</w:t>
      </w:r>
      <w:r>
        <w:rPr>
          <w:spacing w:val="-12"/>
        </w:rPr>
        <w:t> </w:t>
      </w:r>
      <w:r>
        <w:rPr/>
        <w:t>too intense,</w:t>
      </w:r>
      <w:r>
        <w:rPr>
          <w:spacing w:val="-10"/>
        </w:rPr>
        <w:t> </w:t>
      </w:r>
      <w:r>
        <w:rPr/>
        <w:t>it</w:t>
      </w:r>
      <w:r>
        <w:rPr>
          <w:spacing w:val="-10"/>
        </w:rPr>
        <w:t> </w:t>
      </w:r>
      <w:r>
        <w:rPr/>
        <w:t>is</w:t>
      </w:r>
      <w:r>
        <w:rPr>
          <w:spacing w:val="-11"/>
        </w:rPr>
        <w:t> </w:t>
      </w:r>
      <w:r>
        <w:rPr/>
        <w:t>diluted</w:t>
      </w:r>
      <w:r>
        <w:rPr>
          <w:spacing w:val="-8"/>
        </w:rPr>
        <w:t> </w:t>
      </w:r>
      <w:r>
        <w:rPr/>
        <w:t>for</w:t>
      </w:r>
      <w:r>
        <w:rPr>
          <w:spacing w:val="-9"/>
        </w:rPr>
        <w:t> </w:t>
      </w:r>
      <w:r>
        <w:rPr/>
        <w:t>the</w:t>
      </w:r>
      <w:r>
        <w:rPr>
          <w:spacing w:val="-11"/>
        </w:rPr>
        <w:t> </w:t>
      </w:r>
      <w:r>
        <w:rPr/>
        <w:t>vast</w:t>
      </w:r>
      <w:r>
        <w:rPr>
          <w:spacing w:val="-11"/>
        </w:rPr>
        <w:t> </w:t>
      </w:r>
      <w:r>
        <w:rPr/>
        <w:t>majority</w:t>
      </w:r>
      <w:r>
        <w:rPr>
          <w:spacing w:val="-9"/>
        </w:rPr>
        <w:t> </w:t>
      </w:r>
      <w:r>
        <w:rPr/>
        <w:t>of</w:t>
      </w:r>
      <w:r>
        <w:rPr>
          <w:spacing w:val="-8"/>
        </w:rPr>
        <w:t> </w:t>
      </w:r>
      <w:r>
        <w:rPr/>
        <w:t>uses.</w:t>
      </w:r>
      <w:r>
        <w:rPr>
          <w:spacing w:val="-9"/>
        </w:rPr>
        <w:t> </w:t>
      </w:r>
      <w:r>
        <w:rPr/>
        <w:t>For</w:t>
      </w:r>
      <w:r>
        <w:rPr>
          <w:spacing w:val="-10"/>
        </w:rPr>
        <w:t> </w:t>
      </w:r>
      <w:r>
        <w:rPr/>
        <w:t>this</w:t>
      </w:r>
      <w:r>
        <w:rPr>
          <w:spacing w:val="-10"/>
        </w:rPr>
        <w:t> </w:t>
      </w:r>
      <w:r>
        <w:rPr/>
        <w:t>purpose,</w:t>
      </w:r>
      <w:r>
        <w:rPr>
          <w:spacing w:val="-8"/>
        </w:rPr>
        <w:t> </w:t>
      </w:r>
      <w:r>
        <w:rPr/>
        <w:t>approx.</w:t>
      </w:r>
      <w:r>
        <w:rPr>
          <w:spacing w:val="-9"/>
        </w:rPr>
        <w:t> </w:t>
      </w:r>
      <w:r>
        <w:rPr/>
        <w:t>15- 50 drops of tincture are mixed in a glass with milk, water or</w:t>
      </w:r>
      <w:r>
        <w:rPr>
          <w:spacing w:val="-5"/>
        </w:rPr>
        <w:t> </w:t>
      </w:r>
      <w:r>
        <w:rPr/>
        <w:t>tea.</w:t>
      </w:r>
    </w:p>
    <w:p>
      <w:pPr>
        <w:pStyle w:val="BodyText"/>
        <w:spacing w:line="276" w:lineRule="auto" w:before="239"/>
        <w:ind w:left="616" w:right="133"/>
        <w:jc w:val="both"/>
      </w:pPr>
      <w:r>
        <w:rPr/>
        <w:t>With specific indications, e.g. warts, insect bites, oral aphthae and similar per- sistent</w:t>
      </w:r>
      <w:r>
        <w:rPr>
          <w:spacing w:val="-22"/>
        </w:rPr>
        <w:t> </w:t>
      </w:r>
      <w:r>
        <w:rPr/>
        <w:t>problems</w:t>
      </w:r>
      <w:r>
        <w:rPr>
          <w:spacing w:val="-23"/>
        </w:rPr>
        <w:t> </w:t>
      </w:r>
      <w:r>
        <w:rPr/>
        <w:t>which</w:t>
      </w:r>
      <w:r>
        <w:rPr>
          <w:spacing w:val="-20"/>
        </w:rPr>
        <w:t> </w:t>
      </w:r>
      <w:r>
        <w:rPr/>
        <w:t>require</w:t>
      </w:r>
      <w:r>
        <w:rPr>
          <w:spacing w:val="-22"/>
        </w:rPr>
        <w:t> </w:t>
      </w:r>
      <w:r>
        <w:rPr/>
        <w:t>intensive</w:t>
      </w:r>
      <w:r>
        <w:rPr>
          <w:spacing w:val="-22"/>
        </w:rPr>
        <w:t> </w:t>
      </w:r>
      <w:r>
        <w:rPr/>
        <w:t>treatment,</w:t>
      </w:r>
      <w:r>
        <w:rPr>
          <w:spacing w:val="-21"/>
        </w:rPr>
        <w:t> </w:t>
      </w:r>
      <w:r>
        <w:rPr/>
        <w:t>it</w:t>
      </w:r>
      <w:r>
        <w:rPr>
          <w:spacing w:val="-23"/>
        </w:rPr>
        <w:t> </w:t>
      </w:r>
      <w:r>
        <w:rPr/>
        <w:t>is</w:t>
      </w:r>
      <w:r>
        <w:rPr>
          <w:spacing w:val="-23"/>
        </w:rPr>
        <w:t> </w:t>
      </w:r>
      <w:r>
        <w:rPr/>
        <w:t>recommended</w:t>
      </w:r>
      <w:r>
        <w:rPr>
          <w:spacing w:val="-22"/>
        </w:rPr>
        <w:t> </w:t>
      </w:r>
      <w:r>
        <w:rPr/>
        <w:t>to</w:t>
      </w:r>
      <w:r>
        <w:rPr>
          <w:spacing w:val="-21"/>
        </w:rPr>
        <w:t> </w:t>
      </w:r>
      <w:r>
        <w:rPr/>
        <w:t>apply the pure</w:t>
      </w:r>
      <w:r>
        <w:rPr>
          <w:spacing w:val="2"/>
        </w:rPr>
        <w:t> </w:t>
      </w:r>
      <w:r>
        <w:rPr/>
        <w:t>tincture.</w:t>
      </w:r>
    </w:p>
    <w:p>
      <w:pPr>
        <w:spacing w:after="0" w:line="276" w:lineRule="auto"/>
        <w:jc w:val="both"/>
        <w:sectPr>
          <w:pgSz w:w="14270" w:h="16850"/>
          <w:pgMar w:header="0" w:footer="1891" w:top="1340" w:bottom="2080" w:left="800" w:right="1280"/>
        </w:sectPr>
      </w:pPr>
    </w:p>
    <w:p>
      <w:pPr>
        <w:pStyle w:val="Heading1"/>
        <w:spacing w:before="77"/>
        <w:ind w:left="616"/>
      </w:pPr>
      <w:r>
        <w:rPr/>
        <w:t>Propolis cream, propolis salve</w:t>
      </w:r>
    </w:p>
    <w:p>
      <w:pPr>
        <w:pStyle w:val="BodyText"/>
        <w:spacing w:line="276" w:lineRule="auto" w:before="299"/>
        <w:ind w:left="616" w:right="132"/>
        <w:jc w:val="both"/>
      </w:pPr>
      <w:r>
        <w:rPr/>
        <w:t>Propolis cream or propolis salve are applied externally for bruises, tennis el- bow,</w:t>
      </w:r>
      <w:r>
        <w:rPr>
          <w:spacing w:val="-19"/>
        </w:rPr>
        <w:t> </w:t>
      </w:r>
      <w:r>
        <w:rPr/>
        <w:t>arthritis,</w:t>
      </w:r>
      <w:r>
        <w:rPr>
          <w:spacing w:val="-19"/>
        </w:rPr>
        <w:t> </w:t>
      </w:r>
      <w:r>
        <w:rPr/>
        <w:t>acne,</w:t>
      </w:r>
      <w:r>
        <w:rPr>
          <w:spacing w:val="-19"/>
        </w:rPr>
        <w:t> </w:t>
      </w:r>
      <w:r>
        <w:rPr/>
        <w:t>smoker’s</w:t>
      </w:r>
      <w:r>
        <w:rPr>
          <w:spacing w:val="-21"/>
        </w:rPr>
        <w:t> </w:t>
      </w:r>
      <w:r>
        <w:rPr/>
        <w:t>leg,</w:t>
      </w:r>
      <w:r>
        <w:rPr>
          <w:spacing w:val="-22"/>
        </w:rPr>
        <w:t> </w:t>
      </w:r>
      <w:r>
        <w:rPr/>
        <w:t>circulatory</w:t>
      </w:r>
      <w:r>
        <w:rPr>
          <w:spacing w:val="-18"/>
        </w:rPr>
        <w:t> </w:t>
      </w:r>
      <w:r>
        <w:rPr/>
        <w:t>disorders</w:t>
      </w:r>
      <w:r>
        <w:rPr>
          <w:spacing w:val="-19"/>
        </w:rPr>
        <w:t> </w:t>
      </w:r>
      <w:r>
        <w:rPr/>
        <w:t>etc.</w:t>
      </w:r>
      <w:r>
        <w:rPr>
          <w:spacing w:val="-21"/>
        </w:rPr>
        <w:t> </w:t>
      </w:r>
      <w:r>
        <w:rPr/>
        <w:t>on</w:t>
      </w:r>
      <w:r>
        <w:rPr>
          <w:spacing w:val="-21"/>
        </w:rPr>
        <w:t> </w:t>
      </w:r>
      <w:r>
        <w:rPr/>
        <w:t>the</w:t>
      </w:r>
      <w:r>
        <w:rPr>
          <w:spacing w:val="-22"/>
        </w:rPr>
        <w:t> </w:t>
      </w:r>
      <w:r>
        <w:rPr/>
        <w:t>affected</w:t>
      </w:r>
      <w:r>
        <w:rPr>
          <w:spacing w:val="-19"/>
        </w:rPr>
        <w:t> </w:t>
      </w:r>
      <w:r>
        <w:rPr/>
        <w:t>spot several times per</w:t>
      </w:r>
      <w:r>
        <w:rPr>
          <w:spacing w:val="-2"/>
        </w:rPr>
        <w:t> </w:t>
      </w:r>
      <w:r>
        <w:rPr/>
        <w:t>day.</w:t>
      </w:r>
    </w:p>
    <w:p>
      <w:pPr>
        <w:pStyle w:val="BodyText"/>
        <w:spacing w:line="276" w:lineRule="auto" w:before="239"/>
        <w:ind w:left="616" w:right="134"/>
        <w:jc w:val="both"/>
      </w:pPr>
      <w:r>
        <w:rPr/>
        <w:t>This very often occurs in combination with the consumption of propolis cap- sules or propolis tinctures, which supplements the external treatment from within.</w:t>
      </w:r>
    </w:p>
    <w:p>
      <w:pPr>
        <w:pStyle w:val="Heading1"/>
        <w:ind w:left="616"/>
      </w:pPr>
      <w:r>
        <w:rPr/>
        <w:t>Propolis drops</w:t>
      </w:r>
    </w:p>
    <w:p>
      <w:pPr>
        <w:pStyle w:val="BodyText"/>
        <w:spacing w:line="276" w:lineRule="auto" w:before="300"/>
        <w:ind w:left="616" w:right="139"/>
        <w:jc w:val="both"/>
      </w:pPr>
      <w:r>
        <w:rPr/>
        <w:t>Enriched</w:t>
      </w:r>
      <w:r>
        <w:rPr>
          <w:spacing w:val="-12"/>
        </w:rPr>
        <w:t> </w:t>
      </w:r>
      <w:r>
        <w:rPr/>
        <w:t>mostly</w:t>
      </w:r>
      <w:r>
        <w:rPr>
          <w:spacing w:val="-15"/>
        </w:rPr>
        <w:t> </w:t>
      </w:r>
      <w:r>
        <w:rPr/>
        <w:t>with</w:t>
      </w:r>
      <w:r>
        <w:rPr>
          <w:spacing w:val="-11"/>
        </w:rPr>
        <w:t> </w:t>
      </w:r>
      <w:r>
        <w:rPr/>
        <w:t>essential</w:t>
      </w:r>
      <w:r>
        <w:rPr>
          <w:spacing w:val="-14"/>
        </w:rPr>
        <w:t> </w:t>
      </w:r>
      <w:r>
        <w:rPr/>
        <w:t>oils,</w:t>
      </w:r>
      <w:r>
        <w:rPr>
          <w:spacing w:val="-12"/>
        </w:rPr>
        <w:t> </w:t>
      </w:r>
      <w:r>
        <w:rPr/>
        <w:t>propolis</w:t>
      </w:r>
      <w:r>
        <w:rPr>
          <w:spacing w:val="-12"/>
        </w:rPr>
        <w:t> </w:t>
      </w:r>
      <w:r>
        <w:rPr/>
        <w:t>drops</w:t>
      </w:r>
      <w:r>
        <w:rPr>
          <w:spacing w:val="-12"/>
        </w:rPr>
        <w:t> </w:t>
      </w:r>
      <w:r>
        <w:rPr/>
        <w:t>are</w:t>
      </w:r>
      <w:r>
        <w:rPr>
          <w:spacing w:val="-12"/>
        </w:rPr>
        <w:t> </w:t>
      </w:r>
      <w:r>
        <w:rPr/>
        <w:t>especially</w:t>
      </w:r>
      <w:r>
        <w:rPr>
          <w:spacing w:val="-12"/>
        </w:rPr>
        <w:t> </w:t>
      </w:r>
      <w:r>
        <w:rPr/>
        <w:t>useful</w:t>
      </w:r>
      <w:r>
        <w:rPr>
          <w:spacing w:val="-14"/>
        </w:rPr>
        <w:t> </w:t>
      </w:r>
      <w:r>
        <w:rPr/>
        <w:t>against sore throat, hoarseness and scratchy throat.</w:t>
      </w:r>
    </w:p>
    <w:p>
      <w:pPr>
        <w:pStyle w:val="Heading1"/>
        <w:spacing w:before="221"/>
        <w:ind w:left="616"/>
      </w:pPr>
      <w:r>
        <w:rPr/>
        <w:t>Propolis toothpaste</w:t>
      </w:r>
    </w:p>
    <w:p>
      <w:pPr>
        <w:pStyle w:val="BodyText"/>
        <w:spacing w:line="278" w:lineRule="auto" w:before="299"/>
        <w:ind w:left="616" w:right="137"/>
        <w:jc w:val="both"/>
      </w:pPr>
      <w:r>
        <w:rPr/>
        <w:t>Propolis</w:t>
      </w:r>
      <w:r>
        <w:rPr>
          <w:spacing w:val="-19"/>
        </w:rPr>
        <w:t> </w:t>
      </w:r>
      <w:r>
        <w:rPr/>
        <w:t>toothpaste</w:t>
      </w:r>
      <w:r>
        <w:rPr>
          <w:spacing w:val="-19"/>
        </w:rPr>
        <w:t> </w:t>
      </w:r>
      <w:r>
        <w:rPr/>
        <w:t>contains</w:t>
      </w:r>
      <w:r>
        <w:rPr>
          <w:spacing w:val="-18"/>
        </w:rPr>
        <w:t> </w:t>
      </w:r>
      <w:r>
        <w:rPr/>
        <w:t>a</w:t>
      </w:r>
      <w:r>
        <w:rPr>
          <w:spacing w:val="-20"/>
        </w:rPr>
        <w:t> </w:t>
      </w:r>
      <w:r>
        <w:rPr/>
        <w:t>special</w:t>
      </w:r>
      <w:r>
        <w:rPr>
          <w:spacing w:val="-19"/>
        </w:rPr>
        <w:t> </w:t>
      </w:r>
      <w:r>
        <w:rPr/>
        <w:t>extract</w:t>
      </w:r>
      <w:r>
        <w:rPr>
          <w:spacing w:val="-19"/>
        </w:rPr>
        <w:t> </w:t>
      </w:r>
      <w:r>
        <w:rPr/>
        <w:t>named</w:t>
      </w:r>
      <w:r>
        <w:rPr>
          <w:spacing w:val="-18"/>
        </w:rPr>
        <w:t> </w:t>
      </w:r>
      <w:r>
        <w:rPr/>
        <w:t>‘propolentum’</w:t>
      </w:r>
      <w:r>
        <w:rPr>
          <w:spacing w:val="-18"/>
        </w:rPr>
        <w:t> </w:t>
      </w:r>
      <w:r>
        <w:rPr/>
        <w:t>and</w:t>
      </w:r>
      <w:r>
        <w:rPr>
          <w:spacing w:val="-19"/>
        </w:rPr>
        <w:t> </w:t>
      </w:r>
      <w:r>
        <w:rPr/>
        <w:t>can</w:t>
      </w:r>
      <w:r>
        <w:rPr>
          <w:spacing w:val="-17"/>
        </w:rPr>
        <w:t> </w:t>
      </w:r>
      <w:r>
        <w:rPr/>
        <w:t>be used for all inflammatory, bacterial and viral diseases and fungi in the</w:t>
      </w:r>
      <w:r>
        <w:rPr>
          <w:spacing w:val="-28"/>
        </w:rPr>
        <w:t> </w:t>
      </w:r>
      <w:r>
        <w:rPr/>
        <w:t>mouth.</w:t>
      </w:r>
    </w:p>
    <w:p>
      <w:pPr>
        <w:pStyle w:val="BodyText"/>
        <w:spacing w:line="276" w:lineRule="auto" w:before="233"/>
        <w:ind w:left="616" w:right="130"/>
        <w:jc w:val="both"/>
      </w:pPr>
      <w:r>
        <w:rPr/>
        <w:t>In addition, studies have shown that propolis strengthens tooth enamel. The toothpaste also makes sense in this case. Propolis also contains tooth enamel- strengthening, healthy ingredients and can be a good alternative to poisonous ‘fluoride’!</w:t>
      </w:r>
    </w:p>
    <w:p>
      <w:pPr>
        <w:spacing w:after="0" w:line="276" w:lineRule="auto"/>
        <w:jc w:val="both"/>
        <w:sectPr>
          <w:pgSz w:w="14270" w:h="16850"/>
          <w:pgMar w:header="0" w:footer="1891" w:top="1320" w:bottom="2080" w:left="800" w:right="1280"/>
        </w:sectPr>
      </w:pPr>
    </w:p>
    <w:p>
      <w:pPr>
        <w:pStyle w:val="Heading1"/>
        <w:spacing w:before="77"/>
        <w:ind w:left="616"/>
      </w:pPr>
      <w:r>
        <w:rPr/>
        <w:t>Propolis mouthwash</w:t>
      </w:r>
    </w:p>
    <w:p>
      <w:pPr>
        <w:pStyle w:val="BodyText"/>
        <w:spacing w:line="276" w:lineRule="auto" w:before="299"/>
        <w:ind w:left="616" w:right="139"/>
        <w:jc w:val="both"/>
      </w:pPr>
      <w:r>
        <w:rPr/>
        <w:t>A very good supplement to propolis toothpaste for the same indications is propolis mouthwash. Depending on the complaint, you can either rinse with this mouthwash (mouth) or gurgle it (to additionally reach the throat).</w:t>
      </w:r>
    </w:p>
    <w:p>
      <w:pPr>
        <w:pStyle w:val="Heading1"/>
        <w:spacing w:before="222"/>
        <w:ind w:left="616"/>
      </w:pPr>
      <w:r>
        <w:rPr/>
        <w:t>Propolis mouth gel</w:t>
      </w:r>
    </w:p>
    <w:p>
      <w:pPr>
        <w:pStyle w:val="BodyText"/>
        <w:spacing w:before="299"/>
        <w:ind w:left="616"/>
      </w:pPr>
      <w:r>
        <w:rPr/>
        <w:t>See propolis toothpaste and propolis mouthwash</w:t>
      </w:r>
    </w:p>
    <w:p>
      <w:pPr>
        <w:pStyle w:val="Heading2"/>
        <w:spacing w:before="305"/>
        <w:ind w:left="616"/>
      </w:pPr>
      <w:r>
        <w:rPr/>
        <w:t>Storage of propolis products</w:t>
      </w:r>
    </w:p>
    <w:p>
      <w:pPr>
        <w:pStyle w:val="BodyText"/>
        <w:spacing w:line="276" w:lineRule="auto" w:before="305"/>
        <w:ind w:left="616" w:right="144"/>
        <w:jc w:val="both"/>
      </w:pPr>
      <w:r>
        <w:rPr/>
        <w:t>Propolis products should always be stored in a cool and airtight space; this guarantees the best shelf life (up to five years for propolis resin; pay attention to the manufacturer’s expiry date!).</w:t>
      </w:r>
    </w:p>
    <w:p>
      <w:pPr>
        <w:pStyle w:val="Heading2"/>
        <w:spacing w:before="238"/>
        <w:ind w:left="616"/>
      </w:pPr>
      <w:r>
        <w:rPr/>
        <w:t>Produce your own propolis powder</w:t>
      </w:r>
    </w:p>
    <w:p>
      <w:pPr>
        <w:pStyle w:val="BodyText"/>
        <w:spacing w:line="278" w:lineRule="auto" w:before="305"/>
        <w:ind w:left="616"/>
      </w:pPr>
      <w:r>
        <w:rPr/>
        <w:t>You can easily produce your own propolis powder. To do this, you need the following utensils:</w:t>
      </w:r>
    </w:p>
    <w:p>
      <w:pPr>
        <w:pStyle w:val="ListParagraph"/>
        <w:numPr>
          <w:ilvl w:val="0"/>
          <w:numId w:val="95"/>
        </w:numPr>
        <w:tabs>
          <w:tab w:pos="1828" w:val="left" w:leader="none"/>
          <w:tab w:pos="1829" w:val="left" w:leader="none"/>
        </w:tabs>
        <w:spacing w:line="240" w:lineRule="auto" w:before="193" w:after="0"/>
        <w:ind w:left="1828" w:right="0" w:hanging="1212"/>
        <w:jc w:val="left"/>
        <w:rPr>
          <w:sz w:val="38"/>
        </w:rPr>
      </w:pPr>
      <w:r>
        <w:rPr>
          <w:sz w:val="38"/>
        </w:rPr>
        <w:t>Raw</w:t>
      </w:r>
      <w:r>
        <w:rPr>
          <w:spacing w:val="-2"/>
          <w:sz w:val="38"/>
        </w:rPr>
        <w:t> </w:t>
      </w:r>
      <w:r>
        <w:rPr>
          <w:sz w:val="38"/>
        </w:rPr>
        <w:t>propolis</w:t>
      </w:r>
    </w:p>
    <w:p>
      <w:pPr>
        <w:pStyle w:val="ListParagraph"/>
        <w:numPr>
          <w:ilvl w:val="0"/>
          <w:numId w:val="95"/>
        </w:numPr>
        <w:tabs>
          <w:tab w:pos="1828" w:val="left" w:leader="none"/>
          <w:tab w:pos="1829" w:val="left" w:leader="none"/>
        </w:tabs>
        <w:spacing w:line="240" w:lineRule="auto" w:before="64" w:after="0"/>
        <w:ind w:left="1828" w:right="0" w:hanging="1212"/>
        <w:jc w:val="left"/>
        <w:rPr>
          <w:sz w:val="38"/>
        </w:rPr>
      </w:pPr>
      <w:r>
        <w:rPr>
          <w:sz w:val="38"/>
        </w:rPr>
        <w:t>Mortar</w:t>
      </w:r>
    </w:p>
    <w:p>
      <w:pPr>
        <w:pStyle w:val="ListParagraph"/>
        <w:numPr>
          <w:ilvl w:val="0"/>
          <w:numId w:val="95"/>
        </w:numPr>
        <w:tabs>
          <w:tab w:pos="1828" w:val="left" w:leader="none"/>
          <w:tab w:pos="1829" w:val="left" w:leader="none"/>
        </w:tabs>
        <w:spacing w:line="240" w:lineRule="auto" w:before="63" w:after="0"/>
        <w:ind w:left="1828" w:right="0" w:hanging="1212"/>
        <w:jc w:val="left"/>
        <w:rPr>
          <w:sz w:val="38"/>
        </w:rPr>
      </w:pPr>
      <w:r>
        <w:rPr>
          <w:sz w:val="38"/>
        </w:rPr>
        <w:t>Freezer</w:t>
      </w:r>
    </w:p>
    <w:p>
      <w:pPr>
        <w:pStyle w:val="BodyText"/>
        <w:spacing w:line="276" w:lineRule="auto" w:before="302"/>
        <w:ind w:left="616" w:right="139"/>
        <w:jc w:val="both"/>
      </w:pPr>
      <w:r>
        <w:rPr/>
        <w:t>Raw</w:t>
      </w:r>
      <w:r>
        <w:rPr>
          <w:spacing w:val="-21"/>
        </w:rPr>
        <w:t> </w:t>
      </w:r>
      <w:r>
        <w:rPr/>
        <w:t>propolis</w:t>
      </w:r>
      <w:r>
        <w:rPr>
          <w:spacing w:val="-21"/>
        </w:rPr>
        <w:t> </w:t>
      </w:r>
      <w:r>
        <w:rPr/>
        <w:t>is</w:t>
      </w:r>
      <w:r>
        <w:rPr>
          <w:spacing w:val="-20"/>
        </w:rPr>
        <w:t> </w:t>
      </w:r>
      <w:r>
        <w:rPr/>
        <w:t>a</w:t>
      </w:r>
      <w:r>
        <w:rPr>
          <w:spacing w:val="-21"/>
        </w:rPr>
        <w:t> </w:t>
      </w:r>
      <w:r>
        <w:rPr/>
        <w:t>purified</w:t>
      </w:r>
      <w:r>
        <w:rPr>
          <w:spacing w:val="-20"/>
        </w:rPr>
        <w:t> </w:t>
      </w:r>
      <w:r>
        <w:rPr/>
        <w:t>propolis</w:t>
      </w:r>
      <w:r>
        <w:rPr>
          <w:spacing w:val="-20"/>
        </w:rPr>
        <w:t> </w:t>
      </w:r>
      <w:r>
        <w:rPr/>
        <w:t>which</w:t>
      </w:r>
      <w:r>
        <w:rPr>
          <w:spacing w:val="-19"/>
        </w:rPr>
        <w:t> </w:t>
      </w:r>
      <w:r>
        <w:rPr/>
        <w:t>is</w:t>
      </w:r>
      <w:r>
        <w:rPr>
          <w:spacing w:val="-20"/>
        </w:rPr>
        <w:t> </w:t>
      </w:r>
      <w:r>
        <w:rPr/>
        <w:t>free</w:t>
      </w:r>
      <w:r>
        <w:rPr>
          <w:spacing w:val="-19"/>
        </w:rPr>
        <w:t> </w:t>
      </w:r>
      <w:r>
        <w:rPr/>
        <w:t>of</w:t>
      </w:r>
      <w:r>
        <w:rPr>
          <w:spacing w:val="-20"/>
        </w:rPr>
        <w:t> </w:t>
      </w:r>
      <w:r>
        <w:rPr/>
        <w:t>plant-based</w:t>
      </w:r>
      <w:r>
        <w:rPr>
          <w:spacing w:val="-19"/>
        </w:rPr>
        <w:t> </w:t>
      </w:r>
      <w:r>
        <w:rPr/>
        <w:t>contaminations and</w:t>
      </w:r>
      <w:r>
        <w:rPr>
          <w:spacing w:val="-19"/>
        </w:rPr>
        <w:t> </w:t>
      </w:r>
      <w:r>
        <w:rPr/>
        <w:t>wax.</w:t>
      </w:r>
      <w:r>
        <w:rPr>
          <w:spacing w:val="-18"/>
        </w:rPr>
        <w:t> </w:t>
      </w:r>
      <w:r>
        <w:rPr/>
        <w:t>To</w:t>
      </w:r>
      <w:r>
        <w:rPr>
          <w:spacing w:val="-19"/>
        </w:rPr>
        <w:t> </w:t>
      </w:r>
      <w:r>
        <w:rPr/>
        <w:t>be</w:t>
      </w:r>
      <w:r>
        <w:rPr>
          <w:spacing w:val="-19"/>
        </w:rPr>
        <w:t> </w:t>
      </w:r>
      <w:r>
        <w:rPr/>
        <w:t>able</w:t>
      </w:r>
      <w:r>
        <w:rPr>
          <w:spacing w:val="-19"/>
        </w:rPr>
        <w:t> </w:t>
      </w:r>
      <w:r>
        <w:rPr/>
        <w:t>to</w:t>
      </w:r>
      <w:r>
        <w:rPr>
          <w:spacing w:val="-17"/>
        </w:rPr>
        <w:t> </w:t>
      </w:r>
      <w:r>
        <w:rPr/>
        <w:t>process</w:t>
      </w:r>
      <w:r>
        <w:rPr>
          <w:spacing w:val="-18"/>
        </w:rPr>
        <w:t> </w:t>
      </w:r>
      <w:r>
        <w:rPr/>
        <w:t>the</w:t>
      </w:r>
      <w:r>
        <w:rPr>
          <w:spacing w:val="-18"/>
        </w:rPr>
        <w:t> </w:t>
      </w:r>
      <w:r>
        <w:rPr/>
        <w:t>propolis</w:t>
      </w:r>
      <w:r>
        <w:rPr>
          <w:spacing w:val="-19"/>
        </w:rPr>
        <w:t> </w:t>
      </w:r>
      <w:r>
        <w:rPr/>
        <w:t>into</w:t>
      </w:r>
      <w:r>
        <w:rPr>
          <w:spacing w:val="-18"/>
        </w:rPr>
        <w:t> </w:t>
      </w:r>
      <w:r>
        <w:rPr/>
        <w:t>a</w:t>
      </w:r>
      <w:r>
        <w:rPr>
          <w:spacing w:val="-21"/>
        </w:rPr>
        <w:t> </w:t>
      </w:r>
      <w:r>
        <w:rPr/>
        <w:t>powder,</w:t>
      </w:r>
      <w:r>
        <w:rPr>
          <w:spacing w:val="-18"/>
        </w:rPr>
        <w:t> </w:t>
      </w:r>
      <w:r>
        <w:rPr/>
        <w:t>a</w:t>
      </w:r>
      <w:r>
        <w:rPr>
          <w:spacing w:val="-20"/>
        </w:rPr>
        <w:t> </w:t>
      </w:r>
      <w:r>
        <w:rPr/>
        <w:t>brittle</w:t>
      </w:r>
      <w:r>
        <w:rPr>
          <w:spacing w:val="-18"/>
        </w:rPr>
        <w:t> </w:t>
      </w:r>
      <w:r>
        <w:rPr/>
        <w:t>consistency is needed. To achieve this, pack the propolis in foil and place it in the freezer for</w:t>
      </w:r>
      <w:r>
        <w:rPr>
          <w:spacing w:val="30"/>
        </w:rPr>
        <w:t> </w:t>
      </w:r>
      <w:r>
        <w:rPr/>
        <w:t>a</w:t>
      </w:r>
      <w:r>
        <w:rPr>
          <w:spacing w:val="28"/>
        </w:rPr>
        <w:t> </w:t>
      </w:r>
      <w:r>
        <w:rPr/>
        <w:t>few</w:t>
      </w:r>
      <w:r>
        <w:rPr>
          <w:spacing w:val="28"/>
        </w:rPr>
        <w:t> </w:t>
      </w:r>
      <w:r>
        <w:rPr/>
        <w:t>hours.</w:t>
      </w:r>
      <w:r>
        <w:rPr>
          <w:spacing w:val="26"/>
        </w:rPr>
        <w:t> </w:t>
      </w:r>
      <w:r>
        <w:rPr/>
        <w:t>Before</w:t>
      </w:r>
      <w:r>
        <w:rPr>
          <w:spacing w:val="29"/>
        </w:rPr>
        <w:t> </w:t>
      </w:r>
      <w:r>
        <w:rPr/>
        <w:t>the</w:t>
      </w:r>
      <w:r>
        <w:rPr>
          <w:spacing w:val="27"/>
        </w:rPr>
        <w:t> </w:t>
      </w:r>
      <w:r>
        <w:rPr/>
        <w:t>actual</w:t>
      </w:r>
      <w:r>
        <w:rPr>
          <w:spacing w:val="27"/>
        </w:rPr>
        <w:t> </w:t>
      </w:r>
      <w:r>
        <w:rPr/>
        <w:t>production,</w:t>
      </w:r>
      <w:r>
        <w:rPr>
          <w:spacing w:val="29"/>
        </w:rPr>
        <w:t> </w:t>
      </w:r>
      <w:r>
        <w:rPr/>
        <w:t>place</w:t>
      </w:r>
      <w:r>
        <w:rPr>
          <w:spacing w:val="29"/>
        </w:rPr>
        <w:t> </w:t>
      </w:r>
      <w:r>
        <w:rPr/>
        <w:t>it</w:t>
      </w:r>
      <w:r>
        <w:rPr>
          <w:spacing w:val="27"/>
        </w:rPr>
        <w:t> </w:t>
      </w:r>
      <w:r>
        <w:rPr/>
        <w:t>in</w:t>
      </w:r>
      <w:r>
        <w:rPr>
          <w:spacing w:val="29"/>
        </w:rPr>
        <w:t> </w:t>
      </w:r>
      <w:r>
        <w:rPr/>
        <w:t>a</w:t>
      </w:r>
      <w:r>
        <w:rPr>
          <w:spacing w:val="28"/>
        </w:rPr>
        <w:t> </w:t>
      </w:r>
      <w:r>
        <w:rPr/>
        <w:t>mortar</w:t>
      </w:r>
      <w:r>
        <w:rPr>
          <w:spacing w:val="29"/>
        </w:rPr>
        <w:t> </w:t>
      </w:r>
      <w:r>
        <w:rPr/>
        <w:t>and</w:t>
      </w:r>
      <w:r>
        <w:rPr>
          <w:spacing w:val="29"/>
        </w:rPr>
        <w:t> </w:t>
      </w:r>
      <w:r>
        <w:rPr/>
        <w:t>then</w:t>
      </w:r>
    </w:p>
    <w:p>
      <w:pPr>
        <w:spacing w:after="0" w:line="276" w:lineRule="auto"/>
        <w:jc w:val="both"/>
        <w:sectPr>
          <w:pgSz w:w="14270" w:h="16850"/>
          <w:pgMar w:header="0" w:footer="1891" w:top="1320" w:bottom="2080" w:left="800" w:right="1280"/>
        </w:sectPr>
      </w:pPr>
    </w:p>
    <w:p>
      <w:pPr>
        <w:pStyle w:val="BodyText"/>
        <w:spacing w:before="74"/>
        <w:ind w:left="616"/>
      </w:pPr>
      <w:r>
        <w:rPr/>
        <w:t>gradually mash it and then stir it to turn it into powder.</w:t>
      </w:r>
    </w:p>
    <w:p>
      <w:pPr>
        <w:pStyle w:val="Heading1"/>
        <w:spacing w:before="287"/>
        <w:ind w:left="616"/>
      </w:pPr>
      <w:r>
        <w:rPr/>
        <w:t>Produce your own propolis tincture</w:t>
      </w:r>
    </w:p>
    <w:p>
      <w:pPr>
        <w:pStyle w:val="BodyText"/>
        <w:spacing w:line="278" w:lineRule="auto" w:before="297"/>
        <w:ind w:left="616" w:right="143"/>
        <w:jc w:val="both"/>
      </w:pPr>
      <w:r>
        <w:rPr/>
        <w:t>For this purpose, the purified propolis or the propolis powder (see above!) is placed in 96 % alcohol.</w:t>
      </w:r>
    </w:p>
    <w:p>
      <w:pPr>
        <w:pStyle w:val="Heading2"/>
        <w:spacing w:before="233"/>
        <w:ind w:left="616"/>
      </w:pPr>
      <w:r>
        <w:rPr/>
        <w:t>Does propolis have any side effects or interactions?</w:t>
      </w:r>
    </w:p>
    <w:p>
      <w:pPr>
        <w:pStyle w:val="BodyText"/>
        <w:spacing w:line="276" w:lineRule="auto" w:before="305"/>
        <w:ind w:left="616" w:right="138"/>
        <w:jc w:val="both"/>
      </w:pPr>
      <w:r>
        <w:rPr/>
        <w:t>As a general rule, no side effects, internal or external, are to</w:t>
      </w:r>
      <w:r>
        <w:rPr>
          <w:spacing w:val="-68"/>
        </w:rPr>
        <w:t> </w:t>
      </w:r>
      <w:r>
        <w:rPr/>
        <w:t>be expected when using propolis. In rare cases, intolerance or allergy could occur, which is most likely to happen with high doses of natural propolis extract.</w:t>
      </w:r>
    </w:p>
    <w:p>
      <w:pPr>
        <w:pStyle w:val="BodyText"/>
        <w:spacing w:line="276" w:lineRule="auto" w:before="241"/>
        <w:ind w:left="616" w:right="131"/>
        <w:jc w:val="both"/>
      </w:pPr>
      <w:r>
        <w:rPr/>
        <w:t>In</w:t>
      </w:r>
      <w:r>
        <w:rPr>
          <w:spacing w:val="-11"/>
        </w:rPr>
        <w:t> </w:t>
      </w:r>
      <w:r>
        <w:rPr/>
        <w:t>such</w:t>
      </w:r>
      <w:r>
        <w:rPr>
          <w:spacing w:val="-11"/>
        </w:rPr>
        <w:t> </w:t>
      </w:r>
      <w:r>
        <w:rPr/>
        <w:t>a</w:t>
      </w:r>
      <w:r>
        <w:rPr>
          <w:spacing w:val="-15"/>
        </w:rPr>
        <w:t> </w:t>
      </w:r>
      <w:r>
        <w:rPr/>
        <w:t>case,</w:t>
      </w:r>
      <w:r>
        <w:rPr>
          <w:spacing w:val="-11"/>
        </w:rPr>
        <w:t> </w:t>
      </w:r>
      <w:r>
        <w:rPr/>
        <w:t>it</w:t>
      </w:r>
      <w:r>
        <w:rPr>
          <w:spacing w:val="-13"/>
        </w:rPr>
        <w:t> </w:t>
      </w:r>
      <w:r>
        <w:rPr/>
        <w:t>is</w:t>
      </w:r>
      <w:r>
        <w:rPr>
          <w:spacing w:val="-12"/>
        </w:rPr>
        <w:t> </w:t>
      </w:r>
      <w:r>
        <w:rPr/>
        <w:t>advisable</w:t>
      </w:r>
      <w:r>
        <w:rPr>
          <w:spacing w:val="-12"/>
        </w:rPr>
        <w:t> </w:t>
      </w:r>
      <w:r>
        <w:rPr/>
        <w:t>to</w:t>
      </w:r>
      <w:r>
        <w:rPr>
          <w:spacing w:val="-10"/>
        </w:rPr>
        <w:t> </w:t>
      </w:r>
      <w:r>
        <w:rPr/>
        <w:t>immediately</w:t>
      </w:r>
      <w:r>
        <w:rPr>
          <w:spacing w:val="-11"/>
        </w:rPr>
        <w:t> </w:t>
      </w:r>
      <w:r>
        <w:rPr/>
        <w:t>cease</w:t>
      </w:r>
      <w:r>
        <w:rPr>
          <w:spacing w:val="-11"/>
        </w:rPr>
        <w:t> </w:t>
      </w:r>
      <w:r>
        <w:rPr/>
        <w:t>consumption</w:t>
      </w:r>
      <w:r>
        <w:rPr>
          <w:spacing w:val="-13"/>
        </w:rPr>
        <w:t> </w:t>
      </w:r>
      <w:r>
        <w:rPr/>
        <w:t>and</w:t>
      </w:r>
      <w:r>
        <w:rPr>
          <w:spacing w:val="-10"/>
        </w:rPr>
        <w:t> </w:t>
      </w:r>
      <w:r>
        <w:rPr/>
        <w:t>to</w:t>
      </w:r>
      <w:r>
        <w:rPr>
          <w:spacing w:val="-11"/>
        </w:rPr>
        <w:t> </w:t>
      </w:r>
      <w:r>
        <w:rPr/>
        <w:t>consult an experienced physician before resuming. Other side effects apart from rare allergies, which mostly occur among beekeepers, have thus far not been ob- served.</w:t>
      </w:r>
    </w:p>
    <w:p>
      <w:pPr>
        <w:spacing w:after="0" w:line="276" w:lineRule="auto"/>
        <w:jc w:val="both"/>
        <w:sectPr>
          <w:pgSz w:w="14270" w:h="16850"/>
          <w:pgMar w:header="0" w:footer="1891" w:top="1340" w:bottom="2080" w:left="800" w:right="1280"/>
        </w:sectPr>
      </w:pPr>
    </w:p>
    <w:p>
      <w:pPr>
        <w:spacing w:before="73"/>
        <w:ind w:left="616" w:right="0" w:firstLine="0"/>
        <w:jc w:val="left"/>
        <w:rPr>
          <w:rFonts w:ascii="Cambria"/>
          <w:b/>
          <w:sz w:val="28"/>
        </w:rPr>
      </w:pPr>
      <w:r>
        <w:rPr>
          <w:rFonts w:ascii="Cambria"/>
          <w:b/>
          <w:color w:val="365F91"/>
          <w:sz w:val="28"/>
        </w:rPr>
        <w:t>ROYAL JELLY</w:t>
      </w:r>
    </w:p>
    <w:p>
      <w:pPr>
        <w:pStyle w:val="BodyText"/>
        <w:spacing w:before="11"/>
        <w:rPr>
          <w:rFonts w:ascii="Cambria"/>
          <w:b/>
          <w:sz w:val="24"/>
        </w:rPr>
      </w:pPr>
    </w:p>
    <w:p>
      <w:pPr>
        <w:pStyle w:val="Heading2"/>
        <w:ind w:left="616"/>
      </w:pPr>
      <w:r>
        <w:rPr/>
        <w:t>Royal jelly – the precious liquid that makes kings of</w:t>
      </w:r>
      <w:r>
        <w:rPr>
          <w:spacing w:val="-28"/>
        </w:rPr>
        <w:t> </w:t>
      </w:r>
      <w:r>
        <w:rPr/>
        <w:t>workers</w:t>
      </w:r>
    </w:p>
    <w:p>
      <w:pPr>
        <w:pStyle w:val="BodyText"/>
        <w:spacing w:line="276" w:lineRule="auto" w:before="302"/>
        <w:ind w:left="616" w:right="134"/>
        <w:jc w:val="both"/>
      </w:pPr>
      <w:r>
        <w:rPr/>
        <w:t>How</w:t>
      </w:r>
      <w:r>
        <w:rPr>
          <w:spacing w:val="-15"/>
        </w:rPr>
        <w:t> </w:t>
      </w:r>
      <w:r>
        <w:rPr/>
        <w:t>would</w:t>
      </w:r>
      <w:r>
        <w:rPr>
          <w:spacing w:val="-14"/>
        </w:rPr>
        <w:t> </w:t>
      </w:r>
      <w:r>
        <w:rPr/>
        <w:t>you</w:t>
      </w:r>
      <w:r>
        <w:rPr>
          <w:spacing w:val="-15"/>
        </w:rPr>
        <w:t> </w:t>
      </w:r>
      <w:r>
        <w:rPr/>
        <w:t>like</w:t>
      </w:r>
      <w:r>
        <w:rPr>
          <w:spacing w:val="-15"/>
        </w:rPr>
        <w:t> </w:t>
      </w:r>
      <w:r>
        <w:rPr/>
        <w:t>to</w:t>
      </w:r>
      <w:r>
        <w:rPr>
          <w:spacing w:val="-14"/>
        </w:rPr>
        <w:t> </w:t>
      </w:r>
      <w:r>
        <w:rPr/>
        <w:t>obtain</w:t>
      </w:r>
      <w:r>
        <w:rPr>
          <w:spacing w:val="-14"/>
        </w:rPr>
        <w:t> </w:t>
      </w:r>
      <w:r>
        <w:rPr/>
        <w:t>the</w:t>
      </w:r>
      <w:r>
        <w:rPr>
          <w:spacing w:val="-14"/>
        </w:rPr>
        <w:t> </w:t>
      </w:r>
      <w:r>
        <w:rPr/>
        <w:t>pleasure</w:t>
      </w:r>
      <w:r>
        <w:rPr>
          <w:spacing w:val="-16"/>
        </w:rPr>
        <w:t> </w:t>
      </w:r>
      <w:r>
        <w:rPr/>
        <w:t>of</w:t>
      </w:r>
      <w:r>
        <w:rPr>
          <w:spacing w:val="-13"/>
        </w:rPr>
        <w:t> </w:t>
      </w:r>
      <w:r>
        <w:rPr/>
        <w:t>a</w:t>
      </w:r>
      <w:r>
        <w:rPr>
          <w:spacing w:val="-17"/>
        </w:rPr>
        <w:t> </w:t>
      </w:r>
      <w:r>
        <w:rPr/>
        <w:t>liquid</w:t>
      </w:r>
      <w:r>
        <w:rPr>
          <w:spacing w:val="-13"/>
        </w:rPr>
        <w:t> </w:t>
      </w:r>
      <w:r>
        <w:rPr/>
        <w:t>that</w:t>
      </w:r>
      <w:r>
        <w:rPr>
          <w:spacing w:val="-14"/>
        </w:rPr>
        <w:t> </w:t>
      </w:r>
      <w:r>
        <w:rPr/>
        <w:t>has</w:t>
      </w:r>
      <w:r>
        <w:rPr>
          <w:spacing w:val="-16"/>
        </w:rPr>
        <w:t> </w:t>
      </w:r>
      <w:r>
        <w:rPr/>
        <w:t>not</w:t>
      </w:r>
      <w:r>
        <w:rPr>
          <w:spacing w:val="-17"/>
        </w:rPr>
        <w:t> </w:t>
      </w:r>
      <w:r>
        <w:rPr/>
        <w:t>only</w:t>
      </w:r>
      <w:r>
        <w:rPr>
          <w:spacing w:val="-17"/>
        </w:rPr>
        <w:t> </w:t>
      </w:r>
      <w:r>
        <w:rPr/>
        <w:t>secured the survival of bees for millions of years but is also solely responsible for whether a bee will spend its entire life as a small worker bee or whether it will grow physically into a large, long-lived queen bee in possession of incredible energy in order to spend its life bringing offspring into the</w:t>
      </w:r>
      <w:r>
        <w:rPr>
          <w:spacing w:val="-8"/>
        </w:rPr>
        <w:t> </w:t>
      </w:r>
      <w:r>
        <w:rPr/>
        <w:t>world?</w:t>
      </w:r>
    </w:p>
    <w:p>
      <w:pPr>
        <w:pStyle w:val="BodyText"/>
        <w:spacing w:line="278" w:lineRule="auto" w:before="240"/>
        <w:ind w:left="616" w:right="140"/>
        <w:jc w:val="both"/>
      </w:pPr>
      <w:r>
        <w:rPr/>
        <w:t>Royal jelly is another gift of ‘Mother’ Nature which you should definitely pay attention to as a health-conscious person!</w:t>
      </w:r>
    </w:p>
    <w:p>
      <w:pPr>
        <w:pStyle w:val="BodyText"/>
        <w:spacing w:before="232"/>
        <w:ind w:left="616"/>
      </w:pPr>
      <w:r>
        <w:rPr/>
        <w:t>What exactly is royal jelly and what can it do for our health?</w:t>
      </w:r>
    </w:p>
    <w:p>
      <w:pPr>
        <w:pStyle w:val="BodyText"/>
        <w:spacing w:line="276" w:lineRule="auto" w:before="305"/>
        <w:ind w:left="616" w:right="141"/>
        <w:jc w:val="both"/>
      </w:pPr>
      <w:r>
        <w:rPr/>
        <w:t>Royal jelly is very special juice with a thick, sticky consistency, produced by bees.</w:t>
      </w:r>
    </w:p>
    <w:p>
      <w:pPr>
        <w:pStyle w:val="BodyText"/>
        <w:spacing w:line="276" w:lineRule="auto" w:before="238"/>
        <w:ind w:left="616" w:right="138"/>
        <w:jc w:val="both"/>
      </w:pPr>
      <w:r>
        <w:rPr/>
        <w:t>One might immediately think of honey here, but the first part of the name ‘royal</w:t>
      </w:r>
      <w:r>
        <w:rPr>
          <w:spacing w:val="-24"/>
        </w:rPr>
        <w:t> </w:t>
      </w:r>
      <w:r>
        <w:rPr/>
        <w:t>jelly’</w:t>
      </w:r>
      <w:r>
        <w:rPr>
          <w:spacing w:val="-22"/>
        </w:rPr>
        <w:t> </w:t>
      </w:r>
      <w:r>
        <w:rPr/>
        <w:t>already</w:t>
      </w:r>
      <w:r>
        <w:rPr>
          <w:spacing w:val="-23"/>
        </w:rPr>
        <w:t> </w:t>
      </w:r>
      <w:r>
        <w:rPr/>
        <w:t>suggests</w:t>
      </w:r>
      <w:r>
        <w:rPr>
          <w:spacing w:val="-23"/>
        </w:rPr>
        <w:t> </w:t>
      </w:r>
      <w:r>
        <w:rPr/>
        <w:t>the</w:t>
      </w:r>
      <w:r>
        <w:rPr>
          <w:spacing w:val="-20"/>
        </w:rPr>
        <w:t> </w:t>
      </w:r>
      <w:r>
        <w:rPr/>
        <w:t>unique</w:t>
      </w:r>
      <w:r>
        <w:rPr>
          <w:spacing w:val="-23"/>
        </w:rPr>
        <w:t> </w:t>
      </w:r>
      <w:r>
        <w:rPr/>
        <w:t>and,</w:t>
      </w:r>
      <w:r>
        <w:rPr>
          <w:spacing w:val="-20"/>
        </w:rPr>
        <w:t> </w:t>
      </w:r>
      <w:r>
        <w:rPr/>
        <w:t>yes,</w:t>
      </w:r>
      <w:r>
        <w:rPr>
          <w:spacing w:val="-24"/>
        </w:rPr>
        <w:t> </w:t>
      </w:r>
      <w:r>
        <w:rPr/>
        <w:t>‘royal’</w:t>
      </w:r>
      <w:r>
        <w:rPr>
          <w:spacing w:val="-22"/>
        </w:rPr>
        <w:t> </w:t>
      </w:r>
      <w:r>
        <w:rPr/>
        <w:t>significance</w:t>
      </w:r>
      <w:r>
        <w:rPr>
          <w:spacing w:val="-21"/>
        </w:rPr>
        <w:t> </w:t>
      </w:r>
      <w:r>
        <w:rPr/>
        <w:t>of</w:t>
      </w:r>
      <w:r>
        <w:rPr>
          <w:spacing w:val="-24"/>
        </w:rPr>
        <w:t> </w:t>
      </w:r>
      <w:r>
        <w:rPr/>
        <w:t>this</w:t>
      </w:r>
      <w:r>
        <w:rPr>
          <w:spacing w:val="-23"/>
        </w:rPr>
        <w:t> </w:t>
      </w:r>
      <w:r>
        <w:rPr/>
        <w:t>juice, which is far superior to honey in terms of its impact on our</w:t>
      </w:r>
      <w:r>
        <w:rPr>
          <w:spacing w:val="-7"/>
        </w:rPr>
        <w:t> </w:t>
      </w:r>
      <w:r>
        <w:rPr/>
        <w:t>health!</w:t>
      </w:r>
    </w:p>
    <w:p>
      <w:pPr>
        <w:pStyle w:val="BodyText"/>
        <w:rPr>
          <w:sz w:val="42"/>
        </w:rPr>
      </w:pPr>
    </w:p>
    <w:p>
      <w:pPr>
        <w:pStyle w:val="BodyText"/>
        <w:spacing w:before="6"/>
        <w:rPr>
          <w:sz w:val="44"/>
        </w:rPr>
      </w:pPr>
    </w:p>
    <w:p>
      <w:pPr>
        <w:pStyle w:val="Heading2"/>
        <w:ind w:left="616"/>
      </w:pPr>
      <w:r>
        <w:rPr/>
        <w:t>Creation of royal jelly</w:t>
      </w:r>
    </w:p>
    <w:p>
      <w:pPr>
        <w:pStyle w:val="BodyText"/>
        <w:spacing w:line="276" w:lineRule="auto" w:before="305"/>
        <w:ind w:left="616" w:right="134"/>
        <w:jc w:val="both"/>
      </w:pPr>
      <w:r>
        <w:rPr/>
        <w:t>At an age of between four and twelve days, the bees secrete royal jelly from their</w:t>
      </w:r>
      <w:r>
        <w:rPr>
          <w:spacing w:val="-17"/>
        </w:rPr>
        <w:t> </w:t>
      </w:r>
      <w:r>
        <w:rPr/>
        <w:t>hypopharyngeal</w:t>
      </w:r>
      <w:r>
        <w:rPr>
          <w:spacing w:val="-17"/>
        </w:rPr>
        <w:t> </w:t>
      </w:r>
      <w:r>
        <w:rPr/>
        <w:t>and</w:t>
      </w:r>
      <w:r>
        <w:rPr>
          <w:spacing w:val="-16"/>
        </w:rPr>
        <w:t> </w:t>
      </w:r>
      <w:r>
        <w:rPr/>
        <w:t>maxillary</w:t>
      </w:r>
      <w:r>
        <w:rPr>
          <w:spacing w:val="-17"/>
        </w:rPr>
        <w:t> </w:t>
      </w:r>
      <w:r>
        <w:rPr/>
        <w:t>glands,</w:t>
      </w:r>
      <w:r>
        <w:rPr>
          <w:spacing w:val="-16"/>
        </w:rPr>
        <w:t> </w:t>
      </w:r>
      <w:r>
        <w:rPr/>
        <w:t>which</w:t>
      </w:r>
      <w:r>
        <w:rPr>
          <w:spacing w:val="-15"/>
        </w:rPr>
        <w:t> </w:t>
      </w:r>
      <w:r>
        <w:rPr/>
        <w:t>will</w:t>
      </w:r>
      <w:r>
        <w:rPr>
          <w:spacing w:val="-19"/>
        </w:rPr>
        <w:t> </w:t>
      </w:r>
      <w:r>
        <w:rPr/>
        <w:t>serve</w:t>
      </w:r>
      <w:r>
        <w:rPr>
          <w:spacing w:val="-17"/>
        </w:rPr>
        <w:t> </w:t>
      </w:r>
      <w:r>
        <w:rPr/>
        <w:t>as</w:t>
      </w:r>
      <w:r>
        <w:rPr>
          <w:spacing w:val="-17"/>
        </w:rPr>
        <w:t> </w:t>
      </w:r>
      <w:r>
        <w:rPr/>
        <w:t>nutrition</w:t>
      </w:r>
      <w:r>
        <w:rPr>
          <w:spacing w:val="-17"/>
        </w:rPr>
        <w:t> </w:t>
      </w:r>
      <w:r>
        <w:rPr/>
        <w:t>for</w:t>
      </w:r>
      <w:r>
        <w:rPr>
          <w:spacing w:val="-15"/>
        </w:rPr>
        <w:t> </w:t>
      </w:r>
      <w:r>
        <w:rPr/>
        <w:t>the developing bees in the first larval</w:t>
      </w:r>
      <w:r>
        <w:rPr>
          <w:spacing w:val="2"/>
        </w:rPr>
        <w:t> </w:t>
      </w:r>
      <w:r>
        <w:rPr/>
        <w:t>stages.</w:t>
      </w:r>
    </w:p>
    <w:p>
      <w:pPr>
        <w:spacing w:after="0" w:line="276" w:lineRule="auto"/>
        <w:jc w:val="both"/>
        <w:sectPr>
          <w:pgSz w:w="14270" w:h="16850"/>
          <w:pgMar w:header="0" w:footer="1891" w:top="1340" w:bottom="2080" w:left="800" w:right="1280"/>
        </w:sectPr>
      </w:pPr>
    </w:p>
    <w:p>
      <w:pPr>
        <w:pStyle w:val="BodyText"/>
        <w:spacing w:line="276" w:lineRule="auto" w:before="74"/>
        <w:ind w:left="616" w:right="135"/>
        <w:jc w:val="both"/>
      </w:pPr>
      <w:r>
        <w:rPr/>
        <w:t>Exclusively the juice of these young bees (so-called ‘nurse bees’), it is used between</w:t>
      </w:r>
      <w:r>
        <w:rPr>
          <w:spacing w:val="-8"/>
        </w:rPr>
        <w:t> </w:t>
      </w:r>
      <w:r>
        <w:rPr/>
        <w:t>the</w:t>
      </w:r>
      <w:r>
        <w:rPr>
          <w:spacing w:val="-8"/>
        </w:rPr>
        <w:t> </w:t>
      </w:r>
      <w:r>
        <w:rPr/>
        <w:t>fourth</w:t>
      </w:r>
      <w:r>
        <w:rPr>
          <w:spacing w:val="-8"/>
        </w:rPr>
        <w:t> </w:t>
      </w:r>
      <w:r>
        <w:rPr/>
        <w:t>and</w:t>
      </w:r>
      <w:r>
        <w:rPr>
          <w:spacing w:val="-9"/>
        </w:rPr>
        <w:t> </w:t>
      </w:r>
      <w:r>
        <w:rPr/>
        <w:t>twelfth</w:t>
      </w:r>
      <w:r>
        <w:rPr>
          <w:spacing w:val="-10"/>
        </w:rPr>
        <w:t> </w:t>
      </w:r>
      <w:r>
        <w:rPr/>
        <w:t>days.</w:t>
      </w:r>
      <w:r>
        <w:rPr>
          <w:spacing w:val="-9"/>
        </w:rPr>
        <w:t> </w:t>
      </w:r>
      <w:r>
        <w:rPr/>
        <w:t>This</w:t>
      </w:r>
      <w:r>
        <w:rPr>
          <w:spacing w:val="-7"/>
        </w:rPr>
        <w:t> </w:t>
      </w:r>
      <w:r>
        <w:rPr/>
        <w:t>makes</w:t>
      </w:r>
      <w:r>
        <w:rPr>
          <w:spacing w:val="-9"/>
        </w:rPr>
        <w:t> </w:t>
      </w:r>
      <w:r>
        <w:rPr/>
        <w:t>a</w:t>
      </w:r>
      <w:r>
        <w:rPr>
          <w:spacing w:val="-9"/>
        </w:rPr>
        <w:t> </w:t>
      </w:r>
      <w:r>
        <w:rPr/>
        <w:t>great</w:t>
      </w:r>
      <w:r>
        <w:rPr>
          <w:spacing w:val="-12"/>
        </w:rPr>
        <w:t> </w:t>
      </w:r>
      <w:r>
        <w:rPr/>
        <w:t>deal</w:t>
      </w:r>
      <w:r>
        <w:rPr>
          <w:spacing w:val="-9"/>
        </w:rPr>
        <w:t> </w:t>
      </w:r>
      <w:r>
        <w:rPr/>
        <w:t>of</w:t>
      </w:r>
      <w:r>
        <w:rPr>
          <w:spacing w:val="-11"/>
        </w:rPr>
        <w:t> </w:t>
      </w:r>
      <w:r>
        <w:rPr/>
        <w:t>sense,</w:t>
      </w:r>
      <w:r>
        <w:rPr>
          <w:spacing w:val="-9"/>
        </w:rPr>
        <w:t> </w:t>
      </w:r>
      <w:r>
        <w:rPr/>
        <w:t>as</w:t>
      </w:r>
      <w:r>
        <w:rPr>
          <w:spacing w:val="-10"/>
        </w:rPr>
        <w:t> </w:t>
      </w:r>
      <w:r>
        <w:rPr/>
        <w:t>these young juice providers are themselves in possession of correspondingly young cells, in order to produce as high quality of a royal jelly as</w:t>
      </w:r>
      <w:r>
        <w:rPr>
          <w:spacing w:val="-14"/>
        </w:rPr>
        <w:t> </w:t>
      </w:r>
      <w:r>
        <w:rPr/>
        <w:t>possible.</w:t>
      </w:r>
    </w:p>
    <w:p>
      <w:pPr>
        <w:pStyle w:val="BodyText"/>
        <w:spacing w:line="276" w:lineRule="auto" w:before="239"/>
        <w:ind w:left="616" w:right="136"/>
        <w:jc w:val="both"/>
      </w:pPr>
      <w:r>
        <w:rPr/>
        <w:t>In contrast to honey, which, together with pollen, serves as food for all bees, this</w:t>
      </w:r>
      <w:r>
        <w:rPr>
          <w:spacing w:val="-8"/>
        </w:rPr>
        <w:t> </w:t>
      </w:r>
      <w:r>
        <w:rPr/>
        <w:t>very</w:t>
      </w:r>
      <w:r>
        <w:rPr>
          <w:spacing w:val="-8"/>
        </w:rPr>
        <w:t> </w:t>
      </w:r>
      <w:r>
        <w:rPr/>
        <w:t>special</w:t>
      </w:r>
      <w:r>
        <w:rPr>
          <w:spacing w:val="-9"/>
        </w:rPr>
        <w:t> </w:t>
      </w:r>
      <w:r>
        <w:rPr/>
        <w:t>juice</w:t>
      </w:r>
      <w:r>
        <w:rPr>
          <w:spacing w:val="-9"/>
        </w:rPr>
        <w:t> </w:t>
      </w:r>
      <w:r>
        <w:rPr/>
        <w:t>is</w:t>
      </w:r>
      <w:r>
        <w:rPr>
          <w:spacing w:val="-10"/>
        </w:rPr>
        <w:t> </w:t>
      </w:r>
      <w:r>
        <w:rPr/>
        <w:t>afterwards</w:t>
      </w:r>
      <w:r>
        <w:rPr>
          <w:spacing w:val="-8"/>
        </w:rPr>
        <w:t> </w:t>
      </w:r>
      <w:r>
        <w:rPr/>
        <w:t>reserved</w:t>
      </w:r>
      <w:r>
        <w:rPr>
          <w:spacing w:val="-9"/>
        </w:rPr>
        <w:t> </w:t>
      </w:r>
      <w:r>
        <w:rPr/>
        <w:t>for</w:t>
      </w:r>
      <w:r>
        <w:rPr>
          <w:spacing w:val="-7"/>
        </w:rPr>
        <w:t> </w:t>
      </w:r>
      <w:r>
        <w:rPr/>
        <w:t>a</w:t>
      </w:r>
      <w:r>
        <w:rPr>
          <w:spacing w:val="-12"/>
        </w:rPr>
        <w:t> </w:t>
      </w:r>
      <w:r>
        <w:rPr/>
        <w:t>single,</w:t>
      </w:r>
      <w:r>
        <w:rPr>
          <w:spacing w:val="-9"/>
        </w:rPr>
        <w:t> </w:t>
      </w:r>
      <w:r>
        <w:rPr/>
        <w:t>predestined</w:t>
      </w:r>
      <w:r>
        <w:rPr>
          <w:spacing w:val="-8"/>
        </w:rPr>
        <w:t> </w:t>
      </w:r>
      <w:r>
        <w:rPr/>
        <w:t>bee</w:t>
      </w:r>
      <w:r>
        <w:rPr>
          <w:spacing w:val="-8"/>
        </w:rPr>
        <w:t> </w:t>
      </w:r>
      <w:r>
        <w:rPr/>
        <w:t>in</w:t>
      </w:r>
      <w:r>
        <w:rPr>
          <w:spacing w:val="-8"/>
        </w:rPr>
        <w:t> </w:t>
      </w:r>
      <w:r>
        <w:rPr/>
        <w:t>the hive: namely, the still-to-be-crowned</w:t>
      </w:r>
      <w:r>
        <w:rPr>
          <w:spacing w:val="2"/>
        </w:rPr>
        <w:t> </w:t>
      </w:r>
      <w:r>
        <w:rPr/>
        <w:t>queen!</w:t>
      </w:r>
    </w:p>
    <w:p>
      <w:pPr>
        <w:pStyle w:val="BodyText"/>
        <w:spacing w:before="242"/>
        <w:ind w:left="616"/>
      </w:pPr>
      <w:r>
        <w:rPr/>
        <w:t>The worker bees then raise the young queen with royal jelly.</w:t>
      </w:r>
    </w:p>
    <w:p>
      <w:pPr>
        <w:pStyle w:val="BodyText"/>
        <w:spacing w:line="276" w:lineRule="auto" w:before="305"/>
        <w:ind w:left="616" w:right="134"/>
        <w:jc w:val="both"/>
      </w:pPr>
      <w:r>
        <w:rPr/>
        <w:t>Every</w:t>
      </w:r>
      <w:r>
        <w:rPr>
          <w:spacing w:val="-14"/>
        </w:rPr>
        <w:t> </w:t>
      </w:r>
      <w:r>
        <w:rPr/>
        <w:t>bee</w:t>
      </w:r>
      <w:r>
        <w:rPr>
          <w:spacing w:val="-13"/>
        </w:rPr>
        <w:t> </w:t>
      </w:r>
      <w:r>
        <w:rPr/>
        <w:t>in</w:t>
      </w:r>
      <w:r>
        <w:rPr>
          <w:spacing w:val="-13"/>
        </w:rPr>
        <w:t> </w:t>
      </w:r>
      <w:r>
        <w:rPr/>
        <w:t>the</w:t>
      </w:r>
      <w:r>
        <w:rPr>
          <w:spacing w:val="-15"/>
        </w:rPr>
        <w:t> </w:t>
      </w:r>
      <w:r>
        <w:rPr/>
        <w:t>hive</w:t>
      </w:r>
      <w:r>
        <w:rPr>
          <w:spacing w:val="-13"/>
        </w:rPr>
        <w:t> </w:t>
      </w:r>
      <w:r>
        <w:rPr/>
        <w:t>intuitively</w:t>
      </w:r>
      <w:r>
        <w:rPr>
          <w:spacing w:val="-11"/>
        </w:rPr>
        <w:t> </w:t>
      </w:r>
      <w:r>
        <w:rPr/>
        <w:t>knows</w:t>
      </w:r>
      <w:r>
        <w:rPr>
          <w:spacing w:val="-14"/>
        </w:rPr>
        <w:t> </w:t>
      </w:r>
      <w:r>
        <w:rPr/>
        <w:t>the</w:t>
      </w:r>
      <w:r>
        <w:rPr>
          <w:spacing w:val="-12"/>
        </w:rPr>
        <w:t> </w:t>
      </w:r>
      <w:r>
        <w:rPr/>
        <w:t>value</w:t>
      </w:r>
      <w:r>
        <w:rPr>
          <w:spacing w:val="-10"/>
        </w:rPr>
        <w:t> </w:t>
      </w:r>
      <w:r>
        <w:rPr/>
        <w:t>of</w:t>
      </w:r>
      <w:r>
        <w:rPr>
          <w:spacing w:val="-13"/>
        </w:rPr>
        <w:t> </w:t>
      </w:r>
      <w:r>
        <w:rPr/>
        <w:t>the</w:t>
      </w:r>
      <w:r>
        <w:rPr>
          <w:spacing w:val="-12"/>
        </w:rPr>
        <w:t> </w:t>
      </w:r>
      <w:r>
        <w:rPr/>
        <w:t>royal</w:t>
      </w:r>
      <w:r>
        <w:rPr>
          <w:spacing w:val="-14"/>
        </w:rPr>
        <w:t> </w:t>
      </w:r>
      <w:r>
        <w:rPr/>
        <w:t>jelly,</w:t>
      </w:r>
      <w:r>
        <w:rPr>
          <w:spacing w:val="-14"/>
        </w:rPr>
        <w:t> </w:t>
      </w:r>
      <w:r>
        <w:rPr/>
        <w:t>an</w:t>
      </w:r>
      <w:r>
        <w:rPr>
          <w:spacing w:val="-13"/>
        </w:rPr>
        <w:t> </w:t>
      </w:r>
      <w:r>
        <w:rPr/>
        <w:t>elixir</w:t>
      </w:r>
      <w:r>
        <w:rPr>
          <w:spacing w:val="-13"/>
        </w:rPr>
        <w:t> </w:t>
      </w:r>
      <w:r>
        <w:rPr/>
        <w:t>that seeks</w:t>
      </w:r>
      <w:r>
        <w:rPr>
          <w:spacing w:val="-14"/>
        </w:rPr>
        <w:t> </w:t>
      </w:r>
      <w:r>
        <w:rPr/>
        <w:t>out</w:t>
      </w:r>
      <w:r>
        <w:rPr>
          <w:spacing w:val="-17"/>
        </w:rPr>
        <w:t> </w:t>
      </w:r>
      <w:r>
        <w:rPr/>
        <w:t>its</w:t>
      </w:r>
      <w:r>
        <w:rPr>
          <w:spacing w:val="-17"/>
        </w:rPr>
        <w:t> </w:t>
      </w:r>
      <w:r>
        <w:rPr/>
        <w:t>own</w:t>
      </w:r>
      <w:r>
        <w:rPr>
          <w:spacing w:val="-14"/>
        </w:rPr>
        <w:t> </w:t>
      </w:r>
      <w:r>
        <w:rPr/>
        <w:t>kind</w:t>
      </w:r>
      <w:r>
        <w:rPr>
          <w:spacing w:val="-16"/>
        </w:rPr>
        <w:t> </w:t>
      </w:r>
      <w:r>
        <w:rPr/>
        <w:t>and</w:t>
      </w:r>
      <w:r>
        <w:rPr>
          <w:spacing w:val="-14"/>
        </w:rPr>
        <w:t> </w:t>
      </w:r>
      <w:r>
        <w:rPr/>
        <w:t>admits</w:t>
      </w:r>
      <w:r>
        <w:rPr>
          <w:spacing w:val="-14"/>
        </w:rPr>
        <w:t> </w:t>
      </w:r>
      <w:r>
        <w:rPr/>
        <w:t>of</w:t>
      </w:r>
      <w:r>
        <w:rPr>
          <w:spacing w:val="-16"/>
        </w:rPr>
        <w:t> </w:t>
      </w:r>
      <w:r>
        <w:rPr/>
        <w:t>comparison</w:t>
      </w:r>
      <w:r>
        <w:rPr>
          <w:spacing w:val="-14"/>
        </w:rPr>
        <w:t> </w:t>
      </w:r>
      <w:r>
        <w:rPr/>
        <w:t>with</w:t>
      </w:r>
      <w:r>
        <w:rPr>
          <w:spacing w:val="-14"/>
        </w:rPr>
        <w:t> </w:t>
      </w:r>
      <w:r>
        <w:rPr/>
        <w:t>colostrum,</w:t>
      </w:r>
      <w:r>
        <w:rPr>
          <w:spacing w:val="-14"/>
        </w:rPr>
        <w:t> </w:t>
      </w:r>
      <w:r>
        <w:rPr/>
        <w:t>the</w:t>
      </w:r>
      <w:r>
        <w:rPr>
          <w:spacing w:val="-16"/>
        </w:rPr>
        <w:t> </w:t>
      </w:r>
      <w:r>
        <w:rPr/>
        <w:t>first</w:t>
      </w:r>
      <w:r>
        <w:rPr>
          <w:spacing w:val="-17"/>
        </w:rPr>
        <w:t> </w:t>
      </w:r>
      <w:r>
        <w:rPr/>
        <w:t>milk of</w:t>
      </w:r>
      <w:r>
        <w:rPr>
          <w:spacing w:val="-16"/>
        </w:rPr>
        <w:t> </w:t>
      </w:r>
      <w:r>
        <w:rPr/>
        <w:t>mammals,</w:t>
      </w:r>
      <w:r>
        <w:rPr>
          <w:spacing w:val="-15"/>
        </w:rPr>
        <w:t> </w:t>
      </w:r>
      <w:r>
        <w:rPr/>
        <w:t>which</w:t>
      </w:r>
      <w:r>
        <w:rPr>
          <w:spacing w:val="-14"/>
        </w:rPr>
        <w:t> </w:t>
      </w:r>
      <w:r>
        <w:rPr/>
        <w:t>is</w:t>
      </w:r>
      <w:r>
        <w:rPr>
          <w:spacing w:val="-17"/>
        </w:rPr>
        <w:t> </w:t>
      </w:r>
      <w:r>
        <w:rPr/>
        <w:t>also</w:t>
      </w:r>
      <w:r>
        <w:rPr>
          <w:spacing w:val="-17"/>
        </w:rPr>
        <w:t> </w:t>
      </w:r>
      <w:r>
        <w:rPr/>
        <w:t>only</w:t>
      </w:r>
      <w:r>
        <w:rPr>
          <w:spacing w:val="-16"/>
        </w:rPr>
        <w:t> </w:t>
      </w:r>
      <w:r>
        <w:rPr/>
        <w:t>available</w:t>
      </w:r>
      <w:r>
        <w:rPr>
          <w:spacing w:val="-17"/>
        </w:rPr>
        <w:t> </w:t>
      </w:r>
      <w:r>
        <w:rPr/>
        <w:t>for</w:t>
      </w:r>
      <w:r>
        <w:rPr>
          <w:spacing w:val="-14"/>
        </w:rPr>
        <w:t> </w:t>
      </w:r>
      <w:r>
        <w:rPr/>
        <w:t>a</w:t>
      </w:r>
      <w:r>
        <w:rPr>
          <w:spacing w:val="-18"/>
        </w:rPr>
        <w:t> </w:t>
      </w:r>
      <w:r>
        <w:rPr/>
        <w:t>few</w:t>
      </w:r>
      <w:r>
        <w:rPr>
          <w:spacing w:val="-17"/>
        </w:rPr>
        <w:t> </w:t>
      </w:r>
      <w:r>
        <w:rPr/>
        <w:t>days</w:t>
      </w:r>
      <w:r>
        <w:rPr>
          <w:spacing w:val="-16"/>
        </w:rPr>
        <w:t> </w:t>
      </w:r>
      <w:r>
        <w:rPr/>
        <w:t>to</w:t>
      </w:r>
      <w:r>
        <w:rPr>
          <w:spacing w:val="-15"/>
        </w:rPr>
        <w:t> </w:t>
      </w:r>
      <w:r>
        <w:rPr/>
        <w:t>mammals</w:t>
      </w:r>
      <w:r>
        <w:rPr>
          <w:spacing w:val="-16"/>
        </w:rPr>
        <w:t> </w:t>
      </w:r>
      <w:r>
        <w:rPr/>
        <w:t>and</w:t>
      </w:r>
      <w:r>
        <w:rPr>
          <w:spacing w:val="-15"/>
        </w:rPr>
        <w:t> </w:t>
      </w:r>
      <w:r>
        <w:rPr/>
        <w:t>which has untold potential for our</w:t>
      </w:r>
      <w:r>
        <w:rPr>
          <w:spacing w:val="1"/>
        </w:rPr>
        <w:t> </w:t>
      </w:r>
      <w:r>
        <w:rPr/>
        <w:t>health!</w:t>
      </w:r>
    </w:p>
    <w:p>
      <w:pPr>
        <w:pStyle w:val="BodyText"/>
        <w:rPr>
          <w:sz w:val="42"/>
        </w:rPr>
      </w:pPr>
    </w:p>
    <w:p>
      <w:pPr>
        <w:pStyle w:val="BodyText"/>
        <w:rPr>
          <w:sz w:val="42"/>
        </w:rPr>
      </w:pPr>
    </w:p>
    <w:p>
      <w:pPr>
        <w:pStyle w:val="BodyText"/>
        <w:rPr>
          <w:sz w:val="42"/>
        </w:rPr>
      </w:pPr>
    </w:p>
    <w:p>
      <w:pPr>
        <w:pStyle w:val="BodyText"/>
        <w:rPr>
          <w:sz w:val="42"/>
        </w:rPr>
      </w:pPr>
    </w:p>
    <w:p>
      <w:pPr>
        <w:pStyle w:val="BodyText"/>
        <w:spacing w:before="2"/>
        <w:rPr>
          <w:sz w:val="48"/>
        </w:rPr>
      </w:pPr>
    </w:p>
    <w:p>
      <w:pPr>
        <w:pStyle w:val="Heading2"/>
        <w:spacing w:before="1"/>
        <w:ind w:left="616"/>
      </w:pPr>
      <w:r>
        <w:rPr/>
        <w:t>Extraction of royal jelly</w:t>
      </w:r>
    </w:p>
    <w:p>
      <w:pPr>
        <w:pStyle w:val="BodyText"/>
        <w:spacing w:line="278" w:lineRule="auto" w:before="304"/>
        <w:ind w:left="616" w:right="138"/>
        <w:jc w:val="both"/>
      </w:pPr>
      <w:r>
        <w:rPr/>
        <w:t>The extraction of royal jelly presents a real technical challenge, which is why royal jelly is exclusively extracted in large, specialised apiaries.</w:t>
      </w:r>
    </w:p>
    <w:p>
      <w:pPr>
        <w:pStyle w:val="BodyText"/>
        <w:spacing w:line="276" w:lineRule="auto" w:before="233"/>
        <w:ind w:left="616" w:right="134"/>
        <w:jc w:val="both"/>
      </w:pPr>
      <w:r>
        <w:rPr/>
        <w:t>To achieve this, the queen cells are placed into the beehive while the queen itself is removed.</w:t>
      </w:r>
    </w:p>
    <w:p>
      <w:pPr>
        <w:spacing w:after="0" w:line="276" w:lineRule="auto"/>
        <w:jc w:val="both"/>
        <w:sectPr>
          <w:pgSz w:w="14270" w:h="16850"/>
          <w:pgMar w:header="0" w:footer="1891" w:top="1340" w:bottom="2080" w:left="800" w:right="1280"/>
        </w:sectPr>
      </w:pPr>
    </w:p>
    <w:p>
      <w:pPr>
        <w:pStyle w:val="BodyText"/>
        <w:spacing w:line="276" w:lineRule="auto" w:before="74"/>
        <w:ind w:left="616" w:right="134"/>
        <w:jc w:val="both"/>
      </w:pPr>
      <w:r>
        <w:rPr/>
        <w:t>On this website, you will learn everything worth knowing about this special elixir,</w:t>
      </w:r>
      <w:r>
        <w:rPr>
          <w:spacing w:val="-18"/>
        </w:rPr>
        <w:t> </w:t>
      </w:r>
      <w:r>
        <w:rPr/>
        <w:t>which</w:t>
      </w:r>
      <w:r>
        <w:rPr>
          <w:spacing w:val="-17"/>
        </w:rPr>
        <w:t> </w:t>
      </w:r>
      <w:r>
        <w:rPr/>
        <w:t>is</w:t>
      </w:r>
      <w:r>
        <w:rPr>
          <w:spacing w:val="-18"/>
        </w:rPr>
        <w:t> </w:t>
      </w:r>
      <w:r>
        <w:rPr/>
        <w:t>also—in</w:t>
      </w:r>
      <w:r>
        <w:rPr>
          <w:spacing w:val="-19"/>
        </w:rPr>
        <w:t> </w:t>
      </w:r>
      <w:r>
        <w:rPr/>
        <w:t>contrast</w:t>
      </w:r>
      <w:r>
        <w:rPr>
          <w:spacing w:val="-18"/>
        </w:rPr>
        <w:t> </w:t>
      </w:r>
      <w:r>
        <w:rPr/>
        <w:t>to</w:t>
      </w:r>
      <w:r>
        <w:rPr>
          <w:spacing w:val="-17"/>
        </w:rPr>
        <w:t> </w:t>
      </w:r>
      <w:r>
        <w:rPr/>
        <w:t>young</w:t>
      </w:r>
      <w:r>
        <w:rPr>
          <w:spacing w:val="-19"/>
        </w:rPr>
        <w:t> </w:t>
      </w:r>
      <w:r>
        <w:rPr/>
        <w:t>growing</w:t>
      </w:r>
      <w:r>
        <w:rPr>
          <w:spacing w:val="-18"/>
        </w:rPr>
        <w:t> </w:t>
      </w:r>
      <w:r>
        <w:rPr/>
        <w:t>bees—is</w:t>
      </w:r>
      <w:r>
        <w:rPr>
          <w:spacing w:val="-18"/>
        </w:rPr>
        <w:t> </w:t>
      </w:r>
      <w:r>
        <w:rPr/>
        <w:t>also</w:t>
      </w:r>
      <w:r>
        <w:rPr>
          <w:spacing w:val="-17"/>
        </w:rPr>
        <w:t> </w:t>
      </w:r>
      <w:r>
        <w:rPr/>
        <w:t>(still)</w:t>
      </w:r>
      <w:r>
        <w:rPr>
          <w:spacing w:val="-19"/>
        </w:rPr>
        <w:t> </w:t>
      </w:r>
      <w:r>
        <w:rPr/>
        <w:t>available to you. Let us prevent the bees from dying off, otherwise humans, too, will very soon be robbed of this very special</w:t>
      </w:r>
      <w:r>
        <w:rPr>
          <w:spacing w:val="-2"/>
        </w:rPr>
        <w:t> </w:t>
      </w:r>
      <w:r>
        <w:rPr/>
        <w:t>liquid...!</w:t>
      </w:r>
    </w:p>
    <w:p>
      <w:pPr>
        <w:pStyle w:val="Heading2"/>
        <w:spacing w:before="239"/>
        <w:ind w:left="616"/>
      </w:pPr>
      <w:r>
        <w:rPr/>
        <w:t>Ingredients and active ingredients of royal jelly</w:t>
      </w:r>
    </w:p>
    <w:p>
      <w:pPr>
        <w:pStyle w:val="BodyText"/>
        <w:spacing w:line="276" w:lineRule="auto" w:before="305"/>
        <w:ind w:left="616" w:right="130"/>
        <w:jc w:val="both"/>
      </w:pPr>
      <w:r>
        <w:rPr/>
        <w:t>A detailed look at the effects will follow shortly, but let us first take a closer look at the ingredients of royal jelly, which, after all, are the cause of their ef- fect.</w:t>
      </w:r>
    </w:p>
    <w:p>
      <w:pPr>
        <w:pStyle w:val="Heading2"/>
        <w:spacing w:before="242"/>
        <w:ind w:left="616"/>
      </w:pPr>
      <w:r>
        <w:rPr/>
        <w:t>Which ingredients are these exactly?</w:t>
      </w:r>
    </w:p>
    <w:p>
      <w:pPr>
        <w:pStyle w:val="BodyText"/>
        <w:spacing w:line="276" w:lineRule="auto" w:before="302"/>
        <w:ind w:left="616" w:right="143"/>
        <w:jc w:val="both"/>
      </w:pPr>
      <w:r>
        <w:rPr/>
        <w:t>Royal jelly is composed of 66 % water, and the remaining 34 % is dry mass. The dry mass in turn consists of 12 % protein, 12 % carbohydrates (simple sugar), 4 % fats and 72 % minerals.</w:t>
      </w:r>
    </w:p>
    <w:p>
      <w:pPr>
        <w:pStyle w:val="BodyText"/>
        <w:rPr>
          <w:sz w:val="42"/>
        </w:rPr>
      </w:pPr>
    </w:p>
    <w:p>
      <w:pPr>
        <w:pStyle w:val="BodyText"/>
        <w:spacing w:before="5"/>
        <w:rPr>
          <w:sz w:val="44"/>
        </w:rPr>
      </w:pPr>
    </w:p>
    <w:p>
      <w:pPr>
        <w:pStyle w:val="Heading2"/>
        <w:spacing w:before="1"/>
        <w:ind w:left="616"/>
      </w:pPr>
      <w:r>
        <w:rPr/>
        <w:t>Vitamins</w:t>
      </w:r>
    </w:p>
    <w:p>
      <w:pPr>
        <w:pStyle w:val="BodyText"/>
        <w:spacing w:line="276" w:lineRule="auto" w:before="304"/>
        <w:ind w:left="616" w:right="141"/>
        <w:jc w:val="both"/>
      </w:pPr>
      <w:r>
        <w:rPr/>
        <w:t>Among the abundant vitamins in royal jelly are especially the B vitamins (B1, B2, B3, and B4), Vitamin C, E, folic acid, pantothenic acid and biotin.</w:t>
      </w:r>
    </w:p>
    <w:p>
      <w:pPr>
        <w:pStyle w:val="Heading2"/>
        <w:spacing w:before="239"/>
        <w:ind w:left="616"/>
      </w:pPr>
      <w:r>
        <w:rPr/>
        <w:t>Minerals</w:t>
      </w:r>
    </w:p>
    <w:p>
      <w:pPr>
        <w:pStyle w:val="BodyText"/>
        <w:spacing w:line="276" w:lineRule="auto" w:before="305"/>
        <w:ind w:left="616" w:right="137"/>
        <w:jc w:val="both"/>
      </w:pPr>
      <w:r>
        <w:rPr/>
        <w:t>Royal jelly also contains numerous minerals and trace elements, which are ex- amined</w:t>
      </w:r>
      <w:r>
        <w:rPr>
          <w:spacing w:val="-17"/>
        </w:rPr>
        <w:t> </w:t>
      </w:r>
      <w:r>
        <w:rPr/>
        <w:t>in</w:t>
      </w:r>
      <w:r>
        <w:rPr>
          <w:spacing w:val="-16"/>
        </w:rPr>
        <w:t> </w:t>
      </w:r>
      <w:r>
        <w:rPr/>
        <w:t>more</w:t>
      </w:r>
      <w:r>
        <w:rPr>
          <w:spacing w:val="-21"/>
        </w:rPr>
        <w:t> </w:t>
      </w:r>
      <w:r>
        <w:rPr/>
        <w:t>detail</w:t>
      </w:r>
      <w:r>
        <w:rPr>
          <w:spacing w:val="-18"/>
        </w:rPr>
        <w:t> </w:t>
      </w:r>
      <w:r>
        <w:rPr/>
        <w:t>in</w:t>
      </w:r>
      <w:r>
        <w:rPr>
          <w:spacing w:val="-16"/>
        </w:rPr>
        <w:t> </w:t>
      </w:r>
      <w:r>
        <w:rPr/>
        <w:t>the</w:t>
      </w:r>
      <w:r>
        <w:rPr>
          <w:spacing w:val="-15"/>
        </w:rPr>
        <w:t> </w:t>
      </w:r>
      <w:r>
        <w:rPr/>
        <w:t>literature.</w:t>
      </w:r>
      <w:r>
        <w:rPr>
          <w:spacing w:val="-16"/>
        </w:rPr>
        <w:t> </w:t>
      </w:r>
      <w:r>
        <w:rPr/>
        <w:t>With</w:t>
      </w:r>
      <w:r>
        <w:rPr>
          <w:spacing w:val="-16"/>
        </w:rPr>
        <w:t> </w:t>
      </w:r>
      <w:r>
        <w:rPr/>
        <w:t>this,</w:t>
      </w:r>
      <w:r>
        <w:rPr>
          <w:spacing w:val="-20"/>
        </w:rPr>
        <w:t> </w:t>
      </w:r>
      <w:r>
        <w:rPr/>
        <w:t>we</w:t>
      </w:r>
      <w:r>
        <w:rPr>
          <w:spacing w:val="-17"/>
        </w:rPr>
        <w:t> </w:t>
      </w:r>
      <w:r>
        <w:rPr/>
        <w:t>come</w:t>
      </w:r>
      <w:r>
        <w:rPr>
          <w:spacing w:val="-16"/>
        </w:rPr>
        <w:t> </w:t>
      </w:r>
      <w:r>
        <w:rPr/>
        <w:t>to</w:t>
      </w:r>
      <w:r>
        <w:rPr>
          <w:spacing w:val="-19"/>
        </w:rPr>
        <w:t> </w:t>
      </w:r>
      <w:r>
        <w:rPr/>
        <w:t>another</w:t>
      </w:r>
      <w:r>
        <w:rPr>
          <w:spacing w:val="-16"/>
        </w:rPr>
        <w:t> </w:t>
      </w:r>
      <w:r>
        <w:rPr/>
        <w:t>phenom- enon,</w:t>
      </w:r>
      <w:r>
        <w:rPr>
          <w:spacing w:val="-22"/>
        </w:rPr>
        <w:t> </w:t>
      </w:r>
      <w:r>
        <w:rPr/>
        <w:t>namely</w:t>
      </w:r>
      <w:r>
        <w:rPr>
          <w:spacing w:val="-21"/>
        </w:rPr>
        <w:t> </w:t>
      </w:r>
      <w:r>
        <w:rPr/>
        <w:t>the</w:t>
      </w:r>
      <w:r>
        <w:rPr>
          <w:spacing w:val="-19"/>
        </w:rPr>
        <w:t> </w:t>
      </w:r>
      <w:r>
        <w:rPr/>
        <w:t>numerous</w:t>
      </w:r>
      <w:r>
        <w:rPr>
          <w:spacing w:val="-20"/>
        </w:rPr>
        <w:t> </w:t>
      </w:r>
      <w:r>
        <w:rPr/>
        <w:t>highly</w:t>
      </w:r>
      <w:r>
        <w:rPr>
          <w:spacing w:val="-20"/>
        </w:rPr>
        <w:t> </w:t>
      </w:r>
      <w:r>
        <w:rPr/>
        <w:t>active</w:t>
      </w:r>
      <w:r>
        <w:rPr>
          <w:spacing w:val="-21"/>
        </w:rPr>
        <w:t> </w:t>
      </w:r>
      <w:r>
        <w:rPr/>
        <w:t>substances</w:t>
      </w:r>
      <w:r>
        <w:rPr>
          <w:spacing w:val="-19"/>
        </w:rPr>
        <w:t> </w:t>
      </w:r>
      <w:r>
        <w:rPr/>
        <w:t>that</w:t>
      </w:r>
      <w:r>
        <w:rPr>
          <w:spacing w:val="-20"/>
        </w:rPr>
        <w:t> </w:t>
      </w:r>
      <w:r>
        <w:rPr/>
        <w:t>are</w:t>
      </w:r>
      <w:r>
        <w:rPr>
          <w:spacing w:val="-20"/>
        </w:rPr>
        <w:t> </w:t>
      </w:r>
      <w:r>
        <w:rPr/>
        <w:t>contained</w:t>
      </w:r>
      <w:r>
        <w:rPr>
          <w:spacing w:val="-20"/>
        </w:rPr>
        <w:t> </w:t>
      </w:r>
      <w:r>
        <w:rPr/>
        <w:t>in</w:t>
      </w:r>
      <w:r>
        <w:rPr>
          <w:spacing w:val="-19"/>
        </w:rPr>
        <w:t> </w:t>
      </w:r>
      <w:r>
        <w:rPr/>
        <w:t>royal</w:t>
      </w:r>
    </w:p>
    <w:p>
      <w:pPr>
        <w:spacing w:after="0" w:line="276" w:lineRule="auto"/>
        <w:jc w:val="both"/>
        <w:sectPr>
          <w:footerReference w:type="default" r:id="rId304"/>
          <w:pgSz w:w="14270" w:h="16850"/>
          <w:pgMar w:footer="1891" w:header="0" w:top="1340" w:bottom="2080" w:left="800" w:right="1280"/>
          <w:pgNumType w:start="1270"/>
        </w:sectPr>
      </w:pPr>
    </w:p>
    <w:p>
      <w:pPr>
        <w:pStyle w:val="BodyText"/>
        <w:spacing w:line="278" w:lineRule="auto" w:before="72"/>
        <w:ind w:left="616" w:right="143"/>
        <w:jc w:val="both"/>
      </w:pPr>
      <w:r>
        <w:rPr/>
        <w:t>jelly, which cannot, to this day, be demonstrated by the customary analysis methods!</w:t>
      </w:r>
    </w:p>
    <w:p>
      <w:pPr>
        <w:pStyle w:val="Heading2"/>
        <w:spacing w:before="232"/>
        <w:ind w:left="616"/>
      </w:pPr>
      <w:r>
        <w:rPr/>
        <w:t>Acetylcholine</w:t>
      </w:r>
    </w:p>
    <w:p>
      <w:pPr>
        <w:pStyle w:val="BodyText"/>
        <w:spacing w:line="276" w:lineRule="auto" w:before="305"/>
        <w:ind w:left="616" w:right="130"/>
        <w:jc w:val="both"/>
      </w:pPr>
      <w:r>
        <w:rPr/>
        <w:t>Choline</w:t>
      </w:r>
      <w:r>
        <w:rPr>
          <w:spacing w:val="-14"/>
        </w:rPr>
        <w:t> </w:t>
      </w:r>
      <w:r>
        <w:rPr/>
        <w:t>is</w:t>
      </w:r>
      <w:r>
        <w:rPr>
          <w:spacing w:val="-14"/>
        </w:rPr>
        <w:t> </w:t>
      </w:r>
      <w:r>
        <w:rPr/>
        <w:t>an</w:t>
      </w:r>
      <w:r>
        <w:rPr>
          <w:spacing w:val="-16"/>
        </w:rPr>
        <w:t> </w:t>
      </w:r>
      <w:r>
        <w:rPr/>
        <w:t>essential</w:t>
      </w:r>
      <w:r>
        <w:rPr>
          <w:spacing w:val="-15"/>
        </w:rPr>
        <w:t> </w:t>
      </w:r>
      <w:r>
        <w:rPr/>
        <w:t>(necessary</w:t>
      </w:r>
      <w:r>
        <w:rPr>
          <w:spacing w:val="-16"/>
        </w:rPr>
        <w:t> </w:t>
      </w:r>
      <w:r>
        <w:rPr/>
        <w:t>for</w:t>
      </w:r>
      <w:r>
        <w:rPr>
          <w:spacing w:val="-13"/>
        </w:rPr>
        <w:t> </w:t>
      </w:r>
      <w:r>
        <w:rPr/>
        <w:t>life)</w:t>
      </w:r>
      <w:r>
        <w:rPr>
          <w:spacing w:val="-15"/>
        </w:rPr>
        <w:t> </w:t>
      </w:r>
      <w:r>
        <w:rPr/>
        <w:t>vital</w:t>
      </w:r>
      <w:r>
        <w:rPr>
          <w:spacing w:val="-15"/>
        </w:rPr>
        <w:t> </w:t>
      </w:r>
      <w:r>
        <w:rPr/>
        <w:t>substance</w:t>
      </w:r>
      <w:r>
        <w:rPr>
          <w:spacing w:val="-14"/>
        </w:rPr>
        <w:t> </w:t>
      </w:r>
      <w:r>
        <w:rPr/>
        <w:t>which</w:t>
      </w:r>
      <w:r>
        <w:rPr>
          <w:spacing w:val="-13"/>
        </w:rPr>
        <w:t> </w:t>
      </w:r>
      <w:r>
        <w:rPr/>
        <w:t>was</w:t>
      </w:r>
      <w:r>
        <w:rPr>
          <w:spacing w:val="-13"/>
        </w:rPr>
        <w:t> </w:t>
      </w:r>
      <w:r>
        <w:rPr/>
        <w:t>discovered by the German chemist Adolph Friedrich Ludwig Strecker in 1864 and ac- quired its ‘essential’ status in 1998. An especially important choline, which is found in royal jelly, is acetylcholine. This functions in our body as a neuro- transmitter in our nervous system which plays a part in the transmission of arousal in the brain as well as in the vegetative nervous</w:t>
      </w:r>
      <w:r>
        <w:rPr>
          <w:spacing w:val="-2"/>
        </w:rPr>
        <w:t> </w:t>
      </w:r>
      <w:r>
        <w:rPr/>
        <w:t>system.</w:t>
      </w:r>
    </w:p>
    <w:p>
      <w:pPr>
        <w:spacing w:after="0" w:line="276" w:lineRule="auto"/>
        <w:jc w:val="both"/>
        <w:sectPr>
          <w:pgSz w:w="14270" w:h="16850"/>
          <w:pgMar w:header="0" w:footer="1891" w:top="1340" w:bottom="2080" w:left="800" w:right="1280"/>
        </w:sectPr>
      </w:pPr>
    </w:p>
    <w:p>
      <w:pPr>
        <w:pStyle w:val="Heading2"/>
        <w:spacing w:before="74"/>
        <w:ind w:left="616"/>
      </w:pPr>
      <w:r>
        <w:rPr/>
        <w:t>Unidentified, unique substances</w:t>
      </w:r>
    </w:p>
    <w:p>
      <w:pPr>
        <w:pStyle w:val="BodyText"/>
        <w:spacing w:line="276" w:lineRule="auto" w:before="305"/>
        <w:ind w:left="616" w:right="135"/>
        <w:jc w:val="both"/>
      </w:pPr>
      <w:r>
        <w:rPr/>
        <w:t>We humans must without doubt come to terms with the fact that there are things</w:t>
      </w:r>
      <w:r>
        <w:rPr>
          <w:spacing w:val="-14"/>
        </w:rPr>
        <w:t> </w:t>
      </w:r>
      <w:r>
        <w:rPr/>
        <w:t>between</w:t>
      </w:r>
      <w:r>
        <w:rPr>
          <w:spacing w:val="-17"/>
        </w:rPr>
        <w:t> </w:t>
      </w:r>
      <w:r>
        <w:rPr/>
        <w:t>heaven</w:t>
      </w:r>
      <w:r>
        <w:rPr>
          <w:spacing w:val="-15"/>
        </w:rPr>
        <w:t> </w:t>
      </w:r>
      <w:r>
        <w:rPr/>
        <w:t>and</w:t>
      </w:r>
      <w:r>
        <w:rPr>
          <w:spacing w:val="-15"/>
        </w:rPr>
        <w:t> </w:t>
      </w:r>
      <w:r>
        <w:rPr/>
        <w:t>earth</w:t>
      </w:r>
      <w:r>
        <w:rPr>
          <w:spacing w:val="-14"/>
        </w:rPr>
        <w:t> </w:t>
      </w:r>
      <w:r>
        <w:rPr/>
        <w:t>that</w:t>
      </w:r>
      <w:r>
        <w:rPr>
          <w:spacing w:val="-15"/>
        </w:rPr>
        <w:t> </w:t>
      </w:r>
      <w:r>
        <w:rPr/>
        <w:t>cause</w:t>
      </w:r>
      <w:r>
        <w:rPr>
          <w:spacing w:val="-15"/>
        </w:rPr>
        <w:t> </w:t>
      </w:r>
      <w:r>
        <w:rPr/>
        <w:t>astonishing</w:t>
      </w:r>
      <w:r>
        <w:rPr>
          <w:spacing w:val="-15"/>
        </w:rPr>
        <w:t> </w:t>
      </w:r>
      <w:r>
        <w:rPr/>
        <w:t>things</w:t>
      </w:r>
      <w:r>
        <w:rPr>
          <w:spacing w:val="-15"/>
        </w:rPr>
        <w:t> </w:t>
      </w:r>
      <w:r>
        <w:rPr/>
        <w:t>to</w:t>
      </w:r>
      <w:r>
        <w:rPr>
          <w:spacing w:val="-17"/>
        </w:rPr>
        <w:t> </w:t>
      </w:r>
      <w:r>
        <w:rPr/>
        <w:t>happen</w:t>
      </w:r>
      <w:r>
        <w:rPr>
          <w:spacing w:val="-17"/>
        </w:rPr>
        <w:t> </w:t>
      </w:r>
      <w:r>
        <w:rPr/>
        <w:t>with- out us ever being able to understand them. We are also a long way away from identifying all existing vital substances—and we will probably never be able</w:t>
      </w:r>
      <w:r>
        <w:rPr>
          <w:spacing w:val="-52"/>
        </w:rPr>
        <w:t> </w:t>
      </w:r>
      <w:r>
        <w:rPr/>
        <w:t>to achieve this work of art, as Mother Nature never reveals herself fully to</w:t>
      </w:r>
      <w:r>
        <w:rPr>
          <w:spacing w:val="-30"/>
        </w:rPr>
        <w:t> </w:t>
      </w:r>
      <w:r>
        <w:rPr/>
        <w:t>us...</w:t>
      </w:r>
    </w:p>
    <w:p>
      <w:pPr>
        <w:pStyle w:val="BodyText"/>
        <w:spacing w:line="276" w:lineRule="auto" w:before="240"/>
        <w:ind w:left="616" w:right="130"/>
        <w:jc w:val="both"/>
      </w:pPr>
      <w:r>
        <w:rPr/>
        <w:t>Researchers,</w:t>
      </w:r>
      <w:r>
        <w:rPr>
          <w:spacing w:val="-9"/>
        </w:rPr>
        <w:t> </w:t>
      </w:r>
      <w:r>
        <w:rPr/>
        <w:t>for</w:t>
      </w:r>
      <w:r>
        <w:rPr>
          <w:spacing w:val="-10"/>
        </w:rPr>
        <w:t> </w:t>
      </w:r>
      <w:r>
        <w:rPr/>
        <w:t>example,</w:t>
      </w:r>
      <w:r>
        <w:rPr>
          <w:spacing w:val="-6"/>
        </w:rPr>
        <w:t> </w:t>
      </w:r>
      <w:r>
        <w:rPr/>
        <w:t>claim</w:t>
      </w:r>
      <w:r>
        <w:rPr>
          <w:spacing w:val="-7"/>
        </w:rPr>
        <w:t> </w:t>
      </w:r>
      <w:r>
        <w:rPr/>
        <w:t>that</w:t>
      </w:r>
      <w:r>
        <w:rPr>
          <w:spacing w:val="-8"/>
        </w:rPr>
        <w:t> </w:t>
      </w:r>
      <w:r>
        <w:rPr/>
        <w:t>the</w:t>
      </w:r>
      <w:r>
        <w:rPr>
          <w:spacing w:val="-6"/>
        </w:rPr>
        <w:t> </w:t>
      </w:r>
      <w:r>
        <w:rPr/>
        <w:t>apple</w:t>
      </w:r>
      <w:r>
        <w:rPr>
          <w:spacing w:val="-7"/>
        </w:rPr>
        <w:t> </w:t>
      </w:r>
      <w:r>
        <w:rPr/>
        <w:t>alone</w:t>
      </w:r>
      <w:r>
        <w:rPr>
          <w:spacing w:val="-6"/>
        </w:rPr>
        <w:t> </w:t>
      </w:r>
      <w:r>
        <w:rPr/>
        <w:t>contains</w:t>
      </w:r>
      <w:r>
        <w:rPr>
          <w:spacing w:val="-7"/>
        </w:rPr>
        <w:t> </w:t>
      </w:r>
      <w:r>
        <w:rPr/>
        <w:t>over</w:t>
      </w:r>
      <w:r>
        <w:rPr>
          <w:spacing w:val="-8"/>
        </w:rPr>
        <w:t> </w:t>
      </w:r>
      <w:r>
        <w:rPr/>
        <w:t>10,000</w:t>
      </w:r>
      <w:r>
        <w:rPr>
          <w:spacing w:val="-7"/>
        </w:rPr>
        <w:t> </w:t>
      </w:r>
      <w:r>
        <w:rPr/>
        <w:t>vital substances—yet we have only identified a</w:t>
      </w:r>
      <w:r>
        <w:rPr>
          <w:spacing w:val="-1"/>
        </w:rPr>
        <w:t> </w:t>
      </w:r>
      <w:r>
        <w:rPr/>
        <w:t>few...</w:t>
      </w:r>
    </w:p>
    <w:p>
      <w:pPr>
        <w:pStyle w:val="BodyText"/>
        <w:spacing w:line="276" w:lineRule="auto" w:before="241"/>
        <w:ind w:left="616" w:right="135"/>
        <w:jc w:val="both"/>
      </w:pPr>
      <w:r>
        <w:rPr/>
        <w:t>And so a certain mysticism developed around royal jelly, the most important ingredients of which have not yet been identified. These are primarily highly complex, hormone-like connections to which effects may be ascribed ranging from strengthening the immune system to increasing base metabolism to in- hibiting ageing. Royal jelly also is also the only known source of a very partic- ular fatty acid named 10-hydroxy-2-decanoic acid.</w:t>
      </w:r>
    </w:p>
    <w:p>
      <w:pPr>
        <w:spacing w:after="0" w:line="276" w:lineRule="auto"/>
        <w:jc w:val="both"/>
        <w:sectPr>
          <w:pgSz w:w="14270" w:h="16850"/>
          <w:pgMar w:header="0" w:footer="1891" w:top="1340" w:bottom="2080" w:left="800" w:right="1280"/>
        </w:sectPr>
      </w:pPr>
    </w:p>
    <w:p>
      <w:pPr>
        <w:pStyle w:val="Heading2"/>
        <w:spacing w:before="74"/>
        <w:ind w:left="616"/>
      </w:pPr>
      <w:r>
        <w:rPr/>
        <w:t>Effects of royal jelly</w:t>
      </w:r>
    </w:p>
    <w:p>
      <w:pPr>
        <w:spacing w:before="305"/>
        <w:ind w:left="616" w:right="0" w:firstLine="0"/>
        <w:jc w:val="left"/>
        <w:rPr>
          <w:b/>
          <w:sz w:val="38"/>
        </w:rPr>
      </w:pPr>
      <w:r>
        <w:rPr>
          <w:b/>
          <w:sz w:val="38"/>
        </w:rPr>
        <w:t>Mechanism and effects of royal jelly</w:t>
      </w:r>
    </w:p>
    <w:p>
      <w:pPr>
        <w:pStyle w:val="BodyText"/>
        <w:spacing w:line="276" w:lineRule="auto" w:before="302"/>
        <w:ind w:left="616" w:right="130"/>
        <w:jc w:val="both"/>
      </w:pPr>
      <w:r>
        <w:rPr/>
        <w:t>The exact mechanism of royal jelly has to date not been fully deciphered due to the ingredients in it which have not fully identified but are de facto highly active. Researchers assume that it is exactly these still unidentified, hormone- like substances that mobilise the self-healing powers of the body, strengthen our organism and defend against disease-causing influences.</w:t>
      </w:r>
    </w:p>
    <w:p>
      <w:pPr>
        <w:pStyle w:val="BodyText"/>
        <w:spacing w:line="276" w:lineRule="auto" w:before="242"/>
        <w:ind w:left="616" w:right="134"/>
        <w:jc w:val="both"/>
      </w:pPr>
      <w:r>
        <w:rPr/>
        <w:t>Practice</w:t>
      </w:r>
      <w:r>
        <w:rPr>
          <w:spacing w:val="-22"/>
        </w:rPr>
        <w:t> </w:t>
      </w:r>
      <w:r>
        <w:rPr/>
        <w:t>doubtless</w:t>
      </w:r>
      <w:r>
        <w:rPr>
          <w:spacing w:val="-22"/>
        </w:rPr>
        <w:t> </w:t>
      </w:r>
      <w:r>
        <w:rPr/>
        <w:t>trumps</w:t>
      </w:r>
      <w:r>
        <w:rPr>
          <w:spacing w:val="-21"/>
        </w:rPr>
        <w:t> </w:t>
      </w:r>
      <w:r>
        <w:rPr/>
        <w:t>theory</w:t>
      </w:r>
      <w:r>
        <w:rPr>
          <w:spacing w:val="-23"/>
        </w:rPr>
        <w:t> </w:t>
      </w:r>
      <w:r>
        <w:rPr/>
        <w:t>in</w:t>
      </w:r>
      <w:r>
        <w:rPr>
          <w:spacing w:val="-22"/>
        </w:rPr>
        <w:t> </w:t>
      </w:r>
      <w:r>
        <w:rPr/>
        <w:t>every</w:t>
      </w:r>
      <w:r>
        <w:rPr>
          <w:spacing w:val="-22"/>
        </w:rPr>
        <w:t> </w:t>
      </w:r>
      <w:r>
        <w:rPr/>
        <w:t>case.</w:t>
      </w:r>
      <w:r>
        <w:rPr>
          <w:spacing w:val="-20"/>
        </w:rPr>
        <w:t> </w:t>
      </w:r>
      <w:r>
        <w:rPr/>
        <w:t>The</w:t>
      </w:r>
      <w:r>
        <w:rPr>
          <w:spacing w:val="-22"/>
        </w:rPr>
        <w:t> </w:t>
      </w:r>
      <w:r>
        <w:rPr/>
        <w:t>fact</w:t>
      </w:r>
      <w:r>
        <w:rPr>
          <w:spacing w:val="-23"/>
        </w:rPr>
        <w:t> </w:t>
      </w:r>
      <w:r>
        <w:rPr/>
        <w:t>is</w:t>
      </w:r>
      <w:r>
        <w:rPr>
          <w:spacing w:val="-23"/>
        </w:rPr>
        <w:t> </w:t>
      </w:r>
      <w:r>
        <w:rPr/>
        <w:t>thus</w:t>
      </w:r>
      <w:r>
        <w:rPr>
          <w:spacing w:val="-21"/>
        </w:rPr>
        <w:t> </w:t>
      </w:r>
      <w:r>
        <w:rPr/>
        <w:t>very</w:t>
      </w:r>
      <w:r>
        <w:rPr>
          <w:spacing w:val="-23"/>
        </w:rPr>
        <w:t> </w:t>
      </w:r>
      <w:r>
        <w:rPr/>
        <w:t>convincing that it is </w:t>
      </w:r>
      <w:r>
        <w:rPr>
          <w:i/>
        </w:rPr>
        <w:t>only </w:t>
      </w:r>
      <w:r>
        <w:rPr/>
        <w:t>royal jelly that allows an average larva to become a queen, which is far larger, stronger, healthier, long-living and powerful than her</w:t>
      </w:r>
      <w:r>
        <w:rPr>
          <w:spacing w:val="-17"/>
        </w:rPr>
        <w:t> </w:t>
      </w:r>
      <w:r>
        <w:rPr/>
        <w:t>peers!</w:t>
      </w:r>
    </w:p>
    <w:p>
      <w:pPr>
        <w:pStyle w:val="BodyText"/>
        <w:spacing w:line="278" w:lineRule="auto" w:before="239"/>
        <w:ind w:left="616" w:right="142"/>
        <w:jc w:val="both"/>
      </w:pPr>
      <w:r>
        <w:rPr/>
        <w:t>In healthy people, royal jelly should generally increase vitality, appetite and physical as well as intellectual power.</w:t>
      </w:r>
    </w:p>
    <w:p>
      <w:pPr>
        <w:pStyle w:val="BodyText"/>
        <w:spacing w:line="276" w:lineRule="auto" w:before="233"/>
        <w:ind w:left="616" w:right="135"/>
        <w:jc w:val="both"/>
      </w:pPr>
      <w:r>
        <w:rPr/>
        <w:t>How effective royal jelly can potentially be for sufferers of illness is shown by reports from physicians’ everyday practice. For example, Prof. Bengsch was able, with a high dose of 50g over two days (the normal dose is around </w:t>
      </w:r>
      <w:r>
        <w:rPr>
          <w:spacing w:val="5"/>
        </w:rPr>
        <w:t>1- </w:t>
      </w:r>
      <w:r>
        <w:rPr/>
        <w:t>2g/day),</w:t>
      </w:r>
      <w:r>
        <w:rPr>
          <w:spacing w:val="-24"/>
        </w:rPr>
        <w:t> </w:t>
      </w:r>
      <w:r>
        <w:rPr/>
        <w:t>to</w:t>
      </w:r>
      <w:r>
        <w:rPr>
          <w:spacing w:val="-23"/>
        </w:rPr>
        <w:t> </w:t>
      </w:r>
      <w:r>
        <w:rPr/>
        <w:t>save</w:t>
      </w:r>
      <w:r>
        <w:rPr>
          <w:spacing w:val="-27"/>
        </w:rPr>
        <w:t> </w:t>
      </w:r>
      <w:r>
        <w:rPr/>
        <w:t>the</w:t>
      </w:r>
      <w:r>
        <w:rPr>
          <w:spacing w:val="-23"/>
        </w:rPr>
        <w:t> </w:t>
      </w:r>
      <w:r>
        <w:rPr/>
        <w:t>life</w:t>
      </w:r>
      <w:r>
        <w:rPr>
          <w:spacing w:val="-25"/>
        </w:rPr>
        <w:t> </w:t>
      </w:r>
      <w:r>
        <w:rPr/>
        <w:t>of</w:t>
      </w:r>
      <w:r>
        <w:rPr>
          <w:spacing w:val="-26"/>
        </w:rPr>
        <w:t> </w:t>
      </w:r>
      <w:r>
        <w:rPr/>
        <w:t>a</w:t>
      </w:r>
      <w:r>
        <w:rPr>
          <w:spacing w:val="-27"/>
        </w:rPr>
        <w:t> </w:t>
      </w:r>
      <w:r>
        <w:rPr/>
        <w:t>patient</w:t>
      </w:r>
      <w:r>
        <w:rPr>
          <w:spacing w:val="-24"/>
        </w:rPr>
        <w:t> </w:t>
      </w:r>
      <w:r>
        <w:rPr/>
        <w:t>suffering</w:t>
      </w:r>
      <w:r>
        <w:rPr>
          <w:spacing w:val="-23"/>
        </w:rPr>
        <w:t> </w:t>
      </w:r>
      <w:r>
        <w:rPr/>
        <w:t>from</w:t>
      </w:r>
      <w:r>
        <w:rPr>
          <w:spacing w:val="-24"/>
        </w:rPr>
        <w:t> </w:t>
      </w:r>
      <w:r>
        <w:rPr/>
        <w:t>meningitis</w:t>
      </w:r>
      <w:r>
        <w:rPr>
          <w:spacing w:val="-24"/>
        </w:rPr>
        <w:t> </w:t>
      </w:r>
      <w:r>
        <w:rPr/>
        <w:t>and</w:t>
      </w:r>
      <w:r>
        <w:rPr>
          <w:spacing w:val="-24"/>
        </w:rPr>
        <w:t> </w:t>
      </w:r>
      <w:r>
        <w:rPr/>
        <w:t>already</w:t>
      </w:r>
      <w:r>
        <w:rPr>
          <w:spacing w:val="-24"/>
        </w:rPr>
        <w:t> </w:t>
      </w:r>
      <w:r>
        <w:rPr/>
        <w:t>given up on by his colleagues. ‘True miracles’ are, according to Dr. med. Stefan Stangaciu, attributable to royal jelly, particularly with diet-related deficiency symptoms, illnesses in the genital region, and infectious</w:t>
      </w:r>
      <w:r>
        <w:rPr>
          <w:spacing w:val="-5"/>
        </w:rPr>
        <w:t> </w:t>
      </w:r>
      <w:r>
        <w:rPr/>
        <w:t>diseases.</w:t>
      </w:r>
    </w:p>
    <w:p>
      <w:pPr>
        <w:pStyle w:val="Heading2"/>
        <w:spacing w:before="240"/>
        <w:ind w:left="616"/>
        <w:jc w:val="both"/>
      </w:pPr>
      <w:r>
        <w:rPr/>
        <w:t>General effects of royal jelly</w:t>
      </w:r>
    </w:p>
    <w:p>
      <w:pPr>
        <w:pStyle w:val="BodyText"/>
        <w:spacing w:before="305"/>
        <w:ind w:left="616"/>
        <w:jc w:val="both"/>
      </w:pPr>
      <w:r>
        <w:rPr/>
        <w:t>Let</w:t>
      </w:r>
      <w:r>
        <w:rPr>
          <w:spacing w:val="-23"/>
        </w:rPr>
        <w:t> </w:t>
      </w:r>
      <w:r>
        <w:rPr/>
        <w:t>us</w:t>
      </w:r>
      <w:r>
        <w:rPr>
          <w:spacing w:val="-23"/>
        </w:rPr>
        <w:t> </w:t>
      </w:r>
      <w:r>
        <w:rPr/>
        <w:t>first</w:t>
      </w:r>
      <w:r>
        <w:rPr>
          <w:spacing w:val="-23"/>
        </w:rPr>
        <w:t> </w:t>
      </w:r>
      <w:r>
        <w:rPr/>
        <w:t>look</w:t>
      </w:r>
      <w:r>
        <w:rPr>
          <w:spacing w:val="-28"/>
        </w:rPr>
        <w:t> </w:t>
      </w:r>
      <w:r>
        <w:rPr/>
        <w:t>at</w:t>
      </w:r>
      <w:r>
        <w:rPr>
          <w:spacing w:val="-23"/>
        </w:rPr>
        <w:t> </w:t>
      </w:r>
      <w:r>
        <w:rPr/>
        <w:t>the</w:t>
      </w:r>
      <w:r>
        <w:rPr>
          <w:spacing w:val="-22"/>
        </w:rPr>
        <w:t> </w:t>
      </w:r>
      <w:r>
        <w:rPr/>
        <w:t>general</w:t>
      </w:r>
      <w:r>
        <w:rPr>
          <w:spacing w:val="-23"/>
        </w:rPr>
        <w:t> </w:t>
      </w:r>
      <w:r>
        <w:rPr/>
        <w:t>effects</w:t>
      </w:r>
      <w:r>
        <w:rPr>
          <w:spacing w:val="-22"/>
        </w:rPr>
        <w:t> </w:t>
      </w:r>
      <w:r>
        <w:rPr/>
        <w:t>of</w:t>
      </w:r>
      <w:r>
        <w:rPr>
          <w:spacing w:val="-25"/>
        </w:rPr>
        <w:t> </w:t>
      </w:r>
      <w:r>
        <w:rPr/>
        <w:t>royal</w:t>
      </w:r>
      <w:r>
        <w:rPr>
          <w:spacing w:val="-22"/>
        </w:rPr>
        <w:t> </w:t>
      </w:r>
      <w:r>
        <w:rPr/>
        <w:t>jelly</w:t>
      </w:r>
      <w:r>
        <w:rPr>
          <w:spacing w:val="-26"/>
        </w:rPr>
        <w:t> </w:t>
      </w:r>
      <w:r>
        <w:rPr/>
        <w:t>before</w:t>
      </w:r>
      <w:r>
        <w:rPr>
          <w:spacing w:val="-25"/>
        </w:rPr>
        <w:t> </w:t>
      </w:r>
      <w:r>
        <w:rPr/>
        <w:t>we</w:t>
      </w:r>
      <w:r>
        <w:rPr>
          <w:spacing w:val="-24"/>
        </w:rPr>
        <w:t> </w:t>
      </w:r>
      <w:r>
        <w:rPr/>
        <w:t>turn</w:t>
      </w:r>
      <w:r>
        <w:rPr>
          <w:spacing w:val="-23"/>
        </w:rPr>
        <w:t> </w:t>
      </w:r>
      <w:r>
        <w:rPr/>
        <w:t>to</w:t>
      </w:r>
      <w:r>
        <w:rPr>
          <w:spacing w:val="-22"/>
        </w:rPr>
        <w:t> </w:t>
      </w:r>
      <w:r>
        <w:rPr/>
        <w:t>the</w:t>
      </w:r>
      <w:r>
        <w:rPr>
          <w:spacing w:val="-24"/>
        </w:rPr>
        <w:t> </w:t>
      </w:r>
      <w:r>
        <w:rPr/>
        <w:t>specific</w:t>
      </w:r>
    </w:p>
    <w:p>
      <w:pPr>
        <w:spacing w:after="0"/>
        <w:jc w:val="both"/>
        <w:sectPr>
          <w:pgSz w:w="14270" w:h="16850"/>
          <w:pgMar w:header="0" w:footer="1891" w:top="1340" w:bottom="2080" w:left="800" w:right="1280"/>
        </w:sectPr>
      </w:pPr>
    </w:p>
    <w:p>
      <w:pPr>
        <w:pStyle w:val="BodyText"/>
        <w:spacing w:line="410" w:lineRule="auto" w:before="74"/>
        <w:ind w:left="616" w:right="4762"/>
      </w:pPr>
      <w:r>
        <w:rPr/>
        <w:t>effects against numerous illness and disorders. Royal jelly has the following general effects:</w:t>
      </w:r>
    </w:p>
    <w:p>
      <w:pPr>
        <w:pStyle w:val="ListParagraph"/>
        <w:numPr>
          <w:ilvl w:val="1"/>
          <w:numId w:val="95"/>
        </w:numPr>
        <w:tabs>
          <w:tab w:pos="1756" w:val="left" w:leader="none"/>
          <w:tab w:pos="1757" w:val="left" w:leader="none"/>
        </w:tabs>
        <w:spacing w:line="386" w:lineRule="exact" w:before="0" w:after="0"/>
        <w:ind w:left="1756" w:right="0" w:hanging="358"/>
        <w:jc w:val="left"/>
        <w:rPr>
          <w:sz w:val="38"/>
        </w:rPr>
      </w:pPr>
      <w:r>
        <w:rPr>
          <w:sz w:val="38"/>
        </w:rPr>
        <w:t>strengthens the immune</w:t>
      </w:r>
      <w:r>
        <w:rPr>
          <w:spacing w:val="1"/>
          <w:sz w:val="38"/>
        </w:rPr>
        <w:t> </w:t>
      </w:r>
      <w:r>
        <w:rPr>
          <w:sz w:val="38"/>
        </w:rPr>
        <w:t>system</w:t>
      </w:r>
    </w:p>
    <w:p>
      <w:pPr>
        <w:pStyle w:val="ListParagraph"/>
        <w:numPr>
          <w:ilvl w:val="1"/>
          <w:numId w:val="95"/>
        </w:numPr>
        <w:tabs>
          <w:tab w:pos="1756" w:val="left" w:leader="none"/>
          <w:tab w:pos="1757" w:val="left" w:leader="none"/>
        </w:tabs>
        <w:spacing w:line="240" w:lineRule="auto" w:before="185" w:after="0"/>
        <w:ind w:left="1756" w:right="0" w:hanging="358"/>
        <w:jc w:val="left"/>
        <w:rPr>
          <w:sz w:val="38"/>
        </w:rPr>
      </w:pPr>
      <w:r>
        <w:rPr>
          <w:sz w:val="38"/>
        </w:rPr>
        <w:t>counteracts effects of ageing</w:t>
      </w:r>
      <w:r>
        <w:rPr>
          <w:spacing w:val="2"/>
          <w:sz w:val="38"/>
        </w:rPr>
        <w:t> </w:t>
      </w:r>
      <w:r>
        <w:rPr>
          <w:sz w:val="38"/>
        </w:rPr>
        <w:t>(anti-ageing)</w:t>
      </w:r>
    </w:p>
    <w:p>
      <w:pPr>
        <w:pStyle w:val="ListParagraph"/>
        <w:numPr>
          <w:ilvl w:val="1"/>
          <w:numId w:val="95"/>
        </w:numPr>
        <w:tabs>
          <w:tab w:pos="1756" w:val="left" w:leader="none"/>
          <w:tab w:pos="1757" w:val="left" w:leader="none"/>
        </w:tabs>
        <w:spacing w:line="240" w:lineRule="auto" w:before="184" w:after="0"/>
        <w:ind w:left="1756" w:right="0" w:hanging="358"/>
        <w:jc w:val="left"/>
        <w:rPr>
          <w:sz w:val="38"/>
        </w:rPr>
      </w:pPr>
      <w:r>
        <w:rPr>
          <w:sz w:val="38"/>
        </w:rPr>
        <w:t>provides energy/toning</w:t>
      </w:r>
    </w:p>
    <w:p>
      <w:pPr>
        <w:pStyle w:val="ListParagraph"/>
        <w:numPr>
          <w:ilvl w:val="1"/>
          <w:numId w:val="95"/>
        </w:numPr>
        <w:tabs>
          <w:tab w:pos="1756" w:val="left" w:leader="none"/>
          <w:tab w:pos="1757" w:val="left" w:leader="none"/>
        </w:tabs>
        <w:spacing w:line="240" w:lineRule="auto" w:before="185" w:after="0"/>
        <w:ind w:left="1756" w:right="0" w:hanging="358"/>
        <w:jc w:val="left"/>
        <w:rPr>
          <w:sz w:val="38"/>
        </w:rPr>
      </w:pPr>
      <w:r>
        <w:rPr>
          <w:sz w:val="38"/>
        </w:rPr>
        <w:t>blood pressure</w:t>
      </w:r>
      <w:r>
        <w:rPr>
          <w:spacing w:val="1"/>
          <w:sz w:val="38"/>
        </w:rPr>
        <w:t> </w:t>
      </w:r>
      <w:r>
        <w:rPr>
          <w:sz w:val="38"/>
        </w:rPr>
        <w:t>regulating,</w:t>
      </w:r>
    </w:p>
    <w:p>
      <w:pPr>
        <w:pStyle w:val="ListParagraph"/>
        <w:numPr>
          <w:ilvl w:val="1"/>
          <w:numId w:val="95"/>
        </w:numPr>
        <w:tabs>
          <w:tab w:pos="1756" w:val="left" w:leader="none"/>
          <w:tab w:pos="1757" w:val="left" w:leader="none"/>
        </w:tabs>
        <w:spacing w:line="240" w:lineRule="auto" w:before="185" w:after="0"/>
        <w:ind w:left="1756" w:right="0" w:hanging="358"/>
        <w:jc w:val="left"/>
        <w:rPr>
          <w:sz w:val="38"/>
        </w:rPr>
      </w:pPr>
      <w:r>
        <w:rPr>
          <w:sz w:val="38"/>
        </w:rPr>
        <w:t>anti-inflammatory</w:t>
      </w:r>
    </w:p>
    <w:p>
      <w:pPr>
        <w:pStyle w:val="ListParagraph"/>
        <w:numPr>
          <w:ilvl w:val="1"/>
          <w:numId w:val="95"/>
        </w:numPr>
        <w:tabs>
          <w:tab w:pos="1756" w:val="left" w:leader="none"/>
          <w:tab w:pos="1757" w:val="left" w:leader="none"/>
        </w:tabs>
        <w:spacing w:line="240" w:lineRule="auto" w:before="184" w:after="0"/>
        <w:ind w:left="1756" w:right="0" w:hanging="358"/>
        <w:jc w:val="left"/>
        <w:rPr>
          <w:sz w:val="38"/>
        </w:rPr>
      </w:pPr>
      <w:r>
        <w:rPr>
          <w:sz w:val="38"/>
        </w:rPr>
        <w:t>antibacterial/antimicrobial</w:t>
      </w:r>
    </w:p>
    <w:p>
      <w:pPr>
        <w:pStyle w:val="ListParagraph"/>
        <w:numPr>
          <w:ilvl w:val="1"/>
          <w:numId w:val="95"/>
        </w:numPr>
        <w:tabs>
          <w:tab w:pos="1756" w:val="left" w:leader="none"/>
          <w:tab w:pos="1757" w:val="left" w:leader="none"/>
        </w:tabs>
        <w:spacing w:line="240" w:lineRule="auto" w:before="185" w:after="0"/>
        <w:ind w:left="1756" w:right="0" w:hanging="358"/>
        <w:jc w:val="left"/>
        <w:rPr>
          <w:sz w:val="38"/>
        </w:rPr>
      </w:pPr>
      <w:r>
        <w:rPr>
          <w:sz w:val="38"/>
        </w:rPr>
        <w:t>antiviral</w:t>
      </w:r>
    </w:p>
    <w:p>
      <w:pPr>
        <w:pStyle w:val="ListParagraph"/>
        <w:numPr>
          <w:ilvl w:val="1"/>
          <w:numId w:val="95"/>
        </w:numPr>
        <w:tabs>
          <w:tab w:pos="1756" w:val="left" w:leader="none"/>
          <w:tab w:pos="1757" w:val="left" w:leader="none"/>
        </w:tabs>
        <w:spacing w:line="240" w:lineRule="auto" w:before="182" w:after="0"/>
        <w:ind w:left="1756" w:right="0" w:hanging="358"/>
        <w:jc w:val="left"/>
        <w:rPr>
          <w:sz w:val="38"/>
        </w:rPr>
      </w:pPr>
      <w:r>
        <w:rPr>
          <w:sz w:val="38"/>
        </w:rPr>
        <w:t>regulates cholesterol</w:t>
      </w:r>
    </w:p>
    <w:p>
      <w:pPr>
        <w:pStyle w:val="ListParagraph"/>
        <w:numPr>
          <w:ilvl w:val="1"/>
          <w:numId w:val="95"/>
        </w:numPr>
        <w:tabs>
          <w:tab w:pos="1756" w:val="left" w:leader="none"/>
          <w:tab w:pos="1757" w:val="left" w:leader="none"/>
        </w:tabs>
        <w:spacing w:line="240" w:lineRule="auto" w:before="184" w:after="0"/>
        <w:ind w:left="1756" w:right="0" w:hanging="358"/>
        <w:jc w:val="left"/>
        <w:rPr>
          <w:sz w:val="38"/>
        </w:rPr>
      </w:pPr>
      <w:r>
        <w:rPr>
          <w:sz w:val="38"/>
        </w:rPr>
        <w:t>antitumoural</w:t>
      </w:r>
    </w:p>
    <w:p>
      <w:pPr>
        <w:pStyle w:val="ListParagraph"/>
        <w:numPr>
          <w:ilvl w:val="1"/>
          <w:numId w:val="95"/>
        </w:numPr>
        <w:tabs>
          <w:tab w:pos="1756" w:val="left" w:leader="none"/>
          <w:tab w:pos="1757" w:val="left" w:leader="none"/>
        </w:tabs>
        <w:spacing w:line="240" w:lineRule="auto" w:before="185" w:after="0"/>
        <w:ind w:left="1756" w:right="0" w:hanging="358"/>
        <w:jc w:val="left"/>
        <w:rPr>
          <w:sz w:val="38"/>
        </w:rPr>
      </w:pPr>
      <w:r>
        <w:rPr>
          <w:sz w:val="38"/>
        </w:rPr>
        <w:t>increases</w:t>
      </w:r>
      <w:r>
        <w:rPr>
          <w:spacing w:val="1"/>
          <w:sz w:val="38"/>
        </w:rPr>
        <w:t> </w:t>
      </w:r>
      <w:r>
        <w:rPr>
          <w:sz w:val="38"/>
        </w:rPr>
        <w:t>potency</w:t>
      </w:r>
    </w:p>
    <w:p>
      <w:pPr>
        <w:pStyle w:val="ListParagraph"/>
        <w:numPr>
          <w:ilvl w:val="1"/>
          <w:numId w:val="95"/>
        </w:numPr>
        <w:tabs>
          <w:tab w:pos="1756" w:val="left" w:leader="none"/>
          <w:tab w:pos="1757" w:val="left" w:leader="none"/>
        </w:tabs>
        <w:spacing w:line="240" w:lineRule="auto" w:before="185" w:after="0"/>
        <w:ind w:left="1756" w:right="0" w:hanging="358"/>
        <w:jc w:val="left"/>
        <w:rPr>
          <w:sz w:val="38"/>
        </w:rPr>
      </w:pPr>
      <w:r>
        <w:rPr>
          <w:sz w:val="38"/>
        </w:rPr>
        <w:t>regulates hormones</w:t>
      </w:r>
    </w:p>
    <w:p>
      <w:pPr>
        <w:pStyle w:val="ListParagraph"/>
        <w:numPr>
          <w:ilvl w:val="1"/>
          <w:numId w:val="95"/>
        </w:numPr>
        <w:tabs>
          <w:tab w:pos="1756" w:val="left" w:leader="none"/>
          <w:tab w:pos="1757" w:val="left" w:leader="none"/>
        </w:tabs>
        <w:spacing w:line="240" w:lineRule="auto" w:before="184" w:after="0"/>
        <w:ind w:left="1756" w:right="0" w:hanging="358"/>
        <w:jc w:val="left"/>
        <w:rPr>
          <w:sz w:val="38"/>
        </w:rPr>
      </w:pPr>
      <w:r>
        <w:rPr>
          <w:sz w:val="38"/>
        </w:rPr>
        <w:t>stimulates synthesis of</w:t>
      </w:r>
      <w:r>
        <w:rPr>
          <w:spacing w:val="3"/>
          <w:sz w:val="38"/>
        </w:rPr>
        <w:t> </w:t>
      </w:r>
      <w:r>
        <w:rPr>
          <w:sz w:val="38"/>
        </w:rPr>
        <w:t>collagen</w:t>
      </w:r>
    </w:p>
    <w:p>
      <w:pPr>
        <w:spacing w:after="0" w:line="240" w:lineRule="auto"/>
        <w:jc w:val="left"/>
        <w:rPr>
          <w:sz w:val="38"/>
        </w:rPr>
        <w:sectPr>
          <w:pgSz w:w="14270" w:h="16850"/>
          <w:pgMar w:header="0" w:footer="1891" w:top="1340" w:bottom="2080" w:left="800" w:right="1280"/>
        </w:sectPr>
      </w:pPr>
    </w:p>
    <w:p>
      <w:pPr>
        <w:pStyle w:val="Heading2"/>
        <w:spacing w:before="74"/>
        <w:ind w:left="616"/>
      </w:pPr>
      <w:r>
        <w:rPr/>
        <w:t>Special effects of royal jelly on diseases and disorders</w:t>
      </w:r>
    </w:p>
    <w:p>
      <w:pPr>
        <w:pStyle w:val="BodyText"/>
        <w:spacing w:before="305"/>
        <w:ind w:left="616"/>
      </w:pPr>
      <w:r>
        <w:rPr/>
        <w:t>Royal jelly is exceptionally effective and helpful for the following illnesses:</w:t>
      </w:r>
    </w:p>
    <w:p>
      <w:pPr>
        <w:pStyle w:val="ListParagraph"/>
        <w:numPr>
          <w:ilvl w:val="1"/>
          <w:numId w:val="95"/>
        </w:numPr>
        <w:tabs>
          <w:tab w:pos="1756" w:val="left" w:leader="none"/>
          <w:tab w:pos="1757" w:val="left" w:leader="none"/>
        </w:tabs>
        <w:spacing w:line="240" w:lineRule="auto" w:before="261" w:after="0"/>
        <w:ind w:left="1756" w:right="0" w:hanging="360"/>
        <w:jc w:val="left"/>
        <w:rPr>
          <w:sz w:val="38"/>
        </w:rPr>
      </w:pPr>
      <w:r>
        <w:rPr>
          <w:sz w:val="38"/>
        </w:rPr>
        <w:t>diet-dependent</w:t>
      </w:r>
      <w:r>
        <w:rPr>
          <w:spacing w:val="-1"/>
          <w:sz w:val="38"/>
        </w:rPr>
        <w:t> </w:t>
      </w:r>
      <w:r>
        <w:rPr>
          <w:sz w:val="38"/>
        </w:rPr>
        <w:t>deficiencies</w:t>
      </w:r>
    </w:p>
    <w:p>
      <w:pPr>
        <w:pStyle w:val="ListParagraph"/>
        <w:numPr>
          <w:ilvl w:val="1"/>
          <w:numId w:val="95"/>
        </w:numPr>
        <w:tabs>
          <w:tab w:pos="1756" w:val="left" w:leader="none"/>
          <w:tab w:pos="1757" w:val="left" w:leader="none"/>
        </w:tabs>
        <w:spacing w:line="240" w:lineRule="auto" w:before="185" w:after="0"/>
        <w:ind w:left="1756" w:right="0" w:hanging="360"/>
        <w:jc w:val="left"/>
        <w:rPr>
          <w:sz w:val="38"/>
        </w:rPr>
      </w:pPr>
      <w:r>
        <w:rPr>
          <w:sz w:val="38"/>
        </w:rPr>
        <w:t>neurological</w:t>
      </w:r>
      <w:r>
        <w:rPr>
          <w:spacing w:val="-2"/>
          <w:sz w:val="38"/>
        </w:rPr>
        <w:t> </w:t>
      </w:r>
      <w:r>
        <w:rPr>
          <w:sz w:val="38"/>
        </w:rPr>
        <w:t>illnesses</w:t>
      </w:r>
    </w:p>
    <w:p>
      <w:pPr>
        <w:pStyle w:val="ListParagraph"/>
        <w:numPr>
          <w:ilvl w:val="1"/>
          <w:numId w:val="95"/>
        </w:numPr>
        <w:tabs>
          <w:tab w:pos="1756" w:val="left" w:leader="none"/>
          <w:tab w:pos="1757" w:val="left" w:leader="none"/>
        </w:tabs>
        <w:spacing w:line="240" w:lineRule="auto" w:before="184" w:after="0"/>
        <w:ind w:left="1756" w:right="0" w:hanging="360"/>
        <w:jc w:val="left"/>
        <w:rPr>
          <w:sz w:val="38"/>
        </w:rPr>
      </w:pPr>
      <w:r>
        <w:rPr>
          <w:sz w:val="38"/>
        </w:rPr>
        <w:t>Immunodeficiency</w:t>
      </w:r>
    </w:p>
    <w:p>
      <w:pPr>
        <w:pStyle w:val="ListParagraph"/>
        <w:numPr>
          <w:ilvl w:val="1"/>
          <w:numId w:val="95"/>
        </w:numPr>
        <w:tabs>
          <w:tab w:pos="1756" w:val="left" w:leader="none"/>
          <w:tab w:pos="1757" w:val="left" w:leader="none"/>
        </w:tabs>
        <w:spacing w:line="240" w:lineRule="auto" w:before="185" w:after="0"/>
        <w:ind w:left="1756" w:right="0" w:hanging="360"/>
        <w:jc w:val="left"/>
        <w:rPr>
          <w:sz w:val="38"/>
        </w:rPr>
      </w:pPr>
      <w:r>
        <w:rPr>
          <w:sz w:val="38"/>
        </w:rPr>
        <w:t>Flu</w:t>
      </w:r>
    </w:p>
    <w:p>
      <w:pPr>
        <w:pStyle w:val="ListParagraph"/>
        <w:numPr>
          <w:ilvl w:val="1"/>
          <w:numId w:val="95"/>
        </w:numPr>
        <w:tabs>
          <w:tab w:pos="1756" w:val="left" w:leader="none"/>
          <w:tab w:pos="1757" w:val="left" w:leader="none"/>
        </w:tabs>
        <w:spacing w:line="240" w:lineRule="auto" w:before="185" w:after="0"/>
        <w:ind w:left="1756" w:right="0" w:hanging="360"/>
        <w:jc w:val="left"/>
        <w:rPr>
          <w:sz w:val="38"/>
        </w:rPr>
      </w:pPr>
      <w:r>
        <w:rPr>
          <w:sz w:val="38"/>
        </w:rPr>
        <w:t>Allergies</w:t>
      </w:r>
    </w:p>
    <w:p>
      <w:pPr>
        <w:pStyle w:val="ListParagraph"/>
        <w:numPr>
          <w:ilvl w:val="1"/>
          <w:numId w:val="95"/>
        </w:numPr>
        <w:tabs>
          <w:tab w:pos="1756" w:val="left" w:leader="none"/>
          <w:tab w:pos="1757" w:val="left" w:leader="none"/>
        </w:tabs>
        <w:spacing w:line="240" w:lineRule="auto" w:before="184" w:after="0"/>
        <w:ind w:left="1756" w:right="0" w:hanging="360"/>
        <w:jc w:val="left"/>
        <w:rPr>
          <w:sz w:val="38"/>
        </w:rPr>
      </w:pPr>
      <w:r>
        <w:rPr>
          <w:sz w:val="38"/>
        </w:rPr>
        <w:t>Premature ageing</w:t>
      </w:r>
    </w:p>
    <w:p>
      <w:pPr>
        <w:pStyle w:val="ListParagraph"/>
        <w:numPr>
          <w:ilvl w:val="1"/>
          <w:numId w:val="95"/>
        </w:numPr>
        <w:tabs>
          <w:tab w:pos="1756" w:val="left" w:leader="none"/>
          <w:tab w:pos="1757" w:val="left" w:leader="none"/>
        </w:tabs>
        <w:spacing w:line="240" w:lineRule="auto" w:before="185" w:after="0"/>
        <w:ind w:left="1756" w:right="0" w:hanging="360"/>
        <w:jc w:val="left"/>
        <w:rPr>
          <w:sz w:val="38"/>
        </w:rPr>
      </w:pPr>
      <w:r>
        <w:rPr>
          <w:sz w:val="38"/>
        </w:rPr>
        <w:t>Cancer</w:t>
      </w:r>
    </w:p>
    <w:p>
      <w:pPr>
        <w:pStyle w:val="ListParagraph"/>
        <w:numPr>
          <w:ilvl w:val="1"/>
          <w:numId w:val="95"/>
        </w:numPr>
        <w:tabs>
          <w:tab w:pos="1756" w:val="left" w:leader="none"/>
          <w:tab w:pos="1757" w:val="left" w:leader="none"/>
        </w:tabs>
        <w:spacing w:line="240" w:lineRule="auto" w:before="182" w:after="0"/>
        <w:ind w:left="1756" w:right="0" w:hanging="360"/>
        <w:jc w:val="left"/>
        <w:rPr>
          <w:sz w:val="38"/>
        </w:rPr>
      </w:pPr>
      <w:r>
        <w:rPr>
          <w:sz w:val="38"/>
        </w:rPr>
        <w:t>Diabetes</w:t>
      </w:r>
    </w:p>
    <w:p>
      <w:pPr>
        <w:pStyle w:val="ListParagraph"/>
        <w:numPr>
          <w:ilvl w:val="1"/>
          <w:numId w:val="95"/>
        </w:numPr>
        <w:tabs>
          <w:tab w:pos="1756" w:val="left" w:leader="none"/>
          <w:tab w:pos="1757" w:val="left" w:leader="none"/>
        </w:tabs>
        <w:spacing w:line="240" w:lineRule="auto" w:before="184" w:after="0"/>
        <w:ind w:left="1756" w:right="0" w:hanging="360"/>
        <w:jc w:val="left"/>
        <w:rPr>
          <w:sz w:val="38"/>
        </w:rPr>
      </w:pPr>
      <w:r>
        <w:rPr>
          <w:sz w:val="38"/>
        </w:rPr>
        <w:t>Stroke</w:t>
      </w:r>
    </w:p>
    <w:p>
      <w:pPr>
        <w:pStyle w:val="ListParagraph"/>
        <w:numPr>
          <w:ilvl w:val="1"/>
          <w:numId w:val="95"/>
        </w:numPr>
        <w:tabs>
          <w:tab w:pos="1756" w:val="left" w:leader="none"/>
          <w:tab w:pos="1757" w:val="left" w:leader="none"/>
        </w:tabs>
        <w:spacing w:line="240" w:lineRule="auto" w:before="185" w:after="0"/>
        <w:ind w:left="1756" w:right="0" w:hanging="360"/>
        <w:jc w:val="left"/>
        <w:rPr>
          <w:sz w:val="38"/>
        </w:rPr>
      </w:pPr>
      <w:r>
        <w:rPr>
          <w:sz w:val="38"/>
        </w:rPr>
        <w:t>Infectious diseases</w:t>
      </w:r>
    </w:p>
    <w:p>
      <w:pPr>
        <w:pStyle w:val="ListParagraph"/>
        <w:numPr>
          <w:ilvl w:val="1"/>
          <w:numId w:val="95"/>
        </w:numPr>
        <w:tabs>
          <w:tab w:pos="1756" w:val="left" w:leader="none"/>
          <w:tab w:pos="1757" w:val="left" w:leader="none"/>
        </w:tabs>
        <w:spacing w:line="240" w:lineRule="auto" w:before="185" w:after="0"/>
        <w:ind w:left="1756" w:right="0" w:hanging="360"/>
        <w:jc w:val="left"/>
        <w:rPr>
          <w:sz w:val="38"/>
        </w:rPr>
      </w:pPr>
      <w:r>
        <w:rPr>
          <w:sz w:val="38"/>
        </w:rPr>
        <w:t>Breathing problems</w:t>
      </w:r>
    </w:p>
    <w:p>
      <w:pPr>
        <w:pStyle w:val="ListParagraph"/>
        <w:numPr>
          <w:ilvl w:val="1"/>
          <w:numId w:val="95"/>
        </w:numPr>
        <w:tabs>
          <w:tab w:pos="1756" w:val="left" w:leader="none"/>
          <w:tab w:pos="1757" w:val="left" w:leader="none"/>
        </w:tabs>
        <w:spacing w:line="240" w:lineRule="auto" w:before="184" w:after="0"/>
        <w:ind w:left="1756" w:right="0" w:hanging="360"/>
        <w:jc w:val="left"/>
        <w:rPr>
          <w:sz w:val="38"/>
        </w:rPr>
      </w:pPr>
      <w:r>
        <w:rPr>
          <w:sz w:val="38"/>
        </w:rPr>
        <w:t>Impotence</w:t>
      </w:r>
    </w:p>
    <w:p>
      <w:pPr>
        <w:pStyle w:val="ListParagraph"/>
        <w:numPr>
          <w:ilvl w:val="1"/>
          <w:numId w:val="95"/>
        </w:numPr>
        <w:tabs>
          <w:tab w:pos="1756" w:val="left" w:leader="none"/>
          <w:tab w:pos="1757" w:val="left" w:leader="none"/>
        </w:tabs>
        <w:spacing w:line="240" w:lineRule="auto" w:before="185" w:after="0"/>
        <w:ind w:left="1756" w:right="0" w:hanging="360"/>
        <w:jc w:val="left"/>
        <w:rPr>
          <w:sz w:val="38"/>
        </w:rPr>
      </w:pPr>
      <w:r>
        <w:rPr>
          <w:sz w:val="38"/>
        </w:rPr>
        <w:t>Sterility</w:t>
      </w:r>
    </w:p>
    <w:p>
      <w:pPr>
        <w:pStyle w:val="ListParagraph"/>
        <w:numPr>
          <w:ilvl w:val="1"/>
          <w:numId w:val="95"/>
        </w:numPr>
        <w:tabs>
          <w:tab w:pos="1756" w:val="left" w:leader="none"/>
          <w:tab w:pos="1757" w:val="left" w:leader="none"/>
        </w:tabs>
        <w:spacing w:line="240" w:lineRule="auto" w:before="182" w:after="0"/>
        <w:ind w:left="1756" w:right="0" w:hanging="360"/>
        <w:jc w:val="left"/>
        <w:rPr>
          <w:sz w:val="38"/>
        </w:rPr>
      </w:pPr>
      <w:r>
        <w:rPr>
          <w:sz w:val="38"/>
        </w:rPr>
        <w:t>Asthenia</w:t>
      </w:r>
      <w:r>
        <w:rPr>
          <w:spacing w:val="-2"/>
          <w:sz w:val="38"/>
        </w:rPr>
        <w:t> </w:t>
      </w:r>
      <w:r>
        <w:rPr>
          <w:sz w:val="38"/>
        </w:rPr>
        <w:t>(weakness)</w:t>
      </w:r>
    </w:p>
    <w:p>
      <w:pPr>
        <w:pStyle w:val="ListParagraph"/>
        <w:numPr>
          <w:ilvl w:val="1"/>
          <w:numId w:val="95"/>
        </w:numPr>
        <w:tabs>
          <w:tab w:pos="1756" w:val="left" w:leader="none"/>
          <w:tab w:pos="1757" w:val="left" w:leader="none"/>
        </w:tabs>
        <w:spacing w:line="240" w:lineRule="auto" w:before="184" w:after="0"/>
        <w:ind w:left="1756" w:right="0" w:hanging="360"/>
        <w:jc w:val="left"/>
        <w:rPr>
          <w:sz w:val="38"/>
        </w:rPr>
      </w:pPr>
      <w:r>
        <w:rPr>
          <w:sz w:val="38"/>
        </w:rPr>
        <w:t>Fatigue</w:t>
      </w:r>
    </w:p>
    <w:p>
      <w:pPr>
        <w:pStyle w:val="ListParagraph"/>
        <w:numPr>
          <w:ilvl w:val="1"/>
          <w:numId w:val="95"/>
        </w:numPr>
        <w:tabs>
          <w:tab w:pos="1756" w:val="left" w:leader="none"/>
          <w:tab w:pos="1757" w:val="left" w:leader="none"/>
        </w:tabs>
        <w:spacing w:line="240" w:lineRule="auto" w:before="185" w:after="0"/>
        <w:ind w:left="1756" w:right="0" w:hanging="360"/>
        <w:jc w:val="left"/>
        <w:rPr>
          <w:sz w:val="38"/>
        </w:rPr>
      </w:pPr>
      <w:r>
        <w:rPr>
          <w:sz w:val="38"/>
        </w:rPr>
        <w:t>Meningitis</w:t>
      </w:r>
    </w:p>
    <w:p>
      <w:pPr>
        <w:pStyle w:val="ListParagraph"/>
        <w:numPr>
          <w:ilvl w:val="1"/>
          <w:numId w:val="95"/>
        </w:numPr>
        <w:tabs>
          <w:tab w:pos="1756" w:val="left" w:leader="none"/>
          <w:tab w:pos="1757" w:val="left" w:leader="none"/>
        </w:tabs>
        <w:spacing w:line="240" w:lineRule="auto" w:before="185" w:after="0"/>
        <w:ind w:left="1756" w:right="0" w:hanging="360"/>
        <w:jc w:val="left"/>
        <w:rPr>
          <w:sz w:val="38"/>
        </w:rPr>
      </w:pPr>
      <w:r>
        <w:rPr>
          <w:sz w:val="38"/>
        </w:rPr>
        <w:t>Male infertility (sperm</w:t>
      </w:r>
      <w:r>
        <w:rPr>
          <w:spacing w:val="2"/>
          <w:sz w:val="38"/>
        </w:rPr>
        <w:t> </w:t>
      </w:r>
      <w:r>
        <w:rPr>
          <w:sz w:val="38"/>
        </w:rPr>
        <w:t>mobility)</w:t>
      </w:r>
    </w:p>
    <w:p>
      <w:pPr>
        <w:spacing w:after="0" w:line="240" w:lineRule="auto"/>
        <w:jc w:val="left"/>
        <w:rPr>
          <w:sz w:val="38"/>
        </w:rPr>
        <w:sectPr>
          <w:pgSz w:w="14270" w:h="16850"/>
          <w:pgMar w:header="0" w:footer="1891" w:top="1340" w:bottom="2080" w:left="800" w:right="1280"/>
        </w:sectPr>
      </w:pPr>
    </w:p>
    <w:p>
      <w:pPr>
        <w:pStyle w:val="ListParagraph"/>
        <w:numPr>
          <w:ilvl w:val="1"/>
          <w:numId w:val="95"/>
        </w:numPr>
        <w:tabs>
          <w:tab w:pos="1756" w:val="left" w:leader="none"/>
          <w:tab w:pos="1757" w:val="left" w:leader="none"/>
        </w:tabs>
        <w:spacing w:line="240" w:lineRule="auto" w:before="72" w:after="0"/>
        <w:ind w:left="1756" w:right="0" w:hanging="360"/>
        <w:jc w:val="left"/>
        <w:rPr>
          <w:sz w:val="38"/>
        </w:rPr>
      </w:pPr>
      <w:r>
        <w:rPr>
          <w:sz w:val="38"/>
        </w:rPr>
        <w:t>Diseases in the genital</w:t>
      </w:r>
      <w:r>
        <w:rPr>
          <w:spacing w:val="1"/>
          <w:sz w:val="38"/>
        </w:rPr>
        <w:t> </w:t>
      </w:r>
      <w:r>
        <w:rPr>
          <w:sz w:val="38"/>
        </w:rPr>
        <w:t>area</w:t>
      </w:r>
    </w:p>
    <w:p>
      <w:pPr>
        <w:pStyle w:val="ListParagraph"/>
        <w:numPr>
          <w:ilvl w:val="1"/>
          <w:numId w:val="95"/>
        </w:numPr>
        <w:tabs>
          <w:tab w:pos="1756" w:val="left" w:leader="none"/>
          <w:tab w:pos="1757" w:val="left" w:leader="none"/>
        </w:tabs>
        <w:spacing w:line="240" w:lineRule="auto" w:before="184" w:after="0"/>
        <w:ind w:left="1756" w:right="0" w:hanging="360"/>
        <w:jc w:val="left"/>
        <w:rPr>
          <w:sz w:val="38"/>
        </w:rPr>
      </w:pPr>
      <w:r>
        <w:rPr>
          <w:sz w:val="38"/>
        </w:rPr>
        <w:t>Atherosclerosis</w:t>
      </w:r>
    </w:p>
    <w:p>
      <w:pPr>
        <w:pStyle w:val="ListParagraph"/>
        <w:numPr>
          <w:ilvl w:val="1"/>
          <w:numId w:val="95"/>
        </w:numPr>
        <w:tabs>
          <w:tab w:pos="1756" w:val="left" w:leader="none"/>
          <w:tab w:pos="1757" w:val="left" w:leader="none"/>
        </w:tabs>
        <w:spacing w:line="240" w:lineRule="auto" w:before="185" w:after="0"/>
        <w:ind w:left="1756" w:right="0" w:hanging="360"/>
        <w:jc w:val="left"/>
        <w:rPr>
          <w:sz w:val="38"/>
        </w:rPr>
      </w:pPr>
      <w:r>
        <w:rPr>
          <w:sz w:val="38"/>
        </w:rPr>
        <w:t>Rheumatic arthritis</w:t>
      </w:r>
    </w:p>
    <w:p>
      <w:pPr>
        <w:pStyle w:val="ListParagraph"/>
        <w:numPr>
          <w:ilvl w:val="1"/>
          <w:numId w:val="95"/>
        </w:numPr>
        <w:tabs>
          <w:tab w:pos="1756" w:val="left" w:leader="none"/>
          <w:tab w:pos="1757" w:val="left" w:leader="none"/>
        </w:tabs>
        <w:spacing w:line="240" w:lineRule="auto" w:before="184" w:after="0"/>
        <w:ind w:left="1756" w:right="0" w:hanging="360"/>
        <w:jc w:val="left"/>
        <w:rPr>
          <w:sz w:val="38"/>
        </w:rPr>
      </w:pPr>
      <w:r>
        <w:rPr>
          <w:sz w:val="38"/>
        </w:rPr>
        <w:t>Chronic lung</w:t>
      </w:r>
      <w:r>
        <w:rPr>
          <w:spacing w:val="-1"/>
          <w:sz w:val="38"/>
        </w:rPr>
        <w:t> </w:t>
      </w:r>
      <w:r>
        <w:rPr>
          <w:sz w:val="38"/>
        </w:rPr>
        <w:t>illnesses</w:t>
      </w:r>
    </w:p>
    <w:p>
      <w:pPr>
        <w:pStyle w:val="ListParagraph"/>
        <w:numPr>
          <w:ilvl w:val="1"/>
          <w:numId w:val="95"/>
        </w:numPr>
        <w:tabs>
          <w:tab w:pos="1756" w:val="left" w:leader="none"/>
          <w:tab w:pos="1757" w:val="left" w:leader="none"/>
        </w:tabs>
        <w:spacing w:line="240" w:lineRule="auto" w:before="185" w:after="0"/>
        <w:ind w:left="1756" w:right="0" w:hanging="360"/>
        <w:jc w:val="left"/>
        <w:rPr>
          <w:sz w:val="38"/>
        </w:rPr>
      </w:pPr>
      <w:r>
        <w:rPr>
          <w:sz w:val="38"/>
        </w:rPr>
        <w:t>Larynx</w:t>
      </w:r>
      <w:r>
        <w:rPr>
          <w:spacing w:val="-11"/>
          <w:sz w:val="38"/>
        </w:rPr>
        <w:t> </w:t>
      </w:r>
      <w:r>
        <w:rPr>
          <w:sz w:val="38"/>
        </w:rPr>
        <w:t>pain</w:t>
      </w:r>
    </w:p>
    <w:p>
      <w:pPr>
        <w:pStyle w:val="ListParagraph"/>
        <w:numPr>
          <w:ilvl w:val="1"/>
          <w:numId w:val="95"/>
        </w:numPr>
        <w:tabs>
          <w:tab w:pos="1756" w:val="left" w:leader="none"/>
          <w:tab w:pos="1757" w:val="left" w:leader="none"/>
        </w:tabs>
        <w:spacing w:line="240" w:lineRule="auto" w:before="184" w:after="0"/>
        <w:ind w:left="1756" w:right="0" w:hanging="360"/>
        <w:jc w:val="left"/>
        <w:rPr>
          <w:sz w:val="38"/>
        </w:rPr>
      </w:pPr>
      <w:r>
        <w:rPr>
          <w:sz w:val="38"/>
        </w:rPr>
        <w:t>Throat</w:t>
      </w:r>
      <w:r>
        <w:rPr>
          <w:spacing w:val="-9"/>
          <w:sz w:val="38"/>
        </w:rPr>
        <w:t> </w:t>
      </w:r>
      <w:r>
        <w:rPr>
          <w:sz w:val="38"/>
        </w:rPr>
        <w:t>pain</w:t>
      </w:r>
    </w:p>
    <w:p>
      <w:pPr>
        <w:pStyle w:val="ListParagraph"/>
        <w:numPr>
          <w:ilvl w:val="1"/>
          <w:numId w:val="95"/>
        </w:numPr>
        <w:tabs>
          <w:tab w:pos="1756" w:val="left" w:leader="none"/>
          <w:tab w:pos="1757" w:val="left" w:leader="none"/>
        </w:tabs>
        <w:spacing w:line="240" w:lineRule="auto" w:before="183" w:after="0"/>
        <w:ind w:left="1756" w:right="0" w:hanging="360"/>
        <w:jc w:val="left"/>
        <w:rPr>
          <w:sz w:val="38"/>
        </w:rPr>
      </w:pPr>
      <w:r>
        <w:rPr>
          <w:sz w:val="38"/>
        </w:rPr>
        <w:t>Stomach bleeding</w:t>
      </w:r>
    </w:p>
    <w:p>
      <w:pPr>
        <w:pStyle w:val="ListParagraph"/>
        <w:numPr>
          <w:ilvl w:val="1"/>
          <w:numId w:val="95"/>
        </w:numPr>
        <w:tabs>
          <w:tab w:pos="1756" w:val="left" w:leader="none"/>
          <w:tab w:pos="1757" w:val="left" w:leader="none"/>
        </w:tabs>
        <w:spacing w:line="240" w:lineRule="auto" w:before="185" w:after="0"/>
        <w:ind w:left="1756" w:right="0" w:hanging="360"/>
        <w:jc w:val="left"/>
        <w:rPr>
          <w:sz w:val="38"/>
        </w:rPr>
      </w:pPr>
      <w:r>
        <w:rPr>
          <w:sz w:val="38"/>
        </w:rPr>
        <w:t>Complaints during</w:t>
      </w:r>
      <w:r>
        <w:rPr>
          <w:spacing w:val="1"/>
          <w:sz w:val="38"/>
        </w:rPr>
        <w:t> </w:t>
      </w:r>
      <w:r>
        <w:rPr>
          <w:sz w:val="38"/>
        </w:rPr>
        <w:t>menopause</w:t>
      </w:r>
    </w:p>
    <w:p>
      <w:pPr>
        <w:pStyle w:val="ListParagraph"/>
        <w:numPr>
          <w:ilvl w:val="1"/>
          <w:numId w:val="95"/>
        </w:numPr>
        <w:tabs>
          <w:tab w:pos="1756" w:val="left" w:leader="none"/>
          <w:tab w:pos="1757" w:val="left" w:leader="none"/>
        </w:tabs>
        <w:spacing w:line="240" w:lineRule="auto" w:before="184" w:after="0"/>
        <w:ind w:left="1756" w:right="0" w:hanging="360"/>
        <w:jc w:val="left"/>
        <w:rPr>
          <w:sz w:val="38"/>
        </w:rPr>
      </w:pPr>
      <w:r>
        <w:rPr>
          <w:sz w:val="38"/>
        </w:rPr>
        <w:t>Hormone deficiency</w:t>
      </w:r>
    </w:p>
    <w:p>
      <w:pPr>
        <w:pStyle w:val="ListParagraph"/>
        <w:numPr>
          <w:ilvl w:val="1"/>
          <w:numId w:val="95"/>
        </w:numPr>
        <w:tabs>
          <w:tab w:pos="1756" w:val="left" w:leader="none"/>
          <w:tab w:pos="1757" w:val="left" w:leader="none"/>
        </w:tabs>
        <w:spacing w:line="240" w:lineRule="auto" w:before="185" w:after="0"/>
        <w:ind w:left="1756" w:right="0" w:hanging="360"/>
        <w:jc w:val="left"/>
        <w:rPr>
          <w:sz w:val="38"/>
        </w:rPr>
      </w:pPr>
      <w:r>
        <w:rPr>
          <w:sz w:val="38"/>
        </w:rPr>
        <w:t>Anorexia (lack of</w:t>
      </w:r>
      <w:r>
        <w:rPr>
          <w:spacing w:val="-3"/>
          <w:sz w:val="38"/>
        </w:rPr>
        <w:t> </w:t>
      </w:r>
      <w:r>
        <w:rPr>
          <w:sz w:val="38"/>
        </w:rPr>
        <w:t>appetite)</w:t>
      </w:r>
    </w:p>
    <w:p>
      <w:pPr>
        <w:pStyle w:val="ListParagraph"/>
        <w:numPr>
          <w:ilvl w:val="1"/>
          <w:numId w:val="95"/>
        </w:numPr>
        <w:tabs>
          <w:tab w:pos="1756" w:val="left" w:leader="none"/>
          <w:tab w:pos="1757" w:val="left" w:leader="none"/>
        </w:tabs>
        <w:spacing w:line="240" w:lineRule="auto" w:before="184" w:after="0"/>
        <w:ind w:left="1756" w:right="0" w:hanging="360"/>
        <w:jc w:val="left"/>
        <w:rPr>
          <w:sz w:val="38"/>
        </w:rPr>
      </w:pPr>
      <w:r>
        <w:rPr>
          <w:sz w:val="38"/>
        </w:rPr>
        <w:t>Anaemia</w:t>
      </w:r>
    </w:p>
    <w:p>
      <w:pPr>
        <w:pStyle w:val="ListParagraph"/>
        <w:numPr>
          <w:ilvl w:val="1"/>
          <w:numId w:val="95"/>
        </w:numPr>
        <w:tabs>
          <w:tab w:pos="1756" w:val="left" w:leader="none"/>
          <w:tab w:pos="1757" w:val="left" w:leader="none"/>
        </w:tabs>
        <w:spacing w:line="240" w:lineRule="auto" w:before="185" w:after="0"/>
        <w:ind w:left="1756" w:right="0" w:hanging="360"/>
        <w:jc w:val="left"/>
        <w:rPr>
          <w:sz w:val="38"/>
        </w:rPr>
      </w:pPr>
      <w:r>
        <w:rPr>
          <w:sz w:val="38"/>
        </w:rPr>
        <w:t>Arterial hypotension (low blood</w:t>
      </w:r>
      <w:r>
        <w:rPr>
          <w:spacing w:val="-3"/>
          <w:sz w:val="38"/>
        </w:rPr>
        <w:t> </w:t>
      </w:r>
      <w:r>
        <w:rPr>
          <w:sz w:val="38"/>
        </w:rPr>
        <w:t>pressure)</w:t>
      </w:r>
    </w:p>
    <w:p>
      <w:pPr>
        <w:pStyle w:val="ListParagraph"/>
        <w:numPr>
          <w:ilvl w:val="1"/>
          <w:numId w:val="95"/>
        </w:numPr>
        <w:tabs>
          <w:tab w:pos="1756" w:val="left" w:leader="none"/>
          <w:tab w:pos="1757" w:val="left" w:leader="none"/>
        </w:tabs>
        <w:spacing w:line="240" w:lineRule="auto" w:before="184" w:after="0"/>
        <w:ind w:left="1756" w:right="0" w:hanging="360"/>
        <w:jc w:val="left"/>
        <w:rPr>
          <w:sz w:val="38"/>
        </w:rPr>
      </w:pPr>
      <w:r>
        <w:rPr>
          <w:sz w:val="38"/>
        </w:rPr>
        <w:t>Hypertension (high blood</w:t>
      </w:r>
      <w:r>
        <w:rPr>
          <w:spacing w:val="1"/>
          <w:sz w:val="38"/>
        </w:rPr>
        <w:t> </w:t>
      </w:r>
      <w:r>
        <w:rPr>
          <w:sz w:val="38"/>
        </w:rPr>
        <w:t>pressure)</w:t>
      </w:r>
    </w:p>
    <w:p>
      <w:pPr>
        <w:pStyle w:val="ListParagraph"/>
        <w:numPr>
          <w:ilvl w:val="1"/>
          <w:numId w:val="95"/>
        </w:numPr>
        <w:tabs>
          <w:tab w:pos="1756" w:val="left" w:leader="none"/>
          <w:tab w:pos="1757" w:val="left" w:leader="none"/>
        </w:tabs>
        <w:spacing w:line="240" w:lineRule="auto" w:before="183" w:after="0"/>
        <w:ind w:left="1756" w:right="0" w:hanging="360"/>
        <w:jc w:val="left"/>
        <w:rPr>
          <w:sz w:val="38"/>
        </w:rPr>
      </w:pPr>
      <w:r>
        <w:rPr>
          <w:sz w:val="38"/>
        </w:rPr>
        <w:t>Anxiety</w:t>
      </w:r>
    </w:p>
    <w:p>
      <w:pPr>
        <w:pStyle w:val="ListParagraph"/>
        <w:numPr>
          <w:ilvl w:val="1"/>
          <w:numId w:val="95"/>
        </w:numPr>
        <w:tabs>
          <w:tab w:pos="1756" w:val="left" w:leader="none"/>
          <w:tab w:pos="1757" w:val="left" w:leader="none"/>
        </w:tabs>
        <w:spacing w:line="240" w:lineRule="auto" w:before="184" w:after="0"/>
        <w:ind w:left="1756" w:right="0" w:hanging="360"/>
        <w:jc w:val="left"/>
        <w:rPr>
          <w:sz w:val="38"/>
        </w:rPr>
      </w:pPr>
      <w:r>
        <w:rPr>
          <w:sz w:val="38"/>
        </w:rPr>
        <w:t>Depression</w:t>
      </w:r>
    </w:p>
    <w:p>
      <w:pPr>
        <w:pStyle w:val="ListParagraph"/>
        <w:numPr>
          <w:ilvl w:val="1"/>
          <w:numId w:val="95"/>
        </w:numPr>
        <w:tabs>
          <w:tab w:pos="1756" w:val="left" w:leader="none"/>
          <w:tab w:pos="1757" w:val="left" w:leader="none"/>
        </w:tabs>
        <w:spacing w:line="240" w:lineRule="auto" w:before="185" w:after="0"/>
        <w:ind w:left="1756" w:right="0" w:hanging="360"/>
        <w:jc w:val="left"/>
        <w:rPr>
          <w:sz w:val="38"/>
        </w:rPr>
      </w:pPr>
      <w:r>
        <w:rPr>
          <w:sz w:val="38"/>
        </w:rPr>
        <w:t>Anaemia</w:t>
      </w:r>
    </w:p>
    <w:p>
      <w:pPr>
        <w:pStyle w:val="ListParagraph"/>
        <w:numPr>
          <w:ilvl w:val="1"/>
          <w:numId w:val="95"/>
        </w:numPr>
        <w:tabs>
          <w:tab w:pos="1756" w:val="left" w:leader="none"/>
          <w:tab w:pos="1757" w:val="left" w:leader="none"/>
        </w:tabs>
        <w:spacing w:line="240" w:lineRule="auto" w:before="184" w:after="0"/>
        <w:ind w:left="1756" w:right="0" w:hanging="360"/>
        <w:jc w:val="left"/>
        <w:rPr>
          <w:sz w:val="38"/>
        </w:rPr>
      </w:pPr>
      <w:r>
        <w:rPr>
          <w:sz w:val="38"/>
        </w:rPr>
        <w:t>Atherosclerosis (hardening of the</w:t>
      </w:r>
      <w:r>
        <w:rPr>
          <w:spacing w:val="4"/>
          <w:sz w:val="38"/>
        </w:rPr>
        <w:t> </w:t>
      </w:r>
      <w:r>
        <w:rPr>
          <w:sz w:val="38"/>
        </w:rPr>
        <w:t>arteries),</w:t>
      </w:r>
    </w:p>
    <w:p>
      <w:pPr>
        <w:pStyle w:val="ListParagraph"/>
        <w:numPr>
          <w:ilvl w:val="1"/>
          <w:numId w:val="95"/>
        </w:numPr>
        <w:tabs>
          <w:tab w:pos="1756" w:val="left" w:leader="none"/>
          <w:tab w:pos="1757" w:val="left" w:leader="none"/>
        </w:tabs>
        <w:spacing w:line="240" w:lineRule="auto" w:before="185" w:after="0"/>
        <w:ind w:left="1756" w:right="0" w:hanging="360"/>
        <w:jc w:val="left"/>
        <w:rPr>
          <w:sz w:val="38"/>
        </w:rPr>
      </w:pPr>
      <w:r>
        <w:rPr>
          <w:sz w:val="38"/>
        </w:rPr>
        <w:t>Xeroderma (abnormally dry</w:t>
      </w:r>
      <w:r>
        <w:rPr>
          <w:spacing w:val="-1"/>
          <w:sz w:val="38"/>
        </w:rPr>
        <w:t> </w:t>
      </w:r>
      <w:r>
        <w:rPr>
          <w:sz w:val="38"/>
        </w:rPr>
        <w:t>skin)</w:t>
      </w:r>
    </w:p>
    <w:p>
      <w:pPr>
        <w:pStyle w:val="ListParagraph"/>
        <w:numPr>
          <w:ilvl w:val="1"/>
          <w:numId w:val="95"/>
        </w:numPr>
        <w:tabs>
          <w:tab w:pos="1756" w:val="left" w:leader="none"/>
          <w:tab w:pos="1757" w:val="left" w:leader="none"/>
        </w:tabs>
        <w:spacing w:line="240" w:lineRule="auto" w:before="185" w:after="0"/>
        <w:ind w:left="1756" w:right="0" w:hanging="360"/>
        <w:jc w:val="left"/>
        <w:rPr>
          <w:sz w:val="38"/>
        </w:rPr>
      </w:pPr>
      <w:r>
        <w:rPr>
          <w:sz w:val="38"/>
        </w:rPr>
        <w:t>Anaemia</w:t>
      </w:r>
    </w:p>
    <w:p>
      <w:pPr>
        <w:pStyle w:val="ListParagraph"/>
        <w:numPr>
          <w:ilvl w:val="1"/>
          <w:numId w:val="95"/>
        </w:numPr>
        <w:tabs>
          <w:tab w:pos="1756" w:val="left" w:leader="none"/>
          <w:tab w:pos="1757" w:val="left" w:leader="none"/>
        </w:tabs>
        <w:spacing w:line="240" w:lineRule="auto" w:before="182" w:after="0"/>
        <w:ind w:left="1756" w:right="0" w:hanging="360"/>
        <w:jc w:val="left"/>
        <w:rPr>
          <w:sz w:val="38"/>
        </w:rPr>
      </w:pPr>
      <w:r>
        <w:rPr>
          <w:sz w:val="38"/>
        </w:rPr>
        <w:t>Mild</w:t>
      </w:r>
      <w:r>
        <w:rPr>
          <w:spacing w:val="-1"/>
          <w:sz w:val="38"/>
        </w:rPr>
        <w:t> </w:t>
      </w:r>
      <w:r>
        <w:rPr>
          <w:sz w:val="38"/>
        </w:rPr>
        <w:t>depression</w:t>
      </w:r>
    </w:p>
    <w:p>
      <w:pPr>
        <w:spacing w:after="0" w:line="240" w:lineRule="auto"/>
        <w:jc w:val="left"/>
        <w:rPr>
          <w:sz w:val="38"/>
        </w:rPr>
        <w:sectPr>
          <w:pgSz w:w="14270" w:h="16850"/>
          <w:pgMar w:header="0" w:footer="1891" w:top="1340" w:bottom="2080" w:left="800" w:right="1280"/>
        </w:sectPr>
      </w:pPr>
    </w:p>
    <w:p>
      <w:pPr>
        <w:pStyle w:val="ListParagraph"/>
        <w:numPr>
          <w:ilvl w:val="1"/>
          <w:numId w:val="95"/>
        </w:numPr>
        <w:tabs>
          <w:tab w:pos="1756" w:val="left" w:leader="none"/>
          <w:tab w:pos="1757" w:val="left" w:leader="none"/>
        </w:tabs>
        <w:spacing w:line="240" w:lineRule="auto" w:before="72" w:after="0"/>
        <w:ind w:left="1756" w:right="0" w:hanging="360"/>
        <w:jc w:val="left"/>
        <w:rPr>
          <w:sz w:val="38"/>
        </w:rPr>
      </w:pPr>
      <w:r>
        <w:rPr>
          <w:sz w:val="38"/>
        </w:rPr>
        <w:t>Liver problems</w:t>
      </w:r>
    </w:p>
    <w:p>
      <w:pPr>
        <w:pStyle w:val="ListParagraph"/>
        <w:numPr>
          <w:ilvl w:val="1"/>
          <w:numId w:val="95"/>
        </w:numPr>
        <w:tabs>
          <w:tab w:pos="1756" w:val="left" w:leader="none"/>
          <w:tab w:pos="1757" w:val="left" w:leader="none"/>
        </w:tabs>
        <w:spacing w:line="240" w:lineRule="auto" w:before="184" w:after="0"/>
        <w:ind w:left="1756" w:right="0" w:hanging="360"/>
        <w:jc w:val="left"/>
        <w:rPr>
          <w:sz w:val="38"/>
        </w:rPr>
      </w:pPr>
      <w:r>
        <w:rPr>
          <w:sz w:val="38"/>
        </w:rPr>
        <w:t>Gall bladder</w:t>
      </w:r>
      <w:r>
        <w:rPr>
          <w:spacing w:val="-2"/>
          <w:sz w:val="38"/>
        </w:rPr>
        <w:t> </w:t>
      </w:r>
      <w:r>
        <w:rPr>
          <w:sz w:val="38"/>
        </w:rPr>
        <w:t>problems</w:t>
      </w:r>
    </w:p>
    <w:p>
      <w:pPr>
        <w:pStyle w:val="ListParagraph"/>
        <w:numPr>
          <w:ilvl w:val="1"/>
          <w:numId w:val="95"/>
        </w:numPr>
        <w:tabs>
          <w:tab w:pos="1756" w:val="left" w:leader="none"/>
          <w:tab w:pos="1757" w:val="left" w:leader="none"/>
        </w:tabs>
        <w:spacing w:line="240" w:lineRule="auto" w:before="185" w:after="0"/>
        <w:ind w:left="1756" w:right="0" w:hanging="360"/>
        <w:jc w:val="left"/>
        <w:rPr>
          <w:sz w:val="38"/>
        </w:rPr>
      </w:pPr>
      <w:r>
        <w:rPr>
          <w:sz w:val="38"/>
        </w:rPr>
        <w:t>Shaking</w:t>
      </w:r>
      <w:r>
        <w:rPr>
          <w:spacing w:val="-1"/>
          <w:sz w:val="38"/>
        </w:rPr>
        <w:t> </w:t>
      </w:r>
      <w:r>
        <w:rPr>
          <w:sz w:val="38"/>
        </w:rPr>
        <w:t>palsy</w:t>
      </w:r>
    </w:p>
    <w:p>
      <w:pPr>
        <w:pStyle w:val="ListParagraph"/>
        <w:numPr>
          <w:ilvl w:val="1"/>
          <w:numId w:val="95"/>
        </w:numPr>
        <w:tabs>
          <w:tab w:pos="1756" w:val="left" w:leader="none"/>
          <w:tab w:pos="1757" w:val="left" w:leader="none"/>
        </w:tabs>
        <w:spacing w:line="240" w:lineRule="auto" w:before="184" w:after="0"/>
        <w:ind w:left="1756" w:right="0" w:hanging="360"/>
        <w:jc w:val="left"/>
        <w:rPr>
          <w:sz w:val="38"/>
        </w:rPr>
      </w:pPr>
      <w:r>
        <w:rPr>
          <w:sz w:val="38"/>
        </w:rPr>
        <w:t>Heart muscle</w:t>
      </w:r>
      <w:r>
        <w:rPr>
          <w:spacing w:val="-1"/>
          <w:sz w:val="38"/>
        </w:rPr>
        <w:t> </w:t>
      </w:r>
      <w:r>
        <w:rPr>
          <w:sz w:val="38"/>
        </w:rPr>
        <w:t>weakness</w:t>
      </w:r>
    </w:p>
    <w:p>
      <w:pPr>
        <w:pStyle w:val="ListParagraph"/>
        <w:numPr>
          <w:ilvl w:val="1"/>
          <w:numId w:val="95"/>
        </w:numPr>
        <w:tabs>
          <w:tab w:pos="1756" w:val="left" w:leader="none"/>
          <w:tab w:pos="1757" w:val="left" w:leader="none"/>
        </w:tabs>
        <w:spacing w:line="240" w:lineRule="auto" w:before="185" w:after="0"/>
        <w:ind w:left="1756" w:right="0" w:hanging="360"/>
        <w:jc w:val="left"/>
        <w:rPr>
          <w:sz w:val="38"/>
        </w:rPr>
      </w:pPr>
      <w:r>
        <w:rPr>
          <w:sz w:val="38"/>
        </w:rPr>
        <w:t>Otitis</w:t>
      </w:r>
    </w:p>
    <w:p>
      <w:pPr>
        <w:pStyle w:val="ListParagraph"/>
        <w:numPr>
          <w:ilvl w:val="1"/>
          <w:numId w:val="95"/>
        </w:numPr>
        <w:tabs>
          <w:tab w:pos="1756" w:val="left" w:leader="none"/>
          <w:tab w:pos="1757" w:val="left" w:leader="none"/>
        </w:tabs>
        <w:spacing w:line="240" w:lineRule="auto" w:before="184" w:after="0"/>
        <w:ind w:left="1756" w:right="0" w:hanging="360"/>
        <w:jc w:val="left"/>
        <w:rPr>
          <w:sz w:val="38"/>
        </w:rPr>
      </w:pPr>
      <w:r>
        <w:rPr>
          <w:sz w:val="38"/>
        </w:rPr>
        <w:t>Respiratory inflammation</w:t>
      </w:r>
    </w:p>
    <w:p>
      <w:pPr>
        <w:pStyle w:val="ListParagraph"/>
        <w:numPr>
          <w:ilvl w:val="1"/>
          <w:numId w:val="95"/>
        </w:numPr>
        <w:tabs>
          <w:tab w:pos="1756" w:val="left" w:leader="none"/>
          <w:tab w:pos="1757" w:val="left" w:leader="none"/>
        </w:tabs>
        <w:spacing w:line="240" w:lineRule="auto" w:before="183" w:after="0"/>
        <w:ind w:left="1756" w:right="0" w:hanging="360"/>
        <w:jc w:val="left"/>
        <w:rPr>
          <w:sz w:val="38"/>
        </w:rPr>
      </w:pPr>
      <w:r>
        <w:rPr>
          <w:sz w:val="38"/>
        </w:rPr>
        <w:t>Warts</w:t>
      </w:r>
    </w:p>
    <w:p>
      <w:pPr>
        <w:pStyle w:val="ListParagraph"/>
        <w:numPr>
          <w:ilvl w:val="1"/>
          <w:numId w:val="95"/>
        </w:numPr>
        <w:tabs>
          <w:tab w:pos="1756" w:val="left" w:leader="none"/>
          <w:tab w:pos="1757" w:val="left" w:leader="none"/>
        </w:tabs>
        <w:spacing w:line="240" w:lineRule="auto" w:before="185" w:after="0"/>
        <w:ind w:left="1756" w:right="0" w:hanging="360"/>
        <w:jc w:val="left"/>
        <w:rPr>
          <w:sz w:val="38"/>
        </w:rPr>
      </w:pPr>
      <w:r>
        <w:rPr>
          <w:sz w:val="38"/>
        </w:rPr>
        <w:t>Skin damage</w:t>
      </w:r>
    </w:p>
    <w:p>
      <w:pPr>
        <w:pStyle w:val="ListParagraph"/>
        <w:numPr>
          <w:ilvl w:val="1"/>
          <w:numId w:val="95"/>
        </w:numPr>
        <w:tabs>
          <w:tab w:pos="1756" w:val="left" w:leader="none"/>
          <w:tab w:pos="1757" w:val="left" w:leader="none"/>
        </w:tabs>
        <w:spacing w:line="240" w:lineRule="auto" w:before="184" w:after="0"/>
        <w:ind w:left="1756" w:right="0" w:hanging="360"/>
        <w:jc w:val="left"/>
        <w:rPr>
          <w:sz w:val="38"/>
        </w:rPr>
      </w:pPr>
      <w:r>
        <w:rPr>
          <w:sz w:val="38"/>
        </w:rPr>
        <w:t>Weight</w:t>
      </w:r>
      <w:r>
        <w:rPr>
          <w:spacing w:val="-1"/>
          <w:sz w:val="38"/>
        </w:rPr>
        <w:t> </w:t>
      </w:r>
      <w:r>
        <w:rPr>
          <w:sz w:val="38"/>
        </w:rPr>
        <w:t>loss</w:t>
      </w:r>
    </w:p>
    <w:p>
      <w:pPr>
        <w:pStyle w:val="ListParagraph"/>
        <w:numPr>
          <w:ilvl w:val="1"/>
          <w:numId w:val="95"/>
        </w:numPr>
        <w:tabs>
          <w:tab w:pos="1756" w:val="left" w:leader="none"/>
          <w:tab w:pos="1757" w:val="left" w:leader="none"/>
        </w:tabs>
        <w:spacing w:line="240" w:lineRule="auto" w:before="185" w:after="0"/>
        <w:ind w:left="1756" w:right="0" w:hanging="360"/>
        <w:jc w:val="left"/>
        <w:rPr>
          <w:sz w:val="38"/>
        </w:rPr>
      </w:pPr>
      <w:r>
        <w:rPr>
          <w:sz w:val="38"/>
        </w:rPr>
        <w:t>Atopical</w:t>
      </w:r>
      <w:r>
        <w:rPr>
          <w:spacing w:val="-2"/>
          <w:sz w:val="38"/>
        </w:rPr>
        <w:t> </w:t>
      </w:r>
      <w:r>
        <w:rPr>
          <w:sz w:val="38"/>
        </w:rPr>
        <w:t>dermatitis</w:t>
      </w:r>
    </w:p>
    <w:p>
      <w:pPr>
        <w:pStyle w:val="ListParagraph"/>
        <w:numPr>
          <w:ilvl w:val="1"/>
          <w:numId w:val="95"/>
        </w:numPr>
        <w:tabs>
          <w:tab w:pos="1756" w:val="left" w:leader="none"/>
          <w:tab w:pos="1757" w:val="left" w:leader="none"/>
        </w:tabs>
        <w:spacing w:line="240" w:lineRule="auto" w:before="184" w:after="0"/>
        <w:ind w:left="1756" w:right="0" w:hanging="360"/>
        <w:jc w:val="left"/>
        <w:rPr>
          <w:sz w:val="38"/>
        </w:rPr>
      </w:pPr>
      <w:r>
        <w:rPr>
          <w:sz w:val="38"/>
        </w:rPr>
        <w:t>Macular</w:t>
      </w:r>
      <w:r>
        <w:rPr>
          <w:spacing w:val="-1"/>
          <w:sz w:val="38"/>
        </w:rPr>
        <w:t> </w:t>
      </w:r>
      <w:r>
        <w:rPr>
          <w:sz w:val="38"/>
        </w:rPr>
        <w:t>degeneration</w:t>
      </w:r>
    </w:p>
    <w:p>
      <w:pPr>
        <w:pStyle w:val="ListParagraph"/>
        <w:numPr>
          <w:ilvl w:val="1"/>
          <w:numId w:val="95"/>
        </w:numPr>
        <w:tabs>
          <w:tab w:pos="1756" w:val="left" w:leader="none"/>
          <w:tab w:pos="1757" w:val="left" w:leader="none"/>
        </w:tabs>
        <w:spacing w:line="240" w:lineRule="auto" w:before="185" w:after="0"/>
        <w:ind w:left="1756" w:right="0" w:hanging="360"/>
        <w:jc w:val="left"/>
        <w:rPr>
          <w:sz w:val="38"/>
        </w:rPr>
      </w:pPr>
      <w:r>
        <w:rPr>
          <w:sz w:val="38"/>
        </w:rPr>
        <w:t>Swelling</w:t>
      </w:r>
    </w:p>
    <w:p>
      <w:pPr>
        <w:pStyle w:val="ListParagraph"/>
        <w:numPr>
          <w:ilvl w:val="1"/>
          <w:numId w:val="95"/>
        </w:numPr>
        <w:tabs>
          <w:tab w:pos="1756" w:val="left" w:leader="none"/>
          <w:tab w:pos="1757" w:val="left" w:leader="none"/>
        </w:tabs>
        <w:spacing w:line="240" w:lineRule="auto" w:before="184" w:after="0"/>
        <w:ind w:left="1756" w:right="0" w:hanging="360"/>
        <w:jc w:val="left"/>
        <w:rPr>
          <w:sz w:val="38"/>
        </w:rPr>
      </w:pPr>
      <w:r>
        <w:rPr>
          <w:sz w:val="38"/>
        </w:rPr>
        <w:t>Parkinson’s</w:t>
      </w:r>
    </w:p>
    <w:p>
      <w:pPr>
        <w:pStyle w:val="ListParagraph"/>
        <w:numPr>
          <w:ilvl w:val="1"/>
          <w:numId w:val="95"/>
        </w:numPr>
        <w:tabs>
          <w:tab w:pos="1756" w:val="left" w:leader="none"/>
          <w:tab w:pos="1757" w:val="left" w:leader="none"/>
        </w:tabs>
        <w:spacing w:line="240" w:lineRule="auto" w:before="183" w:after="0"/>
        <w:ind w:left="1756" w:right="0" w:hanging="360"/>
        <w:jc w:val="left"/>
        <w:rPr>
          <w:sz w:val="38"/>
        </w:rPr>
      </w:pPr>
      <w:r>
        <w:rPr>
          <w:sz w:val="38"/>
        </w:rPr>
        <w:t>Dementia</w:t>
      </w:r>
    </w:p>
    <w:p>
      <w:pPr>
        <w:pStyle w:val="ListParagraph"/>
        <w:numPr>
          <w:ilvl w:val="1"/>
          <w:numId w:val="95"/>
        </w:numPr>
        <w:tabs>
          <w:tab w:pos="1756" w:val="left" w:leader="none"/>
          <w:tab w:pos="1757" w:val="left" w:leader="none"/>
        </w:tabs>
        <w:spacing w:line="240" w:lineRule="auto" w:before="184" w:after="0"/>
        <w:ind w:left="1756" w:right="0" w:hanging="360"/>
        <w:jc w:val="left"/>
        <w:rPr>
          <w:sz w:val="38"/>
        </w:rPr>
      </w:pPr>
      <w:r>
        <w:rPr>
          <w:sz w:val="38"/>
        </w:rPr>
        <w:t>Hepatitis</w:t>
      </w:r>
    </w:p>
    <w:p>
      <w:pPr>
        <w:pStyle w:val="ListParagraph"/>
        <w:numPr>
          <w:ilvl w:val="1"/>
          <w:numId w:val="95"/>
        </w:numPr>
        <w:tabs>
          <w:tab w:pos="1756" w:val="left" w:leader="none"/>
          <w:tab w:pos="1757" w:val="left" w:leader="none"/>
        </w:tabs>
        <w:spacing w:line="240" w:lineRule="auto" w:before="185" w:after="0"/>
        <w:ind w:left="1756" w:right="0" w:hanging="360"/>
        <w:jc w:val="left"/>
        <w:rPr>
          <w:sz w:val="38"/>
        </w:rPr>
      </w:pPr>
      <w:r>
        <w:rPr>
          <w:sz w:val="38"/>
        </w:rPr>
        <w:t>Bile duct</w:t>
      </w:r>
      <w:r>
        <w:rPr>
          <w:spacing w:val="-1"/>
          <w:sz w:val="38"/>
        </w:rPr>
        <w:t> </w:t>
      </w:r>
      <w:r>
        <w:rPr>
          <w:sz w:val="38"/>
        </w:rPr>
        <w:t>disorders</w:t>
      </w:r>
    </w:p>
    <w:p>
      <w:pPr>
        <w:pStyle w:val="ListParagraph"/>
        <w:numPr>
          <w:ilvl w:val="1"/>
          <w:numId w:val="95"/>
        </w:numPr>
        <w:tabs>
          <w:tab w:pos="1756" w:val="left" w:leader="none"/>
          <w:tab w:pos="1757" w:val="left" w:leader="none"/>
        </w:tabs>
        <w:spacing w:line="240" w:lineRule="auto" w:before="184" w:after="0"/>
        <w:ind w:left="1756" w:right="0" w:hanging="360"/>
        <w:jc w:val="left"/>
        <w:rPr>
          <w:sz w:val="38"/>
        </w:rPr>
      </w:pPr>
      <w:r>
        <w:rPr>
          <w:sz w:val="38"/>
        </w:rPr>
        <w:t>Itching</w:t>
      </w:r>
    </w:p>
    <w:p>
      <w:pPr>
        <w:pStyle w:val="ListParagraph"/>
        <w:numPr>
          <w:ilvl w:val="1"/>
          <w:numId w:val="95"/>
        </w:numPr>
        <w:tabs>
          <w:tab w:pos="1756" w:val="left" w:leader="none"/>
          <w:tab w:pos="1757" w:val="left" w:leader="none"/>
        </w:tabs>
        <w:spacing w:line="240" w:lineRule="auto" w:before="185" w:after="0"/>
        <w:ind w:left="1756" w:right="0" w:hanging="360"/>
        <w:jc w:val="left"/>
        <w:rPr>
          <w:sz w:val="38"/>
        </w:rPr>
      </w:pPr>
      <w:r>
        <w:rPr>
          <w:sz w:val="38"/>
        </w:rPr>
        <w:t>Thorax</w:t>
      </w:r>
      <w:r>
        <w:rPr>
          <w:spacing w:val="-2"/>
          <w:sz w:val="38"/>
        </w:rPr>
        <w:t> </w:t>
      </w:r>
      <w:r>
        <w:rPr>
          <w:sz w:val="38"/>
        </w:rPr>
        <w:t>pain</w:t>
      </w:r>
    </w:p>
    <w:p>
      <w:pPr>
        <w:pStyle w:val="ListParagraph"/>
        <w:numPr>
          <w:ilvl w:val="1"/>
          <w:numId w:val="95"/>
        </w:numPr>
        <w:tabs>
          <w:tab w:pos="1756" w:val="left" w:leader="none"/>
          <w:tab w:pos="1757" w:val="left" w:leader="none"/>
        </w:tabs>
        <w:spacing w:line="240" w:lineRule="auto" w:before="305" w:after="0"/>
        <w:ind w:left="1756" w:right="0" w:hanging="360"/>
        <w:jc w:val="left"/>
        <w:rPr>
          <w:sz w:val="38"/>
        </w:rPr>
      </w:pPr>
      <w:r>
        <w:rPr>
          <w:sz w:val="38"/>
        </w:rPr>
        <w:t>Virus-dependent liver inflammation</w:t>
      </w:r>
    </w:p>
    <w:p>
      <w:pPr>
        <w:spacing w:after="0" w:line="240" w:lineRule="auto"/>
        <w:jc w:val="left"/>
        <w:rPr>
          <w:sz w:val="38"/>
        </w:rPr>
        <w:sectPr>
          <w:pgSz w:w="14270" w:h="16850"/>
          <w:pgMar w:header="0" w:footer="1891" w:top="1340" w:bottom="2080" w:left="800" w:right="1280"/>
        </w:sectPr>
      </w:pPr>
    </w:p>
    <w:p>
      <w:pPr>
        <w:pStyle w:val="Heading2"/>
        <w:spacing w:before="74"/>
        <w:ind w:left="616"/>
      </w:pPr>
      <w:r>
        <w:rPr/>
        <w:t>Effect of royal jelly on allergies</w:t>
      </w:r>
    </w:p>
    <w:p>
      <w:pPr>
        <w:pStyle w:val="BodyText"/>
        <w:spacing w:line="276" w:lineRule="auto" w:before="305"/>
        <w:ind w:left="616"/>
      </w:pPr>
      <w:r>
        <w:rPr/>
        <w:t>In studies, the protein found in royal jelly with the name MRJP3 (Major Royal Jelly Protein 3) was able to suppress allergic reactions.</w:t>
      </w:r>
    </w:p>
    <w:p>
      <w:pPr>
        <w:pStyle w:val="Heading2"/>
        <w:spacing w:before="238"/>
        <w:ind w:left="616"/>
      </w:pPr>
      <w:r>
        <w:rPr/>
        <w:t>Effects of royal jelly on cancer</w:t>
      </w:r>
    </w:p>
    <w:p>
      <w:pPr>
        <w:pStyle w:val="BodyText"/>
        <w:spacing w:line="276" w:lineRule="auto" w:before="305"/>
        <w:ind w:left="616" w:right="132"/>
        <w:jc w:val="both"/>
      </w:pPr>
      <w:r>
        <w:rPr/>
        <w:t>In studies, the fatty acid 10-hydroxy-2-decanoic acid, which by the way only occurs worldwide in royal jelly, demonstrated a significant anti-cancer effect! Prof.</w:t>
      </w:r>
      <w:r>
        <w:rPr>
          <w:spacing w:val="-17"/>
        </w:rPr>
        <w:t> </w:t>
      </w:r>
      <w:r>
        <w:rPr/>
        <w:t>Osmanagic</w:t>
      </w:r>
      <w:r>
        <w:rPr>
          <w:spacing w:val="-16"/>
        </w:rPr>
        <w:t> </w:t>
      </w:r>
      <w:r>
        <w:rPr/>
        <w:t>was</w:t>
      </w:r>
      <w:r>
        <w:rPr>
          <w:spacing w:val="-16"/>
        </w:rPr>
        <w:t> </w:t>
      </w:r>
      <w:r>
        <w:rPr/>
        <w:t>able</w:t>
      </w:r>
      <w:r>
        <w:rPr>
          <w:spacing w:val="-18"/>
        </w:rPr>
        <w:t> </w:t>
      </w:r>
      <w:r>
        <w:rPr/>
        <w:t>to</w:t>
      </w:r>
      <w:r>
        <w:rPr>
          <w:spacing w:val="-16"/>
        </w:rPr>
        <w:t> </w:t>
      </w:r>
      <w:r>
        <w:rPr/>
        <w:t>improve</w:t>
      </w:r>
      <w:r>
        <w:rPr>
          <w:spacing w:val="-16"/>
        </w:rPr>
        <w:t> </w:t>
      </w:r>
      <w:r>
        <w:rPr/>
        <w:t>the</w:t>
      </w:r>
      <w:r>
        <w:rPr>
          <w:spacing w:val="-16"/>
        </w:rPr>
        <w:t> </w:t>
      </w:r>
      <w:r>
        <w:rPr/>
        <w:t>general</w:t>
      </w:r>
      <w:r>
        <w:rPr>
          <w:spacing w:val="-17"/>
        </w:rPr>
        <w:t> </w:t>
      </w:r>
      <w:r>
        <w:rPr/>
        <w:t>condition</w:t>
      </w:r>
      <w:r>
        <w:rPr>
          <w:spacing w:val="-16"/>
        </w:rPr>
        <w:t> </w:t>
      </w:r>
      <w:r>
        <w:rPr/>
        <w:t>of</w:t>
      </w:r>
      <w:r>
        <w:rPr>
          <w:spacing w:val="-16"/>
        </w:rPr>
        <w:t> </w:t>
      </w:r>
      <w:r>
        <w:rPr/>
        <w:t>cancer</w:t>
      </w:r>
      <w:r>
        <w:rPr>
          <w:spacing w:val="-17"/>
        </w:rPr>
        <w:t> </w:t>
      </w:r>
      <w:r>
        <w:rPr/>
        <w:t>sufferers in his daily therapeutic practice with the help of royal jelly capsules. Surgical and</w:t>
      </w:r>
      <w:r>
        <w:rPr>
          <w:spacing w:val="-8"/>
        </w:rPr>
        <w:t> </w:t>
      </w:r>
      <w:r>
        <w:rPr/>
        <w:t>radiology</w:t>
      </w:r>
      <w:r>
        <w:rPr>
          <w:spacing w:val="-7"/>
        </w:rPr>
        <w:t> </w:t>
      </w:r>
      <w:r>
        <w:rPr/>
        <w:t>patients,</w:t>
      </w:r>
      <w:r>
        <w:rPr>
          <w:spacing w:val="-7"/>
        </w:rPr>
        <w:t> </w:t>
      </w:r>
      <w:r>
        <w:rPr/>
        <w:t>who</w:t>
      </w:r>
      <w:r>
        <w:rPr>
          <w:spacing w:val="-7"/>
        </w:rPr>
        <w:t> </w:t>
      </w:r>
      <w:r>
        <w:rPr/>
        <w:t>due</w:t>
      </w:r>
      <w:r>
        <w:rPr>
          <w:spacing w:val="-9"/>
        </w:rPr>
        <w:t> </w:t>
      </w:r>
      <w:r>
        <w:rPr/>
        <w:t>to</w:t>
      </w:r>
      <w:r>
        <w:rPr>
          <w:spacing w:val="-7"/>
        </w:rPr>
        <w:t> </w:t>
      </w:r>
      <w:r>
        <w:rPr/>
        <w:t>nausea</w:t>
      </w:r>
      <w:r>
        <w:rPr>
          <w:spacing w:val="-8"/>
        </w:rPr>
        <w:t> </w:t>
      </w:r>
      <w:r>
        <w:rPr/>
        <w:t>and</w:t>
      </w:r>
      <w:r>
        <w:rPr>
          <w:spacing w:val="-8"/>
        </w:rPr>
        <w:t> </w:t>
      </w:r>
      <w:r>
        <w:rPr/>
        <w:t>other</w:t>
      </w:r>
      <w:r>
        <w:rPr>
          <w:spacing w:val="-7"/>
        </w:rPr>
        <w:t> </w:t>
      </w:r>
      <w:r>
        <w:rPr/>
        <w:t>symptoms</w:t>
      </w:r>
      <w:r>
        <w:rPr>
          <w:spacing w:val="-9"/>
        </w:rPr>
        <w:t> </w:t>
      </w:r>
      <w:r>
        <w:rPr/>
        <w:t>were</w:t>
      </w:r>
      <w:r>
        <w:rPr>
          <w:spacing w:val="-7"/>
        </w:rPr>
        <w:t> </w:t>
      </w:r>
      <w:r>
        <w:rPr/>
        <w:t>confined to bed, experienced substantial improvement only 10 days after the consump- tion of flower pollen royal jelly tablets (2 tablets half an hour before meals). The</w:t>
      </w:r>
      <w:r>
        <w:rPr>
          <w:spacing w:val="-23"/>
        </w:rPr>
        <w:t> </w:t>
      </w:r>
      <w:r>
        <w:rPr/>
        <w:t>liver</w:t>
      </w:r>
      <w:r>
        <w:rPr>
          <w:spacing w:val="-24"/>
        </w:rPr>
        <w:t> </w:t>
      </w:r>
      <w:r>
        <w:rPr/>
        <w:t>function</w:t>
      </w:r>
      <w:r>
        <w:rPr>
          <w:spacing w:val="-23"/>
        </w:rPr>
        <w:t> </w:t>
      </w:r>
      <w:r>
        <w:rPr/>
        <w:t>test</w:t>
      </w:r>
      <w:r>
        <w:rPr>
          <w:spacing w:val="-26"/>
        </w:rPr>
        <w:t> </w:t>
      </w:r>
      <w:r>
        <w:rPr/>
        <w:t>(LFT)</w:t>
      </w:r>
      <w:r>
        <w:rPr>
          <w:spacing w:val="-24"/>
        </w:rPr>
        <w:t> </w:t>
      </w:r>
      <w:r>
        <w:rPr/>
        <w:t>results</w:t>
      </w:r>
      <w:r>
        <w:rPr>
          <w:spacing w:val="-23"/>
        </w:rPr>
        <w:t> </w:t>
      </w:r>
      <w:r>
        <w:rPr/>
        <w:t>improved</w:t>
      </w:r>
      <w:r>
        <w:rPr>
          <w:spacing w:val="-23"/>
        </w:rPr>
        <w:t> </w:t>
      </w:r>
      <w:r>
        <w:rPr/>
        <w:t>and</w:t>
      </w:r>
      <w:r>
        <w:rPr>
          <w:spacing w:val="-26"/>
        </w:rPr>
        <w:t> </w:t>
      </w:r>
      <w:r>
        <w:rPr/>
        <w:t>even</w:t>
      </w:r>
      <w:r>
        <w:rPr>
          <w:spacing w:val="-25"/>
        </w:rPr>
        <w:t> </w:t>
      </w:r>
      <w:r>
        <w:rPr/>
        <w:t>remained</w:t>
      </w:r>
      <w:r>
        <w:rPr>
          <w:spacing w:val="-23"/>
        </w:rPr>
        <w:t> </w:t>
      </w:r>
      <w:r>
        <w:rPr/>
        <w:t>stable</w:t>
      </w:r>
      <w:r>
        <w:rPr>
          <w:spacing w:val="-23"/>
        </w:rPr>
        <w:t> </w:t>
      </w:r>
      <w:r>
        <w:rPr/>
        <w:t>during continued radiation, with the result that the patients were very soon able to start working</w:t>
      </w:r>
      <w:r>
        <w:rPr>
          <w:spacing w:val="1"/>
        </w:rPr>
        <w:t> </w:t>
      </w:r>
      <w:r>
        <w:rPr/>
        <w:t>again.</w:t>
      </w:r>
    </w:p>
    <w:p>
      <w:pPr>
        <w:pStyle w:val="Heading2"/>
        <w:spacing w:before="242"/>
        <w:ind w:left="616"/>
      </w:pPr>
      <w:r>
        <w:rPr/>
        <w:t>Effect of royal jelly on menopausal complaints</w:t>
      </w:r>
    </w:p>
    <w:p>
      <w:pPr>
        <w:pStyle w:val="BodyText"/>
        <w:spacing w:line="276" w:lineRule="auto" w:before="302"/>
        <w:ind w:left="616" w:right="135"/>
        <w:jc w:val="both"/>
      </w:pPr>
      <w:r>
        <w:rPr/>
        <w:t>Racing heart, hot flashes, dizziness, sweating, depressive mood, insomnia, nervousness, concentration problems, and headaches are only some of the symptoms</w:t>
      </w:r>
      <w:r>
        <w:rPr>
          <w:spacing w:val="-14"/>
        </w:rPr>
        <w:t> </w:t>
      </w:r>
      <w:r>
        <w:rPr/>
        <w:t>that</w:t>
      </w:r>
      <w:r>
        <w:rPr>
          <w:spacing w:val="-16"/>
        </w:rPr>
        <w:t> </w:t>
      </w:r>
      <w:r>
        <w:rPr/>
        <w:t>make</w:t>
      </w:r>
      <w:r>
        <w:rPr>
          <w:spacing w:val="-14"/>
        </w:rPr>
        <w:t> </w:t>
      </w:r>
      <w:r>
        <w:rPr/>
        <w:t>life</w:t>
      </w:r>
      <w:r>
        <w:rPr>
          <w:spacing w:val="-14"/>
        </w:rPr>
        <w:t> </w:t>
      </w:r>
      <w:r>
        <w:rPr/>
        <w:t>difficult</w:t>
      </w:r>
      <w:r>
        <w:rPr>
          <w:spacing w:val="-14"/>
        </w:rPr>
        <w:t> </w:t>
      </w:r>
      <w:r>
        <w:rPr/>
        <w:t>for</w:t>
      </w:r>
      <w:r>
        <w:rPr>
          <w:spacing w:val="-12"/>
        </w:rPr>
        <w:t> </w:t>
      </w:r>
      <w:r>
        <w:rPr/>
        <w:t>women</w:t>
      </w:r>
      <w:r>
        <w:rPr>
          <w:spacing w:val="-13"/>
        </w:rPr>
        <w:t> </w:t>
      </w:r>
      <w:r>
        <w:rPr/>
        <w:t>in</w:t>
      </w:r>
      <w:r>
        <w:rPr>
          <w:spacing w:val="-18"/>
        </w:rPr>
        <w:t> </w:t>
      </w:r>
      <w:r>
        <w:rPr/>
        <w:t>menopause</w:t>
      </w:r>
      <w:r>
        <w:rPr>
          <w:spacing w:val="-12"/>
        </w:rPr>
        <w:t> </w:t>
      </w:r>
      <w:r>
        <w:rPr/>
        <w:t>(generally</w:t>
      </w:r>
      <w:r>
        <w:rPr>
          <w:spacing w:val="-15"/>
        </w:rPr>
        <w:t> </w:t>
      </w:r>
      <w:r>
        <w:rPr/>
        <w:t>between the ages of 42 and 65). This is explained by ageing processes that lead to de- generation in the ovaries and thus hormonal changes.</w:t>
      </w:r>
    </w:p>
    <w:p>
      <w:pPr>
        <w:pStyle w:val="BodyText"/>
        <w:spacing w:before="242"/>
        <w:ind w:left="616"/>
        <w:jc w:val="both"/>
      </w:pPr>
      <w:r>
        <w:rPr/>
        <w:t>What can royal jelly do for a woman in menopause?</w:t>
      </w:r>
    </w:p>
    <w:p>
      <w:pPr>
        <w:spacing w:after="0"/>
        <w:jc w:val="both"/>
        <w:sectPr>
          <w:pgSz w:w="14270" w:h="16850"/>
          <w:pgMar w:header="0" w:footer="1891" w:top="1340" w:bottom="2080" w:left="800" w:right="1280"/>
        </w:sectPr>
      </w:pPr>
    </w:p>
    <w:p>
      <w:pPr>
        <w:pStyle w:val="BodyText"/>
        <w:spacing w:line="276" w:lineRule="auto" w:before="74"/>
        <w:ind w:left="616" w:right="133"/>
        <w:jc w:val="both"/>
      </w:pPr>
      <w:r>
        <w:rPr/>
        <w:t>In therapeutic practice, it has been observed that the hormonal changes after menopause normalise on their own within the woman—or to quote Dr. Os- managic: ‘Women not only fully or partially lost their menopausal complaints; they</w:t>
      </w:r>
      <w:r>
        <w:rPr>
          <w:spacing w:val="-11"/>
        </w:rPr>
        <w:t> </w:t>
      </w:r>
      <w:r>
        <w:rPr/>
        <w:t>felt,</w:t>
      </w:r>
      <w:r>
        <w:rPr>
          <w:spacing w:val="-11"/>
        </w:rPr>
        <w:t> </w:t>
      </w:r>
      <w:r>
        <w:rPr/>
        <w:t>thanks</w:t>
      </w:r>
      <w:r>
        <w:rPr>
          <w:spacing w:val="-13"/>
        </w:rPr>
        <w:t> </w:t>
      </w:r>
      <w:r>
        <w:rPr/>
        <w:t>to</w:t>
      </w:r>
      <w:r>
        <w:rPr>
          <w:spacing w:val="-11"/>
        </w:rPr>
        <w:t> </w:t>
      </w:r>
      <w:r>
        <w:rPr/>
        <w:t>the</w:t>
      </w:r>
      <w:r>
        <w:rPr>
          <w:spacing w:val="-11"/>
        </w:rPr>
        <w:t> </w:t>
      </w:r>
      <w:r>
        <w:rPr/>
        <w:t>effect</w:t>
      </w:r>
      <w:r>
        <w:rPr>
          <w:spacing w:val="-10"/>
        </w:rPr>
        <w:t> </w:t>
      </w:r>
      <w:r>
        <w:rPr/>
        <w:t>of</w:t>
      </w:r>
      <w:r>
        <w:rPr>
          <w:spacing w:val="-11"/>
        </w:rPr>
        <w:t> </w:t>
      </w:r>
      <w:r>
        <w:rPr/>
        <w:t>the</w:t>
      </w:r>
      <w:r>
        <w:rPr>
          <w:spacing w:val="-11"/>
        </w:rPr>
        <w:t> </w:t>
      </w:r>
      <w:r>
        <w:rPr/>
        <w:t>preparation</w:t>
      </w:r>
      <w:r>
        <w:rPr>
          <w:spacing w:val="-10"/>
        </w:rPr>
        <w:t> </w:t>
      </w:r>
      <w:r>
        <w:rPr/>
        <w:t>from</w:t>
      </w:r>
      <w:r>
        <w:rPr>
          <w:spacing w:val="-12"/>
        </w:rPr>
        <w:t> </w:t>
      </w:r>
      <w:r>
        <w:rPr/>
        <w:t>royal</w:t>
      </w:r>
      <w:r>
        <w:rPr>
          <w:spacing w:val="-12"/>
        </w:rPr>
        <w:t> </w:t>
      </w:r>
      <w:r>
        <w:rPr/>
        <w:t>jelly</w:t>
      </w:r>
      <w:r>
        <w:rPr>
          <w:spacing w:val="-12"/>
        </w:rPr>
        <w:t> </w:t>
      </w:r>
      <w:r>
        <w:rPr/>
        <w:t>and</w:t>
      </w:r>
      <w:r>
        <w:rPr>
          <w:spacing w:val="-11"/>
        </w:rPr>
        <w:t> </w:t>
      </w:r>
      <w:r>
        <w:rPr/>
        <w:t>fermented pollen, an improvement in general condition—they became psychologically more at ease, fresher, more dynamic and</w:t>
      </w:r>
      <w:r>
        <w:rPr>
          <w:spacing w:val="-1"/>
        </w:rPr>
        <w:t> </w:t>
      </w:r>
      <w:r>
        <w:rPr/>
        <w:t>active...!’</w:t>
      </w:r>
    </w:p>
    <w:p>
      <w:pPr>
        <w:pStyle w:val="Heading2"/>
        <w:spacing w:before="240"/>
        <w:ind w:left="616"/>
      </w:pPr>
      <w:r>
        <w:rPr/>
        <w:t>Effect of royal jelly on arthritis</w:t>
      </w:r>
    </w:p>
    <w:p>
      <w:pPr>
        <w:pStyle w:val="BodyText"/>
        <w:spacing w:line="276" w:lineRule="auto" w:before="305"/>
        <w:ind w:left="616" w:right="133"/>
        <w:jc w:val="both"/>
      </w:pPr>
      <w:r>
        <w:rPr/>
        <w:t>The already-mentioned protein ‘MRJP3’ has an inflammation-inhibiting</w:t>
      </w:r>
      <w:r>
        <w:rPr>
          <w:spacing w:val="-41"/>
        </w:rPr>
        <w:t> </w:t>
      </w:r>
      <w:r>
        <w:rPr/>
        <w:t>effect with a pronounced effect on autoimmune diseases, e.g. rheumatoid</w:t>
      </w:r>
      <w:r>
        <w:rPr>
          <w:spacing w:val="-16"/>
        </w:rPr>
        <w:t> </w:t>
      </w:r>
      <w:r>
        <w:rPr/>
        <w:t>arthritis.</w:t>
      </w:r>
    </w:p>
    <w:p>
      <w:pPr>
        <w:pStyle w:val="Heading2"/>
        <w:spacing w:before="239"/>
        <w:ind w:left="616"/>
      </w:pPr>
      <w:r>
        <w:rPr/>
        <w:t>Effect of royal jelly on impotence and sterility</w:t>
      </w:r>
    </w:p>
    <w:p>
      <w:pPr>
        <w:pStyle w:val="BodyText"/>
        <w:spacing w:line="276" w:lineRule="auto" w:before="304"/>
        <w:ind w:left="616" w:right="132"/>
        <w:jc w:val="both"/>
      </w:pPr>
      <w:r>
        <w:rPr/>
        <w:t>In the case of impotence, one must distinguish between the ‘reliability’ of the sexual</w:t>
      </w:r>
      <w:r>
        <w:rPr>
          <w:spacing w:val="-15"/>
        </w:rPr>
        <w:t> </w:t>
      </w:r>
      <w:r>
        <w:rPr/>
        <w:t>organ</w:t>
      </w:r>
      <w:r>
        <w:rPr>
          <w:spacing w:val="-13"/>
        </w:rPr>
        <w:t> </w:t>
      </w:r>
      <w:r>
        <w:rPr/>
        <w:t>(impotentia</w:t>
      </w:r>
      <w:r>
        <w:rPr>
          <w:spacing w:val="-14"/>
        </w:rPr>
        <w:t> </w:t>
      </w:r>
      <w:r>
        <w:rPr/>
        <w:t>coeundi)</w:t>
      </w:r>
      <w:r>
        <w:rPr>
          <w:spacing w:val="-13"/>
        </w:rPr>
        <w:t> </w:t>
      </w:r>
      <w:r>
        <w:rPr/>
        <w:t>and</w:t>
      </w:r>
      <w:r>
        <w:rPr>
          <w:spacing w:val="-14"/>
        </w:rPr>
        <w:t> </w:t>
      </w:r>
      <w:r>
        <w:rPr/>
        <w:t>the</w:t>
      </w:r>
      <w:r>
        <w:rPr>
          <w:spacing w:val="-13"/>
        </w:rPr>
        <w:t> </w:t>
      </w:r>
      <w:r>
        <w:rPr/>
        <w:t>fertility</w:t>
      </w:r>
      <w:r>
        <w:rPr>
          <w:spacing w:val="-15"/>
        </w:rPr>
        <w:t> </w:t>
      </w:r>
      <w:r>
        <w:rPr/>
        <w:t>of</w:t>
      </w:r>
      <w:r>
        <w:rPr>
          <w:spacing w:val="-13"/>
        </w:rPr>
        <w:t> </w:t>
      </w:r>
      <w:r>
        <w:rPr/>
        <w:t>the</w:t>
      </w:r>
      <w:r>
        <w:rPr>
          <w:spacing w:val="-16"/>
        </w:rPr>
        <w:t> </w:t>
      </w:r>
      <w:r>
        <w:rPr/>
        <w:t>man</w:t>
      </w:r>
      <w:r>
        <w:rPr>
          <w:spacing w:val="-14"/>
        </w:rPr>
        <w:t> </w:t>
      </w:r>
      <w:r>
        <w:rPr/>
        <w:t>(impotentia</w:t>
      </w:r>
      <w:r>
        <w:rPr>
          <w:spacing w:val="-14"/>
        </w:rPr>
        <w:t> </w:t>
      </w:r>
      <w:r>
        <w:rPr/>
        <w:t>gen- erandi).</w:t>
      </w:r>
    </w:p>
    <w:p>
      <w:pPr>
        <w:spacing w:after="0" w:line="276" w:lineRule="auto"/>
        <w:jc w:val="both"/>
        <w:sectPr>
          <w:pgSz w:w="14270" w:h="16850"/>
          <w:pgMar w:header="0" w:footer="1891" w:top="1340" w:bottom="2080" w:left="800" w:right="1280"/>
        </w:sectPr>
      </w:pPr>
    </w:p>
    <w:p>
      <w:pPr>
        <w:pStyle w:val="Heading2"/>
        <w:spacing w:before="74"/>
        <w:ind w:left="616"/>
      </w:pPr>
      <w:r>
        <w:rPr/>
        <w:t>Effect of royal jelly on the sterility of the man</w:t>
      </w:r>
    </w:p>
    <w:p>
      <w:pPr>
        <w:pStyle w:val="BodyText"/>
        <w:spacing w:line="276" w:lineRule="auto" w:before="305"/>
        <w:ind w:left="616" w:right="135"/>
        <w:jc w:val="both"/>
      </w:pPr>
      <w:r>
        <w:rPr/>
        <w:t>Royal jelly can have an incredible effect specifically on the latter form of im- potence, i.e. male sterility. In a number of studies, sperm count was even able to double with the consumption of royal jelly.</w:t>
      </w:r>
    </w:p>
    <w:p>
      <w:pPr>
        <w:pStyle w:val="BodyText"/>
        <w:spacing w:before="238"/>
        <w:ind w:left="616"/>
      </w:pPr>
      <w:r>
        <w:rPr/>
        <w:t>How does royal jelly counteract sterility?</w:t>
      </w:r>
    </w:p>
    <w:p>
      <w:pPr>
        <w:pStyle w:val="BodyText"/>
        <w:spacing w:line="276" w:lineRule="auto" w:before="305"/>
        <w:ind w:left="616" w:right="136"/>
        <w:jc w:val="both"/>
      </w:pPr>
      <w:r>
        <w:rPr/>
        <w:t>Amino acids are an essential foundation of sperm formation. Royal jelly con- tains</w:t>
      </w:r>
      <w:r>
        <w:rPr>
          <w:spacing w:val="-11"/>
        </w:rPr>
        <w:t> </w:t>
      </w:r>
      <w:r>
        <w:rPr/>
        <w:t>a</w:t>
      </w:r>
      <w:r>
        <w:rPr>
          <w:spacing w:val="-11"/>
        </w:rPr>
        <w:t> </w:t>
      </w:r>
      <w:r>
        <w:rPr/>
        <w:t>large</w:t>
      </w:r>
      <w:r>
        <w:rPr>
          <w:spacing w:val="-10"/>
        </w:rPr>
        <w:t> </w:t>
      </w:r>
      <w:r>
        <w:rPr/>
        <w:t>number</w:t>
      </w:r>
      <w:r>
        <w:rPr>
          <w:spacing w:val="-10"/>
        </w:rPr>
        <w:t> </w:t>
      </w:r>
      <w:r>
        <w:rPr/>
        <w:t>of</w:t>
      </w:r>
      <w:r>
        <w:rPr>
          <w:spacing w:val="-12"/>
        </w:rPr>
        <w:t> </w:t>
      </w:r>
      <w:r>
        <w:rPr/>
        <w:t>amino</w:t>
      </w:r>
      <w:r>
        <w:rPr>
          <w:spacing w:val="-10"/>
        </w:rPr>
        <w:t> </w:t>
      </w:r>
      <w:r>
        <w:rPr/>
        <w:t>acids,</w:t>
      </w:r>
      <w:r>
        <w:rPr>
          <w:spacing w:val="-11"/>
        </w:rPr>
        <w:t> </w:t>
      </w:r>
      <w:r>
        <w:rPr/>
        <w:t>specifically</w:t>
      </w:r>
      <w:r>
        <w:rPr>
          <w:spacing w:val="-10"/>
        </w:rPr>
        <w:t> </w:t>
      </w:r>
      <w:r>
        <w:rPr/>
        <w:t>glycine,</w:t>
      </w:r>
      <w:r>
        <w:rPr>
          <w:spacing w:val="-10"/>
        </w:rPr>
        <w:t> </w:t>
      </w:r>
      <w:r>
        <w:rPr/>
        <w:t>histidine</w:t>
      </w:r>
      <w:r>
        <w:rPr>
          <w:spacing w:val="-10"/>
        </w:rPr>
        <w:t> </w:t>
      </w:r>
      <w:r>
        <w:rPr/>
        <w:t>and</w:t>
      </w:r>
      <w:r>
        <w:rPr>
          <w:spacing w:val="-10"/>
        </w:rPr>
        <w:t> </w:t>
      </w:r>
      <w:r>
        <w:rPr/>
        <w:t>arginine. In connection with fructose, which is also heavily present in royal jelly, these building</w:t>
      </w:r>
      <w:r>
        <w:rPr>
          <w:spacing w:val="-11"/>
        </w:rPr>
        <w:t> </w:t>
      </w:r>
      <w:r>
        <w:rPr/>
        <w:t>blocks</w:t>
      </w:r>
      <w:r>
        <w:rPr>
          <w:spacing w:val="-7"/>
        </w:rPr>
        <w:t> </w:t>
      </w:r>
      <w:r>
        <w:rPr/>
        <w:t>of</w:t>
      </w:r>
      <w:r>
        <w:rPr>
          <w:spacing w:val="-10"/>
        </w:rPr>
        <w:t> </w:t>
      </w:r>
      <w:r>
        <w:rPr/>
        <w:t>sperm</w:t>
      </w:r>
      <w:r>
        <w:rPr>
          <w:spacing w:val="-11"/>
        </w:rPr>
        <w:t> </w:t>
      </w:r>
      <w:r>
        <w:rPr/>
        <w:t>cells</w:t>
      </w:r>
      <w:r>
        <w:rPr>
          <w:spacing w:val="-10"/>
        </w:rPr>
        <w:t> </w:t>
      </w:r>
      <w:r>
        <w:rPr/>
        <w:t>are</w:t>
      </w:r>
      <w:r>
        <w:rPr>
          <w:spacing w:val="-10"/>
        </w:rPr>
        <w:t> </w:t>
      </w:r>
      <w:r>
        <w:rPr/>
        <w:t>provided</w:t>
      </w:r>
      <w:r>
        <w:rPr>
          <w:spacing w:val="-10"/>
        </w:rPr>
        <w:t> </w:t>
      </w:r>
      <w:r>
        <w:rPr/>
        <w:t>with</w:t>
      </w:r>
      <w:r>
        <w:rPr>
          <w:spacing w:val="-8"/>
        </w:rPr>
        <w:t> </w:t>
      </w:r>
      <w:r>
        <w:rPr/>
        <w:t>energy</w:t>
      </w:r>
      <w:r>
        <w:rPr>
          <w:spacing w:val="-11"/>
        </w:rPr>
        <w:t> </w:t>
      </w:r>
      <w:r>
        <w:rPr/>
        <w:t>and</w:t>
      </w:r>
      <w:r>
        <w:rPr>
          <w:spacing w:val="-10"/>
        </w:rPr>
        <w:t> </w:t>
      </w:r>
      <w:r>
        <w:rPr/>
        <w:t>sperm</w:t>
      </w:r>
      <w:r>
        <w:rPr>
          <w:spacing w:val="-10"/>
        </w:rPr>
        <w:t> </w:t>
      </w:r>
      <w:r>
        <w:rPr/>
        <w:t>production is stimulated by the pantothenic acid in royal</w:t>
      </w:r>
      <w:r>
        <w:rPr>
          <w:spacing w:val="-3"/>
        </w:rPr>
        <w:t> </w:t>
      </w:r>
      <w:r>
        <w:rPr/>
        <w:t>jelly.</w:t>
      </w:r>
    </w:p>
    <w:p>
      <w:pPr>
        <w:pStyle w:val="Heading2"/>
        <w:spacing w:before="240"/>
        <w:ind w:left="616"/>
      </w:pPr>
      <w:r>
        <w:rPr/>
        <w:t>Effect of royal jelly on arthritis</w:t>
      </w:r>
    </w:p>
    <w:p>
      <w:pPr>
        <w:pStyle w:val="BodyText"/>
        <w:spacing w:line="276" w:lineRule="auto" w:before="305"/>
        <w:ind w:left="616" w:right="131"/>
        <w:jc w:val="both"/>
      </w:pPr>
      <w:r>
        <w:rPr/>
        <w:t>In studies, the protein found in royal jelly with the name MRJP3 (Major</w:t>
      </w:r>
      <w:r>
        <w:rPr>
          <w:spacing w:val="-41"/>
        </w:rPr>
        <w:t> </w:t>
      </w:r>
      <w:r>
        <w:rPr/>
        <w:t>Royal Jelly Protein 3) was able to suppress allergic reactions. This protein has anti- inflammatory properties and can in this way improve the quality of life of pa- tients suffering from autoimmune diseases like rheumatoid</w:t>
      </w:r>
      <w:r>
        <w:rPr>
          <w:spacing w:val="-2"/>
        </w:rPr>
        <w:t> </w:t>
      </w:r>
      <w:r>
        <w:rPr/>
        <w:t>arthritis.</w:t>
      </w:r>
    </w:p>
    <w:p>
      <w:pPr>
        <w:spacing w:after="0" w:line="276" w:lineRule="auto"/>
        <w:jc w:val="both"/>
        <w:sectPr>
          <w:footerReference w:type="default" r:id="rId305"/>
          <w:pgSz w:w="14270" w:h="16850"/>
          <w:pgMar w:footer="1891" w:header="0" w:top="1340" w:bottom="2080" w:left="800" w:right="1280"/>
          <w:pgNumType w:start="1280"/>
        </w:sectPr>
      </w:pPr>
    </w:p>
    <w:p>
      <w:pPr>
        <w:pStyle w:val="Heading2"/>
        <w:spacing w:before="74"/>
        <w:ind w:left="616"/>
      </w:pPr>
      <w:r>
        <w:rPr/>
        <w:t>Effect of royal jelly on meningitis</w:t>
      </w:r>
    </w:p>
    <w:p>
      <w:pPr>
        <w:pStyle w:val="BodyText"/>
        <w:spacing w:line="276" w:lineRule="auto" w:before="305"/>
        <w:ind w:left="616" w:right="138"/>
        <w:jc w:val="both"/>
      </w:pPr>
      <w:r>
        <w:rPr/>
        <w:t>Royal jelly apparently has an excellent effect even on highly advanced menin- gitis.</w:t>
      </w:r>
      <w:r>
        <w:rPr>
          <w:spacing w:val="63"/>
        </w:rPr>
        <w:t> </w:t>
      </w:r>
      <w:r>
        <w:rPr/>
        <w:t>Prof.</w:t>
      </w:r>
      <w:r>
        <w:rPr>
          <w:spacing w:val="-16"/>
        </w:rPr>
        <w:t> </w:t>
      </w:r>
      <w:r>
        <w:rPr/>
        <w:t>Bengsch</w:t>
      </w:r>
      <w:r>
        <w:rPr>
          <w:spacing w:val="-16"/>
        </w:rPr>
        <w:t> </w:t>
      </w:r>
      <w:r>
        <w:rPr/>
        <w:t>was</w:t>
      </w:r>
      <w:r>
        <w:rPr>
          <w:spacing w:val="-15"/>
        </w:rPr>
        <w:t> </w:t>
      </w:r>
      <w:r>
        <w:rPr/>
        <w:t>able</w:t>
      </w:r>
      <w:r>
        <w:rPr>
          <w:spacing w:val="-17"/>
        </w:rPr>
        <w:t> </w:t>
      </w:r>
      <w:r>
        <w:rPr/>
        <w:t>to</w:t>
      </w:r>
      <w:r>
        <w:rPr>
          <w:spacing w:val="-19"/>
        </w:rPr>
        <w:t> </w:t>
      </w:r>
      <w:r>
        <w:rPr/>
        <w:t>save</w:t>
      </w:r>
      <w:r>
        <w:rPr>
          <w:spacing w:val="-17"/>
        </w:rPr>
        <w:t> </w:t>
      </w:r>
      <w:r>
        <w:rPr/>
        <w:t>a</w:t>
      </w:r>
      <w:r>
        <w:rPr>
          <w:spacing w:val="-18"/>
        </w:rPr>
        <w:t> </w:t>
      </w:r>
      <w:r>
        <w:rPr/>
        <w:t>patient</w:t>
      </w:r>
      <w:r>
        <w:rPr>
          <w:spacing w:val="-17"/>
        </w:rPr>
        <w:t> </w:t>
      </w:r>
      <w:r>
        <w:rPr/>
        <w:t>suffering</w:t>
      </w:r>
      <w:r>
        <w:rPr>
          <w:spacing w:val="-16"/>
        </w:rPr>
        <w:t> </w:t>
      </w:r>
      <w:r>
        <w:rPr/>
        <w:t>from</w:t>
      </w:r>
      <w:r>
        <w:rPr>
          <w:spacing w:val="-18"/>
        </w:rPr>
        <w:t> </w:t>
      </w:r>
      <w:r>
        <w:rPr/>
        <w:t>severe</w:t>
      </w:r>
      <w:r>
        <w:rPr>
          <w:spacing w:val="-16"/>
        </w:rPr>
        <w:t> </w:t>
      </w:r>
      <w:r>
        <w:rPr/>
        <w:t>meningitis who had been given up on by other doctors with a high dose of royal jelly, 50 grams in two</w:t>
      </w:r>
      <w:r>
        <w:rPr>
          <w:spacing w:val="2"/>
        </w:rPr>
        <w:t> </w:t>
      </w:r>
      <w:r>
        <w:rPr/>
        <w:t>days.</w:t>
      </w:r>
    </w:p>
    <w:p>
      <w:pPr>
        <w:pStyle w:val="Heading2"/>
        <w:spacing w:before="239"/>
        <w:ind w:left="616"/>
      </w:pPr>
      <w:r>
        <w:rPr/>
        <w:t>Anti-ageing effects of royal jelly</w:t>
      </w:r>
    </w:p>
    <w:p>
      <w:pPr>
        <w:pStyle w:val="BodyText"/>
        <w:spacing w:line="276" w:lineRule="auto" w:before="305"/>
        <w:ind w:left="616" w:right="133"/>
        <w:jc w:val="both"/>
      </w:pPr>
      <w:r>
        <w:rPr/>
        <w:t>The fatty acid 10-hydroxy-2-decanoic acid, which is exclusively found in royal jelly, stimulates collagen synthesis, regenerates skin cells and actively counter- acts</w:t>
      </w:r>
      <w:r>
        <w:rPr>
          <w:spacing w:val="-8"/>
        </w:rPr>
        <w:t> </w:t>
      </w:r>
      <w:r>
        <w:rPr/>
        <w:t>ageing</w:t>
      </w:r>
      <w:r>
        <w:rPr>
          <w:spacing w:val="-6"/>
        </w:rPr>
        <w:t> </w:t>
      </w:r>
      <w:r>
        <w:rPr/>
        <w:t>of</w:t>
      </w:r>
      <w:r>
        <w:rPr>
          <w:spacing w:val="-7"/>
        </w:rPr>
        <w:t> </w:t>
      </w:r>
      <w:r>
        <w:rPr/>
        <w:t>the</w:t>
      </w:r>
      <w:r>
        <w:rPr>
          <w:spacing w:val="-7"/>
        </w:rPr>
        <w:t> </w:t>
      </w:r>
      <w:r>
        <w:rPr/>
        <w:t>skin.</w:t>
      </w:r>
      <w:r>
        <w:rPr>
          <w:spacing w:val="-5"/>
        </w:rPr>
        <w:t> </w:t>
      </w:r>
      <w:r>
        <w:rPr/>
        <w:t>It</w:t>
      </w:r>
      <w:r>
        <w:rPr>
          <w:spacing w:val="-10"/>
        </w:rPr>
        <w:t> </w:t>
      </w:r>
      <w:r>
        <w:rPr/>
        <w:t>is</w:t>
      </w:r>
      <w:r>
        <w:rPr>
          <w:spacing w:val="-7"/>
        </w:rPr>
        <w:t> </w:t>
      </w:r>
      <w:r>
        <w:rPr/>
        <w:t>no</w:t>
      </w:r>
      <w:r>
        <w:rPr>
          <w:spacing w:val="-7"/>
        </w:rPr>
        <w:t> </w:t>
      </w:r>
      <w:r>
        <w:rPr/>
        <w:t>coincidence</w:t>
      </w:r>
      <w:r>
        <w:rPr>
          <w:spacing w:val="-7"/>
        </w:rPr>
        <w:t> </w:t>
      </w:r>
      <w:r>
        <w:rPr/>
        <w:t>that</w:t>
      </w:r>
      <w:r>
        <w:rPr>
          <w:spacing w:val="-7"/>
        </w:rPr>
        <w:t> </w:t>
      </w:r>
      <w:r>
        <w:rPr/>
        <w:t>royal</w:t>
      </w:r>
      <w:r>
        <w:rPr>
          <w:spacing w:val="-8"/>
        </w:rPr>
        <w:t> </w:t>
      </w:r>
      <w:r>
        <w:rPr/>
        <w:t>jelly</w:t>
      </w:r>
      <w:r>
        <w:rPr>
          <w:spacing w:val="-8"/>
        </w:rPr>
        <w:t> </w:t>
      </w:r>
      <w:r>
        <w:rPr/>
        <w:t>is</w:t>
      </w:r>
      <w:r>
        <w:rPr>
          <w:spacing w:val="-7"/>
        </w:rPr>
        <w:t> </w:t>
      </w:r>
      <w:r>
        <w:rPr/>
        <w:t>used</w:t>
      </w:r>
      <w:r>
        <w:rPr>
          <w:spacing w:val="-2"/>
        </w:rPr>
        <w:t> </w:t>
      </w:r>
      <w:r>
        <w:rPr/>
        <w:t>in</w:t>
      </w:r>
      <w:r>
        <w:rPr>
          <w:spacing w:val="-7"/>
        </w:rPr>
        <w:t> </w:t>
      </w:r>
      <w:r>
        <w:rPr/>
        <w:t>numerous cosmetics. It is also the numerous, still largely unresearched, highly complex hormone-like chemical bonds in royal jelly that lead to a strengthening of our immune system and in this way work against the biological ageing process. Royal jelly can very effectively counteract age-dependent asthenia (weakness) and emaciation as well as age-related</w:t>
      </w:r>
      <w:r>
        <w:rPr>
          <w:spacing w:val="-3"/>
        </w:rPr>
        <w:t> </w:t>
      </w:r>
      <w:r>
        <w:rPr/>
        <w:t>anaemia.</w:t>
      </w:r>
    </w:p>
    <w:p>
      <w:pPr>
        <w:pStyle w:val="BodyText"/>
        <w:spacing w:line="276" w:lineRule="auto" w:before="241"/>
        <w:ind w:left="616" w:right="135"/>
        <w:jc w:val="both"/>
      </w:pPr>
      <w:r>
        <w:rPr/>
        <w:t>In animal studies, the healing of skin damage was sped up with the help of royal jelly—attributable to the aforementioned fatty acid, 10-hydroxy-2-deca- noic acid, which is exclusively found in royal jelly and which has been shown to stimulate collagen production. The latter effect leads to immediate rejuve- nation of the skin, as well as all connective tissue.</w:t>
      </w:r>
    </w:p>
    <w:p>
      <w:pPr>
        <w:pStyle w:val="Heading2"/>
        <w:spacing w:before="240"/>
        <w:ind w:left="616"/>
        <w:jc w:val="both"/>
      </w:pPr>
      <w:r>
        <w:rPr/>
        <w:t>Royal jelly – intake</w:t>
      </w:r>
    </w:p>
    <w:p>
      <w:pPr>
        <w:spacing w:before="304"/>
        <w:ind w:left="616" w:right="0" w:firstLine="0"/>
        <w:jc w:val="both"/>
        <w:rPr>
          <w:b/>
          <w:sz w:val="38"/>
        </w:rPr>
      </w:pPr>
      <w:r>
        <w:rPr>
          <w:b/>
          <w:sz w:val="38"/>
        </w:rPr>
        <w:t>Preservation and intake of royal jelly</w:t>
      </w:r>
    </w:p>
    <w:p>
      <w:pPr>
        <w:spacing w:after="0"/>
        <w:jc w:val="both"/>
        <w:rPr>
          <w:sz w:val="38"/>
        </w:rPr>
        <w:sectPr>
          <w:pgSz w:w="14270" w:h="16850"/>
          <w:pgMar w:header="0" w:footer="1891" w:top="1340" w:bottom="2080" w:left="800" w:right="1280"/>
        </w:sectPr>
      </w:pPr>
    </w:p>
    <w:p>
      <w:pPr>
        <w:pStyle w:val="BodyText"/>
        <w:spacing w:line="276" w:lineRule="auto" w:before="74"/>
        <w:ind w:left="616" w:right="133"/>
        <w:jc w:val="both"/>
      </w:pPr>
      <w:r>
        <w:rPr/>
        <w:t>In order to maintain the full effect of royal jelly for as long as possible, you should</w:t>
      </w:r>
      <w:r>
        <w:rPr>
          <w:spacing w:val="-26"/>
        </w:rPr>
        <w:t> </w:t>
      </w:r>
      <w:r>
        <w:rPr/>
        <w:t>keep</w:t>
      </w:r>
      <w:r>
        <w:rPr>
          <w:spacing w:val="-23"/>
        </w:rPr>
        <w:t> </w:t>
      </w:r>
      <w:r>
        <w:rPr/>
        <w:t>it</w:t>
      </w:r>
      <w:r>
        <w:rPr>
          <w:spacing w:val="-25"/>
        </w:rPr>
        <w:t> </w:t>
      </w:r>
      <w:r>
        <w:rPr/>
        <w:t>cool</w:t>
      </w:r>
      <w:r>
        <w:rPr>
          <w:spacing w:val="-24"/>
        </w:rPr>
        <w:t> </w:t>
      </w:r>
      <w:r>
        <w:rPr/>
        <w:t>and</w:t>
      </w:r>
      <w:r>
        <w:rPr>
          <w:spacing w:val="-25"/>
        </w:rPr>
        <w:t> </w:t>
      </w:r>
      <w:r>
        <w:rPr/>
        <w:t>protected</w:t>
      </w:r>
      <w:r>
        <w:rPr>
          <w:spacing w:val="-24"/>
        </w:rPr>
        <w:t> </w:t>
      </w:r>
      <w:r>
        <w:rPr/>
        <w:t>from</w:t>
      </w:r>
      <w:r>
        <w:rPr>
          <w:spacing w:val="-24"/>
        </w:rPr>
        <w:t> </w:t>
      </w:r>
      <w:r>
        <w:rPr/>
        <w:t>light,</w:t>
      </w:r>
      <w:r>
        <w:rPr>
          <w:spacing w:val="-23"/>
        </w:rPr>
        <w:t> </w:t>
      </w:r>
      <w:r>
        <w:rPr/>
        <w:t>preferably</w:t>
      </w:r>
      <w:r>
        <w:rPr>
          <w:spacing w:val="-24"/>
        </w:rPr>
        <w:t> </w:t>
      </w:r>
      <w:r>
        <w:rPr/>
        <w:t>in</w:t>
      </w:r>
      <w:r>
        <w:rPr>
          <w:spacing w:val="-24"/>
        </w:rPr>
        <w:t> </w:t>
      </w:r>
      <w:r>
        <w:rPr/>
        <w:t>the</w:t>
      </w:r>
      <w:r>
        <w:rPr>
          <w:spacing w:val="-23"/>
        </w:rPr>
        <w:t> </w:t>
      </w:r>
      <w:r>
        <w:rPr/>
        <w:t>refrigerator.</w:t>
      </w:r>
      <w:r>
        <w:rPr>
          <w:spacing w:val="-23"/>
        </w:rPr>
        <w:t> </w:t>
      </w:r>
      <w:r>
        <w:rPr/>
        <w:t>One can take royal jelly as a treatment (i.e. in case of illness) or preventatively (as a prophylaxis against sickness and</w:t>
      </w:r>
      <w:r>
        <w:rPr>
          <w:spacing w:val="-2"/>
        </w:rPr>
        <w:t> </w:t>
      </w:r>
      <w:r>
        <w:rPr/>
        <w:t>ageing).</w:t>
      </w:r>
    </w:p>
    <w:p>
      <w:pPr>
        <w:pStyle w:val="BodyText"/>
        <w:spacing w:line="276" w:lineRule="auto" w:before="239"/>
        <w:ind w:left="616" w:right="135"/>
        <w:jc w:val="both"/>
      </w:pPr>
      <w:r>
        <w:rPr/>
        <w:t>Highly recommended is the combination of royal jelly together with honey. A ratio of 6 g royal jelly mixed together with 8-10 tablespoons of honey is rec- ommended. Over the course of 3-4 weeks, take 1 teaspoon of this mixture in the morning on an empty stomach.</w:t>
      </w:r>
    </w:p>
    <w:p>
      <w:pPr>
        <w:pStyle w:val="BodyText"/>
        <w:spacing w:line="276" w:lineRule="auto" w:before="242"/>
        <w:ind w:left="616" w:right="136"/>
        <w:jc w:val="both"/>
      </w:pPr>
      <w:r>
        <w:rPr/>
        <w:t>Those</w:t>
      </w:r>
      <w:r>
        <w:rPr>
          <w:spacing w:val="-7"/>
        </w:rPr>
        <w:t> </w:t>
      </w:r>
      <w:r>
        <w:rPr/>
        <w:t>who</w:t>
      </w:r>
      <w:r>
        <w:rPr>
          <w:spacing w:val="-7"/>
        </w:rPr>
        <w:t> </w:t>
      </w:r>
      <w:r>
        <w:rPr/>
        <w:t>want</w:t>
      </w:r>
      <w:r>
        <w:rPr>
          <w:spacing w:val="-6"/>
        </w:rPr>
        <w:t> </w:t>
      </w:r>
      <w:r>
        <w:rPr/>
        <w:t>to</w:t>
      </w:r>
      <w:r>
        <w:rPr>
          <w:spacing w:val="-8"/>
        </w:rPr>
        <w:t> </w:t>
      </w:r>
      <w:r>
        <w:rPr/>
        <w:t>take</w:t>
      </w:r>
      <w:r>
        <w:rPr>
          <w:spacing w:val="-8"/>
        </w:rPr>
        <w:t> </w:t>
      </w:r>
      <w:r>
        <w:rPr/>
        <w:t>pure</w:t>
      </w:r>
      <w:r>
        <w:rPr>
          <w:spacing w:val="-8"/>
        </w:rPr>
        <w:t> </w:t>
      </w:r>
      <w:r>
        <w:rPr/>
        <w:t>royal</w:t>
      </w:r>
      <w:r>
        <w:rPr>
          <w:spacing w:val="-9"/>
        </w:rPr>
        <w:t> </w:t>
      </w:r>
      <w:r>
        <w:rPr/>
        <w:t>jelly</w:t>
      </w:r>
      <w:r>
        <w:rPr>
          <w:spacing w:val="-7"/>
        </w:rPr>
        <w:t> </w:t>
      </w:r>
      <w:r>
        <w:rPr/>
        <w:t>are</w:t>
      </w:r>
      <w:r>
        <w:rPr>
          <w:spacing w:val="-8"/>
        </w:rPr>
        <w:t> </w:t>
      </w:r>
      <w:r>
        <w:rPr/>
        <w:t>best</w:t>
      </w:r>
      <w:r>
        <w:rPr>
          <w:spacing w:val="-7"/>
        </w:rPr>
        <w:t> </w:t>
      </w:r>
      <w:r>
        <w:rPr/>
        <w:t>served</w:t>
      </w:r>
      <w:r>
        <w:rPr>
          <w:spacing w:val="-9"/>
        </w:rPr>
        <w:t> </w:t>
      </w:r>
      <w:r>
        <w:rPr/>
        <w:t>by</w:t>
      </w:r>
      <w:r>
        <w:rPr>
          <w:spacing w:val="-8"/>
        </w:rPr>
        <w:t> </w:t>
      </w:r>
      <w:r>
        <w:rPr/>
        <w:t>1</w:t>
      </w:r>
      <w:r>
        <w:rPr>
          <w:spacing w:val="-9"/>
        </w:rPr>
        <w:t> </w:t>
      </w:r>
      <w:r>
        <w:rPr/>
        <w:t>gram</w:t>
      </w:r>
      <w:r>
        <w:rPr>
          <w:spacing w:val="-8"/>
        </w:rPr>
        <w:t> </w:t>
      </w:r>
      <w:r>
        <w:rPr/>
        <w:t>per</w:t>
      </w:r>
      <w:r>
        <w:rPr>
          <w:spacing w:val="-8"/>
        </w:rPr>
        <w:t> </w:t>
      </w:r>
      <w:r>
        <w:rPr/>
        <w:t>day.</w:t>
      </w:r>
      <w:r>
        <w:rPr>
          <w:spacing w:val="-8"/>
        </w:rPr>
        <w:t> </w:t>
      </w:r>
      <w:r>
        <w:rPr/>
        <w:t>For children, calculate 0.01g of royal jelly per kg of body</w:t>
      </w:r>
      <w:r>
        <w:rPr>
          <w:spacing w:val="-6"/>
        </w:rPr>
        <w:t> </w:t>
      </w:r>
      <w:r>
        <w:rPr/>
        <w:t>weight.</w:t>
      </w:r>
    </w:p>
    <w:p>
      <w:pPr>
        <w:pStyle w:val="BodyText"/>
        <w:spacing w:line="276" w:lineRule="auto" w:before="239"/>
        <w:ind w:left="616" w:right="131"/>
        <w:jc w:val="both"/>
      </w:pPr>
      <w:r>
        <w:rPr/>
        <w:t>Sublingual consumption (under the tongue) has proven especially effective, in order to optimise the uptake of nutrients and to encourage uptake via the oral mucous membrane. To do this, you should let the royal jelly dissolve for 8-12 minutes under the tongue.</w:t>
      </w:r>
    </w:p>
    <w:p>
      <w:pPr>
        <w:pStyle w:val="BodyText"/>
        <w:spacing w:line="276" w:lineRule="auto" w:before="242"/>
        <w:ind w:left="616" w:right="138"/>
        <w:jc w:val="both"/>
      </w:pPr>
      <w:r>
        <w:rPr/>
        <w:t>After the 3-4 weeks of treatment, one should take a break for the same length of time and then repeat the treatment in the way described. If oral consump- tion is not possible, rectal intake (via the anus) can be substituted, something that can be advisable for certain illnesses or for small children.</w:t>
      </w:r>
    </w:p>
    <w:p>
      <w:pPr>
        <w:pStyle w:val="Heading2"/>
        <w:spacing w:before="239"/>
        <w:ind w:left="616"/>
        <w:jc w:val="both"/>
      </w:pPr>
      <w:r>
        <w:rPr/>
        <w:t>Side effects of royal jelly</w:t>
      </w:r>
    </w:p>
    <w:p>
      <w:pPr>
        <w:pStyle w:val="BodyText"/>
        <w:spacing w:line="276" w:lineRule="auto" w:before="305"/>
        <w:ind w:left="616" w:right="149"/>
        <w:jc w:val="both"/>
      </w:pPr>
      <w:r>
        <w:rPr/>
        <w:t>As a general rule, you should generally try to avoid consuming royal jelly with artificial additives. If you rely on a natural product free of additives, then</w:t>
      </w:r>
      <w:r>
        <w:rPr>
          <w:spacing w:val="88"/>
        </w:rPr>
        <w:t> </w:t>
      </w:r>
      <w:r>
        <w:rPr/>
        <w:t>you</w:t>
      </w:r>
    </w:p>
    <w:p>
      <w:pPr>
        <w:spacing w:after="0" w:line="276" w:lineRule="auto"/>
        <w:jc w:val="both"/>
        <w:sectPr>
          <w:pgSz w:w="14270" w:h="16850"/>
          <w:pgMar w:header="0" w:footer="1891" w:top="1340" w:bottom="2080" w:left="800" w:right="1280"/>
        </w:sectPr>
      </w:pPr>
    </w:p>
    <w:p>
      <w:pPr>
        <w:pStyle w:val="BodyText"/>
        <w:spacing w:before="74"/>
        <w:ind w:left="616"/>
      </w:pPr>
      <w:r>
        <w:rPr/>
        <w:t>will also, if taking it for longer periods of time, generally avoid any side effects.</w:t>
      </w:r>
    </w:p>
    <w:p>
      <w:pPr>
        <w:pStyle w:val="BodyText"/>
        <w:spacing w:line="276" w:lineRule="auto" w:before="305"/>
        <w:ind w:left="616" w:right="140"/>
        <w:jc w:val="both"/>
      </w:pPr>
      <w:r>
        <w:rPr/>
        <w:t>One exception could, however, be allergies that react to bee products. If you are</w:t>
      </w:r>
      <w:r>
        <w:rPr>
          <w:spacing w:val="-21"/>
        </w:rPr>
        <w:t> </w:t>
      </w:r>
      <w:r>
        <w:rPr/>
        <w:t>aware</w:t>
      </w:r>
      <w:r>
        <w:rPr>
          <w:spacing w:val="-21"/>
        </w:rPr>
        <w:t> </w:t>
      </w:r>
      <w:r>
        <w:rPr/>
        <w:t>of</w:t>
      </w:r>
      <w:r>
        <w:rPr>
          <w:spacing w:val="-21"/>
        </w:rPr>
        <w:t> </w:t>
      </w:r>
      <w:r>
        <w:rPr/>
        <w:t>any</w:t>
      </w:r>
      <w:r>
        <w:rPr>
          <w:spacing w:val="-19"/>
        </w:rPr>
        <w:t> </w:t>
      </w:r>
      <w:r>
        <w:rPr/>
        <w:t>such</w:t>
      </w:r>
      <w:r>
        <w:rPr>
          <w:spacing w:val="-21"/>
        </w:rPr>
        <w:t> </w:t>
      </w:r>
      <w:r>
        <w:rPr/>
        <w:t>allergies,</w:t>
      </w:r>
      <w:r>
        <w:rPr>
          <w:spacing w:val="-20"/>
        </w:rPr>
        <w:t> </w:t>
      </w:r>
      <w:r>
        <w:rPr/>
        <w:t>it</w:t>
      </w:r>
      <w:r>
        <w:rPr>
          <w:spacing w:val="-22"/>
        </w:rPr>
        <w:t> </w:t>
      </w:r>
      <w:r>
        <w:rPr/>
        <w:t>is</w:t>
      </w:r>
      <w:r>
        <w:rPr>
          <w:spacing w:val="-21"/>
        </w:rPr>
        <w:t> </w:t>
      </w:r>
      <w:r>
        <w:rPr/>
        <w:t>recommended</w:t>
      </w:r>
      <w:r>
        <w:rPr>
          <w:spacing w:val="-24"/>
        </w:rPr>
        <w:t> </w:t>
      </w:r>
      <w:r>
        <w:rPr/>
        <w:t>that</w:t>
      </w:r>
      <w:r>
        <w:rPr>
          <w:spacing w:val="-20"/>
        </w:rPr>
        <w:t> </w:t>
      </w:r>
      <w:r>
        <w:rPr/>
        <w:t>you</w:t>
      </w:r>
      <w:r>
        <w:rPr>
          <w:spacing w:val="-22"/>
        </w:rPr>
        <w:t> </w:t>
      </w:r>
      <w:r>
        <w:rPr/>
        <w:t>begin</w:t>
      </w:r>
      <w:r>
        <w:rPr>
          <w:spacing w:val="-21"/>
        </w:rPr>
        <w:t> </w:t>
      </w:r>
      <w:r>
        <w:rPr/>
        <w:t>with</w:t>
      </w:r>
      <w:r>
        <w:rPr>
          <w:spacing w:val="-22"/>
        </w:rPr>
        <w:t> </w:t>
      </w:r>
      <w:r>
        <w:rPr/>
        <w:t>cautious, partial</w:t>
      </w:r>
      <w:r>
        <w:rPr>
          <w:spacing w:val="-2"/>
        </w:rPr>
        <w:t> </w:t>
      </w:r>
      <w:r>
        <w:rPr/>
        <w:t>consumption.</w:t>
      </w:r>
    </w:p>
    <w:p>
      <w:pPr>
        <w:spacing w:after="0" w:line="276" w:lineRule="auto"/>
        <w:jc w:val="both"/>
        <w:sectPr>
          <w:pgSz w:w="14270" w:h="16850"/>
          <w:pgMar w:header="0" w:footer="1891" w:top="1340" w:bottom="2080" w:left="800" w:right="1280"/>
        </w:sectPr>
      </w:pPr>
    </w:p>
    <w:p>
      <w:pPr>
        <w:pStyle w:val="Heading2"/>
        <w:spacing w:before="74"/>
        <w:ind w:left="616"/>
        <w:jc w:val="both"/>
      </w:pPr>
      <w:r>
        <w:rPr/>
        <w:t>COENZYME Q10</w:t>
      </w:r>
    </w:p>
    <w:p>
      <w:pPr>
        <w:pStyle w:val="BodyText"/>
        <w:rPr>
          <w:b/>
          <w:sz w:val="42"/>
        </w:rPr>
      </w:pPr>
    </w:p>
    <w:p>
      <w:pPr>
        <w:pStyle w:val="BodyText"/>
        <w:spacing w:before="4"/>
        <w:rPr>
          <w:b/>
          <w:sz w:val="48"/>
        </w:rPr>
      </w:pPr>
    </w:p>
    <w:p>
      <w:pPr>
        <w:spacing w:before="1"/>
        <w:ind w:left="616" w:right="0" w:firstLine="0"/>
        <w:jc w:val="both"/>
        <w:rPr>
          <w:b/>
          <w:i/>
          <w:sz w:val="40"/>
        </w:rPr>
      </w:pPr>
      <w:r>
        <w:rPr>
          <w:b/>
          <w:i/>
          <w:sz w:val="40"/>
        </w:rPr>
        <w:t>What is coenzyme Q10?</w:t>
      </w:r>
    </w:p>
    <w:p>
      <w:pPr>
        <w:pStyle w:val="BodyText"/>
        <w:spacing w:line="276" w:lineRule="auto" w:before="299"/>
        <w:ind w:left="616" w:right="133"/>
        <w:jc w:val="both"/>
      </w:pPr>
      <w:r>
        <w:rPr/>
        <w:t>Coenzyme Q10, ubiquinone, ubiquinol or simply ‘Q10’ – four terms that de- scribe the same thing, namely an essential (necessary for life) vital substance with remarkable, even miraculous potential.</w:t>
      </w:r>
    </w:p>
    <w:p>
      <w:pPr>
        <w:pStyle w:val="BodyText"/>
        <w:spacing w:line="276" w:lineRule="auto" w:before="242"/>
        <w:ind w:left="616" w:right="133"/>
        <w:jc w:val="both"/>
      </w:pPr>
      <w:r>
        <w:rPr/>
        <w:t>The</w:t>
      </w:r>
      <w:r>
        <w:rPr>
          <w:spacing w:val="-18"/>
        </w:rPr>
        <w:t> </w:t>
      </w:r>
      <w:r>
        <w:rPr/>
        <w:t>discovery</w:t>
      </w:r>
      <w:r>
        <w:rPr>
          <w:spacing w:val="-17"/>
        </w:rPr>
        <w:t> </w:t>
      </w:r>
      <w:r>
        <w:rPr/>
        <w:t>of</w:t>
      </w:r>
      <w:r>
        <w:rPr>
          <w:spacing w:val="-18"/>
        </w:rPr>
        <w:t> </w:t>
      </w:r>
      <w:r>
        <w:rPr/>
        <w:t>the</w:t>
      </w:r>
      <w:r>
        <w:rPr>
          <w:spacing w:val="-17"/>
        </w:rPr>
        <w:t> </w:t>
      </w:r>
      <w:r>
        <w:rPr/>
        <w:t>revolutionary</w:t>
      </w:r>
      <w:r>
        <w:rPr>
          <w:spacing w:val="-17"/>
        </w:rPr>
        <w:t> </w:t>
      </w:r>
      <w:r>
        <w:rPr/>
        <w:t>enzyme</w:t>
      </w:r>
      <w:r>
        <w:rPr>
          <w:spacing w:val="-17"/>
        </w:rPr>
        <w:t> </w:t>
      </w:r>
      <w:r>
        <w:rPr/>
        <w:t>Q10</w:t>
      </w:r>
      <w:r>
        <w:rPr>
          <w:spacing w:val="-18"/>
        </w:rPr>
        <w:t> </w:t>
      </w:r>
      <w:r>
        <w:rPr/>
        <w:t>was</w:t>
      </w:r>
      <w:r>
        <w:rPr>
          <w:spacing w:val="-17"/>
        </w:rPr>
        <w:t> </w:t>
      </w:r>
      <w:r>
        <w:rPr/>
        <w:t>a</w:t>
      </w:r>
      <w:r>
        <w:rPr>
          <w:spacing w:val="-19"/>
        </w:rPr>
        <w:t> </w:t>
      </w:r>
      <w:r>
        <w:rPr/>
        <w:t>milestone</w:t>
      </w:r>
      <w:r>
        <w:rPr>
          <w:spacing w:val="-18"/>
        </w:rPr>
        <w:t> </w:t>
      </w:r>
      <w:r>
        <w:rPr/>
        <w:t>in</w:t>
      </w:r>
      <w:r>
        <w:rPr>
          <w:spacing w:val="-19"/>
        </w:rPr>
        <w:t> </w:t>
      </w:r>
      <w:r>
        <w:rPr/>
        <w:t>the</w:t>
      </w:r>
      <w:r>
        <w:rPr>
          <w:spacing w:val="-17"/>
        </w:rPr>
        <w:t> </w:t>
      </w:r>
      <w:r>
        <w:rPr/>
        <w:t>medical sciences and even led to a Nobel Prize in 1978 for its discoverer, Prof. Dr. Mitchell. Of the four listed terms, the term ‘Q10’ will be familiar to most of the members of the female sex from cosmetics, and some men will have also undoubtedly also taken note of the term. Hardly known to doctors,</w:t>
      </w:r>
      <w:r>
        <w:rPr>
          <w:spacing w:val="-60"/>
        </w:rPr>
        <w:t> </w:t>
      </w:r>
      <w:r>
        <w:rPr/>
        <w:t>coenzyme Q10 has been successfully used as a matter of course for years in many other countries on this planet as a recognised</w:t>
      </w:r>
      <w:r>
        <w:rPr>
          <w:spacing w:val="-1"/>
        </w:rPr>
        <w:t> </w:t>
      </w:r>
      <w:r>
        <w:rPr/>
        <w:t>therapy.</w:t>
      </w:r>
    </w:p>
    <w:p>
      <w:pPr>
        <w:pStyle w:val="BodyText"/>
        <w:spacing w:line="276" w:lineRule="auto" w:before="240"/>
        <w:ind w:left="616" w:right="133"/>
        <w:jc w:val="both"/>
      </w:pPr>
      <w:r>
        <w:rPr/>
        <w:t>Supported by numerous representative studies and statements of world-fa- mous experts in the realm of medicine, we will provide another piece of evi- dence for how reliant upon coenzyme Q10 we human beings are.</w:t>
      </w:r>
    </w:p>
    <w:p>
      <w:pPr>
        <w:pStyle w:val="BodyText"/>
        <w:spacing w:line="278" w:lineRule="auto" w:before="239"/>
        <w:ind w:left="616" w:right="135"/>
        <w:jc w:val="both"/>
      </w:pPr>
      <w:r>
        <w:rPr/>
        <w:t>For the sake of simplicity, we will use the term ‘Q10’ for the rest of the text when we are speaking of coenzyme Q10 or ubiquinone/ubiquinol.</w:t>
      </w:r>
    </w:p>
    <w:p>
      <w:pPr>
        <w:pStyle w:val="BodyText"/>
        <w:spacing w:line="276" w:lineRule="auto" w:before="233"/>
        <w:ind w:left="616" w:right="133"/>
        <w:jc w:val="both"/>
      </w:pPr>
      <w:r>
        <w:rPr/>
        <w:t>Most women will be familiar with the term Q10 from advertisements for</w:t>
      </w:r>
      <w:r>
        <w:rPr>
          <w:spacing w:val="-52"/>
        </w:rPr>
        <w:t> </w:t>
      </w:r>
      <w:r>
        <w:rPr/>
        <w:t>anti- wrinkle creams, soaps and body lotions, as Q10 is praised there as a defence of the skin cells against free radicals. Very few people are aware, however, of</w:t>
      </w:r>
    </w:p>
    <w:p>
      <w:pPr>
        <w:spacing w:after="0" w:line="276" w:lineRule="auto"/>
        <w:jc w:val="both"/>
        <w:sectPr>
          <w:pgSz w:w="14270" w:h="16850"/>
          <w:pgMar w:header="0" w:footer="1891" w:top="1340" w:bottom="2080" w:left="800" w:right="1280"/>
        </w:sectPr>
      </w:pPr>
    </w:p>
    <w:p>
      <w:pPr>
        <w:pStyle w:val="BodyText"/>
        <w:spacing w:line="278" w:lineRule="auto" w:before="72"/>
        <w:ind w:left="616" w:right="135"/>
        <w:jc w:val="both"/>
      </w:pPr>
      <w:r>
        <w:rPr/>
        <w:t>the</w:t>
      </w:r>
      <w:r>
        <w:rPr>
          <w:spacing w:val="-18"/>
        </w:rPr>
        <w:t> </w:t>
      </w:r>
      <w:r>
        <w:rPr/>
        <w:t>existence</w:t>
      </w:r>
      <w:r>
        <w:rPr>
          <w:spacing w:val="-18"/>
        </w:rPr>
        <w:t> </w:t>
      </w:r>
      <w:r>
        <w:rPr/>
        <w:t>of</w:t>
      </w:r>
      <w:r>
        <w:rPr>
          <w:spacing w:val="-23"/>
        </w:rPr>
        <w:t> </w:t>
      </w:r>
      <w:r>
        <w:rPr/>
        <w:t>Q10</w:t>
      </w:r>
      <w:r>
        <w:rPr>
          <w:spacing w:val="-19"/>
        </w:rPr>
        <w:t> </w:t>
      </w:r>
      <w:r>
        <w:rPr/>
        <w:t>in</w:t>
      </w:r>
      <w:r>
        <w:rPr>
          <w:spacing w:val="-18"/>
        </w:rPr>
        <w:t> </w:t>
      </w:r>
      <w:r>
        <w:rPr/>
        <w:t>capsule</w:t>
      </w:r>
      <w:r>
        <w:rPr>
          <w:spacing w:val="-18"/>
        </w:rPr>
        <w:t> </w:t>
      </w:r>
      <w:r>
        <w:rPr/>
        <w:t>form</w:t>
      </w:r>
      <w:r>
        <w:rPr>
          <w:spacing w:val="-19"/>
        </w:rPr>
        <w:t> </w:t>
      </w:r>
      <w:r>
        <w:rPr/>
        <w:t>to</w:t>
      </w:r>
      <w:r>
        <w:rPr>
          <w:spacing w:val="-21"/>
        </w:rPr>
        <w:t> </w:t>
      </w:r>
      <w:r>
        <w:rPr/>
        <w:t>protect</w:t>
      </w:r>
      <w:r>
        <w:rPr>
          <w:spacing w:val="-18"/>
        </w:rPr>
        <w:t> </w:t>
      </w:r>
      <w:r>
        <w:rPr/>
        <w:t>not</w:t>
      </w:r>
      <w:r>
        <w:rPr>
          <w:spacing w:val="-19"/>
        </w:rPr>
        <w:t> </w:t>
      </w:r>
      <w:r>
        <w:rPr/>
        <w:t>only</w:t>
      </w:r>
      <w:r>
        <w:rPr>
          <w:spacing w:val="-22"/>
        </w:rPr>
        <w:t> </w:t>
      </w:r>
      <w:r>
        <w:rPr/>
        <w:t>our</w:t>
      </w:r>
      <w:r>
        <w:rPr>
          <w:spacing w:val="-20"/>
        </w:rPr>
        <w:t> </w:t>
      </w:r>
      <w:r>
        <w:rPr/>
        <w:t>skin</w:t>
      </w:r>
      <w:r>
        <w:rPr>
          <w:spacing w:val="-21"/>
        </w:rPr>
        <w:t> </w:t>
      </w:r>
      <w:r>
        <w:rPr/>
        <w:t>cells</w:t>
      </w:r>
      <w:r>
        <w:rPr>
          <w:spacing w:val="-18"/>
        </w:rPr>
        <w:t> </w:t>
      </w:r>
      <w:r>
        <w:rPr/>
        <w:t>but</w:t>
      </w:r>
      <w:r>
        <w:rPr>
          <w:spacing w:val="-20"/>
        </w:rPr>
        <w:t> </w:t>
      </w:r>
      <w:r>
        <w:rPr/>
        <w:t>ALL of our</w:t>
      </w:r>
      <w:r>
        <w:rPr>
          <w:spacing w:val="1"/>
        </w:rPr>
        <w:t> </w:t>
      </w:r>
      <w:r>
        <w:rPr/>
        <w:t>cells.</w:t>
      </w:r>
    </w:p>
    <w:p>
      <w:pPr>
        <w:pStyle w:val="BodyText"/>
        <w:spacing w:line="276" w:lineRule="auto" w:before="232"/>
        <w:ind w:left="616" w:right="130"/>
        <w:jc w:val="both"/>
      </w:pPr>
      <w:r>
        <w:rPr/>
        <w:t>On the other hand, you might rightfully ask why we hear about Q10 all over the place in cosmetics but not in the area of health—especially since, as men- tioned, Q10 can be taken in capsule form? The answer is close at hand:</w:t>
      </w:r>
    </w:p>
    <w:p>
      <w:pPr>
        <w:pStyle w:val="BodyText"/>
        <w:spacing w:line="276" w:lineRule="auto" w:before="241"/>
        <w:ind w:left="616" w:right="138"/>
        <w:jc w:val="both"/>
      </w:pPr>
      <w:r>
        <w:rPr/>
        <w:t>Wrinkles are not an illness that can be transformed into billions of dollars in sales, and anti-wrinkle creams do not compete in any way with the expensive medications</w:t>
      </w:r>
      <w:r>
        <w:rPr>
          <w:spacing w:val="-26"/>
        </w:rPr>
        <w:t> </w:t>
      </w:r>
      <w:r>
        <w:rPr/>
        <w:t>of</w:t>
      </w:r>
      <w:r>
        <w:rPr>
          <w:spacing w:val="-27"/>
        </w:rPr>
        <w:t> </w:t>
      </w:r>
      <w:r>
        <w:rPr/>
        <w:t>the</w:t>
      </w:r>
      <w:r>
        <w:rPr>
          <w:spacing w:val="-27"/>
        </w:rPr>
        <w:t> </w:t>
      </w:r>
      <w:r>
        <w:rPr/>
        <w:t>pharmaceutical</w:t>
      </w:r>
      <w:r>
        <w:rPr>
          <w:spacing w:val="-28"/>
        </w:rPr>
        <w:t> </w:t>
      </w:r>
      <w:r>
        <w:rPr/>
        <w:t>industry.</w:t>
      </w:r>
      <w:r>
        <w:rPr>
          <w:spacing w:val="-26"/>
        </w:rPr>
        <w:t> </w:t>
      </w:r>
      <w:r>
        <w:rPr/>
        <w:t>The</w:t>
      </w:r>
      <w:r>
        <w:rPr>
          <w:spacing w:val="-25"/>
        </w:rPr>
        <w:t> </w:t>
      </w:r>
      <w:r>
        <w:rPr/>
        <w:t>revenue</w:t>
      </w:r>
      <w:r>
        <w:rPr>
          <w:spacing w:val="-28"/>
        </w:rPr>
        <w:t> </w:t>
      </w:r>
      <w:r>
        <w:rPr/>
        <w:t>of</w:t>
      </w:r>
      <w:r>
        <w:rPr>
          <w:spacing w:val="-27"/>
        </w:rPr>
        <w:t> </w:t>
      </w:r>
      <w:r>
        <w:rPr/>
        <w:t>the</w:t>
      </w:r>
      <w:r>
        <w:rPr>
          <w:spacing w:val="-26"/>
        </w:rPr>
        <w:t> </w:t>
      </w:r>
      <w:r>
        <w:rPr/>
        <w:t>pharmaceutical industry is thus not endangered if a natural substance becomes known which prevents or decreases wrinkles in </w:t>
      </w:r>
      <w:r>
        <w:rPr>
          <w:u w:val="single"/>
        </w:rPr>
        <w:t>local</w:t>
      </w:r>
      <w:r>
        <w:rPr/>
        <w:t> application (as a cream or</w:t>
      </w:r>
      <w:r>
        <w:rPr>
          <w:spacing w:val="-8"/>
        </w:rPr>
        <w:t> </w:t>
      </w:r>
      <w:r>
        <w:rPr/>
        <w:t>lotion).</w:t>
      </w:r>
    </w:p>
    <w:p>
      <w:pPr>
        <w:pStyle w:val="BodyText"/>
        <w:spacing w:line="276" w:lineRule="auto" w:before="240"/>
        <w:ind w:left="616" w:right="134"/>
        <w:jc w:val="both"/>
      </w:pPr>
      <w:r>
        <w:rPr/>
        <w:t>So long as it remains exclusively a matter of the local application mentioned! The story changes entirely exactly when we start to speak of Q10 as a</w:t>
      </w:r>
      <w:r>
        <w:rPr>
          <w:spacing w:val="-53"/>
        </w:rPr>
        <w:t> </w:t>
      </w:r>
      <w:r>
        <w:rPr/>
        <w:t>panacea in capsule form, as taking it as a capsule expands the spectrum of effects on our entire organism, and a wrinkle treatment becomes a whole body restora- tion that, in addition to fighting wrinkles from within, is also able to prevent and curb all sorts of illnesses, something that ‘Big Pharma’, marketing their medications, does not particularly like.</w:t>
      </w:r>
    </w:p>
    <w:p>
      <w:pPr>
        <w:pStyle w:val="BodyText"/>
        <w:spacing w:line="276" w:lineRule="auto" w:before="241"/>
        <w:ind w:left="616" w:right="134"/>
        <w:jc w:val="both"/>
      </w:pPr>
      <w:r>
        <w:rPr/>
        <w:t>In other words: If the enormous advantages of coenzyme Q10 for our health, in</w:t>
      </w:r>
      <w:r>
        <w:rPr>
          <w:spacing w:val="-23"/>
        </w:rPr>
        <w:t> </w:t>
      </w:r>
      <w:r>
        <w:rPr/>
        <w:t>both</w:t>
      </w:r>
      <w:r>
        <w:rPr>
          <w:spacing w:val="-23"/>
        </w:rPr>
        <w:t> </w:t>
      </w:r>
      <w:r>
        <w:rPr/>
        <w:t>prevention</w:t>
      </w:r>
      <w:r>
        <w:rPr>
          <w:spacing w:val="-23"/>
        </w:rPr>
        <w:t> </w:t>
      </w:r>
      <w:r>
        <w:rPr/>
        <w:t>and</w:t>
      </w:r>
      <w:r>
        <w:rPr>
          <w:spacing w:val="-24"/>
        </w:rPr>
        <w:t> </w:t>
      </w:r>
      <w:r>
        <w:rPr/>
        <w:t>treatment</w:t>
      </w:r>
      <w:r>
        <w:rPr>
          <w:spacing w:val="-24"/>
        </w:rPr>
        <w:t> </w:t>
      </w:r>
      <w:r>
        <w:rPr/>
        <w:t>of</w:t>
      </w:r>
      <w:r>
        <w:rPr>
          <w:spacing w:val="-23"/>
        </w:rPr>
        <w:t> </w:t>
      </w:r>
      <w:r>
        <w:rPr/>
        <w:t>illness</w:t>
      </w:r>
      <w:r>
        <w:rPr>
          <w:spacing w:val="-23"/>
        </w:rPr>
        <w:t> </w:t>
      </w:r>
      <w:r>
        <w:rPr/>
        <w:t>(especially</w:t>
      </w:r>
      <w:r>
        <w:rPr>
          <w:spacing w:val="-23"/>
        </w:rPr>
        <w:t> </w:t>
      </w:r>
      <w:r>
        <w:rPr/>
        <w:t>notable</w:t>
      </w:r>
      <w:r>
        <w:rPr>
          <w:spacing w:val="-23"/>
        </w:rPr>
        <w:t> </w:t>
      </w:r>
      <w:r>
        <w:rPr/>
        <w:t>for</w:t>
      </w:r>
      <w:r>
        <w:rPr>
          <w:spacing w:val="-20"/>
        </w:rPr>
        <w:t> </w:t>
      </w:r>
      <w:r>
        <w:rPr/>
        <w:t>heart</w:t>
      </w:r>
      <w:r>
        <w:rPr>
          <w:spacing w:val="-22"/>
        </w:rPr>
        <w:t> </w:t>
      </w:r>
      <w:r>
        <w:rPr/>
        <w:t>disease, of which one in two dies), then Big Pharma would very soon have to lament billions</w:t>
      </w:r>
      <w:r>
        <w:rPr>
          <w:spacing w:val="-26"/>
        </w:rPr>
        <w:t> </w:t>
      </w:r>
      <w:r>
        <w:rPr/>
        <w:t>in</w:t>
      </w:r>
      <w:r>
        <w:rPr>
          <w:spacing w:val="-26"/>
        </w:rPr>
        <w:t> </w:t>
      </w:r>
      <w:r>
        <w:rPr/>
        <w:t>lost</w:t>
      </w:r>
      <w:r>
        <w:rPr>
          <w:spacing w:val="-26"/>
        </w:rPr>
        <w:t> </w:t>
      </w:r>
      <w:r>
        <w:rPr/>
        <w:t>profits.</w:t>
      </w:r>
      <w:r>
        <w:rPr>
          <w:spacing w:val="-25"/>
        </w:rPr>
        <w:t> </w:t>
      </w:r>
      <w:r>
        <w:rPr/>
        <w:t>And</w:t>
      </w:r>
      <w:r>
        <w:rPr>
          <w:spacing w:val="-25"/>
        </w:rPr>
        <w:t> </w:t>
      </w:r>
      <w:r>
        <w:rPr/>
        <w:t>they</w:t>
      </w:r>
      <w:r>
        <w:rPr>
          <w:spacing w:val="-26"/>
        </w:rPr>
        <w:t> </w:t>
      </w:r>
      <w:r>
        <w:rPr/>
        <w:t>definitely</w:t>
      </w:r>
      <w:r>
        <w:rPr>
          <w:spacing w:val="-26"/>
        </w:rPr>
        <w:t> </w:t>
      </w:r>
      <w:r>
        <w:rPr/>
        <w:t>know</w:t>
      </w:r>
      <w:r>
        <w:rPr>
          <w:spacing w:val="-27"/>
        </w:rPr>
        <w:t> </w:t>
      </w:r>
      <w:r>
        <w:rPr/>
        <w:t>how</w:t>
      </w:r>
      <w:r>
        <w:rPr>
          <w:spacing w:val="-27"/>
        </w:rPr>
        <w:t> </w:t>
      </w:r>
      <w:r>
        <w:rPr/>
        <w:t>to</w:t>
      </w:r>
      <w:r>
        <w:rPr>
          <w:spacing w:val="-25"/>
        </w:rPr>
        <w:t> </w:t>
      </w:r>
      <w:r>
        <w:rPr/>
        <w:t>prevent</w:t>
      </w:r>
      <w:r>
        <w:rPr>
          <w:spacing w:val="-26"/>
        </w:rPr>
        <w:t> </w:t>
      </w:r>
      <w:r>
        <w:rPr/>
        <w:t>this</w:t>
      </w:r>
      <w:r>
        <w:rPr>
          <w:spacing w:val="-26"/>
        </w:rPr>
        <w:t> </w:t>
      </w:r>
      <w:r>
        <w:rPr/>
        <w:t>of</w:t>
      </w:r>
      <w:r>
        <w:rPr>
          <w:spacing w:val="-27"/>
        </w:rPr>
        <w:t> </w:t>
      </w:r>
      <w:r>
        <w:rPr/>
        <w:t>course...</w:t>
      </w:r>
    </w:p>
    <w:p>
      <w:pPr>
        <w:pStyle w:val="BodyText"/>
        <w:spacing w:before="240"/>
        <w:ind w:left="616"/>
        <w:jc w:val="both"/>
      </w:pPr>
      <w:r>
        <w:rPr/>
        <w:t>Opposed</w:t>
      </w:r>
      <w:r>
        <w:rPr>
          <w:spacing w:val="-13"/>
        </w:rPr>
        <w:t> </w:t>
      </w:r>
      <w:r>
        <w:rPr/>
        <w:t>to</w:t>
      </w:r>
      <w:r>
        <w:rPr>
          <w:spacing w:val="-16"/>
        </w:rPr>
        <w:t> </w:t>
      </w:r>
      <w:r>
        <w:rPr/>
        <w:t>the</w:t>
      </w:r>
      <w:r>
        <w:rPr>
          <w:spacing w:val="-18"/>
        </w:rPr>
        <w:t> </w:t>
      </w:r>
      <w:r>
        <w:rPr/>
        <w:t>few</w:t>
      </w:r>
      <w:r>
        <w:rPr>
          <w:spacing w:val="-14"/>
        </w:rPr>
        <w:t> </w:t>
      </w:r>
      <w:r>
        <w:rPr/>
        <w:t>qualified</w:t>
      </w:r>
      <w:r>
        <w:rPr>
          <w:spacing w:val="-15"/>
        </w:rPr>
        <w:t> </w:t>
      </w:r>
      <w:r>
        <w:rPr/>
        <w:t>statements</w:t>
      </w:r>
      <w:r>
        <w:rPr>
          <w:spacing w:val="-14"/>
        </w:rPr>
        <w:t> </w:t>
      </w:r>
      <w:r>
        <w:rPr/>
        <w:t>of</w:t>
      </w:r>
      <w:r>
        <w:rPr>
          <w:spacing w:val="-16"/>
        </w:rPr>
        <w:t> </w:t>
      </w:r>
      <w:r>
        <w:rPr/>
        <w:t>‘authorities’</w:t>
      </w:r>
      <w:r>
        <w:rPr>
          <w:spacing w:val="-13"/>
        </w:rPr>
        <w:t> </w:t>
      </w:r>
      <w:r>
        <w:rPr/>
        <w:t>which</w:t>
      </w:r>
      <w:r>
        <w:rPr>
          <w:spacing w:val="-15"/>
        </w:rPr>
        <w:t> </w:t>
      </w:r>
      <w:r>
        <w:rPr/>
        <w:t>you</w:t>
      </w:r>
      <w:r>
        <w:rPr>
          <w:spacing w:val="-16"/>
        </w:rPr>
        <w:t> </w:t>
      </w:r>
      <w:r>
        <w:rPr/>
        <w:t>will</w:t>
      </w:r>
      <w:r>
        <w:rPr>
          <w:spacing w:val="-15"/>
        </w:rPr>
        <w:t> </w:t>
      </w:r>
      <w:r>
        <w:rPr/>
        <w:t>find</w:t>
      </w:r>
      <w:r>
        <w:rPr>
          <w:spacing w:val="-14"/>
        </w:rPr>
        <w:t> </w:t>
      </w:r>
      <w:r>
        <w:rPr/>
        <w:t>on</w:t>
      </w:r>
    </w:p>
    <w:p>
      <w:pPr>
        <w:spacing w:after="0"/>
        <w:jc w:val="both"/>
        <w:sectPr>
          <w:pgSz w:w="14270" w:h="16850"/>
          <w:pgMar w:header="0" w:footer="1891" w:top="1340" w:bottom="2080" w:left="800" w:right="1280"/>
        </w:sectPr>
      </w:pPr>
    </w:p>
    <w:p>
      <w:pPr>
        <w:pStyle w:val="BodyText"/>
        <w:spacing w:line="278" w:lineRule="auto" w:before="72"/>
        <w:ind w:left="616" w:right="136"/>
        <w:jc w:val="both"/>
      </w:pPr>
      <w:r>
        <w:rPr/>
        <w:t>the internet are innumerable positive, serious studies and observations carried out by doctors from around the world for 30 years on millions of patients.</w:t>
      </w:r>
    </w:p>
    <w:p>
      <w:pPr>
        <w:pStyle w:val="BodyText"/>
        <w:spacing w:line="276" w:lineRule="auto" w:before="232"/>
        <w:ind w:left="616" w:right="139"/>
        <w:jc w:val="both"/>
      </w:pPr>
      <w:r>
        <w:rPr/>
        <w:t>Before we extensively illustrate the modes of action and the enormous spec- trum of effects of Q10 and present you with representative studies in our ac- customed style, let us listen to the voices of experts:</w:t>
      </w:r>
    </w:p>
    <w:p>
      <w:pPr>
        <w:pStyle w:val="BodyText"/>
        <w:spacing w:line="276" w:lineRule="auto" w:before="241"/>
        <w:ind w:left="616" w:right="136"/>
        <w:jc w:val="both"/>
      </w:pPr>
      <w:r>
        <w:rPr/>
        <w:t>In their declaration at Saas Fee on 15 June 1992, Prof. Dr. Dr. Charles Hennekens</w:t>
      </w:r>
      <w:r>
        <w:rPr>
          <w:spacing w:val="-24"/>
        </w:rPr>
        <w:t> </w:t>
      </w:r>
      <w:r>
        <w:rPr/>
        <w:t>of</w:t>
      </w:r>
      <w:r>
        <w:rPr>
          <w:spacing w:val="-24"/>
        </w:rPr>
        <w:t> </w:t>
      </w:r>
      <w:r>
        <w:rPr/>
        <w:t>Harvard</w:t>
      </w:r>
      <w:r>
        <w:rPr>
          <w:spacing w:val="-23"/>
        </w:rPr>
        <w:t> </w:t>
      </w:r>
      <w:r>
        <w:rPr/>
        <w:t>University,</w:t>
      </w:r>
      <w:r>
        <w:rPr>
          <w:spacing w:val="-24"/>
        </w:rPr>
        <w:t> </w:t>
      </w:r>
      <w:r>
        <w:rPr/>
        <w:t>Prof.</w:t>
      </w:r>
      <w:r>
        <w:rPr>
          <w:spacing w:val="-26"/>
        </w:rPr>
        <w:t> </w:t>
      </w:r>
      <w:r>
        <w:rPr/>
        <w:t>Dr.</w:t>
      </w:r>
      <w:r>
        <w:rPr>
          <w:spacing w:val="-27"/>
        </w:rPr>
        <w:t> </w:t>
      </w:r>
      <w:r>
        <w:rPr/>
        <w:t>Dr.</w:t>
      </w:r>
      <w:r>
        <w:rPr>
          <w:spacing w:val="-28"/>
        </w:rPr>
        <w:t> </w:t>
      </w:r>
      <w:r>
        <w:rPr/>
        <w:t>Anthony</w:t>
      </w:r>
      <w:r>
        <w:rPr>
          <w:spacing w:val="-24"/>
        </w:rPr>
        <w:t> </w:t>
      </w:r>
      <w:r>
        <w:rPr/>
        <w:t>T.</w:t>
      </w:r>
      <w:r>
        <w:rPr>
          <w:spacing w:val="-23"/>
        </w:rPr>
        <w:t> </w:t>
      </w:r>
      <w:r>
        <w:rPr/>
        <w:t>Diplock,</w:t>
      </w:r>
      <w:r>
        <w:rPr>
          <w:spacing w:val="-24"/>
        </w:rPr>
        <w:t> </w:t>
      </w:r>
      <w:r>
        <w:rPr/>
        <w:t>London, Prof.</w:t>
      </w:r>
      <w:r>
        <w:rPr>
          <w:spacing w:val="-16"/>
        </w:rPr>
        <w:t> </w:t>
      </w:r>
      <w:r>
        <w:rPr/>
        <w:t>Dr.</w:t>
      </w:r>
      <w:r>
        <w:rPr>
          <w:spacing w:val="-17"/>
        </w:rPr>
        <w:t> </w:t>
      </w:r>
      <w:r>
        <w:rPr/>
        <w:t>Dr.</w:t>
      </w:r>
      <w:r>
        <w:rPr>
          <w:spacing w:val="-17"/>
        </w:rPr>
        <w:t> </w:t>
      </w:r>
      <w:r>
        <w:rPr/>
        <w:t>Karlheinz</w:t>
      </w:r>
      <w:r>
        <w:rPr>
          <w:spacing w:val="-15"/>
        </w:rPr>
        <w:t> </w:t>
      </w:r>
      <w:r>
        <w:rPr/>
        <w:t>Schmidt</w:t>
      </w:r>
      <w:r>
        <w:rPr>
          <w:spacing w:val="-19"/>
        </w:rPr>
        <w:t> </w:t>
      </w:r>
      <w:r>
        <w:rPr/>
        <w:t>of</w:t>
      </w:r>
      <w:r>
        <w:rPr>
          <w:spacing w:val="-15"/>
        </w:rPr>
        <w:t> </w:t>
      </w:r>
      <w:r>
        <w:rPr/>
        <w:t>the</w:t>
      </w:r>
      <w:r>
        <w:rPr>
          <w:spacing w:val="-15"/>
        </w:rPr>
        <w:t> </w:t>
      </w:r>
      <w:r>
        <w:rPr/>
        <w:t>University</w:t>
      </w:r>
      <w:r>
        <w:rPr>
          <w:spacing w:val="-19"/>
        </w:rPr>
        <w:t> </w:t>
      </w:r>
      <w:r>
        <w:rPr/>
        <w:t>of</w:t>
      </w:r>
      <w:r>
        <w:rPr>
          <w:spacing w:val="-16"/>
        </w:rPr>
        <w:t> </w:t>
      </w:r>
      <w:r>
        <w:rPr/>
        <w:t>Tübingen</w:t>
      </w:r>
      <w:r>
        <w:rPr>
          <w:i/>
        </w:rPr>
        <w:t>,</w:t>
      </w:r>
      <w:r>
        <w:rPr>
          <w:i/>
          <w:spacing w:val="-17"/>
        </w:rPr>
        <w:t> </w:t>
      </w:r>
      <w:r>
        <w:rPr/>
        <w:t>Prof.</w:t>
      </w:r>
      <w:r>
        <w:rPr>
          <w:spacing w:val="-16"/>
        </w:rPr>
        <w:t> </w:t>
      </w:r>
      <w:r>
        <w:rPr/>
        <w:t>Dr.</w:t>
      </w:r>
      <w:r>
        <w:rPr>
          <w:spacing w:val="-17"/>
        </w:rPr>
        <w:t> </w:t>
      </w:r>
      <w:r>
        <w:rPr/>
        <w:t>Mul- chand S. Patel, Cleveland, Prof. Dr. Julie E. Buring of Harvard University, Prof. Dr. Igor Afanasev, Moscow, Prof. Dr. Lester Packer, Berkley, PD Dr. Bodo Kuklinski, University of Rostock, and Dr. Matilde Maiorino, Padua, de- clared that Q10 was explicitly ‘</w:t>
      </w:r>
      <w:r>
        <w:rPr>
          <w:u w:val="single"/>
        </w:rPr>
        <w:t>safe</w:t>
      </w:r>
      <w:r>
        <w:rPr/>
        <w:t>’ and emphatically recommended its use.</w:t>
      </w:r>
      <w:r>
        <w:rPr>
          <w:spacing w:val="-48"/>
        </w:rPr>
        <w:t> </w:t>
      </w:r>
      <w:r>
        <w:rPr/>
        <w:t>In addition to this, more and more experts from around the world are learning about</w:t>
      </w:r>
      <w:r>
        <w:rPr>
          <w:spacing w:val="-28"/>
        </w:rPr>
        <w:t> </w:t>
      </w:r>
      <w:r>
        <w:rPr/>
        <w:t>this</w:t>
      </w:r>
      <w:r>
        <w:rPr>
          <w:spacing w:val="-24"/>
        </w:rPr>
        <w:t> </w:t>
      </w:r>
      <w:r>
        <w:rPr/>
        <w:t>miraculous</w:t>
      </w:r>
      <w:r>
        <w:rPr>
          <w:spacing w:val="-25"/>
        </w:rPr>
        <w:t> </w:t>
      </w:r>
      <w:r>
        <w:rPr/>
        <w:t>substance</w:t>
      </w:r>
      <w:r>
        <w:rPr>
          <w:spacing w:val="-26"/>
        </w:rPr>
        <w:t> </w:t>
      </w:r>
      <w:r>
        <w:rPr/>
        <w:t>and</w:t>
      </w:r>
      <w:r>
        <w:rPr>
          <w:spacing w:val="-26"/>
        </w:rPr>
        <w:t> </w:t>
      </w:r>
      <w:r>
        <w:rPr/>
        <w:t>are</w:t>
      </w:r>
      <w:r>
        <w:rPr>
          <w:spacing w:val="-25"/>
        </w:rPr>
        <w:t> </w:t>
      </w:r>
      <w:r>
        <w:rPr/>
        <w:t>recommending</w:t>
      </w:r>
      <w:r>
        <w:rPr>
          <w:spacing w:val="-24"/>
        </w:rPr>
        <w:t> </w:t>
      </w:r>
      <w:r>
        <w:rPr/>
        <w:t>Q10</w:t>
      </w:r>
      <w:r>
        <w:rPr>
          <w:spacing w:val="-25"/>
        </w:rPr>
        <w:t> </w:t>
      </w:r>
      <w:r>
        <w:rPr/>
        <w:t>out</w:t>
      </w:r>
      <w:r>
        <w:rPr>
          <w:spacing w:val="-30"/>
        </w:rPr>
        <w:t> </w:t>
      </w:r>
      <w:r>
        <w:rPr/>
        <w:t>of</w:t>
      </w:r>
      <w:r>
        <w:rPr>
          <w:spacing w:val="-23"/>
        </w:rPr>
        <w:t> </w:t>
      </w:r>
      <w:r>
        <w:rPr/>
        <w:t>conviction.</w:t>
      </w:r>
    </w:p>
    <w:p>
      <w:pPr>
        <w:pStyle w:val="Heading1"/>
        <w:spacing w:before="222"/>
        <w:ind w:left="616"/>
        <w:jc w:val="both"/>
      </w:pPr>
      <w:r>
        <w:rPr/>
        <w:t>But read for yourself:</w:t>
      </w:r>
    </w:p>
    <w:p>
      <w:pPr>
        <w:spacing w:line="276" w:lineRule="auto" w:before="300"/>
        <w:ind w:left="616" w:right="131" w:firstLine="0"/>
        <w:jc w:val="both"/>
        <w:rPr>
          <w:sz w:val="38"/>
        </w:rPr>
      </w:pPr>
      <w:r>
        <w:rPr>
          <w:i/>
          <w:sz w:val="38"/>
        </w:rPr>
        <w:t>‘After</w:t>
      </w:r>
      <w:r>
        <w:rPr>
          <w:i/>
          <w:spacing w:val="-7"/>
          <w:sz w:val="38"/>
        </w:rPr>
        <w:t> </w:t>
      </w:r>
      <w:r>
        <w:rPr>
          <w:i/>
          <w:sz w:val="38"/>
        </w:rPr>
        <w:t>31</w:t>
      </w:r>
      <w:r>
        <w:rPr>
          <w:i/>
          <w:spacing w:val="-8"/>
          <w:sz w:val="38"/>
        </w:rPr>
        <w:t> </w:t>
      </w:r>
      <w:r>
        <w:rPr>
          <w:i/>
          <w:sz w:val="38"/>
        </w:rPr>
        <w:t>years</w:t>
      </w:r>
      <w:r>
        <w:rPr>
          <w:i/>
          <w:spacing w:val="-7"/>
          <w:sz w:val="38"/>
        </w:rPr>
        <w:t> </w:t>
      </w:r>
      <w:r>
        <w:rPr>
          <w:i/>
          <w:sz w:val="38"/>
        </w:rPr>
        <w:t>of</w:t>
      </w:r>
      <w:r>
        <w:rPr>
          <w:i/>
          <w:spacing w:val="-5"/>
          <w:sz w:val="38"/>
        </w:rPr>
        <w:t> </w:t>
      </w:r>
      <w:r>
        <w:rPr>
          <w:i/>
          <w:sz w:val="38"/>
        </w:rPr>
        <w:t>scientific</w:t>
      </w:r>
      <w:r>
        <w:rPr>
          <w:i/>
          <w:spacing w:val="-7"/>
          <w:sz w:val="38"/>
        </w:rPr>
        <w:t> </w:t>
      </w:r>
      <w:r>
        <w:rPr>
          <w:i/>
          <w:sz w:val="38"/>
        </w:rPr>
        <w:t>research,</w:t>
      </w:r>
      <w:r>
        <w:rPr>
          <w:i/>
          <w:spacing w:val="-6"/>
          <w:sz w:val="38"/>
        </w:rPr>
        <w:t> </w:t>
      </w:r>
      <w:r>
        <w:rPr>
          <w:i/>
          <w:sz w:val="38"/>
        </w:rPr>
        <w:t>Q10</w:t>
      </w:r>
      <w:r>
        <w:rPr>
          <w:i/>
          <w:spacing w:val="-8"/>
          <w:sz w:val="38"/>
        </w:rPr>
        <w:t> </w:t>
      </w:r>
      <w:r>
        <w:rPr>
          <w:i/>
          <w:sz w:val="38"/>
        </w:rPr>
        <w:t>is</w:t>
      </w:r>
      <w:r>
        <w:rPr>
          <w:i/>
          <w:spacing w:val="-7"/>
          <w:sz w:val="38"/>
        </w:rPr>
        <w:t> </w:t>
      </w:r>
      <w:r>
        <w:rPr>
          <w:i/>
          <w:sz w:val="38"/>
        </w:rPr>
        <w:t>today</w:t>
      </w:r>
      <w:r>
        <w:rPr>
          <w:i/>
          <w:spacing w:val="-7"/>
          <w:sz w:val="38"/>
        </w:rPr>
        <w:t> </w:t>
      </w:r>
      <w:r>
        <w:rPr>
          <w:i/>
          <w:sz w:val="38"/>
        </w:rPr>
        <w:t>considered</w:t>
      </w:r>
      <w:r>
        <w:rPr>
          <w:i/>
          <w:spacing w:val="-7"/>
          <w:sz w:val="38"/>
        </w:rPr>
        <w:t> </w:t>
      </w:r>
      <w:r>
        <w:rPr>
          <w:i/>
          <w:sz w:val="38"/>
        </w:rPr>
        <w:t>historic</w:t>
      </w:r>
      <w:r>
        <w:rPr>
          <w:i/>
          <w:spacing w:val="-6"/>
          <w:sz w:val="38"/>
        </w:rPr>
        <w:t> </w:t>
      </w:r>
      <w:r>
        <w:rPr>
          <w:i/>
          <w:sz w:val="38"/>
        </w:rPr>
        <w:t>in</w:t>
      </w:r>
      <w:r>
        <w:rPr>
          <w:i/>
          <w:spacing w:val="-6"/>
          <w:sz w:val="38"/>
        </w:rPr>
        <w:t> </w:t>
      </w:r>
      <w:r>
        <w:rPr>
          <w:i/>
          <w:sz w:val="38"/>
        </w:rPr>
        <w:t>the</w:t>
      </w:r>
      <w:r>
        <w:rPr>
          <w:i/>
          <w:spacing w:val="-9"/>
          <w:sz w:val="38"/>
        </w:rPr>
        <w:t> </w:t>
      </w:r>
      <w:r>
        <w:rPr>
          <w:i/>
          <w:sz w:val="38"/>
        </w:rPr>
        <w:t>realms</w:t>
      </w:r>
      <w:r>
        <w:rPr>
          <w:i/>
          <w:spacing w:val="-6"/>
          <w:sz w:val="38"/>
        </w:rPr>
        <w:t> </w:t>
      </w:r>
      <w:r>
        <w:rPr>
          <w:i/>
          <w:sz w:val="38"/>
        </w:rPr>
        <w:t>of</w:t>
      </w:r>
      <w:r>
        <w:rPr>
          <w:i/>
          <w:spacing w:val="-5"/>
          <w:sz w:val="38"/>
        </w:rPr>
        <w:t> </w:t>
      </w:r>
      <w:r>
        <w:rPr>
          <w:i/>
          <w:sz w:val="38"/>
        </w:rPr>
        <w:t>health </w:t>
      </w:r>
      <w:r>
        <w:rPr>
          <w:i/>
          <w:sz w:val="38"/>
        </w:rPr>
        <w:t>and nutrition. The ability of Q10 to improve and even eliminate a large number of health problems</w:t>
      </w:r>
      <w:r>
        <w:rPr>
          <w:i/>
          <w:spacing w:val="-15"/>
          <w:sz w:val="38"/>
        </w:rPr>
        <w:t> </w:t>
      </w:r>
      <w:r>
        <w:rPr>
          <w:i/>
          <w:sz w:val="38"/>
        </w:rPr>
        <w:t>has</w:t>
      </w:r>
      <w:r>
        <w:rPr>
          <w:i/>
          <w:spacing w:val="-16"/>
          <w:sz w:val="38"/>
        </w:rPr>
        <w:t> </w:t>
      </w:r>
      <w:r>
        <w:rPr>
          <w:i/>
          <w:sz w:val="38"/>
        </w:rPr>
        <w:t>amazed</w:t>
      </w:r>
      <w:r>
        <w:rPr>
          <w:i/>
          <w:spacing w:val="-15"/>
          <w:sz w:val="38"/>
        </w:rPr>
        <w:t> </w:t>
      </w:r>
      <w:r>
        <w:rPr>
          <w:i/>
          <w:sz w:val="38"/>
        </w:rPr>
        <w:t>doctors</w:t>
      </w:r>
      <w:r>
        <w:rPr>
          <w:i/>
          <w:spacing w:val="-15"/>
          <w:sz w:val="38"/>
        </w:rPr>
        <w:t> </w:t>
      </w:r>
      <w:r>
        <w:rPr>
          <w:i/>
          <w:sz w:val="38"/>
        </w:rPr>
        <w:t>and</w:t>
      </w:r>
      <w:r>
        <w:rPr>
          <w:i/>
          <w:spacing w:val="-14"/>
          <w:sz w:val="38"/>
        </w:rPr>
        <w:t> </w:t>
      </w:r>
      <w:r>
        <w:rPr>
          <w:i/>
          <w:sz w:val="38"/>
        </w:rPr>
        <w:t>patients</w:t>
      </w:r>
      <w:r>
        <w:rPr>
          <w:i/>
          <w:spacing w:val="-14"/>
          <w:sz w:val="38"/>
        </w:rPr>
        <w:t> </w:t>
      </w:r>
      <w:r>
        <w:rPr>
          <w:i/>
          <w:sz w:val="38"/>
        </w:rPr>
        <w:t>from</w:t>
      </w:r>
      <w:r>
        <w:rPr>
          <w:i/>
          <w:spacing w:val="-17"/>
          <w:sz w:val="38"/>
        </w:rPr>
        <w:t> </w:t>
      </w:r>
      <w:r>
        <w:rPr>
          <w:i/>
          <w:sz w:val="38"/>
        </w:rPr>
        <w:t>around</w:t>
      </w:r>
      <w:r>
        <w:rPr>
          <w:i/>
          <w:spacing w:val="-15"/>
          <w:sz w:val="38"/>
        </w:rPr>
        <w:t> </w:t>
      </w:r>
      <w:r>
        <w:rPr>
          <w:i/>
          <w:sz w:val="38"/>
        </w:rPr>
        <w:t>the</w:t>
      </w:r>
      <w:r>
        <w:rPr>
          <w:i/>
          <w:spacing w:val="-15"/>
          <w:sz w:val="38"/>
        </w:rPr>
        <w:t> </w:t>
      </w:r>
      <w:r>
        <w:rPr>
          <w:i/>
          <w:sz w:val="38"/>
        </w:rPr>
        <w:t>world.’</w:t>
      </w:r>
      <w:r>
        <w:rPr>
          <w:i/>
          <w:spacing w:val="-14"/>
          <w:sz w:val="38"/>
        </w:rPr>
        <w:t> </w:t>
      </w:r>
      <w:r>
        <w:rPr>
          <w:i/>
          <w:sz w:val="38"/>
        </w:rPr>
        <w:t>(Dr.</w:t>
      </w:r>
      <w:r>
        <w:rPr>
          <w:i/>
          <w:spacing w:val="-15"/>
          <w:sz w:val="38"/>
        </w:rPr>
        <w:t> </w:t>
      </w:r>
      <w:r>
        <w:rPr>
          <w:i/>
          <w:sz w:val="38"/>
        </w:rPr>
        <w:t>S.</w:t>
      </w:r>
      <w:r>
        <w:rPr>
          <w:i/>
          <w:spacing w:val="-15"/>
          <w:sz w:val="38"/>
        </w:rPr>
        <w:t> </w:t>
      </w:r>
      <w:r>
        <w:rPr>
          <w:i/>
          <w:sz w:val="38"/>
        </w:rPr>
        <w:t>Wagner,</w:t>
      </w:r>
      <w:r>
        <w:rPr>
          <w:i/>
          <w:spacing w:val="-9"/>
          <w:sz w:val="38"/>
        </w:rPr>
        <w:t> </w:t>
      </w:r>
      <w:r>
        <w:rPr>
          <w:sz w:val="38"/>
        </w:rPr>
        <w:t>Amer- ican Institute for Health and Nutrition,</w:t>
      </w:r>
      <w:r>
        <w:rPr>
          <w:spacing w:val="1"/>
          <w:sz w:val="38"/>
        </w:rPr>
        <w:t> </w:t>
      </w:r>
      <w:r>
        <w:rPr>
          <w:sz w:val="38"/>
        </w:rPr>
        <w:t>USA)</w:t>
      </w:r>
    </w:p>
    <w:p>
      <w:pPr>
        <w:spacing w:line="276" w:lineRule="auto" w:before="242"/>
        <w:ind w:left="616" w:right="137" w:firstLine="0"/>
        <w:jc w:val="both"/>
        <w:rPr>
          <w:sz w:val="38"/>
        </w:rPr>
      </w:pPr>
      <w:r>
        <w:rPr>
          <w:i/>
          <w:sz w:val="38"/>
        </w:rPr>
        <w:t>‘Q10 is one of the most important discoveries of nutritional science in the past decades.</w:t>
      </w:r>
      <w:r>
        <w:rPr>
          <w:i/>
          <w:spacing w:val="-60"/>
          <w:sz w:val="38"/>
        </w:rPr>
        <w:t> </w:t>
      </w:r>
      <w:r>
        <w:rPr>
          <w:i/>
          <w:sz w:val="38"/>
        </w:rPr>
        <w:t>Q10 </w:t>
      </w:r>
      <w:r>
        <w:rPr>
          <w:i/>
          <w:sz w:val="38"/>
        </w:rPr>
        <w:t>gives the heart its natural vitality back. I take it daily.’ </w:t>
      </w:r>
      <w:r>
        <w:rPr>
          <w:sz w:val="38"/>
        </w:rPr>
        <w:t>(Prof. Dr. Linus Pauling, vita- min researcher and two-time Nobel Prize recipient)</w:t>
      </w:r>
    </w:p>
    <w:p>
      <w:pPr>
        <w:spacing w:after="0" w:line="276" w:lineRule="auto"/>
        <w:jc w:val="both"/>
        <w:rPr>
          <w:sz w:val="38"/>
        </w:rPr>
        <w:sectPr>
          <w:pgSz w:w="14270" w:h="16850"/>
          <w:pgMar w:header="0" w:footer="1891" w:top="1340" w:bottom="2080" w:left="800" w:right="1280"/>
        </w:sectPr>
      </w:pPr>
    </w:p>
    <w:p>
      <w:pPr>
        <w:spacing w:line="276" w:lineRule="auto" w:before="74"/>
        <w:ind w:left="616" w:right="132" w:firstLine="0"/>
        <w:jc w:val="both"/>
        <w:rPr>
          <w:sz w:val="38"/>
        </w:rPr>
      </w:pPr>
      <w:r>
        <w:rPr>
          <w:i/>
          <w:sz w:val="38"/>
        </w:rPr>
        <w:t>‘These test subjects whose condition was constantly worsening and who only had 2 years left </w:t>
      </w:r>
      <w:r>
        <w:rPr>
          <w:i/>
          <w:sz w:val="38"/>
        </w:rPr>
        <w:t>to live under conventional treatment showed an extraordinary overall clinical improvement. That</w:t>
      </w:r>
      <w:r>
        <w:rPr>
          <w:i/>
          <w:spacing w:val="-17"/>
          <w:sz w:val="38"/>
        </w:rPr>
        <w:t> </w:t>
      </w:r>
      <w:r>
        <w:rPr>
          <w:i/>
          <w:sz w:val="38"/>
        </w:rPr>
        <w:t>suggests</w:t>
      </w:r>
      <w:r>
        <w:rPr>
          <w:i/>
          <w:spacing w:val="-17"/>
          <w:sz w:val="38"/>
        </w:rPr>
        <w:t> </w:t>
      </w:r>
      <w:r>
        <w:rPr>
          <w:i/>
          <w:sz w:val="38"/>
        </w:rPr>
        <w:t>that</w:t>
      </w:r>
      <w:r>
        <w:rPr>
          <w:i/>
          <w:spacing w:val="-19"/>
          <w:sz w:val="38"/>
        </w:rPr>
        <w:t> </w:t>
      </w:r>
      <w:r>
        <w:rPr>
          <w:i/>
          <w:sz w:val="38"/>
        </w:rPr>
        <w:t>Q10</w:t>
      </w:r>
      <w:r>
        <w:rPr>
          <w:i/>
          <w:spacing w:val="-16"/>
          <w:sz w:val="38"/>
        </w:rPr>
        <w:t> </w:t>
      </w:r>
      <w:r>
        <w:rPr>
          <w:i/>
          <w:sz w:val="38"/>
        </w:rPr>
        <w:t>therapy</w:t>
      </w:r>
      <w:r>
        <w:rPr>
          <w:i/>
          <w:spacing w:val="-15"/>
          <w:sz w:val="38"/>
        </w:rPr>
        <w:t> </w:t>
      </w:r>
      <w:r>
        <w:rPr>
          <w:i/>
          <w:sz w:val="38"/>
        </w:rPr>
        <w:t>might</w:t>
      </w:r>
      <w:r>
        <w:rPr>
          <w:i/>
          <w:spacing w:val="-18"/>
          <w:sz w:val="38"/>
        </w:rPr>
        <w:t> </w:t>
      </w:r>
      <w:r>
        <w:rPr>
          <w:i/>
          <w:sz w:val="38"/>
        </w:rPr>
        <w:t>be</w:t>
      </w:r>
      <w:r>
        <w:rPr>
          <w:i/>
          <w:spacing w:val="-17"/>
          <w:sz w:val="38"/>
        </w:rPr>
        <w:t> </w:t>
      </w:r>
      <w:r>
        <w:rPr>
          <w:i/>
          <w:sz w:val="38"/>
        </w:rPr>
        <w:t>able</w:t>
      </w:r>
      <w:r>
        <w:rPr>
          <w:i/>
          <w:spacing w:val="-17"/>
          <w:sz w:val="38"/>
        </w:rPr>
        <w:t> </w:t>
      </w:r>
      <w:r>
        <w:rPr>
          <w:i/>
          <w:sz w:val="38"/>
        </w:rPr>
        <w:t>to</w:t>
      </w:r>
      <w:r>
        <w:rPr>
          <w:i/>
          <w:spacing w:val="-18"/>
          <w:sz w:val="38"/>
        </w:rPr>
        <w:t> </w:t>
      </w:r>
      <w:r>
        <w:rPr>
          <w:i/>
          <w:sz w:val="38"/>
        </w:rPr>
        <w:t>lengthen</w:t>
      </w:r>
      <w:r>
        <w:rPr>
          <w:i/>
          <w:spacing w:val="-20"/>
          <w:sz w:val="38"/>
        </w:rPr>
        <w:t> </w:t>
      </w:r>
      <w:r>
        <w:rPr>
          <w:i/>
          <w:sz w:val="38"/>
        </w:rPr>
        <w:t>lifespan.’</w:t>
      </w:r>
      <w:r>
        <w:rPr>
          <w:i/>
          <w:spacing w:val="-12"/>
          <w:sz w:val="38"/>
        </w:rPr>
        <w:t> </w:t>
      </w:r>
      <w:r>
        <w:rPr>
          <w:sz w:val="38"/>
        </w:rPr>
        <w:t>(Dr.</w:t>
      </w:r>
      <w:r>
        <w:rPr>
          <w:spacing w:val="-16"/>
          <w:sz w:val="38"/>
        </w:rPr>
        <w:t> </w:t>
      </w:r>
      <w:r>
        <w:rPr>
          <w:sz w:val="38"/>
        </w:rPr>
        <w:t>Langsjoen,</w:t>
      </w:r>
      <w:r>
        <w:rPr>
          <w:spacing w:val="-17"/>
          <w:sz w:val="38"/>
        </w:rPr>
        <w:t> </w:t>
      </w:r>
      <w:r>
        <w:rPr>
          <w:sz w:val="38"/>
        </w:rPr>
        <w:t>Scott and White Clinic, Texas A&amp;M University, USA)</w:t>
      </w:r>
    </w:p>
    <w:p>
      <w:pPr>
        <w:spacing w:before="239"/>
        <w:ind w:left="616" w:right="0" w:firstLine="0"/>
        <w:jc w:val="both"/>
        <w:rPr>
          <w:sz w:val="38"/>
        </w:rPr>
      </w:pPr>
      <w:r>
        <w:rPr>
          <w:i/>
          <w:sz w:val="38"/>
        </w:rPr>
        <w:t>‘Our</w:t>
      </w:r>
      <w:r>
        <w:rPr>
          <w:i/>
          <w:spacing w:val="-21"/>
          <w:sz w:val="38"/>
        </w:rPr>
        <w:t> </w:t>
      </w:r>
      <w:r>
        <w:rPr>
          <w:i/>
          <w:sz w:val="38"/>
        </w:rPr>
        <w:t>lives</w:t>
      </w:r>
      <w:r>
        <w:rPr>
          <w:i/>
          <w:spacing w:val="-21"/>
          <w:sz w:val="38"/>
        </w:rPr>
        <w:t> </w:t>
      </w:r>
      <w:r>
        <w:rPr>
          <w:i/>
          <w:sz w:val="38"/>
        </w:rPr>
        <w:t>are</w:t>
      </w:r>
      <w:r>
        <w:rPr>
          <w:i/>
          <w:spacing w:val="-22"/>
          <w:sz w:val="38"/>
        </w:rPr>
        <w:t> </w:t>
      </w:r>
      <w:r>
        <w:rPr>
          <w:i/>
          <w:sz w:val="38"/>
        </w:rPr>
        <w:t>in</w:t>
      </w:r>
      <w:r>
        <w:rPr>
          <w:i/>
          <w:spacing w:val="-20"/>
          <w:sz w:val="38"/>
        </w:rPr>
        <w:t> </w:t>
      </w:r>
      <w:r>
        <w:rPr>
          <w:i/>
          <w:sz w:val="38"/>
        </w:rPr>
        <w:t>danger</w:t>
      </w:r>
      <w:r>
        <w:rPr>
          <w:i/>
          <w:spacing w:val="-21"/>
          <w:sz w:val="38"/>
        </w:rPr>
        <w:t> </w:t>
      </w:r>
      <w:r>
        <w:rPr>
          <w:i/>
          <w:sz w:val="38"/>
        </w:rPr>
        <w:t>starting</w:t>
      </w:r>
      <w:r>
        <w:rPr>
          <w:i/>
          <w:spacing w:val="-20"/>
          <w:sz w:val="38"/>
        </w:rPr>
        <w:t> </w:t>
      </w:r>
      <w:r>
        <w:rPr>
          <w:i/>
          <w:sz w:val="38"/>
        </w:rPr>
        <w:t>at</w:t>
      </w:r>
      <w:r>
        <w:rPr>
          <w:i/>
          <w:spacing w:val="-21"/>
          <w:sz w:val="38"/>
        </w:rPr>
        <w:t> </w:t>
      </w:r>
      <w:r>
        <w:rPr>
          <w:i/>
          <w:sz w:val="38"/>
        </w:rPr>
        <w:t>a</w:t>
      </w:r>
      <w:r>
        <w:rPr>
          <w:i/>
          <w:spacing w:val="-21"/>
          <w:sz w:val="38"/>
        </w:rPr>
        <w:t> </w:t>
      </w:r>
      <w:r>
        <w:rPr>
          <w:i/>
          <w:sz w:val="38"/>
        </w:rPr>
        <w:t>75</w:t>
      </w:r>
      <w:r>
        <w:rPr>
          <w:i/>
          <w:spacing w:val="-22"/>
          <w:sz w:val="38"/>
        </w:rPr>
        <w:t> </w:t>
      </w:r>
      <w:r>
        <w:rPr>
          <w:i/>
          <w:sz w:val="38"/>
        </w:rPr>
        <w:t>%</w:t>
      </w:r>
      <w:r>
        <w:rPr>
          <w:i/>
          <w:spacing w:val="-20"/>
          <w:sz w:val="38"/>
        </w:rPr>
        <w:t> </w:t>
      </w:r>
      <w:r>
        <w:rPr>
          <w:i/>
          <w:sz w:val="38"/>
        </w:rPr>
        <w:t>Q10</w:t>
      </w:r>
      <w:r>
        <w:rPr>
          <w:i/>
          <w:spacing w:val="-21"/>
          <w:sz w:val="38"/>
        </w:rPr>
        <w:t> </w:t>
      </w:r>
      <w:r>
        <w:rPr>
          <w:i/>
          <w:sz w:val="38"/>
        </w:rPr>
        <w:t>deficit.’</w:t>
      </w:r>
      <w:r>
        <w:rPr>
          <w:i/>
          <w:spacing w:val="-20"/>
          <w:sz w:val="38"/>
        </w:rPr>
        <w:t> </w:t>
      </w:r>
      <w:r>
        <w:rPr>
          <w:sz w:val="38"/>
        </w:rPr>
        <w:t>(Dr.</w:t>
      </w:r>
      <w:r>
        <w:rPr>
          <w:spacing w:val="-21"/>
          <w:sz w:val="38"/>
        </w:rPr>
        <w:t> </w:t>
      </w:r>
      <w:r>
        <w:rPr>
          <w:sz w:val="38"/>
        </w:rPr>
        <w:t>med.</w:t>
      </w:r>
      <w:r>
        <w:rPr>
          <w:spacing w:val="-19"/>
          <w:sz w:val="38"/>
        </w:rPr>
        <w:t> </w:t>
      </w:r>
      <w:r>
        <w:rPr>
          <w:sz w:val="38"/>
        </w:rPr>
        <w:t>Emile</w:t>
      </w:r>
      <w:r>
        <w:rPr>
          <w:spacing w:val="-25"/>
          <w:sz w:val="38"/>
        </w:rPr>
        <w:t> </w:t>
      </w:r>
      <w:r>
        <w:rPr>
          <w:sz w:val="38"/>
        </w:rPr>
        <w:t>G.</w:t>
      </w:r>
      <w:r>
        <w:rPr>
          <w:spacing w:val="-19"/>
          <w:sz w:val="38"/>
        </w:rPr>
        <w:t> </w:t>
      </w:r>
      <w:r>
        <w:rPr>
          <w:sz w:val="38"/>
        </w:rPr>
        <w:t>Bliznakow</w:t>
      </w:r>
    </w:p>
    <w:p>
      <w:pPr>
        <w:spacing w:line="276" w:lineRule="auto" w:before="305"/>
        <w:ind w:left="616" w:right="132" w:firstLine="0"/>
        <w:jc w:val="both"/>
        <w:rPr>
          <w:sz w:val="38"/>
        </w:rPr>
      </w:pPr>
      <w:r>
        <w:rPr>
          <w:i/>
          <w:sz w:val="38"/>
        </w:rPr>
        <w:t>‘Q10</w:t>
      </w:r>
      <w:r>
        <w:rPr>
          <w:i/>
          <w:spacing w:val="-15"/>
          <w:sz w:val="38"/>
        </w:rPr>
        <w:t> </w:t>
      </w:r>
      <w:r>
        <w:rPr>
          <w:i/>
          <w:sz w:val="38"/>
        </w:rPr>
        <w:t>achieves</w:t>
      </w:r>
      <w:r>
        <w:rPr>
          <w:i/>
          <w:spacing w:val="-15"/>
          <w:sz w:val="38"/>
        </w:rPr>
        <w:t> </w:t>
      </w:r>
      <w:r>
        <w:rPr>
          <w:i/>
          <w:sz w:val="38"/>
        </w:rPr>
        <w:t>better</w:t>
      </w:r>
      <w:r>
        <w:rPr>
          <w:i/>
          <w:spacing w:val="-13"/>
          <w:sz w:val="38"/>
        </w:rPr>
        <w:t> </w:t>
      </w:r>
      <w:r>
        <w:rPr>
          <w:i/>
          <w:sz w:val="38"/>
        </w:rPr>
        <w:t>results</w:t>
      </w:r>
      <w:r>
        <w:rPr>
          <w:i/>
          <w:spacing w:val="-17"/>
          <w:sz w:val="38"/>
        </w:rPr>
        <w:t> </w:t>
      </w:r>
      <w:r>
        <w:rPr>
          <w:i/>
          <w:sz w:val="38"/>
        </w:rPr>
        <w:t>in</w:t>
      </w:r>
      <w:r>
        <w:rPr>
          <w:i/>
          <w:spacing w:val="-14"/>
          <w:sz w:val="38"/>
        </w:rPr>
        <w:t> </w:t>
      </w:r>
      <w:r>
        <w:rPr>
          <w:i/>
          <w:sz w:val="38"/>
        </w:rPr>
        <w:t>persons</w:t>
      </w:r>
      <w:r>
        <w:rPr>
          <w:i/>
          <w:spacing w:val="-18"/>
          <w:sz w:val="38"/>
        </w:rPr>
        <w:t> </w:t>
      </w:r>
      <w:r>
        <w:rPr>
          <w:i/>
          <w:sz w:val="38"/>
        </w:rPr>
        <w:t>with</w:t>
      </w:r>
      <w:r>
        <w:rPr>
          <w:i/>
          <w:spacing w:val="-14"/>
          <w:sz w:val="38"/>
        </w:rPr>
        <w:t> </w:t>
      </w:r>
      <w:r>
        <w:rPr>
          <w:i/>
          <w:sz w:val="38"/>
        </w:rPr>
        <w:t>severe</w:t>
      </w:r>
      <w:r>
        <w:rPr>
          <w:i/>
          <w:spacing w:val="-14"/>
          <w:sz w:val="38"/>
        </w:rPr>
        <w:t> </w:t>
      </w:r>
      <w:r>
        <w:rPr>
          <w:i/>
          <w:sz w:val="38"/>
        </w:rPr>
        <w:t>heart</w:t>
      </w:r>
      <w:r>
        <w:rPr>
          <w:i/>
          <w:spacing w:val="-16"/>
          <w:sz w:val="38"/>
        </w:rPr>
        <w:t> </w:t>
      </w:r>
      <w:r>
        <w:rPr>
          <w:i/>
          <w:sz w:val="38"/>
        </w:rPr>
        <w:t>disease</w:t>
      </w:r>
      <w:r>
        <w:rPr>
          <w:i/>
          <w:spacing w:val="-15"/>
          <w:sz w:val="38"/>
        </w:rPr>
        <w:t> </w:t>
      </w:r>
      <w:r>
        <w:rPr>
          <w:i/>
          <w:sz w:val="38"/>
        </w:rPr>
        <w:t>than</w:t>
      </w:r>
      <w:r>
        <w:rPr>
          <w:i/>
          <w:spacing w:val="-16"/>
          <w:sz w:val="38"/>
        </w:rPr>
        <w:t> </w:t>
      </w:r>
      <w:r>
        <w:rPr>
          <w:i/>
          <w:sz w:val="38"/>
        </w:rPr>
        <w:t>traditional</w:t>
      </w:r>
      <w:r>
        <w:rPr>
          <w:i/>
          <w:spacing w:val="-15"/>
          <w:sz w:val="38"/>
        </w:rPr>
        <w:t> </w:t>
      </w:r>
      <w:r>
        <w:rPr>
          <w:i/>
          <w:sz w:val="38"/>
        </w:rPr>
        <w:t>treatments... </w:t>
      </w:r>
      <w:r>
        <w:rPr>
          <w:i/>
          <w:sz w:val="38"/>
        </w:rPr>
        <w:t>Improved quality of life for persons with severe heart disease... Normalisation of Q10 levels in the heart causes significant increase in organ performance... Q10 protects against repeat heart attacks... The more serious the clinical picture, the more Q10 the heart absorbs... Dramatic</w:t>
      </w:r>
      <w:r>
        <w:rPr>
          <w:i/>
          <w:spacing w:val="-11"/>
          <w:sz w:val="38"/>
        </w:rPr>
        <w:t> </w:t>
      </w:r>
      <w:r>
        <w:rPr>
          <w:i/>
          <w:sz w:val="38"/>
        </w:rPr>
        <w:t>consequences</w:t>
      </w:r>
      <w:r>
        <w:rPr>
          <w:i/>
          <w:spacing w:val="-11"/>
          <w:sz w:val="38"/>
        </w:rPr>
        <w:t> </w:t>
      </w:r>
      <w:r>
        <w:rPr>
          <w:i/>
          <w:sz w:val="38"/>
        </w:rPr>
        <w:t>with</w:t>
      </w:r>
      <w:r>
        <w:rPr>
          <w:i/>
          <w:spacing w:val="-12"/>
          <w:sz w:val="38"/>
        </w:rPr>
        <w:t> </w:t>
      </w:r>
      <w:r>
        <w:rPr>
          <w:i/>
          <w:sz w:val="38"/>
        </w:rPr>
        <w:t>decrease</w:t>
      </w:r>
      <w:r>
        <w:rPr>
          <w:i/>
          <w:spacing w:val="-11"/>
          <w:sz w:val="38"/>
        </w:rPr>
        <w:t> </w:t>
      </w:r>
      <w:r>
        <w:rPr>
          <w:i/>
          <w:sz w:val="38"/>
        </w:rPr>
        <w:t>of</w:t>
      </w:r>
      <w:r>
        <w:rPr>
          <w:i/>
          <w:spacing w:val="-10"/>
          <w:sz w:val="38"/>
        </w:rPr>
        <w:t> </w:t>
      </w:r>
      <w:r>
        <w:rPr>
          <w:i/>
          <w:sz w:val="38"/>
        </w:rPr>
        <w:t>additional</w:t>
      </w:r>
      <w:r>
        <w:rPr>
          <w:i/>
          <w:spacing w:val="-10"/>
          <w:sz w:val="38"/>
        </w:rPr>
        <w:t> </w:t>
      </w:r>
      <w:r>
        <w:rPr>
          <w:i/>
          <w:sz w:val="38"/>
        </w:rPr>
        <w:t>Q10</w:t>
      </w:r>
      <w:r>
        <w:rPr>
          <w:i/>
          <w:spacing w:val="-13"/>
          <w:sz w:val="38"/>
        </w:rPr>
        <w:t> </w:t>
      </w:r>
      <w:r>
        <w:rPr>
          <w:i/>
          <w:sz w:val="38"/>
        </w:rPr>
        <w:t>dispensations...</w:t>
      </w:r>
      <w:r>
        <w:rPr>
          <w:i/>
          <w:spacing w:val="-8"/>
          <w:sz w:val="38"/>
        </w:rPr>
        <w:t> </w:t>
      </w:r>
      <w:r>
        <w:rPr>
          <w:i/>
          <w:sz w:val="38"/>
        </w:rPr>
        <w:t>Successful</w:t>
      </w:r>
      <w:r>
        <w:rPr>
          <w:i/>
          <w:spacing w:val="-12"/>
          <w:sz w:val="38"/>
        </w:rPr>
        <w:t> </w:t>
      </w:r>
      <w:r>
        <w:rPr>
          <w:i/>
          <w:sz w:val="38"/>
        </w:rPr>
        <w:t>long-term treatment with Q10... Reduced side effects with a combination of Q10 and heart prepara- tions... Q10 decreases angina pectoris attacks... Q10 protects the heart before, during and after heart operations.’ </w:t>
      </w:r>
      <w:r>
        <w:rPr>
          <w:sz w:val="38"/>
        </w:rPr>
        <w:t>(Dr. med. E. G.</w:t>
      </w:r>
      <w:r>
        <w:rPr>
          <w:spacing w:val="2"/>
          <w:sz w:val="38"/>
        </w:rPr>
        <w:t> </w:t>
      </w:r>
      <w:r>
        <w:rPr>
          <w:sz w:val="38"/>
        </w:rPr>
        <w:t>Bliznakow)</w:t>
      </w:r>
    </w:p>
    <w:p>
      <w:pPr>
        <w:spacing w:line="276" w:lineRule="auto" w:before="241"/>
        <w:ind w:left="616" w:right="135" w:firstLine="0"/>
        <w:jc w:val="both"/>
        <w:rPr>
          <w:sz w:val="38"/>
        </w:rPr>
      </w:pPr>
      <w:r>
        <w:rPr/>
        <w:pict>
          <v:line style="position:absolute;mso-position-horizontal-relative:page;mso-position-vertical-relative:paragraph;z-index:-1258264" from="72.924004pt,12.200521pt" to="72.924004pt,33.464521pt" stroked="true" strokeweight="4.2pt" strokecolor="#ffff00">
            <v:stroke dashstyle="solid"/>
            <w10:wrap type="none"/>
          </v:line>
        </w:pict>
      </w:r>
      <w:r>
        <w:rPr>
          <w:i/>
          <w:sz w:val="38"/>
        </w:rPr>
        <w:t>‘Heart patients felt personally less tired, their tolerance for activity increased and existing </w:t>
      </w:r>
      <w:r>
        <w:rPr>
          <w:i/>
          <w:sz w:val="38"/>
        </w:rPr>
        <w:t>ageing complaints disappeared.’ </w:t>
      </w:r>
      <w:r>
        <w:rPr>
          <w:sz w:val="38"/>
        </w:rPr>
        <w:t>(Dr. Mortensen, Municipal Hospital Denmark)</w:t>
      </w:r>
    </w:p>
    <w:p>
      <w:pPr>
        <w:spacing w:line="276" w:lineRule="auto" w:before="239"/>
        <w:ind w:left="616" w:right="135" w:firstLine="0"/>
        <w:jc w:val="both"/>
        <w:rPr>
          <w:sz w:val="38"/>
        </w:rPr>
      </w:pPr>
      <w:r>
        <w:rPr>
          <w:i/>
          <w:sz w:val="38"/>
        </w:rPr>
        <w:t>‘Your improvement in heart performance seems to have been achieved through Q10, which </w:t>
      </w:r>
      <w:r>
        <w:rPr>
          <w:i/>
          <w:sz w:val="38"/>
        </w:rPr>
        <w:t>makes</w:t>
      </w:r>
      <w:r>
        <w:rPr>
          <w:i/>
          <w:spacing w:val="-18"/>
          <w:sz w:val="38"/>
        </w:rPr>
        <w:t> </w:t>
      </w:r>
      <w:r>
        <w:rPr>
          <w:i/>
          <w:sz w:val="38"/>
        </w:rPr>
        <w:t>the</w:t>
      </w:r>
      <w:r>
        <w:rPr>
          <w:i/>
          <w:spacing w:val="-17"/>
          <w:sz w:val="38"/>
        </w:rPr>
        <w:t> </w:t>
      </w:r>
      <w:r>
        <w:rPr>
          <w:i/>
          <w:sz w:val="38"/>
        </w:rPr>
        <w:t>possibility</w:t>
      </w:r>
      <w:r>
        <w:rPr>
          <w:i/>
          <w:spacing w:val="-15"/>
          <w:sz w:val="38"/>
        </w:rPr>
        <w:t> </w:t>
      </w:r>
      <w:r>
        <w:rPr>
          <w:i/>
          <w:sz w:val="38"/>
        </w:rPr>
        <w:t>of</w:t>
      </w:r>
      <w:r>
        <w:rPr>
          <w:i/>
          <w:spacing w:val="-18"/>
          <w:sz w:val="38"/>
        </w:rPr>
        <w:t> </w:t>
      </w:r>
      <w:r>
        <w:rPr>
          <w:i/>
          <w:sz w:val="38"/>
        </w:rPr>
        <w:t>using</w:t>
      </w:r>
      <w:r>
        <w:rPr>
          <w:i/>
          <w:spacing w:val="-19"/>
          <w:sz w:val="38"/>
        </w:rPr>
        <w:t> </w:t>
      </w:r>
      <w:r>
        <w:rPr>
          <w:i/>
          <w:sz w:val="38"/>
        </w:rPr>
        <w:t>this</w:t>
      </w:r>
      <w:r>
        <w:rPr>
          <w:i/>
          <w:spacing w:val="-16"/>
          <w:sz w:val="38"/>
        </w:rPr>
        <w:t> </w:t>
      </w:r>
      <w:r>
        <w:rPr>
          <w:i/>
          <w:sz w:val="38"/>
        </w:rPr>
        <w:t>substance</w:t>
      </w:r>
      <w:r>
        <w:rPr>
          <w:i/>
          <w:spacing w:val="-17"/>
          <w:sz w:val="38"/>
        </w:rPr>
        <w:t> </w:t>
      </w:r>
      <w:r>
        <w:rPr>
          <w:i/>
          <w:sz w:val="38"/>
        </w:rPr>
        <w:t>during</w:t>
      </w:r>
      <w:r>
        <w:rPr>
          <w:i/>
          <w:spacing w:val="-16"/>
          <w:sz w:val="38"/>
        </w:rPr>
        <w:t> </w:t>
      </w:r>
      <w:r>
        <w:rPr>
          <w:i/>
          <w:sz w:val="38"/>
        </w:rPr>
        <w:t>sports</w:t>
      </w:r>
      <w:r>
        <w:rPr>
          <w:i/>
          <w:spacing w:val="-18"/>
          <w:sz w:val="38"/>
        </w:rPr>
        <w:t> </w:t>
      </w:r>
      <w:r>
        <w:rPr>
          <w:i/>
          <w:sz w:val="38"/>
        </w:rPr>
        <w:t>significant,</w:t>
      </w:r>
      <w:r>
        <w:rPr>
          <w:i/>
          <w:spacing w:val="-16"/>
          <w:sz w:val="38"/>
        </w:rPr>
        <w:t> </w:t>
      </w:r>
      <w:r>
        <w:rPr>
          <w:i/>
          <w:sz w:val="38"/>
        </w:rPr>
        <w:t>including</w:t>
      </w:r>
      <w:r>
        <w:rPr>
          <w:i/>
          <w:spacing w:val="-20"/>
          <w:sz w:val="38"/>
        </w:rPr>
        <w:t> </w:t>
      </w:r>
      <w:r>
        <w:rPr>
          <w:i/>
          <w:sz w:val="38"/>
        </w:rPr>
        <w:t>and</w:t>
      </w:r>
      <w:r>
        <w:rPr>
          <w:i/>
          <w:spacing w:val="-15"/>
          <w:sz w:val="38"/>
        </w:rPr>
        <w:t> </w:t>
      </w:r>
      <w:r>
        <w:rPr>
          <w:i/>
          <w:sz w:val="38"/>
        </w:rPr>
        <w:t>especially in competitive sports.’ </w:t>
      </w:r>
      <w:r>
        <w:rPr>
          <w:sz w:val="38"/>
        </w:rPr>
        <w:t>(Servizio di Medicina dello Sport, Jesi,</w:t>
      </w:r>
      <w:r>
        <w:rPr>
          <w:spacing w:val="-2"/>
          <w:sz w:val="38"/>
        </w:rPr>
        <w:t> </w:t>
      </w:r>
      <w:r>
        <w:rPr>
          <w:sz w:val="38"/>
        </w:rPr>
        <w:t>Italy)</w:t>
      </w:r>
    </w:p>
    <w:p>
      <w:pPr>
        <w:spacing w:line="276" w:lineRule="auto" w:before="241"/>
        <w:ind w:left="616" w:right="132" w:firstLine="0"/>
        <w:jc w:val="both"/>
        <w:rPr>
          <w:sz w:val="38"/>
        </w:rPr>
      </w:pPr>
      <w:r>
        <w:rPr>
          <w:i/>
          <w:sz w:val="38"/>
        </w:rPr>
        <w:t>‘Our</w:t>
      </w:r>
      <w:r>
        <w:rPr>
          <w:i/>
          <w:spacing w:val="-4"/>
          <w:sz w:val="38"/>
        </w:rPr>
        <w:t> </w:t>
      </w:r>
      <w:r>
        <w:rPr>
          <w:i/>
          <w:sz w:val="38"/>
        </w:rPr>
        <w:t>results</w:t>
      </w:r>
      <w:r>
        <w:rPr>
          <w:i/>
          <w:spacing w:val="-6"/>
          <w:sz w:val="38"/>
        </w:rPr>
        <w:t> </w:t>
      </w:r>
      <w:r>
        <w:rPr>
          <w:i/>
          <w:sz w:val="38"/>
        </w:rPr>
        <w:t>show</w:t>
      </w:r>
      <w:r>
        <w:rPr>
          <w:i/>
          <w:spacing w:val="-6"/>
          <w:sz w:val="38"/>
        </w:rPr>
        <w:t> </w:t>
      </w:r>
      <w:r>
        <w:rPr>
          <w:i/>
          <w:sz w:val="38"/>
        </w:rPr>
        <w:t>that</w:t>
      </w:r>
      <w:r>
        <w:rPr>
          <w:i/>
          <w:spacing w:val="-2"/>
          <w:sz w:val="38"/>
        </w:rPr>
        <w:t> </w:t>
      </w:r>
      <w:r>
        <w:rPr>
          <w:i/>
          <w:sz w:val="38"/>
        </w:rPr>
        <w:t>Q10</w:t>
      </w:r>
      <w:r>
        <w:rPr>
          <w:i/>
          <w:spacing w:val="-2"/>
          <w:sz w:val="38"/>
        </w:rPr>
        <w:t> </w:t>
      </w:r>
      <w:r>
        <w:rPr>
          <w:i/>
          <w:sz w:val="38"/>
        </w:rPr>
        <w:t>can</w:t>
      </w:r>
      <w:r>
        <w:rPr>
          <w:i/>
          <w:spacing w:val="-6"/>
          <w:sz w:val="38"/>
        </w:rPr>
        <w:t> </w:t>
      </w:r>
      <w:r>
        <w:rPr>
          <w:i/>
          <w:sz w:val="38"/>
        </w:rPr>
        <w:t>be</w:t>
      </w:r>
      <w:r>
        <w:rPr>
          <w:i/>
          <w:spacing w:val="-6"/>
          <w:sz w:val="38"/>
        </w:rPr>
        <w:t> </w:t>
      </w:r>
      <w:r>
        <w:rPr>
          <w:i/>
          <w:sz w:val="38"/>
        </w:rPr>
        <w:t>used</w:t>
      </w:r>
      <w:r>
        <w:rPr>
          <w:i/>
          <w:spacing w:val="-4"/>
          <w:sz w:val="38"/>
        </w:rPr>
        <w:t> </w:t>
      </w:r>
      <w:r>
        <w:rPr>
          <w:i/>
          <w:sz w:val="38"/>
        </w:rPr>
        <w:t>prophylactically</w:t>
      </w:r>
      <w:r>
        <w:rPr>
          <w:i/>
          <w:spacing w:val="-6"/>
          <w:sz w:val="38"/>
        </w:rPr>
        <w:t> </w:t>
      </w:r>
      <w:r>
        <w:rPr>
          <w:i/>
          <w:sz w:val="38"/>
        </w:rPr>
        <w:t>to</w:t>
      </w:r>
      <w:r>
        <w:rPr>
          <w:i/>
          <w:spacing w:val="-3"/>
          <w:sz w:val="38"/>
        </w:rPr>
        <w:t> </w:t>
      </w:r>
      <w:r>
        <w:rPr>
          <w:i/>
          <w:sz w:val="38"/>
        </w:rPr>
        <w:t>protect</w:t>
      </w:r>
      <w:r>
        <w:rPr>
          <w:i/>
          <w:spacing w:val="-5"/>
          <w:sz w:val="38"/>
        </w:rPr>
        <w:t> </w:t>
      </w:r>
      <w:r>
        <w:rPr>
          <w:i/>
          <w:sz w:val="38"/>
        </w:rPr>
        <w:t>the</w:t>
      </w:r>
      <w:r>
        <w:rPr>
          <w:i/>
          <w:spacing w:val="-3"/>
          <w:sz w:val="38"/>
        </w:rPr>
        <w:t> </w:t>
      </w:r>
      <w:r>
        <w:rPr>
          <w:i/>
          <w:sz w:val="38"/>
        </w:rPr>
        <w:t>heart</w:t>
      </w:r>
      <w:r>
        <w:rPr>
          <w:i/>
          <w:spacing w:val="-7"/>
          <w:sz w:val="38"/>
        </w:rPr>
        <w:t> </w:t>
      </w:r>
      <w:r>
        <w:rPr>
          <w:i/>
          <w:sz w:val="38"/>
        </w:rPr>
        <w:t>muscle</w:t>
      </w:r>
      <w:r>
        <w:rPr>
          <w:i/>
          <w:spacing w:val="-6"/>
          <w:sz w:val="38"/>
        </w:rPr>
        <w:t> </w:t>
      </w:r>
      <w:r>
        <w:rPr>
          <w:i/>
          <w:sz w:val="38"/>
        </w:rPr>
        <w:t>from</w:t>
      </w:r>
      <w:r>
        <w:rPr>
          <w:i/>
          <w:spacing w:val="-5"/>
          <w:sz w:val="38"/>
        </w:rPr>
        <w:t> </w:t>
      </w:r>
      <w:r>
        <w:rPr>
          <w:i/>
          <w:sz w:val="38"/>
        </w:rPr>
        <w:t>the </w:t>
      </w:r>
      <w:r>
        <w:rPr>
          <w:i/>
          <w:sz w:val="38"/>
        </w:rPr>
        <w:t>terrible consequences of ischemia.’ </w:t>
      </w:r>
      <w:r>
        <w:rPr>
          <w:sz w:val="38"/>
        </w:rPr>
        <w:t>(Dr. G. Nayler, Cardiothoracic Institute of the University of</w:t>
      </w:r>
      <w:r>
        <w:rPr>
          <w:spacing w:val="-3"/>
          <w:sz w:val="38"/>
        </w:rPr>
        <w:t> </w:t>
      </w:r>
      <w:r>
        <w:rPr>
          <w:sz w:val="38"/>
        </w:rPr>
        <w:t>London)</w:t>
      </w:r>
    </w:p>
    <w:p>
      <w:pPr>
        <w:spacing w:after="0" w:line="276" w:lineRule="auto"/>
        <w:jc w:val="both"/>
        <w:rPr>
          <w:sz w:val="38"/>
        </w:rPr>
        <w:sectPr>
          <w:pgSz w:w="14270" w:h="16850"/>
          <w:pgMar w:header="0" w:footer="1891" w:top="1340" w:bottom="2080" w:left="800" w:right="1280"/>
        </w:sectPr>
      </w:pPr>
    </w:p>
    <w:p>
      <w:pPr>
        <w:spacing w:line="276" w:lineRule="auto" w:before="74"/>
        <w:ind w:left="616" w:right="133" w:firstLine="0"/>
        <w:jc w:val="both"/>
        <w:rPr>
          <w:sz w:val="38"/>
        </w:rPr>
      </w:pPr>
      <w:r>
        <w:rPr>
          <w:i/>
          <w:sz w:val="38"/>
        </w:rPr>
        <w:t>‘The intellectual ethics of doctors, and cardiologists specifically, should be questioned if they </w:t>
      </w:r>
      <w:r>
        <w:rPr>
          <w:i/>
          <w:sz w:val="38"/>
        </w:rPr>
        <w:t>administer all possible available and indicated medications without including Q10. Because no heart medication can remedy a lack of Q10.’ </w:t>
      </w:r>
      <w:r>
        <w:rPr>
          <w:sz w:val="38"/>
        </w:rPr>
        <w:t>(Professor Dr. Karl Folkers,</w:t>
      </w:r>
      <w:r>
        <w:rPr>
          <w:spacing w:val="-45"/>
          <w:sz w:val="38"/>
        </w:rPr>
        <w:t> </w:t>
      </w:r>
      <w:r>
        <w:rPr>
          <w:sz w:val="38"/>
        </w:rPr>
        <w:t>Univer- sity of</w:t>
      </w:r>
      <w:r>
        <w:rPr>
          <w:spacing w:val="1"/>
          <w:sz w:val="38"/>
        </w:rPr>
        <w:t> </w:t>
      </w:r>
      <w:r>
        <w:rPr>
          <w:sz w:val="38"/>
        </w:rPr>
        <w:t>Texas)</w:t>
      </w:r>
    </w:p>
    <w:p>
      <w:pPr>
        <w:spacing w:line="278" w:lineRule="auto" w:before="239"/>
        <w:ind w:left="616" w:right="137" w:firstLine="96"/>
        <w:jc w:val="both"/>
        <w:rPr>
          <w:sz w:val="38"/>
        </w:rPr>
      </w:pPr>
      <w:r>
        <w:rPr>
          <w:i/>
          <w:sz w:val="38"/>
        </w:rPr>
        <w:t>‘In</w:t>
      </w:r>
      <w:r>
        <w:rPr>
          <w:i/>
          <w:spacing w:val="-11"/>
          <w:sz w:val="38"/>
        </w:rPr>
        <w:t> </w:t>
      </w:r>
      <w:r>
        <w:rPr>
          <w:i/>
          <w:sz w:val="38"/>
        </w:rPr>
        <w:t>healthy</w:t>
      </w:r>
      <w:r>
        <w:rPr>
          <w:i/>
          <w:spacing w:val="-11"/>
          <w:sz w:val="38"/>
        </w:rPr>
        <w:t> </w:t>
      </w:r>
      <w:r>
        <w:rPr>
          <w:i/>
          <w:sz w:val="38"/>
        </w:rPr>
        <w:t>hearts,</w:t>
      </w:r>
      <w:r>
        <w:rPr>
          <w:i/>
          <w:spacing w:val="-12"/>
          <w:sz w:val="38"/>
        </w:rPr>
        <w:t> </w:t>
      </w:r>
      <w:r>
        <w:rPr>
          <w:i/>
          <w:sz w:val="38"/>
        </w:rPr>
        <w:t>Q10</w:t>
      </w:r>
      <w:r>
        <w:rPr>
          <w:i/>
          <w:spacing w:val="-9"/>
          <w:sz w:val="38"/>
        </w:rPr>
        <w:t> </w:t>
      </w:r>
      <w:r>
        <w:rPr>
          <w:i/>
          <w:sz w:val="38"/>
        </w:rPr>
        <w:t>content</w:t>
      </w:r>
      <w:r>
        <w:rPr>
          <w:i/>
          <w:spacing w:val="-9"/>
          <w:sz w:val="38"/>
        </w:rPr>
        <w:t> </w:t>
      </w:r>
      <w:r>
        <w:rPr>
          <w:i/>
          <w:sz w:val="38"/>
        </w:rPr>
        <w:t>is</w:t>
      </w:r>
      <w:r>
        <w:rPr>
          <w:i/>
          <w:spacing w:val="-12"/>
          <w:sz w:val="38"/>
        </w:rPr>
        <w:t> </w:t>
      </w:r>
      <w:r>
        <w:rPr>
          <w:i/>
          <w:sz w:val="38"/>
        </w:rPr>
        <w:t>sufficient,</w:t>
      </w:r>
      <w:r>
        <w:rPr>
          <w:i/>
          <w:spacing w:val="-8"/>
          <w:sz w:val="38"/>
        </w:rPr>
        <w:t> </w:t>
      </w:r>
      <w:r>
        <w:rPr>
          <w:i/>
          <w:sz w:val="38"/>
        </w:rPr>
        <w:t>but</w:t>
      </w:r>
      <w:r>
        <w:rPr>
          <w:i/>
          <w:spacing w:val="-11"/>
          <w:sz w:val="38"/>
        </w:rPr>
        <w:t> </w:t>
      </w:r>
      <w:r>
        <w:rPr>
          <w:i/>
          <w:sz w:val="38"/>
        </w:rPr>
        <w:t>in</w:t>
      </w:r>
      <w:r>
        <w:rPr>
          <w:i/>
          <w:spacing w:val="-11"/>
          <w:sz w:val="38"/>
        </w:rPr>
        <w:t> </w:t>
      </w:r>
      <w:r>
        <w:rPr>
          <w:i/>
          <w:sz w:val="38"/>
        </w:rPr>
        <w:t>pathological</w:t>
      </w:r>
      <w:r>
        <w:rPr>
          <w:i/>
          <w:spacing w:val="-10"/>
          <w:sz w:val="38"/>
        </w:rPr>
        <w:t> </w:t>
      </w:r>
      <w:r>
        <w:rPr>
          <w:i/>
          <w:sz w:val="38"/>
        </w:rPr>
        <w:t>stages</w:t>
      </w:r>
      <w:r>
        <w:rPr>
          <w:i/>
          <w:spacing w:val="-10"/>
          <w:sz w:val="38"/>
        </w:rPr>
        <w:t> </w:t>
      </w:r>
      <w:r>
        <w:rPr>
          <w:i/>
          <w:sz w:val="38"/>
        </w:rPr>
        <w:t>or</w:t>
      </w:r>
      <w:r>
        <w:rPr>
          <w:i/>
          <w:spacing w:val="-9"/>
          <w:sz w:val="38"/>
        </w:rPr>
        <w:t> </w:t>
      </w:r>
      <w:r>
        <w:rPr>
          <w:i/>
          <w:sz w:val="38"/>
        </w:rPr>
        <w:t>with</w:t>
      </w:r>
      <w:r>
        <w:rPr>
          <w:i/>
          <w:spacing w:val="-11"/>
          <w:sz w:val="38"/>
        </w:rPr>
        <w:t> </w:t>
      </w:r>
      <w:r>
        <w:rPr>
          <w:i/>
          <w:sz w:val="38"/>
        </w:rPr>
        <w:t>heart</w:t>
      </w:r>
      <w:r>
        <w:rPr>
          <w:i/>
          <w:spacing w:val="-9"/>
          <w:sz w:val="38"/>
        </w:rPr>
        <w:t> </w:t>
      </w:r>
      <w:r>
        <w:rPr>
          <w:i/>
          <w:sz w:val="38"/>
        </w:rPr>
        <w:t>disease, </w:t>
      </w:r>
      <w:r>
        <w:rPr>
          <w:i/>
          <w:sz w:val="38"/>
        </w:rPr>
        <w:t>there is a Q10 deficit.’ </w:t>
      </w:r>
      <w:r>
        <w:rPr>
          <w:sz w:val="38"/>
        </w:rPr>
        <w:t>(Dr. Tsuyuasaki, Kitaseto University Clinic,</w:t>
      </w:r>
      <w:r>
        <w:rPr>
          <w:spacing w:val="-15"/>
          <w:sz w:val="38"/>
        </w:rPr>
        <w:t> </w:t>
      </w:r>
      <w:r>
        <w:rPr>
          <w:sz w:val="38"/>
        </w:rPr>
        <w:t>Japan)</w:t>
      </w:r>
    </w:p>
    <w:p>
      <w:pPr>
        <w:spacing w:line="276" w:lineRule="auto" w:before="233"/>
        <w:ind w:left="616" w:right="134" w:firstLine="0"/>
        <w:jc w:val="both"/>
        <w:rPr>
          <w:sz w:val="38"/>
        </w:rPr>
      </w:pPr>
      <w:r>
        <w:rPr>
          <w:i/>
          <w:sz w:val="38"/>
        </w:rPr>
        <w:t>‘The increase in heart performance, the minimised susceptibility to heart attack and the in- </w:t>
      </w:r>
      <w:r>
        <w:rPr>
          <w:i/>
          <w:sz w:val="38"/>
        </w:rPr>
        <w:t>creased survival time with patients treated with Q10 is the beginning of a new era in the treatment of heart muscle diseases due to energy deficit and the failure of the heart muscle.’ </w:t>
      </w:r>
      <w:r>
        <w:rPr>
          <w:sz w:val="38"/>
        </w:rPr>
        <w:t>(Dr. W. V. Judy, St. Vicent Hospital, USA)</w:t>
      </w:r>
    </w:p>
    <w:p>
      <w:pPr>
        <w:spacing w:line="278" w:lineRule="auto" w:before="239"/>
        <w:ind w:left="616" w:right="140" w:firstLine="0"/>
        <w:jc w:val="both"/>
        <w:rPr>
          <w:sz w:val="38"/>
        </w:rPr>
      </w:pPr>
      <w:r>
        <w:rPr>
          <w:i/>
          <w:sz w:val="38"/>
        </w:rPr>
        <w:t>‘The</w:t>
      </w:r>
      <w:r>
        <w:rPr>
          <w:i/>
          <w:spacing w:val="-7"/>
          <w:sz w:val="38"/>
        </w:rPr>
        <w:t> </w:t>
      </w:r>
      <w:r>
        <w:rPr>
          <w:i/>
          <w:sz w:val="38"/>
        </w:rPr>
        <w:t>maximum</w:t>
      </w:r>
      <w:r>
        <w:rPr>
          <w:i/>
          <w:spacing w:val="-7"/>
          <w:sz w:val="38"/>
        </w:rPr>
        <w:t> </w:t>
      </w:r>
      <w:r>
        <w:rPr>
          <w:i/>
          <w:sz w:val="38"/>
        </w:rPr>
        <w:t>capacity</w:t>
      </w:r>
      <w:r>
        <w:rPr>
          <w:i/>
          <w:spacing w:val="-5"/>
          <w:sz w:val="38"/>
        </w:rPr>
        <w:t> </w:t>
      </w:r>
      <w:r>
        <w:rPr>
          <w:i/>
          <w:sz w:val="38"/>
        </w:rPr>
        <w:t>of</w:t>
      </w:r>
      <w:r>
        <w:rPr>
          <w:i/>
          <w:spacing w:val="-9"/>
          <w:sz w:val="38"/>
        </w:rPr>
        <w:t> </w:t>
      </w:r>
      <w:r>
        <w:rPr>
          <w:i/>
          <w:sz w:val="38"/>
        </w:rPr>
        <w:t>the</w:t>
      </w:r>
      <w:r>
        <w:rPr>
          <w:i/>
          <w:spacing w:val="-7"/>
          <w:sz w:val="38"/>
        </w:rPr>
        <w:t> </w:t>
      </w:r>
      <w:r>
        <w:rPr>
          <w:i/>
          <w:sz w:val="38"/>
        </w:rPr>
        <w:t>heart</w:t>
      </w:r>
      <w:r>
        <w:rPr>
          <w:i/>
          <w:spacing w:val="-9"/>
          <w:sz w:val="38"/>
        </w:rPr>
        <w:t> </w:t>
      </w:r>
      <w:r>
        <w:rPr>
          <w:i/>
          <w:sz w:val="38"/>
        </w:rPr>
        <w:t>was</w:t>
      </w:r>
      <w:r>
        <w:rPr>
          <w:i/>
          <w:spacing w:val="-8"/>
          <w:sz w:val="38"/>
        </w:rPr>
        <w:t> </w:t>
      </w:r>
      <w:r>
        <w:rPr>
          <w:i/>
          <w:sz w:val="38"/>
        </w:rPr>
        <w:t>able</w:t>
      </w:r>
      <w:r>
        <w:rPr>
          <w:i/>
          <w:spacing w:val="-7"/>
          <w:sz w:val="38"/>
        </w:rPr>
        <w:t> </w:t>
      </w:r>
      <w:r>
        <w:rPr>
          <w:i/>
          <w:sz w:val="38"/>
        </w:rPr>
        <w:t>to</w:t>
      </w:r>
      <w:r>
        <w:rPr>
          <w:i/>
          <w:spacing w:val="-7"/>
          <w:sz w:val="38"/>
        </w:rPr>
        <w:t> </w:t>
      </w:r>
      <w:r>
        <w:rPr>
          <w:i/>
          <w:sz w:val="38"/>
        </w:rPr>
        <w:t>be</w:t>
      </w:r>
      <w:r>
        <w:rPr>
          <w:i/>
          <w:spacing w:val="-8"/>
          <w:sz w:val="38"/>
        </w:rPr>
        <w:t> </w:t>
      </w:r>
      <w:r>
        <w:rPr>
          <w:i/>
          <w:sz w:val="38"/>
        </w:rPr>
        <w:t>continually</w:t>
      </w:r>
      <w:r>
        <w:rPr>
          <w:i/>
          <w:spacing w:val="-8"/>
          <w:sz w:val="38"/>
        </w:rPr>
        <w:t> </w:t>
      </w:r>
      <w:r>
        <w:rPr>
          <w:i/>
          <w:sz w:val="38"/>
        </w:rPr>
        <w:t>increased</w:t>
      </w:r>
      <w:r>
        <w:rPr>
          <w:i/>
          <w:spacing w:val="-8"/>
          <w:sz w:val="38"/>
        </w:rPr>
        <w:t> </w:t>
      </w:r>
      <w:r>
        <w:rPr>
          <w:i/>
          <w:sz w:val="38"/>
        </w:rPr>
        <w:t>during</w:t>
      </w:r>
      <w:r>
        <w:rPr>
          <w:i/>
          <w:spacing w:val="-6"/>
          <w:sz w:val="38"/>
        </w:rPr>
        <w:t> </w:t>
      </w:r>
      <w:r>
        <w:rPr>
          <w:i/>
          <w:sz w:val="38"/>
        </w:rPr>
        <w:t>the</w:t>
      </w:r>
      <w:r>
        <w:rPr>
          <w:i/>
          <w:spacing w:val="-7"/>
          <w:sz w:val="38"/>
        </w:rPr>
        <w:t> </w:t>
      </w:r>
      <w:r>
        <w:rPr>
          <w:i/>
          <w:sz w:val="38"/>
        </w:rPr>
        <w:t>8</w:t>
      </w:r>
      <w:r>
        <w:rPr>
          <w:i/>
          <w:spacing w:val="-9"/>
          <w:sz w:val="38"/>
        </w:rPr>
        <w:t> </w:t>
      </w:r>
      <w:r>
        <w:rPr>
          <w:i/>
          <w:sz w:val="38"/>
        </w:rPr>
        <w:t>weeks </w:t>
      </w:r>
      <w:r>
        <w:rPr>
          <w:i/>
          <w:sz w:val="38"/>
        </w:rPr>
        <w:t>of Q10 administration.’ </w:t>
      </w:r>
      <w:r>
        <w:rPr>
          <w:sz w:val="38"/>
        </w:rPr>
        <w:t>(Dr. Vanfraechem, University of</w:t>
      </w:r>
      <w:r>
        <w:rPr>
          <w:spacing w:val="-1"/>
          <w:sz w:val="38"/>
        </w:rPr>
        <w:t> </w:t>
      </w:r>
      <w:r>
        <w:rPr>
          <w:sz w:val="38"/>
        </w:rPr>
        <w:t>Brussels)</w:t>
      </w:r>
    </w:p>
    <w:p>
      <w:pPr>
        <w:spacing w:line="276" w:lineRule="auto" w:before="232"/>
        <w:ind w:left="616" w:right="132" w:firstLine="0"/>
        <w:jc w:val="both"/>
        <w:rPr>
          <w:sz w:val="38"/>
        </w:rPr>
      </w:pPr>
      <w:r>
        <w:rPr>
          <w:i/>
          <w:sz w:val="38"/>
        </w:rPr>
        <w:t>‘Q10 is simply a prerequisite for human life—no Q10, no life.’ </w:t>
      </w:r>
      <w:r>
        <w:rPr>
          <w:sz w:val="38"/>
        </w:rPr>
        <w:t>(Professor Dr. Karl Folkers, University of Texas)</w:t>
      </w:r>
    </w:p>
    <w:p>
      <w:pPr>
        <w:spacing w:line="276" w:lineRule="auto" w:before="242"/>
        <w:ind w:left="616" w:right="143" w:firstLine="0"/>
        <w:jc w:val="both"/>
        <w:rPr>
          <w:sz w:val="38"/>
        </w:rPr>
      </w:pPr>
      <w:r>
        <w:rPr>
          <w:i/>
          <w:sz w:val="38"/>
        </w:rPr>
        <w:t>‘Without Q10 there is no energy. If you rob the mitochondria of Q10, the cell is about as </w:t>
      </w:r>
      <w:r>
        <w:rPr>
          <w:i/>
          <w:sz w:val="38"/>
        </w:rPr>
        <w:t>powerful as a 4-cylinder engine without an ignition plug. The machine is dead and doesn’t start.’ </w:t>
      </w:r>
      <w:r>
        <w:rPr>
          <w:sz w:val="38"/>
        </w:rPr>
        <w:t>(Prof. Bliznakow)</w:t>
      </w:r>
    </w:p>
    <w:p>
      <w:pPr>
        <w:spacing w:line="276" w:lineRule="auto" w:before="238"/>
        <w:ind w:left="616" w:right="136" w:firstLine="0"/>
        <w:jc w:val="both"/>
        <w:rPr>
          <w:sz w:val="38"/>
        </w:rPr>
      </w:pPr>
      <w:r>
        <w:rPr>
          <w:b/>
          <w:sz w:val="38"/>
        </w:rPr>
        <w:t>The awarding of the Nobel Prize for the discovery of Q10 </w:t>
      </w:r>
      <w:r>
        <w:rPr>
          <w:sz w:val="38"/>
        </w:rPr>
        <w:t>to discoverer Prof. Dr. Mitchell as well as the above-mentioned quotes of leading doctors and scientists should silence every </w:t>
      </w:r>
      <w:r>
        <w:rPr>
          <w:sz w:val="38"/>
          <w:u w:val="single"/>
        </w:rPr>
        <w:t>objective</w:t>
      </w:r>
      <w:r>
        <w:rPr>
          <w:sz w:val="38"/>
        </w:rPr>
        <w:t> critic, but, well... (see above)!</w:t>
      </w:r>
    </w:p>
    <w:p>
      <w:pPr>
        <w:spacing w:after="0" w:line="276" w:lineRule="auto"/>
        <w:jc w:val="both"/>
        <w:rPr>
          <w:sz w:val="38"/>
        </w:rPr>
        <w:sectPr>
          <w:pgSz w:w="14270" w:h="16850"/>
          <w:pgMar w:header="0" w:footer="1891" w:top="1340" w:bottom="2080" w:left="800" w:right="1280"/>
        </w:sectPr>
      </w:pPr>
    </w:p>
    <w:p>
      <w:pPr>
        <w:pStyle w:val="Heading1"/>
        <w:spacing w:before="77"/>
        <w:ind w:left="616"/>
      </w:pPr>
      <w:r>
        <w:rPr/>
        <w:t>Did you know that</w:t>
      </w:r>
    </w:p>
    <w:p>
      <w:pPr>
        <w:pStyle w:val="ListParagraph"/>
        <w:numPr>
          <w:ilvl w:val="0"/>
          <w:numId w:val="96"/>
        </w:numPr>
        <w:tabs>
          <w:tab w:pos="1614" w:val="left" w:leader="none"/>
          <w:tab w:pos="1615" w:val="left" w:leader="none"/>
        </w:tabs>
        <w:spacing w:line="240" w:lineRule="auto" w:before="259" w:after="0"/>
        <w:ind w:left="1329" w:right="0" w:hanging="355"/>
        <w:jc w:val="left"/>
        <w:rPr>
          <w:sz w:val="38"/>
        </w:rPr>
      </w:pPr>
      <w:r>
        <w:rPr>
          <w:sz w:val="38"/>
        </w:rPr>
        <w:t>... Q10 provides 95 % of our total bodily</w:t>
      </w:r>
      <w:r>
        <w:rPr>
          <w:spacing w:val="-5"/>
          <w:sz w:val="38"/>
        </w:rPr>
        <w:t> </w:t>
      </w:r>
      <w:r>
        <w:rPr>
          <w:sz w:val="38"/>
        </w:rPr>
        <w:t>energy?</w:t>
      </w:r>
    </w:p>
    <w:p>
      <w:pPr>
        <w:pStyle w:val="ListParagraph"/>
        <w:numPr>
          <w:ilvl w:val="0"/>
          <w:numId w:val="96"/>
        </w:numPr>
        <w:tabs>
          <w:tab w:pos="1615" w:val="left" w:leader="none"/>
        </w:tabs>
        <w:spacing w:line="273" w:lineRule="auto" w:before="183" w:after="0"/>
        <w:ind w:left="1329" w:right="135" w:hanging="355"/>
        <w:jc w:val="both"/>
        <w:rPr>
          <w:sz w:val="38"/>
        </w:rPr>
      </w:pPr>
      <w:r>
        <w:rPr>
          <w:sz w:val="38"/>
        </w:rPr>
        <w:t>...our bodies are composed of 37,2 trillion cells, that every disease is connected</w:t>
      </w:r>
      <w:r>
        <w:rPr>
          <w:spacing w:val="-18"/>
          <w:sz w:val="38"/>
        </w:rPr>
        <w:t> </w:t>
      </w:r>
      <w:r>
        <w:rPr>
          <w:sz w:val="38"/>
        </w:rPr>
        <w:t>to</w:t>
      </w:r>
      <w:r>
        <w:rPr>
          <w:spacing w:val="-17"/>
          <w:sz w:val="38"/>
        </w:rPr>
        <w:t> </w:t>
      </w:r>
      <w:r>
        <w:rPr>
          <w:sz w:val="38"/>
        </w:rPr>
        <w:t>a</w:t>
      </w:r>
      <w:r>
        <w:rPr>
          <w:spacing w:val="-20"/>
          <w:sz w:val="38"/>
        </w:rPr>
        <w:t> </w:t>
      </w:r>
      <w:r>
        <w:rPr>
          <w:sz w:val="38"/>
        </w:rPr>
        <w:t>malfunctioning</w:t>
      </w:r>
      <w:r>
        <w:rPr>
          <w:spacing w:val="-15"/>
          <w:sz w:val="38"/>
        </w:rPr>
        <w:t> </w:t>
      </w:r>
      <w:r>
        <w:rPr>
          <w:sz w:val="38"/>
        </w:rPr>
        <w:t>body</w:t>
      </w:r>
      <w:r>
        <w:rPr>
          <w:spacing w:val="-19"/>
          <w:sz w:val="38"/>
        </w:rPr>
        <w:t> </w:t>
      </w:r>
      <w:r>
        <w:rPr>
          <w:sz w:val="38"/>
        </w:rPr>
        <w:t>cell</w:t>
      </w:r>
      <w:r>
        <w:rPr>
          <w:spacing w:val="-18"/>
          <w:sz w:val="38"/>
        </w:rPr>
        <w:t> </w:t>
      </w:r>
      <w:r>
        <w:rPr>
          <w:sz w:val="38"/>
        </w:rPr>
        <w:t>and</w:t>
      </w:r>
      <w:r>
        <w:rPr>
          <w:spacing w:val="-19"/>
          <w:sz w:val="38"/>
        </w:rPr>
        <w:t> </w:t>
      </w:r>
      <w:r>
        <w:rPr>
          <w:sz w:val="38"/>
        </w:rPr>
        <w:t>that</w:t>
      </w:r>
      <w:r>
        <w:rPr>
          <w:spacing w:val="-18"/>
          <w:sz w:val="38"/>
        </w:rPr>
        <w:t> </w:t>
      </w:r>
      <w:r>
        <w:rPr>
          <w:sz w:val="38"/>
        </w:rPr>
        <w:t>Q10</w:t>
      </w:r>
      <w:r>
        <w:rPr>
          <w:spacing w:val="-19"/>
          <w:sz w:val="38"/>
        </w:rPr>
        <w:t> </w:t>
      </w:r>
      <w:r>
        <w:rPr>
          <w:sz w:val="38"/>
        </w:rPr>
        <w:t>is</w:t>
      </w:r>
      <w:r>
        <w:rPr>
          <w:spacing w:val="-18"/>
          <w:sz w:val="38"/>
        </w:rPr>
        <w:t> </w:t>
      </w:r>
      <w:r>
        <w:rPr>
          <w:sz w:val="38"/>
        </w:rPr>
        <w:t>exactly</w:t>
      </w:r>
      <w:r>
        <w:rPr>
          <w:spacing w:val="-17"/>
          <w:sz w:val="38"/>
        </w:rPr>
        <w:t> </w:t>
      </w:r>
      <w:r>
        <w:rPr>
          <w:sz w:val="38"/>
        </w:rPr>
        <w:t>what</w:t>
      </w:r>
      <w:r>
        <w:rPr>
          <w:spacing w:val="-20"/>
          <w:sz w:val="38"/>
        </w:rPr>
        <w:t> </w:t>
      </w:r>
      <w:r>
        <w:rPr>
          <w:sz w:val="38"/>
        </w:rPr>
        <w:t>pro- vides the sparks for energy supply and oxygen delivery for EVERY one of these</w:t>
      </w:r>
      <w:r>
        <w:rPr>
          <w:spacing w:val="1"/>
          <w:sz w:val="38"/>
        </w:rPr>
        <w:t> </w:t>
      </w:r>
      <w:r>
        <w:rPr>
          <w:sz w:val="38"/>
        </w:rPr>
        <w:t>cells?</w:t>
      </w:r>
    </w:p>
    <w:p>
      <w:pPr>
        <w:pStyle w:val="ListParagraph"/>
        <w:numPr>
          <w:ilvl w:val="0"/>
          <w:numId w:val="96"/>
        </w:numPr>
        <w:tabs>
          <w:tab w:pos="1615" w:val="left" w:leader="none"/>
        </w:tabs>
        <w:spacing w:line="271" w:lineRule="auto" w:before="132" w:after="0"/>
        <w:ind w:left="1329" w:right="147" w:hanging="355"/>
        <w:jc w:val="both"/>
        <w:rPr>
          <w:sz w:val="38"/>
        </w:rPr>
      </w:pPr>
      <w:r>
        <w:rPr>
          <w:sz w:val="38"/>
        </w:rPr>
        <w:t>...a deficit of Q10 of even 25 % leads to illness and a deficit of 75 % or greater can endanger our</w:t>
      </w:r>
      <w:r>
        <w:rPr>
          <w:spacing w:val="4"/>
          <w:sz w:val="38"/>
        </w:rPr>
        <w:t> </w:t>
      </w:r>
      <w:r>
        <w:rPr>
          <w:sz w:val="38"/>
        </w:rPr>
        <w:t>lives?</w:t>
      </w:r>
    </w:p>
    <w:p>
      <w:pPr>
        <w:pStyle w:val="ListParagraph"/>
        <w:numPr>
          <w:ilvl w:val="0"/>
          <w:numId w:val="96"/>
        </w:numPr>
        <w:tabs>
          <w:tab w:pos="1615" w:val="left" w:leader="none"/>
        </w:tabs>
        <w:spacing w:line="271" w:lineRule="auto" w:before="133" w:after="0"/>
        <w:ind w:left="1329" w:right="134" w:hanging="355"/>
        <w:jc w:val="both"/>
        <w:rPr>
          <w:sz w:val="38"/>
        </w:rPr>
      </w:pPr>
      <w:r>
        <w:rPr>
          <w:sz w:val="38"/>
        </w:rPr>
        <w:t>...a deficit of Q10 can lead to the suffocation of cells and thus to your death?</w:t>
      </w:r>
    </w:p>
    <w:p>
      <w:pPr>
        <w:pStyle w:val="ListParagraph"/>
        <w:numPr>
          <w:ilvl w:val="0"/>
          <w:numId w:val="96"/>
        </w:numPr>
        <w:tabs>
          <w:tab w:pos="1615" w:val="left" w:leader="none"/>
        </w:tabs>
        <w:spacing w:line="271" w:lineRule="auto" w:before="132" w:after="0"/>
        <w:ind w:left="1329" w:right="140" w:hanging="355"/>
        <w:jc w:val="both"/>
        <w:rPr>
          <w:sz w:val="38"/>
        </w:rPr>
      </w:pPr>
      <w:r>
        <w:rPr>
          <w:sz w:val="38"/>
        </w:rPr>
        <w:t>...logically, the reverse must be true that Q10 has the impressive poten- tial to keep our cells and thus our entire organism healthy and</w:t>
      </w:r>
      <w:r>
        <w:rPr>
          <w:spacing w:val="-17"/>
          <w:sz w:val="38"/>
        </w:rPr>
        <w:t> </w:t>
      </w:r>
      <w:r>
        <w:rPr>
          <w:sz w:val="38"/>
        </w:rPr>
        <w:t>vital?</w:t>
      </w:r>
    </w:p>
    <w:p>
      <w:pPr>
        <w:pStyle w:val="ListParagraph"/>
        <w:numPr>
          <w:ilvl w:val="0"/>
          <w:numId w:val="96"/>
        </w:numPr>
        <w:tabs>
          <w:tab w:pos="1615" w:val="left" w:leader="none"/>
        </w:tabs>
        <w:spacing w:line="273" w:lineRule="auto" w:before="134" w:after="0"/>
        <w:ind w:left="1329" w:right="133" w:hanging="355"/>
        <w:jc w:val="both"/>
        <w:rPr>
          <w:sz w:val="38"/>
        </w:rPr>
      </w:pPr>
      <w:r>
        <w:rPr>
          <w:sz w:val="38"/>
        </w:rPr>
        <w:t>... Q10 is a natural element of nutrition but that the supply of Q10 to our</w:t>
      </w:r>
      <w:r>
        <w:rPr>
          <w:spacing w:val="-10"/>
          <w:sz w:val="38"/>
        </w:rPr>
        <w:t> </w:t>
      </w:r>
      <w:r>
        <w:rPr>
          <w:sz w:val="38"/>
        </w:rPr>
        <w:t>bodies</w:t>
      </w:r>
      <w:r>
        <w:rPr>
          <w:spacing w:val="-13"/>
          <w:sz w:val="38"/>
        </w:rPr>
        <w:t> </w:t>
      </w:r>
      <w:r>
        <w:rPr>
          <w:sz w:val="38"/>
        </w:rPr>
        <w:t>via</w:t>
      </w:r>
      <w:r>
        <w:rPr>
          <w:spacing w:val="-12"/>
          <w:sz w:val="38"/>
        </w:rPr>
        <w:t> </w:t>
      </w:r>
      <w:r>
        <w:rPr>
          <w:sz w:val="38"/>
        </w:rPr>
        <w:t>food</w:t>
      </w:r>
      <w:r>
        <w:rPr>
          <w:spacing w:val="-11"/>
          <w:sz w:val="38"/>
        </w:rPr>
        <w:t> </w:t>
      </w:r>
      <w:r>
        <w:rPr>
          <w:sz w:val="38"/>
        </w:rPr>
        <w:t>is</w:t>
      </w:r>
      <w:r>
        <w:rPr>
          <w:spacing w:val="-13"/>
          <w:sz w:val="38"/>
        </w:rPr>
        <w:t> </w:t>
      </w:r>
      <w:r>
        <w:rPr>
          <w:sz w:val="38"/>
        </w:rPr>
        <w:t>insufficient</w:t>
      </w:r>
      <w:r>
        <w:rPr>
          <w:spacing w:val="-11"/>
          <w:sz w:val="38"/>
        </w:rPr>
        <w:t> </w:t>
      </w:r>
      <w:r>
        <w:rPr>
          <w:sz w:val="38"/>
        </w:rPr>
        <w:t>due</w:t>
      </w:r>
      <w:r>
        <w:rPr>
          <w:spacing w:val="-12"/>
          <w:sz w:val="38"/>
        </w:rPr>
        <w:t> </w:t>
      </w:r>
      <w:r>
        <w:rPr>
          <w:sz w:val="38"/>
        </w:rPr>
        <w:t>to</w:t>
      </w:r>
      <w:r>
        <w:rPr>
          <w:spacing w:val="-13"/>
          <w:sz w:val="38"/>
        </w:rPr>
        <w:t> </w:t>
      </w:r>
      <w:r>
        <w:rPr>
          <w:sz w:val="38"/>
        </w:rPr>
        <w:t>drained</w:t>
      </w:r>
      <w:r>
        <w:rPr>
          <w:spacing w:val="-10"/>
          <w:sz w:val="38"/>
        </w:rPr>
        <w:t> </w:t>
      </w:r>
      <w:r>
        <w:rPr>
          <w:sz w:val="38"/>
        </w:rPr>
        <w:t>soils,</w:t>
      </w:r>
      <w:r>
        <w:rPr>
          <w:spacing w:val="-9"/>
          <w:sz w:val="38"/>
        </w:rPr>
        <w:t> </w:t>
      </w:r>
      <w:r>
        <w:rPr>
          <w:sz w:val="38"/>
        </w:rPr>
        <w:t>long</w:t>
      </w:r>
      <w:r>
        <w:rPr>
          <w:spacing w:val="-13"/>
          <w:sz w:val="38"/>
        </w:rPr>
        <w:t> </w:t>
      </w:r>
      <w:r>
        <w:rPr>
          <w:sz w:val="38"/>
        </w:rPr>
        <w:t>storage</w:t>
      </w:r>
      <w:r>
        <w:rPr>
          <w:spacing w:val="-11"/>
          <w:sz w:val="38"/>
        </w:rPr>
        <w:t> </w:t>
      </w:r>
      <w:r>
        <w:rPr>
          <w:sz w:val="38"/>
        </w:rPr>
        <w:t>times, pesticides, and so</w:t>
      </w:r>
      <w:r>
        <w:rPr>
          <w:spacing w:val="3"/>
          <w:sz w:val="38"/>
        </w:rPr>
        <w:t> </w:t>
      </w:r>
      <w:r>
        <w:rPr>
          <w:sz w:val="38"/>
        </w:rPr>
        <w:t>on?</w:t>
      </w:r>
    </w:p>
    <w:p>
      <w:pPr>
        <w:pStyle w:val="ListParagraph"/>
        <w:numPr>
          <w:ilvl w:val="0"/>
          <w:numId w:val="96"/>
        </w:numPr>
        <w:tabs>
          <w:tab w:pos="1615" w:val="left" w:leader="none"/>
        </w:tabs>
        <w:spacing w:line="273" w:lineRule="auto" w:before="126" w:after="0"/>
        <w:ind w:left="1329" w:right="139" w:hanging="355"/>
        <w:jc w:val="both"/>
        <w:rPr>
          <w:sz w:val="38"/>
        </w:rPr>
      </w:pPr>
      <w:r>
        <w:rPr>
          <w:sz w:val="38"/>
        </w:rPr>
        <w:t>... you would therefore have to eat around 1.6kg of sardines or 3kg of beef daily to receive the recommended amount for healthy people of 100mg Q10 per</w:t>
      </w:r>
      <w:r>
        <w:rPr>
          <w:spacing w:val="1"/>
          <w:sz w:val="38"/>
        </w:rPr>
        <w:t> </w:t>
      </w:r>
      <w:r>
        <w:rPr>
          <w:sz w:val="38"/>
        </w:rPr>
        <w:t>day?</w:t>
      </w:r>
    </w:p>
    <w:p>
      <w:pPr>
        <w:pStyle w:val="ListParagraph"/>
        <w:numPr>
          <w:ilvl w:val="0"/>
          <w:numId w:val="96"/>
        </w:numPr>
        <w:tabs>
          <w:tab w:pos="1615" w:val="left" w:leader="none"/>
        </w:tabs>
        <w:spacing w:line="273" w:lineRule="auto" w:before="127" w:after="0"/>
        <w:ind w:left="1329" w:right="137" w:hanging="355"/>
        <w:jc w:val="both"/>
        <w:rPr>
          <w:sz w:val="38"/>
        </w:rPr>
      </w:pPr>
      <w:r>
        <w:rPr>
          <w:sz w:val="38"/>
        </w:rPr>
        <w:t>...your body’s own production starts continually declining after the age of 20 and, starting then, an additional supply with Q10 preparations be- comes necessary?</w:t>
      </w:r>
    </w:p>
    <w:p>
      <w:pPr>
        <w:spacing w:after="0" w:line="273" w:lineRule="auto"/>
        <w:jc w:val="both"/>
        <w:rPr>
          <w:sz w:val="38"/>
        </w:rPr>
        <w:sectPr>
          <w:pgSz w:w="14270" w:h="16850"/>
          <w:pgMar w:header="0" w:footer="1891" w:top="1320" w:bottom="2080" w:left="800" w:right="1280"/>
        </w:sectPr>
      </w:pPr>
    </w:p>
    <w:p>
      <w:pPr>
        <w:pStyle w:val="ListParagraph"/>
        <w:numPr>
          <w:ilvl w:val="0"/>
          <w:numId w:val="96"/>
        </w:numPr>
        <w:tabs>
          <w:tab w:pos="1614" w:val="left" w:leader="none"/>
          <w:tab w:pos="1615" w:val="left" w:leader="none"/>
        </w:tabs>
        <w:spacing w:line="240" w:lineRule="auto" w:before="72" w:after="0"/>
        <w:ind w:left="1329" w:right="0" w:hanging="355"/>
        <w:jc w:val="left"/>
        <w:rPr>
          <w:sz w:val="38"/>
        </w:rPr>
      </w:pPr>
      <w:r>
        <w:rPr>
          <w:sz w:val="38"/>
        </w:rPr>
        <w:t>...</w:t>
      </w:r>
      <w:r>
        <w:rPr>
          <w:spacing w:val="-4"/>
          <w:sz w:val="38"/>
        </w:rPr>
        <w:t> </w:t>
      </w:r>
      <w:r>
        <w:rPr>
          <w:sz w:val="38"/>
        </w:rPr>
        <w:t>Q10</w:t>
      </w:r>
      <w:r>
        <w:rPr>
          <w:spacing w:val="-5"/>
          <w:sz w:val="38"/>
        </w:rPr>
        <w:t> </w:t>
      </w:r>
      <w:r>
        <w:rPr>
          <w:sz w:val="38"/>
        </w:rPr>
        <w:t>is</w:t>
      </w:r>
      <w:r>
        <w:rPr>
          <w:spacing w:val="-6"/>
          <w:sz w:val="38"/>
        </w:rPr>
        <w:t> </w:t>
      </w:r>
      <w:r>
        <w:rPr>
          <w:sz w:val="38"/>
        </w:rPr>
        <w:t>generally</w:t>
      </w:r>
      <w:r>
        <w:rPr>
          <w:spacing w:val="-7"/>
          <w:sz w:val="38"/>
        </w:rPr>
        <w:t> </w:t>
      </w:r>
      <w:r>
        <w:rPr>
          <w:sz w:val="38"/>
        </w:rPr>
        <w:t>required</w:t>
      </w:r>
      <w:r>
        <w:rPr>
          <w:spacing w:val="-6"/>
          <w:sz w:val="38"/>
        </w:rPr>
        <w:t> </w:t>
      </w:r>
      <w:r>
        <w:rPr>
          <w:sz w:val="38"/>
        </w:rPr>
        <w:t>by</w:t>
      </w:r>
      <w:r>
        <w:rPr>
          <w:spacing w:val="-5"/>
          <w:sz w:val="38"/>
        </w:rPr>
        <w:t> </w:t>
      </w:r>
      <w:r>
        <w:rPr>
          <w:sz w:val="38"/>
        </w:rPr>
        <w:t>our</w:t>
      </w:r>
      <w:r>
        <w:rPr>
          <w:spacing w:val="-6"/>
          <w:sz w:val="38"/>
        </w:rPr>
        <w:t> </w:t>
      </w:r>
      <w:r>
        <w:rPr>
          <w:sz w:val="38"/>
        </w:rPr>
        <w:t>bodies</w:t>
      </w:r>
      <w:r>
        <w:rPr>
          <w:spacing w:val="-6"/>
          <w:sz w:val="38"/>
        </w:rPr>
        <w:t> </w:t>
      </w:r>
      <w:r>
        <w:rPr>
          <w:sz w:val="38"/>
        </w:rPr>
        <w:t>at</w:t>
      </w:r>
      <w:r>
        <w:rPr>
          <w:spacing w:val="-7"/>
          <w:sz w:val="38"/>
        </w:rPr>
        <w:t> </w:t>
      </w:r>
      <w:r>
        <w:rPr>
          <w:sz w:val="38"/>
        </w:rPr>
        <w:t>the</w:t>
      </w:r>
      <w:r>
        <w:rPr>
          <w:spacing w:val="-5"/>
          <w:sz w:val="38"/>
        </w:rPr>
        <w:t> </w:t>
      </w:r>
      <w:r>
        <w:rPr>
          <w:sz w:val="38"/>
        </w:rPr>
        <w:t>places</w:t>
      </w:r>
      <w:r>
        <w:rPr>
          <w:spacing w:val="-5"/>
          <w:sz w:val="38"/>
        </w:rPr>
        <w:t> </w:t>
      </w:r>
      <w:r>
        <w:rPr>
          <w:sz w:val="38"/>
        </w:rPr>
        <w:t>where</w:t>
      </w:r>
      <w:r>
        <w:rPr>
          <w:spacing w:val="-6"/>
          <w:sz w:val="38"/>
        </w:rPr>
        <w:t> </w:t>
      </w:r>
      <w:r>
        <w:rPr>
          <w:sz w:val="38"/>
        </w:rPr>
        <w:t>it</w:t>
      </w:r>
      <w:r>
        <w:rPr>
          <w:spacing w:val="-7"/>
          <w:sz w:val="38"/>
        </w:rPr>
        <w:t> </w:t>
      </w:r>
      <w:r>
        <w:rPr>
          <w:sz w:val="38"/>
        </w:rPr>
        <w:t>is</w:t>
      </w:r>
      <w:r>
        <w:rPr>
          <w:spacing w:val="-6"/>
          <w:sz w:val="38"/>
        </w:rPr>
        <w:t> </w:t>
      </w:r>
      <w:r>
        <w:rPr>
          <w:sz w:val="38"/>
        </w:rPr>
        <w:t>used,</w:t>
      </w:r>
    </w:p>
    <w:p>
      <w:pPr>
        <w:pStyle w:val="BodyText"/>
        <w:spacing w:line="276" w:lineRule="auto" w:before="65"/>
        <w:ind w:left="1329" w:right="123"/>
      </w:pPr>
      <w:r>
        <w:rPr/>
        <w:t>e.g. with wounds, diseased areas, radiation etc. and that every sick person shows a measurably insufficient Q10 level in their blood?</w:t>
      </w:r>
    </w:p>
    <w:p>
      <w:pPr>
        <w:pStyle w:val="ListParagraph"/>
        <w:numPr>
          <w:ilvl w:val="0"/>
          <w:numId w:val="96"/>
        </w:numPr>
        <w:tabs>
          <w:tab w:pos="1614" w:val="left" w:leader="none"/>
          <w:tab w:pos="1615" w:val="left" w:leader="none"/>
        </w:tabs>
        <w:spacing w:line="271" w:lineRule="auto" w:before="121" w:after="0"/>
        <w:ind w:left="1329" w:right="144" w:hanging="355"/>
        <w:jc w:val="left"/>
        <w:rPr>
          <w:sz w:val="38"/>
        </w:rPr>
      </w:pPr>
      <w:r>
        <w:rPr>
          <w:sz w:val="38"/>
        </w:rPr>
        <w:t>...only 25 % of all healthy people (almost exclusively children and ado- lescents) have a sufficient Q10</w:t>
      </w:r>
      <w:r>
        <w:rPr>
          <w:spacing w:val="-3"/>
          <w:sz w:val="38"/>
        </w:rPr>
        <w:t> </w:t>
      </w:r>
      <w:r>
        <w:rPr>
          <w:sz w:val="38"/>
        </w:rPr>
        <w:t>level?</w:t>
      </w:r>
    </w:p>
    <w:p>
      <w:pPr>
        <w:pStyle w:val="ListParagraph"/>
        <w:numPr>
          <w:ilvl w:val="0"/>
          <w:numId w:val="96"/>
        </w:numPr>
        <w:tabs>
          <w:tab w:pos="1614" w:val="left" w:leader="none"/>
          <w:tab w:pos="1615" w:val="left" w:leader="none"/>
        </w:tabs>
        <w:spacing w:line="240" w:lineRule="auto" w:before="132" w:after="0"/>
        <w:ind w:left="1329" w:right="0" w:hanging="355"/>
        <w:jc w:val="left"/>
        <w:rPr>
          <w:sz w:val="38"/>
        </w:rPr>
      </w:pPr>
      <w:r>
        <w:rPr>
          <w:sz w:val="38"/>
        </w:rPr>
        <w:t>... Q10 has the ability to delay ageing and prolong our</w:t>
      </w:r>
      <w:r>
        <w:rPr>
          <w:spacing w:val="-3"/>
          <w:sz w:val="38"/>
        </w:rPr>
        <w:t> </w:t>
      </w:r>
      <w:r>
        <w:rPr>
          <w:sz w:val="38"/>
        </w:rPr>
        <w:t>lives?</w:t>
      </w:r>
    </w:p>
    <w:p>
      <w:pPr>
        <w:pStyle w:val="ListParagraph"/>
        <w:numPr>
          <w:ilvl w:val="0"/>
          <w:numId w:val="96"/>
        </w:numPr>
        <w:tabs>
          <w:tab w:pos="1614" w:val="left" w:leader="none"/>
          <w:tab w:pos="1615" w:val="left" w:leader="none"/>
        </w:tabs>
        <w:spacing w:line="240" w:lineRule="auto" w:before="185" w:after="0"/>
        <w:ind w:left="1329" w:right="0" w:hanging="355"/>
        <w:jc w:val="left"/>
        <w:rPr>
          <w:sz w:val="38"/>
        </w:rPr>
      </w:pPr>
      <w:r>
        <w:rPr>
          <w:sz w:val="38"/>
        </w:rPr>
        <w:t>... Q10 naturally combats excess</w:t>
      </w:r>
      <w:r>
        <w:rPr>
          <w:spacing w:val="-2"/>
          <w:sz w:val="38"/>
        </w:rPr>
        <w:t> </w:t>
      </w:r>
      <w:r>
        <w:rPr>
          <w:sz w:val="38"/>
        </w:rPr>
        <w:t>weight?</w:t>
      </w:r>
    </w:p>
    <w:p>
      <w:pPr>
        <w:pStyle w:val="ListParagraph"/>
        <w:numPr>
          <w:ilvl w:val="0"/>
          <w:numId w:val="96"/>
        </w:numPr>
        <w:tabs>
          <w:tab w:pos="1614" w:val="left" w:leader="none"/>
          <w:tab w:pos="1615" w:val="left" w:leader="none"/>
        </w:tabs>
        <w:spacing w:line="271" w:lineRule="auto" w:before="183" w:after="0"/>
        <w:ind w:left="1329" w:right="148" w:hanging="355"/>
        <w:jc w:val="left"/>
        <w:rPr>
          <w:sz w:val="38"/>
        </w:rPr>
      </w:pPr>
      <w:r>
        <w:rPr>
          <w:sz w:val="38"/>
        </w:rPr>
        <w:t>... Q10 strengthens our immune systems, has been proven to prevent heart disease and decrease high blood</w:t>
      </w:r>
      <w:r>
        <w:rPr>
          <w:spacing w:val="5"/>
          <w:sz w:val="38"/>
        </w:rPr>
        <w:t> </w:t>
      </w:r>
      <w:r>
        <w:rPr>
          <w:sz w:val="38"/>
        </w:rPr>
        <w:t>pressure?</w:t>
      </w:r>
    </w:p>
    <w:p>
      <w:pPr>
        <w:pStyle w:val="ListParagraph"/>
        <w:numPr>
          <w:ilvl w:val="0"/>
          <w:numId w:val="96"/>
        </w:numPr>
        <w:tabs>
          <w:tab w:pos="1615" w:val="left" w:leader="none"/>
        </w:tabs>
        <w:spacing w:line="273" w:lineRule="auto" w:before="134" w:after="0"/>
        <w:ind w:left="1329" w:right="143" w:hanging="355"/>
        <w:jc w:val="both"/>
        <w:rPr>
          <w:sz w:val="38"/>
        </w:rPr>
      </w:pPr>
      <w:r>
        <w:rPr>
          <w:sz w:val="38"/>
        </w:rPr>
        <w:t>...our heart beats about 100,000 times per day and that coenzyme Q10 provides the ignition for the energy of every one of these heartbeats and is therefore exactly why the highest incidence of Q10 is in the</w:t>
      </w:r>
      <w:r>
        <w:rPr>
          <w:spacing w:val="-15"/>
          <w:sz w:val="38"/>
        </w:rPr>
        <w:t> </w:t>
      </w:r>
      <w:r>
        <w:rPr>
          <w:sz w:val="38"/>
        </w:rPr>
        <w:t>heart?</w:t>
      </w:r>
    </w:p>
    <w:p>
      <w:pPr>
        <w:pStyle w:val="ListParagraph"/>
        <w:numPr>
          <w:ilvl w:val="0"/>
          <w:numId w:val="96"/>
        </w:numPr>
        <w:tabs>
          <w:tab w:pos="1614" w:val="left" w:leader="none"/>
          <w:tab w:pos="1615" w:val="left" w:leader="none"/>
        </w:tabs>
        <w:spacing w:line="271" w:lineRule="auto" w:before="127" w:after="0"/>
        <w:ind w:left="1329" w:right="135" w:hanging="355"/>
        <w:jc w:val="left"/>
        <w:rPr>
          <w:sz w:val="38"/>
        </w:rPr>
      </w:pPr>
      <w:r>
        <w:rPr>
          <w:sz w:val="38"/>
        </w:rPr>
        <w:t>... Q10 can even replace cardio training, because it can increase heart strength without endurance training?</w:t>
      </w:r>
    </w:p>
    <w:p>
      <w:pPr>
        <w:pStyle w:val="ListParagraph"/>
        <w:numPr>
          <w:ilvl w:val="0"/>
          <w:numId w:val="96"/>
        </w:numPr>
        <w:tabs>
          <w:tab w:pos="1615" w:val="left" w:leader="none"/>
        </w:tabs>
        <w:spacing w:line="273" w:lineRule="auto" w:before="131" w:after="0"/>
        <w:ind w:left="1329" w:right="139" w:hanging="355"/>
        <w:jc w:val="both"/>
        <w:rPr>
          <w:sz w:val="38"/>
        </w:rPr>
      </w:pPr>
      <w:r>
        <w:rPr>
          <w:sz w:val="38"/>
        </w:rPr>
        <w:t>...athletes</w:t>
      </w:r>
      <w:r>
        <w:rPr>
          <w:spacing w:val="-13"/>
          <w:sz w:val="38"/>
        </w:rPr>
        <w:t> </w:t>
      </w:r>
      <w:r>
        <w:rPr>
          <w:sz w:val="38"/>
        </w:rPr>
        <w:t>especially</w:t>
      </w:r>
      <w:r>
        <w:rPr>
          <w:spacing w:val="-10"/>
          <w:sz w:val="38"/>
        </w:rPr>
        <w:t> </w:t>
      </w:r>
      <w:r>
        <w:rPr>
          <w:sz w:val="38"/>
        </w:rPr>
        <w:t>profit</w:t>
      </w:r>
      <w:r>
        <w:rPr>
          <w:spacing w:val="-11"/>
          <w:sz w:val="38"/>
        </w:rPr>
        <w:t> </w:t>
      </w:r>
      <w:r>
        <w:rPr>
          <w:sz w:val="38"/>
        </w:rPr>
        <w:t>from</w:t>
      </w:r>
      <w:r>
        <w:rPr>
          <w:spacing w:val="-11"/>
          <w:sz w:val="38"/>
        </w:rPr>
        <w:t> </w:t>
      </w:r>
      <w:r>
        <w:rPr>
          <w:sz w:val="38"/>
        </w:rPr>
        <w:t>Q10,</w:t>
      </w:r>
      <w:r>
        <w:rPr>
          <w:spacing w:val="-10"/>
          <w:sz w:val="38"/>
        </w:rPr>
        <w:t> </w:t>
      </w:r>
      <w:r>
        <w:rPr>
          <w:sz w:val="38"/>
        </w:rPr>
        <w:t>both</w:t>
      </w:r>
      <w:r>
        <w:rPr>
          <w:spacing w:val="-10"/>
          <w:sz w:val="38"/>
        </w:rPr>
        <w:t> </w:t>
      </w:r>
      <w:r>
        <w:rPr>
          <w:sz w:val="38"/>
        </w:rPr>
        <w:t>in</w:t>
      </w:r>
      <w:r>
        <w:rPr>
          <w:spacing w:val="-13"/>
          <w:sz w:val="38"/>
        </w:rPr>
        <w:t> </w:t>
      </w:r>
      <w:r>
        <w:rPr>
          <w:sz w:val="38"/>
        </w:rPr>
        <w:t>its</w:t>
      </w:r>
      <w:r>
        <w:rPr>
          <w:spacing w:val="-10"/>
          <w:sz w:val="38"/>
        </w:rPr>
        <w:t> </w:t>
      </w:r>
      <w:r>
        <w:rPr>
          <w:sz w:val="38"/>
        </w:rPr>
        <w:t>health</w:t>
      </w:r>
      <w:r>
        <w:rPr>
          <w:spacing w:val="-11"/>
          <w:sz w:val="38"/>
        </w:rPr>
        <w:t> </w:t>
      </w:r>
      <w:r>
        <w:rPr>
          <w:sz w:val="38"/>
        </w:rPr>
        <w:t>aspects</w:t>
      </w:r>
      <w:r>
        <w:rPr>
          <w:spacing w:val="-12"/>
          <w:sz w:val="38"/>
        </w:rPr>
        <w:t> </w:t>
      </w:r>
      <w:r>
        <w:rPr>
          <w:sz w:val="38"/>
        </w:rPr>
        <w:t>(defence against the free radicals produced by athletes) and in increased perfor- mance?</w:t>
      </w:r>
    </w:p>
    <w:p>
      <w:pPr>
        <w:pStyle w:val="ListParagraph"/>
        <w:numPr>
          <w:ilvl w:val="0"/>
          <w:numId w:val="96"/>
        </w:numPr>
        <w:tabs>
          <w:tab w:pos="1330" w:val="left" w:leader="none"/>
        </w:tabs>
        <w:spacing w:line="271" w:lineRule="auto" w:before="129" w:after="0"/>
        <w:ind w:left="1329" w:right="143" w:hanging="355"/>
        <w:jc w:val="left"/>
        <w:rPr>
          <w:sz w:val="38"/>
        </w:rPr>
      </w:pPr>
      <w:r>
        <w:rPr>
          <w:sz w:val="38"/>
        </w:rPr>
        <w:t>...</w:t>
      </w:r>
      <w:r>
        <w:rPr>
          <w:spacing w:val="-3"/>
          <w:sz w:val="38"/>
        </w:rPr>
        <w:t> </w:t>
      </w:r>
      <w:r>
        <w:rPr>
          <w:sz w:val="38"/>
        </w:rPr>
        <w:t>Q10</w:t>
      </w:r>
      <w:r>
        <w:rPr>
          <w:spacing w:val="-13"/>
          <w:sz w:val="38"/>
        </w:rPr>
        <w:t> </w:t>
      </w:r>
      <w:r>
        <w:rPr>
          <w:sz w:val="38"/>
        </w:rPr>
        <w:t>was</w:t>
      </w:r>
      <w:r>
        <w:rPr>
          <w:spacing w:val="-10"/>
          <w:sz w:val="38"/>
        </w:rPr>
        <w:t> </w:t>
      </w:r>
      <w:r>
        <w:rPr>
          <w:sz w:val="38"/>
        </w:rPr>
        <w:t>able</w:t>
      </w:r>
      <w:r>
        <w:rPr>
          <w:spacing w:val="-12"/>
          <w:sz w:val="38"/>
        </w:rPr>
        <w:t> </w:t>
      </w:r>
      <w:r>
        <w:rPr>
          <w:sz w:val="38"/>
        </w:rPr>
        <w:t>to</w:t>
      </w:r>
      <w:r>
        <w:rPr>
          <w:spacing w:val="-10"/>
          <w:sz w:val="38"/>
        </w:rPr>
        <w:t> </w:t>
      </w:r>
      <w:r>
        <w:rPr>
          <w:sz w:val="38"/>
        </w:rPr>
        <w:t>improve</w:t>
      </w:r>
      <w:r>
        <w:rPr>
          <w:spacing w:val="-9"/>
          <w:sz w:val="38"/>
        </w:rPr>
        <w:t> </w:t>
      </w:r>
      <w:r>
        <w:rPr>
          <w:sz w:val="38"/>
        </w:rPr>
        <w:t>endurance</w:t>
      </w:r>
      <w:r>
        <w:rPr>
          <w:spacing w:val="-10"/>
          <w:sz w:val="38"/>
        </w:rPr>
        <w:t> </w:t>
      </w:r>
      <w:r>
        <w:rPr>
          <w:sz w:val="38"/>
        </w:rPr>
        <w:t>in</w:t>
      </w:r>
      <w:r>
        <w:rPr>
          <w:spacing w:val="-13"/>
          <w:sz w:val="38"/>
        </w:rPr>
        <w:t> </w:t>
      </w:r>
      <w:r>
        <w:rPr>
          <w:sz w:val="38"/>
        </w:rPr>
        <w:t>studied</w:t>
      </w:r>
      <w:r>
        <w:rPr>
          <w:spacing w:val="-11"/>
          <w:sz w:val="38"/>
        </w:rPr>
        <w:t> </w:t>
      </w:r>
      <w:r>
        <w:rPr>
          <w:sz w:val="38"/>
        </w:rPr>
        <w:t>of</w:t>
      </w:r>
      <w:r>
        <w:rPr>
          <w:spacing w:val="-10"/>
          <w:sz w:val="38"/>
        </w:rPr>
        <w:t> </w:t>
      </w:r>
      <w:r>
        <w:rPr>
          <w:sz w:val="38"/>
        </w:rPr>
        <w:t>performance</w:t>
      </w:r>
      <w:r>
        <w:rPr>
          <w:spacing w:val="-14"/>
          <w:sz w:val="38"/>
        </w:rPr>
        <w:t> </w:t>
      </w:r>
      <w:r>
        <w:rPr>
          <w:sz w:val="38"/>
        </w:rPr>
        <w:t>athletes by 30</w:t>
      </w:r>
      <w:r>
        <w:rPr>
          <w:spacing w:val="-1"/>
          <w:sz w:val="38"/>
        </w:rPr>
        <w:t> </w:t>
      </w:r>
      <w:r>
        <w:rPr>
          <w:sz w:val="38"/>
        </w:rPr>
        <w:t>%?</w:t>
      </w:r>
    </w:p>
    <w:p>
      <w:pPr>
        <w:pStyle w:val="ListParagraph"/>
        <w:numPr>
          <w:ilvl w:val="0"/>
          <w:numId w:val="96"/>
        </w:numPr>
        <w:tabs>
          <w:tab w:pos="1614" w:val="left" w:leader="none"/>
          <w:tab w:pos="1615" w:val="left" w:leader="none"/>
        </w:tabs>
        <w:spacing w:line="271" w:lineRule="auto" w:before="132" w:after="0"/>
        <w:ind w:left="1329" w:right="149" w:hanging="355"/>
        <w:jc w:val="left"/>
        <w:rPr>
          <w:sz w:val="38"/>
        </w:rPr>
      </w:pPr>
      <w:r>
        <w:rPr>
          <w:sz w:val="38"/>
        </w:rPr>
        <w:t>... Q10 has been taken by millions of people for over 20 years and yet no side effects have been noted at</w:t>
      </w:r>
      <w:r>
        <w:rPr>
          <w:spacing w:val="-4"/>
          <w:sz w:val="38"/>
        </w:rPr>
        <w:t> </w:t>
      </w:r>
      <w:r>
        <w:rPr>
          <w:sz w:val="38"/>
        </w:rPr>
        <w:t>all?</w:t>
      </w:r>
    </w:p>
    <w:p>
      <w:pPr>
        <w:spacing w:after="0" w:line="271" w:lineRule="auto"/>
        <w:jc w:val="left"/>
        <w:rPr>
          <w:sz w:val="38"/>
        </w:rPr>
        <w:sectPr>
          <w:footerReference w:type="default" r:id="rId306"/>
          <w:pgSz w:w="14270" w:h="16850"/>
          <w:pgMar w:footer="1891" w:header="0" w:top="1340" w:bottom="2080" w:left="800" w:right="1280"/>
          <w:pgNumType w:start="1290"/>
        </w:sectPr>
      </w:pPr>
    </w:p>
    <w:p>
      <w:pPr>
        <w:pStyle w:val="ListParagraph"/>
        <w:numPr>
          <w:ilvl w:val="0"/>
          <w:numId w:val="96"/>
        </w:numPr>
        <w:tabs>
          <w:tab w:pos="1615" w:val="left" w:leader="none"/>
        </w:tabs>
        <w:spacing w:line="271" w:lineRule="auto" w:before="72" w:after="0"/>
        <w:ind w:left="1329" w:right="137" w:hanging="355"/>
        <w:jc w:val="both"/>
        <w:rPr>
          <w:sz w:val="38"/>
        </w:rPr>
      </w:pPr>
      <w:r>
        <w:rPr>
          <w:sz w:val="38"/>
        </w:rPr>
        <w:t>...on</w:t>
      </w:r>
      <w:r>
        <w:rPr>
          <w:spacing w:val="-7"/>
          <w:sz w:val="38"/>
        </w:rPr>
        <w:t> </w:t>
      </w:r>
      <w:r>
        <w:rPr>
          <w:sz w:val="38"/>
        </w:rPr>
        <w:t>the</w:t>
      </w:r>
      <w:r>
        <w:rPr>
          <w:spacing w:val="-8"/>
          <w:sz w:val="38"/>
        </w:rPr>
        <w:t> </w:t>
      </w:r>
      <w:r>
        <w:rPr>
          <w:sz w:val="38"/>
        </w:rPr>
        <w:t>contrary,</w:t>
      </w:r>
      <w:r>
        <w:rPr>
          <w:spacing w:val="-6"/>
          <w:sz w:val="38"/>
        </w:rPr>
        <w:t> </w:t>
      </w:r>
      <w:r>
        <w:rPr>
          <w:sz w:val="38"/>
        </w:rPr>
        <w:t>Q10</w:t>
      </w:r>
      <w:r>
        <w:rPr>
          <w:spacing w:val="-8"/>
          <w:sz w:val="38"/>
        </w:rPr>
        <w:t> </w:t>
      </w:r>
      <w:r>
        <w:rPr>
          <w:sz w:val="38"/>
        </w:rPr>
        <w:t>can</w:t>
      </w:r>
      <w:r>
        <w:rPr>
          <w:spacing w:val="-6"/>
          <w:sz w:val="38"/>
        </w:rPr>
        <w:t> </w:t>
      </w:r>
      <w:r>
        <w:rPr>
          <w:sz w:val="38"/>
        </w:rPr>
        <w:t>even</w:t>
      </w:r>
      <w:r>
        <w:rPr>
          <w:spacing w:val="-7"/>
          <w:sz w:val="38"/>
        </w:rPr>
        <w:t> </w:t>
      </w:r>
      <w:r>
        <w:rPr>
          <w:sz w:val="38"/>
        </w:rPr>
        <w:t>weaken</w:t>
      </w:r>
      <w:r>
        <w:rPr>
          <w:spacing w:val="-7"/>
          <w:sz w:val="38"/>
        </w:rPr>
        <w:t> </w:t>
      </w:r>
      <w:r>
        <w:rPr>
          <w:sz w:val="38"/>
        </w:rPr>
        <w:t>the</w:t>
      </w:r>
      <w:r>
        <w:rPr>
          <w:spacing w:val="-6"/>
          <w:sz w:val="38"/>
        </w:rPr>
        <w:t> </w:t>
      </w:r>
      <w:r>
        <w:rPr>
          <w:sz w:val="38"/>
        </w:rPr>
        <w:t>side</w:t>
      </w:r>
      <w:r>
        <w:rPr>
          <w:spacing w:val="-7"/>
          <w:sz w:val="38"/>
        </w:rPr>
        <w:t> </w:t>
      </w:r>
      <w:r>
        <w:rPr>
          <w:sz w:val="38"/>
        </w:rPr>
        <w:t>effects</w:t>
      </w:r>
      <w:r>
        <w:rPr>
          <w:spacing w:val="-7"/>
          <w:sz w:val="38"/>
        </w:rPr>
        <w:t> </w:t>
      </w:r>
      <w:r>
        <w:rPr>
          <w:sz w:val="38"/>
        </w:rPr>
        <w:t>of</w:t>
      </w:r>
      <w:r>
        <w:rPr>
          <w:spacing w:val="-7"/>
          <w:sz w:val="38"/>
        </w:rPr>
        <w:t> </w:t>
      </w:r>
      <w:r>
        <w:rPr>
          <w:sz w:val="38"/>
        </w:rPr>
        <w:t>medications and strengthen their desired</w:t>
      </w:r>
      <w:r>
        <w:rPr>
          <w:spacing w:val="1"/>
          <w:sz w:val="38"/>
        </w:rPr>
        <w:t> </w:t>
      </w:r>
      <w:r>
        <w:rPr>
          <w:sz w:val="38"/>
        </w:rPr>
        <w:t>effects?</w:t>
      </w:r>
    </w:p>
    <w:p>
      <w:pPr>
        <w:pStyle w:val="ListParagraph"/>
        <w:numPr>
          <w:ilvl w:val="0"/>
          <w:numId w:val="96"/>
        </w:numPr>
        <w:tabs>
          <w:tab w:pos="1615" w:val="left" w:leader="none"/>
        </w:tabs>
        <w:spacing w:line="273" w:lineRule="auto" w:before="134" w:after="0"/>
        <w:ind w:left="1329" w:right="137" w:hanging="355"/>
        <w:jc w:val="both"/>
        <w:rPr>
          <w:sz w:val="38"/>
        </w:rPr>
      </w:pPr>
      <w:r>
        <w:rPr>
          <w:sz w:val="38"/>
        </w:rPr>
        <w:t>...not many years ago, 1g of coenzyme Q10, painstakingly extracted from cow hearts, was worth an amazing 1000 euros, so 30 times the cur- rent price of gold, and that it is now affordable for</w:t>
      </w:r>
      <w:r>
        <w:rPr>
          <w:spacing w:val="-16"/>
          <w:sz w:val="38"/>
        </w:rPr>
        <w:t> </w:t>
      </w:r>
      <w:r>
        <w:rPr>
          <w:sz w:val="38"/>
        </w:rPr>
        <w:t>EVERYONE?</w:t>
      </w:r>
    </w:p>
    <w:p>
      <w:pPr>
        <w:pStyle w:val="BodyText"/>
        <w:spacing w:line="278" w:lineRule="auto" w:before="246"/>
        <w:ind w:left="616" w:right="140"/>
        <w:jc w:val="both"/>
      </w:pPr>
      <w:r>
        <w:rPr/>
        <w:t>For every halfway intelligent person, this is simply too many convincing argu- ments in favour of the consumption of Q10.</w:t>
      </w:r>
    </w:p>
    <w:p>
      <w:pPr>
        <w:pStyle w:val="BodyText"/>
        <w:spacing w:line="276" w:lineRule="auto" w:before="233"/>
        <w:ind w:left="616" w:right="132"/>
        <w:jc w:val="both"/>
      </w:pPr>
      <w:r>
        <w:rPr/>
        <w:t>While the coenzyme Q10, as a relatively new vital substance, has long-since rightfully achieved major popularity in the US and Japan (in Japan alone it is taken regularly by 10 million people and even used as a recognised treatment in</w:t>
      </w:r>
      <w:r>
        <w:rPr>
          <w:spacing w:val="-18"/>
        </w:rPr>
        <w:t> </w:t>
      </w:r>
      <w:r>
        <w:rPr/>
        <w:t>hospitals),</w:t>
      </w:r>
      <w:r>
        <w:rPr>
          <w:spacing w:val="-18"/>
        </w:rPr>
        <w:t> </w:t>
      </w:r>
      <w:r>
        <w:rPr/>
        <w:t>we</w:t>
      </w:r>
      <w:r>
        <w:rPr>
          <w:spacing w:val="-21"/>
        </w:rPr>
        <w:t> </w:t>
      </w:r>
      <w:r>
        <w:rPr/>
        <w:t>were</w:t>
      </w:r>
      <w:r>
        <w:rPr>
          <w:spacing w:val="-17"/>
        </w:rPr>
        <w:t> </w:t>
      </w:r>
      <w:r>
        <w:rPr/>
        <w:t>first</w:t>
      </w:r>
      <w:r>
        <w:rPr>
          <w:spacing w:val="-18"/>
        </w:rPr>
        <w:t> </w:t>
      </w:r>
      <w:r>
        <w:rPr/>
        <w:t>introduced</w:t>
      </w:r>
      <w:r>
        <w:rPr>
          <w:spacing w:val="-18"/>
        </w:rPr>
        <w:t> </w:t>
      </w:r>
      <w:r>
        <w:rPr/>
        <w:t>to</w:t>
      </w:r>
      <w:r>
        <w:rPr>
          <w:spacing w:val="-17"/>
        </w:rPr>
        <w:t> </w:t>
      </w:r>
      <w:r>
        <w:rPr/>
        <w:t>the</w:t>
      </w:r>
      <w:r>
        <w:rPr>
          <w:spacing w:val="-19"/>
        </w:rPr>
        <w:t> </w:t>
      </w:r>
      <w:r>
        <w:rPr/>
        <w:t>substance</w:t>
      </w:r>
      <w:r>
        <w:rPr>
          <w:spacing w:val="-17"/>
        </w:rPr>
        <w:t> </w:t>
      </w:r>
      <w:r>
        <w:rPr/>
        <w:t>through</w:t>
      </w:r>
      <w:r>
        <w:rPr>
          <w:spacing w:val="-17"/>
        </w:rPr>
        <w:t> </w:t>
      </w:r>
      <w:r>
        <w:rPr/>
        <w:t>the</w:t>
      </w:r>
      <w:r>
        <w:rPr>
          <w:spacing w:val="-17"/>
        </w:rPr>
        <w:t> </w:t>
      </w:r>
      <w:r>
        <w:rPr/>
        <w:t>publication of</w:t>
      </w:r>
      <w:r>
        <w:rPr>
          <w:spacing w:val="-17"/>
        </w:rPr>
        <w:t> </w:t>
      </w:r>
      <w:r>
        <w:rPr/>
        <w:t>the</w:t>
      </w:r>
      <w:r>
        <w:rPr>
          <w:spacing w:val="-19"/>
        </w:rPr>
        <w:t> </w:t>
      </w:r>
      <w:r>
        <w:rPr/>
        <w:t>book</w:t>
      </w:r>
      <w:r>
        <w:rPr>
          <w:spacing w:val="-16"/>
        </w:rPr>
        <w:t> </w:t>
      </w:r>
      <w:r>
        <w:rPr>
          <w:i/>
        </w:rPr>
        <w:t>Herzwunder</w:t>
      </w:r>
      <w:r>
        <w:rPr>
          <w:i/>
          <w:spacing w:val="-18"/>
        </w:rPr>
        <w:t> </w:t>
      </w:r>
      <w:r>
        <w:rPr>
          <w:i/>
        </w:rPr>
        <w:t>Q10</w:t>
      </w:r>
      <w:r>
        <w:rPr>
          <w:i/>
          <w:spacing w:val="-16"/>
        </w:rPr>
        <w:t> </w:t>
      </w:r>
      <w:r>
        <w:rPr/>
        <w:t>(‘Heart</w:t>
      </w:r>
      <w:r>
        <w:rPr>
          <w:spacing w:val="-18"/>
        </w:rPr>
        <w:t> </w:t>
      </w:r>
      <w:r>
        <w:rPr/>
        <w:t>Wonder</w:t>
      </w:r>
      <w:r>
        <w:rPr>
          <w:spacing w:val="-19"/>
        </w:rPr>
        <w:t> </w:t>
      </w:r>
      <w:r>
        <w:rPr/>
        <w:t>Q10’)</w:t>
      </w:r>
      <w:r>
        <w:rPr>
          <w:spacing w:val="-17"/>
        </w:rPr>
        <w:t> </w:t>
      </w:r>
      <w:r>
        <w:rPr/>
        <w:t>by</w:t>
      </w:r>
      <w:r>
        <w:rPr>
          <w:spacing w:val="-18"/>
        </w:rPr>
        <w:t> </w:t>
      </w:r>
      <w:r>
        <w:rPr/>
        <w:t>Dr.</w:t>
      </w:r>
      <w:r>
        <w:rPr>
          <w:spacing w:val="-21"/>
        </w:rPr>
        <w:t> </w:t>
      </w:r>
      <w:r>
        <w:rPr/>
        <w:t>Emile</w:t>
      </w:r>
      <w:r>
        <w:rPr>
          <w:spacing w:val="-20"/>
        </w:rPr>
        <w:t> </w:t>
      </w:r>
      <w:r>
        <w:rPr/>
        <w:t>G.</w:t>
      </w:r>
      <w:r>
        <w:rPr>
          <w:spacing w:val="-17"/>
        </w:rPr>
        <w:t> </w:t>
      </w:r>
      <w:r>
        <w:rPr/>
        <w:t>Bliznakov.</w:t>
      </w:r>
    </w:p>
    <w:p>
      <w:pPr>
        <w:pStyle w:val="BodyText"/>
        <w:spacing w:line="278" w:lineRule="auto" w:before="240"/>
        <w:ind w:left="616" w:right="138"/>
        <w:jc w:val="both"/>
      </w:pPr>
      <w:r>
        <w:rPr/>
        <w:t>One really has to question why the doctors in our country only know a very small</w:t>
      </w:r>
      <w:r>
        <w:rPr>
          <w:spacing w:val="-24"/>
        </w:rPr>
        <w:t> </w:t>
      </w:r>
      <w:r>
        <w:rPr/>
        <w:t>amount</w:t>
      </w:r>
      <w:r>
        <w:rPr>
          <w:spacing w:val="-22"/>
        </w:rPr>
        <w:t> </w:t>
      </w:r>
      <w:r>
        <w:rPr/>
        <w:t>about</w:t>
      </w:r>
      <w:r>
        <w:rPr>
          <w:spacing w:val="-24"/>
        </w:rPr>
        <w:t> </w:t>
      </w:r>
      <w:r>
        <w:rPr/>
        <w:t>this</w:t>
      </w:r>
      <w:r>
        <w:rPr>
          <w:spacing w:val="-21"/>
        </w:rPr>
        <w:t> </w:t>
      </w:r>
      <w:r>
        <w:rPr/>
        <w:t>substance,</w:t>
      </w:r>
      <w:r>
        <w:rPr>
          <w:spacing w:val="-22"/>
        </w:rPr>
        <w:t> </w:t>
      </w:r>
      <w:r>
        <w:rPr/>
        <w:t>and</w:t>
      </w:r>
      <w:r>
        <w:rPr>
          <w:spacing w:val="-25"/>
        </w:rPr>
        <w:t> </w:t>
      </w:r>
      <w:r>
        <w:rPr/>
        <w:t>still</w:t>
      </w:r>
      <w:r>
        <w:rPr>
          <w:spacing w:val="-22"/>
        </w:rPr>
        <w:t> </w:t>
      </w:r>
      <w:r>
        <w:rPr/>
        <w:t>less</w:t>
      </w:r>
      <w:r>
        <w:rPr>
          <w:spacing w:val="-24"/>
        </w:rPr>
        <w:t> </w:t>
      </w:r>
      <w:r>
        <w:rPr/>
        <w:t>recommend</w:t>
      </w:r>
      <w:r>
        <w:rPr>
          <w:spacing w:val="-22"/>
        </w:rPr>
        <w:t> </w:t>
      </w:r>
      <w:r>
        <w:rPr/>
        <w:t>it</w:t>
      </w:r>
      <w:r>
        <w:rPr>
          <w:spacing w:val="-23"/>
        </w:rPr>
        <w:t> </w:t>
      </w:r>
      <w:r>
        <w:rPr/>
        <w:t>to</w:t>
      </w:r>
      <w:r>
        <w:rPr>
          <w:spacing w:val="-24"/>
        </w:rPr>
        <w:t> </w:t>
      </w:r>
      <w:r>
        <w:rPr/>
        <w:t>their</w:t>
      </w:r>
      <w:r>
        <w:rPr>
          <w:spacing w:val="-22"/>
        </w:rPr>
        <w:t> </w:t>
      </w:r>
      <w:r>
        <w:rPr/>
        <w:t>patients.</w:t>
      </w:r>
    </w:p>
    <w:p>
      <w:pPr>
        <w:pStyle w:val="Heading1"/>
        <w:spacing w:before="215"/>
        <w:ind w:left="616"/>
      </w:pPr>
      <w:r>
        <w:rPr/>
        <w:t>But what is coenzyme Q10 and what makes it so valuable?</w:t>
      </w:r>
    </w:p>
    <w:p>
      <w:pPr>
        <w:pStyle w:val="BodyText"/>
        <w:spacing w:line="276" w:lineRule="auto" w:before="299"/>
        <w:ind w:left="616" w:right="139"/>
        <w:jc w:val="both"/>
      </w:pPr>
      <w:r>
        <w:rPr/>
        <w:t>Q10</w:t>
      </w:r>
      <w:r>
        <w:rPr>
          <w:spacing w:val="-25"/>
        </w:rPr>
        <w:t> </w:t>
      </w:r>
      <w:r>
        <w:rPr/>
        <w:t>is</w:t>
      </w:r>
      <w:r>
        <w:rPr>
          <w:spacing w:val="-25"/>
        </w:rPr>
        <w:t> </w:t>
      </w:r>
      <w:r>
        <w:rPr/>
        <w:t>a</w:t>
      </w:r>
      <w:r>
        <w:rPr>
          <w:spacing w:val="-25"/>
        </w:rPr>
        <w:t> </w:t>
      </w:r>
      <w:r>
        <w:rPr/>
        <w:t>vitamin-like</w:t>
      </w:r>
      <w:r>
        <w:rPr>
          <w:spacing w:val="-26"/>
        </w:rPr>
        <w:t> </w:t>
      </w:r>
      <w:r>
        <w:rPr/>
        <w:t>substance</w:t>
      </w:r>
      <w:r>
        <w:rPr>
          <w:spacing w:val="-24"/>
        </w:rPr>
        <w:t> </w:t>
      </w:r>
      <w:r>
        <w:rPr/>
        <w:t>produced</w:t>
      </w:r>
      <w:r>
        <w:rPr>
          <w:spacing w:val="-25"/>
        </w:rPr>
        <w:t> </w:t>
      </w:r>
      <w:r>
        <w:rPr/>
        <w:t>in</w:t>
      </w:r>
      <w:r>
        <w:rPr>
          <w:spacing w:val="-24"/>
        </w:rPr>
        <w:t> </w:t>
      </w:r>
      <w:r>
        <w:rPr/>
        <w:t>the</w:t>
      </w:r>
      <w:r>
        <w:rPr>
          <w:spacing w:val="-24"/>
        </w:rPr>
        <w:t> </w:t>
      </w:r>
      <w:r>
        <w:rPr/>
        <w:t>body</w:t>
      </w:r>
      <w:r>
        <w:rPr>
          <w:spacing w:val="-25"/>
        </w:rPr>
        <w:t> </w:t>
      </w:r>
      <w:r>
        <w:rPr/>
        <w:t>which</w:t>
      </w:r>
      <w:r>
        <w:rPr>
          <w:spacing w:val="-23"/>
        </w:rPr>
        <w:t> </w:t>
      </w:r>
      <w:r>
        <w:rPr/>
        <w:t>carries</w:t>
      </w:r>
      <w:r>
        <w:rPr>
          <w:spacing w:val="-24"/>
        </w:rPr>
        <w:t> </w:t>
      </w:r>
      <w:r>
        <w:rPr/>
        <w:t>out</w:t>
      </w:r>
      <w:r>
        <w:rPr>
          <w:spacing w:val="-25"/>
        </w:rPr>
        <w:t> </w:t>
      </w:r>
      <w:r>
        <w:rPr/>
        <w:t>its</w:t>
      </w:r>
      <w:r>
        <w:rPr>
          <w:spacing w:val="-25"/>
        </w:rPr>
        <w:t> </w:t>
      </w:r>
      <w:r>
        <w:rPr/>
        <w:t>work in the mitochondria (the ‘power plants’ of our</w:t>
      </w:r>
      <w:r>
        <w:rPr>
          <w:spacing w:val="-1"/>
        </w:rPr>
        <w:t> </w:t>
      </w:r>
      <w:r>
        <w:rPr/>
        <w:t>cells).</w:t>
      </w:r>
    </w:p>
    <w:p>
      <w:pPr>
        <w:pStyle w:val="BodyText"/>
        <w:spacing w:before="241"/>
        <w:ind w:left="616"/>
        <w:jc w:val="both"/>
      </w:pPr>
      <w:r>
        <w:rPr/>
        <w:t>In short, one can say:</w:t>
      </w:r>
    </w:p>
    <w:p>
      <w:pPr>
        <w:pStyle w:val="ListParagraph"/>
        <w:numPr>
          <w:ilvl w:val="0"/>
          <w:numId w:val="97"/>
        </w:numPr>
        <w:tabs>
          <w:tab w:pos="1329" w:val="left" w:leader="none"/>
          <w:tab w:pos="1330" w:val="left" w:leader="none"/>
        </w:tabs>
        <w:spacing w:line="240" w:lineRule="auto" w:before="263" w:after="0"/>
        <w:ind w:left="1329" w:right="0" w:hanging="355"/>
        <w:jc w:val="left"/>
        <w:rPr>
          <w:sz w:val="38"/>
        </w:rPr>
      </w:pPr>
      <w:r>
        <w:rPr>
          <w:sz w:val="38"/>
        </w:rPr>
        <w:t>Q10 is an energy provider for all</w:t>
      </w:r>
      <w:r>
        <w:rPr>
          <w:spacing w:val="-2"/>
          <w:sz w:val="38"/>
        </w:rPr>
        <w:t> </w:t>
      </w:r>
      <w:r>
        <w:rPr>
          <w:sz w:val="38"/>
        </w:rPr>
        <w:t>organs,</w:t>
      </w:r>
    </w:p>
    <w:p>
      <w:pPr>
        <w:pStyle w:val="ListParagraph"/>
        <w:numPr>
          <w:ilvl w:val="0"/>
          <w:numId w:val="97"/>
        </w:numPr>
        <w:tabs>
          <w:tab w:pos="1329" w:val="left" w:leader="none"/>
          <w:tab w:pos="1330" w:val="left" w:leader="none"/>
        </w:tabs>
        <w:spacing w:line="240" w:lineRule="auto" w:before="186" w:after="0"/>
        <w:ind w:left="1329" w:right="0" w:hanging="355"/>
        <w:jc w:val="left"/>
        <w:rPr>
          <w:sz w:val="38"/>
        </w:rPr>
      </w:pPr>
      <w:r>
        <w:rPr>
          <w:sz w:val="38"/>
        </w:rPr>
        <w:t>also protects our organs from free radicals</w:t>
      </w:r>
      <w:r>
        <w:rPr>
          <w:spacing w:val="-4"/>
          <w:sz w:val="38"/>
        </w:rPr>
        <w:t> </w:t>
      </w:r>
      <w:r>
        <w:rPr>
          <w:sz w:val="38"/>
        </w:rPr>
        <w:t>and</w:t>
      </w:r>
    </w:p>
    <w:p>
      <w:pPr>
        <w:spacing w:after="0" w:line="240" w:lineRule="auto"/>
        <w:jc w:val="left"/>
        <w:rPr>
          <w:sz w:val="38"/>
        </w:rPr>
        <w:sectPr>
          <w:pgSz w:w="14270" w:h="16850"/>
          <w:pgMar w:header="0" w:footer="1891" w:top="1340" w:bottom="2080" w:left="800" w:right="1280"/>
        </w:sectPr>
      </w:pPr>
    </w:p>
    <w:p>
      <w:pPr>
        <w:pStyle w:val="ListParagraph"/>
        <w:numPr>
          <w:ilvl w:val="0"/>
          <w:numId w:val="97"/>
        </w:numPr>
        <w:tabs>
          <w:tab w:pos="1329" w:val="left" w:leader="none"/>
          <w:tab w:pos="1330" w:val="left" w:leader="none"/>
        </w:tabs>
        <w:spacing w:line="240" w:lineRule="auto" w:before="53" w:after="0"/>
        <w:ind w:left="1329" w:right="0" w:hanging="355"/>
        <w:jc w:val="left"/>
        <w:rPr>
          <w:sz w:val="38"/>
        </w:rPr>
      </w:pPr>
      <w:r>
        <w:rPr>
          <w:sz w:val="38"/>
        </w:rPr>
        <w:t>secures the functionality of our body cells via membrane</w:t>
      </w:r>
      <w:r>
        <w:rPr>
          <w:spacing w:val="-11"/>
          <w:sz w:val="38"/>
        </w:rPr>
        <w:t> </w:t>
      </w:r>
      <w:r>
        <w:rPr>
          <w:sz w:val="38"/>
        </w:rPr>
        <w:t>stabilisation.</w:t>
      </w:r>
    </w:p>
    <w:p>
      <w:pPr>
        <w:pStyle w:val="BodyText"/>
        <w:spacing w:line="276" w:lineRule="auto" w:before="305"/>
        <w:ind w:left="616" w:right="133"/>
        <w:jc w:val="both"/>
      </w:pPr>
      <w:r>
        <w:rPr/>
        <w:t>The book </w:t>
      </w:r>
      <w:r>
        <w:rPr>
          <w:i/>
        </w:rPr>
        <w:t>‘Herzwunder Q10’ </w:t>
      </w:r>
      <w:r>
        <w:rPr/>
        <w:t>(Heart Wonder Q10) limits its focus to the</w:t>
      </w:r>
      <w:r>
        <w:rPr>
          <w:spacing w:val="-40"/>
        </w:rPr>
        <w:t> </w:t>
      </w:r>
      <w:r>
        <w:rPr/>
        <w:t>almost miraculous effect of Q10 on the heart muscle—without a doubt the most im- portant aspect in light of the fact that the heart is our most important</w:t>
      </w:r>
      <w:r>
        <w:rPr>
          <w:spacing w:val="-27"/>
        </w:rPr>
        <w:t> </w:t>
      </w:r>
      <w:r>
        <w:rPr/>
        <w:t>organ.</w:t>
      </w:r>
    </w:p>
    <w:p>
      <w:pPr>
        <w:pStyle w:val="BodyText"/>
        <w:spacing w:line="276" w:lineRule="auto" w:before="239"/>
        <w:ind w:left="616" w:right="134"/>
        <w:jc w:val="both"/>
      </w:pPr>
      <w:r>
        <w:rPr/>
        <w:t>It is essential, though, that not only the heart muscle but also every individual cell in the body profits substantially from the energy boost via Q10 and that Q10 also demonstrates enormous potential as an antioxidant, thus protecting us against free radicals and so from premature ageing and sickness.</w:t>
      </w:r>
    </w:p>
    <w:p>
      <w:pPr>
        <w:pStyle w:val="BodyText"/>
        <w:spacing w:line="276" w:lineRule="auto" w:before="242"/>
        <w:ind w:left="616" w:right="140"/>
        <w:jc w:val="both"/>
        <w:rPr>
          <w:i/>
          <w:sz w:val="25"/>
        </w:rPr>
      </w:pPr>
      <w:r>
        <w:rPr/>
        <w:t>In a nutshell: Without Q10, NO individual body cell in the human organism can function.</w:t>
      </w:r>
      <w:r>
        <w:rPr>
          <w:i/>
          <w:position w:val="9"/>
          <w:sz w:val="25"/>
        </w:rPr>
        <w:t>726</w:t>
      </w:r>
    </w:p>
    <w:p>
      <w:pPr>
        <w:pStyle w:val="Heading2"/>
        <w:spacing w:before="240"/>
        <w:ind w:left="616"/>
        <w:jc w:val="both"/>
      </w:pPr>
      <w:r>
        <w:rPr/>
        <w:t>Below you will learn:</w:t>
      </w:r>
    </w:p>
    <w:p>
      <w:pPr>
        <w:pStyle w:val="ListParagraph"/>
        <w:numPr>
          <w:ilvl w:val="0"/>
          <w:numId w:val="97"/>
        </w:numPr>
        <w:tabs>
          <w:tab w:pos="1329" w:val="left" w:leader="none"/>
          <w:tab w:pos="1330" w:val="left" w:leader="none"/>
        </w:tabs>
        <w:spacing w:line="240" w:lineRule="auto" w:before="184" w:after="0"/>
        <w:ind w:left="1329" w:right="0" w:hanging="355"/>
        <w:jc w:val="left"/>
        <w:rPr>
          <w:sz w:val="38"/>
        </w:rPr>
      </w:pPr>
      <w:r>
        <w:rPr>
          <w:sz w:val="38"/>
        </w:rPr>
        <w:t>What exactly Q10 is and why everyone can endlessly profit from</w:t>
      </w:r>
      <w:r>
        <w:rPr>
          <w:spacing w:val="-9"/>
          <w:sz w:val="38"/>
        </w:rPr>
        <w:t> </w:t>
      </w:r>
      <w:r>
        <w:rPr>
          <w:sz w:val="38"/>
        </w:rPr>
        <w:t>it.</w:t>
      </w:r>
    </w:p>
    <w:p>
      <w:pPr>
        <w:pStyle w:val="ListParagraph"/>
        <w:numPr>
          <w:ilvl w:val="0"/>
          <w:numId w:val="97"/>
        </w:numPr>
        <w:tabs>
          <w:tab w:pos="1329" w:val="left" w:leader="none"/>
          <w:tab w:pos="1330" w:val="left" w:leader="none"/>
        </w:tabs>
        <w:spacing w:line="240" w:lineRule="auto" w:before="184" w:after="0"/>
        <w:ind w:left="1329" w:right="0" w:hanging="355"/>
        <w:jc w:val="left"/>
        <w:rPr>
          <w:sz w:val="38"/>
        </w:rPr>
      </w:pPr>
      <w:r>
        <w:rPr>
          <w:sz w:val="38"/>
        </w:rPr>
        <w:t>In which foods Q10 is</w:t>
      </w:r>
      <w:r>
        <w:rPr>
          <w:spacing w:val="1"/>
          <w:sz w:val="38"/>
        </w:rPr>
        <w:t> </w:t>
      </w:r>
      <w:r>
        <w:rPr>
          <w:sz w:val="38"/>
        </w:rPr>
        <w:t>present.</w:t>
      </w:r>
    </w:p>
    <w:p>
      <w:pPr>
        <w:pStyle w:val="ListParagraph"/>
        <w:numPr>
          <w:ilvl w:val="0"/>
          <w:numId w:val="97"/>
        </w:numPr>
        <w:tabs>
          <w:tab w:pos="1329" w:val="left" w:leader="none"/>
          <w:tab w:pos="1330" w:val="left" w:leader="none"/>
        </w:tabs>
        <w:spacing w:line="240" w:lineRule="auto" w:before="184" w:after="0"/>
        <w:ind w:left="1329" w:right="0" w:hanging="355"/>
        <w:jc w:val="left"/>
        <w:rPr>
          <w:sz w:val="38"/>
        </w:rPr>
      </w:pPr>
      <w:r>
        <w:rPr>
          <w:sz w:val="38"/>
        </w:rPr>
        <w:t>Which groups of people have increased Q10</w:t>
      </w:r>
      <w:r>
        <w:rPr>
          <w:spacing w:val="-2"/>
          <w:sz w:val="38"/>
        </w:rPr>
        <w:t> </w:t>
      </w:r>
      <w:r>
        <w:rPr>
          <w:sz w:val="38"/>
        </w:rPr>
        <w:t>requirements.</w:t>
      </w:r>
    </w:p>
    <w:p>
      <w:pPr>
        <w:pStyle w:val="ListParagraph"/>
        <w:numPr>
          <w:ilvl w:val="0"/>
          <w:numId w:val="97"/>
        </w:numPr>
        <w:tabs>
          <w:tab w:pos="1329" w:val="left" w:leader="none"/>
          <w:tab w:pos="1330" w:val="left" w:leader="none"/>
        </w:tabs>
        <w:spacing w:line="240" w:lineRule="auto" w:before="186" w:after="0"/>
        <w:ind w:left="1329" w:right="0" w:hanging="355"/>
        <w:jc w:val="left"/>
        <w:rPr>
          <w:sz w:val="38"/>
        </w:rPr>
      </w:pPr>
      <w:r>
        <w:rPr>
          <w:sz w:val="38"/>
        </w:rPr>
        <w:t>Which diseases coenzyme Q10 can have a proven positive effect</w:t>
      </w:r>
      <w:r>
        <w:rPr>
          <w:spacing w:val="-11"/>
          <w:sz w:val="38"/>
        </w:rPr>
        <w:t> </w:t>
      </w:r>
      <w:r>
        <w:rPr>
          <w:sz w:val="38"/>
        </w:rPr>
        <w:t>on.</w:t>
      </w:r>
    </w:p>
    <w:p>
      <w:pPr>
        <w:pStyle w:val="ListParagraph"/>
        <w:numPr>
          <w:ilvl w:val="0"/>
          <w:numId w:val="97"/>
        </w:numPr>
        <w:tabs>
          <w:tab w:pos="1329" w:val="left" w:leader="none"/>
          <w:tab w:pos="1330" w:val="left" w:leader="none"/>
        </w:tabs>
        <w:spacing w:line="273" w:lineRule="auto" w:before="183" w:after="0"/>
        <w:ind w:left="1329" w:right="140" w:hanging="355"/>
        <w:jc w:val="left"/>
        <w:rPr>
          <w:sz w:val="38"/>
        </w:rPr>
      </w:pPr>
      <w:r>
        <w:rPr>
          <w:sz w:val="38"/>
        </w:rPr>
        <w:t>How you can preventatively defend yourself against illness with the help of Q10.</w:t>
      </w:r>
    </w:p>
    <w:p>
      <w:pPr>
        <w:pStyle w:val="ListParagraph"/>
        <w:numPr>
          <w:ilvl w:val="0"/>
          <w:numId w:val="97"/>
        </w:numPr>
        <w:tabs>
          <w:tab w:pos="1329" w:val="left" w:leader="none"/>
          <w:tab w:pos="1330" w:val="left" w:leader="none"/>
        </w:tabs>
        <w:spacing w:line="273" w:lineRule="auto" w:before="127" w:after="0"/>
        <w:ind w:left="1329" w:right="141" w:hanging="355"/>
        <w:jc w:val="left"/>
        <w:rPr>
          <w:sz w:val="38"/>
        </w:rPr>
      </w:pPr>
      <w:r>
        <w:rPr>
          <w:sz w:val="38"/>
        </w:rPr>
        <w:t>How you can substantially delay physiological ageing processes with</w:t>
      </w:r>
      <w:r>
        <w:rPr>
          <w:spacing w:val="-36"/>
          <w:sz w:val="38"/>
        </w:rPr>
        <w:t> </w:t>
      </w:r>
      <w:r>
        <w:rPr>
          <w:sz w:val="38"/>
        </w:rPr>
        <w:t>Q10 and even set rejuvenation processes in motion.</w:t>
      </w:r>
    </w:p>
    <w:p>
      <w:pPr>
        <w:pStyle w:val="BodyText"/>
        <w:spacing w:before="4"/>
        <w:rPr>
          <w:sz w:val="26"/>
        </w:rPr>
      </w:pPr>
      <w:r>
        <w:rPr/>
        <w:pict>
          <v:line style="position:absolute;mso-position-horizontal-relative:page;mso-position-vertical-relative:paragraph;z-index:9440;mso-wrap-distance-left:0;mso-wrap-distance-right:0" from="70.823997pt,17.199898pt" to="214.843997pt,17.199898pt" stroked="true" strokeweight=".71997pt" strokecolor="#000000">
            <v:stroke dashstyle="solid"/>
            <w10:wrap type="topAndBottom"/>
          </v:line>
        </w:pict>
      </w:r>
    </w:p>
    <w:p>
      <w:pPr>
        <w:pStyle w:val="BodyText"/>
        <w:spacing w:before="3"/>
        <w:rPr>
          <w:sz w:val="18"/>
        </w:rPr>
      </w:pPr>
    </w:p>
    <w:p>
      <w:pPr>
        <w:spacing w:before="101"/>
        <w:ind w:left="616" w:right="0" w:firstLine="0"/>
        <w:jc w:val="left"/>
        <w:rPr>
          <w:sz w:val="20"/>
        </w:rPr>
      </w:pPr>
      <w:r>
        <w:rPr>
          <w:position w:val="9"/>
          <w:sz w:val="14"/>
        </w:rPr>
        <w:t>726 </w:t>
      </w:r>
      <w:r>
        <w:rPr>
          <w:sz w:val="20"/>
        </w:rPr>
        <w:t>Dr. Emile G. Bliznakov: Herzwunder Q10, 1993, p. 19.</w:t>
      </w:r>
    </w:p>
    <w:p>
      <w:pPr>
        <w:spacing w:after="0"/>
        <w:jc w:val="left"/>
        <w:rPr>
          <w:sz w:val="20"/>
        </w:rPr>
        <w:sectPr>
          <w:pgSz w:w="14270" w:h="16850"/>
          <w:pgMar w:header="0" w:footer="1891" w:top="1360" w:bottom="2080" w:left="800" w:right="1280"/>
        </w:sectPr>
      </w:pPr>
    </w:p>
    <w:p>
      <w:pPr>
        <w:pStyle w:val="ListParagraph"/>
        <w:numPr>
          <w:ilvl w:val="0"/>
          <w:numId w:val="97"/>
        </w:numPr>
        <w:tabs>
          <w:tab w:pos="1329" w:val="left" w:leader="none"/>
          <w:tab w:pos="1330" w:val="left" w:leader="none"/>
        </w:tabs>
        <w:spacing w:line="273" w:lineRule="auto" w:before="53" w:after="0"/>
        <w:ind w:left="1329" w:right="142" w:hanging="355"/>
        <w:jc w:val="left"/>
        <w:rPr>
          <w:sz w:val="38"/>
        </w:rPr>
      </w:pPr>
      <w:r>
        <w:rPr>
          <w:sz w:val="38"/>
        </w:rPr>
        <w:t>How</w:t>
      </w:r>
      <w:r>
        <w:rPr>
          <w:spacing w:val="-17"/>
          <w:sz w:val="38"/>
        </w:rPr>
        <w:t> </w:t>
      </w:r>
      <w:r>
        <w:rPr>
          <w:sz w:val="38"/>
        </w:rPr>
        <w:t>you</w:t>
      </w:r>
      <w:r>
        <w:rPr>
          <w:spacing w:val="-16"/>
          <w:sz w:val="38"/>
        </w:rPr>
        <w:t> </w:t>
      </w:r>
      <w:r>
        <w:rPr>
          <w:sz w:val="38"/>
        </w:rPr>
        <w:t>can</w:t>
      </w:r>
      <w:r>
        <w:rPr>
          <w:spacing w:val="-14"/>
          <w:sz w:val="38"/>
        </w:rPr>
        <w:t> </w:t>
      </w:r>
      <w:r>
        <w:rPr>
          <w:sz w:val="38"/>
        </w:rPr>
        <w:t>improve</w:t>
      </w:r>
      <w:r>
        <w:rPr>
          <w:spacing w:val="-15"/>
          <w:sz w:val="38"/>
        </w:rPr>
        <w:t> </w:t>
      </w:r>
      <w:r>
        <w:rPr>
          <w:sz w:val="38"/>
        </w:rPr>
        <w:t>your</w:t>
      </w:r>
      <w:r>
        <w:rPr>
          <w:spacing w:val="-15"/>
          <w:sz w:val="38"/>
        </w:rPr>
        <w:t> </w:t>
      </w:r>
      <w:r>
        <w:rPr>
          <w:sz w:val="38"/>
        </w:rPr>
        <w:t>performance</w:t>
      </w:r>
      <w:r>
        <w:rPr>
          <w:spacing w:val="-15"/>
          <w:sz w:val="38"/>
        </w:rPr>
        <w:t> </w:t>
      </w:r>
      <w:r>
        <w:rPr>
          <w:sz w:val="38"/>
        </w:rPr>
        <w:t>as</w:t>
      </w:r>
      <w:r>
        <w:rPr>
          <w:spacing w:val="-15"/>
          <w:sz w:val="38"/>
        </w:rPr>
        <w:t> </w:t>
      </w:r>
      <w:r>
        <w:rPr>
          <w:sz w:val="38"/>
        </w:rPr>
        <w:t>an</w:t>
      </w:r>
      <w:r>
        <w:rPr>
          <w:spacing w:val="-15"/>
          <w:sz w:val="38"/>
        </w:rPr>
        <w:t> </w:t>
      </w:r>
      <w:r>
        <w:rPr>
          <w:sz w:val="38"/>
        </w:rPr>
        <w:t>athlete</w:t>
      </w:r>
      <w:r>
        <w:rPr>
          <w:spacing w:val="-15"/>
          <w:sz w:val="38"/>
        </w:rPr>
        <w:t> </w:t>
      </w:r>
      <w:r>
        <w:rPr>
          <w:sz w:val="38"/>
        </w:rPr>
        <w:t>and</w:t>
      </w:r>
      <w:r>
        <w:rPr>
          <w:spacing w:val="-15"/>
          <w:sz w:val="38"/>
        </w:rPr>
        <w:t> </w:t>
      </w:r>
      <w:r>
        <w:rPr>
          <w:sz w:val="38"/>
        </w:rPr>
        <w:t>simultaneously defend against the high burden of free</w:t>
      </w:r>
      <w:r>
        <w:rPr>
          <w:spacing w:val="-4"/>
          <w:sz w:val="38"/>
        </w:rPr>
        <w:t> </w:t>
      </w:r>
      <w:r>
        <w:rPr>
          <w:sz w:val="38"/>
        </w:rPr>
        <w:t>radicals.</w:t>
      </w:r>
    </w:p>
    <w:p>
      <w:pPr>
        <w:pStyle w:val="ListParagraph"/>
        <w:numPr>
          <w:ilvl w:val="0"/>
          <w:numId w:val="97"/>
        </w:numPr>
        <w:tabs>
          <w:tab w:pos="1329" w:val="left" w:leader="none"/>
          <w:tab w:pos="1330" w:val="left" w:leader="none"/>
        </w:tabs>
        <w:spacing w:line="240" w:lineRule="auto" w:before="127" w:after="0"/>
        <w:ind w:left="1329" w:right="0" w:hanging="355"/>
        <w:jc w:val="left"/>
        <w:rPr>
          <w:sz w:val="38"/>
        </w:rPr>
      </w:pPr>
      <w:r>
        <w:rPr>
          <w:sz w:val="38"/>
        </w:rPr>
        <w:t>Whether Q10 has side effects and if so, what they</w:t>
      </w:r>
      <w:r>
        <w:rPr>
          <w:spacing w:val="-2"/>
          <w:sz w:val="38"/>
        </w:rPr>
        <w:t> </w:t>
      </w:r>
      <w:r>
        <w:rPr>
          <w:sz w:val="38"/>
        </w:rPr>
        <w:t>are.</w:t>
      </w:r>
    </w:p>
    <w:p>
      <w:pPr>
        <w:pStyle w:val="ListParagraph"/>
        <w:numPr>
          <w:ilvl w:val="0"/>
          <w:numId w:val="97"/>
        </w:numPr>
        <w:tabs>
          <w:tab w:pos="1329" w:val="left" w:leader="none"/>
          <w:tab w:pos="1330" w:val="left" w:leader="none"/>
        </w:tabs>
        <w:spacing w:line="240" w:lineRule="auto" w:before="186" w:after="0"/>
        <w:ind w:left="1329" w:right="0" w:hanging="355"/>
        <w:jc w:val="left"/>
        <w:rPr>
          <w:sz w:val="38"/>
        </w:rPr>
      </w:pPr>
      <w:r>
        <w:rPr>
          <w:sz w:val="38"/>
        </w:rPr>
        <w:t>How much Q10 is recommended to remain healthy and</w:t>
      </w:r>
      <w:r>
        <w:rPr>
          <w:spacing w:val="-5"/>
          <w:sz w:val="38"/>
        </w:rPr>
        <w:t> </w:t>
      </w:r>
      <w:r>
        <w:rPr>
          <w:sz w:val="38"/>
        </w:rPr>
        <w:t>vital.</w:t>
      </w:r>
    </w:p>
    <w:p>
      <w:pPr>
        <w:spacing w:after="0" w:line="240" w:lineRule="auto"/>
        <w:jc w:val="left"/>
        <w:rPr>
          <w:sz w:val="38"/>
        </w:rPr>
        <w:sectPr>
          <w:pgSz w:w="14270" w:h="16850"/>
          <w:pgMar w:header="0" w:footer="1891" w:top="1360" w:bottom="2080" w:left="800" w:right="1280"/>
        </w:sectPr>
      </w:pPr>
    </w:p>
    <w:p>
      <w:pPr>
        <w:pStyle w:val="Heading1"/>
        <w:spacing w:line="261" w:lineRule="auto" w:before="77"/>
        <w:ind w:left="616" w:right="143"/>
        <w:jc w:val="both"/>
      </w:pPr>
      <w:r>
        <w:rPr/>
        <w:t>Coenzyme</w:t>
      </w:r>
      <w:r>
        <w:rPr>
          <w:spacing w:val="-17"/>
        </w:rPr>
        <w:t> </w:t>
      </w:r>
      <w:r>
        <w:rPr/>
        <w:t>Q10</w:t>
      </w:r>
      <w:r>
        <w:rPr>
          <w:spacing w:val="-15"/>
        </w:rPr>
        <w:t> </w:t>
      </w:r>
      <w:r>
        <w:rPr/>
        <w:t>–</w:t>
      </w:r>
      <w:r>
        <w:rPr>
          <w:spacing w:val="-17"/>
        </w:rPr>
        <w:t> </w:t>
      </w:r>
      <w:r>
        <w:rPr/>
        <w:t>what</w:t>
      </w:r>
      <w:r>
        <w:rPr>
          <w:spacing w:val="-17"/>
        </w:rPr>
        <w:t> </w:t>
      </w:r>
      <w:r>
        <w:rPr/>
        <w:t>exactly</w:t>
      </w:r>
      <w:r>
        <w:rPr>
          <w:spacing w:val="-18"/>
        </w:rPr>
        <w:t> </w:t>
      </w:r>
      <w:r>
        <w:rPr/>
        <w:t>is</w:t>
      </w:r>
      <w:r>
        <w:rPr>
          <w:spacing w:val="-17"/>
        </w:rPr>
        <w:t> </w:t>
      </w:r>
      <w:r>
        <w:rPr/>
        <w:t>it</w:t>
      </w:r>
      <w:r>
        <w:rPr>
          <w:spacing w:val="-18"/>
        </w:rPr>
        <w:t> </w:t>
      </w:r>
      <w:r>
        <w:rPr/>
        <w:t>and</w:t>
      </w:r>
      <w:r>
        <w:rPr>
          <w:spacing w:val="-17"/>
        </w:rPr>
        <w:t> </w:t>
      </w:r>
      <w:r>
        <w:rPr/>
        <w:t>why</w:t>
      </w:r>
      <w:r>
        <w:rPr>
          <w:spacing w:val="-16"/>
        </w:rPr>
        <w:t> </w:t>
      </w:r>
      <w:r>
        <w:rPr/>
        <w:t>can</w:t>
      </w:r>
      <w:r>
        <w:rPr>
          <w:spacing w:val="-17"/>
        </w:rPr>
        <w:t> </w:t>
      </w:r>
      <w:r>
        <w:rPr/>
        <w:t>everyone</w:t>
      </w:r>
      <w:r>
        <w:rPr>
          <w:spacing w:val="-15"/>
        </w:rPr>
        <w:t> </w:t>
      </w:r>
      <w:r>
        <w:rPr/>
        <w:t>profit</w:t>
      </w:r>
      <w:r>
        <w:rPr>
          <w:spacing w:val="-18"/>
        </w:rPr>
        <w:t> </w:t>
      </w:r>
      <w:r>
        <w:rPr/>
        <w:t>enor- mously from</w:t>
      </w:r>
      <w:r>
        <w:rPr>
          <w:spacing w:val="-14"/>
        </w:rPr>
        <w:t> </w:t>
      </w:r>
      <w:r>
        <w:rPr/>
        <w:t>it?</w:t>
      </w:r>
    </w:p>
    <w:p>
      <w:pPr>
        <w:pStyle w:val="BodyText"/>
        <w:spacing w:line="276" w:lineRule="auto" w:before="258"/>
        <w:ind w:left="616" w:right="135"/>
        <w:jc w:val="both"/>
      </w:pPr>
      <w:r>
        <w:rPr/>
        <w:t>Q10</w:t>
      </w:r>
      <w:r>
        <w:rPr>
          <w:spacing w:val="-23"/>
        </w:rPr>
        <w:t> </w:t>
      </w:r>
      <w:r>
        <w:rPr/>
        <w:t>is</w:t>
      </w:r>
      <w:r>
        <w:rPr>
          <w:spacing w:val="-22"/>
        </w:rPr>
        <w:t> </w:t>
      </w:r>
      <w:r>
        <w:rPr/>
        <w:t>a</w:t>
      </w:r>
      <w:r>
        <w:rPr>
          <w:spacing w:val="-22"/>
        </w:rPr>
        <w:t> </w:t>
      </w:r>
      <w:r>
        <w:rPr/>
        <w:t>vitamin-like</w:t>
      </w:r>
      <w:r>
        <w:rPr>
          <w:spacing w:val="-22"/>
        </w:rPr>
        <w:t> </w:t>
      </w:r>
      <w:r>
        <w:rPr/>
        <w:t>substance</w:t>
      </w:r>
      <w:r>
        <w:rPr>
          <w:spacing w:val="-20"/>
        </w:rPr>
        <w:t> </w:t>
      </w:r>
      <w:r>
        <w:rPr/>
        <w:t>produced</w:t>
      </w:r>
      <w:r>
        <w:rPr>
          <w:spacing w:val="-21"/>
        </w:rPr>
        <w:t> </w:t>
      </w:r>
      <w:r>
        <w:rPr/>
        <w:t>naturally</w:t>
      </w:r>
      <w:r>
        <w:rPr>
          <w:spacing w:val="-22"/>
        </w:rPr>
        <w:t> </w:t>
      </w:r>
      <w:r>
        <w:rPr/>
        <w:t>in</w:t>
      </w:r>
      <w:r>
        <w:rPr>
          <w:spacing w:val="-21"/>
        </w:rPr>
        <w:t> </w:t>
      </w:r>
      <w:r>
        <w:rPr/>
        <w:t>the</w:t>
      </w:r>
      <w:r>
        <w:rPr>
          <w:spacing w:val="-23"/>
        </w:rPr>
        <w:t> </w:t>
      </w:r>
      <w:r>
        <w:rPr/>
        <w:t>body</w:t>
      </w:r>
      <w:r>
        <w:rPr>
          <w:spacing w:val="-24"/>
        </w:rPr>
        <w:t> </w:t>
      </w:r>
      <w:r>
        <w:rPr/>
        <w:t>which</w:t>
      </w:r>
      <w:r>
        <w:rPr>
          <w:spacing w:val="-21"/>
        </w:rPr>
        <w:t> </w:t>
      </w:r>
      <w:r>
        <w:rPr/>
        <w:t>is</w:t>
      </w:r>
      <w:r>
        <w:rPr>
          <w:spacing w:val="-22"/>
        </w:rPr>
        <w:t> </w:t>
      </w:r>
      <w:r>
        <w:rPr/>
        <w:t>present almost everywhere in the body. This is why Q10 also goes by the same ‘ubiq- uinone’ (‘ubiquitous’).</w:t>
      </w:r>
    </w:p>
    <w:p>
      <w:pPr>
        <w:pStyle w:val="BodyText"/>
        <w:spacing w:line="276" w:lineRule="auto" w:before="241"/>
        <w:ind w:left="616" w:right="131"/>
        <w:jc w:val="both"/>
      </w:pPr>
      <w:r>
        <w:rPr/>
        <w:t>Its presence throughout the body also makes a great deal of sense, because Q10 is responsible for the energy generation and oxygen supply for EVERY single one of our cells. All diseases manifest themselves due to a non-intact body cell. Q10 provides a sufficient energy and oxygen supply for EVERY single one of the 37,2 trillion cells present in the body.</w:t>
      </w:r>
    </w:p>
    <w:p>
      <w:pPr>
        <w:pStyle w:val="BodyText"/>
        <w:spacing w:line="276" w:lineRule="auto" w:before="240"/>
        <w:ind w:left="616" w:right="135"/>
        <w:jc w:val="both"/>
      </w:pPr>
      <w:r>
        <w:rPr>
          <w:b/>
        </w:rPr>
        <w:t>The saying applies: </w:t>
      </w:r>
      <w:r>
        <w:rPr/>
        <w:t>Healthy cells mean total health—weak cells means sick- ness unto cell death. Q10 exercises a positive influence on our health,</w:t>
      </w:r>
      <w:r>
        <w:rPr>
          <w:spacing w:val="-39"/>
        </w:rPr>
        <w:t> </w:t>
      </w:r>
      <w:r>
        <w:rPr/>
        <w:t>lifespan and quality of</w:t>
      </w:r>
      <w:r>
        <w:rPr>
          <w:spacing w:val="2"/>
        </w:rPr>
        <w:t> </w:t>
      </w:r>
      <w:r>
        <w:rPr/>
        <w:t>life.</w:t>
      </w:r>
    </w:p>
    <w:p>
      <w:pPr>
        <w:pStyle w:val="BodyText"/>
        <w:spacing w:line="276" w:lineRule="auto" w:before="242"/>
        <w:ind w:left="616" w:right="133"/>
        <w:jc w:val="both"/>
      </w:pPr>
      <w:r>
        <w:rPr/>
        <w:t>One can thus consider Q10 an elixir of life, and literally EVERYTHING that breathes or has ever breathed must have received Q10—because Q10 even provides the necessary energy for breathing, the most important function of our organism.</w:t>
      </w:r>
    </w:p>
    <w:p>
      <w:pPr>
        <w:spacing w:after="0" w:line="276" w:lineRule="auto"/>
        <w:jc w:val="both"/>
        <w:sectPr>
          <w:pgSz w:w="14270" w:h="16850"/>
          <w:pgMar w:header="0" w:footer="1891" w:top="1320" w:bottom="2080" w:left="800" w:right="1280"/>
        </w:sectPr>
      </w:pPr>
    </w:p>
    <w:p>
      <w:pPr>
        <w:pStyle w:val="Heading1"/>
        <w:spacing w:before="77"/>
        <w:ind w:left="616"/>
      </w:pPr>
      <w:r>
        <w:rPr/>
        <w:t>Q10 – energy guarantor and defender of our cells</w:t>
      </w:r>
    </w:p>
    <w:p>
      <w:pPr>
        <w:pStyle w:val="BodyText"/>
        <w:spacing w:line="276" w:lineRule="auto" w:before="299"/>
        <w:ind w:left="616" w:right="132"/>
        <w:jc w:val="both"/>
      </w:pPr>
      <w:r>
        <w:rPr/>
        <w:t>Whether</w:t>
      </w:r>
      <w:r>
        <w:rPr>
          <w:spacing w:val="-15"/>
        </w:rPr>
        <w:t> </w:t>
      </w:r>
      <w:r>
        <w:rPr/>
        <w:t>breathing,</w:t>
      </w:r>
      <w:r>
        <w:rPr>
          <w:spacing w:val="-14"/>
        </w:rPr>
        <w:t> </w:t>
      </w:r>
      <w:r>
        <w:rPr/>
        <w:t>cell</w:t>
      </w:r>
      <w:r>
        <w:rPr>
          <w:spacing w:val="-15"/>
        </w:rPr>
        <w:t> </w:t>
      </w:r>
      <w:r>
        <w:rPr/>
        <w:t>division,</w:t>
      </w:r>
      <w:r>
        <w:rPr>
          <w:spacing w:val="-17"/>
        </w:rPr>
        <w:t> </w:t>
      </w:r>
      <w:r>
        <w:rPr/>
        <w:t>movement,</w:t>
      </w:r>
      <w:r>
        <w:rPr>
          <w:spacing w:val="-15"/>
        </w:rPr>
        <w:t> </w:t>
      </w:r>
      <w:r>
        <w:rPr/>
        <w:t>nutrient</w:t>
      </w:r>
      <w:r>
        <w:rPr>
          <w:spacing w:val="-15"/>
        </w:rPr>
        <w:t> </w:t>
      </w:r>
      <w:r>
        <w:rPr/>
        <w:t>absorption</w:t>
      </w:r>
      <w:r>
        <w:rPr>
          <w:spacing w:val="-17"/>
        </w:rPr>
        <w:t> </w:t>
      </w:r>
      <w:r>
        <w:rPr/>
        <w:t>or,</w:t>
      </w:r>
      <w:r>
        <w:rPr>
          <w:spacing w:val="-14"/>
        </w:rPr>
        <w:t> </w:t>
      </w:r>
      <w:r>
        <w:rPr/>
        <w:t>or,</w:t>
      </w:r>
      <w:r>
        <w:rPr>
          <w:spacing w:val="-15"/>
        </w:rPr>
        <w:t> </w:t>
      </w:r>
      <w:r>
        <w:rPr/>
        <w:t>or...lit- erally EVERY action in our bodies requires the action of the body cells – and every</w:t>
      </w:r>
      <w:r>
        <w:rPr>
          <w:spacing w:val="-24"/>
        </w:rPr>
        <w:t> </w:t>
      </w:r>
      <w:r>
        <w:rPr/>
        <w:t>act</w:t>
      </w:r>
      <w:r>
        <w:rPr>
          <w:spacing w:val="-26"/>
        </w:rPr>
        <w:t> </w:t>
      </w:r>
      <w:r>
        <w:rPr/>
        <w:t>of</w:t>
      </w:r>
      <w:r>
        <w:rPr>
          <w:spacing w:val="-23"/>
        </w:rPr>
        <w:t> </w:t>
      </w:r>
      <w:r>
        <w:rPr/>
        <w:t>the</w:t>
      </w:r>
      <w:r>
        <w:rPr>
          <w:spacing w:val="-26"/>
        </w:rPr>
        <w:t> </w:t>
      </w:r>
      <w:r>
        <w:rPr/>
        <w:t>cell</w:t>
      </w:r>
      <w:r>
        <w:rPr>
          <w:spacing w:val="-24"/>
        </w:rPr>
        <w:t> </w:t>
      </w:r>
      <w:r>
        <w:rPr/>
        <w:t>is</w:t>
      </w:r>
      <w:r>
        <w:rPr>
          <w:spacing w:val="-25"/>
        </w:rPr>
        <w:t> </w:t>
      </w:r>
      <w:r>
        <w:rPr/>
        <w:t>reliant</w:t>
      </w:r>
      <w:r>
        <w:rPr>
          <w:spacing w:val="-25"/>
        </w:rPr>
        <w:t> </w:t>
      </w:r>
      <w:r>
        <w:rPr/>
        <w:t>on</w:t>
      </w:r>
      <w:r>
        <w:rPr>
          <w:spacing w:val="-23"/>
        </w:rPr>
        <w:t> </w:t>
      </w:r>
      <w:r>
        <w:rPr/>
        <w:t>its</w:t>
      </w:r>
      <w:r>
        <w:rPr>
          <w:spacing w:val="-24"/>
        </w:rPr>
        <w:t> </w:t>
      </w:r>
      <w:r>
        <w:rPr/>
        <w:t>own</w:t>
      </w:r>
      <w:r>
        <w:rPr>
          <w:spacing w:val="-24"/>
        </w:rPr>
        <w:t> </w:t>
      </w:r>
      <w:r>
        <w:rPr/>
        <w:t>power</w:t>
      </w:r>
      <w:r>
        <w:rPr>
          <w:spacing w:val="-24"/>
        </w:rPr>
        <w:t> </w:t>
      </w:r>
      <w:r>
        <w:rPr/>
        <w:t>plants,</w:t>
      </w:r>
      <w:r>
        <w:rPr>
          <w:spacing w:val="-24"/>
        </w:rPr>
        <w:t> </w:t>
      </w:r>
      <w:r>
        <w:rPr/>
        <w:t>which</w:t>
      </w:r>
      <w:r>
        <w:rPr>
          <w:spacing w:val="-23"/>
        </w:rPr>
        <w:t> </w:t>
      </w:r>
      <w:r>
        <w:rPr/>
        <w:t>delivery</w:t>
      </w:r>
      <w:r>
        <w:rPr>
          <w:spacing w:val="-25"/>
        </w:rPr>
        <w:t> </w:t>
      </w:r>
      <w:r>
        <w:rPr/>
        <w:t>the</w:t>
      </w:r>
      <w:r>
        <w:rPr>
          <w:spacing w:val="-24"/>
        </w:rPr>
        <w:t> </w:t>
      </w:r>
      <w:r>
        <w:rPr/>
        <w:t>energy for these actions, the so-called ‘mitochondria’. In them, the coenzyme Q10 transforms</w:t>
      </w:r>
      <w:r>
        <w:rPr>
          <w:spacing w:val="-6"/>
        </w:rPr>
        <w:t> </w:t>
      </w:r>
      <w:r>
        <w:rPr/>
        <w:t>our</w:t>
      </w:r>
      <w:r>
        <w:rPr>
          <w:spacing w:val="-7"/>
        </w:rPr>
        <w:t> </w:t>
      </w:r>
      <w:r>
        <w:rPr/>
        <w:t>food</w:t>
      </w:r>
      <w:r>
        <w:rPr>
          <w:spacing w:val="-7"/>
        </w:rPr>
        <w:t> </w:t>
      </w:r>
      <w:r>
        <w:rPr/>
        <w:t>after</w:t>
      </w:r>
      <w:r>
        <w:rPr>
          <w:spacing w:val="-6"/>
        </w:rPr>
        <w:t> </w:t>
      </w:r>
      <w:r>
        <w:rPr/>
        <w:t>the</w:t>
      </w:r>
      <w:r>
        <w:rPr>
          <w:spacing w:val="-6"/>
        </w:rPr>
        <w:t> </w:t>
      </w:r>
      <w:r>
        <w:rPr/>
        <w:t>digestion</w:t>
      </w:r>
      <w:r>
        <w:rPr>
          <w:spacing w:val="-6"/>
        </w:rPr>
        <w:t> </w:t>
      </w:r>
      <w:r>
        <w:rPr/>
        <w:t>process</w:t>
      </w:r>
      <w:r>
        <w:rPr>
          <w:spacing w:val="-6"/>
        </w:rPr>
        <w:t> </w:t>
      </w:r>
      <w:r>
        <w:rPr/>
        <w:t>into</w:t>
      </w:r>
      <w:r>
        <w:rPr>
          <w:spacing w:val="-5"/>
        </w:rPr>
        <w:t> </w:t>
      </w:r>
      <w:r>
        <w:rPr/>
        <w:t>energy</w:t>
      </w:r>
      <w:r>
        <w:rPr>
          <w:spacing w:val="-6"/>
        </w:rPr>
        <w:t> </w:t>
      </w:r>
      <w:r>
        <w:rPr/>
        <w:t>for</w:t>
      </w:r>
      <w:r>
        <w:rPr>
          <w:spacing w:val="-8"/>
        </w:rPr>
        <w:t> </w:t>
      </w:r>
      <w:r>
        <w:rPr/>
        <w:t>the</w:t>
      </w:r>
      <w:r>
        <w:rPr>
          <w:spacing w:val="-7"/>
        </w:rPr>
        <w:t> </w:t>
      </w:r>
      <w:r>
        <w:rPr/>
        <w:t>cells</w:t>
      </w:r>
      <w:r>
        <w:rPr>
          <w:spacing w:val="-6"/>
        </w:rPr>
        <w:t> </w:t>
      </w:r>
      <w:r>
        <w:rPr/>
        <w:t>of</w:t>
      </w:r>
      <w:r>
        <w:rPr>
          <w:spacing w:val="-7"/>
        </w:rPr>
        <w:t> </w:t>
      </w:r>
      <w:r>
        <w:rPr/>
        <w:t>the body. The ignition spark for the activation of the mitochondria is ALWAYS delivered by coenzyme</w:t>
      </w:r>
      <w:r>
        <w:rPr>
          <w:spacing w:val="3"/>
        </w:rPr>
        <w:t> </w:t>
      </w:r>
      <w:r>
        <w:rPr/>
        <w:t>Q10.</w:t>
      </w:r>
    </w:p>
    <w:p>
      <w:pPr>
        <w:pStyle w:val="BodyText"/>
        <w:spacing w:line="276" w:lineRule="auto" w:before="241"/>
        <w:ind w:left="616" w:right="136"/>
        <w:jc w:val="both"/>
      </w:pPr>
      <w:r>
        <w:rPr/>
        <w:t>If you take coenzyme Q10 away from the mitochondria, you also take away the cell’s energy, and because Q10 is responsible for the energy production of every</w:t>
      </w:r>
      <w:r>
        <w:rPr>
          <w:spacing w:val="-14"/>
        </w:rPr>
        <w:t> </w:t>
      </w:r>
      <w:r>
        <w:rPr/>
        <w:t>individual</w:t>
      </w:r>
      <w:r>
        <w:rPr>
          <w:spacing w:val="-15"/>
        </w:rPr>
        <w:t> </w:t>
      </w:r>
      <w:r>
        <w:rPr/>
        <w:t>body</w:t>
      </w:r>
      <w:r>
        <w:rPr>
          <w:spacing w:val="-13"/>
        </w:rPr>
        <w:t> </w:t>
      </w:r>
      <w:r>
        <w:rPr/>
        <w:t>cell,</w:t>
      </w:r>
      <w:r>
        <w:rPr>
          <w:spacing w:val="-14"/>
        </w:rPr>
        <w:t> </w:t>
      </w:r>
      <w:r>
        <w:rPr/>
        <w:t>you</w:t>
      </w:r>
      <w:r>
        <w:rPr>
          <w:spacing w:val="-14"/>
        </w:rPr>
        <w:t> </w:t>
      </w:r>
      <w:r>
        <w:rPr/>
        <w:t>also</w:t>
      </w:r>
      <w:r>
        <w:rPr>
          <w:spacing w:val="-14"/>
        </w:rPr>
        <w:t> </w:t>
      </w:r>
      <w:r>
        <w:rPr/>
        <w:t>take</w:t>
      </w:r>
      <w:r>
        <w:rPr>
          <w:spacing w:val="-14"/>
        </w:rPr>
        <w:t> </w:t>
      </w:r>
      <w:r>
        <w:rPr/>
        <w:t>away</w:t>
      </w:r>
      <w:r>
        <w:rPr>
          <w:spacing w:val="-15"/>
        </w:rPr>
        <w:t> </w:t>
      </w:r>
      <w:r>
        <w:rPr/>
        <w:t>energy</w:t>
      </w:r>
      <w:r>
        <w:rPr>
          <w:spacing w:val="-14"/>
        </w:rPr>
        <w:t> </w:t>
      </w:r>
      <w:r>
        <w:rPr/>
        <w:t>for</w:t>
      </w:r>
      <w:r>
        <w:rPr>
          <w:spacing w:val="-14"/>
        </w:rPr>
        <w:t> </w:t>
      </w:r>
      <w:r>
        <w:rPr/>
        <w:t>life.</w:t>
      </w:r>
      <w:r>
        <w:rPr>
          <w:spacing w:val="-14"/>
        </w:rPr>
        <w:t> </w:t>
      </w:r>
      <w:r>
        <w:rPr/>
        <w:t>If</w:t>
      </w:r>
      <w:r>
        <w:rPr>
          <w:spacing w:val="-13"/>
        </w:rPr>
        <w:t> </w:t>
      </w:r>
      <w:r>
        <w:rPr/>
        <w:t>a</w:t>
      </w:r>
      <w:r>
        <w:rPr>
          <w:spacing w:val="-17"/>
        </w:rPr>
        <w:t> </w:t>
      </w:r>
      <w:r>
        <w:rPr/>
        <w:t>cell</w:t>
      </w:r>
      <w:r>
        <w:rPr>
          <w:spacing w:val="-14"/>
        </w:rPr>
        <w:t> </w:t>
      </w:r>
      <w:r>
        <w:rPr/>
        <w:t>has</w:t>
      </w:r>
      <w:r>
        <w:rPr>
          <w:spacing w:val="-13"/>
        </w:rPr>
        <w:t> </w:t>
      </w:r>
      <w:r>
        <w:rPr/>
        <w:t>a</w:t>
      </w:r>
      <w:r>
        <w:rPr>
          <w:spacing w:val="-15"/>
        </w:rPr>
        <w:t> </w:t>
      </w:r>
      <w:r>
        <w:rPr/>
        <w:t>Q10 deficiency, it is robbed of oxygen, it cannot breathe, suffocates, and can even die of</w:t>
      </w:r>
      <w:r>
        <w:rPr>
          <w:spacing w:val="-3"/>
        </w:rPr>
        <w:t> </w:t>
      </w:r>
      <w:r>
        <w:rPr/>
        <w:t>suffocation.</w:t>
      </w:r>
    </w:p>
    <w:p>
      <w:pPr>
        <w:spacing w:line="276" w:lineRule="auto" w:before="240"/>
        <w:ind w:left="616" w:right="140" w:firstLine="0"/>
        <w:jc w:val="both"/>
        <w:rPr>
          <w:i/>
          <w:sz w:val="38"/>
        </w:rPr>
      </w:pPr>
      <w:r>
        <w:rPr>
          <w:sz w:val="38"/>
        </w:rPr>
        <w:t>A recognition that Prof. Folkers of the University of Texas summarizes in the following sentence: ‘</w:t>
      </w:r>
      <w:r>
        <w:rPr>
          <w:i/>
          <w:sz w:val="38"/>
        </w:rPr>
        <w:t>‘Q10 is simply a prerequisite for human life—no Q10, no life.’</w:t>
      </w:r>
    </w:p>
    <w:p>
      <w:pPr>
        <w:pStyle w:val="BodyText"/>
        <w:spacing w:line="276" w:lineRule="auto" w:before="238"/>
        <w:ind w:left="616" w:right="135"/>
        <w:jc w:val="both"/>
        <w:rPr>
          <w:sz w:val="25"/>
        </w:rPr>
      </w:pPr>
      <w:r>
        <w:rPr/>
        <w:t>Expressed in concrete numbers, a shortage of coenzyme Q10 starting at 25</w:t>
      </w:r>
      <w:r>
        <w:rPr>
          <w:spacing w:val="-47"/>
        </w:rPr>
        <w:t> </w:t>
      </w:r>
      <w:r>
        <w:rPr/>
        <w:t>% can initially lead to a physical and psychological decline in performance; start- ing at 75 %, it can lead to functional impairments and illnesses up to and in- cluding death.</w:t>
      </w:r>
      <w:r>
        <w:rPr>
          <w:position w:val="9"/>
          <w:sz w:val="25"/>
        </w:rPr>
        <w:t>727</w:t>
      </w:r>
    </w:p>
    <w:p>
      <w:pPr>
        <w:pStyle w:val="BodyText"/>
        <w:spacing w:before="1"/>
        <w:rPr>
          <w:sz w:val="25"/>
        </w:rPr>
      </w:pPr>
      <w:r>
        <w:rPr/>
        <w:pict>
          <v:line style="position:absolute;mso-position-horizontal-relative:page;mso-position-vertical-relative:paragraph;z-index:9464;mso-wrap-distance-left:0;mso-wrap-distance-right:0" from="70.823997pt,16.477514pt" to="214.843997pt,16.477514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727 </w:t>
      </w:r>
      <w:r>
        <w:rPr>
          <w:sz w:val="20"/>
        </w:rPr>
        <w:t>Dr. med. Emile G. Bliznakow, Q10 researcher and President and Scientific Director of the Connecticut Lupus Research Institute (USA).</w:t>
      </w:r>
    </w:p>
    <w:p>
      <w:pPr>
        <w:spacing w:after="0"/>
        <w:jc w:val="left"/>
        <w:rPr>
          <w:sz w:val="20"/>
        </w:rPr>
        <w:sectPr>
          <w:pgSz w:w="14270" w:h="16850"/>
          <w:pgMar w:header="0" w:footer="1891" w:top="1320" w:bottom="2080" w:left="800" w:right="1280"/>
        </w:sectPr>
      </w:pPr>
    </w:p>
    <w:p>
      <w:pPr>
        <w:pStyle w:val="Heading1"/>
        <w:spacing w:before="75"/>
        <w:ind w:left="616"/>
      </w:pPr>
      <w:r>
        <w:rPr/>
        <w:t>Q10 as antioxidant – the cell defence for our bodies</w:t>
      </w:r>
    </w:p>
    <w:p>
      <w:pPr>
        <w:pStyle w:val="BodyText"/>
        <w:spacing w:line="276" w:lineRule="auto" w:before="299"/>
        <w:ind w:left="616" w:right="137"/>
        <w:jc w:val="both"/>
      </w:pPr>
      <w:r>
        <w:rPr/>
        <w:t>Alongside its infinitely large contribution to our energy supply, Q10 also</w:t>
      </w:r>
      <w:r>
        <w:rPr>
          <w:spacing w:val="-55"/>
        </w:rPr>
        <w:t> </w:t>
      </w:r>
      <w:r>
        <w:rPr/>
        <w:t>plays another enormous role in our bodies as an effective antioxidant (radical cap- turer). As we already learned in depth in the chapter ‘Vitamin C’, free radicals are precisely what lead to the so-called diseases of civilisation like atheroscle- rosis,</w:t>
      </w:r>
      <w:r>
        <w:rPr>
          <w:spacing w:val="-12"/>
        </w:rPr>
        <w:t> </w:t>
      </w:r>
      <w:r>
        <w:rPr/>
        <w:t>heart</w:t>
      </w:r>
      <w:r>
        <w:rPr>
          <w:spacing w:val="-12"/>
        </w:rPr>
        <w:t> </w:t>
      </w:r>
      <w:r>
        <w:rPr/>
        <w:t>attack,</w:t>
      </w:r>
      <w:r>
        <w:rPr>
          <w:spacing w:val="-12"/>
        </w:rPr>
        <w:t> </w:t>
      </w:r>
      <w:r>
        <w:rPr/>
        <w:t>stroke,</w:t>
      </w:r>
      <w:r>
        <w:rPr>
          <w:spacing w:val="-12"/>
        </w:rPr>
        <w:t> </w:t>
      </w:r>
      <w:r>
        <w:rPr/>
        <w:t>diabetes,</w:t>
      </w:r>
      <w:r>
        <w:rPr>
          <w:spacing w:val="-13"/>
        </w:rPr>
        <w:t> </w:t>
      </w:r>
      <w:r>
        <w:rPr/>
        <w:t>arthritis,</w:t>
      </w:r>
      <w:r>
        <w:rPr>
          <w:spacing w:val="-12"/>
        </w:rPr>
        <w:t> </w:t>
      </w:r>
      <w:r>
        <w:rPr/>
        <w:t>and</w:t>
      </w:r>
      <w:r>
        <w:rPr>
          <w:spacing w:val="-15"/>
        </w:rPr>
        <w:t> </w:t>
      </w:r>
      <w:r>
        <w:rPr/>
        <w:t>cancer</w:t>
      </w:r>
      <w:r>
        <w:rPr>
          <w:spacing w:val="-11"/>
        </w:rPr>
        <w:t> </w:t>
      </w:r>
      <w:r>
        <w:rPr/>
        <w:t>–</w:t>
      </w:r>
      <w:r>
        <w:rPr>
          <w:spacing w:val="-13"/>
        </w:rPr>
        <w:t> </w:t>
      </w:r>
      <w:r>
        <w:rPr/>
        <w:t>and</w:t>
      </w:r>
      <w:r>
        <w:rPr>
          <w:spacing w:val="-13"/>
        </w:rPr>
        <w:t> </w:t>
      </w:r>
      <w:r>
        <w:rPr/>
        <w:t>free</w:t>
      </w:r>
      <w:r>
        <w:rPr>
          <w:spacing w:val="-13"/>
        </w:rPr>
        <w:t> </w:t>
      </w:r>
      <w:r>
        <w:rPr/>
        <w:t>radicals</w:t>
      </w:r>
      <w:r>
        <w:rPr>
          <w:spacing w:val="-13"/>
        </w:rPr>
        <w:t> </w:t>
      </w:r>
      <w:r>
        <w:rPr/>
        <w:t>also lead to the ageing of our</w:t>
      </w:r>
      <w:r>
        <w:rPr>
          <w:spacing w:val="5"/>
        </w:rPr>
        <w:t> </w:t>
      </w:r>
      <w:r>
        <w:rPr/>
        <w:t>cells.</w:t>
      </w:r>
    </w:p>
    <w:p>
      <w:pPr>
        <w:pStyle w:val="BodyText"/>
        <w:spacing w:line="276" w:lineRule="auto" w:before="240"/>
        <w:ind w:left="616"/>
      </w:pPr>
      <w:r>
        <w:rPr/>
        <w:t>Comparable to rust on our automobiles, free radicals gnaw on our cells and gradually wreak terrible havoc, which leads to illness and ageing.</w:t>
      </w:r>
    </w:p>
    <w:p>
      <w:pPr>
        <w:pStyle w:val="BodyText"/>
        <w:spacing w:before="243"/>
        <w:ind w:left="616"/>
        <w:jc w:val="both"/>
      </w:pPr>
      <w:r>
        <w:rPr/>
        <w:t>The following illnesses, among others, can be traced to attacks by free radicals:</w:t>
      </w:r>
    </w:p>
    <w:p>
      <w:pPr>
        <w:pStyle w:val="ListParagraph"/>
        <w:numPr>
          <w:ilvl w:val="0"/>
          <w:numId w:val="98"/>
        </w:numPr>
        <w:tabs>
          <w:tab w:pos="1037" w:val="left" w:leader="none"/>
        </w:tabs>
        <w:spacing w:line="240" w:lineRule="auto" w:before="263" w:after="0"/>
        <w:ind w:left="1036" w:right="0" w:hanging="420"/>
        <w:jc w:val="both"/>
        <w:rPr>
          <w:sz w:val="38"/>
        </w:rPr>
      </w:pPr>
      <w:r>
        <w:rPr>
          <w:sz w:val="38"/>
        </w:rPr>
        <w:t>Atherosclerosis</w:t>
      </w:r>
    </w:p>
    <w:p>
      <w:pPr>
        <w:pStyle w:val="ListParagraph"/>
        <w:numPr>
          <w:ilvl w:val="0"/>
          <w:numId w:val="98"/>
        </w:numPr>
        <w:tabs>
          <w:tab w:pos="1037" w:val="left" w:leader="none"/>
        </w:tabs>
        <w:spacing w:line="240" w:lineRule="auto" w:before="184" w:after="0"/>
        <w:ind w:left="1036" w:right="0" w:hanging="420"/>
        <w:jc w:val="both"/>
        <w:rPr>
          <w:sz w:val="38"/>
        </w:rPr>
      </w:pPr>
      <w:r>
        <w:rPr>
          <w:sz w:val="38"/>
        </w:rPr>
        <w:t>Heart</w:t>
      </w:r>
      <w:r>
        <w:rPr>
          <w:spacing w:val="-1"/>
          <w:sz w:val="38"/>
        </w:rPr>
        <w:t> </w:t>
      </w:r>
      <w:r>
        <w:rPr>
          <w:sz w:val="38"/>
        </w:rPr>
        <w:t>attack</w:t>
      </w:r>
    </w:p>
    <w:p>
      <w:pPr>
        <w:pStyle w:val="ListParagraph"/>
        <w:numPr>
          <w:ilvl w:val="0"/>
          <w:numId w:val="98"/>
        </w:numPr>
        <w:tabs>
          <w:tab w:pos="1037" w:val="left" w:leader="none"/>
        </w:tabs>
        <w:spacing w:line="240" w:lineRule="auto" w:before="186" w:after="0"/>
        <w:ind w:left="1036" w:right="0" w:hanging="420"/>
        <w:jc w:val="both"/>
        <w:rPr>
          <w:sz w:val="38"/>
        </w:rPr>
      </w:pPr>
      <w:r>
        <w:rPr>
          <w:sz w:val="38"/>
        </w:rPr>
        <w:t>Stroke</w:t>
      </w:r>
    </w:p>
    <w:p>
      <w:pPr>
        <w:pStyle w:val="ListParagraph"/>
        <w:numPr>
          <w:ilvl w:val="0"/>
          <w:numId w:val="98"/>
        </w:numPr>
        <w:tabs>
          <w:tab w:pos="1037" w:val="left" w:leader="none"/>
        </w:tabs>
        <w:spacing w:line="240" w:lineRule="auto" w:before="184" w:after="0"/>
        <w:ind w:left="1036" w:right="0" w:hanging="420"/>
        <w:jc w:val="both"/>
        <w:rPr>
          <w:sz w:val="38"/>
        </w:rPr>
      </w:pPr>
      <w:r>
        <w:rPr>
          <w:sz w:val="38"/>
        </w:rPr>
        <w:t>Respiratory diseases</w:t>
      </w:r>
    </w:p>
    <w:p>
      <w:pPr>
        <w:pStyle w:val="ListParagraph"/>
        <w:numPr>
          <w:ilvl w:val="0"/>
          <w:numId w:val="98"/>
        </w:numPr>
        <w:tabs>
          <w:tab w:pos="1037" w:val="left" w:leader="none"/>
        </w:tabs>
        <w:spacing w:line="240" w:lineRule="auto" w:before="184" w:after="0"/>
        <w:ind w:left="1036" w:right="0" w:hanging="420"/>
        <w:jc w:val="both"/>
        <w:rPr>
          <w:sz w:val="38"/>
        </w:rPr>
      </w:pPr>
      <w:r>
        <w:rPr>
          <w:sz w:val="38"/>
        </w:rPr>
        <w:t>Blood vessel</w:t>
      </w:r>
      <w:r>
        <w:rPr>
          <w:spacing w:val="-1"/>
          <w:sz w:val="38"/>
        </w:rPr>
        <w:t> </w:t>
      </w:r>
      <w:r>
        <w:rPr>
          <w:sz w:val="38"/>
        </w:rPr>
        <w:t>diseases</w:t>
      </w:r>
    </w:p>
    <w:p>
      <w:pPr>
        <w:pStyle w:val="ListParagraph"/>
        <w:numPr>
          <w:ilvl w:val="0"/>
          <w:numId w:val="98"/>
        </w:numPr>
        <w:tabs>
          <w:tab w:pos="1037" w:val="left" w:leader="none"/>
        </w:tabs>
        <w:spacing w:line="240" w:lineRule="auto" w:before="183" w:after="0"/>
        <w:ind w:left="1036" w:right="0" w:hanging="420"/>
        <w:jc w:val="both"/>
        <w:rPr>
          <w:sz w:val="38"/>
        </w:rPr>
      </w:pPr>
      <w:r>
        <w:rPr>
          <w:sz w:val="38"/>
        </w:rPr>
        <w:t>Cancer</w:t>
      </w:r>
    </w:p>
    <w:p>
      <w:pPr>
        <w:pStyle w:val="ListParagraph"/>
        <w:numPr>
          <w:ilvl w:val="0"/>
          <w:numId w:val="98"/>
        </w:numPr>
        <w:tabs>
          <w:tab w:pos="1037" w:val="left" w:leader="none"/>
        </w:tabs>
        <w:spacing w:line="240" w:lineRule="auto" w:before="184" w:after="0"/>
        <w:ind w:left="1036" w:right="0" w:hanging="420"/>
        <w:jc w:val="both"/>
        <w:rPr>
          <w:sz w:val="38"/>
        </w:rPr>
      </w:pPr>
      <w:r>
        <w:rPr>
          <w:sz w:val="38"/>
        </w:rPr>
        <w:t>Diabetes</w:t>
      </w:r>
    </w:p>
    <w:p>
      <w:pPr>
        <w:pStyle w:val="ListParagraph"/>
        <w:numPr>
          <w:ilvl w:val="0"/>
          <w:numId w:val="98"/>
        </w:numPr>
        <w:tabs>
          <w:tab w:pos="1037" w:val="left" w:leader="none"/>
        </w:tabs>
        <w:spacing w:line="240" w:lineRule="auto" w:before="186" w:after="0"/>
        <w:ind w:left="1036" w:right="0" w:hanging="420"/>
        <w:jc w:val="both"/>
        <w:rPr>
          <w:sz w:val="38"/>
        </w:rPr>
      </w:pPr>
      <w:r>
        <w:rPr>
          <w:sz w:val="38"/>
        </w:rPr>
        <w:t>Cystic</w:t>
      </w:r>
      <w:r>
        <w:rPr>
          <w:spacing w:val="-2"/>
          <w:sz w:val="38"/>
        </w:rPr>
        <w:t> </w:t>
      </w:r>
      <w:r>
        <w:rPr>
          <w:sz w:val="38"/>
        </w:rPr>
        <w:t>fibrosis</w:t>
      </w:r>
    </w:p>
    <w:p>
      <w:pPr>
        <w:pStyle w:val="ListParagraph"/>
        <w:numPr>
          <w:ilvl w:val="0"/>
          <w:numId w:val="98"/>
        </w:numPr>
        <w:tabs>
          <w:tab w:pos="1037" w:val="left" w:leader="none"/>
        </w:tabs>
        <w:spacing w:line="240" w:lineRule="auto" w:before="184" w:after="0"/>
        <w:ind w:left="1036" w:right="0" w:hanging="420"/>
        <w:jc w:val="both"/>
        <w:rPr>
          <w:sz w:val="38"/>
        </w:rPr>
      </w:pPr>
      <w:r>
        <w:rPr>
          <w:sz w:val="38"/>
        </w:rPr>
        <w:t>Inflammation</w:t>
      </w:r>
    </w:p>
    <w:p>
      <w:pPr>
        <w:pStyle w:val="ListParagraph"/>
        <w:numPr>
          <w:ilvl w:val="0"/>
          <w:numId w:val="98"/>
        </w:numPr>
        <w:tabs>
          <w:tab w:pos="1037" w:val="left" w:leader="none"/>
        </w:tabs>
        <w:spacing w:line="240" w:lineRule="auto" w:before="184" w:after="0"/>
        <w:ind w:left="1036" w:right="0" w:hanging="420"/>
        <w:jc w:val="both"/>
        <w:rPr>
          <w:sz w:val="38"/>
        </w:rPr>
      </w:pPr>
      <w:r>
        <w:rPr>
          <w:sz w:val="38"/>
        </w:rPr>
        <w:t>Hepatitis</w:t>
      </w:r>
    </w:p>
    <w:p>
      <w:pPr>
        <w:spacing w:after="0" w:line="240" w:lineRule="auto"/>
        <w:jc w:val="both"/>
        <w:rPr>
          <w:sz w:val="38"/>
        </w:rPr>
        <w:sectPr>
          <w:pgSz w:w="14270" w:h="16850"/>
          <w:pgMar w:header="0" w:footer="1891" w:top="1320" w:bottom="2080" w:left="800" w:right="1280"/>
        </w:sectPr>
      </w:pPr>
    </w:p>
    <w:p>
      <w:pPr>
        <w:pStyle w:val="ListParagraph"/>
        <w:numPr>
          <w:ilvl w:val="0"/>
          <w:numId w:val="98"/>
        </w:numPr>
        <w:tabs>
          <w:tab w:pos="1037" w:val="left" w:leader="none"/>
        </w:tabs>
        <w:spacing w:line="240" w:lineRule="auto" w:before="53" w:after="0"/>
        <w:ind w:left="1036" w:right="0" w:hanging="420"/>
        <w:jc w:val="both"/>
        <w:rPr>
          <w:sz w:val="38"/>
        </w:rPr>
      </w:pPr>
      <w:r>
        <w:rPr>
          <w:sz w:val="38"/>
        </w:rPr>
        <w:t>Parkinson’s</w:t>
      </w:r>
    </w:p>
    <w:p>
      <w:pPr>
        <w:pStyle w:val="ListParagraph"/>
        <w:numPr>
          <w:ilvl w:val="0"/>
          <w:numId w:val="98"/>
        </w:numPr>
        <w:tabs>
          <w:tab w:pos="1037" w:val="left" w:leader="none"/>
        </w:tabs>
        <w:spacing w:line="240" w:lineRule="auto" w:before="186" w:after="0"/>
        <w:ind w:left="1036" w:right="0" w:hanging="420"/>
        <w:jc w:val="both"/>
        <w:rPr>
          <w:sz w:val="38"/>
        </w:rPr>
      </w:pPr>
      <w:r>
        <w:rPr>
          <w:sz w:val="38"/>
        </w:rPr>
        <w:t>Alzheimer’s</w:t>
      </w:r>
    </w:p>
    <w:p>
      <w:pPr>
        <w:pStyle w:val="ListParagraph"/>
        <w:numPr>
          <w:ilvl w:val="0"/>
          <w:numId w:val="98"/>
        </w:numPr>
        <w:tabs>
          <w:tab w:pos="1037" w:val="left" w:leader="none"/>
        </w:tabs>
        <w:spacing w:line="240" w:lineRule="auto" w:before="184" w:after="0"/>
        <w:ind w:left="1036" w:right="0" w:hanging="420"/>
        <w:jc w:val="both"/>
        <w:rPr>
          <w:sz w:val="38"/>
        </w:rPr>
      </w:pPr>
      <w:r>
        <w:rPr>
          <w:sz w:val="38"/>
        </w:rPr>
        <w:t>Arthritis</w:t>
      </w:r>
    </w:p>
    <w:p>
      <w:pPr>
        <w:pStyle w:val="ListParagraph"/>
        <w:numPr>
          <w:ilvl w:val="0"/>
          <w:numId w:val="98"/>
        </w:numPr>
        <w:tabs>
          <w:tab w:pos="1037" w:val="left" w:leader="none"/>
        </w:tabs>
        <w:spacing w:line="240" w:lineRule="auto" w:before="184" w:after="0"/>
        <w:ind w:left="1036" w:right="0" w:hanging="420"/>
        <w:jc w:val="both"/>
        <w:rPr>
          <w:sz w:val="38"/>
        </w:rPr>
      </w:pPr>
      <w:r>
        <w:rPr>
          <w:sz w:val="38"/>
        </w:rPr>
        <w:t>Down’s</w:t>
      </w:r>
      <w:r>
        <w:rPr>
          <w:spacing w:val="1"/>
          <w:sz w:val="38"/>
        </w:rPr>
        <w:t> </w:t>
      </w:r>
      <w:r>
        <w:rPr>
          <w:sz w:val="38"/>
        </w:rPr>
        <w:t>syndrome</w:t>
      </w:r>
    </w:p>
    <w:p>
      <w:pPr>
        <w:pStyle w:val="BodyText"/>
        <w:spacing w:line="278" w:lineRule="auto" w:before="302"/>
        <w:ind w:left="616" w:right="139"/>
        <w:jc w:val="both"/>
      </w:pPr>
      <w:r>
        <w:rPr/>
        <w:t>The fact that Q10 is present everywhere in our bodies explains its ability to capture and neutralise free radicals throughout the body.</w:t>
      </w:r>
    </w:p>
    <w:p>
      <w:pPr>
        <w:pStyle w:val="BodyText"/>
        <w:spacing w:line="276" w:lineRule="auto" w:before="233"/>
        <w:ind w:left="616" w:right="138"/>
        <w:jc w:val="both"/>
        <w:rPr>
          <w:sz w:val="25"/>
        </w:rPr>
      </w:pPr>
      <w:r>
        <w:rPr/>
        <w:t>Q10 already starts working in the blood, before the free radicals reach their target</w:t>
      </w:r>
      <w:r>
        <w:rPr>
          <w:spacing w:val="-24"/>
        </w:rPr>
        <w:t> </w:t>
      </w:r>
      <w:r>
        <w:rPr/>
        <w:t>organs</w:t>
      </w:r>
      <w:r>
        <w:rPr>
          <w:spacing w:val="-23"/>
        </w:rPr>
        <w:t> </w:t>
      </w:r>
      <w:r>
        <w:rPr/>
        <w:t>and</w:t>
      </w:r>
      <w:r>
        <w:rPr>
          <w:spacing w:val="-25"/>
        </w:rPr>
        <w:t> </w:t>
      </w:r>
      <w:r>
        <w:rPr/>
        <w:t>do</w:t>
      </w:r>
      <w:r>
        <w:rPr>
          <w:spacing w:val="-23"/>
        </w:rPr>
        <w:t> </w:t>
      </w:r>
      <w:r>
        <w:rPr/>
        <w:t>their</w:t>
      </w:r>
      <w:r>
        <w:rPr>
          <w:spacing w:val="-24"/>
        </w:rPr>
        <w:t> </w:t>
      </w:r>
      <w:r>
        <w:rPr/>
        <w:t>damage</w:t>
      </w:r>
      <w:r>
        <w:rPr>
          <w:spacing w:val="-23"/>
        </w:rPr>
        <w:t> </w:t>
      </w:r>
      <w:r>
        <w:rPr/>
        <w:t>there.</w:t>
      </w:r>
      <w:r>
        <w:rPr>
          <w:spacing w:val="-28"/>
        </w:rPr>
        <w:t> </w:t>
      </w:r>
      <w:r>
        <w:rPr/>
        <w:t>Q10</w:t>
      </w:r>
      <w:r>
        <w:rPr>
          <w:spacing w:val="-24"/>
        </w:rPr>
        <w:t> </w:t>
      </w:r>
      <w:r>
        <w:rPr/>
        <w:t>is</w:t>
      </w:r>
      <w:r>
        <w:rPr>
          <w:spacing w:val="-24"/>
        </w:rPr>
        <w:t> </w:t>
      </w:r>
      <w:r>
        <w:rPr/>
        <w:t>the</w:t>
      </w:r>
      <w:r>
        <w:rPr>
          <w:spacing w:val="-25"/>
        </w:rPr>
        <w:t> </w:t>
      </w:r>
      <w:r>
        <w:rPr/>
        <w:t>most</w:t>
      </w:r>
      <w:r>
        <w:rPr>
          <w:spacing w:val="-24"/>
        </w:rPr>
        <w:t> </w:t>
      </w:r>
      <w:r>
        <w:rPr/>
        <w:t>important</w:t>
      </w:r>
      <w:r>
        <w:rPr>
          <w:spacing w:val="-25"/>
        </w:rPr>
        <w:t> </w:t>
      </w:r>
      <w:r>
        <w:rPr/>
        <w:t>antioxidant in the lipid phase and has the ability to regenerate the antioxidant Vitamin E which is used there and which also takes part in antioxidative</w:t>
      </w:r>
      <w:r>
        <w:rPr>
          <w:spacing w:val="-17"/>
        </w:rPr>
        <w:t> </w:t>
      </w:r>
      <w:r>
        <w:rPr/>
        <w:t>processes.</w:t>
      </w:r>
      <w:r>
        <w:rPr>
          <w:position w:val="9"/>
          <w:sz w:val="25"/>
        </w:rPr>
        <w:t>728</w:t>
      </w:r>
    </w:p>
    <w:p>
      <w:pPr>
        <w:pStyle w:val="BodyText"/>
        <w:spacing w:line="276" w:lineRule="auto" w:before="241"/>
        <w:ind w:left="616" w:right="131"/>
        <w:jc w:val="both"/>
      </w:pPr>
      <w:r>
        <w:rPr/>
        <w:t>A</w:t>
      </w:r>
      <w:r>
        <w:rPr>
          <w:spacing w:val="-20"/>
        </w:rPr>
        <w:t> </w:t>
      </w:r>
      <w:r>
        <w:rPr/>
        <w:t>healthy</w:t>
      </w:r>
      <w:r>
        <w:rPr>
          <w:spacing w:val="-20"/>
        </w:rPr>
        <w:t> </w:t>
      </w:r>
      <w:r>
        <w:rPr/>
        <w:t>lifestyle</w:t>
      </w:r>
      <w:r>
        <w:rPr>
          <w:spacing w:val="-19"/>
        </w:rPr>
        <w:t> </w:t>
      </w:r>
      <w:r>
        <w:rPr/>
        <w:t>requires</w:t>
      </w:r>
      <w:r>
        <w:rPr>
          <w:spacing w:val="-19"/>
        </w:rPr>
        <w:t> </w:t>
      </w:r>
      <w:r>
        <w:rPr/>
        <w:t>the</w:t>
      </w:r>
      <w:r>
        <w:rPr>
          <w:spacing w:val="-21"/>
        </w:rPr>
        <w:t> </w:t>
      </w:r>
      <w:r>
        <w:rPr/>
        <w:t>regular</w:t>
      </w:r>
      <w:r>
        <w:rPr>
          <w:spacing w:val="-20"/>
        </w:rPr>
        <w:t> </w:t>
      </w:r>
      <w:r>
        <w:rPr/>
        <w:t>consumption</w:t>
      </w:r>
      <w:r>
        <w:rPr>
          <w:spacing w:val="-21"/>
        </w:rPr>
        <w:t> </w:t>
      </w:r>
      <w:r>
        <w:rPr/>
        <w:t>of</w:t>
      </w:r>
      <w:r>
        <w:rPr>
          <w:spacing w:val="-20"/>
        </w:rPr>
        <w:t> </w:t>
      </w:r>
      <w:r>
        <w:rPr/>
        <w:t>Q10.</w:t>
      </w:r>
      <w:r>
        <w:rPr>
          <w:spacing w:val="-21"/>
        </w:rPr>
        <w:t> </w:t>
      </w:r>
      <w:r>
        <w:rPr/>
        <w:t>And</w:t>
      </w:r>
      <w:r>
        <w:rPr>
          <w:spacing w:val="-24"/>
        </w:rPr>
        <w:t> </w:t>
      </w:r>
      <w:r>
        <w:rPr/>
        <w:t>even</w:t>
      </w:r>
      <w:r>
        <w:rPr>
          <w:spacing w:val="-19"/>
        </w:rPr>
        <w:t> </w:t>
      </w:r>
      <w:r>
        <w:rPr/>
        <w:t>athletes, who are said to have a very healthy lifestyle, have a serious problem without Q10:</w:t>
      </w:r>
      <w:r>
        <w:rPr>
          <w:spacing w:val="-10"/>
        </w:rPr>
        <w:t> </w:t>
      </w:r>
      <w:r>
        <w:rPr/>
        <w:t>While</w:t>
      </w:r>
      <w:r>
        <w:rPr>
          <w:spacing w:val="-11"/>
        </w:rPr>
        <w:t> </w:t>
      </w:r>
      <w:r>
        <w:rPr/>
        <w:t>not</w:t>
      </w:r>
      <w:r>
        <w:rPr>
          <w:spacing w:val="-15"/>
        </w:rPr>
        <w:t> </w:t>
      </w:r>
      <w:r>
        <w:rPr/>
        <w:t>many</w:t>
      </w:r>
      <w:r>
        <w:rPr>
          <w:spacing w:val="-10"/>
        </w:rPr>
        <w:t> </w:t>
      </w:r>
      <w:r>
        <w:rPr/>
        <w:t>years</w:t>
      </w:r>
      <w:r>
        <w:rPr>
          <w:spacing w:val="-9"/>
        </w:rPr>
        <w:t> </w:t>
      </w:r>
      <w:r>
        <w:rPr/>
        <w:t>ago</w:t>
      </w:r>
      <w:r>
        <w:rPr>
          <w:spacing w:val="-14"/>
        </w:rPr>
        <w:t> </w:t>
      </w:r>
      <w:r>
        <w:rPr/>
        <w:t>athletes—especially</w:t>
      </w:r>
      <w:r>
        <w:rPr>
          <w:spacing w:val="-11"/>
        </w:rPr>
        <w:t> </w:t>
      </w:r>
      <w:r>
        <w:rPr/>
        <w:t>endurance</w:t>
      </w:r>
      <w:r>
        <w:rPr>
          <w:spacing w:val="-10"/>
        </w:rPr>
        <w:t> </w:t>
      </w:r>
      <w:r>
        <w:rPr/>
        <w:t>athletes—were considered</w:t>
      </w:r>
      <w:r>
        <w:rPr>
          <w:spacing w:val="-16"/>
        </w:rPr>
        <w:t> </w:t>
      </w:r>
      <w:r>
        <w:rPr/>
        <w:t>to</w:t>
      </w:r>
      <w:r>
        <w:rPr>
          <w:spacing w:val="-18"/>
        </w:rPr>
        <w:t> </w:t>
      </w:r>
      <w:r>
        <w:rPr/>
        <w:t>be</w:t>
      </w:r>
      <w:r>
        <w:rPr>
          <w:spacing w:val="-18"/>
        </w:rPr>
        <w:t> </w:t>
      </w:r>
      <w:r>
        <w:rPr/>
        <w:t>especially</w:t>
      </w:r>
      <w:r>
        <w:rPr>
          <w:spacing w:val="-17"/>
        </w:rPr>
        <w:t> </w:t>
      </w:r>
      <w:r>
        <w:rPr/>
        <w:t>healthy</w:t>
      </w:r>
      <w:r>
        <w:rPr>
          <w:spacing w:val="-16"/>
        </w:rPr>
        <w:t> </w:t>
      </w:r>
      <w:r>
        <w:rPr/>
        <w:t>people,</w:t>
      </w:r>
      <w:r>
        <w:rPr>
          <w:spacing w:val="-18"/>
        </w:rPr>
        <w:t> </w:t>
      </w:r>
      <w:r>
        <w:rPr/>
        <w:t>new</w:t>
      </w:r>
      <w:r>
        <w:rPr>
          <w:spacing w:val="-17"/>
        </w:rPr>
        <w:t> </w:t>
      </w:r>
      <w:r>
        <w:rPr/>
        <w:t>studies</w:t>
      </w:r>
      <w:r>
        <w:rPr>
          <w:spacing w:val="-15"/>
        </w:rPr>
        <w:t> </w:t>
      </w:r>
      <w:r>
        <w:rPr/>
        <w:t>clearly</w:t>
      </w:r>
      <w:r>
        <w:rPr>
          <w:spacing w:val="-16"/>
        </w:rPr>
        <w:t> </w:t>
      </w:r>
      <w:r>
        <w:rPr/>
        <w:t>suggest</w:t>
      </w:r>
      <w:r>
        <w:rPr>
          <w:spacing w:val="-17"/>
        </w:rPr>
        <w:t> </w:t>
      </w:r>
      <w:r>
        <w:rPr/>
        <w:t>that</w:t>
      </w:r>
      <w:r>
        <w:rPr>
          <w:spacing w:val="-16"/>
        </w:rPr>
        <w:t> </w:t>
      </w:r>
      <w:r>
        <w:rPr/>
        <w:t>pre- cisely these athletes are especially endangered by free radicals due to their in- creased</w:t>
      </w:r>
      <w:r>
        <w:rPr>
          <w:spacing w:val="-10"/>
        </w:rPr>
        <w:t> </w:t>
      </w:r>
      <w:r>
        <w:rPr/>
        <w:t>oxygen</w:t>
      </w:r>
      <w:r>
        <w:rPr>
          <w:spacing w:val="-16"/>
        </w:rPr>
        <w:t> </w:t>
      </w:r>
      <w:r>
        <w:rPr/>
        <w:t>uptake</w:t>
      </w:r>
      <w:r>
        <w:rPr>
          <w:spacing w:val="-12"/>
        </w:rPr>
        <w:t> </w:t>
      </w:r>
      <w:r>
        <w:rPr/>
        <w:t>(oxidation</w:t>
      </w:r>
      <w:r>
        <w:rPr>
          <w:spacing w:val="-10"/>
        </w:rPr>
        <w:t> </w:t>
      </w:r>
      <w:r>
        <w:rPr/>
        <w:t>requires</w:t>
      </w:r>
      <w:r>
        <w:rPr>
          <w:spacing w:val="-11"/>
        </w:rPr>
        <w:t> </w:t>
      </w:r>
      <w:r>
        <w:rPr/>
        <w:t>the</w:t>
      </w:r>
      <w:r>
        <w:rPr>
          <w:spacing w:val="-15"/>
        </w:rPr>
        <w:t> </w:t>
      </w:r>
      <w:r>
        <w:rPr/>
        <w:t>presence</w:t>
      </w:r>
      <w:r>
        <w:rPr>
          <w:spacing w:val="-13"/>
        </w:rPr>
        <w:t> </w:t>
      </w:r>
      <w:r>
        <w:rPr/>
        <w:t>of</w:t>
      </w:r>
      <w:r>
        <w:rPr>
          <w:spacing w:val="-12"/>
        </w:rPr>
        <w:t> </w:t>
      </w:r>
      <w:r>
        <w:rPr/>
        <w:t>oxygen).</w:t>
      </w:r>
      <w:r>
        <w:rPr>
          <w:spacing w:val="-11"/>
        </w:rPr>
        <w:t> </w:t>
      </w:r>
      <w:r>
        <w:rPr/>
        <w:t>Coenzyme Q10 is the most important protective factor against so-called ‘oxygen stress’ during intensive athletic activity.</w:t>
      </w:r>
    </w:p>
    <w:p>
      <w:pPr>
        <w:pStyle w:val="Heading1"/>
        <w:spacing w:before="221"/>
        <w:ind w:left="616"/>
        <w:jc w:val="both"/>
      </w:pPr>
      <w:r>
        <w:rPr/>
        <w:t>The spectrum of effects of coenzyme Q10 is, however, many times</w:t>
      </w:r>
    </w:p>
    <w:p>
      <w:pPr>
        <w:pStyle w:val="BodyText"/>
        <w:rPr>
          <w:b/>
          <w:i/>
          <w:sz w:val="20"/>
        </w:rPr>
      </w:pPr>
    </w:p>
    <w:p>
      <w:pPr>
        <w:pStyle w:val="BodyText"/>
        <w:spacing w:before="4"/>
        <w:rPr>
          <w:b/>
          <w:i/>
          <w:sz w:val="24"/>
        </w:rPr>
      </w:pPr>
      <w:r>
        <w:rPr/>
        <w:pict>
          <v:line style="position:absolute;mso-position-horizontal-relative:page;mso-position-vertical-relative:paragraph;z-index:9488;mso-wrap-distance-left:0;mso-wrap-distance-right:0" from="70.823997pt,16.069906pt" to="214.843997pt,16.069906pt" stroked="true" strokeweight=".72003pt" strokecolor="#000000">
            <v:stroke dashstyle="solid"/>
            <w10:wrap type="topAndBottom"/>
          </v:line>
        </w:pict>
      </w:r>
    </w:p>
    <w:p>
      <w:pPr>
        <w:pStyle w:val="BodyText"/>
        <w:spacing w:before="7"/>
        <w:rPr>
          <w:b/>
          <w:i/>
          <w:sz w:val="18"/>
        </w:rPr>
      </w:pPr>
    </w:p>
    <w:p>
      <w:pPr>
        <w:spacing w:line="276" w:lineRule="auto" w:before="99"/>
        <w:ind w:left="616" w:right="289" w:firstLine="0"/>
        <w:jc w:val="left"/>
        <w:rPr>
          <w:sz w:val="20"/>
        </w:rPr>
      </w:pPr>
      <w:r>
        <w:rPr>
          <w:position w:val="5"/>
          <w:sz w:val="13"/>
        </w:rPr>
        <w:t>728 </w:t>
      </w:r>
      <w:r>
        <w:rPr>
          <w:sz w:val="20"/>
        </w:rPr>
        <w:t>Ernster L.: Ubiquinone: redox-enzyme, hydrogen carrier, antioxidant. Biomed. and Clin. Aspects of CoQ10, 1984, 4, S. 3–14; Ernster L. und Beyer R. E.: Antioxidant functions of coenzyme Q: some biochemical and pathophysiological implications. Biomed. and Clin. Aspects of CoQ10, 1991, 6, pp. 45–58</w:t>
      </w:r>
    </w:p>
    <w:p>
      <w:pPr>
        <w:spacing w:after="0" w:line="276" w:lineRule="auto"/>
        <w:jc w:val="left"/>
        <w:rPr>
          <w:sz w:val="20"/>
        </w:rPr>
        <w:sectPr>
          <w:pgSz w:w="14270" w:h="16850"/>
          <w:pgMar w:header="0" w:footer="1891" w:top="1360" w:bottom="2080" w:left="800" w:right="1280"/>
        </w:sectPr>
      </w:pPr>
    </w:p>
    <w:p>
      <w:pPr>
        <w:pStyle w:val="Heading1"/>
        <w:spacing w:before="77"/>
        <w:ind w:left="616"/>
      </w:pPr>
      <w:r>
        <w:rPr/>
        <w:t>higher:</w:t>
      </w:r>
    </w:p>
    <w:p>
      <w:pPr>
        <w:pStyle w:val="ListParagraph"/>
        <w:numPr>
          <w:ilvl w:val="0"/>
          <w:numId w:val="98"/>
        </w:numPr>
        <w:tabs>
          <w:tab w:pos="1036" w:val="left" w:leader="none"/>
          <w:tab w:pos="1037" w:val="left" w:leader="none"/>
        </w:tabs>
        <w:spacing w:line="240" w:lineRule="auto" w:before="260" w:after="0"/>
        <w:ind w:left="1036" w:right="0" w:hanging="358"/>
        <w:jc w:val="left"/>
        <w:rPr>
          <w:sz w:val="38"/>
        </w:rPr>
      </w:pPr>
      <w:r>
        <w:rPr>
          <w:sz w:val="38"/>
        </w:rPr>
        <w:t>Q10 protects our bodily cells from free</w:t>
      </w:r>
      <w:r>
        <w:rPr>
          <w:spacing w:val="-4"/>
          <w:sz w:val="38"/>
        </w:rPr>
        <w:t> </w:t>
      </w:r>
      <w:r>
        <w:rPr>
          <w:sz w:val="38"/>
        </w:rPr>
        <w:t>radicals.</w:t>
      </w:r>
    </w:p>
    <w:p>
      <w:pPr>
        <w:pStyle w:val="ListParagraph"/>
        <w:numPr>
          <w:ilvl w:val="0"/>
          <w:numId w:val="98"/>
        </w:numPr>
        <w:tabs>
          <w:tab w:pos="1036" w:val="left" w:leader="none"/>
          <w:tab w:pos="1037" w:val="left" w:leader="none"/>
        </w:tabs>
        <w:spacing w:line="240" w:lineRule="auto" w:before="184" w:after="0"/>
        <w:ind w:left="1036" w:right="0" w:hanging="358"/>
        <w:jc w:val="left"/>
        <w:rPr>
          <w:sz w:val="38"/>
        </w:rPr>
      </w:pPr>
      <w:r>
        <w:rPr>
          <w:sz w:val="38"/>
        </w:rPr>
        <w:t>It preserves our health and mobilises our self-healing</w:t>
      </w:r>
      <w:r>
        <w:rPr>
          <w:spacing w:val="-6"/>
          <w:sz w:val="38"/>
        </w:rPr>
        <w:t> </w:t>
      </w:r>
      <w:r>
        <w:rPr>
          <w:sz w:val="38"/>
        </w:rPr>
        <w:t>powers.</w:t>
      </w:r>
    </w:p>
    <w:p>
      <w:pPr>
        <w:pStyle w:val="ListParagraph"/>
        <w:numPr>
          <w:ilvl w:val="0"/>
          <w:numId w:val="98"/>
        </w:numPr>
        <w:tabs>
          <w:tab w:pos="1037" w:val="left" w:leader="none"/>
        </w:tabs>
        <w:spacing w:line="276" w:lineRule="auto" w:before="183" w:after="0"/>
        <w:ind w:left="1036" w:right="137" w:hanging="358"/>
        <w:jc w:val="both"/>
        <w:rPr>
          <w:sz w:val="38"/>
        </w:rPr>
      </w:pPr>
      <w:r>
        <w:rPr>
          <w:sz w:val="38"/>
        </w:rPr>
        <w:t>Coenzyme Q10 delivers the energy to cells for all the imaginable functions and mechanisms that they need to fulfil, such as nerve function, muscle function, repair mechanisms, stabilisation of the immune system and</w:t>
      </w:r>
      <w:r>
        <w:rPr>
          <w:spacing w:val="-30"/>
          <w:sz w:val="38"/>
        </w:rPr>
        <w:t> </w:t>
      </w:r>
      <w:r>
        <w:rPr>
          <w:sz w:val="38"/>
        </w:rPr>
        <w:t>much more.</w:t>
      </w:r>
    </w:p>
    <w:p>
      <w:pPr>
        <w:pStyle w:val="ListParagraph"/>
        <w:numPr>
          <w:ilvl w:val="0"/>
          <w:numId w:val="98"/>
        </w:numPr>
        <w:tabs>
          <w:tab w:pos="1036" w:val="left" w:leader="none"/>
          <w:tab w:pos="1037" w:val="left" w:leader="none"/>
        </w:tabs>
        <w:spacing w:line="240" w:lineRule="auto" w:before="120" w:after="0"/>
        <w:ind w:left="1036" w:right="0" w:hanging="358"/>
        <w:jc w:val="left"/>
        <w:rPr>
          <w:sz w:val="38"/>
        </w:rPr>
      </w:pPr>
      <w:r>
        <w:rPr>
          <w:sz w:val="38"/>
        </w:rPr>
        <w:t>Q10 is a cell growth</w:t>
      </w:r>
      <w:r>
        <w:rPr>
          <w:spacing w:val="-2"/>
          <w:sz w:val="38"/>
        </w:rPr>
        <w:t> </w:t>
      </w:r>
      <w:r>
        <w:rPr>
          <w:sz w:val="38"/>
        </w:rPr>
        <w:t>stimulator.</w:t>
      </w:r>
    </w:p>
    <w:p>
      <w:pPr>
        <w:pStyle w:val="ListParagraph"/>
        <w:numPr>
          <w:ilvl w:val="0"/>
          <w:numId w:val="98"/>
        </w:numPr>
        <w:tabs>
          <w:tab w:pos="1037" w:val="left" w:leader="none"/>
        </w:tabs>
        <w:spacing w:line="273" w:lineRule="auto" w:before="184" w:after="0"/>
        <w:ind w:left="1036" w:right="133" w:hanging="358"/>
        <w:jc w:val="both"/>
        <w:rPr>
          <w:sz w:val="38"/>
        </w:rPr>
      </w:pPr>
      <w:r>
        <w:rPr>
          <w:sz w:val="38"/>
        </w:rPr>
        <w:t>It stabilises the cell membrane and thereby enables the optimal supply of energy substances from protein, carbohydrates and fats—and, in this way, Q10 also enables the communication of cells among each</w:t>
      </w:r>
      <w:r>
        <w:rPr>
          <w:spacing w:val="-6"/>
          <w:sz w:val="38"/>
        </w:rPr>
        <w:t> </w:t>
      </w:r>
      <w:r>
        <w:rPr>
          <w:sz w:val="38"/>
        </w:rPr>
        <w:t>other.</w:t>
      </w:r>
    </w:p>
    <w:p>
      <w:pPr>
        <w:pStyle w:val="ListParagraph"/>
        <w:numPr>
          <w:ilvl w:val="0"/>
          <w:numId w:val="98"/>
        </w:numPr>
        <w:tabs>
          <w:tab w:pos="1037" w:val="left" w:leader="none"/>
        </w:tabs>
        <w:spacing w:line="273" w:lineRule="auto" w:before="131" w:after="0"/>
        <w:ind w:left="1036" w:right="132" w:hanging="358"/>
        <w:jc w:val="both"/>
        <w:rPr>
          <w:sz w:val="38"/>
        </w:rPr>
      </w:pPr>
      <w:r>
        <w:rPr>
          <w:sz w:val="38"/>
        </w:rPr>
        <w:t>Q10 creates the optimal conditions for medications, so that they can be more</w:t>
      </w:r>
      <w:r>
        <w:rPr>
          <w:spacing w:val="-16"/>
          <w:sz w:val="38"/>
        </w:rPr>
        <w:t> </w:t>
      </w:r>
      <w:r>
        <w:rPr>
          <w:sz w:val="38"/>
        </w:rPr>
        <w:t>effective—in</w:t>
      </w:r>
      <w:r>
        <w:rPr>
          <w:spacing w:val="-15"/>
          <w:sz w:val="38"/>
        </w:rPr>
        <w:t> </w:t>
      </w:r>
      <w:r>
        <w:rPr>
          <w:sz w:val="38"/>
        </w:rPr>
        <w:t>this</w:t>
      </w:r>
      <w:r>
        <w:rPr>
          <w:spacing w:val="-15"/>
          <w:sz w:val="38"/>
        </w:rPr>
        <w:t> </w:t>
      </w:r>
      <w:r>
        <w:rPr>
          <w:sz w:val="38"/>
        </w:rPr>
        <w:t>way,</w:t>
      </w:r>
      <w:r>
        <w:rPr>
          <w:spacing w:val="-15"/>
          <w:sz w:val="38"/>
        </w:rPr>
        <w:t> </w:t>
      </w:r>
      <w:r>
        <w:rPr>
          <w:sz w:val="38"/>
        </w:rPr>
        <w:t>medication</w:t>
      </w:r>
      <w:r>
        <w:rPr>
          <w:spacing w:val="-14"/>
          <w:sz w:val="38"/>
        </w:rPr>
        <w:t> </w:t>
      </w:r>
      <w:r>
        <w:rPr>
          <w:sz w:val="38"/>
        </w:rPr>
        <w:t>dosage</w:t>
      </w:r>
      <w:r>
        <w:rPr>
          <w:spacing w:val="-15"/>
          <w:sz w:val="38"/>
        </w:rPr>
        <w:t> </w:t>
      </w:r>
      <w:r>
        <w:rPr>
          <w:sz w:val="38"/>
        </w:rPr>
        <w:t>can</w:t>
      </w:r>
      <w:r>
        <w:rPr>
          <w:spacing w:val="-14"/>
          <w:sz w:val="38"/>
        </w:rPr>
        <w:t> </w:t>
      </w:r>
      <w:r>
        <w:rPr>
          <w:sz w:val="38"/>
        </w:rPr>
        <w:t>very</w:t>
      </w:r>
      <w:r>
        <w:rPr>
          <w:spacing w:val="-15"/>
          <w:sz w:val="38"/>
        </w:rPr>
        <w:t> </w:t>
      </w:r>
      <w:r>
        <w:rPr>
          <w:sz w:val="38"/>
        </w:rPr>
        <w:t>often</w:t>
      </w:r>
      <w:r>
        <w:rPr>
          <w:spacing w:val="-16"/>
          <w:sz w:val="38"/>
        </w:rPr>
        <w:t> </w:t>
      </w:r>
      <w:r>
        <w:rPr>
          <w:sz w:val="38"/>
        </w:rPr>
        <w:t>be</w:t>
      </w:r>
      <w:r>
        <w:rPr>
          <w:spacing w:val="-15"/>
          <w:sz w:val="38"/>
        </w:rPr>
        <w:t> </w:t>
      </w:r>
      <w:r>
        <w:rPr>
          <w:sz w:val="38"/>
        </w:rPr>
        <w:t>decreased (clear this with a</w:t>
      </w:r>
      <w:r>
        <w:rPr>
          <w:spacing w:val="2"/>
          <w:sz w:val="38"/>
        </w:rPr>
        <w:t> </w:t>
      </w:r>
      <w:r>
        <w:rPr>
          <w:sz w:val="38"/>
        </w:rPr>
        <w:t>doctor!).</w:t>
      </w:r>
    </w:p>
    <w:p>
      <w:pPr>
        <w:pStyle w:val="ListParagraph"/>
        <w:numPr>
          <w:ilvl w:val="0"/>
          <w:numId w:val="98"/>
        </w:numPr>
        <w:tabs>
          <w:tab w:pos="1036" w:val="left" w:leader="none"/>
          <w:tab w:pos="1037" w:val="left" w:leader="none"/>
        </w:tabs>
        <w:spacing w:line="273" w:lineRule="auto" w:before="133" w:after="0"/>
        <w:ind w:left="1036" w:right="140" w:hanging="358"/>
        <w:jc w:val="left"/>
        <w:rPr>
          <w:sz w:val="38"/>
        </w:rPr>
      </w:pPr>
      <w:r>
        <w:rPr>
          <w:sz w:val="38"/>
        </w:rPr>
        <w:t>Q10 strengthens the body before surgery in order to ensure a quicker re- covery.</w:t>
      </w:r>
    </w:p>
    <w:p>
      <w:pPr>
        <w:pStyle w:val="ListParagraph"/>
        <w:numPr>
          <w:ilvl w:val="0"/>
          <w:numId w:val="98"/>
        </w:numPr>
        <w:tabs>
          <w:tab w:pos="1036" w:val="left" w:leader="none"/>
          <w:tab w:pos="1037" w:val="left" w:leader="none"/>
        </w:tabs>
        <w:spacing w:line="273" w:lineRule="auto" w:before="127" w:after="0"/>
        <w:ind w:left="1036" w:right="135" w:hanging="358"/>
        <w:jc w:val="left"/>
        <w:rPr>
          <w:sz w:val="38"/>
        </w:rPr>
      </w:pPr>
      <w:r>
        <w:rPr>
          <w:sz w:val="38"/>
        </w:rPr>
        <w:t>Together with Vitamin C, Q10 regenerates the Vitamin E used up in the antioxidative process.</w:t>
      </w:r>
    </w:p>
    <w:p>
      <w:pPr>
        <w:pStyle w:val="Heading1"/>
        <w:spacing w:before="228"/>
        <w:ind w:left="616"/>
      </w:pPr>
      <w:r>
        <w:rPr/>
        <w:t>Presence of coenzyme Q10 in the human body</w:t>
      </w:r>
    </w:p>
    <w:p>
      <w:pPr>
        <w:pStyle w:val="BodyText"/>
        <w:spacing w:before="300"/>
        <w:ind w:left="616"/>
      </w:pPr>
      <w:r>
        <w:rPr/>
        <w:t>The coenzyme Q10 is especially present in our heart, and is also found in</w:t>
      </w:r>
      <w:r>
        <w:rPr>
          <w:spacing w:val="80"/>
        </w:rPr>
        <w:t> </w:t>
      </w:r>
      <w:r>
        <w:rPr/>
        <w:t>the</w:t>
      </w:r>
    </w:p>
    <w:p>
      <w:pPr>
        <w:spacing w:after="0"/>
        <w:sectPr>
          <w:pgSz w:w="14270" w:h="16850"/>
          <w:pgMar w:header="0" w:footer="1891" w:top="1320" w:bottom="2080" w:left="800" w:right="1280"/>
        </w:sectPr>
      </w:pPr>
    </w:p>
    <w:p>
      <w:pPr>
        <w:pStyle w:val="BodyText"/>
        <w:spacing w:line="276" w:lineRule="auto" w:before="72"/>
        <w:ind w:left="616" w:right="145"/>
        <w:jc w:val="both"/>
      </w:pPr>
      <w:r>
        <w:rPr/>
        <w:t>liver, the pancreas and the kidneys. Up to a certain point, the body is in a po- sition to produce its own coenzyme Q10. With advancing age, however, the body gradually loses its ability to synthesise Q10.</w:t>
      </w:r>
    </w:p>
    <w:p>
      <w:pPr>
        <w:pStyle w:val="BodyText"/>
        <w:spacing w:line="276" w:lineRule="auto" w:before="241"/>
        <w:ind w:left="616" w:right="134"/>
        <w:jc w:val="both"/>
      </w:pPr>
      <w:r>
        <w:rPr/>
        <w:t>While Q10 demand rises during illness, the body is unable to meet this in- creased need; thus, it does not readjust to the increased demand, which very soon leads to a Q10 deficit with far-reaching consequences.</w:t>
      </w:r>
    </w:p>
    <w:p>
      <w:pPr>
        <w:pStyle w:val="BodyText"/>
        <w:spacing w:line="276" w:lineRule="auto" w:before="239"/>
        <w:ind w:left="616" w:right="137"/>
        <w:jc w:val="both"/>
      </w:pPr>
      <w:r>
        <w:rPr/>
        <w:t>The fact is also worth mentioning that Q10 is more intensely transported to the area affected by the illness – more evidence of how important it is for recovery.</w:t>
      </w:r>
    </w:p>
    <w:p>
      <w:pPr>
        <w:pStyle w:val="BodyText"/>
        <w:spacing w:line="276" w:lineRule="auto" w:before="241"/>
        <w:ind w:left="616" w:right="135"/>
        <w:jc w:val="both"/>
      </w:pPr>
      <w:r>
        <w:rPr/>
        <w:t>In addition, we absorb coenzyme Q10 by way of food intake. It is assumed that between 2 and 20 mg of coenzyme Q10 are absorbed via food intake, although the number can become substantially lower due to depleted soils, long storage times, pesticides and food preparation, leading to an inability to absorb enough via natural nutrition.</w:t>
      </w:r>
    </w:p>
    <w:p>
      <w:pPr>
        <w:pStyle w:val="BodyText"/>
        <w:rPr>
          <w:sz w:val="42"/>
        </w:rPr>
      </w:pPr>
    </w:p>
    <w:p>
      <w:pPr>
        <w:pStyle w:val="BodyText"/>
        <w:rPr>
          <w:sz w:val="42"/>
        </w:rPr>
      </w:pPr>
    </w:p>
    <w:p>
      <w:pPr>
        <w:pStyle w:val="BodyText"/>
        <w:rPr>
          <w:sz w:val="42"/>
        </w:rPr>
      </w:pPr>
    </w:p>
    <w:p>
      <w:pPr>
        <w:pStyle w:val="Heading2"/>
        <w:spacing w:before="287"/>
        <w:ind w:left="616"/>
        <w:jc w:val="both"/>
      </w:pPr>
      <w:r>
        <w:rPr/>
        <w:t>Which foods contain Q10 and in what quantities?</w:t>
      </w:r>
    </w:p>
    <w:p>
      <w:pPr>
        <w:pStyle w:val="BodyText"/>
        <w:spacing w:before="304"/>
        <w:ind w:left="616"/>
        <w:jc w:val="both"/>
      </w:pPr>
      <w:r>
        <w:rPr/>
        <w:t>Coenzyme Q10 is primarily present in:</w:t>
      </w:r>
    </w:p>
    <w:p>
      <w:pPr>
        <w:pStyle w:val="ListParagraph"/>
        <w:numPr>
          <w:ilvl w:val="0"/>
          <w:numId w:val="98"/>
        </w:numPr>
        <w:tabs>
          <w:tab w:pos="1037" w:val="left" w:leader="none"/>
        </w:tabs>
        <w:spacing w:line="240" w:lineRule="auto" w:before="187" w:after="0"/>
        <w:ind w:left="1036" w:right="0" w:hanging="420"/>
        <w:jc w:val="both"/>
        <w:rPr>
          <w:sz w:val="38"/>
        </w:rPr>
      </w:pPr>
      <w:r>
        <w:rPr>
          <w:sz w:val="38"/>
        </w:rPr>
        <w:t>Meat (beef, poultry,</w:t>
      </w:r>
      <w:r>
        <w:rPr>
          <w:spacing w:val="1"/>
          <w:sz w:val="38"/>
        </w:rPr>
        <w:t> </w:t>
      </w:r>
      <w:r>
        <w:rPr>
          <w:sz w:val="38"/>
        </w:rPr>
        <w:t>liver),</w:t>
      </w:r>
    </w:p>
    <w:p>
      <w:pPr>
        <w:pStyle w:val="ListParagraph"/>
        <w:numPr>
          <w:ilvl w:val="0"/>
          <w:numId w:val="98"/>
        </w:numPr>
        <w:tabs>
          <w:tab w:pos="1037" w:val="left" w:leader="none"/>
        </w:tabs>
        <w:spacing w:line="240" w:lineRule="auto" w:before="184" w:after="0"/>
        <w:ind w:left="1036" w:right="0" w:hanging="420"/>
        <w:jc w:val="both"/>
        <w:rPr>
          <w:sz w:val="38"/>
        </w:rPr>
      </w:pPr>
      <w:r>
        <w:rPr>
          <w:sz w:val="38"/>
        </w:rPr>
        <w:t>fish (especially in</w:t>
      </w:r>
      <w:r>
        <w:rPr>
          <w:spacing w:val="1"/>
          <w:sz w:val="38"/>
        </w:rPr>
        <w:t> </w:t>
      </w:r>
      <w:r>
        <w:rPr>
          <w:sz w:val="38"/>
        </w:rPr>
        <w:t>sardines),</w:t>
      </w:r>
    </w:p>
    <w:p>
      <w:pPr>
        <w:spacing w:after="0" w:line="240" w:lineRule="auto"/>
        <w:jc w:val="both"/>
        <w:rPr>
          <w:sz w:val="38"/>
        </w:rPr>
        <w:sectPr>
          <w:pgSz w:w="14270" w:h="16850"/>
          <w:pgMar w:header="0" w:footer="1891" w:top="1340" w:bottom="2080" w:left="800" w:right="1280"/>
        </w:sectPr>
      </w:pPr>
    </w:p>
    <w:p>
      <w:pPr>
        <w:pStyle w:val="ListParagraph"/>
        <w:numPr>
          <w:ilvl w:val="0"/>
          <w:numId w:val="98"/>
        </w:numPr>
        <w:tabs>
          <w:tab w:pos="1037" w:val="left" w:leader="none"/>
        </w:tabs>
        <w:spacing w:line="240" w:lineRule="auto" w:before="53" w:after="0"/>
        <w:ind w:left="1036" w:right="0" w:hanging="420"/>
        <w:jc w:val="both"/>
        <w:rPr>
          <w:sz w:val="38"/>
        </w:rPr>
      </w:pPr>
      <w:r>
        <w:rPr>
          <w:sz w:val="38"/>
        </w:rPr>
        <w:t>eggs,</w:t>
      </w:r>
    </w:p>
    <w:p>
      <w:pPr>
        <w:pStyle w:val="ListParagraph"/>
        <w:numPr>
          <w:ilvl w:val="0"/>
          <w:numId w:val="98"/>
        </w:numPr>
        <w:tabs>
          <w:tab w:pos="1037" w:val="left" w:leader="none"/>
        </w:tabs>
        <w:spacing w:line="240" w:lineRule="auto" w:before="186" w:after="0"/>
        <w:ind w:left="1036" w:right="0" w:hanging="420"/>
        <w:jc w:val="both"/>
        <w:rPr>
          <w:sz w:val="38"/>
        </w:rPr>
      </w:pPr>
      <w:r>
        <w:rPr>
          <w:sz w:val="38"/>
        </w:rPr>
        <w:t>green vegetables (especially</w:t>
      </w:r>
      <w:r>
        <w:rPr>
          <w:spacing w:val="-2"/>
          <w:sz w:val="38"/>
        </w:rPr>
        <w:t> </w:t>
      </w:r>
      <w:r>
        <w:rPr>
          <w:sz w:val="38"/>
        </w:rPr>
        <w:t>spinach),</w:t>
      </w:r>
    </w:p>
    <w:p>
      <w:pPr>
        <w:pStyle w:val="ListParagraph"/>
        <w:numPr>
          <w:ilvl w:val="0"/>
          <w:numId w:val="98"/>
        </w:numPr>
        <w:tabs>
          <w:tab w:pos="1037" w:val="left" w:leader="none"/>
        </w:tabs>
        <w:spacing w:line="240" w:lineRule="auto" w:before="184" w:after="0"/>
        <w:ind w:left="1036" w:right="0" w:hanging="420"/>
        <w:jc w:val="both"/>
        <w:rPr>
          <w:sz w:val="38"/>
        </w:rPr>
      </w:pPr>
      <w:r>
        <w:rPr>
          <w:sz w:val="38"/>
        </w:rPr>
        <w:t>nuts,</w:t>
      </w:r>
    </w:p>
    <w:p>
      <w:pPr>
        <w:pStyle w:val="ListParagraph"/>
        <w:numPr>
          <w:ilvl w:val="0"/>
          <w:numId w:val="98"/>
        </w:numPr>
        <w:tabs>
          <w:tab w:pos="1037" w:val="left" w:leader="none"/>
        </w:tabs>
        <w:spacing w:line="240" w:lineRule="auto" w:before="184" w:after="0"/>
        <w:ind w:left="1036" w:right="0" w:hanging="420"/>
        <w:jc w:val="both"/>
        <w:rPr>
          <w:sz w:val="38"/>
        </w:rPr>
      </w:pPr>
      <w:r>
        <w:rPr>
          <w:sz w:val="38"/>
        </w:rPr>
        <w:t>almonds,</w:t>
      </w:r>
    </w:p>
    <w:p>
      <w:pPr>
        <w:pStyle w:val="ListParagraph"/>
        <w:numPr>
          <w:ilvl w:val="0"/>
          <w:numId w:val="98"/>
        </w:numPr>
        <w:tabs>
          <w:tab w:pos="1037" w:val="left" w:leader="none"/>
        </w:tabs>
        <w:spacing w:line="240" w:lineRule="auto" w:before="183" w:after="0"/>
        <w:ind w:left="1036" w:right="0" w:hanging="420"/>
        <w:jc w:val="both"/>
        <w:rPr>
          <w:sz w:val="38"/>
        </w:rPr>
      </w:pPr>
      <w:r>
        <w:rPr>
          <w:sz w:val="38"/>
        </w:rPr>
        <w:t>soy,</w:t>
      </w:r>
    </w:p>
    <w:p>
      <w:pPr>
        <w:pStyle w:val="ListParagraph"/>
        <w:numPr>
          <w:ilvl w:val="0"/>
          <w:numId w:val="98"/>
        </w:numPr>
        <w:tabs>
          <w:tab w:pos="1037" w:val="left" w:leader="none"/>
        </w:tabs>
        <w:spacing w:line="240" w:lineRule="auto" w:before="184" w:after="0"/>
        <w:ind w:left="1036" w:right="0" w:hanging="420"/>
        <w:jc w:val="both"/>
        <w:rPr>
          <w:sz w:val="38"/>
        </w:rPr>
      </w:pPr>
      <w:r>
        <w:rPr>
          <w:sz w:val="38"/>
        </w:rPr>
        <w:t>in some plant-based oils</w:t>
      </w:r>
      <w:r>
        <w:rPr>
          <w:spacing w:val="2"/>
          <w:sz w:val="38"/>
        </w:rPr>
        <w:t> </w:t>
      </w:r>
      <w:r>
        <w:rPr>
          <w:sz w:val="38"/>
        </w:rPr>
        <w:t>and</w:t>
      </w:r>
    </w:p>
    <w:p>
      <w:pPr>
        <w:pStyle w:val="ListParagraph"/>
        <w:numPr>
          <w:ilvl w:val="0"/>
          <w:numId w:val="98"/>
        </w:numPr>
        <w:tabs>
          <w:tab w:pos="1037" w:val="left" w:leader="none"/>
        </w:tabs>
        <w:spacing w:line="240" w:lineRule="auto" w:before="186" w:after="0"/>
        <w:ind w:left="1036" w:right="0" w:hanging="420"/>
        <w:jc w:val="both"/>
        <w:rPr>
          <w:sz w:val="38"/>
        </w:rPr>
      </w:pPr>
      <w:r>
        <w:rPr>
          <w:sz w:val="38"/>
        </w:rPr>
        <w:t>oil-containing plants.</w:t>
      </w:r>
    </w:p>
    <w:p>
      <w:pPr>
        <w:pStyle w:val="BodyText"/>
        <w:spacing w:line="278" w:lineRule="auto" w:before="303"/>
        <w:ind w:left="616"/>
      </w:pPr>
      <w:r>
        <w:rPr/>
        <w:t>To guarantee the recommended healthy supply of 100mg coenzyme Q10,</w:t>
      </w:r>
      <w:r>
        <w:rPr>
          <w:spacing w:val="-57"/>
        </w:rPr>
        <w:t> </w:t>
      </w:r>
      <w:r>
        <w:rPr/>
        <w:t>one would have to eat </w:t>
      </w:r>
      <w:r>
        <w:rPr>
          <w:u w:val="single"/>
        </w:rPr>
        <w:t>1.5 kg of sardines</w:t>
      </w:r>
      <w:r>
        <w:rPr/>
        <w:t> per day, for example.</w:t>
      </w:r>
    </w:p>
    <w:p>
      <w:pPr>
        <w:pStyle w:val="BodyText"/>
        <w:spacing w:line="276" w:lineRule="auto" w:before="232"/>
        <w:ind w:left="616" w:right="134"/>
        <w:jc w:val="both"/>
      </w:pPr>
      <w:r>
        <w:rPr/>
        <w:t>At our latitudes, beef is the main deliverer of Q10. However, to get 100mg of Q10, one would have to consume over </w:t>
      </w:r>
      <w:r>
        <w:rPr>
          <w:u w:val="single"/>
        </w:rPr>
        <w:t>3 kg of beef</w:t>
      </w:r>
      <w:r>
        <w:rPr/>
        <w:t> per day, something that</w:t>
      </w:r>
      <w:r>
        <w:rPr>
          <w:spacing w:val="-54"/>
        </w:rPr>
        <w:t> </w:t>
      </w:r>
      <w:r>
        <w:rPr/>
        <w:t>is physiologically almost impossible and which in any case is out of the question for vegetarians.</w:t>
      </w:r>
    </w:p>
    <w:p>
      <w:pPr>
        <w:pStyle w:val="BodyText"/>
        <w:spacing w:line="276" w:lineRule="auto" w:before="239"/>
        <w:ind w:left="616" w:right="133"/>
        <w:jc w:val="both"/>
      </w:pPr>
      <w:r>
        <w:rPr/>
        <w:t>While not that long ago one had to pay around 1000 Euros for 1 g Q10 ex- tracted</w:t>
      </w:r>
      <w:r>
        <w:rPr>
          <w:spacing w:val="-15"/>
        </w:rPr>
        <w:t> </w:t>
      </w:r>
      <w:r>
        <w:rPr/>
        <w:t>from</w:t>
      </w:r>
      <w:r>
        <w:rPr>
          <w:spacing w:val="-16"/>
        </w:rPr>
        <w:t> </w:t>
      </w:r>
      <w:r>
        <w:rPr/>
        <w:t>the</w:t>
      </w:r>
      <w:r>
        <w:rPr>
          <w:spacing w:val="-20"/>
        </w:rPr>
        <w:t> </w:t>
      </w:r>
      <w:r>
        <w:rPr/>
        <w:t>heart</w:t>
      </w:r>
      <w:r>
        <w:rPr>
          <w:spacing w:val="-16"/>
        </w:rPr>
        <w:t> </w:t>
      </w:r>
      <w:r>
        <w:rPr/>
        <w:t>of</w:t>
      </w:r>
      <w:r>
        <w:rPr>
          <w:spacing w:val="-14"/>
        </w:rPr>
        <w:t> </w:t>
      </w:r>
      <w:r>
        <w:rPr/>
        <w:t>a</w:t>
      </w:r>
      <w:r>
        <w:rPr>
          <w:spacing w:val="-19"/>
        </w:rPr>
        <w:t> </w:t>
      </w:r>
      <w:r>
        <w:rPr/>
        <w:t>cow</w:t>
      </w:r>
      <w:r>
        <w:rPr>
          <w:spacing w:val="-16"/>
        </w:rPr>
        <w:t> </w:t>
      </w:r>
      <w:r>
        <w:rPr/>
        <w:t>(30</w:t>
      </w:r>
      <w:r>
        <w:rPr>
          <w:spacing w:val="-16"/>
        </w:rPr>
        <w:t> </w:t>
      </w:r>
      <w:r>
        <w:rPr/>
        <w:t>times</w:t>
      </w:r>
      <w:r>
        <w:rPr>
          <w:spacing w:val="-15"/>
        </w:rPr>
        <w:t> </w:t>
      </w:r>
      <w:r>
        <w:rPr/>
        <w:t>the</w:t>
      </w:r>
      <w:r>
        <w:rPr>
          <w:spacing w:val="-16"/>
        </w:rPr>
        <w:t> </w:t>
      </w:r>
      <w:r>
        <w:rPr/>
        <w:t>current</w:t>
      </w:r>
      <w:r>
        <w:rPr>
          <w:spacing w:val="-16"/>
        </w:rPr>
        <w:t> </w:t>
      </w:r>
      <w:r>
        <w:rPr/>
        <w:t>price</w:t>
      </w:r>
      <w:r>
        <w:rPr>
          <w:spacing w:val="-18"/>
        </w:rPr>
        <w:t> </w:t>
      </w:r>
      <w:r>
        <w:rPr/>
        <w:t>of</w:t>
      </w:r>
      <w:r>
        <w:rPr>
          <w:spacing w:val="-18"/>
        </w:rPr>
        <w:t> </w:t>
      </w:r>
      <w:r>
        <w:rPr/>
        <w:t>gold,</w:t>
      </w:r>
      <w:r>
        <w:rPr>
          <w:spacing w:val="-17"/>
        </w:rPr>
        <w:t> </w:t>
      </w:r>
      <w:r>
        <w:rPr/>
        <w:t>by</w:t>
      </w:r>
      <w:r>
        <w:rPr>
          <w:spacing w:val="-15"/>
        </w:rPr>
        <w:t> </w:t>
      </w:r>
      <w:r>
        <w:rPr/>
        <w:t>the</w:t>
      </w:r>
      <w:r>
        <w:rPr>
          <w:spacing w:val="-17"/>
        </w:rPr>
        <w:t> </w:t>
      </w:r>
      <w:r>
        <w:rPr/>
        <w:t>way), today treatment with Q10 preparations has become affordable for</w:t>
      </w:r>
      <w:r>
        <w:rPr>
          <w:spacing w:val="-20"/>
        </w:rPr>
        <w:t> </w:t>
      </w:r>
      <w:r>
        <w:rPr/>
        <w:t>anyone.</w:t>
      </w:r>
    </w:p>
    <w:p>
      <w:pPr>
        <w:pStyle w:val="Heading1"/>
        <w:ind w:left="616"/>
      </w:pPr>
      <w:r>
        <w:rPr/>
        <w:t>Which groups of people demonstrate a higher Q10 requirement?</w:t>
      </w:r>
    </w:p>
    <w:p>
      <w:pPr>
        <w:pStyle w:val="BodyText"/>
        <w:spacing w:line="278" w:lineRule="auto" w:before="298"/>
        <w:ind w:left="616"/>
      </w:pPr>
      <w:r>
        <w:rPr/>
        <w:t>As already explained, Q10 is the prerequisite for energy supply to every single one of the body’s cells.</w:t>
      </w:r>
    </w:p>
    <w:p>
      <w:pPr>
        <w:spacing w:after="0" w:line="278" w:lineRule="auto"/>
        <w:sectPr>
          <w:footerReference w:type="default" r:id="rId307"/>
          <w:pgSz w:w="14270" w:h="16850"/>
          <w:pgMar w:footer="1891" w:header="0" w:top="1360" w:bottom="2080" w:left="800" w:right="1280"/>
          <w:pgNumType w:start="1300"/>
        </w:sectPr>
      </w:pPr>
    </w:p>
    <w:p>
      <w:pPr>
        <w:pStyle w:val="BodyText"/>
        <w:spacing w:line="276" w:lineRule="auto" w:before="74"/>
        <w:ind w:left="616" w:right="135"/>
        <w:jc w:val="both"/>
        <w:rPr>
          <w:sz w:val="25"/>
        </w:rPr>
      </w:pPr>
      <w:r>
        <w:rPr/>
        <w:t>According</w:t>
      </w:r>
      <w:r>
        <w:rPr>
          <w:spacing w:val="-8"/>
        </w:rPr>
        <w:t> </w:t>
      </w:r>
      <w:r>
        <w:rPr/>
        <w:t>to</w:t>
      </w:r>
      <w:r>
        <w:rPr>
          <w:spacing w:val="-6"/>
        </w:rPr>
        <w:t> </w:t>
      </w:r>
      <w:r>
        <w:rPr/>
        <w:t>the</w:t>
      </w:r>
      <w:r>
        <w:rPr>
          <w:spacing w:val="-7"/>
        </w:rPr>
        <w:t> </w:t>
      </w:r>
      <w:r>
        <w:rPr/>
        <w:t>statements</w:t>
      </w:r>
      <w:r>
        <w:rPr>
          <w:spacing w:val="-6"/>
        </w:rPr>
        <w:t> </w:t>
      </w:r>
      <w:r>
        <w:rPr/>
        <w:t>of</w:t>
      </w:r>
      <w:r>
        <w:rPr>
          <w:spacing w:val="-9"/>
        </w:rPr>
        <w:t> </w:t>
      </w:r>
      <w:r>
        <w:rPr/>
        <w:t>Dr.</w:t>
      </w:r>
      <w:r>
        <w:rPr>
          <w:spacing w:val="-7"/>
        </w:rPr>
        <w:t> </w:t>
      </w:r>
      <w:r>
        <w:rPr/>
        <w:t>B.</w:t>
      </w:r>
      <w:r>
        <w:rPr>
          <w:spacing w:val="-7"/>
        </w:rPr>
        <w:t> </w:t>
      </w:r>
      <w:r>
        <w:rPr/>
        <w:t>Diamant</w:t>
      </w:r>
      <w:r>
        <w:rPr>
          <w:spacing w:val="-9"/>
        </w:rPr>
        <w:t> </w:t>
      </w:r>
      <w:r>
        <w:rPr/>
        <w:t>of</w:t>
      </w:r>
      <w:r>
        <w:rPr>
          <w:spacing w:val="-7"/>
        </w:rPr>
        <w:t> </w:t>
      </w:r>
      <w:r>
        <w:rPr/>
        <w:t>the</w:t>
      </w:r>
      <w:r>
        <w:rPr>
          <w:spacing w:val="-6"/>
        </w:rPr>
        <w:t> </w:t>
      </w:r>
      <w:r>
        <w:rPr/>
        <w:t>University</w:t>
      </w:r>
      <w:r>
        <w:rPr>
          <w:spacing w:val="-8"/>
        </w:rPr>
        <w:t> </w:t>
      </w:r>
      <w:r>
        <w:rPr/>
        <w:t>of</w:t>
      </w:r>
      <w:r>
        <w:rPr>
          <w:spacing w:val="-7"/>
        </w:rPr>
        <w:t> </w:t>
      </w:r>
      <w:r>
        <w:rPr/>
        <w:t>Copenha- gen and Dr. J. Karlsson of the Karolinska Institute in Stockholm, only 25 % of all healthy people – mainly children and adolescents – have a satisfactory Q10 plasma</w:t>
      </w:r>
      <w:r>
        <w:rPr>
          <w:spacing w:val="-2"/>
        </w:rPr>
        <w:t> </w:t>
      </w:r>
      <w:r>
        <w:rPr/>
        <w:t>level.</w:t>
      </w:r>
      <w:r>
        <w:rPr>
          <w:position w:val="9"/>
          <w:sz w:val="25"/>
        </w:rPr>
        <w:t>729</w:t>
      </w:r>
    </w:p>
    <w:p>
      <w:pPr>
        <w:pStyle w:val="BodyText"/>
        <w:spacing w:line="276" w:lineRule="auto" w:before="239"/>
        <w:ind w:left="616" w:right="135"/>
        <w:jc w:val="both"/>
      </w:pPr>
      <w:r>
        <w:rPr/>
        <w:t>So nearly EVERY person is dependent on additional Q10 supplements from the age of 20 onwards. All patients, on the other hand, exhibit an excessively low Q10 plasma level; here there can be no question of Q10 intake.</w:t>
      </w:r>
    </w:p>
    <w:p>
      <w:pPr>
        <w:pStyle w:val="BodyText"/>
        <w:spacing w:line="271" w:lineRule="auto" w:before="225"/>
        <w:ind w:left="616" w:right="139"/>
        <w:jc w:val="both"/>
      </w:pPr>
      <w:r>
        <w:rPr>
          <w:b/>
          <w:i/>
          <w:sz w:val="40"/>
        </w:rPr>
        <w:t>Again: </w:t>
      </w:r>
      <w:r>
        <w:rPr/>
        <w:t>A Q10 deficiency of 25 % leads to illnesses; a deficit of 75 % even endangers our lives.</w:t>
      </w:r>
    </w:p>
    <w:p>
      <w:pPr>
        <w:pStyle w:val="BodyText"/>
        <w:spacing w:line="276" w:lineRule="auto" w:before="247"/>
        <w:ind w:left="616" w:right="132"/>
        <w:jc w:val="both"/>
      </w:pPr>
      <w:r>
        <w:rPr/>
        <w:t>So while EVERYONE can benefit from Q10, some groups of people are proven to be dependent on sufficient Q10 administration. This is already</w:t>
      </w:r>
      <w:r>
        <w:rPr>
          <w:spacing w:val="-52"/>
        </w:rPr>
        <w:t> </w:t>
      </w:r>
      <w:r>
        <w:rPr/>
        <w:t>sup- ported</w:t>
      </w:r>
      <w:r>
        <w:rPr>
          <w:spacing w:val="-17"/>
        </w:rPr>
        <w:t> </w:t>
      </w:r>
      <w:r>
        <w:rPr/>
        <w:t>by</w:t>
      </w:r>
      <w:r>
        <w:rPr>
          <w:spacing w:val="-17"/>
        </w:rPr>
        <w:t> </w:t>
      </w:r>
      <w:r>
        <w:rPr/>
        <w:t>the</w:t>
      </w:r>
      <w:r>
        <w:rPr>
          <w:spacing w:val="-17"/>
        </w:rPr>
        <w:t> </w:t>
      </w:r>
      <w:r>
        <w:rPr/>
        <w:t>fact</w:t>
      </w:r>
      <w:r>
        <w:rPr>
          <w:spacing w:val="-17"/>
        </w:rPr>
        <w:t> </w:t>
      </w:r>
      <w:r>
        <w:rPr/>
        <w:t>that</w:t>
      </w:r>
      <w:r>
        <w:rPr>
          <w:spacing w:val="-16"/>
        </w:rPr>
        <w:t> </w:t>
      </w:r>
      <w:r>
        <w:rPr/>
        <w:t>these</w:t>
      </w:r>
      <w:r>
        <w:rPr>
          <w:spacing w:val="-18"/>
        </w:rPr>
        <w:t> </w:t>
      </w:r>
      <w:r>
        <w:rPr/>
        <w:t>groups</w:t>
      </w:r>
      <w:r>
        <w:rPr>
          <w:spacing w:val="-16"/>
        </w:rPr>
        <w:t> </w:t>
      </w:r>
      <w:r>
        <w:rPr/>
        <w:t>of</w:t>
      </w:r>
      <w:r>
        <w:rPr>
          <w:spacing w:val="-18"/>
        </w:rPr>
        <w:t> </w:t>
      </w:r>
      <w:r>
        <w:rPr/>
        <w:t>people</w:t>
      </w:r>
      <w:r>
        <w:rPr>
          <w:spacing w:val="-19"/>
        </w:rPr>
        <w:t> </w:t>
      </w:r>
      <w:r>
        <w:rPr/>
        <w:t>exhibit</w:t>
      </w:r>
      <w:r>
        <w:rPr>
          <w:spacing w:val="-15"/>
        </w:rPr>
        <w:t> </w:t>
      </w:r>
      <w:r>
        <w:rPr/>
        <w:t>a</w:t>
      </w:r>
      <w:r>
        <w:rPr>
          <w:spacing w:val="-18"/>
        </w:rPr>
        <w:t> </w:t>
      </w:r>
      <w:r>
        <w:rPr/>
        <w:t>lower</w:t>
      </w:r>
      <w:r>
        <w:rPr>
          <w:spacing w:val="-15"/>
        </w:rPr>
        <w:t> </w:t>
      </w:r>
      <w:r>
        <w:rPr/>
        <w:t>Q10</w:t>
      </w:r>
      <w:r>
        <w:rPr>
          <w:spacing w:val="-16"/>
        </w:rPr>
        <w:t> </w:t>
      </w:r>
      <w:r>
        <w:rPr/>
        <w:t>level</w:t>
      </w:r>
      <w:r>
        <w:rPr>
          <w:spacing w:val="-17"/>
        </w:rPr>
        <w:t> </w:t>
      </w:r>
      <w:r>
        <w:rPr/>
        <w:t>in</w:t>
      </w:r>
      <w:r>
        <w:rPr>
          <w:spacing w:val="-15"/>
        </w:rPr>
        <w:t> </w:t>
      </w:r>
      <w:r>
        <w:rPr/>
        <w:t>their bodies.</w:t>
      </w:r>
    </w:p>
    <w:p>
      <w:pPr>
        <w:pStyle w:val="BodyText"/>
        <w:rPr>
          <w:sz w:val="42"/>
        </w:rPr>
      </w:pPr>
    </w:p>
    <w:p>
      <w:pPr>
        <w:pStyle w:val="BodyText"/>
        <w:spacing w:before="6"/>
        <w:rPr>
          <w:sz w:val="44"/>
        </w:rPr>
      </w:pPr>
    </w:p>
    <w:p>
      <w:pPr>
        <w:pStyle w:val="BodyText"/>
        <w:ind w:left="616"/>
        <w:jc w:val="both"/>
      </w:pPr>
      <w:r>
        <w:rPr/>
        <w:t>In this group in particular are persons who:</w:t>
      </w:r>
    </w:p>
    <w:p>
      <w:pPr>
        <w:pStyle w:val="ListParagraph"/>
        <w:numPr>
          <w:ilvl w:val="0"/>
          <w:numId w:val="98"/>
        </w:numPr>
        <w:tabs>
          <w:tab w:pos="1037" w:val="left" w:leader="none"/>
        </w:tabs>
        <w:spacing w:line="240" w:lineRule="auto" w:before="263" w:after="0"/>
        <w:ind w:left="1036" w:right="0" w:hanging="360"/>
        <w:jc w:val="both"/>
        <w:rPr>
          <w:sz w:val="38"/>
        </w:rPr>
      </w:pPr>
      <w:r>
        <w:rPr>
          <w:sz w:val="38"/>
        </w:rPr>
        <w:t>people, as a general rule, who are over 40 years</w:t>
      </w:r>
      <w:r>
        <w:rPr>
          <w:spacing w:val="-7"/>
          <w:sz w:val="38"/>
        </w:rPr>
        <w:t> </w:t>
      </w:r>
      <w:r>
        <w:rPr>
          <w:sz w:val="38"/>
        </w:rPr>
        <w:t>old,</w:t>
      </w:r>
    </w:p>
    <w:p>
      <w:pPr>
        <w:pStyle w:val="ListParagraph"/>
        <w:numPr>
          <w:ilvl w:val="0"/>
          <w:numId w:val="98"/>
        </w:numPr>
        <w:tabs>
          <w:tab w:pos="1037" w:val="left" w:leader="none"/>
        </w:tabs>
        <w:spacing w:line="240" w:lineRule="auto" w:before="186" w:after="0"/>
        <w:ind w:left="1036" w:right="0" w:hanging="360"/>
        <w:jc w:val="both"/>
        <w:rPr>
          <w:sz w:val="38"/>
        </w:rPr>
      </w:pPr>
      <w:r>
        <w:rPr>
          <w:sz w:val="38"/>
        </w:rPr>
        <w:t>suffer from cardiovascular disease and heart</w:t>
      </w:r>
      <w:r>
        <w:rPr>
          <w:spacing w:val="1"/>
          <w:sz w:val="38"/>
        </w:rPr>
        <w:t> </w:t>
      </w:r>
      <w:r>
        <w:rPr>
          <w:sz w:val="38"/>
        </w:rPr>
        <w:t>failure,</w:t>
      </w:r>
    </w:p>
    <w:p>
      <w:pPr>
        <w:pStyle w:val="ListParagraph"/>
        <w:numPr>
          <w:ilvl w:val="0"/>
          <w:numId w:val="98"/>
        </w:numPr>
        <w:tabs>
          <w:tab w:pos="1037" w:val="left" w:leader="none"/>
        </w:tabs>
        <w:spacing w:line="240" w:lineRule="auto" w:before="184" w:after="0"/>
        <w:ind w:left="1036" w:right="0" w:hanging="360"/>
        <w:jc w:val="both"/>
        <w:rPr>
          <w:sz w:val="38"/>
        </w:rPr>
      </w:pPr>
      <w:r>
        <w:rPr>
          <w:sz w:val="38"/>
        </w:rPr>
        <w:t>women who take the birth control pill,</w:t>
      </w:r>
    </w:p>
    <w:p>
      <w:pPr>
        <w:pStyle w:val="BodyText"/>
        <w:rPr>
          <w:sz w:val="20"/>
        </w:rPr>
      </w:pPr>
    </w:p>
    <w:p>
      <w:pPr>
        <w:pStyle w:val="BodyText"/>
        <w:rPr>
          <w:sz w:val="20"/>
        </w:rPr>
      </w:pPr>
    </w:p>
    <w:p>
      <w:pPr>
        <w:pStyle w:val="BodyText"/>
        <w:spacing w:before="7"/>
        <w:rPr>
          <w:sz w:val="11"/>
        </w:rPr>
      </w:pPr>
      <w:r>
        <w:rPr/>
        <w:pict>
          <v:line style="position:absolute;mso-position-horizontal-relative:page;mso-position-vertical-relative:paragraph;z-index:9512;mso-wrap-distance-left:0;mso-wrap-distance-right:0" from="70.823997pt,8.901176pt" to="214.843997pt,8.901176pt" stroked="true" strokeweight=".72003pt" strokecolor="#000000">
            <v:stroke dashstyle="solid"/>
            <w10:wrap type="topAndBottom"/>
          </v:line>
        </w:pict>
      </w:r>
    </w:p>
    <w:p>
      <w:pPr>
        <w:pStyle w:val="BodyText"/>
        <w:spacing w:before="7"/>
        <w:rPr>
          <w:sz w:val="18"/>
        </w:rPr>
      </w:pPr>
    </w:p>
    <w:p>
      <w:pPr>
        <w:spacing w:line="273" w:lineRule="auto" w:before="99"/>
        <w:ind w:left="616" w:right="0" w:firstLine="0"/>
        <w:jc w:val="left"/>
        <w:rPr>
          <w:sz w:val="20"/>
        </w:rPr>
      </w:pPr>
      <w:r>
        <w:rPr>
          <w:position w:val="5"/>
          <w:sz w:val="13"/>
        </w:rPr>
        <w:t>729 </w:t>
      </w:r>
      <w:r>
        <w:rPr>
          <w:sz w:val="20"/>
        </w:rPr>
        <w:t>Karlson J. et al.: Skeletal muscle coenzyme Q10 in healthy men and selected patient groups. Biomed. and Clin. Aspects of Q10: 1992, 6, pp. 191–204</w:t>
      </w:r>
    </w:p>
    <w:p>
      <w:pPr>
        <w:spacing w:after="0" w:line="273" w:lineRule="auto"/>
        <w:jc w:val="left"/>
        <w:rPr>
          <w:sz w:val="20"/>
        </w:rPr>
        <w:sectPr>
          <w:pgSz w:w="14270" w:h="16850"/>
          <w:pgMar w:header="0" w:footer="1891" w:top="1340" w:bottom="2080" w:left="800" w:right="1280"/>
        </w:sectPr>
      </w:pPr>
    </w:p>
    <w:p>
      <w:pPr>
        <w:pStyle w:val="ListParagraph"/>
        <w:numPr>
          <w:ilvl w:val="0"/>
          <w:numId w:val="98"/>
        </w:numPr>
        <w:tabs>
          <w:tab w:pos="1037" w:val="left" w:leader="none"/>
        </w:tabs>
        <w:spacing w:line="240" w:lineRule="auto" w:before="53" w:after="0"/>
        <w:ind w:left="1036" w:right="0" w:hanging="360"/>
        <w:jc w:val="both"/>
        <w:rPr>
          <w:sz w:val="38"/>
        </w:rPr>
      </w:pPr>
      <w:r>
        <w:rPr>
          <w:sz w:val="38"/>
        </w:rPr>
        <w:t>athletes, especially endurance athletes,</w:t>
      </w:r>
    </w:p>
    <w:p>
      <w:pPr>
        <w:pStyle w:val="ListParagraph"/>
        <w:numPr>
          <w:ilvl w:val="0"/>
          <w:numId w:val="98"/>
        </w:numPr>
        <w:tabs>
          <w:tab w:pos="1037" w:val="left" w:leader="none"/>
        </w:tabs>
        <w:spacing w:line="240" w:lineRule="auto" w:before="186" w:after="0"/>
        <w:ind w:left="1036" w:right="0" w:hanging="360"/>
        <w:jc w:val="both"/>
        <w:rPr>
          <w:sz w:val="38"/>
        </w:rPr>
      </w:pPr>
      <w:r>
        <w:rPr>
          <w:sz w:val="38"/>
        </w:rPr>
        <w:t>people with increased psychological and physical</w:t>
      </w:r>
      <w:r>
        <w:rPr>
          <w:spacing w:val="-2"/>
          <w:sz w:val="38"/>
        </w:rPr>
        <w:t> </w:t>
      </w:r>
      <w:r>
        <w:rPr>
          <w:sz w:val="38"/>
        </w:rPr>
        <w:t>strain,</w:t>
      </w:r>
    </w:p>
    <w:p>
      <w:pPr>
        <w:pStyle w:val="ListParagraph"/>
        <w:numPr>
          <w:ilvl w:val="0"/>
          <w:numId w:val="98"/>
        </w:numPr>
        <w:tabs>
          <w:tab w:pos="1037" w:val="left" w:leader="none"/>
        </w:tabs>
        <w:spacing w:line="240" w:lineRule="auto" w:before="184" w:after="0"/>
        <w:ind w:left="1036" w:right="0" w:hanging="360"/>
        <w:jc w:val="both"/>
        <w:rPr>
          <w:sz w:val="38"/>
        </w:rPr>
      </w:pPr>
      <w:r>
        <w:rPr>
          <w:sz w:val="38"/>
        </w:rPr>
        <w:t>people under constant stress,</w:t>
      </w:r>
    </w:p>
    <w:p>
      <w:pPr>
        <w:pStyle w:val="ListParagraph"/>
        <w:numPr>
          <w:ilvl w:val="0"/>
          <w:numId w:val="98"/>
        </w:numPr>
        <w:tabs>
          <w:tab w:pos="1037" w:val="left" w:leader="none"/>
        </w:tabs>
        <w:spacing w:line="240" w:lineRule="auto" w:before="184" w:after="0"/>
        <w:ind w:left="1036" w:right="0" w:hanging="360"/>
        <w:jc w:val="both"/>
        <w:rPr>
          <w:sz w:val="38"/>
        </w:rPr>
      </w:pPr>
      <w:r>
        <w:rPr>
          <w:sz w:val="38"/>
        </w:rPr>
        <w:t>disabled people who cannot or are not allowed to</w:t>
      </w:r>
      <w:r>
        <w:rPr>
          <w:spacing w:val="-4"/>
          <w:sz w:val="38"/>
        </w:rPr>
        <w:t> </w:t>
      </w:r>
      <w:r>
        <w:rPr>
          <w:sz w:val="38"/>
        </w:rPr>
        <w:t>exercise,</w:t>
      </w:r>
    </w:p>
    <w:p>
      <w:pPr>
        <w:pStyle w:val="ListParagraph"/>
        <w:numPr>
          <w:ilvl w:val="0"/>
          <w:numId w:val="98"/>
        </w:numPr>
        <w:tabs>
          <w:tab w:pos="1037" w:val="left" w:leader="none"/>
        </w:tabs>
        <w:spacing w:line="240" w:lineRule="auto" w:before="183" w:after="0"/>
        <w:ind w:left="1036" w:right="0" w:hanging="360"/>
        <w:jc w:val="both"/>
        <w:rPr>
          <w:sz w:val="38"/>
        </w:rPr>
      </w:pPr>
      <w:r>
        <w:rPr>
          <w:sz w:val="38"/>
        </w:rPr>
        <w:t>diabetics,</w:t>
      </w:r>
    </w:p>
    <w:p>
      <w:pPr>
        <w:pStyle w:val="ListParagraph"/>
        <w:numPr>
          <w:ilvl w:val="0"/>
          <w:numId w:val="98"/>
        </w:numPr>
        <w:tabs>
          <w:tab w:pos="1037" w:val="left" w:leader="none"/>
        </w:tabs>
        <w:spacing w:line="240" w:lineRule="auto" w:before="184" w:after="0"/>
        <w:ind w:left="1036" w:right="0" w:hanging="360"/>
        <w:jc w:val="both"/>
        <w:rPr>
          <w:sz w:val="38"/>
        </w:rPr>
      </w:pPr>
      <w:r>
        <w:rPr>
          <w:sz w:val="38"/>
        </w:rPr>
        <w:t>cancer sufferers,</w:t>
      </w:r>
    </w:p>
    <w:p>
      <w:pPr>
        <w:pStyle w:val="ListParagraph"/>
        <w:numPr>
          <w:ilvl w:val="0"/>
          <w:numId w:val="98"/>
        </w:numPr>
        <w:tabs>
          <w:tab w:pos="1037" w:val="left" w:leader="none"/>
        </w:tabs>
        <w:spacing w:line="240" w:lineRule="auto" w:before="186" w:after="0"/>
        <w:ind w:left="1036" w:right="0" w:hanging="360"/>
        <w:jc w:val="both"/>
        <w:rPr>
          <w:sz w:val="38"/>
        </w:rPr>
      </w:pPr>
      <w:r>
        <w:rPr>
          <w:sz w:val="38"/>
        </w:rPr>
        <w:t>HIV</w:t>
      </w:r>
      <w:r>
        <w:rPr>
          <w:spacing w:val="-1"/>
          <w:sz w:val="38"/>
        </w:rPr>
        <w:t> </w:t>
      </w:r>
      <w:r>
        <w:rPr>
          <w:sz w:val="38"/>
        </w:rPr>
        <w:t>sufferers,</w:t>
      </w:r>
    </w:p>
    <w:p>
      <w:pPr>
        <w:pStyle w:val="ListParagraph"/>
        <w:numPr>
          <w:ilvl w:val="0"/>
          <w:numId w:val="98"/>
        </w:numPr>
        <w:tabs>
          <w:tab w:pos="1037" w:val="left" w:leader="none"/>
        </w:tabs>
        <w:spacing w:line="240" w:lineRule="auto" w:before="184" w:after="0"/>
        <w:ind w:left="1036" w:right="0" w:hanging="360"/>
        <w:jc w:val="both"/>
        <w:rPr>
          <w:sz w:val="38"/>
        </w:rPr>
      </w:pPr>
      <w:r>
        <w:rPr>
          <w:sz w:val="38"/>
        </w:rPr>
        <w:t>smokers,</w:t>
      </w:r>
    </w:p>
    <w:p>
      <w:pPr>
        <w:pStyle w:val="ListParagraph"/>
        <w:numPr>
          <w:ilvl w:val="0"/>
          <w:numId w:val="98"/>
        </w:numPr>
        <w:tabs>
          <w:tab w:pos="1037" w:val="left" w:leader="none"/>
        </w:tabs>
        <w:spacing w:line="240" w:lineRule="auto" w:before="184" w:after="0"/>
        <w:ind w:left="1036" w:right="0" w:hanging="360"/>
        <w:jc w:val="both"/>
        <w:rPr>
          <w:sz w:val="38"/>
        </w:rPr>
      </w:pPr>
      <w:r>
        <w:rPr>
          <w:sz w:val="38"/>
        </w:rPr>
        <w:t>people with above-average alcohol</w:t>
      </w:r>
      <w:r>
        <w:rPr>
          <w:spacing w:val="-1"/>
          <w:sz w:val="38"/>
        </w:rPr>
        <w:t> </w:t>
      </w:r>
      <w:r>
        <w:rPr>
          <w:sz w:val="38"/>
        </w:rPr>
        <w:t>consumption,</w:t>
      </w:r>
    </w:p>
    <w:p>
      <w:pPr>
        <w:pStyle w:val="ListParagraph"/>
        <w:numPr>
          <w:ilvl w:val="0"/>
          <w:numId w:val="98"/>
        </w:numPr>
        <w:tabs>
          <w:tab w:pos="1037" w:val="left" w:leader="none"/>
        </w:tabs>
        <w:spacing w:line="240" w:lineRule="auto" w:before="183" w:after="0"/>
        <w:ind w:left="1036" w:right="0" w:hanging="360"/>
        <w:jc w:val="both"/>
        <w:rPr>
          <w:sz w:val="38"/>
        </w:rPr>
      </w:pPr>
      <w:r>
        <w:rPr>
          <w:sz w:val="38"/>
        </w:rPr>
        <w:t>overweight people and those who would like to lose</w:t>
      </w:r>
      <w:r>
        <w:rPr>
          <w:spacing w:val="-3"/>
          <w:sz w:val="38"/>
        </w:rPr>
        <w:t> </w:t>
      </w:r>
      <w:r>
        <w:rPr>
          <w:sz w:val="38"/>
        </w:rPr>
        <w:t>weight,</w:t>
      </w:r>
    </w:p>
    <w:p>
      <w:pPr>
        <w:pStyle w:val="ListParagraph"/>
        <w:numPr>
          <w:ilvl w:val="0"/>
          <w:numId w:val="98"/>
        </w:numPr>
        <w:tabs>
          <w:tab w:pos="1037" w:val="left" w:leader="none"/>
        </w:tabs>
        <w:spacing w:line="240" w:lineRule="auto" w:before="186" w:after="0"/>
        <w:ind w:left="1036" w:right="0" w:hanging="360"/>
        <w:jc w:val="both"/>
        <w:rPr>
          <w:sz w:val="38"/>
        </w:rPr>
      </w:pPr>
      <w:r>
        <w:rPr>
          <w:sz w:val="38"/>
        </w:rPr>
        <w:t>groups of people who are dieting or</w:t>
      </w:r>
      <w:r>
        <w:rPr>
          <w:spacing w:val="3"/>
          <w:sz w:val="38"/>
        </w:rPr>
        <w:t> </w:t>
      </w:r>
      <w:r>
        <w:rPr>
          <w:sz w:val="38"/>
        </w:rPr>
        <w:t>fasting,</w:t>
      </w:r>
    </w:p>
    <w:p>
      <w:pPr>
        <w:pStyle w:val="ListParagraph"/>
        <w:numPr>
          <w:ilvl w:val="0"/>
          <w:numId w:val="98"/>
        </w:numPr>
        <w:tabs>
          <w:tab w:pos="1037" w:val="left" w:leader="none"/>
        </w:tabs>
        <w:spacing w:line="240" w:lineRule="auto" w:before="184" w:after="0"/>
        <w:ind w:left="1036" w:right="0" w:hanging="360"/>
        <w:jc w:val="both"/>
        <w:rPr>
          <w:sz w:val="38"/>
        </w:rPr>
      </w:pPr>
      <w:r>
        <w:rPr>
          <w:sz w:val="38"/>
        </w:rPr>
        <w:t>people who suffer from sleep disorders,</w:t>
      </w:r>
    </w:p>
    <w:p>
      <w:pPr>
        <w:pStyle w:val="ListParagraph"/>
        <w:numPr>
          <w:ilvl w:val="0"/>
          <w:numId w:val="98"/>
        </w:numPr>
        <w:tabs>
          <w:tab w:pos="1037" w:val="left" w:leader="none"/>
        </w:tabs>
        <w:spacing w:line="240" w:lineRule="auto" w:before="184" w:after="0"/>
        <w:ind w:left="1036" w:right="0" w:hanging="360"/>
        <w:jc w:val="both"/>
        <w:rPr>
          <w:sz w:val="38"/>
        </w:rPr>
      </w:pPr>
      <w:r>
        <w:rPr>
          <w:sz w:val="38"/>
        </w:rPr>
        <w:t>people suffering from shortness of</w:t>
      </w:r>
      <w:r>
        <w:rPr>
          <w:spacing w:val="-6"/>
          <w:sz w:val="38"/>
        </w:rPr>
        <w:t> </w:t>
      </w:r>
      <w:r>
        <w:rPr>
          <w:sz w:val="38"/>
        </w:rPr>
        <w:t>breath,</w:t>
      </w:r>
    </w:p>
    <w:p>
      <w:pPr>
        <w:pStyle w:val="ListParagraph"/>
        <w:numPr>
          <w:ilvl w:val="0"/>
          <w:numId w:val="98"/>
        </w:numPr>
        <w:tabs>
          <w:tab w:pos="1037" w:val="left" w:leader="none"/>
        </w:tabs>
        <w:spacing w:line="240" w:lineRule="auto" w:before="184" w:after="0"/>
        <w:ind w:left="1036" w:right="0" w:hanging="360"/>
        <w:jc w:val="both"/>
        <w:rPr>
          <w:sz w:val="38"/>
        </w:rPr>
      </w:pPr>
      <w:r>
        <w:rPr>
          <w:sz w:val="38"/>
        </w:rPr>
        <w:t>high blood pressure</w:t>
      </w:r>
      <w:r>
        <w:rPr>
          <w:spacing w:val="3"/>
          <w:sz w:val="38"/>
        </w:rPr>
        <w:t> </w:t>
      </w:r>
      <w:r>
        <w:rPr>
          <w:sz w:val="38"/>
        </w:rPr>
        <w:t>patients.</w:t>
      </w:r>
    </w:p>
    <w:p>
      <w:pPr>
        <w:pStyle w:val="BodyText"/>
        <w:spacing w:line="276" w:lineRule="auto" w:before="302"/>
        <w:ind w:left="616" w:right="137"/>
        <w:jc w:val="both"/>
      </w:pPr>
      <w:r>
        <w:rPr/>
        <w:t>Similarly to vitamin C (see the section ‘Vitamin C’), illnesses always lead to an increased use of coenzyme Q10, as the body demands this more intensely for recovery. This process is objectively measurable and has been repeatedly con- firmed at numerous clinics throughout the world.</w:t>
      </w:r>
    </w:p>
    <w:p>
      <w:pPr>
        <w:spacing w:after="0" w:line="276" w:lineRule="auto"/>
        <w:jc w:val="both"/>
        <w:sectPr>
          <w:pgSz w:w="14270" w:h="16850"/>
          <w:pgMar w:header="0" w:footer="1891" w:top="1360" w:bottom="2080" w:left="800" w:right="1280"/>
        </w:sectPr>
      </w:pPr>
    </w:p>
    <w:p>
      <w:pPr>
        <w:pStyle w:val="BodyText"/>
        <w:spacing w:line="276" w:lineRule="auto" w:before="74"/>
        <w:ind w:left="616"/>
      </w:pPr>
      <w:r>
        <w:rPr/>
        <w:t>The</w:t>
      </w:r>
      <w:r>
        <w:rPr>
          <w:spacing w:val="-12"/>
        </w:rPr>
        <w:t> </w:t>
      </w:r>
      <w:r>
        <w:rPr/>
        <w:t>following</w:t>
      </w:r>
      <w:r>
        <w:rPr>
          <w:spacing w:val="-11"/>
        </w:rPr>
        <w:t> </w:t>
      </w:r>
      <w:r>
        <w:rPr/>
        <w:t>table</w:t>
      </w:r>
      <w:r>
        <w:rPr>
          <w:spacing w:val="-13"/>
        </w:rPr>
        <w:t> </w:t>
      </w:r>
      <w:r>
        <w:rPr/>
        <w:t>illustrates</w:t>
      </w:r>
      <w:r>
        <w:rPr>
          <w:spacing w:val="-11"/>
        </w:rPr>
        <w:t> </w:t>
      </w:r>
      <w:r>
        <w:rPr/>
        <w:t>the</w:t>
      </w:r>
      <w:r>
        <w:rPr>
          <w:spacing w:val="-12"/>
        </w:rPr>
        <w:t> </w:t>
      </w:r>
      <w:r>
        <w:rPr/>
        <w:t>Q10</w:t>
      </w:r>
      <w:r>
        <w:rPr>
          <w:spacing w:val="-12"/>
        </w:rPr>
        <w:t> </w:t>
      </w:r>
      <w:r>
        <w:rPr/>
        <w:t>deficit</w:t>
      </w:r>
      <w:r>
        <w:rPr>
          <w:spacing w:val="-13"/>
        </w:rPr>
        <w:t> </w:t>
      </w:r>
      <w:r>
        <w:rPr/>
        <w:t>measured</w:t>
      </w:r>
      <w:r>
        <w:rPr>
          <w:spacing w:val="-12"/>
        </w:rPr>
        <w:t> </w:t>
      </w:r>
      <w:r>
        <w:rPr/>
        <w:t>in</w:t>
      </w:r>
      <w:r>
        <w:rPr>
          <w:spacing w:val="-12"/>
        </w:rPr>
        <w:t> </w:t>
      </w:r>
      <w:r>
        <w:rPr/>
        <w:t>patients</w:t>
      </w:r>
      <w:r>
        <w:rPr>
          <w:spacing w:val="-12"/>
        </w:rPr>
        <w:t> </w:t>
      </w:r>
      <w:r>
        <w:rPr/>
        <w:t>with</w:t>
      </w:r>
      <w:r>
        <w:rPr>
          <w:spacing w:val="-11"/>
        </w:rPr>
        <w:t> </w:t>
      </w:r>
      <w:r>
        <w:rPr/>
        <w:t>differ- ent illnesses as compared to healthy</w:t>
      </w:r>
      <w:r>
        <w:rPr>
          <w:spacing w:val="2"/>
        </w:rPr>
        <w:t> </w:t>
      </w:r>
      <w:r>
        <w:rPr/>
        <w:t>persons:</w:t>
      </w:r>
    </w:p>
    <w:p>
      <w:pPr>
        <w:pStyle w:val="BodyText"/>
        <w:spacing w:before="10"/>
        <w:rPr>
          <w:sz w:val="17"/>
        </w:r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06"/>
        <w:gridCol w:w="4606"/>
      </w:tblGrid>
      <w:tr>
        <w:trPr>
          <w:trHeight w:val="813" w:hRule="atLeast"/>
        </w:trPr>
        <w:tc>
          <w:tcPr>
            <w:tcW w:w="4606" w:type="dxa"/>
          </w:tcPr>
          <w:p>
            <w:pPr>
              <w:pStyle w:val="TableParagraph"/>
              <w:spacing w:before="121"/>
              <w:ind w:left="194" w:right="183"/>
              <w:jc w:val="center"/>
              <w:rPr>
                <w:b/>
                <w:sz w:val="38"/>
              </w:rPr>
            </w:pPr>
            <w:r>
              <w:rPr>
                <w:b/>
                <w:sz w:val="38"/>
              </w:rPr>
              <w:t>ILLNESS</w:t>
            </w:r>
          </w:p>
        </w:tc>
        <w:tc>
          <w:tcPr>
            <w:tcW w:w="4606" w:type="dxa"/>
          </w:tcPr>
          <w:p>
            <w:pPr>
              <w:pStyle w:val="TableParagraph"/>
              <w:spacing w:before="121"/>
              <w:ind w:left="194" w:right="182"/>
              <w:jc w:val="center"/>
              <w:rPr>
                <w:b/>
                <w:sz w:val="38"/>
              </w:rPr>
            </w:pPr>
            <w:r>
              <w:rPr>
                <w:b/>
                <w:sz w:val="38"/>
              </w:rPr>
              <w:t>Q10 LEVEL IN μg/ml</w:t>
            </w:r>
          </w:p>
        </w:tc>
      </w:tr>
      <w:tr>
        <w:trPr>
          <w:trHeight w:val="810" w:hRule="atLeast"/>
        </w:trPr>
        <w:tc>
          <w:tcPr>
            <w:tcW w:w="4606" w:type="dxa"/>
          </w:tcPr>
          <w:p>
            <w:pPr>
              <w:pStyle w:val="TableParagraph"/>
              <w:spacing w:before="118"/>
              <w:ind w:left="194" w:right="182"/>
              <w:jc w:val="center"/>
              <w:rPr>
                <w:i/>
                <w:sz w:val="38"/>
              </w:rPr>
            </w:pPr>
            <w:r>
              <w:rPr>
                <w:i/>
                <w:sz w:val="38"/>
              </w:rPr>
              <w:t>Healthy Person</w:t>
            </w:r>
          </w:p>
        </w:tc>
        <w:tc>
          <w:tcPr>
            <w:tcW w:w="4606" w:type="dxa"/>
          </w:tcPr>
          <w:p>
            <w:pPr>
              <w:pStyle w:val="TableParagraph"/>
              <w:spacing w:before="118"/>
              <w:ind w:left="194" w:right="180"/>
              <w:jc w:val="center"/>
              <w:rPr>
                <w:i/>
                <w:sz w:val="38"/>
              </w:rPr>
            </w:pPr>
            <w:r>
              <w:rPr>
                <w:i/>
                <w:sz w:val="38"/>
              </w:rPr>
              <w:t>0.85</w:t>
            </w:r>
          </w:p>
        </w:tc>
      </w:tr>
      <w:tr>
        <w:trPr>
          <w:trHeight w:val="810" w:hRule="atLeast"/>
        </w:trPr>
        <w:tc>
          <w:tcPr>
            <w:tcW w:w="4606" w:type="dxa"/>
          </w:tcPr>
          <w:p>
            <w:pPr>
              <w:pStyle w:val="TableParagraph"/>
              <w:spacing w:before="118"/>
              <w:ind w:left="194" w:right="185"/>
              <w:jc w:val="center"/>
              <w:rPr>
                <w:sz w:val="38"/>
              </w:rPr>
            </w:pPr>
            <w:r>
              <w:rPr>
                <w:sz w:val="38"/>
              </w:rPr>
              <w:t>Competitive athlete</w:t>
            </w:r>
          </w:p>
        </w:tc>
        <w:tc>
          <w:tcPr>
            <w:tcW w:w="4606" w:type="dxa"/>
          </w:tcPr>
          <w:p>
            <w:pPr>
              <w:pStyle w:val="TableParagraph"/>
              <w:spacing w:before="118"/>
              <w:ind w:left="194" w:right="180"/>
              <w:jc w:val="center"/>
              <w:rPr>
                <w:sz w:val="38"/>
              </w:rPr>
            </w:pPr>
            <w:r>
              <w:rPr>
                <w:sz w:val="38"/>
              </w:rPr>
              <w:t>0.60</w:t>
            </w:r>
          </w:p>
        </w:tc>
      </w:tr>
      <w:tr>
        <w:trPr>
          <w:trHeight w:val="813" w:hRule="atLeast"/>
        </w:trPr>
        <w:tc>
          <w:tcPr>
            <w:tcW w:w="4606" w:type="dxa"/>
          </w:tcPr>
          <w:p>
            <w:pPr>
              <w:pStyle w:val="TableParagraph"/>
              <w:spacing w:before="121"/>
              <w:ind w:left="194" w:right="185"/>
              <w:jc w:val="center"/>
              <w:rPr>
                <w:sz w:val="38"/>
              </w:rPr>
            </w:pPr>
            <w:r>
              <w:rPr>
                <w:sz w:val="38"/>
              </w:rPr>
              <w:t>Chronically stressed persons</w:t>
            </w:r>
          </w:p>
        </w:tc>
        <w:tc>
          <w:tcPr>
            <w:tcW w:w="4606" w:type="dxa"/>
          </w:tcPr>
          <w:p>
            <w:pPr>
              <w:pStyle w:val="TableParagraph"/>
              <w:spacing w:before="121"/>
              <w:ind w:left="194" w:right="180"/>
              <w:jc w:val="center"/>
              <w:rPr>
                <w:sz w:val="38"/>
              </w:rPr>
            </w:pPr>
            <w:r>
              <w:rPr>
                <w:sz w:val="38"/>
              </w:rPr>
              <w:t>0.40</w:t>
            </w:r>
          </w:p>
        </w:tc>
      </w:tr>
      <w:tr>
        <w:trPr>
          <w:trHeight w:val="810" w:hRule="atLeast"/>
        </w:trPr>
        <w:tc>
          <w:tcPr>
            <w:tcW w:w="4606" w:type="dxa"/>
          </w:tcPr>
          <w:p>
            <w:pPr>
              <w:pStyle w:val="TableParagraph"/>
              <w:spacing w:before="118"/>
              <w:ind w:left="194" w:right="182"/>
              <w:jc w:val="center"/>
              <w:rPr>
                <w:sz w:val="38"/>
              </w:rPr>
            </w:pPr>
            <w:r>
              <w:rPr>
                <w:sz w:val="38"/>
              </w:rPr>
              <w:t>Angina pectoris</w:t>
            </w:r>
          </w:p>
        </w:tc>
        <w:tc>
          <w:tcPr>
            <w:tcW w:w="4606" w:type="dxa"/>
          </w:tcPr>
          <w:p>
            <w:pPr>
              <w:pStyle w:val="TableParagraph"/>
              <w:spacing w:before="118"/>
              <w:ind w:left="194" w:right="180"/>
              <w:jc w:val="center"/>
              <w:rPr>
                <w:sz w:val="38"/>
              </w:rPr>
            </w:pPr>
            <w:r>
              <w:rPr>
                <w:sz w:val="38"/>
              </w:rPr>
              <w:t>0.55</w:t>
            </w:r>
          </w:p>
        </w:tc>
      </w:tr>
      <w:tr>
        <w:trPr>
          <w:trHeight w:val="813" w:hRule="atLeast"/>
        </w:trPr>
        <w:tc>
          <w:tcPr>
            <w:tcW w:w="4606" w:type="dxa"/>
          </w:tcPr>
          <w:p>
            <w:pPr>
              <w:pStyle w:val="TableParagraph"/>
              <w:spacing w:before="118"/>
              <w:ind w:left="194" w:right="183"/>
              <w:jc w:val="center"/>
              <w:rPr>
                <w:sz w:val="38"/>
              </w:rPr>
            </w:pPr>
            <w:r>
              <w:rPr>
                <w:sz w:val="38"/>
              </w:rPr>
              <w:t>Heart failure</w:t>
            </w:r>
          </w:p>
        </w:tc>
        <w:tc>
          <w:tcPr>
            <w:tcW w:w="4606" w:type="dxa"/>
          </w:tcPr>
          <w:p>
            <w:pPr>
              <w:pStyle w:val="TableParagraph"/>
              <w:spacing w:before="118"/>
              <w:ind w:left="194" w:right="180"/>
              <w:jc w:val="center"/>
              <w:rPr>
                <w:sz w:val="38"/>
              </w:rPr>
            </w:pPr>
            <w:r>
              <w:rPr>
                <w:sz w:val="38"/>
              </w:rPr>
              <w:t>0.28</w:t>
            </w:r>
          </w:p>
        </w:tc>
      </w:tr>
      <w:tr>
        <w:trPr>
          <w:trHeight w:val="810" w:hRule="atLeast"/>
        </w:trPr>
        <w:tc>
          <w:tcPr>
            <w:tcW w:w="4606" w:type="dxa"/>
          </w:tcPr>
          <w:p>
            <w:pPr>
              <w:pStyle w:val="TableParagraph"/>
              <w:spacing w:before="118"/>
              <w:ind w:left="194" w:right="184"/>
              <w:jc w:val="center"/>
              <w:rPr>
                <w:sz w:val="38"/>
              </w:rPr>
            </w:pPr>
            <w:r>
              <w:rPr>
                <w:sz w:val="38"/>
              </w:rPr>
              <w:t>High blood pressure</w:t>
            </w:r>
          </w:p>
        </w:tc>
        <w:tc>
          <w:tcPr>
            <w:tcW w:w="4606" w:type="dxa"/>
          </w:tcPr>
          <w:p>
            <w:pPr>
              <w:pStyle w:val="TableParagraph"/>
              <w:spacing w:before="118"/>
              <w:ind w:left="194" w:right="180"/>
              <w:jc w:val="center"/>
              <w:rPr>
                <w:sz w:val="38"/>
              </w:rPr>
            </w:pPr>
            <w:r>
              <w:rPr>
                <w:sz w:val="38"/>
              </w:rPr>
              <w:t>0.64</w:t>
            </w:r>
          </w:p>
        </w:tc>
      </w:tr>
      <w:tr>
        <w:trPr>
          <w:trHeight w:val="811" w:hRule="atLeast"/>
        </w:trPr>
        <w:tc>
          <w:tcPr>
            <w:tcW w:w="4606" w:type="dxa"/>
          </w:tcPr>
          <w:p>
            <w:pPr>
              <w:pStyle w:val="TableParagraph"/>
              <w:spacing w:before="119"/>
              <w:ind w:left="193" w:right="185"/>
              <w:jc w:val="center"/>
              <w:rPr>
                <w:sz w:val="38"/>
              </w:rPr>
            </w:pPr>
            <w:r>
              <w:rPr>
                <w:sz w:val="38"/>
              </w:rPr>
              <w:t>Ischemic heart disease</w:t>
            </w:r>
          </w:p>
        </w:tc>
        <w:tc>
          <w:tcPr>
            <w:tcW w:w="4606" w:type="dxa"/>
          </w:tcPr>
          <w:p>
            <w:pPr>
              <w:pStyle w:val="TableParagraph"/>
              <w:spacing w:before="119"/>
              <w:ind w:left="194" w:right="180"/>
              <w:jc w:val="center"/>
              <w:rPr>
                <w:sz w:val="38"/>
              </w:rPr>
            </w:pPr>
            <w:r>
              <w:rPr>
                <w:sz w:val="38"/>
              </w:rPr>
              <w:t>0.60</w:t>
            </w:r>
          </w:p>
        </w:tc>
      </w:tr>
      <w:tr>
        <w:trPr>
          <w:trHeight w:val="813" w:hRule="atLeast"/>
        </w:trPr>
        <w:tc>
          <w:tcPr>
            <w:tcW w:w="4606" w:type="dxa"/>
          </w:tcPr>
          <w:p>
            <w:pPr>
              <w:pStyle w:val="TableParagraph"/>
              <w:spacing w:before="118"/>
              <w:ind w:left="194" w:right="183"/>
              <w:jc w:val="center"/>
              <w:rPr>
                <w:sz w:val="38"/>
              </w:rPr>
            </w:pPr>
            <w:r>
              <w:rPr>
                <w:sz w:val="38"/>
              </w:rPr>
              <w:t>Allergies</w:t>
            </w:r>
          </w:p>
        </w:tc>
        <w:tc>
          <w:tcPr>
            <w:tcW w:w="4606" w:type="dxa"/>
          </w:tcPr>
          <w:p>
            <w:pPr>
              <w:pStyle w:val="TableParagraph"/>
              <w:spacing w:before="118"/>
              <w:ind w:left="194" w:right="180"/>
              <w:jc w:val="center"/>
              <w:rPr>
                <w:sz w:val="38"/>
              </w:rPr>
            </w:pPr>
            <w:r>
              <w:rPr>
                <w:sz w:val="38"/>
              </w:rPr>
              <w:t>0.65</w:t>
            </w:r>
          </w:p>
        </w:tc>
      </w:tr>
      <w:tr>
        <w:trPr>
          <w:trHeight w:val="810" w:hRule="atLeast"/>
        </w:trPr>
        <w:tc>
          <w:tcPr>
            <w:tcW w:w="4606" w:type="dxa"/>
          </w:tcPr>
          <w:p>
            <w:pPr>
              <w:pStyle w:val="TableParagraph"/>
              <w:spacing w:before="118"/>
              <w:ind w:left="194" w:right="185"/>
              <w:jc w:val="center"/>
              <w:rPr>
                <w:sz w:val="38"/>
              </w:rPr>
            </w:pPr>
            <w:r>
              <w:rPr>
                <w:sz w:val="38"/>
              </w:rPr>
              <w:t>Obesity</w:t>
            </w:r>
          </w:p>
        </w:tc>
        <w:tc>
          <w:tcPr>
            <w:tcW w:w="4606" w:type="dxa"/>
          </w:tcPr>
          <w:p>
            <w:pPr>
              <w:pStyle w:val="TableParagraph"/>
              <w:spacing w:before="118"/>
              <w:ind w:left="194" w:right="180"/>
              <w:jc w:val="center"/>
              <w:rPr>
                <w:sz w:val="38"/>
              </w:rPr>
            </w:pPr>
            <w:r>
              <w:rPr>
                <w:sz w:val="38"/>
              </w:rPr>
              <w:t>0.45</w:t>
            </w:r>
          </w:p>
        </w:tc>
      </w:tr>
      <w:tr>
        <w:trPr>
          <w:trHeight w:val="810" w:hRule="atLeast"/>
        </w:trPr>
        <w:tc>
          <w:tcPr>
            <w:tcW w:w="4606" w:type="dxa"/>
          </w:tcPr>
          <w:p>
            <w:pPr>
              <w:pStyle w:val="TableParagraph"/>
              <w:spacing w:before="118"/>
              <w:ind w:left="194" w:right="179"/>
              <w:jc w:val="center"/>
              <w:rPr>
                <w:sz w:val="38"/>
              </w:rPr>
            </w:pPr>
            <w:r>
              <w:rPr>
                <w:sz w:val="38"/>
              </w:rPr>
              <w:t>Parkinson’s</w:t>
            </w:r>
          </w:p>
        </w:tc>
        <w:tc>
          <w:tcPr>
            <w:tcW w:w="4606" w:type="dxa"/>
          </w:tcPr>
          <w:p>
            <w:pPr>
              <w:pStyle w:val="TableParagraph"/>
              <w:spacing w:before="118"/>
              <w:ind w:left="194" w:right="180"/>
              <w:jc w:val="center"/>
              <w:rPr>
                <w:sz w:val="38"/>
              </w:rPr>
            </w:pPr>
            <w:r>
              <w:rPr>
                <w:sz w:val="38"/>
              </w:rPr>
              <w:t>0.35</w:t>
            </w:r>
          </w:p>
        </w:tc>
      </w:tr>
      <w:tr>
        <w:trPr>
          <w:trHeight w:val="813" w:hRule="atLeast"/>
        </w:trPr>
        <w:tc>
          <w:tcPr>
            <w:tcW w:w="4606" w:type="dxa"/>
          </w:tcPr>
          <w:p>
            <w:pPr>
              <w:pStyle w:val="TableParagraph"/>
              <w:spacing w:before="118"/>
              <w:ind w:left="194" w:right="182"/>
              <w:jc w:val="center"/>
              <w:rPr>
                <w:sz w:val="38"/>
              </w:rPr>
            </w:pPr>
            <w:r>
              <w:rPr>
                <w:sz w:val="38"/>
              </w:rPr>
              <w:t>Chronic lung illnesses</w:t>
            </w:r>
          </w:p>
        </w:tc>
        <w:tc>
          <w:tcPr>
            <w:tcW w:w="4606" w:type="dxa"/>
          </w:tcPr>
          <w:p>
            <w:pPr>
              <w:pStyle w:val="TableParagraph"/>
              <w:spacing w:before="118"/>
              <w:ind w:left="194" w:right="180"/>
              <w:jc w:val="center"/>
              <w:rPr>
                <w:sz w:val="38"/>
              </w:rPr>
            </w:pPr>
            <w:r>
              <w:rPr>
                <w:sz w:val="38"/>
              </w:rPr>
              <w:t>0.33</w:t>
            </w:r>
          </w:p>
        </w:tc>
      </w:tr>
      <w:tr>
        <w:trPr>
          <w:trHeight w:val="810" w:hRule="atLeast"/>
        </w:trPr>
        <w:tc>
          <w:tcPr>
            <w:tcW w:w="4606" w:type="dxa"/>
          </w:tcPr>
          <w:p>
            <w:pPr>
              <w:pStyle w:val="TableParagraph"/>
              <w:spacing w:before="118"/>
              <w:ind w:left="194" w:right="178"/>
              <w:jc w:val="center"/>
              <w:rPr>
                <w:sz w:val="38"/>
              </w:rPr>
            </w:pPr>
            <w:r>
              <w:rPr>
                <w:sz w:val="38"/>
              </w:rPr>
              <w:t>Multiple sclerosis (MS)</w:t>
            </w:r>
          </w:p>
        </w:tc>
        <w:tc>
          <w:tcPr>
            <w:tcW w:w="4606" w:type="dxa"/>
          </w:tcPr>
          <w:p>
            <w:pPr>
              <w:pStyle w:val="TableParagraph"/>
              <w:spacing w:before="118"/>
              <w:ind w:left="194" w:right="180"/>
              <w:jc w:val="center"/>
              <w:rPr>
                <w:sz w:val="38"/>
              </w:rPr>
            </w:pPr>
            <w:r>
              <w:rPr>
                <w:sz w:val="38"/>
              </w:rPr>
              <w:t>0.42</w:t>
            </w:r>
          </w:p>
        </w:tc>
      </w:tr>
    </w:tbl>
    <w:p>
      <w:pPr>
        <w:spacing w:after="0"/>
        <w:jc w:val="center"/>
        <w:rPr>
          <w:sz w:val="38"/>
        </w:rPr>
        <w:sectPr>
          <w:pgSz w:w="14270" w:h="16850"/>
          <w:pgMar w:header="0" w:footer="1891" w:top="1340" w:bottom="2080" w:left="800" w:right="1280"/>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06"/>
        <w:gridCol w:w="4606"/>
      </w:tblGrid>
      <w:tr>
        <w:trPr>
          <w:trHeight w:val="813" w:hRule="atLeast"/>
        </w:trPr>
        <w:tc>
          <w:tcPr>
            <w:tcW w:w="4606" w:type="dxa"/>
          </w:tcPr>
          <w:p>
            <w:pPr>
              <w:pStyle w:val="TableParagraph"/>
              <w:spacing w:before="116"/>
              <w:ind w:left="192" w:right="185"/>
              <w:jc w:val="center"/>
              <w:rPr>
                <w:sz w:val="38"/>
              </w:rPr>
            </w:pPr>
            <w:r>
              <w:rPr>
                <w:sz w:val="38"/>
              </w:rPr>
              <w:t>Hyperthyroidism</w:t>
            </w:r>
          </w:p>
        </w:tc>
        <w:tc>
          <w:tcPr>
            <w:tcW w:w="4606" w:type="dxa"/>
          </w:tcPr>
          <w:p>
            <w:pPr>
              <w:pStyle w:val="TableParagraph"/>
              <w:spacing w:before="116"/>
              <w:ind w:left="194" w:right="180"/>
              <w:jc w:val="center"/>
              <w:rPr>
                <w:sz w:val="38"/>
              </w:rPr>
            </w:pPr>
            <w:r>
              <w:rPr>
                <w:sz w:val="38"/>
              </w:rPr>
              <w:t>0.5</w:t>
            </w:r>
          </w:p>
        </w:tc>
      </w:tr>
      <w:tr>
        <w:trPr>
          <w:trHeight w:val="810" w:hRule="atLeast"/>
        </w:trPr>
        <w:tc>
          <w:tcPr>
            <w:tcW w:w="4606" w:type="dxa"/>
          </w:tcPr>
          <w:p>
            <w:pPr>
              <w:pStyle w:val="TableParagraph"/>
              <w:spacing w:before="114"/>
              <w:ind w:left="194" w:right="182"/>
              <w:jc w:val="center"/>
              <w:rPr>
                <w:sz w:val="38"/>
              </w:rPr>
            </w:pPr>
            <w:r>
              <w:rPr>
                <w:sz w:val="38"/>
              </w:rPr>
              <w:t>AIDS</w:t>
            </w:r>
          </w:p>
        </w:tc>
        <w:tc>
          <w:tcPr>
            <w:tcW w:w="4606" w:type="dxa"/>
          </w:tcPr>
          <w:p>
            <w:pPr>
              <w:pStyle w:val="TableParagraph"/>
              <w:spacing w:before="114"/>
              <w:ind w:left="194" w:right="180"/>
              <w:jc w:val="center"/>
              <w:rPr>
                <w:sz w:val="38"/>
              </w:rPr>
            </w:pPr>
            <w:r>
              <w:rPr>
                <w:sz w:val="38"/>
              </w:rPr>
              <w:t>0.45</w:t>
            </w:r>
          </w:p>
        </w:tc>
      </w:tr>
      <w:tr>
        <w:trPr>
          <w:trHeight w:val="810" w:hRule="atLeast"/>
        </w:trPr>
        <w:tc>
          <w:tcPr>
            <w:tcW w:w="4606" w:type="dxa"/>
          </w:tcPr>
          <w:p>
            <w:pPr>
              <w:pStyle w:val="TableParagraph"/>
              <w:spacing w:before="114"/>
              <w:ind w:left="194" w:right="180"/>
              <w:jc w:val="center"/>
              <w:rPr>
                <w:sz w:val="38"/>
              </w:rPr>
            </w:pPr>
            <w:r>
              <w:rPr>
                <w:sz w:val="38"/>
              </w:rPr>
              <w:t>Glycogenosis</w:t>
            </w:r>
          </w:p>
        </w:tc>
        <w:tc>
          <w:tcPr>
            <w:tcW w:w="4606" w:type="dxa"/>
          </w:tcPr>
          <w:p>
            <w:pPr>
              <w:pStyle w:val="TableParagraph"/>
              <w:spacing w:before="114"/>
              <w:ind w:left="194" w:right="180"/>
              <w:jc w:val="center"/>
              <w:rPr>
                <w:sz w:val="38"/>
              </w:rPr>
            </w:pPr>
            <w:r>
              <w:rPr>
                <w:sz w:val="38"/>
              </w:rPr>
              <w:t>0.35</w:t>
            </w:r>
          </w:p>
        </w:tc>
      </w:tr>
      <w:tr>
        <w:trPr>
          <w:trHeight w:val="813" w:hRule="atLeast"/>
        </w:trPr>
        <w:tc>
          <w:tcPr>
            <w:tcW w:w="4606" w:type="dxa"/>
          </w:tcPr>
          <w:p>
            <w:pPr>
              <w:pStyle w:val="TableParagraph"/>
              <w:spacing w:before="116"/>
              <w:ind w:left="194" w:right="185"/>
              <w:jc w:val="center"/>
              <w:rPr>
                <w:sz w:val="38"/>
              </w:rPr>
            </w:pPr>
            <w:r>
              <w:rPr>
                <w:sz w:val="38"/>
              </w:rPr>
              <w:t>Cancer</w:t>
            </w:r>
          </w:p>
        </w:tc>
        <w:tc>
          <w:tcPr>
            <w:tcW w:w="4606" w:type="dxa"/>
          </w:tcPr>
          <w:p>
            <w:pPr>
              <w:pStyle w:val="TableParagraph"/>
              <w:spacing w:before="116"/>
              <w:ind w:left="194" w:right="180"/>
              <w:jc w:val="center"/>
              <w:rPr>
                <w:sz w:val="38"/>
              </w:rPr>
            </w:pPr>
            <w:r>
              <w:rPr>
                <w:sz w:val="38"/>
              </w:rPr>
              <w:t>0.45</w:t>
            </w:r>
          </w:p>
        </w:tc>
      </w:tr>
      <w:tr>
        <w:trPr>
          <w:trHeight w:val="811" w:hRule="atLeast"/>
        </w:trPr>
        <w:tc>
          <w:tcPr>
            <w:tcW w:w="4606" w:type="dxa"/>
          </w:tcPr>
          <w:p>
            <w:pPr>
              <w:pStyle w:val="TableParagraph"/>
              <w:spacing w:before="114"/>
              <w:ind w:left="194" w:right="183"/>
              <w:jc w:val="center"/>
              <w:rPr>
                <w:sz w:val="38"/>
              </w:rPr>
            </w:pPr>
            <w:r>
              <w:rPr>
                <w:sz w:val="38"/>
              </w:rPr>
              <w:t>Diabetes</w:t>
            </w:r>
          </w:p>
        </w:tc>
        <w:tc>
          <w:tcPr>
            <w:tcW w:w="4606" w:type="dxa"/>
          </w:tcPr>
          <w:p>
            <w:pPr>
              <w:pStyle w:val="TableParagraph"/>
              <w:spacing w:before="114"/>
              <w:ind w:left="194" w:right="180"/>
              <w:jc w:val="center"/>
              <w:rPr>
                <w:sz w:val="38"/>
              </w:rPr>
            </w:pPr>
            <w:r>
              <w:rPr>
                <w:sz w:val="38"/>
              </w:rPr>
              <w:t>0.40</w:t>
            </w:r>
          </w:p>
        </w:tc>
      </w:tr>
      <w:tr>
        <w:trPr>
          <w:trHeight w:val="813" w:hRule="atLeast"/>
        </w:trPr>
        <w:tc>
          <w:tcPr>
            <w:tcW w:w="4606" w:type="dxa"/>
          </w:tcPr>
          <w:p>
            <w:pPr>
              <w:pStyle w:val="TableParagraph"/>
              <w:spacing w:before="114"/>
              <w:ind w:left="194" w:right="184"/>
              <w:jc w:val="center"/>
              <w:rPr>
                <w:sz w:val="38"/>
              </w:rPr>
            </w:pPr>
            <w:r>
              <w:rPr>
                <w:sz w:val="38"/>
              </w:rPr>
              <w:t>Tinnitus</w:t>
            </w:r>
          </w:p>
        </w:tc>
        <w:tc>
          <w:tcPr>
            <w:tcW w:w="4606" w:type="dxa"/>
          </w:tcPr>
          <w:p>
            <w:pPr>
              <w:pStyle w:val="TableParagraph"/>
              <w:spacing w:before="114"/>
              <w:ind w:left="194" w:right="180"/>
              <w:jc w:val="center"/>
              <w:rPr>
                <w:sz w:val="38"/>
              </w:rPr>
            </w:pPr>
            <w:r>
              <w:rPr>
                <w:sz w:val="38"/>
              </w:rPr>
              <w:t>0.26</w:t>
            </w:r>
          </w:p>
        </w:tc>
      </w:tr>
    </w:tbl>
    <w:p>
      <w:pPr>
        <w:pStyle w:val="BodyText"/>
        <w:spacing w:before="4"/>
        <w:rPr>
          <w:sz w:val="10"/>
        </w:rPr>
      </w:pPr>
    </w:p>
    <w:p>
      <w:pPr>
        <w:pStyle w:val="Heading1"/>
        <w:spacing w:before="100"/>
        <w:ind w:left="616"/>
      </w:pPr>
      <w:r>
        <w:rPr/>
        <w:t>Which illnesses does coenzyme Q10 have a positive influence on?</w:t>
      </w:r>
    </w:p>
    <w:p>
      <w:pPr>
        <w:pStyle w:val="BodyText"/>
        <w:spacing w:line="276" w:lineRule="auto" w:before="297"/>
        <w:ind w:left="616" w:right="136"/>
        <w:jc w:val="both"/>
      </w:pPr>
      <w:r>
        <w:rPr/>
        <w:t>As</w:t>
      </w:r>
      <w:r>
        <w:rPr>
          <w:spacing w:val="-17"/>
        </w:rPr>
        <w:t> </w:t>
      </w:r>
      <w:r>
        <w:rPr/>
        <w:t>both</w:t>
      </w:r>
      <w:r>
        <w:rPr>
          <w:spacing w:val="-16"/>
        </w:rPr>
        <w:t> </w:t>
      </w:r>
      <w:r>
        <w:rPr/>
        <w:t>an</w:t>
      </w:r>
      <w:r>
        <w:rPr>
          <w:spacing w:val="-19"/>
        </w:rPr>
        <w:t> </w:t>
      </w:r>
      <w:r>
        <w:rPr/>
        <w:t>energy</w:t>
      </w:r>
      <w:r>
        <w:rPr>
          <w:spacing w:val="-16"/>
        </w:rPr>
        <w:t> </w:t>
      </w:r>
      <w:r>
        <w:rPr/>
        <w:t>supplier</w:t>
      </w:r>
      <w:r>
        <w:rPr>
          <w:spacing w:val="-17"/>
        </w:rPr>
        <w:t> </w:t>
      </w:r>
      <w:r>
        <w:rPr/>
        <w:t>and</w:t>
      </w:r>
      <w:r>
        <w:rPr>
          <w:spacing w:val="-17"/>
        </w:rPr>
        <w:t> </w:t>
      </w:r>
      <w:r>
        <w:rPr/>
        <w:t>antioxidant</w:t>
      </w:r>
      <w:r>
        <w:rPr>
          <w:spacing w:val="-17"/>
        </w:rPr>
        <w:t> </w:t>
      </w:r>
      <w:r>
        <w:rPr/>
        <w:t>which</w:t>
      </w:r>
      <w:r>
        <w:rPr>
          <w:spacing w:val="-16"/>
        </w:rPr>
        <w:t> </w:t>
      </w:r>
      <w:r>
        <w:rPr/>
        <w:t>is</w:t>
      </w:r>
      <w:r>
        <w:rPr>
          <w:spacing w:val="-17"/>
        </w:rPr>
        <w:t> </w:t>
      </w:r>
      <w:r>
        <w:rPr/>
        <w:t>present</w:t>
      </w:r>
      <w:r>
        <w:rPr>
          <w:spacing w:val="-17"/>
        </w:rPr>
        <w:t> </w:t>
      </w:r>
      <w:r>
        <w:rPr/>
        <w:t>in</w:t>
      </w:r>
      <w:r>
        <w:rPr>
          <w:spacing w:val="-20"/>
        </w:rPr>
        <w:t> </w:t>
      </w:r>
      <w:r>
        <w:rPr/>
        <w:t>all</w:t>
      </w:r>
      <w:r>
        <w:rPr>
          <w:spacing w:val="-18"/>
        </w:rPr>
        <w:t> </w:t>
      </w:r>
      <w:r>
        <w:rPr/>
        <w:t>of</w:t>
      </w:r>
      <w:r>
        <w:rPr>
          <w:spacing w:val="-16"/>
        </w:rPr>
        <w:t> </w:t>
      </w:r>
      <w:r>
        <w:rPr/>
        <w:t>our</w:t>
      </w:r>
      <w:r>
        <w:rPr>
          <w:spacing w:val="-16"/>
        </w:rPr>
        <w:t> </w:t>
      </w:r>
      <w:r>
        <w:rPr/>
        <w:t>bodily cells, coenzyme Q10 logically takes on a decisive role in the maintenance of the</w:t>
      </w:r>
      <w:r>
        <w:rPr>
          <w:spacing w:val="-8"/>
        </w:rPr>
        <w:t> </w:t>
      </w:r>
      <w:r>
        <w:rPr/>
        <w:t>health</w:t>
      </w:r>
      <w:r>
        <w:rPr>
          <w:spacing w:val="-8"/>
        </w:rPr>
        <w:t> </w:t>
      </w:r>
      <w:r>
        <w:rPr/>
        <w:t>of</w:t>
      </w:r>
      <w:r>
        <w:rPr>
          <w:spacing w:val="-10"/>
        </w:rPr>
        <w:t> </w:t>
      </w:r>
      <w:r>
        <w:rPr/>
        <w:t>our</w:t>
      </w:r>
      <w:r>
        <w:rPr>
          <w:spacing w:val="-10"/>
        </w:rPr>
        <w:t> </w:t>
      </w:r>
      <w:r>
        <w:rPr/>
        <w:t>entire</w:t>
      </w:r>
      <w:r>
        <w:rPr>
          <w:spacing w:val="-7"/>
        </w:rPr>
        <w:t> </w:t>
      </w:r>
      <w:r>
        <w:rPr/>
        <w:t>bodies</w:t>
      </w:r>
      <w:r>
        <w:rPr>
          <w:spacing w:val="-7"/>
        </w:rPr>
        <w:t> </w:t>
      </w:r>
      <w:r>
        <w:rPr/>
        <w:t>and</w:t>
      </w:r>
      <w:r>
        <w:rPr>
          <w:spacing w:val="-8"/>
        </w:rPr>
        <w:t> </w:t>
      </w:r>
      <w:r>
        <w:rPr/>
        <w:t>simultaneously</w:t>
      </w:r>
      <w:r>
        <w:rPr>
          <w:spacing w:val="-6"/>
        </w:rPr>
        <w:t> </w:t>
      </w:r>
      <w:r>
        <w:rPr/>
        <w:t>in</w:t>
      </w:r>
      <w:r>
        <w:rPr>
          <w:spacing w:val="-8"/>
        </w:rPr>
        <w:t> </w:t>
      </w:r>
      <w:r>
        <w:rPr/>
        <w:t>the</w:t>
      </w:r>
      <w:r>
        <w:rPr>
          <w:spacing w:val="-9"/>
        </w:rPr>
        <w:t> </w:t>
      </w:r>
      <w:r>
        <w:rPr/>
        <w:t>prevention</w:t>
      </w:r>
      <w:r>
        <w:rPr>
          <w:spacing w:val="-8"/>
        </w:rPr>
        <w:t> </w:t>
      </w:r>
      <w:r>
        <w:rPr/>
        <w:t>and</w:t>
      </w:r>
      <w:r>
        <w:rPr>
          <w:spacing w:val="-8"/>
        </w:rPr>
        <w:t> </w:t>
      </w:r>
      <w:r>
        <w:rPr/>
        <w:t>treat- ment</w:t>
      </w:r>
      <w:r>
        <w:rPr>
          <w:spacing w:val="-6"/>
        </w:rPr>
        <w:t> </w:t>
      </w:r>
      <w:r>
        <w:rPr/>
        <w:t>of</w:t>
      </w:r>
      <w:r>
        <w:rPr>
          <w:spacing w:val="-6"/>
        </w:rPr>
        <w:t> </w:t>
      </w:r>
      <w:r>
        <w:rPr/>
        <w:t>illnesses.</w:t>
      </w:r>
      <w:r>
        <w:rPr>
          <w:spacing w:val="-4"/>
        </w:rPr>
        <w:t> </w:t>
      </w:r>
      <w:r>
        <w:rPr/>
        <w:t>The</w:t>
      </w:r>
      <w:r>
        <w:rPr>
          <w:spacing w:val="-6"/>
        </w:rPr>
        <w:t> </w:t>
      </w:r>
      <w:r>
        <w:rPr/>
        <w:t>illnesses</w:t>
      </w:r>
      <w:r>
        <w:rPr>
          <w:spacing w:val="-6"/>
        </w:rPr>
        <w:t> </w:t>
      </w:r>
      <w:r>
        <w:rPr/>
        <w:t>listed</w:t>
      </w:r>
      <w:r>
        <w:rPr>
          <w:spacing w:val="-4"/>
        </w:rPr>
        <w:t> </w:t>
      </w:r>
      <w:r>
        <w:rPr/>
        <w:t>below</w:t>
      </w:r>
      <w:r>
        <w:rPr>
          <w:spacing w:val="-5"/>
        </w:rPr>
        <w:t> </w:t>
      </w:r>
      <w:r>
        <w:rPr/>
        <w:t>lead</w:t>
      </w:r>
      <w:r>
        <w:rPr>
          <w:spacing w:val="-6"/>
        </w:rPr>
        <w:t> </w:t>
      </w:r>
      <w:r>
        <w:rPr/>
        <w:t>to</w:t>
      </w:r>
      <w:r>
        <w:rPr>
          <w:spacing w:val="-4"/>
        </w:rPr>
        <w:t> </w:t>
      </w:r>
      <w:r>
        <w:rPr/>
        <w:t>an</w:t>
      </w:r>
      <w:r>
        <w:rPr>
          <w:spacing w:val="-7"/>
        </w:rPr>
        <w:t> </w:t>
      </w:r>
      <w:r>
        <w:rPr/>
        <w:t>acute</w:t>
      </w:r>
      <w:r>
        <w:rPr>
          <w:spacing w:val="-3"/>
        </w:rPr>
        <w:t> </w:t>
      </w:r>
      <w:r>
        <w:rPr/>
        <w:t>Q10</w:t>
      </w:r>
      <w:r>
        <w:rPr>
          <w:spacing w:val="-8"/>
        </w:rPr>
        <w:t> </w:t>
      </w:r>
      <w:r>
        <w:rPr/>
        <w:t>deficit</w:t>
      </w:r>
      <w:r>
        <w:rPr>
          <w:spacing w:val="-6"/>
        </w:rPr>
        <w:t> </w:t>
      </w:r>
      <w:r>
        <w:rPr/>
        <w:t>which should</w:t>
      </w:r>
      <w:r>
        <w:rPr>
          <w:spacing w:val="-20"/>
        </w:rPr>
        <w:t> </w:t>
      </w:r>
      <w:r>
        <w:rPr/>
        <w:t>be</w:t>
      </w:r>
      <w:r>
        <w:rPr>
          <w:spacing w:val="-19"/>
        </w:rPr>
        <w:t> </w:t>
      </w:r>
      <w:r>
        <w:rPr/>
        <w:t>balanced</w:t>
      </w:r>
      <w:r>
        <w:rPr>
          <w:spacing w:val="-18"/>
        </w:rPr>
        <w:t> </w:t>
      </w:r>
      <w:r>
        <w:rPr/>
        <w:t>out</w:t>
      </w:r>
      <w:r>
        <w:rPr>
          <w:spacing w:val="-20"/>
        </w:rPr>
        <w:t> </w:t>
      </w:r>
      <w:r>
        <w:rPr/>
        <w:t>to</w:t>
      </w:r>
      <w:r>
        <w:rPr>
          <w:spacing w:val="-18"/>
        </w:rPr>
        <w:t> </w:t>
      </w:r>
      <w:r>
        <w:rPr/>
        <w:t>enable</w:t>
      </w:r>
      <w:r>
        <w:rPr>
          <w:spacing w:val="-19"/>
        </w:rPr>
        <w:t> </w:t>
      </w:r>
      <w:r>
        <w:rPr/>
        <w:t>as</w:t>
      </w:r>
      <w:r>
        <w:rPr>
          <w:spacing w:val="-18"/>
        </w:rPr>
        <w:t> </w:t>
      </w:r>
      <w:r>
        <w:rPr/>
        <w:t>quick</w:t>
      </w:r>
      <w:r>
        <w:rPr>
          <w:spacing w:val="-17"/>
        </w:rPr>
        <w:t> </w:t>
      </w:r>
      <w:r>
        <w:rPr/>
        <w:t>a</w:t>
      </w:r>
      <w:r>
        <w:rPr>
          <w:spacing w:val="-20"/>
        </w:rPr>
        <w:t> </w:t>
      </w:r>
      <w:r>
        <w:rPr/>
        <w:t>recovery</w:t>
      </w:r>
      <w:r>
        <w:rPr>
          <w:spacing w:val="-18"/>
        </w:rPr>
        <w:t> </w:t>
      </w:r>
      <w:r>
        <w:rPr/>
        <w:t>as</w:t>
      </w:r>
      <w:r>
        <w:rPr>
          <w:spacing w:val="-19"/>
        </w:rPr>
        <w:t> </w:t>
      </w:r>
      <w:r>
        <w:rPr/>
        <w:t>possible</w:t>
      </w:r>
      <w:r>
        <w:rPr>
          <w:spacing w:val="-19"/>
        </w:rPr>
        <w:t> </w:t>
      </w:r>
      <w:r>
        <w:rPr/>
        <w:t>and</w:t>
      </w:r>
      <w:r>
        <w:rPr>
          <w:spacing w:val="-19"/>
        </w:rPr>
        <w:t> </w:t>
      </w:r>
      <w:r>
        <w:rPr/>
        <w:t>to</w:t>
      </w:r>
      <w:r>
        <w:rPr>
          <w:spacing w:val="-17"/>
        </w:rPr>
        <w:t> </w:t>
      </w:r>
      <w:r>
        <w:rPr/>
        <w:t>prevent lasting damage.</w:t>
      </w:r>
    </w:p>
    <w:p>
      <w:pPr>
        <w:pStyle w:val="BodyText"/>
        <w:spacing w:before="240"/>
        <w:ind w:left="616"/>
        <w:jc w:val="both"/>
      </w:pPr>
      <w:r>
        <w:rPr/>
        <w:t>Among these are:</w:t>
      </w:r>
    </w:p>
    <w:p>
      <w:pPr>
        <w:pStyle w:val="ListParagraph"/>
        <w:numPr>
          <w:ilvl w:val="0"/>
          <w:numId w:val="98"/>
        </w:numPr>
        <w:tabs>
          <w:tab w:pos="1037" w:val="left" w:leader="none"/>
        </w:tabs>
        <w:spacing w:line="240" w:lineRule="auto" w:before="265" w:after="0"/>
        <w:ind w:left="1036" w:right="0" w:hanging="360"/>
        <w:jc w:val="both"/>
        <w:rPr>
          <w:sz w:val="38"/>
        </w:rPr>
      </w:pPr>
      <w:r>
        <w:rPr>
          <w:sz w:val="38"/>
        </w:rPr>
        <w:t>Age-related</w:t>
      </w:r>
      <w:r>
        <w:rPr>
          <w:spacing w:val="-2"/>
          <w:sz w:val="38"/>
        </w:rPr>
        <w:t> </w:t>
      </w:r>
      <w:r>
        <w:rPr>
          <w:sz w:val="38"/>
        </w:rPr>
        <w:t>complaints</w:t>
      </w:r>
    </w:p>
    <w:p>
      <w:pPr>
        <w:pStyle w:val="ListParagraph"/>
        <w:numPr>
          <w:ilvl w:val="0"/>
          <w:numId w:val="98"/>
        </w:numPr>
        <w:tabs>
          <w:tab w:pos="1037" w:val="left" w:leader="none"/>
        </w:tabs>
        <w:spacing w:line="240" w:lineRule="auto" w:before="185" w:after="0"/>
        <w:ind w:left="1036" w:right="0" w:hanging="360"/>
        <w:jc w:val="both"/>
        <w:rPr>
          <w:sz w:val="38"/>
        </w:rPr>
      </w:pPr>
      <w:r>
        <w:rPr>
          <w:sz w:val="38"/>
        </w:rPr>
        <w:t>Alcoholism</w:t>
      </w:r>
    </w:p>
    <w:p>
      <w:pPr>
        <w:pStyle w:val="ListParagraph"/>
        <w:numPr>
          <w:ilvl w:val="0"/>
          <w:numId w:val="98"/>
        </w:numPr>
        <w:tabs>
          <w:tab w:pos="1037" w:val="left" w:leader="none"/>
        </w:tabs>
        <w:spacing w:line="240" w:lineRule="auto" w:before="183" w:after="0"/>
        <w:ind w:left="1036" w:right="0" w:hanging="360"/>
        <w:jc w:val="both"/>
        <w:rPr>
          <w:sz w:val="38"/>
        </w:rPr>
      </w:pPr>
      <w:r>
        <w:rPr>
          <w:sz w:val="38"/>
        </w:rPr>
        <w:t>Allergies</w:t>
      </w:r>
    </w:p>
    <w:p>
      <w:pPr>
        <w:spacing w:after="0" w:line="240" w:lineRule="auto"/>
        <w:jc w:val="both"/>
        <w:rPr>
          <w:sz w:val="38"/>
        </w:rPr>
        <w:sectPr>
          <w:pgSz w:w="14270" w:h="16850"/>
          <w:pgMar w:header="0" w:footer="1891" w:top="1420" w:bottom="2080" w:left="800" w:right="1280"/>
        </w:sectPr>
      </w:pPr>
    </w:p>
    <w:p>
      <w:pPr>
        <w:pStyle w:val="ListParagraph"/>
        <w:numPr>
          <w:ilvl w:val="0"/>
          <w:numId w:val="98"/>
        </w:numPr>
        <w:tabs>
          <w:tab w:pos="1036" w:val="left" w:leader="none"/>
          <w:tab w:pos="1037" w:val="left" w:leader="none"/>
        </w:tabs>
        <w:spacing w:line="240" w:lineRule="auto" w:before="53" w:after="0"/>
        <w:ind w:left="1036" w:right="0" w:hanging="360"/>
        <w:jc w:val="left"/>
        <w:rPr>
          <w:sz w:val="38"/>
        </w:rPr>
      </w:pPr>
      <w:r>
        <w:rPr>
          <w:sz w:val="38"/>
        </w:rPr>
        <w:t>Alzheimer’s</w:t>
      </w:r>
    </w:p>
    <w:p>
      <w:pPr>
        <w:pStyle w:val="ListParagraph"/>
        <w:numPr>
          <w:ilvl w:val="0"/>
          <w:numId w:val="98"/>
        </w:numPr>
        <w:tabs>
          <w:tab w:pos="1036" w:val="left" w:leader="none"/>
          <w:tab w:pos="1037" w:val="left" w:leader="none"/>
        </w:tabs>
        <w:spacing w:line="240" w:lineRule="auto" w:before="186" w:after="0"/>
        <w:ind w:left="1036" w:right="0" w:hanging="360"/>
        <w:jc w:val="left"/>
        <w:rPr>
          <w:sz w:val="38"/>
        </w:rPr>
      </w:pPr>
      <w:r>
        <w:rPr>
          <w:sz w:val="38"/>
        </w:rPr>
        <w:t>Angina</w:t>
      </w:r>
      <w:r>
        <w:rPr>
          <w:spacing w:val="-1"/>
          <w:sz w:val="38"/>
        </w:rPr>
        <w:t> </w:t>
      </w:r>
      <w:r>
        <w:rPr>
          <w:sz w:val="38"/>
        </w:rPr>
        <w:t>pectoris</w:t>
      </w:r>
    </w:p>
    <w:p>
      <w:pPr>
        <w:pStyle w:val="ListParagraph"/>
        <w:numPr>
          <w:ilvl w:val="0"/>
          <w:numId w:val="98"/>
        </w:numPr>
        <w:tabs>
          <w:tab w:pos="1036" w:val="left" w:leader="none"/>
          <w:tab w:pos="1037" w:val="left" w:leader="none"/>
        </w:tabs>
        <w:spacing w:line="240" w:lineRule="auto" w:before="184" w:after="0"/>
        <w:ind w:left="1036" w:right="0" w:hanging="360"/>
        <w:jc w:val="left"/>
        <w:rPr>
          <w:i/>
          <w:sz w:val="38"/>
        </w:rPr>
      </w:pPr>
      <w:r>
        <w:rPr>
          <w:i/>
          <w:sz w:val="38"/>
        </w:rPr>
        <w:t>Atherosclerosis</w:t>
      </w:r>
    </w:p>
    <w:p>
      <w:pPr>
        <w:pStyle w:val="ListParagraph"/>
        <w:numPr>
          <w:ilvl w:val="0"/>
          <w:numId w:val="98"/>
        </w:numPr>
        <w:tabs>
          <w:tab w:pos="1036" w:val="left" w:leader="none"/>
          <w:tab w:pos="1037" w:val="left" w:leader="none"/>
        </w:tabs>
        <w:spacing w:line="273" w:lineRule="auto" w:before="184" w:after="0"/>
        <w:ind w:left="1036" w:right="144" w:hanging="360"/>
        <w:jc w:val="left"/>
        <w:rPr>
          <w:sz w:val="38"/>
        </w:rPr>
      </w:pPr>
      <w:r>
        <w:rPr>
          <w:sz w:val="38"/>
        </w:rPr>
        <w:t>Offsetting side effects of blood lipid reducers: HMG CoA reductase inhib- itors</w:t>
      </w:r>
    </w:p>
    <w:p>
      <w:pPr>
        <w:pStyle w:val="ListParagraph"/>
        <w:numPr>
          <w:ilvl w:val="0"/>
          <w:numId w:val="98"/>
        </w:numPr>
        <w:tabs>
          <w:tab w:pos="1036" w:val="left" w:leader="none"/>
          <w:tab w:pos="1037" w:val="left" w:leader="none"/>
        </w:tabs>
        <w:spacing w:line="240" w:lineRule="auto" w:before="127" w:after="0"/>
        <w:ind w:left="1036" w:right="0" w:hanging="360"/>
        <w:jc w:val="left"/>
        <w:rPr>
          <w:sz w:val="38"/>
        </w:rPr>
      </w:pPr>
      <w:r>
        <w:rPr>
          <w:sz w:val="38"/>
        </w:rPr>
        <w:t>Asbestosis</w:t>
      </w:r>
    </w:p>
    <w:p>
      <w:pPr>
        <w:pStyle w:val="ListParagraph"/>
        <w:numPr>
          <w:ilvl w:val="0"/>
          <w:numId w:val="98"/>
        </w:numPr>
        <w:tabs>
          <w:tab w:pos="1036" w:val="left" w:leader="none"/>
          <w:tab w:pos="1037" w:val="left" w:leader="none"/>
        </w:tabs>
        <w:spacing w:line="240" w:lineRule="auto" w:before="184" w:after="0"/>
        <w:ind w:left="1036" w:right="0" w:hanging="360"/>
        <w:jc w:val="left"/>
        <w:rPr>
          <w:sz w:val="38"/>
        </w:rPr>
      </w:pPr>
      <w:r>
        <w:rPr>
          <w:sz w:val="38"/>
        </w:rPr>
        <w:t>Autoimmune diseases</w:t>
      </w:r>
    </w:p>
    <w:p>
      <w:pPr>
        <w:pStyle w:val="ListParagraph"/>
        <w:numPr>
          <w:ilvl w:val="0"/>
          <w:numId w:val="98"/>
        </w:numPr>
        <w:tabs>
          <w:tab w:pos="1036" w:val="left" w:leader="none"/>
          <w:tab w:pos="1037" w:val="left" w:leader="none"/>
        </w:tabs>
        <w:spacing w:line="240" w:lineRule="auto" w:before="186" w:after="0"/>
        <w:ind w:left="1036" w:right="0" w:hanging="360"/>
        <w:jc w:val="left"/>
        <w:rPr>
          <w:sz w:val="38"/>
        </w:rPr>
      </w:pPr>
      <w:r>
        <w:rPr>
          <w:sz w:val="38"/>
        </w:rPr>
        <w:t>Asthma</w:t>
      </w:r>
    </w:p>
    <w:p>
      <w:pPr>
        <w:pStyle w:val="ListParagraph"/>
        <w:numPr>
          <w:ilvl w:val="0"/>
          <w:numId w:val="98"/>
        </w:numPr>
        <w:tabs>
          <w:tab w:pos="1036" w:val="left" w:leader="none"/>
          <w:tab w:pos="1037" w:val="left" w:leader="none"/>
        </w:tabs>
        <w:spacing w:line="240" w:lineRule="auto" w:before="184" w:after="0"/>
        <w:ind w:left="1036" w:right="0" w:hanging="360"/>
        <w:jc w:val="left"/>
        <w:rPr>
          <w:sz w:val="38"/>
        </w:rPr>
      </w:pPr>
      <w:r>
        <w:rPr>
          <w:sz w:val="38"/>
        </w:rPr>
        <w:t>Brucellosis</w:t>
      </w:r>
    </w:p>
    <w:p>
      <w:pPr>
        <w:pStyle w:val="ListParagraph"/>
        <w:numPr>
          <w:ilvl w:val="0"/>
          <w:numId w:val="98"/>
        </w:numPr>
        <w:tabs>
          <w:tab w:pos="1036" w:val="left" w:leader="none"/>
          <w:tab w:pos="1037" w:val="left" w:leader="none"/>
        </w:tabs>
        <w:spacing w:line="240" w:lineRule="auto" w:before="183" w:after="0"/>
        <w:ind w:left="1036" w:right="0" w:hanging="360"/>
        <w:jc w:val="left"/>
        <w:rPr>
          <w:sz w:val="38"/>
        </w:rPr>
      </w:pPr>
      <w:r>
        <w:rPr>
          <w:sz w:val="38"/>
        </w:rPr>
        <w:t>Chronic fatigue</w:t>
      </w:r>
      <w:r>
        <w:rPr>
          <w:spacing w:val="-1"/>
          <w:sz w:val="38"/>
        </w:rPr>
        <w:t> </w:t>
      </w:r>
      <w:r>
        <w:rPr>
          <w:sz w:val="38"/>
        </w:rPr>
        <w:t>syndrome</w:t>
      </w:r>
    </w:p>
    <w:p>
      <w:pPr>
        <w:pStyle w:val="ListParagraph"/>
        <w:numPr>
          <w:ilvl w:val="0"/>
          <w:numId w:val="98"/>
        </w:numPr>
        <w:tabs>
          <w:tab w:pos="1036" w:val="left" w:leader="none"/>
          <w:tab w:pos="1037" w:val="left" w:leader="none"/>
        </w:tabs>
        <w:spacing w:line="240" w:lineRule="auto" w:before="184" w:after="0"/>
        <w:ind w:left="1036" w:right="0" w:hanging="360"/>
        <w:jc w:val="left"/>
        <w:rPr>
          <w:sz w:val="38"/>
        </w:rPr>
      </w:pPr>
      <w:r>
        <w:rPr>
          <w:sz w:val="38"/>
        </w:rPr>
        <w:t>Chronic</w:t>
      </w:r>
      <w:r>
        <w:rPr>
          <w:spacing w:val="-2"/>
          <w:sz w:val="38"/>
        </w:rPr>
        <w:t> </w:t>
      </w:r>
      <w:r>
        <w:rPr>
          <w:sz w:val="38"/>
        </w:rPr>
        <w:t>poisoning</w:t>
      </w:r>
    </w:p>
    <w:p>
      <w:pPr>
        <w:pStyle w:val="ListParagraph"/>
        <w:numPr>
          <w:ilvl w:val="0"/>
          <w:numId w:val="98"/>
        </w:numPr>
        <w:tabs>
          <w:tab w:pos="1036" w:val="left" w:leader="none"/>
          <w:tab w:pos="1037" w:val="left" w:leader="none"/>
        </w:tabs>
        <w:spacing w:line="240" w:lineRule="auto" w:before="184" w:after="0"/>
        <w:ind w:left="1036" w:right="0" w:hanging="360"/>
        <w:jc w:val="left"/>
        <w:rPr>
          <w:sz w:val="38"/>
        </w:rPr>
      </w:pPr>
      <w:r>
        <w:rPr>
          <w:sz w:val="38"/>
        </w:rPr>
        <w:t>Churg-Strauss syndrome</w:t>
      </w:r>
    </w:p>
    <w:p>
      <w:pPr>
        <w:pStyle w:val="ListParagraph"/>
        <w:numPr>
          <w:ilvl w:val="0"/>
          <w:numId w:val="98"/>
        </w:numPr>
        <w:tabs>
          <w:tab w:pos="1036" w:val="left" w:leader="none"/>
          <w:tab w:pos="1037" w:val="left" w:leader="none"/>
        </w:tabs>
        <w:spacing w:line="240" w:lineRule="auto" w:before="186" w:after="0"/>
        <w:ind w:left="1036" w:right="0" w:hanging="360"/>
        <w:jc w:val="left"/>
        <w:rPr>
          <w:sz w:val="38"/>
        </w:rPr>
      </w:pPr>
      <w:r>
        <w:rPr>
          <w:sz w:val="38"/>
        </w:rPr>
        <w:t>Colitis</w:t>
      </w:r>
      <w:r>
        <w:rPr>
          <w:spacing w:val="1"/>
          <w:sz w:val="38"/>
        </w:rPr>
        <w:t> </w:t>
      </w:r>
      <w:r>
        <w:rPr>
          <w:sz w:val="38"/>
        </w:rPr>
        <w:t>ulcerosa</w:t>
      </w:r>
    </w:p>
    <w:p>
      <w:pPr>
        <w:pStyle w:val="ListParagraph"/>
        <w:numPr>
          <w:ilvl w:val="0"/>
          <w:numId w:val="98"/>
        </w:numPr>
        <w:tabs>
          <w:tab w:pos="1036" w:val="left" w:leader="none"/>
          <w:tab w:pos="1037" w:val="left" w:leader="none"/>
        </w:tabs>
        <w:spacing w:line="240" w:lineRule="auto" w:before="184" w:after="0"/>
        <w:ind w:left="1036" w:right="0" w:hanging="360"/>
        <w:jc w:val="left"/>
        <w:rPr>
          <w:sz w:val="38"/>
        </w:rPr>
      </w:pPr>
      <w:r>
        <w:rPr>
          <w:sz w:val="38"/>
        </w:rPr>
        <w:t>Crohn’s</w:t>
      </w:r>
      <w:r>
        <w:rPr>
          <w:spacing w:val="1"/>
          <w:sz w:val="38"/>
        </w:rPr>
        <w:t> </w:t>
      </w:r>
      <w:r>
        <w:rPr>
          <w:sz w:val="38"/>
        </w:rPr>
        <w:t>disease</w:t>
      </w:r>
    </w:p>
    <w:p>
      <w:pPr>
        <w:pStyle w:val="ListParagraph"/>
        <w:numPr>
          <w:ilvl w:val="0"/>
          <w:numId w:val="98"/>
        </w:numPr>
        <w:tabs>
          <w:tab w:pos="1036" w:val="left" w:leader="none"/>
          <w:tab w:pos="1037" w:val="left" w:leader="none"/>
        </w:tabs>
        <w:spacing w:line="240" w:lineRule="auto" w:before="183" w:after="0"/>
        <w:ind w:left="1036" w:right="0" w:hanging="360"/>
        <w:jc w:val="left"/>
        <w:rPr>
          <w:sz w:val="38"/>
        </w:rPr>
      </w:pPr>
      <w:r>
        <w:rPr>
          <w:sz w:val="38"/>
        </w:rPr>
        <w:t>Intestinal diseases</w:t>
      </w:r>
    </w:p>
    <w:p>
      <w:pPr>
        <w:pStyle w:val="ListParagraph"/>
        <w:numPr>
          <w:ilvl w:val="0"/>
          <w:numId w:val="98"/>
        </w:numPr>
        <w:tabs>
          <w:tab w:pos="1036" w:val="left" w:leader="none"/>
          <w:tab w:pos="1037" w:val="left" w:leader="none"/>
        </w:tabs>
        <w:spacing w:line="240" w:lineRule="auto" w:before="184" w:after="0"/>
        <w:ind w:left="1036" w:right="0" w:hanging="360"/>
        <w:jc w:val="left"/>
        <w:rPr>
          <w:sz w:val="38"/>
        </w:rPr>
      </w:pPr>
      <w:r>
        <w:rPr>
          <w:sz w:val="38"/>
        </w:rPr>
        <w:t>Depression</w:t>
      </w:r>
    </w:p>
    <w:p>
      <w:pPr>
        <w:pStyle w:val="ListParagraph"/>
        <w:numPr>
          <w:ilvl w:val="0"/>
          <w:numId w:val="98"/>
        </w:numPr>
        <w:tabs>
          <w:tab w:pos="1036" w:val="left" w:leader="none"/>
          <w:tab w:pos="1037" w:val="left" w:leader="none"/>
        </w:tabs>
        <w:spacing w:line="240" w:lineRule="auto" w:before="183" w:after="0"/>
        <w:ind w:left="1036" w:right="0" w:hanging="360"/>
        <w:jc w:val="left"/>
        <w:rPr>
          <w:sz w:val="38"/>
        </w:rPr>
      </w:pPr>
      <w:r>
        <w:rPr>
          <w:sz w:val="38"/>
        </w:rPr>
        <w:t>Diabetes</w:t>
      </w:r>
      <w:r>
        <w:rPr>
          <w:spacing w:val="2"/>
          <w:sz w:val="38"/>
        </w:rPr>
        <w:t> </w:t>
      </w:r>
      <w:r>
        <w:rPr>
          <w:sz w:val="38"/>
        </w:rPr>
        <w:t>mellitus</w:t>
      </w:r>
    </w:p>
    <w:p>
      <w:pPr>
        <w:pStyle w:val="ListParagraph"/>
        <w:numPr>
          <w:ilvl w:val="0"/>
          <w:numId w:val="98"/>
        </w:numPr>
        <w:tabs>
          <w:tab w:pos="1036" w:val="left" w:leader="none"/>
          <w:tab w:pos="1037" w:val="left" w:leader="none"/>
        </w:tabs>
        <w:spacing w:line="240" w:lineRule="auto" w:before="187" w:after="0"/>
        <w:ind w:left="1036" w:right="0" w:hanging="360"/>
        <w:jc w:val="left"/>
        <w:rPr>
          <w:sz w:val="38"/>
        </w:rPr>
      </w:pPr>
      <w:r>
        <w:rPr>
          <w:sz w:val="38"/>
        </w:rPr>
        <w:t>Cholesterol reduction</w:t>
      </w:r>
    </w:p>
    <w:p>
      <w:pPr>
        <w:pStyle w:val="ListParagraph"/>
        <w:numPr>
          <w:ilvl w:val="0"/>
          <w:numId w:val="98"/>
        </w:numPr>
        <w:tabs>
          <w:tab w:pos="1036" w:val="left" w:leader="none"/>
          <w:tab w:pos="1037" w:val="left" w:leader="none"/>
        </w:tabs>
        <w:spacing w:line="240" w:lineRule="auto" w:before="184" w:after="0"/>
        <w:ind w:left="1036" w:right="0" w:hanging="360"/>
        <w:jc w:val="left"/>
        <w:rPr>
          <w:sz w:val="38"/>
        </w:rPr>
      </w:pPr>
      <w:r>
        <w:rPr>
          <w:sz w:val="38"/>
        </w:rPr>
        <w:t>Skin diseases</w:t>
      </w:r>
    </w:p>
    <w:p>
      <w:pPr>
        <w:spacing w:after="0" w:line="240" w:lineRule="auto"/>
        <w:jc w:val="left"/>
        <w:rPr>
          <w:sz w:val="38"/>
        </w:rPr>
        <w:sectPr>
          <w:pgSz w:w="14270" w:h="16850"/>
          <w:pgMar w:header="0" w:footer="1891" w:top="1360" w:bottom="2080" w:left="800" w:right="1280"/>
        </w:sectPr>
      </w:pPr>
    </w:p>
    <w:p>
      <w:pPr>
        <w:pStyle w:val="ListParagraph"/>
        <w:numPr>
          <w:ilvl w:val="0"/>
          <w:numId w:val="98"/>
        </w:numPr>
        <w:tabs>
          <w:tab w:pos="1036" w:val="left" w:leader="none"/>
          <w:tab w:pos="1037" w:val="left" w:leader="none"/>
        </w:tabs>
        <w:spacing w:line="240" w:lineRule="auto" w:before="53" w:after="0"/>
        <w:ind w:left="1036" w:right="0" w:hanging="360"/>
        <w:jc w:val="left"/>
        <w:rPr>
          <w:sz w:val="38"/>
        </w:rPr>
      </w:pPr>
      <w:r>
        <w:rPr>
          <w:sz w:val="38"/>
        </w:rPr>
        <w:t>Immunodeficiency</w:t>
      </w:r>
    </w:p>
    <w:p>
      <w:pPr>
        <w:pStyle w:val="ListParagraph"/>
        <w:numPr>
          <w:ilvl w:val="0"/>
          <w:numId w:val="98"/>
        </w:numPr>
        <w:tabs>
          <w:tab w:pos="1036" w:val="left" w:leader="none"/>
          <w:tab w:pos="1037" w:val="left" w:leader="none"/>
        </w:tabs>
        <w:spacing w:line="273" w:lineRule="auto" w:before="186" w:after="0"/>
        <w:ind w:left="1036" w:right="132" w:hanging="360"/>
        <w:jc w:val="left"/>
        <w:rPr>
          <w:sz w:val="38"/>
        </w:rPr>
      </w:pPr>
      <w:r>
        <w:rPr>
          <w:sz w:val="38"/>
        </w:rPr>
        <w:t>Heart diseases (Coronary heart diseases, heart attack, </w:t>
      </w:r>
      <w:r>
        <w:rPr>
          <w:i/>
          <w:sz w:val="38"/>
        </w:rPr>
        <w:t>atherosclerosis</w:t>
      </w:r>
      <w:r>
        <w:rPr>
          <w:sz w:val="38"/>
        </w:rPr>
        <w:t>, weak heart, arrhythmias, prevention), supplement to medication-based</w:t>
      </w:r>
      <w:r>
        <w:rPr>
          <w:spacing w:val="-38"/>
          <w:sz w:val="38"/>
        </w:rPr>
        <w:t> </w:t>
      </w:r>
      <w:r>
        <w:rPr>
          <w:sz w:val="38"/>
        </w:rPr>
        <w:t>treatment</w:t>
      </w:r>
    </w:p>
    <w:p>
      <w:pPr>
        <w:pStyle w:val="ListParagraph"/>
        <w:numPr>
          <w:ilvl w:val="0"/>
          <w:numId w:val="98"/>
        </w:numPr>
        <w:tabs>
          <w:tab w:pos="1036" w:val="left" w:leader="none"/>
          <w:tab w:pos="1037" w:val="left" w:leader="none"/>
        </w:tabs>
        <w:spacing w:line="240" w:lineRule="auto" w:before="127" w:after="0"/>
        <w:ind w:left="1036" w:right="0" w:hanging="360"/>
        <w:jc w:val="left"/>
        <w:rPr>
          <w:sz w:val="38"/>
        </w:rPr>
      </w:pPr>
      <w:r>
        <w:rPr>
          <w:sz w:val="38"/>
        </w:rPr>
        <w:t>Headaches</w:t>
      </w:r>
    </w:p>
    <w:p>
      <w:pPr>
        <w:pStyle w:val="ListParagraph"/>
        <w:numPr>
          <w:ilvl w:val="0"/>
          <w:numId w:val="98"/>
        </w:numPr>
        <w:tabs>
          <w:tab w:pos="1036" w:val="left" w:leader="none"/>
          <w:tab w:pos="1037" w:val="left" w:leader="none"/>
        </w:tabs>
        <w:spacing w:line="240" w:lineRule="auto" w:before="184" w:after="0"/>
        <w:ind w:left="1036" w:right="0" w:hanging="360"/>
        <w:jc w:val="left"/>
        <w:rPr>
          <w:sz w:val="38"/>
        </w:rPr>
      </w:pPr>
      <w:r>
        <w:rPr>
          <w:sz w:val="38"/>
        </w:rPr>
        <w:t>Cancer</w:t>
      </w:r>
    </w:p>
    <w:p>
      <w:pPr>
        <w:pStyle w:val="ListParagraph"/>
        <w:numPr>
          <w:ilvl w:val="0"/>
          <w:numId w:val="98"/>
        </w:numPr>
        <w:tabs>
          <w:tab w:pos="1036" w:val="left" w:leader="none"/>
          <w:tab w:pos="1037" w:val="left" w:leader="none"/>
        </w:tabs>
        <w:spacing w:line="240" w:lineRule="auto" w:before="184" w:after="0"/>
        <w:ind w:left="1036" w:right="0" w:hanging="360"/>
        <w:jc w:val="left"/>
        <w:rPr>
          <w:sz w:val="38"/>
        </w:rPr>
      </w:pPr>
      <w:r>
        <w:rPr>
          <w:sz w:val="38"/>
        </w:rPr>
        <w:t>Liver</w:t>
      </w:r>
      <w:r>
        <w:rPr>
          <w:spacing w:val="-5"/>
          <w:sz w:val="38"/>
        </w:rPr>
        <w:t> </w:t>
      </w:r>
      <w:r>
        <w:rPr>
          <w:sz w:val="38"/>
        </w:rPr>
        <w:t>diseases</w:t>
      </w:r>
    </w:p>
    <w:p>
      <w:pPr>
        <w:pStyle w:val="ListParagraph"/>
        <w:numPr>
          <w:ilvl w:val="0"/>
          <w:numId w:val="98"/>
        </w:numPr>
        <w:tabs>
          <w:tab w:pos="1036" w:val="left" w:leader="none"/>
          <w:tab w:pos="1037" w:val="left" w:leader="none"/>
        </w:tabs>
        <w:spacing w:line="240" w:lineRule="auto" w:before="184" w:after="0"/>
        <w:ind w:left="1036" w:right="0" w:hanging="360"/>
        <w:jc w:val="left"/>
        <w:rPr>
          <w:sz w:val="38"/>
        </w:rPr>
      </w:pPr>
      <w:r>
        <w:rPr>
          <w:sz w:val="38"/>
        </w:rPr>
        <w:t>Neuropathies</w:t>
      </w:r>
    </w:p>
    <w:p>
      <w:pPr>
        <w:pStyle w:val="ListParagraph"/>
        <w:numPr>
          <w:ilvl w:val="0"/>
          <w:numId w:val="98"/>
        </w:numPr>
        <w:tabs>
          <w:tab w:pos="1036" w:val="left" w:leader="none"/>
          <w:tab w:pos="1037" w:val="left" w:leader="none"/>
        </w:tabs>
        <w:spacing w:line="240" w:lineRule="auto" w:before="186" w:after="0"/>
        <w:ind w:left="1036" w:right="0" w:hanging="360"/>
        <w:jc w:val="left"/>
        <w:rPr>
          <w:sz w:val="38"/>
        </w:rPr>
      </w:pPr>
      <w:r>
        <w:rPr>
          <w:sz w:val="38"/>
        </w:rPr>
        <w:t>Neurodermitis</w:t>
      </w:r>
    </w:p>
    <w:p>
      <w:pPr>
        <w:pStyle w:val="ListParagraph"/>
        <w:numPr>
          <w:ilvl w:val="0"/>
          <w:numId w:val="98"/>
        </w:numPr>
        <w:tabs>
          <w:tab w:pos="1036" w:val="left" w:leader="none"/>
          <w:tab w:pos="1037" w:val="left" w:leader="none"/>
        </w:tabs>
        <w:spacing w:line="240" w:lineRule="auto" w:before="184" w:after="0"/>
        <w:ind w:left="1036" w:right="0" w:hanging="360"/>
        <w:jc w:val="left"/>
        <w:rPr>
          <w:sz w:val="38"/>
        </w:rPr>
      </w:pPr>
      <w:r>
        <w:rPr>
          <w:sz w:val="38"/>
        </w:rPr>
        <w:t>Down’s</w:t>
      </w:r>
      <w:r>
        <w:rPr>
          <w:spacing w:val="1"/>
          <w:sz w:val="38"/>
        </w:rPr>
        <w:t> </w:t>
      </w:r>
      <w:r>
        <w:rPr>
          <w:sz w:val="38"/>
        </w:rPr>
        <w:t>syndrome</w:t>
      </w:r>
    </w:p>
    <w:p>
      <w:pPr>
        <w:pStyle w:val="ListParagraph"/>
        <w:numPr>
          <w:ilvl w:val="0"/>
          <w:numId w:val="98"/>
        </w:numPr>
        <w:tabs>
          <w:tab w:pos="1036" w:val="left" w:leader="none"/>
          <w:tab w:pos="1037" w:val="left" w:leader="none"/>
        </w:tabs>
        <w:spacing w:line="240" w:lineRule="auto" w:before="183" w:after="0"/>
        <w:ind w:left="1036" w:right="0" w:hanging="360"/>
        <w:jc w:val="left"/>
        <w:rPr>
          <w:sz w:val="38"/>
        </w:rPr>
      </w:pPr>
      <w:r>
        <w:rPr>
          <w:sz w:val="38"/>
        </w:rPr>
        <w:t>Mucus membrane diseases</w:t>
      </w:r>
    </w:p>
    <w:p>
      <w:pPr>
        <w:pStyle w:val="ListParagraph"/>
        <w:numPr>
          <w:ilvl w:val="0"/>
          <w:numId w:val="98"/>
        </w:numPr>
        <w:tabs>
          <w:tab w:pos="1036" w:val="left" w:leader="none"/>
          <w:tab w:pos="1037" w:val="left" w:leader="none"/>
        </w:tabs>
        <w:spacing w:line="240" w:lineRule="auto" w:before="184" w:after="0"/>
        <w:ind w:left="1036" w:right="0" w:hanging="360"/>
        <w:jc w:val="left"/>
        <w:rPr>
          <w:sz w:val="38"/>
        </w:rPr>
      </w:pPr>
      <w:r>
        <w:rPr>
          <w:sz w:val="38"/>
        </w:rPr>
        <w:t>Various</w:t>
      </w:r>
      <w:r>
        <w:rPr>
          <w:spacing w:val="-1"/>
          <w:sz w:val="38"/>
        </w:rPr>
        <w:t> </w:t>
      </w:r>
      <w:r>
        <w:rPr>
          <w:sz w:val="38"/>
        </w:rPr>
        <w:t>inflammations</w:t>
      </w:r>
    </w:p>
    <w:p>
      <w:pPr>
        <w:pStyle w:val="ListParagraph"/>
        <w:numPr>
          <w:ilvl w:val="0"/>
          <w:numId w:val="98"/>
        </w:numPr>
        <w:tabs>
          <w:tab w:pos="1036" w:val="left" w:leader="none"/>
          <w:tab w:pos="1037" w:val="left" w:leader="none"/>
        </w:tabs>
        <w:spacing w:line="240" w:lineRule="auto" w:before="184" w:after="0"/>
        <w:ind w:left="1036" w:right="0" w:hanging="360"/>
        <w:jc w:val="left"/>
        <w:rPr>
          <w:sz w:val="38"/>
        </w:rPr>
      </w:pPr>
      <w:r>
        <w:rPr>
          <w:sz w:val="38"/>
        </w:rPr>
        <w:t>Epilepsy</w:t>
      </w:r>
    </w:p>
    <w:p>
      <w:pPr>
        <w:pStyle w:val="ListParagraph"/>
        <w:numPr>
          <w:ilvl w:val="0"/>
          <w:numId w:val="98"/>
        </w:numPr>
        <w:tabs>
          <w:tab w:pos="1036" w:val="left" w:leader="none"/>
          <w:tab w:pos="1037" w:val="left" w:leader="none"/>
        </w:tabs>
        <w:spacing w:line="240" w:lineRule="auto" w:before="186" w:after="0"/>
        <w:ind w:left="1036" w:right="0" w:hanging="360"/>
        <w:jc w:val="left"/>
        <w:rPr>
          <w:sz w:val="38"/>
        </w:rPr>
      </w:pPr>
      <w:r>
        <w:rPr>
          <w:sz w:val="38"/>
        </w:rPr>
        <w:t>Erythematosus,</w:t>
      </w:r>
    </w:p>
    <w:p>
      <w:pPr>
        <w:pStyle w:val="ListParagraph"/>
        <w:numPr>
          <w:ilvl w:val="0"/>
          <w:numId w:val="98"/>
        </w:numPr>
        <w:tabs>
          <w:tab w:pos="1036" w:val="left" w:leader="none"/>
          <w:tab w:pos="1037" w:val="left" w:leader="none"/>
        </w:tabs>
        <w:spacing w:line="240" w:lineRule="auto" w:before="184" w:after="0"/>
        <w:ind w:left="1036" w:right="0" w:hanging="360"/>
        <w:jc w:val="left"/>
        <w:rPr>
          <w:sz w:val="38"/>
        </w:rPr>
      </w:pPr>
      <w:r>
        <w:rPr>
          <w:sz w:val="38"/>
        </w:rPr>
        <w:t>Deformities</w:t>
      </w:r>
    </w:p>
    <w:p>
      <w:pPr>
        <w:pStyle w:val="ListParagraph"/>
        <w:numPr>
          <w:ilvl w:val="0"/>
          <w:numId w:val="98"/>
        </w:numPr>
        <w:tabs>
          <w:tab w:pos="1036" w:val="left" w:leader="none"/>
          <w:tab w:pos="1037" w:val="left" w:leader="none"/>
        </w:tabs>
        <w:spacing w:line="240" w:lineRule="auto" w:before="183" w:after="0"/>
        <w:ind w:left="1036" w:right="0" w:hanging="360"/>
        <w:jc w:val="left"/>
        <w:rPr>
          <w:sz w:val="38"/>
        </w:rPr>
      </w:pPr>
      <w:r>
        <w:rPr>
          <w:sz w:val="38"/>
        </w:rPr>
        <w:t>Goodpasture’s syndrome</w:t>
      </w:r>
    </w:p>
    <w:p>
      <w:pPr>
        <w:pStyle w:val="ListParagraph"/>
        <w:numPr>
          <w:ilvl w:val="0"/>
          <w:numId w:val="98"/>
        </w:numPr>
        <w:tabs>
          <w:tab w:pos="1036" w:val="left" w:leader="none"/>
          <w:tab w:pos="1037" w:val="left" w:leader="none"/>
        </w:tabs>
        <w:spacing w:line="240" w:lineRule="auto" w:before="184" w:after="0"/>
        <w:ind w:left="1036" w:right="0" w:hanging="360"/>
        <w:jc w:val="left"/>
        <w:rPr>
          <w:sz w:val="38"/>
        </w:rPr>
      </w:pPr>
      <w:r>
        <w:rPr>
          <w:sz w:val="38"/>
        </w:rPr>
        <w:t>Brain oedema</w:t>
      </w:r>
    </w:p>
    <w:p>
      <w:pPr>
        <w:pStyle w:val="ListParagraph"/>
        <w:numPr>
          <w:ilvl w:val="0"/>
          <w:numId w:val="98"/>
        </w:numPr>
        <w:tabs>
          <w:tab w:pos="1036" w:val="left" w:leader="none"/>
          <w:tab w:pos="1037" w:val="left" w:leader="none"/>
        </w:tabs>
        <w:spacing w:line="240" w:lineRule="auto" w:before="183" w:after="0"/>
        <w:ind w:left="1036" w:right="0" w:hanging="360"/>
        <w:jc w:val="left"/>
        <w:rPr>
          <w:sz w:val="38"/>
        </w:rPr>
      </w:pPr>
      <w:r>
        <w:rPr>
          <w:sz w:val="38"/>
        </w:rPr>
        <w:t>Brain trauma</w:t>
      </w:r>
    </w:p>
    <w:p>
      <w:pPr>
        <w:pStyle w:val="ListParagraph"/>
        <w:numPr>
          <w:ilvl w:val="0"/>
          <w:numId w:val="98"/>
        </w:numPr>
        <w:tabs>
          <w:tab w:pos="1036" w:val="left" w:leader="none"/>
          <w:tab w:pos="1037" w:val="left" w:leader="none"/>
        </w:tabs>
        <w:spacing w:line="240" w:lineRule="auto" w:before="187" w:after="0"/>
        <w:ind w:left="1036" w:right="0" w:hanging="360"/>
        <w:jc w:val="left"/>
        <w:rPr>
          <w:sz w:val="38"/>
        </w:rPr>
      </w:pPr>
      <w:r>
        <w:rPr>
          <w:sz w:val="38"/>
        </w:rPr>
        <w:t>HIV</w:t>
      </w:r>
    </w:p>
    <w:p>
      <w:pPr>
        <w:pStyle w:val="ListParagraph"/>
        <w:numPr>
          <w:ilvl w:val="0"/>
          <w:numId w:val="98"/>
        </w:numPr>
        <w:tabs>
          <w:tab w:pos="1036" w:val="left" w:leader="none"/>
          <w:tab w:pos="1037" w:val="left" w:leader="none"/>
        </w:tabs>
        <w:spacing w:line="240" w:lineRule="auto" w:before="184" w:after="0"/>
        <w:ind w:left="1036" w:right="0" w:hanging="360"/>
        <w:jc w:val="left"/>
        <w:rPr>
          <w:sz w:val="38"/>
        </w:rPr>
      </w:pPr>
      <w:r>
        <w:rPr>
          <w:sz w:val="38"/>
        </w:rPr>
        <w:t>Hormonal</w:t>
      </w:r>
      <w:r>
        <w:rPr>
          <w:spacing w:val="-1"/>
          <w:sz w:val="38"/>
        </w:rPr>
        <w:t> </w:t>
      </w:r>
      <w:r>
        <w:rPr>
          <w:sz w:val="38"/>
        </w:rPr>
        <w:t>imbalances</w:t>
      </w:r>
    </w:p>
    <w:p>
      <w:pPr>
        <w:spacing w:after="0" w:line="240" w:lineRule="auto"/>
        <w:jc w:val="left"/>
        <w:rPr>
          <w:sz w:val="38"/>
        </w:rPr>
        <w:sectPr>
          <w:pgSz w:w="14270" w:h="16850"/>
          <w:pgMar w:header="0" w:footer="1891" w:top="1360" w:bottom="2080" w:left="800" w:right="1280"/>
        </w:sectPr>
      </w:pPr>
    </w:p>
    <w:p>
      <w:pPr>
        <w:pStyle w:val="ListParagraph"/>
        <w:numPr>
          <w:ilvl w:val="0"/>
          <w:numId w:val="98"/>
        </w:numPr>
        <w:tabs>
          <w:tab w:pos="1036" w:val="left" w:leader="none"/>
          <w:tab w:pos="1037" w:val="left" w:leader="none"/>
        </w:tabs>
        <w:spacing w:line="240" w:lineRule="auto" w:before="53" w:after="0"/>
        <w:ind w:left="1036" w:right="0" w:hanging="360"/>
        <w:jc w:val="left"/>
        <w:rPr>
          <w:sz w:val="38"/>
        </w:rPr>
      </w:pPr>
      <w:r>
        <w:rPr>
          <w:sz w:val="38"/>
        </w:rPr>
        <w:t>Leukaemia</w:t>
      </w:r>
    </w:p>
    <w:p>
      <w:pPr>
        <w:pStyle w:val="ListParagraph"/>
        <w:numPr>
          <w:ilvl w:val="0"/>
          <w:numId w:val="98"/>
        </w:numPr>
        <w:tabs>
          <w:tab w:pos="1036" w:val="left" w:leader="none"/>
          <w:tab w:pos="1037" w:val="left" w:leader="none"/>
        </w:tabs>
        <w:spacing w:line="240" w:lineRule="auto" w:before="186" w:after="0"/>
        <w:ind w:left="1036" w:right="0" w:hanging="360"/>
        <w:jc w:val="left"/>
        <w:rPr>
          <w:sz w:val="38"/>
        </w:rPr>
      </w:pPr>
      <w:r>
        <w:rPr>
          <w:sz w:val="38"/>
        </w:rPr>
        <w:t>Cardiomyopathy</w:t>
      </w:r>
    </w:p>
    <w:p>
      <w:pPr>
        <w:pStyle w:val="ListParagraph"/>
        <w:numPr>
          <w:ilvl w:val="0"/>
          <w:numId w:val="98"/>
        </w:numPr>
        <w:tabs>
          <w:tab w:pos="1036" w:val="left" w:leader="none"/>
          <w:tab w:pos="1037" w:val="left" w:leader="none"/>
        </w:tabs>
        <w:spacing w:line="240" w:lineRule="auto" w:before="184" w:after="0"/>
        <w:ind w:left="1036" w:right="0" w:hanging="360"/>
        <w:jc w:val="left"/>
        <w:rPr>
          <w:sz w:val="38"/>
        </w:rPr>
      </w:pPr>
      <w:r>
        <w:rPr>
          <w:sz w:val="38"/>
        </w:rPr>
        <w:t>Listeriosis</w:t>
      </w:r>
    </w:p>
    <w:p>
      <w:pPr>
        <w:pStyle w:val="ListParagraph"/>
        <w:numPr>
          <w:ilvl w:val="0"/>
          <w:numId w:val="98"/>
        </w:numPr>
        <w:tabs>
          <w:tab w:pos="1036" w:val="left" w:leader="none"/>
          <w:tab w:pos="1037" w:val="left" w:leader="none"/>
        </w:tabs>
        <w:spacing w:line="240" w:lineRule="auto" w:before="184" w:after="0"/>
        <w:ind w:left="1036" w:right="0" w:hanging="360"/>
        <w:jc w:val="left"/>
        <w:rPr>
          <w:sz w:val="38"/>
        </w:rPr>
      </w:pPr>
      <w:r>
        <w:rPr>
          <w:sz w:val="38"/>
        </w:rPr>
        <w:t>Fibrosis of the</w:t>
      </w:r>
      <w:r>
        <w:rPr>
          <w:spacing w:val="1"/>
          <w:sz w:val="38"/>
        </w:rPr>
        <w:t> </w:t>
      </w:r>
      <w:r>
        <w:rPr>
          <w:sz w:val="38"/>
        </w:rPr>
        <w:t>lungs</w:t>
      </w:r>
    </w:p>
    <w:p>
      <w:pPr>
        <w:pStyle w:val="ListParagraph"/>
        <w:numPr>
          <w:ilvl w:val="0"/>
          <w:numId w:val="98"/>
        </w:numPr>
        <w:tabs>
          <w:tab w:pos="1036" w:val="left" w:leader="none"/>
          <w:tab w:pos="1037" w:val="left" w:leader="none"/>
        </w:tabs>
        <w:spacing w:line="240" w:lineRule="auto" w:before="183" w:after="0"/>
        <w:ind w:left="1036" w:right="0" w:hanging="360"/>
        <w:jc w:val="left"/>
        <w:rPr>
          <w:sz w:val="38"/>
        </w:rPr>
      </w:pPr>
      <w:r>
        <w:rPr>
          <w:sz w:val="38"/>
        </w:rPr>
        <w:t>Lung emphysema</w:t>
      </w:r>
    </w:p>
    <w:p>
      <w:pPr>
        <w:pStyle w:val="ListParagraph"/>
        <w:numPr>
          <w:ilvl w:val="0"/>
          <w:numId w:val="98"/>
        </w:numPr>
        <w:tabs>
          <w:tab w:pos="1036" w:val="left" w:leader="none"/>
          <w:tab w:pos="1037" w:val="left" w:leader="none"/>
        </w:tabs>
        <w:spacing w:line="240" w:lineRule="auto" w:before="184" w:after="0"/>
        <w:ind w:left="1036" w:right="0" w:hanging="360"/>
        <w:jc w:val="left"/>
        <w:rPr>
          <w:sz w:val="38"/>
        </w:rPr>
      </w:pPr>
      <w:r>
        <w:rPr>
          <w:sz w:val="38"/>
        </w:rPr>
        <w:t>Lyme</w:t>
      </w:r>
      <w:r>
        <w:rPr>
          <w:spacing w:val="1"/>
          <w:sz w:val="38"/>
        </w:rPr>
        <w:t> </w:t>
      </w:r>
      <w:r>
        <w:rPr>
          <w:sz w:val="38"/>
        </w:rPr>
        <w:t>disease</w:t>
      </w:r>
    </w:p>
    <w:p>
      <w:pPr>
        <w:pStyle w:val="ListParagraph"/>
        <w:numPr>
          <w:ilvl w:val="0"/>
          <w:numId w:val="98"/>
        </w:numPr>
        <w:tabs>
          <w:tab w:pos="1036" w:val="left" w:leader="none"/>
          <w:tab w:pos="1037" w:val="left" w:leader="none"/>
        </w:tabs>
        <w:spacing w:line="240" w:lineRule="auto" w:before="186" w:after="0"/>
        <w:ind w:left="1036" w:right="0" w:hanging="360"/>
        <w:jc w:val="left"/>
        <w:rPr>
          <w:sz w:val="38"/>
        </w:rPr>
      </w:pPr>
      <w:r>
        <w:rPr>
          <w:sz w:val="38"/>
        </w:rPr>
        <w:t>Stomach disorders</w:t>
      </w:r>
    </w:p>
    <w:p>
      <w:pPr>
        <w:pStyle w:val="ListParagraph"/>
        <w:numPr>
          <w:ilvl w:val="0"/>
          <w:numId w:val="98"/>
        </w:numPr>
        <w:tabs>
          <w:tab w:pos="1036" w:val="left" w:leader="none"/>
          <w:tab w:pos="1037" w:val="left" w:leader="none"/>
        </w:tabs>
        <w:spacing w:line="240" w:lineRule="auto" w:before="184" w:after="0"/>
        <w:ind w:left="1036" w:right="0" w:hanging="360"/>
        <w:jc w:val="left"/>
        <w:rPr>
          <w:sz w:val="38"/>
        </w:rPr>
      </w:pPr>
      <w:r>
        <w:rPr>
          <w:sz w:val="38"/>
        </w:rPr>
        <w:t>Multiple sclerosis</w:t>
      </w:r>
      <w:r>
        <w:rPr>
          <w:spacing w:val="4"/>
          <w:sz w:val="38"/>
        </w:rPr>
        <w:t> </w:t>
      </w:r>
      <w:r>
        <w:rPr>
          <w:sz w:val="38"/>
        </w:rPr>
        <w:t>(MS)</w:t>
      </w:r>
    </w:p>
    <w:p>
      <w:pPr>
        <w:pStyle w:val="ListParagraph"/>
        <w:numPr>
          <w:ilvl w:val="0"/>
          <w:numId w:val="98"/>
        </w:numPr>
        <w:tabs>
          <w:tab w:pos="1036" w:val="left" w:leader="none"/>
          <w:tab w:pos="1037" w:val="left" w:leader="none"/>
        </w:tabs>
        <w:spacing w:line="240" w:lineRule="auto" w:before="184" w:after="0"/>
        <w:ind w:left="1036" w:right="0" w:hanging="360"/>
        <w:jc w:val="left"/>
        <w:rPr>
          <w:sz w:val="38"/>
        </w:rPr>
      </w:pPr>
      <w:r>
        <w:rPr>
          <w:sz w:val="38"/>
        </w:rPr>
        <w:t>Myocarditis</w:t>
      </w:r>
      <w:r>
        <w:rPr>
          <w:spacing w:val="2"/>
          <w:sz w:val="38"/>
        </w:rPr>
        <w:t> </w:t>
      </w:r>
      <w:r>
        <w:rPr>
          <w:sz w:val="38"/>
        </w:rPr>
        <w:t>(non-bacterial)</w:t>
      </w:r>
    </w:p>
    <w:p>
      <w:pPr>
        <w:pStyle w:val="ListParagraph"/>
        <w:numPr>
          <w:ilvl w:val="0"/>
          <w:numId w:val="98"/>
        </w:numPr>
        <w:tabs>
          <w:tab w:pos="1036" w:val="left" w:leader="none"/>
          <w:tab w:pos="1037" w:val="left" w:leader="none"/>
        </w:tabs>
        <w:spacing w:line="240" w:lineRule="auto" w:before="183" w:after="0"/>
        <w:ind w:left="1036" w:right="0" w:hanging="360"/>
        <w:jc w:val="left"/>
        <w:rPr>
          <w:sz w:val="38"/>
        </w:rPr>
      </w:pPr>
      <w:r>
        <w:rPr>
          <w:sz w:val="38"/>
        </w:rPr>
        <w:t>Kidney diseases</w:t>
      </w:r>
    </w:p>
    <w:p>
      <w:pPr>
        <w:pStyle w:val="ListParagraph"/>
        <w:numPr>
          <w:ilvl w:val="0"/>
          <w:numId w:val="98"/>
        </w:numPr>
        <w:tabs>
          <w:tab w:pos="1036" w:val="left" w:leader="none"/>
          <w:tab w:pos="1037" w:val="left" w:leader="none"/>
        </w:tabs>
        <w:spacing w:line="240" w:lineRule="auto" w:before="186" w:after="0"/>
        <w:ind w:left="1036" w:right="0" w:hanging="360"/>
        <w:jc w:val="left"/>
        <w:rPr>
          <w:sz w:val="38"/>
        </w:rPr>
      </w:pPr>
      <w:r>
        <w:rPr>
          <w:sz w:val="38"/>
        </w:rPr>
        <w:t>Pancreatitis</w:t>
      </w:r>
    </w:p>
    <w:p>
      <w:pPr>
        <w:pStyle w:val="ListParagraph"/>
        <w:numPr>
          <w:ilvl w:val="0"/>
          <w:numId w:val="98"/>
        </w:numPr>
        <w:tabs>
          <w:tab w:pos="1036" w:val="left" w:leader="none"/>
          <w:tab w:pos="1037" w:val="left" w:leader="none"/>
        </w:tabs>
        <w:spacing w:line="240" w:lineRule="auto" w:before="184" w:after="0"/>
        <w:ind w:left="1036" w:right="0" w:hanging="360"/>
        <w:jc w:val="left"/>
        <w:rPr>
          <w:sz w:val="38"/>
        </w:rPr>
      </w:pPr>
      <w:r>
        <w:rPr>
          <w:sz w:val="38"/>
        </w:rPr>
        <w:t>Parkinson’s</w:t>
      </w:r>
    </w:p>
    <w:p>
      <w:pPr>
        <w:pStyle w:val="ListParagraph"/>
        <w:numPr>
          <w:ilvl w:val="0"/>
          <w:numId w:val="98"/>
        </w:numPr>
        <w:tabs>
          <w:tab w:pos="1036" w:val="left" w:leader="none"/>
          <w:tab w:pos="1037" w:val="left" w:leader="none"/>
        </w:tabs>
        <w:spacing w:line="240" w:lineRule="auto" w:before="184" w:after="0"/>
        <w:ind w:left="1036" w:right="0" w:hanging="360"/>
        <w:jc w:val="left"/>
        <w:rPr>
          <w:sz w:val="38"/>
        </w:rPr>
      </w:pPr>
      <w:r>
        <w:rPr>
          <w:sz w:val="38"/>
        </w:rPr>
        <w:t>Polyangiitis</w:t>
      </w:r>
    </w:p>
    <w:p>
      <w:pPr>
        <w:pStyle w:val="ListParagraph"/>
        <w:numPr>
          <w:ilvl w:val="0"/>
          <w:numId w:val="98"/>
        </w:numPr>
        <w:tabs>
          <w:tab w:pos="1036" w:val="left" w:leader="none"/>
          <w:tab w:pos="1037" w:val="left" w:leader="none"/>
        </w:tabs>
        <w:spacing w:line="240" w:lineRule="auto" w:before="184" w:after="0"/>
        <w:ind w:left="1036" w:right="0" w:hanging="360"/>
        <w:jc w:val="left"/>
        <w:rPr>
          <w:sz w:val="38"/>
        </w:rPr>
      </w:pPr>
      <w:r>
        <w:rPr>
          <w:sz w:val="38"/>
        </w:rPr>
        <w:t>Polychondritis</w:t>
      </w:r>
    </w:p>
    <w:p>
      <w:pPr>
        <w:pStyle w:val="ListParagraph"/>
        <w:numPr>
          <w:ilvl w:val="0"/>
          <w:numId w:val="98"/>
        </w:numPr>
        <w:tabs>
          <w:tab w:pos="1036" w:val="left" w:leader="none"/>
          <w:tab w:pos="1037" w:val="left" w:leader="none"/>
        </w:tabs>
        <w:spacing w:line="240" w:lineRule="auto" w:before="183" w:after="0"/>
        <w:ind w:left="1036" w:right="0" w:hanging="360"/>
        <w:jc w:val="left"/>
        <w:rPr>
          <w:sz w:val="38"/>
        </w:rPr>
      </w:pPr>
      <w:r>
        <w:rPr>
          <w:sz w:val="38"/>
        </w:rPr>
        <w:t>Preeclampsia</w:t>
      </w:r>
    </w:p>
    <w:p>
      <w:pPr>
        <w:pStyle w:val="ListParagraph"/>
        <w:numPr>
          <w:ilvl w:val="0"/>
          <w:numId w:val="98"/>
        </w:numPr>
        <w:tabs>
          <w:tab w:pos="1036" w:val="left" w:leader="none"/>
          <w:tab w:pos="1037" w:val="left" w:leader="none"/>
        </w:tabs>
        <w:spacing w:line="240" w:lineRule="auto" w:before="186" w:after="0"/>
        <w:ind w:left="1036" w:right="0" w:hanging="360"/>
        <w:jc w:val="left"/>
        <w:rPr>
          <w:sz w:val="38"/>
        </w:rPr>
      </w:pPr>
      <w:r>
        <w:rPr>
          <w:sz w:val="38"/>
        </w:rPr>
        <w:t>Progeria</w:t>
      </w:r>
    </w:p>
    <w:p>
      <w:pPr>
        <w:pStyle w:val="ListParagraph"/>
        <w:numPr>
          <w:ilvl w:val="0"/>
          <w:numId w:val="98"/>
        </w:numPr>
        <w:tabs>
          <w:tab w:pos="1036" w:val="left" w:leader="none"/>
          <w:tab w:pos="1037" w:val="left" w:leader="none"/>
        </w:tabs>
        <w:spacing w:line="240" w:lineRule="auto" w:before="184" w:after="0"/>
        <w:ind w:left="1036" w:right="0" w:hanging="360"/>
        <w:jc w:val="left"/>
        <w:rPr>
          <w:sz w:val="38"/>
        </w:rPr>
      </w:pPr>
      <w:r>
        <w:rPr>
          <w:sz w:val="38"/>
        </w:rPr>
        <w:t>Sarcoidosis</w:t>
      </w:r>
    </w:p>
    <w:p>
      <w:pPr>
        <w:pStyle w:val="ListParagraph"/>
        <w:numPr>
          <w:ilvl w:val="0"/>
          <w:numId w:val="98"/>
        </w:numPr>
        <w:tabs>
          <w:tab w:pos="1036" w:val="left" w:leader="none"/>
          <w:tab w:pos="1037" w:val="left" w:leader="none"/>
        </w:tabs>
        <w:spacing w:line="240" w:lineRule="auto" w:before="184" w:after="0"/>
        <w:ind w:left="1036" w:right="0" w:hanging="360"/>
        <w:jc w:val="left"/>
        <w:rPr>
          <w:sz w:val="38"/>
        </w:rPr>
      </w:pPr>
      <w:r>
        <w:rPr>
          <w:sz w:val="38"/>
        </w:rPr>
        <w:t>Rheumatic arthritis</w:t>
      </w:r>
    </w:p>
    <w:p>
      <w:pPr>
        <w:pStyle w:val="ListParagraph"/>
        <w:numPr>
          <w:ilvl w:val="0"/>
          <w:numId w:val="98"/>
        </w:numPr>
        <w:tabs>
          <w:tab w:pos="1036" w:val="left" w:leader="none"/>
          <w:tab w:pos="1037" w:val="left" w:leader="none"/>
        </w:tabs>
        <w:spacing w:line="240" w:lineRule="auto" w:before="184" w:after="0"/>
        <w:ind w:left="1036" w:right="0" w:hanging="360"/>
        <w:jc w:val="left"/>
        <w:rPr>
          <w:sz w:val="38"/>
        </w:rPr>
      </w:pPr>
      <w:r>
        <w:rPr>
          <w:sz w:val="38"/>
        </w:rPr>
        <w:t>Schizophrenia</w:t>
      </w:r>
    </w:p>
    <w:p>
      <w:pPr>
        <w:spacing w:after="0" w:line="240" w:lineRule="auto"/>
        <w:jc w:val="left"/>
        <w:rPr>
          <w:sz w:val="38"/>
        </w:rPr>
        <w:sectPr>
          <w:pgSz w:w="14270" w:h="16850"/>
          <w:pgMar w:header="0" w:footer="1891" w:top="1360" w:bottom="2080" w:left="800" w:right="1280"/>
        </w:sectPr>
      </w:pPr>
    </w:p>
    <w:p>
      <w:pPr>
        <w:pStyle w:val="ListParagraph"/>
        <w:numPr>
          <w:ilvl w:val="0"/>
          <w:numId w:val="98"/>
        </w:numPr>
        <w:tabs>
          <w:tab w:pos="1036" w:val="left" w:leader="none"/>
          <w:tab w:pos="1037" w:val="left" w:leader="none"/>
        </w:tabs>
        <w:spacing w:line="240" w:lineRule="auto" w:before="53" w:after="0"/>
        <w:ind w:left="1036" w:right="0" w:hanging="360"/>
        <w:jc w:val="left"/>
        <w:rPr>
          <w:sz w:val="38"/>
        </w:rPr>
      </w:pPr>
      <w:r>
        <w:rPr>
          <w:sz w:val="38"/>
        </w:rPr>
        <w:t>Schoenlein-Henoch syndrome</w:t>
      </w:r>
    </w:p>
    <w:p>
      <w:pPr>
        <w:pStyle w:val="ListParagraph"/>
        <w:numPr>
          <w:ilvl w:val="0"/>
          <w:numId w:val="98"/>
        </w:numPr>
        <w:tabs>
          <w:tab w:pos="1036" w:val="left" w:leader="none"/>
          <w:tab w:pos="1037" w:val="left" w:leader="none"/>
        </w:tabs>
        <w:spacing w:line="240" w:lineRule="auto" w:before="186" w:after="0"/>
        <w:ind w:left="1036" w:right="0" w:hanging="360"/>
        <w:jc w:val="left"/>
        <w:rPr>
          <w:sz w:val="38"/>
        </w:rPr>
      </w:pPr>
      <w:r>
        <w:rPr>
          <w:sz w:val="38"/>
        </w:rPr>
        <w:t>Shock</w:t>
      </w:r>
    </w:p>
    <w:p>
      <w:pPr>
        <w:pStyle w:val="ListParagraph"/>
        <w:numPr>
          <w:ilvl w:val="0"/>
          <w:numId w:val="98"/>
        </w:numPr>
        <w:tabs>
          <w:tab w:pos="1036" w:val="left" w:leader="none"/>
          <w:tab w:pos="1037" w:val="left" w:leader="none"/>
        </w:tabs>
        <w:spacing w:line="240" w:lineRule="auto" w:before="184" w:after="0"/>
        <w:ind w:left="1036" w:right="0" w:hanging="360"/>
        <w:jc w:val="left"/>
        <w:rPr>
          <w:sz w:val="38"/>
        </w:rPr>
      </w:pPr>
      <w:r>
        <w:rPr>
          <w:sz w:val="38"/>
        </w:rPr>
        <w:t>Psoriasis</w:t>
      </w:r>
    </w:p>
    <w:p>
      <w:pPr>
        <w:pStyle w:val="ListParagraph"/>
        <w:numPr>
          <w:ilvl w:val="0"/>
          <w:numId w:val="98"/>
        </w:numPr>
        <w:tabs>
          <w:tab w:pos="1036" w:val="left" w:leader="none"/>
          <w:tab w:pos="1037" w:val="left" w:leader="none"/>
        </w:tabs>
        <w:spacing w:line="240" w:lineRule="auto" w:before="184" w:after="0"/>
        <w:ind w:left="1036" w:right="0" w:hanging="360"/>
        <w:jc w:val="left"/>
        <w:rPr>
          <w:sz w:val="38"/>
        </w:rPr>
      </w:pPr>
      <w:r>
        <w:rPr>
          <w:sz w:val="38"/>
        </w:rPr>
        <w:t>Silicosis</w:t>
      </w:r>
    </w:p>
    <w:p>
      <w:pPr>
        <w:pStyle w:val="ListParagraph"/>
        <w:numPr>
          <w:ilvl w:val="0"/>
          <w:numId w:val="98"/>
        </w:numPr>
        <w:tabs>
          <w:tab w:pos="1036" w:val="left" w:leader="none"/>
          <w:tab w:pos="1037" w:val="left" w:leader="none"/>
        </w:tabs>
        <w:spacing w:line="240" w:lineRule="auto" w:before="183" w:after="0"/>
        <w:ind w:left="1036" w:right="0" w:hanging="360"/>
        <w:jc w:val="left"/>
        <w:rPr>
          <w:sz w:val="38"/>
        </w:rPr>
      </w:pPr>
      <w:r>
        <w:rPr>
          <w:sz w:val="38"/>
        </w:rPr>
        <w:t>Scleroderma</w:t>
      </w:r>
    </w:p>
    <w:p>
      <w:pPr>
        <w:pStyle w:val="ListParagraph"/>
        <w:numPr>
          <w:ilvl w:val="0"/>
          <w:numId w:val="98"/>
        </w:numPr>
        <w:tabs>
          <w:tab w:pos="1036" w:val="left" w:leader="none"/>
          <w:tab w:pos="1037" w:val="left" w:leader="none"/>
        </w:tabs>
        <w:spacing w:line="240" w:lineRule="auto" w:before="184" w:after="0"/>
        <w:ind w:left="1036" w:right="0" w:hanging="360"/>
        <w:jc w:val="left"/>
        <w:rPr>
          <w:sz w:val="38"/>
        </w:rPr>
      </w:pPr>
      <w:r>
        <w:rPr>
          <w:sz w:val="38"/>
        </w:rPr>
        <w:t>Sjörgren syndrome</w:t>
      </w:r>
    </w:p>
    <w:p>
      <w:pPr>
        <w:pStyle w:val="ListParagraph"/>
        <w:numPr>
          <w:ilvl w:val="0"/>
          <w:numId w:val="98"/>
        </w:numPr>
        <w:tabs>
          <w:tab w:pos="1036" w:val="left" w:leader="none"/>
          <w:tab w:pos="1037" w:val="left" w:leader="none"/>
        </w:tabs>
        <w:spacing w:line="240" w:lineRule="auto" w:before="186" w:after="0"/>
        <w:ind w:left="1036" w:right="0" w:hanging="360"/>
        <w:jc w:val="left"/>
        <w:rPr>
          <w:sz w:val="38"/>
        </w:rPr>
      </w:pPr>
      <w:r>
        <w:rPr>
          <w:sz w:val="38"/>
        </w:rPr>
        <w:t>Mitochondrial</w:t>
      </w:r>
      <w:r>
        <w:rPr>
          <w:spacing w:val="1"/>
          <w:sz w:val="38"/>
        </w:rPr>
        <w:t> </w:t>
      </w:r>
      <w:r>
        <w:rPr>
          <w:sz w:val="38"/>
        </w:rPr>
        <w:t>disorder</w:t>
      </w:r>
    </w:p>
    <w:p>
      <w:pPr>
        <w:pStyle w:val="ListParagraph"/>
        <w:numPr>
          <w:ilvl w:val="0"/>
          <w:numId w:val="98"/>
        </w:numPr>
        <w:tabs>
          <w:tab w:pos="1036" w:val="left" w:leader="none"/>
          <w:tab w:pos="1037" w:val="left" w:leader="none"/>
        </w:tabs>
        <w:spacing w:line="240" w:lineRule="auto" w:before="184" w:after="0"/>
        <w:ind w:left="1036" w:right="0" w:hanging="360"/>
        <w:jc w:val="left"/>
        <w:rPr>
          <w:sz w:val="38"/>
        </w:rPr>
      </w:pPr>
      <w:r>
        <w:rPr>
          <w:sz w:val="38"/>
        </w:rPr>
        <w:t>General muscle</w:t>
      </w:r>
      <w:r>
        <w:rPr>
          <w:spacing w:val="-1"/>
          <w:sz w:val="38"/>
        </w:rPr>
        <w:t> </w:t>
      </w:r>
      <w:r>
        <w:rPr>
          <w:sz w:val="38"/>
        </w:rPr>
        <w:t>weakness</w:t>
      </w:r>
    </w:p>
    <w:p>
      <w:pPr>
        <w:pStyle w:val="ListParagraph"/>
        <w:numPr>
          <w:ilvl w:val="0"/>
          <w:numId w:val="98"/>
        </w:numPr>
        <w:tabs>
          <w:tab w:pos="1036" w:val="left" w:leader="none"/>
          <w:tab w:pos="1037" w:val="left" w:leader="none"/>
        </w:tabs>
        <w:spacing w:line="240" w:lineRule="auto" w:before="184" w:after="0"/>
        <w:ind w:left="1036" w:right="0" w:hanging="360"/>
        <w:jc w:val="left"/>
        <w:rPr>
          <w:sz w:val="38"/>
        </w:rPr>
      </w:pPr>
      <w:r>
        <w:rPr>
          <w:sz w:val="38"/>
        </w:rPr>
        <w:t>Infertility</w:t>
      </w:r>
    </w:p>
    <w:p>
      <w:pPr>
        <w:pStyle w:val="ListParagraph"/>
        <w:numPr>
          <w:ilvl w:val="0"/>
          <w:numId w:val="98"/>
        </w:numPr>
        <w:tabs>
          <w:tab w:pos="1036" w:val="left" w:leader="none"/>
          <w:tab w:pos="1037" w:val="left" w:leader="none"/>
        </w:tabs>
        <w:spacing w:line="240" w:lineRule="auto" w:before="183" w:after="0"/>
        <w:ind w:left="1036" w:right="0" w:hanging="360"/>
        <w:jc w:val="left"/>
        <w:rPr>
          <w:sz w:val="38"/>
        </w:rPr>
      </w:pPr>
      <w:r>
        <w:rPr>
          <w:sz w:val="38"/>
        </w:rPr>
        <w:t>Miscarriage</w:t>
      </w:r>
    </w:p>
    <w:p>
      <w:pPr>
        <w:pStyle w:val="ListParagraph"/>
        <w:numPr>
          <w:ilvl w:val="0"/>
          <w:numId w:val="98"/>
        </w:numPr>
        <w:tabs>
          <w:tab w:pos="1036" w:val="left" w:leader="none"/>
          <w:tab w:pos="1037" w:val="left" w:leader="none"/>
        </w:tabs>
        <w:spacing w:line="240" w:lineRule="auto" w:before="186" w:after="0"/>
        <w:ind w:left="1036" w:right="0" w:hanging="360"/>
        <w:jc w:val="left"/>
        <w:rPr>
          <w:sz w:val="38"/>
        </w:rPr>
      </w:pPr>
      <w:r>
        <w:rPr>
          <w:sz w:val="38"/>
        </w:rPr>
        <w:t>Coeliac</w:t>
      </w:r>
      <w:r>
        <w:rPr>
          <w:spacing w:val="-2"/>
          <w:sz w:val="38"/>
        </w:rPr>
        <w:t> </w:t>
      </w:r>
      <w:r>
        <w:rPr>
          <w:sz w:val="38"/>
        </w:rPr>
        <w:t>disease</w:t>
      </w:r>
    </w:p>
    <w:p>
      <w:pPr>
        <w:pStyle w:val="ListParagraph"/>
        <w:numPr>
          <w:ilvl w:val="0"/>
          <w:numId w:val="98"/>
        </w:numPr>
        <w:tabs>
          <w:tab w:pos="1036" w:val="left" w:leader="none"/>
          <w:tab w:pos="1037" w:val="left" w:leader="none"/>
        </w:tabs>
        <w:spacing w:line="240" w:lineRule="auto" w:before="184" w:after="0"/>
        <w:ind w:left="1036" w:right="0" w:hanging="360"/>
        <w:jc w:val="left"/>
        <w:rPr>
          <w:sz w:val="38"/>
        </w:rPr>
      </w:pPr>
      <w:r>
        <w:rPr>
          <w:sz w:val="38"/>
        </w:rPr>
        <w:t>Metabolic</w:t>
      </w:r>
      <w:r>
        <w:rPr>
          <w:spacing w:val="-2"/>
          <w:sz w:val="38"/>
        </w:rPr>
        <w:t> </w:t>
      </w:r>
      <w:r>
        <w:rPr>
          <w:sz w:val="38"/>
        </w:rPr>
        <w:t>disorders</w:t>
      </w:r>
    </w:p>
    <w:p>
      <w:pPr>
        <w:pStyle w:val="ListParagraph"/>
        <w:numPr>
          <w:ilvl w:val="0"/>
          <w:numId w:val="98"/>
        </w:numPr>
        <w:tabs>
          <w:tab w:pos="1036" w:val="left" w:leader="none"/>
          <w:tab w:pos="1037" w:val="left" w:leader="none"/>
        </w:tabs>
        <w:spacing w:line="240" w:lineRule="auto" w:before="184" w:after="0"/>
        <w:ind w:left="1036" w:right="0" w:hanging="360"/>
        <w:jc w:val="left"/>
        <w:rPr>
          <w:sz w:val="38"/>
        </w:rPr>
      </w:pPr>
      <w:r>
        <w:rPr>
          <w:sz w:val="38"/>
        </w:rPr>
        <w:t>Syphilis</w:t>
      </w:r>
    </w:p>
    <w:p>
      <w:pPr>
        <w:pStyle w:val="ListParagraph"/>
        <w:numPr>
          <w:ilvl w:val="0"/>
          <w:numId w:val="98"/>
        </w:numPr>
        <w:tabs>
          <w:tab w:pos="1036" w:val="left" w:leader="none"/>
          <w:tab w:pos="1037" w:val="left" w:leader="none"/>
        </w:tabs>
        <w:spacing w:line="240" w:lineRule="auto" w:before="184" w:after="0"/>
        <w:ind w:left="1036" w:right="0" w:hanging="360"/>
        <w:jc w:val="left"/>
        <w:rPr>
          <w:sz w:val="38"/>
        </w:rPr>
      </w:pPr>
      <w:r>
        <w:rPr>
          <w:sz w:val="38"/>
        </w:rPr>
        <w:t>Parkinson’s</w:t>
      </w:r>
      <w:r>
        <w:rPr>
          <w:spacing w:val="1"/>
          <w:sz w:val="38"/>
        </w:rPr>
        <w:t> </w:t>
      </w:r>
      <w:r>
        <w:rPr>
          <w:sz w:val="38"/>
        </w:rPr>
        <w:t>disease</w:t>
      </w:r>
    </w:p>
    <w:p>
      <w:pPr>
        <w:pStyle w:val="ListParagraph"/>
        <w:numPr>
          <w:ilvl w:val="0"/>
          <w:numId w:val="98"/>
        </w:numPr>
        <w:tabs>
          <w:tab w:pos="1036" w:val="left" w:leader="none"/>
          <w:tab w:pos="1037" w:val="left" w:leader="none"/>
        </w:tabs>
        <w:spacing w:line="240" w:lineRule="auto" w:before="183" w:after="0"/>
        <w:ind w:left="1036" w:right="0" w:hanging="360"/>
        <w:jc w:val="left"/>
        <w:rPr>
          <w:sz w:val="38"/>
        </w:rPr>
      </w:pPr>
      <w:r>
        <w:rPr>
          <w:sz w:val="38"/>
        </w:rPr>
        <w:t>Systematic</w:t>
      </w:r>
      <w:r>
        <w:rPr>
          <w:spacing w:val="-1"/>
          <w:sz w:val="38"/>
        </w:rPr>
        <w:t> </w:t>
      </w:r>
      <w:r>
        <w:rPr>
          <w:sz w:val="38"/>
        </w:rPr>
        <w:t>erythematosus</w:t>
      </w:r>
    </w:p>
    <w:p>
      <w:pPr>
        <w:pStyle w:val="ListParagraph"/>
        <w:numPr>
          <w:ilvl w:val="0"/>
          <w:numId w:val="98"/>
        </w:numPr>
        <w:tabs>
          <w:tab w:pos="1036" w:val="left" w:leader="none"/>
          <w:tab w:pos="1037" w:val="left" w:leader="none"/>
        </w:tabs>
        <w:spacing w:line="240" w:lineRule="auto" w:before="186" w:after="0"/>
        <w:ind w:left="1036" w:right="0" w:hanging="360"/>
        <w:jc w:val="left"/>
        <w:rPr>
          <w:sz w:val="38"/>
        </w:rPr>
      </w:pPr>
      <w:r>
        <w:rPr>
          <w:sz w:val="38"/>
        </w:rPr>
        <w:t>Toxic brain damage</w:t>
      </w:r>
    </w:p>
    <w:p>
      <w:pPr>
        <w:pStyle w:val="ListParagraph"/>
        <w:numPr>
          <w:ilvl w:val="0"/>
          <w:numId w:val="98"/>
        </w:numPr>
        <w:tabs>
          <w:tab w:pos="1036" w:val="left" w:leader="none"/>
          <w:tab w:pos="1037" w:val="left" w:leader="none"/>
        </w:tabs>
        <w:spacing w:line="240" w:lineRule="auto" w:before="184" w:after="0"/>
        <w:ind w:left="1036" w:right="0" w:hanging="360"/>
        <w:jc w:val="left"/>
        <w:rPr>
          <w:sz w:val="38"/>
        </w:rPr>
      </w:pPr>
      <w:r>
        <w:rPr>
          <w:sz w:val="38"/>
        </w:rPr>
        <w:t>Tuberculosis</w:t>
      </w:r>
    </w:p>
    <w:p>
      <w:pPr>
        <w:pStyle w:val="ListParagraph"/>
        <w:numPr>
          <w:ilvl w:val="0"/>
          <w:numId w:val="98"/>
        </w:numPr>
        <w:tabs>
          <w:tab w:pos="1036" w:val="left" w:leader="none"/>
          <w:tab w:pos="1037" w:val="left" w:leader="none"/>
        </w:tabs>
        <w:spacing w:line="240" w:lineRule="auto" w:before="184" w:after="0"/>
        <w:ind w:left="1036" w:right="0" w:hanging="360"/>
        <w:jc w:val="left"/>
        <w:rPr>
          <w:sz w:val="38"/>
        </w:rPr>
      </w:pPr>
      <w:r>
        <w:rPr>
          <w:sz w:val="38"/>
        </w:rPr>
        <w:t>Ecotoxic</w:t>
      </w:r>
      <w:r>
        <w:rPr>
          <w:spacing w:val="-1"/>
          <w:sz w:val="38"/>
        </w:rPr>
        <w:t> </w:t>
      </w:r>
      <w:r>
        <w:rPr>
          <w:sz w:val="38"/>
        </w:rPr>
        <w:t>illnesses</w:t>
      </w:r>
    </w:p>
    <w:p>
      <w:pPr>
        <w:pStyle w:val="ListParagraph"/>
        <w:numPr>
          <w:ilvl w:val="0"/>
          <w:numId w:val="98"/>
        </w:numPr>
        <w:tabs>
          <w:tab w:pos="1036" w:val="left" w:leader="none"/>
          <w:tab w:pos="1037" w:val="left" w:leader="none"/>
        </w:tabs>
        <w:spacing w:line="240" w:lineRule="auto" w:before="184" w:after="0"/>
        <w:ind w:left="1036" w:right="0" w:hanging="360"/>
        <w:jc w:val="left"/>
        <w:rPr>
          <w:sz w:val="38"/>
        </w:rPr>
      </w:pPr>
      <w:r>
        <w:rPr>
          <w:sz w:val="38"/>
        </w:rPr>
        <w:t>Infertility</w:t>
      </w:r>
    </w:p>
    <w:p>
      <w:pPr>
        <w:spacing w:after="0" w:line="240" w:lineRule="auto"/>
        <w:jc w:val="left"/>
        <w:rPr>
          <w:sz w:val="38"/>
        </w:rPr>
        <w:sectPr>
          <w:pgSz w:w="14270" w:h="16850"/>
          <w:pgMar w:header="0" w:footer="1891" w:top="1360" w:bottom="2080" w:left="800" w:right="1280"/>
        </w:sectPr>
      </w:pPr>
    </w:p>
    <w:p>
      <w:pPr>
        <w:pStyle w:val="ListParagraph"/>
        <w:numPr>
          <w:ilvl w:val="0"/>
          <w:numId w:val="98"/>
        </w:numPr>
        <w:tabs>
          <w:tab w:pos="1036" w:val="left" w:leader="none"/>
          <w:tab w:pos="1037" w:val="left" w:leader="none"/>
        </w:tabs>
        <w:spacing w:line="240" w:lineRule="auto" w:before="53" w:after="0"/>
        <w:ind w:left="1036" w:right="0" w:hanging="360"/>
        <w:jc w:val="left"/>
        <w:rPr>
          <w:sz w:val="38"/>
        </w:rPr>
      </w:pPr>
      <w:r>
        <w:rPr>
          <w:sz w:val="38"/>
        </w:rPr>
        <w:t>Werner syndrome</w:t>
      </w:r>
    </w:p>
    <w:p>
      <w:pPr>
        <w:pStyle w:val="ListParagraph"/>
        <w:numPr>
          <w:ilvl w:val="0"/>
          <w:numId w:val="98"/>
        </w:numPr>
        <w:tabs>
          <w:tab w:pos="1036" w:val="left" w:leader="none"/>
          <w:tab w:pos="1037" w:val="left" w:leader="none"/>
        </w:tabs>
        <w:spacing w:line="240" w:lineRule="auto" w:before="186" w:after="0"/>
        <w:ind w:left="1036" w:right="0" w:hanging="360"/>
        <w:jc w:val="left"/>
        <w:rPr>
          <w:sz w:val="38"/>
        </w:rPr>
      </w:pPr>
      <w:r>
        <w:rPr>
          <w:sz w:val="38"/>
        </w:rPr>
        <w:t>Wegener's granulomatosis</w:t>
      </w:r>
    </w:p>
    <w:p>
      <w:pPr>
        <w:pStyle w:val="ListParagraph"/>
        <w:numPr>
          <w:ilvl w:val="0"/>
          <w:numId w:val="98"/>
        </w:numPr>
        <w:tabs>
          <w:tab w:pos="1036" w:val="left" w:leader="none"/>
          <w:tab w:pos="1037" w:val="left" w:leader="none"/>
        </w:tabs>
        <w:spacing w:line="240" w:lineRule="auto" w:before="184" w:after="0"/>
        <w:ind w:left="1036" w:right="0" w:hanging="360"/>
        <w:jc w:val="left"/>
        <w:rPr>
          <w:sz w:val="38"/>
        </w:rPr>
      </w:pPr>
      <w:r>
        <w:rPr>
          <w:sz w:val="38"/>
        </w:rPr>
        <w:t>Cystic</w:t>
      </w:r>
      <w:r>
        <w:rPr>
          <w:spacing w:val="-2"/>
          <w:sz w:val="38"/>
        </w:rPr>
        <w:t> </w:t>
      </w:r>
      <w:r>
        <w:rPr>
          <w:sz w:val="38"/>
        </w:rPr>
        <w:t>fibrosis</w:t>
      </w:r>
    </w:p>
    <w:p>
      <w:pPr>
        <w:pStyle w:val="ListParagraph"/>
        <w:numPr>
          <w:ilvl w:val="0"/>
          <w:numId w:val="98"/>
        </w:numPr>
        <w:tabs>
          <w:tab w:pos="1036" w:val="left" w:leader="none"/>
          <w:tab w:pos="1037" w:val="left" w:leader="none"/>
        </w:tabs>
        <w:spacing w:line="273" w:lineRule="auto" w:before="184" w:after="0"/>
        <w:ind w:left="1036" w:right="136" w:hanging="360"/>
        <w:jc w:val="left"/>
        <w:rPr>
          <w:sz w:val="38"/>
        </w:rPr>
      </w:pPr>
      <w:r>
        <w:rPr>
          <w:sz w:val="38"/>
        </w:rPr>
        <w:t>Diabetes</w:t>
      </w:r>
      <w:r>
        <w:rPr>
          <w:spacing w:val="-16"/>
          <w:sz w:val="38"/>
        </w:rPr>
        <w:t> </w:t>
      </w:r>
      <w:r>
        <w:rPr>
          <w:sz w:val="38"/>
        </w:rPr>
        <w:t>(prevention</w:t>
      </w:r>
      <w:r>
        <w:rPr>
          <w:spacing w:val="-17"/>
          <w:sz w:val="38"/>
        </w:rPr>
        <w:t> </w:t>
      </w:r>
      <w:r>
        <w:rPr>
          <w:sz w:val="38"/>
        </w:rPr>
        <w:t>of</w:t>
      </w:r>
      <w:r>
        <w:rPr>
          <w:spacing w:val="-16"/>
          <w:sz w:val="38"/>
        </w:rPr>
        <w:t> </w:t>
      </w:r>
      <w:r>
        <w:rPr>
          <w:sz w:val="38"/>
        </w:rPr>
        <w:t>long-term</w:t>
      </w:r>
      <w:r>
        <w:rPr>
          <w:spacing w:val="-17"/>
          <w:sz w:val="38"/>
        </w:rPr>
        <w:t> </w:t>
      </w:r>
      <w:r>
        <w:rPr>
          <w:sz w:val="38"/>
        </w:rPr>
        <w:t>damage,</w:t>
      </w:r>
      <w:r>
        <w:rPr>
          <w:spacing w:val="-17"/>
          <w:sz w:val="38"/>
        </w:rPr>
        <w:t> </w:t>
      </w:r>
      <w:r>
        <w:rPr>
          <w:sz w:val="38"/>
        </w:rPr>
        <w:t>improvement</w:t>
      </w:r>
      <w:r>
        <w:rPr>
          <w:spacing w:val="-18"/>
          <w:sz w:val="38"/>
        </w:rPr>
        <w:t> </w:t>
      </w:r>
      <w:r>
        <w:rPr>
          <w:sz w:val="38"/>
        </w:rPr>
        <w:t>of</w:t>
      </w:r>
      <w:r>
        <w:rPr>
          <w:spacing w:val="-16"/>
          <w:sz w:val="38"/>
        </w:rPr>
        <w:t> </w:t>
      </w:r>
      <w:r>
        <w:rPr>
          <w:sz w:val="38"/>
        </w:rPr>
        <w:t>blood</w:t>
      </w:r>
      <w:r>
        <w:rPr>
          <w:spacing w:val="-18"/>
          <w:sz w:val="38"/>
        </w:rPr>
        <w:t> </w:t>
      </w:r>
      <w:r>
        <w:rPr>
          <w:sz w:val="38"/>
        </w:rPr>
        <w:t>pressure and blood sugar</w:t>
      </w:r>
      <w:r>
        <w:rPr>
          <w:spacing w:val="2"/>
          <w:sz w:val="38"/>
        </w:rPr>
        <w:t> </w:t>
      </w:r>
      <w:r>
        <w:rPr>
          <w:sz w:val="38"/>
        </w:rPr>
        <w:t>levels)</w:t>
      </w:r>
    </w:p>
    <w:p>
      <w:pPr>
        <w:pStyle w:val="BodyText"/>
        <w:spacing w:line="276" w:lineRule="auto" w:before="245"/>
        <w:ind w:left="616" w:right="137"/>
        <w:jc w:val="both"/>
      </w:pPr>
      <w:r>
        <w:rPr/>
        <w:t>New</w:t>
      </w:r>
      <w:r>
        <w:rPr>
          <w:spacing w:val="-22"/>
        </w:rPr>
        <w:t> </w:t>
      </w:r>
      <w:r>
        <w:rPr/>
        <w:t>research</w:t>
      </w:r>
      <w:r>
        <w:rPr>
          <w:spacing w:val="-20"/>
        </w:rPr>
        <w:t> </w:t>
      </w:r>
      <w:r>
        <w:rPr/>
        <w:t>also</w:t>
      </w:r>
      <w:r>
        <w:rPr>
          <w:spacing w:val="-21"/>
        </w:rPr>
        <w:t> </w:t>
      </w:r>
      <w:r>
        <w:rPr/>
        <w:t>indicates</w:t>
      </w:r>
      <w:r>
        <w:rPr>
          <w:spacing w:val="-20"/>
        </w:rPr>
        <w:t> </w:t>
      </w:r>
      <w:r>
        <w:rPr/>
        <w:t>that</w:t>
      </w:r>
      <w:r>
        <w:rPr>
          <w:spacing w:val="-19"/>
        </w:rPr>
        <w:t> </w:t>
      </w:r>
      <w:r>
        <w:rPr/>
        <w:t>dosages</w:t>
      </w:r>
      <w:r>
        <w:rPr>
          <w:spacing w:val="-20"/>
        </w:rPr>
        <w:t> </w:t>
      </w:r>
      <w:r>
        <w:rPr/>
        <w:t>of</w:t>
      </w:r>
      <w:r>
        <w:rPr>
          <w:spacing w:val="-21"/>
        </w:rPr>
        <w:t> </w:t>
      </w:r>
      <w:r>
        <w:rPr/>
        <w:t>certain</w:t>
      </w:r>
      <w:r>
        <w:rPr>
          <w:spacing w:val="-21"/>
        </w:rPr>
        <w:t> </w:t>
      </w:r>
      <w:r>
        <w:rPr/>
        <w:t>medications</w:t>
      </w:r>
      <w:r>
        <w:rPr>
          <w:spacing w:val="-21"/>
        </w:rPr>
        <w:t> </w:t>
      </w:r>
      <w:r>
        <w:rPr/>
        <w:t>can</w:t>
      </w:r>
      <w:r>
        <w:rPr>
          <w:spacing w:val="-19"/>
        </w:rPr>
        <w:t> </w:t>
      </w:r>
      <w:r>
        <w:rPr/>
        <w:t>be</w:t>
      </w:r>
      <w:r>
        <w:rPr>
          <w:spacing w:val="-21"/>
        </w:rPr>
        <w:t> </w:t>
      </w:r>
      <w:r>
        <w:rPr/>
        <w:t>reduced with an additional administration of Q10, as Q10 increases the positive effect of these medications (definitely clear this with the treating</w:t>
      </w:r>
      <w:r>
        <w:rPr>
          <w:spacing w:val="-2"/>
        </w:rPr>
        <w:t> </w:t>
      </w:r>
      <w:r>
        <w:rPr/>
        <w:t>physician!).</w:t>
      </w:r>
    </w:p>
    <w:p>
      <w:pPr>
        <w:pStyle w:val="BodyText"/>
        <w:spacing w:line="276" w:lineRule="auto" w:before="242"/>
        <w:ind w:left="616" w:right="133"/>
        <w:jc w:val="both"/>
      </w:pPr>
      <w:r>
        <w:rPr/>
        <w:t>Q10</w:t>
      </w:r>
      <w:r>
        <w:rPr>
          <w:spacing w:val="-20"/>
        </w:rPr>
        <w:t> </w:t>
      </w:r>
      <w:r>
        <w:rPr/>
        <w:t>has</w:t>
      </w:r>
      <w:r>
        <w:rPr>
          <w:spacing w:val="-19"/>
        </w:rPr>
        <w:t> </w:t>
      </w:r>
      <w:r>
        <w:rPr/>
        <w:t>also</w:t>
      </w:r>
      <w:r>
        <w:rPr>
          <w:spacing w:val="-18"/>
        </w:rPr>
        <w:t> </w:t>
      </w:r>
      <w:r>
        <w:rPr/>
        <w:t>been</w:t>
      </w:r>
      <w:r>
        <w:rPr>
          <w:spacing w:val="-19"/>
        </w:rPr>
        <w:t> </w:t>
      </w:r>
      <w:r>
        <w:rPr/>
        <w:t>proven</w:t>
      </w:r>
      <w:r>
        <w:rPr>
          <w:spacing w:val="-21"/>
        </w:rPr>
        <w:t> </w:t>
      </w:r>
      <w:r>
        <w:rPr/>
        <w:t>to</w:t>
      </w:r>
      <w:r>
        <w:rPr>
          <w:spacing w:val="-21"/>
        </w:rPr>
        <w:t> </w:t>
      </w:r>
      <w:r>
        <w:rPr/>
        <w:t>be</w:t>
      </w:r>
      <w:r>
        <w:rPr>
          <w:spacing w:val="-20"/>
        </w:rPr>
        <w:t> </w:t>
      </w:r>
      <w:r>
        <w:rPr/>
        <w:t>able</w:t>
      </w:r>
      <w:r>
        <w:rPr>
          <w:spacing w:val="-19"/>
        </w:rPr>
        <w:t> </w:t>
      </w:r>
      <w:r>
        <w:rPr/>
        <w:t>to</w:t>
      </w:r>
      <w:r>
        <w:rPr>
          <w:spacing w:val="-19"/>
        </w:rPr>
        <w:t> </w:t>
      </w:r>
      <w:r>
        <w:rPr/>
        <w:t>simultaneously</w:t>
      </w:r>
      <w:r>
        <w:rPr>
          <w:spacing w:val="-19"/>
        </w:rPr>
        <w:t> </w:t>
      </w:r>
      <w:r>
        <w:rPr/>
        <w:t>reduce</w:t>
      </w:r>
      <w:r>
        <w:rPr>
          <w:spacing w:val="-21"/>
        </w:rPr>
        <w:t> </w:t>
      </w:r>
      <w:r>
        <w:rPr/>
        <w:t>the</w:t>
      </w:r>
      <w:r>
        <w:rPr>
          <w:spacing w:val="-21"/>
        </w:rPr>
        <w:t> </w:t>
      </w:r>
      <w:r>
        <w:rPr/>
        <w:t>negative</w:t>
      </w:r>
      <w:r>
        <w:rPr>
          <w:spacing w:val="-20"/>
        </w:rPr>
        <w:t> </w:t>
      </w:r>
      <w:r>
        <w:rPr/>
        <w:t>side effects of certain medications, e.g. with some chemotherapies, cholesterol-re- ducing medications, and beta</w:t>
      </w:r>
      <w:r>
        <w:rPr>
          <w:spacing w:val="-1"/>
        </w:rPr>
        <w:t> </w:t>
      </w:r>
      <w:r>
        <w:rPr/>
        <w:t>blockers.</w:t>
      </w:r>
    </w:p>
    <w:p>
      <w:pPr>
        <w:pStyle w:val="BodyText"/>
        <w:spacing w:line="278" w:lineRule="auto" w:before="239"/>
        <w:ind w:left="616"/>
      </w:pPr>
      <w:r>
        <w:rPr/>
        <w:t>Unfortunately, many medications intensify cell oxidation; in this case, antioxi- dants</w:t>
      </w:r>
      <w:r>
        <w:rPr>
          <w:spacing w:val="-15"/>
        </w:rPr>
        <w:t> </w:t>
      </w:r>
      <w:r>
        <w:rPr/>
        <w:t>like</w:t>
      </w:r>
      <w:r>
        <w:rPr>
          <w:spacing w:val="-15"/>
        </w:rPr>
        <w:t> </w:t>
      </w:r>
      <w:r>
        <w:rPr/>
        <w:t>Q10,</w:t>
      </w:r>
      <w:r>
        <w:rPr>
          <w:spacing w:val="-12"/>
        </w:rPr>
        <w:t> </w:t>
      </w:r>
      <w:r>
        <w:rPr/>
        <w:t>Vitamin</w:t>
      </w:r>
      <w:r>
        <w:rPr>
          <w:spacing w:val="-12"/>
        </w:rPr>
        <w:t> </w:t>
      </w:r>
      <w:r>
        <w:rPr/>
        <w:t>C,</w:t>
      </w:r>
      <w:r>
        <w:rPr>
          <w:spacing w:val="-16"/>
        </w:rPr>
        <w:t> </w:t>
      </w:r>
      <w:r>
        <w:rPr/>
        <w:t>and</w:t>
      </w:r>
      <w:r>
        <w:rPr>
          <w:spacing w:val="-14"/>
        </w:rPr>
        <w:t> </w:t>
      </w:r>
      <w:r>
        <w:rPr/>
        <w:t>OPC</w:t>
      </w:r>
      <w:r>
        <w:rPr>
          <w:spacing w:val="-16"/>
        </w:rPr>
        <w:t> </w:t>
      </w:r>
      <w:r>
        <w:rPr/>
        <w:t>should</w:t>
      </w:r>
      <w:r>
        <w:rPr>
          <w:spacing w:val="-15"/>
        </w:rPr>
        <w:t> </w:t>
      </w:r>
      <w:r>
        <w:rPr/>
        <w:t>counteract</w:t>
      </w:r>
      <w:r>
        <w:rPr>
          <w:spacing w:val="-15"/>
        </w:rPr>
        <w:t> </w:t>
      </w:r>
      <w:r>
        <w:rPr/>
        <w:t>this</w:t>
      </w:r>
      <w:r>
        <w:rPr>
          <w:spacing w:val="-13"/>
        </w:rPr>
        <w:t> </w:t>
      </w:r>
      <w:r>
        <w:rPr/>
        <w:t>damaging</w:t>
      </w:r>
      <w:r>
        <w:rPr>
          <w:spacing w:val="-15"/>
        </w:rPr>
        <w:t> </w:t>
      </w:r>
      <w:r>
        <w:rPr/>
        <w:t>process.</w:t>
      </w:r>
    </w:p>
    <w:p>
      <w:pPr>
        <w:spacing w:after="0" w:line="278" w:lineRule="auto"/>
        <w:sectPr>
          <w:pgSz w:w="14270" w:h="16850"/>
          <w:pgMar w:header="0" w:footer="1891" w:top="1360" w:bottom="2080" w:left="800" w:right="1280"/>
        </w:sectPr>
      </w:pPr>
    </w:p>
    <w:p>
      <w:pPr>
        <w:pStyle w:val="Heading1"/>
        <w:spacing w:before="77"/>
        <w:ind w:left="616"/>
      </w:pPr>
      <w:r>
        <w:rPr/>
        <w:t>Additional consumption of Q10 is also especially indicated for:</w:t>
      </w:r>
    </w:p>
    <w:p>
      <w:pPr>
        <w:pStyle w:val="ListParagraph"/>
        <w:numPr>
          <w:ilvl w:val="0"/>
          <w:numId w:val="98"/>
        </w:numPr>
        <w:tabs>
          <w:tab w:pos="1037" w:val="left" w:leader="none"/>
        </w:tabs>
        <w:spacing w:line="273" w:lineRule="auto" w:before="260" w:after="0"/>
        <w:ind w:left="1041" w:right="137" w:hanging="425"/>
        <w:jc w:val="both"/>
        <w:rPr>
          <w:sz w:val="38"/>
        </w:rPr>
      </w:pPr>
      <w:r>
        <w:rPr>
          <w:sz w:val="38"/>
        </w:rPr>
        <w:t>unbalanced or limited nutrition during diets, fasts and similar, as the result- ing</w:t>
      </w:r>
      <w:r>
        <w:rPr>
          <w:spacing w:val="-23"/>
          <w:sz w:val="38"/>
        </w:rPr>
        <w:t> </w:t>
      </w:r>
      <w:r>
        <w:rPr>
          <w:sz w:val="38"/>
        </w:rPr>
        <w:t>nutrition</w:t>
      </w:r>
      <w:r>
        <w:rPr>
          <w:spacing w:val="-23"/>
          <w:sz w:val="38"/>
        </w:rPr>
        <w:t> </w:t>
      </w:r>
      <w:r>
        <w:rPr>
          <w:sz w:val="38"/>
        </w:rPr>
        <w:t>deficiencies</w:t>
      </w:r>
      <w:r>
        <w:rPr>
          <w:spacing w:val="-23"/>
          <w:sz w:val="38"/>
        </w:rPr>
        <w:t> </w:t>
      </w:r>
      <w:r>
        <w:rPr>
          <w:sz w:val="38"/>
        </w:rPr>
        <w:t>also</w:t>
      </w:r>
      <w:r>
        <w:rPr>
          <w:spacing w:val="-22"/>
          <w:sz w:val="38"/>
        </w:rPr>
        <w:t> </w:t>
      </w:r>
      <w:r>
        <w:rPr>
          <w:sz w:val="38"/>
        </w:rPr>
        <w:t>lead</w:t>
      </w:r>
      <w:r>
        <w:rPr>
          <w:spacing w:val="-25"/>
          <w:sz w:val="38"/>
        </w:rPr>
        <w:t> </w:t>
      </w:r>
      <w:r>
        <w:rPr>
          <w:sz w:val="38"/>
        </w:rPr>
        <w:t>to</w:t>
      </w:r>
      <w:r>
        <w:rPr>
          <w:spacing w:val="-23"/>
          <w:sz w:val="38"/>
        </w:rPr>
        <w:t> </w:t>
      </w:r>
      <w:r>
        <w:rPr>
          <w:sz w:val="38"/>
        </w:rPr>
        <w:t>a</w:t>
      </w:r>
      <w:r>
        <w:rPr>
          <w:spacing w:val="-24"/>
          <w:sz w:val="38"/>
        </w:rPr>
        <w:t> </w:t>
      </w:r>
      <w:r>
        <w:rPr>
          <w:sz w:val="38"/>
        </w:rPr>
        <w:t>Q10</w:t>
      </w:r>
      <w:r>
        <w:rPr>
          <w:spacing w:val="-26"/>
          <w:sz w:val="38"/>
        </w:rPr>
        <w:t> </w:t>
      </w:r>
      <w:r>
        <w:rPr>
          <w:sz w:val="38"/>
        </w:rPr>
        <w:t>deficiency</w:t>
      </w:r>
      <w:r>
        <w:rPr>
          <w:spacing w:val="-23"/>
          <w:sz w:val="38"/>
        </w:rPr>
        <w:t> </w:t>
      </w:r>
      <w:r>
        <w:rPr>
          <w:sz w:val="38"/>
        </w:rPr>
        <w:t>and</w:t>
      </w:r>
      <w:r>
        <w:rPr>
          <w:spacing w:val="-23"/>
          <w:sz w:val="38"/>
        </w:rPr>
        <w:t> </w:t>
      </w:r>
      <w:r>
        <w:rPr>
          <w:sz w:val="38"/>
        </w:rPr>
        <w:t>thus</w:t>
      </w:r>
      <w:r>
        <w:rPr>
          <w:spacing w:val="-23"/>
          <w:sz w:val="38"/>
        </w:rPr>
        <w:t> </w:t>
      </w:r>
      <w:r>
        <w:rPr>
          <w:sz w:val="38"/>
        </w:rPr>
        <w:t>to</w:t>
      </w:r>
      <w:r>
        <w:rPr>
          <w:spacing w:val="-23"/>
          <w:sz w:val="38"/>
        </w:rPr>
        <w:t> </w:t>
      </w:r>
      <w:r>
        <w:rPr>
          <w:sz w:val="38"/>
        </w:rPr>
        <w:t>a</w:t>
      </w:r>
      <w:r>
        <w:rPr>
          <w:spacing w:val="-27"/>
          <w:sz w:val="38"/>
        </w:rPr>
        <w:t> </w:t>
      </w:r>
      <w:r>
        <w:rPr>
          <w:sz w:val="38"/>
        </w:rPr>
        <w:t>decrease in performance and susceptibility to illnesses;</w:t>
      </w:r>
    </w:p>
    <w:p>
      <w:pPr>
        <w:pStyle w:val="ListParagraph"/>
        <w:numPr>
          <w:ilvl w:val="0"/>
          <w:numId w:val="98"/>
        </w:numPr>
        <w:tabs>
          <w:tab w:pos="1037" w:val="left" w:leader="none"/>
        </w:tabs>
        <w:spacing w:line="276" w:lineRule="auto" w:before="129" w:after="0"/>
        <w:ind w:left="1041" w:right="135" w:hanging="425"/>
        <w:jc w:val="both"/>
        <w:rPr>
          <w:sz w:val="38"/>
        </w:rPr>
      </w:pPr>
      <w:r>
        <w:rPr>
          <w:sz w:val="38"/>
        </w:rPr>
        <w:t>competitive athletes, especially strength and endurance athletes, as a great amount</w:t>
      </w:r>
      <w:r>
        <w:rPr>
          <w:spacing w:val="-10"/>
          <w:sz w:val="38"/>
        </w:rPr>
        <w:t> </w:t>
      </w:r>
      <w:r>
        <w:rPr>
          <w:sz w:val="38"/>
        </w:rPr>
        <w:t>of</w:t>
      </w:r>
      <w:r>
        <w:rPr>
          <w:spacing w:val="-9"/>
          <w:sz w:val="38"/>
        </w:rPr>
        <w:t> </w:t>
      </w:r>
      <w:r>
        <w:rPr>
          <w:sz w:val="38"/>
        </w:rPr>
        <w:t>Q10</w:t>
      </w:r>
      <w:r>
        <w:rPr>
          <w:spacing w:val="-11"/>
          <w:sz w:val="38"/>
        </w:rPr>
        <w:t> </w:t>
      </w:r>
      <w:r>
        <w:rPr>
          <w:sz w:val="38"/>
        </w:rPr>
        <w:t>is</w:t>
      </w:r>
      <w:r>
        <w:rPr>
          <w:spacing w:val="-9"/>
          <w:sz w:val="38"/>
        </w:rPr>
        <w:t> </w:t>
      </w:r>
      <w:r>
        <w:rPr>
          <w:sz w:val="38"/>
        </w:rPr>
        <w:t>consumed</w:t>
      </w:r>
      <w:r>
        <w:rPr>
          <w:spacing w:val="-10"/>
          <w:sz w:val="38"/>
        </w:rPr>
        <w:t> </w:t>
      </w:r>
      <w:r>
        <w:rPr>
          <w:sz w:val="38"/>
        </w:rPr>
        <w:t>for</w:t>
      </w:r>
      <w:r>
        <w:rPr>
          <w:spacing w:val="-13"/>
          <w:sz w:val="38"/>
        </w:rPr>
        <w:t> </w:t>
      </w:r>
      <w:r>
        <w:rPr>
          <w:sz w:val="38"/>
        </w:rPr>
        <w:t>muscle</w:t>
      </w:r>
      <w:r>
        <w:rPr>
          <w:spacing w:val="-9"/>
          <w:sz w:val="38"/>
        </w:rPr>
        <w:t> </w:t>
      </w:r>
      <w:r>
        <w:rPr>
          <w:sz w:val="38"/>
        </w:rPr>
        <w:t>and</w:t>
      </w:r>
      <w:r>
        <w:rPr>
          <w:spacing w:val="-9"/>
          <w:sz w:val="38"/>
        </w:rPr>
        <w:t> </w:t>
      </w:r>
      <w:r>
        <w:rPr>
          <w:sz w:val="38"/>
        </w:rPr>
        <w:t>heart</w:t>
      </w:r>
      <w:r>
        <w:rPr>
          <w:spacing w:val="-11"/>
          <w:sz w:val="38"/>
        </w:rPr>
        <w:t> </w:t>
      </w:r>
      <w:r>
        <w:rPr>
          <w:sz w:val="38"/>
        </w:rPr>
        <w:t>work</w:t>
      </w:r>
      <w:r>
        <w:rPr>
          <w:spacing w:val="-9"/>
          <w:sz w:val="38"/>
        </w:rPr>
        <w:t> </w:t>
      </w:r>
      <w:r>
        <w:rPr>
          <w:sz w:val="38"/>
        </w:rPr>
        <w:t>during</w:t>
      </w:r>
      <w:r>
        <w:rPr>
          <w:spacing w:val="-9"/>
          <w:sz w:val="38"/>
        </w:rPr>
        <w:t> </w:t>
      </w:r>
      <w:r>
        <w:rPr>
          <w:sz w:val="38"/>
        </w:rPr>
        <w:t>training</w:t>
      </w:r>
      <w:r>
        <w:rPr>
          <w:spacing w:val="-10"/>
          <w:sz w:val="38"/>
        </w:rPr>
        <w:t> </w:t>
      </w:r>
      <w:r>
        <w:rPr>
          <w:sz w:val="38"/>
        </w:rPr>
        <w:t>and competition,</w:t>
      </w:r>
      <w:r>
        <w:rPr>
          <w:spacing w:val="-9"/>
          <w:sz w:val="38"/>
        </w:rPr>
        <w:t> </w:t>
      </w:r>
      <w:r>
        <w:rPr>
          <w:sz w:val="38"/>
        </w:rPr>
        <w:t>and</w:t>
      </w:r>
      <w:r>
        <w:rPr>
          <w:spacing w:val="-10"/>
          <w:sz w:val="38"/>
        </w:rPr>
        <w:t> </w:t>
      </w:r>
      <w:r>
        <w:rPr>
          <w:sz w:val="38"/>
        </w:rPr>
        <w:t>must</w:t>
      </w:r>
      <w:r>
        <w:rPr>
          <w:spacing w:val="-10"/>
          <w:sz w:val="38"/>
        </w:rPr>
        <w:t> </w:t>
      </w:r>
      <w:r>
        <w:rPr>
          <w:sz w:val="38"/>
        </w:rPr>
        <w:t>be</w:t>
      </w:r>
      <w:r>
        <w:rPr>
          <w:spacing w:val="-11"/>
          <w:sz w:val="38"/>
        </w:rPr>
        <w:t> </w:t>
      </w:r>
      <w:r>
        <w:rPr>
          <w:sz w:val="38"/>
        </w:rPr>
        <w:t>replenished.</w:t>
      </w:r>
      <w:r>
        <w:rPr>
          <w:spacing w:val="-9"/>
          <w:sz w:val="38"/>
        </w:rPr>
        <w:t> </w:t>
      </w:r>
      <w:r>
        <w:rPr>
          <w:sz w:val="38"/>
        </w:rPr>
        <w:t>It</w:t>
      </w:r>
      <w:r>
        <w:rPr>
          <w:spacing w:val="-12"/>
          <w:sz w:val="38"/>
        </w:rPr>
        <w:t> </w:t>
      </w:r>
      <w:r>
        <w:rPr>
          <w:sz w:val="38"/>
        </w:rPr>
        <w:t>is</w:t>
      </w:r>
      <w:r>
        <w:rPr>
          <w:spacing w:val="-12"/>
          <w:sz w:val="38"/>
        </w:rPr>
        <w:t> </w:t>
      </w:r>
      <w:r>
        <w:rPr>
          <w:sz w:val="38"/>
        </w:rPr>
        <w:t>no</w:t>
      </w:r>
      <w:r>
        <w:rPr>
          <w:spacing w:val="-10"/>
          <w:sz w:val="38"/>
        </w:rPr>
        <w:t> </w:t>
      </w:r>
      <w:r>
        <w:rPr>
          <w:sz w:val="38"/>
        </w:rPr>
        <w:t>wonder,</w:t>
      </w:r>
      <w:r>
        <w:rPr>
          <w:spacing w:val="-10"/>
          <w:sz w:val="38"/>
        </w:rPr>
        <w:t> </w:t>
      </w:r>
      <w:r>
        <w:rPr>
          <w:sz w:val="38"/>
        </w:rPr>
        <w:t>then,</w:t>
      </w:r>
      <w:r>
        <w:rPr>
          <w:spacing w:val="-11"/>
          <w:sz w:val="38"/>
        </w:rPr>
        <w:t> </w:t>
      </w:r>
      <w:r>
        <w:rPr>
          <w:sz w:val="38"/>
        </w:rPr>
        <w:t>that</w:t>
      </w:r>
      <w:r>
        <w:rPr>
          <w:spacing w:val="-12"/>
          <w:sz w:val="38"/>
        </w:rPr>
        <w:t> </w:t>
      </w:r>
      <w:r>
        <w:rPr>
          <w:sz w:val="38"/>
        </w:rPr>
        <w:t>American Olympic</w:t>
      </w:r>
      <w:r>
        <w:rPr>
          <w:spacing w:val="-16"/>
          <w:sz w:val="38"/>
        </w:rPr>
        <w:t> </w:t>
      </w:r>
      <w:r>
        <w:rPr>
          <w:sz w:val="38"/>
        </w:rPr>
        <w:t>athletes</w:t>
      </w:r>
      <w:r>
        <w:rPr>
          <w:spacing w:val="-13"/>
          <w:sz w:val="38"/>
        </w:rPr>
        <w:t> </w:t>
      </w:r>
      <w:r>
        <w:rPr>
          <w:sz w:val="38"/>
        </w:rPr>
        <w:t>are</w:t>
      </w:r>
      <w:r>
        <w:rPr>
          <w:spacing w:val="-14"/>
          <w:sz w:val="38"/>
        </w:rPr>
        <w:t> </w:t>
      </w:r>
      <w:r>
        <w:rPr>
          <w:sz w:val="38"/>
        </w:rPr>
        <w:t>typically</w:t>
      </w:r>
      <w:r>
        <w:rPr>
          <w:spacing w:val="-15"/>
          <w:sz w:val="38"/>
        </w:rPr>
        <w:t> </w:t>
      </w:r>
      <w:r>
        <w:rPr>
          <w:sz w:val="38"/>
        </w:rPr>
        <w:t>provided</w:t>
      </w:r>
      <w:r>
        <w:rPr>
          <w:spacing w:val="-14"/>
          <w:sz w:val="38"/>
        </w:rPr>
        <w:t> </w:t>
      </w:r>
      <w:r>
        <w:rPr>
          <w:sz w:val="38"/>
        </w:rPr>
        <w:t>with</w:t>
      </w:r>
      <w:r>
        <w:rPr>
          <w:spacing w:val="-14"/>
          <w:sz w:val="38"/>
        </w:rPr>
        <w:t> </w:t>
      </w:r>
      <w:r>
        <w:rPr>
          <w:sz w:val="38"/>
        </w:rPr>
        <w:t>Q10.</w:t>
      </w:r>
      <w:r>
        <w:rPr>
          <w:spacing w:val="-14"/>
          <w:sz w:val="38"/>
        </w:rPr>
        <w:t> </w:t>
      </w:r>
      <w:r>
        <w:rPr>
          <w:sz w:val="38"/>
        </w:rPr>
        <w:t>In</w:t>
      </w:r>
      <w:r>
        <w:rPr>
          <w:spacing w:val="-15"/>
          <w:sz w:val="38"/>
        </w:rPr>
        <w:t> </w:t>
      </w:r>
      <w:r>
        <w:rPr>
          <w:sz w:val="38"/>
        </w:rPr>
        <w:t>addition,</w:t>
      </w:r>
      <w:r>
        <w:rPr>
          <w:spacing w:val="-13"/>
          <w:sz w:val="38"/>
        </w:rPr>
        <w:t> </w:t>
      </w:r>
      <w:r>
        <w:rPr>
          <w:sz w:val="38"/>
        </w:rPr>
        <w:t>the</w:t>
      </w:r>
      <w:r>
        <w:rPr>
          <w:spacing w:val="-13"/>
          <w:sz w:val="38"/>
        </w:rPr>
        <w:t> </w:t>
      </w:r>
      <w:r>
        <w:rPr>
          <w:sz w:val="38"/>
        </w:rPr>
        <w:t>increased oxygen consumption in the body of the athlete strengthens free radicals which</w:t>
      </w:r>
      <w:r>
        <w:rPr>
          <w:spacing w:val="-18"/>
          <w:sz w:val="38"/>
        </w:rPr>
        <w:t> </w:t>
      </w:r>
      <w:r>
        <w:rPr>
          <w:sz w:val="38"/>
        </w:rPr>
        <w:t>attack</w:t>
      </w:r>
      <w:r>
        <w:rPr>
          <w:spacing w:val="-19"/>
          <w:sz w:val="38"/>
        </w:rPr>
        <w:t> </w:t>
      </w:r>
      <w:r>
        <w:rPr>
          <w:sz w:val="38"/>
        </w:rPr>
        <w:t>the</w:t>
      </w:r>
      <w:r>
        <w:rPr>
          <w:spacing w:val="-15"/>
          <w:sz w:val="38"/>
        </w:rPr>
        <w:t> </w:t>
      </w:r>
      <w:r>
        <w:rPr>
          <w:sz w:val="38"/>
        </w:rPr>
        <w:t>cells</w:t>
      </w:r>
      <w:r>
        <w:rPr>
          <w:spacing w:val="-21"/>
          <w:sz w:val="38"/>
        </w:rPr>
        <w:t> </w:t>
      </w:r>
      <w:r>
        <w:rPr>
          <w:sz w:val="38"/>
        </w:rPr>
        <w:t>–</w:t>
      </w:r>
      <w:r>
        <w:rPr>
          <w:spacing w:val="-19"/>
          <w:sz w:val="38"/>
        </w:rPr>
        <w:t> </w:t>
      </w:r>
      <w:r>
        <w:rPr>
          <w:sz w:val="38"/>
        </w:rPr>
        <w:t>in</w:t>
      </w:r>
      <w:r>
        <w:rPr>
          <w:spacing w:val="-19"/>
          <w:sz w:val="38"/>
        </w:rPr>
        <w:t> </w:t>
      </w:r>
      <w:r>
        <w:rPr>
          <w:sz w:val="38"/>
        </w:rPr>
        <w:t>this</w:t>
      </w:r>
      <w:r>
        <w:rPr>
          <w:spacing w:val="-17"/>
          <w:sz w:val="38"/>
        </w:rPr>
        <w:t> </w:t>
      </w:r>
      <w:r>
        <w:rPr>
          <w:sz w:val="38"/>
        </w:rPr>
        <w:t>case</w:t>
      </w:r>
      <w:r>
        <w:rPr>
          <w:spacing w:val="-18"/>
          <w:sz w:val="38"/>
        </w:rPr>
        <w:t> </w:t>
      </w:r>
      <w:r>
        <w:rPr>
          <w:sz w:val="38"/>
        </w:rPr>
        <w:t>we</w:t>
      </w:r>
      <w:r>
        <w:rPr>
          <w:spacing w:val="-20"/>
          <w:sz w:val="38"/>
        </w:rPr>
        <w:t> </w:t>
      </w:r>
      <w:r>
        <w:rPr>
          <w:sz w:val="38"/>
        </w:rPr>
        <w:t>need</w:t>
      </w:r>
      <w:r>
        <w:rPr>
          <w:spacing w:val="-17"/>
          <w:sz w:val="38"/>
        </w:rPr>
        <w:t> </w:t>
      </w:r>
      <w:r>
        <w:rPr>
          <w:sz w:val="38"/>
        </w:rPr>
        <w:t>to</w:t>
      </w:r>
      <w:r>
        <w:rPr>
          <w:spacing w:val="-18"/>
          <w:sz w:val="38"/>
        </w:rPr>
        <w:t> </w:t>
      </w:r>
      <w:r>
        <w:rPr>
          <w:sz w:val="38"/>
        </w:rPr>
        <w:t>rely</w:t>
      </w:r>
      <w:r>
        <w:rPr>
          <w:spacing w:val="-22"/>
          <w:sz w:val="38"/>
        </w:rPr>
        <w:t> </w:t>
      </w:r>
      <w:r>
        <w:rPr>
          <w:sz w:val="38"/>
        </w:rPr>
        <w:t>on</w:t>
      </w:r>
      <w:r>
        <w:rPr>
          <w:spacing w:val="-17"/>
          <w:sz w:val="38"/>
        </w:rPr>
        <w:t> </w:t>
      </w:r>
      <w:r>
        <w:rPr>
          <w:sz w:val="38"/>
        </w:rPr>
        <w:t>antioxidants</w:t>
      </w:r>
      <w:r>
        <w:rPr>
          <w:spacing w:val="-19"/>
          <w:sz w:val="38"/>
        </w:rPr>
        <w:t> </w:t>
      </w:r>
      <w:r>
        <w:rPr>
          <w:sz w:val="38"/>
        </w:rPr>
        <w:t>like</w:t>
      </w:r>
      <w:r>
        <w:rPr>
          <w:spacing w:val="-20"/>
          <w:sz w:val="38"/>
        </w:rPr>
        <w:t> </w:t>
      </w:r>
      <w:r>
        <w:rPr>
          <w:sz w:val="38"/>
        </w:rPr>
        <w:t>Q10, OPC, and Vitamin C to prevent this damaging</w:t>
      </w:r>
      <w:r>
        <w:rPr>
          <w:spacing w:val="-1"/>
          <w:sz w:val="38"/>
        </w:rPr>
        <w:t> </w:t>
      </w:r>
      <w:r>
        <w:rPr>
          <w:sz w:val="38"/>
        </w:rPr>
        <w:t>mechanism;</w:t>
      </w:r>
    </w:p>
    <w:p>
      <w:pPr>
        <w:pStyle w:val="ListParagraph"/>
        <w:numPr>
          <w:ilvl w:val="0"/>
          <w:numId w:val="98"/>
        </w:numPr>
        <w:tabs>
          <w:tab w:pos="1037" w:val="left" w:leader="none"/>
        </w:tabs>
        <w:spacing w:line="273" w:lineRule="auto" w:before="121" w:after="0"/>
        <w:ind w:left="1041" w:right="140" w:hanging="425"/>
        <w:jc w:val="both"/>
        <w:rPr>
          <w:sz w:val="38"/>
        </w:rPr>
      </w:pPr>
      <w:r>
        <w:rPr>
          <w:sz w:val="38"/>
        </w:rPr>
        <w:t>Alcoholism</w:t>
      </w:r>
      <w:r>
        <w:rPr>
          <w:spacing w:val="-14"/>
          <w:sz w:val="38"/>
        </w:rPr>
        <w:t> </w:t>
      </w:r>
      <w:r>
        <w:rPr>
          <w:sz w:val="38"/>
        </w:rPr>
        <w:t>damages</w:t>
      </w:r>
      <w:r>
        <w:rPr>
          <w:spacing w:val="-15"/>
          <w:sz w:val="38"/>
        </w:rPr>
        <w:t> </w:t>
      </w:r>
      <w:r>
        <w:rPr>
          <w:sz w:val="38"/>
        </w:rPr>
        <w:t>the</w:t>
      </w:r>
      <w:r>
        <w:rPr>
          <w:spacing w:val="-17"/>
          <w:sz w:val="38"/>
        </w:rPr>
        <w:t> </w:t>
      </w:r>
      <w:r>
        <w:rPr>
          <w:sz w:val="38"/>
        </w:rPr>
        <w:t>liver</w:t>
      </w:r>
      <w:r>
        <w:rPr>
          <w:spacing w:val="-14"/>
          <w:sz w:val="38"/>
        </w:rPr>
        <w:t> </w:t>
      </w:r>
      <w:r>
        <w:rPr>
          <w:sz w:val="38"/>
        </w:rPr>
        <w:t>and</w:t>
      </w:r>
      <w:r>
        <w:rPr>
          <w:spacing w:val="-15"/>
          <w:sz w:val="38"/>
        </w:rPr>
        <w:t> </w:t>
      </w:r>
      <w:r>
        <w:rPr>
          <w:sz w:val="38"/>
        </w:rPr>
        <w:t>the</w:t>
      </w:r>
      <w:r>
        <w:rPr>
          <w:spacing w:val="-17"/>
          <w:sz w:val="38"/>
        </w:rPr>
        <w:t> </w:t>
      </w:r>
      <w:r>
        <w:rPr>
          <w:sz w:val="38"/>
        </w:rPr>
        <w:t>heart;</w:t>
      </w:r>
      <w:r>
        <w:rPr>
          <w:spacing w:val="-16"/>
          <w:sz w:val="38"/>
        </w:rPr>
        <w:t> </w:t>
      </w:r>
      <w:r>
        <w:rPr>
          <w:sz w:val="38"/>
        </w:rPr>
        <w:t>here,</w:t>
      </w:r>
      <w:r>
        <w:rPr>
          <w:spacing w:val="-17"/>
          <w:sz w:val="38"/>
        </w:rPr>
        <w:t> </w:t>
      </w:r>
      <w:r>
        <w:rPr>
          <w:sz w:val="38"/>
        </w:rPr>
        <w:t>Q10</w:t>
      </w:r>
      <w:r>
        <w:rPr>
          <w:spacing w:val="-16"/>
          <w:sz w:val="38"/>
        </w:rPr>
        <w:t> </w:t>
      </w:r>
      <w:r>
        <w:rPr>
          <w:sz w:val="38"/>
        </w:rPr>
        <w:t>can</w:t>
      </w:r>
      <w:r>
        <w:rPr>
          <w:spacing w:val="-16"/>
          <w:sz w:val="38"/>
        </w:rPr>
        <w:t> </w:t>
      </w:r>
      <w:r>
        <w:rPr>
          <w:sz w:val="38"/>
        </w:rPr>
        <w:t>introduce</w:t>
      </w:r>
      <w:r>
        <w:rPr>
          <w:spacing w:val="-16"/>
          <w:sz w:val="38"/>
        </w:rPr>
        <w:t> </w:t>
      </w:r>
      <w:r>
        <w:rPr>
          <w:sz w:val="38"/>
        </w:rPr>
        <w:t>detox- ifying processes and help these organs</w:t>
      </w:r>
      <w:r>
        <w:rPr>
          <w:spacing w:val="-3"/>
          <w:sz w:val="38"/>
        </w:rPr>
        <w:t> </w:t>
      </w:r>
      <w:r>
        <w:rPr>
          <w:sz w:val="38"/>
        </w:rPr>
        <w:t>regenerate;</w:t>
      </w:r>
    </w:p>
    <w:p>
      <w:pPr>
        <w:pStyle w:val="ListParagraph"/>
        <w:numPr>
          <w:ilvl w:val="0"/>
          <w:numId w:val="98"/>
        </w:numPr>
        <w:tabs>
          <w:tab w:pos="1037" w:val="left" w:leader="none"/>
        </w:tabs>
        <w:spacing w:line="273" w:lineRule="auto" w:before="128" w:after="0"/>
        <w:ind w:left="1041" w:right="134" w:hanging="425"/>
        <w:jc w:val="both"/>
        <w:rPr>
          <w:sz w:val="38"/>
        </w:rPr>
      </w:pPr>
      <w:r>
        <w:rPr>
          <w:sz w:val="38"/>
        </w:rPr>
        <w:t>Patients who are receiving chemotherapy, as many chemotherapies</w:t>
      </w:r>
      <w:r>
        <w:rPr>
          <w:spacing w:val="-56"/>
          <w:sz w:val="38"/>
        </w:rPr>
        <w:t> </w:t>
      </w:r>
      <w:r>
        <w:rPr>
          <w:sz w:val="38"/>
        </w:rPr>
        <w:t>damage the</w:t>
      </w:r>
      <w:r>
        <w:rPr>
          <w:spacing w:val="-6"/>
          <w:sz w:val="38"/>
        </w:rPr>
        <w:t> </w:t>
      </w:r>
      <w:r>
        <w:rPr>
          <w:sz w:val="38"/>
        </w:rPr>
        <w:t>heart</w:t>
      </w:r>
      <w:r>
        <w:rPr>
          <w:spacing w:val="-7"/>
          <w:sz w:val="38"/>
        </w:rPr>
        <w:t> </w:t>
      </w:r>
      <w:r>
        <w:rPr>
          <w:sz w:val="38"/>
        </w:rPr>
        <w:t>and</w:t>
      </w:r>
      <w:r>
        <w:rPr>
          <w:spacing w:val="-9"/>
          <w:sz w:val="38"/>
        </w:rPr>
        <w:t> </w:t>
      </w:r>
      <w:r>
        <w:rPr>
          <w:sz w:val="38"/>
        </w:rPr>
        <w:t>restrict</w:t>
      </w:r>
      <w:r>
        <w:rPr>
          <w:spacing w:val="-7"/>
          <w:sz w:val="38"/>
        </w:rPr>
        <w:t> </w:t>
      </w:r>
      <w:r>
        <w:rPr>
          <w:sz w:val="38"/>
        </w:rPr>
        <w:t>heart</w:t>
      </w:r>
      <w:r>
        <w:rPr>
          <w:spacing w:val="-7"/>
          <w:sz w:val="38"/>
        </w:rPr>
        <w:t> </w:t>
      </w:r>
      <w:r>
        <w:rPr>
          <w:sz w:val="38"/>
        </w:rPr>
        <w:t>function.</w:t>
      </w:r>
      <w:r>
        <w:rPr>
          <w:spacing w:val="-6"/>
          <w:sz w:val="38"/>
        </w:rPr>
        <w:t> </w:t>
      </w:r>
      <w:r>
        <w:rPr>
          <w:sz w:val="38"/>
        </w:rPr>
        <w:t>Q10</w:t>
      </w:r>
      <w:r>
        <w:rPr>
          <w:spacing w:val="-7"/>
          <w:sz w:val="38"/>
        </w:rPr>
        <w:t> </w:t>
      </w:r>
      <w:r>
        <w:rPr>
          <w:sz w:val="38"/>
        </w:rPr>
        <w:t>can</w:t>
      </w:r>
      <w:r>
        <w:rPr>
          <w:spacing w:val="-8"/>
          <w:sz w:val="38"/>
        </w:rPr>
        <w:t> </w:t>
      </w:r>
      <w:r>
        <w:rPr>
          <w:sz w:val="38"/>
        </w:rPr>
        <w:t>counteract</w:t>
      </w:r>
      <w:r>
        <w:rPr>
          <w:spacing w:val="-7"/>
          <w:sz w:val="38"/>
        </w:rPr>
        <w:t> </w:t>
      </w:r>
      <w:r>
        <w:rPr>
          <w:sz w:val="38"/>
        </w:rPr>
        <w:t>this</w:t>
      </w:r>
      <w:r>
        <w:rPr>
          <w:spacing w:val="-6"/>
          <w:sz w:val="38"/>
        </w:rPr>
        <w:t> </w:t>
      </w:r>
      <w:r>
        <w:rPr>
          <w:sz w:val="38"/>
        </w:rPr>
        <w:t>and</w:t>
      </w:r>
      <w:r>
        <w:rPr>
          <w:spacing w:val="-9"/>
          <w:sz w:val="38"/>
        </w:rPr>
        <w:t> </w:t>
      </w:r>
      <w:r>
        <w:rPr>
          <w:sz w:val="38"/>
        </w:rPr>
        <w:t>repair</w:t>
      </w:r>
      <w:r>
        <w:rPr>
          <w:spacing w:val="-6"/>
          <w:sz w:val="38"/>
        </w:rPr>
        <w:t> </w:t>
      </w:r>
      <w:r>
        <w:rPr>
          <w:sz w:val="38"/>
        </w:rPr>
        <w:t>the damage.</w:t>
      </w:r>
    </w:p>
    <w:p>
      <w:pPr>
        <w:pStyle w:val="ListParagraph"/>
        <w:numPr>
          <w:ilvl w:val="0"/>
          <w:numId w:val="98"/>
        </w:numPr>
        <w:tabs>
          <w:tab w:pos="1037" w:val="left" w:leader="none"/>
        </w:tabs>
        <w:spacing w:line="273" w:lineRule="auto" w:before="131" w:after="0"/>
        <w:ind w:left="1041" w:right="132" w:hanging="425"/>
        <w:jc w:val="both"/>
        <w:rPr>
          <w:sz w:val="38"/>
        </w:rPr>
      </w:pPr>
      <w:r>
        <w:rPr>
          <w:sz w:val="38"/>
        </w:rPr>
        <w:t>People</w:t>
      </w:r>
      <w:r>
        <w:rPr>
          <w:spacing w:val="-10"/>
          <w:sz w:val="38"/>
        </w:rPr>
        <w:t> </w:t>
      </w:r>
      <w:r>
        <w:rPr>
          <w:sz w:val="38"/>
        </w:rPr>
        <w:t>who</w:t>
      </w:r>
      <w:r>
        <w:rPr>
          <w:spacing w:val="-11"/>
          <w:sz w:val="38"/>
        </w:rPr>
        <w:t> </w:t>
      </w:r>
      <w:r>
        <w:rPr>
          <w:sz w:val="38"/>
        </w:rPr>
        <w:t>have</w:t>
      </w:r>
      <w:r>
        <w:rPr>
          <w:spacing w:val="-9"/>
          <w:sz w:val="38"/>
        </w:rPr>
        <w:t> </w:t>
      </w:r>
      <w:r>
        <w:rPr>
          <w:sz w:val="38"/>
        </w:rPr>
        <w:t>had</w:t>
      </w:r>
      <w:r>
        <w:rPr>
          <w:spacing w:val="-9"/>
          <w:sz w:val="38"/>
        </w:rPr>
        <w:t> </w:t>
      </w:r>
      <w:r>
        <w:rPr>
          <w:sz w:val="38"/>
        </w:rPr>
        <w:t>heart</w:t>
      </w:r>
      <w:r>
        <w:rPr>
          <w:spacing w:val="-12"/>
          <w:sz w:val="38"/>
        </w:rPr>
        <w:t> </w:t>
      </w:r>
      <w:r>
        <w:rPr>
          <w:sz w:val="38"/>
        </w:rPr>
        <w:t>surgery;</w:t>
      </w:r>
      <w:r>
        <w:rPr>
          <w:spacing w:val="-11"/>
          <w:sz w:val="38"/>
        </w:rPr>
        <w:t> </w:t>
      </w:r>
      <w:r>
        <w:rPr>
          <w:sz w:val="38"/>
        </w:rPr>
        <w:t>here,</w:t>
      </w:r>
      <w:r>
        <w:rPr>
          <w:spacing w:val="-11"/>
          <w:sz w:val="38"/>
        </w:rPr>
        <w:t> </w:t>
      </w:r>
      <w:r>
        <w:rPr>
          <w:sz w:val="38"/>
        </w:rPr>
        <w:t>Q10</w:t>
      </w:r>
      <w:r>
        <w:rPr>
          <w:spacing w:val="-10"/>
          <w:sz w:val="38"/>
        </w:rPr>
        <w:t> </w:t>
      </w:r>
      <w:r>
        <w:rPr>
          <w:sz w:val="38"/>
        </w:rPr>
        <w:t>compensates</w:t>
      </w:r>
      <w:r>
        <w:rPr>
          <w:spacing w:val="-10"/>
          <w:sz w:val="38"/>
        </w:rPr>
        <w:t> </w:t>
      </w:r>
      <w:r>
        <w:rPr>
          <w:sz w:val="38"/>
        </w:rPr>
        <w:t>for</w:t>
      </w:r>
      <w:r>
        <w:rPr>
          <w:spacing w:val="-12"/>
          <w:sz w:val="38"/>
        </w:rPr>
        <w:t> </w:t>
      </w:r>
      <w:r>
        <w:rPr>
          <w:sz w:val="38"/>
        </w:rPr>
        <w:t>the</w:t>
      </w:r>
      <w:r>
        <w:rPr>
          <w:spacing w:val="-8"/>
          <w:sz w:val="38"/>
        </w:rPr>
        <w:t> </w:t>
      </w:r>
      <w:r>
        <w:rPr>
          <w:sz w:val="38"/>
        </w:rPr>
        <w:t>damage by returning circulation to the</w:t>
      </w:r>
      <w:r>
        <w:rPr>
          <w:spacing w:val="4"/>
          <w:sz w:val="38"/>
        </w:rPr>
        <w:t> </w:t>
      </w:r>
      <w:r>
        <w:rPr>
          <w:sz w:val="38"/>
        </w:rPr>
        <w:t>heart.</w:t>
      </w:r>
    </w:p>
    <w:p>
      <w:pPr>
        <w:pStyle w:val="Heading1"/>
        <w:spacing w:before="231"/>
        <w:ind w:left="616"/>
      </w:pPr>
      <w:r>
        <w:rPr/>
        <w:t>What exactly is the difference between ubiquinone and ubiquinol?</w:t>
      </w:r>
    </w:p>
    <w:p>
      <w:pPr>
        <w:pStyle w:val="BodyText"/>
        <w:spacing w:line="276" w:lineRule="auto" w:before="298"/>
        <w:ind w:left="616" w:right="133"/>
        <w:jc w:val="both"/>
      </w:pPr>
      <w:r>
        <w:rPr/>
        <w:t>Ubiquinone and ubiquinol, a single letter that nonetheless plays an important role for the absorption of Q10 throughout our entire body! In short, the dif- ference between the two substances lies exactly in the mentioned uptake, the</w:t>
      </w:r>
    </w:p>
    <w:p>
      <w:pPr>
        <w:spacing w:after="0" w:line="276" w:lineRule="auto"/>
        <w:jc w:val="both"/>
        <w:sectPr>
          <w:footerReference w:type="default" r:id="rId308"/>
          <w:pgSz w:w="14270" w:h="16850"/>
          <w:pgMar w:footer="1891" w:header="0" w:top="1320" w:bottom="2080" w:left="800" w:right="1280"/>
          <w:pgNumType w:start="1310"/>
        </w:sectPr>
      </w:pPr>
    </w:p>
    <w:p>
      <w:pPr>
        <w:pStyle w:val="BodyText"/>
        <w:spacing w:line="276" w:lineRule="auto" w:before="72"/>
        <w:ind w:left="616" w:right="138"/>
        <w:jc w:val="both"/>
      </w:pPr>
      <w:r>
        <w:rPr/>
        <w:t>so-called ‘bioavailability’: the somewhat cheaper ubiquinone must first be transformed in the body in an extensive process into the active, usable form ‘ubiquinol’. During this transformation, much of the Q10 potential is lost in the body. By using ubiquinol in the first place, you can avoid this loss and achieve more with smaller doses!</w:t>
      </w:r>
    </w:p>
    <w:p>
      <w:pPr>
        <w:pStyle w:val="Heading2"/>
        <w:spacing w:before="242"/>
        <w:ind w:left="616"/>
      </w:pPr>
      <w:r>
        <w:rPr/>
        <w:t>How high is the aforementioned loss?</w:t>
      </w:r>
    </w:p>
    <w:p>
      <w:pPr>
        <w:pStyle w:val="BodyText"/>
        <w:spacing w:line="276" w:lineRule="auto" w:before="305"/>
        <w:ind w:left="616" w:right="133"/>
        <w:jc w:val="both"/>
        <w:rPr>
          <w:sz w:val="25"/>
        </w:rPr>
      </w:pPr>
      <w:r>
        <w:rPr/>
        <w:t>Here</w:t>
      </w:r>
      <w:r>
        <w:rPr>
          <w:spacing w:val="-16"/>
        </w:rPr>
        <w:t> </w:t>
      </w:r>
      <w:r>
        <w:rPr/>
        <w:t>it</w:t>
      </w:r>
      <w:r>
        <w:rPr>
          <w:spacing w:val="-17"/>
        </w:rPr>
        <w:t> </w:t>
      </w:r>
      <w:r>
        <w:rPr/>
        <w:t>is</w:t>
      </w:r>
      <w:r>
        <w:rPr>
          <w:spacing w:val="-16"/>
        </w:rPr>
        <w:t> </w:t>
      </w:r>
      <w:r>
        <w:rPr/>
        <w:t>recommended</w:t>
      </w:r>
      <w:r>
        <w:rPr>
          <w:spacing w:val="-16"/>
        </w:rPr>
        <w:t> </w:t>
      </w:r>
      <w:r>
        <w:rPr/>
        <w:t>that</w:t>
      </w:r>
      <w:r>
        <w:rPr>
          <w:spacing w:val="-16"/>
        </w:rPr>
        <w:t> </w:t>
      </w:r>
      <w:r>
        <w:rPr/>
        <w:t>the</w:t>
      </w:r>
      <w:r>
        <w:rPr>
          <w:spacing w:val="-14"/>
        </w:rPr>
        <w:t> </w:t>
      </w:r>
      <w:r>
        <w:rPr/>
        <w:t>plasma</w:t>
      </w:r>
      <w:r>
        <w:rPr>
          <w:spacing w:val="-17"/>
        </w:rPr>
        <w:t> </w:t>
      </w:r>
      <w:r>
        <w:rPr/>
        <w:t>levels</w:t>
      </w:r>
      <w:r>
        <w:rPr>
          <w:spacing w:val="-16"/>
        </w:rPr>
        <w:t> </w:t>
      </w:r>
      <w:r>
        <w:rPr/>
        <w:t>in</w:t>
      </w:r>
      <w:r>
        <w:rPr>
          <w:spacing w:val="-13"/>
        </w:rPr>
        <w:t> </w:t>
      </w:r>
      <w:r>
        <w:rPr/>
        <w:t>the</w:t>
      </w:r>
      <w:r>
        <w:rPr>
          <w:spacing w:val="-14"/>
        </w:rPr>
        <w:t> </w:t>
      </w:r>
      <w:r>
        <w:rPr/>
        <w:t>body</w:t>
      </w:r>
      <w:r>
        <w:rPr>
          <w:spacing w:val="-16"/>
        </w:rPr>
        <w:t> </w:t>
      </w:r>
      <w:r>
        <w:rPr/>
        <w:t>serve</w:t>
      </w:r>
      <w:r>
        <w:rPr>
          <w:spacing w:val="-18"/>
        </w:rPr>
        <w:t> </w:t>
      </w:r>
      <w:r>
        <w:rPr/>
        <w:t>as</w:t>
      </w:r>
      <w:r>
        <w:rPr>
          <w:spacing w:val="-16"/>
        </w:rPr>
        <w:t> </w:t>
      </w:r>
      <w:r>
        <w:rPr/>
        <w:t>the</w:t>
      </w:r>
      <w:r>
        <w:rPr>
          <w:spacing w:val="-14"/>
        </w:rPr>
        <w:t> </w:t>
      </w:r>
      <w:r>
        <w:rPr/>
        <w:t>relevant measure for Q10 consumption. In studies, 150 mg ubiquinol per day led to</w:t>
      </w:r>
      <w:r>
        <w:rPr>
          <w:spacing w:val="-48"/>
        </w:rPr>
        <w:t> </w:t>
      </w:r>
      <w:r>
        <w:rPr/>
        <w:t>an immediately Q10 higher plasma level in human patients than with 1200 mg of ubiquinone per day. 300 mg ubiquinol also leads to the same plasma level </w:t>
      </w:r>
      <w:r>
        <w:rPr>
          <w:spacing w:val="4"/>
        </w:rPr>
        <w:t>as </w:t>
      </w:r>
      <w:r>
        <w:rPr/>
        <w:t>2400-3000 mg of ubiquinone (see graph).</w:t>
      </w:r>
      <w:r>
        <w:rPr>
          <w:position w:val="9"/>
          <w:sz w:val="25"/>
        </w:rPr>
        <w:t>730 731</w:t>
      </w:r>
      <w:r>
        <w:rPr>
          <w:spacing w:val="2"/>
          <w:position w:val="9"/>
          <w:sz w:val="25"/>
        </w:rPr>
        <w:t> </w:t>
      </w:r>
      <w:r>
        <w:rPr>
          <w:position w:val="9"/>
          <w:sz w:val="25"/>
        </w:rPr>
        <w:t>732</w:t>
      </w:r>
    </w:p>
    <w:p>
      <w:pPr>
        <w:pStyle w:val="BodyText"/>
        <w:spacing w:line="276" w:lineRule="auto" w:before="239"/>
        <w:ind w:left="616" w:right="160"/>
        <w:jc w:val="both"/>
      </w:pPr>
      <w:r>
        <w:rPr/>
        <w:t>One can thus determine as a result that higher doses of ubiquinone (the most common form of coenzyme Q10 on the market) can be replaced by an 8-fold lower dose of ubiquinol! On the other hand, with lower doses of ubiquinone, the difference of effect to ubiquinol is less pronounced: Consumption of 300 mg ubiquinone per day allows, in this case, the plasma level of coenzyme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6"/>
        </w:rPr>
      </w:pPr>
      <w:r>
        <w:rPr/>
        <w:pict>
          <v:line style="position:absolute;mso-position-horizontal-relative:page;mso-position-vertical-relative:paragraph;z-index:9536;mso-wrap-distance-left:0;mso-wrap-distance-right:0" from="70.823997pt,17.086235pt" to="214.843997pt,17.086235pt" stroked="true" strokeweight=".72003pt" strokecolor="#000000">
            <v:stroke dashstyle="solid"/>
            <w10:wrap type="topAndBottom"/>
          </v:line>
        </w:pict>
      </w:r>
    </w:p>
    <w:p>
      <w:pPr>
        <w:pStyle w:val="BodyText"/>
        <w:spacing w:before="7"/>
        <w:rPr>
          <w:sz w:val="18"/>
        </w:rPr>
      </w:pPr>
    </w:p>
    <w:p>
      <w:pPr>
        <w:spacing w:line="273" w:lineRule="auto" w:before="99"/>
        <w:ind w:left="616" w:right="0" w:firstLine="0"/>
        <w:jc w:val="left"/>
        <w:rPr>
          <w:sz w:val="20"/>
        </w:rPr>
      </w:pPr>
      <w:r>
        <w:rPr>
          <w:position w:val="5"/>
          <w:sz w:val="13"/>
        </w:rPr>
        <w:t>730 </w:t>
      </w:r>
      <w:r>
        <w:rPr>
          <w:sz w:val="20"/>
        </w:rPr>
        <w:t>Hosoe K, Kitano M, Kishida H, et al. Study on safety and bioavailability of ubiquinol (Kaneka QH) after single and 4-week multiple oral admi- nistration to healthy volunteers. Regul Toxicol Pharmacol.</w:t>
      </w:r>
      <w:r>
        <w:rPr>
          <w:spacing w:val="-2"/>
          <w:sz w:val="20"/>
        </w:rPr>
        <w:t> </w:t>
      </w:r>
      <w:r>
        <w:rPr>
          <w:sz w:val="20"/>
        </w:rPr>
        <w:t>2007;47(l):19-28</w:t>
      </w:r>
    </w:p>
    <w:p>
      <w:pPr>
        <w:spacing w:line="276" w:lineRule="auto" w:before="63"/>
        <w:ind w:left="616" w:right="0" w:firstLine="0"/>
        <w:jc w:val="left"/>
        <w:rPr>
          <w:sz w:val="20"/>
        </w:rPr>
      </w:pPr>
      <w:r>
        <w:rPr>
          <w:position w:val="5"/>
          <w:sz w:val="13"/>
        </w:rPr>
        <w:t>731 </w:t>
      </w:r>
      <w:r>
        <w:rPr>
          <w:sz w:val="20"/>
        </w:rPr>
        <w:t>Hosoe K, Kitano M, Kishida H, et al. Study on safety and bioavailability of ubiquinol (Kaneka QH) after single and 4-week multiple oral admi- nistration to healthy volunteers. Regul Toxicol Pharmacol.</w:t>
      </w:r>
      <w:r>
        <w:rPr>
          <w:spacing w:val="-2"/>
          <w:sz w:val="20"/>
        </w:rPr>
        <w:t> </w:t>
      </w:r>
      <w:r>
        <w:rPr>
          <w:sz w:val="20"/>
        </w:rPr>
        <w:t>2007;47(l):19-28</w:t>
      </w:r>
    </w:p>
    <w:p>
      <w:pPr>
        <w:spacing w:line="276" w:lineRule="auto" w:before="61"/>
        <w:ind w:left="616" w:right="0" w:firstLine="0"/>
        <w:jc w:val="left"/>
        <w:rPr>
          <w:sz w:val="20"/>
        </w:rPr>
      </w:pPr>
      <w:r>
        <w:rPr/>
        <w:pict>
          <v:group style="position:absolute;margin-left:70.823997pt;margin-top:6.528163pt;width:509.15pt;height:71.05pt;mso-position-horizontal-relative:page;mso-position-vertical-relative:paragraph;z-index:-1258120" coordorigin="1416,131" coordsize="10183,1421">
            <v:shape style="position:absolute;left:1552;top:130;width:10047;height:1421" type="#_x0000_t75" stroked="false">
              <v:imagedata r:id="rId21" o:title=""/>
            </v:shape>
            <v:rect style="position:absolute;left:1416;top:319;width:5814;height:226" filled="true" fillcolor="#ffffff" stroked="false">
              <v:fill type="solid"/>
            </v:rect>
            <w10:wrap type="none"/>
          </v:group>
        </w:pict>
      </w:r>
      <w:r>
        <w:rPr>
          <w:position w:val="5"/>
          <w:sz w:val="13"/>
        </w:rPr>
        <w:t>732 </w:t>
      </w:r>
      <w:r>
        <w:rPr>
          <w:sz w:val="20"/>
        </w:rPr>
        <w:t>Hosoe K, Kitano M, Kishida H, et al. Study on safety and bioavailability of ubiquinol (Kaneka QH) after single and 4-week multiple oral admi- nistration to healthy volunteers. Regul Toxicol Pharmacol.</w:t>
      </w:r>
      <w:r>
        <w:rPr>
          <w:spacing w:val="2"/>
          <w:sz w:val="20"/>
        </w:rPr>
        <w:t> </w:t>
      </w:r>
      <w:r>
        <w:rPr>
          <w:sz w:val="20"/>
        </w:rPr>
        <w:t>2007;47(l):19-28</w:t>
      </w:r>
    </w:p>
    <w:p>
      <w:pPr>
        <w:spacing w:after="0" w:line="276" w:lineRule="auto"/>
        <w:jc w:val="left"/>
        <w:rPr>
          <w:sz w:val="20"/>
        </w:rPr>
        <w:sectPr>
          <w:footerReference w:type="default" r:id="rId309"/>
          <w:pgSz w:w="14270" w:h="16850"/>
          <w:pgMar w:footer="527" w:header="0" w:top="1340" w:bottom="720" w:left="800" w:right="1280"/>
          <w:pgNumType w:start="1311"/>
        </w:sectPr>
      </w:pPr>
    </w:p>
    <w:p>
      <w:pPr>
        <w:pStyle w:val="BodyText"/>
        <w:spacing w:line="278" w:lineRule="auto" w:before="72"/>
        <w:ind w:left="616" w:right="145"/>
        <w:jc w:val="both"/>
        <w:rPr>
          <w:sz w:val="25"/>
        </w:rPr>
      </w:pPr>
      <w:r>
        <w:rPr/>
        <w:t>Q10 to rise to the same degree as a daily dose of 80 mg ubiquinol. This corre- sponds to a 3.5-times lower dose.</w:t>
      </w:r>
      <w:r>
        <w:rPr>
          <w:position w:val="9"/>
          <w:sz w:val="25"/>
        </w:rPr>
        <w:t>733 734</w:t>
      </w:r>
    </w:p>
    <w:p>
      <w:pPr>
        <w:pStyle w:val="Heading2"/>
        <w:spacing w:before="232"/>
        <w:ind w:left="616"/>
      </w:pPr>
      <w:r>
        <w:rPr/>
        <w:t>Positive Influence of Q10 on the Heart</w:t>
      </w:r>
    </w:p>
    <w:p>
      <w:pPr>
        <w:pStyle w:val="BodyText"/>
        <w:spacing w:line="276" w:lineRule="auto" w:before="305"/>
        <w:ind w:left="616" w:right="132"/>
        <w:jc w:val="both"/>
      </w:pPr>
      <w:r>
        <w:rPr/>
        <w:t>So while the entire body can benefit from regular consumption of coenzyme Q10 and counteract this diverse set of illnesses, both as prophylaxis and as therapy,</w:t>
      </w:r>
      <w:r>
        <w:rPr>
          <w:spacing w:val="-12"/>
        </w:rPr>
        <w:t> </w:t>
      </w:r>
      <w:r>
        <w:rPr/>
        <w:t>it</w:t>
      </w:r>
      <w:r>
        <w:rPr>
          <w:spacing w:val="-13"/>
        </w:rPr>
        <w:t> </w:t>
      </w:r>
      <w:r>
        <w:rPr/>
        <w:t>is</w:t>
      </w:r>
      <w:r>
        <w:rPr>
          <w:spacing w:val="-12"/>
        </w:rPr>
        <w:t> </w:t>
      </w:r>
      <w:r>
        <w:rPr/>
        <w:t>primarily</w:t>
      </w:r>
      <w:r>
        <w:rPr>
          <w:spacing w:val="-12"/>
        </w:rPr>
        <w:t> </w:t>
      </w:r>
      <w:r>
        <w:rPr/>
        <w:t>the</w:t>
      </w:r>
      <w:r>
        <w:rPr>
          <w:spacing w:val="-11"/>
        </w:rPr>
        <w:t> </w:t>
      </w:r>
      <w:r>
        <w:rPr/>
        <w:t>therapeutic</w:t>
      </w:r>
      <w:r>
        <w:rPr>
          <w:spacing w:val="-13"/>
        </w:rPr>
        <w:t> </w:t>
      </w:r>
      <w:r>
        <w:rPr/>
        <w:t>effect</w:t>
      </w:r>
      <w:r>
        <w:rPr>
          <w:spacing w:val="-12"/>
        </w:rPr>
        <w:t> </w:t>
      </w:r>
      <w:r>
        <w:rPr/>
        <w:t>of</w:t>
      </w:r>
      <w:r>
        <w:rPr>
          <w:spacing w:val="-11"/>
        </w:rPr>
        <w:t> </w:t>
      </w:r>
      <w:r>
        <w:rPr/>
        <w:t>Q10</w:t>
      </w:r>
      <w:r>
        <w:rPr>
          <w:spacing w:val="-12"/>
        </w:rPr>
        <w:t> </w:t>
      </w:r>
      <w:r>
        <w:rPr/>
        <w:t>on</w:t>
      </w:r>
      <w:r>
        <w:rPr>
          <w:spacing w:val="-11"/>
        </w:rPr>
        <w:t> </w:t>
      </w:r>
      <w:r>
        <w:rPr/>
        <w:t>heart</w:t>
      </w:r>
      <w:r>
        <w:rPr>
          <w:spacing w:val="-12"/>
        </w:rPr>
        <w:t> </w:t>
      </w:r>
      <w:r>
        <w:rPr/>
        <w:t>performance</w:t>
      </w:r>
      <w:r>
        <w:rPr>
          <w:spacing w:val="-11"/>
        </w:rPr>
        <w:t> </w:t>
      </w:r>
      <w:r>
        <w:rPr/>
        <w:t>that is</w:t>
      </w:r>
      <w:r>
        <w:rPr>
          <w:spacing w:val="-14"/>
        </w:rPr>
        <w:t> </w:t>
      </w:r>
      <w:r>
        <w:rPr/>
        <w:t>best</w:t>
      </w:r>
      <w:r>
        <w:rPr>
          <w:spacing w:val="-16"/>
        </w:rPr>
        <w:t> </w:t>
      </w:r>
      <w:r>
        <w:rPr/>
        <w:t>proven</w:t>
      </w:r>
      <w:r>
        <w:rPr>
          <w:spacing w:val="-13"/>
        </w:rPr>
        <w:t> </w:t>
      </w:r>
      <w:r>
        <w:rPr/>
        <w:t>and,</w:t>
      </w:r>
      <w:r>
        <w:rPr>
          <w:spacing w:val="-13"/>
        </w:rPr>
        <w:t> </w:t>
      </w:r>
      <w:r>
        <w:rPr/>
        <w:t>in</w:t>
      </w:r>
      <w:r>
        <w:rPr>
          <w:spacing w:val="-16"/>
        </w:rPr>
        <w:t> </w:t>
      </w:r>
      <w:r>
        <w:rPr/>
        <w:t>light</w:t>
      </w:r>
      <w:r>
        <w:rPr>
          <w:spacing w:val="-17"/>
        </w:rPr>
        <w:t> </w:t>
      </w:r>
      <w:r>
        <w:rPr/>
        <w:t>of</w:t>
      </w:r>
      <w:r>
        <w:rPr>
          <w:spacing w:val="-14"/>
        </w:rPr>
        <w:t> </w:t>
      </w:r>
      <w:r>
        <w:rPr/>
        <w:t>the</w:t>
      </w:r>
      <w:r>
        <w:rPr>
          <w:spacing w:val="-14"/>
        </w:rPr>
        <w:t> </w:t>
      </w:r>
      <w:r>
        <w:rPr/>
        <w:t>fact</w:t>
      </w:r>
      <w:r>
        <w:rPr>
          <w:spacing w:val="-14"/>
        </w:rPr>
        <w:t> </w:t>
      </w:r>
      <w:r>
        <w:rPr/>
        <w:t>that</w:t>
      </w:r>
      <w:r>
        <w:rPr>
          <w:spacing w:val="-16"/>
        </w:rPr>
        <w:t> </w:t>
      </w:r>
      <w:r>
        <w:rPr/>
        <w:t>cardiovascular</w:t>
      </w:r>
      <w:r>
        <w:rPr>
          <w:spacing w:val="-14"/>
        </w:rPr>
        <w:t> </w:t>
      </w:r>
      <w:r>
        <w:rPr/>
        <w:t>disease</w:t>
      </w:r>
      <w:r>
        <w:rPr>
          <w:spacing w:val="-13"/>
        </w:rPr>
        <w:t> </w:t>
      </w:r>
      <w:r>
        <w:rPr/>
        <w:t>is</w:t>
      </w:r>
      <w:r>
        <w:rPr>
          <w:spacing w:val="-14"/>
        </w:rPr>
        <w:t> </w:t>
      </w:r>
      <w:r>
        <w:rPr/>
        <w:t>the</w:t>
      </w:r>
      <w:r>
        <w:rPr>
          <w:spacing w:val="-16"/>
        </w:rPr>
        <w:t> </w:t>
      </w:r>
      <w:r>
        <w:rPr/>
        <w:t>number one cause of death in Central Europe, should be especially emphasised. So it is no surprise that the greatest presence of Q10 can actually be found in our heart muscle, and this for a reason: Our hearts beat 100,000 times per day</w:t>
      </w:r>
      <w:r>
        <w:rPr>
          <w:spacing w:val="-66"/>
        </w:rPr>
        <w:t> </w:t>
      </w:r>
      <w:r>
        <w:rPr/>
        <w:t>and so needs more energy than any other bodily organ. At the same time, a weak or sick heart is accompanied by a Q10 deficit. Many of the representative lon- gitudinal</w:t>
      </w:r>
      <w:r>
        <w:rPr>
          <w:spacing w:val="-10"/>
        </w:rPr>
        <w:t> </w:t>
      </w:r>
      <w:r>
        <w:rPr/>
        <w:t>studies</w:t>
      </w:r>
      <w:r>
        <w:rPr>
          <w:spacing w:val="-9"/>
        </w:rPr>
        <w:t> </w:t>
      </w:r>
      <w:r>
        <w:rPr/>
        <w:t>were</w:t>
      </w:r>
      <w:r>
        <w:rPr>
          <w:spacing w:val="-8"/>
        </w:rPr>
        <w:t> </w:t>
      </w:r>
      <w:r>
        <w:rPr/>
        <w:t>able</w:t>
      </w:r>
      <w:r>
        <w:rPr>
          <w:spacing w:val="-9"/>
        </w:rPr>
        <w:t> </w:t>
      </w:r>
      <w:r>
        <w:rPr/>
        <w:t>to</w:t>
      </w:r>
      <w:r>
        <w:rPr>
          <w:spacing w:val="-11"/>
        </w:rPr>
        <w:t> </w:t>
      </w:r>
      <w:r>
        <w:rPr/>
        <w:t>prove</w:t>
      </w:r>
      <w:r>
        <w:rPr>
          <w:spacing w:val="-9"/>
        </w:rPr>
        <w:t> </w:t>
      </w:r>
      <w:r>
        <w:rPr/>
        <w:t>the</w:t>
      </w:r>
      <w:r>
        <w:rPr>
          <w:spacing w:val="-7"/>
        </w:rPr>
        <w:t> </w:t>
      </w:r>
      <w:r>
        <w:rPr/>
        <w:t>very</w:t>
      </w:r>
      <w:r>
        <w:rPr>
          <w:spacing w:val="-10"/>
        </w:rPr>
        <w:t> </w:t>
      </w:r>
      <w:r>
        <w:rPr/>
        <w:t>impressive</w:t>
      </w:r>
      <w:r>
        <w:rPr>
          <w:spacing w:val="-9"/>
        </w:rPr>
        <w:t> </w:t>
      </w:r>
      <w:r>
        <w:rPr/>
        <w:t>effect</w:t>
      </w:r>
      <w:r>
        <w:rPr>
          <w:spacing w:val="-9"/>
        </w:rPr>
        <w:t> </w:t>
      </w:r>
      <w:r>
        <w:rPr/>
        <w:t>of</w:t>
      </w:r>
      <w:r>
        <w:rPr>
          <w:spacing w:val="-13"/>
        </w:rPr>
        <w:t> </w:t>
      </w:r>
      <w:r>
        <w:rPr/>
        <w:t>Q10</w:t>
      </w:r>
      <w:r>
        <w:rPr>
          <w:spacing w:val="-9"/>
        </w:rPr>
        <w:t> </w:t>
      </w:r>
      <w:r>
        <w:rPr/>
        <w:t>on</w:t>
      </w:r>
      <w:r>
        <w:rPr>
          <w:spacing w:val="-7"/>
        </w:rPr>
        <w:t> </w:t>
      </w:r>
      <w:r>
        <w:rPr/>
        <w:t>heart diseases like angina pectoris, heart failure, coronary heart disease, acute myo- cardial</w:t>
      </w:r>
      <w:r>
        <w:rPr>
          <w:spacing w:val="-13"/>
        </w:rPr>
        <w:t> </w:t>
      </w:r>
      <w:r>
        <w:rPr/>
        <w:t>infarction</w:t>
      </w:r>
      <w:r>
        <w:rPr>
          <w:spacing w:val="-12"/>
        </w:rPr>
        <w:t> </w:t>
      </w:r>
      <w:r>
        <w:rPr/>
        <w:t>or</w:t>
      </w:r>
      <w:r>
        <w:rPr>
          <w:spacing w:val="-12"/>
        </w:rPr>
        <w:t> </w:t>
      </w:r>
      <w:r>
        <w:rPr/>
        <w:t>disfunction</w:t>
      </w:r>
      <w:r>
        <w:rPr>
          <w:spacing w:val="-14"/>
        </w:rPr>
        <w:t> </w:t>
      </w:r>
      <w:r>
        <w:rPr/>
        <w:t>of</w:t>
      </w:r>
      <w:r>
        <w:rPr>
          <w:spacing w:val="-13"/>
        </w:rPr>
        <w:t> </w:t>
      </w:r>
      <w:r>
        <w:rPr/>
        <w:t>the</w:t>
      </w:r>
      <w:r>
        <w:rPr>
          <w:spacing w:val="-12"/>
        </w:rPr>
        <w:t> </w:t>
      </w:r>
      <w:r>
        <w:rPr/>
        <w:t>left</w:t>
      </w:r>
      <w:r>
        <w:rPr>
          <w:spacing w:val="-13"/>
        </w:rPr>
        <w:t> </w:t>
      </w:r>
      <w:r>
        <w:rPr/>
        <w:t>ventricle</w:t>
      </w:r>
      <w:r>
        <w:rPr>
          <w:spacing w:val="-13"/>
        </w:rPr>
        <w:t> </w:t>
      </w:r>
      <w:r>
        <w:rPr/>
        <w:t>as</w:t>
      </w:r>
      <w:r>
        <w:rPr>
          <w:spacing w:val="-13"/>
        </w:rPr>
        <w:t> </w:t>
      </w:r>
      <w:r>
        <w:rPr/>
        <w:t>well</w:t>
      </w:r>
      <w:r>
        <w:rPr>
          <w:spacing w:val="-15"/>
        </w:rPr>
        <w:t> </w:t>
      </w:r>
      <w:r>
        <w:rPr/>
        <w:t>as</w:t>
      </w:r>
      <w:r>
        <w:rPr>
          <w:spacing w:val="-13"/>
        </w:rPr>
        <w:t> </w:t>
      </w:r>
      <w:r>
        <w:rPr/>
        <w:t>heart</w:t>
      </w:r>
      <w:r>
        <w:rPr>
          <w:spacing w:val="-13"/>
        </w:rPr>
        <w:t> </w:t>
      </w:r>
      <w:r>
        <w:rPr/>
        <w:t>damage</w:t>
      </w:r>
      <w:r>
        <w:rPr>
          <w:spacing w:val="-13"/>
        </w:rPr>
        <w:t> </w:t>
      </w:r>
      <w:r>
        <w:rPr/>
        <w:t>via cytostatic</w:t>
      </w:r>
      <w:r>
        <w:rPr>
          <w:spacing w:val="-1"/>
        </w:rPr>
        <w:t> </w:t>
      </w:r>
      <w:r>
        <w:rPr/>
        <w:t>drugs.</w:t>
      </w:r>
    </w:p>
    <w:p>
      <w:pPr>
        <w:pStyle w:val="BodyText"/>
        <w:spacing w:line="276" w:lineRule="auto" w:before="241"/>
        <w:ind w:left="616" w:right="135"/>
        <w:jc w:val="both"/>
      </w:pPr>
      <w:r>
        <w:rPr/>
        <w:t>P. H. Langsjoen et al., Texas, explain the notable influence of Q10 on heart problems via two concurrent mechanisms: According to this explanation, ubiquinone (Q10) first of all balances out the deficit in the blood and is</w:t>
      </w:r>
      <w:r>
        <w:rPr>
          <w:spacing w:val="-49"/>
        </w:rPr>
        <w:t> </w:t>
      </w:r>
      <w:r>
        <w:rPr/>
        <w:t>incor-</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3"/>
        </w:rPr>
      </w:pPr>
      <w:r>
        <w:rPr/>
        <w:pict>
          <v:line style="position:absolute;mso-position-horizontal-relative:page;mso-position-vertical-relative:paragraph;z-index:9584;mso-wrap-distance-left:0;mso-wrap-distance-right:0" from="70.823997pt,9.735015pt" to="214.843997pt,9.735015pt" stroked="true" strokeweight=".71997pt" strokecolor="#000000">
            <v:stroke dashstyle="solid"/>
            <w10:wrap type="topAndBottom"/>
          </v:line>
        </w:pict>
      </w:r>
    </w:p>
    <w:p>
      <w:pPr>
        <w:pStyle w:val="BodyText"/>
        <w:spacing w:before="7"/>
        <w:rPr>
          <w:sz w:val="28"/>
        </w:rPr>
      </w:pPr>
    </w:p>
    <w:p>
      <w:pPr>
        <w:spacing w:line="362" w:lineRule="auto" w:before="100"/>
        <w:ind w:left="616" w:right="0" w:firstLine="0"/>
        <w:jc w:val="left"/>
        <w:rPr>
          <w:sz w:val="20"/>
        </w:rPr>
      </w:pPr>
      <w:r>
        <w:rPr>
          <w:position w:val="5"/>
          <w:sz w:val="13"/>
        </w:rPr>
        <w:t>733 </w:t>
      </w:r>
      <w:r>
        <w:rPr>
          <w:color w:val="090909"/>
          <w:sz w:val="20"/>
        </w:rPr>
        <w:t>Hosoe K, Kitano M, Kishida H, et al. Study on safety and bioavailability of ubiquinol (Kaneka QH) after single and 4-week multiple oral admin- istration to healthy volunteers. Regul Toxicol Pharmacol. 2007;47(l):19-28.</w:t>
      </w:r>
    </w:p>
    <w:p>
      <w:pPr>
        <w:spacing w:before="196" w:after="22"/>
        <w:ind w:left="616" w:right="0" w:firstLine="0"/>
        <w:jc w:val="left"/>
        <w:rPr>
          <w:sz w:val="20"/>
        </w:rPr>
      </w:pPr>
      <w:r>
        <w:rPr>
          <w:position w:val="5"/>
          <w:sz w:val="13"/>
        </w:rPr>
        <w:t>734 </w:t>
      </w:r>
      <w:r>
        <w:rPr>
          <w:color w:val="090909"/>
          <w:sz w:val="20"/>
        </w:rPr>
        <w:t>Kematsu H, Nakamura K, Harashima S et al. Safety assessment of coenzyme Q10 (Kaneka Q10) in healthy subjects: a double-blind randomized,</w:t>
      </w:r>
    </w:p>
    <w:p>
      <w:pPr>
        <w:pStyle w:val="BodyText"/>
        <w:ind w:left="616"/>
        <w:rPr>
          <w:sz w:val="20"/>
        </w:rPr>
      </w:pPr>
      <w:r>
        <w:rPr>
          <w:sz w:val="20"/>
        </w:rPr>
        <w:pict>
          <v:group style="width:509.15pt;height:71.05pt;mso-position-horizontal-relative:char;mso-position-vertical-relative:line" coordorigin="0,0" coordsize="10183,1421">
            <v:shape style="position:absolute;left:136;top:0;width:10047;height:1421" type="#_x0000_t75" stroked="false">
              <v:imagedata r:id="rId21" o:title=""/>
            </v:shape>
            <v:shape style="position:absolute;left:0;top:0;width:10183;height:1421" type="#_x0000_t202" filled="false" stroked="false">
              <v:textbox inset="0,0,0,0">
                <w:txbxContent>
                  <w:p>
                    <w:pPr>
                      <w:spacing w:before="84"/>
                      <w:ind w:left="0" w:right="0" w:firstLine="0"/>
                      <w:jc w:val="left"/>
                      <w:rPr>
                        <w:sz w:val="20"/>
                      </w:rPr>
                    </w:pPr>
                    <w:r>
                      <w:rPr>
                        <w:color w:val="090909"/>
                        <w:sz w:val="20"/>
                      </w:rPr>
                      <w:t>placebo-controlled trial. Regul Toxicol Pharmacol. 2006;44(3):212-8.</w:t>
                    </w:r>
                  </w:p>
                </w:txbxContent>
              </v:textbox>
              <w10:wrap type="none"/>
            </v:shape>
          </v:group>
        </w:pict>
      </w:r>
      <w:r>
        <w:rPr>
          <w:sz w:val="20"/>
        </w:rPr>
      </w:r>
    </w:p>
    <w:p>
      <w:pPr>
        <w:spacing w:after="0"/>
        <w:rPr>
          <w:sz w:val="20"/>
        </w:rPr>
        <w:sectPr>
          <w:pgSz w:w="14270" w:h="16850"/>
          <w:pgMar w:header="0" w:footer="527" w:top="1340" w:bottom="720" w:left="800" w:right="1280"/>
        </w:sectPr>
      </w:pPr>
    </w:p>
    <w:p>
      <w:pPr>
        <w:pStyle w:val="BodyText"/>
        <w:spacing w:line="276" w:lineRule="auto" w:before="72"/>
        <w:ind w:left="616" w:right="134"/>
        <w:jc w:val="both"/>
      </w:pPr>
      <w:r>
        <w:rPr/>
        <w:t>porated</w:t>
      </w:r>
      <w:r>
        <w:rPr>
          <w:spacing w:val="-8"/>
        </w:rPr>
        <w:t> </w:t>
      </w:r>
      <w:r>
        <w:rPr/>
        <w:t>by</w:t>
      </w:r>
      <w:r>
        <w:rPr>
          <w:spacing w:val="-8"/>
        </w:rPr>
        <w:t> </w:t>
      </w:r>
      <w:r>
        <w:rPr/>
        <w:t>the</w:t>
      </w:r>
      <w:r>
        <w:rPr>
          <w:spacing w:val="-11"/>
        </w:rPr>
        <w:t> </w:t>
      </w:r>
      <w:r>
        <w:rPr/>
        <w:t>Q10-deficient</w:t>
      </w:r>
      <w:r>
        <w:rPr>
          <w:spacing w:val="-8"/>
        </w:rPr>
        <w:t> </w:t>
      </w:r>
      <w:r>
        <w:rPr/>
        <w:t>mitochondria</w:t>
      </w:r>
      <w:r>
        <w:rPr>
          <w:spacing w:val="-7"/>
        </w:rPr>
        <w:t> </w:t>
      </w:r>
      <w:r>
        <w:rPr/>
        <w:t>cells,</w:t>
      </w:r>
      <w:r>
        <w:rPr>
          <w:spacing w:val="-7"/>
        </w:rPr>
        <w:t> </w:t>
      </w:r>
      <w:r>
        <w:rPr/>
        <w:t>which</w:t>
      </w:r>
      <w:r>
        <w:rPr>
          <w:spacing w:val="-8"/>
        </w:rPr>
        <w:t> </w:t>
      </w:r>
      <w:r>
        <w:rPr/>
        <w:t>improves</w:t>
      </w:r>
      <w:r>
        <w:rPr>
          <w:spacing w:val="-6"/>
        </w:rPr>
        <w:t> </w:t>
      </w:r>
      <w:r>
        <w:rPr/>
        <w:t>the</w:t>
      </w:r>
      <w:r>
        <w:rPr>
          <w:spacing w:val="-9"/>
        </w:rPr>
        <w:t> </w:t>
      </w:r>
      <w:r>
        <w:rPr/>
        <w:t>bioener- getic condition of the cells. Q10 also defends the cells from free radicals and the</w:t>
      </w:r>
      <w:r>
        <w:rPr>
          <w:spacing w:val="-23"/>
        </w:rPr>
        <w:t> </w:t>
      </w:r>
      <w:r>
        <w:rPr/>
        <w:t>damages</w:t>
      </w:r>
      <w:r>
        <w:rPr>
          <w:spacing w:val="-23"/>
        </w:rPr>
        <w:t> </w:t>
      </w:r>
      <w:r>
        <w:rPr/>
        <w:t>that</w:t>
      </w:r>
      <w:r>
        <w:rPr>
          <w:spacing w:val="-22"/>
        </w:rPr>
        <w:t> </w:t>
      </w:r>
      <w:r>
        <w:rPr/>
        <w:t>these</w:t>
      </w:r>
      <w:r>
        <w:rPr>
          <w:spacing w:val="-23"/>
        </w:rPr>
        <w:t> </w:t>
      </w:r>
      <w:r>
        <w:rPr/>
        <w:t>cause</w:t>
      </w:r>
      <w:r>
        <w:rPr>
          <w:spacing w:val="-24"/>
        </w:rPr>
        <w:t> </w:t>
      </w:r>
      <w:r>
        <w:rPr/>
        <w:t>to</w:t>
      </w:r>
      <w:r>
        <w:rPr>
          <w:spacing w:val="-23"/>
        </w:rPr>
        <w:t> </w:t>
      </w:r>
      <w:r>
        <w:rPr/>
        <w:t>the</w:t>
      </w:r>
      <w:r>
        <w:rPr>
          <w:spacing w:val="-23"/>
        </w:rPr>
        <w:t> </w:t>
      </w:r>
      <w:r>
        <w:rPr/>
        <w:t>heart.</w:t>
      </w:r>
      <w:r>
        <w:rPr>
          <w:spacing w:val="-24"/>
        </w:rPr>
        <w:t> </w:t>
      </w:r>
      <w:r>
        <w:rPr/>
        <w:t>Langsjoen</w:t>
      </w:r>
      <w:r>
        <w:rPr>
          <w:spacing w:val="-23"/>
        </w:rPr>
        <w:t> </w:t>
      </w:r>
      <w:r>
        <w:rPr/>
        <w:t>also</w:t>
      </w:r>
      <w:r>
        <w:rPr>
          <w:spacing w:val="-23"/>
        </w:rPr>
        <w:t> </w:t>
      </w:r>
      <w:r>
        <w:rPr/>
        <w:t>hypothesises</w:t>
      </w:r>
      <w:r>
        <w:rPr>
          <w:spacing w:val="-23"/>
        </w:rPr>
        <w:t> </w:t>
      </w:r>
      <w:r>
        <w:rPr/>
        <w:t>together with his colleagues that high Q10 doses of up to 720 mg/day should achieve further improvements in people with illnesses.</w:t>
      </w:r>
    </w:p>
    <w:p>
      <w:pPr>
        <w:pStyle w:val="BodyText"/>
        <w:spacing w:line="276" w:lineRule="auto" w:before="242"/>
        <w:ind w:left="616" w:right="136"/>
        <w:jc w:val="both"/>
        <w:rPr>
          <w:sz w:val="25"/>
        </w:rPr>
      </w:pPr>
      <w:r>
        <w:rPr/>
        <w:t>In a study by S.A. Mortensen on patients who suffered from heart failure and who did not respond to digitalis and diuretics, eight out of twelve patients ex- hibited significant improvement after four weeks of consuming 100 mg coen- zyme Q10 per day. Similarly good results were exhibited with arrhythmia and cardiomyopathy.</w:t>
      </w:r>
      <w:r>
        <w:rPr>
          <w:position w:val="9"/>
          <w:sz w:val="25"/>
        </w:rPr>
        <w:t>735</w:t>
      </w:r>
    </w:p>
    <w:p>
      <w:pPr>
        <w:pStyle w:val="BodyText"/>
        <w:spacing w:line="278" w:lineRule="auto" w:before="240"/>
        <w:ind w:left="616" w:right="142"/>
        <w:jc w:val="both"/>
      </w:pPr>
      <w:r>
        <w:rPr/>
        <w:t>Prominent American scientist and Q10 researcher Dr. med. E. G. Bliznakow very convincingly summarised it with the following words:</w:t>
      </w:r>
    </w:p>
    <w:p>
      <w:pPr>
        <w:spacing w:line="276" w:lineRule="auto" w:before="232"/>
        <w:ind w:left="616" w:right="132" w:firstLine="0"/>
        <w:jc w:val="both"/>
        <w:rPr>
          <w:i/>
          <w:sz w:val="38"/>
        </w:rPr>
      </w:pPr>
      <w:r>
        <w:rPr>
          <w:i/>
          <w:sz w:val="38"/>
        </w:rPr>
        <w:t>‘Q10</w:t>
      </w:r>
      <w:r>
        <w:rPr>
          <w:i/>
          <w:spacing w:val="-15"/>
          <w:sz w:val="38"/>
        </w:rPr>
        <w:t> </w:t>
      </w:r>
      <w:r>
        <w:rPr>
          <w:i/>
          <w:sz w:val="38"/>
        </w:rPr>
        <w:t>achieves</w:t>
      </w:r>
      <w:r>
        <w:rPr>
          <w:i/>
          <w:spacing w:val="-15"/>
          <w:sz w:val="38"/>
        </w:rPr>
        <w:t> </w:t>
      </w:r>
      <w:r>
        <w:rPr>
          <w:i/>
          <w:sz w:val="38"/>
        </w:rPr>
        <w:t>better</w:t>
      </w:r>
      <w:r>
        <w:rPr>
          <w:i/>
          <w:spacing w:val="-13"/>
          <w:sz w:val="38"/>
        </w:rPr>
        <w:t> </w:t>
      </w:r>
      <w:r>
        <w:rPr>
          <w:i/>
          <w:sz w:val="38"/>
        </w:rPr>
        <w:t>results</w:t>
      </w:r>
      <w:r>
        <w:rPr>
          <w:i/>
          <w:spacing w:val="-17"/>
          <w:sz w:val="38"/>
        </w:rPr>
        <w:t> </w:t>
      </w:r>
      <w:r>
        <w:rPr>
          <w:i/>
          <w:sz w:val="38"/>
        </w:rPr>
        <w:t>in</w:t>
      </w:r>
      <w:r>
        <w:rPr>
          <w:i/>
          <w:spacing w:val="-14"/>
          <w:sz w:val="38"/>
        </w:rPr>
        <w:t> </w:t>
      </w:r>
      <w:r>
        <w:rPr>
          <w:i/>
          <w:sz w:val="38"/>
        </w:rPr>
        <w:t>persons</w:t>
      </w:r>
      <w:r>
        <w:rPr>
          <w:i/>
          <w:spacing w:val="-18"/>
          <w:sz w:val="38"/>
        </w:rPr>
        <w:t> </w:t>
      </w:r>
      <w:r>
        <w:rPr>
          <w:i/>
          <w:sz w:val="38"/>
        </w:rPr>
        <w:t>with</w:t>
      </w:r>
      <w:r>
        <w:rPr>
          <w:i/>
          <w:spacing w:val="-14"/>
          <w:sz w:val="38"/>
        </w:rPr>
        <w:t> </w:t>
      </w:r>
      <w:r>
        <w:rPr>
          <w:i/>
          <w:sz w:val="38"/>
        </w:rPr>
        <w:t>severe</w:t>
      </w:r>
      <w:r>
        <w:rPr>
          <w:i/>
          <w:spacing w:val="-14"/>
          <w:sz w:val="38"/>
        </w:rPr>
        <w:t> </w:t>
      </w:r>
      <w:r>
        <w:rPr>
          <w:i/>
          <w:sz w:val="38"/>
        </w:rPr>
        <w:t>heart</w:t>
      </w:r>
      <w:r>
        <w:rPr>
          <w:i/>
          <w:spacing w:val="-16"/>
          <w:sz w:val="38"/>
        </w:rPr>
        <w:t> </w:t>
      </w:r>
      <w:r>
        <w:rPr>
          <w:i/>
          <w:sz w:val="38"/>
        </w:rPr>
        <w:t>disease</w:t>
      </w:r>
      <w:r>
        <w:rPr>
          <w:i/>
          <w:spacing w:val="-15"/>
          <w:sz w:val="38"/>
        </w:rPr>
        <w:t> </w:t>
      </w:r>
      <w:r>
        <w:rPr>
          <w:i/>
          <w:sz w:val="38"/>
        </w:rPr>
        <w:t>than</w:t>
      </w:r>
      <w:r>
        <w:rPr>
          <w:i/>
          <w:spacing w:val="-16"/>
          <w:sz w:val="38"/>
        </w:rPr>
        <w:t> </w:t>
      </w:r>
      <w:r>
        <w:rPr>
          <w:i/>
          <w:sz w:val="38"/>
        </w:rPr>
        <w:t>traditional</w:t>
      </w:r>
      <w:r>
        <w:rPr>
          <w:i/>
          <w:spacing w:val="-15"/>
          <w:sz w:val="38"/>
        </w:rPr>
        <w:t> </w:t>
      </w:r>
      <w:r>
        <w:rPr>
          <w:i/>
          <w:sz w:val="38"/>
        </w:rPr>
        <w:t>treatments... </w:t>
      </w:r>
      <w:r>
        <w:rPr>
          <w:i/>
          <w:sz w:val="38"/>
        </w:rPr>
        <w:t>Improved quality of life for persons with severe heart disease... Normalisation of Q10 levels in the heart causes significant increase in organ performance... Q10 protects against repeat heart attacks... The more serious the clinical picture, the more Q10 the heart absorbs... Dramatic</w:t>
      </w:r>
      <w:r>
        <w:rPr>
          <w:i/>
          <w:spacing w:val="-11"/>
          <w:sz w:val="38"/>
        </w:rPr>
        <w:t> </w:t>
      </w:r>
      <w:r>
        <w:rPr>
          <w:i/>
          <w:sz w:val="38"/>
        </w:rPr>
        <w:t>consequences</w:t>
      </w:r>
      <w:r>
        <w:rPr>
          <w:i/>
          <w:spacing w:val="-11"/>
          <w:sz w:val="38"/>
        </w:rPr>
        <w:t> </w:t>
      </w:r>
      <w:r>
        <w:rPr>
          <w:i/>
          <w:sz w:val="38"/>
        </w:rPr>
        <w:t>with</w:t>
      </w:r>
      <w:r>
        <w:rPr>
          <w:i/>
          <w:spacing w:val="-12"/>
          <w:sz w:val="38"/>
        </w:rPr>
        <w:t> </w:t>
      </w:r>
      <w:r>
        <w:rPr>
          <w:i/>
          <w:sz w:val="38"/>
        </w:rPr>
        <w:t>decrease</w:t>
      </w:r>
      <w:r>
        <w:rPr>
          <w:i/>
          <w:spacing w:val="-12"/>
          <w:sz w:val="38"/>
        </w:rPr>
        <w:t> </w:t>
      </w:r>
      <w:r>
        <w:rPr>
          <w:i/>
          <w:sz w:val="38"/>
        </w:rPr>
        <w:t>of</w:t>
      </w:r>
      <w:r>
        <w:rPr>
          <w:i/>
          <w:spacing w:val="-10"/>
          <w:sz w:val="38"/>
        </w:rPr>
        <w:t> </w:t>
      </w:r>
      <w:r>
        <w:rPr>
          <w:i/>
          <w:sz w:val="38"/>
        </w:rPr>
        <w:t>additional</w:t>
      </w:r>
      <w:r>
        <w:rPr>
          <w:i/>
          <w:spacing w:val="-10"/>
          <w:sz w:val="38"/>
        </w:rPr>
        <w:t> </w:t>
      </w:r>
      <w:r>
        <w:rPr>
          <w:i/>
          <w:sz w:val="38"/>
        </w:rPr>
        <w:t>Q10</w:t>
      </w:r>
      <w:r>
        <w:rPr>
          <w:i/>
          <w:spacing w:val="-12"/>
          <w:sz w:val="38"/>
        </w:rPr>
        <w:t> </w:t>
      </w:r>
      <w:r>
        <w:rPr>
          <w:i/>
          <w:sz w:val="38"/>
        </w:rPr>
        <w:t>dispensations...</w:t>
      </w:r>
      <w:r>
        <w:rPr>
          <w:i/>
          <w:spacing w:val="-9"/>
          <w:sz w:val="38"/>
        </w:rPr>
        <w:t> </w:t>
      </w:r>
      <w:r>
        <w:rPr>
          <w:i/>
          <w:sz w:val="38"/>
        </w:rPr>
        <w:t>Successful</w:t>
      </w:r>
      <w:r>
        <w:rPr>
          <w:i/>
          <w:spacing w:val="-12"/>
          <w:sz w:val="38"/>
        </w:rPr>
        <w:t> </w:t>
      </w:r>
      <w:r>
        <w:rPr>
          <w:i/>
          <w:sz w:val="38"/>
        </w:rPr>
        <w:t>long-term treatment with Q10... Reduced side effects with a combination of Q10 and heart prepara- tions...</w:t>
      </w:r>
      <w:r>
        <w:rPr>
          <w:i/>
          <w:spacing w:val="15"/>
          <w:sz w:val="38"/>
        </w:rPr>
        <w:t> </w:t>
      </w:r>
      <w:r>
        <w:rPr>
          <w:i/>
          <w:sz w:val="38"/>
        </w:rPr>
        <w:t>Q10</w:t>
      </w:r>
      <w:r>
        <w:rPr>
          <w:i/>
          <w:spacing w:val="16"/>
          <w:sz w:val="38"/>
        </w:rPr>
        <w:t> </w:t>
      </w:r>
      <w:r>
        <w:rPr>
          <w:i/>
          <w:sz w:val="38"/>
        </w:rPr>
        <w:t>decreases</w:t>
      </w:r>
      <w:r>
        <w:rPr>
          <w:i/>
          <w:spacing w:val="15"/>
          <w:sz w:val="38"/>
        </w:rPr>
        <w:t> </w:t>
      </w:r>
      <w:r>
        <w:rPr>
          <w:i/>
          <w:sz w:val="38"/>
        </w:rPr>
        <w:t>angina</w:t>
      </w:r>
      <w:r>
        <w:rPr>
          <w:i/>
          <w:spacing w:val="15"/>
          <w:sz w:val="38"/>
        </w:rPr>
        <w:t> </w:t>
      </w:r>
      <w:r>
        <w:rPr>
          <w:i/>
          <w:sz w:val="38"/>
        </w:rPr>
        <w:t>pectoris</w:t>
      </w:r>
      <w:r>
        <w:rPr>
          <w:i/>
          <w:spacing w:val="17"/>
          <w:sz w:val="38"/>
        </w:rPr>
        <w:t> </w:t>
      </w:r>
      <w:r>
        <w:rPr>
          <w:i/>
          <w:sz w:val="38"/>
        </w:rPr>
        <w:t>attacks...</w:t>
      </w:r>
      <w:r>
        <w:rPr>
          <w:i/>
          <w:spacing w:val="17"/>
          <w:sz w:val="38"/>
        </w:rPr>
        <w:t> </w:t>
      </w:r>
      <w:r>
        <w:rPr>
          <w:i/>
          <w:sz w:val="38"/>
        </w:rPr>
        <w:t>Q10</w:t>
      </w:r>
      <w:r>
        <w:rPr>
          <w:i/>
          <w:spacing w:val="17"/>
          <w:sz w:val="38"/>
        </w:rPr>
        <w:t> </w:t>
      </w:r>
      <w:r>
        <w:rPr>
          <w:i/>
          <w:sz w:val="38"/>
        </w:rPr>
        <w:t>protects</w:t>
      </w:r>
      <w:r>
        <w:rPr>
          <w:i/>
          <w:spacing w:val="15"/>
          <w:sz w:val="38"/>
        </w:rPr>
        <w:t> </w:t>
      </w:r>
      <w:r>
        <w:rPr>
          <w:i/>
          <w:sz w:val="38"/>
        </w:rPr>
        <w:t>the</w:t>
      </w:r>
      <w:r>
        <w:rPr>
          <w:i/>
          <w:spacing w:val="16"/>
          <w:sz w:val="38"/>
        </w:rPr>
        <w:t> </w:t>
      </w:r>
      <w:r>
        <w:rPr>
          <w:i/>
          <w:sz w:val="38"/>
        </w:rPr>
        <w:t>heart</w:t>
      </w:r>
      <w:r>
        <w:rPr>
          <w:i/>
          <w:spacing w:val="16"/>
          <w:sz w:val="38"/>
        </w:rPr>
        <w:t> </w:t>
      </w:r>
      <w:r>
        <w:rPr>
          <w:i/>
          <w:sz w:val="38"/>
        </w:rPr>
        <w:t>before,</w:t>
      </w:r>
      <w:r>
        <w:rPr>
          <w:i/>
          <w:spacing w:val="16"/>
          <w:sz w:val="38"/>
        </w:rPr>
        <w:t> </w:t>
      </w:r>
      <w:r>
        <w:rPr>
          <w:i/>
          <w:sz w:val="38"/>
        </w:rPr>
        <w:t>during</w:t>
      </w:r>
      <w:r>
        <w:rPr>
          <w:i/>
          <w:spacing w:val="16"/>
          <w:sz w:val="38"/>
        </w:rPr>
        <w:t> </w:t>
      </w:r>
      <w:r>
        <w:rPr>
          <w:i/>
          <w:sz w:val="38"/>
        </w:rPr>
        <w:t>and</w:t>
      </w:r>
    </w:p>
    <w:p>
      <w:pPr>
        <w:pStyle w:val="BodyText"/>
        <w:rPr>
          <w:i/>
          <w:sz w:val="20"/>
        </w:rPr>
      </w:pPr>
    </w:p>
    <w:p>
      <w:pPr>
        <w:pStyle w:val="BodyText"/>
        <w:spacing w:before="3"/>
        <w:rPr>
          <w:i/>
          <w:sz w:val="26"/>
        </w:rPr>
      </w:pPr>
      <w:r>
        <w:rPr/>
        <w:pict>
          <v:line style="position:absolute;mso-position-horizontal-relative:page;mso-position-vertical-relative:paragraph;z-index:9656;mso-wrap-distance-left:0;mso-wrap-distance-right:0" from="70.823997pt,17.168764pt" to="214.843997pt,17.168764pt" stroked="true" strokeweight=".71997pt" strokecolor="#000000">
            <v:stroke dashstyle="solid"/>
            <w10:wrap type="topAndBottom"/>
          </v:line>
        </w:pict>
      </w:r>
    </w:p>
    <w:p>
      <w:pPr>
        <w:pStyle w:val="BodyText"/>
        <w:spacing w:before="7"/>
        <w:rPr>
          <w:i/>
          <w:sz w:val="18"/>
        </w:rPr>
      </w:pPr>
    </w:p>
    <w:p>
      <w:pPr>
        <w:spacing w:before="100"/>
        <w:ind w:left="616" w:right="0" w:firstLine="0"/>
        <w:jc w:val="left"/>
        <w:rPr>
          <w:sz w:val="20"/>
        </w:rPr>
      </w:pPr>
      <w:r>
        <w:rPr>
          <w:position w:val="5"/>
          <w:sz w:val="13"/>
        </w:rPr>
        <w:t>735 </w:t>
      </w:r>
      <w:r>
        <w:rPr>
          <w:sz w:val="20"/>
        </w:rPr>
        <w:t>Werner Goller: Was verschweigt die Schulmedizin? (‘What Does Conventional Medicine Conceal?’), 2009, p. 26</w:t>
      </w:r>
    </w:p>
    <w:p>
      <w:pPr>
        <w:spacing w:after="0"/>
        <w:jc w:val="left"/>
        <w:rPr>
          <w:sz w:val="20"/>
        </w:rPr>
        <w:sectPr>
          <w:footerReference w:type="default" r:id="rId310"/>
          <w:pgSz w:w="14270" w:h="16850"/>
          <w:pgMar w:footer="404" w:header="0" w:top="1340" w:bottom="600" w:left="800" w:right="1280"/>
          <w:pgNumType w:start="1313"/>
        </w:sectPr>
      </w:pPr>
    </w:p>
    <w:p>
      <w:pPr>
        <w:spacing w:before="74"/>
        <w:ind w:left="616" w:right="0" w:firstLine="0"/>
        <w:jc w:val="left"/>
        <w:rPr>
          <w:i/>
          <w:sz w:val="38"/>
        </w:rPr>
      </w:pPr>
      <w:r>
        <w:rPr>
          <w:i/>
          <w:sz w:val="38"/>
        </w:rPr>
        <w:t>after heart operations.’</w:t>
      </w:r>
    </w:p>
    <w:p>
      <w:pPr>
        <w:pStyle w:val="BodyText"/>
        <w:spacing w:line="276" w:lineRule="auto" w:before="305"/>
        <w:ind w:left="616" w:right="134"/>
        <w:jc w:val="both"/>
      </w:pPr>
      <w:r>
        <w:rPr/>
        <w:t>Also</w:t>
      </w:r>
      <w:r>
        <w:rPr>
          <w:spacing w:val="-7"/>
        </w:rPr>
        <w:t> </w:t>
      </w:r>
      <w:r>
        <w:rPr/>
        <w:t>worth</w:t>
      </w:r>
      <w:r>
        <w:rPr>
          <w:spacing w:val="-7"/>
        </w:rPr>
        <w:t> </w:t>
      </w:r>
      <w:r>
        <w:rPr/>
        <w:t>mentioning</w:t>
      </w:r>
      <w:r>
        <w:rPr>
          <w:spacing w:val="-6"/>
        </w:rPr>
        <w:t> </w:t>
      </w:r>
      <w:r>
        <w:rPr/>
        <w:t>in</w:t>
      </w:r>
      <w:r>
        <w:rPr>
          <w:spacing w:val="-7"/>
        </w:rPr>
        <w:t> </w:t>
      </w:r>
      <w:r>
        <w:rPr/>
        <w:t>this</w:t>
      </w:r>
      <w:r>
        <w:rPr>
          <w:spacing w:val="-9"/>
        </w:rPr>
        <w:t> </w:t>
      </w:r>
      <w:r>
        <w:rPr/>
        <w:t>context</w:t>
      </w:r>
      <w:r>
        <w:rPr>
          <w:spacing w:val="-8"/>
        </w:rPr>
        <w:t> </w:t>
      </w:r>
      <w:r>
        <w:rPr/>
        <w:t>is</w:t>
      </w:r>
      <w:r>
        <w:rPr>
          <w:spacing w:val="-8"/>
        </w:rPr>
        <w:t> </w:t>
      </w:r>
      <w:r>
        <w:rPr/>
        <w:t>especially</w:t>
      </w:r>
      <w:r>
        <w:rPr>
          <w:spacing w:val="-8"/>
        </w:rPr>
        <w:t> </w:t>
      </w:r>
      <w:r>
        <w:rPr/>
        <w:t>the</w:t>
      </w:r>
      <w:r>
        <w:rPr>
          <w:spacing w:val="-7"/>
        </w:rPr>
        <w:t> </w:t>
      </w:r>
      <w:r>
        <w:rPr/>
        <w:t>American</w:t>
      </w:r>
      <w:r>
        <w:rPr>
          <w:spacing w:val="-7"/>
        </w:rPr>
        <w:t> </w:t>
      </w:r>
      <w:r>
        <w:rPr/>
        <w:t>double-blind study by Dr. W.V. Judy et al., in which, over the course of eight years, two groups of patients with severe heart disease were compared: one group were treated</w:t>
      </w:r>
      <w:r>
        <w:rPr>
          <w:spacing w:val="-17"/>
        </w:rPr>
        <w:t> </w:t>
      </w:r>
      <w:r>
        <w:rPr/>
        <w:t>with</w:t>
      </w:r>
      <w:r>
        <w:rPr>
          <w:spacing w:val="-17"/>
        </w:rPr>
        <w:t> </w:t>
      </w:r>
      <w:r>
        <w:rPr/>
        <w:t>conventional</w:t>
      </w:r>
      <w:r>
        <w:rPr>
          <w:spacing w:val="-18"/>
        </w:rPr>
        <w:t> </w:t>
      </w:r>
      <w:r>
        <w:rPr/>
        <w:t>medication</w:t>
      </w:r>
      <w:r>
        <w:rPr>
          <w:spacing w:val="-16"/>
        </w:rPr>
        <w:t> </w:t>
      </w:r>
      <w:r>
        <w:rPr/>
        <w:t>and</w:t>
      </w:r>
      <w:r>
        <w:rPr>
          <w:spacing w:val="-17"/>
        </w:rPr>
        <w:t> </w:t>
      </w:r>
      <w:r>
        <w:rPr/>
        <w:t>a</w:t>
      </w:r>
      <w:r>
        <w:rPr>
          <w:spacing w:val="-18"/>
        </w:rPr>
        <w:t> </w:t>
      </w:r>
      <w:r>
        <w:rPr/>
        <w:t>placebo,</w:t>
      </w:r>
      <w:r>
        <w:rPr>
          <w:spacing w:val="-17"/>
        </w:rPr>
        <w:t> </w:t>
      </w:r>
      <w:r>
        <w:rPr/>
        <w:t>while</w:t>
      </w:r>
      <w:r>
        <w:rPr>
          <w:spacing w:val="-17"/>
        </w:rPr>
        <w:t> </w:t>
      </w:r>
      <w:r>
        <w:rPr/>
        <w:t>the</w:t>
      </w:r>
      <w:r>
        <w:rPr>
          <w:spacing w:val="-19"/>
        </w:rPr>
        <w:t> </w:t>
      </w:r>
      <w:r>
        <w:rPr/>
        <w:t>other</w:t>
      </w:r>
      <w:r>
        <w:rPr>
          <w:spacing w:val="-17"/>
        </w:rPr>
        <w:t> </w:t>
      </w:r>
      <w:r>
        <w:rPr/>
        <w:t>group</w:t>
      </w:r>
      <w:r>
        <w:rPr>
          <w:spacing w:val="-17"/>
        </w:rPr>
        <w:t> </w:t>
      </w:r>
      <w:r>
        <w:rPr/>
        <w:t>was treated with both conventional medications and Q10</w:t>
      </w:r>
      <w:r>
        <w:rPr>
          <w:spacing w:val="-5"/>
        </w:rPr>
        <w:t> </w:t>
      </w:r>
      <w:r>
        <w:rPr/>
        <w:t>supplements.</w:t>
      </w:r>
    </w:p>
    <w:p>
      <w:pPr>
        <w:pStyle w:val="BodyText"/>
        <w:spacing w:line="276" w:lineRule="auto" w:before="240"/>
        <w:ind w:left="616" w:right="135"/>
        <w:jc w:val="both"/>
      </w:pPr>
      <w:r>
        <w:rPr/>
        <w:t>While after five years all patients in the placebo group had died, 50 % of all patients</w:t>
      </w:r>
      <w:r>
        <w:rPr>
          <w:spacing w:val="-8"/>
        </w:rPr>
        <w:t> </w:t>
      </w:r>
      <w:r>
        <w:rPr/>
        <w:t>in</w:t>
      </w:r>
      <w:r>
        <w:rPr>
          <w:spacing w:val="-8"/>
        </w:rPr>
        <w:t> </w:t>
      </w:r>
      <w:r>
        <w:rPr/>
        <w:t>the</w:t>
      </w:r>
      <w:r>
        <w:rPr>
          <w:spacing w:val="-7"/>
        </w:rPr>
        <w:t> </w:t>
      </w:r>
      <w:r>
        <w:rPr/>
        <w:t>Q10</w:t>
      </w:r>
      <w:r>
        <w:rPr>
          <w:spacing w:val="-9"/>
        </w:rPr>
        <w:t> </w:t>
      </w:r>
      <w:r>
        <w:rPr/>
        <w:t>group</w:t>
      </w:r>
      <w:r>
        <w:rPr>
          <w:spacing w:val="-8"/>
        </w:rPr>
        <w:t> </w:t>
      </w:r>
      <w:r>
        <w:rPr/>
        <w:t>had</w:t>
      </w:r>
      <w:r>
        <w:rPr>
          <w:spacing w:val="-9"/>
        </w:rPr>
        <w:t> </w:t>
      </w:r>
      <w:r>
        <w:rPr/>
        <w:t>survived</w:t>
      </w:r>
      <w:r>
        <w:rPr>
          <w:spacing w:val="-9"/>
        </w:rPr>
        <w:t> </w:t>
      </w:r>
      <w:r>
        <w:rPr/>
        <w:t>and</w:t>
      </w:r>
      <w:r>
        <w:rPr>
          <w:spacing w:val="-8"/>
        </w:rPr>
        <w:t> </w:t>
      </w:r>
      <w:r>
        <w:rPr/>
        <w:t>a</w:t>
      </w:r>
      <w:r>
        <w:rPr>
          <w:spacing w:val="-9"/>
        </w:rPr>
        <w:t> </w:t>
      </w:r>
      <w:r>
        <w:rPr/>
        <w:t>further</w:t>
      </w:r>
      <w:r>
        <w:rPr>
          <w:spacing w:val="-8"/>
        </w:rPr>
        <w:t> </w:t>
      </w:r>
      <w:r>
        <w:rPr/>
        <w:t>three</w:t>
      </w:r>
      <w:r>
        <w:rPr>
          <w:spacing w:val="-8"/>
        </w:rPr>
        <w:t> </w:t>
      </w:r>
      <w:r>
        <w:rPr/>
        <w:t>years</w:t>
      </w:r>
      <w:r>
        <w:rPr>
          <w:spacing w:val="-9"/>
        </w:rPr>
        <w:t> </w:t>
      </w:r>
      <w:r>
        <w:rPr/>
        <w:t>later,</w:t>
      </w:r>
      <w:r>
        <w:rPr>
          <w:spacing w:val="-8"/>
        </w:rPr>
        <w:t> </w:t>
      </w:r>
      <w:r>
        <w:rPr/>
        <w:t>36</w:t>
      </w:r>
      <w:r>
        <w:rPr>
          <w:spacing w:val="-9"/>
        </w:rPr>
        <w:t> </w:t>
      </w:r>
      <w:r>
        <w:rPr/>
        <w:t>%</w:t>
      </w:r>
      <w:r>
        <w:rPr>
          <w:spacing w:val="-9"/>
        </w:rPr>
        <w:t> </w:t>
      </w:r>
      <w:r>
        <w:rPr/>
        <w:t>of all patients were still living.</w:t>
      </w:r>
    </w:p>
    <w:p>
      <w:pPr>
        <w:pStyle w:val="BodyText"/>
        <w:spacing w:line="276" w:lineRule="auto" w:before="239"/>
        <w:ind w:left="616" w:right="134"/>
        <w:jc w:val="both"/>
      </w:pPr>
      <w:r>
        <w:rPr/>
        <w:t>In</w:t>
      </w:r>
      <w:r>
        <w:rPr>
          <w:spacing w:val="-17"/>
        </w:rPr>
        <w:t> </w:t>
      </w:r>
      <w:r>
        <w:rPr/>
        <w:t>another</w:t>
      </w:r>
      <w:r>
        <w:rPr>
          <w:spacing w:val="-15"/>
        </w:rPr>
        <w:t> </w:t>
      </w:r>
      <w:r>
        <w:rPr/>
        <w:t>study,</w:t>
      </w:r>
      <w:r>
        <w:rPr>
          <w:spacing w:val="-17"/>
        </w:rPr>
        <w:t> </w:t>
      </w:r>
      <w:r>
        <w:rPr/>
        <w:t>Prof.</w:t>
      </w:r>
      <w:r>
        <w:rPr>
          <w:spacing w:val="-16"/>
        </w:rPr>
        <w:t> </w:t>
      </w:r>
      <w:r>
        <w:rPr/>
        <w:t>K.</w:t>
      </w:r>
      <w:r>
        <w:rPr>
          <w:spacing w:val="-16"/>
        </w:rPr>
        <w:t> </w:t>
      </w:r>
      <w:r>
        <w:rPr/>
        <w:t>Folkers’s</w:t>
      </w:r>
      <w:r>
        <w:rPr>
          <w:spacing w:val="-16"/>
        </w:rPr>
        <w:t> </w:t>
      </w:r>
      <w:r>
        <w:rPr/>
        <w:t>team</w:t>
      </w:r>
      <w:r>
        <w:rPr>
          <w:spacing w:val="-17"/>
        </w:rPr>
        <w:t> </w:t>
      </w:r>
      <w:r>
        <w:rPr/>
        <w:t>documented</w:t>
      </w:r>
      <w:r>
        <w:rPr>
          <w:spacing w:val="-17"/>
        </w:rPr>
        <w:t> </w:t>
      </w:r>
      <w:r>
        <w:rPr/>
        <w:t>an</w:t>
      </w:r>
      <w:r>
        <w:rPr>
          <w:spacing w:val="-16"/>
        </w:rPr>
        <w:t> </w:t>
      </w:r>
      <w:r>
        <w:rPr/>
        <w:t>astounding</w:t>
      </w:r>
      <w:r>
        <w:rPr>
          <w:spacing w:val="-16"/>
        </w:rPr>
        <w:t> </w:t>
      </w:r>
      <w:r>
        <w:rPr/>
        <w:t>improve- ment to the relevant parameters of ‘cardiac output’ and ‘heart stroke volume’ with an intake of only 100mg Q10/day, which he published in his book </w:t>
      </w:r>
      <w:r>
        <w:rPr>
          <w:i/>
        </w:rPr>
        <w:t>The </w:t>
      </w:r>
      <w:r>
        <w:rPr>
          <w:i/>
        </w:rPr>
        <w:t>Discovery: </w:t>
      </w:r>
      <w:r>
        <w:rPr/>
        <w:t>Energy Vitamin</w:t>
      </w:r>
      <w:r>
        <w:rPr>
          <w:spacing w:val="3"/>
        </w:rPr>
        <w:t> </w:t>
      </w:r>
      <w:r>
        <w:rPr/>
        <w:t>Q10:</w:t>
      </w:r>
    </w:p>
    <w:p>
      <w:pPr>
        <w:spacing w:after="0" w:line="276" w:lineRule="auto"/>
        <w:jc w:val="both"/>
        <w:sectPr>
          <w:pgSz w:w="14270" w:h="16850"/>
          <w:pgMar w:header="0" w:footer="404" w:top="1340" w:bottom="2080" w:left="800" w:right="1280"/>
        </w:sectPr>
      </w:pPr>
    </w:p>
    <w:tbl>
      <w:tblPr>
        <w:tblW w:w="0" w:type="auto"/>
        <w:jc w:val="left"/>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4"/>
        <w:gridCol w:w="1274"/>
        <w:gridCol w:w="994"/>
        <w:gridCol w:w="1133"/>
        <w:gridCol w:w="994"/>
        <w:gridCol w:w="1274"/>
      </w:tblGrid>
      <w:tr>
        <w:trPr>
          <w:trHeight w:val="2075" w:hRule="atLeast"/>
        </w:trPr>
        <w:tc>
          <w:tcPr>
            <w:tcW w:w="994" w:type="dxa"/>
            <w:vMerge w:val="restart"/>
          </w:tcPr>
          <w:p>
            <w:pPr>
              <w:pStyle w:val="TableParagraph"/>
              <w:spacing w:before="7"/>
              <w:rPr>
                <w:sz w:val="22"/>
              </w:rPr>
            </w:pPr>
          </w:p>
          <w:p>
            <w:pPr>
              <w:pStyle w:val="TableParagraph"/>
              <w:ind w:left="72"/>
              <w:rPr>
                <w:b/>
                <w:sz w:val="25"/>
              </w:rPr>
            </w:pPr>
            <w:r>
              <w:rPr>
                <w:b/>
                <w:sz w:val="25"/>
              </w:rPr>
              <w:t>AGE</w:t>
            </w:r>
          </w:p>
        </w:tc>
        <w:tc>
          <w:tcPr>
            <w:tcW w:w="1274" w:type="dxa"/>
            <w:vMerge w:val="restart"/>
          </w:tcPr>
          <w:p>
            <w:pPr>
              <w:pStyle w:val="TableParagraph"/>
              <w:spacing w:before="7"/>
              <w:rPr>
                <w:sz w:val="22"/>
              </w:rPr>
            </w:pPr>
          </w:p>
          <w:p>
            <w:pPr>
              <w:pStyle w:val="TableParagraph"/>
              <w:ind w:left="237"/>
              <w:rPr>
                <w:b/>
                <w:sz w:val="25"/>
              </w:rPr>
            </w:pPr>
            <w:r>
              <w:rPr>
                <w:b/>
                <w:sz w:val="25"/>
              </w:rPr>
              <w:t>Q10</w:t>
            </w:r>
            <w:r>
              <w:rPr>
                <w:b/>
                <w:spacing w:val="-6"/>
                <w:sz w:val="25"/>
              </w:rPr>
              <w:t> </w:t>
            </w:r>
            <w:r>
              <w:rPr>
                <w:b/>
                <w:sz w:val="25"/>
              </w:rPr>
              <w:t>In-</w:t>
            </w:r>
          </w:p>
          <w:p>
            <w:pPr>
              <w:pStyle w:val="TableParagraph"/>
              <w:spacing w:line="422" w:lineRule="auto" w:before="209"/>
              <w:ind w:left="237" w:right="99" w:firstLine="40"/>
              <w:rPr>
                <w:b/>
                <w:sz w:val="25"/>
              </w:rPr>
            </w:pPr>
            <w:r>
              <w:rPr>
                <w:b/>
                <w:sz w:val="25"/>
              </w:rPr>
              <w:t>take in </w:t>
            </w:r>
            <w:r>
              <w:rPr>
                <w:b/>
                <w:w w:val="95"/>
                <w:sz w:val="25"/>
              </w:rPr>
              <w:t>months</w:t>
            </w:r>
          </w:p>
        </w:tc>
        <w:tc>
          <w:tcPr>
            <w:tcW w:w="2127" w:type="dxa"/>
            <w:gridSpan w:val="2"/>
          </w:tcPr>
          <w:p>
            <w:pPr>
              <w:pStyle w:val="TableParagraph"/>
              <w:spacing w:before="7"/>
              <w:rPr>
                <w:sz w:val="26"/>
              </w:rPr>
            </w:pPr>
          </w:p>
          <w:p>
            <w:pPr>
              <w:pStyle w:val="TableParagraph"/>
              <w:spacing w:line="690" w:lineRule="atLeast"/>
              <w:ind w:left="831" w:right="277" w:hanging="522"/>
              <w:rPr>
                <w:b/>
                <w:sz w:val="25"/>
              </w:rPr>
            </w:pPr>
            <w:r>
              <w:rPr>
                <w:b/>
                <w:sz w:val="25"/>
              </w:rPr>
              <w:t>Stroke volume (SV)</w:t>
            </w:r>
          </w:p>
        </w:tc>
        <w:tc>
          <w:tcPr>
            <w:tcW w:w="2268" w:type="dxa"/>
            <w:gridSpan w:val="2"/>
          </w:tcPr>
          <w:p>
            <w:pPr>
              <w:pStyle w:val="TableParagraph"/>
              <w:rPr>
                <w:sz w:val="28"/>
              </w:rPr>
            </w:pPr>
          </w:p>
          <w:p>
            <w:pPr>
              <w:pStyle w:val="TableParagraph"/>
              <w:spacing w:before="8"/>
              <w:rPr>
                <w:sz w:val="34"/>
              </w:rPr>
            </w:pPr>
          </w:p>
          <w:p>
            <w:pPr>
              <w:pStyle w:val="TableParagraph"/>
              <w:spacing w:line="422" w:lineRule="auto" w:before="1"/>
              <w:ind w:left="864" w:hanging="519"/>
              <w:rPr>
                <w:b/>
                <w:sz w:val="25"/>
              </w:rPr>
            </w:pPr>
            <w:r>
              <w:rPr>
                <w:b/>
                <w:sz w:val="25"/>
              </w:rPr>
              <w:t>Cardiac output (CO)</w:t>
            </w:r>
          </w:p>
        </w:tc>
      </w:tr>
      <w:tr>
        <w:trPr>
          <w:trHeight w:val="1422" w:hRule="atLeast"/>
        </w:trPr>
        <w:tc>
          <w:tcPr>
            <w:tcW w:w="994" w:type="dxa"/>
            <w:vMerge/>
            <w:tcBorders>
              <w:top w:val="nil"/>
            </w:tcBorders>
          </w:tcPr>
          <w:p>
            <w:pPr>
              <w:rPr>
                <w:sz w:val="2"/>
                <w:szCs w:val="2"/>
              </w:rPr>
            </w:pPr>
          </w:p>
        </w:tc>
        <w:tc>
          <w:tcPr>
            <w:tcW w:w="1274" w:type="dxa"/>
            <w:vMerge/>
            <w:tcBorders>
              <w:top w:val="nil"/>
            </w:tcBorders>
          </w:tcPr>
          <w:p>
            <w:pPr>
              <w:rPr>
                <w:sz w:val="2"/>
                <w:szCs w:val="2"/>
              </w:rPr>
            </w:pPr>
          </w:p>
        </w:tc>
        <w:tc>
          <w:tcPr>
            <w:tcW w:w="994" w:type="dxa"/>
          </w:tcPr>
          <w:p>
            <w:pPr>
              <w:pStyle w:val="TableParagraph"/>
              <w:spacing w:before="4"/>
              <w:rPr>
                <w:sz w:val="22"/>
              </w:rPr>
            </w:pPr>
          </w:p>
          <w:p>
            <w:pPr>
              <w:pStyle w:val="TableParagraph"/>
              <w:spacing w:line="420" w:lineRule="auto" w:before="1"/>
              <w:ind w:left="72" w:right="235"/>
              <w:rPr>
                <w:sz w:val="25"/>
              </w:rPr>
            </w:pPr>
            <w:r>
              <w:rPr>
                <w:sz w:val="25"/>
              </w:rPr>
              <w:t>BE- FORE</w:t>
            </w:r>
          </w:p>
        </w:tc>
        <w:tc>
          <w:tcPr>
            <w:tcW w:w="1133" w:type="dxa"/>
          </w:tcPr>
          <w:p>
            <w:pPr>
              <w:pStyle w:val="TableParagraph"/>
              <w:spacing w:before="7"/>
              <w:rPr>
                <w:sz w:val="22"/>
              </w:rPr>
            </w:pPr>
          </w:p>
          <w:p>
            <w:pPr>
              <w:pStyle w:val="TableParagraph"/>
              <w:ind w:left="113" w:right="186"/>
              <w:jc w:val="center"/>
              <w:rPr>
                <w:sz w:val="25"/>
              </w:rPr>
            </w:pPr>
            <w:r>
              <w:rPr>
                <w:sz w:val="25"/>
              </w:rPr>
              <w:t>AFTER</w:t>
            </w:r>
          </w:p>
        </w:tc>
        <w:tc>
          <w:tcPr>
            <w:tcW w:w="994" w:type="dxa"/>
          </w:tcPr>
          <w:p>
            <w:pPr>
              <w:pStyle w:val="TableParagraph"/>
              <w:spacing w:before="4"/>
              <w:rPr>
                <w:sz w:val="22"/>
              </w:rPr>
            </w:pPr>
          </w:p>
          <w:p>
            <w:pPr>
              <w:pStyle w:val="TableParagraph"/>
              <w:spacing w:line="422" w:lineRule="auto" w:before="1"/>
              <w:ind w:left="72" w:right="235"/>
              <w:rPr>
                <w:sz w:val="25"/>
              </w:rPr>
            </w:pPr>
            <w:r>
              <w:rPr>
                <w:sz w:val="25"/>
              </w:rPr>
              <w:t>BE- FORE</w:t>
            </w:r>
          </w:p>
        </w:tc>
        <w:tc>
          <w:tcPr>
            <w:tcW w:w="1274" w:type="dxa"/>
          </w:tcPr>
          <w:p>
            <w:pPr>
              <w:pStyle w:val="TableParagraph"/>
              <w:spacing w:before="7"/>
              <w:rPr>
                <w:sz w:val="22"/>
              </w:rPr>
            </w:pPr>
          </w:p>
          <w:p>
            <w:pPr>
              <w:pStyle w:val="TableParagraph"/>
              <w:ind w:right="409"/>
              <w:jc w:val="right"/>
              <w:rPr>
                <w:sz w:val="25"/>
              </w:rPr>
            </w:pPr>
            <w:r>
              <w:rPr>
                <w:sz w:val="25"/>
              </w:rPr>
              <w:t>AFTER</w:t>
            </w:r>
          </w:p>
        </w:tc>
      </w:tr>
      <w:tr>
        <w:trPr>
          <w:trHeight w:val="933" w:hRule="atLeast"/>
        </w:trPr>
        <w:tc>
          <w:tcPr>
            <w:tcW w:w="994" w:type="dxa"/>
          </w:tcPr>
          <w:p>
            <w:pPr>
              <w:pStyle w:val="TableParagraph"/>
              <w:spacing w:before="7"/>
              <w:rPr>
                <w:sz w:val="22"/>
              </w:rPr>
            </w:pPr>
          </w:p>
          <w:p>
            <w:pPr>
              <w:pStyle w:val="TableParagraph"/>
              <w:spacing w:before="1"/>
              <w:ind w:left="359" w:right="349"/>
              <w:jc w:val="center"/>
              <w:rPr>
                <w:sz w:val="25"/>
              </w:rPr>
            </w:pPr>
            <w:r>
              <w:rPr>
                <w:sz w:val="25"/>
              </w:rPr>
              <w:t>38</w:t>
            </w:r>
          </w:p>
        </w:tc>
        <w:tc>
          <w:tcPr>
            <w:tcW w:w="1274" w:type="dxa"/>
          </w:tcPr>
          <w:p>
            <w:pPr>
              <w:pStyle w:val="TableParagraph"/>
              <w:spacing w:before="7"/>
              <w:rPr>
                <w:sz w:val="22"/>
              </w:rPr>
            </w:pPr>
          </w:p>
          <w:p>
            <w:pPr>
              <w:pStyle w:val="TableParagraph"/>
              <w:spacing w:before="1"/>
              <w:ind w:left="9"/>
              <w:jc w:val="center"/>
              <w:rPr>
                <w:sz w:val="25"/>
              </w:rPr>
            </w:pPr>
            <w:r>
              <w:rPr>
                <w:w w:val="99"/>
                <w:sz w:val="25"/>
              </w:rPr>
              <w:t>6</w:t>
            </w:r>
          </w:p>
        </w:tc>
        <w:tc>
          <w:tcPr>
            <w:tcW w:w="994" w:type="dxa"/>
          </w:tcPr>
          <w:p>
            <w:pPr>
              <w:pStyle w:val="TableParagraph"/>
              <w:spacing w:before="7"/>
              <w:rPr>
                <w:sz w:val="22"/>
              </w:rPr>
            </w:pPr>
          </w:p>
          <w:p>
            <w:pPr>
              <w:pStyle w:val="TableParagraph"/>
              <w:spacing w:before="1"/>
              <w:ind w:right="222"/>
              <w:jc w:val="right"/>
              <w:rPr>
                <w:sz w:val="25"/>
              </w:rPr>
            </w:pPr>
            <w:r>
              <w:rPr>
                <w:w w:val="95"/>
                <w:sz w:val="25"/>
              </w:rPr>
              <w:t>45.30</w:t>
            </w:r>
          </w:p>
        </w:tc>
        <w:tc>
          <w:tcPr>
            <w:tcW w:w="1133" w:type="dxa"/>
          </w:tcPr>
          <w:p>
            <w:pPr>
              <w:pStyle w:val="TableParagraph"/>
              <w:spacing w:before="7"/>
              <w:rPr>
                <w:sz w:val="22"/>
              </w:rPr>
            </w:pPr>
          </w:p>
          <w:p>
            <w:pPr>
              <w:pStyle w:val="TableParagraph"/>
              <w:spacing w:before="1"/>
              <w:ind w:left="113" w:right="100"/>
              <w:jc w:val="center"/>
              <w:rPr>
                <w:sz w:val="25"/>
              </w:rPr>
            </w:pPr>
            <w:r>
              <w:rPr>
                <w:sz w:val="25"/>
              </w:rPr>
              <w:t>51.80</w:t>
            </w:r>
          </w:p>
        </w:tc>
        <w:tc>
          <w:tcPr>
            <w:tcW w:w="994" w:type="dxa"/>
          </w:tcPr>
          <w:p>
            <w:pPr>
              <w:pStyle w:val="TableParagraph"/>
              <w:spacing w:before="7"/>
              <w:rPr>
                <w:sz w:val="22"/>
              </w:rPr>
            </w:pPr>
          </w:p>
          <w:p>
            <w:pPr>
              <w:pStyle w:val="TableParagraph"/>
              <w:spacing w:before="1"/>
              <w:ind w:right="278"/>
              <w:jc w:val="right"/>
              <w:rPr>
                <w:sz w:val="25"/>
              </w:rPr>
            </w:pPr>
            <w:r>
              <w:rPr>
                <w:w w:val="95"/>
                <w:sz w:val="25"/>
              </w:rPr>
              <w:t>3.25</w:t>
            </w:r>
          </w:p>
        </w:tc>
        <w:tc>
          <w:tcPr>
            <w:tcW w:w="1274" w:type="dxa"/>
          </w:tcPr>
          <w:p>
            <w:pPr>
              <w:pStyle w:val="TableParagraph"/>
              <w:spacing w:before="7"/>
              <w:rPr>
                <w:sz w:val="22"/>
              </w:rPr>
            </w:pPr>
          </w:p>
          <w:p>
            <w:pPr>
              <w:pStyle w:val="TableParagraph"/>
              <w:spacing w:before="1"/>
              <w:ind w:right="419"/>
              <w:jc w:val="right"/>
              <w:rPr>
                <w:sz w:val="25"/>
              </w:rPr>
            </w:pPr>
            <w:r>
              <w:rPr>
                <w:w w:val="95"/>
                <w:sz w:val="25"/>
              </w:rPr>
              <w:t>3.65</w:t>
            </w:r>
          </w:p>
        </w:tc>
      </w:tr>
      <w:tr>
        <w:trPr>
          <w:trHeight w:val="930" w:hRule="atLeast"/>
        </w:trPr>
        <w:tc>
          <w:tcPr>
            <w:tcW w:w="994" w:type="dxa"/>
          </w:tcPr>
          <w:p>
            <w:pPr>
              <w:pStyle w:val="TableParagraph"/>
              <w:spacing w:before="7"/>
              <w:rPr>
                <w:sz w:val="22"/>
              </w:rPr>
            </w:pPr>
          </w:p>
          <w:p>
            <w:pPr>
              <w:pStyle w:val="TableParagraph"/>
              <w:ind w:left="359" w:right="349"/>
              <w:jc w:val="center"/>
              <w:rPr>
                <w:sz w:val="25"/>
              </w:rPr>
            </w:pPr>
            <w:r>
              <w:rPr>
                <w:sz w:val="25"/>
              </w:rPr>
              <w:t>51</w:t>
            </w:r>
          </w:p>
        </w:tc>
        <w:tc>
          <w:tcPr>
            <w:tcW w:w="1274" w:type="dxa"/>
          </w:tcPr>
          <w:p>
            <w:pPr>
              <w:pStyle w:val="TableParagraph"/>
              <w:spacing w:before="7"/>
              <w:rPr>
                <w:sz w:val="22"/>
              </w:rPr>
            </w:pPr>
          </w:p>
          <w:p>
            <w:pPr>
              <w:pStyle w:val="TableParagraph"/>
              <w:ind w:left="9"/>
              <w:jc w:val="center"/>
              <w:rPr>
                <w:sz w:val="25"/>
              </w:rPr>
            </w:pPr>
            <w:r>
              <w:rPr>
                <w:w w:val="99"/>
                <w:sz w:val="25"/>
              </w:rPr>
              <w:t>8</w:t>
            </w:r>
          </w:p>
        </w:tc>
        <w:tc>
          <w:tcPr>
            <w:tcW w:w="994" w:type="dxa"/>
          </w:tcPr>
          <w:p>
            <w:pPr>
              <w:pStyle w:val="TableParagraph"/>
              <w:spacing w:before="7"/>
              <w:rPr>
                <w:sz w:val="22"/>
              </w:rPr>
            </w:pPr>
          </w:p>
          <w:p>
            <w:pPr>
              <w:pStyle w:val="TableParagraph"/>
              <w:ind w:right="278"/>
              <w:jc w:val="right"/>
              <w:rPr>
                <w:sz w:val="25"/>
              </w:rPr>
            </w:pPr>
            <w:r>
              <w:rPr>
                <w:w w:val="95"/>
                <w:sz w:val="25"/>
              </w:rPr>
              <w:t>26.4</w:t>
            </w:r>
          </w:p>
        </w:tc>
        <w:tc>
          <w:tcPr>
            <w:tcW w:w="1133" w:type="dxa"/>
          </w:tcPr>
          <w:p>
            <w:pPr>
              <w:pStyle w:val="TableParagraph"/>
              <w:spacing w:before="7"/>
              <w:rPr>
                <w:sz w:val="22"/>
              </w:rPr>
            </w:pPr>
          </w:p>
          <w:p>
            <w:pPr>
              <w:pStyle w:val="TableParagraph"/>
              <w:ind w:left="113" w:right="100"/>
              <w:jc w:val="center"/>
              <w:rPr>
                <w:sz w:val="25"/>
              </w:rPr>
            </w:pPr>
            <w:r>
              <w:rPr>
                <w:sz w:val="25"/>
              </w:rPr>
              <w:t>38.82</w:t>
            </w:r>
          </w:p>
        </w:tc>
        <w:tc>
          <w:tcPr>
            <w:tcW w:w="994" w:type="dxa"/>
          </w:tcPr>
          <w:p>
            <w:pPr>
              <w:pStyle w:val="TableParagraph"/>
              <w:spacing w:before="7"/>
              <w:rPr>
                <w:sz w:val="22"/>
              </w:rPr>
            </w:pPr>
          </w:p>
          <w:p>
            <w:pPr>
              <w:pStyle w:val="TableParagraph"/>
              <w:ind w:right="278"/>
              <w:jc w:val="right"/>
              <w:rPr>
                <w:sz w:val="25"/>
              </w:rPr>
            </w:pPr>
            <w:r>
              <w:rPr>
                <w:w w:val="95"/>
                <w:sz w:val="25"/>
              </w:rPr>
              <w:t>2.43</w:t>
            </w:r>
          </w:p>
        </w:tc>
        <w:tc>
          <w:tcPr>
            <w:tcW w:w="1274" w:type="dxa"/>
          </w:tcPr>
          <w:p>
            <w:pPr>
              <w:pStyle w:val="TableParagraph"/>
              <w:spacing w:before="7"/>
              <w:rPr>
                <w:sz w:val="22"/>
              </w:rPr>
            </w:pPr>
          </w:p>
          <w:p>
            <w:pPr>
              <w:pStyle w:val="TableParagraph"/>
              <w:ind w:right="419"/>
              <w:jc w:val="right"/>
              <w:rPr>
                <w:sz w:val="25"/>
              </w:rPr>
            </w:pPr>
            <w:r>
              <w:rPr>
                <w:w w:val="95"/>
                <w:sz w:val="25"/>
              </w:rPr>
              <w:t>3.64</w:t>
            </w:r>
          </w:p>
        </w:tc>
      </w:tr>
      <w:tr>
        <w:trPr>
          <w:trHeight w:val="930" w:hRule="atLeast"/>
        </w:trPr>
        <w:tc>
          <w:tcPr>
            <w:tcW w:w="994" w:type="dxa"/>
          </w:tcPr>
          <w:p>
            <w:pPr>
              <w:pStyle w:val="TableParagraph"/>
              <w:spacing w:before="7"/>
              <w:rPr>
                <w:sz w:val="22"/>
              </w:rPr>
            </w:pPr>
          </w:p>
          <w:p>
            <w:pPr>
              <w:pStyle w:val="TableParagraph"/>
              <w:ind w:left="359" w:right="349"/>
              <w:jc w:val="center"/>
              <w:rPr>
                <w:sz w:val="25"/>
              </w:rPr>
            </w:pPr>
            <w:r>
              <w:rPr>
                <w:sz w:val="25"/>
              </w:rPr>
              <w:t>58</w:t>
            </w:r>
          </w:p>
        </w:tc>
        <w:tc>
          <w:tcPr>
            <w:tcW w:w="1274" w:type="dxa"/>
          </w:tcPr>
          <w:p>
            <w:pPr>
              <w:pStyle w:val="TableParagraph"/>
              <w:spacing w:before="7"/>
              <w:rPr>
                <w:sz w:val="22"/>
              </w:rPr>
            </w:pPr>
          </w:p>
          <w:p>
            <w:pPr>
              <w:pStyle w:val="TableParagraph"/>
              <w:ind w:left="9"/>
              <w:jc w:val="center"/>
              <w:rPr>
                <w:sz w:val="25"/>
              </w:rPr>
            </w:pPr>
            <w:r>
              <w:rPr>
                <w:w w:val="99"/>
                <w:sz w:val="25"/>
              </w:rPr>
              <w:t>6</w:t>
            </w:r>
          </w:p>
        </w:tc>
        <w:tc>
          <w:tcPr>
            <w:tcW w:w="994" w:type="dxa"/>
          </w:tcPr>
          <w:p>
            <w:pPr>
              <w:pStyle w:val="TableParagraph"/>
              <w:spacing w:before="7"/>
              <w:rPr>
                <w:sz w:val="22"/>
              </w:rPr>
            </w:pPr>
          </w:p>
          <w:p>
            <w:pPr>
              <w:pStyle w:val="TableParagraph"/>
              <w:ind w:right="222"/>
              <w:jc w:val="right"/>
              <w:rPr>
                <w:sz w:val="25"/>
              </w:rPr>
            </w:pPr>
            <w:r>
              <w:rPr>
                <w:w w:val="95"/>
                <w:sz w:val="25"/>
              </w:rPr>
              <w:t>43.55</w:t>
            </w:r>
          </w:p>
        </w:tc>
        <w:tc>
          <w:tcPr>
            <w:tcW w:w="1133" w:type="dxa"/>
          </w:tcPr>
          <w:p>
            <w:pPr>
              <w:pStyle w:val="TableParagraph"/>
              <w:spacing w:before="7"/>
              <w:rPr>
                <w:sz w:val="22"/>
              </w:rPr>
            </w:pPr>
          </w:p>
          <w:p>
            <w:pPr>
              <w:pStyle w:val="TableParagraph"/>
              <w:ind w:left="113" w:right="100"/>
              <w:jc w:val="center"/>
              <w:rPr>
                <w:sz w:val="25"/>
              </w:rPr>
            </w:pPr>
            <w:r>
              <w:rPr>
                <w:sz w:val="25"/>
              </w:rPr>
              <w:t>55.05</w:t>
            </w:r>
          </w:p>
        </w:tc>
        <w:tc>
          <w:tcPr>
            <w:tcW w:w="994" w:type="dxa"/>
          </w:tcPr>
          <w:p>
            <w:pPr>
              <w:pStyle w:val="TableParagraph"/>
              <w:spacing w:before="7"/>
              <w:rPr>
                <w:sz w:val="22"/>
              </w:rPr>
            </w:pPr>
          </w:p>
          <w:p>
            <w:pPr>
              <w:pStyle w:val="TableParagraph"/>
              <w:ind w:right="278"/>
              <w:jc w:val="right"/>
              <w:rPr>
                <w:sz w:val="25"/>
              </w:rPr>
            </w:pPr>
            <w:r>
              <w:rPr>
                <w:w w:val="95"/>
                <w:sz w:val="25"/>
              </w:rPr>
              <w:t>3.06</w:t>
            </w:r>
          </w:p>
        </w:tc>
        <w:tc>
          <w:tcPr>
            <w:tcW w:w="1274" w:type="dxa"/>
          </w:tcPr>
          <w:p>
            <w:pPr>
              <w:pStyle w:val="TableParagraph"/>
              <w:spacing w:before="7"/>
              <w:rPr>
                <w:sz w:val="22"/>
              </w:rPr>
            </w:pPr>
          </w:p>
          <w:p>
            <w:pPr>
              <w:pStyle w:val="TableParagraph"/>
              <w:ind w:right="419"/>
              <w:jc w:val="right"/>
              <w:rPr>
                <w:sz w:val="25"/>
              </w:rPr>
            </w:pPr>
            <w:r>
              <w:rPr>
                <w:w w:val="95"/>
                <w:sz w:val="25"/>
              </w:rPr>
              <w:t>3.65</w:t>
            </w:r>
          </w:p>
        </w:tc>
      </w:tr>
      <w:tr>
        <w:trPr>
          <w:trHeight w:val="933" w:hRule="atLeast"/>
        </w:trPr>
        <w:tc>
          <w:tcPr>
            <w:tcW w:w="994" w:type="dxa"/>
          </w:tcPr>
          <w:p>
            <w:pPr>
              <w:pStyle w:val="TableParagraph"/>
              <w:spacing w:before="9"/>
              <w:rPr>
                <w:sz w:val="22"/>
              </w:rPr>
            </w:pPr>
          </w:p>
          <w:p>
            <w:pPr>
              <w:pStyle w:val="TableParagraph"/>
              <w:ind w:left="359" w:right="349"/>
              <w:jc w:val="center"/>
              <w:rPr>
                <w:sz w:val="25"/>
              </w:rPr>
            </w:pPr>
            <w:r>
              <w:rPr>
                <w:sz w:val="25"/>
              </w:rPr>
              <w:t>59</w:t>
            </w:r>
          </w:p>
        </w:tc>
        <w:tc>
          <w:tcPr>
            <w:tcW w:w="1274" w:type="dxa"/>
          </w:tcPr>
          <w:p>
            <w:pPr>
              <w:pStyle w:val="TableParagraph"/>
              <w:spacing w:before="9"/>
              <w:rPr>
                <w:sz w:val="22"/>
              </w:rPr>
            </w:pPr>
          </w:p>
          <w:p>
            <w:pPr>
              <w:pStyle w:val="TableParagraph"/>
              <w:ind w:left="9"/>
              <w:jc w:val="center"/>
              <w:rPr>
                <w:sz w:val="25"/>
              </w:rPr>
            </w:pPr>
            <w:r>
              <w:rPr>
                <w:w w:val="99"/>
                <w:sz w:val="25"/>
              </w:rPr>
              <w:t>5</w:t>
            </w:r>
          </w:p>
        </w:tc>
        <w:tc>
          <w:tcPr>
            <w:tcW w:w="994" w:type="dxa"/>
          </w:tcPr>
          <w:p>
            <w:pPr>
              <w:pStyle w:val="TableParagraph"/>
              <w:spacing w:before="9"/>
              <w:rPr>
                <w:sz w:val="22"/>
              </w:rPr>
            </w:pPr>
          </w:p>
          <w:p>
            <w:pPr>
              <w:pStyle w:val="TableParagraph"/>
              <w:ind w:right="222"/>
              <w:jc w:val="right"/>
              <w:rPr>
                <w:sz w:val="25"/>
              </w:rPr>
            </w:pPr>
            <w:r>
              <w:rPr>
                <w:w w:val="95"/>
                <w:sz w:val="25"/>
              </w:rPr>
              <w:t>28.80</w:t>
            </w:r>
          </w:p>
        </w:tc>
        <w:tc>
          <w:tcPr>
            <w:tcW w:w="1133" w:type="dxa"/>
          </w:tcPr>
          <w:p>
            <w:pPr>
              <w:pStyle w:val="TableParagraph"/>
              <w:spacing w:before="9"/>
              <w:rPr>
                <w:sz w:val="22"/>
              </w:rPr>
            </w:pPr>
          </w:p>
          <w:p>
            <w:pPr>
              <w:pStyle w:val="TableParagraph"/>
              <w:ind w:left="113" w:right="100"/>
              <w:jc w:val="center"/>
              <w:rPr>
                <w:sz w:val="25"/>
              </w:rPr>
            </w:pPr>
            <w:r>
              <w:rPr>
                <w:sz w:val="25"/>
              </w:rPr>
              <w:t>36.37</w:t>
            </w:r>
          </w:p>
        </w:tc>
        <w:tc>
          <w:tcPr>
            <w:tcW w:w="994" w:type="dxa"/>
          </w:tcPr>
          <w:p>
            <w:pPr>
              <w:pStyle w:val="TableParagraph"/>
              <w:spacing w:before="9"/>
              <w:rPr>
                <w:sz w:val="22"/>
              </w:rPr>
            </w:pPr>
          </w:p>
          <w:p>
            <w:pPr>
              <w:pStyle w:val="TableParagraph"/>
              <w:ind w:right="278"/>
              <w:jc w:val="right"/>
              <w:rPr>
                <w:sz w:val="25"/>
              </w:rPr>
            </w:pPr>
            <w:r>
              <w:rPr>
                <w:w w:val="95"/>
                <w:sz w:val="25"/>
              </w:rPr>
              <w:t>2.57</w:t>
            </w:r>
          </w:p>
        </w:tc>
        <w:tc>
          <w:tcPr>
            <w:tcW w:w="1274" w:type="dxa"/>
          </w:tcPr>
          <w:p>
            <w:pPr>
              <w:pStyle w:val="TableParagraph"/>
              <w:spacing w:before="9"/>
              <w:rPr>
                <w:sz w:val="22"/>
              </w:rPr>
            </w:pPr>
          </w:p>
          <w:p>
            <w:pPr>
              <w:pStyle w:val="TableParagraph"/>
              <w:ind w:right="419"/>
              <w:jc w:val="right"/>
              <w:rPr>
                <w:sz w:val="25"/>
              </w:rPr>
            </w:pPr>
            <w:r>
              <w:rPr>
                <w:w w:val="95"/>
                <w:sz w:val="25"/>
              </w:rPr>
              <w:t>3.03</w:t>
            </w:r>
          </w:p>
        </w:tc>
      </w:tr>
      <w:tr>
        <w:trPr>
          <w:trHeight w:val="930" w:hRule="atLeast"/>
        </w:trPr>
        <w:tc>
          <w:tcPr>
            <w:tcW w:w="994" w:type="dxa"/>
          </w:tcPr>
          <w:p>
            <w:pPr>
              <w:pStyle w:val="TableParagraph"/>
              <w:spacing w:before="7"/>
              <w:rPr>
                <w:sz w:val="22"/>
              </w:rPr>
            </w:pPr>
          </w:p>
          <w:p>
            <w:pPr>
              <w:pStyle w:val="TableParagraph"/>
              <w:ind w:left="359" w:right="349"/>
              <w:jc w:val="center"/>
              <w:rPr>
                <w:sz w:val="25"/>
              </w:rPr>
            </w:pPr>
            <w:r>
              <w:rPr>
                <w:sz w:val="25"/>
              </w:rPr>
              <w:t>66</w:t>
            </w:r>
          </w:p>
        </w:tc>
        <w:tc>
          <w:tcPr>
            <w:tcW w:w="1274" w:type="dxa"/>
          </w:tcPr>
          <w:p>
            <w:pPr>
              <w:pStyle w:val="TableParagraph"/>
              <w:spacing w:before="7"/>
              <w:rPr>
                <w:sz w:val="22"/>
              </w:rPr>
            </w:pPr>
          </w:p>
          <w:p>
            <w:pPr>
              <w:pStyle w:val="TableParagraph"/>
              <w:ind w:left="9"/>
              <w:jc w:val="center"/>
              <w:rPr>
                <w:sz w:val="25"/>
              </w:rPr>
            </w:pPr>
            <w:r>
              <w:rPr>
                <w:w w:val="99"/>
                <w:sz w:val="25"/>
              </w:rPr>
              <w:t>4</w:t>
            </w:r>
          </w:p>
        </w:tc>
        <w:tc>
          <w:tcPr>
            <w:tcW w:w="994" w:type="dxa"/>
          </w:tcPr>
          <w:p>
            <w:pPr>
              <w:pStyle w:val="TableParagraph"/>
              <w:spacing w:before="7"/>
              <w:rPr>
                <w:sz w:val="22"/>
              </w:rPr>
            </w:pPr>
          </w:p>
          <w:p>
            <w:pPr>
              <w:pStyle w:val="TableParagraph"/>
              <w:ind w:right="222"/>
              <w:jc w:val="right"/>
              <w:rPr>
                <w:sz w:val="25"/>
              </w:rPr>
            </w:pPr>
            <w:r>
              <w:rPr>
                <w:w w:val="95"/>
                <w:sz w:val="25"/>
              </w:rPr>
              <w:t>24.70</w:t>
            </w:r>
          </w:p>
        </w:tc>
        <w:tc>
          <w:tcPr>
            <w:tcW w:w="1133" w:type="dxa"/>
          </w:tcPr>
          <w:p>
            <w:pPr>
              <w:pStyle w:val="TableParagraph"/>
              <w:spacing w:before="7"/>
              <w:rPr>
                <w:sz w:val="22"/>
              </w:rPr>
            </w:pPr>
          </w:p>
          <w:p>
            <w:pPr>
              <w:pStyle w:val="TableParagraph"/>
              <w:ind w:left="113" w:right="100"/>
              <w:jc w:val="center"/>
              <w:rPr>
                <w:sz w:val="25"/>
              </w:rPr>
            </w:pPr>
            <w:r>
              <w:rPr>
                <w:sz w:val="25"/>
              </w:rPr>
              <w:t>43.53</w:t>
            </w:r>
          </w:p>
        </w:tc>
        <w:tc>
          <w:tcPr>
            <w:tcW w:w="994" w:type="dxa"/>
          </w:tcPr>
          <w:p>
            <w:pPr>
              <w:pStyle w:val="TableParagraph"/>
              <w:spacing w:before="7"/>
              <w:rPr>
                <w:sz w:val="22"/>
              </w:rPr>
            </w:pPr>
          </w:p>
          <w:p>
            <w:pPr>
              <w:pStyle w:val="TableParagraph"/>
              <w:ind w:right="278"/>
              <w:jc w:val="right"/>
              <w:rPr>
                <w:sz w:val="25"/>
              </w:rPr>
            </w:pPr>
            <w:r>
              <w:rPr>
                <w:w w:val="95"/>
                <w:sz w:val="25"/>
              </w:rPr>
              <w:t>2.42</w:t>
            </w:r>
          </w:p>
        </w:tc>
        <w:tc>
          <w:tcPr>
            <w:tcW w:w="1274" w:type="dxa"/>
          </w:tcPr>
          <w:p>
            <w:pPr>
              <w:pStyle w:val="TableParagraph"/>
              <w:spacing w:before="7"/>
              <w:rPr>
                <w:sz w:val="22"/>
              </w:rPr>
            </w:pPr>
          </w:p>
          <w:p>
            <w:pPr>
              <w:pStyle w:val="TableParagraph"/>
              <w:ind w:right="419"/>
              <w:jc w:val="right"/>
              <w:rPr>
                <w:sz w:val="25"/>
              </w:rPr>
            </w:pPr>
            <w:r>
              <w:rPr>
                <w:w w:val="95"/>
                <w:sz w:val="25"/>
              </w:rPr>
              <w:t>3.23</w:t>
            </w:r>
          </w:p>
        </w:tc>
      </w:tr>
      <w:tr>
        <w:trPr>
          <w:trHeight w:val="930" w:hRule="atLeast"/>
        </w:trPr>
        <w:tc>
          <w:tcPr>
            <w:tcW w:w="994" w:type="dxa"/>
          </w:tcPr>
          <w:p>
            <w:pPr>
              <w:pStyle w:val="TableParagraph"/>
              <w:spacing w:before="7"/>
              <w:rPr>
                <w:sz w:val="22"/>
              </w:rPr>
            </w:pPr>
          </w:p>
          <w:p>
            <w:pPr>
              <w:pStyle w:val="TableParagraph"/>
              <w:ind w:left="359" w:right="349"/>
              <w:jc w:val="center"/>
              <w:rPr>
                <w:sz w:val="25"/>
              </w:rPr>
            </w:pPr>
            <w:r>
              <w:rPr>
                <w:sz w:val="25"/>
              </w:rPr>
              <w:t>71</w:t>
            </w:r>
          </w:p>
        </w:tc>
        <w:tc>
          <w:tcPr>
            <w:tcW w:w="1274" w:type="dxa"/>
          </w:tcPr>
          <w:p>
            <w:pPr>
              <w:pStyle w:val="TableParagraph"/>
              <w:spacing w:before="7"/>
              <w:rPr>
                <w:sz w:val="22"/>
              </w:rPr>
            </w:pPr>
          </w:p>
          <w:p>
            <w:pPr>
              <w:pStyle w:val="TableParagraph"/>
              <w:ind w:left="9"/>
              <w:jc w:val="center"/>
              <w:rPr>
                <w:sz w:val="25"/>
              </w:rPr>
            </w:pPr>
            <w:r>
              <w:rPr>
                <w:w w:val="99"/>
                <w:sz w:val="25"/>
              </w:rPr>
              <w:t>5</w:t>
            </w:r>
          </w:p>
        </w:tc>
        <w:tc>
          <w:tcPr>
            <w:tcW w:w="994" w:type="dxa"/>
          </w:tcPr>
          <w:p>
            <w:pPr>
              <w:pStyle w:val="TableParagraph"/>
              <w:spacing w:before="7"/>
              <w:rPr>
                <w:sz w:val="22"/>
              </w:rPr>
            </w:pPr>
          </w:p>
          <w:p>
            <w:pPr>
              <w:pStyle w:val="TableParagraph"/>
              <w:ind w:right="222"/>
              <w:jc w:val="right"/>
              <w:rPr>
                <w:sz w:val="25"/>
              </w:rPr>
            </w:pPr>
            <w:r>
              <w:rPr>
                <w:w w:val="95"/>
                <w:sz w:val="25"/>
              </w:rPr>
              <w:t>20.95</w:t>
            </w:r>
          </w:p>
        </w:tc>
        <w:tc>
          <w:tcPr>
            <w:tcW w:w="1133" w:type="dxa"/>
          </w:tcPr>
          <w:p>
            <w:pPr>
              <w:pStyle w:val="TableParagraph"/>
              <w:spacing w:before="7"/>
              <w:rPr>
                <w:sz w:val="22"/>
              </w:rPr>
            </w:pPr>
          </w:p>
          <w:p>
            <w:pPr>
              <w:pStyle w:val="TableParagraph"/>
              <w:ind w:left="113" w:right="100"/>
              <w:jc w:val="center"/>
              <w:rPr>
                <w:sz w:val="25"/>
              </w:rPr>
            </w:pPr>
            <w:r>
              <w:rPr>
                <w:sz w:val="25"/>
              </w:rPr>
              <w:t>32.05</w:t>
            </w:r>
          </w:p>
        </w:tc>
        <w:tc>
          <w:tcPr>
            <w:tcW w:w="994" w:type="dxa"/>
          </w:tcPr>
          <w:p>
            <w:pPr>
              <w:pStyle w:val="TableParagraph"/>
              <w:spacing w:before="7"/>
              <w:rPr>
                <w:sz w:val="22"/>
              </w:rPr>
            </w:pPr>
          </w:p>
          <w:p>
            <w:pPr>
              <w:pStyle w:val="TableParagraph"/>
              <w:ind w:right="278"/>
              <w:jc w:val="right"/>
              <w:rPr>
                <w:sz w:val="25"/>
              </w:rPr>
            </w:pPr>
            <w:r>
              <w:rPr>
                <w:w w:val="95"/>
                <w:sz w:val="25"/>
              </w:rPr>
              <w:t>2.05</w:t>
            </w:r>
          </w:p>
        </w:tc>
        <w:tc>
          <w:tcPr>
            <w:tcW w:w="1274" w:type="dxa"/>
          </w:tcPr>
          <w:p>
            <w:pPr>
              <w:pStyle w:val="TableParagraph"/>
              <w:spacing w:before="7"/>
              <w:rPr>
                <w:sz w:val="22"/>
              </w:rPr>
            </w:pPr>
          </w:p>
          <w:p>
            <w:pPr>
              <w:pStyle w:val="TableParagraph"/>
              <w:ind w:right="419"/>
              <w:jc w:val="right"/>
              <w:rPr>
                <w:sz w:val="25"/>
              </w:rPr>
            </w:pPr>
            <w:r>
              <w:rPr>
                <w:w w:val="95"/>
                <w:sz w:val="25"/>
              </w:rPr>
              <w:t>2.89</w:t>
            </w:r>
          </w:p>
        </w:tc>
      </w:tr>
      <w:tr>
        <w:trPr>
          <w:trHeight w:val="933" w:hRule="atLeast"/>
        </w:trPr>
        <w:tc>
          <w:tcPr>
            <w:tcW w:w="994" w:type="dxa"/>
          </w:tcPr>
          <w:p>
            <w:pPr>
              <w:pStyle w:val="TableParagraph"/>
              <w:spacing w:before="9"/>
              <w:rPr>
                <w:sz w:val="22"/>
              </w:rPr>
            </w:pPr>
          </w:p>
          <w:p>
            <w:pPr>
              <w:pStyle w:val="TableParagraph"/>
              <w:ind w:left="359" w:right="349"/>
              <w:jc w:val="center"/>
              <w:rPr>
                <w:sz w:val="25"/>
              </w:rPr>
            </w:pPr>
            <w:r>
              <w:rPr>
                <w:sz w:val="25"/>
              </w:rPr>
              <w:t>75</w:t>
            </w:r>
          </w:p>
        </w:tc>
        <w:tc>
          <w:tcPr>
            <w:tcW w:w="1274" w:type="dxa"/>
          </w:tcPr>
          <w:p>
            <w:pPr>
              <w:pStyle w:val="TableParagraph"/>
              <w:spacing w:before="9"/>
              <w:rPr>
                <w:sz w:val="22"/>
              </w:rPr>
            </w:pPr>
          </w:p>
          <w:p>
            <w:pPr>
              <w:pStyle w:val="TableParagraph"/>
              <w:ind w:left="9"/>
              <w:jc w:val="center"/>
              <w:rPr>
                <w:sz w:val="25"/>
              </w:rPr>
            </w:pPr>
            <w:r>
              <w:rPr>
                <w:w w:val="99"/>
                <w:sz w:val="25"/>
              </w:rPr>
              <w:t>9</w:t>
            </w:r>
          </w:p>
        </w:tc>
        <w:tc>
          <w:tcPr>
            <w:tcW w:w="994" w:type="dxa"/>
          </w:tcPr>
          <w:p>
            <w:pPr>
              <w:pStyle w:val="TableParagraph"/>
              <w:spacing w:before="9"/>
              <w:rPr>
                <w:sz w:val="22"/>
              </w:rPr>
            </w:pPr>
          </w:p>
          <w:p>
            <w:pPr>
              <w:pStyle w:val="TableParagraph"/>
              <w:ind w:right="222"/>
              <w:jc w:val="right"/>
              <w:rPr>
                <w:sz w:val="25"/>
              </w:rPr>
            </w:pPr>
            <w:r>
              <w:rPr>
                <w:w w:val="95"/>
                <w:sz w:val="25"/>
              </w:rPr>
              <w:t>45.00</w:t>
            </w:r>
          </w:p>
        </w:tc>
        <w:tc>
          <w:tcPr>
            <w:tcW w:w="1133" w:type="dxa"/>
          </w:tcPr>
          <w:p>
            <w:pPr>
              <w:pStyle w:val="TableParagraph"/>
              <w:spacing w:before="9"/>
              <w:rPr>
                <w:sz w:val="22"/>
              </w:rPr>
            </w:pPr>
          </w:p>
          <w:p>
            <w:pPr>
              <w:pStyle w:val="TableParagraph"/>
              <w:ind w:left="113" w:right="100"/>
              <w:jc w:val="center"/>
              <w:rPr>
                <w:sz w:val="25"/>
              </w:rPr>
            </w:pPr>
            <w:r>
              <w:rPr>
                <w:sz w:val="25"/>
              </w:rPr>
              <w:t>59.65</w:t>
            </w:r>
          </w:p>
        </w:tc>
        <w:tc>
          <w:tcPr>
            <w:tcW w:w="994" w:type="dxa"/>
          </w:tcPr>
          <w:p>
            <w:pPr>
              <w:pStyle w:val="TableParagraph"/>
              <w:spacing w:before="9"/>
              <w:rPr>
                <w:sz w:val="22"/>
              </w:rPr>
            </w:pPr>
          </w:p>
          <w:p>
            <w:pPr>
              <w:pStyle w:val="TableParagraph"/>
              <w:ind w:right="278"/>
              <w:jc w:val="right"/>
              <w:rPr>
                <w:sz w:val="25"/>
              </w:rPr>
            </w:pPr>
            <w:r>
              <w:rPr>
                <w:w w:val="95"/>
                <w:sz w:val="25"/>
              </w:rPr>
              <w:t>3.59</w:t>
            </w:r>
          </w:p>
        </w:tc>
        <w:tc>
          <w:tcPr>
            <w:tcW w:w="1274" w:type="dxa"/>
          </w:tcPr>
          <w:p>
            <w:pPr>
              <w:pStyle w:val="TableParagraph"/>
              <w:spacing w:before="9"/>
              <w:rPr>
                <w:sz w:val="22"/>
              </w:rPr>
            </w:pPr>
          </w:p>
          <w:p>
            <w:pPr>
              <w:pStyle w:val="TableParagraph"/>
              <w:ind w:right="419"/>
              <w:jc w:val="right"/>
              <w:rPr>
                <w:sz w:val="25"/>
              </w:rPr>
            </w:pPr>
            <w:r>
              <w:rPr>
                <w:w w:val="95"/>
                <w:sz w:val="25"/>
              </w:rPr>
              <w:t>4.83</w:t>
            </w:r>
          </w:p>
        </w:tc>
      </w:tr>
      <w:tr>
        <w:trPr>
          <w:trHeight w:val="931" w:hRule="atLeast"/>
        </w:trPr>
        <w:tc>
          <w:tcPr>
            <w:tcW w:w="994" w:type="dxa"/>
          </w:tcPr>
          <w:p>
            <w:pPr>
              <w:pStyle w:val="TableParagraph"/>
              <w:spacing w:before="7"/>
              <w:rPr>
                <w:sz w:val="22"/>
              </w:rPr>
            </w:pPr>
          </w:p>
          <w:p>
            <w:pPr>
              <w:pStyle w:val="TableParagraph"/>
              <w:ind w:left="359" w:right="349"/>
              <w:jc w:val="center"/>
              <w:rPr>
                <w:sz w:val="25"/>
              </w:rPr>
            </w:pPr>
            <w:r>
              <w:rPr>
                <w:sz w:val="25"/>
              </w:rPr>
              <w:t>78</w:t>
            </w:r>
          </w:p>
        </w:tc>
        <w:tc>
          <w:tcPr>
            <w:tcW w:w="1274" w:type="dxa"/>
          </w:tcPr>
          <w:p>
            <w:pPr>
              <w:pStyle w:val="TableParagraph"/>
              <w:spacing w:before="7"/>
              <w:rPr>
                <w:sz w:val="22"/>
              </w:rPr>
            </w:pPr>
          </w:p>
          <w:p>
            <w:pPr>
              <w:pStyle w:val="TableParagraph"/>
              <w:ind w:left="9"/>
              <w:jc w:val="center"/>
              <w:rPr>
                <w:sz w:val="25"/>
              </w:rPr>
            </w:pPr>
            <w:r>
              <w:rPr>
                <w:w w:val="99"/>
                <w:sz w:val="25"/>
              </w:rPr>
              <w:t>6</w:t>
            </w:r>
          </w:p>
        </w:tc>
        <w:tc>
          <w:tcPr>
            <w:tcW w:w="994" w:type="dxa"/>
          </w:tcPr>
          <w:p>
            <w:pPr>
              <w:pStyle w:val="TableParagraph"/>
              <w:spacing w:before="7"/>
              <w:rPr>
                <w:sz w:val="22"/>
              </w:rPr>
            </w:pPr>
          </w:p>
          <w:p>
            <w:pPr>
              <w:pStyle w:val="TableParagraph"/>
              <w:ind w:right="222"/>
              <w:jc w:val="right"/>
              <w:rPr>
                <w:sz w:val="25"/>
              </w:rPr>
            </w:pPr>
            <w:r>
              <w:rPr>
                <w:w w:val="95"/>
                <w:sz w:val="25"/>
              </w:rPr>
              <w:t>28.20</w:t>
            </w:r>
          </w:p>
        </w:tc>
        <w:tc>
          <w:tcPr>
            <w:tcW w:w="1133" w:type="dxa"/>
          </w:tcPr>
          <w:p>
            <w:pPr>
              <w:pStyle w:val="TableParagraph"/>
              <w:spacing w:before="7"/>
              <w:rPr>
                <w:sz w:val="22"/>
              </w:rPr>
            </w:pPr>
          </w:p>
          <w:p>
            <w:pPr>
              <w:pStyle w:val="TableParagraph"/>
              <w:ind w:left="113" w:right="100"/>
              <w:jc w:val="center"/>
              <w:rPr>
                <w:sz w:val="25"/>
              </w:rPr>
            </w:pPr>
            <w:r>
              <w:rPr>
                <w:sz w:val="25"/>
              </w:rPr>
              <w:t>30.65</w:t>
            </w:r>
          </w:p>
        </w:tc>
        <w:tc>
          <w:tcPr>
            <w:tcW w:w="994" w:type="dxa"/>
          </w:tcPr>
          <w:p>
            <w:pPr>
              <w:pStyle w:val="TableParagraph"/>
              <w:spacing w:before="7"/>
              <w:rPr>
                <w:sz w:val="22"/>
              </w:rPr>
            </w:pPr>
          </w:p>
          <w:p>
            <w:pPr>
              <w:pStyle w:val="TableParagraph"/>
              <w:ind w:right="278"/>
              <w:jc w:val="right"/>
              <w:rPr>
                <w:sz w:val="25"/>
              </w:rPr>
            </w:pPr>
            <w:r>
              <w:rPr>
                <w:w w:val="95"/>
                <w:sz w:val="25"/>
              </w:rPr>
              <w:t>1.99</w:t>
            </w:r>
          </w:p>
        </w:tc>
        <w:tc>
          <w:tcPr>
            <w:tcW w:w="1274" w:type="dxa"/>
          </w:tcPr>
          <w:p>
            <w:pPr>
              <w:pStyle w:val="TableParagraph"/>
              <w:spacing w:before="7"/>
              <w:rPr>
                <w:sz w:val="22"/>
              </w:rPr>
            </w:pPr>
          </w:p>
          <w:p>
            <w:pPr>
              <w:pStyle w:val="TableParagraph"/>
              <w:ind w:right="419"/>
              <w:jc w:val="right"/>
              <w:rPr>
                <w:sz w:val="25"/>
              </w:rPr>
            </w:pPr>
            <w:r>
              <w:rPr>
                <w:w w:val="95"/>
                <w:sz w:val="25"/>
              </w:rPr>
              <w:t>2.56</w:t>
            </w:r>
          </w:p>
        </w:tc>
      </w:tr>
    </w:tbl>
    <w:p>
      <w:pPr>
        <w:spacing w:after="0"/>
        <w:jc w:val="right"/>
        <w:rPr>
          <w:sz w:val="25"/>
        </w:rPr>
        <w:sectPr>
          <w:pgSz w:w="14270" w:h="16850"/>
          <w:pgMar w:header="0" w:footer="404" w:top="1420" w:bottom="600" w:left="800" w:right="12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4"/>
        </w:rPr>
      </w:pPr>
    </w:p>
    <w:p>
      <w:pPr>
        <w:pStyle w:val="BodyText"/>
        <w:spacing w:line="278" w:lineRule="auto" w:before="100"/>
        <w:ind w:left="616" w:right="137"/>
        <w:jc w:val="both"/>
      </w:pPr>
      <w:r>
        <w:rPr/>
        <w:t>Prof.</w:t>
      </w:r>
      <w:r>
        <w:rPr>
          <w:spacing w:val="-7"/>
        </w:rPr>
        <w:t> </w:t>
      </w:r>
      <w:r>
        <w:rPr/>
        <w:t>S.</w:t>
      </w:r>
      <w:r>
        <w:rPr>
          <w:spacing w:val="-4"/>
        </w:rPr>
        <w:t> </w:t>
      </w:r>
      <w:r>
        <w:rPr/>
        <w:t>A.</w:t>
      </w:r>
      <w:r>
        <w:rPr>
          <w:spacing w:val="-1"/>
        </w:rPr>
        <w:t> </w:t>
      </w:r>
      <w:r>
        <w:rPr/>
        <w:t>Mortenson</w:t>
      </w:r>
      <w:r>
        <w:rPr>
          <w:spacing w:val="-7"/>
        </w:rPr>
        <w:t> </w:t>
      </w:r>
      <w:r>
        <w:rPr/>
        <w:t>of</w:t>
      </w:r>
      <w:r>
        <w:rPr>
          <w:spacing w:val="-9"/>
        </w:rPr>
        <w:t> </w:t>
      </w:r>
      <w:r>
        <w:rPr/>
        <w:t>the</w:t>
      </w:r>
      <w:r>
        <w:rPr>
          <w:spacing w:val="-6"/>
        </w:rPr>
        <w:t> </w:t>
      </w:r>
      <w:r>
        <w:rPr/>
        <w:t>National</w:t>
      </w:r>
      <w:r>
        <w:rPr>
          <w:spacing w:val="-9"/>
        </w:rPr>
        <w:t> </w:t>
      </w:r>
      <w:r>
        <w:rPr/>
        <w:t>University</w:t>
      </w:r>
      <w:r>
        <w:rPr>
          <w:spacing w:val="-6"/>
        </w:rPr>
        <w:t> </w:t>
      </w:r>
      <w:r>
        <w:rPr/>
        <w:t>Hospital</w:t>
      </w:r>
      <w:r>
        <w:rPr>
          <w:spacing w:val="-8"/>
        </w:rPr>
        <w:t> </w:t>
      </w:r>
      <w:r>
        <w:rPr/>
        <w:t>summarised</w:t>
      </w:r>
      <w:r>
        <w:rPr>
          <w:spacing w:val="-7"/>
        </w:rPr>
        <w:t> </w:t>
      </w:r>
      <w:r>
        <w:rPr/>
        <w:t>the</w:t>
      </w:r>
      <w:r>
        <w:rPr>
          <w:spacing w:val="-6"/>
        </w:rPr>
        <w:t> </w:t>
      </w:r>
      <w:r>
        <w:rPr/>
        <w:t>re- sults of nine studies on heart failure that included a total of 1000</w:t>
      </w:r>
      <w:r>
        <w:rPr>
          <w:spacing w:val="-22"/>
        </w:rPr>
        <w:t> </w:t>
      </w:r>
      <w:r>
        <w:rPr/>
        <w:t>patients.</w:t>
      </w:r>
    </w:p>
    <w:p>
      <w:pPr>
        <w:pStyle w:val="BodyText"/>
        <w:spacing w:line="278" w:lineRule="auto" w:before="232"/>
        <w:ind w:left="616" w:right="140"/>
        <w:jc w:val="both"/>
      </w:pPr>
      <w:r>
        <w:rPr/>
        <w:t>With excellent tolerance of coenzyme Q10, all patients exhibited a significant improvement to resilience and quality of life.</w:t>
      </w:r>
    </w:p>
    <w:p>
      <w:pPr>
        <w:pStyle w:val="BodyText"/>
        <w:spacing w:line="276" w:lineRule="auto" w:before="233"/>
        <w:ind w:left="616" w:right="137"/>
        <w:jc w:val="both"/>
      </w:pPr>
      <w:r>
        <w:rPr/>
        <w:t>A double-blind study led by R.B. Singh et al. at the Medical Hospital and Re- search Center in Moradabad demonstrated, with a group of 144 patients with myocardial infarction, that the intake of 120 mg of Q10 over six weeks not only caused a drop in the number of heart attacks but also a significant reduc- tion in heart disfunctions, arrhythmia and angina pectoris attacks.</w:t>
      </w:r>
    </w:p>
    <w:p>
      <w:pPr>
        <w:pStyle w:val="BodyText"/>
        <w:spacing w:line="276" w:lineRule="auto" w:before="239"/>
        <w:ind w:left="616" w:right="137"/>
        <w:jc w:val="both"/>
      </w:pPr>
      <w:r>
        <w:rPr/>
        <w:t>Another eight-week study of high blood pressure patients who were also suf- fering from coronary heart disease showed that an additional Q10 intake of 120 mg daily could decrease blood pressure, triglyceride levels, glucose levels and insulin levels, while HDL cholesterol (‘good cholesterol’) increased.</w:t>
      </w:r>
    </w:p>
    <w:p>
      <w:pPr>
        <w:pStyle w:val="BodyText"/>
        <w:spacing w:line="276" w:lineRule="auto" w:before="240"/>
        <w:ind w:left="616" w:right="135"/>
        <w:jc w:val="both"/>
      </w:pPr>
      <w:r>
        <w:rPr/>
        <w:t>Dr. A. Keogh and his colleagues at the Transplant Heart Unit at St. Vincent’s Hospital</w:t>
      </w:r>
      <w:r>
        <w:rPr>
          <w:spacing w:val="-8"/>
        </w:rPr>
        <w:t> </w:t>
      </w:r>
      <w:r>
        <w:rPr/>
        <w:t>in</w:t>
      </w:r>
      <w:r>
        <w:rPr>
          <w:spacing w:val="-7"/>
        </w:rPr>
        <w:t> </w:t>
      </w:r>
      <w:r>
        <w:rPr/>
        <w:t>Sydney</w:t>
      </w:r>
      <w:r>
        <w:rPr>
          <w:spacing w:val="-7"/>
        </w:rPr>
        <w:t> </w:t>
      </w:r>
      <w:r>
        <w:rPr/>
        <w:t>found</w:t>
      </w:r>
      <w:r>
        <w:rPr>
          <w:spacing w:val="-6"/>
        </w:rPr>
        <w:t> </w:t>
      </w:r>
      <w:r>
        <w:rPr/>
        <w:t>a</w:t>
      </w:r>
      <w:r>
        <w:rPr>
          <w:spacing w:val="-9"/>
        </w:rPr>
        <w:t> </w:t>
      </w:r>
      <w:r>
        <w:rPr/>
        <w:t>significant</w:t>
      </w:r>
      <w:r>
        <w:rPr>
          <w:spacing w:val="-7"/>
        </w:rPr>
        <w:t> </w:t>
      </w:r>
      <w:r>
        <w:rPr/>
        <w:t>improvement</w:t>
      </w:r>
      <w:r>
        <w:rPr>
          <w:spacing w:val="-7"/>
        </w:rPr>
        <w:t> </w:t>
      </w:r>
      <w:r>
        <w:rPr/>
        <w:t>in</w:t>
      </w:r>
      <w:r>
        <w:rPr>
          <w:spacing w:val="-8"/>
        </w:rPr>
        <w:t> </w:t>
      </w:r>
      <w:r>
        <w:rPr/>
        <w:t>the</w:t>
      </w:r>
      <w:r>
        <w:rPr>
          <w:spacing w:val="-8"/>
        </w:rPr>
        <w:t> </w:t>
      </w:r>
      <w:r>
        <w:rPr/>
        <w:t>quality</w:t>
      </w:r>
      <w:r>
        <w:rPr>
          <w:spacing w:val="-5"/>
        </w:rPr>
        <w:t> </w:t>
      </w:r>
      <w:r>
        <w:rPr/>
        <w:t>of</w:t>
      </w:r>
      <w:r>
        <w:rPr>
          <w:spacing w:val="-9"/>
        </w:rPr>
        <w:t> </w:t>
      </w:r>
      <w:r>
        <w:rPr/>
        <w:t>life</w:t>
      </w:r>
      <w:r>
        <w:rPr>
          <w:spacing w:val="-7"/>
        </w:rPr>
        <w:t> </w:t>
      </w:r>
      <w:r>
        <w:rPr/>
        <w:t>of</w:t>
      </w:r>
      <w:r>
        <w:rPr>
          <w:spacing w:val="-9"/>
        </w:rPr>
        <w:t> </w:t>
      </w:r>
      <w:r>
        <w:rPr/>
        <w:t>39 heart patients (cardiomyopathy of classes II and III) who were administered 150mg daily of coenzyme Q10 or, in the control group, placebo. The clinical parameters</w:t>
      </w:r>
      <w:r>
        <w:rPr>
          <w:spacing w:val="-10"/>
        </w:rPr>
        <w:t> </w:t>
      </w:r>
      <w:r>
        <w:rPr/>
        <w:t>showed</w:t>
      </w:r>
      <w:r>
        <w:rPr>
          <w:spacing w:val="-11"/>
        </w:rPr>
        <w:t> </w:t>
      </w:r>
      <w:r>
        <w:rPr/>
        <w:t>an</w:t>
      </w:r>
      <w:r>
        <w:rPr>
          <w:spacing w:val="-10"/>
        </w:rPr>
        <w:t> </w:t>
      </w:r>
      <w:r>
        <w:rPr/>
        <w:t>improvement,</w:t>
      </w:r>
      <w:r>
        <w:rPr>
          <w:spacing w:val="-10"/>
        </w:rPr>
        <w:t> </w:t>
      </w:r>
      <w:r>
        <w:rPr/>
        <w:t>quality</w:t>
      </w:r>
      <w:r>
        <w:rPr>
          <w:spacing w:val="-10"/>
        </w:rPr>
        <w:t> </w:t>
      </w:r>
      <w:r>
        <w:rPr/>
        <w:t>of</w:t>
      </w:r>
      <w:r>
        <w:rPr>
          <w:spacing w:val="-12"/>
        </w:rPr>
        <w:t> </w:t>
      </w:r>
      <w:r>
        <w:rPr/>
        <w:t>life</w:t>
      </w:r>
      <w:r>
        <w:rPr>
          <w:spacing w:val="-12"/>
        </w:rPr>
        <w:t> </w:t>
      </w:r>
      <w:r>
        <w:rPr/>
        <w:t>improved</w:t>
      </w:r>
      <w:r>
        <w:rPr>
          <w:spacing w:val="-10"/>
        </w:rPr>
        <w:t> </w:t>
      </w:r>
      <w:r>
        <w:rPr/>
        <w:t>and</w:t>
      </w:r>
      <w:r>
        <w:rPr>
          <w:spacing w:val="-11"/>
        </w:rPr>
        <w:t> </w:t>
      </w:r>
      <w:r>
        <w:rPr/>
        <w:t>the</w:t>
      </w:r>
      <w:r>
        <w:rPr>
          <w:spacing w:val="-12"/>
        </w:rPr>
        <w:t> </w:t>
      </w:r>
      <w:r>
        <w:rPr/>
        <w:t>need</w:t>
      </w:r>
      <w:r>
        <w:rPr>
          <w:spacing w:val="-10"/>
        </w:rPr>
        <w:t> </w:t>
      </w:r>
      <w:r>
        <w:rPr/>
        <w:t>for hospitalisation decreased.</w:t>
      </w:r>
    </w:p>
    <w:p>
      <w:pPr>
        <w:spacing w:after="0" w:line="276" w:lineRule="auto"/>
        <w:jc w:val="both"/>
        <w:sectPr>
          <w:pgSz w:w="14270" w:h="16850"/>
          <w:pgMar w:header="0" w:footer="404" w:top="1600" w:bottom="600" w:left="800" w:right="1280"/>
        </w:sectPr>
      </w:pPr>
    </w:p>
    <w:p>
      <w:pPr>
        <w:pStyle w:val="BodyText"/>
        <w:spacing w:line="276" w:lineRule="auto" w:before="74"/>
        <w:ind w:left="616" w:right="133"/>
        <w:jc w:val="both"/>
        <w:rPr>
          <w:sz w:val="25"/>
        </w:rPr>
      </w:pPr>
      <w:r>
        <w:rPr/>
        <w:t>According to Prof. Sven A. Mortensen, all nine placebo-controlled and other studies on Q10 concluded with positive results. Moreover, Prof. Mortensen refers to the good results from five double-blind studies of patients with An- gina pectoris. According to his statements, the patients had fewer chest pains after supplementary Q10 intake and the medication with nitroglycerine could be decreased.</w:t>
      </w:r>
      <w:r>
        <w:rPr>
          <w:position w:val="9"/>
          <w:sz w:val="25"/>
        </w:rPr>
        <w:t>736</w:t>
      </w:r>
    </w:p>
    <w:p>
      <w:pPr>
        <w:pStyle w:val="BodyText"/>
        <w:spacing w:line="276" w:lineRule="auto" w:before="240"/>
        <w:ind w:left="616" w:right="129"/>
        <w:jc w:val="both"/>
        <w:rPr>
          <w:sz w:val="25"/>
        </w:rPr>
      </w:pPr>
      <w:r>
        <w:rPr/>
        <w:t>That</w:t>
      </w:r>
      <w:r>
        <w:rPr>
          <w:spacing w:val="-10"/>
        </w:rPr>
        <w:t> </w:t>
      </w:r>
      <w:r>
        <w:rPr/>
        <w:t>stress</w:t>
      </w:r>
      <w:r>
        <w:rPr>
          <w:spacing w:val="-8"/>
        </w:rPr>
        <w:t> </w:t>
      </w:r>
      <w:r>
        <w:rPr/>
        <w:t>damages</w:t>
      </w:r>
      <w:r>
        <w:rPr>
          <w:spacing w:val="-9"/>
        </w:rPr>
        <w:t> </w:t>
      </w:r>
      <w:r>
        <w:rPr/>
        <w:t>the</w:t>
      </w:r>
      <w:r>
        <w:rPr>
          <w:spacing w:val="-7"/>
        </w:rPr>
        <w:t> </w:t>
      </w:r>
      <w:r>
        <w:rPr/>
        <w:t>entire</w:t>
      </w:r>
      <w:r>
        <w:rPr>
          <w:spacing w:val="-11"/>
        </w:rPr>
        <w:t> </w:t>
      </w:r>
      <w:r>
        <w:rPr/>
        <w:t>body,</w:t>
      </w:r>
      <w:r>
        <w:rPr>
          <w:spacing w:val="-7"/>
        </w:rPr>
        <w:t> </w:t>
      </w:r>
      <w:r>
        <w:rPr/>
        <w:t>but</w:t>
      </w:r>
      <w:r>
        <w:rPr>
          <w:spacing w:val="-9"/>
        </w:rPr>
        <w:t> </w:t>
      </w:r>
      <w:r>
        <w:rPr/>
        <w:t>especially</w:t>
      </w:r>
      <w:r>
        <w:rPr>
          <w:spacing w:val="-10"/>
        </w:rPr>
        <w:t> </w:t>
      </w:r>
      <w:r>
        <w:rPr/>
        <w:t>to</w:t>
      </w:r>
      <w:r>
        <w:rPr>
          <w:spacing w:val="-8"/>
        </w:rPr>
        <w:t> </w:t>
      </w:r>
      <w:r>
        <w:rPr/>
        <w:t>the</w:t>
      </w:r>
      <w:r>
        <w:rPr>
          <w:spacing w:val="-8"/>
        </w:rPr>
        <w:t> </w:t>
      </w:r>
      <w:r>
        <w:rPr/>
        <w:t>circulatory</w:t>
      </w:r>
      <w:r>
        <w:rPr>
          <w:spacing w:val="-7"/>
        </w:rPr>
        <w:t> </w:t>
      </w:r>
      <w:r>
        <w:rPr/>
        <w:t>system,</w:t>
      </w:r>
      <w:r>
        <w:rPr>
          <w:spacing w:val="-7"/>
        </w:rPr>
        <w:t> </w:t>
      </w:r>
      <w:r>
        <w:rPr/>
        <w:t>is well-researched and known to everyone. In a study by A. Syrkin et al. at the Medical Academy of Moscow, it was shown that the consumption of 150 mg Q10 per day led to a decrease in oxidative stress of 37 %; it also incidentally lowered blood</w:t>
      </w:r>
      <w:r>
        <w:rPr>
          <w:spacing w:val="1"/>
        </w:rPr>
        <w:t> </w:t>
      </w:r>
      <w:r>
        <w:rPr/>
        <w:t>pressure</w:t>
      </w:r>
      <w:r>
        <w:rPr>
          <w:position w:val="9"/>
          <w:sz w:val="25"/>
        </w:rPr>
        <w:t>737</w:t>
      </w:r>
    </w:p>
    <w:p>
      <w:pPr>
        <w:pStyle w:val="Heading1"/>
        <w:spacing w:before="223"/>
        <w:ind w:left="616"/>
      </w:pPr>
      <w:r>
        <w:rPr/>
        <w:t>Q10</w:t>
      </w:r>
      <w:r>
        <w:rPr>
          <w:spacing w:val="-39"/>
        </w:rPr>
        <w:t> </w:t>
      </w:r>
      <w:r>
        <w:rPr/>
        <w:t>causes</w:t>
      </w:r>
      <w:r>
        <w:rPr>
          <w:spacing w:val="-39"/>
        </w:rPr>
        <w:t> </w:t>
      </w:r>
      <w:r>
        <w:rPr/>
        <w:t>a</w:t>
      </w:r>
      <w:r>
        <w:rPr>
          <w:spacing w:val="-39"/>
        </w:rPr>
        <w:t> </w:t>
      </w:r>
      <w:r>
        <w:rPr/>
        <w:t>rapid</w:t>
      </w:r>
      <w:r>
        <w:rPr>
          <w:spacing w:val="-40"/>
        </w:rPr>
        <w:t> </w:t>
      </w:r>
      <w:r>
        <w:rPr/>
        <w:t>revitalisation</w:t>
      </w:r>
      <w:r>
        <w:rPr>
          <w:spacing w:val="-41"/>
        </w:rPr>
        <w:t> </w:t>
      </w:r>
      <w:r>
        <w:rPr/>
        <w:t>and</w:t>
      </w:r>
      <w:r>
        <w:rPr>
          <w:spacing w:val="-40"/>
        </w:rPr>
        <w:t> </w:t>
      </w:r>
      <w:r>
        <w:rPr/>
        <w:t>an</w:t>
      </w:r>
      <w:r>
        <w:rPr>
          <w:spacing w:val="-40"/>
        </w:rPr>
        <w:t> </w:t>
      </w:r>
      <w:r>
        <w:rPr/>
        <w:t>increased</w:t>
      </w:r>
      <w:r>
        <w:rPr>
          <w:spacing w:val="-40"/>
        </w:rPr>
        <w:t> </w:t>
      </w:r>
      <w:r>
        <w:rPr/>
        <w:t>sense</w:t>
      </w:r>
      <w:r>
        <w:rPr>
          <w:spacing w:val="-39"/>
        </w:rPr>
        <w:t> </w:t>
      </w:r>
      <w:r>
        <w:rPr/>
        <w:t>of</w:t>
      </w:r>
      <w:r>
        <w:rPr>
          <w:spacing w:val="-38"/>
        </w:rPr>
        <w:t> </w:t>
      </w:r>
      <w:r>
        <w:rPr/>
        <w:t>wellbeing</w:t>
      </w:r>
    </w:p>
    <w:p>
      <w:pPr>
        <w:pStyle w:val="BodyText"/>
        <w:spacing w:line="276" w:lineRule="auto" w:before="299"/>
        <w:ind w:left="616" w:right="134"/>
        <w:jc w:val="both"/>
      </w:pPr>
      <w:r>
        <w:rPr/>
        <w:pict>
          <v:line style="position:absolute;mso-position-horizontal-relative:page;mso-position-vertical-relative:paragraph;z-index:-1257928" from="626.580017pt,15.124516pt" to="626.580017pt,36.364516pt" stroked="true" strokeweight="4.2pt" strokecolor="#ffff00">
            <v:stroke dashstyle="solid"/>
            <w10:wrap type="none"/>
          </v:line>
        </w:pict>
      </w:r>
      <w:r>
        <w:rPr/>
        <w:t>Because 75 % of all heart patients suffer from a substantial deficit of Q10, a rapid revitalisation takes place within a very short timeframe after beginning a sufficient Q10 intake – usually within as little as two to eight weeks.</w:t>
      </w:r>
      <w:r>
        <w:rPr>
          <w:position w:val="9"/>
          <w:sz w:val="25"/>
        </w:rPr>
        <w:t>738 </w:t>
      </w:r>
      <w:r>
        <w:rPr/>
        <w:t>The largest</w:t>
      </w:r>
      <w:r>
        <w:rPr>
          <w:spacing w:val="-10"/>
        </w:rPr>
        <w:t> </w:t>
      </w:r>
      <w:r>
        <w:rPr/>
        <w:t>studied</w:t>
      </w:r>
      <w:r>
        <w:rPr>
          <w:spacing w:val="-9"/>
        </w:rPr>
        <w:t> </w:t>
      </w:r>
      <w:r>
        <w:rPr/>
        <w:t>undertaken</w:t>
      </w:r>
      <w:r>
        <w:rPr>
          <w:spacing w:val="-9"/>
        </w:rPr>
        <w:t> </w:t>
      </w:r>
      <w:r>
        <w:rPr/>
        <w:t>so</w:t>
      </w:r>
      <w:r>
        <w:rPr>
          <w:spacing w:val="-8"/>
        </w:rPr>
        <w:t> </w:t>
      </w:r>
      <w:r>
        <w:rPr/>
        <w:t>far</w:t>
      </w:r>
      <w:r>
        <w:rPr>
          <w:spacing w:val="-11"/>
        </w:rPr>
        <w:t> </w:t>
      </w:r>
      <w:r>
        <w:rPr/>
        <w:t>on</w:t>
      </w:r>
      <w:r>
        <w:rPr>
          <w:spacing w:val="-8"/>
        </w:rPr>
        <w:t> </w:t>
      </w:r>
      <w:r>
        <w:rPr/>
        <w:t>Q10</w:t>
      </w:r>
      <w:r>
        <w:rPr>
          <w:spacing w:val="-9"/>
        </w:rPr>
        <w:t> </w:t>
      </w:r>
      <w:r>
        <w:rPr/>
        <w:t>was</w:t>
      </w:r>
      <w:r>
        <w:rPr>
          <w:spacing w:val="-9"/>
        </w:rPr>
        <w:t> </w:t>
      </w:r>
      <w:r>
        <w:rPr/>
        <w:t>carried</w:t>
      </w:r>
      <w:r>
        <w:rPr>
          <w:spacing w:val="-8"/>
        </w:rPr>
        <w:t> </w:t>
      </w:r>
      <w:r>
        <w:rPr/>
        <w:t>out</w:t>
      </w:r>
      <w:r>
        <w:rPr>
          <w:spacing w:val="-10"/>
        </w:rPr>
        <w:t> </w:t>
      </w:r>
      <w:r>
        <w:rPr/>
        <w:t>on</w:t>
      </w:r>
      <w:r>
        <w:rPr>
          <w:spacing w:val="-7"/>
        </w:rPr>
        <w:t> </w:t>
      </w:r>
      <w:r>
        <w:rPr/>
        <w:t>2664</w:t>
      </w:r>
      <w:r>
        <w:rPr>
          <w:spacing w:val="-10"/>
        </w:rPr>
        <w:t> </w:t>
      </w:r>
      <w:r>
        <w:rPr/>
        <w:t>patients</w:t>
      </w:r>
      <w:r>
        <w:rPr>
          <w:spacing w:val="-8"/>
        </w:rPr>
        <w:t> </w:t>
      </w:r>
      <w:r>
        <w:rPr/>
        <w:t>suf- fering from heart failure. It lasted 90 days, and the patients were administered 50-150 mg daily of coenzyme Q10. After the end of these three months, ALL patients exhibited a substantial improvement to their complaints, as</w:t>
      </w:r>
      <w:r>
        <w:rPr>
          <w:spacing w:val="-57"/>
        </w:rPr>
        <w:t> </w:t>
      </w:r>
      <w:r>
        <w:rPr/>
        <w:t>expressed in the following in</w:t>
      </w:r>
      <w:r>
        <w:rPr>
          <w:spacing w:val="2"/>
        </w:rPr>
        <w:t> </w:t>
      </w:r>
      <w:r>
        <w:rPr/>
        <w:t>percentages:</w:t>
      </w:r>
    </w:p>
    <w:p>
      <w:pPr>
        <w:pStyle w:val="BodyText"/>
        <w:rPr>
          <w:sz w:val="20"/>
        </w:rPr>
      </w:pPr>
    </w:p>
    <w:p>
      <w:pPr>
        <w:pStyle w:val="BodyText"/>
        <w:rPr>
          <w:sz w:val="20"/>
        </w:rPr>
      </w:pPr>
    </w:p>
    <w:p>
      <w:pPr>
        <w:pStyle w:val="BodyText"/>
        <w:spacing w:before="7"/>
        <w:rPr>
          <w:sz w:val="29"/>
        </w:rPr>
      </w:pPr>
      <w:r>
        <w:rPr/>
        <w:pict>
          <v:line style="position:absolute;mso-position-horizontal-relative:page;mso-position-vertical-relative:paragraph;z-index:9680;mso-wrap-distance-left:0;mso-wrap-distance-right:0" from="70.823997pt,19.056234pt" to="214.843997pt,19.056234pt" stroked="true" strokeweight=".72003pt" strokecolor="#000000">
            <v:stroke dashstyle="solid"/>
            <w10:wrap type="topAndBottom"/>
          </v:line>
        </w:pict>
      </w:r>
    </w:p>
    <w:p>
      <w:pPr>
        <w:pStyle w:val="BodyText"/>
        <w:spacing w:before="7"/>
        <w:rPr>
          <w:sz w:val="18"/>
        </w:rPr>
      </w:pPr>
    </w:p>
    <w:p>
      <w:pPr>
        <w:spacing w:line="276" w:lineRule="auto" w:before="99"/>
        <w:ind w:left="616" w:right="244" w:firstLine="0"/>
        <w:jc w:val="left"/>
        <w:rPr>
          <w:sz w:val="20"/>
        </w:rPr>
      </w:pPr>
      <w:r>
        <w:rPr>
          <w:position w:val="5"/>
          <w:sz w:val="13"/>
        </w:rPr>
        <w:t>736 </w:t>
      </w:r>
      <w:r>
        <w:rPr>
          <w:sz w:val="20"/>
        </w:rPr>
        <w:t>Mortensen S. A.: Coenzyme Q10 and the diseased heart: blood and tissue levels of CoQ10 in relation to myocardial function and CoQ10 ther- apy. Boston: 1st Conf. of the Intl. Coenzyme Q10 Assn., 1998, p. 78 ff.</w:t>
      </w:r>
    </w:p>
    <w:p>
      <w:pPr>
        <w:spacing w:line="276" w:lineRule="auto" w:before="59"/>
        <w:ind w:left="616" w:right="0" w:firstLine="0"/>
        <w:jc w:val="left"/>
        <w:rPr>
          <w:sz w:val="20"/>
        </w:rPr>
      </w:pPr>
      <w:r>
        <w:rPr/>
        <w:pict>
          <v:group style="position:absolute;margin-left:70.823997pt;margin-top:25.02817pt;width:509.15pt;height:71.05pt;mso-position-horizontal-relative:page;mso-position-vertical-relative:paragraph;z-index:-1257952" coordorigin="1416,501" coordsize="10183,1421">
            <v:shape style="position:absolute;left:1552;top:500;width:10047;height:1421" type="#_x0000_t75" stroked="false">
              <v:imagedata r:id="rId21" o:title=""/>
            </v:shape>
            <v:shape style="position:absolute;left:1416;top:500;width:10183;height:1421" type="#_x0000_t202" filled="false" stroked="false">
              <v:textbox inset="0,0,0,0">
                <w:txbxContent>
                  <w:p>
                    <w:pPr>
                      <w:spacing w:before="134"/>
                      <w:ind w:left="0" w:right="0" w:firstLine="0"/>
                      <w:jc w:val="left"/>
                      <w:rPr>
                        <w:sz w:val="20"/>
                      </w:rPr>
                    </w:pPr>
                    <w:r>
                      <w:rPr>
                        <w:position w:val="9"/>
                        <w:sz w:val="14"/>
                      </w:rPr>
                      <w:t>738 </w:t>
                    </w:r>
                    <w:r>
                      <w:rPr>
                        <w:sz w:val="20"/>
                      </w:rPr>
                      <w:t>Werner Goller: Was verschweigt die Schulmedizin? (‘What Does Conventional Medicine Conceal?’), 2009, p. 28</w:t>
                    </w:r>
                  </w:p>
                </w:txbxContent>
              </v:textbox>
              <w10:wrap type="none"/>
            </v:shape>
            <w10:wrap type="none"/>
          </v:group>
        </w:pict>
      </w:r>
      <w:r>
        <w:rPr>
          <w:position w:val="5"/>
          <w:sz w:val="13"/>
        </w:rPr>
        <w:t>737 </w:t>
      </w:r>
      <w:r>
        <w:rPr>
          <w:sz w:val="20"/>
        </w:rPr>
        <w:t>Syrkin A. et al.: The effect of soluble form of Coenzyme Q10 on the oxygen free radical processes and clinical course in patients with coronary heart disease – stabile angina pectoris. Boston: 1st Conf. of the Intl. Coenzyme Q10 Assn., 1998, p. 110 f.</w:t>
      </w:r>
    </w:p>
    <w:p>
      <w:pPr>
        <w:spacing w:after="0" w:line="276" w:lineRule="auto"/>
        <w:jc w:val="left"/>
        <w:rPr>
          <w:sz w:val="20"/>
        </w:rPr>
        <w:sectPr>
          <w:footerReference w:type="default" r:id="rId311"/>
          <w:pgSz w:w="14270" w:h="16850"/>
          <w:pgMar w:footer="527" w:header="0" w:top="1340" w:bottom="720" w:left="800" w:right="1280"/>
          <w:pgNumType w:start="1317"/>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06"/>
        <w:gridCol w:w="4606"/>
      </w:tblGrid>
      <w:tr>
        <w:trPr>
          <w:trHeight w:val="813" w:hRule="atLeast"/>
        </w:trPr>
        <w:tc>
          <w:tcPr>
            <w:tcW w:w="4606" w:type="dxa"/>
          </w:tcPr>
          <w:p>
            <w:pPr>
              <w:pStyle w:val="TableParagraph"/>
              <w:spacing w:before="116"/>
              <w:ind w:left="71"/>
              <w:rPr>
                <w:sz w:val="38"/>
              </w:rPr>
            </w:pPr>
            <w:r>
              <w:rPr>
                <w:sz w:val="38"/>
              </w:rPr>
              <w:t>SYMPTOMS</w:t>
            </w:r>
          </w:p>
        </w:tc>
        <w:tc>
          <w:tcPr>
            <w:tcW w:w="4606" w:type="dxa"/>
          </w:tcPr>
          <w:p>
            <w:pPr>
              <w:pStyle w:val="TableParagraph"/>
              <w:spacing w:before="116"/>
              <w:ind w:left="71"/>
              <w:rPr>
                <w:sz w:val="38"/>
              </w:rPr>
            </w:pPr>
            <w:r>
              <w:rPr>
                <w:sz w:val="38"/>
              </w:rPr>
              <w:t>RELIEF IN %</w:t>
            </w:r>
          </w:p>
        </w:tc>
      </w:tr>
      <w:tr>
        <w:trPr>
          <w:trHeight w:val="810" w:hRule="atLeast"/>
        </w:trPr>
        <w:tc>
          <w:tcPr>
            <w:tcW w:w="4606" w:type="dxa"/>
          </w:tcPr>
          <w:p>
            <w:pPr>
              <w:pStyle w:val="TableParagraph"/>
              <w:spacing w:before="111"/>
              <w:ind w:left="71"/>
              <w:rPr>
                <w:sz w:val="38"/>
              </w:rPr>
            </w:pPr>
            <w:r>
              <w:rPr>
                <w:sz w:val="38"/>
              </w:rPr>
              <w:t>Cardiac arrhythmia</w:t>
            </w:r>
          </w:p>
        </w:tc>
        <w:tc>
          <w:tcPr>
            <w:tcW w:w="4606" w:type="dxa"/>
          </w:tcPr>
          <w:p>
            <w:pPr>
              <w:pStyle w:val="TableParagraph"/>
              <w:spacing w:before="114"/>
              <w:ind w:left="71"/>
              <w:rPr>
                <w:sz w:val="38"/>
              </w:rPr>
            </w:pPr>
            <w:r>
              <w:rPr>
                <w:sz w:val="38"/>
              </w:rPr>
              <w:t>63.4 %</w:t>
            </w:r>
          </w:p>
        </w:tc>
      </w:tr>
      <w:tr>
        <w:trPr>
          <w:trHeight w:val="810" w:hRule="atLeast"/>
        </w:trPr>
        <w:tc>
          <w:tcPr>
            <w:tcW w:w="4606" w:type="dxa"/>
          </w:tcPr>
          <w:p>
            <w:pPr>
              <w:pStyle w:val="TableParagraph"/>
              <w:spacing w:before="114"/>
              <w:ind w:left="71"/>
              <w:rPr>
                <w:sz w:val="38"/>
              </w:rPr>
            </w:pPr>
            <w:r>
              <w:rPr>
                <w:sz w:val="38"/>
              </w:rPr>
              <w:t>Severe palpitations</w:t>
            </w:r>
          </w:p>
        </w:tc>
        <w:tc>
          <w:tcPr>
            <w:tcW w:w="4606" w:type="dxa"/>
          </w:tcPr>
          <w:p>
            <w:pPr>
              <w:pStyle w:val="TableParagraph"/>
              <w:spacing w:before="114"/>
              <w:ind w:left="71"/>
              <w:rPr>
                <w:sz w:val="38"/>
              </w:rPr>
            </w:pPr>
            <w:r>
              <w:rPr>
                <w:sz w:val="38"/>
              </w:rPr>
              <w:t>75.4 %</w:t>
            </w:r>
          </w:p>
        </w:tc>
      </w:tr>
      <w:tr>
        <w:trPr>
          <w:trHeight w:val="813" w:hRule="atLeast"/>
        </w:trPr>
        <w:tc>
          <w:tcPr>
            <w:tcW w:w="4606" w:type="dxa"/>
          </w:tcPr>
          <w:p>
            <w:pPr>
              <w:pStyle w:val="TableParagraph"/>
              <w:spacing w:before="116"/>
              <w:ind w:left="71"/>
              <w:rPr>
                <w:sz w:val="38"/>
              </w:rPr>
            </w:pPr>
            <w:r>
              <w:rPr>
                <w:sz w:val="38"/>
              </w:rPr>
              <w:t>Dizziness</w:t>
            </w:r>
          </w:p>
        </w:tc>
        <w:tc>
          <w:tcPr>
            <w:tcW w:w="4606" w:type="dxa"/>
          </w:tcPr>
          <w:p>
            <w:pPr>
              <w:pStyle w:val="TableParagraph"/>
              <w:spacing w:before="116"/>
              <w:ind w:left="71"/>
              <w:rPr>
                <w:sz w:val="38"/>
              </w:rPr>
            </w:pPr>
            <w:r>
              <w:rPr>
                <w:sz w:val="38"/>
              </w:rPr>
              <w:t>73.1 %</w:t>
            </w:r>
          </w:p>
        </w:tc>
      </w:tr>
      <w:tr>
        <w:trPr>
          <w:trHeight w:val="811" w:hRule="atLeast"/>
        </w:trPr>
        <w:tc>
          <w:tcPr>
            <w:tcW w:w="4606" w:type="dxa"/>
          </w:tcPr>
          <w:p>
            <w:pPr>
              <w:pStyle w:val="TableParagraph"/>
              <w:spacing w:before="114"/>
              <w:ind w:left="71"/>
              <w:rPr>
                <w:sz w:val="38"/>
              </w:rPr>
            </w:pPr>
            <w:r>
              <w:rPr>
                <w:sz w:val="38"/>
              </w:rPr>
              <w:t>Shortness of breath</w:t>
            </w:r>
          </w:p>
        </w:tc>
        <w:tc>
          <w:tcPr>
            <w:tcW w:w="4606" w:type="dxa"/>
          </w:tcPr>
          <w:p>
            <w:pPr>
              <w:pStyle w:val="TableParagraph"/>
              <w:spacing w:before="114"/>
              <w:ind w:left="71"/>
              <w:rPr>
                <w:sz w:val="38"/>
              </w:rPr>
            </w:pPr>
            <w:r>
              <w:rPr>
                <w:sz w:val="38"/>
              </w:rPr>
              <w:t>52.7 %</w:t>
            </w:r>
          </w:p>
        </w:tc>
      </w:tr>
      <w:tr>
        <w:trPr>
          <w:trHeight w:val="810" w:hRule="atLeast"/>
        </w:trPr>
        <w:tc>
          <w:tcPr>
            <w:tcW w:w="4606" w:type="dxa"/>
          </w:tcPr>
          <w:p>
            <w:pPr>
              <w:pStyle w:val="TableParagraph"/>
              <w:spacing w:before="114"/>
              <w:ind w:left="71"/>
              <w:rPr>
                <w:sz w:val="38"/>
              </w:rPr>
            </w:pPr>
            <w:r>
              <w:rPr>
                <w:sz w:val="38"/>
              </w:rPr>
              <w:t>Cyanosis</w:t>
            </w:r>
          </w:p>
        </w:tc>
        <w:tc>
          <w:tcPr>
            <w:tcW w:w="4606" w:type="dxa"/>
          </w:tcPr>
          <w:p>
            <w:pPr>
              <w:pStyle w:val="TableParagraph"/>
              <w:spacing w:before="114"/>
              <w:ind w:left="71"/>
              <w:rPr>
                <w:sz w:val="38"/>
              </w:rPr>
            </w:pPr>
            <w:r>
              <w:rPr>
                <w:sz w:val="38"/>
              </w:rPr>
              <w:t>78 %</w:t>
            </w:r>
          </w:p>
        </w:tc>
      </w:tr>
      <w:tr>
        <w:trPr>
          <w:trHeight w:val="813" w:hRule="atLeast"/>
        </w:trPr>
        <w:tc>
          <w:tcPr>
            <w:tcW w:w="4606" w:type="dxa"/>
          </w:tcPr>
          <w:p>
            <w:pPr>
              <w:pStyle w:val="TableParagraph"/>
              <w:spacing w:before="116"/>
              <w:ind w:left="71"/>
              <w:rPr>
                <w:sz w:val="38"/>
              </w:rPr>
            </w:pPr>
            <w:r>
              <w:rPr>
                <w:sz w:val="38"/>
              </w:rPr>
              <w:t>Oedema</w:t>
            </w:r>
          </w:p>
        </w:tc>
        <w:tc>
          <w:tcPr>
            <w:tcW w:w="4606" w:type="dxa"/>
          </w:tcPr>
          <w:p>
            <w:pPr>
              <w:pStyle w:val="TableParagraph"/>
              <w:spacing w:before="116"/>
              <w:ind w:left="71"/>
              <w:rPr>
                <w:sz w:val="38"/>
              </w:rPr>
            </w:pPr>
            <w:r>
              <w:rPr>
                <w:sz w:val="38"/>
              </w:rPr>
              <w:t>77.8–78.6 %</w:t>
            </w:r>
          </w:p>
        </w:tc>
      </w:tr>
      <w:tr>
        <w:trPr>
          <w:trHeight w:val="810" w:hRule="atLeast"/>
        </w:trPr>
        <w:tc>
          <w:tcPr>
            <w:tcW w:w="4606" w:type="dxa"/>
          </w:tcPr>
          <w:p>
            <w:pPr>
              <w:pStyle w:val="TableParagraph"/>
              <w:spacing w:before="114"/>
              <w:ind w:left="71"/>
              <w:rPr>
                <w:sz w:val="38"/>
              </w:rPr>
            </w:pPr>
            <w:r>
              <w:rPr>
                <w:sz w:val="38"/>
              </w:rPr>
              <w:t>Insomnia</w:t>
            </w:r>
          </w:p>
        </w:tc>
        <w:tc>
          <w:tcPr>
            <w:tcW w:w="4606" w:type="dxa"/>
          </w:tcPr>
          <w:p>
            <w:pPr>
              <w:pStyle w:val="TableParagraph"/>
              <w:spacing w:before="114"/>
              <w:ind w:left="71"/>
              <w:rPr>
                <w:sz w:val="38"/>
              </w:rPr>
            </w:pPr>
            <w:r>
              <w:rPr>
                <w:sz w:val="38"/>
              </w:rPr>
              <w:t>62.8 %</w:t>
            </w:r>
          </w:p>
        </w:tc>
      </w:tr>
      <w:tr>
        <w:trPr>
          <w:trHeight w:val="813" w:hRule="atLeast"/>
        </w:trPr>
        <w:tc>
          <w:tcPr>
            <w:tcW w:w="4606" w:type="dxa"/>
          </w:tcPr>
          <w:p>
            <w:pPr>
              <w:pStyle w:val="TableParagraph"/>
              <w:spacing w:before="114"/>
              <w:ind w:left="71"/>
              <w:rPr>
                <w:sz w:val="38"/>
              </w:rPr>
            </w:pPr>
            <w:r>
              <w:rPr>
                <w:sz w:val="38"/>
              </w:rPr>
              <w:t>Urge to urinate at night</w:t>
            </w:r>
          </w:p>
        </w:tc>
        <w:tc>
          <w:tcPr>
            <w:tcW w:w="4606" w:type="dxa"/>
          </w:tcPr>
          <w:p>
            <w:pPr>
              <w:pStyle w:val="TableParagraph"/>
              <w:spacing w:before="114"/>
              <w:ind w:left="71"/>
              <w:rPr>
                <w:sz w:val="38"/>
              </w:rPr>
            </w:pPr>
            <w:r>
              <w:rPr>
                <w:sz w:val="38"/>
              </w:rPr>
              <w:t>53.6 %</w:t>
            </w:r>
          </w:p>
        </w:tc>
      </w:tr>
      <w:tr>
        <w:trPr>
          <w:trHeight w:val="810" w:hRule="atLeast"/>
        </w:trPr>
        <w:tc>
          <w:tcPr>
            <w:tcW w:w="4606" w:type="dxa"/>
          </w:tcPr>
          <w:p>
            <w:pPr>
              <w:pStyle w:val="TableParagraph"/>
              <w:spacing w:before="114"/>
              <w:ind w:left="71"/>
              <w:rPr>
                <w:sz w:val="38"/>
              </w:rPr>
            </w:pPr>
            <w:r>
              <w:rPr>
                <w:sz w:val="38"/>
              </w:rPr>
              <w:t>Enlargement of the liver</w:t>
            </w:r>
          </w:p>
        </w:tc>
        <w:tc>
          <w:tcPr>
            <w:tcW w:w="4606" w:type="dxa"/>
          </w:tcPr>
          <w:p>
            <w:pPr>
              <w:pStyle w:val="TableParagraph"/>
              <w:spacing w:before="114"/>
              <w:ind w:left="71"/>
              <w:rPr>
                <w:sz w:val="38"/>
              </w:rPr>
            </w:pPr>
            <w:r>
              <w:rPr>
                <w:sz w:val="38"/>
              </w:rPr>
              <w:t>49.8 %</w:t>
            </w:r>
          </w:p>
        </w:tc>
      </w:tr>
      <w:tr>
        <w:trPr>
          <w:trHeight w:val="810" w:hRule="atLeast"/>
        </w:trPr>
        <w:tc>
          <w:tcPr>
            <w:tcW w:w="4606" w:type="dxa"/>
          </w:tcPr>
          <w:p>
            <w:pPr>
              <w:pStyle w:val="TableParagraph"/>
              <w:spacing w:before="114"/>
              <w:ind w:left="71"/>
              <w:rPr>
                <w:sz w:val="38"/>
              </w:rPr>
            </w:pPr>
            <w:r>
              <w:rPr>
                <w:sz w:val="38"/>
              </w:rPr>
              <w:t>Sweating</w:t>
            </w:r>
          </w:p>
        </w:tc>
        <w:tc>
          <w:tcPr>
            <w:tcW w:w="4606" w:type="dxa"/>
          </w:tcPr>
          <w:p>
            <w:pPr>
              <w:pStyle w:val="TableParagraph"/>
              <w:spacing w:before="114"/>
              <w:ind w:left="71"/>
              <w:rPr>
                <w:sz w:val="38"/>
              </w:rPr>
            </w:pPr>
            <w:r>
              <w:rPr>
                <w:sz w:val="38"/>
              </w:rPr>
              <w:t>79.8 %</w:t>
            </w:r>
          </w:p>
        </w:tc>
      </w:tr>
    </w:tbl>
    <w:p>
      <w:pPr>
        <w:pStyle w:val="BodyText"/>
        <w:spacing w:before="8"/>
        <w:rPr>
          <w:sz w:val="11"/>
        </w:rPr>
      </w:pPr>
    </w:p>
    <w:p>
      <w:pPr>
        <w:pStyle w:val="BodyText"/>
        <w:spacing w:line="276" w:lineRule="auto" w:before="100"/>
        <w:ind w:left="616" w:right="134"/>
        <w:jc w:val="both"/>
      </w:pPr>
      <w:r>
        <w:rPr/>
        <w:t>The</w:t>
      </w:r>
      <w:r>
        <w:rPr>
          <w:spacing w:val="-12"/>
        </w:rPr>
        <w:t> </w:t>
      </w:r>
      <w:r>
        <w:rPr/>
        <w:t>improvements</w:t>
      </w:r>
      <w:r>
        <w:rPr>
          <w:spacing w:val="-11"/>
        </w:rPr>
        <w:t> </w:t>
      </w:r>
      <w:r>
        <w:rPr/>
        <w:t>were</w:t>
      </w:r>
      <w:r>
        <w:rPr>
          <w:spacing w:val="-11"/>
        </w:rPr>
        <w:t> </w:t>
      </w:r>
      <w:r>
        <w:rPr/>
        <w:t>not</w:t>
      </w:r>
      <w:r>
        <w:rPr>
          <w:spacing w:val="-12"/>
        </w:rPr>
        <w:t> </w:t>
      </w:r>
      <w:r>
        <w:rPr/>
        <w:t>simply</w:t>
      </w:r>
      <w:r>
        <w:rPr>
          <w:spacing w:val="-11"/>
        </w:rPr>
        <w:t> </w:t>
      </w:r>
      <w:r>
        <w:rPr/>
        <w:t>limited</w:t>
      </w:r>
      <w:r>
        <w:rPr>
          <w:spacing w:val="-11"/>
        </w:rPr>
        <w:t> </w:t>
      </w:r>
      <w:r>
        <w:rPr/>
        <w:t>to</w:t>
      </w:r>
      <w:r>
        <w:rPr>
          <w:spacing w:val="-11"/>
        </w:rPr>
        <w:t> </w:t>
      </w:r>
      <w:r>
        <w:rPr/>
        <w:t>heart</w:t>
      </w:r>
      <w:r>
        <w:rPr>
          <w:spacing w:val="-12"/>
        </w:rPr>
        <w:t> </w:t>
      </w:r>
      <w:r>
        <w:rPr/>
        <w:t>function</w:t>
      </w:r>
      <w:r>
        <w:rPr>
          <w:spacing w:val="-11"/>
        </w:rPr>
        <w:t> </w:t>
      </w:r>
      <w:r>
        <w:rPr/>
        <w:t>itself,</w:t>
      </w:r>
      <w:r>
        <w:rPr>
          <w:spacing w:val="-11"/>
        </w:rPr>
        <w:t> </w:t>
      </w:r>
      <w:r>
        <w:rPr/>
        <w:t>because,</w:t>
      </w:r>
      <w:r>
        <w:rPr>
          <w:spacing w:val="-11"/>
        </w:rPr>
        <w:t> </w:t>
      </w:r>
      <w:r>
        <w:rPr/>
        <w:t>as we</w:t>
      </w:r>
      <w:r>
        <w:rPr>
          <w:spacing w:val="-21"/>
        </w:rPr>
        <w:t> </w:t>
      </w:r>
      <w:r>
        <w:rPr/>
        <w:t>all</w:t>
      </w:r>
      <w:r>
        <w:rPr>
          <w:spacing w:val="-20"/>
        </w:rPr>
        <w:t> </w:t>
      </w:r>
      <w:r>
        <w:rPr/>
        <w:t>know,</w:t>
      </w:r>
      <w:r>
        <w:rPr>
          <w:spacing w:val="-19"/>
        </w:rPr>
        <w:t> </w:t>
      </w:r>
      <w:r>
        <w:rPr/>
        <w:t>the</w:t>
      </w:r>
      <w:r>
        <w:rPr>
          <w:spacing w:val="-23"/>
        </w:rPr>
        <w:t> </w:t>
      </w:r>
      <w:r>
        <w:rPr/>
        <w:t>heart</w:t>
      </w:r>
      <w:r>
        <w:rPr>
          <w:spacing w:val="-19"/>
        </w:rPr>
        <w:t> </w:t>
      </w:r>
      <w:r>
        <w:rPr/>
        <w:t>provides</w:t>
      </w:r>
      <w:r>
        <w:rPr>
          <w:spacing w:val="-22"/>
        </w:rPr>
        <w:t> </w:t>
      </w:r>
      <w:r>
        <w:rPr/>
        <w:t>for</w:t>
      </w:r>
      <w:r>
        <w:rPr>
          <w:spacing w:val="-18"/>
        </w:rPr>
        <w:t> </w:t>
      </w:r>
      <w:r>
        <w:rPr/>
        <w:t>all</w:t>
      </w:r>
      <w:r>
        <w:rPr>
          <w:spacing w:val="-20"/>
        </w:rPr>
        <w:t> </w:t>
      </w:r>
      <w:r>
        <w:rPr/>
        <w:t>of</w:t>
      </w:r>
      <w:r>
        <w:rPr>
          <w:spacing w:val="-21"/>
        </w:rPr>
        <w:t> </w:t>
      </w:r>
      <w:r>
        <w:rPr/>
        <w:t>our</w:t>
      </w:r>
      <w:r>
        <w:rPr>
          <w:spacing w:val="-21"/>
        </w:rPr>
        <w:t> </w:t>
      </w:r>
      <w:r>
        <w:rPr/>
        <w:t>organs,</w:t>
      </w:r>
      <w:r>
        <w:rPr>
          <w:spacing w:val="-22"/>
        </w:rPr>
        <w:t> </w:t>
      </w:r>
      <w:r>
        <w:rPr/>
        <w:t>tissues</w:t>
      </w:r>
      <w:r>
        <w:rPr>
          <w:spacing w:val="-18"/>
        </w:rPr>
        <w:t> </w:t>
      </w:r>
      <w:r>
        <w:rPr/>
        <w:t>and</w:t>
      </w:r>
      <w:r>
        <w:rPr>
          <w:spacing w:val="-21"/>
        </w:rPr>
        <w:t> </w:t>
      </w:r>
      <w:r>
        <w:rPr/>
        <w:t>muscles.</w:t>
      </w:r>
      <w:r>
        <w:rPr>
          <w:spacing w:val="-18"/>
        </w:rPr>
        <w:t> </w:t>
      </w:r>
      <w:r>
        <w:rPr/>
        <w:t>Thus, parallel to the revitalisation of the heart, all organs are optimised, which ex- presses itself as a notable increase in the sense of wellbeing and more</w:t>
      </w:r>
      <w:r>
        <w:rPr>
          <w:spacing w:val="-26"/>
        </w:rPr>
        <w:t> </w:t>
      </w:r>
      <w:r>
        <w:rPr/>
        <w:t>energy.</w:t>
      </w:r>
    </w:p>
    <w:p>
      <w:pPr>
        <w:pStyle w:val="Heading1"/>
        <w:spacing w:before="225"/>
        <w:ind w:left="616"/>
        <w:jc w:val="both"/>
      </w:pPr>
      <w:r>
        <w:rPr/>
        <w:t>Coenzyme Q10 can replace endurance</w:t>
      </w:r>
      <w:r>
        <w:rPr>
          <w:spacing w:val="-66"/>
        </w:rPr>
        <w:t> </w:t>
      </w:r>
      <w:r>
        <w:rPr/>
        <w:t>training</w:t>
      </w:r>
    </w:p>
    <w:p>
      <w:pPr>
        <w:spacing w:after="0"/>
        <w:jc w:val="both"/>
        <w:sectPr>
          <w:footerReference w:type="default" r:id="rId312"/>
          <w:pgSz w:w="14270" w:h="16850"/>
          <w:pgMar w:footer="1891" w:header="0" w:top="1420" w:bottom="2080" w:left="800" w:right="1280"/>
          <w:pgNumType w:start="1318"/>
        </w:sectPr>
      </w:pPr>
    </w:p>
    <w:p>
      <w:pPr>
        <w:pStyle w:val="BodyText"/>
        <w:spacing w:line="276" w:lineRule="auto" w:before="72"/>
        <w:ind w:left="616" w:right="130"/>
        <w:jc w:val="both"/>
      </w:pPr>
      <w:r>
        <w:rPr/>
        <w:t>The goal of endurance training is first of all to increase cardiac output and stroke volume, or stated simply: an increase in heart circulation per unit of time.</w:t>
      </w:r>
      <w:r>
        <w:rPr>
          <w:spacing w:val="-18"/>
        </w:rPr>
        <w:t> </w:t>
      </w:r>
      <w:r>
        <w:rPr/>
        <w:t>The</w:t>
      </w:r>
      <w:r>
        <w:rPr>
          <w:spacing w:val="-17"/>
        </w:rPr>
        <w:t> </w:t>
      </w:r>
      <w:r>
        <w:rPr/>
        <w:t>fact</w:t>
      </w:r>
      <w:r>
        <w:rPr>
          <w:spacing w:val="-18"/>
        </w:rPr>
        <w:t> </w:t>
      </w:r>
      <w:r>
        <w:rPr/>
        <w:t>that</w:t>
      </w:r>
      <w:r>
        <w:rPr>
          <w:spacing w:val="-19"/>
        </w:rPr>
        <w:t> </w:t>
      </w:r>
      <w:r>
        <w:rPr/>
        <w:t>coenzyme</w:t>
      </w:r>
      <w:r>
        <w:rPr>
          <w:spacing w:val="-17"/>
        </w:rPr>
        <w:t> </w:t>
      </w:r>
      <w:r>
        <w:rPr/>
        <w:t>Q10</w:t>
      </w:r>
      <w:r>
        <w:rPr>
          <w:spacing w:val="-18"/>
        </w:rPr>
        <w:t> </w:t>
      </w:r>
      <w:r>
        <w:rPr/>
        <w:t>has,</w:t>
      </w:r>
      <w:r>
        <w:rPr>
          <w:spacing w:val="-18"/>
        </w:rPr>
        <w:t> </w:t>
      </w:r>
      <w:r>
        <w:rPr/>
        <w:t>despite</w:t>
      </w:r>
      <w:r>
        <w:rPr>
          <w:spacing w:val="-19"/>
        </w:rPr>
        <w:t> </w:t>
      </w:r>
      <w:r>
        <w:rPr/>
        <w:t>bodily</w:t>
      </w:r>
      <w:r>
        <w:rPr>
          <w:spacing w:val="-17"/>
        </w:rPr>
        <w:t> </w:t>
      </w:r>
      <w:r>
        <w:rPr/>
        <w:t>passivity,</w:t>
      </w:r>
      <w:r>
        <w:rPr>
          <w:spacing w:val="-18"/>
        </w:rPr>
        <w:t> </w:t>
      </w:r>
      <w:r>
        <w:rPr/>
        <w:t>benefits</w:t>
      </w:r>
      <w:r>
        <w:rPr>
          <w:spacing w:val="-18"/>
        </w:rPr>
        <w:t> </w:t>
      </w:r>
      <w:r>
        <w:rPr/>
        <w:t>for</w:t>
      </w:r>
      <w:r>
        <w:rPr>
          <w:spacing w:val="-17"/>
        </w:rPr>
        <w:t> </w:t>
      </w:r>
      <w:r>
        <w:rPr/>
        <w:t>the circulatory</w:t>
      </w:r>
      <w:r>
        <w:rPr>
          <w:spacing w:val="-18"/>
        </w:rPr>
        <w:t> </w:t>
      </w:r>
      <w:r>
        <w:rPr/>
        <w:t>system</w:t>
      </w:r>
      <w:r>
        <w:rPr>
          <w:spacing w:val="-17"/>
        </w:rPr>
        <w:t> </w:t>
      </w:r>
      <w:r>
        <w:rPr/>
        <w:t>similar</w:t>
      </w:r>
      <w:r>
        <w:rPr>
          <w:spacing w:val="-18"/>
        </w:rPr>
        <w:t> </w:t>
      </w:r>
      <w:r>
        <w:rPr/>
        <w:t>to</w:t>
      </w:r>
      <w:r>
        <w:rPr>
          <w:spacing w:val="-17"/>
        </w:rPr>
        <w:t> </w:t>
      </w:r>
      <w:r>
        <w:rPr/>
        <w:t>endurance</w:t>
      </w:r>
      <w:r>
        <w:rPr>
          <w:spacing w:val="-17"/>
        </w:rPr>
        <w:t> </w:t>
      </w:r>
      <w:r>
        <w:rPr/>
        <w:t>training</w:t>
      </w:r>
      <w:r>
        <w:rPr>
          <w:spacing w:val="-18"/>
        </w:rPr>
        <w:t> </w:t>
      </w:r>
      <w:r>
        <w:rPr/>
        <w:t>makes</w:t>
      </w:r>
      <w:r>
        <w:rPr>
          <w:spacing w:val="-17"/>
        </w:rPr>
        <w:t> </w:t>
      </w:r>
      <w:r>
        <w:rPr/>
        <w:t>it</w:t>
      </w:r>
      <w:r>
        <w:rPr>
          <w:spacing w:val="-19"/>
        </w:rPr>
        <w:t> </w:t>
      </w:r>
      <w:r>
        <w:rPr/>
        <w:t>interesting</w:t>
      </w:r>
      <w:r>
        <w:rPr>
          <w:spacing w:val="-17"/>
        </w:rPr>
        <w:t> </w:t>
      </w:r>
      <w:r>
        <w:rPr/>
        <w:t>for</w:t>
      </w:r>
      <w:r>
        <w:rPr>
          <w:spacing w:val="-17"/>
        </w:rPr>
        <w:t> </w:t>
      </w:r>
      <w:r>
        <w:rPr/>
        <w:t>all</w:t>
      </w:r>
      <w:r>
        <w:rPr>
          <w:spacing w:val="-19"/>
        </w:rPr>
        <w:t> </w:t>
      </w:r>
      <w:r>
        <w:rPr/>
        <w:t>peo- ple who are not able or willing to do endurance training, but especially for those who are substantially overweight, disabled or suffer from illnesses that make cardiovascular training</w:t>
      </w:r>
      <w:r>
        <w:rPr>
          <w:spacing w:val="1"/>
        </w:rPr>
        <w:t> </w:t>
      </w:r>
      <w:r>
        <w:rPr/>
        <w:t>impossible.</w:t>
      </w:r>
    </w:p>
    <w:p>
      <w:pPr>
        <w:spacing w:line="276" w:lineRule="auto" w:before="243"/>
        <w:ind w:left="616" w:right="136" w:firstLine="0"/>
        <w:jc w:val="both"/>
        <w:rPr>
          <w:sz w:val="38"/>
        </w:rPr>
      </w:pPr>
      <w:r>
        <w:rPr>
          <w:i/>
          <w:sz w:val="38"/>
        </w:rPr>
        <w:t>‘It</w:t>
      </w:r>
      <w:r>
        <w:rPr>
          <w:i/>
          <w:spacing w:val="-19"/>
          <w:sz w:val="38"/>
        </w:rPr>
        <w:t> </w:t>
      </w:r>
      <w:r>
        <w:rPr>
          <w:i/>
          <w:sz w:val="38"/>
        </w:rPr>
        <w:t>is</w:t>
      </w:r>
      <w:r>
        <w:rPr>
          <w:i/>
          <w:spacing w:val="-20"/>
          <w:sz w:val="38"/>
        </w:rPr>
        <w:t> </w:t>
      </w:r>
      <w:r>
        <w:rPr>
          <w:i/>
          <w:sz w:val="38"/>
        </w:rPr>
        <w:t>well</w:t>
      </w:r>
      <w:r>
        <w:rPr>
          <w:i/>
          <w:spacing w:val="-20"/>
          <w:sz w:val="38"/>
        </w:rPr>
        <w:t> </w:t>
      </w:r>
      <w:r>
        <w:rPr>
          <w:i/>
          <w:sz w:val="38"/>
        </w:rPr>
        <w:t>known</w:t>
      </w:r>
      <w:r>
        <w:rPr>
          <w:i/>
          <w:spacing w:val="-22"/>
          <w:sz w:val="38"/>
        </w:rPr>
        <w:t> </w:t>
      </w:r>
      <w:r>
        <w:rPr>
          <w:i/>
          <w:sz w:val="38"/>
        </w:rPr>
        <w:t>that</w:t>
      </w:r>
      <w:r>
        <w:rPr>
          <w:i/>
          <w:spacing w:val="-19"/>
          <w:sz w:val="38"/>
        </w:rPr>
        <w:t> </w:t>
      </w:r>
      <w:r>
        <w:rPr>
          <w:i/>
          <w:sz w:val="38"/>
        </w:rPr>
        <w:t>movement</w:t>
      </w:r>
      <w:r>
        <w:rPr>
          <w:i/>
          <w:spacing w:val="-20"/>
          <w:sz w:val="38"/>
        </w:rPr>
        <w:t> </w:t>
      </w:r>
      <w:r>
        <w:rPr>
          <w:i/>
          <w:sz w:val="38"/>
        </w:rPr>
        <w:t>strengthens</w:t>
      </w:r>
      <w:r>
        <w:rPr>
          <w:i/>
          <w:spacing w:val="-19"/>
          <w:sz w:val="38"/>
        </w:rPr>
        <w:t> </w:t>
      </w:r>
      <w:r>
        <w:rPr>
          <w:i/>
          <w:sz w:val="38"/>
        </w:rPr>
        <w:t>the</w:t>
      </w:r>
      <w:r>
        <w:rPr>
          <w:i/>
          <w:spacing w:val="-21"/>
          <w:sz w:val="38"/>
        </w:rPr>
        <w:t> </w:t>
      </w:r>
      <w:r>
        <w:rPr>
          <w:i/>
          <w:sz w:val="38"/>
        </w:rPr>
        <w:t>heart.</w:t>
      </w:r>
      <w:r>
        <w:rPr>
          <w:i/>
          <w:spacing w:val="-19"/>
          <w:sz w:val="38"/>
        </w:rPr>
        <w:t> </w:t>
      </w:r>
      <w:r>
        <w:rPr>
          <w:i/>
          <w:sz w:val="38"/>
        </w:rPr>
        <w:t>But</w:t>
      </w:r>
      <w:r>
        <w:rPr>
          <w:i/>
          <w:spacing w:val="-23"/>
          <w:sz w:val="38"/>
        </w:rPr>
        <w:t> </w:t>
      </w:r>
      <w:r>
        <w:rPr>
          <w:i/>
          <w:sz w:val="38"/>
        </w:rPr>
        <w:t>that</w:t>
      </w:r>
      <w:r>
        <w:rPr>
          <w:i/>
          <w:spacing w:val="-18"/>
          <w:sz w:val="38"/>
        </w:rPr>
        <w:t> </w:t>
      </w:r>
      <w:r>
        <w:rPr>
          <w:i/>
          <w:sz w:val="38"/>
        </w:rPr>
        <w:t>same</w:t>
      </w:r>
      <w:r>
        <w:rPr>
          <w:i/>
          <w:spacing w:val="-22"/>
          <w:sz w:val="38"/>
        </w:rPr>
        <w:t> </w:t>
      </w:r>
      <w:r>
        <w:rPr>
          <w:i/>
          <w:sz w:val="38"/>
        </w:rPr>
        <w:t>strengthening</w:t>
      </w:r>
      <w:r>
        <w:rPr>
          <w:i/>
          <w:spacing w:val="-18"/>
          <w:sz w:val="38"/>
        </w:rPr>
        <w:t> </w:t>
      </w:r>
      <w:r>
        <w:rPr>
          <w:i/>
          <w:sz w:val="38"/>
        </w:rPr>
        <w:t>also</w:t>
      </w:r>
      <w:r>
        <w:rPr>
          <w:i/>
          <w:spacing w:val="-21"/>
          <w:sz w:val="38"/>
        </w:rPr>
        <w:t> </w:t>
      </w:r>
      <w:r>
        <w:rPr>
          <w:i/>
          <w:sz w:val="38"/>
        </w:rPr>
        <w:t>takes </w:t>
      </w:r>
      <w:r>
        <w:rPr>
          <w:i/>
          <w:sz w:val="38"/>
        </w:rPr>
        <w:t>place with the consumption of Q10, without the patient moving. Experiments have also shown a decrease or normalisation of blood pressure.’ </w:t>
      </w:r>
      <w:r>
        <w:rPr>
          <w:sz w:val="38"/>
        </w:rPr>
        <w:t>(Dr. Burgerstein)</w:t>
      </w:r>
    </w:p>
    <w:p>
      <w:pPr>
        <w:spacing w:after="0" w:line="276" w:lineRule="auto"/>
        <w:jc w:val="both"/>
        <w:rPr>
          <w:sz w:val="38"/>
        </w:rPr>
        <w:sectPr>
          <w:pgSz w:w="14270" w:h="16850"/>
          <w:pgMar w:header="0" w:footer="1891" w:top="1340" w:bottom="2080" w:left="800" w:right="1280"/>
        </w:sectPr>
      </w:pPr>
    </w:p>
    <w:p>
      <w:pPr>
        <w:pStyle w:val="Heading2"/>
        <w:spacing w:before="74"/>
        <w:ind w:left="616"/>
      </w:pPr>
      <w:r>
        <w:rPr/>
        <w:t>Additional effects of Q10</w:t>
      </w:r>
    </w:p>
    <w:p>
      <w:pPr>
        <w:spacing w:before="287"/>
        <w:ind w:left="616" w:right="0" w:firstLine="0"/>
        <w:jc w:val="left"/>
        <w:rPr>
          <w:b/>
          <w:i/>
          <w:sz w:val="40"/>
        </w:rPr>
      </w:pPr>
      <w:r>
        <w:rPr>
          <w:b/>
          <w:i/>
          <w:sz w:val="40"/>
        </w:rPr>
        <w:t>Effect of Q10 on depression</w:t>
      </w:r>
    </w:p>
    <w:p>
      <w:pPr>
        <w:pStyle w:val="BodyText"/>
        <w:spacing w:line="276" w:lineRule="auto" w:before="297"/>
        <w:ind w:left="616" w:right="132"/>
        <w:jc w:val="both"/>
      </w:pPr>
      <w:r>
        <w:rPr/>
        <w:t>Similarly to Vitamin C and OPC, both of which minimise depression by</w:t>
      </w:r>
      <w:r>
        <w:rPr>
          <w:spacing w:val="-39"/>
        </w:rPr>
        <w:t> </w:t>
      </w:r>
      <w:r>
        <w:rPr/>
        <w:t>over- coming the blood-brain barrier and optimising calcium turnover, Q10 proves itself</w:t>
      </w:r>
      <w:r>
        <w:rPr>
          <w:spacing w:val="-12"/>
        </w:rPr>
        <w:t> </w:t>
      </w:r>
      <w:r>
        <w:rPr/>
        <w:t>to</w:t>
      </w:r>
      <w:r>
        <w:rPr>
          <w:spacing w:val="-11"/>
        </w:rPr>
        <w:t> </w:t>
      </w:r>
      <w:r>
        <w:rPr/>
        <w:t>be</w:t>
      </w:r>
      <w:r>
        <w:rPr>
          <w:spacing w:val="-11"/>
        </w:rPr>
        <w:t> </w:t>
      </w:r>
      <w:r>
        <w:rPr/>
        <w:t>a</w:t>
      </w:r>
      <w:r>
        <w:rPr>
          <w:spacing w:val="-13"/>
        </w:rPr>
        <w:t> </w:t>
      </w:r>
      <w:r>
        <w:rPr/>
        <w:t>helpful</w:t>
      </w:r>
      <w:r>
        <w:rPr>
          <w:spacing w:val="-13"/>
        </w:rPr>
        <w:t> </w:t>
      </w:r>
      <w:r>
        <w:rPr/>
        <w:t>third</w:t>
      </w:r>
      <w:r>
        <w:rPr>
          <w:spacing w:val="-12"/>
        </w:rPr>
        <w:t> </w:t>
      </w:r>
      <w:r>
        <w:rPr/>
        <w:t>partner</w:t>
      </w:r>
      <w:r>
        <w:rPr>
          <w:spacing w:val="-10"/>
        </w:rPr>
        <w:t> </w:t>
      </w:r>
      <w:r>
        <w:rPr/>
        <w:t>by</w:t>
      </w:r>
      <w:r>
        <w:rPr>
          <w:spacing w:val="-11"/>
        </w:rPr>
        <w:t> </w:t>
      </w:r>
      <w:r>
        <w:rPr/>
        <w:t>improving</w:t>
      </w:r>
      <w:r>
        <w:rPr>
          <w:spacing w:val="-10"/>
        </w:rPr>
        <w:t> </w:t>
      </w:r>
      <w:r>
        <w:rPr/>
        <w:t>the</w:t>
      </w:r>
      <w:r>
        <w:rPr>
          <w:spacing w:val="-11"/>
        </w:rPr>
        <w:t> </w:t>
      </w:r>
      <w:r>
        <w:rPr/>
        <w:t>cell-to-cell</w:t>
      </w:r>
      <w:r>
        <w:rPr>
          <w:spacing w:val="-12"/>
        </w:rPr>
        <w:t> </w:t>
      </w:r>
      <w:r>
        <w:rPr/>
        <w:t>communication of the neurons without any side effects, while traditional antidepressants ex- hibit side effects ranging from dangerous drops in blood pressure to cardio- vascular disturbances and deadly arrhythmia. These side effects can also be relieved with additional Q10</w:t>
      </w:r>
      <w:r>
        <w:rPr>
          <w:spacing w:val="-3"/>
        </w:rPr>
        <w:t> </w:t>
      </w:r>
      <w:r>
        <w:rPr/>
        <w:t>supplements.</w:t>
      </w:r>
    </w:p>
    <w:p>
      <w:pPr>
        <w:pStyle w:val="Heading1"/>
        <w:ind w:left="616"/>
      </w:pPr>
      <w:r>
        <w:rPr/>
        <w:t>Coenzyme Q10 against obesity – Q10 helps with weight loss</w:t>
      </w:r>
    </w:p>
    <w:p>
      <w:pPr>
        <w:pStyle w:val="BodyText"/>
        <w:spacing w:line="276" w:lineRule="auto" w:before="299"/>
        <w:ind w:left="616" w:right="134"/>
        <w:jc w:val="both"/>
      </w:pPr>
      <w:r>
        <w:rPr/>
        <w:t>In a study by van Gaal et al., the researchers were able to demonstrate a Q10 deficit</w:t>
      </w:r>
      <w:r>
        <w:rPr>
          <w:spacing w:val="-15"/>
        </w:rPr>
        <w:t> </w:t>
      </w:r>
      <w:r>
        <w:rPr/>
        <w:t>of</w:t>
      </w:r>
      <w:r>
        <w:rPr>
          <w:spacing w:val="-14"/>
        </w:rPr>
        <w:t> </w:t>
      </w:r>
      <w:r>
        <w:rPr/>
        <w:t>50</w:t>
      </w:r>
      <w:r>
        <w:rPr>
          <w:spacing w:val="-15"/>
        </w:rPr>
        <w:t> </w:t>
      </w:r>
      <w:r>
        <w:rPr/>
        <w:t>%,</w:t>
      </w:r>
      <w:r>
        <w:rPr>
          <w:spacing w:val="-18"/>
        </w:rPr>
        <w:t> </w:t>
      </w:r>
      <w:r>
        <w:rPr/>
        <w:t>which</w:t>
      </w:r>
      <w:r>
        <w:rPr>
          <w:spacing w:val="-13"/>
        </w:rPr>
        <w:t> </w:t>
      </w:r>
      <w:r>
        <w:rPr/>
        <w:t>is</w:t>
      </w:r>
      <w:r>
        <w:rPr>
          <w:spacing w:val="-14"/>
        </w:rPr>
        <w:t> </w:t>
      </w:r>
      <w:r>
        <w:rPr/>
        <w:t>already</w:t>
      </w:r>
      <w:r>
        <w:rPr>
          <w:spacing w:val="-17"/>
        </w:rPr>
        <w:t> </w:t>
      </w:r>
      <w:r>
        <w:rPr/>
        <w:t>very</w:t>
      </w:r>
      <w:r>
        <w:rPr>
          <w:spacing w:val="-13"/>
        </w:rPr>
        <w:t> </w:t>
      </w:r>
      <w:r>
        <w:rPr/>
        <w:t>critical.</w:t>
      </w:r>
      <w:r>
        <w:rPr>
          <w:spacing w:val="65"/>
        </w:rPr>
        <w:t> </w:t>
      </w:r>
      <w:r>
        <w:rPr/>
        <w:t>Men</w:t>
      </w:r>
      <w:r>
        <w:rPr>
          <w:spacing w:val="-14"/>
        </w:rPr>
        <w:t> </w:t>
      </w:r>
      <w:r>
        <w:rPr/>
        <w:t>and</w:t>
      </w:r>
      <w:r>
        <w:rPr>
          <w:spacing w:val="-14"/>
        </w:rPr>
        <w:t> </w:t>
      </w:r>
      <w:r>
        <w:rPr/>
        <w:t>women</w:t>
      </w:r>
      <w:r>
        <w:rPr>
          <w:spacing w:val="-15"/>
        </w:rPr>
        <w:t> </w:t>
      </w:r>
      <w:r>
        <w:rPr/>
        <w:t>with</w:t>
      </w:r>
      <w:r>
        <w:rPr>
          <w:spacing w:val="-13"/>
        </w:rPr>
        <w:t> </w:t>
      </w:r>
      <w:r>
        <w:rPr/>
        <w:t>an</w:t>
      </w:r>
      <w:r>
        <w:rPr>
          <w:spacing w:val="-14"/>
        </w:rPr>
        <w:t> </w:t>
      </w:r>
      <w:r>
        <w:rPr/>
        <w:t>average age</w:t>
      </w:r>
      <w:r>
        <w:rPr>
          <w:spacing w:val="-11"/>
        </w:rPr>
        <w:t> </w:t>
      </w:r>
      <w:r>
        <w:rPr/>
        <w:t>of</w:t>
      </w:r>
      <w:r>
        <w:rPr>
          <w:spacing w:val="-9"/>
        </w:rPr>
        <w:t> </w:t>
      </w:r>
      <w:r>
        <w:rPr/>
        <w:t>37.2</w:t>
      </w:r>
      <w:r>
        <w:rPr>
          <w:spacing w:val="-9"/>
        </w:rPr>
        <w:t> </w:t>
      </w:r>
      <w:r>
        <w:rPr/>
        <w:t>took</w:t>
      </w:r>
      <w:r>
        <w:rPr>
          <w:spacing w:val="-11"/>
        </w:rPr>
        <w:t> </w:t>
      </w:r>
      <w:r>
        <w:rPr/>
        <w:t>part</w:t>
      </w:r>
      <w:r>
        <w:rPr>
          <w:spacing w:val="-10"/>
        </w:rPr>
        <w:t> </w:t>
      </w:r>
      <w:r>
        <w:rPr/>
        <w:t>in</w:t>
      </w:r>
      <w:r>
        <w:rPr>
          <w:spacing w:val="-9"/>
        </w:rPr>
        <w:t> </w:t>
      </w:r>
      <w:r>
        <w:rPr/>
        <w:t>the</w:t>
      </w:r>
      <w:r>
        <w:rPr>
          <w:spacing w:val="-12"/>
        </w:rPr>
        <w:t> </w:t>
      </w:r>
      <w:r>
        <w:rPr/>
        <w:t>study,</w:t>
      </w:r>
      <w:r>
        <w:rPr>
          <w:spacing w:val="-9"/>
        </w:rPr>
        <w:t> </w:t>
      </w:r>
      <w:r>
        <w:rPr/>
        <w:t>which</w:t>
      </w:r>
      <w:r>
        <w:rPr>
          <w:spacing w:val="-8"/>
        </w:rPr>
        <w:t> </w:t>
      </w:r>
      <w:r>
        <w:rPr/>
        <w:t>was</w:t>
      </w:r>
      <w:r>
        <w:rPr>
          <w:spacing w:val="-9"/>
        </w:rPr>
        <w:t> </w:t>
      </w:r>
      <w:r>
        <w:rPr/>
        <w:t>connected</w:t>
      </w:r>
      <w:r>
        <w:rPr>
          <w:spacing w:val="-9"/>
        </w:rPr>
        <w:t> </w:t>
      </w:r>
      <w:r>
        <w:rPr/>
        <w:t>with</w:t>
      </w:r>
      <w:r>
        <w:rPr>
          <w:spacing w:val="-10"/>
        </w:rPr>
        <w:t> </w:t>
      </w:r>
      <w:r>
        <w:rPr/>
        <w:t>a</w:t>
      </w:r>
      <w:r>
        <w:rPr>
          <w:spacing w:val="-10"/>
        </w:rPr>
        <w:t> </w:t>
      </w:r>
      <w:r>
        <w:rPr/>
        <w:t>reduced-calorie diet.</w:t>
      </w:r>
      <w:r>
        <w:rPr>
          <w:spacing w:val="-17"/>
        </w:rPr>
        <w:t> </w:t>
      </w:r>
      <w:r>
        <w:rPr/>
        <w:t>The</w:t>
      </w:r>
      <w:r>
        <w:rPr>
          <w:spacing w:val="-16"/>
        </w:rPr>
        <w:t> </w:t>
      </w:r>
      <w:r>
        <w:rPr/>
        <w:t>subjects</w:t>
      </w:r>
      <w:r>
        <w:rPr>
          <w:spacing w:val="-16"/>
        </w:rPr>
        <w:t> </w:t>
      </w:r>
      <w:r>
        <w:rPr/>
        <w:t>were</w:t>
      </w:r>
      <w:r>
        <w:rPr>
          <w:spacing w:val="-16"/>
        </w:rPr>
        <w:t> </w:t>
      </w:r>
      <w:r>
        <w:rPr/>
        <w:t>divided</w:t>
      </w:r>
      <w:r>
        <w:rPr>
          <w:spacing w:val="-18"/>
        </w:rPr>
        <w:t> </w:t>
      </w:r>
      <w:r>
        <w:rPr/>
        <w:t>into</w:t>
      </w:r>
      <w:r>
        <w:rPr>
          <w:spacing w:val="-15"/>
        </w:rPr>
        <w:t> </w:t>
      </w:r>
      <w:r>
        <w:rPr/>
        <w:t>two</w:t>
      </w:r>
      <w:r>
        <w:rPr>
          <w:spacing w:val="-16"/>
        </w:rPr>
        <w:t> </w:t>
      </w:r>
      <w:r>
        <w:rPr/>
        <w:t>groups,</w:t>
      </w:r>
      <w:r>
        <w:rPr>
          <w:spacing w:val="-17"/>
        </w:rPr>
        <w:t> </w:t>
      </w:r>
      <w:r>
        <w:rPr/>
        <w:t>one</w:t>
      </w:r>
      <w:r>
        <w:rPr>
          <w:spacing w:val="-16"/>
        </w:rPr>
        <w:t> </w:t>
      </w:r>
      <w:r>
        <w:rPr/>
        <w:t>group</w:t>
      </w:r>
      <w:r>
        <w:rPr>
          <w:spacing w:val="-19"/>
        </w:rPr>
        <w:t> </w:t>
      </w:r>
      <w:r>
        <w:rPr/>
        <w:t>showing</w:t>
      </w:r>
      <w:r>
        <w:rPr>
          <w:spacing w:val="-16"/>
        </w:rPr>
        <w:t> </w:t>
      </w:r>
      <w:r>
        <w:rPr/>
        <w:t>a</w:t>
      </w:r>
      <w:r>
        <w:rPr>
          <w:spacing w:val="-17"/>
        </w:rPr>
        <w:t> </w:t>
      </w:r>
      <w:r>
        <w:rPr/>
        <w:t>low</w:t>
      </w:r>
      <w:r>
        <w:rPr>
          <w:spacing w:val="-17"/>
        </w:rPr>
        <w:t> </w:t>
      </w:r>
      <w:r>
        <w:rPr/>
        <w:t>Q10 level and another with a higher Q10 level. Both groups were administered 100mg</w:t>
      </w:r>
      <w:r>
        <w:rPr>
          <w:spacing w:val="-21"/>
        </w:rPr>
        <w:t> </w:t>
      </w:r>
      <w:r>
        <w:rPr/>
        <w:t>of</w:t>
      </w:r>
      <w:r>
        <w:rPr>
          <w:spacing w:val="-21"/>
        </w:rPr>
        <w:t> </w:t>
      </w:r>
      <w:r>
        <w:rPr/>
        <w:t>Q10</w:t>
      </w:r>
      <w:r>
        <w:rPr>
          <w:spacing w:val="-22"/>
        </w:rPr>
        <w:t> </w:t>
      </w:r>
      <w:r>
        <w:rPr/>
        <w:t>per</w:t>
      </w:r>
      <w:r>
        <w:rPr>
          <w:spacing w:val="-21"/>
        </w:rPr>
        <w:t> </w:t>
      </w:r>
      <w:r>
        <w:rPr/>
        <w:t>day.</w:t>
      </w:r>
      <w:r>
        <w:rPr>
          <w:spacing w:val="-21"/>
        </w:rPr>
        <w:t> </w:t>
      </w:r>
      <w:r>
        <w:rPr/>
        <w:t>After</w:t>
      </w:r>
      <w:r>
        <w:rPr>
          <w:spacing w:val="-21"/>
        </w:rPr>
        <w:t> </w:t>
      </w:r>
      <w:r>
        <w:rPr/>
        <w:t>twelve</w:t>
      </w:r>
      <w:r>
        <w:rPr>
          <w:spacing w:val="-22"/>
        </w:rPr>
        <w:t> </w:t>
      </w:r>
      <w:r>
        <w:rPr/>
        <w:t>weeks,</w:t>
      </w:r>
      <w:r>
        <w:rPr>
          <w:spacing w:val="-20"/>
        </w:rPr>
        <w:t> </w:t>
      </w:r>
      <w:r>
        <w:rPr/>
        <w:t>the</w:t>
      </w:r>
      <w:r>
        <w:rPr>
          <w:spacing w:val="-19"/>
        </w:rPr>
        <w:t> </w:t>
      </w:r>
      <w:r>
        <w:rPr/>
        <w:t>results</w:t>
      </w:r>
      <w:r>
        <w:rPr>
          <w:spacing w:val="-22"/>
        </w:rPr>
        <w:t> </w:t>
      </w:r>
      <w:r>
        <w:rPr/>
        <w:t>showed</w:t>
      </w:r>
      <w:r>
        <w:rPr>
          <w:spacing w:val="-22"/>
        </w:rPr>
        <w:t> </w:t>
      </w:r>
      <w:r>
        <w:rPr/>
        <w:t>that</w:t>
      </w:r>
      <w:r>
        <w:rPr>
          <w:spacing w:val="-21"/>
        </w:rPr>
        <w:t> </w:t>
      </w:r>
      <w:r>
        <w:rPr/>
        <w:t>the</w:t>
      </w:r>
      <w:r>
        <w:rPr>
          <w:spacing w:val="-20"/>
        </w:rPr>
        <w:t> </w:t>
      </w:r>
      <w:r>
        <w:rPr/>
        <w:t>patients with a significantly lower Q10 level before treatment had the greatest weight loss</w:t>
      </w:r>
      <w:r>
        <w:rPr>
          <w:spacing w:val="-13"/>
        </w:rPr>
        <w:t> </w:t>
      </w:r>
      <w:r>
        <w:rPr/>
        <w:t>after</w:t>
      </w:r>
      <w:r>
        <w:rPr>
          <w:spacing w:val="-14"/>
        </w:rPr>
        <w:t> </w:t>
      </w:r>
      <w:r>
        <w:rPr/>
        <w:t>treatment</w:t>
      </w:r>
      <w:r>
        <w:rPr>
          <w:spacing w:val="-13"/>
        </w:rPr>
        <w:t> </w:t>
      </w:r>
      <w:r>
        <w:rPr/>
        <w:t>with</w:t>
      </w:r>
      <w:r>
        <w:rPr>
          <w:spacing w:val="-14"/>
        </w:rPr>
        <w:t> </w:t>
      </w:r>
      <w:r>
        <w:rPr/>
        <w:t>Q10.</w:t>
      </w:r>
      <w:r>
        <w:rPr>
          <w:spacing w:val="-13"/>
        </w:rPr>
        <w:t> </w:t>
      </w:r>
      <w:r>
        <w:rPr/>
        <w:t>On</w:t>
      </w:r>
      <w:r>
        <w:rPr>
          <w:spacing w:val="-14"/>
        </w:rPr>
        <w:t> </w:t>
      </w:r>
      <w:r>
        <w:rPr/>
        <w:t>average,</w:t>
      </w:r>
      <w:r>
        <w:rPr>
          <w:spacing w:val="-12"/>
        </w:rPr>
        <w:t> </w:t>
      </w:r>
      <w:r>
        <w:rPr/>
        <w:t>a</w:t>
      </w:r>
      <w:r>
        <w:rPr>
          <w:spacing w:val="-15"/>
        </w:rPr>
        <w:t> </w:t>
      </w:r>
      <w:r>
        <w:rPr/>
        <w:t>weight</w:t>
      </w:r>
      <w:r>
        <w:rPr>
          <w:spacing w:val="-13"/>
        </w:rPr>
        <w:t> </w:t>
      </w:r>
      <w:r>
        <w:rPr/>
        <w:t>reduction</w:t>
      </w:r>
      <w:r>
        <w:rPr>
          <w:spacing w:val="-13"/>
        </w:rPr>
        <w:t> </w:t>
      </w:r>
      <w:r>
        <w:rPr/>
        <w:t>of</w:t>
      </w:r>
      <w:r>
        <w:rPr>
          <w:spacing w:val="-13"/>
        </w:rPr>
        <w:t> </w:t>
      </w:r>
      <w:r>
        <w:rPr/>
        <w:t>16.4</w:t>
      </w:r>
      <w:r>
        <w:rPr>
          <w:spacing w:val="-14"/>
        </w:rPr>
        <w:t> </w:t>
      </w:r>
      <w:r>
        <w:rPr/>
        <w:t>kg</w:t>
      </w:r>
      <w:r>
        <w:rPr>
          <w:spacing w:val="-13"/>
        </w:rPr>
        <w:t> </w:t>
      </w:r>
      <w:r>
        <w:rPr/>
        <w:t>in</w:t>
      </w:r>
      <w:r>
        <w:rPr>
          <w:spacing w:val="-14"/>
        </w:rPr>
        <w:t> </w:t>
      </w:r>
      <w:r>
        <w:rPr/>
        <w:t>the three months was achieved in the group with the initially low Q10 levels. The group</w:t>
      </w:r>
      <w:r>
        <w:rPr>
          <w:spacing w:val="-14"/>
        </w:rPr>
        <w:t> </w:t>
      </w:r>
      <w:r>
        <w:rPr/>
        <w:t>which</w:t>
      </w:r>
      <w:r>
        <w:rPr>
          <w:spacing w:val="-12"/>
        </w:rPr>
        <w:t> </w:t>
      </w:r>
      <w:r>
        <w:rPr/>
        <w:t>showed</w:t>
      </w:r>
      <w:r>
        <w:rPr>
          <w:spacing w:val="-14"/>
        </w:rPr>
        <w:t> </w:t>
      </w:r>
      <w:r>
        <w:rPr/>
        <w:t>a</w:t>
      </w:r>
      <w:r>
        <w:rPr>
          <w:spacing w:val="-14"/>
        </w:rPr>
        <w:t> </w:t>
      </w:r>
      <w:r>
        <w:rPr/>
        <w:t>higher</w:t>
      </w:r>
      <w:r>
        <w:rPr>
          <w:spacing w:val="-12"/>
        </w:rPr>
        <w:t> </w:t>
      </w:r>
      <w:r>
        <w:rPr/>
        <w:t>Q10</w:t>
      </w:r>
      <w:r>
        <w:rPr>
          <w:spacing w:val="-14"/>
        </w:rPr>
        <w:t> </w:t>
      </w:r>
      <w:r>
        <w:rPr/>
        <w:t>level</w:t>
      </w:r>
      <w:r>
        <w:rPr>
          <w:spacing w:val="-14"/>
        </w:rPr>
        <w:t> </w:t>
      </w:r>
      <w:r>
        <w:rPr/>
        <w:t>as</w:t>
      </w:r>
      <w:r>
        <w:rPr>
          <w:spacing w:val="-13"/>
        </w:rPr>
        <w:t> </w:t>
      </w:r>
      <w:r>
        <w:rPr/>
        <w:t>the</w:t>
      </w:r>
      <w:r>
        <w:rPr>
          <w:spacing w:val="-12"/>
        </w:rPr>
        <w:t> </w:t>
      </w:r>
      <w:r>
        <w:rPr/>
        <w:t>start</w:t>
      </w:r>
      <w:r>
        <w:rPr>
          <w:spacing w:val="-13"/>
        </w:rPr>
        <w:t> </w:t>
      </w:r>
      <w:r>
        <w:rPr/>
        <w:t>of</w:t>
      </w:r>
      <w:r>
        <w:rPr>
          <w:spacing w:val="-13"/>
        </w:rPr>
        <w:t> </w:t>
      </w:r>
      <w:r>
        <w:rPr/>
        <w:t>the</w:t>
      </w:r>
      <w:r>
        <w:rPr>
          <w:spacing w:val="-12"/>
        </w:rPr>
        <w:t> </w:t>
      </w:r>
      <w:r>
        <w:rPr/>
        <w:t>study</w:t>
      </w:r>
      <w:r>
        <w:rPr>
          <w:spacing w:val="-13"/>
        </w:rPr>
        <w:t> </w:t>
      </w:r>
      <w:r>
        <w:rPr/>
        <w:t>were</w:t>
      </w:r>
      <w:r>
        <w:rPr>
          <w:spacing w:val="-13"/>
        </w:rPr>
        <w:t> </w:t>
      </w:r>
      <w:r>
        <w:rPr/>
        <w:t>only</w:t>
      </w:r>
      <w:r>
        <w:rPr>
          <w:spacing w:val="-14"/>
        </w:rPr>
        <w:t> </w:t>
      </w:r>
      <w:r>
        <w:rPr/>
        <w:t>able</w:t>
      </w:r>
    </w:p>
    <w:p>
      <w:pPr>
        <w:spacing w:after="0" w:line="276" w:lineRule="auto"/>
        <w:jc w:val="both"/>
        <w:sectPr>
          <w:footerReference w:type="default" r:id="rId313"/>
          <w:pgSz w:w="14270" w:h="16850"/>
          <w:pgMar w:footer="1891" w:header="0" w:top="1340" w:bottom="2080" w:left="800" w:right="1280"/>
          <w:pgNumType w:start="1320"/>
        </w:sectPr>
      </w:pPr>
    </w:p>
    <w:p>
      <w:pPr>
        <w:pStyle w:val="BodyText"/>
        <w:spacing w:before="74"/>
        <w:ind w:left="616"/>
        <w:rPr>
          <w:sz w:val="25"/>
        </w:rPr>
      </w:pPr>
      <w:r>
        <w:rPr/>
        <w:t>to reduce their weight by 5.8 kg.</w:t>
      </w:r>
      <w:r>
        <w:rPr>
          <w:position w:val="9"/>
          <w:sz w:val="25"/>
        </w:rPr>
        <w:t>739</w:t>
      </w:r>
    </w:p>
    <w:p>
      <w:pPr>
        <w:spacing w:before="304"/>
        <w:ind w:left="616" w:right="0" w:firstLine="0"/>
        <w:jc w:val="left"/>
        <w:rPr>
          <w:b/>
          <w:sz w:val="28"/>
        </w:rPr>
      </w:pPr>
      <w:r>
        <w:rPr>
          <w:b/>
          <w:sz w:val="28"/>
        </w:rPr>
        <w:t>Change of Body Weight after Coenzyme Q10 Treatment</w:t>
      </w:r>
    </w:p>
    <w:p>
      <w:pPr>
        <w:pStyle w:val="BodyText"/>
        <w:spacing w:before="3"/>
        <w:rPr>
          <w:b/>
          <w:sz w:val="22"/>
        </w:r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1"/>
        <w:gridCol w:w="1474"/>
        <w:gridCol w:w="1471"/>
        <w:gridCol w:w="1471"/>
      </w:tblGrid>
      <w:tr>
        <w:trPr>
          <w:trHeight w:val="1648" w:hRule="atLeast"/>
        </w:trPr>
        <w:tc>
          <w:tcPr>
            <w:tcW w:w="1471" w:type="dxa"/>
          </w:tcPr>
          <w:p>
            <w:pPr>
              <w:pStyle w:val="TableParagraph"/>
              <w:spacing w:line="313" w:lineRule="exact"/>
              <w:ind w:left="110"/>
              <w:rPr>
                <w:b/>
                <w:sz w:val="28"/>
              </w:rPr>
            </w:pPr>
            <w:r>
              <w:rPr>
                <w:b/>
                <w:sz w:val="28"/>
              </w:rPr>
              <w:t>Baseline*</w:t>
            </w:r>
          </w:p>
        </w:tc>
        <w:tc>
          <w:tcPr>
            <w:tcW w:w="1474" w:type="dxa"/>
          </w:tcPr>
          <w:p>
            <w:pPr>
              <w:pStyle w:val="TableParagraph"/>
              <w:spacing w:line="276" w:lineRule="auto"/>
              <w:ind w:left="182" w:right="172" w:firstLine="1"/>
              <w:jc w:val="center"/>
              <w:rPr>
                <w:b/>
                <w:sz w:val="28"/>
              </w:rPr>
            </w:pPr>
            <w:r>
              <w:rPr>
                <w:b/>
                <w:sz w:val="28"/>
              </w:rPr>
              <w:t>Starting weight in kg</w:t>
            </w:r>
          </w:p>
        </w:tc>
        <w:tc>
          <w:tcPr>
            <w:tcW w:w="1471" w:type="dxa"/>
          </w:tcPr>
          <w:p>
            <w:pPr>
              <w:pStyle w:val="TableParagraph"/>
              <w:spacing w:line="276" w:lineRule="auto"/>
              <w:ind w:left="192" w:right="180" w:firstLine="36"/>
              <w:jc w:val="both"/>
              <w:rPr>
                <w:b/>
                <w:sz w:val="28"/>
              </w:rPr>
            </w:pPr>
            <w:r>
              <w:rPr>
                <w:b/>
                <w:sz w:val="28"/>
              </w:rPr>
              <w:t>After 8-9 weeks of Q10 sup- plements</w:t>
            </w:r>
          </w:p>
        </w:tc>
        <w:tc>
          <w:tcPr>
            <w:tcW w:w="1471" w:type="dxa"/>
          </w:tcPr>
          <w:p>
            <w:pPr>
              <w:pStyle w:val="TableParagraph"/>
              <w:spacing w:line="276" w:lineRule="auto"/>
              <w:ind w:left="139" w:right="120" w:hanging="5"/>
              <w:jc w:val="center"/>
              <w:rPr>
                <w:b/>
                <w:sz w:val="28"/>
              </w:rPr>
            </w:pPr>
            <w:r>
              <w:rPr>
                <w:b/>
                <w:sz w:val="28"/>
              </w:rPr>
              <w:t>After 3 months of Q10 sup- plements</w:t>
            </w:r>
          </w:p>
        </w:tc>
      </w:tr>
      <w:tr>
        <w:trPr>
          <w:trHeight w:val="924" w:hRule="atLeast"/>
        </w:trPr>
        <w:tc>
          <w:tcPr>
            <w:tcW w:w="1471" w:type="dxa"/>
          </w:tcPr>
          <w:p>
            <w:pPr>
              <w:pStyle w:val="TableParagraph"/>
              <w:spacing w:line="313" w:lineRule="exact"/>
              <w:ind w:left="110"/>
              <w:rPr>
                <w:sz w:val="28"/>
              </w:rPr>
            </w:pPr>
            <w:r>
              <w:rPr>
                <w:sz w:val="28"/>
              </w:rPr>
              <w:t>Lower</w:t>
            </w:r>
          </w:p>
        </w:tc>
        <w:tc>
          <w:tcPr>
            <w:tcW w:w="1474" w:type="dxa"/>
          </w:tcPr>
          <w:p>
            <w:pPr>
              <w:pStyle w:val="TableParagraph"/>
              <w:spacing w:line="311" w:lineRule="exact"/>
              <w:ind w:left="110"/>
              <w:rPr>
                <w:sz w:val="28"/>
              </w:rPr>
            </w:pPr>
            <w:r>
              <w:rPr>
                <w:sz w:val="28"/>
              </w:rPr>
              <w:t>110.0+-</w:t>
            </w:r>
          </w:p>
          <w:p>
            <w:pPr>
              <w:pStyle w:val="TableParagraph"/>
              <w:spacing w:before="49"/>
              <w:ind w:left="110"/>
              <w:rPr>
                <w:sz w:val="28"/>
              </w:rPr>
            </w:pPr>
            <w:r>
              <w:rPr>
                <w:sz w:val="28"/>
              </w:rPr>
              <w:t>21.0</w:t>
            </w:r>
          </w:p>
        </w:tc>
        <w:tc>
          <w:tcPr>
            <w:tcW w:w="1471" w:type="dxa"/>
          </w:tcPr>
          <w:p>
            <w:pPr>
              <w:pStyle w:val="TableParagraph"/>
              <w:spacing w:line="313" w:lineRule="exact"/>
              <w:ind w:left="108"/>
              <w:rPr>
                <w:sz w:val="28"/>
              </w:rPr>
            </w:pPr>
            <w:r>
              <w:rPr>
                <w:sz w:val="28"/>
              </w:rPr>
              <w:t>97.5+-19.8</w:t>
            </w:r>
          </w:p>
        </w:tc>
        <w:tc>
          <w:tcPr>
            <w:tcW w:w="1471" w:type="dxa"/>
          </w:tcPr>
          <w:p>
            <w:pPr>
              <w:pStyle w:val="TableParagraph"/>
              <w:spacing w:line="313" w:lineRule="exact"/>
              <w:ind w:left="110"/>
              <w:rPr>
                <w:sz w:val="28"/>
              </w:rPr>
            </w:pPr>
            <w:r>
              <w:rPr>
                <w:sz w:val="28"/>
              </w:rPr>
              <w:t>94.6+-18.4</w:t>
            </w:r>
          </w:p>
        </w:tc>
      </w:tr>
      <w:tr>
        <w:trPr>
          <w:trHeight w:val="925" w:hRule="atLeast"/>
        </w:trPr>
        <w:tc>
          <w:tcPr>
            <w:tcW w:w="1471" w:type="dxa"/>
          </w:tcPr>
          <w:p>
            <w:pPr>
              <w:pStyle w:val="TableParagraph"/>
              <w:spacing w:line="313" w:lineRule="exact"/>
              <w:ind w:left="110"/>
              <w:rPr>
                <w:sz w:val="28"/>
              </w:rPr>
            </w:pPr>
            <w:r>
              <w:rPr>
                <w:sz w:val="28"/>
              </w:rPr>
              <w:t>Higher</w:t>
            </w:r>
          </w:p>
        </w:tc>
        <w:tc>
          <w:tcPr>
            <w:tcW w:w="1474" w:type="dxa"/>
          </w:tcPr>
          <w:p>
            <w:pPr>
              <w:pStyle w:val="TableParagraph"/>
              <w:spacing w:line="311" w:lineRule="exact"/>
              <w:ind w:left="110"/>
              <w:rPr>
                <w:sz w:val="28"/>
              </w:rPr>
            </w:pPr>
            <w:r>
              <w:rPr>
                <w:sz w:val="28"/>
              </w:rPr>
              <w:t>103.5+-</w:t>
            </w:r>
          </w:p>
          <w:p>
            <w:pPr>
              <w:pStyle w:val="TableParagraph"/>
              <w:spacing w:before="49"/>
              <w:ind w:left="110"/>
              <w:rPr>
                <w:sz w:val="28"/>
              </w:rPr>
            </w:pPr>
            <w:r>
              <w:rPr>
                <w:sz w:val="28"/>
              </w:rPr>
              <w:t>17.9</w:t>
            </w:r>
          </w:p>
        </w:tc>
        <w:tc>
          <w:tcPr>
            <w:tcW w:w="1471" w:type="dxa"/>
          </w:tcPr>
          <w:p>
            <w:pPr>
              <w:pStyle w:val="TableParagraph"/>
              <w:spacing w:line="313" w:lineRule="exact"/>
              <w:ind w:left="108"/>
              <w:rPr>
                <w:sz w:val="28"/>
              </w:rPr>
            </w:pPr>
            <w:r>
              <w:rPr>
                <w:sz w:val="28"/>
              </w:rPr>
              <w:t>97.7+-15.2</w:t>
            </w:r>
          </w:p>
        </w:tc>
        <w:tc>
          <w:tcPr>
            <w:tcW w:w="1471" w:type="dxa"/>
          </w:tcPr>
          <w:p>
            <w:pPr>
              <w:pStyle w:val="TableParagraph"/>
              <w:spacing w:line="313" w:lineRule="exact"/>
              <w:ind w:left="110"/>
              <w:rPr>
                <w:sz w:val="28"/>
              </w:rPr>
            </w:pPr>
            <w:r>
              <w:rPr>
                <w:sz w:val="28"/>
              </w:rPr>
              <w:t>---</w:t>
            </w:r>
          </w:p>
        </w:tc>
      </w:tr>
    </w:tbl>
    <w:p>
      <w:pPr>
        <w:spacing w:before="0"/>
        <w:ind w:left="686" w:right="0" w:firstLine="0"/>
        <w:jc w:val="left"/>
        <w:rPr>
          <w:sz w:val="28"/>
        </w:rPr>
      </w:pPr>
      <w:r>
        <w:rPr>
          <w:sz w:val="28"/>
        </w:rPr>
        <w:t>* The patients were divided into two groups which showed different levels of Q10.</w:t>
      </w:r>
    </w:p>
    <w:p>
      <w:pPr>
        <w:pStyle w:val="BodyText"/>
        <w:rPr>
          <w:sz w:val="32"/>
        </w:rPr>
      </w:pPr>
    </w:p>
    <w:p>
      <w:pPr>
        <w:pStyle w:val="BodyText"/>
        <w:spacing w:before="2"/>
        <w:rPr>
          <w:sz w:val="43"/>
        </w:rPr>
      </w:pPr>
    </w:p>
    <w:p>
      <w:pPr>
        <w:spacing w:before="1"/>
        <w:ind w:left="616" w:right="0" w:firstLine="0"/>
        <w:jc w:val="left"/>
        <w:rPr>
          <w:b/>
          <w:sz w:val="28"/>
        </w:rPr>
      </w:pPr>
      <w:r>
        <w:rPr>
          <w:b/>
          <w:sz w:val="28"/>
        </w:rPr>
        <w:t>Change to BMI after Coenzyme Q10 Treatment</w:t>
      </w:r>
    </w:p>
    <w:p>
      <w:pPr>
        <w:pStyle w:val="BodyText"/>
        <w:spacing w:before="2"/>
        <w:rPr>
          <w:b/>
          <w:sz w:val="22"/>
        </w:r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1"/>
        <w:gridCol w:w="1474"/>
        <w:gridCol w:w="1471"/>
        <w:gridCol w:w="1471"/>
      </w:tblGrid>
      <w:tr>
        <w:trPr>
          <w:trHeight w:val="1648" w:hRule="atLeast"/>
        </w:trPr>
        <w:tc>
          <w:tcPr>
            <w:tcW w:w="1471" w:type="dxa"/>
          </w:tcPr>
          <w:p>
            <w:pPr>
              <w:pStyle w:val="TableParagraph"/>
              <w:spacing w:line="313" w:lineRule="exact"/>
              <w:ind w:left="110"/>
              <w:rPr>
                <w:b/>
                <w:sz w:val="28"/>
              </w:rPr>
            </w:pPr>
            <w:r>
              <w:rPr>
                <w:b/>
                <w:sz w:val="28"/>
              </w:rPr>
              <w:t>Baseline</w:t>
            </w:r>
          </w:p>
        </w:tc>
        <w:tc>
          <w:tcPr>
            <w:tcW w:w="1474" w:type="dxa"/>
          </w:tcPr>
          <w:p>
            <w:pPr>
              <w:pStyle w:val="TableParagraph"/>
              <w:spacing w:line="276" w:lineRule="auto"/>
              <w:ind w:left="405" w:right="202" w:hanging="173"/>
              <w:rPr>
                <w:b/>
                <w:sz w:val="28"/>
              </w:rPr>
            </w:pPr>
            <w:r>
              <w:rPr>
                <w:b/>
                <w:sz w:val="28"/>
              </w:rPr>
              <w:t>Baseline index point</w:t>
            </w:r>
          </w:p>
        </w:tc>
        <w:tc>
          <w:tcPr>
            <w:tcW w:w="1471" w:type="dxa"/>
          </w:tcPr>
          <w:p>
            <w:pPr>
              <w:pStyle w:val="TableParagraph"/>
              <w:spacing w:line="276" w:lineRule="auto"/>
              <w:ind w:left="192" w:right="180" w:firstLine="36"/>
              <w:jc w:val="both"/>
              <w:rPr>
                <w:b/>
                <w:sz w:val="28"/>
              </w:rPr>
            </w:pPr>
            <w:r>
              <w:rPr>
                <w:b/>
                <w:sz w:val="28"/>
              </w:rPr>
              <w:t>After 8-9 weeks of Q10 sup- plements</w:t>
            </w:r>
          </w:p>
        </w:tc>
        <w:tc>
          <w:tcPr>
            <w:tcW w:w="1471" w:type="dxa"/>
          </w:tcPr>
          <w:p>
            <w:pPr>
              <w:pStyle w:val="TableParagraph"/>
              <w:spacing w:line="276" w:lineRule="auto"/>
              <w:ind w:left="139" w:right="120" w:hanging="5"/>
              <w:jc w:val="center"/>
              <w:rPr>
                <w:b/>
                <w:sz w:val="28"/>
              </w:rPr>
            </w:pPr>
            <w:r>
              <w:rPr>
                <w:b/>
                <w:sz w:val="28"/>
              </w:rPr>
              <w:t>After 3 months of Q10 sup- plements</w:t>
            </w:r>
          </w:p>
        </w:tc>
      </w:tr>
      <w:tr>
        <w:trPr>
          <w:trHeight w:val="563" w:hRule="atLeast"/>
        </w:trPr>
        <w:tc>
          <w:tcPr>
            <w:tcW w:w="1471" w:type="dxa"/>
          </w:tcPr>
          <w:p>
            <w:pPr>
              <w:pStyle w:val="TableParagraph"/>
              <w:spacing w:before="1"/>
              <w:ind w:left="110"/>
              <w:rPr>
                <w:sz w:val="28"/>
              </w:rPr>
            </w:pPr>
            <w:r>
              <w:rPr>
                <w:sz w:val="28"/>
              </w:rPr>
              <w:t>Lower</w:t>
            </w:r>
          </w:p>
        </w:tc>
        <w:tc>
          <w:tcPr>
            <w:tcW w:w="1474" w:type="dxa"/>
          </w:tcPr>
          <w:p>
            <w:pPr>
              <w:pStyle w:val="TableParagraph"/>
              <w:spacing w:before="1"/>
              <w:ind w:left="110"/>
              <w:rPr>
                <w:sz w:val="28"/>
              </w:rPr>
            </w:pPr>
            <w:r>
              <w:rPr>
                <w:sz w:val="28"/>
              </w:rPr>
              <w:t>41.4+-6.3</w:t>
            </w:r>
          </w:p>
        </w:tc>
        <w:tc>
          <w:tcPr>
            <w:tcW w:w="1471" w:type="dxa"/>
          </w:tcPr>
          <w:p>
            <w:pPr>
              <w:pStyle w:val="TableParagraph"/>
              <w:spacing w:before="1"/>
              <w:ind w:left="108"/>
              <w:rPr>
                <w:sz w:val="28"/>
              </w:rPr>
            </w:pPr>
            <w:r>
              <w:rPr>
                <w:sz w:val="28"/>
              </w:rPr>
              <w:t>36.4+-6.3</w:t>
            </w:r>
          </w:p>
        </w:tc>
        <w:tc>
          <w:tcPr>
            <w:tcW w:w="1471" w:type="dxa"/>
          </w:tcPr>
          <w:p>
            <w:pPr>
              <w:pStyle w:val="TableParagraph"/>
              <w:spacing w:before="1"/>
              <w:ind w:left="110"/>
              <w:rPr>
                <w:sz w:val="28"/>
              </w:rPr>
            </w:pPr>
            <w:r>
              <w:rPr>
                <w:sz w:val="28"/>
              </w:rPr>
              <w:t>35.7+-6.0</w:t>
            </w:r>
          </w:p>
        </w:tc>
      </w:tr>
      <w:tr>
        <w:trPr>
          <w:trHeight w:val="561" w:hRule="atLeast"/>
        </w:trPr>
        <w:tc>
          <w:tcPr>
            <w:tcW w:w="1471" w:type="dxa"/>
          </w:tcPr>
          <w:p>
            <w:pPr>
              <w:pStyle w:val="TableParagraph"/>
              <w:spacing w:line="313" w:lineRule="exact"/>
              <w:ind w:left="110"/>
              <w:rPr>
                <w:sz w:val="28"/>
              </w:rPr>
            </w:pPr>
            <w:r>
              <w:rPr>
                <w:sz w:val="28"/>
              </w:rPr>
              <w:t>Higher</w:t>
            </w:r>
          </w:p>
        </w:tc>
        <w:tc>
          <w:tcPr>
            <w:tcW w:w="1474" w:type="dxa"/>
          </w:tcPr>
          <w:p>
            <w:pPr>
              <w:pStyle w:val="TableParagraph"/>
              <w:spacing w:line="313" w:lineRule="exact"/>
              <w:ind w:left="110"/>
              <w:rPr>
                <w:sz w:val="28"/>
              </w:rPr>
            </w:pPr>
            <w:r>
              <w:rPr>
                <w:sz w:val="28"/>
              </w:rPr>
              <w:t>37.3+-1.7</w:t>
            </w:r>
          </w:p>
        </w:tc>
        <w:tc>
          <w:tcPr>
            <w:tcW w:w="1471" w:type="dxa"/>
          </w:tcPr>
          <w:p>
            <w:pPr>
              <w:pStyle w:val="TableParagraph"/>
              <w:spacing w:line="313" w:lineRule="exact"/>
              <w:ind w:left="108"/>
              <w:rPr>
                <w:sz w:val="28"/>
              </w:rPr>
            </w:pPr>
            <w:r>
              <w:rPr>
                <w:sz w:val="28"/>
              </w:rPr>
              <w:t>35.3+-1.5</w:t>
            </w:r>
          </w:p>
        </w:tc>
        <w:tc>
          <w:tcPr>
            <w:tcW w:w="1471" w:type="dxa"/>
          </w:tcPr>
          <w:p>
            <w:pPr>
              <w:pStyle w:val="TableParagraph"/>
              <w:spacing w:line="313" w:lineRule="exact"/>
              <w:ind w:left="110"/>
              <w:rPr>
                <w:sz w:val="28"/>
              </w:rPr>
            </w:pPr>
            <w:r>
              <w:rPr>
                <w:sz w:val="28"/>
              </w:rPr>
              <w:t>---</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7"/>
        </w:rPr>
      </w:pPr>
      <w:r>
        <w:rPr/>
        <w:pict>
          <v:line style="position:absolute;mso-position-horizontal-relative:page;mso-position-vertical-relative:paragraph;z-index:9776;mso-wrap-distance-left:0;mso-wrap-distance-right:0" from="70.823997pt,17.760015pt" to="214.843997pt,17.760015pt" stroked="true" strokeweight=".71997pt" strokecolor="#000000">
            <v:stroke dashstyle="solid"/>
            <w10:wrap type="topAndBottom"/>
          </v:line>
        </w:pict>
      </w:r>
    </w:p>
    <w:p>
      <w:pPr>
        <w:pStyle w:val="BodyText"/>
        <w:spacing w:before="5"/>
        <w:rPr>
          <w:b/>
          <w:sz w:val="27"/>
        </w:rPr>
      </w:pPr>
    </w:p>
    <w:p>
      <w:pPr>
        <w:spacing w:before="1"/>
        <w:ind w:left="616" w:right="0" w:firstLine="0"/>
        <w:jc w:val="left"/>
        <w:rPr>
          <w:sz w:val="20"/>
        </w:rPr>
      </w:pPr>
      <w:r>
        <w:rPr>
          <w:position w:val="5"/>
          <w:sz w:val="13"/>
        </w:rPr>
        <w:t>739 </w:t>
      </w:r>
      <w:r>
        <w:rPr>
          <w:sz w:val="20"/>
        </w:rPr>
        <w:t>van Gaal L. et al. Exploratory study on Coenzyme Q10 in obesity. Biomed. and Clin. Aspects of CoQ10, 1984, 4, pp. 369–374</w:t>
      </w:r>
    </w:p>
    <w:p>
      <w:pPr>
        <w:spacing w:after="0"/>
        <w:jc w:val="left"/>
        <w:rPr>
          <w:sz w:val="20"/>
        </w:rPr>
        <w:sectPr>
          <w:pgSz w:w="14270" w:h="16850"/>
          <w:pgMar w:header="0" w:footer="1891" w:top="1340" w:bottom="2080" w:left="800" w:right="1280"/>
        </w:sectPr>
      </w:pPr>
    </w:p>
    <w:p>
      <w:pPr>
        <w:spacing w:before="74"/>
        <w:ind w:left="616" w:right="0" w:firstLine="0"/>
        <w:jc w:val="left"/>
        <w:rPr>
          <w:b/>
          <w:sz w:val="28"/>
        </w:rPr>
      </w:pPr>
      <w:r>
        <w:rPr>
          <w:b/>
          <w:sz w:val="28"/>
        </w:rPr>
        <w:t>Percentage Change to Body Weight and BMI</w:t>
      </w:r>
    </w:p>
    <w:p>
      <w:pPr>
        <w:pStyle w:val="BodyText"/>
        <w:spacing w:before="3"/>
        <w:rPr>
          <w:b/>
          <w:sz w:val="22"/>
        </w:r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5"/>
        <w:gridCol w:w="1171"/>
        <w:gridCol w:w="1800"/>
        <w:gridCol w:w="1661"/>
      </w:tblGrid>
      <w:tr>
        <w:trPr>
          <w:trHeight w:val="1285" w:hRule="atLeast"/>
        </w:trPr>
        <w:tc>
          <w:tcPr>
            <w:tcW w:w="1255" w:type="dxa"/>
          </w:tcPr>
          <w:p>
            <w:pPr>
              <w:pStyle w:val="TableParagraph"/>
              <w:spacing w:line="313" w:lineRule="exact"/>
              <w:ind w:left="110"/>
              <w:rPr>
                <w:b/>
                <w:sz w:val="28"/>
              </w:rPr>
            </w:pPr>
            <w:r>
              <w:rPr>
                <w:b/>
                <w:sz w:val="28"/>
              </w:rPr>
              <w:t>Baseline</w:t>
            </w:r>
          </w:p>
        </w:tc>
        <w:tc>
          <w:tcPr>
            <w:tcW w:w="1171" w:type="dxa"/>
          </w:tcPr>
          <w:p>
            <w:pPr>
              <w:pStyle w:val="TableParagraph"/>
              <w:rPr>
                <w:rFonts w:ascii="Times New Roman"/>
                <w:sz w:val="34"/>
              </w:rPr>
            </w:pPr>
          </w:p>
        </w:tc>
        <w:tc>
          <w:tcPr>
            <w:tcW w:w="1800" w:type="dxa"/>
          </w:tcPr>
          <w:p>
            <w:pPr>
              <w:pStyle w:val="TableParagraph"/>
              <w:spacing w:line="278" w:lineRule="auto"/>
              <w:ind w:left="108" w:right="329"/>
              <w:rPr>
                <w:b/>
                <w:sz w:val="28"/>
              </w:rPr>
            </w:pPr>
            <w:r>
              <w:rPr>
                <w:b/>
                <w:sz w:val="28"/>
              </w:rPr>
              <w:t>after 8-9 weeks in %</w:t>
            </w:r>
          </w:p>
        </w:tc>
        <w:tc>
          <w:tcPr>
            <w:tcW w:w="1661" w:type="dxa"/>
          </w:tcPr>
          <w:p>
            <w:pPr>
              <w:pStyle w:val="TableParagraph"/>
              <w:spacing w:line="276" w:lineRule="auto"/>
              <w:ind w:left="108" w:right="324"/>
              <w:rPr>
                <w:b/>
                <w:sz w:val="28"/>
              </w:rPr>
            </w:pPr>
            <w:r>
              <w:rPr>
                <w:b/>
                <w:sz w:val="28"/>
              </w:rPr>
              <w:t>after 3 months in</w:t>
            </w:r>
          </w:p>
          <w:p>
            <w:pPr>
              <w:pStyle w:val="TableParagraph"/>
              <w:ind w:left="108"/>
              <w:rPr>
                <w:b/>
                <w:sz w:val="28"/>
              </w:rPr>
            </w:pPr>
            <w:r>
              <w:rPr>
                <w:b/>
                <w:w w:val="100"/>
                <w:sz w:val="28"/>
              </w:rPr>
              <w:t>%</w:t>
            </w:r>
          </w:p>
        </w:tc>
      </w:tr>
      <w:tr>
        <w:trPr>
          <w:trHeight w:val="561" w:hRule="atLeast"/>
        </w:trPr>
        <w:tc>
          <w:tcPr>
            <w:tcW w:w="1255" w:type="dxa"/>
          </w:tcPr>
          <w:p>
            <w:pPr>
              <w:pStyle w:val="TableParagraph"/>
              <w:spacing w:line="313" w:lineRule="exact"/>
              <w:ind w:left="110"/>
              <w:rPr>
                <w:sz w:val="28"/>
              </w:rPr>
            </w:pPr>
            <w:r>
              <w:rPr>
                <w:sz w:val="28"/>
              </w:rPr>
              <w:t>Lower</w:t>
            </w:r>
          </w:p>
        </w:tc>
        <w:tc>
          <w:tcPr>
            <w:tcW w:w="1171" w:type="dxa"/>
          </w:tcPr>
          <w:p>
            <w:pPr>
              <w:pStyle w:val="TableParagraph"/>
              <w:spacing w:line="313" w:lineRule="exact"/>
              <w:ind w:left="107"/>
              <w:rPr>
                <w:sz w:val="28"/>
              </w:rPr>
            </w:pPr>
            <w:r>
              <w:rPr>
                <w:sz w:val="28"/>
              </w:rPr>
              <w:t>Weight</w:t>
            </w:r>
          </w:p>
        </w:tc>
        <w:tc>
          <w:tcPr>
            <w:tcW w:w="1800" w:type="dxa"/>
          </w:tcPr>
          <w:p>
            <w:pPr>
              <w:pStyle w:val="TableParagraph"/>
              <w:spacing w:line="313" w:lineRule="exact"/>
              <w:ind w:left="108"/>
              <w:rPr>
                <w:sz w:val="28"/>
              </w:rPr>
            </w:pPr>
            <w:r>
              <w:rPr>
                <w:sz w:val="28"/>
              </w:rPr>
              <w:t>12.2+-3.4</w:t>
            </w:r>
          </w:p>
        </w:tc>
        <w:tc>
          <w:tcPr>
            <w:tcW w:w="1661" w:type="dxa"/>
          </w:tcPr>
          <w:p>
            <w:pPr>
              <w:pStyle w:val="TableParagraph"/>
              <w:spacing w:line="313" w:lineRule="exact"/>
              <w:ind w:left="108"/>
              <w:rPr>
                <w:sz w:val="28"/>
              </w:rPr>
            </w:pPr>
            <w:r>
              <w:rPr>
                <w:sz w:val="28"/>
              </w:rPr>
              <w:t>16.6+-3.2</w:t>
            </w:r>
          </w:p>
        </w:tc>
      </w:tr>
      <w:tr>
        <w:trPr>
          <w:trHeight w:val="563" w:hRule="atLeast"/>
        </w:trPr>
        <w:tc>
          <w:tcPr>
            <w:tcW w:w="1255" w:type="dxa"/>
          </w:tcPr>
          <w:p>
            <w:pPr>
              <w:pStyle w:val="TableParagraph"/>
              <w:rPr>
                <w:rFonts w:ascii="Times New Roman"/>
                <w:sz w:val="34"/>
              </w:rPr>
            </w:pPr>
          </w:p>
        </w:tc>
        <w:tc>
          <w:tcPr>
            <w:tcW w:w="1171" w:type="dxa"/>
          </w:tcPr>
          <w:p>
            <w:pPr>
              <w:pStyle w:val="TableParagraph"/>
              <w:spacing w:before="1"/>
              <w:ind w:left="107"/>
              <w:rPr>
                <w:sz w:val="28"/>
              </w:rPr>
            </w:pPr>
            <w:r>
              <w:rPr>
                <w:sz w:val="28"/>
              </w:rPr>
              <w:t>BMI</w:t>
            </w:r>
          </w:p>
        </w:tc>
        <w:tc>
          <w:tcPr>
            <w:tcW w:w="1800" w:type="dxa"/>
          </w:tcPr>
          <w:p>
            <w:pPr>
              <w:pStyle w:val="TableParagraph"/>
              <w:spacing w:before="1"/>
              <w:ind w:left="108"/>
              <w:rPr>
                <w:sz w:val="28"/>
              </w:rPr>
            </w:pPr>
            <w:r>
              <w:rPr>
                <w:sz w:val="28"/>
              </w:rPr>
              <w:t>12.3+-3.3</w:t>
            </w:r>
          </w:p>
        </w:tc>
        <w:tc>
          <w:tcPr>
            <w:tcW w:w="1661" w:type="dxa"/>
          </w:tcPr>
          <w:p>
            <w:pPr>
              <w:pStyle w:val="TableParagraph"/>
              <w:spacing w:before="1"/>
              <w:ind w:left="108"/>
              <w:rPr>
                <w:sz w:val="28"/>
              </w:rPr>
            </w:pPr>
            <w:r>
              <w:rPr>
                <w:sz w:val="28"/>
              </w:rPr>
              <w:t>16.5+-2.7</w:t>
            </w:r>
          </w:p>
        </w:tc>
      </w:tr>
      <w:tr>
        <w:trPr>
          <w:trHeight w:val="561" w:hRule="atLeast"/>
        </w:trPr>
        <w:tc>
          <w:tcPr>
            <w:tcW w:w="1255" w:type="dxa"/>
          </w:tcPr>
          <w:p>
            <w:pPr>
              <w:pStyle w:val="TableParagraph"/>
              <w:spacing w:line="313" w:lineRule="exact"/>
              <w:ind w:left="110"/>
              <w:rPr>
                <w:sz w:val="28"/>
              </w:rPr>
            </w:pPr>
            <w:r>
              <w:rPr>
                <w:sz w:val="28"/>
              </w:rPr>
              <w:t>Higher</w:t>
            </w:r>
          </w:p>
        </w:tc>
        <w:tc>
          <w:tcPr>
            <w:tcW w:w="1171" w:type="dxa"/>
          </w:tcPr>
          <w:p>
            <w:pPr>
              <w:pStyle w:val="TableParagraph"/>
              <w:spacing w:line="313" w:lineRule="exact"/>
              <w:ind w:left="107"/>
              <w:rPr>
                <w:sz w:val="28"/>
              </w:rPr>
            </w:pPr>
            <w:r>
              <w:rPr>
                <w:sz w:val="28"/>
              </w:rPr>
              <w:t>Weight</w:t>
            </w:r>
          </w:p>
        </w:tc>
        <w:tc>
          <w:tcPr>
            <w:tcW w:w="1800" w:type="dxa"/>
          </w:tcPr>
          <w:p>
            <w:pPr>
              <w:pStyle w:val="TableParagraph"/>
              <w:spacing w:line="313" w:lineRule="exact"/>
              <w:ind w:left="108"/>
              <w:rPr>
                <w:sz w:val="28"/>
              </w:rPr>
            </w:pPr>
            <w:r>
              <w:rPr>
                <w:sz w:val="28"/>
              </w:rPr>
              <w:t>5.4+-3.3</w:t>
            </w:r>
          </w:p>
        </w:tc>
        <w:tc>
          <w:tcPr>
            <w:tcW w:w="1661" w:type="dxa"/>
          </w:tcPr>
          <w:p>
            <w:pPr>
              <w:pStyle w:val="TableParagraph"/>
              <w:spacing w:line="313" w:lineRule="exact"/>
              <w:ind w:left="108"/>
              <w:rPr>
                <w:sz w:val="28"/>
              </w:rPr>
            </w:pPr>
            <w:r>
              <w:rPr>
                <w:sz w:val="28"/>
              </w:rPr>
              <w:t>5.9+-1.7</w:t>
            </w:r>
          </w:p>
        </w:tc>
      </w:tr>
      <w:tr>
        <w:trPr>
          <w:trHeight w:val="564" w:hRule="atLeast"/>
        </w:trPr>
        <w:tc>
          <w:tcPr>
            <w:tcW w:w="1255" w:type="dxa"/>
          </w:tcPr>
          <w:p>
            <w:pPr>
              <w:pStyle w:val="TableParagraph"/>
              <w:rPr>
                <w:rFonts w:ascii="Times New Roman"/>
                <w:sz w:val="34"/>
              </w:rPr>
            </w:pPr>
          </w:p>
        </w:tc>
        <w:tc>
          <w:tcPr>
            <w:tcW w:w="1171" w:type="dxa"/>
          </w:tcPr>
          <w:p>
            <w:pPr>
              <w:pStyle w:val="TableParagraph"/>
              <w:spacing w:line="314" w:lineRule="exact"/>
              <w:ind w:left="107"/>
              <w:rPr>
                <w:sz w:val="28"/>
              </w:rPr>
            </w:pPr>
            <w:r>
              <w:rPr>
                <w:sz w:val="28"/>
              </w:rPr>
              <w:t>BMI</w:t>
            </w:r>
          </w:p>
        </w:tc>
        <w:tc>
          <w:tcPr>
            <w:tcW w:w="1800" w:type="dxa"/>
          </w:tcPr>
          <w:p>
            <w:pPr>
              <w:pStyle w:val="TableParagraph"/>
              <w:spacing w:line="314" w:lineRule="exact"/>
              <w:ind w:left="108"/>
              <w:rPr>
                <w:sz w:val="28"/>
              </w:rPr>
            </w:pPr>
            <w:r>
              <w:rPr>
                <w:sz w:val="28"/>
              </w:rPr>
              <w:t>5.4+-1.8</w:t>
            </w:r>
          </w:p>
        </w:tc>
        <w:tc>
          <w:tcPr>
            <w:tcW w:w="1661" w:type="dxa"/>
          </w:tcPr>
          <w:p>
            <w:pPr>
              <w:pStyle w:val="TableParagraph"/>
              <w:spacing w:line="314" w:lineRule="exact"/>
              <w:ind w:left="108"/>
              <w:rPr>
                <w:sz w:val="28"/>
              </w:rPr>
            </w:pPr>
            <w:r>
              <w:rPr>
                <w:sz w:val="28"/>
              </w:rPr>
              <w:t>6.0+-1.8</w:t>
            </w:r>
          </w:p>
        </w:tc>
      </w:tr>
    </w:tbl>
    <w:p>
      <w:pPr>
        <w:pStyle w:val="BodyText"/>
        <w:rPr>
          <w:b/>
          <w:sz w:val="32"/>
        </w:rPr>
      </w:pPr>
    </w:p>
    <w:p>
      <w:pPr>
        <w:pStyle w:val="BodyText"/>
        <w:rPr>
          <w:b/>
          <w:sz w:val="32"/>
        </w:rPr>
      </w:pPr>
    </w:p>
    <w:p>
      <w:pPr>
        <w:pStyle w:val="BodyText"/>
        <w:spacing w:line="276" w:lineRule="auto" w:before="248"/>
        <w:ind w:left="616" w:right="137"/>
        <w:jc w:val="both"/>
      </w:pPr>
      <w:r>
        <w:rPr/>
        <w:t>Some of the subjects initially experienced weight gain in the first days, which the researchers attributed to regulating processes in the body. This receded after three weeks at the longest; afterwards there was continual weight loss.</w:t>
      </w:r>
    </w:p>
    <w:p>
      <w:pPr>
        <w:pStyle w:val="BodyText"/>
        <w:spacing w:before="201"/>
        <w:ind w:left="616"/>
      </w:pPr>
      <w:r>
        <w:rPr/>
        <w:t>Q10 helps with rheumatism</w:t>
      </w:r>
    </w:p>
    <w:p>
      <w:pPr>
        <w:pStyle w:val="BodyText"/>
        <w:spacing w:line="276" w:lineRule="auto" w:before="302"/>
        <w:ind w:left="616" w:right="139"/>
        <w:jc w:val="both"/>
      </w:pPr>
      <w:r>
        <w:rPr/>
        <w:t>In pilot studies of 70 rheumatism patients, Dr. F. Enzmann et al. determined in 1992 that Q10 intake led to an attenuation of rheumatic pain and</w:t>
      </w:r>
      <w:r>
        <w:rPr>
          <w:spacing w:val="-47"/>
        </w:rPr>
        <w:t> </w:t>
      </w:r>
      <w:r>
        <w:rPr/>
        <w:t>improved mobility in 60-80 % of</w:t>
      </w:r>
      <w:r>
        <w:rPr>
          <w:spacing w:val="-1"/>
        </w:rPr>
        <w:t> </w:t>
      </w:r>
      <w:r>
        <w:rPr/>
        <w:t>patients.</w:t>
      </w:r>
    </w:p>
    <w:p>
      <w:pPr>
        <w:pStyle w:val="Heading1"/>
        <w:ind w:left="616"/>
      </w:pPr>
      <w:r>
        <w:rPr/>
        <w:t>Q10 against chronic fatigue syndrome</w:t>
      </w:r>
    </w:p>
    <w:p>
      <w:pPr>
        <w:pStyle w:val="BodyText"/>
        <w:spacing w:line="276" w:lineRule="auto" w:before="299"/>
        <w:ind w:left="616" w:right="140"/>
        <w:jc w:val="both"/>
      </w:pPr>
      <w:r>
        <w:rPr/>
        <w:t>In a three-month study on ten women between 28 and 38 years old suffering from</w:t>
      </w:r>
      <w:r>
        <w:rPr>
          <w:spacing w:val="-10"/>
        </w:rPr>
        <w:t> </w:t>
      </w:r>
      <w:r>
        <w:rPr/>
        <w:t>Chronic</w:t>
      </w:r>
      <w:r>
        <w:rPr>
          <w:spacing w:val="-10"/>
        </w:rPr>
        <w:t> </w:t>
      </w:r>
      <w:r>
        <w:rPr/>
        <w:t>Fatigue</w:t>
      </w:r>
      <w:r>
        <w:rPr>
          <w:spacing w:val="-10"/>
        </w:rPr>
        <w:t> </w:t>
      </w:r>
      <w:r>
        <w:rPr/>
        <w:t>Syndrome,</w:t>
      </w:r>
      <w:r>
        <w:rPr>
          <w:spacing w:val="-9"/>
        </w:rPr>
        <w:t> </w:t>
      </w:r>
      <w:r>
        <w:rPr/>
        <w:t>Judy</w:t>
      </w:r>
      <w:r>
        <w:rPr>
          <w:spacing w:val="-11"/>
        </w:rPr>
        <w:t> </w:t>
      </w:r>
      <w:r>
        <w:rPr/>
        <w:t>et</w:t>
      </w:r>
      <w:r>
        <w:rPr>
          <w:spacing w:val="-12"/>
        </w:rPr>
        <w:t> </w:t>
      </w:r>
      <w:r>
        <w:rPr/>
        <w:t>al.</w:t>
      </w:r>
      <w:r>
        <w:rPr>
          <w:spacing w:val="-11"/>
        </w:rPr>
        <w:t> </w:t>
      </w:r>
      <w:r>
        <w:rPr/>
        <w:t>were</w:t>
      </w:r>
      <w:r>
        <w:rPr>
          <w:spacing w:val="-11"/>
        </w:rPr>
        <w:t> </w:t>
      </w:r>
      <w:r>
        <w:rPr/>
        <w:t>able</w:t>
      </w:r>
      <w:r>
        <w:rPr>
          <w:spacing w:val="-11"/>
        </w:rPr>
        <w:t> </w:t>
      </w:r>
      <w:r>
        <w:rPr/>
        <w:t>to</w:t>
      </w:r>
      <w:r>
        <w:rPr>
          <w:spacing w:val="-11"/>
        </w:rPr>
        <w:t> </w:t>
      </w:r>
      <w:r>
        <w:rPr/>
        <w:t>show</w:t>
      </w:r>
      <w:r>
        <w:rPr>
          <w:spacing w:val="-10"/>
        </w:rPr>
        <w:t> </w:t>
      </w:r>
      <w:r>
        <w:rPr/>
        <w:t>that</w:t>
      </w:r>
      <w:r>
        <w:rPr>
          <w:spacing w:val="-12"/>
        </w:rPr>
        <w:t> </w:t>
      </w:r>
      <w:r>
        <w:rPr/>
        <w:t>the</w:t>
      </w:r>
      <w:r>
        <w:rPr>
          <w:spacing w:val="-8"/>
        </w:rPr>
        <w:t> </w:t>
      </w:r>
      <w:r>
        <w:rPr/>
        <w:t>admin- istration of 100 mg of Q10 per day achieved a significant improvement. Q10 levels before the study were highest in all subjects at 8:00 in the morning</w:t>
      </w:r>
      <w:r>
        <w:rPr>
          <w:spacing w:val="11"/>
        </w:rPr>
        <w:t> </w:t>
      </w:r>
      <w:r>
        <w:rPr/>
        <w:t>and</w:t>
      </w:r>
    </w:p>
    <w:p>
      <w:pPr>
        <w:spacing w:after="0" w:line="276" w:lineRule="auto"/>
        <w:jc w:val="both"/>
        <w:sectPr>
          <w:pgSz w:w="14270" w:h="16850"/>
          <w:pgMar w:header="0" w:footer="1891" w:top="1340" w:bottom="2080" w:left="800" w:right="1280"/>
        </w:sectPr>
      </w:pPr>
    </w:p>
    <w:p>
      <w:pPr>
        <w:pStyle w:val="BodyText"/>
        <w:spacing w:line="276" w:lineRule="auto" w:before="72"/>
        <w:ind w:left="616" w:right="137"/>
        <w:jc w:val="both"/>
        <w:rPr>
          <w:sz w:val="25"/>
        </w:rPr>
      </w:pPr>
      <w:r>
        <w:rPr/>
        <w:t>lowest at 5:00 in the evening. Stress tests led to leg cramps and shortness of breath.</w:t>
      </w:r>
      <w:r>
        <w:rPr>
          <w:spacing w:val="-23"/>
        </w:rPr>
        <w:t> </w:t>
      </w:r>
      <w:r>
        <w:rPr/>
        <w:t>These</w:t>
      </w:r>
      <w:r>
        <w:rPr>
          <w:spacing w:val="-26"/>
        </w:rPr>
        <w:t> </w:t>
      </w:r>
      <w:r>
        <w:rPr/>
        <w:t>symptoms</w:t>
      </w:r>
      <w:r>
        <w:rPr>
          <w:spacing w:val="-22"/>
        </w:rPr>
        <w:t> </w:t>
      </w:r>
      <w:r>
        <w:rPr/>
        <w:t>substantially</w:t>
      </w:r>
      <w:r>
        <w:rPr>
          <w:spacing w:val="-24"/>
        </w:rPr>
        <w:t> </w:t>
      </w:r>
      <w:r>
        <w:rPr/>
        <w:t>improved</w:t>
      </w:r>
      <w:r>
        <w:rPr>
          <w:spacing w:val="-23"/>
        </w:rPr>
        <w:t> </w:t>
      </w:r>
      <w:r>
        <w:rPr/>
        <w:t>after</w:t>
      </w:r>
      <w:r>
        <w:rPr>
          <w:spacing w:val="-23"/>
        </w:rPr>
        <w:t> </w:t>
      </w:r>
      <w:r>
        <w:rPr/>
        <w:t>two</w:t>
      </w:r>
      <w:r>
        <w:rPr>
          <w:spacing w:val="-22"/>
        </w:rPr>
        <w:t> </w:t>
      </w:r>
      <w:r>
        <w:rPr/>
        <w:t>weeks</w:t>
      </w:r>
      <w:r>
        <w:rPr>
          <w:spacing w:val="-23"/>
        </w:rPr>
        <w:t> </w:t>
      </w:r>
      <w:r>
        <w:rPr/>
        <w:t>of</w:t>
      </w:r>
      <w:r>
        <w:rPr>
          <w:spacing w:val="-24"/>
        </w:rPr>
        <w:t> </w:t>
      </w:r>
      <w:r>
        <w:rPr/>
        <w:t>Q10</w:t>
      </w:r>
      <w:r>
        <w:rPr>
          <w:spacing w:val="-24"/>
        </w:rPr>
        <w:t> </w:t>
      </w:r>
      <w:r>
        <w:rPr/>
        <w:t>intake, pumping of blood was noticeably better in the evenings, and exercises of 1.13 minutes could be carried out without cramps and shortness of</w:t>
      </w:r>
      <w:r>
        <w:rPr>
          <w:spacing w:val="-15"/>
        </w:rPr>
        <w:t> </w:t>
      </w:r>
      <w:r>
        <w:rPr/>
        <w:t>breath.</w:t>
      </w:r>
      <w:r>
        <w:rPr>
          <w:position w:val="9"/>
          <w:sz w:val="25"/>
        </w:rPr>
        <w:t>740</w:t>
      </w:r>
    </w:p>
    <w:p>
      <w:pPr>
        <w:pStyle w:val="BodyText"/>
        <w:spacing w:line="276" w:lineRule="auto" w:before="241"/>
        <w:ind w:left="616" w:right="132"/>
        <w:jc w:val="both"/>
      </w:pPr>
      <w:r>
        <w:rPr/>
        <w:t>In another study, Judy et al. determined that 60 % of the subjects in the first group (A), who received 100 mg of Q10 per day reacted positively to the Q10 therapy, while 91 % of the patients in the second group (B), who received</w:t>
      </w:r>
      <w:r>
        <w:rPr>
          <w:spacing w:val="-61"/>
        </w:rPr>
        <w:t> </w:t>
      </w:r>
      <w:r>
        <w:rPr/>
        <w:t>300 mg of Q10 per day, reacted positively. The symptoms improved with an in- creasing dose; the effect appeared after only 30 days with group B, but only after</w:t>
      </w:r>
      <w:r>
        <w:rPr>
          <w:spacing w:val="-18"/>
        </w:rPr>
        <w:t> </w:t>
      </w:r>
      <w:r>
        <w:rPr/>
        <w:t>60</w:t>
      </w:r>
      <w:r>
        <w:rPr>
          <w:spacing w:val="-18"/>
        </w:rPr>
        <w:t> </w:t>
      </w:r>
      <w:r>
        <w:rPr/>
        <w:t>days</w:t>
      </w:r>
      <w:r>
        <w:rPr>
          <w:spacing w:val="-15"/>
        </w:rPr>
        <w:t> </w:t>
      </w:r>
      <w:r>
        <w:rPr/>
        <w:t>with</w:t>
      </w:r>
      <w:r>
        <w:rPr>
          <w:spacing w:val="-17"/>
        </w:rPr>
        <w:t> </w:t>
      </w:r>
      <w:r>
        <w:rPr/>
        <w:t>group</w:t>
      </w:r>
      <w:r>
        <w:rPr>
          <w:spacing w:val="-16"/>
        </w:rPr>
        <w:t> </w:t>
      </w:r>
      <w:r>
        <w:rPr/>
        <w:t>A.</w:t>
      </w:r>
      <w:r>
        <w:rPr>
          <w:position w:val="9"/>
          <w:sz w:val="25"/>
        </w:rPr>
        <w:t>741</w:t>
      </w:r>
      <w:r>
        <w:rPr>
          <w:spacing w:val="31"/>
          <w:position w:val="9"/>
          <w:sz w:val="25"/>
        </w:rPr>
        <w:t> </w:t>
      </w:r>
      <w:r>
        <w:rPr/>
        <w:t>This</w:t>
      </w:r>
      <w:r>
        <w:rPr>
          <w:spacing w:val="-20"/>
        </w:rPr>
        <w:t> </w:t>
      </w:r>
      <w:r>
        <w:rPr/>
        <w:t>is</w:t>
      </w:r>
      <w:r>
        <w:rPr>
          <w:spacing w:val="-17"/>
        </w:rPr>
        <w:t> </w:t>
      </w:r>
      <w:r>
        <w:rPr/>
        <w:t>a</w:t>
      </w:r>
      <w:r>
        <w:rPr>
          <w:spacing w:val="-19"/>
        </w:rPr>
        <w:t> </w:t>
      </w:r>
      <w:r>
        <w:rPr/>
        <w:t>further</w:t>
      </w:r>
      <w:r>
        <w:rPr>
          <w:spacing w:val="-17"/>
        </w:rPr>
        <w:t> </w:t>
      </w:r>
      <w:r>
        <w:rPr/>
        <w:t>indication</w:t>
      </w:r>
      <w:r>
        <w:rPr>
          <w:spacing w:val="-18"/>
        </w:rPr>
        <w:t> </w:t>
      </w:r>
      <w:r>
        <w:rPr/>
        <w:t>that</w:t>
      </w:r>
      <w:r>
        <w:rPr>
          <w:spacing w:val="-17"/>
        </w:rPr>
        <w:t> </w:t>
      </w:r>
      <w:r>
        <w:rPr/>
        <w:t>the</w:t>
      </w:r>
      <w:r>
        <w:rPr>
          <w:spacing w:val="-17"/>
        </w:rPr>
        <w:t> </w:t>
      </w:r>
      <w:r>
        <w:rPr/>
        <w:t>effect</w:t>
      </w:r>
      <w:r>
        <w:rPr>
          <w:spacing w:val="-18"/>
        </w:rPr>
        <w:t> </w:t>
      </w:r>
      <w:r>
        <w:rPr/>
        <w:t>of</w:t>
      </w:r>
      <w:r>
        <w:rPr>
          <w:spacing w:val="-17"/>
        </w:rPr>
        <w:t> </w:t>
      </w:r>
      <w:r>
        <w:rPr/>
        <w:t>Q10 is</w:t>
      </w:r>
      <w:r>
        <w:rPr>
          <w:spacing w:val="-1"/>
        </w:rPr>
        <w:t> </w:t>
      </w:r>
      <w:r>
        <w:rPr/>
        <w:t>dose-dependent.</w:t>
      </w:r>
    </w:p>
    <w:p>
      <w:pPr>
        <w:spacing w:before="200"/>
        <w:ind w:left="616" w:right="0" w:firstLine="0"/>
        <w:jc w:val="left"/>
        <w:rPr>
          <w:i/>
          <w:sz w:val="38"/>
        </w:rPr>
      </w:pPr>
      <w:r>
        <w:rPr>
          <w:i/>
          <w:sz w:val="38"/>
        </w:rPr>
        <w:t>Coenzyme Q10 and lung illnesses</w:t>
      </w:r>
    </w:p>
    <w:p>
      <w:pPr>
        <w:pStyle w:val="BodyText"/>
        <w:spacing w:line="276" w:lineRule="auto" w:before="305"/>
        <w:ind w:left="616" w:right="136"/>
        <w:jc w:val="both"/>
        <w:rPr>
          <w:sz w:val="25"/>
        </w:rPr>
      </w:pPr>
      <w:r>
        <w:rPr/>
        <w:t>According to a study by Fujimoto et al. on patients with chronic obstructive lung disease and idiopathic pulmonary fibrosis, these patients exhibit lowered Q10 levels. The patients suffered from breathing problems and heavy legs, among</w:t>
      </w:r>
      <w:r>
        <w:rPr>
          <w:spacing w:val="-11"/>
        </w:rPr>
        <w:t> </w:t>
      </w:r>
      <w:r>
        <w:rPr/>
        <w:t>other</w:t>
      </w:r>
      <w:r>
        <w:rPr>
          <w:spacing w:val="-13"/>
        </w:rPr>
        <w:t> </w:t>
      </w:r>
      <w:r>
        <w:rPr/>
        <w:t>symptoms.</w:t>
      </w:r>
      <w:r>
        <w:rPr>
          <w:spacing w:val="-11"/>
        </w:rPr>
        <w:t> </w:t>
      </w:r>
      <w:r>
        <w:rPr/>
        <w:t>After</w:t>
      </w:r>
      <w:r>
        <w:rPr>
          <w:spacing w:val="-14"/>
        </w:rPr>
        <w:t> </w:t>
      </w:r>
      <w:r>
        <w:rPr/>
        <w:t>an</w:t>
      </w:r>
      <w:r>
        <w:rPr>
          <w:spacing w:val="-11"/>
        </w:rPr>
        <w:t> </w:t>
      </w:r>
      <w:r>
        <w:rPr/>
        <w:t>intake</w:t>
      </w:r>
      <w:r>
        <w:rPr>
          <w:spacing w:val="-11"/>
        </w:rPr>
        <w:t> </w:t>
      </w:r>
      <w:r>
        <w:rPr/>
        <w:t>of</w:t>
      </w:r>
      <w:r>
        <w:rPr>
          <w:spacing w:val="-11"/>
        </w:rPr>
        <w:t> </w:t>
      </w:r>
      <w:r>
        <w:rPr/>
        <w:t>90</w:t>
      </w:r>
      <w:r>
        <w:rPr>
          <w:spacing w:val="-12"/>
        </w:rPr>
        <w:t> </w:t>
      </w:r>
      <w:r>
        <w:rPr/>
        <w:t>mg</w:t>
      </w:r>
      <w:r>
        <w:rPr>
          <w:spacing w:val="-11"/>
        </w:rPr>
        <w:t> </w:t>
      </w:r>
      <w:r>
        <w:rPr/>
        <w:t>of</w:t>
      </w:r>
      <w:r>
        <w:rPr>
          <w:spacing w:val="-11"/>
        </w:rPr>
        <w:t> </w:t>
      </w:r>
      <w:r>
        <w:rPr/>
        <w:t>Q10</w:t>
      </w:r>
      <w:r>
        <w:rPr>
          <w:spacing w:val="-14"/>
        </w:rPr>
        <w:t> </w:t>
      </w:r>
      <w:r>
        <w:rPr/>
        <w:t>per</w:t>
      </w:r>
      <w:r>
        <w:rPr>
          <w:spacing w:val="-12"/>
        </w:rPr>
        <w:t> </w:t>
      </w:r>
      <w:r>
        <w:rPr/>
        <w:t>day,</w:t>
      </w:r>
      <w:r>
        <w:rPr>
          <w:spacing w:val="-11"/>
        </w:rPr>
        <w:t> </w:t>
      </w:r>
      <w:r>
        <w:rPr/>
        <w:t>Q10</w:t>
      </w:r>
      <w:r>
        <w:rPr>
          <w:spacing w:val="-12"/>
        </w:rPr>
        <w:t> </w:t>
      </w:r>
      <w:r>
        <w:rPr/>
        <w:t>plasma levels returned to normal and physical resilience increased</w:t>
      </w:r>
      <w:r>
        <w:rPr>
          <w:spacing w:val="-10"/>
        </w:rPr>
        <w:t> </w:t>
      </w:r>
      <w:r>
        <w:rPr/>
        <w:t>significantly.</w:t>
      </w:r>
      <w:r>
        <w:rPr>
          <w:position w:val="9"/>
          <w:sz w:val="25"/>
        </w:rPr>
        <w:t>742</w:t>
      </w:r>
    </w:p>
    <w:p>
      <w:pPr>
        <w:pStyle w:val="Heading2"/>
        <w:spacing w:before="240"/>
        <w:ind w:left="616"/>
      </w:pPr>
      <w:r>
        <w:rPr/>
        <w:t>Coenzyme Q10 against pancreatitis</w:t>
      </w:r>
    </w:p>
    <w:p>
      <w:pPr>
        <w:pStyle w:val="BodyText"/>
        <w:spacing w:line="276" w:lineRule="auto" w:before="304"/>
        <w:ind w:left="616" w:right="133"/>
        <w:jc w:val="both"/>
      </w:pPr>
      <w:r>
        <w:rPr/>
        <w:t>As</w:t>
      </w:r>
      <w:r>
        <w:rPr>
          <w:spacing w:val="-11"/>
        </w:rPr>
        <w:t> </w:t>
      </w:r>
      <w:r>
        <w:rPr/>
        <w:t>the</w:t>
      </w:r>
      <w:r>
        <w:rPr>
          <w:spacing w:val="-13"/>
        </w:rPr>
        <w:t> </w:t>
      </w:r>
      <w:r>
        <w:rPr/>
        <w:t>Apotheker</w:t>
      </w:r>
      <w:r>
        <w:rPr>
          <w:spacing w:val="-11"/>
        </w:rPr>
        <w:t> </w:t>
      </w:r>
      <w:r>
        <w:rPr/>
        <w:t>Journal</w:t>
      </w:r>
      <w:r>
        <w:rPr>
          <w:spacing w:val="-14"/>
        </w:rPr>
        <w:t> </w:t>
      </w:r>
      <w:r>
        <w:rPr/>
        <w:t>reported</w:t>
      </w:r>
      <w:r>
        <w:rPr>
          <w:spacing w:val="-11"/>
        </w:rPr>
        <w:t> </w:t>
      </w:r>
      <w:r>
        <w:rPr/>
        <w:t>in</w:t>
      </w:r>
      <w:r>
        <w:rPr>
          <w:spacing w:val="-11"/>
        </w:rPr>
        <w:t> </w:t>
      </w:r>
      <w:r>
        <w:rPr/>
        <w:t>volume</w:t>
      </w:r>
      <w:r>
        <w:rPr>
          <w:spacing w:val="-12"/>
        </w:rPr>
        <w:t> </w:t>
      </w:r>
      <w:r>
        <w:rPr/>
        <w:t>9/93,</w:t>
      </w:r>
      <w:r>
        <w:rPr>
          <w:spacing w:val="-11"/>
        </w:rPr>
        <w:t> </w:t>
      </w:r>
      <w:r>
        <w:rPr/>
        <w:t>the</w:t>
      </w:r>
      <w:r>
        <w:rPr>
          <w:spacing w:val="-11"/>
        </w:rPr>
        <w:t> </w:t>
      </w:r>
      <w:r>
        <w:rPr/>
        <w:t>dying</w:t>
      </w:r>
      <w:r>
        <w:rPr>
          <w:spacing w:val="-13"/>
        </w:rPr>
        <w:t> </w:t>
      </w:r>
      <w:r>
        <w:rPr/>
        <w:t>off</w:t>
      </w:r>
      <w:r>
        <w:rPr>
          <w:spacing w:val="-13"/>
        </w:rPr>
        <w:t> </w:t>
      </w:r>
      <w:r>
        <w:rPr/>
        <w:t>of</w:t>
      </w:r>
      <w:r>
        <w:rPr>
          <w:spacing w:val="-14"/>
        </w:rPr>
        <w:t> </w:t>
      </w:r>
      <w:r>
        <w:rPr/>
        <w:t>tissue</w:t>
      </w:r>
      <w:r>
        <w:rPr>
          <w:spacing w:val="-12"/>
        </w:rPr>
        <w:t> </w:t>
      </w:r>
      <w:r>
        <w:rPr/>
        <w:t>was able</w:t>
      </w:r>
      <w:r>
        <w:rPr>
          <w:spacing w:val="-18"/>
        </w:rPr>
        <w:t> </w:t>
      </w:r>
      <w:r>
        <w:rPr/>
        <w:t>to</w:t>
      </w:r>
      <w:r>
        <w:rPr>
          <w:spacing w:val="-18"/>
        </w:rPr>
        <w:t> </w:t>
      </w:r>
      <w:r>
        <w:rPr/>
        <w:t>be</w:t>
      </w:r>
      <w:r>
        <w:rPr>
          <w:spacing w:val="-18"/>
        </w:rPr>
        <w:t> </w:t>
      </w:r>
      <w:r>
        <w:rPr/>
        <w:t>restricted</w:t>
      </w:r>
      <w:r>
        <w:rPr>
          <w:spacing w:val="-18"/>
        </w:rPr>
        <w:t> </w:t>
      </w:r>
      <w:r>
        <w:rPr/>
        <w:t>to</w:t>
      </w:r>
      <w:r>
        <w:rPr>
          <w:spacing w:val="-17"/>
        </w:rPr>
        <w:t> </w:t>
      </w:r>
      <w:r>
        <w:rPr/>
        <w:t>less</w:t>
      </w:r>
      <w:r>
        <w:rPr>
          <w:spacing w:val="-17"/>
        </w:rPr>
        <w:t> </w:t>
      </w:r>
      <w:r>
        <w:rPr/>
        <w:t>than</w:t>
      </w:r>
      <w:r>
        <w:rPr>
          <w:spacing w:val="-17"/>
        </w:rPr>
        <w:t> </w:t>
      </w:r>
      <w:r>
        <w:rPr/>
        <w:t>30</w:t>
      </w:r>
      <w:r>
        <w:rPr>
          <w:spacing w:val="-18"/>
        </w:rPr>
        <w:t> </w:t>
      </w:r>
      <w:r>
        <w:rPr/>
        <w:t>%</w:t>
      </w:r>
      <w:r>
        <w:rPr>
          <w:spacing w:val="-18"/>
        </w:rPr>
        <w:t> </w:t>
      </w:r>
      <w:r>
        <w:rPr/>
        <w:t>of</w:t>
      </w:r>
      <w:r>
        <w:rPr>
          <w:spacing w:val="-18"/>
        </w:rPr>
        <w:t> </w:t>
      </w:r>
      <w:r>
        <w:rPr/>
        <w:t>the</w:t>
      </w:r>
      <w:r>
        <w:rPr>
          <w:spacing w:val="-17"/>
        </w:rPr>
        <w:t> </w:t>
      </w:r>
      <w:r>
        <w:rPr/>
        <w:t>whole</w:t>
      </w:r>
      <w:r>
        <w:rPr>
          <w:spacing w:val="-17"/>
        </w:rPr>
        <w:t> </w:t>
      </w:r>
      <w:r>
        <w:rPr/>
        <w:t>organ</w:t>
      </w:r>
      <w:r>
        <w:rPr>
          <w:spacing w:val="-17"/>
        </w:rPr>
        <w:t> </w:t>
      </w:r>
      <w:r>
        <w:rPr/>
        <w:t>in</w:t>
      </w:r>
      <w:r>
        <w:rPr>
          <w:spacing w:val="-18"/>
        </w:rPr>
        <w:t> </w:t>
      </w:r>
      <w:r>
        <w:rPr/>
        <w:t>173</w:t>
      </w:r>
      <w:r>
        <w:rPr>
          <w:spacing w:val="-19"/>
        </w:rPr>
        <w:t> </w:t>
      </w:r>
      <w:r>
        <w:rPr/>
        <w:t>of</w:t>
      </w:r>
      <w:r>
        <w:rPr>
          <w:spacing w:val="-18"/>
        </w:rPr>
        <w:t> </w:t>
      </w:r>
      <w:r>
        <w:rPr/>
        <w:t>178</w:t>
      </w:r>
      <w:r>
        <w:rPr>
          <w:spacing w:val="-19"/>
        </w:rPr>
        <w:t> </w:t>
      </w:r>
      <w:r>
        <w:rPr/>
        <w:t>patients</w:t>
      </w:r>
    </w:p>
    <w:p>
      <w:pPr>
        <w:pStyle w:val="BodyText"/>
        <w:spacing w:before="3"/>
        <w:rPr>
          <w:sz w:val="12"/>
        </w:rPr>
      </w:pPr>
      <w:r>
        <w:rPr/>
        <w:pict>
          <v:line style="position:absolute;mso-position-horizontal-relative:page;mso-position-vertical-relative:paragraph;z-index:9800;mso-wrap-distance-left:0;mso-wrap-distance-right:0" from="70.823997pt,9.267485pt" to="214.843997pt,9.267485pt" stroked="true" strokeweight=".72003pt" strokecolor="#000000">
            <v:stroke dashstyle="solid"/>
            <w10:wrap type="topAndBottom"/>
          </v:line>
        </w:pict>
      </w:r>
    </w:p>
    <w:p>
      <w:pPr>
        <w:pStyle w:val="BodyText"/>
        <w:spacing w:before="7"/>
        <w:rPr>
          <w:sz w:val="18"/>
        </w:rPr>
      </w:pPr>
    </w:p>
    <w:p>
      <w:pPr>
        <w:spacing w:line="273" w:lineRule="auto" w:before="99"/>
        <w:ind w:left="616" w:right="244" w:firstLine="0"/>
        <w:jc w:val="left"/>
        <w:rPr>
          <w:sz w:val="20"/>
        </w:rPr>
      </w:pPr>
      <w:r>
        <w:rPr>
          <w:position w:val="5"/>
          <w:sz w:val="13"/>
        </w:rPr>
        <w:t>740 </w:t>
      </w:r>
      <w:r>
        <w:rPr>
          <w:sz w:val="20"/>
        </w:rPr>
        <w:t>Judy W. V. und Folkers K: Management of chronic fatigue syndrome patients with CoQ10. 8th Int. Symp. Biomed. and Clin. Aspects of CoQ10, 1993, p. 55</w:t>
      </w:r>
    </w:p>
    <w:p>
      <w:pPr>
        <w:spacing w:line="276" w:lineRule="auto" w:before="63"/>
        <w:ind w:left="616" w:right="0" w:firstLine="0"/>
        <w:jc w:val="left"/>
        <w:rPr>
          <w:sz w:val="20"/>
        </w:rPr>
      </w:pPr>
      <w:r>
        <w:rPr>
          <w:position w:val="5"/>
          <w:sz w:val="13"/>
        </w:rPr>
        <w:t>741 </w:t>
      </w:r>
      <w:r>
        <w:rPr>
          <w:sz w:val="20"/>
        </w:rPr>
        <w:t>Judy W. V. et al.: Dose related effectiveness of coenzyme Q10 in the treatment of chronic fatigue. Boston: 1st Conf. of the Intl. Coenzyme Q10 Assn., 1998, p. 86</w:t>
      </w:r>
    </w:p>
    <w:p>
      <w:pPr>
        <w:spacing w:line="276" w:lineRule="auto" w:before="61"/>
        <w:ind w:left="616" w:right="0" w:firstLine="0"/>
        <w:jc w:val="left"/>
        <w:rPr>
          <w:sz w:val="20"/>
        </w:rPr>
      </w:pPr>
      <w:r>
        <w:rPr/>
        <w:drawing>
          <wp:anchor distT="0" distB="0" distL="0" distR="0" allowOverlap="1" layoutInCell="1" locked="0" behindDoc="1" simplePos="0" relativeHeight="267177599">
            <wp:simplePos x="0" y="0"/>
            <wp:positionH relativeFrom="page">
              <wp:posOffset>985998</wp:posOffset>
            </wp:positionH>
            <wp:positionV relativeFrom="paragraph">
              <wp:posOffset>82907</wp:posOffset>
            </wp:positionV>
            <wp:extent cx="6379583" cy="902106"/>
            <wp:effectExtent l="0" t="0" r="0" b="0"/>
            <wp:wrapNone/>
            <wp:docPr id="495" name="image2.jpeg" descr=""/>
            <wp:cNvGraphicFramePr>
              <a:graphicFrameLocks noChangeAspect="1"/>
            </wp:cNvGraphicFramePr>
            <a:graphic>
              <a:graphicData uri="http://schemas.openxmlformats.org/drawingml/2006/picture">
                <pic:pic>
                  <pic:nvPicPr>
                    <pic:cNvPr id="496"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742 </w:t>
      </w:r>
      <w:r>
        <w:rPr>
          <w:sz w:val="20"/>
        </w:rPr>
        <w:t>Fujimoto S. et al.: Effects of coenzyme Q10 administration on pulmonary function and exercise performance in patients with chronic lung dis- eases. Clin Investig, 1993, 71, pp. 162-166</w:t>
      </w:r>
    </w:p>
    <w:p>
      <w:pPr>
        <w:spacing w:after="0" w:line="276" w:lineRule="auto"/>
        <w:jc w:val="left"/>
        <w:rPr>
          <w:sz w:val="20"/>
        </w:rPr>
        <w:sectPr>
          <w:footerReference w:type="default" r:id="rId314"/>
          <w:pgSz w:w="14270" w:h="16850"/>
          <w:pgMar w:footer="527" w:header="0" w:top="1340" w:bottom="720" w:left="800" w:right="1280"/>
          <w:pgNumType w:start="1323"/>
        </w:sectPr>
      </w:pPr>
    </w:p>
    <w:p>
      <w:pPr>
        <w:pStyle w:val="BodyText"/>
        <w:spacing w:line="278" w:lineRule="auto" w:before="72"/>
        <w:ind w:left="616" w:right="134"/>
        <w:jc w:val="both"/>
      </w:pPr>
      <w:r>
        <w:rPr/>
        <w:t>with a Q10 prophylaxis, with the result that surgical operations and intensive therapies could be avoided.</w:t>
      </w:r>
    </w:p>
    <w:p>
      <w:pPr>
        <w:pStyle w:val="BodyText"/>
        <w:spacing w:before="191"/>
        <w:ind w:left="616"/>
      </w:pPr>
      <w:r>
        <w:rPr/>
        <w:t>Q10 and alcohol-related hepatitis</w:t>
      </w:r>
    </w:p>
    <w:p>
      <w:pPr>
        <w:pStyle w:val="BodyText"/>
        <w:spacing w:line="276" w:lineRule="auto" w:before="305"/>
        <w:ind w:left="616" w:right="136"/>
        <w:jc w:val="both"/>
      </w:pPr>
      <w:r>
        <w:rPr/>
        <w:t>As the Apotheker Journal also reported in volume 9/93, the mortality rate of liver cirrhosis patients with hepatitis was only 6.5 % while the rate of the con- trol</w:t>
      </w:r>
      <w:r>
        <w:rPr>
          <w:spacing w:val="-16"/>
        </w:rPr>
        <w:t> </w:t>
      </w:r>
      <w:r>
        <w:rPr/>
        <w:t>group</w:t>
      </w:r>
      <w:r>
        <w:rPr>
          <w:spacing w:val="-16"/>
        </w:rPr>
        <w:t> </w:t>
      </w:r>
      <w:r>
        <w:rPr/>
        <w:t>(without</w:t>
      </w:r>
      <w:r>
        <w:rPr>
          <w:spacing w:val="-16"/>
        </w:rPr>
        <w:t> </w:t>
      </w:r>
      <w:r>
        <w:rPr/>
        <w:t>Q10</w:t>
      </w:r>
      <w:r>
        <w:rPr>
          <w:spacing w:val="-15"/>
        </w:rPr>
        <w:t> </w:t>
      </w:r>
      <w:r>
        <w:rPr/>
        <w:t>among</w:t>
      </w:r>
      <w:r>
        <w:rPr>
          <w:spacing w:val="-19"/>
        </w:rPr>
        <w:t> </w:t>
      </w:r>
      <w:r>
        <w:rPr/>
        <w:t>other</w:t>
      </w:r>
      <w:r>
        <w:rPr>
          <w:spacing w:val="-14"/>
        </w:rPr>
        <w:t> </w:t>
      </w:r>
      <w:r>
        <w:rPr/>
        <w:t>things)</w:t>
      </w:r>
      <w:r>
        <w:rPr>
          <w:spacing w:val="-14"/>
        </w:rPr>
        <w:t> </w:t>
      </w:r>
      <w:r>
        <w:rPr/>
        <w:t>was</w:t>
      </w:r>
      <w:r>
        <w:rPr>
          <w:spacing w:val="-13"/>
        </w:rPr>
        <w:t> </w:t>
      </w:r>
      <w:r>
        <w:rPr/>
        <w:t>40</w:t>
      </w:r>
      <w:r>
        <w:rPr>
          <w:spacing w:val="-18"/>
        </w:rPr>
        <w:t> </w:t>
      </w:r>
      <w:r>
        <w:rPr/>
        <w:t>%.</w:t>
      </w:r>
      <w:r>
        <w:rPr>
          <w:spacing w:val="-13"/>
        </w:rPr>
        <w:t> </w:t>
      </w:r>
      <w:r>
        <w:rPr/>
        <w:t>In</w:t>
      </w:r>
      <w:r>
        <w:rPr>
          <w:spacing w:val="-14"/>
        </w:rPr>
        <w:t> </w:t>
      </w:r>
      <w:r>
        <w:rPr/>
        <w:t>addition,</w:t>
      </w:r>
      <w:r>
        <w:rPr>
          <w:spacing w:val="-16"/>
        </w:rPr>
        <w:t> </w:t>
      </w:r>
      <w:r>
        <w:rPr/>
        <w:t>the</w:t>
      </w:r>
      <w:r>
        <w:rPr>
          <w:spacing w:val="-17"/>
        </w:rPr>
        <w:t> </w:t>
      </w:r>
      <w:r>
        <w:rPr/>
        <w:t>values for MDA, ammonia and bilirubin were significantly better than the control group, with the result that the hospital stay could be reduced by six</w:t>
      </w:r>
      <w:r>
        <w:rPr>
          <w:spacing w:val="-13"/>
        </w:rPr>
        <w:t> </w:t>
      </w:r>
      <w:r>
        <w:rPr/>
        <w:t>days.</w:t>
      </w:r>
    </w:p>
    <w:p>
      <w:pPr>
        <w:pStyle w:val="BodyText"/>
        <w:spacing w:before="201"/>
        <w:ind w:left="616"/>
      </w:pPr>
      <w:r>
        <w:rPr/>
        <w:t>Q10 problems during menopause</w:t>
      </w:r>
    </w:p>
    <w:p>
      <w:pPr>
        <w:pStyle w:val="BodyText"/>
        <w:spacing w:line="276" w:lineRule="auto" w:before="305"/>
        <w:ind w:left="616" w:right="133"/>
        <w:jc w:val="both"/>
      </w:pPr>
      <w:r>
        <w:rPr/>
        <w:t>One woman is surprised by it at 35, another only at 60 – menopause, with all of</w:t>
      </w:r>
      <w:r>
        <w:rPr>
          <w:spacing w:val="-14"/>
        </w:rPr>
        <w:t> </w:t>
      </w:r>
      <w:r>
        <w:rPr/>
        <w:t>its</w:t>
      </w:r>
      <w:r>
        <w:rPr>
          <w:spacing w:val="-17"/>
        </w:rPr>
        <w:t> </w:t>
      </w:r>
      <w:r>
        <w:rPr/>
        <w:t>uncomfortable</w:t>
      </w:r>
      <w:r>
        <w:rPr>
          <w:spacing w:val="-14"/>
        </w:rPr>
        <w:t> </w:t>
      </w:r>
      <w:r>
        <w:rPr/>
        <w:t>symptoms</w:t>
      </w:r>
      <w:r>
        <w:rPr>
          <w:spacing w:val="-14"/>
        </w:rPr>
        <w:t> </w:t>
      </w:r>
      <w:r>
        <w:rPr/>
        <w:t>in</w:t>
      </w:r>
      <w:r>
        <w:rPr>
          <w:spacing w:val="-14"/>
        </w:rPr>
        <w:t> </w:t>
      </w:r>
      <w:r>
        <w:rPr/>
        <w:t>the</w:t>
      </w:r>
      <w:r>
        <w:rPr>
          <w:spacing w:val="-16"/>
        </w:rPr>
        <w:t> </w:t>
      </w:r>
      <w:r>
        <w:rPr/>
        <w:t>form</w:t>
      </w:r>
      <w:r>
        <w:rPr>
          <w:spacing w:val="-16"/>
        </w:rPr>
        <w:t> </w:t>
      </w:r>
      <w:r>
        <w:rPr/>
        <w:t>of</w:t>
      </w:r>
      <w:r>
        <w:rPr>
          <w:spacing w:val="-15"/>
        </w:rPr>
        <w:t> </w:t>
      </w:r>
      <w:r>
        <w:rPr/>
        <w:t>heat</w:t>
      </w:r>
      <w:r>
        <w:rPr>
          <w:spacing w:val="-14"/>
        </w:rPr>
        <w:t> </w:t>
      </w:r>
      <w:r>
        <w:rPr/>
        <w:t>flashes,</w:t>
      </w:r>
      <w:r>
        <w:rPr>
          <w:spacing w:val="-15"/>
        </w:rPr>
        <w:t> </w:t>
      </w:r>
      <w:r>
        <w:rPr/>
        <w:t>depression,</w:t>
      </w:r>
      <w:r>
        <w:rPr>
          <w:spacing w:val="-15"/>
        </w:rPr>
        <w:t> </w:t>
      </w:r>
      <w:r>
        <w:rPr/>
        <w:t>insom- nia, headaches, fatigue, osteoporosis</w:t>
      </w:r>
      <w:r>
        <w:rPr>
          <w:spacing w:val="3"/>
        </w:rPr>
        <w:t> </w:t>
      </w:r>
      <w:r>
        <w:rPr/>
        <w:t>etc.</w:t>
      </w:r>
    </w:p>
    <w:p>
      <w:pPr>
        <w:pStyle w:val="BodyText"/>
        <w:spacing w:line="276" w:lineRule="auto" w:before="241"/>
        <w:ind w:left="616" w:right="134"/>
        <w:jc w:val="both"/>
      </w:pPr>
      <w:r>
        <w:rPr/>
        <w:t>Approximately 25 % of these women are dependent on medical help during this</w:t>
      </w:r>
      <w:r>
        <w:rPr>
          <w:spacing w:val="-22"/>
        </w:rPr>
        <w:t> </w:t>
      </w:r>
      <w:r>
        <w:rPr/>
        <w:t>time.</w:t>
      </w:r>
      <w:r>
        <w:rPr>
          <w:spacing w:val="-22"/>
        </w:rPr>
        <w:t> </w:t>
      </w:r>
      <w:r>
        <w:rPr/>
        <w:t>It</w:t>
      </w:r>
      <w:r>
        <w:rPr>
          <w:spacing w:val="-22"/>
        </w:rPr>
        <w:t> </w:t>
      </w:r>
      <w:r>
        <w:rPr/>
        <w:t>is</w:t>
      </w:r>
      <w:r>
        <w:rPr>
          <w:spacing w:val="-23"/>
        </w:rPr>
        <w:t> </w:t>
      </w:r>
      <w:r>
        <w:rPr/>
        <w:t>well</w:t>
      </w:r>
      <w:r>
        <w:rPr>
          <w:spacing w:val="-24"/>
        </w:rPr>
        <w:t> </w:t>
      </w:r>
      <w:r>
        <w:rPr/>
        <w:t>known</w:t>
      </w:r>
      <w:r>
        <w:rPr>
          <w:spacing w:val="-22"/>
        </w:rPr>
        <w:t> </w:t>
      </w:r>
      <w:r>
        <w:rPr/>
        <w:t>that</w:t>
      </w:r>
      <w:r>
        <w:rPr>
          <w:spacing w:val="-23"/>
        </w:rPr>
        <w:t> </w:t>
      </w:r>
      <w:r>
        <w:rPr/>
        <w:t>Q10</w:t>
      </w:r>
      <w:r>
        <w:rPr>
          <w:spacing w:val="-23"/>
        </w:rPr>
        <w:t> </w:t>
      </w:r>
      <w:r>
        <w:rPr/>
        <w:t>levels</w:t>
      </w:r>
      <w:r>
        <w:rPr>
          <w:spacing w:val="-22"/>
        </w:rPr>
        <w:t> </w:t>
      </w:r>
      <w:r>
        <w:rPr/>
        <w:t>are</w:t>
      </w:r>
      <w:r>
        <w:rPr>
          <w:spacing w:val="-23"/>
        </w:rPr>
        <w:t> </w:t>
      </w:r>
      <w:r>
        <w:rPr/>
        <w:t>also</w:t>
      </w:r>
      <w:r>
        <w:rPr>
          <w:spacing w:val="-22"/>
        </w:rPr>
        <w:t> </w:t>
      </w:r>
      <w:r>
        <w:rPr/>
        <w:t>low</w:t>
      </w:r>
      <w:r>
        <w:rPr>
          <w:spacing w:val="-22"/>
        </w:rPr>
        <w:t> </w:t>
      </w:r>
      <w:r>
        <w:rPr/>
        <w:t>in</w:t>
      </w:r>
      <w:r>
        <w:rPr>
          <w:spacing w:val="-22"/>
        </w:rPr>
        <w:t> </w:t>
      </w:r>
      <w:r>
        <w:rPr/>
        <w:t>women</w:t>
      </w:r>
      <w:r>
        <w:rPr>
          <w:spacing w:val="-21"/>
        </w:rPr>
        <w:t> </w:t>
      </w:r>
      <w:r>
        <w:rPr/>
        <w:t>in</w:t>
      </w:r>
      <w:r>
        <w:rPr>
          <w:spacing w:val="-21"/>
        </w:rPr>
        <w:t> </w:t>
      </w:r>
      <w:r>
        <w:rPr/>
        <w:t>menopause. Doctors and alternative practitioners report of successes all the way to a com- plete lack of symptoms with the use of Q10 (approx. 120</w:t>
      </w:r>
      <w:r>
        <w:rPr>
          <w:spacing w:val="-7"/>
        </w:rPr>
        <w:t> </w:t>
      </w:r>
      <w:r>
        <w:rPr/>
        <w:t>mg/day).</w:t>
      </w:r>
    </w:p>
    <w:p>
      <w:pPr>
        <w:pStyle w:val="Heading1"/>
        <w:spacing w:before="222"/>
        <w:ind w:left="616"/>
      </w:pPr>
      <w:r>
        <w:rPr/>
        <w:t>Q10 against neurodermitis</w:t>
      </w:r>
    </w:p>
    <w:p>
      <w:pPr>
        <w:pStyle w:val="BodyText"/>
        <w:spacing w:line="276" w:lineRule="auto" w:before="297"/>
        <w:ind w:left="616" w:right="134"/>
        <w:jc w:val="both"/>
      </w:pPr>
      <w:r>
        <w:rPr/>
        <w:t>As we have already learned, Q10 plays the most important role in skin</w:t>
      </w:r>
      <w:r>
        <w:rPr>
          <w:spacing w:val="-63"/>
        </w:rPr>
        <w:t> </w:t>
      </w:r>
      <w:r>
        <w:rPr/>
        <w:t>protec- tion and is thus the first substance used in the skin. Neurodermitis is attribut- able</w:t>
      </w:r>
      <w:r>
        <w:rPr>
          <w:spacing w:val="-19"/>
        </w:rPr>
        <w:t> </w:t>
      </w:r>
      <w:r>
        <w:rPr/>
        <w:t>to</w:t>
      </w:r>
      <w:r>
        <w:rPr>
          <w:spacing w:val="-17"/>
        </w:rPr>
        <w:t> </w:t>
      </w:r>
      <w:r>
        <w:rPr/>
        <w:t>a</w:t>
      </w:r>
      <w:r>
        <w:rPr>
          <w:spacing w:val="-22"/>
        </w:rPr>
        <w:t> </w:t>
      </w:r>
      <w:r>
        <w:rPr/>
        <w:t>malfunction</w:t>
      </w:r>
      <w:r>
        <w:rPr>
          <w:spacing w:val="-17"/>
        </w:rPr>
        <w:t> </w:t>
      </w:r>
      <w:r>
        <w:rPr/>
        <w:t>of</w:t>
      </w:r>
      <w:r>
        <w:rPr>
          <w:spacing w:val="-21"/>
        </w:rPr>
        <w:t> </w:t>
      </w:r>
      <w:r>
        <w:rPr/>
        <w:t>the</w:t>
      </w:r>
      <w:r>
        <w:rPr>
          <w:spacing w:val="-20"/>
        </w:rPr>
        <w:t> </w:t>
      </w:r>
      <w:r>
        <w:rPr/>
        <w:t>immune</w:t>
      </w:r>
      <w:r>
        <w:rPr>
          <w:spacing w:val="-18"/>
        </w:rPr>
        <w:t> </w:t>
      </w:r>
      <w:r>
        <w:rPr/>
        <w:t>system;</w:t>
      </w:r>
      <w:r>
        <w:rPr>
          <w:spacing w:val="-19"/>
        </w:rPr>
        <w:t> </w:t>
      </w:r>
      <w:r>
        <w:rPr/>
        <w:t>the</w:t>
      </w:r>
      <w:r>
        <w:rPr>
          <w:spacing w:val="-20"/>
        </w:rPr>
        <w:t> </w:t>
      </w:r>
      <w:r>
        <w:rPr/>
        <w:t>immune</w:t>
      </w:r>
      <w:r>
        <w:rPr>
          <w:spacing w:val="-18"/>
        </w:rPr>
        <w:t> </w:t>
      </w:r>
      <w:r>
        <w:rPr/>
        <w:t>system</w:t>
      </w:r>
      <w:r>
        <w:rPr>
          <w:spacing w:val="-20"/>
        </w:rPr>
        <w:t> </w:t>
      </w:r>
      <w:r>
        <w:rPr/>
        <w:t>is</w:t>
      </w:r>
      <w:r>
        <w:rPr>
          <w:spacing w:val="-19"/>
        </w:rPr>
        <w:t> </w:t>
      </w:r>
      <w:r>
        <w:rPr/>
        <w:t>misdirected</w:t>
      </w:r>
    </w:p>
    <w:p>
      <w:pPr>
        <w:spacing w:after="0" w:line="276" w:lineRule="auto"/>
        <w:jc w:val="both"/>
        <w:sectPr>
          <w:footerReference w:type="default" r:id="rId315"/>
          <w:pgSz w:w="14270" w:h="16850"/>
          <w:pgMar w:footer="1891" w:header="0" w:top="1340" w:bottom="2080" w:left="800" w:right="1280"/>
          <w:pgNumType w:start="1324"/>
        </w:sectPr>
      </w:pPr>
    </w:p>
    <w:p>
      <w:pPr>
        <w:pStyle w:val="BodyText"/>
        <w:spacing w:line="276" w:lineRule="auto" w:before="72"/>
        <w:ind w:left="616" w:right="132"/>
        <w:jc w:val="both"/>
      </w:pPr>
      <w:r>
        <w:rPr/>
        <w:t>and attacks substances that are not its enemies. The conventional medical an- swer to this is to administer medications with strong side effects. This indica- tion</w:t>
      </w:r>
      <w:r>
        <w:rPr>
          <w:spacing w:val="-16"/>
        </w:rPr>
        <w:t> </w:t>
      </w:r>
      <w:r>
        <w:rPr/>
        <w:t>is</w:t>
      </w:r>
      <w:r>
        <w:rPr>
          <w:spacing w:val="-16"/>
        </w:rPr>
        <w:t> </w:t>
      </w:r>
      <w:r>
        <w:rPr/>
        <w:t>unsatisfactory,</w:t>
      </w:r>
      <w:r>
        <w:rPr>
          <w:spacing w:val="-15"/>
        </w:rPr>
        <w:t> </w:t>
      </w:r>
      <w:r>
        <w:rPr/>
        <w:t>however.</w:t>
      </w:r>
      <w:r>
        <w:rPr>
          <w:spacing w:val="-15"/>
        </w:rPr>
        <w:t> </w:t>
      </w:r>
      <w:r>
        <w:rPr/>
        <w:t>Because</w:t>
      </w:r>
      <w:r>
        <w:rPr>
          <w:spacing w:val="-15"/>
        </w:rPr>
        <w:t> </w:t>
      </w:r>
      <w:r>
        <w:rPr/>
        <w:t>Q10</w:t>
      </w:r>
      <w:r>
        <w:rPr>
          <w:spacing w:val="-16"/>
        </w:rPr>
        <w:t> </w:t>
      </w:r>
      <w:r>
        <w:rPr/>
        <w:t>stabilises</w:t>
      </w:r>
      <w:r>
        <w:rPr>
          <w:spacing w:val="-16"/>
        </w:rPr>
        <w:t> </w:t>
      </w:r>
      <w:r>
        <w:rPr/>
        <w:t>the</w:t>
      </w:r>
      <w:r>
        <w:rPr>
          <w:spacing w:val="-14"/>
        </w:rPr>
        <w:t> </w:t>
      </w:r>
      <w:r>
        <w:rPr/>
        <w:t>immune</w:t>
      </w:r>
      <w:r>
        <w:rPr>
          <w:spacing w:val="-15"/>
        </w:rPr>
        <w:t> </w:t>
      </w:r>
      <w:r>
        <w:rPr/>
        <w:t>system</w:t>
      </w:r>
      <w:r>
        <w:rPr>
          <w:spacing w:val="-15"/>
        </w:rPr>
        <w:t> </w:t>
      </w:r>
      <w:r>
        <w:rPr/>
        <w:t>and significantly</w:t>
      </w:r>
      <w:r>
        <w:rPr>
          <w:spacing w:val="-21"/>
        </w:rPr>
        <w:t> </w:t>
      </w:r>
      <w:r>
        <w:rPr/>
        <w:t>improves</w:t>
      </w:r>
      <w:r>
        <w:rPr>
          <w:spacing w:val="-18"/>
        </w:rPr>
        <w:t> </w:t>
      </w:r>
      <w:r>
        <w:rPr/>
        <w:t>cell</w:t>
      </w:r>
      <w:r>
        <w:rPr>
          <w:spacing w:val="-19"/>
        </w:rPr>
        <w:t> </w:t>
      </w:r>
      <w:r>
        <w:rPr/>
        <w:t>membrane</w:t>
      </w:r>
      <w:r>
        <w:rPr>
          <w:spacing w:val="-18"/>
        </w:rPr>
        <w:t> </w:t>
      </w:r>
      <w:r>
        <w:rPr/>
        <w:t>communication,</w:t>
      </w:r>
      <w:r>
        <w:rPr>
          <w:spacing w:val="-18"/>
        </w:rPr>
        <w:t> </w:t>
      </w:r>
      <w:r>
        <w:rPr/>
        <w:t>it</w:t>
      </w:r>
      <w:r>
        <w:rPr>
          <w:spacing w:val="-20"/>
        </w:rPr>
        <w:t> </w:t>
      </w:r>
      <w:r>
        <w:rPr/>
        <w:t>should</w:t>
      </w:r>
      <w:r>
        <w:rPr>
          <w:spacing w:val="-20"/>
        </w:rPr>
        <w:t> </w:t>
      </w:r>
      <w:r>
        <w:rPr/>
        <w:t>not</w:t>
      </w:r>
      <w:r>
        <w:rPr>
          <w:spacing w:val="-20"/>
        </w:rPr>
        <w:t> </w:t>
      </w:r>
      <w:r>
        <w:rPr/>
        <w:t>be</w:t>
      </w:r>
      <w:r>
        <w:rPr>
          <w:spacing w:val="-19"/>
        </w:rPr>
        <w:t> </w:t>
      </w:r>
      <w:r>
        <w:rPr/>
        <w:t>ignored as a supplementary therapy for</w:t>
      </w:r>
      <w:r>
        <w:rPr>
          <w:spacing w:val="-3"/>
        </w:rPr>
        <w:t> </w:t>
      </w:r>
      <w:r>
        <w:rPr/>
        <w:t>neurodermitis.</w:t>
      </w:r>
    </w:p>
    <w:p>
      <w:pPr>
        <w:pStyle w:val="Heading1"/>
        <w:ind w:left="616"/>
        <w:jc w:val="both"/>
      </w:pPr>
      <w:r>
        <w:rPr/>
        <w:t>Q10 successful in the fight against</w:t>
      </w:r>
      <w:r>
        <w:rPr>
          <w:spacing w:val="-66"/>
        </w:rPr>
        <w:t> </w:t>
      </w:r>
      <w:r>
        <w:rPr/>
        <w:t>cancer</w:t>
      </w:r>
    </w:p>
    <w:p>
      <w:pPr>
        <w:pStyle w:val="BodyText"/>
        <w:spacing w:line="276" w:lineRule="auto" w:before="298"/>
        <w:ind w:left="616" w:right="133"/>
        <w:jc w:val="both"/>
      </w:pPr>
      <w:r>
        <w:rPr/>
        <w:t>A Q10 deficit during an illness is a strong indication that the body is increas- ingly using Q10, and thus requires more for its recovery. The more an illness encourages the Q10 deficit, the more important it is to offset this from the outside as soon as possible in the form of Q10 capsule intake.</w:t>
      </w:r>
    </w:p>
    <w:p>
      <w:pPr>
        <w:pStyle w:val="BodyText"/>
        <w:spacing w:line="276" w:lineRule="auto" w:before="241"/>
        <w:ind w:left="616" w:right="142"/>
        <w:jc w:val="both"/>
      </w:pPr>
      <w:r>
        <w:rPr/>
        <w:t>In a study by Folkers et al. of 83 cancer patients with eight different types of cancer, it turned out that all of them had a strong Q10 deficiency, especially the breast cancer and lung cancer patients.</w:t>
      </w:r>
    </w:p>
    <w:p>
      <w:pPr>
        <w:pStyle w:val="BodyText"/>
        <w:spacing w:line="276" w:lineRule="auto" w:before="242"/>
        <w:ind w:left="616" w:right="134"/>
        <w:jc w:val="both"/>
      </w:pPr>
      <w:r>
        <w:rPr/>
        <w:t>This pronounced Q10 deficit is a clear indication of the importance of Q10 consumption during cancer treatment (and prevention). There are many stud- ies</w:t>
      </w:r>
      <w:r>
        <w:rPr>
          <w:spacing w:val="-12"/>
        </w:rPr>
        <w:t> </w:t>
      </w:r>
      <w:r>
        <w:rPr/>
        <w:t>which</w:t>
      </w:r>
      <w:r>
        <w:rPr>
          <w:spacing w:val="-13"/>
        </w:rPr>
        <w:t> </w:t>
      </w:r>
      <w:r>
        <w:rPr/>
        <w:t>confirm</w:t>
      </w:r>
      <w:r>
        <w:rPr>
          <w:spacing w:val="-13"/>
        </w:rPr>
        <w:t> </w:t>
      </w:r>
      <w:r>
        <w:rPr/>
        <w:t>the</w:t>
      </w:r>
      <w:r>
        <w:rPr>
          <w:spacing w:val="-13"/>
        </w:rPr>
        <w:t> </w:t>
      </w:r>
      <w:r>
        <w:rPr/>
        <w:t>positive</w:t>
      </w:r>
      <w:r>
        <w:rPr>
          <w:spacing w:val="-14"/>
        </w:rPr>
        <w:t> </w:t>
      </w:r>
      <w:r>
        <w:rPr/>
        <w:t>outcomes</w:t>
      </w:r>
      <w:r>
        <w:rPr>
          <w:spacing w:val="-11"/>
        </w:rPr>
        <w:t> </w:t>
      </w:r>
      <w:r>
        <w:rPr/>
        <w:t>of</w:t>
      </w:r>
      <w:r>
        <w:rPr>
          <w:spacing w:val="-15"/>
        </w:rPr>
        <w:t> </w:t>
      </w:r>
      <w:r>
        <w:rPr/>
        <w:t>cancer</w:t>
      </w:r>
      <w:r>
        <w:rPr>
          <w:spacing w:val="-11"/>
        </w:rPr>
        <w:t> </w:t>
      </w:r>
      <w:r>
        <w:rPr/>
        <w:t>caused</w:t>
      </w:r>
      <w:r>
        <w:rPr>
          <w:spacing w:val="-14"/>
        </w:rPr>
        <w:t> </w:t>
      </w:r>
      <w:r>
        <w:rPr/>
        <w:t>by</w:t>
      </w:r>
      <w:r>
        <w:rPr>
          <w:spacing w:val="-11"/>
        </w:rPr>
        <w:t> </w:t>
      </w:r>
      <w:r>
        <w:rPr/>
        <w:t>the</w:t>
      </w:r>
      <w:r>
        <w:rPr>
          <w:spacing w:val="-14"/>
        </w:rPr>
        <w:t> </w:t>
      </w:r>
      <w:r>
        <w:rPr/>
        <w:t>consumption of</w:t>
      </w:r>
      <w:r>
        <w:rPr>
          <w:spacing w:val="-22"/>
        </w:rPr>
        <w:t> </w:t>
      </w:r>
      <w:r>
        <w:rPr/>
        <w:t>coenzyme</w:t>
      </w:r>
      <w:r>
        <w:rPr>
          <w:spacing w:val="-22"/>
        </w:rPr>
        <w:t> </w:t>
      </w:r>
      <w:r>
        <w:rPr/>
        <w:t>Q10.</w:t>
      </w:r>
      <w:r>
        <w:rPr>
          <w:spacing w:val="-21"/>
        </w:rPr>
        <w:t> </w:t>
      </w:r>
      <w:r>
        <w:rPr/>
        <w:t>Studies</w:t>
      </w:r>
      <w:r>
        <w:rPr>
          <w:spacing w:val="-22"/>
        </w:rPr>
        <w:t> </w:t>
      </w:r>
      <w:r>
        <w:rPr/>
        <w:t>document,</w:t>
      </w:r>
      <w:r>
        <w:rPr>
          <w:spacing w:val="-20"/>
        </w:rPr>
        <w:t> </w:t>
      </w:r>
      <w:r>
        <w:rPr/>
        <w:t>for</w:t>
      </w:r>
      <w:r>
        <w:rPr>
          <w:spacing w:val="-22"/>
        </w:rPr>
        <w:t> </w:t>
      </w:r>
      <w:r>
        <w:rPr/>
        <w:t>example,</w:t>
      </w:r>
      <w:r>
        <w:rPr>
          <w:spacing w:val="-22"/>
        </w:rPr>
        <w:t> </w:t>
      </w:r>
      <w:r>
        <w:rPr/>
        <w:t>a</w:t>
      </w:r>
      <w:r>
        <w:rPr>
          <w:spacing w:val="-22"/>
        </w:rPr>
        <w:t> </w:t>
      </w:r>
      <w:r>
        <w:rPr/>
        <w:t>rise</w:t>
      </w:r>
      <w:r>
        <w:rPr>
          <w:spacing w:val="-24"/>
        </w:rPr>
        <w:t> </w:t>
      </w:r>
      <w:r>
        <w:rPr/>
        <w:t>in</w:t>
      </w:r>
      <w:r>
        <w:rPr>
          <w:spacing w:val="-21"/>
        </w:rPr>
        <w:t> </w:t>
      </w:r>
      <w:r>
        <w:rPr/>
        <w:t>lymphocytes</w:t>
      </w:r>
      <w:r>
        <w:rPr>
          <w:spacing w:val="-20"/>
        </w:rPr>
        <w:t> </w:t>
      </w:r>
      <w:r>
        <w:rPr/>
        <w:t>(white blood cells) and immunoglobulin in the blood of cancer patients. A reduction of cancer symptoms all the way to the degeneration of the tumour were also able to be</w:t>
      </w:r>
      <w:r>
        <w:rPr>
          <w:spacing w:val="1"/>
        </w:rPr>
        <w:t> </w:t>
      </w:r>
      <w:r>
        <w:rPr/>
        <w:t>documented.</w:t>
      </w:r>
    </w:p>
    <w:p>
      <w:pPr>
        <w:pStyle w:val="BodyText"/>
        <w:spacing w:line="276" w:lineRule="auto" w:before="241"/>
        <w:ind w:left="616" w:right="135"/>
        <w:jc w:val="both"/>
      </w:pPr>
      <w:r>
        <w:rPr/>
        <w:t>At the moment, many mechanisms are being discussed as potential causes of this, ranging from the structure of the immune system to an improved cell</w:t>
      </w:r>
    </w:p>
    <w:p>
      <w:pPr>
        <w:spacing w:after="0" w:line="276" w:lineRule="auto"/>
        <w:jc w:val="both"/>
        <w:sectPr>
          <w:pgSz w:w="14270" w:h="16850"/>
          <w:pgMar w:header="0" w:footer="1891" w:top="1340" w:bottom="2080" w:left="800" w:right="1280"/>
        </w:sectPr>
      </w:pPr>
    </w:p>
    <w:p>
      <w:pPr>
        <w:pStyle w:val="BodyText"/>
        <w:spacing w:before="74"/>
        <w:ind w:left="616"/>
      </w:pPr>
      <w:r>
        <w:rPr/>
        <w:t>transfer all the way to cell communication which hinders mutations of cells.</w:t>
      </w:r>
    </w:p>
    <w:p>
      <w:pPr>
        <w:pStyle w:val="BodyText"/>
        <w:spacing w:line="276" w:lineRule="auto" w:before="305"/>
        <w:ind w:left="616" w:right="137"/>
        <w:jc w:val="both"/>
      </w:pPr>
      <w:r>
        <w:rPr/>
        <w:t>In a test on laboratory mice, Bliznakow et al. were able to impressively prove the positive effects of Q10 on tumour emergence and tumour development. The frequency of tumour formation, tumour size as well as the morality rate of a group with Q10 and one without Q10 were compared.</w:t>
      </w:r>
    </w:p>
    <w:p>
      <w:pPr>
        <w:spacing w:before="239"/>
        <w:ind w:left="616" w:right="0" w:firstLine="0"/>
        <w:jc w:val="both"/>
        <w:rPr>
          <w:b/>
          <w:sz w:val="28"/>
        </w:rPr>
      </w:pPr>
      <w:r>
        <w:rPr>
          <w:b/>
          <w:sz w:val="28"/>
        </w:rPr>
        <w:t>Influence of Coenzyme Q10 on the Emergence of Cancer</w:t>
      </w:r>
    </w:p>
    <w:p>
      <w:pPr>
        <w:pStyle w:val="BodyText"/>
        <w:spacing w:before="2"/>
        <w:rPr>
          <w:b/>
          <w:sz w:val="22"/>
        </w:r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63"/>
        <w:gridCol w:w="1964"/>
        <w:gridCol w:w="1961"/>
      </w:tblGrid>
      <w:tr>
        <w:trPr>
          <w:trHeight w:val="1488" w:hRule="atLeast"/>
        </w:trPr>
        <w:tc>
          <w:tcPr>
            <w:tcW w:w="1963" w:type="dxa"/>
          </w:tcPr>
          <w:p>
            <w:pPr>
              <w:pStyle w:val="TableParagraph"/>
              <w:spacing w:line="314" w:lineRule="exact"/>
              <w:ind w:left="381"/>
              <w:rPr>
                <w:b/>
                <w:sz w:val="28"/>
              </w:rPr>
            </w:pPr>
            <w:r>
              <w:rPr>
                <w:b/>
                <w:sz w:val="28"/>
              </w:rPr>
              <w:t>Days after</w:t>
            </w:r>
          </w:p>
          <w:p>
            <w:pPr>
              <w:pStyle w:val="TableParagraph"/>
              <w:spacing w:line="278" w:lineRule="auto" w:before="244"/>
              <w:ind w:left="206" w:right="120"/>
              <w:jc w:val="center"/>
              <w:rPr>
                <w:b/>
                <w:sz w:val="28"/>
              </w:rPr>
            </w:pPr>
            <w:r>
              <w:rPr>
                <w:b/>
                <w:sz w:val="28"/>
              </w:rPr>
              <w:t>Tumour initi- ation</w:t>
            </w:r>
          </w:p>
        </w:tc>
        <w:tc>
          <w:tcPr>
            <w:tcW w:w="1964" w:type="dxa"/>
          </w:tcPr>
          <w:p>
            <w:pPr>
              <w:pStyle w:val="TableParagraph"/>
              <w:spacing w:line="276" w:lineRule="auto"/>
              <w:ind w:left="175" w:right="167" w:firstLine="69"/>
              <w:jc w:val="both"/>
              <w:rPr>
                <w:b/>
                <w:sz w:val="28"/>
              </w:rPr>
            </w:pPr>
            <w:r>
              <w:rPr>
                <w:b/>
                <w:sz w:val="28"/>
              </w:rPr>
              <w:t>Tumour for- mation in the control group</w:t>
            </w:r>
          </w:p>
        </w:tc>
        <w:tc>
          <w:tcPr>
            <w:tcW w:w="1961" w:type="dxa"/>
          </w:tcPr>
          <w:p>
            <w:pPr>
              <w:pStyle w:val="TableParagraph"/>
              <w:spacing w:line="276" w:lineRule="auto"/>
              <w:ind w:left="186" w:right="176"/>
              <w:jc w:val="center"/>
              <w:rPr>
                <w:b/>
                <w:sz w:val="28"/>
              </w:rPr>
            </w:pPr>
            <w:r>
              <w:rPr>
                <w:b/>
                <w:sz w:val="28"/>
              </w:rPr>
              <w:t>Tumour for- mation in the Q10 group</w:t>
            </w:r>
          </w:p>
        </w:tc>
      </w:tr>
      <w:tr>
        <w:trPr>
          <w:trHeight w:val="561" w:hRule="atLeast"/>
        </w:trPr>
        <w:tc>
          <w:tcPr>
            <w:tcW w:w="1963" w:type="dxa"/>
          </w:tcPr>
          <w:p>
            <w:pPr>
              <w:pStyle w:val="TableParagraph"/>
              <w:spacing w:line="313" w:lineRule="exact"/>
              <w:ind w:left="110"/>
              <w:rPr>
                <w:sz w:val="28"/>
              </w:rPr>
            </w:pPr>
            <w:r>
              <w:rPr>
                <w:sz w:val="28"/>
              </w:rPr>
              <w:t>55</w:t>
            </w:r>
          </w:p>
        </w:tc>
        <w:tc>
          <w:tcPr>
            <w:tcW w:w="1964" w:type="dxa"/>
          </w:tcPr>
          <w:p>
            <w:pPr>
              <w:pStyle w:val="TableParagraph"/>
              <w:spacing w:line="313" w:lineRule="exact"/>
              <w:ind w:left="107"/>
              <w:rPr>
                <w:sz w:val="28"/>
              </w:rPr>
            </w:pPr>
            <w:r>
              <w:rPr>
                <w:sz w:val="28"/>
              </w:rPr>
              <w:t>85 %</w:t>
            </w:r>
          </w:p>
        </w:tc>
        <w:tc>
          <w:tcPr>
            <w:tcW w:w="1961" w:type="dxa"/>
          </w:tcPr>
          <w:p>
            <w:pPr>
              <w:pStyle w:val="TableParagraph"/>
              <w:spacing w:line="313" w:lineRule="exact"/>
              <w:ind w:left="107"/>
              <w:rPr>
                <w:sz w:val="28"/>
              </w:rPr>
            </w:pPr>
            <w:r>
              <w:rPr>
                <w:sz w:val="28"/>
              </w:rPr>
              <w:t>25 %</w:t>
            </w:r>
          </w:p>
        </w:tc>
      </w:tr>
      <w:tr>
        <w:trPr>
          <w:trHeight w:val="561" w:hRule="atLeast"/>
        </w:trPr>
        <w:tc>
          <w:tcPr>
            <w:tcW w:w="1963" w:type="dxa"/>
          </w:tcPr>
          <w:p>
            <w:pPr>
              <w:pStyle w:val="TableParagraph"/>
              <w:spacing w:line="313" w:lineRule="exact"/>
              <w:ind w:left="110"/>
              <w:rPr>
                <w:sz w:val="28"/>
              </w:rPr>
            </w:pPr>
            <w:r>
              <w:rPr>
                <w:sz w:val="28"/>
              </w:rPr>
              <w:t>69</w:t>
            </w:r>
          </w:p>
        </w:tc>
        <w:tc>
          <w:tcPr>
            <w:tcW w:w="1964" w:type="dxa"/>
          </w:tcPr>
          <w:p>
            <w:pPr>
              <w:pStyle w:val="TableParagraph"/>
              <w:spacing w:line="313" w:lineRule="exact"/>
              <w:ind w:left="107"/>
              <w:rPr>
                <w:sz w:val="28"/>
              </w:rPr>
            </w:pPr>
            <w:r>
              <w:rPr>
                <w:sz w:val="28"/>
              </w:rPr>
              <w:t>100 %</w:t>
            </w:r>
          </w:p>
        </w:tc>
        <w:tc>
          <w:tcPr>
            <w:tcW w:w="1961" w:type="dxa"/>
          </w:tcPr>
          <w:p>
            <w:pPr>
              <w:pStyle w:val="TableParagraph"/>
              <w:spacing w:line="313" w:lineRule="exact"/>
              <w:ind w:left="107"/>
              <w:rPr>
                <w:sz w:val="28"/>
              </w:rPr>
            </w:pPr>
            <w:r>
              <w:rPr>
                <w:sz w:val="28"/>
              </w:rPr>
              <w:t>55 %</w:t>
            </w:r>
          </w:p>
        </w:tc>
      </w:tr>
      <w:tr>
        <w:trPr>
          <w:trHeight w:val="563" w:hRule="atLeast"/>
        </w:trPr>
        <w:tc>
          <w:tcPr>
            <w:tcW w:w="1963" w:type="dxa"/>
          </w:tcPr>
          <w:p>
            <w:pPr>
              <w:pStyle w:val="TableParagraph"/>
              <w:spacing w:before="1"/>
              <w:ind w:left="110"/>
              <w:rPr>
                <w:sz w:val="28"/>
              </w:rPr>
            </w:pPr>
            <w:r>
              <w:rPr>
                <w:sz w:val="28"/>
              </w:rPr>
              <w:t>77</w:t>
            </w:r>
          </w:p>
        </w:tc>
        <w:tc>
          <w:tcPr>
            <w:tcW w:w="1964" w:type="dxa"/>
          </w:tcPr>
          <w:p>
            <w:pPr>
              <w:pStyle w:val="TableParagraph"/>
              <w:spacing w:before="1"/>
              <w:ind w:left="107"/>
              <w:rPr>
                <w:sz w:val="28"/>
              </w:rPr>
            </w:pPr>
            <w:r>
              <w:rPr>
                <w:sz w:val="28"/>
              </w:rPr>
              <w:t>---</w:t>
            </w:r>
          </w:p>
        </w:tc>
        <w:tc>
          <w:tcPr>
            <w:tcW w:w="1961" w:type="dxa"/>
          </w:tcPr>
          <w:p>
            <w:pPr>
              <w:pStyle w:val="TableParagraph"/>
              <w:spacing w:before="1"/>
              <w:ind w:left="107"/>
              <w:rPr>
                <w:sz w:val="28"/>
              </w:rPr>
            </w:pPr>
            <w:r>
              <w:rPr>
                <w:sz w:val="28"/>
              </w:rPr>
              <w:t>77 %</w:t>
            </w:r>
          </w:p>
        </w:tc>
      </w:tr>
    </w:tbl>
    <w:p>
      <w:pPr>
        <w:spacing w:before="238"/>
        <w:ind w:left="616" w:right="0" w:firstLine="0"/>
        <w:jc w:val="both"/>
        <w:rPr>
          <w:b/>
          <w:sz w:val="28"/>
        </w:rPr>
      </w:pPr>
      <w:r>
        <w:rPr>
          <w:b/>
          <w:sz w:val="28"/>
        </w:rPr>
        <w:t>Influence of Coenzyme Q10 on Tumour Size</w:t>
      </w:r>
    </w:p>
    <w:p>
      <w:pPr>
        <w:pStyle w:val="BodyText"/>
        <w:spacing w:before="1"/>
        <w:rPr>
          <w:b/>
          <w:sz w:val="22"/>
        </w:r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63"/>
        <w:gridCol w:w="1964"/>
        <w:gridCol w:w="1961"/>
      </w:tblGrid>
      <w:tr>
        <w:trPr>
          <w:trHeight w:val="1487" w:hRule="atLeast"/>
        </w:trPr>
        <w:tc>
          <w:tcPr>
            <w:tcW w:w="1963" w:type="dxa"/>
          </w:tcPr>
          <w:p>
            <w:pPr>
              <w:pStyle w:val="TableParagraph"/>
              <w:spacing w:line="313" w:lineRule="exact"/>
              <w:ind w:left="381"/>
              <w:rPr>
                <w:b/>
                <w:sz w:val="28"/>
              </w:rPr>
            </w:pPr>
            <w:r>
              <w:rPr>
                <w:b/>
                <w:sz w:val="28"/>
              </w:rPr>
              <w:t>Days after</w:t>
            </w:r>
          </w:p>
          <w:p>
            <w:pPr>
              <w:pStyle w:val="TableParagraph"/>
              <w:spacing w:line="278" w:lineRule="auto" w:before="246"/>
              <w:ind w:left="206" w:right="120"/>
              <w:jc w:val="center"/>
              <w:rPr>
                <w:b/>
                <w:sz w:val="28"/>
              </w:rPr>
            </w:pPr>
            <w:r>
              <w:rPr>
                <w:b/>
                <w:sz w:val="28"/>
              </w:rPr>
              <w:t>Tumour initi- ation</w:t>
            </w:r>
          </w:p>
        </w:tc>
        <w:tc>
          <w:tcPr>
            <w:tcW w:w="1964" w:type="dxa"/>
          </w:tcPr>
          <w:p>
            <w:pPr>
              <w:pStyle w:val="TableParagraph"/>
              <w:spacing w:line="278" w:lineRule="auto"/>
              <w:ind w:left="629" w:right="439" w:hanging="27"/>
              <w:rPr>
                <w:b/>
                <w:sz w:val="28"/>
              </w:rPr>
            </w:pPr>
            <w:r>
              <w:rPr>
                <w:b/>
                <w:sz w:val="28"/>
              </w:rPr>
              <w:t>Control group</w:t>
            </w:r>
          </w:p>
        </w:tc>
        <w:tc>
          <w:tcPr>
            <w:tcW w:w="1961" w:type="dxa"/>
          </w:tcPr>
          <w:p>
            <w:pPr>
              <w:pStyle w:val="TableParagraph"/>
              <w:spacing w:line="313" w:lineRule="exact"/>
              <w:ind w:left="362"/>
              <w:rPr>
                <w:b/>
                <w:sz w:val="28"/>
              </w:rPr>
            </w:pPr>
            <w:r>
              <w:rPr>
                <w:b/>
                <w:sz w:val="28"/>
              </w:rPr>
              <w:t>Q10 group</w:t>
            </w:r>
          </w:p>
        </w:tc>
      </w:tr>
      <w:tr>
        <w:trPr>
          <w:trHeight w:val="561" w:hRule="atLeast"/>
        </w:trPr>
        <w:tc>
          <w:tcPr>
            <w:tcW w:w="1963" w:type="dxa"/>
          </w:tcPr>
          <w:p>
            <w:pPr>
              <w:pStyle w:val="TableParagraph"/>
              <w:spacing w:line="313" w:lineRule="exact"/>
              <w:ind w:left="110"/>
              <w:rPr>
                <w:sz w:val="28"/>
              </w:rPr>
            </w:pPr>
            <w:r>
              <w:rPr>
                <w:sz w:val="28"/>
              </w:rPr>
              <w:t>55</w:t>
            </w:r>
          </w:p>
        </w:tc>
        <w:tc>
          <w:tcPr>
            <w:tcW w:w="1964" w:type="dxa"/>
          </w:tcPr>
          <w:p>
            <w:pPr>
              <w:pStyle w:val="TableParagraph"/>
              <w:spacing w:line="313" w:lineRule="exact"/>
              <w:ind w:left="107"/>
              <w:rPr>
                <w:sz w:val="28"/>
              </w:rPr>
            </w:pPr>
            <w:r>
              <w:rPr>
                <w:sz w:val="28"/>
              </w:rPr>
              <w:t>250 qmm</w:t>
            </w:r>
          </w:p>
        </w:tc>
        <w:tc>
          <w:tcPr>
            <w:tcW w:w="1961" w:type="dxa"/>
          </w:tcPr>
          <w:p>
            <w:pPr>
              <w:pStyle w:val="TableParagraph"/>
              <w:spacing w:line="313" w:lineRule="exact"/>
              <w:ind w:left="107"/>
              <w:rPr>
                <w:sz w:val="28"/>
              </w:rPr>
            </w:pPr>
            <w:r>
              <w:rPr>
                <w:sz w:val="28"/>
              </w:rPr>
              <w:t>95 qmm</w:t>
            </w:r>
          </w:p>
        </w:tc>
      </w:tr>
      <w:tr>
        <w:trPr>
          <w:trHeight w:val="563" w:hRule="atLeast"/>
        </w:trPr>
        <w:tc>
          <w:tcPr>
            <w:tcW w:w="1963" w:type="dxa"/>
          </w:tcPr>
          <w:p>
            <w:pPr>
              <w:pStyle w:val="TableParagraph"/>
              <w:spacing w:before="1"/>
              <w:ind w:left="110"/>
              <w:rPr>
                <w:sz w:val="28"/>
              </w:rPr>
            </w:pPr>
            <w:r>
              <w:rPr>
                <w:sz w:val="28"/>
              </w:rPr>
              <w:t>69</w:t>
            </w:r>
          </w:p>
        </w:tc>
        <w:tc>
          <w:tcPr>
            <w:tcW w:w="1964" w:type="dxa"/>
          </w:tcPr>
          <w:p>
            <w:pPr>
              <w:pStyle w:val="TableParagraph"/>
              <w:spacing w:before="1"/>
              <w:ind w:left="107"/>
              <w:rPr>
                <w:sz w:val="28"/>
              </w:rPr>
            </w:pPr>
            <w:r>
              <w:rPr>
                <w:sz w:val="28"/>
              </w:rPr>
              <w:t>360 qmm</w:t>
            </w:r>
          </w:p>
        </w:tc>
        <w:tc>
          <w:tcPr>
            <w:tcW w:w="1961" w:type="dxa"/>
          </w:tcPr>
          <w:p>
            <w:pPr>
              <w:pStyle w:val="TableParagraph"/>
              <w:spacing w:before="1"/>
              <w:ind w:left="107"/>
              <w:rPr>
                <w:sz w:val="28"/>
              </w:rPr>
            </w:pPr>
            <w:r>
              <w:rPr>
                <w:sz w:val="28"/>
              </w:rPr>
              <w:t>170 qmm</w:t>
            </w:r>
          </w:p>
        </w:tc>
      </w:tr>
      <w:tr>
        <w:trPr>
          <w:trHeight w:val="561" w:hRule="atLeast"/>
        </w:trPr>
        <w:tc>
          <w:tcPr>
            <w:tcW w:w="1963" w:type="dxa"/>
          </w:tcPr>
          <w:p>
            <w:pPr>
              <w:pStyle w:val="TableParagraph"/>
              <w:spacing w:line="313" w:lineRule="exact"/>
              <w:ind w:left="110"/>
              <w:rPr>
                <w:sz w:val="28"/>
              </w:rPr>
            </w:pPr>
            <w:r>
              <w:rPr>
                <w:sz w:val="28"/>
              </w:rPr>
              <w:t>77</w:t>
            </w:r>
          </w:p>
        </w:tc>
        <w:tc>
          <w:tcPr>
            <w:tcW w:w="1964" w:type="dxa"/>
          </w:tcPr>
          <w:p>
            <w:pPr>
              <w:pStyle w:val="TableParagraph"/>
              <w:spacing w:line="313" w:lineRule="exact"/>
              <w:ind w:left="107"/>
              <w:rPr>
                <w:sz w:val="28"/>
              </w:rPr>
            </w:pPr>
            <w:r>
              <w:rPr>
                <w:sz w:val="28"/>
              </w:rPr>
              <w:t>930 qmm</w:t>
            </w:r>
          </w:p>
        </w:tc>
        <w:tc>
          <w:tcPr>
            <w:tcW w:w="1961" w:type="dxa"/>
          </w:tcPr>
          <w:p>
            <w:pPr>
              <w:pStyle w:val="TableParagraph"/>
              <w:spacing w:line="313" w:lineRule="exact"/>
              <w:ind w:left="107"/>
              <w:rPr>
                <w:sz w:val="28"/>
              </w:rPr>
            </w:pPr>
            <w:r>
              <w:rPr>
                <w:sz w:val="28"/>
              </w:rPr>
              <w:t>580 qmm</w:t>
            </w:r>
          </w:p>
        </w:tc>
      </w:tr>
    </w:tbl>
    <w:p>
      <w:pPr>
        <w:spacing w:after="0" w:line="313" w:lineRule="exact"/>
        <w:rPr>
          <w:sz w:val="28"/>
        </w:rPr>
        <w:sectPr>
          <w:pgSz w:w="14270" w:h="16850"/>
          <w:pgMar w:header="0" w:footer="1891" w:top="1340" w:bottom="2080" w:left="800" w:right="1280"/>
        </w:sectPr>
      </w:pPr>
    </w:p>
    <w:p>
      <w:pPr>
        <w:spacing w:before="74"/>
        <w:ind w:left="616" w:right="0" w:firstLine="0"/>
        <w:jc w:val="left"/>
        <w:rPr>
          <w:b/>
          <w:sz w:val="28"/>
        </w:rPr>
      </w:pPr>
      <w:r>
        <w:rPr>
          <w:b/>
          <w:sz w:val="28"/>
        </w:rPr>
        <w:t>Influence of Coenzyme Q10 on Mortality Rate</w:t>
      </w:r>
    </w:p>
    <w:p>
      <w:pPr>
        <w:pStyle w:val="BodyText"/>
        <w:spacing w:before="3"/>
        <w:rPr>
          <w:b/>
          <w:sz w:val="22"/>
        </w:r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63"/>
        <w:gridCol w:w="1964"/>
        <w:gridCol w:w="1961"/>
      </w:tblGrid>
      <w:tr>
        <w:trPr>
          <w:trHeight w:val="1485" w:hRule="atLeast"/>
        </w:trPr>
        <w:tc>
          <w:tcPr>
            <w:tcW w:w="1963" w:type="dxa"/>
          </w:tcPr>
          <w:p>
            <w:pPr>
              <w:pStyle w:val="TableParagraph"/>
              <w:spacing w:line="313" w:lineRule="exact"/>
              <w:ind w:left="381"/>
              <w:rPr>
                <w:b/>
                <w:sz w:val="28"/>
              </w:rPr>
            </w:pPr>
            <w:r>
              <w:rPr>
                <w:b/>
                <w:sz w:val="28"/>
              </w:rPr>
              <w:t>Days after</w:t>
            </w:r>
          </w:p>
          <w:p>
            <w:pPr>
              <w:pStyle w:val="TableParagraph"/>
              <w:spacing w:line="278" w:lineRule="auto" w:before="244"/>
              <w:ind w:left="206" w:right="120"/>
              <w:jc w:val="center"/>
              <w:rPr>
                <w:b/>
                <w:sz w:val="28"/>
              </w:rPr>
            </w:pPr>
            <w:r>
              <w:rPr>
                <w:b/>
                <w:sz w:val="28"/>
              </w:rPr>
              <w:t>Tumour initi- ation</w:t>
            </w:r>
          </w:p>
        </w:tc>
        <w:tc>
          <w:tcPr>
            <w:tcW w:w="1964" w:type="dxa"/>
          </w:tcPr>
          <w:p>
            <w:pPr>
              <w:pStyle w:val="TableParagraph"/>
              <w:spacing w:line="278" w:lineRule="auto"/>
              <w:ind w:left="629" w:right="439" w:hanging="27"/>
              <w:rPr>
                <w:b/>
                <w:sz w:val="28"/>
              </w:rPr>
            </w:pPr>
            <w:r>
              <w:rPr>
                <w:b/>
                <w:sz w:val="28"/>
              </w:rPr>
              <w:t>Control group</w:t>
            </w:r>
          </w:p>
        </w:tc>
        <w:tc>
          <w:tcPr>
            <w:tcW w:w="1961" w:type="dxa"/>
          </w:tcPr>
          <w:p>
            <w:pPr>
              <w:pStyle w:val="TableParagraph"/>
              <w:spacing w:line="313" w:lineRule="exact"/>
              <w:ind w:left="362"/>
              <w:rPr>
                <w:b/>
                <w:sz w:val="28"/>
              </w:rPr>
            </w:pPr>
            <w:r>
              <w:rPr>
                <w:b/>
                <w:sz w:val="28"/>
              </w:rPr>
              <w:t>Q10 group</w:t>
            </w:r>
          </w:p>
        </w:tc>
      </w:tr>
      <w:tr>
        <w:trPr>
          <w:trHeight w:val="563" w:hRule="atLeast"/>
        </w:trPr>
        <w:tc>
          <w:tcPr>
            <w:tcW w:w="1963" w:type="dxa"/>
          </w:tcPr>
          <w:p>
            <w:pPr>
              <w:pStyle w:val="TableParagraph"/>
              <w:spacing w:before="1"/>
              <w:ind w:left="110"/>
              <w:rPr>
                <w:sz w:val="28"/>
              </w:rPr>
            </w:pPr>
            <w:r>
              <w:rPr>
                <w:sz w:val="28"/>
              </w:rPr>
              <w:t>55</w:t>
            </w:r>
          </w:p>
        </w:tc>
        <w:tc>
          <w:tcPr>
            <w:tcW w:w="1964" w:type="dxa"/>
          </w:tcPr>
          <w:p>
            <w:pPr>
              <w:pStyle w:val="TableParagraph"/>
              <w:spacing w:before="1"/>
              <w:ind w:left="107"/>
              <w:rPr>
                <w:sz w:val="28"/>
              </w:rPr>
            </w:pPr>
            <w:r>
              <w:rPr>
                <w:sz w:val="28"/>
              </w:rPr>
              <w:t>5 %</w:t>
            </w:r>
          </w:p>
        </w:tc>
        <w:tc>
          <w:tcPr>
            <w:tcW w:w="1961" w:type="dxa"/>
          </w:tcPr>
          <w:p>
            <w:pPr>
              <w:pStyle w:val="TableParagraph"/>
              <w:spacing w:before="1"/>
              <w:ind w:left="107"/>
              <w:rPr>
                <w:sz w:val="28"/>
              </w:rPr>
            </w:pPr>
            <w:r>
              <w:rPr>
                <w:sz w:val="28"/>
              </w:rPr>
              <w:t>0 %</w:t>
            </w:r>
          </w:p>
        </w:tc>
      </w:tr>
      <w:tr>
        <w:trPr>
          <w:trHeight w:val="561" w:hRule="atLeast"/>
        </w:trPr>
        <w:tc>
          <w:tcPr>
            <w:tcW w:w="1963" w:type="dxa"/>
          </w:tcPr>
          <w:p>
            <w:pPr>
              <w:pStyle w:val="TableParagraph"/>
              <w:spacing w:line="313" w:lineRule="exact"/>
              <w:ind w:left="110"/>
              <w:rPr>
                <w:sz w:val="28"/>
              </w:rPr>
            </w:pPr>
            <w:r>
              <w:rPr>
                <w:sz w:val="28"/>
              </w:rPr>
              <w:t>111</w:t>
            </w:r>
          </w:p>
        </w:tc>
        <w:tc>
          <w:tcPr>
            <w:tcW w:w="1964" w:type="dxa"/>
          </w:tcPr>
          <w:p>
            <w:pPr>
              <w:pStyle w:val="TableParagraph"/>
              <w:spacing w:line="313" w:lineRule="exact"/>
              <w:ind w:left="107"/>
              <w:rPr>
                <w:sz w:val="28"/>
              </w:rPr>
            </w:pPr>
            <w:r>
              <w:rPr>
                <w:sz w:val="28"/>
              </w:rPr>
              <w:t>50 %</w:t>
            </w:r>
          </w:p>
        </w:tc>
        <w:tc>
          <w:tcPr>
            <w:tcW w:w="1961" w:type="dxa"/>
          </w:tcPr>
          <w:p>
            <w:pPr>
              <w:pStyle w:val="TableParagraph"/>
              <w:spacing w:line="313" w:lineRule="exact"/>
              <w:ind w:left="107"/>
              <w:rPr>
                <w:sz w:val="28"/>
              </w:rPr>
            </w:pPr>
            <w:r>
              <w:rPr>
                <w:sz w:val="28"/>
              </w:rPr>
              <w:t>15 %</w:t>
            </w:r>
          </w:p>
        </w:tc>
      </w:tr>
      <w:tr>
        <w:trPr>
          <w:trHeight w:val="564" w:hRule="atLeast"/>
        </w:trPr>
        <w:tc>
          <w:tcPr>
            <w:tcW w:w="1963" w:type="dxa"/>
          </w:tcPr>
          <w:p>
            <w:pPr>
              <w:pStyle w:val="TableParagraph"/>
              <w:spacing w:line="313" w:lineRule="exact"/>
              <w:ind w:left="110"/>
              <w:rPr>
                <w:sz w:val="28"/>
              </w:rPr>
            </w:pPr>
            <w:r>
              <w:rPr>
                <w:sz w:val="28"/>
              </w:rPr>
              <w:t>132</w:t>
            </w:r>
          </w:p>
        </w:tc>
        <w:tc>
          <w:tcPr>
            <w:tcW w:w="1964" w:type="dxa"/>
          </w:tcPr>
          <w:p>
            <w:pPr>
              <w:pStyle w:val="TableParagraph"/>
              <w:spacing w:line="313" w:lineRule="exact"/>
              <w:ind w:left="107"/>
              <w:rPr>
                <w:sz w:val="28"/>
              </w:rPr>
            </w:pPr>
            <w:r>
              <w:rPr>
                <w:sz w:val="28"/>
              </w:rPr>
              <w:t>100 %</w:t>
            </w:r>
          </w:p>
        </w:tc>
        <w:tc>
          <w:tcPr>
            <w:tcW w:w="1961" w:type="dxa"/>
          </w:tcPr>
          <w:p>
            <w:pPr>
              <w:pStyle w:val="TableParagraph"/>
              <w:spacing w:line="313" w:lineRule="exact"/>
              <w:ind w:left="107"/>
              <w:rPr>
                <w:sz w:val="28"/>
              </w:rPr>
            </w:pPr>
            <w:r>
              <w:rPr>
                <w:w w:val="100"/>
                <w:sz w:val="28"/>
              </w:rPr>
              <w:t>?</w:t>
            </w:r>
          </w:p>
        </w:tc>
      </w:tr>
    </w:tbl>
    <w:p>
      <w:pPr>
        <w:pStyle w:val="BodyText"/>
        <w:spacing w:line="276" w:lineRule="auto" w:before="236"/>
        <w:ind w:left="616" w:right="136"/>
        <w:jc w:val="both"/>
      </w:pPr>
      <w:r>
        <w:rPr/>
        <w:t>Even if sceptics would argue here that we humans are not mice, mice are still functional organisms, and the studies also give much occasion for optimism for</w:t>
      </w:r>
      <w:r>
        <w:rPr>
          <w:spacing w:val="-15"/>
        </w:rPr>
        <w:t> </w:t>
      </w:r>
      <w:r>
        <w:rPr/>
        <w:t>the</w:t>
      </w:r>
      <w:r>
        <w:rPr>
          <w:spacing w:val="-18"/>
        </w:rPr>
        <w:t> </w:t>
      </w:r>
      <w:r>
        <w:rPr/>
        <w:t>‘human’</w:t>
      </w:r>
      <w:r>
        <w:rPr>
          <w:spacing w:val="-18"/>
        </w:rPr>
        <w:t> </w:t>
      </w:r>
      <w:r>
        <w:rPr/>
        <w:t>species,</w:t>
      </w:r>
      <w:r>
        <w:rPr>
          <w:spacing w:val="-18"/>
        </w:rPr>
        <w:t> </w:t>
      </w:r>
      <w:r>
        <w:rPr/>
        <w:t>particularly</w:t>
      </w:r>
      <w:r>
        <w:rPr>
          <w:spacing w:val="-17"/>
        </w:rPr>
        <w:t> </w:t>
      </w:r>
      <w:r>
        <w:rPr/>
        <w:t>since</w:t>
      </w:r>
      <w:r>
        <w:rPr>
          <w:spacing w:val="-17"/>
        </w:rPr>
        <w:t> </w:t>
      </w:r>
      <w:r>
        <w:rPr/>
        <w:t>studies</w:t>
      </w:r>
      <w:r>
        <w:rPr>
          <w:spacing w:val="-17"/>
        </w:rPr>
        <w:t> </w:t>
      </w:r>
      <w:r>
        <w:rPr/>
        <w:t>on</w:t>
      </w:r>
      <w:r>
        <w:rPr>
          <w:spacing w:val="-16"/>
        </w:rPr>
        <w:t> </w:t>
      </w:r>
      <w:r>
        <w:rPr/>
        <w:t>human</w:t>
      </w:r>
      <w:r>
        <w:rPr>
          <w:spacing w:val="-16"/>
        </w:rPr>
        <w:t> </w:t>
      </w:r>
      <w:r>
        <w:rPr/>
        <w:t>beings</w:t>
      </w:r>
      <w:r>
        <w:rPr>
          <w:spacing w:val="-16"/>
        </w:rPr>
        <w:t> </w:t>
      </w:r>
      <w:r>
        <w:rPr/>
        <w:t>support</w:t>
      </w:r>
      <w:r>
        <w:rPr>
          <w:spacing w:val="-18"/>
        </w:rPr>
        <w:t> </w:t>
      </w:r>
      <w:r>
        <w:rPr/>
        <w:t>the positive</w:t>
      </w:r>
      <w:r>
        <w:rPr>
          <w:spacing w:val="-1"/>
        </w:rPr>
        <w:t> </w:t>
      </w:r>
      <w:r>
        <w:rPr/>
        <w:t>effect:</w:t>
      </w:r>
    </w:p>
    <w:p>
      <w:pPr>
        <w:pStyle w:val="BodyText"/>
        <w:spacing w:line="276" w:lineRule="auto" w:before="242"/>
        <w:ind w:left="616" w:right="130"/>
        <w:jc w:val="both"/>
      </w:pPr>
      <w:r>
        <w:rPr/>
        <w:t>Lockwood et al.</w:t>
      </w:r>
      <w:r>
        <w:rPr>
          <w:position w:val="9"/>
          <w:sz w:val="25"/>
        </w:rPr>
        <w:t>743</w:t>
      </w:r>
      <w:r>
        <w:rPr/>
        <w:t>, for example, were able to demonstrate amazing successes with Q10 on 32 (human) patients whose condition seemed hopeless. Three</w:t>
      </w:r>
      <w:r>
        <w:rPr>
          <w:spacing w:val="-52"/>
        </w:rPr>
        <w:t> </w:t>
      </w:r>
      <w:r>
        <w:rPr/>
        <w:t>of the</w:t>
      </w:r>
      <w:r>
        <w:rPr>
          <w:spacing w:val="-13"/>
        </w:rPr>
        <w:t> </w:t>
      </w:r>
      <w:r>
        <w:rPr/>
        <w:t>patients</w:t>
      </w:r>
      <w:r>
        <w:rPr>
          <w:spacing w:val="-13"/>
        </w:rPr>
        <w:t> </w:t>
      </w:r>
      <w:r>
        <w:rPr/>
        <w:t>had</w:t>
      </w:r>
      <w:r>
        <w:rPr>
          <w:spacing w:val="-15"/>
        </w:rPr>
        <w:t> </w:t>
      </w:r>
      <w:r>
        <w:rPr/>
        <w:t>a</w:t>
      </w:r>
      <w:r>
        <w:rPr>
          <w:spacing w:val="-15"/>
        </w:rPr>
        <w:t> </w:t>
      </w:r>
      <w:r>
        <w:rPr/>
        <w:t>life</w:t>
      </w:r>
      <w:r>
        <w:rPr>
          <w:spacing w:val="-14"/>
        </w:rPr>
        <w:t> </w:t>
      </w:r>
      <w:r>
        <w:rPr/>
        <w:t>expectancy</w:t>
      </w:r>
      <w:r>
        <w:rPr>
          <w:spacing w:val="-13"/>
        </w:rPr>
        <w:t> </w:t>
      </w:r>
      <w:r>
        <w:rPr/>
        <w:t>which</w:t>
      </w:r>
      <w:r>
        <w:rPr>
          <w:spacing w:val="-13"/>
        </w:rPr>
        <w:t> </w:t>
      </w:r>
      <w:r>
        <w:rPr/>
        <w:t>was</w:t>
      </w:r>
      <w:r>
        <w:rPr>
          <w:spacing w:val="-12"/>
        </w:rPr>
        <w:t> </w:t>
      </w:r>
      <w:r>
        <w:rPr/>
        <w:t>much</w:t>
      </w:r>
      <w:r>
        <w:rPr>
          <w:spacing w:val="-14"/>
        </w:rPr>
        <w:t> </w:t>
      </w:r>
      <w:r>
        <w:rPr/>
        <w:t>lower</w:t>
      </w:r>
      <w:r>
        <w:rPr>
          <w:spacing w:val="-13"/>
        </w:rPr>
        <w:t> </w:t>
      </w:r>
      <w:r>
        <w:rPr/>
        <w:t>than</w:t>
      </w:r>
      <w:r>
        <w:rPr>
          <w:spacing w:val="-12"/>
        </w:rPr>
        <w:t> </w:t>
      </w:r>
      <w:r>
        <w:rPr/>
        <w:t>the</w:t>
      </w:r>
      <w:r>
        <w:rPr>
          <w:spacing w:val="-16"/>
        </w:rPr>
        <w:t> </w:t>
      </w:r>
      <w:r>
        <w:rPr/>
        <w:t>length</w:t>
      </w:r>
      <w:r>
        <w:rPr>
          <w:spacing w:val="-13"/>
        </w:rPr>
        <w:t> </w:t>
      </w:r>
      <w:r>
        <w:rPr/>
        <w:t>of</w:t>
      </w:r>
      <w:r>
        <w:rPr>
          <w:spacing w:val="-15"/>
        </w:rPr>
        <w:t> </w:t>
      </w:r>
      <w:r>
        <w:rPr/>
        <w:t>the 18 months’ study. All patients were initially administered 90 mg of Q10 daily, which led to outstanding results with six of the patients and a substantial im- provement to the overall condition of the other 26. No deaths were recorded and</w:t>
      </w:r>
      <w:r>
        <w:rPr>
          <w:spacing w:val="-14"/>
        </w:rPr>
        <w:t> </w:t>
      </w:r>
      <w:r>
        <w:rPr/>
        <w:t>even</w:t>
      </w:r>
      <w:r>
        <w:rPr>
          <w:spacing w:val="-12"/>
        </w:rPr>
        <w:t> </w:t>
      </w:r>
      <w:r>
        <w:rPr/>
        <w:t>the</w:t>
      </w:r>
      <w:r>
        <w:rPr>
          <w:spacing w:val="-12"/>
        </w:rPr>
        <w:t> </w:t>
      </w:r>
      <w:r>
        <w:rPr/>
        <w:t>typical</w:t>
      </w:r>
      <w:r>
        <w:rPr>
          <w:spacing w:val="-13"/>
        </w:rPr>
        <w:t> </w:t>
      </w:r>
      <w:r>
        <w:rPr/>
        <w:t>weight</w:t>
      </w:r>
      <w:r>
        <w:rPr>
          <w:spacing w:val="-12"/>
        </w:rPr>
        <w:t> </w:t>
      </w:r>
      <w:r>
        <w:rPr/>
        <w:t>loss</w:t>
      </w:r>
      <w:r>
        <w:rPr>
          <w:spacing w:val="-12"/>
        </w:rPr>
        <w:t> </w:t>
      </w:r>
      <w:r>
        <w:rPr/>
        <w:t>associated</w:t>
      </w:r>
      <w:r>
        <w:rPr>
          <w:spacing w:val="-14"/>
        </w:rPr>
        <w:t> </w:t>
      </w:r>
      <w:r>
        <w:rPr/>
        <w:t>with</w:t>
      </w:r>
      <w:r>
        <w:rPr>
          <w:spacing w:val="-13"/>
        </w:rPr>
        <w:t> </w:t>
      </w:r>
      <w:r>
        <w:rPr/>
        <w:t>cancer</w:t>
      </w:r>
      <w:r>
        <w:rPr>
          <w:spacing w:val="-13"/>
        </w:rPr>
        <w:t> </w:t>
      </w:r>
      <w:r>
        <w:rPr/>
        <w:t>failed</w:t>
      </w:r>
      <w:r>
        <w:rPr>
          <w:spacing w:val="-13"/>
        </w:rPr>
        <w:t> </w:t>
      </w:r>
      <w:r>
        <w:rPr/>
        <w:t>to</w:t>
      </w:r>
      <w:r>
        <w:rPr>
          <w:spacing w:val="-13"/>
        </w:rPr>
        <w:t> </w:t>
      </w:r>
      <w:r>
        <w:rPr/>
        <w:t>materialise.</w:t>
      </w:r>
      <w:r>
        <w:rPr>
          <w:spacing w:val="-12"/>
        </w:rPr>
        <w:t> </w:t>
      </w:r>
      <w:r>
        <w:rPr/>
        <w:t>To get to the bottom of this positive effect, it was decided to increase the Q10 daily dose for one patient to 390 mg, with the following</w:t>
      </w:r>
      <w:r>
        <w:rPr>
          <w:spacing w:val="-3"/>
        </w:rPr>
        <w:t> </w:t>
      </w:r>
      <w:r>
        <w:rPr/>
        <w:t>result:</w:t>
      </w:r>
    </w:p>
    <w:p>
      <w:pPr>
        <w:pStyle w:val="BodyText"/>
        <w:spacing w:before="239"/>
        <w:ind w:left="616"/>
        <w:jc w:val="both"/>
      </w:pPr>
      <w:r>
        <w:rPr/>
        <w:t>After only a month, the tumour was no longer palpable and another month</w:t>
      </w:r>
    </w:p>
    <w:p>
      <w:pPr>
        <w:pStyle w:val="BodyText"/>
        <w:rPr>
          <w:sz w:val="20"/>
        </w:rPr>
      </w:pPr>
    </w:p>
    <w:p>
      <w:pPr>
        <w:pStyle w:val="BodyText"/>
        <w:spacing w:before="7"/>
        <w:rPr>
          <w:sz w:val="15"/>
        </w:rPr>
      </w:pPr>
      <w:r>
        <w:rPr/>
        <w:pict>
          <v:line style="position:absolute;mso-position-horizontal-relative:page;mso-position-vertical-relative:paragraph;z-index:9848;mso-wrap-distance-left:0;mso-wrap-distance-right:0" from="70.823997pt,11.138735pt" to="214.843997pt,11.138735pt" stroked="true" strokeweight=".72003pt" strokecolor="#000000">
            <v:stroke dashstyle="solid"/>
            <w10:wrap type="topAndBottom"/>
          </v:line>
        </w:pict>
      </w:r>
    </w:p>
    <w:p>
      <w:pPr>
        <w:pStyle w:val="BodyText"/>
        <w:spacing w:before="7"/>
        <w:rPr>
          <w:sz w:val="18"/>
        </w:rPr>
      </w:pPr>
    </w:p>
    <w:p>
      <w:pPr>
        <w:spacing w:line="276" w:lineRule="auto" w:before="99"/>
        <w:ind w:left="616" w:right="0" w:firstLine="0"/>
        <w:jc w:val="left"/>
        <w:rPr>
          <w:sz w:val="20"/>
        </w:rPr>
      </w:pPr>
      <w:r>
        <w:rPr>
          <w:position w:val="5"/>
          <w:sz w:val="13"/>
        </w:rPr>
        <w:t>743 </w:t>
      </w:r>
      <w:r>
        <w:rPr>
          <w:sz w:val="20"/>
        </w:rPr>
        <w:t>Lockwood K. et al.: Apparant partial remission of breast cancer in high-risk-patients supplemented with nutritional antioxidants, essential fatty acids and coenzyme Q10. Mol Aspects Med, 1994, 15s, pp. 231–240</w:t>
      </w:r>
    </w:p>
    <w:p>
      <w:pPr>
        <w:spacing w:after="0" w:line="276" w:lineRule="auto"/>
        <w:jc w:val="left"/>
        <w:rPr>
          <w:sz w:val="20"/>
        </w:rPr>
        <w:sectPr>
          <w:pgSz w:w="14270" w:h="16850"/>
          <w:pgMar w:header="0" w:footer="1891" w:top="1340" w:bottom="2080" w:left="800" w:right="1280"/>
        </w:sectPr>
      </w:pPr>
    </w:p>
    <w:p>
      <w:pPr>
        <w:pStyle w:val="BodyText"/>
        <w:spacing w:before="74"/>
        <w:ind w:left="616"/>
      </w:pPr>
      <w:r>
        <w:rPr/>
        <w:t>later a mammogram confirmed a total disappearance of the tumour.</w:t>
      </w:r>
    </w:p>
    <w:p>
      <w:pPr>
        <w:pStyle w:val="BodyText"/>
        <w:spacing w:line="276" w:lineRule="auto" w:before="305"/>
        <w:ind w:left="616" w:right="130"/>
        <w:jc w:val="both"/>
        <w:rPr>
          <w:sz w:val="25"/>
        </w:rPr>
      </w:pPr>
      <w:r>
        <w:rPr/>
        <w:t>With another patient, the Q10 dose was increased to 300 mg daily, which led to</w:t>
      </w:r>
      <w:r>
        <w:rPr>
          <w:spacing w:val="-15"/>
        </w:rPr>
        <w:t> </w:t>
      </w:r>
      <w:r>
        <w:rPr/>
        <w:t>a</w:t>
      </w:r>
      <w:r>
        <w:rPr>
          <w:spacing w:val="-15"/>
        </w:rPr>
        <w:t> </w:t>
      </w:r>
      <w:r>
        <w:rPr/>
        <w:t>full</w:t>
      </w:r>
      <w:r>
        <w:rPr>
          <w:spacing w:val="-15"/>
        </w:rPr>
        <w:t> </w:t>
      </w:r>
      <w:r>
        <w:rPr/>
        <w:t>disappearance</w:t>
      </w:r>
      <w:r>
        <w:rPr>
          <w:spacing w:val="-14"/>
        </w:rPr>
        <w:t> </w:t>
      </w:r>
      <w:r>
        <w:rPr/>
        <w:t>of</w:t>
      </w:r>
      <w:r>
        <w:rPr>
          <w:spacing w:val="-15"/>
        </w:rPr>
        <w:t> </w:t>
      </w:r>
      <w:r>
        <w:rPr/>
        <w:t>the</w:t>
      </w:r>
      <w:r>
        <w:rPr>
          <w:spacing w:val="-13"/>
        </w:rPr>
        <w:t> </w:t>
      </w:r>
      <w:r>
        <w:rPr/>
        <w:t>tumour</w:t>
      </w:r>
      <w:r>
        <w:rPr>
          <w:spacing w:val="-14"/>
        </w:rPr>
        <w:t> </w:t>
      </w:r>
      <w:r>
        <w:rPr/>
        <w:t>after</w:t>
      </w:r>
      <w:r>
        <w:rPr>
          <w:spacing w:val="-14"/>
        </w:rPr>
        <w:t> </w:t>
      </w:r>
      <w:r>
        <w:rPr/>
        <w:t>three</w:t>
      </w:r>
      <w:r>
        <w:rPr>
          <w:spacing w:val="-16"/>
        </w:rPr>
        <w:t> </w:t>
      </w:r>
      <w:r>
        <w:rPr/>
        <w:t>months.</w:t>
      </w:r>
      <w:r>
        <w:rPr>
          <w:spacing w:val="-16"/>
        </w:rPr>
        <w:t> </w:t>
      </w:r>
      <w:r>
        <w:rPr/>
        <w:t>With</w:t>
      </w:r>
      <w:r>
        <w:rPr>
          <w:spacing w:val="-14"/>
        </w:rPr>
        <w:t> </w:t>
      </w:r>
      <w:r>
        <w:rPr/>
        <w:t>an</w:t>
      </w:r>
      <w:r>
        <w:rPr>
          <w:spacing w:val="-14"/>
        </w:rPr>
        <w:t> </w:t>
      </w:r>
      <w:r>
        <w:rPr/>
        <w:t>older</w:t>
      </w:r>
      <w:r>
        <w:rPr>
          <w:spacing w:val="-13"/>
        </w:rPr>
        <w:t> </w:t>
      </w:r>
      <w:r>
        <w:rPr/>
        <w:t>patient who</w:t>
      </w:r>
      <w:r>
        <w:rPr>
          <w:spacing w:val="-12"/>
        </w:rPr>
        <w:t> </w:t>
      </w:r>
      <w:r>
        <w:rPr/>
        <w:t>had</w:t>
      </w:r>
      <w:r>
        <w:rPr>
          <w:spacing w:val="-11"/>
        </w:rPr>
        <w:t> </w:t>
      </w:r>
      <w:r>
        <w:rPr/>
        <w:t>already</w:t>
      </w:r>
      <w:r>
        <w:rPr>
          <w:spacing w:val="-10"/>
        </w:rPr>
        <w:t> </w:t>
      </w:r>
      <w:r>
        <w:rPr/>
        <w:t>undergone</w:t>
      </w:r>
      <w:r>
        <w:rPr>
          <w:spacing w:val="-11"/>
        </w:rPr>
        <w:t> </w:t>
      </w:r>
      <w:r>
        <w:rPr/>
        <w:t>a</w:t>
      </w:r>
      <w:r>
        <w:rPr>
          <w:spacing w:val="-13"/>
        </w:rPr>
        <w:t> </w:t>
      </w:r>
      <w:r>
        <w:rPr/>
        <w:t>breast</w:t>
      </w:r>
      <w:r>
        <w:rPr>
          <w:spacing w:val="-11"/>
        </w:rPr>
        <w:t> </w:t>
      </w:r>
      <w:r>
        <w:rPr/>
        <w:t>amputation</w:t>
      </w:r>
      <w:r>
        <w:rPr>
          <w:spacing w:val="-11"/>
        </w:rPr>
        <w:t> </w:t>
      </w:r>
      <w:r>
        <w:rPr/>
        <w:t>and</w:t>
      </w:r>
      <w:r>
        <w:rPr>
          <w:spacing w:val="-11"/>
        </w:rPr>
        <w:t> </w:t>
      </w:r>
      <w:r>
        <w:rPr/>
        <w:t>then</w:t>
      </w:r>
      <w:r>
        <w:rPr>
          <w:spacing w:val="-11"/>
        </w:rPr>
        <w:t> </w:t>
      </w:r>
      <w:r>
        <w:rPr/>
        <w:t>got</w:t>
      </w:r>
      <w:r>
        <w:rPr>
          <w:spacing w:val="-12"/>
        </w:rPr>
        <w:t> </w:t>
      </w:r>
      <w:r>
        <w:rPr/>
        <w:t>another</w:t>
      </w:r>
      <w:r>
        <w:rPr>
          <w:spacing w:val="-10"/>
        </w:rPr>
        <w:t> </w:t>
      </w:r>
      <w:r>
        <w:rPr/>
        <w:t>tumour, the second tumour disappeared after six months of treatment with Q10. An- other subject had metastases around the scar tissue after a breast operation. The Q10 treatment also caused these metastases to fully disappear. In his </w:t>
      </w:r>
      <w:r>
        <w:rPr>
          <w:spacing w:val="2"/>
        </w:rPr>
        <w:t>re- </w:t>
      </w:r>
      <w:r>
        <w:rPr/>
        <w:t>port at the Q10 Congress in Boston in 1998, Judy mentioned his remarkable successes</w:t>
      </w:r>
      <w:r>
        <w:rPr>
          <w:spacing w:val="-13"/>
        </w:rPr>
        <w:t> </w:t>
      </w:r>
      <w:r>
        <w:rPr/>
        <w:t>with</w:t>
      </w:r>
      <w:r>
        <w:rPr>
          <w:spacing w:val="-10"/>
        </w:rPr>
        <w:t> </w:t>
      </w:r>
      <w:r>
        <w:rPr/>
        <w:t>600</w:t>
      </w:r>
      <w:r>
        <w:rPr>
          <w:spacing w:val="-13"/>
        </w:rPr>
        <w:t> </w:t>
      </w:r>
      <w:r>
        <w:rPr/>
        <w:t>mg</w:t>
      </w:r>
      <w:r>
        <w:rPr>
          <w:spacing w:val="-13"/>
        </w:rPr>
        <w:t> </w:t>
      </w:r>
      <w:r>
        <w:rPr/>
        <w:t>of</w:t>
      </w:r>
      <w:r>
        <w:rPr>
          <w:spacing w:val="-11"/>
        </w:rPr>
        <w:t> </w:t>
      </w:r>
      <w:r>
        <w:rPr/>
        <w:t>Q10</w:t>
      </w:r>
      <w:r>
        <w:rPr>
          <w:spacing w:val="-13"/>
        </w:rPr>
        <w:t> </w:t>
      </w:r>
      <w:r>
        <w:rPr/>
        <w:t>per</w:t>
      </w:r>
      <w:r>
        <w:rPr>
          <w:spacing w:val="-10"/>
        </w:rPr>
        <w:t> </w:t>
      </w:r>
      <w:r>
        <w:rPr/>
        <w:t>day</w:t>
      </w:r>
      <w:r>
        <w:rPr>
          <w:spacing w:val="-15"/>
        </w:rPr>
        <w:t> </w:t>
      </w:r>
      <w:r>
        <w:rPr/>
        <w:t>in</w:t>
      </w:r>
      <w:r>
        <w:rPr>
          <w:spacing w:val="-11"/>
        </w:rPr>
        <w:t> </w:t>
      </w:r>
      <w:r>
        <w:rPr/>
        <w:t>the</w:t>
      </w:r>
      <w:r>
        <w:rPr>
          <w:spacing w:val="-11"/>
        </w:rPr>
        <w:t> </w:t>
      </w:r>
      <w:r>
        <w:rPr/>
        <w:t>treatment</w:t>
      </w:r>
      <w:r>
        <w:rPr>
          <w:spacing w:val="-11"/>
        </w:rPr>
        <w:t> </w:t>
      </w:r>
      <w:r>
        <w:rPr/>
        <w:t>of</w:t>
      </w:r>
      <w:r>
        <w:rPr>
          <w:spacing w:val="-13"/>
        </w:rPr>
        <w:t> </w:t>
      </w:r>
      <w:r>
        <w:rPr/>
        <w:t>prostate</w:t>
      </w:r>
      <w:r>
        <w:rPr>
          <w:spacing w:val="-12"/>
        </w:rPr>
        <w:t> </w:t>
      </w:r>
      <w:r>
        <w:rPr/>
        <w:t>cancer.</w:t>
      </w:r>
      <w:r>
        <w:rPr>
          <w:spacing w:val="-10"/>
        </w:rPr>
        <w:t> </w:t>
      </w:r>
      <w:r>
        <w:rPr/>
        <w:t>The PSA</w:t>
      </w:r>
      <w:r>
        <w:rPr>
          <w:spacing w:val="-11"/>
        </w:rPr>
        <w:t> </w:t>
      </w:r>
      <w:r>
        <w:rPr/>
        <w:t>value</w:t>
      </w:r>
      <w:r>
        <w:rPr>
          <w:spacing w:val="-10"/>
        </w:rPr>
        <w:t> </w:t>
      </w:r>
      <w:r>
        <w:rPr/>
        <w:t>of</w:t>
      </w:r>
      <w:r>
        <w:rPr>
          <w:spacing w:val="-10"/>
        </w:rPr>
        <w:t> </w:t>
      </w:r>
      <w:r>
        <w:rPr/>
        <w:t>10</w:t>
      </w:r>
      <w:r>
        <w:rPr>
          <w:spacing w:val="-10"/>
        </w:rPr>
        <w:t> </w:t>
      </w:r>
      <w:r>
        <w:rPr/>
        <w:t>out</w:t>
      </w:r>
      <w:r>
        <w:rPr>
          <w:spacing w:val="-12"/>
        </w:rPr>
        <w:t> </w:t>
      </w:r>
      <w:r>
        <w:rPr/>
        <w:t>of</w:t>
      </w:r>
      <w:r>
        <w:rPr>
          <w:spacing w:val="-10"/>
        </w:rPr>
        <w:t> </w:t>
      </w:r>
      <w:r>
        <w:rPr/>
        <w:t>14</w:t>
      </w:r>
      <w:r>
        <w:rPr>
          <w:spacing w:val="-11"/>
        </w:rPr>
        <w:t> </w:t>
      </w:r>
      <w:r>
        <w:rPr/>
        <w:t>patients</w:t>
      </w:r>
      <w:r>
        <w:rPr>
          <w:spacing w:val="-11"/>
        </w:rPr>
        <w:t> </w:t>
      </w:r>
      <w:r>
        <w:rPr/>
        <w:t>decreased</w:t>
      </w:r>
      <w:r>
        <w:rPr>
          <w:spacing w:val="-10"/>
        </w:rPr>
        <w:t> </w:t>
      </w:r>
      <w:r>
        <w:rPr/>
        <w:t>after</w:t>
      </w:r>
      <w:r>
        <w:rPr>
          <w:spacing w:val="-11"/>
        </w:rPr>
        <w:t> </w:t>
      </w:r>
      <w:r>
        <w:rPr/>
        <w:t>360</w:t>
      </w:r>
      <w:r>
        <w:rPr>
          <w:spacing w:val="-12"/>
        </w:rPr>
        <w:t> </w:t>
      </w:r>
      <w:r>
        <w:rPr/>
        <w:t>days</w:t>
      </w:r>
      <w:r>
        <w:rPr>
          <w:spacing w:val="-10"/>
        </w:rPr>
        <w:t> </w:t>
      </w:r>
      <w:r>
        <w:rPr/>
        <w:t>by</w:t>
      </w:r>
      <w:r>
        <w:rPr>
          <w:spacing w:val="-11"/>
        </w:rPr>
        <w:t> </w:t>
      </w:r>
      <w:r>
        <w:rPr/>
        <w:t>73.6</w:t>
      </w:r>
      <w:r>
        <w:rPr>
          <w:spacing w:val="-11"/>
        </w:rPr>
        <w:t> </w:t>
      </w:r>
      <w:r>
        <w:rPr/>
        <w:t>%,</w:t>
      </w:r>
      <w:r>
        <w:rPr>
          <w:spacing w:val="-10"/>
        </w:rPr>
        <w:t> </w:t>
      </w:r>
      <w:r>
        <w:rPr/>
        <w:t>and</w:t>
      </w:r>
      <w:r>
        <w:rPr>
          <w:spacing w:val="-10"/>
        </w:rPr>
        <w:t> </w:t>
      </w:r>
      <w:r>
        <w:rPr/>
        <w:t>the prostate shrank by 48.4 %, completely without side</w:t>
      </w:r>
      <w:r>
        <w:rPr>
          <w:spacing w:val="-3"/>
        </w:rPr>
        <w:t> </w:t>
      </w:r>
      <w:r>
        <w:rPr/>
        <w:t>effects.</w:t>
      </w:r>
      <w:r>
        <w:rPr>
          <w:position w:val="9"/>
          <w:sz w:val="25"/>
        </w:rPr>
        <w:t>744</w:t>
      </w:r>
    </w:p>
    <w:p>
      <w:pPr>
        <w:pStyle w:val="BodyText"/>
        <w:spacing w:line="276" w:lineRule="auto" w:before="239"/>
        <w:ind w:left="616" w:right="131"/>
        <w:jc w:val="both"/>
      </w:pPr>
      <w:r>
        <w:rPr/>
        <w:t>Prof. Folkers gave an account of long-term studies in which, among others, ten severely ill cancer patients with extremely poor prognoses took part. After intensive Q10 therapy, one of them was completely cancer-free after three years, another one after nine years, and another one after 10 years. These suc- cesses are attributable to the stimulation of the antibody IgG and the T lym- phocytes as well as a potential positive effect on cytotoxic T cells.</w:t>
      </w:r>
    </w:p>
    <w:p>
      <w:pPr>
        <w:pStyle w:val="Heading1"/>
        <w:spacing w:before="223"/>
        <w:ind w:left="616"/>
      </w:pPr>
      <w:r>
        <w:rPr>
          <w:w w:val="95"/>
        </w:rPr>
        <w:t>Coenzyme</w:t>
      </w:r>
      <w:r>
        <w:rPr>
          <w:spacing w:val="-12"/>
          <w:w w:val="95"/>
        </w:rPr>
        <w:t> </w:t>
      </w:r>
      <w:r>
        <w:rPr>
          <w:w w:val="95"/>
        </w:rPr>
        <w:t>Q10</w:t>
      </w:r>
      <w:r>
        <w:rPr>
          <w:spacing w:val="-9"/>
          <w:w w:val="95"/>
        </w:rPr>
        <w:t> </w:t>
      </w:r>
      <w:r>
        <w:rPr>
          <w:w w:val="95"/>
        </w:rPr>
        <w:t>protects</w:t>
      </w:r>
      <w:r>
        <w:rPr>
          <w:spacing w:val="-10"/>
          <w:w w:val="95"/>
        </w:rPr>
        <w:t> </w:t>
      </w:r>
      <w:r>
        <w:rPr>
          <w:w w:val="95"/>
        </w:rPr>
        <w:t>against</w:t>
      </w:r>
      <w:r>
        <w:rPr>
          <w:spacing w:val="-11"/>
          <w:w w:val="95"/>
        </w:rPr>
        <w:t> </w:t>
      </w:r>
      <w:r>
        <w:rPr>
          <w:w w:val="95"/>
        </w:rPr>
        <w:t>the</w:t>
      </w:r>
      <w:r>
        <w:rPr>
          <w:spacing w:val="-12"/>
          <w:w w:val="95"/>
        </w:rPr>
        <w:t> </w:t>
      </w:r>
      <w:r>
        <w:rPr>
          <w:w w:val="95"/>
        </w:rPr>
        <w:t>consequences</w:t>
      </w:r>
      <w:r>
        <w:rPr>
          <w:spacing w:val="-11"/>
          <w:w w:val="95"/>
        </w:rPr>
        <w:t> </w:t>
      </w:r>
      <w:r>
        <w:rPr>
          <w:w w:val="95"/>
        </w:rPr>
        <w:t>of</w:t>
      </w:r>
      <w:r>
        <w:rPr>
          <w:spacing w:val="-11"/>
          <w:w w:val="95"/>
        </w:rPr>
        <w:t> </w:t>
      </w:r>
      <w:r>
        <w:rPr>
          <w:w w:val="95"/>
        </w:rPr>
        <w:t>tumour</w:t>
      </w:r>
      <w:r>
        <w:rPr>
          <w:spacing w:val="-12"/>
          <w:w w:val="95"/>
        </w:rPr>
        <w:t> </w:t>
      </w:r>
      <w:r>
        <w:rPr>
          <w:w w:val="95"/>
        </w:rPr>
        <w:t>operations</w:t>
      </w:r>
    </w:p>
    <w:p>
      <w:pPr>
        <w:pStyle w:val="BodyText"/>
        <w:spacing w:line="276" w:lineRule="auto" w:before="300"/>
        <w:ind w:left="616" w:right="134"/>
        <w:jc w:val="both"/>
      </w:pPr>
      <w:r>
        <w:rPr/>
        <w:t>It is well known that the bodily stress of an operation leads to the increased formation of damaging free radicals. The immune system is also heavily sup- pressed</w:t>
      </w:r>
      <w:r>
        <w:rPr>
          <w:spacing w:val="17"/>
        </w:rPr>
        <w:t> </w:t>
      </w:r>
      <w:r>
        <w:rPr/>
        <w:t>during</w:t>
      </w:r>
      <w:r>
        <w:rPr>
          <w:spacing w:val="17"/>
        </w:rPr>
        <w:t> </w:t>
      </w:r>
      <w:r>
        <w:rPr/>
        <w:t>the</w:t>
      </w:r>
      <w:r>
        <w:rPr>
          <w:spacing w:val="18"/>
        </w:rPr>
        <w:t> </w:t>
      </w:r>
      <w:r>
        <w:rPr/>
        <w:t>operation.</w:t>
      </w:r>
      <w:r>
        <w:rPr>
          <w:spacing w:val="15"/>
        </w:rPr>
        <w:t> </w:t>
      </w:r>
      <w:r>
        <w:rPr/>
        <w:t>In</w:t>
      </w:r>
      <w:r>
        <w:rPr>
          <w:spacing w:val="16"/>
        </w:rPr>
        <w:t> </w:t>
      </w:r>
      <w:r>
        <w:rPr/>
        <w:t>both</w:t>
      </w:r>
      <w:r>
        <w:rPr>
          <w:spacing w:val="18"/>
        </w:rPr>
        <w:t> </w:t>
      </w:r>
      <w:r>
        <w:rPr/>
        <w:t>cases,</w:t>
      </w:r>
      <w:r>
        <w:rPr>
          <w:spacing w:val="17"/>
        </w:rPr>
        <w:t> </w:t>
      </w:r>
      <w:r>
        <w:rPr/>
        <w:t>Q10</w:t>
      </w:r>
      <w:r>
        <w:rPr>
          <w:spacing w:val="16"/>
        </w:rPr>
        <w:t> </w:t>
      </w:r>
      <w:r>
        <w:rPr/>
        <w:t>can</w:t>
      </w:r>
      <w:r>
        <w:rPr>
          <w:spacing w:val="18"/>
        </w:rPr>
        <w:t> </w:t>
      </w:r>
      <w:r>
        <w:rPr/>
        <w:t>intervene</w:t>
      </w:r>
      <w:r>
        <w:rPr>
          <w:spacing w:val="16"/>
        </w:rPr>
        <w:t> </w:t>
      </w:r>
      <w:r>
        <w:rPr/>
        <w:t>supportively,</w:t>
      </w:r>
    </w:p>
    <w:p>
      <w:pPr>
        <w:pStyle w:val="BodyText"/>
        <w:rPr>
          <w:sz w:val="20"/>
        </w:rPr>
      </w:pPr>
    </w:p>
    <w:p>
      <w:pPr>
        <w:pStyle w:val="BodyText"/>
        <w:spacing w:before="1"/>
        <w:rPr>
          <w:sz w:val="19"/>
        </w:rPr>
      </w:pPr>
      <w:r>
        <w:rPr/>
        <w:pict>
          <v:line style="position:absolute;mso-position-horizontal-relative:page;mso-position-vertical-relative:paragraph;z-index:9872;mso-wrap-distance-left:0;mso-wrap-distance-right:0" from="70.823997pt,13.121235pt" to="214.843997pt,13.121235pt" stroked="true" strokeweight=".72003pt" strokecolor="#000000">
            <v:stroke dashstyle="solid"/>
            <w10:wrap type="topAndBottom"/>
          </v:line>
        </w:pict>
      </w:r>
    </w:p>
    <w:p>
      <w:pPr>
        <w:pStyle w:val="BodyText"/>
        <w:spacing w:before="7"/>
        <w:rPr>
          <w:sz w:val="18"/>
        </w:rPr>
      </w:pPr>
    </w:p>
    <w:p>
      <w:pPr>
        <w:spacing w:line="276" w:lineRule="auto" w:before="99"/>
        <w:ind w:left="616" w:right="411" w:firstLine="0"/>
        <w:jc w:val="left"/>
        <w:rPr>
          <w:sz w:val="20"/>
        </w:rPr>
      </w:pPr>
      <w:r>
        <w:rPr>
          <w:position w:val="5"/>
          <w:sz w:val="13"/>
        </w:rPr>
        <w:t>744 </w:t>
      </w:r>
      <w:r>
        <w:rPr>
          <w:sz w:val="20"/>
        </w:rPr>
        <w:t>Judy W. V. et al.: Regression of prostate cancer and plasma specific antigens (PSA)in patients on treatment with CoQ10. Boston: 1st Conf. of the Intl. Coenzyme Q10 Assn. 1998, pp. 143</w:t>
      </w:r>
    </w:p>
    <w:p>
      <w:pPr>
        <w:spacing w:after="0" w:line="276" w:lineRule="auto"/>
        <w:jc w:val="left"/>
        <w:rPr>
          <w:sz w:val="20"/>
        </w:rPr>
        <w:sectPr>
          <w:pgSz w:w="14270" w:h="16850"/>
          <w:pgMar w:header="0" w:footer="1891" w:top="1340" w:bottom="2080" w:left="800" w:right="1280"/>
        </w:sectPr>
      </w:pPr>
    </w:p>
    <w:p>
      <w:pPr>
        <w:pStyle w:val="BodyText"/>
        <w:spacing w:line="276" w:lineRule="auto" w:before="72"/>
        <w:ind w:left="616" w:right="139"/>
        <w:jc w:val="both"/>
      </w:pPr>
      <w:r>
        <w:rPr/>
        <w:t>namely as an antioxidant and immune system modulator. To support wound healing after the operation, it is recommended to rely on OPC and Vitamin C several days before the operation (see the sections ‘OPC’ and ‘Vitamin C’).</w:t>
      </w:r>
    </w:p>
    <w:p>
      <w:pPr>
        <w:pStyle w:val="Heading1"/>
        <w:ind w:left="616"/>
        <w:jc w:val="both"/>
      </w:pPr>
      <w:r>
        <w:rPr/>
        <w:t>Q10 as defence against side effects of chemotherapy</w:t>
      </w:r>
    </w:p>
    <w:p>
      <w:pPr>
        <w:pStyle w:val="BodyText"/>
        <w:spacing w:line="276" w:lineRule="auto" w:before="299"/>
        <w:ind w:left="616" w:right="136"/>
        <w:jc w:val="both"/>
      </w:pPr>
      <w:r>
        <w:rPr/>
        <w:t>The promising studies which support the efficiency of coenzyme Q10 speak significantly in favour of supplementation with Q10 during cancer, with re- spect to the fact that, even at high doses, Q10 has shown no side effects at all in countless studies.</w:t>
      </w:r>
    </w:p>
    <w:p>
      <w:pPr>
        <w:pStyle w:val="BodyText"/>
        <w:spacing w:line="276" w:lineRule="auto" w:before="242"/>
        <w:ind w:left="616" w:right="138"/>
        <w:jc w:val="both"/>
      </w:pPr>
      <w:r>
        <w:rPr/>
        <w:t>If you are being treated with chemotherapy, another positive quality of coen- zyme Q10 becomes relevant, namely the protection from side effects.</w:t>
      </w:r>
    </w:p>
    <w:p>
      <w:pPr>
        <w:pStyle w:val="BodyText"/>
        <w:spacing w:line="276" w:lineRule="auto" w:before="238"/>
        <w:ind w:left="616" w:right="133"/>
        <w:jc w:val="both"/>
        <w:rPr>
          <w:sz w:val="25"/>
        </w:rPr>
      </w:pPr>
      <w:r>
        <w:rPr/>
        <w:t>As Iarussi et al. impressively showed in their study of 20 children with non- Hodgkin’s lymphoma and lymphoblastic leukaemia, the Q10 group (10 chil- dren who were administered 240 mg of ubiquinone) was protected against</w:t>
      </w:r>
      <w:r>
        <w:rPr>
          <w:spacing w:val="-55"/>
        </w:rPr>
        <w:t> </w:t>
      </w:r>
      <w:r>
        <w:rPr/>
        <w:t>the cardiotoxic side effects of the chemotherapy ‘antracyclin’.</w:t>
      </w:r>
      <w:r>
        <w:rPr>
          <w:position w:val="9"/>
          <w:sz w:val="25"/>
        </w:rPr>
        <w:t>745</w:t>
      </w:r>
    </w:p>
    <w:p>
      <w:pPr>
        <w:pStyle w:val="BodyText"/>
        <w:spacing w:line="276" w:lineRule="auto" w:before="242"/>
        <w:ind w:left="616" w:right="137"/>
        <w:jc w:val="both"/>
        <w:rPr>
          <w:sz w:val="25"/>
        </w:rPr>
      </w:pPr>
      <w:r>
        <w:rPr/>
        <w:t>In animal studies, Valls et al. demonstrated a protective effect of coenzyme Q10 against the typical damage caused by the cytostatic drug ‘adriamycin’, which</w:t>
      </w:r>
      <w:r>
        <w:rPr>
          <w:spacing w:val="-26"/>
        </w:rPr>
        <w:t> </w:t>
      </w:r>
      <w:r>
        <w:rPr/>
        <w:t>the</w:t>
      </w:r>
      <w:r>
        <w:rPr>
          <w:spacing w:val="-25"/>
        </w:rPr>
        <w:t> </w:t>
      </w:r>
      <w:r>
        <w:rPr/>
        <w:t>researchers</w:t>
      </w:r>
      <w:r>
        <w:rPr>
          <w:spacing w:val="-26"/>
        </w:rPr>
        <w:t> </w:t>
      </w:r>
      <w:r>
        <w:rPr/>
        <w:t>attributed</w:t>
      </w:r>
      <w:r>
        <w:rPr>
          <w:spacing w:val="-27"/>
        </w:rPr>
        <w:t> </w:t>
      </w:r>
      <w:r>
        <w:rPr/>
        <w:t>to</w:t>
      </w:r>
      <w:r>
        <w:rPr>
          <w:spacing w:val="-25"/>
        </w:rPr>
        <w:t> </w:t>
      </w:r>
      <w:r>
        <w:rPr/>
        <w:t>the</w:t>
      </w:r>
      <w:r>
        <w:rPr>
          <w:spacing w:val="-26"/>
        </w:rPr>
        <w:t> </w:t>
      </w:r>
      <w:r>
        <w:rPr/>
        <w:t>capture</w:t>
      </w:r>
      <w:r>
        <w:rPr>
          <w:spacing w:val="-25"/>
        </w:rPr>
        <w:t> </w:t>
      </w:r>
      <w:r>
        <w:rPr/>
        <w:t>of</w:t>
      </w:r>
      <w:r>
        <w:rPr>
          <w:spacing w:val="-26"/>
        </w:rPr>
        <w:t> </w:t>
      </w:r>
      <w:r>
        <w:rPr/>
        <w:t>free</w:t>
      </w:r>
      <w:r>
        <w:rPr>
          <w:spacing w:val="-26"/>
        </w:rPr>
        <w:t> </w:t>
      </w:r>
      <w:r>
        <w:rPr/>
        <w:t>radicals</w:t>
      </w:r>
      <w:r>
        <w:rPr>
          <w:spacing w:val="-26"/>
        </w:rPr>
        <w:t> </w:t>
      </w:r>
      <w:r>
        <w:rPr/>
        <w:t>in</w:t>
      </w:r>
      <w:r>
        <w:rPr>
          <w:spacing w:val="-26"/>
        </w:rPr>
        <w:t> </w:t>
      </w:r>
      <w:r>
        <w:rPr/>
        <w:t>the</w:t>
      </w:r>
      <w:r>
        <w:rPr>
          <w:spacing w:val="-26"/>
        </w:rPr>
        <w:t> </w:t>
      </w:r>
      <w:r>
        <w:rPr/>
        <w:t>membrane of mitochondria via</w:t>
      </w:r>
      <w:r>
        <w:rPr>
          <w:spacing w:val="-1"/>
        </w:rPr>
        <w:t> </w:t>
      </w:r>
      <w:r>
        <w:rPr/>
        <w:t>Q10.</w:t>
      </w:r>
      <w:r>
        <w:rPr>
          <w:position w:val="9"/>
          <w:sz w:val="25"/>
        </w:rPr>
        <w:t>746</w:t>
      </w:r>
    </w:p>
    <w:p>
      <w:pPr>
        <w:pStyle w:val="Heading1"/>
        <w:spacing w:before="181"/>
        <w:ind w:left="616"/>
        <w:jc w:val="both"/>
      </w:pPr>
      <w:r>
        <w:rPr/>
        <w:t>Q10 as Defence during Radiotherapy and Hyperthermia</w:t>
      </w:r>
    </w:p>
    <w:p>
      <w:pPr>
        <w:pStyle w:val="BodyText"/>
        <w:spacing w:before="300"/>
        <w:ind w:left="616"/>
        <w:jc w:val="both"/>
      </w:pPr>
      <w:r>
        <w:rPr/>
        <w:t>It is no secret that radiation therapy can paradoxically produce cancer due to</w:t>
      </w:r>
    </w:p>
    <w:p>
      <w:pPr>
        <w:pStyle w:val="BodyText"/>
        <w:spacing w:before="4"/>
        <w:rPr>
          <w:sz w:val="26"/>
        </w:rPr>
      </w:pPr>
      <w:r>
        <w:rPr/>
        <w:pict>
          <v:line style="position:absolute;mso-position-horizontal-relative:page;mso-position-vertical-relative:paragraph;z-index:9896;mso-wrap-distance-left:0;mso-wrap-distance-right:0" from="70.823997pt,17.223764pt" to="214.843997pt,17.223764pt" stroked="true" strokeweight=".71997pt" strokecolor="#000000">
            <v:stroke dashstyle="solid"/>
            <w10:wrap type="topAndBottom"/>
          </v:line>
        </w:pict>
      </w:r>
    </w:p>
    <w:p>
      <w:pPr>
        <w:pStyle w:val="BodyText"/>
        <w:spacing w:before="7"/>
        <w:rPr>
          <w:sz w:val="18"/>
        </w:rPr>
      </w:pPr>
    </w:p>
    <w:p>
      <w:pPr>
        <w:spacing w:line="276" w:lineRule="auto" w:before="99"/>
        <w:ind w:left="616" w:right="244" w:firstLine="0"/>
        <w:jc w:val="left"/>
        <w:rPr>
          <w:sz w:val="20"/>
        </w:rPr>
      </w:pPr>
      <w:r>
        <w:rPr>
          <w:position w:val="5"/>
          <w:sz w:val="13"/>
        </w:rPr>
        <w:t>745 </w:t>
      </w:r>
      <w:r>
        <w:rPr>
          <w:sz w:val="20"/>
        </w:rPr>
        <w:t>Iarussi D. et al.: Protective effect of Coenzym Q10 on anthracyclines cardiotoxicity: Control study in children with acute lymphoblastic leukae- mia and non-hodgkin-lymphoma. Molec. Aspects Med: 1994, 15, pp. 207–212</w:t>
      </w:r>
    </w:p>
    <w:p>
      <w:pPr>
        <w:spacing w:line="276" w:lineRule="auto" w:before="61"/>
        <w:ind w:left="616" w:right="244" w:firstLine="0"/>
        <w:jc w:val="left"/>
        <w:rPr>
          <w:sz w:val="20"/>
        </w:rPr>
      </w:pPr>
      <w:r>
        <w:rPr/>
        <w:drawing>
          <wp:anchor distT="0" distB="0" distL="0" distR="0" allowOverlap="1" layoutInCell="1" locked="0" behindDoc="1" simplePos="0" relativeHeight="267177695">
            <wp:simplePos x="0" y="0"/>
            <wp:positionH relativeFrom="page">
              <wp:posOffset>985998</wp:posOffset>
            </wp:positionH>
            <wp:positionV relativeFrom="paragraph">
              <wp:posOffset>82907</wp:posOffset>
            </wp:positionV>
            <wp:extent cx="6379583" cy="902106"/>
            <wp:effectExtent l="0" t="0" r="0" b="0"/>
            <wp:wrapNone/>
            <wp:docPr id="499" name="image2.jpeg" descr=""/>
            <wp:cNvGraphicFramePr>
              <a:graphicFrameLocks noChangeAspect="1"/>
            </wp:cNvGraphicFramePr>
            <a:graphic>
              <a:graphicData uri="http://schemas.openxmlformats.org/drawingml/2006/picture">
                <pic:pic>
                  <pic:nvPicPr>
                    <pic:cNvPr id="500"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746 </w:t>
      </w:r>
      <w:r>
        <w:rPr>
          <w:sz w:val="20"/>
        </w:rPr>
        <w:t>Valls V. et al.: Protective effect of exogenous coenzyme Q against damage by Adriamycin in perfused rat liver. Biochem. Biomol. Biol. Int., 1994, 33, 4, pp. 633–642</w:t>
      </w:r>
    </w:p>
    <w:p>
      <w:pPr>
        <w:spacing w:after="0" w:line="276" w:lineRule="auto"/>
        <w:jc w:val="left"/>
        <w:rPr>
          <w:sz w:val="20"/>
        </w:rPr>
        <w:sectPr>
          <w:footerReference w:type="default" r:id="rId316"/>
          <w:pgSz w:w="14270" w:h="16850"/>
          <w:pgMar w:footer="527" w:header="0" w:top="1340" w:bottom="720" w:left="800" w:right="1280"/>
        </w:sectPr>
      </w:pPr>
    </w:p>
    <w:p>
      <w:pPr>
        <w:pStyle w:val="BodyText"/>
        <w:spacing w:before="74"/>
        <w:ind w:left="616"/>
      </w:pPr>
      <w:r>
        <w:rPr/>
        <w:t>increased radical formation, which can lead to cell mutation. Hyperthermia</w:t>
      </w:r>
    </w:p>
    <w:p>
      <w:pPr>
        <w:pStyle w:val="BodyText"/>
        <w:spacing w:line="276" w:lineRule="auto" w:before="305"/>
        <w:ind w:left="616" w:right="135"/>
        <w:jc w:val="both"/>
      </w:pPr>
      <w:r>
        <w:rPr/>
        <w:t>Here,</w:t>
      </w:r>
      <w:r>
        <w:rPr>
          <w:spacing w:val="-9"/>
        </w:rPr>
        <w:t> </w:t>
      </w:r>
      <w:r>
        <w:rPr/>
        <w:t>Q10</w:t>
      </w:r>
      <w:r>
        <w:rPr>
          <w:spacing w:val="-10"/>
        </w:rPr>
        <w:t> </w:t>
      </w:r>
      <w:r>
        <w:rPr/>
        <w:t>can</w:t>
      </w:r>
      <w:r>
        <w:rPr>
          <w:spacing w:val="-8"/>
        </w:rPr>
        <w:t> </w:t>
      </w:r>
      <w:r>
        <w:rPr/>
        <w:t>preventatively</w:t>
      </w:r>
      <w:r>
        <w:rPr>
          <w:spacing w:val="-10"/>
        </w:rPr>
        <w:t> </w:t>
      </w:r>
      <w:r>
        <w:rPr/>
        <w:t>intervene</w:t>
      </w:r>
      <w:r>
        <w:rPr>
          <w:spacing w:val="-9"/>
        </w:rPr>
        <w:t> </w:t>
      </w:r>
      <w:r>
        <w:rPr/>
        <w:t>as</w:t>
      </w:r>
      <w:r>
        <w:rPr>
          <w:spacing w:val="-10"/>
        </w:rPr>
        <w:t> </w:t>
      </w:r>
      <w:r>
        <w:rPr/>
        <w:t>a</w:t>
      </w:r>
      <w:r>
        <w:rPr>
          <w:spacing w:val="-10"/>
        </w:rPr>
        <w:t> </w:t>
      </w:r>
      <w:r>
        <w:rPr/>
        <w:t>valuable</w:t>
      </w:r>
      <w:r>
        <w:rPr>
          <w:spacing w:val="-9"/>
        </w:rPr>
        <w:t> </w:t>
      </w:r>
      <w:r>
        <w:rPr/>
        <w:t>antioxidant.</w:t>
      </w:r>
      <w:r>
        <w:rPr>
          <w:spacing w:val="-9"/>
        </w:rPr>
        <w:t> </w:t>
      </w:r>
      <w:r>
        <w:rPr/>
        <w:t>With</w:t>
      </w:r>
      <w:r>
        <w:rPr>
          <w:spacing w:val="-9"/>
        </w:rPr>
        <w:t> </w:t>
      </w:r>
      <w:r>
        <w:rPr/>
        <w:t>respect to its high positive potential, the question does not even arise, considering</w:t>
      </w:r>
      <w:r>
        <w:rPr>
          <w:spacing w:val="-42"/>
        </w:rPr>
        <w:t> </w:t>
      </w:r>
      <w:r>
        <w:rPr/>
        <w:t>the lack of side effects, whether to take Q10 therapeutically or preventatively in the event of cancer – even for the prevention of other</w:t>
      </w:r>
      <w:r>
        <w:rPr>
          <w:spacing w:val="-5"/>
        </w:rPr>
        <w:t> </w:t>
      </w:r>
      <w:r>
        <w:rPr/>
        <w:t>illnesses.</w:t>
      </w:r>
    </w:p>
    <w:p>
      <w:pPr>
        <w:pStyle w:val="Heading1"/>
        <w:spacing w:before="222"/>
        <w:ind w:left="616"/>
        <w:jc w:val="both"/>
      </w:pPr>
      <w:r>
        <w:rPr/>
        <w:t>Summary of the effects of Q10 on</w:t>
      </w:r>
      <w:r>
        <w:rPr>
          <w:spacing w:val="-74"/>
        </w:rPr>
        <w:t> </w:t>
      </w:r>
      <w:r>
        <w:rPr/>
        <w:t>cancer:</w:t>
      </w:r>
    </w:p>
    <w:p>
      <w:pPr>
        <w:pStyle w:val="BodyText"/>
        <w:spacing w:before="3"/>
        <w:rPr>
          <w:b/>
          <w:i/>
          <w:sz w:val="23"/>
        </w:r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39"/>
      </w:tblGrid>
      <w:tr>
        <w:trPr>
          <w:trHeight w:val="1423" w:hRule="atLeast"/>
        </w:trPr>
        <w:tc>
          <w:tcPr>
            <w:tcW w:w="6039" w:type="dxa"/>
            <w:shd w:val="clear" w:color="auto" w:fill="FFCC99"/>
          </w:tcPr>
          <w:p>
            <w:pPr>
              <w:pStyle w:val="TableParagraph"/>
              <w:spacing w:line="278" w:lineRule="auto" w:before="237"/>
              <w:ind w:left="71" w:right="657"/>
              <w:rPr>
                <w:b/>
                <w:sz w:val="38"/>
              </w:rPr>
            </w:pPr>
            <w:r>
              <w:rPr>
                <w:b/>
                <w:sz w:val="38"/>
              </w:rPr>
              <w:t>POSTIVE EFFECT OF COEN- ZYME Q10 ON CANCER</w:t>
            </w:r>
          </w:p>
        </w:tc>
      </w:tr>
      <w:tr>
        <w:trPr>
          <w:trHeight w:val="1422" w:hRule="atLeast"/>
        </w:trPr>
        <w:tc>
          <w:tcPr>
            <w:tcW w:w="6039" w:type="dxa"/>
            <w:shd w:val="clear" w:color="auto" w:fill="FFCC99"/>
          </w:tcPr>
          <w:p>
            <w:pPr>
              <w:pStyle w:val="TableParagraph"/>
              <w:spacing w:line="278" w:lineRule="auto" w:before="236"/>
              <w:ind w:left="71" w:right="144"/>
              <w:rPr>
                <w:sz w:val="38"/>
              </w:rPr>
            </w:pPr>
            <w:r>
              <w:rPr>
                <w:sz w:val="38"/>
              </w:rPr>
              <w:t>Q10 improves the cell-to-cell commu- nication which is interrupted by cancer.</w:t>
            </w:r>
          </w:p>
        </w:tc>
      </w:tr>
      <w:tr>
        <w:trPr>
          <w:trHeight w:val="1423" w:hRule="atLeast"/>
        </w:trPr>
        <w:tc>
          <w:tcPr>
            <w:tcW w:w="6039" w:type="dxa"/>
            <w:shd w:val="clear" w:color="auto" w:fill="FFCC99"/>
          </w:tcPr>
          <w:p>
            <w:pPr>
              <w:pStyle w:val="TableParagraph"/>
              <w:spacing w:line="278" w:lineRule="auto" w:before="236"/>
              <w:ind w:left="71" w:right="49"/>
              <w:rPr>
                <w:sz w:val="38"/>
              </w:rPr>
            </w:pPr>
            <w:r>
              <w:rPr>
                <w:sz w:val="38"/>
              </w:rPr>
              <w:t>Q10 strengthens the cancer-fighting im- mune system.</w:t>
            </w:r>
          </w:p>
        </w:tc>
      </w:tr>
      <w:tr>
        <w:trPr>
          <w:trHeight w:val="1425" w:hRule="atLeast"/>
        </w:trPr>
        <w:tc>
          <w:tcPr>
            <w:tcW w:w="6039" w:type="dxa"/>
            <w:shd w:val="clear" w:color="auto" w:fill="FFCC99"/>
          </w:tcPr>
          <w:p>
            <w:pPr>
              <w:pStyle w:val="TableParagraph"/>
              <w:spacing w:line="276" w:lineRule="auto" w:before="238"/>
              <w:ind w:left="71" w:right="144"/>
              <w:rPr>
                <w:sz w:val="38"/>
              </w:rPr>
            </w:pPr>
            <w:r>
              <w:rPr>
                <w:sz w:val="38"/>
              </w:rPr>
              <w:t>Q10 neutralises free radicals, which are also considered a cause of cancer.</w:t>
            </w:r>
          </w:p>
        </w:tc>
      </w:tr>
      <w:tr>
        <w:trPr>
          <w:trHeight w:val="1423" w:hRule="atLeast"/>
        </w:trPr>
        <w:tc>
          <w:tcPr>
            <w:tcW w:w="6039" w:type="dxa"/>
            <w:shd w:val="clear" w:color="auto" w:fill="FFCC99"/>
          </w:tcPr>
          <w:p>
            <w:pPr>
              <w:pStyle w:val="TableParagraph"/>
              <w:spacing w:line="278" w:lineRule="auto" w:before="236"/>
              <w:ind w:left="71" w:right="148"/>
              <w:rPr>
                <w:sz w:val="38"/>
              </w:rPr>
            </w:pPr>
            <w:r>
              <w:rPr>
                <w:sz w:val="38"/>
              </w:rPr>
              <w:t>Q10 fortifies the positive effect of con- ventional cancer medications.</w:t>
            </w:r>
          </w:p>
        </w:tc>
      </w:tr>
      <w:tr>
        <w:trPr>
          <w:trHeight w:val="731" w:hRule="atLeast"/>
        </w:trPr>
        <w:tc>
          <w:tcPr>
            <w:tcW w:w="6039" w:type="dxa"/>
            <w:shd w:val="clear" w:color="auto" w:fill="FFCC99"/>
          </w:tcPr>
          <w:p>
            <w:pPr>
              <w:pStyle w:val="TableParagraph"/>
              <w:spacing w:before="236"/>
              <w:ind w:left="71"/>
              <w:rPr>
                <w:sz w:val="38"/>
              </w:rPr>
            </w:pPr>
            <w:r>
              <w:rPr>
                <w:sz w:val="38"/>
              </w:rPr>
              <w:t>Q10 minimises the severe side effects</w:t>
            </w:r>
          </w:p>
        </w:tc>
      </w:tr>
    </w:tbl>
    <w:p>
      <w:pPr>
        <w:spacing w:after="0"/>
        <w:rPr>
          <w:sz w:val="38"/>
        </w:rPr>
        <w:sectPr>
          <w:footerReference w:type="default" r:id="rId317"/>
          <w:pgSz w:w="14270" w:h="16850"/>
          <w:pgMar w:footer="1891" w:header="0" w:top="1340" w:bottom="2080" w:left="800" w:right="1280"/>
          <w:pgNumType w:start="1330"/>
        </w:sectPr>
      </w:pPr>
    </w:p>
    <w:p>
      <w:pPr>
        <w:pStyle w:val="BodyText"/>
        <w:ind w:left="616"/>
        <w:rPr>
          <w:sz w:val="20"/>
        </w:rPr>
      </w:pPr>
      <w:r>
        <w:rPr>
          <w:sz w:val="20"/>
        </w:rPr>
        <w:pict>
          <v:shape style="width:302pt;height:35.2pt;mso-position-horizontal-relative:char;mso-position-vertical-relative:line" type="#_x0000_t202" filled="true" fillcolor="#ffcc99" stroked="true" strokeweight=".48001pt" strokecolor="#000000">
            <w10:anchorlock/>
            <v:textbox inset="0,0,0,0">
              <w:txbxContent>
                <w:p>
                  <w:pPr>
                    <w:pStyle w:val="BodyText"/>
                    <w:spacing w:before="1"/>
                    <w:ind w:left="67"/>
                  </w:pPr>
                  <w:r>
                    <w:rPr/>
                    <w:t>of chemotherapy, radiation, etc.</w:t>
                  </w:r>
                </w:p>
              </w:txbxContent>
            </v:textbox>
            <v:fill type="solid"/>
            <v:stroke dashstyle="solid"/>
          </v:shape>
        </w:pict>
      </w:r>
      <w:r>
        <w:rPr>
          <w:sz w:val="20"/>
        </w:rPr>
      </w:r>
    </w:p>
    <w:p>
      <w:pPr>
        <w:pStyle w:val="BodyText"/>
        <w:spacing w:before="6"/>
        <w:rPr>
          <w:b/>
          <w:i/>
          <w:sz w:val="7"/>
        </w:rPr>
      </w:pPr>
    </w:p>
    <w:p>
      <w:pPr>
        <w:spacing w:before="100"/>
        <w:ind w:left="616" w:right="0" w:firstLine="0"/>
        <w:jc w:val="left"/>
        <w:rPr>
          <w:b/>
          <w:i/>
          <w:sz w:val="40"/>
        </w:rPr>
      </w:pPr>
      <w:r>
        <w:rPr>
          <w:b/>
          <w:i/>
          <w:sz w:val="40"/>
        </w:rPr>
        <w:t>Q10 as prevention against AIDS and therapy supplement with HIV</w:t>
      </w:r>
    </w:p>
    <w:p>
      <w:pPr>
        <w:pStyle w:val="BodyText"/>
        <w:spacing w:line="278" w:lineRule="auto" w:before="296"/>
        <w:ind w:left="616"/>
      </w:pPr>
      <w:r>
        <w:rPr/>
        <w:t>As is to be expected, the HIV virus leads to a low Q10 level in the body. Q10 levels, differentiated into three groups, are as follows:</w:t>
      </w:r>
    </w:p>
    <w:p>
      <w:pPr>
        <w:pStyle w:val="BodyText"/>
        <w:spacing w:before="4"/>
        <w:rPr>
          <w:sz w:val="17"/>
        </w:r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1"/>
        <w:gridCol w:w="2088"/>
        <w:gridCol w:w="2059"/>
      </w:tblGrid>
      <w:tr>
        <w:trPr>
          <w:trHeight w:val="1423" w:hRule="atLeast"/>
        </w:trPr>
        <w:tc>
          <w:tcPr>
            <w:tcW w:w="6038" w:type="dxa"/>
            <w:gridSpan w:val="3"/>
            <w:shd w:val="clear" w:color="auto" w:fill="FFFF99"/>
          </w:tcPr>
          <w:p>
            <w:pPr>
              <w:pStyle w:val="TableParagraph"/>
              <w:spacing w:line="278" w:lineRule="auto" w:before="236"/>
              <w:ind w:left="71" w:right="58"/>
              <w:rPr>
                <w:b/>
                <w:sz w:val="38"/>
              </w:rPr>
            </w:pPr>
            <w:r>
              <w:rPr>
                <w:b/>
                <w:sz w:val="38"/>
              </w:rPr>
              <w:t>Coenzyme</w:t>
            </w:r>
            <w:r>
              <w:rPr>
                <w:b/>
                <w:spacing w:val="-24"/>
                <w:sz w:val="38"/>
              </w:rPr>
              <w:t> </w:t>
            </w:r>
            <w:r>
              <w:rPr>
                <w:b/>
                <w:sz w:val="38"/>
              </w:rPr>
              <w:t>Q10</w:t>
            </w:r>
            <w:r>
              <w:rPr>
                <w:b/>
                <w:spacing w:val="-20"/>
                <w:sz w:val="38"/>
              </w:rPr>
              <w:t> </w:t>
            </w:r>
            <w:r>
              <w:rPr>
                <w:b/>
                <w:sz w:val="38"/>
              </w:rPr>
              <w:t>Level</w:t>
            </w:r>
            <w:r>
              <w:rPr>
                <w:b/>
                <w:spacing w:val="-20"/>
                <w:sz w:val="38"/>
              </w:rPr>
              <w:t> </w:t>
            </w:r>
            <w:r>
              <w:rPr>
                <w:b/>
                <w:sz w:val="38"/>
              </w:rPr>
              <w:t>in</w:t>
            </w:r>
            <w:r>
              <w:rPr>
                <w:b/>
                <w:spacing w:val="-24"/>
                <w:sz w:val="38"/>
              </w:rPr>
              <w:t> </w:t>
            </w:r>
            <w:r>
              <w:rPr>
                <w:b/>
                <w:sz w:val="38"/>
              </w:rPr>
              <w:t>the</w:t>
            </w:r>
            <w:r>
              <w:rPr>
                <w:b/>
                <w:spacing w:val="-23"/>
                <w:sz w:val="38"/>
              </w:rPr>
              <w:t> </w:t>
            </w:r>
            <w:r>
              <w:rPr>
                <w:b/>
                <w:sz w:val="38"/>
              </w:rPr>
              <w:t>Bodies</w:t>
            </w:r>
            <w:r>
              <w:rPr>
                <w:b/>
                <w:spacing w:val="-22"/>
                <w:sz w:val="38"/>
              </w:rPr>
              <w:t> </w:t>
            </w:r>
            <w:r>
              <w:rPr>
                <w:b/>
                <w:sz w:val="38"/>
              </w:rPr>
              <w:t>of HIV-infected</w:t>
            </w:r>
            <w:r>
              <w:rPr>
                <w:b/>
                <w:spacing w:val="1"/>
                <w:sz w:val="38"/>
              </w:rPr>
              <w:t> </w:t>
            </w:r>
            <w:r>
              <w:rPr>
                <w:b/>
                <w:sz w:val="38"/>
              </w:rPr>
              <w:t>Persons</w:t>
            </w:r>
          </w:p>
        </w:tc>
      </w:tr>
      <w:tr>
        <w:trPr>
          <w:trHeight w:val="1914" w:hRule="atLeast"/>
        </w:trPr>
        <w:tc>
          <w:tcPr>
            <w:tcW w:w="1891" w:type="dxa"/>
            <w:shd w:val="clear" w:color="auto" w:fill="FFFF99"/>
          </w:tcPr>
          <w:p>
            <w:pPr>
              <w:pStyle w:val="TableParagraph"/>
              <w:spacing w:before="238"/>
              <w:ind w:right="298"/>
              <w:jc w:val="right"/>
              <w:rPr>
                <w:sz w:val="38"/>
              </w:rPr>
            </w:pPr>
            <w:r>
              <w:rPr>
                <w:sz w:val="38"/>
              </w:rPr>
              <w:t>Group 1</w:t>
            </w:r>
          </w:p>
        </w:tc>
        <w:tc>
          <w:tcPr>
            <w:tcW w:w="2088" w:type="dxa"/>
            <w:shd w:val="clear" w:color="auto" w:fill="FFFF99"/>
          </w:tcPr>
          <w:p>
            <w:pPr>
              <w:pStyle w:val="TableParagraph"/>
              <w:spacing w:before="236"/>
              <w:ind w:left="446"/>
              <w:rPr>
                <w:sz w:val="38"/>
              </w:rPr>
            </w:pPr>
            <w:r>
              <w:rPr>
                <w:sz w:val="38"/>
              </w:rPr>
              <w:t>HIV-in-</w:t>
            </w:r>
          </w:p>
          <w:p>
            <w:pPr>
              <w:pStyle w:val="TableParagraph"/>
              <w:spacing w:line="278" w:lineRule="auto" w:before="65"/>
              <w:ind w:left="176" w:right="163"/>
              <w:jc w:val="center"/>
              <w:rPr>
                <w:sz w:val="38"/>
              </w:rPr>
            </w:pPr>
            <w:r>
              <w:rPr>
                <w:sz w:val="38"/>
              </w:rPr>
              <w:t>fected per- son</w:t>
            </w:r>
          </w:p>
        </w:tc>
        <w:tc>
          <w:tcPr>
            <w:tcW w:w="2059" w:type="dxa"/>
            <w:shd w:val="clear" w:color="auto" w:fill="FFFF99"/>
          </w:tcPr>
          <w:p>
            <w:pPr>
              <w:pStyle w:val="TableParagraph"/>
              <w:spacing w:line="276" w:lineRule="auto" w:before="236"/>
              <w:ind w:left="113" w:right="99"/>
              <w:jc w:val="center"/>
              <w:rPr>
                <w:sz w:val="38"/>
              </w:rPr>
            </w:pPr>
            <w:r>
              <w:rPr>
                <w:sz w:val="38"/>
              </w:rPr>
              <w:t>Q10 level in healthy per- sons</w:t>
            </w:r>
          </w:p>
        </w:tc>
      </w:tr>
      <w:tr>
        <w:trPr>
          <w:trHeight w:val="697" w:hRule="atLeast"/>
        </w:trPr>
        <w:tc>
          <w:tcPr>
            <w:tcW w:w="1891" w:type="dxa"/>
            <w:tcBorders>
              <w:bottom w:val="nil"/>
            </w:tcBorders>
            <w:shd w:val="clear" w:color="auto" w:fill="FFFF99"/>
          </w:tcPr>
          <w:p>
            <w:pPr>
              <w:pStyle w:val="TableParagraph"/>
              <w:spacing w:before="238"/>
              <w:ind w:right="298"/>
              <w:jc w:val="right"/>
              <w:rPr>
                <w:sz w:val="38"/>
              </w:rPr>
            </w:pPr>
            <w:r>
              <w:rPr>
                <w:sz w:val="38"/>
              </w:rPr>
              <w:t>Group 2</w:t>
            </w:r>
          </w:p>
        </w:tc>
        <w:tc>
          <w:tcPr>
            <w:tcW w:w="2088" w:type="dxa"/>
            <w:tcBorders>
              <w:bottom w:val="nil"/>
            </w:tcBorders>
            <w:shd w:val="clear" w:color="auto" w:fill="FFFF99"/>
          </w:tcPr>
          <w:p>
            <w:pPr>
              <w:pStyle w:val="TableParagraph"/>
              <w:spacing w:before="236"/>
              <w:ind w:left="176" w:right="163"/>
              <w:jc w:val="center"/>
              <w:rPr>
                <w:sz w:val="38"/>
              </w:rPr>
            </w:pPr>
            <w:r>
              <w:rPr>
                <w:sz w:val="38"/>
              </w:rPr>
              <w:t>HIV-in-</w:t>
            </w:r>
          </w:p>
        </w:tc>
        <w:tc>
          <w:tcPr>
            <w:tcW w:w="2059" w:type="dxa"/>
            <w:tcBorders>
              <w:bottom w:val="nil"/>
            </w:tcBorders>
            <w:shd w:val="clear" w:color="auto" w:fill="FFFF99"/>
          </w:tcPr>
          <w:p>
            <w:pPr>
              <w:pStyle w:val="TableParagraph"/>
              <w:spacing w:before="236"/>
              <w:ind w:left="113" w:right="103"/>
              <w:jc w:val="center"/>
              <w:rPr>
                <w:sz w:val="38"/>
              </w:rPr>
            </w:pPr>
            <w:r>
              <w:rPr>
                <w:sz w:val="38"/>
              </w:rPr>
              <w:t>Significantly</w:t>
            </w:r>
          </w:p>
        </w:tc>
      </w:tr>
      <w:tr>
        <w:trPr>
          <w:trHeight w:val="490" w:hRule="atLeast"/>
        </w:trPr>
        <w:tc>
          <w:tcPr>
            <w:tcW w:w="1891" w:type="dxa"/>
            <w:tcBorders>
              <w:top w:val="nil"/>
              <w:bottom w:val="nil"/>
            </w:tcBorders>
            <w:shd w:val="clear" w:color="auto" w:fill="FFFF99"/>
          </w:tcPr>
          <w:p>
            <w:pPr>
              <w:pStyle w:val="TableParagraph"/>
              <w:rPr>
                <w:rFonts w:ascii="Times New Roman"/>
                <w:sz w:val="36"/>
              </w:rPr>
            </w:pPr>
          </w:p>
        </w:tc>
        <w:tc>
          <w:tcPr>
            <w:tcW w:w="2088" w:type="dxa"/>
            <w:tcBorders>
              <w:top w:val="nil"/>
              <w:bottom w:val="nil"/>
            </w:tcBorders>
            <w:shd w:val="clear" w:color="auto" w:fill="FFFF99"/>
          </w:tcPr>
          <w:p>
            <w:pPr>
              <w:pStyle w:val="TableParagraph"/>
              <w:spacing w:before="31"/>
              <w:ind w:left="174" w:right="163"/>
              <w:jc w:val="center"/>
              <w:rPr>
                <w:sz w:val="38"/>
              </w:rPr>
            </w:pPr>
            <w:r>
              <w:rPr>
                <w:sz w:val="38"/>
              </w:rPr>
              <w:t>fected per-</w:t>
            </w:r>
          </w:p>
        </w:tc>
        <w:tc>
          <w:tcPr>
            <w:tcW w:w="2059" w:type="dxa"/>
            <w:tcBorders>
              <w:top w:val="nil"/>
              <w:bottom w:val="nil"/>
            </w:tcBorders>
            <w:shd w:val="clear" w:color="auto" w:fill="FFFF99"/>
          </w:tcPr>
          <w:p>
            <w:pPr>
              <w:pStyle w:val="TableParagraph"/>
              <w:spacing w:before="31"/>
              <w:ind w:left="113" w:right="100"/>
              <w:jc w:val="center"/>
              <w:rPr>
                <w:sz w:val="38"/>
              </w:rPr>
            </w:pPr>
            <w:r>
              <w:rPr>
                <w:sz w:val="38"/>
              </w:rPr>
              <w:t>lower Q10</w:t>
            </w:r>
          </w:p>
        </w:tc>
      </w:tr>
      <w:tr>
        <w:trPr>
          <w:trHeight w:val="493" w:hRule="atLeast"/>
        </w:trPr>
        <w:tc>
          <w:tcPr>
            <w:tcW w:w="1891" w:type="dxa"/>
            <w:tcBorders>
              <w:top w:val="nil"/>
              <w:bottom w:val="nil"/>
            </w:tcBorders>
            <w:shd w:val="clear" w:color="auto" w:fill="FFFF99"/>
          </w:tcPr>
          <w:p>
            <w:pPr>
              <w:pStyle w:val="TableParagraph"/>
              <w:rPr>
                <w:rFonts w:ascii="Times New Roman"/>
                <w:sz w:val="36"/>
              </w:rPr>
            </w:pPr>
          </w:p>
        </w:tc>
        <w:tc>
          <w:tcPr>
            <w:tcW w:w="2088" w:type="dxa"/>
            <w:tcBorders>
              <w:top w:val="nil"/>
              <w:bottom w:val="nil"/>
            </w:tcBorders>
            <w:shd w:val="clear" w:color="auto" w:fill="FFFF99"/>
          </w:tcPr>
          <w:p>
            <w:pPr>
              <w:pStyle w:val="TableParagraph"/>
              <w:spacing w:before="32"/>
              <w:ind w:left="173" w:right="163"/>
              <w:jc w:val="center"/>
              <w:rPr>
                <w:sz w:val="38"/>
              </w:rPr>
            </w:pPr>
            <w:r>
              <w:rPr>
                <w:sz w:val="38"/>
              </w:rPr>
              <w:t>sons in the</w:t>
            </w:r>
          </w:p>
        </w:tc>
        <w:tc>
          <w:tcPr>
            <w:tcW w:w="2059" w:type="dxa"/>
            <w:tcBorders>
              <w:top w:val="nil"/>
              <w:bottom w:val="nil"/>
            </w:tcBorders>
            <w:shd w:val="clear" w:color="auto" w:fill="FFFF99"/>
          </w:tcPr>
          <w:p>
            <w:pPr>
              <w:pStyle w:val="TableParagraph"/>
              <w:spacing w:before="34"/>
              <w:ind w:left="113" w:right="102"/>
              <w:jc w:val="center"/>
              <w:rPr>
                <w:sz w:val="38"/>
              </w:rPr>
            </w:pPr>
            <w:r>
              <w:rPr>
                <w:sz w:val="38"/>
              </w:rPr>
              <w:t>level</w:t>
            </w:r>
          </w:p>
        </w:tc>
      </w:tr>
      <w:tr>
        <w:trPr>
          <w:trHeight w:val="490" w:hRule="atLeast"/>
        </w:trPr>
        <w:tc>
          <w:tcPr>
            <w:tcW w:w="1891" w:type="dxa"/>
            <w:tcBorders>
              <w:top w:val="nil"/>
              <w:bottom w:val="nil"/>
            </w:tcBorders>
            <w:shd w:val="clear" w:color="auto" w:fill="FFFF99"/>
          </w:tcPr>
          <w:p>
            <w:pPr>
              <w:pStyle w:val="TableParagraph"/>
              <w:rPr>
                <w:rFonts w:ascii="Times New Roman"/>
                <w:sz w:val="36"/>
              </w:rPr>
            </w:pPr>
          </w:p>
        </w:tc>
        <w:tc>
          <w:tcPr>
            <w:tcW w:w="2088" w:type="dxa"/>
            <w:tcBorders>
              <w:top w:val="nil"/>
              <w:bottom w:val="nil"/>
            </w:tcBorders>
            <w:shd w:val="clear" w:color="auto" w:fill="FFFF99"/>
          </w:tcPr>
          <w:p>
            <w:pPr>
              <w:pStyle w:val="TableParagraph"/>
              <w:spacing w:before="31"/>
              <w:ind w:left="176" w:right="163"/>
              <w:jc w:val="center"/>
              <w:rPr>
                <w:sz w:val="38"/>
              </w:rPr>
            </w:pPr>
            <w:r>
              <w:rPr>
                <w:sz w:val="38"/>
              </w:rPr>
              <w:t>preparatory</w:t>
            </w:r>
          </w:p>
        </w:tc>
        <w:tc>
          <w:tcPr>
            <w:tcW w:w="2059" w:type="dxa"/>
            <w:tcBorders>
              <w:top w:val="nil"/>
              <w:bottom w:val="nil"/>
            </w:tcBorders>
            <w:shd w:val="clear" w:color="auto" w:fill="FFFF99"/>
          </w:tcPr>
          <w:p>
            <w:pPr>
              <w:pStyle w:val="TableParagraph"/>
              <w:rPr>
                <w:rFonts w:ascii="Times New Roman"/>
                <w:sz w:val="36"/>
              </w:rPr>
            </w:pPr>
          </w:p>
        </w:tc>
      </w:tr>
      <w:tr>
        <w:trPr>
          <w:trHeight w:val="490" w:hRule="atLeast"/>
        </w:trPr>
        <w:tc>
          <w:tcPr>
            <w:tcW w:w="1891" w:type="dxa"/>
            <w:tcBorders>
              <w:top w:val="nil"/>
              <w:bottom w:val="nil"/>
            </w:tcBorders>
            <w:shd w:val="clear" w:color="auto" w:fill="FFFF99"/>
          </w:tcPr>
          <w:p>
            <w:pPr>
              <w:pStyle w:val="TableParagraph"/>
              <w:rPr>
                <w:rFonts w:ascii="Times New Roman"/>
                <w:sz w:val="36"/>
              </w:rPr>
            </w:pPr>
          </w:p>
        </w:tc>
        <w:tc>
          <w:tcPr>
            <w:tcW w:w="2088" w:type="dxa"/>
            <w:tcBorders>
              <w:top w:val="nil"/>
              <w:bottom w:val="nil"/>
            </w:tcBorders>
            <w:shd w:val="clear" w:color="auto" w:fill="FFFF99"/>
          </w:tcPr>
          <w:p>
            <w:pPr>
              <w:pStyle w:val="TableParagraph"/>
              <w:spacing w:before="32"/>
              <w:ind w:left="174" w:right="163"/>
              <w:jc w:val="center"/>
              <w:rPr>
                <w:sz w:val="38"/>
              </w:rPr>
            </w:pPr>
            <w:r>
              <w:rPr>
                <w:sz w:val="38"/>
              </w:rPr>
              <w:t>stage of</w:t>
            </w:r>
          </w:p>
        </w:tc>
        <w:tc>
          <w:tcPr>
            <w:tcW w:w="2059" w:type="dxa"/>
            <w:tcBorders>
              <w:top w:val="nil"/>
              <w:bottom w:val="nil"/>
            </w:tcBorders>
            <w:shd w:val="clear" w:color="auto" w:fill="FFFF99"/>
          </w:tcPr>
          <w:p>
            <w:pPr>
              <w:pStyle w:val="TableParagraph"/>
              <w:rPr>
                <w:rFonts w:ascii="Times New Roman"/>
                <w:sz w:val="36"/>
              </w:rPr>
            </w:pPr>
          </w:p>
        </w:tc>
      </w:tr>
      <w:tr>
        <w:trPr>
          <w:trHeight w:val="492" w:hRule="atLeast"/>
        </w:trPr>
        <w:tc>
          <w:tcPr>
            <w:tcW w:w="1891" w:type="dxa"/>
            <w:tcBorders>
              <w:top w:val="nil"/>
              <w:bottom w:val="nil"/>
            </w:tcBorders>
            <w:shd w:val="clear" w:color="auto" w:fill="FFFF99"/>
          </w:tcPr>
          <w:p>
            <w:pPr>
              <w:pStyle w:val="TableParagraph"/>
              <w:rPr>
                <w:rFonts w:ascii="Times New Roman"/>
                <w:sz w:val="36"/>
              </w:rPr>
            </w:pPr>
          </w:p>
        </w:tc>
        <w:tc>
          <w:tcPr>
            <w:tcW w:w="2088" w:type="dxa"/>
            <w:tcBorders>
              <w:top w:val="nil"/>
              <w:bottom w:val="nil"/>
            </w:tcBorders>
            <w:shd w:val="clear" w:color="auto" w:fill="FFFF99"/>
          </w:tcPr>
          <w:p>
            <w:pPr>
              <w:pStyle w:val="TableParagraph"/>
              <w:spacing w:before="31"/>
              <w:ind w:left="172" w:right="163"/>
              <w:jc w:val="center"/>
              <w:rPr>
                <w:sz w:val="38"/>
              </w:rPr>
            </w:pPr>
            <w:r>
              <w:rPr>
                <w:sz w:val="38"/>
              </w:rPr>
              <w:t>AIDS out-</w:t>
            </w:r>
          </w:p>
        </w:tc>
        <w:tc>
          <w:tcPr>
            <w:tcW w:w="2059" w:type="dxa"/>
            <w:tcBorders>
              <w:top w:val="nil"/>
              <w:bottom w:val="nil"/>
            </w:tcBorders>
            <w:shd w:val="clear" w:color="auto" w:fill="FFFF99"/>
          </w:tcPr>
          <w:p>
            <w:pPr>
              <w:pStyle w:val="TableParagraph"/>
              <w:rPr>
                <w:rFonts w:ascii="Times New Roman"/>
                <w:sz w:val="36"/>
              </w:rPr>
            </w:pPr>
          </w:p>
        </w:tc>
      </w:tr>
      <w:tr>
        <w:trPr>
          <w:trHeight w:val="725" w:hRule="atLeast"/>
        </w:trPr>
        <w:tc>
          <w:tcPr>
            <w:tcW w:w="1891" w:type="dxa"/>
            <w:tcBorders>
              <w:top w:val="nil"/>
            </w:tcBorders>
            <w:shd w:val="clear" w:color="auto" w:fill="FFFF99"/>
          </w:tcPr>
          <w:p>
            <w:pPr>
              <w:pStyle w:val="TableParagraph"/>
              <w:rPr>
                <w:rFonts w:ascii="Times New Roman"/>
                <w:sz w:val="36"/>
              </w:rPr>
            </w:pPr>
          </w:p>
        </w:tc>
        <w:tc>
          <w:tcPr>
            <w:tcW w:w="2088" w:type="dxa"/>
            <w:tcBorders>
              <w:top w:val="nil"/>
            </w:tcBorders>
            <w:shd w:val="clear" w:color="auto" w:fill="FFFF99"/>
          </w:tcPr>
          <w:p>
            <w:pPr>
              <w:pStyle w:val="TableParagraph"/>
              <w:spacing w:before="33"/>
              <w:ind w:left="176" w:right="160"/>
              <w:jc w:val="center"/>
              <w:rPr>
                <w:sz w:val="38"/>
              </w:rPr>
            </w:pPr>
            <w:r>
              <w:rPr>
                <w:sz w:val="38"/>
              </w:rPr>
              <w:t>break</w:t>
            </w:r>
          </w:p>
        </w:tc>
        <w:tc>
          <w:tcPr>
            <w:tcW w:w="2059" w:type="dxa"/>
            <w:tcBorders>
              <w:top w:val="nil"/>
            </w:tcBorders>
            <w:shd w:val="clear" w:color="auto" w:fill="FFFF99"/>
          </w:tcPr>
          <w:p>
            <w:pPr>
              <w:pStyle w:val="TableParagraph"/>
              <w:rPr>
                <w:rFonts w:ascii="Times New Roman"/>
                <w:sz w:val="36"/>
              </w:rPr>
            </w:pPr>
          </w:p>
        </w:tc>
      </w:tr>
      <w:tr>
        <w:trPr>
          <w:trHeight w:val="1425" w:hRule="atLeast"/>
        </w:trPr>
        <w:tc>
          <w:tcPr>
            <w:tcW w:w="1891" w:type="dxa"/>
            <w:shd w:val="clear" w:color="auto" w:fill="FFFF99"/>
          </w:tcPr>
          <w:p>
            <w:pPr>
              <w:pStyle w:val="TableParagraph"/>
              <w:spacing w:before="241"/>
              <w:ind w:right="298"/>
              <w:jc w:val="right"/>
              <w:rPr>
                <w:sz w:val="38"/>
              </w:rPr>
            </w:pPr>
            <w:r>
              <w:rPr>
                <w:sz w:val="38"/>
              </w:rPr>
              <w:t>Group 3</w:t>
            </w:r>
          </w:p>
        </w:tc>
        <w:tc>
          <w:tcPr>
            <w:tcW w:w="2088" w:type="dxa"/>
            <w:shd w:val="clear" w:color="auto" w:fill="FFFF99"/>
          </w:tcPr>
          <w:p>
            <w:pPr>
              <w:pStyle w:val="TableParagraph"/>
              <w:spacing w:before="238"/>
              <w:ind w:left="175" w:right="163"/>
              <w:jc w:val="center"/>
              <w:rPr>
                <w:sz w:val="38"/>
              </w:rPr>
            </w:pPr>
            <w:r>
              <w:rPr>
                <w:sz w:val="38"/>
              </w:rPr>
              <w:t>AIDS pa-</w:t>
            </w:r>
          </w:p>
          <w:p>
            <w:pPr>
              <w:pStyle w:val="TableParagraph"/>
              <w:spacing w:before="66"/>
              <w:ind w:left="176" w:right="163"/>
              <w:jc w:val="center"/>
              <w:rPr>
                <w:sz w:val="38"/>
              </w:rPr>
            </w:pPr>
            <w:r>
              <w:rPr>
                <w:sz w:val="38"/>
              </w:rPr>
              <w:t>tients</w:t>
            </w:r>
          </w:p>
        </w:tc>
        <w:tc>
          <w:tcPr>
            <w:tcW w:w="2059" w:type="dxa"/>
            <w:shd w:val="clear" w:color="auto" w:fill="FFFF99"/>
          </w:tcPr>
          <w:p>
            <w:pPr>
              <w:pStyle w:val="TableParagraph"/>
              <w:spacing w:line="276" w:lineRule="auto" w:before="238"/>
              <w:ind w:left="696" w:right="90" w:hanging="574"/>
              <w:rPr>
                <w:sz w:val="38"/>
              </w:rPr>
            </w:pPr>
            <w:r>
              <w:rPr>
                <w:sz w:val="38"/>
              </w:rPr>
              <w:t>Lowest Q10 level</w:t>
            </w:r>
          </w:p>
        </w:tc>
      </w:tr>
    </w:tbl>
    <w:p>
      <w:pPr>
        <w:spacing w:after="0" w:line="276" w:lineRule="auto"/>
        <w:rPr>
          <w:sz w:val="38"/>
        </w:rPr>
        <w:sectPr>
          <w:pgSz w:w="14270" w:h="16850"/>
          <w:pgMar w:header="0" w:footer="1891" w:top="1420" w:bottom="2080" w:left="800" w:right="1280"/>
        </w:sectPr>
      </w:pPr>
    </w:p>
    <w:p>
      <w:pPr>
        <w:pStyle w:val="BodyText"/>
        <w:spacing w:line="276" w:lineRule="auto" w:before="72"/>
        <w:ind w:left="616" w:right="133"/>
        <w:jc w:val="both"/>
      </w:pPr>
      <w:r>
        <w:rPr/>
        <w:t>It has been observed that patients in group 1 already exhibited a lower Q10 level</w:t>
      </w:r>
      <w:r>
        <w:rPr>
          <w:spacing w:val="-19"/>
        </w:rPr>
        <w:t> </w:t>
      </w:r>
      <w:r>
        <w:rPr/>
        <w:t>in</w:t>
      </w:r>
      <w:r>
        <w:rPr>
          <w:spacing w:val="-18"/>
        </w:rPr>
        <w:t> </w:t>
      </w:r>
      <w:r>
        <w:rPr/>
        <w:t>the</w:t>
      </w:r>
      <w:r>
        <w:rPr>
          <w:spacing w:val="-17"/>
        </w:rPr>
        <w:t> </w:t>
      </w:r>
      <w:r>
        <w:rPr/>
        <w:t>course</w:t>
      </w:r>
      <w:r>
        <w:rPr>
          <w:spacing w:val="-17"/>
        </w:rPr>
        <w:t> </w:t>
      </w:r>
      <w:r>
        <w:rPr/>
        <w:t>of</w:t>
      </w:r>
      <w:r>
        <w:rPr>
          <w:spacing w:val="-18"/>
        </w:rPr>
        <w:t> </w:t>
      </w:r>
      <w:r>
        <w:rPr/>
        <w:t>transitioning</w:t>
      </w:r>
      <w:r>
        <w:rPr>
          <w:spacing w:val="-17"/>
        </w:rPr>
        <w:t> </w:t>
      </w:r>
      <w:r>
        <w:rPr/>
        <w:t>to</w:t>
      </w:r>
      <w:r>
        <w:rPr>
          <w:spacing w:val="-17"/>
        </w:rPr>
        <w:t> </w:t>
      </w:r>
      <w:r>
        <w:rPr/>
        <w:t>group</w:t>
      </w:r>
      <w:r>
        <w:rPr>
          <w:spacing w:val="-17"/>
        </w:rPr>
        <w:t> </w:t>
      </w:r>
      <w:r>
        <w:rPr/>
        <w:t>2.</w:t>
      </w:r>
      <w:r>
        <w:rPr>
          <w:spacing w:val="-17"/>
        </w:rPr>
        <w:t> </w:t>
      </w:r>
      <w:r>
        <w:rPr/>
        <w:t>While</w:t>
      </w:r>
      <w:r>
        <w:rPr>
          <w:spacing w:val="-19"/>
        </w:rPr>
        <w:t> </w:t>
      </w:r>
      <w:r>
        <w:rPr/>
        <w:t>this</w:t>
      </w:r>
      <w:r>
        <w:rPr>
          <w:spacing w:val="-17"/>
        </w:rPr>
        <w:t> </w:t>
      </w:r>
      <w:r>
        <w:rPr/>
        <w:t>was</w:t>
      </w:r>
      <w:r>
        <w:rPr>
          <w:spacing w:val="-17"/>
        </w:rPr>
        <w:t> </w:t>
      </w:r>
      <w:r>
        <w:rPr/>
        <w:t>initially</w:t>
      </w:r>
      <w:r>
        <w:rPr>
          <w:spacing w:val="-17"/>
        </w:rPr>
        <w:t> </w:t>
      </w:r>
      <w:r>
        <w:rPr/>
        <w:t>attributed to</w:t>
      </w:r>
      <w:r>
        <w:rPr>
          <w:spacing w:val="-16"/>
        </w:rPr>
        <w:t> </w:t>
      </w:r>
      <w:r>
        <w:rPr/>
        <w:t>the</w:t>
      </w:r>
      <w:r>
        <w:rPr>
          <w:spacing w:val="-15"/>
        </w:rPr>
        <w:t> </w:t>
      </w:r>
      <w:r>
        <w:rPr/>
        <w:t>depression,</w:t>
      </w:r>
      <w:r>
        <w:rPr>
          <w:spacing w:val="-16"/>
        </w:rPr>
        <w:t> </w:t>
      </w:r>
      <w:r>
        <w:rPr/>
        <w:t>another</w:t>
      </w:r>
      <w:r>
        <w:rPr>
          <w:spacing w:val="-15"/>
        </w:rPr>
        <w:t> </w:t>
      </w:r>
      <w:r>
        <w:rPr/>
        <w:t>observation</w:t>
      </w:r>
      <w:r>
        <w:rPr>
          <w:spacing w:val="-16"/>
        </w:rPr>
        <w:t> </w:t>
      </w:r>
      <w:r>
        <w:rPr/>
        <w:t>was</w:t>
      </w:r>
      <w:r>
        <w:rPr>
          <w:spacing w:val="-16"/>
        </w:rPr>
        <w:t> </w:t>
      </w:r>
      <w:r>
        <w:rPr/>
        <w:t>the</w:t>
      </w:r>
      <w:r>
        <w:rPr>
          <w:spacing w:val="-15"/>
        </w:rPr>
        <w:t> </w:t>
      </w:r>
      <w:r>
        <w:rPr/>
        <w:t>turning</w:t>
      </w:r>
      <w:r>
        <w:rPr>
          <w:spacing w:val="-16"/>
        </w:rPr>
        <w:t> </w:t>
      </w:r>
      <w:r>
        <w:rPr/>
        <w:t>point:</w:t>
      </w:r>
      <w:r>
        <w:rPr>
          <w:spacing w:val="-16"/>
        </w:rPr>
        <w:t> </w:t>
      </w:r>
      <w:r>
        <w:rPr/>
        <w:t>While</w:t>
      </w:r>
      <w:r>
        <w:rPr>
          <w:spacing w:val="-16"/>
        </w:rPr>
        <w:t> </w:t>
      </w:r>
      <w:r>
        <w:rPr/>
        <w:t>transition- ing from group 2 to group 3, substantially lower Q10 levels were observed. In order to figure out this phenomenon, it was decided to start a pilot study.</w:t>
      </w:r>
      <w:r>
        <w:rPr>
          <w:spacing w:val="-45"/>
        </w:rPr>
        <w:t> </w:t>
      </w:r>
      <w:r>
        <w:rPr/>
        <w:t>Un- der the direction of P.H. Langsjoen and K. Folkers, their four year study de- termined that patients in group 2 (HIV-infected) remained free of infections and</w:t>
      </w:r>
      <w:r>
        <w:rPr>
          <w:spacing w:val="-9"/>
        </w:rPr>
        <w:t> </w:t>
      </w:r>
      <w:r>
        <w:rPr/>
        <w:t>did</w:t>
      </w:r>
      <w:r>
        <w:rPr>
          <w:spacing w:val="-10"/>
        </w:rPr>
        <w:t> </w:t>
      </w:r>
      <w:r>
        <w:rPr/>
        <w:t>not</w:t>
      </w:r>
      <w:r>
        <w:rPr>
          <w:spacing w:val="-9"/>
        </w:rPr>
        <w:t> </w:t>
      </w:r>
      <w:r>
        <w:rPr/>
        <w:t>change</w:t>
      </w:r>
      <w:r>
        <w:rPr>
          <w:spacing w:val="-9"/>
        </w:rPr>
        <w:t> </w:t>
      </w:r>
      <w:r>
        <w:rPr/>
        <w:t>to</w:t>
      </w:r>
      <w:r>
        <w:rPr>
          <w:spacing w:val="-9"/>
        </w:rPr>
        <w:t> </w:t>
      </w:r>
      <w:r>
        <w:rPr/>
        <w:t>group</w:t>
      </w:r>
      <w:r>
        <w:rPr>
          <w:spacing w:val="-9"/>
        </w:rPr>
        <w:t> </w:t>
      </w:r>
      <w:r>
        <w:rPr/>
        <w:t>3</w:t>
      </w:r>
      <w:r>
        <w:rPr>
          <w:spacing w:val="-10"/>
        </w:rPr>
        <w:t> </w:t>
      </w:r>
      <w:r>
        <w:rPr/>
        <w:t>(AIDS).</w:t>
      </w:r>
      <w:r>
        <w:rPr>
          <w:position w:val="9"/>
          <w:sz w:val="25"/>
        </w:rPr>
        <w:t>747</w:t>
      </w:r>
      <w:r>
        <w:rPr>
          <w:spacing w:val="31"/>
          <w:position w:val="9"/>
          <w:sz w:val="25"/>
        </w:rPr>
        <w:t> </w:t>
      </w:r>
      <w:r>
        <w:rPr/>
        <w:t>The</w:t>
      </w:r>
      <w:r>
        <w:rPr>
          <w:spacing w:val="-9"/>
        </w:rPr>
        <w:t> </w:t>
      </w:r>
      <w:r>
        <w:rPr/>
        <w:t>stabilisation</w:t>
      </w:r>
      <w:r>
        <w:rPr>
          <w:spacing w:val="-8"/>
        </w:rPr>
        <w:t> </w:t>
      </w:r>
      <w:r>
        <w:rPr/>
        <w:t>of</w:t>
      </w:r>
      <w:r>
        <w:rPr>
          <w:spacing w:val="-9"/>
        </w:rPr>
        <w:t> </w:t>
      </w:r>
      <w:r>
        <w:rPr/>
        <w:t>the</w:t>
      </w:r>
      <w:r>
        <w:rPr>
          <w:spacing w:val="-8"/>
        </w:rPr>
        <w:t> </w:t>
      </w:r>
      <w:r>
        <w:rPr/>
        <w:t>immune</w:t>
      </w:r>
      <w:r>
        <w:rPr>
          <w:spacing w:val="-8"/>
        </w:rPr>
        <w:t> </w:t>
      </w:r>
      <w:r>
        <w:rPr/>
        <w:t>sys- tem</w:t>
      </w:r>
      <w:r>
        <w:rPr>
          <w:spacing w:val="-8"/>
        </w:rPr>
        <w:t> </w:t>
      </w:r>
      <w:r>
        <w:rPr/>
        <w:t>via</w:t>
      </w:r>
      <w:r>
        <w:rPr>
          <w:spacing w:val="-10"/>
        </w:rPr>
        <w:t> </w:t>
      </w:r>
      <w:r>
        <w:rPr/>
        <w:t>coenzyme</w:t>
      </w:r>
      <w:r>
        <w:rPr>
          <w:spacing w:val="-7"/>
        </w:rPr>
        <w:t> </w:t>
      </w:r>
      <w:r>
        <w:rPr/>
        <w:t>Q10</w:t>
      </w:r>
      <w:r>
        <w:rPr>
          <w:spacing w:val="-8"/>
        </w:rPr>
        <w:t> </w:t>
      </w:r>
      <w:r>
        <w:rPr/>
        <w:t>will</w:t>
      </w:r>
      <w:r>
        <w:rPr>
          <w:spacing w:val="-9"/>
        </w:rPr>
        <w:t> </w:t>
      </w:r>
      <w:r>
        <w:rPr/>
        <w:t>play</w:t>
      </w:r>
      <w:r>
        <w:rPr>
          <w:spacing w:val="-8"/>
        </w:rPr>
        <w:t> </w:t>
      </w:r>
      <w:r>
        <w:rPr/>
        <w:t>the</w:t>
      </w:r>
      <w:r>
        <w:rPr>
          <w:spacing w:val="-6"/>
        </w:rPr>
        <w:t> </w:t>
      </w:r>
      <w:r>
        <w:rPr/>
        <w:t>decisive</w:t>
      </w:r>
      <w:r>
        <w:rPr>
          <w:spacing w:val="-9"/>
        </w:rPr>
        <w:t> </w:t>
      </w:r>
      <w:r>
        <w:rPr/>
        <w:t>role</w:t>
      </w:r>
      <w:r>
        <w:rPr>
          <w:spacing w:val="-9"/>
        </w:rPr>
        <w:t> </w:t>
      </w:r>
      <w:r>
        <w:rPr/>
        <w:t>in</w:t>
      </w:r>
      <w:r>
        <w:rPr>
          <w:spacing w:val="-8"/>
        </w:rPr>
        <w:t> </w:t>
      </w:r>
      <w:r>
        <w:rPr/>
        <w:t>the</w:t>
      </w:r>
      <w:r>
        <w:rPr>
          <w:spacing w:val="-6"/>
        </w:rPr>
        <w:t> </w:t>
      </w:r>
      <w:r>
        <w:rPr/>
        <w:t>case</w:t>
      </w:r>
      <w:r>
        <w:rPr>
          <w:spacing w:val="-7"/>
        </w:rPr>
        <w:t> </w:t>
      </w:r>
      <w:r>
        <w:rPr/>
        <w:t>of</w:t>
      </w:r>
      <w:r>
        <w:rPr>
          <w:spacing w:val="-10"/>
        </w:rPr>
        <w:t> </w:t>
      </w:r>
      <w:r>
        <w:rPr/>
        <w:t>HIV</w:t>
      </w:r>
      <w:r>
        <w:rPr>
          <w:spacing w:val="-8"/>
        </w:rPr>
        <w:t> </w:t>
      </w:r>
      <w:r>
        <w:rPr/>
        <w:t>in</w:t>
      </w:r>
      <w:r>
        <w:rPr>
          <w:spacing w:val="-8"/>
        </w:rPr>
        <w:t> </w:t>
      </w:r>
      <w:r>
        <w:rPr/>
        <w:t>hinder- ing</w:t>
      </w:r>
      <w:r>
        <w:rPr>
          <w:spacing w:val="-21"/>
        </w:rPr>
        <w:t> </w:t>
      </w:r>
      <w:r>
        <w:rPr/>
        <w:t>the</w:t>
      </w:r>
      <w:r>
        <w:rPr>
          <w:spacing w:val="-19"/>
        </w:rPr>
        <w:t> </w:t>
      </w:r>
      <w:r>
        <w:rPr/>
        <w:t>outbreak</w:t>
      </w:r>
      <w:r>
        <w:rPr>
          <w:spacing w:val="-22"/>
        </w:rPr>
        <w:t> </w:t>
      </w:r>
      <w:r>
        <w:rPr/>
        <w:t>of</w:t>
      </w:r>
      <w:r>
        <w:rPr>
          <w:spacing w:val="-20"/>
        </w:rPr>
        <w:t> </w:t>
      </w:r>
      <w:r>
        <w:rPr/>
        <w:t>AIDS</w:t>
      </w:r>
      <w:r>
        <w:rPr>
          <w:spacing w:val="-20"/>
        </w:rPr>
        <w:t> </w:t>
      </w:r>
      <w:r>
        <w:rPr/>
        <w:t>and</w:t>
      </w:r>
      <w:r>
        <w:rPr>
          <w:spacing w:val="-20"/>
        </w:rPr>
        <w:t> </w:t>
      </w:r>
      <w:r>
        <w:rPr/>
        <w:t>viral</w:t>
      </w:r>
      <w:r>
        <w:rPr>
          <w:spacing w:val="-23"/>
        </w:rPr>
        <w:t> </w:t>
      </w:r>
      <w:r>
        <w:rPr/>
        <w:t>infection.</w:t>
      </w:r>
      <w:r>
        <w:rPr>
          <w:spacing w:val="-19"/>
        </w:rPr>
        <w:t> </w:t>
      </w:r>
      <w:r>
        <w:rPr/>
        <w:t>With</w:t>
      </w:r>
      <w:r>
        <w:rPr>
          <w:spacing w:val="-21"/>
        </w:rPr>
        <w:t> </w:t>
      </w:r>
      <w:r>
        <w:rPr/>
        <w:t>respect</w:t>
      </w:r>
      <w:r>
        <w:rPr>
          <w:spacing w:val="-20"/>
        </w:rPr>
        <w:t> </w:t>
      </w:r>
      <w:r>
        <w:rPr/>
        <w:t>to</w:t>
      </w:r>
      <w:r>
        <w:rPr>
          <w:spacing w:val="-20"/>
        </w:rPr>
        <w:t> </w:t>
      </w:r>
      <w:r>
        <w:rPr/>
        <w:t>the</w:t>
      </w:r>
      <w:r>
        <w:rPr>
          <w:spacing w:val="-20"/>
        </w:rPr>
        <w:t> </w:t>
      </w:r>
      <w:r>
        <w:rPr/>
        <w:t>fact</w:t>
      </w:r>
      <w:r>
        <w:rPr>
          <w:spacing w:val="-21"/>
        </w:rPr>
        <w:t> </w:t>
      </w:r>
      <w:r>
        <w:rPr/>
        <w:t>that</w:t>
      </w:r>
      <w:r>
        <w:rPr>
          <w:spacing w:val="-21"/>
        </w:rPr>
        <w:t> </w:t>
      </w:r>
      <w:r>
        <w:rPr/>
        <w:t>most AIDS sufferers succumb to and die of a viral infection, this element of the prevention and treatment of AIDS cannot be valued highly</w:t>
      </w:r>
      <w:r>
        <w:rPr>
          <w:spacing w:val="-7"/>
        </w:rPr>
        <w:t> </w:t>
      </w:r>
      <w:r>
        <w:rPr/>
        <w:t>enough.</w:t>
      </w:r>
    </w:p>
    <w:p>
      <w:pPr>
        <w:pStyle w:val="Heading1"/>
        <w:spacing w:line="261" w:lineRule="auto" w:before="225"/>
        <w:ind w:left="616" w:right="144"/>
        <w:jc w:val="both"/>
      </w:pPr>
      <w:r>
        <w:rPr/>
        <w:t>How</w:t>
      </w:r>
      <w:r>
        <w:rPr>
          <w:spacing w:val="-29"/>
        </w:rPr>
        <w:t> </w:t>
      </w:r>
      <w:r>
        <w:rPr/>
        <w:t>you</w:t>
      </w:r>
      <w:r>
        <w:rPr>
          <w:spacing w:val="-30"/>
        </w:rPr>
        <w:t> </w:t>
      </w:r>
      <w:r>
        <w:rPr/>
        <w:t>can</w:t>
      </w:r>
      <w:r>
        <w:rPr>
          <w:spacing w:val="-29"/>
        </w:rPr>
        <w:t> </w:t>
      </w:r>
      <w:r>
        <w:rPr/>
        <w:t>substantially</w:t>
      </w:r>
      <w:r>
        <w:rPr>
          <w:spacing w:val="-29"/>
        </w:rPr>
        <w:t> </w:t>
      </w:r>
      <w:r>
        <w:rPr/>
        <w:t>delay</w:t>
      </w:r>
      <w:r>
        <w:rPr>
          <w:spacing w:val="-29"/>
        </w:rPr>
        <w:t> </w:t>
      </w:r>
      <w:r>
        <w:rPr/>
        <w:t>physiological</w:t>
      </w:r>
      <w:r>
        <w:rPr>
          <w:spacing w:val="-29"/>
        </w:rPr>
        <w:t> </w:t>
      </w:r>
      <w:r>
        <w:rPr/>
        <w:t>ageing</w:t>
      </w:r>
      <w:r>
        <w:rPr>
          <w:spacing w:val="-29"/>
        </w:rPr>
        <w:t> </w:t>
      </w:r>
      <w:r>
        <w:rPr/>
        <w:t>processes</w:t>
      </w:r>
      <w:r>
        <w:rPr>
          <w:spacing w:val="-28"/>
        </w:rPr>
        <w:t> </w:t>
      </w:r>
      <w:r>
        <w:rPr/>
        <w:t>with Q10</w:t>
      </w:r>
      <w:r>
        <w:rPr>
          <w:spacing w:val="-14"/>
        </w:rPr>
        <w:t> </w:t>
      </w:r>
      <w:r>
        <w:rPr/>
        <w:t>and</w:t>
      </w:r>
      <w:r>
        <w:rPr>
          <w:spacing w:val="-16"/>
        </w:rPr>
        <w:t> </w:t>
      </w:r>
      <w:r>
        <w:rPr/>
        <w:t>even</w:t>
      </w:r>
      <w:r>
        <w:rPr>
          <w:spacing w:val="-16"/>
        </w:rPr>
        <w:t> </w:t>
      </w:r>
      <w:r>
        <w:rPr/>
        <w:t>set</w:t>
      </w:r>
      <w:r>
        <w:rPr>
          <w:spacing w:val="-15"/>
        </w:rPr>
        <w:t> </w:t>
      </w:r>
      <w:r>
        <w:rPr/>
        <w:t>rejuvenation</w:t>
      </w:r>
      <w:r>
        <w:rPr>
          <w:spacing w:val="-12"/>
        </w:rPr>
        <w:t> </w:t>
      </w:r>
      <w:r>
        <w:rPr/>
        <w:t>processes</w:t>
      </w:r>
      <w:r>
        <w:rPr>
          <w:spacing w:val="-15"/>
        </w:rPr>
        <w:t> </w:t>
      </w:r>
      <w:r>
        <w:rPr/>
        <w:t>in</w:t>
      </w:r>
      <w:r>
        <w:rPr>
          <w:spacing w:val="-14"/>
        </w:rPr>
        <w:t> </w:t>
      </w:r>
      <w:r>
        <w:rPr/>
        <w:t>motion</w:t>
      </w:r>
    </w:p>
    <w:p>
      <w:pPr>
        <w:pStyle w:val="BodyText"/>
        <w:spacing w:line="276" w:lineRule="auto" w:before="261"/>
        <w:ind w:left="616" w:right="130"/>
        <w:jc w:val="both"/>
      </w:pPr>
      <w:r>
        <w:rPr/>
        <w:t>The fact is: if there were no such thing as cell oxidation and thus no damage to</w:t>
      </w:r>
      <w:r>
        <w:rPr>
          <w:spacing w:val="-19"/>
        </w:rPr>
        <w:t> </w:t>
      </w:r>
      <w:r>
        <w:rPr/>
        <w:t>DNA,</w:t>
      </w:r>
      <w:r>
        <w:rPr>
          <w:spacing w:val="-18"/>
        </w:rPr>
        <w:t> </w:t>
      </w:r>
      <w:r>
        <w:rPr/>
        <w:t>human</w:t>
      </w:r>
      <w:r>
        <w:rPr>
          <w:spacing w:val="-20"/>
        </w:rPr>
        <w:t> </w:t>
      </w:r>
      <w:r>
        <w:rPr/>
        <w:t>beings</w:t>
      </w:r>
      <w:r>
        <w:rPr>
          <w:spacing w:val="-21"/>
        </w:rPr>
        <w:t> </w:t>
      </w:r>
      <w:r>
        <w:rPr/>
        <w:t>would</w:t>
      </w:r>
      <w:r>
        <w:rPr>
          <w:spacing w:val="-19"/>
        </w:rPr>
        <w:t> </w:t>
      </w:r>
      <w:r>
        <w:rPr/>
        <w:t>not</w:t>
      </w:r>
      <w:r>
        <w:rPr>
          <w:spacing w:val="-19"/>
        </w:rPr>
        <w:t> </w:t>
      </w:r>
      <w:r>
        <w:rPr/>
        <w:t>age</w:t>
      </w:r>
      <w:r>
        <w:rPr>
          <w:spacing w:val="-20"/>
        </w:rPr>
        <w:t> </w:t>
      </w:r>
      <w:r>
        <w:rPr/>
        <w:t>after</w:t>
      </w:r>
      <w:r>
        <w:rPr>
          <w:spacing w:val="-19"/>
        </w:rPr>
        <w:t> </w:t>
      </w:r>
      <w:r>
        <w:rPr/>
        <w:t>the</w:t>
      </w:r>
      <w:r>
        <w:rPr>
          <w:spacing w:val="-18"/>
        </w:rPr>
        <w:t> </w:t>
      </w:r>
      <w:r>
        <w:rPr/>
        <w:t>they</w:t>
      </w:r>
      <w:r>
        <w:rPr>
          <w:spacing w:val="-19"/>
        </w:rPr>
        <w:t> </w:t>
      </w:r>
      <w:r>
        <w:rPr/>
        <w:t>had</w:t>
      </w:r>
      <w:r>
        <w:rPr>
          <w:spacing w:val="-15"/>
        </w:rPr>
        <w:t> </w:t>
      </w:r>
      <w:r>
        <w:rPr/>
        <w:t>finished</w:t>
      </w:r>
      <w:r>
        <w:rPr>
          <w:spacing w:val="-24"/>
        </w:rPr>
        <w:t> </w:t>
      </w:r>
      <w:r>
        <w:rPr/>
        <w:t>growing.</w:t>
      </w:r>
      <w:r>
        <w:rPr>
          <w:spacing w:val="-19"/>
        </w:rPr>
        <w:t> </w:t>
      </w:r>
      <w:r>
        <w:rPr/>
        <w:t>The body</w:t>
      </w:r>
      <w:r>
        <w:rPr>
          <w:spacing w:val="-12"/>
        </w:rPr>
        <w:t> </w:t>
      </w:r>
      <w:r>
        <w:rPr/>
        <w:t>is</w:t>
      </w:r>
      <w:r>
        <w:rPr>
          <w:spacing w:val="-11"/>
        </w:rPr>
        <w:t> </w:t>
      </w:r>
      <w:r>
        <w:rPr/>
        <w:t>also</w:t>
      </w:r>
      <w:r>
        <w:rPr>
          <w:spacing w:val="-13"/>
        </w:rPr>
        <w:t> </w:t>
      </w:r>
      <w:r>
        <w:rPr/>
        <w:t>capable</w:t>
      </w:r>
      <w:r>
        <w:rPr>
          <w:spacing w:val="-11"/>
        </w:rPr>
        <w:t> </w:t>
      </w:r>
      <w:r>
        <w:rPr/>
        <w:t>of</w:t>
      </w:r>
      <w:r>
        <w:rPr>
          <w:spacing w:val="-10"/>
        </w:rPr>
        <w:t> </w:t>
      </w:r>
      <w:r>
        <w:rPr/>
        <w:t>life</w:t>
      </w:r>
      <w:r>
        <w:rPr>
          <w:spacing w:val="-12"/>
        </w:rPr>
        <w:t> </w:t>
      </w:r>
      <w:r>
        <w:rPr/>
        <w:t>for</w:t>
      </w:r>
      <w:r>
        <w:rPr>
          <w:spacing w:val="-12"/>
        </w:rPr>
        <w:t> </w:t>
      </w:r>
      <w:r>
        <w:rPr/>
        <w:t>as</w:t>
      </w:r>
      <w:r>
        <w:rPr>
          <w:spacing w:val="-13"/>
        </w:rPr>
        <w:t> </w:t>
      </w:r>
      <w:r>
        <w:rPr/>
        <w:t>long</w:t>
      </w:r>
      <w:r>
        <w:rPr>
          <w:spacing w:val="-10"/>
        </w:rPr>
        <w:t> </w:t>
      </w:r>
      <w:r>
        <w:rPr/>
        <w:t>as</w:t>
      </w:r>
      <w:r>
        <w:rPr>
          <w:spacing w:val="-11"/>
        </w:rPr>
        <w:t> </w:t>
      </w:r>
      <w:r>
        <w:rPr/>
        <w:t>its</w:t>
      </w:r>
      <w:r>
        <w:rPr>
          <w:spacing w:val="-11"/>
        </w:rPr>
        <w:t> </w:t>
      </w:r>
      <w:r>
        <w:rPr/>
        <w:t>DNA</w:t>
      </w:r>
      <w:r>
        <w:rPr>
          <w:spacing w:val="-13"/>
        </w:rPr>
        <w:t> </w:t>
      </w:r>
      <w:r>
        <w:rPr/>
        <w:t>can</w:t>
      </w:r>
      <w:r>
        <w:rPr>
          <w:spacing w:val="-10"/>
        </w:rPr>
        <w:t> </w:t>
      </w:r>
      <w:r>
        <w:rPr/>
        <w:t>be</w:t>
      </w:r>
      <w:r>
        <w:rPr>
          <w:spacing w:val="-12"/>
        </w:rPr>
        <w:t> </w:t>
      </w:r>
      <w:r>
        <w:rPr/>
        <w:t>repaired</w:t>
      </w:r>
      <w:r>
        <w:rPr>
          <w:spacing w:val="-13"/>
        </w:rPr>
        <w:t> </w:t>
      </w:r>
      <w:r>
        <w:rPr/>
        <w:t>by</w:t>
      </w:r>
      <w:r>
        <w:rPr>
          <w:spacing w:val="-10"/>
        </w:rPr>
        <w:t> </w:t>
      </w:r>
      <w:r>
        <w:rPr/>
        <w:t>the</w:t>
      </w:r>
      <w:r>
        <w:rPr>
          <w:spacing w:val="-12"/>
        </w:rPr>
        <w:t> </w:t>
      </w:r>
      <w:r>
        <w:rPr/>
        <w:t>repair mechanisms</w:t>
      </w:r>
      <w:r>
        <w:rPr>
          <w:spacing w:val="-14"/>
        </w:rPr>
        <w:t> </w:t>
      </w:r>
      <w:r>
        <w:rPr/>
        <w:t>within</w:t>
      </w:r>
      <w:r>
        <w:rPr>
          <w:spacing w:val="-14"/>
        </w:rPr>
        <w:t> </w:t>
      </w:r>
      <w:r>
        <w:rPr/>
        <w:t>its</w:t>
      </w:r>
      <w:r>
        <w:rPr>
          <w:spacing w:val="-17"/>
        </w:rPr>
        <w:t> </w:t>
      </w:r>
      <w:r>
        <w:rPr/>
        <w:t>own</w:t>
      </w:r>
      <w:r>
        <w:rPr>
          <w:spacing w:val="-14"/>
        </w:rPr>
        <w:t> </w:t>
      </w:r>
      <w:r>
        <w:rPr/>
        <w:t>cells.</w:t>
      </w:r>
      <w:r>
        <w:rPr>
          <w:spacing w:val="-16"/>
        </w:rPr>
        <w:t> </w:t>
      </w:r>
      <w:r>
        <w:rPr/>
        <w:t>For</w:t>
      </w:r>
      <w:r>
        <w:rPr>
          <w:spacing w:val="-14"/>
        </w:rPr>
        <w:t> </w:t>
      </w:r>
      <w:r>
        <w:rPr/>
        <w:t>this,</w:t>
      </w:r>
      <w:r>
        <w:rPr>
          <w:spacing w:val="-16"/>
        </w:rPr>
        <w:t> </w:t>
      </w:r>
      <w:r>
        <w:rPr/>
        <w:t>the</w:t>
      </w:r>
      <w:r>
        <w:rPr>
          <w:spacing w:val="-15"/>
        </w:rPr>
        <w:t> </w:t>
      </w:r>
      <w:r>
        <w:rPr/>
        <w:t>so-called</w:t>
      </w:r>
      <w:r>
        <w:rPr>
          <w:spacing w:val="-16"/>
        </w:rPr>
        <w:t> </w:t>
      </w:r>
      <w:r>
        <w:rPr/>
        <w:t>antioxidants</w:t>
      </w:r>
      <w:r>
        <w:rPr>
          <w:spacing w:val="-13"/>
        </w:rPr>
        <w:t> </w:t>
      </w:r>
      <w:r>
        <w:rPr/>
        <w:t>(especially Q10,</w:t>
      </w:r>
      <w:r>
        <w:rPr>
          <w:spacing w:val="-16"/>
        </w:rPr>
        <w:t> </w:t>
      </w:r>
      <w:r>
        <w:rPr/>
        <w:t>vitamin</w:t>
      </w:r>
      <w:r>
        <w:rPr>
          <w:spacing w:val="-13"/>
        </w:rPr>
        <w:t> </w:t>
      </w:r>
      <w:r>
        <w:rPr/>
        <w:t>C</w:t>
      </w:r>
      <w:r>
        <w:rPr>
          <w:spacing w:val="-18"/>
        </w:rPr>
        <w:t> </w:t>
      </w:r>
      <w:r>
        <w:rPr/>
        <w:t>and</w:t>
      </w:r>
      <w:r>
        <w:rPr>
          <w:spacing w:val="-15"/>
        </w:rPr>
        <w:t> </w:t>
      </w:r>
      <w:r>
        <w:rPr/>
        <w:t>OPC,</w:t>
      </w:r>
      <w:r>
        <w:rPr>
          <w:spacing w:val="-17"/>
        </w:rPr>
        <w:t> </w:t>
      </w:r>
      <w:r>
        <w:rPr/>
        <w:t>but</w:t>
      </w:r>
      <w:r>
        <w:rPr>
          <w:spacing w:val="-17"/>
        </w:rPr>
        <w:t> </w:t>
      </w:r>
      <w:r>
        <w:rPr/>
        <w:t>also</w:t>
      </w:r>
      <w:r>
        <w:rPr>
          <w:spacing w:val="-14"/>
        </w:rPr>
        <w:t> </w:t>
      </w:r>
      <w:r>
        <w:rPr/>
        <w:t>vitamin</w:t>
      </w:r>
      <w:r>
        <w:rPr>
          <w:spacing w:val="-16"/>
        </w:rPr>
        <w:t> </w:t>
      </w:r>
      <w:r>
        <w:rPr/>
        <w:t>E,</w:t>
      </w:r>
      <w:r>
        <w:rPr>
          <w:spacing w:val="-15"/>
        </w:rPr>
        <w:t> </w:t>
      </w:r>
      <w:r>
        <w:rPr/>
        <w:t>selenium</w:t>
      </w:r>
      <w:r>
        <w:rPr>
          <w:spacing w:val="-17"/>
        </w:rPr>
        <w:t> </w:t>
      </w:r>
      <w:r>
        <w:rPr/>
        <w:t>and</w:t>
      </w:r>
      <w:r>
        <w:rPr>
          <w:spacing w:val="-15"/>
        </w:rPr>
        <w:t> </w:t>
      </w:r>
      <w:r>
        <w:rPr/>
        <w:t>beta</w:t>
      </w:r>
      <w:r>
        <w:rPr>
          <w:spacing w:val="-15"/>
        </w:rPr>
        <w:t> </w:t>
      </w:r>
      <w:r>
        <w:rPr/>
        <w:t>carotene)</w:t>
      </w:r>
      <w:r>
        <w:rPr>
          <w:spacing w:val="-16"/>
        </w:rPr>
        <w:t> </w:t>
      </w:r>
      <w:r>
        <w:rPr/>
        <w:t>play the decisive role. According to Linnane et al., age-related mutations in the mi- tochondria</w:t>
      </w:r>
      <w:r>
        <w:rPr>
          <w:spacing w:val="-18"/>
        </w:rPr>
        <w:t> </w:t>
      </w:r>
      <w:r>
        <w:rPr/>
        <w:t>(power</w:t>
      </w:r>
      <w:r>
        <w:rPr>
          <w:spacing w:val="-17"/>
        </w:rPr>
        <w:t> </w:t>
      </w:r>
      <w:r>
        <w:rPr/>
        <w:t>plants</w:t>
      </w:r>
      <w:r>
        <w:rPr>
          <w:spacing w:val="-20"/>
        </w:rPr>
        <w:t> </w:t>
      </w:r>
      <w:r>
        <w:rPr/>
        <w:t>of</w:t>
      </w:r>
      <w:r>
        <w:rPr>
          <w:spacing w:val="-16"/>
        </w:rPr>
        <w:t> </w:t>
      </w:r>
      <w:r>
        <w:rPr/>
        <w:t>the</w:t>
      </w:r>
      <w:r>
        <w:rPr>
          <w:spacing w:val="-19"/>
        </w:rPr>
        <w:t> </w:t>
      </w:r>
      <w:r>
        <w:rPr/>
        <w:t>cells)</w:t>
      </w:r>
      <w:r>
        <w:rPr>
          <w:spacing w:val="-18"/>
        </w:rPr>
        <w:t> </w:t>
      </w:r>
      <w:r>
        <w:rPr/>
        <w:t>very</w:t>
      </w:r>
      <w:r>
        <w:rPr>
          <w:spacing w:val="-17"/>
        </w:rPr>
        <w:t> </w:t>
      </w:r>
      <w:r>
        <w:rPr/>
        <w:t>often</w:t>
      </w:r>
      <w:r>
        <w:rPr>
          <w:spacing w:val="-18"/>
        </w:rPr>
        <w:t> </w:t>
      </w:r>
      <w:r>
        <w:rPr/>
        <w:t>occur</w:t>
      </w:r>
      <w:r>
        <w:rPr>
          <w:spacing w:val="-17"/>
        </w:rPr>
        <w:t> </w:t>
      </w:r>
      <w:r>
        <w:rPr/>
        <w:t>if</w:t>
      </w:r>
      <w:r>
        <w:rPr>
          <w:spacing w:val="-18"/>
        </w:rPr>
        <w:t> </w:t>
      </w:r>
      <w:r>
        <w:rPr/>
        <w:t>levels</w:t>
      </w:r>
      <w:r>
        <w:rPr>
          <w:spacing w:val="-17"/>
        </w:rPr>
        <w:t> </w:t>
      </w:r>
      <w:r>
        <w:rPr/>
        <w:t>of</w:t>
      </w:r>
      <w:r>
        <w:rPr>
          <w:spacing w:val="-20"/>
        </w:rPr>
        <w:t> </w:t>
      </w:r>
      <w:r>
        <w:rPr/>
        <w:t>antioxidants, like coenzyme Q10, vitamin C, OPC etc., are low. In the view of Littarru</w:t>
      </w:r>
      <w:r>
        <w:rPr>
          <w:spacing w:val="69"/>
        </w:rPr>
        <w:t> </w:t>
      </w:r>
      <w:r>
        <w:rPr/>
        <w:t>and</w:t>
      </w:r>
    </w:p>
    <w:p>
      <w:pPr>
        <w:pStyle w:val="BodyText"/>
        <w:rPr>
          <w:sz w:val="20"/>
        </w:rPr>
      </w:pPr>
    </w:p>
    <w:p>
      <w:pPr>
        <w:pStyle w:val="BodyText"/>
        <w:rPr>
          <w:sz w:val="18"/>
        </w:rPr>
      </w:pPr>
      <w:r>
        <w:rPr/>
        <w:pict>
          <v:line style="position:absolute;mso-position-horizontal-relative:page;mso-position-vertical-relative:paragraph;z-index:9968;mso-wrap-distance-left:0;mso-wrap-distance-right:0" from="70.823997pt,12.514985pt" to="214.843997pt,12.514985pt" stroked="true" strokeweight=".72003pt" strokecolor="#000000">
            <v:stroke dashstyle="solid"/>
            <w10:wrap type="topAndBottom"/>
          </v:line>
        </w:pict>
      </w:r>
    </w:p>
    <w:p>
      <w:pPr>
        <w:pStyle w:val="BodyText"/>
        <w:spacing w:before="7"/>
        <w:rPr>
          <w:sz w:val="18"/>
        </w:rPr>
      </w:pPr>
    </w:p>
    <w:p>
      <w:pPr>
        <w:spacing w:line="276" w:lineRule="auto" w:before="99"/>
        <w:ind w:left="616" w:right="0" w:firstLine="0"/>
        <w:jc w:val="left"/>
        <w:rPr>
          <w:sz w:val="20"/>
        </w:rPr>
      </w:pPr>
      <w:r>
        <w:rPr>
          <w:position w:val="5"/>
          <w:sz w:val="13"/>
        </w:rPr>
        <w:t>747 </w:t>
      </w:r>
      <w:r>
        <w:rPr>
          <w:sz w:val="20"/>
        </w:rPr>
        <w:t>P. H. Langsjoen und K. Folkers, in Biomedical and Clinical Aspects of Coenzyme Q, Vol. 6 Elsevier Science Publishers, Amsterdam, 1991, pp. 409–415</w:t>
      </w:r>
    </w:p>
    <w:p>
      <w:pPr>
        <w:spacing w:after="0" w:line="276" w:lineRule="auto"/>
        <w:jc w:val="left"/>
        <w:rPr>
          <w:sz w:val="20"/>
        </w:rPr>
        <w:sectPr>
          <w:pgSz w:w="14270" w:h="16850"/>
          <w:pgMar w:header="0" w:footer="1891" w:top="1340" w:bottom="2080" w:left="800" w:right="1280"/>
        </w:sectPr>
      </w:pPr>
    </w:p>
    <w:p>
      <w:pPr>
        <w:pStyle w:val="BodyText"/>
        <w:spacing w:line="276" w:lineRule="auto" w:before="72"/>
        <w:ind w:left="616" w:right="132"/>
        <w:jc w:val="both"/>
      </w:pPr>
      <w:r>
        <w:rPr/>
        <w:t>other researchers, low Q10 levels lead to oxidative damage to the mitochon- dria,</w:t>
      </w:r>
      <w:r>
        <w:rPr>
          <w:spacing w:val="-6"/>
        </w:rPr>
        <w:t> </w:t>
      </w:r>
      <w:r>
        <w:rPr/>
        <w:t>which</w:t>
      </w:r>
      <w:r>
        <w:rPr>
          <w:spacing w:val="-6"/>
        </w:rPr>
        <w:t> </w:t>
      </w:r>
      <w:r>
        <w:rPr/>
        <w:t>limits</w:t>
      </w:r>
      <w:r>
        <w:rPr>
          <w:spacing w:val="-6"/>
        </w:rPr>
        <w:t> </w:t>
      </w:r>
      <w:r>
        <w:rPr/>
        <w:t>the</w:t>
      </w:r>
      <w:r>
        <w:rPr>
          <w:spacing w:val="-5"/>
        </w:rPr>
        <w:t> </w:t>
      </w:r>
      <w:r>
        <w:rPr/>
        <w:t>ability</w:t>
      </w:r>
      <w:r>
        <w:rPr>
          <w:spacing w:val="-8"/>
        </w:rPr>
        <w:t> </w:t>
      </w:r>
      <w:r>
        <w:rPr/>
        <w:t>of</w:t>
      </w:r>
      <w:r>
        <w:rPr>
          <w:spacing w:val="-7"/>
        </w:rPr>
        <w:t> </w:t>
      </w:r>
      <w:r>
        <w:rPr/>
        <w:t>our</w:t>
      </w:r>
      <w:r>
        <w:rPr>
          <w:spacing w:val="-7"/>
        </w:rPr>
        <w:t> </w:t>
      </w:r>
      <w:r>
        <w:rPr/>
        <w:t>cells</w:t>
      </w:r>
      <w:r>
        <w:rPr>
          <w:spacing w:val="-5"/>
        </w:rPr>
        <w:t> </w:t>
      </w:r>
      <w:r>
        <w:rPr/>
        <w:t>to</w:t>
      </w:r>
      <w:r>
        <w:rPr>
          <w:spacing w:val="-6"/>
        </w:rPr>
        <w:t> </w:t>
      </w:r>
      <w:r>
        <w:rPr/>
        <w:t>function.</w:t>
      </w:r>
      <w:r>
        <w:rPr>
          <w:spacing w:val="-6"/>
        </w:rPr>
        <w:t> </w:t>
      </w:r>
      <w:r>
        <w:rPr/>
        <w:t>The</w:t>
      </w:r>
      <w:r>
        <w:rPr>
          <w:spacing w:val="-9"/>
        </w:rPr>
        <w:t> </w:t>
      </w:r>
      <w:r>
        <w:rPr/>
        <w:t>consumption</w:t>
      </w:r>
      <w:r>
        <w:rPr>
          <w:spacing w:val="-6"/>
        </w:rPr>
        <w:t> </w:t>
      </w:r>
      <w:r>
        <w:rPr/>
        <w:t>of</w:t>
      </w:r>
      <w:r>
        <w:rPr>
          <w:spacing w:val="-7"/>
        </w:rPr>
        <w:t> </w:t>
      </w:r>
      <w:r>
        <w:rPr/>
        <w:t>Q10 causes</w:t>
      </w:r>
      <w:r>
        <w:rPr>
          <w:spacing w:val="-6"/>
        </w:rPr>
        <w:t> </w:t>
      </w:r>
      <w:r>
        <w:rPr/>
        <w:t>the</w:t>
      </w:r>
      <w:r>
        <w:rPr>
          <w:spacing w:val="-6"/>
        </w:rPr>
        <w:t> </w:t>
      </w:r>
      <w:r>
        <w:rPr/>
        <w:t>Q10</w:t>
      </w:r>
      <w:r>
        <w:rPr>
          <w:spacing w:val="-7"/>
        </w:rPr>
        <w:t> </w:t>
      </w:r>
      <w:r>
        <w:rPr/>
        <w:t>level</w:t>
      </w:r>
      <w:r>
        <w:rPr>
          <w:spacing w:val="-7"/>
        </w:rPr>
        <w:t> </w:t>
      </w:r>
      <w:r>
        <w:rPr/>
        <w:t>in</w:t>
      </w:r>
      <w:r>
        <w:rPr>
          <w:spacing w:val="-7"/>
        </w:rPr>
        <w:t> </w:t>
      </w:r>
      <w:r>
        <w:rPr/>
        <w:t>the</w:t>
      </w:r>
      <w:r>
        <w:rPr>
          <w:spacing w:val="-7"/>
        </w:rPr>
        <w:t> </w:t>
      </w:r>
      <w:r>
        <w:rPr/>
        <w:t>blood</w:t>
      </w:r>
      <w:r>
        <w:rPr>
          <w:spacing w:val="-9"/>
        </w:rPr>
        <w:t> </w:t>
      </w:r>
      <w:r>
        <w:rPr/>
        <w:t>to</w:t>
      </w:r>
      <w:r>
        <w:rPr>
          <w:spacing w:val="-6"/>
        </w:rPr>
        <w:t> </w:t>
      </w:r>
      <w:r>
        <w:rPr/>
        <w:t>rise,</w:t>
      </w:r>
      <w:r>
        <w:rPr>
          <w:spacing w:val="-6"/>
        </w:rPr>
        <w:t> </w:t>
      </w:r>
      <w:r>
        <w:rPr/>
        <w:t>which</w:t>
      </w:r>
      <w:r>
        <w:rPr>
          <w:spacing w:val="-8"/>
        </w:rPr>
        <w:t> </w:t>
      </w:r>
      <w:r>
        <w:rPr/>
        <w:t>prevents</w:t>
      </w:r>
      <w:r>
        <w:rPr>
          <w:spacing w:val="-5"/>
        </w:rPr>
        <w:t> </w:t>
      </w:r>
      <w:r>
        <w:rPr/>
        <w:t>damage</w:t>
      </w:r>
      <w:r>
        <w:rPr>
          <w:spacing w:val="-9"/>
        </w:rPr>
        <w:t> </w:t>
      </w:r>
      <w:r>
        <w:rPr/>
        <w:t>and</w:t>
      </w:r>
      <w:r>
        <w:rPr>
          <w:spacing w:val="-7"/>
        </w:rPr>
        <w:t> </w:t>
      </w:r>
      <w:r>
        <w:rPr/>
        <w:t>recovers the lost functionality (‘revitalisation’). With age, unfortunately, the body loses its ability to form sufficient coenzyme Q10. This is attributable to the disrup- tion</w:t>
      </w:r>
      <w:r>
        <w:rPr>
          <w:spacing w:val="-9"/>
        </w:rPr>
        <w:t> </w:t>
      </w:r>
      <w:r>
        <w:rPr/>
        <w:t>of</w:t>
      </w:r>
      <w:r>
        <w:rPr>
          <w:spacing w:val="-9"/>
        </w:rPr>
        <w:t> </w:t>
      </w:r>
      <w:r>
        <w:rPr/>
        <w:t>functionality</w:t>
      </w:r>
      <w:r>
        <w:rPr>
          <w:spacing w:val="-9"/>
        </w:rPr>
        <w:t> </w:t>
      </w:r>
      <w:r>
        <w:rPr/>
        <w:t>in</w:t>
      </w:r>
      <w:r>
        <w:rPr>
          <w:spacing w:val="-8"/>
        </w:rPr>
        <w:t> </w:t>
      </w:r>
      <w:r>
        <w:rPr/>
        <w:t>the</w:t>
      </w:r>
      <w:r>
        <w:rPr>
          <w:spacing w:val="-8"/>
        </w:rPr>
        <w:t> </w:t>
      </w:r>
      <w:r>
        <w:rPr/>
        <w:t>liver’s</w:t>
      </w:r>
      <w:r>
        <w:rPr>
          <w:spacing w:val="-8"/>
        </w:rPr>
        <w:t> </w:t>
      </w:r>
      <w:r>
        <w:rPr/>
        <w:t>ubiquinone</w:t>
      </w:r>
      <w:r>
        <w:rPr>
          <w:spacing w:val="-9"/>
        </w:rPr>
        <w:t> </w:t>
      </w:r>
      <w:r>
        <w:rPr/>
        <w:t>Q10</w:t>
      </w:r>
      <w:r>
        <w:rPr>
          <w:spacing w:val="-9"/>
        </w:rPr>
        <w:t> </w:t>
      </w:r>
      <w:r>
        <w:rPr/>
        <w:t>biosynthesis,</w:t>
      </w:r>
      <w:r>
        <w:rPr>
          <w:spacing w:val="-13"/>
        </w:rPr>
        <w:t> </w:t>
      </w:r>
      <w:r>
        <w:rPr/>
        <w:t>with</w:t>
      </w:r>
      <w:r>
        <w:rPr>
          <w:spacing w:val="-9"/>
        </w:rPr>
        <w:t> </w:t>
      </w:r>
      <w:r>
        <w:rPr/>
        <w:t>the</w:t>
      </w:r>
      <w:r>
        <w:rPr>
          <w:spacing w:val="-7"/>
        </w:rPr>
        <w:t> </w:t>
      </w:r>
      <w:r>
        <w:rPr/>
        <w:t>result that the Q10 precursors extracted from food are no longer sufficient to be synthesised into</w:t>
      </w:r>
      <w:r>
        <w:rPr>
          <w:spacing w:val="-3"/>
        </w:rPr>
        <w:t> </w:t>
      </w:r>
      <w:r>
        <w:rPr/>
        <w:t>Q10.</w:t>
      </w:r>
    </w:p>
    <w:p>
      <w:pPr>
        <w:pStyle w:val="BodyText"/>
        <w:spacing w:line="276" w:lineRule="auto" w:before="243"/>
        <w:ind w:left="616" w:right="139"/>
        <w:jc w:val="both"/>
      </w:pPr>
      <w:r>
        <w:rPr/>
        <w:t>Ultimately</w:t>
      </w:r>
      <w:r>
        <w:rPr>
          <w:spacing w:val="-15"/>
        </w:rPr>
        <w:t> </w:t>
      </w:r>
      <w:r>
        <w:rPr/>
        <w:t>the</w:t>
      </w:r>
      <w:r>
        <w:rPr>
          <w:spacing w:val="-13"/>
        </w:rPr>
        <w:t> </w:t>
      </w:r>
      <w:r>
        <w:rPr/>
        <w:t>body</w:t>
      </w:r>
      <w:r>
        <w:rPr>
          <w:spacing w:val="-14"/>
        </w:rPr>
        <w:t> </w:t>
      </w:r>
      <w:r>
        <w:rPr/>
        <w:t>needs</w:t>
      </w:r>
      <w:r>
        <w:rPr>
          <w:spacing w:val="-12"/>
        </w:rPr>
        <w:t> </w:t>
      </w:r>
      <w:r>
        <w:rPr/>
        <w:t>more</w:t>
      </w:r>
      <w:r>
        <w:rPr>
          <w:spacing w:val="-16"/>
        </w:rPr>
        <w:t> </w:t>
      </w:r>
      <w:r>
        <w:rPr/>
        <w:t>Q10</w:t>
      </w:r>
      <w:r>
        <w:rPr>
          <w:spacing w:val="-15"/>
        </w:rPr>
        <w:t> </w:t>
      </w:r>
      <w:r>
        <w:rPr/>
        <w:t>in</w:t>
      </w:r>
      <w:r>
        <w:rPr>
          <w:spacing w:val="-13"/>
        </w:rPr>
        <w:t> </w:t>
      </w:r>
      <w:r>
        <w:rPr/>
        <w:t>old</w:t>
      </w:r>
      <w:r>
        <w:rPr>
          <w:spacing w:val="-14"/>
        </w:rPr>
        <w:t> </w:t>
      </w:r>
      <w:r>
        <w:rPr/>
        <w:t>age</w:t>
      </w:r>
      <w:r>
        <w:rPr>
          <w:spacing w:val="-14"/>
        </w:rPr>
        <w:t> </w:t>
      </w:r>
      <w:r>
        <w:rPr/>
        <w:t>than</w:t>
      </w:r>
      <w:r>
        <w:rPr>
          <w:spacing w:val="-12"/>
        </w:rPr>
        <w:t> </w:t>
      </w:r>
      <w:r>
        <w:rPr/>
        <w:t>it</w:t>
      </w:r>
      <w:r>
        <w:rPr>
          <w:spacing w:val="-15"/>
        </w:rPr>
        <w:t> </w:t>
      </w:r>
      <w:r>
        <w:rPr/>
        <w:t>is</w:t>
      </w:r>
      <w:r>
        <w:rPr>
          <w:spacing w:val="-14"/>
        </w:rPr>
        <w:t> </w:t>
      </w:r>
      <w:r>
        <w:rPr/>
        <w:t>able</w:t>
      </w:r>
      <w:r>
        <w:rPr>
          <w:spacing w:val="-13"/>
        </w:rPr>
        <w:t> </w:t>
      </w:r>
      <w:r>
        <w:rPr/>
        <w:t>to</w:t>
      </w:r>
      <w:r>
        <w:rPr>
          <w:spacing w:val="-16"/>
        </w:rPr>
        <w:t> </w:t>
      </w:r>
      <w:r>
        <w:rPr/>
        <w:t>produce</w:t>
      </w:r>
      <w:r>
        <w:rPr>
          <w:spacing w:val="-14"/>
        </w:rPr>
        <w:t> </w:t>
      </w:r>
      <w:r>
        <w:rPr/>
        <w:t>itself. If it does not receive this, however, then loss of functionality, illness and the typical</w:t>
      </w:r>
      <w:r>
        <w:rPr>
          <w:spacing w:val="-24"/>
        </w:rPr>
        <w:t> </w:t>
      </w:r>
      <w:r>
        <w:rPr/>
        <w:t>symptoms</w:t>
      </w:r>
      <w:r>
        <w:rPr>
          <w:spacing w:val="-23"/>
        </w:rPr>
        <w:t> </w:t>
      </w:r>
      <w:r>
        <w:rPr/>
        <w:t>of</w:t>
      </w:r>
      <w:r>
        <w:rPr>
          <w:spacing w:val="-23"/>
        </w:rPr>
        <w:t> </w:t>
      </w:r>
      <w:r>
        <w:rPr/>
        <w:t>ageing</w:t>
      </w:r>
      <w:r>
        <w:rPr>
          <w:spacing w:val="-22"/>
        </w:rPr>
        <w:t> </w:t>
      </w:r>
      <w:r>
        <w:rPr/>
        <w:t>occur,</w:t>
      </w:r>
      <w:r>
        <w:rPr>
          <w:spacing w:val="-23"/>
        </w:rPr>
        <w:t> </w:t>
      </w:r>
      <w:r>
        <w:rPr/>
        <w:t>as</w:t>
      </w:r>
      <w:r>
        <w:rPr>
          <w:spacing w:val="-24"/>
        </w:rPr>
        <w:t> </w:t>
      </w:r>
      <w:r>
        <w:rPr/>
        <w:t>a</w:t>
      </w:r>
      <w:r>
        <w:rPr>
          <w:spacing w:val="-25"/>
        </w:rPr>
        <w:t> </w:t>
      </w:r>
      <w:r>
        <w:rPr/>
        <w:t>Swedish</w:t>
      </w:r>
      <w:r>
        <w:rPr>
          <w:spacing w:val="-22"/>
        </w:rPr>
        <w:t> </w:t>
      </w:r>
      <w:r>
        <w:rPr/>
        <w:t>study</w:t>
      </w:r>
      <w:r>
        <w:rPr>
          <w:spacing w:val="-24"/>
        </w:rPr>
        <w:t> </w:t>
      </w:r>
      <w:r>
        <w:rPr/>
        <w:t>by</w:t>
      </w:r>
      <w:r>
        <w:rPr>
          <w:spacing w:val="-24"/>
        </w:rPr>
        <w:t> </w:t>
      </w:r>
      <w:r>
        <w:rPr/>
        <w:t>Dr.</w:t>
      </w:r>
      <w:r>
        <w:rPr>
          <w:spacing w:val="-23"/>
        </w:rPr>
        <w:t> </w:t>
      </w:r>
      <w:r>
        <w:rPr/>
        <w:t>A.</w:t>
      </w:r>
      <w:r>
        <w:rPr>
          <w:spacing w:val="-22"/>
        </w:rPr>
        <w:t> </w:t>
      </w:r>
      <w:r>
        <w:rPr/>
        <w:t>Kalén</w:t>
      </w:r>
      <w:r>
        <w:rPr>
          <w:spacing w:val="-24"/>
        </w:rPr>
        <w:t> </w:t>
      </w:r>
      <w:r>
        <w:rPr/>
        <w:t>of</w:t>
      </w:r>
      <w:r>
        <w:rPr>
          <w:spacing w:val="-23"/>
        </w:rPr>
        <w:t> </w:t>
      </w:r>
      <w:r>
        <w:rPr/>
        <w:t>Stock- holm convincingly showed.</w:t>
      </w:r>
    </w:p>
    <w:p>
      <w:pPr>
        <w:pStyle w:val="BodyText"/>
        <w:spacing w:before="240"/>
        <w:ind w:left="616"/>
      </w:pPr>
      <w:r>
        <w:rPr/>
        <w:pict>
          <v:group style="position:absolute;margin-left:70.474998pt;margin-top:48.279514pt;width:295.650pt;height:172.8pt;mso-position-horizontal-relative:page;mso-position-vertical-relative:paragraph;z-index:-1257520" coordorigin="1409,966" coordsize="5913,3456">
            <v:shape style="position:absolute;left:1417;top:973;width:5898;height:3441" type="#_x0000_t75" stroked="false">
              <v:imagedata r:id="rId318" o:title=""/>
            </v:shape>
            <v:rect style="position:absolute;left:1711;top:3957;width:5309;height:336" filled="true" fillcolor="#f1f1f1" stroked="false">
              <v:fill opacity="25443f" type="solid"/>
            </v:rect>
            <v:rect style="position:absolute;left:1840;top:4075;width:99;height:99" filled="true" fillcolor="#ea88b3" stroked="false">
              <v:fill opacity="55769f" type="solid"/>
            </v:rect>
            <v:rect style="position:absolute;left:1840;top:4075;width:99;height:99" filled="false" stroked="true" strokeweight=".72pt" strokecolor="#ffffff">
              <v:stroke dashstyle="solid"/>
            </v:rect>
            <v:rect style="position:absolute;left:4461;top:4075;width:99;height:99" filled="true" fillcolor="#c82780" stroked="false">
              <v:fill opacity="55769f" type="solid"/>
            </v:rect>
            <v:rect style="position:absolute;left:4461;top:4075;width:99;height:99" filled="false" stroked="true" strokeweight=".72pt" strokecolor="#ffffff">
              <v:stroke dashstyle="solid"/>
            </v:rect>
            <v:line style="position:absolute" from="3055,3062" to="4634,3062" stroked="true" strokeweight="6.24pt" strokecolor="#c82780">
              <v:stroke dashstyle="solid"/>
            </v:line>
            <v:line style="position:absolute" from="3055,2734" to="3646,2734" stroked="true" strokeweight="6.24pt" strokecolor="#c82780">
              <v:stroke dashstyle="solid"/>
            </v:line>
            <v:line style="position:absolute" from="3055,2405" to="3302,2405" stroked="true" strokeweight="6.24pt" strokecolor="#c82780">
              <v:stroke dashstyle="solid"/>
            </v:line>
            <v:rect style="position:absolute;left:3055;top:2342;width:248;height:125" filled="false" stroked="true" strokeweight=".72pt" strokecolor="#ffffff">
              <v:stroke dashstyle="solid"/>
            </v:rect>
            <v:line style="position:absolute" from="3055,2280" to="3893,2280" stroked="true" strokeweight="6.24pt" strokecolor="#ea88b3">
              <v:stroke dashstyle="solid"/>
            </v:line>
            <v:line style="position:absolute" from="3055,2076" to="4438,2076" stroked="true" strokeweight="6.24pt" strokecolor="#c82780">
              <v:stroke dashstyle="solid"/>
            </v:line>
            <v:shape style="position:absolute;left:3055;top:2013;width:1383;height:329" coordorigin="3055,2014" coordsize="1383,329" path="m3055,2138l4438,2138,4438,2014,3055,2014,3055,2138xm3055,2342l3893,2342,3893,2218,3055,2218,3055,2342xe" filled="false" stroked="true" strokeweight=".72pt" strokecolor="#ffffff">
              <v:path arrowok="t"/>
              <v:stroke dashstyle="solid"/>
            </v:shape>
            <v:line style="position:absolute" from="3055,1952" to="4733,1952" stroked="true" strokeweight="6.12pt" strokecolor="#ea88b3">
              <v:stroke dashstyle="solid"/>
            </v:line>
            <v:rect style="position:absolute;left:3055;top:1891;width:1678;height:123" filled="false" stroked="true" strokeweight=".72pt" strokecolor="#ffffff">
              <v:stroke dashstyle="solid"/>
            </v:rect>
            <v:line style="position:absolute" from="3055,1747" to="3449,1747" stroked="true" strokeweight="6.24pt" strokecolor="#c82780">
              <v:stroke dashstyle="solid"/>
            </v:line>
            <v:line style="position:absolute" from="3055,1418" to="4238,1418" stroked="true" strokeweight="6.24pt" strokecolor="#c82780">
              <v:stroke dashstyle="solid"/>
            </v:line>
            <v:rect style="position:absolute;left:1417;top:973;width:5898;height:3441" filled="false" stroked="true" strokeweight=".75pt" strokecolor="#bebebe">
              <v:stroke dashstyle="solid"/>
            </v:rect>
            <v:shape style="position:absolute;left:1549;top:1274;width:1361;height:2151" type="#_x0000_t202" filled="false" stroked="false">
              <v:textbox inset="0,0,0,0">
                <w:txbxContent>
                  <w:p>
                    <w:pPr>
                      <w:spacing w:line="183" w:lineRule="exact" w:before="0"/>
                      <w:ind w:left="0" w:right="0" w:firstLine="0"/>
                      <w:jc w:val="left"/>
                      <w:rPr>
                        <w:rFonts w:ascii="Calibri"/>
                        <w:sz w:val="18"/>
                      </w:rPr>
                    </w:pPr>
                    <w:r>
                      <w:rPr>
                        <w:rFonts w:ascii="Calibri"/>
                        <w:color w:val="404040"/>
                        <w:sz w:val="18"/>
                      </w:rPr>
                      <w:t>ADRENAL</w:t>
                    </w:r>
                    <w:r>
                      <w:rPr>
                        <w:rFonts w:ascii="Calibri"/>
                        <w:color w:val="404040"/>
                        <w:spacing w:val="-10"/>
                        <w:sz w:val="18"/>
                      </w:rPr>
                      <w:t> </w:t>
                    </w:r>
                    <w:r>
                      <w:rPr>
                        <w:rFonts w:ascii="Calibri"/>
                        <w:color w:val="404040"/>
                        <w:sz w:val="18"/>
                      </w:rPr>
                      <w:t>GLANDS</w:t>
                    </w:r>
                  </w:p>
                  <w:p>
                    <w:pPr>
                      <w:spacing w:line="360" w:lineRule="auto" w:before="108"/>
                      <w:ind w:left="713" w:right="2" w:hanging="156"/>
                      <w:jc w:val="left"/>
                      <w:rPr>
                        <w:rFonts w:ascii="Calibri"/>
                        <w:sz w:val="18"/>
                      </w:rPr>
                    </w:pPr>
                    <w:r>
                      <w:rPr>
                        <w:rFonts w:ascii="Calibri"/>
                        <w:color w:val="404040"/>
                        <w:sz w:val="18"/>
                      </w:rPr>
                      <w:t>PANCREAS KIDNEYS</w:t>
                    </w:r>
                  </w:p>
                  <w:p>
                    <w:pPr>
                      <w:spacing w:line="360" w:lineRule="auto" w:before="0"/>
                      <w:ind w:left="794" w:right="18" w:firstLine="132"/>
                      <w:jc w:val="both"/>
                      <w:rPr>
                        <w:rFonts w:ascii="Calibri"/>
                        <w:sz w:val="18"/>
                      </w:rPr>
                    </w:pPr>
                    <w:r>
                      <w:rPr>
                        <w:rFonts w:ascii="Calibri"/>
                        <w:color w:val="404040"/>
                        <w:sz w:val="18"/>
                      </w:rPr>
                      <w:t>LIVER SPLEEN HEART</w:t>
                    </w:r>
                  </w:p>
                  <w:p>
                    <w:pPr>
                      <w:spacing w:line="213" w:lineRule="exact" w:before="0"/>
                      <w:ind w:left="836" w:right="0" w:firstLine="0"/>
                      <w:jc w:val="both"/>
                      <w:rPr>
                        <w:rFonts w:ascii="Calibri"/>
                        <w:sz w:val="18"/>
                      </w:rPr>
                    </w:pPr>
                    <w:r>
                      <w:rPr>
                        <w:rFonts w:ascii="Calibri"/>
                        <w:color w:val="404040"/>
                        <w:sz w:val="18"/>
                      </w:rPr>
                      <w:t>LUNGS</w:t>
                    </w:r>
                  </w:p>
                </w:txbxContent>
              </v:textbox>
              <w10:wrap type="none"/>
            </v:shape>
            <v:shape style="position:absolute;left:3009;top:3643;width:112;height:180" type="#_x0000_t202" filled="false" stroked="false">
              <v:textbox inset="0,0,0,0">
                <w:txbxContent>
                  <w:p>
                    <w:pPr>
                      <w:spacing w:line="180" w:lineRule="exact" w:before="0"/>
                      <w:ind w:left="0" w:right="0" w:firstLine="0"/>
                      <w:jc w:val="left"/>
                      <w:rPr>
                        <w:rFonts w:ascii="Calibri"/>
                        <w:sz w:val="18"/>
                      </w:rPr>
                    </w:pPr>
                    <w:r>
                      <w:rPr>
                        <w:rFonts w:ascii="Calibri"/>
                        <w:color w:val="404040"/>
                        <w:sz w:val="18"/>
                      </w:rPr>
                      <w:t>0</w:t>
                    </w:r>
                  </w:p>
                </w:txbxContent>
              </v:textbox>
              <w10:wrap type="none"/>
            </v:shape>
            <v:shape style="position:absolute;left:3951;top:3643;width:203;height:180" type="#_x0000_t202" filled="false" stroked="false">
              <v:textbox inset="0,0,0,0">
                <w:txbxContent>
                  <w:p>
                    <w:pPr>
                      <w:spacing w:line="180" w:lineRule="exact" w:before="0"/>
                      <w:ind w:left="0" w:right="0" w:firstLine="0"/>
                      <w:jc w:val="left"/>
                      <w:rPr>
                        <w:rFonts w:ascii="Calibri"/>
                        <w:sz w:val="18"/>
                      </w:rPr>
                    </w:pPr>
                    <w:r>
                      <w:rPr>
                        <w:rFonts w:ascii="Calibri"/>
                        <w:color w:val="404040"/>
                        <w:sz w:val="18"/>
                      </w:rPr>
                      <w:t>20</w:t>
                    </w:r>
                  </w:p>
                </w:txbxContent>
              </v:textbox>
              <w10:wrap type="none"/>
            </v:shape>
            <v:shape style="position:absolute;left:4938;top:3643;width:203;height:180" type="#_x0000_t202" filled="false" stroked="false">
              <v:textbox inset="0,0,0,0">
                <w:txbxContent>
                  <w:p>
                    <w:pPr>
                      <w:spacing w:line="180" w:lineRule="exact" w:before="0"/>
                      <w:ind w:left="0" w:right="0" w:firstLine="0"/>
                      <w:jc w:val="left"/>
                      <w:rPr>
                        <w:rFonts w:ascii="Calibri"/>
                        <w:sz w:val="18"/>
                      </w:rPr>
                    </w:pPr>
                    <w:r>
                      <w:rPr>
                        <w:rFonts w:ascii="Calibri"/>
                        <w:color w:val="404040"/>
                        <w:sz w:val="18"/>
                      </w:rPr>
                      <w:t>40</w:t>
                    </w:r>
                  </w:p>
                </w:txbxContent>
              </v:textbox>
              <w10:wrap type="none"/>
            </v:shape>
            <v:shape style="position:absolute;left:5926;top:3643;width:203;height:180" type="#_x0000_t202" filled="false" stroked="false">
              <v:textbox inset="0,0,0,0">
                <w:txbxContent>
                  <w:p>
                    <w:pPr>
                      <w:spacing w:line="180" w:lineRule="exact" w:before="0"/>
                      <w:ind w:left="0" w:right="0" w:firstLine="0"/>
                      <w:jc w:val="left"/>
                      <w:rPr>
                        <w:rFonts w:ascii="Calibri"/>
                        <w:sz w:val="18"/>
                      </w:rPr>
                    </w:pPr>
                    <w:r>
                      <w:rPr>
                        <w:rFonts w:ascii="Calibri"/>
                        <w:color w:val="404040"/>
                        <w:sz w:val="18"/>
                      </w:rPr>
                      <w:t>60</w:t>
                    </w:r>
                  </w:p>
                </w:txbxContent>
              </v:textbox>
              <w10:wrap type="none"/>
            </v:shape>
            <v:shape style="position:absolute;left:6914;top:3643;width:203;height:180" type="#_x0000_t202" filled="false" stroked="false">
              <v:textbox inset="0,0,0,0">
                <w:txbxContent>
                  <w:p>
                    <w:pPr>
                      <w:spacing w:line="180" w:lineRule="exact" w:before="0"/>
                      <w:ind w:left="0" w:right="0" w:firstLine="0"/>
                      <w:jc w:val="left"/>
                      <w:rPr>
                        <w:rFonts w:ascii="Calibri"/>
                        <w:sz w:val="18"/>
                      </w:rPr>
                    </w:pPr>
                    <w:r>
                      <w:rPr>
                        <w:rFonts w:ascii="Calibri"/>
                        <w:color w:val="404040"/>
                        <w:sz w:val="18"/>
                      </w:rPr>
                      <w:t>80</w:t>
                    </w:r>
                  </w:p>
                </w:txbxContent>
              </v:textbox>
              <w10:wrap type="none"/>
            </v:shape>
            <v:shape style="position:absolute;left:1711;top:3957;width:5309;height:336" type="#_x0000_t202" filled="false" stroked="false">
              <v:textbox inset="0,0,0,0">
                <w:txbxContent>
                  <w:p>
                    <w:pPr>
                      <w:tabs>
                        <w:tab w:pos="2892" w:val="left" w:leader="none"/>
                      </w:tabs>
                      <w:spacing w:before="48"/>
                      <w:ind w:left="269" w:right="0" w:firstLine="0"/>
                      <w:jc w:val="left"/>
                      <w:rPr>
                        <w:rFonts w:ascii="Calibri"/>
                        <w:sz w:val="18"/>
                      </w:rPr>
                    </w:pPr>
                    <w:r>
                      <w:rPr>
                        <w:rFonts w:ascii="Calibri"/>
                        <w:color w:val="404040"/>
                        <w:sz w:val="18"/>
                      </w:rPr>
                      <w:t>Decrease in % in 39-43</w:t>
                    </w:r>
                    <w:r>
                      <w:rPr>
                        <w:rFonts w:ascii="Calibri"/>
                        <w:color w:val="404040"/>
                        <w:spacing w:val="-8"/>
                        <w:sz w:val="18"/>
                      </w:rPr>
                      <w:t> </w:t>
                    </w:r>
                    <w:r>
                      <w:rPr>
                        <w:rFonts w:ascii="Calibri"/>
                        <w:color w:val="404040"/>
                        <w:sz w:val="18"/>
                      </w:rPr>
                      <w:t>year</w:t>
                    </w:r>
                    <w:r>
                      <w:rPr>
                        <w:rFonts w:ascii="Calibri"/>
                        <w:color w:val="404040"/>
                        <w:spacing w:val="-2"/>
                        <w:sz w:val="18"/>
                      </w:rPr>
                      <w:t> </w:t>
                    </w:r>
                    <w:r>
                      <w:rPr>
                        <w:rFonts w:ascii="Calibri"/>
                        <w:color w:val="404040"/>
                        <w:sz w:val="18"/>
                      </w:rPr>
                      <w:t>olds</w:t>
                      <w:tab/>
                      <w:t>Decrease in % in 77-81 year</w:t>
                    </w:r>
                    <w:r>
                      <w:rPr>
                        <w:rFonts w:ascii="Calibri"/>
                        <w:color w:val="404040"/>
                        <w:spacing w:val="-7"/>
                        <w:sz w:val="18"/>
                      </w:rPr>
                      <w:t> </w:t>
                    </w:r>
                    <w:r>
                      <w:rPr>
                        <w:rFonts w:ascii="Calibri"/>
                        <w:color w:val="404040"/>
                        <w:sz w:val="18"/>
                      </w:rPr>
                      <w:t>olds</w:t>
                    </w:r>
                  </w:p>
                </w:txbxContent>
              </v:textbox>
              <w10:wrap type="none"/>
            </v:shape>
            <w10:wrap type="none"/>
          </v:group>
        </w:pict>
      </w:r>
      <w:r>
        <w:rPr/>
        <w:t>The following diagram illustrates this:</w:t>
      </w:r>
    </w:p>
    <w:p>
      <w:pPr>
        <w:pStyle w:val="BodyText"/>
        <w:rPr>
          <w:sz w:val="20"/>
        </w:rPr>
      </w:pPr>
    </w:p>
    <w:p>
      <w:pPr>
        <w:pStyle w:val="BodyText"/>
        <w:rPr>
          <w:sz w:val="29"/>
        </w:rPr>
      </w:pPr>
    </w:p>
    <w:tbl>
      <w:tblPr>
        <w:tblW w:w="0" w:type="auto"/>
        <w:jc w:val="left"/>
        <w:tblInd w:w="2255" w:type="dxa"/>
        <w:tblBorders>
          <w:top w:val="single" w:sz="6" w:space="0" w:color="EA88B3"/>
          <w:left w:val="single" w:sz="6" w:space="0" w:color="EA88B3"/>
          <w:bottom w:val="single" w:sz="6" w:space="0" w:color="EA88B3"/>
          <w:right w:val="single" w:sz="6" w:space="0" w:color="EA88B3"/>
          <w:insideH w:val="single" w:sz="6" w:space="0" w:color="EA88B3"/>
          <w:insideV w:val="single" w:sz="6" w:space="0" w:color="EA88B3"/>
        </w:tblBorders>
        <w:tblLayout w:type="fixed"/>
        <w:tblCellMar>
          <w:top w:w="0" w:type="dxa"/>
          <w:left w:w="0" w:type="dxa"/>
          <w:bottom w:w="0" w:type="dxa"/>
          <w:right w:w="0" w:type="dxa"/>
        </w:tblCellMar>
        <w:tblLook w:val="01E0"/>
      </w:tblPr>
      <w:tblGrid>
        <w:gridCol w:w="406"/>
        <w:gridCol w:w="493"/>
        <w:gridCol w:w="419"/>
        <w:gridCol w:w="652"/>
        <w:gridCol w:w="420"/>
        <w:gridCol w:w="418"/>
        <w:gridCol w:w="148"/>
        <w:gridCol w:w="443"/>
      </w:tblGrid>
      <w:tr>
        <w:trPr>
          <w:trHeight w:val="121" w:hRule="atLeast"/>
        </w:trPr>
        <w:tc>
          <w:tcPr>
            <w:tcW w:w="1970" w:type="dxa"/>
            <w:gridSpan w:val="4"/>
            <w:tcBorders>
              <w:left w:val="single" w:sz="6" w:space="0" w:color="FFFFFF"/>
              <w:right w:val="single" w:sz="6" w:space="0" w:color="000000"/>
            </w:tcBorders>
          </w:tcPr>
          <w:p>
            <w:pPr>
              <w:pStyle w:val="TableParagraph"/>
              <w:rPr>
                <w:rFonts w:ascii="Times New Roman"/>
                <w:sz w:val="6"/>
              </w:rPr>
            </w:pPr>
          </w:p>
        </w:tc>
        <w:tc>
          <w:tcPr>
            <w:tcW w:w="420" w:type="dxa"/>
            <w:tcBorders>
              <w:left w:val="single" w:sz="6" w:space="0" w:color="000000"/>
              <w:right w:val="single" w:sz="6" w:space="0" w:color="FFFFFF"/>
            </w:tcBorders>
          </w:tcPr>
          <w:p>
            <w:pPr>
              <w:pStyle w:val="TableParagraph"/>
              <w:spacing w:line="102" w:lineRule="exact"/>
              <w:ind w:left="97"/>
              <w:rPr>
                <w:rFonts w:ascii="Calibri"/>
                <w:b/>
                <w:sz w:val="18"/>
              </w:rPr>
            </w:pPr>
            <w:r>
              <w:rPr>
                <w:rFonts w:ascii="Calibri"/>
                <w:b/>
                <w:color w:val="FFFFFF"/>
                <w:sz w:val="18"/>
              </w:rPr>
              <w:t>48</w:t>
            </w:r>
          </w:p>
        </w:tc>
        <w:tc>
          <w:tcPr>
            <w:tcW w:w="566" w:type="dxa"/>
            <w:gridSpan w:val="2"/>
            <w:tcBorders>
              <w:top w:val="nil"/>
              <w:left w:val="single" w:sz="6" w:space="0" w:color="FFFFFF"/>
              <w:bottom w:val="nil"/>
              <w:right w:val="single" w:sz="6" w:space="0" w:color="000000"/>
            </w:tcBorders>
          </w:tcPr>
          <w:p>
            <w:pPr>
              <w:pStyle w:val="TableParagraph"/>
              <w:rPr>
                <w:rFonts w:ascii="Times New Roman"/>
                <w:sz w:val="6"/>
              </w:rPr>
            </w:pPr>
          </w:p>
        </w:tc>
        <w:tc>
          <w:tcPr>
            <w:tcW w:w="443" w:type="dxa"/>
            <w:vMerge w:val="restart"/>
            <w:tcBorders>
              <w:top w:val="nil"/>
              <w:left w:val="single" w:sz="6" w:space="0" w:color="000000"/>
              <w:right w:val="nil"/>
            </w:tcBorders>
          </w:tcPr>
          <w:p>
            <w:pPr>
              <w:pStyle w:val="TableParagraph"/>
              <w:rPr>
                <w:rFonts w:ascii="Times New Roman"/>
                <w:sz w:val="22"/>
              </w:rPr>
            </w:pPr>
          </w:p>
        </w:tc>
      </w:tr>
      <w:tr>
        <w:trPr>
          <w:trHeight w:val="176" w:hRule="atLeast"/>
        </w:trPr>
        <w:tc>
          <w:tcPr>
            <w:tcW w:w="1970" w:type="dxa"/>
            <w:gridSpan w:val="4"/>
            <w:tcBorders>
              <w:left w:val="single" w:sz="6" w:space="0" w:color="FFFFFF"/>
              <w:right w:val="single" w:sz="6" w:space="0" w:color="000000"/>
            </w:tcBorders>
          </w:tcPr>
          <w:p>
            <w:pPr>
              <w:pStyle w:val="TableParagraph"/>
              <w:spacing w:line="157" w:lineRule="exact"/>
              <w:ind w:left="864" w:right="868"/>
              <w:jc w:val="center"/>
              <w:rPr>
                <w:rFonts w:ascii="Calibri"/>
                <w:b/>
                <w:sz w:val="18"/>
              </w:rPr>
            </w:pPr>
            <w:r>
              <w:rPr>
                <w:rFonts w:ascii="Calibri"/>
                <w:b/>
                <w:color w:val="FFFFFF"/>
                <w:sz w:val="18"/>
              </w:rPr>
              <w:t>24</w:t>
            </w:r>
          </w:p>
        </w:tc>
        <w:tc>
          <w:tcPr>
            <w:tcW w:w="986" w:type="dxa"/>
            <w:gridSpan w:val="3"/>
            <w:tcBorders>
              <w:top w:val="nil"/>
              <w:left w:val="single" w:sz="6" w:space="0" w:color="000000"/>
              <w:right w:val="single" w:sz="6" w:space="0" w:color="000000"/>
            </w:tcBorders>
          </w:tcPr>
          <w:p>
            <w:pPr>
              <w:pStyle w:val="TableParagraph"/>
              <w:rPr>
                <w:rFonts w:ascii="Times New Roman"/>
                <w:sz w:val="10"/>
              </w:rPr>
            </w:pPr>
          </w:p>
        </w:tc>
        <w:tc>
          <w:tcPr>
            <w:tcW w:w="443" w:type="dxa"/>
            <w:vMerge/>
            <w:tcBorders>
              <w:top w:val="nil"/>
              <w:left w:val="single" w:sz="6" w:space="0" w:color="000000"/>
              <w:right w:val="nil"/>
            </w:tcBorders>
          </w:tcPr>
          <w:p>
            <w:pPr>
              <w:rPr>
                <w:sz w:val="2"/>
                <w:szCs w:val="2"/>
              </w:rPr>
            </w:pPr>
          </w:p>
        </w:tc>
      </w:tr>
      <w:tr>
        <w:trPr>
          <w:trHeight w:val="121" w:hRule="atLeast"/>
        </w:trPr>
        <w:tc>
          <w:tcPr>
            <w:tcW w:w="1970" w:type="dxa"/>
            <w:gridSpan w:val="4"/>
            <w:tcBorders>
              <w:left w:val="single" w:sz="6" w:space="0" w:color="FFFFFF"/>
              <w:right w:val="single" w:sz="6" w:space="0" w:color="000000"/>
            </w:tcBorders>
          </w:tcPr>
          <w:p>
            <w:pPr>
              <w:pStyle w:val="TableParagraph"/>
              <w:rPr>
                <w:rFonts w:ascii="Times New Roman"/>
                <w:sz w:val="6"/>
              </w:rPr>
            </w:pPr>
          </w:p>
        </w:tc>
        <w:tc>
          <w:tcPr>
            <w:tcW w:w="986" w:type="dxa"/>
            <w:gridSpan w:val="3"/>
            <w:tcBorders>
              <w:left w:val="single" w:sz="6" w:space="0" w:color="000000"/>
              <w:right w:val="single" w:sz="6" w:space="0" w:color="000000"/>
            </w:tcBorders>
          </w:tcPr>
          <w:p>
            <w:pPr>
              <w:pStyle w:val="TableParagraph"/>
              <w:rPr>
                <w:rFonts w:ascii="Times New Roman"/>
                <w:sz w:val="6"/>
              </w:rPr>
            </w:pPr>
          </w:p>
        </w:tc>
        <w:tc>
          <w:tcPr>
            <w:tcW w:w="443" w:type="dxa"/>
            <w:tcBorders>
              <w:left w:val="single" w:sz="6" w:space="0" w:color="000000"/>
              <w:right w:val="single" w:sz="6" w:space="0" w:color="FFFFFF"/>
            </w:tcBorders>
          </w:tcPr>
          <w:p>
            <w:pPr>
              <w:pStyle w:val="TableParagraph"/>
              <w:spacing w:line="102" w:lineRule="exact"/>
              <w:ind w:left="148"/>
              <w:rPr>
                <w:rFonts w:ascii="Calibri"/>
                <w:b/>
                <w:sz w:val="18"/>
              </w:rPr>
            </w:pPr>
            <w:r>
              <w:rPr>
                <w:rFonts w:ascii="Calibri"/>
                <w:b/>
                <w:color w:val="FFFFFF"/>
                <w:sz w:val="18"/>
              </w:rPr>
              <w:t>69</w:t>
            </w:r>
          </w:p>
        </w:tc>
      </w:tr>
      <w:tr>
        <w:trPr>
          <w:trHeight w:val="832" w:hRule="atLeast"/>
        </w:trPr>
        <w:tc>
          <w:tcPr>
            <w:tcW w:w="406" w:type="dxa"/>
            <w:tcBorders>
              <w:left w:val="nil"/>
              <w:right w:val="nil"/>
            </w:tcBorders>
          </w:tcPr>
          <w:p>
            <w:pPr>
              <w:pStyle w:val="TableParagraph"/>
              <w:spacing w:line="158" w:lineRule="exact"/>
              <w:ind w:left="191"/>
              <w:rPr>
                <w:rFonts w:ascii="Calibri"/>
                <w:b/>
                <w:sz w:val="18"/>
              </w:rPr>
            </w:pPr>
            <w:r>
              <w:rPr>
                <w:rFonts w:ascii="Calibri"/>
                <w:b/>
                <w:color w:val="FFFFFF"/>
                <w:sz w:val="18"/>
              </w:rPr>
              <w:t>8</w:t>
            </w:r>
          </w:p>
          <w:p>
            <w:pPr>
              <w:pStyle w:val="TableParagraph"/>
              <w:rPr>
                <w:sz w:val="18"/>
              </w:rPr>
            </w:pPr>
          </w:p>
          <w:p>
            <w:pPr>
              <w:pStyle w:val="TableParagraph"/>
              <w:spacing w:before="9"/>
              <w:rPr>
                <w:sz w:val="20"/>
              </w:rPr>
            </w:pPr>
          </w:p>
          <w:p>
            <w:pPr>
              <w:pStyle w:val="TableParagraph"/>
              <w:spacing w:line="216" w:lineRule="exact" w:before="1"/>
              <w:ind w:left="127"/>
              <w:rPr>
                <w:rFonts w:ascii="Calibri"/>
                <w:b/>
                <w:sz w:val="18"/>
              </w:rPr>
            </w:pPr>
            <w:r>
              <w:rPr>
                <w:rFonts w:ascii="Calibri"/>
                <w:b/>
                <w:color w:val="FFFFFF"/>
                <w:sz w:val="18"/>
              </w:rPr>
              <w:t>5</w:t>
            </w:r>
          </w:p>
        </w:tc>
        <w:tc>
          <w:tcPr>
            <w:tcW w:w="493" w:type="dxa"/>
            <w:tcBorders>
              <w:left w:val="nil"/>
              <w:right w:val="nil"/>
            </w:tcBorders>
          </w:tcPr>
          <w:p>
            <w:pPr>
              <w:pStyle w:val="TableParagraph"/>
              <w:rPr>
                <w:sz w:val="18"/>
              </w:rPr>
            </w:pPr>
          </w:p>
          <w:p>
            <w:pPr>
              <w:pStyle w:val="TableParagraph"/>
              <w:spacing w:before="10"/>
              <w:rPr>
                <w:sz w:val="23"/>
              </w:rPr>
            </w:pPr>
          </w:p>
          <w:p>
            <w:pPr>
              <w:pStyle w:val="TableParagraph"/>
              <w:ind w:left="138"/>
              <w:rPr>
                <w:rFonts w:ascii="Calibri"/>
                <w:b/>
                <w:sz w:val="18"/>
              </w:rPr>
            </w:pPr>
            <w:r>
              <w:rPr>
                <w:rFonts w:ascii="Calibri"/>
                <w:b/>
                <w:color w:val="FFFFFF"/>
                <w:sz w:val="18"/>
              </w:rPr>
              <w:t>17</w:t>
            </w:r>
          </w:p>
        </w:tc>
        <w:tc>
          <w:tcPr>
            <w:tcW w:w="419" w:type="dxa"/>
            <w:tcBorders>
              <w:left w:val="nil"/>
              <w:right w:val="nil"/>
            </w:tcBorders>
          </w:tcPr>
          <w:p>
            <w:pPr>
              <w:pStyle w:val="TableParagraph"/>
              <w:spacing w:before="8"/>
              <w:rPr>
                <w:sz w:val="23"/>
              </w:rPr>
            </w:pPr>
          </w:p>
          <w:p>
            <w:pPr>
              <w:pStyle w:val="TableParagraph"/>
              <w:ind w:left="188"/>
              <w:rPr>
                <w:rFonts w:ascii="Calibri"/>
                <w:b/>
                <w:sz w:val="18"/>
              </w:rPr>
            </w:pPr>
            <w:r>
              <w:rPr>
                <w:rFonts w:ascii="Calibri"/>
                <w:b/>
                <w:color w:val="FFFFFF"/>
                <w:sz w:val="18"/>
              </w:rPr>
              <w:t>28</w:t>
            </w:r>
          </w:p>
        </w:tc>
        <w:tc>
          <w:tcPr>
            <w:tcW w:w="652" w:type="dxa"/>
            <w:tcBorders>
              <w:left w:val="nil"/>
              <w:right w:val="single" w:sz="6" w:space="0" w:color="000000"/>
            </w:tcBorders>
          </w:tcPr>
          <w:p>
            <w:pPr>
              <w:pStyle w:val="TableParagraph"/>
              <w:spacing w:before="143"/>
              <w:ind w:left="65"/>
              <w:rPr>
                <w:rFonts w:ascii="Calibri"/>
                <w:b/>
                <w:sz w:val="18"/>
              </w:rPr>
            </w:pPr>
            <w:r>
              <w:rPr>
                <w:rFonts w:ascii="Calibri"/>
                <w:b/>
                <w:color w:val="FFFFFF"/>
                <w:sz w:val="18"/>
              </w:rPr>
              <w:t>34</w:t>
            </w:r>
          </w:p>
        </w:tc>
        <w:tc>
          <w:tcPr>
            <w:tcW w:w="986" w:type="dxa"/>
            <w:gridSpan w:val="3"/>
            <w:tcBorders>
              <w:left w:val="single" w:sz="6" w:space="0" w:color="000000"/>
              <w:right w:val="single" w:sz="6" w:space="0" w:color="000000"/>
            </w:tcBorders>
          </w:tcPr>
          <w:p>
            <w:pPr>
              <w:pStyle w:val="TableParagraph"/>
              <w:rPr>
                <w:rFonts w:ascii="Times New Roman"/>
                <w:sz w:val="34"/>
              </w:rPr>
            </w:pPr>
          </w:p>
        </w:tc>
        <w:tc>
          <w:tcPr>
            <w:tcW w:w="443" w:type="dxa"/>
            <w:vMerge w:val="restart"/>
            <w:tcBorders>
              <w:left w:val="single" w:sz="6" w:space="0" w:color="FFFFFF"/>
              <w:bottom w:val="nil"/>
              <w:right w:val="nil"/>
            </w:tcBorders>
          </w:tcPr>
          <w:p>
            <w:pPr>
              <w:pStyle w:val="TableParagraph"/>
              <w:rPr>
                <w:rFonts w:ascii="Times New Roman"/>
                <w:sz w:val="34"/>
              </w:rPr>
            </w:pPr>
          </w:p>
        </w:tc>
      </w:tr>
      <w:tr>
        <w:trPr>
          <w:trHeight w:val="124" w:hRule="atLeast"/>
        </w:trPr>
        <w:tc>
          <w:tcPr>
            <w:tcW w:w="1970" w:type="dxa"/>
            <w:gridSpan w:val="4"/>
            <w:tcBorders>
              <w:left w:val="single" w:sz="6" w:space="0" w:color="FFFFFF"/>
              <w:right w:val="single" w:sz="6" w:space="0" w:color="000000"/>
            </w:tcBorders>
          </w:tcPr>
          <w:p>
            <w:pPr>
              <w:pStyle w:val="TableParagraph"/>
              <w:rPr>
                <w:rFonts w:ascii="Times New Roman"/>
                <w:sz w:val="6"/>
              </w:rPr>
            </w:pPr>
          </w:p>
        </w:tc>
        <w:tc>
          <w:tcPr>
            <w:tcW w:w="986" w:type="dxa"/>
            <w:gridSpan w:val="3"/>
            <w:tcBorders>
              <w:left w:val="single" w:sz="6" w:space="0" w:color="000000"/>
              <w:right w:val="single" w:sz="6" w:space="0" w:color="FFFFFF"/>
            </w:tcBorders>
          </w:tcPr>
          <w:p>
            <w:pPr>
              <w:pStyle w:val="TableParagraph"/>
              <w:spacing w:line="104" w:lineRule="exact"/>
              <w:ind w:right="96"/>
              <w:jc w:val="right"/>
              <w:rPr>
                <w:rFonts w:ascii="Calibri"/>
                <w:b/>
                <w:sz w:val="18"/>
              </w:rPr>
            </w:pPr>
            <w:r>
              <w:rPr>
                <w:rFonts w:ascii="Calibri"/>
                <w:b/>
                <w:color w:val="FFFFFF"/>
                <w:sz w:val="18"/>
              </w:rPr>
              <w:t>60</w:t>
            </w:r>
          </w:p>
        </w:tc>
        <w:tc>
          <w:tcPr>
            <w:tcW w:w="443" w:type="dxa"/>
            <w:vMerge/>
            <w:tcBorders>
              <w:top w:val="nil"/>
              <w:left w:val="single" w:sz="6" w:space="0" w:color="FFFFFF"/>
              <w:bottom w:val="nil"/>
              <w:right w:val="nil"/>
            </w:tcBorders>
          </w:tcPr>
          <w:p>
            <w:pPr>
              <w:rPr>
                <w:sz w:val="2"/>
                <w:szCs w:val="2"/>
              </w:rPr>
            </w:pPr>
          </w:p>
        </w:tc>
      </w:tr>
      <w:tr>
        <w:trPr>
          <w:trHeight w:val="174" w:hRule="atLeast"/>
        </w:trPr>
        <w:tc>
          <w:tcPr>
            <w:tcW w:w="1970" w:type="dxa"/>
            <w:gridSpan w:val="4"/>
            <w:tcBorders>
              <w:left w:val="single" w:sz="6" w:space="0" w:color="FFFFFF"/>
              <w:right w:val="single" w:sz="6" w:space="0" w:color="000000"/>
            </w:tcBorders>
          </w:tcPr>
          <w:p>
            <w:pPr>
              <w:pStyle w:val="TableParagraph"/>
              <w:spacing w:line="155" w:lineRule="exact"/>
              <w:ind w:left="290"/>
              <w:rPr>
                <w:rFonts w:ascii="Calibri"/>
                <w:b/>
                <w:sz w:val="18"/>
              </w:rPr>
            </w:pPr>
            <w:r>
              <w:rPr>
                <w:rFonts w:ascii="Calibri"/>
                <w:b/>
                <w:color w:val="FFFFFF"/>
                <w:sz w:val="18"/>
              </w:rPr>
              <w:t>12</w:t>
            </w:r>
          </w:p>
        </w:tc>
        <w:tc>
          <w:tcPr>
            <w:tcW w:w="986" w:type="dxa"/>
            <w:gridSpan w:val="3"/>
            <w:tcBorders>
              <w:left w:val="single" w:sz="6" w:space="0" w:color="000000"/>
              <w:right w:val="single" w:sz="6" w:space="0" w:color="000000"/>
            </w:tcBorders>
          </w:tcPr>
          <w:p>
            <w:pPr>
              <w:pStyle w:val="TableParagraph"/>
              <w:rPr>
                <w:rFonts w:ascii="Times New Roman"/>
                <w:sz w:val="10"/>
              </w:rPr>
            </w:pPr>
          </w:p>
        </w:tc>
        <w:tc>
          <w:tcPr>
            <w:tcW w:w="443" w:type="dxa"/>
            <w:vMerge/>
            <w:tcBorders>
              <w:top w:val="nil"/>
              <w:left w:val="single" w:sz="6" w:space="0" w:color="FFFFFF"/>
              <w:bottom w:val="nil"/>
              <w:right w:val="nil"/>
            </w:tcBorders>
          </w:tcPr>
          <w:p>
            <w:pPr>
              <w:rPr>
                <w:sz w:val="2"/>
                <w:szCs w:val="2"/>
              </w:rPr>
            </w:pPr>
          </w:p>
        </w:tc>
      </w:tr>
      <w:tr>
        <w:trPr>
          <w:trHeight w:val="124" w:hRule="atLeast"/>
        </w:trPr>
        <w:tc>
          <w:tcPr>
            <w:tcW w:w="1970" w:type="dxa"/>
            <w:gridSpan w:val="4"/>
            <w:tcBorders>
              <w:left w:val="single" w:sz="6" w:space="0" w:color="FFFFFF"/>
              <w:right w:val="single" w:sz="6" w:space="0" w:color="000000"/>
            </w:tcBorders>
          </w:tcPr>
          <w:p>
            <w:pPr>
              <w:pStyle w:val="TableParagraph"/>
              <w:rPr>
                <w:rFonts w:ascii="Times New Roman"/>
                <w:sz w:val="6"/>
              </w:rPr>
            </w:pPr>
          </w:p>
        </w:tc>
        <w:tc>
          <w:tcPr>
            <w:tcW w:w="838" w:type="dxa"/>
            <w:gridSpan w:val="2"/>
            <w:tcBorders>
              <w:left w:val="single" w:sz="6" w:space="0" w:color="000000"/>
              <w:right w:val="single" w:sz="6" w:space="0" w:color="FFFFFF"/>
            </w:tcBorders>
          </w:tcPr>
          <w:p>
            <w:pPr>
              <w:pStyle w:val="TableParagraph"/>
              <w:spacing w:line="104" w:lineRule="exact"/>
              <w:ind w:left="542"/>
              <w:rPr>
                <w:rFonts w:ascii="Calibri"/>
                <w:b/>
                <w:sz w:val="18"/>
              </w:rPr>
            </w:pPr>
            <w:r>
              <w:rPr>
                <w:rFonts w:ascii="Calibri"/>
                <w:b/>
                <w:color w:val="FFFFFF"/>
                <w:sz w:val="18"/>
              </w:rPr>
              <w:t>57</w:t>
            </w:r>
          </w:p>
        </w:tc>
        <w:tc>
          <w:tcPr>
            <w:tcW w:w="148" w:type="dxa"/>
            <w:tcBorders>
              <w:top w:val="nil"/>
              <w:left w:val="single" w:sz="6" w:space="0" w:color="FFFFFF"/>
              <w:bottom w:val="nil"/>
              <w:right w:val="single" w:sz="6" w:space="0" w:color="000000"/>
            </w:tcBorders>
          </w:tcPr>
          <w:p>
            <w:pPr>
              <w:pStyle w:val="TableParagraph"/>
              <w:rPr>
                <w:rFonts w:ascii="Times New Roman"/>
                <w:sz w:val="6"/>
              </w:rPr>
            </w:pPr>
          </w:p>
        </w:tc>
        <w:tc>
          <w:tcPr>
            <w:tcW w:w="443" w:type="dxa"/>
            <w:vMerge/>
            <w:tcBorders>
              <w:top w:val="nil"/>
              <w:left w:val="single" w:sz="6" w:space="0" w:color="FFFFFF"/>
              <w:bottom w:val="nil"/>
              <w:right w:val="nil"/>
            </w:tcBorders>
          </w:tcPr>
          <w:p>
            <w:pPr>
              <w:rPr>
                <w:sz w:val="2"/>
                <w:szCs w:val="2"/>
              </w:rPr>
            </w:pPr>
          </w:p>
        </w:tc>
      </w:tr>
      <w:tr>
        <w:trPr>
          <w:trHeight w:val="299" w:hRule="atLeast"/>
        </w:trPr>
        <w:tc>
          <w:tcPr>
            <w:tcW w:w="1970" w:type="dxa"/>
            <w:gridSpan w:val="4"/>
            <w:tcBorders>
              <w:left w:val="single" w:sz="6" w:space="0" w:color="FFFFFF"/>
              <w:bottom w:val="single" w:sz="6" w:space="0" w:color="C82780"/>
              <w:right w:val="single" w:sz="6" w:space="0" w:color="000000"/>
            </w:tcBorders>
          </w:tcPr>
          <w:p>
            <w:pPr>
              <w:pStyle w:val="TableParagraph"/>
              <w:spacing w:line="157" w:lineRule="exact"/>
              <w:ind w:left="1277"/>
              <w:rPr>
                <w:rFonts w:ascii="Calibri"/>
                <w:b/>
                <w:sz w:val="18"/>
              </w:rPr>
            </w:pPr>
            <w:r>
              <w:rPr>
                <w:rFonts w:ascii="Calibri"/>
                <w:b/>
                <w:color w:val="FFFFFF"/>
                <w:sz w:val="18"/>
              </w:rPr>
              <w:t>32</w:t>
            </w:r>
          </w:p>
        </w:tc>
        <w:tc>
          <w:tcPr>
            <w:tcW w:w="986" w:type="dxa"/>
            <w:gridSpan w:val="3"/>
            <w:tcBorders>
              <w:left w:val="single" w:sz="6" w:space="0" w:color="000000"/>
              <w:bottom w:val="nil"/>
              <w:right w:val="single" w:sz="6" w:space="0" w:color="000000"/>
            </w:tcBorders>
          </w:tcPr>
          <w:p>
            <w:pPr>
              <w:pStyle w:val="TableParagraph"/>
              <w:rPr>
                <w:rFonts w:ascii="Times New Roman"/>
                <w:sz w:val="22"/>
              </w:rPr>
            </w:pPr>
          </w:p>
        </w:tc>
        <w:tc>
          <w:tcPr>
            <w:tcW w:w="443" w:type="dxa"/>
            <w:vMerge/>
            <w:tcBorders>
              <w:top w:val="nil"/>
              <w:left w:val="single" w:sz="6" w:space="0" w:color="FFFFFF"/>
              <w:bottom w:val="nil"/>
              <w:right w:val="nil"/>
            </w:tcBorders>
          </w:tcPr>
          <w:p>
            <w:pPr>
              <w:rPr>
                <w:sz w:val="2"/>
                <w:szCs w:val="2"/>
              </w:rPr>
            </w:pPr>
          </w:p>
        </w:tc>
      </w:tr>
      <w:tr>
        <w:trPr>
          <w:trHeight w:val="121" w:hRule="atLeast"/>
        </w:trPr>
        <w:tc>
          <w:tcPr>
            <w:tcW w:w="1970" w:type="dxa"/>
            <w:gridSpan w:val="4"/>
            <w:tcBorders>
              <w:top w:val="single" w:sz="6" w:space="0" w:color="C82780"/>
              <w:left w:val="single" w:sz="6" w:space="0" w:color="FFFFFF"/>
              <w:bottom w:val="single" w:sz="6" w:space="0" w:color="C82780"/>
              <w:right w:val="single" w:sz="6" w:space="0" w:color="000000"/>
            </w:tcBorders>
          </w:tcPr>
          <w:p>
            <w:pPr>
              <w:pStyle w:val="TableParagraph"/>
              <w:rPr>
                <w:rFonts w:ascii="Times New Roman"/>
                <w:sz w:val="6"/>
              </w:rPr>
            </w:pPr>
          </w:p>
        </w:tc>
        <w:tc>
          <w:tcPr>
            <w:tcW w:w="420" w:type="dxa"/>
            <w:tcBorders>
              <w:top w:val="single" w:sz="6" w:space="0" w:color="C82780"/>
              <w:left w:val="single" w:sz="6" w:space="0" w:color="000000"/>
              <w:bottom w:val="single" w:sz="6" w:space="0" w:color="C82780"/>
              <w:right w:val="single" w:sz="6" w:space="0" w:color="FFFFFF"/>
            </w:tcBorders>
          </w:tcPr>
          <w:p>
            <w:pPr>
              <w:pStyle w:val="TableParagraph"/>
              <w:spacing w:line="102" w:lineRule="exact"/>
              <w:ind w:left="146"/>
              <w:rPr>
                <w:rFonts w:ascii="Calibri"/>
                <w:b/>
                <w:sz w:val="18"/>
              </w:rPr>
            </w:pPr>
            <w:r>
              <w:rPr>
                <w:rFonts w:ascii="Calibri"/>
                <w:b/>
                <w:color w:val="FFFFFF"/>
                <w:sz w:val="18"/>
              </w:rPr>
              <w:t>49</w:t>
            </w:r>
          </w:p>
        </w:tc>
        <w:tc>
          <w:tcPr>
            <w:tcW w:w="566" w:type="dxa"/>
            <w:gridSpan w:val="2"/>
            <w:tcBorders>
              <w:top w:val="nil"/>
              <w:left w:val="single" w:sz="6" w:space="0" w:color="FFFFFF"/>
              <w:bottom w:val="nil"/>
              <w:right w:val="single" w:sz="6" w:space="0" w:color="000000"/>
            </w:tcBorders>
          </w:tcPr>
          <w:p>
            <w:pPr>
              <w:pStyle w:val="TableParagraph"/>
              <w:rPr>
                <w:rFonts w:ascii="Times New Roman"/>
                <w:sz w:val="6"/>
              </w:rPr>
            </w:pPr>
          </w:p>
        </w:tc>
        <w:tc>
          <w:tcPr>
            <w:tcW w:w="443" w:type="dxa"/>
            <w:vMerge/>
            <w:tcBorders>
              <w:top w:val="nil"/>
              <w:left w:val="single" w:sz="6" w:space="0" w:color="FFFFFF"/>
              <w:bottom w:val="nil"/>
              <w:right w:val="nil"/>
            </w:tcBorders>
          </w:tcPr>
          <w:p>
            <w:pPr>
              <w:rPr>
                <w:sz w:val="2"/>
                <w:szCs w:val="2"/>
              </w:rPr>
            </w:pPr>
          </w:p>
        </w:tc>
      </w:tr>
    </w:tbl>
    <w:p>
      <w:pPr>
        <w:pStyle w:val="BodyText"/>
        <w:rPr>
          <w:sz w:val="42"/>
        </w:rPr>
      </w:pPr>
    </w:p>
    <w:p>
      <w:pPr>
        <w:pStyle w:val="BodyText"/>
        <w:rPr>
          <w:sz w:val="42"/>
        </w:rPr>
      </w:pPr>
    </w:p>
    <w:p>
      <w:pPr>
        <w:pStyle w:val="BodyText"/>
        <w:spacing w:line="276" w:lineRule="auto" w:before="316"/>
        <w:ind w:left="616" w:right="140"/>
        <w:jc w:val="both"/>
      </w:pPr>
      <w:r>
        <w:rPr/>
        <w:t>The reverse may also be stated, that prophylaxis in the form of regular intake of coenzyme Q10 can counteract the loss of functionality, both internally and</w:t>
      </w:r>
    </w:p>
    <w:p>
      <w:pPr>
        <w:spacing w:after="0" w:line="276" w:lineRule="auto"/>
        <w:jc w:val="both"/>
        <w:sectPr>
          <w:pgSz w:w="14270" w:h="16850"/>
          <w:pgMar w:header="0" w:footer="1891" w:top="1340" w:bottom="2080" w:left="800" w:right="1280"/>
        </w:sectPr>
      </w:pPr>
    </w:p>
    <w:p>
      <w:pPr>
        <w:pStyle w:val="BodyText"/>
        <w:spacing w:line="276" w:lineRule="auto" w:before="72"/>
        <w:ind w:left="616" w:right="133"/>
        <w:jc w:val="both"/>
      </w:pPr>
      <w:r>
        <w:rPr/>
        <w:t>externally, which is typical of ageing. According to a study by Dr. Franklin L. Rosenfeldt et al. of the Cardiac Surgical Research Unit, the contractility (heart performance) of older patients was so good after Q10 consumption that,</w:t>
      </w:r>
      <w:r>
        <w:rPr>
          <w:spacing w:val="-57"/>
        </w:rPr>
        <w:t> </w:t>
      </w:r>
      <w:r>
        <w:rPr/>
        <w:t>with respect</w:t>
      </w:r>
      <w:r>
        <w:rPr>
          <w:spacing w:val="-24"/>
        </w:rPr>
        <w:t> </w:t>
      </w:r>
      <w:r>
        <w:rPr/>
        <w:t>to</w:t>
      </w:r>
      <w:r>
        <w:rPr>
          <w:spacing w:val="-27"/>
        </w:rPr>
        <w:t> </w:t>
      </w:r>
      <w:r>
        <w:rPr/>
        <w:t>heart</w:t>
      </w:r>
      <w:r>
        <w:rPr>
          <w:spacing w:val="-26"/>
        </w:rPr>
        <w:t> </w:t>
      </w:r>
      <w:r>
        <w:rPr/>
        <w:t>performance,</w:t>
      </w:r>
      <w:r>
        <w:rPr>
          <w:spacing w:val="-24"/>
        </w:rPr>
        <w:t> </w:t>
      </w:r>
      <w:r>
        <w:rPr/>
        <w:t>there</w:t>
      </w:r>
      <w:r>
        <w:rPr>
          <w:spacing w:val="-23"/>
        </w:rPr>
        <w:t> </w:t>
      </w:r>
      <w:r>
        <w:rPr/>
        <w:t>was</w:t>
      </w:r>
      <w:r>
        <w:rPr>
          <w:spacing w:val="-24"/>
        </w:rPr>
        <w:t> </w:t>
      </w:r>
      <w:r>
        <w:rPr/>
        <w:t>hardly</w:t>
      </w:r>
      <w:r>
        <w:rPr>
          <w:spacing w:val="-24"/>
        </w:rPr>
        <w:t> </w:t>
      </w:r>
      <w:r>
        <w:rPr/>
        <w:t>any</w:t>
      </w:r>
      <w:r>
        <w:rPr>
          <w:spacing w:val="-24"/>
        </w:rPr>
        <w:t> </w:t>
      </w:r>
      <w:r>
        <w:rPr/>
        <w:t>difference</w:t>
      </w:r>
      <w:r>
        <w:rPr>
          <w:spacing w:val="-23"/>
        </w:rPr>
        <w:t> </w:t>
      </w:r>
      <w:r>
        <w:rPr/>
        <w:t>from</w:t>
      </w:r>
      <w:r>
        <w:rPr>
          <w:spacing w:val="-26"/>
        </w:rPr>
        <w:t> </w:t>
      </w:r>
      <w:r>
        <w:rPr/>
        <w:t>comparable younger hearts.</w:t>
      </w:r>
      <w:r>
        <w:rPr>
          <w:position w:val="9"/>
          <w:sz w:val="25"/>
        </w:rPr>
        <w:t>748 </w:t>
      </w:r>
      <w:r>
        <w:rPr/>
        <w:t>A notable insight considering that half of all Central Euro- peans die of heart</w:t>
      </w:r>
      <w:r>
        <w:rPr>
          <w:spacing w:val="-3"/>
        </w:rPr>
        <w:t> </w:t>
      </w:r>
      <w:r>
        <w:rPr/>
        <w:t>disease.</w:t>
      </w:r>
    </w:p>
    <w:p>
      <w:pPr>
        <w:pStyle w:val="Heading1"/>
        <w:spacing w:before="225"/>
        <w:ind w:left="616"/>
      </w:pPr>
      <w:r>
        <w:rPr/>
        <w:t>Q10 protects and rejuvenates our skin – Q10 prevents wrinkles.</w:t>
      </w:r>
    </w:p>
    <w:p>
      <w:pPr>
        <w:pStyle w:val="BodyText"/>
        <w:spacing w:line="276" w:lineRule="auto" w:before="300"/>
        <w:ind w:left="616" w:right="132"/>
        <w:jc w:val="both"/>
        <w:rPr>
          <w:sz w:val="25"/>
        </w:rPr>
      </w:pPr>
      <w:r>
        <w:rPr/>
        <w:t>The largest organ of our body is our skin. As our outer protective layer, it is exposed to all variety of environmental stresses, ozone and UV rays from the sun.</w:t>
      </w:r>
      <w:r>
        <w:rPr>
          <w:spacing w:val="-10"/>
        </w:rPr>
        <w:t> </w:t>
      </w:r>
      <w:r>
        <w:rPr/>
        <w:t>As</w:t>
      </w:r>
      <w:r>
        <w:rPr>
          <w:spacing w:val="-11"/>
        </w:rPr>
        <w:t> </w:t>
      </w:r>
      <w:r>
        <w:rPr/>
        <w:t>we</w:t>
      </w:r>
      <w:r>
        <w:rPr>
          <w:spacing w:val="-15"/>
        </w:rPr>
        <w:t> </w:t>
      </w:r>
      <w:r>
        <w:rPr/>
        <w:t>have</w:t>
      </w:r>
      <w:r>
        <w:rPr>
          <w:spacing w:val="-13"/>
        </w:rPr>
        <w:t> </w:t>
      </w:r>
      <w:r>
        <w:rPr/>
        <w:t>already</w:t>
      </w:r>
      <w:r>
        <w:rPr>
          <w:spacing w:val="-12"/>
        </w:rPr>
        <w:t> </w:t>
      </w:r>
      <w:r>
        <w:rPr/>
        <w:t>learned,</w:t>
      </w:r>
      <w:r>
        <w:rPr>
          <w:spacing w:val="-13"/>
        </w:rPr>
        <w:t> </w:t>
      </w:r>
      <w:r>
        <w:rPr/>
        <w:t>the</w:t>
      </w:r>
      <w:r>
        <w:rPr>
          <w:spacing w:val="-11"/>
        </w:rPr>
        <w:t> </w:t>
      </w:r>
      <w:r>
        <w:rPr/>
        <w:t>breakdown</w:t>
      </w:r>
      <w:r>
        <w:rPr>
          <w:spacing w:val="-12"/>
        </w:rPr>
        <w:t> </w:t>
      </w:r>
      <w:r>
        <w:rPr/>
        <w:t>of</w:t>
      </w:r>
      <w:r>
        <w:rPr>
          <w:spacing w:val="-11"/>
        </w:rPr>
        <w:t> </w:t>
      </w:r>
      <w:r>
        <w:rPr/>
        <w:t>nutrients</w:t>
      </w:r>
      <w:r>
        <w:rPr>
          <w:spacing w:val="-11"/>
        </w:rPr>
        <w:t> </w:t>
      </w:r>
      <w:r>
        <w:rPr/>
        <w:t>in</w:t>
      </w:r>
      <w:r>
        <w:rPr>
          <w:spacing w:val="-13"/>
        </w:rPr>
        <w:t> </w:t>
      </w:r>
      <w:r>
        <w:rPr/>
        <w:t>the</w:t>
      </w:r>
      <w:r>
        <w:rPr>
          <w:spacing w:val="-11"/>
        </w:rPr>
        <w:t> </w:t>
      </w:r>
      <w:r>
        <w:rPr/>
        <w:t>organs</w:t>
      </w:r>
      <w:r>
        <w:rPr>
          <w:spacing w:val="-13"/>
        </w:rPr>
        <w:t> </w:t>
      </w:r>
      <w:r>
        <w:rPr/>
        <w:t>cor- responds, with regard to sequence, their importance for the respective organ. Here, according to studies, Q10 plays a very special role in the protection and renewal of the skin. In the words of Prof. M. Podda of the Johann Wolfgang Goethe</w:t>
      </w:r>
      <w:r>
        <w:rPr>
          <w:spacing w:val="-12"/>
        </w:rPr>
        <w:t> </w:t>
      </w:r>
      <w:r>
        <w:rPr/>
        <w:t>University</w:t>
      </w:r>
      <w:r>
        <w:rPr>
          <w:spacing w:val="-10"/>
        </w:rPr>
        <w:t> </w:t>
      </w:r>
      <w:r>
        <w:rPr/>
        <w:t>of</w:t>
      </w:r>
      <w:r>
        <w:rPr>
          <w:spacing w:val="-11"/>
        </w:rPr>
        <w:t> </w:t>
      </w:r>
      <w:r>
        <w:rPr/>
        <w:t>Frankfurt</w:t>
      </w:r>
      <w:r>
        <w:rPr>
          <w:spacing w:val="-12"/>
        </w:rPr>
        <w:t> </w:t>
      </w:r>
      <w:r>
        <w:rPr/>
        <w:t>am</w:t>
      </w:r>
      <w:r>
        <w:rPr>
          <w:spacing w:val="-12"/>
        </w:rPr>
        <w:t> </w:t>
      </w:r>
      <w:r>
        <w:rPr/>
        <w:t>Main</w:t>
      </w:r>
      <w:r>
        <w:rPr>
          <w:spacing w:val="-11"/>
        </w:rPr>
        <w:t> </w:t>
      </w:r>
      <w:r>
        <w:rPr/>
        <w:t>and</w:t>
      </w:r>
      <w:r>
        <w:rPr>
          <w:spacing w:val="-11"/>
        </w:rPr>
        <w:t> </w:t>
      </w:r>
      <w:r>
        <w:rPr/>
        <w:t>Prof.</w:t>
      </w:r>
      <w:r>
        <w:rPr>
          <w:spacing w:val="-11"/>
        </w:rPr>
        <w:t> </w:t>
      </w:r>
      <w:r>
        <w:rPr/>
        <w:t>L.</w:t>
      </w:r>
      <w:r>
        <w:rPr>
          <w:spacing w:val="-11"/>
        </w:rPr>
        <w:t> </w:t>
      </w:r>
      <w:r>
        <w:rPr/>
        <w:t>Packer</w:t>
      </w:r>
      <w:r>
        <w:rPr>
          <w:spacing w:val="-11"/>
        </w:rPr>
        <w:t> </w:t>
      </w:r>
      <w:r>
        <w:rPr/>
        <w:t>of</w:t>
      </w:r>
      <w:r>
        <w:rPr>
          <w:spacing w:val="-11"/>
        </w:rPr>
        <w:t> </w:t>
      </w:r>
      <w:r>
        <w:rPr/>
        <w:t>the</w:t>
      </w:r>
      <w:r>
        <w:rPr>
          <w:spacing w:val="-11"/>
        </w:rPr>
        <w:t> </w:t>
      </w:r>
      <w:r>
        <w:rPr/>
        <w:t>University of California,</w:t>
      </w:r>
      <w:r>
        <w:rPr>
          <w:spacing w:val="1"/>
        </w:rPr>
        <w:t> </w:t>
      </w:r>
      <w:r>
        <w:rPr/>
        <w:t>USA:</w:t>
      </w:r>
      <w:r>
        <w:rPr>
          <w:position w:val="9"/>
          <w:sz w:val="25"/>
        </w:rPr>
        <w:t>749</w:t>
      </w:r>
    </w:p>
    <w:p>
      <w:pPr>
        <w:spacing w:line="278" w:lineRule="auto" w:before="238"/>
        <w:ind w:left="616" w:right="147" w:firstLine="0"/>
        <w:jc w:val="both"/>
        <w:rPr>
          <w:i/>
          <w:sz w:val="38"/>
        </w:rPr>
      </w:pPr>
      <w:r>
        <w:rPr>
          <w:i/>
          <w:sz w:val="38"/>
        </w:rPr>
        <w:t>‘Q10 is the first substance destroyed in the skin by UV light, ozone and other damaging </w:t>
      </w:r>
      <w:r>
        <w:rPr>
          <w:i/>
          <w:sz w:val="38"/>
        </w:rPr>
        <w:t>influences. Q10 thus has the greatest protective function in the skin.’</w:t>
      </w:r>
    </w:p>
    <w:p>
      <w:pPr>
        <w:pStyle w:val="BodyText"/>
        <w:spacing w:line="276" w:lineRule="auto" w:before="232"/>
        <w:ind w:left="616" w:right="136"/>
        <w:jc w:val="both"/>
      </w:pPr>
      <w:r>
        <w:rPr/>
        <w:t>If a Q10 deficit occurs, the skin is vulnerable to UV rays and environmental toxins, and this leads in the medium term to ageing of the skin (wrinkles)</w:t>
      </w:r>
      <w:r>
        <w:rPr>
          <w:spacing w:val="55"/>
        </w:rPr>
        <w:t> </w:t>
      </w:r>
      <w:r>
        <w:rPr/>
        <w:t>and</w:t>
      </w:r>
    </w:p>
    <w:p>
      <w:pPr>
        <w:pStyle w:val="BodyText"/>
        <w:rPr>
          <w:sz w:val="20"/>
        </w:rPr>
      </w:pPr>
    </w:p>
    <w:p>
      <w:pPr>
        <w:pStyle w:val="BodyText"/>
        <w:rPr>
          <w:sz w:val="20"/>
        </w:rPr>
      </w:pPr>
    </w:p>
    <w:p>
      <w:pPr>
        <w:pStyle w:val="BodyText"/>
        <w:rPr>
          <w:sz w:val="20"/>
        </w:rPr>
      </w:pPr>
    </w:p>
    <w:p>
      <w:pPr>
        <w:pStyle w:val="BodyText"/>
        <w:spacing w:before="1"/>
        <w:rPr>
          <w:sz w:val="10"/>
        </w:rPr>
      </w:pPr>
      <w:r>
        <w:rPr/>
        <w:pict>
          <v:line style="position:absolute;mso-position-horizontal-relative:page;mso-position-vertical-relative:paragraph;z-index:10184;mso-wrap-distance-left:0;mso-wrap-distance-right:0" from="70.823997pt,8.049985pt" to="214.843997pt,8.049985pt" stroked="true" strokeweight=".72003pt" strokecolor="#000000">
            <v:stroke dashstyle="solid"/>
            <w10:wrap type="topAndBottom"/>
          </v:line>
        </w:pict>
      </w:r>
    </w:p>
    <w:p>
      <w:pPr>
        <w:pStyle w:val="BodyText"/>
        <w:spacing w:before="7"/>
        <w:rPr>
          <w:sz w:val="18"/>
        </w:rPr>
      </w:pPr>
    </w:p>
    <w:p>
      <w:pPr>
        <w:spacing w:line="273" w:lineRule="auto" w:before="99"/>
        <w:ind w:left="616" w:right="0" w:firstLine="0"/>
        <w:jc w:val="left"/>
        <w:rPr>
          <w:sz w:val="20"/>
        </w:rPr>
      </w:pPr>
      <w:r>
        <w:rPr>
          <w:position w:val="5"/>
          <w:sz w:val="13"/>
        </w:rPr>
        <w:t>748 </w:t>
      </w:r>
      <w:r>
        <w:rPr>
          <w:sz w:val="20"/>
        </w:rPr>
        <w:t>Rosenfeldt F. L. et al.: Coenzyme Q10 improves the tolerance of the senescent myocardium to aerobic and ischemic stress: studies in rats and in human atrial tissue. Boston: 1st Conf. of the Intl. Coenzyme Q10 Assn., 1998, p. 58 ff.</w:t>
      </w:r>
    </w:p>
    <w:p>
      <w:pPr>
        <w:spacing w:before="63"/>
        <w:ind w:left="616" w:right="0" w:firstLine="0"/>
        <w:jc w:val="left"/>
        <w:rPr>
          <w:sz w:val="20"/>
        </w:rPr>
      </w:pPr>
      <w:r>
        <w:rPr>
          <w:position w:val="5"/>
          <w:sz w:val="13"/>
        </w:rPr>
        <w:t>749 </w:t>
      </w:r>
      <w:r>
        <w:rPr>
          <w:sz w:val="20"/>
        </w:rPr>
        <w:t>Podda M. et al.: Ubiquinol: a marker of oxidative stress in skin. 9th Int. Symp. Biomed. and Clin. Aspects of Coenzyme Q10, 1996, 9, p. 43 f.</w:t>
      </w:r>
    </w:p>
    <w:p>
      <w:pPr>
        <w:spacing w:after="0"/>
        <w:jc w:val="left"/>
        <w:rPr>
          <w:sz w:val="20"/>
        </w:rPr>
        <w:sectPr>
          <w:pgSz w:w="14270" w:h="16850"/>
          <w:pgMar w:header="0" w:footer="1891" w:top="1340" w:bottom="2080" w:left="800" w:right="1280"/>
        </w:sectPr>
      </w:pPr>
    </w:p>
    <w:p>
      <w:pPr>
        <w:pStyle w:val="BodyText"/>
        <w:spacing w:before="74"/>
        <w:ind w:left="616"/>
      </w:pPr>
      <w:r>
        <w:rPr/>
        <w:t>all variety of skin diseases.</w:t>
      </w:r>
    </w:p>
    <w:p>
      <w:pPr>
        <w:pStyle w:val="BodyText"/>
        <w:spacing w:line="276" w:lineRule="auto" w:before="305"/>
        <w:ind w:left="616" w:right="132"/>
        <w:jc w:val="both"/>
        <w:rPr>
          <w:sz w:val="25"/>
        </w:rPr>
      </w:pPr>
      <w:r>
        <w:rPr/>
        <w:t>Conversely, a sufficient, regular supply of Q10, in combination with OPC</w:t>
      </w:r>
      <w:r>
        <w:rPr>
          <w:spacing w:val="-51"/>
        </w:rPr>
        <w:t> </w:t>
      </w:r>
      <w:r>
        <w:rPr/>
        <w:t>and vitamin C if possible, leads to a visibly rejuvenating result – skin ageing and a diverse</w:t>
      </w:r>
      <w:r>
        <w:rPr>
          <w:spacing w:val="-16"/>
        </w:rPr>
        <w:t> </w:t>
      </w:r>
      <w:r>
        <w:rPr/>
        <w:t>set</w:t>
      </w:r>
      <w:r>
        <w:rPr>
          <w:spacing w:val="-15"/>
        </w:rPr>
        <w:t> </w:t>
      </w:r>
      <w:r>
        <w:rPr/>
        <w:t>of</w:t>
      </w:r>
      <w:r>
        <w:rPr>
          <w:spacing w:val="-16"/>
        </w:rPr>
        <w:t> </w:t>
      </w:r>
      <w:r>
        <w:rPr/>
        <w:t>skin</w:t>
      </w:r>
      <w:r>
        <w:rPr>
          <w:spacing w:val="-15"/>
        </w:rPr>
        <w:t> </w:t>
      </w:r>
      <w:r>
        <w:rPr/>
        <w:t>diseases</w:t>
      </w:r>
      <w:r>
        <w:rPr>
          <w:spacing w:val="-16"/>
        </w:rPr>
        <w:t> </w:t>
      </w:r>
      <w:r>
        <w:rPr/>
        <w:t>are</w:t>
      </w:r>
      <w:r>
        <w:rPr>
          <w:spacing w:val="-15"/>
        </w:rPr>
        <w:t> </w:t>
      </w:r>
      <w:r>
        <w:rPr/>
        <w:t>effectively</w:t>
      </w:r>
      <w:r>
        <w:rPr>
          <w:spacing w:val="-17"/>
        </w:rPr>
        <w:t> </w:t>
      </w:r>
      <w:r>
        <w:rPr/>
        <w:t>prevented.</w:t>
      </w:r>
      <w:r>
        <w:rPr>
          <w:spacing w:val="-14"/>
        </w:rPr>
        <w:t> </w:t>
      </w:r>
      <w:r>
        <w:rPr/>
        <w:t>For</w:t>
      </w:r>
      <w:r>
        <w:rPr>
          <w:spacing w:val="-15"/>
        </w:rPr>
        <w:t> </w:t>
      </w:r>
      <w:r>
        <w:rPr/>
        <w:t>this</w:t>
      </w:r>
      <w:r>
        <w:rPr>
          <w:spacing w:val="-15"/>
        </w:rPr>
        <w:t> </w:t>
      </w:r>
      <w:r>
        <w:rPr/>
        <w:t>purpose,</w:t>
      </w:r>
      <w:r>
        <w:rPr>
          <w:spacing w:val="-15"/>
        </w:rPr>
        <w:t> </w:t>
      </w:r>
      <w:r>
        <w:rPr/>
        <w:t>the</w:t>
      </w:r>
      <w:r>
        <w:rPr>
          <w:spacing w:val="-17"/>
        </w:rPr>
        <w:t> </w:t>
      </w:r>
      <w:r>
        <w:rPr/>
        <w:t>sup- ply of nutrients from within (by way of Q10 intake in the form of capsule preparations) is more meaningful than local application in the form of Q10 creams. According to a study by Professor Hoppe, skin ageing can be slowed due to the reduction of light-induced oxidative stress.</w:t>
      </w:r>
      <w:r>
        <w:rPr>
          <w:position w:val="9"/>
          <w:sz w:val="25"/>
        </w:rPr>
        <w:t>750</w:t>
      </w:r>
    </w:p>
    <w:p>
      <w:pPr>
        <w:pStyle w:val="BodyText"/>
        <w:spacing w:line="276" w:lineRule="auto" w:before="241"/>
        <w:ind w:left="616" w:right="134"/>
        <w:jc w:val="both"/>
      </w:pPr>
      <w:r>
        <w:rPr/>
        <w:t>With</w:t>
      </w:r>
      <w:r>
        <w:rPr>
          <w:spacing w:val="-7"/>
        </w:rPr>
        <w:t> </w:t>
      </w:r>
      <w:r>
        <w:rPr/>
        <w:t>regard</w:t>
      </w:r>
      <w:r>
        <w:rPr>
          <w:spacing w:val="-6"/>
        </w:rPr>
        <w:t> </w:t>
      </w:r>
      <w:r>
        <w:rPr/>
        <w:t>to</w:t>
      </w:r>
      <w:r>
        <w:rPr>
          <w:spacing w:val="-6"/>
        </w:rPr>
        <w:t> </w:t>
      </w:r>
      <w:r>
        <w:rPr/>
        <w:t>a</w:t>
      </w:r>
      <w:r>
        <w:rPr>
          <w:spacing w:val="-8"/>
        </w:rPr>
        <w:t> </w:t>
      </w:r>
      <w:r>
        <w:rPr/>
        <w:t>vital,</w:t>
      </w:r>
      <w:r>
        <w:rPr>
          <w:spacing w:val="-7"/>
        </w:rPr>
        <w:t> </w:t>
      </w:r>
      <w:r>
        <w:rPr/>
        <w:t>healthy</w:t>
      </w:r>
      <w:r>
        <w:rPr>
          <w:spacing w:val="-7"/>
        </w:rPr>
        <w:t> </w:t>
      </w:r>
      <w:r>
        <w:rPr/>
        <w:t>life,</w:t>
      </w:r>
      <w:r>
        <w:rPr>
          <w:spacing w:val="-6"/>
        </w:rPr>
        <w:t> </w:t>
      </w:r>
      <w:r>
        <w:rPr/>
        <w:t>delayed</w:t>
      </w:r>
      <w:r>
        <w:rPr>
          <w:spacing w:val="-6"/>
        </w:rPr>
        <w:t> </w:t>
      </w:r>
      <w:r>
        <w:rPr/>
        <w:t>ageing</w:t>
      </w:r>
      <w:r>
        <w:rPr>
          <w:spacing w:val="-1"/>
        </w:rPr>
        <w:t> </w:t>
      </w:r>
      <w:r>
        <w:rPr/>
        <w:t>and</w:t>
      </w:r>
      <w:r>
        <w:rPr>
          <w:spacing w:val="-7"/>
        </w:rPr>
        <w:t> </w:t>
      </w:r>
      <w:r>
        <w:rPr/>
        <w:t>a</w:t>
      </w:r>
      <w:r>
        <w:rPr>
          <w:spacing w:val="-8"/>
        </w:rPr>
        <w:t> </w:t>
      </w:r>
      <w:r>
        <w:rPr/>
        <w:t>younger</w:t>
      </w:r>
      <w:r>
        <w:rPr>
          <w:spacing w:val="-5"/>
        </w:rPr>
        <w:t> </w:t>
      </w:r>
      <w:r>
        <w:rPr/>
        <w:t>appearance,</w:t>
      </w:r>
      <w:r>
        <w:rPr>
          <w:spacing w:val="-6"/>
        </w:rPr>
        <w:t> </w:t>
      </w:r>
      <w:r>
        <w:rPr/>
        <w:t>it thus</w:t>
      </w:r>
      <w:r>
        <w:rPr>
          <w:spacing w:val="-6"/>
        </w:rPr>
        <w:t> </w:t>
      </w:r>
      <w:r>
        <w:rPr/>
        <w:t>makes</w:t>
      </w:r>
      <w:r>
        <w:rPr>
          <w:spacing w:val="-5"/>
        </w:rPr>
        <w:t> </w:t>
      </w:r>
      <w:r>
        <w:rPr/>
        <w:t>a</w:t>
      </w:r>
      <w:r>
        <w:rPr>
          <w:spacing w:val="-7"/>
        </w:rPr>
        <w:t> </w:t>
      </w:r>
      <w:r>
        <w:rPr/>
        <w:t>great</w:t>
      </w:r>
      <w:r>
        <w:rPr>
          <w:spacing w:val="-8"/>
        </w:rPr>
        <w:t> </w:t>
      </w:r>
      <w:r>
        <w:rPr/>
        <w:t>deal</w:t>
      </w:r>
      <w:r>
        <w:rPr>
          <w:spacing w:val="-7"/>
        </w:rPr>
        <w:t> </w:t>
      </w:r>
      <w:r>
        <w:rPr/>
        <w:t>of</w:t>
      </w:r>
      <w:r>
        <w:rPr>
          <w:spacing w:val="-6"/>
        </w:rPr>
        <w:t> </w:t>
      </w:r>
      <w:r>
        <w:rPr/>
        <w:t>sense</w:t>
      </w:r>
      <w:r>
        <w:rPr>
          <w:spacing w:val="-6"/>
        </w:rPr>
        <w:t> </w:t>
      </w:r>
      <w:r>
        <w:rPr/>
        <w:t>to</w:t>
      </w:r>
      <w:r>
        <w:rPr>
          <w:spacing w:val="-6"/>
        </w:rPr>
        <w:t> </w:t>
      </w:r>
      <w:r>
        <w:rPr/>
        <w:t>trust</w:t>
      </w:r>
      <w:r>
        <w:rPr>
          <w:spacing w:val="-6"/>
        </w:rPr>
        <w:t> </w:t>
      </w:r>
      <w:r>
        <w:rPr/>
        <w:t>in</w:t>
      </w:r>
      <w:r>
        <w:rPr>
          <w:spacing w:val="-7"/>
        </w:rPr>
        <w:t> </w:t>
      </w:r>
      <w:r>
        <w:rPr/>
        <w:t>these</w:t>
      </w:r>
      <w:r>
        <w:rPr>
          <w:spacing w:val="-11"/>
        </w:rPr>
        <w:t> </w:t>
      </w:r>
      <w:r>
        <w:rPr/>
        <w:t>highly</w:t>
      </w:r>
      <w:r>
        <w:rPr>
          <w:spacing w:val="-6"/>
        </w:rPr>
        <w:t> </w:t>
      </w:r>
      <w:r>
        <w:rPr/>
        <w:t>valuable</w:t>
      </w:r>
      <w:r>
        <w:rPr>
          <w:spacing w:val="-7"/>
        </w:rPr>
        <w:t> </w:t>
      </w:r>
      <w:r>
        <w:rPr/>
        <w:t>and</w:t>
      </w:r>
      <w:r>
        <w:rPr>
          <w:spacing w:val="-6"/>
        </w:rPr>
        <w:t> </w:t>
      </w:r>
      <w:r>
        <w:rPr/>
        <w:t>neverthe- less very affordable nutritional supplements (Q10, vitamin C, OPC), particu- larly considering so many representative studies support their use without</w:t>
      </w:r>
      <w:r>
        <w:rPr>
          <w:spacing w:val="-35"/>
        </w:rPr>
        <w:t> </w:t>
      </w:r>
      <w:r>
        <w:rPr/>
        <w:t>res- ervation.</w:t>
      </w:r>
    </w:p>
    <w:p>
      <w:pPr>
        <w:pStyle w:val="BodyText"/>
        <w:spacing w:before="199"/>
        <w:ind w:left="616"/>
      </w:pPr>
      <w:r>
        <w:rPr/>
        <w:t>Q10 as a defensive factor in exercise</w:t>
      </w:r>
    </w:p>
    <w:p>
      <w:pPr>
        <w:pStyle w:val="BodyText"/>
        <w:spacing w:line="276" w:lineRule="auto" w:before="304"/>
        <w:ind w:left="616" w:right="135"/>
        <w:jc w:val="both"/>
      </w:pPr>
      <w:r>
        <w:rPr/>
        <w:t>While not that many years ago it was believed that exercise, especially endur- ance exercise, was healthy without exception and constituted a wellspring of health and youth, new studies have revealed what was already obvious: what we mean is the increased production of free radicals by athletes, especially in endurance athletes. Oxygen means life, but also has another destructive side.</w:t>
      </w:r>
    </w:p>
    <w:p>
      <w:pPr>
        <w:pStyle w:val="BodyText"/>
        <w:spacing w:before="6"/>
        <w:rPr>
          <w:sz w:val="28"/>
        </w:rPr>
      </w:pPr>
      <w:r>
        <w:rPr/>
        <w:pict>
          <v:line style="position:absolute;mso-position-horizontal-relative:page;mso-position-vertical-relative:paragraph;z-index:10208;mso-wrap-distance-left:0;mso-wrap-distance-right:0" from="70.823997pt,18.408766pt" to="214.843997pt,18.408766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750 </w:t>
      </w:r>
      <w:r>
        <w:rPr>
          <w:sz w:val="20"/>
        </w:rPr>
        <w:t>Hoppe U.: Coenzyme Q10: a cutaneous antioxidant and energizer. Boston: 1st Conf. of the Intl. Coenzyme Q10 Assn., 1998, p. 83</w:t>
      </w:r>
    </w:p>
    <w:p>
      <w:pPr>
        <w:spacing w:after="0"/>
        <w:jc w:val="left"/>
        <w:rPr>
          <w:sz w:val="20"/>
        </w:rPr>
        <w:sectPr>
          <w:pgSz w:w="14270" w:h="16850"/>
          <w:pgMar w:header="0" w:footer="1891" w:top="1340" w:bottom="2080" w:left="800" w:right="1280"/>
        </w:sectPr>
      </w:pPr>
    </w:p>
    <w:p>
      <w:pPr>
        <w:pStyle w:val="BodyText"/>
        <w:spacing w:line="278" w:lineRule="auto" w:before="72"/>
        <w:ind w:left="616" w:right="132"/>
        <w:jc w:val="both"/>
      </w:pPr>
      <w:r>
        <w:rPr/>
        <w:t>Specifically,</w:t>
      </w:r>
      <w:r>
        <w:rPr>
          <w:spacing w:val="-9"/>
        </w:rPr>
        <w:t> </w:t>
      </w:r>
      <w:r>
        <w:rPr/>
        <w:t>it</w:t>
      </w:r>
      <w:r>
        <w:rPr>
          <w:spacing w:val="-10"/>
        </w:rPr>
        <w:t> </w:t>
      </w:r>
      <w:r>
        <w:rPr/>
        <w:t>is</w:t>
      </w:r>
      <w:r>
        <w:rPr>
          <w:spacing w:val="-11"/>
        </w:rPr>
        <w:t> </w:t>
      </w:r>
      <w:r>
        <w:rPr/>
        <w:t>not</w:t>
      </w:r>
      <w:r>
        <w:rPr>
          <w:spacing w:val="-9"/>
        </w:rPr>
        <w:t> </w:t>
      </w:r>
      <w:r>
        <w:rPr/>
        <w:t>completely</w:t>
      </w:r>
      <w:r>
        <w:rPr>
          <w:spacing w:val="-11"/>
        </w:rPr>
        <w:t> </w:t>
      </w:r>
      <w:r>
        <w:rPr/>
        <w:t>reduced</w:t>
      </w:r>
      <w:r>
        <w:rPr>
          <w:spacing w:val="-9"/>
        </w:rPr>
        <w:t> </w:t>
      </w:r>
      <w:r>
        <w:rPr/>
        <w:t>to</w:t>
      </w:r>
      <w:r>
        <w:rPr>
          <w:spacing w:val="-8"/>
        </w:rPr>
        <w:t> </w:t>
      </w:r>
      <w:r>
        <w:rPr/>
        <w:t>water,</w:t>
      </w:r>
      <w:r>
        <w:rPr>
          <w:spacing w:val="-7"/>
        </w:rPr>
        <w:t> </w:t>
      </w:r>
      <w:r>
        <w:rPr/>
        <w:t>or</w:t>
      </w:r>
      <w:r>
        <w:rPr>
          <w:spacing w:val="-9"/>
        </w:rPr>
        <w:t> </w:t>
      </w:r>
      <w:r>
        <w:rPr/>
        <w:t>in</w:t>
      </w:r>
      <w:r>
        <w:rPr>
          <w:spacing w:val="-9"/>
        </w:rPr>
        <w:t> </w:t>
      </w:r>
      <w:r>
        <w:rPr/>
        <w:t>the</w:t>
      </w:r>
      <w:r>
        <w:rPr>
          <w:spacing w:val="-8"/>
        </w:rPr>
        <w:t> </w:t>
      </w:r>
      <w:r>
        <w:rPr/>
        <w:t>words</w:t>
      </w:r>
      <w:r>
        <w:rPr>
          <w:spacing w:val="-11"/>
        </w:rPr>
        <w:t> </w:t>
      </w:r>
      <w:r>
        <w:rPr/>
        <w:t>of</w:t>
      </w:r>
      <w:r>
        <w:rPr>
          <w:spacing w:val="-9"/>
        </w:rPr>
        <w:t> </w:t>
      </w:r>
      <w:r>
        <w:rPr/>
        <w:t>Professor Dr. G.P.</w:t>
      </w:r>
      <w:r>
        <w:rPr>
          <w:spacing w:val="-1"/>
        </w:rPr>
        <w:t> </w:t>
      </w:r>
      <w:r>
        <w:rPr/>
        <w:t>Littarru:</w:t>
      </w:r>
    </w:p>
    <w:p>
      <w:pPr>
        <w:spacing w:line="276" w:lineRule="auto" w:before="232"/>
        <w:ind w:left="616" w:right="136" w:firstLine="0"/>
        <w:jc w:val="both"/>
        <w:rPr>
          <w:i/>
          <w:sz w:val="38"/>
        </w:rPr>
      </w:pPr>
      <w:r>
        <w:rPr>
          <w:i/>
          <w:sz w:val="38"/>
        </w:rPr>
        <w:t>‘It has been calculated that about 3 % of the oxygen used by our bodies is not fully reduced </w:t>
      </w:r>
      <w:r>
        <w:rPr>
          <w:i/>
          <w:sz w:val="38"/>
        </w:rPr>
        <w:t>to water. Instead, there occurs a mono-electric reduction through which the superoxide anion and</w:t>
      </w:r>
      <w:r>
        <w:rPr>
          <w:i/>
          <w:spacing w:val="-13"/>
          <w:sz w:val="38"/>
        </w:rPr>
        <w:t> </w:t>
      </w:r>
      <w:r>
        <w:rPr>
          <w:i/>
          <w:sz w:val="38"/>
        </w:rPr>
        <w:t>other</w:t>
      </w:r>
      <w:r>
        <w:rPr>
          <w:i/>
          <w:spacing w:val="-12"/>
          <w:sz w:val="38"/>
        </w:rPr>
        <w:t> </w:t>
      </w:r>
      <w:r>
        <w:rPr>
          <w:i/>
          <w:sz w:val="38"/>
        </w:rPr>
        <w:t>reactive</w:t>
      </w:r>
      <w:r>
        <w:rPr>
          <w:i/>
          <w:spacing w:val="-13"/>
          <w:sz w:val="38"/>
        </w:rPr>
        <w:t> </w:t>
      </w:r>
      <w:r>
        <w:rPr>
          <w:i/>
          <w:sz w:val="38"/>
        </w:rPr>
        <w:t>types</w:t>
      </w:r>
      <w:r>
        <w:rPr>
          <w:i/>
          <w:spacing w:val="-13"/>
          <w:sz w:val="38"/>
        </w:rPr>
        <w:t> </w:t>
      </w:r>
      <w:r>
        <w:rPr>
          <w:i/>
          <w:sz w:val="38"/>
        </w:rPr>
        <w:t>of</w:t>
      </w:r>
      <w:r>
        <w:rPr>
          <w:i/>
          <w:spacing w:val="-12"/>
          <w:sz w:val="38"/>
        </w:rPr>
        <w:t> </w:t>
      </w:r>
      <w:r>
        <w:rPr>
          <w:i/>
          <w:sz w:val="38"/>
        </w:rPr>
        <w:t>oxygen</w:t>
      </w:r>
      <w:r>
        <w:rPr>
          <w:i/>
          <w:spacing w:val="-13"/>
          <w:sz w:val="38"/>
        </w:rPr>
        <w:t> </w:t>
      </w:r>
      <w:r>
        <w:rPr>
          <w:i/>
          <w:sz w:val="38"/>
        </w:rPr>
        <w:t>are</w:t>
      </w:r>
      <w:r>
        <w:rPr>
          <w:i/>
          <w:spacing w:val="-11"/>
          <w:sz w:val="38"/>
        </w:rPr>
        <w:t> </w:t>
      </w:r>
      <w:r>
        <w:rPr>
          <w:i/>
          <w:sz w:val="38"/>
        </w:rPr>
        <w:t>formed,</w:t>
      </w:r>
      <w:r>
        <w:rPr>
          <w:i/>
          <w:spacing w:val="-12"/>
          <w:sz w:val="38"/>
        </w:rPr>
        <w:t> </w:t>
      </w:r>
      <w:r>
        <w:rPr>
          <w:i/>
          <w:sz w:val="38"/>
        </w:rPr>
        <w:t>which</w:t>
      </w:r>
      <w:r>
        <w:rPr>
          <w:i/>
          <w:spacing w:val="-12"/>
          <w:sz w:val="38"/>
        </w:rPr>
        <w:t> </w:t>
      </w:r>
      <w:r>
        <w:rPr>
          <w:i/>
          <w:sz w:val="38"/>
        </w:rPr>
        <w:t>are</w:t>
      </w:r>
      <w:r>
        <w:rPr>
          <w:i/>
          <w:spacing w:val="-12"/>
          <w:sz w:val="38"/>
        </w:rPr>
        <w:t> </w:t>
      </w:r>
      <w:r>
        <w:rPr>
          <w:i/>
          <w:sz w:val="38"/>
        </w:rPr>
        <w:t>capable</w:t>
      </w:r>
      <w:r>
        <w:rPr>
          <w:i/>
          <w:spacing w:val="-14"/>
          <w:sz w:val="38"/>
        </w:rPr>
        <w:t> </w:t>
      </w:r>
      <w:r>
        <w:rPr>
          <w:i/>
          <w:sz w:val="38"/>
        </w:rPr>
        <w:t>of</w:t>
      </w:r>
      <w:r>
        <w:rPr>
          <w:i/>
          <w:spacing w:val="-12"/>
          <w:sz w:val="38"/>
        </w:rPr>
        <w:t> </w:t>
      </w:r>
      <w:r>
        <w:rPr>
          <w:i/>
          <w:sz w:val="38"/>
        </w:rPr>
        <w:t>initiating</w:t>
      </w:r>
      <w:r>
        <w:rPr>
          <w:i/>
          <w:spacing w:val="-13"/>
          <w:sz w:val="38"/>
        </w:rPr>
        <w:t> </w:t>
      </w:r>
      <w:r>
        <w:rPr>
          <w:i/>
          <w:sz w:val="38"/>
        </w:rPr>
        <w:t>radical</w:t>
      </w:r>
      <w:r>
        <w:rPr>
          <w:i/>
          <w:spacing w:val="-12"/>
          <w:sz w:val="38"/>
        </w:rPr>
        <w:t> </w:t>
      </w:r>
      <w:r>
        <w:rPr>
          <w:i/>
          <w:sz w:val="38"/>
        </w:rPr>
        <w:t>reactions and attacks.</w:t>
      </w:r>
    </w:p>
    <w:p>
      <w:pPr>
        <w:spacing w:line="276" w:lineRule="auto" w:before="242"/>
        <w:ind w:left="616" w:right="146" w:firstLine="0"/>
        <w:jc w:val="both"/>
        <w:rPr>
          <w:i/>
          <w:sz w:val="38"/>
        </w:rPr>
      </w:pPr>
      <w:r>
        <w:rPr>
          <w:i/>
          <w:sz w:val="38"/>
        </w:rPr>
        <w:t>This rate is </w:t>
      </w:r>
      <w:r>
        <w:rPr>
          <w:i/>
          <w:sz w:val="38"/>
          <w:u w:val="single"/>
        </w:rPr>
        <w:t>noticeably high when an increased total oxygen uptake occurs, such as in the</w:t>
      </w:r>
      <w:r>
        <w:rPr>
          <w:i/>
          <w:sz w:val="38"/>
        </w:rPr>
        <w:t> </w:t>
      </w:r>
      <w:r>
        <w:rPr>
          <w:i/>
          <w:sz w:val="38"/>
          <w:u w:val="single"/>
        </w:rPr>
        <w:t>course of physical activity, in particular in endurance athletes.</w:t>
      </w:r>
    </w:p>
    <w:p>
      <w:pPr>
        <w:spacing w:line="276" w:lineRule="auto" w:before="241"/>
        <w:ind w:left="616" w:right="137" w:firstLine="0"/>
        <w:jc w:val="both"/>
        <w:rPr>
          <w:sz w:val="25"/>
        </w:rPr>
      </w:pPr>
      <w:r>
        <w:rPr>
          <w:i/>
          <w:sz w:val="38"/>
        </w:rPr>
        <w:t>During highly intensive aerobic exercise, oxygen consumption is extremely high, which in</w:t>
      </w:r>
      <w:r>
        <w:rPr>
          <w:i/>
          <w:spacing w:val="-41"/>
          <w:sz w:val="38"/>
        </w:rPr>
        <w:t> </w:t>
      </w:r>
      <w:r>
        <w:rPr>
          <w:i/>
          <w:sz w:val="38"/>
        </w:rPr>
        <w:t>the </w:t>
      </w:r>
      <w:r>
        <w:rPr>
          <w:i/>
          <w:sz w:val="38"/>
        </w:rPr>
        <w:t>case of the leg muscles can be a hundred times higher in comparison to consumption in a resting state. The increased formation of radicals in connection with bodily stress is also con- tingent on hyperthermia, which is typical for exercises of high</w:t>
      </w:r>
      <w:r>
        <w:rPr>
          <w:i/>
          <w:spacing w:val="-5"/>
          <w:sz w:val="38"/>
        </w:rPr>
        <w:t> </w:t>
      </w:r>
      <w:r>
        <w:rPr>
          <w:i/>
          <w:sz w:val="38"/>
        </w:rPr>
        <w:t>intensity.’</w:t>
      </w:r>
      <w:r>
        <w:rPr>
          <w:position w:val="9"/>
          <w:sz w:val="25"/>
        </w:rPr>
        <w:t>751</w:t>
      </w:r>
    </w:p>
    <w:p>
      <w:pPr>
        <w:pStyle w:val="BodyText"/>
        <w:spacing w:line="276" w:lineRule="auto" w:before="239"/>
        <w:ind w:left="616" w:right="136"/>
        <w:jc w:val="both"/>
      </w:pPr>
      <w:r>
        <w:rPr/>
        <w:t>Oxygen is thus not only necessary to supply our body cells; it also encourages the oxidation of bodily cells via free radicals. Exercise thus, alongside its healthy aspects, also encourages cell oxidation, which fosters numerous dis- eases and premature ageing.</w:t>
      </w:r>
    </w:p>
    <w:p>
      <w:pPr>
        <w:pStyle w:val="Heading1"/>
        <w:spacing w:before="222"/>
        <w:ind w:left="616"/>
        <w:jc w:val="both"/>
      </w:pPr>
      <w:r>
        <w:rPr/>
        <w:t>Q10</w:t>
      </w:r>
      <w:r>
        <w:rPr>
          <w:spacing w:val="-52"/>
        </w:rPr>
        <w:t> </w:t>
      </w:r>
      <w:r>
        <w:rPr/>
        <w:t>as</w:t>
      </w:r>
      <w:r>
        <w:rPr>
          <w:spacing w:val="-52"/>
        </w:rPr>
        <w:t> </w:t>
      </w:r>
      <w:r>
        <w:rPr/>
        <w:t>performance</w:t>
      </w:r>
      <w:r>
        <w:rPr>
          <w:spacing w:val="-53"/>
        </w:rPr>
        <w:t> </w:t>
      </w:r>
      <w:r>
        <w:rPr/>
        <w:t>enhancer</w:t>
      </w:r>
      <w:r>
        <w:rPr>
          <w:spacing w:val="-53"/>
        </w:rPr>
        <w:t> </w:t>
      </w:r>
      <w:r>
        <w:rPr/>
        <w:t>(natural,</w:t>
      </w:r>
      <w:r>
        <w:rPr>
          <w:spacing w:val="-53"/>
        </w:rPr>
        <w:t> </w:t>
      </w:r>
      <w:r>
        <w:rPr/>
        <w:t>legal</w:t>
      </w:r>
      <w:r>
        <w:rPr>
          <w:spacing w:val="-52"/>
        </w:rPr>
        <w:t> </w:t>
      </w:r>
      <w:r>
        <w:rPr/>
        <w:t>‘doping’)</w:t>
      </w:r>
      <w:r>
        <w:rPr>
          <w:spacing w:val="-52"/>
        </w:rPr>
        <w:t> </w:t>
      </w:r>
      <w:r>
        <w:rPr/>
        <w:t>during</w:t>
      </w:r>
      <w:r>
        <w:rPr>
          <w:spacing w:val="-52"/>
        </w:rPr>
        <w:t> </w:t>
      </w:r>
      <w:r>
        <w:rPr/>
        <w:t>exercise</w:t>
      </w:r>
    </w:p>
    <w:p>
      <w:pPr>
        <w:pStyle w:val="BodyText"/>
        <w:spacing w:line="276" w:lineRule="auto" w:before="299"/>
        <w:ind w:left="616" w:right="134"/>
        <w:jc w:val="both"/>
      </w:pPr>
      <w:r>
        <w:rPr/>
        <w:t>The results of a double-blind crossover study by Prof. Folkers, Prof. Littarru, Dr.</w:t>
      </w:r>
      <w:r>
        <w:rPr>
          <w:spacing w:val="-11"/>
        </w:rPr>
        <w:t> </w:t>
      </w:r>
      <w:r>
        <w:rPr/>
        <w:t>Geiß</w:t>
      </w:r>
      <w:r>
        <w:rPr>
          <w:spacing w:val="-11"/>
        </w:rPr>
        <w:t> </w:t>
      </w:r>
      <w:r>
        <w:rPr/>
        <w:t>and</w:t>
      </w:r>
      <w:r>
        <w:rPr>
          <w:spacing w:val="-10"/>
        </w:rPr>
        <w:t> </w:t>
      </w:r>
      <w:r>
        <w:rPr/>
        <w:t>Dr.</w:t>
      </w:r>
      <w:r>
        <w:rPr>
          <w:spacing w:val="-10"/>
        </w:rPr>
        <w:t> </w:t>
      </w:r>
      <w:r>
        <w:rPr/>
        <w:t>Enzmann</w:t>
      </w:r>
      <w:r>
        <w:rPr>
          <w:spacing w:val="-10"/>
        </w:rPr>
        <w:t> </w:t>
      </w:r>
      <w:r>
        <w:rPr/>
        <w:t>are</w:t>
      </w:r>
      <w:r>
        <w:rPr>
          <w:spacing w:val="-10"/>
        </w:rPr>
        <w:t> </w:t>
      </w:r>
      <w:r>
        <w:rPr/>
        <w:t>very</w:t>
      </w:r>
      <w:r>
        <w:rPr>
          <w:spacing w:val="-10"/>
        </w:rPr>
        <w:t> </w:t>
      </w:r>
      <w:r>
        <w:rPr/>
        <w:t>convincing.</w:t>
      </w:r>
      <w:r>
        <w:rPr>
          <w:spacing w:val="-11"/>
        </w:rPr>
        <w:t> </w:t>
      </w:r>
      <w:r>
        <w:rPr/>
        <w:t>In</w:t>
      </w:r>
      <w:r>
        <w:rPr>
          <w:spacing w:val="-10"/>
        </w:rPr>
        <w:t> </w:t>
      </w:r>
      <w:r>
        <w:rPr/>
        <w:t>this</w:t>
      </w:r>
      <w:r>
        <w:rPr>
          <w:spacing w:val="-10"/>
        </w:rPr>
        <w:t> </w:t>
      </w:r>
      <w:r>
        <w:rPr/>
        <w:t>study,</w:t>
      </w:r>
      <w:r>
        <w:rPr>
          <w:spacing w:val="-10"/>
        </w:rPr>
        <w:t> </w:t>
      </w:r>
      <w:r>
        <w:rPr/>
        <w:t>ten</w:t>
      </w:r>
      <w:r>
        <w:rPr>
          <w:spacing w:val="-11"/>
        </w:rPr>
        <w:t> </w:t>
      </w:r>
      <w:r>
        <w:rPr/>
        <w:t>competitive athletes were administered with 180 mg of coenzyme Q10 daily. To</w:t>
      </w:r>
      <w:r>
        <w:rPr>
          <w:spacing w:val="16"/>
        </w:rPr>
        <w:t> </w:t>
      </w:r>
      <w:r>
        <w:rPr/>
        <w:t>maintain</w:t>
      </w:r>
    </w:p>
    <w:p>
      <w:pPr>
        <w:pStyle w:val="BodyText"/>
        <w:rPr>
          <w:sz w:val="20"/>
        </w:rPr>
      </w:pPr>
    </w:p>
    <w:p>
      <w:pPr>
        <w:pStyle w:val="BodyText"/>
        <w:spacing w:before="3"/>
        <w:rPr>
          <w:sz w:val="20"/>
        </w:rPr>
      </w:pPr>
      <w:r>
        <w:rPr/>
        <w:pict>
          <v:line style="position:absolute;mso-position-horizontal-relative:page;mso-position-vertical-relative:paragraph;z-index:10232;mso-wrap-distance-left:0;mso-wrap-distance-right:0" from="70.823997pt,13.768735pt" to="214.843997pt,13.768735pt" stroked="true" strokeweight=".72003pt" strokecolor="#000000">
            <v:stroke dashstyle="solid"/>
            <w10:wrap type="topAndBottom"/>
          </v:line>
        </w:pict>
      </w:r>
    </w:p>
    <w:p>
      <w:pPr>
        <w:pStyle w:val="BodyText"/>
        <w:spacing w:before="7"/>
        <w:rPr>
          <w:sz w:val="18"/>
        </w:rPr>
      </w:pPr>
    </w:p>
    <w:p>
      <w:pPr>
        <w:spacing w:line="276" w:lineRule="auto" w:before="99"/>
        <w:ind w:left="616" w:right="342" w:firstLine="0"/>
        <w:jc w:val="left"/>
        <w:rPr>
          <w:sz w:val="20"/>
        </w:rPr>
      </w:pPr>
      <w:r>
        <w:rPr>
          <w:position w:val="5"/>
          <w:sz w:val="13"/>
        </w:rPr>
        <w:t>751 </w:t>
      </w:r>
      <w:r>
        <w:rPr>
          <w:sz w:val="20"/>
        </w:rPr>
        <w:t>Littarru, Gian Paolo: Energy and Defence – Coenzyme Q10: Fakten und Perspektiven in der Biologie und Medizin (‘Facts and Perspectives in Biology and Medicine’): engl. Original: Casa Editrice Scientifica Internazionale, Rom</w:t>
      </w:r>
    </w:p>
    <w:p>
      <w:pPr>
        <w:spacing w:after="0" w:line="276" w:lineRule="auto"/>
        <w:jc w:val="left"/>
        <w:rPr>
          <w:sz w:val="20"/>
        </w:rPr>
        <w:sectPr>
          <w:pgSz w:w="14270" w:h="16850"/>
          <w:pgMar w:header="0" w:footer="1891" w:top="1340" w:bottom="2080" w:left="800" w:right="1280"/>
        </w:sectPr>
      </w:pPr>
    </w:p>
    <w:p>
      <w:pPr>
        <w:pStyle w:val="BodyText"/>
        <w:spacing w:line="276" w:lineRule="auto" w:before="72"/>
        <w:ind w:left="616" w:right="133"/>
        <w:jc w:val="both"/>
        <w:rPr>
          <w:sz w:val="25"/>
        </w:rPr>
      </w:pPr>
      <w:r>
        <w:rPr/>
        <w:t>comparable values, the athletes were first burdened in the submaximal range and after that up to maximal intensity before the Q10 supplementation took place. According to the results of the study, the Q10 values of the placebo group were, as expected, always lower than the Q10 group. What was not ex- pected, however, was the major performance difference, with a measured</w:t>
      </w:r>
      <w:r>
        <w:rPr>
          <w:spacing w:val="-58"/>
        </w:rPr>
        <w:t> </w:t>
      </w:r>
      <w:r>
        <w:rPr/>
        <w:t>per- formance increase of up to 30 % in the Q10 group.</w:t>
      </w:r>
      <w:r>
        <w:rPr>
          <w:position w:val="9"/>
          <w:sz w:val="25"/>
        </w:rPr>
        <w:t>752</w:t>
      </w:r>
    </w:p>
    <w:p>
      <w:pPr>
        <w:pStyle w:val="Heading1"/>
        <w:spacing w:before="225"/>
        <w:ind w:left="616"/>
      </w:pPr>
      <w:r>
        <w:rPr/>
        <w:t>Does the consumption of coenzyme Q10 lead to side effects?</w:t>
      </w:r>
    </w:p>
    <w:p>
      <w:pPr>
        <w:pStyle w:val="BodyText"/>
        <w:spacing w:line="276" w:lineRule="auto" w:before="300"/>
        <w:ind w:left="616" w:right="131"/>
        <w:jc w:val="both"/>
      </w:pPr>
      <w:r>
        <w:rPr/>
        <w:t>As</w:t>
      </w:r>
      <w:r>
        <w:rPr>
          <w:spacing w:val="-16"/>
        </w:rPr>
        <w:t> </w:t>
      </w:r>
      <w:r>
        <w:rPr/>
        <w:t>we</w:t>
      </w:r>
      <w:r>
        <w:rPr>
          <w:spacing w:val="-16"/>
        </w:rPr>
        <w:t> </w:t>
      </w:r>
      <w:r>
        <w:rPr/>
        <w:t>read</w:t>
      </w:r>
      <w:r>
        <w:rPr>
          <w:spacing w:val="-17"/>
        </w:rPr>
        <w:t> </w:t>
      </w:r>
      <w:r>
        <w:rPr/>
        <w:t>above</w:t>
      </w:r>
      <w:r>
        <w:rPr>
          <w:spacing w:val="-15"/>
        </w:rPr>
        <w:t> </w:t>
      </w:r>
      <w:r>
        <w:rPr/>
        <w:t>in</w:t>
      </w:r>
      <w:r>
        <w:rPr>
          <w:spacing w:val="-16"/>
        </w:rPr>
        <w:t> </w:t>
      </w:r>
      <w:r>
        <w:rPr/>
        <w:t>the</w:t>
      </w:r>
      <w:r>
        <w:rPr>
          <w:spacing w:val="-14"/>
        </w:rPr>
        <w:t> </w:t>
      </w:r>
      <w:r>
        <w:rPr/>
        <w:t>Saas</w:t>
      </w:r>
      <w:r>
        <w:rPr>
          <w:spacing w:val="-15"/>
        </w:rPr>
        <w:t> </w:t>
      </w:r>
      <w:r>
        <w:rPr/>
        <w:t>Fee</w:t>
      </w:r>
      <w:r>
        <w:rPr>
          <w:spacing w:val="-15"/>
        </w:rPr>
        <w:t> </w:t>
      </w:r>
      <w:r>
        <w:rPr/>
        <w:t>declaration,</w:t>
      </w:r>
      <w:r>
        <w:rPr>
          <w:spacing w:val="-15"/>
        </w:rPr>
        <w:t> </w:t>
      </w:r>
      <w:r>
        <w:rPr/>
        <w:t>signed</w:t>
      </w:r>
      <w:r>
        <w:rPr>
          <w:spacing w:val="-16"/>
        </w:rPr>
        <w:t> </w:t>
      </w:r>
      <w:r>
        <w:rPr/>
        <w:t>by</w:t>
      </w:r>
      <w:r>
        <w:rPr>
          <w:spacing w:val="-15"/>
        </w:rPr>
        <w:t> </w:t>
      </w:r>
      <w:r>
        <w:rPr/>
        <w:t>notable</w:t>
      </w:r>
      <w:r>
        <w:rPr>
          <w:spacing w:val="-15"/>
        </w:rPr>
        <w:t> </w:t>
      </w:r>
      <w:r>
        <w:rPr/>
        <w:t>professors</w:t>
      </w:r>
      <w:r>
        <w:rPr>
          <w:spacing w:val="-15"/>
        </w:rPr>
        <w:t> </w:t>
      </w:r>
      <w:r>
        <w:rPr/>
        <w:t>and doctors,</w:t>
      </w:r>
      <w:r>
        <w:rPr>
          <w:spacing w:val="-5"/>
        </w:rPr>
        <w:t> </w:t>
      </w:r>
      <w:r>
        <w:rPr/>
        <w:t>Q10</w:t>
      </w:r>
      <w:r>
        <w:rPr>
          <w:spacing w:val="-7"/>
        </w:rPr>
        <w:t> </w:t>
      </w:r>
      <w:r>
        <w:rPr/>
        <w:t>is</w:t>
      </w:r>
      <w:r>
        <w:rPr>
          <w:spacing w:val="-11"/>
        </w:rPr>
        <w:t> </w:t>
      </w:r>
      <w:r>
        <w:rPr/>
        <w:t>safe</w:t>
      </w:r>
      <w:r>
        <w:rPr>
          <w:spacing w:val="-7"/>
        </w:rPr>
        <w:t> </w:t>
      </w:r>
      <w:r>
        <w:rPr/>
        <w:t>to</w:t>
      </w:r>
      <w:r>
        <w:rPr>
          <w:spacing w:val="-5"/>
        </w:rPr>
        <w:t> </w:t>
      </w:r>
      <w:r>
        <w:rPr/>
        <w:t>use</w:t>
      </w:r>
      <w:r>
        <w:rPr>
          <w:spacing w:val="-7"/>
        </w:rPr>
        <w:t> </w:t>
      </w:r>
      <w:r>
        <w:rPr>
          <w:i/>
        </w:rPr>
        <w:t>‘even</w:t>
      </w:r>
      <w:r>
        <w:rPr>
          <w:i/>
          <w:spacing w:val="-6"/>
        </w:rPr>
        <w:t> </w:t>
      </w:r>
      <w:r>
        <w:rPr>
          <w:i/>
        </w:rPr>
        <w:t>in</w:t>
      </w:r>
      <w:r>
        <w:rPr>
          <w:i/>
          <w:spacing w:val="-6"/>
        </w:rPr>
        <w:t> </w:t>
      </w:r>
      <w:r>
        <w:rPr>
          <w:i/>
        </w:rPr>
        <w:t>very</w:t>
      </w:r>
      <w:r>
        <w:rPr>
          <w:i/>
          <w:spacing w:val="-5"/>
        </w:rPr>
        <w:t> </w:t>
      </w:r>
      <w:r>
        <w:rPr>
          <w:i/>
        </w:rPr>
        <w:t>highly</w:t>
      </w:r>
      <w:r>
        <w:rPr>
          <w:i/>
          <w:spacing w:val="-7"/>
        </w:rPr>
        <w:t> </w:t>
      </w:r>
      <w:r>
        <w:rPr>
          <w:i/>
        </w:rPr>
        <w:t>dosed</w:t>
      </w:r>
      <w:r>
        <w:rPr>
          <w:i/>
          <w:spacing w:val="-7"/>
        </w:rPr>
        <w:t> </w:t>
      </w:r>
      <w:r>
        <w:rPr>
          <w:i/>
        </w:rPr>
        <w:t>intake.’</w:t>
      </w:r>
      <w:r>
        <w:rPr>
          <w:i/>
          <w:spacing w:val="-5"/>
        </w:rPr>
        <w:t> </w:t>
      </w:r>
      <w:r>
        <w:rPr/>
        <w:t>Even</w:t>
      </w:r>
      <w:r>
        <w:rPr>
          <w:spacing w:val="-6"/>
        </w:rPr>
        <w:t> </w:t>
      </w:r>
      <w:r>
        <w:rPr/>
        <w:t>with</w:t>
      </w:r>
      <w:r>
        <w:rPr>
          <w:spacing w:val="-5"/>
        </w:rPr>
        <w:t> </w:t>
      </w:r>
      <w:r>
        <w:rPr/>
        <w:t>a</w:t>
      </w:r>
      <w:r>
        <w:rPr>
          <w:spacing w:val="-8"/>
        </w:rPr>
        <w:t> </w:t>
      </w:r>
      <w:r>
        <w:rPr/>
        <w:t>very</w:t>
      </w:r>
      <w:r>
        <w:rPr>
          <w:spacing w:val="-5"/>
        </w:rPr>
        <w:t> </w:t>
      </w:r>
      <w:r>
        <w:rPr/>
        <w:t>high intake of over 600 mg daily, coenzyme Q10 proves to be free of side effects and leads at the most in some few patients to a mild form of nausea.</w:t>
      </w:r>
      <w:r>
        <w:rPr>
          <w:position w:val="9"/>
          <w:sz w:val="25"/>
        </w:rPr>
        <w:t>753 </w:t>
      </w:r>
      <w:r>
        <w:rPr/>
        <w:t>Ac- cording to Sven A. Mortenson of the Heart Center, Rigshospetalet in Copen- hagen, who summarised various studies and nine placebo-controlled studies across 15 years, ubiquinone is very well tolerated without accompanying side effects and with simultaneous significant improvement to disease symptoms and quality of</w:t>
      </w:r>
      <w:r>
        <w:rPr>
          <w:spacing w:val="2"/>
        </w:rPr>
        <w:t> </w:t>
      </w:r>
      <w:r>
        <w:rPr/>
        <w:t>life.</w:t>
      </w:r>
    </w:p>
    <w:p>
      <w:pPr>
        <w:pStyle w:val="Heading1"/>
        <w:spacing w:before="221"/>
        <w:ind w:left="712"/>
      </w:pPr>
      <w:r>
        <w:rPr/>
        <w:t>Q10 minimises the side effects of medications</w:t>
      </w:r>
    </w:p>
    <w:p>
      <w:pPr>
        <w:pStyle w:val="BodyText"/>
        <w:spacing w:line="276" w:lineRule="auto" w:before="300"/>
        <w:ind w:left="616" w:right="133"/>
        <w:jc w:val="both"/>
      </w:pPr>
      <w:r>
        <w:rPr/>
        <w:t>Experiences from around the world, especially in Japan, show that coenzyme Q10 not only is not accompanied by any side effects, it can also even reduce the side effects of medications. A study by Takahashi et al. was able to show</w:t>
      </w:r>
    </w:p>
    <w:p>
      <w:pPr>
        <w:pStyle w:val="BodyText"/>
        <w:rPr>
          <w:sz w:val="20"/>
        </w:rPr>
      </w:pPr>
    </w:p>
    <w:p>
      <w:pPr>
        <w:pStyle w:val="BodyText"/>
        <w:spacing w:before="7"/>
        <w:rPr>
          <w:sz w:val="14"/>
        </w:rPr>
      </w:pPr>
      <w:r>
        <w:rPr/>
        <w:pict>
          <v:line style="position:absolute;mso-position-horizontal-relative:page;mso-position-vertical-relative:paragraph;z-index:10256;mso-wrap-distance-left:0;mso-wrap-distance-right:0" from="70.823997pt,10.607485pt" to="214.843997pt,10.607485pt" stroked="true" strokeweight=".72003pt" strokecolor="#000000">
            <v:stroke dashstyle="solid"/>
            <w10:wrap type="topAndBottom"/>
          </v:line>
        </w:pict>
      </w:r>
    </w:p>
    <w:p>
      <w:pPr>
        <w:pStyle w:val="BodyText"/>
        <w:spacing w:before="5"/>
        <w:rPr>
          <w:sz w:val="19"/>
        </w:rPr>
      </w:pPr>
    </w:p>
    <w:p>
      <w:pPr>
        <w:spacing w:before="100"/>
        <w:ind w:left="616" w:right="0" w:firstLine="0"/>
        <w:jc w:val="left"/>
        <w:rPr>
          <w:sz w:val="13"/>
        </w:rPr>
      </w:pPr>
      <w:r>
        <w:rPr>
          <w:sz w:val="13"/>
        </w:rPr>
        <w:t>752</w:t>
      </w:r>
    </w:p>
    <w:p>
      <w:pPr>
        <w:pStyle w:val="BodyText"/>
        <w:spacing w:before="3"/>
        <w:rPr>
          <w:sz w:val="14"/>
        </w:rPr>
      </w:pPr>
    </w:p>
    <w:p>
      <w:pPr>
        <w:spacing w:before="0"/>
        <w:ind w:left="616" w:right="0" w:firstLine="0"/>
        <w:jc w:val="left"/>
        <w:rPr>
          <w:sz w:val="20"/>
        </w:rPr>
      </w:pPr>
      <w:r>
        <w:rPr>
          <w:position w:val="9"/>
          <w:sz w:val="14"/>
        </w:rPr>
        <w:t>753 </w:t>
      </w:r>
      <w:r>
        <w:rPr>
          <w:sz w:val="20"/>
        </w:rPr>
        <w:t>Werner Goller: Was verschweigt die Schulmedizin? (‘What Does Conventional Medicine Conceal?’), 2009, p. 29</w:t>
      </w:r>
    </w:p>
    <w:p>
      <w:pPr>
        <w:spacing w:after="0"/>
        <w:jc w:val="left"/>
        <w:rPr>
          <w:sz w:val="20"/>
        </w:rPr>
        <w:sectPr>
          <w:pgSz w:w="14270" w:h="16850"/>
          <w:pgMar w:header="0" w:footer="1891" w:top="1340" w:bottom="2080" w:left="800" w:right="1280"/>
        </w:sectPr>
      </w:pPr>
    </w:p>
    <w:p>
      <w:pPr>
        <w:pStyle w:val="BodyText"/>
        <w:spacing w:line="276" w:lineRule="auto" w:before="72"/>
        <w:ind w:left="616" w:right="131"/>
        <w:jc w:val="both"/>
        <w:rPr>
          <w:sz w:val="25"/>
        </w:rPr>
      </w:pPr>
      <w:r>
        <w:rPr/>
        <w:t>that the heart failure, which is a typical side effect of the medication ‘timolol’, which is almost exclusively used as a receptor blocker against the glaucoma, could</w:t>
      </w:r>
      <w:r>
        <w:rPr>
          <w:spacing w:val="-24"/>
        </w:rPr>
        <w:t> </w:t>
      </w:r>
      <w:r>
        <w:rPr/>
        <w:t>be</w:t>
      </w:r>
      <w:r>
        <w:rPr>
          <w:spacing w:val="-23"/>
        </w:rPr>
        <w:t> </w:t>
      </w:r>
      <w:r>
        <w:rPr/>
        <w:t>significantly</w:t>
      </w:r>
      <w:r>
        <w:rPr>
          <w:spacing w:val="-23"/>
        </w:rPr>
        <w:t> </w:t>
      </w:r>
      <w:r>
        <w:rPr/>
        <w:t>reduced</w:t>
      </w:r>
      <w:r>
        <w:rPr>
          <w:spacing w:val="-25"/>
        </w:rPr>
        <w:t> </w:t>
      </w:r>
      <w:r>
        <w:rPr/>
        <w:t>with</w:t>
      </w:r>
      <w:r>
        <w:rPr>
          <w:spacing w:val="-22"/>
        </w:rPr>
        <w:t> </w:t>
      </w:r>
      <w:r>
        <w:rPr/>
        <w:t>the</w:t>
      </w:r>
      <w:r>
        <w:rPr>
          <w:spacing w:val="-22"/>
        </w:rPr>
        <w:t> </w:t>
      </w:r>
      <w:r>
        <w:rPr/>
        <w:t>parallel</w:t>
      </w:r>
      <w:r>
        <w:rPr>
          <w:spacing w:val="-24"/>
        </w:rPr>
        <w:t> </w:t>
      </w:r>
      <w:r>
        <w:rPr/>
        <w:t>medication</w:t>
      </w:r>
      <w:r>
        <w:rPr>
          <w:spacing w:val="-22"/>
        </w:rPr>
        <w:t> </w:t>
      </w:r>
      <w:r>
        <w:rPr/>
        <w:t>Q10</w:t>
      </w:r>
      <w:r>
        <w:rPr>
          <w:spacing w:val="-23"/>
        </w:rPr>
        <w:t> </w:t>
      </w:r>
      <w:r>
        <w:rPr/>
        <w:t>(90</w:t>
      </w:r>
      <w:r>
        <w:rPr>
          <w:spacing w:val="-24"/>
        </w:rPr>
        <w:t> </w:t>
      </w:r>
      <w:r>
        <w:rPr/>
        <w:t>mg/day).</w:t>
      </w:r>
      <w:r>
        <w:rPr>
          <w:position w:val="9"/>
          <w:sz w:val="25"/>
        </w:rPr>
        <w:t>754 </w:t>
      </w:r>
      <w:r>
        <w:rPr/>
        <w:t>Dr. Kishi et al. were able to demonstrate that additional intake of Q10 coun- teracts</w:t>
      </w:r>
      <w:r>
        <w:rPr>
          <w:spacing w:val="-11"/>
        </w:rPr>
        <w:t> </w:t>
      </w:r>
      <w:r>
        <w:rPr/>
        <w:t>the</w:t>
      </w:r>
      <w:r>
        <w:rPr>
          <w:spacing w:val="-12"/>
        </w:rPr>
        <w:t> </w:t>
      </w:r>
      <w:r>
        <w:rPr/>
        <w:t>inhibition</w:t>
      </w:r>
      <w:r>
        <w:rPr>
          <w:spacing w:val="-11"/>
        </w:rPr>
        <w:t> </w:t>
      </w:r>
      <w:r>
        <w:rPr/>
        <w:t>of</w:t>
      </w:r>
      <w:r>
        <w:rPr>
          <w:spacing w:val="-13"/>
        </w:rPr>
        <w:t> </w:t>
      </w:r>
      <w:r>
        <w:rPr/>
        <w:t>mitochondrial</w:t>
      </w:r>
      <w:r>
        <w:rPr>
          <w:spacing w:val="-13"/>
        </w:rPr>
        <w:t> </w:t>
      </w:r>
      <w:r>
        <w:rPr/>
        <w:t>breathing</w:t>
      </w:r>
      <w:r>
        <w:rPr>
          <w:spacing w:val="-13"/>
        </w:rPr>
        <w:t> </w:t>
      </w:r>
      <w:r>
        <w:rPr/>
        <w:t>as</w:t>
      </w:r>
      <w:r>
        <w:rPr>
          <w:spacing w:val="-12"/>
        </w:rPr>
        <w:t> </w:t>
      </w:r>
      <w:r>
        <w:rPr/>
        <w:t>a</w:t>
      </w:r>
      <w:r>
        <w:rPr>
          <w:spacing w:val="-14"/>
        </w:rPr>
        <w:t> </w:t>
      </w:r>
      <w:r>
        <w:rPr/>
        <w:t>side</w:t>
      </w:r>
      <w:r>
        <w:rPr>
          <w:spacing w:val="-11"/>
        </w:rPr>
        <w:t> </w:t>
      </w:r>
      <w:r>
        <w:rPr/>
        <w:t>effect</w:t>
      </w:r>
      <w:r>
        <w:rPr>
          <w:spacing w:val="-13"/>
        </w:rPr>
        <w:t> </w:t>
      </w:r>
      <w:r>
        <w:rPr/>
        <w:t>of</w:t>
      </w:r>
      <w:r>
        <w:rPr>
          <w:spacing w:val="-12"/>
        </w:rPr>
        <w:t> </w:t>
      </w:r>
      <w:r>
        <w:rPr/>
        <w:t>chemother- apy (e.g. by means of the cancer therapy</w:t>
      </w:r>
      <w:r>
        <w:rPr>
          <w:spacing w:val="-4"/>
        </w:rPr>
        <w:t> </w:t>
      </w:r>
      <w:r>
        <w:rPr/>
        <w:t>‘adriamycin’).</w:t>
      </w:r>
      <w:r>
        <w:rPr>
          <w:position w:val="9"/>
          <w:sz w:val="25"/>
        </w:rPr>
        <w:t>755</w:t>
      </w:r>
    </w:p>
    <w:p>
      <w:pPr>
        <w:pStyle w:val="Heading1"/>
        <w:spacing w:before="225"/>
        <w:ind w:left="616"/>
        <w:jc w:val="both"/>
      </w:pPr>
      <w:r>
        <w:rPr/>
        <w:t>How much Q10 is recommended to remain healthy and vital?</w:t>
      </w:r>
    </w:p>
    <w:p>
      <w:pPr>
        <w:pStyle w:val="BodyText"/>
        <w:spacing w:line="276" w:lineRule="auto" w:before="300"/>
        <w:ind w:left="616" w:right="135"/>
        <w:jc w:val="both"/>
      </w:pPr>
      <w:r>
        <w:rPr/>
        <w:t>As was illustrated in detail with the example of vitamin C, it is the intake amount that determines how efficiently vitamins, minerals or secondary plant substances can work.</w:t>
      </w:r>
    </w:p>
    <w:p>
      <w:pPr>
        <w:pStyle w:val="BodyText"/>
        <w:spacing w:line="276" w:lineRule="auto" w:before="238"/>
        <w:ind w:left="616" w:right="132"/>
        <w:jc w:val="both"/>
      </w:pPr>
      <w:r>
        <w:rPr/>
        <w:t>Therapeutic effectiveness is expected by experts starting at a daily dose of</w:t>
      </w:r>
      <w:r>
        <w:rPr>
          <w:spacing w:val="-40"/>
        </w:rPr>
        <w:t> </w:t>
      </w:r>
      <w:r>
        <w:rPr/>
        <w:t>100 mg of Q10 (ubiquinone); for heart problems, 50-300 mg are recommended, depending</w:t>
      </w:r>
      <w:r>
        <w:rPr>
          <w:spacing w:val="-11"/>
        </w:rPr>
        <w:t> </w:t>
      </w:r>
      <w:r>
        <w:rPr/>
        <w:t>on</w:t>
      </w:r>
      <w:r>
        <w:rPr>
          <w:spacing w:val="-13"/>
        </w:rPr>
        <w:t> </w:t>
      </w:r>
      <w:r>
        <w:rPr/>
        <w:t>the</w:t>
      </w:r>
      <w:r>
        <w:rPr>
          <w:spacing w:val="-11"/>
        </w:rPr>
        <w:t> </w:t>
      </w:r>
      <w:r>
        <w:rPr/>
        <w:t>severity</w:t>
      </w:r>
      <w:r>
        <w:rPr>
          <w:spacing w:val="-15"/>
        </w:rPr>
        <w:t> </w:t>
      </w:r>
      <w:r>
        <w:rPr/>
        <w:t>of</w:t>
      </w:r>
      <w:r>
        <w:rPr>
          <w:spacing w:val="-13"/>
        </w:rPr>
        <w:t> </w:t>
      </w:r>
      <w:r>
        <w:rPr/>
        <w:t>the</w:t>
      </w:r>
      <w:r>
        <w:rPr>
          <w:spacing w:val="-13"/>
        </w:rPr>
        <w:t> </w:t>
      </w:r>
      <w:r>
        <w:rPr/>
        <w:t>illness;</w:t>
      </w:r>
      <w:r>
        <w:rPr>
          <w:spacing w:val="-11"/>
        </w:rPr>
        <w:t> </w:t>
      </w:r>
      <w:r>
        <w:rPr/>
        <w:t>Prof.</w:t>
      </w:r>
      <w:r>
        <w:rPr>
          <w:spacing w:val="-13"/>
        </w:rPr>
        <w:t> </w:t>
      </w:r>
      <w:r>
        <w:rPr/>
        <w:t>Dr.</w:t>
      </w:r>
      <w:r>
        <w:rPr>
          <w:spacing w:val="-13"/>
        </w:rPr>
        <w:t> </w:t>
      </w:r>
      <w:r>
        <w:rPr/>
        <w:t>Clark</w:t>
      </w:r>
      <w:r>
        <w:rPr>
          <w:spacing w:val="-12"/>
        </w:rPr>
        <w:t> </w:t>
      </w:r>
      <w:r>
        <w:rPr/>
        <w:t>even</w:t>
      </w:r>
      <w:r>
        <w:rPr>
          <w:spacing w:val="-10"/>
        </w:rPr>
        <w:t> </w:t>
      </w:r>
      <w:r>
        <w:rPr/>
        <w:t>recommends</w:t>
      </w:r>
      <w:r>
        <w:rPr>
          <w:spacing w:val="-11"/>
        </w:rPr>
        <w:t> </w:t>
      </w:r>
      <w:r>
        <w:rPr/>
        <w:t>400 mg Q10 daily.</w:t>
      </w:r>
    </w:p>
    <w:p>
      <w:pPr>
        <w:pStyle w:val="BodyText"/>
        <w:spacing w:line="276" w:lineRule="auto" w:before="242"/>
        <w:ind w:left="616" w:right="133"/>
        <w:jc w:val="both"/>
      </w:pPr>
      <w:r>
        <w:rPr/>
        <w:t>The utilisation and production of Q10 varies from person to person. If you want to err on the side of caution, you can have your Q10 levels tested via a blood</w:t>
      </w:r>
      <w:r>
        <w:rPr>
          <w:spacing w:val="-9"/>
        </w:rPr>
        <w:t> </w:t>
      </w:r>
      <w:r>
        <w:rPr/>
        <w:t>test.</w:t>
      </w:r>
      <w:r>
        <w:rPr>
          <w:spacing w:val="-8"/>
        </w:rPr>
        <w:t> </w:t>
      </w:r>
      <w:r>
        <w:rPr/>
        <w:t>We</w:t>
      </w:r>
      <w:r>
        <w:rPr>
          <w:spacing w:val="-8"/>
        </w:rPr>
        <w:t> </w:t>
      </w:r>
      <w:r>
        <w:rPr/>
        <w:t>have</w:t>
      </w:r>
      <w:r>
        <w:rPr>
          <w:spacing w:val="-10"/>
        </w:rPr>
        <w:t> </w:t>
      </w:r>
      <w:r>
        <w:rPr/>
        <w:t>our</w:t>
      </w:r>
      <w:r>
        <w:rPr>
          <w:spacing w:val="-8"/>
        </w:rPr>
        <w:t> </w:t>
      </w:r>
      <w:r>
        <w:rPr/>
        <w:t>greatest</w:t>
      </w:r>
      <w:r>
        <w:rPr>
          <w:spacing w:val="-9"/>
        </w:rPr>
        <w:t> </w:t>
      </w:r>
      <w:r>
        <w:rPr/>
        <w:t>supply</w:t>
      </w:r>
      <w:r>
        <w:rPr>
          <w:spacing w:val="-10"/>
        </w:rPr>
        <w:t> </w:t>
      </w:r>
      <w:r>
        <w:rPr/>
        <w:t>of</w:t>
      </w:r>
      <w:r>
        <w:rPr>
          <w:spacing w:val="-8"/>
        </w:rPr>
        <w:t> </w:t>
      </w:r>
      <w:r>
        <w:rPr/>
        <w:t>self-produced</w:t>
      </w:r>
      <w:r>
        <w:rPr>
          <w:spacing w:val="-9"/>
        </w:rPr>
        <w:t> </w:t>
      </w:r>
      <w:r>
        <w:rPr/>
        <w:t>Q10</w:t>
      </w:r>
      <w:r>
        <w:rPr>
          <w:spacing w:val="-9"/>
        </w:rPr>
        <w:t> </w:t>
      </w:r>
      <w:r>
        <w:rPr/>
        <w:t>at</w:t>
      </w:r>
      <w:r>
        <w:rPr>
          <w:spacing w:val="-11"/>
        </w:rPr>
        <w:t> </w:t>
      </w:r>
      <w:r>
        <w:rPr/>
        <w:t>the</w:t>
      </w:r>
      <w:r>
        <w:rPr>
          <w:spacing w:val="-8"/>
        </w:rPr>
        <w:t> </w:t>
      </w:r>
      <w:r>
        <w:rPr/>
        <w:t>age</w:t>
      </w:r>
      <w:r>
        <w:rPr>
          <w:spacing w:val="-10"/>
        </w:rPr>
        <w:t> </w:t>
      </w:r>
      <w:r>
        <w:rPr/>
        <w:t>of</w:t>
      </w:r>
      <w:r>
        <w:rPr>
          <w:spacing w:val="-9"/>
        </w:rPr>
        <w:t> </w:t>
      </w:r>
      <w:r>
        <w:rPr/>
        <w:t>20. Afterwards,</w:t>
      </w:r>
      <w:r>
        <w:rPr>
          <w:spacing w:val="-22"/>
        </w:rPr>
        <w:t> </w:t>
      </w:r>
      <w:r>
        <w:rPr/>
        <w:t>Q10</w:t>
      </w:r>
      <w:r>
        <w:rPr>
          <w:spacing w:val="-22"/>
        </w:rPr>
        <w:t> </w:t>
      </w:r>
      <w:r>
        <w:rPr/>
        <w:t>concentration</w:t>
      </w:r>
      <w:r>
        <w:rPr>
          <w:spacing w:val="-23"/>
        </w:rPr>
        <w:t> </w:t>
      </w:r>
      <w:r>
        <w:rPr/>
        <w:t>decreases</w:t>
      </w:r>
      <w:r>
        <w:rPr>
          <w:spacing w:val="-20"/>
        </w:rPr>
        <w:t> </w:t>
      </w:r>
      <w:r>
        <w:rPr/>
        <w:t>in</w:t>
      </w:r>
      <w:r>
        <w:rPr>
          <w:spacing w:val="-23"/>
        </w:rPr>
        <w:t> </w:t>
      </w:r>
      <w:r>
        <w:rPr/>
        <w:t>our</w:t>
      </w:r>
      <w:r>
        <w:rPr>
          <w:spacing w:val="-24"/>
        </w:rPr>
        <w:t> </w:t>
      </w:r>
      <w:r>
        <w:rPr/>
        <w:t>bodies</w:t>
      </w:r>
      <w:r>
        <w:rPr>
          <w:spacing w:val="-20"/>
        </w:rPr>
        <w:t> </w:t>
      </w:r>
      <w:r>
        <w:rPr/>
        <w:t>to</w:t>
      </w:r>
      <w:r>
        <w:rPr>
          <w:spacing w:val="-23"/>
        </w:rPr>
        <w:t> </w:t>
      </w:r>
      <w:r>
        <w:rPr/>
        <w:t>half</w:t>
      </w:r>
      <w:r>
        <w:rPr>
          <w:spacing w:val="-23"/>
        </w:rPr>
        <w:t> </w:t>
      </w:r>
      <w:r>
        <w:rPr/>
        <w:t>this</w:t>
      </w:r>
      <w:r>
        <w:rPr>
          <w:spacing w:val="-23"/>
        </w:rPr>
        <w:t> </w:t>
      </w:r>
      <w:r>
        <w:rPr/>
        <w:t>level</w:t>
      </w:r>
      <w:r>
        <w:rPr>
          <w:spacing w:val="-22"/>
        </w:rPr>
        <w:t> </w:t>
      </w:r>
      <w:r>
        <w:rPr/>
        <w:t>or</w:t>
      </w:r>
      <w:r>
        <w:rPr>
          <w:spacing w:val="-23"/>
        </w:rPr>
        <w:t> </w:t>
      </w:r>
      <w:r>
        <w:rPr/>
        <w:t>less. For</w:t>
      </w:r>
      <w:r>
        <w:rPr>
          <w:spacing w:val="-6"/>
        </w:rPr>
        <w:t> </w:t>
      </w:r>
      <w:r>
        <w:rPr/>
        <w:t>healthy</w:t>
      </w:r>
      <w:r>
        <w:rPr>
          <w:spacing w:val="-9"/>
        </w:rPr>
        <w:t> </w:t>
      </w:r>
      <w:r>
        <w:rPr/>
        <w:t>persons,</w:t>
      </w:r>
      <w:r>
        <w:rPr>
          <w:spacing w:val="-8"/>
        </w:rPr>
        <w:t> </w:t>
      </w:r>
      <w:r>
        <w:rPr/>
        <w:t>a</w:t>
      </w:r>
      <w:r>
        <w:rPr>
          <w:spacing w:val="-8"/>
        </w:rPr>
        <w:t> </w:t>
      </w:r>
      <w:r>
        <w:rPr/>
        <w:t>daily</w:t>
      </w:r>
      <w:r>
        <w:rPr>
          <w:spacing w:val="-8"/>
        </w:rPr>
        <w:t> </w:t>
      </w:r>
      <w:r>
        <w:rPr/>
        <w:t>supply</w:t>
      </w:r>
      <w:r>
        <w:rPr>
          <w:spacing w:val="-8"/>
        </w:rPr>
        <w:t> </w:t>
      </w:r>
      <w:r>
        <w:rPr/>
        <w:t>of</w:t>
      </w:r>
      <w:r>
        <w:rPr>
          <w:spacing w:val="-9"/>
        </w:rPr>
        <w:t> </w:t>
      </w:r>
      <w:r>
        <w:rPr/>
        <w:t>100</w:t>
      </w:r>
      <w:r>
        <w:rPr>
          <w:spacing w:val="-8"/>
        </w:rPr>
        <w:t> </w:t>
      </w:r>
      <w:r>
        <w:rPr/>
        <w:t>mg</w:t>
      </w:r>
      <w:r>
        <w:rPr>
          <w:spacing w:val="-10"/>
        </w:rPr>
        <w:t> </w:t>
      </w:r>
      <w:r>
        <w:rPr/>
        <w:t>is</w:t>
      </w:r>
      <w:r>
        <w:rPr>
          <w:spacing w:val="-7"/>
        </w:rPr>
        <w:t> </w:t>
      </w:r>
      <w:r>
        <w:rPr/>
        <w:t>therefore</w:t>
      </w:r>
      <w:r>
        <w:rPr>
          <w:spacing w:val="-9"/>
        </w:rPr>
        <w:t> </w:t>
      </w:r>
      <w:r>
        <w:rPr/>
        <w:t>to</w:t>
      </w:r>
      <w:r>
        <w:rPr>
          <w:spacing w:val="-9"/>
        </w:rPr>
        <w:t> </w:t>
      </w:r>
      <w:r>
        <w:rPr/>
        <w:t>be</w:t>
      </w:r>
      <w:r>
        <w:rPr>
          <w:spacing w:val="-8"/>
        </w:rPr>
        <w:t> </w:t>
      </w:r>
      <w:r>
        <w:rPr/>
        <w:t>recommended</w:t>
      </w:r>
    </w:p>
    <w:p>
      <w:pPr>
        <w:pStyle w:val="BodyText"/>
        <w:rPr>
          <w:sz w:val="20"/>
        </w:rPr>
      </w:pPr>
    </w:p>
    <w:p>
      <w:pPr>
        <w:pStyle w:val="BodyText"/>
        <w:rPr>
          <w:sz w:val="20"/>
        </w:rPr>
      </w:pPr>
    </w:p>
    <w:p>
      <w:pPr>
        <w:pStyle w:val="BodyText"/>
        <w:spacing w:before="3"/>
        <w:rPr>
          <w:sz w:val="19"/>
        </w:rPr>
      </w:pPr>
      <w:r>
        <w:rPr/>
        <w:pict>
          <v:line style="position:absolute;mso-position-horizontal-relative:page;mso-position-vertical-relative:paragraph;z-index:10280;mso-wrap-distance-left:0;mso-wrap-distance-right:0" from="70.823997pt,13.227485pt" to="214.843997pt,13.227485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754 </w:t>
      </w:r>
      <w:r>
        <w:rPr>
          <w:sz w:val="20"/>
        </w:rPr>
        <w:t>Takahashi N. et al.: Effect of coenzyme Q10 on hemidynamic response to ocular Timolol. J. Cardiovasc. Pharmacol. 1989, 14, pp. 462–468</w:t>
      </w:r>
    </w:p>
    <w:p>
      <w:pPr>
        <w:spacing w:before="92"/>
        <w:ind w:left="616" w:right="0" w:firstLine="0"/>
        <w:jc w:val="left"/>
        <w:rPr>
          <w:sz w:val="20"/>
        </w:rPr>
      </w:pPr>
      <w:r>
        <w:rPr>
          <w:position w:val="5"/>
          <w:sz w:val="13"/>
        </w:rPr>
        <w:t>755 </w:t>
      </w:r>
      <w:r>
        <w:rPr>
          <w:sz w:val="20"/>
        </w:rPr>
        <w:t>Kishi T. et al.: Protective effect of coenzyme Q on adriamycin in beating heart cells. Biomed. and Clin. Aspects of CoQ10, 1994, 4, pp. 181–194</w:t>
      </w:r>
    </w:p>
    <w:p>
      <w:pPr>
        <w:spacing w:after="0"/>
        <w:jc w:val="left"/>
        <w:rPr>
          <w:sz w:val="20"/>
        </w:rPr>
        <w:sectPr>
          <w:pgSz w:w="14270" w:h="16850"/>
          <w:pgMar w:header="0" w:footer="1891" w:top="1340" w:bottom="2080" w:left="800" w:right="1280"/>
        </w:sectPr>
      </w:pPr>
    </w:p>
    <w:p>
      <w:pPr>
        <w:pStyle w:val="BodyText"/>
        <w:spacing w:before="74"/>
        <w:ind w:left="616"/>
      </w:pPr>
      <w:r>
        <w:rPr/>
        <w:t>and is harmless.</w:t>
      </w:r>
    </w:p>
    <w:p>
      <w:pPr>
        <w:pStyle w:val="BodyText"/>
        <w:spacing w:line="276" w:lineRule="auto" w:before="305"/>
        <w:ind w:left="616" w:right="144"/>
        <w:jc w:val="both"/>
      </w:pPr>
      <w:r>
        <w:rPr/>
        <w:t>In case of illness, the situation is different. Doses of 300 mg Q10 and more can be highly sensible. In the view of Dr. Langsjoen, high doses of Q10 of up to 720 mg per day should achieve further improvements for a diverse set of illnesses.</w:t>
      </w:r>
    </w:p>
    <w:p>
      <w:pPr>
        <w:spacing w:after="0" w:line="276" w:lineRule="auto"/>
        <w:jc w:val="both"/>
        <w:sectPr>
          <w:pgSz w:w="14270" w:h="16850"/>
          <w:pgMar w:header="0" w:footer="1891" w:top="1340" w:bottom="2080" w:left="800" w:right="1280"/>
        </w:sectPr>
      </w:pPr>
    </w:p>
    <w:p>
      <w:pPr>
        <w:spacing w:before="73"/>
        <w:ind w:left="616" w:right="0" w:firstLine="0"/>
        <w:jc w:val="left"/>
        <w:rPr>
          <w:rFonts w:ascii="Cambria"/>
          <w:b/>
          <w:sz w:val="28"/>
        </w:rPr>
      </w:pPr>
      <w:r>
        <w:rPr>
          <w:rFonts w:ascii="Cambria"/>
          <w:b/>
          <w:color w:val="365F91"/>
          <w:sz w:val="28"/>
        </w:rPr>
        <w:t>RESVERATROL</w:t>
      </w:r>
    </w:p>
    <w:p>
      <w:pPr>
        <w:pStyle w:val="BodyText"/>
        <w:spacing w:before="8"/>
        <w:rPr>
          <w:rFonts w:ascii="Cambria"/>
          <w:b/>
          <w:sz w:val="24"/>
        </w:rPr>
      </w:pPr>
    </w:p>
    <w:p>
      <w:pPr>
        <w:pStyle w:val="BodyText"/>
        <w:ind w:left="616"/>
      </w:pPr>
      <w:r>
        <w:rPr/>
        <w:t>What is resveratrol?</w:t>
      </w:r>
    </w:p>
    <w:p>
      <w:pPr>
        <w:pStyle w:val="BodyText"/>
        <w:spacing w:line="276" w:lineRule="auto" w:before="305"/>
        <w:ind w:left="616" w:right="132"/>
        <w:jc w:val="both"/>
      </w:pPr>
      <w:r>
        <w:rPr/>
        <w:t>Imagine a totally incredible natural substance, shown in studies to increase lifespan, prevent and combat even severe illnesses like cancer in every stage, with a positive effect on numerous other diseases like arthritis, circulatory</w:t>
      </w:r>
      <w:r>
        <w:rPr>
          <w:spacing w:val="-47"/>
        </w:rPr>
        <w:t> </w:t>
      </w:r>
      <w:r>
        <w:rPr/>
        <w:t>dis- eases, diabetes and multiple sclerosis and which, if that wasn’t enough, regu- lates</w:t>
      </w:r>
      <w:r>
        <w:rPr>
          <w:spacing w:val="-20"/>
        </w:rPr>
        <w:t> </w:t>
      </w:r>
      <w:r>
        <w:rPr/>
        <w:t>fat</w:t>
      </w:r>
      <w:r>
        <w:rPr>
          <w:spacing w:val="-20"/>
        </w:rPr>
        <w:t> </w:t>
      </w:r>
      <w:r>
        <w:rPr/>
        <w:t>metabolism</w:t>
      </w:r>
      <w:r>
        <w:rPr>
          <w:spacing w:val="-18"/>
        </w:rPr>
        <w:t> </w:t>
      </w:r>
      <w:r>
        <w:rPr/>
        <w:t>(helps</w:t>
      </w:r>
      <w:r>
        <w:rPr>
          <w:spacing w:val="-18"/>
        </w:rPr>
        <w:t> </w:t>
      </w:r>
      <w:r>
        <w:rPr/>
        <w:t>with</w:t>
      </w:r>
      <w:r>
        <w:rPr>
          <w:spacing w:val="-18"/>
        </w:rPr>
        <w:t> </w:t>
      </w:r>
      <w:r>
        <w:rPr/>
        <w:t>weight</w:t>
      </w:r>
      <w:r>
        <w:rPr>
          <w:spacing w:val="-19"/>
        </w:rPr>
        <w:t> </w:t>
      </w:r>
      <w:r>
        <w:rPr/>
        <w:t>loss!)</w:t>
      </w:r>
      <w:r>
        <w:rPr>
          <w:spacing w:val="-19"/>
        </w:rPr>
        <w:t> </w:t>
      </w:r>
      <w:r>
        <w:rPr/>
        <w:t>and</w:t>
      </w:r>
      <w:r>
        <w:rPr>
          <w:spacing w:val="-19"/>
        </w:rPr>
        <w:t> </w:t>
      </w:r>
      <w:r>
        <w:rPr/>
        <w:t>has</w:t>
      </w:r>
      <w:r>
        <w:rPr>
          <w:spacing w:val="-19"/>
        </w:rPr>
        <w:t> </w:t>
      </w:r>
      <w:r>
        <w:rPr/>
        <w:t>been</w:t>
      </w:r>
      <w:r>
        <w:rPr>
          <w:spacing w:val="-18"/>
        </w:rPr>
        <w:t> </w:t>
      </w:r>
      <w:r>
        <w:rPr/>
        <w:t>sensationally</w:t>
      </w:r>
      <w:r>
        <w:rPr>
          <w:spacing w:val="-19"/>
        </w:rPr>
        <w:t> </w:t>
      </w:r>
      <w:r>
        <w:rPr/>
        <w:t>shown in animal studies to double endurance</w:t>
      </w:r>
      <w:r>
        <w:rPr>
          <w:spacing w:val="3"/>
        </w:rPr>
        <w:t> </w:t>
      </w:r>
      <w:r>
        <w:rPr/>
        <w:t>ability...</w:t>
      </w:r>
    </w:p>
    <w:p>
      <w:pPr>
        <w:pStyle w:val="BodyText"/>
        <w:spacing w:line="276" w:lineRule="auto" w:before="240"/>
        <w:ind w:left="616" w:right="137"/>
        <w:jc w:val="both"/>
      </w:pPr>
      <w:r>
        <w:rPr/>
        <w:t>This short description applies to resveratrol, a substance that has only been a focus of scientific attention for the past few years, but since then has been more intensively researched and has continually led to sensational insights!</w:t>
      </w:r>
    </w:p>
    <w:p>
      <w:pPr>
        <w:pStyle w:val="Heading2"/>
        <w:spacing w:before="239"/>
        <w:ind w:left="616"/>
      </w:pPr>
      <w:r>
        <w:rPr/>
        <w:t>Resveratrol from a chemical perspective</w:t>
      </w:r>
    </w:p>
    <w:p>
      <w:pPr>
        <w:pStyle w:val="BodyText"/>
        <w:spacing w:line="276" w:lineRule="auto" w:before="305"/>
        <w:ind w:left="616" w:right="135"/>
        <w:jc w:val="both"/>
      </w:pPr>
      <w:r>
        <w:rPr/>
        <w:t>The</w:t>
      </w:r>
      <w:r>
        <w:rPr>
          <w:spacing w:val="-18"/>
        </w:rPr>
        <w:t> </w:t>
      </w:r>
      <w:r>
        <w:rPr/>
        <w:t>tongue-twister</w:t>
      </w:r>
      <w:r>
        <w:rPr>
          <w:spacing w:val="-17"/>
        </w:rPr>
        <w:t> </w:t>
      </w:r>
      <w:r>
        <w:rPr/>
        <w:t>‘resveratrol’</w:t>
      </w:r>
      <w:r>
        <w:rPr>
          <w:spacing w:val="-20"/>
        </w:rPr>
        <w:t> </w:t>
      </w:r>
      <w:r>
        <w:rPr/>
        <w:t>is,</w:t>
      </w:r>
      <w:r>
        <w:rPr>
          <w:spacing w:val="-16"/>
        </w:rPr>
        <w:t> </w:t>
      </w:r>
      <w:r>
        <w:rPr/>
        <w:t>chemically</w:t>
      </w:r>
      <w:r>
        <w:rPr>
          <w:spacing w:val="-18"/>
        </w:rPr>
        <w:t> </w:t>
      </w:r>
      <w:r>
        <w:rPr/>
        <w:t>considered,</w:t>
      </w:r>
      <w:r>
        <w:rPr>
          <w:spacing w:val="-17"/>
        </w:rPr>
        <w:t> </w:t>
      </w:r>
      <w:r>
        <w:rPr/>
        <w:t>a</w:t>
      </w:r>
      <w:r>
        <w:rPr>
          <w:spacing w:val="-19"/>
        </w:rPr>
        <w:t> </w:t>
      </w:r>
      <w:r>
        <w:rPr/>
        <w:t>phytoalexin,</w:t>
      </w:r>
      <w:r>
        <w:rPr>
          <w:spacing w:val="-15"/>
        </w:rPr>
        <w:t> </w:t>
      </w:r>
      <w:r>
        <w:rPr/>
        <w:t>a</w:t>
      </w:r>
      <w:r>
        <w:rPr>
          <w:spacing w:val="-18"/>
        </w:rPr>
        <w:t> </w:t>
      </w:r>
      <w:r>
        <w:rPr/>
        <w:t>low- molecular, antimicrobial chemical bond (from Greek: phytos = ‘plant’,</w:t>
      </w:r>
      <w:r>
        <w:rPr>
          <w:spacing w:val="-67"/>
        </w:rPr>
        <w:t> </w:t>
      </w:r>
      <w:r>
        <w:rPr/>
        <w:t>alekein</w:t>
      </w:r>
    </w:p>
    <w:p>
      <w:pPr>
        <w:pStyle w:val="BodyText"/>
        <w:spacing w:line="276" w:lineRule="auto" w:before="1"/>
        <w:ind w:left="616" w:right="134"/>
        <w:jc w:val="both"/>
      </w:pPr>
      <w:r>
        <w:rPr/>
        <w:t>= ‘repel’), which has defence mechanisms that not only benefit itself but also have extraordinarily strong effect on diseases like cancer, heart disease, Alz- heimer’s, arthritis and numerous autoimmune diseases.</w:t>
      </w:r>
    </w:p>
    <w:p>
      <w:pPr>
        <w:spacing w:after="0" w:line="276" w:lineRule="auto"/>
        <w:jc w:val="both"/>
        <w:sectPr>
          <w:footerReference w:type="default" r:id="rId319"/>
          <w:pgSz w:w="14270" w:h="16850"/>
          <w:pgMar w:footer="1891" w:header="0" w:top="1340" w:bottom="2080" w:left="800" w:right="1280"/>
          <w:pgNumType w:start="1340"/>
        </w:sectPr>
      </w:pPr>
    </w:p>
    <w:p>
      <w:pPr>
        <w:pStyle w:val="Heading2"/>
        <w:spacing w:before="74"/>
        <w:ind w:left="616"/>
        <w:jc w:val="both"/>
      </w:pPr>
      <w:r>
        <w:rPr/>
        <w:t>Resveratrol from a botanical perspective</w:t>
      </w:r>
    </w:p>
    <w:p>
      <w:pPr>
        <w:pStyle w:val="BodyText"/>
        <w:spacing w:line="276" w:lineRule="auto" w:before="305"/>
        <w:ind w:left="616" w:right="136"/>
        <w:jc w:val="both"/>
      </w:pPr>
      <w:r>
        <w:rPr/>
        <w:t>Resveratrol is classified in the family of polyphenols, secondary plant sub- stances that have in the very recent past been able to demonstrate unforeseen positive potential effects on our health.</w:t>
      </w:r>
    </w:p>
    <w:p>
      <w:pPr>
        <w:pStyle w:val="BodyText"/>
        <w:spacing w:line="276" w:lineRule="auto" w:before="238"/>
        <w:ind w:left="616" w:right="138"/>
        <w:jc w:val="both"/>
      </w:pPr>
      <w:r>
        <w:rPr/>
        <w:t>The</w:t>
      </w:r>
      <w:r>
        <w:rPr>
          <w:spacing w:val="-11"/>
        </w:rPr>
        <w:t> </w:t>
      </w:r>
      <w:r>
        <w:rPr/>
        <w:t>original</w:t>
      </w:r>
      <w:r>
        <w:rPr>
          <w:spacing w:val="-11"/>
        </w:rPr>
        <w:t> </w:t>
      </w:r>
      <w:r>
        <w:rPr/>
        <w:t>function</w:t>
      </w:r>
      <w:r>
        <w:rPr>
          <w:spacing w:val="-11"/>
        </w:rPr>
        <w:t> </w:t>
      </w:r>
      <w:r>
        <w:rPr/>
        <w:t>of</w:t>
      </w:r>
      <w:r>
        <w:rPr>
          <w:spacing w:val="-10"/>
        </w:rPr>
        <w:t> </w:t>
      </w:r>
      <w:r>
        <w:rPr/>
        <w:t>resveratrol</w:t>
      </w:r>
      <w:r>
        <w:rPr>
          <w:spacing w:val="-12"/>
        </w:rPr>
        <w:t> </w:t>
      </w:r>
      <w:r>
        <w:rPr/>
        <w:t>is</w:t>
      </w:r>
      <w:r>
        <w:rPr>
          <w:spacing w:val="-11"/>
        </w:rPr>
        <w:t> </w:t>
      </w:r>
      <w:r>
        <w:rPr/>
        <w:t>in</w:t>
      </w:r>
      <w:r>
        <w:rPr>
          <w:spacing w:val="-12"/>
        </w:rPr>
        <w:t> </w:t>
      </w:r>
      <w:r>
        <w:rPr/>
        <w:t>the</w:t>
      </w:r>
      <w:r>
        <w:rPr>
          <w:spacing w:val="-12"/>
        </w:rPr>
        <w:t> </w:t>
      </w:r>
      <w:r>
        <w:rPr/>
        <w:t>self-interest</w:t>
      </w:r>
      <w:r>
        <w:rPr>
          <w:spacing w:val="-11"/>
        </w:rPr>
        <w:t> </w:t>
      </w:r>
      <w:r>
        <w:rPr/>
        <w:t>of</w:t>
      </w:r>
      <w:r>
        <w:rPr>
          <w:spacing w:val="-10"/>
        </w:rPr>
        <w:t> </w:t>
      </w:r>
      <w:r>
        <w:rPr/>
        <w:t>the</w:t>
      </w:r>
      <w:r>
        <w:rPr>
          <w:spacing w:val="-12"/>
        </w:rPr>
        <w:t> </w:t>
      </w:r>
      <w:r>
        <w:rPr/>
        <w:t>plants</w:t>
      </w:r>
      <w:r>
        <w:rPr>
          <w:spacing w:val="-11"/>
        </w:rPr>
        <w:t> </w:t>
      </w:r>
      <w:r>
        <w:rPr/>
        <w:t>in</w:t>
      </w:r>
      <w:r>
        <w:rPr>
          <w:spacing w:val="-11"/>
        </w:rPr>
        <w:t> </w:t>
      </w:r>
      <w:r>
        <w:rPr/>
        <w:t>which it occurs, as self-defence against parasites and fungal infections, especially in damp periods. By taking it regularly, we humans can also make use of this defence mechanism.</w:t>
      </w:r>
    </w:p>
    <w:p>
      <w:pPr>
        <w:pStyle w:val="Heading2"/>
        <w:spacing w:before="240"/>
        <w:ind w:left="616"/>
        <w:jc w:val="both"/>
      </w:pPr>
      <w:r>
        <w:rPr/>
        <w:t>Resveratrol – cancer remedy and anti-ageing sensation</w:t>
      </w:r>
    </w:p>
    <w:p>
      <w:pPr>
        <w:pStyle w:val="BodyText"/>
        <w:spacing w:line="276" w:lineRule="auto" w:before="305"/>
        <w:ind w:left="616" w:right="136"/>
        <w:jc w:val="both"/>
      </w:pPr>
      <w:r>
        <w:rPr/>
        <w:t>Resveratrol’s</w:t>
      </w:r>
      <w:r>
        <w:rPr>
          <w:spacing w:val="-6"/>
        </w:rPr>
        <w:t> </w:t>
      </w:r>
      <w:r>
        <w:rPr/>
        <w:t>popularity</w:t>
      </w:r>
      <w:r>
        <w:rPr>
          <w:spacing w:val="-6"/>
        </w:rPr>
        <w:t> </w:t>
      </w:r>
      <w:r>
        <w:rPr/>
        <w:t>is</w:t>
      </w:r>
      <w:r>
        <w:rPr>
          <w:spacing w:val="-6"/>
        </w:rPr>
        <w:t> </w:t>
      </w:r>
      <w:r>
        <w:rPr/>
        <w:t>due</w:t>
      </w:r>
      <w:r>
        <w:rPr>
          <w:spacing w:val="-7"/>
        </w:rPr>
        <w:t> </w:t>
      </w:r>
      <w:r>
        <w:rPr/>
        <w:t>to</w:t>
      </w:r>
      <w:r>
        <w:rPr>
          <w:spacing w:val="-4"/>
        </w:rPr>
        <w:t> </w:t>
      </w:r>
      <w:r>
        <w:rPr/>
        <w:t>its</w:t>
      </w:r>
      <w:r>
        <w:rPr>
          <w:spacing w:val="-6"/>
        </w:rPr>
        <w:t> </w:t>
      </w:r>
      <w:r>
        <w:rPr/>
        <w:t>cancer-inhibiting</w:t>
      </w:r>
      <w:r>
        <w:rPr>
          <w:spacing w:val="-5"/>
        </w:rPr>
        <w:t> </w:t>
      </w:r>
      <w:r>
        <w:rPr/>
        <w:t>effect</w:t>
      </w:r>
      <w:r>
        <w:rPr>
          <w:spacing w:val="-7"/>
        </w:rPr>
        <w:t> </w:t>
      </w:r>
      <w:r>
        <w:rPr/>
        <w:t>as</w:t>
      </w:r>
      <w:r>
        <w:rPr>
          <w:spacing w:val="-6"/>
        </w:rPr>
        <w:t> </w:t>
      </w:r>
      <w:r>
        <w:rPr/>
        <w:t>well</w:t>
      </w:r>
      <w:r>
        <w:rPr>
          <w:spacing w:val="-7"/>
        </w:rPr>
        <w:t> </w:t>
      </w:r>
      <w:r>
        <w:rPr/>
        <w:t>as</w:t>
      </w:r>
      <w:r>
        <w:rPr>
          <w:spacing w:val="-6"/>
        </w:rPr>
        <w:t> </w:t>
      </w:r>
      <w:r>
        <w:rPr/>
        <w:t>a</w:t>
      </w:r>
      <w:r>
        <w:rPr>
          <w:spacing w:val="-7"/>
        </w:rPr>
        <w:t> </w:t>
      </w:r>
      <w:r>
        <w:rPr/>
        <w:t>mech- anism</w:t>
      </w:r>
      <w:r>
        <w:rPr>
          <w:spacing w:val="-11"/>
        </w:rPr>
        <w:t> </w:t>
      </w:r>
      <w:r>
        <w:rPr/>
        <w:t>that</w:t>
      </w:r>
      <w:r>
        <w:rPr>
          <w:spacing w:val="-12"/>
        </w:rPr>
        <w:t> </w:t>
      </w:r>
      <w:r>
        <w:rPr/>
        <w:t>could</w:t>
      </w:r>
      <w:r>
        <w:rPr>
          <w:spacing w:val="-9"/>
        </w:rPr>
        <w:t> </w:t>
      </w:r>
      <w:r>
        <w:rPr/>
        <w:t>possibly</w:t>
      </w:r>
      <w:r>
        <w:rPr>
          <w:spacing w:val="-12"/>
        </w:rPr>
        <w:t> </w:t>
      </w:r>
      <w:r>
        <w:rPr/>
        <w:t>grant</w:t>
      </w:r>
      <w:r>
        <w:rPr>
          <w:spacing w:val="-11"/>
        </w:rPr>
        <w:t> </w:t>
      </w:r>
      <w:r>
        <w:rPr/>
        <w:t>us</w:t>
      </w:r>
      <w:r>
        <w:rPr>
          <w:spacing w:val="-12"/>
        </w:rPr>
        <w:t> </w:t>
      </w:r>
      <w:r>
        <w:rPr/>
        <w:t>humans</w:t>
      </w:r>
      <w:r>
        <w:rPr>
          <w:spacing w:val="-10"/>
        </w:rPr>
        <w:t> </w:t>
      </w:r>
      <w:r>
        <w:rPr/>
        <w:t>a</w:t>
      </w:r>
      <w:r>
        <w:rPr>
          <w:spacing w:val="-13"/>
        </w:rPr>
        <w:t> </w:t>
      </w:r>
      <w:r>
        <w:rPr/>
        <w:t>much</w:t>
      </w:r>
      <w:r>
        <w:rPr>
          <w:spacing w:val="-11"/>
        </w:rPr>
        <w:t> </w:t>
      </w:r>
      <w:r>
        <w:rPr/>
        <w:t>longer</w:t>
      </w:r>
      <w:r>
        <w:rPr>
          <w:spacing w:val="-9"/>
        </w:rPr>
        <w:t> </w:t>
      </w:r>
      <w:r>
        <w:rPr/>
        <w:t>lifespan.</w:t>
      </w:r>
      <w:r>
        <w:rPr>
          <w:spacing w:val="-12"/>
        </w:rPr>
        <w:t> </w:t>
      </w:r>
      <w:r>
        <w:rPr/>
        <w:t>Inspired</w:t>
      </w:r>
      <w:r>
        <w:rPr>
          <w:spacing w:val="-10"/>
        </w:rPr>
        <w:t> </w:t>
      </w:r>
      <w:r>
        <w:rPr/>
        <w:t>by the principles of calorie restriction which have been shown in numerous</w:t>
      </w:r>
      <w:r>
        <w:rPr>
          <w:spacing w:val="-57"/>
        </w:rPr>
        <w:t> </w:t>
      </w:r>
      <w:r>
        <w:rPr/>
        <w:t>stud- ies to lengthen lifespan by activating certain genes that bring an extension of lifespan to cells and encourage the repair of our genetic code (DNA), resvera- trol is able to imitate this mechanism even without a low-calorie</w:t>
      </w:r>
      <w:r>
        <w:rPr>
          <w:spacing w:val="-9"/>
        </w:rPr>
        <w:t> </w:t>
      </w:r>
      <w:r>
        <w:rPr/>
        <w:t>diet.</w:t>
      </w:r>
    </w:p>
    <w:p>
      <w:pPr>
        <w:pStyle w:val="BodyText"/>
        <w:spacing w:line="276" w:lineRule="auto" w:before="240"/>
        <w:ind w:left="616" w:right="132"/>
        <w:jc w:val="both"/>
      </w:pPr>
      <w:r>
        <w:rPr/>
        <w:t>Various studies of numerous animal species have shown a substantial life ex- tension</w:t>
      </w:r>
      <w:r>
        <w:rPr>
          <w:spacing w:val="-8"/>
        </w:rPr>
        <w:t> </w:t>
      </w:r>
      <w:r>
        <w:rPr/>
        <w:t>of</w:t>
      </w:r>
      <w:r>
        <w:rPr>
          <w:spacing w:val="-7"/>
        </w:rPr>
        <w:t> </w:t>
      </w:r>
      <w:r>
        <w:rPr/>
        <w:t>up</w:t>
      </w:r>
      <w:r>
        <w:rPr>
          <w:spacing w:val="-9"/>
        </w:rPr>
        <w:t> </w:t>
      </w:r>
      <w:r>
        <w:rPr/>
        <w:t>to</w:t>
      </w:r>
      <w:r>
        <w:rPr>
          <w:spacing w:val="-9"/>
        </w:rPr>
        <w:t> </w:t>
      </w:r>
      <w:r>
        <w:rPr/>
        <w:t>50</w:t>
      </w:r>
      <w:r>
        <w:rPr>
          <w:spacing w:val="-8"/>
        </w:rPr>
        <w:t> </w:t>
      </w:r>
      <w:r>
        <w:rPr/>
        <w:t>%</w:t>
      </w:r>
      <w:r>
        <w:rPr>
          <w:spacing w:val="-9"/>
        </w:rPr>
        <w:t> </w:t>
      </w:r>
      <w:r>
        <w:rPr/>
        <w:t>(life</w:t>
      </w:r>
      <w:r>
        <w:rPr>
          <w:spacing w:val="-7"/>
        </w:rPr>
        <w:t> </w:t>
      </w:r>
      <w:r>
        <w:rPr/>
        <w:t>extension</w:t>
      </w:r>
      <w:r>
        <w:rPr>
          <w:spacing w:val="-8"/>
        </w:rPr>
        <w:t> </w:t>
      </w:r>
      <w:r>
        <w:rPr/>
        <w:t>of</w:t>
      </w:r>
      <w:r>
        <w:rPr>
          <w:spacing w:val="-7"/>
        </w:rPr>
        <w:t> </w:t>
      </w:r>
      <w:r>
        <w:rPr/>
        <w:t>yeast</w:t>
      </w:r>
      <w:r>
        <w:rPr>
          <w:spacing w:val="-7"/>
        </w:rPr>
        <w:t> </w:t>
      </w:r>
      <w:r>
        <w:rPr/>
        <w:t>cells</w:t>
      </w:r>
      <w:r>
        <w:rPr>
          <w:spacing w:val="-10"/>
        </w:rPr>
        <w:t> </w:t>
      </w:r>
      <w:r>
        <w:rPr/>
        <w:t>by</w:t>
      </w:r>
      <w:r>
        <w:rPr>
          <w:spacing w:val="-7"/>
        </w:rPr>
        <w:t> </w:t>
      </w:r>
      <w:r>
        <w:rPr/>
        <w:t>70</w:t>
      </w:r>
      <w:r>
        <w:rPr>
          <w:spacing w:val="-8"/>
        </w:rPr>
        <w:t> </w:t>
      </w:r>
      <w:r>
        <w:rPr/>
        <w:t>%!),</w:t>
      </w:r>
      <w:r>
        <w:rPr>
          <w:spacing w:val="-8"/>
        </w:rPr>
        <w:t> </w:t>
      </w:r>
      <w:r>
        <w:rPr/>
        <w:t>which</w:t>
      </w:r>
      <w:r>
        <w:rPr>
          <w:spacing w:val="-7"/>
        </w:rPr>
        <w:t> </w:t>
      </w:r>
      <w:r>
        <w:rPr/>
        <w:t>is</w:t>
      </w:r>
      <w:r>
        <w:rPr>
          <w:spacing w:val="-8"/>
        </w:rPr>
        <w:t> </w:t>
      </w:r>
      <w:r>
        <w:rPr/>
        <w:t>not</w:t>
      </w:r>
      <w:r>
        <w:rPr>
          <w:spacing w:val="-10"/>
        </w:rPr>
        <w:t> </w:t>
      </w:r>
      <w:r>
        <w:rPr/>
        <w:t>only fascinating but also appears very promising. More recent studies on human beings were also able to confirm these</w:t>
      </w:r>
      <w:r>
        <w:rPr>
          <w:spacing w:val="-2"/>
        </w:rPr>
        <w:t> </w:t>
      </w:r>
      <w:r>
        <w:rPr/>
        <w:t>effects!</w:t>
      </w:r>
    </w:p>
    <w:p>
      <w:pPr>
        <w:pStyle w:val="Heading2"/>
        <w:spacing w:before="242"/>
        <w:ind w:left="616"/>
        <w:jc w:val="both"/>
      </w:pPr>
      <w:r>
        <w:rPr/>
        <w:t>Resveratrol – the discovery</w:t>
      </w:r>
    </w:p>
    <w:p>
      <w:pPr>
        <w:pStyle w:val="BodyText"/>
        <w:spacing w:before="304"/>
        <w:ind w:left="616"/>
        <w:jc w:val="both"/>
      </w:pPr>
      <w:r>
        <w:rPr/>
        <w:t>Resveratrol was first discovered, identified and isolated in 1963 from</w:t>
      </w:r>
      <w:r>
        <w:rPr>
          <w:spacing w:val="-57"/>
        </w:rPr>
        <w:t> </w:t>
      </w:r>
      <w:r>
        <w:rPr/>
        <w:t>Japanese</w:t>
      </w:r>
    </w:p>
    <w:p>
      <w:pPr>
        <w:spacing w:after="0"/>
        <w:jc w:val="both"/>
        <w:sectPr>
          <w:pgSz w:w="14270" w:h="16850"/>
          <w:pgMar w:header="0" w:footer="1891" w:top="1340" w:bottom="2080" w:left="800" w:right="1280"/>
        </w:sectPr>
      </w:pPr>
    </w:p>
    <w:p>
      <w:pPr>
        <w:pStyle w:val="BodyText"/>
        <w:spacing w:line="278" w:lineRule="auto" w:before="72"/>
        <w:ind w:left="616" w:right="119"/>
      </w:pPr>
      <w:r>
        <w:rPr/>
        <w:t>knotgrass (Polygonum cuspidatum) and was also documented in red grapes in 1976.</w:t>
      </w:r>
    </w:p>
    <w:p>
      <w:pPr>
        <w:pStyle w:val="BodyText"/>
        <w:spacing w:line="276" w:lineRule="auto" w:before="232"/>
        <w:ind w:left="616" w:right="135"/>
        <w:jc w:val="both"/>
      </w:pPr>
      <w:r>
        <w:rPr/>
        <w:t>In the following pages, you will learn the specifics of this remarkable ‘new’ natural substance which may in future play a decisive role in the prevention and treatment of numerous illnesses and in the slowdown of ageing.</w:t>
      </w:r>
    </w:p>
    <w:p>
      <w:pPr>
        <w:pStyle w:val="Heading2"/>
        <w:spacing w:before="241"/>
        <w:ind w:left="616"/>
      </w:pPr>
      <w:r>
        <w:rPr/>
        <w:t>Incidence and natural sources</w:t>
      </w:r>
    </w:p>
    <w:p>
      <w:pPr>
        <w:pStyle w:val="BodyText"/>
        <w:spacing w:line="276" w:lineRule="auto" w:before="305"/>
        <w:ind w:left="616"/>
      </w:pPr>
      <w:r>
        <w:rPr/>
        <w:t>The</w:t>
      </w:r>
      <w:r>
        <w:rPr>
          <w:spacing w:val="-14"/>
        </w:rPr>
        <w:t> </w:t>
      </w:r>
      <w:r>
        <w:rPr/>
        <w:t>polyphenol</w:t>
      </w:r>
      <w:r>
        <w:rPr>
          <w:spacing w:val="-18"/>
        </w:rPr>
        <w:t> </w:t>
      </w:r>
      <w:r>
        <w:rPr/>
        <w:t>‘resveratrol’</w:t>
      </w:r>
      <w:r>
        <w:rPr>
          <w:spacing w:val="-17"/>
        </w:rPr>
        <w:t> </w:t>
      </w:r>
      <w:r>
        <w:rPr/>
        <w:t>occurs</w:t>
      </w:r>
      <w:r>
        <w:rPr>
          <w:spacing w:val="-14"/>
        </w:rPr>
        <w:t> </w:t>
      </w:r>
      <w:r>
        <w:rPr/>
        <w:t>in</w:t>
      </w:r>
      <w:r>
        <w:rPr>
          <w:spacing w:val="-15"/>
        </w:rPr>
        <w:t> </w:t>
      </w:r>
      <w:r>
        <w:rPr/>
        <w:t>numerous</w:t>
      </w:r>
      <w:r>
        <w:rPr>
          <w:spacing w:val="-19"/>
        </w:rPr>
        <w:t> </w:t>
      </w:r>
      <w:r>
        <w:rPr/>
        <w:t>plants.</w:t>
      </w:r>
      <w:r>
        <w:rPr>
          <w:spacing w:val="-14"/>
        </w:rPr>
        <w:t> </w:t>
      </w:r>
      <w:r>
        <w:rPr/>
        <w:t>It</w:t>
      </w:r>
      <w:r>
        <w:rPr>
          <w:spacing w:val="-15"/>
        </w:rPr>
        <w:t> </w:t>
      </w:r>
      <w:r>
        <w:rPr/>
        <w:t>is</w:t>
      </w:r>
      <w:r>
        <w:rPr>
          <w:spacing w:val="-17"/>
        </w:rPr>
        <w:t> </w:t>
      </w:r>
      <w:r>
        <w:rPr/>
        <w:t>relatively</w:t>
      </w:r>
      <w:r>
        <w:rPr>
          <w:spacing w:val="-14"/>
        </w:rPr>
        <w:t> </w:t>
      </w:r>
      <w:r>
        <w:rPr/>
        <w:t>strongly represented in red</w:t>
      </w:r>
      <w:r>
        <w:rPr>
          <w:spacing w:val="-1"/>
        </w:rPr>
        <w:t> </w:t>
      </w:r>
      <w:r>
        <w:rPr/>
        <w:t>grapes.</w:t>
      </w:r>
    </w:p>
    <w:p>
      <w:pPr>
        <w:pStyle w:val="Heading1"/>
        <w:spacing w:before="221"/>
        <w:ind w:left="616"/>
        <w:jc w:val="both"/>
      </w:pPr>
      <w:r>
        <w:rPr/>
        <w:t>Resveratrol is present in:</w:t>
      </w:r>
    </w:p>
    <w:p>
      <w:pPr>
        <w:pStyle w:val="ListParagraph"/>
        <w:numPr>
          <w:ilvl w:val="0"/>
          <w:numId w:val="91"/>
        </w:numPr>
        <w:tabs>
          <w:tab w:pos="1032" w:val="left" w:leader="none"/>
        </w:tabs>
        <w:spacing w:line="240" w:lineRule="auto" w:before="181" w:after="0"/>
        <w:ind w:left="1043" w:right="0" w:hanging="427"/>
        <w:jc w:val="both"/>
        <w:rPr>
          <w:sz w:val="38"/>
        </w:rPr>
      </w:pPr>
      <w:r>
        <w:rPr>
          <w:sz w:val="38"/>
        </w:rPr>
        <w:t>Wine grapes (especially in the</w:t>
      </w:r>
      <w:r>
        <w:rPr>
          <w:spacing w:val="-1"/>
          <w:sz w:val="38"/>
        </w:rPr>
        <w:t> </w:t>
      </w:r>
      <w:r>
        <w:rPr>
          <w:sz w:val="38"/>
        </w:rPr>
        <w:t>skin!)</w:t>
      </w:r>
    </w:p>
    <w:p>
      <w:pPr>
        <w:pStyle w:val="ListParagraph"/>
        <w:numPr>
          <w:ilvl w:val="0"/>
          <w:numId w:val="91"/>
        </w:numPr>
        <w:tabs>
          <w:tab w:pos="1032" w:val="left" w:leader="none"/>
        </w:tabs>
        <w:spacing w:line="240" w:lineRule="auto" w:before="184" w:after="0"/>
        <w:ind w:left="1043" w:right="0" w:hanging="427"/>
        <w:jc w:val="both"/>
        <w:rPr>
          <w:sz w:val="38"/>
        </w:rPr>
      </w:pPr>
      <w:r>
        <w:rPr>
          <w:sz w:val="38"/>
        </w:rPr>
        <w:t>Red</w:t>
      </w:r>
      <w:r>
        <w:rPr>
          <w:spacing w:val="-2"/>
          <w:sz w:val="38"/>
        </w:rPr>
        <w:t> </w:t>
      </w:r>
      <w:r>
        <w:rPr>
          <w:sz w:val="38"/>
        </w:rPr>
        <w:t>wine</w:t>
      </w:r>
    </w:p>
    <w:p>
      <w:pPr>
        <w:pStyle w:val="ListParagraph"/>
        <w:numPr>
          <w:ilvl w:val="0"/>
          <w:numId w:val="91"/>
        </w:numPr>
        <w:tabs>
          <w:tab w:pos="1032" w:val="left" w:leader="none"/>
        </w:tabs>
        <w:spacing w:line="240" w:lineRule="auto" w:before="183" w:after="0"/>
        <w:ind w:left="1043" w:right="0" w:hanging="427"/>
        <w:jc w:val="both"/>
        <w:rPr>
          <w:sz w:val="38"/>
        </w:rPr>
      </w:pPr>
      <w:r>
        <w:rPr>
          <w:sz w:val="38"/>
        </w:rPr>
        <w:t>Plums</w:t>
      </w:r>
    </w:p>
    <w:p>
      <w:pPr>
        <w:pStyle w:val="ListParagraph"/>
        <w:numPr>
          <w:ilvl w:val="0"/>
          <w:numId w:val="91"/>
        </w:numPr>
        <w:tabs>
          <w:tab w:pos="1032" w:val="left" w:leader="none"/>
        </w:tabs>
        <w:spacing w:line="240" w:lineRule="auto" w:before="187" w:after="0"/>
        <w:ind w:left="1043" w:right="0" w:hanging="427"/>
        <w:jc w:val="both"/>
        <w:rPr>
          <w:sz w:val="38"/>
        </w:rPr>
      </w:pPr>
      <w:r>
        <w:rPr>
          <w:sz w:val="38"/>
        </w:rPr>
        <w:t>Grape</w:t>
      </w:r>
      <w:r>
        <w:rPr>
          <w:spacing w:val="-3"/>
          <w:sz w:val="38"/>
        </w:rPr>
        <w:t> </w:t>
      </w:r>
      <w:r>
        <w:rPr>
          <w:sz w:val="38"/>
        </w:rPr>
        <w:t>seeds</w:t>
      </w:r>
    </w:p>
    <w:p>
      <w:pPr>
        <w:pStyle w:val="ListParagraph"/>
        <w:numPr>
          <w:ilvl w:val="0"/>
          <w:numId w:val="91"/>
        </w:numPr>
        <w:tabs>
          <w:tab w:pos="1032" w:val="left" w:leader="none"/>
        </w:tabs>
        <w:spacing w:line="240" w:lineRule="auto" w:before="183" w:after="0"/>
        <w:ind w:left="1043" w:right="0" w:hanging="427"/>
        <w:jc w:val="both"/>
        <w:rPr>
          <w:sz w:val="38"/>
        </w:rPr>
      </w:pPr>
      <w:r>
        <w:rPr>
          <w:sz w:val="38"/>
        </w:rPr>
        <w:t>Grape</w:t>
      </w:r>
      <w:r>
        <w:rPr>
          <w:spacing w:val="-9"/>
          <w:sz w:val="38"/>
        </w:rPr>
        <w:t> </w:t>
      </w:r>
      <w:r>
        <w:rPr>
          <w:sz w:val="38"/>
        </w:rPr>
        <w:t>juice</w:t>
      </w:r>
    </w:p>
    <w:p>
      <w:pPr>
        <w:pStyle w:val="ListParagraph"/>
        <w:numPr>
          <w:ilvl w:val="0"/>
          <w:numId w:val="91"/>
        </w:numPr>
        <w:tabs>
          <w:tab w:pos="1032" w:val="left" w:leader="none"/>
        </w:tabs>
        <w:spacing w:line="240" w:lineRule="auto" w:before="184" w:after="0"/>
        <w:ind w:left="1043" w:right="0" w:hanging="427"/>
        <w:jc w:val="both"/>
        <w:rPr>
          <w:sz w:val="38"/>
        </w:rPr>
      </w:pPr>
      <w:r>
        <w:rPr>
          <w:sz w:val="38"/>
        </w:rPr>
        <w:t>Raspberries</w:t>
      </w:r>
    </w:p>
    <w:p>
      <w:pPr>
        <w:pStyle w:val="ListParagraph"/>
        <w:numPr>
          <w:ilvl w:val="0"/>
          <w:numId w:val="91"/>
        </w:numPr>
        <w:tabs>
          <w:tab w:pos="1032" w:val="left" w:leader="none"/>
        </w:tabs>
        <w:spacing w:line="240" w:lineRule="auto" w:before="184" w:after="0"/>
        <w:ind w:left="1043" w:right="0" w:hanging="427"/>
        <w:jc w:val="both"/>
        <w:rPr>
          <w:sz w:val="38"/>
        </w:rPr>
      </w:pPr>
      <w:r>
        <w:rPr>
          <w:sz w:val="38"/>
        </w:rPr>
        <w:t>Mulberries</w:t>
      </w:r>
    </w:p>
    <w:p>
      <w:pPr>
        <w:pStyle w:val="ListParagraph"/>
        <w:numPr>
          <w:ilvl w:val="0"/>
          <w:numId w:val="91"/>
        </w:numPr>
        <w:tabs>
          <w:tab w:pos="1032" w:val="left" w:leader="none"/>
        </w:tabs>
        <w:spacing w:line="240" w:lineRule="auto" w:before="183" w:after="0"/>
        <w:ind w:left="1043" w:right="0" w:hanging="427"/>
        <w:jc w:val="both"/>
        <w:rPr>
          <w:sz w:val="38"/>
        </w:rPr>
      </w:pPr>
      <w:r>
        <w:rPr>
          <w:sz w:val="38"/>
        </w:rPr>
        <w:t>Peanuts</w:t>
      </w:r>
    </w:p>
    <w:p>
      <w:pPr>
        <w:pStyle w:val="ListParagraph"/>
        <w:numPr>
          <w:ilvl w:val="0"/>
          <w:numId w:val="91"/>
        </w:numPr>
        <w:tabs>
          <w:tab w:pos="1032" w:val="left" w:leader="none"/>
        </w:tabs>
        <w:spacing w:line="240" w:lineRule="auto" w:before="187" w:after="0"/>
        <w:ind w:left="1043" w:right="0" w:hanging="427"/>
        <w:jc w:val="both"/>
        <w:rPr>
          <w:sz w:val="38"/>
        </w:rPr>
      </w:pPr>
      <w:r>
        <w:rPr>
          <w:sz w:val="38"/>
        </w:rPr>
        <w:t>Peanut</w:t>
      </w:r>
      <w:r>
        <w:rPr>
          <w:spacing w:val="-1"/>
          <w:sz w:val="38"/>
        </w:rPr>
        <w:t> </w:t>
      </w:r>
      <w:r>
        <w:rPr>
          <w:sz w:val="38"/>
        </w:rPr>
        <w:t>butter</w:t>
      </w:r>
    </w:p>
    <w:p>
      <w:pPr>
        <w:pStyle w:val="ListParagraph"/>
        <w:numPr>
          <w:ilvl w:val="0"/>
          <w:numId w:val="91"/>
        </w:numPr>
        <w:tabs>
          <w:tab w:pos="1032" w:val="left" w:leader="none"/>
        </w:tabs>
        <w:spacing w:line="240" w:lineRule="auto" w:before="184" w:after="0"/>
        <w:ind w:left="1043" w:right="0" w:hanging="427"/>
        <w:jc w:val="both"/>
        <w:rPr>
          <w:sz w:val="38"/>
        </w:rPr>
      </w:pPr>
      <w:r>
        <w:rPr>
          <w:sz w:val="38"/>
        </w:rPr>
        <w:t>Japanese</w:t>
      </w:r>
      <w:r>
        <w:rPr>
          <w:spacing w:val="-2"/>
          <w:sz w:val="38"/>
        </w:rPr>
        <w:t> </w:t>
      </w:r>
      <w:r>
        <w:rPr>
          <w:sz w:val="38"/>
        </w:rPr>
        <w:t>knotgrass</w:t>
      </w:r>
    </w:p>
    <w:p>
      <w:pPr>
        <w:spacing w:after="0" w:line="240" w:lineRule="auto"/>
        <w:jc w:val="both"/>
        <w:rPr>
          <w:sz w:val="38"/>
        </w:rPr>
        <w:sectPr>
          <w:pgSz w:w="14270" w:h="16850"/>
          <w:pgMar w:header="0" w:footer="1891" w:top="1340" w:bottom="2080" w:left="800" w:right="1280"/>
        </w:sectPr>
      </w:pPr>
    </w:p>
    <w:p>
      <w:pPr>
        <w:pStyle w:val="BodyText"/>
        <w:spacing w:line="276" w:lineRule="auto" w:before="72"/>
        <w:ind w:left="616" w:right="135"/>
        <w:jc w:val="both"/>
        <w:rPr>
          <w:sz w:val="25"/>
        </w:rPr>
      </w:pPr>
      <w:r>
        <w:rPr/>
        <w:t>The National Cancer Institute in the United States examined many thousands of</w:t>
      </w:r>
      <w:r>
        <w:rPr>
          <w:spacing w:val="-13"/>
        </w:rPr>
        <w:t> </w:t>
      </w:r>
      <w:r>
        <w:rPr/>
        <w:t>plants</w:t>
      </w:r>
      <w:r>
        <w:rPr>
          <w:spacing w:val="-12"/>
        </w:rPr>
        <w:t> </w:t>
      </w:r>
      <w:r>
        <w:rPr/>
        <w:t>for</w:t>
      </w:r>
      <w:r>
        <w:rPr>
          <w:spacing w:val="-11"/>
        </w:rPr>
        <w:t> </w:t>
      </w:r>
      <w:r>
        <w:rPr/>
        <w:t>anti-carcinogenic</w:t>
      </w:r>
      <w:r>
        <w:rPr>
          <w:spacing w:val="-13"/>
        </w:rPr>
        <w:t> </w:t>
      </w:r>
      <w:r>
        <w:rPr/>
        <w:t>(cancer-inhibiting)</w:t>
      </w:r>
      <w:r>
        <w:rPr>
          <w:spacing w:val="-10"/>
        </w:rPr>
        <w:t> </w:t>
      </w:r>
      <w:r>
        <w:rPr/>
        <w:t>ingredients</w:t>
      </w:r>
      <w:r>
        <w:rPr>
          <w:spacing w:val="-12"/>
        </w:rPr>
        <w:t> </w:t>
      </w:r>
      <w:r>
        <w:rPr/>
        <w:t>and</w:t>
      </w:r>
      <w:r>
        <w:rPr>
          <w:spacing w:val="-12"/>
        </w:rPr>
        <w:t> </w:t>
      </w:r>
      <w:r>
        <w:rPr/>
        <w:t>documented resveratrol in 72 different plants during this process. It occurs relatively fre- quently in the skin red grapes, even if only in traces. Fresh red grape juice, for example, contains 1100 µg per litre, but red wine only about</w:t>
      </w:r>
      <w:r>
        <w:rPr>
          <w:spacing w:val="-22"/>
        </w:rPr>
        <w:t> </w:t>
      </w:r>
      <w:r>
        <w:rPr/>
        <w:t>30-50mg/L.</w:t>
      </w:r>
      <w:r>
        <w:rPr>
          <w:position w:val="9"/>
          <w:sz w:val="25"/>
        </w:rPr>
        <w:t>756</w:t>
      </w:r>
    </w:p>
    <w:p>
      <w:pPr>
        <w:pStyle w:val="Heading1"/>
        <w:spacing w:before="227"/>
        <w:ind w:left="616"/>
      </w:pPr>
      <w:r>
        <w:rPr/>
        <w:t>How does resveratrol work, and what does it work against?</w:t>
      </w:r>
    </w:p>
    <w:p>
      <w:pPr>
        <w:pStyle w:val="BodyText"/>
        <w:spacing w:line="276" w:lineRule="auto" w:before="297"/>
        <w:ind w:left="616" w:right="133"/>
        <w:jc w:val="both"/>
      </w:pPr>
      <w:r>
        <w:rPr/>
        <w:t>As</w:t>
      </w:r>
      <w:r>
        <w:rPr>
          <w:spacing w:val="-9"/>
        </w:rPr>
        <w:t> </w:t>
      </w:r>
      <w:r>
        <w:rPr/>
        <w:t>is</w:t>
      </w:r>
      <w:r>
        <w:rPr>
          <w:spacing w:val="-12"/>
        </w:rPr>
        <w:t> </w:t>
      </w:r>
      <w:r>
        <w:rPr/>
        <w:t>to</w:t>
      </w:r>
      <w:r>
        <w:rPr>
          <w:spacing w:val="-11"/>
        </w:rPr>
        <w:t> </w:t>
      </w:r>
      <w:r>
        <w:rPr/>
        <w:t>be</w:t>
      </w:r>
      <w:r>
        <w:rPr>
          <w:spacing w:val="-10"/>
        </w:rPr>
        <w:t> </w:t>
      </w:r>
      <w:r>
        <w:rPr/>
        <w:t>expected,</w:t>
      </w:r>
      <w:r>
        <w:rPr>
          <w:spacing w:val="-8"/>
        </w:rPr>
        <w:t> </w:t>
      </w:r>
      <w:r>
        <w:rPr/>
        <w:t>the</w:t>
      </w:r>
      <w:r>
        <w:rPr>
          <w:spacing w:val="-11"/>
        </w:rPr>
        <w:t> </w:t>
      </w:r>
      <w:r>
        <w:rPr/>
        <w:t>discovery</w:t>
      </w:r>
      <w:r>
        <w:rPr>
          <w:spacing w:val="-9"/>
        </w:rPr>
        <w:t> </w:t>
      </w:r>
      <w:r>
        <w:rPr/>
        <w:t>of</w:t>
      </w:r>
      <w:r>
        <w:rPr>
          <w:spacing w:val="-10"/>
        </w:rPr>
        <w:t> </w:t>
      </w:r>
      <w:r>
        <w:rPr/>
        <w:t>resveratrol</w:t>
      </w:r>
      <w:r>
        <w:rPr>
          <w:spacing w:val="-12"/>
        </w:rPr>
        <w:t> </w:t>
      </w:r>
      <w:r>
        <w:rPr/>
        <w:t>for</w:t>
      </w:r>
      <w:r>
        <w:rPr>
          <w:spacing w:val="-8"/>
        </w:rPr>
        <w:t> </w:t>
      </w:r>
      <w:r>
        <w:rPr/>
        <w:t>medicinal</w:t>
      </w:r>
      <w:r>
        <w:rPr>
          <w:spacing w:val="-9"/>
        </w:rPr>
        <w:t> </w:t>
      </w:r>
      <w:r>
        <w:rPr/>
        <w:t>purposes</w:t>
      </w:r>
      <w:r>
        <w:rPr>
          <w:spacing w:val="-10"/>
        </w:rPr>
        <w:t> </w:t>
      </w:r>
      <w:r>
        <w:rPr/>
        <w:t>is</w:t>
      </w:r>
      <w:r>
        <w:rPr>
          <w:spacing w:val="-12"/>
        </w:rPr>
        <w:t> </w:t>
      </w:r>
      <w:r>
        <w:rPr/>
        <w:t>not an accomplishment of modern western medicine (as we know, this has had problems for about 150 years in discovering itself, but that is not the subject of the discussion here...); rather, resveratrol is an ingredient in a medicinal plant, botanically named ‘Polygonum cuspidatum’, traditionally used in China and Japan for centuries for circulatory disorders, fungal infestations and in- flammations, among other</w:t>
      </w:r>
      <w:r>
        <w:rPr>
          <w:spacing w:val="1"/>
        </w:rPr>
        <w:t> </w:t>
      </w:r>
      <w:r>
        <w:rPr/>
        <w:t>ailments.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5"/>
        </w:rPr>
      </w:pPr>
      <w:r>
        <w:rPr/>
        <w:pict>
          <v:line style="position:absolute;mso-position-horizontal-relative:page;mso-position-vertical-relative:paragraph;z-index:10304;mso-wrap-distance-left:0;mso-wrap-distance-right:0" from="70.823997pt,16.524984pt" to="214.843997pt,16.524984pt" stroked="true" strokeweight=".72003pt" strokecolor="#000000">
            <v:stroke dashstyle="solid"/>
            <w10:wrap type="topAndBottom"/>
          </v:line>
        </w:pict>
      </w:r>
    </w:p>
    <w:p>
      <w:pPr>
        <w:pStyle w:val="BodyText"/>
        <w:spacing w:before="4"/>
        <w:rPr>
          <w:sz w:val="20"/>
        </w:rPr>
      </w:pPr>
    </w:p>
    <w:p>
      <w:pPr>
        <w:spacing w:before="100"/>
        <w:ind w:left="616" w:right="0" w:firstLine="0"/>
        <w:jc w:val="left"/>
        <w:rPr>
          <w:sz w:val="20"/>
        </w:rPr>
      </w:pPr>
      <w:r>
        <w:rPr>
          <w:position w:val="5"/>
          <w:sz w:val="14"/>
        </w:rPr>
        <w:t>756 </w:t>
      </w:r>
      <w:hyperlink r:id="rId320">
        <w:r>
          <w:rPr>
            <w:sz w:val="20"/>
          </w:rPr>
          <w:t>http://en.wikipedia.org/wiki/Resveratrol</w:t>
        </w:r>
      </w:hyperlink>
    </w:p>
    <w:p>
      <w:pPr>
        <w:spacing w:after="0"/>
        <w:jc w:val="left"/>
        <w:rPr>
          <w:sz w:val="20"/>
        </w:rPr>
        <w:sectPr>
          <w:pgSz w:w="14270" w:h="16850"/>
          <w:pgMar w:header="0" w:footer="1891" w:top="1340" w:bottom="2080" w:left="800" w:right="1280"/>
        </w:sectPr>
      </w:pPr>
    </w:p>
    <w:p>
      <w:pPr>
        <w:pStyle w:val="Heading1"/>
        <w:spacing w:before="77"/>
        <w:ind w:left="616"/>
      </w:pPr>
      <w:r>
        <w:rPr/>
        <w:t>General effects of resveratrol</w:t>
      </w:r>
    </w:p>
    <w:p>
      <w:pPr>
        <w:pStyle w:val="BodyText"/>
        <w:spacing w:before="299"/>
        <w:ind w:left="616"/>
      </w:pPr>
      <w:r>
        <w:rPr/>
        <w:t>The effects of resveratrol can generally be described as:</w:t>
      </w:r>
    </w:p>
    <w:p>
      <w:pPr>
        <w:pStyle w:val="ListParagraph"/>
        <w:numPr>
          <w:ilvl w:val="0"/>
          <w:numId w:val="99"/>
        </w:numPr>
        <w:tabs>
          <w:tab w:pos="1393" w:val="left" w:leader="none"/>
          <w:tab w:pos="1394" w:val="left" w:leader="none"/>
        </w:tabs>
        <w:spacing w:line="240" w:lineRule="auto" w:before="263" w:after="0"/>
        <w:ind w:left="1394" w:right="0" w:hanging="360"/>
        <w:jc w:val="left"/>
        <w:rPr>
          <w:sz w:val="38"/>
        </w:rPr>
      </w:pPr>
      <w:r>
        <w:rPr>
          <w:sz w:val="38"/>
        </w:rPr>
        <w:t>antitumoural/anticarcinogenic,</w:t>
      </w:r>
    </w:p>
    <w:p>
      <w:pPr>
        <w:pStyle w:val="ListParagraph"/>
        <w:numPr>
          <w:ilvl w:val="0"/>
          <w:numId w:val="99"/>
        </w:numPr>
        <w:tabs>
          <w:tab w:pos="1393" w:val="left" w:leader="none"/>
          <w:tab w:pos="1394" w:val="left" w:leader="none"/>
        </w:tabs>
        <w:spacing w:line="240" w:lineRule="auto" w:before="186" w:after="0"/>
        <w:ind w:left="1394" w:right="0" w:hanging="360"/>
        <w:jc w:val="left"/>
        <w:rPr>
          <w:sz w:val="38"/>
        </w:rPr>
      </w:pPr>
      <w:r>
        <w:rPr>
          <w:sz w:val="38"/>
        </w:rPr>
        <w:t>antimutagenic,</w:t>
      </w:r>
    </w:p>
    <w:p>
      <w:pPr>
        <w:pStyle w:val="ListParagraph"/>
        <w:numPr>
          <w:ilvl w:val="0"/>
          <w:numId w:val="99"/>
        </w:numPr>
        <w:tabs>
          <w:tab w:pos="1393" w:val="left" w:leader="none"/>
          <w:tab w:pos="1394" w:val="left" w:leader="none"/>
        </w:tabs>
        <w:spacing w:line="240" w:lineRule="auto" w:before="184" w:after="0"/>
        <w:ind w:left="1394" w:right="0" w:hanging="360"/>
        <w:jc w:val="left"/>
        <w:rPr>
          <w:sz w:val="38"/>
        </w:rPr>
      </w:pPr>
      <w:r>
        <w:rPr>
          <w:sz w:val="38"/>
        </w:rPr>
        <w:t>cardioprotective/circulatory system-stimulating,</w:t>
      </w:r>
    </w:p>
    <w:p>
      <w:pPr>
        <w:pStyle w:val="ListParagraph"/>
        <w:numPr>
          <w:ilvl w:val="0"/>
          <w:numId w:val="99"/>
        </w:numPr>
        <w:tabs>
          <w:tab w:pos="1393" w:val="left" w:leader="none"/>
          <w:tab w:pos="1394" w:val="left" w:leader="none"/>
        </w:tabs>
        <w:spacing w:line="273" w:lineRule="auto" w:before="183" w:after="0"/>
        <w:ind w:left="1394" w:right="131" w:hanging="360"/>
        <w:jc w:val="left"/>
        <w:rPr>
          <w:sz w:val="38"/>
        </w:rPr>
      </w:pPr>
      <w:r>
        <w:rPr>
          <w:sz w:val="38"/>
        </w:rPr>
        <w:t>anti-atherogenic (protects against atherosclerosis and removes existing vascular calcification),</w:t>
      </w:r>
    </w:p>
    <w:p>
      <w:pPr>
        <w:pStyle w:val="ListParagraph"/>
        <w:numPr>
          <w:ilvl w:val="0"/>
          <w:numId w:val="99"/>
        </w:numPr>
        <w:tabs>
          <w:tab w:pos="1393" w:val="left" w:leader="none"/>
          <w:tab w:pos="1394" w:val="left" w:leader="none"/>
        </w:tabs>
        <w:spacing w:line="240" w:lineRule="auto" w:before="128" w:after="0"/>
        <w:ind w:left="1394" w:right="0" w:hanging="360"/>
        <w:jc w:val="left"/>
        <w:rPr>
          <w:sz w:val="38"/>
        </w:rPr>
      </w:pPr>
      <w:r>
        <w:rPr>
          <w:sz w:val="38"/>
        </w:rPr>
        <w:t>cholesterol</w:t>
      </w:r>
      <w:r>
        <w:rPr>
          <w:spacing w:val="-2"/>
          <w:sz w:val="38"/>
        </w:rPr>
        <w:t> </w:t>
      </w:r>
      <w:r>
        <w:rPr>
          <w:sz w:val="38"/>
        </w:rPr>
        <w:t>reducing,</w:t>
      </w:r>
    </w:p>
    <w:p>
      <w:pPr>
        <w:pStyle w:val="ListParagraph"/>
        <w:numPr>
          <w:ilvl w:val="0"/>
          <w:numId w:val="99"/>
        </w:numPr>
        <w:tabs>
          <w:tab w:pos="1393" w:val="left" w:leader="none"/>
          <w:tab w:pos="1394" w:val="left" w:leader="none"/>
        </w:tabs>
        <w:spacing w:line="240" w:lineRule="auto" w:before="184" w:after="0"/>
        <w:ind w:left="1394" w:right="0" w:hanging="360"/>
        <w:jc w:val="left"/>
        <w:rPr>
          <w:sz w:val="38"/>
        </w:rPr>
      </w:pPr>
      <w:r>
        <w:rPr>
          <w:sz w:val="38"/>
        </w:rPr>
        <w:t>blood pressure</w:t>
      </w:r>
      <w:r>
        <w:rPr>
          <w:spacing w:val="1"/>
          <w:sz w:val="38"/>
        </w:rPr>
        <w:t> </w:t>
      </w:r>
      <w:r>
        <w:rPr>
          <w:sz w:val="38"/>
        </w:rPr>
        <w:t>lowering,</w:t>
      </w:r>
    </w:p>
    <w:p>
      <w:pPr>
        <w:pStyle w:val="ListParagraph"/>
        <w:numPr>
          <w:ilvl w:val="0"/>
          <w:numId w:val="99"/>
        </w:numPr>
        <w:tabs>
          <w:tab w:pos="1393" w:val="left" w:leader="none"/>
          <w:tab w:pos="1394" w:val="left" w:leader="none"/>
        </w:tabs>
        <w:spacing w:line="240" w:lineRule="auto" w:before="186" w:after="0"/>
        <w:ind w:left="1394" w:right="0" w:hanging="360"/>
        <w:jc w:val="left"/>
        <w:rPr>
          <w:sz w:val="38"/>
        </w:rPr>
      </w:pPr>
      <w:r>
        <w:rPr>
          <w:sz w:val="38"/>
        </w:rPr>
        <w:t>counteracting blood</w:t>
      </w:r>
      <w:r>
        <w:rPr>
          <w:spacing w:val="1"/>
          <w:sz w:val="38"/>
        </w:rPr>
        <w:t> </w:t>
      </w:r>
      <w:r>
        <w:rPr>
          <w:sz w:val="38"/>
        </w:rPr>
        <w:t>clotting,</w:t>
      </w:r>
    </w:p>
    <w:p>
      <w:pPr>
        <w:pStyle w:val="ListParagraph"/>
        <w:numPr>
          <w:ilvl w:val="0"/>
          <w:numId w:val="99"/>
        </w:numPr>
        <w:tabs>
          <w:tab w:pos="1393" w:val="left" w:leader="none"/>
          <w:tab w:pos="1394" w:val="left" w:leader="none"/>
        </w:tabs>
        <w:spacing w:line="240" w:lineRule="auto" w:before="183" w:after="0"/>
        <w:ind w:left="1394" w:right="0" w:hanging="360"/>
        <w:jc w:val="left"/>
        <w:rPr>
          <w:sz w:val="38"/>
        </w:rPr>
      </w:pPr>
      <w:r>
        <w:rPr>
          <w:sz w:val="38"/>
        </w:rPr>
        <w:t>life</w:t>
      </w:r>
      <w:r>
        <w:rPr>
          <w:spacing w:val="-2"/>
          <w:sz w:val="38"/>
        </w:rPr>
        <w:t> </w:t>
      </w:r>
      <w:r>
        <w:rPr>
          <w:sz w:val="38"/>
        </w:rPr>
        <w:t>extending,</w:t>
      </w:r>
    </w:p>
    <w:p>
      <w:pPr>
        <w:pStyle w:val="ListParagraph"/>
        <w:numPr>
          <w:ilvl w:val="0"/>
          <w:numId w:val="99"/>
        </w:numPr>
        <w:tabs>
          <w:tab w:pos="1393" w:val="left" w:leader="none"/>
          <w:tab w:pos="1394" w:val="left" w:leader="none"/>
        </w:tabs>
        <w:spacing w:line="240" w:lineRule="auto" w:before="184" w:after="0"/>
        <w:ind w:left="1394" w:right="0" w:hanging="360"/>
        <w:jc w:val="left"/>
        <w:rPr>
          <w:sz w:val="38"/>
        </w:rPr>
      </w:pPr>
      <w:r>
        <w:rPr>
          <w:sz w:val="38"/>
        </w:rPr>
        <w:t>immune system</w:t>
      </w:r>
      <w:r>
        <w:rPr>
          <w:spacing w:val="1"/>
          <w:sz w:val="38"/>
        </w:rPr>
        <w:t> </w:t>
      </w:r>
      <w:r>
        <w:rPr>
          <w:sz w:val="38"/>
        </w:rPr>
        <w:t>strengthening,</w:t>
      </w:r>
    </w:p>
    <w:p>
      <w:pPr>
        <w:pStyle w:val="ListParagraph"/>
        <w:numPr>
          <w:ilvl w:val="0"/>
          <w:numId w:val="99"/>
        </w:numPr>
        <w:tabs>
          <w:tab w:pos="1393" w:val="left" w:leader="none"/>
          <w:tab w:pos="1394" w:val="left" w:leader="none"/>
        </w:tabs>
        <w:spacing w:line="240" w:lineRule="auto" w:before="184" w:after="0"/>
        <w:ind w:left="1394" w:right="0" w:hanging="360"/>
        <w:jc w:val="left"/>
        <w:rPr>
          <w:sz w:val="38"/>
        </w:rPr>
      </w:pPr>
      <w:r>
        <w:rPr>
          <w:sz w:val="38"/>
        </w:rPr>
        <w:t>neuroprotective,</w:t>
      </w:r>
    </w:p>
    <w:p>
      <w:pPr>
        <w:pStyle w:val="ListParagraph"/>
        <w:numPr>
          <w:ilvl w:val="0"/>
          <w:numId w:val="99"/>
        </w:numPr>
        <w:tabs>
          <w:tab w:pos="1393" w:val="left" w:leader="none"/>
          <w:tab w:pos="1394" w:val="left" w:leader="none"/>
        </w:tabs>
        <w:spacing w:line="240" w:lineRule="auto" w:before="184" w:after="0"/>
        <w:ind w:left="1394" w:right="0" w:hanging="360"/>
        <w:jc w:val="left"/>
        <w:rPr>
          <w:sz w:val="38"/>
        </w:rPr>
      </w:pPr>
      <w:r>
        <w:rPr>
          <w:sz w:val="38"/>
        </w:rPr>
        <w:t>AMP kinase</w:t>
      </w:r>
      <w:r>
        <w:rPr>
          <w:spacing w:val="1"/>
          <w:sz w:val="38"/>
        </w:rPr>
        <w:t> </w:t>
      </w:r>
      <w:r>
        <w:rPr>
          <w:sz w:val="38"/>
        </w:rPr>
        <w:t>activating,</w:t>
      </w:r>
    </w:p>
    <w:p>
      <w:pPr>
        <w:pStyle w:val="ListParagraph"/>
        <w:numPr>
          <w:ilvl w:val="0"/>
          <w:numId w:val="99"/>
        </w:numPr>
        <w:tabs>
          <w:tab w:pos="1393" w:val="left" w:leader="none"/>
          <w:tab w:pos="1394" w:val="left" w:leader="none"/>
        </w:tabs>
        <w:spacing w:line="240" w:lineRule="auto" w:before="186" w:after="0"/>
        <w:ind w:left="1394" w:right="0" w:hanging="360"/>
        <w:jc w:val="left"/>
        <w:rPr>
          <w:sz w:val="38"/>
        </w:rPr>
      </w:pPr>
      <w:r>
        <w:rPr>
          <w:sz w:val="38"/>
        </w:rPr>
        <w:t>stimulates fat metabolism,</w:t>
      </w:r>
    </w:p>
    <w:p>
      <w:pPr>
        <w:pStyle w:val="ListParagraph"/>
        <w:numPr>
          <w:ilvl w:val="0"/>
          <w:numId w:val="99"/>
        </w:numPr>
        <w:tabs>
          <w:tab w:pos="1393" w:val="left" w:leader="none"/>
          <w:tab w:pos="1394" w:val="left" w:leader="none"/>
        </w:tabs>
        <w:spacing w:line="240" w:lineRule="auto" w:before="183" w:after="0"/>
        <w:ind w:left="1394" w:right="0" w:hanging="360"/>
        <w:jc w:val="left"/>
        <w:rPr>
          <w:sz w:val="38"/>
        </w:rPr>
      </w:pPr>
      <w:r>
        <w:rPr>
          <w:sz w:val="38"/>
        </w:rPr>
        <w:t>antioxidative (especially against peroxyl radicals),</w:t>
      </w:r>
    </w:p>
    <w:p>
      <w:pPr>
        <w:pStyle w:val="ListParagraph"/>
        <w:numPr>
          <w:ilvl w:val="0"/>
          <w:numId w:val="99"/>
        </w:numPr>
        <w:tabs>
          <w:tab w:pos="1393" w:val="left" w:leader="none"/>
          <w:tab w:pos="1394" w:val="left" w:leader="none"/>
        </w:tabs>
        <w:spacing w:line="240" w:lineRule="auto" w:before="184" w:after="0"/>
        <w:ind w:left="1394" w:right="0" w:hanging="360"/>
        <w:jc w:val="left"/>
        <w:rPr>
          <w:sz w:val="38"/>
        </w:rPr>
      </w:pPr>
      <w:r>
        <w:rPr>
          <w:sz w:val="38"/>
        </w:rPr>
        <w:t>anti-inflammatory,</w:t>
      </w:r>
    </w:p>
    <w:p>
      <w:pPr>
        <w:pStyle w:val="ListParagraph"/>
        <w:numPr>
          <w:ilvl w:val="0"/>
          <w:numId w:val="99"/>
        </w:numPr>
        <w:tabs>
          <w:tab w:pos="1393" w:val="left" w:leader="none"/>
          <w:tab w:pos="1394" w:val="left" w:leader="none"/>
        </w:tabs>
        <w:spacing w:line="240" w:lineRule="auto" w:before="184" w:after="0"/>
        <w:ind w:left="1394" w:right="0" w:hanging="360"/>
        <w:jc w:val="left"/>
        <w:rPr>
          <w:sz w:val="38"/>
        </w:rPr>
      </w:pPr>
      <w:r>
        <w:rPr>
          <w:sz w:val="38"/>
        </w:rPr>
        <w:t>antiviral,</w:t>
      </w:r>
    </w:p>
    <w:p>
      <w:pPr>
        <w:pStyle w:val="ListParagraph"/>
        <w:numPr>
          <w:ilvl w:val="0"/>
          <w:numId w:val="99"/>
        </w:numPr>
        <w:tabs>
          <w:tab w:pos="1393" w:val="left" w:leader="none"/>
          <w:tab w:pos="1394" w:val="left" w:leader="none"/>
        </w:tabs>
        <w:spacing w:line="240" w:lineRule="auto" w:before="184" w:after="0"/>
        <w:ind w:left="1394" w:right="0" w:hanging="360"/>
        <w:jc w:val="left"/>
        <w:rPr>
          <w:sz w:val="38"/>
        </w:rPr>
      </w:pPr>
      <w:r>
        <w:rPr>
          <w:sz w:val="38"/>
        </w:rPr>
        <w:t>antifungal,</w:t>
      </w:r>
    </w:p>
    <w:p>
      <w:pPr>
        <w:spacing w:after="0" w:line="240" w:lineRule="auto"/>
        <w:jc w:val="left"/>
        <w:rPr>
          <w:sz w:val="38"/>
        </w:rPr>
        <w:sectPr>
          <w:pgSz w:w="14270" w:h="16850"/>
          <w:pgMar w:header="0" w:footer="1891" w:top="1320" w:bottom="2080" w:left="800" w:right="1280"/>
        </w:sectPr>
      </w:pPr>
    </w:p>
    <w:p>
      <w:pPr>
        <w:pStyle w:val="ListParagraph"/>
        <w:numPr>
          <w:ilvl w:val="0"/>
          <w:numId w:val="99"/>
        </w:numPr>
        <w:tabs>
          <w:tab w:pos="1393" w:val="left" w:leader="none"/>
          <w:tab w:pos="1394" w:val="left" w:leader="none"/>
        </w:tabs>
        <w:spacing w:line="240" w:lineRule="auto" w:before="53" w:after="0"/>
        <w:ind w:left="1394" w:right="0" w:hanging="360"/>
        <w:jc w:val="left"/>
        <w:rPr>
          <w:sz w:val="38"/>
        </w:rPr>
      </w:pPr>
      <w:r>
        <w:rPr>
          <w:sz w:val="38"/>
        </w:rPr>
        <w:t>anti-diabetic (improves insulin sensitivity).</w:t>
      </w:r>
    </w:p>
    <w:p>
      <w:pPr>
        <w:pStyle w:val="BodyText"/>
        <w:rPr>
          <w:sz w:val="44"/>
        </w:rPr>
      </w:pPr>
    </w:p>
    <w:p>
      <w:pPr>
        <w:pStyle w:val="BodyText"/>
        <w:spacing w:before="7"/>
        <w:rPr>
          <w:sz w:val="46"/>
        </w:rPr>
      </w:pPr>
    </w:p>
    <w:p>
      <w:pPr>
        <w:pStyle w:val="Heading1"/>
        <w:spacing w:before="0"/>
        <w:ind w:left="616"/>
      </w:pPr>
      <w:r>
        <w:rPr/>
        <w:t>Antioxidative effect – effect on free</w:t>
      </w:r>
      <w:r>
        <w:rPr>
          <w:spacing w:val="-68"/>
        </w:rPr>
        <w:t> </w:t>
      </w:r>
      <w:r>
        <w:rPr/>
        <w:t>radicals</w:t>
      </w:r>
    </w:p>
    <w:p>
      <w:pPr>
        <w:pStyle w:val="BodyText"/>
        <w:spacing w:line="276" w:lineRule="auto" w:before="299"/>
        <w:ind w:left="616" w:right="133"/>
        <w:jc w:val="both"/>
      </w:pPr>
      <w:r>
        <w:rPr/>
        <w:t>Our</w:t>
      </w:r>
      <w:r>
        <w:rPr>
          <w:spacing w:val="-8"/>
        </w:rPr>
        <w:t> </w:t>
      </w:r>
      <w:r>
        <w:rPr/>
        <w:t>bodies</w:t>
      </w:r>
      <w:r>
        <w:rPr>
          <w:spacing w:val="-8"/>
        </w:rPr>
        <w:t> </w:t>
      </w:r>
      <w:r>
        <w:rPr/>
        <w:t>are</w:t>
      </w:r>
      <w:r>
        <w:rPr>
          <w:spacing w:val="-10"/>
        </w:rPr>
        <w:t> </w:t>
      </w:r>
      <w:r>
        <w:rPr/>
        <w:t>attacked</w:t>
      </w:r>
      <w:r>
        <w:rPr>
          <w:spacing w:val="-8"/>
        </w:rPr>
        <w:t> </w:t>
      </w:r>
      <w:r>
        <w:rPr/>
        <w:t>daily</w:t>
      </w:r>
      <w:r>
        <w:rPr>
          <w:spacing w:val="-8"/>
        </w:rPr>
        <w:t> </w:t>
      </w:r>
      <w:r>
        <w:rPr/>
        <w:t>by</w:t>
      </w:r>
      <w:r>
        <w:rPr>
          <w:spacing w:val="-10"/>
        </w:rPr>
        <w:t> </w:t>
      </w:r>
      <w:r>
        <w:rPr/>
        <w:t>free</w:t>
      </w:r>
      <w:r>
        <w:rPr>
          <w:spacing w:val="-7"/>
        </w:rPr>
        <w:t> </w:t>
      </w:r>
      <w:r>
        <w:rPr/>
        <w:t>radicals</w:t>
      </w:r>
      <w:r>
        <w:rPr>
          <w:spacing w:val="-8"/>
        </w:rPr>
        <w:t> </w:t>
      </w:r>
      <w:r>
        <w:rPr/>
        <w:t>(stress,</w:t>
      </w:r>
      <w:r>
        <w:rPr>
          <w:spacing w:val="-10"/>
        </w:rPr>
        <w:t> </w:t>
      </w:r>
      <w:r>
        <w:rPr/>
        <w:t>environmental</w:t>
      </w:r>
      <w:r>
        <w:rPr>
          <w:spacing w:val="-9"/>
        </w:rPr>
        <w:t> </w:t>
      </w:r>
      <w:r>
        <w:rPr/>
        <w:t>influences etc.), which leads to ageing and numerous diseases, including cancer! It is among the most important methods available to humans to protect as best as possible against these free radicals. This defence can occur solely via corre- sponding antioxidants that are primarily components of fruits and</w:t>
      </w:r>
      <w:r>
        <w:rPr>
          <w:spacing w:val="-29"/>
        </w:rPr>
        <w:t> </w:t>
      </w:r>
      <w:r>
        <w:rPr/>
        <w:t>vegetables.</w:t>
      </w:r>
    </w:p>
    <w:p>
      <w:pPr>
        <w:pStyle w:val="BodyText"/>
        <w:spacing w:line="276" w:lineRule="auto" w:before="240"/>
        <w:ind w:left="616" w:right="133"/>
        <w:jc w:val="both"/>
      </w:pPr>
      <w:r>
        <w:rPr/>
        <w:t>Cancer researchers agree that free radicals play a role in all possible phases of cancer development and encourage cancer growth. Resveratrol is, alongside vitamin C, vitamin E, OPC, Q10, beta carotene, selenium and others, among these</w:t>
      </w:r>
      <w:r>
        <w:rPr>
          <w:spacing w:val="-8"/>
        </w:rPr>
        <w:t> </w:t>
      </w:r>
      <w:r>
        <w:rPr/>
        <w:t>antioxidants</w:t>
      </w:r>
      <w:r>
        <w:rPr>
          <w:spacing w:val="-7"/>
        </w:rPr>
        <w:t> </w:t>
      </w:r>
      <w:r>
        <w:rPr/>
        <w:t>with</w:t>
      </w:r>
      <w:r>
        <w:rPr>
          <w:spacing w:val="-6"/>
        </w:rPr>
        <w:t> </w:t>
      </w:r>
      <w:r>
        <w:rPr/>
        <w:t>the</w:t>
      </w:r>
      <w:r>
        <w:rPr>
          <w:spacing w:val="-7"/>
        </w:rPr>
        <w:t> </w:t>
      </w:r>
      <w:r>
        <w:rPr/>
        <w:t>special</w:t>
      </w:r>
      <w:r>
        <w:rPr>
          <w:spacing w:val="-8"/>
        </w:rPr>
        <w:t> </w:t>
      </w:r>
      <w:r>
        <w:rPr/>
        <w:t>feature</w:t>
      </w:r>
      <w:r>
        <w:rPr>
          <w:spacing w:val="-8"/>
        </w:rPr>
        <w:t> </w:t>
      </w:r>
      <w:r>
        <w:rPr/>
        <w:t>that</w:t>
      </w:r>
      <w:r>
        <w:rPr>
          <w:spacing w:val="-7"/>
        </w:rPr>
        <w:t> </w:t>
      </w:r>
      <w:r>
        <w:rPr/>
        <w:t>it</w:t>
      </w:r>
      <w:r>
        <w:rPr>
          <w:spacing w:val="-9"/>
        </w:rPr>
        <w:t> </w:t>
      </w:r>
      <w:r>
        <w:rPr/>
        <w:t>is</w:t>
      </w:r>
      <w:r>
        <w:rPr>
          <w:spacing w:val="-7"/>
        </w:rPr>
        <w:t> </w:t>
      </w:r>
      <w:r>
        <w:rPr/>
        <w:t>both</w:t>
      </w:r>
      <w:r>
        <w:rPr>
          <w:spacing w:val="-10"/>
        </w:rPr>
        <w:t> </w:t>
      </w:r>
      <w:r>
        <w:rPr/>
        <w:t>water-soluble</w:t>
      </w:r>
      <w:r>
        <w:rPr>
          <w:spacing w:val="-7"/>
        </w:rPr>
        <w:t> </w:t>
      </w:r>
      <w:r>
        <w:rPr/>
        <w:t>and</w:t>
      </w:r>
      <w:r>
        <w:rPr>
          <w:spacing w:val="-8"/>
        </w:rPr>
        <w:t> </w:t>
      </w:r>
      <w:r>
        <w:rPr/>
        <w:t>fat- soluble and can carry out its pronounced antioxidative defence in all of our bodily cells. Just like vitamin C and OPC, resveratrol crosses the blood-brain barrier and carries out its antioxidative work on brain cells, too, protecting them from ageing, Alzheimer’s and</w:t>
      </w:r>
      <w:r>
        <w:rPr>
          <w:spacing w:val="1"/>
        </w:rPr>
        <w:t> </w:t>
      </w:r>
      <w:r>
        <w:rPr/>
        <w:t>dementia.</w:t>
      </w:r>
    </w:p>
    <w:p>
      <w:pPr>
        <w:pStyle w:val="Heading1"/>
        <w:ind w:left="616"/>
      </w:pPr>
      <w:r>
        <w:rPr/>
        <w:t>Anti-tumour, anti-carcinogenic effects of</w:t>
      </w:r>
      <w:r>
        <w:rPr>
          <w:spacing w:val="-66"/>
        </w:rPr>
        <w:t> </w:t>
      </w:r>
      <w:r>
        <w:rPr/>
        <w:t>resveratrol</w:t>
      </w:r>
    </w:p>
    <w:p>
      <w:pPr>
        <w:pStyle w:val="BodyText"/>
        <w:spacing w:line="276" w:lineRule="auto" w:before="297"/>
        <w:ind w:left="616" w:right="130"/>
        <w:jc w:val="both"/>
      </w:pPr>
      <w:r>
        <w:rPr/>
        <w:t>The anti-tumour/cancer-defending effects are explained by the antioxidative, anti-inflammatory apoptosis induction, the inhibition of prostate glands, the decrease of nitric oxide synthase as well as the chemo-sensitising effect. You can learn more about this in the section ‘Resveratrol and cancer’.</w:t>
      </w:r>
    </w:p>
    <w:p>
      <w:pPr>
        <w:spacing w:after="0" w:line="276" w:lineRule="auto"/>
        <w:jc w:val="both"/>
        <w:sectPr>
          <w:pgSz w:w="14270" w:h="16850"/>
          <w:pgMar w:header="0" w:footer="1891" w:top="1360" w:bottom="2080" w:left="800" w:right="1280"/>
        </w:sectPr>
      </w:pPr>
    </w:p>
    <w:p>
      <w:pPr>
        <w:pStyle w:val="Heading1"/>
        <w:spacing w:before="75"/>
        <w:ind w:left="616"/>
      </w:pPr>
      <w:r>
        <w:rPr/>
        <w:t>Anti-inflammatory effect</w:t>
      </w:r>
    </w:p>
    <w:p>
      <w:pPr>
        <w:pStyle w:val="BodyText"/>
        <w:spacing w:line="276" w:lineRule="auto" w:before="299"/>
        <w:ind w:left="616" w:right="133"/>
        <w:jc w:val="both"/>
      </w:pPr>
      <w:r>
        <w:rPr/>
        <w:t>Resveratrol</w:t>
      </w:r>
      <w:r>
        <w:rPr>
          <w:spacing w:val="-17"/>
        </w:rPr>
        <w:t> </w:t>
      </w:r>
      <w:r>
        <w:rPr/>
        <w:t>has</w:t>
      </w:r>
      <w:r>
        <w:rPr>
          <w:spacing w:val="-19"/>
        </w:rPr>
        <w:t> </w:t>
      </w:r>
      <w:r>
        <w:rPr/>
        <w:t>an</w:t>
      </w:r>
      <w:r>
        <w:rPr>
          <w:spacing w:val="-17"/>
        </w:rPr>
        <w:t> </w:t>
      </w:r>
      <w:r>
        <w:rPr/>
        <w:t>anti-inflammatory</w:t>
      </w:r>
      <w:r>
        <w:rPr>
          <w:spacing w:val="-17"/>
        </w:rPr>
        <w:t> </w:t>
      </w:r>
      <w:r>
        <w:rPr/>
        <w:t>effect</w:t>
      </w:r>
      <w:r>
        <w:rPr>
          <w:spacing w:val="-16"/>
        </w:rPr>
        <w:t> </w:t>
      </w:r>
      <w:r>
        <w:rPr/>
        <w:t>by</w:t>
      </w:r>
      <w:r>
        <w:rPr>
          <w:spacing w:val="-19"/>
        </w:rPr>
        <w:t> </w:t>
      </w:r>
      <w:r>
        <w:rPr/>
        <w:t>inhibiting</w:t>
      </w:r>
      <w:r>
        <w:rPr>
          <w:spacing w:val="-17"/>
        </w:rPr>
        <w:t> </w:t>
      </w:r>
      <w:r>
        <w:rPr/>
        <w:t>both</w:t>
      </w:r>
      <w:r>
        <w:rPr>
          <w:spacing w:val="-19"/>
        </w:rPr>
        <w:t> </w:t>
      </w:r>
      <w:r>
        <w:rPr/>
        <w:t>key</w:t>
      </w:r>
      <w:r>
        <w:rPr>
          <w:spacing w:val="-17"/>
        </w:rPr>
        <w:t> </w:t>
      </w:r>
      <w:r>
        <w:rPr/>
        <w:t>enzymes</w:t>
      </w:r>
      <w:r>
        <w:rPr>
          <w:spacing w:val="-17"/>
        </w:rPr>
        <w:t> </w:t>
      </w:r>
      <w:r>
        <w:rPr/>
        <w:t>for inflammation</w:t>
      </w:r>
      <w:r>
        <w:rPr>
          <w:spacing w:val="-11"/>
        </w:rPr>
        <w:t> </w:t>
      </w:r>
      <w:r>
        <w:rPr/>
        <w:t>reactions,</w:t>
      </w:r>
      <w:r>
        <w:rPr>
          <w:spacing w:val="-10"/>
        </w:rPr>
        <w:t> </w:t>
      </w:r>
      <w:r>
        <w:rPr/>
        <w:t>cyclooxigenase2</w:t>
      </w:r>
      <w:r>
        <w:rPr>
          <w:spacing w:val="-12"/>
        </w:rPr>
        <w:t> </w:t>
      </w:r>
      <w:r>
        <w:rPr/>
        <w:t>(COX-2)</w:t>
      </w:r>
      <w:r>
        <w:rPr>
          <w:spacing w:val="-11"/>
        </w:rPr>
        <w:t> </w:t>
      </w:r>
      <w:r>
        <w:rPr/>
        <w:t>and</w:t>
      </w:r>
      <w:r>
        <w:rPr>
          <w:spacing w:val="-10"/>
        </w:rPr>
        <w:t> </w:t>
      </w:r>
      <w:r>
        <w:rPr/>
        <w:t>intrinsic</w:t>
      </w:r>
      <w:r>
        <w:rPr>
          <w:spacing w:val="-14"/>
        </w:rPr>
        <w:t> </w:t>
      </w:r>
      <w:r>
        <w:rPr/>
        <w:t>nitrogen</w:t>
      </w:r>
      <w:r>
        <w:rPr>
          <w:spacing w:val="-10"/>
        </w:rPr>
        <w:t> </w:t>
      </w:r>
      <w:r>
        <w:rPr/>
        <w:t>mon- oxide synthesase (iNOS).</w:t>
      </w:r>
    </w:p>
    <w:p>
      <w:pPr>
        <w:pStyle w:val="Heading1"/>
        <w:spacing w:before="226"/>
        <w:ind w:left="616"/>
      </w:pPr>
      <w:r>
        <w:rPr/>
        <w:t>Cholesterol-lowering effect</w:t>
      </w:r>
    </w:p>
    <w:p>
      <w:pPr>
        <w:pStyle w:val="BodyText"/>
        <w:spacing w:line="276" w:lineRule="auto" w:before="297"/>
        <w:ind w:left="616" w:right="136"/>
        <w:jc w:val="both"/>
      </w:pPr>
      <w:r>
        <w:rPr/>
        <w:t>The cholesterol-lowering effect results from the fat-metabolism-regulating ef- fect. Resveratrol lowers the ‘bad’ LDL cholesterol and raises the ‘good’ HDL cholesterol.</w:t>
      </w:r>
    </w:p>
    <w:p>
      <w:pPr>
        <w:pStyle w:val="Heading2"/>
        <w:spacing w:before="242"/>
        <w:ind w:left="616"/>
      </w:pPr>
      <w:r>
        <w:rPr/>
        <w:t>Fat metabolism regulating effect</w:t>
      </w:r>
    </w:p>
    <w:p>
      <w:pPr>
        <w:pStyle w:val="BodyText"/>
        <w:spacing w:line="276" w:lineRule="auto" w:before="302"/>
        <w:ind w:left="616" w:right="136"/>
        <w:jc w:val="both"/>
      </w:pPr>
      <w:r>
        <w:rPr/>
        <w:t>In animal studies, mice were given a fat-rich diet that under normal circum- stances would have led to weight gain. The simultaneous administration of resveratrol was able to significantly reduce weight gain.</w:t>
      </w:r>
    </w:p>
    <w:p>
      <w:pPr>
        <w:pStyle w:val="Heading2"/>
        <w:spacing w:before="241"/>
        <w:ind w:left="616"/>
      </w:pPr>
      <w:r>
        <w:rPr/>
        <w:t>Resveratrol hinders blood clotting</w:t>
      </w:r>
    </w:p>
    <w:p>
      <w:pPr>
        <w:pStyle w:val="BodyText"/>
        <w:spacing w:line="276" w:lineRule="auto" w:before="305"/>
        <w:ind w:left="616" w:right="143"/>
        <w:jc w:val="both"/>
      </w:pPr>
      <w:r>
        <w:rPr/>
        <w:t>Resveratrol hinders the agglomeration of blood platelets and thus prevents blood clotting, which can lead to thrombosis, heart attack and stroke.</w:t>
      </w:r>
    </w:p>
    <w:p>
      <w:pPr>
        <w:pStyle w:val="Heading2"/>
        <w:spacing w:before="238"/>
        <w:ind w:left="616"/>
      </w:pPr>
      <w:r>
        <w:rPr/>
        <w:t>Immune system strengthening effect of resveratrol</w:t>
      </w:r>
    </w:p>
    <w:p>
      <w:pPr>
        <w:pStyle w:val="BodyText"/>
        <w:spacing w:line="276" w:lineRule="auto" w:before="305"/>
        <w:ind w:left="616" w:right="133"/>
        <w:jc w:val="both"/>
      </w:pPr>
      <w:r>
        <w:rPr/>
        <w:t>Resveratrol</w:t>
      </w:r>
      <w:r>
        <w:rPr>
          <w:spacing w:val="-14"/>
        </w:rPr>
        <w:t> </w:t>
      </w:r>
      <w:r>
        <w:rPr/>
        <w:t>is</w:t>
      </w:r>
      <w:r>
        <w:rPr>
          <w:spacing w:val="-14"/>
        </w:rPr>
        <w:t> </w:t>
      </w:r>
      <w:r>
        <w:rPr/>
        <w:t>a</w:t>
      </w:r>
      <w:r>
        <w:rPr>
          <w:spacing w:val="-19"/>
        </w:rPr>
        <w:t> </w:t>
      </w:r>
      <w:r>
        <w:rPr/>
        <w:t>part</w:t>
      </w:r>
      <w:r>
        <w:rPr>
          <w:spacing w:val="-14"/>
        </w:rPr>
        <w:t> </w:t>
      </w:r>
      <w:r>
        <w:rPr/>
        <w:t>of</w:t>
      </w:r>
      <w:r>
        <w:rPr>
          <w:spacing w:val="-14"/>
        </w:rPr>
        <w:t> </w:t>
      </w:r>
      <w:r>
        <w:rPr/>
        <w:t>the</w:t>
      </w:r>
      <w:r>
        <w:rPr>
          <w:spacing w:val="-14"/>
        </w:rPr>
        <w:t> </w:t>
      </w:r>
      <w:r>
        <w:rPr/>
        <w:t>immune</w:t>
      </w:r>
      <w:r>
        <w:rPr>
          <w:spacing w:val="-14"/>
        </w:rPr>
        <w:t> </w:t>
      </w:r>
      <w:r>
        <w:rPr/>
        <w:t>system</w:t>
      </w:r>
      <w:r>
        <w:rPr>
          <w:spacing w:val="-15"/>
        </w:rPr>
        <w:t> </w:t>
      </w:r>
      <w:r>
        <w:rPr/>
        <w:t>of</w:t>
      </w:r>
      <w:r>
        <w:rPr>
          <w:spacing w:val="-14"/>
        </w:rPr>
        <w:t> </w:t>
      </w:r>
      <w:r>
        <w:rPr/>
        <w:t>plants</w:t>
      </w:r>
      <w:r>
        <w:rPr>
          <w:spacing w:val="-13"/>
        </w:rPr>
        <w:t> </w:t>
      </w:r>
      <w:r>
        <w:rPr/>
        <w:t>which</w:t>
      </w:r>
      <w:r>
        <w:rPr>
          <w:spacing w:val="-13"/>
        </w:rPr>
        <w:t> </w:t>
      </w:r>
      <w:r>
        <w:rPr/>
        <w:t>protects</w:t>
      </w:r>
      <w:r>
        <w:rPr>
          <w:spacing w:val="-14"/>
        </w:rPr>
        <w:t> </w:t>
      </w:r>
      <w:r>
        <w:rPr/>
        <w:t>in</w:t>
      </w:r>
      <w:r>
        <w:rPr>
          <w:spacing w:val="-15"/>
        </w:rPr>
        <w:t> </w:t>
      </w:r>
      <w:r>
        <w:rPr/>
        <w:t>this</w:t>
      </w:r>
      <w:r>
        <w:rPr>
          <w:spacing w:val="-13"/>
        </w:rPr>
        <w:t> </w:t>
      </w:r>
      <w:r>
        <w:rPr/>
        <w:t>way against bacteria, viruses, fungi as well as from environmental influences like UV radiation and ozone stress. Humans can make use of this originally very self-interested system via the targeted intake of resveratrol in order to</w:t>
      </w:r>
      <w:r>
        <w:rPr>
          <w:spacing w:val="45"/>
        </w:rPr>
        <w:t> </w:t>
      </w:r>
      <w:r>
        <w:rPr/>
        <w:t>protect</w:t>
      </w:r>
    </w:p>
    <w:p>
      <w:pPr>
        <w:spacing w:after="0" w:line="276" w:lineRule="auto"/>
        <w:jc w:val="both"/>
        <w:sectPr>
          <w:pgSz w:w="14270" w:h="16850"/>
          <w:pgMar w:header="0" w:footer="1891" w:top="1320" w:bottom="2080" w:left="800" w:right="1280"/>
        </w:sectPr>
      </w:pPr>
    </w:p>
    <w:p>
      <w:pPr>
        <w:pStyle w:val="BodyText"/>
        <w:spacing w:line="276" w:lineRule="auto" w:before="72"/>
        <w:ind w:left="616" w:right="131"/>
        <w:jc w:val="both"/>
      </w:pPr>
      <w:r>
        <w:rPr/>
        <w:t>themselves from the same stresses. Researchers have determined that the stronger</w:t>
      </w:r>
      <w:r>
        <w:rPr>
          <w:spacing w:val="-13"/>
        </w:rPr>
        <w:t> </w:t>
      </w:r>
      <w:r>
        <w:rPr/>
        <w:t>the</w:t>
      </w:r>
      <w:r>
        <w:rPr>
          <w:spacing w:val="-14"/>
        </w:rPr>
        <w:t> </w:t>
      </w:r>
      <w:r>
        <w:rPr/>
        <w:t>stresses</w:t>
      </w:r>
      <w:r>
        <w:rPr>
          <w:spacing w:val="-12"/>
        </w:rPr>
        <w:t> </w:t>
      </w:r>
      <w:r>
        <w:rPr/>
        <w:t>in</w:t>
      </w:r>
      <w:r>
        <w:rPr>
          <w:spacing w:val="-14"/>
        </w:rPr>
        <w:t> </w:t>
      </w:r>
      <w:r>
        <w:rPr/>
        <w:t>the</w:t>
      </w:r>
      <w:r>
        <w:rPr>
          <w:spacing w:val="-12"/>
        </w:rPr>
        <w:t> </w:t>
      </w:r>
      <w:r>
        <w:rPr/>
        <w:t>region</w:t>
      </w:r>
      <w:r>
        <w:rPr>
          <w:spacing w:val="-13"/>
        </w:rPr>
        <w:t> </w:t>
      </w:r>
      <w:r>
        <w:rPr/>
        <w:t>in</w:t>
      </w:r>
      <w:r>
        <w:rPr>
          <w:spacing w:val="-13"/>
        </w:rPr>
        <w:t> </w:t>
      </w:r>
      <w:r>
        <w:rPr/>
        <w:t>which</w:t>
      </w:r>
      <w:r>
        <w:rPr>
          <w:spacing w:val="-13"/>
        </w:rPr>
        <w:t> </w:t>
      </w:r>
      <w:r>
        <w:rPr/>
        <w:t>the</w:t>
      </w:r>
      <w:r>
        <w:rPr>
          <w:spacing w:val="-12"/>
        </w:rPr>
        <w:t> </w:t>
      </w:r>
      <w:r>
        <w:rPr/>
        <w:t>grapevines</w:t>
      </w:r>
      <w:r>
        <w:rPr>
          <w:spacing w:val="-12"/>
        </w:rPr>
        <w:t> </w:t>
      </w:r>
      <w:r>
        <w:rPr/>
        <w:t>grow,</w:t>
      </w:r>
      <w:r>
        <w:rPr>
          <w:spacing w:val="-14"/>
        </w:rPr>
        <w:t> </w:t>
      </w:r>
      <w:r>
        <w:rPr/>
        <w:t>the</w:t>
      </w:r>
      <w:r>
        <w:rPr>
          <w:spacing w:val="-12"/>
        </w:rPr>
        <w:t> </w:t>
      </w:r>
      <w:r>
        <w:rPr/>
        <w:t>higher</w:t>
      </w:r>
      <w:r>
        <w:rPr>
          <w:spacing w:val="-12"/>
        </w:rPr>
        <w:t> </w:t>
      </w:r>
      <w:r>
        <w:rPr/>
        <w:t>the proportion of resveratrol in the respective type of</w:t>
      </w:r>
      <w:r>
        <w:rPr>
          <w:spacing w:val="-3"/>
        </w:rPr>
        <w:t> </w:t>
      </w:r>
      <w:r>
        <w:rPr/>
        <w:t>wine.</w:t>
      </w:r>
    </w:p>
    <w:p>
      <w:pPr>
        <w:pStyle w:val="Heading2"/>
        <w:spacing w:before="241"/>
        <w:ind w:left="616"/>
      </w:pPr>
      <w:r>
        <w:rPr/>
        <w:t>Specific effects of resveratrol against disease and pain</w:t>
      </w:r>
    </w:p>
    <w:p>
      <w:pPr>
        <w:pStyle w:val="BodyText"/>
        <w:spacing w:line="276" w:lineRule="auto" w:before="304"/>
        <w:ind w:left="616" w:right="136"/>
        <w:jc w:val="both"/>
      </w:pPr>
      <w:r>
        <w:rPr/>
        <w:t>Due to its strong immune system-boosting, antioxidative and anti-inflamma- tory effects, resveratrol has proven itself potentially more than helpful for countless diseases.</w:t>
      </w:r>
    </w:p>
    <w:p>
      <w:pPr>
        <w:pStyle w:val="BodyText"/>
        <w:spacing w:before="242"/>
        <w:ind w:left="616"/>
        <w:jc w:val="both"/>
      </w:pPr>
      <w:r>
        <w:rPr/>
        <w:t>It has a </w:t>
      </w:r>
      <w:r>
        <w:rPr>
          <w:u w:val="single"/>
        </w:rPr>
        <w:t>proven</w:t>
      </w:r>
      <w:r>
        <w:rPr/>
        <w:t> positive effect on the following diseases and disorders:</w:t>
      </w:r>
    </w:p>
    <w:p>
      <w:pPr>
        <w:pStyle w:val="ListParagraph"/>
        <w:numPr>
          <w:ilvl w:val="0"/>
          <w:numId w:val="100"/>
        </w:numPr>
        <w:tabs>
          <w:tab w:pos="1096" w:val="left" w:leader="none"/>
          <w:tab w:pos="1097" w:val="left" w:leader="none"/>
        </w:tabs>
        <w:spacing w:line="240" w:lineRule="auto" w:before="265" w:after="0"/>
        <w:ind w:left="1096" w:right="0" w:hanging="360"/>
        <w:jc w:val="left"/>
        <w:rPr>
          <w:sz w:val="38"/>
        </w:rPr>
      </w:pPr>
      <w:r>
        <w:rPr>
          <w:sz w:val="38"/>
        </w:rPr>
        <w:t>Cardiovascular diseases (protection against heart attack and stroke</w:t>
      </w:r>
      <w:r>
        <w:rPr>
          <w:spacing w:val="-1"/>
          <w:sz w:val="38"/>
        </w:rPr>
        <w:t> </w:t>
      </w:r>
      <w:r>
        <w:rPr>
          <w:sz w:val="38"/>
        </w:rPr>
        <w:t>)</w:t>
      </w:r>
    </w:p>
    <w:p>
      <w:pPr>
        <w:pStyle w:val="ListParagraph"/>
        <w:numPr>
          <w:ilvl w:val="0"/>
          <w:numId w:val="100"/>
        </w:numPr>
        <w:tabs>
          <w:tab w:pos="1096" w:val="left" w:leader="none"/>
          <w:tab w:pos="1097" w:val="left" w:leader="none"/>
        </w:tabs>
        <w:spacing w:line="240" w:lineRule="auto" w:before="184" w:after="0"/>
        <w:ind w:left="1096" w:right="0" w:hanging="360"/>
        <w:jc w:val="left"/>
        <w:rPr>
          <w:sz w:val="38"/>
        </w:rPr>
      </w:pPr>
      <w:r>
        <w:rPr>
          <w:sz w:val="38"/>
        </w:rPr>
        <w:t>Cancer</w:t>
      </w:r>
    </w:p>
    <w:p>
      <w:pPr>
        <w:pStyle w:val="ListParagraph"/>
        <w:numPr>
          <w:ilvl w:val="0"/>
          <w:numId w:val="100"/>
        </w:numPr>
        <w:tabs>
          <w:tab w:pos="1096" w:val="left" w:leader="none"/>
          <w:tab w:pos="1097" w:val="left" w:leader="none"/>
        </w:tabs>
        <w:spacing w:line="240" w:lineRule="auto" w:before="184" w:after="0"/>
        <w:ind w:left="1096" w:right="0" w:hanging="360"/>
        <w:jc w:val="left"/>
        <w:rPr>
          <w:sz w:val="38"/>
        </w:rPr>
      </w:pPr>
      <w:r>
        <w:rPr>
          <w:sz w:val="38"/>
        </w:rPr>
        <w:t>Arthritis</w:t>
      </w:r>
    </w:p>
    <w:p>
      <w:pPr>
        <w:pStyle w:val="ListParagraph"/>
        <w:numPr>
          <w:ilvl w:val="0"/>
          <w:numId w:val="100"/>
        </w:numPr>
        <w:tabs>
          <w:tab w:pos="1096" w:val="left" w:leader="none"/>
          <w:tab w:pos="1097" w:val="left" w:leader="none"/>
        </w:tabs>
        <w:spacing w:line="240" w:lineRule="auto" w:before="183" w:after="0"/>
        <w:ind w:left="1096" w:right="0" w:hanging="360"/>
        <w:jc w:val="left"/>
        <w:rPr>
          <w:sz w:val="38"/>
        </w:rPr>
      </w:pPr>
      <w:r>
        <w:rPr>
          <w:sz w:val="38"/>
        </w:rPr>
        <w:t>Glaucoma</w:t>
      </w:r>
    </w:p>
    <w:p>
      <w:pPr>
        <w:pStyle w:val="ListParagraph"/>
        <w:numPr>
          <w:ilvl w:val="0"/>
          <w:numId w:val="100"/>
        </w:numPr>
        <w:tabs>
          <w:tab w:pos="1096" w:val="left" w:leader="none"/>
          <w:tab w:pos="1097" w:val="left" w:leader="none"/>
        </w:tabs>
        <w:spacing w:line="240" w:lineRule="auto" w:before="184" w:after="0"/>
        <w:ind w:left="1096" w:right="0" w:hanging="360"/>
        <w:jc w:val="left"/>
        <w:rPr>
          <w:sz w:val="38"/>
        </w:rPr>
      </w:pPr>
      <w:r>
        <w:rPr>
          <w:sz w:val="38"/>
        </w:rPr>
        <w:t>Fungi of all</w:t>
      </w:r>
      <w:r>
        <w:rPr>
          <w:spacing w:val="-8"/>
          <w:sz w:val="38"/>
        </w:rPr>
        <w:t> </w:t>
      </w:r>
      <w:r>
        <w:rPr>
          <w:sz w:val="38"/>
        </w:rPr>
        <w:t>types</w:t>
      </w:r>
    </w:p>
    <w:p>
      <w:pPr>
        <w:pStyle w:val="ListParagraph"/>
        <w:numPr>
          <w:ilvl w:val="0"/>
          <w:numId w:val="100"/>
        </w:numPr>
        <w:tabs>
          <w:tab w:pos="1096" w:val="left" w:leader="none"/>
          <w:tab w:pos="1097" w:val="left" w:leader="none"/>
        </w:tabs>
        <w:spacing w:line="240" w:lineRule="auto" w:before="186" w:after="0"/>
        <w:ind w:left="1096" w:right="0" w:hanging="360"/>
        <w:jc w:val="left"/>
        <w:rPr>
          <w:sz w:val="38"/>
        </w:rPr>
      </w:pPr>
      <w:r>
        <w:rPr>
          <w:sz w:val="38"/>
        </w:rPr>
        <w:t>Multiple</w:t>
      </w:r>
      <w:r>
        <w:rPr>
          <w:spacing w:val="-9"/>
          <w:sz w:val="38"/>
        </w:rPr>
        <w:t> </w:t>
      </w:r>
      <w:r>
        <w:rPr>
          <w:sz w:val="38"/>
        </w:rPr>
        <w:t>sclerosis</w:t>
      </w:r>
    </w:p>
    <w:p>
      <w:pPr>
        <w:pStyle w:val="ListParagraph"/>
        <w:numPr>
          <w:ilvl w:val="0"/>
          <w:numId w:val="100"/>
        </w:numPr>
        <w:tabs>
          <w:tab w:pos="1096" w:val="left" w:leader="none"/>
          <w:tab w:pos="1097" w:val="left" w:leader="none"/>
        </w:tabs>
        <w:spacing w:line="240" w:lineRule="auto" w:before="184" w:after="0"/>
        <w:ind w:left="1096" w:right="0" w:hanging="360"/>
        <w:jc w:val="left"/>
        <w:rPr>
          <w:sz w:val="38"/>
        </w:rPr>
      </w:pPr>
      <w:r>
        <w:rPr>
          <w:sz w:val="38"/>
        </w:rPr>
        <w:t>Autoimmune diseases</w:t>
      </w:r>
    </w:p>
    <w:p>
      <w:pPr>
        <w:pStyle w:val="ListParagraph"/>
        <w:numPr>
          <w:ilvl w:val="0"/>
          <w:numId w:val="100"/>
        </w:numPr>
        <w:tabs>
          <w:tab w:pos="1096" w:val="left" w:leader="none"/>
          <w:tab w:pos="1097" w:val="left" w:leader="none"/>
        </w:tabs>
        <w:spacing w:line="240" w:lineRule="auto" w:before="184" w:after="0"/>
        <w:ind w:left="1096" w:right="0" w:hanging="360"/>
        <w:jc w:val="left"/>
        <w:rPr>
          <w:sz w:val="38"/>
        </w:rPr>
      </w:pPr>
      <w:r>
        <w:rPr>
          <w:sz w:val="38"/>
        </w:rPr>
        <w:t>Fat metabolism disorders/excess weight</w:t>
      </w:r>
    </w:p>
    <w:p>
      <w:pPr>
        <w:pStyle w:val="ListParagraph"/>
        <w:numPr>
          <w:ilvl w:val="0"/>
          <w:numId w:val="100"/>
        </w:numPr>
        <w:tabs>
          <w:tab w:pos="1096" w:val="left" w:leader="none"/>
          <w:tab w:pos="1097" w:val="left" w:leader="none"/>
        </w:tabs>
        <w:spacing w:line="240" w:lineRule="auto" w:before="183" w:after="0"/>
        <w:ind w:left="1096" w:right="0" w:hanging="360"/>
        <w:jc w:val="left"/>
        <w:rPr>
          <w:sz w:val="38"/>
        </w:rPr>
      </w:pPr>
      <w:r>
        <w:rPr>
          <w:sz w:val="38"/>
        </w:rPr>
        <w:t>Diabetes</w:t>
      </w:r>
      <w:r>
        <w:rPr>
          <w:spacing w:val="2"/>
          <w:sz w:val="38"/>
        </w:rPr>
        <w:t> </w:t>
      </w:r>
      <w:r>
        <w:rPr>
          <w:sz w:val="38"/>
        </w:rPr>
        <w:t>mellitus</w:t>
      </w:r>
    </w:p>
    <w:p>
      <w:pPr>
        <w:pStyle w:val="ListParagraph"/>
        <w:numPr>
          <w:ilvl w:val="0"/>
          <w:numId w:val="100"/>
        </w:numPr>
        <w:tabs>
          <w:tab w:pos="1096" w:val="left" w:leader="none"/>
          <w:tab w:pos="1097" w:val="left" w:leader="none"/>
        </w:tabs>
        <w:spacing w:line="240" w:lineRule="auto" w:before="184" w:after="0"/>
        <w:ind w:left="1096" w:right="0" w:hanging="360"/>
        <w:jc w:val="left"/>
        <w:rPr>
          <w:sz w:val="38"/>
        </w:rPr>
      </w:pPr>
      <w:r>
        <w:rPr>
          <w:sz w:val="38"/>
        </w:rPr>
        <w:t>Huntington disease (genetic</w:t>
      </w:r>
      <w:r>
        <w:rPr>
          <w:spacing w:val="5"/>
          <w:sz w:val="38"/>
        </w:rPr>
        <w:t> </w:t>
      </w:r>
      <w:r>
        <w:rPr>
          <w:sz w:val="38"/>
        </w:rPr>
        <w:t>defect)</w:t>
      </w:r>
    </w:p>
    <w:p>
      <w:pPr>
        <w:pStyle w:val="Heading2"/>
        <w:spacing w:before="307"/>
        <w:ind w:left="616"/>
        <w:jc w:val="both"/>
      </w:pPr>
      <w:r>
        <w:rPr/>
        <w:t>Resveratrol and cardiovascular diseases</w:t>
      </w:r>
    </w:p>
    <w:p>
      <w:pPr>
        <w:spacing w:after="0"/>
        <w:jc w:val="both"/>
        <w:sectPr>
          <w:pgSz w:w="14270" w:h="16850"/>
          <w:pgMar w:header="0" w:footer="1891" w:top="1340" w:bottom="2080" w:left="800" w:right="1280"/>
        </w:sectPr>
      </w:pPr>
    </w:p>
    <w:p>
      <w:pPr>
        <w:pStyle w:val="BodyText"/>
        <w:spacing w:line="276" w:lineRule="auto" w:before="74"/>
        <w:ind w:left="616" w:right="139"/>
        <w:jc w:val="both"/>
      </w:pPr>
      <w:r>
        <w:rPr/>
        <w:t>Alongside OPC and other highly active polyphenols in red wine, the ‘French paradox’ can primarily be explained on the basis of the wine’s high</w:t>
      </w:r>
      <w:r>
        <w:rPr>
          <w:spacing w:val="-50"/>
        </w:rPr>
        <w:t> </w:t>
      </w:r>
      <w:r>
        <w:rPr/>
        <w:t>resveratrol content. This is justified by the paradox that French people, especially heavy drinkers of red wine in southern France, suffer 40 % less frequently from car- diovascular disease despite a fat-rich</w:t>
      </w:r>
      <w:r>
        <w:rPr>
          <w:spacing w:val="1"/>
        </w:rPr>
        <w:t> </w:t>
      </w:r>
      <w:r>
        <w:rPr/>
        <w:t>diet.</w:t>
      </w:r>
    </w:p>
    <w:p>
      <w:pPr>
        <w:pStyle w:val="BodyText"/>
        <w:spacing w:line="276" w:lineRule="auto" w:before="240"/>
        <w:ind w:left="616" w:right="144"/>
        <w:jc w:val="both"/>
      </w:pPr>
      <w:r>
        <w:rPr/>
        <w:t>Resveratrol enacts its protective and therapeutic effects on cardiovascular dis- ease via the following mechanisms:</w:t>
      </w:r>
    </w:p>
    <w:p>
      <w:pPr>
        <w:pStyle w:val="ListParagraph"/>
        <w:numPr>
          <w:ilvl w:val="1"/>
          <w:numId w:val="100"/>
        </w:numPr>
        <w:tabs>
          <w:tab w:pos="1461" w:val="left" w:leader="none"/>
          <w:tab w:pos="1462" w:val="left" w:leader="none"/>
        </w:tabs>
        <w:spacing w:line="273" w:lineRule="auto" w:before="202" w:after="0"/>
        <w:ind w:left="1461" w:right="134" w:hanging="360"/>
        <w:jc w:val="left"/>
        <w:rPr>
          <w:sz w:val="38"/>
        </w:rPr>
      </w:pPr>
      <w:r>
        <w:rPr>
          <w:sz w:val="38"/>
        </w:rPr>
        <w:t>It counteracts cell oxidation and thus the emergence of atherosclerosis by hindering lipid</w:t>
      </w:r>
      <w:r>
        <w:rPr>
          <w:spacing w:val="1"/>
          <w:sz w:val="38"/>
        </w:rPr>
        <w:t> </w:t>
      </w:r>
      <w:r>
        <w:rPr>
          <w:sz w:val="38"/>
        </w:rPr>
        <w:t>peroxidation;</w:t>
      </w:r>
    </w:p>
    <w:p>
      <w:pPr>
        <w:pStyle w:val="ListParagraph"/>
        <w:numPr>
          <w:ilvl w:val="1"/>
          <w:numId w:val="100"/>
        </w:numPr>
        <w:tabs>
          <w:tab w:pos="1461" w:val="left" w:leader="none"/>
          <w:tab w:pos="1462" w:val="left" w:leader="none"/>
        </w:tabs>
        <w:spacing w:line="273" w:lineRule="auto" w:before="127" w:after="0"/>
        <w:ind w:left="1461" w:right="142" w:hanging="360"/>
        <w:jc w:val="left"/>
        <w:rPr>
          <w:sz w:val="38"/>
        </w:rPr>
      </w:pPr>
      <w:r>
        <w:rPr>
          <w:sz w:val="38"/>
        </w:rPr>
        <w:t>it regulates cholesterol values (increases the ‘good’ HDL and lowers the ‘bad’ LDL);</w:t>
      </w:r>
    </w:p>
    <w:p>
      <w:pPr>
        <w:pStyle w:val="ListParagraph"/>
        <w:numPr>
          <w:ilvl w:val="1"/>
          <w:numId w:val="100"/>
        </w:numPr>
        <w:tabs>
          <w:tab w:pos="1461" w:val="left" w:leader="none"/>
          <w:tab w:pos="1462" w:val="left" w:leader="none"/>
        </w:tabs>
        <w:spacing w:line="240" w:lineRule="auto" w:before="127" w:after="0"/>
        <w:ind w:left="1461" w:right="0" w:hanging="360"/>
        <w:jc w:val="left"/>
        <w:rPr>
          <w:sz w:val="38"/>
        </w:rPr>
      </w:pPr>
      <w:r>
        <w:rPr>
          <w:sz w:val="38"/>
        </w:rPr>
        <w:t>it lowers high blood</w:t>
      </w:r>
      <w:r>
        <w:rPr>
          <w:spacing w:val="1"/>
          <w:sz w:val="38"/>
        </w:rPr>
        <w:t> </w:t>
      </w:r>
      <w:r>
        <w:rPr>
          <w:sz w:val="38"/>
        </w:rPr>
        <w:t>pressure;</w:t>
      </w:r>
    </w:p>
    <w:p>
      <w:pPr>
        <w:pStyle w:val="ListParagraph"/>
        <w:numPr>
          <w:ilvl w:val="1"/>
          <w:numId w:val="100"/>
        </w:numPr>
        <w:tabs>
          <w:tab w:pos="1461" w:val="left" w:leader="none"/>
          <w:tab w:pos="1462" w:val="left" w:leader="none"/>
        </w:tabs>
        <w:spacing w:line="273" w:lineRule="auto" w:before="184" w:after="0"/>
        <w:ind w:left="1461" w:right="138" w:hanging="360"/>
        <w:jc w:val="left"/>
        <w:rPr>
          <w:sz w:val="38"/>
        </w:rPr>
      </w:pPr>
      <w:r>
        <w:rPr>
          <w:sz w:val="38"/>
        </w:rPr>
        <w:t>it hinders the agglomeration of blood platelets, which can lead to both heart attack and stroke,</w:t>
      </w:r>
      <w:r>
        <w:rPr>
          <w:spacing w:val="6"/>
          <w:sz w:val="38"/>
        </w:rPr>
        <w:t> </w:t>
      </w:r>
      <w:r>
        <w:rPr>
          <w:sz w:val="38"/>
        </w:rPr>
        <w:t>and</w:t>
      </w:r>
    </w:p>
    <w:p>
      <w:pPr>
        <w:pStyle w:val="ListParagraph"/>
        <w:numPr>
          <w:ilvl w:val="1"/>
          <w:numId w:val="100"/>
        </w:numPr>
        <w:tabs>
          <w:tab w:pos="1461" w:val="left" w:leader="none"/>
          <w:tab w:pos="1462" w:val="left" w:leader="none"/>
        </w:tabs>
        <w:spacing w:line="273" w:lineRule="auto" w:before="127" w:after="0"/>
        <w:ind w:left="1461" w:right="136" w:hanging="360"/>
        <w:jc w:val="left"/>
        <w:rPr>
          <w:sz w:val="38"/>
        </w:rPr>
      </w:pPr>
      <w:r>
        <w:rPr>
          <w:sz w:val="38"/>
        </w:rPr>
        <w:t>it</w:t>
      </w:r>
      <w:r>
        <w:rPr>
          <w:spacing w:val="-13"/>
          <w:sz w:val="38"/>
        </w:rPr>
        <w:t> </w:t>
      </w:r>
      <w:r>
        <w:rPr>
          <w:sz w:val="38"/>
        </w:rPr>
        <w:t>crosses</w:t>
      </w:r>
      <w:r>
        <w:rPr>
          <w:spacing w:val="-10"/>
          <w:sz w:val="38"/>
        </w:rPr>
        <w:t> </w:t>
      </w:r>
      <w:r>
        <w:rPr>
          <w:sz w:val="38"/>
        </w:rPr>
        <w:t>the</w:t>
      </w:r>
      <w:r>
        <w:rPr>
          <w:spacing w:val="-13"/>
          <w:sz w:val="38"/>
        </w:rPr>
        <w:t> </w:t>
      </w:r>
      <w:r>
        <w:rPr>
          <w:sz w:val="38"/>
        </w:rPr>
        <w:t>blood-brain</w:t>
      </w:r>
      <w:r>
        <w:rPr>
          <w:spacing w:val="-11"/>
          <w:sz w:val="38"/>
        </w:rPr>
        <w:t> </w:t>
      </w:r>
      <w:r>
        <w:rPr>
          <w:sz w:val="38"/>
        </w:rPr>
        <w:t>barrier</w:t>
      </w:r>
      <w:r>
        <w:rPr>
          <w:spacing w:val="-12"/>
          <w:sz w:val="38"/>
        </w:rPr>
        <w:t> </w:t>
      </w:r>
      <w:r>
        <w:rPr>
          <w:sz w:val="38"/>
        </w:rPr>
        <w:t>and</w:t>
      </w:r>
      <w:r>
        <w:rPr>
          <w:spacing w:val="-11"/>
          <w:sz w:val="38"/>
        </w:rPr>
        <w:t> </w:t>
      </w:r>
      <w:r>
        <w:rPr>
          <w:sz w:val="38"/>
        </w:rPr>
        <w:t>there</w:t>
      </w:r>
      <w:r>
        <w:rPr>
          <w:spacing w:val="-13"/>
          <w:sz w:val="38"/>
        </w:rPr>
        <w:t> </w:t>
      </w:r>
      <w:r>
        <w:rPr>
          <w:sz w:val="38"/>
        </w:rPr>
        <w:t>continues</w:t>
      </w:r>
      <w:r>
        <w:rPr>
          <w:spacing w:val="-11"/>
          <w:sz w:val="38"/>
        </w:rPr>
        <w:t> </w:t>
      </w:r>
      <w:r>
        <w:rPr>
          <w:sz w:val="38"/>
        </w:rPr>
        <w:t>its</w:t>
      </w:r>
      <w:r>
        <w:rPr>
          <w:spacing w:val="-12"/>
          <w:sz w:val="38"/>
        </w:rPr>
        <w:t> </w:t>
      </w:r>
      <w:r>
        <w:rPr>
          <w:sz w:val="38"/>
        </w:rPr>
        <w:t>neuroprotective effect for the</w:t>
      </w:r>
      <w:r>
        <w:rPr>
          <w:spacing w:val="2"/>
          <w:sz w:val="38"/>
        </w:rPr>
        <w:t> </w:t>
      </w:r>
      <w:r>
        <w:rPr>
          <w:sz w:val="38"/>
        </w:rPr>
        <w:t>brain.</w:t>
      </w:r>
    </w:p>
    <w:p>
      <w:pPr>
        <w:spacing w:after="0" w:line="273" w:lineRule="auto"/>
        <w:jc w:val="left"/>
        <w:rPr>
          <w:sz w:val="38"/>
        </w:rPr>
        <w:sectPr>
          <w:pgSz w:w="14270" w:h="16850"/>
          <w:pgMar w:header="0" w:footer="1891" w:top="1340" w:bottom="2080" w:left="800" w:right="1280"/>
        </w:sectPr>
      </w:pPr>
    </w:p>
    <w:p>
      <w:pPr>
        <w:pStyle w:val="Heading1"/>
        <w:spacing w:line="261" w:lineRule="auto" w:before="77"/>
        <w:ind w:left="616" w:right="140"/>
        <w:jc w:val="both"/>
      </w:pPr>
      <w:r>
        <w:rPr/>
        <w:t>Effect</w:t>
      </w:r>
      <w:r>
        <w:rPr>
          <w:spacing w:val="-17"/>
        </w:rPr>
        <w:t> </w:t>
      </w:r>
      <w:r>
        <w:rPr/>
        <w:t>of</w:t>
      </w:r>
      <w:r>
        <w:rPr>
          <w:spacing w:val="-16"/>
        </w:rPr>
        <w:t> </w:t>
      </w:r>
      <w:r>
        <w:rPr/>
        <w:t>resveratrol</w:t>
      </w:r>
      <w:r>
        <w:rPr>
          <w:spacing w:val="-16"/>
        </w:rPr>
        <w:t> </w:t>
      </w:r>
      <w:r>
        <w:rPr/>
        <w:t>on</w:t>
      </w:r>
      <w:r>
        <w:rPr>
          <w:spacing w:val="-17"/>
        </w:rPr>
        <w:t> </w:t>
      </w:r>
      <w:r>
        <w:rPr/>
        <w:t>Alzheimer’s,</w:t>
      </w:r>
      <w:r>
        <w:rPr>
          <w:spacing w:val="-16"/>
        </w:rPr>
        <w:t> </w:t>
      </w:r>
      <w:r>
        <w:rPr/>
        <w:t>neurodegenerative</w:t>
      </w:r>
      <w:r>
        <w:rPr>
          <w:spacing w:val="-15"/>
        </w:rPr>
        <w:t> </w:t>
      </w:r>
      <w:r>
        <w:rPr/>
        <w:t>diseases</w:t>
      </w:r>
      <w:r>
        <w:rPr>
          <w:spacing w:val="-16"/>
        </w:rPr>
        <w:t> </w:t>
      </w:r>
      <w:r>
        <w:rPr/>
        <w:t>and stroke</w:t>
      </w:r>
    </w:p>
    <w:p>
      <w:pPr>
        <w:pStyle w:val="BodyText"/>
        <w:spacing w:line="276" w:lineRule="auto" w:before="258"/>
        <w:ind w:left="616" w:right="139"/>
        <w:jc w:val="both"/>
      </w:pPr>
      <w:r>
        <w:rPr/>
        <w:t>Resveratrol is able to cross the blood-brain barrier to counteract the damage done to brain cells by free radicals and the impact of beta amyloid, which is considered a pathogenic factor in the Alzheimer’s/dementia problem.</w:t>
      </w:r>
    </w:p>
    <w:p>
      <w:pPr>
        <w:pStyle w:val="BodyText"/>
        <w:spacing w:line="276" w:lineRule="auto" w:before="241"/>
        <w:ind w:left="616" w:right="139"/>
        <w:jc w:val="both"/>
        <w:rPr>
          <w:sz w:val="25"/>
        </w:rPr>
      </w:pPr>
      <w:r>
        <w:rPr/>
        <w:t>Researchers at Harvard assume, in line with corresponding studies of resvera- trol, that resveratrol can protect against Alzheimer’s, neurodegenerative dis- eases and even stroke.</w:t>
      </w:r>
      <w:r>
        <w:rPr>
          <w:position w:val="9"/>
          <w:sz w:val="25"/>
        </w:rPr>
        <w:t>757</w:t>
      </w:r>
    </w:p>
    <w:p>
      <w:pPr>
        <w:pStyle w:val="BodyText"/>
        <w:spacing w:line="276" w:lineRule="auto" w:before="239"/>
        <w:ind w:left="616" w:right="132"/>
        <w:jc w:val="both"/>
        <w:rPr>
          <w:sz w:val="25"/>
        </w:rPr>
      </w:pPr>
      <w:r>
        <w:rPr/>
        <w:t>In studies, resveratrol was able to protect the nerve cells from damage from the beta amyloid peptide, which is co-responsible for Alzheimer’s disease.</w:t>
      </w:r>
      <w:r>
        <w:rPr>
          <w:position w:val="9"/>
          <w:sz w:val="25"/>
        </w:rPr>
        <w:t>758,</w:t>
      </w:r>
    </w:p>
    <w:p>
      <w:pPr>
        <w:spacing w:before="22"/>
        <w:ind w:left="616" w:right="0" w:firstLine="0"/>
        <w:jc w:val="both"/>
        <w:rPr>
          <w:sz w:val="25"/>
        </w:rPr>
      </w:pPr>
      <w:r>
        <w:rPr>
          <w:sz w:val="25"/>
        </w:rPr>
        <w:t>759, 760,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r>
        <w:rPr/>
        <w:pict>
          <v:line style="position:absolute;mso-position-horizontal-relative:page;mso-position-vertical-relative:paragraph;z-index:10328;mso-wrap-distance-left:0;mso-wrap-distance-right:0" from="70.823997pt,13.267515pt" to="214.843997pt,13.267515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757 </w:t>
      </w:r>
      <w:hyperlink r:id="rId322">
        <w:r>
          <w:rPr>
            <w:sz w:val="20"/>
          </w:rPr>
          <w:t>http://www.hms.harvard.edu/hmni/On_The_Brain/Volume13/OTB_Winter_07.pdf</w:t>
        </w:r>
      </w:hyperlink>
    </w:p>
    <w:p>
      <w:pPr>
        <w:spacing w:before="94"/>
        <w:ind w:left="616" w:right="0" w:firstLine="0"/>
        <w:jc w:val="left"/>
        <w:rPr>
          <w:sz w:val="20"/>
        </w:rPr>
      </w:pPr>
      <w:r>
        <w:rPr>
          <w:position w:val="5"/>
          <w:sz w:val="13"/>
        </w:rPr>
        <w:t>758 </w:t>
      </w:r>
      <w:r>
        <w:rPr>
          <w:sz w:val="20"/>
        </w:rPr>
        <w:t>Savaskan E. et al.: Red wine ingredient resveratrol protects from beta-amyloid neurotoxicity. Gerontology, 2003 Nov; 49 (6), pp. 380-833</w:t>
      </w:r>
    </w:p>
    <w:p>
      <w:pPr>
        <w:spacing w:line="273" w:lineRule="auto" w:before="94"/>
        <w:ind w:left="616" w:right="0" w:firstLine="0"/>
        <w:jc w:val="left"/>
        <w:rPr>
          <w:sz w:val="20"/>
        </w:rPr>
      </w:pPr>
      <w:r>
        <w:rPr>
          <w:position w:val="5"/>
          <w:sz w:val="13"/>
        </w:rPr>
        <w:t>759 </w:t>
      </w:r>
      <w:r>
        <w:rPr>
          <w:sz w:val="20"/>
        </w:rPr>
        <w:t>Marambaud P. et al.: Resveratrol promotes clearance of Alzheimer’s disease amyloid-beta peptides. J Biol Chem. 2005 Nov 11; 280 (45), pp. 37377–37382.</w:t>
      </w:r>
    </w:p>
    <w:p>
      <w:pPr>
        <w:spacing w:line="276" w:lineRule="auto" w:before="63"/>
        <w:ind w:left="616" w:right="217" w:firstLine="0"/>
        <w:jc w:val="left"/>
        <w:rPr>
          <w:sz w:val="20"/>
        </w:rPr>
      </w:pPr>
      <w:r>
        <w:rPr>
          <w:position w:val="4"/>
          <w:sz w:val="10"/>
        </w:rPr>
        <w:t>760 </w:t>
      </w:r>
      <w:r>
        <w:rPr>
          <w:sz w:val="20"/>
        </w:rPr>
        <w:t>Wang J. et al.: Moderate consumption of cabernet sauvignon attenuates abeta neuropathology in a mouse model of Alzheimer’s disease. FASEB J. 2006 Nov, 20 (13). pp. 2313–2320.</w:t>
      </w:r>
    </w:p>
    <w:p>
      <w:pPr>
        <w:pStyle w:val="BodyText"/>
        <w:spacing w:before="5"/>
        <w:rPr>
          <w:sz w:val="13"/>
        </w:rPr>
      </w:pPr>
      <w:r>
        <w:rPr/>
        <w:drawing>
          <wp:anchor distT="0" distB="0" distL="0" distR="0" allowOverlap="1" layoutInCell="1" locked="0" behindDoc="0" simplePos="0" relativeHeight="10352">
            <wp:simplePos x="0" y="0"/>
            <wp:positionH relativeFrom="page">
              <wp:posOffset>985998</wp:posOffset>
            </wp:positionH>
            <wp:positionV relativeFrom="paragraph">
              <wp:posOffset>121284</wp:posOffset>
            </wp:positionV>
            <wp:extent cx="6342581" cy="896874"/>
            <wp:effectExtent l="0" t="0" r="0" b="0"/>
            <wp:wrapTopAndBottom/>
            <wp:docPr id="505" name="image2.jpeg" descr=""/>
            <wp:cNvGraphicFramePr>
              <a:graphicFrameLocks noChangeAspect="1"/>
            </wp:cNvGraphicFramePr>
            <a:graphic>
              <a:graphicData uri="http://schemas.openxmlformats.org/drawingml/2006/picture">
                <pic:pic>
                  <pic:nvPicPr>
                    <pic:cNvPr id="506" name="image2.jpeg"/>
                    <pic:cNvPicPr/>
                  </pic:nvPicPr>
                  <pic:blipFill>
                    <a:blip r:embed="rId21" cstate="print"/>
                    <a:stretch>
                      <a:fillRect/>
                    </a:stretch>
                  </pic:blipFill>
                  <pic:spPr>
                    <a:xfrm>
                      <a:off x="0" y="0"/>
                      <a:ext cx="6342581" cy="896874"/>
                    </a:xfrm>
                    <a:prstGeom prst="rect">
                      <a:avLst/>
                    </a:prstGeom>
                  </pic:spPr>
                </pic:pic>
              </a:graphicData>
            </a:graphic>
          </wp:anchor>
        </w:drawing>
      </w:r>
    </w:p>
    <w:p>
      <w:pPr>
        <w:spacing w:after="0"/>
        <w:rPr>
          <w:sz w:val="13"/>
        </w:rPr>
        <w:sectPr>
          <w:footerReference w:type="default" r:id="rId321"/>
          <w:pgSz w:w="14270" w:h="16850"/>
          <w:pgMar w:footer="527" w:header="0" w:top="1320" w:bottom="720" w:left="800" w:right="1280"/>
        </w:sectPr>
      </w:pPr>
    </w:p>
    <w:p>
      <w:pPr>
        <w:pStyle w:val="Heading1"/>
        <w:spacing w:before="77"/>
        <w:ind w:left="616"/>
      </w:pPr>
      <w:r>
        <w:rPr/>
        <w:t>Effects of resveratrol on glaucoma</w:t>
      </w:r>
    </w:p>
    <w:p>
      <w:pPr>
        <w:pStyle w:val="BodyText"/>
        <w:spacing w:line="276" w:lineRule="auto" w:before="299"/>
        <w:ind w:left="616" w:right="136"/>
        <w:jc w:val="both"/>
      </w:pPr>
      <w:r>
        <w:rPr/>
        <w:t>In studies, resveratrol was able to show a neuroprotective effect on glaucoma. It protects the optic nerve from damaging oxidation and inflammations and counteracts the destructive symptoms of glaucoma.</w:t>
      </w:r>
    </w:p>
    <w:p>
      <w:pPr>
        <w:pStyle w:val="Heading1"/>
        <w:spacing w:before="222"/>
        <w:ind w:left="616"/>
      </w:pPr>
      <w:r>
        <w:rPr/>
        <w:t>Effect on multiple sclerosis</w:t>
      </w:r>
    </w:p>
    <w:p>
      <w:pPr>
        <w:pStyle w:val="BodyText"/>
        <w:spacing w:line="276" w:lineRule="auto" w:before="299"/>
        <w:ind w:left="616" w:right="133"/>
        <w:jc w:val="both"/>
      </w:pPr>
      <w:r>
        <w:rPr/>
        <w:t>Among the elements of the disease progression of multiple sclerosis is the ac- tivation</w:t>
      </w:r>
      <w:r>
        <w:rPr>
          <w:spacing w:val="-18"/>
        </w:rPr>
        <w:t> </w:t>
      </w:r>
      <w:r>
        <w:rPr/>
        <w:t>of</w:t>
      </w:r>
      <w:r>
        <w:rPr>
          <w:spacing w:val="-19"/>
        </w:rPr>
        <w:t> </w:t>
      </w:r>
      <w:r>
        <w:rPr/>
        <w:t>NF-kB,</w:t>
      </w:r>
      <w:r>
        <w:rPr>
          <w:spacing w:val="-18"/>
        </w:rPr>
        <w:t> </w:t>
      </w:r>
      <w:r>
        <w:rPr/>
        <w:t>a</w:t>
      </w:r>
      <w:r>
        <w:rPr>
          <w:spacing w:val="-20"/>
        </w:rPr>
        <w:t> </w:t>
      </w:r>
      <w:r>
        <w:rPr/>
        <w:t>key</w:t>
      </w:r>
      <w:r>
        <w:rPr>
          <w:spacing w:val="-20"/>
        </w:rPr>
        <w:t> </w:t>
      </w:r>
      <w:r>
        <w:rPr/>
        <w:t>enzyme</w:t>
      </w:r>
      <w:r>
        <w:rPr>
          <w:spacing w:val="-23"/>
        </w:rPr>
        <w:t> </w:t>
      </w:r>
      <w:r>
        <w:rPr/>
        <w:t>which</w:t>
      </w:r>
      <w:r>
        <w:rPr>
          <w:spacing w:val="-18"/>
        </w:rPr>
        <w:t> </w:t>
      </w:r>
      <w:r>
        <w:rPr/>
        <w:t>is</w:t>
      </w:r>
      <w:r>
        <w:rPr>
          <w:spacing w:val="-18"/>
        </w:rPr>
        <w:t> </w:t>
      </w:r>
      <w:r>
        <w:rPr/>
        <w:t>responsible</w:t>
      </w:r>
      <w:r>
        <w:rPr>
          <w:spacing w:val="-20"/>
        </w:rPr>
        <w:t> </w:t>
      </w:r>
      <w:r>
        <w:rPr/>
        <w:t>for</w:t>
      </w:r>
      <w:r>
        <w:rPr>
          <w:spacing w:val="-17"/>
        </w:rPr>
        <w:t> </w:t>
      </w:r>
      <w:r>
        <w:rPr/>
        <w:t>the</w:t>
      </w:r>
      <w:r>
        <w:rPr>
          <w:spacing w:val="-21"/>
        </w:rPr>
        <w:t> </w:t>
      </w:r>
      <w:r>
        <w:rPr/>
        <w:t>survival</w:t>
      </w:r>
      <w:r>
        <w:rPr>
          <w:spacing w:val="-20"/>
        </w:rPr>
        <w:t> </w:t>
      </w:r>
      <w:r>
        <w:rPr/>
        <w:t>of</w:t>
      </w:r>
      <w:r>
        <w:rPr>
          <w:spacing w:val="-18"/>
        </w:rPr>
        <w:t> </w:t>
      </w:r>
      <w:r>
        <w:rPr/>
        <w:t>cancer cells. Resveratrol proved to be a functional NF-kB inhibitor and might</w:t>
      </w:r>
      <w:r>
        <w:rPr>
          <w:spacing w:val="-33"/>
        </w:rPr>
        <w:t> </w:t>
      </w:r>
      <w:r>
        <w:rPr/>
        <w:t>poten- tially have a positive influence on MS. Further studies could provide more in- formation in the future.</w:t>
      </w:r>
    </w:p>
    <w:p>
      <w:pPr>
        <w:pStyle w:val="Heading1"/>
        <w:spacing w:before="223"/>
        <w:ind w:left="616"/>
      </w:pPr>
      <w:r>
        <w:rPr/>
        <w:t>Effect on arthritis</w:t>
      </w:r>
    </w:p>
    <w:p>
      <w:pPr>
        <w:pStyle w:val="BodyText"/>
        <w:spacing w:line="276" w:lineRule="auto" w:before="299"/>
        <w:ind w:left="616" w:right="137"/>
        <w:jc w:val="both"/>
      </w:pPr>
      <w:r>
        <w:rPr/>
        <w:t>Arthritis is an inflammatory disease which afflicts the joints and gradually de- stroys</w:t>
      </w:r>
      <w:r>
        <w:rPr>
          <w:spacing w:val="-18"/>
        </w:rPr>
        <w:t> </w:t>
      </w:r>
      <w:r>
        <w:rPr/>
        <w:t>them.</w:t>
      </w:r>
      <w:r>
        <w:rPr>
          <w:spacing w:val="-18"/>
        </w:rPr>
        <w:t> </w:t>
      </w:r>
      <w:r>
        <w:rPr/>
        <w:t>By</w:t>
      </w:r>
      <w:r>
        <w:rPr>
          <w:spacing w:val="-18"/>
        </w:rPr>
        <w:t> </w:t>
      </w:r>
      <w:r>
        <w:rPr/>
        <w:t>inhibiting</w:t>
      </w:r>
      <w:r>
        <w:rPr>
          <w:spacing w:val="-18"/>
        </w:rPr>
        <w:t> </w:t>
      </w:r>
      <w:r>
        <w:rPr/>
        <w:t>both</w:t>
      </w:r>
      <w:r>
        <w:rPr>
          <w:spacing w:val="-18"/>
        </w:rPr>
        <w:t> </w:t>
      </w:r>
      <w:r>
        <w:rPr/>
        <w:t>of</w:t>
      </w:r>
      <w:r>
        <w:rPr>
          <w:spacing w:val="-18"/>
        </w:rPr>
        <w:t> </w:t>
      </w:r>
      <w:r>
        <w:rPr/>
        <w:t>the</w:t>
      </w:r>
      <w:r>
        <w:rPr>
          <w:spacing w:val="-18"/>
        </w:rPr>
        <w:t> </w:t>
      </w:r>
      <w:r>
        <w:rPr/>
        <w:t>key</w:t>
      </w:r>
      <w:r>
        <w:rPr>
          <w:spacing w:val="-19"/>
        </w:rPr>
        <w:t> </w:t>
      </w:r>
      <w:r>
        <w:rPr/>
        <w:t>enzymes</w:t>
      </w:r>
      <w:r>
        <w:rPr>
          <w:spacing w:val="-17"/>
        </w:rPr>
        <w:t> </w:t>
      </w:r>
      <w:r>
        <w:rPr/>
        <w:t>for</w:t>
      </w:r>
      <w:r>
        <w:rPr>
          <w:spacing w:val="-18"/>
        </w:rPr>
        <w:t> </w:t>
      </w:r>
      <w:r>
        <w:rPr/>
        <w:t>inflammatory</w:t>
      </w:r>
      <w:r>
        <w:rPr>
          <w:spacing w:val="-19"/>
        </w:rPr>
        <w:t> </w:t>
      </w:r>
      <w:r>
        <w:rPr/>
        <w:t>reactions, cyclooxigenase2</w:t>
      </w:r>
      <w:r>
        <w:rPr>
          <w:spacing w:val="-14"/>
        </w:rPr>
        <w:t> </w:t>
      </w:r>
      <w:r>
        <w:rPr/>
        <w:t>(COX-2)</w:t>
      </w:r>
      <w:r>
        <w:rPr>
          <w:spacing w:val="-15"/>
        </w:rPr>
        <w:t> </w:t>
      </w:r>
      <w:r>
        <w:rPr/>
        <w:t>and</w:t>
      </w:r>
      <w:r>
        <w:rPr>
          <w:spacing w:val="-12"/>
        </w:rPr>
        <w:t> </w:t>
      </w:r>
      <w:r>
        <w:rPr/>
        <w:t>intrinsic</w:t>
      </w:r>
      <w:r>
        <w:rPr>
          <w:spacing w:val="-14"/>
        </w:rPr>
        <w:t> </w:t>
      </w:r>
      <w:r>
        <w:rPr/>
        <w:t>nitrogen</w:t>
      </w:r>
      <w:r>
        <w:rPr>
          <w:spacing w:val="-16"/>
        </w:rPr>
        <w:t> </w:t>
      </w:r>
      <w:r>
        <w:rPr/>
        <w:t>monoxide</w:t>
      </w:r>
      <w:r>
        <w:rPr>
          <w:spacing w:val="-14"/>
        </w:rPr>
        <w:t> </w:t>
      </w:r>
      <w:r>
        <w:rPr/>
        <w:t>synthesase</w:t>
      </w:r>
      <w:r>
        <w:rPr>
          <w:spacing w:val="-12"/>
        </w:rPr>
        <w:t> </w:t>
      </w:r>
      <w:r>
        <w:rPr/>
        <w:t>(iNOS), resveratrol has proven to be very helpful in arthritis</w:t>
      </w:r>
      <w:r>
        <w:rPr>
          <w:spacing w:val="-8"/>
        </w:rPr>
        <w:t> </w:t>
      </w:r>
      <w:r>
        <w:rPr/>
        <w:t>therapy.</w:t>
      </w:r>
    </w:p>
    <w:p>
      <w:pPr>
        <w:pStyle w:val="BodyText"/>
        <w:spacing w:line="276" w:lineRule="auto" w:before="240"/>
        <w:ind w:left="616" w:right="132"/>
        <w:jc w:val="both"/>
      </w:pPr>
      <w:r>
        <w:rPr/>
        <w:t>In a recently published study (see section ‘Studies on Resveratrol’), scientists reported that resveratrol was a promising potential treatment for arthritis. In animal studies, resveratrol protected the cartilage of animals suffering from arthritis from inflammatory reactions.</w:t>
      </w:r>
    </w:p>
    <w:p>
      <w:pPr>
        <w:pStyle w:val="Heading1"/>
        <w:spacing w:before="222"/>
        <w:ind w:left="616"/>
        <w:jc w:val="both"/>
      </w:pPr>
      <w:r>
        <w:rPr/>
        <w:t>Resveratrol and its effect on diabetes</w:t>
      </w:r>
      <w:r>
        <w:rPr>
          <w:spacing w:val="-69"/>
        </w:rPr>
        <w:t> </w:t>
      </w:r>
      <w:r>
        <w:rPr/>
        <w:t>mellitus</w:t>
      </w:r>
    </w:p>
    <w:p>
      <w:pPr>
        <w:spacing w:after="0"/>
        <w:jc w:val="both"/>
        <w:sectPr>
          <w:footerReference w:type="default" r:id="rId323"/>
          <w:pgSz w:w="14270" w:h="16850"/>
          <w:pgMar w:footer="1891" w:header="0" w:top="1320" w:bottom="2080" w:left="800" w:right="1280"/>
          <w:pgNumType w:start="1350"/>
        </w:sectPr>
      </w:pPr>
    </w:p>
    <w:p>
      <w:pPr>
        <w:pStyle w:val="BodyText"/>
        <w:spacing w:line="278" w:lineRule="auto" w:before="72"/>
        <w:ind w:left="616" w:right="133"/>
        <w:jc w:val="both"/>
      </w:pPr>
      <w:r>
        <w:rPr/>
        <w:t>Resveratrol</w:t>
      </w:r>
      <w:r>
        <w:rPr>
          <w:spacing w:val="-22"/>
        </w:rPr>
        <w:t> </w:t>
      </w:r>
      <w:r>
        <w:rPr/>
        <w:t>improves</w:t>
      </w:r>
      <w:r>
        <w:rPr>
          <w:spacing w:val="-20"/>
        </w:rPr>
        <w:t> </w:t>
      </w:r>
      <w:r>
        <w:rPr/>
        <w:t>insulin</w:t>
      </w:r>
      <w:r>
        <w:rPr>
          <w:spacing w:val="-21"/>
        </w:rPr>
        <w:t> </w:t>
      </w:r>
      <w:r>
        <w:rPr/>
        <w:t>sensitivity</w:t>
      </w:r>
      <w:r>
        <w:rPr>
          <w:spacing w:val="-23"/>
        </w:rPr>
        <w:t> </w:t>
      </w:r>
      <w:r>
        <w:rPr/>
        <w:t>and</w:t>
      </w:r>
      <w:r>
        <w:rPr>
          <w:spacing w:val="-21"/>
        </w:rPr>
        <w:t> </w:t>
      </w:r>
      <w:r>
        <w:rPr/>
        <w:t>can</w:t>
      </w:r>
      <w:r>
        <w:rPr>
          <w:spacing w:val="-20"/>
        </w:rPr>
        <w:t> </w:t>
      </w:r>
      <w:r>
        <w:rPr/>
        <w:t>thus</w:t>
      </w:r>
      <w:r>
        <w:rPr>
          <w:spacing w:val="-22"/>
        </w:rPr>
        <w:t> </w:t>
      </w:r>
      <w:r>
        <w:rPr/>
        <w:t>prevent</w:t>
      </w:r>
      <w:r>
        <w:rPr>
          <w:spacing w:val="-22"/>
        </w:rPr>
        <w:t> </w:t>
      </w:r>
      <w:r>
        <w:rPr/>
        <w:t>diabetes</w:t>
      </w:r>
      <w:r>
        <w:rPr>
          <w:spacing w:val="-19"/>
        </w:rPr>
        <w:t> </w:t>
      </w:r>
      <w:r>
        <w:rPr/>
        <w:t>and</w:t>
      </w:r>
      <w:r>
        <w:rPr>
          <w:spacing w:val="-22"/>
        </w:rPr>
        <w:t> </w:t>
      </w:r>
      <w:r>
        <w:rPr/>
        <w:t>have a positive influence on</w:t>
      </w:r>
      <w:r>
        <w:rPr>
          <w:spacing w:val="-2"/>
        </w:rPr>
        <w:t> </w:t>
      </w:r>
      <w:r>
        <w:rPr/>
        <w:t>it.</w:t>
      </w:r>
    </w:p>
    <w:p>
      <w:pPr>
        <w:pStyle w:val="Heading1"/>
        <w:spacing w:before="215"/>
        <w:ind w:left="616"/>
      </w:pPr>
      <w:r>
        <w:rPr/>
        <w:t>Resveratrol regulates fat metabolism and helps with weight loss</w:t>
      </w:r>
    </w:p>
    <w:p>
      <w:pPr>
        <w:pStyle w:val="BodyText"/>
        <w:spacing w:line="278" w:lineRule="auto" w:before="299"/>
        <w:ind w:left="616" w:right="143"/>
        <w:jc w:val="both"/>
      </w:pPr>
      <w:r>
        <w:rPr/>
        <w:t>In animal studies, the simultaneous administration of resveratrol was able to significantly reduce weight gain despite a fat-rich diet.</w:t>
      </w:r>
    </w:p>
    <w:p>
      <w:pPr>
        <w:pStyle w:val="Heading2"/>
        <w:spacing w:before="232"/>
        <w:ind w:left="616"/>
      </w:pPr>
      <w:r>
        <w:rPr/>
        <w:t>Resveratrol and cancer</w:t>
      </w:r>
    </w:p>
    <w:p>
      <w:pPr>
        <w:pStyle w:val="BodyText"/>
        <w:spacing w:line="276" w:lineRule="auto" w:before="305"/>
        <w:ind w:left="616" w:right="138"/>
        <w:jc w:val="both"/>
      </w:pPr>
      <w:r>
        <w:rPr/>
        <w:t>Prof.</w:t>
      </w:r>
      <w:r>
        <w:rPr>
          <w:spacing w:val="-12"/>
        </w:rPr>
        <w:t> </w:t>
      </w:r>
      <w:r>
        <w:rPr/>
        <w:t>John</w:t>
      </w:r>
      <w:r>
        <w:rPr>
          <w:spacing w:val="-11"/>
        </w:rPr>
        <w:t> </w:t>
      </w:r>
      <w:r>
        <w:rPr/>
        <w:t>Pezzuto</w:t>
      </w:r>
      <w:r>
        <w:rPr>
          <w:spacing w:val="-10"/>
        </w:rPr>
        <w:t> </w:t>
      </w:r>
      <w:r>
        <w:rPr/>
        <w:t>and</w:t>
      </w:r>
      <w:r>
        <w:rPr>
          <w:spacing w:val="-9"/>
        </w:rPr>
        <w:t> </w:t>
      </w:r>
      <w:r>
        <w:rPr/>
        <w:t>his</w:t>
      </w:r>
      <w:r>
        <w:rPr>
          <w:spacing w:val="-12"/>
        </w:rPr>
        <w:t> </w:t>
      </w:r>
      <w:r>
        <w:rPr/>
        <w:t>team</w:t>
      </w:r>
      <w:r>
        <w:rPr>
          <w:spacing w:val="-13"/>
        </w:rPr>
        <w:t> </w:t>
      </w:r>
      <w:r>
        <w:rPr/>
        <w:t>have</w:t>
      </w:r>
      <w:r>
        <w:rPr>
          <w:spacing w:val="-9"/>
        </w:rPr>
        <w:t> </w:t>
      </w:r>
      <w:r>
        <w:rPr/>
        <w:t>investigated</w:t>
      </w:r>
      <w:r>
        <w:rPr>
          <w:spacing w:val="-11"/>
        </w:rPr>
        <w:t> </w:t>
      </w:r>
      <w:r>
        <w:rPr/>
        <w:t>2500</w:t>
      </w:r>
      <w:r>
        <w:rPr>
          <w:spacing w:val="-11"/>
        </w:rPr>
        <w:t> </w:t>
      </w:r>
      <w:r>
        <w:rPr/>
        <w:t>natural</w:t>
      </w:r>
      <w:r>
        <w:rPr>
          <w:spacing w:val="-10"/>
        </w:rPr>
        <w:t> </w:t>
      </w:r>
      <w:r>
        <w:rPr/>
        <w:t>substances</w:t>
      </w:r>
      <w:r>
        <w:rPr>
          <w:spacing w:val="-9"/>
        </w:rPr>
        <w:t> </w:t>
      </w:r>
      <w:r>
        <w:rPr/>
        <w:t>for their cancer-inhibiting effect in a unique research programme, the biggest in the world, and he clearly emphasises the effect of resveratrol against</w:t>
      </w:r>
      <w:r>
        <w:rPr>
          <w:spacing w:val="-19"/>
        </w:rPr>
        <w:t> </w:t>
      </w:r>
      <w:r>
        <w:rPr/>
        <w:t>cancer:</w:t>
      </w:r>
    </w:p>
    <w:p>
      <w:pPr>
        <w:spacing w:line="276" w:lineRule="auto" w:before="239"/>
        <w:ind w:left="616" w:right="132" w:firstLine="0"/>
        <w:jc w:val="both"/>
        <w:rPr>
          <w:sz w:val="38"/>
        </w:rPr>
      </w:pPr>
      <w:r>
        <w:rPr>
          <w:i/>
          <w:sz w:val="38"/>
        </w:rPr>
        <w:t>‘Of all the plant substances which we investigated for their chemopreventive* effectiveness, </w:t>
      </w:r>
      <w:r>
        <w:rPr>
          <w:i/>
          <w:sz w:val="38"/>
        </w:rPr>
        <w:t>resveratrol was the most promising of all.’ </w:t>
      </w:r>
      <w:r>
        <w:rPr>
          <w:sz w:val="38"/>
        </w:rPr>
        <w:t>(*preventative effect of substances</w:t>
      </w:r>
      <w:r>
        <w:rPr>
          <w:spacing w:val="-61"/>
          <w:sz w:val="38"/>
        </w:rPr>
        <w:t> </w:t>
      </w:r>
      <w:r>
        <w:rPr>
          <w:sz w:val="38"/>
        </w:rPr>
        <w:t>against cancer)</w:t>
      </w:r>
    </w:p>
    <w:p>
      <w:pPr>
        <w:pStyle w:val="BodyText"/>
        <w:spacing w:line="276" w:lineRule="auto" w:before="242"/>
        <w:ind w:left="616" w:right="132"/>
        <w:jc w:val="both"/>
      </w:pPr>
      <w:r>
        <w:rPr/>
        <w:t>At Thomas Jefferson University (Pennsylvania, USA), researchers recently re- moved the SIRT1 gene from mice, which has been proven to be activated by resveratrol.</w:t>
      </w:r>
      <w:r>
        <w:rPr>
          <w:spacing w:val="-23"/>
        </w:rPr>
        <w:t> </w:t>
      </w:r>
      <w:r>
        <w:rPr/>
        <w:t>This</w:t>
      </w:r>
      <w:r>
        <w:rPr>
          <w:spacing w:val="-28"/>
        </w:rPr>
        <w:t> </w:t>
      </w:r>
      <w:r>
        <w:rPr/>
        <w:t>led</w:t>
      </w:r>
      <w:r>
        <w:rPr>
          <w:spacing w:val="-24"/>
        </w:rPr>
        <w:t> </w:t>
      </w:r>
      <w:r>
        <w:rPr/>
        <w:t>to</w:t>
      </w:r>
      <w:r>
        <w:rPr>
          <w:spacing w:val="-23"/>
        </w:rPr>
        <w:t> </w:t>
      </w:r>
      <w:r>
        <w:rPr/>
        <w:t>a</w:t>
      </w:r>
      <w:r>
        <w:rPr>
          <w:spacing w:val="-27"/>
        </w:rPr>
        <w:t> </w:t>
      </w:r>
      <w:r>
        <w:rPr/>
        <w:t>minimised</w:t>
      </w:r>
      <w:r>
        <w:rPr>
          <w:spacing w:val="-23"/>
        </w:rPr>
        <w:t> </w:t>
      </w:r>
      <w:r>
        <w:rPr/>
        <w:t>apoptosis</w:t>
      </w:r>
      <w:r>
        <w:rPr>
          <w:spacing w:val="-25"/>
        </w:rPr>
        <w:t> </w:t>
      </w:r>
      <w:r>
        <w:rPr/>
        <w:t>of</w:t>
      </w:r>
      <w:r>
        <w:rPr>
          <w:spacing w:val="-26"/>
        </w:rPr>
        <w:t> </w:t>
      </w:r>
      <w:r>
        <w:rPr/>
        <w:t>sick</w:t>
      </w:r>
      <w:r>
        <w:rPr>
          <w:spacing w:val="-24"/>
        </w:rPr>
        <w:t> </w:t>
      </w:r>
      <w:r>
        <w:rPr/>
        <w:t>cells</w:t>
      </w:r>
      <w:r>
        <w:rPr>
          <w:spacing w:val="-23"/>
        </w:rPr>
        <w:t> </w:t>
      </w:r>
      <w:r>
        <w:rPr/>
        <w:t>and</w:t>
      </w:r>
      <w:r>
        <w:rPr>
          <w:spacing w:val="-25"/>
        </w:rPr>
        <w:t> </w:t>
      </w:r>
      <w:r>
        <w:rPr/>
        <w:t>the</w:t>
      </w:r>
      <w:r>
        <w:rPr>
          <w:spacing w:val="-25"/>
        </w:rPr>
        <w:t> </w:t>
      </w:r>
      <w:r>
        <w:rPr/>
        <w:t>simultaneous regeneration</w:t>
      </w:r>
      <w:r>
        <w:rPr>
          <w:spacing w:val="-14"/>
        </w:rPr>
        <w:t> </w:t>
      </w:r>
      <w:r>
        <w:rPr/>
        <w:t>of</w:t>
      </w:r>
      <w:r>
        <w:rPr>
          <w:spacing w:val="-16"/>
        </w:rPr>
        <w:t> </w:t>
      </w:r>
      <w:r>
        <w:rPr/>
        <w:t>cancer</w:t>
      </w:r>
      <w:r>
        <w:rPr>
          <w:spacing w:val="-12"/>
        </w:rPr>
        <w:t> </w:t>
      </w:r>
      <w:r>
        <w:rPr/>
        <w:t>cells</w:t>
      </w:r>
      <w:r>
        <w:rPr>
          <w:spacing w:val="-14"/>
        </w:rPr>
        <w:t> </w:t>
      </w:r>
      <w:r>
        <w:rPr/>
        <w:t>(prostate</w:t>
      </w:r>
      <w:r>
        <w:rPr>
          <w:spacing w:val="-14"/>
        </w:rPr>
        <w:t> </w:t>
      </w:r>
      <w:r>
        <w:rPr/>
        <w:t>cancer)</w:t>
      </w:r>
      <w:r>
        <w:rPr>
          <w:spacing w:val="-14"/>
        </w:rPr>
        <w:t> </w:t>
      </w:r>
      <w:r>
        <w:rPr/>
        <w:t>and</w:t>
      </w:r>
      <w:r>
        <w:rPr>
          <w:spacing w:val="-12"/>
        </w:rPr>
        <w:t> </w:t>
      </w:r>
      <w:r>
        <w:rPr/>
        <w:t>gives</w:t>
      </w:r>
      <w:r>
        <w:rPr>
          <w:spacing w:val="-12"/>
        </w:rPr>
        <w:t> </w:t>
      </w:r>
      <w:r>
        <w:rPr/>
        <w:t>significant</w:t>
      </w:r>
      <w:r>
        <w:rPr>
          <w:spacing w:val="-13"/>
        </w:rPr>
        <w:t> </w:t>
      </w:r>
      <w:r>
        <w:rPr/>
        <w:t>evidence</w:t>
      </w:r>
      <w:r>
        <w:rPr>
          <w:spacing w:val="-14"/>
        </w:rPr>
        <w:t> </w:t>
      </w:r>
      <w:r>
        <w:rPr/>
        <w:t>for the necessity of the SIRT1 gene in the prevention and treatment of cancer. Resveratrol</w:t>
      </w:r>
      <w:r>
        <w:rPr>
          <w:spacing w:val="-12"/>
        </w:rPr>
        <w:t> </w:t>
      </w:r>
      <w:r>
        <w:rPr/>
        <w:t>can</w:t>
      </w:r>
      <w:r>
        <w:rPr>
          <w:spacing w:val="-13"/>
        </w:rPr>
        <w:t> </w:t>
      </w:r>
      <w:r>
        <w:rPr/>
        <w:t>both</w:t>
      </w:r>
      <w:r>
        <w:rPr>
          <w:spacing w:val="-11"/>
        </w:rPr>
        <w:t> </w:t>
      </w:r>
      <w:r>
        <w:rPr/>
        <w:t>prevent</w:t>
      </w:r>
      <w:r>
        <w:rPr>
          <w:spacing w:val="-12"/>
        </w:rPr>
        <w:t> </w:t>
      </w:r>
      <w:r>
        <w:rPr/>
        <w:t>the</w:t>
      </w:r>
      <w:r>
        <w:rPr>
          <w:spacing w:val="-14"/>
        </w:rPr>
        <w:t> </w:t>
      </w:r>
      <w:r>
        <w:rPr/>
        <w:t>emergence</w:t>
      </w:r>
      <w:r>
        <w:rPr>
          <w:spacing w:val="-14"/>
        </w:rPr>
        <w:t> </w:t>
      </w:r>
      <w:r>
        <w:rPr/>
        <w:t>of</w:t>
      </w:r>
      <w:r>
        <w:rPr>
          <w:spacing w:val="-11"/>
        </w:rPr>
        <w:t> </w:t>
      </w:r>
      <w:r>
        <w:rPr/>
        <w:t>cancer</w:t>
      </w:r>
      <w:r>
        <w:rPr>
          <w:spacing w:val="-12"/>
        </w:rPr>
        <w:t> </w:t>
      </w:r>
      <w:r>
        <w:rPr/>
        <w:t>and</w:t>
      </w:r>
      <w:r>
        <w:rPr>
          <w:spacing w:val="-11"/>
        </w:rPr>
        <w:t> </w:t>
      </w:r>
      <w:r>
        <w:rPr/>
        <w:t>positively</w:t>
      </w:r>
      <w:r>
        <w:rPr>
          <w:spacing w:val="-12"/>
        </w:rPr>
        <w:t> </w:t>
      </w:r>
      <w:r>
        <w:rPr/>
        <w:t>influence the development of pre-existing cancer. According to a report from 1997 in the magazine ‘Science’, a reputable science magazine respected around the world, it was shown that resveratrol is a substance that has a positive effect</w:t>
      </w:r>
      <w:r>
        <w:rPr>
          <w:spacing w:val="6"/>
        </w:rPr>
        <w:t> </w:t>
      </w:r>
      <w:r>
        <w:rPr/>
        <w:t>in</w:t>
      </w:r>
    </w:p>
    <w:p>
      <w:pPr>
        <w:spacing w:after="0" w:line="276" w:lineRule="auto"/>
        <w:jc w:val="both"/>
        <w:sectPr>
          <w:pgSz w:w="14270" w:h="16850"/>
          <w:pgMar w:header="0" w:footer="1891" w:top="1340" w:bottom="2080" w:left="800" w:right="1280"/>
        </w:sectPr>
      </w:pPr>
    </w:p>
    <w:p>
      <w:pPr>
        <w:pStyle w:val="BodyText"/>
        <w:spacing w:before="74"/>
        <w:ind w:left="616"/>
      </w:pPr>
      <w:r>
        <w:rPr>
          <w:u w:val="single"/>
        </w:rPr>
        <w:t>all three stages</w:t>
      </w:r>
      <w:r>
        <w:rPr/>
        <w:t> of cancer development.</w:t>
      </w:r>
    </w:p>
    <w:p>
      <w:pPr>
        <w:pStyle w:val="Heading2"/>
        <w:spacing w:line="276" w:lineRule="auto" w:before="305"/>
        <w:ind w:left="616"/>
      </w:pPr>
      <w:r>
        <w:rPr/>
        <w:t>The mode of action of resveratrol on cancer takes places via multiple paths (multifactorial):</w:t>
      </w:r>
    </w:p>
    <w:p>
      <w:pPr>
        <w:pStyle w:val="ListParagraph"/>
        <w:numPr>
          <w:ilvl w:val="0"/>
          <w:numId w:val="101"/>
        </w:numPr>
        <w:tabs>
          <w:tab w:pos="1320" w:val="left" w:leader="none"/>
        </w:tabs>
        <w:spacing w:line="273" w:lineRule="auto" w:before="199" w:after="0"/>
        <w:ind w:left="1319" w:right="136" w:hanging="360"/>
        <w:jc w:val="both"/>
        <w:rPr>
          <w:sz w:val="38"/>
        </w:rPr>
      </w:pPr>
      <w:r>
        <w:rPr>
          <w:sz w:val="38"/>
        </w:rPr>
        <w:t>Resveratrol acts on NF-kB. In this way, resveratrol is a potent apoptosis inductor, the function of which is to force cancer cells into programmed cell</w:t>
      </w:r>
      <w:r>
        <w:rPr>
          <w:spacing w:val="-1"/>
          <w:sz w:val="38"/>
        </w:rPr>
        <w:t> </w:t>
      </w:r>
      <w:r>
        <w:rPr>
          <w:sz w:val="38"/>
        </w:rPr>
        <w:t>death.</w:t>
      </w:r>
    </w:p>
    <w:p>
      <w:pPr>
        <w:pStyle w:val="ListParagraph"/>
        <w:numPr>
          <w:ilvl w:val="0"/>
          <w:numId w:val="101"/>
        </w:numPr>
        <w:tabs>
          <w:tab w:pos="1320" w:val="left" w:leader="none"/>
        </w:tabs>
        <w:spacing w:line="273" w:lineRule="auto" w:before="132" w:after="0"/>
        <w:ind w:left="1319" w:right="139" w:hanging="360"/>
        <w:jc w:val="both"/>
        <w:rPr>
          <w:sz w:val="38"/>
        </w:rPr>
      </w:pPr>
      <w:r>
        <w:rPr>
          <w:sz w:val="38"/>
        </w:rPr>
        <w:t>Resveratrol</w:t>
      </w:r>
      <w:r>
        <w:rPr>
          <w:spacing w:val="-19"/>
          <w:sz w:val="38"/>
        </w:rPr>
        <w:t> </w:t>
      </w:r>
      <w:r>
        <w:rPr>
          <w:sz w:val="38"/>
        </w:rPr>
        <w:t>has</w:t>
      </w:r>
      <w:r>
        <w:rPr>
          <w:spacing w:val="-18"/>
          <w:sz w:val="38"/>
        </w:rPr>
        <w:t> </w:t>
      </w:r>
      <w:r>
        <w:rPr>
          <w:sz w:val="38"/>
        </w:rPr>
        <w:t>similar</w:t>
      </w:r>
      <w:r>
        <w:rPr>
          <w:spacing w:val="-19"/>
          <w:sz w:val="38"/>
        </w:rPr>
        <w:t> </w:t>
      </w:r>
      <w:r>
        <w:rPr>
          <w:sz w:val="38"/>
        </w:rPr>
        <w:t>mechanisms</w:t>
      </w:r>
      <w:r>
        <w:rPr>
          <w:spacing w:val="-18"/>
          <w:sz w:val="38"/>
        </w:rPr>
        <w:t> </w:t>
      </w:r>
      <w:r>
        <w:rPr>
          <w:sz w:val="38"/>
        </w:rPr>
        <w:t>to</w:t>
      </w:r>
      <w:r>
        <w:rPr>
          <w:spacing w:val="-18"/>
          <w:sz w:val="38"/>
        </w:rPr>
        <w:t> </w:t>
      </w:r>
      <w:r>
        <w:rPr>
          <w:sz w:val="38"/>
        </w:rPr>
        <w:t>phytoestrogen</w:t>
      </w:r>
      <w:r>
        <w:rPr>
          <w:spacing w:val="-18"/>
          <w:sz w:val="38"/>
        </w:rPr>
        <w:t> </w:t>
      </w:r>
      <w:r>
        <w:rPr>
          <w:sz w:val="38"/>
        </w:rPr>
        <w:t>and,</w:t>
      </w:r>
      <w:r>
        <w:rPr>
          <w:spacing w:val="-18"/>
          <w:sz w:val="38"/>
        </w:rPr>
        <w:t> </w:t>
      </w:r>
      <w:r>
        <w:rPr>
          <w:sz w:val="38"/>
        </w:rPr>
        <w:t>in</w:t>
      </w:r>
      <w:r>
        <w:rPr>
          <w:spacing w:val="-19"/>
          <w:sz w:val="38"/>
        </w:rPr>
        <w:t> </w:t>
      </w:r>
      <w:r>
        <w:rPr>
          <w:sz w:val="38"/>
        </w:rPr>
        <w:t>this</w:t>
      </w:r>
      <w:r>
        <w:rPr>
          <w:spacing w:val="-21"/>
          <w:sz w:val="38"/>
        </w:rPr>
        <w:t> </w:t>
      </w:r>
      <w:r>
        <w:rPr>
          <w:sz w:val="38"/>
        </w:rPr>
        <w:t>way,</w:t>
      </w:r>
      <w:r>
        <w:rPr>
          <w:spacing w:val="-18"/>
          <w:sz w:val="38"/>
        </w:rPr>
        <w:t> </w:t>
      </w:r>
      <w:r>
        <w:rPr>
          <w:sz w:val="38"/>
        </w:rPr>
        <w:t>can inhibit cancer</w:t>
      </w:r>
      <w:r>
        <w:rPr>
          <w:spacing w:val="-1"/>
          <w:sz w:val="38"/>
        </w:rPr>
        <w:t> </w:t>
      </w:r>
      <w:r>
        <w:rPr>
          <w:sz w:val="38"/>
        </w:rPr>
        <w:t>development.</w:t>
      </w:r>
    </w:p>
    <w:p>
      <w:pPr>
        <w:pStyle w:val="ListParagraph"/>
        <w:numPr>
          <w:ilvl w:val="0"/>
          <w:numId w:val="101"/>
        </w:numPr>
        <w:tabs>
          <w:tab w:pos="1320" w:val="left" w:leader="none"/>
        </w:tabs>
        <w:spacing w:line="276" w:lineRule="auto" w:before="127" w:after="0"/>
        <w:ind w:left="1319" w:right="133" w:hanging="360"/>
        <w:jc w:val="both"/>
        <w:rPr>
          <w:sz w:val="38"/>
        </w:rPr>
      </w:pPr>
      <w:r>
        <w:rPr>
          <w:sz w:val="38"/>
        </w:rPr>
        <w:t>Resveratrol influences cyclooxygenase and thus inhibits the effect of the prostate</w:t>
      </w:r>
      <w:r>
        <w:rPr>
          <w:spacing w:val="-12"/>
          <w:sz w:val="38"/>
        </w:rPr>
        <w:t> </w:t>
      </w:r>
      <w:r>
        <w:rPr>
          <w:sz w:val="38"/>
        </w:rPr>
        <w:t>glands,</w:t>
      </w:r>
      <w:r>
        <w:rPr>
          <w:spacing w:val="-13"/>
          <w:sz w:val="38"/>
        </w:rPr>
        <w:t> </w:t>
      </w:r>
      <w:r>
        <w:rPr>
          <w:sz w:val="38"/>
        </w:rPr>
        <w:t>which</w:t>
      </w:r>
      <w:r>
        <w:rPr>
          <w:spacing w:val="-10"/>
          <w:sz w:val="38"/>
        </w:rPr>
        <w:t> </w:t>
      </w:r>
      <w:r>
        <w:rPr>
          <w:sz w:val="38"/>
        </w:rPr>
        <w:t>are</w:t>
      </w:r>
      <w:r>
        <w:rPr>
          <w:spacing w:val="-12"/>
          <w:sz w:val="38"/>
        </w:rPr>
        <w:t> </w:t>
      </w:r>
      <w:r>
        <w:rPr>
          <w:sz w:val="38"/>
        </w:rPr>
        <w:t>responsible</w:t>
      </w:r>
      <w:r>
        <w:rPr>
          <w:spacing w:val="-10"/>
          <w:sz w:val="38"/>
        </w:rPr>
        <w:t> </w:t>
      </w:r>
      <w:r>
        <w:rPr>
          <w:sz w:val="38"/>
        </w:rPr>
        <w:t>for</w:t>
      </w:r>
      <w:r>
        <w:rPr>
          <w:spacing w:val="-11"/>
          <w:sz w:val="38"/>
        </w:rPr>
        <w:t> </w:t>
      </w:r>
      <w:r>
        <w:rPr>
          <w:sz w:val="38"/>
        </w:rPr>
        <w:t>inflammatory</w:t>
      </w:r>
      <w:r>
        <w:rPr>
          <w:spacing w:val="-10"/>
          <w:sz w:val="38"/>
        </w:rPr>
        <w:t> </w:t>
      </w:r>
      <w:r>
        <w:rPr>
          <w:sz w:val="38"/>
        </w:rPr>
        <w:t>processes</w:t>
      </w:r>
      <w:r>
        <w:rPr>
          <w:spacing w:val="-10"/>
          <w:sz w:val="38"/>
        </w:rPr>
        <w:t> </w:t>
      </w:r>
      <w:r>
        <w:rPr>
          <w:sz w:val="38"/>
        </w:rPr>
        <w:t>among other</w:t>
      </w:r>
      <w:r>
        <w:rPr>
          <w:spacing w:val="-10"/>
          <w:sz w:val="38"/>
        </w:rPr>
        <w:t> </w:t>
      </w:r>
      <w:r>
        <w:rPr>
          <w:sz w:val="38"/>
        </w:rPr>
        <w:t>things,</w:t>
      </w:r>
      <w:r>
        <w:rPr>
          <w:spacing w:val="-11"/>
          <w:sz w:val="38"/>
        </w:rPr>
        <w:t> </w:t>
      </w:r>
      <w:r>
        <w:rPr>
          <w:sz w:val="38"/>
        </w:rPr>
        <w:t>which</w:t>
      </w:r>
      <w:r>
        <w:rPr>
          <w:spacing w:val="-10"/>
          <w:sz w:val="38"/>
        </w:rPr>
        <w:t> </w:t>
      </w:r>
      <w:r>
        <w:rPr>
          <w:sz w:val="38"/>
        </w:rPr>
        <w:t>in</w:t>
      </w:r>
      <w:r>
        <w:rPr>
          <w:spacing w:val="-13"/>
          <w:sz w:val="38"/>
        </w:rPr>
        <w:t> </w:t>
      </w:r>
      <w:r>
        <w:rPr>
          <w:sz w:val="38"/>
        </w:rPr>
        <w:t>turn</w:t>
      </w:r>
      <w:r>
        <w:rPr>
          <w:spacing w:val="-9"/>
          <w:sz w:val="38"/>
        </w:rPr>
        <w:t> </w:t>
      </w:r>
      <w:r>
        <w:rPr>
          <w:sz w:val="38"/>
        </w:rPr>
        <w:t>encourage</w:t>
      </w:r>
      <w:r>
        <w:rPr>
          <w:spacing w:val="-9"/>
          <w:sz w:val="38"/>
        </w:rPr>
        <w:t> </w:t>
      </w:r>
      <w:r>
        <w:rPr>
          <w:sz w:val="38"/>
        </w:rPr>
        <w:t>the</w:t>
      </w:r>
      <w:r>
        <w:rPr>
          <w:spacing w:val="-9"/>
          <w:sz w:val="38"/>
        </w:rPr>
        <w:t> </w:t>
      </w:r>
      <w:r>
        <w:rPr>
          <w:sz w:val="38"/>
        </w:rPr>
        <w:t>emergence</w:t>
      </w:r>
      <w:r>
        <w:rPr>
          <w:spacing w:val="-10"/>
          <w:sz w:val="38"/>
        </w:rPr>
        <w:t> </w:t>
      </w:r>
      <w:r>
        <w:rPr>
          <w:sz w:val="38"/>
        </w:rPr>
        <w:t>and</w:t>
      </w:r>
      <w:r>
        <w:rPr>
          <w:spacing w:val="-13"/>
          <w:sz w:val="38"/>
        </w:rPr>
        <w:t> </w:t>
      </w:r>
      <w:r>
        <w:rPr>
          <w:sz w:val="38"/>
        </w:rPr>
        <w:t>development</w:t>
      </w:r>
      <w:r>
        <w:rPr>
          <w:spacing w:val="-11"/>
          <w:sz w:val="38"/>
        </w:rPr>
        <w:t> </w:t>
      </w:r>
      <w:r>
        <w:rPr>
          <w:sz w:val="38"/>
        </w:rPr>
        <w:t>of cancer.</w:t>
      </w:r>
    </w:p>
    <w:p>
      <w:pPr>
        <w:pStyle w:val="ListParagraph"/>
        <w:numPr>
          <w:ilvl w:val="0"/>
          <w:numId w:val="101"/>
        </w:numPr>
        <w:tabs>
          <w:tab w:pos="1319" w:val="left" w:leader="none"/>
          <w:tab w:pos="1320" w:val="left" w:leader="none"/>
        </w:tabs>
        <w:spacing w:line="240" w:lineRule="auto" w:before="119" w:after="0"/>
        <w:ind w:left="1319" w:right="0" w:hanging="360"/>
        <w:jc w:val="left"/>
        <w:rPr>
          <w:sz w:val="38"/>
        </w:rPr>
      </w:pPr>
      <w:r>
        <w:rPr>
          <w:sz w:val="38"/>
        </w:rPr>
        <w:t>Resveratrol lowers nitric oxide</w:t>
      </w:r>
      <w:r>
        <w:rPr>
          <w:spacing w:val="-1"/>
          <w:sz w:val="38"/>
        </w:rPr>
        <w:t> </w:t>
      </w:r>
      <w:r>
        <w:rPr>
          <w:sz w:val="38"/>
        </w:rPr>
        <w:t>synthase.</w:t>
      </w:r>
    </w:p>
    <w:p>
      <w:pPr>
        <w:pStyle w:val="ListParagraph"/>
        <w:numPr>
          <w:ilvl w:val="0"/>
          <w:numId w:val="101"/>
        </w:numPr>
        <w:tabs>
          <w:tab w:pos="1320" w:val="left" w:leader="none"/>
        </w:tabs>
        <w:spacing w:line="273" w:lineRule="auto" w:before="184" w:after="0"/>
        <w:ind w:left="1319" w:right="138" w:hanging="360"/>
        <w:jc w:val="both"/>
        <w:rPr>
          <w:sz w:val="38"/>
        </w:rPr>
      </w:pPr>
      <w:r>
        <w:rPr>
          <w:sz w:val="38"/>
        </w:rPr>
        <w:t>Resveratrol</w:t>
      </w:r>
      <w:r>
        <w:rPr>
          <w:spacing w:val="-25"/>
          <w:sz w:val="38"/>
        </w:rPr>
        <w:t> </w:t>
      </w:r>
      <w:r>
        <w:rPr>
          <w:sz w:val="38"/>
        </w:rPr>
        <w:t>has</w:t>
      </w:r>
      <w:r>
        <w:rPr>
          <w:spacing w:val="-26"/>
          <w:sz w:val="38"/>
        </w:rPr>
        <w:t> </w:t>
      </w:r>
      <w:r>
        <w:rPr>
          <w:sz w:val="38"/>
        </w:rPr>
        <w:t>a</w:t>
      </w:r>
      <w:r>
        <w:rPr>
          <w:spacing w:val="-26"/>
          <w:sz w:val="38"/>
        </w:rPr>
        <w:t> </w:t>
      </w:r>
      <w:r>
        <w:rPr>
          <w:sz w:val="38"/>
        </w:rPr>
        <w:t>sensitising</w:t>
      </w:r>
      <w:r>
        <w:rPr>
          <w:spacing w:val="-24"/>
          <w:sz w:val="38"/>
        </w:rPr>
        <w:t> </w:t>
      </w:r>
      <w:r>
        <w:rPr>
          <w:sz w:val="38"/>
        </w:rPr>
        <w:t>effect</w:t>
      </w:r>
      <w:r>
        <w:rPr>
          <w:spacing w:val="-24"/>
          <w:sz w:val="38"/>
        </w:rPr>
        <w:t> </w:t>
      </w:r>
      <w:r>
        <w:rPr>
          <w:sz w:val="38"/>
        </w:rPr>
        <w:t>on</w:t>
      </w:r>
      <w:r>
        <w:rPr>
          <w:spacing w:val="-24"/>
          <w:sz w:val="38"/>
        </w:rPr>
        <w:t> </w:t>
      </w:r>
      <w:r>
        <w:rPr>
          <w:sz w:val="38"/>
        </w:rPr>
        <w:t>chemotherapy</w:t>
      </w:r>
      <w:r>
        <w:rPr>
          <w:spacing w:val="-24"/>
          <w:sz w:val="38"/>
        </w:rPr>
        <w:t> </w:t>
      </w:r>
      <w:r>
        <w:rPr>
          <w:sz w:val="38"/>
        </w:rPr>
        <w:t>and</w:t>
      </w:r>
      <w:r>
        <w:rPr>
          <w:spacing w:val="-25"/>
          <w:sz w:val="38"/>
        </w:rPr>
        <w:t> </w:t>
      </w:r>
      <w:r>
        <w:rPr>
          <w:sz w:val="38"/>
        </w:rPr>
        <w:t>radiation</w:t>
      </w:r>
      <w:r>
        <w:rPr>
          <w:spacing w:val="-24"/>
          <w:sz w:val="38"/>
        </w:rPr>
        <w:t> </w:t>
      </w:r>
      <w:r>
        <w:rPr>
          <w:sz w:val="38"/>
        </w:rPr>
        <w:t>therapy and enhances their</w:t>
      </w:r>
      <w:r>
        <w:rPr>
          <w:spacing w:val="2"/>
          <w:sz w:val="38"/>
        </w:rPr>
        <w:t> </w:t>
      </w:r>
      <w:r>
        <w:rPr>
          <w:sz w:val="38"/>
        </w:rPr>
        <w:t>effect.</w:t>
      </w:r>
    </w:p>
    <w:p>
      <w:pPr>
        <w:pStyle w:val="ListParagraph"/>
        <w:numPr>
          <w:ilvl w:val="0"/>
          <w:numId w:val="101"/>
        </w:numPr>
        <w:tabs>
          <w:tab w:pos="1320" w:val="left" w:leader="none"/>
        </w:tabs>
        <w:spacing w:line="273" w:lineRule="auto" w:before="128" w:after="0"/>
        <w:ind w:left="1319" w:right="143" w:hanging="360"/>
        <w:jc w:val="both"/>
        <w:rPr>
          <w:sz w:val="38"/>
        </w:rPr>
      </w:pPr>
      <w:r>
        <w:rPr>
          <w:sz w:val="38"/>
        </w:rPr>
        <w:t>Due to its antioxidative effects (protecting against free radicals), resvera- trol has a carcinoprotective (cancer-defending)</w:t>
      </w:r>
      <w:r>
        <w:rPr>
          <w:spacing w:val="-3"/>
          <w:sz w:val="38"/>
        </w:rPr>
        <w:t> </w:t>
      </w:r>
      <w:r>
        <w:rPr>
          <w:sz w:val="38"/>
        </w:rPr>
        <w:t>effect.</w:t>
      </w:r>
    </w:p>
    <w:p>
      <w:pPr>
        <w:pStyle w:val="ListParagraph"/>
        <w:numPr>
          <w:ilvl w:val="0"/>
          <w:numId w:val="101"/>
        </w:numPr>
        <w:tabs>
          <w:tab w:pos="1319" w:val="left" w:leader="none"/>
          <w:tab w:pos="1320" w:val="left" w:leader="none"/>
        </w:tabs>
        <w:spacing w:line="240" w:lineRule="auto" w:before="127" w:after="0"/>
        <w:ind w:left="1319" w:right="0" w:hanging="360"/>
        <w:jc w:val="left"/>
        <w:rPr>
          <w:sz w:val="38"/>
        </w:rPr>
      </w:pPr>
      <w:r>
        <w:rPr>
          <w:sz w:val="38"/>
        </w:rPr>
        <w:t>The same is true of its anti-inflammatory</w:t>
      </w:r>
      <w:r>
        <w:rPr>
          <w:spacing w:val="-1"/>
          <w:sz w:val="38"/>
        </w:rPr>
        <w:t> </w:t>
      </w:r>
      <w:r>
        <w:rPr>
          <w:sz w:val="38"/>
        </w:rPr>
        <w:t>effects.</w:t>
      </w:r>
    </w:p>
    <w:p>
      <w:pPr>
        <w:pStyle w:val="Heading1"/>
        <w:spacing w:before="285"/>
        <w:ind w:left="616"/>
      </w:pPr>
      <w:r>
        <w:rPr/>
        <w:t>In</w:t>
      </w:r>
      <w:r>
        <w:rPr>
          <w:spacing w:val="-53"/>
        </w:rPr>
        <w:t> </w:t>
      </w:r>
      <w:r>
        <w:rPr/>
        <w:t>which</w:t>
      </w:r>
      <w:r>
        <w:rPr>
          <w:spacing w:val="-54"/>
        </w:rPr>
        <w:t> </w:t>
      </w:r>
      <w:r>
        <w:rPr/>
        <w:t>types</w:t>
      </w:r>
      <w:r>
        <w:rPr>
          <w:spacing w:val="-54"/>
        </w:rPr>
        <w:t> </w:t>
      </w:r>
      <w:r>
        <w:rPr/>
        <w:t>of</w:t>
      </w:r>
      <w:r>
        <w:rPr>
          <w:spacing w:val="-53"/>
        </w:rPr>
        <w:t> </w:t>
      </w:r>
      <w:r>
        <w:rPr/>
        <w:t>cancer</w:t>
      </w:r>
      <w:r>
        <w:rPr>
          <w:spacing w:val="-54"/>
        </w:rPr>
        <w:t> </w:t>
      </w:r>
      <w:r>
        <w:rPr/>
        <w:t>has</w:t>
      </w:r>
      <w:r>
        <w:rPr>
          <w:spacing w:val="-53"/>
        </w:rPr>
        <w:t> </w:t>
      </w:r>
      <w:r>
        <w:rPr/>
        <w:t>resveratrol</w:t>
      </w:r>
      <w:r>
        <w:rPr>
          <w:spacing w:val="-53"/>
        </w:rPr>
        <w:t> </w:t>
      </w:r>
      <w:r>
        <w:rPr/>
        <w:t>especially</w:t>
      </w:r>
      <w:r>
        <w:rPr>
          <w:spacing w:val="-54"/>
        </w:rPr>
        <w:t> </w:t>
      </w:r>
      <w:r>
        <w:rPr/>
        <w:t>distinguished</w:t>
      </w:r>
      <w:r>
        <w:rPr>
          <w:spacing w:val="-53"/>
        </w:rPr>
        <w:t> </w:t>
      </w:r>
      <w:r>
        <w:rPr/>
        <w:t>itself?</w:t>
      </w:r>
    </w:p>
    <w:p>
      <w:pPr>
        <w:pStyle w:val="BodyText"/>
        <w:spacing w:before="299"/>
        <w:ind w:left="616"/>
      </w:pPr>
      <w:r>
        <w:rPr/>
        <w:t>We can safely assume that the above-described properties of resveratrol coun-</w:t>
      </w:r>
    </w:p>
    <w:p>
      <w:pPr>
        <w:spacing w:after="0"/>
        <w:sectPr>
          <w:pgSz w:w="14270" w:h="16850"/>
          <w:pgMar w:header="0" w:footer="1891" w:top="1340" w:bottom="2080" w:left="800" w:right="1280"/>
        </w:sectPr>
      </w:pPr>
    </w:p>
    <w:p>
      <w:pPr>
        <w:pStyle w:val="BodyText"/>
        <w:spacing w:line="276" w:lineRule="auto" w:before="72"/>
        <w:ind w:left="616" w:right="135"/>
        <w:jc w:val="both"/>
      </w:pPr>
      <w:r>
        <w:rPr/>
        <w:t>teract cancer in general. Studies relating to this and on the basis of observa- tions, however, resveratrol has proven itself to be especially effective on the following types of cancer:</w:t>
      </w:r>
    </w:p>
    <w:p>
      <w:pPr>
        <w:pStyle w:val="ListParagraph"/>
        <w:numPr>
          <w:ilvl w:val="0"/>
          <w:numId w:val="91"/>
        </w:numPr>
        <w:tabs>
          <w:tab w:pos="1032" w:val="left" w:leader="none"/>
        </w:tabs>
        <w:spacing w:line="240" w:lineRule="auto" w:before="122" w:after="0"/>
        <w:ind w:left="1043" w:right="0" w:hanging="427"/>
        <w:jc w:val="both"/>
        <w:rPr>
          <w:sz w:val="38"/>
        </w:rPr>
      </w:pPr>
      <w:r>
        <w:rPr>
          <w:sz w:val="38"/>
        </w:rPr>
        <w:t>Breast</w:t>
      </w:r>
      <w:r>
        <w:rPr>
          <w:spacing w:val="-1"/>
          <w:sz w:val="38"/>
        </w:rPr>
        <w:t> </w:t>
      </w:r>
      <w:r>
        <w:rPr>
          <w:sz w:val="38"/>
        </w:rPr>
        <w:t>cancer</w:t>
      </w:r>
    </w:p>
    <w:p>
      <w:pPr>
        <w:pStyle w:val="ListParagraph"/>
        <w:numPr>
          <w:ilvl w:val="0"/>
          <w:numId w:val="91"/>
        </w:numPr>
        <w:tabs>
          <w:tab w:pos="1032" w:val="left" w:leader="none"/>
        </w:tabs>
        <w:spacing w:line="240" w:lineRule="auto" w:before="184" w:after="0"/>
        <w:ind w:left="1043" w:right="0" w:hanging="427"/>
        <w:jc w:val="both"/>
        <w:rPr>
          <w:sz w:val="38"/>
        </w:rPr>
      </w:pPr>
      <w:r>
        <w:rPr>
          <w:sz w:val="38"/>
        </w:rPr>
        <w:t>Skin</w:t>
      </w:r>
      <w:r>
        <w:rPr>
          <w:spacing w:val="-2"/>
          <w:sz w:val="38"/>
        </w:rPr>
        <w:t> </w:t>
      </w:r>
      <w:r>
        <w:rPr>
          <w:sz w:val="38"/>
        </w:rPr>
        <w:t>cancer</w:t>
      </w:r>
    </w:p>
    <w:p>
      <w:pPr>
        <w:pStyle w:val="ListParagraph"/>
        <w:numPr>
          <w:ilvl w:val="0"/>
          <w:numId w:val="91"/>
        </w:numPr>
        <w:tabs>
          <w:tab w:pos="1032" w:val="left" w:leader="none"/>
        </w:tabs>
        <w:spacing w:line="240" w:lineRule="auto" w:before="184" w:after="0"/>
        <w:ind w:left="1043" w:right="0" w:hanging="427"/>
        <w:jc w:val="both"/>
        <w:rPr>
          <w:sz w:val="38"/>
        </w:rPr>
      </w:pPr>
      <w:r>
        <w:rPr>
          <w:sz w:val="38"/>
        </w:rPr>
        <w:t>Lung cancer</w:t>
      </w:r>
    </w:p>
    <w:p>
      <w:pPr>
        <w:pStyle w:val="ListParagraph"/>
        <w:numPr>
          <w:ilvl w:val="0"/>
          <w:numId w:val="91"/>
        </w:numPr>
        <w:tabs>
          <w:tab w:pos="1032" w:val="left" w:leader="none"/>
        </w:tabs>
        <w:spacing w:line="240" w:lineRule="auto" w:before="186" w:after="0"/>
        <w:ind w:left="1043" w:right="0" w:hanging="427"/>
        <w:jc w:val="both"/>
        <w:rPr>
          <w:sz w:val="38"/>
        </w:rPr>
      </w:pPr>
      <w:r>
        <w:rPr>
          <w:sz w:val="38"/>
        </w:rPr>
        <w:t>Prostate</w:t>
      </w:r>
      <w:r>
        <w:rPr>
          <w:spacing w:val="-1"/>
          <w:sz w:val="38"/>
        </w:rPr>
        <w:t> </w:t>
      </w:r>
      <w:r>
        <w:rPr>
          <w:sz w:val="38"/>
        </w:rPr>
        <w:t>cancer</w:t>
      </w:r>
    </w:p>
    <w:p>
      <w:pPr>
        <w:pStyle w:val="ListParagraph"/>
        <w:numPr>
          <w:ilvl w:val="0"/>
          <w:numId w:val="91"/>
        </w:numPr>
        <w:tabs>
          <w:tab w:pos="1032" w:val="left" w:leader="none"/>
        </w:tabs>
        <w:spacing w:line="240" w:lineRule="auto" w:before="184" w:after="0"/>
        <w:ind w:left="1043" w:right="0" w:hanging="427"/>
        <w:jc w:val="both"/>
        <w:rPr>
          <w:sz w:val="38"/>
        </w:rPr>
      </w:pPr>
      <w:r>
        <w:rPr>
          <w:sz w:val="38"/>
        </w:rPr>
        <w:t>Leukaemia</w:t>
      </w:r>
    </w:p>
    <w:p>
      <w:pPr>
        <w:pStyle w:val="ListParagraph"/>
        <w:numPr>
          <w:ilvl w:val="0"/>
          <w:numId w:val="91"/>
        </w:numPr>
        <w:tabs>
          <w:tab w:pos="1032" w:val="left" w:leader="none"/>
        </w:tabs>
        <w:spacing w:line="240" w:lineRule="auto" w:before="184" w:after="0"/>
        <w:ind w:left="1043" w:right="0" w:hanging="427"/>
        <w:jc w:val="both"/>
        <w:rPr>
          <w:sz w:val="38"/>
        </w:rPr>
      </w:pPr>
      <w:r>
        <w:rPr>
          <w:sz w:val="38"/>
        </w:rPr>
        <w:t>Multiple myeloma</w:t>
      </w:r>
    </w:p>
    <w:p>
      <w:pPr>
        <w:pStyle w:val="ListParagraph"/>
        <w:numPr>
          <w:ilvl w:val="0"/>
          <w:numId w:val="91"/>
        </w:numPr>
        <w:tabs>
          <w:tab w:pos="1032" w:val="left" w:leader="none"/>
        </w:tabs>
        <w:spacing w:line="240" w:lineRule="auto" w:before="183" w:after="0"/>
        <w:ind w:left="1043" w:right="0" w:hanging="427"/>
        <w:jc w:val="both"/>
        <w:rPr>
          <w:sz w:val="38"/>
        </w:rPr>
      </w:pPr>
      <w:r>
        <w:rPr>
          <w:sz w:val="38"/>
        </w:rPr>
        <w:t>Melanoma</w:t>
      </w:r>
    </w:p>
    <w:p>
      <w:pPr>
        <w:pStyle w:val="ListParagraph"/>
        <w:numPr>
          <w:ilvl w:val="0"/>
          <w:numId w:val="91"/>
        </w:numPr>
        <w:tabs>
          <w:tab w:pos="1032" w:val="left" w:leader="none"/>
        </w:tabs>
        <w:spacing w:line="240" w:lineRule="auto" w:before="184" w:after="0"/>
        <w:ind w:left="1043" w:right="0" w:hanging="427"/>
        <w:jc w:val="both"/>
        <w:rPr>
          <w:sz w:val="38"/>
        </w:rPr>
      </w:pPr>
      <w:r>
        <w:rPr>
          <w:sz w:val="38"/>
        </w:rPr>
        <w:t>Ovarian cancer</w:t>
      </w:r>
    </w:p>
    <w:p>
      <w:pPr>
        <w:pStyle w:val="ListParagraph"/>
        <w:numPr>
          <w:ilvl w:val="0"/>
          <w:numId w:val="91"/>
        </w:numPr>
        <w:tabs>
          <w:tab w:pos="1032" w:val="left" w:leader="none"/>
        </w:tabs>
        <w:spacing w:line="240" w:lineRule="auto" w:before="186" w:after="0"/>
        <w:ind w:left="1043" w:right="0" w:hanging="427"/>
        <w:jc w:val="both"/>
        <w:rPr>
          <w:sz w:val="38"/>
        </w:rPr>
      </w:pPr>
      <w:r>
        <w:rPr>
          <w:sz w:val="38"/>
        </w:rPr>
        <w:t>Stomach</w:t>
      </w:r>
      <w:r>
        <w:rPr>
          <w:spacing w:val="-2"/>
          <w:sz w:val="38"/>
        </w:rPr>
        <w:t> </w:t>
      </w:r>
      <w:r>
        <w:rPr>
          <w:sz w:val="38"/>
        </w:rPr>
        <w:t>cancer</w:t>
      </w:r>
    </w:p>
    <w:p>
      <w:pPr>
        <w:pStyle w:val="ListParagraph"/>
        <w:numPr>
          <w:ilvl w:val="0"/>
          <w:numId w:val="91"/>
        </w:numPr>
        <w:tabs>
          <w:tab w:pos="1032" w:val="left" w:leader="none"/>
        </w:tabs>
        <w:spacing w:line="240" w:lineRule="auto" w:before="184" w:after="0"/>
        <w:ind w:left="1043" w:right="0" w:hanging="427"/>
        <w:jc w:val="both"/>
        <w:rPr>
          <w:sz w:val="38"/>
        </w:rPr>
      </w:pPr>
      <w:r>
        <w:rPr>
          <w:sz w:val="38"/>
        </w:rPr>
        <w:t>Colon cancer</w:t>
      </w:r>
    </w:p>
    <w:p>
      <w:pPr>
        <w:pStyle w:val="ListParagraph"/>
        <w:numPr>
          <w:ilvl w:val="0"/>
          <w:numId w:val="91"/>
        </w:numPr>
        <w:tabs>
          <w:tab w:pos="1032" w:val="left" w:leader="none"/>
        </w:tabs>
        <w:spacing w:line="240" w:lineRule="auto" w:before="184" w:after="0"/>
        <w:ind w:left="1043" w:right="0" w:hanging="427"/>
        <w:jc w:val="both"/>
        <w:rPr>
          <w:sz w:val="38"/>
        </w:rPr>
      </w:pPr>
      <w:r>
        <w:rPr>
          <w:sz w:val="38"/>
        </w:rPr>
        <w:t>Liver cancer</w:t>
      </w:r>
    </w:p>
    <w:p>
      <w:pPr>
        <w:pStyle w:val="ListParagraph"/>
        <w:numPr>
          <w:ilvl w:val="0"/>
          <w:numId w:val="91"/>
        </w:numPr>
        <w:tabs>
          <w:tab w:pos="1032" w:val="left" w:leader="none"/>
        </w:tabs>
        <w:spacing w:line="240" w:lineRule="auto" w:before="183" w:after="0"/>
        <w:ind w:left="1043" w:right="0" w:hanging="427"/>
        <w:jc w:val="both"/>
        <w:rPr>
          <w:sz w:val="38"/>
        </w:rPr>
      </w:pPr>
      <w:r>
        <w:rPr>
          <w:sz w:val="38"/>
        </w:rPr>
        <w:t>Pancreatic</w:t>
      </w:r>
      <w:r>
        <w:rPr>
          <w:spacing w:val="-1"/>
          <w:sz w:val="38"/>
        </w:rPr>
        <w:t> </w:t>
      </w:r>
      <w:r>
        <w:rPr>
          <w:sz w:val="38"/>
        </w:rPr>
        <w:t>cancer</w:t>
      </w:r>
    </w:p>
    <w:p>
      <w:pPr>
        <w:pStyle w:val="ListParagraph"/>
        <w:numPr>
          <w:ilvl w:val="0"/>
          <w:numId w:val="91"/>
        </w:numPr>
        <w:tabs>
          <w:tab w:pos="1032" w:val="left" w:leader="none"/>
        </w:tabs>
        <w:spacing w:line="240" w:lineRule="auto" w:before="184" w:after="0"/>
        <w:ind w:left="1043" w:right="0" w:hanging="427"/>
        <w:jc w:val="both"/>
        <w:rPr>
          <w:sz w:val="38"/>
        </w:rPr>
      </w:pPr>
      <w:r>
        <w:rPr>
          <w:sz w:val="38"/>
        </w:rPr>
        <w:t>Thyroid</w:t>
      </w:r>
      <w:r>
        <w:rPr>
          <w:spacing w:val="-8"/>
          <w:sz w:val="38"/>
        </w:rPr>
        <w:t> </w:t>
      </w:r>
      <w:r>
        <w:rPr>
          <w:sz w:val="38"/>
        </w:rPr>
        <w:t>cancer</w:t>
      </w:r>
    </w:p>
    <w:p>
      <w:pPr>
        <w:pStyle w:val="ListParagraph"/>
        <w:numPr>
          <w:ilvl w:val="0"/>
          <w:numId w:val="91"/>
        </w:numPr>
        <w:tabs>
          <w:tab w:pos="1032" w:val="left" w:leader="none"/>
        </w:tabs>
        <w:spacing w:line="240" w:lineRule="auto" w:before="186" w:after="0"/>
        <w:ind w:left="1043" w:right="0" w:hanging="427"/>
        <w:jc w:val="both"/>
        <w:rPr>
          <w:sz w:val="38"/>
        </w:rPr>
      </w:pPr>
      <w:r>
        <w:rPr>
          <w:sz w:val="38"/>
        </w:rPr>
        <w:t>Cervical</w:t>
      </w:r>
      <w:r>
        <w:rPr>
          <w:spacing w:val="-12"/>
          <w:sz w:val="38"/>
        </w:rPr>
        <w:t> </w:t>
      </w:r>
      <w:r>
        <w:rPr>
          <w:sz w:val="38"/>
        </w:rPr>
        <w:t>cancer</w:t>
      </w:r>
    </w:p>
    <w:p>
      <w:pPr>
        <w:pStyle w:val="Heading1"/>
        <w:spacing w:before="285"/>
        <w:ind w:left="616"/>
        <w:jc w:val="both"/>
      </w:pPr>
      <w:r>
        <w:rPr/>
        <w:t>Resveratrol inhibits prostate cancer</w:t>
      </w:r>
    </w:p>
    <w:p>
      <w:pPr>
        <w:spacing w:after="0"/>
        <w:jc w:val="both"/>
        <w:sectPr>
          <w:pgSz w:w="14270" w:h="16850"/>
          <w:pgMar w:header="0" w:footer="1891" w:top="1340" w:bottom="2080" w:left="800" w:right="1280"/>
        </w:sectPr>
      </w:pPr>
    </w:p>
    <w:p>
      <w:pPr>
        <w:pStyle w:val="BodyText"/>
        <w:spacing w:line="276" w:lineRule="auto" w:before="72"/>
        <w:ind w:left="616" w:right="136"/>
        <w:jc w:val="both"/>
      </w:pPr>
      <w:r>
        <w:rPr/>
        <w:t>At Thomas Jefferson University (Pennsylvania, USA), researchers recently re- moved the SIRT1 gene (‘longevity gene’) from mice, which has been proven to be activated by resveratrol. The removal led to a minimised apoptosis of sick cells and the simultaneous regeneration of prostate cancer cells and gives significant evidence of the necessity of the SIRT1 gene in the prevention and treatment of cancer.</w:t>
      </w:r>
    </w:p>
    <w:p>
      <w:pPr>
        <w:pStyle w:val="Heading1"/>
        <w:spacing w:before="225"/>
        <w:ind w:left="616"/>
      </w:pPr>
      <w:r>
        <w:rPr/>
        <w:t>Resveratrol</w:t>
      </w:r>
      <w:r>
        <w:rPr>
          <w:spacing w:val="-56"/>
        </w:rPr>
        <w:t> </w:t>
      </w:r>
      <w:r>
        <w:rPr/>
        <w:t>successful</w:t>
      </w:r>
      <w:r>
        <w:rPr>
          <w:spacing w:val="-55"/>
        </w:rPr>
        <w:t> </w:t>
      </w:r>
      <w:r>
        <w:rPr/>
        <w:t>in</w:t>
      </w:r>
      <w:r>
        <w:rPr>
          <w:spacing w:val="-54"/>
        </w:rPr>
        <w:t> </w:t>
      </w:r>
      <w:r>
        <w:rPr/>
        <w:t>the</w:t>
      </w:r>
      <w:r>
        <w:rPr>
          <w:spacing w:val="-55"/>
        </w:rPr>
        <w:t> </w:t>
      </w:r>
      <w:r>
        <w:rPr/>
        <w:t>prevention</w:t>
      </w:r>
      <w:r>
        <w:rPr>
          <w:spacing w:val="-55"/>
        </w:rPr>
        <w:t> </w:t>
      </w:r>
      <w:r>
        <w:rPr/>
        <w:t>and</w:t>
      </w:r>
      <w:r>
        <w:rPr>
          <w:spacing w:val="-56"/>
        </w:rPr>
        <w:t> </w:t>
      </w:r>
      <w:r>
        <w:rPr/>
        <w:t>treatment</w:t>
      </w:r>
      <w:r>
        <w:rPr>
          <w:spacing w:val="-54"/>
        </w:rPr>
        <w:t> </w:t>
      </w:r>
      <w:r>
        <w:rPr/>
        <w:t>of</w:t>
      </w:r>
      <w:r>
        <w:rPr>
          <w:spacing w:val="-55"/>
        </w:rPr>
        <w:t> </w:t>
      </w:r>
      <w:r>
        <w:rPr/>
        <w:t>breast</w:t>
      </w:r>
      <w:r>
        <w:rPr>
          <w:spacing w:val="-55"/>
        </w:rPr>
        <w:t> </w:t>
      </w:r>
      <w:r>
        <w:rPr/>
        <w:t>cancer</w:t>
      </w:r>
    </w:p>
    <w:p>
      <w:pPr>
        <w:pStyle w:val="BodyText"/>
        <w:spacing w:line="276" w:lineRule="auto" w:before="300"/>
        <w:ind w:left="616" w:right="131"/>
        <w:jc w:val="both"/>
        <w:rPr>
          <w:sz w:val="25"/>
        </w:rPr>
      </w:pPr>
      <w:r>
        <w:rPr/>
        <w:t>Researchers at the University of Nebraska were able to show that resveratrol inhibits the formation of oestrogen DNA and the neoplastic transformation into</w:t>
      </w:r>
      <w:r>
        <w:rPr>
          <w:spacing w:val="-18"/>
        </w:rPr>
        <w:t> </w:t>
      </w:r>
      <w:r>
        <w:rPr/>
        <w:t>MCF-10F</w:t>
      </w:r>
      <w:r>
        <w:rPr>
          <w:spacing w:val="-18"/>
        </w:rPr>
        <w:t> </w:t>
      </w:r>
      <w:r>
        <w:rPr/>
        <w:t>cells,</w:t>
      </w:r>
      <w:r>
        <w:rPr>
          <w:spacing w:val="-18"/>
        </w:rPr>
        <w:t> </w:t>
      </w:r>
      <w:r>
        <w:rPr/>
        <w:t>which</w:t>
      </w:r>
      <w:r>
        <w:rPr>
          <w:spacing w:val="-17"/>
        </w:rPr>
        <w:t> </w:t>
      </w:r>
      <w:r>
        <w:rPr/>
        <w:t>could</w:t>
      </w:r>
      <w:r>
        <w:rPr>
          <w:spacing w:val="-16"/>
        </w:rPr>
        <w:t> </w:t>
      </w:r>
      <w:r>
        <w:rPr/>
        <w:t>prevent</w:t>
      </w:r>
      <w:r>
        <w:rPr>
          <w:spacing w:val="-19"/>
        </w:rPr>
        <w:t> </w:t>
      </w:r>
      <w:r>
        <w:rPr/>
        <w:t>or</w:t>
      </w:r>
      <w:r>
        <w:rPr>
          <w:spacing w:val="-17"/>
        </w:rPr>
        <w:t> </w:t>
      </w:r>
      <w:r>
        <w:rPr/>
        <w:t>impede</w:t>
      </w:r>
      <w:r>
        <w:rPr>
          <w:spacing w:val="-19"/>
        </w:rPr>
        <w:t> </w:t>
      </w:r>
      <w:r>
        <w:rPr/>
        <w:t>the</w:t>
      </w:r>
      <w:r>
        <w:rPr>
          <w:spacing w:val="-17"/>
        </w:rPr>
        <w:t> </w:t>
      </w:r>
      <w:r>
        <w:rPr/>
        <w:t>development</w:t>
      </w:r>
      <w:r>
        <w:rPr>
          <w:spacing w:val="-18"/>
        </w:rPr>
        <w:t> </w:t>
      </w:r>
      <w:r>
        <w:rPr/>
        <w:t>of</w:t>
      </w:r>
      <w:r>
        <w:rPr>
          <w:spacing w:val="-17"/>
        </w:rPr>
        <w:t> </w:t>
      </w:r>
      <w:r>
        <w:rPr/>
        <w:t>breast cancer.</w:t>
      </w:r>
      <w:r>
        <w:rPr>
          <w:position w:val="9"/>
          <w:sz w:val="25"/>
        </w:rPr>
        <w:t>761</w:t>
      </w:r>
    </w:p>
    <w:p>
      <w:pPr>
        <w:pStyle w:val="Heading1"/>
        <w:spacing w:before="222"/>
        <w:ind w:left="616"/>
      </w:pPr>
      <w:r>
        <w:rPr/>
        <w:t>Resveratrol strengthens the effect of chemotherapy</w:t>
      </w:r>
    </w:p>
    <w:p>
      <w:pPr>
        <w:pStyle w:val="BodyText"/>
        <w:spacing w:line="276" w:lineRule="auto" w:before="299"/>
        <w:ind w:left="616" w:right="130"/>
        <w:jc w:val="both"/>
      </w:pPr>
      <w:r>
        <w:rPr/>
        <w:t>Over</w:t>
      </w:r>
      <w:r>
        <w:rPr>
          <w:spacing w:val="-23"/>
        </w:rPr>
        <w:t> </w:t>
      </w:r>
      <w:r>
        <w:rPr/>
        <w:t>the</w:t>
      </w:r>
      <w:r>
        <w:rPr>
          <w:spacing w:val="-22"/>
        </w:rPr>
        <w:t> </w:t>
      </w:r>
      <w:r>
        <w:rPr/>
        <w:t>course</w:t>
      </w:r>
      <w:r>
        <w:rPr>
          <w:spacing w:val="-22"/>
        </w:rPr>
        <w:t> </w:t>
      </w:r>
      <w:r>
        <w:rPr/>
        <w:t>of</w:t>
      </w:r>
      <w:r>
        <w:rPr>
          <w:spacing w:val="-22"/>
        </w:rPr>
        <w:t> </w:t>
      </w:r>
      <w:r>
        <w:rPr/>
        <w:t>treatment,</w:t>
      </w:r>
      <w:r>
        <w:rPr>
          <w:spacing w:val="-22"/>
        </w:rPr>
        <w:t> </w:t>
      </w:r>
      <w:r>
        <w:rPr/>
        <w:t>cancer</w:t>
      </w:r>
      <w:r>
        <w:rPr>
          <w:spacing w:val="-22"/>
        </w:rPr>
        <w:t> </w:t>
      </w:r>
      <w:r>
        <w:rPr/>
        <w:t>cells</w:t>
      </w:r>
      <w:r>
        <w:rPr>
          <w:spacing w:val="-22"/>
        </w:rPr>
        <w:t> </w:t>
      </w:r>
      <w:r>
        <w:rPr/>
        <w:t>develop</w:t>
      </w:r>
      <w:r>
        <w:rPr>
          <w:spacing w:val="-22"/>
        </w:rPr>
        <w:t> </w:t>
      </w:r>
      <w:r>
        <w:rPr/>
        <w:t>a</w:t>
      </w:r>
      <w:r>
        <w:rPr>
          <w:spacing w:val="-24"/>
        </w:rPr>
        <w:t> </w:t>
      </w:r>
      <w:r>
        <w:rPr/>
        <w:t>certain</w:t>
      </w:r>
      <w:r>
        <w:rPr>
          <w:spacing w:val="-23"/>
        </w:rPr>
        <w:t> </w:t>
      </w:r>
      <w:r>
        <w:rPr/>
        <w:t>resistance</w:t>
      </w:r>
      <w:r>
        <w:rPr>
          <w:spacing w:val="-22"/>
        </w:rPr>
        <w:t> </w:t>
      </w:r>
      <w:r>
        <w:rPr/>
        <w:t>to</w:t>
      </w:r>
      <w:r>
        <w:rPr>
          <w:spacing w:val="-22"/>
        </w:rPr>
        <w:t> </w:t>
      </w:r>
      <w:r>
        <w:rPr/>
        <w:t>chem- otherapy, which is attributable, among other things, to the release of survivin, a protein that inhibits apoptosis. Resveratrol seems to suppress the release of this protein and to sustain the effectiveness of chemotherapy. A team of re- searchers at the University of Ulm was able to extend the effectiveness of chemotherapy with the addition of</w:t>
      </w:r>
      <w:r>
        <w:rPr>
          <w:spacing w:val="2"/>
        </w:rPr>
        <w:t> </w:t>
      </w:r>
      <w:r>
        <w:rPr/>
        <w:t>resveratrol.</w:t>
      </w:r>
    </w:p>
    <w:p>
      <w:pPr>
        <w:pStyle w:val="Heading1"/>
        <w:spacing w:before="225"/>
        <w:ind w:left="616"/>
        <w:jc w:val="both"/>
      </w:pPr>
      <w:r>
        <w:rPr/>
        <w:t>Resveratrol and anti-ageing</w:t>
      </w:r>
    </w:p>
    <w:p>
      <w:pPr>
        <w:pStyle w:val="BodyText"/>
        <w:spacing w:before="298"/>
        <w:ind w:left="616"/>
        <w:jc w:val="both"/>
      </w:pPr>
      <w:r>
        <w:rPr/>
        <w:t>As early as the 1930s, the scientists McCay, Cromwell and Maynard were able</w:t>
      </w:r>
    </w:p>
    <w:p>
      <w:pPr>
        <w:pStyle w:val="BodyText"/>
        <w:rPr>
          <w:sz w:val="20"/>
        </w:rPr>
      </w:pPr>
    </w:p>
    <w:p>
      <w:pPr>
        <w:pStyle w:val="BodyText"/>
        <w:spacing w:before="1"/>
        <w:rPr>
          <w:sz w:val="15"/>
        </w:rPr>
      </w:pPr>
      <w:r>
        <w:rPr/>
        <w:pict>
          <v:line style="position:absolute;mso-position-horizontal-relative:page;mso-position-vertical-relative:paragraph;z-index:10376;mso-wrap-distance-left:0;mso-wrap-distance-right:0" from="70.823997pt,10.864985pt" to="214.843997pt,10.864985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761 </w:t>
      </w:r>
      <w:hyperlink r:id="rId324">
        <w:r>
          <w:rPr>
            <w:sz w:val="20"/>
          </w:rPr>
          <w:t>http://www.hemonctoday.com/article.aspx?rid=29989</w:t>
        </w:r>
      </w:hyperlink>
    </w:p>
    <w:p>
      <w:pPr>
        <w:spacing w:after="0"/>
        <w:jc w:val="left"/>
        <w:rPr>
          <w:sz w:val="20"/>
        </w:rPr>
        <w:sectPr>
          <w:pgSz w:w="14270" w:h="16850"/>
          <w:pgMar w:header="0" w:footer="1891" w:top="1340" w:bottom="2080" w:left="800" w:right="1280"/>
        </w:sectPr>
      </w:pPr>
    </w:p>
    <w:p>
      <w:pPr>
        <w:pStyle w:val="BodyText"/>
        <w:spacing w:line="276" w:lineRule="auto" w:before="72"/>
        <w:ind w:left="616" w:right="134"/>
        <w:jc w:val="both"/>
      </w:pPr>
      <w:r>
        <w:rPr/>
        <w:t>to extend the lives of lab rats by a spectacular 50 % with a reduced calorie diet.</w:t>
      </w:r>
      <w:r>
        <w:rPr>
          <w:position w:val="9"/>
          <w:sz w:val="25"/>
        </w:rPr>
        <w:t>762</w:t>
      </w:r>
      <w:r>
        <w:rPr>
          <w:spacing w:val="29"/>
          <w:position w:val="9"/>
          <w:sz w:val="25"/>
        </w:rPr>
        <w:t> </w:t>
      </w:r>
      <w:r>
        <w:rPr/>
        <w:t>Around</w:t>
      </w:r>
      <w:r>
        <w:rPr>
          <w:spacing w:val="-19"/>
        </w:rPr>
        <w:t> </w:t>
      </w:r>
      <w:r>
        <w:rPr/>
        <w:t>80</w:t>
      </w:r>
      <w:r>
        <w:rPr>
          <w:spacing w:val="-19"/>
        </w:rPr>
        <w:t> </w:t>
      </w:r>
      <w:r>
        <w:rPr/>
        <w:t>years</w:t>
      </w:r>
      <w:r>
        <w:rPr>
          <w:spacing w:val="-18"/>
        </w:rPr>
        <w:t> </w:t>
      </w:r>
      <w:r>
        <w:rPr/>
        <w:t>have</w:t>
      </w:r>
      <w:r>
        <w:rPr>
          <w:spacing w:val="-20"/>
        </w:rPr>
        <w:t> </w:t>
      </w:r>
      <w:r>
        <w:rPr/>
        <w:t>passed</w:t>
      </w:r>
      <w:r>
        <w:rPr>
          <w:spacing w:val="-19"/>
        </w:rPr>
        <w:t> </w:t>
      </w:r>
      <w:r>
        <w:rPr/>
        <w:t>since</w:t>
      </w:r>
      <w:r>
        <w:rPr>
          <w:spacing w:val="-18"/>
        </w:rPr>
        <w:t> </w:t>
      </w:r>
      <w:r>
        <w:rPr/>
        <w:t>then</w:t>
      </w:r>
      <w:r>
        <w:rPr>
          <w:spacing w:val="-18"/>
        </w:rPr>
        <w:t> </w:t>
      </w:r>
      <w:r>
        <w:rPr/>
        <w:t>and</w:t>
      </w:r>
      <w:r>
        <w:rPr>
          <w:spacing w:val="-21"/>
        </w:rPr>
        <w:t> </w:t>
      </w:r>
      <w:r>
        <w:rPr/>
        <w:t>numerous</w:t>
      </w:r>
      <w:r>
        <w:rPr>
          <w:spacing w:val="-20"/>
        </w:rPr>
        <w:t> </w:t>
      </w:r>
      <w:r>
        <w:rPr/>
        <w:t>studies</w:t>
      </w:r>
      <w:r>
        <w:rPr>
          <w:spacing w:val="-18"/>
        </w:rPr>
        <w:t> </w:t>
      </w:r>
      <w:r>
        <w:rPr/>
        <w:t>on</w:t>
      </w:r>
      <w:r>
        <w:rPr>
          <w:spacing w:val="-18"/>
        </w:rPr>
        <w:t> </w:t>
      </w:r>
      <w:r>
        <w:rPr/>
        <w:t>other animal species (worms, mice, yeast), including primates, which are most phys- ically similar to humans, have been able to confirm this sensational effect in a very</w:t>
      </w:r>
      <w:r>
        <w:rPr>
          <w:spacing w:val="-17"/>
        </w:rPr>
        <w:t> </w:t>
      </w:r>
      <w:r>
        <w:rPr/>
        <w:t>similar</w:t>
      </w:r>
      <w:r>
        <w:rPr>
          <w:spacing w:val="-17"/>
        </w:rPr>
        <w:t> </w:t>
      </w:r>
      <w:r>
        <w:rPr/>
        <w:t>way.</w:t>
      </w:r>
      <w:r>
        <w:rPr>
          <w:spacing w:val="-18"/>
        </w:rPr>
        <w:t> </w:t>
      </w:r>
      <w:r>
        <w:rPr/>
        <w:t>General</w:t>
      </w:r>
      <w:r>
        <w:rPr>
          <w:spacing w:val="-20"/>
        </w:rPr>
        <w:t> </w:t>
      </w:r>
      <w:r>
        <w:rPr/>
        <w:t>effects</w:t>
      </w:r>
      <w:r>
        <w:rPr>
          <w:spacing w:val="-19"/>
        </w:rPr>
        <w:t> </w:t>
      </w:r>
      <w:r>
        <w:rPr/>
        <w:t>were</w:t>
      </w:r>
      <w:r>
        <w:rPr>
          <w:spacing w:val="-16"/>
        </w:rPr>
        <w:t> </w:t>
      </w:r>
      <w:r>
        <w:rPr/>
        <w:t>also</w:t>
      </w:r>
      <w:r>
        <w:rPr>
          <w:spacing w:val="-17"/>
        </w:rPr>
        <w:t> </w:t>
      </w:r>
      <w:r>
        <w:rPr/>
        <w:t>ultimately</w:t>
      </w:r>
      <w:r>
        <w:rPr>
          <w:spacing w:val="-16"/>
        </w:rPr>
        <w:t> </w:t>
      </w:r>
      <w:r>
        <w:rPr/>
        <w:t>demonstrated</w:t>
      </w:r>
      <w:r>
        <w:rPr>
          <w:spacing w:val="-18"/>
        </w:rPr>
        <w:t> </w:t>
      </w:r>
      <w:r>
        <w:rPr/>
        <w:t>in</w:t>
      </w:r>
      <w:r>
        <w:rPr>
          <w:spacing w:val="-19"/>
        </w:rPr>
        <w:t> </w:t>
      </w:r>
      <w:r>
        <w:rPr/>
        <w:t>humans, most</w:t>
      </w:r>
      <w:r>
        <w:rPr>
          <w:spacing w:val="-10"/>
        </w:rPr>
        <w:t> </w:t>
      </w:r>
      <w:r>
        <w:rPr/>
        <w:t>recently</w:t>
      </w:r>
      <w:r>
        <w:rPr>
          <w:spacing w:val="-11"/>
        </w:rPr>
        <w:t> </w:t>
      </w:r>
      <w:r>
        <w:rPr/>
        <w:t>in</w:t>
      </w:r>
      <w:r>
        <w:rPr>
          <w:spacing w:val="-11"/>
        </w:rPr>
        <w:t> </w:t>
      </w:r>
      <w:r>
        <w:rPr/>
        <w:t>a</w:t>
      </w:r>
      <w:r>
        <w:rPr>
          <w:spacing w:val="-12"/>
        </w:rPr>
        <w:t> </w:t>
      </w:r>
      <w:r>
        <w:rPr/>
        <w:t>study</w:t>
      </w:r>
      <w:r>
        <w:rPr>
          <w:spacing w:val="-11"/>
        </w:rPr>
        <w:t> </w:t>
      </w:r>
      <w:r>
        <w:rPr/>
        <w:t>at</w:t>
      </w:r>
      <w:r>
        <w:rPr>
          <w:spacing w:val="-11"/>
        </w:rPr>
        <w:t> </w:t>
      </w:r>
      <w:r>
        <w:rPr/>
        <w:t>Maastricht</w:t>
      </w:r>
      <w:r>
        <w:rPr>
          <w:spacing w:val="-11"/>
        </w:rPr>
        <w:t> </w:t>
      </w:r>
      <w:r>
        <w:rPr/>
        <w:t>University</w:t>
      </w:r>
      <w:r>
        <w:rPr>
          <w:spacing w:val="-11"/>
        </w:rPr>
        <w:t> </w:t>
      </w:r>
      <w:r>
        <w:rPr/>
        <w:t>in</w:t>
      </w:r>
      <w:r>
        <w:rPr>
          <w:spacing w:val="-10"/>
        </w:rPr>
        <w:t> </w:t>
      </w:r>
      <w:r>
        <w:rPr/>
        <w:t>the</w:t>
      </w:r>
      <w:r>
        <w:rPr>
          <w:spacing w:val="-10"/>
        </w:rPr>
        <w:t> </w:t>
      </w:r>
      <w:r>
        <w:rPr/>
        <w:t>Netherlands.</w:t>
      </w:r>
      <w:r>
        <w:rPr>
          <w:spacing w:val="-10"/>
        </w:rPr>
        <w:t> </w:t>
      </w:r>
      <w:r>
        <w:rPr/>
        <w:t>A</w:t>
      </w:r>
      <w:r>
        <w:rPr>
          <w:spacing w:val="-11"/>
        </w:rPr>
        <w:t> </w:t>
      </w:r>
      <w:r>
        <w:rPr/>
        <w:t>prereq- uisite</w:t>
      </w:r>
      <w:r>
        <w:rPr>
          <w:spacing w:val="-16"/>
        </w:rPr>
        <w:t> </w:t>
      </w:r>
      <w:r>
        <w:rPr/>
        <w:t>for</w:t>
      </w:r>
      <w:r>
        <w:rPr>
          <w:spacing w:val="-14"/>
        </w:rPr>
        <w:t> </w:t>
      </w:r>
      <w:r>
        <w:rPr/>
        <w:t>life</w:t>
      </w:r>
      <w:r>
        <w:rPr>
          <w:spacing w:val="-18"/>
        </w:rPr>
        <w:t> </w:t>
      </w:r>
      <w:r>
        <w:rPr/>
        <w:t>extension</w:t>
      </w:r>
      <w:r>
        <w:rPr>
          <w:spacing w:val="-15"/>
        </w:rPr>
        <w:t> </w:t>
      </w:r>
      <w:r>
        <w:rPr/>
        <w:t>is</w:t>
      </w:r>
      <w:r>
        <w:rPr>
          <w:spacing w:val="-19"/>
        </w:rPr>
        <w:t> </w:t>
      </w:r>
      <w:r>
        <w:rPr/>
        <w:t>of</w:t>
      </w:r>
      <w:r>
        <w:rPr>
          <w:spacing w:val="-15"/>
        </w:rPr>
        <w:t> </w:t>
      </w:r>
      <w:r>
        <w:rPr/>
        <w:t>course</w:t>
      </w:r>
      <w:r>
        <w:rPr>
          <w:spacing w:val="-16"/>
        </w:rPr>
        <w:t> </w:t>
      </w:r>
      <w:r>
        <w:rPr/>
        <w:t>a</w:t>
      </w:r>
      <w:r>
        <w:rPr>
          <w:spacing w:val="-17"/>
        </w:rPr>
        <w:t> </w:t>
      </w:r>
      <w:r>
        <w:rPr/>
        <w:t>sufficient</w:t>
      </w:r>
      <w:r>
        <w:rPr>
          <w:spacing w:val="-16"/>
        </w:rPr>
        <w:t> </w:t>
      </w:r>
      <w:r>
        <w:rPr/>
        <w:t>supply</w:t>
      </w:r>
      <w:r>
        <w:rPr>
          <w:spacing w:val="-17"/>
        </w:rPr>
        <w:t> </w:t>
      </w:r>
      <w:r>
        <w:rPr/>
        <w:t>of</w:t>
      </w:r>
      <w:r>
        <w:rPr>
          <w:spacing w:val="-15"/>
        </w:rPr>
        <w:t> </w:t>
      </w:r>
      <w:r>
        <w:rPr/>
        <w:t>nutrients,</w:t>
      </w:r>
      <w:r>
        <w:rPr>
          <w:spacing w:val="-16"/>
        </w:rPr>
        <w:t> </w:t>
      </w:r>
      <w:r>
        <w:rPr/>
        <w:t>which</w:t>
      </w:r>
      <w:r>
        <w:rPr>
          <w:spacing w:val="-14"/>
        </w:rPr>
        <w:t> </w:t>
      </w:r>
      <w:r>
        <w:rPr/>
        <w:t>must occur despite the calorie</w:t>
      </w:r>
      <w:r>
        <w:rPr>
          <w:spacing w:val="-2"/>
        </w:rPr>
        <w:t> </w:t>
      </w:r>
      <w:r>
        <w:rPr/>
        <w:t>restrictions.</w:t>
      </w:r>
    </w:p>
    <w:p>
      <w:pPr>
        <w:pStyle w:val="Heading1"/>
        <w:spacing w:line="261" w:lineRule="auto" w:before="226"/>
        <w:ind w:left="616" w:right="140"/>
        <w:jc w:val="both"/>
      </w:pPr>
      <w:r>
        <w:rPr/>
        <w:t>But</w:t>
      </w:r>
      <w:r>
        <w:rPr>
          <w:spacing w:val="-54"/>
        </w:rPr>
        <w:t> </w:t>
      </w:r>
      <w:r>
        <w:rPr/>
        <w:t>how</w:t>
      </w:r>
      <w:r>
        <w:rPr>
          <w:spacing w:val="-53"/>
        </w:rPr>
        <w:t> </w:t>
      </w:r>
      <w:r>
        <w:rPr/>
        <w:t>can</w:t>
      </w:r>
      <w:r>
        <w:rPr>
          <w:spacing w:val="-53"/>
        </w:rPr>
        <w:t> </w:t>
      </w:r>
      <w:r>
        <w:rPr/>
        <w:t>you</w:t>
      </w:r>
      <w:r>
        <w:rPr>
          <w:spacing w:val="-54"/>
        </w:rPr>
        <w:t> </w:t>
      </w:r>
      <w:r>
        <w:rPr/>
        <w:t>explain</w:t>
      </w:r>
      <w:r>
        <w:rPr>
          <w:spacing w:val="-53"/>
        </w:rPr>
        <w:t> </w:t>
      </w:r>
      <w:r>
        <w:rPr/>
        <w:t>such</w:t>
      </w:r>
      <w:r>
        <w:rPr>
          <w:spacing w:val="-53"/>
        </w:rPr>
        <w:t> </w:t>
      </w:r>
      <w:r>
        <w:rPr/>
        <w:t>a</w:t>
      </w:r>
      <w:r>
        <w:rPr>
          <w:spacing w:val="-53"/>
        </w:rPr>
        <w:t> </w:t>
      </w:r>
      <w:r>
        <w:rPr/>
        <w:t>sensational</w:t>
      </w:r>
      <w:r>
        <w:rPr>
          <w:spacing w:val="-52"/>
        </w:rPr>
        <w:t> </w:t>
      </w:r>
      <w:r>
        <w:rPr/>
        <w:t>effect</w:t>
      </w:r>
      <w:r>
        <w:rPr>
          <w:spacing w:val="-53"/>
        </w:rPr>
        <w:t> </w:t>
      </w:r>
      <w:r>
        <w:rPr/>
        <w:t>simply</w:t>
      </w:r>
      <w:r>
        <w:rPr>
          <w:spacing w:val="-53"/>
        </w:rPr>
        <w:t> </w:t>
      </w:r>
      <w:r>
        <w:rPr/>
        <w:t>through</w:t>
      </w:r>
      <w:r>
        <w:rPr>
          <w:spacing w:val="-53"/>
        </w:rPr>
        <w:t> </w:t>
      </w:r>
      <w:r>
        <w:rPr/>
        <w:t>calo- rie restriction alone?</w:t>
      </w:r>
    </w:p>
    <w:p>
      <w:pPr>
        <w:pStyle w:val="BodyText"/>
        <w:spacing w:line="276" w:lineRule="auto" w:before="258"/>
        <w:ind w:left="616" w:right="129"/>
        <w:jc w:val="both"/>
      </w:pPr>
      <w:r>
        <w:rPr/>
        <w:t>The whole mechanism on which life extension following calorie restriction is based</w:t>
      </w:r>
      <w:r>
        <w:rPr>
          <w:spacing w:val="-19"/>
        </w:rPr>
        <w:t> </w:t>
      </w:r>
      <w:r>
        <w:rPr/>
        <w:t>has</w:t>
      </w:r>
      <w:r>
        <w:rPr>
          <w:spacing w:val="-20"/>
        </w:rPr>
        <w:t> </w:t>
      </w:r>
      <w:r>
        <w:rPr/>
        <w:t>not</w:t>
      </w:r>
      <w:r>
        <w:rPr>
          <w:spacing w:val="-22"/>
        </w:rPr>
        <w:t> </w:t>
      </w:r>
      <w:r>
        <w:rPr/>
        <w:t>yet</w:t>
      </w:r>
      <w:r>
        <w:rPr>
          <w:spacing w:val="-19"/>
        </w:rPr>
        <w:t> </w:t>
      </w:r>
      <w:r>
        <w:rPr/>
        <w:t>been</w:t>
      </w:r>
      <w:r>
        <w:rPr>
          <w:spacing w:val="-20"/>
        </w:rPr>
        <w:t> </w:t>
      </w:r>
      <w:r>
        <w:rPr/>
        <w:t>fully</w:t>
      </w:r>
      <w:r>
        <w:rPr>
          <w:spacing w:val="-20"/>
        </w:rPr>
        <w:t> </w:t>
      </w:r>
      <w:r>
        <w:rPr/>
        <w:t>researched,</w:t>
      </w:r>
      <w:r>
        <w:rPr>
          <w:spacing w:val="-21"/>
        </w:rPr>
        <w:t> </w:t>
      </w:r>
      <w:r>
        <w:rPr/>
        <w:t>and</w:t>
      </w:r>
      <w:r>
        <w:rPr>
          <w:spacing w:val="-19"/>
        </w:rPr>
        <w:t> </w:t>
      </w:r>
      <w:r>
        <w:rPr/>
        <w:t>much</w:t>
      </w:r>
      <w:r>
        <w:rPr>
          <w:spacing w:val="-21"/>
        </w:rPr>
        <w:t> </w:t>
      </w:r>
      <w:r>
        <w:rPr/>
        <w:t>is</w:t>
      </w:r>
      <w:r>
        <w:rPr>
          <w:spacing w:val="-21"/>
        </w:rPr>
        <w:t> </w:t>
      </w:r>
      <w:r>
        <w:rPr/>
        <w:t>based</w:t>
      </w:r>
      <w:r>
        <w:rPr>
          <w:spacing w:val="-21"/>
        </w:rPr>
        <w:t> </w:t>
      </w:r>
      <w:r>
        <w:rPr/>
        <w:t>more</w:t>
      </w:r>
      <w:r>
        <w:rPr>
          <w:spacing w:val="-21"/>
        </w:rPr>
        <w:t> </w:t>
      </w:r>
      <w:r>
        <w:rPr/>
        <w:t>on</w:t>
      </w:r>
      <w:r>
        <w:rPr>
          <w:spacing w:val="-18"/>
        </w:rPr>
        <w:t> </w:t>
      </w:r>
      <w:r>
        <w:rPr/>
        <w:t>indications than</w:t>
      </w:r>
      <w:r>
        <w:rPr>
          <w:spacing w:val="-14"/>
        </w:rPr>
        <w:t> </w:t>
      </w:r>
      <w:r>
        <w:rPr/>
        <w:t>on</w:t>
      </w:r>
      <w:r>
        <w:rPr>
          <w:spacing w:val="-15"/>
        </w:rPr>
        <w:t> </w:t>
      </w:r>
      <w:r>
        <w:rPr/>
        <w:t>‘hard’</w:t>
      </w:r>
      <w:r>
        <w:rPr>
          <w:spacing w:val="-15"/>
        </w:rPr>
        <w:t> </w:t>
      </w:r>
      <w:r>
        <w:rPr/>
        <w:t>facts</w:t>
      </w:r>
      <w:r>
        <w:rPr>
          <w:spacing w:val="-14"/>
        </w:rPr>
        <w:t> </w:t>
      </w:r>
      <w:r>
        <w:rPr/>
        <w:t>supported</w:t>
      </w:r>
      <w:r>
        <w:rPr>
          <w:spacing w:val="-16"/>
        </w:rPr>
        <w:t> </w:t>
      </w:r>
      <w:r>
        <w:rPr/>
        <w:t>by</w:t>
      </w:r>
      <w:r>
        <w:rPr>
          <w:spacing w:val="-16"/>
        </w:rPr>
        <w:t> </w:t>
      </w:r>
      <w:r>
        <w:rPr/>
        <w:t>studies.</w:t>
      </w:r>
      <w:r>
        <w:rPr>
          <w:spacing w:val="-14"/>
        </w:rPr>
        <w:t> </w:t>
      </w:r>
      <w:r>
        <w:rPr/>
        <w:t>On</w:t>
      </w:r>
      <w:r>
        <w:rPr>
          <w:spacing w:val="-14"/>
        </w:rPr>
        <w:t> </w:t>
      </w:r>
      <w:r>
        <w:rPr/>
        <w:t>the</w:t>
      </w:r>
      <w:r>
        <w:rPr>
          <w:spacing w:val="-16"/>
        </w:rPr>
        <w:t> </w:t>
      </w:r>
      <w:r>
        <w:rPr/>
        <w:t>other</w:t>
      </w:r>
      <w:r>
        <w:rPr>
          <w:spacing w:val="-13"/>
        </w:rPr>
        <w:t> </w:t>
      </w:r>
      <w:r>
        <w:rPr/>
        <w:t>hand,</w:t>
      </w:r>
      <w:r>
        <w:rPr>
          <w:spacing w:val="-16"/>
        </w:rPr>
        <w:t> </w:t>
      </w:r>
      <w:r>
        <w:rPr/>
        <w:t>not</w:t>
      </w:r>
      <w:r>
        <w:rPr>
          <w:spacing w:val="-16"/>
        </w:rPr>
        <w:t> </w:t>
      </w:r>
      <w:r>
        <w:rPr/>
        <w:t>everyone</w:t>
      </w:r>
      <w:r>
        <w:rPr>
          <w:spacing w:val="-16"/>
        </w:rPr>
        <w:t> </w:t>
      </w:r>
      <w:r>
        <w:rPr/>
        <w:t>has the</w:t>
      </w:r>
      <w:r>
        <w:rPr>
          <w:spacing w:val="-7"/>
        </w:rPr>
        <w:t> </w:t>
      </w:r>
      <w:r>
        <w:rPr/>
        <w:t>time</w:t>
      </w:r>
      <w:r>
        <w:rPr>
          <w:spacing w:val="-8"/>
        </w:rPr>
        <w:t> </w:t>
      </w:r>
      <w:r>
        <w:rPr/>
        <w:t>to</w:t>
      </w:r>
      <w:r>
        <w:rPr>
          <w:spacing w:val="-8"/>
        </w:rPr>
        <w:t> </w:t>
      </w:r>
      <w:r>
        <w:rPr/>
        <w:t>wait</w:t>
      </w:r>
      <w:r>
        <w:rPr>
          <w:spacing w:val="-10"/>
        </w:rPr>
        <w:t> </w:t>
      </w:r>
      <w:r>
        <w:rPr/>
        <w:t>for</w:t>
      </w:r>
      <w:r>
        <w:rPr>
          <w:spacing w:val="-7"/>
        </w:rPr>
        <w:t> </w:t>
      </w:r>
      <w:r>
        <w:rPr/>
        <w:t>20,</w:t>
      </w:r>
      <w:r>
        <w:rPr>
          <w:spacing w:val="-8"/>
        </w:rPr>
        <w:t> </w:t>
      </w:r>
      <w:r>
        <w:rPr/>
        <w:t>30</w:t>
      </w:r>
      <w:r>
        <w:rPr>
          <w:spacing w:val="-8"/>
        </w:rPr>
        <w:t> </w:t>
      </w:r>
      <w:r>
        <w:rPr/>
        <w:t>or</w:t>
      </w:r>
      <w:r>
        <w:rPr>
          <w:spacing w:val="-9"/>
        </w:rPr>
        <w:t> </w:t>
      </w:r>
      <w:r>
        <w:rPr/>
        <w:t>40</w:t>
      </w:r>
      <w:r>
        <w:rPr>
          <w:spacing w:val="-11"/>
        </w:rPr>
        <w:t> </w:t>
      </w:r>
      <w:r>
        <w:rPr/>
        <w:t>years</w:t>
      </w:r>
      <w:r>
        <w:rPr>
          <w:spacing w:val="-7"/>
        </w:rPr>
        <w:t> </w:t>
      </w:r>
      <w:r>
        <w:rPr/>
        <w:t>of</w:t>
      </w:r>
      <w:r>
        <w:rPr>
          <w:spacing w:val="-8"/>
        </w:rPr>
        <w:t> </w:t>
      </w:r>
      <w:r>
        <w:rPr/>
        <w:t>research</w:t>
      </w:r>
      <w:r>
        <w:rPr>
          <w:spacing w:val="-10"/>
        </w:rPr>
        <w:t> </w:t>
      </w:r>
      <w:r>
        <w:rPr/>
        <w:t>which</w:t>
      </w:r>
      <w:r>
        <w:rPr>
          <w:spacing w:val="-6"/>
        </w:rPr>
        <w:t> </w:t>
      </w:r>
      <w:r>
        <w:rPr/>
        <w:t>would</w:t>
      </w:r>
      <w:r>
        <w:rPr>
          <w:spacing w:val="-9"/>
        </w:rPr>
        <w:t> </w:t>
      </w:r>
      <w:r>
        <w:rPr/>
        <w:t>clearly</w:t>
      </w:r>
      <w:r>
        <w:rPr>
          <w:spacing w:val="-8"/>
        </w:rPr>
        <w:t> </w:t>
      </w:r>
      <w:r>
        <w:rPr/>
        <w:t>confirm the anti-ageing effect on humans of certain methods and remedies, especially when it concerns safe methods and remedies.</w:t>
      </w:r>
    </w:p>
    <w:p>
      <w:pPr>
        <w:pStyle w:val="BodyText"/>
        <w:spacing w:line="276" w:lineRule="auto" w:before="240"/>
        <w:ind w:left="616" w:right="138"/>
        <w:jc w:val="both"/>
      </w:pPr>
      <w:r>
        <w:rPr/>
        <w:t>The following indications are assumed to be the basis of the life-extending effect of calorie restriction.</w:t>
      </w:r>
    </w:p>
    <w:p>
      <w:pPr>
        <w:pStyle w:val="ListParagraph"/>
        <w:numPr>
          <w:ilvl w:val="0"/>
          <w:numId w:val="102"/>
        </w:numPr>
        <w:tabs>
          <w:tab w:pos="1279" w:val="left" w:leader="none"/>
        </w:tabs>
        <w:spacing w:line="273" w:lineRule="auto" w:before="123" w:after="0"/>
        <w:ind w:left="1182" w:right="132" w:hanging="141"/>
        <w:jc w:val="left"/>
        <w:rPr>
          <w:sz w:val="38"/>
        </w:rPr>
      </w:pPr>
      <w:r>
        <w:rPr>
          <w:sz w:val="38"/>
        </w:rPr>
        <w:t>Oxidative</w:t>
      </w:r>
      <w:r>
        <w:rPr>
          <w:spacing w:val="-19"/>
          <w:sz w:val="38"/>
        </w:rPr>
        <w:t> </w:t>
      </w:r>
      <w:r>
        <w:rPr>
          <w:sz w:val="38"/>
        </w:rPr>
        <w:t>stress,</w:t>
      </w:r>
      <w:r>
        <w:rPr>
          <w:spacing w:val="-18"/>
          <w:sz w:val="38"/>
        </w:rPr>
        <w:t> </w:t>
      </w:r>
      <w:r>
        <w:rPr>
          <w:sz w:val="38"/>
        </w:rPr>
        <w:t>which</w:t>
      </w:r>
      <w:r>
        <w:rPr>
          <w:spacing w:val="-19"/>
          <w:sz w:val="38"/>
        </w:rPr>
        <w:t> </w:t>
      </w:r>
      <w:r>
        <w:rPr>
          <w:sz w:val="38"/>
        </w:rPr>
        <w:t>is</w:t>
      </w:r>
      <w:r>
        <w:rPr>
          <w:spacing w:val="-19"/>
          <w:sz w:val="38"/>
        </w:rPr>
        <w:t> </w:t>
      </w:r>
      <w:r>
        <w:rPr>
          <w:sz w:val="38"/>
        </w:rPr>
        <w:t>caused</w:t>
      </w:r>
      <w:r>
        <w:rPr>
          <w:spacing w:val="-19"/>
          <w:sz w:val="38"/>
        </w:rPr>
        <w:t> </w:t>
      </w:r>
      <w:r>
        <w:rPr>
          <w:sz w:val="38"/>
        </w:rPr>
        <w:t>by</w:t>
      </w:r>
      <w:r>
        <w:rPr>
          <w:spacing w:val="-20"/>
          <w:sz w:val="38"/>
        </w:rPr>
        <w:t> </w:t>
      </w:r>
      <w:r>
        <w:rPr>
          <w:sz w:val="38"/>
        </w:rPr>
        <w:t>nutrient</w:t>
      </w:r>
      <w:r>
        <w:rPr>
          <w:spacing w:val="-19"/>
          <w:sz w:val="38"/>
        </w:rPr>
        <w:t> </w:t>
      </w:r>
      <w:r>
        <w:rPr>
          <w:sz w:val="38"/>
        </w:rPr>
        <w:t>absorption,</w:t>
      </w:r>
      <w:r>
        <w:rPr>
          <w:spacing w:val="-18"/>
          <w:sz w:val="38"/>
        </w:rPr>
        <w:t> </w:t>
      </w:r>
      <w:r>
        <w:rPr>
          <w:sz w:val="38"/>
        </w:rPr>
        <w:t>is</w:t>
      </w:r>
      <w:r>
        <w:rPr>
          <w:spacing w:val="-20"/>
          <w:sz w:val="38"/>
        </w:rPr>
        <w:t> </w:t>
      </w:r>
      <w:r>
        <w:rPr>
          <w:sz w:val="38"/>
        </w:rPr>
        <w:t>lowered,</w:t>
      </w:r>
      <w:r>
        <w:rPr>
          <w:spacing w:val="-18"/>
          <w:sz w:val="38"/>
        </w:rPr>
        <w:t> </w:t>
      </w:r>
      <w:r>
        <w:rPr>
          <w:sz w:val="38"/>
        </w:rPr>
        <w:t>which also causes a reduction in cell destruction by free</w:t>
      </w:r>
      <w:r>
        <w:rPr>
          <w:spacing w:val="-3"/>
          <w:sz w:val="38"/>
        </w:rPr>
        <w:t> </w:t>
      </w:r>
      <w:r>
        <w:rPr>
          <w:sz w:val="38"/>
        </w:rPr>
        <w:t>radicals.</w:t>
      </w:r>
    </w:p>
    <w:p>
      <w:pPr>
        <w:pStyle w:val="ListParagraph"/>
        <w:numPr>
          <w:ilvl w:val="0"/>
          <w:numId w:val="102"/>
        </w:numPr>
        <w:tabs>
          <w:tab w:pos="1279" w:val="left" w:leader="none"/>
        </w:tabs>
        <w:spacing w:line="240" w:lineRule="auto" w:before="127" w:after="0"/>
        <w:ind w:left="1182" w:right="0" w:hanging="141"/>
        <w:jc w:val="left"/>
        <w:rPr>
          <w:sz w:val="38"/>
        </w:rPr>
      </w:pPr>
      <w:r>
        <w:rPr>
          <w:sz w:val="38"/>
        </w:rPr>
        <w:t>The</w:t>
      </w:r>
      <w:r>
        <w:rPr>
          <w:spacing w:val="27"/>
          <w:sz w:val="38"/>
        </w:rPr>
        <w:t> </w:t>
      </w:r>
      <w:r>
        <w:rPr>
          <w:sz w:val="38"/>
        </w:rPr>
        <w:t>metabolism</w:t>
      </w:r>
      <w:r>
        <w:rPr>
          <w:spacing w:val="27"/>
          <w:sz w:val="38"/>
        </w:rPr>
        <w:t> </w:t>
      </w:r>
      <w:r>
        <w:rPr>
          <w:sz w:val="38"/>
        </w:rPr>
        <w:t>is</w:t>
      </w:r>
      <w:r>
        <w:rPr>
          <w:spacing w:val="27"/>
          <w:sz w:val="38"/>
        </w:rPr>
        <w:t> </w:t>
      </w:r>
      <w:r>
        <w:rPr>
          <w:sz w:val="38"/>
        </w:rPr>
        <w:t>re-programmed,</w:t>
      </w:r>
      <w:r>
        <w:rPr>
          <w:spacing w:val="28"/>
          <w:sz w:val="38"/>
        </w:rPr>
        <w:t> </w:t>
      </w:r>
      <w:r>
        <w:rPr>
          <w:sz w:val="38"/>
        </w:rPr>
        <w:t>which</w:t>
      </w:r>
      <w:r>
        <w:rPr>
          <w:spacing w:val="28"/>
          <w:sz w:val="38"/>
        </w:rPr>
        <w:t> </w:t>
      </w:r>
      <w:r>
        <w:rPr>
          <w:sz w:val="38"/>
        </w:rPr>
        <w:t>is</w:t>
      </w:r>
      <w:r>
        <w:rPr>
          <w:spacing w:val="27"/>
          <w:sz w:val="38"/>
        </w:rPr>
        <w:t> </w:t>
      </w:r>
      <w:r>
        <w:rPr>
          <w:sz w:val="38"/>
        </w:rPr>
        <w:t>positively</w:t>
      </w:r>
      <w:r>
        <w:rPr>
          <w:spacing w:val="27"/>
          <w:sz w:val="38"/>
        </w:rPr>
        <w:t> </w:t>
      </w:r>
      <w:r>
        <w:rPr>
          <w:sz w:val="38"/>
        </w:rPr>
        <w:t>expressed</w:t>
      </w:r>
      <w:r>
        <w:rPr>
          <w:spacing w:val="28"/>
          <w:sz w:val="38"/>
        </w:rPr>
        <w:t> </w:t>
      </w:r>
      <w:r>
        <w:rPr>
          <w:sz w:val="38"/>
        </w:rPr>
        <w:t>all</w:t>
      </w:r>
      <w:r>
        <w:rPr>
          <w:spacing w:val="26"/>
          <w:sz w:val="38"/>
        </w:rPr>
        <w:t> </w:t>
      </w:r>
      <w:r>
        <w:rPr>
          <w:sz w:val="38"/>
        </w:rPr>
        <w:t>the</w:t>
      </w:r>
    </w:p>
    <w:p>
      <w:pPr>
        <w:pStyle w:val="BodyText"/>
        <w:spacing w:before="2"/>
        <w:rPr>
          <w:sz w:val="29"/>
        </w:rPr>
      </w:pPr>
      <w:r>
        <w:rPr/>
        <w:pict>
          <v:line style="position:absolute;mso-position-horizontal-relative:page;mso-position-vertical-relative:paragraph;z-index:10400;mso-wrap-distance-left:0;mso-wrap-distance-right:0" from="70.823997pt,18.786205pt" to="214.843997pt,18.786205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762 </w:t>
      </w:r>
      <w:r>
        <w:rPr>
          <w:sz w:val="20"/>
        </w:rPr>
        <w:t>McCay, C. M. et al.: The Effect of retarded growth upon the length of life span upon the ultimate body size. J. Nutr. 1935, 10, pp. 63–79.</w:t>
      </w:r>
    </w:p>
    <w:p>
      <w:pPr>
        <w:spacing w:after="0"/>
        <w:jc w:val="left"/>
        <w:rPr>
          <w:sz w:val="20"/>
        </w:rPr>
        <w:sectPr>
          <w:pgSz w:w="14270" w:h="16850"/>
          <w:pgMar w:header="0" w:footer="1891" w:top="1340" w:bottom="2080" w:left="800" w:right="1280"/>
        </w:sectPr>
      </w:pPr>
    </w:p>
    <w:p>
      <w:pPr>
        <w:pStyle w:val="BodyText"/>
        <w:spacing w:before="72"/>
        <w:ind w:left="1182"/>
      </w:pPr>
      <w:r>
        <w:rPr/>
        <w:t>way to the genes.</w:t>
      </w:r>
    </w:p>
    <w:p>
      <w:pPr>
        <w:pStyle w:val="ListParagraph"/>
        <w:numPr>
          <w:ilvl w:val="0"/>
          <w:numId w:val="102"/>
        </w:numPr>
        <w:tabs>
          <w:tab w:pos="1279" w:val="left" w:leader="none"/>
        </w:tabs>
        <w:spacing w:line="273" w:lineRule="auto" w:before="186" w:after="0"/>
        <w:ind w:left="1182" w:right="131" w:hanging="141"/>
        <w:jc w:val="both"/>
        <w:rPr>
          <w:sz w:val="38"/>
        </w:rPr>
      </w:pPr>
      <w:r>
        <w:rPr>
          <w:sz w:val="38"/>
        </w:rPr>
        <w:t>With</w:t>
      </w:r>
      <w:r>
        <w:rPr>
          <w:spacing w:val="-11"/>
          <w:sz w:val="38"/>
        </w:rPr>
        <w:t> </w:t>
      </w:r>
      <w:r>
        <w:rPr>
          <w:sz w:val="38"/>
        </w:rPr>
        <w:t>a</w:t>
      </w:r>
      <w:r>
        <w:rPr>
          <w:spacing w:val="-13"/>
          <w:sz w:val="38"/>
        </w:rPr>
        <w:t> </w:t>
      </w:r>
      <w:r>
        <w:rPr>
          <w:sz w:val="38"/>
        </w:rPr>
        <w:t>long-term</w:t>
      </w:r>
      <w:r>
        <w:rPr>
          <w:spacing w:val="-11"/>
          <w:sz w:val="38"/>
        </w:rPr>
        <w:t> </w:t>
      </w:r>
      <w:r>
        <w:rPr>
          <w:sz w:val="38"/>
        </w:rPr>
        <w:t>reduced</w:t>
      </w:r>
      <w:r>
        <w:rPr>
          <w:spacing w:val="-11"/>
          <w:sz w:val="38"/>
        </w:rPr>
        <w:t> </w:t>
      </w:r>
      <w:r>
        <w:rPr>
          <w:sz w:val="38"/>
        </w:rPr>
        <w:t>calorie</w:t>
      </w:r>
      <w:r>
        <w:rPr>
          <w:spacing w:val="-12"/>
          <w:sz w:val="38"/>
        </w:rPr>
        <w:t> </w:t>
      </w:r>
      <w:r>
        <w:rPr>
          <w:sz w:val="38"/>
        </w:rPr>
        <w:t>diet,</w:t>
      </w:r>
      <w:r>
        <w:rPr>
          <w:spacing w:val="-12"/>
          <w:sz w:val="38"/>
        </w:rPr>
        <w:t> </w:t>
      </w:r>
      <w:r>
        <w:rPr>
          <w:sz w:val="38"/>
        </w:rPr>
        <w:t>the</w:t>
      </w:r>
      <w:r>
        <w:rPr>
          <w:spacing w:val="-10"/>
          <w:sz w:val="38"/>
        </w:rPr>
        <w:t> </w:t>
      </w:r>
      <w:r>
        <w:rPr>
          <w:sz w:val="38"/>
        </w:rPr>
        <w:t>enzyme</w:t>
      </w:r>
      <w:r>
        <w:rPr>
          <w:spacing w:val="-11"/>
          <w:sz w:val="38"/>
        </w:rPr>
        <w:t> </w:t>
      </w:r>
      <w:r>
        <w:rPr>
          <w:sz w:val="38"/>
        </w:rPr>
        <w:t>‘Sirtuin-1’</w:t>
      </w:r>
      <w:r>
        <w:rPr>
          <w:spacing w:val="-11"/>
          <w:sz w:val="38"/>
        </w:rPr>
        <w:t> </w:t>
      </w:r>
      <w:r>
        <w:rPr>
          <w:sz w:val="38"/>
        </w:rPr>
        <w:t>(gene:</w:t>
      </w:r>
      <w:r>
        <w:rPr>
          <w:spacing w:val="-10"/>
          <w:sz w:val="38"/>
        </w:rPr>
        <w:t> </w:t>
      </w:r>
      <w:r>
        <w:rPr>
          <w:sz w:val="38"/>
        </w:rPr>
        <w:t>Sirt-1) is more intensely produced, which in turn decreases the expression of a receptor</w:t>
      </w:r>
      <w:r>
        <w:rPr>
          <w:spacing w:val="-22"/>
          <w:sz w:val="38"/>
        </w:rPr>
        <w:t> </w:t>
      </w:r>
      <w:r>
        <w:rPr>
          <w:sz w:val="38"/>
        </w:rPr>
        <w:t>called</w:t>
      </w:r>
      <w:r>
        <w:rPr>
          <w:spacing w:val="-22"/>
          <w:sz w:val="38"/>
        </w:rPr>
        <w:t> </w:t>
      </w:r>
      <w:r>
        <w:rPr>
          <w:sz w:val="38"/>
        </w:rPr>
        <w:t>‘mTOR’</w:t>
      </w:r>
      <w:r>
        <w:rPr>
          <w:spacing w:val="-19"/>
          <w:sz w:val="38"/>
        </w:rPr>
        <w:t> </w:t>
      </w:r>
      <w:r>
        <w:rPr>
          <w:sz w:val="38"/>
        </w:rPr>
        <w:t>(Mammalian</w:t>
      </w:r>
      <w:r>
        <w:rPr>
          <w:spacing w:val="-21"/>
          <w:sz w:val="38"/>
        </w:rPr>
        <w:t> </w:t>
      </w:r>
      <w:r>
        <w:rPr>
          <w:sz w:val="38"/>
        </w:rPr>
        <w:t>Target</w:t>
      </w:r>
      <w:r>
        <w:rPr>
          <w:spacing w:val="-20"/>
          <w:sz w:val="38"/>
        </w:rPr>
        <w:t> </w:t>
      </w:r>
      <w:r>
        <w:rPr>
          <w:sz w:val="38"/>
        </w:rPr>
        <w:t>of</w:t>
      </w:r>
      <w:r>
        <w:rPr>
          <w:spacing w:val="-20"/>
          <w:sz w:val="38"/>
        </w:rPr>
        <w:t> </w:t>
      </w:r>
      <w:r>
        <w:rPr>
          <w:sz w:val="38"/>
        </w:rPr>
        <w:t>Rapamycin),</w:t>
      </w:r>
      <w:r>
        <w:rPr>
          <w:spacing w:val="-20"/>
          <w:sz w:val="38"/>
        </w:rPr>
        <w:t> </w:t>
      </w:r>
      <w:r>
        <w:rPr>
          <w:sz w:val="38"/>
        </w:rPr>
        <w:t>among</w:t>
      </w:r>
      <w:r>
        <w:rPr>
          <w:spacing w:val="-20"/>
          <w:sz w:val="38"/>
        </w:rPr>
        <w:t> </w:t>
      </w:r>
      <w:r>
        <w:rPr>
          <w:sz w:val="38"/>
        </w:rPr>
        <w:t>others.</w:t>
      </w:r>
    </w:p>
    <w:p>
      <w:pPr>
        <w:pStyle w:val="BodyText"/>
        <w:spacing w:line="276" w:lineRule="auto" w:before="250"/>
        <w:ind w:left="616" w:right="134"/>
        <w:jc w:val="both"/>
      </w:pPr>
      <w:r>
        <w:rPr/>
        <w:t>Let us now turn to the latter aspect, the intensified activation of the ‘Sirt-1’ gene. This is a gene that, in times of famine in our ancestral prehistory, pro- tected against cell damage due to inflammation and oxidation. This gene, like the related Sirt-2, is still present in our bodies, but generally deactivated.</w:t>
      </w:r>
    </w:p>
    <w:p>
      <w:pPr>
        <w:pStyle w:val="BodyText"/>
        <w:spacing w:line="276" w:lineRule="auto" w:before="242"/>
        <w:ind w:left="616" w:right="133"/>
        <w:jc w:val="both"/>
      </w:pPr>
      <w:r>
        <w:rPr/>
        <w:t>During a period of famine, though, this gene is still activated and takes over true survival mechanisms, which are expressed in the form of important cell defence</w:t>
      </w:r>
      <w:r>
        <w:rPr>
          <w:spacing w:val="-9"/>
        </w:rPr>
        <w:t> </w:t>
      </w:r>
      <w:r>
        <w:rPr/>
        <w:t>mechanisms.</w:t>
      </w:r>
      <w:r>
        <w:rPr>
          <w:spacing w:val="-8"/>
        </w:rPr>
        <w:t> </w:t>
      </w:r>
      <w:r>
        <w:rPr/>
        <w:t>And</w:t>
      </w:r>
      <w:r>
        <w:rPr>
          <w:spacing w:val="-8"/>
        </w:rPr>
        <w:t> </w:t>
      </w:r>
      <w:r>
        <w:rPr/>
        <w:t>these</w:t>
      </w:r>
      <w:r>
        <w:rPr>
          <w:spacing w:val="-14"/>
        </w:rPr>
        <w:t> </w:t>
      </w:r>
      <w:r>
        <w:rPr/>
        <w:t>cell</w:t>
      </w:r>
      <w:r>
        <w:rPr>
          <w:spacing w:val="-10"/>
        </w:rPr>
        <w:t> </w:t>
      </w:r>
      <w:r>
        <w:rPr/>
        <w:t>defence</w:t>
      </w:r>
      <w:r>
        <w:rPr>
          <w:spacing w:val="-8"/>
        </w:rPr>
        <w:t> </w:t>
      </w:r>
      <w:r>
        <w:rPr/>
        <w:t>mechanisms</w:t>
      </w:r>
      <w:r>
        <w:rPr>
          <w:spacing w:val="-9"/>
        </w:rPr>
        <w:t> </w:t>
      </w:r>
      <w:r>
        <w:rPr/>
        <w:t>ultimately</w:t>
      </w:r>
      <w:r>
        <w:rPr>
          <w:spacing w:val="-8"/>
        </w:rPr>
        <w:t> </w:t>
      </w:r>
      <w:r>
        <w:rPr/>
        <w:t>lead</w:t>
      </w:r>
      <w:r>
        <w:rPr>
          <w:spacing w:val="-10"/>
        </w:rPr>
        <w:t> </w:t>
      </w:r>
      <w:r>
        <w:rPr/>
        <w:t>to</w:t>
      </w:r>
      <w:r>
        <w:rPr>
          <w:spacing w:val="-9"/>
        </w:rPr>
        <w:t> </w:t>
      </w:r>
      <w:r>
        <w:rPr/>
        <w:t>an extension of life and to numerous health</w:t>
      </w:r>
      <w:r>
        <w:rPr>
          <w:spacing w:val="-1"/>
        </w:rPr>
        <w:t> </w:t>
      </w:r>
      <w:r>
        <w:rPr/>
        <w:t>benefits.</w:t>
      </w:r>
    </w:p>
    <w:p>
      <w:pPr>
        <w:pStyle w:val="BodyText"/>
        <w:rPr>
          <w:sz w:val="42"/>
        </w:rPr>
      </w:pPr>
    </w:p>
    <w:p>
      <w:pPr>
        <w:pStyle w:val="BodyText"/>
        <w:spacing w:before="4"/>
        <w:rPr>
          <w:sz w:val="44"/>
        </w:rPr>
      </w:pPr>
    </w:p>
    <w:p>
      <w:pPr>
        <w:pStyle w:val="Heading2"/>
        <w:ind w:left="616"/>
      </w:pPr>
      <w:r>
        <w:rPr/>
        <w:t>Further health benefits of a reduced calorie diet:</w:t>
      </w:r>
    </w:p>
    <w:p>
      <w:pPr>
        <w:pStyle w:val="BodyText"/>
        <w:spacing w:line="276" w:lineRule="auto" w:before="305"/>
        <w:ind w:left="616" w:right="136"/>
        <w:jc w:val="both"/>
      </w:pPr>
      <w:r>
        <w:rPr/>
        <w:t>It is of course logical that life extension automatically also has health benefits. Many diseases, like cancer or diabetes, usually first appear in advanced age.</w:t>
      </w:r>
    </w:p>
    <w:p>
      <w:pPr>
        <w:pStyle w:val="BodyText"/>
        <w:spacing w:line="276" w:lineRule="auto" w:before="238"/>
        <w:ind w:left="616" w:right="137"/>
        <w:jc w:val="both"/>
      </w:pPr>
      <w:r>
        <w:rPr/>
        <w:t>The SIRT enzyme activated through calorie reduction ensures optimised en- ergy production in the mitochondria, the detoxification of hydrogen peroxide and better cell defences as well as an optimised repair of sick cells. All of this contributes to diseases, which usually appear more often with age, becoming rarer.</w:t>
      </w:r>
    </w:p>
    <w:p>
      <w:pPr>
        <w:spacing w:after="0" w:line="276" w:lineRule="auto"/>
        <w:jc w:val="both"/>
        <w:sectPr>
          <w:pgSz w:w="14270" w:h="16850"/>
          <w:pgMar w:header="0" w:footer="1891" w:top="1340" w:bottom="2080" w:left="800" w:right="1280"/>
        </w:sectPr>
      </w:pPr>
    </w:p>
    <w:p>
      <w:pPr>
        <w:pStyle w:val="Heading2"/>
        <w:spacing w:before="72"/>
        <w:ind w:left="616"/>
      </w:pPr>
      <w:r>
        <w:rPr/>
        <w:t>Resveratrol imitates the mechanisms of calorie restriction</w:t>
      </w:r>
    </w:p>
    <w:p>
      <w:pPr>
        <w:pStyle w:val="BodyText"/>
        <w:spacing w:line="276" w:lineRule="auto" w:before="304"/>
        <w:ind w:left="616" w:right="133"/>
        <w:jc w:val="both"/>
        <w:rPr>
          <w:sz w:val="25"/>
        </w:rPr>
      </w:pPr>
      <w:r>
        <w:rPr/>
        <w:t>Just like a reduced calorie diet (see above!), resveratrol is able to promote the expression of the sirtuin enzyme, which has led, in studies, to life extension and promotion of health. Sirtuin-1 is also among the seven total sirtuins pre- sent</w:t>
      </w:r>
      <w:r>
        <w:rPr>
          <w:spacing w:val="-23"/>
        </w:rPr>
        <w:t> </w:t>
      </w:r>
      <w:r>
        <w:rPr/>
        <w:t>in</w:t>
      </w:r>
      <w:r>
        <w:rPr>
          <w:spacing w:val="-21"/>
        </w:rPr>
        <w:t> </w:t>
      </w:r>
      <w:r>
        <w:rPr/>
        <w:t>humans</w:t>
      </w:r>
      <w:r>
        <w:rPr>
          <w:spacing w:val="-23"/>
        </w:rPr>
        <w:t> </w:t>
      </w:r>
      <w:r>
        <w:rPr/>
        <w:t>which</w:t>
      </w:r>
      <w:r>
        <w:rPr>
          <w:spacing w:val="-20"/>
        </w:rPr>
        <w:t> </w:t>
      </w:r>
      <w:r>
        <w:rPr/>
        <w:t>possess</w:t>
      </w:r>
      <w:r>
        <w:rPr>
          <w:spacing w:val="-23"/>
        </w:rPr>
        <w:t> </w:t>
      </w:r>
      <w:r>
        <w:rPr/>
        <w:t>the</w:t>
      </w:r>
      <w:r>
        <w:rPr>
          <w:spacing w:val="-21"/>
        </w:rPr>
        <w:t> </w:t>
      </w:r>
      <w:r>
        <w:rPr/>
        <w:t>ability</w:t>
      </w:r>
      <w:r>
        <w:rPr>
          <w:spacing w:val="-22"/>
        </w:rPr>
        <w:t> </w:t>
      </w:r>
      <w:r>
        <w:rPr/>
        <w:t>to</w:t>
      </w:r>
      <w:r>
        <w:rPr>
          <w:spacing w:val="-21"/>
        </w:rPr>
        <w:t> </w:t>
      </w:r>
      <w:r>
        <w:rPr/>
        <w:t>deacetylise,</w:t>
      </w:r>
      <w:r>
        <w:rPr>
          <w:spacing w:val="-21"/>
        </w:rPr>
        <w:t> </w:t>
      </w:r>
      <w:r>
        <w:rPr/>
        <w:t>another</w:t>
      </w:r>
      <w:r>
        <w:rPr>
          <w:spacing w:val="-20"/>
        </w:rPr>
        <w:t> </w:t>
      </w:r>
      <w:r>
        <w:rPr/>
        <w:t>essential</w:t>
      </w:r>
      <w:r>
        <w:rPr>
          <w:spacing w:val="-23"/>
        </w:rPr>
        <w:t> </w:t>
      </w:r>
      <w:r>
        <w:rPr/>
        <w:t>aspect of active anti-ageing measures which should be</w:t>
      </w:r>
      <w:r>
        <w:rPr>
          <w:spacing w:val="-2"/>
        </w:rPr>
        <w:t> </w:t>
      </w:r>
      <w:r>
        <w:rPr/>
        <w:t>noted.</w:t>
      </w:r>
      <w:r>
        <w:rPr>
          <w:position w:val="9"/>
          <w:sz w:val="25"/>
        </w:rPr>
        <w:t>763</w:t>
      </w:r>
    </w:p>
    <w:p>
      <w:pPr>
        <w:pStyle w:val="BodyText"/>
        <w:rPr>
          <w:sz w:val="42"/>
        </w:rPr>
      </w:pPr>
    </w:p>
    <w:p>
      <w:pPr>
        <w:pStyle w:val="BodyText"/>
        <w:spacing w:before="5"/>
        <w:rPr>
          <w:sz w:val="44"/>
        </w:rPr>
      </w:pPr>
    </w:p>
    <w:p>
      <w:pPr>
        <w:pStyle w:val="Heading2"/>
        <w:spacing w:line="276" w:lineRule="auto"/>
        <w:ind w:left="616" w:right="145"/>
        <w:jc w:val="both"/>
      </w:pPr>
      <w:r>
        <w:rPr/>
        <w:t>According to several studies at Harvard University, resveratrol can po- tentially extend lifespan by 20 years.</w:t>
      </w:r>
    </w:p>
    <w:p>
      <w:pPr>
        <w:pStyle w:val="BodyText"/>
        <w:spacing w:line="276" w:lineRule="auto" w:before="241"/>
        <w:ind w:left="616" w:right="135"/>
        <w:jc w:val="both"/>
        <w:rPr>
          <w:sz w:val="25"/>
        </w:rPr>
      </w:pPr>
      <w:r>
        <w:rPr/>
        <w:t>After a study carried out on human subjects, scientists from the renowned Harvard</w:t>
      </w:r>
      <w:r>
        <w:rPr>
          <w:spacing w:val="-11"/>
        </w:rPr>
        <w:t> </w:t>
      </w:r>
      <w:r>
        <w:rPr/>
        <w:t>University</w:t>
      </w:r>
      <w:r>
        <w:rPr>
          <w:spacing w:val="-10"/>
        </w:rPr>
        <w:t> </w:t>
      </w:r>
      <w:r>
        <w:rPr/>
        <w:t>recently</w:t>
      </w:r>
      <w:r>
        <w:rPr>
          <w:spacing w:val="-11"/>
        </w:rPr>
        <w:t> </w:t>
      </w:r>
      <w:r>
        <w:rPr/>
        <w:t>caused</w:t>
      </w:r>
      <w:r>
        <w:rPr>
          <w:spacing w:val="-10"/>
        </w:rPr>
        <w:t> </w:t>
      </w:r>
      <w:r>
        <w:rPr/>
        <w:t>a</w:t>
      </w:r>
      <w:r>
        <w:rPr>
          <w:spacing w:val="-11"/>
        </w:rPr>
        <w:t> </w:t>
      </w:r>
      <w:r>
        <w:rPr/>
        <w:t>minor</w:t>
      </w:r>
      <w:r>
        <w:rPr>
          <w:spacing w:val="-12"/>
        </w:rPr>
        <w:t> </w:t>
      </w:r>
      <w:r>
        <w:rPr/>
        <w:t>sensation</w:t>
      </w:r>
      <w:r>
        <w:rPr>
          <w:spacing w:val="-10"/>
        </w:rPr>
        <w:t> </w:t>
      </w:r>
      <w:r>
        <w:rPr/>
        <w:t>when,</w:t>
      </w:r>
      <w:r>
        <w:rPr>
          <w:spacing w:val="-9"/>
        </w:rPr>
        <w:t> </w:t>
      </w:r>
      <w:r>
        <w:rPr/>
        <w:t>after</w:t>
      </w:r>
      <w:r>
        <w:rPr>
          <w:spacing w:val="-10"/>
        </w:rPr>
        <w:t> </w:t>
      </w:r>
      <w:r>
        <w:rPr/>
        <w:t>a</w:t>
      </w:r>
      <w:r>
        <w:rPr>
          <w:spacing w:val="-11"/>
        </w:rPr>
        <w:t> </w:t>
      </w:r>
      <w:r>
        <w:rPr/>
        <w:t>resveratrol study, they proclaimed that you could prolong your life by approximately 20 years with resveratrol!</w:t>
      </w:r>
      <w:r>
        <w:rPr>
          <w:spacing w:val="4"/>
        </w:rPr>
        <w:t> </w:t>
      </w:r>
      <w:r>
        <w:rPr>
          <w:position w:val="9"/>
          <w:sz w:val="25"/>
        </w:rPr>
        <w:t>764</w:t>
      </w:r>
    </w:p>
    <w:p>
      <w:pPr>
        <w:pStyle w:val="Heading2"/>
        <w:spacing w:before="239"/>
        <w:ind w:left="616"/>
      </w:pPr>
      <w:r>
        <w:rPr/>
        <w:t>Dr.</w:t>
      </w:r>
      <w:r>
        <w:rPr>
          <w:spacing w:val="-18"/>
        </w:rPr>
        <w:t> </w:t>
      </w:r>
      <w:r>
        <w:rPr/>
        <w:t>Miller</w:t>
      </w:r>
      <w:r>
        <w:rPr>
          <w:spacing w:val="-17"/>
        </w:rPr>
        <w:t> </w:t>
      </w:r>
      <w:r>
        <w:rPr/>
        <w:t>of</w:t>
      </w:r>
      <w:r>
        <w:rPr>
          <w:spacing w:val="-17"/>
        </w:rPr>
        <w:t> </w:t>
      </w:r>
      <w:r>
        <w:rPr/>
        <w:t>the</w:t>
      </w:r>
      <w:r>
        <w:rPr>
          <w:spacing w:val="-15"/>
        </w:rPr>
        <w:t> </w:t>
      </w:r>
      <w:r>
        <w:rPr/>
        <w:t>University</w:t>
      </w:r>
      <w:r>
        <w:rPr>
          <w:spacing w:val="-16"/>
        </w:rPr>
        <w:t> </w:t>
      </w:r>
      <w:r>
        <w:rPr/>
        <w:t>of</w:t>
      </w:r>
      <w:r>
        <w:rPr>
          <w:spacing w:val="-17"/>
        </w:rPr>
        <w:t> </w:t>
      </w:r>
      <w:r>
        <w:rPr/>
        <w:t>Michigan</w:t>
      </w:r>
      <w:r>
        <w:rPr>
          <w:spacing w:val="-17"/>
        </w:rPr>
        <w:t> </w:t>
      </w:r>
      <w:r>
        <w:rPr/>
        <w:t>estimates</w:t>
      </w:r>
      <w:r>
        <w:rPr>
          <w:spacing w:val="-16"/>
        </w:rPr>
        <w:t> </w:t>
      </w:r>
      <w:r>
        <w:rPr/>
        <w:t>112</w:t>
      </w:r>
      <w:r>
        <w:rPr>
          <w:spacing w:val="-17"/>
        </w:rPr>
        <w:t> </w:t>
      </w:r>
      <w:r>
        <w:rPr/>
        <w:t>to</w:t>
      </w:r>
      <w:r>
        <w:rPr>
          <w:spacing w:val="-18"/>
        </w:rPr>
        <w:t> </w:t>
      </w:r>
      <w:r>
        <w:rPr/>
        <w:t>140</w:t>
      </w:r>
      <w:r>
        <w:rPr>
          <w:spacing w:val="-15"/>
        </w:rPr>
        <w:t> </w:t>
      </w:r>
      <w:r>
        <w:rPr/>
        <w:t>years</w:t>
      </w:r>
      <w:r>
        <w:rPr>
          <w:spacing w:val="-17"/>
        </w:rPr>
        <w:t> </w:t>
      </w:r>
      <w:r>
        <w:rPr/>
        <w:t>of</w:t>
      </w:r>
      <w:r>
        <w:rPr>
          <w:spacing w:val="-16"/>
        </w:rPr>
        <w:t> </w:t>
      </w:r>
      <w:r>
        <w:rPr/>
        <w:t>life.</w:t>
      </w:r>
    </w:p>
    <w:p>
      <w:pPr>
        <w:pStyle w:val="BodyText"/>
        <w:spacing w:line="276" w:lineRule="auto" w:before="305"/>
        <w:ind w:left="616" w:right="134"/>
        <w:jc w:val="both"/>
        <w:rPr>
          <w:sz w:val="25"/>
        </w:rPr>
      </w:pPr>
      <w:r>
        <w:rPr/>
        <w:t>Inspired by his study of mice, Dr. Miller of the University of Michigan esti- mates</w:t>
      </w:r>
      <w:r>
        <w:rPr>
          <w:spacing w:val="-6"/>
        </w:rPr>
        <w:t> </w:t>
      </w:r>
      <w:r>
        <w:rPr/>
        <w:t>that</w:t>
      </w:r>
      <w:r>
        <w:rPr>
          <w:spacing w:val="-6"/>
        </w:rPr>
        <w:t> </w:t>
      </w:r>
      <w:r>
        <w:rPr/>
        <w:t>a</w:t>
      </w:r>
      <w:r>
        <w:rPr>
          <w:spacing w:val="-7"/>
        </w:rPr>
        <w:t> </w:t>
      </w:r>
      <w:r>
        <w:rPr/>
        <w:t>person</w:t>
      </w:r>
      <w:r>
        <w:rPr>
          <w:spacing w:val="-5"/>
        </w:rPr>
        <w:t> </w:t>
      </w:r>
      <w:r>
        <w:rPr/>
        <w:t>could</w:t>
      </w:r>
      <w:r>
        <w:rPr>
          <w:spacing w:val="-6"/>
        </w:rPr>
        <w:t> </w:t>
      </w:r>
      <w:r>
        <w:rPr/>
        <w:t>live</w:t>
      </w:r>
      <w:r>
        <w:rPr>
          <w:spacing w:val="-7"/>
        </w:rPr>
        <w:t> </w:t>
      </w:r>
      <w:r>
        <w:rPr/>
        <w:t>to</w:t>
      </w:r>
      <w:r>
        <w:rPr>
          <w:spacing w:val="-5"/>
        </w:rPr>
        <w:t> </w:t>
      </w:r>
      <w:r>
        <w:rPr/>
        <w:t>a</w:t>
      </w:r>
      <w:r>
        <w:rPr>
          <w:spacing w:val="-7"/>
        </w:rPr>
        <w:t> </w:t>
      </w:r>
      <w:r>
        <w:rPr/>
        <w:t>healthy</w:t>
      </w:r>
      <w:r>
        <w:rPr>
          <w:spacing w:val="-6"/>
        </w:rPr>
        <w:t> </w:t>
      </w:r>
      <w:r>
        <w:rPr/>
        <w:t>112</w:t>
      </w:r>
      <w:r>
        <w:rPr>
          <w:spacing w:val="-7"/>
        </w:rPr>
        <w:t> </w:t>
      </w:r>
      <w:r>
        <w:rPr/>
        <w:t>or</w:t>
      </w:r>
      <w:r>
        <w:rPr>
          <w:spacing w:val="-7"/>
        </w:rPr>
        <w:t> </w:t>
      </w:r>
      <w:r>
        <w:rPr/>
        <w:t>even</w:t>
      </w:r>
      <w:r>
        <w:rPr>
          <w:spacing w:val="-5"/>
        </w:rPr>
        <w:t> </w:t>
      </w:r>
      <w:r>
        <w:rPr/>
        <w:t>140</w:t>
      </w:r>
      <w:r>
        <w:rPr>
          <w:spacing w:val="-7"/>
        </w:rPr>
        <w:t> </w:t>
      </w:r>
      <w:r>
        <w:rPr/>
        <w:t>years</w:t>
      </w:r>
      <w:r>
        <w:rPr>
          <w:spacing w:val="-7"/>
        </w:rPr>
        <w:t> </w:t>
      </w:r>
      <w:r>
        <w:rPr/>
        <w:t>with</w:t>
      </w:r>
      <w:r>
        <w:rPr>
          <w:spacing w:val="-6"/>
        </w:rPr>
        <w:t> </w:t>
      </w:r>
      <w:r>
        <w:rPr/>
        <w:t>the</w:t>
      </w:r>
      <w:r>
        <w:rPr>
          <w:spacing w:val="-5"/>
        </w:rPr>
        <w:t> </w:t>
      </w:r>
      <w:r>
        <w:rPr/>
        <w:t>help of resveratrol.</w:t>
      </w:r>
      <w:r>
        <w:rPr>
          <w:spacing w:val="1"/>
        </w:rPr>
        <w:t> </w:t>
      </w:r>
      <w:r>
        <w:rPr>
          <w:position w:val="9"/>
          <w:sz w:val="25"/>
        </w:rPr>
        <w:t>765</w:t>
      </w:r>
    </w:p>
    <w:p>
      <w:pPr>
        <w:pStyle w:val="Heading2"/>
        <w:spacing w:before="224"/>
        <w:ind w:left="616"/>
        <w:jc w:val="both"/>
      </w:pPr>
      <w:r>
        <w:rPr/>
        <w:t>Resveratrol can defend against Alzheimer’s</w:t>
      </w:r>
      <w:r>
        <w:rPr>
          <w:i/>
          <w:sz w:val="40"/>
        </w:rPr>
        <w:t>, </w:t>
      </w:r>
      <w:r>
        <w:rPr/>
        <w:t>neurodegenerative diseases</w:t>
      </w:r>
    </w:p>
    <w:p>
      <w:pPr>
        <w:pStyle w:val="BodyText"/>
        <w:rPr>
          <w:b/>
          <w:sz w:val="20"/>
        </w:rPr>
      </w:pPr>
    </w:p>
    <w:p>
      <w:pPr>
        <w:pStyle w:val="BodyText"/>
        <w:spacing w:before="3"/>
        <w:rPr>
          <w:b/>
          <w:sz w:val="24"/>
        </w:rPr>
      </w:pPr>
      <w:r>
        <w:rPr/>
        <w:pict>
          <v:line style="position:absolute;mso-position-horizontal-relative:page;mso-position-vertical-relative:paragraph;z-index:10424;mso-wrap-distance-left:0;mso-wrap-distance-right:0" from="70.823997pt,16.027485pt" to="214.843997pt,16.027485pt" stroked="true" strokeweight=".72003pt" strokecolor="#000000">
            <v:stroke dashstyle="solid"/>
            <w10:wrap type="topAndBottom"/>
          </v:line>
        </w:pict>
      </w:r>
    </w:p>
    <w:p>
      <w:pPr>
        <w:pStyle w:val="BodyText"/>
        <w:spacing w:before="7"/>
        <w:rPr>
          <w:b/>
          <w:sz w:val="18"/>
        </w:rPr>
      </w:pPr>
    </w:p>
    <w:p>
      <w:pPr>
        <w:spacing w:before="99"/>
        <w:ind w:left="616" w:right="0" w:firstLine="0"/>
        <w:jc w:val="left"/>
        <w:rPr>
          <w:sz w:val="20"/>
        </w:rPr>
      </w:pPr>
      <w:r>
        <w:rPr>
          <w:position w:val="5"/>
          <w:sz w:val="13"/>
        </w:rPr>
        <w:t>763 </w:t>
      </w:r>
      <w:hyperlink r:id="rId325">
        <w:r>
          <w:rPr>
            <w:sz w:val="20"/>
          </w:rPr>
          <w:t>http://en.wikipedia.org/wiki/Sirtuin-1</w:t>
        </w:r>
      </w:hyperlink>
    </w:p>
    <w:p>
      <w:pPr>
        <w:spacing w:before="92"/>
        <w:ind w:left="616" w:right="0" w:firstLine="0"/>
        <w:jc w:val="left"/>
        <w:rPr>
          <w:sz w:val="20"/>
        </w:rPr>
      </w:pPr>
      <w:r>
        <w:rPr>
          <w:position w:val="5"/>
          <w:sz w:val="13"/>
        </w:rPr>
        <w:t>764</w:t>
      </w:r>
      <w:hyperlink r:id="rId326">
        <w:r>
          <w:rPr>
            <w:sz w:val="20"/>
          </w:rPr>
          <w:t>http://www.advancedbionutritionals.com/Products/Dr-Rowen-Favorites/Advacend-Resveratrol-Formula-ABRESV3.htm</w:t>
        </w:r>
      </w:hyperlink>
    </w:p>
    <w:p>
      <w:pPr>
        <w:spacing w:before="94"/>
        <w:ind w:left="616" w:right="0" w:firstLine="0"/>
        <w:jc w:val="left"/>
        <w:rPr>
          <w:sz w:val="20"/>
        </w:rPr>
      </w:pPr>
      <w:r>
        <w:rPr>
          <w:position w:val="5"/>
          <w:sz w:val="13"/>
        </w:rPr>
        <w:t>765 </w:t>
      </w:r>
      <w:r>
        <w:rPr>
          <w:sz w:val="20"/>
        </w:rPr>
        <w:t>Harper J. et al.: Stress resistance and aging: influence of genes and nutrition. Mech Ageing Dev., 2006 Aug, 127 (8), pp. 687–694.</w:t>
      </w:r>
    </w:p>
    <w:p>
      <w:pPr>
        <w:spacing w:after="0"/>
        <w:jc w:val="left"/>
        <w:rPr>
          <w:sz w:val="20"/>
        </w:rPr>
        <w:sectPr>
          <w:pgSz w:w="14270" w:h="16850"/>
          <w:pgMar w:header="0" w:footer="1891" w:top="1340" w:bottom="2080" w:left="800" w:right="1280"/>
        </w:sectPr>
      </w:pPr>
    </w:p>
    <w:p>
      <w:pPr>
        <w:pStyle w:val="Heading2"/>
        <w:spacing w:before="75"/>
        <w:ind w:left="616"/>
        <w:rPr>
          <w:i/>
          <w:sz w:val="40"/>
        </w:rPr>
      </w:pPr>
      <w:r>
        <w:rPr/>
        <w:t>and stroke</w:t>
      </w:r>
      <w:r>
        <w:rPr>
          <w:i/>
          <w:sz w:val="40"/>
        </w:rPr>
        <w:t>.</w:t>
      </w:r>
    </w:p>
    <w:p>
      <w:pPr>
        <w:pStyle w:val="BodyText"/>
        <w:spacing w:line="276" w:lineRule="auto" w:before="299"/>
        <w:ind w:left="616" w:right="138"/>
        <w:jc w:val="both"/>
        <w:rPr>
          <w:sz w:val="25"/>
        </w:rPr>
      </w:pPr>
      <w:r>
        <w:rPr/>
        <w:t>Researchers</w:t>
      </w:r>
      <w:r>
        <w:rPr>
          <w:spacing w:val="-7"/>
        </w:rPr>
        <w:t> </w:t>
      </w:r>
      <w:r>
        <w:rPr/>
        <w:t>at</w:t>
      </w:r>
      <w:r>
        <w:rPr>
          <w:spacing w:val="-11"/>
        </w:rPr>
        <w:t> </w:t>
      </w:r>
      <w:r>
        <w:rPr/>
        <w:t>Harvard</w:t>
      </w:r>
      <w:r>
        <w:rPr>
          <w:spacing w:val="-7"/>
        </w:rPr>
        <w:t> </w:t>
      </w:r>
      <w:r>
        <w:rPr/>
        <w:t>assume,</w:t>
      </w:r>
      <w:r>
        <w:rPr>
          <w:spacing w:val="-7"/>
        </w:rPr>
        <w:t> </w:t>
      </w:r>
      <w:r>
        <w:rPr/>
        <w:t>in</w:t>
      </w:r>
      <w:r>
        <w:rPr>
          <w:spacing w:val="-7"/>
        </w:rPr>
        <w:t> </w:t>
      </w:r>
      <w:r>
        <w:rPr/>
        <w:t>line</w:t>
      </w:r>
      <w:r>
        <w:rPr>
          <w:spacing w:val="-8"/>
        </w:rPr>
        <w:t> </w:t>
      </w:r>
      <w:r>
        <w:rPr/>
        <w:t>with</w:t>
      </w:r>
      <w:r>
        <w:rPr>
          <w:spacing w:val="-6"/>
        </w:rPr>
        <w:t> </w:t>
      </w:r>
      <w:r>
        <w:rPr/>
        <w:t>corresponding</w:t>
      </w:r>
      <w:r>
        <w:rPr>
          <w:spacing w:val="-6"/>
        </w:rPr>
        <w:t> </w:t>
      </w:r>
      <w:r>
        <w:rPr/>
        <w:t>studies</w:t>
      </w:r>
      <w:r>
        <w:rPr>
          <w:spacing w:val="-8"/>
        </w:rPr>
        <w:t> </w:t>
      </w:r>
      <w:r>
        <w:rPr/>
        <w:t>on</w:t>
      </w:r>
      <w:r>
        <w:rPr>
          <w:spacing w:val="-6"/>
        </w:rPr>
        <w:t> </w:t>
      </w:r>
      <w:r>
        <w:rPr/>
        <w:t>resvera- trol, that resveratrol can protect against Alzheimer’s, neurodegenerative dis- eases and even</w:t>
      </w:r>
      <w:r>
        <w:rPr>
          <w:spacing w:val="1"/>
        </w:rPr>
        <w:t> </w:t>
      </w:r>
      <w:r>
        <w:rPr/>
        <w:t>stroke.</w:t>
      </w:r>
      <w:r>
        <w:rPr>
          <w:position w:val="9"/>
          <w:sz w:val="25"/>
        </w:rPr>
        <w:t>766</w:t>
      </w:r>
    </w:p>
    <w:p>
      <w:pPr>
        <w:pStyle w:val="BodyText"/>
        <w:rPr>
          <w:sz w:val="42"/>
        </w:rPr>
      </w:pPr>
    </w:p>
    <w:p>
      <w:pPr>
        <w:pStyle w:val="Heading2"/>
        <w:spacing w:before="260"/>
        <w:ind w:left="616"/>
      </w:pPr>
      <w:r>
        <w:rPr/>
        <w:t>How much resveratrol should you take for the purpose of life extension?</w:t>
      </w:r>
    </w:p>
    <w:p>
      <w:pPr>
        <w:spacing w:before="66"/>
        <w:ind w:left="616" w:right="0" w:firstLine="0"/>
        <w:jc w:val="left"/>
        <w:rPr>
          <w:b/>
          <w:sz w:val="38"/>
        </w:rPr>
      </w:pPr>
      <w:r>
        <w:rPr>
          <w:b/>
          <w:sz w:val="38"/>
        </w:rPr>
        <w:t>– Dosage</w:t>
      </w:r>
    </w:p>
    <w:p>
      <w:pPr>
        <w:pStyle w:val="BodyText"/>
        <w:spacing w:line="276" w:lineRule="auto" w:before="304"/>
        <w:ind w:left="616" w:right="136"/>
        <w:jc w:val="both"/>
      </w:pPr>
      <w:r>
        <w:rPr/>
        <w:t>If</w:t>
      </w:r>
      <w:r>
        <w:rPr>
          <w:spacing w:val="-22"/>
        </w:rPr>
        <w:t> </w:t>
      </w:r>
      <w:r>
        <w:rPr/>
        <w:t>we</w:t>
      </w:r>
      <w:r>
        <w:rPr>
          <w:spacing w:val="-21"/>
        </w:rPr>
        <w:t> </w:t>
      </w:r>
      <w:r>
        <w:rPr/>
        <w:t>take</w:t>
      </w:r>
      <w:r>
        <w:rPr>
          <w:spacing w:val="-22"/>
        </w:rPr>
        <w:t> </w:t>
      </w:r>
      <w:r>
        <w:rPr/>
        <w:t>the</w:t>
      </w:r>
      <w:r>
        <w:rPr>
          <w:spacing w:val="-19"/>
        </w:rPr>
        <w:t> </w:t>
      </w:r>
      <w:r>
        <w:rPr/>
        <w:t>concentration</w:t>
      </w:r>
      <w:r>
        <w:rPr>
          <w:spacing w:val="-20"/>
        </w:rPr>
        <w:t> </w:t>
      </w:r>
      <w:r>
        <w:rPr/>
        <w:t>of</w:t>
      </w:r>
      <w:r>
        <w:rPr>
          <w:spacing w:val="-20"/>
        </w:rPr>
        <w:t> </w:t>
      </w:r>
      <w:r>
        <w:rPr/>
        <w:t>resveratrol</w:t>
      </w:r>
      <w:r>
        <w:rPr>
          <w:spacing w:val="-22"/>
        </w:rPr>
        <w:t> </w:t>
      </w:r>
      <w:r>
        <w:rPr/>
        <w:t>used</w:t>
      </w:r>
      <w:r>
        <w:rPr>
          <w:spacing w:val="-20"/>
        </w:rPr>
        <w:t> </w:t>
      </w:r>
      <w:r>
        <w:rPr/>
        <w:t>in</w:t>
      </w:r>
      <w:r>
        <w:rPr>
          <w:spacing w:val="-20"/>
        </w:rPr>
        <w:t> </w:t>
      </w:r>
      <w:r>
        <w:rPr/>
        <w:t>the</w:t>
      </w:r>
      <w:r>
        <w:rPr>
          <w:spacing w:val="-20"/>
        </w:rPr>
        <w:t> </w:t>
      </w:r>
      <w:r>
        <w:rPr/>
        <w:t>animal</w:t>
      </w:r>
      <w:r>
        <w:rPr>
          <w:spacing w:val="-21"/>
        </w:rPr>
        <w:t> </w:t>
      </w:r>
      <w:r>
        <w:rPr/>
        <w:t>studies</w:t>
      </w:r>
      <w:r>
        <w:rPr>
          <w:spacing w:val="-20"/>
        </w:rPr>
        <w:t> </w:t>
      </w:r>
      <w:r>
        <w:rPr/>
        <w:t>of</w:t>
      </w:r>
      <w:r>
        <w:rPr>
          <w:spacing w:val="-20"/>
        </w:rPr>
        <w:t> </w:t>
      </w:r>
      <w:r>
        <w:rPr/>
        <w:t>Sinclair as our basis, which led to a life extension in animals, and extrapolate this to human</w:t>
      </w:r>
      <w:r>
        <w:rPr>
          <w:spacing w:val="-19"/>
        </w:rPr>
        <w:t> </w:t>
      </w:r>
      <w:r>
        <w:rPr/>
        <w:t>beings,</w:t>
      </w:r>
      <w:r>
        <w:rPr>
          <w:spacing w:val="-21"/>
        </w:rPr>
        <w:t> </w:t>
      </w:r>
      <w:r>
        <w:rPr/>
        <w:t>then</w:t>
      </w:r>
      <w:r>
        <w:rPr>
          <w:spacing w:val="-18"/>
        </w:rPr>
        <w:t> </w:t>
      </w:r>
      <w:r>
        <w:rPr/>
        <w:t>one</w:t>
      </w:r>
      <w:r>
        <w:rPr>
          <w:spacing w:val="-19"/>
        </w:rPr>
        <w:t> </w:t>
      </w:r>
      <w:r>
        <w:rPr/>
        <w:t>would</w:t>
      </w:r>
      <w:r>
        <w:rPr>
          <w:spacing w:val="-19"/>
        </w:rPr>
        <w:t> </w:t>
      </w:r>
      <w:r>
        <w:rPr/>
        <w:t>have</w:t>
      </w:r>
      <w:r>
        <w:rPr>
          <w:spacing w:val="-20"/>
        </w:rPr>
        <w:t> </w:t>
      </w:r>
      <w:r>
        <w:rPr/>
        <w:t>to</w:t>
      </w:r>
      <w:r>
        <w:rPr>
          <w:spacing w:val="-19"/>
        </w:rPr>
        <w:t> </w:t>
      </w:r>
      <w:r>
        <w:rPr/>
        <w:t>take</w:t>
      </w:r>
      <w:r>
        <w:rPr>
          <w:spacing w:val="-20"/>
        </w:rPr>
        <w:t> </w:t>
      </w:r>
      <w:r>
        <w:rPr/>
        <w:t>120</w:t>
      </w:r>
      <w:r>
        <w:rPr>
          <w:spacing w:val="-22"/>
        </w:rPr>
        <w:t> </w:t>
      </w:r>
      <w:r>
        <w:rPr/>
        <w:t>mg</w:t>
      </w:r>
      <w:r>
        <w:rPr>
          <w:spacing w:val="-18"/>
        </w:rPr>
        <w:t> </w:t>
      </w:r>
      <w:r>
        <w:rPr/>
        <w:t>of</w:t>
      </w:r>
      <w:r>
        <w:rPr>
          <w:spacing w:val="-21"/>
        </w:rPr>
        <w:t> </w:t>
      </w:r>
      <w:r>
        <w:rPr/>
        <w:t>resveratrol</w:t>
      </w:r>
      <w:r>
        <w:rPr>
          <w:spacing w:val="-20"/>
        </w:rPr>
        <w:t> </w:t>
      </w:r>
      <w:r>
        <w:rPr/>
        <w:t>per</w:t>
      </w:r>
      <w:r>
        <w:rPr>
          <w:spacing w:val="-21"/>
        </w:rPr>
        <w:t> </w:t>
      </w:r>
      <w:r>
        <w:rPr/>
        <w:t>day.</w:t>
      </w:r>
      <w:r>
        <w:rPr>
          <w:spacing w:val="-19"/>
        </w:rPr>
        <w:t> </w:t>
      </w:r>
      <w:r>
        <w:rPr/>
        <w:t>This is</w:t>
      </w:r>
      <w:r>
        <w:rPr>
          <w:spacing w:val="-12"/>
        </w:rPr>
        <w:t> </w:t>
      </w:r>
      <w:r>
        <w:rPr/>
        <w:t>not</w:t>
      </w:r>
      <w:r>
        <w:rPr>
          <w:spacing w:val="-12"/>
        </w:rPr>
        <w:t> </w:t>
      </w:r>
      <w:r>
        <w:rPr/>
        <w:t>possible</w:t>
      </w:r>
      <w:r>
        <w:rPr>
          <w:spacing w:val="-12"/>
        </w:rPr>
        <w:t> </w:t>
      </w:r>
      <w:r>
        <w:rPr/>
        <w:t>in</w:t>
      </w:r>
      <w:r>
        <w:rPr>
          <w:spacing w:val="-14"/>
        </w:rPr>
        <w:t> </w:t>
      </w:r>
      <w:r>
        <w:rPr/>
        <w:t>a</w:t>
      </w:r>
      <w:r>
        <w:rPr>
          <w:spacing w:val="-12"/>
        </w:rPr>
        <w:t> </w:t>
      </w:r>
      <w:r>
        <w:rPr/>
        <w:t>natural</w:t>
      </w:r>
      <w:r>
        <w:rPr>
          <w:spacing w:val="-13"/>
        </w:rPr>
        <w:t> </w:t>
      </w:r>
      <w:r>
        <w:rPr/>
        <w:t>way</w:t>
      </w:r>
      <w:r>
        <w:rPr>
          <w:spacing w:val="-12"/>
        </w:rPr>
        <w:t> </w:t>
      </w:r>
      <w:r>
        <w:rPr/>
        <w:t>and</w:t>
      </w:r>
      <w:r>
        <w:rPr>
          <w:spacing w:val="-11"/>
        </w:rPr>
        <w:t> </w:t>
      </w:r>
      <w:r>
        <w:rPr/>
        <w:t>can</w:t>
      </w:r>
      <w:r>
        <w:rPr>
          <w:spacing w:val="-11"/>
        </w:rPr>
        <w:t> </w:t>
      </w:r>
      <w:r>
        <w:rPr/>
        <w:t>only</w:t>
      </w:r>
      <w:r>
        <w:rPr>
          <w:spacing w:val="-11"/>
        </w:rPr>
        <w:t> </w:t>
      </w:r>
      <w:r>
        <w:rPr/>
        <w:t>be</w:t>
      </w:r>
      <w:r>
        <w:rPr>
          <w:spacing w:val="-14"/>
        </w:rPr>
        <w:t> </w:t>
      </w:r>
      <w:r>
        <w:rPr/>
        <w:t>realised</w:t>
      </w:r>
      <w:r>
        <w:rPr>
          <w:spacing w:val="-11"/>
        </w:rPr>
        <w:t> </w:t>
      </w:r>
      <w:r>
        <w:rPr/>
        <w:t>via</w:t>
      </w:r>
      <w:r>
        <w:rPr>
          <w:spacing w:val="-13"/>
        </w:rPr>
        <w:t> </w:t>
      </w:r>
      <w:r>
        <w:rPr/>
        <w:t>supplementation</w:t>
      </w:r>
      <w:r>
        <w:rPr>
          <w:spacing w:val="-10"/>
        </w:rPr>
        <w:t> </w:t>
      </w:r>
      <w:r>
        <w:rPr/>
        <w:t>as a dietary</w:t>
      </w:r>
      <w:r>
        <w:rPr>
          <w:spacing w:val="-1"/>
        </w:rPr>
        <w:t> </w:t>
      </w:r>
      <w:r>
        <w:rPr/>
        <w:t>supplement.</w:t>
      </w:r>
    </w:p>
    <w:p>
      <w:pPr>
        <w:pStyle w:val="Heading2"/>
        <w:spacing w:before="240"/>
        <w:ind w:left="616"/>
      </w:pPr>
      <w:r>
        <w:rPr/>
        <w:t>Studies and research on resveratrol</w:t>
      </w:r>
    </w:p>
    <w:p>
      <w:pPr>
        <w:spacing w:before="304"/>
        <w:ind w:left="616" w:right="0" w:firstLine="0"/>
        <w:jc w:val="left"/>
        <w:rPr>
          <w:b/>
          <w:sz w:val="38"/>
        </w:rPr>
      </w:pPr>
      <w:r>
        <w:rPr>
          <w:b/>
          <w:sz w:val="38"/>
        </w:rPr>
        <w:t>Resveratrol can lengthen life by 20 years or more.</w:t>
      </w:r>
    </w:p>
    <w:p>
      <w:pPr>
        <w:pStyle w:val="BodyText"/>
        <w:spacing w:line="276" w:lineRule="auto" w:before="303"/>
        <w:ind w:left="616" w:right="137"/>
        <w:jc w:val="both"/>
        <w:rPr>
          <w:sz w:val="25"/>
        </w:rPr>
      </w:pPr>
      <w:r>
        <w:rPr/>
        <w:t>As already mentioned above, after a study carried out on human subjects, sci- entists from the renowned Harvard University recently caused a minor sensa- tion</w:t>
      </w:r>
      <w:r>
        <w:rPr>
          <w:spacing w:val="-24"/>
        </w:rPr>
        <w:t> </w:t>
      </w:r>
      <w:r>
        <w:rPr/>
        <w:t>when</w:t>
      </w:r>
      <w:r>
        <w:rPr>
          <w:spacing w:val="-24"/>
        </w:rPr>
        <w:t> </w:t>
      </w:r>
      <w:r>
        <w:rPr/>
        <w:t>they</w:t>
      </w:r>
      <w:r>
        <w:rPr>
          <w:spacing w:val="-24"/>
        </w:rPr>
        <w:t> </w:t>
      </w:r>
      <w:r>
        <w:rPr/>
        <w:t>announced</w:t>
      </w:r>
      <w:r>
        <w:rPr>
          <w:spacing w:val="-22"/>
        </w:rPr>
        <w:t> </w:t>
      </w:r>
      <w:r>
        <w:rPr/>
        <w:t>after</w:t>
      </w:r>
      <w:r>
        <w:rPr>
          <w:spacing w:val="-25"/>
        </w:rPr>
        <w:t> </w:t>
      </w:r>
      <w:r>
        <w:rPr/>
        <w:t>a</w:t>
      </w:r>
      <w:r>
        <w:rPr>
          <w:spacing w:val="-26"/>
        </w:rPr>
        <w:t> </w:t>
      </w:r>
      <w:r>
        <w:rPr/>
        <w:t>resveratrol</w:t>
      </w:r>
      <w:r>
        <w:rPr>
          <w:spacing w:val="-25"/>
        </w:rPr>
        <w:t> </w:t>
      </w:r>
      <w:r>
        <w:rPr/>
        <w:t>study</w:t>
      </w:r>
      <w:r>
        <w:rPr>
          <w:spacing w:val="-25"/>
        </w:rPr>
        <w:t> </w:t>
      </w:r>
      <w:r>
        <w:rPr/>
        <w:t>that</w:t>
      </w:r>
      <w:r>
        <w:rPr>
          <w:spacing w:val="-25"/>
        </w:rPr>
        <w:t> </w:t>
      </w:r>
      <w:r>
        <w:rPr/>
        <w:t>you</w:t>
      </w:r>
      <w:r>
        <w:rPr>
          <w:spacing w:val="-25"/>
        </w:rPr>
        <w:t> </w:t>
      </w:r>
      <w:r>
        <w:rPr/>
        <w:t>could</w:t>
      </w:r>
      <w:r>
        <w:rPr>
          <w:spacing w:val="-25"/>
        </w:rPr>
        <w:t> </w:t>
      </w:r>
      <w:r>
        <w:rPr/>
        <w:t>prolong</w:t>
      </w:r>
      <w:r>
        <w:rPr>
          <w:spacing w:val="-24"/>
        </w:rPr>
        <w:t> </w:t>
      </w:r>
      <w:r>
        <w:rPr/>
        <w:t>your life by approximately 20 years with resveratrol!</w:t>
      </w:r>
      <w:r>
        <w:rPr>
          <w:position w:val="9"/>
          <w:sz w:val="25"/>
        </w:rPr>
        <w:t>767</w:t>
      </w:r>
    </w:p>
    <w:p>
      <w:pPr>
        <w:pStyle w:val="Heading2"/>
        <w:spacing w:before="242"/>
        <w:ind w:left="616"/>
        <w:jc w:val="both"/>
      </w:pPr>
      <w:r>
        <w:rPr/>
        <w:t>Dr.</w:t>
      </w:r>
      <w:r>
        <w:rPr>
          <w:spacing w:val="-17"/>
        </w:rPr>
        <w:t> </w:t>
      </w:r>
      <w:r>
        <w:rPr/>
        <w:t>Miller</w:t>
      </w:r>
      <w:r>
        <w:rPr>
          <w:spacing w:val="-17"/>
        </w:rPr>
        <w:t> </w:t>
      </w:r>
      <w:r>
        <w:rPr/>
        <w:t>of</w:t>
      </w:r>
      <w:r>
        <w:rPr>
          <w:spacing w:val="-17"/>
        </w:rPr>
        <w:t> </w:t>
      </w:r>
      <w:r>
        <w:rPr/>
        <w:t>the</w:t>
      </w:r>
      <w:r>
        <w:rPr>
          <w:spacing w:val="-15"/>
        </w:rPr>
        <w:t> </w:t>
      </w:r>
      <w:r>
        <w:rPr/>
        <w:t>University</w:t>
      </w:r>
      <w:r>
        <w:rPr>
          <w:spacing w:val="-17"/>
        </w:rPr>
        <w:t> </w:t>
      </w:r>
      <w:r>
        <w:rPr/>
        <w:t>of</w:t>
      </w:r>
      <w:r>
        <w:rPr>
          <w:spacing w:val="-16"/>
        </w:rPr>
        <w:t> </w:t>
      </w:r>
      <w:r>
        <w:rPr/>
        <w:t>Michigan</w:t>
      </w:r>
      <w:r>
        <w:rPr>
          <w:spacing w:val="-17"/>
        </w:rPr>
        <w:t> </w:t>
      </w:r>
      <w:r>
        <w:rPr/>
        <w:t>estimates</w:t>
      </w:r>
      <w:r>
        <w:rPr>
          <w:spacing w:val="-17"/>
        </w:rPr>
        <w:t> </w:t>
      </w:r>
      <w:r>
        <w:rPr/>
        <w:t>112</w:t>
      </w:r>
      <w:r>
        <w:rPr>
          <w:spacing w:val="-16"/>
        </w:rPr>
        <w:t> </w:t>
      </w:r>
      <w:r>
        <w:rPr/>
        <w:t>to</w:t>
      </w:r>
      <w:r>
        <w:rPr>
          <w:spacing w:val="-19"/>
        </w:rPr>
        <w:t> </w:t>
      </w:r>
      <w:r>
        <w:rPr/>
        <w:t>140</w:t>
      </w:r>
      <w:r>
        <w:rPr>
          <w:spacing w:val="-15"/>
        </w:rPr>
        <w:t> </w:t>
      </w:r>
      <w:r>
        <w:rPr/>
        <w:t>years</w:t>
      </w:r>
      <w:r>
        <w:rPr>
          <w:spacing w:val="-17"/>
        </w:rPr>
        <w:t> </w:t>
      </w:r>
      <w:r>
        <w:rPr/>
        <w:t>of</w:t>
      </w:r>
      <w:r>
        <w:rPr>
          <w:spacing w:val="-16"/>
        </w:rPr>
        <w:t> </w:t>
      </w:r>
      <w:r>
        <w:rPr/>
        <w:t>life.</w:t>
      </w:r>
    </w:p>
    <w:p>
      <w:pPr>
        <w:pStyle w:val="BodyText"/>
        <w:spacing w:before="1"/>
        <w:rPr>
          <w:b/>
          <w:sz w:val="29"/>
        </w:rPr>
      </w:pPr>
      <w:r>
        <w:rPr/>
        <w:pict>
          <v:line style="position:absolute;mso-position-horizontal-relative:page;mso-position-vertical-relative:paragraph;z-index:10448;mso-wrap-distance-left:0;mso-wrap-distance-right:0" from="70.823997pt,18.755014pt" to="214.843997pt,18.755014pt" stroked="true" strokeweight=".71997pt" strokecolor="#000000">
            <v:stroke dashstyle="solid"/>
            <w10:wrap type="topAndBottom"/>
          </v:line>
        </w:pict>
      </w:r>
    </w:p>
    <w:p>
      <w:pPr>
        <w:pStyle w:val="BodyText"/>
        <w:spacing w:before="7"/>
        <w:rPr>
          <w:b/>
          <w:sz w:val="18"/>
        </w:rPr>
      </w:pPr>
    </w:p>
    <w:p>
      <w:pPr>
        <w:spacing w:before="99"/>
        <w:ind w:left="616" w:right="0" w:firstLine="0"/>
        <w:jc w:val="left"/>
        <w:rPr>
          <w:sz w:val="20"/>
        </w:rPr>
      </w:pPr>
      <w:r>
        <w:rPr>
          <w:position w:val="5"/>
          <w:sz w:val="13"/>
        </w:rPr>
        <w:t>766 </w:t>
      </w:r>
      <w:hyperlink r:id="rId322">
        <w:r>
          <w:rPr>
            <w:sz w:val="20"/>
          </w:rPr>
          <w:t>http://www.hms.harvard.edu/hmni/On_The_Brain/Volume13/OTB_Winter_07.pdf</w:t>
        </w:r>
      </w:hyperlink>
    </w:p>
    <w:p>
      <w:pPr>
        <w:spacing w:before="94"/>
        <w:ind w:left="616" w:right="0" w:firstLine="0"/>
        <w:jc w:val="left"/>
        <w:rPr>
          <w:sz w:val="20"/>
        </w:rPr>
      </w:pPr>
      <w:r>
        <w:rPr>
          <w:position w:val="5"/>
          <w:sz w:val="13"/>
        </w:rPr>
        <w:t>767</w:t>
      </w:r>
      <w:hyperlink r:id="rId326">
        <w:r>
          <w:rPr>
            <w:sz w:val="20"/>
          </w:rPr>
          <w:t>http://www.advancedbionutritionals.com/Products/Dr-Rowen-Favorites/Advacend-Resveratrol-Formula-ABRESV3.htm</w:t>
        </w:r>
      </w:hyperlink>
    </w:p>
    <w:p>
      <w:pPr>
        <w:spacing w:after="0"/>
        <w:jc w:val="left"/>
        <w:rPr>
          <w:sz w:val="20"/>
        </w:rPr>
        <w:sectPr>
          <w:pgSz w:w="14270" w:h="16850"/>
          <w:pgMar w:header="0" w:footer="1891" w:top="1320" w:bottom="2080" w:left="800" w:right="1280"/>
        </w:sectPr>
      </w:pPr>
    </w:p>
    <w:p>
      <w:pPr>
        <w:pStyle w:val="BodyText"/>
        <w:spacing w:line="276" w:lineRule="auto" w:before="72"/>
        <w:ind w:left="616" w:right="132"/>
        <w:jc w:val="both"/>
        <w:rPr>
          <w:sz w:val="25"/>
        </w:rPr>
      </w:pPr>
      <w:r>
        <w:rPr/>
        <w:t>Inspired by his study of mice, Dr. Miller of the University of Michigan esti- mates</w:t>
      </w:r>
      <w:r>
        <w:rPr>
          <w:spacing w:val="-6"/>
        </w:rPr>
        <w:t> </w:t>
      </w:r>
      <w:r>
        <w:rPr/>
        <w:t>that</w:t>
      </w:r>
      <w:r>
        <w:rPr>
          <w:spacing w:val="-6"/>
        </w:rPr>
        <w:t> </w:t>
      </w:r>
      <w:r>
        <w:rPr/>
        <w:t>a</w:t>
      </w:r>
      <w:r>
        <w:rPr>
          <w:spacing w:val="-7"/>
        </w:rPr>
        <w:t> </w:t>
      </w:r>
      <w:r>
        <w:rPr/>
        <w:t>person</w:t>
      </w:r>
      <w:r>
        <w:rPr>
          <w:spacing w:val="-5"/>
        </w:rPr>
        <w:t> </w:t>
      </w:r>
      <w:r>
        <w:rPr/>
        <w:t>could</w:t>
      </w:r>
      <w:r>
        <w:rPr>
          <w:spacing w:val="-6"/>
        </w:rPr>
        <w:t> </w:t>
      </w:r>
      <w:r>
        <w:rPr/>
        <w:t>live</w:t>
      </w:r>
      <w:r>
        <w:rPr>
          <w:spacing w:val="-7"/>
        </w:rPr>
        <w:t> </w:t>
      </w:r>
      <w:r>
        <w:rPr/>
        <w:t>to</w:t>
      </w:r>
      <w:r>
        <w:rPr>
          <w:spacing w:val="-5"/>
        </w:rPr>
        <w:t> </w:t>
      </w:r>
      <w:r>
        <w:rPr/>
        <w:t>a</w:t>
      </w:r>
      <w:r>
        <w:rPr>
          <w:spacing w:val="-7"/>
        </w:rPr>
        <w:t> </w:t>
      </w:r>
      <w:r>
        <w:rPr/>
        <w:t>healthy</w:t>
      </w:r>
      <w:r>
        <w:rPr>
          <w:spacing w:val="-6"/>
        </w:rPr>
        <w:t> </w:t>
      </w:r>
      <w:r>
        <w:rPr/>
        <w:t>112</w:t>
      </w:r>
      <w:r>
        <w:rPr>
          <w:spacing w:val="-7"/>
        </w:rPr>
        <w:t> </w:t>
      </w:r>
      <w:r>
        <w:rPr/>
        <w:t>or</w:t>
      </w:r>
      <w:r>
        <w:rPr>
          <w:spacing w:val="-7"/>
        </w:rPr>
        <w:t> </w:t>
      </w:r>
      <w:r>
        <w:rPr/>
        <w:t>even</w:t>
      </w:r>
      <w:r>
        <w:rPr>
          <w:spacing w:val="-5"/>
        </w:rPr>
        <w:t> </w:t>
      </w:r>
      <w:r>
        <w:rPr/>
        <w:t>140</w:t>
      </w:r>
      <w:r>
        <w:rPr>
          <w:spacing w:val="-7"/>
        </w:rPr>
        <w:t> </w:t>
      </w:r>
      <w:r>
        <w:rPr/>
        <w:t>years</w:t>
      </w:r>
      <w:r>
        <w:rPr>
          <w:spacing w:val="-7"/>
        </w:rPr>
        <w:t> </w:t>
      </w:r>
      <w:r>
        <w:rPr/>
        <w:t>with</w:t>
      </w:r>
      <w:r>
        <w:rPr>
          <w:spacing w:val="-6"/>
        </w:rPr>
        <w:t> </w:t>
      </w:r>
      <w:r>
        <w:rPr/>
        <w:t>the</w:t>
      </w:r>
      <w:r>
        <w:rPr>
          <w:spacing w:val="-5"/>
        </w:rPr>
        <w:t> </w:t>
      </w:r>
      <w:r>
        <w:rPr/>
        <w:t>help of resveratrol.</w:t>
      </w:r>
      <w:r>
        <w:rPr>
          <w:position w:val="9"/>
          <w:sz w:val="25"/>
        </w:rPr>
        <w:t>768</w:t>
      </w:r>
    </w:p>
    <w:p>
      <w:pPr>
        <w:pStyle w:val="Heading2"/>
        <w:spacing w:before="243"/>
        <w:ind w:left="616"/>
      </w:pPr>
      <w:r>
        <w:rPr/>
        <w:t>Resveratrol stops ageing processes and lengthens lifespan</w:t>
      </w:r>
    </w:p>
    <w:p>
      <w:pPr>
        <w:pStyle w:val="BodyText"/>
        <w:spacing w:line="278" w:lineRule="auto" w:before="302"/>
        <w:ind w:left="616" w:right="143"/>
        <w:jc w:val="both"/>
        <w:rPr>
          <w:sz w:val="25"/>
        </w:rPr>
      </w:pPr>
      <w:r>
        <w:rPr/>
        <w:t>In animal experiments, resveratrol was able to mitigate ageing processes in mice and to extend the lifespan of overweight mice.</w:t>
      </w:r>
      <w:r>
        <w:rPr>
          <w:position w:val="9"/>
          <w:sz w:val="25"/>
        </w:rPr>
        <w:t>769</w:t>
      </w:r>
    </w:p>
    <w:p>
      <w:pPr>
        <w:pStyle w:val="Heading2"/>
        <w:spacing w:before="233"/>
        <w:ind w:left="616"/>
      </w:pPr>
      <w:r>
        <w:rPr/>
        <w:t>Resveratrol lengthens life in studies</w:t>
      </w:r>
    </w:p>
    <w:p>
      <w:pPr>
        <w:pStyle w:val="BodyText"/>
        <w:spacing w:line="276" w:lineRule="auto" w:before="305"/>
        <w:ind w:left="616" w:right="141"/>
        <w:jc w:val="both"/>
        <w:rPr>
          <w:sz w:val="25"/>
        </w:rPr>
      </w:pPr>
      <w:r>
        <w:rPr/>
        <w:t>Resveratrol was able to achieve significant life extension by encouraging the expression of the sirtuin gene according to the principle of calorie re- striction.</w:t>
      </w:r>
      <w:r>
        <w:rPr>
          <w:position w:val="9"/>
          <w:sz w:val="25"/>
        </w:rPr>
        <w:t>770</w:t>
      </w:r>
    </w:p>
    <w:p>
      <w:pPr>
        <w:pStyle w:val="Heading2"/>
        <w:spacing w:before="238"/>
        <w:ind w:left="616"/>
        <w:jc w:val="both"/>
      </w:pPr>
      <w:r>
        <w:rPr/>
        <w:t>Resveratrol demonstrates antioxidative properties in studies</w:t>
      </w:r>
    </w:p>
    <w:p>
      <w:pPr>
        <w:pStyle w:val="BodyText"/>
        <w:spacing w:before="305"/>
        <w:ind w:left="616"/>
        <w:jc w:val="both"/>
        <w:rPr>
          <w:sz w:val="25"/>
        </w:rPr>
      </w:pPr>
      <w:r>
        <w:rPr/>
        <w:t>Resveratrol protects bodily cells from free radicals.</w:t>
      </w:r>
      <w:r>
        <w:rPr>
          <w:position w:val="9"/>
          <w:sz w:val="25"/>
        </w:rPr>
        <w:t>771, 772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5"/>
        </w:rPr>
      </w:pPr>
      <w:r>
        <w:rPr/>
        <w:pict>
          <v:line style="position:absolute;mso-position-horizontal-relative:page;mso-position-vertical-relative:paragraph;z-index:10472;mso-wrap-distance-left:0;mso-wrap-distance-right:0" from="70.823997pt,16.902515pt" to="214.843997pt,16.902515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768 </w:t>
      </w:r>
      <w:r>
        <w:rPr>
          <w:sz w:val="20"/>
        </w:rPr>
        <w:t>Harper J. M. et al.: Stress resistance and aging: influence of genes and nutrition. Mech Ageing Dev., 2006 Aug, 127 (8), pp. 687–994.</w:t>
      </w:r>
    </w:p>
    <w:p>
      <w:pPr>
        <w:spacing w:before="94"/>
        <w:ind w:left="616" w:right="0" w:firstLine="0"/>
        <w:jc w:val="left"/>
        <w:rPr>
          <w:sz w:val="20"/>
        </w:rPr>
      </w:pPr>
      <w:r>
        <w:rPr>
          <w:position w:val="5"/>
          <w:sz w:val="13"/>
        </w:rPr>
        <w:t>769 </w:t>
      </w:r>
      <w:r>
        <w:rPr>
          <w:sz w:val="20"/>
        </w:rPr>
        <w:t>2008; 10.1016/j.cmet.2008.06.011</w:t>
      </w:r>
    </w:p>
    <w:p>
      <w:pPr>
        <w:spacing w:line="273" w:lineRule="auto" w:before="94"/>
        <w:ind w:left="616" w:right="244" w:firstLine="0"/>
        <w:jc w:val="left"/>
        <w:rPr>
          <w:sz w:val="20"/>
        </w:rPr>
      </w:pPr>
      <w:r>
        <w:rPr>
          <w:position w:val="5"/>
          <w:sz w:val="13"/>
        </w:rPr>
        <w:t>770 </w:t>
      </w:r>
      <w:r>
        <w:rPr>
          <w:sz w:val="20"/>
        </w:rPr>
        <w:t>D. A. Sinclair and L. Guarente: </w:t>
      </w:r>
      <w:r>
        <w:rPr>
          <w:color w:val="0000FF"/>
          <w:sz w:val="20"/>
          <w:u w:val="single" w:color="0000FF"/>
        </w:rPr>
        <w:t>Schlüssel zur Langlebigkeit</w:t>
      </w:r>
      <w:r>
        <w:rPr>
          <w:color w:val="0000FF"/>
          <w:sz w:val="20"/>
        </w:rPr>
        <w:t> </w:t>
      </w:r>
      <w:r>
        <w:rPr>
          <w:sz w:val="20"/>
        </w:rPr>
        <w:t>(‘Key to Longevity’), published in: ‘Spektrum der Wissenschaft’ (‘Spectrum of Science’), October 2006, pp. 34–41.</w:t>
      </w:r>
    </w:p>
    <w:p>
      <w:pPr>
        <w:spacing w:line="276" w:lineRule="auto" w:before="63"/>
        <w:ind w:left="616" w:right="244" w:firstLine="0"/>
        <w:jc w:val="left"/>
        <w:rPr>
          <w:sz w:val="20"/>
        </w:rPr>
      </w:pPr>
      <w:r>
        <w:rPr>
          <w:position w:val="5"/>
          <w:sz w:val="13"/>
        </w:rPr>
        <w:t>771 </w:t>
      </w:r>
      <w:r>
        <w:rPr>
          <w:sz w:val="20"/>
        </w:rPr>
        <w:t>Vigna G. B. et al.: Effect of a standardized grape seed extract on low-density lipoprotein susceptibility to oxidation in heavy smokers. Metabo- lism. 2003 Oct, 52 (10), pp. 1250-1257.</w:t>
      </w:r>
    </w:p>
    <w:p>
      <w:pPr>
        <w:spacing w:line="276" w:lineRule="auto" w:before="61"/>
        <w:ind w:left="616" w:right="156" w:firstLine="0"/>
        <w:jc w:val="left"/>
        <w:rPr>
          <w:sz w:val="20"/>
        </w:rPr>
      </w:pPr>
      <w:r>
        <w:rPr/>
        <w:drawing>
          <wp:anchor distT="0" distB="0" distL="0" distR="0" allowOverlap="1" layoutInCell="1" locked="0" behindDoc="1" simplePos="0" relativeHeight="267178271">
            <wp:simplePos x="0" y="0"/>
            <wp:positionH relativeFrom="page">
              <wp:posOffset>985998</wp:posOffset>
            </wp:positionH>
            <wp:positionV relativeFrom="paragraph">
              <wp:posOffset>82907</wp:posOffset>
            </wp:positionV>
            <wp:extent cx="6379583" cy="902106"/>
            <wp:effectExtent l="0" t="0" r="0" b="0"/>
            <wp:wrapNone/>
            <wp:docPr id="509" name="image2.jpeg" descr=""/>
            <wp:cNvGraphicFramePr>
              <a:graphicFrameLocks noChangeAspect="1"/>
            </wp:cNvGraphicFramePr>
            <a:graphic>
              <a:graphicData uri="http://schemas.openxmlformats.org/drawingml/2006/picture">
                <pic:pic>
                  <pic:nvPicPr>
                    <pic:cNvPr id="510"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772 </w:t>
      </w:r>
      <w:r>
        <w:rPr>
          <w:sz w:val="20"/>
        </w:rPr>
        <w:t>Vinson J. A. et al.: MegaNatural((R)) gold grapeseed extract: in vitro antioxidant and in vivo human supplementation studies. J Med Food. 2001, 4 (1), pp. 17–26.</w:t>
      </w:r>
    </w:p>
    <w:p>
      <w:pPr>
        <w:spacing w:after="0" w:line="276" w:lineRule="auto"/>
        <w:jc w:val="left"/>
        <w:rPr>
          <w:sz w:val="20"/>
        </w:rPr>
        <w:sectPr>
          <w:footerReference w:type="default" r:id="rId327"/>
          <w:pgSz w:w="14270" w:h="16850"/>
          <w:pgMar w:footer="527" w:header="0" w:top="1340" w:bottom="720" w:left="800" w:right="1280"/>
        </w:sectPr>
      </w:pPr>
    </w:p>
    <w:p>
      <w:pPr>
        <w:pStyle w:val="Heading2"/>
        <w:spacing w:before="74"/>
        <w:ind w:left="616"/>
      </w:pPr>
      <w:r>
        <w:rPr/>
        <w:t>Positive effects on heart and circulation confirmed in studies</w:t>
      </w:r>
    </w:p>
    <w:p>
      <w:pPr>
        <w:pStyle w:val="BodyText"/>
        <w:spacing w:line="276" w:lineRule="auto" w:before="305"/>
        <w:ind w:left="616"/>
        <w:rPr>
          <w:sz w:val="25"/>
        </w:rPr>
      </w:pPr>
      <w:r>
        <w:rPr/>
        <w:t>Numerous studies have confirmed the protective effect for the heart and cir- culatory system. </w:t>
      </w:r>
      <w:r>
        <w:rPr>
          <w:position w:val="9"/>
          <w:sz w:val="25"/>
        </w:rPr>
        <w:t>773, 774, 775</w:t>
      </w:r>
    </w:p>
    <w:p>
      <w:pPr>
        <w:pStyle w:val="Heading2"/>
        <w:spacing w:line="278" w:lineRule="auto" w:before="238"/>
        <w:ind w:left="616"/>
      </w:pPr>
      <w:r>
        <w:rPr/>
        <w:t>Resveratrol inhibits the agglomeration of blood platelets and protects against heart attack and stroke</w:t>
      </w:r>
    </w:p>
    <w:p>
      <w:pPr>
        <w:pStyle w:val="BodyText"/>
        <w:spacing w:line="276" w:lineRule="auto" w:before="232"/>
        <w:ind w:left="616"/>
        <w:rPr>
          <w:sz w:val="25"/>
        </w:rPr>
      </w:pPr>
      <w:r>
        <w:rPr/>
        <w:t>In studies, resveratrol inhibits the agglomeration of blood platelets and pro- tects against heart attack and stroke.</w:t>
      </w:r>
      <w:r>
        <w:rPr>
          <w:position w:val="9"/>
          <w:sz w:val="25"/>
        </w:rPr>
        <w:t>776, 777, 778, 779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r>
        <w:rPr/>
        <w:pict>
          <v:line style="position:absolute;mso-position-horizontal-relative:page;mso-position-vertical-relative:paragraph;z-index:10520;mso-wrap-distance-left:0;mso-wrap-distance-right:0" from="70.823997pt,13.669985pt" to="214.843997pt,13.669985pt" stroked="true" strokeweight=".72003pt" strokecolor="#000000">
            <v:stroke dashstyle="solid"/>
            <w10:wrap type="topAndBottom"/>
          </v:line>
        </w:pict>
      </w:r>
    </w:p>
    <w:p>
      <w:pPr>
        <w:pStyle w:val="BodyText"/>
        <w:spacing w:before="7"/>
        <w:rPr>
          <w:sz w:val="18"/>
        </w:rPr>
      </w:pPr>
    </w:p>
    <w:p>
      <w:pPr>
        <w:spacing w:line="276" w:lineRule="auto" w:before="99"/>
        <w:ind w:left="616" w:right="244" w:firstLine="0"/>
        <w:jc w:val="left"/>
        <w:rPr>
          <w:sz w:val="20"/>
        </w:rPr>
      </w:pPr>
      <w:r>
        <w:rPr>
          <w:position w:val="5"/>
          <w:sz w:val="13"/>
        </w:rPr>
        <w:t>773 </w:t>
      </w:r>
      <w:r>
        <w:rPr>
          <w:sz w:val="20"/>
        </w:rPr>
        <w:t>Mokni M. et al.: Strong cardioprotective effect of resveratrol, a red wine polyphenol, on isolated rat hearts after ischemia/reperfusion injury. Arch Biochem Biophys. 2007 Jan 1, 457 (1), pp. 1–6.</w:t>
      </w:r>
    </w:p>
    <w:p>
      <w:pPr>
        <w:spacing w:line="276" w:lineRule="auto" w:before="59"/>
        <w:ind w:left="616" w:right="0" w:firstLine="0"/>
        <w:jc w:val="left"/>
        <w:rPr>
          <w:sz w:val="20"/>
        </w:rPr>
      </w:pPr>
      <w:r>
        <w:rPr>
          <w:position w:val="5"/>
          <w:sz w:val="13"/>
        </w:rPr>
        <w:t>774 </w:t>
      </w:r>
      <w:r>
        <w:rPr>
          <w:sz w:val="20"/>
        </w:rPr>
        <w:t>Goh S. S. et al.: The red wine antioxidant resveratrol prevents cardiomyocyte injury following ischemiareperfusion via multiple sites and mecha- nisms. Antioxid Redox Signal. 2007 Jan, 9 (1), pp. 101–13.</w:t>
      </w:r>
    </w:p>
    <w:p>
      <w:pPr>
        <w:spacing w:line="276" w:lineRule="auto" w:before="61"/>
        <w:ind w:left="616" w:right="0" w:firstLine="0"/>
        <w:jc w:val="left"/>
        <w:rPr>
          <w:sz w:val="20"/>
        </w:rPr>
      </w:pPr>
      <w:r>
        <w:rPr>
          <w:position w:val="5"/>
          <w:sz w:val="13"/>
        </w:rPr>
        <w:t>775 </w:t>
      </w:r>
      <w:r>
        <w:rPr>
          <w:sz w:val="20"/>
        </w:rPr>
        <w:t>Chen W. P.: et al.: In vitro electrophysiological mechanisms for antiarrhythmic efficacy of resveratrol, a red wine antioxidant. Eur J Pharmacol. 2007 Jan 12, 554 (2–3), pp. 196–204.</w:t>
      </w:r>
    </w:p>
    <w:p>
      <w:pPr>
        <w:spacing w:before="61"/>
        <w:ind w:left="616" w:right="0" w:firstLine="0"/>
        <w:jc w:val="left"/>
        <w:rPr>
          <w:sz w:val="20"/>
        </w:rPr>
      </w:pPr>
      <w:r>
        <w:rPr>
          <w:position w:val="5"/>
          <w:sz w:val="13"/>
        </w:rPr>
        <w:t>776 </w:t>
      </w:r>
      <w:r>
        <w:rPr>
          <w:sz w:val="20"/>
        </w:rPr>
        <w:t>Bhat K. P. L. et al.: Biological effects of resveratrol. Antioxid Redox Signal. 2001 Dec, 3 (6), pp. 1041–1064.</w:t>
      </w:r>
    </w:p>
    <w:p>
      <w:pPr>
        <w:spacing w:before="92"/>
        <w:ind w:left="616" w:right="0" w:firstLine="0"/>
        <w:jc w:val="left"/>
        <w:rPr>
          <w:sz w:val="20"/>
        </w:rPr>
      </w:pPr>
      <w:r>
        <w:rPr>
          <w:position w:val="5"/>
          <w:sz w:val="13"/>
        </w:rPr>
        <w:t>777 </w:t>
      </w:r>
      <w:r>
        <w:rPr>
          <w:sz w:val="20"/>
        </w:rPr>
        <w:t>Wang Z. et al.: Effects of red wine and wine polyphenol resveratrol on platelet aggregation in vivo and in vitro. Int J Mol Med. 2002, Jan, 9 (1),</w:t>
      </w:r>
    </w:p>
    <w:p>
      <w:pPr>
        <w:spacing w:before="34"/>
        <w:ind w:left="616" w:right="0" w:firstLine="0"/>
        <w:jc w:val="left"/>
        <w:rPr>
          <w:sz w:val="20"/>
        </w:rPr>
      </w:pPr>
      <w:r>
        <w:rPr>
          <w:sz w:val="20"/>
        </w:rPr>
        <w:t>p. 77 ff.</w:t>
      </w:r>
    </w:p>
    <w:p>
      <w:pPr>
        <w:spacing w:before="94"/>
        <w:ind w:left="616" w:right="0" w:firstLine="0"/>
        <w:jc w:val="left"/>
        <w:rPr>
          <w:sz w:val="20"/>
        </w:rPr>
      </w:pPr>
      <w:r>
        <w:rPr>
          <w:position w:val="5"/>
          <w:sz w:val="13"/>
        </w:rPr>
        <w:t>778 </w:t>
      </w:r>
      <w:r>
        <w:rPr>
          <w:sz w:val="20"/>
        </w:rPr>
        <w:t>Olas B. und Wachowicz B.: Resveratrol and vitamin C as antioxidants in blood platelets. Thromb Res. 2002 Apr 15, 106 (2), pp. 143–148</w:t>
      </w:r>
    </w:p>
    <w:p>
      <w:pPr>
        <w:spacing w:line="276" w:lineRule="auto" w:before="95"/>
        <w:ind w:left="616" w:right="244" w:firstLine="0"/>
        <w:jc w:val="left"/>
        <w:rPr>
          <w:sz w:val="20"/>
        </w:rPr>
      </w:pPr>
      <w:r>
        <w:rPr>
          <w:position w:val="5"/>
          <w:sz w:val="13"/>
        </w:rPr>
        <w:t>779 </w:t>
      </w:r>
      <w:r>
        <w:rPr>
          <w:sz w:val="20"/>
        </w:rPr>
        <w:t>Olas B. et al.: Effect of resveratrol, a natural polyphenolic compound, on platelet activation induced by endotoxin or thrombin. Thromb Res. 2002 Aug 15, 107 (3–4), pp. 141–145</w:t>
      </w:r>
    </w:p>
    <w:p>
      <w:pPr>
        <w:spacing w:after="0" w:line="276" w:lineRule="auto"/>
        <w:jc w:val="left"/>
        <w:rPr>
          <w:sz w:val="20"/>
        </w:rPr>
        <w:sectPr>
          <w:footerReference w:type="default" r:id="rId328"/>
          <w:pgSz w:w="14270" w:h="16850"/>
          <w:pgMar w:footer="1984" w:header="0" w:top="1340" w:bottom="2180" w:left="800" w:right="1280"/>
          <w:pgNumType w:start="1360"/>
        </w:sectPr>
      </w:pPr>
    </w:p>
    <w:p>
      <w:pPr>
        <w:pStyle w:val="Heading2"/>
        <w:spacing w:before="74"/>
        <w:ind w:left="616"/>
      </w:pPr>
      <w:r>
        <w:rPr/>
        <w:t>Resveratrol inhibits atherosclerosis in studies</w:t>
      </w:r>
    </w:p>
    <w:p>
      <w:pPr>
        <w:pStyle w:val="BodyText"/>
        <w:spacing w:before="305"/>
        <w:ind w:left="616"/>
        <w:rPr>
          <w:sz w:val="25"/>
        </w:rPr>
      </w:pPr>
      <w:r>
        <w:rPr/>
        <w:t>In studies, resveratrol prevents processes that lead to atherosclerosis.</w:t>
      </w:r>
      <w:r>
        <w:rPr>
          <w:position w:val="9"/>
          <w:sz w:val="25"/>
        </w:rPr>
        <w:t>780, 781, 782</w:t>
      </w:r>
    </w:p>
    <w:p>
      <w:pPr>
        <w:pStyle w:val="Heading1"/>
        <w:spacing w:before="285"/>
        <w:ind w:left="616"/>
      </w:pPr>
      <w:r>
        <w:rPr/>
        <w:t>Comprehensive effect of resveratrol on cancer confirmed in studies</w:t>
      </w:r>
    </w:p>
    <w:p>
      <w:pPr>
        <w:pStyle w:val="BodyText"/>
        <w:spacing w:line="276" w:lineRule="auto" w:before="299"/>
        <w:ind w:left="616" w:right="138"/>
        <w:jc w:val="both"/>
        <w:rPr>
          <w:sz w:val="25"/>
        </w:rPr>
      </w:pPr>
      <w:r>
        <w:rPr/>
        <w:t>Resveratrol acts on NF-kB, a key enzyme that is responsible for the survival of cancer cells. In this way, resveratrol acts as a potent apoptosis inductor,</w:t>
      </w:r>
      <w:r>
        <w:rPr>
          <w:spacing w:val="-64"/>
        </w:rPr>
        <w:t> </w:t>
      </w:r>
      <w:r>
        <w:rPr/>
        <w:t>the function of which is to force cancer cells into programmed cell death.</w:t>
      </w:r>
      <w:r>
        <w:rPr>
          <w:position w:val="9"/>
          <w:sz w:val="25"/>
        </w:rPr>
        <w:t>783</w:t>
      </w:r>
    </w:p>
    <w:p>
      <w:pPr>
        <w:pStyle w:val="BodyText"/>
        <w:spacing w:line="276" w:lineRule="auto" w:before="242"/>
        <w:ind w:left="616" w:right="136"/>
        <w:jc w:val="both"/>
        <w:rPr>
          <w:sz w:val="25"/>
        </w:rPr>
      </w:pPr>
      <w:r>
        <w:rPr/>
        <w:t>Resveratrol</w:t>
      </w:r>
      <w:r>
        <w:rPr>
          <w:spacing w:val="-18"/>
        </w:rPr>
        <w:t> </w:t>
      </w:r>
      <w:r>
        <w:rPr/>
        <w:t>suppresses</w:t>
      </w:r>
      <w:r>
        <w:rPr>
          <w:spacing w:val="-15"/>
        </w:rPr>
        <w:t> </w:t>
      </w:r>
      <w:r>
        <w:rPr/>
        <w:t>tumour</w:t>
      </w:r>
      <w:r>
        <w:rPr>
          <w:spacing w:val="-19"/>
        </w:rPr>
        <w:t> </w:t>
      </w:r>
      <w:r>
        <w:rPr/>
        <w:t>growth</w:t>
      </w:r>
      <w:r>
        <w:rPr>
          <w:spacing w:val="-17"/>
        </w:rPr>
        <w:t> </w:t>
      </w:r>
      <w:r>
        <w:rPr/>
        <w:t>by</w:t>
      </w:r>
      <w:r>
        <w:rPr>
          <w:spacing w:val="-16"/>
        </w:rPr>
        <w:t> </w:t>
      </w:r>
      <w:r>
        <w:rPr/>
        <w:t>increasing</w:t>
      </w:r>
      <w:r>
        <w:rPr>
          <w:spacing w:val="-16"/>
        </w:rPr>
        <w:t> </w:t>
      </w:r>
      <w:r>
        <w:rPr/>
        <w:t>or</w:t>
      </w:r>
      <w:r>
        <w:rPr>
          <w:spacing w:val="-17"/>
        </w:rPr>
        <w:t> </w:t>
      </w:r>
      <w:r>
        <w:rPr/>
        <w:t>decreasing</w:t>
      </w:r>
      <w:r>
        <w:rPr>
          <w:spacing w:val="-17"/>
        </w:rPr>
        <w:t> </w:t>
      </w:r>
      <w:r>
        <w:rPr/>
        <w:t>the</w:t>
      </w:r>
      <w:r>
        <w:rPr>
          <w:spacing w:val="-15"/>
        </w:rPr>
        <w:t> </w:t>
      </w:r>
      <w:r>
        <w:rPr/>
        <w:t>produc- tion of various enzymes and molecules which regulate cellular reproduction and the blood supply of the tumour.</w:t>
      </w:r>
      <w:r>
        <w:rPr>
          <w:position w:val="9"/>
          <w:sz w:val="25"/>
        </w:rPr>
        <w:t>784,</w:t>
      </w:r>
      <w:r>
        <w:rPr>
          <w:spacing w:val="6"/>
          <w:position w:val="9"/>
          <w:sz w:val="25"/>
        </w:rPr>
        <w:t> </w:t>
      </w:r>
      <w:r>
        <w:rPr>
          <w:position w:val="9"/>
          <w:sz w:val="25"/>
        </w:rPr>
        <w:t>785</w:t>
      </w:r>
    </w:p>
    <w:p>
      <w:pPr>
        <w:pStyle w:val="Heading2"/>
        <w:spacing w:before="238"/>
        <w:ind w:left="616"/>
      </w:pPr>
      <w:r>
        <w:rPr/>
        <w:t>Resveratrol inhibits prostate cancer</w:t>
      </w:r>
    </w:p>
    <w:p>
      <w:pPr>
        <w:pStyle w:val="BodyText"/>
        <w:spacing w:line="276" w:lineRule="auto" w:before="305"/>
        <w:ind w:left="616" w:right="135"/>
        <w:jc w:val="both"/>
      </w:pPr>
      <w:r>
        <w:rPr/>
        <w:t>At Thomas Jefferson University (Pennsylvania, USA), researchers recently re- moved the SIRT1 gene (‘longevity gene’, ‘silent information regulator’) from mice, which has been proven to be activated by resveratrol. The removal led to a minimised apoptosis of sick cells and the simultaneous regeneration of prostate cancer cells, providing significant evidence for the necessity of the</w:t>
      </w:r>
    </w:p>
    <w:p>
      <w:pPr>
        <w:pStyle w:val="BodyText"/>
        <w:rPr>
          <w:sz w:val="20"/>
        </w:rPr>
      </w:pPr>
    </w:p>
    <w:p>
      <w:pPr>
        <w:pStyle w:val="BodyText"/>
        <w:rPr>
          <w:sz w:val="20"/>
        </w:rPr>
      </w:pPr>
    </w:p>
    <w:p>
      <w:pPr>
        <w:pStyle w:val="BodyText"/>
        <w:spacing w:before="9"/>
        <w:rPr>
          <w:sz w:val="11"/>
        </w:rPr>
      </w:pPr>
      <w:r>
        <w:rPr/>
        <w:pict>
          <v:line style="position:absolute;mso-position-horizontal-relative:page;mso-position-vertical-relative:paragraph;z-index:10544;mso-wrap-distance-left:0;mso-wrap-distance-right:0" from="70.823997pt,8.991235pt" to="214.843997pt,8.991235pt" stroked="true" strokeweight=".72003pt" strokecolor="#000000">
            <v:stroke dashstyle="solid"/>
            <w10:wrap type="topAndBottom"/>
          </v:line>
        </w:pict>
      </w:r>
    </w:p>
    <w:p>
      <w:pPr>
        <w:pStyle w:val="BodyText"/>
        <w:spacing w:before="7"/>
        <w:rPr>
          <w:sz w:val="18"/>
        </w:rPr>
      </w:pPr>
    </w:p>
    <w:p>
      <w:pPr>
        <w:spacing w:line="276" w:lineRule="auto" w:before="99"/>
        <w:ind w:left="616" w:right="0" w:firstLine="0"/>
        <w:jc w:val="left"/>
        <w:rPr>
          <w:sz w:val="20"/>
        </w:rPr>
      </w:pPr>
      <w:r>
        <w:rPr>
          <w:position w:val="5"/>
          <w:sz w:val="13"/>
        </w:rPr>
        <w:t>780 </w:t>
      </w:r>
      <w:r>
        <w:rPr>
          <w:sz w:val="20"/>
        </w:rPr>
        <w:t>Brito P. M. et al.: Resveratrol affords protection against peroxynitrite-mediated endothelial cell death: A role for intracellular glutathione. Chem Biol Interact. 2006 Dec 15, 164 (3), pp. 157–166.</w:t>
      </w:r>
    </w:p>
    <w:p>
      <w:pPr>
        <w:spacing w:line="276" w:lineRule="auto" w:before="59"/>
        <w:ind w:left="616" w:right="318" w:firstLine="0"/>
        <w:jc w:val="left"/>
        <w:rPr>
          <w:sz w:val="20"/>
        </w:rPr>
      </w:pPr>
      <w:r>
        <w:rPr>
          <w:position w:val="5"/>
          <w:sz w:val="13"/>
        </w:rPr>
        <w:t>781 </w:t>
      </w:r>
      <w:r>
        <w:rPr>
          <w:sz w:val="20"/>
        </w:rPr>
        <w:t>Novakovic A. et al.: Potassium channels-mediated vasorelaxation of rat aorta induced by resveratrol. Basic Clin Pharmacol Toxicol. 2006 Nov, 99 (5), pp. 360–364</w:t>
      </w:r>
    </w:p>
    <w:p>
      <w:pPr>
        <w:spacing w:line="276" w:lineRule="auto" w:before="61"/>
        <w:ind w:left="616" w:right="0" w:firstLine="0"/>
        <w:jc w:val="left"/>
        <w:rPr>
          <w:sz w:val="20"/>
        </w:rPr>
      </w:pPr>
      <w:r>
        <w:rPr>
          <w:position w:val="5"/>
          <w:sz w:val="13"/>
        </w:rPr>
        <w:t>782 </w:t>
      </w:r>
      <w:r>
        <w:rPr>
          <w:sz w:val="20"/>
        </w:rPr>
        <w:t>Kim H. et al.: Proteomics analysis of the actions of grape seed extract in rat brain: technological and biological implications for the study of the actions of psychoactive compounds. Life Sci. 2006 Mar 27, 78 (18), pp. 2060–2065</w:t>
      </w:r>
    </w:p>
    <w:p>
      <w:pPr>
        <w:spacing w:line="273" w:lineRule="auto" w:before="61"/>
        <w:ind w:left="616" w:right="0" w:firstLine="0"/>
        <w:jc w:val="left"/>
        <w:rPr>
          <w:sz w:val="20"/>
        </w:rPr>
      </w:pPr>
      <w:r>
        <w:rPr>
          <w:position w:val="5"/>
          <w:sz w:val="13"/>
        </w:rPr>
        <w:t>783 </w:t>
      </w:r>
      <w:r>
        <w:rPr>
          <w:sz w:val="20"/>
        </w:rPr>
        <w:t>Singh U. P. et al.: </w:t>
      </w:r>
      <w:r>
        <w:rPr>
          <w:color w:val="0000FF"/>
          <w:sz w:val="20"/>
        </w:rPr>
        <w:t>Resveratrol (trans-3, 5, 4'-trihydroxystilbene) induces SIRT1 and down-regulates NF-{kappa}B activation to abrogate DSS- induced colitis. </w:t>
      </w:r>
      <w:r>
        <w:rPr>
          <w:sz w:val="20"/>
        </w:rPr>
        <w:t>Appeared in: J Pharmacol Exp Ther November 2009; </w:t>
      </w:r>
      <w:r>
        <w:rPr>
          <w:color w:val="0000FF"/>
          <w:sz w:val="20"/>
        </w:rPr>
        <w:t>PMID 19940103</w:t>
      </w:r>
      <w:r>
        <w:rPr>
          <w:sz w:val="20"/>
        </w:rPr>
        <w:t>.</w:t>
      </w:r>
    </w:p>
    <w:p>
      <w:pPr>
        <w:spacing w:line="276" w:lineRule="auto" w:before="63"/>
        <w:ind w:left="616" w:right="156" w:firstLine="0"/>
        <w:jc w:val="left"/>
        <w:rPr>
          <w:sz w:val="20"/>
        </w:rPr>
      </w:pPr>
      <w:r>
        <w:rPr>
          <w:position w:val="5"/>
          <w:sz w:val="13"/>
        </w:rPr>
        <w:t>784 </w:t>
      </w:r>
      <w:r>
        <w:rPr>
          <w:sz w:val="20"/>
        </w:rPr>
        <w:t>Trincheri N. F. et al.: Resveratrol induces cell death in colorectal cancer cells by a novel pathway involving lysosomal cathepsin D. Carcinogene- sis. 2006 Nov 20.</w:t>
      </w:r>
    </w:p>
    <w:p>
      <w:pPr>
        <w:spacing w:line="276" w:lineRule="auto" w:before="61"/>
        <w:ind w:left="616" w:right="244" w:firstLine="0"/>
        <w:jc w:val="left"/>
        <w:rPr>
          <w:sz w:val="20"/>
        </w:rPr>
      </w:pPr>
      <w:r>
        <w:rPr>
          <w:position w:val="5"/>
          <w:sz w:val="13"/>
        </w:rPr>
        <w:t>785 </w:t>
      </w:r>
      <w:r>
        <w:rPr>
          <w:sz w:val="20"/>
        </w:rPr>
        <w:t>Heynekamp J. J. et al.: Substituted trans-stilbenes, including analogues of the natural product resveratrol, inhibit the human tumour necrosis factor alpha-induced activation of transcription factor nuclear factor KappaB. J Med Chem. 2006 Nov 30, 49 (24), pp. 7182–7189.</w:t>
      </w:r>
    </w:p>
    <w:p>
      <w:pPr>
        <w:spacing w:after="0" w:line="276" w:lineRule="auto"/>
        <w:jc w:val="left"/>
        <w:rPr>
          <w:sz w:val="20"/>
        </w:rPr>
        <w:sectPr>
          <w:pgSz w:w="14270" w:h="16850"/>
          <w:pgMar w:header="0" w:footer="1984" w:top="1340" w:bottom="2180" w:left="800" w:right="1280"/>
        </w:sectPr>
      </w:pPr>
    </w:p>
    <w:p>
      <w:pPr>
        <w:pStyle w:val="BodyText"/>
        <w:spacing w:before="74"/>
        <w:ind w:left="616"/>
      </w:pPr>
      <w:r>
        <w:rPr/>
        <w:t>SIRT1 gene in the prevention and treatment of cancer.</w:t>
      </w:r>
    </w:p>
    <w:p>
      <w:pPr>
        <w:pStyle w:val="Heading2"/>
        <w:spacing w:before="305"/>
        <w:ind w:left="616"/>
      </w:pPr>
      <w:r>
        <w:rPr/>
        <w:t>Resveratrol successful in the prevention and treatment of breast cancer</w:t>
      </w:r>
    </w:p>
    <w:p>
      <w:pPr>
        <w:pStyle w:val="BodyText"/>
        <w:spacing w:line="276" w:lineRule="auto" w:before="302"/>
        <w:ind w:left="616" w:right="132"/>
        <w:jc w:val="both"/>
        <w:rPr>
          <w:sz w:val="25"/>
        </w:rPr>
      </w:pPr>
      <w:r>
        <w:rPr/>
        <w:t>Researchers at the University of Nebraska were able to show that resveratrol inhibits the formation of oestrogen DNA and the neoplastic transformation into</w:t>
      </w:r>
      <w:r>
        <w:rPr>
          <w:spacing w:val="-18"/>
        </w:rPr>
        <w:t> </w:t>
      </w:r>
      <w:r>
        <w:rPr/>
        <w:t>MCF-10F</w:t>
      </w:r>
      <w:r>
        <w:rPr>
          <w:spacing w:val="-18"/>
        </w:rPr>
        <w:t> </w:t>
      </w:r>
      <w:r>
        <w:rPr/>
        <w:t>cells,</w:t>
      </w:r>
      <w:r>
        <w:rPr>
          <w:spacing w:val="-17"/>
        </w:rPr>
        <w:t> </w:t>
      </w:r>
      <w:r>
        <w:rPr/>
        <w:t>which</w:t>
      </w:r>
      <w:r>
        <w:rPr>
          <w:spacing w:val="-18"/>
        </w:rPr>
        <w:t> </w:t>
      </w:r>
      <w:r>
        <w:rPr/>
        <w:t>could</w:t>
      </w:r>
      <w:r>
        <w:rPr>
          <w:spacing w:val="-16"/>
        </w:rPr>
        <w:t> </w:t>
      </w:r>
      <w:r>
        <w:rPr/>
        <w:t>prevent</w:t>
      </w:r>
      <w:r>
        <w:rPr>
          <w:spacing w:val="-18"/>
        </w:rPr>
        <w:t> </w:t>
      </w:r>
      <w:r>
        <w:rPr/>
        <w:t>or</w:t>
      </w:r>
      <w:r>
        <w:rPr>
          <w:spacing w:val="-18"/>
        </w:rPr>
        <w:t> </w:t>
      </w:r>
      <w:r>
        <w:rPr/>
        <w:t>impede</w:t>
      </w:r>
      <w:r>
        <w:rPr>
          <w:spacing w:val="-19"/>
        </w:rPr>
        <w:t> </w:t>
      </w:r>
      <w:r>
        <w:rPr/>
        <w:t>the</w:t>
      </w:r>
      <w:r>
        <w:rPr>
          <w:spacing w:val="-17"/>
        </w:rPr>
        <w:t> </w:t>
      </w:r>
      <w:r>
        <w:rPr/>
        <w:t>development</w:t>
      </w:r>
      <w:r>
        <w:rPr>
          <w:spacing w:val="-18"/>
        </w:rPr>
        <w:t> </w:t>
      </w:r>
      <w:r>
        <w:rPr/>
        <w:t>of</w:t>
      </w:r>
      <w:r>
        <w:rPr>
          <w:spacing w:val="-19"/>
        </w:rPr>
        <w:t> </w:t>
      </w:r>
      <w:r>
        <w:rPr/>
        <w:t>breast cancer, according to the statements of the same</w:t>
      </w:r>
      <w:r>
        <w:rPr>
          <w:spacing w:val="-1"/>
        </w:rPr>
        <w:t> </w:t>
      </w:r>
      <w:r>
        <w:rPr/>
        <w:t>scientists.</w:t>
      </w:r>
      <w:r>
        <w:rPr>
          <w:position w:val="9"/>
          <w:sz w:val="25"/>
        </w:rPr>
        <w:t>786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5"/>
        </w:rPr>
      </w:pPr>
      <w:r>
        <w:rPr/>
        <w:pict>
          <v:line style="position:absolute;mso-position-horizontal-relative:page;mso-position-vertical-relative:paragraph;z-index:10568;mso-wrap-distance-left:0;mso-wrap-distance-right:0" from="70.823997pt,11.315015pt" to="214.843997pt,11.315015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786 </w:t>
      </w:r>
      <w:hyperlink r:id="rId324">
        <w:r>
          <w:rPr>
            <w:sz w:val="20"/>
          </w:rPr>
          <w:t>http://www.hemonctoday.com/article.aspx?rid=29989</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r>
        <w:rPr/>
        <w:drawing>
          <wp:anchor distT="0" distB="0" distL="0" distR="0" allowOverlap="1" layoutInCell="1" locked="0" behindDoc="0" simplePos="0" relativeHeight="10592">
            <wp:simplePos x="0" y="0"/>
            <wp:positionH relativeFrom="page">
              <wp:posOffset>985998</wp:posOffset>
            </wp:positionH>
            <wp:positionV relativeFrom="paragraph">
              <wp:posOffset>161150</wp:posOffset>
            </wp:positionV>
            <wp:extent cx="6340974" cy="896874"/>
            <wp:effectExtent l="0" t="0" r="0" b="0"/>
            <wp:wrapTopAndBottom/>
            <wp:docPr id="513" name="image2.jpeg" descr=""/>
            <wp:cNvGraphicFramePr>
              <a:graphicFrameLocks noChangeAspect="1"/>
            </wp:cNvGraphicFramePr>
            <a:graphic>
              <a:graphicData uri="http://schemas.openxmlformats.org/drawingml/2006/picture">
                <pic:pic>
                  <pic:nvPicPr>
                    <pic:cNvPr id="514" name="image2.jpeg"/>
                    <pic:cNvPicPr/>
                  </pic:nvPicPr>
                  <pic:blipFill>
                    <a:blip r:embed="rId21" cstate="print"/>
                    <a:stretch>
                      <a:fillRect/>
                    </a:stretch>
                  </pic:blipFill>
                  <pic:spPr>
                    <a:xfrm>
                      <a:off x="0" y="0"/>
                      <a:ext cx="6340974" cy="896874"/>
                    </a:xfrm>
                    <a:prstGeom prst="rect">
                      <a:avLst/>
                    </a:prstGeom>
                  </pic:spPr>
                </pic:pic>
              </a:graphicData>
            </a:graphic>
          </wp:anchor>
        </w:drawing>
      </w:r>
    </w:p>
    <w:p>
      <w:pPr>
        <w:spacing w:after="0"/>
        <w:rPr>
          <w:sz w:val="19"/>
        </w:rPr>
        <w:sectPr>
          <w:footerReference w:type="default" r:id="rId329"/>
          <w:pgSz w:w="14270" w:h="16850"/>
          <w:pgMar w:footer="527" w:header="0" w:top="1340" w:bottom="720" w:left="800" w:right="1280"/>
          <w:pgNumType w:start="1362"/>
        </w:sectPr>
      </w:pPr>
    </w:p>
    <w:p>
      <w:pPr>
        <w:pStyle w:val="Heading2"/>
        <w:spacing w:line="276" w:lineRule="auto" w:before="74"/>
        <w:ind w:left="616"/>
      </w:pPr>
      <w:r>
        <w:rPr/>
        <w:t>In the laboratory, resveratrol inhibits the growth of cancer cells in nu- merous types of cancer</w:t>
      </w:r>
    </w:p>
    <w:p>
      <w:pPr>
        <w:pStyle w:val="BodyText"/>
        <w:spacing w:line="276" w:lineRule="auto" w:before="239"/>
        <w:ind w:left="616"/>
      </w:pPr>
      <w:r>
        <w:rPr/>
        <w:t>In the laboratory, resveratrol inhibits the growth of the following cancer </w:t>
      </w:r>
      <w:r>
        <w:rPr>
          <w:position w:val="-8"/>
        </w:rPr>
        <w:t>cells</w:t>
      </w:r>
      <w:r>
        <w:rPr>
          <w:sz w:val="25"/>
        </w:rPr>
        <w:t>787, 788</w:t>
      </w:r>
      <w:r>
        <w:rPr>
          <w:position w:val="-8"/>
        </w:rPr>
        <w:t>:</w:t>
      </w:r>
    </w:p>
    <w:p>
      <w:pPr>
        <w:pStyle w:val="ListParagraph"/>
        <w:numPr>
          <w:ilvl w:val="0"/>
          <w:numId w:val="91"/>
        </w:numPr>
        <w:tabs>
          <w:tab w:pos="1031" w:val="left" w:leader="none"/>
          <w:tab w:pos="1032" w:val="left" w:leader="none"/>
        </w:tabs>
        <w:spacing w:line="240" w:lineRule="auto" w:before="201" w:after="0"/>
        <w:ind w:left="1043" w:right="0" w:hanging="427"/>
        <w:jc w:val="left"/>
        <w:rPr>
          <w:sz w:val="38"/>
        </w:rPr>
      </w:pPr>
      <w:r>
        <w:rPr>
          <w:sz w:val="38"/>
        </w:rPr>
        <w:t>Leukaemia</w:t>
      </w:r>
    </w:p>
    <w:p>
      <w:pPr>
        <w:pStyle w:val="ListParagraph"/>
        <w:numPr>
          <w:ilvl w:val="0"/>
          <w:numId w:val="91"/>
        </w:numPr>
        <w:tabs>
          <w:tab w:pos="1031" w:val="left" w:leader="none"/>
          <w:tab w:pos="1032" w:val="left" w:leader="none"/>
        </w:tabs>
        <w:spacing w:line="240" w:lineRule="auto" w:before="184" w:after="0"/>
        <w:ind w:left="1043" w:right="0" w:hanging="427"/>
        <w:jc w:val="left"/>
        <w:rPr>
          <w:sz w:val="38"/>
        </w:rPr>
      </w:pPr>
      <w:r>
        <w:rPr>
          <w:sz w:val="38"/>
        </w:rPr>
        <w:t>Multiple myeloma</w:t>
      </w:r>
    </w:p>
    <w:p>
      <w:pPr>
        <w:pStyle w:val="ListParagraph"/>
        <w:numPr>
          <w:ilvl w:val="0"/>
          <w:numId w:val="91"/>
        </w:numPr>
        <w:tabs>
          <w:tab w:pos="1031" w:val="left" w:leader="none"/>
          <w:tab w:pos="1032" w:val="left" w:leader="none"/>
        </w:tabs>
        <w:spacing w:line="240" w:lineRule="auto" w:before="186" w:after="0"/>
        <w:ind w:left="1043" w:right="0" w:hanging="427"/>
        <w:jc w:val="left"/>
        <w:rPr>
          <w:sz w:val="38"/>
        </w:rPr>
      </w:pPr>
      <w:r>
        <w:rPr>
          <w:sz w:val="38"/>
        </w:rPr>
        <w:t>Melanoma</w:t>
      </w:r>
    </w:p>
    <w:p>
      <w:pPr>
        <w:pStyle w:val="ListParagraph"/>
        <w:numPr>
          <w:ilvl w:val="0"/>
          <w:numId w:val="91"/>
        </w:numPr>
        <w:tabs>
          <w:tab w:pos="1031" w:val="left" w:leader="none"/>
          <w:tab w:pos="1032" w:val="left" w:leader="none"/>
        </w:tabs>
        <w:spacing w:line="240" w:lineRule="auto" w:before="184" w:after="0"/>
        <w:ind w:left="1043" w:right="0" w:hanging="427"/>
        <w:jc w:val="left"/>
        <w:rPr>
          <w:sz w:val="38"/>
        </w:rPr>
      </w:pPr>
      <w:r>
        <w:rPr>
          <w:sz w:val="38"/>
        </w:rPr>
        <w:t>Breast</w:t>
      </w:r>
      <w:r>
        <w:rPr>
          <w:spacing w:val="-1"/>
          <w:sz w:val="38"/>
        </w:rPr>
        <w:t> </w:t>
      </w:r>
      <w:r>
        <w:rPr>
          <w:sz w:val="38"/>
        </w:rPr>
        <w:t>cancer</w:t>
      </w:r>
    </w:p>
    <w:p>
      <w:pPr>
        <w:pStyle w:val="ListParagraph"/>
        <w:numPr>
          <w:ilvl w:val="0"/>
          <w:numId w:val="91"/>
        </w:numPr>
        <w:tabs>
          <w:tab w:pos="1031" w:val="left" w:leader="none"/>
          <w:tab w:pos="1032" w:val="left" w:leader="none"/>
        </w:tabs>
        <w:spacing w:line="240" w:lineRule="auto" w:before="184" w:after="0"/>
        <w:ind w:left="1043" w:right="0" w:hanging="427"/>
        <w:jc w:val="left"/>
        <w:rPr>
          <w:sz w:val="38"/>
        </w:rPr>
      </w:pPr>
      <w:r>
        <w:rPr>
          <w:sz w:val="38"/>
        </w:rPr>
        <w:t>Ovarian</w:t>
      </w:r>
      <w:r>
        <w:rPr>
          <w:spacing w:val="-11"/>
          <w:sz w:val="38"/>
        </w:rPr>
        <w:t> </w:t>
      </w:r>
      <w:r>
        <w:rPr>
          <w:sz w:val="38"/>
        </w:rPr>
        <w:t>cancer</w:t>
      </w:r>
    </w:p>
    <w:p>
      <w:pPr>
        <w:pStyle w:val="ListParagraph"/>
        <w:numPr>
          <w:ilvl w:val="0"/>
          <w:numId w:val="91"/>
        </w:numPr>
        <w:tabs>
          <w:tab w:pos="1031" w:val="left" w:leader="none"/>
          <w:tab w:pos="1032" w:val="left" w:leader="none"/>
        </w:tabs>
        <w:spacing w:line="240" w:lineRule="auto" w:before="183" w:after="0"/>
        <w:ind w:left="1043" w:right="0" w:hanging="427"/>
        <w:jc w:val="left"/>
        <w:rPr>
          <w:sz w:val="38"/>
        </w:rPr>
      </w:pPr>
      <w:r>
        <w:rPr>
          <w:sz w:val="38"/>
        </w:rPr>
        <w:t>Prostate</w:t>
      </w:r>
      <w:r>
        <w:rPr>
          <w:spacing w:val="-8"/>
          <w:sz w:val="38"/>
        </w:rPr>
        <w:t> </w:t>
      </w:r>
      <w:r>
        <w:rPr>
          <w:sz w:val="38"/>
        </w:rPr>
        <w:t>cancer</w:t>
      </w:r>
    </w:p>
    <w:p>
      <w:pPr>
        <w:pStyle w:val="ListParagraph"/>
        <w:numPr>
          <w:ilvl w:val="0"/>
          <w:numId w:val="91"/>
        </w:numPr>
        <w:tabs>
          <w:tab w:pos="1031" w:val="left" w:leader="none"/>
          <w:tab w:pos="1032" w:val="left" w:leader="none"/>
        </w:tabs>
        <w:spacing w:line="240" w:lineRule="auto" w:before="184" w:after="0"/>
        <w:ind w:left="1043" w:right="0" w:hanging="427"/>
        <w:jc w:val="left"/>
        <w:rPr>
          <w:sz w:val="38"/>
        </w:rPr>
      </w:pPr>
      <w:r>
        <w:rPr>
          <w:sz w:val="38"/>
        </w:rPr>
        <w:t>Stomach</w:t>
      </w:r>
      <w:r>
        <w:rPr>
          <w:spacing w:val="-2"/>
          <w:sz w:val="38"/>
        </w:rPr>
        <w:t> </w:t>
      </w:r>
      <w:r>
        <w:rPr>
          <w:sz w:val="38"/>
        </w:rPr>
        <w:t>cancer</w:t>
      </w:r>
    </w:p>
    <w:p>
      <w:pPr>
        <w:pStyle w:val="ListParagraph"/>
        <w:numPr>
          <w:ilvl w:val="0"/>
          <w:numId w:val="91"/>
        </w:numPr>
        <w:tabs>
          <w:tab w:pos="1031" w:val="left" w:leader="none"/>
          <w:tab w:pos="1032" w:val="left" w:leader="none"/>
        </w:tabs>
        <w:spacing w:line="240" w:lineRule="auto" w:before="186" w:after="0"/>
        <w:ind w:left="1043" w:right="0" w:hanging="427"/>
        <w:jc w:val="left"/>
        <w:rPr>
          <w:sz w:val="38"/>
        </w:rPr>
      </w:pPr>
      <w:r>
        <w:rPr>
          <w:sz w:val="38"/>
        </w:rPr>
        <w:t>Colon cancer</w:t>
      </w:r>
    </w:p>
    <w:p>
      <w:pPr>
        <w:pStyle w:val="ListParagraph"/>
        <w:numPr>
          <w:ilvl w:val="0"/>
          <w:numId w:val="91"/>
        </w:numPr>
        <w:tabs>
          <w:tab w:pos="1031" w:val="left" w:leader="none"/>
          <w:tab w:pos="1032" w:val="left" w:leader="none"/>
        </w:tabs>
        <w:spacing w:line="240" w:lineRule="auto" w:before="184" w:after="0"/>
        <w:ind w:left="1043" w:right="0" w:hanging="427"/>
        <w:jc w:val="left"/>
        <w:rPr>
          <w:sz w:val="38"/>
        </w:rPr>
      </w:pPr>
      <w:r>
        <w:rPr>
          <w:sz w:val="38"/>
        </w:rPr>
        <w:t>Liver cancer</w:t>
      </w:r>
    </w:p>
    <w:p>
      <w:pPr>
        <w:pStyle w:val="ListParagraph"/>
        <w:numPr>
          <w:ilvl w:val="0"/>
          <w:numId w:val="91"/>
        </w:numPr>
        <w:tabs>
          <w:tab w:pos="1031" w:val="left" w:leader="none"/>
          <w:tab w:pos="1032" w:val="left" w:leader="none"/>
        </w:tabs>
        <w:spacing w:line="240" w:lineRule="auto" w:before="183" w:after="0"/>
        <w:ind w:left="1043" w:right="0" w:hanging="427"/>
        <w:jc w:val="left"/>
        <w:rPr>
          <w:sz w:val="38"/>
        </w:rPr>
      </w:pPr>
      <w:r>
        <w:rPr>
          <w:sz w:val="38"/>
        </w:rPr>
        <w:t>Pancreatic</w:t>
      </w:r>
      <w:r>
        <w:rPr>
          <w:spacing w:val="-1"/>
          <w:sz w:val="38"/>
        </w:rPr>
        <w:t> </w:t>
      </w:r>
      <w:r>
        <w:rPr>
          <w:sz w:val="38"/>
        </w:rPr>
        <w:t>cancer</w:t>
      </w:r>
    </w:p>
    <w:p>
      <w:pPr>
        <w:pStyle w:val="ListParagraph"/>
        <w:numPr>
          <w:ilvl w:val="0"/>
          <w:numId w:val="91"/>
        </w:numPr>
        <w:tabs>
          <w:tab w:pos="1031" w:val="left" w:leader="none"/>
          <w:tab w:pos="1032" w:val="left" w:leader="none"/>
        </w:tabs>
        <w:spacing w:line="240" w:lineRule="auto" w:before="184" w:after="0"/>
        <w:ind w:left="1043" w:right="0" w:hanging="427"/>
        <w:jc w:val="left"/>
        <w:rPr>
          <w:sz w:val="38"/>
        </w:rPr>
      </w:pPr>
      <w:r>
        <w:rPr>
          <w:sz w:val="38"/>
        </w:rPr>
        <w:t>Thyroid</w:t>
      </w:r>
      <w:r>
        <w:rPr>
          <w:spacing w:val="-8"/>
          <w:sz w:val="38"/>
        </w:rPr>
        <w:t> </w:t>
      </w:r>
      <w:r>
        <w:rPr>
          <w:sz w:val="38"/>
        </w:rPr>
        <w:t>cancer</w:t>
      </w:r>
    </w:p>
    <w:p>
      <w:pPr>
        <w:pStyle w:val="ListParagraph"/>
        <w:numPr>
          <w:ilvl w:val="0"/>
          <w:numId w:val="91"/>
        </w:numPr>
        <w:tabs>
          <w:tab w:pos="1031" w:val="left" w:leader="none"/>
          <w:tab w:pos="1032" w:val="left" w:leader="none"/>
        </w:tabs>
        <w:spacing w:line="240" w:lineRule="auto" w:before="184" w:after="0"/>
        <w:ind w:left="1043" w:right="0" w:hanging="427"/>
        <w:jc w:val="left"/>
        <w:rPr>
          <w:sz w:val="38"/>
        </w:rPr>
      </w:pPr>
      <w:r>
        <w:rPr>
          <w:sz w:val="38"/>
        </w:rPr>
        <w:t>Cervical</w:t>
      </w:r>
      <w:r>
        <w:rPr>
          <w:spacing w:val="-12"/>
          <w:sz w:val="38"/>
        </w:rPr>
        <w:t> </w:t>
      </w:r>
      <w:r>
        <w:rPr>
          <w:sz w:val="38"/>
        </w:rPr>
        <w:t>cancer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r>
        <w:rPr/>
        <w:pict>
          <v:line style="position:absolute;mso-position-horizontal-relative:page;mso-position-vertical-relative:paragraph;z-index:10616;mso-wrap-distance-left:0;mso-wrap-distance-right:0" from="70.823997pt,14.43978pt" to="214.843997pt,14.43978pt" stroked="true" strokeweight=".71997pt" strokecolor="#000000">
            <v:stroke dashstyle="solid"/>
            <w10:wrap type="topAndBottom"/>
          </v:line>
        </w:pict>
      </w:r>
    </w:p>
    <w:p>
      <w:pPr>
        <w:pStyle w:val="BodyText"/>
        <w:spacing w:before="7"/>
        <w:rPr>
          <w:sz w:val="18"/>
        </w:rPr>
      </w:pPr>
    </w:p>
    <w:p>
      <w:pPr>
        <w:spacing w:line="276" w:lineRule="auto" w:before="99"/>
        <w:ind w:left="616" w:right="244" w:firstLine="0"/>
        <w:jc w:val="left"/>
        <w:rPr>
          <w:sz w:val="20"/>
        </w:rPr>
      </w:pPr>
      <w:r>
        <w:rPr>
          <w:position w:val="5"/>
          <w:sz w:val="13"/>
        </w:rPr>
        <w:t>787 </w:t>
      </w:r>
      <w:r>
        <w:rPr>
          <w:sz w:val="20"/>
        </w:rPr>
        <w:t>Aggarwal B. B. et al.: Role of resveratrol in prevention and therapy of cancer: preclinical and clinical studies. Anticancer Res. 2004 Sep, 24 (5A), pp. 2783–2840.</w:t>
      </w:r>
    </w:p>
    <w:p>
      <w:pPr>
        <w:spacing w:line="276" w:lineRule="auto" w:before="61"/>
        <w:ind w:left="616" w:right="156" w:firstLine="0"/>
        <w:jc w:val="left"/>
        <w:rPr>
          <w:sz w:val="20"/>
        </w:rPr>
      </w:pPr>
      <w:r>
        <w:rPr>
          <w:position w:val="5"/>
          <w:sz w:val="13"/>
        </w:rPr>
        <w:t>788 </w:t>
      </w:r>
      <w:r>
        <w:rPr>
          <w:sz w:val="20"/>
        </w:rPr>
        <w:t>Trincheri N. F. et al.: Resveratrol induces cell death in colorectal cancer cells by a novel pathway involving lysosomal cathepsin D. Carcinogene- sis. 2006 Nov 20.</w:t>
      </w:r>
    </w:p>
    <w:p>
      <w:pPr>
        <w:spacing w:after="0" w:line="276" w:lineRule="auto"/>
        <w:jc w:val="left"/>
        <w:rPr>
          <w:sz w:val="20"/>
        </w:rPr>
        <w:sectPr>
          <w:footerReference w:type="default" r:id="rId330"/>
          <w:pgSz w:w="14270" w:h="16850"/>
          <w:pgMar w:footer="1984" w:header="0" w:top="1340" w:bottom="2180" w:left="800" w:right="1280"/>
          <w:pgNumType w:start="1363"/>
        </w:sectPr>
      </w:pPr>
    </w:p>
    <w:p>
      <w:pPr>
        <w:pStyle w:val="Heading1"/>
        <w:spacing w:line="261" w:lineRule="auto" w:before="77"/>
        <w:ind w:left="616" w:right="144"/>
        <w:jc w:val="both"/>
      </w:pPr>
      <w:r>
        <w:rPr>
          <w:w w:val="95"/>
        </w:rPr>
        <w:t>Resveratrol increases the effectiveness of chemotherapy and radiother- </w:t>
      </w:r>
      <w:r>
        <w:rPr/>
        <w:t>apy in studies</w:t>
      </w:r>
    </w:p>
    <w:p>
      <w:pPr>
        <w:pStyle w:val="BodyText"/>
        <w:spacing w:line="278" w:lineRule="auto" w:before="258"/>
        <w:ind w:left="616" w:right="135"/>
        <w:jc w:val="both"/>
        <w:rPr>
          <w:sz w:val="25"/>
        </w:rPr>
      </w:pPr>
      <w:r>
        <w:rPr/>
        <w:t>Resveratrol improves the anti-cancer effect of chemotherapy and radiother- apy.</w:t>
      </w:r>
      <w:r>
        <w:rPr>
          <w:position w:val="9"/>
          <w:sz w:val="25"/>
        </w:rPr>
        <w:t>789</w:t>
      </w:r>
    </w:p>
    <w:p>
      <w:pPr>
        <w:pStyle w:val="Heading1"/>
        <w:spacing w:before="215"/>
        <w:ind w:left="616"/>
        <w:rPr>
          <w:b w:val="0"/>
          <w:i/>
          <w:sz w:val="25"/>
        </w:rPr>
      </w:pPr>
      <w:r>
        <w:rPr/>
        <w:t>Resveratrol was able to improve the tolerability of chemotherapy.</w:t>
      </w:r>
      <w:r>
        <w:rPr>
          <w:b w:val="0"/>
          <w:i w:val="0"/>
          <w:position w:val="9"/>
          <w:sz w:val="25"/>
        </w:rPr>
        <w:t>790</w:t>
      </w:r>
    </w:p>
    <w:p>
      <w:pPr>
        <w:spacing w:line="261" w:lineRule="auto" w:before="282"/>
        <w:ind w:left="616" w:right="141" w:firstLine="0"/>
        <w:jc w:val="both"/>
        <w:rPr>
          <w:b/>
          <w:i/>
          <w:sz w:val="40"/>
        </w:rPr>
      </w:pPr>
      <w:r>
        <w:rPr>
          <w:b/>
          <w:i/>
          <w:w w:val="95"/>
          <w:sz w:val="40"/>
        </w:rPr>
        <w:t>In studies, resveratrol inhibits inflammation processes and counteracts </w:t>
      </w:r>
      <w:r>
        <w:rPr>
          <w:b/>
          <w:i/>
          <w:sz w:val="40"/>
        </w:rPr>
        <w:t>arthritis</w:t>
      </w:r>
    </w:p>
    <w:p>
      <w:pPr>
        <w:pStyle w:val="BodyText"/>
        <w:spacing w:line="276" w:lineRule="auto" w:before="261"/>
        <w:ind w:left="616" w:right="134"/>
        <w:jc w:val="both"/>
        <w:rPr>
          <w:sz w:val="25"/>
        </w:rPr>
      </w:pPr>
      <w:r>
        <w:rPr/>
        <w:t>Chronic inflammation is a cause of cardiovascular disease, arthritis, and other diseases. Resveratrol blocks the inflammatory activity and can have a positive influence on all of these diseases.</w:t>
      </w:r>
      <w:r>
        <w:rPr>
          <w:position w:val="9"/>
          <w:sz w:val="25"/>
        </w:rPr>
        <w:t>791, 792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5"/>
        </w:rPr>
      </w:pPr>
      <w:r>
        <w:rPr/>
        <w:pict>
          <v:line style="position:absolute;mso-position-horizontal-relative:page;mso-position-vertical-relative:paragraph;z-index:10640;mso-wrap-distance-left:0;mso-wrap-distance-right:0" from="70.823997pt,11.046265pt" to="214.843997pt,11.046265pt" stroked="true" strokeweight=".71997pt" strokecolor="#000000">
            <v:stroke dashstyle="solid"/>
            <w10:wrap type="topAndBottom"/>
          </v:line>
        </w:pict>
      </w:r>
    </w:p>
    <w:p>
      <w:pPr>
        <w:pStyle w:val="BodyText"/>
        <w:spacing w:before="7"/>
        <w:rPr>
          <w:sz w:val="18"/>
        </w:rPr>
      </w:pPr>
    </w:p>
    <w:p>
      <w:pPr>
        <w:spacing w:line="276" w:lineRule="auto" w:before="100"/>
        <w:ind w:left="616" w:right="244" w:firstLine="0"/>
        <w:jc w:val="left"/>
        <w:rPr>
          <w:sz w:val="20"/>
        </w:rPr>
      </w:pPr>
      <w:r>
        <w:rPr>
          <w:position w:val="5"/>
          <w:sz w:val="13"/>
        </w:rPr>
        <w:t>789 </w:t>
      </w:r>
      <w:r>
        <w:rPr>
          <w:sz w:val="20"/>
        </w:rPr>
        <w:t>Aggarwal B. B. et al.: Role of resveratrol in prevention and therapy of cancer: preclinical and clinical studies. Anticancer Res. 2004 Sep, 24 (5A), pp. 2783–2840.</w:t>
      </w:r>
    </w:p>
    <w:p>
      <w:pPr>
        <w:spacing w:line="273" w:lineRule="auto" w:before="61"/>
        <w:ind w:left="616" w:right="0" w:firstLine="0"/>
        <w:jc w:val="left"/>
        <w:rPr>
          <w:sz w:val="20"/>
        </w:rPr>
      </w:pPr>
      <w:r>
        <w:rPr>
          <w:position w:val="5"/>
          <w:sz w:val="13"/>
        </w:rPr>
        <w:t>790 </w:t>
      </w:r>
      <w:r>
        <w:rPr>
          <w:sz w:val="20"/>
        </w:rPr>
        <w:t>Olas B. et al.: Antioxidant properties of trans-3,3’,5,5’-tetrahydroxy-4’-methoxystilbene against modification of variety of biomolecules in human blood cells treated with platinum compounds. Nutrition. 2006 Nov; 22 (11–12), pp. 1202-1209.</w:t>
      </w:r>
    </w:p>
    <w:p>
      <w:pPr>
        <w:spacing w:line="276" w:lineRule="auto" w:before="63"/>
        <w:ind w:left="616" w:right="190" w:firstLine="0"/>
        <w:jc w:val="left"/>
        <w:rPr>
          <w:sz w:val="20"/>
        </w:rPr>
      </w:pPr>
      <w:r>
        <w:rPr>
          <w:position w:val="5"/>
          <w:sz w:val="13"/>
        </w:rPr>
        <w:t>791 </w:t>
      </w:r>
      <w:r>
        <w:rPr>
          <w:sz w:val="20"/>
        </w:rPr>
        <w:t>Martin A. R. et al.: Resveratrol, a polyphenol found in grapes, suppresses oxidative damage and stimulates apoptosis during early colonic inflam- mation in rats. Biochem Pharmacol. 2004 Apr 1, 67 (7), pp. 1399–1410</w:t>
      </w:r>
    </w:p>
    <w:p>
      <w:pPr>
        <w:spacing w:line="276" w:lineRule="auto" w:before="61"/>
        <w:ind w:left="616" w:right="232" w:firstLine="0"/>
        <w:jc w:val="left"/>
        <w:rPr>
          <w:sz w:val="20"/>
        </w:rPr>
      </w:pPr>
      <w:r>
        <w:rPr>
          <w:position w:val="5"/>
          <w:sz w:val="13"/>
        </w:rPr>
        <w:t>792 </w:t>
      </w:r>
      <w:r>
        <w:rPr>
          <w:sz w:val="20"/>
        </w:rPr>
        <w:t>Richard N. et al.: Effects of resveratrol, piceatannol, tri-acetoxystilbene, and genistein on the inflammatory response of human peripheral blood leukocytes. Mol Nutr Food Res. 2005 May;49(5):431–42.</w:t>
      </w:r>
    </w:p>
    <w:p>
      <w:pPr>
        <w:spacing w:after="0" w:line="276" w:lineRule="auto"/>
        <w:jc w:val="left"/>
        <w:rPr>
          <w:sz w:val="20"/>
        </w:rPr>
        <w:sectPr>
          <w:pgSz w:w="14270" w:h="16850"/>
          <w:pgMar w:header="0" w:footer="1984" w:top="1320" w:bottom="2180" w:left="800" w:right="1280"/>
        </w:sectPr>
      </w:pPr>
    </w:p>
    <w:p>
      <w:pPr>
        <w:pStyle w:val="Heading1"/>
        <w:spacing w:line="261" w:lineRule="auto" w:before="77"/>
        <w:ind w:left="616" w:right="138"/>
        <w:jc w:val="both"/>
      </w:pPr>
      <w:r>
        <w:rPr>
          <w:w w:val="95"/>
        </w:rPr>
        <w:t>In</w:t>
      </w:r>
      <w:r>
        <w:rPr>
          <w:spacing w:val="-21"/>
          <w:w w:val="95"/>
        </w:rPr>
        <w:t> </w:t>
      </w:r>
      <w:r>
        <w:rPr>
          <w:w w:val="95"/>
        </w:rPr>
        <w:t>studies,</w:t>
      </w:r>
      <w:r>
        <w:rPr>
          <w:spacing w:val="-22"/>
          <w:w w:val="95"/>
        </w:rPr>
        <w:t> </w:t>
      </w:r>
      <w:r>
        <w:rPr>
          <w:w w:val="95"/>
        </w:rPr>
        <w:t>resveratrol</w:t>
      </w:r>
      <w:r>
        <w:rPr>
          <w:spacing w:val="-21"/>
          <w:w w:val="95"/>
        </w:rPr>
        <w:t> </w:t>
      </w:r>
      <w:r>
        <w:rPr>
          <w:w w:val="95"/>
        </w:rPr>
        <w:t>protects</w:t>
      </w:r>
      <w:r>
        <w:rPr>
          <w:spacing w:val="-17"/>
          <w:w w:val="95"/>
        </w:rPr>
        <w:t> </w:t>
      </w:r>
      <w:r>
        <w:rPr>
          <w:w w:val="95"/>
        </w:rPr>
        <w:t>against</w:t>
      </w:r>
      <w:r>
        <w:rPr>
          <w:spacing w:val="-23"/>
          <w:w w:val="95"/>
        </w:rPr>
        <w:t> </w:t>
      </w:r>
      <w:r>
        <w:rPr>
          <w:w w:val="95"/>
        </w:rPr>
        <w:t>the</w:t>
      </w:r>
      <w:r>
        <w:rPr>
          <w:spacing w:val="-21"/>
          <w:w w:val="95"/>
        </w:rPr>
        <w:t> </w:t>
      </w:r>
      <w:r>
        <w:rPr>
          <w:w w:val="95"/>
        </w:rPr>
        <w:t>deterioration</w:t>
      </w:r>
      <w:r>
        <w:rPr>
          <w:spacing w:val="-20"/>
          <w:w w:val="95"/>
        </w:rPr>
        <w:t> </w:t>
      </w:r>
      <w:r>
        <w:rPr>
          <w:w w:val="95"/>
        </w:rPr>
        <w:t>of</w:t>
      </w:r>
      <w:r>
        <w:rPr>
          <w:spacing w:val="-21"/>
          <w:w w:val="95"/>
        </w:rPr>
        <w:t> </w:t>
      </w:r>
      <w:r>
        <w:rPr>
          <w:w w:val="95"/>
        </w:rPr>
        <w:t>joint</w:t>
      </w:r>
      <w:r>
        <w:rPr>
          <w:spacing w:val="-23"/>
          <w:w w:val="95"/>
        </w:rPr>
        <w:t> </w:t>
      </w:r>
      <w:r>
        <w:rPr>
          <w:w w:val="95"/>
        </w:rPr>
        <w:t>cartilage </w:t>
      </w:r>
      <w:r>
        <w:rPr/>
        <w:t>in arthritis</w:t>
      </w:r>
      <w:r>
        <w:rPr>
          <w:spacing w:val="-17"/>
        </w:rPr>
        <w:t> </w:t>
      </w:r>
      <w:r>
        <w:rPr/>
        <w:t>patients</w:t>
      </w:r>
    </w:p>
    <w:p>
      <w:pPr>
        <w:pStyle w:val="BodyText"/>
        <w:spacing w:line="276" w:lineRule="auto" w:before="258"/>
        <w:ind w:left="616" w:right="132"/>
        <w:jc w:val="both"/>
        <w:rPr>
          <w:sz w:val="25"/>
        </w:rPr>
      </w:pPr>
      <w:r>
        <w:rPr/>
        <w:t>In a recently published study, scientists reported that resveratrol offered a promising potential treatment for arthritis. In animal studies, resveratrol pro- tected the cartilage of animals suffering from arthritis from inflammatory re- actions.</w:t>
      </w:r>
      <w:r>
        <w:rPr>
          <w:position w:val="9"/>
          <w:sz w:val="25"/>
        </w:rPr>
        <w:t>793</w:t>
      </w:r>
    </w:p>
    <w:p>
      <w:pPr>
        <w:pStyle w:val="Heading1"/>
        <w:spacing w:before="222"/>
        <w:ind w:left="616"/>
      </w:pPr>
      <w:r>
        <w:rPr/>
        <w:t>Resveratrol shows a positive effect on Huntington disease</w:t>
      </w:r>
    </w:p>
    <w:p>
      <w:pPr>
        <w:pStyle w:val="BodyText"/>
        <w:spacing w:line="276" w:lineRule="auto" w:before="300"/>
        <w:ind w:left="616" w:right="141"/>
        <w:jc w:val="both"/>
        <w:rPr>
          <w:sz w:val="25"/>
        </w:rPr>
      </w:pPr>
      <w:r>
        <w:rPr/>
        <w:t>According</w:t>
      </w:r>
      <w:r>
        <w:rPr>
          <w:spacing w:val="-7"/>
        </w:rPr>
        <w:t> </w:t>
      </w:r>
      <w:r>
        <w:rPr/>
        <w:t>to</w:t>
      </w:r>
      <w:r>
        <w:rPr>
          <w:spacing w:val="-9"/>
        </w:rPr>
        <w:t> </w:t>
      </w:r>
      <w:r>
        <w:rPr/>
        <w:t>a</w:t>
      </w:r>
      <w:r>
        <w:rPr>
          <w:spacing w:val="-7"/>
        </w:rPr>
        <w:t> </w:t>
      </w:r>
      <w:r>
        <w:rPr/>
        <w:t>recently</w:t>
      </w:r>
      <w:r>
        <w:rPr>
          <w:spacing w:val="-8"/>
        </w:rPr>
        <w:t> </w:t>
      </w:r>
      <w:r>
        <w:rPr/>
        <w:t>published</w:t>
      </w:r>
      <w:r>
        <w:rPr>
          <w:spacing w:val="-7"/>
        </w:rPr>
        <w:t> </w:t>
      </w:r>
      <w:r>
        <w:rPr/>
        <w:t>report,</w:t>
      </w:r>
      <w:r>
        <w:rPr>
          <w:spacing w:val="-8"/>
        </w:rPr>
        <w:t> </w:t>
      </w:r>
      <w:r>
        <w:rPr/>
        <w:t>resveratrol</w:t>
      </w:r>
      <w:r>
        <w:rPr>
          <w:spacing w:val="-8"/>
        </w:rPr>
        <w:t> </w:t>
      </w:r>
      <w:r>
        <w:rPr/>
        <w:t>shows</w:t>
      </w:r>
      <w:r>
        <w:rPr>
          <w:spacing w:val="-8"/>
        </w:rPr>
        <w:t> </w:t>
      </w:r>
      <w:r>
        <w:rPr/>
        <w:t>a</w:t>
      </w:r>
      <w:r>
        <w:rPr>
          <w:spacing w:val="-7"/>
        </w:rPr>
        <w:t> </w:t>
      </w:r>
      <w:r>
        <w:rPr/>
        <w:t>protective</w:t>
      </w:r>
      <w:r>
        <w:rPr>
          <w:spacing w:val="-6"/>
        </w:rPr>
        <w:t> </w:t>
      </w:r>
      <w:r>
        <w:rPr/>
        <w:t>effect in animal studies against Huntington disease, a disease associated with limited motor activity and decreased intellectual capability.</w:t>
      </w:r>
      <w:r>
        <w:rPr>
          <w:position w:val="9"/>
          <w:sz w:val="25"/>
        </w:rPr>
        <w:t>794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4"/>
        </w:rPr>
      </w:pPr>
      <w:r>
        <w:rPr/>
        <w:pict>
          <v:line style="position:absolute;mso-position-horizontal-relative:page;mso-position-vertical-relative:paragraph;z-index:10664;mso-wrap-distance-left:0;mso-wrap-distance-right:0" from="70.823997pt,16.321236pt" to="214.843997pt,16.321236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793 </w:t>
      </w:r>
      <w:r>
        <w:rPr>
          <w:sz w:val="20"/>
        </w:rPr>
        <w:t>Elmali N. et al.: Effects of resveratrol in inflammatory arthritis. Inflammation. 2006 Nov 4.</w:t>
      </w:r>
    </w:p>
    <w:p>
      <w:pPr>
        <w:spacing w:line="276" w:lineRule="auto" w:before="92"/>
        <w:ind w:left="616" w:right="0" w:firstLine="0"/>
        <w:jc w:val="left"/>
        <w:rPr>
          <w:sz w:val="20"/>
        </w:rPr>
      </w:pPr>
      <w:r>
        <w:rPr>
          <w:position w:val="5"/>
          <w:sz w:val="13"/>
        </w:rPr>
        <w:t>794 </w:t>
      </w:r>
      <w:r>
        <w:rPr>
          <w:sz w:val="20"/>
        </w:rPr>
        <w:t>Kumar P. et al.: Effect of resveratrol on 3-nitropropionic acid-induced biochemical and behavioural changes: possible neuroprotective mecha- nisms. Behav Pharmacol. 2006 Sep, 17 (5-6), pp. 485–492.</w:t>
      </w:r>
    </w:p>
    <w:p>
      <w:pPr>
        <w:pStyle w:val="BodyText"/>
        <w:rPr>
          <w:sz w:val="20"/>
        </w:rPr>
      </w:pPr>
    </w:p>
    <w:p>
      <w:pPr>
        <w:pStyle w:val="BodyText"/>
        <w:rPr>
          <w:sz w:val="20"/>
        </w:rPr>
      </w:pPr>
    </w:p>
    <w:p>
      <w:pPr>
        <w:pStyle w:val="BodyText"/>
        <w:rPr>
          <w:sz w:val="20"/>
        </w:rPr>
      </w:pPr>
    </w:p>
    <w:p>
      <w:pPr>
        <w:pStyle w:val="BodyText"/>
        <w:spacing w:before="10"/>
        <w:rPr>
          <w:sz w:val="19"/>
        </w:rPr>
      </w:pPr>
      <w:r>
        <w:rPr/>
        <w:drawing>
          <wp:anchor distT="0" distB="0" distL="0" distR="0" allowOverlap="1" layoutInCell="1" locked="0" behindDoc="0" simplePos="0" relativeHeight="10688">
            <wp:simplePos x="0" y="0"/>
            <wp:positionH relativeFrom="page">
              <wp:posOffset>985998</wp:posOffset>
            </wp:positionH>
            <wp:positionV relativeFrom="paragraph">
              <wp:posOffset>167182</wp:posOffset>
            </wp:positionV>
            <wp:extent cx="6340974" cy="896874"/>
            <wp:effectExtent l="0" t="0" r="0" b="0"/>
            <wp:wrapTopAndBottom/>
            <wp:docPr id="517" name="image2.jpeg" descr=""/>
            <wp:cNvGraphicFramePr>
              <a:graphicFrameLocks noChangeAspect="1"/>
            </wp:cNvGraphicFramePr>
            <a:graphic>
              <a:graphicData uri="http://schemas.openxmlformats.org/drawingml/2006/picture">
                <pic:pic>
                  <pic:nvPicPr>
                    <pic:cNvPr id="518" name="image2.jpeg"/>
                    <pic:cNvPicPr/>
                  </pic:nvPicPr>
                  <pic:blipFill>
                    <a:blip r:embed="rId21" cstate="print"/>
                    <a:stretch>
                      <a:fillRect/>
                    </a:stretch>
                  </pic:blipFill>
                  <pic:spPr>
                    <a:xfrm>
                      <a:off x="0" y="0"/>
                      <a:ext cx="6340974" cy="896874"/>
                    </a:xfrm>
                    <a:prstGeom prst="rect">
                      <a:avLst/>
                    </a:prstGeom>
                  </pic:spPr>
                </pic:pic>
              </a:graphicData>
            </a:graphic>
          </wp:anchor>
        </w:drawing>
      </w:r>
    </w:p>
    <w:p>
      <w:pPr>
        <w:spacing w:after="0"/>
        <w:rPr>
          <w:sz w:val="19"/>
        </w:rPr>
        <w:sectPr>
          <w:footerReference w:type="default" r:id="rId331"/>
          <w:pgSz w:w="14270" w:h="16850"/>
          <w:pgMar w:footer="527" w:header="0" w:top="1320" w:bottom="720" w:left="800" w:right="1280"/>
          <w:pgNumType w:start="1365"/>
        </w:sectPr>
      </w:pPr>
    </w:p>
    <w:p>
      <w:pPr>
        <w:pStyle w:val="Heading1"/>
        <w:spacing w:before="77"/>
        <w:ind w:left="616"/>
        <w:rPr>
          <w:b w:val="0"/>
          <w:i/>
          <w:sz w:val="25"/>
        </w:rPr>
      </w:pPr>
      <w:r>
        <w:rPr/>
        <w:t>Resveratrol tested on humans with complete success</w:t>
      </w:r>
      <w:r>
        <w:rPr>
          <w:b w:val="0"/>
          <w:i w:val="0"/>
          <w:position w:val="9"/>
          <w:sz w:val="25"/>
        </w:rPr>
        <w:t>795</w:t>
      </w:r>
    </w:p>
    <w:p>
      <w:pPr>
        <w:pStyle w:val="BodyText"/>
        <w:spacing w:line="276" w:lineRule="auto" w:before="297"/>
        <w:ind w:left="616" w:right="140"/>
        <w:jc w:val="both"/>
      </w:pPr>
      <w:r>
        <w:rPr/>
        <w:t>A</w:t>
      </w:r>
      <w:r>
        <w:rPr>
          <w:spacing w:val="-8"/>
        </w:rPr>
        <w:t> </w:t>
      </w:r>
      <w:r>
        <w:rPr/>
        <w:t>current</w:t>
      </w:r>
      <w:r>
        <w:rPr>
          <w:spacing w:val="-9"/>
        </w:rPr>
        <w:t> </w:t>
      </w:r>
      <w:r>
        <w:rPr/>
        <w:t>study</w:t>
      </w:r>
      <w:r>
        <w:rPr>
          <w:spacing w:val="-11"/>
        </w:rPr>
        <w:t> </w:t>
      </w:r>
      <w:r>
        <w:rPr/>
        <w:t>at</w:t>
      </w:r>
      <w:r>
        <w:rPr>
          <w:spacing w:val="-8"/>
        </w:rPr>
        <w:t> </w:t>
      </w:r>
      <w:r>
        <w:rPr/>
        <w:t>the</w:t>
      </w:r>
      <w:r>
        <w:rPr>
          <w:spacing w:val="-7"/>
        </w:rPr>
        <w:t> </w:t>
      </w:r>
      <w:r>
        <w:rPr/>
        <w:t>University</w:t>
      </w:r>
      <w:r>
        <w:rPr>
          <w:spacing w:val="-10"/>
        </w:rPr>
        <w:t> </w:t>
      </w:r>
      <w:r>
        <w:rPr/>
        <w:t>of</w:t>
      </w:r>
      <w:r>
        <w:rPr>
          <w:spacing w:val="-10"/>
        </w:rPr>
        <w:t> </w:t>
      </w:r>
      <w:r>
        <w:rPr/>
        <w:t>Maastricht</w:t>
      </w:r>
      <w:r>
        <w:rPr>
          <w:spacing w:val="-7"/>
        </w:rPr>
        <w:t> </w:t>
      </w:r>
      <w:r>
        <w:rPr/>
        <w:t>(Holland)</w:t>
      </w:r>
      <w:r>
        <w:rPr>
          <w:spacing w:val="-8"/>
        </w:rPr>
        <w:t> </w:t>
      </w:r>
      <w:r>
        <w:rPr/>
        <w:t>researched</w:t>
      </w:r>
      <w:r>
        <w:rPr>
          <w:spacing w:val="-7"/>
        </w:rPr>
        <w:t> </w:t>
      </w:r>
      <w:r>
        <w:rPr/>
        <w:t>the</w:t>
      </w:r>
      <w:r>
        <w:rPr>
          <w:spacing w:val="-9"/>
        </w:rPr>
        <w:t> </w:t>
      </w:r>
      <w:r>
        <w:rPr/>
        <w:t>influ- ence of resveratrol on the metabolism of obese men. Over the course of a month, the subjects consumed 150 mg of resveratrol daily. The following changes could be</w:t>
      </w:r>
      <w:r>
        <w:rPr>
          <w:spacing w:val="2"/>
        </w:rPr>
        <w:t> </w:t>
      </w:r>
      <w:r>
        <w:rPr/>
        <w:t>determined:</w:t>
      </w:r>
    </w:p>
    <w:p>
      <w:pPr>
        <w:pStyle w:val="ListParagraph"/>
        <w:numPr>
          <w:ilvl w:val="0"/>
          <w:numId w:val="81"/>
        </w:numPr>
        <w:tabs>
          <w:tab w:pos="1336" w:val="left" w:leader="none"/>
          <w:tab w:pos="1337" w:val="left" w:leader="none"/>
        </w:tabs>
        <w:spacing w:line="240" w:lineRule="auto" w:before="121" w:after="0"/>
        <w:ind w:left="1336" w:right="0" w:hanging="720"/>
        <w:jc w:val="both"/>
        <w:rPr>
          <w:rFonts w:ascii="Symbol"/>
          <w:sz w:val="20"/>
        </w:rPr>
      </w:pPr>
      <w:r>
        <w:rPr>
          <w:sz w:val="38"/>
        </w:rPr>
        <w:t>systolic blood pressure lowered by 5</w:t>
      </w:r>
      <w:r>
        <w:rPr>
          <w:spacing w:val="-1"/>
          <w:sz w:val="38"/>
        </w:rPr>
        <w:t> </w:t>
      </w:r>
      <w:r>
        <w:rPr>
          <w:sz w:val="38"/>
        </w:rPr>
        <w:t>mmHg,</w:t>
      </w:r>
    </w:p>
    <w:p>
      <w:pPr>
        <w:pStyle w:val="ListParagraph"/>
        <w:numPr>
          <w:ilvl w:val="0"/>
          <w:numId w:val="81"/>
        </w:numPr>
        <w:tabs>
          <w:tab w:pos="1336" w:val="left" w:leader="none"/>
          <w:tab w:pos="1337" w:val="left" w:leader="none"/>
        </w:tabs>
        <w:spacing w:line="240" w:lineRule="auto" w:before="183" w:after="0"/>
        <w:ind w:left="1336" w:right="0" w:hanging="720"/>
        <w:jc w:val="both"/>
        <w:rPr>
          <w:rFonts w:ascii="Symbol"/>
          <w:sz w:val="20"/>
        </w:rPr>
      </w:pPr>
      <w:r>
        <w:rPr>
          <w:sz w:val="38"/>
        </w:rPr>
        <w:t>muscle function</w:t>
      </w:r>
      <w:r>
        <w:rPr>
          <w:spacing w:val="3"/>
          <w:sz w:val="38"/>
        </w:rPr>
        <w:t> </w:t>
      </w:r>
      <w:r>
        <w:rPr>
          <w:sz w:val="38"/>
        </w:rPr>
        <w:t>improved,</w:t>
      </w:r>
    </w:p>
    <w:p>
      <w:pPr>
        <w:pStyle w:val="ListParagraph"/>
        <w:numPr>
          <w:ilvl w:val="0"/>
          <w:numId w:val="81"/>
        </w:numPr>
        <w:tabs>
          <w:tab w:pos="1336" w:val="left" w:leader="none"/>
          <w:tab w:pos="1337" w:val="left" w:leader="none"/>
        </w:tabs>
        <w:spacing w:line="240" w:lineRule="auto" w:before="185" w:after="0"/>
        <w:ind w:left="1336" w:right="0" w:hanging="720"/>
        <w:jc w:val="both"/>
        <w:rPr>
          <w:rFonts w:ascii="Symbol"/>
          <w:sz w:val="20"/>
        </w:rPr>
      </w:pPr>
      <w:r>
        <w:rPr>
          <w:sz w:val="38"/>
        </w:rPr>
        <w:t>fat burning in the muscles</w:t>
      </w:r>
      <w:r>
        <w:rPr>
          <w:spacing w:val="2"/>
          <w:sz w:val="38"/>
        </w:rPr>
        <w:t> </w:t>
      </w:r>
      <w:r>
        <w:rPr>
          <w:sz w:val="38"/>
        </w:rPr>
        <w:t>increased,</w:t>
      </w:r>
    </w:p>
    <w:p>
      <w:pPr>
        <w:pStyle w:val="ListParagraph"/>
        <w:numPr>
          <w:ilvl w:val="0"/>
          <w:numId w:val="81"/>
        </w:numPr>
        <w:tabs>
          <w:tab w:pos="1336" w:val="left" w:leader="none"/>
          <w:tab w:pos="1337" w:val="left" w:leader="none"/>
        </w:tabs>
        <w:spacing w:line="240" w:lineRule="auto" w:before="184" w:after="0"/>
        <w:ind w:left="1336" w:right="0" w:hanging="720"/>
        <w:jc w:val="both"/>
        <w:rPr>
          <w:rFonts w:ascii="Symbol"/>
          <w:sz w:val="20"/>
        </w:rPr>
      </w:pPr>
      <w:r>
        <w:rPr>
          <w:sz w:val="38"/>
        </w:rPr>
        <w:t>blood lipid levels decreased,</w:t>
      </w:r>
    </w:p>
    <w:p>
      <w:pPr>
        <w:pStyle w:val="ListParagraph"/>
        <w:numPr>
          <w:ilvl w:val="0"/>
          <w:numId w:val="81"/>
        </w:numPr>
        <w:tabs>
          <w:tab w:pos="1336" w:val="left" w:leader="none"/>
          <w:tab w:pos="1337" w:val="left" w:leader="none"/>
        </w:tabs>
        <w:spacing w:line="240" w:lineRule="auto" w:before="185" w:after="0"/>
        <w:ind w:left="1336" w:right="0" w:hanging="720"/>
        <w:jc w:val="both"/>
        <w:rPr>
          <w:rFonts w:ascii="Symbol"/>
          <w:sz w:val="20"/>
        </w:rPr>
      </w:pPr>
      <w:r>
        <w:rPr>
          <w:sz w:val="38"/>
        </w:rPr>
        <w:t>lipid levels in the liver</w:t>
      </w:r>
      <w:r>
        <w:rPr>
          <w:spacing w:val="2"/>
          <w:sz w:val="38"/>
        </w:rPr>
        <w:t> </w:t>
      </w:r>
      <w:r>
        <w:rPr>
          <w:sz w:val="38"/>
        </w:rPr>
        <w:t>decreased,</w:t>
      </w:r>
    </w:p>
    <w:p>
      <w:pPr>
        <w:pStyle w:val="ListParagraph"/>
        <w:numPr>
          <w:ilvl w:val="0"/>
          <w:numId w:val="81"/>
        </w:numPr>
        <w:tabs>
          <w:tab w:pos="1336" w:val="left" w:leader="none"/>
          <w:tab w:pos="1337" w:val="left" w:leader="none"/>
        </w:tabs>
        <w:spacing w:line="240" w:lineRule="auto" w:before="184" w:after="0"/>
        <w:ind w:left="1336" w:right="0" w:hanging="720"/>
        <w:jc w:val="both"/>
        <w:rPr>
          <w:rFonts w:ascii="Symbol"/>
          <w:sz w:val="20"/>
        </w:rPr>
      </w:pPr>
      <w:r>
        <w:rPr>
          <w:sz w:val="38"/>
        </w:rPr>
        <w:t>an anti-inflammatory effect was noted</w:t>
      </w:r>
      <w:r>
        <w:rPr>
          <w:spacing w:val="2"/>
          <w:sz w:val="38"/>
        </w:rPr>
        <w:t> </w:t>
      </w:r>
      <w:r>
        <w:rPr>
          <w:sz w:val="38"/>
        </w:rPr>
        <w:t>and</w:t>
      </w:r>
    </w:p>
    <w:p>
      <w:pPr>
        <w:pStyle w:val="ListParagraph"/>
        <w:numPr>
          <w:ilvl w:val="0"/>
          <w:numId w:val="81"/>
        </w:numPr>
        <w:tabs>
          <w:tab w:pos="1336" w:val="left" w:leader="none"/>
          <w:tab w:pos="1337" w:val="left" w:leader="none"/>
        </w:tabs>
        <w:spacing w:line="240" w:lineRule="auto" w:before="185" w:after="0"/>
        <w:ind w:left="1336" w:right="0" w:hanging="720"/>
        <w:jc w:val="both"/>
        <w:rPr>
          <w:rFonts w:ascii="Symbol"/>
          <w:sz w:val="20"/>
        </w:rPr>
      </w:pPr>
      <w:r>
        <w:rPr>
          <w:sz w:val="38"/>
        </w:rPr>
        <w:t>insulin sensitivity</w:t>
      </w:r>
      <w:r>
        <w:rPr>
          <w:spacing w:val="1"/>
          <w:sz w:val="38"/>
        </w:rPr>
        <w:t> </w:t>
      </w:r>
      <w:r>
        <w:rPr>
          <w:sz w:val="38"/>
        </w:rPr>
        <w:t>increased.</w:t>
      </w:r>
    </w:p>
    <w:p>
      <w:pPr>
        <w:pStyle w:val="Heading1"/>
        <w:spacing w:before="290"/>
        <w:ind w:left="616"/>
        <w:jc w:val="both"/>
      </w:pPr>
      <w:r>
        <w:rPr/>
        <w:t>In studies, resveratrol prevents fat storage despite high-fat diet</w:t>
      </w:r>
    </w:p>
    <w:p>
      <w:pPr>
        <w:pStyle w:val="BodyText"/>
        <w:spacing w:line="276" w:lineRule="auto" w:before="296"/>
        <w:ind w:left="616"/>
        <w:rPr>
          <w:sz w:val="25"/>
        </w:rPr>
      </w:pPr>
      <w:r>
        <w:rPr/>
        <w:t>In</w:t>
      </w:r>
      <w:r>
        <w:rPr>
          <w:spacing w:val="-15"/>
        </w:rPr>
        <w:t> </w:t>
      </w:r>
      <w:r>
        <w:rPr/>
        <w:t>an</w:t>
      </w:r>
      <w:r>
        <w:rPr>
          <w:spacing w:val="-14"/>
        </w:rPr>
        <w:t> </w:t>
      </w:r>
      <w:r>
        <w:rPr/>
        <w:t>animal</w:t>
      </w:r>
      <w:r>
        <w:rPr>
          <w:spacing w:val="-15"/>
        </w:rPr>
        <w:t> </w:t>
      </w:r>
      <w:r>
        <w:rPr/>
        <w:t>study,</w:t>
      </w:r>
      <w:r>
        <w:rPr>
          <w:spacing w:val="-14"/>
        </w:rPr>
        <w:t> </w:t>
      </w:r>
      <w:r>
        <w:rPr/>
        <w:t>mice</w:t>
      </w:r>
      <w:r>
        <w:rPr>
          <w:spacing w:val="-14"/>
        </w:rPr>
        <w:t> </w:t>
      </w:r>
      <w:r>
        <w:rPr/>
        <w:t>were</w:t>
      </w:r>
      <w:r>
        <w:rPr>
          <w:spacing w:val="-16"/>
        </w:rPr>
        <w:t> </w:t>
      </w:r>
      <w:r>
        <w:rPr/>
        <w:t>administered</w:t>
      </w:r>
      <w:r>
        <w:rPr>
          <w:spacing w:val="-14"/>
        </w:rPr>
        <w:t> </w:t>
      </w:r>
      <w:r>
        <w:rPr/>
        <w:t>a</w:t>
      </w:r>
      <w:r>
        <w:rPr>
          <w:spacing w:val="-15"/>
        </w:rPr>
        <w:t> </w:t>
      </w:r>
      <w:r>
        <w:rPr/>
        <w:t>high-fat</w:t>
      </w:r>
      <w:r>
        <w:rPr>
          <w:spacing w:val="-15"/>
        </w:rPr>
        <w:t> </w:t>
      </w:r>
      <w:r>
        <w:rPr/>
        <w:t>diet.</w:t>
      </w:r>
      <w:r>
        <w:rPr>
          <w:spacing w:val="-14"/>
        </w:rPr>
        <w:t> </w:t>
      </w:r>
      <w:r>
        <w:rPr/>
        <w:t>Parallel</w:t>
      </w:r>
      <w:r>
        <w:rPr>
          <w:spacing w:val="-14"/>
        </w:rPr>
        <w:t> </w:t>
      </w:r>
      <w:r>
        <w:rPr/>
        <w:t>supplemen- tation with resveratrol significantly lowered the expected storage of</w:t>
      </w:r>
      <w:r>
        <w:rPr>
          <w:spacing w:val="-12"/>
        </w:rPr>
        <w:t> </w:t>
      </w:r>
      <w:r>
        <w:rPr/>
        <w:t>fat.</w:t>
      </w:r>
      <w:r>
        <w:rPr>
          <w:position w:val="9"/>
          <w:sz w:val="25"/>
        </w:rPr>
        <w:t>796</w:t>
      </w:r>
    </w:p>
    <w:p>
      <w:pPr>
        <w:pStyle w:val="BodyText"/>
        <w:rPr>
          <w:sz w:val="42"/>
        </w:rPr>
      </w:pPr>
    </w:p>
    <w:p>
      <w:pPr>
        <w:pStyle w:val="BodyText"/>
        <w:spacing w:before="8"/>
        <w:rPr>
          <w:sz w:val="42"/>
        </w:rPr>
      </w:pPr>
    </w:p>
    <w:p>
      <w:pPr>
        <w:spacing w:before="1"/>
        <w:ind w:left="616" w:right="0" w:firstLine="0"/>
        <w:jc w:val="both"/>
        <w:rPr>
          <w:b/>
          <w:i/>
          <w:sz w:val="40"/>
        </w:rPr>
      </w:pPr>
      <w:r>
        <w:rPr>
          <w:b/>
          <w:sz w:val="38"/>
        </w:rPr>
        <w:t>In animal studies, resveratrol doubled </w:t>
      </w:r>
      <w:r>
        <w:rPr>
          <w:b/>
          <w:i/>
          <w:sz w:val="40"/>
        </w:rPr>
        <w:t>endurance capacity</w:t>
      </w:r>
    </w:p>
    <w:p>
      <w:pPr>
        <w:pStyle w:val="BodyText"/>
        <w:spacing w:before="299"/>
        <w:ind w:left="616"/>
        <w:jc w:val="both"/>
      </w:pPr>
      <w:r>
        <w:rPr/>
        <w:t>High doses of resveratrol were able to double endurance capacity in an animal</w:t>
      </w:r>
    </w:p>
    <w:p>
      <w:pPr>
        <w:pStyle w:val="BodyText"/>
        <w:rPr>
          <w:sz w:val="20"/>
        </w:rPr>
      </w:pPr>
    </w:p>
    <w:p>
      <w:pPr>
        <w:pStyle w:val="BodyText"/>
        <w:rPr>
          <w:sz w:val="20"/>
        </w:rPr>
      </w:pPr>
    </w:p>
    <w:p>
      <w:pPr>
        <w:pStyle w:val="BodyText"/>
        <w:rPr>
          <w:sz w:val="20"/>
        </w:rPr>
      </w:pPr>
    </w:p>
    <w:p>
      <w:pPr>
        <w:pStyle w:val="BodyText"/>
        <w:rPr>
          <w:sz w:val="20"/>
        </w:rPr>
      </w:pPr>
      <w:r>
        <w:rPr/>
        <w:pict>
          <v:line style="position:absolute;mso-position-horizontal-relative:page;mso-position-vertical-relative:paragraph;z-index:10712;mso-wrap-distance-left:0;mso-wrap-distance-right:0" from="70.823997pt,13.602485pt" to="214.843997pt,13.602485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795 </w:t>
      </w:r>
      <w:hyperlink r:id="rId333">
        <w:r>
          <w:rPr>
            <w:sz w:val="20"/>
          </w:rPr>
          <w:t>http://www.ncbi.nlm.nih.gov/pubmed/22055504</w:t>
        </w:r>
      </w:hyperlink>
    </w:p>
    <w:p>
      <w:pPr>
        <w:spacing w:line="276" w:lineRule="auto" w:before="94"/>
        <w:ind w:left="616" w:right="0" w:firstLine="0"/>
        <w:jc w:val="left"/>
        <w:rPr>
          <w:sz w:val="20"/>
        </w:rPr>
      </w:pPr>
      <w:r>
        <w:rPr>
          <w:position w:val="5"/>
          <w:sz w:val="13"/>
        </w:rPr>
        <w:t>796 </w:t>
      </w:r>
      <w:r>
        <w:rPr>
          <w:sz w:val="20"/>
        </w:rPr>
        <w:t>Lagouge M. et al.: Resveratrol improves mitochondrial function and protects against metabolic disease by activating SIRT1 and PGC-1alpha. Appeared in: Cell 127, 2006, pp. 1109–1122; doi:10.1016/j.cell.2006.11.013</w:t>
      </w:r>
      <w:r>
        <w:rPr>
          <w:sz w:val="20"/>
          <w:u w:val="single"/>
        </w:rPr>
        <w:t>; </w:t>
      </w:r>
      <w:r>
        <w:rPr>
          <w:sz w:val="20"/>
        </w:rPr>
        <w:t>PMID 17112576</w:t>
      </w:r>
    </w:p>
    <w:p>
      <w:pPr>
        <w:spacing w:after="0" w:line="276" w:lineRule="auto"/>
        <w:jc w:val="left"/>
        <w:rPr>
          <w:sz w:val="20"/>
        </w:rPr>
        <w:sectPr>
          <w:footerReference w:type="default" r:id="rId332"/>
          <w:pgSz w:w="14270" w:h="16850"/>
          <w:pgMar w:footer="1984" w:header="0" w:top="1320" w:bottom="2180" w:left="800" w:right="1280"/>
          <w:pgNumType w:start="1366"/>
        </w:sectPr>
      </w:pPr>
    </w:p>
    <w:p>
      <w:pPr>
        <w:spacing w:before="74"/>
        <w:ind w:left="616" w:right="0" w:firstLine="0"/>
        <w:jc w:val="left"/>
        <w:rPr>
          <w:sz w:val="25"/>
        </w:rPr>
      </w:pPr>
      <w:r>
        <w:rPr>
          <w:sz w:val="38"/>
        </w:rPr>
        <w:t>study.</w:t>
      </w:r>
      <w:r>
        <w:rPr>
          <w:position w:val="9"/>
          <w:sz w:val="25"/>
        </w:rPr>
        <w:t>797</w:t>
      </w:r>
    </w:p>
    <w:p>
      <w:pPr>
        <w:pStyle w:val="Heading1"/>
        <w:spacing w:before="287"/>
        <w:ind w:left="616"/>
      </w:pPr>
      <w:r>
        <w:rPr/>
        <w:t>Resveratrol effective in the treatment of glaucoma</w:t>
      </w:r>
    </w:p>
    <w:p>
      <w:pPr>
        <w:pStyle w:val="BodyText"/>
        <w:spacing w:line="276" w:lineRule="auto" w:before="297"/>
        <w:ind w:left="616" w:right="132"/>
        <w:jc w:val="both"/>
        <w:rPr>
          <w:sz w:val="25"/>
        </w:rPr>
      </w:pPr>
      <w:r>
        <w:rPr/>
        <w:t>In studies, resveratrol was able to show a neuroprotective effect with glau- coma.</w:t>
      </w:r>
      <w:r>
        <w:rPr>
          <w:position w:val="9"/>
          <w:sz w:val="25"/>
        </w:rPr>
        <w:t>798 </w:t>
      </w:r>
      <w:r>
        <w:rPr/>
        <w:t>In addition, it lowers oxidative stress in the eye and has an antioxida- tive and anti-apoptotic effect in the trabecular meshwork and in the neurons of</w:t>
      </w:r>
      <w:r>
        <w:rPr>
          <w:spacing w:val="-9"/>
        </w:rPr>
        <w:t> </w:t>
      </w:r>
      <w:r>
        <w:rPr/>
        <w:t>the</w:t>
      </w:r>
      <w:r>
        <w:rPr>
          <w:spacing w:val="-10"/>
        </w:rPr>
        <w:t> </w:t>
      </w:r>
      <w:r>
        <w:rPr/>
        <w:t>optic</w:t>
      </w:r>
      <w:r>
        <w:rPr>
          <w:spacing w:val="-13"/>
        </w:rPr>
        <w:t> </w:t>
      </w:r>
      <w:r>
        <w:rPr/>
        <w:t>nerve;</w:t>
      </w:r>
      <w:r>
        <w:rPr>
          <w:spacing w:val="-8"/>
        </w:rPr>
        <w:t> </w:t>
      </w:r>
      <w:r>
        <w:rPr/>
        <w:t>in</w:t>
      </w:r>
      <w:r>
        <w:rPr>
          <w:spacing w:val="-12"/>
        </w:rPr>
        <w:t> </w:t>
      </w:r>
      <w:r>
        <w:rPr/>
        <w:t>this</w:t>
      </w:r>
      <w:r>
        <w:rPr>
          <w:spacing w:val="-10"/>
        </w:rPr>
        <w:t> </w:t>
      </w:r>
      <w:r>
        <w:rPr/>
        <w:t>way,</w:t>
      </w:r>
      <w:r>
        <w:rPr>
          <w:spacing w:val="-8"/>
        </w:rPr>
        <w:t> </w:t>
      </w:r>
      <w:r>
        <w:rPr/>
        <w:t>it</w:t>
      </w:r>
      <w:r>
        <w:rPr>
          <w:spacing w:val="-13"/>
        </w:rPr>
        <w:t> </w:t>
      </w:r>
      <w:r>
        <w:rPr/>
        <w:t>protects</w:t>
      </w:r>
      <w:r>
        <w:rPr>
          <w:spacing w:val="-8"/>
        </w:rPr>
        <w:t> </w:t>
      </w:r>
      <w:r>
        <w:rPr/>
        <w:t>the</w:t>
      </w:r>
      <w:r>
        <w:rPr>
          <w:spacing w:val="-9"/>
        </w:rPr>
        <w:t> </w:t>
      </w:r>
      <w:r>
        <w:rPr/>
        <w:t>eye</w:t>
      </w:r>
      <w:r>
        <w:rPr>
          <w:spacing w:val="-12"/>
        </w:rPr>
        <w:t> </w:t>
      </w:r>
      <w:r>
        <w:rPr/>
        <w:t>from</w:t>
      </w:r>
      <w:r>
        <w:rPr>
          <w:spacing w:val="-8"/>
        </w:rPr>
        <w:t> </w:t>
      </w:r>
      <w:r>
        <w:rPr/>
        <w:t>further</w:t>
      </w:r>
      <w:r>
        <w:rPr>
          <w:spacing w:val="-11"/>
        </w:rPr>
        <w:t> </w:t>
      </w:r>
      <w:r>
        <w:rPr/>
        <w:t>deterioration.</w:t>
      </w:r>
      <w:r>
        <w:rPr>
          <w:position w:val="9"/>
          <w:sz w:val="25"/>
        </w:rPr>
        <w:t>799</w:t>
      </w:r>
    </w:p>
    <w:p>
      <w:pPr>
        <w:pStyle w:val="Heading1"/>
        <w:spacing w:before="225"/>
        <w:ind w:left="616"/>
      </w:pPr>
      <w:r>
        <w:rPr/>
        <w:t>Resveratrol and its role in multiple</w:t>
      </w:r>
      <w:r>
        <w:rPr>
          <w:spacing w:val="-73"/>
        </w:rPr>
        <w:t> </w:t>
      </w:r>
      <w:r>
        <w:rPr/>
        <w:t>sclerosis</w:t>
      </w:r>
    </w:p>
    <w:p>
      <w:pPr>
        <w:pStyle w:val="BodyText"/>
        <w:spacing w:line="276" w:lineRule="auto" w:before="299"/>
        <w:ind w:left="616" w:right="141"/>
        <w:jc w:val="both"/>
        <w:rPr>
          <w:sz w:val="25"/>
        </w:rPr>
      </w:pPr>
      <w:r>
        <w:rPr/>
        <w:t>Resveratrol activates NF-kB, which also seems to play a role in multiple scle- rosis</w:t>
      </w:r>
      <w:r>
        <w:rPr>
          <w:spacing w:val="-6"/>
        </w:rPr>
        <w:t> </w:t>
      </w:r>
      <w:r>
        <w:rPr/>
        <w:t>(MS).</w:t>
      </w:r>
      <w:r>
        <w:rPr>
          <w:spacing w:val="-6"/>
        </w:rPr>
        <w:t> </w:t>
      </w:r>
      <w:r>
        <w:rPr/>
        <w:t>Resveratrol</w:t>
      </w:r>
      <w:r>
        <w:rPr>
          <w:spacing w:val="-7"/>
        </w:rPr>
        <w:t> </w:t>
      </w:r>
      <w:r>
        <w:rPr/>
        <w:t>could</w:t>
      </w:r>
      <w:r>
        <w:rPr>
          <w:spacing w:val="-7"/>
        </w:rPr>
        <w:t> </w:t>
      </w:r>
      <w:r>
        <w:rPr/>
        <w:t>thus</w:t>
      </w:r>
      <w:r>
        <w:rPr>
          <w:spacing w:val="-6"/>
        </w:rPr>
        <w:t> </w:t>
      </w:r>
      <w:r>
        <w:rPr/>
        <w:t>prove</w:t>
      </w:r>
      <w:r>
        <w:rPr>
          <w:spacing w:val="-6"/>
        </w:rPr>
        <w:t> </w:t>
      </w:r>
      <w:r>
        <w:rPr/>
        <w:t>to</w:t>
      </w:r>
      <w:r>
        <w:rPr>
          <w:spacing w:val="-6"/>
        </w:rPr>
        <w:t> </w:t>
      </w:r>
      <w:r>
        <w:rPr/>
        <w:t>be</w:t>
      </w:r>
      <w:r>
        <w:rPr>
          <w:spacing w:val="-6"/>
        </w:rPr>
        <w:t> </w:t>
      </w:r>
      <w:r>
        <w:rPr/>
        <w:t>very</w:t>
      </w:r>
      <w:r>
        <w:rPr>
          <w:spacing w:val="-6"/>
        </w:rPr>
        <w:t> </w:t>
      </w:r>
      <w:r>
        <w:rPr/>
        <w:t>helpful</w:t>
      </w:r>
      <w:r>
        <w:rPr>
          <w:spacing w:val="-8"/>
        </w:rPr>
        <w:t> </w:t>
      </w:r>
      <w:r>
        <w:rPr/>
        <w:t>in</w:t>
      </w:r>
      <w:r>
        <w:rPr>
          <w:spacing w:val="-7"/>
        </w:rPr>
        <w:t> </w:t>
      </w:r>
      <w:r>
        <w:rPr/>
        <w:t>the</w:t>
      </w:r>
      <w:r>
        <w:rPr>
          <w:spacing w:val="-2"/>
        </w:rPr>
        <w:t> </w:t>
      </w:r>
      <w:r>
        <w:rPr/>
        <w:t>treatment</w:t>
      </w:r>
      <w:r>
        <w:rPr>
          <w:spacing w:val="-7"/>
        </w:rPr>
        <w:t> </w:t>
      </w:r>
      <w:r>
        <w:rPr/>
        <w:t>of multiple</w:t>
      </w:r>
      <w:r>
        <w:rPr>
          <w:spacing w:val="-1"/>
        </w:rPr>
        <w:t> </w:t>
      </w:r>
      <w:r>
        <w:rPr/>
        <w:t>sclerosis.</w:t>
      </w:r>
      <w:r>
        <w:rPr>
          <w:position w:val="9"/>
          <w:sz w:val="25"/>
        </w:rPr>
        <w:t>800</w:t>
      </w:r>
    </w:p>
    <w:p>
      <w:pPr>
        <w:pStyle w:val="Heading2"/>
        <w:spacing w:before="239"/>
        <w:ind w:left="616"/>
      </w:pPr>
      <w:r>
        <w:rPr/>
        <w:t>Intake, Administration and Dosage of Resveratrol</w:t>
      </w:r>
    </w:p>
    <w:p>
      <w:pPr>
        <w:pStyle w:val="BodyText"/>
        <w:spacing w:line="276" w:lineRule="auto" w:before="305"/>
        <w:ind w:left="616" w:right="135"/>
        <w:jc w:val="both"/>
      </w:pPr>
      <w:r>
        <w:rPr/>
        <w:t>Because</w:t>
      </w:r>
      <w:r>
        <w:rPr>
          <w:spacing w:val="-7"/>
        </w:rPr>
        <w:t> </w:t>
      </w:r>
      <w:r>
        <w:rPr/>
        <w:t>resveratrol</w:t>
      </w:r>
      <w:r>
        <w:rPr>
          <w:spacing w:val="-8"/>
        </w:rPr>
        <w:t> </w:t>
      </w:r>
      <w:r>
        <w:rPr/>
        <w:t>is</w:t>
      </w:r>
      <w:r>
        <w:rPr>
          <w:spacing w:val="-7"/>
        </w:rPr>
        <w:t> </w:t>
      </w:r>
      <w:r>
        <w:rPr/>
        <w:t>an</w:t>
      </w:r>
      <w:r>
        <w:rPr>
          <w:spacing w:val="-7"/>
        </w:rPr>
        <w:t> </w:t>
      </w:r>
      <w:r>
        <w:rPr/>
        <w:t>active</w:t>
      </w:r>
      <w:r>
        <w:rPr>
          <w:spacing w:val="-8"/>
        </w:rPr>
        <w:t> </w:t>
      </w:r>
      <w:r>
        <w:rPr/>
        <w:t>substance</w:t>
      </w:r>
      <w:r>
        <w:rPr>
          <w:spacing w:val="-6"/>
        </w:rPr>
        <w:t> </w:t>
      </w:r>
      <w:r>
        <w:rPr/>
        <w:t>which</w:t>
      </w:r>
      <w:r>
        <w:rPr>
          <w:spacing w:val="-6"/>
        </w:rPr>
        <w:t> </w:t>
      </w:r>
      <w:r>
        <w:rPr/>
        <w:t>is</w:t>
      </w:r>
      <w:r>
        <w:rPr>
          <w:spacing w:val="-7"/>
        </w:rPr>
        <w:t> </w:t>
      </w:r>
      <w:r>
        <w:rPr/>
        <w:t>new</w:t>
      </w:r>
      <w:r>
        <w:rPr>
          <w:spacing w:val="-8"/>
        </w:rPr>
        <w:t> </w:t>
      </w:r>
      <w:r>
        <w:rPr/>
        <w:t>and</w:t>
      </w:r>
      <w:r>
        <w:rPr>
          <w:spacing w:val="-7"/>
        </w:rPr>
        <w:t> </w:t>
      </w:r>
      <w:r>
        <w:rPr/>
        <w:t>consequently</w:t>
      </w:r>
      <w:r>
        <w:rPr>
          <w:spacing w:val="-7"/>
        </w:rPr>
        <w:t> </w:t>
      </w:r>
      <w:r>
        <w:rPr/>
        <w:t>rela- tively little researched on human subjects, there are as yet no scientifically- founded recommendations for human</w:t>
      </w:r>
      <w:r>
        <w:rPr>
          <w:spacing w:val="-1"/>
        </w:rPr>
        <w:t> </w:t>
      </w:r>
      <w:r>
        <w:rPr/>
        <w:t>consumption.</w:t>
      </w:r>
    </w:p>
    <w:p>
      <w:pPr>
        <w:pStyle w:val="BodyText"/>
        <w:spacing w:line="276" w:lineRule="auto" w:before="239"/>
        <w:ind w:left="616" w:right="141"/>
        <w:jc w:val="both"/>
      </w:pPr>
      <w:r>
        <w:rPr/>
        <w:t>Further complicating the issue, resveratrol only occurs in a small number of foods; these would be:</w:t>
      </w:r>
    </w:p>
    <w:p>
      <w:pPr>
        <w:pStyle w:val="ListParagraph"/>
        <w:numPr>
          <w:ilvl w:val="0"/>
          <w:numId w:val="103"/>
        </w:numPr>
        <w:tabs>
          <w:tab w:pos="1617" w:val="left" w:leader="none"/>
          <w:tab w:pos="1618" w:val="left" w:leader="none"/>
        </w:tabs>
        <w:spacing w:line="240" w:lineRule="auto" w:before="2" w:after="0"/>
        <w:ind w:left="1617" w:right="0" w:hanging="643"/>
        <w:jc w:val="left"/>
        <w:rPr>
          <w:sz w:val="38"/>
        </w:rPr>
      </w:pPr>
      <w:r>
        <w:rPr>
          <w:sz w:val="38"/>
        </w:rPr>
        <w:t>Grapes</w:t>
      </w:r>
    </w:p>
    <w:p>
      <w:pPr>
        <w:pStyle w:val="BodyText"/>
        <w:rPr>
          <w:sz w:val="20"/>
        </w:rPr>
      </w:pPr>
    </w:p>
    <w:p>
      <w:pPr>
        <w:pStyle w:val="BodyText"/>
        <w:spacing w:before="5"/>
        <w:rPr>
          <w:sz w:val="23"/>
        </w:rPr>
      </w:pPr>
      <w:r>
        <w:rPr/>
        <w:pict>
          <v:line style="position:absolute;mso-position-horizontal-relative:page;mso-position-vertical-relative:paragraph;z-index:10736;mso-wrap-distance-left:0;mso-wrap-distance-right:0" from="70.823997pt,15.566245pt" to="214.843997pt,15.566245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797 </w:t>
      </w:r>
      <w:r>
        <w:rPr>
          <w:sz w:val="20"/>
        </w:rPr>
        <w:t>Khamsi R.: </w:t>
      </w:r>
      <w:r>
        <w:rPr>
          <w:color w:val="0000FF"/>
          <w:sz w:val="20"/>
          <w:u w:val="single" w:color="0000FF"/>
        </w:rPr>
        <w:t>Red wine compound boosts athletic endurance.</w:t>
      </w:r>
      <w:r>
        <w:rPr>
          <w:color w:val="0000FF"/>
          <w:sz w:val="20"/>
        </w:rPr>
        <w:t> </w:t>
      </w:r>
      <w:r>
        <w:rPr>
          <w:sz w:val="20"/>
        </w:rPr>
        <w:t>Appeared in: New Scientist 16. November 2006.</w:t>
      </w:r>
    </w:p>
    <w:p>
      <w:pPr>
        <w:spacing w:line="276" w:lineRule="auto" w:before="94"/>
        <w:ind w:left="616" w:right="0" w:firstLine="0"/>
        <w:jc w:val="left"/>
        <w:rPr>
          <w:sz w:val="20"/>
        </w:rPr>
      </w:pPr>
      <w:r>
        <w:rPr>
          <w:position w:val="5"/>
          <w:sz w:val="13"/>
        </w:rPr>
        <w:t>798 </w:t>
      </w:r>
      <w:r>
        <w:rPr>
          <w:sz w:val="20"/>
        </w:rPr>
        <w:t>M. Mozaffarieh u. a.: </w:t>
      </w:r>
      <w:r>
        <w:rPr>
          <w:color w:val="0000FF"/>
          <w:sz w:val="20"/>
          <w:u w:val="single" w:color="0000FF"/>
        </w:rPr>
        <w:t>The potential value of natural antioxidative treatment in glaucoma.</w:t>
      </w:r>
      <w:r>
        <w:rPr>
          <w:color w:val="0000FF"/>
          <w:sz w:val="20"/>
        </w:rPr>
        <w:t> </w:t>
      </w:r>
      <w:r>
        <w:rPr>
          <w:sz w:val="20"/>
        </w:rPr>
        <w:t>In: J Flammer Surv Ophthalmol 53, 2008, pp. 479–505; </w:t>
      </w:r>
      <w:r>
        <w:rPr>
          <w:color w:val="0000FF"/>
          <w:sz w:val="20"/>
          <w:u w:val="single" w:color="0000FF"/>
        </w:rPr>
        <w:t>PMID 18929760</w:t>
      </w:r>
    </w:p>
    <w:p>
      <w:pPr>
        <w:spacing w:line="276" w:lineRule="auto" w:before="59"/>
        <w:ind w:left="616" w:right="0" w:firstLine="0"/>
        <w:jc w:val="left"/>
        <w:rPr>
          <w:sz w:val="20"/>
        </w:rPr>
      </w:pPr>
      <w:r>
        <w:rPr>
          <w:position w:val="5"/>
          <w:sz w:val="13"/>
        </w:rPr>
        <w:t>799 </w:t>
      </w:r>
      <w:r>
        <w:rPr>
          <w:sz w:val="20"/>
        </w:rPr>
        <w:t>C. Luna u. a.: Resveratrol prevents the expression of glaucoma markers induced by chronic oxidative stress in trabecular meshwork cells. Ap- peared in: Food Chem Toxiol 47, 2009, pp. 198–204; </w:t>
      </w:r>
      <w:r>
        <w:rPr>
          <w:color w:val="0000FF"/>
          <w:sz w:val="20"/>
          <w:u w:val="single" w:color="0000FF"/>
        </w:rPr>
        <w:t>PMID 19027816</w:t>
      </w:r>
      <w:r>
        <w:rPr>
          <w:sz w:val="20"/>
        </w:rPr>
        <w:t>; </w:t>
      </w:r>
      <w:r>
        <w:rPr>
          <w:color w:val="0000FF"/>
          <w:sz w:val="20"/>
          <w:u w:val="single" w:color="0000FF"/>
        </w:rPr>
        <w:t>doi</w:t>
      </w:r>
      <w:r>
        <w:rPr>
          <w:sz w:val="20"/>
          <w:u w:val="single" w:color="0000FF"/>
        </w:rPr>
        <w:t>:</w:t>
      </w:r>
      <w:r>
        <w:rPr>
          <w:color w:val="0000FF"/>
          <w:sz w:val="20"/>
          <w:u w:val="single" w:color="0000FF"/>
        </w:rPr>
        <w:t>10.1016/j.fct.2008.10.029</w:t>
      </w:r>
    </w:p>
    <w:p>
      <w:pPr>
        <w:spacing w:line="276" w:lineRule="auto" w:before="60"/>
        <w:ind w:left="616" w:right="156" w:firstLine="0"/>
        <w:jc w:val="left"/>
        <w:rPr>
          <w:sz w:val="20"/>
        </w:rPr>
      </w:pPr>
      <w:r>
        <w:rPr>
          <w:position w:val="5"/>
          <w:sz w:val="13"/>
        </w:rPr>
        <w:t>800 </w:t>
      </w:r>
      <w:r>
        <w:rPr>
          <w:sz w:val="20"/>
        </w:rPr>
        <w:t>K. S. Schindler u. a.: </w:t>
      </w:r>
      <w:r>
        <w:rPr>
          <w:color w:val="0000FF"/>
          <w:sz w:val="20"/>
          <w:u w:val="single" w:color="0000FF"/>
        </w:rPr>
        <w:t>SIRT1 activation confers neuroprotection in experimental optic neuritis.</w:t>
      </w:r>
      <w:r>
        <w:rPr>
          <w:color w:val="0000FF"/>
          <w:sz w:val="20"/>
        </w:rPr>
        <w:t> </w:t>
      </w:r>
      <w:r>
        <w:rPr>
          <w:sz w:val="20"/>
        </w:rPr>
        <w:t>Appeared in: Invest Ophthalmol Vis Sci 48, 2007, pp. 3602–3609; </w:t>
      </w:r>
      <w:r>
        <w:rPr>
          <w:color w:val="0000FF"/>
          <w:sz w:val="20"/>
          <w:u w:val="single" w:color="0000FF"/>
        </w:rPr>
        <w:t>PMID 17652729</w:t>
      </w:r>
    </w:p>
    <w:p>
      <w:pPr>
        <w:spacing w:after="0" w:line="276" w:lineRule="auto"/>
        <w:jc w:val="left"/>
        <w:rPr>
          <w:sz w:val="20"/>
        </w:rPr>
        <w:sectPr>
          <w:pgSz w:w="14270" w:h="16850"/>
          <w:pgMar w:header="0" w:footer="1984" w:top="1340" w:bottom="2500" w:left="800" w:right="1280"/>
        </w:sectPr>
      </w:pPr>
    </w:p>
    <w:p>
      <w:pPr>
        <w:pStyle w:val="ListParagraph"/>
        <w:numPr>
          <w:ilvl w:val="0"/>
          <w:numId w:val="103"/>
        </w:numPr>
        <w:tabs>
          <w:tab w:pos="1617" w:val="left" w:leader="none"/>
          <w:tab w:pos="1618" w:val="left" w:leader="none"/>
        </w:tabs>
        <w:spacing w:line="240" w:lineRule="auto" w:before="53" w:after="0"/>
        <w:ind w:left="1617" w:right="0" w:hanging="643"/>
        <w:jc w:val="left"/>
        <w:rPr>
          <w:sz w:val="38"/>
        </w:rPr>
      </w:pPr>
      <w:r>
        <w:rPr>
          <w:sz w:val="38"/>
        </w:rPr>
        <w:t>Red</w:t>
      </w:r>
      <w:r>
        <w:rPr>
          <w:spacing w:val="-2"/>
          <w:sz w:val="38"/>
        </w:rPr>
        <w:t> </w:t>
      </w:r>
      <w:r>
        <w:rPr>
          <w:sz w:val="38"/>
        </w:rPr>
        <w:t>wine</w:t>
      </w:r>
    </w:p>
    <w:p>
      <w:pPr>
        <w:pStyle w:val="ListParagraph"/>
        <w:numPr>
          <w:ilvl w:val="0"/>
          <w:numId w:val="103"/>
        </w:numPr>
        <w:tabs>
          <w:tab w:pos="1617" w:val="left" w:leader="none"/>
          <w:tab w:pos="1618" w:val="left" w:leader="none"/>
        </w:tabs>
        <w:spacing w:line="240" w:lineRule="auto" w:before="66" w:after="0"/>
        <w:ind w:left="1617" w:right="0" w:hanging="643"/>
        <w:jc w:val="left"/>
        <w:rPr>
          <w:sz w:val="38"/>
        </w:rPr>
      </w:pPr>
      <w:r>
        <w:rPr>
          <w:sz w:val="38"/>
        </w:rPr>
        <w:t>Plums</w:t>
      </w:r>
    </w:p>
    <w:p>
      <w:pPr>
        <w:pStyle w:val="ListParagraph"/>
        <w:numPr>
          <w:ilvl w:val="0"/>
          <w:numId w:val="103"/>
        </w:numPr>
        <w:tabs>
          <w:tab w:pos="1617" w:val="left" w:leader="none"/>
          <w:tab w:pos="1618" w:val="left" w:leader="none"/>
        </w:tabs>
        <w:spacing w:line="240" w:lineRule="auto" w:before="64" w:after="0"/>
        <w:ind w:left="1617" w:right="0" w:hanging="643"/>
        <w:jc w:val="left"/>
        <w:rPr>
          <w:sz w:val="38"/>
        </w:rPr>
      </w:pPr>
      <w:r>
        <w:rPr>
          <w:sz w:val="38"/>
        </w:rPr>
        <w:t>Grape</w:t>
      </w:r>
      <w:r>
        <w:rPr>
          <w:spacing w:val="-3"/>
          <w:sz w:val="38"/>
        </w:rPr>
        <w:t> </w:t>
      </w:r>
      <w:r>
        <w:rPr>
          <w:sz w:val="38"/>
        </w:rPr>
        <w:t>seeds</w:t>
      </w:r>
    </w:p>
    <w:p>
      <w:pPr>
        <w:pStyle w:val="ListParagraph"/>
        <w:numPr>
          <w:ilvl w:val="0"/>
          <w:numId w:val="103"/>
        </w:numPr>
        <w:tabs>
          <w:tab w:pos="1617" w:val="left" w:leader="none"/>
          <w:tab w:pos="1618" w:val="left" w:leader="none"/>
        </w:tabs>
        <w:spacing w:line="240" w:lineRule="auto" w:before="64" w:after="0"/>
        <w:ind w:left="1617" w:right="0" w:hanging="643"/>
        <w:jc w:val="left"/>
        <w:rPr>
          <w:sz w:val="38"/>
        </w:rPr>
      </w:pPr>
      <w:r>
        <w:rPr>
          <w:sz w:val="38"/>
        </w:rPr>
        <w:t>Grape</w:t>
      </w:r>
      <w:r>
        <w:rPr>
          <w:spacing w:val="-9"/>
          <w:sz w:val="38"/>
        </w:rPr>
        <w:t> </w:t>
      </w:r>
      <w:r>
        <w:rPr>
          <w:sz w:val="38"/>
        </w:rPr>
        <w:t>juice</w:t>
      </w:r>
    </w:p>
    <w:p>
      <w:pPr>
        <w:pStyle w:val="ListParagraph"/>
        <w:numPr>
          <w:ilvl w:val="0"/>
          <w:numId w:val="103"/>
        </w:numPr>
        <w:tabs>
          <w:tab w:pos="1617" w:val="left" w:leader="none"/>
          <w:tab w:pos="1618" w:val="left" w:leader="none"/>
        </w:tabs>
        <w:spacing w:line="240" w:lineRule="auto" w:before="63" w:after="0"/>
        <w:ind w:left="1617" w:right="0" w:hanging="643"/>
        <w:jc w:val="left"/>
        <w:rPr>
          <w:sz w:val="38"/>
        </w:rPr>
      </w:pPr>
      <w:r>
        <w:rPr>
          <w:sz w:val="38"/>
        </w:rPr>
        <w:t>Raspberries</w:t>
      </w:r>
    </w:p>
    <w:p>
      <w:pPr>
        <w:pStyle w:val="ListParagraph"/>
        <w:numPr>
          <w:ilvl w:val="0"/>
          <w:numId w:val="103"/>
        </w:numPr>
        <w:tabs>
          <w:tab w:pos="1617" w:val="left" w:leader="none"/>
          <w:tab w:pos="1618" w:val="left" w:leader="none"/>
        </w:tabs>
        <w:spacing w:line="240" w:lineRule="auto" w:before="64" w:after="0"/>
        <w:ind w:left="1617" w:right="0" w:hanging="643"/>
        <w:jc w:val="left"/>
        <w:rPr>
          <w:sz w:val="38"/>
        </w:rPr>
      </w:pPr>
      <w:r>
        <w:rPr>
          <w:sz w:val="38"/>
        </w:rPr>
        <w:t>Mulberries</w:t>
      </w:r>
    </w:p>
    <w:p>
      <w:pPr>
        <w:pStyle w:val="ListParagraph"/>
        <w:numPr>
          <w:ilvl w:val="0"/>
          <w:numId w:val="103"/>
        </w:numPr>
        <w:tabs>
          <w:tab w:pos="1617" w:val="left" w:leader="none"/>
          <w:tab w:pos="1618" w:val="left" w:leader="none"/>
        </w:tabs>
        <w:spacing w:line="240" w:lineRule="auto" w:before="66" w:after="0"/>
        <w:ind w:left="1617" w:right="0" w:hanging="643"/>
        <w:jc w:val="left"/>
        <w:rPr>
          <w:sz w:val="38"/>
        </w:rPr>
      </w:pPr>
      <w:r>
        <w:rPr>
          <w:sz w:val="38"/>
        </w:rPr>
        <w:t>Peanuts</w:t>
      </w:r>
    </w:p>
    <w:p>
      <w:pPr>
        <w:pStyle w:val="ListParagraph"/>
        <w:numPr>
          <w:ilvl w:val="0"/>
          <w:numId w:val="103"/>
        </w:numPr>
        <w:tabs>
          <w:tab w:pos="1617" w:val="left" w:leader="none"/>
          <w:tab w:pos="1618" w:val="left" w:leader="none"/>
        </w:tabs>
        <w:spacing w:line="240" w:lineRule="auto" w:before="64" w:after="0"/>
        <w:ind w:left="1617" w:right="0" w:hanging="643"/>
        <w:jc w:val="left"/>
        <w:rPr>
          <w:sz w:val="38"/>
        </w:rPr>
      </w:pPr>
      <w:r>
        <w:rPr>
          <w:sz w:val="38"/>
        </w:rPr>
        <w:t>Peanut</w:t>
      </w:r>
      <w:r>
        <w:rPr>
          <w:spacing w:val="-1"/>
          <w:sz w:val="38"/>
        </w:rPr>
        <w:t> </w:t>
      </w:r>
      <w:r>
        <w:rPr>
          <w:sz w:val="38"/>
        </w:rPr>
        <w:t>butter</w:t>
      </w:r>
    </w:p>
    <w:p>
      <w:pPr>
        <w:pStyle w:val="ListParagraph"/>
        <w:numPr>
          <w:ilvl w:val="0"/>
          <w:numId w:val="103"/>
        </w:numPr>
        <w:tabs>
          <w:tab w:pos="1617" w:val="left" w:leader="none"/>
          <w:tab w:pos="1618" w:val="left" w:leader="none"/>
        </w:tabs>
        <w:spacing w:line="240" w:lineRule="auto" w:before="64" w:after="0"/>
        <w:ind w:left="1617" w:right="0" w:hanging="643"/>
        <w:jc w:val="left"/>
        <w:rPr>
          <w:sz w:val="38"/>
        </w:rPr>
      </w:pPr>
      <w:r>
        <w:rPr>
          <w:sz w:val="38"/>
        </w:rPr>
        <w:t>Japanese</w:t>
      </w:r>
      <w:r>
        <w:rPr>
          <w:spacing w:val="-2"/>
          <w:sz w:val="38"/>
        </w:rPr>
        <w:t> </w:t>
      </w:r>
      <w:r>
        <w:rPr>
          <w:sz w:val="38"/>
        </w:rPr>
        <w:t>knotgrass</w:t>
      </w:r>
    </w:p>
    <w:p>
      <w:pPr>
        <w:pStyle w:val="BodyText"/>
        <w:spacing w:line="276" w:lineRule="auto" w:before="302"/>
        <w:ind w:left="616" w:right="137"/>
        <w:jc w:val="both"/>
      </w:pPr>
      <w:r>
        <w:rPr/>
        <w:t>While you can definitely eat large amounts of grapes and peanuts (resveratrol is mostly present in the skins!), for understandable reasons you should avoid using red wine to meet your needs. This would require multiple litres of red wine per day – not exactly healthy (1-2 glasses per day are acceptable!). With red wine, you should also note that there are major differences in resveratrol content</w:t>
      </w:r>
      <w:r>
        <w:rPr>
          <w:spacing w:val="-23"/>
        </w:rPr>
        <w:t> </w:t>
      </w:r>
      <w:r>
        <w:rPr/>
        <w:t>which</w:t>
      </w:r>
      <w:r>
        <w:rPr>
          <w:spacing w:val="-23"/>
        </w:rPr>
        <w:t> </w:t>
      </w:r>
      <w:r>
        <w:rPr/>
        <w:t>can</w:t>
      </w:r>
      <w:r>
        <w:rPr>
          <w:spacing w:val="-21"/>
        </w:rPr>
        <w:t> </w:t>
      </w:r>
      <w:r>
        <w:rPr/>
        <w:t>range</w:t>
      </w:r>
      <w:r>
        <w:rPr>
          <w:spacing w:val="-24"/>
        </w:rPr>
        <w:t> </w:t>
      </w:r>
      <w:r>
        <w:rPr/>
        <w:t>from</w:t>
      </w:r>
      <w:r>
        <w:rPr>
          <w:spacing w:val="-23"/>
        </w:rPr>
        <w:t> </w:t>
      </w:r>
      <w:r>
        <w:rPr/>
        <w:t>0.1</w:t>
      </w:r>
      <w:r>
        <w:rPr>
          <w:spacing w:val="-22"/>
        </w:rPr>
        <w:t> </w:t>
      </w:r>
      <w:r>
        <w:rPr/>
        <w:t>mg</w:t>
      </w:r>
      <w:r>
        <w:rPr>
          <w:spacing w:val="-21"/>
        </w:rPr>
        <w:t> </w:t>
      </w:r>
      <w:r>
        <w:rPr/>
        <w:t>to</w:t>
      </w:r>
      <w:r>
        <w:rPr>
          <w:spacing w:val="-24"/>
        </w:rPr>
        <w:t> </w:t>
      </w:r>
      <w:r>
        <w:rPr/>
        <w:t>15</w:t>
      </w:r>
      <w:r>
        <w:rPr>
          <w:spacing w:val="-22"/>
        </w:rPr>
        <w:t> </w:t>
      </w:r>
      <w:r>
        <w:rPr/>
        <w:t>mg</w:t>
      </w:r>
      <w:r>
        <w:rPr>
          <w:spacing w:val="-23"/>
        </w:rPr>
        <w:t> </w:t>
      </w:r>
      <w:r>
        <w:rPr/>
        <w:t>of</w:t>
      </w:r>
      <w:r>
        <w:rPr>
          <w:spacing w:val="-22"/>
        </w:rPr>
        <w:t> </w:t>
      </w:r>
      <w:r>
        <w:rPr/>
        <w:t>resveratrol</w:t>
      </w:r>
      <w:r>
        <w:rPr>
          <w:spacing w:val="-25"/>
        </w:rPr>
        <w:t> </w:t>
      </w:r>
      <w:r>
        <w:rPr/>
        <w:t>per</w:t>
      </w:r>
      <w:r>
        <w:rPr>
          <w:spacing w:val="-26"/>
        </w:rPr>
        <w:t> </w:t>
      </w:r>
      <w:r>
        <w:rPr/>
        <w:t>litre,</w:t>
      </w:r>
      <w:r>
        <w:rPr>
          <w:spacing w:val="-21"/>
        </w:rPr>
        <w:t> </w:t>
      </w:r>
      <w:r>
        <w:rPr/>
        <w:t>although French and Italian wines still traditionally have the highest resveratrol content (recommended are merlot, pinot noir, and cabernet sauvignon). Grape juice only delivers a small amount of resveratrol, which is related to its short fer- menting process compared to wine production.</w:t>
      </w:r>
    </w:p>
    <w:p>
      <w:pPr>
        <w:pStyle w:val="Heading2"/>
        <w:spacing w:before="242"/>
        <w:ind w:left="616"/>
        <w:jc w:val="both"/>
      </w:pPr>
      <w:r>
        <w:rPr/>
        <w:t>Dosage</w:t>
      </w:r>
    </w:p>
    <w:p>
      <w:pPr>
        <w:pStyle w:val="BodyText"/>
        <w:spacing w:before="305"/>
        <w:ind w:left="616"/>
        <w:jc w:val="both"/>
      </w:pPr>
      <w:r>
        <w:rPr/>
        <w:t>If we take the concentration of resveratrol used in Sinclair’s animal studies</w:t>
      </w:r>
      <w:r>
        <w:rPr>
          <w:spacing w:val="89"/>
        </w:rPr>
        <w:t> </w:t>
      </w:r>
      <w:r>
        <w:rPr/>
        <w:t>as</w:t>
      </w:r>
    </w:p>
    <w:p>
      <w:pPr>
        <w:spacing w:after="0"/>
        <w:jc w:val="both"/>
        <w:sectPr>
          <w:footerReference w:type="default" r:id="rId334"/>
          <w:pgSz w:w="14270" w:h="16850"/>
          <w:pgMar w:footer="1891" w:header="0" w:top="1360" w:bottom="2080" w:left="800" w:right="1280"/>
          <w:pgNumType w:start="1368"/>
        </w:sectPr>
      </w:pPr>
    </w:p>
    <w:p>
      <w:pPr>
        <w:pStyle w:val="BodyText"/>
        <w:spacing w:line="276" w:lineRule="auto" w:before="72"/>
        <w:ind w:left="616" w:right="135"/>
        <w:jc w:val="both"/>
        <w:rPr>
          <w:sz w:val="25"/>
        </w:rPr>
      </w:pPr>
      <w:r>
        <w:rPr/>
        <w:t>our basis, which led to a life extension in animals, and extrapolate this to hu- man</w:t>
      </w:r>
      <w:r>
        <w:rPr>
          <w:spacing w:val="-9"/>
        </w:rPr>
        <w:t> </w:t>
      </w:r>
      <w:r>
        <w:rPr/>
        <w:t>beings,</w:t>
      </w:r>
      <w:r>
        <w:rPr>
          <w:spacing w:val="-7"/>
        </w:rPr>
        <w:t> </w:t>
      </w:r>
      <w:r>
        <w:rPr/>
        <w:t>then</w:t>
      </w:r>
      <w:r>
        <w:rPr>
          <w:spacing w:val="-9"/>
        </w:rPr>
        <w:t> </w:t>
      </w:r>
      <w:r>
        <w:rPr/>
        <w:t>one</w:t>
      </w:r>
      <w:r>
        <w:rPr>
          <w:spacing w:val="-8"/>
        </w:rPr>
        <w:t> </w:t>
      </w:r>
      <w:r>
        <w:rPr/>
        <w:t>would</w:t>
      </w:r>
      <w:r>
        <w:rPr>
          <w:spacing w:val="-10"/>
        </w:rPr>
        <w:t> </w:t>
      </w:r>
      <w:r>
        <w:rPr/>
        <w:t>have</w:t>
      </w:r>
      <w:r>
        <w:rPr>
          <w:spacing w:val="-8"/>
        </w:rPr>
        <w:t> </w:t>
      </w:r>
      <w:r>
        <w:rPr/>
        <w:t>to</w:t>
      </w:r>
      <w:r>
        <w:rPr>
          <w:spacing w:val="-8"/>
        </w:rPr>
        <w:t> </w:t>
      </w:r>
      <w:r>
        <w:rPr/>
        <w:t>take</w:t>
      </w:r>
      <w:r>
        <w:rPr>
          <w:spacing w:val="-10"/>
        </w:rPr>
        <w:t> </w:t>
      </w:r>
      <w:r>
        <w:rPr/>
        <w:t>120</w:t>
      </w:r>
      <w:r>
        <w:rPr>
          <w:spacing w:val="-9"/>
        </w:rPr>
        <w:t> </w:t>
      </w:r>
      <w:r>
        <w:rPr/>
        <w:t>mg</w:t>
      </w:r>
      <w:r>
        <w:rPr>
          <w:spacing w:val="-8"/>
        </w:rPr>
        <w:t> </w:t>
      </w:r>
      <w:r>
        <w:rPr/>
        <w:t>of</w:t>
      </w:r>
      <w:r>
        <w:rPr>
          <w:spacing w:val="-9"/>
        </w:rPr>
        <w:t> </w:t>
      </w:r>
      <w:r>
        <w:rPr/>
        <w:t>resveratrol</w:t>
      </w:r>
      <w:r>
        <w:rPr>
          <w:spacing w:val="-11"/>
        </w:rPr>
        <w:t> </w:t>
      </w:r>
      <w:r>
        <w:rPr/>
        <w:t>per</w:t>
      </w:r>
      <w:r>
        <w:rPr>
          <w:spacing w:val="-9"/>
        </w:rPr>
        <w:t> </w:t>
      </w:r>
      <w:r>
        <w:rPr/>
        <w:t>day,</w:t>
      </w:r>
      <w:r>
        <w:rPr>
          <w:spacing w:val="-8"/>
        </w:rPr>
        <w:t> </w:t>
      </w:r>
      <w:r>
        <w:rPr/>
        <w:t>which appears truly impossible and is only possible with the additional intake of a dietary supplement. The ADI (Acceptable Daily Intake) for humans has been calculated to be 390 mg of resveratrol per 65 kg body</w:t>
      </w:r>
      <w:r>
        <w:rPr>
          <w:spacing w:val="-8"/>
        </w:rPr>
        <w:t> </w:t>
      </w:r>
      <w:r>
        <w:rPr/>
        <w:t>weight.</w:t>
      </w:r>
      <w:r>
        <w:rPr>
          <w:position w:val="9"/>
          <w:sz w:val="25"/>
        </w:rPr>
        <w:t>801</w:t>
      </w:r>
    </w:p>
    <w:p>
      <w:pPr>
        <w:pStyle w:val="BodyText"/>
        <w:spacing w:line="276" w:lineRule="auto" w:before="242"/>
        <w:ind w:left="616" w:right="133"/>
        <w:jc w:val="both"/>
      </w:pPr>
      <w:r>
        <w:rPr/>
        <w:t>Normally, 3-40 mg are taken daily for preventative purposes; in case of an ex- isting illness, you should consult a knowledgeable therapist. Studies of bi- omarkers have shown that as little as 20 mg of pure resveratrol can have ben- efits for longevity and gene expression. But many scientists advocate for a higher dose for humans. However, 20 mg of resveratrol still corresponds to the amount in 41 glasses of red wine! In a current study of human subjects, carried out at the Maastricht University in Holland, a dose of 150 mg/day</w:t>
      </w:r>
      <w:r>
        <w:rPr>
          <w:spacing w:val="-66"/>
        </w:rPr>
        <w:t> </w:t>
      </w:r>
      <w:r>
        <w:rPr/>
        <w:t>was successfully administered.</w:t>
      </w:r>
    </w:p>
    <w:p>
      <w:pPr>
        <w:pStyle w:val="Heading1"/>
        <w:ind w:left="616"/>
      </w:pPr>
      <w:r>
        <w:rPr/>
        <w:t>Does resveratrol lead to any undesired side effects?</w:t>
      </w:r>
    </w:p>
    <w:p>
      <w:pPr>
        <w:pStyle w:val="BodyText"/>
        <w:spacing w:line="276" w:lineRule="auto" w:before="297"/>
        <w:ind w:left="616" w:right="137"/>
        <w:jc w:val="both"/>
      </w:pPr>
      <w:r>
        <w:rPr/>
        <w:t>Resveratrol</w:t>
      </w:r>
      <w:r>
        <w:rPr>
          <w:spacing w:val="-13"/>
        </w:rPr>
        <w:t> </w:t>
      </w:r>
      <w:r>
        <w:rPr/>
        <w:t>has</w:t>
      </w:r>
      <w:r>
        <w:rPr>
          <w:spacing w:val="-13"/>
        </w:rPr>
        <w:t> </w:t>
      </w:r>
      <w:r>
        <w:rPr/>
        <w:t>proven</w:t>
      </w:r>
      <w:r>
        <w:rPr>
          <w:spacing w:val="-11"/>
        </w:rPr>
        <w:t> </w:t>
      </w:r>
      <w:r>
        <w:rPr/>
        <w:t>itself</w:t>
      </w:r>
      <w:r>
        <w:rPr>
          <w:spacing w:val="-12"/>
        </w:rPr>
        <w:t> </w:t>
      </w:r>
      <w:r>
        <w:rPr/>
        <w:t>to</w:t>
      </w:r>
      <w:r>
        <w:rPr>
          <w:spacing w:val="-14"/>
        </w:rPr>
        <w:t> </w:t>
      </w:r>
      <w:r>
        <w:rPr/>
        <w:t>be</w:t>
      </w:r>
      <w:r>
        <w:rPr>
          <w:spacing w:val="-11"/>
        </w:rPr>
        <w:t> </w:t>
      </w:r>
      <w:r>
        <w:rPr/>
        <w:t>a</w:t>
      </w:r>
      <w:r>
        <w:rPr>
          <w:spacing w:val="-13"/>
        </w:rPr>
        <w:t> </w:t>
      </w:r>
      <w:r>
        <w:rPr/>
        <w:t>safe</w:t>
      </w:r>
      <w:r>
        <w:rPr>
          <w:spacing w:val="-11"/>
        </w:rPr>
        <w:t> </w:t>
      </w:r>
      <w:r>
        <w:rPr/>
        <w:t>natural</w:t>
      </w:r>
      <w:r>
        <w:rPr>
          <w:spacing w:val="-13"/>
        </w:rPr>
        <w:t> </w:t>
      </w:r>
      <w:r>
        <w:rPr/>
        <w:t>substance</w:t>
      </w:r>
      <w:r>
        <w:rPr>
          <w:spacing w:val="-11"/>
        </w:rPr>
        <w:t> </w:t>
      </w:r>
      <w:r>
        <w:rPr/>
        <w:t>and</w:t>
      </w:r>
      <w:r>
        <w:rPr>
          <w:spacing w:val="-11"/>
        </w:rPr>
        <w:t> </w:t>
      </w:r>
      <w:r>
        <w:rPr/>
        <w:t>remained</w:t>
      </w:r>
      <w:r>
        <w:rPr>
          <w:spacing w:val="-11"/>
        </w:rPr>
        <w:t> </w:t>
      </w:r>
      <w:r>
        <w:rPr/>
        <w:t>com- pletely</w:t>
      </w:r>
      <w:r>
        <w:rPr>
          <w:spacing w:val="-11"/>
        </w:rPr>
        <w:t> </w:t>
      </w:r>
      <w:r>
        <w:rPr/>
        <w:t>free</w:t>
      </w:r>
      <w:r>
        <w:rPr>
          <w:spacing w:val="-11"/>
        </w:rPr>
        <w:t> </w:t>
      </w:r>
      <w:r>
        <w:rPr/>
        <w:t>of</w:t>
      </w:r>
      <w:r>
        <w:rPr>
          <w:spacing w:val="-10"/>
        </w:rPr>
        <w:t> </w:t>
      </w:r>
      <w:r>
        <w:rPr/>
        <w:t>side</w:t>
      </w:r>
      <w:r>
        <w:rPr>
          <w:spacing w:val="-11"/>
        </w:rPr>
        <w:t> </w:t>
      </w:r>
      <w:r>
        <w:rPr/>
        <w:t>effects</w:t>
      </w:r>
      <w:r>
        <w:rPr>
          <w:spacing w:val="-10"/>
        </w:rPr>
        <w:t> </w:t>
      </w:r>
      <w:r>
        <w:rPr/>
        <w:t>in</w:t>
      </w:r>
      <w:r>
        <w:rPr>
          <w:spacing w:val="-12"/>
        </w:rPr>
        <w:t> </w:t>
      </w:r>
      <w:r>
        <w:rPr/>
        <w:t>an</w:t>
      </w:r>
      <w:r>
        <w:rPr>
          <w:spacing w:val="-10"/>
        </w:rPr>
        <w:t> </w:t>
      </w:r>
      <w:r>
        <w:rPr/>
        <w:t>animal</w:t>
      </w:r>
      <w:r>
        <w:rPr>
          <w:spacing w:val="-12"/>
        </w:rPr>
        <w:t> </w:t>
      </w:r>
      <w:r>
        <w:rPr/>
        <w:t>study</w:t>
      </w:r>
      <w:r>
        <w:rPr>
          <w:spacing w:val="-9"/>
        </w:rPr>
        <w:t> </w:t>
      </w:r>
      <w:r>
        <w:rPr/>
        <w:t>despite</w:t>
      </w:r>
      <w:r>
        <w:rPr>
          <w:spacing w:val="-12"/>
        </w:rPr>
        <w:t> </w:t>
      </w:r>
      <w:r>
        <w:rPr/>
        <w:t>an</w:t>
      </w:r>
      <w:r>
        <w:rPr>
          <w:spacing w:val="-10"/>
        </w:rPr>
        <w:t> </w:t>
      </w:r>
      <w:r>
        <w:rPr/>
        <w:t>extremely</w:t>
      </w:r>
      <w:r>
        <w:rPr>
          <w:spacing w:val="-9"/>
        </w:rPr>
        <w:t> </w:t>
      </w:r>
      <w:r>
        <w:rPr/>
        <w:t>high</w:t>
      </w:r>
      <w:r>
        <w:rPr>
          <w:spacing w:val="-9"/>
        </w:rPr>
        <w:t> </w:t>
      </w:r>
      <w:r>
        <w:rPr/>
        <w:t>dose</w:t>
      </w:r>
      <w:r>
        <w:rPr>
          <w:spacing w:val="-11"/>
        </w:rPr>
        <w:t> </w:t>
      </w:r>
      <w:r>
        <w:rPr/>
        <w:t>of 300 mg/kg body</w:t>
      </w:r>
      <w:r>
        <w:rPr>
          <w:spacing w:val="-2"/>
        </w:rPr>
        <w:t> </w:t>
      </w:r>
      <w:r>
        <w:rPr/>
        <w:t>weight.</w:t>
      </w:r>
    </w:p>
    <w:p>
      <w:pPr>
        <w:pStyle w:val="BodyText"/>
        <w:spacing w:line="278" w:lineRule="auto" w:before="241"/>
        <w:ind w:left="616" w:right="136"/>
        <w:jc w:val="both"/>
        <w:rPr>
          <w:sz w:val="25"/>
        </w:rPr>
      </w:pPr>
      <w:r>
        <w:rPr/>
        <w:t>The ADI (Acceptable Daily Intake) for humans has been calculated to be 390 mg of resveratrol for a person weighing 65 kg.</w:t>
      </w:r>
      <w:r>
        <w:rPr>
          <w:position w:val="9"/>
          <w:sz w:val="25"/>
        </w:rPr>
        <w:t>802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5"/>
        </w:rPr>
      </w:pPr>
      <w:r>
        <w:rPr/>
        <w:pict>
          <v:line style="position:absolute;mso-position-horizontal-relative:page;mso-position-vertical-relative:paragraph;z-index:10760;mso-wrap-distance-left:0;mso-wrap-distance-right:0" from="70.823997pt,10.899985pt" to="214.843997pt,10.899985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801 </w:t>
      </w:r>
      <w:r>
        <w:rPr>
          <w:sz w:val="20"/>
        </w:rPr>
        <w:t>Crowell, J. A., et al., Resveratrol-associated renal toxicity. Toxicol. Sciences 82 (2004) 614–619.</w:t>
      </w:r>
    </w:p>
    <w:p>
      <w:pPr>
        <w:spacing w:before="94"/>
        <w:ind w:left="616" w:right="0" w:firstLine="0"/>
        <w:jc w:val="left"/>
        <w:rPr>
          <w:sz w:val="20"/>
        </w:rPr>
      </w:pPr>
      <w:r>
        <w:rPr>
          <w:position w:val="5"/>
          <w:sz w:val="13"/>
        </w:rPr>
        <w:t>802 </w:t>
      </w:r>
      <w:r>
        <w:rPr>
          <w:sz w:val="20"/>
        </w:rPr>
        <w:t>Crowell, J. A., et al.: Resveratrol-associated renal toxicity. Toxicol. Sciences 2004, 82, pp. 614–619.</w:t>
      </w:r>
    </w:p>
    <w:p>
      <w:pPr>
        <w:spacing w:after="0"/>
        <w:jc w:val="left"/>
        <w:rPr>
          <w:sz w:val="20"/>
        </w:rPr>
        <w:sectPr>
          <w:pgSz w:w="14270" w:h="16850"/>
          <w:pgMar w:header="0" w:footer="1891" w:top="1340" w:bottom="2080" w:left="800" w:right="1280"/>
        </w:sectPr>
      </w:pPr>
    </w:p>
    <w:p>
      <w:pPr>
        <w:spacing w:before="73"/>
        <w:ind w:left="616" w:right="0" w:firstLine="0"/>
        <w:jc w:val="left"/>
        <w:rPr>
          <w:rFonts w:ascii="Cambria"/>
          <w:b/>
          <w:sz w:val="28"/>
        </w:rPr>
      </w:pPr>
      <w:r>
        <w:rPr>
          <w:rFonts w:ascii="Cambria"/>
          <w:b/>
          <w:color w:val="365F91"/>
          <w:sz w:val="28"/>
        </w:rPr>
        <w:t>ROOIBOS-REDBUSH</w:t>
      </w:r>
    </w:p>
    <w:p>
      <w:pPr>
        <w:pStyle w:val="BodyText"/>
        <w:rPr>
          <w:rFonts w:ascii="Cambria"/>
          <w:b/>
          <w:sz w:val="32"/>
        </w:rPr>
      </w:pPr>
    </w:p>
    <w:p>
      <w:pPr>
        <w:pStyle w:val="BodyText"/>
        <w:rPr>
          <w:rFonts w:ascii="Cambria"/>
          <w:b/>
          <w:sz w:val="32"/>
        </w:rPr>
      </w:pPr>
    </w:p>
    <w:p>
      <w:pPr>
        <w:pStyle w:val="BodyText"/>
        <w:spacing w:before="7"/>
        <w:rPr>
          <w:rFonts w:ascii="Cambria"/>
          <w:b/>
          <w:sz w:val="43"/>
        </w:rPr>
      </w:pPr>
    </w:p>
    <w:p>
      <w:pPr>
        <w:pStyle w:val="Heading2"/>
        <w:ind w:left="616"/>
      </w:pPr>
      <w:r>
        <w:rPr/>
        <w:t>What is rooibos tea or redbush tea?</w:t>
      </w:r>
    </w:p>
    <w:p>
      <w:pPr>
        <w:pStyle w:val="BodyText"/>
        <w:spacing w:line="276" w:lineRule="auto" w:before="302"/>
        <w:ind w:left="616" w:right="141"/>
        <w:jc w:val="both"/>
      </w:pPr>
      <w:r>
        <w:rPr/>
        <w:t>Other terms abroad include ‘redbos tea’ and ‘koopmans tea’ (merchant’s tea). Next</w:t>
      </w:r>
      <w:r>
        <w:rPr>
          <w:spacing w:val="-18"/>
        </w:rPr>
        <w:t> </w:t>
      </w:r>
      <w:r>
        <w:rPr/>
        <w:t>to</w:t>
      </w:r>
      <w:r>
        <w:rPr>
          <w:spacing w:val="-17"/>
        </w:rPr>
        <w:t> </w:t>
      </w:r>
      <w:r>
        <w:rPr/>
        <w:t>these,</w:t>
      </w:r>
      <w:r>
        <w:rPr>
          <w:spacing w:val="-17"/>
        </w:rPr>
        <w:t> </w:t>
      </w:r>
      <w:r>
        <w:rPr/>
        <w:t>there</w:t>
      </w:r>
      <w:r>
        <w:rPr>
          <w:spacing w:val="-16"/>
        </w:rPr>
        <w:t> </w:t>
      </w:r>
      <w:r>
        <w:rPr/>
        <w:t>are</w:t>
      </w:r>
      <w:r>
        <w:rPr>
          <w:spacing w:val="-17"/>
        </w:rPr>
        <w:t> </w:t>
      </w:r>
      <w:r>
        <w:rPr/>
        <w:t>also</w:t>
      </w:r>
      <w:r>
        <w:rPr>
          <w:spacing w:val="-17"/>
        </w:rPr>
        <w:t> </w:t>
      </w:r>
      <w:r>
        <w:rPr/>
        <w:t>a</w:t>
      </w:r>
      <w:r>
        <w:rPr>
          <w:spacing w:val="-18"/>
        </w:rPr>
        <w:t> </w:t>
      </w:r>
      <w:r>
        <w:rPr/>
        <w:t>number</w:t>
      </w:r>
      <w:r>
        <w:rPr>
          <w:spacing w:val="-17"/>
        </w:rPr>
        <w:t> </w:t>
      </w:r>
      <w:r>
        <w:rPr/>
        <w:t>of</w:t>
      </w:r>
      <w:r>
        <w:rPr>
          <w:spacing w:val="-17"/>
        </w:rPr>
        <w:t> </w:t>
      </w:r>
      <w:r>
        <w:rPr/>
        <w:t>other,</w:t>
      </w:r>
      <w:r>
        <w:rPr>
          <w:spacing w:val="-18"/>
        </w:rPr>
        <w:t> </w:t>
      </w:r>
      <w:r>
        <w:rPr/>
        <w:t>sometimes</w:t>
      </w:r>
      <w:r>
        <w:rPr>
          <w:spacing w:val="-16"/>
        </w:rPr>
        <w:t> </w:t>
      </w:r>
      <w:r>
        <w:rPr/>
        <w:t>very</w:t>
      </w:r>
      <w:r>
        <w:rPr>
          <w:spacing w:val="-17"/>
        </w:rPr>
        <w:t> </w:t>
      </w:r>
      <w:r>
        <w:rPr/>
        <w:t>fanciful</w:t>
      </w:r>
      <w:r>
        <w:rPr>
          <w:spacing w:val="-18"/>
        </w:rPr>
        <w:t> </w:t>
      </w:r>
      <w:r>
        <w:rPr/>
        <w:t>names which lack all connection to redbush</w:t>
      </w:r>
      <w:r>
        <w:rPr>
          <w:spacing w:val="2"/>
        </w:rPr>
        <w:t> </w:t>
      </w:r>
      <w:r>
        <w:rPr/>
        <w:t>tea.</w:t>
      </w:r>
    </w:p>
    <w:p>
      <w:pPr>
        <w:pStyle w:val="BodyText"/>
        <w:spacing w:line="276" w:lineRule="auto" w:before="242"/>
        <w:ind w:left="616" w:right="131"/>
        <w:jc w:val="both"/>
      </w:pPr>
      <w:r>
        <w:rPr/>
        <w:t>This</w:t>
      </w:r>
      <w:r>
        <w:rPr>
          <w:spacing w:val="-7"/>
        </w:rPr>
        <w:t> </w:t>
      </w:r>
      <w:r>
        <w:rPr/>
        <w:t>tea</w:t>
      </w:r>
      <w:r>
        <w:rPr>
          <w:spacing w:val="-8"/>
        </w:rPr>
        <w:t> </w:t>
      </w:r>
      <w:r>
        <w:rPr/>
        <w:t>is</w:t>
      </w:r>
      <w:r>
        <w:rPr>
          <w:spacing w:val="-7"/>
        </w:rPr>
        <w:t> </w:t>
      </w:r>
      <w:r>
        <w:rPr/>
        <w:t>gradually</w:t>
      </w:r>
      <w:r>
        <w:rPr>
          <w:spacing w:val="-8"/>
        </w:rPr>
        <w:t> </w:t>
      </w:r>
      <w:r>
        <w:rPr/>
        <w:t>coming</w:t>
      </w:r>
      <w:r>
        <w:rPr>
          <w:spacing w:val="-6"/>
        </w:rPr>
        <w:t> </w:t>
      </w:r>
      <w:r>
        <w:rPr/>
        <w:t>to</w:t>
      </w:r>
      <w:r>
        <w:rPr>
          <w:spacing w:val="-7"/>
        </w:rPr>
        <w:t> </w:t>
      </w:r>
      <w:r>
        <w:rPr/>
        <w:t>enjoy</w:t>
      </w:r>
      <w:r>
        <w:rPr>
          <w:spacing w:val="-7"/>
        </w:rPr>
        <w:t> </w:t>
      </w:r>
      <w:r>
        <w:rPr/>
        <w:t>an</w:t>
      </w:r>
      <w:r>
        <w:rPr>
          <w:spacing w:val="-7"/>
        </w:rPr>
        <w:t> </w:t>
      </w:r>
      <w:r>
        <w:rPr/>
        <w:t>increasing</w:t>
      </w:r>
      <w:r>
        <w:rPr>
          <w:spacing w:val="-7"/>
        </w:rPr>
        <w:t> </w:t>
      </w:r>
      <w:r>
        <w:rPr/>
        <w:t>popularity,</w:t>
      </w:r>
      <w:r>
        <w:rPr>
          <w:spacing w:val="-7"/>
        </w:rPr>
        <w:t> </w:t>
      </w:r>
      <w:r>
        <w:rPr/>
        <w:t>including</w:t>
      </w:r>
      <w:r>
        <w:rPr>
          <w:spacing w:val="-7"/>
        </w:rPr>
        <w:t> </w:t>
      </w:r>
      <w:r>
        <w:rPr/>
        <w:t>in</w:t>
      </w:r>
      <w:r>
        <w:rPr>
          <w:spacing w:val="-7"/>
        </w:rPr>
        <w:t> </w:t>
      </w:r>
      <w:r>
        <w:rPr/>
        <w:t>our geographical region. Present in many people’s memory as a milder alternative to black tea or even coffee (rooibos tea contains no caffeine) and due to the fruity-sweet and nonetheless calorie-free taste, redbush tea can be enjoyed at any</w:t>
      </w:r>
      <w:r>
        <w:rPr>
          <w:spacing w:val="-15"/>
        </w:rPr>
        <w:t> </w:t>
      </w:r>
      <w:r>
        <w:rPr/>
        <w:t>time</w:t>
      </w:r>
      <w:r>
        <w:rPr>
          <w:spacing w:val="-14"/>
        </w:rPr>
        <w:t> </w:t>
      </w:r>
      <w:r>
        <w:rPr/>
        <w:t>of</w:t>
      </w:r>
      <w:r>
        <w:rPr>
          <w:spacing w:val="-16"/>
        </w:rPr>
        <w:t> </w:t>
      </w:r>
      <w:r>
        <w:rPr/>
        <w:t>the</w:t>
      </w:r>
      <w:r>
        <w:rPr>
          <w:spacing w:val="-17"/>
        </w:rPr>
        <w:t> </w:t>
      </w:r>
      <w:r>
        <w:rPr/>
        <w:t>day</w:t>
      </w:r>
      <w:r>
        <w:rPr>
          <w:spacing w:val="-15"/>
        </w:rPr>
        <w:t> </w:t>
      </w:r>
      <w:r>
        <w:rPr/>
        <w:t>and</w:t>
      </w:r>
      <w:r>
        <w:rPr>
          <w:spacing w:val="-14"/>
        </w:rPr>
        <w:t> </w:t>
      </w:r>
      <w:r>
        <w:rPr/>
        <w:t>by</w:t>
      </w:r>
      <w:r>
        <w:rPr>
          <w:spacing w:val="-17"/>
        </w:rPr>
        <w:t> </w:t>
      </w:r>
      <w:r>
        <w:rPr/>
        <w:t>any</w:t>
      </w:r>
      <w:r>
        <w:rPr>
          <w:spacing w:val="-16"/>
        </w:rPr>
        <w:t> </w:t>
      </w:r>
      <w:r>
        <w:rPr/>
        <w:t>group</w:t>
      </w:r>
      <w:r>
        <w:rPr>
          <w:spacing w:val="-14"/>
        </w:rPr>
        <w:t> </w:t>
      </w:r>
      <w:r>
        <w:rPr/>
        <w:t>of</w:t>
      </w:r>
      <w:r>
        <w:rPr>
          <w:spacing w:val="-16"/>
        </w:rPr>
        <w:t> </w:t>
      </w:r>
      <w:r>
        <w:rPr/>
        <w:t>people</w:t>
      </w:r>
      <w:r>
        <w:rPr>
          <w:spacing w:val="-18"/>
        </w:rPr>
        <w:t> </w:t>
      </w:r>
      <w:r>
        <w:rPr/>
        <w:t>(by</w:t>
      </w:r>
      <w:r>
        <w:rPr>
          <w:spacing w:val="-14"/>
        </w:rPr>
        <w:t> </w:t>
      </w:r>
      <w:r>
        <w:rPr/>
        <w:t>both</w:t>
      </w:r>
      <w:r>
        <w:rPr>
          <w:spacing w:val="-16"/>
        </w:rPr>
        <w:t> </w:t>
      </w:r>
      <w:r>
        <w:rPr/>
        <w:t>children</w:t>
      </w:r>
      <w:r>
        <w:rPr>
          <w:spacing w:val="-15"/>
        </w:rPr>
        <w:t> </w:t>
      </w:r>
      <w:r>
        <w:rPr/>
        <w:t>and</w:t>
      </w:r>
      <w:r>
        <w:rPr>
          <w:spacing w:val="-14"/>
        </w:rPr>
        <w:t> </w:t>
      </w:r>
      <w:r>
        <w:rPr/>
        <w:t>pregnant persons).</w:t>
      </w:r>
    </w:p>
    <w:p>
      <w:pPr>
        <w:pStyle w:val="BodyText"/>
        <w:spacing w:line="276" w:lineRule="auto" w:before="240"/>
        <w:ind w:left="616" w:right="137"/>
        <w:jc w:val="both"/>
      </w:pPr>
      <w:r>
        <w:rPr/>
        <w:t>Revered</w:t>
      </w:r>
      <w:r>
        <w:rPr>
          <w:spacing w:val="-15"/>
        </w:rPr>
        <w:t> </w:t>
      </w:r>
      <w:r>
        <w:rPr/>
        <w:t>in</w:t>
      </w:r>
      <w:r>
        <w:rPr>
          <w:spacing w:val="-14"/>
        </w:rPr>
        <w:t> </w:t>
      </w:r>
      <w:r>
        <w:rPr/>
        <w:t>South</w:t>
      </w:r>
      <w:r>
        <w:rPr>
          <w:spacing w:val="-14"/>
        </w:rPr>
        <w:t> </w:t>
      </w:r>
      <w:r>
        <w:rPr/>
        <w:t>Africa</w:t>
      </w:r>
      <w:r>
        <w:rPr>
          <w:spacing w:val="-14"/>
        </w:rPr>
        <w:t> </w:t>
      </w:r>
      <w:r>
        <w:rPr/>
        <w:t>for</w:t>
      </w:r>
      <w:r>
        <w:rPr>
          <w:spacing w:val="-13"/>
        </w:rPr>
        <w:t> </w:t>
      </w:r>
      <w:r>
        <w:rPr/>
        <w:t>centuries</w:t>
      </w:r>
      <w:r>
        <w:rPr>
          <w:spacing w:val="-14"/>
        </w:rPr>
        <w:t> </w:t>
      </w:r>
      <w:r>
        <w:rPr/>
        <w:t>as</w:t>
      </w:r>
      <w:r>
        <w:rPr>
          <w:spacing w:val="-15"/>
        </w:rPr>
        <w:t> </w:t>
      </w:r>
      <w:r>
        <w:rPr/>
        <w:t>an</w:t>
      </w:r>
      <w:r>
        <w:rPr>
          <w:spacing w:val="-14"/>
        </w:rPr>
        <w:t> </w:t>
      </w:r>
      <w:r>
        <w:rPr/>
        <w:t>elixir</w:t>
      </w:r>
      <w:r>
        <w:rPr>
          <w:spacing w:val="-14"/>
        </w:rPr>
        <w:t> </w:t>
      </w:r>
      <w:r>
        <w:rPr/>
        <w:t>of</w:t>
      </w:r>
      <w:r>
        <w:rPr>
          <w:spacing w:val="-14"/>
        </w:rPr>
        <w:t> </w:t>
      </w:r>
      <w:r>
        <w:rPr/>
        <w:t>health,</w:t>
      </w:r>
      <w:r>
        <w:rPr>
          <w:spacing w:val="-14"/>
        </w:rPr>
        <w:t> </w:t>
      </w:r>
      <w:r>
        <w:rPr/>
        <w:t>rooibos</w:t>
      </w:r>
      <w:r>
        <w:rPr>
          <w:spacing w:val="-13"/>
        </w:rPr>
        <w:t> </w:t>
      </w:r>
      <w:r>
        <w:rPr/>
        <w:t>tea</w:t>
      </w:r>
      <w:r>
        <w:rPr>
          <w:spacing w:val="-15"/>
        </w:rPr>
        <w:t> </w:t>
      </w:r>
      <w:r>
        <w:rPr/>
        <w:t>is</w:t>
      </w:r>
      <w:r>
        <w:rPr>
          <w:spacing w:val="-15"/>
        </w:rPr>
        <w:t> </w:t>
      </w:r>
      <w:r>
        <w:rPr/>
        <w:t>being mentioned more frequently in scientific circles and among doctors and thera- pists</w:t>
      </w:r>
      <w:r>
        <w:rPr>
          <w:spacing w:val="-20"/>
        </w:rPr>
        <w:t> </w:t>
      </w:r>
      <w:r>
        <w:rPr/>
        <w:t>due</w:t>
      </w:r>
      <w:r>
        <w:rPr>
          <w:spacing w:val="-22"/>
        </w:rPr>
        <w:t> </w:t>
      </w:r>
      <w:r>
        <w:rPr/>
        <w:t>to</w:t>
      </w:r>
      <w:r>
        <w:rPr>
          <w:spacing w:val="-19"/>
        </w:rPr>
        <w:t> </w:t>
      </w:r>
      <w:r>
        <w:rPr/>
        <w:t>its</w:t>
      </w:r>
      <w:r>
        <w:rPr>
          <w:spacing w:val="-21"/>
        </w:rPr>
        <w:t> </w:t>
      </w:r>
      <w:r>
        <w:rPr/>
        <w:t>health-benefiting</w:t>
      </w:r>
      <w:r>
        <w:rPr>
          <w:spacing w:val="-17"/>
        </w:rPr>
        <w:t> </w:t>
      </w:r>
      <w:r>
        <w:rPr/>
        <w:t>properties.</w:t>
      </w:r>
      <w:r>
        <w:rPr>
          <w:spacing w:val="-20"/>
        </w:rPr>
        <w:t> </w:t>
      </w:r>
      <w:r>
        <w:rPr/>
        <w:t>However,</w:t>
      </w:r>
      <w:r>
        <w:rPr>
          <w:spacing w:val="-19"/>
        </w:rPr>
        <w:t> </w:t>
      </w:r>
      <w:r>
        <w:rPr/>
        <w:t>the</w:t>
      </w:r>
      <w:r>
        <w:rPr>
          <w:spacing w:val="-20"/>
        </w:rPr>
        <w:t> </w:t>
      </w:r>
      <w:r>
        <w:rPr/>
        <w:t>South</w:t>
      </w:r>
      <w:r>
        <w:rPr>
          <w:spacing w:val="-22"/>
        </w:rPr>
        <w:t> </w:t>
      </w:r>
      <w:r>
        <w:rPr/>
        <w:t>African</w:t>
      </w:r>
      <w:r>
        <w:rPr>
          <w:spacing w:val="-20"/>
        </w:rPr>
        <w:t> </w:t>
      </w:r>
      <w:r>
        <w:rPr/>
        <w:t>apart- heid system had to weaken for redbush tea to find its way into the</w:t>
      </w:r>
      <w:r>
        <w:rPr>
          <w:spacing w:val="-11"/>
        </w:rPr>
        <w:t> </w:t>
      </w:r>
      <w:r>
        <w:rPr/>
        <w:t>West.</w:t>
      </w:r>
    </w:p>
    <w:p>
      <w:pPr>
        <w:spacing w:after="0" w:line="276" w:lineRule="auto"/>
        <w:jc w:val="both"/>
        <w:sectPr>
          <w:footerReference w:type="default" r:id="rId335"/>
          <w:pgSz w:w="14270" w:h="16850"/>
          <w:pgMar w:footer="1891" w:header="0" w:top="1340" w:bottom="2080" w:left="800" w:right="1280"/>
          <w:pgNumType w:start="1370"/>
        </w:sectPr>
      </w:pPr>
    </w:p>
    <w:p>
      <w:pPr>
        <w:pStyle w:val="Heading1"/>
        <w:spacing w:before="77"/>
        <w:ind w:left="616"/>
        <w:jc w:val="both"/>
      </w:pPr>
      <w:r>
        <w:rPr/>
        <w:t>Redbush Tea – the history of its</w:t>
      </w:r>
      <w:r>
        <w:rPr>
          <w:spacing w:val="-73"/>
        </w:rPr>
        <w:t> </w:t>
      </w:r>
      <w:r>
        <w:rPr/>
        <w:t>discovery</w:t>
      </w:r>
    </w:p>
    <w:p>
      <w:pPr>
        <w:pStyle w:val="BodyText"/>
        <w:spacing w:line="276" w:lineRule="auto" w:before="299"/>
        <w:ind w:left="616" w:right="132"/>
        <w:jc w:val="both"/>
      </w:pPr>
      <w:r>
        <w:rPr/>
        <w:t>Redbush tea was first mentioned in the western world in the year 1772, in</w:t>
      </w:r>
      <w:r>
        <w:rPr>
          <w:spacing w:val="-50"/>
        </w:rPr>
        <w:t> </w:t>
      </w:r>
      <w:r>
        <w:rPr/>
        <w:t>one of the books of the botanist Thunberg, who for the first time reported on the preparation</w:t>
      </w:r>
      <w:r>
        <w:rPr>
          <w:spacing w:val="-6"/>
        </w:rPr>
        <w:t> </w:t>
      </w:r>
      <w:r>
        <w:rPr/>
        <w:t>of</w:t>
      </w:r>
      <w:r>
        <w:rPr>
          <w:spacing w:val="-7"/>
        </w:rPr>
        <w:t> </w:t>
      </w:r>
      <w:r>
        <w:rPr/>
        <w:t>a</w:t>
      </w:r>
      <w:r>
        <w:rPr>
          <w:spacing w:val="-7"/>
        </w:rPr>
        <w:t> </w:t>
      </w:r>
      <w:r>
        <w:rPr/>
        <w:t>needle</w:t>
      </w:r>
      <w:r>
        <w:rPr>
          <w:spacing w:val="-7"/>
        </w:rPr>
        <w:t> </w:t>
      </w:r>
      <w:r>
        <w:rPr/>
        <w:t>leaf</w:t>
      </w:r>
      <w:r>
        <w:rPr>
          <w:spacing w:val="-7"/>
        </w:rPr>
        <w:t> </w:t>
      </w:r>
      <w:r>
        <w:rPr/>
        <w:t>tea</w:t>
      </w:r>
      <w:r>
        <w:rPr>
          <w:spacing w:val="-7"/>
        </w:rPr>
        <w:t> </w:t>
      </w:r>
      <w:r>
        <w:rPr/>
        <w:t>by</w:t>
      </w:r>
      <w:r>
        <w:rPr>
          <w:spacing w:val="-6"/>
        </w:rPr>
        <w:t> </w:t>
      </w:r>
      <w:r>
        <w:rPr/>
        <w:t>the</w:t>
      </w:r>
      <w:r>
        <w:rPr>
          <w:spacing w:val="-6"/>
        </w:rPr>
        <w:t> </w:t>
      </w:r>
      <w:r>
        <w:rPr/>
        <w:t>Khoikhoi,</w:t>
      </w:r>
      <w:r>
        <w:rPr>
          <w:spacing w:val="-8"/>
        </w:rPr>
        <w:t> </w:t>
      </w:r>
      <w:r>
        <w:rPr/>
        <w:t>a</w:t>
      </w:r>
      <w:r>
        <w:rPr>
          <w:spacing w:val="-8"/>
        </w:rPr>
        <w:t> </w:t>
      </w:r>
      <w:r>
        <w:rPr/>
        <w:t>native</w:t>
      </w:r>
      <w:r>
        <w:rPr>
          <w:spacing w:val="-8"/>
        </w:rPr>
        <w:t> </w:t>
      </w:r>
      <w:r>
        <w:rPr/>
        <w:t>people</w:t>
      </w:r>
      <w:r>
        <w:rPr>
          <w:spacing w:val="-6"/>
        </w:rPr>
        <w:t> </w:t>
      </w:r>
      <w:r>
        <w:rPr/>
        <w:t>of</w:t>
      </w:r>
      <w:r>
        <w:rPr>
          <w:spacing w:val="-7"/>
        </w:rPr>
        <w:t> </w:t>
      </w:r>
      <w:r>
        <w:rPr/>
        <w:t>the</w:t>
      </w:r>
      <w:r>
        <w:rPr>
          <w:spacing w:val="-5"/>
        </w:rPr>
        <w:t> </w:t>
      </w:r>
      <w:r>
        <w:rPr/>
        <w:t>moun- tainous region north of Cape</w:t>
      </w:r>
      <w:r>
        <w:rPr>
          <w:spacing w:val="4"/>
        </w:rPr>
        <w:t> </w:t>
      </w:r>
      <w:r>
        <w:rPr/>
        <w:t>Town.</w:t>
      </w:r>
    </w:p>
    <w:p>
      <w:pPr>
        <w:pStyle w:val="BodyText"/>
        <w:spacing w:line="276" w:lineRule="auto" w:before="239"/>
        <w:ind w:left="616" w:right="133"/>
        <w:jc w:val="both"/>
      </w:pPr>
      <w:r>
        <w:rPr/>
        <w:t>In 1904, the Russian tea trader Benjamin Ginsberg travelled through South Africa and purchased the rooibos tea from the Khoikhoi to sell it for profit in Cape</w:t>
      </w:r>
      <w:r>
        <w:rPr>
          <w:spacing w:val="-10"/>
        </w:rPr>
        <w:t> </w:t>
      </w:r>
      <w:r>
        <w:rPr/>
        <w:t>Town.</w:t>
      </w:r>
      <w:r>
        <w:rPr>
          <w:spacing w:val="-10"/>
        </w:rPr>
        <w:t> </w:t>
      </w:r>
      <w:r>
        <w:rPr/>
        <w:t>But</w:t>
      </w:r>
      <w:r>
        <w:rPr>
          <w:spacing w:val="-10"/>
        </w:rPr>
        <w:t> </w:t>
      </w:r>
      <w:r>
        <w:rPr/>
        <w:t>it</w:t>
      </w:r>
      <w:r>
        <w:rPr>
          <w:spacing w:val="-12"/>
        </w:rPr>
        <w:t> </w:t>
      </w:r>
      <w:r>
        <w:rPr/>
        <w:t>was</w:t>
      </w:r>
      <w:r>
        <w:rPr>
          <w:spacing w:val="-10"/>
        </w:rPr>
        <w:t> </w:t>
      </w:r>
      <w:r>
        <w:rPr/>
        <w:t>only</w:t>
      </w:r>
      <w:r>
        <w:rPr>
          <w:spacing w:val="-11"/>
        </w:rPr>
        <w:t> </w:t>
      </w:r>
      <w:r>
        <w:rPr/>
        <w:t>in</w:t>
      </w:r>
      <w:r>
        <w:rPr>
          <w:spacing w:val="-11"/>
        </w:rPr>
        <w:t> </w:t>
      </w:r>
      <w:r>
        <w:rPr/>
        <w:t>1930</w:t>
      </w:r>
      <w:r>
        <w:rPr>
          <w:spacing w:val="-11"/>
        </w:rPr>
        <w:t> </w:t>
      </w:r>
      <w:r>
        <w:rPr/>
        <w:t>that</w:t>
      </w:r>
      <w:r>
        <w:rPr>
          <w:spacing w:val="-10"/>
        </w:rPr>
        <w:t> </w:t>
      </w:r>
      <w:r>
        <w:rPr/>
        <w:t>the</w:t>
      </w:r>
      <w:r>
        <w:rPr>
          <w:spacing w:val="-10"/>
        </w:rPr>
        <w:t> </w:t>
      </w:r>
      <w:r>
        <w:rPr/>
        <w:t>redbush</w:t>
      </w:r>
      <w:r>
        <w:rPr>
          <w:spacing w:val="-10"/>
        </w:rPr>
        <w:t> </w:t>
      </w:r>
      <w:r>
        <w:rPr/>
        <w:t>plant</w:t>
      </w:r>
      <w:r>
        <w:rPr>
          <w:spacing w:val="-11"/>
        </w:rPr>
        <w:t> </w:t>
      </w:r>
      <w:r>
        <w:rPr/>
        <w:t>was</w:t>
      </w:r>
      <w:r>
        <w:rPr>
          <w:spacing w:val="-8"/>
        </w:rPr>
        <w:t> </w:t>
      </w:r>
      <w:r>
        <w:rPr/>
        <w:t>analysed</w:t>
      </w:r>
      <w:r>
        <w:rPr>
          <w:spacing w:val="-11"/>
        </w:rPr>
        <w:t> </w:t>
      </w:r>
      <w:r>
        <w:rPr/>
        <w:t>for</w:t>
      </w:r>
      <w:r>
        <w:rPr>
          <w:spacing w:val="-9"/>
        </w:rPr>
        <w:t> </w:t>
      </w:r>
      <w:r>
        <w:rPr/>
        <w:t>its health-bringing qualities by Dr. Petter la Fras Nortier and cultivated commer- cially.</w:t>
      </w:r>
    </w:p>
    <w:p>
      <w:pPr>
        <w:pStyle w:val="BodyText"/>
        <w:spacing w:line="276" w:lineRule="auto" w:before="240"/>
        <w:ind w:left="616" w:right="136"/>
        <w:jc w:val="both"/>
      </w:pPr>
      <w:r>
        <w:rPr/>
        <w:t>In 1954, a state-run supervisory authority was established with the name ‘Redbos</w:t>
      </w:r>
      <w:r>
        <w:rPr>
          <w:spacing w:val="-23"/>
        </w:rPr>
        <w:t> </w:t>
      </w:r>
      <w:r>
        <w:rPr/>
        <w:t>Tea</w:t>
      </w:r>
      <w:r>
        <w:rPr>
          <w:spacing w:val="-22"/>
        </w:rPr>
        <w:t> </w:t>
      </w:r>
      <w:r>
        <w:rPr/>
        <w:t>Control</w:t>
      </w:r>
      <w:r>
        <w:rPr>
          <w:spacing w:val="-22"/>
        </w:rPr>
        <w:t> </w:t>
      </w:r>
      <w:r>
        <w:rPr/>
        <w:t>Board’</w:t>
      </w:r>
      <w:r>
        <w:rPr>
          <w:spacing w:val="-21"/>
        </w:rPr>
        <w:t> </w:t>
      </w:r>
      <w:r>
        <w:rPr/>
        <w:t>whose</w:t>
      </w:r>
      <w:r>
        <w:rPr>
          <w:spacing w:val="-21"/>
        </w:rPr>
        <w:t> </w:t>
      </w:r>
      <w:r>
        <w:rPr/>
        <w:t>task</w:t>
      </w:r>
      <w:r>
        <w:rPr>
          <w:spacing w:val="-22"/>
        </w:rPr>
        <w:t> </w:t>
      </w:r>
      <w:r>
        <w:rPr/>
        <w:t>it</w:t>
      </w:r>
      <w:r>
        <w:rPr>
          <w:spacing w:val="-25"/>
        </w:rPr>
        <w:t> </w:t>
      </w:r>
      <w:r>
        <w:rPr/>
        <w:t>was</w:t>
      </w:r>
      <w:r>
        <w:rPr>
          <w:spacing w:val="-21"/>
        </w:rPr>
        <w:t> </w:t>
      </w:r>
      <w:r>
        <w:rPr/>
        <w:t>to</w:t>
      </w:r>
      <w:r>
        <w:rPr>
          <w:spacing w:val="-23"/>
        </w:rPr>
        <w:t> </w:t>
      </w:r>
      <w:r>
        <w:rPr/>
        <w:t>monitor</w:t>
      </w:r>
      <w:r>
        <w:rPr>
          <w:spacing w:val="-23"/>
        </w:rPr>
        <w:t> </w:t>
      </w:r>
      <w:r>
        <w:rPr/>
        <w:t>the</w:t>
      </w:r>
      <w:r>
        <w:rPr>
          <w:spacing w:val="-21"/>
        </w:rPr>
        <w:t> </w:t>
      </w:r>
      <w:r>
        <w:rPr/>
        <w:t>quality</w:t>
      </w:r>
      <w:r>
        <w:rPr>
          <w:spacing w:val="-22"/>
        </w:rPr>
        <w:t> </w:t>
      </w:r>
      <w:r>
        <w:rPr/>
        <w:t>and</w:t>
      </w:r>
      <w:r>
        <w:rPr>
          <w:spacing w:val="-21"/>
        </w:rPr>
        <w:t> </w:t>
      </w:r>
      <w:r>
        <w:rPr/>
        <w:t>quan- tity as well as hygiene in the cultivation and sale of redbush tea.</w:t>
      </w:r>
    </w:p>
    <w:p>
      <w:pPr>
        <w:pStyle w:val="BodyText"/>
        <w:spacing w:line="276" w:lineRule="auto" w:before="242"/>
        <w:ind w:left="616" w:right="130"/>
        <w:jc w:val="both"/>
      </w:pPr>
      <w:r>
        <w:rPr/>
        <w:t>Rooibos tea was originally a popular drink with everyday people, without re- quirements for any philosophical background or even imperial ceremonies, as is</w:t>
      </w:r>
      <w:r>
        <w:rPr>
          <w:spacing w:val="-11"/>
        </w:rPr>
        <w:t> </w:t>
      </w:r>
      <w:r>
        <w:rPr/>
        <w:t>familiar</w:t>
      </w:r>
      <w:r>
        <w:rPr>
          <w:spacing w:val="-10"/>
        </w:rPr>
        <w:t> </w:t>
      </w:r>
      <w:r>
        <w:rPr/>
        <w:t>to</w:t>
      </w:r>
      <w:r>
        <w:rPr>
          <w:spacing w:val="-10"/>
        </w:rPr>
        <w:t> </w:t>
      </w:r>
      <w:r>
        <w:rPr/>
        <w:t>us</w:t>
      </w:r>
      <w:r>
        <w:rPr>
          <w:spacing w:val="-8"/>
        </w:rPr>
        <w:t> </w:t>
      </w:r>
      <w:r>
        <w:rPr/>
        <w:t>with</w:t>
      </w:r>
      <w:r>
        <w:rPr>
          <w:spacing w:val="-10"/>
        </w:rPr>
        <w:t> </w:t>
      </w:r>
      <w:r>
        <w:rPr/>
        <w:t>green</w:t>
      </w:r>
      <w:r>
        <w:rPr>
          <w:spacing w:val="-10"/>
        </w:rPr>
        <w:t> </w:t>
      </w:r>
      <w:r>
        <w:rPr/>
        <w:t>tea,</w:t>
      </w:r>
      <w:r>
        <w:rPr>
          <w:spacing w:val="-9"/>
        </w:rPr>
        <w:t> </w:t>
      </w:r>
      <w:r>
        <w:rPr/>
        <w:t>for</w:t>
      </w:r>
      <w:r>
        <w:rPr>
          <w:spacing w:val="-9"/>
        </w:rPr>
        <w:t> </w:t>
      </w:r>
      <w:r>
        <w:rPr/>
        <w:t>example.</w:t>
      </w:r>
      <w:r>
        <w:rPr>
          <w:spacing w:val="-10"/>
        </w:rPr>
        <w:t> </w:t>
      </w:r>
      <w:r>
        <w:rPr/>
        <w:t>Rooibos</w:t>
      </w:r>
      <w:r>
        <w:rPr>
          <w:spacing w:val="-10"/>
        </w:rPr>
        <w:t> </w:t>
      </w:r>
      <w:r>
        <w:rPr/>
        <w:t>tea</w:t>
      </w:r>
      <w:r>
        <w:rPr>
          <w:spacing w:val="-10"/>
        </w:rPr>
        <w:t> </w:t>
      </w:r>
      <w:r>
        <w:rPr/>
        <w:t>is</w:t>
      </w:r>
      <w:r>
        <w:rPr>
          <w:spacing w:val="-11"/>
        </w:rPr>
        <w:t> </w:t>
      </w:r>
      <w:r>
        <w:rPr/>
        <w:t>close</w:t>
      </w:r>
      <w:r>
        <w:rPr>
          <w:spacing w:val="-10"/>
        </w:rPr>
        <w:t> </w:t>
      </w:r>
      <w:r>
        <w:rPr/>
        <w:t>to</w:t>
      </w:r>
      <w:r>
        <w:rPr>
          <w:spacing w:val="-9"/>
        </w:rPr>
        <w:t> </w:t>
      </w:r>
      <w:r>
        <w:rPr/>
        <w:t>the</w:t>
      </w:r>
      <w:r>
        <w:rPr>
          <w:spacing w:val="-10"/>
        </w:rPr>
        <w:t> </w:t>
      </w:r>
      <w:r>
        <w:rPr/>
        <w:t>people, down-to-earth, tasty and healthy. Period. That’s</w:t>
      </w:r>
      <w:r>
        <w:rPr>
          <w:spacing w:val="1"/>
        </w:rPr>
        <w:t> </w:t>
      </w:r>
      <w:r>
        <w:rPr/>
        <w:t>it!</w:t>
      </w:r>
    </w:p>
    <w:p>
      <w:pPr>
        <w:spacing w:after="0" w:line="276" w:lineRule="auto"/>
        <w:jc w:val="both"/>
        <w:sectPr>
          <w:pgSz w:w="14270" w:h="16850"/>
          <w:pgMar w:header="0" w:footer="1891" w:top="1320" w:bottom="2080" w:left="800" w:right="1280"/>
        </w:sectPr>
      </w:pPr>
    </w:p>
    <w:p>
      <w:pPr>
        <w:pStyle w:val="Heading1"/>
        <w:spacing w:before="77"/>
        <w:ind w:left="616"/>
      </w:pPr>
      <w:r>
        <w:rPr/>
        <w:t>Rooibos tea and its naming</w:t>
      </w:r>
    </w:p>
    <w:p>
      <w:pPr>
        <w:pStyle w:val="BodyText"/>
        <w:spacing w:line="276" w:lineRule="auto" w:before="299"/>
        <w:ind w:left="616" w:right="136"/>
        <w:jc w:val="both"/>
      </w:pPr>
      <w:r>
        <w:rPr/>
        <w:t>‘Rooibos’ is the South African name for ‘redbush’ (‘rooi’ = red, ‘bos’ = bush), which is why redbush tea is usually called ‘rooibos tea’. Among the others names are ‘Bushman tea’ and ‘Massai tea’.</w:t>
      </w:r>
    </w:p>
    <w:p>
      <w:pPr>
        <w:pStyle w:val="Heading1"/>
        <w:spacing w:before="222"/>
        <w:ind w:left="616"/>
      </w:pPr>
      <w:r>
        <w:rPr/>
        <w:t>Rooibos tea – botanical information</w:t>
      </w:r>
    </w:p>
    <w:p>
      <w:pPr>
        <w:pStyle w:val="BodyText"/>
        <w:spacing w:line="276" w:lineRule="auto" w:before="299"/>
        <w:ind w:left="616" w:right="135"/>
        <w:jc w:val="both"/>
      </w:pPr>
      <w:r>
        <w:rPr/>
        <w:t>Rooibos (Latin ‘Aspalathus linearis’) is a member of the legume family (Faba- ceae)</w:t>
      </w:r>
      <w:r>
        <w:rPr>
          <w:spacing w:val="-20"/>
        </w:rPr>
        <w:t> </w:t>
      </w:r>
      <w:r>
        <w:rPr/>
        <w:t>and</w:t>
      </w:r>
      <w:r>
        <w:rPr>
          <w:spacing w:val="-19"/>
        </w:rPr>
        <w:t> </w:t>
      </w:r>
      <w:r>
        <w:rPr/>
        <w:t>originates</w:t>
      </w:r>
      <w:r>
        <w:rPr>
          <w:spacing w:val="-19"/>
        </w:rPr>
        <w:t> </w:t>
      </w:r>
      <w:r>
        <w:rPr/>
        <w:t>in</w:t>
      </w:r>
      <w:r>
        <w:rPr>
          <w:spacing w:val="-19"/>
        </w:rPr>
        <w:t> </w:t>
      </w:r>
      <w:r>
        <w:rPr/>
        <w:t>the</w:t>
      </w:r>
      <w:r>
        <w:rPr>
          <w:spacing w:val="-19"/>
        </w:rPr>
        <w:t> </w:t>
      </w:r>
      <w:r>
        <w:rPr/>
        <w:t>mountainous</w:t>
      </w:r>
      <w:r>
        <w:rPr>
          <w:spacing w:val="-19"/>
        </w:rPr>
        <w:t> </w:t>
      </w:r>
      <w:r>
        <w:rPr/>
        <w:t>regions</w:t>
      </w:r>
      <w:r>
        <w:rPr>
          <w:spacing w:val="-19"/>
        </w:rPr>
        <w:t> </w:t>
      </w:r>
      <w:r>
        <w:rPr/>
        <w:t>of</w:t>
      </w:r>
      <w:r>
        <w:rPr>
          <w:spacing w:val="-19"/>
        </w:rPr>
        <w:t> </w:t>
      </w:r>
      <w:r>
        <w:rPr/>
        <w:t>the</w:t>
      </w:r>
      <w:r>
        <w:rPr>
          <w:spacing w:val="-19"/>
        </w:rPr>
        <w:t> </w:t>
      </w:r>
      <w:r>
        <w:rPr/>
        <w:t>South</w:t>
      </w:r>
      <w:r>
        <w:rPr>
          <w:spacing w:val="-18"/>
        </w:rPr>
        <w:t> </w:t>
      </w:r>
      <w:r>
        <w:rPr/>
        <w:t>African</w:t>
      </w:r>
      <w:r>
        <w:rPr>
          <w:spacing w:val="-19"/>
        </w:rPr>
        <w:t> </w:t>
      </w:r>
      <w:r>
        <w:rPr/>
        <w:t>province, Western Cape. Around 200 species belong to this family, although only ‘line- aris’ is considered edible. The rooibos plant requires a temperate climate, coarse, sandy soil and a damp and relatively cool</w:t>
      </w:r>
      <w:r>
        <w:rPr>
          <w:spacing w:val="-6"/>
        </w:rPr>
        <w:t> </w:t>
      </w:r>
      <w:r>
        <w:rPr/>
        <w:t>location.</w:t>
      </w:r>
    </w:p>
    <w:p>
      <w:pPr>
        <w:pStyle w:val="Heading1"/>
        <w:spacing w:before="223"/>
        <w:ind w:left="616"/>
      </w:pPr>
      <w:r>
        <w:rPr/>
        <w:t>Redbush – the appearance</w:t>
      </w:r>
    </w:p>
    <w:p>
      <w:pPr>
        <w:pStyle w:val="BodyText"/>
        <w:spacing w:line="276" w:lineRule="auto" w:before="299"/>
        <w:ind w:left="616" w:right="136"/>
        <w:jc w:val="both"/>
      </w:pPr>
      <w:r>
        <w:rPr/>
        <w:t>The</w:t>
      </w:r>
      <w:r>
        <w:rPr>
          <w:spacing w:val="-9"/>
        </w:rPr>
        <w:t> </w:t>
      </w:r>
      <w:r>
        <w:rPr/>
        <w:t>rooibos</w:t>
      </w:r>
      <w:r>
        <w:rPr>
          <w:spacing w:val="-11"/>
        </w:rPr>
        <w:t> </w:t>
      </w:r>
      <w:r>
        <w:rPr/>
        <w:t>bush</w:t>
      </w:r>
      <w:r>
        <w:rPr>
          <w:spacing w:val="-8"/>
        </w:rPr>
        <w:t> </w:t>
      </w:r>
      <w:r>
        <w:rPr/>
        <w:t>reaches</w:t>
      </w:r>
      <w:r>
        <w:rPr>
          <w:spacing w:val="-11"/>
        </w:rPr>
        <w:t> </w:t>
      </w:r>
      <w:r>
        <w:rPr/>
        <w:t>a</w:t>
      </w:r>
      <w:r>
        <w:rPr>
          <w:spacing w:val="-13"/>
        </w:rPr>
        <w:t> </w:t>
      </w:r>
      <w:r>
        <w:rPr/>
        <w:t>height</w:t>
      </w:r>
      <w:r>
        <w:rPr>
          <w:spacing w:val="-9"/>
        </w:rPr>
        <w:t> </w:t>
      </w:r>
      <w:r>
        <w:rPr/>
        <w:t>of</w:t>
      </w:r>
      <w:r>
        <w:rPr>
          <w:spacing w:val="-11"/>
        </w:rPr>
        <w:t> </w:t>
      </w:r>
      <w:r>
        <w:rPr/>
        <w:t>1-2</w:t>
      </w:r>
      <w:r>
        <w:rPr>
          <w:spacing w:val="-10"/>
        </w:rPr>
        <w:t> </w:t>
      </w:r>
      <w:r>
        <w:rPr/>
        <w:t>m,</w:t>
      </w:r>
      <w:r>
        <w:rPr>
          <w:spacing w:val="-11"/>
        </w:rPr>
        <w:t> </w:t>
      </w:r>
      <w:r>
        <w:rPr/>
        <w:t>is</w:t>
      </w:r>
      <w:r>
        <w:rPr>
          <w:spacing w:val="-12"/>
        </w:rPr>
        <w:t> </w:t>
      </w:r>
      <w:r>
        <w:rPr/>
        <w:t>wide</w:t>
      </w:r>
      <w:r>
        <w:rPr>
          <w:spacing w:val="-9"/>
        </w:rPr>
        <w:t> </w:t>
      </w:r>
      <w:r>
        <w:rPr/>
        <w:t>and</w:t>
      </w:r>
      <w:r>
        <w:rPr>
          <w:spacing w:val="-9"/>
        </w:rPr>
        <w:t> </w:t>
      </w:r>
      <w:r>
        <w:rPr/>
        <w:t>rod-like</w:t>
      </w:r>
      <w:r>
        <w:rPr>
          <w:spacing w:val="-12"/>
        </w:rPr>
        <w:t> </w:t>
      </w:r>
      <w:r>
        <w:rPr/>
        <w:t>and</w:t>
      </w:r>
      <w:r>
        <w:rPr>
          <w:spacing w:val="-9"/>
        </w:rPr>
        <w:t> </w:t>
      </w:r>
      <w:r>
        <w:rPr/>
        <w:t>is</w:t>
      </w:r>
      <w:r>
        <w:rPr>
          <w:spacing w:val="-12"/>
        </w:rPr>
        <w:t> </w:t>
      </w:r>
      <w:r>
        <w:rPr/>
        <w:t>heavily branched. A number of thin branches grow from the sides of the limbs. The name ‘rooibos tea’ or ‘redbush tea’ comes from the red colour of the redbush branches. The leaves of the redbush bush are green and their shape reminds one of pine needles; they are about 60 mm long and about 1 mm</w:t>
      </w:r>
      <w:r>
        <w:rPr>
          <w:spacing w:val="-19"/>
        </w:rPr>
        <w:t> </w:t>
      </w:r>
      <w:r>
        <w:rPr/>
        <w:t>wide.</w:t>
      </w:r>
    </w:p>
    <w:p>
      <w:pPr>
        <w:spacing w:after="0" w:line="276" w:lineRule="auto"/>
        <w:jc w:val="both"/>
        <w:sectPr>
          <w:pgSz w:w="14270" w:h="16850"/>
          <w:pgMar w:header="0" w:footer="1891" w:top="1320" w:bottom="2080" w:left="800" w:right="1280"/>
        </w:sectPr>
      </w:pPr>
    </w:p>
    <w:p>
      <w:pPr>
        <w:pStyle w:val="Heading1"/>
        <w:spacing w:before="77"/>
        <w:ind w:left="616"/>
      </w:pPr>
      <w:r>
        <w:rPr/>
        <w:t>Rooibos tea – the harvest</w:t>
      </w:r>
    </w:p>
    <w:p>
      <w:pPr>
        <w:pStyle w:val="BodyText"/>
        <w:spacing w:line="276" w:lineRule="auto" w:before="299"/>
        <w:ind w:left="616" w:right="135"/>
        <w:jc w:val="both"/>
      </w:pPr>
      <w:r>
        <w:rPr/>
        <w:t>The redbush bush can be used for about 10 years as a tea supplier and can be harvested</w:t>
      </w:r>
      <w:r>
        <w:rPr>
          <w:spacing w:val="-18"/>
        </w:rPr>
        <w:t> </w:t>
      </w:r>
      <w:r>
        <w:rPr/>
        <w:t>for</w:t>
      </w:r>
      <w:r>
        <w:rPr>
          <w:spacing w:val="-18"/>
        </w:rPr>
        <w:t> </w:t>
      </w:r>
      <w:r>
        <w:rPr/>
        <w:t>the</w:t>
      </w:r>
      <w:r>
        <w:rPr>
          <w:spacing w:val="-18"/>
        </w:rPr>
        <w:t> </w:t>
      </w:r>
      <w:r>
        <w:rPr/>
        <w:t>first</w:t>
      </w:r>
      <w:r>
        <w:rPr>
          <w:spacing w:val="-18"/>
        </w:rPr>
        <w:t> </w:t>
      </w:r>
      <w:r>
        <w:rPr/>
        <w:t>time</w:t>
      </w:r>
      <w:r>
        <w:rPr>
          <w:spacing w:val="-19"/>
        </w:rPr>
        <w:t> </w:t>
      </w:r>
      <w:r>
        <w:rPr/>
        <w:t>after</w:t>
      </w:r>
      <w:r>
        <w:rPr>
          <w:spacing w:val="-18"/>
        </w:rPr>
        <w:t> </w:t>
      </w:r>
      <w:r>
        <w:rPr/>
        <w:t>18</w:t>
      </w:r>
      <w:r>
        <w:rPr>
          <w:spacing w:val="-19"/>
        </w:rPr>
        <w:t> </w:t>
      </w:r>
      <w:r>
        <w:rPr/>
        <w:t>months.</w:t>
      </w:r>
      <w:r>
        <w:rPr>
          <w:spacing w:val="-17"/>
        </w:rPr>
        <w:t> </w:t>
      </w:r>
      <w:r>
        <w:rPr/>
        <w:t>The</w:t>
      </w:r>
      <w:r>
        <w:rPr>
          <w:spacing w:val="-21"/>
        </w:rPr>
        <w:t> </w:t>
      </w:r>
      <w:r>
        <w:rPr/>
        <w:t>harvest</w:t>
      </w:r>
      <w:r>
        <w:rPr>
          <w:spacing w:val="-19"/>
        </w:rPr>
        <w:t> </w:t>
      </w:r>
      <w:r>
        <w:rPr/>
        <w:t>time</w:t>
      </w:r>
      <w:r>
        <w:rPr>
          <w:spacing w:val="-19"/>
        </w:rPr>
        <w:t> </w:t>
      </w:r>
      <w:r>
        <w:rPr/>
        <w:t>begins</w:t>
      </w:r>
      <w:r>
        <w:rPr>
          <w:spacing w:val="-17"/>
        </w:rPr>
        <w:t> </w:t>
      </w:r>
      <w:r>
        <w:rPr/>
        <w:t>in</w:t>
      </w:r>
      <w:r>
        <w:rPr>
          <w:spacing w:val="-19"/>
        </w:rPr>
        <w:t> </w:t>
      </w:r>
      <w:r>
        <w:rPr/>
        <w:t>January and extends into March; the second sowing is harvested from June to</w:t>
      </w:r>
      <w:r>
        <w:rPr>
          <w:spacing w:val="-37"/>
        </w:rPr>
        <w:t> </w:t>
      </w:r>
      <w:r>
        <w:rPr/>
        <w:t>August.</w:t>
      </w:r>
    </w:p>
    <w:p>
      <w:pPr>
        <w:pStyle w:val="Heading1"/>
        <w:spacing w:before="222"/>
        <w:ind w:left="616"/>
      </w:pPr>
      <w:r>
        <w:rPr/>
        <w:t>Rooibos tea – the taste</w:t>
      </w:r>
    </w:p>
    <w:p>
      <w:pPr>
        <w:pStyle w:val="BodyText"/>
        <w:spacing w:line="276" w:lineRule="auto" w:before="299"/>
        <w:ind w:left="616" w:right="133"/>
        <w:jc w:val="both"/>
      </w:pPr>
      <w:r>
        <w:rPr/>
        <w:t>The fruity-sweet and at the same time mild taste of rooibos tea is due to its fermentation</w:t>
      </w:r>
      <w:r>
        <w:rPr>
          <w:spacing w:val="-7"/>
        </w:rPr>
        <w:t> </w:t>
      </w:r>
      <w:r>
        <w:rPr/>
        <w:t>process,</w:t>
      </w:r>
      <w:r>
        <w:rPr>
          <w:spacing w:val="-8"/>
        </w:rPr>
        <w:t> </w:t>
      </w:r>
      <w:r>
        <w:rPr/>
        <w:t>in</w:t>
      </w:r>
      <w:r>
        <w:rPr>
          <w:spacing w:val="-9"/>
        </w:rPr>
        <w:t> </w:t>
      </w:r>
      <w:r>
        <w:rPr/>
        <w:t>which</w:t>
      </w:r>
      <w:r>
        <w:rPr>
          <w:spacing w:val="-6"/>
        </w:rPr>
        <w:t> </w:t>
      </w:r>
      <w:r>
        <w:rPr/>
        <w:t>the</w:t>
      </w:r>
      <w:r>
        <w:rPr>
          <w:spacing w:val="-7"/>
        </w:rPr>
        <w:t> </w:t>
      </w:r>
      <w:r>
        <w:rPr/>
        <w:t>tannins</w:t>
      </w:r>
      <w:r>
        <w:rPr>
          <w:spacing w:val="-8"/>
        </w:rPr>
        <w:t> </w:t>
      </w:r>
      <w:r>
        <w:rPr/>
        <w:t>are</w:t>
      </w:r>
      <w:r>
        <w:rPr>
          <w:spacing w:val="-9"/>
        </w:rPr>
        <w:t> </w:t>
      </w:r>
      <w:r>
        <w:rPr/>
        <w:t>transformed</w:t>
      </w:r>
      <w:r>
        <w:rPr>
          <w:spacing w:val="-7"/>
        </w:rPr>
        <w:t> </w:t>
      </w:r>
      <w:r>
        <w:rPr/>
        <w:t>into</w:t>
      </w:r>
      <w:r>
        <w:rPr>
          <w:spacing w:val="-11"/>
        </w:rPr>
        <w:t> </w:t>
      </w:r>
      <w:r>
        <w:rPr/>
        <w:t>flavour</w:t>
      </w:r>
      <w:r>
        <w:rPr>
          <w:spacing w:val="-7"/>
        </w:rPr>
        <w:t> </w:t>
      </w:r>
      <w:r>
        <w:rPr/>
        <w:t>ingre- dients.</w:t>
      </w:r>
      <w:r>
        <w:rPr>
          <w:spacing w:val="-7"/>
        </w:rPr>
        <w:t> </w:t>
      </w:r>
      <w:r>
        <w:rPr/>
        <w:t>The</w:t>
      </w:r>
      <w:r>
        <w:rPr>
          <w:spacing w:val="-8"/>
        </w:rPr>
        <w:t> </w:t>
      </w:r>
      <w:r>
        <w:rPr/>
        <w:t>taste</w:t>
      </w:r>
      <w:r>
        <w:rPr>
          <w:spacing w:val="-7"/>
        </w:rPr>
        <w:t> </w:t>
      </w:r>
      <w:r>
        <w:rPr/>
        <w:t>does</w:t>
      </w:r>
      <w:r>
        <w:rPr>
          <w:spacing w:val="-8"/>
        </w:rPr>
        <w:t> </w:t>
      </w:r>
      <w:r>
        <w:rPr/>
        <w:t>not</w:t>
      </w:r>
      <w:r>
        <w:rPr>
          <w:spacing w:val="-8"/>
        </w:rPr>
        <w:t> </w:t>
      </w:r>
      <w:r>
        <w:rPr/>
        <w:t>lose</w:t>
      </w:r>
      <w:r>
        <w:rPr>
          <w:spacing w:val="-8"/>
        </w:rPr>
        <w:t> </w:t>
      </w:r>
      <w:r>
        <w:rPr/>
        <w:t>its</w:t>
      </w:r>
      <w:r>
        <w:rPr>
          <w:spacing w:val="-10"/>
        </w:rPr>
        <w:t> </w:t>
      </w:r>
      <w:r>
        <w:rPr/>
        <w:t>effect</w:t>
      </w:r>
      <w:r>
        <w:rPr>
          <w:spacing w:val="-8"/>
        </w:rPr>
        <w:t> </w:t>
      </w:r>
      <w:r>
        <w:rPr/>
        <w:t>on</w:t>
      </w:r>
      <w:r>
        <w:rPr>
          <w:spacing w:val="-7"/>
        </w:rPr>
        <w:t> </w:t>
      </w:r>
      <w:r>
        <w:rPr/>
        <w:t>the</w:t>
      </w:r>
      <w:r>
        <w:rPr>
          <w:spacing w:val="-6"/>
        </w:rPr>
        <w:t> </w:t>
      </w:r>
      <w:r>
        <w:rPr/>
        <w:t>taste</w:t>
      </w:r>
      <w:r>
        <w:rPr>
          <w:spacing w:val="-8"/>
        </w:rPr>
        <w:t> </w:t>
      </w:r>
      <w:r>
        <w:rPr/>
        <w:t>buds</w:t>
      </w:r>
      <w:r>
        <w:rPr>
          <w:spacing w:val="-7"/>
        </w:rPr>
        <w:t> </w:t>
      </w:r>
      <w:r>
        <w:rPr/>
        <w:t>even</w:t>
      </w:r>
      <w:r>
        <w:rPr>
          <w:spacing w:val="-8"/>
        </w:rPr>
        <w:t> </w:t>
      </w:r>
      <w:r>
        <w:rPr/>
        <w:t>when</w:t>
      </w:r>
      <w:r>
        <w:rPr>
          <w:spacing w:val="-7"/>
        </w:rPr>
        <w:t> </w:t>
      </w:r>
      <w:r>
        <w:rPr/>
        <w:t>unsweet- ened.</w:t>
      </w:r>
    </w:p>
    <w:p>
      <w:pPr>
        <w:pStyle w:val="BodyText"/>
        <w:spacing w:line="276" w:lineRule="auto" w:before="240"/>
        <w:ind w:left="616" w:right="132"/>
        <w:jc w:val="both"/>
      </w:pPr>
      <w:r>
        <w:rPr/>
        <w:t>In contrast to green tea, it also tastes good to small children and even infants, where</w:t>
      </w:r>
      <w:r>
        <w:rPr>
          <w:spacing w:val="-12"/>
        </w:rPr>
        <w:t> </w:t>
      </w:r>
      <w:r>
        <w:rPr/>
        <w:t>it</w:t>
      </w:r>
      <w:r>
        <w:rPr>
          <w:spacing w:val="-14"/>
        </w:rPr>
        <w:t> </w:t>
      </w:r>
      <w:r>
        <w:rPr/>
        <w:t>works</w:t>
      </w:r>
      <w:r>
        <w:rPr>
          <w:spacing w:val="-12"/>
        </w:rPr>
        <w:t> </w:t>
      </w:r>
      <w:r>
        <w:rPr/>
        <w:t>very</w:t>
      </w:r>
      <w:r>
        <w:rPr>
          <w:spacing w:val="-12"/>
        </w:rPr>
        <w:t> </w:t>
      </w:r>
      <w:r>
        <w:rPr/>
        <w:t>well</w:t>
      </w:r>
      <w:r>
        <w:rPr>
          <w:spacing w:val="-13"/>
        </w:rPr>
        <w:t> </w:t>
      </w:r>
      <w:r>
        <w:rPr/>
        <w:t>against</w:t>
      </w:r>
      <w:r>
        <w:rPr>
          <w:spacing w:val="-13"/>
        </w:rPr>
        <w:t> </w:t>
      </w:r>
      <w:r>
        <w:rPr/>
        <w:t>colic</w:t>
      </w:r>
      <w:r>
        <w:rPr>
          <w:spacing w:val="-13"/>
        </w:rPr>
        <w:t> </w:t>
      </w:r>
      <w:r>
        <w:rPr/>
        <w:t>without</w:t>
      </w:r>
      <w:r>
        <w:rPr>
          <w:spacing w:val="-13"/>
        </w:rPr>
        <w:t> </w:t>
      </w:r>
      <w:r>
        <w:rPr/>
        <w:t>unnecessarily</w:t>
      </w:r>
      <w:r>
        <w:rPr>
          <w:spacing w:val="-14"/>
        </w:rPr>
        <w:t> </w:t>
      </w:r>
      <w:r>
        <w:rPr/>
        <w:t>stressing</w:t>
      </w:r>
      <w:r>
        <w:rPr>
          <w:spacing w:val="-11"/>
        </w:rPr>
        <w:t> </w:t>
      </w:r>
      <w:r>
        <w:rPr/>
        <w:t>the</w:t>
      </w:r>
      <w:r>
        <w:rPr>
          <w:spacing w:val="-14"/>
        </w:rPr>
        <w:t> </w:t>
      </w:r>
      <w:r>
        <w:rPr/>
        <w:t>body. This</w:t>
      </w:r>
      <w:r>
        <w:rPr>
          <w:spacing w:val="-13"/>
        </w:rPr>
        <w:t> </w:t>
      </w:r>
      <w:r>
        <w:rPr/>
        <w:t>is</w:t>
      </w:r>
      <w:r>
        <w:rPr>
          <w:spacing w:val="-13"/>
        </w:rPr>
        <w:t> </w:t>
      </w:r>
      <w:r>
        <w:rPr/>
        <w:t>due</w:t>
      </w:r>
      <w:r>
        <w:rPr>
          <w:spacing w:val="-14"/>
        </w:rPr>
        <w:t> </w:t>
      </w:r>
      <w:r>
        <w:rPr/>
        <w:t>to</w:t>
      </w:r>
      <w:r>
        <w:rPr>
          <w:spacing w:val="-13"/>
        </w:rPr>
        <w:t> </w:t>
      </w:r>
      <w:r>
        <w:rPr/>
        <w:t>two</w:t>
      </w:r>
      <w:r>
        <w:rPr>
          <w:spacing w:val="-13"/>
        </w:rPr>
        <w:t> </w:t>
      </w:r>
      <w:r>
        <w:rPr/>
        <w:t>flavones</w:t>
      </w:r>
      <w:r>
        <w:rPr>
          <w:spacing w:val="-12"/>
        </w:rPr>
        <w:t> </w:t>
      </w:r>
      <w:r>
        <w:rPr/>
        <w:t>that</w:t>
      </w:r>
      <w:r>
        <w:rPr>
          <w:spacing w:val="-14"/>
        </w:rPr>
        <w:t> </w:t>
      </w:r>
      <w:r>
        <w:rPr/>
        <w:t>occur</w:t>
      </w:r>
      <w:r>
        <w:rPr>
          <w:spacing w:val="-13"/>
        </w:rPr>
        <w:t> </w:t>
      </w:r>
      <w:r>
        <w:rPr/>
        <w:t>exclusively</w:t>
      </w:r>
      <w:r>
        <w:rPr>
          <w:spacing w:val="-14"/>
        </w:rPr>
        <w:t> </w:t>
      </w:r>
      <w:r>
        <w:rPr/>
        <w:t>in</w:t>
      </w:r>
      <w:r>
        <w:rPr>
          <w:spacing w:val="-13"/>
        </w:rPr>
        <w:t> </w:t>
      </w:r>
      <w:r>
        <w:rPr/>
        <w:t>rooibos.</w:t>
      </w:r>
      <w:r>
        <w:rPr>
          <w:spacing w:val="-12"/>
        </w:rPr>
        <w:t> </w:t>
      </w:r>
      <w:r>
        <w:rPr/>
        <w:t>These</w:t>
      </w:r>
      <w:r>
        <w:rPr>
          <w:spacing w:val="-15"/>
        </w:rPr>
        <w:t> </w:t>
      </w:r>
      <w:r>
        <w:rPr/>
        <w:t>make</w:t>
      </w:r>
      <w:r>
        <w:rPr>
          <w:spacing w:val="-13"/>
        </w:rPr>
        <w:t> </w:t>
      </w:r>
      <w:r>
        <w:rPr/>
        <w:t>rooi- bos tea sweet without sugar and calories. Nearly 100 aromatic oils ensure the fruity aroma of redbush tea. Rooibos also contains no caffeine and can there- fore</w:t>
      </w:r>
      <w:r>
        <w:rPr>
          <w:spacing w:val="-6"/>
        </w:rPr>
        <w:t> </w:t>
      </w:r>
      <w:r>
        <w:rPr/>
        <w:t>be</w:t>
      </w:r>
      <w:r>
        <w:rPr>
          <w:spacing w:val="-5"/>
        </w:rPr>
        <w:t> </w:t>
      </w:r>
      <w:r>
        <w:rPr/>
        <w:t>enjoyed</w:t>
      </w:r>
      <w:r>
        <w:rPr>
          <w:spacing w:val="-8"/>
        </w:rPr>
        <w:t> </w:t>
      </w:r>
      <w:r>
        <w:rPr/>
        <w:t>daily</w:t>
      </w:r>
      <w:r>
        <w:rPr>
          <w:spacing w:val="-6"/>
        </w:rPr>
        <w:t> </w:t>
      </w:r>
      <w:r>
        <w:rPr/>
        <w:t>by</w:t>
      </w:r>
      <w:r>
        <w:rPr>
          <w:spacing w:val="-5"/>
        </w:rPr>
        <w:t> </w:t>
      </w:r>
      <w:r>
        <w:rPr/>
        <w:t>every</w:t>
      </w:r>
      <w:r>
        <w:rPr>
          <w:spacing w:val="-6"/>
        </w:rPr>
        <w:t> </w:t>
      </w:r>
      <w:r>
        <w:rPr/>
        <w:t>target</w:t>
      </w:r>
      <w:r>
        <w:rPr>
          <w:spacing w:val="-6"/>
        </w:rPr>
        <w:t> </w:t>
      </w:r>
      <w:r>
        <w:rPr/>
        <w:t>group</w:t>
      </w:r>
      <w:r>
        <w:rPr>
          <w:spacing w:val="-6"/>
        </w:rPr>
        <w:t> </w:t>
      </w:r>
      <w:r>
        <w:rPr/>
        <w:t>and</w:t>
      </w:r>
      <w:r>
        <w:rPr>
          <w:spacing w:val="-5"/>
        </w:rPr>
        <w:t> </w:t>
      </w:r>
      <w:r>
        <w:rPr/>
        <w:t>at</w:t>
      </w:r>
      <w:r>
        <w:rPr>
          <w:spacing w:val="-7"/>
        </w:rPr>
        <w:t> </w:t>
      </w:r>
      <w:r>
        <w:rPr/>
        <w:t>any</w:t>
      </w:r>
      <w:r>
        <w:rPr>
          <w:spacing w:val="-6"/>
        </w:rPr>
        <w:t> </w:t>
      </w:r>
      <w:r>
        <w:rPr/>
        <w:t>time</w:t>
      </w:r>
      <w:r>
        <w:rPr>
          <w:spacing w:val="-6"/>
        </w:rPr>
        <w:t> </w:t>
      </w:r>
      <w:r>
        <w:rPr/>
        <w:t>of</w:t>
      </w:r>
      <w:r>
        <w:rPr>
          <w:spacing w:val="-6"/>
        </w:rPr>
        <w:t> </w:t>
      </w:r>
      <w:r>
        <w:rPr/>
        <w:t>day,</w:t>
      </w:r>
      <w:r>
        <w:rPr>
          <w:spacing w:val="-5"/>
        </w:rPr>
        <w:t> </w:t>
      </w:r>
      <w:r>
        <w:rPr/>
        <w:t>even</w:t>
      </w:r>
      <w:r>
        <w:rPr>
          <w:spacing w:val="-5"/>
        </w:rPr>
        <w:t> </w:t>
      </w:r>
      <w:r>
        <w:rPr/>
        <w:t>by</w:t>
      </w:r>
      <w:r>
        <w:rPr>
          <w:spacing w:val="-5"/>
        </w:rPr>
        <w:t> </w:t>
      </w:r>
      <w:r>
        <w:rPr/>
        <w:t>the litre.</w:t>
      </w:r>
    </w:p>
    <w:p>
      <w:pPr>
        <w:spacing w:after="0" w:line="276" w:lineRule="auto"/>
        <w:jc w:val="both"/>
        <w:sectPr>
          <w:pgSz w:w="14270" w:h="16850"/>
          <w:pgMar w:header="0" w:footer="1891" w:top="1320" w:bottom="2080" w:left="800" w:right="1280"/>
        </w:sectPr>
      </w:pPr>
    </w:p>
    <w:p>
      <w:pPr>
        <w:pStyle w:val="Heading2"/>
        <w:spacing w:before="74"/>
        <w:ind w:left="616"/>
      </w:pPr>
      <w:r>
        <w:rPr/>
        <w:t>Active ingredients of rooibos tea</w:t>
      </w:r>
    </w:p>
    <w:p>
      <w:pPr>
        <w:pStyle w:val="BodyText"/>
        <w:spacing w:line="278" w:lineRule="auto" w:before="302"/>
        <w:ind w:left="616"/>
      </w:pPr>
      <w:r>
        <w:rPr/>
        <w:t>Rooibos tea offers an abundant number of different active ingredients which provide it with an impressive effect on innumerable ailments and illnesses.</w:t>
      </w:r>
    </w:p>
    <w:p>
      <w:pPr>
        <w:pStyle w:val="BodyText"/>
        <w:spacing w:line="276" w:lineRule="auto" w:before="233"/>
        <w:ind w:left="616" w:right="139"/>
        <w:jc w:val="both"/>
      </w:pPr>
      <w:r>
        <w:rPr/>
        <w:t>To this day, researchers have already been able to provide evidence of 200 individual active substances in rooibos tea, including vitamins, rutin, minerals, trace</w:t>
      </w:r>
      <w:r>
        <w:rPr>
          <w:spacing w:val="-16"/>
        </w:rPr>
        <w:t> </w:t>
      </w:r>
      <w:r>
        <w:rPr/>
        <w:t>elements,</w:t>
      </w:r>
      <w:r>
        <w:rPr>
          <w:spacing w:val="-15"/>
        </w:rPr>
        <w:t> </w:t>
      </w:r>
      <w:r>
        <w:rPr/>
        <w:t>flavonoids,</w:t>
      </w:r>
      <w:r>
        <w:rPr>
          <w:spacing w:val="-17"/>
        </w:rPr>
        <w:t> </w:t>
      </w:r>
      <w:r>
        <w:rPr/>
        <w:t>flavone,</w:t>
      </w:r>
      <w:r>
        <w:rPr>
          <w:spacing w:val="-15"/>
        </w:rPr>
        <w:t> </w:t>
      </w:r>
      <w:r>
        <w:rPr/>
        <w:t>phenolic</w:t>
      </w:r>
      <w:r>
        <w:rPr>
          <w:spacing w:val="-17"/>
        </w:rPr>
        <w:t> </w:t>
      </w:r>
      <w:r>
        <w:rPr/>
        <w:t>acids,</w:t>
      </w:r>
      <w:r>
        <w:rPr>
          <w:spacing w:val="-16"/>
        </w:rPr>
        <w:t> </w:t>
      </w:r>
      <w:r>
        <w:rPr/>
        <w:t>numerous</w:t>
      </w:r>
      <w:r>
        <w:rPr>
          <w:spacing w:val="-16"/>
        </w:rPr>
        <w:t> </w:t>
      </w:r>
      <w:r>
        <w:rPr/>
        <w:t>antioxidants</w:t>
      </w:r>
      <w:r>
        <w:rPr>
          <w:spacing w:val="-17"/>
        </w:rPr>
        <w:t> </w:t>
      </w:r>
      <w:r>
        <w:rPr/>
        <w:t>and essential</w:t>
      </w:r>
      <w:r>
        <w:rPr>
          <w:spacing w:val="-2"/>
        </w:rPr>
        <w:t> </w:t>
      </w:r>
      <w:r>
        <w:rPr/>
        <w:t>oils.</w:t>
      </w:r>
    </w:p>
    <w:p>
      <w:pPr>
        <w:pStyle w:val="BodyText"/>
        <w:spacing w:before="242"/>
        <w:ind w:left="616"/>
        <w:jc w:val="both"/>
      </w:pPr>
      <w:r>
        <w:rPr/>
        <w:t>Among these ingredients are, specifically:</w:t>
      </w:r>
    </w:p>
    <w:p>
      <w:pPr>
        <w:pStyle w:val="ListParagraph"/>
        <w:numPr>
          <w:ilvl w:val="0"/>
          <w:numId w:val="91"/>
        </w:numPr>
        <w:tabs>
          <w:tab w:pos="1032" w:val="left" w:leader="none"/>
        </w:tabs>
        <w:spacing w:line="240" w:lineRule="auto" w:before="265" w:after="0"/>
        <w:ind w:left="1043" w:right="0" w:hanging="427"/>
        <w:jc w:val="both"/>
        <w:rPr>
          <w:sz w:val="38"/>
        </w:rPr>
      </w:pPr>
      <w:r>
        <w:rPr>
          <w:sz w:val="38"/>
        </w:rPr>
        <w:t>Vitamin</w:t>
      </w:r>
      <w:r>
        <w:rPr>
          <w:spacing w:val="-1"/>
          <w:sz w:val="38"/>
        </w:rPr>
        <w:t> </w:t>
      </w:r>
      <w:r>
        <w:rPr>
          <w:sz w:val="38"/>
        </w:rPr>
        <w:t>C</w:t>
      </w:r>
    </w:p>
    <w:p>
      <w:pPr>
        <w:pStyle w:val="ListParagraph"/>
        <w:numPr>
          <w:ilvl w:val="0"/>
          <w:numId w:val="91"/>
        </w:numPr>
        <w:tabs>
          <w:tab w:pos="1032" w:val="left" w:leader="none"/>
        </w:tabs>
        <w:spacing w:line="240" w:lineRule="auto" w:before="63" w:after="0"/>
        <w:ind w:left="1043" w:right="0" w:hanging="427"/>
        <w:jc w:val="both"/>
        <w:rPr>
          <w:sz w:val="38"/>
        </w:rPr>
      </w:pPr>
      <w:r>
        <w:rPr>
          <w:sz w:val="38"/>
        </w:rPr>
        <w:t>Calcium</w:t>
      </w:r>
    </w:p>
    <w:p>
      <w:pPr>
        <w:pStyle w:val="ListParagraph"/>
        <w:numPr>
          <w:ilvl w:val="0"/>
          <w:numId w:val="91"/>
        </w:numPr>
        <w:tabs>
          <w:tab w:pos="1032" w:val="left" w:leader="none"/>
        </w:tabs>
        <w:spacing w:line="240" w:lineRule="auto" w:before="64" w:after="0"/>
        <w:ind w:left="1043" w:right="0" w:hanging="427"/>
        <w:jc w:val="both"/>
        <w:rPr>
          <w:sz w:val="38"/>
        </w:rPr>
      </w:pPr>
      <w:r>
        <w:rPr>
          <w:sz w:val="38"/>
        </w:rPr>
        <w:t>Magnesium</w:t>
      </w:r>
    </w:p>
    <w:p>
      <w:pPr>
        <w:pStyle w:val="ListParagraph"/>
        <w:numPr>
          <w:ilvl w:val="0"/>
          <w:numId w:val="91"/>
        </w:numPr>
        <w:tabs>
          <w:tab w:pos="1032" w:val="left" w:leader="none"/>
        </w:tabs>
        <w:spacing w:line="240" w:lineRule="auto" w:before="64" w:after="0"/>
        <w:ind w:left="1043" w:right="0" w:hanging="427"/>
        <w:jc w:val="both"/>
        <w:rPr>
          <w:sz w:val="38"/>
        </w:rPr>
      </w:pPr>
      <w:r>
        <w:rPr>
          <w:sz w:val="38"/>
        </w:rPr>
        <w:t>Potassium</w:t>
      </w:r>
    </w:p>
    <w:p>
      <w:pPr>
        <w:pStyle w:val="ListParagraph"/>
        <w:numPr>
          <w:ilvl w:val="0"/>
          <w:numId w:val="91"/>
        </w:numPr>
        <w:tabs>
          <w:tab w:pos="1032" w:val="left" w:leader="none"/>
        </w:tabs>
        <w:spacing w:line="240" w:lineRule="auto" w:before="64" w:after="0"/>
        <w:ind w:left="1043" w:right="0" w:hanging="427"/>
        <w:jc w:val="both"/>
        <w:rPr>
          <w:sz w:val="38"/>
        </w:rPr>
      </w:pPr>
      <w:r>
        <w:rPr>
          <w:sz w:val="38"/>
        </w:rPr>
        <w:t>Sodium</w:t>
      </w:r>
    </w:p>
    <w:p>
      <w:pPr>
        <w:pStyle w:val="ListParagraph"/>
        <w:numPr>
          <w:ilvl w:val="0"/>
          <w:numId w:val="91"/>
        </w:numPr>
        <w:tabs>
          <w:tab w:pos="1032" w:val="left" w:leader="none"/>
        </w:tabs>
        <w:spacing w:line="240" w:lineRule="auto" w:before="66" w:after="0"/>
        <w:ind w:left="1043" w:right="0" w:hanging="427"/>
        <w:jc w:val="both"/>
        <w:rPr>
          <w:sz w:val="38"/>
        </w:rPr>
      </w:pPr>
      <w:r>
        <w:rPr>
          <w:sz w:val="38"/>
        </w:rPr>
        <w:t>Iron</w:t>
      </w:r>
    </w:p>
    <w:p>
      <w:pPr>
        <w:pStyle w:val="ListParagraph"/>
        <w:numPr>
          <w:ilvl w:val="0"/>
          <w:numId w:val="91"/>
        </w:numPr>
        <w:tabs>
          <w:tab w:pos="1032" w:val="left" w:leader="none"/>
        </w:tabs>
        <w:spacing w:line="240" w:lineRule="auto" w:before="63" w:after="0"/>
        <w:ind w:left="1043" w:right="0" w:hanging="427"/>
        <w:jc w:val="both"/>
        <w:rPr>
          <w:sz w:val="38"/>
        </w:rPr>
      </w:pPr>
      <w:r>
        <w:rPr>
          <w:sz w:val="38"/>
        </w:rPr>
        <w:t>Copper</w:t>
      </w:r>
    </w:p>
    <w:p>
      <w:pPr>
        <w:pStyle w:val="ListParagraph"/>
        <w:numPr>
          <w:ilvl w:val="0"/>
          <w:numId w:val="91"/>
        </w:numPr>
        <w:tabs>
          <w:tab w:pos="1032" w:val="left" w:leader="none"/>
        </w:tabs>
        <w:spacing w:line="240" w:lineRule="auto" w:before="64" w:after="0"/>
        <w:ind w:left="1043" w:right="0" w:hanging="427"/>
        <w:jc w:val="both"/>
        <w:rPr>
          <w:sz w:val="38"/>
        </w:rPr>
      </w:pPr>
      <w:r>
        <w:rPr>
          <w:sz w:val="38"/>
        </w:rPr>
        <w:t>Fluorine</w:t>
      </w:r>
    </w:p>
    <w:p>
      <w:pPr>
        <w:pStyle w:val="ListParagraph"/>
        <w:numPr>
          <w:ilvl w:val="0"/>
          <w:numId w:val="91"/>
        </w:numPr>
        <w:tabs>
          <w:tab w:pos="1032" w:val="left" w:leader="none"/>
        </w:tabs>
        <w:spacing w:line="240" w:lineRule="auto" w:before="64" w:after="0"/>
        <w:ind w:left="1043" w:right="0" w:hanging="427"/>
        <w:jc w:val="both"/>
        <w:rPr>
          <w:sz w:val="38"/>
        </w:rPr>
      </w:pPr>
      <w:r>
        <w:rPr>
          <w:sz w:val="38"/>
        </w:rPr>
        <w:t>Rutin</w:t>
      </w:r>
    </w:p>
    <w:p>
      <w:pPr>
        <w:pStyle w:val="ListParagraph"/>
        <w:numPr>
          <w:ilvl w:val="0"/>
          <w:numId w:val="91"/>
        </w:numPr>
        <w:tabs>
          <w:tab w:pos="1032" w:val="left" w:leader="none"/>
        </w:tabs>
        <w:spacing w:line="240" w:lineRule="auto" w:before="63" w:after="0"/>
        <w:ind w:left="1043" w:right="0" w:hanging="427"/>
        <w:jc w:val="both"/>
        <w:rPr>
          <w:sz w:val="38"/>
        </w:rPr>
      </w:pPr>
      <w:r>
        <w:rPr>
          <w:sz w:val="38"/>
        </w:rPr>
        <w:t>Zinc</w:t>
      </w:r>
    </w:p>
    <w:p>
      <w:pPr>
        <w:pStyle w:val="ListParagraph"/>
        <w:numPr>
          <w:ilvl w:val="0"/>
          <w:numId w:val="91"/>
        </w:numPr>
        <w:tabs>
          <w:tab w:pos="1032" w:val="left" w:leader="none"/>
        </w:tabs>
        <w:spacing w:line="240" w:lineRule="auto" w:before="66" w:after="0"/>
        <w:ind w:left="1043" w:right="0" w:hanging="427"/>
        <w:jc w:val="both"/>
        <w:rPr>
          <w:sz w:val="38"/>
        </w:rPr>
      </w:pPr>
      <w:r>
        <w:rPr>
          <w:sz w:val="38"/>
        </w:rPr>
        <w:t>Alpha hydroxy</w:t>
      </w:r>
      <w:r>
        <w:rPr>
          <w:spacing w:val="-3"/>
          <w:sz w:val="38"/>
        </w:rPr>
        <w:t> </w:t>
      </w:r>
      <w:r>
        <w:rPr>
          <w:sz w:val="38"/>
        </w:rPr>
        <w:t>acid</w:t>
      </w:r>
    </w:p>
    <w:p>
      <w:pPr>
        <w:pStyle w:val="ListParagraph"/>
        <w:numPr>
          <w:ilvl w:val="0"/>
          <w:numId w:val="91"/>
        </w:numPr>
        <w:tabs>
          <w:tab w:pos="1032" w:val="left" w:leader="none"/>
        </w:tabs>
        <w:spacing w:line="240" w:lineRule="auto" w:before="65" w:after="0"/>
        <w:ind w:left="1043" w:right="0" w:hanging="427"/>
        <w:jc w:val="both"/>
        <w:rPr>
          <w:sz w:val="38"/>
        </w:rPr>
      </w:pPr>
      <w:r>
        <w:rPr>
          <w:sz w:val="38"/>
        </w:rPr>
        <w:t>Polyphenols</w:t>
      </w:r>
    </w:p>
    <w:p>
      <w:pPr>
        <w:pStyle w:val="ListParagraph"/>
        <w:numPr>
          <w:ilvl w:val="0"/>
          <w:numId w:val="91"/>
        </w:numPr>
        <w:tabs>
          <w:tab w:pos="1032" w:val="left" w:leader="none"/>
        </w:tabs>
        <w:spacing w:line="240" w:lineRule="auto" w:before="63" w:after="0"/>
        <w:ind w:left="1043" w:right="0" w:hanging="427"/>
        <w:jc w:val="both"/>
        <w:rPr>
          <w:sz w:val="38"/>
        </w:rPr>
      </w:pPr>
      <w:r>
        <w:rPr>
          <w:sz w:val="38"/>
        </w:rPr>
        <w:t>Phenolic acids</w:t>
      </w:r>
    </w:p>
    <w:p>
      <w:pPr>
        <w:pStyle w:val="ListParagraph"/>
        <w:numPr>
          <w:ilvl w:val="0"/>
          <w:numId w:val="91"/>
        </w:numPr>
        <w:tabs>
          <w:tab w:pos="1032" w:val="left" w:leader="none"/>
        </w:tabs>
        <w:spacing w:line="240" w:lineRule="auto" w:before="64" w:after="0"/>
        <w:ind w:left="1043" w:right="0" w:hanging="427"/>
        <w:jc w:val="both"/>
        <w:rPr>
          <w:sz w:val="38"/>
        </w:rPr>
      </w:pPr>
      <w:r>
        <w:rPr>
          <w:sz w:val="38"/>
        </w:rPr>
        <w:t>Quercetin</w:t>
      </w:r>
    </w:p>
    <w:p>
      <w:pPr>
        <w:spacing w:after="0" w:line="240" w:lineRule="auto"/>
        <w:jc w:val="both"/>
        <w:rPr>
          <w:sz w:val="38"/>
        </w:rPr>
        <w:sectPr>
          <w:pgSz w:w="14270" w:h="16850"/>
          <w:pgMar w:header="0" w:footer="1891" w:top="1340" w:bottom="2080" w:left="800" w:right="1280"/>
        </w:sectPr>
      </w:pPr>
    </w:p>
    <w:p>
      <w:pPr>
        <w:pStyle w:val="ListParagraph"/>
        <w:numPr>
          <w:ilvl w:val="0"/>
          <w:numId w:val="91"/>
        </w:numPr>
        <w:tabs>
          <w:tab w:pos="1031" w:val="left" w:leader="none"/>
          <w:tab w:pos="1032" w:val="left" w:leader="none"/>
        </w:tabs>
        <w:spacing w:line="240" w:lineRule="auto" w:before="53" w:after="0"/>
        <w:ind w:left="1043" w:right="0" w:hanging="427"/>
        <w:jc w:val="left"/>
        <w:rPr>
          <w:sz w:val="38"/>
        </w:rPr>
      </w:pPr>
      <w:r>
        <w:rPr>
          <w:sz w:val="38"/>
        </w:rPr>
        <w:t>Quercitrine</w:t>
      </w:r>
    </w:p>
    <w:p>
      <w:pPr>
        <w:pStyle w:val="BodyText"/>
        <w:rPr>
          <w:sz w:val="44"/>
        </w:rPr>
      </w:pPr>
    </w:p>
    <w:p>
      <w:pPr>
        <w:pStyle w:val="BodyText"/>
        <w:spacing w:before="7"/>
        <w:rPr>
          <w:sz w:val="46"/>
        </w:rPr>
      </w:pPr>
    </w:p>
    <w:p>
      <w:pPr>
        <w:pStyle w:val="Heading1"/>
        <w:spacing w:before="0"/>
        <w:ind w:left="616"/>
      </w:pPr>
      <w:r>
        <w:rPr/>
        <w:t>Minerals and trace elements in rooibos</w:t>
      </w:r>
      <w:r>
        <w:rPr>
          <w:spacing w:val="-67"/>
        </w:rPr>
        <w:t> </w:t>
      </w:r>
      <w:r>
        <w:rPr/>
        <w:t>tea</w:t>
      </w:r>
    </w:p>
    <w:p>
      <w:pPr>
        <w:pStyle w:val="BodyText"/>
        <w:spacing w:line="276" w:lineRule="auto" w:before="299"/>
        <w:ind w:left="616" w:right="133"/>
        <w:jc w:val="both"/>
      </w:pPr>
      <w:r>
        <w:rPr/>
        <w:t>The remarkably high number of different minerals and trace elements in rooi- bos tea makes it qualified as a much-beloved sports drink, because, as is well known, we lose numerous minerals through our sweat during sports. The loss of</w:t>
      </w:r>
      <w:r>
        <w:rPr>
          <w:spacing w:val="-25"/>
        </w:rPr>
        <w:t> </w:t>
      </w:r>
      <w:r>
        <w:rPr/>
        <w:t>minerals,</w:t>
      </w:r>
      <w:r>
        <w:rPr>
          <w:spacing w:val="-24"/>
        </w:rPr>
        <w:t> </w:t>
      </w:r>
      <w:r>
        <w:rPr/>
        <w:t>however,</w:t>
      </w:r>
      <w:r>
        <w:rPr>
          <w:spacing w:val="-24"/>
        </w:rPr>
        <w:t> </w:t>
      </w:r>
      <w:r>
        <w:rPr/>
        <w:t>leads</w:t>
      </w:r>
      <w:r>
        <w:rPr>
          <w:spacing w:val="-26"/>
        </w:rPr>
        <w:t> </w:t>
      </w:r>
      <w:r>
        <w:rPr/>
        <w:t>to</w:t>
      </w:r>
      <w:r>
        <w:rPr>
          <w:spacing w:val="-24"/>
        </w:rPr>
        <w:t> </w:t>
      </w:r>
      <w:r>
        <w:rPr/>
        <w:t>decreased</w:t>
      </w:r>
      <w:r>
        <w:rPr>
          <w:spacing w:val="-24"/>
        </w:rPr>
        <w:t> </w:t>
      </w:r>
      <w:r>
        <w:rPr/>
        <w:t>performance</w:t>
      </w:r>
      <w:r>
        <w:rPr>
          <w:spacing w:val="-24"/>
        </w:rPr>
        <w:t> </w:t>
      </w:r>
      <w:r>
        <w:rPr/>
        <w:t>and</w:t>
      </w:r>
      <w:r>
        <w:rPr>
          <w:spacing w:val="-26"/>
        </w:rPr>
        <w:t> </w:t>
      </w:r>
      <w:r>
        <w:rPr/>
        <w:t>muscle</w:t>
      </w:r>
      <w:r>
        <w:rPr>
          <w:spacing w:val="-25"/>
        </w:rPr>
        <w:t> </w:t>
      </w:r>
      <w:r>
        <w:rPr/>
        <w:t>cramps.</w:t>
      </w:r>
      <w:r>
        <w:rPr>
          <w:spacing w:val="-24"/>
        </w:rPr>
        <w:t> </w:t>
      </w:r>
      <w:r>
        <w:rPr/>
        <w:t>This can be avoided, though, with some cold glasses of redbush tea before, during and</w:t>
      </w:r>
      <w:r>
        <w:rPr>
          <w:spacing w:val="-8"/>
        </w:rPr>
        <w:t> </w:t>
      </w:r>
      <w:r>
        <w:rPr/>
        <w:t>after</w:t>
      </w:r>
      <w:r>
        <w:rPr>
          <w:spacing w:val="-7"/>
        </w:rPr>
        <w:t> </w:t>
      </w:r>
      <w:r>
        <w:rPr/>
        <w:t>exercise!</w:t>
      </w:r>
      <w:r>
        <w:rPr>
          <w:spacing w:val="-6"/>
        </w:rPr>
        <w:t> </w:t>
      </w:r>
      <w:r>
        <w:rPr/>
        <w:t>Rooibos</w:t>
      </w:r>
      <w:r>
        <w:rPr>
          <w:spacing w:val="-7"/>
        </w:rPr>
        <w:t> </w:t>
      </w:r>
      <w:r>
        <w:rPr/>
        <w:t>tea</w:t>
      </w:r>
      <w:r>
        <w:rPr>
          <w:spacing w:val="-7"/>
        </w:rPr>
        <w:t> </w:t>
      </w:r>
      <w:r>
        <w:rPr/>
        <w:t>also</w:t>
      </w:r>
      <w:r>
        <w:rPr>
          <w:spacing w:val="-7"/>
        </w:rPr>
        <w:t> </w:t>
      </w:r>
      <w:r>
        <w:rPr/>
        <w:t>tastes</w:t>
      </w:r>
      <w:r>
        <w:rPr>
          <w:spacing w:val="-7"/>
        </w:rPr>
        <w:t> </w:t>
      </w:r>
      <w:r>
        <w:rPr/>
        <w:t>fruity-sweet</w:t>
      </w:r>
      <w:r>
        <w:rPr>
          <w:spacing w:val="-7"/>
        </w:rPr>
        <w:t> </w:t>
      </w:r>
      <w:r>
        <w:rPr/>
        <w:t>and</w:t>
      </w:r>
      <w:r>
        <w:rPr>
          <w:spacing w:val="-7"/>
        </w:rPr>
        <w:t> </w:t>
      </w:r>
      <w:r>
        <w:rPr/>
        <w:t>refreshing</w:t>
      </w:r>
      <w:r>
        <w:rPr>
          <w:spacing w:val="-7"/>
        </w:rPr>
        <w:t> </w:t>
      </w:r>
      <w:r>
        <w:rPr/>
        <w:t>even</w:t>
      </w:r>
      <w:r>
        <w:rPr>
          <w:spacing w:val="-6"/>
        </w:rPr>
        <w:t> </w:t>
      </w:r>
      <w:r>
        <w:rPr/>
        <w:t>un- sweetened,</w:t>
      </w:r>
      <w:r>
        <w:rPr>
          <w:spacing w:val="-7"/>
        </w:rPr>
        <w:t> </w:t>
      </w:r>
      <w:r>
        <w:rPr/>
        <w:t>and</w:t>
      </w:r>
      <w:r>
        <w:rPr>
          <w:spacing w:val="-8"/>
        </w:rPr>
        <w:t> </w:t>
      </w:r>
      <w:r>
        <w:rPr/>
        <w:t>the</w:t>
      </w:r>
      <w:r>
        <w:rPr>
          <w:spacing w:val="-7"/>
        </w:rPr>
        <w:t> </w:t>
      </w:r>
      <w:r>
        <w:rPr/>
        <w:t>minerals</w:t>
      </w:r>
      <w:r>
        <w:rPr>
          <w:spacing w:val="-9"/>
        </w:rPr>
        <w:t> </w:t>
      </w:r>
      <w:r>
        <w:rPr/>
        <w:t>contained</w:t>
      </w:r>
      <w:r>
        <w:rPr>
          <w:spacing w:val="-8"/>
        </w:rPr>
        <w:t> </w:t>
      </w:r>
      <w:r>
        <w:rPr/>
        <w:t>in</w:t>
      </w:r>
      <w:r>
        <w:rPr>
          <w:spacing w:val="-8"/>
        </w:rPr>
        <w:t> </w:t>
      </w:r>
      <w:r>
        <w:rPr/>
        <w:t>it</w:t>
      </w:r>
      <w:r>
        <w:rPr>
          <w:spacing w:val="-8"/>
        </w:rPr>
        <w:t> </w:t>
      </w:r>
      <w:r>
        <w:rPr/>
        <w:t>are</w:t>
      </w:r>
      <w:r>
        <w:rPr>
          <w:spacing w:val="-10"/>
        </w:rPr>
        <w:t> </w:t>
      </w:r>
      <w:r>
        <w:rPr/>
        <w:t>quickly</w:t>
      </w:r>
      <w:r>
        <w:rPr>
          <w:spacing w:val="-8"/>
        </w:rPr>
        <w:t> </w:t>
      </w:r>
      <w:r>
        <w:rPr/>
        <w:t>absorbed,</w:t>
      </w:r>
      <w:r>
        <w:rPr>
          <w:spacing w:val="-10"/>
        </w:rPr>
        <w:t> </w:t>
      </w:r>
      <w:r>
        <w:rPr/>
        <w:t>similarly</w:t>
      </w:r>
      <w:r>
        <w:rPr>
          <w:spacing w:val="-8"/>
        </w:rPr>
        <w:t> </w:t>
      </w:r>
      <w:r>
        <w:rPr/>
        <w:t>to</w:t>
      </w:r>
      <w:r>
        <w:rPr>
          <w:spacing w:val="-6"/>
        </w:rPr>
        <w:t> </w:t>
      </w:r>
      <w:r>
        <w:rPr/>
        <w:t>a traditional isotonic</w:t>
      </w:r>
      <w:r>
        <w:rPr>
          <w:spacing w:val="1"/>
        </w:rPr>
        <w:t> </w:t>
      </w:r>
      <w:r>
        <w:rPr/>
        <w:t>drink.</w:t>
      </w:r>
    </w:p>
    <w:p>
      <w:pPr>
        <w:pStyle w:val="Heading1"/>
        <w:spacing w:before="222"/>
        <w:ind w:left="616"/>
        <w:jc w:val="both"/>
      </w:pPr>
      <w:r>
        <w:rPr/>
        <w:t>Mineral content in a cup of rooibos</w:t>
      </w:r>
      <w:r>
        <w:rPr>
          <w:spacing w:val="-73"/>
        </w:rPr>
        <w:t> </w:t>
      </w:r>
      <w:r>
        <w:rPr/>
        <w:t>tea</w:t>
      </w:r>
    </w:p>
    <w:p>
      <w:pPr>
        <w:pStyle w:val="BodyText"/>
        <w:spacing w:before="300"/>
        <w:ind w:left="616"/>
        <w:jc w:val="both"/>
      </w:pPr>
      <w:r>
        <w:rPr/>
        <w:t>One</w:t>
      </w:r>
      <w:r>
        <w:rPr>
          <w:spacing w:val="-17"/>
        </w:rPr>
        <w:t> </w:t>
      </w:r>
      <w:r>
        <w:rPr/>
        <w:t>cup</w:t>
      </w:r>
      <w:r>
        <w:rPr>
          <w:spacing w:val="-15"/>
        </w:rPr>
        <w:t> </w:t>
      </w:r>
      <w:r>
        <w:rPr/>
        <w:t>of</w:t>
      </w:r>
      <w:r>
        <w:rPr>
          <w:spacing w:val="-19"/>
        </w:rPr>
        <w:t> </w:t>
      </w:r>
      <w:r>
        <w:rPr/>
        <w:t>redbush</w:t>
      </w:r>
      <w:r>
        <w:rPr>
          <w:spacing w:val="-15"/>
        </w:rPr>
        <w:t> </w:t>
      </w:r>
      <w:r>
        <w:rPr/>
        <w:t>tea</w:t>
      </w:r>
      <w:r>
        <w:rPr>
          <w:spacing w:val="-16"/>
        </w:rPr>
        <w:t> </w:t>
      </w:r>
      <w:r>
        <w:rPr/>
        <w:t>(3</w:t>
      </w:r>
      <w:r>
        <w:rPr>
          <w:spacing w:val="-19"/>
        </w:rPr>
        <w:t> </w:t>
      </w:r>
      <w:r>
        <w:rPr/>
        <w:t>g</w:t>
      </w:r>
      <w:r>
        <w:rPr>
          <w:spacing w:val="-16"/>
        </w:rPr>
        <w:t> </w:t>
      </w:r>
      <w:r>
        <w:rPr/>
        <w:t>in</w:t>
      </w:r>
      <w:r>
        <w:rPr>
          <w:spacing w:val="-18"/>
        </w:rPr>
        <w:t> </w:t>
      </w:r>
      <w:r>
        <w:rPr/>
        <w:t>200</w:t>
      </w:r>
      <w:r>
        <w:rPr>
          <w:spacing w:val="-17"/>
        </w:rPr>
        <w:t> </w:t>
      </w:r>
      <w:r>
        <w:rPr/>
        <w:t>ml)</w:t>
      </w:r>
      <w:r>
        <w:rPr>
          <w:spacing w:val="-16"/>
        </w:rPr>
        <w:t> </w:t>
      </w:r>
      <w:r>
        <w:rPr/>
        <w:t>delivers</w:t>
      </w:r>
      <w:r>
        <w:rPr>
          <w:spacing w:val="-15"/>
        </w:rPr>
        <w:t> </w:t>
      </w:r>
      <w:r>
        <w:rPr/>
        <w:t>the</w:t>
      </w:r>
      <w:r>
        <w:rPr>
          <w:spacing w:val="-16"/>
        </w:rPr>
        <w:t> </w:t>
      </w:r>
      <w:r>
        <w:rPr/>
        <w:t>following</w:t>
      </w:r>
      <w:r>
        <w:rPr>
          <w:spacing w:val="-15"/>
        </w:rPr>
        <w:t> </w:t>
      </w:r>
      <w:r>
        <w:rPr/>
        <w:t>mineral</w:t>
      </w:r>
      <w:r>
        <w:rPr>
          <w:spacing w:val="-17"/>
        </w:rPr>
        <w:t> </w:t>
      </w:r>
      <w:r>
        <w:rPr/>
        <w:t>amounts:</w:t>
      </w:r>
    </w:p>
    <w:p>
      <w:pPr>
        <w:pStyle w:val="BodyText"/>
        <w:spacing w:before="8"/>
        <w:rPr>
          <w:sz w:val="23"/>
        </w:r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06"/>
        <w:gridCol w:w="4606"/>
      </w:tblGrid>
      <w:tr>
        <w:trPr>
          <w:trHeight w:val="930" w:hRule="atLeast"/>
        </w:trPr>
        <w:tc>
          <w:tcPr>
            <w:tcW w:w="4606" w:type="dxa"/>
            <w:shd w:val="clear" w:color="auto" w:fill="8DB3E1"/>
          </w:tcPr>
          <w:p>
            <w:pPr>
              <w:pStyle w:val="TableParagraph"/>
              <w:spacing w:before="238"/>
              <w:ind w:left="194" w:right="184"/>
              <w:jc w:val="center"/>
              <w:rPr>
                <w:b/>
                <w:sz w:val="38"/>
              </w:rPr>
            </w:pPr>
            <w:r>
              <w:rPr>
                <w:b/>
                <w:sz w:val="38"/>
              </w:rPr>
              <w:t>Mineral/trace element</w:t>
            </w:r>
          </w:p>
        </w:tc>
        <w:tc>
          <w:tcPr>
            <w:tcW w:w="4606" w:type="dxa"/>
            <w:shd w:val="clear" w:color="auto" w:fill="8DB3E1"/>
          </w:tcPr>
          <w:p>
            <w:pPr>
              <w:pStyle w:val="TableParagraph"/>
              <w:spacing w:before="238"/>
              <w:ind w:left="194" w:right="184"/>
              <w:jc w:val="center"/>
              <w:rPr>
                <w:b/>
                <w:sz w:val="38"/>
              </w:rPr>
            </w:pPr>
            <w:r>
              <w:rPr>
                <w:b/>
                <w:sz w:val="38"/>
              </w:rPr>
              <w:t>Amount in mg</w:t>
            </w:r>
          </w:p>
        </w:tc>
      </w:tr>
      <w:tr>
        <w:trPr>
          <w:trHeight w:val="813" w:hRule="atLeast"/>
        </w:trPr>
        <w:tc>
          <w:tcPr>
            <w:tcW w:w="4606" w:type="dxa"/>
          </w:tcPr>
          <w:p>
            <w:pPr>
              <w:pStyle w:val="TableParagraph"/>
              <w:spacing w:before="121"/>
              <w:ind w:left="194" w:right="185"/>
              <w:jc w:val="center"/>
              <w:rPr>
                <w:sz w:val="38"/>
              </w:rPr>
            </w:pPr>
            <w:r>
              <w:rPr>
                <w:sz w:val="38"/>
              </w:rPr>
              <w:t>Potassium</w:t>
            </w:r>
          </w:p>
        </w:tc>
        <w:tc>
          <w:tcPr>
            <w:tcW w:w="4606" w:type="dxa"/>
          </w:tcPr>
          <w:p>
            <w:pPr>
              <w:pStyle w:val="TableParagraph"/>
              <w:spacing w:before="121"/>
              <w:ind w:left="194" w:right="180"/>
              <w:jc w:val="center"/>
              <w:rPr>
                <w:sz w:val="38"/>
              </w:rPr>
            </w:pPr>
            <w:r>
              <w:rPr>
                <w:sz w:val="38"/>
              </w:rPr>
              <w:t>7.12</w:t>
            </w:r>
          </w:p>
        </w:tc>
      </w:tr>
      <w:tr>
        <w:trPr>
          <w:trHeight w:val="810" w:hRule="atLeast"/>
        </w:trPr>
        <w:tc>
          <w:tcPr>
            <w:tcW w:w="4606" w:type="dxa"/>
          </w:tcPr>
          <w:p>
            <w:pPr>
              <w:pStyle w:val="TableParagraph"/>
              <w:spacing w:before="118"/>
              <w:ind w:left="193" w:right="185"/>
              <w:jc w:val="center"/>
              <w:rPr>
                <w:sz w:val="38"/>
              </w:rPr>
            </w:pPr>
            <w:r>
              <w:rPr>
                <w:sz w:val="38"/>
              </w:rPr>
              <w:t>Sodium</w:t>
            </w:r>
          </w:p>
        </w:tc>
        <w:tc>
          <w:tcPr>
            <w:tcW w:w="4606" w:type="dxa"/>
          </w:tcPr>
          <w:p>
            <w:pPr>
              <w:pStyle w:val="TableParagraph"/>
              <w:spacing w:before="118"/>
              <w:ind w:left="194" w:right="180"/>
              <w:jc w:val="center"/>
              <w:rPr>
                <w:sz w:val="38"/>
              </w:rPr>
            </w:pPr>
            <w:r>
              <w:rPr>
                <w:sz w:val="38"/>
              </w:rPr>
              <w:t>6.16</w:t>
            </w:r>
          </w:p>
        </w:tc>
      </w:tr>
      <w:tr>
        <w:trPr>
          <w:trHeight w:val="811" w:hRule="atLeast"/>
        </w:trPr>
        <w:tc>
          <w:tcPr>
            <w:tcW w:w="4606" w:type="dxa"/>
          </w:tcPr>
          <w:p>
            <w:pPr>
              <w:pStyle w:val="TableParagraph"/>
              <w:spacing w:before="119"/>
              <w:ind w:left="193" w:right="185"/>
              <w:jc w:val="center"/>
              <w:rPr>
                <w:sz w:val="38"/>
              </w:rPr>
            </w:pPr>
            <w:r>
              <w:rPr>
                <w:sz w:val="38"/>
              </w:rPr>
              <w:t>Magnesium</w:t>
            </w:r>
          </w:p>
        </w:tc>
        <w:tc>
          <w:tcPr>
            <w:tcW w:w="4606" w:type="dxa"/>
          </w:tcPr>
          <w:p>
            <w:pPr>
              <w:pStyle w:val="TableParagraph"/>
              <w:spacing w:before="119"/>
              <w:ind w:left="194" w:right="180"/>
              <w:jc w:val="center"/>
              <w:rPr>
                <w:sz w:val="38"/>
              </w:rPr>
            </w:pPr>
            <w:r>
              <w:rPr>
                <w:sz w:val="38"/>
              </w:rPr>
              <w:t>1.57</w:t>
            </w:r>
          </w:p>
        </w:tc>
      </w:tr>
      <w:tr>
        <w:trPr>
          <w:trHeight w:val="813" w:hRule="atLeast"/>
        </w:trPr>
        <w:tc>
          <w:tcPr>
            <w:tcW w:w="4606" w:type="dxa"/>
          </w:tcPr>
          <w:p>
            <w:pPr>
              <w:pStyle w:val="TableParagraph"/>
              <w:spacing w:before="121"/>
              <w:ind w:left="194" w:right="183"/>
              <w:jc w:val="center"/>
              <w:rPr>
                <w:sz w:val="38"/>
              </w:rPr>
            </w:pPr>
            <w:r>
              <w:rPr>
                <w:sz w:val="38"/>
              </w:rPr>
              <w:t>Calcium</w:t>
            </w:r>
          </w:p>
        </w:tc>
        <w:tc>
          <w:tcPr>
            <w:tcW w:w="4606" w:type="dxa"/>
          </w:tcPr>
          <w:p>
            <w:pPr>
              <w:pStyle w:val="TableParagraph"/>
              <w:spacing w:before="121"/>
              <w:ind w:left="194" w:right="180"/>
              <w:jc w:val="center"/>
              <w:rPr>
                <w:sz w:val="38"/>
              </w:rPr>
            </w:pPr>
            <w:r>
              <w:rPr>
                <w:sz w:val="38"/>
              </w:rPr>
              <w:t>1.09</w:t>
            </w:r>
          </w:p>
        </w:tc>
      </w:tr>
    </w:tbl>
    <w:p>
      <w:pPr>
        <w:spacing w:after="0"/>
        <w:jc w:val="center"/>
        <w:rPr>
          <w:sz w:val="38"/>
        </w:rPr>
        <w:sectPr>
          <w:pgSz w:w="14270" w:h="16850"/>
          <w:pgMar w:header="0" w:footer="1891" w:top="1360" w:bottom="2080" w:left="800" w:right="1280"/>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06"/>
        <w:gridCol w:w="4606"/>
      </w:tblGrid>
      <w:tr>
        <w:trPr>
          <w:trHeight w:val="813" w:hRule="atLeast"/>
        </w:trPr>
        <w:tc>
          <w:tcPr>
            <w:tcW w:w="4606" w:type="dxa"/>
          </w:tcPr>
          <w:p>
            <w:pPr>
              <w:pStyle w:val="TableParagraph"/>
              <w:spacing w:before="116"/>
              <w:ind w:left="194" w:right="182"/>
              <w:jc w:val="center"/>
              <w:rPr>
                <w:sz w:val="38"/>
              </w:rPr>
            </w:pPr>
            <w:r>
              <w:rPr>
                <w:sz w:val="38"/>
              </w:rPr>
              <w:t>Fluorine</w:t>
            </w:r>
          </w:p>
        </w:tc>
        <w:tc>
          <w:tcPr>
            <w:tcW w:w="4606" w:type="dxa"/>
          </w:tcPr>
          <w:p>
            <w:pPr>
              <w:pStyle w:val="TableParagraph"/>
              <w:spacing w:before="116"/>
              <w:ind w:left="194" w:right="180"/>
              <w:jc w:val="center"/>
              <w:rPr>
                <w:sz w:val="38"/>
              </w:rPr>
            </w:pPr>
            <w:r>
              <w:rPr>
                <w:sz w:val="38"/>
              </w:rPr>
              <w:t>0.22</w:t>
            </w:r>
          </w:p>
        </w:tc>
      </w:tr>
      <w:tr>
        <w:trPr>
          <w:trHeight w:val="810" w:hRule="atLeast"/>
        </w:trPr>
        <w:tc>
          <w:tcPr>
            <w:tcW w:w="4606" w:type="dxa"/>
          </w:tcPr>
          <w:p>
            <w:pPr>
              <w:pStyle w:val="TableParagraph"/>
              <w:spacing w:before="114"/>
              <w:ind w:left="194" w:right="181"/>
              <w:jc w:val="center"/>
              <w:rPr>
                <w:sz w:val="38"/>
              </w:rPr>
            </w:pPr>
            <w:r>
              <w:rPr>
                <w:sz w:val="38"/>
              </w:rPr>
              <w:t>Iron</w:t>
            </w:r>
          </w:p>
        </w:tc>
        <w:tc>
          <w:tcPr>
            <w:tcW w:w="4606" w:type="dxa"/>
          </w:tcPr>
          <w:p>
            <w:pPr>
              <w:pStyle w:val="TableParagraph"/>
              <w:spacing w:before="114"/>
              <w:ind w:left="194" w:right="180"/>
              <w:jc w:val="center"/>
              <w:rPr>
                <w:sz w:val="38"/>
              </w:rPr>
            </w:pPr>
            <w:r>
              <w:rPr>
                <w:sz w:val="38"/>
              </w:rPr>
              <w:t>0.07</w:t>
            </w:r>
          </w:p>
        </w:tc>
      </w:tr>
      <w:tr>
        <w:trPr>
          <w:trHeight w:val="810" w:hRule="atLeast"/>
        </w:trPr>
        <w:tc>
          <w:tcPr>
            <w:tcW w:w="4606" w:type="dxa"/>
          </w:tcPr>
          <w:p>
            <w:pPr>
              <w:pStyle w:val="TableParagraph"/>
              <w:spacing w:before="114"/>
              <w:ind w:left="194" w:right="185"/>
              <w:jc w:val="center"/>
              <w:rPr>
                <w:sz w:val="38"/>
              </w:rPr>
            </w:pPr>
            <w:r>
              <w:rPr>
                <w:sz w:val="38"/>
              </w:rPr>
              <w:t>Copper</w:t>
            </w:r>
          </w:p>
        </w:tc>
        <w:tc>
          <w:tcPr>
            <w:tcW w:w="4606" w:type="dxa"/>
          </w:tcPr>
          <w:p>
            <w:pPr>
              <w:pStyle w:val="TableParagraph"/>
              <w:spacing w:before="114"/>
              <w:ind w:left="194" w:right="180"/>
              <w:jc w:val="center"/>
              <w:rPr>
                <w:sz w:val="38"/>
              </w:rPr>
            </w:pPr>
            <w:r>
              <w:rPr>
                <w:sz w:val="38"/>
              </w:rPr>
              <w:t>0.07</w:t>
            </w:r>
          </w:p>
        </w:tc>
      </w:tr>
      <w:tr>
        <w:trPr>
          <w:trHeight w:val="813" w:hRule="atLeast"/>
        </w:trPr>
        <w:tc>
          <w:tcPr>
            <w:tcW w:w="4606" w:type="dxa"/>
          </w:tcPr>
          <w:p>
            <w:pPr>
              <w:pStyle w:val="TableParagraph"/>
              <w:spacing w:before="116"/>
              <w:ind w:left="194" w:right="181"/>
              <w:jc w:val="center"/>
              <w:rPr>
                <w:sz w:val="38"/>
              </w:rPr>
            </w:pPr>
            <w:r>
              <w:rPr>
                <w:sz w:val="38"/>
              </w:rPr>
              <w:t>Zinc</w:t>
            </w:r>
          </w:p>
        </w:tc>
        <w:tc>
          <w:tcPr>
            <w:tcW w:w="4606" w:type="dxa"/>
          </w:tcPr>
          <w:p>
            <w:pPr>
              <w:pStyle w:val="TableParagraph"/>
              <w:spacing w:before="116"/>
              <w:ind w:left="194" w:right="180"/>
              <w:jc w:val="center"/>
              <w:rPr>
                <w:sz w:val="38"/>
              </w:rPr>
            </w:pPr>
            <w:r>
              <w:rPr>
                <w:sz w:val="38"/>
              </w:rPr>
              <w:t>0.04</w:t>
            </w:r>
          </w:p>
        </w:tc>
      </w:tr>
      <w:tr>
        <w:trPr>
          <w:trHeight w:val="811" w:hRule="atLeast"/>
        </w:trPr>
        <w:tc>
          <w:tcPr>
            <w:tcW w:w="4606" w:type="dxa"/>
          </w:tcPr>
          <w:p>
            <w:pPr>
              <w:pStyle w:val="TableParagraph"/>
              <w:spacing w:before="114"/>
              <w:ind w:left="194" w:right="183"/>
              <w:jc w:val="center"/>
              <w:rPr>
                <w:sz w:val="38"/>
              </w:rPr>
            </w:pPr>
            <w:r>
              <w:rPr>
                <w:sz w:val="38"/>
              </w:rPr>
              <w:t>Manganese</w:t>
            </w:r>
          </w:p>
        </w:tc>
        <w:tc>
          <w:tcPr>
            <w:tcW w:w="4606" w:type="dxa"/>
          </w:tcPr>
          <w:p>
            <w:pPr>
              <w:pStyle w:val="TableParagraph"/>
              <w:spacing w:before="114"/>
              <w:ind w:left="194" w:right="180"/>
              <w:jc w:val="center"/>
              <w:rPr>
                <w:sz w:val="38"/>
              </w:rPr>
            </w:pPr>
            <w:r>
              <w:rPr>
                <w:sz w:val="38"/>
              </w:rPr>
              <w:t>0.04</w:t>
            </w:r>
          </w:p>
        </w:tc>
      </w:tr>
    </w:tbl>
    <w:p>
      <w:pPr>
        <w:pStyle w:val="BodyText"/>
        <w:spacing w:before="11"/>
        <w:rPr>
          <w:sz w:val="11"/>
        </w:rPr>
      </w:pPr>
    </w:p>
    <w:p>
      <w:pPr>
        <w:pStyle w:val="BodyText"/>
        <w:spacing w:before="99"/>
        <w:ind w:left="616"/>
      </w:pPr>
      <w:r>
        <w:rPr/>
        <w:t>In addition, 99 aroma oils could be identified in rooibos.</w:t>
      </w:r>
    </w:p>
    <w:p>
      <w:pPr>
        <w:pStyle w:val="Heading1"/>
        <w:spacing w:before="285"/>
        <w:ind w:left="616"/>
      </w:pPr>
      <w:r>
        <w:rPr/>
        <w:t>Rooibos without caffeine and with little tannin – the special feature</w:t>
      </w:r>
    </w:p>
    <w:p>
      <w:pPr>
        <w:pStyle w:val="BodyText"/>
        <w:spacing w:line="276" w:lineRule="auto" w:before="299"/>
        <w:ind w:left="616" w:right="132"/>
        <w:jc w:val="both"/>
      </w:pPr>
      <w:r>
        <w:rPr/>
        <w:t>In contrast to all other types of tea, rooibos tea is characterised by a total lack of caffeine and also contains only traces of tannin. Next to the already-men- tioned benefits which allow one to drink redbush tea around the clock, even by the litre—and this by every group of person, from infants to seniors—, there are benefits which arise from cutting out the negative effect of caffein- ated drinks:</w:t>
      </w:r>
    </w:p>
    <w:p>
      <w:pPr>
        <w:pStyle w:val="Heading1"/>
        <w:spacing w:before="223"/>
        <w:ind w:left="616"/>
      </w:pPr>
      <w:r>
        <w:rPr/>
        <w:t>Disadvantages of caffeinated drinks:</w:t>
      </w:r>
    </w:p>
    <w:p>
      <w:pPr>
        <w:pStyle w:val="ListParagraph"/>
        <w:numPr>
          <w:ilvl w:val="0"/>
          <w:numId w:val="104"/>
        </w:numPr>
        <w:tabs>
          <w:tab w:pos="1177" w:val="left" w:leader="none"/>
          <w:tab w:pos="1179" w:val="left" w:leader="none"/>
        </w:tabs>
        <w:spacing w:line="273" w:lineRule="auto" w:before="260" w:after="0"/>
        <w:ind w:left="1178" w:right="131" w:hanging="360"/>
        <w:jc w:val="left"/>
        <w:rPr>
          <w:sz w:val="38"/>
        </w:rPr>
      </w:pPr>
      <w:r>
        <w:rPr>
          <w:sz w:val="38"/>
        </w:rPr>
        <w:t>Dehydration risk. In the heat, caffeinated drinks can cause the body to</w:t>
      </w:r>
      <w:r>
        <w:rPr>
          <w:spacing w:val="-68"/>
          <w:sz w:val="38"/>
        </w:rPr>
        <w:t> </w:t>
      </w:r>
      <w:r>
        <w:rPr>
          <w:sz w:val="38"/>
        </w:rPr>
        <w:t>dry out with results ranging from exhaustion to circulatory</w:t>
      </w:r>
      <w:r>
        <w:rPr>
          <w:spacing w:val="-7"/>
          <w:sz w:val="38"/>
        </w:rPr>
        <w:t> </w:t>
      </w:r>
      <w:r>
        <w:rPr>
          <w:sz w:val="38"/>
        </w:rPr>
        <w:t>collapse.</w:t>
      </w:r>
    </w:p>
    <w:p>
      <w:pPr>
        <w:pStyle w:val="ListParagraph"/>
        <w:numPr>
          <w:ilvl w:val="0"/>
          <w:numId w:val="104"/>
        </w:numPr>
        <w:tabs>
          <w:tab w:pos="1177" w:val="left" w:leader="none"/>
          <w:tab w:pos="1179" w:val="left" w:leader="none"/>
        </w:tabs>
        <w:spacing w:line="273" w:lineRule="auto" w:before="128" w:after="0"/>
        <w:ind w:left="1178" w:right="137" w:hanging="360"/>
        <w:jc w:val="left"/>
        <w:rPr>
          <w:sz w:val="38"/>
        </w:rPr>
      </w:pPr>
      <w:r>
        <w:rPr>
          <w:sz w:val="38"/>
        </w:rPr>
        <w:t>With</w:t>
      </w:r>
      <w:r>
        <w:rPr>
          <w:spacing w:val="-15"/>
          <w:sz w:val="38"/>
        </w:rPr>
        <w:t> </w:t>
      </w:r>
      <w:r>
        <w:rPr>
          <w:sz w:val="38"/>
        </w:rPr>
        <w:t>strong</w:t>
      </w:r>
      <w:r>
        <w:rPr>
          <w:spacing w:val="-14"/>
          <w:sz w:val="38"/>
        </w:rPr>
        <w:t> </w:t>
      </w:r>
      <w:r>
        <w:rPr>
          <w:sz w:val="38"/>
        </w:rPr>
        <w:t>coffee</w:t>
      </w:r>
      <w:r>
        <w:rPr>
          <w:spacing w:val="-14"/>
          <w:sz w:val="38"/>
        </w:rPr>
        <w:t> </w:t>
      </w:r>
      <w:r>
        <w:rPr>
          <w:sz w:val="38"/>
        </w:rPr>
        <w:t>drinks,</w:t>
      </w:r>
      <w:r>
        <w:rPr>
          <w:spacing w:val="-13"/>
          <w:sz w:val="38"/>
        </w:rPr>
        <w:t> </w:t>
      </w:r>
      <w:r>
        <w:rPr>
          <w:sz w:val="38"/>
        </w:rPr>
        <w:t>the</w:t>
      </w:r>
      <w:r>
        <w:rPr>
          <w:spacing w:val="-13"/>
          <w:sz w:val="38"/>
        </w:rPr>
        <w:t> </w:t>
      </w:r>
      <w:r>
        <w:rPr>
          <w:sz w:val="38"/>
        </w:rPr>
        <w:t>risk</w:t>
      </w:r>
      <w:r>
        <w:rPr>
          <w:spacing w:val="-16"/>
          <w:sz w:val="38"/>
        </w:rPr>
        <w:t> </w:t>
      </w:r>
      <w:r>
        <w:rPr>
          <w:sz w:val="38"/>
        </w:rPr>
        <w:t>of</w:t>
      </w:r>
      <w:r>
        <w:rPr>
          <w:spacing w:val="-14"/>
          <w:sz w:val="38"/>
        </w:rPr>
        <w:t> </w:t>
      </w:r>
      <w:r>
        <w:rPr>
          <w:sz w:val="38"/>
        </w:rPr>
        <w:t>addiction</w:t>
      </w:r>
      <w:r>
        <w:rPr>
          <w:spacing w:val="-11"/>
          <w:sz w:val="38"/>
        </w:rPr>
        <w:t> </w:t>
      </w:r>
      <w:r>
        <w:rPr>
          <w:sz w:val="38"/>
        </w:rPr>
        <w:t>with</w:t>
      </w:r>
      <w:r>
        <w:rPr>
          <w:spacing w:val="-13"/>
          <w:sz w:val="38"/>
        </w:rPr>
        <w:t> </w:t>
      </w:r>
      <w:r>
        <w:rPr>
          <w:sz w:val="38"/>
        </w:rPr>
        <w:t>withdrawal</w:t>
      </w:r>
      <w:r>
        <w:rPr>
          <w:spacing w:val="-15"/>
          <w:sz w:val="38"/>
        </w:rPr>
        <w:t> </w:t>
      </w:r>
      <w:r>
        <w:rPr>
          <w:sz w:val="38"/>
        </w:rPr>
        <w:t>symptoms increases.</w:t>
      </w:r>
    </w:p>
    <w:p>
      <w:pPr>
        <w:spacing w:after="0" w:line="273" w:lineRule="auto"/>
        <w:jc w:val="left"/>
        <w:rPr>
          <w:sz w:val="38"/>
        </w:rPr>
        <w:sectPr>
          <w:pgSz w:w="14270" w:h="16850"/>
          <w:pgMar w:header="0" w:footer="1891" w:top="1420" w:bottom="2080" w:left="800" w:right="1280"/>
        </w:sectPr>
      </w:pPr>
    </w:p>
    <w:p>
      <w:pPr>
        <w:pStyle w:val="ListParagraph"/>
        <w:numPr>
          <w:ilvl w:val="0"/>
          <w:numId w:val="104"/>
        </w:numPr>
        <w:tabs>
          <w:tab w:pos="1177" w:val="left" w:leader="none"/>
          <w:tab w:pos="1179" w:val="left" w:leader="none"/>
        </w:tabs>
        <w:spacing w:line="240" w:lineRule="auto" w:before="53" w:after="0"/>
        <w:ind w:left="1178" w:right="0" w:hanging="360"/>
        <w:jc w:val="left"/>
        <w:rPr>
          <w:sz w:val="38"/>
        </w:rPr>
      </w:pPr>
      <w:r>
        <w:rPr>
          <w:sz w:val="38"/>
        </w:rPr>
        <w:t>Insomnia can develop, especially in children.</w:t>
      </w:r>
    </w:p>
    <w:p>
      <w:pPr>
        <w:pStyle w:val="ListParagraph"/>
        <w:numPr>
          <w:ilvl w:val="0"/>
          <w:numId w:val="104"/>
        </w:numPr>
        <w:tabs>
          <w:tab w:pos="1177" w:val="left" w:leader="none"/>
          <w:tab w:pos="1179" w:val="left" w:leader="none"/>
        </w:tabs>
        <w:spacing w:line="240" w:lineRule="auto" w:before="186" w:after="0"/>
        <w:ind w:left="1178" w:right="0" w:hanging="360"/>
        <w:jc w:val="left"/>
        <w:rPr>
          <w:sz w:val="38"/>
        </w:rPr>
      </w:pPr>
      <w:r>
        <w:rPr>
          <w:sz w:val="38"/>
        </w:rPr>
        <w:t>Caffeine carries the risk of high blood</w:t>
      </w:r>
      <w:r>
        <w:rPr>
          <w:spacing w:val="-1"/>
          <w:sz w:val="38"/>
        </w:rPr>
        <w:t> </w:t>
      </w:r>
      <w:r>
        <w:rPr>
          <w:sz w:val="38"/>
        </w:rPr>
        <w:t>pressure.</w:t>
      </w:r>
    </w:p>
    <w:p>
      <w:pPr>
        <w:pStyle w:val="ListParagraph"/>
        <w:numPr>
          <w:ilvl w:val="0"/>
          <w:numId w:val="104"/>
        </w:numPr>
        <w:tabs>
          <w:tab w:pos="1177" w:val="left" w:leader="none"/>
          <w:tab w:pos="1179" w:val="left" w:leader="none"/>
        </w:tabs>
        <w:spacing w:line="273" w:lineRule="auto" w:before="184" w:after="0"/>
        <w:ind w:left="1178" w:right="137" w:hanging="360"/>
        <w:jc w:val="left"/>
        <w:rPr>
          <w:sz w:val="38"/>
        </w:rPr>
      </w:pPr>
      <w:r>
        <w:rPr>
          <w:sz w:val="38"/>
        </w:rPr>
        <w:t>The</w:t>
      </w:r>
      <w:r>
        <w:rPr>
          <w:spacing w:val="-9"/>
          <w:sz w:val="38"/>
        </w:rPr>
        <w:t> </w:t>
      </w:r>
      <w:r>
        <w:rPr>
          <w:sz w:val="38"/>
        </w:rPr>
        <w:t>mineral</w:t>
      </w:r>
      <w:r>
        <w:rPr>
          <w:spacing w:val="-10"/>
          <w:sz w:val="38"/>
        </w:rPr>
        <w:t> </w:t>
      </w:r>
      <w:r>
        <w:rPr>
          <w:sz w:val="38"/>
        </w:rPr>
        <w:t>metabolism</w:t>
      </w:r>
      <w:r>
        <w:rPr>
          <w:spacing w:val="-9"/>
          <w:sz w:val="38"/>
        </w:rPr>
        <w:t> </w:t>
      </w:r>
      <w:r>
        <w:rPr>
          <w:sz w:val="38"/>
        </w:rPr>
        <w:t>of</w:t>
      </w:r>
      <w:r>
        <w:rPr>
          <w:spacing w:val="-9"/>
          <w:sz w:val="38"/>
        </w:rPr>
        <w:t> </w:t>
      </w:r>
      <w:r>
        <w:rPr>
          <w:sz w:val="38"/>
        </w:rPr>
        <w:t>the</w:t>
      </w:r>
      <w:r>
        <w:rPr>
          <w:spacing w:val="-7"/>
          <w:sz w:val="38"/>
        </w:rPr>
        <w:t> </w:t>
      </w:r>
      <w:r>
        <w:rPr>
          <w:sz w:val="38"/>
        </w:rPr>
        <w:t>bones</w:t>
      </w:r>
      <w:r>
        <w:rPr>
          <w:spacing w:val="-8"/>
          <w:sz w:val="38"/>
        </w:rPr>
        <w:t> </w:t>
      </w:r>
      <w:r>
        <w:rPr>
          <w:sz w:val="38"/>
        </w:rPr>
        <w:t>can</w:t>
      </w:r>
      <w:r>
        <w:rPr>
          <w:spacing w:val="-8"/>
          <w:sz w:val="38"/>
        </w:rPr>
        <w:t> </w:t>
      </w:r>
      <w:r>
        <w:rPr>
          <w:sz w:val="38"/>
        </w:rPr>
        <w:t>be</w:t>
      </w:r>
      <w:r>
        <w:rPr>
          <w:spacing w:val="-9"/>
          <w:sz w:val="38"/>
        </w:rPr>
        <w:t> </w:t>
      </w:r>
      <w:r>
        <w:rPr>
          <w:sz w:val="38"/>
        </w:rPr>
        <w:t>disrupted</w:t>
      </w:r>
      <w:r>
        <w:rPr>
          <w:spacing w:val="-9"/>
          <w:sz w:val="38"/>
        </w:rPr>
        <w:t> </w:t>
      </w:r>
      <w:r>
        <w:rPr>
          <w:sz w:val="38"/>
        </w:rPr>
        <w:t>(the</w:t>
      </w:r>
      <w:r>
        <w:rPr>
          <w:spacing w:val="-8"/>
          <w:sz w:val="38"/>
        </w:rPr>
        <w:t> </w:t>
      </w:r>
      <w:r>
        <w:rPr>
          <w:sz w:val="38"/>
        </w:rPr>
        <w:t>balance</w:t>
      </w:r>
      <w:r>
        <w:rPr>
          <w:spacing w:val="-9"/>
          <w:sz w:val="38"/>
        </w:rPr>
        <w:t> </w:t>
      </w:r>
      <w:r>
        <w:rPr>
          <w:sz w:val="38"/>
        </w:rPr>
        <w:t>of</w:t>
      </w:r>
      <w:r>
        <w:rPr>
          <w:spacing w:val="-9"/>
          <w:sz w:val="38"/>
        </w:rPr>
        <w:t> </w:t>
      </w:r>
      <w:r>
        <w:rPr>
          <w:sz w:val="38"/>
        </w:rPr>
        <w:t>cal- cium and phosphorus becomes</w:t>
      </w:r>
      <w:r>
        <w:rPr>
          <w:spacing w:val="-4"/>
          <w:sz w:val="38"/>
        </w:rPr>
        <w:t> </w:t>
      </w:r>
      <w:r>
        <w:rPr>
          <w:sz w:val="38"/>
        </w:rPr>
        <w:t>disturbed).</w:t>
      </w:r>
    </w:p>
    <w:p>
      <w:pPr>
        <w:pStyle w:val="ListParagraph"/>
        <w:numPr>
          <w:ilvl w:val="0"/>
          <w:numId w:val="104"/>
        </w:numPr>
        <w:tabs>
          <w:tab w:pos="1177" w:val="left" w:leader="none"/>
          <w:tab w:pos="1179" w:val="left" w:leader="none"/>
        </w:tabs>
        <w:spacing w:line="240" w:lineRule="auto" w:before="127" w:after="0"/>
        <w:ind w:left="1178" w:right="0" w:hanging="360"/>
        <w:jc w:val="left"/>
        <w:rPr>
          <w:sz w:val="38"/>
        </w:rPr>
      </w:pPr>
      <w:r>
        <w:rPr>
          <w:sz w:val="38"/>
        </w:rPr>
        <w:t>Migraine attacks could</w:t>
      </w:r>
      <w:r>
        <w:rPr>
          <w:spacing w:val="2"/>
          <w:sz w:val="38"/>
        </w:rPr>
        <w:t> </w:t>
      </w:r>
      <w:r>
        <w:rPr>
          <w:sz w:val="38"/>
        </w:rPr>
        <w:t>occur.</w:t>
      </w:r>
    </w:p>
    <w:p>
      <w:pPr>
        <w:pStyle w:val="ListParagraph"/>
        <w:numPr>
          <w:ilvl w:val="0"/>
          <w:numId w:val="104"/>
        </w:numPr>
        <w:tabs>
          <w:tab w:pos="1177" w:val="left" w:leader="none"/>
          <w:tab w:pos="1179" w:val="left" w:leader="none"/>
        </w:tabs>
        <w:spacing w:line="240" w:lineRule="auto" w:before="184" w:after="0"/>
        <w:ind w:left="1178" w:right="0" w:hanging="360"/>
        <w:jc w:val="left"/>
        <w:rPr>
          <w:sz w:val="38"/>
        </w:rPr>
      </w:pPr>
      <w:r>
        <w:rPr>
          <w:sz w:val="38"/>
        </w:rPr>
        <w:t>The whole body in general can become</w:t>
      </w:r>
      <w:r>
        <w:rPr>
          <w:spacing w:val="-2"/>
          <w:sz w:val="38"/>
        </w:rPr>
        <w:t> </w:t>
      </w:r>
      <w:r>
        <w:rPr>
          <w:sz w:val="38"/>
        </w:rPr>
        <w:t>acidified.</w:t>
      </w:r>
    </w:p>
    <w:p>
      <w:pPr>
        <w:pStyle w:val="ListParagraph"/>
        <w:numPr>
          <w:ilvl w:val="0"/>
          <w:numId w:val="104"/>
        </w:numPr>
        <w:tabs>
          <w:tab w:pos="1177" w:val="left" w:leader="none"/>
          <w:tab w:pos="1179" w:val="left" w:leader="none"/>
        </w:tabs>
        <w:spacing w:line="273" w:lineRule="auto" w:before="184" w:after="0"/>
        <w:ind w:left="1178" w:right="130" w:hanging="360"/>
        <w:jc w:val="left"/>
        <w:rPr>
          <w:sz w:val="38"/>
        </w:rPr>
      </w:pPr>
      <w:r>
        <w:rPr>
          <w:sz w:val="38"/>
        </w:rPr>
        <w:t>Existing</w:t>
      </w:r>
      <w:r>
        <w:rPr>
          <w:spacing w:val="-8"/>
          <w:sz w:val="38"/>
        </w:rPr>
        <w:t> </w:t>
      </w:r>
      <w:r>
        <w:rPr>
          <w:sz w:val="38"/>
        </w:rPr>
        <w:t>stomach</w:t>
      </w:r>
      <w:r>
        <w:rPr>
          <w:spacing w:val="-7"/>
          <w:sz w:val="38"/>
        </w:rPr>
        <w:t> </w:t>
      </w:r>
      <w:r>
        <w:rPr>
          <w:sz w:val="38"/>
        </w:rPr>
        <w:t>ulcers</w:t>
      </w:r>
      <w:r>
        <w:rPr>
          <w:spacing w:val="-9"/>
          <w:sz w:val="38"/>
        </w:rPr>
        <w:t> </w:t>
      </w:r>
      <w:r>
        <w:rPr>
          <w:sz w:val="38"/>
        </w:rPr>
        <w:t>and</w:t>
      </w:r>
      <w:r>
        <w:rPr>
          <w:spacing w:val="-8"/>
          <w:sz w:val="38"/>
        </w:rPr>
        <w:t> </w:t>
      </w:r>
      <w:r>
        <w:rPr>
          <w:sz w:val="38"/>
        </w:rPr>
        <w:t>gastritis</w:t>
      </w:r>
      <w:r>
        <w:rPr>
          <w:spacing w:val="-4"/>
          <w:sz w:val="38"/>
        </w:rPr>
        <w:t> </w:t>
      </w:r>
      <w:r>
        <w:rPr>
          <w:sz w:val="38"/>
        </w:rPr>
        <w:t>can</w:t>
      </w:r>
      <w:r>
        <w:rPr>
          <w:spacing w:val="-8"/>
          <w:sz w:val="38"/>
        </w:rPr>
        <w:t> </w:t>
      </w:r>
      <w:r>
        <w:rPr>
          <w:sz w:val="38"/>
        </w:rPr>
        <w:t>be</w:t>
      </w:r>
      <w:r>
        <w:rPr>
          <w:spacing w:val="-9"/>
          <w:sz w:val="38"/>
        </w:rPr>
        <w:t> </w:t>
      </w:r>
      <w:r>
        <w:rPr>
          <w:sz w:val="38"/>
        </w:rPr>
        <w:t>worsened</w:t>
      </w:r>
      <w:r>
        <w:rPr>
          <w:spacing w:val="-6"/>
          <w:sz w:val="38"/>
        </w:rPr>
        <w:t> </w:t>
      </w:r>
      <w:r>
        <w:rPr>
          <w:sz w:val="38"/>
        </w:rPr>
        <w:t>by</w:t>
      </w:r>
      <w:r>
        <w:rPr>
          <w:spacing w:val="-9"/>
          <w:sz w:val="38"/>
        </w:rPr>
        <w:t> </w:t>
      </w:r>
      <w:r>
        <w:rPr>
          <w:sz w:val="38"/>
        </w:rPr>
        <w:t>the</w:t>
      </w:r>
      <w:r>
        <w:rPr>
          <w:spacing w:val="-8"/>
          <w:sz w:val="38"/>
        </w:rPr>
        <w:t> </w:t>
      </w:r>
      <w:r>
        <w:rPr>
          <w:sz w:val="38"/>
        </w:rPr>
        <w:t>acids</w:t>
      </w:r>
      <w:r>
        <w:rPr>
          <w:spacing w:val="-8"/>
          <w:sz w:val="38"/>
        </w:rPr>
        <w:t> </w:t>
      </w:r>
      <w:r>
        <w:rPr>
          <w:sz w:val="38"/>
        </w:rPr>
        <w:t>that</w:t>
      </w:r>
      <w:r>
        <w:rPr>
          <w:spacing w:val="-10"/>
          <w:sz w:val="38"/>
        </w:rPr>
        <w:t> </w:t>
      </w:r>
      <w:r>
        <w:rPr>
          <w:sz w:val="38"/>
        </w:rPr>
        <w:t>are created.</w:t>
      </w:r>
    </w:p>
    <w:p>
      <w:pPr>
        <w:pStyle w:val="Heading1"/>
        <w:spacing w:before="231"/>
        <w:ind w:left="616"/>
      </w:pPr>
      <w:r>
        <w:rPr/>
        <w:t>The polyphenols contained in redbush</w:t>
      </w:r>
      <w:r>
        <w:rPr>
          <w:spacing w:val="-58"/>
        </w:rPr>
        <w:t> </w:t>
      </w:r>
      <w:r>
        <w:rPr/>
        <w:t>tea</w:t>
      </w:r>
    </w:p>
    <w:p>
      <w:pPr>
        <w:pStyle w:val="BodyText"/>
        <w:spacing w:line="276" w:lineRule="auto" w:before="299"/>
        <w:ind w:left="616" w:right="132"/>
        <w:jc w:val="both"/>
      </w:pPr>
      <w:r>
        <w:rPr/>
        <w:t>Especially</w:t>
      </w:r>
      <w:r>
        <w:rPr>
          <w:spacing w:val="-25"/>
        </w:rPr>
        <w:t> </w:t>
      </w:r>
      <w:r>
        <w:rPr/>
        <w:t>recently,</w:t>
      </w:r>
      <w:r>
        <w:rPr>
          <w:spacing w:val="-24"/>
        </w:rPr>
        <w:t> </w:t>
      </w:r>
      <w:r>
        <w:rPr/>
        <w:t>polyphenols</w:t>
      </w:r>
      <w:r>
        <w:rPr>
          <w:spacing w:val="-27"/>
        </w:rPr>
        <w:t> </w:t>
      </w:r>
      <w:r>
        <w:rPr/>
        <w:t>have</w:t>
      </w:r>
      <w:r>
        <w:rPr>
          <w:spacing w:val="-26"/>
        </w:rPr>
        <w:t> </w:t>
      </w:r>
      <w:r>
        <w:rPr/>
        <w:t>enjoyed</w:t>
      </w:r>
      <w:r>
        <w:rPr>
          <w:spacing w:val="-24"/>
        </w:rPr>
        <w:t> </w:t>
      </w:r>
      <w:r>
        <w:rPr/>
        <w:t>a</w:t>
      </w:r>
      <w:r>
        <w:rPr>
          <w:spacing w:val="-26"/>
        </w:rPr>
        <w:t> </w:t>
      </w:r>
      <w:r>
        <w:rPr/>
        <w:t>great</w:t>
      </w:r>
      <w:r>
        <w:rPr>
          <w:spacing w:val="-26"/>
        </w:rPr>
        <w:t> </w:t>
      </w:r>
      <w:r>
        <w:rPr/>
        <w:t>amount</w:t>
      </w:r>
      <w:r>
        <w:rPr>
          <w:spacing w:val="-26"/>
        </w:rPr>
        <w:t> </w:t>
      </w:r>
      <w:r>
        <w:rPr/>
        <w:t>of</w:t>
      </w:r>
      <w:r>
        <w:rPr>
          <w:spacing w:val="-24"/>
        </w:rPr>
        <w:t> </w:t>
      </w:r>
      <w:r>
        <w:rPr/>
        <w:t>attention</w:t>
      </w:r>
      <w:r>
        <w:rPr>
          <w:spacing w:val="-23"/>
        </w:rPr>
        <w:t> </w:t>
      </w:r>
      <w:r>
        <w:rPr/>
        <w:t>from researchers,</w:t>
      </w:r>
      <w:r>
        <w:rPr>
          <w:spacing w:val="-19"/>
        </w:rPr>
        <w:t> </w:t>
      </w:r>
      <w:r>
        <w:rPr/>
        <w:t>as</w:t>
      </w:r>
      <w:r>
        <w:rPr>
          <w:spacing w:val="-19"/>
        </w:rPr>
        <w:t> </w:t>
      </w:r>
      <w:r>
        <w:rPr/>
        <w:t>they</w:t>
      </w:r>
      <w:r>
        <w:rPr>
          <w:spacing w:val="-17"/>
        </w:rPr>
        <w:t> </w:t>
      </w:r>
      <w:r>
        <w:rPr/>
        <w:t>can</w:t>
      </w:r>
      <w:r>
        <w:rPr>
          <w:spacing w:val="-18"/>
        </w:rPr>
        <w:t> </w:t>
      </w:r>
      <w:r>
        <w:rPr/>
        <w:t>be</w:t>
      </w:r>
      <w:r>
        <w:rPr>
          <w:spacing w:val="-17"/>
        </w:rPr>
        <w:t> </w:t>
      </w:r>
      <w:r>
        <w:rPr/>
        <w:t>of</w:t>
      </w:r>
      <w:r>
        <w:rPr>
          <w:spacing w:val="-19"/>
        </w:rPr>
        <w:t> </w:t>
      </w:r>
      <w:r>
        <w:rPr/>
        <w:t>excellent</w:t>
      </w:r>
      <w:r>
        <w:rPr>
          <w:spacing w:val="-18"/>
        </w:rPr>
        <w:t> </w:t>
      </w:r>
      <w:r>
        <w:rPr/>
        <w:t>service</w:t>
      </w:r>
      <w:r>
        <w:rPr>
          <w:spacing w:val="-17"/>
        </w:rPr>
        <w:t> </w:t>
      </w:r>
      <w:r>
        <w:rPr/>
        <w:t>preventatively</w:t>
      </w:r>
      <w:r>
        <w:rPr>
          <w:spacing w:val="-19"/>
        </w:rPr>
        <w:t> </w:t>
      </w:r>
      <w:r>
        <w:rPr/>
        <w:t>and</w:t>
      </w:r>
      <w:r>
        <w:rPr>
          <w:spacing w:val="-16"/>
        </w:rPr>
        <w:t> </w:t>
      </w:r>
      <w:r>
        <w:rPr/>
        <w:t>curatively</w:t>
      </w:r>
      <w:r>
        <w:rPr>
          <w:spacing w:val="-17"/>
        </w:rPr>
        <w:t> </w:t>
      </w:r>
      <w:r>
        <w:rPr/>
        <w:t>for the</w:t>
      </w:r>
      <w:r>
        <w:rPr>
          <w:spacing w:val="-19"/>
        </w:rPr>
        <w:t> </w:t>
      </w:r>
      <w:r>
        <w:rPr/>
        <w:t>‘scourges</w:t>
      </w:r>
      <w:r>
        <w:rPr>
          <w:spacing w:val="-18"/>
        </w:rPr>
        <w:t> </w:t>
      </w:r>
      <w:r>
        <w:rPr/>
        <w:t>of</w:t>
      </w:r>
      <w:r>
        <w:rPr>
          <w:spacing w:val="-20"/>
        </w:rPr>
        <w:t> </w:t>
      </w:r>
      <w:r>
        <w:rPr/>
        <w:t>modern</w:t>
      </w:r>
      <w:r>
        <w:rPr>
          <w:spacing w:val="-18"/>
        </w:rPr>
        <w:t> </w:t>
      </w:r>
      <w:r>
        <w:rPr/>
        <w:t>humanity’</w:t>
      </w:r>
      <w:r>
        <w:rPr>
          <w:spacing w:val="-17"/>
        </w:rPr>
        <w:t> </w:t>
      </w:r>
      <w:r>
        <w:rPr/>
        <w:t>like</w:t>
      </w:r>
      <w:r>
        <w:rPr>
          <w:spacing w:val="-20"/>
        </w:rPr>
        <w:t> </w:t>
      </w:r>
      <w:r>
        <w:rPr/>
        <w:t>cancer,</w:t>
      </w:r>
      <w:r>
        <w:rPr>
          <w:spacing w:val="-18"/>
        </w:rPr>
        <w:t> </w:t>
      </w:r>
      <w:r>
        <w:rPr/>
        <w:t>cardiovascular</w:t>
      </w:r>
      <w:r>
        <w:rPr>
          <w:spacing w:val="-18"/>
        </w:rPr>
        <w:t> </w:t>
      </w:r>
      <w:r>
        <w:rPr/>
        <w:t>disease,</w:t>
      </w:r>
      <w:r>
        <w:rPr>
          <w:spacing w:val="-18"/>
        </w:rPr>
        <w:t> </w:t>
      </w:r>
      <w:r>
        <w:rPr/>
        <w:t>arthritis, diabetes and other</w:t>
      </w:r>
      <w:r>
        <w:rPr>
          <w:spacing w:val="3"/>
        </w:rPr>
        <w:t> </w:t>
      </w:r>
      <w:r>
        <w:rPr/>
        <w:t>illnesses.</w:t>
      </w:r>
    </w:p>
    <w:p>
      <w:pPr>
        <w:pStyle w:val="BodyText"/>
        <w:spacing w:before="239"/>
        <w:ind w:left="616"/>
        <w:jc w:val="both"/>
      </w:pPr>
      <w:r>
        <w:rPr/>
        <w:t>Among the polyphenols contained in rooibos tea are:</w:t>
      </w:r>
    </w:p>
    <w:p>
      <w:pPr>
        <w:pStyle w:val="ListParagraph"/>
        <w:numPr>
          <w:ilvl w:val="0"/>
          <w:numId w:val="91"/>
        </w:numPr>
        <w:tabs>
          <w:tab w:pos="1222" w:val="left" w:leader="none"/>
        </w:tabs>
        <w:spacing w:line="240" w:lineRule="auto" w:before="266" w:after="0"/>
        <w:ind w:left="1221" w:right="0" w:hanging="605"/>
        <w:jc w:val="both"/>
        <w:rPr>
          <w:sz w:val="38"/>
        </w:rPr>
      </w:pPr>
      <w:r>
        <w:rPr>
          <w:sz w:val="38"/>
        </w:rPr>
        <w:t>Flavonoids</w:t>
      </w:r>
    </w:p>
    <w:p>
      <w:pPr>
        <w:pStyle w:val="ListParagraph"/>
        <w:numPr>
          <w:ilvl w:val="0"/>
          <w:numId w:val="91"/>
        </w:numPr>
        <w:tabs>
          <w:tab w:pos="1222" w:val="left" w:leader="none"/>
        </w:tabs>
        <w:spacing w:line="240" w:lineRule="auto" w:before="183" w:after="0"/>
        <w:ind w:left="1221" w:right="0" w:hanging="605"/>
        <w:jc w:val="both"/>
        <w:rPr>
          <w:sz w:val="38"/>
        </w:rPr>
      </w:pPr>
      <w:r>
        <w:rPr>
          <w:sz w:val="38"/>
        </w:rPr>
        <w:t>Flavanols</w:t>
      </w:r>
    </w:p>
    <w:p>
      <w:pPr>
        <w:pStyle w:val="ListParagraph"/>
        <w:numPr>
          <w:ilvl w:val="0"/>
          <w:numId w:val="91"/>
        </w:numPr>
        <w:tabs>
          <w:tab w:pos="1222" w:val="left" w:leader="none"/>
        </w:tabs>
        <w:spacing w:line="240" w:lineRule="auto" w:before="184" w:after="0"/>
        <w:ind w:left="1221" w:right="0" w:hanging="605"/>
        <w:jc w:val="both"/>
        <w:rPr>
          <w:sz w:val="38"/>
        </w:rPr>
      </w:pPr>
      <w:r>
        <w:rPr>
          <w:sz w:val="38"/>
        </w:rPr>
        <w:t>Flavons</w:t>
      </w:r>
    </w:p>
    <w:p>
      <w:pPr>
        <w:pStyle w:val="ListParagraph"/>
        <w:numPr>
          <w:ilvl w:val="0"/>
          <w:numId w:val="91"/>
        </w:numPr>
        <w:tabs>
          <w:tab w:pos="1222" w:val="left" w:leader="none"/>
        </w:tabs>
        <w:spacing w:line="240" w:lineRule="auto" w:before="184" w:after="0"/>
        <w:ind w:left="1221" w:right="0" w:hanging="605"/>
        <w:jc w:val="both"/>
        <w:rPr>
          <w:sz w:val="38"/>
        </w:rPr>
      </w:pPr>
      <w:r>
        <w:rPr>
          <w:sz w:val="38"/>
        </w:rPr>
        <w:t>Flavanons</w:t>
      </w:r>
    </w:p>
    <w:p>
      <w:pPr>
        <w:pStyle w:val="ListParagraph"/>
        <w:numPr>
          <w:ilvl w:val="0"/>
          <w:numId w:val="91"/>
        </w:numPr>
        <w:tabs>
          <w:tab w:pos="1222" w:val="left" w:leader="none"/>
        </w:tabs>
        <w:spacing w:line="240" w:lineRule="auto" w:before="186" w:after="0"/>
        <w:ind w:left="1221" w:right="0" w:hanging="605"/>
        <w:jc w:val="both"/>
        <w:rPr>
          <w:sz w:val="38"/>
        </w:rPr>
      </w:pPr>
      <w:r>
        <w:rPr>
          <w:sz w:val="38"/>
        </w:rPr>
        <w:t>Anthocyane</w:t>
      </w:r>
    </w:p>
    <w:p>
      <w:pPr>
        <w:spacing w:after="0" w:line="240" w:lineRule="auto"/>
        <w:jc w:val="both"/>
        <w:rPr>
          <w:sz w:val="38"/>
        </w:rPr>
        <w:sectPr>
          <w:pgSz w:w="14270" w:h="16850"/>
          <w:pgMar w:header="0" w:footer="1891" w:top="1360" w:bottom="2080" w:left="800" w:right="1280"/>
        </w:sectPr>
      </w:pPr>
    </w:p>
    <w:p>
      <w:pPr>
        <w:pStyle w:val="ListParagraph"/>
        <w:numPr>
          <w:ilvl w:val="0"/>
          <w:numId w:val="91"/>
        </w:numPr>
        <w:tabs>
          <w:tab w:pos="1221" w:val="left" w:leader="none"/>
          <w:tab w:pos="1222" w:val="left" w:leader="none"/>
        </w:tabs>
        <w:spacing w:line="240" w:lineRule="auto" w:before="53" w:after="0"/>
        <w:ind w:left="1221" w:right="0" w:hanging="605"/>
        <w:jc w:val="left"/>
        <w:rPr>
          <w:sz w:val="38"/>
        </w:rPr>
      </w:pPr>
      <w:r>
        <w:rPr>
          <w:sz w:val="38"/>
        </w:rPr>
        <w:t>Hydroxybenzoic</w:t>
      </w:r>
      <w:r>
        <w:rPr>
          <w:spacing w:val="-2"/>
          <w:sz w:val="38"/>
        </w:rPr>
        <w:t> </w:t>
      </w:r>
      <w:r>
        <w:rPr>
          <w:sz w:val="38"/>
        </w:rPr>
        <w:t>acid</w:t>
      </w:r>
    </w:p>
    <w:p>
      <w:pPr>
        <w:pStyle w:val="ListParagraph"/>
        <w:numPr>
          <w:ilvl w:val="0"/>
          <w:numId w:val="91"/>
        </w:numPr>
        <w:tabs>
          <w:tab w:pos="1221" w:val="left" w:leader="none"/>
          <w:tab w:pos="1222" w:val="left" w:leader="none"/>
        </w:tabs>
        <w:spacing w:line="240" w:lineRule="auto" w:before="186" w:after="0"/>
        <w:ind w:left="1221" w:right="0" w:hanging="605"/>
        <w:jc w:val="left"/>
        <w:rPr>
          <w:sz w:val="38"/>
        </w:rPr>
      </w:pPr>
      <w:r>
        <w:rPr>
          <w:sz w:val="38"/>
        </w:rPr>
        <w:t>Hydroxycinnamic</w:t>
      </w:r>
      <w:r>
        <w:rPr>
          <w:spacing w:val="-2"/>
          <w:sz w:val="38"/>
        </w:rPr>
        <w:t> </w:t>
      </w:r>
      <w:r>
        <w:rPr>
          <w:sz w:val="38"/>
        </w:rPr>
        <w:t>acid</w:t>
      </w:r>
    </w:p>
    <w:p>
      <w:pPr>
        <w:pStyle w:val="BodyText"/>
        <w:spacing w:before="184"/>
        <w:ind w:left="616"/>
        <w:rPr>
          <w:rFonts w:ascii="Times New Roman"/>
        </w:rPr>
      </w:pPr>
      <w:r>
        <w:rPr>
          <w:rFonts w:ascii="Times New Roman"/>
          <w:w w:val="99"/>
        </w:rPr>
        <w:t>-</w:t>
      </w:r>
    </w:p>
    <w:p>
      <w:pPr>
        <w:pStyle w:val="Heading1"/>
        <w:spacing w:before="206"/>
        <w:ind w:left="616"/>
      </w:pPr>
      <w:r>
        <w:rPr>
          <w:rFonts w:ascii="Times New Roman"/>
          <w:b w:val="0"/>
          <w:i w:val="0"/>
          <w:sz w:val="38"/>
        </w:rPr>
        <w:t>-</w:t>
      </w:r>
      <w:r>
        <w:rPr/>
        <w:t>Antioxidants in redbush tea</w:t>
      </w:r>
    </w:p>
    <w:p>
      <w:pPr>
        <w:pStyle w:val="BodyText"/>
        <w:spacing w:line="278" w:lineRule="auto" w:before="297"/>
        <w:ind w:left="616"/>
      </w:pPr>
      <w:r>
        <w:rPr/>
        <w:t>The</w:t>
      </w:r>
      <w:r>
        <w:rPr>
          <w:spacing w:val="-22"/>
        </w:rPr>
        <w:t> </w:t>
      </w:r>
      <w:r>
        <w:rPr/>
        <w:t>antioxidants</w:t>
      </w:r>
      <w:r>
        <w:rPr>
          <w:spacing w:val="-21"/>
        </w:rPr>
        <w:t> </w:t>
      </w:r>
      <w:r>
        <w:rPr/>
        <w:t>(radical</w:t>
      </w:r>
      <w:r>
        <w:rPr>
          <w:spacing w:val="-22"/>
        </w:rPr>
        <w:t> </w:t>
      </w:r>
      <w:r>
        <w:rPr/>
        <w:t>catchers)</w:t>
      </w:r>
      <w:r>
        <w:rPr>
          <w:spacing w:val="-22"/>
        </w:rPr>
        <w:t> </w:t>
      </w:r>
      <w:r>
        <w:rPr/>
        <w:t>in</w:t>
      </w:r>
      <w:r>
        <w:rPr>
          <w:spacing w:val="-21"/>
        </w:rPr>
        <w:t> </w:t>
      </w:r>
      <w:r>
        <w:rPr/>
        <w:t>redbush</w:t>
      </w:r>
      <w:r>
        <w:rPr>
          <w:spacing w:val="-20"/>
        </w:rPr>
        <w:t> </w:t>
      </w:r>
      <w:r>
        <w:rPr/>
        <w:t>tea,</w:t>
      </w:r>
      <w:r>
        <w:rPr>
          <w:spacing w:val="-21"/>
        </w:rPr>
        <w:t> </w:t>
      </w:r>
      <w:r>
        <w:rPr/>
        <w:t>which</w:t>
      </w:r>
      <w:r>
        <w:rPr>
          <w:spacing w:val="-20"/>
        </w:rPr>
        <w:t> </w:t>
      </w:r>
      <w:r>
        <w:rPr/>
        <w:t>protect</w:t>
      </w:r>
      <w:r>
        <w:rPr>
          <w:spacing w:val="-22"/>
        </w:rPr>
        <w:t> </w:t>
      </w:r>
      <w:r>
        <w:rPr/>
        <w:t>our</w:t>
      </w:r>
      <w:r>
        <w:rPr>
          <w:spacing w:val="-21"/>
        </w:rPr>
        <w:t> </w:t>
      </w:r>
      <w:r>
        <w:rPr/>
        <w:t>cells</w:t>
      </w:r>
      <w:r>
        <w:rPr>
          <w:spacing w:val="-21"/>
        </w:rPr>
        <w:t> </w:t>
      </w:r>
      <w:r>
        <w:rPr/>
        <w:t>every single second from numerous attacks by free radicals,</w:t>
      </w:r>
      <w:r>
        <w:rPr>
          <w:spacing w:val="-2"/>
        </w:rPr>
        <w:t> </w:t>
      </w:r>
      <w:r>
        <w:rPr/>
        <w:t>are:</w:t>
      </w:r>
    </w:p>
    <w:p>
      <w:pPr>
        <w:pStyle w:val="ListParagraph"/>
        <w:numPr>
          <w:ilvl w:val="0"/>
          <w:numId w:val="91"/>
        </w:numPr>
        <w:tabs>
          <w:tab w:pos="1653" w:val="left" w:leader="none"/>
          <w:tab w:pos="1654" w:val="left" w:leader="none"/>
        </w:tabs>
        <w:spacing w:line="240" w:lineRule="auto" w:before="194" w:after="0"/>
        <w:ind w:left="1653" w:right="0" w:hanging="1037"/>
        <w:jc w:val="left"/>
        <w:rPr>
          <w:sz w:val="38"/>
        </w:rPr>
      </w:pPr>
      <w:r>
        <w:rPr>
          <w:sz w:val="38"/>
        </w:rPr>
        <w:t>Vitamin</w:t>
      </w:r>
      <w:r>
        <w:rPr>
          <w:spacing w:val="-1"/>
          <w:sz w:val="38"/>
        </w:rPr>
        <w:t> </w:t>
      </w:r>
      <w:r>
        <w:rPr>
          <w:sz w:val="38"/>
        </w:rPr>
        <w:t>C</w:t>
      </w:r>
    </w:p>
    <w:p>
      <w:pPr>
        <w:pStyle w:val="ListParagraph"/>
        <w:numPr>
          <w:ilvl w:val="0"/>
          <w:numId w:val="91"/>
        </w:numPr>
        <w:tabs>
          <w:tab w:pos="1653" w:val="left" w:leader="none"/>
          <w:tab w:pos="1654" w:val="left" w:leader="none"/>
        </w:tabs>
        <w:spacing w:line="240" w:lineRule="auto" w:before="183" w:after="0"/>
        <w:ind w:left="1653" w:right="0" w:hanging="1037"/>
        <w:jc w:val="left"/>
        <w:rPr>
          <w:sz w:val="38"/>
        </w:rPr>
      </w:pPr>
      <w:r>
        <w:rPr>
          <w:sz w:val="38"/>
        </w:rPr>
        <w:t>Rutin</w:t>
      </w:r>
    </w:p>
    <w:p>
      <w:pPr>
        <w:pStyle w:val="ListParagraph"/>
        <w:numPr>
          <w:ilvl w:val="0"/>
          <w:numId w:val="91"/>
        </w:numPr>
        <w:tabs>
          <w:tab w:pos="1653" w:val="left" w:leader="none"/>
          <w:tab w:pos="1654" w:val="left" w:leader="none"/>
        </w:tabs>
        <w:spacing w:line="240" w:lineRule="auto" w:before="184" w:after="0"/>
        <w:ind w:left="1653" w:right="0" w:hanging="1037"/>
        <w:jc w:val="left"/>
        <w:rPr>
          <w:sz w:val="38"/>
        </w:rPr>
      </w:pPr>
      <w:r>
        <w:rPr>
          <w:sz w:val="38"/>
        </w:rPr>
        <w:t>Flavons</w:t>
      </w:r>
    </w:p>
    <w:p>
      <w:pPr>
        <w:pStyle w:val="ListParagraph"/>
        <w:numPr>
          <w:ilvl w:val="0"/>
          <w:numId w:val="91"/>
        </w:numPr>
        <w:tabs>
          <w:tab w:pos="1653" w:val="left" w:leader="none"/>
          <w:tab w:pos="1654" w:val="left" w:leader="none"/>
        </w:tabs>
        <w:spacing w:line="240" w:lineRule="auto" w:before="186" w:after="0"/>
        <w:ind w:left="1653" w:right="0" w:hanging="1037"/>
        <w:jc w:val="left"/>
        <w:rPr>
          <w:sz w:val="38"/>
        </w:rPr>
      </w:pPr>
      <w:r>
        <w:rPr>
          <w:sz w:val="38"/>
        </w:rPr>
        <w:t>Flavonoids</w:t>
      </w:r>
    </w:p>
    <w:p>
      <w:pPr>
        <w:pStyle w:val="ListParagraph"/>
        <w:numPr>
          <w:ilvl w:val="0"/>
          <w:numId w:val="91"/>
        </w:numPr>
        <w:tabs>
          <w:tab w:pos="1653" w:val="left" w:leader="none"/>
          <w:tab w:pos="1654" w:val="left" w:leader="none"/>
        </w:tabs>
        <w:spacing w:line="240" w:lineRule="auto" w:before="183" w:after="0"/>
        <w:ind w:left="1653" w:right="0" w:hanging="1037"/>
        <w:jc w:val="left"/>
        <w:rPr>
          <w:sz w:val="38"/>
        </w:rPr>
      </w:pPr>
      <w:r>
        <w:rPr>
          <w:sz w:val="38"/>
        </w:rPr>
        <w:t>Nothofagin</w:t>
      </w:r>
    </w:p>
    <w:p>
      <w:pPr>
        <w:pStyle w:val="ListParagraph"/>
        <w:numPr>
          <w:ilvl w:val="0"/>
          <w:numId w:val="91"/>
        </w:numPr>
        <w:tabs>
          <w:tab w:pos="1653" w:val="left" w:leader="none"/>
          <w:tab w:pos="1654" w:val="left" w:leader="none"/>
        </w:tabs>
        <w:spacing w:line="240" w:lineRule="auto" w:before="185" w:after="0"/>
        <w:ind w:left="1653" w:right="0" w:hanging="1037"/>
        <w:jc w:val="left"/>
        <w:rPr>
          <w:sz w:val="38"/>
        </w:rPr>
      </w:pPr>
      <w:r>
        <w:rPr>
          <w:sz w:val="38"/>
        </w:rPr>
        <w:t>Luteolin</w:t>
      </w:r>
    </w:p>
    <w:p>
      <w:pPr>
        <w:pStyle w:val="ListParagraph"/>
        <w:numPr>
          <w:ilvl w:val="0"/>
          <w:numId w:val="91"/>
        </w:numPr>
        <w:tabs>
          <w:tab w:pos="1653" w:val="left" w:leader="none"/>
          <w:tab w:pos="1654" w:val="left" w:leader="none"/>
        </w:tabs>
        <w:spacing w:line="240" w:lineRule="auto" w:before="183" w:after="0"/>
        <w:ind w:left="1653" w:right="0" w:hanging="1037"/>
        <w:jc w:val="left"/>
        <w:rPr>
          <w:sz w:val="38"/>
        </w:rPr>
      </w:pPr>
      <w:r>
        <w:rPr>
          <w:sz w:val="38"/>
        </w:rPr>
        <w:t>Quercetin</w:t>
      </w:r>
    </w:p>
    <w:p>
      <w:pPr>
        <w:pStyle w:val="ListParagraph"/>
        <w:numPr>
          <w:ilvl w:val="0"/>
          <w:numId w:val="91"/>
        </w:numPr>
        <w:tabs>
          <w:tab w:pos="1653" w:val="left" w:leader="none"/>
          <w:tab w:pos="1654" w:val="left" w:leader="none"/>
        </w:tabs>
        <w:spacing w:line="240" w:lineRule="auto" w:before="184" w:after="0"/>
        <w:ind w:left="1653" w:right="0" w:hanging="1037"/>
        <w:jc w:val="left"/>
        <w:rPr>
          <w:sz w:val="38"/>
        </w:rPr>
      </w:pPr>
      <w:r>
        <w:rPr>
          <w:sz w:val="38"/>
        </w:rPr>
        <w:t>Orientin</w:t>
      </w:r>
    </w:p>
    <w:p>
      <w:pPr>
        <w:pStyle w:val="ListParagraph"/>
        <w:numPr>
          <w:ilvl w:val="0"/>
          <w:numId w:val="91"/>
        </w:numPr>
        <w:tabs>
          <w:tab w:pos="1653" w:val="left" w:leader="none"/>
          <w:tab w:pos="1654" w:val="left" w:leader="none"/>
        </w:tabs>
        <w:spacing w:line="240" w:lineRule="auto" w:before="186" w:after="0"/>
        <w:ind w:left="1653" w:right="0" w:hanging="1037"/>
        <w:jc w:val="left"/>
        <w:rPr>
          <w:sz w:val="38"/>
        </w:rPr>
      </w:pPr>
      <w:r>
        <w:rPr>
          <w:sz w:val="38"/>
        </w:rPr>
        <w:t>Isorientin</w:t>
      </w:r>
    </w:p>
    <w:p>
      <w:pPr>
        <w:spacing w:after="0" w:line="240" w:lineRule="auto"/>
        <w:jc w:val="left"/>
        <w:rPr>
          <w:sz w:val="38"/>
        </w:rPr>
        <w:sectPr>
          <w:pgSz w:w="14270" w:h="16850"/>
          <w:pgMar w:header="0" w:footer="1891" w:top="1360" w:bottom="2080" w:left="800" w:right="1280"/>
        </w:sectPr>
      </w:pPr>
    </w:p>
    <w:p>
      <w:pPr>
        <w:pStyle w:val="Heading2"/>
        <w:spacing w:before="74"/>
        <w:ind w:left="616"/>
      </w:pPr>
      <w:r>
        <w:rPr/>
        <w:t>Active ingredients in redbush tea</w:t>
      </w:r>
    </w:p>
    <w:p>
      <w:pPr>
        <w:spacing w:line="388" w:lineRule="auto" w:before="287"/>
        <w:ind w:left="616" w:right="7929" w:firstLine="0"/>
        <w:jc w:val="left"/>
        <w:rPr>
          <w:b/>
          <w:i/>
          <w:sz w:val="40"/>
        </w:rPr>
      </w:pPr>
      <w:r>
        <w:rPr>
          <w:b/>
          <w:i/>
          <w:sz w:val="40"/>
        </w:rPr>
        <w:t>Effects</w:t>
      </w:r>
      <w:r>
        <w:rPr>
          <w:b/>
          <w:i/>
          <w:spacing w:val="-63"/>
          <w:sz w:val="40"/>
        </w:rPr>
        <w:t> </w:t>
      </w:r>
      <w:r>
        <w:rPr>
          <w:b/>
          <w:i/>
          <w:sz w:val="40"/>
        </w:rPr>
        <w:t>of</w:t>
      </w:r>
      <w:r>
        <w:rPr>
          <w:b/>
          <w:i/>
          <w:spacing w:val="-63"/>
          <w:sz w:val="40"/>
        </w:rPr>
        <w:t> </w:t>
      </w:r>
      <w:r>
        <w:rPr>
          <w:b/>
          <w:i/>
          <w:sz w:val="40"/>
        </w:rPr>
        <w:t>the</w:t>
      </w:r>
      <w:r>
        <w:rPr>
          <w:b/>
          <w:i/>
          <w:spacing w:val="-62"/>
          <w:sz w:val="40"/>
        </w:rPr>
        <w:t> </w:t>
      </w:r>
      <w:r>
        <w:rPr>
          <w:b/>
          <w:i/>
          <w:sz w:val="40"/>
        </w:rPr>
        <w:t>minerals Iron in redbush</w:t>
      </w:r>
      <w:r>
        <w:rPr>
          <w:b/>
          <w:i/>
          <w:spacing w:val="-69"/>
          <w:sz w:val="40"/>
        </w:rPr>
        <w:t> </w:t>
      </w:r>
      <w:r>
        <w:rPr>
          <w:b/>
          <w:i/>
          <w:sz w:val="40"/>
        </w:rPr>
        <w:t>tea</w:t>
      </w:r>
    </w:p>
    <w:p>
      <w:pPr>
        <w:pStyle w:val="BodyText"/>
        <w:spacing w:line="276" w:lineRule="auto" w:before="21"/>
        <w:ind w:left="616" w:right="137"/>
        <w:jc w:val="both"/>
      </w:pPr>
      <w:r>
        <w:rPr/>
        <w:t>Iron is vitally important for the transport of oxygen in the blood. Anaemia (pathological blood deficiency) is usually attributable to a lack of iron, which should be considered very significant as about 5 % of all People in industrial- ized countries suffer from an iron deficiency!</w:t>
      </w:r>
    </w:p>
    <w:p>
      <w:pPr>
        <w:pStyle w:val="BodyText"/>
        <w:spacing w:line="276" w:lineRule="auto" w:before="242"/>
        <w:ind w:left="616" w:right="138"/>
        <w:jc w:val="both"/>
      </w:pPr>
      <w:r>
        <w:rPr/>
        <w:t>Via the synergy of vitamin C and copper, the iron also contained in redbush tea is optimally absorbed; the absence of taurine (in contrast to green or black tea) additionally facilitates the absorption of iron via the redbush tea.</w:t>
      </w:r>
    </w:p>
    <w:p>
      <w:pPr>
        <w:pStyle w:val="BodyText"/>
        <w:spacing w:line="278" w:lineRule="auto" w:before="239"/>
        <w:ind w:left="616"/>
      </w:pPr>
      <w:r>
        <w:rPr/>
        <w:t>Apart from athletes, pregnant persons and nursing infants have an especially high iron requirement. In this case, redbush tea can be of very good service.</w:t>
      </w:r>
    </w:p>
    <w:p>
      <w:pPr>
        <w:pStyle w:val="Heading1"/>
        <w:spacing w:before="215"/>
        <w:ind w:left="616"/>
      </w:pPr>
      <w:r>
        <w:rPr/>
        <w:t>Natural fluoride in rooibos rea</w:t>
      </w:r>
    </w:p>
    <w:p>
      <w:pPr>
        <w:pStyle w:val="BodyText"/>
        <w:spacing w:line="276" w:lineRule="auto" w:before="300"/>
        <w:ind w:left="616"/>
      </w:pPr>
      <w:r>
        <w:rPr/>
        <w:t>A diet containing fluoride plays an important role in bone and tooth metabo- lism, as fluoride can counteract the emergence of caries.</w:t>
      </w:r>
    </w:p>
    <w:p>
      <w:pPr>
        <w:pStyle w:val="Heading1"/>
        <w:spacing w:before="221"/>
        <w:ind w:left="616"/>
        <w:jc w:val="both"/>
      </w:pPr>
      <w:r>
        <w:rPr/>
        <w:t>Calcium-magnesium synergy</w:t>
      </w:r>
    </w:p>
    <w:p>
      <w:pPr>
        <w:pStyle w:val="BodyText"/>
        <w:spacing w:before="299"/>
        <w:ind w:left="616"/>
        <w:jc w:val="both"/>
      </w:pPr>
      <w:r>
        <w:rPr/>
        <w:t>Both calcium and magnesium are required in bone and tooth metabolism.</w:t>
      </w:r>
    </w:p>
    <w:p>
      <w:pPr>
        <w:pStyle w:val="Heading1"/>
        <w:spacing w:before="288"/>
        <w:ind w:left="616"/>
        <w:jc w:val="both"/>
      </w:pPr>
      <w:r>
        <w:rPr/>
        <w:t>Sodium-potassium synergy</w:t>
      </w:r>
    </w:p>
    <w:p>
      <w:pPr>
        <w:pStyle w:val="BodyText"/>
        <w:spacing w:before="299"/>
        <w:ind w:left="616"/>
        <w:jc w:val="both"/>
      </w:pPr>
      <w:r>
        <w:rPr/>
        <w:t>The human body, as is well known, consists of 50-80 % water, depending on</w:t>
      </w:r>
    </w:p>
    <w:p>
      <w:pPr>
        <w:spacing w:after="0"/>
        <w:jc w:val="both"/>
        <w:sectPr>
          <w:pgSz w:w="14270" w:h="16850"/>
          <w:pgMar w:header="0" w:footer="1891" w:top="1340" w:bottom="2080" w:left="800" w:right="1280"/>
        </w:sectPr>
      </w:pPr>
    </w:p>
    <w:p>
      <w:pPr>
        <w:pStyle w:val="BodyText"/>
        <w:spacing w:line="276" w:lineRule="auto" w:before="72"/>
        <w:ind w:left="616" w:right="136"/>
        <w:jc w:val="both"/>
      </w:pPr>
      <w:r>
        <w:rPr/>
        <w:t>age. An optimal ratio of the minerals ‘sodium’ and ‘potassium’ plays a major part</w:t>
      </w:r>
      <w:r>
        <w:rPr>
          <w:spacing w:val="-13"/>
        </w:rPr>
        <w:t> </w:t>
      </w:r>
      <w:r>
        <w:rPr/>
        <w:t>in</w:t>
      </w:r>
      <w:r>
        <w:rPr>
          <w:spacing w:val="-12"/>
        </w:rPr>
        <w:t> </w:t>
      </w:r>
      <w:r>
        <w:rPr/>
        <w:t>the</w:t>
      </w:r>
      <w:r>
        <w:rPr>
          <w:spacing w:val="-11"/>
        </w:rPr>
        <w:t> </w:t>
      </w:r>
      <w:r>
        <w:rPr/>
        <w:t>regulation</w:t>
      </w:r>
      <w:r>
        <w:rPr>
          <w:spacing w:val="-11"/>
        </w:rPr>
        <w:t> </w:t>
      </w:r>
      <w:r>
        <w:rPr/>
        <w:t>of</w:t>
      </w:r>
      <w:r>
        <w:rPr>
          <w:spacing w:val="-11"/>
        </w:rPr>
        <w:t> </w:t>
      </w:r>
      <w:r>
        <w:rPr/>
        <w:t>our</w:t>
      </w:r>
      <w:r>
        <w:rPr>
          <w:spacing w:val="-11"/>
        </w:rPr>
        <w:t> </w:t>
      </w:r>
      <w:r>
        <w:rPr/>
        <w:t>water</w:t>
      </w:r>
      <w:r>
        <w:rPr>
          <w:spacing w:val="-12"/>
        </w:rPr>
        <w:t> </w:t>
      </w:r>
      <w:r>
        <w:rPr/>
        <w:t>balance</w:t>
      </w:r>
      <w:r>
        <w:rPr>
          <w:spacing w:val="-11"/>
        </w:rPr>
        <w:t> </w:t>
      </w:r>
      <w:r>
        <w:rPr/>
        <w:t>via</w:t>
      </w:r>
      <w:r>
        <w:rPr>
          <w:spacing w:val="-13"/>
        </w:rPr>
        <w:t> </w:t>
      </w:r>
      <w:r>
        <w:rPr/>
        <w:t>the</w:t>
      </w:r>
      <w:r>
        <w:rPr>
          <w:spacing w:val="-11"/>
        </w:rPr>
        <w:t> </w:t>
      </w:r>
      <w:r>
        <w:rPr/>
        <w:t>so-called</w:t>
      </w:r>
      <w:r>
        <w:rPr>
          <w:spacing w:val="-12"/>
        </w:rPr>
        <w:t> </w:t>
      </w:r>
      <w:r>
        <w:rPr/>
        <w:t>‘sodium-potassium pump’. The optimal content of sodium in the right ratio can keep our water system</w:t>
      </w:r>
      <w:r>
        <w:rPr>
          <w:spacing w:val="-28"/>
        </w:rPr>
        <w:t> </w:t>
      </w:r>
      <w:r>
        <w:rPr/>
        <w:t>in</w:t>
      </w:r>
      <w:r>
        <w:rPr>
          <w:spacing w:val="-27"/>
        </w:rPr>
        <w:t> </w:t>
      </w:r>
      <w:r>
        <w:rPr/>
        <w:t>balance</w:t>
      </w:r>
      <w:r>
        <w:rPr>
          <w:spacing w:val="-28"/>
        </w:rPr>
        <w:t> </w:t>
      </w:r>
      <w:r>
        <w:rPr/>
        <w:t>and</w:t>
      </w:r>
      <w:r>
        <w:rPr>
          <w:spacing w:val="-27"/>
        </w:rPr>
        <w:t> </w:t>
      </w:r>
      <w:r>
        <w:rPr/>
        <w:t>prevent</w:t>
      </w:r>
      <w:r>
        <w:rPr>
          <w:spacing w:val="-27"/>
        </w:rPr>
        <w:t> </w:t>
      </w:r>
      <w:r>
        <w:rPr/>
        <w:t>numerous</w:t>
      </w:r>
      <w:r>
        <w:rPr>
          <w:spacing w:val="-28"/>
        </w:rPr>
        <w:t> </w:t>
      </w:r>
      <w:r>
        <w:rPr/>
        <w:t>health</w:t>
      </w:r>
      <w:r>
        <w:rPr>
          <w:spacing w:val="-28"/>
        </w:rPr>
        <w:t> </w:t>
      </w:r>
      <w:r>
        <w:rPr/>
        <w:t>problems</w:t>
      </w:r>
      <w:r>
        <w:rPr>
          <w:spacing w:val="-26"/>
        </w:rPr>
        <w:t> </w:t>
      </w:r>
      <w:r>
        <w:rPr/>
        <w:t>(e.g.</w:t>
      </w:r>
      <w:r>
        <w:rPr>
          <w:spacing w:val="-28"/>
        </w:rPr>
        <w:t> </w:t>
      </w:r>
      <w:r>
        <w:rPr/>
        <w:t>high</w:t>
      </w:r>
      <w:r>
        <w:rPr>
          <w:spacing w:val="-26"/>
        </w:rPr>
        <w:t> </w:t>
      </w:r>
      <w:r>
        <w:rPr/>
        <w:t>blood</w:t>
      </w:r>
      <w:r>
        <w:rPr>
          <w:spacing w:val="-27"/>
        </w:rPr>
        <w:t> </w:t>
      </w:r>
      <w:r>
        <w:rPr/>
        <w:t>pres- sure, which is often caused by too much salt and thus</w:t>
      </w:r>
      <w:r>
        <w:rPr>
          <w:spacing w:val="-1"/>
        </w:rPr>
        <w:t> </w:t>
      </w:r>
      <w:r>
        <w:rPr/>
        <w:t>sodium).</w:t>
      </w:r>
    </w:p>
    <w:p>
      <w:pPr>
        <w:pStyle w:val="Heading1"/>
        <w:ind w:left="616"/>
      </w:pPr>
      <w:r>
        <w:rPr/>
        <w:t>Zinc in redbush</w:t>
      </w:r>
    </w:p>
    <w:p>
      <w:pPr>
        <w:pStyle w:val="BodyText"/>
        <w:spacing w:line="276" w:lineRule="auto" w:before="300"/>
        <w:ind w:left="616" w:right="144"/>
        <w:jc w:val="both"/>
      </w:pPr>
      <w:r>
        <w:rPr/>
        <w:t>Zinc is responsible for numerous growth processes, including for health skin and hair.</w:t>
      </w:r>
    </w:p>
    <w:p>
      <w:pPr>
        <w:pStyle w:val="Heading1"/>
        <w:ind w:left="616"/>
      </w:pPr>
      <w:r>
        <w:rPr/>
        <w:t>Essential oils in rooibos tea</w:t>
      </w:r>
    </w:p>
    <w:p>
      <w:pPr>
        <w:pStyle w:val="BodyText"/>
        <w:spacing w:line="276" w:lineRule="auto" w:before="297"/>
        <w:ind w:left="616" w:right="138"/>
        <w:jc w:val="both"/>
      </w:pPr>
      <w:r>
        <w:rPr/>
        <w:t>The essential oils in rooibos tea express themselves not only aromatically but also have a thoroughly disinfecting, anti-inflammatory, appetite-stimulating and antispasmodic effect.</w:t>
      </w:r>
    </w:p>
    <w:p>
      <w:pPr>
        <w:pStyle w:val="Heading1"/>
        <w:ind w:left="616"/>
      </w:pPr>
      <w:r>
        <w:rPr/>
        <w:t>Effect of the polyphenols in rooibos</w:t>
      </w:r>
      <w:r>
        <w:rPr>
          <w:spacing w:val="-64"/>
        </w:rPr>
        <w:t> </w:t>
      </w:r>
      <w:r>
        <w:rPr/>
        <w:t>tea</w:t>
      </w:r>
    </w:p>
    <w:p>
      <w:pPr>
        <w:pStyle w:val="BodyText"/>
        <w:spacing w:line="276" w:lineRule="auto" w:before="299"/>
        <w:ind w:left="616" w:right="132"/>
        <w:jc w:val="both"/>
      </w:pPr>
      <w:r>
        <w:rPr/>
        <w:t>The flavonoid ‘rutin’, often also referred to as ‘vitamin P’, is basically a strong antioxidant which repels the attacks of free radicals in the form of damaging oxygen bonds. Because free radicals can be considered directly or indirectly responsible for countless diseases, including circulatory diseases, cancer,</w:t>
      </w:r>
      <w:r>
        <w:rPr>
          <w:spacing w:val="-47"/>
        </w:rPr>
        <w:t> </w:t>
      </w:r>
      <w:r>
        <w:rPr/>
        <w:t>rheu- matism (e.g. arthritis) and many others, rutin can comprehensively and effec- tively counteract these. Rutin additionally proves to be very helpful in the</w:t>
      </w:r>
      <w:r>
        <w:rPr>
          <w:spacing w:val="-59"/>
        </w:rPr>
        <w:t> </w:t>
      </w:r>
      <w:r>
        <w:rPr/>
        <w:t>pre- vention and treatment of all circulatory diseases, in that in ensures that the blood</w:t>
      </w:r>
      <w:r>
        <w:rPr>
          <w:spacing w:val="-8"/>
        </w:rPr>
        <w:t> </w:t>
      </w:r>
      <w:r>
        <w:rPr/>
        <w:t>vessels</w:t>
      </w:r>
      <w:r>
        <w:rPr>
          <w:spacing w:val="-6"/>
        </w:rPr>
        <w:t> </w:t>
      </w:r>
      <w:r>
        <w:rPr/>
        <w:t>remain</w:t>
      </w:r>
      <w:r>
        <w:rPr>
          <w:spacing w:val="-7"/>
        </w:rPr>
        <w:t> </w:t>
      </w:r>
      <w:r>
        <w:rPr/>
        <w:t>or</w:t>
      </w:r>
      <w:r>
        <w:rPr>
          <w:spacing w:val="-6"/>
        </w:rPr>
        <w:t> </w:t>
      </w:r>
      <w:r>
        <w:rPr/>
        <w:t>return</w:t>
      </w:r>
      <w:r>
        <w:rPr>
          <w:spacing w:val="-6"/>
        </w:rPr>
        <w:t> </w:t>
      </w:r>
      <w:r>
        <w:rPr/>
        <w:t>to</w:t>
      </w:r>
      <w:r>
        <w:rPr>
          <w:spacing w:val="-6"/>
        </w:rPr>
        <w:t> </w:t>
      </w:r>
      <w:r>
        <w:rPr/>
        <w:t>being</w:t>
      </w:r>
      <w:r>
        <w:rPr>
          <w:spacing w:val="-7"/>
        </w:rPr>
        <w:t> </w:t>
      </w:r>
      <w:r>
        <w:rPr/>
        <w:t>elastic</w:t>
      </w:r>
      <w:r>
        <w:rPr>
          <w:spacing w:val="-7"/>
        </w:rPr>
        <w:t> </w:t>
      </w:r>
      <w:r>
        <w:rPr/>
        <w:t>and</w:t>
      </w:r>
      <w:r>
        <w:rPr>
          <w:spacing w:val="-7"/>
        </w:rPr>
        <w:t> </w:t>
      </w:r>
      <w:r>
        <w:rPr/>
        <w:t>permeable.</w:t>
      </w:r>
      <w:r>
        <w:rPr>
          <w:spacing w:val="-5"/>
        </w:rPr>
        <w:t> </w:t>
      </w:r>
      <w:r>
        <w:rPr/>
        <w:t>In</w:t>
      </w:r>
      <w:r>
        <w:rPr>
          <w:spacing w:val="-7"/>
        </w:rPr>
        <w:t> </w:t>
      </w:r>
      <w:r>
        <w:rPr/>
        <w:t>combination</w:t>
      </w:r>
    </w:p>
    <w:p>
      <w:pPr>
        <w:spacing w:after="0" w:line="276" w:lineRule="auto"/>
        <w:jc w:val="both"/>
        <w:sectPr>
          <w:footerReference w:type="default" r:id="rId336"/>
          <w:pgSz w:w="14270" w:h="16850"/>
          <w:pgMar w:footer="1891" w:header="0" w:top="1340" w:bottom="2080" w:left="800" w:right="1280"/>
          <w:pgNumType w:start="1380"/>
        </w:sectPr>
      </w:pPr>
    </w:p>
    <w:p>
      <w:pPr>
        <w:pStyle w:val="BodyText"/>
        <w:spacing w:line="278" w:lineRule="auto" w:before="72"/>
        <w:ind w:left="616" w:right="139"/>
        <w:jc w:val="both"/>
      </w:pPr>
      <w:r>
        <w:rPr/>
        <w:t>with the abundance of vitamin C in rooibos tea, there is a very potent synergy here!</w:t>
      </w:r>
    </w:p>
    <w:p>
      <w:pPr>
        <w:pStyle w:val="Heading1"/>
        <w:spacing w:before="215"/>
        <w:ind w:left="616"/>
      </w:pPr>
      <w:r>
        <w:rPr/>
        <w:t>Luteolin</w:t>
      </w:r>
    </w:p>
    <w:p>
      <w:pPr>
        <w:pStyle w:val="BodyText"/>
        <w:spacing w:line="276" w:lineRule="auto" w:before="299"/>
        <w:ind w:left="616" w:right="136"/>
        <w:jc w:val="both"/>
      </w:pPr>
      <w:r>
        <w:rPr/>
        <w:t>Alongside its antispasmodic effect and its effect against free radicals, luteolin has also demonstrated a cancer-inhibiting effect against colon cancer cells</w:t>
      </w:r>
      <w:r>
        <w:rPr>
          <w:spacing w:val="-48"/>
        </w:rPr>
        <w:t> </w:t>
      </w:r>
      <w:r>
        <w:rPr/>
        <w:t>and thyroid cancer cells in the</w:t>
      </w:r>
      <w:r>
        <w:rPr>
          <w:spacing w:val="4"/>
        </w:rPr>
        <w:t> </w:t>
      </w:r>
      <w:r>
        <w:rPr/>
        <w:t>laboratory.</w:t>
      </w:r>
    </w:p>
    <w:p>
      <w:pPr>
        <w:pStyle w:val="Heading1"/>
        <w:ind w:left="616"/>
      </w:pPr>
      <w:r>
        <w:rPr/>
        <w:t>Orientin</w:t>
      </w:r>
    </w:p>
    <w:p>
      <w:pPr>
        <w:pStyle w:val="BodyText"/>
        <w:spacing w:line="276" w:lineRule="auto" w:before="300"/>
        <w:ind w:left="616" w:right="138"/>
        <w:jc w:val="both"/>
      </w:pPr>
      <w:r>
        <w:rPr/>
        <w:t>Orientin is a flavone glycoside and has demonstrated both antioxidative and anti-radiation effects in studies—and thus a comprehensive defence for our cells.</w:t>
      </w:r>
    </w:p>
    <w:p>
      <w:pPr>
        <w:pStyle w:val="Heading1"/>
        <w:spacing w:before="221"/>
        <w:ind w:left="616"/>
      </w:pPr>
      <w:r>
        <w:rPr/>
        <w:t>Quercetin and quercitrine in redbush</w:t>
      </w:r>
      <w:r>
        <w:rPr>
          <w:spacing w:val="-56"/>
        </w:rPr>
        <w:t> </w:t>
      </w:r>
      <w:r>
        <w:rPr/>
        <w:t>tea</w:t>
      </w:r>
    </w:p>
    <w:p>
      <w:pPr>
        <w:pStyle w:val="BodyText"/>
        <w:spacing w:line="276" w:lineRule="auto" w:before="299"/>
        <w:ind w:left="616" w:right="133"/>
        <w:jc w:val="both"/>
      </w:pPr>
      <w:r>
        <w:rPr/>
        <w:t>The flavonoids ‘quercetin’ and ‘quercitrine’ counteract diabetes by lowering blood sugar levels. They synergise with rutin and luteolin.</w:t>
      </w:r>
      <w:r>
        <w:rPr>
          <w:position w:val="9"/>
          <w:sz w:val="25"/>
        </w:rPr>
        <w:t>803 </w:t>
      </w:r>
      <w:r>
        <w:rPr/>
        <w:t>Quercetin and quercitrine also suppress the enzyme ‘monoamine oxidase’ which in turn sup- presses the release of serotonin, which is commonly known as the ‘happiness hormone’.</w:t>
      </w:r>
      <w:r>
        <w:rPr>
          <w:spacing w:val="-6"/>
        </w:rPr>
        <w:t> </w:t>
      </w:r>
      <w:r>
        <w:rPr/>
        <w:t>In</w:t>
      </w:r>
      <w:r>
        <w:rPr>
          <w:spacing w:val="-8"/>
        </w:rPr>
        <w:t> </w:t>
      </w:r>
      <w:r>
        <w:rPr/>
        <w:t>this</w:t>
      </w:r>
      <w:r>
        <w:rPr>
          <w:spacing w:val="-6"/>
        </w:rPr>
        <w:t> </w:t>
      </w:r>
      <w:r>
        <w:rPr/>
        <w:t>way,</w:t>
      </w:r>
      <w:r>
        <w:rPr>
          <w:spacing w:val="-5"/>
        </w:rPr>
        <w:t> </w:t>
      </w:r>
      <w:r>
        <w:rPr/>
        <w:t>both</w:t>
      </w:r>
      <w:r>
        <w:rPr>
          <w:spacing w:val="-9"/>
        </w:rPr>
        <w:t> </w:t>
      </w:r>
      <w:r>
        <w:rPr/>
        <w:t>of</w:t>
      </w:r>
      <w:r>
        <w:rPr>
          <w:spacing w:val="-7"/>
        </w:rPr>
        <w:t> </w:t>
      </w:r>
      <w:r>
        <w:rPr/>
        <w:t>these</w:t>
      </w:r>
      <w:r>
        <w:rPr>
          <w:spacing w:val="-6"/>
        </w:rPr>
        <w:t> </w:t>
      </w:r>
      <w:r>
        <w:rPr/>
        <w:t>flavonoids</w:t>
      </w:r>
      <w:r>
        <w:rPr>
          <w:spacing w:val="-8"/>
        </w:rPr>
        <w:t> </w:t>
      </w:r>
      <w:r>
        <w:rPr/>
        <w:t>support</w:t>
      </w:r>
      <w:r>
        <w:rPr>
          <w:spacing w:val="-7"/>
        </w:rPr>
        <w:t> </w:t>
      </w:r>
      <w:r>
        <w:rPr/>
        <w:t>treatments</w:t>
      </w:r>
      <w:r>
        <w:rPr>
          <w:spacing w:val="-6"/>
        </w:rPr>
        <w:t> </w:t>
      </w:r>
      <w:r>
        <w:rPr/>
        <w:t>of</w:t>
      </w:r>
      <w:r>
        <w:rPr>
          <w:spacing w:val="-6"/>
        </w:rPr>
        <w:t> </w:t>
      </w:r>
      <w:r>
        <w:rPr/>
        <w:t>depres- sion and sleep disturbances. The enzyme ‘monoamine oxidase’ fosters the de- velopment</w:t>
      </w:r>
      <w:r>
        <w:rPr>
          <w:spacing w:val="-23"/>
        </w:rPr>
        <w:t> </w:t>
      </w:r>
      <w:r>
        <w:rPr/>
        <w:t>of</w:t>
      </w:r>
      <w:r>
        <w:rPr>
          <w:spacing w:val="-21"/>
        </w:rPr>
        <w:t> </w:t>
      </w:r>
      <w:r>
        <w:rPr/>
        <w:t>colon</w:t>
      </w:r>
      <w:r>
        <w:rPr>
          <w:spacing w:val="-20"/>
        </w:rPr>
        <w:t> </w:t>
      </w:r>
      <w:r>
        <w:rPr/>
        <w:t>and</w:t>
      </w:r>
      <w:r>
        <w:rPr>
          <w:spacing w:val="-22"/>
        </w:rPr>
        <w:t> </w:t>
      </w:r>
      <w:r>
        <w:rPr/>
        <w:t>breast</w:t>
      </w:r>
      <w:r>
        <w:rPr>
          <w:spacing w:val="-21"/>
        </w:rPr>
        <w:t> </w:t>
      </w:r>
      <w:r>
        <w:rPr/>
        <w:t>cancer,</w:t>
      </w:r>
      <w:r>
        <w:rPr>
          <w:spacing w:val="-21"/>
        </w:rPr>
        <w:t> </w:t>
      </w:r>
      <w:r>
        <w:rPr/>
        <w:t>and</w:t>
      </w:r>
      <w:r>
        <w:rPr>
          <w:spacing w:val="-21"/>
        </w:rPr>
        <w:t> </w:t>
      </w:r>
      <w:r>
        <w:rPr/>
        <w:t>thus</w:t>
      </w:r>
      <w:r>
        <w:rPr>
          <w:spacing w:val="-24"/>
        </w:rPr>
        <w:t> </w:t>
      </w:r>
      <w:r>
        <w:rPr/>
        <w:t>rooibos</w:t>
      </w:r>
      <w:r>
        <w:rPr>
          <w:spacing w:val="-21"/>
        </w:rPr>
        <w:t> </w:t>
      </w:r>
      <w:r>
        <w:rPr/>
        <w:t>tea</w:t>
      </w:r>
      <w:r>
        <w:rPr>
          <w:spacing w:val="-22"/>
        </w:rPr>
        <w:t> </w:t>
      </w:r>
      <w:r>
        <w:rPr/>
        <w:t>can</w:t>
      </w:r>
      <w:r>
        <w:rPr>
          <w:spacing w:val="-20"/>
        </w:rPr>
        <w:t> </w:t>
      </w:r>
      <w:r>
        <w:rPr/>
        <w:t>also</w:t>
      </w:r>
      <w:r>
        <w:rPr>
          <w:spacing w:val="-22"/>
        </w:rPr>
        <w:t> </w:t>
      </w:r>
      <w:r>
        <w:rPr/>
        <w:t>counteract</w:t>
      </w:r>
    </w:p>
    <w:p>
      <w:pPr>
        <w:pStyle w:val="BodyText"/>
        <w:spacing w:before="1"/>
        <w:rPr>
          <w:sz w:val="26"/>
        </w:rPr>
      </w:pPr>
      <w:r>
        <w:rPr/>
        <w:pict>
          <v:line style="position:absolute;mso-position-horizontal-relative:page;mso-position-vertical-relative:paragraph;z-index:10784;mso-wrap-distance-left:0;mso-wrap-distance-right:0" from="70.823997pt,17.043764pt" to="214.843997pt,17.043764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803 </w:t>
      </w:r>
      <w:r>
        <w:rPr>
          <w:sz w:val="20"/>
        </w:rPr>
        <w:t>Dr Jörg Zittlau: Rotbuschtee – für Gesundheit und Schönheit (‘Redbush Tea – For Health and Beauty’), 3. Edition 1999, p. 26.</w:t>
      </w:r>
    </w:p>
    <w:p>
      <w:pPr>
        <w:spacing w:after="0"/>
        <w:jc w:val="left"/>
        <w:rPr>
          <w:sz w:val="20"/>
        </w:rPr>
        <w:sectPr>
          <w:pgSz w:w="14270" w:h="16850"/>
          <w:pgMar w:header="0" w:footer="1891" w:top="1340" w:bottom="2080" w:left="800" w:right="1280"/>
        </w:sectPr>
      </w:pPr>
    </w:p>
    <w:p>
      <w:pPr>
        <w:pStyle w:val="BodyText"/>
        <w:spacing w:line="278" w:lineRule="auto" w:before="72"/>
        <w:ind w:left="616" w:right="146"/>
        <w:jc w:val="both"/>
      </w:pPr>
      <w:r>
        <w:rPr/>
        <w:t>these diseases. The antispasmodic effect of rooibos tea is also attributable to both of these flavonoids.</w:t>
      </w:r>
    </w:p>
    <w:p>
      <w:pPr>
        <w:pStyle w:val="Heading1"/>
        <w:spacing w:line="264" w:lineRule="auto" w:before="215"/>
        <w:ind w:left="616" w:right="137"/>
        <w:jc w:val="both"/>
      </w:pPr>
      <w:r>
        <w:rPr>
          <w:w w:val="95"/>
        </w:rPr>
        <w:t>Nothofagin</w:t>
      </w:r>
      <w:r>
        <w:rPr>
          <w:spacing w:val="-14"/>
          <w:w w:val="95"/>
        </w:rPr>
        <w:t> </w:t>
      </w:r>
      <w:r>
        <w:rPr>
          <w:w w:val="95"/>
        </w:rPr>
        <w:t>and</w:t>
      </w:r>
      <w:r>
        <w:rPr>
          <w:spacing w:val="-12"/>
          <w:w w:val="95"/>
        </w:rPr>
        <w:t> </w:t>
      </w:r>
      <w:r>
        <w:rPr>
          <w:w w:val="95"/>
        </w:rPr>
        <w:t>aspalathin</w:t>
      </w:r>
      <w:r>
        <w:rPr>
          <w:spacing w:val="-13"/>
          <w:w w:val="95"/>
        </w:rPr>
        <w:t> </w:t>
      </w:r>
      <w:r>
        <w:rPr>
          <w:w w:val="95"/>
        </w:rPr>
        <w:t>counteract</w:t>
      </w:r>
      <w:r>
        <w:rPr>
          <w:spacing w:val="-12"/>
          <w:w w:val="95"/>
        </w:rPr>
        <w:t> </w:t>
      </w:r>
      <w:r>
        <w:rPr>
          <w:w w:val="95"/>
        </w:rPr>
        <w:t>allergies</w:t>
      </w:r>
      <w:r>
        <w:rPr>
          <w:spacing w:val="-10"/>
          <w:w w:val="95"/>
        </w:rPr>
        <w:t> </w:t>
      </w:r>
      <w:r>
        <w:rPr>
          <w:w w:val="95"/>
        </w:rPr>
        <w:t>and</w:t>
      </w:r>
      <w:r>
        <w:rPr>
          <w:spacing w:val="-11"/>
          <w:w w:val="95"/>
        </w:rPr>
        <w:t> </w:t>
      </w:r>
      <w:r>
        <w:rPr>
          <w:w w:val="95"/>
        </w:rPr>
        <w:t>free</w:t>
      </w:r>
      <w:r>
        <w:rPr>
          <w:spacing w:val="-10"/>
          <w:w w:val="95"/>
        </w:rPr>
        <w:t> </w:t>
      </w:r>
      <w:r>
        <w:rPr>
          <w:w w:val="95"/>
        </w:rPr>
        <w:t>radicals</w:t>
      </w:r>
      <w:r>
        <w:rPr>
          <w:spacing w:val="-11"/>
          <w:w w:val="95"/>
        </w:rPr>
        <w:t> </w:t>
      </w:r>
      <w:r>
        <w:rPr>
          <w:w w:val="95"/>
        </w:rPr>
        <w:t>and</w:t>
      </w:r>
      <w:r>
        <w:rPr>
          <w:spacing w:val="-11"/>
          <w:w w:val="95"/>
        </w:rPr>
        <w:t> </w:t>
      </w:r>
      <w:r>
        <w:rPr>
          <w:w w:val="95"/>
        </w:rPr>
        <w:t>re- </w:t>
      </w:r>
      <w:r>
        <w:rPr/>
        <w:t>lieve</w:t>
      </w:r>
      <w:r>
        <w:rPr>
          <w:spacing w:val="-8"/>
        </w:rPr>
        <w:t> </w:t>
      </w:r>
      <w:r>
        <w:rPr/>
        <w:t>cramps</w:t>
      </w:r>
    </w:p>
    <w:p>
      <w:pPr>
        <w:pStyle w:val="BodyText"/>
        <w:spacing w:line="276" w:lineRule="auto" w:before="251"/>
        <w:ind w:left="616" w:right="136"/>
        <w:jc w:val="both"/>
      </w:pPr>
      <w:r>
        <w:rPr/>
        <w:t>Both the nothofagin and the aspalathin contained in redbush are responsible for the pronounced antiallergic effect of the tea by having an immune-modu- lating effect on the whole body. Both substances also have an antispasmodic effect. The effect of nothofagin and aspalathin, which resembles that of the enzyme SOD (super oxide dismutase), neutralises the aggressive free radicals by transforming them into hydrogen peroxide.</w:t>
      </w:r>
    </w:p>
    <w:p>
      <w:pPr>
        <w:pStyle w:val="Heading1"/>
        <w:spacing w:before="223"/>
        <w:ind w:left="616"/>
      </w:pPr>
      <w:r>
        <w:rPr/>
        <w:t>Cancer-inhibiting effect of nothofagin and aspalathin</w:t>
      </w:r>
    </w:p>
    <w:p>
      <w:pPr>
        <w:pStyle w:val="BodyText"/>
        <w:spacing w:line="278" w:lineRule="auto" w:before="299"/>
        <w:ind w:left="616" w:right="130"/>
        <w:jc w:val="both"/>
      </w:pPr>
      <w:r>
        <w:rPr/>
        <w:t>Aspalathin</w:t>
      </w:r>
      <w:r>
        <w:rPr>
          <w:spacing w:val="-11"/>
        </w:rPr>
        <w:t> </w:t>
      </w:r>
      <w:r>
        <w:rPr/>
        <w:t>occurs</w:t>
      </w:r>
      <w:r>
        <w:rPr>
          <w:spacing w:val="-11"/>
        </w:rPr>
        <w:t> </w:t>
      </w:r>
      <w:r>
        <w:rPr/>
        <w:t>exclusively</w:t>
      </w:r>
      <w:r>
        <w:rPr>
          <w:spacing w:val="-12"/>
        </w:rPr>
        <w:t> </w:t>
      </w:r>
      <w:r>
        <w:rPr/>
        <w:t>in</w:t>
      </w:r>
      <w:r>
        <w:rPr>
          <w:spacing w:val="-9"/>
        </w:rPr>
        <w:t> </w:t>
      </w:r>
      <w:r>
        <w:rPr/>
        <w:t>redbush</w:t>
      </w:r>
      <w:r>
        <w:rPr>
          <w:spacing w:val="-11"/>
        </w:rPr>
        <w:t> </w:t>
      </w:r>
      <w:r>
        <w:rPr/>
        <w:t>tea</w:t>
      </w:r>
      <w:r>
        <w:rPr>
          <w:spacing w:val="-12"/>
        </w:rPr>
        <w:t> </w:t>
      </w:r>
      <w:r>
        <w:rPr/>
        <w:t>and</w:t>
      </w:r>
      <w:r>
        <w:rPr>
          <w:spacing w:val="-11"/>
        </w:rPr>
        <w:t> </w:t>
      </w:r>
      <w:r>
        <w:rPr/>
        <w:t>exhibits,</w:t>
      </w:r>
      <w:r>
        <w:rPr>
          <w:spacing w:val="-10"/>
        </w:rPr>
        <w:t> </w:t>
      </w:r>
      <w:r>
        <w:rPr/>
        <w:t>similarly</w:t>
      </w:r>
      <w:r>
        <w:rPr>
          <w:spacing w:val="-11"/>
        </w:rPr>
        <w:t> </w:t>
      </w:r>
      <w:r>
        <w:rPr/>
        <w:t>to</w:t>
      </w:r>
      <w:r>
        <w:rPr>
          <w:spacing w:val="-11"/>
        </w:rPr>
        <w:t> </w:t>
      </w:r>
      <w:r>
        <w:rPr/>
        <w:t>nothofa- gin, a certain protective effect against</w:t>
      </w:r>
      <w:r>
        <w:rPr>
          <w:spacing w:val="-2"/>
        </w:rPr>
        <w:t> </w:t>
      </w:r>
      <w:r>
        <w:rPr/>
        <w:t>cancer.</w:t>
      </w:r>
    </w:p>
    <w:p>
      <w:pPr>
        <w:spacing w:after="0" w:line="278" w:lineRule="auto"/>
        <w:jc w:val="both"/>
        <w:sectPr>
          <w:pgSz w:w="14270" w:h="16850"/>
          <w:pgMar w:header="0" w:footer="1891" w:top="1340" w:bottom="2080" w:left="800" w:right="1280"/>
        </w:sectPr>
      </w:pPr>
    </w:p>
    <w:p>
      <w:pPr>
        <w:pStyle w:val="Heading1"/>
        <w:spacing w:line="261" w:lineRule="auto" w:before="77"/>
        <w:ind w:left="616"/>
      </w:pPr>
      <w:r>
        <w:rPr>
          <w:w w:val="95"/>
        </w:rPr>
        <w:t>Nothofagin and aspalathin counteract atherosclerosis (hardening of</w:t>
      </w:r>
      <w:r>
        <w:rPr>
          <w:spacing w:val="-66"/>
          <w:w w:val="95"/>
        </w:rPr>
        <w:t> </w:t>
      </w:r>
      <w:r>
        <w:rPr>
          <w:w w:val="95"/>
        </w:rPr>
        <w:t>the </w:t>
      </w:r>
      <w:r>
        <w:rPr/>
        <w:t>arteries)</w:t>
      </w:r>
    </w:p>
    <w:p>
      <w:pPr>
        <w:pStyle w:val="BodyText"/>
        <w:spacing w:line="276" w:lineRule="auto" w:before="258"/>
        <w:ind w:left="616" w:right="137"/>
        <w:jc w:val="both"/>
      </w:pPr>
      <w:r>
        <w:rPr/>
        <w:t>And as if this were not enough, nothofagin and aspalathin also counteract the much-feared atherosclerosis. This in turn takes place via the above-described SOD-like effect, which prevents the microtraumas in the intima and thus the storage of blood lipids, or plaques.</w:t>
      </w:r>
    </w:p>
    <w:p>
      <w:pPr>
        <w:pStyle w:val="Heading1"/>
        <w:spacing w:before="225"/>
        <w:ind w:left="616"/>
      </w:pPr>
      <w:r>
        <w:rPr>
          <w:w w:val="95"/>
        </w:rPr>
        <w:t>Phenolcarboxyl acids have antibacterial, antiviral and antifungal effects</w:t>
      </w:r>
    </w:p>
    <w:p>
      <w:pPr>
        <w:pStyle w:val="BodyText"/>
        <w:spacing w:line="276" w:lineRule="auto" w:before="299"/>
        <w:ind w:left="616" w:right="131"/>
        <w:jc w:val="both"/>
      </w:pPr>
      <w:r>
        <w:rPr/>
        <w:t>The phenolcarboxyl acid contained in redbush tea possesses bacteria-, virus- and fungus-killing properties. These support healthy intestinal flora and</w:t>
      </w:r>
      <w:r>
        <w:rPr>
          <w:spacing w:val="-59"/>
        </w:rPr>
        <w:t> </w:t>
      </w:r>
      <w:r>
        <w:rPr/>
        <w:t>coun- teract gastrointestinal problems and diseases. ‘Death lies in the intestines’ – a very</w:t>
      </w:r>
      <w:r>
        <w:rPr>
          <w:spacing w:val="-6"/>
        </w:rPr>
        <w:t> </w:t>
      </w:r>
      <w:r>
        <w:rPr/>
        <w:t>popular</w:t>
      </w:r>
      <w:r>
        <w:rPr>
          <w:spacing w:val="-6"/>
        </w:rPr>
        <w:t> </w:t>
      </w:r>
      <w:r>
        <w:rPr/>
        <w:t>and</w:t>
      </w:r>
      <w:r>
        <w:rPr>
          <w:spacing w:val="-6"/>
        </w:rPr>
        <w:t> </w:t>
      </w:r>
      <w:r>
        <w:rPr/>
        <w:t>true</w:t>
      </w:r>
      <w:r>
        <w:rPr>
          <w:spacing w:val="-8"/>
        </w:rPr>
        <w:t> </w:t>
      </w:r>
      <w:r>
        <w:rPr/>
        <w:t>saying</w:t>
      </w:r>
      <w:r>
        <w:rPr>
          <w:spacing w:val="-6"/>
        </w:rPr>
        <w:t> </w:t>
      </w:r>
      <w:r>
        <w:rPr/>
        <w:t>which</w:t>
      </w:r>
      <w:r>
        <w:rPr>
          <w:spacing w:val="-5"/>
        </w:rPr>
        <w:t> </w:t>
      </w:r>
      <w:r>
        <w:rPr/>
        <w:t>in</w:t>
      </w:r>
      <w:r>
        <w:rPr>
          <w:spacing w:val="-7"/>
        </w:rPr>
        <w:t> </w:t>
      </w:r>
      <w:r>
        <w:rPr/>
        <w:t>medical</w:t>
      </w:r>
      <w:r>
        <w:rPr>
          <w:spacing w:val="-6"/>
        </w:rPr>
        <w:t> </w:t>
      </w:r>
      <w:r>
        <w:rPr/>
        <w:t>circles</w:t>
      </w:r>
      <w:r>
        <w:rPr>
          <w:spacing w:val="-5"/>
        </w:rPr>
        <w:t> </w:t>
      </w:r>
      <w:r>
        <w:rPr/>
        <w:t>describes</w:t>
      </w:r>
      <w:r>
        <w:rPr>
          <w:spacing w:val="-8"/>
        </w:rPr>
        <w:t> </w:t>
      </w:r>
      <w:r>
        <w:rPr/>
        <w:t>a</w:t>
      </w:r>
      <w:r>
        <w:rPr>
          <w:spacing w:val="-9"/>
        </w:rPr>
        <w:t> </w:t>
      </w:r>
      <w:r>
        <w:rPr/>
        <w:t>large</w:t>
      </w:r>
      <w:r>
        <w:rPr>
          <w:spacing w:val="-5"/>
        </w:rPr>
        <w:t> </w:t>
      </w:r>
      <w:r>
        <w:rPr/>
        <w:t>number of deadly diseases that are originally traceable to intestinal problems. The</w:t>
      </w:r>
      <w:r>
        <w:rPr>
          <w:spacing w:val="-69"/>
        </w:rPr>
        <w:t> </w:t>
      </w:r>
      <w:r>
        <w:rPr/>
        <w:t>phe- nolic acids in redbush tea have proven to be thoroughly helpful</w:t>
      </w:r>
      <w:r>
        <w:rPr>
          <w:spacing w:val="-10"/>
        </w:rPr>
        <w:t> </w:t>
      </w:r>
      <w:r>
        <w:rPr/>
        <w:t>here.</w:t>
      </w:r>
    </w:p>
    <w:p>
      <w:pPr>
        <w:pStyle w:val="BodyText"/>
        <w:spacing w:before="240"/>
        <w:ind w:left="616"/>
        <w:jc w:val="both"/>
      </w:pPr>
      <w:r>
        <w:rPr/>
        <w:t>General effects of redbush tea</w:t>
      </w:r>
    </w:p>
    <w:p>
      <w:pPr>
        <w:spacing w:before="305"/>
        <w:ind w:left="616" w:right="0" w:firstLine="0"/>
        <w:jc w:val="both"/>
        <w:rPr>
          <w:i/>
          <w:sz w:val="38"/>
        </w:rPr>
      </w:pPr>
      <w:r>
        <w:rPr>
          <w:i/>
          <w:sz w:val="38"/>
        </w:rPr>
        <w:t>Rooibos tea has the following general effects:</w:t>
      </w:r>
    </w:p>
    <w:p>
      <w:pPr>
        <w:pStyle w:val="ListParagraph"/>
        <w:numPr>
          <w:ilvl w:val="0"/>
          <w:numId w:val="105"/>
        </w:numPr>
        <w:tabs>
          <w:tab w:pos="1032" w:val="left" w:leader="none"/>
        </w:tabs>
        <w:spacing w:line="240" w:lineRule="auto" w:before="262" w:after="0"/>
        <w:ind w:left="1031" w:right="0" w:hanging="415"/>
        <w:jc w:val="both"/>
        <w:rPr>
          <w:sz w:val="38"/>
        </w:rPr>
      </w:pPr>
      <w:r>
        <w:rPr>
          <w:sz w:val="38"/>
        </w:rPr>
        <w:t>immune system strengthening,</w:t>
      </w:r>
    </w:p>
    <w:p>
      <w:pPr>
        <w:pStyle w:val="ListParagraph"/>
        <w:numPr>
          <w:ilvl w:val="0"/>
          <w:numId w:val="105"/>
        </w:numPr>
        <w:tabs>
          <w:tab w:pos="1032" w:val="left" w:leader="none"/>
        </w:tabs>
        <w:spacing w:line="240" w:lineRule="auto" w:before="187" w:after="0"/>
        <w:ind w:left="1031" w:right="0" w:hanging="415"/>
        <w:jc w:val="both"/>
        <w:rPr>
          <w:sz w:val="38"/>
        </w:rPr>
      </w:pPr>
      <w:r>
        <w:rPr>
          <w:sz w:val="38"/>
        </w:rPr>
        <w:t>protects blood vessels,</w:t>
      </w:r>
    </w:p>
    <w:p>
      <w:pPr>
        <w:pStyle w:val="ListParagraph"/>
        <w:numPr>
          <w:ilvl w:val="0"/>
          <w:numId w:val="105"/>
        </w:numPr>
        <w:tabs>
          <w:tab w:pos="1032" w:val="left" w:leader="none"/>
        </w:tabs>
        <w:spacing w:line="240" w:lineRule="auto" w:before="183" w:after="0"/>
        <w:ind w:left="1031" w:right="0" w:hanging="415"/>
        <w:jc w:val="both"/>
        <w:rPr>
          <w:sz w:val="38"/>
        </w:rPr>
      </w:pPr>
      <w:r>
        <w:rPr>
          <w:sz w:val="38"/>
        </w:rPr>
        <w:t>protects the genes</w:t>
      </w:r>
      <w:r>
        <w:rPr>
          <w:spacing w:val="1"/>
          <w:sz w:val="38"/>
        </w:rPr>
        <w:t> </w:t>
      </w:r>
      <w:r>
        <w:rPr>
          <w:sz w:val="38"/>
        </w:rPr>
        <w:t>(DNA),</w:t>
      </w:r>
    </w:p>
    <w:p>
      <w:pPr>
        <w:pStyle w:val="ListParagraph"/>
        <w:numPr>
          <w:ilvl w:val="0"/>
          <w:numId w:val="105"/>
        </w:numPr>
        <w:tabs>
          <w:tab w:pos="1032" w:val="left" w:leader="none"/>
        </w:tabs>
        <w:spacing w:line="240" w:lineRule="auto" w:before="184" w:after="0"/>
        <w:ind w:left="1031" w:right="0" w:hanging="415"/>
        <w:jc w:val="both"/>
        <w:rPr>
          <w:sz w:val="38"/>
        </w:rPr>
      </w:pPr>
      <w:r>
        <w:rPr>
          <w:sz w:val="38"/>
        </w:rPr>
        <w:t>is antioxidative (against the attacks of free</w:t>
      </w:r>
      <w:r>
        <w:rPr>
          <w:spacing w:val="-1"/>
          <w:sz w:val="38"/>
        </w:rPr>
        <w:t> </w:t>
      </w:r>
      <w:r>
        <w:rPr>
          <w:sz w:val="38"/>
        </w:rPr>
        <w:t>radicals),</w:t>
      </w:r>
    </w:p>
    <w:p>
      <w:pPr>
        <w:pStyle w:val="ListParagraph"/>
        <w:numPr>
          <w:ilvl w:val="0"/>
          <w:numId w:val="105"/>
        </w:numPr>
        <w:tabs>
          <w:tab w:pos="1032" w:val="left" w:leader="none"/>
        </w:tabs>
        <w:spacing w:line="240" w:lineRule="auto" w:before="184" w:after="0"/>
        <w:ind w:left="1031" w:right="0" w:hanging="415"/>
        <w:jc w:val="both"/>
        <w:rPr>
          <w:sz w:val="38"/>
        </w:rPr>
      </w:pPr>
      <w:r>
        <w:rPr>
          <w:sz w:val="38"/>
        </w:rPr>
        <w:t>detoxifying,</w:t>
      </w:r>
    </w:p>
    <w:p>
      <w:pPr>
        <w:spacing w:after="0" w:line="240" w:lineRule="auto"/>
        <w:jc w:val="both"/>
        <w:rPr>
          <w:sz w:val="38"/>
        </w:rPr>
        <w:sectPr>
          <w:pgSz w:w="14270" w:h="16850"/>
          <w:pgMar w:header="0" w:footer="1891" w:top="1320" w:bottom="2080" w:left="800" w:right="1280"/>
        </w:sectPr>
      </w:pPr>
    </w:p>
    <w:p>
      <w:pPr>
        <w:pStyle w:val="ListParagraph"/>
        <w:numPr>
          <w:ilvl w:val="0"/>
          <w:numId w:val="105"/>
        </w:numPr>
        <w:tabs>
          <w:tab w:pos="1032" w:val="left" w:leader="none"/>
        </w:tabs>
        <w:spacing w:line="240" w:lineRule="auto" w:before="53" w:after="0"/>
        <w:ind w:left="1031" w:right="0" w:hanging="415"/>
        <w:jc w:val="both"/>
        <w:rPr>
          <w:sz w:val="38"/>
        </w:rPr>
      </w:pPr>
      <w:r>
        <w:rPr>
          <w:sz w:val="38"/>
        </w:rPr>
        <w:t>antispasmodic,</w:t>
      </w:r>
    </w:p>
    <w:p>
      <w:pPr>
        <w:pStyle w:val="ListParagraph"/>
        <w:numPr>
          <w:ilvl w:val="0"/>
          <w:numId w:val="105"/>
        </w:numPr>
        <w:tabs>
          <w:tab w:pos="1032" w:val="left" w:leader="none"/>
        </w:tabs>
        <w:spacing w:line="240" w:lineRule="auto" w:before="186" w:after="0"/>
        <w:ind w:left="1031" w:right="0" w:hanging="415"/>
        <w:jc w:val="both"/>
        <w:rPr>
          <w:sz w:val="38"/>
        </w:rPr>
      </w:pPr>
      <w:r>
        <w:rPr>
          <w:sz w:val="38"/>
        </w:rPr>
        <w:t>calming,</w:t>
      </w:r>
    </w:p>
    <w:p>
      <w:pPr>
        <w:pStyle w:val="ListParagraph"/>
        <w:numPr>
          <w:ilvl w:val="0"/>
          <w:numId w:val="105"/>
        </w:numPr>
        <w:tabs>
          <w:tab w:pos="1032" w:val="left" w:leader="none"/>
        </w:tabs>
        <w:spacing w:line="240" w:lineRule="auto" w:before="184" w:after="0"/>
        <w:ind w:left="1031" w:right="0" w:hanging="415"/>
        <w:jc w:val="both"/>
        <w:rPr>
          <w:sz w:val="38"/>
        </w:rPr>
      </w:pPr>
      <w:r>
        <w:rPr>
          <w:sz w:val="38"/>
        </w:rPr>
        <w:t>cancer-inhibiting,</w:t>
      </w:r>
    </w:p>
    <w:p>
      <w:pPr>
        <w:pStyle w:val="ListParagraph"/>
        <w:numPr>
          <w:ilvl w:val="0"/>
          <w:numId w:val="105"/>
        </w:numPr>
        <w:tabs>
          <w:tab w:pos="1032" w:val="left" w:leader="none"/>
        </w:tabs>
        <w:spacing w:line="240" w:lineRule="auto" w:before="184" w:after="0"/>
        <w:ind w:left="1031" w:right="0" w:hanging="415"/>
        <w:jc w:val="both"/>
        <w:rPr>
          <w:sz w:val="38"/>
        </w:rPr>
      </w:pPr>
      <w:r>
        <w:rPr>
          <w:sz w:val="38"/>
        </w:rPr>
        <w:t>antibiotic/antibacterial,</w:t>
      </w:r>
    </w:p>
    <w:p>
      <w:pPr>
        <w:pStyle w:val="ListParagraph"/>
        <w:numPr>
          <w:ilvl w:val="0"/>
          <w:numId w:val="105"/>
        </w:numPr>
        <w:tabs>
          <w:tab w:pos="1032" w:val="left" w:leader="none"/>
        </w:tabs>
        <w:spacing w:line="240" w:lineRule="auto" w:before="183" w:after="0"/>
        <w:ind w:left="1031" w:right="0" w:hanging="415"/>
        <w:jc w:val="both"/>
        <w:rPr>
          <w:sz w:val="38"/>
        </w:rPr>
      </w:pPr>
      <w:r>
        <w:rPr>
          <w:sz w:val="38"/>
        </w:rPr>
        <w:t>antiviral,</w:t>
      </w:r>
    </w:p>
    <w:p>
      <w:pPr>
        <w:pStyle w:val="ListParagraph"/>
        <w:numPr>
          <w:ilvl w:val="0"/>
          <w:numId w:val="105"/>
        </w:numPr>
        <w:tabs>
          <w:tab w:pos="1032" w:val="left" w:leader="none"/>
        </w:tabs>
        <w:spacing w:line="240" w:lineRule="auto" w:before="184" w:after="0"/>
        <w:ind w:left="1031" w:right="0" w:hanging="415"/>
        <w:jc w:val="both"/>
        <w:rPr>
          <w:sz w:val="38"/>
        </w:rPr>
      </w:pPr>
      <w:r>
        <w:rPr>
          <w:sz w:val="38"/>
        </w:rPr>
        <w:t>antiallergic,</w:t>
      </w:r>
    </w:p>
    <w:p>
      <w:pPr>
        <w:pStyle w:val="ListParagraph"/>
        <w:numPr>
          <w:ilvl w:val="0"/>
          <w:numId w:val="105"/>
        </w:numPr>
        <w:tabs>
          <w:tab w:pos="1032" w:val="left" w:leader="none"/>
        </w:tabs>
        <w:spacing w:line="240" w:lineRule="auto" w:before="186" w:after="0"/>
        <w:ind w:left="1031" w:right="0" w:hanging="415"/>
        <w:jc w:val="both"/>
        <w:rPr>
          <w:sz w:val="38"/>
        </w:rPr>
      </w:pPr>
      <w:r>
        <w:rPr>
          <w:sz w:val="38"/>
        </w:rPr>
        <w:t>antifungal (inhibits fungal</w:t>
      </w:r>
      <w:r>
        <w:rPr>
          <w:spacing w:val="-2"/>
          <w:sz w:val="38"/>
        </w:rPr>
        <w:t> </w:t>
      </w:r>
      <w:r>
        <w:rPr>
          <w:sz w:val="38"/>
        </w:rPr>
        <w:t>growth),</w:t>
      </w:r>
    </w:p>
    <w:p>
      <w:pPr>
        <w:pStyle w:val="ListParagraph"/>
        <w:numPr>
          <w:ilvl w:val="0"/>
          <w:numId w:val="105"/>
        </w:numPr>
        <w:tabs>
          <w:tab w:pos="1032" w:val="left" w:leader="none"/>
        </w:tabs>
        <w:spacing w:line="240" w:lineRule="auto" w:before="184" w:after="0"/>
        <w:ind w:left="1031" w:right="0" w:hanging="415"/>
        <w:jc w:val="both"/>
        <w:rPr>
          <w:sz w:val="38"/>
        </w:rPr>
      </w:pPr>
      <w:r>
        <w:rPr>
          <w:sz w:val="38"/>
        </w:rPr>
        <w:t>anti-depressant/mood-lifting.</w:t>
      </w:r>
    </w:p>
    <w:p>
      <w:pPr>
        <w:pStyle w:val="Heading1"/>
        <w:spacing w:before="287"/>
        <w:ind w:left="616"/>
        <w:jc w:val="both"/>
      </w:pPr>
      <w:r>
        <w:rPr/>
        <w:t>Immune system-reinforcing effects of redbush tea</w:t>
      </w:r>
    </w:p>
    <w:p>
      <w:pPr>
        <w:pStyle w:val="BodyText"/>
        <w:spacing w:line="276" w:lineRule="auto" w:before="297"/>
        <w:ind w:left="616" w:right="132"/>
        <w:jc w:val="both"/>
      </w:pPr>
      <w:r>
        <w:rPr/>
        <w:t>Alongside</w:t>
      </w:r>
      <w:r>
        <w:rPr>
          <w:spacing w:val="-17"/>
        </w:rPr>
        <w:t> </w:t>
      </w:r>
      <w:r>
        <w:rPr/>
        <w:t>vitamin</w:t>
      </w:r>
      <w:r>
        <w:rPr>
          <w:spacing w:val="-15"/>
        </w:rPr>
        <w:t> </w:t>
      </w:r>
      <w:r>
        <w:rPr/>
        <w:t>C,</w:t>
      </w:r>
      <w:r>
        <w:rPr>
          <w:spacing w:val="-16"/>
        </w:rPr>
        <w:t> </w:t>
      </w:r>
      <w:r>
        <w:rPr/>
        <w:t>it</w:t>
      </w:r>
      <w:r>
        <w:rPr>
          <w:spacing w:val="-17"/>
        </w:rPr>
        <w:t> </w:t>
      </w:r>
      <w:r>
        <w:rPr/>
        <w:t>is</w:t>
      </w:r>
      <w:r>
        <w:rPr>
          <w:spacing w:val="-16"/>
        </w:rPr>
        <w:t> </w:t>
      </w:r>
      <w:r>
        <w:rPr/>
        <w:t>primarily</w:t>
      </w:r>
      <w:r>
        <w:rPr>
          <w:spacing w:val="-16"/>
        </w:rPr>
        <w:t> </w:t>
      </w:r>
      <w:r>
        <w:rPr/>
        <w:t>the</w:t>
      </w:r>
      <w:r>
        <w:rPr>
          <w:spacing w:val="-14"/>
        </w:rPr>
        <w:t> </w:t>
      </w:r>
      <w:r>
        <w:rPr/>
        <w:t>many</w:t>
      </w:r>
      <w:r>
        <w:rPr>
          <w:spacing w:val="-15"/>
        </w:rPr>
        <w:t> </w:t>
      </w:r>
      <w:r>
        <w:rPr/>
        <w:t>polyphenols,</w:t>
      </w:r>
      <w:r>
        <w:rPr>
          <w:spacing w:val="-15"/>
        </w:rPr>
        <w:t> </w:t>
      </w:r>
      <w:r>
        <w:rPr/>
        <w:t>trace</w:t>
      </w:r>
      <w:r>
        <w:rPr>
          <w:spacing w:val="-17"/>
        </w:rPr>
        <w:t> </w:t>
      </w:r>
      <w:r>
        <w:rPr/>
        <w:t>elements</w:t>
      </w:r>
      <w:r>
        <w:rPr>
          <w:spacing w:val="-15"/>
        </w:rPr>
        <w:t> </w:t>
      </w:r>
      <w:r>
        <w:rPr/>
        <w:t>(here mainly selenium, magnesium, zinc, copper, manganese and silicon) that strengthen our immune system in</w:t>
      </w:r>
      <w:r>
        <w:rPr>
          <w:spacing w:val="1"/>
        </w:rPr>
        <w:t> </w:t>
      </w:r>
      <w:r>
        <w:rPr/>
        <w:t>synergy.</w:t>
      </w:r>
    </w:p>
    <w:p>
      <w:pPr>
        <w:pStyle w:val="Heading1"/>
        <w:ind w:left="616"/>
      </w:pPr>
      <w:r>
        <w:rPr/>
        <w:t>Antioxidative effects of rooibos tea</w:t>
      </w:r>
    </w:p>
    <w:p>
      <w:pPr>
        <w:pStyle w:val="BodyText"/>
        <w:spacing w:line="276" w:lineRule="auto" w:before="300"/>
        <w:ind w:left="616" w:right="133"/>
        <w:jc w:val="both"/>
      </w:pPr>
      <w:r>
        <w:rPr/>
        <w:t>As already said, free radicals attack our approximately 37,2 trillion bodily cells around 10,000 times per day and permanently damage them. This has been shown to lead to many diseases and disorders.</w:t>
      </w:r>
    </w:p>
    <w:p>
      <w:pPr>
        <w:pStyle w:val="BodyText"/>
        <w:spacing w:line="276" w:lineRule="auto" w:before="238"/>
        <w:ind w:left="616" w:right="140"/>
        <w:jc w:val="both"/>
      </w:pPr>
      <w:r>
        <w:rPr/>
        <w:t>Redbush tea contains numerous antioxidants that protect our cells from the constant attacks by free radicals. Among these are vitamin C, rutin, flavones, flavonoids, nothofagin, luteolin, quercetin, orientin and isorientin.</w:t>
      </w:r>
    </w:p>
    <w:p>
      <w:pPr>
        <w:spacing w:after="0" w:line="276" w:lineRule="auto"/>
        <w:jc w:val="both"/>
        <w:sectPr>
          <w:pgSz w:w="14270" w:h="16850"/>
          <w:pgMar w:header="0" w:footer="1891" w:top="1360" w:bottom="2080" w:left="800" w:right="1280"/>
        </w:sectPr>
      </w:pPr>
    </w:p>
    <w:p>
      <w:pPr>
        <w:pStyle w:val="Heading1"/>
        <w:spacing w:before="77"/>
        <w:ind w:left="616"/>
      </w:pPr>
      <w:r>
        <w:rPr/>
        <w:t>Detoxifying effect of rooibos tea</w:t>
      </w:r>
    </w:p>
    <w:p>
      <w:pPr>
        <w:pStyle w:val="BodyText"/>
        <w:spacing w:line="276" w:lineRule="auto" w:before="299"/>
        <w:ind w:left="616"/>
      </w:pPr>
      <w:r>
        <w:rPr/>
        <w:t>The</w:t>
      </w:r>
      <w:r>
        <w:rPr>
          <w:spacing w:val="-24"/>
        </w:rPr>
        <w:t> </w:t>
      </w:r>
      <w:r>
        <w:rPr/>
        <w:t>detoxifying</w:t>
      </w:r>
      <w:r>
        <w:rPr>
          <w:spacing w:val="-26"/>
        </w:rPr>
        <w:t> </w:t>
      </w:r>
      <w:r>
        <w:rPr/>
        <w:t>effect</w:t>
      </w:r>
      <w:r>
        <w:rPr>
          <w:spacing w:val="-23"/>
        </w:rPr>
        <w:t> </w:t>
      </w:r>
      <w:r>
        <w:rPr/>
        <w:t>of</w:t>
      </w:r>
      <w:r>
        <w:rPr>
          <w:spacing w:val="-26"/>
        </w:rPr>
        <w:t> </w:t>
      </w:r>
      <w:r>
        <w:rPr/>
        <w:t>rooibos</w:t>
      </w:r>
      <w:r>
        <w:rPr>
          <w:spacing w:val="-27"/>
        </w:rPr>
        <w:t> </w:t>
      </w:r>
      <w:r>
        <w:rPr/>
        <w:t>tea</w:t>
      </w:r>
      <w:r>
        <w:rPr>
          <w:spacing w:val="-24"/>
        </w:rPr>
        <w:t> </w:t>
      </w:r>
      <w:r>
        <w:rPr/>
        <w:t>is</w:t>
      </w:r>
      <w:r>
        <w:rPr>
          <w:spacing w:val="-26"/>
        </w:rPr>
        <w:t> </w:t>
      </w:r>
      <w:r>
        <w:rPr/>
        <w:t>attributable</w:t>
      </w:r>
      <w:r>
        <w:rPr>
          <w:spacing w:val="-24"/>
        </w:rPr>
        <w:t> </w:t>
      </w:r>
      <w:r>
        <w:rPr/>
        <w:t>to</w:t>
      </w:r>
      <w:r>
        <w:rPr>
          <w:spacing w:val="-26"/>
        </w:rPr>
        <w:t> </w:t>
      </w:r>
      <w:r>
        <w:rPr/>
        <w:t>the</w:t>
      </w:r>
      <w:r>
        <w:rPr>
          <w:spacing w:val="-26"/>
        </w:rPr>
        <w:t> </w:t>
      </w:r>
      <w:r>
        <w:rPr/>
        <w:t>impact</w:t>
      </w:r>
      <w:r>
        <w:rPr>
          <w:spacing w:val="-23"/>
        </w:rPr>
        <w:t> </w:t>
      </w:r>
      <w:r>
        <w:rPr/>
        <w:t>of</w:t>
      </w:r>
      <w:r>
        <w:rPr>
          <w:spacing w:val="-24"/>
        </w:rPr>
        <w:t> </w:t>
      </w:r>
      <w:r>
        <w:rPr/>
        <w:t>detoxifying mechanisms in the liver (cytochrome</w:t>
      </w:r>
      <w:r>
        <w:rPr>
          <w:spacing w:val="2"/>
        </w:rPr>
        <w:t> </w:t>
      </w:r>
      <w:r>
        <w:rPr/>
        <w:t>P450).</w:t>
      </w:r>
    </w:p>
    <w:p>
      <w:pPr>
        <w:pStyle w:val="Heading1"/>
        <w:spacing w:before="221"/>
        <w:ind w:left="616"/>
      </w:pPr>
      <w:r>
        <w:rPr/>
        <w:t>Calming effect of rooibos tea</w:t>
      </w:r>
    </w:p>
    <w:p>
      <w:pPr>
        <w:pStyle w:val="BodyText"/>
        <w:spacing w:line="278" w:lineRule="auto" w:before="300"/>
        <w:ind w:left="616"/>
      </w:pPr>
      <w:r>
        <w:rPr/>
        <w:t>The calming effect is primarily based on the two flavonoids ‘quercetin’ and ‘quercitrine’.</w:t>
      </w:r>
    </w:p>
    <w:p>
      <w:pPr>
        <w:pStyle w:val="Heading1"/>
        <w:spacing w:before="215"/>
        <w:ind w:left="616"/>
      </w:pPr>
      <w:r>
        <w:rPr/>
        <w:t>Antispasmodic effect of rooibos tea</w:t>
      </w:r>
    </w:p>
    <w:p>
      <w:pPr>
        <w:pStyle w:val="BodyText"/>
        <w:spacing w:line="276" w:lineRule="auto" w:before="299"/>
        <w:ind w:left="616"/>
      </w:pPr>
      <w:r>
        <w:rPr/>
        <w:t>The antispasmodic effect of rooibos is ascribed to the flavonoid ‘aspalathin’, which has a spasmolytic and relaxing effect on the intestinal muscles.</w:t>
      </w:r>
    </w:p>
    <w:p>
      <w:pPr>
        <w:pStyle w:val="Heading1"/>
        <w:spacing w:before="221"/>
        <w:ind w:left="616"/>
      </w:pPr>
      <w:r>
        <w:rPr/>
        <w:t>Antibiotic effect of redbush tea</w:t>
      </w:r>
    </w:p>
    <w:p>
      <w:pPr>
        <w:pStyle w:val="BodyText"/>
        <w:spacing w:line="276" w:lineRule="auto" w:before="300"/>
        <w:ind w:left="616" w:right="130"/>
        <w:jc w:val="both"/>
      </w:pPr>
      <w:r>
        <w:rPr/>
        <w:t>Certain substances in redbush tea have an antibiotic effect and can, among other things, kill coli bacteria, which cause diarrhoea and other illness symp- toms.</w:t>
      </w:r>
    </w:p>
    <w:p>
      <w:pPr>
        <w:pStyle w:val="Heading1"/>
        <w:ind w:left="616"/>
      </w:pPr>
      <w:r>
        <w:rPr/>
        <w:t>Antiallergic effect of redbush</w:t>
      </w:r>
    </w:p>
    <w:p>
      <w:pPr>
        <w:pStyle w:val="BodyText"/>
        <w:spacing w:line="276" w:lineRule="auto" w:before="299"/>
        <w:ind w:left="616" w:right="135"/>
        <w:jc w:val="both"/>
      </w:pPr>
      <w:r>
        <w:rPr/>
        <w:t>The flavonoids contained in redbush tea, most particularly quercetin, block histamine release and thus inhibit the inflammations in the body which</w:t>
      </w:r>
      <w:r>
        <w:rPr>
          <w:spacing w:val="-50"/>
        </w:rPr>
        <w:t> </w:t>
      </w:r>
      <w:r>
        <w:rPr/>
        <w:t>trigger allergic symptoms.</w:t>
      </w:r>
    </w:p>
    <w:p>
      <w:pPr>
        <w:pStyle w:val="Heading1"/>
        <w:spacing w:before="222"/>
        <w:ind w:left="616"/>
        <w:jc w:val="both"/>
      </w:pPr>
      <w:r>
        <w:rPr/>
        <w:t>Antidepressant effect of rooibos</w:t>
      </w:r>
    </w:p>
    <w:p>
      <w:pPr>
        <w:pStyle w:val="BodyText"/>
        <w:spacing w:before="300"/>
        <w:ind w:left="616"/>
        <w:jc w:val="both"/>
      </w:pPr>
      <w:r>
        <w:rPr/>
        <w:t>The</w:t>
      </w:r>
      <w:r>
        <w:rPr>
          <w:spacing w:val="79"/>
        </w:rPr>
        <w:t> </w:t>
      </w:r>
      <w:r>
        <w:rPr/>
        <w:t>flavonoids</w:t>
      </w:r>
      <w:r>
        <w:rPr>
          <w:spacing w:val="78"/>
        </w:rPr>
        <w:t> </w:t>
      </w:r>
      <w:r>
        <w:rPr/>
        <w:t>contained</w:t>
      </w:r>
      <w:r>
        <w:rPr>
          <w:spacing w:val="78"/>
        </w:rPr>
        <w:t> </w:t>
      </w:r>
      <w:r>
        <w:rPr/>
        <w:t>in</w:t>
      </w:r>
      <w:r>
        <w:rPr>
          <w:spacing w:val="78"/>
        </w:rPr>
        <w:t> </w:t>
      </w:r>
      <w:r>
        <w:rPr/>
        <w:t>rooibos</w:t>
      </w:r>
      <w:r>
        <w:rPr>
          <w:spacing w:val="80"/>
        </w:rPr>
        <w:t> </w:t>
      </w:r>
      <w:r>
        <w:rPr/>
        <w:t>‘quercetin’</w:t>
      </w:r>
      <w:r>
        <w:rPr>
          <w:spacing w:val="79"/>
        </w:rPr>
        <w:t> </w:t>
      </w:r>
      <w:r>
        <w:rPr/>
        <w:t>and</w:t>
      </w:r>
      <w:r>
        <w:rPr>
          <w:spacing w:val="78"/>
        </w:rPr>
        <w:t> </w:t>
      </w:r>
      <w:r>
        <w:rPr/>
        <w:t>‘isoquercetin’</w:t>
      </w:r>
      <w:r>
        <w:rPr>
          <w:spacing w:val="79"/>
        </w:rPr>
        <w:t> </w:t>
      </w:r>
      <w:r>
        <w:rPr/>
        <w:t>have</w:t>
      </w:r>
      <w:r>
        <w:rPr>
          <w:spacing w:val="79"/>
        </w:rPr>
        <w:t> </w:t>
      </w:r>
      <w:r>
        <w:rPr/>
        <w:t>a</w:t>
      </w:r>
    </w:p>
    <w:p>
      <w:pPr>
        <w:spacing w:after="0"/>
        <w:jc w:val="both"/>
        <w:sectPr>
          <w:pgSz w:w="14270" w:h="16850"/>
          <w:pgMar w:header="0" w:footer="1891" w:top="1320" w:bottom="2080" w:left="800" w:right="1280"/>
        </w:sectPr>
      </w:pPr>
    </w:p>
    <w:p>
      <w:pPr>
        <w:pStyle w:val="BodyText"/>
        <w:spacing w:line="278" w:lineRule="auto" w:before="72"/>
        <w:ind w:left="616"/>
      </w:pPr>
      <w:r>
        <w:rPr/>
        <w:t>mood-lifting effect by releasing the ‘happiness hormone’ serotonin, which leads to a true feeling of wellbeing.</w:t>
      </w:r>
    </w:p>
    <w:p>
      <w:pPr>
        <w:pStyle w:val="BodyText"/>
        <w:rPr>
          <w:sz w:val="42"/>
        </w:rPr>
      </w:pPr>
    </w:p>
    <w:p>
      <w:pPr>
        <w:pStyle w:val="BodyText"/>
        <w:spacing w:before="8"/>
        <w:rPr>
          <w:sz w:val="43"/>
        </w:rPr>
      </w:pPr>
    </w:p>
    <w:p>
      <w:pPr>
        <w:pStyle w:val="Heading2"/>
        <w:ind w:left="616"/>
      </w:pPr>
      <w:r>
        <w:rPr/>
        <w:t>Specific effects of rooibos tea</w:t>
      </w:r>
    </w:p>
    <w:p>
      <w:pPr>
        <w:pStyle w:val="BodyText"/>
        <w:spacing w:line="278" w:lineRule="auto" w:before="304"/>
        <w:ind w:left="616"/>
      </w:pPr>
      <w:r>
        <w:rPr/>
        <w:t>Rooibos</w:t>
      </w:r>
      <w:r>
        <w:rPr>
          <w:spacing w:val="-11"/>
        </w:rPr>
        <w:t> </w:t>
      </w:r>
      <w:r>
        <w:rPr/>
        <w:t>tea</w:t>
      </w:r>
      <w:r>
        <w:rPr>
          <w:spacing w:val="-12"/>
        </w:rPr>
        <w:t> </w:t>
      </w:r>
      <w:r>
        <w:rPr/>
        <w:t>has</w:t>
      </w:r>
      <w:r>
        <w:rPr>
          <w:spacing w:val="-11"/>
        </w:rPr>
        <w:t> </w:t>
      </w:r>
      <w:r>
        <w:rPr/>
        <w:t>proven</w:t>
      </w:r>
      <w:r>
        <w:rPr>
          <w:spacing w:val="-10"/>
        </w:rPr>
        <w:t> </w:t>
      </w:r>
      <w:r>
        <w:rPr/>
        <w:t>itself</w:t>
      </w:r>
      <w:r>
        <w:rPr>
          <w:spacing w:val="-12"/>
        </w:rPr>
        <w:t> </w:t>
      </w:r>
      <w:r>
        <w:rPr/>
        <w:t>especially</w:t>
      </w:r>
      <w:r>
        <w:rPr>
          <w:spacing w:val="-11"/>
        </w:rPr>
        <w:t> </w:t>
      </w:r>
      <w:r>
        <w:rPr/>
        <w:t>effective</w:t>
      </w:r>
      <w:r>
        <w:rPr>
          <w:spacing w:val="-10"/>
        </w:rPr>
        <w:t> </w:t>
      </w:r>
      <w:r>
        <w:rPr/>
        <w:t>on</w:t>
      </w:r>
      <w:r>
        <w:rPr>
          <w:spacing w:val="-10"/>
        </w:rPr>
        <w:t> </w:t>
      </w:r>
      <w:r>
        <w:rPr/>
        <w:t>the</w:t>
      </w:r>
      <w:r>
        <w:rPr>
          <w:spacing w:val="-11"/>
        </w:rPr>
        <w:t> </w:t>
      </w:r>
      <w:r>
        <w:rPr/>
        <w:t>following</w:t>
      </w:r>
      <w:r>
        <w:rPr>
          <w:spacing w:val="-11"/>
        </w:rPr>
        <w:t> </w:t>
      </w:r>
      <w:r>
        <w:rPr/>
        <w:t>diseases</w:t>
      </w:r>
      <w:r>
        <w:rPr>
          <w:spacing w:val="-10"/>
        </w:rPr>
        <w:t> </w:t>
      </w:r>
      <w:r>
        <w:rPr/>
        <w:t>and disorders:</w:t>
      </w:r>
    </w:p>
    <w:p>
      <w:pPr>
        <w:pStyle w:val="ListParagraph"/>
        <w:numPr>
          <w:ilvl w:val="0"/>
          <w:numId w:val="105"/>
        </w:numPr>
        <w:tabs>
          <w:tab w:pos="1031" w:val="left" w:leader="none"/>
          <w:tab w:pos="1032" w:val="left" w:leader="none"/>
        </w:tabs>
        <w:spacing w:line="240" w:lineRule="auto" w:before="194" w:after="0"/>
        <w:ind w:left="1031" w:right="0" w:hanging="415"/>
        <w:jc w:val="left"/>
        <w:rPr>
          <w:sz w:val="38"/>
        </w:rPr>
      </w:pPr>
      <w:r>
        <w:rPr>
          <w:sz w:val="38"/>
        </w:rPr>
        <w:t>Allergies</w:t>
      </w:r>
    </w:p>
    <w:p>
      <w:pPr>
        <w:pStyle w:val="ListParagraph"/>
        <w:numPr>
          <w:ilvl w:val="0"/>
          <w:numId w:val="105"/>
        </w:numPr>
        <w:tabs>
          <w:tab w:pos="1031" w:val="left" w:leader="none"/>
          <w:tab w:pos="1032" w:val="left" w:leader="none"/>
        </w:tabs>
        <w:spacing w:line="240" w:lineRule="auto" w:before="183" w:after="0"/>
        <w:ind w:left="1031" w:right="0" w:hanging="415"/>
        <w:jc w:val="left"/>
        <w:rPr>
          <w:sz w:val="38"/>
        </w:rPr>
      </w:pPr>
      <w:r>
        <w:rPr>
          <w:sz w:val="38"/>
        </w:rPr>
        <w:t>Oral</w:t>
      </w:r>
      <w:r>
        <w:rPr>
          <w:spacing w:val="-2"/>
          <w:sz w:val="38"/>
        </w:rPr>
        <w:t> </w:t>
      </w:r>
      <w:r>
        <w:rPr>
          <w:sz w:val="38"/>
        </w:rPr>
        <w:t>apthae</w:t>
      </w:r>
    </w:p>
    <w:p>
      <w:pPr>
        <w:pStyle w:val="ListParagraph"/>
        <w:numPr>
          <w:ilvl w:val="0"/>
          <w:numId w:val="105"/>
        </w:numPr>
        <w:tabs>
          <w:tab w:pos="1031" w:val="left" w:leader="none"/>
          <w:tab w:pos="1032" w:val="left" w:leader="none"/>
        </w:tabs>
        <w:spacing w:line="240" w:lineRule="auto" w:before="184" w:after="0"/>
        <w:ind w:left="1031" w:right="0" w:hanging="415"/>
        <w:jc w:val="left"/>
        <w:rPr>
          <w:sz w:val="38"/>
        </w:rPr>
      </w:pPr>
      <w:r>
        <w:rPr>
          <w:sz w:val="38"/>
        </w:rPr>
        <w:t>Skin</w:t>
      </w:r>
      <w:r>
        <w:rPr>
          <w:spacing w:val="-2"/>
          <w:sz w:val="38"/>
        </w:rPr>
        <w:t> </w:t>
      </w:r>
      <w:r>
        <w:rPr>
          <w:sz w:val="38"/>
        </w:rPr>
        <w:t>diseases</w:t>
      </w:r>
    </w:p>
    <w:p>
      <w:pPr>
        <w:pStyle w:val="ListParagraph"/>
        <w:numPr>
          <w:ilvl w:val="0"/>
          <w:numId w:val="105"/>
        </w:numPr>
        <w:tabs>
          <w:tab w:pos="1031" w:val="left" w:leader="none"/>
          <w:tab w:pos="1032" w:val="left" w:leader="none"/>
        </w:tabs>
        <w:spacing w:line="240" w:lineRule="auto" w:before="184" w:after="0"/>
        <w:ind w:left="1031" w:right="0" w:hanging="415"/>
        <w:jc w:val="left"/>
        <w:rPr>
          <w:sz w:val="38"/>
        </w:rPr>
      </w:pPr>
      <w:r>
        <w:rPr>
          <w:sz w:val="38"/>
        </w:rPr>
        <w:t>Inflammation of the oral mucous membrane and the</w:t>
      </w:r>
      <w:r>
        <w:rPr>
          <w:spacing w:val="-1"/>
          <w:sz w:val="38"/>
        </w:rPr>
        <w:t> </w:t>
      </w:r>
      <w:r>
        <w:rPr>
          <w:sz w:val="38"/>
        </w:rPr>
        <w:t>gums</w:t>
      </w:r>
    </w:p>
    <w:p>
      <w:pPr>
        <w:pStyle w:val="ListParagraph"/>
        <w:numPr>
          <w:ilvl w:val="0"/>
          <w:numId w:val="105"/>
        </w:numPr>
        <w:tabs>
          <w:tab w:pos="1031" w:val="left" w:leader="none"/>
          <w:tab w:pos="1032" w:val="left" w:leader="none"/>
        </w:tabs>
        <w:spacing w:line="240" w:lineRule="auto" w:before="186" w:after="0"/>
        <w:ind w:left="1031" w:right="0" w:hanging="415"/>
        <w:jc w:val="left"/>
        <w:rPr>
          <w:sz w:val="38"/>
        </w:rPr>
      </w:pPr>
      <w:r>
        <w:rPr>
          <w:sz w:val="38"/>
        </w:rPr>
        <w:t>Cardiovascular</w:t>
      </w:r>
      <w:r>
        <w:rPr>
          <w:spacing w:val="1"/>
          <w:sz w:val="38"/>
        </w:rPr>
        <w:t> </w:t>
      </w:r>
      <w:r>
        <w:rPr>
          <w:sz w:val="38"/>
        </w:rPr>
        <w:t>disease</w:t>
      </w:r>
    </w:p>
    <w:p>
      <w:pPr>
        <w:pStyle w:val="ListParagraph"/>
        <w:numPr>
          <w:ilvl w:val="0"/>
          <w:numId w:val="105"/>
        </w:numPr>
        <w:tabs>
          <w:tab w:pos="1031" w:val="left" w:leader="none"/>
          <w:tab w:pos="1032" w:val="left" w:leader="none"/>
        </w:tabs>
        <w:spacing w:line="240" w:lineRule="auto" w:before="184" w:after="0"/>
        <w:ind w:left="1031" w:right="0" w:hanging="415"/>
        <w:jc w:val="left"/>
        <w:rPr>
          <w:sz w:val="38"/>
        </w:rPr>
      </w:pPr>
      <w:r>
        <w:rPr>
          <w:sz w:val="38"/>
        </w:rPr>
        <w:t>Atherosclerosis</w:t>
      </w:r>
    </w:p>
    <w:p>
      <w:pPr>
        <w:pStyle w:val="ListParagraph"/>
        <w:numPr>
          <w:ilvl w:val="0"/>
          <w:numId w:val="105"/>
        </w:numPr>
        <w:tabs>
          <w:tab w:pos="1031" w:val="left" w:leader="none"/>
          <w:tab w:pos="1032" w:val="left" w:leader="none"/>
        </w:tabs>
        <w:spacing w:line="240" w:lineRule="auto" w:before="183" w:after="0"/>
        <w:ind w:left="1031" w:right="0" w:hanging="415"/>
        <w:jc w:val="left"/>
        <w:rPr>
          <w:sz w:val="38"/>
        </w:rPr>
      </w:pPr>
      <w:r>
        <w:rPr>
          <w:sz w:val="38"/>
        </w:rPr>
        <w:t>Cancer</w:t>
      </w:r>
    </w:p>
    <w:p>
      <w:pPr>
        <w:pStyle w:val="ListParagraph"/>
        <w:numPr>
          <w:ilvl w:val="0"/>
          <w:numId w:val="105"/>
        </w:numPr>
        <w:tabs>
          <w:tab w:pos="1031" w:val="left" w:leader="none"/>
          <w:tab w:pos="1032" w:val="left" w:leader="none"/>
        </w:tabs>
        <w:spacing w:line="240" w:lineRule="auto" w:before="184" w:after="0"/>
        <w:ind w:left="1031" w:right="0" w:hanging="415"/>
        <w:jc w:val="left"/>
        <w:rPr>
          <w:sz w:val="38"/>
        </w:rPr>
      </w:pPr>
      <w:r>
        <w:rPr>
          <w:sz w:val="38"/>
        </w:rPr>
        <w:t>Gastrointestinal</w:t>
      </w:r>
      <w:r>
        <w:rPr>
          <w:spacing w:val="-2"/>
          <w:sz w:val="38"/>
        </w:rPr>
        <w:t> </w:t>
      </w:r>
      <w:r>
        <w:rPr>
          <w:sz w:val="38"/>
        </w:rPr>
        <w:t>complaints</w:t>
      </w:r>
    </w:p>
    <w:p>
      <w:pPr>
        <w:pStyle w:val="ListParagraph"/>
        <w:numPr>
          <w:ilvl w:val="0"/>
          <w:numId w:val="105"/>
        </w:numPr>
        <w:tabs>
          <w:tab w:pos="1031" w:val="left" w:leader="none"/>
          <w:tab w:pos="1032" w:val="left" w:leader="none"/>
        </w:tabs>
        <w:spacing w:line="240" w:lineRule="auto" w:before="184" w:after="0"/>
        <w:ind w:left="1031" w:right="0" w:hanging="415"/>
        <w:jc w:val="left"/>
        <w:rPr>
          <w:sz w:val="38"/>
        </w:rPr>
      </w:pPr>
      <w:r>
        <w:rPr>
          <w:sz w:val="38"/>
        </w:rPr>
        <w:t>Intestinal inflammation</w:t>
      </w:r>
    </w:p>
    <w:p>
      <w:pPr>
        <w:pStyle w:val="ListParagraph"/>
        <w:numPr>
          <w:ilvl w:val="0"/>
          <w:numId w:val="105"/>
        </w:numPr>
        <w:tabs>
          <w:tab w:pos="1031" w:val="left" w:leader="none"/>
          <w:tab w:pos="1032" w:val="left" w:leader="none"/>
        </w:tabs>
        <w:spacing w:line="240" w:lineRule="auto" w:before="186" w:after="0"/>
        <w:ind w:left="1031" w:right="0" w:hanging="415"/>
        <w:jc w:val="left"/>
        <w:rPr>
          <w:sz w:val="38"/>
        </w:rPr>
      </w:pPr>
      <w:r>
        <w:rPr>
          <w:sz w:val="38"/>
        </w:rPr>
        <w:t>Diarrhoea</w:t>
      </w:r>
    </w:p>
    <w:p>
      <w:pPr>
        <w:pStyle w:val="ListParagraph"/>
        <w:numPr>
          <w:ilvl w:val="0"/>
          <w:numId w:val="105"/>
        </w:numPr>
        <w:tabs>
          <w:tab w:pos="1031" w:val="left" w:leader="none"/>
          <w:tab w:pos="1032" w:val="left" w:leader="none"/>
        </w:tabs>
        <w:spacing w:line="240" w:lineRule="auto" w:before="183" w:after="0"/>
        <w:ind w:left="1031" w:right="0" w:hanging="415"/>
        <w:jc w:val="left"/>
        <w:rPr>
          <w:sz w:val="38"/>
        </w:rPr>
      </w:pPr>
      <w:r>
        <w:rPr>
          <w:sz w:val="38"/>
        </w:rPr>
        <w:t>Hives</w:t>
      </w:r>
    </w:p>
    <w:p>
      <w:pPr>
        <w:pStyle w:val="ListParagraph"/>
        <w:numPr>
          <w:ilvl w:val="0"/>
          <w:numId w:val="105"/>
        </w:numPr>
        <w:tabs>
          <w:tab w:pos="1031" w:val="left" w:leader="none"/>
          <w:tab w:pos="1032" w:val="left" w:leader="none"/>
        </w:tabs>
        <w:spacing w:line="240" w:lineRule="auto" w:before="184" w:after="0"/>
        <w:ind w:left="1031" w:right="0" w:hanging="415"/>
        <w:jc w:val="left"/>
        <w:rPr>
          <w:sz w:val="38"/>
        </w:rPr>
      </w:pPr>
      <w:r>
        <w:rPr>
          <w:sz w:val="38"/>
        </w:rPr>
        <w:t>Nappy</w:t>
      </w:r>
      <w:r>
        <w:rPr>
          <w:spacing w:val="-3"/>
          <w:sz w:val="38"/>
        </w:rPr>
        <w:t> </w:t>
      </w:r>
      <w:r>
        <w:rPr>
          <w:sz w:val="38"/>
        </w:rPr>
        <w:t>rash</w:t>
      </w:r>
    </w:p>
    <w:p>
      <w:pPr>
        <w:pStyle w:val="ListParagraph"/>
        <w:numPr>
          <w:ilvl w:val="0"/>
          <w:numId w:val="105"/>
        </w:numPr>
        <w:tabs>
          <w:tab w:pos="1031" w:val="left" w:leader="none"/>
          <w:tab w:pos="1032" w:val="left" w:leader="none"/>
        </w:tabs>
        <w:spacing w:line="240" w:lineRule="auto" w:before="184" w:after="0"/>
        <w:ind w:left="1031" w:right="0" w:hanging="415"/>
        <w:jc w:val="left"/>
        <w:rPr>
          <w:sz w:val="38"/>
        </w:rPr>
      </w:pPr>
      <w:r>
        <w:rPr>
          <w:sz w:val="38"/>
        </w:rPr>
        <w:t>Liver problems</w:t>
      </w:r>
    </w:p>
    <w:p>
      <w:pPr>
        <w:spacing w:after="0" w:line="240" w:lineRule="auto"/>
        <w:jc w:val="left"/>
        <w:rPr>
          <w:sz w:val="38"/>
        </w:rPr>
        <w:sectPr>
          <w:pgSz w:w="14270" w:h="16850"/>
          <w:pgMar w:header="0" w:footer="1891" w:top="1340" w:bottom="2080" w:left="800" w:right="1280"/>
        </w:sectPr>
      </w:pPr>
    </w:p>
    <w:p>
      <w:pPr>
        <w:pStyle w:val="ListParagraph"/>
        <w:numPr>
          <w:ilvl w:val="0"/>
          <w:numId w:val="105"/>
        </w:numPr>
        <w:tabs>
          <w:tab w:pos="1032" w:val="left" w:leader="none"/>
        </w:tabs>
        <w:spacing w:line="240" w:lineRule="auto" w:before="53" w:after="0"/>
        <w:ind w:left="1031" w:right="0" w:hanging="415"/>
        <w:jc w:val="both"/>
        <w:rPr>
          <w:sz w:val="38"/>
        </w:rPr>
      </w:pPr>
      <w:r>
        <w:rPr>
          <w:sz w:val="38"/>
        </w:rPr>
        <w:t>Paediatric</w:t>
      </w:r>
      <w:r>
        <w:rPr>
          <w:spacing w:val="-1"/>
          <w:sz w:val="38"/>
        </w:rPr>
        <w:t> </w:t>
      </w:r>
      <w:r>
        <w:rPr>
          <w:sz w:val="38"/>
        </w:rPr>
        <w:t>illnesses</w:t>
      </w:r>
    </w:p>
    <w:p>
      <w:pPr>
        <w:pStyle w:val="ListParagraph"/>
        <w:numPr>
          <w:ilvl w:val="0"/>
          <w:numId w:val="105"/>
        </w:numPr>
        <w:tabs>
          <w:tab w:pos="1032" w:val="left" w:leader="none"/>
        </w:tabs>
        <w:spacing w:line="240" w:lineRule="auto" w:before="186" w:after="0"/>
        <w:ind w:left="1031" w:right="0" w:hanging="415"/>
        <w:jc w:val="both"/>
        <w:rPr>
          <w:sz w:val="38"/>
        </w:rPr>
      </w:pPr>
      <w:r>
        <w:rPr>
          <w:sz w:val="38"/>
        </w:rPr>
        <w:t>Infant</w:t>
      </w:r>
      <w:r>
        <w:rPr>
          <w:spacing w:val="-10"/>
          <w:sz w:val="38"/>
        </w:rPr>
        <w:t> </w:t>
      </w:r>
      <w:r>
        <w:rPr>
          <w:sz w:val="38"/>
        </w:rPr>
        <w:t>colic</w:t>
      </w:r>
    </w:p>
    <w:p>
      <w:pPr>
        <w:pStyle w:val="ListParagraph"/>
        <w:numPr>
          <w:ilvl w:val="0"/>
          <w:numId w:val="105"/>
        </w:numPr>
        <w:tabs>
          <w:tab w:pos="1032" w:val="left" w:leader="none"/>
        </w:tabs>
        <w:spacing w:line="240" w:lineRule="auto" w:before="184" w:after="0"/>
        <w:ind w:left="1031" w:right="0" w:hanging="415"/>
        <w:jc w:val="both"/>
        <w:rPr>
          <w:sz w:val="38"/>
        </w:rPr>
      </w:pPr>
      <w:r>
        <w:rPr>
          <w:sz w:val="38"/>
        </w:rPr>
        <w:t>Depression</w:t>
      </w:r>
    </w:p>
    <w:p>
      <w:pPr>
        <w:pStyle w:val="ListParagraph"/>
        <w:numPr>
          <w:ilvl w:val="0"/>
          <w:numId w:val="105"/>
        </w:numPr>
        <w:tabs>
          <w:tab w:pos="1032" w:val="left" w:leader="none"/>
        </w:tabs>
        <w:spacing w:line="240" w:lineRule="auto" w:before="184" w:after="0"/>
        <w:ind w:left="1031" w:right="0" w:hanging="415"/>
        <w:jc w:val="both"/>
        <w:rPr>
          <w:sz w:val="38"/>
        </w:rPr>
      </w:pPr>
      <w:r>
        <w:rPr>
          <w:sz w:val="38"/>
        </w:rPr>
        <w:t>Migraines/headaches</w:t>
      </w:r>
    </w:p>
    <w:p>
      <w:pPr>
        <w:pStyle w:val="ListParagraph"/>
        <w:numPr>
          <w:ilvl w:val="0"/>
          <w:numId w:val="105"/>
        </w:numPr>
        <w:tabs>
          <w:tab w:pos="1032" w:val="left" w:leader="none"/>
        </w:tabs>
        <w:spacing w:line="240" w:lineRule="auto" w:before="183" w:after="0"/>
        <w:ind w:left="1031" w:right="0" w:hanging="415"/>
        <w:jc w:val="both"/>
        <w:rPr>
          <w:sz w:val="38"/>
        </w:rPr>
      </w:pPr>
      <w:r>
        <w:rPr>
          <w:sz w:val="38"/>
        </w:rPr>
        <w:t>Sleep</w:t>
      </w:r>
      <w:r>
        <w:rPr>
          <w:spacing w:val="-2"/>
          <w:sz w:val="38"/>
        </w:rPr>
        <w:t> </w:t>
      </w:r>
      <w:r>
        <w:rPr>
          <w:sz w:val="38"/>
        </w:rPr>
        <w:t>disorders</w:t>
      </w:r>
    </w:p>
    <w:p>
      <w:pPr>
        <w:pStyle w:val="ListParagraph"/>
        <w:numPr>
          <w:ilvl w:val="0"/>
          <w:numId w:val="105"/>
        </w:numPr>
        <w:tabs>
          <w:tab w:pos="1032" w:val="left" w:leader="none"/>
        </w:tabs>
        <w:spacing w:line="240" w:lineRule="auto" w:before="184" w:after="0"/>
        <w:ind w:left="1031" w:right="0" w:hanging="415"/>
        <w:jc w:val="both"/>
        <w:rPr>
          <w:sz w:val="38"/>
        </w:rPr>
      </w:pPr>
      <w:r>
        <w:rPr>
          <w:sz w:val="38"/>
        </w:rPr>
        <w:t>Caries</w:t>
      </w:r>
    </w:p>
    <w:p>
      <w:pPr>
        <w:pStyle w:val="ListParagraph"/>
        <w:numPr>
          <w:ilvl w:val="0"/>
          <w:numId w:val="105"/>
        </w:numPr>
        <w:tabs>
          <w:tab w:pos="1032" w:val="left" w:leader="none"/>
        </w:tabs>
        <w:spacing w:line="240" w:lineRule="auto" w:before="186" w:after="0"/>
        <w:ind w:left="1031" w:right="0" w:hanging="415"/>
        <w:jc w:val="both"/>
        <w:rPr>
          <w:sz w:val="38"/>
        </w:rPr>
      </w:pPr>
      <w:r>
        <w:rPr>
          <w:sz w:val="38"/>
        </w:rPr>
        <w:t>PMS (Premenstrual</w:t>
      </w:r>
      <w:r>
        <w:rPr>
          <w:spacing w:val="-3"/>
          <w:sz w:val="38"/>
        </w:rPr>
        <w:t> </w:t>
      </w:r>
      <w:r>
        <w:rPr>
          <w:sz w:val="38"/>
        </w:rPr>
        <w:t>syndrome)</w:t>
      </w:r>
    </w:p>
    <w:p>
      <w:pPr>
        <w:pStyle w:val="ListParagraph"/>
        <w:numPr>
          <w:ilvl w:val="0"/>
          <w:numId w:val="105"/>
        </w:numPr>
        <w:tabs>
          <w:tab w:pos="1032" w:val="left" w:leader="none"/>
        </w:tabs>
        <w:spacing w:line="240" w:lineRule="auto" w:before="184" w:after="0"/>
        <w:ind w:left="1031" w:right="0" w:hanging="415"/>
        <w:jc w:val="both"/>
        <w:rPr>
          <w:sz w:val="38"/>
        </w:rPr>
      </w:pPr>
      <w:r>
        <w:rPr>
          <w:sz w:val="38"/>
        </w:rPr>
        <w:t>Anaemia (blood deficiency)</w:t>
      </w:r>
    </w:p>
    <w:p>
      <w:pPr>
        <w:pStyle w:val="ListParagraph"/>
        <w:numPr>
          <w:ilvl w:val="0"/>
          <w:numId w:val="105"/>
        </w:numPr>
        <w:tabs>
          <w:tab w:pos="1032" w:val="left" w:leader="none"/>
        </w:tabs>
        <w:spacing w:line="240" w:lineRule="auto" w:before="184" w:after="0"/>
        <w:ind w:left="1031" w:right="0" w:hanging="415"/>
        <w:jc w:val="both"/>
        <w:rPr>
          <w:sz w:val="38"/>
        </w:rPr>
      </w:pPr>
      <w:r>
        <w:rPr>
          <w:sz w:val="38"/>
        </w:rPr>
        <w:t>Diet-supporting</w:t>
      </w:r>
    </w:p>
    <w:p>
      <w:pPr>
        <w:pStyle w:val="Heading1"/>
        <w:spacing w:before="287"/>
        <w:ind w:left="616"/>
        <w:jc w:val="both"/>
      </w:pPr>
      <w:r>
        <w:rPr/>
        <w:t>Effect of rooibos tea against allergies</w:t>
      </w:r>
    </w:p>
    <w:p>
      <w:pPr>
        <w:pStyle w:val="BodyText"/>
        <w:spacing w:line="276" w:lineRule="auto" w:before="297"/>
        <w:ind w:left="616" w:right="134"/>
        <w:jc w:val="both"/>
      </w:pPr>
      <w:r>
        <w:rPr/>
        <w:t>Allergies are constantly on the rise; this can largely be explained by an ever more overtaxed immune system which has to combat the constant increase in foreign substances in our environment.</w:t>
      </w:r>
    </w:p>
    <w:p>
      <w:pPr>
        <w:pStyle w:val="BodyText"/>
        <w:spacing w:before="241"/>
        <w:ind w:left="616"/>
        <w:jc w:val="both"/>
      </w:pPr>
      <w:r>
        <w:rPr/>
        <w:t>The most common allergies include:</w:t>
      </w:r>
    </w:p>
    <w:p>
      <w:pPr>
        <w:pStyle w:val="ListParagraph"/>
        <w:numPr>
          <w:ilvl w:val="0"/>
          <w:numId w:val="105"/>
        </w:numPr>
        <w:tabs>
          <w:tab w:pos="1032" w:val="left" w:leader="none"/>
        </w:tabs>
        <w:spacing w:line="240" w:lineRule="auto" w:before="266" w:after="0"/>
        <w:ind w:left="1031" w:right="0" w:hanging="415"/>
        <w:jc w:val="both"/>
        <w:rPr>
          <w:sz w:val="38"/>
        </w:rPr>
      </w:pPr>
      <w:r>
        <w:rPr>
          <w:sz w:val="38"/>
        </w:rPr>
        <w:t>Pollen allergy (hay</w:t>
      </w:r>
      <w:r>
        <w:rPr>
          <w:spacing w:val="1"/>
          <w:sz w:val="38"/>
        </w:rPr>
        <w:t> </w:t>
      </w:r>
      <w:r>
        <w:rPr>
          <w:sz w:val="38"/>
        </w:rPr>
        <w:t>fever)</w:t>
      </w:r>
    </w:p>
    <w:p>
      <w:pPr>
        <w:pStyle w:val="ListParagraph"/>
        <w:numPr>
          <w:ilvl w:val="0"/>
          <w:numId w:val="105"/>
        </w:numPr>
        <w:tabs>
          <w:tab w:pos="1032" w:val="left" w:leader="none"/>
        </w:tabs>
        <w:spacing w:line="240" w:lineRule="auto" w:before="183" w:after="0"/>
        <w:ind w:left="1031" w:right="0" w:hanging="415"/>
        <w:jc w:val="both"/>
        <w:rPr>
          <w:sz w:val="38"/>
        </w:rPr>
      </w:pPr>
      <w:r>
        <w:rPr>
          <w:sz w:val="38"/>
        </w:rPr>
        <w:t>Food allergy</w:t>
      </w:r>
    </w:p>
    <w:p>
      <w:pPr>
        <w:pStyle w:val="ListParagraph"/>
        <w:numPr>
          <w:ilvl w:val="0"/>
          <w:numId w:val="105"/>
        </w:numPr>
        <w:tabs>
          <w:tab w:pos="1032" w:val="left" w:leader="none"/>
        </w:tabs>
        <w:spacing w:line="240" w:lineRule="auto" w:before="184" w:after="0"/>
        <w:ind w:left="1031" w:right="0" w:hanging="415"/>
        <w:jc w:val="both"/>
        <w:rPr>
          <w:sz w:val="38"/>
        </w:rPr>
      </w:pPr>
      <w:r>
        <w:rPr>
          <w:sz w:val="38"/>
        </w:rPr>
        <w:t>Animal hair allergy</w:t>
      </w:r>
    </w:p>
    <w:p>
      <w:pPr>
        <w:pStyle w:val="ListParagraph"/>
        <w:numPr>
          <w:ilvl w:val="0"/>
          <w:numId w:val="105"/>
        </w:numPr>
        <w:tabs>
          <w:tab w:pos="1032" w:val="left" w:leader="none"/>
        </w:tabs>
        <w:spacing w:line="240" w:lineRule="auto" w:before="184" w:after="0"/>
        <w:ind w:left="1031" w:right="0" w:hanging="415"/>
        <w:jc w:val="both"/>
        <w:rPr>
          <w:sz w:val="38"/>
        </w:rPr>
      </w:pPr>
      <w:r>
        <w:rPr>
          <w:sz w:val="38"/>
        </w:rPr>
        <w:t>Dust mite</w:t>
      </w:r>
      <w:r>
        <w:rPr>
          <w:spacing w:val="-3"/>
          <w:sz w:val="38"/>
        </w:rPr>
        <w:t> </w:t>
      </w:r>
      <w:r>
        <w:rPr>
          <w:sz w:val="38"/>
        </w:rPr>
        <w:t>allergy</w:t>
      </w:r>
    </w:p>
    <w:p>
      <w:pPr>
        <w:pStyle w:val="ListParagraph"/>
        <w:numPr>
          <w:ilvl w:val="0"/>
          <w:numId w:val="105"/>
        </w:numPr>
        <w:tabs>
          <w:tab w:pos="1032" w:val="left" w:leader="none"/>
        </w:tabs>
        <w:spacing w:line="240" w:lineRule="auto" w:before="186" w:after="0"/>
        <w:ind w:left="1031" w:right="0" w:hanging="415"/>
        <w:jc w:val="both"/>
        <w:rPr>
          <w:sz w:val="38"/>
        </w:rPr>
      </w:pPr>
      <w:r>
        <w:rPr>
          <w:sz w:val="38"/>
        </w:rPr>
        <w:t>Insect</w:t>
      </w:r>
      <w:r>
        <w:rPr>
          <w:spacing w:val="-1"/>
          <w:sz w:val="38"/>
        </w:rPr>
        <w:t> </w:t>
      </w:r>
      <w:r>
        <w:rPr>
          <w:sz w:val="38"/>
        </w:rPr>
        <w:t>allergy</w:t>
      </w:r>
    </w:p>
    <w:p>
      <w:pPr>
        <w:spacing w:after="0" w:line="240" w:lineRule="auto"/>
        <w:jc w:val="both"/>
        <w:rPr>
          <w:sz w:val="38"/>
        </w:rPr>
        <w:sectPr>
          <w:pgSz w:w="14270" w:h="16850"/>
          <w:pgMar w:header="0" w:footer="1891" w:top="1360" w:bottom="2080" w:left="800" w:right="1280"/>
        </w:sectPr>
      </w:pPr>
    </w:p>
    <w:p>
      <w:pPr>
        <w:pStyle w:val="BodyText"/>
        <w:spacing w:line="276" w:lineRule="auto" w:before="72"/>
        <w:ind w:left="616" w:right="134"/>
        <w:jc w:val="both"/>
      </w:pPr>
      <w:r>
        <w:rPr/>
        <w:t>The antiallergic effect of rooibos is primarily attributable to the flavonoids which it contains, especially quercetin. This has an influence on histamine re- lease, which is known to be the trigger of allergic reactions. By suppressing quercetin, it prevents allergic symptoms like runny nose, itching, irritation of the mucous membrane, etc.</w:t>
      </w:r>
    </w:p>
    <w:p>
      <w:pPr>
        <w:pStyle w:val="BodyText"/>
        <w:rPr>
          <w:sz w:val="42"/>
        </w:rPr>
      </w:pPr>
    </w:p>
    <w:p>
      <w:pPr>
        <w:pStyle w:val="BodyText"/>
        <w:rPr>
          <w:sz w:val="42"/>
        </w:rPr>
      </w:pPr>
    </w:p>
    <w:p>
      <w:pPr>
        <w:pStyle w:val="BodyText"/>
        <w:rPr>
          <w:sz w:val="42"/>
        </w:rPr>
      </w:pPr>
    </w:p>
    <w:p>
      <w:pPr>
        <w:pStyle w:val="Heading1"/>
        <w:spacing w:before="272"/>
        <w:ind w:left="616"/>
      </w:pPr>
      <w:r>
        <w:rPr/>
        <w:t>Effect of rooibos against aphthae (oral aphthae or canker sores)</w:t>
      </w:r>
    </w:p>
    <w:p>
      <w:pPr>
        <w:pStyle w:val="BodyText"/>
        <w:spacing w:line="276" w:lineRule="auto" w:before="299"/>
        <w:ind w:left="616" w:right="138"/>
        <w:jc w:val="both"/>
      </w:pPr>
      <w:r>
        <w:rPr/>
        <w:t>The anti-inflammatory and antibacterial properties of rooibos on the mucous membrane have proven to be very helpful with aphthae in the mouth. It is conjectured that aphthae are also triggered by allergic reactions. Rooibos tea can</w:t>
      </w:r>
      <w:r>
        <w:rPr>
          <w:spacing w:val="-19"/>
        </w:rPr>
        <w:t> </w:t>
      </w:r>
      <w:r>
        <w:rPr/>
        <w:t>accommodate</w:t>
      </w:r>
      <w:r>
        <w:rPr>
          <w:spacing w:val="-19"/>
        </w:rPr>
        <w:t> </w:t>
      </w:r>
      <w:r>
        <w:rPr/>
        <w:t>this</w:t>
      </w:r>
      <w:r>
        <w:rPr>
          <w:spacing w:val="-18"/>
        </w:rPr>
        <w:t> </w:t>
      </w:r>
      <w:r>
        <w:rPr/>
        <w:t>with</w:t>
      </w:r>
      <w:r>
        <w:rPr>
          <w:spacing w:val="-18"/>
        </w:rPr>
        <w:t> </w:t>
      </w:r>
      <w:r>
        <w:rPr/>
        <w:t>its</w:t>
      </w:r>
      <w:r>
        <w:rPr>
          <w:spacing w:val="-19"/>
        </w:rPr>
        <w:t> </w:t>
      </w:r>
      <w:r>
        <w:rPr/>
        <w:t>antiallergic</w:t>
      </w:r>
      <w:r>
        <w:rPr>
          <w:spacing w:val="-20"/>
        </w:rPr>
        <w:t> </w:t>
      </w:r>
      <w:r>
        <w:rPr/>
        <w:t>properties.</w:t>
      </w:r>
      <w:r>
        <w:rPr>
          <w:spacing w:val="58"/>
        </w:rPr>
        <w:t> </w:t>
      </w:r>
      <w:r>
        <w:rPr/>
        <w:t>The</w:t>
      </w:r>
      <w:r>
        <w:rPr>
          <w:spacing w:val="-18"/>
        </w:rPr>
        <w:t> </w:t>
      </w:r>
      <w:r>
        <w:rPr/>
        <w:t>pain-relieving</w:t>
      </w:r>
      <w:r>
        <w:rPr>
          <w:spacing w:val="-18"/>
        </w:rPr>
        <w:t> </w:t>
      </w:r>
      <w:r>
        <w:rPr/>
        <w:t>effect of rooibos additionally ensures rapid noticeable</w:t>
      </w:r>
      <w:r>
        <w:rPr>
          <w:spacing w:val="-2"/>
        </w:rPr>
        <w:t> </w:t>
      </w:r>
      <w:r>
        <w:rPr/>
        <w:t>relief.</w:t>
      </w:r>
    </w:p>
    <w:p>
      <w:pPr>
        <w:pStyle w:val="Heading1"/>
        <w:spacing w:before="222"/>
        <w:ind w:left="616"/>
      </w:pPr>
      <w:r>
        <w:rPr/>
        <w:t>Effect of redbush tea on skin</w:t>
      </w:r>
      <w:r>
        <w:rPr>
          <w:spacing w:val="-64"/>
        </w:rPr>
        <w:t> </w:t>
      </w:r>
      <w:r>
        <w:rPr/>
        <w:t>problems</w:t>
      </w:r>
    </w:p>
    <w:p>
      <w:pPr>
        <w:pStyle w:val="BodyText"/>
        <w:spacing w:line="276" w:lineRule="auto" w:before="300"/>
        <w:ind w:left="616"/>
      </w:pPr>
      <w:r>
        <w:rPr/>
        <w:t>Redbush tea can, used both internally and externally, help with numerous skin problems; among these are:</w:t>
      </w:r>
    </w:p>
    <w:p>
      <w:pPr>
        <w:pStyle w:val="ListParagraph"/>
        <w:numPr>
          <w:ilvl w:val="0"/>
          <w:numId w:val="105"/>
        </w:numPr>
        <w:tabs>
          <w:tab w:pos="1032" w:val="left" w:leader="none"/>
        </w:tabs>
        <w:spacing w:line="240" w:lineRule="auto" w:before="199" w:after="0"/>
        <w:ind w:left="1031" w:right="0" w:hanging="415"/>
        <w:jc w:val="both"/>
        <w:rPr>
          <w:sz w:val="38"/>
        </w:rPr>
      </w:pPr>
      <w:r>
        <w:rPr>
          <w:sz w:val="38"/>
        </w:rPr>
        <w:t>Eczema</w:t>
      </w:r>
    </w:p>
    <w:p>
      <w:pPr>
        <w:pStyle w:val="ListParagraph"/>
        <w:numPr>
          <w:ilvl w:val="0"/>
          <w:numId w:val="105"/>
        </w:numPr>
        <w:tabs>
          <w:tab w:pos="1032" w:val="left" w:leader="none"/>
        </w:tabs>
        <w:spacing w:line="240" w:lineRule="auto" w:before="121" w:after="0"/>
        <w:ind w:left="1031" w:right="0" w:hanging="415"/>
        <w:jc w:val="both"/>
        <w:rPr>
          <w:sz w:val="38"/>
        </w:rPr>
      </w:pPr>
      <w:r>
        <w:rPr>
          <w:sz w:val="38"/>
        </w:rPr>
        <w:t>Swelling</w:t>
      </w:r>
    </w:p>
    <w:p>
      <w:pPr>
        <w:pStyle w:val="ListParagraph"/>
        <w:numPr>
          <w:ilvl w:val="0"/>
          <w:numId w:val="105"/>
        </w:numPr>
        <w:tabs>
          <w:tab w:pos="1032" w:val="left" w:leader="none"/>
        </w:tabs>
        <w:spacing w:line="240" w:lineRule="auto" w:before="119" w:after="0"/>
        <w:ind w:left="1031" w:right="0" w:hanging="415"/>
        <w:jc w:val="both"/>
        <w:rPr>
          <w:sz w:val="38"/>
        </w:rPr>
      </w:pPr>
      <w:r>
        <w:rPr>
          <w:sz w:val="38"/>
        </w:rPr>
        <w:t>Ageing</w:t>
      </w:r>
      <w:r>
        <w:rPr>
          <w:spacing w:val="-3"/>
          <w:sz w:val="38"/>
        </w:rPr>
        <w:t> </w:t>
      </w:r>
      <w:r>
        <w:rPr>
          <w:sz w:val="38"/>
        </w:rPr>
        <w:t>skin</w:t>
      </w:r>
    </w:p>
    <w:p>
      <w:pPr>
        <w:pStyle w:val="ListParagraph"/>
        <w:numPr>
          <w:ilvl w:val="0"/>
          <w:numId w:val="105"/>
        </w:numPr>
        <w:tabs>
          <w:tab w:pos="1032" w:val="left" w:leader="none"/>
        </w:tabs>
        <w:spacing w:line="240" w:lineRule="auto" w:before="122" w:after="0"/>
        <w:ind w:left="1031" w:right="0" w:hanging="415"/>
        <w:jc w:val="both"/>
        <w:rPr>
          <w:sz w:val="38"/>
        </w:rPr>
      </w:pPr>
      <w:r>
        <w:rPr>
          <w:sz w:val="38"/>
        </w:rPr>
        <w:t>Hives</w:t>
      </w:r>
    </w:p>
    <w:p>
      <w:pPr>
        <w:spacing w:after="0" w:line="240" w:lineRule="auto"/>
        <w:jc w:val="both"/>
        <w:rPr>
          <w:sz w:val="38"/>
        </w:rPr>
        <w:sectPr>
          <w:pgSz w:w="14270" w:h="16850"/>
          <w:pgMar w:header="0" w:footer="1891" w:top="1340" w:bottom="2080" w:left="800" w:right="1280"/>
        </w:sectPr>
      </w:pPr>
    </w:p>
    <w:p>
      <w:pPr>
        <w:pStyle w:val="ListParagraph"/>
        <w:numPr>
          <w:ilvl w:val="0"/>
          <w:numId w:val="105"/>
        </w:numPr>
        <w:tabs>
          <w:tab w:pos="1032" w:val="left" w:leader="none"/>
        </w:tabs>
        <w:spacing w:line="240" w:lineRule="auto" w:before="53" w:after="0"/>
        <w:ind w:left="1031" w:right="0" w:hanging="415"/>
        <w:jc w:val="both"/>
        <w:rPr>
          <w:sz w:val="38"/>
        </w:rPr>
      </w:pPr>
      <w:r>
        <w:rPr>
          <w:sz w:val="38"/>
        </w:rPr>
        <w:t>Neurodermitis</w:t>
      </w:r>
    </w:p>
    <w:p>
      <w:pPr>
        <w:pStyle w:val="ListParagraph"/>
        <w:numPr>
          <w:ilvl w:val="0"/>
          <w:numId w:val="105"/>
        </w:numPr>
        <w:tabs>
          <w:tab w:pos="1032" w:val="left" w:leader="none"/>
        </w:tabs>
        <w:spacing w:line="240" w:lineRule="auto" w:before="122" w:after="0"/>
        <w:ind w:left="1031" w:right="0" w:hanging="415"/>
        <w:jc w:val="both"/>
        <w:rPr>
          <w:sz w:val="38"/>
        </w:rPr>
      </w:pPr>
      <w:r>
        <w:rPr>
          <w:sz w:val="38"/>
        </w:rPr>
        <w:t>Itching</w:t>
      </w:r>
    </w:p>
    <w:p>
      <w:pPr>
        <w:pStyle w:val="ListParagraph"/>
        <w:numPr>
          <w:ilvl w:val="0"/>
          <w:numId w:val="105"/>
        </w:numPr>
        <w:tabs>
          <w:tab w:pos="1032" w:val="left" w:leader="none"/>
        </w:tabs>
        <w:spacing w:line="240" w:lineRule="auto" w:before="118" w:after="0"/>
        <w:ind w:left="1031" w:right="0" w:hanging="415"/>
        <w:jc w:val="both"/>
        <w:rPr>
          <w:sz w:val="38"/>
        </w:rPr>
      </w:pPr>
      <w:r>
        <w:rPr>
          <w:sz w:val="38"/>
        </w:rPr>
        <w:t>Light dermatosis</w:t>
      </w:r>
    </w:p>
    <w:p>
      <w:pPr>
        <w:pStyle w:val="ListParagraph"/>
        <w:numPr>
          <w:ilvl w:val="0"/>
          <w:numId w:val="105"/>
        </w:numPr>
        <w:tabs>
          <w:tab w:pos="1032" w:val="left" w:leader="none"/>
        </w:tabs>
        <w:spacing w:line="240" w:lineRule="auto" w:before="122" w:after="0"/>
        <w:ind w:left="1031" w:right="0" w:hanging="415"/>
        <w:jc w:val="both"/>
        <w:rPr>
          <w:sz w:val="38"/>
        </w:rPr>
      </w:pPr>
      <w:r>
        <w:rPr>
          <w:sz w:val="38"/>
        </w:rPr>
        <w:t>Nappy</w:t>
      </w:r>
      <w:r>
        <w:rPr>
          <w:spacing w:val="-3"/>
          <w:sz w:val="38"/>
        </w:rPr>
        <w:t> </w:t>
      </w:r>
      <w:r>
        <w:rPr>
          <w:sz w:val="38"/>
        </w:rPr>
        <w:t>rash</w:t>
      </w:r>
    </w:p>
    <w:p>
      <w:pPr>
        <w:pStyle w:val="ListParagraph"/>
        <w:numPr>
          <w:ilvl w:val="0"/>
          <w:numId w:val="105"/>
        </w:numPr>
        <w:tabs>
          <w:tab w:pos="1032" w:val="left" w:leader="none"/>
        </w:tabs>
        <w:spacing w:line="240" w:lineRule="auto" w:before="118" w:after="0"/>
        <w:ind w:left="1031" w:right="0" w:hanging="415"/>
        <w:jc w:val="both"/>
        <w:rPr>
          <w:sz w:val="38"/>
        </w:rPr>
      </w:pPr>
      <w:r>
        <w:rPr>
          <w:sz w:val="38"/>
        </w:rPr>
        <w:t>Psoriasis</w:t>
      </w:r>
    </w:p>
    <w:p>
      <w:pPr>
        <w:pStyle w:val="ListParagraph"/>
        <w:numPr>
          <w:ilvl w:val="0"/>
          <w:numId w:val="105"/>
        </w:numPr>
        <w:tabs>
          <w:tab w:pos="1032" w:val="left" w:leader="none"/>
        </w:tabs>
        <w:spacing w:line="240" w:lineRule="auto" w:before="122" w:after="0"/>
        <w:ind w:left="1031" w:right="0" w:hanging="415"/>
        <w:jc w:val="both"/>
        <w:rPr>
          <w:sz w:val="38"/>
        </w:rPr>
      </w:pPr>
      <w:r>
        <w:rPr>
          <w:sz w:val="38"/>
        </w:rPr>
        <w:t>Reddening</w:t>
      </w:r>
    </w:p>
    <w:p>
      <w:pPr>
        <w:pStyle w:val="ListParagraph"/>
        <w:numPr>
          <w:ilvl w:val="0"/>
          <w:numId w:val="105"/>
        </w:numPr>
        <w:tabs>
          <w:tab w:pos="1032" w:val="left" w:leader="none"/>
        </w:tabs>
        <w:spacing w:line="240" w:lineRule="auto" w:before="119" w:after="0"/>
        <w:ind w:left="1031" w:right="0" w:hanging="415"/>
        <w:jc w:val="both"/>
        <w:rPr>
          <w:sz w:val="38"/>
        </w:rPr>
      </w:pPr>
      <w:r>
        <w:rPr>
          <w:sz w:val="38"/>
        </w:rPr>
        <w:t>Sunburn</w:t>
      </w:r>
    </w:p>
    <w:p>
      <w:pPr>
        <w:pStyle w:val="ListParagraph"/>
        <w:numPr>
          <w:ilvl w:val="0"/>
          <w:numId w:val="105"/>
        </w:numPr>
        <w:tabs>
          <w:tab w:pos="1032" w:val="left" w:leader="none"/>
        </w:tabs>
        <w:spacing w:line="240" w:lineRule="auto" w:before="121" w:after="0"/>
        <w:ind w:left="1031" w:right="0" w:hanging="415"/>
        <w:jc w:val="both"/>
        <w:rPr>
          <w:sz w:val="38"/>
        </w:rPr>
      </w:pPr>
      <w:r>
        <w:rPr>
          <w:sz w:val="38"/>
        </w:rPr>
        <w:t>Herpes</w:t>
      </w:r>
    </w:p>
    <w:p>
      <w:pPr>
        <w:pStyle w:val="BodyText"/>
        <w:rPr>
          <w:sz w:val="44"/>
        </w:rPr>
      </w:pPr>
    </w:p>
    <w:p>
      <w:pPr>
        <w:pStyle w:val="BodyText"/>
        <w:spacing w:before="10"/>
        <w:rPr>
          <w:sz w:val="40"/>
        </w:rPr>
      </w:pPr>
    </w:p>
    <w:p>
      <w:pPr>
        <w:pStyle w:val="Heading1"/>
        <w:spacing w:before="0"/>
        <w:ind w:left="616"/>
        <w:jc w:val="both"/>
      </w:pPr>
      <w:r>
        <w:rPr/>
        <w:t>How redbush tea works on swelling</w:t>
      </w:r>
    </w:p>
    <w:p>
      <w:pPr>
        <w:pStyle w:val="BodyText"/>
        <w:spacing w:line="276" w:lineRule="auto" w:before="297"/>
        <w:ind w:left="616" w:right="132"/>
        <w:jc w:val="both"/>
      </w:pPr>
      <w:r>
        <w:rPr/>
        <w:t>Swelling</w:t>
      </w:r>
      <w:r>
        <w:rPr>
          <w:spacing w:val="-21"/>
        </w:rPr>
        <w:t> </w:t>
      </w:r>
      <w:r>
        <w:rPr/>
        <w:t>always</w:t>
      </w:r>
      <w:r>
        <w:rPr>
          <w:spacing w:val="-20"/>
        </w:rPr>
        <w:t> </w:t>
      </w:r>
      <w:r>
        <w:rPr/>
        <w:t>involves</w:t>
      </w:r>
      <w:r>
        <w:rPr>
          <w:spacing w:val="-22"/>
        </w:rPr>
        <w:t> </w:t>
      </w:r>
      <w:r>
        <w:rPr/>
        <w:t>inflammatory</w:t>
      </w:r>
      <w:r>
        <w:rPr>
          <w:spacing w:val="-21"/>
        </w:rPr>
        <w:t> </w:t>
      </w:r>
      <w:r>
        <w:rPr/>
        <w:t>processes.</w:t>
      </w:r>
      <w:r>
        <w:rPr>
          <w:spacing w:val="-26"/>
        </w:rPr>
        <w:t> </w:t>
      </w:r>
      <w:r>
        <w:rPr/>
        <w:t>The</w:t>
      </w:r>
      <w:r>
        <w:rPr>
          <w:spacing w:val="-22"/>
        </w:rPr>
        <w:t> </w:t>
      </w:r>
      <w:r>
        <w:rPr/>
        <w:t>anti-inflammatory</w:t>
      </w:r>
      <w:r>
        <w:rPr>
          <w:spacing w:val="-21"/>
        </w:rPr>
        <w:t> </w:t>
      </w:r>
      <w:r>
        <w:rPr/>
        <w:t>prop- erties of redbush tea, used in both internal and external forms (cold poultice with rooibos tea), can provide very rapid relief. The anti-allergy properties of redbush tea intervene in allergy-related swelling as it occurs.</w:t>
      </w:r>
    </w:p>
    <w:p>
      <w:pPr>
        <w:pStyle w:val="Heading1"/>
        <w:ind w:left="616"/>
      </w:pPr>
      <w:r>
        <w:rPr/>
        <w:t>Effect of redbush against ageing skin and wrinkles</w:t>
      </w:r>
    </w:p>
    <w:p>
      <w:pPr>
        <w:pStyle w:val="BodyText"/>
        <w:spacing w:line="276" w:lineRule="auto" w:before="300"/>
        <w:ind w:left="616" w:right="136"/>
        <w:jc w:val="both"/>
      </w:pPr>
      <w:r>
        <w:rPr/>
        <w:t>The positive effect on the skin is caused by several factors: For one, the anti- oxidants contained in rooibos protect our skin cells from free radicals which are caused by UV rays. In addition, the vitamin C in rooibos tea in particular protects collagen and supports collagen synthesis.</w:t>
      </w:r>
    </w:p>
    <w:p>
      <w:pPr>
        <w:pStyle w:val="Heading1"/>
        <w:spacing w:before="222"/>
        <w:ind w:left="616"/>
        <w:jc w:val="both"/>
      </w:pPr>
      <w:r>
        <w:rPr/>
        <w:t>How redbush tea works against hives</w:t>
      </w:r>
    </w:p>
    <w:p>
      <w:pPr>
        <w:spacing w:after="0"/>
        <w:jc w:val="both"/>
        <w:sectPr>
          <w:pgSz w:w="14270" w:h="16850"/>
          <w:pgMar w:header="0" w:footer="1891" w:top="1360" w:bottom="2080" w:left="800" w:right="1280"/>
        </w:sectPr>
      </w:pPr>
    </w:p>
    <w:p>
      <w:pPr>
        <w:pStyle w:val="BodyText"/>
        <w:spacing w:line="276" w:lineRule="auto" w:before="74"/>
        <w:ind w:left="616" w:right="135"/>
        <w:jc w:val="both"/>
      </w:pPr>
      <w:r>
        <w:rPr/>
        <w:t>Hives are relieved by the immune system-reinforcing mechanisms as well as the calming of the vegetative nervous system.</w:t>
      </w:r>
    </w:p>
    <w:p>
      <w:pPr>
        <w:pStyle w:val="Heading1"/>
        <w:spacing w:before="221"/>
        <w:ind w:left="616"/>
      </w:pPr>
      <w:r>
        <w:rPr/>
        <w:t>Effect of rooibos tea against</w:t>
      </w:r>
      <w:r>
        <w:rPr>
          <w:spacing w:val="-59"/>
        </w:rPr>
        <w:t> </w:t>
      </w:r>
      <w:r>
        <w:rPr/>
        <w:t>neurodermitis</w:t>
      </w:r>
    </w:p>
    <w:p>
      <w:pPr>
        <w:pStyle w:val="BodyText"/>
        <w:spacing w:line="276" w:lineRule="auto" w:before="300"/>
        <w:ind w:left="616" w:right="134"/>
        <w:jc w:val="both"/>
      </w:pPr>
      <w:r>
        <w:rPr/>
        <w:t>The</w:t>
      </w:r>
      <w:r>
        <w:rPr>
          <w:spacing w:val="-19"/>
        </w:rPr>
        <w:t> </w:t>
      </w:r>
      <w:r>
        <w:rPr/>
        <w:t>immune-modulating</w:t>
      </w:r>
      <w:r>
        <w:rPr>
          <w:spacing w:val="-18"/>
        </w:rPr>
        <w:t> </w:t>
      </w:r>
      <w:r>
        <w:rPr/>
        <w:t>properties</w:t>
      </w:r>
      <w:r>
        <w:rPr>
          <w:spacing w:val="-18"/>
        </w:rPr>
        <w:t> </w:t>
      </w:r>
      <w:r>
        <w:rPr/>
        <w:t>of</w:t>
      </w:r>
      <w:r>
        <w:rPr>
          <w:spacing w:val="-19"/>
        </w:rPr>
        <w:t> </w:t>
      </w:r>
      <w:r>
        <w:rPr/>
        <w:t>rooibos</w:t>
      </w:r>
      <w:r>
        <w:rPr>
          <w:spacing w:val="-19"/>
        </w:rPr>
        <w:t> </w:t>
      </w:r>
      <w:r>
        <w:rPr/>
        <w:t>tea</w:t>
      </w:r>
      <w:r>
        <w:rPr>
          <w:spacing w:val="-20"/>
        </w:rPr>
        <w:t> </w:t>
      </w:r>
      <w:r>
        <w:rPr/>
        <w:t>frequently</w:t>
      </w:r>
      <w:r>
        <w:rPr>
          <w:spacing w:val="-19"/>
        </w:rPr>
        <w:t> </w:t>
      </w:r>
      <w:r>
        <w:rPr/>
        <w:t>show</w:t>
      </w:r>
      <w:r>
        <w:rPr>
          <w:spacing w:val="-20"/>
        </w:rPr>
        <w:t> </w:t>
      </w:r>
      <w:r>
        <w:rPr/>
        <w:t>their</w:t>
      </w:r>
      <w:r>
        <w:rPr>
          <w:spacing w:val="-18"/>
        </w:rPr>
        <w:t> </w:t>
      </w:r>
      <w:r>
        <w:rPr/>
        <w:t>effect very</w:t>
      </w:r>
      <w:r>
        <w:rPr>
          <w:spacing w:val="-21"/>
        </w:rPr>
        <w:t> </w:t>
      </w:r>
      <w:r>
        <w:rPr/>
        <w:t>quickly</w:t>
      </w:r>
      <w:r>
        <w:rPr>
          <w:spacing w:val="-21"/>
        </w:rPr>
        <w:t> </w:t>
      </w:r>
      <w:r>
        <w:rPr/>
        <w:t>in</w:t>
      </w:r>
      <w:r>
        <w:rPr>
          <w:spacing w:val="-20"/>
        </w:rPr>
        <w:t> </w:t>
      </w:r>
      <w:r>
        <w:rPr/>
        <w:t>the</w:t>
      </w:r>
      <w:r>
        <w:rPr>
          <w:spacing w:val="-20"/>
        </w:rPr>
        <w:t> </w:t>
      </w:r>
      <w:r>
        <w:rPr/>
        <w:t>case</w:t>
      </w:r>
      <w:r>
        <w:rPr>
          <w:spacing w:val="-20"/>
        </w:rPr>
        <w:t> </w:t>
      </w:r>
      <w:r>
        <w:rPr/>
        <w:t>of</w:t>
      </w:r>
      <w:r>
        <w:rPr>
          <w:spacing w:val="-20"/>
        </w:rPr>
        <w:t> </w:t>
      </w:r>
      <w:r>
        <w:rPr/>
        <w:t>Neurodermitis.</w:t>
      </w:r>
      <w:r>
        <w:rPr>
          <w:spacing w:val="-20"/>
        </w:rPr>
        <w:t> </w:t>
      </w:r>
      <w:r>
        <w:rPr/>
        <w:t>With</w:t>
      </w:r>
      <w:r>
        <w:rPr>
          <w:spacing w:val="-20"/>
        </w:rPr>
        <w:t> </w:t>
      </w:r>
      <w:r>
        <w:rPr/>
        <w:t>this</w:t>
      </w:r>
      <w:r>
        <w:rPr>
          <w:spacing w:val="-20"/>
        </w:rPr>
        <w:t> </w:t>
      </w:r>
      <w:r>
        <w:rPr/>
        <w:t>illness,</w:t>
      </w:r>
      <w:r>
        <w:rPr>
          <w:spacing w:val="-20"/>
        </w:rPr>
        <w:t> </w:t>
      </w:r>
      <w:r>
        <w:rPr/>
        <w:t>you</w:t>
      </w:r>
      <w:r>
        <w:rPr>
          <w:spacing w:val="-21"/>
        </w:rPr>
        <w:t> </w:t>
      </w:r>
      <w:r>
        <w:rPr/>
        <w:t>should</w:t>
      </w:r>
      <w:r>
        <w:rPr>
          <w:spacing w:val="-21"/>
        </w:rPr>
        <w:t> </w:t>
      </w:r>
      <w:r>
        <w:rPr/>
        <w:t>proceed both internally and externally by drinking at least 1.5 litres of rooibos tea per day</w:t>
      </w:r>
      <w:r>
        <w:rPr>
          <w:spacing w:val="-16"/>
        </w:rPr>
        <w:t> </w:t>
      </w:r>
      <w:r>
        <w:rPr/>
        <w:t>while</w:t>
      </w:r>
      <w:r>
        <w:rPr>
          <w:spacing w:val="-16"/>
        </w:rPr>
        <w:t> </w:t>
      </w:r>
      <w:r>
        <w:rPr/>
        <w:t>also</w:t>
      </w:r>
      <w:r>
        <w:rPr>
          <w:spacing w:val="-15"/>
        </w:rPr>
        <w:t> </w:t>
      </w:r>
      <w:r>
        <w:rPr/>
        <w:t>applying</w:t>
      </w:r>
      <w:r>
        <w:rPr>
          <w:spacing w:val="-15"/>
        </w:rPr>
        <w:t> </w:t>
      </w:r>
      <w:r>
        <w:rPr/>
        <w:t>a</w:t>
      </w:r>
      <w:r>
        <w:rPr>
          <w:spacing w:val="-16"/>
        </w:rPr>
        <w:t> </w:t>
      </w:r>
      <w:r>
        <w:rPr/>
        <w:t>cold</w:t>
      </w:r>
      <w:r>
        <w:rPr>
          <w:spacing w:val="-16"/>
        </w:rPr>
        <w:t> </w:t>
      </w:r>
      <w:r>
        <w:rPr/>
        <w:t>poultice</w:t>
      </w:r>
      <w:r>
        <w:rPr>
          <w:spacing w:val="-16"/>
        </w:rPr>
        <w:t> </w:t>
      </w:r>
      <w:r>
        <w:rPr/>
        <w:t>dipped</w:t>
      </w:r>
      <w:r>
        <w:rPr>
          <w:spacing w:val="-15"/>
        </w:rPr>
        <w:t> </w:t>
      </w:r>
      <w:r>
        <w:rPr/>
        <w:t>in</w:t>
      </w:r>
      <w:r>
        <w:rPr>
          <w:spacing w:val="-14"/>
        </w:rPr>
        <w:t> </w:t>
      </w:r>
      <w:r>
        <w:rPr/>
        <w:t>rooibos</w:t>
      </w:r>
      <w:r>
        <w:rPr>
          <w:spacing w:val="-15"/>
        </w:rPr>
        <w:t> </w:t>
      </w:r>
      <w:r>
        <w:rPr/>
        <w:t>tea</w:t>
      </w:r>
      <w:r>
        <w:rPr>
          <w:spacing w:val="-16"/>
        </w:rPr>
        <w:t> </w:t>
      </w:r>
      <w:r>
        <w:rPr/>
        <w:t>multiple</w:t>
      </w:r>
      <w:r>
        <w:rPr>
          <w:spacing w:val="-15"/>
        </w:rPr>
        <w:t> </w:t>
      </w:r>
      <w:r>
        <w:rPr/>
        <w:t>times</w:t>
      </w:r>
      <w:r>
        <w:rPr>
          <w:spacing w:val="-15"/>
        </w:rPr>
        <w:t> </w:t>
      </w:r>
      <w:r>
        <w:rPr/>
        <w:t>per day.</w:t>
      </w:r>
    </w:p>
    <w:p>
      <w:pPr>
        <w:pStyle w:val="Heading1"/>
        <w:spacing w:before="225"/>
        <w:ind w:left="616"/>
      </w:pPr>
      <w:r>
        <w:rPr/>
        <w:t>Effect of rooibos tea on itching</w:t>
      </w:r>
    </w:p>
    <w:p>
      <w:pPr>
        <w:pStyle w:val="BodyText"/>
        <w:spacing w:line="276" w:lineRule="auto" w:before="297"/>
        <w:ind w:left="616" w:right="138"/>
        <w:jc w:val="both"/>
      </w:pPr>
      <w:r>
        <w:rPr/>
        <w:t>Itching</w:t>
      </w:r>
      <w:r>
        <w:rPr>
          <w:spacing w:val="-7"/>
        </w:rPr>
        <w:t> </w:t>
      </w:r>
      <w:r>
        <w:rPr/>
        <w:t>is</w:t>
      </w:r>
      <w:r>
        <w:rPr>
          <w:spacing w:val="-8"/>
        </w:rPr>
        <w:t> </w:t>
      </w:r>
      <w:r>
        <w:rPr/>
        <w:t>very</w:t>
      </w:r>
      <w:r>
        <w:rPr>
          <w:spacing w:val="-7"/>
        </w:rPr>
        <w:t> </w:t>
      </w:r>
      <w:r>
        <w:rPr/>
        <w:t>often</w:t>
      </w:r>
      <w:r>
        <w:rPr>
          <w:spacing w:val="-6"/>
        </w:rPr>
        <w:t> </w:t>
      </w:r>
      <w:r>
        <w:rPr/>
        <w:t>based</w:t>
      </w:r>
      <w:r>
        <w:rPr>
          <w:spacing w:val="-8"/>
        </w:rPr>
        <w:t> </w:t>
      </w:r>
      <w:r>
        <w:rPr/>
        <w:t>on</w:t>
      </w:r>
      <w:r>
        <w:rPr>
          <w:spacing w:val="-7"/>
        </w:rPr>
        <w:t> </w:t>
      </w:r>
      <w:r>
        <w:rPr/>
        <w:t>an</w:t>
      </w:r>
      <w:r>
        <w:rPr>
          <w:spacing w:val="-9"/>
        </w:rPr>
        <w:t> </w:t>
      </w:r>
      <w:r>
        <w:rPr/>
        <w:t>allergic</w:t>
      </w:r>
      <w:r>
        <w:rPr>
          <w:spacing w:val="-8"/>
        </w:rPr>
        <w:t> </w:t>
      </w:r>
      <w:r>
        <w:rPr/>
        <w:t>reaction.</w:t>
      </w:r>
      <w:r>
        <w:rPr>
          <w:spacing w:val="-6"/>
        </w:rPr>
        <w:t> </w:t>
      </w:r>
      <w:r>
        <w:rPr/>
        <w:t>Cold</w:t>
      </w:r>
      <w:r>
        <w:rPr>
          <w:spacing w:val="-9"/>
        </w:rPr>
        <w:t> </w:t>
      </w:r>
      <w:r>
        <w:rPr/>
        <w:t>poultices</w:t>
      </w:r>
      <w:r>
        <w:rPr>
          <w:spacing w:val="-7"/>
        </w:rPr>
        <w:t> </w:t>
      </w:r>
      <w:r>
        <w:rPr/>
        <w:t>with</w:t>
      </w:r>
      <w:r>
        <w:rPr>
          <w:spacing w:val="-6"/>
        </w:rPr>
        <w:t> </w:t>
      </w:r>
      <w:r>
        <w:rPr/>
        <w:t>rooibos tea prevent the release of histamine, the substance that triggers allergic reac- tions.</w:t>
      </w:r>
    </w:p>
    <w:p>
      <w:pPr>
        <w:pStyle w:val="Heading1"/>
        <w:ind w:left="616"/>
      </w:pPr>
      <w:r>
        <w:rPr/>
        <w:t>How redbush tea helps nappy rash</w:t>
      </w:r>
    </w:p>
    <w:p>
      <w:pPr>
        <w:pStyle w:val="BodyText"/>
        <w:spacing w:line="276" w:lineRule="auto" w:before="299"/>
        <w:ind w:left="616" w:right="135"/>
        <w:jc w:val="both"/>
      </w:pPr>
      <w:r>
        <w:rPr/>
        <w:t>Here, the application of a cotton ball soaked in redbush tea is particularly ef- fective. The anti-inflammatory and anti-allergic properties prove themselves very helpful in this case.</w:t>
      </w:r>
    </w:p>
    <w:p>
      <w:pPr>
        <w:pStyle w:val="Heading2"/>
        <w:spacing w:before="239"/>
        <w:ind w:left="616"/>
      </w:pPr>
      <w:r>
        <w:rPr/>
        <w:t>Effect of rooibos tea against psoriasis</w:t>
      </w:r>
    </w:p>
    <w:p>
      <w:pPr>
        <w:pStyle w:val="BodyText"/>
        <w:spacing w:line="276" w:lineRule="auto" w:before="304"/>
        <w:ind w:left="616" w:right="139"/>
        <w:jc w:val="both"/>
      </w:pPr>
      <w:r>
        <w:rPr/>
        <w:t>The anti-inflammatory effect of rooibos has proven itself very effective on psoriasis. Using rooibos washes and baths on the affected locations proves to be effective.</w:t>
      </w:r>
    </w:p>
    <w:p>
      <w:pPr>
        <w:spacing w:after="0" w:line="276" w:lineRule="auto"/>
        <w:jc w:val="both"/>
        <w:sectPr>
          <w:footerReference w:type="default" r:id="rId337"/>
          <w:pgSz w:w="14270" w:h="16850"/>
          <w:pgMar w:footer="1891" w:header="0" w:top="1340" w:bottom="2080" w:left="800" w:right="1280"/>
          <w:pgNumType w:start="1390"/>
        </w:sectPr>
      </w:pPr>
    </w:p>
    <w:p>
      <w:pPr>
        <w:pStyle w:val="Heading1"/>
        <w:spacing w:before="77"/>
        <w:ind w:left="616"/>
      </w:pPr>
      <w:r>
        <w:rPr/>
        <w:t>How redbush works on sunburn</w:t>
      </w:r>
    </w:p>
    <w:p>
      <w:pPr>
        <w:pStyle w:val="BodyText"/>
        <w:spacing w:line="276" w:lineRule="auto" w:before="299"/>
        <w:ind w:left="616" w:right="134"/>
        <w:jc w:val="both"/>
      </w:pPr>
      <w:r>
        <w:rPr/>
        <w:t>Here, you should treat yourself to both an internal and external application with redbush tea. Internally, the best method is to drink the tea cold, which counteracts</w:t>
      </w:r>
      <w:r>
        <w:rPr>
          <w:spacing w:val="-6"/>
        </w:rPr>
        <w:t> </w:t>
      </w:r>
      <w:r>
        <w:rPr/>
        <w:t>the</w:t>
      </w:r>
      <w:r>
        <w:rPr>
          <w:spacing w:val="-8"/>
        </w:rPr>
        <w:t> </w:t>
      </w:r>
      <w:r>
        <w:rPr/>
        <w:t>dehydration</w:t>
      </w:r>
      <w:r>
        <w:rPr>
          <w:spacing w:val="-7"/>
        </w:rPr>
        <w:t> </w:t>
      </w:r>
      <w:r>
        <w:rPr/>
        <w:t>risk,</w:t>
      </w:r>
      <w:r>
        <w:rPr>
          <w:spacing w:val="-7"/>
        </w:rPr>
        <w:t> </w:t>
      </w:r>
      <w:r>
        <w:rPr/>
        <w:t>which</w:t>
      </w:r>
      <w:r>
        <w:rPr>
          <w:spacing w:val="-6"/>
        </w:rPr>
        <w:t> </w:t>
      </w:r>
      <w:r>
        <w:rPr/>
        <w:t>would</w:t>
      </w:r>
      <w:r>
        <w:rPr>
          <w:spacing w:val="-7"/>
        </w:rPr>
        <w:t> </w:t>
      </w:r>
      <w:r>
        <w:rPr/>
        <w:t>otherwise</w:t>
      </w:r>
      <w:r>
        <w:rPr>
          <w:spacing w:val="-6"/>
        </w:rPr>
        <w:t> </w:t>
      </w:r>
      <w:r>
        <w:rPr/>
        <w:t>exist,</w:t>
      </w:r>
      <w:r>
        <w:rPr>
          <w:spacing w:val="-6"/>
        </w:rPr>
        <w:t> </w:t>
      </w:r>
      <w:r>
        <w:rPr/>
        <w:t>due</w:t>
      </w:r>
      <w:r>
        <w:rPr>
          <w:spacing w:val="-8"/>
        </w:rPr>
        <w:t> </w:t>
      </w:r>
      <w:r>
        <w:rPr/>
        <w:t>to</w:t>
      </w:r>
      <w:r>
        <w:rPr>
          <w:spacing w:val="-5"/>
        </w:rPr>
        <w:t> </w:t>
      </w:r>
      <w:r>
        <w:rPr/>
        <w:t>the</w:t>
      </w:r>
      <w:r>
        <w:rPr>
          <w:spacing w:val="-8"/>
        </w:rPr>
        <w:t> </w:t>
      </w:r>
      <w:r>
        <w:rPr/>
        <w:t>sun- burn.</w:t>
      </w:r>
      <w:r>
        <w:rPr>
          <w:spacing w:val="-19"/>
        </w:rPr>
        <w:t> </w:t>
      </w:r>
      <w:r>
        <w:rPr/>
        <w:t>Externally,</w:t>
      </w:r>
      <w:r>
        <w:rPr>
          <w:spacing w:val="-19"/>
        </w:rPr>
        <w:t> </w:t>
      </w:r>
      <w:r>
        <w:rPr/>
        <w:t>apply</w:t>
      </w:r>
      <w:r>
        <w:rPr>
          <w:spacing w:val="-21"/>
        </w:rPr>
        <w:t> </w:t>
      </w:r>
      <w:r>
        <w:rPr/>
        <w:t>a</w:t>
      </w:r>
      <w:r>
        <w:rPr>
          <w:spacing w:val="-21"/>
        </w:rPr>
        <w:t> </w:t>
      </w:r>
      <w:r>
        <w:rPr/>
        <w:t>cold</w:t>
      </w:r>
      <w:r>
        <w:rPr>
          <w:spacing w:val="-20"/>
        </w:rPr>
        <w:t> </w:t>
      </w:r>
      <w:r>
        <w:rPr/>
        <w:t>poultice</w:t>
      </w:r>
      <w:r>
        <w:rPr>
          <w:spacing w:val="-19"/>
        </w:rPr>
        <w:t> </w:t>
      </w:r>
      <w:r>
        <w:rPr/>
        <w:t>soaked</w:t>
      </w:r>
      <w:r>
        <w:rPr>
          <w:spacing w:val="-21"/>
        </w:rPr>
        <w:t> </w:t>
      </w:r>
      <w:r>
        <w:rPr/>
        <w:t>in</w:t>
      </w:r>
      <w:r>
        <w:rPr>
          <w:spacing w:val="-20"/>
        </w:rPr>
        <w:t> </w:t>
      </w:r>
      <w:r>
        <w:rPr/>
        <w:t>redbush</w:t>
      </w:r>
      <w:r>
        <w:rPr>
          <w:spacing w:val="-19"/>
        </w:rPr>
        <w:t> </w:t>
      </w:r>
      <w:r>
        <w:rPr/>
        <w:t>tea</w:t>
      </w:r>
      <w:r>
        <w:rPr>
          <w:spacing w:val="-20"/>
        </w:rPr>
        <w:t> </w:t>
      </w:r>
      <w:r>
        <w:rPr/>
        <w:t>multiple</w:t>
      </w:r>
      <w:r>
        <w:rPr>
          <w:spacing w:val="-19"/>
        </w:rPr>
        <w:t> </w:t>
      </w:r>
      <w:r>
        <w:rPr/>
        <w:t>times</w:t>
      </w:r>
      <w:r>
        <w:rPr>
          <w:spacing w:val="-19"/>
        </w:rPr>
        <w:t> </w:t>
      </w:r>
      <w:r>
        <w:rPr/>
        <w:t>per day. In this way, you counteract the inflammation processes that occur with every sunburn on both</w:t>
      </w:r>
      <w:r>
        <w:rPr>
          <w:spacing w:val="3"/>
        </w:rPr>
        <w:t> </w:t>
      </w:r>
      <w:r>
        <w:rPr/>
        <w:t>fronts.</w:t>
      </w:r>
    </w:p>
    <w:p>
      <w:pPr>
        <w:pStyle w:val="Heading1"/>
        <w:spacing w:before="223"/>
        <w:ind w:left="616"/>
      </w:pPr>
      <w:r>
        <w:rPr/>
        <w:t>Effect of redbush tea on herpes</w:t>
      </w:r>
    </w:p>
    <w:p>
      <w:pPr>
        <w:pStyle w:val="BodyText"/>
        <w:spacing w:line="276" w:lineRule="auto" w:before="300"/>
        <w:ind w:left="616" w:right="148"/>
        <w:jc w:val="both"/>
      </w:pPr>
      <w:r>
        <w:rPr/>
        <w:t>Here, prepare a strong herbal brew and dab the affected areas multiple times per day with cooled redbush tea in a cotton ball.</w:t>
      </w:r>
    </w:p>
    <w:p>
      <w:pPr>
        <w:pStyle w:val="Heading1"/>
        <w:spacing w:before="221"/>
        <w:ind w:left="616"/>
      </w:pPr>
      <w:r>
        <w:rPr/>
        <w:t>Effect on inflammation of the oral mucous membrane and the gums</w:t>
      </w:r>
    </w:p>
    <w:p>
      <w:pPr>
        <w:pStyle w:val="BodyText"/>
        <w:spacing w:line="276" w:lineRule="auto" w:before="299"/>
        <w:ind w:left="616" w:right="140"/>
        <w:jc w:val="both"/>
      </w:pPr>
      <w:r>
        <w:rPr/>
        <w:t>Redbush tea encourages the healing of fungal infections and has antibacterial, anti-inflammatory and astringent (constricting) effects. All of these aspects</w:t>
      </w:r>
      <w:r>
        <w:rPr>
          <w:spacing w:val="-56"/>
        </w:rPr>
        <w:t> </w:t>
      </w:r>
      <w:r>
        <w:rPr/>
        <w:t>rid the oral mucosa and the gums of corresponding parasites, relieve the inflam- mation and prevent another parasite attack.</w:t>
      </w:r>
    </w:p>
    <w:p>
      <w:pPr>
        <w:pStyle w:val="BodyText"/>
        <w:spacing w:line="276" w:lineRule="auto" w:before="240"/>
        <w:ind w:left="616" w:right="137"/>
        <w:jc w:val="both"/>
      </w:pPr>
      <w:r>
        <w:rPr/>
        <w:t>For this purpose, the redbush tea should be gargled and only then swallowed, so that both an external and internal application occur and the effect is strengthened in this way.</w:t>
      </w:r>
    </w:p>
    <w:p>
      <w:pPr>
        <w:pStyle w:val="Heading1"/>
        <w:ind w:left="616"/>
        <w:jc w:val="both"/>
      </w:pPr>
      <w:r>
        <w:rPr/>
        <w:t>Effect of rooibos tea on cardiovascular diseases</w:t>
      </w:r>
    </w:p>
    <w:p>
      <w:pPr>
        <w:spacing w:after="0"/>
        <w:jc w:val="both"/>
        <w:sectPr>
          <w:pgSz w:w="14270" w:h="16850"/>
          <w:pgMar w:header="0" w:footer="1891" w:top="1320" w:bottom="2080" w:left="800" w:right="1280"/>
        </w:sectPr>
      </w:pPr>
    </w:p>
    <w:p>
      <w:pPr>
        <w:pStyle w:val="BodyText"/>
        <w:spacing w:line="276" w:lineRule="auto" w:before="74"/>
        <w:ind w:left="616" w:right="134"/>
        <w:jc w:val="both"/>
      </w:pPr>
      <w:r>
        <w:rPr/>
        <w:t>Rooibos tea can be helpful for existing cardiovascular disease both preventa- tively and as an accompaniment to treatment. In this case, it counteracts ath- erosclerosis on the one hand while also increasing blood flow to the heart.</w:t>
      </w:r>
    </w:p>
    <w:p>
      <w:pPr>
        <w:pStyle w:val="BodyText"/>
        <w:rPr>
          <w:sz w:val="42"/>
        </w:rPr>
      </w:pPr>
    </w:p>
    <w:p>
      <w:pPr>
        <w:pStyle w:val="BodyText"/>
        <w:spacing w:before="9"/>
        <w:rPr>
          <w:sz w:val="42"/>
        </w:rPr>
      </w:pPr>
    </w:p>
    <w:p>
      <w:pPr>
        <w:pStyle w:val="Heading1"/>
        <w:spacing w:before="0"/>
        <w:ind w:left="616"/>
      </w:pPr>
      <w:r>
        <w:rPr/>
        <w:t>Effect of rooibos tea against</w:t>
      </w:r>
      <w:r>
        <w:rPr>
          <w:spacing w:val="-60"/>
        </w:rPr>
        <w:t> </w:t>
      </w:r>
      <w:r>
        <w:rPr/>
        <w:t>arteriosclerosis</w:t>
      </w:r>
    </w:p>
    <w:p>
      <w:pPr>
        <w:pStyle w:val="ListParagraph"/>
        <w:numPr>
          <w:ilvl w:val="1"/>
          <w:numId w:val="105"/>
        </w:numPr>
        <w:tabs>
          <w:tab w:pos="1140" w:val="left" w:leader="none"/>
        </w:tabs>
        <w:spacing w:line="273" w:lineRule="auto" w:before="260" w:after="0"/>
        <w:ind w:left="1043" w:right="141" w:hanging="144"/>
        <w:jc w:val="both"/>
        <w:rPr>
          <w:sz w:val="38"/>
        </w:rPr>
      </w:pPr>
      <w:r>
        <w:rPr>
          <w:sz w:val="38"/>
        </w:rPr>
        <w:t>The polyphenols ‘nothofagin’ and ‘aspalathin’ prevent microtraumas (very small injuries) in the blood vessels and in this way prevent the emergence of plaque, which introduces</w:t>
      </w:r>
      <w:r>
        <w:rPr>
          <w:spacing w:val="2"/>
          <w:sz w:val="38"/>
        </w:rPr>
        <w:t> </w:t>
      </w:r>
      <w:r>
        <w:rPr>
          <w:sz w:val="38"/>
        </w:rPr>
        <w:t>arteriosclerosis.</w:t>
      </w:r>
    </w:p>
    <w:p>
      <w:pPr>
        <w:pStyle w:val="ListParagraph"/>
        <w:numPr>
          <w:ilvl w:val="1"/>
          <w:numId w:val="105"/>
        </w:numPr>
        <w:tabs>
          <w:tab w:pos="1140" w:val="left" w:leader="none"/>
        </w:tabs>
        <w:spacing w:line="276" w:lineRule="auto" w:before="132" w:after="0"/>
        <w:ind w:left="1043" w:right="134" w:hanging="144"/>
        <w:jc w:val="both"/>
        <w:rPr>
          <w:sz w:val="38"/>
        </w:rPr>
      </w:pPr>
      <w:r>
        <w:rPr>
          <w:sz w:val="38"/>
        </w:rPr>
        <w:t>The flavonoids inhibit the formation of thromboxane A2, a blood clotting substance that encourages buildups in the arteries. In synergy with vitamin C,</w:t>
      </w:r>
      <w:r>
        <w:rPr>
          <w:spacing w:val="-9"/>
          <w:sz w:val="38"/>
        </w:rPr>
        <w:t> </w:t>
      </w:r>
      <w:r>
        <w:rPr>
          <w:sz w:val="38"/>
        </w:rPr>
        <w:t>which</w:t>
      </w:r>
      <w:r>
        <w:rPr>
          <w:spacing w:val="-7"/>
          <w:sz w:val="38"/>
        </w:rPr>
        <w:t> </w:t>
      </w:r>
      <w:r>
        <w:rPr>
          <w:sz w:val="38"/>
        </w:rPr>
        <w:t>has</w:t>
      </w:r>
      <w:r>
        <w:rPr>
          <w:spacing w:val="-7"/>
          <w:sz w:val="38"/>
        </w:rPr>
        <w:t> </w:t>
      </w:r>
      <w:r>
        <w:rPr>
          <w:sz w:val="38"/>
        </w:rPr>
        <w:t>a</w:t>
      </w:r>
      <w:r>
        <w:rPr>
          <w:spacing w:val="-11"/>
          <w:sz w:val="38"/>
        </w:rPr>
        <w:t> </w:t>
      </w:r>
      <w:r>
        <w:rPr>
          <w:sz w:val="38"/>
        </w:rPr>
        <w:t>collagen-building</w:t>
      </w:r>
      <w:r>
        <w:rPr>
          <w:spacing w:val="-8"/>
          <w:sz w:val="38"/>
        </w:rPr>
        <w:t> </w:t>
      </w:r>
      <w:r>
        <w:rPr>
          <w:sz w:val="38"/>
        </w:rPr>
        <w:t>and</w:t>
      </w:r>
      <w:r>
        <w:rPr>
          <w:spacing w:val="-8"/>
          <w:sz w:val="38"/>
        </w:rPr>
        <w:t> </w:t>
      </w:r>
      <w:r>
        <w:rPr>
          <w:sz w:val="38"/>
        </w:rPr>
        <w:t>plaque-degrading</w:t>
      </w:r>
      <w:r>
        <w:rPr>
          <w:spacing w:val="-8"/>
          <w:sz w:val="38"/>
        </w:rPr>
        <w:t> </w:t>
      </w:r>
      <w:r>
        <w:rPr>
          <w:sz w:val="38"/>
        </w:rPr>
        <w:t>effect,</w:t>
      </w:r>
      <w:r>
        <w:rPr>
          <w:spacing w:val="-7"/>
          <w:sz w:val="38"/>
        </w:rPr>
        <w:t> </w:t>
      </w:r>
      <w:r>
        <w:rPr>
          <w:sz w:val="38"/>
        </w:rPr>
        <w:t>this</w:t>
      </w:r>
      <w:r>
        <w:rPr>
          <w:spacing w:val="-9"/>
          <w:sz w:val="38"/>
        </w:rPr>
        <w:t> </w:t>
      </w:r>
      <w:r>
        <w:rPr>
          <w:sz w:val="38"/>
        </w:rPr>
        <w:t>results</w:t>
      </w:r>
      <w:r>
        <w:rPr>
          <w:spacing w:val="-8"/>
          <w:sz w:val="38"/>
        </w:rPr>
        <w:t> </w:t>
      </w:r>
      <w:r>
        <w:rPr>
          <w:sz w:val="38"/>
        </w:rPr>
        <w:t>in a dependable defensive system for our</w:t>
      </w:r>
      <w:r>
        <w:rPr>
          <w:spacing w:val="1"/>
          <w:sz w:val="38"/>
        </w:rPr>
        <w:t> </w:t>
      </w:r>
      <w:r>
        <w:rPr>
          <w:sz w:val="38"/>
        </w:rPr>
        <w:t>arteries.</w:t>
      </w:r>
    </w:p>
    <w:p>
      <w:pPr>
        <w:pStyle w:val="ListParagraph"/>
        <w:numPr>
          <w:ilvl w:val="1"/>
          <w:numId w:val="105"/>
        </w:numPr>
        <w:tabs>
          <w:tab w:pos="1140" w:val="left" w:leader="none"/>
        </w:tabs>
        <w:spacing w:line="273" w:lineRule="auto" w:before="120" w:after="0"/>
        <w:ind w:left="1043" w:right="140" w:hanging="144"/>
        <w:jc w:val="both"/>
        <w:rPr>
          <w:sz w:val="38"/>
        </w:rPr>
      </w:pPr>
      <w:r>
        <w:rPr>
          <w:sz w:val="38"/>
        </w:rPr>
        <w:t>In turn, the rutin strengthens the blood vessels and makes them more re- sistant to atherosclerosis.</w:t>
      </w:r>
    </w:p>
    <w:p>
      <w:pPr>
        <w:pStyle w:val="ListParagraph"/>
        <w:numPr>
          <w:ilvl w:val="1"/>
          <w:numId w:val="105"/>
        </w:numPr>
        <w:tabs>
          <w:tab w:pos="1140" w:val="left" w:leader="none"/>
        </w:tabs>
        <w:spacing w:line="273" w:lineRule="auto" w:before="127" w:after="0"/>
        <w:ind w:left="1043" w:right="142" w:hanging="144"/>
        <w:jc w:val="both"/>
        <w:rPr>
          <w:sz w:val="38"/>
        </w:rPr>
      </w:pPr>
      <w:r>
        <w:rPr>
          <w:sz w:val="38"/>
        </w:rPr>
        <w:t>The</w:t>
      </w:r>
      <w:r>
        <w:rPr>
          <w:spacing w:val="-21"/>
          <w:sz w:val="38"/>
        </w:rPr>
        <w:t> </w:t>
      </w:r>
      <w:r>
        <w:rPr>
          <w:sz w:val="38"/>
        </w:rPr>
        <w:t>antioxidative</w:t>
      </w:r>
      <w:r>
        <w:rPr>
          <w:spacing w:val="-21"/>
          <w:sz w:val="38"/>
        </w:rPr>
        <w:t> </w:t>
      </w:r>
      <w:r>
        <w:rPr>
          <w:sz w:val="38"/>
        </w:rPr>
        <w:t>effect</w:t>
      </w:r>
      <w:r>
        <w:rPr>
          <w:spacing w:val="-21"/>
          <w:sz w:val="38"/>
        </w:rPr>
        <w:t> </w:t>
      </w:r>
      <w:r>
        <w:rPr>
          <w:sz w:val="38"/>
        </w:rPr>
        <w:t>of</w:t>
      </w:r>
      <w:r>
        <w:rPr>
          <w:spacing w:val="-21"/>
          <w:sz w:val="38"/>
        </w:rPr>
        <w:t> </w:t>
      </w:r>
      <w:r>
        <w:rPr>
          <w:sz w:val="38"/>
        </w:rPr>
        <w:t>the</w:t>
      </w:r>
      <w:r>
        <w:rPr>
          <w:spacing w:val="-20"/>
          <w:sz w:val="38"/>
        </w:rPr>
        <w:t> </w:t>
      </w:r>
      <w:r>
        <w:rPr>
          <w:sz w:val="38"/>
        </w:rPr>
        <w:t>polyphenols</w:t>
      </w:r>
      <w:r>
        <w:rPr>
          <w:spacing w:val="-22"/>
          <w:sz w:val="38"/>
        </w:rPr>
        <w:t> </w:t>
      </w:r>
      <w:r>
        <w:rPr>
          <w:sz w:val="38"/>
        </w:rPr>
        <w:t>and</w:t>
      </w:r>
      <w:r>
        <w:rPr>
          <w:spacing w:val="-26"/>
          <w:sz w:val="38"/>
        </w:rPr>
        <w:t> </w:t>
      </w:r>
      <w:r>
        <w:rPr>
          <w:sz w:val="38"/>
        </w:rPr>
        <w:t>of</w:t>
      </w:r>
      <w:r>
        <w:rPr>
          <w:spacing w:val="-21"/>
          <w:sz w:val="38"/>
        </w:rPr>
        <w:t> </w:t>
      </w:r>
      <w:r>
        <w:rPr>
          <w:sz w:val="38"/>
        </w:rPr>
        <w:t>antioxidants</w:t>
      </w:r>
      <w:r>
        <w:rPr>
          <w:spacing w:val="-21"/>
          <w:sz w:val="38"/>
        </w:rPr>
        <w:t> </w:t>
      </w:r>
      <w:r>
        <w:rPr>
          <w:sz w:val="38"/>
        </w:rPr>
        <w:t>like</w:t>
      </w:r>
      <w:r>
        <w:rPr>
          <w:spacing w:val="-21"/>
          <w:sz w:val="38"/>
        </w:rPr>
        <w:t> </w:t>
      </w:r>
      <w:r>
        <w:rPr>
          <w:sz w:val="38"/>
        </w:rPr>
        <w:t>vitamin C also works against the development of plaque, as only with the</w:t>
      </w:r>
      <w:r>
        <w:rPr>
          <w:spacing w:val="-58"/>
          <w:sz w:val="38"/>
        </w:rPr>
        <w:t> </w:t>
      </w:r>
      <w:r>
        <w:rPr>
          <w:sz w:val="38"/>
        </w:rPr>
        <w:t>oxidation of cholesterol can this build up in the artery</w:t>
      </w:r>
      <w:r>
        <w:rPr>
          <w:spacing w:val="-1"/>
          <w:sz w:val="38"/>
        </w:rPr>
        <w:t> </w:t>
      </w:r>
      <w:r>
        <w:rPr>
          <w:sz w:val="38"/>
        </w:rPr>
        <w:t>walls.</w:t>
      </w:r>
    </w:p>
    <w:p>
      <w:pPr>
        <w:pStyle w:val="Heading1"/>
        <w:spacing w:before="235"/>
        <w:ind w:left="616"/>
      </w:pPr>
      <w:r>
        <w:rPr/>
        <w:t>Blood-flow-facilitating effect of rooibos</w:t>
      </w:r>
    </w:p>
    <w:p>
      <w:pPr>
        <w:pStyle w:val="BodyText"/>
        <w:spacing w:line="276" w:lineRule="auto" w:before="298"/>
        <w:ind w:left="616" w:right="44"/>
      </w:pPr>
      <w:r>
        <w:rPr/>
        <w:t>Various ingredients of rooibos tea, rutin for example, have a relaxing effect on the blood vessels and in this way improve their permeability for the blood.</w:t>
      </w:r>
    </w:p>
    <w:p>
      <w:pPr>
        <w:spacing w:after="0" w:line="276" w:lineRule="auto"/>
        <w:sectPr>
          <w:pgSz w:w="14270" w:h="16850"/>
          <w:pgMar w:header="0" w:footer="1891" w:top="1340" w:bottom="2080" w:left="800" w:right="1280"/>
        </w:sectPr>
      </w:pPr>
    </w:p>
    <w:p>
      <w:pPr>
        <w:pStyle w:val="Heading1"/>
        <w:spacing w:before="77"/>
        <w:ind w:left="616"/>
      </w:pPr>
      <w:r>
        <w:rPr/>
        <w:t>Effect of rooibos against cramps and intestinal problems</w:t>
      </w:r>
    </w:p>
    <w:p>
      <w:pPr>
        <w:pStyle w:val="BodyText"/>
        <w:spacing w:line="276" w:lineRule="auto" w:before="299"/>
        <w:ind w:left="616" w:right="134"/>
        <w:jc w:val="both"/>
      </w:pPr>
      <w:r>
        <w:rPr/>
        <w:t>The</w:t>
      </w:r>
      <w:r>
        <w:rPr>
          <w:spacing w:val="-22"/>
        </w:rPr>
        <w:t> </w:t>
      </w:r>
      <w:r>
        <w:rPr/>
        <w:t>flavonoids</w:t>
      </w:r>
      <w:r>
        <w:rPr>
          <w:spacing w:val="-22"/>
        </w:rPr>
        <w:t> </w:t>
      </w:r>
      <w:r>
        <w:rPr/>
        <w:t>‘aspalathin’</w:t>
      </w:r>
      <w:r>
        <w:rPr>
          <w:spacing w:val="-21"/>
        </w:rPr>
        <w:t> </w:t>
      </w:r>
      <w:r>
        <w:rPr/>
        <w:t>and</w:t>
      </w:r>
      <w:r>
        <w:rPr>
          <w:spacing w:val="-21"/>
        </w:rPr>
        <w:t> </w:t>
      </w:r>
      <w:r>
        <w:rPr/>
        <w:t>‘quercetin’</w:t>
      </w:r>
      <w:r>
        <w:rPr>
          <w:spacing w:val="-21"/>
        </w:rPr>
        <w:t> </w:t>
      </w:r>
      <w:r>
        <w:rPr/>
        <w:t>contained</w:t>
      </w:r>
      <w:r>
        <w:rPr>
          <w:spacing w:val="-22"/>
        </w:rPr>
        <w:t> </w:t>
      </w:r>
      <w:r>
        <w:rPr/>
        <w:t>in</w:t>
      </w:r>
      <w:r>
        <w:rPr>
          <w:spacing w:val="-22"/>
        </w:rPr>
        <w:t> </w:t>
      </w:r>
      <w:r>
        <w:rPr/>
        <w:t>rooibos</w:t>
      </w:r>
      <w:r>
        <w:rPr>
          <w:spacing w:val="-20"/>
        </w:rPr>
        <w:t> </w:t>
      </w:r>
      <w:r>
        <w:rPr/>
        <w:t>tea</w:t>
      </w:r>
      <w:r>
        <w:rPr>
          <w:spacing w:val="-23"/>
        </w:rPr>
        <w:t> </w:t>
      </w:r>
      <w:r>
        <w:rPr/>
        <w:t>have</w:t>
      </w:r>
      <w:r>
        <w:rPr>
          <w:spacing w:val="-21"/>
        </w:rPr>
        <w:t> </w:t>
      </w:r>
      <w:r>
        <w:rPr/>
        <w:t>a</w:t>
      </w:r>
      <w:r>
        <w:rPr>
          <w:spacing w:val="-22"/>
        </w:rPr>
        <w:t> </w:t>
      </w:r>
      <w:r>
        <w:rPr/>
        <w:t>gen- eral</w:t>
      </w:r>
      <w:r>
        <w:rPr>
          <w:spacing w:val="-17"/>
        </w:rPr>
        <w:t> </w:t>
      </w:r>
      <w:r>
        <w:rPr/>
        <w:t>uncramping</w:t>
      </w:r>
      <w:r>
        <w:rPr>
          <w:spacing w:val="-16"/>
        </w:rPr>
        <w:t> </w:t>
      </w:r>
      <w:r>
        <w:rPr/>
        <w:t>and</w:t>
      </w:r>
      <w:r>
        <w:rPr>
          <w:spacing w:val="-15"/>
        </w:rPr>
        <w:t> </w:t>
      </w:r>
      <w:r>
        <w:rPr/>
        <w:t>relaxing</w:t>
      </w:r>
      <w:r>
        <w:rPr>
          <w:spacing w:val="-15"/>
        </w:rPr>
        <w:t> </w:t>
      </w:r>
      <w:r>
        <w:rPr/>
        <w:t>effect,</w:t>
      </w:r>
      <w:r>
        <w:rPr>
          <w:spacing w:val="-13"/>
        </w:rPr>
        <w:t> </w:t>
      </w:r>
      <w:r>
        <w:rPr/>
        <w:t>especially</w:t>
      </w:r>
      <w:r>
        <w:rPr>
          <w:spacing w:val="-15"/>
        </w:rPr>
        <w:t> </w:t>
      </w:r>
      <w:r>
        <w:rPr/>
        <w:t>in</w:t>
      </w:r>
      <w:r>
        <w:rPr>
          <w:spacing w:val="-14"/>
        </w:rPr>
        <w:t> </w:t>
      </w:r>
      <w:r>
        <w:rPr/>
        <w:t>the</w:t>
      </w:r>
      <w:r>
        <w:rPr>
          <w:spacing w:val="-15"/>
        </w:rPr>
        <w:t> </w:t>
      </w:r>
      <w:r>
        <w:rPr/>
        <w:t>area</w:t>
      </w:r>
      <w:r>
        <w:rPr>
          <w:spacing w:val="-16"/>
        </w:rPr>
        <w:t> </w:t>
      </w:r>
      <w:r>
        <w:rPr/>
        <w:t>of</w:t>
      </w:r>
      <w:r>
        <w:rPr>
          <w:spacing w:val="-17"/>
        </w:rPr>
        <w:t> </w:t>
      </w:r>
      <w:r>
        <w:rPr/>
        <w:t>the</w:t>
      </w:r>
      <w:r>
        <w:rPr>
          <w:spacing w:val="-16"/>
        </w:rPr>
        <w:t> </w:t>
      </w:r>
      <w:r>
        <w:rPr/>
        <w:t>intestinal</w:t>
      </w:r>
      <w:r>
        <w:rPr>
          <w:spacing w:val="-16"/>
        </w:rPr>
        <w:t> </w:t>
      </w:r>
      <w:r>
        <w:rPr/>
        <w:t>mus- cles. The tannins contained in redbush tea increase intestinal mucosa’s re- sistance to infection and also absorb</w:t>
      </w:r>
      <w:r>
        <w:rPr>
          <w:spacing w:val="3"/>
        </w:rPr>
        <w:t> </w:t>
      </w:r>
      <w:r>
        <w:rPr/>
        <w:t>water.</w:t>
      </w:r>
    </w:p>
    <w:p>
      <w:pPr>
        <w:pStyle w:val="Heading2"/>
        <w:spacing w:line="276" w:lineRule="auto" w:before="239"/>
        <w:ind w:left="616"/>
      </w:pPr>
      <w:r>
        <w:rPr/>
        <w:t>Redbush</w:t>
      </w:r>
      <w:r>
        <w:rPr>
          <w:spacing w:val="-26"/>
        </w:rPr>
        <w:t> </w:t>
      </w:r>
      <w:r>
        <w:rPr/>
        <w:t>tea</w:t>
      </w:r>
      <w:r>
        <w:rPr>
          <w:spacing w:val="-25"/>
        </w:rPr>
        <w:t> </w:t>
      </w:r>
      <w:r>
        <w:rPr/>
        <w:t>generally</w:t>
      </w:r>
      <w:r>
        <w:rPr>
          <w:spacing w:val="-26"/>
        </w:rPr>
        <w:t> </w:t>
      </w:r>
      <w:r>
        <w:rPr/>
        <w:t>helps</w:t>
      </w:r>
      <w:r>
        <w:rPr>
          <w:spacing w:val="-25"/>
        </w:rPr>
        <w:t> </w:t>
      </w:r>
      <w:r>
        <w:rPr/>
        <w:t>with</w:t>
      </w:r>
      <w:r>
        <w:rPr>
          <w:spacing w:val="-27"/>
        </w:rPr>
        <w:t> </w:t>
      </w:r>
      <w:r>
        <w:rPr/>
        <w:t>numerous</w:t>
      </w:r>
      <w:r>
        <w:rPr>
          <w:spacing w:val="-26"/>
        </w:rPr>
        <w:t> </w:t>
      </w:r>
      <w:r>
        <w:rPr/>
        <w:t>gastrointestinal</w:t>
      </w:r>
      <w:r>
        <w:rPr>
          <w:spacing w:val="-23"/>
        </w:rPr>
        <w:t> </w:t>
      </w:r>
      <w:r>
        <w:rPr/>
        <w:t>complaints, for</w:t>
      </w:r>
      <w:r>
        <w:rPr>
          <w:spacing w:val="-2"/>
        </w:rPr>
        <w:t> </w:t>
      </w:r>
      <w:r>
        <w:rPr/>
        <w:t>example:</w:t>
      </w:r>
    </w:p>
    <w:p>
      <w:pPr>
        <w:pStyle w:val="ListParagraph"/>
        <w:numPr>
          <w:ilvl w:val="0"/>
          <w:numId w:val="105"/>
        </w:numPr>
        <w:tabs>
          <w:tab w:pos="936" w:val="left" w:leader="none"/>
        </w:tabs>
        <w:spacing w:line="240" w:lineRule="auto" w:before="202" w:after="0"/>
        <w:ind w:left="935" w:right="0" w:hanging="319"/>
        <w:jc w:val="both"/>
        <w:rPr>
          <w:sz w:val="38"/>
        </w:rPr>
      </w:pPr>
      <w:r>
        <w:rPr>
          <w:sz w:val="38"/>
        </w:rPr>
        <w:t>Gastritis</w:t>
      </w:r>
    </w:p>
    <w:p>
      <w:pPr>
        <w:pStyle w:val="ListParagraph"/>
        <w:numPr>
          <w:ilvl w:val="0"/>
          <w:numId w:val="105"/>
        </w:numPr>
        <w:tabs>
          <w:tab w:pos="936" w:val="left" w:leader="none"/>
        </w:tabs>
        <w:spacing w:line="240" w:lineRule="auto" w:before="184" w:after="0"/>
        <w:ind w:left="935" w:right="0" w:hanging="319"/>
        <w:jc w:val="both"/>
        <w:rPr>
          <w:sz w:val="38"/>
        </w:rPr>
      </w:pPr>
      <w:r>
        <w:rPr>
          <w:sz w:val="38"/>
        </w:rPr>
        <w:t>Stomach cramps</w:t>
      </w:r>
    </w:p>
    <w:p>
      <w:pPr>
        <w:pStyle w:val="ListParagraph"/>
        <w:numPr>
          <w:ilvl w:val="0"/>
          <w:numId w:val="105"/>
        </w:numPr>
        <w:tabs>
          <w:tab w:pos="936" w:val="left" w:leader="none"/>
        </w:tabs>
        <w:spacing w:line="240" w:lineRule="auto" w:before="184" w:after="0"/>
        <w:ind w:left="935" w:right="0" w:hanging="319"/>
        <w:jc w:val="both"/>
        <w:rPr>
          <w:sz w:val="38"/>
        </w:rPr>
      </w:pPr>
      <w:r>
        <w:rPr>
          <w:sz w:val="38"/>
        </w:rPr>
        <w:t>Diarrhoea</w:t>
      </w:r>
    </w:p>
    <w:p>
      <w:pPr>
        <w:pStyle w:val="ListParagraph"/>
        <w:numPr>
          <w:ilvl w:val="0"/>
          <w:numId w:val="105"/>
        </w:numPr>
        <w:tabs>
          <w:tab w:pos="936" w:val="left" w:leader="none"/>
        </w:tabs>
        <w:spacing w:line="240" w:lineRule="auto" w:before="183" w:after="0"/>
        <w:ind w:left="935" w:right="0" w:hanging="319"/>
        <w:jc w:val="both"/>
        <w:rPr>
          <w:sz w:val="38"/>
        </w:rPr>
      </w:pPr>
      <w:r>
        <w:rPr>
          <w:sz w:val="38"/>
        </w:rPr>
        <w:t>Three-month colic in small children</w:t>
      </w:r>
    </w:p>
    <w:p>
      <w:pPr>
        <w:pStyle w:val="ListParagraph"/>
        <w:numPr>
          <w:ilvl w:val="0"/>
          <w:numId w:val="105"/>
        </w:numPr>
        <w:tabs>
          <w:tab w:pos="936" w:val="left" w:leader="none"/>
        </w:tabs>
        <w:spacing w:line="240" w:lineRule="auto" w:before="184" w:after="0"/>
        <w:ind w:left="935" w:right="0" w:hanging="319"/>
        <w:jc w:val="both"/>
        <w:rPr>
          <w:sz w:val="38"/>
        </w:rPr>
      </w:pPr>
      <w:r>
        <w:rPr>
          <w:sz w:val="38"/>
        </w:rPr>
        <w:t>Intestinal inflammation</w:t>
      </w:r>
    </w:p>
    <w:p>
      <w:pPr>
        <w:pStyle w:val="ListParagraph"/>
        <w:numPr>
          <w:ilvl w:val="0"/>
          <w:numId w:val="105"/>
        </w:numPr>
        <w:tabs>
          <w:tab w:pos="936" w:val="left" w:leader="none"/>
        </w:tabs>
        <w:spacing w:line="240" w:lineRule="auto" w:before="186" w:after="0"/>
        <w:ind w:left="935" w:right="0" w:hanging="319"/>
        <w:jc w:val="both"/>
        <w:rPr>
          <w:sz w:val="38"/>
        </w:rPr>
      </w:pPr>
      <w:r>
        <w:rPr>
          <w:sz w:val="38"/>
        </w:rPr>
        <w:t>Flatulence</w:t>
      </w:r>
    </w:p>
    <w:p>
      <w:pPr>
        <w:pStyle w:val="Heading1"/>
        <w:spacing w:before="288"/>
        <w:ind w:left="616"/>
        <w:jc w:val="both"/>
      </w:pPr>
      <w:r>
        <w:rPr/>
        <w:t>Effect against gastritis</w:t>
      </w:r>
    </w:p>
    <w:p>
      <w:pPr>
        <w:pStyle w:val="BodyText"/>
        <w:spacing w:line="278" w:lineRule="auto" w:before="296"/>
        <w:ind w:left="616"/>
      </w:pPr>
      <w:r>
        <w:rPr/>
        <w:t>The stomach-calming and anti-inflammatory effect of redbush tea represents an optimal combination for preventing or relieving gastritis.</w:t>
      </w:r>
    </w:p>
    <w:p>
      <w:pPr>
        <w:spacing w:after="0" w:line="278" w:lineRule="auto"/>
        <w:sectPr>
          <w:pgSz w:w="14270" w:h="16850"/>
          <w:pgMar w:header="0" w:footer="1891" w:top="1320" w:bottom="2080" w:left="800" w:right="1280"/>
        </w:sectPr>
      </w:pPr>
    </w:p>
    <w:p>
      <w:pPr>
        <w:pStyle w:val="Heading1"/>
        <w:spacing w:before="77"/>
        <w:ind w:left="616"/>
      </w:pPr>
      <w:r>
        <w:rPr/>
        <w:t>Effect of rooibos against stomach</w:t>
      </w:r>
      <w:r>
        <w:rPr>
          <w:spacing w:val="-57"/>
        </w:rPr>
        <w:t> </w:t>
      </w:r>
      <w:r>
        <w:rPr/>
        <w:t>cramps</w:t>
      </w:r>
    </w:p>
    <w:p>
      <w:pPr>
        <w:pStyle w:val="BodyText"/>
        <w:spacing w:line="276" w:lineRule="auto" w:before="299"/>
        <w:ind w:left="616" w:right="141"/>
        <w:jc w:val="both"/>
      </w:pPr>
      <w:r>
        <w:rPr/>
        <w:t>The relaxing, uncramping properties of the ingredients in rooibos tea help to relax and uncramp the stomach walls.</w:t>
      </w:r>
    </w:p>
    <w:p>
      <w:pPr>
        <w:pStyle w:val="Heading1"/>
        <w:spacing w:before="221"/>
        <w:ind w:left="616"/>
      </w:pPr>
      <w:r>
        <w:rPr/>
        <w:t>Effect of redbush on diarrhoea</w:t>
      </w:r>
    </w:p>
    <w:p>
      <w:pPr>
        <w:pStyle w:val="BodyText"/>
        <w:spacing w:line="276" w:lineRule="auto" w:before="300"/>
        <w:ind w:left="616" w:right="134"/>
        <w:jc w:val="both"/>
        <w:rPr>
          <w:sz w:val="25"/>
        </w:rPr>
      </w:pPr>
      <w:r>
        <w:rPr/>
        <w:t>The</w:t>
      </w:r>
      <w:r>
        <w:rPr>
          <w:spacing w:val="-18"/>
        </w:rPr>
        <w:t> </w:t>
      </w:r>
      <w:r>
        <w:rPr/>
        <w:t>antibacterial</w:t>
      </w:r>
      <w:r>
        <w:rPr>
          <w:spacing w:val="-18"/>
        </w:rPr>
        <w:t> </w:t>
      </w:r>
      <w:r>
        <w:rPr/>
        <w:t>effect</w:t>
      </w:r>
      <w:r>
        <w:rPr>
          <w:spacing w:val="-18"/>
        </w:rPr>
        <w:t> </w:t>
      </w:r>
      <w:r>
        <w:rPr/>
        <w:t>of</w:t>
      </w:r>
      <w:r>
        <w:rPr>
          <w:spacing w:val="-19"/>
        </w:rPr>
        <w:t> </w:t>
      </w:r>
      <w:r>
        <w:rPr/>
        <w:t>some</w:t>
      </w:r>
      <w:r>
        <w:rPr>
          <w:spacing w:val="-21"/>
        </w:rPr>
        <w:t> </w:t>
      </w:r>
      <w:r>
        <w:rPr/>
        <w:t>of</w:t>
      </w:r>
      <w:r>
        <w:rPr>
          <w:spacing w:val="-19"/>
        </w:rPr>
        <w:t> </w:t>
      </w:r>
      <w:r>
        <w:rPr/>
        <w:t>the</w:t>
      </w:r>
      <w:r>
        <w:rPr>
          <w:spacing w:val="-18"/>
        </w:rPr>
        <w:t> </w:t>
      </w:r>
      <w:r>
        <w:rPr/>
        <w:t>substances</w:t>
      </w:r>
      <w:r>
        <w:rPr>
          <w:spacing w:val="-20"/>
        </w:rPr>
        <w:t> </w:t>
      </w:r>
      <w:r>
        <w:rPr/>
        <w:t>contained</w:t>
      </w:r>
      <w:r>
        <w:rPr>
          <w:spacing w:val="-16"/>
        </w:rPr>
        <w:t> </w:t>
      </w:r>
      <w:r>
        <w:rPr/>
        <w:t>in</w:t>
      </w:r>
      <w:r>
        <w:rPr>
          <w:spacing w:val="-19"/>
        </w:rPr>
        <w:t> </w:t>
      </w:r>
      <w:r>
        <w:rPr/>
        <w:t>redbush</w:t>
      </w:r>
      <w:r>
        <w:rPr>
          <w:spacing w:val="-18"/>
        </w:rPr>
        <w:t> </w:t>
      </w:r>
      <w:r>
        <w:rPr/>
        <w:t>tea</w:t>
      </w:r>
      <w:r>
        <w:rPr>
          <w:spacing w:val="-19"/>
        </w:rPr>
        <w:t> </w:t>
      </w:r>
      <w:r>
        <w:rPr/>
        <w:t>can put an end to various Coli bacteria. This includes Escherichia coli, a parasite that is among the most common triggers of diarrhoea due to its toxic excre- tions.</w:t>
      </w:r>
      <w:r>
        <w:rPr>
          <w:position w:val="9"/>
          <w:sz w:val="25"/>
        </w:rPr>
        <w:t>804</w:t>
      </w:r>
    </w:p>
    <w:p>
      <w:pPr>
        <w:pStyle w:val="BodyText"/>
        <w:spacing w:line="276" w:lineRule="auto" w:before="242"/>
        <w:ind w:left="616" w:right="134"/>
        <w:jc w:val="both"/>
      </w:pPr>
      <w:r>
        <w:rPr/>
        <w:t>Some diarrhoea results from food intolerances—in this case, the antiallergic effect of redbush tea can also score some points!</w:t>
      </w:r>
    </w:p>
    <w:p>
      <w:pPr>
        <w:pStyle w:val="Heading1"/>
        <w:spacing w:before="221"/>
        <w:ind w:left="616"/>
      </w:pPr>
      <w:r>
        <w:rPr/>
        <w:t>Effect of redbush on three-month colic in infants</w:t>
      </w:r>
    </w:p>
    <w:p>
      <w:pPr>
        <w:pStyle w:val="BodyText"/>
        <w:spacing w:line="276" w:lineRule="auto" w:before="299"/>
        <w:ind w:left="616" w:right="132"/>
        <w:jc w:val="both"/>
      </w:pPr>
      <w:r>
        <w:rPr/>
        <w:t>Redbush tea has proven itself highly effective for infants that are suffering from three-month colic. The colic often disappears after a few days and the additional calming effect of redbush tea allows the children to quickly relax (often after the first use!). What stands out as a positive is that the children very</w:t>
      </w:r>
      <w:r>
        <w:rPr>
          <w:spacing w:val="-6"/>
        </w:rPr>
        <w:t> </w:t>
      </w:r>
      <w:r>
        <w:rPr/>
        <w:t>much</w:t>
      </w:r>
      <w:r>
        <w:rPr>
          <w:spacing w:val="-6"/>
        </w:rPr>
        <w:t> </w:t>
      </w:r>
      <w:r>
        <w:rPr/>
        <w:t>like</w:t>
      </w:r>
      <w:r>
        <w:rPr>
          <w:spacing w:val="-7"/>
        </w:rPr>
        <w:t> </w:t>
      </w:r>
      <w:r>
        <w:rPr/>
        <w:t>the</w:t>
      </w:r>
      <w:r>
        <w:rPr>
          <w:spacing w:val="-5"/>
        </w:rPr>
        <w:t> </w:t>
      </w:r>
      <w:r>
        <w:rPr/>
        <w:t>sweet</w:t>
      </w:r>
      <w:r>
        <w:rPr>
          <w:spacing w:val="-6"/>
        </w:rPr>
        <w:t> </w:t>
      </w:r>
      <w:r>
        <w:rPr/>
        <w:t>and</w:t>
      </w:r>
      <w:r>
        <w:rPr>
          <w:spacing w:val="-6"/>
        </w:rPr>
        <w:t> </w:t>
      </w:r>
      <w:r>
        <w:rPr/>
        <w:t>tannin-free</w:t>
      </w:r>
      <w:r>
        <w:rPr>
          <w:spacing w:val="-6"/>
        </w:rPr>
        <w:t> </w:t>
      </w:r>
      <w:r>
        <w:rPr/>
        <w:t>redbush</w:t>
      </w:r>
      <w:r>
        <w:rPr>
          <w:spacing w:val="-7"/>
        </w:rPr>
        <w:t> </w:t>
      </w:r>
      <w:r>
        <w:rPr/>
        <w:t>tea;</w:t>
      </w:r>
      <w:r>
        <w:rPr>
          <w:spacing w:val="-5"/>
        </w:rPr>
        <w:t> </w:t>
      </w:r>
      <w:r>
        <w:rPr/>
        <w:t>it</w:t>
      </w:r>
      <w:r>
        <w:rPr>
          <w:spacing w:val="-7"/>
        </w:rPr>
        <w:t> </w:t>
      </w:r>
      <w:r>
        <w:rPr/>
        <w:t>is</w:t>
      </w:r>
      <w:r>
        <w:rPr>
          <w:spacing w:val="-8"/>
        </w:rPr>
        <w:t> </w:t>
      </w:r>
      <w:r>
        <w:rPr/>
        <w:t>one</w:t>
      </w:r>
      <w:r>
        <w:rPr>
          <w:spacing w:val="-8"/>
        </w:rPr>
        <w:t> </w:t>
      </w:r>
      <w:r>
        <w:rPr/>
        <w:t>of</w:t>
      </w:r>
      <w:r>
        <w:rPr>
          <w:spacing w:val="-7"/>
        </w:rPr>
        <w:t> </w:t>
      </w:r>
      <w:r>
        <w:rPr/>
        <w:t>the</w:t>
      </w:r>
      <w:r>
        <w:rPr>
          <w:spacing w:val="-5"/>
        </w:rPr>
        <w:t> </w:t>
      </w:r>
      <w:r>
        <w:rPr/>
        <w:t>few</w:t>
      </w:r>
      <w:r>
        <w:rPr>
          <w:spacing w:val="-7"/>
        </w:rPr>
        <w:t> </w:t>
      </w:r>
      <w:r>
        <w:rPr/>
        <w:t>rem- edies that are very gladly consumed by children.</w:t>
      </w:r>
    </w:p>
    <w:p>
      <w:pPr>
        <w:pStyle w:val="BodyText"/>
        <w:rPr>
          <w:sz w:val="20"/>
        </w:rPr>
      </w:pPr>
    </w:p>
    <w:p>
      <w:pPr>
        <w:pStyle w:val="BodyText"/>
        <w:rPr>
          <w:sz w:val="20"/>
        </w:rPr>
      </w:pPr>
    </w:p>
    <w:p>
      <w:pPr>
        <w:pStyle w:val="BodyText"/>
        <w:spacing w:before="8"/>
        <w:rPr>
          <w:sz w:val="29"/>
        </w:rPr>
      </w:pPr>
      <w:r>
        <w:rPr/>
        <w:pict>
          <v:line style="position:absolute;mso-position-horizontal-relative:page;mso-position-vertical-relative:paragraph;z-index:10808;mso-wrap-distance-left:0;mso-wrap-distance-right:0" from="70.823997pt,19.102514pt" to="214.843997pt,19.102514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804 </w:t>
      </w:r>
      <w:r>
        <w:rPr>
          <w:sz w:val="20"/>
        </w:rPr>
        <w:t>Dr Jörg Zittlau: Rotbuschtee – für Gesundheit und Schönheit (‘Redbush Tea – For Health and Beauty’), 3. Edition 1999, p. 52.</w:t>
      </w:r>
    </w:p>
    <w:p>
      <w:pPr>
        <w:spacing w:after="0"/>
        <w:jc w:val="left"/>
        <w:rPr>
          <w:sz w:val="20"/>
        </w:rPr>
        <w:sectPr>
          <w:pgSz w:w="14270" w:h="16850"/>
          <w:pgMar w:header="0" w:footer="1891" w:top="1320" w:bottom="2080" w:left="800" w:right="1280"/>
        </w:sectPr>
      </w:pPr>
    </w:p>
    <w:p>
      <w:pPr>
        <w:pStyle w:val="BodyText"/>
        <w:spacing w:line="276" w:lineRule="auto" w:before="74"/>
        <w:ind w:left="616"/>
      </w:pPr>
      <w:r>
        <w:rPr/>
        <w:t>And</w:t>
      </w:r>
      <w:r>
        <w:rPr>
          <w:spacing w:val="-16"/>
        </w:rPr>
        <w:t> </w:t>
      </w:r>
      <w:r>
        <w:rPr/>
        <w:t>because</w:t>
      </w:r>
      <w:r>
        <w:rPr>
          <w:spacing w:val="-17"/>
        </w:rPr>
        <w:t> </w:t>
      </w:r>
      <w:r>
        <w:rPr/>
        <w:t>it</w:t>
      </w:r>
      <w:r>
        <w:rPr>
          <w:spacing w:val="-17"/>
        </w:rPr>
        <w:t> </w:t>
      </w:r>
      <w:r>
        <w:rPr/>
        <w:t>contains</w:t>
      </w:r>
      <w:r>
        <w:rPr>
          <w:spacing w:val="-16"/>
        </w:rPr>
        <w:t> </w:t>
      </w:r>
      <w:r>
        <w:rPr/>
        <w:t>no</w:t>
      </w:r>
      <w:r>
        <w:rPr>
          <w:spacing w:val="-18"/>
        </w:rPr>
        <w:t> </w:t>
      </w:r>
      <w:r>
        <w:rPr/>
        <w:t>sugar</w:t>
      </w:r>
      <w:r>
        <w:rPr>
          <w:spacing w:val="-15"/>
        </w:rPr>
        <w:t> </w:t>
      </w:r>
      <w:r>
        <w:rPr/>
        <w:t>and</w:t>
      </w:r>
      <w:r>
        <w:rPr>
          <w:spacing w:val="-16"/>
        </w:rPr>
        <w:t> </w:t>
      </w:r>
      <w:r>
        <w:rPr/>
        <w:t>no</w:t>
      </w:r>
      <w:r>
        <w:rPr>
          <w:spacing w:val="-18"/>
        </w:rPr>
        <w:t> </w:t>
      </w:r>
      <w:r>
        <w:rPr/>
        <w:t>caffeine,</w:t>
      </w:r>
      <w:r>
        <w:rPr>
          <w:spacing w:val="-16"/>
        </w:rPr>
        <w:t> </w:t>
      </w:r>
      <w:r>
        <w:rPr/>
        <w:t>children</w:t>
      </w:r>
      <w:r>
        <w:rPr>
          <w:spacing w:val="-16"/>
        </w:rPr>
        <w:t> </w:t>
      </w:r>
      <w:r>
        <w:rPr/>
        <w:t>can</w:t>
      </w:r>
      <w:r>
        <w:rPr>
          <w:spacing w:val="-15"/>
        </w:rPr>
        <w:t> </w:t>
      </w:r>
      <w:r>
        <w:rPr/>
        <w:t>also</w:t>
      </w:r>
      <w:r>
        <w:rPr>
          <w:spacing w:val="-15"/>
        </w:rPr>
        <w:t> </w:t>
      </w:r>
      <w:r>
        <w:rPr/>
        <w:t>easily</w:t>
      </w:r>
      <w:r>
        <w:rPr>
          <w:spacing w:val="-17"/>
        </w:rPr>
        <w:t> </w:t>
      </w:r>
      <w:r>
        <w:rPr/>
        <w:t>drink large amounts of</w:t>
      </w:r>
      <w:r>
        <w:rPr>
          <w:spacing w:val="2"/>
        </w:rPr>
        <w:t> </w:t>
      </w:r>
      <w:r>
        <w:rPr/>
        <w:t>it.</w:t>
      </w:r>
    </w:p>
    <w:p>
      <w:pPr>
        <w:pStyle w:val="BodyText"/>
        <w:spacing w:before="239"/>
        <w:ind w:left="616"/>
      </w:pPr>
      <w:r>
        <w:rPr/>
        <w:t>This is how rooibos tea works against colic:</w:t>
      </w:r>
    </w:p>
    <w:p>
      <w:pPr>
        <w:pStyle w:val="ListParagraph"/>
        <w:numPr>
          <w:ilvl w:val="1"/>
          <w:numId w:val="105"/>
        </w:numPr>
        <w:tabs>
          <w:tab w:pos="1279" w:val="left" w:leader="none"/>
        </w:tabs>
        <w:spacing w:line="273" w:lineRule="auto" w:before="265" w:after="0"/>
        <w:ind w:left="1182" w:right="134" w:hanging="141"/>
        <w:jc w:val="left"/>
        <w:rPr>
          <w:sz w:val="38"/>
        </w:rPr>
      </w:pPr>
      <w:r>
        <w:rPr>
          <w:sz w:val="38"/>
        </w:rPr>
        <w:t>the flavonoids contained in rooibos tea have a cramp-relieving effect on the intestinal</w:t>
      </w:r>
      <w:r>
        <w:rPr>
          <w:spacing w:val="1"/>
          <w:sz w:val="38"/>
        </w:rPr>
        <w:t> </w:t>
      </w:r>
      <w:r>
        <w:rPr>
          <w:sz w:val="38"/>
        </w:rPr>
        <w:t>muscles.</w:t>
      </w:r>
    </w:p>
    <w:p>
      <w:pPr>
        <w:pStyle w:val="ListParagraph"/>
        <w:numPr>
          <w:ilvl w:val="1"/>
          <w:numId w:val="105"/>
        </w:numPr>
        <w:tabs>
          <w:tab w:pos="1279" w:val="left" w:leader="none"/>
        </w:tabs>
        <w:spacing w:line="273" w:lineRule="auto" w:before="127" w:after="0"/>
        <w:ind w:left="1182" w:right="140" w:hanging="141"/>
        <w:jc w:val="left"/>
        <w:rPr>
          <w:sz w:val="38"/>
        </w:rPr>
      </w:pPr>
      <w:r>
        <w:rPr>
          <w:sz w:val="38"/>
        </w:rPr>
        <w:t>If the colic is based on allergic reactions to individual food components, then</w:t>
      </w:r>
      <w:r>
        <w:rPr>
          <w:spacing w:val="-20"/>
          <w:sz w:val="38"/>
        </w:rPr>
        <w:t> </w:t>
      </w:r>
      <w:r>
        <w:rPr>
          <w:sz w:val="38"/>
        </w:rPr>
        <w:t>the</w:t>
      </w:r>
      <w:r>
        <w:rPr>
          <w:spacing w:val="-19"/>
          <w:sz w:val="38"/>
        </w:rPr>
        <w:t> </w:t>
      </w:r>
      <w:r>
        <w:rPr>
          <w:sz w:val="38"/>
        </w:rPr>
        <w:t>antiallergic</w:t>
      </w:r>
      <w:r>
        <w:rPr>
          <w:spacing w:val="-20"/>
          <w:sz w:val="38"/>
        </w:rPr>
        <w:t> </w:t>
      </w:r>
      <w:r>
        <w:rPr>
          <w:sz w:val="38"/>
        </w:rPr>
        <w:t>mechanisms</w:t>
      </w:r>
      <w:r>
        <w:rPr>
          <w:spacing w:val="-22"/>
          <w:sz w:val="38"/>
        </w:rPr>
        <w:t> </w:t>
      </w:r>
      <w:r>
        <w:rPr>
          <w:sz w:val="38"/>
        </w:rPr>
        <w:t>of</w:t>
      </w:r>
      <w:r>
        <w:rPr>
          <w:spacing w:val="-20"/>
          <w:sz w:val="38"/>
        </w:rPr>
        <w:t> </w:t>
      </w:r>
      <w:r>
        <w:rPr>
          <w:sz w:val="38"/>
        </w:rPr>
        <w:t>redbush</w:t>
      </w:r>
      <w:r>
        <w:rPr>
          <w:spacing w:val="-19"/>
          <w:sz w:val="38"/>
        </w:rPr>
        <w:t> </w:t>
      </w:r>
      <w:r>
        <w:rPr>
          <w:sz w:val="38"/>
        </w:rPr>
        <w:t>tea</w:t>
      </w:r>
      <w:r>
        <w:rPr>
          <w:spacing w:val="-21"/>
          <w:sz w:val="38"/>
        </w:rPr>
        <w:t> </w:t>
      </w:r>
      <w:r>
        <w:rPr>
          <w:sz w:val="38"/>
        </w:rPr>
        <w:t>additionally</w:t>
      </w:r>
      <w:r>
        <w:rPr>
          <w:spacing w:val="-19"/>
          <w:sz w:val="38"/>
        </w:rPr>
        <w:t> </w:t>
      </w:r>
      <w:r>
        <w:rPr>
          <w:sz w:val="38"/>
        </w:rPr>
        <w:t>have</w:t>
      </w:r>
      <w:r>
        <w:rPr>
          <w:spacing w:val="-20"/>
          <w:sz w:val="38"/>
        </w:rPr>
        <w:t> </w:t>
      </w:r>
      <w:r>
        <w:rPr>
          <w:sz w:val="38"/>
        </w:rPr>
        <w:t>an</w:t>
      </w:r>
      <w:r>
        <w:rPr>
          <w:spacing w:val="-20"/>
          <w:sz w:val="38"/>
        </w:rPr>
        <w:t> </w:t>
      </w:r>
      <w:r>
        <w:rPr>
          <w:sz w:val="38"/>
        </w:rPr>
        <w:t>effect.</w:t>
      </w:r>
    </w:p>
    <w:p>
      <w:pPr>
        <w:pStyle w:val="Heading1"/>
        <w:spacing w:before="231"/>
        <w:ind w:left="616"/>
      </w:pPr>
      <w:r>
        <w:rPr/>
        <w:t>Rooibos tea and its effect on intestinal inflammation</w:t>
      </w:r>
    </w:p>
    <w:p>
      <w:pPr>
        <w:pStyle w:val="BodyText"/>
        <w:spacing w:line="276" w:lineRule="auto" w:before="299"/>
        <w:ind w:left="616" w:right="132"/>
        <w:jc w:val="both"/>
      </w:pPr>
      <w:r>
        <w:rPr/>
        <w:t>Rooibos tea has an antibacterial effect (exclusively) on the negative bacteria strains in the intestines and also inhibits inflammatory processes in the intes- tines.</w:t>
      </w:r>
      <w:r>
        <w:rPr>
          <w:spacing w:val="-10"/>
        </w:rPr>
        <w:t> </w:t>
      </w:r>
      <w:r>
        <w:rPr/>
        <w:t>The</w:t>
      </w:r>
      <w:r>
        <w:rPr>
          <w:spacing w:val="-13"/>
        </w:rPr>
        <w:t> </w:t>
      </w:r>
      <w:r>
        <w:rPr/>
        <w:t>anti-inflammatory</w:t>
      </w:r>
      <w:r>
        <w:rPr>
          <w:spacing w:val="-11"/>
        </w:rPr>
        <w:t> </w:t>
      </w:r>
      <w:r>
        <w:rPr/>
        <w:t>and</w:t>
      </w:r>
      <w:r>
        <w:rPr>
          <w:spacing w:val="-11"/>
        </w:rPr>
        <w:t> </w:t>
      </w:r>
      <w:r>
        <w:rPr/>
        <w:t>uncramping</w:t>
      </w:r>
      <w:r>
        <w:rPr>
          <w:spacing w:val="-11"/>
        </w:rPr>
        <w:t> </w:t>
      </w:r>
      <w:r>
        <w:rPr/>
        <w:t>effect</w:t>
      </w:r>
      <w:r>
        <w:rPr>
          <w:spacing w:val="-12"/>
        </w:rPr>
        <w:t> </w:t>
      </w:r>
      <w:r>
        <w:rPr/>
        <w:t>relaxes</w:t>
      </w:r>
      <w:r>
        <w:rPr>
          <w:spacing w:val="-10"/>
        </w:rPr>
        <w:t> </w:t>
      </w:r>
      <w:r>
        <w:rPr/>
        <w:t>the</w:t>
      </w:r>
      <w:r>
        <w:rPr>
          <w:spacing w:val="-10"/>
        </w:rPr>
        <w:t> </w:t>
      </w:r>
      <w:r>
        <w:rPr/>
        <w:t>intestinal</w:t>
      </w:r>
      <w:r>
        <w:rPr>
          <w:spacing w:val="-11"/>
        </w:rPr>
        <w:t> </w:t>
      </w:r>
      <w:r>
        <w:rPr/>
        <w:t>mus- cles and in this way soothes the intestinal inflammation, which should very quickly</w:t>
      </w:r>
      <w:r>
        <w:rPr>
          <w:spacing w:val="-2"/>
        </w:rPr>
        <w:t> </w:t>
      </w:r>
      <w:r>
        <w:rPr/>
        <w:t>abate.</w:t>
      </w:r>
    </w:p>
    <w:p>
      <w:pPr>
        <w:pStyle w:val="BodyText"/>
        <w:spacing w:line="276" w:lineRule="auto" w:before="240"/>
        <w:ind w:left="616" w:right="135"/>
        <w:jc w:val="both"/>
      </w:pPr>
      <w:r>
        <w:rPr/>
        <w:t>If that does not happen, there is no other option but to a doctor. Incidentally, the</w:t>
      </w:r>
      <w:r>
        <w:rPr>
          <w:spacing w:val="-9"/>
        </w:rPr>
        <w:t> </w:t>
      </w:r>
      <w:r>
        <w:rPr/>
        <w:t>loss</w:t>
      </w:r>
      <w:r>
        <w:rPr>
          <w:spacing w:val="-11"/>
        </w:rPr>
        <w:t> </w:t>
      </w:r>
      <w:r>
        <w:rPr/>
        <w:t>of</w:t>
      </w:r>
      <w:r>
        <w:rPr>
          <w:spacing w:val="-9"/>
        </w:rPr>
        <w:t> </w:t>
      </w:r>
      <w:r>
        <w:rPr/>
        <w:t>fluids</w:t>
      </w:r>
      <w:r>
        <w:rPr>
          <w:spacing w:val="-9"/>
        </w:rPr>
        <w:t> </w:t>
      </w:r>
      <w:r>
        <w:rPr/>
        <w:t>and</w:t>
      </w:r>
      <w:r>
        <w:rPr>
          <w:spacing w:val="-9"/>
        </w:rPr>
        <w:t> </w:t>
      </w:r>
      <w:r>
        <w:rPr/>
        <w:t>electrolytes</w:t>
      </w:r>
      <w:r>
        <w:rPr>
          <w:spacing w:val="-12"/>
        </w:rPr>
        <w:t> </w:t>
      </w:r>
      <w:r>
        <w:rPr/>
        <w:t>through</w:t>
      </w:r>
      <w:r>
        <w:rPr>
          <w:spacing w:val="-10"/>
        </w:rPr>
        <w:t> </w:t>
      </w:r>
      <w:r>
        <w:rPr/>
        <w:t>diarrhoea</w:t>
      </w:r>
      <w:r>
        <w:rPr>
          <w:spacing w:val="-8"/>
        </w:rPr>
        <w:t> </w:t>
      </w:r>
      <w:r>
        <w:rPr/>
        <w:t>is</w:t>
      </w:r>
      <w:r>
        <w:rPr>
          <w:spacing w:val="-9"/>
        </w:rPr>
        <w:t> </w:t>
      </w:r>
      <w:r>
        <w:rPr/>
        <w:t>also</w:t>
      </w:r>
      <w:r>
        <w:rPr>
          <w:spacing w:val="-9"/>
        </w:rPr>
        <w:t> </w:t>
      </w:r>
      <w:r>
        <w:rPr/>
        <w:t>balanced</w:t>
      </w:r>
      <w:r>
        <w:rPr>
          <w:spacing w:val="-9"/>
        </w:rPr>
        <w:t> </w:t>
      </w:r>
      <w:r>
        <w:rPr/>
        <w:t>out</w:t>
      </w:r>
      <w:r>
        <w:rPr>
          <w:spacing w:val="-11"/>
        </w:rPr>
        <w:t> </w:t>
      </w:r>
      <w:r>
        <w:rPr/>
        <w:t>by</w:t>
      </w:r>
      <w:r>
        <w:rPr>
          <w:spacing w:val="-9"/>
        </w:rPr>
        <w:t> </w:t>
      </w:r>
      <w:r>
        <w:rPr/>
        <w:t>the minerals in rooibos</w:t>
      </w:r>
      <w:r>
        <w:rPr>
          <w:spacing w:val="2"/>
        </w:rPr>
        <w:t> </w:t>
      </w:r>
      <w:r>
        <w:rPr/>
        <w:t>tea.</w:t>
      </w:r>
    </w:p>
    <w:p>
      <w:pPr>
        <w:pStyle w:val="Heading1"/>
        <w:spacing w:before="222"/>
        <w:ind w:left="616"/>
        <w:jc w:val="both"/>
      </w:pPr>
      <w:r>
        <w:rPr/>
        <w:t>Effect of rooibos on flatulence</w:t>
      </w:r>
    </w:p>
    <w:p>
      <w:pPr>
        <w:pStyle w:val="BodyText"/>
        <w:spacing w:before="299"/>
        <w:ind w:left="616"/>
        <w:jc w:val="both"/>
      </w:pPr>
      <w:r>
        <w:rPr/>
        <w:t>The calming of the intestines also causes gas to be evenly discharged.</w:t>
      </w:r>
    </w:p>
    <w:p>
      <w:pPr>
        <w:pStyle w:val="BodyText"/>
        <w:rPr>
          <w:sz w:val="42"/>
        </w:rPr>
      </w:pPr>
    </w:p>
    <w:p>
      <w:pPr>
        <w:pStyle w:val="BodyText"/>
        <w:spacing w:before="7"/>
        <w:rPr>
          <w:sz w:val="48"/>
        </w:rPr>
      </w:pPr>
    </w:p>
    <w:p>
      <w:pPr>
        <w:pStyle w:val="Heading1"/>
        <w:spacing w:before="0"/>
        <w:ind w:left="616"/>
        <w:jc w:val="both"/>
      </w:pPr>
      <w:r>
        <w:rPr/>
        <w:t>Effect of redbush tea on depression</w:t>
      </w:r>
    </w:p>
    <w:p>
      <w:pPr>
        <w:spacing w:after="0"/>
        <w:jc w:val="both"/>
        <w:sectPr>
          <w:pgSz w:w="14270" w:h="16850"/>
          <w:pgMar w:header="0" w:footer="1891" w:top="1340" w:bottom="2080" w:left="800" w:right="1280"/>
        </w:sectPr>
      </w:pPr>
    </w:p>
    <w:p>
      <w:pPr>
        <w:pStyle w:val="BodyText"/>
        <w:spacing w:line="276" w:lineRule="auto" w:before="74"/>
        <w:ind w:left="616" w:right="134"/>
        <w:jc w:val="both"/>
      </w:pPr>
      <w:r>
        <w:rPr/>
        <w:t>Redbush tea contains two flavonoids which have already strongly proven themselves</w:t>
      </w:r>
      <w:r>
        <w:rPr>
          <w:spacing w:val="-10"/>
        </w:rPr>
        <w:t> </w:t>
      </w:r>
      <w:r>
        <w:rPr/>
        <w:t>as</w:t>
      </w:r>
      <w:r>
        <w:rPr>
          <w:spacing w:val="-10"/>
        </w:rPr>
        <w:t> </w:t>
      </w:r>
      <w:r>
        <w:rPr/>
        <w:t>natural</w:t>
      </w:r>
      <w:r>
        <w:rPr>
          <w:spacing w:val="-10"/>
        </w:rPr>
        <w:t> </w:t>
      </w:r>
      <w:r>
        <w:rPr/>
        <w:t>anti-depressives</w:t>
      </w:r>
      <w:r>
        <w:rPr>
          <w:spacing w:val="-9"/>
        </w:rPr>
        <w:t> </w:t>
      </w:r>
      <w:r>
        <w:rPr/>
        <w:t>in</w:t>
      </w:r>
      <w:r>
        <w:rPr>
          <w:spacing w:val="-9"/>
        </w:rPr>
        <w:t> </w:t>
      </w:r>
      <w:r>
        <w:rPr/>
        <w:t>St.</w:t>
      </w:r>
      <w:r>
        <w:rPr>
          <w:spacing w:val="-11"/>
        </w:rPr>
        <w:t> </w:t>
      </w:r>
      <w:r>
        <w:rPr/>
        <w:t>John’s</w:t>
      </w:r>
      <w:r>
        <w:rPr>
          <w:spacing w:val="-9"/>
        </w:rPr>
        <w:t> </w:t>
      </w:r>
      <w:r>
        <w:rPr/>
        <w:t>wort,</w:t>
      </w:r>
      <w:r>
        <w:rPr>
          <w:spacing w:val="-8"/>
        </w:rPr>
        <w:t> </w:t>
      </w:r>
      <w:r>
        <w:rPr/>
        <w:t>the</w:t>
      </w:r>
      <w:r>
        <w:rPr>
          <w:spacing w:val="-11"/>
        </w:rPr>
        <w:t> </w:t>
      </w:r>
      <w:r>
        <w:rPr/>
        <w:t>classic</w:t>
      </w:r>
      <w:r>
        <w:rPr>
          <w:spacing w:val="-8"/>
        </w:rPr>
        <w:t> </w:t>
      </w:r>
      <w:r>
        <w:rPr/>
        <w:t>among</w:t>
      </w:r>
      <w:r>
        <w:rPr>
          <w:spacing w:val="-9"/>
        </w:rPr>
        <w:t> </w:t>
      </w:r>
      <w:r>
        <w:rPr/>
        <w:t>the calming herbs. Quercitrine, quercentrin and isoquercetine possess similar mechanisms to those ingredients in St. John's wort which have traditionally proven to be helpful in the treatment of depression. The first-mentioned fla- vonoids exercise a positive influence on the production of the 'happiness</w:t>
      </w:r>
      <w:r>
        <w:rPr>
          <w:spacing w:val="-49"/>
        </w:rPr>
        <w:t> </w:t>
      </w:r>
      <w:r>
        <w:rPr/>
        <w:t>hor- mone' serotonin and also support peaceful, deep</w:t>
      </w:r>
      <w:r>
        <w:rPr>
          <w:spacing w:val="-5"/>
        </w:rPr>
        <w:t> </w:t>
      </w:r>
      <w:r>
        <w:rPr/>
        <w:t>sleep.</w:t>
      </w:r>
    </w:p>
    <w:p>
      <w:pPr>
        <w:pStyle w:val="Heading1"/>
        <w:ind w:left="616"/>
      </w:pPr>
      <w:r>
        <w:rPr/>
        <w:t>Redbush and its effect on migraines and headaches</w:t>
      </w:r>
    </w:p>
    <w:p>
      <w:pPr>
        <w:pStyle w:val="BodyText"/>
        <w:spacing w:line="276" w:lineRule="auto" w:before="299"/>
        <w:ind w:left="616" w:right="132"/>
        <w:jc w:val="both"/>
        <w:rPr>
          <w:sz w:val="25"/>
        </w:rPr>
      </w:pPr>
      <w:r>
        <w:rPr/>
        <w:t>The circulation-promoting, loosening and relaxing effect on the blood vessels and the nervous system predestine redbush tea to be a first-rate remedy for migraines and headaches. It also has several ingredients with a pain-relieving effect.</w:t>
      </w:r>
      <w:r>
        <w:rPr>
          <w:position w:val="9"/>
          <w:sz w:val="25"/>
        </w:rPr>
        <w:t>805</w:t>
      </w:r>
    </w:p>
    <w:p>
      <w:pPr>
        <w:pStyle w:val="Heading1"/>
        <w:spacing w:before="222"/>
        <w:ind w:left="616"/>
      </w:pPr>
      <w:r>
        <w:rPr/>
        <w:t>Effect of redbush tea on sleep</w:t>
      </w:r>
      <w:r>
        <w:rPr>
          <w:spacing w:val="-63"/>
        </w:rPr>
        <w:t> </w:t>
      </w:r>
      <w:r>
        <w:rPr/>
        <w:t>disorders</w:t>
      </w:r>
    </w:p>
    <w:p>
      <w:pPr>
        <w:pStyle w:val="BodyText"/>
        <w:spacing w:line="276" w:lineRule="auto" w:before="300"/>
        <w:ind w:left="616" w:right="131"/>
        <w:jc w:val="both"/>
      </w:pPr>
      <w:r>
        <w:rPr/>
        <w:t>Quercitrine, quercentrin and isoquercetine possess similar mechanisms to those</w:t>
      </w:r>
      <w:r>
        <w:rPr>
          <w:spacing w:val="-14"/>
        </w:rPr>
        <w:t> </w:t>
      </w:r>
      <w:r>
        <w:rPr/>
        <w:t>ingredients</w:t>
      </w:r>
      <w:r>
        <w:rPr>
          <w:spacing w:val="-14"/>
        </w:rPr>
        <w:t> </w:t>
      </w:r>
      <w:r>
        <w:rPr/>
        <w:t>in</w:t>
      </w:r>
      <w:r>
        <w:rPr>
          <w:spacing w:val="-15"/>
        </w:rPr>
        <w:t> </w:t>
      </w:r>
      <w:r>
        <w:rPr/>
        <w:t>St.</w:t>
      </w:r>
      <w:r>
        <w:rPr>
          <w:spacing w:val="-16"/>
        </w:rPr>
        <w:t> </w:t>
      </w:r>
      <w:r>
        <w:rPr/>
        <w:t>John's</w:t>
      </w:r>
      <w:r>
        <w:rPr>
          <w:spacing w:val="-15"/>
        </w:rPr>
        <w:t> </w:t>
      </w:r>
      <w:r>
        <w:rPr/>
        <w:t>wort</w:t>
      </w:r>
      <w:r>
        <w:rPr>
          <w:spacing w:val="-14"/>
        </w:rPr>
        <w:t> </w:t>
      </w:r>
      <w:r>
        <w:rPr/>
        <w:t>which</w:t>
      </w:r>
      <w:r>
        <w:rPr>
          <w:spacing w:val="-14"/>
        </w:rPr>
        <w:t> </w:t>
      </w:r>
      <w:r>
        <w:rPr/>
        <w:t>have</w:t>
      </w:r>
      <w:r>
        <w:rPr>
          <w:spacing w:val="-15"/>
        </w:rPr>
        <w:t> </w:t>
      </w:r>
      <w:r>
        <w:rPr/>
        <w:t>traditionally</w:t>
      </w:r>
      <w:r>
        <w:rPr>
          <w:spacing w:val="-15"/>
        </w:rPr>
        <w:t> </w:t>
      </w:r>
      <w:r>
        <w:rPr/>
        <w:t>proven</w:t>
      </w:r>
      <w:r>
        <w:rPr>
          <w:spacing w:val="-14"/>
        </w:rPr>
        <w:t> </w:t>
      </w:r>
      <w:r>
        <w:rPr/>
        <w:t>to</w:t>
      </w:r>
      <w:r>
        <w:rPr>
          <w:spacing w:val="-15"/>
        </w:rPr>
        <w:t> </w:t>
      </w:r>
      <w:r>
        <w:rPr/>
        <w:t>be</w:t>
      </w:r>
      <w:r>
        <w:rPr>
          <w:spacing w:val="-16"/>
        </w:rPr>
        <w:t> </w:t>
      </w:r>
      <w:r>
        <w:rPr/>
        <w:t>help- ful in the treatment of depression. Both of the first-mentioned flavonoids ex- ercise a positive influence on the production of the 'happiness hormone'</w:t>
      </w:r>
      <w:r>
        <w:rPr>
          <w:spacing w:val="-64"/>
        </w:rPr>
        <w:t> </w:t>
      </w:r>
      <w:r>
        <w:rPr/>
        <w:t>sero- tonin and in this way support a peaceful deep</w:t>
      </w:r>
      <w:r>
        <w:rPr>
          <w:spacing w:val="2"/>
        </w:rPr>
        <w:t> </w:t>
      </w:r>
      <w:r>
        <w:rPr/>
        <w:t>sleep.</w:t>
      </w:r>
    </w:p>
    <w:p>
      <w:pPr>
        <w:pStyle w:val="Heading1"/>
        <w:spacing w:before="222"/>
        <w:ind w:left="616"/>
        <w:jc w:val="both"/>
      </w:pPr>
      <w:r>
        <w:rPr/>
        <w:t>Effect of rooibos on premenstrual syndrome (PMS)</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5"/>
        <w:rPr>
          <w:b/>
          <w:i/>
          <w:sz w:val="10"/>
        </w:rPr>
      </w:pPr>
      <w:r>
        <w:rPr/>
        <w:pict>
          <v:line style="position:absolute;mso-position-horizontal-relative:page;mso-position-vertical-relative:paragraph;z-index:10832;mso-wrap-distance-left:0;mso-wrap-distance-right:0" from="70.823997pt,8.239985pt" to="214.843997pt,8.239985pt" stroked="true" strokeweight=".72003pt" strokecolor="#000000">
            <v:stroke dashstyle="solid"/>
            <w10:wrap type="topAndBottom"/>
          </v:line>
        </w:pict>
      </w:r>
    </w:p>
    <w:p>
      <w:pPr>
        <w:pStyle w:val="BodyText"/>
        <w:spacing w:before="7"/>
        <w:rPr>
          <w:b/>
          <w:i/>
          <w:sz w:val="18"/>
        </w:rPr>
      </w:pPr>
    </w:p>
    <w:p>
      <w:pPr>
        <w:spacing w:line="276" w:lineRule="auto" w:before="99"/>
        <w:ind w:left="616" w:right="244" w:firstLine="0"/>
        <w:jc w:val="left"/>
        <w:rPr>
          <w:sz w:val="20"/>
        </w:rPr>
      </w:pPr>
      <w:r>
        <w:rPr>
          <w:position w:val="5"/>
          <w:sz w:val="13"/>
        </w:rPr>
        <w:t>805 </w:t>
      </w:r>
      <w:r>
        <w:rPr>
          <w:sz w:val="20"/>
        </w:rPr>
        <w:t>Dr. Jürgen Weihofen and Angelika Finke: So schmeckt Afrika-Rooibos, reizarmer Tee – nicht nur bei Allergien und Magenproblemen ('The Taste of Africa Rooibos, the Relaxing Tea – Not Just for Allergies and Stomach Problems'), 2nd Edition 2000, p. 77.</w:t>
      </w:r>
    </w:p>
    <w:p>
      <w:pPr>
        <w:spacing w:after="0" w:line="276" w:lineRule="auto"/>
        <w:jc w:val="left"/>
        <w:rPr>
          <w:sz w:val="20"/>
        </w:rPr>
        <w:sectPr>
          <w:pgSz w:w="14270" w:h="16850"/>
          <w:pgMar w:header="0" w:footer="1891" w:top="1340" w:bottom="2080" w:left="800" w:right="1280"/>
        </w:sectPr>
      </w:pPr>
    </w:p>
    <w:p>
      <w:pPr>
        <w:pStyle w:val="BodyText"/>
        <w:spacing w:line="276" w:lineRule="auto" w:before="74"/>
        <w:ind w:left="616" w:right="133"/>
        <w:jc w:val="both"/>
      </w:pPr>
      <w:r>
        <w:rPr/>
        <w:t>The three flavonoids 'quercitrine', 'quercetin' and 'isoquercitrine' have a relax- ing and mood-lifting effect and can in this way effectively counteract premen- strual syndrome.</w:t>
      </w:r>
    </w:p>
    <w:p>
      <w:pPr>
        <w:pStyle w:val="Heading1"/>
        <w:spacing w:before="222"/>
        <w:ind w:left="616"/>
      </w:pPr>
      <w:r>
        <w:rPr/>
        <w:t>Effect of redbush tea on anaemia (blood deficiency)</w:t>
      </w:r>
    </w:p>
    <w:p>
      <w:pPr>
        <w:pStyle w:val="BodyText"/>
        <w:spacing w:line="278" w:lineRule="auto" w:before="299"/>
        <w:ind w:left="616" w:right="141"/>
        <w:jc w:val="both"/>
      </w:pPr>
      <w:r>
        <w:rPr/>
        <w:t>Apart from the fact that redbush tea delivers a lot of iron, it also contains vit- amin C, which facilitates the uptake of iron on by our bodies.</w:t>
      </w:r>
    </w:p>
    <w:p>
      <w:pPr>
        <w:pStyle w:val="Heading1"/>
        <w:spacing w:before="215"/>
        <w:ind w:left="616"/>
      </w:pPr>
      <w:r>
        <w:rPr/>
        <w:t>How rooibos works against gum</w:t>
      </w:r>
      <w:r>
        <w:rPr>
          <w:spacing w:val="-66"/>
        </w:rPr>
        <w:t> </w:t>
      </w:r>
      <w:r>
        <w:rPr/>
        <w:t>inflammation</w:t>
      </w:r>
    </w:p>
    <w:p>
      <w:pPr>
        <w:pStyle w:val="BodyText"/>
        <w:spacing w:line="276" w:lineRule="auto" w:before="300"/>
        <w:ind w:left="616" w:right="132"/>
        <w:jc w:val="both"/>
      </w:pPr>
      <w:r>
        <w:rPr/>
        <w:t>The anti-inflammatory and astringent, constricting effects</w:t>
      </w:r>
      <w:r>
        <w:rPr>
          <w:position w:val="9"/>
          <w:sz w:val="25"/>
        </w:rPr>
        <w:t>806 </w:t>
      </w:r>
      <w:r>
        <w:rPr/>
        <w:t>makes the gums more resilient to attacks by parasites and the inflammation quickly easing. Be- sides regularly drinking rooibos tea, it is advisable to rinse the mouth with it several times a day.</w:t>
      </w:r>
    </w:p>
    <w:p>
      <w:pPr>
        <w:pStyle w:val="Heading1"/>
        <w:spacing w:before="222"/>
        <w:ind w:left="616"/>
      </w:pPr>
      <w:r>
        <w:rPr/>
        <w:t>The diet-supporting effect of rooibos</w:t>
      </w:r>
      <w:r>
        <w:rPr>
          <w:spacing w:val="-52"/>
        </w:rPr>
        <w:t> </w:t>
      </w:r>
      <w:r>
        <w:rPr/>
        <w:t>tea</w:t>
      </w:r>
    </w:p>
    <w:p>
      <w:pPr>
        <w:pStyle w:val="BodyText"/>
        <w:spacing w:line="276" w:lineRule="auto" w:before="299"/>
        <w:ind w:left="616" w:right="133"/>
        <w:jc w:val="both"/>
      </w:pPr>
      <w:r>
        <w:rPr/>
        <w:t>The fact that rooibos tea tastes sweet without fructose, i.e. completely calorie- free, qualifies it as a popular diet aid. The palate is satisfied with respect to the desire</w:t>
      </w:r>
      <w:r>
        <w:rPr>
          <w:spacing w:val="-24"/>
        </w:rPr>
        <w:t> </w:t>
      </w:r>
      <w:r>
        <w:rPr/>
        <w:t>for</w:t>
      </w:r>
      <w:r>
        <w:rPr>
          <w:spacing w:val="-25"/>
        </w:rPr>
        <w:t> </w:t>
      </w:r>
      <w:r>
        <w:rPr/>
        <w:t>something</w:t>
      </w:r>
      <w:r>
        <w:rPr>
          <w:spacing w:val="-24"/>
        </w:rPr>
        <w:t> </w:t>
      </w:r>
      <w:r>
        <w:rPr/>
        <w:t>sweet</w:t>
      </w:r>
      <w:r>
        <w:rPr>
          <w:spacing w:val="-25"/>
        </w:rPr>
        <w:t> </w:t>
      </w:r>
      <w:r>
        <w:rPr/>
        <w:t>without</w:t>
      </w:r>
      <w:r>
        <w:rPr>
          <w:spacing w:val="-24"/>
        </w:rPr>
        <w:t> </w:t>
      </w:r>
      <w:r>
        <w:rPr/>
        <w:t>providing</w:t>
      </w:r>
      <w:r>
        <w:rPr>
          <w:spacing w:val="-24"/>
        </w:rPr>
        <w:t> </w:t>
      </w:r>
      <w:r>
        <w:rPr/>
        <w:t>the</w:t>
      </w:r>
      <w:r>
        <w:rPr>
          <w:spacing w:val="-26"/>
        </w:rPr>
        <w:t> </w:t>
      </w:r>
      <w:r>
        <w:rPr/>
        <w:t>body</w:t>
      </w:r>
      <w:r>
        <w:rPr>
          <w:spacing w:val="-24"/>
        </w:rPr>
        <w:t> </w:t>
      </w:r>
      <w:r>
        <w:rPr/>
        <w:t>with</w:t>
      </w:r>
      <w:r>
        <w:rPr>
          <w:spacing w:val="-24"/>
        </w:rPr>
        <w:t> </w:t>
      </w:r>
      <w:r>
        <w:rPr/>
        <w:t>additional</w:t>
      </w:r>
      <w:r>
        <w:rPr>
          <w:spacing w:val="-25"/>
        </w:rPr>
        <w:t> </w:t>
      </w:r>
      <w:r>
        <w:rPr/>
        <w:t>calories.</w:t>
      </w:r>
    </w:p>
    <w:p>
      <w:pPr>
        <w:pStyle w:val="Heading2"/>
        <w:spacing w:before="239"/>
        <w:ind w:left="616"/>
        <w:jc w:val="both"/>
      </w:pPr>
      <w:r>
        <w:rPr/>
        <w:t>Effect of rooibos on cancer</w:t>
      </w:r>
    </w:p>
    <w:p>
      <w:pPr>
        <w:pStyle w:val="BodyText"/>
        <w:spacing w:before="304"/>
        <w:ind w:left="616"/>
        <w:jc w:val="both"/>
      </w:pPr>
      <w:r>
        <w:rPr/>
        <w:t>The plentiful polyphenols present in rooibos tea have not least</w:t>
      </w:r>
      <w:r>
        <w:rPr>
          <w:spacing w:val="79"/>
        </w:rPr>
        <w:t> </w:t>
      </w:r>
      <w:r>
        <w:rPr/>
        <w:t>demonstrated</w:t>
      </w:r>
    </w:p>
    <w:p>
      <w:pPr>
        <w:pStyle w:val="BodyText"/>
        <w:rPr>
          <w:sz w:val="20"/>
        </w:rPr>
      </w:pPr>
    </w:p>
    <w:p>
      <w:pPr>
        <w:pStyle w:val="BodyText"/>
        <w:spacing w:before="9"/>
        <w:rPr>
          <w:sz w:val="12"/>
        </w:rPr>
      </w:pPr>
      <w:r>
        <w:rPr/>
        <w:pict>
          <v:line style="position:absolute;mso-position-horizontal-relative:page;mso-position-vertical-relative:paragraph;z-index:10856;mso-wrap-distance-left:0;mso-wrap-distance-right:0" from="70.823997pt,9.587515pt" to="214.843997pt,9.587515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806 </w:t>
      </w:r>
      <w:r>
        <w:rPr>
          <w:sz w:val="20"/>
        </w:rPr>
        <w:t>Dr Jörg Zittlau: Rotbuschtee – für Gesundheit und Schönheit ('Redbush Tea – For Health and Beauty'), 3. Edition 1999, p. 75.</w:t>
      </w:r>
    </w:p>
    <w:p>
      <w:pPr>
        <w:spacing w:after="0"/>
        <w:jc w:val="left"/>
        <w:rPr>
          <w:sz w:val="20"/>
        </w:rPr>
        <w:sectPr>
          <w:pgSz w:w="14270" w:h="16850"/>
          <w:pgMar w:header="0" w:footer="1891" w:top="1340" w:bottom="2080" w:left="800" w:right="1280"/>
        </w:sectPr>
      </w:pPr>
    </w:p>
    <w:p>
      <w:pPr>
        <w:pStyle w:val="BodyText"/>
        <w:spacing w:before="74"/>
        <w:ind w:left="616"/>
      </w:pPr>
      <w:r>
        <w:rPr/>
        <w:t>a cancer-inhibiting effect.</w:t>
      </w:r>
    </w:p>
    <w:p>
      <w:pPr>
        <w:pStyle w:val="Heading1"/>
        <w:spacing w:before="287"/>
        <w:ind w:left="616"/>
      </w:pPr>
      <w:r>
        <w:rPr/>
        <w:t>Quercetin and quercitrine and the enzyme 'monoamine oxidase'</w:t>
      </w:r>
    </w:p>
    <w:p>
      <w:pPr>
        <w:pStyle w:val="BodyText"/>
        <w:spacing w:line="276" w:lineRule="auto" w:before="297"/>
        <w:ind w:left="616" w:right="140"/>
        <w:jc w:val="both"/>
      </w:pPr>
      <w:r>
        <w:rPr/>
        <w:t>Quercetin and quercitrine also suppress the enzyme called monoamino oxi- dase, which among other things is said to be responsible for the development of colon and breast cancer.</w:t>
      </w:r>
    </w:p>
    <w:p>
      <w:pPr>
        <w:pStyle w:val="Heading1"/>
        <w:ind w:left="616"/>
      </w:pPr>
      <w:r>
        <w:rPr/>
        <w:t>Cancer-inhibiting effect of nothofagin and aspalathin</w:t>
      </w:r>
    </w:p>
    <w:p>
      <w:pPr>
        <w:pStyle w:val="BodyText"/>
        <w:spacing w:line="276" w:lineRule="auto" w:before="300"/>
        <w:ind w:left="616" w:right="45"/>
      </w:pPr>
      <w:r>
        <w:rPr/>
        <w:t>In studies, aspalathin and nothofagin demonstrated a certain cancer-protective effect.</w:t>
      </w:r>
    </w:p>
    <w:p>
      <w:pPr>
        <w:pStyle w:val="Heading1"/>
        <w:ind w:left="616"/>
      </w:pPr>
      <w:r>
        <w:rPr/>
        <w:t>Influence of rooibos on free radicals and cancer</w:t>
      </w:r>
    </w:p>
    <w:p>
      <w:pPr>
        <w:pStyle w:val="BodyText"/>
        <w:spacing w:line="276" w:lineRule="auto" w:before="296"/>
        <w:ind w:left="616" w:right="135"/>
        <w:jc w:val="both"/>
      </w:pPr>
      <w:r>
        <w:rPr/>
        <w:t>Because</w:t>
      </w:r>
      <w:r>
        <w:rPr>
          <w:spacing w:val="-4"/>
        </w:rPr>
        <w:t> </w:t>
      </w:r>
      <w:r>
        <w:rPr/>
        <w:t>free</w:t>
      </w:r>
      <w:r>
        <w:rPr>
          <w:spacing w:val="-5"/>
        </w:rPr>
        <w:t> </w:t>
      </w:r>
      <w:r>
        <w:rPr/>
        <w:t>radicals</w:t>
      </w:r>
      <w:r>
        <w:rPr>
          <w:spacing w:val="-5"/>
        </w:rPr>
        <w:t> </w:t>
      </w:r>
      <w:r>
        <w:rPr/>
        <w:t>play</w:t>
      </w:r>
      <w:r>
        <w:rPr>
          <w:spacing w:val="-5"/>
        </w:rPr>
        <w:t> </w:t>
      </w:r>
      <w:r>
        <w:rPr/>
        <w:t>an</w:t>
      </w:r>
      <w:r>
        <w:rPr>
          <w:spacing w:val="-5"/>
        </w:rPr>
        <w:t> </w:t>
      </w:r>
      <w:r>
        <w:rPr/>
        <w:t>important</w:t>
      </w:r>
      <w:r>
        <w:rPr>
          <w:spacing w:val="-6"/>
        </w:rPr>
        <w:t> </w:t>
      </w:r>
      <w:r>
        <w:rPr/>
        <w:t>role</w:t>
      </w:r>
      <w:r>
        <w:rPr>
          <w:spacing w:val="-5"/>
        </w:rPr>
        <w:t> </w:t>
      </w:r>
      <w:r>
        <w:rPr/>
        <w:t>in</w:t>
      </w:r>
      <w:r>
        <w:rPr>
          <w:spacing w:val="-5"/>
        </w:rPr>
        <w:t> </w:t>
      </w:r>
      <w:r>
        <w:rPr/>
        <w:t>all</w:t>
      </w:r>
      <w:r>
        <w:rPr>
          <w:spacing w:val="-8"/>
        </w:rPr>
        <w:t> </w:t>
      </w:r>
      <w:r>
        <w:rPr/>
        <w:t>phases</w:t>
      </w:r>
      <w:r>
        <w:rPr>
          <w:spacing w:val="-5"/>
        </w:rPr>
        <w:t> </w:t>
      </w:r>
      <w:r>
        <w:rPr/>
        <w:t>of</w:t>
      </w:r>
      <w:r>
        <w:rPr>
          <w:spacing w:val="-5"/>
        </w:rPr>
        <w:t> </w:t>
      </w:r>
      <w:r>
        <w:rPr/>
        <w:t>cancer,</w:t>
      </w:r>
      <w:r>
        <w:rPr>
          <w:spacing w:val="-4"/>
        </w:rPr>
        <w:t> </w:t>
      </w:r>
      <w:r>
        <w:rPr/>
        <w:t>it</w:t>
      </w:r>
      <w:r>
        <w:rPr>
          <w:spacing w:val="-7"/>
        </w:rPr>
        <w:t> </w:t>
      </w:r>
      <w:r>
        <w:rPr/>
        <w:t>is</w:t>
      </w:r>
      <w:r>
        <w:rPr>
          <w:spacing w:val="-5"/>
        </w:rPr>
        <w:t> </w:t>
      </w:r>
      <w:r>
        <w:rPr/>
        <w:t>always important – preventatively, during treatment and in aftercare – to avoid the attacks of free radicals and simultaneously to provide the body with as many potent radical catchers as possible; among these is rooibos</w:t>
      </w:r>
      <w:r>
        <w:rPr>
          <w:spacing w:val="-5"/>
        </w:rPr>
        <w:t> </w:t>
      </w:r>
      <w:r>
        <w:rPr/>
        <w:t>tea.</w:t>
      </w:r>
    </w:p>
    <w:p>
      <w:pPr>
        <w:pStyle w:val="BodyText"/>
        <w:rPr>
          <w:sz w:val="42"/>
        </w:rPr>
      </w:pPr>
    </w:p>
    <w:p>
      <w:pPr>
        <w:pStyle w:val="BodyText"/>
        <w:rPr>
          <w:sz w:val="42"/>
        </w:rPr>
      </w:pPr>
    </w:p>
    <w:p>
      <w:pPr>
        <w:pStyle w:val="BodyText"/>
        <w:rPr>
          <w:sz w:val="42"/>
        </w:rPr>
      </w:pPr>
    </w:p>
    <w:p>
      <w:pPr>
        <w:pStyle w:val="Heading1"/>
        <w:spacing w:line="391" w:lineRule="auto" w:before="269"/>
        <w:ind w:left="616" w:right="4186"/>
      </w:pPr>
      <w:r>
        <w:rPr/>
        <w:t>Ingredients</w:t>
      </w:r>
      <w:r>
        <w:rPr>
          <w:spacing w:val="-56"/>
        </w:rPr>
        <w:t> </w:t>
      </w:r>
      <w:r>
        <w:rPr/>
        <w:t>in</w:t>
      </w:r>
      <w:r>
        <w:rPr>
          <w:spacing w:val="-55"/>
        </w:rPr>
        <w:t> </w:t>
      </w:r>
      <w:r>
        <w:rPr/>
        <w:t>rooibos</w:t>
      </w:r>
      <w:r>
        <w:rPr>
          <w:spacing w:val="-56"/>
        </w:rPr>
        <w:t> </w:t>
      </w:r>
      <w:r>
        <w:rPr/>
        <w:t>and</w:t>
      </w:r>
      <w:r>
        <w:rPr>
          <w:spacing w:val="-56"/>
        </w:rPr>
        <w:t> </w:t>
      </w:r>
      <w:r>
        <w:rPr/>
        <w:t>its</w:t>
      </w:r>
      <w:r>
        <w:rPr>
          <w:spacing w:val="-56"/>
        </w:rPr>
        <w:t> </w:t>
      </w:r>
      <w:r>
        <w:rPr/>
        <w:t>effect</w:t>
      </w:r>
      <w:r>
        <w:rPr>
          <w:spacing w:val="-56"/>
        </w:rPr>
        <w:t> </w:t>
      </w:r>
      <w:r>
        <w:rPr/>
        <w:t>on</w:t>
      </w:r>
      <w:r>
        <w:rPr>
          <w:spacing w:val="-56"/>
        </w:rPr>
        <w:t> </w:t>
      </w:r>
      <w:r>
        <w:rPr/>
        <w:t>cancer Luteolin and cancer</w:t>
      </w:r>
    </w:p>
    <w:p>
      <w:pPr>
        <w:pStyle w:val="BodyText"/>
        <w:spacing w:line="276" w:lineRule="auto" w:before="15"/>
        <w:ind w:left="616" w:right="131"/>
      </w:pPr>
      <w:r>
        <w:rPr/>
        <w:t>Alongside the relaxing and antioxidant effects, luteolin has also demonstrated a</w:t>
      </w:r>
      <w:r>
        <w:rPr>
          <w:spacing w:val="56"/>
        </w:rPr>
        <w:t> </w:t>
      </w:r>
      <w:r>
        <w:rPr/>
        <w:t>cancer-inhibiting</w:t>
      </w:r>
      <w:r>
        <w:rPr>
          <w:spacing w:val="58"/>
        </w:rPr>
        <w:t> </w:t>
      </w:r>
      <w:r>
        <w:rPr/>
        <w:t>effect</w:t>
      </w:r>
      <w:r>
        <w:rPr>
          <w:spacing w:val="58"/>
        </w:rPr>
        <w:t> </w:t>
      </w:r>
      <w:r>
        <w:rPr/>
        <w:t>against</w:t>
      </w:r>
      <w:r>
        <w:rPr>
          <w:spacing w:val="57"/>
        </w:rPr>
        <w:t> </w:t>
      </w:r>
      <w:r>
        <w:rPr/>
        <w:t>colorectal</w:t>
      </w:r>
      <w:r>
        <w:rPr>
          <w:spacing w:val="57"/>
        </w:rPr>
        <w:t> </w:t>
      </w:r>
      <w:r>
        <w:rPr/>
        <w:t>cancer</w:t>
      </w:r>
      <w:r>
        <w:rPr>
          <w:spacing w:val="58"/>
        </w:rPr>
        <w:t> </w:t>
      </w:r>
      <w:r>
        <w:rPr/>
        <w:t>cells</w:t>
      </w:r>
      <w:r>
        <w:rPr>
          <w:spacing w:val="58"/>
        </w:rPr>
        <w:t> </w:t>
      </w:r>
      <w:r>
        <w:rPr/>
        <w:t>and</w:t>
      </w:r>
      <w:r>
        <w:rPr>
          <w:spacing w:val="58"/>
        </w:rPr>
        <w:t> </w:t>
      </w:r>
      <w:r>
        <w:rPr/>
        <w:t>thyroid</w:t>
      </w:r>
      <w:r>
        <w:rPr>
          <w:spacing w:val="58"/>
        </w:rPr>
        <w:t> </w:t>
      </w:r>
      <w:r>
        <w:rPr/>
        <w:t>cancer</w:t>
      </w:r>
    </w:p>
    <w:p>
      <w:pPr>
        <w:spacing w:after="0" w:line="276" w:lineRule="auto"/>
        <w:sectPr>
          <w:pgSz w:w="14270" w:h="16850"/>
          <w:pgMar w:header="0" w:footer="1891" w:top="1340" w:bottom="2080" w:left="800" w:right="1280"/>
        </w:sectPr>
      </w:pPr>
    </w:p>
    <w:p>
      <w:pPr>
        <w:pStyle w:val="BodyText"/>
        <w:spacing w:before="74"/>
        <w:ind w:left="616"/>
      </w:pPr>
      <w:r>
        <w:rPr/>
        <w:t>cells.</w:t>
      </w:r>
    </w:p>
    <w:p>
      <w:pPr>
        <w:pStyle w:val="Heading1"/>
        <w:spacing w:before="287"/>
        <w:ind w:left="616"/>
      </w:pPr>
      <w:r>
        <w:rPr/>
        <w:t>Detoxifying effect of rooibos tea and impact on cancer</w:t>
      </w:r>
    </w:p>
    <w:p>
      <w:pPr>
        <w:pStyle w:val="BodyText"/>
        <w:spacing w:line="276" w:lineRule="auto" w:before="297"/>
        <w:ind w:left="616" w:right="137"/>
        <w:jc w:val="both"/>
      </w:pPr>
      <w:r>
        <w:rPr/>
        <w:t>The detoxifying effect of rooibos tea can also be attributed to the effect of detoxifying mechanisms in the liver (cytochrome P450). Toxins burden the immune system and often lead to tumour development.</w:t>
      </w:r>
    </w:p>
    <w:p>
      <w:pPr>
        <w:pStyle w:val="Heading1"/>
        <w:ind w:left="616"/>
      </w:pPr>
      <w:r>
        <w:rPr/>
        <w:t>Antiviral and DNA-protecting effects prevent cancer</w:t>
      </w:r>
    </w:p>
    <w:p>
      <w:pPr>
        <w:pStyle w:val="BodyText"/>
        <w:spacing w:line="276" w:lineRule="auto" w:before="300"/>
        <w:ind w:left="616" w:right="53"/>
      </w:pPr>
      <w:r>
        <w:rPr/>
        <w:t>In studies, both antiviral effects and DNA-protecting effects could be demon- strated, which also provides evidence of a cancer-preventing character.</w:t>
      </w:r>
    </w:p>
    <w:p>
      <w:pPr>
        <w:pStyle w:val="Heading2"/>
        <w:spacing w:line="276" w:lineRule="auto" w:before="241"/>
        <w:ind w:left="616"/>
      </w:pPr>
      <w:r>
        <w:rPr/>
        <w:t>In summary, researchers are discussing the following cancer-inhibiting effects of rooibos tea:</w:t>
      </w:r>
    </w:p>
    <w:p>
      <w:pPr>
        <w:pStyle w:val="ListParagraph"/>
        <w:numPr>
          <w:ilvl w:val="0"/>
          <w:numId w:val="106"/>
        </w:numPr>
        <w:tabs>
          <w:tab w:pos="1396" w:val="left" w:leader="none"/>
          <w:tab w:pos="1397" w:val="left" w:leader="none"/>
        </w:tabs>
        <w:spacing w:line="240" w:lineRule="auto" w:before="199" w:after="0"/>
        <w:ind w:left="1396" w:right="0" w:hanging="360"/>
        <w:jc w:val="left"/>
        <w:rPr>
          <w:sz w:val="38"/>
        </w:rPr>
      </w:pPr>
      <w:r>
        <w:rPr>
          <w:sz w:val="38"/>
        </w:rPr>
        <w:t>Rooibos tea counteracts free</w:t>
      </w:r>
      <w:r>
        <w:rPr>
          <w:spacing w:val="2"/>
          <w:sz w:val="38"/>
        </w:rPr>
        <w:t> </w:t>
      </w:r>
      <w:r>
        <w:rPr>
          <w:sz w:val="38"/>
        </w:rPr>
        <w:t>radicals.</w:t>
      </w:r>
    </w:p>
    <w:p>
      <w:pPr>
        <w:pStyle w:val="ListParagraph"/>
        <w:numPr>
          <w:ilvl w:val="0"/>
          <w:numId w:val="106"/>
        </w:numPr>
        <w:tabs>
          <w:tab w:pos="1396" w:val="left" w:leader="none"/>
          <w:tab w:pos="1397" w:val="left" w:leader="none"/>
        </w:tabs>
        <w:spacing w:line="240" w:lineRule="auto" w:before="184" w:after="0"/>
        <w:ind w:left="1396" w:right="0" w:hanging="360"/>
        <w:jc w:val="left"/>
        <w:rPr>
          <w:sz w:val="38"/>
        </w:rPr>
      </w:pPr>
      <w:r>
        <w:rPr>
          <w:sz w:val="38"/>
        </w:rPr>
        <w:t>Redbush tea detoxifies the</w:t>
      </w:r>
      <w:r>
        <w:rPr>
          <w:spacing w:val="3"/>
          <w:sz w:val="38"/>
        </w:rPr>
        <w:t> </w:t>
      </w:r>
      <w:r>
        <w:rPr>
          <w:sz w:val="38"/>
        </w:rPr>
        <w:t>body.</w:t>
      </w:r>
    </w:p>
    <w:p>
      <w:pPr>
        <w:pStyle w:val="ListParagraph"/>
        <w:numPr>
          <w:ilvl w:val="0"/>
          <w:numId w:val="106"/>
        </w:numPr>
        <w:tabs>
          <w:tab w:pos="1396" w:val="left" w:leader="none"/>
          <w:tab w:pos="1397" w:val="left" w:leader="none"/>
        </w:tabs>
        <w:spacing w:line="240" w:lineRule="auto" w:before="186" w:after="0"/>
        <w:ind w:left="1396" w:right="0" w:hanging="360"/>
        <w:jc w:val="left"/>
        <w:rPr>
          <w:sz w:val="38"/>
        </w:rPr>
      </w:pPr>
      <w:r>
        <w:rPr>
          <w:sz w:val="38"/>
        </w:rPr>
        <w:t>Rooibos</w:t>
      </w:r>
      <w:r>
        <w:rPr>
          <w:spacing w:val="-11"/>
          <w:sz w:val="38"/>
        </w:rPr>
        <w:t> </w:t>
      </w:r>
      <w:r>
        <w:rPr>
          <w:sz w:val="38"/>
        </w:rPr>
        <w:t>tea</w:t>
      </w:r>
      <w:r>
        <w:rPr>
          <w:spacing w:val="-12"/>
          <w:sz w:val="38"/>
        </w:rPr>
        <w:t> </w:t>
      </w:r>
      <w:r>
        <w:rPr>
          <w:sz w:val="38"/>
        </w:rPr>
        <w:t>counteracts</w:t>
      </w:r>
      <w:r>
        <w:rPr>
          <w:spacing w:val="-10"/>
          <w:sz w:val="38"/>
        </w:rPr>
        <w:t> </w:t>
      </w:r>
      <w:r>
        <w:rPr>
          <w:sz w:val="38"/>
        </w:rPr>
        <w:t>DNA</w:t>
      </w:r>
      <w:r>
        <w:rPr>
          <w:spacing w:val="-11"/>
          <w:sz w:val="38"/>
        </w:rPr>
        <w:t> </w:t>
      </w:r>
      <w:r>
        <w:rPr>
          <w:sz w:val="38"/>
        </w:rPr>
        <w:t>damage,</w:t>
      </w:r>
      <w:r>
        <w:rPr>
          <w:spacing w:val="-11"/>
          <w:sz w:val="38"/>
        </w:rPr>
        <w:t> </w:t>
      </w:r>
      <w:r>
        <w:rPr>
          <w:sz w:val="38"/>
        </w:rPr>
        <w:t>and</w:t>
      </w:r>
      <w:r>
        <w:rPr>
          <w:spacing w:val="-10"/>
          <w:sz w:val="38"/>
        </w:rPr>
        <w:t> </w:t>
      </w:r>
      <w:r>
        <w:rPr>
          <w:sz w:val="38"/>
        </w:rPr>
        <w:t>thus</w:t>
      </w:r>
      <w:r>
        <w:rPr>
          <w:spacing w:val="-9"/>
          <w:sz w:val="38"/>
        </w:rPr>
        <w:t> </w:t>
      </w:r>
      <w:r>
        <w:rPr>
          <w:sz w:val="38"/>
        </w:rPr>
        <w:t>prevents</w:t>
      </w:r>
      <w:r>
        <w:rPr>
          <w:spacing w:val="-11"/>
          <w:sz w:val="38"/>
        </w:rPr>
        <w:t> </w:t>
      </w:r>
      <w:r>
        <w:rPr>
          <w:sz w:val="38"/>
        </w:rPr>
        <w:t>cell</w:t>
      </w:r>
      <w:r>
        <w:rPr>
          <w:spacing w:val="-11"/>
          <w:sz w:val="38"/>
        </w:rPr>
        <w:t> </w:t>
      </w:r>
      <w:r>
        <w:rPr>
          <w:sz w:val="38"/>
        </w:rPr>
        <w:t>mutations.</w:t>
      </w:r>
    </w:p>
    <w:p>
      <w:pPr>
        <w:pStyle w:val="ListParagraph"/>
        <w:numPr>
          <w:ilvl w:val="0"/>
          <w:numId w:val="106"/>
        </w:numPr>
        <w:tabs>
          <w:tab w:pos="1396" w:val="left" w:leader="none"/>
          <w:tab w:pos="1397" w:val="left" w:leader="none"/>
        </w:tabs>
        <w:spacing w:line="240" w:lineRule="auto" w:before="184" w:after="0"/>
        <w:ind w:left="1396" w:right="0" w:hanging="360"/>
        <w:jc w:val="left"/>
        <w:rPr>
          <w:sz w:val="38"/>
        </w:rPr>
      </w:pPr>
      <w:r>
        <w:rPr>
          <w:sz w:val="38"/>
        </w:rPr>
        <w:t>It suppresses cell regeneration and inhibits cell</w:t>
      </w:r>
      <w:r>
        <w:rPr>
          <w:spacing w:val="-5"/>
          <w:sz w:val="38"/>
        </w:rPr>
        <w:t> </w:t>
      </w:r>
      <w:r>
        <w:rPr>
          <w:sz w:val="38"/>
        </w:rPr>
        <w:t>division.</w:t>
      </w:r>
    </w:p>
    <w:p>
      <w:pPr>
        <w:pStyle w:val="ListParagraph"/>
        <w:numPr>
          <w:ilvl w:val="0"/>
          <w:numId w:val="106"/>
        </w:numPr>
        <w:tabs>
          <w:tab w:pos="1396" w:val="left" w:leader="none"/>
          <w:tab w:pos="1397" w:val="left" w:leader="none"/>
        </w:tabs>
        <w:spacing w:line="240" w:lineRule="auto" w:before="183" w:after="0"/>
        <w:ind w:left="1396" w:right="0" w:hanging="360"/>
        <w:jc w:val="left"/>
        <w:rPr>
          <w:sz w:val="38"/>
        </w:rPr>
      </w:pPr>
      <w:r>
        <w:rPr>
          <w:sz w:val="38"/>
        </w:rPr>
        <w:t>Rooibos tea inhibits proteolytic enzymes and thus</w:t>
      </w:r>
      <w:r>
        <w:rPr>
          <w:spacing w:val="-6"/>
          <w:sz w:val="38"/>
        </w:rPr>
        <w:t> </w:t>
      </w:r>
      <w:r>
        <w:rPr>
          <w:sz w:val="38"/>
        </w:rPr>
        <w:t>metastasis.</w:t>
      </w:r>
    </w:p>
    <w:p>
      <w:pPr>
        <w:pStyle w:val="ListParagraph"/>
        <w:numPr>
          <w:ilvl w:val="0"/>
          <w:numId w:val="106"/>
        </w:numPr>
        <w:tabs>
          <w:tab w:pos="1396" w:val="left" w:leader="none"/>
          <w:tab w:pos="1397" w:val="left" w:leader="none"/>
        </w:tabs>
        <w:spacing w:line="273" w:lineRule="auto" w:before="184" w:after="0"/>
        <w:ind w:left="1396" w:right="141" w:hanging="360"/>
        <w:jc w:val="left"/>
        <w:rPr>
          <w:sz w:val="38"/>
        </w:rPr>
      </w:pPr>
      <w:r>
        <w:rPr>
          <w:sz w:val="38"/>
        </w:rPr>
        <w:t>It has an antiviral effect; some types of cancer are suspected to be trig- gered by</w:t>
      </w:r>
      <w:r>
        <w:rPr>
          <w:spacing w:val="1"/>
          <w:sz w:val="38"/>
        </w:rPr>
        <w:t> </w:t>
      </w:r>
      <w:r>
        <w:rPr>
          <w:sz w:val="38"/>
        </w:rPr>
        <w:t>viruses.</w:t>
      </w:r>
    </w:p>
    <w:p>
      <w:pPr>
        <w:pStyle w:val="BodyText"/>
        <w:spacing w:before="246"/>
        <w:ind w:left="616"/>
      </w:pPr>
      <w:r>
        <w:rPr/>
        <w:t>The role of vitamin C on cancer has been sufficiently supported by countless</w:t>
      </w:r>
    </w:p>
    <w:p>
      <w:pPr>
        <w:spacing w:after="0"/>
        <w:sectPr>
          <w:pgSz w:w="14270" w:h="16850"/>
          <w:pgMar w:header="0" w:footer="1891" w:top="1340" w:bottom="2080" w:left="800" w:right="1280"/>
        </w:sectPr>
      </w:pPr>
    </w:p>
    <w:p>
      <w:pPr>
        <w:pStyle w:val="BodyText"/>
        <w:spacing w:line="278" w:lineRule="auto" w:before="72"/>
        <w:ind w:left="616" w:right="130"/>
        <w:jc w:val="both"/>
      </w:pPr>
      <w:r>
        <w:rPr/>
        <w:t>studies. Redbush tea is a natural source of vitamin C and thus can also be rec- ommended from this point of view.</w:t>
      </w:r>
    </w:p>
    <w:p>
      <w:pPr>
        <w:pStyle w:val="BodyText"/>
        <w:spacing w:line="276" w:lineRule="auto" w:before="232"/>
        <w:ind w:left="616" w:right="138"/>
        <w:jc w:val="both"/>
      </w:pPr>
      <w:r>
        <w:rPr/>
        <w:t>The advantage also lies in the fact that you can drink redbush tea at any time throughout the day, as it neither contains caffeine nor must it be sweetened (do not consume sugar during cancer, as sugar feeds the cancer!). In addition, no interactions with dietary supplements or medications are known.</w:t>
      </w:r>
    </w:p>
    <w:p>
      <w:pPr>
        <w:pStyle w:val="BodyText"/>
        <w:spacing w:before="242"/>
        <w:ind w:left="616"/>
      </w:pPr>
      <w:r>
        <w:rPr/>
        <w:t>Studies on rooibos tea</w:t>
      </w:r>
    </w:p>
    <w:p>
      <w:pPr>
        <w:pStyle w:val="Heading1"/>
        <w:spacing w:before="285"/>
        <w:ind w:left="616"/>
      </w:pPr>
      <w:r>
        <w:rPr>
          <w:w w:val="95"/>
        </w:rPr>
        <w:t>Rooibos tea and its scientifically-proven</w:t>
      </w:r>
      <w:r>
        <w:rPr>
          <w:spacing w:val="-18"/>
          <w:w w:val="95"/>
        </w:rPr>
        <w:t> </w:t>
      </w:r>
      <w:r>
        <w:rPr>
          <w:w w:val="95"/>
        </w:rPr>
        <w:t>effects</w:t>
      </w:r>
    </w:p>
    <w:p>
      <w:pPr>
        <w:pStyle w:val="BodyText"/>
        <w:spacing w:line="276" w:lineRule="auto" w:before="299"/>
        <w:ind w:left="616" w:right="137"/>
        <w:jc w:val="both"/>
      </w:pPr>
      <w:r>
        <w:rPr/>
        <w:t>Currently, research on rooibos tea is scarce, even though rooibos has aroused strong</w:t>
      </w:r>
      <w:r>
        <w:rPr>
          <w:spacing w:val="-20"/>
        </w:rPr>
        <w:t> </w:t>
      </w:r>
      <w:r>
        <w:rPr/>
        <w:t>interest</w:t>
      </w:r>
      <w:r>
        <w:rPr>
          <w:spacing w:val="-18"/>
        </w:rPr>
        <w:t> </w:t>
      </w:r>
      <w:r>
        <w:rPr/>
        <w:t>in</w:t>
      </w:r>
      <w:r>
        <w:rPr>
          <w:spacing w:val="-18"/>
        </w:rPr>
        <w:t> </w:t>
      </w:r>
      <w:r>
        <w:rPr/>
        <w:t>scientific</w:t>
      </w:r>
      <w:r>
        <w:rPr>
          <w:spacing w:val="-18"/>
        </w:rPr>
        <w:t> </w:t>
      </w:r>
      <w:r>
        <w:rPr/>
        <w:t>circles</w:t>
      </w:r>
      <w:r>
        <w:rPr>
          <w:spacing w:val="-18"/>
        </w:rPr>
        <w:t> </w:t>
      </w:r>
      <w:r>
        <w:rPr/>
        <w:t>and</w:t>
      </w:r>
      <w:r>
        <w:rPr>
          <w:spacing w:val="-19"/>
        </w:rPr>
        <w:t> </w:t>
      </w:r>
      <w:r>
        <w:rPr/>
        <w:t>this</w:t>
      </w:r>
      <w:r>
        <w:rPr>
          <w:spacing w:val="-19"/>
        </w:rPr>
        <w:t> </w:t>
      </w:r>
      <w:r>
        <w:rPr/>
        <w:t>shortcoming</w:t>
      </w:r>
      <w:r>
        <w:rPr>
          <w:spacing w:val="-18"/>
        </w:rPr>
        <w:t> </w:t>
      </w:r>
      <w:r>
        <w:rPr/>
        <w:t>is</w:t>
      </w:r>
      <w:r>
        <w:rPr>
          <w:spacing w:val="-19"/>
        </w:rPr>
        <w:t> </w:t>
      </w:r>
      <w:r>
        <w:rPr/>
        <w:t>now</w:t>
      </w:r>
      <w:r>
        <w:rPr>
          <w:spacing w:val="-20"/>
        </w:rPr>
        <w:t> </w:t>
      </w:r>
      <w:r>
        <w:rPr/>
        <w:t>being</w:t>
      </w:r>
      <w:r>
        <w:rPr>
          <w:spacing w:val="-18"/>
        </w:rPr>
        <w:t> </w:t>
      </w:r>
      <w:r>
        <w:rPr/>
        <w:t>addressed in order to improve the sparse quantity of</w:t>
      </w:r>
      <w:r>
        <w:rPr>
          <w:spacing w:val="-2"/>
        </w:rPr>
        <w:t> </w:t>
      </w:r>
      <w:r>
        <w:rPr/>
        <w:t>research.</w:t>
      </w:r>
    </w:p>
    <w:p>
      <w:pPr>
        <w:pStyle w:val="BodyText"/>
        <w:spacing w:line="276" w:lineRule="auto" w:before="241"/>
        <w:ind w:left="616" w:right="133"/>
        <w:jc w:val="both"/>
      </w:pPr>
      <w:r>
        <w:rPr/>
        <w:t>The reason for this low quantity of research is not any kind of lack of interest on the part of science, which used to be the case. Rather, this circumstance is much more related to the fact that—in contrast with tea varieties from Asia, which culturally, as far as the written tradition is concerned, is in no way infe- rior</w:t>
      </w:r>
      <w:r>
        <w:rPr>
          <w:spacing w:val="-8"/>
        </w:rPr>
        <w:t> </w:t>
      </w:r>
      <w:r>
        <w:rPr/>
        <w:t>to</w:t>
      </w:r>
      <w:r>
        <w:rPr>
          <w:spacing w:val="-6"/>
        </w:rPr>
        <w:t> </w:t>
      </w:r>
      <w:r>
        <w:rPr/>
        <w:t>our</w:t>
      </w:r>
      <w:r>
        <w:rPr>
          <w:spacing w:val="-7"/>
        </w:rPr>
        <w:t> </w:t>
      </w:r>
      <w:r>
        <w:rPr/>
        <w:t>own—there</w:t>
      </w:r>
      <w:r>
        <w:rPr>
          <w:spacing w:val="-8"/>
        </w:rPr>
        <w:t> </w:t>
      </w:r>
      <w:r>
        <w:rPr/>
        <w:t>is</w:t>
      </w:r>
      <w:r>
        <w:rPr>
          <w:spacing w:val="-7"/>
        </w:rPr>
        <w:t> </w:t>
      </w:r>
      <w:r>
        <w:rPr/>
        <w:t>only</w:t>
      </w:r>
      <w:r>
        <w:rPr>
          <w:spacing w:val="-7"/>
        </w:rPr>
        <w:t> </w:t>
      </w:r>
      <w:r>
        <w:rPr/>
        <w:t>a</w:t>
      </w:r>
      <w:r>
        <w:rPr>
          <w:spacing w:val="-9"/>
        </w:rPr>
        <w:t> </w:t>
      </w:r>
      <w:r>
        <w:rPr/>
        <w:t>comparatively</w:t>
      </w:r>
      <w:r>
        <w:rPr>
          <w:spacing w:val="-8"/>
        </w:rPr>
        <w:t> </w:t>
      </w:r>
      <w:r>
        <w:rPr/>
        <w:t>short</w:t>
      </w:r>
      <w:r>
        <w:rPr>
          <w:spacing w:val="-7"/>
        </w:rPr>
        <w:t> </w:t>
      </w:r>
      <w:r>
        <w:rPr/>
        <w:t>tradition</w:t>
      </w:r>
      <w:r>
        <w:rPr>
          <w:spacing w:val="-7"/>
        </w:rPr>
        <w:t> </w:t>
      </w:r>
      <w:r>
        <w:rPr/>
        <w:t>in</w:t>
      </w:r>
      <w:r>
        <w:rPr>
          <w:spacing w:val="-7"/>
        </w:rPr>
        <w:t> </w:t>
      </w:r>
      <w:r>
        <w:rPr/>
        <w:t>South</w:t>
      </w:r>
      <w:r>
        <w:rPr>
          <w:spacing w:val="-7"/>
        </w:rPr>
        <w:t> </w:t>
      </w:r>
      <w:r>
        <w:rPr/>
        <w:t>Africa. Thus, not too many ideas were handed down in written form which could be built upon and deepen existing scientific knowledge through further studies. Nevertheless,</w:t>
      </w:r>
      <w:r>
        <w:rPr>
          <w:spacing w:val="49"/>
        </w:rPr>
        <w:t> </w:t>
      </w:r>
      <w:r>
        <w:rPr/>
        <w:t>there</w:t>
      </w:r>
      <w:r>
        <w:rPr>
          <w:spacing w:val="48"/>
        </w:rPr>
        <w:t> </w:t>
      </w:r>
      <w:r>
        <w:rPr/>
        <w:t>are</w:t>
      </w:r>
      <w:r>
        <w:rPr>
          <w:spacing w:val="46"/>
        </w:rPr>
        <w:t> </w:t>
      </w:r>
      <w:r>
        <w:rPr/>
        <w:t>initial</w:t>
      </w:r>
      <w:r>
        <w:rPr>
          <w:spacing w:val="47"/>
        </w:rPr>
        <w:t> </w:t>
      </w:r>
      <w:r>
        <w:rPr/>
        <w:t>scientific</w:t>
      </w:r>
      <w:r>
        <w:rPr>
          <w:spacing w:val="48"/>
        </w:rPr>
        <w:t> </w:t>
      </w:r>
      <w:r>
        <w:rPr/>
        <w:t>studies</w:t>
      </w:r>
      <w:r>
        <w:rPr>
          <w:spacing w:val="48"/>
        </w:rPr>
        <w:t> </w:t>
      </w:r>
      <w:r>
        <w:rPr/>
        <w:t>on</w:t>
      </w:r>
      <w:r>
        <w:rPr>
          <w:spacing w:val="49"/>
        </w:rPr>
        <w:t> </w:t>
      </w:r>
      <w:r>
        <w:rPr/>
        <w:t>the</w:t>
      </w:r>
      <w:r>
        <w:rPr>
          <w:spacing w:val="47"/>
        </w:rPr>
        <w:t> </w:t>
      </w:r>
      <w:r>
        <w:rPr/>
        <w:t>topic</w:t>
      </w:r>
      <w:r>
        <w:rPr>
          <w:spacing w:val="45"/>
        </w:rPr>
        <w:t> </w:t>
      </w:r>
      <w:r>
        <w:rPr/>
        <w:t>of</w:t>
      </w:r>
      <w:r>
        <w:rPr>
          <w:spacing w:val="46"/>
        </w:rPr>
        <w:t> </w:t>
      </w:r>
      <w:r>
        <w:rPr/>
        <w:t>rooibos</w:t>
      </w:r>
      <w:r>
        <w:rPr>
          <w:spacing w:val="49"/>
        </w:rPr>
        <w:t> </w:t>
      </w:r>
      <w:r>
        <w:rPr/>
        <w:t>tea,</w:t>
      </w:r>
    </w:p>
    <w:p>
      <w:pPr>
        <w:spacing w:after="0" w:line="276" w:lineRule="auto"/>
        <w:jc w:val="both"/>
        <w:sectPr>
          <w:footerReference w:type="default" r:id="rId338"/>
          <w:pgSz w:w="14270" w:h="16850"/>
          <w:pgMar w:footer="1891" w:header="0" w:top="1340" w:bottom="2080" w:left="800" w:right="1280"/>
          <w:pgNumType w:start="1400"/>
        </w:sectPr>
      </w:pPr>
    </w:p>
    <w:p>
      <w:pPr>
        <w:spacing w:before="74"/>
        <w:ind w:left="616" w:right="0" w:firstLine="0"/>
        <w:jc w:val="left"/>
        <w:rPr>
          <w:sz w:val="25"/>
        </w:rPr>
      </w:pPr>
      <w:r>
        <w:rPr>
          <w:sz w:val="38"/>
        </w:rPr>
        <w:t>too:</w:t>
      </w:r>
      <w:r>
        <w:rPr>
          <w:position w:val="9"/>
          <w:sz w:val="25"/>
        </w:rPr>
        <w:t>807</w:t>
      </w:r>
    </w:p>
    <w:p>
      <w:pPr>
        <w:pStyle w:val="Heading1"/>
        <w:spacing w:before="287"/>
        <w:ind w:left="616"/>
      </w:pPr>
      <w:r>
        <w:rPr/>
        <w:t>Antioxidant effect of rooibos tea proven in studies</w:t>
      </w:r>
    </w:p>
    <w:p>
      <w:pPr>
        <w:pStyle w:val="BodyText"/>
        <w:spacing w:line="278" w:lineRule="auto" w:before="297"/>
        <w:ind w:left="616" w:right="156"/>
      </w:pPr>
      <w:r>
        <w:rPr/>
        <w:t>In 1995, the team surrounding Prof. J. Ferreira was able to provide evidence of the first antioxidants in rooibos tea and their strong effect on free radicals.</w:t>
      </w:r>
    </w:p>
    <w:p>
      <w:pPr>
        <w:pStyle w:val="Heading1"/>
        <w:spacing w:before="215"/>
        <w:ind w:left="616"/>
      </w:pPr>
      <w:r>
        <w:rPr/>
        <w:t>Confirmation of the antioxidant effect of rooibos tea</w:t>
      </w:r>
    </w:p>
    <w:p>
      <w:pPr>
        <w:pStyle w:val="BodyText"/>
        <w:spacing w:line="276" w:lineRule="auto" w:before="300"/>
        <w:ind w:left="616" w:right="130"/>
        <w:jc w:val="both"/>
      </w:pPr>
      <w:r>
        <w:rPr/>
        <w:t>One</w:t>
      </w:r>
      <w:r>
        <w:rPr>
          <w:spacing w:val="-8"/>
        </w:rPr>
        <w:t> </w:t>
      </w:r>
      <w:r>
        <w:rPr/>
        <w:t>year</w:t>
      </w:r>
      <w:r>
        <w:rPr>
          <w:spacing w:val="-7"/>
        </w:rPr>
        <w:t> </w:t>
      </w:r>
      <w:r>
        <w:rPr/>
        <w:t>later,</w:t>
      </w:r>
      <w:r>
        <w:rPr>
          <w:spacing w:val="-6"/>
        </w:rPr>
        <w:t> </w:t>
      </w:r>
      <w:r>
        <w:rPr/>
        <w:t>the</w:t>
      </w:r>
      <w:r>
        <w:rPr>
          <w:spacing w:val="-7"/>
        </w:rPr>
        <w:t> </w:t>
      </w:r>
      <w:r>
        <w:rPr/>
        <w:t>antioxidant</w:t>
      </w:r>
      <w:r>
        <w:rPr>
          <w:spacing w:val="-8"/>
        </w:rPr>
        <w:t> </w:t>
      </w:r>
      <w:r>
        <w:rPr/>
        <w:t>effect</w:t>
      </w:r>
      <w:r>
        <w:rPr>
          <w:spacing w:val="-8"/>
        </w:rPr>
        <w:t> </w:t>
      </w:r>
      <w:r>
        <w:rPr/>
        <w:t>of</w:t>
      </w:r>
      <w:r>
        <w:rPr>
          <w:spacing w:val="-7"/>
        </w:rPr>
        <w:t> </w:t>
      </w:r>
      <w:r>
        <w:rPr/>
        <w:t>redbush</w:t>
      </w:r>
      <w:r>
        <w:rPr>
          <w:spacing w:val="-8"/>
        </w:rPr>
        <w:t> </w:t>
      </w:r>
      <w:r>
        <w:rPr/>
        <w:t>tea</w:t>
      </w:r>
      <w:r>
        <w:rPr>
          <w:spacing w:val="-8"/>
        </w:rPr>
        <w:t> </w:t>
      </w:r>
      <w:r>
        <w:rPr/>
        <w:t>was</w:t>
      </w:r>
      <w:r>
        <w:rPr>
          <w:spacing w:val="-6"/>
        </w:rPr>
        <w:t> </w:t>
      </w:r>
      <w:r>
        <w:rPr/>
        <w:t>confirmed</w:t>
      </w:r>
      <w:r>
        <w:rPr>
          <w:spacing w:val="-8"/>
        </w:rPr>
        <w:t> </w:t>
      </w:r>
      <w:r>
        <w:rPr/>
        <w:t>by</w:t>
      </w:r>
      <w:r>
        <w:rPr>
          <w:spacing w:val="-6"/>
        </w:rPr>
        <w:t> </w:t>
      </w:r>
      <w:r>
        <w:rPr/>
        <w:t>Gadow et al. In the meantime, in Japan, the researcher Dr. Nakano made the claim that rooibos tea has an antioxidant effect that is 50 times stronger than that</w:t>
      </w:r>
      <w:r>
        <w:rPr>
          <w:spacing w:val="-68"/>
        </w:rPr>
        <w:t> </w:t>
      </w:r>
      <w:r>
        <w:rPr/>
        <w:t>of green tea.</w:t>
      </w:r>
    </w:p>
    <w:p>
      <w:pPr>
        <w:pStyle w:val="Heading1"/>
        <w:spacing w:before="222"/>
        <w:ind w:left="616"/>
      </w:pPr>
      <w:r>
        <w:rPr/>
        <w:t>In studies, rooibos protects our DNA from damage</w:t>
      </w:r>
    </w:p>
    <w:p>
      <w:pPr>
        <w:pStyle w:val="BodyText"/>
        <w:spacing w:line="278" w:lineRule="auto" w:before="299"/>
        <w:ind w:left="616" w:right="40"/>
      </w:pPr>
      <w:r>
        <w:rPr/>
        <w:t>At the Medical Research Council in South Africa, researchers could prove that rooibos tea protects our genes, DNA, from damage.</w:t>
      </w:r>
    </w:p>
    <w:p>
      <w:pPr>
        <w:pStyle w:val="Heading1"/>
        <w:spacing w:before="216"/>
        <w:ind w:left="616"/>
      </w:pPr>
      <w:r>
        <w:rPr/>
        <w:t>In studies, rooibos demonstrates a protective effect against X-rays</w:t>
      </w:r>
    </w:p>
    <w:p>
      <w:pPr>
        <w:pStyle w:val="BodyText"/>
        <w:spacing w:line="276" w:lineRule="auto" w:before="299"/>
        <w:ind w:left="616"/>
      </w:pPr>
      <w:r>
        <w:rPr/>
        <w:t>In Japan, Komatsu et al. were able to show that rooibos tea protects against damage caused by X-rays.</w:t>
      </w:r>
    </w:p>
    <w:p>
      <w:pPr>
        <w:pStyle w:val="Heading1"/>
        <w:spacing w:before="221"/>
        <w:ind w:left="616"/>
      </w:pPr>
      <w:r>
        <w:rPr/>
        <w:t>In animal studies, rooibos protects against skin and colon cancer</w:t>
      </w:r>
    </w:p>
    <w:p>
      <w:pPr>
        <w:pStyle w:val="BodyText"/>
        <w:rPr>
          <w:b/>
          <w:i/>
          <w:sz w:val="20"/>
        </w:rPr>
      </w:pPr>
    </w:p>
    <w:p>
      <w:pPr>
        <w:pStyle w:val="BodyText"/>
        <w:rPr>
          <w:b/>
          <w:i/>
          <w:sz w:val="20"/>
        </w:rPr>
      </w:pPr>
    </w:p>
    <w:p>
      <w:pPr>
        <w:pStyle w:val="BodyText"/>
        <w:spacing w:before="8"/>
        <w:rPr>
          <w:b/>
          <w:i/>
          <w:sz w:val="14"/>
        </w:rPr>
      </w:pPr>
      <w:r>
        <w:rPr/>
        <w:pict>
          <v:line style="position:absolute;mso-position-horizontal-relative:page;mso-position-vertical-relative:paragraph;z-index:10880;mso-wrap-distance-left:0;mso-wrap-distance-right:0" from="70.823997pt,10.647515pt" to="214.843997pt,10.647515pt" stroked="true" strokeweight=".71997pt" strokecolor="#000000">
            <v:stroke dashstyle="solid"/>
            <w10:wrap type="topAndBottom"/>
          </v:line>
        </w:pict>
      </w:r>
    </w:p>
    <w:p>
      <w:pPr>
        <w:pStyle w:val="BodyText"/>
        <w:spacing w:before="7"/>
        <w:rPr>
          <w:b/>
          <w:i/>
          <w:sz w:val="18"/>
        </w:rPr>
      </w:pPr>
    </w:p>
    <w:p>
      <w:pPr>
        <w:spacing w:before="100"/>
        <w:ind w:left="616" w:right="0" w:firstLine="0"/>
        <w:jc w:val="left"/>
        <w:rPr>
          <w:sz w:val="20"/>
        </w:rPr>
      </w:pPr>
      <w:r>
        <w:rPr>
          <w:position w:val="5"/>
          <w:sz w:val="13"/>
        </w:rPr>
        <w:t>807 </w:t>
      </w:r>
      <w:r>
        <w:rPr>
          <w:sz w:val="20"/>
        </w:rPr>
        <w:t>Dr. Reuther: Das Rooibos-Buch ('The Rooibos Book'), 3rd Edition 1999, pp. 256-260.</w:t>
      </w:r>
    </w:p>
    <w:p>
      <w:pPr>
        <w:spacing w:after="0"/>
        <w:jc w:val="left"/>
        <w:rPr>
          <w:sz w:val="20"/>
        </w:rPr>
        <w:sectPr>
          <w:pgSz w:w="14270" w:h="16850"/>
          <w:pgMar w:header="0" w:footer="1891" w:top="1340" w:bottom="2080" w:left="800" w:right="1280"/>
        </w:sectPr>
      </w:pPr>
    </w:p>
    <w:p>
      <w:pPr>
        <w:pStyle w:val="BodyText"/>
        <w:spacing w:line="276" w:lineRule="auto" w:before="74"/>
        <w:ind w:left="616" w:right="136"/>
        <w:jc w:val="both"/>
      </w:pPr>
      <w:r>
        <w:rPr/>
        <w:t>At</w:t>
      </w:r>
      <w:r>
        <w:rPr>
          <w:spacing w:val="-9"/>
        </w:rPr>
        <w:t> </w:t>
      </w:r>
      <w:r>
        <w:rPr/>
        <w:t>the</w:t>
      </w:r>
      <w:r>
        <w:rPr>
          <w:spacing w:val="-6"/>
        </w:rPr>
        <w:t> </w:t>
      </w:r>
      <w:r>
        <w:rPr/>
        <w:t>Medical</w:t>
      </w:r>
      <w:r>
        <w:rPr>
          <w:spacing w:val="-6"/>
        </w:rPr>
        <w:t> </w:t>
      </w:r>
      <w:r>
        <w:rPr/>
        <w:t>Research</w:t>
      </w:r>
      <w:r>
        <w:rPr>
          <w:spacing w:val="-7"/>
        </w:rPr>
        <w:t> </w:t>
      </w:r>
      <w:r>
        <w:rPr/>
        <w:t>Council,</w:t>
      </w:r>
      <w:r>
        <w:rPr>
          <w:spacing w:val="-7"/>
        </w:rPr>
        <w:t> </w:t>
      </w:r>
      <w:r>
        <w:rPr/>
        <w:t>researchers</w:t>
      </w:r>
      <w:r>
        <w:rPr>
          <w:spacing w:val="-6"/>
        </w:rPr>
        <w:t> </w:t>
      </w:r>
      <w:r>
        <w:rPr/>
        <w:t>first</w:t>
      </w:r>
      <w:r>
        <w:rPr>
          <w:spacing w:val="-8"/>
        </w:rPr>
        <w:t> </w:t>
      </w:r>
      <w:r>
        <w:rPr/>
        <w:t>triggered</w:t>
      </w:r>
      <w:r>
        <w:rPr>
          <w:spacing w:val="-7"/>
        </w:rPr>
        <w:t> </w:t>
      </w:r>
      <w:r>
        <w:rPr/>
        <w:t>skin</w:t>
      </w:r>
      <w:r>
        <w:rPr>
          <w:spacing w:val="-6"/>
        </w:rPr>
        <w:t> </w:t>
      </w:r>
      <w:r>
        <w:rPr/>
        <w:t>cancer</w:t>
      </w:r>
      <w:r>
        <w:rPr>
          <w:spacing w:val="-6"/>
        </w:rPr>
        <w:t> </w:t>
      </w:r>
      <w:r>
        <w:rPr/>
        <w:t>in</w:t>
      </w:r>
      <w:r>
        <w:rPr>
          <w:spacing w:val="-8"/>
        </w:rPr>
        <w:t> </w:t>
      </w:r>
      <w:r>
        <w:rPr/>
        <w:t>rats and simultaneously fed the rats rooibos. This lead to an 80 % decrease in skin tumours as opposed to the control group which received no rooibos. In an- other experiment, rats were treated with colorectal cancer-triggering sub- stances. None of the rats which were fed rooibos experienced malignant changes.</w:t>
      </w:r>
    </w:p>
    <w:p>
      <w:pPr>
        <w:pStyle w:val="Heading2"/>
        <w:spacing w:before="240"/>
        <w:ind w:left="616"/>
      </w:pPr>
      <w:r>
        <w:rPr/>
        <w:t>Redbush tea – preparation</w:t>
      </w:r>
    </w:p>
    <w:p>
      <w:pPr>
        <w:pStyle w:val="BodyText"/>
        <w:spacing w:line="276" w:lineRule="auto" w:before="305"/>
        <w:ind w:left="616" w:right="132"/>
        <w:jc w:val="both"/>
      </w:pPr>
      <w:r>
        <w:rPr/>
        <w:t>Preparing</w:t>
      </w:r>
      <w:r>
        <w:rPr>
          <w:spacing w:val="-21"/>
        </w:rPr>
        <w:t> </w:t>
      </w:r>
      <w:r>
        <w:rPr/>
        <w:t>redbush</w:t>
      </w:r>
      <w:r>
        <w:rPr>
          <w:spacing w:val="-19"/>
        </w:rPr>
        <w:t> </w:t>
      </w:r>
      <w:r>
        <w:rPr/>
        <w:t>tea</w:t>
      </w:r>
      <w:r>
        <w:rPr>
          <w:spacing w:val="-21"/>
        </w:rPr>
        <w:t> </w:t>
      </w:r>
      <w:r>
        <w:rPr/>
        <w:t>is</w:t>
      </w:r>
      <w:r>
        <w:rPr>
          <w:spacing w:val="-22"/>
        </w:rPr>
        <w:t> </w:t>
      </w:r>
      <w:r>
        <w:rPr/>
        <w:t>as</w:t>
      </w:r>
      <w:r>
        <w:rPr>
          <w:spacing w:val="-20"/>
        </w:rPr>
        <w:t> </w:t>
      </w:r>
      <w:r>
        <w:rPr/>
        <w:t>uncomplicated</w:t>
      </w:r>
      <w:r>
        <w:rPr>
          <w:spacing w:val="-21"/>
        </w:rPr>
        <w:t> </w:t>
      </w:r>
      <w:r>
        <w:rPr/>
        <w:t>as</w:t>
      </w:r>
      <w:r>
        <w:rPr>
          <w:spacing w:val="-20"/>
        </w:rPr>
        <w:t> </w:t>
      </w:r>
      <w:r>
        <w:rPr/>
        <w:t>imaginable</w:t>
      </w:r>
      <w:r>
        <w:rPr>
          <w:spacing w:val="-22"/>
        </w:rPr>
        <w:t> </w:t>
      </w:r>
      <w:r>
        <w:rPr/>
        <w:t>and</w:t>
      </w:r>
      <w:r>
        <w:rPr>
          <w:spacing w:val="-20"/>
        </w:rPr>
        <w:t> </w:t>
      </w:r>
      <w:r>
        <w:rPr/>
        <w:t>thus</w:t>
      </w:r>
      <w:r>
        <w:rPr>
          <w:spacing w:val="-20"/>
        </w:rPr>
        <w:t> </w:t>
      </w:r>
      <w:r>
        <w:rPr/>
        <w:t>is</w:t>
      </w:r>
      <w:r>
        <w:rPr>
          <w:spacing w:val="-21"/>
        </w:rPr>
        <w:t> </w:t>
      </w:r>
      <w:r>
        <w:rPr/>
        <w:t>not</w:t>
      </w:r>
      <w:r>
        <w:rPr>
          <w:spacing w:val="-22"/>
        </w:rPr>
        <w:t> </w:t>
      </w:r>
      <w:r>
        <w:rPr/>
        <w:t>subject to any profound ceremonies, as is familiar from Chinese tea varieties, for ex- ample. The rooibos tea can simmer for any length of time, can be drunk hot or cold, can be drunk in the morning or evening and can be infused as often as you like—rooibos tea is simply tasty, healthy and unpretentious! Whoever is not satisfied with the natural sweetness should avoid sugar and sweeteners for the sake of health and a good figure and turn to healthy stevia as a natural sugar substitute.</w:t>
      </w:r>
    </w:p>
    <w:p>
      <w:pPr>
        <w:pStyle w:val="Heading1"/>
        <w:spacing w:before="222"/>
        <w:ind w:left="616"/>
        <w:jc w:val="both"/>
      </w:pPr>
      <w:r>
        <w:rPr/>
        <w:t>Rooibos preparation – the utensils</w:t>
      </w:r>
    </w:p>
    <w:p>
      <w:pPr>
        <w:pStyle w:val="BodyText"/>
        <w:spacing w:before="299"/>
        <w:ind w:left="616"/>
        <w:jc w:val="both"/>
      </w:pPr>
      <w:r>
        <w:rPr/>
        <w:t>Among the utensils for rooibos tea are:</w:t>
      </w:r>
    </w:p>
    <w:p>
      <w:pPr>
        <w:pStyle w:val="ListParagraph"/>
        <w:numPr>
          <w:ilvl w:val="0"/>
          <w:numId w:val="105"/>
        </w:numPr>
        <w:tabs>
          <w:tab w:pos="1044" w:val="left" w:leader="none"/>
        </w:tabs>
        <w:spacing w:line="240" w:lineRule="auto" w:before="265" w:after="0"/>
        <w:ind w:left="1043" w:right="0" w:hanging="427"/>
        <w:jc w:val="both"/>
        <w:rPr>
          <w:sz w:val="38"/>
        </w:rPr>
      </w:pPr>
      <w:r>
        <w:rPr>
          <w:sz w:val="38"/>
        </w:rPr>
        <w:t>Steel kettle or pot</w:t>
      </w:r>
    </w:p>
    <w:p>
      <w:pPr>
        <w:pStyle w:val="ListParagraph"/>
        <w:numPr>
          <w:ilvl w:val="0"/>
          <w:numId w:val="105"/>
        </w:numPr>
        <w:tabs>
          <w:tab w:pos="1044" w:val="left" w:leader="none"/>
        </w:tabs>
        <w:spacing w:line="240" w:lineRule="auto" w:before="184" w:after="0"/>
        <w:ind w:left="1043" w:right="0" w:hanging="427"/>
        <w:jc w:val="both"/>
        <w:rPr>
          <w:sz w:val="38"/>
        </w:rPr>
      </w:pPr>
      <w:r>
        <w:rPr>
          <w:sz w:val="38"/>
        </w:rPr>
        <w:t>Teapot</w:t>
      </w:r>
    </w:p>
    <w:p>
      <w:pPr>
        <w:pStyle w:val="ListParagraph"/>
        <w:numPr>
          <w:ilvl w:val="0"/>
          <w:numId w:val="105"/>
        </w:numPr>
        <w:tabs>
          <w:tab w:pos="1044" w:val="left" w:leader="none"/>
        </w:tabs>
        <w:spacing w:line="240" w:lineRule="auto" w:before="186" w:after="0"/>
        <w:ind w:left="1043" w:right="0" w:hanging="427"/>
        <w:jc w:val="both"/>
        <w:rPr>
          <w:sz w:val="38"/>
        </w:rPr>
      </w:pPr>
      <w:r>
        <w:rPr>
          <w:sz w:val="38"/>
        </w:rPr>
        <w:t>Filter or tea strainer</w:t>
      </w:r>
    </w:p>
    <w:p>
      <w:pPr>
        <w:pStyle w:val="ListParagraph"/>
        <w:numPr>
          <w:ilvl w:val="0"/>
          <w:numId w:val="105"/>
        </w:numPr>
        <w:tabs>
          <w:tab w:pos="1044" w:val="left" w:leader="none"/>
        </w:tabs>
        <w:spacing w:line="240" w:lineRule="auto" w:before="184" w:after="0"/>
        <w:ind w:left="1043" w:right="0" w:hanging="427"/>
        <w:jc w:val="both"/>
        <w:rPr>
          <w:sz w:val="38"/>
        </w:rPr>
      </w:pPr>
      <w:r>
        <w:rPr>
          <w:sz w:val="38"/>
        </w:rPr>
        <w:t>Cups</w:t>
      </w:r>
    </w:p>
    <w:p>
      <w:pPr>
        <w:spacing w:after="0" w:line="240" w:lineRule="auto"/>
        <w:jc w:val="both"/>
        <w:rPr>
          <w:sz w:val="38"/>
        </w:rPr>
        <w:sectPr>
          <w:pgSz w:w="14270" w:h="16850"/>
          <w:pgMar w:header="0" w:footer="1891" w:top="1340" w:bottom="2080" w:left="800" w:right="1280"/>
        </w:sectPr>
      </w:pPr>
    </w:p>
    <w:p>
      <w:pPr>
        <w:pStyle w:val="BodyText"/>
        <w:spacing w:line="276" w:lineRule="auto" w:before="72"/>
        <w:ind w:left="616" w:right="133"/>
        <w:jc w:val="both"/>
      </w:pPr>
      <w:r>
        <w:rPr/>
        <w:t>Make</w:t>
      </w:r>
      <w:r>
        <w:rPr>
          <w:spacing w:val="-20"/>
        </w:rPr>
        <w:t> </w:t>
      </w:r>
      <w:r>
        <w:rPr/>
        <w:t>sure</w:t>
      </w:r>
      <w:r>
        <w:rPr>
          <w:spacing w:val="-18"/>
        </w:rPr>
        <w:t> </w:t>
      </w:r>
      <w:r>
        <w:rPr/>
        <w:t>that</w:t>
      </w:r>
      <w:r>
        <w:rPr>
          <w:spacing w:val="-20"/>
        </w:rPr>
        <w:t> </w:t>
      </w:r>
      <w:r>
        <w:rPr/>
        <w:t>the</w:t>
      </w:r>
      <w:r>
        <w:rPr>
          <w:spacing w:val="-19"/>
        </w:rPr>
        <w:t> </w:t>
      </w:r>
      <w:r>
        <w:rPr/>
        <w:t>strainer</w:t>
      </w:r>
      <w:r>
        <w:rPr>
          <w:spacing w:val="-21"/>
        </w:rPr>
        <w:t> </w:t>
      </w:r>
      <w:r>
        <w:rPr/>
        <w:t>is</w:t>
      </w:r>
      <w:r>
        <w:rPr>
          <w:spacing w:val="-20"/>
        </w:rPr>
        <w:t> </w:t>
      </w:r>
      <w:r>
        <w:rPr/>
        <w:t>as</w:t>
      </w:r>
      <w:r>
        <w:rPr>
          <w:spacing w:val="-21"/>
        </w:rPr>
        <w:t> </w:t>
      </w:r>
      <w:r>
        <w:rPr/>
        <w:t>tightly</w:t>
      </w:r>
      <w:r>
        <w:rPr>
          <w:spacing w:val="-20"/>
        </w:rPr>
        <w:t> </w:t>
      </w:r>
      <w:r>
        <w:rPr/>
        <w:t>meshed</w:t>
      </w:r>
      <w:r>
        <w:rPr>
          <w:spacing w:val="-19"/>
        </w:rPr>
        <w:t> </w:t>
      </w:r>
      <w:r>
        <w:rPr/>
        <w:t>as</w:t>
      </w:r>
      <w:r>
        <w:rPr>
          <w:spacing w:val="-21"/>
        </w:rPr>
        <w:t> </w:t>
      </w:r>
      <w:r>
        <w:rPr/>
        <w:t>possible,</w:t>
      </w:r>
      <w:r>
        <w:rPr>
          <w:spacing w:val="-19"/>
        </w:rPr>
        <w:t> </w:t>
      </w:r>
      <w:r>
        <w:rPr/>
        <w:t>otherwise</w:t>
      </w:r>
      <w:r>
        <w:rPr>
          <w:spacing w:val="-11"/>
        </w:rPr>
        <w:t> </w:t>
      </w:r>
      <w:r>
        <w:rPr/>
        <w:t>tiny</w:t>
      </w:r>
      <w:r>
        <w:rPr>
          <w:spacing w:val="-19"/>
        </w:rPr>
        <w:t> </w:t>
      </w:r>
      <w:r>
        <w:rPr/>
        <w:t>com- ponents</w:t>
      </w:r>
      <w:r>
        <w:rPr>
          <w:spacing w:val="-8"/>
        </w:rPr>
        <w:t> </w:t>
      </w:r>
      <w:r>
        <w:rPr/>
        <w:t>of</w:t>
      </w:r>
      <w:r>
        <w:rPr>
          <w:spacing w:val="-7"/>
        </w:rPr>
        <w:t> </w:t>
      </w:r>
      <w:r>
        <w:rPr/>
        <w:t>the</w:t>
      </w:r>
      <w:r>
        <w:rPr>
          <w:spacing w:val="-7"/>
        </w:rPr>
        <w:t> </w:t>
      </w:r>
      <w:r>
        <w:rPr/>
        <w:t>tea</w:t>
      </w:r>
      <w:r>
        <w:rPr>
          <w:spacing w:val="-7"/>
        </w:rPr>
        <w:t> </w:t>
      </w:r>
      <w:r>
        <w:rPr/>
        <w:t>could</w:t>
      </w:r>
      <w:r>
        <w:rPr>
          <w:spacing w:val="-6"/>
        </w:rPr>
        <w:t> </w:t>
      </w:r>
      <w:r>
        <w:rPr/>
        <w:t>'slip</w:t>
      </w:r>
      <w:r>
        <w:rPr>
          <w:spacing w:val="-7"/>
        </w:rPr>
        <w:t> </w:t>
      </w:r>
      <w:r>
        <w:rPr/>
        <w:t>through';</w:t>
      </w:r>
      <w:r>
        <w:rPr>
          <w:spacing w:val="-4"/>
        </w:rPr>
        <w:t> </w:t>
      </w:r>
      <w:r>
        <w:rPr/>
        <w:t>for</w:t>
      </w:r>
      <w:r>
        <w:rPr>
          <w:spacing w:val="-8"/>
        </w:rPr>
        <w:t> </w:t>
      </w:r>
      <w:r>
        <w:rPr/>
        <w:t>this</w:t>
      </w:r>
      <w:r>
        <w:rPr>
          <w:spacing w:val="-7"/>
        </w:rPr>
        <w:t> </w:t>
      </w:r>
      <w:r>
        <w:rPr/>
        <w:t>reason,</w:t>
      </w:r>
      <w:r>
        <w:rPr>
          <w:spacing w:val="-6"/>
        </w:rPr>
        <w:t> </w:t>
      </w:r>
      <w:r>
        <w:rPr/>
        <w:t>a</w:t>
      </w:r>
      <w:r>
        <w:rPr>
          <w:spacing w:val="-9"/>
        </w:rPr>
        <w:t> </w:t>
      </w:r>
      <w:r>
        <w:rPr/>
        <w:t>tea</w:t>
      </w:r>
      <w:r>
        <w:rPr>
          <w:spacing w:val="-7"/>
        </w:rPr>
        <w:t> </w:t>
      </w:r>
      <w:r>
        <w:rPr/>
        <w:t>infuser</w:t>
      </w:r>
      <w:r>
        <w:rPr>
          <w:spacing w:val="-6"/>
        </w:rPr>
        <w:t> </w:t>
      </w:r>
      <w:r>
        <w:rPr/>
        <w:t>is</w:t>
      </w:r>
      <w:r>
        <w:rPr>
          <w:spacing w:val="-8"/>
        </w:rPr>
        <w:t> </w:t>
      </w:r>
      <w:r>
        <w:rPr/>
        <w:t>not</w:t>
      </w:r>
      <w:r>
        <w:rPr>
          <w:spacing w:val="-10"/>
        </w:rPr>
        <w:t> </w:t>
      </w:r>
      <w:r>
        <w:rPr/>
        <w:t>suit- able!</w:t>
      </w:r>
    </w:p>
    <w:p>
      <w:pPr>
        <w:pStyle w:val="BodyText"/>
        <w:rPr>
          <w:sz w:val="42"/>
        </w:rPr>
      </w:pPr>
    </w:p>
    <w:p>
      <w:pPr>
        <w:pStyle w:val="Heading1"/>
        <w:spacing w:before="243"/>
        <w:ind w:left="616"/>
      </w:pPr>
      <w:r>
        <w:rPr/>
        <w:t>Actual preparation of rooibos tea</w:t>
      </w:r>
    </w:p>
    <w:p>
      <w:pPr>
        <w:pStyle w:val="ListParagraph"/>
        <w:numPr>
          <w:ilvl w:val="0"/>
          <w:numId w:val="107"/>
        </w:numPr>
        <w:tabs>
          <w:tab w:pos="1096" w:val="left" w:leader="none"/>
          <w:tab w:pos="1097" w:val="left" w:leader="none"/>
        </w:tabs>
        <w:spacing w:line="240" w:lineRule="auto" w:before="260" w:after="0"/>
        <w:ind w:left="1096" w:right="0" w:hanging="360"/>
        <w:jc w:val="left"/>
        <w:rPr>
          <w:sz w:val="38"/>
        </w:rPr>
      </w:pPr>
      <w:r>
        <w:rPr>
          <w:sz w:val="38"/>
        </w:rPr>
        <w:t>Bring water to the boil in a kettle or</w:t>
      </w:r>
      <w:r>
        <w:rPr>
          <w:spacing w:val="3"/>
          <w:sz w:val="38"/>
        </w:rPr>
        <w:t> </w:t>
      </w:r>
      <w:r>
        <w:rPr>
          <w:sz w:val="38"/>
        </w:rPr>
        <w:t>pot;</w:t>
      </w:r>
    </w:p>
    <w:p>
      <w:pPr>
        <w:pStyle w:val="ListParagraph"/>
        <w:numPr>
          <w:ilvl w:val="0"/>
          <w:numId w:val="107"/>
        </w:numPr>
        <w:tabs>
          <w:tab w:pos="1096" w:val="left" w:leader="none"/>
          <w:tab w:pos="1097" w:val="left" w:leader="none"/>
        </w:tabs>
        <w:spacing w:line="273" w:lineRule="auto" w:before="184" w:after="0"/>
        <w:ind w:left="1096" w:right="142" w:hanging="360"/>
        <w:jc w:val="left"/>
        <w:rPr>
          <w:sz w:val="38"/>
        </w:rPr>
      </w:pPr>
      <w:r>
        <w:rPr>
          <w:sz w:val="38"/>
        </w:rPr>
        <w:t>put one heaped teaspoon of rooibos (or a teabag) per cup of tea into the teapot;</w:t>
      </w:r>
    </w:p>
    <w:p>
      <w:pPr>
        <w:pStyle w:val="ListParagraph"/>
        <w:numPr>
          <w:ilvl w:val="0"/>
          <w:numId w:val="107"/>
        </w:numPr>
        <w:tabs>
          <w:tab w:pos="1096" w:val="left" w:leader="none"/>
          <w:tab w:pos="1097" w:val="left" w:leader="none"/>
        </w:tabs>
        <w:spacing w:line="273" w:lineRule="auto" w:before="127" w:after="0"/>
        <w:ind w:left="1096" w:right="138" w:hanging="360"/>
        <w:jc w:val="left"/>
        <w:rPr>
          <w:sz w:val="38"/>
        </w:rPr>
      </w:pPr>
      <w:r>
        <w:rPr>
          <w:sz w:val="38"/>
        </w:rPr>
        <w:t>pour the boiling water over the tea in the teapot and let the redbush tea steep for two to three</w:t>
      </w:r>
      <w:r>
        <w:rPr>
          <w:spacing w:val="2"/>
          <w:sz w:val="38"/>
        </w:rPr>
        <w:t> </w:t>
      </w:r>
      <w:r>
        <w:rPr>
          <w:sz w:val="38"/>
        </w:rPr>
        <w:t>minutes;</w:t>
      </w:r>
    </w:p>
    <w:p>
      <w:pPr>
        <w:pStyle w:val="ListParagraph"/>
        <w:numPr>
          <w:ilvl w:val="0"/>
          <w:numId w:val="107"/>
        </w:numPr>
        <w:tabs>
          <w:tab w:pos="1096" w:val="left" w:leader="none"/>
          <w:tab w:pos="1097" w:val="left" w:leader="none"/>
        </w:tabs>
        <w:spacing w:line="273" w:lineRule="auto" w:before="128" w:after="0"/>
        <w:ind w:left="1096" w:right="141" w:hanging="360"/>
        <w:jc w:val="left"/>
        <w:rPr>
          <w:sz w:val="38"/>
        </w:rPr>
      </w:pPr>
      <w:r>
        <w:rPr>
          <w:sz w:val="38"/>
        </w:rPr>
        <w:t>strain the rooibos tea and pour it into the teapot; multiple infusions are possible.</w:t>
      </w:r>
    </w:p>
    <w:p>
      <w:pPr>
        <w:pStyle w:val="BodyText"/>
        <w:spacing w:line="278" w:lineRule="auto" w:before="246"/>
        <w:ind w:left="616" w:right="137"/>
        <w:jc w:val="both"/>
      </w:pPr>
      <w:r>
        <w:rPr/>
        <w:t>Rooibos can take up to three infusions; the steeping time for subsequent</w:t>
      </w:r>
      <w:r>
        <w:rPr>
          <w:spacing w:val="-65"/>
        </w:rPr>
        <w:t> </w:t>
      </w:r>
      <w:r>
        <w:rPr/>
        <w:t>infu- sions should be 30-60 minutes.</w:t>
      </w:r>
    </w:p>
    <w:p>
      <w:pPr>
        <w:pStyle w:val="Heading2"/>
        <w:spacing w:before="232"/>
        <w:ind w:left="616"/>
      </w:pPr>
      <w:r>
        <w:rPr/>
        <w:t>Does rooibos tea cause any side effects or interactions?</w:t>
      </w:r>
    </w:p>
    <w:p>
      <w:pPr>
        <w:pStyle w:val="BodyText"/>
        <w:spacing w:line="276" w:lineRule="auto" w:before="304"/>
        <w:ind w:left="616" w:right="133"/>
        <w:jc w:val="both"/>
      </w:pPr>
      <w:r>
        <w:rPr/>
        <w:t>Rooibos</w:t>
      </w:r>
      <w:r>
        <w:rPr>
          <w:spacing w:val="-8"/>
        </w:rPr>
        <w:t> </w:t>
      </w:r>
      <w:r>
        <w:rPr/>
        <w:t>tea</w:t>
      </w:r>
      <w:r>
        <w:rPr>
          <w:spacing w:val="-9"/>
        </w:rPr>
        <w:t> </w:t>
      </w:r>
      <w:r>
        <w:rPr/>
        <w:t>has</w:t>
      </w:r>
      <w:r>
        <w:rPr>
          <w:spacing w:val="-9"/>
        </w:rPr>
        <w:t> </w:t>
      </w:r>
      <w:r>
        <w:rPr/>
        <w:t>been</w:t>
      </w:r>
      <w:r>
        <w:rPr>
          <w:spacing w:val="-8"/>
        </w:rPr>
        <w:t> </w:t>
      </w:r>
      <w:r>
        <w:rPr/>
        <w:t>traditionally</w:t>
      </w:r>
      <w:r>
        <w:rPr>
          <w:spacing w:val="-9"/>
        </w:rPr>
        <w:t> </w:t>
      </w:r>
      <w:r>
        <w:rPr/>
        <w:t>drunk</w:t>
      </w:r>
      <w:r>
        <w:rPr>
          <w:spacing w:val="-8"/>
        </w:rPr>
        <w:t> </w:t>
      </w:r>
      <w:r>
        <w:rPr/>
        <w:t>for</w:t>
      </w:r>
      <w:r>
        <w:rPr>
          <w:spacing w:val="-8"/>
        </w:rPr>
        <w:t> </w:t>
      </w:r>
      <w:r>
        <w:rPr/>
        <w:t>centuries</w:t>
      </w:r>
      <w:r>
        <w:rPr>
          <w:spacing w:val="-8"/>
        </w:rPr>
        <w:t> </w:t>
      </w:r>
      <w:r>
        <w:rPr/>
        <w:t>by</w:t>
      </w:r>
      <w:r>
        <w:rPr>
          <w:spacing w:val="-9"/>
        </w:rPr>
        <w:t> </w:t>
      </w:r>
      <w:r>
        <w:rPr/>
        <w:t>South</w:t>
      </w:r>
      <w:r>
        <w:rPr>
          <w:spacing w:val="-8"/>
        </w:rPr>
        <w:t> </w:t>
      </w:r>
      <w:r>
        <w:rPr/>
        <w:t>African</w:t>
      </w:r>
      <w:r>
        <w:rPr>
          <w:spacing w:val="-8"/>
        </w:rPr>
        <w:t> </w:t>
      </w:r>
      <w:r>
        <w:rPr/>
        <w:t>tribes, sometimes in amounts of up to 3 litres or more per day, without any side ef- fects!</w:t>
      </w:r>
      <w:r>
        <w:rPr>
          <w:spacing w:val="-21"/>
        </w:rPr>
        <w:t> </w:t>
      </w:r>
      <w:r>
        <w:rPr/>
        <w:t>Because</w:t>
      </w:r>
      <w:r>
        <w:rPr>
          <w:spacing w:val="-21"/>
        </w:rPr>
        <w:t> </w:t>
      </w:r>
      <w:r>
        <w:rPr/>
        <w:t>redbush</w:t>
      </w:r>
      <w:r>
        <w:rPr>
          <w:spacing w:val="-21"/>
        </w:rPr>
        <w:t> </w:t>
      </w:r>
      <w:r>
        <w:rPr/>
        <w:t>tea</w:t>
      </w:r>
      <w:r>
        <w:rPr>
          <w:spacing w:val="-22"/>
        </w:rPr>
        <w:t> </w:t>
      </w:r>
      <w:r>
        <w:rPr/>
        <w:t>neither</w:t>
      </w:r>
      <w:r>
        <w:rPr>
          <w:spacing w:val="-22"/>
        </w:rPr>
        <w:t> </w:t>
      </w:r>
      <w:r>
        <w:rPr/>
        <w:t>contains</w:t>
      </w:r>
      <w:r>
        <w:rPr>
          <w:spacing w:val="-22"/>
        </w:rPr>
        <w:t> </w:t>
      </w:r>
      <w:r>
        <w:rPr/>
        <w:t>caffeine</w:t>
      </w:r>
      <w:r>
        <w:rPr>
          <w:spacing w:val="-21"/>
        </w:rPr>
        <w:t> </w:t>
      </w:r>
      <w:r>
        <w:rPr/>
        <w:t>nor</w:t>
      </w:r>
      <w:r>
        <w:rPr>
          <w:spacing w:val="-23"/>
        </w:rPr>
        <w:t> </w:t>
      </w:r>
      <w:r>
        <w:rPr/>
        <w:t>needs</w:t>
      </w:r>
      <w:r>
        <w:rPr>
          <w:spacing w:val="-21"/>
        </w:rPr>
        <w:t> </w:t>
      </w:r>
      <w:r>
        <w:rPr/>
        <w:t>to</w:t>
      </w:r>
      <w:r>
        <w:rPr>
          <w:spacing w:val="-27"/>
        </w:rPr>
        <w:t> </w:t>
      </w:r>
      <w:r>
        <w:rPr/>
        <w:t>be</w:t>
      </w:r>
      <w:r>
        <w:rPr>
          <w:spacing w:val="-21"/>
        </w:rPr>
        <w:t> </w:t>
      </w:r>
      <w:r>
        <w:rPr/>
        <w:t>sweetened, there are no aspects to it that could burden the</w:t>
      </w:r>
      <w:r>
        <w:rPr>
          <w:spacing w:val="1"/>
        </w:rPr>
        <w:t> </w:t>
      </w:r>
      <w:r>
        <w:rPr/>
        <w:t>body.</w:t>
      </w:r>
    </w:p>
    <w:p>
      <w:pPr>
        <w:pStyle w:val="Heading2"/>
        <w:spacing w:before="242"/>
        <w:ind w:left="616"/>
        <w:jc w:val="both"/>
      </w:pPr>
      <w:r>
        <w:rPr/>
        <w:t>What should I pay attention to when buying rooibos tea?</w:t>
      </w:r>
    </w:p>
    <w:p>
      <w:pPr>
        <w:spacing w:after="0"/>
        <w:jc w:val="both"/>
        <w:sectPr>
          <w:pgSz w:w="14270" w:h="16850"/>
          <w:pgMar w:header="0" w:footer="1891" w:top="1340" w:bottom="2080" w:left="800" w:right="1280"/>
        </w:sectPr>
      </w:pPr>
    </w:p>
    <w:p>
      <w:pPr>
        <w:pStyle w:val="BodyText"/>
        <w:spacing w:line="276" w:lineRule="auto" w:before="74"/>
        <w:ind w:left="616" w:right="134"/>
        <w:jc w:val="both"/>
      </w:pPr>
      <w:r>
        <w:rPr/>
        <w:t>Redbush</w:t>
      </w:r>
      <w:r>
        <w:rPr>
          <w:spacing w:val="-13"/>
        </w:rPr>
        <w:t> </w:t>
      </w:r>
      <w:r>
        <w:rPr/>
        <w:t>tea</w:t>
      </w:r>
      <w:r>
        <w:rPr>
          <w:spacing w:val="-14"/>
        </w:rPr>
        <w:t> </w:t>
      </w:r>
      <w:r>
        <w:rPr/>
        <w:t>can</w:t>
      </w:r>
      <w:r>
        <w:rPr>
          <w:spacing w:val="-13"/>
        </w:rPr>
        <w:t> </w:t>
      </w:r>
      <w:r>
        <w:rPr/>
        <w:t>be</w:t>
      </w:r>
      <w:r>
        <w:rPr>
          <w:spacing w:val="-13"/>
        </w:rPr>
        <w:t> </w:t>
      </w:r>
      <w:r>
        <w:rPr/>
        <w:t>bought</w:t>
      </w:r>
      <w:r>
        <w:rPr>
          <w:spacing w:val="-13"/>
        </w:rPr>
        <w:t> </w:t>
      </w:r>
      <w:r>
        <w:rPr/>
        <w:t>loose</w:t>
      </w:r>
      <w:r>
        <w:rPr>
          <w:spacing w:val="-16"/>
        </w:rPr>
        <w:t> </w:t>
      </w:r>
      <w:r>
        <w:rPr/>
        <w:t>or</w:t>
      </w:r>
      <w:r>
        <w:rPr>
          <w:spacing w:val="-12"/>
        </w:rPr>
        <w:t> </w:t>
      </w:r>
      <w:r>
        <w:rPr/>
        <w:t>in</w:t>
      </w:r>
      <w:r>
        <w:rPr>
          <w:spacing w:val="-14"/>
        </w:rPr>
        <w:t> </w:t>
      </w:r>
      <w:r>
        <w:rPr/>
        <w:t>teabags,</w:t>
      </w:r>
      <w:r>
        <w:rPr>
          <w:spacing w:val="-12"/>
        </w:rPr>
        <w:t> </w:t>
      </w:r>
      <w:r>
        <w:rPr/>
        <w:t>although</w:t>
      </w:r>
      <w:r>
        <w:rPr>
          <w:spacing w:val="-12"/>
        </w:rPr>
        <w:t> </w:t>
      </w:r>
      <w:r>
        <w:rPr/>
        <w:t>the</w:t>
      </w:r>
      <w:r>
        <w:rPr>
          <w:spacing w:val="-13"/>
        </w:rPr>
        <w:t> </w:t>
      </w:r>
      <w:r>
        <w:rPr/>
        <w:t>latter</w:t>
      </w:r>
      <w:r>
        <w:rPr>
          <w:spacing w:val="-13"/>
        </w:rPr>
        <w:t> </w:t>
      </w:r>
      <w:r>
        <w:rPr/>
        <w:t>is</w:t>
      </w:r>
      <w:r>
        <w:rPr>
          <w:spacing w:val="-14"/>
        </w:rPr>
        <w:t> </w:t>
      </w:r>
      <w:r>
        <w:rPr/>
        <w:t>rarer.</w:t>
      </w:r>
      <w:r>
        <w:rPr>
          <w:spacing w:val="-12"/>
        </w:rPr>
        <w:t> </w:t>
      </w:r>
      <w:r>
        <w:rPr/>
        <w:t>The loose tea allows you to judge the quality of the tea before purchasing. The tea should</w:t>
      </w:r>
      <w:r>
        <w:rPr>
          <w:spacing w:val="-13"/>
        </w:rPr>
        <w:t> </w:t>
      </w:r>
      <w:r>
        <w:rPr/>
        <w:t>have</w:t>
      </w:r>
      <w:r>
        <w:rPr>
          <w:spacing w:val="-11"/>
        </w:rPr>
        <w:t> </w:t>
      </w:r>
      <w:r>
        <w:rPr/>
        <w:t>as</w:t>
      </w:r>
      <w:r>
        <w:rPr>
          <w:spacing w:val="-12"/>
        </w:rPr>
        <w:t> </w:t>
      </w:r>
      <w:r>
        <w:rPr/>
        <w:t>intense</w:t>
      </w:r>
      <w:r>
        <w:rPr>
          <w:spacing w:val="-10"/>
        </w:rPr>
        <w:t> </w:t>
      </w:r>
      <w:r>
        <w:rPr/>
        <w:t>a</w:t>
      </w:r>
      <w:r>
        <w:rPr>
          <w:spacing w:val="-13"/>
        </w:rPr>
        <w:t> </w:t>
      </w:r>
      <w:r>
        <w:rPr/>
        <w:t>red</w:t>
      </w:r>
      <w:r>
        <w:rPr>
          <w:spacing w:val="-12"/>
        </w:rPr>
        <w:t> </w:t>
      </w:r>
      <w:r>
        <w:rPr/>
        <w:t>or</w:t>
      </w:r>
      <w:r>
        <w:rPr>
          <w:spacing w:val="-10"/>
        </w:rPr>
        <w:t> </w:t>
      </w:r>
      <w:r>
        <w:rPr/>
        <w:t>brown</w:t>
      </w:r>
      <w:r>
        <w:rPr>
          <w:spacing w:val="-12"/>
        </w:rPr>
        <w:t> </w:t>
      </w:r>
      <w:r>
        <w:rPr/>
        <w:t>colour</w:t>
      </w:r>
      <w:r>
        <w:rPr>
          <w:spacing w:val="-12"/>
        </w:rPr>
        <w:t> </w:t>
      </w:r>
      <w:r>
        <w:rPr/>
        <w:t>as</w:t>
      </w:r>
      <w:r>
        <w:rPr>
          <w:spacing w:val="-11"/>
        </w:rPr>
        <w:t> </w:t>
      </w:r>
      <w:r>
        <w:rPr/>
        <w:t>possible</w:t>
      </w:r>
      <w:r>
        <w:rPr>
          <w:spacing w:val="-12"/>
        </w:rPr>
        <w:t> </w:t>
      </w:r>
      <w:r>
        <w:rPr/>
        <w:t>and</w:t>
      </w:r>
      <w:r>
        <w:rPr>
          <w:spacing w:val="-11"/>
        </w:rPr>
        <w:t> </w:t>
      </w:r>
      <w:r>
        <w:rPr/>
        <w:t>should</w:t>
      </w:r>
      <w:r>
        <w:rPr>
          <w:spacing w:val="-12"/>
        </w:rPr>
        <w:t> </w:t>
      </w:r>
      <w:r>
        <w:rPr/>
        <w:t>consist</w:t>
      </w:r>
      <w:r>
        <w:rPr>
          <w:spacing w:val="-11"/>
        </w:rPr>
        <w:t> </w:t>
      </w:r>
      <w:r>
        <w:rPr/>
        <w:t>of up</w:t>
      </w:r>
      <w:r>
        <w:rPr>
          <w:spacing w:val="-26"/>
        </w:rPr>
        <w:t> </w:t>
      </w:r>
      <w:r>
        <w:rPr/>
        <w:t>to</w:t>
      </w:r>
      <w:r>
        <w:rPr>
          <w:spacing w:val="-24"/>
        </w:rPr>
        <w:t> </w:t>
      </w:r>
      <w:r>
        <w:rPr/>
        <w:t>1</w:t>
      </w:r>
      <w:r>
        <w:rPr>
          <w:spacing w:val="-26"/>
        </w:rPr>
        <w:t> </w:t>
      </w:r>
      <w:r>
        <w:rPr/>
        <w:t>mm-thick</w:t>
      </w:r>
      <w:r>
        <w:rPr>
          <w:spacing w:val="-27"/>
        </w:rPr>
        <w:t> </w:t>
      </w:r>
      <w:r>
        <w:rPr/>
        <w:t>pieces</w:t>
      </w:r>
      <w:r>
        <w:rPr>
          <w:spacing w:val="-24"/>
        </w:rPr>
        <w:t> </w:t>
      </w:r>
      <w:r>
        <w:rPr/>
        <w:t>of</w:t>
      </w:r>
      <w:r>
        <w:rPr>
          <w:spacing w:val="-25"/>
        </w:rPr>
        <w:t> </w:t>
      </w:r>
      <w:r>
        <w:rPr/>
        <w:t>leaf</w:t>
      </w:r>
      <w:r>
        <w:rPr>
          <w:spacing w:val="-26"/>
        </w:rPr>
        <w:t> </w:t>
      </w:r>
      <w:r>
        <w:rPr/>
        <w:t>and</w:t>
      </w:r>
      <w:r>
        <w:rPr>
          <w:spacing w:val="-25"/>
        </w:rPr>
        <w:t> </w:t>
      </w:r>
      <w:r>
        <w:rPr/>
        <w:t>individual</w:t>
      </w:r>
      <w:r>
        <w:rPr>
          <w:spacing w:val="-26"/>
        </w:rPr>
        <w:t> </w:t>
      </w:r>
      <w:r>
        <w:rPr/>
        <w:t>branch</w:t>
      </w:r>
      <w:r>
        <w:rPr>
          <w:spacing w:val="-24"/>
        </w:rPr>
        <w:t> </w:t>
      </w:r>
      <w:r>
        <w:rPr/>
        <w:t>remains,</w:t>
      </w:r>
      <w:r>
        <w:rPr>
          <w:spacing w:val="-25"/>
        </w:rPr>
        <w:t> </w:t>
      </w:r>
      <w:r>
        <w:rPr/>
        <w:t>which</w:t>
      </w:r>
      <w:r>
        <w:rPr>
          <w:spacing w:val="-25"/>
        </w:rPr>
        <w:t> </w:t>
      </w:r>
      <w:r>
        <w:rPr/>
        <w:t>are</w:t>
      </w:r>
      <w:r>
        <w:rPr>
          <w:spacing w:val="-25"/>
        </w:rPr>
        <w:t> </w:t>
      </w:r>
      <w:r>
        <w:rPr/>
        <w:t>some- what</w:t>
      </w:r>
      <w:r>
        <w:rPr>
          <w:spacing w:val="-11"/>
        </w:rPr>
        <w:t> </w:t>
      </w:r>
      <w:r>
        <w:rPr/>
        <w:t>longer.</w:t>
      </w:r>
      <w:r>
        <w:rPr>
          <w:spacing w:val="-11"/>
        </w:rPr>
        <w:t> </w:t>
      </w:r>
      <w:r>
        <w:rPr/>
        <w:t>You</w:t>
      </w:r>
      <w:r>
        <w:rPr>
          <w:spacing w:val="-11"/>
        </w:rPr>
        <w:t> </w:t>
      </w:r>
      <w:r>
        <w:rPr/>
        <w:t>should</w:t>
      </w:r>
      <w:r>
        <w:rPr>
          <w:spacing w:val="-11"/>
        </w:rPr>
        <w:t> </w:t>
      </w:r>
      <w:r>
        <w:rPr/>
        <w:t>smell</w:t>
      </w:r>
      <w:r>
        <w:rPr>
          <w:spacing w:val="-10"/>
        </w:rPr>
        <w:t> </w:t>
      </w:r>
      <w:r>
        <w:rPr/>
        <w:t>a</w:t>
      </w:r>
      <w:r>
        <w:rPr>
          <w:spacing w:val="-13"/>
        </w:rPr>
        <w:t> </w:t>
      </w:r>
      <w:r>
        <w:rPr/>
        <w:t>fresh,</w:t>
      </w:r>
      <w:r>
        <w:rPr>
          <w:spacing w:val="-10"/>
        </w:rPr>
        <w:t> </w:t>
      </w:r>
      <w:r>
        <w:rPr/>
        <w:t>fruity</w:t>
      </w:r>
      <w:r>
        <w:rPr>
          <w:spacing w:val="-10"/>
        </w:rPr>
        <w:t> </w:t>
      </w:r>
      <w:r>
        <w:rPr/>
        <w:t>aroma</w:t>
      </w:r>
      <w:r>
        <w:rPr>
          <w:spacing w:val="-12"/>
        </w:rPr>
        <w:t> </w:t>
      </w:r>
      <w:r>
        <w:rPr/>
        <w:t>when</w:t>
      </w:r>
      <w:r>
        <w:rPr>
          <w:spacing w:val="-8"/>
        </w:rPr>
        <w:t> </w:t>
      </w:r>
      <w:r>
        <w:rPr/>
        <w:t>opening</w:t>
      </w:r>
      <w:r>
        <w:rPr>
          <w:spacing w:val="-10"/>
        </w:rPr>
        <w:t> </w:t>
      </w:r>
      <w:r>
        <w:rPr/>
        <w:t>the</w:t>
      </w:r>
      <w:r>
        <w:rPr>
          <w:spacing w:val="-12"/>
        </w:rPr>
        <w:t> </w:t>
      </w:r>
      <w:r>
        <w:rPr/>
        <w:t>packag- ing.</w:t>
      </w:r>
    </w:p>
    <w:p>
      <w:pPr>
        <w:pStyle w:val="BodyText"/>
        <w:spacing w:line="276" w:lineRule="auto" w:before="240"/>
        <w:ind w:left="616" w:right="134"/>
        <w:jc w:val="both"/>
      </w:pPr>
      <w:r>
        <w:rPr/>
        <w:t>You</w:t>
      </w:r>
      <w:r>
        <w:rPr>
          <w:spacing w:val="-8"/>
        </w:rPr>
        <w:t> </w:t>
      </w:r>
      <w:r>
        <w:rPr/>
        <w:t>can,</w:t>
      </w:r>
      <w:r>
        <w:rPr>
          <w:spacing w:val="-4"/>
        </w:rPr>
        <w:t> </w:t>
      </w:r>
      <w:r>
        <w:rPr/>
        <w:t>incidentally,</w:t>
      </w:r>
      <w:r>
        <w:rPr>
          <w:spacing w:val="-5"/>
        </w:rPr>
        <w:t> </w:t>
      </w:r>
      <w:r>
        <w:rPr/>
        <w:t>buy</w:t>
      </w:r>
      <w:r>
        <w:rPr>
          <w:spacing w:val="-6"/>
        </w:rPr>
        <w:t> </w:t>
      </w:r>
      <w:r>
        <w:rPr/>
        <w:t>rooibos</w:t>
      </w:r>
      <w:r>
        <w:rPr>
          <w:spacing w:val="-5"/>
        </w:rPr>
        <w:t> </w:t>
      </w:r>
      <w:r>
        <w:rPr/>
        <w:t>tea</w:t>
      </w:r>
      <w:r>
        <w:rPr>
          <w:spacing w:val="-7"/>
        </w:rPr>
        <w:t> </w:t>
      </w:r>
      <w:r>
        <w:rPr/>
        <w:t>in</w:t>
      </w:r>
      <w:r>
        <w:rPr>
          <w:spacing w:val="-6"/>
        </w:rPr>
        <w:t> </w:t>
      </w:r>
      <w:r>
        <w:rPr/>
        <w:t>all</w:t>
      </w:r>
      <w:r>
        <w:rPr>
          <w:spacing w:val="-7"/>
        </w:rPr>
        <w:t> </w:t>
      </w:r>
      <w:r>
        <w:rPr/>
        <w:t>sorts</w:t>
      </w:r>
      <w:r>
        <w:rPr>
          <w:spacing w:val="-8"/>
        </w:rPr>
        <w:t> </w:t>
      </w:r>
      <w:r>
        <w:rPr/>
        <w:t>of</w:t>
      </w:r>
      <w:r>
        <w:rPr>
          <w:spacing w:val="-6"/>
        </w:rPr>
        <w:t> </w:t>
      </w:r>
      <w:r>
        <w:rPr/>
        <w:t>aroma</w:t>
      </w:r>
      <w:r>
        <w:rPr>
          <w:spacing w:val="-6"/>
        </w:rPr>
        <w:t> </w:t>
      </w:r>
      <w:r>
        <w:rPr/>
        <w:t>variants—from</w:t>
      </w:r>
      <w:r>
        <w:rPr>
          <w:spacing w:val="-6"/>
        </w:rPr>
        <w:t> </w:t>
      </w:r>
      <w:r>
        <w:rPr/>
        <w:t>the natural flavour 'natural rooibos' to strawberry, apricot, vanilla, wild cherry, honey or lemon flavours and many</w:t>
      </w:r>
      <w:r>
        <w:rPr>
          <w:spacing w:val="2"/>
        </w:rPr>
        <w:t> </w:t>
      </w:r>
      <w:r>
        <w:rPr/>
        <w:t>others.</w:t>
      </w:r>
    </w:p>
    <w:p>
      <w:pPr>
        <w:pStyle w:val="BodyText"/>
        <w:spacing w:line="278" w:lineRule="auto" w:before="239"/>
        <w:ind w:left="616"/>
      </w:pPr>
      <w:r>
        <w:rPr/>
        <w:t>You can also purchase rooibos tea that has been enriched with certain herbs and fruits to enhance the healing effect.</w:t>
      </w:r>
    </w:p>
    <w:p>
      <w:pPr>
        <w:pStyle w:val="Heading1"/>
        <w:spacing w:before="215"/>
        <w:ind w:left="616"/>
      </w:pPr>
      <w:r>
        <w:rPr/>
        <w:t>Storing rooibos tea</w:t>
      </w:r>
    </w:p>
    <w:p>
      <w:pPr>
        <w:pStyle w:val="BodyText"/>
        <w:spacing w:line="276" w:lineRule="auto" w:before="300"/>
        <w:ind w:left="616"/>
      </w:pPr>
      <w:r>
        <w:rPr/>
        <w:t>To preserve as long as possible the fruity aroma and healthy effect of the tea, you should always store it</w:t>
      </w:r>
    </w:p>
    <w:p>
      <w:pPr>
        <w:pStyle w:val="ListParagraph"/>
        <w:numPr>
          <w:ilvl w:val="0"/>
          <w:numId w:val="105"/>
        </w:numPr>
        <w:tabs>
          <w:tab w:pos="900" w:val="left" w:leader="none"/>
        </w:tabs>
        <w:spacing w:line="240" w:lineRule="auto" w:before="201" w:after="0"/>
        <w:ind w:left="899" w:right="0" w:hanging="283"/>
        <w:jc w:val="left"/>
        <w:rPr>
          <w:sz w:val="38"/>
        </w:rPr>
      </w:pPr>
      <w:r>
        <w:rPr>
          <w:sz w:val="38"/>
        </w:rPr>
        <w:t>in a dark</w:t>
      </w:r>
      <w:r>
        <w:rPr>
          <w:spacing w:val="-2"/>
          <w:sz w:val="38"/>
        </w:rPr>
        <w:t> </w:t>
      </w:r>
      <w:r>
        <w:rPr>
          <w:sz w:val="38"/>
        </w:rPr>
        <w:t>place,</w:t>
      </w:r>
    </w:p>
    <w:p>
      <w:pPr>
        <w:pStyle w:val="ListParagraph"/>
        <w:numPr>
          <w:ilvl w:val="0"/>
          <w:numId w:val="105"/>
        </w:numPr>
        <w:tabs>
          <w:tab w:pos="900" w:val="left" w:leader="none"/>
        </w:tabs>
        <w:spacing w:line="240" w:lineRule="auto" w:before="184" w:after="0"/>
        <w:ind w:left="899" w:right="0" w:hanging="283"/>
        <w:jc w:val="left"/>
        <w:rPr>
          <w:sz w:val="38"/>
        </w:rPr>
      </w:pPr>
      <w:r>
        <w:rPr>
          <w:sz w:val="38"/>
        </w:rPr>
        <w:t>in an airtight</w:t>
      </w:r>
      <w:r>
        <w:rPr>
          <w:spacing w:val="-16"/>
          <w:sz w:val="38"/>
        </w:rPr>
        <w:t> </w:t>
      </w:r>
      <w:r>
        <w:rPr>
          <w:sz w:val="38"/>
        </w:rPr>
        <w:t>container,</w:t>
      </w:r>
    </w:p>
    <w:p>
      <w:pPr>
        <w:pStyle w:val="ListParagraph"/>
        <w:numPr>
          <w:ilvl w:val="0"/>
          <w:numId w:val="105"/>
        </w:numPr>
        <w:tabs>
          <w:tab w:pos="900" w:val="left" w:leader="none"/>
        </w:tabs>
        <w:spacing w:line="240" w:lineRule="auto" w:before="184" w:after="0"/>
        <w:ind w:left="899" w:right="0" w:hanging="283"/>
        <w:jc w:val="left"/>
        <w:rPr>
          <w:sz w:val="38"/>
        </w:rPr>
      </w:pPr>
      <w:r>
        <w:rPr>
          <w:sz w:val="38"/>
        </w:rPr>
        <w:t>in a cool and dry</w:t>
      </w:r>
      <w:r>
        <w:rPr>
          <w:spacing w:val="-13"/>
          <w:sz w:val="38"/>
        </w:rPr>
        <w:t> </w:t>
      </w:r>
      <w:r>
        <w:rPr>
          <w:sz w:val="38"/>
        </w:rPr>
        <w:t>place.</w:t>
      </w:r>
    </w:p>
    <w:p>
      <w:pPr>
        <w:pStyle w:val="BodyText"/>
        <w:spacing w:line="278" w:lineRule="auto" w:before="302"/>
        <w:ind w:left="616"/>
      </w:pPr>
      <w:r>
        <w:rPr/>
        <w:t>Tea caddies made of porcelain or wood are suitable for this purpose; rooibos tea should not come into contact with metal.</w:t>
      </w:r>
    </w:p>
    <w:p>
      <w:pPr>
        <w:spacing w:after="0" w:line="278" w:lineRule="auto"/>
        <w:sectPr>
          <w:pgSz w:w="14270" w:h="16850"/>
          <w:pgMar w:header="0" w:footer="1891" w:top="1340" w:bottom="2080" w:left="800" w:right="1280"/>
        </w:sectPr>
      </w:pPr>
    </w:p>
    <w:p>
      <w:pPr>
        <w:spacing w:before="73"/>
        <w:ind w:left="616" w:right="0" w:firstLine="0"/>
        <w:jc w:val="left"/>
        <w:rPr>
          <w:rFonts w:ascii="Cambria"/>
          <w:b/>
          <w:sz w:val="28"/>
        </w:rPr>
      </w:pPr>
      <w:r>
        <w:rPr>
          <w:rFonts w:ascii="Cambria"/>
          <w:b/>
          <w:color w:val="365F91"/>
          <w:sz w:val="28"/>
        </w:rPr>
        <w:t>SELENIUM</w:t>
      </w:r>
    </w:p>
    <w:p>
      <w:pPr>
        <w:pStyle w:val="BodyText"/>
        <w:spacing w:before="8"/>
        <w:rPr>
          <w:rFonts w:ascii="Cambria"/>
          <w:b/>
          <w:sz w:val="24"/>
        </w:rPr>
      </w:pPr>
    </w:p>
    <w:p>
      <w:pPr>
        <w:pStyle w:val="BodyText"/>
        <w:ind w:left="616"/>
      </w:pPr>
      <w:r>
        <w:rPr/>
        <w:t>Selenium – what is it?</w:t>
      </w:r>
    </w:p>
    <w:p>
      <w:pPr>
        <w:pStyle w:val="BodyText"/>
        <w:spacing w:line="276" w:lineRule="auto" w:before="305"/>
        <w:ind w:left="616" w:right="132"/>
        <w:jc w:val="both"/>
      </w:pPr>
      <w:r>
        <w:rPr/>
        <w:t>Selenium is nothing less than an 'essential', which is to say vital, trace element which is not produced by our bodies and therefore must regularly be ingested via our food. Selenium was discovered in 1817 by the Swede Jöns Jakob Ber- zelius; however, it was not until the mid-70s that the natural presence of sele- nium in the human organism (10-15 mg) was proven.</w:t>
      </w:r>
    </w:p>
    <w:p>
      <w:pPr>
        <w:pStyle w:val="BodyText"/>
        <w:spacing w:line="276" w:lineRule="auto" w:before="240"/>
        <w:ind w:left="616" w:right="135"/>
        <w:jc w:val="both"/>
      </w:pPr>
      <w:r>
        <w:rPr/>
        <w:t>Selenium is a component of the earth's crust and is the 60th most common element there. 1 kg of earth matter is required to extract 0.09 mg of selenium, which has approximately the same scarcity as gold in the earth. In the natural world above the earth's crust, selenium is much more common and can be found in almost all bodies of water, rocks and soils. Named after the Greek moon goddess 'Selene' because of its silvery sheen, selenium was discovered for</w:t>
      </w:r>
      <w:r>
        <w:rPr>
          <w:spacing w:val="-25"/>
        </w:rPr>
        <w:t> </w:t>
      </w:r>
      <w:r>
        <w:rPr/>
        <w:t>technological</w:t>
      </w:r>
      <w:r>
        <w:rPr>
          <w:spacing w:val="-26"/>
        </w:rPr>
        <w:t> </w:t>
      </w:r>
      <w:r>
        <w:rPr/>
        <w:t>needs</w:t>
      </w:r>
      <w:r>
        <w:rPr>
          <w:spacing w:val="-25"/>
        </w:rPr>
        <w:t> </w:t>
      </w:r>
      <w:r>
        <w:rPr/>
        <w:t>long</w:t>
      </w:r>
      <w:r>
        <w:rPr>
          <w:spacing w:val="-26"/>
        </w:rPr>
        <w:t> </w:t>
      </w:r>
      <w:r>
        <w:rPr/>
        <w:t>before</w:t>
      </w:r>
      <w:r>
        <w:rPr>
          <w:spacing w:val="-26"/>
        </w:rPr>
        <w:t> </w:t>
      </w:r>
      <w:r>
        <w:rPr/>
        <w:t>its</w:t>
      </w:r>
      <w:r>
        <w:rPr>
          <w:spacing w:val="-25"/>
        </w:rPr>
        <w:t> </w:t>
      </w:r>
      <w:r>
        <w:rPr/>
        <w:t>enormous</w:t>
      </w:r>
      <w:r>
        <w:rPr>
          <w:spacing w:val="-29"/>
        </w:rPr>
        <w:t> </w:t>
      </w:r>
      <w:r>
        <w:rPr/>
        <w:t>benefit</w:t>
      </w:r>
      <w:r>
        <w:rPr>
          <w:spacing w:val="-27"/>
        </w:rPr>
        <w:t> </w:t>
      </w:r>
      <w:r>
        <w:rPr/>
        <w:t>for</w:t>
      </w:r>
      <w:r>
        <w:rPr>
          <w:spacing w:val="-25"/>
        </w:rPr>
        <w:t> </w:t>
      </w:r>
      <w:r>
        <w:rPr/>
        <w:t>our</w:t>
      </w:r>
      <w:r>
        <w:rPr>
          <w:spacing w:val="-25"/>
        </w:rPr>
        <w:t> </w:t>
      </w:r>
      <w:r>
        <w:rPr/>
        <w:t>health</w:t>
      </w:r>
      <w:r>
        <w:rPr>
          <w:spacing w:val="-26"/>
        </w:rPr>
        <w:t> </w:t>
      </w:r>
      <w:r>
        <w:rPr/>
        <w:t>became apparent.</w:t>
      </w:r>
    </w:p>
    <w:p>
      <w:pPr>
        <w:pStyle w:val="BodyText"/>
        <w:spacing w:line="276" w:lineRule="auto" w:before="241"/>
        <w:ind w:left="616" w:right="135"/>
        <w:jc w:val="both"/>
      </w:pPr>
      <w:r>
        <w:rPr/>
        <w:t>Selenium</w:t>
      </w:r>
      <w:r>
        <w:rPr>
          <w:spacing w:val="-8"/>
        </w:rPr>
        <w:t> </w:t>
      </w:r>
      <w:r>
        <w:rPr/>
        <w:t>is</w:t>
      </w:r>
      <w:r>
        <w:rPr>
          <w:spacing w:val="-8"/>
        </w:rPr>
        <w:t> </w:t>
      </w:r>
      <w:r>
        <w:rPr/>
        <w:t>used</w:t>
      </w:r>
      <w:r>
        <w:rPr>
          <w:spacing w:val="-8"/>
        </w:rPr>
        <w:t> </w:t>
      </w:r>
      <w:r>
        <w:rPr/>
        <w:t>in</w:t>
      </w:r>
      <w:r>
        <w:rPr>
          <w:spacing w:val="-10"/>
        </w:rPr>
        <w:t> </w:t>
      </w:r>
      <w:r>
        <w:rPr/>
        <w:t>photo</w:t>
      </w:r>
      <w:r>
        <w:rPr>
          <w:spacing w:val="-9"/>
        </w:rPr>
        <w:t> </w:t>
      </w:r>
      <w:r>
        <w:rPr/>
        <w:t>technology,</w:t>
      </w:r>
      <w:r>
        <w:rPr>
          <w:spacing w:val="-7"/>
        </w:rPr>
        <w:t> </w:t>
      </w:r>
      <w:r>
        <w:rPr/>
        <w:t>ceramics</w:t>
      </w:r>
      <w:r>
        <w:rPr>
          <w:spacing w:val="-9"/>
        </w:rPr>
        <w:t> </w:t>
      </w:r>
      <w:r>
        <w:rPr/>
        <w:t>production,</w:t>
      </w:r>
      <w:r>
        <w:rPr>
          <w:spacing w:val="-7"/>
        </w:rPr>
        <w:t> </w:t>
      </w:r>
      <w:r>
        <w:rPr/>
        <w:t>the</w:t>
      </w:r>
      <w:r>
        <w:rPr>
          <w:spacing w:val="-9"/>
        </w:rPr>
        <w:t> </w:t>
      </w:r>
      <w:r>
        <w:rPr/>
        <w:t>glass</w:t>
      </w:r>
      <w:r>
        <w:rPr>
          <w:spacing w:val="-7"/>
        </w:rPr>
        <w:t> </w:t>
      </w:r>
      <w:r>
        <w:rPr/>
        <w:t>industry, the steel industry and in other sectors. The discoverer of selenium himself, Jöns Jakob Berzelius, pointed out multiple times that selenium could be poi- sonous</w:t>
      </w:r>
      <w:r>
        <w:rPr>
          <w:spacing w:val="-11"/>
        </w:rPr>
        <w:t> </w:t>
      </w:r>
      <w:r>
        <w:rPr/>
        <w:t>in</w:t>
      </w:r>
      <w:r>
        <w:rPr>
          <w:spacing w:val="-9"/>
        </w:rPr>
        <w:t> </w:t>
      </w:r>
      <w:r>
        <w:rPr/>
        <w:t>certain</w:t>
      </w:r>
      <w:r>
        <w:rPr>
          <w:spacing w:val="-9"/>
        </w:rPr>
        <w:t> </w:t>
      </w:r>
      <w:r>
        <w:rPr/>
        <w:t>quantities.</w:t>
      </w:r>
      <w:r>
        <w:rPr>
          <w:spacing w:val="-9"/>
        </w:rPr>
        <w:t> </w:t>
      </w:r>
      <w:r>
        <w:rPr/>
        <w:t>This</w:t>
      </w:r>
      <w:r>
        <w:rPr>
          <w:spacing w:val="-8"/>
        </w:rPr>
        <w:t> </w:t>
      </w:r>
      <w:r>
        <w:rPr/>
        <w:t>assumption,</w:t>
      </w:r>
      <w:r>
        <w:rPr>
          <w:spacing w:val="-9"/>
        </w:rPr>
        <w:t> </w:t>
      </w:r>
      <w:r>
        <w:rPr/>
        <w:t>and</w:t>
      </w:r>
      <w:r>
        <w:rPr>
          <w:spacing w:val="-10"/>
        </w:rPr>
        <w:t> </w:t>
      </w:r>
      <w:r>
        <w:rPr/>
        <w:t>observations</w:t>
      </w:r>
      <w:r>
        <w:rPr>
          <w:spacing w:val="-9"/>
        </w:rPr>
        <w:t> </w:t>
      </w:r>
      <w:r>
        <w:rPr/>
        <w:t>of</w:t>
      </w:r>
      <w:r>
        <w:rPr>
          <w:spacing w:val="-10"/>
        </w:rPr>
        <w:t> </w:t>
      </w:r>
      <w:r>
        <w:rPr/>
        <w:t>the</w:t>
      </w:r>
      <w:r>
        <w:rPr>
          <w:spacing w:val="-8"/>
        </w:rPr>
        <w:t> </w:t>
      </w:r>
      <w:r>
        <w:rPr/>
        <w:t>poison- ing of cattle which grazed on land with an enormously strong presence of se- lenium, initially led to enormous scepticism regarding the new trace element. Selenium was considered 'poisonous' and there was therefore no interest in impartial medical investigation into the substance.</w:t>
      </w:r>
    </w:p>
    <w:p>
      <w:pPr>
        <w:spacing w:after="0" w:line="276" w:lineRule="auto"/>
        <w:jc w:val="both"/>
        <w:sectPr>
          <w:pgSz w:w="14270" w:h="16850"/>
          <w:pgMar w:header="0" w:footer="1891" w:top="1340" w:bottom="2080" w:left="800" w:right="1280"/>
        </w:sectPr>
      </w:pPr>
    </w:p>
    <w:p>
      <w:pPr>
        <w:pStyle w:val="BodyText"/>
        <w:spacing w:line="276" w:lineRule="auto" w:before="74"/>
        <w:ind w:left="616" w:right="130"/>
        <w:jc w:val="both"/>
      </w:pPr>
      <w:r>
        <w:rPr/>
        <w:t>This situation changed drastically when analysis showed that there were far more regions in the world with a selenium deficit than a selenium surplus and it</w:t>
      </w:r>
      <w:r>
        <w:rPr>
          <w:spacing w:val="-7"/>
        </w:rPr>
        <w:t> </w:t>
      </w:r>
      <w:r>
        <w:rPr/>
        <w:t>was</w:t>
      </w:r>
      <w:r>
        <w:rPr>
          <w:spacing w:val="-4"/>
        </w:rPr>
        <w:t> </w:t>
      </w:r>
      <w:r>
        <w:rPr/>
        <w:t>also</w:t>
      </w:r>
      <w:r>
        <w:rPr>
          <w:spacing w:val="-6"/>
        </w:rPr>
        <w:t> </w:t>
      </w:r>
      <w:r>
        <w:rPr/>
        <w:t>revealed</w:t>
      </w:r>
      <w:r>
        <w:rPr>
          <w:spacing w:val="-6"/>
        </w:rPr>
        <w:t> </w:t>
      </w:r>
      <w:r>
        <w:rPr/>
        <w:t>that</w:t>
      </w:r>
      <w:r>
        <w:rPr>
          <w:spacing w:val="-8"/>
        </w:rPr>
        <w:t> </w:t>
      </w:r>
      <w:r>
        <w:rPr/>
        <w:t>people</w:t>
      </w:r>
      <w:r>
        <w:rPr>
          <w:spacing w:val="-8"/>
        </w:rPr>
        <w:t> </w:t>
      </w:r>
      <w:r>
        <w:rPr/>
        <w:t>and</w:t>
      </w:r>
      <w:r>
        <w:rPr>
          <w:spacing w:val="-5"/>
        </w:rPr>
        <w:t> </w:t>
      </w:r>
      <w:r>
        <w:rPr/>
        <w:t>animals</w:t>
      </w:r>
      <w:r>
        <w:rPr>
          <w:spacing w:val="-8"/>
        </w:rPr>
        <w:t> </w:t>
      </w:r>
      <w:r>
        <w:rPr/>
        <w:t>were</w:t>
      </w:r>
      <w:r>
        <w:rPr>
          <w:spacing w:val="-4"/>
        </w:rPr>
        <w:t> </w:t>
      </w:r>
      <w:r>
        <w:rPr/>
        <w:t>healthier</w:t>
      </w:r>
      <w:r>
        <w:rPr>
          <w:spacing w:val="-6"/>
        </w:rPr>
        <w:t> </w:t>
      </w:r>
      <w:r>
        <w:rPr/>
        <w:t>and</w:t>
      </w:r>
      <w:r>
        <w:rPr>
          <w:spacing w:val="-5"/>
        </w:rPr>
        <w:t> </w:t>
      </w:r>
      <w:r>
        <w:rPr/>
        <w:t>more</w:t>
      </w:r>
      <w:r>
        <w:rPr>
          <w:spacing w:val="-8"/>
        </w:rPr>
        <w:t> </w:t>
      </w:r>
      <w:r>
        <w:rPr/>
        <w:t>energetic in the regions with a slight selenium surplus, while people and animals in sele- nium-poor regions were less healthy and suffered from more illnesses. In</w:t>
      </w:r>
      <w:r>
        <w:rPr>
          <w:spacing w:val="-53"/>
        </w:rPr>
        <w:t> </w:t>
      </w:r>
      <w:r>
        <w:rPr/>
        <w:t>fact, numerous studies have shown that the number of people suffering from can- cer, circulatory diseases and other civilisation diseases is dramatically higher especially in selenium-poor regions, while in selenium-rich regions, on the other hand, the people remain healthy and energetic and also reach an above- average age!</w:t>
      </w:r>
    </w:p>
    <w:p>
      <w:pPr>
        <w:pStyle w:val="BodyText"/>
        <w:spacing w:line="276" w:lineRule="auto" w:before="240"/>
        <w:ind w:left="616" w:right="130"/>
        <w:jc w:val="both"/>
      </w:pPr>
      <w:r>
        <w:rPr/>
        <w:t>The scientists Schwarz and Foltz were able to demonstrate in 1957 that sele- nium is essential for the human organism, i.e. necessary for life. Selenium is a component</w:t>
      </w:r>
      <w:r>
        <w:rPr>
          <w:spacing w:val="-15"/>
        </w:rPr>
        <w:t> </w:t>
      </w:r>
      <w:r>
        <w:rPr/>
        <w:t>of</w:t>
      </w:r>
      <w:r>
        <w:rPr>
          <w:spacing w:val="-14"/>
        </w:rPr>
        <w:t> </w:t>
      </w:r>
      <w:r>
        <w:rPr/>
        <w:t>numerous</w:t>
      </w:r>
      <w:r>
        <w:rPr>
          <w:spacing w:val="-14"/>
        </w:rPr>
        <w:t> </w:t>
      </w:r>
      <w:r>
        <w:rPr/>
        <w:t>important</w:t>
      </w:r>
      <w:r>
        <w:rPr>
          <w:spacing w:val="-14"/>
        </w:rPr>
        <w:t> </w:t>
      </w:r>
      <w:r>
        <w:rPr/>
        <w:t>enzymes</w:t>
      </w:r>
      <w:r>
        <w:rPr>
          <w:spacing w:val="-13"/>
        </w:rPr>
        <w:t> </w:t>
      </w:r>
      <w:r>
        <w:rPr/>
        <w:t>in</w:t>
      </w:r>
      <w:r>
        <w:rPr>
          <w:spacing w:val="-14"/>
        </w:rPr>
        <w:t> </w:t>
      </w:r>
      <w:r>
        <w:rPr/>
        <w:t>our</w:t>
      </w:r>
      <w:r>
        <w:rPr>
          <w:spacing w:val="-14"/>
        </w:rPr>
        <w:t> </w:t>
      </w:r>
      <w:r>
        <w:rPr/>
        <w:t>bodies</w:t>
      </w:r>
      <w:r>
        <w:rPr>
          <w:spacing w:val="-14"/>
        </w:rPr>
        <w:t> </w:t>
      </w:r>
      <w:r>
        <w:rPr/>
        <w:t>and</w:t>
      </w:r>
      <w:r>
        <w:rPr>
          <w:spacing w:val="-14"/>
        </w:rPr>
        <w:t> </w:t>
      </w:r>
      <w:r>
        <w:rPr/>
        <w:t>thus</w:t>
      </w:r>
      <w:r>
        <w:rPr>
          <w:spacing w:val="-14"/>
        </w:rPr>
        <w:t> </w:t>
      </w:r>
      <w:r>
        <w:rPr/>
        <w:t>integrated into crucial physiological processes in the body. Gradually, further important tasks in the body were ascribed to selenium—this research continues to this day</w:t>
      </w:r>
      <w:r>
        <w:rPr>
          <w:spacing w:val="-11"/>
        </w:rPr>
        <w:t> </w:t>
      </w:r>
      <w:r>
        <w:rPr/>
        <w:t>but</w:t>
      </w:r>
      <w:r>
        <w:rPr>
          <w:spacing w:val="-11"/>
        </w:rPr>
        <w:t> </w:t>
      </w:r>
      <w:r>
        <w:rPr/>
        <w:t>has</w:t>
      </w:r>
      <w:r>
        <w:rPr>
          <w:spacing w:val="-9"/>
        </w:rPr>
        <w:t> </w:t>
      </w:r>
      <w:r>
        <w:rPr/>
        <w:t>already</w:t>
      </w:r>
      <w:r>
        <w:rPr>
          <w:spacing w:val="-11"/>
        </w:rPr>
        <w:t> </w:t>
      </w:r>
      <w:r>
        <w:rPr/>
        <w:t>revealed</w:t>
      </w:r>
      <w:r>
        <w:rPr>
          <w:spacing w:val="-11"/>
        </w:rPr>
        <w:t> </w:t>
      </w:r>
      <w:r>
        <w:rPr/>
        <w:t>highly</w:t>
      </w:r>
      <w:r>
        <w:rPr>
          <w:spacing w:val="-10"/>
        </w:rPr>
        <w:t> </w:t>
      </w:r>
      <w:r>
        <w:rPr/>
        <w:t>exciting</w:t>
      </w:r>
      <w:r>
        <w:rPr>
          <w:spacing w:val="-10"/>
        </w:rPr>
        <w:t> </w:t>
      </w:r>
      <w:r>
        <w:rPr/>
        <w:t>insights</w:t>
      </w:r>
      <w:r>
        <w:rPr>
          <w:spacing w:val="-10"/>
        </w:rPr>
        <w:t> </w:t>
      </w:r>
      <w:r>
        <w:rPr/>
        <w:t>and</w:t>
      </w:r>
      <w:r>
        <w:rPr>
          <w:spacing w:val="-9"/>
        </w:rPr>
        <w:t> </w:t>
      </w:r>
      <w:r>
        <w:rPr/>
        <w:t>makes</w:t>
      </w:r>
      <w:r>
        <w:rPr>
          <w:spacing w:val="-10"/>
        </w:rPr>
        <w:t> </w:t>
      </w:r>
      <w:r>
        <w:rPr/>
        <w:t>selenium</w:t>
      </w:r>
      <w:r>
        <w:rPr>
          <w:spacing w:val="-10"/>
        </w:rPr>
        <w:t> </w:t>
      </w:r>
      <w:r>
        <w:rPr/>
        <w:t>a</w:t>
      </w:r>
      <w:r>
        <w:rPr>
          <w:spacing w:val="-10"/>
        </w:rPr>
        <w:t> </w:t>
      </w:r>
      <w:r>
        <w:rPr/>
        <w:t>cru- cially important substance in the prevention and treatment of numerous dis- eases. Learn about these exciting details in the following pages, for example: that selenium strongly inhibits the emergence of cancer, heart attack and ar- thritis and has extended life by 175 % in animal studies. Be amazed at what selenium, as a true all-rounder, is capable of doing for your health,</w:t>
      </w:r>
      <w:r>
        <w:rPr>
          <w:spacing w:val="-13"/>
        </w:rPr>
        <w:t> </w:t>
      </w:r>
      <w:r>
        <w:rPr/>
        <w:t>too.</w:t>
      </w:r>
    </w:p>
    <w:p>
      <w:pPr>
        <w:pStyle w:val="BodyText"/>
        <w:spacing w:before="240"/>
        <w:ind w:left="616"/>
        <w:jc w:val="both"/>
      </w:pPr>
      <w:r>
        <w:rPr/>
        <w:t>Did you know that...</w:t>
      </w:r>
    </w:p>
    <w:p>
      <w:pPr>
        <w:pStyle w:val="ListParagraph"/>
        <w:numPr>
          <w:ilvl w:val="0"/>
          <w:numId w:val="108"/>
        </w:numPr>
        <w:tabs>
          <w:tab w:pos="1329" w:val="left" w:leader="none"/>
          <w:tab w:pos="1330" w:val="left" w:leader="none"/>
        </w:tabs>
        <w:spacing w:line="240" w:lineRule="auto" w:before="185" w:after="0"/>
        <w:ind w:left="1329" w:right="0" w:hanging="355"/>
        <w:jc w:val="left"/>
        <w:rPr>
          <w:sz w:val="38"/>
        </w:rPr>
      </w:pPr>
      <w:r>
        <w:rPr>
          <w:sz w:val="38"/>
        </w:rPr>
        <w:t>...</w:t>
      </w:r>
      <w:r>
        <w:rPr>
          <w:spacing w:val="-25"/>
          <w:sz w:val="38"/>
        </w:rPr>
        <w:t> </w:t>
      </w:r>
      <w:r>
        <w:rPr>
          <w:sz w:val="38"/>
        </w:rPr>
        <w:t>selenium</w:t>
      </w:r>
      <w:r>
        <w:rPr>
          <w:spacing w:val="-22"/>
          <w:sz w:val="38"/>
        </w:rPr>
        <w:t> </w:t>
      </w:r>
      <w:r>
        <w:rPr>
          <w:sz w:val="38"/>
        </w:rPr>
        <w:t>is</w:t>
      </w:r>
      <w:r>
        <w:rPr>
          <w:spacing w:val="-23"/>
          <w:sz w:val="38"/>
        </w:rPr>
        <w:t> </w:t>
      </w:r>
      <w:r>
        <w:rPr>
          <w:sz w:val="38"/>
        </w:rPr>
        <w:t>an</w:t>
      </w:r>
      <w:r>
        <w:rPr>
          <w:spacing w:val="-24"/>
          <w:sz w:val="38"/>
        </w:rPr>
        <w:t> </w:t>
      </w:r>
      <w:r>
        <w:rPr>
          <w:sz w:val="38"/>
        </w:rPr>
        <w:t>'essential'</w:t>
      </w:r>
      <w:r>
        <w:rPr>
          <w:spacing w:val="-23"/>
          <w:sz w:val="38"/>
        </w:rPr>
        <w:t> </w:t>
      </w:r>
      <w:r>
        <w:rPr>
          <w:sz w:val="38"/>
        </w:rPr>
        <w:t>trace</w:t>
      </w:r>
      <w:r>
        <w:rPr>
          <w:spacing w:val="-21"/>
          <w:sz w:val="38"/>
        </w:rPr>
        <w:t> </w:t>
      </w:r>
      <w:r>
        <w:rPr>
          <w:sz w:val="38"/>
        </w:rPr>
        <w:t>element,</w:t>
      </w:r>
      <w:r>
        <w:rPr>
          <w:spacing w:val="-22"/>
          <w:sz w:val="38"/>
        </w:rPr>
        <w:t> </w:t>
      </w:r>
      <w:r>
        <w:rPr>
          <w:sz w:val="38"/>
        </w:rPr>
        <w:t>which</w:t>
      </w:r>
      <w:r>
        <w:rPr>
          <w:spacing w:val="-21"/>
          <w:sz w:val="38"/>
        </w:rPr>
        <w:t> </w:t>
      </w:r>
      <w:r>
        <w:rPr>
          <w:sz w:val="38"/>
        </w:rPr>
        <w:t>is</w:t>
      </w:r>
      <w:r>
        <w:rPr>
          <w:spacing w:val="-24"/>
          <w:sz w:val="38"/>
        </w:rPr>
        <w:t> </w:t>
      </w:r>
      <w:r>
        <w:rPr>
          <w:sz w:val="38"/>
        </w:rPr>
        <w:t>to</w:t>
      </w:r>
      <w:r>
        <w:rPr>
          <w:spacing w:val="-22"/>
          <w:sz w:val="38"/>
        </w:rPr>
        <w:t> </w:t>
      </w:r>
      <w:r>
        <w:rPr>
          <w:sz w:val="38"/>
        </w:rPr>
        <w:t>say</w:t>
      </w:r>
      <w:r>
        <w:rPr>
          <w:spacing w:val="-21"/>
          <w:sz w:val="38"/>
        </w:rPr>
        <w:t> </w:t>
      </w:r>
      <w:r>
        <w:rPr>
          <w:sz w:val="38"/>
        </w:rPr>
        <w:t>that</w:t>
      </w:r>
      <w:r>
        <w:rPr>
          <w:spacing w:val="-23"/>
          <w:sz w:val="38"/>
        </w:rPr>
        <w:t> </w:t>
      </w:r>
      <w:r>
        <w:rPr>
          <w:sz w:val="38"/>
        </w:rPr>
        <w:t>it</w:t>
      </w:r>
      <w:r>
        <w:rPr>
          <w:spacing w:val="-23"/>
          <w:sz w:val="38"/>
        </w:rPr>
        <w:t> </w:t>
      </w:r>
      <w:r>
        <w:rPr>
          <w:sz w:val="38"/>
        </w:rPr>
        <w:t>is</w:t>
      </w:r>
      <w:r>
        <w:rPr>
          <w:spacing w:val="-23"/>
          <w:sz w:val="38"/>
        </w:rPr>
        <w:t> </w:t>
      </w:r>
      <w:r>
        <w:rPr>
          <w:sz w:val="38"/>
        </w:rPr>
        <w:t>necessary</w:t>
      </w:r>
    </w:p>
    <w:p>
      <w:pPr>
        <w:spacing w:after="0" w:line="240" w:lineRule="auto"/>
        <w:jc w:val="left"/>
        <w:rPr>
          <w:sz w:val="38"/>
        </w:rPr>
        <w:sectPr>
          <w:pgSz w:w="14270" w:h="16850"/>
          <w:pgMar w:header="0" w:footer="1891" w:top="1340" w:bottom="2080" w:left="800" w:right="1280"/>
        </w:sectPr>
      </w:pPr>
    </w:p>
    <w:p>
      <w:pPr>
        <w:pStyle w:val="BodyText"/>
        <w:spacing w:before="72"/>
        <w:ind w:left="1329"/>
      </w:pPr>
      <w:r>
        <w:rPr/>
        <w:t>for life and must be consumed through our diet?</w:t>
      </w:r>
    </w:p>
    <w:p>
      <w:pPr>
        <w:pStyle w:val="ListParagraph"/>
        <w:numPr>
          <w:ilvl w:val="0"/>
          <w:numId w:val="108"/>
        </w:numPr>
        <w:tabs>
          <w:tab w:pos="1330" w:val="left" w:leader="none"/>
        </w:tabs>
        <w:spacing w:line="276" w:lineRule="auto" w:before="184" w:after="0"/>
        <w:ind w:left="1329" w:right="141" w:hanging="355"/>
        <w:jc w:val="both"/>
        <w:rPr>
          <w:sz w:val="38"/>
        </w:rPr>
      </w:pPr>
      <w:r>
        <w:rPr>
          <w:sz w:val="38"/>
        </w:rPr>
        <w:t>...</w:t>
      </w:r>
      <w:r>
        <w:rPr>
          <w:spacing w:val="-14"/>
          <w:sz w:val="38"/>
        </w:rPr>
        <w:t> </w:t>
      </w:r>
      <w:r>
        <w:rPr>
          <w:sz w:val="38"/>
        </w:rPr>
        <w:t>selenium</w:t>
      </w:r>
      <w:r>
        <w:rPr>
          <w:spacing w:val="-12"/>
          <w:sz w:val="38"/>
        </w:rPr>
        <w:t> </w:t>
      </w:r>
      <w:r>
        <w:rPr>
          <w:sz w:val="38"/>
        </w:rPr>
        <w:t>is</w:t>
      </w:r>
      <w:r>
        <w:rPr>
          <w:spacing w:val="-13"/>
          <w:sz w:val="38"/>
        </w:rPr>
        <w:t> </w:t>
      </w:r>
      <w:r>
        <w:rPr>
          <w:sz w:val="38"/>
        </w:rPr>
        <w:t>an</w:t>
      </w:r>
      <w:r>
        <w:rPr>
          <w:spacing w:val="-12"/>
          <w:sz w:val="38"/>
        </w:rPr>
        <w:t> </w:t>
      </w:r>
      <w:r>
        <w:rPr>
          <w:sz w:val="38"/>
        </w:rPr>
        <w:t>important</w:t>
      </w:r>
      <w:r>
        <w:rPr>
          <w:spacing w:val="-12"/>
          <w:sz w:val="38"/>
        </w:rPr>
        <w:t> </w:t>
      </w:r>
      <w:r>
        <w:rPr>
          <w:sz w:val="38"/>
        </w:rPr>
        <w:t>component</w:t>
      </w:r>
      <w:r>
        <w:rPr>
          <w:spacing w:val="-12"/>
          <w:sz w:val="38"/>
        </w:rPr>
        <w:t> </w:t>
      </w:r>
      <w:r>
        <w:rPr>
          <w:sz w:val="38"/>
        </w:rPr>
        <w:t>of</w:t>
      </w:r>
      <w:r>
        <w:rPr>
          <w:spacing w:val="-11"/>
          <w:sz w:val="38"/>
        </w:rPr>
        <w:t> </w:t>
      </w:r>
      <w:r>
        <w:rPr>
          <w:sz w:val="38"/>
        </w:rPr>
        <w:t>enzymes</w:t>
      </w:r>
      <w:r>
        <w:rPr>
          <w:spacing w:val="-12"/>
          <w:sz w:val="38"/>
        </w:rPr>
        <w:t> </w:t>
      </w:r>
      <w:r>
        <w:rPr>
          <w:sz w:val="38"/>
        </w:rPr>
        <w:t>which</w:t>
      </w:r>
      <w:r>
        <w:rPr>
          <w:spacing w:val="-11"/>
          <w:sz w:val="38"/>
        </w:rPr>
        <w:t> </w:t>
      </w:r>
      <w:r>
        <w:rPr>
          <w:sz w:val="38"/>
        </w:rPr>
        <w:t>are</w:t>
      </w:r>
      <w:r>
        <w:rPr>
          <w:spacing w:val="-12"/>
          <w:sz w:val="38"/>
        </w:rPr>
        <w:t> </w:t>
      </w:r>
      <w:r>
        <w:rPr>
          <w:sz w:val="38"/>
        </w:rPr>
        <w:t>responsible for the activation of numerous hormones and metabolic</w:t>
      </w:r>
      <w:r>
        <w:rPr>
          <w:spacing w:val="-14"/>
          <w:sz w:val="38"/>
        </w:rPr>
        <w:t> </w:t>
      </w:r>
      <w:r>
        <w:rPr>
          <w:sz w:val="38"/>
        </w:rPr>
        <w:t>functions?</w:t>
      </w:r>
    </w:p>
    <w:p>
      <w:pPr>
        <w:pStyle w:val="ListParagraph"/>
        <w:numPr>
          <w:ilvl w:val="0"/>
          <w:numId w:val="108"/>
        </w:numPr>
        <w:tabs>
          <w:tab w:pos="1330" w:val="left" w:leader="none"/>
        </w:tabs>
        <w:spacing w:line="276" w:lineRule="auto" w:before="121" w:after="0"/>
        <w:ind w:left="1329" w:right="139" w:hanging="355"/>
        <w:jc w:val="both"/>
        <w:rPr>
          <w:sz w:val="38"/>
        </w:rPr>
      </w:pPr>
      <w:r>
        <w:rPr>
          <w:sz w:val="38"/>
        </w:rPr>
        <w:t>...we are constantly surrounded by innumerable toxins and that</w:t>
      </w:r>
      <w:r>
        <w:rPr>
          <w:spacing w:val="-32"/>
          <w:sz w:val="38"/>
        </w:rPr>
        <w:t> </w:t>
      </w:r>
      <w:r>
        <w:rPr>
          <w:sz w:val="38"/>
        </w:rPr>
        <w:t>selenium, as a component of protective enzymes, plays a crucial role in the detoxi- fication of the</w:t>
      </w:r>
      <w:r>
        <w:rPr>
          <w:spacing w:val="3"/>
          <w:sz w:val="38"/>
        </w:rPr>
        <w:t> </w:t>
      </w:r>
      <w:r>
        <w:rPr>
          <w:sz w:val="38"/>
        </w:rPr>
        <w:t>body?</w:t>
      </w:r>
    </w:p>
    <w:p>
      <w:pPr>
        <w:pStyle w:val="ListParagraph"/>
        <w:numPr>
          <w:ilvl w:val="0"/>
          <w:numId w:val="108"/>
        </w:numPr>
        <w:tabs>
          <w:tab w:pos="1330" w:val="left" w:leader="none"/>
        </w:tabs>
        <w:spacing w:line="276" w:lineRule="auto" w:before="119" w:after="0"/>
        <w:ind w:left="1329" w:right="134" w:hanging="355"/>
        <w:jc w:val="both"/>
        <w:rPr>
          <w:sz w:val="38"/>
        </w:rPr>
      </w:pPr>
      <w:r>
        <w:rPr>
          <w:sz w:val="38"/>
        </w:rPr>
        <w:t>...our</w:t>
      </w:r>
      <w:r>
        <w:rPr>
          <w:spacing w:val="-20"/>
          <w:sz w:val="38"/>
        </w:rPr>
        <w:t> </w:t>
      </w:r>
      <w:r>
        <w:rPr>
          <w:sz w:val="38"/>
        </w:rPr>
        <w:t>bodily</w:t>
      </w:r>
      <w:r>
        <w:rPr>
          <w:spacing w:val="-18"/>
          <w:sz w:val="38"/>
        </w:rPr>
        <w:t> </w:t>
      </w:r>
      <w:r>
        <w:rPr>
          <w:sz w:val="38"/>
        </w:rPr>
        <w:t>cells</w:t>
      </w:r>
      <w:r>
        <w:rPr>
          <w:spacing w:val="-19"/>
          <w:sz w:val="38"/>
        </w:rPr>
        <w:t> </w:t>
      </w:r>
      <w:r>
        <w:rPr>
          <w:sz w:val="38"/>
        </w:rPr>
        <w:t>are</w:t>
      </w:r>
      <w:r>
        <w:rPr>
          <w:spacing w:val="-16"/>
          <w:sz w:val="38"/>
        </w:rPr>
        <w:t> </w:t>
      </w:r>
      <w:r>
        <w:rPr>
          <w:sz w:val="38"/>
        </w:rPr>
        <w:t>attacked</w:t>
      </w:r>
      <w:r>
        <w:rPr>
          <w:spacing w:val="-16"/>
          <w:sz w:val="38"/>
        </w:rPr>
        <w:t> </w:t>
      </w:r>
      <w:r>
        <w:rPr>
          <w:sz w:val="38"/>
        </w:rPr>
        <w:t>around</w:t>
      </w:r>
      <w:r>
        <w:rPr>
          <w:spacing w:val="-16"/>
          <w:sz w:val="38"/>
        </w:rPr>
        <w:t> </w:t>
      </w:r>
      <w:r>
        <w:rPr>
          <w:sz w:val="38"/>
        </w:rPr>
        <w:t>10,000</w:t>
      </w:r>
      <w:r>
        <w:rPr>
          <w:spacing w:val="-17"/>
          <w:sz w:val="38"/>
        </w:rPr>
        <w:t> </w:t>
      </w:r>
      <w:r>
        <w:rPr>
          <w:sz w:val="38"/>
        </w:rPr>
        <w:t>times</w:t>
      </w:r>
      <w:r>
        <w:rPr>
          <w:spacing w:val="-16"/>
          <w:sz w:val="38"/>
        </w:rPr>
        <w:t> </w:t>
      </w:r>
      <w:r>
        <w:rPr>
          <w:sz w:val="38"/>
        </w:rPr>
        <w:t>per</w:t>
      </w:r>
      <w:r>
        <w:rPr>
          <w:spacing w:val="-19"/>
          <w:sz w:val="38"/>
        </w:rPr>
        <w:t> </w:t>
      </w:r>
      <w:r>
        <w:rPr>
          <w:sz w:val="38"/>
        </w:rPr>
        <w:t>day</w:t>
      </w:r>
      <w:r>
        <w:rPr>
          <w:spacing w:val="-17"/>
          <w:sz w:val="38"/>
        </w:rPr>
        <w:t> </w:t>
      </w:r>
      <w:r>
        <w:rPr>
          <w:sz w:val="38"/>
        </w:rPr>
        <w:t>by</w:t>
      </w:r>
      <w:r>
        <w:rPr>
          <w:spacing w:val="-18"/>
          <w:sz w:val="38"/>
        </w:rPr>
        <w:t> </w:t>
      </w:r>
      <w:r>
        <w:rPr>
          <w:sz w:val="38"/>
        </w:rPr>
        <w:t>free</w:t>
      </w:r>
      <w:r>
        <w:rPr>
          <w:spacing w:val="-20"/>
          <w:sz w:val="38"/>
        </w:rPr>
        <w:t> </w:t>
      </w:r>
      <w:r>
        <w:rPr>
          <w:sz w:val="38"/>
        </w:rPr>
        <w:t>radicals (caused by UV rays, environmental toxins, diet, stress, cigarettes), which makes us sick and causes us to age</w:t>
      </w:r>
      <w:r>
        <w:rPr>
          <w:spacing w:val="1"/>
          <w:sz w:val="38"/>
        </w:rPr>
        <w:t> </w:t>
      </w:r>
      <w:r>
        <w:rPr>
          <w:sz w:val="38"/>
        </w:rPr>
        <w:t>early?</w:t>
      </w:r>
    </w:p>
    <w:p>
      <w:pPr>
        <w:pStyle w:val="ListParagraph"/>
        <w:numPr>
          <w:ilvl w:val="0"/>
          <w:numId w:val="108"/>
        </w:numPr>
        <w:tabs>
          <w:tab w:pos="1329" w:val="left" w:leader="none"/>
          <w:tab w:pos="1330" w:val="left" w:leader="none"/>
        </w:tabs>
        <w:spacing w:line="240" w:lineRule="auto" w:before="122" w:after="0"/>
        <w:ind w:left="1329" w:right="0" w:hanging="355"/>
        <w:jc w:val="left"/>
        <w:rPr>
          <w:sz w:val="38"/>
        </w:rPr>
      </w:pPr>
      <w:r>
        <w:rPr>
          <w:sz w:val="38"/>
        </w:rPr>
        <w:t>... selenium, as a potent antioxidant, repels these voracious free</w:t>
      </w:r>
      <w:r>
        <w:rPr>
          <w:spacing w:val="-37"/>
          <w:sz w:val="38"/>
        </w:rPr>
        <w:t> </w:t>
      </w:r>
      <w:r>
        <w:rPr>
          <w:sz w:val="38"/>
        </w:rPr>
        <w:t>radicals?</w:t>
      </w:r>
    </w:p>
    <w:p>
      <w:pPr>
        <w:pStyle w:val="ListParagraph"/>
        <w:numPr>
          <w:ilvl w:val="0"/>
          <w:numId w:val="108"/>
        </w:numPr>
        <w:tabs>
          <w:tab w:pos="1329" w:val="left" w:leader="none"/>
          <w:tab w:pos="1330" w:val="left" w:leader="none"/>
        </w:tabs>
        <w:spacing w:line="240" w:lineRule="auto" w:before="184" w:after="0"/>
        <w:ind w:left="1329" w:right="0" w:hanging="355"/>
        <w:jc w:val="left"/>
        <w:rPr>
          <w:sz w:val="38"/>
        </w:rPr>
      </w:pPr>
      <w:r>
        <w:rPr>
          <w:sz w:val="38"/>
        </w:rPr>
        <w:t>... selenium protects us from stress caused by UV rays and</w:t>
      </w:r>
      <w:r>
        <w:rPr>
          <w:spacing w:val="-21"/>
          <w:sz w:val="38"/>
        </w:rPr>
        <w:t> </w:t>
      </w:r>
      <w:r>
        <w:rPr>
          <w:sz w:val="38"/>
        </w:rPr>
        <w:t>radiation?</w:t>
      </w:r>
    </w:p>
    <w:p>
      <w:pPr>
        <w:pStyle w:val="ListParagraph"/>
        <w:numPr>
          <w:ilvl w:val="0"/>
          <w:numId w:val="108"/>
        </w:numPr>
        <w:tabs>
          <w:tab w:pos="1330" w:val="left" w:leader="none"/>
        </w:tabs>
        <w:spacing w:line="276" w:lineRule="auto" w:before="185" w:after="0"/>
        <w:ind w:left="1329" w:right="133" w:hanging="355"/>
        <w:jc w:val="both"/>
        <w:rPr>
          <w:sz w:val="38"/>
        </w:rPr>
      </w:pPr>
      <w:r>
        <w:rPr>
          <w:sz w:val="38"/>
        </w:rPr>
        <w:t>... circulatory diseases are the Number One cause of death, but that sele- nium helps prevent these and can positively influence pre-existing cardi- ovascular disease?</w:t>
      </w:r>
    </w:p>
    <w:p>
      <w:pPr>
        <w:pStyle w:val="ListParagraph"/>
        <w:numPr>
          <w:ilvl w:val="0"/>
          <w:numId w:val="108"/>
        </w:numPr>
        <w:tabs>
          <w:tab w:pos="1330" w:val="left" w:leader="none"/>
        </w:tabs>
        <w:spacing w:line="276" w:lineRule="auto" w:before="119" w:after="0"/>
        <w:ind w:left="1329" w:right="140" w:hanging="355"/>
        <w:jc w:val="both"/>
        <w:rPr>
          <w:sz w:val="38"/>
        </w:rPr>
      </w:pPr>
      <w:r>
        <w:rPr>
          <w:sz w:val="38"/>
        </w:rPr>
        <w:t>... cancer is the second most common cause of death and that selenium has been successfully used as a supplementary treatment for decades by complementary oncologists?</w:t>
      </w:r>
    </w:p>
    <w:p>
      <w:pPr>
        <w:pStyle w:val="ListParagraph"/>
        <w:numPr>
          <w:ilvl w:val="0"/>
          <w:numId w:val="108"/>
        </w:numPr>
        <w:tabs>
          <w:tab w:pos="1330" w:val="left" w:leader="none"/>
        </w:tabs>
        <w:spacing w:line="276" w:lineRule="auto" w:before="121" w:after="0"/>
        <w:ind w:left="1329" w:right="142" w:hanging="355"/>
        <w:jc w:val="both"/>
        <w:rPr>
          <w:sz w:val="38"/>
        </w:rPr>
      </w:pPr>
      <w:r>
        <w:rPr>
          <w:sz w:val="38"/>
        </w:rPr>
        <w:t>... selenium can enhance the positive effects of chemotherapy for cancer by a factor of 10 and can relieve the side</w:t>
      </w:r>
      <w:r>
        <w:rPr>
          <w:spacing w:val="-4"/>
          <w:sz w:val="38"/>
        </w:rPr>
        <w:t> </w:t>
      </w:r>
      <w:r>
        <w:rPr>
          <w:sz w:val="38"/>
        </w:rPr>
        <w:t>effects?</w:t>
      </w:r>
    </w:p>
    <w:p>
      <w:pPr>
        <w:pStyle w:val="ListParagraph"/>
        <w:numPr>
          <w:ilvl w:val="0"/>
          <w:numId w:val="108"/>
        </w:numPr>
        <w:tabs>
          <w:tab w:pos="1330" w:val="left" w:leader="none"/>
        </w:tabs>
        <w:spacing w:line="276" w:lineRule="auto" w:before="119" w:after="0"/>
        <w:ind w:left="1329" w:right="143" w:hanging="355"/>
        <w:jc w:val="both"/>
        <w:rPr>
          <w:sz w:val="38"/>
        </w:rPr>
      </w:pPr>
      <w:r>
        <w:rPr>
          <w:sz w:val="38"/>
        </w:rPr>
        <w:t>... selenium optimises the effects of radiation therapy and limits the side effects?</w:t>
      </w:r>
    </w:p>
    <w:p>
      <w:pPr>
        <w:pStyle w:val="ListParagraph"/>
        <w:numPr>
          <w:ilvl w:val="0"/>
          <w:numId w:val="108"/>
        </w:numPr>
        <w:tabs>
          <w:tab w:pos="1329" w:val="left" w:leader="none"/>
          <w:tab w:pos="1330" w:val="left" w:leader="none"/>
        </w:tabs>
        <w:spacing w:line="240" w:lineRule="auto" w:before="120" w:after="0"/>
        <w:ind w:left="1329" w:right="0" w:hanging="355"/>
        <w:jc w:val="left"/>
        <w:rPr>
          <w:sz w:val="38"/>
        </w:rPr>
      </w:pPr>
      <w:r>
        <w:rPr>
          <w:sz w:val="38"/>
        </w:rPr>
        <w:t>...as</w:t>
      </w:r>
      <w:r>
        <w:rPr>
          <w:spacing w:val="41"/>
          <w:sz w:val="38"/>
        </w:rPr>
        <w:t> </w:t>
      </w:r>
      <w:r>
        <w:rPr>
          <w:sz w:val="38"/>
        </w:rPr>
        <w:t>a</w:t>
      </w:r>
      <w:r>
        <w:rPr>
          <w:spacing w:val="43"/>
          <w:sz w:val="38"/>
        </w:rPr>
        <w:t> </w:t>
      </w:r>
      <w:r>
        <w:rPr>
          <w:sz w:val="38"/>
        </w:rPr>
        <w:t>consequence,</w:t>
      </w:r>
      <w:r>
        <w:rPr>
          <w:spacing w:val="42"/>
          <w:sz w:val="38"/>
        </w:rPr>
        <w:t> </w:t>
      </w:r>
      <w:r>
        <w:rPr>
          <w:sz w:val="38"/>
        </w:rPr>
        <w:t>where</w:t>
      </w:r>
      <w:r>
        <w:rPr>
          <w:spacing w:val="44"/>
          <w:sz w:val="38"/>
        </w:rPr>
        <w:t> </w:t>
      </w:r>
      <w:r>
        <w:rPr>
          <w:sz w:val="38"/>
        </w:rPr>
        <w:t>the</w:t>
      </w:r>
      <w:r>
        <w:rPr>
          <w:spacing w:val="39"/>
          <w:sz w:val="38"/>
        </w:rPr>
        <w:t> </w:t>
      </w:r>
      <w:r>
        <w:rPr>
          <w:sz w:val="38"/>
        </w:rPr>
        <w:t>soil</w:t>
      </w:r>
      <w:r>
        <w:rPr>
          <w:spacing w:val="43"/>
          <w:sz w:val="38"/>
        </w:rPr>
        <w:t> </w:t>
      </w:r>
      <w:r>
        <w:rPr>
          <w:sz w:val="38"/>
        </w:rPr>
        <w:t>is</w:t>
      </w:r>
      <w:r>
        <w:rPr>
          <w:spacing w:val="41"/>
          <w:sz w:val="38"/>
        </w:rPr>
        <w:t> </w:t>
      </w:r>
      <w:r>
        <w:rPr>
          <w:sz w:val="38"/>
        </w:rPr>
        <w:t>low</w:t>
      </w:r>
      <w:r>
        <w:rPr>
          <w:spacing w:val="43"/>
          <w:sz w:val="38"/>
        </w:rPr>
        <w:t> </w:t>
      </w:r>
      <w:r>
        <w:rPr>
          <w:sz w:val="38"/>
        </w:rPr>
        <w:t>in</w:t>
      </w:r>
      <w:r>
        <w:rPr>
          <w:spacing w:val="41"/>
          <w:sz w:val="38"/>
        </w:rPr>
        <w:t> </w:t>
      </w:r>
      <w:r>
        <w:rPr>
          <w:sz w:val="38"/>
        </w:rPr>
        <w:t>selenium,</w:t>
      </w:r>
      <w:r>
        <w:rPr>
          <w:spacing w:val="45"/>
          <w:sz w:val="38"/>
        </w:rPr>
        <w:t> </w:t>
      </w:r>
      <w:r>
        <w:rPr>
          <w:sz w:val="38"/>
        </w:rPr>
        <w:t>a</w:t>
      </w:r>
      <w:r>
        <w:rPr>
          <w:spacing w:val="42"/>
          <w:sz w:val="38"/>
        </w:rPr>
        <w:t> </w:t>
      </w:r>
      <w:r>
        <w:rPr>
          <w:sz w:val="38"/>
        </w:rPr>
        <w:t>conspicuously</w:t>
      </w:r>
    </w:p>
    <w:p>
      <w:pPr>
        <w:spacing w:after="0" w:line="240" w:lineRule="auto"/>
        <w:jc w:val="left"/>
        <w:rPr>
          <w:sz w:val="38"/>
        </w:rPr>
        <w:sectPr>
          <w:pgSz w:w="14270" w:h="16850"/>
          <w:pgMar w:header="0" w:footer="1891" w:top="1340" w:bottom="2080" w:left="800" w:right="1280"/>
        </w:sectPr>
      </w:pPr>
    </w:p>
    <w:p>
      <w:pPr>
        <w:pStyle w:val="BodyText"/>
        <w:spacing w:line="276" w:lineRule="auto" w:before="72"/>
        <w:ind w:left="1329" w:right="136"/>
        <w:jc w:val="both"/>
      </w:pPr>
      <w:r>
        <w:rPr/>
        <w:t>large number of people die of diseases like heart attack and cancer and</w:t>
      </w:r>
      <w:r>
        <w:rPr>
          <w:spacing w:val="-44"/>
        </w:rPr>
        <w:t> </w:t>
      </w:r>
      <w:r>
        <w:rPr/>
        <w:t>in those places where the soil is rich in selenium, people grow old while re- maining energetic and</w:t>
      </w:r>
      <w:r>
        <w:rPr>
          <w:spacing w:val="2"/>
        </w:rPr>
        <w:t> </w:t>
      </w:r>
      <w:r>
        <w:rPr/>
        <w:t>cancer-free?</w:t>
      </w:r>
    </w:p>
    <w:p>
      <w:pPr>
        <w:pStyle w:val="ListParagraph"/>
        <w:numPr>
          <w:ilvl w:val="0"/>
          <w:numId w:val="108"/>
        </w:numPr>
        <w:tabs>
          <w:tab w:pos="1329" w:val="left" w:leader="none"/>
          <w:tab w:pos="1330" w:val="left" w:leader="none"/>
        </w:tabs>
        <w:spacing w:line="276" w:lineRule="auto" w:before="121" w:after="0"/>
        <w:ind w:left="1329" w:right="147" w:hanging="355"/>
        <w:jc w:val="left"/>
        <w:rPr>
          <w:sz w:val="38"/>
        </w:rPr>
      </w:pPr>
      <w:r>
        <w:rPr>
          <w:sz w:val="38"/>
        </w:rPr>
        <w:t>... selenium, in combination with vitamin E, has been able to increase</w:t>
      </w:r>
      <w:r>
        <w:rPr>
          <w:spacing w:val="-40"/>
          <w:sz w:val="38"/>
        </w:rPr>
        <w:t> </w:t>
      </w:r>
      <w:r>
        <w:rPr>
          <w:sz w:val="38"/>
        </w:rPr>
        <w:t>life expectancy by 175 %?</w:t>
      </w:r>
    </w:p>
    <w:p>
      <w:pPr>
        <w:pStyle w:val="ListParagraph"/>
        <w:numPr>
          <w:ilvl w:val="0"/>
          <w:numId w:val="108"/>
        </w:numPr>
        <w:tabs>
          <w:tab w:pos="1329" w:val="left" w:leader="none"/>
          <w:tab w:pos="1330" w:val="left" w:leader="none"/>
        </w:tabs>
        <w:spacing w:line="276" w:lineRule="auto" w:before="121" w:after="0"/>
        <w:ind w:left="1329" w:right="144" w:hanging="355"/>
        <w:jc w:val="left"/>
        <w:rPr>
          <w:sz w:val="38"/>
        </w:rPr>
      </w:pPr>
      <w:r>
        <w:rPr>
          <w:sz w:val="38"/>
        </w:rPr>
        <w:t>... selenium strengthens our immune systems and counteracts infections, and can thereby resist countless</w:t>
      </w:r>
      <w:r>
        <w:rPr>
          <w:spacing w:val="1"/>
          <w:sz w:val="38"/>
        </w:rPr>
        <w:t> </w:t>
      </w:r>
      <w:r>
        <w:rPr>
          <w:sz w:val="38"/>
        </w:rPr>
        <w:t>illnesses?</w:t>
      </w:r>
    </w:p>
    <w:p>
      <w:pPr>
        <w:pStyle w:val="ListParagraph"/>
        <w:numPr>
          <w:ilvl w:val="0"/>
          <w:numId w:val="108"/>
        </w:numPr>
        <w:tabs>
          <w:tab w:pos="1329" w:val="left" w:leader="none"/>
          <w:tab w:pos="1330" w:val="left" w:leader="none"/>
        </w:tabs>
        <w:spacing w:line="276" w:lineRule="auto" w:before="119" w:after="0"/>
        <w:ind w:left="1329" w:right="143" w:hanging="355"/>
        <w:jc w:val="left"/>
        <w:rPr>
          <w:sz w:val="38"/>
        </w:rPr>
      </w:pPr>
      <w:r>
        <w:rPr>
          <w:sz w:val="38"/>
        </w:rPr>
        <w:t>...our depleted soils are no longer able to provide the required amount of selenium in our diets, as defined by all medical</w:t>
      </w:r>
      <w:r>
        <w:rPr>
          <w:spacing w:val="-8"/>
          <w:sz w:val="38"/>
        </w:rPr>
        <w:t> </w:t>
      </w:r>
      <w:r>
        <w:rPr>
          <w:sz w:val="38"/>
        </w:rPr>
        <w:t>professionals?</w:t>
      </w:r>
    </w:p>
    <w:p>
      <w:pPr>
        <w:spacing w:after="0" w:line="276" w:lineRule="auto"/>
        <w:jc w:val="left"/>
        <w:rPr>
          <w:sz w:val="38"/>
        </w:rPr>
        <w:sectPr>
          <w:pgSz w:w="14270" w:h="16850"/>
          <w:pgMar w:header="0" w:footer="1891" w:top="1340" w:bottom="2080" w:left="800" w:right="1280"/>
        </w:sectPr>
      </w:pPr>
    </w:p>
    <w:p>
      <w:pPr>
        <w:pStyle w:val="Heading2"/>
        <w:spacing w:before="74"/>
        <w:ind w:left="616"/>
      </w:pPr>
      <w:r>
        <w:rPr/>
        <w:t>Effects of selenium</w:t>
      </w:r>
    </w:p>
    <w:p>
      <w:pPr>
        <w:pStyle w:val="BodyText"/>
        <w:spacing w:line="276" w:lineRule="auto" w:before="302"/>
        <w:ind w:left="616" w:right="131"/>
        <w:jc w:val="both"/>
      </w:pPr>
      <w:r>
        <w:rPr/>
        <w:t>Selenium,</w:t>
      </w:r>
      <w:r>
        <w:rPr>
          <w:spacing w:val="-11"/>
        </w:rPr>
        <w:t> </w:t>
      </w:r>
      <w:r>
        <w:rPr/>
        <w:t>as</w:t>
      </w:r>
      <w:r>
        <w:rPr>
          <w:spacing w:val="-12"/>
        </w:rPr>
        <w:t> </w:t>
      </w:r>
      <w:r>
        <w:rPr/>
        <w:t>an</w:t>
      </w:r>
      <w:r>
        <w:rPr>
          <w:spacing w:val="-14"/>
        </w:rPr>
        <w:t> </w:t>
      </w:r>
      <w:r>
        <w:rPr/>
        <w:t>essential</w:t>
      </w:r>
      <w:r>
        <w:rPr>
          <w:spacing w:val="-12"/>
        </w:rPr>
        <w:t> </w:t>
      </w:r>
      <w:r>
        <w:rPr/>
        <w:t>trace</w:t>
      </w:r>
      <w:r>
        <w:rPr>
          <w:spacing w:val="-11"/>
        </w:rPr>
        <w:t> </w:t>
      </w:r>
      <w:r>
        <w:rPr/>
        <w:t>element,</w:t>
      </w:r>
      <w:r>
        <w:rPr>
          <w:spacing w:val="-11"/>
        </w:rPr>
        <w:t> </w:t>
      </w:r>
      <w:r>
        <w:rPr/>
        <w:t>looks</w:t>
      </w:r>
      <w:r>
        <w:rPr>
          <w:spacing w:val="-14"/>
        </w:rPr>
        <w:t> </w:t>
      </w:r>
      <w:r>
        <w:rPr/>
        <w:t>after</w:t>
      </w:r>
      <w:r>
        <w:rPr>
          <w:spacing w:val="-11"/>
        </w:rPr>
        <w:t> </w:t>
      </w:r>
      <w:r>
        <w:rPr/>
        <w:t>essential</w:t>
      </w:r>
      <w:r>
        <w:rPr>
          <w:spacing w:val="-12"/>
        </w:rPr>
        <w:t> </w:t>
      </w:r>
      <w:r>
        <w:rPr/>
        <w:t>tasks</w:t>
      </w:r>
      <w:r>
        <w:rPr>
          <w:spacing w:val="-11"/>
        </w:rPr>
        <w:t> </w:t>
      </w:r>
      <w:r>
        <w:rPr/>
        <w:t>in</w:t>
      </w:r>
      <w:r>
        <w:rPr>
          <w:spacing w:val="-13"/>
        </w:rPr>
        <w:t> </w:t>
      </w:r>
      <w:r>
        <w:rPr/>
        <w:t>our</w:t>
      </w:r>
      <w:r>
        <w:rPr>
          <w:spacing w:val="-11"/>
        </w:rPr>
        <w:t> </w:t>
      </w:r>
      <w:r>
        <w:rPr/>
        <w:t>bodies and</w:t>
      </w:r>
      <w:r>
        <w:rPr>
          <w:spacing w:val="-12"/>
        </w:rPr>
        <w:t> </w:t>
      </w:r>
      <w:r>
        <w:rPr/>
        <w:t>is</w:t>
      </w:r>
      <w:r>
        <w:rPr>
          <w:spacing w:val="-12"/>
        </w:rPr>
        <w:t> </w:t>
      </w:r>
      <w:r>
        <w:rPr/>
        <w:t>an</w:t>
      </w:r>
      <w:r>
        <w:rPr>
          <w:spacing w:val="-11"/>
        </w:rPr>
        <w:t> </w:t>
      </w:r>
      <w:r>
        <w:rPr/>
        <w:t>important</w:t>
      </w:r>
      <w:r>
        <w:rPr>
          <w:spacing w:val="-12"/>
        </w:rPr>
        <w:t> </w:t>
      </w:r>
      <w:r>
        <w:rPr/>
        <w:t>component</w:t>
      </w:r>
      <w:r>
        <w:rPr>
          <w:spacing w:val="-14"/>
        </w:rPr>
        <w:t> </w:t>
      </w:r>
      <w:r>
        <w:rPr/>
        <w:t>of</w:t>
      </w:r>
      <w:r>
        <w:rPr>
          <w:spacing w:val="-11"/>
        </w:rPr>
        <w:t> </w:t>
      </w:r>
      <w:r>
        <w:rPr/>
        <w:t>enzymes</w:t>
      </w:r>
      <w:r>
        <w:rPr>
          <w:spacing w:val="-6"/>
        </w:rPr>
        <w:t> </w:t>
      </w:r>
      <w:r>
        <w:rPr/>
        <w:t>that</w:t>
      </w:r>
      <w:r>
        <w:rPr>
          <w:spacing w:val="-14"/>
        </w:rPr>
        <w:t> </w:t>
      </w:r>
      <w:r>
        <w:rPr/>
        <w:t>are</w:t>
      </w:r>
      <w:r>
        <w:rPr>
          <w:spacing w:val="-11"/>
        </w:rPr>
        <w:t> </w:t>
      </w:r>
      <w:r>
        <w:rPr/>
        <w:t>responsible</w:t>
      </w:r>
      <w:r>
        <w:rPr>
          <w:spacing w:val="-12"/>
        </w:rPr>
        <w:t> </w:t>
      </w:r>
      <w:r>
        <w:rPr/>
        <w:t>for</w:t>
      </w:r>
      <w:r>
        <w:rPr>
          <w:spacing w:val="-12"/>
        </w:rPr>
        <w:t> </w:t>
      </w:r>
      <w:r>
        <w:rPr/>
        <w:t>the</w:t>
      </w:r>
      <w:r>
        <w:rPr>
          <w:spacing w:val="-11"/>
        </w:rPr>
        <w:t> </w:t>
      </w:r>
      <w:r>
        <w:rPr/>
        <w:t>activa- tion of numerous hormones and metabolic functions via the liver, the</w:t>
      </w:r>
      <w:r>
        <w:rPr>
          <w:spacing w:val="-49"/>
        </w:rPr>
        <w:t> </w:t>
      </w:r>
      <w:r>
        <w:rPr/>
        <w:t>kidneys and the</w:t>
      </w:r>
      <w:r>
        <w:rPr>
          <w:spacing w:val="2"/>
        </w:rPr>
        <w:t> </w:t>
      </w:r>
      <w:r>
        <w:rPr/>
        <w:t>thyroid.</w:t>
      </w:r>
    </w:p>
    <w:p>
      <w:pPr>
        <w:pStyle w:val="Heading1"/>
        <w:spacing w:before="225"/>
        <w:ind w:left="616"/>
        <w:jc w:val="both"/>
      </w:pPr>
      <w:r>
        <w:rPr/>
        <w:t>General effects of selenium on our</w:t>
      </w:r>
      <w:r>
        <w:rPr>
          <w:spacing w:val="-70"/>
        </w:rPr>
        <w:t> </w:t>
      </w:r>
      <w:r>
        <w:rPr/>
        <w:t>bodies</w:t>
      </w:r>
    </w:p>
    <w:p>
      <w:pPr>
        <w:pStyle w:val="ListParagraph"/>
        <w:numPr>
          <w:ilvl w:val="0"/>
          <w:numId w:val="109"/>
        </w:numPr>
        <w:tabs>
          <w:tab w:pos="1037" w:val="left" w:leader="none"/>
        </w:tabs>
        <w:spacing w:line="240" w:lineRule="auto" w:before="260" w:after="0"/>
        <w:ind w:left="1036" w:right="0" w:hanging="360"/>
        <w:jc w:val="both"/>
        <w:rPr>
          <w:sz w:val="38"/>
        </w:rPr>
      </w:pPr>
      <w:r>
        <w:rPr>
          <w:sz w:val="38"/>
        </w:rPr>
        <w:t>protects the circulatory system</w:t>
      </w:r>
    </w:p>
    <w:p>
      <w:pPr>
        <w:pStyle w:val="ListParagraph"/>
        <w:numPr>
          <w:ilvl w:val="0"/>
          <w:numId w:val="109"/>
        </w:numPr>
        <w:tabs>
          <w:tab w:pos="1037" w:val="left" w:leader="none"/>
        </w:tabs>
        <w:spacing w:line="240" w:lineRule="auto" w:before="184" w:after="0"/>
        <w:ind w:left="1036" w:right="0" w:hanging="360"/>
        <w:jc w:val="both"/>
        <w:rPr>
          <w:sz w:val="38"/>
        </w:rPr>
      </w:pPr>
      <w:r>
        <w:rPr>
          <w:sz w:val="38"/>
        </w:rPr>
        <w:t>lowers blood</w:t>
      </w:r>
      <w:r>
        <w:rPr>
          <w:spacing w:val="1"/>
          <w:sz w:val="38"/>
        </w:rPr>
        <w:t> </w:t>
      </w:r>
      <w:r>
        <w:rPr>
          <w:sz w:val="38"/>
        </w:rPr>
        <w:t>pressure</w:t>
      </w:r>
    </w:p>
    <w:p>
      <w:pPr>
        <w:pStyle w:val="ListParagraph"/>
        <w:numPr>
          <w:ilvl w:val="0"/>
          <w:numId w:val="109"/>
        </w:numPr>
        <w:tabs>
          <w:tab w:pos="1037" w:val="left" w:leader="none"/>
        </w:tabs>
        <w:spacing w:line="240" w:lineRule="auto" w:before="183" w:after="0"/>
        <w:ind w:left="1036" w:right="0" w:hanging="360"/>
        <w:jc w:val="both"/>
        <w:rPr>
          <w:sz w:val="38"/>
        </w:rPr>
      </w:pPr>
      <w:r>
        <w:rPr>
          <w:sz w:val="38"/>
        </w:rPr>
        <w:t>antioxidant/cytoprotective</w:t>
      </w:r>
    </w:p>
    <w:p>
      <w:pPr>
        <w:pStyle w:val="ListParagraph"/>
        <w:numPr>
          <w:ilvl w:val="0"/>
          <w:numId w:val="109"/>
        </w:numPr>
        <w:tabs>
          <w:tab w:pos="1037" w:val="left" w:leader="none"/>
        </w:tabs>
        <w:spacing w:line="240" w:lineRule="auto" w:before="184" w:after="0"/>
        <w:ind w:left="1036" w:right="0" w:hanging="360"/>
        <w:jc w:val="both"/>
        <w:rPr>
          <w:sz w:val="38"/>
        </w:rPr>
      </w:pPr>
      <w:r>
        <w:rPr>
          <w:sz w:val="38"/>
        </w:rPr>
        <w:t>detoxifying (heavy metals like lead, cadmium, amalgam,</w:t>
      </w:r>
      <w:r>
        <w:rPr>
          <w:spacing w:val="-4"/>
          <w:sz w:val="38"/>
        </w:rPr>
        <w:t> </w:t>
      </w:r>
      <w:r>
        <w:rPr>
          <w:sz w:val="38"/>
        </w:rPr>
        <w:t>mercury)</w:t>
      </w:r>
    </w:p>
    <w:p>
      <w:pPr>
        <w:pStyle w:val="ListParagraph"/>
        <w:numPr>
          <w:ilvl w:val="0"/>
          <w:numId w:val="109"/>
        </w:numPr>
        <w:tabs>
          <w:tab w:pos="1037" w:val="left" w:leader="none"/>
        </w:tabs>
        <w:spacing w:line="240" w:lineRule="auto" w:before="186" w:after="0"/>
        <w:ind w:left="1036" w:right="0" w:hanging="360"/>
        <w:jc w:val="both"/>
        <w:rPr>
          <w:sz w:val="38"/>
        </w:rPr>
      </w:pPr>
      <w:r>
        <w:rPr>
          <w:sz w:val="38"/>
        </w:rPr>
        <w:t>anti-inflammatory</w:t>
      </w:r>
    </w:p>
    <w:p>
      <w:pPr>
        <w:pStyle w:val="ListParagraph"/>
        <w:numPr>
          <w:ilvl w:val="0"/>
          <w:numId w:val="109"/>
        </w:numPr>
        <w:tabs>
          <w:tab w:pos="1037" w:val="left" w:leader="none"/>
        </w:tabs>
        <w:spacing w:line="240" w:lineRule="auto" w:before="184" w:after="0"/>
        <w:ind w:left="1036" w:right="0" w:hanging="360"/>
        <w:jc w:val="both"/>
        <w:rPr>
          <w:sz w:val="38"/>
        </w:rPr>
      </w:pPr>
      <w:r>
        <w:rPr>
          <w:sz w:val="38"/>
        </w:rPr>
        <w:t>antiviral</w:t>
      </w:r>
    </w:p>
    <w:p>
      <w:pPr>
        <w:pStyle w:val="ListParagraph"/>
        <w:numPr>
          <w:ilvl w:val="0"/>
          <w:numId w:val="109"/>
        </w:numPr>
        <w:tabs>
          <w:tab w:pos="1037" w:val="left" w:leader="none"/>
        </w:tabs>
        <w:spacing w:line="240" w:lineRule="auto" w:before="184" w:after="0"/>
        <w:ind w:left="1036" w:right="0" w:hanging="360"/>
        <w:jc w:val="both"/>
        <w:rPr>
          <w:sz w:val="38"/>
        </w:rPr>
      </w:pPr>
      <w:r>
        <w:rPr>
          <w:sz w:val="38"/>
        </w:rPr>
        <w:t>antitumoural (prevents development of</w:t>
      </w:r>
      <w:r>
        <w:rPr>
          <w:spacing w:val="-2"/>
          <w:sz w:val="38"/>
        </w:rPr>
        <w:t> </w:t>
      </w:r>
      <w:r>
        <w:rPr>
          <w:sz w:val="38"/>
        </w:rPr>
        <w:t>cancer)</w:t>
      </w:r>
    </w:p>
    <w:p>
      <w:pPr>
        <w:pStyle w:val="ListParagraph"/>
        <w:numPr>
          <w:ilvl w:val="0"/>
          <w:numId w:val="109"/>
        </w:numPr>
        <w:tabs>
          <w:tab w:pos="1037" w:val="left" w:leader="none"/>
        </w:tabs>
        <w:spacing w:line="240" w:lineRule="auto" w:before="183" w:after="0"/>
        <w:ind w:left="1036" w:right="0" w:hanging="360"/>
        <w:jc w:val="both"/>
        <w:rPr>
          <w:sz w:val="38"/>
        </w:rPr>
      </w:pPr>
      <w:r>
        <w:rPr>
          <w:sz w:val="38"/>
        </w:rPr>
        <w:t>antimutagenic</w:t>
      </w:r>
    </w:p>
    <w:p>
      <w:pPr>
        <w:pStyle w:val="ListParagraph"/>
        <w:numPr>
          <w:ilvl w:val="0"/>
          <w:numId w:val="109"/>
        </w:numPr>
        <w:tabs>
          <w:tab w:pos="1037" w:val="left" w:leader="none"/>
        </w:tabs>
        <w:spacing w:line="240" w:lineRule="auto" w:before="184" w:after="0"/>
        <w:ind w:left="1036" w:right="0" w:hanging="360"/>
        <w:jc w:val="both"/>
        <w:rPr>
          <w:sz w:val="38"/>
        </w:rPr>
      </w:pPr>
      <w:r>
        <w:rPr>
          <w:sz w:val="38"/>
        </w:rPr>
        <w:t>supports the programmed cell death of deformed and abnormal</w:t>
      </w:r>
      <w:r>
        <w:rPr>
          <w:spacing w:val="-14"/>
          <w:sz w:val="38"/>
        </w:rPr>
        <w:t> </w:t>
      </w:r>
      <w:r>
        <w:rPr>
          <w:sz w:val="38"/>
        </w:rPr>
        <w:t>cells</w:t>
      </w:r>
    </w:p>
    <w:p>
      <w:pPr>
        <w:pStyle w:val="ListParagraph"/>
        <w:numPr>
          <w:ilvl w:val="0"/>
          <w:numId w:val="109"/>
        </w:numPr>
        <w:tabs>
          <w:tab w:pos="1037" w:val="left" w:leader="none"/>
        </w:tabs>
        <w:spacing w:line="240" w:lineRule="auto" w:before="186" w:after="0"/>
        <w:ind w:left="1036" w:right="0" w:hanging="360"/>
        <w:jc w:val="both"/>
        <w:rPr>
          <w:sz w:val="38"/>
        </w:rPr>
      </w:pPr>
      <w:r>
        <w:rPr>
          <w:sz w:val="38"/>
        </w:rPr>
        <w:t>supports the repair mechanisms of damaged DNA</w:t>
      </w:r>
      <w:r>
        <w:rPr>
          <w:spacing w:val="2"/>
          <w:sz w:val="38"/>
        </w:rPr>
        <w:t> </w:t>
      </w:r>
      <w:r>
        <w:rPr>
          <w:sz w:val="38"/>
        </w:rPr>
        <w:t>(genes)</w:t>
      </w:r>
    </w:p>
    <w:p>
      <w:pPr>
        <w:pStyle w:val="ListParagraph"/>
        <w:numPr>
          <w:ilvl w:val="0"/>
          <w:numId w:val="109"/>
        </w:numPr>
        <w:tabs>
          <w:tab w:pos="1037" w:val="left" w:leader="none"/>
        </w:tabs>
        <w:spacing w:line="240" w:lineRule="auto" w:before="184" w:after="0"/>
        <w:ind w:left="1036" w:right="0" w:hanging="360"/>
        <w:jc w:val="both"/>
        <w:rPr>
          <w:sz w:val="38"/>
        </w:rPr>
      </w:pPr>
      <w:r>
        <w:rPr>
          <w:sz w:val="38"/>
        </w:rPr>
        <w:t>life-extending</w:t>
      </w:r>
    </w:p>
    <w:p>
      <w:pPr>
        <w:pStyle w:val="ListParagraph"/>
        <w:numPr>
          <w:ilvl w:val="0"/>
          <w:numId w:val="109"/>
        </w:numPr>
        <w:tabs>
          <w:tab w:pos="1037" w:val="left" w:leader="none"/>
        </w:tabs>
        <w:spacing w:line="240" w:lineRule="auto" w:before="184" w:after="0"/>
        <w:ind w:left="1036" w:right="0" w:hanging="360"/>
        <w:jc w:val="both"/>
        <w:rPr>
          <w:sz w:val="38"/>
        </w:rPr>
      </w:pPr>
      <w:r>
        <w:rPr>
          <w:sz w:val="38"/>
        </w:rPr>
        <w:t>immune-modulating (strengthens the immune</w:t>
      </w:r>
      <w:r>
        <w:rPr>
          <w:spacing w:val="3"/>
          <w:sz w:val="38"/>
        </w:rPr>
        <w:t> </w:t>
      </w:r>
      <w:r>
        <w:rPr>
          <w:sz w:val="38"/>
        </w:rPr>
        <w:t>system)</w:t>
      </w:r>
    </w:p>
    <w:p>
      <w:pPr>
        <w:pStyle w:val="ListParagraph"/>
        <w:numPr>
          <w:ilvl w:val="0"/>
          <w:numId w:val="109"/>
        </w:numPr>
        <w:tabs>
          <w:tab w:pos="1037" w:val="left" w:leader="none"/>
        </w:tabs>
        <w:spacing w:line="240" w:lineRule="auto" w:before="183" w:after="0"/>
        <w:ind w:left="1036" w:right="0" w:hanging="360"/>
        <w:jc w:val="both"/>
        <w:rPr>
          <w:sz w:val="38"/>
        </w:rPr>
      </w:pPr>
      <w:r>
        <w:rPr>
          <w:sz w:val="38"/>
        </w:rPr>
        <w:t>liver-strengthening</w:t>
      </w:r>
    </w:p>
    <w:p>
      <w:pPr>
        <w:spacing w:after="0" w:line="240" w:lineRule="auto"/>
        <w:jc w:val="both"/>
        <w:rPr>
          <w:sz w:val="38"/>
        </w:rPr>
        <w:sectPr>
          <w:pgSz w:w="14270" w:h="16850"/>
          <w:pgMar w:header="0" w:footer="1891" w:top="1340" w:bottom="2080" w:left="800" w:right="1280"/>
        </w:sectPr>
      </w:pPr>
    </w:p>
    <w:p>
      <w:pPr>
        <w:pStyle w:val="ListParagraph"/>
        <w:numPr>
          <w:ilvl w:val="0"/>
          <w:numId w:val="109"/>
        </w:numPr>
        <w:tabs>
          <w:tab w:pos="1037" w:val="left" w:leader="none"/>
        </w:tabs>
        <w:spacing w:line="240" w:lineRule="auto" w:before="53" w:after="0"/>
        <w:ind w:left="1036" w:right="0" w:hanging="360"/>
        <w:jc w:val="both"/>
        <w:rPr>
          <w:sz w:val="38"/>
        </w:rPr>
      </w:pPr>
      <w:r>
        <w:rPr>
          <w:sz w:val="38"/>
        </w:rPr>
        <w:t>UV ray</w:t>
      </w:r>
      <w:r>
        <w:rPr>
          <w:spacing w:val="-1"/>
          <w:sz w:val="38"/>
        </w:rPr>
        <w:t> </w:t>
      </w:r>
      <w:r>
        <w:rPr>
          <w:sz w:val="38"/>
        </w:rPr>
        <w:t>protection</w:t>
      </w:r>
    </w:p>
    <w:p>
      <w:pPr>
        <w:pStyle w:val="ListParagraph"/>
        <w:numPr>
          <w:ilvl w:val="0"/>
          <w:numId w:val="109"/>
        </w:numPr>
        <w:tabs>
          <w:tab w:pos="1037" w:val="left" w:leader="none"/>
        </w:tabs>
        <w:spacing w:line="240" w:lineRule="auto" w:before="186" w:after="0"/>
        <w:ind w:left="1036" w:right="0" w:hanging="360"/>
        <w:jc w:val="both"/>
        <w:rPr>
          <w:sz w:val="38"/>
        </w:rPr>
      </w:pPr>
      <w:r>
        <w:rPr>
          <w:sz w:val="38"/>
        </w:rPr>
        <w:t>protection against radioactive</w:t>
      </w:r>
      <w:r>
        <w:rPr>
          <w:spacing w:val="-2"/>
          <w:sz w:val="38"/>
        </w:rPr>
        <w:t> </w:t>
      </w:r>
      <w:r>
        <w:rPr>
          <w:sz w:val="38"/>
        </w:rPr>
        <w:t>rays</w:t>
      </w:r>
    </w:p>
    <w:p>
      <w:pPr>
        <w:pStyle w:val="ListParagraph"/>
        <w:numPr>
          <w:ilvl w:val="0"/>
          <w:numId w:val="109"/>
        </w:numPr>
        <w:tabs>
          <w:tab w:pos="1037" w:val="left" w:leader="none"/>
        </w:tabs>
        <w:spacing w:line="240" w:lineRule="auto" w:before="184" w:after="0"/>
        <w:ind w:left="1036" w:right="0" w:hanging="360"/>
        <w:jc w:val="both"/>
        <w:rPr>
          <w:sz w:val="38"/>
        </w:rPr>
      </w:pPr>
      <w:r>
        <w:rPr>
          <w:sz w:val="38"/>
        </w:rPr>
        <w:t>aids sperm</w:t>
      </w:r>
      <w:r>
        <w:rPr>
          <w:spacing w:val="-1"/>
          <w:sz w:val="38"/>
        </w:rPr>
        <w:t> </w:t>
      </w:r>
      <w:r>
        <w:rPr>
          <w:sz w:val="38"/>
        </w:rPr>
        <w:t>maturation</w:t>
      </w:r>
    </w:p>
    <w:p>
      <w:pPr>
        <w:pStyle w:val="ListParagraph"/>
        <w:numPr>
          <w:ilvl w:val="0"/>
          <w:numId w:val="109"/>
        </w:numPr>
        <w:tabs>
          <w:tab w:pos="1037" w:val="left" w:leader="none"/>
        </w:tabs>
        <w:spacing w:line="240" w:lineRule="auto" w:before="184" w:after="0"/>
        <w:ind w:left="1036" w:right="0" w:hanging="360"/>
        <w:jc w:val="both"/>
        <w:rPr>
          <w:sz w:val="38"/>
        </w:rPr>
      </w:pPr>
      <w:r>
        <w:rPr>
          <w:sz w:val="38"/>
        </w:rPr>
        <w:t>protection against allergens</w:t>
      </w:r>
    </w:p>
    <w:p>
      <w:pPr>
        <w:pStyle w:val="Heading1"/>
        <w:spacing w:before="287"/>
        <w:ind w:left="616"/>
        <w:jc w:val="both"/>
      </w:pPr>
      <w:r>
        <w:rPr/>
        <w:t>Selenium's effect on the cardiovascular</w:t>
      </w:r>
      <w:r>
        <w:rPr>
          <w:spacing w:val="-69"/>
        </w:rPr>
        <w:t> </w:t>
      </w:r>
      <w:r>
        <w:rPr/>
        <w:t>system</w:t>
      </w:r>
    </w:p>
    <w:p>
      <w:pPr>
        <w:pStyle w:val="BodyText"/>
        <w:spacing w:line="276" w:lineRule="auto" w:before="297"/>
        <w:ind w:left="616" w:right="141"/>
        <w:jc w:val="both"/>
      </w:pPr>
      <w:r>
        <w:rPr/>
        <w:t>Selenium protects against the agglomeration of blood platelets and has a</w:t>
      </w:r>
      <w:r>
        <w:rPr>
          <w:spacing w:val="-56"/>
        </w:rPr>
        <w:t> </w:t>
      </w:r>
      <w:r>
        <w:rPr/>
        <w:t>posi- tive influence on our blood vessels. As a potent antioxidant, it protects the heart muscle cells from damage from various metabolic products and</w:t>
      </w:r>
      <w:r>
        <w:rPr>
          <w:spacing w:val="-46"/>
        </w:rPr>
        <w:t> </w:t>
      </w:r>
      <w:r>
        <w:rPr/>
        <w:t>normal- ises excessively high blood</w:t>
      </w:r>
      <w:r>
        <w:rPr>
          <w:spacing w:val="5"/>
        </w:rPr>
        <w:t> </w:t>
      </w:r>
      <w:r>
        <w:rPr/>
        <w:t>pressure.</w:t>
      </w:r>
    </w:p>
    <w:p>
      <w:pPr>
        <w:pStyle w:val="BodyText"/>
        <w:spacing w:line="276" w:lineRule="auto" w:before="242"/>
        <w:ind w:left="616" w:right="130"/>
        <w:jc w:val="both"/>
      </w:pPr>
      <w:r>
        <w:rPr/>
        <w:t>Our</w:t>
      </w:r>
      <w:r>
        <w:rPr>
          <w:spacing w:val="-26"/>
        </w:rPr>
        <w:t> </w:t>
      </w:r>
      <w:r>
        <w:rPr/>
        <w:t>heart</w:t>
      </w:r>
      <w:r>
        <w:rPr>
          <w:spacing w:val="-26"/>
        </w:rPr>
        <w:t> </w:t>
      </w:r>
      <w:r>
        <w:rPr/>
        <w:t>also</w:t>
      </w:r>
      <w:r>
        <w:rPr>
          <w:spacing w:val="-25"/>
        </w:rPr>
        <w:t> </w:t>
      </w:r>
      <w:r>
        <w:rPr/>
        <w:t>possesses</w:t>
      </w:r>
      <w:r>
        <w:rPr>
          <w:spacing w:val="-25"/>
        </w:rPr>
        <w:t> </w:t>
      </w:r>
      <w:r>
        <w:rPr/>
        <w:t>a</w:t>
      </w:r>
      <w:r>
        <w:rPr>
          <w:spacing w:val="-27"/>
        </w:rPr>
        <w:t> </w:t>
      </w:r>
      <w:r>
        <w:rPr/>
        <w:t>so-called</w:t>
      </w:r>
      <w:r>
        <w:rPr>
          <w:spacing w:val="-26"/>
        </w:rPr>
        <w:t> </w:t>
      </w:r>
      <w:r>
        <w:rPr/>
        <w:t>'autonomous</w:t>
      </w:r>
      <w:r>
        <w:rPr>
          <w:spacing w:val="-23"/>
        </w:rPr>
        <w:t> </w:t>
      </w:r>
      <w:r>
        <w:rPr/>
        <w:t>electrical</w:t>
      </w:r>
      <w:r>
        <w:rPr>
          <w:spacing w:val="-26"/>
        </w:rPr>
        <w:t> </w:t>
      </w:r>
      <w:r>
        <w:rPr/>
        <w:t>conduction</w:t>
      </w:r>
      <w:r>
        <w:rPr>
          <w:spacing w:val="-25"/>
        </w:rPr>
        <w:t> </w:t>
      </w:r>
      <w:r>
        <w:rPr/>
        <w:t>system', its</w:t>
      </w:r>
      <w:r>
        <w:rPr>
          <w:spacing w:val="-19"/>
        </w:rPr>
        <w:t> </w:t>
      </w:r>
      <w:r>
        <w:rPr/>
        <w:t>own</w:t>
      </w:r>
      <w:r>
        <w:rPr>
          <w:spacing w:val="-18"/>
        </w:rPr>
        <w:t> </w:t>
      </w:r>
      <w:r>
        <w:rPr/>
        <w:t>stimulation</w:t>
      </w:r>
      <w:r>
        <w:rPr>
          <w:spacing w:val="-18"/>
        </w:rPr>
        <w:t> </w:t>
      </w:r>
      <w:r>
        <w:rPr/>
        <w:t>system</w:t>
      </w:r>
      <w:r>
        <w:rPr>
          <w:spacing w:val="-18"/>
        </w:rPr>
        <w:t> </w:t>
      </w:r>
      <w:r>
        <w:rPr/>
        <w:t>which</w:t>
      </w:r>
      <w:r>
        <w:rPr>
          <w:spacing w:val="-21"/>
        </w:rPr>
        <w:t> </w:t>
      </w:r>
      <w:r>
        <w:rPr/>
        <w:t>ensures</w:t>
      </w:r>
      <w:r>
        <w:rPr>
          <w:spacing w:val="-18"/>
        </w:rPr>
        <w:t> </w:t>
      </w:r>
      <w:r>
        <w:rPr/>
        <w:t>that</w:t>
      </w:r>
      <w:r>
        <w:rPr>
          <w:spacing w:val="-19"/>
        </w:rPr>
        <w:t> </w:t>
      </w:r>
      <w:r>
        <w:rPr/>
        <w:t>the</w:t>
      </w:r>
      <w:r>
        <w:rPr>
          <w:spacing w:val="-19"/>
        </w:rPr>
        <w:t> </w:t>
      </w:r>
      <w:r>
        <w:rPr/>
        <w:t>heart</w:t>
      </w:r>
      <w:r>
        <w:rPr>
          <w:spacing w:val="-19"/>
        </w:rPr>
        <w:t> </w:t>
      </w:r>
      <w:r>
        <w:rPr/>
        <w:t>continues</w:t>
      </w:r>
      <w:r>
        <w:rPr>
          <w:spacing w:val="-19"/>
        </w:rPr>
        <w:t> </w:t>
      </w:r>
      <w:r>
        <w:rPr/>
        <w:t>beating</w:t>
      </w:r>
      <w:r>
        <w:rPr>
          <w:spacing w:val="-19"/>
        </w:rPr>
        <w:t> </w:t>
      </w:r>
      <w:r>
        <w:rPr/>
        <w:t>even outside</w:t>
      </w:r>
      <w:r>
        <w:rPr>
          <w:spacing w:val="-19"/>
        </w:rPr>
        <w:t> </w:t>
      </w:r>
      <w:r>
        <w:rPr/>
        <w:t>of</w:t>
      </w:r>
      <w:r>
        <w:rPr>
          <w:spacing w:val="-19"/>
        </w:rPr>
        <w:t> </w:t>
      </w:r>
      <w:r>
        <w:rPr/>
        <w:t>the</w:t>
      </w:r>
      <w:r>
        <w:rPr>
          <w:spacing w:val="-17"/>
        </w:rPr>
        <w:t> </w:t>
      </w:r>
      <w:r>
        <w:rPr/>
        <w:t>body.</w:t>
      </w:r>
      <w:r>
        <w:rPr>
          <w:spacing w:val="-18"/>
        </w:rPr>
        <w:t> </w:t>
      </w:r>
      <w:r>
        <w:rPr/>
        <w:t>The</w:t>
      </w:r>
      <w:r>
        <w:rPr>
          <w:spacing w:val="-17"/>
        </w:rPr>
        <w:t> </w:t>
      </w:r>
      <w:r>
        <w:rPr/>
        <w:t>sinus</w:t>
      </w:r>
      <w:r>
        <w:rPr>
          <w:spacing w:val="-19"/>
        </w:rPr>
        <w:t> </w:t>
      </w:r>
      <w:r>
        <w:rPr/>
        <w:t>nodes</w:t>
      </w:r>
      <w:r>
        <w:rPr>
          <w:spacing w:val="-18"/>
        </w:rPr>
        <w:t> </w:t>
      </w:r>
      <w:r>
        <w:rPr/>
        <w:t>function</w:t>
      </w:r>
      <w:r>
        <w:rPr>
          <w:spacing w:val="-17"/>
        </w:rPr>
        <w:t> </w:t>
      </w:r>
      <w:r>
        <w:rPr/>
        <w:t>as</w:t>
      </w:r>
      <w:r>
        <w:rPr>
          <w:spacing w:val="-19"/>
        </w:rPr>
        <w:t> </w:t>
      </w:r>
      <w:r>
        <w:rPr/>
        <w:t>a</w:t>
      </w:r>
      <w:r>
        <w:rPr>
          <w:spacing w:val="-19"/>
        </w:rPr>
        <w:t> </w:t>
      </w:r>
      <w:r>
        <w:rPr/>
        <w:t>kind</w:t>
      </w:r>
      <w:r>
        <w:rPr>
          <w:spacing w:val="-19"/>
        </w:rPr>
        <w:t> </w:t>
      </w:r>
      <w:r>
        <w:rPr/>
        <w:t>of</w:t>
      </w:r>
      <w:r>
        <w:rPr>
          <w:spacing w:val="-18"/>
        </w:rPr>
        <w:t> </w:t>
      </w:r>
      <w:r>
        <w:rPr/>
        <w:t>pacemaker</w:t>
      </w:r>
      <w:r>
        <w:rPr>
          <w:spacing w:val="-18"/>
        </w:rPr>
        <w:t> </w:t>
      </w:r>
      <w:r>
        <w:rPr/>
        <w:t>and</w:t>
      </w:r>
      <w:r>
        <w:rPr>
          <w:spacing w:val="-19"/>
        </w:rPr>
        <w:t> </w:t>
      </w:r>
      <w:r>
        <w:rPr/>
        <w:t>send 60-80 electromagnetic impulses per minute to the heart muscle, which then contracts</w:t>
      </w:r>
      <w:r>
        <w:rPr>
          <w:spacing w:val="-1"/>
        </w:rPr>
        <w:t> </w:t>
      </w:r>
      <w:r>
        <w:rPr/>
        <w:t>accordingly.</w:t>
      </w:r>
    </w:p>
    <w:p>
      <w:pPr>
        <w:pStyle w:val="BodyText"/>
        <w:spacing w:line="276" w:lineRule="auto" w:before="240"/>
        <w:ind w:left="616" w:right="136"/>
        <w:jc w:val="both"/>
      </w:pPr>
      <w:r>
        <w:rPr/>
        <w:t>Selenium supports nerve stimulation in the area of the sinus nodes. On the other</w:t>
      </w:r>
      <w:r>
        <w:rPr>
          <w:spacing w:val="-12"/>
        </w:rPr>
        <w:t> </w:t>
      </w:r>
      <w:r>
        <w:rPr/>
        <w:t>hand,</w:t>
      </w:r>
      <w:r>
        <w:rPr>
          <w:spacing w:val="-12"/>
        </w:rPr>
        <w:t> </w:t>
      </w:r>
      <w:r>
        <w:rPr/>
        <w:t>selenium,</w:t>
      </w:r>
      <w:r>
        <w:rPr>
          <w:spacing w:val="-11"/>
        </w:rPr>
        <w:t> </w:t>
      </w:r>
      <w:r>
        <w:rPr/>
        <w:t>with</w:t>
      </w:r>
      <w:r>
        <w:rPr>
          <w:spacing w:val="-12"/>
        </w:rPr>
        <w:t> </w:t>
      </w:r>
      <w:r>
        <w:rPr/>
        <w:t>its</w:t>
      </w:r>
      <w:r>
        <w:rPr>
          <w:spacing w:val="-12"/>
        </w:rPr>
        <w:t> </w:t>
      </w:r>
      <w:r>
        <w:rPr/>
        <w:t>metalloid</w:t>
      </w:r>
      <w:r>
        <w:rPr>
          <w:spacing w:val="-13"/>
        </w:rPr>
        <w:t> </w:t>
      </w:r>
      <w:r>
        <w:rPr/>
        <w:t>properties,</w:t>
      </w:r>
      <w:r>
        <w:rPr>
          <w:spacing w:val="-10"/>
        </w:rPr>
        <w:t> </w:t>
      </w:r>
      <w:r>
        <w:rPr/>
        <w:t>lowers</w:t>
      </w:r>
      <w:r>
        <w:rPr>
          <w:spacing w:val="-12"/>
        </w:rPr>
        <w:t> </w:t>
      </w:r>
      <w:r>
        <w:rPr/>
        <w:t>electrical</w:t>
      </w:r>
      <w:r>
        <w:rPr>
          <w:spacing w:val="-12"/>
        </w:rPr>
        <w:t> </w:t>
      </w:r>
      <w:r>
        <w:rPr/>
        <w:t>resistance, which generally optimises the control of all impulses in the body within the nerve pathways, including the electromagnetic impulses of the sinus nodes in the heart</w:t>
      </w:r>
      <w:r>
        <w:rPr>
          <w:spacing w:val="1"/>
        </w:rPr>
        <w:t> </w:t>
      </w:r>
      <w:r>
        <w:rPr/>
        <w:t>muscle.</w:t>
      </w:r>
    </w:p>
    <w:p>
      <w:pPr>
        <w:spacing w:after="0" w:line="276" w:lineRule="auto"/>
        <w:jc w:val="both"/>
        <w:sectPr>
          <w:footerReference w:type="default" r:id="rId339"/>
          <w:pgSz w:w="14270" w:h="16850"/>
          <w:pgMar w:footer="1891" w:header="0" w:top="1360" w:bottom="2080" w:left="800" w:right="1280"/>
          <w:pgNumType w:start="1410"/>
        </w:sectPr>
      </w:pPr>
    </w:p>
    <w:p>
      <w:pPr>
        <w:pStyle w:val="BodyText"/>
        <w:rPr>
          <w:sz w:val="20"/>
        </w:rPr>
      </w:pPr>
    </w:p>
    <w:p>
      <w:pPr>
        <w:pStyle w:val="BodyText"/>
        <w:spacing w:before="2"/>
        <w:rPr>
          <w:sz w:val="18"/>
        </w:rPr>
      </w:pPr>
    </w:p>
    <w:p>
      <w:pPr>
        <w:pStyle w:val="Heading1"/>
        <w:spacing w:line="261" w:lineRule="auto" w:before="99"/>
        <w:ind w:left="616" w:right="144"/>
        <w:jc w:val="both"/>
      </w:pPr>
      <w:r>
        <w:rPr/>
        <w:t>Antioxidant</w:t>
      </w:r>
      <w:r>
        <w:rPr>
          <w:spacing w:val="-56"/>
        </w:rPr>
        <w:t> </w:t>
      </w:r>
      <w:r>
        <w:rPr/>
        <w:t>effect</w:t>
      </w:r>
      <w:r>
        <w:rPr>
          <w:spacing w:val="-56"/>
        </w:rPr>
        <w:t> </w:t>
      </w:r>
      <w:r>
        <w:rPr/>
        <w:t>of</w:t>
      </w:r>
      <w:r>
        <w:rPr>
          <w:spacing w:val="-55"/>
        </w:rPr>
        <w:t> </w:t>
      </w:r>
      <w:r>
        <w:rPr/>
        <w:t>the</w:t>
      </w:r>
      <w:r>
        <w:rPr>
          <w:spacing w:val="-55"/>
        </w:rPr>
        <w:t> </w:t>
      </w:r>
      <w:r>
        <w:rPr/>
        <w:t>selenium</w:t>
      </w:r>
      <w:r>
        <w:rPr>
          <w:spacing w:val="-56"/>
        </w:rPr>
        <w:t> </w:t>
      </w:r>
      <w:r>
        <w:rPr/>
        <w:t>enzyme</w:t>
      </w:r>
      <w:r>
        <w:rPr>
          <w:spacing w:val="-56"/>
        </w:rPr>
        <w:t> </w:t>
      </w:r>
      <w:r>
        <w:rPr/>
        <w:t>'glutathione</w:t>
      </w:r>
      <w:r>
        <w:rPr>
          <w:spacing w:val="-55"/>
        </w:rPr>
        <w:t> </w:t>
      </w:r>
      <w:r>
        <w:rPr/>
        <w:t>peroxidase'</w:t>
      </w:r>
      <w:r>
        <w:rPr>
          <w:spacing w:val="-56"/>
        </w:rPr>
        <w:t> </w:t>
      </w:r>
      <w:r>
        <w:rPr/>
        <w:t>on our bodies</w:t>
      </w:r>
    </w:p>
    <w:p>
      <w:pPr>
        <w:pStyle w:val="BodyText"/>
        <w:spacing w:line="276" w:lineRule="auto" w:before="258"/>
        <w:ind w:left="616" w:right="132"/>
        <w:jc w:val="both"/>
      </w:pPr>
      <w:r>
        <w:rPr/>
        <w:t>As a highly potent antioxidant, the selenium enzyme named 'glutathione pe- roxidase' protects our bodily cells against the attacks of free radicals which at- tack our approximately 37,2 trillion body cells about 10,000 times per day and thus</w:t>
      </w:r>
      <w:r>
        <w:rPr>
          <w:spacing w:val="-21"/>
        </w:rPr>
        <w:t> </w:t>
      </w:r>
      <w:r>
        <w:rPr/>
        <w:t>lead</w:t>
      </w:r>
      <w:r>
        <w:rPr>
          <w:spacing w:val="-22"/>
        </w:rPr>
        <w:t> </w:t>
      </w:r>
      <w:r>
        <w:rPr/>
        <w:t>to</w:t>
      </w:r>
      <w:r>
        <w:rPr>
          <w:spacing w:val="-21"/>
        </w:rPr>
        <w:t> </w:t>
      </w:r>
      <w:r>
        <w:rPr/>
        <w:t>numerous</w:t>
      </w:r>
      <w:r>
        <w:rPr>
          <w:spacing w:val="-20"/>
        </w:rPr>
        <w:t> </w:t>
      </w:r>
      <w:r>
        <w:rPr/>
        <w:t>illnesses</w:t>
      </w:r>
      <w:r>
        <w:rPr>
          <w:spacing w:val="-21"/>
        </w:rPr>
        <w:t> </w:t>
      </w:r>
      <w:r>
        <w:rPr/>
        <w:t>and</w:t>
      </w:r>
      <w:r>
        <w:rPr>
          <w:spacing w:val="-21"/>
        </w:rPr>
        <w:t> </w:t>
      </w:r>
      <w:r>
        <w:rPr/>
        <w:t>premature</w:t>
      </w:r>
      <w:r>
        <w:rPr>
          <w:spacing w:val="-20"/>
        </w:rPr>
        <w:t> </w:t>
      </w:r>
      <w:r>
        <w:rPr/>
        <w:t>ageing</w:t>
      </w:r>
      <w:r>
        <w:rPr>
          <w:spacing w:val="-21"/>
        </w:rPr>
        <w:t> </w:t>
      </w:r>
      <w:r>
        <w:rPr/>
        <w:t>(including</w:t>
      </w:r>
      <w:r>
        <w:rPr>
          <w:spacing w:val="-20"/>
        </w:rPr>
        <w:t> </w:t>
      </w:r>
      <w:r>
        <w:rPr/>
        <w:t>cancer).</w:t>
      </w:r>
      <w:r>
        <w:rPr>
          <w:spacing w:val="-21"/>
        </w:rPr>
        <w:t> </w:t>
      </w:r>
      <w:r>
        <w:rPr/>
        <w:t>These voracious little particles emerge due to, among other reasons, environmental stress, diet and in our own normal metabolic</w:t>
      </w:r>
      <w:r>
        <w:rPr>
          <w:spacing w:val="-5"/>
        </w:rPr>
        <w:t> </w:t>
      </w:r>
      <w:r>
        <w:rPr/>
        <w:t>processes.</w:t>
      </w:r>
    </w:p>
    <w:p>
      <w:pPr>
        <w:pStyle w:val="BodyText"/>
        <w:spacing w:line="276" w:lineRule="auto" w:before="241"/>
        <w:ind w:left="616" w:right="136"/>
        <w:jc w:val="both"/>
      </w:pPr>
      <w:r>
        <w:rPr/>
        <w:t>The selenium enzyme 'glutathione peroxidase' transforms the attack-happy free</w:t>
      </w:r>
      <w:r>
        <w:rPr>
          <w:spacing w:val="-6"/>
        </w:rPr>
        <w:t> </w:t>
      </w:r>
      <w:r>
        <w:rPr/>
        <w:t>radicals</w:t>
      </w:r>
      <w:r>
        <w:rPr>
          <w:spacing w:val="-7"/>
        </w:rPr>
        <w:t> </w:t>
      </w:r>
      <w:r>
        <w:rPr/>
        <w:t>into</w:t>
      </w:r>
      <w:r>
        <w:rPr>
          <w:spacing w:val="-6"/>
        </w:rPr>
        <w:t> </w:t>
      </w:r>
      <w:r>
        <w:rPr/>
        <w:t>harmless</w:t>
      </w:r>
      <w:r>
        <w:rPr>
          <w:spacing w:val="-6"/>
        </w:rPr>
        <w:t> </w:t>
      </w:r>
      <w:r>
        <w:rPr/>
        <w:t>derivates</w:t>
      </w:r>
      <w:r>
        <w:rPr>
          <w:spacing w:val="-6"/>
        </w:rPr>
        <w:t> </w:t>
      </w:r>
      <w:r>
        <w:rPr/>
        <w:t>and</w:t>
      </w:r>
      <w:r>
        <w:rPr>
          <w:spacing w:val="-7"/>
        </w:rPr>
        <w:t> </w:t>
      </w:r>
      <w:r>
        <w:rPr/>
        <w:t>can</w:t>
      </w:r>
      <w:r>
        <w:rPr>
          <w:spacing w:val="-6"/>
        </w:rPr>
        <w:t> </w:t>
      </w:r>
      <w:r>
        <w:rPr/>
        <w:t>thus</w:t>
      </w:r>
      <w:r>
        <w:rPr>
          <w:spacing w:val="-9"/>
        </w:rPr>
        <w:t> </w:t>
      </w:r>
      <w:r>
        <w:rPr/>
        <w:t>protect</w:t>
      </w:r>
      <w:r>
        <w:rPr>
          <w:spacing w:val="-7"/>
        </w:rPr>
        <w:t> </w:t>
      </w:r>
      <w:r>
        <w:rPr/>
        <w:t>our</w:t>
      </w:r>
      <w:r>
        <w:rPr>
          <w:spacing w:val="-7"/>
        </w:rPr>
        <w:t> </w:t>
      </w:r>
      <w:r>
        <w:rPr/>
        <w:t>cells</w:t>
      </w:r>
      <w:r>
        <w:rPr>
          <w:spacing w:val="-9"/>
        </w:rPr>
        <w:t> </w:t>
      </w:r>
      <w:r>
        <w:rPr/>
        <w:t>from</w:t>
      </w:r>
      <w:r>
        <w:rPr>
          <w:spacing w:val="-7"/>
        </w:rPr>
        <w:t> </w:t>
      </w:r>
      <w:r>
        <w:rPr/>
        <w:t>some- thing even</w:t>
      </w:r>
      <w:r>
        <w:rPr>
          <w:spacing w:val="1"/>
        </w:rPr>
        <w:t> </w:t>
      </w:r>
      <w:r>
        <w:rPr/>
        <w:t>worse!</w:t>
      </w:r>
    </w:p>
    <w:p>
      <w:pPr>
        <w:pStyle w:val="Heading1"/>
        <w:ind w:left="616"/>
        <w:jc w:val="both"/>
      </w:pPr>
      <w:r>
        <w:rPr>
          <w:w w:val="95"/>
        </w:rPr>
        <w:t>Detoxifying effect of</w:t>
      </w:r>
      <w:r>
        <w:rPr>
          <w:spacing w:val="-17"/>
          <w:w w:val="95"/>
        </w:rPr>
        <w:t> </w:t>
      </w:r>
      <w:r>
        <w:rPr>
          <w:w w:val="95"/>
        </w:rPr>
        <w:t>selenium</w:t>
      </w:r>
    </w:p>
    <w:p>
      <w:pPr>
        <w:pStyle w:val="BodyText"/>
        <w:spacing w:line="276" w:lineRule="auto" w:before="299"/>
        <w:ind w:left="616" w:right="135"/>
        <w:jc w:val="both"/>
      </w:pPr>
      <w:r>
        <w:rPr/>
        <w:t>As</w:t>
      </w:r>
      <w:r>
        <w:rPr>
          <w:spacing w:val="-24"/>
        </w:rPr>
        <w:t> </w:t>
      </w:r>
      <w:r>
        <w:rPr/>
        <w:t>a</w:t>
      </w:r>
      <w:r>
        <w:rPr>
          <w:spacing w:val="-26"/>
        </w:rPr>
        <w:t> </w:t>
      </w:r>
      <w:r>
        <w:rPr/>
        <w:t>component</w:t>
      </w:r>
      <w:r>
        <w:rPr>
          <w:spacing w:val="-28"/>
        </w:rPr>
        <w:t> </w:t>
      </w:r>
      <w:r>
        <w:rPr/>
        <w:t>of</w:t>
      </w:r>
      <w:r>
        <w:rPr>
          <w:spacing w:val="-24"/>
        </w:rPr>
        <w:t> </w:t>
      </w:r>
      <w:r>
        <w:rPr/>
        <w:t>important</w:t>
      </w:r>
      <w:r>
        <w:rPr>
          <w:spacing w:val="-25"/>
        </w:rPr>
        <w:t> </w:t>
      </w:r>
      <w:r>
        <w:rPr/>
        <w:t>protective</w:t>
      </w:r>
      <w:r>
        <w:rPr>
          <w:spacing w:val="-25"/>
        </w:rPr>
        <w:t> </w:t>
      </w:r>
      <w:r>
        <w:rPr/>
        <w:t>enzymes,</w:t>
      </w:r>
      <w:r>
        <w:rPr>
          <w:spacing w:val="-24"/>
        </w:rPr>
        <w:t> </w:t>
      </w:r>
      <w:r>
        <w:rPr/>
        <w:t>selenium</w:t>
      </w:r>
      <w:r>
        <w:rPr>
          <w:spacing w:val="-25"/>
        </w:rPr>
        <w:t> </w:t>
      </w:r>
      <w:r>
        <w:rPr/>
        <w:t>plays</w:t>
      </w:r>
      <w:r>
        <w:rPr>
          <w:spacing w:val="-25"/>
        </w:rPr>
        <w:t> </w:t>
      </w:r>
      <w:r>
        <w:rPr/>
        <w:t>an</w:t>
      </w:r>
      <w:r>
        <w:rPr>
          <w:spacing w:val="-25"/>
        </w:rPr>
        <w:t> </w:t>
      </w:r>
      <w:r>
        <w:rPr/>
        <w:t>important role in the detoxification of the body. It binds toxic heavy metals like lead</w:t>
      </w:r>
      <w:r>
        <w:rPr>
          <w:spacing w:val="-59"/>
        </w:rPr>
        <w:t> </w:t>
      </w:r>
      <w:r>
        <w:rPr/>
        <w:t>and cadmium, heavily present in automobile exhaust, and forms defensive mecha- nisms</w:t>
      </w:r>
      <w:r>
        <w:rPr>
          <w:spacing w:val="-12"/>
        </w:rPr>
        <w:t> </w:t>
      </w:r>
      <w:r>
        <w:rPr/>
        <w:t>against</w:t>
      </w:r>
      <w:r>
        <w:rPr>
          <w:spacing w:val="-12"/>
        </w:rPr>
        <w:t> </w:t>
      </w:r>
      <w:r>
        <w:rPr/>
        <w:t>the</w:t>
      </w:r>
      <w:r>
        <w:rPr>
          <w:spacing w:val="-11"/>
        </w:rPr>
        <w:t> </w:t>
      </w:r>
      <w:r>
        <w:rPr/>
        <w:t>destructive</w:t>
      </w:r>
      <w:r>
        <w:rPr>
          <w:spacing w:val="-12"/>
        </w:rPr>
        <w:t> </w:t>
      </w:r>
      <w:r>
        <w:rPr/>
        <w:t>effects</w:t>
      </w:r>
      <w:r>
        <w:rPr>
          <w:spacing w:val="-12"/>
        </w:rPr>
        <w:t> </w:t>
      </w:r>
      <w:r>
        <w:rPr/>
        <w:t>of</w:t>
      </w:r>
      <w:r>
        <w:rPr>
          <w:spacing w:val="-14"/>
        </w:rPr>
        <w:t> </w:t>
      </w:r>
      <w:r>
        <w:rPr/>
        <w:t>zinc,</w:t>
      </w:r>
      <w:r>
        <w:rPr>
          <w:spacing w:val="-13"/>
        </w:rPr>
        <w:t> </w:t>
      </w:r>
      <w:r>
        <w:rPr/>
        <w:t>mercury,</w:t>
      </w:r>
      <w:r>
        <w:rPr>
          <w:spacing w:val="-11"/>
        </w:rPr>
        <w:t> </w:t>
      </w:r>
      <w:r>
        <w:rPr/>
        <w:t>tin,</w:t>
      </w:r>
      <w:r>
        <w:rPr>
          <w:spacing w:val="-13"/>
        </w:rPr>
        <w:t> </w:t>
      </w:r>
      <w:r>
        <w:rPr/>
        <w:t>arsenic</w:t>
      </w:r>
      <w:r>
        <w:rPr>
          <w:spacing w:val="-15"/>
        </w:rPr>
        <w:t> </w:t>
      </w:r>
      <w:r>
        <w:rPr/>
        <w:t>and</w:t>
      </w:r>
      <w:r>
        <w:rPr>
          <w:spacing w:val="-12"/>
        </w:rPr>
        <w:t> </w:t>
      </w:r>
      <w:r>
        <w:rPr/>
        <w:t>cobalt</w:t>
      </w:r>
      <w:r>
        <w:rPr>
          <w:spacing w:val="-13"/>
        </w:rPr>
        <w:t> </w:t>
      </w:r>
      <w:r>
        <w:rPr/>
        <w:t>as well as amalgam in tooth</w:t>
      </w:r>
      <w:r>
        <w:rPr>
          <w:spacing w:val="2"/>
        </w:rPr>
        <w:t> </w:t>
      </w:r>
      <w:r>
        <w:rPr/>
        <w:t>fillings.</w:t>
      </w:r>
    </w:p>
    <w:p>
      <w:pPr>
        <w:pStyle w:val="BodyText"/>
        <w:spacing w:line="276" w:lineRule="auto" w:before="240"/>
        <w:ind w:left="616" w:right="138"/>
        <w:jc w:val="both"/>
      </w:pPr>
      <w:r>
        <w:rPr/>
        <w:t>In addition, selenium encourages the breakdown of harmful substances in the body</w:t>
      </w:r>
      <w:r>
        <w:rPr>
          <w:spacing w:val="-9"/>
        </w:rPr>
        <w:t> </w:t>
      </w:r>
      <w:r>
        <w:rPr/>
        <w:t>and</w:t>
      </w:r>
      <w:r>
        <w:rPr>
          <w:spacing w:val="-9"/>
        </w:rPr>
        <w:t> </w:t>
      </w:r>
      <w:r>
        <w:rPr/>
        <w:t>has</w:t>
      </w:r>
      <w:r>
        <w:rPr>
          <w:spacing w:val="-8"/>
        </w:rPr>
        <w:t> </w:t>
      </w:r>
      <w:r>
        <w:rPr/>
        <w:t>a</w:t>
      </w:r>
      <w:r>
        <w:rPr>
          <w:spacing w:val="-13"/>
        </w:rPr>
        <w:t> </w:t>
      </w:r>
      <w:r>
        <w:rPr/>
        <w:t>strengthening</w:t>
      </w:r>
      <w:r>
        <w:rPr>
          <w:spacing w:val="-8"/>
        </w:rPr>
        <w:t> </w:t>
      </w:r>
      <w:r>
        <w:rPr/>
        <w:t>effect</w:t>
      </w:r>
      <w:r>
        <w:rPr>
          <w:spacing w:val="-9"/>
        </w:rPr>
        <w:t> </w:t>
      </w:r>
      <w:r>
        <w:rPr/>
        <w:t>on</w:t>
      </w:r>
      <w:r>
        <w:rPr>
          <w:spacing w:val="-8"/>
        </w:rPr>
        <w:t> </w:t>
      </w:r>
      <w:r>
        <w:rPr/>
        <w:t>the</w:t>
      </w:r>
      <w:r>
        <w:rPr>
          <w:spacing w:val="-10"/>
        </w:rPr>
        <w:t> </w:t>
      </w:r>
      <w:r>
        <w:rPr/>
        <w:t>liver,</w:t>
      </w:r>
      <w:r>
        <w:rPr>
          <w:spacing w:val="-11"/>
        </w:rPr>
        <w:t> </w:t>
      </w:r>
      <w:r>
        <w:rPr/>
        <w:t>which,</w:t>
      </w:r>
      <w:r>
        <w:rPr>
          <w:spacing w:val="-7"/>
        </w:rPr>
        <w:t> </w:t>
      </w:r>
      <w:r>
        <w:rPr/>
        <w:t>as</w:t>
      </w:r>
      <w:r>
        <w:rPr>
          <w:spacing w:val="-10"/>
        </w:rPr>
        <w:t> </w:t>
      </w:r>
      <w:r>
        <w:rPr/>
        <w:t>we</w:t>
      </w:r>
      <w:r>
        <w:rPr>
          <w:spacing w:val="-10"/>
        </w:rPr>
        <w:t> </w:t>
      </w:r>
      <w:r>
        <w:rPr/>
        <w:t>know,</w:t>
      </w:r>
      <w:r>
        <w:rPr>
          <w:spacing w:val="-8"/>
        </w:rPr>
        <w:t> </w:t>
      </w:r>
      <w:r>
        <w:rPr/>
        <w:t>functions as </w:t>
      </w:r>
      <w:r>
        <w:rPr>
          <w:i/>
        </w:rPr>
        <w:t>the </w:t>
      </w:r>
      <w:r>
        <w:rPr/>
        <w:t>detoxifying organ per se in our</w:t>
      </w:r>
      <w:r>
        <w:rPr>
          <w:spacing w:val="-2"/>
        </w:rPr>
        <w:t> </w:t>
      </w:r>
      <w:r>
        <w:rPr/>
        <w:t>bodies.</w:t>
      </w:r>
    </w:p>
    <w:p>
      <w:pPr>
        <w:spacing w:after="0" w:line="276" w:lineRule="auto"/>
        <w:jc w:val="both"/>
        <w:sectPr>
          <w:pgSz w:w="14270" w:h="16850"/>
          <w:pgMar w:header="0" w:footer="1891" w:top="1600" w:bottom="2080" w:left="800" w:right="1280"/>
        </w:sectPr>
      </w:pPr>
    </w:p>
    <w:p>
      <w:pPr>
        <w:pStyle w:val="Heading1"/>
        <w:spacing w:before="77"/>
        <w:ind w:left="616"/>
      </w:pPr>
      <w:r>
        <w:rPr/>
        <w:t>Anti-inflammatory effect of selenium</w:t>
      </w:r>
    </w:p>
    <w:p>
      <w:pPr>
        <w:pStyle w:val="BodyText"/>
        <w:spacing w:line="276" w:lineRule="auto" w:before="299"/>
        <w:ind w:left="616" w:right="132"/>
        <w:jc w:val="both"/>
      </w:pPr>
      <w:r>
        <w:rPr/>
        <w:t>Selenium minimises the production of cytokines and prostanoids, which are considered the precursors of inflammatory reactions. It also supports the im- mune system in its struggle against intruders (bacteria, viruses, etc.) and thus renders the use of inflammatory substances for their elimination unnecessary. Selenium also protects healthy body cells against the free radicals that emerge in the process of inflammation.</w:t>
      </w:r>
    </w:p>
    <w:p>
      <w:pPr>
        <w:pStyle w:val="Heading1"/>
        <w:spacing w:before="223"/>
        <w:ind w:left="616"/>
      </w:pPr>
      <w:r>
        <w:rPr/>
        <w:t>Antitumoural effect of selenium</w:t>
      </w:r>
    </w:p>
    <w:p>
      <w:pPr>
        <w:pStyle w:val="BodyText"/>
        <w:spacing w:line="276" w:lineRule="auto" w:before="300"/>
        <w:ind w:left="616"/>
      </w:pPr>
      <w:r>
        <w:rPr/>
        <w:t>The antitumoural effect of selenium is highly diverse and can primarily be at- tributed to the following mechanisms:</w:t>
      </w:r>
    </w:p>
    <w:p>
      <w:pPr>
        <w:pStyle w:val="ListParagraph"/>
        <w:numPr>
          <w:ilvl w:val="1"/>
          <w:numId w:val="109"/>
        </w:numPr>
        <w:tabs>
          <w:tab w:pos="1319" w:val="left" w:leader="none"/>
          <w:tab w:pos="1320" w:val="left" w:leader="none"/>
        </w:tabs>
        <w:spacing w:line="273" w:lineRule="auto" w:before="199" w:after="0"/>
        <w:ind w:left="1319" w:right="158" w:hanging="357"/>
        <w:jc w:val="left"/>
        <w:rPr>
          <w:sz w:val="38"/>
        </w:rPr>
      </w:pPr>
      <w:r>
        <w:rPr>
          <w:sz w:val="38"/>
        </w:rPr>
        <w:t>Selenium boosts the immune system. In this process, the NK cells (natu- ral killer cells) which attack the tumour cells are activated and produce antibodies more</w:t>
      </w:r>
      <w:r>
        <w:rPr>
          <w:spacing w:val="1"/>
          <w:sz w:val="38"/>
        </w:rPr>
        <w:t> </w:t>
      </w:r>
      <w:r>
        <w:rPr>
          <w:sz w:val="38"/>
        </w:rPr>
        <w:t>intensively.</w:t>
      </w:r>
    </w:p>
    <w:p>
      <w:pPr>
        <w:pStyle w:val="ListParagraph"/>
        <w:numPr>
          <w:ilvl w:val="1"/>
          <w:numId w:val="109"/>
        </w:numPr>
        <w:tabs>
          <w:tab w:pos="1319" w:val="left" w:leader="none"/>
          <w:tab w:pos="1320" w:val="left" w:leader="none"/>
        </w:tabs>
        <w:spacing w:line="273" w:lineRule="auto" w:before="132" w:after="0"/>
        <w:ind w:left="1319" w:right="315" w:hanging="357"/>
        <w:jc w:val="left"/>
        <w:rPr>
          <w:sz w:val="38"/>
        </w:rPr>
      </w:pPr>
      <w:r>
        <w:rPr>
          <w:sz w:val="38"/>
        </w:rPr>
        <w:t>Selenium decreases the number of surface molecules on the cancer cells and 'marks' these for the NK cells, which discover and destroy cancer cells.</w:t>
      </w:r>
    </w:p>
    <w:p>
      <w:pPr>
        <w:pStyle w:val="ListParagraph"/>
        <w:numPr>
          <w:ilvl w:val="1"/>
          <w:numId w:val="109"/>
        </w:numPr>
        <w:tabs>
          <w:tab w:pos="1319" w:val="left" w:leader="none"/>
          <w:tab w:pos="1320" w:val="left" w:leader="none"/>
        </w:tabs>
        <w:spacing w:line="273" w:lineRule="auto" w:before="132" w:after="0"/>
        <w:ind w:left="1319" w:right="632" w:hanging="357"/>
        <w:jc w:val="left"/>
        <w:rPr>
          <w:sz w:val="38"/>
        </w:rPr>
      </w:pPr>
      <w:r>
        <w:rPr>
          <w:sz w:val="38"/>
        </w:rPr>
        <w:t>Selenium inhibits the growth of tumour cells via direct interference in their metabolism.</w:t>
      </w:r>
    </w:p>
    <w:p>
      <w:pPr>
        <w:pStyle w:val="ListParagraph"/>
        <w:numPr>
          <w:ilvl w:val="1"/>
          <w:numId w:val="109"/>
        </w:numPr>
        <w:tabs>
          <w:tab w:pos="1319" w:val="left" w:leader="none"/>
          <w:tab w:pos="1320" w:val="left" w:leader="none"/>
        </w:tabs>
        <w:spacing w:line="240" w:lineRule="auto" w:before="127" w:after="0"/>
        <w:ind w:left="1319" w:right="0" w:hanging="357"/>
        <w:jc w:val="left"/>
        <w:rPr>
          <w:sz w:val="38"/>
        </w:rPr>
      </w:pPr>
      <w:r>
        <w:rPr>
          <w:sz w:val="38"/>
        </w:rPr>
        <w:t>Selenium neutralises cell toxins.</w:t>
      </w:r>
    </w:p>
    <w:p>
      <w:pPr>
        <w:pStyle w:val="ListParagraph"/>
        <w:numPr>
          <w:ilvl w:val="1"/>
          <w:numId w:val="109"/>
        </w:numPr>
        <w:tabs>
          <w:tab w:pos="1319" w:val="left" w:leader="none"/>
          <w:tab w:pos="1320" w:val="left" w:leader="none"/>
        </w:tabs>
        <w:spacing w:line="240" w:lineRule="auto" w:before="184" w:after="0"/>
        <w:ind w:left="1319" w:right="0" w:hanging="357"/>
        <w:jc w:val="left"/>
        <w:rPr>
          <w:sz w:val="38"/>
        </w:rPr>
      </w:pPr>
      <w:r>
        <w:rPr>
          <w:sz w:val="38"/>
        </w:rPr>
        <w:t>Selenium neutralises the attacking free</w:t>
      </w:r>
      <w:r>
        <w:rPr>
          <w:spacing w:val="2"/>
          <w:sz w:val="38"/>
        </w:rPr>
        <w:t> </w:t>
      </w:r>
      <w:r>
        <w:rPr>
          <w:sz w:val="38"/>
        </w:rPr>
        <w:t>radicals.</w:t>
      </w:r>
    </w:p>
    <w:p>
      <w:pPr>
        <w:pStyle w:val="ListParagraph"/>
        <w:numPr>
          <w:ilvl w:val="1"/>
          <w:numId w:val="109"/>
        </w:numPr>
        <w:tabs>
          <w:tab w:pos="1319" w:val="left" w:leader="none"/>
          <w:tab w:pos="1320" w:val="left" w:leader="none"/>
        </w:tabs>
        <w:spacing w:line="240" w:lineRule="auto" w:before="184" w:after="0"/>
        <w:ind w:left="1319" w:right="0" w:hanging="357"/>
        <w:jc w:val="left"/>
        <w:rPr>
          <w:sz w:val="38"/>
        </w:rPr>
      </w:pPr>
      <w:r>
        <w:rPr>
          <w:sz w:val="38"/>
        </w:rPr>
        <w:t>The cells that have already been attacked are</w:t>
      </w:r>
      <w:r>
        <w:rPr>
          <w:spacing w:val="-4"/>
          <w:sz w:val="38"/>
        </w:rPr>
        <w:t> </w:t>
      </w:r>
      <w:r>
        <w:rPr>
          <w:sz w:val="38"/>
        </w:rPr>
        <w:t>repaired.</w:t>
      </w:r>
    </w:p>
    <w:p>
      <w:pPr>
        <w:spacing w:after="0" w:line="240" w:lineRule="auto"/>
        <w:jc w:val="left"/>
        <w:rPr>
          <w:sz w:val="38"/>
        </w:rPr>
        <w:sectPr>
          <w:pgSz w:w="14270" w:h="16850"/>
          <w:pgMar w:header="0" w:footer="1891" w:top="1320" w:bottom="2080" w:left="800" w:right="1280"/>
        </w:sectPr>
      </w:pPr>
    </w:p>
    <w:p>
      <w:pPr>
        <w:pStyle w:val="ListParagraph"/>
        <w:numPr>
          <w:ilvl w:val="1"/>
          <w:numId w:val="109"/>
        </w:numPr>
        <w:tabs>
          <w:tab w:pos="1319" w:val="left" w:leader="none"/>
          <w:tab w:pos="1320" w:val="left" w:leader="none"/>
        </w:tabs>
        <w:spacing w:line="240" w:lineRule="auto" w:before="53" w:after="0"/>
        <w:ind w:left="1319" w:right="0" w:hanging="357"/>
        <w:jc w:val="left"/>
        <w:rPr>
          <w:sz w:val="38"/>
        </w:rPr>
      </w:pPr>
      <w:r>
        <w:rPr>
          <w:sz w:val="38"/>
        </w:rPr>
        <w:t>Selenium protects the body from deformed</w:t>
      </w:r>
      <w:r>
        <w:rPr>
          <w:spacing w:val="-2"/>
          <w:sz w:val="38"/>
        </w:rPr>
        <w:t> </w:t>
      </w:r>
      <w:r>
        <w:rPr>
          <w:sz w:val="38"/>
        </w:rPr>
        <w:t>cells.</w:t>
      </w:r>
    </w:p>
    <w:p>
      <w:pPr>
        <w:pStyle w:val="ListParagraph"/>
        <w:numPr>
          <w:ilvl w:val="1"/>
          <w:numId w:val="109"/>
        </w:numPr>
        <w:tabs>
          <w:tab w:pos="1319" w:val="left" w:leader="none"/>
          <w:tab w:pos="1320" w:val="left" w:leader="none"/>
        </w:tabs>
        <w:spacing w:line="273" w:lineRule="auto" w:before="186" w:after="0"/>
        <w:ind w:left="1319" w:right="371" w:hanging="357"/>
        <w:jc w:val="left"/>
        <w:rPr>
          <w:sz w:val="38"/>
        </w:rPr>
      </w:pPr>
      <w:r>
        <w:rPr>
          <w:sz w:val="38"/>
        </w:rPr>
        <w:t>Selenium supports the programmed cell death of deformed cells (apop- tosis).</w:t>
      </w:r>
    </w:p>
    <w:p>
      <w:pPr>
        <w:pStyle w:val="ListParagraph"/>
        <w:numPr>
          <w:ilvl w:val="1"/>
          <w:numId w:val="109"/>
        </w:numPr>
        <w:tabs>
          <w:tab w:pos="1319" w:val="left" w:leader="none"/>
          <w:tab w:pos="1320" w:val="left" w:leader="none"/>
        </w:tabs>
        <w:spacing w:line="240" w:lineRule="auto" w:before="127" w:after="0"/>
        <w:ind w:left="1319" w:right="0" w:hanging="357"/>
        <w:jc w:val="left"/>
        <w:rPr>
          <w:sz w:val="38"/>
        </w:rPr>
      </w:pPr>
      <w:r>
        <w:rPr>
          <w:sz w:val="38"/>
        </w:rPr>
        <w:t>Selenium inhibits chromosome damage.</w:t>
      </w:r>
    </w:p>
    <w:p>
      <w:pPr>
        <w:pStyle w:val="ListParagraph"/>
        <w:numPr>
          <w:ilvl w:val="1"/>
          <w:numId w:val="109"/>
        </w:numPr>
        <w:tabs>
          <w:tab w:pos="1319" w:val="left" w:leader="none"/>
          <w:tab w:pos="1320" w:val="left" w:leader="none"/>
        </w:tabs>
        <w:spacing w:line="240" w:lineRule="auto" w:before="184" w:after="0"/>
        <w:ind w:left="1319" w:right="0" w:hanging="357"/>
        <w:jc w:val="left"/>
        <w:rPr>
          <w:sz w:val="38"/>
        </w:rPr>
      </w:pPr>
      <w:r>
        <w:rPr>
          <w:sz w:val="38"/>
        </w:rPr>
        <w:t>Selenium neutralises cancer-causing substances</w:t>
      </w:r>
      <w:r>
        <w:rPr>
          <w:spacing w:val="-1"/>
          <w:sz w:val="38"/>
        </w:rPr>
        <w:t> </w:t>
      </w:r>
      <w:r>
        <w:rPr>
          <w:sz w:val="38"/>
        </w:rPr>
        <w:t>(carcinogens).</w:t>
      </w:r>
    </w:p>
    <w:p>
      <w:pPr>
        <w:pStyle w:val="ListParagraph"/>
        <w:numPr>
          <w:ilvl w:val="1"/>
          <w:numId w:val="109"/>
        </w:numPr>
        <w:tabs>
          <w:tab w:pos="1319" w:val="left" w:leader="none"/>
          <w:tab w:pos="1320" w:val="left" w:leader="none"/>
        </w:tabs>
        <w:spacing w:line="240" w:lineRule="auto" w:before="184" w:after="0"/>
        <w:ind w:left="1319" w:right="0" w:hanging="357"/>
        <w:jc w:val="left"/>
        <w:rPr>
          <w:sz w:val="38"/>
        </w:rPr>
      </w:pPr>
      <w:r>
        <w:rPr>
          <w:sz w:val="38"/>
        </w:rPr>
        <w:t>Carcinogenic metabolic toxins are buffered by</w:t>
      </w:r>
      <w:r>
        <w:rPr>
          <w:spacing w:val="-7"/>
          <w:sz w:val="38"/>
        </w:rPr>
        <w:t> </w:t>
      </w:r>
      <w:r>
        <w:rPr>
          <w:sz w:val="38"/>
        </w:rPr>
        <w:t>selenium.</w:t>
      </w:r>
    </w:p>
    <w:p>
      <w:pPr>
        <w:pStyle w:val="ListParagraph"/>
        <w:numPr>
          <w:ilvl w:val="1"/>
          <w:numId w:val="109"/>
        </w:numPr>
        <w:tabs>
          <w:tab w:pos="1319" w:val="left" w:leader="none"/>
          <w:tab w:pos="1320" w:val="left" w:leader="none"/>
        </w:tabs>
        <w:spacing w:line="273" w:lineRule="auto" w:before="184" w:after="0"/>
        <w:ind w:left="1319" w:right="239" w:hanging="357"/>
        <w:jc w:val="left"/>
        <w:rPr>
          <w:sz w:val="38"/>
        </w:rPr>
      </w:pPr>
      <w:r>
        <w:rPr>
          <w:sz w:val="38"/>
        </w:rPr>
        <w:t>Selenium activates certain enzymes which take on repair mechanisms on the</w:t>
      </w:r>
      <w:r>
        <w:rPr>
          <w:spacing w:val="1"/>
          <w:sz w:val="38"/>
        </w:rPr>
        <w:t> </w:t>
      </w:r>
      <w:r>
        <w:rPr>
          <w:sz w:val="38"/>
        </w:rPr>
        <w:t>genes.</w:t>
      </w:r>
    </w:p>
    <w:p>
      <w:pPr>
        <w:pStyle w:val="ListParagraph"/>
        <w:numPr>
          <w:ilvl w:val="1"/>
          <w:numId w:val="109"/>
        </w:numPr>
        <w:tabs>
          <w:tab w:pos="1319" w:val="left" w:leader="none"/>
          <w:tab w:pos="1320" w:val="left" w:leader="none"/>
        </w:tabs>
        <w:spacing w:line="240" w:lineRule="auto" w:before="127" w:after="0"/>
        <w:ind w:left="1319" w:right="0" w:hanging="357"/>
        <w:jc w:val="left"/>
        <w:rPr>
          <w:sz w:val="38"/>
        </w:rPr>
      </w:pPr>
      <w:r>
        <w:rPr>
          <w:sz w:val="38"/>
        </w:rPr>
        <w:t>Selenium protects against radiation.</w:t>
      </w:r>
    </w:p>
    <w:p>
      <w:pPr>
        <w:pStyle w:val="ListParagraph"/>
        <w:numPr>
          <w:ilvl w:val="1"/>
          <w:numId w:val="109"/>
        </w:numPr>
        <w:tabs>
          <w:tab w:pos="1319" w:val="left" w:leader="none"/>
          <w:tab w:pos="1320" w:val="left" w:leader="none"/>
        </w:tabs>
        <w:spacing w:line="273" w:lineRule="auto" w:before="186" w:after="0"/>
        <w:ind w:left="1319" w:right="758" w:hanging="357"/>
        <w:jc w:val="left"/>
        <w:rPr>
          <w:sz w:val="38"/>
        </w:rPr>
      </w:pPr>
      <w:r>
        <w:rPr>
          <w:sz w:val="38"/>
        </w:rPr>
        <w:t>Because selenium plays a very special role in cancer in particular, this topic is given its own section 'Selenium and its effect on</w:t>
      </w:r>
      <w:r>
        <w:rPr>
          <w:spacing w:val="-14"/>
          <w:sz w:val="38"/>
        </w:rPr>
        <w:t> </w:t>
      </w:r>
      <w:r>
        <w:rPr>
          <w:sz w:val="38"/>
        </w:rPr>
        <w:t>cancer'.</w:t>
      </w:r>
    </w:p>
    <w:p>
      <w:pPr>
        <w:pStyle w:val="Heading1"/>
        <w:spacing w:before="231"/>
        <w:ind w:left="616"/>
      </w:pPr>
      <w:r>
        <w:rPr/>
        <w:t>Immune system-boosting effect of</w:t>
      </w:r>
      <w:r>
        <w:rPr>
          <w:spacing w:val="-51"/>
        </w:rPr>
        <w:t> </w:t>
      </w:r>
      <w:r>
        <w:rPr/>
        <w:t>selenium</w:t>
      </w:r>
    </w:p>
    <w:p>
      <w:pPr>
        <w:pStyle w:val="BodyText"/>
        <w:spacing w:line="276" w:lineRule="auto" w:before="297"/>
        <w:ind w:left="616" w:right="133"/>
        <w:jc w:val="both"/>
      </w:pPr>
      <w:r>
        <w:rPr/>
        <w:t>The immune system is our biological defence system, one of the responsibili- ties of which is to prevent tissue damage due to pathogens. The immune sys- tem takes on the fight against bacteria, viruses and fungi, destroys mutated body cells and removes substances foreign to the body. A stricken immune system inevitably leads to potential illnesses; on the other hand, diseases can only be healed with the help of an intact immune system. By encouraging the production of antibodies, selenium strengthens our immune system. In this way, when exposed to selenium in animal studies, the number of antibodies could be increased by a factor of 30.</w:t>
      </w:r>
    </w:p>
    <w:p>
      <w:pPr>
        <w:spacing w:after="0" w:line="276" w:lineRule="auto"/>
        <w:jc w:val="both"/>
        <w:sectPr>
          <w:pgSz w:w="14270" w:h="16850"/>
          <w:pgMar w:header="0" w:footer="1891" w:top="1360" w:bottom="2080" w:left="800" w:right="1280"/>
        </w:sectPr>
      </w:pPr>
    </w:p>
    <w:p>
      <w:pPr>
        <w:pStyle w:val="Heading1"/>
        <w:spacing w:before="75"/>
        <w:ind w:left="616"/>
      </w:pPr>
      <w:r>
        <w:rPr/>
        <w:t>Protective</w:t>
      </w:r>
      <w:r>
        <w:rPr>
          <w:spacing w:val="-50"/>
        </w:rPr>
        <w:t> </w:t>
      </w:r>
      <w:r>
        <w:rPr/>
        <w:t>and</w:t>
      </w:r>
      <w:r>
        <w:rPr>
          <w:spacing w:val="-48"/>
        </w:rPr>
        <w:t> </w:t>
      </w:r>
      <w:r>
        <w:rPr/>
        <w:t>antimutagenic</w:t>
      </w:r>
      <w:r>
        <w:rPr>
          <w:spacing w:val="-50"/>
        </w:rPr>
        <w:t> </w:t>
      </w:r>
      <w:r>
        <w:rPr/>
        <w:t>effect</w:t>
      </w:r>
      <w:r>
        <w:rPr>
          <w:spacing w:val="-50"/>
        </w:rPr>
        <w:t> </w:t>
      </w:r>
      <w:r>
        <w:rPr/>
        <w:t>against</w:t>
      </w:r>
      <w:r>
        <w:rPr>
          <w:spacing w:val="-49"/>
        </w:rPr>
        <w:t> </w:t>
      </w:r>
      <w:r>
        <w:rPr/>
        <w:t>radioactivity</w:t>
      </w:r>
      <w:r>
        <w:rPr>
          <w:spacing w:val="-49"/>
        </w:rPr>
        <w:t> </w:t>
      </w:r>
      <w:r>
        <w:rPr/>
        <w:t>and</w:t>
      </w:r>
      <w:r>
        <w:rPr>
          <w:spacing w:val="-50"/>
        </w:rPr>
        <w:t> </w:t>
      </w:r>
      <w:r>
        <w:rPr/>
        <w:t>UV</w:t>
      </w:r>
      <w:r>
        <w:rPr>
          <w:spacing w:val="-50"/>
        </w:rPr>
        <w:t> </w:t>
      </w:r>
      <w:r>
        <w:rPr/>
        <w:t>rays</w:t>
      </w:r>
    </w:p>
    <w:p>
      <w:pPr>
        <w:pStyle w:val="BodyText"/>
        <w:spacing w:line="276" w:lineRule="auto" w:before="299"/>
        <w:ind w:left="616" w:right="134"/>
        <w:jc w:val="both"/>
      </w:pPr>
      <w:r>
        <w:rPr/>
        <w:t>The public became aware of selenium primarily after the reactor accident of Chernobyl,</w:t>
      </w:r>
      <w:r>
        <w:rPr>
          <w:spacing w:val="-14"/>
        </w:rPr>
        <w:t> </w:t>
      </w:r>
      <w:r>
        <w:rPr/>
        <w:t>as</w:t>
      </w:r>
      <w:r>
        <w:rPr>
          <w:spacing w:val="-16"/>
        </w:rPr>
        <w:t> </w:t>
      </w:r>
      <w:r>
        <w:rPr/>
        <w:t>Prof.</w:t>
      </w:r>
      <w:r>
        <w:rPr>
          <w:spacing w:val="-13"/>
        </w:rPr>
        <w:t> </w:t>
      </w:r>
      <w:r>
        <w:rPr/>
        <w:t>Dr.</w:t>
      </w:r>
      <w:r>
        <w:rPr>
          <w:spacing w:val="-16"/>
        </w:rPr>
        <w:t> </w:t>
      </w:r>
      <w:r>
        <w:rPr/>
        <w:t>Schmidt</w:t>
      </w:r>
      <w:r>
        <w:rPr>
          <w:spacing w:val="-17"/>
        </w:rPr>
        <w:t> </w:t>
      </w:r>
      <w:r>
        <w:rPr/>
        <w:t>of</w:t>
      </w:r>
      <w:r>
        <w:rPr>
          <w:spacing w:val="-14"/>
        </w:rPr>
        <w:t> </w:t>
      </w:r>
      <w:r>
        <w:rPr/>
        <w:t>the</w:t>
      </w:r>
      <w:r>
        <w:rPr>
          <w:spacing w:val="-13"/>
        </w:rPr>
        <w:t> </w:t>
      </w:r>
      <w:r>
        <w:rPr/>
        <w:t>University</w:t>
      </w:r>
      <w:r>
        <w:rPr>
          <w:spacing w:val="-17"/>
        </w:rPr>
        <w:t> </w:t>
      </w:r>
      <w:r>
        <w:rPr/>
        <w:t>of</w:t>
      </w:r>
      <w:r>
        <w:rPr>
          <w:spacing w:val="-14"/>
        </w:rPr>
        <w:t> </w:t>
      </w:r>
      <w:r>
        <w:rPr/>
        <w:t>Tübingen</w:t>
      </w:r>
      <w:r>
        <w:rPr>
          <w:spacing w:val="-13"/>
        </w:rPr>
        <w:t> </w:t>
      </w:r>
      <w:r>
        <w:rPr/>
        <w:t>indicated</w:t>
      </w:r>
      <w:r>
        <w:rPr>
          <w:spacing w:val="-15"/>
        </w:rPr>
        <w:t> </w:t>
      </w:r>
      <w:r>
        <w:rPr/>
        <w:t>in</w:t>
      </w:r>
      <w:r>
        <w:rPr>
          <w:spacing w:val="-14"/>
        </w:rPr>
        <w:t> </w:t>
      </w:r>
      <w:r>
        <w:rPr/>
        <w:t>his statements</w:t>
      </w:r>
      <w:r>
        <w:rPr>
          <w:spacing w:val="-11"/>
        </w:rPr>
        <w:t> </w:t>
      </w:r>
      <w:r>
        <w:rPr/>
        <w:t>about</w:t>
      </w:r>
      <w:r>
        <w:rPr>
          <w:spacing w:val="-13"/>
        </w:rPr>
        <w:t> </w:t>
      </w:r>
      <w:r>
        <w:rPr/>
        <w:t>selenium</w:t>
      </w:r>
      <w:r>
        <w:rPr>
          <w:spacing w:val="-12"/>
        </w:rPr>
        <w:t> </w:t>
      </w:r>
      <w:r>
        <w:rPr/>
        <w:t>as</w:t>
      </w:r>
      <w:r>
        <w:rPr>
          <w:spacing w:val="-12"/>
        </w:rPr>
        <w:t> </w:t>
      </w:r>
      <w:r>
        <w:rPr/>
        <w:t>a</w:t>
      </w:r>
      <w:r>
        <w:rPr>
          <w:spacing w:val="-13"/>
        </w:rPr>
        <w:t> </w:t>
      </w:r>
      <w:r>
        <w:rPr/>
        <w:t>first</w:t>
      </w:r>
      <w:r>
        <w:rPr>
          <w:spacing w:val="-12"/>
        </w:rPr>
        <w:t> </w:t>
      </w:r>
      <w:r>
        <w:rPr/>
        <w:t>responder</w:t>
      </w:r>
      <w:r>
        <w:rPr>
          <w:spacing w:val="-12"/>
        </w:rPr>
        <w:t> </w:t>
      </w:r>
      <w:r>
        <w:rPr/>
        <w:t>in</w:t>
      </w:r>
      <w:r>
        <w:rPr>
          <w:spacing w:val="-14"/>
        </w:rPr>
        <w:t> </w:t>
      </w:r>
      <w:r>
        <w:rPr/>
        <w:t>the</w:t>
      </w:r>
      <w:r>
        <w:rPr>
          <w:spacing w:val="-11"/>
        </w:rPr>
        <w:t> </w:t>
      </w:r>
      <w:r>
        <w:rPr/>
        <w:t>atomic</w:t>
      </w:r>
      <w:r>
        <w:rPr>
          <w:spacing w:val="-12"/>
        </w:rPr>
        <w:t> </w:t>
      </w:r>
      <w:r>
        <w:rPr/>
        <w:t>catastrophe.</w:t>
      </w:r>
      <w:r>
        <w:rPr>
          <w:spacing w:val="-11"/>
        </w:rPr>
        <w:t> </w:t>
      </w:r>
      <w:r>
        <w:rPr/>
        <w:t>Prof. Dr. Schmidt certified selenium's first-class properties for containing the pre- vailing health threat after the reactor accident as much as</w:t>
      </w:r>
      <w:r>
        <w:rPr>
          <w:spacing w:val="-8"/>
        </w:rPr>
        <w:t> </w:t>
      </w:r>
      <w:r>
        <w:rPr/>
        <w:t>possible.</w:t>
      </w:r>
    </w:p>
    <w:p>
      <w:pPr>
        <w:pStyle w:val="BodyText"/>
        <w:spacing w:line="276" w:lineRule="auto" w:before="240"/>
        <w:ind w:left="616" w:right="136"/>
        <w:jc w:val="both"/>
      </w:pPr>
      <w:r>
        <w:rPr/>
        <w:t>Accordingly, selenium, in combination with vitamin E, possesses qualities which protect against radiation (alpha and gamma rays) as well as antimuta- genic properties, which makes it the preventative measure of choice after a catastrophe, like those we had to witness in Chernobyl and recently in Fuku- shima.</w:t>
      </w:r>
    </w:p>
    <w:p>
      <w:pPr>
        <w:pStyle w:val="BodyText"/>
        <w:rPr>
          <w:sz w:val="42"/>
        </w:rPr>
      </w:pPr>
    </w:p>
    <w:p>
      <w:pPr>
        <w:pStyle w:val="Heading2"/>
        <w:spacing w:before="261"/>
        <w:ind w:left="616"/>
      </w:pPr>
      <w:r>
        <w:rPr/>
        <w:t>Specific effect of selenium on diseases and disorders</w:t>
      </w:r>
    </w:p>
    <w:p>
      <w:pPr>
        <w:pStyle w:val="BodyText"/>
        <w:spacing w:line="276" w:lineRule="auto" w:before="305"/>
        <w:ind w:left="616" w:right="136"/>
        <w:jc w:val="both"/>
      </w:pPr>
      <w:r>
        <w:rPr/>
        <w:t>It</w:t>
      </w:r>
      <w:r>
        <w:rPr>
          <w:spacing w:val="-20"/>
        </w:rPr>
        <w:t> </w:t>
      </w:r>
      <w:r>
        <w:rPr/>
        <w:t>is</w:t>
      </w:r>
      <w:r>
        <w:rPr>
          <w:spacing w:val="-18"/>
        </w:rPr>
        <w:t> </w:t>
      </w:r>
      <w:r>
        <w:rPr/>
        <w:t>almost</w:t>
      </w:r>
      <w:r>
        <w:rPr>
          <w:spacing w:val="-18"/>
        </w:rPr>
        <w:t> </w:t>
      </w:r>
      <w:r>
        <w:rPr/>
        <w:t>impossible</w:t>
      </w:r>
      <w:r>
        <w:rPr>
          <w:spacing w:val="-18"/>
        </w:rPr>
        <w:t> </w:t>
      </w:r>
      <w:r>
        <w:rPr/>
        <w:t>to</w:t>
      </w:r>
      <w:r>
        <w:rPr>
          <w:spacing w:val="-17"/>
        </w:rPr>
        <w:t> </w:t>
      </w:r>
      <w:r>
        <w:rPr/>
        <w:t>count</w:t>
      </w:r>
      <w:r>
        <w:rPr>
          <w:spacing w:val="-18"/>
        </w:rPr>
        <w:t> </w:t>
      </w:r>
      <w:r>
        <w:rPr/>
        <w:t>all</w:t>
      </w:r>
      <w:r>
        <w:rPr>
          <w:spacing w:val="-19"/>
        </w:rPr>
        <w:t> </w:t>
      </w:r>
      <w:r>
        <w:rPr/>
        <w:t>of</w:t>
      </w:r>
      <w:r>
        <w:rPr>
          <w:spacing w:val="-19"/>
        </w:rPr>
        <w:t> </w:t>
      </w:r>
      <w:r>
        <w:rPr/>
        <w:t>the</w:t>
      </w:r>
      <w:r>
        <w:rPr>
          <w:spacing w:val="-17"/>
        </w:rPr>
        <w:t> </w:t>
      </w:r>
      <w:r>
        <w:rPr/>
        <w:t>illnesses</w:t>
      </w:r>
      <w:r>
        <w:rPr>
          <w:spacing w:val="-19"/>
        </w:rPr>
        <w:t> </w:t>
      </w:r>
      <w:r>
        <w:rPr/>
        <w:t>that</w:t>
      </w:r>
      <w:r>
        <w:rPr>
          <w:spacing w:val="-18"/>
        </w:rPr>
        <w:t> </w:t>
      </w:r>
      <w:r>
        <w:rPr/>
        <w:t>are</w:t>
      </w:r>
      <w:r>
        <w:rPr>
          <w:spacing w:val="-18"/>
        </w:rPr>
        <w:t> </w:t>
      </w:r>
      <w:r>
        <w:rPr/>
        <w:t>positively</w:t>
      </w:r>
      <w:r>
        <w:rPr>
          <w:spacing w:val="-17"/>
        </w:rPr>
        <w:t> </w:t>
      </w:r>
      <w:r>
        <w:rPr/>
        <w:t>influenced by a substance which takes on a key role in the immune system, which</w:t>
      </w:r>
      <w:r>
        <w:rPr>
          <w:spacing w:val="-48"/>
        </w:rPr>
        <w:t> </w:t>
      </w:r>
      <w:r>
        <w:rPr/>
        <w:t>detoxi- fies the body, protects against inflammation, has an anti-mutagenic effect and facilitates the repair of the genes. The following illnesses, however, have been shown to benefit from a sufficient supply of</w:t>
      </w:r>
      <w:r>
        <w:rPr>
          <w:spacing w:val="-2"/>
        </w:rPr>
        <w:t> </w:t>
      </w:r>
      <w:r>
        <w:rPr/>
        <w:t>selenium:</w:t>
      </w:r>
    </w:p>
    <w:p>
      <w:pPr>
        <w:pStyle w:val="ListParagraph"/>
        <w:numPr>
          <w:ilvl w:val="2"/>
          <w:numId w:val="109"/>
        </w:numPr>
        <w:tabs>
          <w:tab w:pos="1461" w:val="left" w:leader="none"/>
          <w:tab w:pos="1462" w:val="left" w:leader="none"/>
        </w:tabs>
        <w:spacing w:line="240" w:lineRule="auto" w:before="200" w:after="0"/>
        <w:ind w:left="1461" w:right="0" w:hanging="360"/>
        <w:jc w:val="left"/>
        <w:rPr>
          <w:sz w:val="38"/>
        </w:rPr>
      </w:pPr>
      <w:r>
        <w:rPr>
          <w:sz w:val="38"/>
        </w:rPr>
        <w:t>Atherosclerosis (vascular</w:t>
      </w:r>
      <w:r>
        <w:rPr>
          <w:spacing w:val="1"/>
          <w:sz w:val="38"/>
        </w:rPr>
        <w:t> </w:t>
      </w:r>
      <w:r>
        <w:rPr>
          <w:sz w:val="38"/>
        </w:rPr>
        <w:t>calcification)</w:t>
      </w:r>
    </w:p>
    <w:p>
      <w:pPr>
        <w:pStyle w:val="ListParagraph"/>
        <w:numPr>
          <w:ilvl w:val="2"/>
          <w:numId w:val="109"/>
        </w:numPr>
        <w:tabs>
          <w:tab w:pos="1461" w:val="left" w:leader="none"/>
          <w:tab w:pos="1462" w:val="left" w:leader="none"/>
          <w:tab w:pos="3853" w:val="left" w:leader="none"/>
          <w:tab w:pos="5095" w:val="left" w:leader="none"/>
          <w:tab w:pos="6379" w:val="left" w:leader="none"/>
          <w:tab w:pos="7855" w:val="left" w:leader="none"/>
          <w:tab w:pos="9191" w:val="left" w:leader="none"/>
          <w:tab w:pos="10517" w:val="left" w:leader="none"/>
        </w:tabs>
        <w:spacing w:line="273" w:lineRule="auto" w:before="185" w:after="0"/>
        <w:ind w:left="1461" w:right="139" w:hanging="360"/>
        <w:jc w:val="left"/>
        <w:rPr>
          <w:sz w:val="38"/>
        </w:rPr>
      </w:pPr>
      <w:r>
        <w:rPr>
          <w:sz w:val="38"/>
        </w:rPr>
        <w:t>Cardiovascular</w:t>
        <w:tab/>
        <w:t>disease</w:t>
        <w:tab/>
        <w:t>(angina</w:t>
        <w:tab/>
        <w:t>pectoris,</w:t>
        <w:tab/>
        <w:t>Keshan</w:t>
        <w:tab/>
        <w:t>disease,</w:t>
        <w:tab/>
      </w:r>
      <w:r>
        <w:rPr>
          <w:w w:val="95"/>
          <w:sz w:val="38"/>
        </w:rPr>
        <w:t>protection </w:t>
      </w:r>
      <w:r>
        <w:rPr>
          <w:sz w:val="38"/>
        </w:rPr>
        <w:t>against heart attack and similar)</w:t>
      </w:r>
    </w:p>
    <w:p>
      <w:pPr>
        <w:spacing w:after="0" w:line="273" w:lineRule="auto"/>
        <w:jc w:val="left"/>
        <w:rPr>
          <w:sz w:val="38"/>
        </w:rPr>
        <w:sectPr>
          <w:pgSz w:w="14270" w:h="16850"/>
          <w:pgMar w:header="0" w:footer="1891" w:top="1320" w:bottom="2080" w:left="800" w:right="1280"/>
        </w:sectPr>
      </w:pPr>
    </w:p>
    <w:p>
      <w:pPr>
        <w:pStyle w:val="ListParagraph"/>
        <w:numPr>
          <w:ilvl w:val="2"/>
          <w:numId w:val="109"/>
        </w:numPr>
        <w:tabs>
          <w:tab w:pos="1461" w:val="left" w:leader="none"/>
          <w:tab w:pos="1462" w:val="left" w:leader="none"/>
        </w:tabs>
        <w:spacing w:line="240" w:lineRule="auto" w:before="53" w:after="0"/>
        <w:ind w:left="1461" w:right="0" w:hanging="360"/>
        <w:jc w:val="left"/>
        <w:rPr>
          <w:sz w:val="38"/>
        </w:rPr>
      </w:pPr>
      <w:r>
        <w:rPr>
          <w:sz w:val="38"/>
        </w:rPr>
        <w:t>Cancer/tumour</w:t>
      </w:r>
      <w:r>
        <w:rPr>
          <w:spacing w:val="1"/>
          <w:sz w:val="38"/>
        </w:rPr>
        <w:t> </w:t>
      </w:r>
      <w:r>
        <w:rPr>
          <w:sz w:val="38"/>
        </w:rPr>
        <w:t>development</w:t>
      </w:r>
    </w:p>
    <w:p>
      <w:pPr>
        <w:pStyle w:val="ListParagraph"/>
        <w:numPr>
          <w:ilvl w:val="2"/>
          <w:numId w:val="109"/>
        </w:numPr>
        <w:tabs>
          <w:tab w:pos="1461" w:val="left" w:leader="none"/>
          <w:tab w:pos="1462" w:val="left" w:leader="none"/>
        </w:tabs>
        <w:spacing w:line="240" w:lineRule="auto" w:before="186" w:after="0"/>
        <w:ind w:left="1461" w:right="0" w:hanging="360"/>
        <w:jc w:val="left"/>
        <w:rPr>
          <w:sz w:val="38"/>
        </w:rPr>
      </w:pPr>
      <w:r>
        <w:rPr>
          <w:sz w:val="38"/>
        </w:rPr>
        <w:t>UV damage to the skin (protects against premature</w:t>
      </w:r>
      <w:r>
        <w:rPr>
          <w:spacing w:val="-5"/>
          <w:sz w:val="38"/>
        </w:rPr>
        <w:t> </w:t>
      </w:r>
      <w:r>
        <w:rPr>
          <w:sz w:val="38"/>
        </w:rPr>
        <w:t>ageing)</w:t>
      </w:r>
    </w:p>
    <w:p>
      <w:pPr>
        <w:pStyle w:val="ListParagraph"/>
        <w:numPr>
          <w:ilvl w:val="2"/>
          <w:numId w:val="109"/>
        </w:numPr>
        <w:tabs>
          <w:tab w:pos="1461" w:val="left" w:leader="none"/>
          <w:tab w:pos="1462" w:val="left" w:leader="none"/>
        </w:tabs>
        <w:spacing w:line="240" w:lineRule="auto" w:before="184" w:after="0"/>
        <w:ind w:left="1461" w:right="0" w:hanging="360"/>
        <w:jc w:val="left"/>
        <w:rPr>
          <w:sz w:val="38"/>
        </w:rPr>
      </w:pPr>
      <w:r>
        <w:rPr>
          <w:sz w:val="38"/>
        </w:rPr>
        <w:t>Sterility</w:t>
      </w:r>
    </w:p>
    <w:p>
      <w:pPr>
        <w:pStyle w:val="ListParagraph"/>
        <w:numPr>
          <w:ilvl w:val="2"/>
          <w:numId w:val="109"/>
        </w:numPr>
        <w:tabs>
          <w:tab w:pos="1461" w:val="left" w:leader="none"/>
          <w:tab w:pos="1462" w:val="left" w:leader="none"/>
        </w:tabs>
        <w:spacing w:line="240" w:lineRule="auto" w:before="184" w:after="0"/>
        <w:ind w:left="1461" w:right="0" w:hanging="360"/>
        <w:jc w:val="left"/>
        <w:rPr>
          <w:sz w:val="38"/>
        </w:rPr>
      </w:pPr>
      <w:r>
        <w:rPr>
          <w:sz w:val="38"/>
        </w:rPr>
        <w:t>Allergies</w:t>
      </w:r>
    </w:p>
    <w:p>
      <w:pPr>
        <w:pStyle w:val="ListParagraph"/>
        <w:numPr>
          <w:ilvl w:val="2"/>
          <w:numId w:val="109"/>
        </w:numPr>
        <w:tabs>
          <w:tab w:pos="1461" w:val="left" w:leader="none"/>
          <w:tab w:pos="1462" w:val="left" w:leader="none"/>
        </w:tabs>
        <w:spacing w:line="240" w:lineRule="auto" w:before="183" w:after="0"/>
        <w:ind w:left="1461" w:right="0" w:hanging="360"/>
        <w:jc w:val="left"/>
        <w:rPr>
          <w:sz w:val="38"/>
        </w:rPr>
      </w:pPr>
      <w:r>
        <w:rPr>
          <w:sz w:val="38"/>
        </w:rPr>
        <w:t>Diabetes</w:t>
      </w:r>
      <w:r>
        <w:rPr>
          <w:spacing w:val="2"/>
          <w:sz w:val="38"/>
        </w:rPr>
        <w:t> </w:t>
      </w:r>
      <w:r>
        <w:rPr>
          <w:sz w:val="38"/>
        </w:rPr>
        <w:t>mellitus</w:t>
      </w:r>
    </w:p>
    <w:p>
      <w:pPr>
        <w:pStyle w:val="ListParagraph"/>
        <w:numPr>
          <w:ilvl w:val="2"/>
          <w:numId w:val="109"/>
        </w:numPr>
        <w:tabs>
          <w:tab w:pos="1461" w:val="left" w:leader="none"/>
          <w:tab w:pos="1462" w:val="left" w:leader="none"/>
        </w:tabs>
        <w:spacing w:line="240" w:lineRule="auto" w:before="184" w:after="0"/>
        <w:ind w:left="1461" w:right="0" w:hanging="360"/>
        <w:jc w:val="left"/>
        <w:rPr>
          <w:sz w:val="38"/>
        </w:rPr>
      </w:pPr>
      <w:r>
        <w:rPr>
          <w:sz w:val="38"/>
        </w:rPr>
        <w:t>Hypothyroidism</w:t>
      </w:r>
    </w:p>
    <w:p>
      <w:pPr>
        <w:pStyle w:val="ListParagraph"/>
        <w:numPr>
          <w:ilvl w:val="2"/>
          <w:numId w:val="109"/>
        </w:numPr>
        <w:tabs>
          <w:tab w:pos="1461" w:val="left" w:leader="none"/>
          <w:tab w:pos="1462" w:val="left" w:leader="none"/>
        </w:tabs>
        <w:spacing w:line="240" w:lineRule="auto" w:before="186" w:after="0"/>
        <w:ind w:left="1461" w:right="0" w:hanging="360"/>
        <w:jc w:val="left"/>
        <w:rPr>
          <w:sz w:val="38"/>
        </w:rPr>
      </w:pPr>
      <w:r>
        <w:rPr>
          <w:sz w:val="38"/>
        </w:rPr>
        <w:t>Autoimmune diseases of the</w:t>
      </w:r>
      <w:r>
        <w:rPr>
          <w:spacing w:val="2"/>
          <w:sz w:val="38"/>
        </w:rPr>
        <w:t> </w:t>
      </w:r>
      <w:r>
        <w:rPr>
          <w:sz w:val="38"/>
        </w:rPr>
        <w:t>thyroid</w:t>
      </w:r>
    </w:p>
    <w:p>
      <w:pPr>
        <w:pStyle w:val="ListParagraph"/>
        <w:numPr>
          <w:ilvl w:val="2"/>
          <w:numId w:val="109"/>
        </w:numPr>
        <w:tabs>
          <w:tab w:pos="1461" w:val="left" w:leader="none"/>
          <w:tab w:pos="1462" w:val="left" w:leader="none"/>
        </w:tabs>
        <w:spacing w:line="240" w:lineRule="auto" w:before="184" w:after="0"/>
        <w:ind w:left="1461" w:right="0" w:hanging="360"/>
        <w:jc w:val="left"/>
        <w:rPr>
          <w:sz w:val="38"/>
        </w:rPr>
      </w:pPr>
      <w:r>
        <w:rPr>
          <w:sz w:val="38"/>
        </w:rPr>
        <w:t>Hashimoto</w:t>
      </w:r>
      <w:r>
        <w:rPr>
          <w:spacing w:val="2"/>
          <w:sz w:val="38"/>
        </w:rPr>
        <w:t> </w:t>
      </w:r>
      <w:r>
        <w:rPr>
          <w:sz w:val="38"/>
        </w:rPr>
        <w:t>thyroiditis</w:t>
      </w:r>
    </w:p>
    <w:p>
      <w:pPr>
        <w:pStyle w:val="ListParagraph"/>
        <w:numPr>
          <w:ilvl w:val="2"/>
          <w:numId w:val="109"/>
        </w:numPr>
        <w:tabs>
          <w:tab w:pos="1461" w:val="left" w:leader="none"/>
          <w:tab w:pos="1462" w:val="left" w:leader="none"/>
        </w:tabs>
        <w:spacing w:line="240" w:lineRule="auto" w:before="184" w:after="0"/>
        <w:ind w:left="1461" w:right="0" w:hanging="360"/>
        <w:jc w:val="left"/>
        <w:rPr>
          <w:sz w:val="38"/>
        </w:rPr>
      </w:pPr>
      <w:r>
        <w:rPr>
          <w:sz w:val="38"/>
        </w:rPr>
        <w:t>Kashin-Beck</w:t>
      </w:r>
      <w:r>
        <w:rPr>
          <w:spacing w:val="-1"/>
          <w:sz w:val="38"/>
        </w:rPr>
        <w:t> </w:t>
      </w:r>
      <w:r>
        <w:rPr>
          <w:sz w:val="38"/>
        </w:rPr>
        <w:t>syndrome</w:t>
      </w:r>
    </w:p>
    <w:p>
      <w:pPr>
        <w:pStyle w:val="ListParagraph"/>
        <w:numPr>
          <w:ilvl w:val="2"/>
          <w:numId w:val="109"/>
        </w:numPr>
        <w:tabs>
          <w:tab w:pos="1461" w:val="left" w:leader="none"/>
          <w:tab w:pos="1462" w:val="left" w:leader="none"/>
        </w:tabs>
        <w:spacing w:line="240" w:lineRule="auto" w:before="183" w:after="0"/>
        <w:ind w:left="1461" w:right="0" w:hanging="360"/>
        <w:jc w:val="left"/>
        <w:rPr>
          <w:sz w:val="38"/>
        </w:rPr>
      </w:pPr>
      <w:r>
        <w:rPr>
          <w:sz w:val="38"/>
        </w:rPr>
        <w:t>Myxedematous endemic</w:t>
      </w:r>
      <w:r>
        <w:rPr>
          <w:spacing w:val="-1"/>
          <w:sz w:val="38"/>
        </w:rPr>
        <w:t> </w:t>
      </w:r>
      <w:r>
        <w:rPr>
          <w:sz w:val="38"/>
        </w:rPr>
        <w:t>cretinism</w:t>
      </w:r>
    </w:p>
    <w:p>
      <w:pPr>
        <w:pStyle w:val="ListParagraph"/>
        <w:numPr>
          <w:ilvl w:val="2"/>
          <w:numId w:val="109"/>
        </w:numPr>
        <w:tabs>
          <w:tab w:pos="1461" w:val="left" w:leader="none"/>
          <w:tab w:pos="1462" w:val="left" w:leader="none"/>
        </w:tabs>
        <w:spacing w:line="240" w:lineRule="auto" w:before="186" w:after="0"/>
        <w:ind w:left="1461" w:right="0" w:hanging="360"/>
        <w:jc w:val="left"/>
        <w:rPr>
          <w:sz w:val="38"/>
        </w:rPr>
      </w:pPr>
      <w:r>
        <w:rPr>
          <w:sz w:val="38"/>
        </w:rPr>
        <w:t>Arthritis/rheumatism</w:t>
      </w:r>
    </w:p>
    <w:p>
      <w:pPr>
        <w:pStyle w:val="ListParagraph"/>
        <w:numPr>
          <w:ilvl w:val="2"/>
          <w:numId w:val="109"/>
        </w:numPr>
        <w:tabs>
          <w:tab w:pos="1461" w:val="left" w:leader="none"/>
          <w:tab w:pos="1462" w:val="left" w:leader="none"/>
        </w:tabs>
        <w:spacing w:line="240" w:lineRule="auto" w:before="184" w:after="0"/>
        <w:ind w:left="1461" w:right="0" w:hanging="360"/>
        <w:jc w:val="left"/>
        <w:rPr>
          <w:sz w:val="38"/>
        </w:rPr>
      </w:pPr>
      <w:r>
        <w:rPr>
          <w:sz w:val="38"/>
        </w:rPr>
        <w:t>Hair</w:t>
      </w:r>
      <w:r>
        <w:rPr>
          <w:spacing w:val="-1"/>
          <w:sz w:val="38"/>
        </w:rPr>
        <w:t> </w:t>
      </w:r>
      <w:r>
        <w:rPr>
          <w:sz w:val="38"/>
        </w:rPr>
        <w:t>loss</w:t>
      </w:r>
    </w:p>
    <w:p>
      <w:pPr>
        <w:pStyle w:val="ListParagraph"/>
        <w:numPr>
          <w:ilvl w:val="2"/>
          <w:numId w:val="109"/>
        </w:numPr>
        <w:tabs>
          <w:tab w:pos="1461" w:val="left" w:leader="none"/>
          <w:tab w:pos="1462" w:val="left" w:leader="none"/>
        </w:tabs>
        <w:spacing w:line="240" w:lineRule="auto" w:before="184" w:after="0"/>
        <w:ind w:left="1461" w:right="0" w:hanging="360"/>
        <w:jc w:val="left"/>
        <w:rPr>
          <w:sz w:val="38"/>
        </w:rPr>
      </w:pPr>
      <w:r>
        <w:rPr>
          <w:sz w:val="38"/>
        </w:rPr>
        <w:t>Depression</w:t>
      </w:r>
    </w:p>
    <w:p>
      <w:pPr>
        <w:pStyle w:val="ListParagraph"/>
        <w:numPr>
          <w:ilvl w:val="2"/>
          <w:numId w:val="109"/>
        </w:numPr>
        <w:tabs>
          <w:tab w:pos="1461" w:val="left" w:leader="none"/>
          <w:tab w:pos="1462" w:val="left" w:leader="none"/>
        </w:tabs>
        <w:spacing w:line="240" w:lineRule="auto" w:before="184" w:after="0"/>
        <w:ind w:left="1461" w:right="0" w:hanging="360"/>
        <w:jc w:val="left"/>
        <w:rPr>
          <w:sz w:val="38"/>
        </w:rPr>
      </w:pPr>
      <w:r>
        <w:rPr>
          <w:sz w:val="38"/>
        </w:rPr>
        <w:t>Bekhterev's</w:t>
      </w:r>
      <w:r>
        <w:rPr>
          <w:spacing w:val="1"/>
          <w:sz w:val="38"/>
        </w:rPr>
        <w:t> </w:t>
      </w:r>
      <w:r>
        <w:rPr>
          <w:sz w:val="38"/>
        </w:rPr>
        <w:t>disease</w:t>
      </w:r>
    </w:p>
    <w:p>
      <w:pPr>
        <w:pStyle w:val="ListParagraph"/>
        <w:numPr>
          <w:ilvl w:val="2"/>
          <w:numId w:val="109"/>
        </w:numPr>
        <w:tabs>
          <w:tab w:pos="1461" w:val="left" w:leader="none"/>
          <w:tab w:pos="1462" w:val="left" w:leader="none"/>
        </w:tabs>
        <w:spacing w:line="240" w:lineRule="auto" w:before="183" w:after="0"/>
        <w:ind w:left="1461" w:right="0" w:hanging="360"/>
        <w:jc w:val="left"/>
        <w:rPr>
          <w:sz w:val="38"/>
        </w:rPr>
      </w:pPr>
      <w:r>
        <w:rPr>
          <w:sz w:val="38"/>
        </w:rPr>
        <w:t>Crohn's disease</w:t>
      </w:r>
    </w:p>
    <w:p>
      <w:pPr>
        <w:pStyle w:val="ListParagraph"/>
        <w:numPr>
          <w:ilvl w:val="2"/>
          <w:numId w:val="109"/>
        </w:numPr>
        <w:tabs>
          <w:tab w:pos="1461" w:val="left" w:leader="none"/>
          <w:tab w:pos="1462" w:val="left" w:leader="none"/>
        </w:tabs>
        <w:spacing w:line="240" w:lineRule="auto" w:before="186" w:after="0"/>
        <w:ind w:left="1461" w:right="0" w:hanging="360"/>
        <w:jc w:val="left"/>
        <w:rPr>
          <w:sz w:val="38"/>
        </w:rPr>
      </w:pPr>
      <w:r>
        <w:rPr>
          <w:sz w:val="38"/>
        </w:rPr>
        <w:t>Basedow's disease</w:t>
      </w:r>
    </w:p>
    <w:p>
      <w:pPr>
        <w:pStyle w:val="ListParagraph"/>
        <w:numPr>
          <w:ilvl w:val="2"/>
          <w:numId w:val="109"/>
        </w:numPr>
        <w:tabs>
          <w:tab w:pos="1461" w:val="left" w:leader="none"/>
          <w:tab w:pos="1462" w:val="left" w:leader="none"/>
        </w:tabs>
        <w:spacing w:line="240" w:lineRule="auto" w:before="184" w:after="0"/>
        <w:ind w:left="1461" w:right="0" w:hanging="360"/>
        <w:jc w:val="left"/>
        <w:rPr>
          <w:sz w:val="38"/>
        </w:rPr>
      </w:pPr>
      <w:r>
        <w:rPr>
          <w:sz w:val="38"/>
        </w:rPr>
        <w:t>Parkinson's</w:t>
      </w:r>
    </w:p>
    <w:p>
      <w:pPr>
        <w:pStyle w:val="ListParagraph"/>
        <w:numPr>
          <w:ilvl w:val="2"/>
          <w:numId w:val="109"/>
        </w:numPr>
        <w:tabs>
          <w:tab w:pos="1461" w:val="left" w:leader="none"/>
          <w:tab w:pos="1462" w:val="left" w:leader="none"/>
        </w:tabs>
        <w:spacing w:line="240" w:lineRule="auto" w:before="184" w:after="0"/>
        <w:ind w:left="1461" w:right="0" w:hanging="360"/>
        <w:jc w:val="left"/>
        <w:rPr>
          <w:sz w:val="38"/>
        </w:rPr>
      </w:pPr>
      <w:r>
        <w:rPr>
          <w:sz w:val="38"/>
        </w:rPr>
        <w:t>AIDS</w:t>
      </w:r>
    </w:p>
    <w:p>
      <w:pPr>
        <w:pStyle w:val="ListParagraph"/>
        <w:numPr>
          <w:ilvl w:val="2"/>
          <w:numId w:val="109"/>
        </w:numPr>
        <w:tabs>
          <w:tab w:pos="1461" w:val="left" w:leader="none"/>
          <w:tab w:pos="1462" w:val="left" w:leader="none"/>
        </w:tabs>
        <w:spacing w:line="240" w:lineRule="auto" w:before="184" w:after="0"/>
        <w:ind w:left="1461" w:right="0" w:hanging="360"/>
        <w:jc w:val="left"/>
        <w:rPr>
          <w:sz w:val="38"/>
        </w:rPr>
      </w:pPr>
      <w:r>
        <w:rPr>
          <w:sz w:val="38"/>
        </w:rPr>
        <w:t>Accelerated</w:t>
      </w:r>
      <w:r>
        <w:rPr>
          <w:spacing w:val="-2"/>
          <w:sz w:val="38"/>
        </w:rPr>
        <w:t> </w:t>
      </w:r>
      <w:r>
        <w:rPr>
          <w:sz w:val="38"/>
        </w:rPr>
        <w:t>ageing</w:t>
      </w:r>
    </w:p>
    <w:p>
      <w:pPr>
        <w:spacing w:after="0" w:line="240" w:lineRule="auto"/>
        <w:jc w:val="left"/>
        <w:rPr>
          <w:sz w:val="38"/>
        </w:rPr>
        <w:sectPr>
          <w:pgSz w:w="14270" w:h="16850"/>
          <w:pgMar w:header="0" w:footer="1891" w:top="1360" w:bottom="2080" w:left="800" w:right="1280"/>
        </w:sectPr>
      </w:pPr>
    </w:p>
    <w:p>
      <w:pPr>
        <w:pStyle w:val="ListParagraph"/>
        <w:numPr>
          <w:ilvl w:val="2"/>
          <w:numId w:val="109"/>
        </w:numPr>
        <w:tabs>
          <w:tab w:pos="1461" w:val="left" w:leader="none"/>
          <w:tab w:pos="1462" w:val="left" w:leader="none"/>
        </w:tabs>
        <w:spacing w:line="240" w:lineRule="auto" w:before="53" w:after="0"/>
        <w:ind w:left="1461" w:right="0" w:hanging="360"/>
        <w:jc w:val="left"/>
        <w:rPr>
          <w:sz w:val="38"/>
        </w:rPr>
      </w:pPr>
      <w:r>
        <w:rPr>
          <w:sz w:val="38"/>
        </w:rPr>
        <w:t>Muscular</w:t>
      </w:r>
      <w:r>
        <w:rPr>
          <w:spacing w:val="-1"/>
          <w:sz w:val="38"/>
        </w:rPr>
        <w:t> </w:t>
      </w:r>
      <w:r>
        <w:rPr>
          <w:sz w:val="38"/>
        </w:rPr>
        <w:t>atrophy</w:t>
      </w:r>
    </w:p>
    <w:p>
      <w:pPr>
        <w:pStyle w:val="ListParagraph"/>
        <w:numPr>
          <w:ilvl w:val="2"/>
          <w:numId w:val="109"/>
        </w:numPr>
        <w:tabs>
          <w:tab w:pos="1461" w:val="left" w:leader="none"/>
          <w:tab w:pos="1462" w:val="left" w:leader="none"/>
        </w:tabs>
        <w:spacing w:line="240" w:lineRule="auto" w:before="186" w:after="0"/>
        <w:ind w:left="1461" w:right="0" w:hanging="360"/>
        <w:jc w:val="left"/>
        <w:rPr>
          <w:sz w:val="38"/>
        </w:rPr>
      </w:pPr>
      <w:r>
        <w:rPr>
          <w:sz w:val="38"/>
        </w:rPr>
        <w:t>Eye disorders</w:t>
      </w:r>
      <w:r>
        <w:rPr>
          <w:spacing w:val="-1"/>
          <w:sz w:val="38"/>
        </w:rPr>
        <w:t> </w:t>
      </w:r>
      <w:r>
        <w:rPr>
          <w:sz w:val="38"/>
        </w:rPr>
        <w:t>(cataracts)</w:t>
      </w:r>
    </w:p>
    <w:p>
      <w:pPr>
        <w:pStyle w:val="ListParagraph"/>
        <w:numPr>
          <w:ilvl w:val="2"/>
          <w:numId w:val="109"/>
        </w:numPr>
        <w:tabs>
          <w:tab w:pos="1461" w:val="left" w:leader="none"/>
          <w:tab w:pos="1462" w:val="left" w:leader="none"/>
        </w:tabs>
        <w:spacing w:line="240" w:lineRule="auto" w:before="184" w:after="0"/>
        <w:ind w:left="1461" w:right="0" w:hanging="360"/>
        <w:jc w:val="left"/>
        <w:rPr>
          <w:sz w:val="38"/>
        </w:rPr>
      </w:pPr>
      <w:r>
        <w:rPr>
          <w:sz w:val="38"/>
        </w:rPr>
        <w:t>Retinal problems as a consequence of</w:t>
      </w:r>
      <w:r>
        <w:rPr>
          <w:spacing w:val="-1"/>
          <w:sz w:val="38"/>
        </w:rPr>
        <w:t> </w:t>
      </w:r>
      <w:r>
        <w:rPr>
          <w:sz w:val="38"/>
        </w:rPr>
        <w:t>diabetes</w:t>
      </w:r>
    </w:p>
    <w:p>
      <w:pPr>
        <w:pStyle w:val="Heading1"/>
        <w:spacing w:before="287"/>
        <w:ind w:left="616"/>
        <w:jc w:val="both"/>
      </w:pPr>
      <w:r>
        <w:rPr/>
        <w:t>Effect of selenium on cardiovascular</w:t>
      </w:r>
      <w:r>
        <w:rPr>
          <w:spacing w:val="-63"/>
        </w:rPr>
        <w:t> </w:t>
      </w:r>
      <w:r>
        <w:rPr/>
        <w:t>diseases</w:t>
      </w:r>
    </w:p>
    <w:p>
      <w:pPr>
        <w:pStyle w:val="BodyText"/>
        <w:spacing w:line="276" w:lineRule="auto" w:before="297"/>
        <w:ind w:left="616" w:right="132"/>
        <w:jc w:val="both"/>
      </w:pPr>
      <w:r>
        <w:rPr/>
        <w:t>Selenium unfolds its cardiovascular-protecting effect via multifactorial</w:t>
      </w:r>
      <w:r>
        <w:rPr>
          <w:spacing w:val="-55"/>
        </w:rPr>
        <w:t> </w:t>
      </w:r>
      <w:r>
        <w:rPr/>
        <w:t>mecha- nisms: On the one hand, it reliably protects (especially in combination with vitamin E!) the heart muscle cells from damage by free radicals and also nor- malises high blood pressure. On the other hand, selenium, with its metalloid properties, lowers electrical resistance, which generally optimises the control of all impulses in the body within the nerve pathways, including the electro- magnetic impulses of the sinus nodes in the heart muscle. One particularity is the</w:t>
      </w:r>
      <w:r>
        <w:rPr>
          <w:spacing w:val="-6"/>
        </w:rPr>
        <w:t> </w:t>
      </w:r>
      <w:r>
        <w:rPr/>
        <w:t>positive</w:t>
      </w:r>
      <w:r>
        <w:rPr>
          <w:spacing w:val="-7"/>
        </w:rPr>
        <w:t> </w:t>
      </w:r>
      <w:r>
        <w:rPr/>
        <w:t>effect</w:t>
      </w:r>
      <w:r>
        <w:rPr>
          <w:spacing w:val="-6"/>
        </w:rPr>
        <w:t> </w:t>
      </w:r>
      <w:r>
        <w:rPr/>
        <w:t>on</w:t>
      </w:r>
      <w:r>
        <w:rPr>
          <w:spacing w:val="-6"/>
        </w:rPr>
        <w:t> </w:t>
      </w:r>
      <w:r>
        <w:rPr/>
        <w:t>the</w:t>
      </w:r>
      <w:r>
        <w:rPr>
          <w:spacing w:val="-8"/>
        </w:rPr>
        <w:t> </w:t>
      </w:r>
      <w:r>
        <w:rPr/>
        <w:t>work</w:t>
      </w:r>
      <w:r>
        <w:rPr>
          <w:spacing w:val="-5"/>
        </w:rPr>
        <w:t> </w:t>
      </w:r>
      <w:r>
        <w:rPr/>
        <w:t>of</w:t>
      </w:r>
      <w:r>
        <w:rPr>
          <w:spacing w:val="-7"/>
        </w:rPr>
        <w:t> </w:t>
      </w:r>
      <w:r>
        <w:rPr/>
        <w:t>the</w:t>
      </w:r>
      <w:r>
        <w:rPr>
          <w:spacing w:val="-5"/>
        </w:rPr>
        <w:t> </w:t>
      </w:r>
      <w:r>
        <w:rPr/>
        <w:t>sinus</w:t>
      </w:r>
      <w:r>
        <w:rPr>
          <w:spacing w:val="-7"/>
        </w:rPr>
        <w:t> </w:t>
      </w:r>
      <w:r>
        <w:rPr/>
        <w:t>nodes</w:t>
      </w:r>
      <w:r>
        <w:rPr>
          <w:spacing w:val="-6"/>
        </w:rPr>
        <w:t> </w:t>
      </w:r>
      <w:r>
        <w:rPr/>
        <w:t>in</w:t>
      </w:r>
      <w:r>
        <w:rPr>
          <w:spacing w:val="-6"/>
        </w:rPr>
        <w:t> </w:t>
      </w:r>
      <w:r>
        <w:rPr/>
        <w:t>the</w:t>
      </w:r>
      <w:r>
        <w:rPr>
          <w:spacing w:val="-8"/>
        </w:rPr>
        <w:t> </w:t>
      </w:r>
      <w:r>
        <w:rPr/>
        <w:t>heart,</w:t>
      </w:r>
      <w:r>
        <w:rPr>
          <w:spacing w:val="-5"/>
        </w:rPr>
        <w:t> </w:t>
      </w:r>
      <w:r>
        <w:rPr/>
        <w:t>the</w:t>
      </w:r>
      <w:r>
        <w:rPr>
          <w:spacing w:val="-7"/>
        </w:rPr>
        <w:t> </w:t>
      </w:r>
      <w:r>
        <w:rPr/>
        <w:t>'heart</w:t>
      </w:r>
      <w:r>
        <w:rPr>
          <w:spacing w:val="-7"/>
        </w:rPr>
        <w:t> </w:t>
      </w:r>
      <w:r>
        <w:rPr/>
        <w:t>pace- maker', which supplies the autonomous electrical conduction system of the heart with corresponding electrical impulses, which cause the actual</w:t>
      </w:r>
      <w:r>
        <w:rPr>
          <w:spacing w:val="-62"/>
        </w:rPr>
        <w:t> </w:t>
      </w:r>
      <w:r>
        <w:rPr/>
        <w:t>heartbeat. Selenium can, in combination with vitamin E, have an excellent effect on an- gina</w:t>
      </w:r>
      <w:r>
        <w:rPr>
          <w:spacing w:val="-17"/>
        </w:rPr>
        <w:t> </w:t>
      </w:r>
      <w:r>
        <w:rPr/>
        <w:t>pectoris,</w:t>
      </w:r>
      <w:r>
        <w:rPr>
          <w:spacing w:val="-16"/>
        </w:rPr>
        <w:t> </w:t>
      </w:r>
      <w:r>
        <w:rPr/>
        <w:t>hypertension</w:t>
      </w:r>
      <w:r>
        <w:rPr>
          <w:spacing w:val="-17"/>
        </w:rPr>
        <w:t> </w:t>
      </w:r>
      <w:r>
        <w:rPr/>
        <w:t>(high</w:t>
      </w:r>
      <w:r>
        <w:rPr>
          <w:spacing w:val="-17"/>
        </w:rPr>
        <w:t> </w:t>
      </w:r>
      <w:r>
        <w:rPr/>
        <w:t>blood</w:t>
      </w:r>
      <w:r>
        <w:rPr>
          <w:spacing w:val="-16"/>
        </w:rPr>
        <w:t> </w:t>
      </w:r>
      <w:r>
        <w:rPr/>
        <w:t>pressure)</w:t>
      </w:r>
      <w:r>
        <w:rPr>
          <w:spacing w:val="-20"/>
        </w:rPr>
        <w:t> </w:t>
      </w:r>
      <w:r>
        <w:rPr/>
        <w:t>and</w:t>
      </w:r>
      <w:r>
        <w:rPr>
          <w:spacing w:val="-16"/>
        </w:rPr>
        <w:t> </w:t>
      </w:r>
      <w:r>
        <w:rPr/>
        <w:t>arrhythmia,</w:t>
      </w:r>
      <w:r>
        <w:rPr>
          <w:spacing w:val="-16"/>
        </w:rPr>
        <w:t> </w:t>
      </w:r>
      <w:r>
        <w:rPr/>
        <w:t>and</w:t>
      </w:r>
      <w:r>
        <w:rPr>
          <w:spacing w:val="-17"/>
        </w:rPr>
        <w:t> </w:t>
      </w:r>
      <w:r>
        <w:rPr/>
        <w:t>can</w:t>
      </w:r>
      <w:r>
        <w:rPr>
          <w:spacing w:val="-15"/>
        </w:rPr>
        <w:t> </w:t>
      </w:r>
      <w:r>
        <w:rPr/>
        <w:t>pro- tect against heart attack.</w:t>
      </w:r>
    </w:p>
    <w:p>
      <w:pPr>
        <w:pStyle w:val="Heading1"/>
        <w:ind w:left="616"/>
      </w:pPr>
      <w:r>
        <w:rPr/>
        <w:t>Protection against heart attack</w:t>
      </w:r>
    </w:p>
    <w:p>
      <w:pPr>
        <w:pStyle w:val="BodyText"/>
        <w:spacing w:line="276" w:lineRule="auto" w:before="299"/>
        <w:ind w:left="616" w:right="133"/>
        <w:jc w:val="both"/>
      </w:pPr>
      <w:r>
        <w:rPr/>
        <w:t>Selenium facilitates nerve stimulation and simultaneously lowers electric re- sistance. It has the property of supporting nerve stimulation in the area of the sinus</w:t>
      </w:r>
      <w:r>
        <w:rPr>
          <w:spacing w:val="-8"/>
        </w:rPr>
        <w:t> </w:t>
      </w:r>
      <w:r>
        <w:rPr/>
        <w:t>nodes.</w:t>
      </w:r>
      <w:r>
        <w:rPr>
          <w:spacing w:val="-7"/>
        </w:rPr>
        <w:t> </w:t>
      </w:r>
      <w:r>
        <w:rPr/>
        <w:t>In</w:t>
      </w:r>
      <w:r>
        <w:rPr>
          <w:spacing w:val="-9"/>
        </w:rPr>
        <w:t> </w:t>
      </w:r>
      <w:r>
        <w:rPr/>
        <w:t>this</w:t>
      </w:r>
      <w:r>
        <w:rPr>
          <w:spacing w:val="-6"/>
        </w:rPr>
        <w:t> </w:t>
      </w:r>
      <w:r>
        <w:rPr/>
        <w:t>way,</w:t>
      </w:r>
      <w:r>
        <w:rPr>
          <w:spacing w:val="-7"/>
        </w:rPr>
        <w:t> </w:t>
      </w:r>
      <w:r>
        <w:rPr/>
        <w:t>selenium</w:t>
      </w:r>
      <w:r>
        <w:rPr>
          <w:spacing w:val="-8"/>
        </w:rPr>
        <w:t> </w:t>
      </w:r>
      <w:r>
        <w:rPr/>
        <w:t>can</w:t>
      </w:r>
      <w:r>
        <w:rPr>
          <w:spacing w:val="-8"/>
        </w:rPr>
        <w:t> </w:t>
      </w:r>
      <w:r>
        <w:rPr/>
        <w:t>optimise</w:t>
      </w:r>
      <w:r>
        <w:rPr>
          <w:spacing w:val="-8"/>
        </w:rPr>
        <w:t> </w:t>
      </w:r>
      <w:r>
        <w:rPr/>
        <w:t>the</w:t>
      </w:r>
      <w:r>
        <w:rPr>
          <w:spacing w:val="-7"/>
        </w:rPr>
        <w:t> </w:t>
      </w:r>
      <w:r>
        <w:rPr/>
        <w:t>heartbeat</w:t>
      </w:r>
      <w:r>
        <w:rPr>
          <w:spacing w:val="-10"/>
        </w:rPr>
        <w:t> </w:t>
      </w:r>
      <w:r>
        <w:rPr/>
        <w:t>rhythm</w:t>
      </w:r>
      <w:r>
        <w:rPr>
          <w:spacing w:val="-8"/>
        </w:rPr>
        <w:t> </w:t>
      </w:r>
      <w:r>
        <w:rPr/>
        <w:t>and</w:t>
      </w:r>
      <w:r>
        <w:rPr>
          <w:spacing w:val="-8"/>
        </w:rPr>
        <w:t> </w:t>
      </w:r>
      <w:r>
        <w:rPr/>
        <w:t>help</w:t>
      </w:r>
    </w:p>
    <w:p>
      <w:pPr>
        <w:spacing w:after="0" w:line="276" w:lineRule="auto"/>
        <w:jc w:val="both"/>
        <w:sectPr>
          <w:pgSz w:w="14270" w:h="16850"/>
          <w:pgMar w:header="0" w:footer="1891" w:top="1360" w:bottom="2080" w:left="800" w:right="1280"/>
        </w:sectPr>
      </w:pPr>
    </w:p>
    <w:p>
      <w:pPr>
        <w:pStyle w:val="BodyText"/>
        <w:spacing w:line="276" w:lineRule="auto" w:before="72"/>
        <w:ind w:left="616" w:right="132"/>
        <w:jc w:val="both"/>
      </w:pPr>
      <w:r>
        <w:rPr/>
        <w:t>avoid heart problems up to and including heart attack. A pioneer in the re- search</w:t>
      </w:r>
      <w:r>
        <w:rPr>
          <w:spacing w:val="-12"/>
        </w:rPr>
        <w:t> </w:t>
      </w:r>
      <w:r>
        <w:rPr/>
        <w:t>of</w:t>
      </w:r>
      <w:r>
        <w:rPr>
          <w:spacing w:val="-13"/>
        </w:rPr>
        <w:t> </w:t>
      </w:r>
      <w:r>
        <w:rPr/>
        <w:t>selenium's</w:t>
      </w:r>
      <w:r>
        <w:rPr>
          <w:spacing w:val="-13"/>
        </w:rPr>
        <w:t> </w:t>
      </w:r>
      <w:r>
        <w:rPr/>
        <w:t>influence</w:t>
      </w:r>
      <w:r>
        <w:rPr>
          <w:spacing w:val="-13"/>
        </w:rPr>
        <w:t> </w:t>
      </w:r>
      <w:r>
        <w:rPr/>
        <w:t>on</w:t>
      </w:r>
      <w:r>
        <w:rPr>
          <w:spacing w:val="-12"/>
        </w:rPr>
        <w:t> </w:t>
      </w:r>
      <w:r>
        <w:rPr/>
        <w:t>the</w:t>
      </w:r>
      <w:r>
        <w:rPr>
          <w:spacing w:val="-12"/>
        </w:rPr>
        <w:t> </w:t>
      </w:r>
      <w:r>
        <w:rPr/>
        <w:t>cardiovascular</w:t>
      </w:r>
      <w:r>
        <w:rPr>
          <w:spacing w:val="-12"/>
        </w:rPr>
        <w:t> </w:t>
      </w:r>
      <w:r>
        <w:rPr/>
        <w:t>system</w:t>
      </w:r>
      <w:r>
        <w:rPr>
          <w:spacing w:val="-13"/>
        </w:rPr>
        <w:t> </w:t>
      </w:r>
      <w:r>
        <w:rPr/>
        <w:t>is</w:t>
      </w:r>
      <w:r>
        <w:rPr>
          <w:spacing w:val="-13"/>
        </w:rPr>
        <w:t> </w:t>
      </w:r>
      <w:r>
        <w:rPr/>
        <w:t>the</w:t>
      </w:r>
      <w:r>
        <w:rPr>
          <w:spacing w:val="-12"/>
        </w:rPr>
        <w:t> </w:t>
      </w:r>
      <w:r>
        <w:rPr/>
        <w:t>Finnish</w:t>
      </w:r>
      <w:r>
        <w:rPr>
          <w:spacing w:val="-12"/>
        </w:rPr>
        <w:t> </w:t>
      </w:r>
      <w:r>
        <w:rPr/>
        <w:t>doc- tor Dr. Johan A. Bjorksten. He was the first to analyse the high mortality rate of his compatriots in eastern Finland and was able to determine an almost frightening lack of selenium in this region. He was also able to determine that in countries whose water contained notably little selenium, heart attacks oc- curred</w:t>
      </w:r>
      <w:r>
        <w:rPr>
          <w:spacing w:val="-14"/>
        </w:rPr>
        <w:t> </w:t>
      </w:r>
      <w:r>
        <w:rPr/>
        <w:t>three</w:t>
      </w:r>
      <w:r>
        <w:rPr>
          <w:spacing w:val="-16"/>
        </w:rPr>
        <w:t> </w:t>
      </w:r>
      <w:r>
        <w:rPr/>
        <w:t>to</w:t>
      </w:r>
      <w:r>
        <w:rPr>
          <w:spacing w:val="-16"/>
        </w:rPr>
        <w:t> </w:t>
      </w:r>
      <w:r>
        <w:rPr/>
        <w:t>four</w:t>
      </w:r>
      <w:r>
        <w:rPr>
          <w:spacing w:val="-13"/>
        </w:rPr>
        <w:t> </w:t>
      </w:r>
      <w:r>
        <w:rPr/>
        <w:t>times</w:t>
      </w:r>
      <w:r>
        <w:rPr>
          <w:spacing w:val="-14"/>
        </w:rPr>
        <w:t> </w:t>
      </w:r>
      <w:r>
        <w:rPr/>
        <w:t>as</w:t>
      </w:r>
      <w:r>
        <w:rPr>
          <w:spacing w:val="-16"/>
        </w:rPr>
        <w:t> </w:t>
      </w:r>
      <w:r>
        <w:rPr/>
        <w:t>often</w:t>
      </w:r>
      <w:r>
        <w:rPr>
          <w:spacing w:val="-14"/>
        </w:rPr>
        <w:t> </w:t>
      </w:r>
      <w:r>
        <w:rPr/>
        <w:t>and</w:t>
      </w:r>
      <w:r>
        <w:rPr>
          <w:spacing w:val="-16"/>
        </w:rPr>
        <w:t> </w:t>
      </w:r>
      <w:r>
        <w:rPr/>
        <w:t>were</w:t>
      </w:r>
      <w:r>
        <w:rPr>
          <w:spacing w:val="-16"/>
        </w:rPr>
        <w:t> </w:t>
      </w:r>
      <w:r>
        <w:rPr/>
        <w:t>seven</w:t>
      </w:r>
      <w:r>
        <w:rPr>
          <w:spacing w:val="-14"/>
        </w:rPr>
        <w:t> </w:t>
      </w:r>
      <w:r>
        <w:rPr/>
        <w:t>times</w:t>
      </w:r>
      <w:r>
        <w:rPr>
          <w:spacing w:val="-16"/>
        </w:rPr>
        <w:t> </w:t>
      </w:r>
      <w:r>
        <w:rPr/>
        <w:t>as</w:t>
      </w:r>
      <w:r>
        <w:rPr>
          <w:spacing w:val="-15"/>
        </w:rPr>
        <w:t> </w:t>
      </w:r>
      <w:r>
        <w:rPr/>
        <w:t>likely</w:t>
      </w:r>
      <w:r>
        <w:rPr>
          <w:spacing w:val="-14"/>
        </w:rPr>
        <w:t> </w:t>
      </w:r>
      <w:r>
        <w:rPr/>
        <w:t>in</w:t>
      </w:r>
      <w:r>
        <w:rPr>
          <w:spacing w:val="-14"/>
        </w:rPr>
        <w:t> </w:t>
      </w:r>
      <w:r>
        <w:rPr/>
        <w:t>the</w:t>
      </w:r>
      <w:r>
        <w:rPr>
          <w:spacing w:val="-16"/>
        </w:rPr>
        <w:t> </w:t>
      </w:r>
      <w:r>
        <w:rPr/>
        <w:t>regions of Finland with low levels of selenium than in those with higher</w:t>
      </w:r>
      <w:r>
        <w:rPr>
          <w:spacing w:val="-8"/>
        </w:rPr>
        <w:t> </w:t>
      </w:r>
      <w:r>
        <w:rPr/>
        <w:t>levels.</w:t>
      </w:r>
    </w:p>
    <w:p>
      <w:pPr>
        <w:pStyle w:val="BodyText"/>
        <w:spacing w:line="276" w:lineRule="auto" w:before="243"/>
        <w:ind w:left="616" w:right="133"/>
        <w:jc w:val="both"/>
      </w:pPr>
      <w:r>
        <w:rPr/>
        <w:t>While in industrialized countries like USA or UK one in two deaths is due to a cardiovascular disease, in Bulgaria, where the soil is considered very sele- nium-rich, only 331 of every 100,000 people die of a heart attack! One meta- analysis</w:t>
      </w:r>
      <w:r>
        <w:rPr>
          <w:spacing w:val="-16"/>
        </w:rPr>
        <w:t> </w:t>
      </w:r>
      <w:r>
        <w:rPr/>
        <w:t>summarising</w:t>
      </w:r>
      <w:r>
        <w:rPr>
          <w:spacing w:val="-16"/>
        </w:rPr>
        <w:t> </w:t>
      </w:r>
      <w:r>
        <w:rPr/>
        <w:t>30</w:t>
      </w:r>
      <w:r>
        <w:rPr>
          <w:spacing w:val="-17"/>
        </w:rPr>
        <w:t> </w:t>
      </w:r>
      <w:r>
        <w:rPr/>
        <w:t>empirical</w:t>
      </w:r>
      <w:r>
        <w:rPr>
          <w:spacing w:val="-17"/>
        </w:rPr>
        <w:t> </w:t>
      </w:r>
      <w:r>
        <w:rPr/>
        <w:t>studies</w:t>
      </w:r>
      <w:r>
        <w:rPr>
          <w:spacing w:val="-17"/>
        </w:rPr>
        <w:t> </w:t>
      </w:r>
      <w:r>
        <w:rPr/>
        <w:t>is</w:t>
      </w:r>
      <w:r>
        <w:rPr>
          <w:spacing w:val="-17"/>
        </w:rPr>
        <w:t> </w:t>
      </w:r>
      <w:r>
        <w:rPr/>
        <w:t>also</w:t>
      </w:r>
      <w:r>
        <w:rPr>
          <w:spacing w:val="-16"/>
        </w:rPr>
        <w:t> </w:t>
      </w:r>
      <w:r>
        <w:rPr/>
        <w:t>very</w:t>
      </w:r>
      <w:r>
        <w:rPr>
          <w:spacing w:val="-15"/>
        </w:rPr>
        <w:t> </w:t>
      </w:r>
      <w:r>
        <w:rPr/>
        <w:t>convincing.</w:t>
      </w:r>
      <w:r>
        <w:rPr>
          <w:spacing w:val="-16"/>
        </w:rPr>
        <w:t> </w:t>
      </w:r>
      <w:r>
        <w:rPr/>
        <w:t>It</w:t>
      </w:r>
      <w:r>
        <w:rPr>
          <w:spacing w:val="-17"/>
        </w:rPr>
        <w:t> </w:t>
      </w:r>
      <w:r>
        <w:rPr/>
        <w:t>showed</w:t>
      </w:r>
      <w:r>
        <w:rPr>
          <w:spacing w:val="-17"/>
        </w:rPr>
        <w:t> </w:t>
      </w:r>
      <w:r>
        <w:rPr/>
        <w:t>an inversely proportional relationship between the selenium status of the subject and the risk of contracting cardiovascular</w:t>
      </w:r>
      <w:r>
        <w:rPr>
          <w:spacing w:val="-2"/>
        </w:rPr>
        <w:t> </w:t>
      </w:r>
      <w:r>
        <w:rPr/>
        <w:t>disease.</w:t>
      </w:r>
    </w:p>
    <w:p>
      <w:pPr>
        <w:pStyle w:val="Heading1"/>
        <w:spacing w:before="223"/>
        <w:ind w:left="616"/>
      </w:pPr>
      <w:r>
        <w:rPr/>
        <w:t>Selenium helps during acute heart</w:t>
      </w:r>
      <w:r>
        <w:rPr>
          <w:spacing w:val="-54"/>
        </w:rPr>
        <w:t> </w:t>
      </w:r>
      <w:r>
        <w:rPr/>
        <w:t>attack</w:t>
      </w:r>
    </w:p>
    <w:p>
      <w:pPr>
        <w:pStyle w:val="BodyText"/>
        <w:spacing w:line="276" w:lineRule="auto" w:before="297"/>
        <w:ind w:left="616" w:right="139"/>
        <w:jc w:val="both"/>
      </w:pPr>
      <w:r>
        <w:rPr/>
        <w:t>If the heart attack could not have been avoided, selenium helps with reducing heart muscle damage and rehabilitation. During the heart attack, harmful sub- stances</w:t>
      </w:r>
      <w:r>
        <w:rPr>
          <w:spacing w:val="-8"/>
        </w:rPr>
        <w:t> </w:t>
      </w:r>
      <w:r>
        <w:rPr/>
        <w:t>which</w:t>
      </w:r>
      <w:r>
        <w:rPr>
          <w:spacing w:val="-7"/>
        </w:rPr>
        <w:t> </w:t>
      </w:r>
      <w:r>
        <w:rPr/>
        <w:t>damage</w:t>
      </w:r>
      <w:r>
        <w:rPr>
          <w:spacing w:val="-8"/>
        </w:rPr>
        <w:t> </w:t>
      </w:r>
      <w:r>
        <w:rPr/>
        <w:t>heart</w:t>
      </w:r>
      <w:r>
        <w:rPr>
          <w:spacing w:val="-8"/>
        </w:rPr>
        <w:t> </w:t>
      </w:r>
      <w:r>
        <w:rPr/>
        <w:t>tissue</w:t>
      </w:r>
      <w:r>
        <w:rPr>
          <w:spacing w:val="-9"/>
        </w:rPr>
        <w:t> </w:t>
      </w:r>
      <w:r>
        <w:rPr/>
        <w:t>are</w:t>
      </w:r>
      <w:r>
        <w:rPr>
          <w:spacing w:val="-8"/>
        </w:rPr>
        <w:t> </w:t>
      </w:r>
      <w:r>
        <w:rPr/>
        <w:t>produced</w:t>
      </w:r>
      <w:r>
        <w:rPr>
          <w:spacing w:val="-10"/>
        </w:rPr>
        <w:t> </w:t>
      </w:r>
      <w:r>
        <w:rPr/>
        <w:t>more</w:t>
      </w:r>
      <w:r>
        <w:rPr>
          <w:spacing w:val="-8"/>
        </w:rPr>
        <w:t> </w:t>
      </w:r>
      <w:r>
        <w:rPr/>
        <w:t>intensively,</w:t>
      </w:r>
      <w:r>
        <w:rPr>
          <w:spacing w:val="-7"/>
        </w:rPr>
        <w:t> </w:t>
      </w:r>
      <w:r>
        <w:rPr/>
        <w:t>for</w:t>
      </w:r>
      <w:r>
        <w:rPr>
          <w:spacing w:val="-9"/>
        </w:rPr>
        <w:t> </w:t>
      </w:r>
      <w:r>
        <w:rPr/>
        <w:t>example lactate dehydrogenase and serum creatine</w:t>
      </w:r>
      <w:r>
        <w:rPr>
          <w:spacing w:val="-2"/>
        </w:rPr>
        <w:t> </w:t>
      </w:r>
      <w:r>
        <w:rPr/>
        <w:t>phosphokinase.</w:t>
      </w:r>
    </w:p>
    <w:p>
      <w:pPr>
        <w:pStyle w:val="BodyText"/>
        <w:spacing w:before="242"/>
        <w:ind w:left="616"/>
        <w:jc w:val="both"/>
      </w:pPr>
      <w:r>
        <w:rPr/>
        <w:t>Selenium has the property of quickly normalising this, which has an overall</w:t>
      </w:r>
    </w:p>
    <w:p>
      <w:pPr>
        <w:spacing w:after="0"/>
        <w:jc w:val="both"/>
        <w:sectPr>
          <w:pgSz w:w="14270" w:h="16850"/>
          <w:pgMar w:header="0" w:footer="1891" w:top="1340" w:bottom="2080" w:left="800" w:right="1280"/>
        </w:sectPr>
      </w:pPr>
    </w:p>
    <w:p>
      <w:pPr>
        <w:pStyle w:val="BodyText"/>
        <w:spacing w:line="276" w:lineRule="auto" w:before="72"/>
        <w:ind w:left="616" w:right="133"/>
        <w:jc w:val="both"/>
        <w:rPr>
          <w:sz w:val="25"/>
        </w:rPr>
      </w:pPr>
      <w:r>
        <w:rPr/>
        <w:t>positive effect on tissue damage and consequently a positive effect on</w:t>
      </w:r>
      <w:r>
        <w:rPr>
          <w:spacing w:val="-49"/>
        </w:rPr>
        <w:t> </w:t>
      </w:r>
      <w:r>
        <w:rPr/>
        <w:t>rehabil- itation after the heart attack. Research led by Dr. Johann Reisinger has also shown that the administration of selenium after circulation disruptions</w:t>
      </w:r>
      <w:r>
        <w:rPr>
          <w:spacing w:val="-49"/>
        </w:rPr>
        <w:t> </w:t>
      </w:r>
      <w:r>
        <w:rPr/>
        <w:t>caused by heart attack or stroke caused brain function to stabilise more</w:t>
      </w:r>
      <w:r>
        <w:rPr>
          <w:spacing w:val="-14"/>
        </w:rPr>
        <w:t> </w:t>
      </w:r>
      <w:r>
        <w:rPr/>
        <w:t>quickly.</w:t>
      </w:r>
      <w:r>
        <w:rPr>
          <w:position w:val="9"/>
          <w:sz w:val="25"/>
        </w:rPr>
        <w:t>808</w:t>
      </w:r>
    </w:p>
    <w:p>
      <w:pPr>
        <w:spacing w:line="276" w:lineRule="auto" w:before="241"/>
        <w:ind w:left="616" w:right="135" w:firstLine="0"/>
        <w:jc w:val="both"/>
        <w:rPr>
          <w:sz w:val="38"/>
        </w:rPr>
      </w:pPr>
      <w:r>
        <w:rPr>
          <w:i/>
          <w:sz w:val="38"/>
        </w:rPr>
        <w:t>'All</w:t>
      </w:r>
      <w:r>
        <w:rPr>
          <w:i/>
          <w:spacing w:val="-4"/>
          <w:sz w:val="38"/>
        </w:rPr>
        <w:t> </w:t>
      </w:r>
      <w:r>
        <w:rPr>
          <w:i/>
          <w:sz w:val="38"/>
        </w:rPr>
        <w:t>signs</w:t>
      </w:r>
      <w:r>
        <w:rPr>
          <w:i/>
          <w:spacing w:val="-5"/>
          <w:sz w:val="38"/>
        </w:rPr>
        <w:t> </w:t>
      </w:r>
      <w:r>
        <w:rPr>
          <w:i/>
          <w:sz w:val="38"/>
        </w:rPr>
        <w:t>point</w:t>
      </w:r>
      <w:r>
        <w:rPr>
          <w:i/>
          <w:spacing w:val="-6"/>
          <w:sz w:val="38"/>
        </w:rPr>
        <w:t> </w:t>
      </w:r>
      <w:r>
        <w:rPr>
          <w:i/>
          <w:sz w:val="38"/>
        </w:rPr>
        <w:t>to</w:t>
      </w:r>
      <w:r>
        <w:rPr>
          <w:i/>
          <w:spacing w:val="-6"/>
          <w:sz w:val="38"/>
        </w:rPr>
        <w:t> </w:t>
      </w:r>
      <w:r>
        <w:rPr>
          <w:i/>
          <w:sz w:val="38"/>
        </w:rPr>
        <w:t>this:</w:t>
      </w:r>
      <w:r>
        <w:rPr>
          <w:i/>
          <w:spacing w:val="-3"/>
          <w:sz w:val="38"/>
        </w:rPr>
        <w:t> </w:t>
      </w:r>
      <w:r>
        <w:rPr>
          <w:i/>
          <w:sz w:val="38"/>
        </w:rPr>
        <w:t>an</w:t>
      </w:r>
      <w:r>
        <w:rPr>
          <w:i/>
          <w:spacing w:val="-4"/>
          <w:sz w:val="38"/>
        </w:rPr>
        <w:t> </w:t>
      </w:r>
      <w:r>
        <w:rPr>
          <w:i/>
          <w:sz w:val="38"/>
        </w:rPr>
        <w:t>insufficient</w:t>
      </w:r>
      <w:r>
        <w:rPr>
          <w:i/>
          <w:spacing w:val="-5"/>
          <w:sz w:val="38"/>
        </w:rPr>
        <w:t> </w:t>
      </w:r>
      <w:r>
        <w:rPr>
          <w:i/>
          <w:sz w:val="38"/>
        </w:rPr>
        <w:t>selenium</w:t>
      </w:r>
      <w:r>
        <w:rPr>
          <w:i/>
          <w:spacing w:val="-4"/>
          <w:sz w:val="38"/>
        </w:rPr>
        <w:t> </w:t>
      </w:r>
      <w:r>
        <w:rPr>
          <w:i/>
          <w:sz w:val="38"/>
        </w:rPr>
        <w:t>supply</w:t>
      </w:r>
      <w:r>
        <w:rPr>
          <w:i/>
          <w:spacing w:val="-4"/>
          <w:sz w:val="38"/>
        </w:rPr>
        <w:t> </w:t>
      </w:r>
      <w:r>
        <w:rPr>
          <w:i/>
          <w:sz w:val="38"/>
        </w:rPr>
        <w:t>in</w:t>
      </w:r>
      <w:r>
        <w:rPr>
          <w:i/>
          <w:spacing w:val="-7"/>
          <w:sz w:val="38"/>
        </w:rPr>
        <w:t> </w:t>
      </w:r>
      <w:r>
        <w:rPr>
          <w:i/>
          <w:sz w:val="38"/>
        </w:rPr>
        <w:t>the</w:t>
      </w:r>
      <w:r>
        <w:rPr>
          <w:i/>
          <w:spacing w:val="-3"/>
          <w:sz w:val="38"/>
        </w:rPr>
        <w:t> </w:t>
      </w:r>
      <w:r>
        <w:rPr>
          <w:i/>
          <w:sz w:val="38"/>
        </w:rPr>
        <w:t>human</w:t>
      </w:r>
      <w:r>
        <w:rPr>
          <w:i/>
          <w:spacing w:val="-6"/>
          <w:sz w:val="38"/>
        </w:rPr>
        <w:t> </w:t>
      </w:r>
      <w:r>
        <w:rPr>
          <w:i/>
          <w:sz w:val="38"/>
        </w:rPr>
        <w:t>body</w:t>
      </w:r>
      <w:r>
        <w:rPr>
          <w:i/>
          <w:spacing w:val="-4"/>
          <w:sz w:val="38"/>
        </w:rPr>
        <w:t> </w:t>
      </w:r>
      <w:r>
        <w:rPr>
          <w:i/>
          <w:sz w:val="38"/>
        </w:rPr>
        <w:t>increases</w:t>
      </w:r>
      <w:r>
        <w:rPr>
          <w:i/>
          <w:spacing w:val="-4"/>
          <w:sz w:val="38"/>
        </w:rPr>
        <w:t> </w:t>
      </w:r>
      <w:r>
        <w:rPr>
          <w:i/>
          <w:sz w:val="38"/>
        </w:rPr>
        <w:t>the</w:t>
      </w:r>
      <w:r>
        <w:rPr>
          <w:i/>
          <w:spacing w:val="-4"/>
          <w:sz w:val="38"/>
        </w:rPr>
        <w:t> </w:t>
      </w:r>
      <w:r>
        <w:rPr>
          <w:i/>
          <w:sz w:val="38"/>
        </w:rPr>
        <w:t>risk </w:t>
      </w:r>
      <w:r>
        <w:rPr>
          <w:i/>
          <w:sz w:val="38"/>
        </w:rPr>
        <w:t>of the affected person contracting heart disease. We have learned that the heart muscles need the trace element selenium'. (</w:t>
      </w:r>
      <w:r>
        <w:rPr>
          <w:sz w:val="38"/>
        </w:rPr>
        <w:t>Prof. Dr. R.J.</w:t>
      </w:r>
      <w:r>
        <w:rPr>
          <w:spacing w:val="-5"/>
          <w:sz w:val="38"/>
        </w:rPr>
        <w:t> </w:t>
      </w:r>
      <w:r>
        <w:rPr>
          <w:sz w:val="38"/>
        </w:rPr>
        <w:t>Shamberger)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3"/>
        </w:rPr>
      </w:pPr>
      <w:r>
        <w:rPr/>
        <w:pict>
          <v:line style="position:absolute;mso-position-horizontal-relative:page;mso-position-vertical-relative:paragraph;z-index:10904;mso-wrap-distance-left:0;mso-wrap-distance-right:0" from="70.823997pt,9.971265pt" to="214.843997pt,9.971265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808 </w:t>
      </w:r>
      <w:r>
        <w:rPr>
          <w:sz w:val="20"/>
        </w:rPr>
        <w:t>Linz 2009</w:t>
      </w:r>
    </w:p>
    <w:p>
      <w:pPr>
        <w:spacing w:after="0"/>
        <w:jc w:val="left"/>
        <w:rPr>
          <w:sz w:val="20"/>
        </w:rPr>
        <w:sectPr>
          <w:pgSz w:w="14270" w:h="16850"/>
          <w:pgMar w:header="0" w:footer="1891" w:top="1340" w:bottom="2080" w:left="800" w:right="1280"/>
        </w:sectPr>
      </w:pPr>
    </w:p>
    <w:p>
      <w:pPr>
        <w:pStyle w:val="Heading1"/>
        <w:spacing w:before="77"/>
        <w:ind w:left="616"/>
      </w:pPr>
      <w:r>
        <w:rPr/>
        <w:t>Effect of selenium on sterility</w:t>
      </w:r>
    </w:p>
    <w:p>
      <w:pPr>
        <w:pStyle w:val="BodyText"/>
        <w:spacing w:line="276" w:lineRule="auto" w:before="299"/>
        <w:ind w:left="616" w:right="133"/>
        <w:jc w:val="both"/>
      </w:pPr>
      <w:r>
        <w:rPr/>
        <w:t>50</w:t>
      </w:r>
      <w:r>
        <w:rPr>
          <w:spacing w:val="-7"/>
        </w:rPr>
        <w:t> </w:t>
      </w:r>
      <w:r>
        <w:rPr/>
        <w:t>%</w:t>
      </w:r>
      <w:r>
        <w:rPr>
          <w:spacing w:val="-6"/>
        </w:rPr>
        <w:t> </w:t>
      </w:r>
      <w:r>
        <w:rPr/>
        <w:t>of</w:t>
      </w:r>
      <w:r>
        <w:rPr>
          <w:spacing w:val="-5"/>
        </w:rPr>
        <w:t> </w:t>
      </w:r>
      <w:r>
        <w:rPr/>
        <w:t>the</w:t>
      </w:r>
      <w:r>
        <w:rPr>
          <w:spacing w:val="-5"/>
        </w:rPr>
        <w:t> </w:t>
      </w:r>
      <w:r>
        <w:rPr/>
        <w:t>total</w:t>
      </w:r>
      <w:r>
        <w:rPr>
          <w:spacing w:val="-6"/>
        </w:rPr>
        <w:t> </w:t>
      </w:r>
      <w:r>
        <w:rPr/>
        <w:t>amount</w:t>
      </w:r>
      <w:r>
        <w:rPr>
          <w:spacing w:val="-6"/>
        </w:rPr>
        <w:t> </w:t>
      </w:r>
      <w:r>
        <w:rPr/>
        <w:t>of</w:t>
      </w:r>
      <w:r>
        <w:rPr>
          <w:spacing w:val="-6"/>
        </w:rPr>
        <w:t> </w:t>
      </w:r>
      <w:r>
        <w:rPr/>
        <w:t>selenium</w:t>
      </w:r>
      <w:r>
        <w:rPr>
          <w:spacing w:val="-5"/>
        </w:rPr>
        <w:t> </w:t>
      </w:r>
      <w:r>
        <w:rPr/>
        <w:t>stored</w:t>
      </w:r>
      <w:r>
        <w:rPr>
          <w:spacing w:val="-6"/>
        </w:rPr>
        <w:t> </w:t>
      </w:r>
      <w:r>
        <w:rPr/>
        <w:t>in</w:t>
      </w:r>
      <w:r>
        <w:rPr>
          <w:spacing w:val="-5"/>
        </w:rPr>
        <w:t> </w:t>
      </w:r>
      <w:r>
        <w:rPr/>
        <w:t>the</w:t>
      </w:r>
      <w:r>
        <w:rPr>
          <w:spacing w:val="-5"/>
        </w:rPr>
        <w:t> </w:t>
      </w:r>
      <w:r>
        <w:rPr/>
        <w:t>male</w:t>
      </w:r>
      <w:r>
        <w:rPr>
          <w:spacing w:val="-5"/>
        </w:rPr>
        <w:t> </w:t>
      </w:r>
      <w:r>
        <w:rPr/>
        <w:t>body</w:t>
      </w:r>
      <w:r>
        <w:rPr>
          <w:spacing w:val="-6"/>
        </w:rPr>
        <w:t> </w:t>
      </w:r>
      <w:r>
        <w:rPr/>
        <w:t>is</w:t>
      </w:r>
      <w:r>
        <w:rPr>
          <w:spacing w:val="-6"/>
        </w:rPr>
        <w:t> </w:t>
      </w:r>
      <w:r>
        <w:rPr/>
        <w:t>located</w:t>
      </w:r>
      <w:r>
        <w:rPr>
          <w:spacing w:val="-5"/>
        </w:rPr>
        <w:t> </w:t>
      </w:r>
      <w:r>
        <w:rPr/>
        <w:t>in</w:t>
      </w:r>
      <w:r>
        <w:rPr>
          <w:spacing w:val="-6"/>
        </w:rPr>
        <w:t> </w:t>
      </w:r>
      <w:r>
        <w:rPr/>
        <w:t>the testes</w:t>
      </w:r>
      <w:r>
        <w:rPr>
          <w:spacing w:val="-6"/>
        </w:rPr>
        <w:t> </w:t>
      </w:r>
      <w:r>
        <w:rPr/>
        <w:t>and</w:t>
      </w:r>
      <w:r>
        <w:rPr>
          <w:spacing w:val="-6"/>
        </w:rPr>
        <w:t> </w:t>
      </w:r>
      <w:r>
        <w:rPr/>
        <w:t>the</w:t>
      </w:r>
      <w:r>
        <w:rPr>
          <w:spacing w:val="-5"/>
        </w:rPr>
        <w:t> </w:t>
      </w:r>
      <w:r>
        <w:rPr/>
        <w:t>prostate</w:t>
      </w:r>
      <w:r>
        <w:rPr>
          <w:spacing w:val="-6"/>
        </w:rPr>
        <w:t> </w:t>
      </w:r>
      <w:r>
        <w:rPr/>
        <w:t>glands</w:t>
      </w:r>
      <w:r>
        <w:rPr>
          <w:spacing w:val="-5"/>
        </w:rPr>
        <w:t> </w:t>
      </w:r>
      <w:r>
        <w:rPr/>
        <w:t>of</w:t>
      </w:r>
      <w:r>
        <w:rPr>
          <w:spacing w:val="-6"/>
        </w:rPr>
        <w:t> </w:t>
      </w:r>
      <w:r>
        <w:rPr/>
        <w:t>the</w:t>
      </w:r>
      <w:r>
        <w:rPr>
          <w:spacing w:val="-5"/>
        </w:rPr>
        <w:t> </w:t>
      </w:r>
      <w:r>
        <w:rPr/>
        <w:t>man.</w:t>
      </w:r>
      <w:r>
        <w:rPr>
          <w:spacing w:val="-5"/>
        </w:rPr>
        <w:t> </w:t>
      </w:r>
      <w:r>
        <w:rPr/>
        <w:t>Therefore,</w:t>
      </w:r>
      <w:r>
        <w:rPr>
          <w:spacing w:val="-6"/>
        </w:rPr>
        <w:t> </w:t>
      </w:r>
      <w:r>
        <w:rPr/>
        <w:t>it</w:t>
      </w:r>
      <w:r>
        <w:rPr>
          <w:spacing w:val="-7"/>
        </w:rPr>
        <w:t> </w:t>
      </w:r>
      <w:r>
        <w:rPr/>
        <w:t>is</w:t>
      </w:r>
      <w:r>
        <w:rPr>
          <w:spacing w:val="-6"/>
        </w:rPr>
        <w:t> </w:t>
      </w:r>
      <w:r>
        <w:rPr/>
        <w:t>no</w:t>
      </w:r>
      <w:r>
        <w:rPr>
          <w:spacing w:val="-5"/>
        </w:rPr>
        <w:t> </w:t>
      </w:r>
      <w:r>
        <w:rPr/>
        <w:t>wonder</w:t>
      </w:r>
      <w:r>
        <w:rPr>
          <w:spacing w:val="-5"/>
        </w:rPr>
        <w:t> </w:t>
      </w:r>
      <w:r>
        <w:rPr/>
        <w:t>that</w:t>
      </w:r>
      <w:r>
        <w:rPr>
          <w:spacing w:val="-6"/>
        </w:rPr>
        <w:t> </w:t>
      </w:r>
      <w:r>
        <w:rPr/>
        <w:t>sele- nium</w:t>
      </w:r>
      <w:r>
        <w:rPr>
          <w:spacing w:val="-20"/>
        </w:rPr>
        <w:t> </w:t>
      </w:r>
      <w:r>
        <w:rPr/>
        <w:t>plays</w:t>
      </w:r>
      <w:r>
        <w:rPr>
          <w:spacing w:val="-19"/>
        </w:rPr>
        <w:t> </w:t>
      </w:r>
      <w:r>
        <w:rPr/>
        <w:t>a</w:t>
      </w:r>
      <w:r>
        <w:rPr>
          <w:spacing w:val="-20"/>
        </w:rPr>
        <w:t> </w:t>
      </w:r>
      <w:r>
        <w:rPr/>
        <w:t>decisive</w:t>
      </w:r>
      <w:r>
        <w:rPr>
          <w:spacing w:val="-19"/>
        </w:rPr>
        <w:t> </w:t>
      </w:r>
      <w:r>
        <w:rPr/>
        <w:t>role</w:t>
      </w:r>
      <w:r>
        <w:rPr>
          <w:spacing w:val="-20"/>
        </w:rPr>
        <w:t> </w:t>
      </w:r>
      <w:r>
        <w:rPr/>
        <w:t>in</w:t>
      </w:r>
      <w:r>
        <w:rPr>
          <w:spacing w:val="-21"/>
        </w:rPr>
        <w:t> </w:t>
      </w:r>
      <w:r>
        <w:rPr/>
        <w:t>the</w:t>
      </w:r>
      <w:r>
        <w:rPr>
          <w:spacing w:val="-20"/>
        </w:rPr>
        <w:t> </w:t>
      </w:r>
      <w:r>
        <w:rPr/>
        <w:t>reproductive</w:t>
      </w:r>
      <w:r>
        <w:rPr>
          <w:spacing w:val="-19"/>
        </w:rPr>
        <w:t> </w:t>
      </w:r>
      <w:r>
        <w:rPr/>
        <w:t>process.</w:t>
      </w:r>
      <w:r>
        <w:rPr>
          <w:spacing w:val="-20"/>
        </w:rPr>
        <w:t> </w:t>
      </w:r>
      <w:r>
        <w:rPr/>
        <w:t>And</w:t>
      </w:r>
      <w:r>
        <w:rPr>
          <w:spacing w:val="-18"/>
        </w:rPr>
        <w:t> </w:t>
      </w:r>
      <w:r>
        <w:rPr/>
        <w:t>in</w:t>
      </w:r>
      <w:r>
        <w:rPr>
          <w:spacing w:val="-21"/>
        </w:rPr>
        <w:t> </w:t>
      </w:r>
      <w:r>
        <w:rPr/>
        <w:t>fact,</w:t>
      </w:r>
      <w:r>
        <w:rPr>
          <w:spacing w:val="-20"/>
        </w:rPr>
        <w:t> </w:t>
      </w:r>
      <w:r>
        <w:rPr/>
        <w:t>studies</w:t>
      </w:r>
      <w:r>
        <w:rPr>
          <w:spacing w:val="-19"/>
        </w:rPr>
        <w:t> </w:t>
      </w:r>
      <w:r>
        <w:rPr/>
        <w:t>have shown that men with a selenium deficit have problems with sterility. With every single ejaculation, the man loses a considerable portion of the selenium stored in the body. It is therefore vitally important to compensate for this</w:t>
      </w:r>
      <w:r>
        <w:rPr>
          <w:spacing w:val="-47"/>
        </w:rPr>
        <w:t> </w:t>
      </w:r>
      <w:r>
        <w:rPr/>
        <w:t>loss with a regular intake of selenium, in order to maintain health and prevent im- potence.</w:t>
      </w:r>
    </w:p>
    <w:p>
      <w:pPr>
        <w:pStyle w:val="Heading1"/>
        <w:spacing w:before="222"/>
        <w:ind w:left="616"/>
      </w:pPr>
      <w:r>
        <w:rPr/>
        <w:t>Effect of selenium on allergies</w:t>
      </w:r>
    </w:p>
    <w:p>
      <w:pPr>
        <w:pStyle w:val="BodyText"/>
        <w:spacing w:line="276" w:lineRule="auto" w:before="299"/>
        <w:ind w:left="616" w:right="137"/>
        <w:jc w:val="both"/>
      </w:pPr>
      <w:r>
        <w:rPr/>
        <w:t>The cause of the constantly increasing number of allergies in our part of the world</w:t>
      </w:r>
      <w:r>
        <w:rPr>
          <w:spacing w:val="-11"/>
        </w:rPr>
        <w:t> </w:t>
      </w:r>
      <w:r>
        <w:rPr/>
        <w:t>lies</w:t>
      </w:r>
      <w:r>
        <w:rPr>
          <w:spacing w:val="-11"/>
        </w:rPr>
        <w:t> </w:t>
      </w:r>
      <w:r>
        <w:rPr/>
        <w:t>in</w:t>
      </w:r>
      <w:r>
        <w:rPr>
          <w:spacing w:val="-12"/>
        </w:rPr>
        <w:t> </w:t>
      </w:r>
      <w:r>
        <w:rPr/>
        <w:t>parallel</w:t>
      </w:r>
      <w:r>
        <w:rPr>
          <w:spacing w:val="-11"/>
        </w:rPr>
        <w:t> </w:t>
      </w:r>
      <w:r>
        <w:rPr/>
        <w:t>with</w:t>
      </w:r>
      <w:r>
        <w:rPr>
          <w:spacing w:val="-12"/>
        </w:rPr>
        <w:t> </w:t>
      </w:r>
      <w:r>
        <w:rPr/>
        <w:t>the</w:t>
      </w:r>
      <w:r>
        <w:rPr>
          <w:spacing w:val="-10"/>
        </w:rPr>
        <w:t> </w:t>
      </w:r>
      <w:r>
        <w:rPr/>
        <w:t>decreasing</w:t>
      </w:r>
      <w:r>
        <w:rPr>
          <w:spacing w:val="-11"/>
        </w:rPr>
        <w:t> </w:t>
      </w:r>
      <w:r>
        <w:rPr/>
        <w:t>selenium</w:t>
      </w:r>
      <w:r>
        <w:rPr>
          <w:spacing w:val="-11"/>
        </w:rPr>
        <w:t> </w:t>
      </w:r>
      <w:r>
        <w:rPr/>
        <w:t>content</w:t>
      </w:r>
      <w:r>
        <w:rPr>
          <w:spacing w:val="-12"/>
        </w:rPr>
        <w:t> </w:t>
      </w:r>
      <w:r>
        <w:rPr/>
        <w:t>in</w:t>
      </w:r>
      <w:r>
        <w:rPr>
          <w:spacing w:val="-11"/>
        </w:rPr>
        <w:t> </w:t>
      </w:r>
      <w:r>
        <w:rPr/>
        <w:t>the</w:t>
      </w:r>
      <w:r>
        <w:rPr>
          <w:spacing w:val="-13"/>
        </w:rPr>
        <w:t> </w:t>
      </w:r>
      <w:r>
        <w:rPr/>
        <w:t>soil.</w:t>
      </w:r>
      <w:r>
        <w:rPr>
          <w:spacing w:val="-10"/>
        </w:rPr>
        <w:t> </w:t>
      </w:r>
      <w:r>
        <w:rPr/>
        <w:t>Selenium plays a crucially important role in allergic reactions, as it counteracts the aller- gens, i.e. the allergy-triggering</w:t>
      </w:r>
      <w:r>
        <w:rPr>
          <w:spacing w:val="2"/>
        </w:rPr>
        <w:t> </w:t>
      </w:r>
      <w:r>
        <w:rPr/>
        <w:t>substances.</w:t>
      </w:r>
    </w:p>
    <w:p>
      <w:pPr>
        <w:pStyle w:val="Heading1"/>
        <w:spacing w:before="225"/>
        <w:ind w:left="616"/>
      </w:pPr>
      <w:r>
        <w:rPr/>
        <w:t>Effect on diabetes</w:t>
      </w:r>
    </w:p>
    <w:p>
      <w:pPr>
        <w:pStyle w:val="BodyText"/>
        <w:spacing w:line="276" w:lineRule="auto" w:before="297"/>
        <w:ind w:left="616" w:right="135"/>
        <w:jc w:val="both"/>
      </w:pPr>
      <w:r>
        <w:rPr/>
        <w:t>Diabetes seems to be at least partially connected to a selenium deficit. A lack of selenium and vitamin E has been shown to prevent insulin production. A selenium</w:t>
      </w:r>
      <w:r>
        <w:rPr>
          <w:spacing w:val="-12"/>
        </w:rPr>
        <w:t> </w:t>
      </w:r>
      <w:r>
        <w:rPr/>
        <w:t>deficit</w:t>
      </w:r>
      <w:r>
        <w:rPr>
          <w:spacing w:val="-13"/>
        </w:rPr>
        <w:t> </w:t>
      </w:r>
      <w:r>
        <w:rPr/>
        <w:t>also</w:t>
      </w:r>
      <w:r>
        <w:rPr>
          <w:spacing w:val="-11"/>
        </w:rPr>
        <w:t> </w:t>
      </w:r>
      <w:r>
        <w:rPr/>
        <w:t>has</w:t>
      </w:r>
      <w:r>
        <w:rPr>
          <w:spacing w:val="-11"/>
        </w:rPr>
        <w:t> </w:t>
      </w:r>
      <w:r>
        <w:rPr/>
        <w:t>a</w:t>
      </w:r>
      <w:r>
        <w:rPr>
          <w:spacing w:val="-15"/>
        </w:rPr>
        <w:t> </w:t>
      </w:r>
      <w:r>
        <w:rPr/>
        <w:t>negative</w:t>
      </w:r>
      <w:r>
        <w:rPr>
          <w:spacing w:val="-13"/>
        </w:rPr>
        <w:t> </w:t>
      </w:r>
      <w:r>
        <w:rPr/>
        <w:t>influence</w:t>
      </w:r>
      <w:r>
        <w:rPr>
          <w:spacing w:val="-11"/>
        </w:rPr>
        <w:t> </w:t>
      </w:r>
      <w:r>
        <w:rPr/>
        <w:t>on</w:t>
      </w:r>
      <w:r>
        <w:rPr>
          <w:spacing w:val="-11"/>
        </w:rPr>
        <w:t> </w:t>
      </w:r>
      <w:r>
        <w:rPr/>
        <w:t>the</w:t>
      </w:r>
      <w:r>
        <w:rPr>
          <w:spacing w:val="-11"/>
        </w:rPr>
        <w:t> </w:t>
      </w:r>
      <w:r>
        <w:rPr/>
        <w:t>islets</w:t>
      </w:r>
      <w:r>
        <w:rPr>
          <w:spacing w:val="-11"/>
        </w:rPr>
        <w:t> </w:t>
      </w:r>
      <w:r>
        <w:rPr/>
        <w:t>of</w:t>
      </w:r>
      <w:r>
        <w:rPr>
          <w:spacing w:val="-14"/>
        </w:rPr>
        <w:t> </w:t>
      </w:r>
      <w:r>
        <w:rPr/>
        <w:t>Langerhans</w:t>
      </w:r>
      <w:r>
        <w:rPr>
          <w:spacing w:val="-11"/>
        </w:rPr>
        <w:t> </w:t>
      </w:r>
      <w:r>
        <w:rPr/>
        <w:t>in</w:t>
      </w:r>
      <w:r>
        <w:rPr>
          <w:spacing w:val="-14"/>
        </w:rPr>
        <w:t> </w:t>
      </w:r>
      <w:r>
        <w:rPr/>
        <w:t>the pancreas,</w:t>
      </w:r>
      <w:r>
        <w:rPr>
          <w:spacing w:val="-14"/>
        </w:rPr>
        <w:t> </w:t>
      </w:r>
      <w:r>
        <w:rPr/>
        <w:t>which</w:t>
      </w:r>
      <w:r>
        <w:rPr>
          <w:spacing w:val="-16"/>
        </w:rPr>
        <w:t> </w:t>
      </w:r>
      <w:r>
        <w:rPr/>
        <w:t>are</w:t>
      </w:r>
      <w:r>
        <w:rPr>
          <w:spacing w:val="-14"/>
        </w:rPr>
        <w:t> </w:t>
      </w:r>
      <w:r>
        <w:rPr/>
        <w:t>responsible</w:t>
      </w:r>
      <w:r>
        <w:rPr>
          <w:spacing w:val="-15"/>
        </w:rPr>
        <w:t> </w:t>
      </w:r>
      <w:r>
        <w:rPr/>
        <w:t>for</w:t>
      </w:r>
      <w:r>
        <w:rPr>
          <w:spacing w:val="-13"/>
        </w:rPr>
        <w:t> </w:t>
      </w:r>
      <w:r>
        <w:rPr/>
        <w:t>the</w:t>
      </w:r>
      <w:r>
        <w:rPr>
          <w:spacing w:val="-16"/>
        </w:rPr>
        <w:t> </w:t>
      </w:r>
      <w:r>
        <w:rPr/>
        <w:t>production</w:t>
      </w:r>
      <w:r>
        <w:rPr>
          <w:spacing w:val="-14"/>
        </w:rPr>
        <w:t> </w:t>
      </w:r>
      <w:r>
        <w:rPr/>
        <w:t>of</w:t>
      </w:r>
      <w:r>
        <w:rPr>
          <w:spacing w:val="-14"/>
        </w:rPr>
        <w:t> </w:t>
      </w:r>
      <w:r>
        <w:rPr/>
        <w:t>insulin</w:t>
      </w:r>
      <w:r>
        <w:rPr>
          <w:spacing w:val="-15"/>
        </w:rPr>
        <w:t> </w:t>
      </w:r>
      <w:r>
        <w:rPr/>
        <w:t>and</w:t>
      </w:r>
      <w:r>
        <w:rPr>
          <w:spacing w:val="-16"/>
        </w:rPr>
        <w:t> </w:t>
      </w:r>
      <w:r>
        <w:rPr/>
        <w:t>glucagon.</w:t>
      </w:r>
      <w:r>
        <w:rPr>
          <w:spacing w:val="-14"/>
        </w:rPr>
        <w:t> </w:t>
      </w:r>
      <w:r>
        <w:rPr/>
        <w:t>By implication,</w:t>
      </w:r>
      <w:r>
        <w:rPr>
          <w:spacing w:val="-24"/>
        </w:rPr>
        <w:t> </w:t>
      </w:r>
      <w:r>
        <w:rPr/>
        <w:t>an</w:t>
      </w:r>
      <w:r>
        <w:rPr>
          <w:spacing w:val="-24"/>
        </w:rPr>
        <w:t> </w:t>
      </w:r>
      <w:r>
        <w:rPr/>
        <w:t>adequate</w:t>
      </w:r>
      <w:r>
        <w:rPr>
          <w:spacing w:val="-24"/>
        </w:rPr>
        <w:t> </w:t>
      </w:r>
      <w:r>
        <w:rPr/>
        <w:t>supply</w:t>
      </w:r>
      <w:r>
        <w:rPr>
          <w:spacing w:val="-25"/>
        </w:rPr>
        <w:t> </w:t>
      </w:r>
      <w:r>
        <w:rPr/>
        <w:t>of</w:t>
      </w:r>
      <w:r>
        <w:rPr>
          <w:spacing w:val="-24"/>
        </w:rPr>
        <w:t> </w:t>
      </w:r>
      <w:r>
        <w:rPr/>
        <w:t>selenium</w:t>
      </w:r>
      <w:r>
        <w:rPr>
          <w:spacing w:val="-24"/>
        </w:rPr>
        <w:t> </w:t>
      </w:r>
      <w:r>
        <w:rPr/>
        <w:t>can</w:t>
      </w:r>
      <w:r>
        <w:rPr>
          <w:spacing w:val="-26"/>
        </w:rPr>
        <w:t> </w:t>
      </w:r>
      <w:r>
        <w:rPr/>
        <w:t>prevent</w:t>
      </w:r>
      <w:r>
        <w:rPr>
          <w:spacing w:val="-23"/>
        </w:rPr>
        <w:t> </w:t>
      </w:r>
      <w:r>
        <w:rPr/>
        <w:t>diabetes</w:t>
      </w:r>
      <w:r>
        <w:rPr>
          <w:spacing w:val="-23"/>
        </w:rPr>
        <w:t> </w:t>
      </w:r>
      <w:r>
        <w:rPr/>
        <w:t>and</w:t>
      </w:r>
      <w:r>
        <w:rPr>
          <w:spacing w:val="-24"/>
        </w:rPr>
        <w:t> </w:t>
      </w:r>
      <w:r>
        <w:rPr/>
        <w:t>positively influence existing diabetes. In general, however, diabetics are threatened</w:t>
      </w:r>
      <w:r>
        <w:rPr>
          <w:spacing w:val="-9"/>
        </w:rPr>
        <w:t> </w:t>
      </w:r>
      <w:r>
        <w:rPr/>
        <w:t>by</w:t>
      </w:r>
    </w:p>
    <w:p>
      <w:pPr>
        <w:spacing w:after="0" w:line="276" w:lineRule="auto"/>
        <w:jc w:val="both"/>
        <w:sectPr>
          <w:pgSz w:w="14270" w:h="16850"/>
          <w:pgMar w:header="0" w:footer="1891" w:top="1320" w:bottom="2080" w:left="800" w:right="1280"/>
        </w:sectPr>
      </w:pPr>
    </w:p>
    <w:p>
      <w:pPr>
        <w:pStyle w:val="BodyText"/>
        <w:spacing w:line="278" w:lineRule="auto" w:before="72"/>
        <w:ind w:left="616" w:right="147"/>
        <w:jc w:val="both"/>
      </w:pPr>
      <w:r>
        <w:rPr/>
        <w:t>strong oxidative stress in their blood vessels. Efficient antioxidants like sele- nium can rein in oxidative stress and protect the diabetic's blood vessels.</w:t>
      </w:r>
    </w:p>
    <w:p>
      <w:pPr>
        <w:pStyle w:val="Heading1"/>
        <w:spacing w:before="215"/>
        <w:ind w:left="616"/>
      </w:pPr>
      <w:r>
        <w:rPr/>
        <w:t>Regulating effect of selenium on the thyroid gland</w:t>
      </w:r>
    </w:p>
    <w:p>
      <w:pPr>
        <w:pStyle w:val="BodyText"/>
        <w:spacing w:line="276" w:lineRule="auto" w:before="299"/>
        <w:ind w:left="616" w:right="132"/>
        <w:jc w:val="both"/>
      </w:pPr>
      <w:r>
        <w:rPr/>
        <w:t>Our</w:t>
      </w:r>
      <w:r>
        <w:rPr>
          <w:spacing w:val="-16"/>
        </w:rPr>
        <w:t> </w:t>
      </w:r>
      <w:r>
        <w:rPr/>
        <w:t>thyroid</w:t>
      </w:r>
      <w:r>
        <w:rPr>
          <w:spacing w:val="-16"/>
        </w:rPr>
        <w:t> </w:t>
      </w:r>
      <w:r>
        <w:rPr/>
        <w:t>gland</w:t>
      </w:r>
      <w:r>
        <w:rPr>
          <w:spacing w:val="-16"/>
        </w:rPr>
        <w:t> </w:t>
      </w:r>
      <w:r>
        <w:rPr/>
        <w:t>takes</w:t>
      </w:r>
      <w:r>
        <w:rPr>
          <w:spacing w:val="-16"/>
        </w:rPr>
        <w:t> </w:t>
      </w:r>
      <w:r>
        <w:rPr/>
        <w:t>on</w:t>
      </w:r>
      <w:r>
        <w:rPr>
          <w:spacing w:val="-15"/>
        </w:rPr>
        <w:t> </w:t>
      </w:r>
      <w:r>
        <w:rPr/>
        <w:t>important</w:t>
      </w:r>
      <w:r>
        <w:rPr>
          <w:spacing w:val="-17"/>
        </w:rPr>
        <w:t> </w:t>
      </w:r>
      <w:r>
        <w:rPr/>
        <w:t>tasks</w:t>
      </w:r>
      <w:r>
        <w:rPr>
          <w:spacing w:val="-16"/>
        </w:rPr>
        <w:t> </w:t>
      </w:r>
      <w:r>
        <w:rPr/>
        <w:t>in</w:t>
      </w:r>
      <w:r>
        <w:rPr>
          <w:spacing w:val="-15"/>
        </w:rPr>
        <w:t> </w:t>
      </w:r>
      <w:r>
        <w:rPr/>
        <w:t>our</w:t>
      </w:r>
      <w:r>
        <w:rPr>
          <w:spacing w:val="-16"/>
        </w:rPr>
        <w:t> </w:t>
      </w:r>
      <w:r>
        <w:rPr/>
        <w:t>bodies,</w:t>
      </w:r>
      <w:r>
        <w:rPr>
          <w:spacing w:val="-15"/>
        </w:rPr>
        <w:t> </w:t>
      </w:r>
      <w:r>
        <w:rPr/>
        <w:t>from</w:t>
      </w:r>
      <w:r>
        <w:rPr>
          <w:spacing w:val="-19"/>
        </w:rPr>
        <w:t> </w:t>
      </w:r>
      <w:r>
        <w:rPr/>
        <w:t>controlling</w:t>
      </w:r>
      <w:r>
        <w:rPr>
          <w:spacing w:val="-15"/>
        </w:rPr>
        <w:t> </w:t>
      </w:r>
      <w:r>
        <w:rPr/>
        <w:t>our energy balance all the way to controlling our metabolic processes. Selenium is a component of the enzyme 'deiodinase', which is responsible for the produc- tion of thyroid hormones.</w:t>
      </w:r>
    </w:p>
    <w:p>
      <w:pPr>
        <w:pStyle w:val="BodyText"/>
        <w:spacing w:line="276" w:lineRule="auto" w:before="242"/>
        <w:ind w:left="616" w:right="135"/>
        <w:jc w:val="both"/>
      </w:pPr>
      <w:r>
        <w:rPr/>
        <w:t>A</w:t>
      </w:r>
      <w:r>
        <w:rPr>
          <w:spacing w:val="-8"/>
        </w:rPr>
        <w:t> </w:t>
      </w:r>
      <w:r>
        <w:rPr/>
        <w:t>selenium</w:t>
      </w:r>
      <w:r>
        <w:rPr>
          <w:spacing w:val="-8"/>
        </w:rPr>
        <w:t> </w:t>
      </w:r>
      <w:r>
        <w:rPr/>
        <w:t>deficit</w:t>
      </w:r>
      <w:r>
        <w:rPr>
          <w:spacing w:val="-8"/>
        </w:rPr>
        <w:t> </w:t>
      </w:r>
      <w:r>
        <w:rPr/>
        <w:t>can,</w:t>
      </w:r>
      <w:r>
        <w:rPr>
          <w:spacing w:val="-6"/>
        </w:rPr>
        <w:t> </w:t>
      </w:r>
      <w:r>
        <w:rPr/>
        <w:t>due</w:t>
      </w:r>
      <w:r>
        <w:rPr>
          <w:spacing w:val="-10"/>
        </w:rPr>
        <w:t> </w:t>
      </w:r>
      <w:r>
        <w:rPr/>
        <w:t>to</w:t>
      </w:r>
      <w:r>
        <w:rPr>
          <w:spacing w:val="-7"/>
        </w:rPr>
        <w:t> </w:t>
      </w:r>
      <w:r>
        <w:rPr/>
        <w:t>insufficient</w:t>
      </w:r>
      <w:r>
        <w:rPr>
          <w:spacing w:val="-7"/>
        </w:rPr>
        <w:t> </w:t>
      </w:r>
      <w:r>
        <w:rPr/>
        <w:t>deiodinase</w:t>
      </w:r>
      <w:r>
        <w:rPr>
          <w:spacing w:val="-8"/>
        </w:rPr>
        <w:t> </w:t>
      </w:r>
      <w:r>
        <w:rPr/>
        <w:t>activity,</w:t>
      </w:r>
      <w:r>
        <w:rPr>
          <w:spacing w:val="-6"/>
        </w:rPr>
        <w:t> </w:t>
      </w:r>
      <w:r>
        <w:rPr/>
        <w:t>lead</w:t>
      </w:r>
      <w:r>
        <w:rPr>
          <w:spacing w:val="-11"/>
        </w:rPr>
        <w:t> </w:t>
      </w:r>
      <w:r>
        <w:rPr/>
        <w:t>to</w:t>
      </w:r>
      <w:r>
        <w:rPr>
          <w:spacing w:val="-6"/>
        </w:rPr>
        <w:t> </w:t>
      </w:r>
      <w:r>
        <w:rPr/>
        <w:t>hypothy- roidism with its unpleasant symptoms ranging from weight gain, hair loss and depression all the way to cardiovascular problems. An adequate supply of se- lenium can prevent hypothyroidism and thus the above-mentioned</w:t>
      </w:r>
      <w:r>
        <w:rPr>
          <w:spacing w:val="-21"/>
        </w:rPr>
        <w:t> </w:t>
      </w:r>
      <w:r>
        <w:rPr/>
        <w:t>problems.</w:t>
      </w:r>
    </w:p>
    <w:p>
      <w:pPr>
        <w:pStyle w:val="Heading1"/>
        <w:spacing w:before="222"/>
        <w:ind w:left="616"/>
      </w:pPr>
      <w:r>
        <w:rPr/>
        <w:t>Effect of selenium on Hashimoto's</w:t>
      </w:r>
      <w:r>
        <w:rPr>
          <w:spacing w:val="-69"/>
        </w:rPr>
        <w:t> </w:t>
      </w:r>
      <w:r>
        <w:rPr/>
        <w:t>thyroiditis</w:t>
      </w:r>
    </w:p>
    <w:p>
      <w:pPr>
        <w:pStyle w:val="BodyText"/>
        <w:spacing w:line="276" w:lineRule="auto" w:before="300"/>
        <w:ind w:left="616" w:right="140"/>
        <w:jc w:val="both"/>
      </w:pPr>
      <w:r>
        <w:rPr/>
        <w:t>Selenium</w:t>
      </w:r>
      <w:r>
        <w:rPr>
          <w:spacing w:val="-10"/>
        </w:rPr>
        <w:t> </w:t>
      </w:r>
      <w:r>
        <w:rPr/>
        <w:t>can</w:t>
      </w:r>
      <w:r>
        <w:rPr>
          <w:spacing w:val="-8"/>
        </w:rPr>
        <w:t> </w:t>
      </w:r>
      <w:r>
        <w:rPr/>
        <w:t>significantly</w:t>
      </w:r>
      <w:r>
        <w:rPr>
          <w:spacing w:val="-10"/>
        </w:rPr>
        <w:t> </w:t>
      </w:r>
      <w:r>
        <w:rPr/>
        <w:t>decrease</w:t>
      </w:r>
      <w:r>
        <w:rPr>
          <w:spacing w:val="-9"/>
        </w:rPr>
        <w:t> </w:t>
      </w:r>
      <w:r>
        <w:rPr/>
        <w:t>the</w:t>
      </w:r>
      <w:r>
        <w:rPr>
          <w:spacing w:val="-8"/>
        </w:rPr>
        <w:t> </w:t>
      </w:r>
      <w:r>
        <w:rPr/>
        <w:t>number</w:t>
      </w:r>
      <w:r>
        <w:rPr>
          <w:spacing w:val="-9"/>
        </w:rPr>
        <w:t> </w:t>
      </w:r>
      <w:r>
        <w:rPr/>
        <w:t>of</w:t>
      </w:r>
      <w:r>
        <w:rPr>
          <w:spacing w:val="-10"/>
        </w:rPr>
        <w:t> </w:t>
      </w:r>
      <w:r>
        <w:rPr/>
        <w:t>antibodies</w:t>
      </w:r>
      <w:r>
        <w:rPr>
          <w:spacing w:val="-10"/>
        </w:rPr>
        <w:t> </w:t>
      </w:r>
      <w:r>
        <w:rPr/>
        <w:t>that</w:t>
      </w:r>
      <w:r>
        <w:rPr>
          <w:spacing w:val="-8"/>
        </w:rPr>
        <w:t> </w:t>
      </w:r>
      <w:r>
        <w:rPr/>
        <w:t>combat</w:t>
      </w:r>
      <w:r>
        <w:rPr>
          <w:spacing w:val="-11"/>
        </w:rPr>
        <w:t> </w:t>
      </w:r>
      <w:r>
        <w:rPr/>
        <w:t>thy- roperoxidase (TPO); patients then feel better, according to George Kahaly of the Mainz University Clinic. For this purpose, 200 μg of sodium selenite per day are</w:t>
      </w:r>
      <w:r>
        <w:rPr>
          <w:spacing w:val="-1"/>
        </w:rPr>
        <w:t> </w:t>
      </w:r>
      <w:r>
        <w:rPr/>
        <w:t>required.</w:t>
      </w:r>
    </w:p>
    <w:p>
      <w:pPr>
        <w:pStyle w:val="Heading1"/>
        <w:spacing w:before="221"/>
        <w:ind w:left="616"/>
      </w:pPr>
      <w:r>
        <w:rPr/>
        <w:t>Effect of selenium on arthritis, polyarthritis and Bekhterev's disease</w:t>
      </w:r>
    </w:p>
    <w:p>
      <w:pPr>
        <w:pStyle w:val="BodyText"/>
        <w:spacing w:line="276" w:lineRule="auto" w:before="300"/>
        <w:ind w:left="616" w:right="130"/>
        <w:jc w:val="both"/>
      </w:pPr>
      <w:r>
        <w:rPr/>
        <w:t>Because</w:t>
      </w:r>
      <w:r>
        <w:rPr>
          <w:spacing w:val="-12"/>
        </w:rPr>
        <w:t> </w:t>
      </w:r>
      <w:r>
        <w:rPr/>
        <w:t>selenium</w:t>
      </w:r>
      <w:r>
        <w:rPr>
          <w:spacing w:val="-12"/>
        </w:rPr>
        <w:t> </w:t>
      </w:r>
      <w:r>
        <w:rPr/>
        <w:t>also</w:t>
      </w:r>
      <w:r>
        <w:rPr>
          <w:spacing w:val="-11"/>
        </w:rPr>
        <w:t> </w:t>
      </w:r>
      <w:r>
        <w:rPr/>
        <w:t>assumes</w:t>
      </w:r>
      <w:r>
        <w:rPr>
          <w:spacing w:val="-15"/>
        </w:rPr>
        <w:t> </w:t>
      </w:r>
      <w:r>
        <w:rPr/>
        <w:t>an</w:t>
      </w:r>
      <w:r>
        <w:rPr>
          <w:spacing w:val="-11"/>
        </w:rPr>
        <w:t> </w:t>
      </w:r>
      <w:r>
        <w:rPr/>
        <w:t>important</w:t>
      </w:r>
      <w:r>
        <w:rPr>
          <w:spacing w:val="-13"/>
        </w:rPr>
        <w:t> </w:t>
      </w:r>
      <w:r>
        <w:rPr/>
        <w:t>role</w:t>
      </w:r>
      <w:r>
        <w:rPr>
          <w:spacing w:val="-12"/>
        </w:rPr>
        <w:t> </w:t>
      </w:r>
      <w:r>
        <w:rPr/>
        <w:t>in</w:t>
      </w:r>
      <w:r>
        <w:rPr>
          <w:spacing w:val="-12"/>
        </w:rPr>
        <w:t> </w:t>
      </w:r>
      <w:r>
        <w:rPr/>
        <w:t>the</w:t>
      </w:r>
      <w:r>
        <w:rPr>
          <w:spacing w:val="-14"/>
        </w:rPr>
        <w:t> </w:t>
      </w:r>
      <w:r>
        <w:rPr/>
        <w:t>case</w:t>
      </w:r>
      <w:r>
        <w:rPr>
          <w:spacing w:val="-13"/>
        </w:rPr>
        <w:t> </w:t>
      </w:r>
      <w:r>
        <w:rPr/>
        <w:t>of</w:t>
      </w:r>
      <w:r>
        <w:rPr>
          <w:spacing w:val="-12"/>
        </w:rPr>
        <w:t> </w:t>
      </w:r>
      <w:r>
        <w:rPr/>
        <w:t>arthritis</w:t>
      </w:r>
      <w:r>
        <w:rPr>
          <w:spacing w:val="-7"/>
        </w:rPr>
        <w:t> </w:t>
      </w:r>
      <w:r>
        <w:rPr/>
        <w:t>and</w:t>
      </w:r>
      <w:r>
        <w:rPr>
          <w:spacing w:val="-11"/>
        </w:rPr>
        <w:t> </w:t>
      </w:r>
      <w:r>
        <w:rPr/>
        <w:t>all inflammatory rheumatisms, you can find more detailed information about</w:t>
      </w:r>
      <w:r>
        <w:rPr>
          <w:spacing w:val="-68"/>
        </w:rPr>
        <w:t> </w:t>
      </w:r>
      <w:r>
        <w:rPr/>
        <w:t>this in the dedicated section 'Selenium for rheumatism and</w:t>
      </w:r>
      <w:r>
        <w:rPr>
          <w:spacing w:val="-2"/>
        </w:rPr>
        <w:t> </w:t>
      </w:r>
      <w:r>
        <w:rPr/>
        <w:t>arthritis'.</w:t>
      </w:r>
    </w:p>
    <w:p>
      <w:pPr>
        <w:spacing w:after="0" w:line="276" w:lineRule="auto"/>
        <w:jc w:val="both"/>
        <w:sectPr>
          <w:footerReference w:type="default" r:id="rId340"/>
          <w:pgSz w:w="14270" w:h="16850"/>
          <w:pgMar w:footer="1891" w:header="0" w:top="1340" w:bottom="2080" w:left="800" w:right="1280"/>
          <w:pgNumType w:start="1420"/>
        </w:sectPr>
      </w:pPr>
    </w:p>
    <w:p>
      <w:pPr>
        <w:pStyle w:val="Heading1"/>
        <w:spacing w:before="77"/>
        <w:ind w:left="616"/>
      </w:pPr>
      <w:r>
        <w:rPr/>
        <w:t>Effect of selenium on muscular</w:t>
      </w:r>
      <w:r>
        <w:rPr>
          <w:spacing w:val="-58"/>
        </w:rPr>
        <w:t> </w:t>
      </w:r>
      <w:r>
        <w:rPr/>
        <w:t>atrophy</w:t>
      </w:r>
    </w:p>
    <w:p>
      <w:pPr>
        <w:pStyle w:val="BodyText"/>
        <w:spacing w:line="276" w:lineRule="auto" w:before="299"/>
        <w:ind w:left="616" w:right="130"/>
        <w:jc w:val="both"/>
      </w:pPr>
      <w:r>
        <w:rPr/>
        <w:t>The</w:t>
      </w:r>
      <w:r>
        <w:rPr>
          <w:spacing w:val="-12"/>
        </w:rPr>
        <w:t> </w:t>
      </w:r>
      <w:r>
        <w:rPr/>
        <w:t>following</w:t>
      </w:r>
      <w:r>
        <w:rPr>
          <w:spacing w:val="-12"/>
        </w:rPr>
        <w:t> </w:t>
      </w:r>
      <w:r>
        <w:rPr/>
        <w:t>appears</w:t>
      </w:r>
      <w:r>
        <w:rPr>
          <w:spacing w:val="-12"/>
        </w:rPr>
        <w:t> </w:t>
      </w:r>
      <w:r>
        <w:rPr/>
        <w:t>in</w:t>
      </w:r>
      <w:r>
        <w:rPr>
          <w:spacing w:val="-13"/>
        </w:rPr>
        <w:t> </w:t>
      </w:r>
      <w:r>
        <w:rPr/>
        <w:t>the</w:t>
      </w:r>
      <w:r>
        <w:rPr>
          <w:spacing w:val="-15"/>
        </w:rPr>
        <w:t> </w:t>
      </w:r>
      <w:r>
        <w:rPr/>
        <w:t>minutes</w:t>
      </w:r>
      <w:r>
        <w:rPr>
          <w:spacing w:val="-13"/>
        </w:rPr>
        <w:t> </w:t>
      </w:r>
      <w:r>
        <w:rPr/>
        <w:t>of</w:t>
      </w:r>
      <w:r>
        <w:rPr>
          <w:spacing w:val="-13"/>
        </w:rPr>
        <w:t> </w:t>
      </w:r>
      <w:r>
        <w:rPr/>
        <w:t>a</w:t>
      </w:r>
      <w:r>
        <w:rPr>
          <w:spacing w:val="-14"/>
        </w:rPr>
        <w:t> </w:t>
      </w:r>
      <w:r>
        <w:rPr/>
        <w:t>team</w:t>
      </w:r>
      <w:r>
        <w:rPr>
          <w:spacing w:val="-13"/>
        </w:rPr>
        <w:t> </w:t>
      </w:r>
      <w:r>
        <w:rPr/>
        <w:t>of</w:t>
      </w:r>
      <w:r>
        <w:rPr>
          <w:spacing w:val="-13"/>
        </w:rPr>
        <w:t> </w:t>
      </w:r>
      <w:r>
        <w:rPr/>
        <w:t>physicians</w:t>
      </w:r>
      <w:r>
        <w:rPr>
          <w:spacing w:val="-12"/>
        </w:rPr>
        <w:t> </w:t>
      </w:r>
      <w:r>
        <w:rPr/>
        <w:t>from</w:t>
      </w:r>
      <w:r>
        <w:rPr>
          <w:spacing w:val="-14"/>
        </w:rPr>
        <w:t> </w:t>
      </w:r>
      <w:r>
        <w:rPr/>
        <w:t>the</w:t>
      </w:r>
      <w:r>
        <w:rPr>
          <w:spacing w:val="-12"/>
        </w:rPr>
        <w:t> </w:t>
      </w:r>
      <w:r>
        <w:rPr/>
        <w:t>Univer- sity</w:t>
      </w:r>
      <w:r>
        <w:rPr>
          <w:spacing w:val="-25"/>
        </w:rPr>
        <w:t> </w:t>
      </w:r>
      <w:r>
        <w:rPr/>
        <w:t>of</w:t>
      </w:r>
      <w:r>
        <w:rPr>
          <w:spacing w:val="-26"/>
        </w:rPr>
        <w:t> </w:t>
      </w:r>
      <w:r>
        <w:rPr/>
        <w:t>Göteborg</w:t>
      </w:r>
      <w:r>
        <w:rPr>
          <w:spacing w:val="-26"/>
        </w:rPr>
        <w:t> </w:t>
      </w:r>
      <w:r>
        <w:rPr/>
        <w:t>at</w:t>
      </w:r>
      <w:r>
        <w:rPr>
          <w:spacing w:val="-25"/>
        </w:rPr>
        <w:t> </w:t>
      </w:r>
      <w:r>
        <w:rPr/>
        <w:t>the</w:t>
      </w:r>
      <w:r>
        <w:rPr>
          <w:spacing w:val="-25"/>
        </w:rPr>
        <w:t> </w:t>
      </w:r>
      <w:r>
        <w:rPr/>
        <w:t>International</w:t>
      </w:r>
      <w:r>
        <w:rPr>
          <w:spacing w:val="-26"/>
        </w:rPr>
        <w:t> </w:t>
      </w:r>
      <w:r>
        <w:rPr/>
        <w:t>Symposium</w:t>
      </w:r>
      <w:r>
        <w:rPr>
          <w:spacing w:val="-27"/>
        </w:rPr>
        <w:t> </w:t>
      </w:r>
      <w:r>
        <w:rPr/>
        <w:t>on</w:t>
      </w:r>
      <w:r>
        <w:rPr>
          <w:spacing w:val="-23"/>
        </w:rPr>
        <w:t> </w:t>
      </w:r>
      <w:r>
        <w:rPr/>
        <w:t>Trace</w:t>
      </w:r>
      <w:r>
        <w:rPr>
          <w:spacing w:val="-27"/>
        </w:rPr>
        <w:t> </w:t>
      </w:r>
      <w:r>
        <w:rPr/>
        <w:t>Elements</w:t>
      </w:r>
      <w:r>
        <w:rPr>
          <w:spacing w:val="-24"/>
        </w:rPr>
        <w:t> </w:t>
      </w:r>
      <w:r>
        <w:rPr/>
        <w:t>in</w:t>
      </w:r>
      <w:r>
        <w:rPr>
          <w:spacing w:val="-27"/>
        </w:rPr>
        <w:t> </w:t>
      </w:r>
      <w:r>
        <w:rPr/>
        <w:t>Munich in 1986:</w:t>
      </w:r>
    </w:p>
    <w:p>
      <w:pPr>
        <w:pStyle w:val="ListParagraph"/>
        <w:numPr>
          <w:ilvl w:val="0"/>
          <w:numId w:val="110"/>
        </w:numPr>
        <w:tabs>
          <w:tab w:pos="1394" w:val="left" w:leader="none"/>
        </w:tabs>
        <w:spacing w:line="273" w:lineRule="auto" w:before="200" w:after="0"/>
        <w:ind w:left="1394" w:right="137" w:hanging="360"/>
        <w:jc w:val="both"/>
        <w:rPr>
          <w:sz w:val="38"/>
        </w:rPr>
      </w:pPr>
      <w:r>
        <w:rPr>
          <w:sz w:val="38"/>
        </w:rPr>
        <w:t>Electromyographic measurements showed a normalisation of the</w:t>
      </w:r>
      <w:r>
        <w:rPr>
          <w:spacing w:val="-59"/>
          <w:sz w:val="38"/>
        </w:rPr>
        <w:t> </w:t>
      </w:r>
      <w:r>
        <w:rPr>
          <w:sz w:val="38"/>
        </w:rPr>
        <w:t>muscle tone over the course of treatment with protecton selenium with vitamin E.</w:t>
      </w:r>
    </w:p>
    <w:p>
      <w:pPr>
        <w:pStyle w:val="ListParagraph"/>
        <w:numPr>
          <w:ilvl w:val="0"/>
          <w:numId w:val="110"/>
        </w:numPr>
        <w:tabs>
          <w:tab w:pos="1393" w:val="left" w:leader="none"/>
          <w:tab w:pos="1394" w:val="left" w:leader="none"/>
        </w:tabs>
        <w:spacing w:line="240" w:lineRule="auto" w:before="132" w:after="0"/>
        <w:ind w:left="1394" w:right="0" w:hanging="360"/>
        <w:jc w:val="left"/>
        <w:rPr>
          <w:sz w:val="38"/>
        </w:rPr>
      </w:pPr>
      <w:r>
        <w:rPr>
          <w:sz w:val="38"/>
        </w:rPr>
        <w:t>The strength of the arms and hands</w:t>
      </w:r>
      <w:r>
        <w:rPr>
          <w:spacing w:val="-1"/>
          <w:sz w:val="38"/>
        </w:rPr>
        <w:t> </w:t>
      </w:r>
      <w:r>
        <w:rPr>
          <w:sz w:val="38"/>
        </w:rPr>
        <w:t>improved.</w:t>
      </w:r>
    </w:p>
    <w:p>
      <w:pPr>
        <w:pStyle w:val="ListParagraph"/>
        <w:numPr>
          <w:ilvl w:val="0"/>
          <w:numId w:val="110"/>
        </w:numPr>
        <w:tabs>
          <w:tab w:pos="1393" w:val="left" w:leader="none"/>
          <w:tab w:pos="1394" w:val="left" w:leader="none"/>
        </w:tabs>
        <w:spacing w:line="240" w:lineRule="auto" w:before="184" w:after="0"/>
        <w:ind w:left="1394" w:right="0" w:hanging="360"/>
        <w:jc w:val="left"/>
        <w:rPr>
          <w:sz w:val="38"/>
        </w:rPr>
      </w:pPr>
      <w:r>
        <w:rPr>
          <w:sz w:val="38"/>
        </w:rPr>
        <w:t>Bodily condition improved.</w:t>
      </w:r>
    </w:p>
    <w:p>
      <w:pPr>
        <w:pStyle w:val="ListParagraph"/>
        <w:numPr>
          <w:ilvl w:val="0"/>
          <w:numId w:val="110"/>
        </w:numPr>
        <w:tabs>
          <w:tab w:pos="1393" w:val="left" w:leader="none"/>
          <w:tab w:pos="1394" w:val="left" w:leader="none"/>
        </w:tabs>
        <w:spacing w:line="240" w:lineRule="auto" w:before="183" w:after="0"/>
        <w:ind w:left="1394" w:right="0" w:hanging="360"/>
        <w:jc w:val="left"/>
        <w:rPr>
          <w:sz w:val="38"/>
        </w:rPr>
      </w:pPr>
      <w:r>
        <w:rPr>
          <w:sz w:val="38"/>
        </w:rPr>
        <w:t>6 patients with severe muscular atrophy were</w:t>
      </w:r>
      <w:r>
        <w:rPr>
          <w:spacing w:val="1"/>
          <w:sz w:val="38"/>
        </w:rPr>
        <w:t> </w:t>
      </w:r>
      <w:r>
        <w:rPr>
          <w:sz w:val="38"/>
        </w:rPr>
        <w:t>healed.</w:t>
      </w:r>
    </w:p>
    <w:p>
      <w:pPr>
        <w:pStyle w:val="ListParagraph"/>
        <w:numPr>
          <w:ilvl w:val="0"/>
          <w:numId w:val="110"/>
        </w:numPr>
        <w:tabs>
          <w:tab w:pos="1393" w:val="left" w:leader="none"/>
          <w:tab w:pos="1394" w:val="left" w:leader="none"/>
        </w:tabs>
        <w:spacing w:line="273" w:lineRule="auto" w:before="186" w:after="0"/>
        <w:ind w:left="1394" w:right="136" w:hanging="360"/>
        <w:jc w:val="left"/>
        <w:rPr>
          <w:sz w:val="38"/>
        </w:rPr>
      </w:pPr>
      <w:r>
        <w:rPr>
          <w:sz w:val="38"/>
        </w:rPr>
        <w:t>3</w:t>
      </w:r>
      <w:r>
        <w:rPr>
          <w:spacing w:val="-21"/>
          <w:sz w:val="38"/>
        </w:rPr>
        <w:t> </w:t>
      </w:r>
      <w:r>
        <w:rPr>
          <w:sz w:val="38"/>
        </w:rPr>
        <w:t>of</w:t>
      </w:r>
      <w:r>
        <w:rPr>
          <w:spacing w:val="-21"/>
          <w:sz w:val="38"/>
        </w:rPr>
        <w:t> </w:t>
      </w:r>
      <w:r>
        <w:rPr>
          <w:sz w:val="38"/>
        </w:rPr>
        <w:t>6</w:t>
      </w:r>
      <w:r>
        <w:rPr>
          <w:spacing w:val="-21"/>
          <w:sz w:val="38"/>
        </w:rPr>
        <w:t> </w:t>
      </w:r>
      <w:r>
        <w:rPr>
          <w:sz w:val="38"/>
        </w:rPr>
        <w:t>were</w:t>
      </w:r>
      <w:r>
        <w:rPr>
          <w:spacing w:val="-20"/>
          <w:sz w:val="38"/>
        </w:rPr>
        <w:t> </w:t>
      </w:r>
      <w:r>
        <w:rPr>
          <w:sz w:val="38"/>
        </w:rPr>
        <w:t>able,</w:t>
      </w:r>
      <w:r>
        <w:rPr>
          <w:spacing w:val="-17"/>
          <w:sz w:val="38"/>
        </w:rPr>
        <w:t> </w:t>
      </w:r>
      <w:r>
        <w:rPr>
          <w:sz w:val="38"/>
        </w:rPr>
        <w:t>after</w:t>
      </w:r>
      <w:r>
        <w:rPr>
          <w:spacing w:val="-20"/>
          <w:sz w:val="38"/>
        </w:rPr>
        <w:t> </w:t>
      </w:r>
      <w:r>
        <w:rPr>
          <w:sz w:val="38"/>
        </w:rPr>
        <w:t>several</w:t>
      </w:r>
      <w:r>
        <w:rPr>
          <w:spacing w:val="-22"/>
          <w:sz w:val="38"/>
        </w:rPr>
        <w:t> </w:t>
      </w:r>
      <w:r>
        <w:rPr>
          <w:sz w:val="38"/>
        </w:rPr>
        <w:t>months</w:t>
      </w:r>
      <w:r>
        <w:rPr>
          <w:spacing w:val="-20"/>
          <w:sz w:val="38"/>
        </w:rPr>
        <w:t> </w:t>
      </w:r>
      <w:r>
        <w:rPr>
          <w:sz w:val="38"/>
        </w:rPr>
        <w:t>of</w:t>
      </w:r>
      <w:r>
        <w:rPr>
          <w:spacing w:val="-20"/>
          <w:sz w:val="38"/>
        </w:rPr>
        <w:t> </w:t>
      </w:r>
      <w:r>
        <w:rPr>
          <w:sz w:val="38"/>
        </w:rPr>
        <w:t>treatment</w:t>
      </w:r>
      <w:r>
        <w:rPr>
          <w:spacing w:val="-21"/>
          <w:sz w:val="38"/>
        </w:rPr>
        <w:t> </w:t>
      </w:r>
      <w:r>
        <w:rPr>
          <w:sz w:val="38"/>
        </w:rPr>
        <w:t>with</w:t>
      </w:r>
      <w:r>
        <w:rPr>
          <w:spacing w:val="-20"/>
          <w:sz w:val="38"/>
        </w:rPr>
        <w:t> </w:t>
      </w:r>
      <w:r>
        <w:rPr>
          <w:sz w:val="38"/>
        </w:rPr>
        <w:t>selenium,</w:t>
      </w:r>
      <w:r>
        <w:rPr>
          <w:spacing w:val="-20"/>
          <w:sz w:val="38"/>
        </w:rPr>
        <w:t> </w:t>
      </w:r>
      <w:r>
        <w:rPr>
          <w:sz w:val="38"/>
        </w:rPr>
        <w:t>to</w:t>
      </w:r>
      <w:r>
        <w:rPr>
          <w:spacing w:val="-20"/>
          <w:sz w:val="38"/>
        </w:rPr>
        <w:t> </w:t>
      </w:r>
      <w:r>
        <w:rPr>
          <w:sz w:val="38"/>
        </w:rPr>
        <w:t>leave their wheelchairs and walk</w:t>
      </w:r>
      <w:r>
        <w:rPr>
          <w:spacing w:val="1"/>
          <w:sz w:val="38"/>
        </w:rPr>
        <w:t> </w:t>
      </w:r>
      <w:r>
        <w:rPr>
          <w:sz w:val="38"/>
        </w:rPr>
        <w:t>again.</w:t>
      </w:r>
    </w:p>
    <w:p>
      <w:pPr>
        <w:spacing w:after="0" w:line="273" w:lineRule="auto"/>
        <w:jc w:val="left"/>
        <w:rPr>
          <w:sz w:val="38"/>
        </w:rPr>
        <w:sectPr>
          <w:pgSz w:w="14270" w:h="16850"/>
          <w:pgMar w:header="0" w:footer="1891" w:top="1320" w:bottom="2080" w:left="800" w:right="1280"/>
        </w:sectPr>
      </w:pPr>
    </w:p>
    <w:p>
      <w:pPr>
        <w:pStyle w:val="Heading1"/>
        <w:spacing w:before="77"/>
        <w:ind w:left="616"/>
      </w:pPr>
      <w:r>
        <w:rPr/>
        <w:t>Effect on vision, cataracts and diabetes symptoms</w:t>
      </w:r>
    </w:p>
    <w:p>
      <w:pPr>
        <w:pStyle w:val="BodyText"/>
        <w:spacing w:line="276" w:lineRule="auto" w:before="299"/>
        <w:ind w:left="616" w:right="137"/>
        <w:jc w:val="both"/>
      </w:pPr>
      <w:r>
        <w:rPr/>
        <w:t>Cataracts are a clouding of the eye lens which can be recognised by a grey colouration behind the pupil. The affected person loses his or her sight pain- lessly and insidiously, introduced by a continual decrease in visual acuity and glare sensitivity.</w:t>
      </w:r>
    </w:p>
    <w:p>
      <w:pPr>
        <w:pStyle w:val="BodyText"/>
        <w:spacing w:line="276" w:lineRule="auto" w:before="239"/>
        <w:ind w:left="616" w:right="136"/>
        <w:jc w:val="both"/>
      </w:pPr>
      <w:r>
        <w:rPr/>
        <w:t>In 90 % of cases, cataracts appear in older people, but can also be caused by UV radiation, diabetes mellitus or eye injury in younger years.</w:t>
      </w:r>
    </w:p>
    <w:p>
      <w:pPr>
        <w:pStyle w:val="BodyText"/>
        <w:spacing w:line="276" w:lineRule="auto" w:before="242"/>
        <w:ind w:left="616" w:right="137"/>
        <w:jc w:val="both"/>
      </w:pPr>
      <w:r>
        <w:rPr/>
        <w:t>To</w:t>
      </w:r>
      <w:r>
        <w:rPr>
          <w:spacing w:val="-20"/>
        </w:rPr>
        <w:t> </w:t>
      </w:r>
      <w:r>
        <w:rPr/>
        <w:t>protect</w:t>
      </w:r>
      <w:r>
        <w:rPr>
          <w:spacing w:val="-22"/>
        </w:rPr>
        <w:t> </w:t>
      </w:r>
      <w:r>
        <w:rPr/>
        <w:t>the</w:t>
      </w:r>
      <w:r>
        <w:rPr>
          <w:spacing w:val="-22"/>
        </w:rPr>
        <w:t> </w:t>
      </w:r>
      <w:r>
        <w:rPr/>
        <w:t>eye</w:t>
      </w:r>
      <w:r>
        <w:rPr>
          <w:spacing w:val="-18"/>
        </w:rPr>
        <w:t> </w:t>
      </w:r>
      <w:r>
        <w:rPr/>
        <w:t>from</w:t>
      </w:r>
      <w:r>
        <w:rPr>
          <w:spacing w:val="-22"/>
        </w:rPr>
        <w:t> </w:t>
      </w:r>
      <w:r>
        <w:rPr/>
        <w:t>going</w:t>
      </w:r>
      <w:r>
        <w:rPr>
          <w:spacing w:val="-23"/>
        </w:rPr>
        <w:t> </w:t>
      </w:r>
      <w:r>
        <w:rPr/>
        <w:t>blind,</w:t>
      </w:r>
      <w:r>
        <w:rPr>
          <w:spacing w:val="-18"/>
        </w:rPr>
        <w:t> </w:t>
      </w:r>
      <w:r>
        <w:rPr/>
        <w:t>surgical</w:t>
      </w:r>
      <w:r>
        <w:rPr>
          <w:spacing w:val="-21"/>
        </w:rPr>
        <w:t> </w:t>
      </w:r>
      <w:r>
        <w:rPr/>
        <w:t>intervention</w:t>
      </w:r>
      <w:r>
        <w:rPr>
          <w:spacing w:val="-18"/>
        </w:rPr>
        <w:t> </w:t>
      </w:r>
      <w:r>
        <w:rPr/>
        <w:t>is</w:t>
      </w:r>
      <w:r>
        <w:rPr>
          <w:spacing w:val="-22"/>
        </w:rPr>
        <w:t> </w:t>
      </w:r>
      <w:r>
        <w:rPr/>
        <w:t>usually</w:t>
      </w:r>
      <w:r>
        <w:rPr>
          <w:spacing w:val="-18"/>
        </w:rPr>
        <w:t> </w:t>
      </w:r>
      <w:r>
        <w:rPr/>
        <w:t>undertaken and an artificial eye lens put in place. Conventional medicine is not aware of alternatives to</w:t>
      </w:r>
      <w:r>
        <w:rPr>
          <w:spacing w:val="1"/>
        </w:rPr>
        <w:t> </w:t>
      </w:r>
      <w:r>
        <w:rPr/>
        <w:t>this.</w:t>
      </w:r>
    </w:p>
    <w:p>
      <w:pPr>
        <w:pStyle w:val="BodyText"/>
        <w:spacing w:line="278" w:lineRule="auto" w:before="238"/>
        <w:ind w:left="616" w:right="136"/>
        <w:jc w:val="both"/>
      </w:pPr>
      <w:r>
        <w:rPr/>
        <w:t>Interestingly,</w:t>
      </w:r>
      <w:r>
        <w:rPr>
          <w:spacing w:val="-18"/>
        </w:rPr>
        <w:t> </w:t>
      </w:r>
      <w:r>
        <w:rPr/>
        <w:t>the</w:t>
      </w:r>
      <w:r>
        <w:rPr>
          <w:spacing w:val="-21"/>
        </w:rPr>
        <w:t> </w:t>
      </w:r>
      <w:r>
        <w:rPr/>
        <w:t>eye</w:t>
      </w:r>
      <w:r>
        <w:rPr>
          <w:spacing w:val="-20"/>
        </w:rPr>
        <w:t> </w:t>
      </w:r>
      <w:r>
        <w:rPr/>
        <w:t>lens</w:t>
      </w:r>
      <w:r>
        <w:rPr>
          <w:spacing w:val="-20"/>
        </w:rPr>
        <w:t> </w:t>
      </w:r>
      <w:r>
        <w:rPr/>
        <w:t>and</w:t>
      </w:r>
      <w:r>
        <w:rPr>
          <w:spacing w:val="-20"/>
        </w:rPr>
        <w:t> </w:t>
      </w:r>
      <w:r>
        <w:rPr/>
        <w:t>the</w:t>
      </w:r>
      <w:r>
        <w:rPr>
          <w:spacing w:val="-23"/>
        </w:rPr>
        <w:t> </w:t>
      </w:r>
      <w:r>
        <w:rPr/>
        <w:t>retina</w:t>
      </w:r>
      <w:r>
        <w:rPr>
          <w:spacing w:val="-18"/>
        </w:rPr>
        <w:t> </w:t>
      </w:r>
      <w:r>
        <w:rPr/>
        <w:t>are</w:t>
      </w:r>
      <w:r>
        <w:rPr>
          <w:spacing w:val="-21"/>
        </w:rPr>
        <w:t> </w:t>
      </w:r>
      <w:r>
        <w:rPr/>
        <w:t>rich</w:t>
      </w:r>
      <w:r>
        <w:rPr>
          <w:spacing w:val="-17"/>
        </w:rPr>
        <w:t> </w:t>
      </w:r>
      <w:r>
        <w:rPr/>
        <w:t>in</w:t>
      </w:r>
      <w:r>
        <w:rPr>
          <w:spacing w:val="-23"/>
        </w:rPr>
        <w:t> </w:t>
      </w:r>
      <w:r>
        <w:rPr/>
        <w:t>selenium,</w:t>
      </w:r>
      <w:r>
        <w:rPr>
          <w:spacing w:val="-17"/>
        </w:rPr>
        <w:t> </w:t>
      </w:r>
      <w:r>
        <w:rPr/>
        <w:t>while</w:t>
      </w:r>
      <w:r>
        <w:rPr>
          <w:spacing w:val="-20"/>
        </w:rPr>
        <w:t> </w:t>
      </w:r>
      <w:r>
        <w:rPr/>
        <w:t>they</w:t>
      </w:r>
      <w:r>
        <w:rPr>
          <w:spacing w:val="-17"/>
        </w:rPr>
        <w:t> </w:t>
      </w:r>
      <w:r>
        <w:rPr/>
        <w:t>contain only 1/6 of this selenium in patients with advanced</w:t>
      </w:r>
      <w:r>
        <w:rPr>
          <w:spacing w:val="-4"/>
        </w:rPr>
        <w:t> </w:t>
      </w:r>
      <w:r>
        <w:rPr/>
        <w:t>cataracts.</w:t>
      </w:r>
    </w:p>
    <w:p>
      <w:pPr>
        <w:pStyle w:val="BodyText"/>
        <w:spacing w:line="276" w:lineRule="auto" w:before="233"/>
        <w:ind w:left="616" w:right="143"/>
        <w:jc w:val="both"/>
      </w:pPr>
      <w:r>
        <w:rPr/>
        <w:t>Selenium also apparently protects our eye lenses and the retina from environ- mental toxins, which could also be causes of cataracts.</w:t>
      </w:r>
    </w:p>
    <w:p>
      <w:pPr>
        <w:pStyle w:val="BodyText"/>
        <w:spacing w:line="276" w:lineRule="auto" w:before="241"/>
        <w:ind w:left="616" w:right="135"/>
        <w:jc w:val="both"/>
      </w:pPr>
      <w:r>
        <w:rPr/>
        <w:t>In animal studies, an induced selenium deficit in the diet led to cataracts; by implication,</w:t>
      </w:r>
      <w:r>
        <w:rPr>
          <w:spacing w:val="-6"/>
        </w:rPr>
        <w:t> </w:t>
      </w:r>
      <w:r>
        <w:rPr/>
        <w:t>vision</w:t>
      </w:r>
      <w:r>
        <w:rPr>
          <w:spacing w:val="-6"/>
        </w:rPr>
        <w:t> </w:t>
      </w:r>
      <w:r>
        <w:rPr/>
        <w:t>can</w:t>
      </w:r>
      <w:r>
        <w:rPr>
          <w:spacing w:val="-7"/>
        </w:rPr>
        <w:t> </w:t>
      </w:r>
      <w:r>
        <w:rPr/>
        <w:t>be</w:t>
      </w:r>
      <w:r>
        <w:rPr>
          <w:spacing w:val="-8"/>
        </w:rPr>
        <w:t> </w:t>
      </w:r>
      <w:r>
        <w:rPr/>
        <w:t>improved</w:t>
      </w:r>
      <w:r>
        <w:rPr>
          <w:spacing w:val="-6"/>
        </w:rPr>
        <w:t> </w:t>
      </w:r>
      <w:r>
        <w:rPr/>
        <w:t>and</w:t>
      </w:r>
      <w:r>
        <w:rPr>
          <w:spacing w:val="-6"/>
        </w:rPr>
        <w:t> </w:t>
      </w:r>
      <w:r>
        <w:rPr/>
        <w:t>cataracts</w:t>
      </w:r>
      <w:r>
        <w:rPr>
          <w:spacing w:val="-6"/>
        </w:rPr>
        <w:t> </w:t>
      </w:r>
      <w:r>
        <w:rPr/>
        <w:t>avoided</w:t>
      </w:r>
      <w:r>
        <w:rPr>
          <w:spacing w:val="-5"/>
        </w:rPr>
        <w:t> </w:t>
      </w:r>
      <w:r>
        <w:rPr/>
        <w:t>by</w:t>
      </w:r>
      <w:r>
        <w:rPr>
          <w:spacing w:val="-9"/>
        </w:rPr>
        <w:t> </w:t>
      </w:r>
      <w:r>
        <w:rPr/>
        <w:t>ensuring</w:t>
      </w:r>
      <w:r>
        <w:rPr>
          <w:spacing w:val="-6"/>
        </w:rPr>
        <w:t> </w:t>
      </w:r>
      <w:r>
        <w:rPr/>
        <w:t>an</w:t>
      </w:r>
      <w:r>
        <w:rPr>
          <w:spacing w:val="-6"/>
        </w:rPr>
        <w:t> </w:t>
      </w:r>
      <w:r>
        <w:rPr/>
        <w:t>ade- quate supply of</w:t>
      </w:r>
      <w:r>
        <w:rPr>
          <w:spacing w:val="-4"/>
        </w:rPr>
        <w:t> </w:t>
      </w:r>
      <w:r>
        <w:rPr/>
        <w:t>selenium.</w:t>
      </w:r>
    </w:p>
    <w:p>
      <w:pPr>
        <w:pStyle w:val="Heading1"/>
        <w:spacing w:before="221"/>
        <w:ind w:left="616"/>
      </w:pPr>
      <w:r>
        <w:rPr/>
        <w:t>Effect of selenium on retinal problems due to diabetes mellitus</w:t>
      </w:r>
    </w:p>
    <w:p>
      <w:pPr>
        <w:pStyle w:val="BodyText"/>
        <w:spacing w:line="276" w:lineRule="auto" w:before="300"/>
        <w:ind w:left="616" w:right="130"/>
        <w:jc w:val="both"/>
      </w:pPr>
      <w:r>
        <w:rPr/>
        <w:t>The</w:t>
      </w:r>
      <w:r>
        <w:rPr>
          <w:spacing w:val="-12"/>
        </w:rPr>
        <w:t> </w:t>
      </w:r>
      <w:r>
        <w:rPr/>
        <w:t>same</w:t>
      </w:r>
      <w:r>
        <w:rPr>
          <w:spacing w:val="-12"/>
        </w:rPr>
        <w:t> </w:t>
      </w:r>
      <w:r>
        <w:rPr/>
        <w:t>is</w:t>
      </w:r>
      <w:r>
        <w:rPr>
          <w:spacing w:val="-13"/>
        </w:rPr>
        <w:t> </w:t>
      </w:r>
      <w:r>
        <w:rPr/>
        <w:t>true</w:t>
      </w:r>
      <w:r>
        <w:rPr>
          <w:spacing w:val="-13"/>
        </w:rPr>
        <w:t> </w:t>
      </w:r>
      <w:r>
        <w:rPr/>
        <w:t>of</w:t>
      </w:r>
      <w:r>
        <w:rPr>
          <w:spacing w:val="-13"/>
        </w:rPr>
        <w:t> </w:t>
      </w:r>
      <w:r>
        <w:rPr/>
        <w:t>the</w:t>
      </w:r>
      <w:r>
        <w:rPr>
          <w:spacing w:val="-12"/>
        </w:rPr>
        <w:t> </w:t>
      </w:r>
      <w:r>
        <w:rPr/>
        <w:t>destructive</w:t>
      </w:r>
      <w:r>
        <w:rPr>
          <w:spacing w:val="-13"/>
        </w:rPr>
        <w:t> </w:t>
      </w:r>
      <w:r>
        <w:rPr/>
        <w:t>effect</w:t>
      </w:r>
      <w:r>
        <w:rPr>
          <w:spacing w:val="-13"/>
        </w:rPr>
        <w:t> </w:t>
      </w:r>
      <w:r>
        <w:rPr/>
        <w:t>of</w:t>
      </w:r>
      <w:r>
        <w:rPr>
          <w:spacing w:val="-13"/>
        </w:rPr>
        <w:t> </w:t>
      </w:r>
      <w:r>
        <w:rPr/>
        <w:t>diabetes</w:t>
      </w:r>
      <w:r>
        <w:rPr>
          <w:spacing w:val="-12"/>
        </w:rPr>
        <w:t> </w:t>
      </w:r>
      <w:r>
        <w:rPr/>
        <w:t>on</w:t>
      </w:r>
      <w:r>
        <w:rPr>
          <w:spacing w:val="-12"/>
        </w:rPr>
        <w:t> </w:t>
      </w:r>
      <w:r>
        <w:rPr/>
        <w:t>the</w:t>
      </w:r>
      <w:r>
        <w:rPr>
          <w:spacing w:val="-13"/>
        </w:rPr>
        <w:t> </w:t>
      </w:r>
      <w:r>
        <w:rPr/>
        <w:t>retina.</w:t>
      </w:r>
      <w:r>
        <w:rPr>
          <w:spacing w:val="-12"/>
        </w:rPr>
        <w:t> </w:t>
      </w:r>
      <w:r>
        <w:rPr/>
        <w:t>In</w:t>
      </w:r>
      <w:r>
        <w:rPr>
          <w:spacing w:val="-13"/>
        </w:rPr>
        <w:t> </w:t>
      </w:r>
      <w:r>
        <w:rPr/>
        <w:t>this</w:t>
      </w:r>
      <w:r>
        <w:rPr>
          <w:spacing w:val="-12"/>
        </w:rPr>
        <w:t> </w:t>
      </w:r>
      <w:r>
        <w:rPr/>
        <w:t>case, selenium can preventatively protect the</w:t>
      </w:r>
      <w:r>
        <w:rPr>
          <w:spacing w:val="-1"/>
        </w:rPr>
        <w:t> </w:t>
      </w:r>
      <w:r>
        <w:rPr/>
        <w:t>retina.</w:t>
      </w:r>
    </w:p>
    <w:p>
      <w:pPr>
        <w:spacing w:after="0" w:line="276" w:lineRule="auto"/>
        <w:jc w:val="both"/>
        <w:sectPr>
          <w:pgSz w:w="14270" w:h="16850"/>
          <w:pgMar w:header="0" w:footer="1891" w:top="1320" w:bottom="2080" w:left="800" w:right="1280"/>
        </w:sectPr>
      </w:pPr>
    </w:p>
    <w:p>
      <w:pPr>
        <w:pStyle w:val="Heading1"/>
        <w:spacing w:before="77"/>
        <w:ind w:left="616"/>
      </w:pPr>
      <w:r>
        <w:rPr/>
        <w:t>Synergetic effect of selenium in combination with vitamin E</w:t>
      </w:r>
    </w:p>
    <w:p>
      <w:pPr>
        <w:pStyle w:val="BodyText"/>
        <w:spacing w:line="276" w:lineRule="auto" w:before="299"/>
        <w:ind w:left="616" w:right="132"/>
        <w:jc w:val="both"/>
      </w:pPr>
      <w:r>
        <w:rPr/>
        <w:t>While both substances both take on important tasks on their own, neutralise free radicals, counteract inflammations, lower high blood pressure, keep the cardiovascular system healthy, counteract the development of cancer and de- monstrably lengthen life, the combination of both—without exaggeration— can be described as sensational!</w:t>
      </w:r>
    </w:p>
    <w:p>
      <w:pPr>
        <w:pStyle w:val="BodyText"/>
        <w:spacing w:line="276" w:lineRule="auto" w:before="240"/>
        <w:ind w:left="616" w:right="138"/>
        <w:jc w:val="both"/>
      </w:pPr>
      <w:r>
        <w:rPr/>
        <w:t>Both natural substances combined with each other produce a powerful</w:t>
      </w:r>
      <w:r>
        <w:rPr>
          <w:spacing w:val="-54"/>
        </w:rPr>
        <w:t> </w:t>
      </w:r>
      <w:r>
        <w:rPr/>
        <w:t>defen- sive wall against the attacks of free radicals, which can be held primarily re- sponsible for illness and premature ageing.</w:t>
      </w:r>
    </w:p>
    <w:p>
      <w:pPr>
        <w:pStyle w:val="BodyText"/>
        <w:spacing w:before="239"/>
        <w:ind w:left="616"/>
      </w:pPr>
      <w:r>
        <w:rPr/>
        <w:t>Or to put it in the words of the selenium researcher Dr. Richard A. Passwater:</w:t>
      </w:r>
    </w:p>
    <w:p>
      <w:pPr>
        <w:spacing w:line="278" w:lineRule="auto" w:before="305"/>
        <w:ind w:left="616" w:right="147" w:firstLine="0"/>
        <w:jc w:val="both"/>
        <w:rPr>
          <w:i/>
          <w:sz w:val="25"/>
        </w:rPr>
      </w:pPr>
      <w:r>
        <w:rPr>
          <w:i/>
          <w:sz w:val="38"/>
        </w:rPr>
        <w:t>'Selenium, together with vitamin C, protects every one of the 60 trillion cells of our bodies </w:t>
      </w:r>
      <w:r>
        <w:rPr>
          <w:i/>
          <w:sz w:val="38"/>
        </w:rPr>
        <w:t>against destruction in an excellent way!'</w:t>
      </w:r>
      <w:r>
        <w:rPr>
          <w:i/>
          <w:position w:val="9"/>
          <w:sz w:val="25"/>
        </w:rPr>
        <w:t>809</w:t>
      </w:r>
    </w:p>
    <w:p>
      <w:pPr>
        <w:pStyle w:val="BodyText"/>
        <w:spacing w:line="276" w:lineRule="auto" w:before="232"/>
        <w:ind w:left="616" w:right="136"/>
        <w:jc w:val="both"/>
      </w:pPr>
      <w:r>
        <w:rPr/>
        <w:t>For example, vitamin E on its own extended lifespan by 30 %; vitamin E in combination with Selenium extended lifespan by a sensational 175 %!</w:t>
      </w:r>
    </w:p>
    <w:p>
      <w:pPr>
        <w:pStyle w:val="BodyText"/>
        <w:spacing w:line="276" w:lineRule="auto" w:before="241"/>
        <w:ind w:left="616" w:right="139"/>
        <w:jc w:val="both"/>
      </w:pPr>
      <w:r>
        <w:rPr/>
        <w:t>In connection with vitamin E, downright astounding clinical results on</w:t>
      </w:r>
      <w:r>
        <w:rPr>
          <w:spacing w:val="-50"/>
        </w:rPr>
        <w:t> </w:t>
      </w:r>
      <w:r>
        <w:rPr/>
        <w:t>angina pectoris were</w:t>
      </w:r>
      <w:r>
        <w:rPr>
          <w:spacing w:val="1"/>
        </w:rPr>
        <w:t> </w:t>
      </w:r>
      <w:r>
        <w:rPr/>
        <w:t>celebrated.</w:t>
      </w:r>
    </w:p>
    <w:p>
      <w:pPr>
        <w:pStyle w:val="Heading1"/>
        <w:spacing w:before="221"/>
        <w:ind w:left="616"/>
      </w:pPr>
      <w:r>
        <w:rPr/>
        <w:t>Selenium for rheumatism and arthritis</w:t>
      </w:r>
    </w:p>
    <w:p>
      <w:pPr>
        <w:pStyle w:val="BodyText"/>
        <w:spacing w:line="276" w:lineRule="auto" w:before="299"/>
        <w:ind w:left="616" w:right="138"/>
        <w:jc w:val="both"/>
      </w:pPr>
      <w:r>
        <w:rPr/>
        <w:t>Arthritis, an inflammatory, joint-destroying disease which still has not been controlled</w:t>
      </w:r>
      <w:r>
        <w:rPr>
          <w:spacing w:val="-27"/>
        </w:rPr>
        <w:t> </w:t>
      </w:r>
      <w:r>
        <w:rPr/>
        <w:t>by</w:t>
      </w:r>
      <w:r>
        <w:rPr>
          <w:spacing w:val="-27"/>
        </w:rPr>
        <w:t> </w:t>
      </w:r>
      <w:r>
        <w:rPr/>
        <w:t>conventional</w:t>
      </w:r>
      <w:r>
        <w:rPr>
          <w:spacing w:val="-27"/>
        </w:rPr>
        <w:t> </w:t>
      </w:r>
      <w:r>
        <w:rPr/>
        <w:t>medicine,</w:t>
      </w:r>
      <w:r>
        <w:rPr>
          <w:spacing w:val="-26"/>
        </w:rPr>
        <w:t> </w:t>
      </w:r>
      <w:r>
        <w:rPr/>
        <w:t>can</w:t>
      </w:r>
      <w:r>
        <w:rPr>
          <w:spacing w:val="-26"/>
        </w:rPr>
        <w:t> </w:t>
      </w:r>
      <w:r>
        <w:rPr/>
        <w:t>be</w:t>
      </w:r>
      <w:r>
        <w:rPr>
          <w:spacing w:val="-26"/>
        </w:rPr>
        <w:t> </w:t>
      </w:r>
      <w:r>
        <w:rPr/>
        <w:t>relieved</w:t>
      </w:r>
      <w:r>
        <w:rPr>
          <w:spacing w:val="-27"/>
        </w:rPr>
        <w:t> </w:t>
      </w:r>
      <w:r>
        <w:rPr/>
        <w:t>and</w:t>
      </w:r>
      <w:r>
        <w:rPr>
          <w:spacing w:val="-27"/>
        </w:rPr>
        <w:t> </w:t>
      </w:r>
      <w:r>
        <w:rPr/>
        <w:t>often</w:t>
      </w:r>
      <w:r>
        <w:rPr>
          <w:spacing w:val="-25"/>
        </w:rPr>
        <w:t> </w:t>
      </w:r>
      <w:r>
        <w:rPr/>
        <w:t>even</w:t>
      </w:r>
      <w:r>
        <w:rPr>
          <w:spacing w:val="-26"/>
        </w:rPr>
        <w:t> </w:t>
      </w:r>
      <w:r>
        <w:rPr/>
        <w:t>cured</w:t>
      </w:r>
      <w:r>
        <w:rPr>
          <w:spacing w:val="-27"/>
        </w:rPr>
        <w:t> </w:t>
      </w:r>
      <w:r>
        <w:rPr/>
        <w:t>with</w:t>
      </w:r>
    </w:p>
    <w:p>
      <w:pPr>
        <w:pStyle w:val="BodyText"/>
        <w:rPr>
          <w:sz w:val="20"/>
        </w:rPr>
      </w:pPr>
    </w:p>
    <w:p>
      <w:pPr>
        <w:pStyle w:val="BodyText"/>
        <w:spacing w:before="3"/>
        <w:rPr>
          <w:sz w:val="21"/>
        </w:rPr>
      </w:pPr>
      <w:r>
        <w:rPr/>
        <w:pict>
          <v:line style="position:absolute;mso-position-horizontal-relative:page;mso-position-vertical-relative:paragraph;z-index:10928;mso-wrap-distance-left:0;mso-wrap-distance-right:0" from="70.823997pt,14.337485pt" to="214.843997pt,14.337485pt" stroked="true" strokeweight=".72003pt" strokecolor="#000000">
            <v:stroke dashstyle="solid"/>
            <w10:wrap type="topAndBottom"/>
          </v:line>
        </w:pict>
      </w:r>
    </w:p>
    <w:p>
      <w:pPr>
        <w:pStyle w:val="BodyText"/>
        <w:spacing w:before="7"/>
        <w:rPr>
          <w:sz w:val="18"/>
        </w:rPr>
      </w:pPr>
    </w:p>
    <w:p>
      <w:pPr>
        <w:spacing w:line="276" w:lineRule="auto" w:before="99"/>
        <w:ind w:left="616" w:right="0" w:firstLine="0"/>
        <w:jc w:val="left"/>
        <w:rPr>
          <w:sz w:val="20"/>
        </w:rPr>
      </w:pPr>
      <w:r>
        <w:rPr>
          <w:position w:val="5"/>
          <w:sz w:val="13"/>
        </w:rPr>
        <w:t>809 </w:t>
      </w:r>
      <w:r>
        <w:rPr>
          <w:sz w:val="20"/>
        </w:rPr>
        <w:t>Hademar Bankhofer: BIO-SELEN, natürlicher Schutz für unser Immunsystem ('BIO-SELENIUM, Natural Defence for Our Immune System'), 5th Edition, July 1998, p. 89</w:t>
      </w:r>
    </w:p>
    <w:p>
      <w:pPr>
        <w:spacing w:after="0" w:line="276" w:lineRule="auto"/>
        <w:jc w:val="left"/>
        <w:rPr>
          <w:sz w:val="20"/>
        </w:rPr>
        <w:sectPr>
          <w:pgSz w:w="14270" w:h="16850"/>
          <w:pgMar w:header="0" w:footer="1891" w:top="1320" w:bottom="2080" w:left="800" w:right="1280"/>
        </w:sectPr>
      </w:pPr>
    </w:p>
    <w:p>
      <w:pPr>
        <w:pStyle w:val="BodyText"/>
        <w:spacing w:line="276" w:lineRule="auto" w:before="72"/>
        <w:ind w:left="616" w:right="137"/>
        <w:jc w:val="both"/>
      </w:pPr>
      <w:r>
        <w:rPr/>
        <w:t>the help of selenium, preferably in combination with vitamin E. An</w:t>
      </w:r>
      <w:r>
        <w:rPr>
          <w:spacing w:val="-55"/>
        </w:rPr>
        <w:t> </w:t>
      </w:r>
      <w:r>
        <w:rPr/>
        <w:t>indication of</w:t>
      </w:r>
      <w:r>
        <w:rPr>
          <w:spacing w:val="-6"/>
        </w:rPr>
        <w:t> </w:t>
      </w:r>
      <w:r>
        <w:rPr/>
        <w:t>this</w:t>
      </w:r>
      <w:r>
        <w:rPr>
          <w:spacing w:val="-7"/>
        </w:rPr>
        <w:t> </w:t>
      </w:r>
      <w:r>
        <w:rPr/>
        <w:t>enormous</w:t>
      </w:r>
      <w:r>
        <w:rPr>
          <w:spacing w:val="-4"/>
        </w:rPr>
        <w:t> </w:t>
      </w:r>
      <w:r>
        <w:rPr/>
        <w:t>effect</w:t>
      </w:r>
      <w:r>
        <w:rPr>
          <w:spacing w:val="-8"/>
        </w:rPr>
        <w:t> </w:t>
      </w:r>
      <w:r>
        <w:rPr/>
        <w:t>is</w:t>
      </w:r>
      <w:r>
        <w:rPr>
          <w:spacing w:val="-6"/>
        </w:rPr>
        <w:t> </w:t>
      </w:r>
      <w:r>
        <w:rPr/>
        <w:t>the</w:t>
      </w:r>
      <w:r>
        <w:rPr>
          <w:spacing w:val="-6"/>
        </w:rPr>
        <w:t> </w:t>
      </w:r>
      <w:r>
        <w:rPr/>
        <w:t>fact</w:t>
      </w:r>
      <w:r>
        <w:rPr>
          <w:spacing w:val="-5"/>
        </w:rPr>
        <w:t> </w:t>
      </w:r>
      <w:r>
        <w:rPr/>
        <w:t>that</w:t>
      </w:r>
      <w:r>
        <w:rPr>
          <w:spacing w:val="-5"/>
        </w:rPr>
        <w:t> </w:t>
      </w:r>
      <w:r>
        <w:rPr/>
        <w:t>arthritis</w:t>
      </w:r>
      <w:r>
        <w:rPr>
          <w:spacing w:val="-8"/>
        </w:rPr>
        <w:t> </w:t>
      </w:r>
      <w:r>
        <w:rPr/>
        <w:t>sufferers</w:t>
      </w:r>
      <w:r>
        <w:rPr>
          <w:spacing w:val="-5"/>
        </w:rPr>
        <w:t> </w:t>
      </w:r>
      <w:r>
        <w:rPr/>
        <w:t>demonstrate</w:t>
      </w:r>
      <w:r>
        <w:rPr>
          <w:spacing w:val="-6"/>
        </w:rPr>
        <w:t> </w:t>
      </w:r>
      <w:r>
        <w:rPr/>
        <w:t>an</w:t>
      </w:r>
      <w:r>
        <w:rPr>
          <w:spacing w:val="-5"/>
        </w:rPr>
        <w:t> </w:t>
      </w:r>
      <w:r>
        <w:rPr/>
        <w:t>acute deficit of both</w:t>
      </w:r>
      <w:r>
        <w:rPr>
          <w:spacing w:val="-2"/>
        </w:rPr>
        <w:t> </w:t>
      </w:r>
      <w:r>
        <w:rPr/>
        <w:t>substances.</w:t>
      </w:r>
    </w:p>
    <w:p>
      <w:pPr>
        <w:pStyle w:val="Heading1"/>
        <w:ind w:left="616"/>
        <w:jc w:val="both"/>
      </w:pPr>
      <w:r>
        <w:rPr/>
        <w:t>In tests, 70 % of quadrupeds on the way to recovery, 1/3 healed:</w:t>
      </w:r>
    </w:p>
    <w:p>
      <w:pPr>
        <w:pStyle w:val="BodyText"/>
        <w:spacing w:line="276" w:lineRule="auto" w:before="299"/>
        <w:ind w:left="616" w:right="134"/>
        <w:jc w:val="both"/>
      </w:pPr>
      <w:r>
        <w:rPr/>
        <w:t>In his highly recommendable book 'Bio-Selenium – Natural Defence for our Immune System', Hademar Bankhofer describes the sensational findings with the use of selenium, initially in an animal study on dogs suffering from severe arthritis. In 1981, in an animal research institution of a hospital in Boston, re- searchers tested selenium in combination with vitamin E on dogs suffering from severe arthritis symptoms (painful swelling of the joints all the way to paralysis and crippled joints). The first notable thing was the acute selenium deficit as determined by blood tests, which is already an indication that some- thing in the body is not functioning properly. After four months of therapy with selenium in combination with vitamin E, 1/3 of the dogs were success- fully healed and 70 % of them were on the way to recovery.</w:t>
      </w:r>
    </w:p>
    <w:p>
      <w:pPr>
        <w:spacing w:line="273" w:lineRule="auto" w:before="223"/>
        <w:ind w:left="616" w:right="133" w:firstLine="0"/>
        <w:jc w:val="both"/>
        <w:rPr>
          <w:sz w:val="38"/>
        </w:rPr>
      </w:pPr>
      <w:r>
        <w:rPr>
          <w:b/>
          <w:i/>
          <w:sz w:val="40"/>
        </w:rPr>
        <w:t>Selenium</w:t>
      </w:r>
      <w:r>
        <w:rPr>
          <w:b/>
          <w:i/>
          <w:spacing w:val="-60"/>
          <w:sz w:val="40"/>
        </w:rPr>
        <w:t> </w:t>
      </w:r>
      <w:r>
        <w:rPr>
          <w:b/>
          <w:i/>
          <w:sz w:val="40"/>
        </w:rPr>
        <w:t>successful</w:t>
      </w:r>
      <w:r>
        <w:rPr>
          <w:b/>
          <w:i/>
          <w:spacing w:val="-58"/>
          <w:sz w:val="40"/>
        </w:rPr>
        <w:t> </w:t>
      </w:r>
      <w:r>
        <w:rPr>
          <w:b/>
          <w:i/>
          <w:sz w:val="40"/>
        </w:rPr>
        <w:t>on</w:t>
      </w:r>
      <w:r>
        <w:rPr>
          <w:b/>
          <w:i/>
          <w:spacing w:val="-59"/>
          <w:sz w:val="40"/>
        </w:rPr>
        <w:t> </w:t>
      </w:r>
      <w:r>
        <w:rPr>
          <w:b/>
          <w:i/>
          <w:sz w:val="40"/>
        </w:rPr>
        <w:t>severe</w:t>
      </w:r>
      <w:r>
        <w:rPr>
          <w:b/>
          <w:i/>
          <w:spacing w:val="-58"/>
          <w:sz w:val="40"/>
        </w:rPr>
        <w:t> </w:t>
      </w:r>
      <w:r>
        <w:rPr>
          <w:b/>
          <w:i/>
          <w:sz w:val="40"/>
        </w:rPr>
        <w:t>arthritis</w:t>
      </w:r>
      <w:r>
        <w:rPr>
          <w:b/>
          <w:i/>
          <w:spacing w:val="-58"/>
          <w:sz w:val="40"/>
        </w:rPr>
        <w:t> </w:t>
      </w:r>
      <w:r>
        <w:rPr>
          <w:b/>
          <w:i/>
          <w:sz w:val="40"/>
        </w:rPr>
        <w:t>in</w:t>
      </w:r>
      <w:r>
        <w:rPr>
          <w:b/>
          <w:i/>
          <w:spacing w:val="-60"/>
          <w:sz w:val="40"/>
        </w:rPr>
        <w:t> </w:t>
      </w:r>
      <w:r>
        <w:rPr>
          <w:b/>
          <w:i/>
          <w:sz w:val="40"/>
        </w:rPr>
        <w:t>human</w:t>
      </w:r>
      <w:r>
        <w:rPr>
          <w:b/>
          <w:i/>
          <w:spacing w:val="-58"/>
          <w:sz w:val="40"/>
        </w:rPr>
        <w:t> </w:t>
      </w:r>
      <w:r>
        <w:rPr>
          <w:b/>
          <w:i/>
          <w:sz w:val="40"/>
        </w:rPr>
        <w:t>self-tests</w:t>
      </w:r>
      <w:r>
        <w:rPr>
          <w:b/>
          <w:i/>
          <w:spacing w:val="-57"/>
          <w:sz w:val="40"/>
        </w:rPr>
        <w:t> </w:t>
      </w:r>
      <w:r>
        <w:rPr>
          <w:sz w:val="38"/>
        </w:rPr>
        <w:t>Furthermore, the author of the book continues, Charles Ware, the head of the British Ar- thritis Society, became aware of these animal studies with sensational results.</w:t>
      </w:r>
    </w:p>
    <w:p>
      <w:pPr>
        <w:pStyle w:val="BodyText"/>
        <w:spacing w:line="276" w:lineRule="auto" w:before="246"/>
        <w:ind w:left="616" w:right="135"/>
        <w:jc w:val="both"/>
      </w:pPr>
      <w:r>
        <w:rPr/>
        <w:t>This man, who had already been an arthritis patient himself for 50 years and on whom conventional medicine had given up, decided there and then to try out self-experiments with selenium. He acquired a selenium preparation from the United States and started the experiment on his own body.</w:t>
      </w:r>
    </w:p>
    <w:p>
      <w:pPr>
        <w:spacing w:after="0" w:line="276" w:lineRule="auto"/>
        <w:jc w:val="both"/>
        <w:sectPr>
          <w:pgSz w:w="14270" w:h="16850"/>
          <w:pgMar w:header="0" w:footer="1891" w:top="1340" w:bottom="2080" w:left="800" w:right="1280"/>
        </w:sectPr>
      </w:pPr>
    </w:p>
    <w:p>
      <w:pPr>
        <w:pStyle w:val="BodyText"/>
        <w:spacing w:line="276" w:lineRule="auto" w:before="74"/>
        <w:ind w:left="616" w:right="133"/>
        <w:jc w:val="both"/>
      </w:pPr>
      <w:r>
        <w:rPr/>
        <w:t>As the media reported, Charles Ware's joint pain and skin rashes disappeared in a very short period of time; the effect on his hips was especially pleasing. They were no longer in pain and regained, as the legs did before them, full mobility.</w:t>
      </w:r>
    </w:p>
    <w:p>
      <w:pPr>
        <w:pStyle w:val="BodyText"/>
        <w:spacing w:line="276" w:lineRule="auto" w:before="239"/>
        <w:ind w:left="616" w:right="136"/>
        <w:jc w:val="both"/>
      </w:pPr>
      <w:r>
        <w:rPr/>
        <w:t>Charles</w:t>
      </w:r>
      <w:r>
        <w:rPr>
          <w:spacing w:val="-13"/>
        </w:rPr>
        <w:t> </w:t>
      </w:r>
      <w:r>
        <w:rPr/>
        <w:t>Ware</w:t>
      </w:r>
      <w:r>
        <w:rPr>
          <w:spacing w:val="-14"/>
        </w:rPr>
        <w:t> </w:t>
      </w:r>
      <w:r>
        <w:rPr/>
        <w:t>was</w:t>
      </w:r>
      <w:r>
        <w:rPr>
          <w:spacing w:val="-13"/>
        </w:rPr>
        <w:t> </w:t>
      </w:r>
      <w:r>
        <w:rPr/>
        <w:t>discharged</w:t>
      </w:r>
      <w:r>
        <w:rPr>
          <w:spacing w:val="-14"/>
        </w:rPr>
        <w:t> </w:t>
      </w:r>
      <w:r>
        <w:rPr/>
        <w:t>from</w:t>
      </w:r>
      <w:r>
        <w:rPr>
          <w:spacing w:val="-14"/>
        </w:rPr>
        <w:t> </w:t>
      </w:r>
      <w:r>
        <w:rPr/>
        <w:t>his</w:t>
      </w:r>
      <w:r>
        <w:rPr>
          <w:spacing w:val="-13"/>
        </w:rPr>
        <w:t> </w:t>
      </w:r>
      <w:r>
        <w:rPr/>
        <w:t>clinic</w:t>
      </w:r>
      <w:r>
        <w:rPr>
          <w:spacing w:val="-14"/>
        </w:rPr>
        <w:t> </w:t>
      </w:r>
      <w:r>
        <w:rPr/>
        <w:t>as</w:t>
      </w:r>
      <w:r>
        <w:rPr>
          <w:spacing w:val="-13"/>
        </w:rPr>
        <w:t> </w:t>
      </w:r>
      <w:r>
        <w:rPr/>
        <w:t>cured</w:t>
      </w:r>
      <w:r>
        <w:rPr>
          <w:spacing w:val="-14"/>
        </w:rPr>
        <w:t> </w:t>
      </w:r>
      <w:r>
        <w:rPr/>
        <w:t>and</w:t>
      </w:r>
      <w:r>
        <w:rPr>
          <w:spacing w:val="-14"/>
        </w:rPr>
        <w:t> </w:t>
      </w:r>
      <w:r>
        <w:rPr/>
        <w:t>was</w:t>
      </w:r>
      <w:r>
        <w:rPr>
          <w:spacing w:val="-14"/>
        </w:rPr>
        <w:t> </w:t>
      </w:r>
      <w:r>
        <w:rPr/>
        <w:t>already</w:t>
      </w:r>
      <w:r>
        <w:rPr>
          <w:spacing w:val="-14"/>
        </w:rPr>
        <w:t> </w:t>
      </w:r>
      <w:r>
        <w:rPr/>
        <w:t>planning a</w:t>
      </w:r>
      <w:r>
        <w:rPr>
          <w:spacing w:val="-11"/>
        </w:rPr>
        <w:t> </w:t>
      </w:r>
      <w:r>
        <w:rPr/>
        <w:t>long-term</w:t>
      </w:r>
      <w:r>
        <w:rPr>
          <w:spacing w:val="-10"/>
        </w:rPr>
        <w:t> </w:t>
      </w:r>
      <w:r>
        <w:rPr/>
        <w:t>experiment</w:t>
      </w:r>
      <w:r>
        <w:rPr>
          <w:spacing w:val="-10"/>
        </w:rPr>
        <w:t> </w:t>
      </w:r>
      <w:r>
        <w:rPr/>
        <w:t>with</w:t>
      </w:r>
      <w:r>
        <w:rPr>
          <w:spacing w:val="-10"/>
        </w:rPr>
        <w:t> </w:t>
      </w:r>
      <w:r>
        <w:rPr/>
        <w:t>selenium</w:t>
      </w:r>
      <w:r>
        <w:rPr>
          <w:spacing w:val="-10"/>
        </w:rPr>
        <w:t> </w:t>
      </w:r>
      <w:r>
        <w:rPr/>
        <w:t>on</w:t>
      </w:r>
      <w:r>
        <w:rPr>
          <w:spacing w:val="-8"/>
        </w:rPr>
        <w:t> </w:t>
      </w:r>
      <w:r>
        <w:rPr/>
        <w:t>many</w:t>
      </w:r>
      <w:r>
        <w:rPr>
          <w:spacing w:val="-12"/>
        </w:rPr>
        <w:t> </w:t>
      </w:r>
      <w:r>
        <w:rPr/>
        <w:t>other</w:t>
      </w:r>
      <w:r>
        <w:rPr>
          <w:spacing w:val="-10"/>
        </w:rPr>
        <w:t> </w:t>
      </w:r>
      <w:r>
        <w:rPr/>
        <w:t>arthritis</w:t>
      </w:r>
      <w:r>
        <w:rPr>
          <w:spacing w:val="-5"/>
        </w:rPr>
        <w:t> </w:t>
      </w:r>
      <w:r>
        <w:rPr/>
        <w:t>patients,</w:t>
      </w:r>
      <w:r>
        <w:rPr>
          <w:spacing w:val="-8"/>
        </w:rPr>
        <w:t> </w:t>
      </w:r>
      <w:r>
        <w:rPr/>
        <w:t>exactly 100 in</w:t>
      </w:r>
      <w:r>
        <w:rPr>
          <w:spacing w:val="-1"/>
        </w:rPr>
        <w:t> </w:t>
      </w:r>
      <w:r>
        <w:rPr/>
        <w:t>number.</w:t>
      </w:r>
    </w:p>
    <w:p>
      <w:pPr>
        <w:pStyle w:val="BodyText"/>
        <w:rPr>
          <w:sz w:val="42"/>
        </w:rPr>
      </w:pPr>
    </w:p>
    <w:p>
      <w:pPr>
        <w:pStyle w:val="BodyText"/>
        <w:rPr>
          <w:sz w:val="43"/>
        </w:rPr>
      </w:pPr>
    </w:p>
    <w:p>
      <w:pPr>
        <w:pStyle w:val="Heading1"/>
        <w:spacing w:before="1"/>
        <w:ind w:left="616"/>
      </w:pPr>
      <w:r>
        <w:rPr/>
        <w:t>The results were astonishing:</w:t>
      </w:r>
    </w:p>
    <w:p>
      <w:pPr>
        <w:pStyle w:val="ListParagraph"/>
        <w:numPr>
          <w:ilvl w:val="0"/>
          <w:numId w:val="111"/>
        </w:numPr>
        <w:tabs>
          <w:tab w:pos="1320" w:val="left" w:leader="none"/>
        </w:tabs>
        <w:spacing w:line="273" w:lineRule="auto" w:before="257" w:after="0"/>
        <w:ind w:left="1319" w:right="141" w:hanging="360"/>
        <w:jc w:val="both"/>
        <w:rPr>
          <w:sz w:val="38"/>
        </w:rPr>
      </w:pPr>
      <w:r>
        <w:rPr>
          <w:sz w:val="38"/>
        </w:rPr>
        <w:t>After</w:t>
      </w:r>
      <w:r>
        <w:rPr>
          <w:spacing w:val="-16"/>
          <w:sz w:val="38"/>
        </w:rPr>
        <w:t> </w:t>
      </w:r>
      <w:r>
        <w:rPr>
          <w:sz w:val="38"/>
        </w:rPr>
        <w:t>only</w:t>
      </w:r>
      <w:r>
        <w:rPr>
          <w:spacing w:val="-17"/>
          <w:sz w:val="38"/>
        </w:rPr>
        <w:t> </w:t>
      </w:r>
      <w:r>
        <w:rPr>
          <w:sz w:val="38"/>
        </w:rPr>
        <w:t>one</w:t>
      </w:r>
      <w:r>
        <w:rPr>
          <w:spacing w:val="-21"/>
          <w:sz w:val="38"/>
        </w:rPr>
        <w:t> </w:t>
      </w:r>
      <w:r>
        <w:rPr>
          <w:sz w:val="38"/>
        </w:rPr>
        <w:t>month,</w:t>
      </w:r>
      <w:r>
        <w:rPr>
          <w:spacing w:val="-17"/>
          <w:sz w:val="38"/>
        </w:rPr>
        <w:t> </w:t>
      </w:r>
      <w:r>
        <w:rPr>
          <w:sz w:val="38"/>
        </w:rPr>
        <w:t>the</w:t>
      </w:r>
      <w:r>
        <w:rPr>
          <w:spacing w:val="-15"/>
          <w:sz w:val="38"/>
        </w:rPr>
        <w:t> </w:t>
      </w:r>
      <w:r>
        <w:rPr>
          <w:sz w:val="38"/>
        </w:rPr>
        <w:t>arthritis</w:t>
      </w:r>
      <w:r>
        <w:rPr>
          <w:spacing w:val="-13"/>
          <w:sz w:val="38"/>
        </w:rPr>
        <w:t> </w:t>
      </w:r>
      <w:r>
        <w:rPr>
          <w:sz w:val="38"/>
        </w:rPr>
        <w:t>patients</w:t>
      </w:r>
      <w:r>
        <w:rPr>
          <w:spacing w:val="-16"/>
          <w:sz w:val="38"/>
        </w:rPr>
        <w:t> </w:t>
      </w:r>
      <w:r>
        <w:rPr>
          <w:sz w:val="38"/>
        </w:rPr>
        <w:t>reported</w:t>
      </w:r>
      <w:r>
        <w:rPr>
          <w:spacing w:val="-16"/>
          <w:sz w:val="38"/>
        </w:rPr>
        <w:t> </w:t>
      </w:r>
      <w:r>
        <w:rPr>
          <w:sz w:val="38"/>
        </w:rPr>
        <w:t>significant</w:t>
      </w:r>
      <w:r>
        <w:rPr>
          <w:spacing w:val="-17"/>
          <w:sz w:val="38"/>
        </w:rPr>
        <w:t> </w:t>
      </w:r>
      <w:r>
        <w:rPr>
          <w:sz w:val="38"/>
        </w:rPr>
        <w:t>pain</w:t>
      </w:r>
      <w:r>
        <w:rPr>
          <w:spacing w:val="-16"/>
          <w:sz w:val="38"/>
        </w:rPr>
        <w:t> </w:t>
      </w:r>
      <w:r>
        <w:rPr>
          <w:sz w:val="38"/>
        </w:rPr>
        <w:t>relief and an improvement in their overall</w:t>
      </w:r>
      <w:r>
        <w:rPr>
          <w:spacing w:val="-1"/>
          <w:sz w:val="38"/>
        </w:rPr>
        <w:t> </w:t>
      </w:r>
      <w:r>
        <w:rPr>
          <w:sz w:val="38"/>
        </w:rPr>
        <w:t>condition.</w:t>
      </w:r>
    </w:p>
    <w:p>
      <w:pPr>
        <w:pStyle w:val="ListParagraph"/>
        <w:numPr>
          <w:ilvl w:val="0"/>
          <w:numId w:val="111"/>
        </w:numPr>
        <w:tabs>
          <w:tab w:pos="1320" w:val="left" w:leader="none"/>
        </w:tabs>
        <w:spacing w:line="273" w:lineRule="auto" w:before="127" w:after="0"/>
        <w:ind w:left="1319" w:right="145" w:hanging="360"/>
        <w:jc w:val="both"/>
        <w:rPr>
          <w:sz w:val="38"/>
        </w:rPr>
      </w:pPr>
      <w:r>
        <w:rPr>
          <w:sz w:val="38"/>
        </w:rPr>
        <w:t>In the following months of selenium therapy, joint swelling, hip pain and signs of paralysis disappeared from the hands and</w:t>
      </w:r>
      <w:r>
        <w:rPr>
          <w:spacing w:val="4"/>
          <w:sz w:val="38"/>
        </w:rPr>
        <w:t> </w:t>
      </w:r>
      <w:r>
        <w:rPr>
          <w:sz w:val="38"/>
        </w:rPr>
        <w:t>legs.</w:t>
      </w:r>
    </w:p>
    <w:p>
      <w:pPr>
        <w:pStyle w:val="ListParagraph"/>
        <w:numPr>
          <w:ilvl w:val="0"/>
          <w:numId w:val="111"/>
        </w:numPr>
        <w:tabs>
          <w:tab w:pos="1320" w:val="left" w:leader="none"/>
        </w:tabs>
        <w:spacing w:line="276" w:lineRule="auto" w:before="128" w:after="0"/>
        <w:ind w:left="1319" w:right="135" w:hanging="360"/>
        <w:jc w:val="both"/>
        <w:rPr>
          <w:sz w:val="38"/>
        </w:rPr>
      </w:pPr>
      <w:r>
        <w:rPr>
          <w:sz w:val="38"/>
        </w:rPr>
        <w:t>In the autumn session of the Arthritis Society, the successes of this</w:t>
      </w:r>
      <w:r>
        <w:rPr>
          <w:spacing w:val="-42"/>
          <w:sz w:val="38"/>
        </w:rPr>
        <w:t> </w:t>
      </w:r>
      <w:r>
        <w:rPr>
          <w:sz w:val="38"/>
        </w:rPr>
        <w:t>series of experiments were revealed and selenium recommended as a treatment for rheumatism and</w:t>
      </w:r>
      <w:r>
        <w:rPr>
          <w:spacing w:val="3"/>
          <w:sz w:val="38"/>
        </w:rPr>
        <w:t> </w:t>
      </w:r>
      <w:r>
        <w:rPr>
          <w:sz w:val="38"/>
        </w:rPr>
        <w:t>arthritis.</w:t>
      </w:r>
    </w:p>
    <w:p>
      <w:pPr>
        <w:spacing w:line="276" w:lineRule="auto" w:before="237"/>
        <w:ind w:left="616" w:right="136" w:firstLine="0"/>
        <w:jc w:val="both"/>
        <w:rPr>
          <w:i/>
          <w:sz w:val="38"/>
        </w:rPr>
      </w:pPr>
      <w:r>
        <w:rPr>
          <w:b/>
          <w:sz w:val="38"/>
        </w:rPr>
        <w:t>The conclusion of the speaker of the British Arthritis Society was: </w:t>
      </w:r>
      <w:r>
        <w:rPr>
          <w:i/>
          <w:sz w:val="38"/>
        </w:rPr>
        <w:t>'We </w:t>
      </w:r>
      <w:r>
        <w:rPr>
          <w:i/>
          <w:sz w:val="38"/>
        </w:rPr>
        <w:t>are convinced that selenium can help thousands of suffering people. Our members who took part in the experiment are enthusiastic and thankful.</w:t>
      </w:r>
    </w:p>
    <w:p>
      <w:pPr>
        <w:spacing w:line="278" w:lineRule="auto" w:before="242"/>
        <w:ind w:left="616" w:right="133" w:firstLine="0"/>
        <w:jc w:val="both"/>
        <w:rPr>
          <w:i/>
          <w:sz w:val="38"/>
        </w:rPr>
      </w:pPr>
      <w:r>
        <w:rPr>
          <w:i/>
          <w:sz w:val="38"/>
        </w:rPr>
        <w:t>For</w:t>
      </w:r>
      <w:r>
        <w:rPr>
          <w:i/>
          <w:spacing w:val="-14"/>
          <w:sz w:val="38"/>
        </w:rPr>
        <w:t> </w:t>
      </w:r>
      <w:r>
        <w:rPr>
          <w:i/>
          <w:sz w:val="38"/>
        </w:rPr>
        <w:t>many</w:t>
      </w:r>
      <w:r>
        <w:rPr>
          <w:i/>
          <w:spacing w:val="-13"/>
          <w:sz w:val="38"/>
        </w:rPr>
        <w:t> </w:t>
      </w:r>
      <w:r>
        <w:rPr>
          <w:i/>
          <w:sz w:val="38"/>
        </w:rPr>
        <w:t>of</w:t>
      </w:r>
      <w:r>
        <w:rPr>
          <w:i/>
          <w:spacing w:val="-14"/>
          <w:sz w:val="38"/>
        </w:rPr>
        <w:t> </w:t>
      </w:r>
      <w:r>
        <w:rPr>
          <w:i/>
          <w:sz w:val="38"/>
        </w:rPr>
        <w:t>them,</w:t>
      </w:r>
      <w:r>
        <w:rPr>
          <w:i/>
          <w:spacing w:val="-16"/>
          <w:sz w:val="38"/>
        </w:rPr>
        <w:t> </w:t>
      </w:r>
      <w:r>
        <w:rPr>
          <w:i/>
          <w:sz w:val="38"/>
        </w:rPr>
        <w:t>the</w:t>
      </w:r>
      <w:r>
        <w:rPr>
          <w:i/>
          <w:spacing w:val="-13"/>
          <w:sz w:val="38"/>
        </w:rPr>
        <w:t> </w:t>
      </w:r>
      <w:r>
        <w:rPr>
          <w:i/>
          <w:sz w:val="38"/>
        </w:rPr>
        <w:t>illness</w:t>
      </w:r>
      <w:r>
        <w:rPr>
          <w:i/>
          <w:spacing w:val="-14"/>
          <w:sz w:val="38"/>
        </w:rPr>
        <w:t> </w:t>
      </w:r>
      <w:r>
        <w:rPr>
          <w:i/>
          <w:sz w:val="38"/>
        </w:rPr>
        <w:t>could</w:t>
      </w:r>
      <w:r>
        <w:rPr>
          <w:i/>
          <w:spacing w:val="-14"/>
          <w:sz w:val="38"/>
        </w:rPr>
        <w:t> </w:t>
      </w:r>
      <w:r>
        <w:rPr>
          <w:i/>
          <w:sz w:val="38"/>
        </w:rPr>
        <w:t>be</w:t>
      </w:r>
      <w:r>
        <w:rPr>
          <w:i/>
          <w:spacing w:val="-17"/>
          <w:sz w:val="38"/>
        </w:rPr>
        <w:t> </w:t>
      </w:r>
      <w:r>
        <w:rPr>
          <w:i/>
          <w:sz w:val="38"/>
        </w:rPr>
        <w:t>relieved,</w:t>
      </w:r>
      <w:r>
        <w:rPr>
          <w:i/>
          <w:spacing w:val="-13"/>
          <w:sz w:val="38"/>
        </w:rPr>
        <w:t> </w:t>
      </w:r>
      <w:r>
        <w:rPr>
          <w:i/>
          <w:sz w:val="38"/>
        </w:rPr>
        <w:t>and</w:t>
      </w:r>
      <w:r>
        <w:rPr>
          <w:i/>
          <w:spacing w:val="-13"/>
          <w:sz w:val="38"/>
        </w:rPr>
        <w:t> </w:t>
      </w:r>
      <w:r>
        <w:rPr>
          <w:i/>
          <w:sz w:val="38"/>
        </w:rPr>
        <w:t>even</w:t>
      </w:r>
      <w:r>
        <w:rPr>
          <w:i/>
          <w:spacing w:val="-13"/>
          <w:sz w:val="38"/>
        </w:rPr>
        <w:t> </w:t>
      </w:r>
      <w:r>
        <w:rPr>
          <w:i/>
          <w:sz w:val="38"/>
        </w:rPr>
        <w:t>sensationally</w:t>
      </w:r>
      <w:r>
        <w:rPr>
          <w:i/>
          <w:spacing w:val="-14"/>
          <w:sz w:val="38"/>
        </w:rPr>
        <w:t> </w:t>
      </w:r>
      <w:r>
        <w:rPr>
          <w:i/>
          <w:sz w:val="38"/>
        </w:rPr>
        <w:t>improved,</w:t>
      </w:r>
      <w:r>
        <w:rPr>
          <w:i/>
          <w:spacing w:val="-13"/>
          <w:sz w:val="38"/>
        </w:rPr>
        <w:t> </w:t>
      </w:r>
      <w:r>
        <w:rPr>
          <w:i/>
          <w:sz w:val="38"/>
        </w:rPr>
        <w:t>even</w:t>
      </w:r>
      <w:r>
        <w:rPr>
          <w:i/>
          <w:spacing w:val="-13"/>
          <w:sz w:val="38"/>
        </w:rPr>
        <w:t> </w:t>
      </w:r>
      <w:r>
        <w:rPr>
          <w:i/>
          <w:sz w:val="38"/>
        </w:rPr>
        <w:t>in</w:t>
      </w:r>
      <w:r>
        <w:rPr>
          <w:i/>
          <w:spacing w:val="-15"/>
          <w:sz w:val="38"/>
        </w:rPr>
        <w:t> </w:t>
      </w:r>
      <w:r>
        <w:rPr>
          <w:i/>
          <w:sz w:val="38"/>
        </w:rPr>
        <w:t>those </w:t>
      </w:r>
      <w:r>
        <w:rPr>
          <w:i/>
          <w:sz w:val="38"/>
        </w:rPr>
        <w:t>cases which had been designated as</w:t>
      </w:r>
      <w:r>
        <w:rPr>
          <w:i/>
          <w:spacing w:val="-3"/>
          <w:sz w:val="38"/>
        </w:rPr>
        <w:t> </w:t>
      </w:r>
      <w:r>
        <w:rPr>
          <w:i/>
          <w:sz w:val="38"/>
        </w:rPr>
        <w:t>incurable'.</w:t>
      </w:r>
    </w:p>
    <w:p>
      <w:pPr>
        <w:spacing w:after="0" w:line="278" w:lineRule="auto"/>
        <w:jc w:val="both"/>
        <w:rPr>
          <w:sz w:val="38"/>
        </w:rPr>
        <w:sectPr>
          <w:pgSz w:w="14270" w:h="16850"/>
          <w:pgMar w:header="0" w:footer="1891" w:top="1340" w:bottom="2080" w:left="800" w:right="1280"/>
        </w:sectPr>
      </w:pPr>
    </w:p>
    <w:p>
      <w:pPr>
        <w:pStyle w:val="BodyText"/>
        <w:spacing w:line="276" w:lineRule="auto" w:before="74"/>
        <w:ind w:left="616" w:right="131"/>
        <w:jc w:val="both"/>
      </w:pPr>
      <w:r>
        <w:rPr/>
        <w:t>Further experiments throughout the world then followed which verified the successes of the initial pilot studies, especially when bio-selenium was used in combination with vitamin E and natural vitamin C (in the form of fruit juices, camu camu or acerola).</w:t>
      </w:r>
    </w:p>
    <w:p>
      <w:pPr>
        <w:pStyle w:val="BodyText"/>
        <w:spacing w:line="276" w:lineRule="auto" w:before="239"/>
        <w:ind w:left="616" w:right="132"/>
        <w:jc w:val="both"/>
      </w:pPr>
      <w:r>
        <w:rPr/>
        <w:t>In the case of sodium selenite, vitamin C should be taken with a time delay,</w:t>
      </w:r>
      <w:r>
        <w:rPr>
          <w:spacing w:val="-52"/>
        </w:rPr>
        <w:t> </w:t>
      </w:r>
      <w:r>
        <w:rPr/>
        <w:t>as the</w:t>
      </w:r>
      <w:r>
        <w:rPr>
          <w:spacing w:val="-7"/>
        </w:rPr>
        <w:t> </w:t>
      </w:r>
      <w:r>
        <w:rPr/>
        <w:t>simultaneous</w:t>
      </w:r>
      <w:r>
        <w:rPr>
          <w:spacing w:val="-6"/>
        </w:rPr>
        <w:t> </w:t>
      </w:r>
      <w:r>
        <w:rPr/>
        <w:t>intake</w:t>
      </w:r>
      <w:r>
        <w:rPr>
          <w:spacing w:val="-7"/>
        </w:rPr>
        <w:t> </w:t>
      </w:r>
      <w:r>
        <w:rPr/>
        <w:t>of</w:t>
      </w:r>
      <w:r>
        <w:rPr>
          <w:spacing w:val="-7"/>
        </w:rPr>
        <w:t> </w:t>
      </w:r>
      <w:r>
        <w:rPr/>
        <w:t>vitamin</w:t>
      </w:r>
      <w:r>
        <w:rPr>
          <w:spacing w:val="-8"/>
        </w:rPr>
        <w:t> </w:t>
      </w:r>
      <w:r>
        <w:rPr/>
        <w:t>C</w:t>
      </w:r>
      <w:r>
        <w:rPr>
          <w:spacing w:val="-8"/>
        </w:rPr>
        <w:t> </w:t>
      </w:r>
      <w:r>
        <w:rPr/>
        <w:t>and</w:t>
      </w:r>
      <w:r>
        <w:rPr>
          <w:spacing w:val="-7"/>
        </w:rPr>
        <w:t> </w:t>
      </w:r>
      <w:r>
        <w:rPr/>
        <w:t>sodium</w:t>
      </w:r>
      <w:r>
        <w:rPr>
          <w:spacing w:val="-7"/>
        </w:rPr>
        <w:t> </w:t>
      </w:r>
      <w:r>
        <w:rPr/>
        <w:t>selenite</w:t>
      </w:r>
      <w:r>
        <w:rPr>
          <w:spacing w:val="-8"/>
        </w:rPr>
        <w:t> </w:t>
      </w:r>
      <w:r>
        <w:rPr/>
        <w:t>suppresses</w:t>
      </w:r>
      <w:r>
        <w:rPr>
          <w:spacing w:val="-5"/>
        </w:rPr>
        <w:t> </w:t>
      </w:r>
      <w:r>
        <w:rPr/>
        <w:t>selenium absorption.</w:t>
      </w:r>
    </w:p>
    <w:p>
      <w:pPr>
        <w:pStyle w:val="Heading1"/>
        <w:spacing w:before="225"/>
        <w:ind w:left="616"/>
        <w:jc w:val="both"/>
      </w:pPr>
      <w:r>
        <w:rPr/>
        <w:t>When does selenium start having an effect on arthritis?</w:t>
      </w:r>
    </w:p>
    <w:p>
      <w:pPr>
        <w:pStyle w:val="BodyText"/>
        <w:spacing w:line="276" w:lineRule="auto" w:before="299"/>
        <w:ind w:left="616" w:right="131"/>
        <w:jc w:val="both"/>
      </w:pPr>
      <w:r>
        <w:rPr/>
        <w:t>Because selenium is a natural remedy, the healing effect takes place very quickly, although this occurs alongside many other positive processes in the course of selenium saturation. Selenium is not a painkiller in the traditional sense.</w:t>
      </w:r>
      <w:r>
        <w:rPr>
          <w:spacing w:val="-14"/>
        </w:rPr>
        <w:t> </w:t>
      </w:r>
      <w:r>
        <w:rPr/>
        <w:t>The</w:t>
      </w:r>
      <w:r>
        <w:rPr>
          <w:spacing w:val="-13"/>
        </w:rPr>
        <w:t> </w:t>
      </w:r>
      <w:r>
        <w:rPr/>
        <w:t>easing</w:t>
      </w:r>
      <w:r>
        <w:rPr>
          <w:spacing w:val="-16"/>
        </w:rPr>
        <w:t> </w:t>
      </w:r>
      <w:r>
        <w:rPr/>
        <w:t>of</w:t>
      </w:r>
      <w:r>
        <w:rPr>
          <w:spacing w:val="-14"/>
        </w:rPr>
        <w:t> </w:t>
      </w:r>
      <w:r>
        <w:rPr/>
        <w:t>pain</w:t>
      </w:r>
      <w:r>
        <w:rPr>
          <w:spacing w:val="-15"/>
        </w:rPr>
        <w:t> </w:t>
      </w:r>
      <w:r>
        <w:rPr/>
        <w:t>accompanies</w:t>
      </w:r>
      <w:r>
        <w:rPr>
          <w:spacing w:val="-14"/>
        </w:rPr>
        <w:t> </w:t>
      </w:r>
      <w:r>
        <w:rPr/>
        <w:t>the</w:t>
      </w:r>
      <w:r>
        <w:rPr>
          <w:spacing w:val="-14"/>
        </w:rPr>
        <w:t> </w:t>
      </w:r>
      <w:r>
        <w:rPr/>
        <w:t>healing</w:t>
      </w:r>
      <w:r>
        <w:rPr>
          <w:spacing w:val="-13"/>
        </w:rPr>
        <w:t> </w:t>
      </w:r>
      <w:r>
        <w:rPr/>
        <w:t>process;</w:t>
      </w:r>
      <w:r>
        <w:rPr>
          <w:spacing w:val="-15"/>
        </w:rPr>
        <w:t> </w:t>
      </w:r>
      <w:r>
        <w:rPr/>
        <w:t>an</w:t>
      </w:r>
      <w:r>
        <w:rPr>
          <w:spacing w:val="-14"/>
        </w:rPr>
        <w:t> </w:t>
      </w:r>
      <w:r>
        <w:rPr/>
        <w:t>improvement</w:t>
      </w:r>
      <w:r>
        <w:rPr>
          <w:spacing w:val="-14"/>
        </w:rPr>
        <w:t> </w:t>
      </w:r>
      <w:r>
        <w:rPr/>
        <w:t>in condition</w:t>
      </w:r>
      <w:r>
        <w:rPr>
          <w:spacing w:val="-18"/>
        </w:rPr>
        <w:t> </w:t>
      </w:r>
      <w:r>
        <w:rPr/>
        <w:t>is,</w:t>
      </w:r>
      <w:r>
        <w:rPr>
          <w:spacing w:val="-17"/>
        </w:rPr>
        <w:t> </w:t>
      </w:r>
      <w:r>
        <w:rPr/>
        <w:t>as</w:t>
      </w:r>
      <w:r>
        <w:rPr>
          <w:spacing w:val="-18"/>
        </w:rPr>
        <w:t> </w:t>
      </w:r>
      <w:r>
        <w:rPr/>
        <w:t>a</w:t>
      </w:r>
      <w:r>
        <w:rPr>
          <w:spacing w:val="-19"/>
        </w:rPr>
        <w:t> </w:t>
      </w:r>
      <w:r>
        <w:rPr/>
        <w:t>general</w:t>
      </w:r>
      <w:r>
        <w:rPr>
          <w:spacing w:val="-19"/>
        </w:rPr>
        <w:t> </w:t>
      </w:r>
      <w:r>
        <w:rPr/>
        <w:t>rule,</w:t>
      </w:r>
      <w:r>
        <w:rPr>
          <w:spacing w:val="-18"/>
        </w:rPr>
        <w:t> </w:t>
      </w:r>
      <w:r>
        <w:rPr/>
        <w:t>to</w:t>
      </w:r>
      <w:r>
        <w:rPr>
          <w:spacing w:val="-17"/>
        </w:rPr>
        <w:t> </w:t>
      </w:r>
      <w:r>
        <w:rPr/>
        <w:t>be</w:t>
      </w:r>
      <w:r>
        <w:rPr>
          <w:spacing w:val="-18"/>
        </w:rPr>
        <w:t> </w:t>
      </w:r>
      <w:r>
        <w:rPr/>
        <w:t>expected</w:t>
      </w:r>
      <w:r>
        <w:rPr>
          <w:spacing w:val="-18"/>
        </w:rPr>
        <w:t> </w:t>
      </w:r>
      <w:r>
        <w:rPr/>
        <w:t>after</w:t>
      </w:r>
      <w:r>
        <w:rPr>
          <w:spacing w:val="-18"/>
        </w:rPr>
        <w:t> </w:t>
      </w:r>
      <w:r>
        <w:rPr/>
        <w:t>four</w:t>
      </w:r>
      <w:r>
        <w:rPr>
          <w:spacing w:val="-17"/>
        </w:rPr>
        <w:t> </w:t>
      </w:r>
      <w:r>
        <w:rPr/>
        <w:t>to</w:t>
      </w:r>
      <w:r>
        <w:rPr>
          <w:spacing w:val="-17"/>
        </w:rPr>
        <w:t> </w:t>
      </w:r>
      <w:r>
        <w:rPr/>
        <w:t>six</w:t>
      </w:r>
      <w:r>
        <w:rPr>
          <w:spacing w:val="-19"/>
        </w:rPr>
        <w:t> </w:t>
      </w:r>
      <w:r>
        <w:rPr/>
        <w:t>weeks—until</w:t>
      </w:r>
      <w:r>
        <w:rPr>
          <w:spacing w:val="-19"/>
        </w:rPr>
        <w:t> </w:t>
      </w:r>
      <w:r>
        <w:rPr/>
        <w:t>that point, there can even be an initial worsening of the symptoms connected to the activation of the immune system, although this is generally a good sign of the onset of the healing</w:t>
      </w:r>
      <w:r>
        <w:rPr>
          <w:spacing w:val="1"/>
        </w:rPr>
        <w:t> </w:t>
      </w:r>
      <w:r>
        <w:rPr/>
        <w:t>mechanisms.</w:t>
      </w:r>
    </w:p>
    <w:p>
      <w:pPr>
        <w:pStyle w:val="Heading2"/>
        <w:spacing w:before="239"/>
        <w:ind w:left="616"/>
        <w:jc w:val="both"/>
      </w:pPr>
      <w:r>
        <w:rPr/>
        <w:t>Selenium and cancer</w:t>
      </w:r>
    </w:p>
    <w:p>
      <w:pPr>
        <w:pStyle w:val="BodyText"/>
        <w:spacing w:line="276" w:lineRule="auto" w:before="304"/>
        <w:ind w:left="616" w:right="140"/>
        <w:jc w:val="both"/>
      </w:pPr>
      <w:r>
        <w:rPr/>
        <w:t>Numerous observations by doctors and researchers from around the world have confirmed an interesting phenomenon. It is a fact that people fall ill</w:t>
      </w:r>
      <w:r>
        <w:rPr>
          <w:spacing w:val="-63"/>
        </w:rPr>
        <w:t> </w:t>
      </w:r>
      <w:r>
        <w:rPr/>
        <w:t>with cancer much more often in regions where the soil contains a notably low amount of selenium or none at all to pass on to plants, animals and ultimately humans via the natural food chain.</w:t>
      </w:r>
    </w:p>
    <w:p>
      <w:pPr>
        <w:spacing w:after="0" w:line="276" w:lineRule="auto"/>
        <w:jc w:val="both"/>
        <w:sectPr>
          <w:pgSz w:w="14270" w:h="16850"/>
          <w:pgMar w:header="0" w:footer="1891" w:top="1340" w:bottom="2080" w:left="800" w:right="1280"/>
        </w:sectPr>
      </w:pPr>
    </w:p>
    <w:p>
      <w:pPr>
        <w:pStyle w:val="BodyText"/>
        <w:spacing w:line="276" w:lineRule="auto" w:before="74"/>
        <w:ind w:left="616" w:right="126"/>
        <w:jc w:val="both"/>
      </w:pPr>
      <w:r>
        <w:rPr/>
        <w:t>From</w:t>
      </w:r>
      <w:r>
        <w:rPr>
          <w:spacing w:val="-12"/>
        </w:rPr>
        <w:t> </w:t>
      </w:r>
      <w:r>
        <w:rPr/>
        <w:t>this</w:t>
      </w:r>
      <w:r>
        <w:rPr>
          <w:spacing w:val="-10"/>
        </w:rPr>
        <w:t> </w:t>
      </w:r>
      <w:r>
        <w:rPr/>
        <w:t>fact,</w:t>
      </w:r>
      <w:r>
        <w:rPr>
          <w:spacing w:val="-10"/>
        </w:rPr>
        <w:t> </w:t>
      </w:r>
      <w:r>
        <w:rPr/>
        <w:t>it</w:t>
      </w:r>
      <w:r>
        <w:rPr>
          <w:spacing w:val="-12"/>
        </w:rPr>
        <w:t> </w:t>
      </w:r>
      <w:r>
        <w:rPr/>
        <w:t>was</w:t>
      </w:r>
      <w:r>
        <w:rPr>
          <w:spacing w:val="-10"/>
        </w:rPr>
        <w:t> </w:t>
      </w:r>
      <w:r>
        <w:rPr/>
        <w:t>concluded</w:t>
      </w:r>
      <w:r>
        <w:rPr>
          <w:spacing w:val="-11"/>
        </w:rPr>
        <w:t> </w:t>
      </w:r>
      <w:r>
        <w:rPr/>
        <w:t>that</w:t>
      </w:r>
      <w:r>
        <w:rPr>
          <w:spacing w:val="-11"/>
        </w:rPr>
        <w:t> </w:t>
      </w:r>
      <w:r>
        <w:rPr/>
        <w:t>selenium</w:t>
      </w:r>
      <w:r>
        <w:rPr>
          <w:spacing w:val="-11"/>
        </w:rPr>
        <w:t> </w:t>
      </w:r>
      <w:r>
        <w:rPr/>
        <w:t>demonstrates</w:t>
      </w:r>
      <w:r>
        <w:rPr>
          <w:spacing w:val="-10"/>
        </w:rPr>
        <w:t> </w:t>
      </w:r>
      <w:r>
        <w:rPr/>
        <w:t>an</w:t>
      </w:r>
      <w:r>
        <w:rPr>
          <w:spacing w:val="-10"/>
        </w:rPr>
        <w:t> </w:t>
      </w:r>
      <w:r>
        <w:rPr/>
        <w:t>extraordinarily high potential for cell protection which can even counteract carcinogenic</w:t>
      </w:r>
      <w:r>
        <w:rPr>
          <w:spacing w:val="-42"/>
        </w:rPr>
        <w:t> </w:t>
      </w:r>
      <w:r>
        <w:rPr/>
        <w:t>sub- stances and the onset of</w:t>
      </w:r>
      <w:r>
        <w:rPr>
          <w:spacing w:val="2"/>
        </w:rPr>
        <w:t> </w:t>
      </w:r>
      <w:r>
        <w:rPr/>
        <w:t>cancer.</w:t>
      </w:r>
    </w:p>
    <w:p>
      <w:pPr>
        <w:pStyle w:val="BodyText"/>
        <w:spacing w:line="276" w:lineRule="auto" w:before="239"/>
        <w:ind w:left="616" w:right="136"/>
        <w:jc w:val="both"/>
      </w:pPr>
      <w:r>
        <w:rPr/>
        <w:t>As early as 1910, Prof. Dr. August von Wasserman was able, in an animal ex- periment, to dissolve tumours with selenium injections and to heal cancer-af- flicted</w:t>
      </w:r>
      <w:r>
        <w:rPr>
          <w:spacing w:val="-14"/>
        </w:rPr>
        <w:t> </w:t>
      </w:r>
      <w:r>
        <w:rPr/>
        <w:t>animals.</w:t>
      </w:r>
      <w:r>
        <w:rPr>
          <w:spacing w:val="-13"/>
        </w:rPr>
        <w:t> </w:t>
      </w:r>
      <w:r>
        <w:rPr/>
        <w:t>Unfortunately,</w:t>
      </w:r>
      <w:r>
        <w:rPr>
          <w:spacing w:val="-12"/>
        </w:rPr>
        <w:t> </w:t>
      </w:r>
      <w:r>
        <w:rPr/>
        <w:t>he</w:t>
      </w:r>
      <w:r>
        <w:rPr>
          <w:spacing w:val="-12"/>
        </w:rPr>
        <w:t> </w:t>
      </w:r>
      <w:r>
        <w:rPr/>
        <w:t>neglected</w:t>
      </w:r>
      <w:r>
        <w:rPr>
          <w:spacing w:val="-12"/>
        </w:rPr>
        <w:t> </w:t>
      </w:r>
      <w:r>
        <w:rPr/>
        <w:t>to</w:t>
      </w:r>
      <w:r>
        <w:rPr>
          <w:spacing w:val="-12"/>
        </w:rPr>
        <w:t> </w:t>
      </w:r>
      <w:r>
        <w:rPr/>
        <w:t>publish</w:t>
      </w:r>
      <w:r>
        <w:rPr>
          <w:spacing w:val="-12"/>
        </w:rPr>
        <w:t> </w:t>
      </w:r>
      <w:r>
        <w:rPr/>
        <w:t>the</w:t>
      </w:r>
      <w:r>
        <w:rPr>
          <w:spacing w:val="-12"/>
        </w:rPr>
        <w:t> </w:t>
      </w:r>
      <w:r>
        <w:rPr/>
        <w:t>correct</w:t>
      </w:r>
      <w:r>
        <w:rPr>
          <w:spacing w:val="-13"/>
        </w:rPr>
        <w:t> </w:t>
      </w:r>
      <w:r>
        <w:rPr/>
        <w:t>dosage</w:t>
      </w:r>
      <w:r>
        <w:rPr>
          <w:spacing w:val="-13"/>
        </w:rPr>
        <w:t> </w:t>
      </w:r>
      <w:r>
        <w:rPr/>
        <w:t>early enough. The reproductions of other doctors led to selenium poisonings as, without knowing it, they used doses that were too</w:t>
      </w:r>
      <w:r>
        <w:rPr>
          <w:spacing w:val="-1"/>
        </w:rPr>
        <w:t> </w:t>
      </w:r>
      <w:r>
        <w:rPr/>
        <w:t>high.</w:t>
      </w:r>
    </w:p>
    <w:p>
      <w:pPr>
        <w:pStyle w:val="Heading1"/>
        <w:spacing w:before="225"/>
        <w:ind w:left="616"/>
      </w:pPr>
      <w:r>
        <w:rPr/>
        <w:t>Sensational cures of cancer with the help of selenium</w:t>
      </w:r>
    </w:p>
    <w:p>
      <w:pPr>
        <w:pStyle w:val="BodyText"/>
        <w:spacing w:line="276" w:lineRule="auto" w:before="297"/>
        <w:ind w:left="616" w:right="134"/>
        <w:jc w:val="both"/>
      </w:pPr>
      <w:r>
        <w:rPr/>
        <w:t>It was only after the First World War that a therapist was able to find out the correct selenium dose for cancer patients. Dr. E. Watson Williams was able</w:t>
      </w:r>
      <w:r>
        <w:rPr>
          <w:spacing w:val="-64"/>
        </w:rPr>
        <w:t> </w:t>
      </w:r>
      <w:r>
        <w:rPr/>
        <w:t>to release</w:t>
      </w:r>
      <w:r>
        <w:rPr>
          <w:spacing w:val="-9"/>
        </w:rPr>
        <w:t> </w:t>
      </w:r>
      <w:r>
        <w:rPr/>
        <w:t>6</w:t>
      </w:r>
      <w:r>
        <w:rPr>
          <w:spacing w:val="-10"/>
        </w:rPr>
        <w:t> </w:t>
      </w:r>
      <w:r>
        <w:rPr/>
        <w:t>of</w:t>
      </w:r>
      <w:r>
        <w:rPr>
          <w:spacing w:val="-9"/>
        </w:rPr>
        <w:t> </w:t>
      </w:r>
      <w:r>
        <w:rPr/>
        <w:t>18</w:t>
      </w:r>
      <w:r>
        <w:rPr>
          <w:spacing w:val="-10"/>
        </w:rPr>
        <w:t> </w:t>
      </w:r>
      <w:r>
        <w:rPr/>
        <w:t>cancer</w:t>
      </w:r>
      <w:r>
        <w:rPr>
          <w:spacing w:val="-8"/>
        </w:rPr>
        <w:t> </w:t>
      </w:r>
      <w:r>
        <w:rPr/>
        <w:t>patients</w:t>
      </w:r>
      <w:r>
        <w:rPr>
          <w:spacing w:val="-9"/>
        </w:rPr>
        <w:t> </w:t>
      </w:r>
      <w:r>
        <w:rPr/>
        <w:t>as</w:t>
      </w:r>
      <w:r>
        <w:rPr>
          <w:spacing w:val="-10"/>
        </w:rPr>
        <w:t> </w:t>
      </w:r>
      <w:r>
        <w:rPr/>
        <w:t>cured</w:t>
      </w:r>
      <w:r>
        <w:rPr>
          <w:spacing w:val="-7"/>
        </w:rPr>
        <w:t> </w:t>
      </w:r>
      <w:r>
        <w:rPr/>
        <w:t>whom</w:t>
      </w:r>
      <w:r>
        <w:rPr>
          <w:spacing w:val="-8"/>
        </w:rPr>
        <w:t> </w:t>
      </w:r>
      <w:r>
        <w:rPr/>
        <w:t>he</w:t>
      </w:r>
      <w:r>
        <w:rPr>
          <w:spacing w:val="-8"/>
        </w:rPr>
        <w:t> </w:t>
      </w:r>
      <w:r>
        <w:rPr/>
        <w:t>had</w:t>
      </w:r>
      <w:r>
        <w:rPr>
          <w:spacing w:val="-9"/>
        </w:rPr>
        <w:t> </w:t>
      </w:r>
      <w:r>
        <w:rPr/>
        <w:t>treated</w:t>
      </w:r>
      <w:r>
        <w:rPr>
          <w:spacing w:val="-9"/>
        </w:rPr>
        <w:t> </w:t>
      </w:r>
      <w:r>
        <w:rPr/>
        <w:t>with</w:t>
      </w:r>
      <w:r>
        <w:rPr>
          <w:spacing w:val="-9"/>
        </w:rPr>
        <w:t> </w:t>
      </w:r>
      <w:r>
        <w:rPr/>
        <w:t>intramuscu- lar and intravenous selenium injections; the other five patients experienced a shrinking</w:t>
      </w:r>
      <w:r>
        <w:rPr>
          <w:spacing w:val="-7"/>
        </w:rPr>
        <w:t> </w:t>
      </w:r>
      <w:r>
        <w:rPr/>
        <w:t>of</w:t>
      </w:r>
      <w:r>
        <w:rPr>
          <w:spacing w:val="-10"/>
        </w:rPr>
        <w:t> </w:t>
      </w:r>
      <w:r>
        <w:rPr/>
        <w:t>the</w:t>
      </w:r>
      <w:r>
        <w:rPr>
          <w:spacing w:val="-12"/>
        </w:rPr>
        <w:t> </w:t>
      </w:r>
      <w:r>
        <w:rPr/>
        <w:t>tumour</w:t>
      </w:r>
      <w:r>
        <w:rPr>
          <w:spacing w:val="-7"/>
        </w:rPr>
        <w:t> </w:t>
      </w:r>
      <w:r>
        <w:rPr/>
        <w:t>and</w:t>
      </w:r>
      <w:r>
        <w:rPr>
          <w:spacing w:val="-8"/>
        </w:rPr>
        <w:t> </w:t>
      </w:r>
      <w:r>
        <w:rPr/>
        <w:t>an</w:t>
      </w:r>
      <w:r>
        <w:rPr>
          <w:spacing w:val="-8"/>
        </w:rPr>
        <w:t> </w:t>
      </w:r>
      <w:r>
        <w:rPr/>
        <w:t>improvement</w:t>
      </w:r>
      <w:r>
        <w:rPr>
          <w:spacing w:val="-8"/>
        </w:rPr>
        <w:t> </w:t>
      </w:r>
      <w:r>
        <w:rPr/>
        <w:t>in</w:t>
      </w:r>
      <w:r>
        <w:rPr>
          <w:spacing w:val="-12"/>
        </w:rPr>
        <w:t> </w:t>
      </w:r>
      <w:r>
        <w:rPr/>
        <w:t>overall</w:t>
      </w:r>
      <w:r>
        <w:rPr>
          <w:spacing w:val="-9"/>
        </w:rPr>
        <w:t> </w:t>
      </w:r>
      <w:r>
        <w:rPr/>
        <w:t>condition.</w:t>
      </w:r>
      <w:r>
        <w:rPr>
          <w:spacing w:val="-7"/>
        </w:rPr>
        <w:t> </w:t>
      </w:r>
      <w:r>
        <w:rPr/>
        <w:t>Two</w:t>
      </w:r>
      <w:r>
        <w:rPr>
          <w:spacing w:val="-7"/>
        </w:rPr>
        <w:t> </w:t>
      </w:r>
      <w:r>
        <w:rPr/>
        <w:t>repre- sentative studies from the 1980s and 1990s have meanwhile shown that the risk of developing cancer rises by 2 to 6 times in case of inadequate selenium supply.</w:t>
      </w:r>
    </w:p>
    <w:p>
      <w:pPr>
        <w:pStyle w:val="Heading1"/>
        <w:ind w:left="616"/>
      </w:pPr>
      <w:r>
        <w:rPr/>
        <w:t>How does selenium work against</w:t>
      </w:r>
      <w:r>
        <w:rPr>
          <w:spacing w:val="-56"/>
        </w:rPr>
        <w:t> </w:t>
      </w:r>
      <w:r>
        <w:rPr/>
        <w:t>cancer?</w:t>
      </w:r>
    </w:p>
    <w:p>
      <w:pPr>
        <w:pStyle w:val="BodyText"/>
        <w:spacing w:before="299"/>
        <w:ind w:left="616"/>
      </w:pPr>
      <w:r>
        <w:rPr/>
        <w:t>Selenium works against cancer by</w:t>
      </w:r>
    </w:p>
    <w:p>
      <w:pPr>
        <w:pStyle w:val="ListParagraph"/>
        <w:numPr>
          <w:ilvl w:val="0"/>
          <w:numId w:val="112"/>
        </w:numPr>
        <w:tabs>
          <w:tab w:pos="1614" w:val="left" w:leader="none"/>
          <w:tab w:pos="1615" w:val="left" w:leader="none"/>
        </w:tabs>
        <w:spacing w:line="271" w:lineRule="auto" w:before="265" w:after="0"/>
        <w:ind w:left="1329" w:right="142" w:hanging="355"/>
        <w:jc w:val="left"/>
        <w:rPr>
          <w:sz w:val="38"/>
        </w:rPr>
      </w:pPr>
      <w:r>
        <w:rPr>
          <w:sz w:val="38"/>
        </w:rPr>
        <w:t>...boosting the immune system in general, i.e. by activating NK</w:t>
      </w:r>
      <w:r>
        <w:rPr>
          <w:spacing w:val="-34"/>
          <w:sz w:val="38"/>
        </w:rPr>
        <w:t> </w:t>
      </w:r>
      <w:r>
        <w:rPr>
          <w:sz w:val="38"/>
        </w:rPr>
        <w:t>(natural killer) cells which completely dissolve the</w:t>
      </w:r>
      <w:r>
        <w:rPr>
          <w:spacing w:val="-2"/>
          <w:sz w:val="38"/>
        </w:rPr>
        <w:t> </w:t>
      </w:r>
      <w:r>
        <w:rPr>
          <w:sz w:val="38"/>
        </w:rPr>
        <w:t>tumours.</w:t>
      </w:r>
    </w:p>
    <w:p>
      <w:pPr>
        <w:spacing w:after="0" w:line="271" w:lineRule="auto"/>
        <w:jc w:val="left"/>
        <w:rPr>
          <w:sz w:val="38"/>
        </w:rPr>
        <w:sectPr>
          <w:pgSz w:w="14270" w:h="16850"/>
          <w:pgMar w:header="0" w:footer="1891" w:top="1340" w:bottom="2080" w:left="800" w:right="1280"/>
        </w:sectPr>
      </w:pPr>
    </w:p>
    <w:p>
      <w:pPr>
        <w:pStyle w:val="ListParagraph"/>
        <w:numPr>
          <w:ilvl w:val="0"/>
          <w:numId w:val="112"/>
        </w:numPr>
        <w:tabs>
          <w:tab w:pos="1614" w:val="left" w:leader="none"/>
          <w:tab w:pos="1615" w:val="left" w:leader="none"/>
        </w:tabs>
        <w:spacing w:line="271" w:lineRule="auto" w:before="72" w:after="0"/>
        <w:ind w:left="1329" w:right="146" w:hanging="355"/>
        <w:jc w:val="left"/>
        <w:rPr>
          <w:sz w:val="38"/>
        </w:rPr>
      </w:pPr>
      <w:r>
        <w:rPr>
          <w:sz w:val="38"/>
        </w:rPr>
        <w:t>...causing an increased production of antibodies and other messenger substances.</w:t>
      </w:r>
    </w:p>
    <w:p>
      <w:pPr>
        <w:pStyle w:val="ListParagraph"/>
        <w:numPr>
          <w:ilvl w:val="0"/>
          <w:numId w:val="112"/>
        </w:numPr>
        <w:tabs>
          <w:tab w:pos="1522" w:val="left" w:leader="none"/>
        </w:tabs>
        <w:spacing w:line="273" w:lineRule="auto" w:before="134" w:after="0"/>
        <w:ind w:left="1329" w:right="135" w:hanging="355"/>
        <w:jc w:val="both"/>
        <w:rPr>
          <w:sz w:val="38"/>
        </w:rPr>
      </w:pPr>
      <w:r>
        <w:rPr>
          <w:sz w:val="38"/>
        </w:rPr>
        <w:t>...decreasing</w:t>
      </w:r>
      <w:r>
        <w:rPr>
          <w:spacing w:val="-12"/>
          <w:sz w:val="38"/>
        </w:rPr>
        <w:t> </w:t>
      </w:r>
      <w:r>
        <w:rPr>
          <w:sz w:val="38"/>
        </w:rPr>
        <w:t>the</w:t>
      </w:r>
      <w:r>
        <w:rPr>
          <w:spacing w:val="-11"/>
          <w:sz w:val="38"/>
        </w:rPr>
        <w:t> </w:t>
      </w:r>
      <w:r>
        <w:rPr>
          <w:sz w:val="38"/>
        </w:rPr>
        <w:t>number</w:t>
      </w:r>
      <w:r>
        <w:rPr>
          <w:spacing w:val="-12"/>
          <w:sz w:val="38"/>
        </w:rPr>
        <w:t> </w:t>
      </w:r>
      <w:r>
        <w:rPr>
          <w:sz w:val="38"/>
        </w:rPr>
        <w:t>of</w:t>
      </w:r>
      <w:r>
        <w:rPr>
          <w:spacing w:val="-11"/>
          <w:sz w:val="38"/>
        </w:rPr>
        <w:t> </w:t>
      </w:r>
      <w:r>
        <w:rPr>
          <w:sz w:val="38"/>
        </w:rPr>
        <w:t>surface</w:t>
      </w:r>
      <w:r>
        <w:rPr>
          <w:spacing w:val="-12"/>
          <w:sz w:val="38"/>
        </w:rPr>
        <w:t> </w:t>
      </w:r>
      <w:r>
        <w:rPr>
          <w:sz w:val="38"/>
        </w:rPr>
        <w:t>molecules</w:t>
      </w:r>
      <w:r>
        <w:rPr>
          <w:spacing w:val="-13"/>
          <w:sz w:val="38"/>
        </w:rPr>
        <w:t> </w:t>
      </w:r>
      <w:r>
        <w:rPr>
          <w:sz w:val="38"/>
        </w:rPr>
        <w:t>on</w:t>
      </w:r>
      <w:r>
        <w:rPr>
          <w:spacing w:val="-11"/>
          <w:sz w:val="38"/>
        </w:rPr>
        <w:t> </w:t>
      </w:r>
      <w:r>
        <w:rPr>
          <w:sz w:val="38"/>
        </w:rPr>
        <w:t>cancer</w:t>
      </w:r>
      <w:r>
        <w:rPr>
          <w:spacing w:val="-12"/>
          <w:sz w:val="38"/>
        </w:rPr>
        <w:t> </w:t>
      </w:r>
      <w:r>
        <w:rPr>
          <w:sz w:val="38"/>
        </w:rPr>
        <w:t>cells</w:t>
      </w:r>
      <w:r>
        <w:rPr>
          <w:spacing w:val="-11"/>
          <w:sz w:val="38"/>
        </w:rPr>
        <w:t> </w:t>
      </w:r>
      <w:r>
        <w:rPr>
          <w:sz w:val="38"/>
        </w:rPr>
        <w:t>and</w:t>
      </w:r>
      <w:r>
        <w:rPr>
          <w:spacing w:val="-12"/>
          <w:sz w:val="38"/>
        </w:rPr>
        <w:t> </w:t>
      </w:r>
      <w:r>
        <w:rPr>
          <w:sz w:val="38"/>
        </w:rPr>
        <w:t>'mark- ing' these for the NK cells so that the NK cells can better locate and de- stroy them.</w:t>
      </w:r>
    </w:p>
    <w:p>
      <w:pPr>
        <w:pStyle w:val="ListParagraph"/>
        <w:numPr>
          <w:ilvl w:val="0"/>
          <w:numId w:val="112"/>
        </w:numPr>
        <w:tabs>
          <w:tab w:pos="1521" w:val="left" w:leader="none"/>
          <w:tab w:pos="1522" w:val="left" w:leader="none"/>
        </w:tabs>
        <w:spacing w:line="271" w:lineRule="auto" w:before="127" w:after="0"/>
        <w:ind w:left="1329" w:right="139" w:hanging="355"/>
        <w:jc w:val="left"/>
        <w:rPr>
          <w:sz w:val="38"/>
        </w:rPr>
      </w:pPr>
      <w:r>
        <w:rPr>
          <w:sz w:val="38"/>
        </w:rPr>
        <w:t>...inhibiting the growth of the tumour cells by interfering with their me- tabolism.</w:t>
      </w:r>
    </w:p>
    <w:p>
      <w:pPr>
        <w:pStyle w:val="ListParagraph"/>
        <w:numPr>
          <w:ilvl w:val="0"/>
          <w:numId w:val="112"/>
        </w:numPr>
        <w:tabs>
          <w:tab w:pos="1521" w:val="left" w:leader="none"/>
          <w:tab w:pos="1522" w:val="left" w:leader="none"/>
        </w:tabs>
        <w:spacing w:line="240" w:lineRule="auto" w:before="134" w:after="0"/>
        <w:ind w:left="1521" w:right="0" w:hanging="547"/>
        <w:jc w:val="left"/>
        <w:rPr>
          <w:sz w:val="38"/>
        </w:rPr>
      </w:pPr>
      <w:r>
        <w:rPr>
          <w:sz w:val="38"/>
        </w:rPr>
        <w:t>... neutralising cell toxins.</w:t>
      </w:r>
    </w:p>
    <w:p>
      <w:pPr>
        <w:pStyle w:val="ListParagraph"/>
        <w:numPr>
          <w:ilvl w:val="0"/>
          <w:numId w:val="112"/>
        </w:numPr>
        <w:tabs>
          <w:tab w:pos="1521" w:val="left" w:leader="none"/>
          <w:tab w:pos="1522" w:val="left" w:leader="none"/>
        </w:tabs>
        <w:spacing w:line="240" w:lineRule="auto" w:before="183" w:after="0"/>
        <w:ind w:left="1521" w:right="0" w:hanging="547"/>
        <w:jc w:val="left"/>
        <w:rPr>
          <w:sz w:val="38"/>
        </w:rPr>
      </w:pPr>
      <w:r>
        <w:rPr>
          <w:sz w:val="38"/>
        </w:rPr>
        <w:t>...neutralising free</w:t>
      </w:r>
      <w:r>
        <w:rPr>
          <w:spacing w:val="1"/>
          <w:sz w:val="38"/>
        </w:rPr>
        <w:t> </w:t>
      </w:r>
      <w:r>
        <w:rPr>
          <w:sz w:val="38"/>
        </w:rPr>
        <w:t>radicals.</w:t>
      </w:r>
    </w:p>
    <w:p>
      <w:pPr>
        <w:pStyle w:val="ListParagraph"/>
        <w:numPr>
          <w:ilvl w:val="0"/>
          <w:numId w:val="112"/>
        </w:numPr>
        <w:tabs>
          <w:tab w:pos="1521" w:val="left" w:leader="none"/>
          <w:tab w:pos="1522" w:val="left" w:leader="none"/>
        </w:tabs>
        <w:spacing w:line="240" w:lineRule="auto" w:before="185" w:after="0"/>
        <w:ind w:left="1521" w:right="0" w:hanging="547"/>
        <w:jc w:val="left"/>
        <w:rPr>
          <w:sz w:val="38"/>
        </w:rPr>
      </w:pPr>
      <w:r>
        <w:rPr>
          <w:sz w:val="38"/>
        </w:rPr>
        <w:t>...repairing attacked</w:t>
      </w:r>
      <w:r>
        <w:rPr>
          <w:spacing w:val="1"/>
          <w:sz w:val="38"/>
        </w:rPr>
        <w:t> </w:t>
      </w:r>
      <w:r>
        <w:rPr>
          <w:sz w:val="38"/>
        </w:rPr>
        <w:t>cells.</w:t>
      </w:r>
    </w:p>
    <w:p>
      <w:pPr>
        <w:pStyle w:val="ListParagraph"/>
        <w:numPr>
          <w:ilvl w:val="0"/>
          <w:numId w:val="112"/>
        </w:numPr>
        <w:tabs>
          <w:tab w:pos="1521" w:val="left" w:leader="none"/>
          <w:tab w:pos="1522" w:val="left" w:leader="none"/>
        </w:tabs>
        <w:spacing w:line="240" w:lineRule="auto" w:before="183" w:after="0"/>
        <w:ind w:left="1521" w:right="0" w:hanging="547"/>
        <w:jc w:val="left"/>
        <w:rPr>
          <w:sz w:val="38"/>
        </w:rPr>
      </w:pPr>
      <w:r>
        <w:rPr>
          <w:sz w:val="38"/>
        </w:rPr>
        <w:t>...protecting the body from deformed</w:t>
      </w:r>
      <w:r>
        <w:rPr>
          <w:spacing w:val="-2"/>
          <w:sz w:val="38"/>
        </w:rPr>
        <w:t> </w:t>
      </w:r>
      <w:r>
        <w:rPr>
          <w:sz w:val="38"/>
        </w:rPr>
        <w:t>cells.</w:t>
      </w:r>
    </w:p>
    <w:p>
      <w:pPr>
        <w:pStyle w:val="ListParagraph"/>
        <w:numPr>
          <w:ilvl w:val="0"/>
          <w:numId w:val="112"/>
        </w:numPr>
        <w:tabs>
          <w:tab w:pos="1521" w:val="left" w:leader="none"/>
          <w:tab w:pos="1522" w:val="left" w:leader="none"/>
        </w:tabs>
        <w:spacing w:line="240" w:lineRule="auto" w:before="185" w:after="0"/>
        <w:ind w:left="1521" w:right="0" w:hanging="547"/>
        <w:jc w:val="left"/>
        <w:rPr>
          <w:sz w:val="38"/>
        </w:rPr>
      </w:pPr>
      <w:r>
        <w:rPr>
          <w:sz w:val="38"/>
        </w:rPr>
        <w:t>...supporting the apoptosis (programmed cell death) of deformed</w:t>
      </w:r>
      <w:r>
        <w:rPr>
          <w:spacing w:val="-25"/>
          <w:sz w:val="38"/>
        </w:rPr>
        <w:t> </w:t>
      </w:r>
      <w:r>
        <w:rPr>
          <w:sz w:val="38"/>
        </w:rPr>
        <w:t>cells.</w:t>
      </w:r>
    </w:p>
    <w:p>
      <w:pPr>
        <w:pStyle w:val="ListParagraph"/>
        <w:numPr>
          <w:ilvl w:val="0"/>
          <w:numId w:val="112"/>
        </w:numPr>
        <w:tabs>
          <w:tab w:pos="1521" w:val="left" w:leader="none"/>
          <w:tab w:pos="1522" w:val="left" w:leader="none"/>
        </w:tabs>
        <w:spacing w:line="240" w:lineRule="auto" w:before="183" w:after="0"/>
        <w:ind w:left="1521" w:right="0" w:hanging="547"/>
        <w:jc w:val="left"/>
        <w:rPr>
          <w:sz w:val="38"/>
        </w:rPr>
      </w:pPr>
      <w:r>
        <w:rPr>
          <w:sz w:val="38"/>
        </w:rPr>
        <w:t>... preventing chromosome</w:t>
      </w:r>
      <w:r>
        <w:rPr>
          <w:spacing w:val="-2"/>
          <w:sz w:val="38"/>
        </w:rPr>
        <w:t> </w:t>
      </w:r>
      <w:r>
        <w:rPr>
          <w:sz w:val="38"/>
        </w:rPr>
        <w:t>damage.</w:t>
      </w:r>
    </w:p>
    <w:p>
      <w:pPr>
        <w:pStyle w:val="ListParagraph"/>
        <w:numPr>
          <w:ilvl w:val="0"/>
          <w:numId w:val="112"/>
        </w:numPr>
        <w:tabs>
          <w:tab w:pos="1521" w:val="left" w:leader="none"/>
          <w:tab w:pos="1522" w:val="left" w:leader="none"/>
        </w:tabs>
        <w:spacing w:line="240" w:lineRule="auto" w:before="185" w:after="0"/>
        <w:ind w:left="1521" w:right="0" w:hanging="547"/>
        <w:jc w:val="left"/>
        <w:rPr>
          <w:sz w:val="38"/>
        </w:rPr>
      </w:pPr>
      <w:r>
        <w:rPr>
          <w:sz w:val="38"/>
        </w:rPr>
        <w:t>...neutralising carcinogenic (cancer-causing)</w:t>
      </w:r>
      <w:r>
        <w:rPr>
          <w:spacing w:val="-2"/>
          <w:sz w:val="38"/>
        </w:rPr>
        <w:t> </w:t>
      </w:r>
      <w:r>
        <w:rPr>
          <w:sz w:val="38"/>
        </w:rPr>
        <w:t>substances.</w:t>
      </w:r>
    </w:p>
    <w:p>
      <w:pPr>
        <w:pStyle w:val="ListParagraph"/>
        <w:numPr>
          <w:ilvl w:val="0"/>
          <w:numId w:val="112"/>
        </w:numPr>
        <w:tabs>
          <w:tab w:pos="1521" w:val="left" w:leader="none"/>
          <w:tab w:pos="1522" w:val="left" w:leader="none"/>
        </w:tabs>
        <w:spacing w:line="240" w:lineRule="auto" w:before="185" w:after="0"/>
        <w:ind w:left="1521" w:right="0" w:hanging="547"/>
        <w:jc w:val="left"/>
        <w:rPr>
          <w:sz w:val="38"/>
        </w:rPr>
      </w:pPr>
      <w:r>
        <w:rPr>
          <w:sz w:val="38"/>
        </w:rPr>
        <w:t>...buffering/neutralising carcinogenic metabolic</w:t>
      </w:r>
      <w:r>
        <w:rPr>
          <w:spacing w:val="-5"/>
          <w:sz w:val="38"/>
        </w:rPr>
        <w:t> </w:t>
      </w:r>
      <w:r>
        <w:rPr>
          <w:sz w:val="38"/>
        </w:rPr>
        <w:t>toxins.</w:t>
      </w:r>
    </w:p>
    <w:p>
      <w:pPr>
        <w:pStyle w:val="ListParagraph"/>
        <w:numPr>
          <w:ilvl w:val="0"/>
          <w:numId w:val="112"/>
        </w:numPr>
        <w:tabs>
          <w:tab w:pos="1521" w:val="left" w:leader="none"/>
          <w:tab w:pos="1522" w:val="left" w:leader="none"/>
        </w:tabs>
        <w:spacing w:line="271" w:lineRule="auto" w:before="183" w:after="0"/>
        <w:ind w:left="1329" w:right="141" w:hanging="355"/>
        <w:jc w:val="left"/>
        <w:rPr>
          <w:sz w:val="38"/>
        </w:rPr>
      </w:pPr>
      <w:r>
        <w:rPr>
          <w:sz w:val="38"/>
        </w:rPr>
        <w:t>...introducing gene repair mechanisms via the activation of certain en- zymes.</w:t>
      </w:r>
    </w:p>
    <w:p>
      <w:pPr>
        <w:pStyle w:val="ListParagraph"/>
        <w:numPr>
          <w:ilvl w:val="0"/>
          <w:numId w:val="112"/>
        </w:numPr>
        <w:tabs>
          <w:tab w:pos="1521" w:val="left" w:leader="none"/>
          <w:tab w:pos="1522" w:val="left" w:leader="none"/>
        </w:tabs>
        <w:spacing w:line="240" w:lineRule="auto" w:before="134" w:after="0"/>
        <w:ind w:left="1521" w:right="0" w:hanging="547"/>
        <w:jc w:val="left"/>
        <w:rPr>
          <w:sz w:val="38"/>
        </w:rPr>
      </w:pPr>
      <w:r>
        <w:rPr>
          <w:sz w:val="38"/>
        </w:rPr>
        <w:t>...protecting against radioactive radiation.</w:t>
      </w:r>
    </w:p>
    <w:p>
      <w:pPr>
        <w:pStyle w:val="BodyText"/>
        <w:spacing w:before="302"/>
        <w:ind w:left="616"/>
      </w:pPr>
      <w:r>
        <w:rPr/>
        <w:t>As we can gather from the above list, selenium has a multifactorial effect on</w:t>
      </w:r>
    </w:p>
    <w:p>
      <w:pPr>
        <w:spacing w:after="0"/>
        <w:sectPr>
          <w:pgSz w:w="14270" w:h="16850"/>
          <w:pgMar w:header="0" w:footer="1891" w:top="1340" w:bottom="2080" w:left="800" w:right="1280"/>
        </w:sectPr>
      </w:pPr>
    </w:p>
    <w:p>
      <w:pPr>
        <w:pStyle w:val="BodyText"/>
        <w:spacing w:line="278" w:lineRule="auto" w:before="72"/>
        <w:ind w:left="616" w:right="143"/>
        <w:jc w:val="both"/>
      </w:pPr>
      <w:r>
        <w:rPr/>
        <w:t>cancer and can be of very reliable service in every phase, from prevention to treatment to aftercare.</w:t>
      </w:r>
    </w:p>
    <w:p>
      <w:pPr>
        <w:pStyle w:val="BodyText"/>
        <w:spacing w:line="276" w:lineRule="auto" w:before="232"/>
        <w:ind w:left="616" w:right="136"/>
        <w:jc w:val="both"/>
      </w:pPr>
      <w:r>
        <w:rPr/>
        <w:t>By activating the natural killer cells (NK cells), which can locate, attack and start the apoptosis of cancer cells even in the early phases, selenium takes an active part in the destruction of cancer cells.</w:t>
      </w:r>
    </w:p>
    <w:p>
      <w:pPr>
        <w:pStyle w:val="BodyText"/>
        <w:spacing w:line="276" w:lineRule="auto" w:before="241"/>
        <w:ind w:left="616" w:right="132"/>
        <w:jc w:val="both"/>
      </w:pPr>
      <w:r>
        <w:rPr/>
        <w:t>Scientists have determined that cancer patients have on average 25 % less of these</w:t>
      </w:r>
      <w:r>
        <w:rPr>
          <w:spacing w:val="-17"/>
        </w:rPr>
        <w:t> </w:t>
      </w:r>
      <w:r>
        <w:rPr/>
        <w:t>natural</w:t>
      </w:r>
      <w:r>
        <w:rPr>
          <w:spacing w:val="-19"/>
        </w:rPr>
        <w:t> </w:t>
      </w:r>
      <w:r>
        <w:rPr/>
        <w:t>killer</w:t>
      </w:r>
      <w:r>
        <w:rPr>
          <w:spacing w:val="-17"/>
        </w:rPr>
        <w:t> </w:t>
      </w:r>
      <w:r>
        <w:rPr/>
        <w:t>cells—the</w:t>
      </w:r>
      <w:r>
        <w:rPr>
          <w:spacing w:val="-16"/>
        </w:rPr>
        <w:t> </w:t>
      </w:r>
      <w:r>
        <w:rPr/>
        <w:t>administration</w:t>
      </w:r>
      <w:r>
        <w:rPr>
          <w:spacing w:val="-17"/>
        </w:rPr>
        <w:t> </w:t>
      </w:r>
      <w:r>
        <w:rPr/>
        <w:t>of</w:t>
      </w:r>
      <w:r>
        <w:rPr>
          <w:spacing w:val="-20"/>
        </w:rPr>
        <w:t> </w:t>
      </w:r>
      <w:r>
        <w:rPr/>
        <w:t>selenium</w:t>
      </w:r>
      <w:r>
        <w:rPr>
          <w:spacing w:val="-18"/>
        </w:rPr>
        <w:t> </w:t>
      </w:r>
      <w:r>
        <w:rPr/>
        <w:t>can</w:t>
      </w:r>
      <w:r>
        <w:rPr>
          <w:spacing w:val="-16"/>
        </w:rPr>
        <w:t> </w:t>
      </w:r>
      <w:r>
        <w:rPr/>
        <w:t>substantially</w:t>
      </w:r>
      <w:r>
        <w:rPr>
          <w:spacing w:val="-17"/>
        </w:rPr>
        <w:t> </w:t>
      </w:r>
      <w:r>
        <w:rPr/>
        <w:t>min- imise this deficit. In addition, a higher portion of NK cells accompanies a longer metastasis-free time and a longer survival time.</w:t>
      </w:r>
      <w:r>
        <w:rPr>
          <w:position w:val="9"/>
          <w:sz w:val="25"/>
        </w:rPr>
        <w:t>810 </w:t>
      </w:r>
      <w:r>
        <w:rPr/>
        <w:t>Selenium also acti- vates certain enzymes which take part in the repair of our genes and protect them from a deformity which could directly lead to a malignant tumour. Sele- nium</w:t>
      </w:r>
      <w:r>
        <w:rPr>
          <w:spacing w:val="-26"/>
        </w:rPr>
        <w:t> </w:t>
      </w:r>
      <w:r>
        <w:rPr/>
        <w:t>also</w:t>
      </w:r>
      <w:r>
        <w:rPr>
          <w:spacing w:val="-24"/>
        </w:rPr>
        <w:t> </w:t>
      </w:r>
      <w:r>
        <w:rPr/>
        <w:t>protects</w:t>
      </w:r>
      <w:r>
        <w:rPr>
          <w:spacing w:val="-24"/>
        </w:rPr>
        <w:t> </w:t>
      </w:r>
      <w:r>
        <w:rPr/>
        <w:t>us</w:t>
      </w:r>
      <w:r>
        <w:rPr>
          <w:spacing w:val="-25"/>
        </w:rPr>
        <w:t> </w:t>
      </w:r>
      <w:r>
        <w:rPr/>
        <w:t>from</w:t>
      </w:r>
      <w:r>
        <w:rPr>
          <w:spacing w:val="-24"/>
        </w:rPr>
        <w:t> </w:t>
      </w:r>
      <w:r>
        <w:rPr/>
        <w:t>the</w:t>
      </w:r>
      <w:r>
        <w:rPr>
          <w:spacing w:val="-26"/>
        </w:rPr>
        <w:t> </w:t>
      </w:r>
      <w:r>
        <w:rPr/>
        <w:t>negative</w:t>
      </w:r>
      <w:r>
        <w:rPr>
          <w:spacing w:val="-26"/>
        </w:rPr>
        <w:t> </w:t>
      </w:r>
      <w:r>
        <w:rPr/>
        <w:t>influence</w:t>
      </w:r>
      <w:r>
        <w:rPr>
          <w:spacing w:val="-24"/>
        </w:rPr>
        <w:t> </w:t>
      </w:r>
      <w:r>
        <w:rPr/>
        <w:t>of</w:t>
      </w:r>
      <w:r>
        <w:rPr>
          <w:spacing w:val="-24"/>
        </w:rPr>
        <w:t> </w:t>
      </w:r>
      <w:r>
        <w:rPr/>
        <w:t>the</w:t>
      </w:r>
      <w:r>
        <w:rPr>
          <w:spacing w:val="-26"/>
        </w:rPr>
        <w:t> </w:t>
      </w:r>
      <w:r>
        <w:rPr/>
        <w:t>free</w:t>
      </w:r>
      <w:r>
        <w:rPr>
          <w:spacing w:val="-26"/>
        </w:rPr>
        <w:t> </w:t>
      </w:r>
      <w:r>
        <w:rPr/>
        <w:t>radicals</w:t>
      </w:r>
      <w:r>
        <w:rPr>
          <w:spacing w:val="-25"/>
        </w:rPr>
        <w:t> </w:t>
      </w:r>
      <w:r>
        <w:rPr/>
        <w:t>that</w:t>
      </w:r>
      <w:r>
        <w:rPr>
          <w:spacing w:val="-25"/>
        </w:rPr>
        <w:t> </w:t>
      </w:r>
      <w:r>
        <w:rPr/>
        <w:t>attack our cells every day and which can change them to such a degree that they</w:t>
      </w:r>
      <w:r>
        <w:rPr>
          <w:spacing w:val="-38"/>
        </w:rPr>
        <w:t> </w:t>
      </w:r>
      <w:r>
        <w:rPr/>
        <w:t>mu- tate into cancer cells.</w:t>
      </w:r>
    </w:p>
    <w:p>
      <w:pPr>
        <w:pStyle w:val="Heading1"/>
        <w:spacing w:before="225"/>
        <w:ind w:left="616"/>
        <w:jc w:val="both"/>
      </w:pPr>
      <w:r>
        <w:rPr/>
        <w:t>In which stages of cancer is selenium used?</w:t>
      </w:r>
    </w:p>
    <w:p>
      <w:pPr>
        <w:pStyle w:val="BodyText"/>
        <w:spacing w:before="297"/>
        <w:ind w:left="616"/>
        <w:jc w:val="both"/>
      </w:pPr>
      <w:r>
        <w:rPr/>
        <w:t>Selenium is used in complementary oncology in the following ways:</w:t>
      </w:r>
    </w:p>
    <w:p>
      <w:pPr>
        <w:pStyle w:val="ListParagraph"/>
        <w:numPr>
          <w:ilvl w:val="0"/>
          <w:numId w:val="111"/>
        </w:numPr>
        <w:tabs>
          <w:tab w:pos="1393" w:val="left" w:leader="none"/>
          <w:tab w:pos="1394" w:val="left" w:leader="none"/>
        </w:tabs>
        <w:spacing w:line="240" w:lineRule="auto" w:before="265" w:after="0"/>
        <w:ind w:left="1394" w:right="0" w:hanging="360"/>
        <w:jc w:val="left"/>
        <w:rPr>
          <w:sz w:val="38"/>
        </w:rPr>
      </w:pPr>
      <w:r>
        <w:rPr>
          <w:sz w:val="38"/>
        </w:rPr>
        <w:t>in the prevention of</w:t>
      </w:r>
      <w:r>
        <w:rPr>
          <w:spacing w:val="4"/>
          <w:sz w:val="38"/>
        </w:rPr>
        <w:t> </w:t>
      </w:r>
      <w:r>
        <w:rPr>
          <w:sz w:val="38"/>
        </w:rPr>
        <w:t>cancer,</w:t>
      </w:r>
    </w:p>
    <w:p>
      <w:pPr>
        <w:pStyle w:val="ListParagraph"/>
        <w:numPr>
          <w:ilvl w:val="0"/>
          <w:numId w:val="111"/>
        </w:numPr>
        <w:tabs>
          <w:tab w:pos="1393" w:val="left" w:leader="none"/>
          <w:tab w:pos="1394" w:val="left" w:leader="none"/>
        </w:tabs>
        <w:spacing w:line="240" w:lineRule="auto" w:before="184" w:after="0"/>
        <w:ind w:left="1394" w:right="0" w:hanging="360"/>
        <w:jc w:val="left"/>
        <w:rPr>
          <w:sz w:val="38"/>
        </w:rPr>
      </w:pPr>
      <w:r>
        <w:rPr>
          <w:sz w:val="38"/>
        </w:rPr>
        <w:t>in active cancer</w:t>
      </w:r>
      <w:r>
        <w:rPr>
          <w:spacing w:val="-2"/>
          <w:sz w:val="38"/>
        </w:rPr>
        <w:t> </w:t>
      </w:r>
      <w:r>
        <w:rPr>
          <w:sz w:val="38"/>
        </w:rPr>
        <w:t>treatment,</w:t>
      </w:r>
    </w:p>
    <w:p>
      <w:pPr>
        <w:pStyle w:val="ListParagraph"/>
        <w:numPr>
          <w:ilvl w:val="0"/>
          <w:numId w:val="111"/>
        </w:numPr>
        <w:tabs>
          <w:tab w:pos="1393" w:val="left" w:leader="none"/>
          <w:tab w:pos="1394" w:val="left" w:leader="none"/>
        </w:tabs>
        <w:spacing w:line="240" w:lineRule="auto" w:before="186" w:after="0"/>
        <w:ind w:left="1394" w:right="0" w:hanging="360"/>
        <w:jc w:val="left"/>
        <w:rPr>
          <w:sz w:val="38"/>
        </w:rPr>
      </w:pPr>
      <w:r>
        <w:rPr>
          <w:sz w:val="38"/>
        </w:rPr>
        <w:t>accompanying chemotherapy,</w:t>
      </w:r>
    </w:p>
    <w:p>
      <w:pPr>
        <w:pStyle w:val="ListParagraph"/>
        <w:numPr>
          <w:ilvl w:val="0"/>
          <w:numId w:val="111"/>
        </w:numPr>
        <w:tabs>
          <w:tab w:pos="1393" w:val="left" w:leader="none"/>
          <w:tab w:pos="1394" w:val="left" w:leader="none"/>
        </w:tabs>
        <w:spacing w:line="240" w:lineRule="auto" w:before="184" w:after="0"/>
        <w:ind w:left="1394" w:right="0" w:hanging="360"/>
        <w:jc w:val="left"/>
        <w:rPr>
          <w:sz w:val="38"/>
        </w:rPr>
      </w:pPr>
      <w:r>
        <w:rPr>
          <w:sz w:val="38"/>
        </w:rPr>
        <w:t>accompanying radiation</w:t>
      </w:r>
      <w:r>
        <w:rPr>
          <w:spacing w:val="1"/>
          <w:sz w:val="38"/>
        </w:rPr>
        <w:t> </w:t>
      </w:r>
      <w:r>
        <w:rPr>
          <w:sz w:val="38"/>
        </w:rPr>
        <w:t>therapy,</w:t>
      </w:r>
    </w:p>
    <w:p>
      <w:pPr>
        <w:pStyle w:val="BodyText"/>
        <w:spacing w:before="10"/>
        <w:rPr>
          <w:sz w:val="28"/>
        </w:rPr>
      </w:pPr>
      <w:r>
        <w:rPr/>
        <w:pict>
          <v:line style="position:absolute;mso-position-horizontal-relative:page;mso-position-vertical-relative:paragraph;z-index:10952;mso-wrap-distance-left:0;mso-wrap-distance-right:0" from="70.823997pt,18.644907pt" to="214.843997pt,18.644907pt" stroked="true" strokeweight=".72003pt" strokecolor="#000000">
            <v:stroke dashstyle="solid"/>
            <w10:wrap type="topAndBottom"/>
          </v:line>
        </w:pict>
      </w:r>
    </w:p>
    <w:p>
      <w:pPr>
        <w:pStyle w:val="BodyText"/>
        <w:spacing w:before="7"/>
        <w:rPr>
          <w:sz w:val="18"/>
        </w:rPr>
      </w:pPr>
    </w:p>
    <w:p>
      <w:pPr>
        <w:spacing w:line="276" w:lineRule="auto" w:before="99"/>
        <w:ind w:left="616" w:right="0" w:firstLine="0"/>
        <w:jc w:val="left"/>
        <w:rPr>
          <w:sz w:val="20"/>
        </w:rPr>
      </w:pPr>
      <w:r>
        <w:rPr>
          <w:position w:val="5"/>
          <w:sz w:val="13"/>
        </w:rPr>
        <w:t>810 </w:t>
      </w:r>
      <w:r>
        <w:rPr>
          <w:sz w:val="20"/>
        </w:rPr>
        <w:t>Prof. Dr. Josef Beuth and Dr. Verena Drebing: Selen gegen Krebs – Unterstützung in der Tumorprävention und –therapie ('Selenium against Cancer – Support in the Prevention and Treatment of Cancer'), TRIAS-Verlag 2006, p. 66 f.</w:t>
      </w:r>
    </w:p>
    <w:p>
      <w:pPr>
        <w:spacing w:after="0" w:line="276" w:lineRule="auto"/>
        <w:jc w:val="left"/>
        <w:rPr>
          <w:sz w:val="20"/>
        </w:rPr>
        <w:sectPr>
          <w:pgSz w:w="14270" w:h="16850"/>
          <w:pgMar w:header="0" w:footer="1891" w:top="1340" w:bottom="2080" w:left="800" w:right="1280"/>
        </w:sectPr>
      </w:pPr>
    </w:p>
    <w:p>
      <w:pPr>
        <w:pStyle w:val="ListParagraph"/>
        <w:numPr>
          <w:ilvl w:val="0"/>
          <w:numId w:val="111"/>
        </w:numPr>
        <w:tabs>
          <w:tab w:pos="1393" w:val="left" w:leader="none"/>
          <w:tab w:pos="1394" w:val="left" w:leader="none"/>
        </w:tabs>
        <w:spacing w:line="240" w:lineRule="auto" w:before="53" w:after="0"/>
        <w:ind w:left="1394" w:right="0" w:hanging="360"/>
        <w:jc w:val="left"/>
        <w:rPr>
          <w:sz w:val="38"/>
        </w:rPr>
      </w:pPr>
      <w:r>
        <w:rPr>
          <w:sz w:val="38"/>
        </w:rPr>
        <w:t>before, during and after the tumour operation and</w:t>
      </w:r>
    </w:p>
    <w:p>
      <w:pPr>
        <w:pStyle w:val="ListParagraph"/>
        <w:numPr>
          <w:ilvl w:val="0"/>
          <w:numId w:val="111"/>
        </w:numPr>
        <w:tabs>
          <w:tab w:pos="1393" w:val="left" w:leader="none"/>
          <w:tab w:pos="1394" w:val="left" w:leader="none"/>
        </w:tabs>
        <w:spacing w:line="240" w:lineRule="auto" w:before="186" w:after="0"/>
        <w:ind w:left="1394" w:right="0" w:hanging="360"/>
        <w:jc w:val="left"/>
        <w:rPr>
          <w:sz w:val="38"/>
        </w:rPr>
      </w:pPr>
      <w:r>
        <w:rPr>
          <w:sz w:val="38"/>
        </w:rPr>
        <w:t>in aftercare.</w:t>
      </w:r>
    </w:p>
    <w:p>
      <w:pPr>
        <w:pStyle w:val="BodyText"/>
        <w:spacing w:line="276" w:lineRule="auto" w:before="302"/>
        <w:ind w:left="616" w:right="139"/>
        <w:jc w:val="both"/>
      </w:pPr>
      <w:r>
        <w:rPr/>
        <w:t>In all stages of cancer, the strengthening of the immune system and the ward- ing off of free radicals are an essential and indispensable component of effec- tive</w:t>
      </w:r>
      <w:r>
        <w:rPr>
          <w:spacing w:val="-23"/>
        </w:rPr>
        <w:t> </w:t>
      </w:r>
      <w:r>
        <w:rPr/>
        <w:t>biological</w:t>
      </w:r>
      <w:r>
        <w:rPr>
          <w:spacing w:val="-23"/>
        </w:rPr>
        <w:t> </w:t>
      </w:r>
      <w:r>
        <w:rPr/>
        <w:t>cancer</w:t>
      </w:r>
      <w:r>
        <w:rPr>
          <w:spacing w:val="-21"/>
        </w:rPr>
        <w:t> </w:t>
      </w:r>
      <w:r>
        <w:rPr/>
        <w:t>therapy.</w:t>
      </w:r>
      <w:r>
        <w:rPr>
          <w:spacing w:val="-22"/>
        </w:rPr>
        <w:t> </w:t>
      </w:r>
      <w:r>
        <w:rPr/>
        <w:t>It</w:t>
      </w:r>
      <w:r>
        <w:rPr>
          <w:spacing w:val="-25"/>
        </w:rPr>
        <w:t> </w:t>
      </w:r>
      <w:r>
        <w:rPr/>
        <w:t>should</w:t>
      </w:r>
      <w:r>
        <w:rPr>
          <w:spacing w:val="-22"/>
        </w:rPr>
        <w:t> </w:t>
      </w:r>
      <w:r>
        <w:rPr/>
        <w:t>be</w:t>
      </w:r>
      <w:r>
        <w:rPr>
          <w:spacing w:val="-22"/>
        </w:rPr>
        <w:t> </w:t>
      </w:r>
      <w:r>
        <w:rPr/>
        <w:t>emphasised,</w:t>
      </w:r>
      <w:r>
        <w:rPr>
          <w:spacing w:val="-22"/>
        </w:rPr>
        <w:t> </w:t>
      </w:r>
      <w:r>
        <w:rPr/>
        <w:t>however,</w:t>
      </w:r>
      <w:r>
        <w:rPr>
          <w:spacing w:val="-22"/>
        </w:rPr>
        <w:t> </w:t>
      </w:r>
      <w:r>
        <w:rPr/>
        <w:t>that</w:t>
      </w:r>
      <w:r>
        <w:rPr>
          <w:spacing w:val="-23"/>
        </w:rPr>
        <w:t> </w:t>
      </w:r>
      <w:r>
        <w:rPr/>
        <w:t>selenium should</w:t>
      </w:r>
      <w:r>
        <w:rPr>
          <w:spacing w:val="-26"/>
        </w:rPr>
        <w:t> </w:t>
      </w:r>
      <w:r>
        <w:rPr/>
        <w:t>never</w:t>
      </w:r>
      <w:r>
        <w:rPr>
          <w:spacing w:val="-26"/>
        </w:rPr>
        <w:t> </w:t>
      </w:r>
      <w:r>
        <w:rPr/>
        <w:t>be</w:t>
      </w:r>
      <w:r>
        <w:rPr>
          <w:spacing w:val="-26"/>
        </w:rPr>
        <w:t> </w:t>
      </w:r>
      <w:r>
        <w:rPr/>
        <w:t>regarded</w:t>
      </w:r>
      <w:r>
        <w:rPr>
          <w:spacing w:val="-24"/>
        </w:rPr>
        <w:t> </w:t>
      </w:r>
      <w:r>
        <w:rPr/>
        <w:t>as</w:t>
      </w:r>
      <w:r>
        <w:rPr>
          <w:spacing w:val="-25"/>
        </w:rPr>
        <w:t> </w:t>
      </w:r>
      <w:r>
        <w:rPr/>
        <w:t>a</w:t>
      </w:r>
      <w:r>
        <w:rPr>
          <w:spacing w:val="-27"/>
        </w:rPr>
        <w:t> </w:t>
      </w:r>
      <w:r>
        <w:rPr/>
        <w:t>standalone</w:t>
      </w:r>
      <w:r>
        <w:rPr>
          <w:spacing w:val="-25"/>
        </w:rPr>
        <w:t> </w:t>
      </w:r>
      <w:r>
        <w:rPr/>
        <w:t>anti-cancer</w:t>
      </w:r>
      <w:r>
        <w:rPr>
          <w:spacing w:val="-24"/>
        </w:rPr>
        <w:t> </w:t>
      </w:r>
      <w:r>
        <w:rPr/>
        <w:t>remedy</w:t>
      </w:r>
      <w:r>
        <w:rPr>
          <w:spacing w:val="-26"/>
        </w:rPr>
        <w:t> </w:t>
      </w:r>
      <w:r>
        <w:rPr/>
        <w:t>and</w:t>
      </w:r>
      <w:r>
        <w:rPr>
          <w:spacing w:val="-25"/>
        </w:rPr>
        <w:t> </w:t>
      </w:r>
      <w:r>
        <w:rPr/>
        <w:t>should</w:t>
      </w:r>
      <w:r>
        <w:rPr>
          <w:spacing w:val="-25"/>
        </w:rPr>
        <w:t> </w:t>
      </w:r>
      <w:r>
        <w:rPr/>
        <w:t>always be used in combination with other useful substances and measures in a com- prehensive cancer treatment</w:t>
      </w:r>
      <w:r>
        <w:rPr>
          <w:spacing w:val="1"/>
        </w:rPr>
        <w:t> </w:t>
      </w:r>
      <w:r>
        <w:rPr/>
        <w:t>plan.</w:t>
      </w:r>
    </w:p>
    <w:p>
      <w:pPr>
        <w:pStyle w:val="Heading1"/>
        <w:spacing w:line="264" w:lineRule="auto"/>
        <w:ind w:left="616" w:right="144"/>
        <w:jc w:val="both"/>
      </w:pPr>
      <w:r>
        <w:rPr/>
        <w:t>Against</w:t>
      </w:r>
      <w:r>
        <w:rPr>
          <w:spacing w:val="-50"/>
        </w:rPr>
        <w:t> </w:t>
      </w:r>
      <w:r>
        <w:rPr/>
        <w:t>which</w:t>
      </w:r>
      <w:r>
        <w:rPr>
          <w:spacing w:val="-49"/>
        </w:rPr>
        <w:t> </w:t>
      </w:r>
      <w:r>
        <w:rPr/>
        <w:t>types</w:t>
      </w:r>
      <w:r>
        <w:rPr>
          <w:spacing w:val="-47"/>
        </w:rPr>
        <w:t> </w:t>
      </w:r>
      <w:r>
        <w:rPr/>
        <w:t>of</w:t>
      </w:r>
      <w:r>
        <w:rPr>
          <w:spacing w:val="-49"/>
        </w:rPr>
        <w:t> </w:t>
      </w:r>
      <w:r>
        <w:rPr/>
        <w:t>cancer/tumour</w:t>
      </w:r>
      <w:r>
        <w:rPr>
          <w:spacing w:val="-47"/>
        </w:rPr>
        <w:t> </w:t>
      </w:r>
      <w:r>
        <w:rPr/>
        <w:t>has</w:t>
      </w:r>
      <w:r>
        <w:rPr>
          <w:spacing w:val="-49"/>
        </w:rPr>
        <w:t> </w:t>
      </w:r>
      <w:r>
        <w:rPr/>
        <w:t>selenium</w:t>
      </w:r>
      <w:r>
        <w:rPr>
          <w:spacing w:val="-49"/>
        </w:rPr>
        <w:t> </w:t>
      </w:r>
      <w:r>
        <w:rPr/>
        <w:t>been</w:t>
      </w:r>
      <w:r>
        <w:rPr>
          <w:spacing w:val="-49"/>
        </w:rPr>
        <w:t> </w:t>
      </w:r>
      <w:r>
        <w:rPr/>
        <w:t>shown</w:t>
      </w:r>
      <w:r>
        <w:rPr>
          <w:spacing w:val="-49"/>
        </w:rPr>
        <w:t> </w:t>
      </w:r>
      <w:r>
        <w:rPr/>
        <w:t>to</w:t>
      </w:r>
      <w:r>
        <w:rPr>
          <w:spacing w:val="-48"/>
        </w:rPr>
        <w:t> </w:t>
      </w:r>
      <w:r>
        <w:rPr/>
        <w:t>be effective?</w:t>
      </w:r>
    </w:p>
    <w:p>
      <w:pPr>
        <w:pStyle w:val="BodyText"/>
        <w:spacing w:line="276" w:lineRule="auto" w:before="251"/>
        <w:ind w:left="616" w:right="141"/>
        <w:jc w:val="both"/>
      </w:pPr>
      <w:r>
        <w:rPr/>
        <w:t>Current findings allow us to conclude that the use of selenium within a com- prehensive treatment plan is more than useful for </w:t>
      </w:r>
      <w:r>
        <w:rPr>
          <w:u w:val="single"/>
        </w:rPr>
        <w:t>all</w:t>
      </w:r>
      <w:r>
        <w:rPr/>
        <w:t> types of cancer.</w:t>
      </w:r>
    </w:p>
    <w:p>
      <w:pPr>
        <w:pStyle w:val="Heading1"/>
        <w:ind w:left="616"/>
      </w:pPr>
      <w:r>
        <w:rPr/>
        <w:t>Selenium cuts the mortality rate of cancer patients in half</w:t>
      </w:r>
    </w:p>
    <w:p>
      <w:pPr>
        <w:pStyle w:val="BodyText"/>
        <w:spacing w:line="276" w:lineRule="auto" w:before="297"/>
        <w:ind w:left="616" w:right="133"/>
        <w:jc w:val="both"/>
      </w:pPr>
      <w:r>
        <w:rPr/>
        <w:t>In</w:t>
      </w:r>
      <w:r>
        <w:rPr>
          <w:spacing w:val="-6"/>
        </w:rPr>
        <w:t> </w:t>
      </w:r>
      <w:r>
        <w:rPr/>
        <w:t>a</w:t>
      </w:r>
      <w:r>
        <w:rPr>
          <w:spacing w:val="-7"/>
        </w:rPr>
        <w:t> </w:t>
      </w:r>
      <w:r>
        <w:rPr/>
        <w:t>study</w:t>
      </w:r>
      <w:r>
        <w:rPr>
          <w:spacing w:val="-6"/>
        </w:rPr>
        <w:t> </w:t>
      </w:r>
      <w:r>
        <w:rPr/>
        <w:t>investigating</w:t>
      </w:r>
      <w:r>
        <w:rPr>
          <w:spacing w:val="-5"/>
        </w:rPr>
        <w:t> </w:t>
      </w:r>
      <w:r>
        <w:rPr/>
        <w:t>the</w:t>
      </w:r>
      <w:r>
        <w:rPr>
          <w:spacing w:val="-5"/>
        </w:rPr>
        <w:t> </w:t>
      </w:r>
      <w:r>
        <w:rPr/>
        <w:t>effect</w:t>
      </w:r>
      <w:r>
        <w:rPr>
          <w:spacing w:val="-6"/>
        </w:rPr>
        <w:t> </w:t>
      </w:r>
      <w:r>
        <w:rPr/>
        <w:t>of</w:t>
      </w:r>
      <w:r>
        <w:rPr>
          <w:spacing w:val="-6"/>
        </w:rPr>
        <w:t> </w:t>
      </w:r>
      <w:r>
        <w:rPr/>
        <w:t>selenium</w:t>
      </w:r>
      <w:r>
        <w:rPr>
          <w:spacing w:val="-6"/>
        </w:rPr>
        <w:t> </w:t>
      </w:r>
      <w:r>
        <w:rPr/>
        <w:t>on</w:t>
      </w:r>
      <w:r>
        <w:rPr>
          <w:spacing w:val="-7"/>
        </w:rPr>
        <w:t> </w:t>
      </w:r>
      <w:r>
        <w:rPr/>
        <w:t>different</w:t>
      </w:r>
      <w:r>
        <w:rPr>
          <w:spacing w:val="-6"/>
        </w:rPr>
        <w:t> </w:t>
      </w:r>
      <w:r>
        <w:rPr/>
        <w:t>types</w:t>
      </w:r>
      <w:r>
        <w:rPr>
          <w:spacing w:val="-5"/>
        </w:rPr>
        <w:t> </w:t>
      </w:r>
      <w:r>
        <w:rPr/>
        <w:t>of</w:t>
      </w:r>
      <w:r>
        <w:rPr>
          <w:spacing w:val="-6"/>
        </w:rPr>
        <w:t> </w:t>
      </w:r>
      <w:r>
        <w:rPr/>
        <w:t>cancer,</w:t>
      </w:r>
      <w:r>
        <w:rPr>
          <w:spacing w:val="-5"/>
        </w:rPr>
        <w:t> </w:t>
      </w:r>
      <w:r>
        <w:rPr/>
        <w:t>the conclusion was reached that selenium reduces cancer mortality by 50 </w:t>
      </w:r>
      <w:r>
        <w:rPr>
          <w:spacing w:val="2"/>
        </w:rPr>
        <w:t>%!</w:t>
      </w:r>
      <w:r>
        <w:rPr>
          <w:spacing w:val="2"/>
          <w:position w:val="9"/>
          <w:sz w:val="25"/>
        </w:rPr>
        <w:t>811 </w:t>
      </w:r>
      <w:r>
        <w:rPr/>
        <w:t>However,</w:t>
      </w:r>
      <w:r>
        <w:rPr>
          <w:spacing w:val="-8"/>
        </w:rPr>
        <w:t> </w:t>
      </w:r>
      <w:r>
        <w:rPr/>
        <w:t>selenium</w:t>
      </w:r>
      <w:r>
        <w:rPr>
          <w:spacing w:val="-8"/>
        </w:rPr>
        <w:t> </w:t>
      </w:r>
      <w:r>
        <w:rPr/>
        <w:t>has</w:t>
      </w:r>
      <w:r>
        <w:rPr>
          <w:spacing w:val="-8"/>
        </w:rPr>
        <w:t> </w:t>
      </w:r>
      <w:r>
        <w:rPr/>
        <w:t>demonstrated</w:t>
      </w:r>
      <w:r>
        <w:rPr>
          <w:spacing w:val="-8"/>
        </w:rPr>
        <w:t> </w:t>
      </w:r>
      <w:r>
        <w:rPr/>
        <w:t>particular</w:t>
      </w:r>
      <w:r>
        <w:rPr>
          <w:spacing w:val="-9"/>
        </w:rPr>
        <w:t> </w:t>
      </w:r>
      <w:r>
        <w:rPr/>
        <w:t>successes</w:t>
      </w:r>
      <w:r>
        <w:rPr>
          <w:spacing w:val="-6"/>
        </w:rPr>
        <w:t> </w:t>
      </w:r>
      <w:r>
        <w:rPr/>
        <w:t>in</w:t>
      </w:r>
      <w:r>
        <w:rPr>
          <w:spacing w:val="-9"/>
        </w:rPr>
        <w:t> </w:t>
      </w:r>
      <w:r>
        <w:rPr/>
        <w:t>studies</w:t>
      </w:r>
      <w:r>
        <w:rPr>
          <w:spacing w:val="-8"/>
        </w:rPr>
        <w:t> </w:t>
      </w:r>
      <w:r>
        <w:rPr/>
        <w:t>and</w:t>
      </w:r>
      <w:r>
        <w:rPr>
          <w:spacing w:val="-9"/>
        </w:rPr>
        <w:t> </w:t>
      </w:r>
      <w:r>
        <w:rPr/>
        <w:t>treat- ment on the following types of</w:t>
      </w:r>
      <w:r>
        <w:rPr>
          <w:spacing w:val="1"/>
        </w:rPr>
        <w:t> </w:t>
      </w:r>
      <w:r>
        <w:rPr/>
        <w:t>cancer:</w:t>
      </w:r>
    </w:p>
    <w:p>
      <w:pPr>
        <w:pStyle w:val="ListParagraph"/>
        <w:numPr>
          <w:ilvl w:val="0"/>
          <w:numId w:val="111"/>
        </w:numPr>
        <w:tabs>
          <w:tab w:pos="1617" w:val="left" w:leader="none"/>
          <w:tab w:pos="1618" w:val="left" w:leader="none"/>
        </w:tabs>
        <w:spacing w:line="240" w:lineRule="auto" w:before="202" w:after="0"/>
        <w:ind w:left="1617" w:right="0" w:hanging="643"/>
        <w:jc w:val="left"/>
        <w:rPr>
          <w:sz w:val="38"/>
        </w:rPr>
      </w:pPr>
      <w:r>
        <w:rPr>
          <w:sz w:val="38"/>
        </w:rPr>
        <w:t>Breast</w:t>
      </w:r>
      <w:r>
        <w:rPr>
          <w:spacing w:val="-1"/>
          <w:sz w:val="38"/>
        </w:rPr>
        <w:t> </w:t>
      </w:r>
      <w:r>
        <w:rPr>
          <w:sz w:val="38"/>
        </w:rPr>
        <w:t>cancer</w:t>
      </w:r>
    </w:p>
    <w:p>
      <w:pPr>
        <w:pStyle w:val="ListParagraph"/>
        <w:numPr>
          <w:ilvl w:val="0"/>
          <w:numId w:val="111"/>
        </w:numPr>
        <w:tabs>
          <w:tab w:pos="1617" w:val="left" w:leader="none"/>
          <w:tab w:pos="1618" w:val="left" w:leader="none"/>
        </w:tabs>
        <w:spacing w:line="240" w:lineRule="auto" w:before="124" w:after="0"/>
        <w:ind w:left="1617" w:right="0" w:hanging="643"/>
        <w:jc w:val="left"/>
        <w:rPr>
          <w:sz w:val="38"/>
        </w:rPr>
      </w:pPr>
      <w:r>
        <w:rPr>
          <w:sz w:val="38"/>
        </w:rPr>
        <w:t>Stomach</w:t>
      </w:r>
      <w:r>
        <w:rPr>
          <w:spacing w:val="-2"/>
          <w:sz w:val="38"/>
        </w:rPr>
        <w:t> </w:t>
      </w:r>
      <w:r>
        <w:rPr>
          <w:sz w:val="38"/>
        </w:rPr>
        <w:t>cancer</w:t>
      </w:r>
    </w:p>
    <w:p>
      <w:pPr>
        <w:pStyle w:val="BodyText"/>
        <w:rPr>
          <w:sz w:val="20"/>
        </w:rPr>
      </w:pPr>
    </w:p>
    <w:p>
      <w:pPr>
        <w:pStyle w:val="BodyText"/>
        <w:rPr>
          <w:sz w:val="20"/>
        </w:rPr>
      </w:pPr>
    </w:p>
    <w:p>
      <w:pPr>
        <w:pStyle w:val="BodyText"/>
        <w:spacing w:before="4"/>
        <w:rPr>
          <w:sz w:val="27"/>
        </w:rPr>
      </w:pPr>
      <w:r>
        <w:rPr/>
        <w:pict>
          <v:line style="position:absolute;mso-position-horizontal-relative:page;mso-position-vertical-relative:paragraph;z-index:10976;mso-wrap-distance-left:0;mso-wrap-distance-right:0" from="70.823997pt,17.759907pt" to="214.843997pt,17.759907pt" stroked="true" strokeweight=".72003pt" strokecolor="#000000">
            <v:stroke dashstyle="solid"/>
            <w10:wrap type="topAndBottom"/>
          </v:line>
        </w:pict>
      </w:r>
    </w:p>
    <w:p>
      <w:pPr>
        <w:pStyle w:val="BodyText"/>
        <w:spacing w:before="7"/>
        <w:rPr>
          <w:sz w:val="18"/>
        </w:rPr>
      </w:pPr>
    </w:p>
    <w:p>
      <w:pPr>
        <w:spacing w:line="276" w:lineRule="auto" w:before="99"/>
        <w:ind w:left="616" w:right="0" w:firstLine="0"/>
        <w:jc w:val="left"/>
        <w:rPr>
          <w:sz w:val="20"/>
        </w:rPr>
      </w:pPr>
      <w:r>
        <w:rPr>
          <w:position w:val="5"/>
          <w:sz w:val="13"/>
        </w:rPr>
        <w:t>811 </w:t>
      </w:r>
      <w:r>
        <w:rPr>
          <w:sz w:val="20"/>
        </w:rPr>
        <w:t>Prof. Dr. Josef Beuth and Dr. Verena Drebing: Selen gegen Krebs – Unterstützung in der Tumorprävention und –therapie ('Selenium against Cancer – Support in the Prevention and Treatment of Cancer'), TRIAS-Verlag 2006, p. 72</w:t>
      </w:r>
    </w:p>
    <w:p>
      <w:pPr>
        <w:spacing w:after="0" w:line="276" w:lineRule="auto"/>
        <w:jc w:val="left"/>
        <w:rPr>
          <w:sz w:val="20"/>
        </w:rPr>
        <w:sectPr>
          <w:footerReference w:type="default" r:id="rId341"/>
          <w:pgSz w:w="14270" w:h="16850"/>
          <w:pgMar w:footer="1891" w:header="0" w:top="1360" w:bottom="2080" w:left="800" w:right="1280"/>
          <w:pgNumType w:start="1430"/>
        </w:sectPr>
      </w:pPr>
    </w:p>
    <w:p>
      <w:pPr>
        <w:pStyle w:val="ListParagraph"/>
        <w:numPr>
          <w:ilvl w:val="0"/>
          <w:numId w:val="111"/>
        </w:numPr>
        <w:tabs>
          <w:tab w:pos="1617" w:val="left" w:leader="none"/>
          <w:tab w:pos="1618" w:val="left" w:leader="none"/>
        </w:tabs>
        <w:spacing w:line="240" w:lineRule="auto" w:before="53" w:after="0"/>
        <w:ind w:left="1617" w:right="0" w:hanging="643"/>
        <w:jc w:val="left"/>
        <w:rPr>
          <w:sz w:val="38"/>
        </w:rPr>
      </w:pPr>
      <w:r>
        <w:rPr>
          <w:sz w:val="38"/>
        </w:rPr>
        <w:t>Colon cancer</w:t>
      </w:r>
    </w:p>
    <w:p>
      <w:pPr>
        <w:pStyle w:val="ListParagraph"/>
        <w:numPr>
          <w:ilvl w:val="0"/>
          <w:numId w:val="111"/>
        </w:numPr>
        <w:tabs>
          <w:tab w:pos="1617" w:val="left" w:leader="none"/>
          <w:tab w:pos="1618" w:val="left" w:leader="none"/>
        </w:tabs>
        <w:spacing w:line="240" w:lineRule="auto" w:before="126" w:after="0"/>
        <w:ind w:left="1617" w:right="0" w:hanging="643"/>
        <w:jc w:val="left"/>
        <w:rPr>
          <w:sz w:val="38"/>
        </w:rPr>
      </w:pPr>
      <w:r>
        <w:rPr>
          <w:sz w:val="38"/>
        </w:rPr>
        <w:t>Leukaemia</w:t>
      </w:r>
    </w:p>
    <w:p>
      <w:pPr>
        <w:pStyle w:val="ListParagraph"/>
        <w:numPr>
          <w:ilvl w:val="0"/>
          <w:numId w:val="111"/>
        </w:numPr>
        <w:tabs>
          <w:tab w:pos="1617" w:val="left" w:leader="none"/>
          <w:tab w:pos="1618" w:val="left" w:leader="none"/>
        </w:tabs>
        <w:spacing w:line="240" w:lineRule="auto" w:before="124" w:after="0"/>
        <w:ind w:left="1617" w:right="0" w:hanging="643"/>
        <w:jc w:val="left"/>
        <w:rPr>
          <w:sz w:val="38"/>
        </w:rPr>
      </w:pPr>
      <w:r>
        <w:rPr>
          <w:sz w:val="38"/>
        </w:rPr>
        <w:t>Lung</w:t>
      </w:r>
      <w:r>
        <w:rPr>
          <w:spacing w:val="-5"/>
          <w:sz w:val="38"/>
        </w:rPr>
        <w:t> </w:t>
      </w:r>
      <w:r>
        <w:rPr>
          <w:sz w:val="38"/>
        </w:rPr>
        <w:t>cancer</w:t>
      </w:r>
    </w:p>
    <w:p>
      <w:pPr>
        <w:pStyle w:val="ListParagraph"/>
        <w:numPr>
          <w:ilvl w:val="0"/>
          <w:numId w:val="111"/>
        </w:numPr>
        <w:tabs>
          <w:tab w:pos="1617" w:val="left" w:leader="none"/>
          <w:tab w:pos="1618" w:val="left" w:leader="none"/>
        </w:tabs>
        <w:spacing w:line="240" w:lineRule="auto" w:before="124" w:after="0"/>
        <w:ind w:left="1617" w:right="0" w:hanging="643"/>
        <w:jc w:val="left"/>
        <w:rPr>
          <w:sz w:val="38"/>
        </w:rPr>
      </w:pPr>
      <w:r>
        <w:rPr>
          <w:sz w:val="38"/>
        </w:rPr>
        <w:t>Liver</w:t>
      </w:r>
      <w:r>
        <w:rPr>
          <w:spacing w:val="-5"/>
          <w:sz w:val="38"/>
        </w:rPr>
        <w:t> </w:t>
      </w:r>
      <w:r>
        <w:rPr>
          <w:sz w:val="38"/>
        </w:rPr>
        <w:t>cancer</w:t>
      </w:r>
    </w:p>
    <w:p>
      <w:pPr>
        <w:pStyle w:val="ListParagraph"/>
        <w:numPr>
          <w:ilvl w:val="0"/>
          <w:numId w:val="111"/>
        </w:numPr>
        <w:tabs>
          <w:tab w:pos="1617" w:val="left" w:leader="none"/>
          <w:tab w:pos="1618" w:val="left" w:leader="none"/>
        </w:tabs>
        <w:spacing w:line="240" w:lineRule="auto" w:before="123" w:after="0"/>
        <w:ind w:left="1617" w:right="0" w:hanging="643"/>
        <w:jc w:val="left"/>
        <w:rPr>
          <w:sz w:val="38"/>
        </w:rPr>
      </w:pPr>
      <w:r>
        <w:rPr>
          <w:sz w:val="38"/>
        </w:rPr>
        <w:t>Prostate</w:t>
      </w:r>
      <w:r>
        <w:rPr>
          <w:spacing w:val="-1"/>
          <w:sz w:val="38"/>
        </w:rPr>
        <w:t> </w:t>
      </w:r>
      <w:r>
        <w:rPr>
          <w:sz w:val="38"/>
        </w:rPr>
        <w:t>cancer</w:t>
      </w:r>
    </w:p>
    <w:p>
      <w:pPr>
        <w:pStyle w:val="Heading1"/>
        <w:spacing w:before="287"/>
        <w:ind w:left="616"/>
        <w:jc w:val="both"/>
      </w:pPr>
      <w:r>
        <w:rPr/>
        <w:t>Selenium therapy successful on breast</w:t>
      </w:r>
      <w:r>
        <w:rPr>
          <w:spacing w:val="-66"/>
        </w:rPr>
        <w:t> </w:t>
      </w:r>
      <w:r>
        <w:rPr/>
        <w:t>cancer</w:t>
      </w:r>
    </w:p>
    <w:p>
      <w:pPr>
        <w:pStyle w:val="BodyText"/>
        <w:spacing w:line="276" w:lineRule="auto" w:before="300"/>
        <w:ind w:left="616" w:right="133"/>
        <w:jc w:val="both"/>
      </w:pPr>
      <w:r>
        <w:rPr/>
        <w:t>Further tests by other researchers have been able to confirm the positive re- sults. As early as the 1930s, for example, Dr. A Todd was able to increase the survival</w:t>
      </w:r>
      <w:r>
        <w:rPr>
          <w:spacing w:val="-13"/>
        </w:rPr>
        <w:t> </w:t>
      </w:r>
      <w:r>
        <w:rPr/>
        <w:t>rate</w:t>
      </w:r>
      <w:r>
        <w:rPr>
          <w:spacing w:val="-12"/>
        </w:rPr>
        <w:t> </w:t>
      </w:r>
      <w:r>
        <w:rPr/>
        <w:t>of</w:t>
      </w:r>
      <w:r>
        <w:rPr>
          <w:spacing w:val="-10"/>
        </w:rPr>
        <w:t> </w:t>
      </w:r>
      <w:r>
        <w:rPr/>
        <w:t>all</w:t>
      </w:r>
      <w:r>
        <w:rPr>
          <w:spacing w:val="-12"/>
        </w:rPr>
        <w:t> </w:t>
      </w:r>
      <w:r>
        <w:rPr/>
        <w:t>women</w:t>
      </w:r>
      <w:r>
        <w:rPr>
          <w:spacing w:val="-9"/>
        </w:rPr>
        <w:t> </w:t>
      </w:r>
      <w:r>
        <w:rPr/>
        <w:t>who</w:t>
      </w:r>
      <w:r>
        <w:rPr>
          <w:spacing w:val="-10"/>
        </w:rPr>
        <w:t> </w:t>
      </w:r>
      <w:r>
        <w:rPr/>
        <w:t>were</w:t>
      </w:r>
      <w:r>
        <w:rPr>
          <w:spacing w:val="-11"/>
        </w:rPr>
        <w:t> </w:t>
      </w:r>
      <w:r>
        <w:rPr/>
        <w:t>being</w:t>
      </w:r>
      <w:r>
        <w:rPr>
          <w:spacing w:val="-10"/>
        </w:rPr>
        <w:t> </w:t>
      </w:r>
      <w:r>
        <w:rPr/>
        <w:t>treated/operated</w:t>
      </w:r>
      <w:r>
        <w:rPr>
          <w:spacing w:val="-11"/>
        </w:rPr>
        <w:t> </w:t>
      </w:r>
      <w:r>
        <w:rPr/>
        <w:t>on</w:t>
      </w:r>
      <w:r>
        <w:rPr>
          <w:spacing w:val="-10"/>
        </w:rPr>
        <w:t> </w:t>
      </w:r>
      <w:r>
        <w:rPr/>
        <w:t>for</w:t>
      </w:r>
      <w:r>
        <w:rPr>
          <w:spacing w:val="-9"/>
        </w:rPr>
        <w:t> </w:t>
      </w:r>
      <w:r>
        <w:rPr/>
        <w:t>breast</w:t>
      </w:r>
      <w:r>
        <w:rPr>
          <w:spacing w:val="-10"/>
        </w:rPr>
        <w:t> </w:t>
      </w:r>
      <w:r>
        <w:rPr/>
        <w:t>can- cer.</w:t>
      </w:r>
    </w:p>
    <w:p>
      <w:pPr>
        <w:pStyle w:val="BodyText"/>
        <w:spacing w:line="276" w:lineRule="auto" w:before="239"/>
        <w:ind w:left="616" w:right="135"/>
        <w:jc w:val="both"/>
        <w:rPr>
          <w:sz w:val="25"/>
        </w:rPr>
      </w:pPr>
      <w:r>
        <w:rPr/>
        <w:t>A research at the renowned Hahn Meitner Institute in Berlin, led by Prof. Dr. Peter</w:t>
      </w:r>
      <w:r>
        <w:rPr>
          <w:spacing w:val="-23"/>
        </w:rPr>
        <w:t> </w:t>
      </w:r>
      <w:r>
        <w:rPr/>
        <w:t>Brätter,</w:t>
      </w:r>
      <w:r>
        <w:rPr>
          <w:spacing w:val="-22"/>
        </w:rPr>
        <w:t> </w:t>
      </w:r>
      <w:r>
        <w:rPr/>
        <w:t>has</w:t>
      </w:r>
      <w:r>
        <w:rPr>
          <w:spacing w:val="-23"/>
        </w:rPr>
        <w:t> </w:t>
      </w:r>
      <w:r>
        <w:rPr/>
        <w:t>been</w:t>
      </w:r>
      <w:r>
        <w:rPr>
          <w:spacing w:val="-22"/>
        </w:rPr>
        <w:t> </w:t>
      </w:r>
      <w:r>
        <w:rPr/>
        <w:t>able</w:t>
      </w:r>
      <w:r>
        <w:rPr>
          <w:spacing w:val="-24"/>
        </w:rPr>
        <w:t> </w:t>
      </w:r>
      <w:r>
        <w:rPr/>
        <w:t>to</w:t>
      </w:r>
      <w:r>
        <w:rPr>
          <w:spacing w:val="-22"/>
        </w:rPr>
        <w:t> </w:t>
      </w:r>
      <w:r>
        <w:rPr/>
        <w:t>demonstrate</w:t>
      </w:r>
      <w:r>
        <w:rPr>
          <w:spacing w:val="-23"/>
        </w:rPr>
        <w:t> </w:t>
      </w:r>
      <w:r>
        <w:rPr/>
        <w:t>that</w:t>
      </w:r>
      <w:r>
        <w:rPr>
          <w:spacing w:val="-23"/>
        </w:rPr>
        <w:t> </w:t>
      </w:r>
      <w:r>
        <w:rPr/>
        <w:t>a</w:t>
      </w:r>
      <w:r>
        <w:rPr>
          <w:spacing w:val="-25"/>
        </w:rPr>
        <w:t> </w:t>
      </w:r>
      <w:r>
        <w:rPr/>
        <w:t>daily</w:t>
      </w:r>
      <w:r>
        <w:rPr>
          <w:spacing w:val="-22"/>
        </w:rPr>
        <w:t> </w:t>
      </w:r>
      <w:r>
        <w:rPr/>
        <w:t>dose</w:t>
      </w:r>
      <w:r>
        <w:rPr>
          <w:spacing w:val="-22"/>
        </w:rPr>
        <w:t> </w:t>
      </w:r>
      <w:r>
        <w:rPr/>
        <w:t>of</w:t>
      </w:r>
      <w:r>
        <w:rPr>
          <w:spacing w:val="-23"/>
        </w:rPr>
        <w:t> </w:t>
      </w:r>
      <w:r>
        <w:rPr/>
        <w:t>300</w:t>
      </w:r>
      <w:r>
        <w:rPr>
          <w:spacing w:val="-22"/>
        </w:rPr>
        <w:t> </w:t>
      </w:r>
      <w:r>
        <w:rPr/>
        <w:t>micrograms of bio-selenium decreases the breast cancer rate in women to</w:t>
      </w:r>
      <w:r>
        <w:rPr>
          <w:spacing w:val="-4"/>
        </w:rPr>
        <w:t> </w:t>
      </w:r>
      <w:r>
        <w:rPr/>
        <w:t>zero.</w:t>
      </w:r>
      <w:r>
        <w:rPr>
          <w:position w:val="9"/>
          <w:sz w:val="25"/>
        </w:rPr>
        <w:t>812</w:t>
      </w:r>
    </w:p>
    <w:p>
      <w:pPr>
        <w:pStyle w:val="Heading1"/>
        <w:spacing w:line="261" w:lineRule="auto" w:before="225"/>
        <w:ind w:left="616" w:right="146"/>
        <w:jc w:val="both"/>
      </w:pPr>
      <w:r>
        <w:rPr/>
        <w:t>Selenium</w:t>
      </w:r>
      <w:r>
        <w:rPr>
          <w:spacing w:val="-46"/>
        </w:rPr>
        <w:t> </w:t>
      </w:r>
      <w:r>
        <w:rPr/>
        <w:t>can</w:t>
      </w:r>
      <w:r>
        <w:rPr>
          <w:spacing w:val="-45"/>
        </w:rPr>
        <w:t> </w:t>
      </w:r>
      <w:r>
        <w:rPr/>
        <w:t>prevent</w:t>
      </w:r>
      <w:r>
        <w:rPr>
          <w:spacing w:val="-46"/>
        </w:rPr>
        <w:t> </w:t>
      </w:r>
      <w:r>
        <w:rPr/>
        <w:t>the</w:t>
      </w:r>
      <w:r>
        <w:rPr>
          <w:spacing w:val="-47"/>
        </w:rPr>
        <w:t> </w:t>
      </w:r>
      <w:r>
        <w:rPr/>
        <w:t>recurrence</w:t>
      </w:r>
      <w:r>
        <w:rPr>
          <w:spacing w:val="-45"/>
        </w:rPr>
        <w:t> </w:t>
      </w:r>
      <w:r>
        <w:rPr/>
        <w:t>of</w:t>
      </w:r>
      <w:r>
        <w:rPr>
          <w:spacing w:val="-46"/>
        </w:rPr>
        <w:t> </w:t>
      </w:r>
      <w:r>
        <w:rPr/>
        <w:t>lung</w:t>
      </w:r>
      <w:r>
        <w:rPr>
          <w:spacing w:val="-45"/>
        </w:rPr>
        <w:t> </w:t>
      </w:r>
      <w:r>
        <w:rPr/>
        <w:t>cancer</w:t>
      </w:r>
      <w:r>
        <w:rPr>
          <w:spacing w:val="-46"/>
        </w:rPr>
        <w:t> </w:t>
      </w:r>
      <w:r>
        <w:rPr/>
        <w:t>tumours</w:t>
      </w:r>
      <w:r>
        <w:rPr>
          <w:spacing w:val="-45"/>
        </w:rPr>
        <w:t> </w:t>
      </w:r>
      <w:r>
        <w:rPr/>
        <w:t>in</w:t>
      </w:r>
      <w:r>
        <w:rPr>
          <w:spacing w:val="-47"/>
        </w:rPr>
        <w:t> </w:t>
      </w:r>
      <w:r>
        <w:rPr/>
        <w:t>45</w:t>
      </w:r>
      <w:r>
        <w:rPr>
          <w:spacing w:val="-46"/>
        </w:rPr>
        <w:t> </w:t>
      </w:r>
      <w:r>
        <w:rPr/>
        <w:t>%</w:t>
      </w:r>
      <w:r>
        <w:rPr>
          <w:spacing w:val="-45"/>
        </w:rPr>
        <w:t> </w:t>
      </w:r>
      <w:r>
        <w:rPr/>
        <w:t>of cases</w:t>
      </w:r>
    </w:p>
    <w:p>
      <w:pPr>
        <w:pStyle w:val="BodyText"/>
        <w:spacing w:line="278" w:lineRule="auto" w:before="258"/>
        <w:ind w:left="616" w:right="136"/>
        <w:jc w:val="both"/>
        <w:rPr>
          <w:sz w:val="25"/>
        </w:rPr>
      </w:pPr>
      <w:r>
        <w:rPr/>
        <w:t>In a study, researchers investigated the effect of selenium on lung cancer. Se- lenium was able to reduce recurrence by 45 %.</w:t>
      </w:r>
      <w:r>
        <w:rPr>
          <w:position w:val="9"/>
          <w:sz w:val="25"/>
        </w:rPr>
        <w:t>813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r>
        <w:rPr/>
        <w:pict>
          <v:line style="position:absolute;mso-position-horizontal-relative:page;mso-position-vertical-relative:paragraph;z-index:11000;mso-wrap-distance-left:0;mso-wrap-distance-right:0" from="70.823997pt,11.777417pt" to="214.843997pt,11.777417pt" stroked="true" strokeweight=".71997pt" strokecolor="#000000">
            <v:stroke dashstyle="solid"/>
            <w10:wrap type="topAndBottom"/>
          </v:line>
        </w:pict>
      </w:r>
    </w:p>
    <w:p>
      <w:pPr>
        <w:pStyle w:val="BodyText"/>
        <w:spacing w:before="7"/>
        <w:rPr>
          <w:sz w:val="18"/>
        </w:rPr>
      </w:pPr>
    </w:p>
    <w:p>
      <w:pPr>
        <w:spacing w:line="276" w:lineRule="auto" w:before="99"/>
        <w:ind w:left="616" w:right="0" w:firstLine="0"/>
        <w:jc w:val="left"/>
        <w:rPr>
          <w:sz w:val="20"/>
        </w:rPr>
      </w:pPr>
      <w:r>
        <w:rPr>
          <w:position w:val="5"/>
          <w:sz w:val="13"/>
        </w:rPr>
        <w:t>812 </w:t>
      </w:r>
      <w:r>
        <w:rPr>
          <w:sz w:val="20"/>
        </w:rPr>
        <w:t>Hademar Bankhofer: BIO-SELEN, natürlicher Schutz für unser Immunsystem ('BIO-SELENIUM, Natural Defence for Our Immune System'), 5th Edition, July 1998, p. 148</w:t>
      </w:r>
    </w:p>
    <w:p>
      <w:pPr>
        <w:spacing w:line="276" w:lineRule="auto" w:before="61"/>
        <w:ind w:left="616" w:right="0" w:firstLine="0"/>
        <w:jc w:val="left"/>
        <w:rPr>
          <w:sz w:val="20"/>
        </w:rPr>
      </w:pPr>
      <w:r>
        <w:rPr/>
        <w:drawing>
          <wp:anchor distT="0" distB="0" distL="0" distR="0" allowOverlap="1" layoutInCell="1" locked="0" behindDoc="1" simplePos="0" relativeHeight="267178799">
            <wp:simplePos x="0" y="0"/>
            <wp:positionH relativeFrom="page">
              <wp:posOffset>985998</wp:posOffset>
            </wp:positionH>
            <wp:positionV relativeFrom="paragraph">
              <wp:posOffset>82907</wp:posOffset>
            </wp:positionV>
            <wp:extent cx="6379583" cy="902106"/>
            <wp:effectExtent l="0" t="0" r="0" b="0"/>
            <wp:wrapNone/>
            <wp:docPr id="535" name="image2.jpeg" descr=""/>
            <wp:cNvGraphicFramePr>
              <a:graphicFrameLocks noChangeAspect="1"/>
            </wp:cNvGraphicFramePr>
            <a:graphic>
              <a:graphicData uri="http://schemas.openxmlformats.org/drawingml/2006/picture">
                <pic:pic>
                  <pic:nvPicPr>
                    <pic:cNvPr id="536"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813 </w:t>
      </w:r>
      <w:r>
        <w:rPr>
          <w:sz w:val="20"/>
        </w:rPr>
        <w:t>Prof. Dr. Josef Beuth and Dr. Verena Drebing: Selen gegen Krebs – Unterstützung in der Tumorprävention und –therapie ('Selenium against Cancer – Support in the Prevention and Treatment of Cancer'), TRIAS-Verlag 2006, p. 70</w:t>
      </w:r>
    </w:p>
    <w:p>
      <w:pPr>
        <w:spacing w:after="0" w:line="276" w:lineRule="auto"/>
        <w:jc w:val="left"/>
        <w:rPr>
          <w:sz w:val="20"/>
        </w:rPr>
        <w:sectPr>
          <w:footerReference w:type="default" r:id="rId342"/>
          <w:pgSz w:w="14270" w:h="16850"/>
          <w:pgMar w:footer="527" w:header="0" w:top="1360" w:bottom="720" w:left="800" w:right="1280"/>
        </w:sectPr>
      </w:pPr>
    </w:p>
    <w:p>
      <w:pPr>
        <w:pStyle w:val="Heading1"/>
        <w:spacing w:before="77"/>
        <w:ind w:left="616"/>
      </w:pPr>
      <w:r>
        <w:rPr/>
        <w:t>Selenium successful in the prevention of prostate cancer</w:t>
      </w:r>
    </w:p>
    <w:p>
      <w:pPr>
        <w:pStyle w:val="BodyText"/>
        <w:spacing w:line="276" w:lineRule="auto" w:before="299"/>
        <w:ind w:left="616" w:right="137"/>
        <w:jc w:val="both"/>
        <w:rPr>
          <w:sz w:val="25"/>
        </w:rPr>
      </w:pPr>
      <w:r>
        <w:rPr/>
        <w:t>According</w:t>
      </w:r>
      <w:r>
        <w:rPr>
          <w:spacing w:val="-22"/>
        </w:rPr>
        <w:t> </w:t>
      </w:r>
      <w:r>
        <w:rPr/>
        <w:t>to</w:t>
      </w:r>
      <w:r>
        <w:rPr>
          <w:spacing w:val="-23"/>
        </w:rPr>
        <w:t> </w:t>
      </w:r>
      <w:r>
        <w:rPr/>
        <w:t>a</w:t>
      </w:r>
      <w:r>
        <w:rPr>
          <w:spacing w:val="-23"/>
        </w:rPr>
        <w:t> </w:t>
      </w:r>
      <w:r>
        <w:rPr/>
        <w:t>study</w:t>
      </w:r>
      <w:r>
        <w:rPr>
          <w:spacing w:val="-22"/>
        </w:rPr>
        <w:t> </w:t>
      </w:r>
      <w:r>
        <w:rPr/>
        <w:t>on</w:t>
      </w:r>
      <w:r>
        <w:rPr>
          <w:spacing w:val="-21"/>
        </w:rPr>
        <w:t> </w:t>
      </w:r>
      <w:r>
        <w:rPr/>
        <w:t>34,000</w:t>
      </w:r>
      <w:r>
        <w:rPr>
          <w:spacing w:val="-24"/>
        </w:rPr>
        <w:t> </w:t>
      </w:r>
      <w:r>
        <w:rPr/>
        <w:t>men</w:t>
      </w:r>
      <w:r>
        <w:rPr>
          <w:spacing w:val="-21"/>
        </w:rPr>
        <w:t> </w:t>
      </w:r>
      <w:r>
        <w:rPr/>
        <w:t>at</w:t>
      </w:r>
      <w:r>
        <w:rPr>
          <w:spacing w:val="-22"/>
        </w:rPr>
        <w:t> </w:t>
      </w:r>
      <w:r>
        <w:rPr/>
        <w:t>the</w:t>
      </w:r>
      <w:r>
        <w:rPr>
          <w:spacing w:val="-24"/>
        </w:rPr>
        <w:t> </w:t>
      </w:r>
      <w:r>
        <w:rPr/>
        <w:t>renowned</w:t>
      </w:r>
      <w:r>
        <w:rPr>
          <w:spacing w:val="-22"/>
        </w:rPr>
        <w:t> </w:t>
      </w:r>
      <w:r>
        <w:rPr/>
        <w:t>Harvard</w:t>
      </w:r>
      <w:r>
        <w:rPr>
          <w:spacing w:val="-22"/>
        </w:rPr>
        <w:t> </w:t>
      </w:r>
      <w:r>
        <w:rPr/>
        <w:t>School</w:t>
      </w:r>
      <w:r>
        <w:rPr>
          <w:spacing w:val="-22"/>
        </w:rPr>
        <w:t> </w:t>
      </w:r>
      <w:r>
        <w:rPr/>
        <w:t>of</w:t>
      </w:r>
      <w:r>
        <w:rPr>
          <w:spacing w:val="-24"/>
        </w:rPr>
        <w:t> </w:t>
      </w:r>
      <w:r>
        <w:rPr/>
        <w:t>Public Health, scientists were able to demonstrate that men with high selenium ab- sorption have half the risk of developing prostate</w:t>
      </w:r>
      <w:r>
        <w:rPr>
          <w:spacing w:val="1"/>
        </w:rPr>
        <w:t> </w:t>
      </w:r>
      <w:r>
        <w:rPr/>
        <w:t>cancer.</w:t>
      </w:r>
      <w:r>
        <w:rPr>
          <w:position w:val="9"/>
          <w:sz w:val="25"/>
        </w:rPr>
        <w:t>814</w:t>
      </w:r>
    </w:p>
    <w:p>
      <w:pPr>
        <w:pStyle w:val="Heading1"/>
        <w:spacing w:before="222"/>
        <w:ind w:left="616"/>
      </w:pPr>
      <w:r>
        <w:rPr/>
        <w:t>Selenium prevents the recurrence of prostate cancer</w:t>
      </w:r>
    </w:p>
    <w:p>
      <w:pPr>
        <w:pStyle w:val="BodyText"/>
        <w:spacing w:line="276" w:lineRule="auto" w:before="299"/>
        <w:ind w:left="616"/>
        <w:rPr>
          <w:sz w:val="25"/>
        </w:rPr>
      </w:pPr>
      <w:r>
        <w:rPr/>
        <w:t>In another study, the recurrence of prostate cancer was reduced by 63 % with the help of selenium.</w:t>
      </w:r>
      <w:r>
        <w:rPr>
          <w:position w:val="9"/>
          <w:sz w:val="25"/>
        </w:rPr>
        <w:t>815</w:t>
      </w:r>
    </w:p>
    <w:p>
      <w:pPr>
        <w:pStyle w:val="Heading1"/>
        <w:ind w:left="616"/>
      </w:pPr>
      <w:r>
        <w:rPr/>
        <w:t>Colon</w:t>
      </w:r>
      <w:r>
        <w:rPr>
          <w:spacing w:val="-40"/>
        </w:rPr>
        <w:t> </w:t>
      </w:r>
      <w:r>
        <w:rPr/>
        <w:t>cancer</w:t>
      </w:r>
      <w:r>
        <w:rPr>
          <w:spacing w:val="-40"/>
        </w:rPr>
        <w:t> </w:t>
      </w:r>
      <w:r>
        <w:rPr/>
        <w:t>recurrence</w:t>
      </w:r>
      <w:r>
        <w:rPr>
          <w:spacing w:val="-40"/>
        </w:rPr>
        <w:t> </w:t>
      </w:r>
      <w:r>
        <w:rPr/>
        <w:t>decreased</w:t>
      </w:r>
      <w:r>
        <w:rPr>
          <w:spacing w:val="-40"/>
        </w:rPr>
        <w:t> </w:t>
      </w:r>
      <w:r>
        <w:rPr/>
        <w:t>by</w:t>
      </w:r>
      <w:r>
        <w:rPr>
          <w:spacing w:val="-40"/>
        </w:rPr>
        <w:t> </w:t>
      </w:r>
      <w:r>
        <w:rPr/>
        <w:t>58</w:t>
      </w:r>
      <w:r>
        <w:rPr>
          <w:spacing w:val="-39"/>
        </w:rPr>
        <w:t> </w:t>
      </w:r>
      <w:r>
        <w:rPr/>
        <w:t>%</w:t>
      </w:r>
      <w:r>
        <w:rPr>
          <w:spacing w:val="-39"/>
        </w:rPr>
        <w:t> </w:t>
      </w:r>
      <w:r>
        <w:rPr/>
        <w:t>with</w:t>
      </w:r>
      <w:r>
        <w:rPr>
          <w:spacing w:val="-39"/>
        </w:rPr>
        <w:t> </w:t>
      </w:r>
      <w:r>
        <w:rPr/>
        <w:t>the</w:t>
      </w:r>
      <w:r>
        <w:rPr>
          <w:spacing w:val="-40"/>
        </w:rPr>
        <w:t> </w:t>
      </w:r>
      <w:r>
        <w:rPr/>
        <w:t>help</w:t>
      </w:r>
      <w:r>
        <w:rPr>
          <w:spacing w:val="-41"/>
        </w:rPr>
        <w:t> </w:t>
      </w:r>
      <w:r>
        <w:rPr/>
        <w:t>of</w:t>
      </w:r>
      <w:r>
        <w:rPr>
          <w:spacing w:val="-38"/>
        </w:rPr>
        <w:t> </w:t>
      </w:r>
      <w:r>
        <w:rPr/>
        <w:t>selenium</w:t>
      </w:r>
    </w:p>
    <w:p>
      <w:pPr>
        <w:pStyle w:val="BodyText"/>
        <w:spacing w:line="276" w:lineRule="auto" w:before="299"/>
        <w:ind w:left="616"/>
        <w:rPr>
          <w:sz w:val="25"/>
        </w:rPr>
      </w:pPr>
      <w:r>
        <w:rPr/>
        <w:t>In</w:t>
      </w:r>
      <w:r>
        <w:rPr>
          <w:spacing w:val="-13"/>
        </w:rPr>
        <w:t> </w:t>
      </w:r>
      <w:r>
        <w:rPr/>
        <w:t>a</w:t>
      </w:r>
      <w:r>
        <w:rPr>
          <w:spacing w:val="-14"/>
        </w:rPr>
        <w:t> </w:t>
      </w:r>
      <w:r>
        <w:rPr/>
        <w:t>study,</w:t>
      </w:r>
      <w:r>
        <w:rPr>
          <w:spacing w:val="-14"/>
        </w:rPr>
        <w:t> </w:t>
      </w:r>
      <w:r>
        <w:rPr/>
        <w:t>the</w:t>
      </w:r>
      <w:r>
        <w:rPr>
          <w:spacing w:val="-15"/>
        </w:rPr>
        <w:t> </w:t>
      </w:r>
      <w:r>
        <w:rPr/>
        <w:t>recurrence</w:t>
      </w:r>
      <w:r>
        <w:rPr>
          <w:spacing w:val="-14"/>
        </w:rPr>
        <w:t> </w:t>
      </w:r>
      <w:r>
        <w:rPr/>
        <w:t>of</w:t>
      </w:r>
      <w:r>
        <w:rPr>
          <w:spacing w:val="-13"/>
        </w:rPr>
        <w:t> </w:t>
      </w:r>
      <w:r>
        <w:rPr/>
        <w:t>colon</w:t>
      </w:r>
      <w:r>
        <w:rPr>
          <w:spacing w:val="-13"/>
        </w:rPr>
        <w:t> </w:t>
      </w:r>
      <w:r>
        <w:rPr/>
        <w:t>cancer</w:t>
      </w:r>
      <w:r>
        <w:rPr>
          <w:spacing w:val="-13"/>
        </w:rPr>
        <w:t> </w:t>
      </w:r>
      <w:r>
        <w:rPr/>
        <w:t>was</w:t>
      </w:r>
      <w:r>
        <w:rPr>
          <w:spacing w:val="-12"/>
        </w:rPr>
        <w:t> </w:t>
      </w:r>
      <w:r>
        <w:rPr/>
        <w:t>reduced</w:t>
      </w:r>
      <w:r>
        <w:rPr>
          <w:spacing w:val="-15"/>
        </w:rPr>
        <w:t> </w:t>
      </w:r>
      <w:r>
        <w:rPr/>
        <w:t>by</w:t>
      </w:r>
      <w:r>
        <w:rPr>
          <w:spacing w:val="-13"/>
        </w:rPr>
        <w:t> </w:t>
      </w:r>
      <w:r>
        <w:rPr/>
        <w:t>58</w:t>
      </w:r>
      <w:r>
        <w:rPr>
          <w:spacing w:val="-15"/>
        </w:rPr>
        <w:t> </w:t>
      </w:r>
      <w:r>
        <w:rPr/>
        <w:t>%</w:t>
      </w:r>
      <w:r>
        <w:rPr>
          <w:spacing w:val="-14"/>
        </w:rPr>
        <w:t> </w:t>
      </w:r>
      <w:r>
        <w:rPr/>
        <w:t>with</w:t>
      </w:r>
      <w:r>
        <w:rPr>
          <w:spacing w:val="-13"/>
        </w:rPr>
        <w:t> </w:t>
      </w:r>
      <w:r>
        <w:rPr/>
        <w:t>the</w:t>
      </w:r>
      <w:r>
        <w:rPr>
          <w:spacing w:val="-13"/>
        </w:rPr>
        <w:t> </w:t>
      </w:r>
      <w:r>
        <w:rPr/>
        <w:t>intake of selenium.</w:t>
      </w:r>
      <w:r>
        <w:rPr>
          <w:position w:val="9"/>
          <w:sz w:val="25"/>
        </w:rPr>
        <w:t>816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5"/>
        </w:rPr>
      </w:pPr>
      <w:r>
        <w:rPr/>
        <w:pict>
          <v:line style="position:absolute;mso-position-horizontal-relative:page;mso-position-vertical-relative:paragraph;z-index:11048;mso-wrap-distance-left:0;mso-wrap-distance-right:0" from="70.823997pt,16.761234pt" to="214.843997pt,16.761234pt" stroked="true" strokeweight=".72003pt" strokecolor="#000000">
            <v:stroke dashstyle="solid"/>
            <w10:wrap type="topAndBottom"/>
          </v:line>
        </w:pict>
      </w:r>
    </w:p>
    <w:p>
      <w:pPr>
        <w:pStyle w:val="BodyText"/>
        <w:spacing w:before="7"/>
        <w:rPr>
          <w:sz w:val="18"/>
        </w:rPr>
      </w:pPr>
    </w:p>
    <w:p>
      <w:pPr>
        <w:spacing w:line="273" w:lineRule="auto" w:before="99"/>
        <w:ind w:left="616" w:right="0" w:firstLine="0"/>
        <w:jc w:val="left"/>
        <w:rPr>
          <w:sz w:val="20"/>
        </w:rPr>
      </w:pPr>
      <w:r>
        <w:rPr>
          <w:position w:val="5"/>
          <w:sz w:val="13"/>
        </w:rPr>
        <w:t>814 </w:t>
      </w:r>
      <w:r>
        <w:rPr>
          <w:sz w:val="20"/>
        </w:rPr>
        <w:t>Prof. Dr. Josef Beuth and Dr. Verena Drebing: Selen gegen Krebs – Unterstützung in der Tumorprävention und –therapie ('Selenium against Cancer – Support in the Prevention and Treatment of Cancer'), TRIAS-Verlag 2006, p.</w:t>
      </w:r>
      <w:r>
        <w:rPr>
          <w:spacing w:val="-5"/>
          <w:sz w:val="20"/>
        </w:rPr>
        <w:t> </w:t>
      </w:r>
      <w:r>
        <w:rPr>
          <w:sz w:val="20"/>
        </w:rPr>
        <w:t>70</w:t>
      </w:r>
    </w:p>
    <w:p>
      <w:pPr>
        <w:spacing w:line="276" w:lineRule="auto" w:before="63"/>
        <w:ind w:left="616" w:right="0" w:firstLine="0"/>
        <w:jc w:val="left"/>
        <w:rPr>
          <w:sz w:val="20"/>
        </w:rPr>
      </w:pPr>
      <w:r>
        <w:rPr>
          <w:position w:val="5"/>
          <w:sz w:val="13"/>
        </w:rPr>
        <w:t>815 </w:t>
      </w:r>
      <w:r>
        <w:rPr>
          <w:sz w:val="20"/>
        </w:rPr>
        <w:t>Prof. Dr. Josef Beuth and Dr. Verena Drebing: Selen gegen Krebs – Unterstützung in der Tumorprävention und –therapie ('Selenium against Cancer – Support in the Prevention and Treatment of Cancer'), TRIAS-Verlag 2006, p.</w:t>
      </w:r>
      <w:r>
        <w:rPr>
          <w:spacing w:val="-5"/>
          <w:sz w:val="20"/>
        </w:rPr>
        <w:t> </w:t>
      </w:r>
      <w:r>
        <w:rPr>
          <w:sz w:val="20"/>
        </w:rPr>
        <w:t>71</w:t>
      </w:r>
    </w:p>
    <w:p>
      <w:pPr>
        <w:spacing w:line="276" w:lineRule="auto" w:before="61"/>
        <w:ind w:left="616" w:right="0" w:firstLine="0"/>
        <w:jc w:val="left"/>
        <w:rPr>
          <w:sz w:val="20"/>
        </w:rPr>
      </w:pPr>
      <w:r>
        <w:rPr/>
        <w:drawing>
          <wp:anchor distT="0" distB="0" distL="0" distR="0" allowOverlap="1" layoutInCell="1" locked="0" behindDoc="1" simplePos="0" relativeHeight="267178847">
            <wp:simplePos x="0" y="0"/>
            <wp:positionH relativeFrom="page">
              <wp:posOffset>985998</wp:posOffset>
            </wp:positionH>
            <wp:positionV relativeFrom="paragraph">
              <wp:posOffset>82907</wp:posOffset>
            </wp:positionV>
            <wp:extent cx="6379583" cy="902106"/>
            <wp:effectExtent l="0" t="0" r="0" b="0"/>
            <wp:wrapNone/>
            <wp:docPr id="537" name="image2.jpeg" descr=""/>
            <wp:cNvGraphicFramePr>
              <a:graphicFrameLocks noChangeAspect="1"/>
            </wp:cNvGraphicFramePr>
            <a:graphic>
              <a:graphicData uri="http://schemas.openxmlformats.org/drawingml/2006/picture">
                <pic:pic>
                  <pic:nvPicPr>
                    <pic:cNvPr id="538"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816 </w:t>
      </w:r>
      <w:r>
        <w:rPr>
          <w:sz w:val="20"/>
        </w:rPr>
        <w:t>Prof. Dr. Josef Beuth and Dr. Verena Drebing: Selen gegen Krebs – Unterstützung in der Tumorprävention und –therapie ('Selenium against Cancer – Support in the Prevention and Treatment of Cancer'), TRIAS-Verlag 2006, p.</w:t>
      </w:r>
      <w:r>
        <w:rPr>
          <w:spacing w:val="-5"/>
          <w:sz w:val="20"/>
        </w:rPr>
        <w:t> </w:t>
      </w:r>
      <w:r>
        <w:rPr>
          <w:sz w:val="20"/>
        </w:rPr>
        <w:t>71</w:t>
      </w:r>
    </w:p>
    <w:p>
      <w:pPr>
        <w:spacing w:after="0" w:line="276" w:lineRule="auto"/>
        <w:jc w:val="left"/>
        <w:rPr>
          <w:sz w:val="20"/>
        </w:rPr>
        <w:sectPr>
          <w:footerReference w:type="default" r:id="rId343"/>
          <w:pgSz w:w="14270" w:h="16850"/>
          <w:pgMar w:footer="527" w:header="0" w:top="1320" w:bottom="720" w:left="800" w:right="1280"/>
          <w:pgNumType w:start="1432"/>
        </w:sectPr>
      </w:pPr>
    </w:p>
    <w:p>
      <w:pPr>
        <w:pStyle w:val="Heading1"/>
        <w:spacing w:before="77"/>
        <w:ind w:left="616"/>
        <w:jc w:val="both"/>
        <w:rPr>
          <w:b w:val="0"/>
          <w:i w:val="0"/>
          <w:sz w:val="25"/>
        </w:rPr>
      </w:pPr>
      <w:r>
        <w:rPr/>
        <w:t>Selenium during chemotherapy</w:t>
      </w:r>
      <w:r>
        <w:rPr>
          <w:b w:val="0"/>
          <w:i w:val="0"/>
          <w:position w:val="9"/>
          <w:sz w:val="25"/>
        </w:rPr>
        <w:t>817</w:t>
      </w:r>
    </w:p>
    <w:p>
      <w:pPr>
        <w:pStyle w:val="BodyText"/>
        <w:spacing w:line="276" w:lineRule="auto" w:before="297"/>
        <w:ind w:left="616" w:right="137"/>
        <w:jc w:val="both"/>
      </w:pPr>
      <w:r>
        <w:rPr/>
        <w:t>Selenium</w:t>
      </w:r>
      <w:r>
        <w:rPr>
          <w:spacing w:val="-20"/>
        </w:rPr>
        <w:t> </w:t>
      </w:r>
      <w:r>
        <w:rPr/>
        <w:t>does</w:t>
      </w:r>
      <w:r>
        <w:rPr>
          <w:spacing w:val="-18"/>
        </w:rPr>
        <w:t> </w:t>
      </w:r>
      <w:r>
        <w:rPr/>
        <w:t>not</w:t>
      </w:r>
      <w:r>
        <w:rPr>
          <w:spacing w:val="-19"/>
        </w:rPr>
        <w:t> </w:t>
      </w:r>
      <w:r>
        <w:rPr/>
        <w:t>have</w:t>
      </w:r>
      <w:r>
        <w:rPr>
          <w:spacing w:val="-20"/>
        </w:rPr>
        <w:t> </w:t>
      </w:r>
      <w:r>
        <w:rPr/>
        <w:t>a</w:t>
      </w:r>
      <w:r>
        <w:rPr>
          <w:spacing w:val="-20"/>
        </w:rPr>
        <w:t> </w:t>
      </w:r>
      <w:r>
        <w:rPr/>
        <w:t>negative</w:t>
      </w:r>
      <w:r>
        <w:rPr>
          <w:spacing w:val="-18"/>
        </w:rPr>
        <w:t> </w:t>
      </w:r>
      <w:r>
        <w:rPr/>
        <w:t>influence</w:t>
      </w:r>
      <w:r>
        <w:rPr>
          <w:spacing w:val="-18"/>
        </w:rPr>
        <w:t> </w:t>
      </w:r>
      <w:r>
        <w:rPr/>
        <w:t>on</w:t>
      </w:r>
      <w:r>
        <w:rPr>
          <w:spacing w:val="-19"/>
        </w:rPr>
        <w:t> </w:t>
      </w:r>
      <w:r>
        <w:rPr/>
        <w:t>chemotherapy.</w:t>
      </w:r>
      <w:r>
        <w:rPr>
          <w:spacing w:val="-18"/>
        </w:rPr>
        <w:t> </w:t>
      </w:r>
      <w:r>
        <w:rPr/>
        <w:t>Various</w:t>
      </w:r>
      <w:r>
        <w:rPr>
          <w:spacing w:val="-19"/>
        </w:rPr>
        <w:t> </w:t>
      </w:r>
      <w:r>
        <w:rPr/>
        <w:t>studies have been carried out both on cell cultures and on patients with the goal of finding</w:t>
      </w:r>
      <w:r>
        <w:rPr>
          <w:spacing w:val="-6"/>
        </w:rPr>
        <w:t> </w:t>
      </w:r>
      <w:r>
        <w:rPr/>
        <w:t>out</w:t>
      </w:r>
      <w:r>
        <w:rPr>
          <w:spacing w:val="-8"/>
        </w:rPr>
        <w:t> </w:t>
      </w:r>
      <w:r>
        <w:rPr/>
        <w:t>whether</w:t>
      </w:r>
      <w:r>
        <w:rPr>
          <w:spacing w:val="-7"/>
        </w:rPr>
        <w:t> </w:t>
      </w:r>
      <w:r>
        <w:rPr/>
        <w:t>selenium</w:t>
      </w:r>
      <w:r>
        <w:rPr>
          <w:spacing w:val="-7"/>
        </w:rPr>
        <w:t> </w:t>
      </w:r>
      <w:r>
        <w:rPr/>
        <w:t>could</w:t>
      </w:r>
      <w:r>
        <w:rPr>
          <w:spacing w:val="-8"/>
        </w:rPr>
        <w:t> </w:t>
      </w:r>
      <w:r>
        <w:rPr/>
        <w:t>in</w:t>
      </w:r>
      <w:r>
        <w:rPr>
          <w:spacing w:val="-6"/>
        </w:rPr>
        <w:t> </w:t>
      </w:r>
      <w:r>
        <w:rPr/>
        <w:t>any</w:t>
      </w:r>
      <w:r>
        <w:rPr>
          <w:spacing w:val="-7"/>
        </w:rPr>
        <w:t> </w:t>
      </w:r>
      <w:r>
        <w:rPr/>
        <w:t>way</w:t>
      </w:r>
      <w:r>
        <w:rPr>
          <w:spacing w:val="-7"/>
        </w:rPr>
        <w:t> </w:t>
      </w:r>
      <w:r>
        <w:rPr/>
        <w:t>interfere</w:t>
      </w:r>
      <w:r>
        <w:rPr>
          <w:spacing w:val="-6"/>
        </w:rPr>
        <w:t> </w:t>
      </w:r>
      <w:r>
        <w:rPr/>
        <w:t>with</w:t>
      </w:r>
      <w:r>
        <w:rPr>
          <w:spacing w:val="-6"/>
        </w:rPr>
        <w:t> </w:t>
      </w:r>
      <w:r>
        <w:rPr/>
        <w:t>the</w:t>
      </w:r>
      <w:r>
        <w:rPr>
          <w:spacing w:val="-8"/>
        </w:rPr>
        <w:t> </w:t>
      </w:r>
      <w:r>
        <w:rPr/>
        <w:t>effectiveness of chemotherapy (adriamycin/cisplatin). None of the studies could confirm this!</w:t>
      </w:r>
    </w:p>
    <w:p>
      <w:pPr>
        <w:pStyle w:val="BodyText"/>
        <w:spacing w:line="276" w:lineRule="auto" w:before="240"/>
        <w:ind w:left="616" w:right="139"/>
        <w:jc w:val="both"/>
      </w:pPr>
      <w:r>
        <w:rPr/>
        <w:t>On the contrary: selenium enhances the desired effect of chemotherapy up to tenfold!</w:t>
      </w:r>
    </w:p>
    <w:p>
      <w:pPr>
        <w:pStyle w:val="BodyText"/>
        <w:spacing w:line="276" w:lineRule="auto" w:before="241"/>
        <w:ind w:left="616" w:right="130"/>
        <w:jc w:val="both"/>
      </w:pPr>
      <w:r>
        <w:rPr/>
        <w:t>Apparently,</w:t>
      </w:r>
      <w:r>
        <w:rPr>
          <w:spacing w:val="-7"/>
        </w:rPr>
        <w:t> </w:t>
      </w:r>
      <w:r>
        <w:rPr/>
        <w:t>selenium</w:t>
      </w:r>
      <w:r>
        <w:rPr>
          <w:spacing w:val="-8"/>
        </w:rPr>
        <w:t> </w:t>
      </w:r>
      <w:r>
        <w:rPr/>
        <w:t>efficiently</w:t>
      </w:r>
      <w:r>
        <w:rPr>
          <w:spacing w:val="-4"/>
        </w:rPr>
        <w:t> </w:t>
      </w:r>
      <w:r>
        <w:rPr/>
        <w:t>breaks</w:t>
      </w:r>
      <w:r>
        <w:rPr>
          <w:spacing w:val="-8"/>
        </w:rPr>
        <w:t> </w:t>
      </w:r>
      <w:r>
        <w:rPr/>
        <w:t>the</w:t>
      </w:r>
      <w:r>
        <w:rPr>
          <w:spacing w:val="-7"/>
        </w:rPr>
        <w:t> </w:t>
      </w:r>
      <w:r>
        <w:rPr/>
        <w:t>defences</w:t>
      </w:r>
      <w:r>
        <w:rPr>
          <w:spacing w:val="-8"/>
        </w:rPr>
        <w:t> </w:t>
      </w:r>
      <w:r>
        <w:rPr/>
        <w:t>of</w:t>
      </w:r>
      <w:r>
        <w:rPr>
          <w:spacing w:val="-7"/>
        </w:rPr>
        <w:t> </w:t>
      </w:r>
      <w:r>
        <w:rPr/>
        <w:t>the</w:t>
      </w:r>
      <w:r>
        <w:rPr>
          <w:spacing w:val="-9"/>
        </w:rPr>
        <w:t> </w:t>
      </w:r>
      <w:r>
        <w:rPr/>
        <w:t>cancer</w:t>
      </w:r>
      <w:r>
        <w:rPr>
          <w:spacing w:val="-9"/>
        </w:rPr>
        <w:t> </w:t>
      </w:r>
      <w:r>
        <w:rPr/>
        <w:t>cells</w:t>
      </w:r>
      <w:r>
        <w:rPr>
          <w:spacing w:val="-7"/>
        </w:rPr>
        <w:t> </w:t>
      </w:r>
      <w:r>
        <w:rPr/>
        <w:t>against chemotherapy and in this way inhibits the cancer cells' resistance to chemo- therapy medications by binding glutathione, which would otherwise be used by the cancer cells as a defence against the chemotherapy</w:t>
      </w:r>
      <w:r>
        <w:rPr>
          <w:spacing w:val="-11"/>
        </w:rPr>
        <w:t> </w:t>
      </w:r>
      <w:r>
        <w:rPr/>
        <w:t>medications.</w:t>
      </w:r>
    </w:p>
    <w:p>
      <w:pPr>
        <w:pStyle w:val="BodyText"/>
        <w:spacing w:line="276" w:lineRule="auto" w:before="241"/>
        <w:ind w:left="616" w:right="134"/>
        <w:jc w:val="both"/>
      </w:pPr>
      <w:r>
        <w:rPr/>
        <w:t>Even</w:t>
      </w:r>
      <w:r>
        <w:rPr>
          <w:spacing w:val="-20"/>
        </w:rPr>
        <w:t> </w:t>
      </w:r>
      <w:r>
        <w:rPr/>
        <w:t>types</w:t>
      </w:r>
      <w:r>
        <w:rPr>
          <w:spacing w:val="-21"/>
        </w:rPr>
        <w:t> </w:t>
      </w:r>
      <w:r>
        <w:rPr/>
        <w:t>of</w:t>
      </w:r>
      <w:r>
        <w:rPr>
          <w:spacing w:val="-22"/>
        </w:rPr>
        <w:t> </w:t>
      </w:r>
      <w:r>
        <w:rPr/>
        <w:t>cancer</w:t>
      </w:r>
      <w:r>
        <w:rPr>
          <w:spacing w:val="-21"/>
        </w:rPr>
        <w:t> </w:t>
      </w:r>
      <w:r>
        <w:rPr/>
        <w:t>that</w:t>
      </w:r>
      <w:r>
        <w:rPr>
          <w:spacing w:val="-20"/>
        </w:rPr>
        <w:t> </w:t>
      </w:r>
      <w:r>
        <w:rPr/>
        <w:t>do</w:t>
      </w:r>
      <w:r>
        <w:rPr>
          <w:spacing w:val="-21"/>
        </w:rPr>
        <w:t> </w:t>
      </w:r>
      <w:r>
        <w:rPr/>
        <w:t>not</w:t>
      </w:r>
      <w:r>
        <w:rPr>
          <w:spacing w:val="-23"/>
        </w:rPr>
        <w:t> </w:t>
      </w:r>
      <w:r>
        <w:rPr/>
        <w:t>respond</w:t>
      </w:r>
      <w:r>
        <w:rPr>
          <w:spacing w:val="-22"/>
        </w:rPr>
        <w:t> </w:t>
      </w:r>
      <w:r>
        <w:rPr/>
        <w:t>to</w:t>
      </w:r>
      <w:r>
        <w:rPr>
          <w:spacing w:val="-23"/>
        </w:rPr>
        <w:t> </w:t>
      </w:r>
      <w:r>
        <w:rPr/>
        <w:t>chemotherapy</w:t>
      </w:r>
      <w:r>
        <w:rPr>
          <w:spacing w:val="-20"/>
        </w:rPr>
        <w:t> </w:t>
      </w:r>
      <w:r>
        <w:rPr/>
        <w:t>can</w:t>
      </w:r>
      <w:r>
        <w:rPr>
          <w:spacing w:val="-20"/>
        </w:rPr>
        <w:t> </w:t>
      </w:r>
      <w:r>
        <w:rPr/>
        <w:t>be</w:t>
      </w:r>
      <w:r>
        <w:rPr>
          <w:spacing w:val="-24"/>
        </w:rPr>
        <w:t> </w:t>
      </w:r>
      <w:r>
        <w:rPr/>
        <w:t>re-sensitised to chemotherapy with the help of selenium. Selenium often also makes it</w:t>
      </w:r>
      <w:r>
        <w:rPr>
          <w:spacing w:val="-47"/>
        </w:rPr>
        <w:t> </w:t>
      </w:r>
      <w:r>
        <w:rPr/>
        <w:t>pos- sible to lower the dose of chemotherapy—with equivalent or better</w:t>
      </w:r>
      <w:r>
        <w:rPr>
          <w:spacing w:val="-14"/>
        </w:rPr>
        <w:t> </w:t>
      </w:r>
      <w:r>
        <w:rPr/>
        <w:t>results!</w:t>
      </w:r>
    </w:p>
    <w:p>
      <w:pPr>
        <w:pStyle w:val="BodyText"/>
        <w:spacing w:line="276" w:lineRule="auto" w:before="239"/>
        <w:ind w:left="616" w:right="132"/>
        <w:jc w:val="both"/>
      </w:pPr>
      <w:r>
        <w:rPr/>
        <w:t>In cell cultures, a normal dose of chemotherapy (5-Fluorouracil) had its effect doubled with selenium, and the effect of high-dosage chemotherapy was even increased by a factor of 10.</w:t>
      </w:r>
    </w:p>
    <w:p>
      <w:pPr>
        <w:pStyle w:val="Heading1"/>
        <w:ind w:left="616"/>
        <w:jc w:val="both"/>
      </w:pPr>
      <w:r>
        <w:rPr/>
        <w:t>Selenium reduces the undesired side effects of chemotherapy</w:t>
      </w:r>
    </w:p>
    <w:p>
      <w:pPr>
        <w:pStyle w:val="BodyText"/>
        <w:rPr>
          <w:b/>
          <w:i/>
          <w:sz w:val="20"/>
        </w:rPr>
      </w:pPr>
    </w:p>
    <w:p>
      <w:pPr>
        <w:pStyle w:val="BodyText"/>
        <w:rPr>
          <w:b/>
          <w:i/>
          <w:sz w:val="20"/>
        </w:rPr>
      </w:pPr>
    </w:p>
    <w:p>
      <w:pPr>
        <w:pStyle w:val="BodyText"/>
        <w:rPr>
          <w:b/>
          <w:i/>
          <w:sz w:val="20"/>
        </w:rPr>
      </w:pPr>
    </w:p>
    <w:p>
      <w:pPr>
        <w:pStyle w:val="BodyText"/>
        <w:spacing w:before="1"/>
        <w:rPr>
          <w:b/>
          <w:i/>
          <w:sz w:val="29"/>
        </w:rPr>
      </w:pPr>
      <w:r>
        <w:rPr/>
        <w:pict>
          <v:line style="position:absolute;mso-position-horizontal-relative:page;mso-position-vertical-relative:paragraph;z-index:11096;mso-wrap-distance-left:0;mso-wrap-distance-right:0" from="70.823997pt,18.758736pt" to="214.843997pt,18.758736pt" stroked="true" strokeweight=".72003pt" strokecolor="#000000">
            <v:stroke dashstyle="solid"/>
            <w10:wrap type="topAndBottom"/>
          </v:line>
        </w:pict>
      </w:r>
    </w:p>
    <w:p>
      <w:pPr>
        <w:pStyle w:val="BodyText"/>
        <w:spacing w:before="7"/>
        <w:rPr>
          <w:b/>
          <w:i/>
          <w:sz w:val="18"/>
        </w:rPr>
      </w:pPr>
    </w:p>
    <w:p>
      <w:pPr>
        <w:spacing w:line="276" w:lineRule="auto" w:before="99"/>
        <w:ind w:left="616" w:right="0" w:firstLine="0"/>
        <w:jc w:val="left"/>
        <w:rPr>
          <w:sz w:val="20"/>
        </w:rPr>
      </w:pPr>
      <w:r>
        <w:rPr>
          <w:position w:val="5"/>
          <w:sz w:val="13"/>
        </w:rPr>
        <w:t>817 </w:t>
      </w:r>
      <w:r>
        <w:rPr>
          <w:sz w:val="20"/>
        </w:rPr>
        <w:t>Prof. Dr. Josef Beuth and Dr. Verena Drebing: Selen gegen Krebs – Unterstützung in der Tumorprävention und –therapie ('Selenium against Cancer – Support in the Prevention and Treatment of Cancer'), TRIAS-Verlag 2006, p. 81, 82, 90</w:t>
      </w:r>
    </w:p>
    <w:p>
      <w:pPr>
        <w:spacing w:after="0" w:line="276" w:lineRule="auto"/>
        <w:jc w:val="left"/>
        <w:rPr>
          <w:sz w:val="20"/>
        </w:rPr>
        <w:sectPr>
          <w:footerReference w:type="default" r:id="rId344"/>
          <w:pgSz w:w="14270" w:h="16850"/>
          <w:pgMar w:footer="1891" w:header="0" w:top="1320" w:bottom="2080" w:left="800" w:right="1280"/>
          <w:pgNumType w:start="1433"/>
        </w:sectPr>
      </w:pPr>
    </w:p>
    <w:p>
      <w:pPr>
        <w:pStyle w:val="BodyText"/>
        <w:spacing w:line="276" w:lineRule="auto" w:before="72"/>
        <w:ind w:left="616" w:right="133"/>
        <w:jc w:val="both"/>
      </w:pPr>
      <w:r>
        <w:rPr/>
        <w:t>In studies, it could further be demonstrated that selenium protects our leuko- cytes (immune cells in the blood) and that their number decreased by a third less.</w:t>
      </w:r>
      <w:r>
        <w:rPr>
          <w:spacing w:val="-6"/>
        </w:rPr>
        <w:t> </w:t>
      </w:r>
      <w:r>
        <w:rPr/>
        <w:t>At</w:t>
      </w:r>
      <w:r>
        <w:rPr>
          <w:spacing w:val="-7"/>
        </w:rPr>
        <w:t> </w:t>
      </w:r>
      <w:r>
        <w:rPr/>
        <w:t>the</w:t>
      </w:r>
      <w:r>
        <w:rPr>
          <w:spacing w:val="-7"/>
        </w:rPr>
        <w:t> </w:t>
      </w:r>
      <w:r>
        <w:rPr/>
        <w:t>same</w:t>
      </w:r>
      <w:r>
        <w:rPr>
          <w:spacing w:val="-7"/>
        </w:rPr>
        <w:t> </w:t>
      </w:r>
      <w:r>
        <w:rPr/>
        <w:t>time,</w:t>
      </w:r>
      <w:r>
        <w:rPr>
          <w:spacing w:val="-5"/>
        </w:rPr>
        <w:t> </w:t>
      </w:r>
      <w:r>
        <w:rPr/>
        <w:t>the</w:t>
      </w:r>
      <w:r>
        <w:rPr>
          <w:spacing w:val="-7"/>
        </w:rPr>
        <w:t> </w:t>
      </w:r>
      <w:r>
        <w:rPr/>
        <w:t>heart</w:t>
      </w:r>
      <w:r>
        <w:rPr>
          <w:spacing w:val="-9"/>
        </w:rPr>
        <w:t> </w:t>
      </w:r>
      <w:r>
        <w:rPr/>
        <w:t>damage</w:t>
      </w:r>
      <w:r>
        <w:rPr>
          <w:spacing w:val="-6"/>
        </w:rPr>
        <w:t> </w:t>
      </w:r>
      <w:r>
        <w:rPr/>
        <w:t>(adriamyacin),</w:t>
      </w:r>
      <w:r>
        <w:rPr>
          <w:spacing w:val="-5"/>
        </w:rPr>
        <w:t> </w:t>
      </w:r>
      <w:r>
        <w:rPr/>
        <w:t>kidney</w:t>
      </w:r>
      <w:r>
        <w:rPr>
          <w:spacing w:val="-5"/>
        </w:rPr>
        <w:t> </w:t>
      </w:r>
      <w:r>
        <w:rPr/>
        <w:t>damage</w:t>
      </w:r>
      <w:r>
        <w:rPr>
          <w:spacing w:val="-6"/>
        </w:rPr>
        <w:t> </w:t>
      </w:r>
      <w:r>
        <w:rPr/>
        <w:t>(cispla- tin)</w:t>
      </w:r>
      <w:r>
        <w:rPr>
          <w:spacing w:val="-17"/>
        </w:rPr>
        <w:t> </w:t>
      </w:r>
      <w:r>
        <w:rPr/>
        <w:t>and</w:t>
      </w:r>
      <w:r>
        <w:rPr>
          <w:spacing w:val="-16"/>
        </w:rPr>
        <w:t> </w:t>
      </w:r>
      <w:r>
        <w:rPr/>
        <w:t>phlebitis</w:t>
      </w:r>
      <w:r>
        <w:rPr>
          <w:spacing w:val="-16"/>
        </w:rPr>
        <w:t> </w:t>
      </w:r>
      <w:r>
        <w:rPr/>
        <w:t>caused</w:t>
      </w:r>
      <w:r>
        <w:rPr>
          <w:spacing w:val="-17"/>
        </w:rPr>
        <w:t> </w:t>
      </w:r>
      <w:r>
        <w:rPr/>
        <w:t>by</w:t>
      </w:r>
      <w:r>
        <w:rPr>
          <w:spacing w:val="-16"/>
        </w:rPr>
        <w:t> </w:t>
      </w:r>
      <w:r>
        <w:rPr/>
        <w:t>chemotherapy</w:t>
      </w:r>
      <w:r>
        <w:rPr>
          <w:spacing w:val="-16"/>
        </w:rPr>
        <w:t> </w:t>
      </w:r>
      <w:r>
        <w:rPr/>
        <w:t>could</w:t>
      </w:r>
      <w:r>
        <w:rPr>
          <w:spacing w:val="-17"/>
        </w:rPr>
        <w:t> </w:t>
      </w:r>
      <w:r>
        <w:rPr/>
        <w:t>be</w:t>
      </w:r>
      <w:r>
        <w:rPr>
          <w:spacing w:val="-16"/>
        </w:rPr>
        <w:t> </w:t>
      </w:r>
      <w:r>
        <w:rPr/>
        <w:t>reduced</w:t>
      </w:r>
      <w:r>
        <w:rPr>
          <w:spacing w:val="-16"/>
        </w:rPr>
        <w:t> </w:t>
      </w:r>
      <w:r>
        <w:rPr/>
        <w:t>or</w:t>
      </w:r>
      <w:r>
        <w:rPr>
          <w:spacing w:val="-16"/>
        </w:rPr>
        <w:t> </w:t>
      </w:r>
      <w:r>
        <w:rPr/>
        <w:t>even</w:t>
      </w:r>
      <w:r>
        <w:rPr>
          <w:spacing w:val="-16"/>
        </w:rPr>
        <w:t> </w:t>
      </w:r>
      <w:r>
        <w:rPr/>
        <w:t>prevented with selenium (sodium selenite). The patient feels subjectively</w:t>
      </w:r>
      <w:r>
        <w:rPr>
          <w:spacing w:val="-8"/>
        </w:rPr>
        <w:t> </w:t>
      </w:r>
      <w:r>
        <w:rPr/>
        <w:t>better.</w:t>
      </w:r>
    </w:p>
    <w:p>
      <w:pPr>
        <w:pStyle w:val="Heading1"/>
        <w:ind w:left="616"/>
        <w:rPr>
          <w:b w:val="0"/>
          <w:i w:val="0"/>
          <w:sz w:val="25"/>
        </w:rPr>
      </w:pPr>
      <w:r>
        <w:rPr/>
        <w:t>Selenium during radiation therapy</w:t>
      </w:r>
      <w:r>
        <w:rPr>
          <w:b w:val="0"/>
          <w:i w:val="0"/>
          <w:position w:val="9"/>
          <w:sz w:val="25"/>
        </w:rPr>
        <w:t>818</w:t>
      </w:r>
    </w:p>
    <w:p>
      <w:pPr>
        <w:pStyle w:val="BodyText"/>
        <w:spacing w:line="276" w:lineRule="auto" w:before="298"/>
        <w:ind w:left="616" w:right="138"/>
        <w:jc w:val="both"/>
      </w:pPr>
      <w:r>
        <w:rPr/>
        <w:t>Selenium enhances the desired effects of radiation therapy. It has been shown in studies that selenium makes the cancer cells more sensitive to the radiation and increases their 'suicide rate'.</w:t>
      </w:r>
    </w:p>
    <w:p>
      <w:pPr>
        <w:pStyle w:val="Heading1"/>
        <w:ind w:left="616"/>
      </w:pPr>
      <w:r>
        <w:rPr/>
        <w:t>Selenium decreases the undesired side effects of radiation therapy</w:t>
      </w:r>
    </w:p>
    <w:p>
      <w:pPr>
        <w:pStyle w:val="BodyText"/>
        <w:spacing w:line="276" w:lineRule="auto" w:before="299"/>
        <w:ind w:left="616" w:right="135"/>
        <w:jc w:val="both"/>
      </w:pPr>
      <w:r>
        <w:rPr/>
        <w:t>Numerous studies have been able to show that selenium protects healthy</w:t>
      </w:r>
      <w:r>
        <w:rPr>
          <w:spacing w:val="-51"/>
        </w:rPr>
        <w:t> </w:t>
      </w:r>
      <w:r>
        <w:rPr/>
        <w:t>cells from the damage of radiation during radiotherapy, while the cancer cells re- ceive no benefit from this protection. Selenium therefore does not negatively influence radiation therapy in any way, but does protect the healthy cells from the</w:t>
      </w:r>
      <w:r>
        <w:rPr>
          <w:spacing w:val="-9"/>
        </w:rPr>
        <w:t> </w:t>
      </w:r>
      <w:r>
        <w:rPr/>
        <w:t>dreaded</w:t>
      </w:r>
      <w:r>
        <w:rPr>
          <w:spacing w:val="-11"/>
        </w:rPr>
        <w:t> </w:t>
      </w:r>
      <w:r>
        <w:rPr/>
        <w:t>side</w:t>
      </w:r>
      <w:r>
        <w:rPr>
          <w:spacing w:val="-12"/>
        </w:rPr>
        <w:t> </w:t>
      </w:r>
      <w:r>
        <w:rPr/>
        <w:t>effects.</w:t>
      </w:r>
      <w:r>
        <w:rPr>
          <w:spacing w:val="-11"/>
        </w:rPr>
        <w:t> </w:t>
      </w:r>
      <w:r>
        <w:rPr/>
        <w:t>In</w:t>
      </w:r>
      <w:r>
        <w:rPr>
          <w:spacing w:val="-12"/>
        </w:rPr>
        <w:t> </w:t>
      </w:r>
      <w:r>
        <w:rPr/>
        <w:t>addition,</w:t>
      </w:r>
      <w:r>
        <w:rPr>
          <w:spacing w:val="-8"/>
        </w:rPr>
        <w:t> </w:t>
      </w:r>
      <w:r>
        <w:rPr/>
        <w:t>it</w:t>
      </w:r>
      <w:r>
        <w:rPr>
          <w:spacing w:val="-12"/>
        </w:rPr>
        <w:t> </w:t>
      </w:r>
      <w:r>
        <w:rPr/>
        <w:t>also</w:t>
      </w:r>
      <w:r>
        <w:rPr>
          <w:spacing w:val="-12"/>
        </w:rPr>
        <w:t> </w:t>
      </w:r>
      <w:r>
        <w:rPr/>
        <w:t>protects</w:t>
      </w:r>
      <w:r>
        <w:rPr>
          <w:spacing w:val="-9"/>
        </w:rPr>
        <w:t> </w:t>
      </w:r>
      <w:r>
        <w:rPr/>
        <w:t>against</w:t>
      </w:r>
      <w:r>
        <w:rPr>
          <w:spacing w:val="-11"/>
        </w:rPr>
        <w:t> </w:t>
      </w:r>
      <w:r>
        <w:rPr/>
        <w:t>the</w:t>
      </w:r>
      <w:r>
        <w:rPr>
          <w:spacing w:val="-12"/>
        </w:rPr>
        <w:t> </w:t>
      </w:r>
      <w:r>
        <w:rPr/>
        <w:t>undesired</w:t>
      </w:r>
      <w:r>
        <w:rPr>
          <w:spacing w:val="-9"/>
        </w:rPr>
        <w:t> </w:t>
      </w:r>
      <w:r>
        <w:rPr/>
        <w:t>neg- ative effects on the immune system and spares the immune cells a third of</w:t>
      </w:r>
      <w:r>
        <w:rPr>
          <w:spacing w:val="-39"/>
        </w:rPr>
        <w:t> </w:t>
      </w:r>
      <w:r>
        <w:rPr/>
        <w:t>the damage.</w:t>
      </w:r>
    </w:p>
    <w:p>
      <w:pPr>
        <w:pStyle w:val="Heading1"/>
        <w:spacing w:before="223"/>
        <w:ind w:left="616"/>
        <w:jc w:val="both"/>
      </w:pPr>
      <w:r>
        <w:rPr/>
        <w:t>Selenium successful in the prevention of cancer</w:t>
      </w:r>
    </w:p>
    <w:p>
      <w:pPr>
        <w:pStyle w:val="BodyText"/>
        <w:spacing w:before="300"/>
        <w:ind w:left="616"/>
        <w:jc w:val="both"/>
      </w:pPr>
      <w:r>
        <w:rPr/>
        <w:t>With a disease that by now strikes one in two Americans and Central Europe-</w:t>
      </w:r>
    </w:p>
    <w:p>
      <w:pPr>
        <w:pStyle w:val="BodyText"/>
        <w:rPr>
          <w:sz w:val="20"/>
        </w:rPr>
      </w:pPr>
    </w:p>
    <w:p>
      <w:pPr>
        <w:pStyle w:val="BodyText"/>
        <w:rPr>
          <w:sz w:val="20"/>
        </w:rPr>
      </w:pPr>
    </w:p>
    <w:p>
      <w:pPr>
        <w:pStyle w:val="BodyText"/>
        <w:rPr>
          <w:sz w:val="20"/>
        </w:rPr>
      </w:pPr>
    </w:p>
    <w:p>
      <w:pPr>
        <w:pStyle w:val="BodyText"/>
        <w:spacing w:before="6"/>
        <w:rPr>
          <w:sz w:val="29"/>
        </w:rPr>
      </w:pPr>
      <w:r>
        <w:rPr/>
        <w:pict>
          <v:line style="position:absolute;mso-position-horizontal-relative:page;mso-position-vertical-relative:paragraph;z-index:11120;mso-wrap-distance-left:0;mso-wrap-distance-right:0" from="70.823997pt,18.996235pt" to="214.843997pt,18.996235pt" stroked="true" strokeweight=".72003pt" strokecolor="#000000">
            <v:stroke dashstyle="solid"/>
            <w10:wrap type="topAndBottom"/>
          </v:line>
        </w:pict>
      </w:r>
    </w:p>
    <w:p>
      <w:pPr>
        <w:pStyle w:val="BodyText"/>
        <w:spacing w:before="7"/>
        <w:rPr>
          <w:sz w:val="18"/>
        </w:rPr>
      </w:pPr>
    </w:p>
    <w:p>
      <w:pPr>
        <w:spacing w:line="276" w:lineRule="auto" w:before="99"/>
        <w:ind w:left="616" w:right="0" w:firstLine="0"/>
        <w:jc w:val="left"/>
        <w:rPr>
          <w:sz w:val="20"/>
        </w:rPr>
      </w:pPr>
      <w:r>
        <w:rPr>
          <w:position w:val="5"/>
          <w:sz w:val="13"/>
        </w:rPr>
        <w:t>818 </w:t>
      </w:r>
      <w:r>
        <w:rPr>
          <w:sz w:val="20"/>
        </w:rPr>
        <w:t>Prof. Dr. Josef Beuth and Dr. Verena Drebing: Selen gegen Krebs – Unterstützung in der Tumorprävention und –therapie ('Selenium against Cancer – Support in the Prevention and Treatment of Cancer'), TRIAS-Verlag 2006, p. 70</w:t>
      </w:r>
    </w:p>
    <w:p>
      <w:pPr>
        <w:spacing w:after="0" w:line="276" w:lineRule="auto"/>
        <w:jc w:val="left"/>
        <w:rPr>
          <w:sz w:val="20"/>
        </w:rPr>
        <w:sectPr>
          <w:pgSz w:w="14270" w:h="16850"/>
          <w:pgMar w:header="0" w:footer="1891" w:top="1340" w:bottom="2080" w:left="800" w:right="1280"/>
        </w:sectPr>
      </w:pPr>
    </w:p>
    <w:p>
      <w:pPr>
        <w:pStyle w:val="BodyText"/>
        <w:spacing w:line="276" w:lineRule="auto" w:before="72"/>
        <w:ind w:left="616" w:right="143"/>
        <w:jc w:val="both"/>
      </w:pPr>
      <w:r>
        <w:rPr/>
        <w:t>ans and of which one in every four people dies, we do not even need to men- tion the necessity of preventive measures against cancer.</w:t>
      </w:r>
    </w:p>
    <w:p>
      <w:pPr>
        <w:pStyle w:val="BodyText"/>
        <w:spacing w:line="276" w:lineRule="auto" w:before="241"/>
        <w:ind w:left="616" w:right="136"/>
        <w:jc w:val="both"/>
        <w:rPr>
          <w:sz w:val="25"/>
        </w:rPr>
      </w:pPr>
      <w:r>
        <w:rPr/>
        <w:t>Selenium has proven, in numerous studies and treatment experiences for dec- ades across the world, to be so effective that it is recommended by interna- tional societies of experts as the first 'chemo-preventive measure' against can- cer!</w:t>
      </w:r>
      <w:r>
        <w:rPr>
          <w:position w:val="9"/>
          <w:sz w:val="25"/>
        </w:rPr>
        <w:t>819</w:t>
      </w:r>
    </w:p>
    <w:p>
      <w:pPr>
        <w:pStyle w:val="Heading1"/>
        <w:ind w:left="616"/>
      </w:pPr>
      <w:r>
        <w:rPr/>
        <w:t>Selenium reduces breast cancer by 100 % in studies</w:t>
      </w:r>
    </w:p>
    <w:p>
      <w:pPr>
        <w:pStyle w:val="BodyText"/>
        <w:spacing w:line="276" w:lineRule="auto" w:before="300"/>
        <w:ind w:left="616" w:right="134"/>
        <w:jc w:val="both"/>
        <w:rPr>
          <w:sz w:val="25"/>
        </w:rPr>
      </w:pPr>
      <w:r>
        <w:rPr/>
        <w:t>At the Hahn Meitner Institute in Berlin, a study directed by Prof. Dr. Peter Brätter</w:t>
      </w:r>
      <w:r>
        <w:rPr>
          <w:spacing w:val="-15"/>
        </w:rPr>
        <w:t> </w:t>
      </w:r>
      <w:r>
        <w:rPr/>
        <w:t>showed</w:t>
      </w:r>
      <w:r>
        <w:rPr>
          <w:spacing w:val="-16"/>
        </w:rPr>
        <w:t> </w:t>
      </w:r>
      <w:r>
        <w:rPr/>
        <w:t>that</w:t>
      </w:r>
      <w:r>
        <w:rPr>
          <w:spacing w:val="-15"/>
        </w:rPr>
        <w:t> </w:t>
      </w:r>
      <w:r>
        <w:rPr/>
        <w:t>a</w:t>
      </w:r>
      <w:r>
        <w:rPr>
          <w:spacing w:val="-17"/>
        </w:rPr>
        <w:t> </w:t>
      </w:r>
      <w:r>
        <w:rPr/>
        <w:t>daily</w:t>
      </w:r>
      <w:r>
        <w:rPr>
          <w:spacing w:val="-16"/>
        </w:rPr>
        <w:t> </w:t>
      </w:r>
      <w:r>
        <w:rPr/>
        <w:t>dose</w:t>
      </w:r>
      <w:r>
        <w:rPr>
          <w:spacing w:val="-14"/>
        </w:rPr>
        <w:t> </w:t>
      </w:r>
      <w:r>
        <w:rPr/>
        <w:t>of</w:t>
      </w:r>
      <w:r>
        <w:rPr>
          <w:spacing w:val="-15"/>
        </w:rPr>
        <w:t> </w:t>
      </w:r>
      <w:r>
        <w:rPr/>
        <w:t>300</w:t>
      </w:r>
      <w:r>
        <w:rPr>
          <w:spacing w:val="-16"/>
        </w:rPr>
        <w:t> </w:t>
      </w:r>
      <w:r>
        <w:rPr/>
        <w:t>milligrams</w:t>
      </w:r>
      <w:r>
        <w:rPr>
          <w:spacing w:val="-15"/>
        </w:rPr>
        <w:t> </w:t>
      </w:r>
      <w:r>
        <w:rPr/>
        <w:t>of</w:t>
      </w:r>
      <w:r>
        <w:rPr>
          <w:spacing w:val="-15"/>
        </w:rPr>
        <w:t> </w:t>
      </w:r>
      <w:r>
        <w:rPr/>
        <w:t>bio-selenium</w:t>
      </w:r>
      <w:r>
        <w:rPr>
          <w:spacing w:val="-15"/>
        </w:rPr>
        <w:t> </w:t>
      </w:r>
      <w:r>
        <w:rPr/>
        <w:t>reduced</w:t>
      </w:r>
      <w:r>
        <w:rPr>
          <w:spacing w:val="-14"/>
        </w:rPr>
        <w:t> </w:t>
      </w:r>
      <w:r>
        <w:rPr/>
        <w:t>the breast cancer rate of women to</w:t>
      </w:r>
      <w:r>
        <w:rPr>
          <w:spacing w:val="2"/>
        </w:rPr>
        <w:t> </w:t>
      </w:r>
      <w:r>
        <w:rPr/>
        <w:t>zero.</w:t>
      </w:r>
      <w:r>
        <w:rPr>
          <w:position w:val="9"/>
          <w:sz w:val="25"/>
        </w:rPr>
        <w:t>820</w:t>
      </w:r>
    </w:p>
    <w:p>
      <w:pPr>
        <w:pStyle w:val="Heading1"/>
        <w:spacing w:before="221"/>
        <w:ind w:left="616"/>
      </w:pPr>
      <w:r>
        <w:rPr/>
        <w:t>Selenium reduces risk of falling ill with prostate cancer by 50 %</w:t>
      </w:r>
    </w:p>
    <w:p>
      <w:pPr>
        <w:pStyle w:val="BodyText"/>
        <w:spacing w:line="276" w:lineRule="auto" w:before="299"/>
        <w:ind w:left="616" w:right="137"/>
        <w:jc w:val="both"/>
        <w:rPr>
          <w:sz w:val="25"/>
        </w:rPr>
      </w:pPr>
      <w:r>
        <w:rPr/>
        <w:t>Experiments</w:t>
      </w:r>
      <w:r>
        <w:rPr>
          <w:spacing w:val="-18"/>
        </w:rPr>
        <w:t> </w:t>
      </w:r>
      <w:r>
        <w:rPr/>
        <w:t>on</w:t>
      </w:r>
      <w:r>
        <w:rPr>
          <w:spacing w:val="-22"/>
        </w:rPr>
        <w:t> </w:t>
      </w:r>
      <w:r>
        <w:rPr/>
        <w:t>34,000</w:t>
      </w:r>
      <w:r>
        <w:rPr>
          <w:spacing w:val="-19"/>
        </w:rPr>
        <w:t> </w:t>
      </w:r>
      <w:r>
        <w:rPr/>
        <w:t>men</w:t>
      </w:r>
      <w:r>
        <w:rPr>
          <w:spacing w:val="-17"/>
        </w:rPr>
        <w:t> </w:t>
      </w:r>
      <w:r>
        <w:rPr/>
        <w:t>at</w:t>
      </w:r>
      <w:r>
        <w:rPr>
          <w:spacing w:val="-20"/>
        </w:rPr>
        <w:t> </w:t>
      </w:r>
      <w:r>
        <w:rPr/>
        <w:t>the</w:t>
      </w:r>
      <w:r>
        <w:rPr>
          <w:spacing w:val="-18"/>
        </w:rPr>
        <w:t> </w:t>
      </w:r>
      <w:r>
        <w:rPr/>
        <w:t>renowned</w:t>
      </w:r>
      <w:r>
        <w:rPr>
          <w:spacing w:val="-19"/>
        </w:rPr>
        <w:t> </w:t>
      </w:r>
      <w:r>
        <w:rPr/>
        <w:t>Harvard</w:t>
      </w:r>
      <w:r>
        <w:rPr>
          <w:spacing w:val="-18"/>
        </w:rPr>
        <w:t> </w:t>
      </w:r>
      <w:r>
        <w:rPr/>
        <w:t>School</w:t>
      </w:r>
      <w:r>
        <w:rPr>
          <w:spacing w:val="-22"/>
        </w:rPr>
        <w:t> </w:t>
      </w:r>
      <w:r>
        <w:rPr/>
        <w:t>of</w:t>
      </w:r>
      <w:r>
        <w:rPr>
          <w:spacing w:val="-20"/>
        </w:rPr>
        <w:t> </w:t>
      </w:r>
      <w:r>
        <w:rPr/>
        <w:t>Public</w:t>
      </w:r>
      <w:r>
        <w:rPr>
          <w:spacing w:val="-19"/>
        </w:rPr>
        <w:t> </w:t>
      </w:r>
      <w:r>
        <w:rPr/>
        <w:t>Health were able to demonstrate that men with high selenium absorption have half the risk of developing prostate</w:t>
      </w:r>
      <w:r>
        <w:rPr>
          <w:spacing w:val="-1"/>
        </w:rPr>
        <w:t> </w:t>
      </w:r>
      <w:r>
        <w:rPr/>
        <w:t>cancer.</w:t>
      </w:r>
      <w:r>
        <w:rPr>
          <w:position w:val="9"/>
          <w:sz w:val="25"/>
        </w:rPr>
        <w:t>821</w:t>
      </w:r>
    </w:p>
    <w:p>
      <w:pPr>
        <w:pStyle w:val="Heading1"/>
        <w:spacing w:before="225"/>
        <w:ind w:left="616"/>
      </w:pPr>
      <w:r>
        <w:rPr/>
        <w:t>In</w:t>
      </w:r>
      <w:r>
        <w:rPr>
          <w:spacing w:val="-35"/>
        </w:rPr>
        <w:t> </w:t>
      </w:r>
      <w:r>
        <w:rPr/>
        <w:t>studies,</w:t>
      </w:r>
      <w:r>
        <w:rPr>
          <w:spacing w:val="-35"/>
        </w:rPr>
        <w:t> </w:t>
      </w:r>
      <w:r>
        <w:rPr/>
        <w:t>selenium</w:t>
      </w:r>
      <w:r>
        <w:rPr>
          <w:spacing w:val="-36"/>
        </w:rPr>
        <w:t> </w:t>
      </w:r>
      <w:r>
        <w:rPr/>
        <w:t>reduces</w:t>
      </w:r>
      <w:r>
        <w:rPr>
          <w:spacing w:val="-34"/>
        </w:rPr>
        <w:t> </w:t>
      </w:r>
      <w:r>
        <w:rPr/>
        <w:t>the</w:t>
      </w:r>
      <w:r>
        <w:rPr>
          <w:spacing w:val="-36"/>
        </w:rPr>
        <w:t> </w:t>
      </w:r>
      <w:r>
        <w:rPr/>
        <w:t>risk</w:t>
      </w:r>
      <w:r>
        <w:rPr>
          <w:spacing w:val="-35"/>
        </w:rPr>
        <w:t> </w:t>
      </w:r>
      <w:r>
        <w:rPr/>
        <w:t>of</w:t>
      </w:r>
      <w:r>
        <w:rPr>
          <w:spacing w:val="-36"/>
        </w:rPr>
        <w:t> </w:t>
      </w:r>
      <w:r>
        <w:rPr/>
        <w:t>falling</w:t>
      </w:r>
      <w:r>
        <w:rPr>
          <w:spacing w:val="-34"/>
        </w:rPr>
        <w:t> </w:t>
      </w:r>
      <w:r>
        <w:rPr/>
        <w:t>ill</w:t>
      </w:r>
      <w:r>
        <w:rPr>
          <w:spacing w:val="-36"/>
        </w:rPr>
        <w:t> </w:t>
      </w:r>
      <w:r>
        <w:rPr/>
        <w:t>with</w:t>
      </w:r>
      <w:r>
        <w:rPr>
          <w:spacing w:val="-36"/>
        </w:rPr>
        <w:t> </w:t>
      </w:r>
      <w:r>
        <w:rPr/>
        <w:t>cancer</w:t>
      </w:r>
      <w:r>
        <w:rPr>
          <w:spacing w:val="-36"/>
        </w:rPr>
        <w:t> </w:t>
      </w:r>
      <w:r>
        <w:rPr/>
        <w:t>by</w:t>
      </w:r>
      <w:r>
        <w:rPr>
          <w:spacing w:val="-36"/>
        </w:rPr>
        <w:t> </w:t>
      </w:r>
      <w:r>
        <w:rPr/>
        <w:t>40</w:t>
      </w:r>
      <w:r>
        <w:rPr>
          <w:spacing w:val="-34"/>
        </w:rPr>
        <w:t> </w:t>
      </w:r>
      <w:r>
        <w:rPr/>
        <w:t>%</w:t>
      </w:r>
    </w:p>
    <w:p>
      <w:pPr>
        <w:pStyle w:val="BodyText"/>
        <w:spacing w:line="278" w:lineRule="auto" w:before="297"/>
        <w:ind w:left="616" w:right="133"/>
        <w:jc w:val="both"/>
      </w:pPr>
      <w:r>
        <w:rPr/>
        <w:t>A</w:t>
      </w:r>
      <w:r>
        <w:rPr>
          <w:spacing w:val="-7"/>
        </w:rPr>
        <w:t> </w:t>
      </w:r>
      <w:r>
        <w:rPr/>
        <w:t>five-year</w:t>
      </w:r>
      <w:r>
        <w:rPr>
          <w:spacing w:val="-6"/>
        </w:rPr>
        <w:t> </w:t>
      </w:r>
      <w:r>
        <w:rPr/>
        <w:t>Chinese</w:t>
      </w:r>
      <w:r>
        <w:rPr>
          <w:spacing w:val="-6"/>
        </w:rPr>
        <w:t> </w:t>
      </w:r>
      <w:r>
        <w:rPr/>
        <w:t>study</w:t>
      </w:r>
      <w:r>
        <w:rPr>
          <w:spacing w:val="-7"/>
        </w:rPr>
        <w:t> </w:t>
      </w:r>
      <w:r>
        <w:rPr/>
        <w:t>on</w:t>
      </w:r>
      <w:r>
        <w:rPr>
          <w:spacing w:val="-6"/>
        </w:rPr>
        <w:t> </w:t>
      </w:r>
      <w:r>
        <w:rPr/>
        <w:t>numerous</w:t>
      </w:r>
      <w:r>
        <w:rPr>
          <w:spacing w:val="-6"/>
        </w:rPr>
        <w:t> </w:t>
      </w:r>
      <w:r>
        <w:rPr/>
        <w:t>subjects</w:t>
      </w:r>
      <w:r>
        <w:rPr>
          <w:spacing w:val="-6"/>
        </w:rPr>
        <w:t> </w:t>
      </w:r>
      <w:r>
        <w:rPr/>
        <w:t>was</w:t>
      </w:r>
      <w:r>
        <w:rPr>
          <w:spacing w:val="-6"/>
        </w:rPr>
        <w:t> </w:t>
      </w:r>
      <w:r>
        <w:rPr/>
        <w:t>able</w:t>
      </w:r>
      <w:r>
        <w:rPr>
          <w:spacing w:val="-6"/>
        </w:rPr>
        <w:t> </w:t>
      </w:r>
      <w:r>
        <w:rPr/>
        <w:t>to</w:t>
      </w:r>
      <w:r>
        <w:rPr>
          <w:spacing w:val="-6"/>
        </w:rPr>
        <w:t> </w:t>
      </w:r>
      <w:r>
        <w:rPr/>
        <w:t>reduce</w:t>
      </w:r>
      <w:r>
        <w:rPr>
          <w:spacing w:val="-6"/>
        </w:rPr>
        <w:t> </w:t>
      </w:r>
      <w:r>
        <w:rPr/>
        <w:t>the</w:t>
      </w:r>
      <w:r>
        <w:rPr>
          <w:spacing w:val="-5"/>
        </w:rPr>
        <w:t> </w:t>
      </w:r>
      <w:r>
        <w:rPr/>
        <w:t>occur- rence of liver cancer by 40 % by enriching table salt with</w:t>
      </w:r>
      <w:r>
        <w:rPr>
          <w:spacing w:val="-10"/>
        </w:rPr>
        <w:t> </w:t>
      </w:r>
      <w:r>
        <w:rPr/>
        <w:t>selenium.</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r>
        <w:rPr/>
        <w:pict>
          <v:line style="position:absolute;mso-position-horizontal-relative:page;mso-position-vertical-relative:paragraph;z-index:11144;mso-wrap-distance-left:0;mso-wrap-distance-right:0" from="70.823997pt,11.564985pt" to="214.843997pt,11.564985pt" stroked="true" strokeweight=".72003pt" strokecolor="#000000">
            <v:stroke dashstyle="solid"/>
            <w10:wrap type="topAndBottom"/>
          </v:line>
        </w:pict>
      </w:r>
    </w:p>
    <w:p>
      <w:pPr>
        <w:pStyle w:val="BodyText"/>
        <w:spacing w:before="7"/>
        <w:rPr>
          <w:sz w:val="18"/>
        </w:rPr>
      </w:pPr>
    </w:p>
    <w:p>
      <w:pPr>
        <w:spacing w:line="273" w:lineRule="auto" w:before="99"/>
        <w:ind w:left="616" w:right="0" w:firstLine="0"/>
        <w:jc w:val="left"/>
        <w:rPr>
          <w:sz w:val="20"/>
        </w:rPr>
      </w:pPr>
      <w:r>
        <w:rPr>
          <w:position w:val="5"/>
          <w:sz w:val="13"/>
        </w:rPr>
        <w:t>819 </w:t>
      </w:r>
      <w:r>
        <w:rPr>
          <w:sz w:val="20"/>
        </w:rPr>
        <w:t>Prof. Dr. Josef Beuth and Dr. Verena Drebing: Selen gegen Krebs – Unterstützung in der Tumorprävention und –therapie ('Selenium against Cancer – Support in the Prevention and Treatment of Cancer'), TRIAS-Verlag 2006, p. 69</w:t>
      </w:r>
    </w:p>
    <w:p>
      <w:pPr>
        <w:spacing w:line="276" w:lineRule="auto" w:before="63"/>
        <w:ind w:left="616" w:right="0" w:firstLine="0"/>
        <w:jc w:val="left"/>
        <w:rPr>
          <w:sz w:val="20"/>
        </w:rPr>
      </w:pPr>
      <w:r>
        <w:rPr>
          <w:position w:val="5"/>
          <w:sz w:val="13"/>
        </w:rPr>
        <w:t>820 </w:t>
      </w:r>
      <w:r>
        <w:rPr>
          <w:sz w:val="20"/>
        </w:rPr>
        <w:t>Hademar Bankhofer: BIO-SELEN, natürlicher Schutz für unser Immunsystem ('BIO-SELENIUM, Natural Defence for Our Immune System'), 5th Edition, July 1998, p. 148</w:t>
      </w:r>
    </w:p>
    <w:p>
      <w:pPr>
        <w:spacing w:line="276" w:lineRule="auto" w:before="61"/>
        <w:ind w:left="616" w:right="0" w:firstLine="0"/>
        <w:jc w:val="left"/>
        <w:rPr>
          <w:sz w:val="20"/>
        </w:rPr>
      </w:pPr>
      <w:r>
        <w:rPr/>
        <w:drawing>
          <wp:anchor distT="0" distB="0" distL="0" distR="0" allowOverlap="1" layoutInCell="1" locked="0" behindDoc="1" simplePos="0" relativeHeight="267178943">
            <wp:simplePos x="0" y="0"/>
            <wp:positionH relativeFrom="page">
              <wp:posOffset>985998</wp:posOffset>
            </wp:positionH>
            <wp:positionV relativeFrom="paragraph">
              <wp:posOffset>82907</wp:posOffset>
            </wp:positionV>
            <wp:extent cx="6379583" cy="902106"/>
            <wp:effectExtent l="0" t="0" r="0" b="0"/>
            <wp:wrapNone/>
            <wp:docPr id="541" name="image2.jpeg" descr=""/>
            <wp:cNvGraphicFramePr>
              <a:graphicFrameLocks noChangeAspect="1"/>
            </wp:cNvGraphicFramePr>
            <a:graphic>
              <a:graphicData uri="http://schemas.openxmlformats.org/drawingml/2006/picture">
                <pic:pic>
                  <pic:nvPicPr>
                    <pic:cNvPr id="542"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821 </w:t>
      </w:r>
      <w:r>
        <w:rPr>
          <w:sz w:val="20"/>
        </w:rPr>
        <w:t>Prof. Dr. Josef Beuth and Dr. Verena Drebing: Selen gegen Krebs – Unterstützung in der Tumorprävention und –therapie ('Selenium against Cancer – Support in the Prevention and Treatment of Cancer'), TRIAS-Verlag 2006, p. 70</w:t>
      </w:r>
    </w:p>
    <w:p>
      <w:pPr>
        <w:spacing w:after="0" w:line="276" w:lineRule="auto"/>
        <w:jc w:val="left"/>
        <w:rPr>
          <w:sz w:val="20"/>
        </w:rPr>
        <w:sectPr>
          <w:footerReference w:type="default" r:id="rId345"/>
          <w:pgSz w:w="14270" w:h="16850"/>
          <w:pgMar w:footer="527" w:header="0" w:top="1340" w:bottom="720" w:left="800" w:right="1280"/>
          <w:pgNumType w:start="1435"/>
        </w:sectPr>
      </w:pPr>
    </w:p>
    <w:p>
      <w:pPr>
        <w:pStyle w:val="Heading1"/>
        <w:spacing w:before="77"/>
        <w:ind w:left="616"/>
        <w:rPr>
          <w:b w:val="0"/>
          <w:i w:val="0"/>
          <w:sz w:val="25"/>
        </w:rPr>
      </w:pPr>
      <w:r>
        <w:rPr>
          <w:w w:val="95"/>
        </w:rPr>
        <w:t>Selenium intake recommendation in all phases of cancer development</w:t>
      </w:r>
      <w:r>
        <w:rPr>
          <w:b w:val="0"/>
          <w:i w:val="0"/>
          <w:w w:val="95"/>
          <w:position w:val="9"/>
          <w:sz w:val="25"/>
        </w:rPr>
        <w:t>822</w:t>
      </w:r>
    </w:p>
    <w:p>
      <w:pPr>
        <w:pStyle w:val="BodyText"/>
        <w:spacing w:before="4"/>
        <w:rPr>
          <w:sz w:val="5"/>
        </w:r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06"/>
        <w:gridCol w:w="4606"/>
      </w:tblGrid>
      <w:tr>
        <w:trPr>
          <w:trHeight w:val="1103" w:hRule="atLeast"/>
        </w:trPr>
        <w:tc>
          <w:tcPr>
            <w:tcW w:w="4606" w:type="dxa"/>
            <w:shd w:val="clear" w:color="auto" w:fill="8DB3E1"/>
          </w:tcPr>
          <w:p>
            <w:pPr>
              <w:pStyle w:val="TableParagraph"/>
              <w:spacing w:before="116"/>
              <w:ind w:left="110"/>
              <w:rPr>
                <w:b/>
                <w:sz w:val="38"/>
              </w:rPr>
            </w:pPr>
            <w:r>
              <w:rPr>
                <w:b/>
                <w:sz w:val="38"/>
              </w:rPr>
              <w:t>Treatment phase</w:t>
            </w:r>
          </w:p>
        </w:tc>
        <w:tc>
          <w:tcPr>
            <w:tcW w:w="4606" w:type="dxa"/>
            <w:shd w:val="clear" w:color="auto" w:fill="8DB3E1"/>
          </w:tcPr>
          <w:p>
            <w:pPr>
              <w:pStyle w:val="TableParagraph"/>
              <w:spacing w:line="490" w:lineRule="atLeast" w:before="54"/>
              <w:ind w:left="110"/>
              <w:rPr>
                <w:b/>
                <w:sz w:val="38"/>
              </w:rPr>
            </w:pPr>
            <w:r>
              <w:rPr>
                <w:b/>
                <w:sz w:val="38"/>
              </w:rPr>
              <w:t>Intake recommendation in micrograms per day</w:t>
            </w:r>
          </w:p>
        </w:tc>
      </w:tr>
      <w:tr>
        <w:trPr>
          <w:trHeight w:val="1595" w:hRule="atLeast"/>
        </w:trPr>
        <w:tc>
          <w:tcPr>
            <w:tcW w:w="4606" w:type="dxa"/>
          </w:tcPr>
          <w:p>
            <w:pPr>
              <w:pStyle w:val="TableParagraph"/>
              <w:spacing w:before="116"/>
              <w:ind w:left="942"/>
              <w:rPr>
                <w:sz w:val="38"/>
              </w:rPr>
            </w:pPr>
            <w:r>
              <w:rPr>
                <w:sz w:val="38"/>
              </w:rPr>
              <w:t>Cancer prevention</w:t>
            </w:r>
          </w:p>
        </w:tc>
        <w:tc>
          <w:tcPr>
            <w:tcW w:w="4606" w:type="dxa"/>
          </w:tcPr>
          <w:p>
            <w:pPr>
              <w:pStyle w:val="TableParagraph"/>
              <w:spacing w:line="490" w:lineRule="atLeast" w:before="54"/>
              <w:ind w:left="158" w:right="147" w:hanging="1"/>
              <w:jc w:val="center"/>
              <w:rPr>
                <w:sz w:val="38"/>
              </w:rPr>
            </w:pPr>
            <w:r>
              <w:rPr>
                <w:sz w:val="38"/>
              </w:rPr>
              <w:t>100 micrograms of selenium additionally as needed (blood test indicates need)</w:t>
            </w:r>
          </w:p>
        </w:tc>
      </w:tr>
      <w:tr>
        <w:trPr>
          <w:trHeight w:val="1104" w:hRule="atLeast"/>
        </w:trPr>
        <w:tc>
          <w:tcPr>
            <w:tcW w:w="4606" w:type="dxa"/>
          </w:tcPr>
          <w:p>
            <w:pPr>
              <w:pStyle w:val="TableParagraph"/>
              <w:spacing w:line="490" w:lineRule="atLeast" w:before="54"/>
              <w:ind w:left="1715" w:right="297" w:hanging="1390"/>
              <w:rPr>
                <w:sz w:val="38"/>
              </w:rPr>
            </w:pPr>
            <w:r>
              <w:rPr>
                <w:sz w:val="38"/>
              </w:rPr>
              <w:t>Preoperative phase (before surgery)</w:t>
            </w:r>
          </w:p>
        </w:tc>
        <w:tc>
          <w:tcPr>
            <w:tcW w:w="4606" w:type="dxa"/>
          </w:tcPr>
          <w:p>
            <w:pPr>
              <w:pStyle w:val="TableParagraph"/>
              <w:spacing w:before="116"/>
              <w:ind w:left="194" w:right="184"/>
              <w:jc w:val="center"/>
              <w:rPr>
                <w:sz w:val="38"/>
              </w:rPr>
            </w:pPr>
            <w:r>
              <w:rPr>
                <w:sz w:val="38"/>
              </w:rPr>
              <w:t>100-500 micrograms</w:t>
            </w:r>
          </w:p>
        </w:tc>
      </w:tr>
      <w:tr>
        <w:trPr>
          <w:trHeight w:val="1103" w:hRule="atLeast"/>
        </w:trPr>
        <w:tc>
          <w:tcPr>
            <w:tcW w:w="4606" w:type="dxa"/>
          </w:tcPr>
          <w:p>
            <w:pPr>
              <w:pStyle w:val="TableParagraph"/>
              <w:spacing w:before="116"/>
              <w:ind w:left="1247"/>
              <w:rPr>
                <w:sz w:val="38"/>
              </w:rPr>
            </w:pPr>
            <w:r>
              <w:rPr>
                <w:sz w:val="38"/>
              </w:rPr>
              <w:t>Operation day</w:t>
            </w:r>
          </w:p>
        </w:tc>
        <w:tc>
          <w:tcPr>
            <w:tcW w:w="4606" w:type="dxa"/>
          </w:tcPr>
          <w:p>
            <w:pPr>
              <w:pStyle w:val="TableParagraph"/>
              <w:spacing w:line="490" w:lineRule="atLeast" w:before="54"/>
              <w:ind w:left="780" w:right="318" w:hanging="433"/>
              <w:rPr>
                <w:sz w:val="38"/>
              </w:rPr>
            </w:pPr>
            <w:r>
              <w:rPr>
                <w:sz w:val="38"/>
              </w:rPr>
              <w:t>300 to maximum 1000 mi- crograms as infusion</w:t>
            </w:r>
          </w:p>
        </w:tc>
      </w:tr>
      <w:tr>
        <w:trPr>
          <w:trHeight w:val="1101" w:hRule="atLeast"/>
        </w:trPr>
        <w:tc>
          <w:tcPr>
            <w:tcW w:w="4606" w:type="dxa"/>
          </w:tcPr>
          <w:p>
            <w:pPr>
              <w:pStyle w:val="TableParagraph"/>
              <w:spacing w:line="490" w:lineRule="atLeast" w:before="54"/>
              <w:ind w:left="1446" w:hanging="1210"/>
              <w:rPr>
                <w:sz w:val="38"/>
              </w:rPr>
            </w:pPr>
            <w:r>
              <w:rPr>
                <w:sz w:val="38"/>
              </w:rPr>
              <w:t>After operation until chemo or radiation</w:t>
            </w:r>
          </w:p>
        </w:tc>
        <w:tc>
          <w:tcPr>
            <w:tcW w:w="4606" w:type="dxa"/>
          </w:tcPr>
          <w:p>
            <w:pPr>
              <w:pStyle w:val="TableParagraph"/>
              <w:spacing w:before="116"/>
              <w:ind w:left="194" w:right="184"/>
              <w:jc w:val="center"/>
              <w:rPr>
                <w:sz w:val="38"/>
              </w:rPr>
            </w:pPr>
            <w:r>
              <w:rPr>
                <w:sz w:val="38"/>
              </w:rPr>
              <w:t>100-300 micrograms</w:t>
            </w:r>
          </w:p>
        </w:tc>
      </w:tr>
      <w:tr>
        <w:trPr>
          <w:trHeight w:val="2088" w:hRule="atLeast"/>
        </w:trPr>
        <w:tc>
          <w:tcPr>
            <w:tcW w:w="4606" w:type="dxa"/>
          </w:tcPr>
          <w:p>
            <w:pPr>
              <w:pStyle w:val="TableParagraph"/>
              <w:spacing w:line="276" w:lineRule="auto" w:before="118"/>
              <w:ind w:left="1655" w:right="126" w:hanging="1500"/>
              <w:rPr>
                <w:sz w:val="38"/>
              </w:rPr>
            </w:pPr>
            <w:r>
              <w:rPr>
                <w:sz w:val="38"/>
              </w:rPr>
              <w:t>On the day of chemo and/or radiation</w:t>
            </w:r>
          </w:p>
        </w:tc>
        <w:tc>
          <w:tcPr>
            <w:tcW w:w="4606" w:type="dxa"/>
          </w:tcPr>
          <w:p>
            <w:pPr>
              <w:pStyle w:val="TableParagraph"/>
              <w:spacing w:line="276" w:lineRule="auto" w:before="118"/>
              <w:ind w:left="151" w:right="140" w:firstLine="2"/>
              <w:jc w:val="center"/>
              <w:rPr>
                <w:sz w:val="38"/>
              </w:rPr>
            </w:pPr>
            <w:r>
              <w:rPr>
                <w:sz w:val="38"/>
              </w:rPr>
              <w:t>1 hour before treatment, if possible in the form of an</w:t>
            </w:r>
            <w:r>
              <w:rPr>
                <w:spacing w:val="-13"/>
                <w:sz w:val="38"/>
              </w:rPr>
              <w:t> </w:t>
            </w:r>
            <w:r>
              <w:rPr>
                <w:sz w:val="38"/>
              </w:rPr>
              <w:t>in- fusion of 300 to a</w:t>
            </w:r>
            <w:r>
              <w:rPr>
                <w:spacing w:val="-10"/>
                <w:sz w:val="38"/>
              </w:rPr>
              <w:t> </w:t>
            </w:r>
            <w:r>
              <w:rPr>
                <w:sz w:val="38"/>
              </w:rPr>
              <w:t>maximum</w:t>
            </w:r>
          </w:p>
          <w:p>
            <w:pPr>
              <w:pStyle w:val="TableParagraph"/>
              <w:spacing w:line="427" w:lineRule="exact"/>
              <w:ind w:left="194" w:right="185"/>
              <w:jc w:val="center"/>
              <w:rPr>
                <w:sz w:val="38"/>
              </w:rPr>
            </w:pPr>
            <w:r>
              <w:rPr>
                <w:sz w:val="38"/>
              </w:rPr>
              <w:t>of 1000 micrograms</w:t>
            </w:r>
          </w:p>
        </w:tc>
      </w:tr>
      <w:tr>
        <w:trPr>
          <w:trHeight w:val="1103" w:hRule="atLeast"/>
        </w:trPr>
        <w:tc>
          <w:tcPr>
            <w:tcW w:w="4606" w:type="dxa"/>
          </w:tcPr>
          <w:p>
            <w:pPr>
              <w:pStyle w:val="TableParagraph"/>
              <w:spacing w:line="490" w:lineRule="atLeast" w:before="54"/>
              <w:ind w:left="1984" w:hanging="1764"/>
              <w:rPr>
                <w:sz w:val="38"/>
              </w:rPr>
            </w:pPr>
            <w:r>
              <w:rPr>
                <w:sz w:val="38"/>
              </w:rPr>
              <w:t>Between chemo or radiation days</w:t>
            </w:r>
          </w:p>
        </w:tc>
        <w:tc>
          <w:tcPr>
            <w:tcW w:w="4606" w:type="dxa"/>
          </w:tcPr>
          <w:p>
            <w:pPr>
              <w:pStyle w:val="TableParagraph"/>
              <w:spacing w:before="116"/>
              <w:ind w:left="194" w:right="185"/>
              <w:jc w:val="center"/>
              <w:rPr>
                <w:sz w:val="38"/>
              </w:rPr>
            </w:pPr>
            <w:r>
              <w:rPr>
                <w:sz w:val="38"/>
              </w:rPr>
              <w:t>300 micrograms</w:t>
            </w:r>
          </w:p>
        </w:tc>
      </w:tr>
      <w:tr>
        <w:trPr>
          <w:trHeight w:val="1104" w:hRule="atLeast"/>
        </w:trPr>
        <w:tc>
          <w:tcPr>
            <w:tcW w:w="4606" w:type="dxa"/>
          </w:tcPr>
          <w:p>
            <w:pPr>
              <w:pStyle w:val="TableParagraph"/>
              <w:spacing w:before="116"/>
              <w:ind w:left="1149"/>
              <w:rPr>
                <w:sz w:val="38"/>
              </w:rPr>
            </w:pPr>
            <w:r>
              <w:rPr>
                <w:sz w:val="38"/>
              </w:rPr>
              <w:t>Aftercare phase</w:t>
            </w:r>
          </w:p>
        </w:tc>
        <w:tc>
          <w:tcPr>
            <w:tcW w:w="4606" w:type="dxa"/>
          </w:tcPr>
          <w:p>
            <w:pPr>
              <w:pStyle w:val="TableParagraph"/>
              <w:spacing w:line="490" w:lineRule="atLeast" w:before="54"/>
              <w:ind w:left="1781" w:right="194" w:hanging="1556"/>
              <w:rPr>
                <w:sz w:val="38"/>
              </w:rPr>
            </w:pPr>
            <w:r>
              <w:rPr>
                <w:sz w:val="38"/>
              </w:rPr>
              <w:t>200 micrograms selenium as needed</w:t>
            </w:r>
          </w:p>
        </w:tc>
      </w:tr>
    </w:tbl>
    <w:p>
      <w:pPr>
        <w:pStyle w:val="BodyText"/>
        <w:rPr>
          <w:sz w:val="20"/>
        </w:rPr>
      </w:pPr>
    </w:p>
    <w:p>
      <w:pPr>
        <w:pStyle w:val="BodyText"/>
        <w:rPr>
          <w:sz w:val="20"/>
        </w:rPr>
      </w:pPr>
    </w:p>
    <w:p>
      <w:pPr>
        <w:pStyle w:val="BodyText"/>
        <w:rPr>
          <w:sz w:val="20"/>
        </w:rPr>
      </w:pPr>
    </w:p>
    <w:p>
      <w:pPr>
        <w:pStyle w:val="BodyText"/>
        <w:spacing w:before="6"/>
        <w:rPr>
          <w:sz w:val="14"/>
        </w:rPr>
      </w:pPr>
      <w:r>
        <w:rPr/>
        <w:pict>
          <v:line style="position:absolute;mso-position-horizontal-relative:page;mso-position-vertical-relative:paragraph;z-index:11192;mso-wrap-distance-left:0;mso-wrap-distance-right:0" from="70.823997pt,10.547485pt" to="214.843997pt,10.547485pt" stroked="true" strokeweight=".72003pt" strokecolor="#000000">
            <v:stroke dashstyle="solid"/>
            <w10:wrap type="topAndBottom"/>
          </v:line>
        </w:pict>
      </w:r>
    </w:p>
    <w:p>
      <w:pPr>
        <w:spacing w:line="276" w:lineRule="auto" w:before="309"/>
        <w:ind w:left="616" w:right="0" w:firstLine="0"/>
        <w:jc w:val="left"/>
        <w:rPr>
          <w:sz w:val="20"/>
        </w:rPr>
      </w:pPr>
      <w:r>
        <w:rPr>
          <w:position w:val="5"/>
          <w:sz w:val="13"/>
        </w:rPr>
        <w:t>822 </w:t>
      </w:r>
      <w:r>
        <w:rPr>
          <w:sz w:val="20"/>
        </w:rPr>
        <w:t>Prof. Dr. Josef Beuth and Dr. Verena Drebing: Selen gegen Krebs – Unterstützung in der Tumorprävention und –therapie ('Selenium against Cancer – Support in the Prevention and Treatment of Cancer'), TRIAS-Verlag 2006, p. 80</w:t>
      </w:r>
    </w:p>
    <w:p>
      <w:pPr>
        <w:spacing w:after="0" w:line="276" w:lineRule="auto"/>
        <w:jc w:val="left"/>
        <w:rPr>
          <w:sz w:val="20"/>
        </w:rPr>
        <w:sectPr>
          <w:footerReference w:type="default" r:id="rId346"/>
          <w:pgSz w:w="14270" w:h="16850"/>
          <w:pgMar w:footer="1891" w:header="0" w:top="1320" w:bottom="2080" w:left="800" w:right="1280"/>
          <w:pgNumType w:start="1436"/>
        </w:sectPr>
      </w:pPr>
    </w:p>
    <w:p>
      <w:pPr>
        <w:pStyle w:val="BodyText"/>
        <w:rPr>
          <w:sz w:val="20"/>
        </w:rPr>
      </w:pPr>
    </w:p>
    <w:p>
      <w:pPr>
        <w:pStyle w:val="BodyText"/>
        <w:spacing w:before="6"/>
        <w:rPr>
          <w:sz w:val="19"/>
        </w:rPr>
      </w:pPr>
    </w:p>
    <w:p>
      <w:pPr>
        <w:pStyle w:val="Heading2"/>
        <w:spacing w:before="99"/>
        <w:ind w:left="616"/>
      </w:pPr>
      <w:r>
        <w:rPr/>
        <w:t>Selenium and anti-ageing</w:t>
      </w:r>
    </w:p>
    <w:p>
      <w:pPr>
        <w:pStyle w:val="BodyText"/>
        <w:spacing w:line="276" w:lineRule="auto" w:before="305"/>
        <w:ind w:left="616" w:right="136"/>
        <w:jc w:val="both"/>
      </w:pPr>
      <w:r>
        <w:rPr/>
        <w:t>In a highly recommended book 'BIO-SELENIUM, Natural Defence for Our Immune</w:t>
      </w:r>
      <w:r>
        <w:rPr>
          <w:spacing w:val="-20"/>
        </w:rPr>
        <w:t> </w:t>
      </w:r>
      <w:r>
        <w:rPr/>
        <w:t>System',</w:t>
      </w:r>
      <w:r>
        <w:rPr>
          <w:spacing w:val="-20"/>
        </w:rPr>
        <w:t> </w:t>
      </w:r>
      <w:r>
        <w:rPr/>
        <w:t>Hademar</w:t>
      </w:r>
      <w:r>
        <w:rPr>
          <w:spacing w:val="-20"/>
        </w:rPr>
        <w:t> </w:t>
      </w:r>
      <w:r>
        <w:rPr/>
        <w:t>Bankhofer</w:t>
      </w:r>
      <w:r>
        <w:rPr>
          <w:spacing w:val="-20"/>
        </w:rPr>
        <w:t> </w:t>
      </w:r>
      <w:r>
        <w:rPr/>
        <w:t>describes</w:t>
      </w:r>
      <w:r>
        <w:rPr>
          <w:spacing w:val="-20"/>
        </w:rPr>
        <w:t> </w:t>
      </w:r>
      <w:r>
        <w:rPr/>
        <w:t>the</w:t>
      </w:r>
      <w:r>
        <w:rPr>
          <w:spacing w:val="-20"/>
        </w:rPr>
        <w:t> </w:t>
      </w:r>
      <w:r>
        <w:rPr/>
        <w:t>amazing</w:t>
      </w:r>
      <w:r>
        <w:rPr>
          <w:spacing w:val="-21"/>
        </w:rPr>
        <w:t> </w:t>
      </w:r>
      <w:r>
        <w:rPr/>
        <w:t>commonality</w:t>
      </w:r>
      <w:r>
        <w:rPr>
          <w:spacing w:val="-21"/>
        </w:rPr>
        <w:t> </w:t>
      </w:r>
      <w:r>
        <w:rPr/>
        <w:t>be- tween different regions of the earth which are populated by the oldest inhab- itants. Whether in Azerbaijan or north Pakistan, where people often live to be older than a hundred years with the best vitality, there is always an</w:t>
      </w:r>
      <w:r>
        <w:rPr>
          <w:spacing w:val="-49"/>
        </w:rPr>
        <w:t> </w:t>
      </w:r>
      <w:r>
        <w:rPr/>
        <w:t>undisputed connection between this amazing life expectancy and a rich presence of sele- nium in the</w:t>
      </w:r>
      <w:r>
        <w:rPr>
          <w:spacing w:val="2"/>
        </w:rPr>
        <w:t> </w:t>
      </w:r>
      <w:r>
        <w:rPr/>
        <w:t>soil.</w:t>
      </w:r>
    </w:p>
    <w:p>
      <w:pPr>
        <w:pStyle w:val="BodyText"/>
        <w:rPr>
          <w:sz w:val="42"/>
        </w:rPr>
      </w:pPr>
    </w:p>
    <w:p>
      <w:pPr>
        <w:pStyle w:val="BodyText"/>
        <w:spacing w:before="10"/>
        <w:rPr>
          <w:sz w:val="42"/>
        </w:rPr>
      </w:pPr>
    </w:p>
    <w:p>
      <w:pPr>
        <w:pStyle w:val="Heading1"/>
        <w:spacing w:before="0"/>
        <w:ind w:left="616"/>
        <w:rPr>
          <w:b w:val="0"/>
          <w:i w:val="0"/>
          <w:sz w:val="25"/>
        </w:rPr>
      </w:pPr>
      <w:r>
        <w:rPr/>
        <w:t>Statements of the Ministry of Agriculture in Great Britain</w:t>
      </w:r>
      <w:r>
        <w:rPr>
          <w:b w:val="0"/>
          <w:i w:val="0"/>
          <w:position w:val="9"/>
          <w:sz w:val="25"/>
        </w:rPr>
        <w:t>823</w:t>
      </w:r>
    </w:p>
    <w:p>
      <w:pPr>
        <w:pStyle w:val="BodyText"/>
        <w:spacing w:line="276" w:lineRule="auto" w:before="299"/>
        <w:ind w:left="616" w:right="137"/>
        <w:jc w:val="both"/>
      </w:pPr>
      <w:r>
        <w:rPr/>
        <w:t>After countless series of experiments on the topic of 'Selenium and Life Ex- tension',</w:t>
      </w:r>
      <w:r>
        <w:rPr>
          <w:spacing w:val="-8"/>
        </w:rPr>
        <w:t> </w:t>
      </w:r>
      <w:r>
        <w:rPr/>
        <w:t>the</w:t>
      </w:r>
      <w:r>
        <w:rPr>
          <w:spacing w:val="-8"/>
        </w:rPr>
        <w:t> </w:t>
      </w:r>
      <w:r>
        <w:rPr/>
        <w:t>Ministry</w:t>
      </w:r>
      <w:r>
        <w:rPr>
          <w:spacing w:val="-6"/>
        </w:rPr>
        <w:t> </w:t>
      </w:r>
      <w:r>
        <w:rPr/>
        <w:t>of</w:t>
      </w:r>
      <w:r>
        <w:rPr>
          <w:spacing w:val="-7"/>
        </w:rPr>
        <w:t> </w:t>
      </w:r>
      <w:r>
        <w:rPr/>
        <w:t>Agriculture</w:t>
      </w:r>
      <w:r>
        <w:rPr>
          <w:spacing w:val="-8"/>
        </w:rPr>
        <w:t> </w:t>
      </w:r>
      <w:r>
        <w:rPr/>
        <w:t>in</w:t>
      </w:r>
      <w:r>
        <w:rPr>
          <w:spacing w:val="-7"/>
        </w:rPr>
        <w:t> </w:t>
      </w:r>
      <w:r>
        <w:rPr/>
        <w:t>Great</w:t>
      </w:r>
      <w:r>
        <w:rPr>
          <w:spacing w:val="-7"/>
        </w:rPr>
        <w:t> </w:t>
      </w:r>
      <w:r>
        <w:rPr/>
        <w:t>Britain</w:t>
      </w:r>
      <w:r>
        <w:rPr>
          <w:spacing w:val="-7"/>
        </w:rPr>
        <w:t> </w:t>
      </w:r>
      <w:r>
        <w:rPr/>
        <w:t>made</w:t>
      </w:r>
      <w:r>
        <w:rPr>
          <w:spacing w:val="-8"/>
        </w:rPr>
        <w:t> </w:t>
      </w:r>
      <w:r>
        <w:rPr/>
        <w:t>the</w:t>
      </w:r>
      <w:r>
        <w:rPr>
          <w:spacing w:val="-6"/>
        </w:rPr>
        <w:t> </w:t>
      </w:r>
      <w:r>
        <w:rPr/>
        <w:t>following</w:t>
      </w:r>
      <w:r>
        <w:rPr>
          <w:spacing w:val="-6"/>
        </w:rPr>
        <w:t> </w:t>
      </w:r>
      <w:r>
        <w:rPr/>
        <w:t>state- ment:</w:t>
      </w:r>
    </w:p>
    <w:p>
      <w:pPr>
        <w:pStyle w:val="ListParagraph"/>
        <w:numPr>
          <w:ilvl w:val="1"/>
          <w:numId w:val="111"/>
        </w:numPr>
        <w:tabs>
          <w:tab w:pos="1461" w:val="left" w:leader="none"/>
          <w:tab w:pos="1462" w:val="left" w:leader="none"/>
        </w:tabs>
        <w:spacing w:line="273" w:lineRule="auto" w:before="203" w:after="0"/>
        <w:ind w:left="1461" w:right="146" w:hanging="360"/>
        <w:jc w:val="left"/>
        <w:rPr>
          <w:sz w:val="38"/>
        </w:rPr>
      </w:pPr>
      <w:r>
        <w:rPr>
          <w:sz w:val="38"/>
        </w:rPr>
        <w:t>Selenium, absorbed through diet, reduces and diminishes all damage which the ageing process</w:t>
      </w:r>
      <w:r>
        <w:rPr>
          <w:spacing w:val="4"/>
          <w:sz w:val="38"/>
        </w:rPr>
        <w:t> </w:t>
      </w:r>
      <w:r>
        <w:rPr>
          <w:sz w:val="38"/>
        </w:rPr>
        <w:t>accelerates.</w:t>
      </w:r>
    </w:p>
    <w:p>
      <w:pPr>
        <w:pStyle w:val="ListParagraph"/>
        <w:numPr>
          <w:ilvl w:val="1"/>
          <w:numId w:val="111"/>
        </w:numPr>
        <w:tabs>
          <w:tab w:pos="1461" w:val="left" w:leader="none"/>
          <w:tab w:pos="1462" w:val="left" w:leader="none"/>
        </w:tabs>
        <w:spacing w:line="240" w:lineRule="auto" w:before="127" w:after="0"/>
        <w:ind w:left="1461" w:right="0" w:hanging="360"/>
        <w:jc w:val="left"/>
        <w:rPr>
          <w:sz w:val="38"/>
        </w:rPr>
      </w:pPr>
      <w:r>
        <w:rPr>
          <w:sz w:val="38"/>
        </w:rPr>
        <w:t>A selenium deficit conversely leads to faster ageing of all body</w:t>
      </w:r>
      <w:r>
        <w:rPr>
          <w:spacing w:val="-11"/>
          <w:sz w:val="38"/>
        </w:rPr>
        <w:t> </w:t>
      </w:r>
      <w:r>
        <w:rPr>
          <w:sz w:val="38"/>
        </w:rPr>
        <w:t>cells.</w:t>
      </w:r>
    </w:p>
    <w:p>
      <w:pPr>
        <w:pStyle w:val="ListParagraph"/>
        <w:numPr>
          <w:ilvl w:val="1"/>
          <w:numId w:val="111"/>
        </w:numPr>
        <w:tabs>
          <w:tab w:pos="1461" w:val="left" w:leader="none"/>
          <w:tab w:pos="1462" w:val="left" w:leader="none"/>
        </w:tabs>
        <w:spacing w:line="273" w:lineRule="auto" w:before="183" w:after="0"/>
        <w:ind w:left="1461" w:right="141" w:hanging="360"/>
        <w:jc w:val="left"/>
        <w:rPr>
          <w:sz w:val="38"/>
        </w:rPr>
      </w:pPr>
      <w:r>
        <w:rPr>
          <w:sz w:val="38"/>
        </w:rPr>
        <w:t>It was possible to extend human life by 10 to 15 years with the required amount of selenium, and this with full vitality and</w:t>
      </w:r>
      <w:r>
        <w:rPr>
          <w:spacing w:val="-5"/>
          <w:sz w:val="38"/>
        </w:rPr>
        <w:t> </w:t>
      </w:r>
      <w:r>
        <w:rPr>
          <w:sz w:val="38"/>
        </w:rPr>
        <w:t>health.</w:t>
      </w:r>
    </w:p>
    <w:p>
      <w:pPr>
        <w:pStyle w:val="BodyText"/>
        <w:rPr>
          <w:sz w:val="20"/>
        </w:rPr>
      </w:pPr>
    </w:p>
    <w:p>
      <w:pPr>
        <w:pStyle w:val="BodyText"/>
        <w:rPr>
          <w:sz w:val="20"/>
        </w:rPr>
      </w:pPr>
    </w:p>
    <w:p>
      <w:pPr>
        <w:pStyle w:val="BodyText"/>
        <w:spacing w:before="5"/>
        <w:rPr>
          <w:sz w:val="19"/>
        </w:rPr>
      </w:pPr>
      <w:r>
        <w:rPr/>
        <w:pict>
          <v:line style="position:absolute;mso-position-horizontal-relative:page;mso-position-vertical-relative:paragraph;z-index:11216;mso-wrap-distance-left:0;mso-wrap-distance-right:0" from="70.823997pt,13.296196pt" to="214.843997pt,13.296196pt" stroked="true" strokeweight=".72003pt" strokecolor="#000000">
            <v:stroke dashstyle="solid"/>
            <w10:wrap type="topAndBottom"/>
          </v:line>
        </w:pict>
      </w:r>
    </w:p>
    <w:p>
      <w:pPr>
        <w:pStyle w:val="BodyText"/>
        <w:spacing w:before="7"/>
        <w:rPr>
          <w:sz w:val="18"/>
        </w:rPr>
      </w:pPr>
    </w:p>
    <w:p>
      <w:pPr>
        <w:spacing w:line="276" w:lineRule="auto" w:before="99"/>
        <w:ind w:left="616" w:right="0" w:firstLine="0"/>
        <w:jc w:val="left"/>
        <w:rPr>
          <w:sz w:val="20"/>
        </w:rPr>
      </w:pPr>
      <w:r>
        <w:rPr>
          <w:position w:val="5"/>
          <w:sz w:val="13"/>
        </w:rPr>
        <w:t>823 </w:t>
      </w:r>
      <w:r>
        <w:rPr>
          <w:sz w:val="20"/>
        </w:rPr>
        <w:t>Hademar Bankhofer: BIO-SELEN, natürlicher Schutz für unser Immunsystem ('BIO-SELENIUM, Natural Defence for Our Immune System'), 5th Edition, July 1998, p. 50</w:t>
      </w:r>
    </w:p>
    <w:p>
      <w:pPr>
        <w:spacing w:after="0" w:line="276" w:lineRule="auto"/>
        <w:jc w:val="left"/>
        <w:rPr>
          <w:sz w:val="20"/>
        </w:rPr>
        <w:sectPr>
          <w:pgSz w:w="14270" w:h="16850"/>
          <w:pgMar w:header="0" w:footer="1891" w:top="1600" w:bottom="2080" w:left="800" w:right="1280"/>
        </w:sectPr>
      </w:pPr>
    </w:p>
    <w:p>
      <w:pPr>
        <w:pStyle w:val="BodyText"/>
        <w:rPr>
          <w:sz w:val="20"/>
        </w:rPr>
      </w:pPr>
    </w:p>
    <w:p>
      <w:pPr>
        <w:pStyle w:val="BodyText"/>
        <w:spacing w:before="2"/>
        <w:rPr>
          <w:sz w:val="18"/>
        </w:rPr>
      </w:pPr>
    </w:p>
    <w:p>
      <w:pPr>
        <w:pStyle w:val="Heading1"/>
        <w:spacing w:before="99"/>
        <w:ind w:left="616"/>
      </w:pPr>
      <w:r>
        <w:rPr/>
        <w:t>The combination of selenium with vitamin E extends life by 175 %!</w:t>
      </w:r>
    </w:p>
    <w:p>
      <w:pPr>
        <w:pStyle w:val="BodyText"/>
        <w:spacing w:line="276" w:lineRule="auto" w:before="297"/>
        <w:ind w:left="616" w:right="133"/>
        <w:jc w:val="both"/>
        <w:rPr>
          <w:sz w:val="25"/>
        </w:rPr>
      </w:pPr>
      <w:r>
        <w:rPr/>
        <w:t>While the administration of vitamin E alone still extended the lifespan of la- boratory mice by 30 %, in an experiment directed by the scientist Prof. Dr. Richard Passwater, the combination of vitamin E with selenium achieved a sensational life extension of 175 %!</w:t>
      </w:r>
      <w:r>
        <w:rPr>
          <w:position w:val="9"/>
          <w:sz w:val="25"/>
        </w:rPr>
        <w:t>824</w:t>
      </w:r>
    </w:p>
    <w:p>
      <w:pPr>
        <w:pStyle w:val="BodyText"/>
        <w:spacing w:before="242"/>
        <w:ind w:left="616"/>
      </w:pPr>
      <w:r>
        <w:rPr/>
        <w:t>Selenium studies</w:t>
      </w:r>
    </w:p>
    <w:p>
      <w:pPr>
        <w:pStyle w:val="Heading1"/>
        <w:spacing w:before="288"/>
        <w:ind w:left="616"/>
      </w:pPr>
      <w:r>
        <w:rPr/>
        <w:t>Effect of selenium on mortality and</w:t>
      </w:r>
      <w:r>
        <w:rPr>
          <w:spacing w:val="-73"/>
        </w:rPr>
        <w:t> </w:t>
      </w:r>
      <w:r>
        <w:rPr/>
        <w:t>cancer</w:t>
      </w:r>
    </w:p>
    <w:p>
      <w:pPr>
        <w:pStyle w:val="BodyText"/>
        <w:spacing w:line="276" w:lineRule="auto" w:before="299"/>
        <w:ind w:left="616" w:right="132"/>
        <w:jc w:val="both"/>
      </w:pPr>
      <w:r>
        <w:rPr/>
        <w:t>In a five-year Chinese study, known as the Linxian Study, researchers admin- istered</w:t>
      </w:r>
      <w:r>
        <w:rPr>
          <w:spacing w:val="-9"/>
        </w:rPr>
        <w:t> </w:t>
      </w:r>
      <w:r>
        <w:rPr/>
        <w:t>selenium</w:t>
      </w:r>
      <w:r>
        <w:rPr>
          <w:spacing w:val="-12"/>
        </w:rPr>
        <w:t> </w:t>
      </w:r>
      <w:r>
        <w:rPr/>
        <w:t>to</w:t>
      </w:r>
      <w:r>
        <w:rPr>
          <w:spacing w:val="-9"/>
        </w:rPr>
        <w:t> </w:t>
      </w:r>
      <w:r>
        <w:rPr/>
        <w:t>30,000</w:t>
      </w:r>
      <w:r>
        <w:rPr>
          <w:spacing w:val="-10"/>
        </w:rPr>
        <w:t> </w:t>
      </w:r>
      <w:r>
        <w:rPr/>
        <w:t>Chinese</w:t>
      </w:r>
      <w:r>
        <w:rPr>
          <w:spacing w:val="-9"/>
        </w:rPr>
        <w:t> </w:t>
      </w:r>
      <w:r>
        <w:rPr/>
        <w:t>subjects</w:t>
      </w:r>
      <w:r>
        <w:rPr>
          <w:spacing w:val="-11"/>
        </w:rPr>
        <w:t> </w:t>
      </w:r>
      <w:r>
        <w:rPr/>
        <w:t>in</w:t>
      </w:r>
      <w:r>
        <w:rPr>
          <w:spacing w:val="-9"/>
        </w:rPr>
        <w:t> </w:t>
      </w:r>
      <w:r>
        <w:rPr/>
        <w:t>conjunction</w:t>
      </w:r>
      <w:r>
        <w:rPr>
          <w:spacing w:val="-9"/>
        </w:rPr>
        <w:t> </w:t>
      </w:r>
      <w:r>
        <w:rPr/>
        <w:t>with</w:t>
      </w:r>
      <w:r>
        <w:rPr>
          <w:spacing w:val="-9"/>
        </w:rPr>
        <w:t> </w:t>
      </w:r>
      <w:r>
        <w:rPr/>
        <w:t>vitamin</w:t>
      </w:r>
      <w:r>
        <w:rPr>
          <w:spacing w:val="-9"/>
        </w:rPr>
        <w:t> </w:t>
      </w:r>
      <w:r>
        <w:rPr/>
        <w:t>E</w:t>
      </w:r>
      <w:r>
        <w:rPr>
          <w:spacing w:val="-8"/>
        </w:rPr>
        <w:t> </w:t>
      </w:r>
      <w:r>
        <w:rPr/>
        <w:t>and beta-carotene.</w:t>
      </w:r>
    </w:p>
    <w:p>
      <w:pPr>
        <w:pStyle w:val="BodyText"/>
        <w:spacing w:line="276" w:lineRule="auto" w:before="239"/>
        <w:ind w:left="616" w:right="146"/>
        <w:jc w:val="both"/>
        <w:rPr>
          <w:sz w:val="25"/>
        </w:rPr>
      </w:pPr>
      <w:r>
        <w:rPr/>
        <w:t>In total, the mortality rate was decreased by 9 %, the cancer mortality rate by 13 % and the mortality due to stomach cancer by a significant 21 %.</w:t>
      </w:r>
      <w:r>
        <w:rPr>
          <w:position w:val="9"/>
          <w:sz w:val="25"/>
        </w:rPr>
        <w:t>825</w:t>
      </w:r>
    </w:p>
    <w:p>
      <w:pPr>
        <w:pStyle w:val="Heading1"/>
        <w:ind w:left="616"/>
      </w:pPr>
      <w:r>
        <w:rPr/>
        <w:t>Without selenium, the risk of cancer rises by 2 to 6 times</w:t>
      </w:r>
    </w:p>
    <w:p>
      <w:pPr>
        <w:pStyle w:val="BodyText"/>
        <w:spacing w:line="276" w:lineRule="auto" w:before="299"/>
        <w:ind w:left="616" w:right="138"/>
        <w:jc w:val="both"/>
      </w:pPr>
      <w:r>
        <w:rPr/>
        <w:t>According to two representative studies from the 1980s and 1990s, the risk</w:t>
      </w:r>
      <w:r>
        <w:rPr>
          <w:spacing w:val="-41"/>
        </w:rPr>
        <w:t> </w:t>
      </w:r>
      <w:r>
        <w:rPr/>
        <w:t>of developing</w:t>
      </w:r>
      <w:r>
        <w:rPr>
          <w:spacing w:val="-9"/>
        </w:rPr>
        <w:t> </w:t>
      </w:r>
      <w:r>
        <w:rPr/>
        <w:t>cancer</w:t>
      </w:r>
      <w:r>
        <w:rPr>
          <w:spacing w:val="-7"/>
        </w:rPr>
        <w:t> </w:t>
      </w:r>
      <w:r>
        <w:rPr/>
        <w:t>rises</w:t>
      </w:r>
      <w:r>
        <w:rPr>
          <w:spacing w:val="-10"/>
        </w:rPr>
        <w:t> </w:t>
      </w:r>
      <w:r>
        <w:rPr/>
        <w:t>by</w:t>
      </w:r>
      <w:r>
        <w:rPr>
          <w:spacing w:val="-8"/>
        </w:rPr>
        <w:t> </w:t>
      </w:r>
      <w:r>
        <w:rPr/>
        <w:t>2</w:t>
      </w:r>
      <w:r>
        <w:rPr>
          <w:spacing w:val="-11"/>
        </w:rPr>
        <w:t> </w:t>
      </w:r>
      <w:r>
        <w:rPr/>
        <w:t>to</w:t>
      </w:r>
      <w:r>
        <w:rPr>
          <w:spacing w:val="-9"/>
        </w:rPr>
        <w:t> </w:t>
      </w:r>
      <w:r>
        <w:rPr/>
        <w:t>6</w:t>
      </w:r>
      <w:r>
        <w:rPr>
          <w:spacing w:val="-11"/>
        </w:rPr>
        <w:t> </w:t>
      </w:r>
      <w:r>
        <w:rPr/>
        <w:t>times</w:t>
      </w:r>
      <w:r>
        <w:rPr>
          <w:spacing w:val="-8"/>
        </w:rPr>
        <w:t> </w:t>
      </w:r>
      <w:r>
        <w:rPr/>
        <w:t>in</w:t>
      </w:r>
      <w:r>
        <w:rPr>
          <w:spacing w:val="-8"/>
        </w:rPr>
        <w:t> </w:t>
      </w:r>
      <w:r>
        <w:rPr/>
        <w:t>the</w:t>
      </w:r>
      <w:r>
        <w:rPr>
          <w:spacing w:val="-10"/>
        </w:rPr>
        <w:t> </w:t>
      </w:r>
      <w:r>
        <w:rPr/>
        <w:t>case</w:t>
      </w:r>
      <w:r>
        <w:rPr>
          <w:spacing w:val="-9"/>
        </w:rPr>
        <w:t> </w:t>
      </w:r>
      <w:r>
        <w:rPr/>
        <w:t>of</w:t>
      </w:r>
      <w:r>
        <w:rPr>
          <w:spacing w:val="-8"/>
        </w:rPr>
        <w:t> </w:t>
      </w:r>
      <w:r>
        <w:rPr/>
        <w:t>inadequate</w:t>
      </w:r>
      <w:r>
        <w:rPr>
          <w:spacing w:val="-9"/>
        </w:rPr>
        <w:t> </w:t>
      </w:r>
      <w:r>
        <w:rPr/>
        <w:t>selenium</w:t>
      </w:r>
      <w:r>
        <w:rPr>
          <w:spacing w:val="-8"/>
        </w:rPr>
        <w:t> </w:t>
      </w:r>
      <w:r>
        <w:rPr/>
        <w:t>sup- ply.</w:t>
      </w:r>
    </w:p>
    <w:p>
      <w:pPr>
        <w:pStyle w:val="BodyText"/>
        <w:rPr>
          <w:sz w:val="20"/>
        </w:rPr>
      </w:pPr>
    </w:p>
    <w:p>
      <w:pPr>
        <w:pStyle w:val="BodyText"/>
        <w:rPr>
          <w:sz w:val="20"/>
        </w:rPr>
      </w:pPr>
    </w:p>
    <w:p>
      <w:pPr>
        <w:pStyle w:val="BodyText"/>
        <w:rPr>
          <w:sz w:val="20"/>
        </w:rPr>
      </w:pPr>
    </w:p>
    <w:p>
      <w:pPr>
        <w:pStyle w:val="BodyText"/>
        <w:rPr>
          <w:sz w:val="12"/>
        </w:rPr>
      </w:pPr>
      <w:r>
        <w:rPr/>
        <w:pict>
          <v:line style="position:absolute;mso-position-horizontal-relative:page;mso-position-vertical-relative:paragraph;z-index:11240;mso-wrap-distance-left:0;mso-wrap-distance-right:0" from="70.823997pt,9.114985pt" to="214.843997pt,9.114985pt" stroked="true" strokeweight=".72003pt" strokecolor="#000000">
            <v:stroke dashstyle="solid"/>
            <w10:wrap type="topAndBottom"/>
          </v:line>
        </w:pict>
      </w:r>
    </w:p>
    <w:p>
      <w:pPr>
        <w:pStyle w:val="BodyText"/>
        <w:spacing w:before="7"/>
        <w:rPr>
          <w:sz w:val="18"/>
        </w:rPr>
      </w:pPr>
    </w:p>
    <w:p>
      <w:pPr>
        <w:spacing w:line="273" w:lineRule="auto" w:before="99"/>
        <w:ind w:left="616" w:right="0" w:firstLine="0"/>
        <w:jc w:val="left"/>
        <w:rPr>
          <w:sz w:val="20"/>
        </w:rPr>
      </w:pPr>
      <w:r>
        <w:rPr>
          <w:position w:val="5"/>
          <w:sz w:val="13"/>
        </w:rPr>
        <w:t>824 </w:t>
      </w:r>
      <w:r>
        <w:rPr>
          <w:sz w:val="20"/>
        </w:rPr>
        <w:t>Hademar Bankhofer: BIO-SELEN, natürlicher Schutz für unser Immunsystem ('BIO-SELENIUM, Natural Defence for Our Immune System'), 5th Edition, July 1998, p. 50</w:t>
      </w:r>
    </w:p>
    <w:p>
      <w:pPr>
        <w:spacing w:before="63"/>
        <w:ind w:left="616" w:right="0" w:firstLine="0"/>
        <w:jc w:val="left"/>
        <w:rPr>
          <w:sz w:val="20"/>
        </w:rPr>
      </w:pPr>
      <w:r>
        <w:rPr>
          <w:position w:val="5"/>
          <w:sz w:val="13"/>
        </w:rPr>
        <w:t>825 </w:t>
      </w:r>
      <w:r>
        <w:rPr>
          <w:sz w:val="20"/>
        </w:rPr>
        <w:t>J Natl Cancer Inst 1993, 85, p. 1483</w:t>
      </w:r>
    </w:p>
    <w:p>
      <w:pPr>
        <w:spacing w:after="0"/>
        <w:jc w:val="left"/>
        <w:rPr>
          <w:sz w:val="20"/>
        </w:rPr>
        <w:sectPr>
          <w:pgSz w:w="14270" w:h="16850"/>
          <w:pgMar w:header="0" w:footer="1891" w:top="1600" w:bottom="2080" w:left="800" w:right="1280"/>
        </w:sectPr>
      </w:pPr>
    </w:p>
    <w:p>
      <w:pPr>
        <w:pStyle w:val="Heading1"/>
        <w:spacing w:before="77"/>
        <w:ind w:left="616"/>
      </w:pPr>
      <w:r>
        <w:rPr/>
        <w:t>Selenium</w:t>
      </w:r>
      <w:r>
        <w:rPr>
          <w:spacing w:val="-48"/>
        </w:rPr>
        <w:t> </w:t>
      </w:r>
      <w:r>
        <w:rPr/>
        <w:t>halves</w:t>
      </w:r>
      <w:r>
        <w:rPr>
          <w:spacing w:val="-47"/>
        </w:rPr>
        <w:t> </w:t>
      </w:r>
      <w:r>
        <w:rPr/>
        <w:t>the</w:t>
      </w:r>
      <w:r>
        <w:rPr>
          <w:spacing w:val="-49"/>
        </w:rPr>
        <w:t> </w:t>
      </w:r>
      <w:r>
        <w:rPr/>
        <w:t>mortality</w:t>
      </w:r>
      <w:r>
        <w:rPr>
          <w:spacing w:val="-48"/>
        </w:rPr>
        <w:t> </w:t>
      </w:r>
      <w:r>
        <w:rPr/>
        <w:t>rate</w:t>
      </w:r>
      <w:r>
        <w:rPr>
          <w:spacing w:val="-48"/>
        </w:rPr>
        <w:t> </w:t>
      </w:r>
      <w:r>
        <w:rPr/>
        <w:t>of</w:t>
      </w:r>
      <w:r>
        <w:rPr>
          <w:spacing w:val="-47"/>
        </w:rPr>
        <w:t> </w:t>
      </w:r>
      <w:r>
        <w:rPr/>
        <w:t>cancer</w:t>
      </w:r>
      <w:r>
        <w:rPr>
          <w:spacing w:val="-47"/>
        </w:rPr>
        <w:t> </w:t>
      </w:r>
      <w:r>
        <w:rPr/>
        <w:t>patients</w:t>
      </w:r>
      <w:r>
        <w:rPr>
          <w:spacing w:val="-47"/>
        </w:rPr>
        <w:t> </w:t>
      </w:r>
      <w:r>
        <w:rPr/>
        <w:t>in</w:t>
      </w:r>
      <w:r>
        <w:rPr>
          <w:spacing w:val="-49"/>
        </w:rPr>
        <w:t> </w:t>
      </w:r>
      <w:r>
        <w:rPr/>
        <w:t>the</w:t>
      </w:r>
      <w:r>
        <w:rPr>
          <w:spacing w:val="-47"/>
        </w:rPr>
        <w:t> </w:t>
      </w:r>
      <w:r>
        <w:rPr/>
        <w:t>Clark</w:t>
      </w:r>
      <w:r>
        <w:rPr>
          <w:spacing w:val="-48"/>
        </w:rPr>
        <w:t> </w:t>
      </w:r>
      <w:r>
        <w:rPr/>
        <w:t>Study</w:t>
      </w:r>
    </w:p>
    <w:p>
      <w:pPr>
        <w:pStyle w:val="BodyText"/>
        <w:spacing w:line="276" w:lineRule="auto" w:before="299"/>
        <w:ind w:left="616"/>
      </w:pPr>
      <w:r>
        <w:rPr/>
        <w:t>In the so-called 'Clark Study', it was shown that patients who received addi- tional selenium only died of cancer at half the rate of the placebo group after</w:t>
      </w:r>
    </w:p>
    <w:p>
      <w:pPr>
        <w:pStyle w:val="BodyText"/>
        <w:spacing w:before="1"/>
        <w:ind w:left="616"/>
      </w:pPr>
      <w:r>
        <w:rPr/>
        <w:t>&gt; 6 years.</w:t>
      </w:r>
    </w:p>
    <w:p>
      <w:pPr>
        <w:pStyle w:val="BodyText"/>
        <w:rPr>
          <w:sz w:val="42"/>
        </w:rPr>
      </w:pPr>
    </w:p>
    <w:p>
      <w:pPr>
        <w:pStyle w:val="BodyText"/>
        <w:spacing w:before="4"/>
        <w:rPr>
          <w:sz w:val="48"/>
        </w:rPr>
      </w:pPr>
    </w:p>
    <w:p>
      <w:pPr>
        <w:pStyle w:val="Heading1"/>
        <w:spacing w:before="0"/>
        <w:ind w:left="616"/>
      </w:pPr>
      <w:r>
        <w:rPr/>
        <w:t>Selenium successful on breast cancer in studies</w:t>
      </w:r>
    </w:p>
    <w:p>
      <w:pPr>
        <w:pStyle w:val="BodyText"/>
        <w:spacing w:line="276" w:lineRule="auto" w:before="300"/>
        <w:ind w:left="616" w:right="135"/>
        <w:jc w:val="both"/>
        <w:rPr>
          <w:sz w:val="25"/>
        </w:rPr>
      </w:pPr>
      <w:r>
        <w:rPr/>
        <w:t>Current</w:t>
      </w:r>
      <w:r>
        <w:rPr>
          <w:spacing w:val="-25"/>
        </w:rPr>
        <w:t> </w:t>
      </w:r>
      <w:r>
        <w:rPr/>
        <w:t>research</w:t>
      </w:r>
      <w:r>
        <w:rPr>
          <w:spacing w:val="-24"/>
        </w:rPr>
        <w:t> </w:t>
      </w:r>
      <w:r>
        <w:rPr/>
        <w:t>at</w:t>
      </w:r>
      <w:r>
        <w:rPr>
          <w:spacing w:val="-25"/>
        </w:rPr>
        <w:t> </w:t>
      </w:r>
      <w:r>
        <w:rPr/>
        <w:t>the</w:t>
      </w:r>
      <w:r>
        <w:rPr>
          <w:spacing w:val="-24"/>
        </w:rPr>
        <w:t> </w:t>
      </w:r>
      <w:r>
        <w:rPr/>
        <w:t>renowned</w:t>
      </w:r>
      <w:r>
        <w:rPr>
          <w:spacing w:val="-24"/>
        </w:rPr>
        <w:t> </w:t>
      </w:r>
      <w:r>
        <w:rPr/>
        <w:t>Hahn</w:t>
      </w:r>
      <w:r>
        <w:rPr>
          <w:spacing w:val="-24"/>
        </w:rPr>
        <w:t> </w:t>
      </w:r>
      <w:r>
        <w:rPr/>
        <w:t>Meitner</w:t>
      </w:r>
      <w:r>
        <w:rPr>
          <w:spacing w:val="-23"/>
        </w:rPr>
        <w:t> </w:t>
      </w:r>
      <w:r>
        <w:rPr/>
        <w:t>Institute</w:t>
      </w:r>
      <w:r>
        <w:rPr>
          <w:spacing w:val="-25"/>
        </w:rPr>
        <w:t> </w:t>
      </w:r>
      <w:r>
        <w:rPr/>
        <w:t>in</w:t>
      </w:r>
      <w:r>
        <w:rPr>
          <w:spacing w:val="-23"/>
        </w:rPr>
        <w:t> </w:t>
      </w:r>
      <w:r>
        <w:rPr/>
        <w:t>Berlin,</w:t>
      </w:r>
      <w:r>
        <w:rPr>
          <w:spacing w:val="-24"/>
        </w:rPr>
        <w:t> </w:t>
      </w:r>
      <w:r>
        <w:rPr/>
        <w:t>led</w:t>
      </w:r>
      <w:r>
        <w:rPr>
          <w:spacing w:val="-24"/>
        </w:rPr>
        <w:t> </w:t>
      </w:r>
      <w:r>
        <w:rPr/>
        <w:t>by</w:t>
      </w:r>
      <w:r>
        <w:rPr>
          <w:spacing w:val="-26"/>
        </w:rPr>
        <w:t> </w:t>
      </w:r>
      <w:r>
        <w:rPr/>
        <w:t>Prof. Dr. Peter Brätter, has been able to demonstrate that a daily dose of 300 mi- crograms</w:t>
      </w:r>
      <w:r>
        <w:rPr>
          <w:spacing w:val="-23"/>
        </w:rPr>
        <w:t> </w:t>
      </w:r>
      <w:r>
        <w:rPr/>
        <w:t>of</w:t>
      </w:r>
      <w:r>
        <w:rPr>
          <w:spacing w:val="-23"/>
        </w:rPr>
        <w:t> </w:t>
      </w:r>
      <w:r>
        <w:rPr/>
        <w:t>bio-selenium</w:t>
      </w:r>
      <w:r>
        <w:rPr>
          <w:spacing w:val="-23"/>
        </w:rPr>
        <w:t> </w:t>
      </w:r>
      <w:r>
        <w:rPr/>
        <w:t>decreased</w:t>
      </w:r>
      <w:r>
        <w:rPr>
          <w:spacing w:val="-23"/>
        </w:rPr>
        <w:t> </w:t>
      </w:r>
      <w:r>
        <w:rPr/>
        <w:t>the</w:t>
      </w:r>
      <w:r>
        <w:rPr>
          <w:spacing w:val="-22"/>
        </w:rPr>
        <w:t> </w:t>
      </w:r>
      <w:r>
        <w:rPr/>
        <w:t>breast</w:t>
      </w:r>
      <w:r>
        <w:rPr>
          <w:spacing w:val="-23"/>
        </w:rPr>
        <w:t> </w:t>
      </w:r>
      <w:r>
        <w:rPr/>
        <w:t>cancer</w:t>
      </w:r>
      <w:r>
        <w:rPr>
          <w:spacing w:val="-22"/>
        </w:rPr>
        <w:t> </w:t>
      </w:r>
      <w:r>
        <w:rPr/>
        <w:t>rate</w:t>
      </w:r>
      <w:r>
        <w:rPr>
          <w:spacing w:val="-24"/>
        </w:rPr>
        <w:t> </w:t>
      </w:r>
      <w:r>
        <w:rPr/>
        <w:t>in</w:t>
      </w:r>
      <w:r>
        <w:rPr>
          <w:spacing w:val="-22"/>
        </w:rPr>
        <w:t> </w:t>
      </w:r>
      <w:r>
        <w:rPr/>
        <w:t>women</w:t>
      </w:r>
      <w:r>
        <w:rPr>
          <w:spacing w:val="-22"/>
        </w:rPr>
        <w:t> </w:t>
      </w:r>
      <w:r>
        <w:rPr/>
        <w:t>to</w:t>
      </w:r>
      <w:r>
        <w:rPr>
          <w:spacing w:val="-22"/>
        </w:rPr>
        <w:t> </w:t>
      </w:r>
      <w:r>
        <w:rPr/>
        <w:t>zero.</w:t>
      </w:r>
      <w:r>
        <w:rPr>
          <w:position w:val="9"/>
          <w:sz w:val="25"/>
        </w:rPr>
        <w:t>826</w:t>
      </w:r>
    </w:p>
    <w:p>
      <w:pPr>
        <w:pStyle w:val="Heading1"/>
        <w:spacing w:before="222"/>
        <w:ind w:left="616"/>
      </w:pPr>
      <w:r>
        <w:rPr/>
        <w:t>Lung cancer recurrence decreased by 45 % in studies</w:t>
      </w:r>
    </w:p>
    <w:p>
      <w:pPr>
        <w:pStyle w:val="BodyText"/>
        <w:spacing w:line="278" w:lineRule="auto" w:before="299"/>
        <w:ind w:left="616"/>
        <w:rPr>
          <w:sz w:val="25"/>
        </w:rPr>
      </w:pPr>
      <w:r>
        <w:rPr/>
        <w:t>In a study, researchers investigated the effect of selenium on lung cancer. Se- lenium was able to reduce recurrence by 45 %.</w:t>
      </w:r>
      <w:r>
        <w:rPr>
          <w:position w:val="9"/>
          <w:sz w:val="25"/>
        </w:rPr>
        <w:t>827</w:t>
      </w:r>
    </w:p>
    <w:p>
      <w:pPr>
        <w:pStyle w:val="Heading1"/>
        <w:spacing w:before="215"/>
        <w:ind w:left="616"/>
      </w:pPr>
      <w:r>
        <w:rPr/>
        <w:t>Selenium successful in the prevention of prostate cancer in studies</w:t>
      </w:r>
    </w:p>
    <w:p>
      <w:pPr>
        <w:pStyle w:val="BodyText"/>
        <w:spacing w:line="276" w:lineRule="auto" w:before="299"/>
        <w:ind w:left="616" w:right="134"/>
        <w:jc w:val="both"/>
        <w:rPr>
          <w:sz w:val="25"/>
        </w:rPr>
      </w:pPr>
      <w:r>
        <w:rPr/>
        <w:t>According</w:t>
      </w:r>
      <w:r>
        <w:rPr>
          <w:spacing w:val="-22"/>
        </w:rPr>
        <w:t> </w:t>
      </w:r>
      <w:r>
        <w:rPr/>
        <w:t>to</w:t>
      </w:r>
      <w:r>
        <w:rPr>
          <w:spacing w:val="-23"/>
        </w:rPr>
        <w:t> </w:t>
      </w:r>
      <w:r>
        <w:rPr/>
        <w:t>a</w:t>
      </w:r>
      <w:r>
        <w:rPr>
          <w:spacing w:val="-23"/>
        </w:rPr>
        <w:t> </w:t>
      </w:r>
      <w:r>
        <w:rPr/>
        <w:t>study</w:t>
      </w:r>
      <w:r>
        <w:rPr>
          <w:spacing w:val="-22"/>
        </w:rPr>
        <w:t> </w:t>
      </w:r>
      <w:r>
        <w:rPr/>
        <w:t>on</w:t>
      </w:r>
      <w:r>
        <w:rPr>
          <w:spacing w:val="-19"/>
        </w:rPr>
        <w:t> </w:t>
      </w:r>
      <w:r>
        <w:rPr/>
        <w:t>34,000</w:t>
      </w:r>
      <w:r>
        <w:rPr>
          <w:spacing w:val="-24"/>
        </w:rPr>
        <w:t> </w:t>
      </w:r>
      <w:r>
        <w:rPr/>
        <w:t>men</w:t>
      </w:r>
      <w:r>
        <w:rPr>
          <w:spacing w:val="-21"/>
        </w:rPr>
        <w:t> </w:t>
      </w:r>
      <w:r>
        <w:rPr/>
        <w:t>at</w:t>
      </w:r>
      <w:r>
        <w:rPr>
          <w:spacing w:val="-22"/>
        </w:rPr>
        <w:t> </w:t>
      </w:r>
      <w:r>
        <w:rPr/>
        <w:t>the</w:t>
      </w:r>
      <w:r>
        <w:rPr>
          <w:spacing w:val="-24"/>
        </w:rPr>
        <w:t> </w:t>
      </w:r>
      <w:r>
        <w:rPr/>
        <w:t>renowned</w:t>
      </w:r>
      <w:r>
        <w:rPr>
          <w:spacing w:val="-22"/>
        </w:rPr>
        <w:t> </w:t>
      </w:r>
      <w:r>
        <w:rPr/>
        <w:t>Harvard</w:t>
      </w:r>
      <w:r>
        <w:rPr>
          <w:spacing w:val="-22"/>
        </w:rPr>
        <w:t> </w:t>
      </w:r>
      <w:r>
        <w:rPr/>
        <w:t>School</w:t>
      </w:r>
      <w:r>
        <w:rPr>
          <w:spacing w:val="-22"/>
        </w:rPr>
        <w:t> </w:t>
      </w:r>
      <w:r>
        <w:rPr/>
        <w:t>of</w:t>
      </w:r>
      <w:r>
        <w:rPr>
          <w:spacing w:val="-24"/>
        </w:rPr>
        <w:t> </w:t>
      </w:r>
      <w:r>
        <w:rPr/>
        <w:t>Public Health, scientists were able to demonstrate that men with high selenium ab- sorption have half the risk of developing prostate</w:t>
      </w:r>
      <w:r>
        <w:rPr>
          <w:spacing w:val="-6"/>
        </w:rPr>
        <w:t> </w:t>
      </w:r>
      <w:r>
        <w:rPr/>
        <w:t>cancer!</w:t>
      </w:r>
      <w:r>
        <w:rPr>
          <w:position w:val="9"/>
          <w:sz w:val="25"/>
        </w:rPr>
        <w:t>828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r>
        <w:rPr/>
        <w:pict>
          <v:line style="position:absolute;mso-position-horizontal-relative:page;mso-position-vertical-relative:paragraph;z-index:11264;mso-wrap-distance-left:0;mso-wrap-distance-right:0" from="70.823997pt,13.289985pt" to="214.843997pt,13.289985pt" stroked="true" strokeweight=".72003pt" strokecolor="#000000">
            <v:stroke dashstyle="solid"/>
            <w10:wrap type="topAndBottom"/>
          </v:line>
        </w:pict>
      </w:r>
    </w:p>
    <w:p>
      <w:pPr>
        <w:pStyle w:val="BodyText"/>
        <w:spacing w:before="7"/>
        <w:rPr>
          <w:sz w:val="18"/>
        </w:rPr>
      </w:pPr>
    </w:p>
    <w:p>
      <w:pPr>
        <w:spacing w:line="273" w:lineRule="auto" w:before="99"/>
        <w:ind w:left="616" w:right="0" w:firstLine="0"/>
        <w:jc w:val="left"/>
        <w:rPr>
          <w:sz w:val="20"/>
        </w:rPr>
      </w:pPr>
      <w:r>
        <w:rPr>
          <w:position w:val="5"/>
          <w:sz w:val="13"/>
        </w:rPr>
        <w:t>826 </w:t>
      </w:r>
      <w:r>
        <w:rPr>
          <w:sz w:val="20"/>
        </w:rPr>
        <w:t>Hademar Bankhofer: BIO-SELEN, natürlicher Schutz für unser Immunsystem ('BIO-SELENIUM, Natural Defence for Our Immune System'), 5th Edition, July 1998, p. 148</w:t>
      </w:r>
    </w:p>
    <w:p>
      <w:pPr>
        <w:spacing w:line="276" w:lineRule="auto" w:before="63"/>
        <w:ind w:left="616" w:right="0" w:firstLine="0"/>
        <w:jc w:val="left"/>
        <w:rPr>
          <w:sz w:val="20"/>
        </w:rPr>
      </w:pPr>
      <w:r>
        <w:rPr>
          <w:position w:val="5"/>
          <w:sz w:val="13"/>
        </w:rPr>
        <w:t>827 </w:t>
      </w:r>
      <w:r>
        <w:rPr>
          <w:sz w:val="20"/>
        </w:rPr>
        <w:t>Prof. Dr. Josef Beuth and Dr. Verena Drebing: Selen gegen Krebs – Unterstützung in der Tumorprävention und –therapie ('Selenium against Cancer – Support in the Prevention and Treatment of Cancer'), TRIAS-Verlag 2006, p.</w:t>
      </w:r>
      <w:r>
        <w:rPr>
          <w:spacing w:val="-5"/>
          <w:sz w:val="20"/>
        </w:rPr>
        <w:t> </w:t>
      </w:r>
      <w:r>
        <w:rPr>
          <w:sz w:val="20"/>
        </w:rPr>
        <w:t>70</w:t>
      </w:r>
    </w:p>
    <w:p>
      <w:pPr>
        <w:spacing w:line="276" w:lineRule="auto" w:before="61"/>
        <w:ind w:left="616" w:right="0" w:firstLine="0"/>
        <w:jc w:val="left"/>
        <w:rPr>
          <w:sz w:val="20"/>
        </w:rPr>
      </w:pPr>
      <w:r>
        <w:rPr>
          <w:position w:val="5"/>
          <w:sz w:val="13"/>
        </w:rPr>
        <w:t>828 </w:t>
      </w:r>
      <w:r>
        <w:rPr>
          <w:sz w:val="20"/>
        </w:rPr>
        <w:t>Prof. Dr. Josef Beuth and Dr. Verena Drebing: Selen gegen Krebs – Unterstützung in der Tumorprävention und –therapie ('Selenium against Cancer – Support in the Prevention and Treatment of Cancer'), TRIAS-Verlag 2006, p.</w:t>
      </w:r>
      <w:r>
        <w:rPr>
          <w:spacing w:val="-5"/>
          <w:sz w:val="20"/>
        </w:rPr>
        <w:t> </w:t>
      </w:r>
      <w:r>
        <w:rPr>
          <w:sz w:val="20"/>
        </w:rPr>
        <w:t>70</w:t>
      </w:r>
    </w:p>
    <w:p>
      <w:pPr>
        <w:spacing w:after="0" w:line="276" w:lineRule="auto"/>
        <w:jc w:val="left"/>
        <w:rPr>
          <w:sz w:val="20"/>
        </w:rPr>
        <w:sectPr>
          <w:footerReference w:type="default" r:id="rId347"/>
          <w:pgSz w:w="14270" w:h="16850"/>
          <w:pgMar w:footer="1984" w:header="0" w:top="1320" w:bottom="2180" w:left="800" w:right="1280"/>
          <w:pgNumType w:start="143"/>
        </w:sectPr>
      </w:pPr>
    </w:p>
    <w:p>
      <w:pPr>
        <w:pStyle w:val="Heading1"/>
        <w:spacing w:before="77"/>
        <w:ind w:left="616"/>
      </w:pPr>
      <w:r>
        <w:rPr/>
        <w:t>Selenium prevents the recurrence of prostate cancer by 63 %</w:t>
      </w:r>
    </w:p>
    <w:p>
      <w:pPr>
        <w:pStyle w:val="BodyText"/>
        <w:spacing w:line="276" w:lineRule="auto" w:before="299"/>
        <w:ind w:left="616"/>
        <w:rPr>
          <w:sz w:val="25"/>
        </w:rPr>
      </w:pPr>
      <w:r>
        <w:rPr/>
        <w:t>As</w:t>
      </w:r>
      <w:r>
        <w:rPr>
          <w:spacing w:val="-16"/>
        </w:rPr>
        <w:t> </w:t>
      </w:r>
      <w:r>
        <w:rPr/>
        <w:t>seen</w:t>
      </w:r>
      <w:r>
        <w:rPr>
          <w:spacing w:val="-18"/>
        </w:rPr>
        <w:t> </w:t>
      </w:r>
      <w:r>
        <w:rPr/>
        <w:t>above,</w:t>
      </w:r>
      <w:r>
        <w:rPr>
          <w:spacing w:val="-17"/>
        </w:rPr>
        <w:t> </w:t>
      </w:r>
      <w:r>
        <w:rPr/>
        <w:t>in</w:t>
      </w:r>
      <w:r>
        <w:rPr>
          <w:spacing w:val="-16"/>
        </w:rPr>
        <w:t> </w:t>
      </w:r>
      <w:r>
        <w:rPr/>
        <w:t>another</w:t>
      </w:r>
      <w:r>
        <w:rPr>
          <w:spacing w:val="-16"/>
        </w:rPr>
        <w:t> </w:t>
      </w:r>
      <w:r>
        <w:rPr/>
        <w:t>study,</w:t>
      </w:r>
      <w:r>
        <w:rPr>
          <w:spacing w:val="-21"/>
        </w:rPr>
        <w:t> </w:t>
      </w:r>
      <w:r>
        <w:rPr/>
        <w:t>the</w:t>
      </w:r>
      <w:r>
        <w:rPr>
          <w:spacing w:val="-15"/>
        </w:rPr>
        <w:t> </w:t>
      </w:r>
      <w:r>
        <w:rPr/>
        <w:t>recurrence</w:t>
      </w:r>
      <w:r>
        <w:rPr>
          <w:spacing w:val="-18"/>
        </w:rPr>
        <w:t> </w:t>
      </w:r>
      <w:r>
        <w:rPr/>
        <w:t>of</w:t>
      </w:r>
      <w:r>
        <w:rPr>
          <w:spacing w:val="-17"/>
        </w:rPr>
        <w:t> </w:t>
      </w:r>
      <w:r>
        <w:rPr/>
        <w:t>prostate</w:t>
      </w:r>
      <w:r>
        <w:rPr>
          <w:spacing w:val="-19"/>
        </w:rPr>
        <w:t> </w:t>
      </w:r>
      <w:r>
        <w:rPr/>
        <w:t>cancer</w:t>
      </w:r>
      <w:r>
        <w:rPr>
          <w:spacing w:val="-18"/>
        </w:rPr>
        <w:t> </w:t>
      </w:r>
      <w:r>
        <w:rPr/>
        <w:t>was</w:t>
      </w:r>
      <w:r>
        <w:rPr>
          <w:spacing w:val="-15"/>
        </w:rPr>
        <w:t> </w:t>
      </w:r>
      <w:r>
        <w:rPr/>
        <w:t>reduced by 63 % with the help of</w:t>
      </w:r>
      <w:r>
        <w:rPr>
          <w:spacing w:val="1"/>
        </w:rPr>
        <w:t> </w:t>
      </w:r>
      <w:r>
        <w:rPr/>
        <w:t>selenium.</w:t>
      </w:r>
      <w:r>
        <w:rPr>
          <w:position w:val="9"/>
          <w:sz w:val="25"/>
        </w:rPr>
        <w:t>829</w:t>
      </w:r>
    </w:p>
    <w:p>
      <w:pPr>
        <w:pStyle w:val="Heading1"/>
        <w:spacing w:before="221"/>
        <w:ind w:left="616"/>
      </w:pPr>
      <w:r>
        <w:rPr/>
        <w:t>Colon cancer recurrence decreased by 58 % in studies</w:t>
      </w:r>
    </w:p>
    <w:p>
      <w:pPr>
        <w:pStyle w:val="BodyText"/>
        <w:spacing w:line="278" w:lineRule="auto" w:before="300"/>
        <w:ind w:left="616"/>
        <w:rPr>
          <w:sz w:val="25"/>
        </w:rPr>
      </w:pPr>
      <w:r>
        <w:rPr/>
        <w:t>In one study, the recurrence of colon cancer was reduced by 58 % with the intake of selenium.</w:t>
      </w:r>
      <w:r>
        <w:rPr>
          <w:position w:val="9"/>
          <w:sz w:val="25"/>
        </w:rPr>
        <w:t>830</w:t>
      </w:r>
    </w:p>
    <w:p>
      <w:pPr>
        <w:pStyle w:val="Heading1"/>
        <w:spacing w:before="215"/>
        <w:ind w:left="616"/>
        <w:rPr>
          <w:b w:val="0"/>
          <w:i w:val="0"/>
          <w:sz w:val="25"/>
        </w:rPr>
      </w:pPr>
      <w:r>
        <w:rPr/>
        <w:t>Selenium during chemotherapy</w:t>
      </w:r>
      <w:r>
        <w:rPr>
          <w:b w:val="0"/>
          <w:i w:val="0"/>
          <w:position w:val="9"/>
          <w:sz w:val="25"/>
        </w:rPr>
        <w:t>831</w:t>
      </w:r>
    </w:p>
    <w:p>
      <w:pPr>
        <w:pStyle w:val="BodyText"/>
        <w:spacing w:line="276" w:lineRule="auto" w:before="297"/>
        <w:ind w:left="616" w:right="133"/>
        <w:jc w:val="both"/>
      </w:pPr>
      <w:r>
        <w:rPr/>
        <w:t>As already mentioned, selenium does not have a negative influence on chem- otherapy.</w:t>
      </w:r>
      <w:r>
        <w:rPr>
          <w:spacing w:val="-21"/>
        </w:rPr>
        <w:t> </w:t>
      </w:r>
      <w:r>
        <w:rPr/>
        <w:t>Various</w:t>
      </w:r>
      <w:r>
        <w:rPr>
          <w:spacing w:val="-22"/>
        </w:rPr>
        <w:t> </w:t>
      </w:r>
      <w:r>
        <w:rPr/>
        <w:t>studies</w:t>
      </w:r>
      <w:r>
        <w:rPr>
          <w:spacing w:val="-22"/>
        </w:rPr>
        <w:t> </w:t>
      </w:r>
      <w:r>
        <w:rPr/>
        <w:t>were</w:t>
      </w:r>
      <w:r>
        <w:rPr>
          <w:spacing w:val="-21"/>
        </w:rPr>
        <w:t> </w:t>
      </w:r>
      <w:r>
        <w:rPr/>
        <w:t>carried</w:t>
      </w:r>
      <w:r>
        <w:rPr>
          <w:spacing w:val="-22"/>
        </w:rPr>
        <w:t> </w:t>
      </w:r>
      <w:r>
        <w:rPr/>
        <w:t>out</w:t>
      </w:r>
      <w:r>
        <w:rPr>
          <w:spacing w:val="-22"/>
        </w:rPr>
        <w:t> </w:t>
      </w:r>
      <w:r>
        <w:rPr/>
        <w:t>both</w:t>
      </w:r>
      <w:r>
        <w:rPr>
          <w:spacing w:val="-22"/>
        </w:rPr>
        <w:t> </w:t>
      </w:r>
      <w:r>
        <w:rPr/>
        <w:t>on</w:t>
      </w:r>
      <w:r>
        <w:rPr>
          <w:spacing w:val="-21"/>
        </w:rPr>
        <w:t> </w:t>
      </w:r>
      <w:r>
        <w:rPr/>
        <w:t>cell</w:t>
      </w:r>
      <w:r>
        <w:rPr>
          <w:spacing w:val="-22"/>
        </w:rPr>
        <w:t> </w:t>
      </w:r>
      <w:r>
        <w:rPr/>
        <w:t>cultures</w:t>
      </w:r>
      <w:r>
        <w:rPr>
          <w:spacing w:val="-22"/>
        </w:rPr>
        <w:t> </w:t>
      </w:r>
      <w:r>
        <w:rPr/>
        <w:t>and</w:t>
      </w:r>
      <w:r>
        <w:rPr>
          <w:spacing w:val="-22"/>
        </w:rPr>
        <w:t> </w:t>
      </w:r>
      <w:r>
        <w:rPr/>
        <w:t>on</w:t>
      </w:r>
      <w:r>
        <w:rPr>
          <w:spacing w:val="-20"/>
        </w:rPr>
        <w:t> </w:t>
      </w:r>
      <w:r>
        <w:rPr/>
        <w:t>patients with the goal of finding out whether selenium could in any way interfere with the effectiveness of chemotherapy (adriamycin/cisplatin). None of the</w:t>
      </w:r>
      <w:r>
        <w:rPr>
          <w:spacing w:val="-50"/>
        </w:rPr>
        <w:t> </w:t>
      </w:r>
      <w:r>
        <w:rPr/>
        <w:t>studies could confirm</w:t>
      </w:r>
      <w:r>
        <w:rPr>
          <w:spacing w:val="-1"/>
        </w:rPr>
        <w:t> </w:t>
      </w:r>
      <w:r>
        <w:rPr/>
        <w:t>this!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r>
        <w:rPr/>
        <w:pict>
          <v:line style="position:absolute;mso-position-horizontal-relative:page;mso-position-vertical-relative:paragraph;z-index:11288;mso-wrap-distance-left:0;mso-wrap-distance-right:0" from="70.823997pt,12.721235pt" to="214.843997pt,12.721235pt" stroked="true" strokeweight=".72003pt" strokecolor="#000000">
            <v:stroke dashstyle="solid"/>
            <w10:wrap type="topAndBottom"/>
          </v:line>
        </w:pict>
      </w:r>
    </w:p>
    <w:p>
      <w:pPr>
        <w:pStyle w:val="BodyText"/>
        <w:spacing w:before="7"/>
        <w:rPr>
          <w:sz w:val="18"/>
        </w:rPr>
      </w:pPr>
    </w:p>
    <w:p>
      <w:pPr>
        <w:spacing w:line="273" w:lineRule="auto" w:before="99"/>
        <w:ind w:left="616" w:right="0" w:firstLine="0"/>
        <w:jc w:val="left"/>
        <w:rPr>
          <w:sz w:val="20"/>
        </w:rPr>
      </w:pPr>
      <w:r>
        <w:rPr>
          <w:position w:val="5"/>
          <w:sz w:val="13"/>
        </w:rPr>
        <w:t>829 </w:t>
      </w:r>
      <w:r>
        <w:rPr>
          <w:sz w:val="20"/>
        </w:rPr>
        <w:t>Prof. Dr. Josef Beuth and Dr. Verena Drebing: Selen gegen Krebs – Unterstützung in der Tumorprävention und –therapie ('Selenium against Cancer – Support in the Prevention and Treatment of Cancer'), TRIAS-Verlag 2006, p.</w:t>
      </w:r>
      <w:r>
        <w:rPr>
          <w:spacing w:val="-5"/>
          <w:sz w:val="20"/>
        </w:rPr>
        <w:t> </w:t>
      </w:r>
      <w:r>
        <w:rPr>
          <w:sz w:val="20"/>
        </w:rPr>
        <w:t>71</w:t>
      </w:r>
    </w:p>
    <w:p>
      <w:pPr>
        <w:spacing w:line="276" w:lineRule="auto" w:before="63"/>
        <w:ind w:left="616" w:right="0" w:firstLine="0"/>
        <w:jc w:val="left"/>
        <w:rPr>
          <w:sz w:val="20"/>
        </w:rPr>
      </w:pPr>
      <w:r>
        <w:rPr>
          <w:position w:val="5"/>
          <w:sz w:val="13"/>
        </w:rPr>
        <w:t>830 </w:t>
      </w:r>
      <w:r>
        <w:rPr>
          <w:sz w:val="20"/>
        </w:rPr>
        <w:t>Prof. Dr. Josef Beuth and Dr. Verena Drebing: Selen gegen Krebs – Unterstützung in der Tumorprävention und –therapie ('Selenium against Cancer – Support in the Prevention and Treatment of Cancer'), TRIAS-Verlag 2006, p.</w:t>
      </w:r>
      <w:r>
        <w:rPr>
          <w:spacing w:val="-5"/>
          <w:sz w:val="20"/>
        </w:rPr>
        <w:t> </w:t>
      </w:r>
      <w:r>
        <w:rPr>
          <w:sz w:val="20"/>
        </w:rPr>
        <w:t>71</w:t>
      </w:r>
    </w:p>
    <w:p>
      <w:pPr>
        <w:spacing w:line="276" w:lineRule="auto" w:before="61"/>
        <w:ind w:left="616" w:right="0" w:firstLine="0"/>
        <w:jc w:val="left"/>
        <w:rPr>
          <w:sz w:val="20"/>
        </w:rPr>
      </w:pPr>
      <w:r>
        <w:rPr>
          <w:position w:val="5"/>
          <w:sz w:val="13"/>
        </w:rPr>
        <w:t>831 </w:t>
      </w:r>
      <w:r>
        <w:rPr>
          <w:sz w:val="20"/>
        </w:rPr>
        <w:t>Prof. Dr. Josef Beuth and Dr. Verena Drebing: Selen gegen Krebs – Unterstützung in der Tumorprävention und –therapie ('Selenium against Cancer – Support in the Prevention and Treatment of Cancer'), TRIAS-Verlag 2006, pp. 81, 82, 90</w:t>
      </w:r>
    </w:p>
    <w:p>
      <w:pPr>
        <w:spacing w:after="0" w:line="276" w:lineRule="auto"/>
        <w:jc w:val="left"/>
        <w:rPr>
          <w:sz w:val="20"/>
        </w:rPr>
        <w:sectPr>
          <w:footerReference w:type="default" r:id="rId348"/>
          <w:pgSz w:w="14270" w:h="16850"/>
          <w:pgMar w:footer="1984" w:header="0" w:top="1320" w:bottom="2180" w:left="800" w:right="1280"/>
          <w:pgNumType w:start="144"/>
        </w:sectPr>
      </w:pPr>
    </w:p>
    <w:p>
      <w:pPr>
        <w:pStyle w:val="Heading1"/>
        <w:spacing w:before="77"/>
        <w:ind w:left="616"/>
      </w:pPr>
      <w:r>
        <w:rPr/>
        <w:t>Selenium enhances the desired effect of chemotherapy up to tenfold!</w:t>
      </w:r>
    </w:p>
    <w:p>
      <w:pPr>
        <w:pStyle w:val="BodyText"/>
        <w:spacing w:line="276" w:lineRule="auto" w:before="297"/>
        <w:ind w:left="616" w:right="131"/>
        <w:jc w:val="both"/>
      </w:pPr>
      <w:r>
        <w:rPr/>
        <w:t>Selenium efficiently breaks the defences of the cancer cells and in this way inhibits the resistance of the cancer cells to chemotherapy medications. In</w:t>
      </w:r>
      <w:r>
        <w:rPr>
          <w:spacing w:val="-41"/>
        </w:rPr>
        <w:t> </w:t>
      </w:r>
      <w:r>
        <w:rPr/>
        <w:t>cell cultures, a normal dose of chemotherapy (5-Fluorouracil) had its effect dou- bled with selenium, and the effect of high dosage chemotherapy was even in- creased by a factor of</w:t>
      </w:r>
      <w:r>
        <w:rPr>
          <w:spacing w:val="3"/>
        </w:rPr>
        <w:t> </w:t>
      </w:r>
      <w:r>
        <w:rPr/>
        <w:t>10.</w:t>
      </w:r>
    </w:p>
    <w:p>
      <w:pPr>
        <w:pStyle w:val="Heading1"/>
        <w:spacing w:before="223"/>
        <w:ind w:left="616"/>
      </w:pPr>
      <w:r>
        <w:rPr/>
        <w:t>Selenium reduces the undesired side effects of chemotherapy</w:t>
      </w:r>
    </w:p>
    <w:p>
      <w:pPr>
        <w:pStyle w:val="BodyText"/>
        <w:spacing w:line="276" w:lineRule="auto" w:before="299"/>
        <w:ind w:left="616" w:right="132"/>
        <w:jc w:val="both"/>
      </w:pPr>
      <w:r>
        <w:rPr/>
        <w:t>In studies, it could further be demonstrated that selenium protects our leuko- cytes (immune cells in the blood) and that their number decreased by a third less.</w:t>
      </w:r>
      <w:r>
        <w:rPr>
          <w:spacing w:val="-6"/>
        </w:rPr>
        <w:t> </w:t>
      </w:r>
      <w:r>
        <w:rPr/>
        <w:t>At</w:t>
      </w:r>
      <w:r>
        <w:rPr>
          <w:spacing w:val="-7"/>
        </w:rPr>
        <w:t> </w:t>
      </w:r>
      <w:r>
        <w:rPr/>
        <w:t>the</w:t>
      </w:r>
      <w:r>
        <w:rPr>
          <w:spacing w:val="-8"/>
        </w:rPr>
        <w:t> </w:t>
      </w:r>
      <w:r>
        <w:rPr/>
        <w:t>same</w:t>
      </w:r>
      <w:r>
        <w:rPr>
          <w:spacing w:val="-7"/>
        </w:rPr>
        <w:t> </w:t>
      </w:r>
      <w:r>
        <w:rPr/>
        <w:t>time,</w:t>
      </w:r>
      <w:r>
        <w:rPr>
          <w:spacing w:val="-5"/>
        </w:rPr>
        <w:t> </w:t>
      </w:r>
      <w:r>
        <w:rPr/>
        <w:t>the</w:t>
      </w:r>
      <w:r>
        <w:rPr>
          <w:spacing w:val="-8"/>
        </w:rPr>
        <w:t> </w:t>
      </w:r>
      <w:r>
        <w:rPr/>
        <w:t>heart</w:t>
      </w:r>
      <w:r>
        <w:rPr>
          <w:spacing w:val="-9"/>
        </w:rPr>
        <w:t> </w:t>
      </w:r>
      <w:r>
        <w:rPr/>
        <w:t>damage</w:t>
      </w:r>
      <w:r>
        <w:rPr>
          <w:spacing w:val="-6"/>
        </w:rPr>
        <w:t> </w:t>
      </w:r>
      <w:r>
        <w:rPr/>
        <w:t>(adriamyacin),</w:t>
      </w:r>
      <w:r>
        <w:rPr>
          <w:spacing w:val="-6"/>
        </w:rPr>
        <w:t> </w:t>
      </w:r>
      <w:r>
        <w:rPr/>
        <w:t>kidney</w:t>
      </w:r>
      <w:r>
        <w:rPr>
          <w:spacing w:val="-5"/>
        </w:rPr>
        <w:t> </w:t>
      </w:r>
      <w:r>
        <w:rPr/>
        <w:t>damage</w:t>
      </w:r>
      <w:r>
        <w:rPr>
          <w:spacing w:val="-7"/>
        </w:rPr>
        <w:t> </w:t>
      </w:r>
      <w:r>
        <w:rPr/>
        <w:t>(cispla- tin)</w:t>
      </w:r>
      <w:r>
        <w:rPr>
          <w:spacing w:val="-9"/>
        </w:rPr>
        <w:t> </w:t>
      </w:r>
      <w:r>
        <w:rPr/>
        <w:t>and</w:t>
      </w:r>
      <w:r>
        <w:rPr>
          <w:spacing w:val="-9"/>
        </w:rPr>
        <w:t> </w:t>
      </w:r>
      <w:r>
        <w:rPr/>
        <w:t>phlebitis</w:t>
      </w:r>
      <w:r>
        <w:rPr>
          <w:spacing w:val="-9"/>
        </w:rPr>
        <w:t> </w:t>
      </w:r>
      <w:r>
        <w:rPr/>
        <w:t>caused</w:t>
      </w:r>
      <w:r>
        <w:rPr>
          <w:spacing w:val="-9"/>
        </w:rPr>
        <w:t> </w:t>
      </w:r>
      <w:r>
        <w:rPr/>
        <w:t>by</w:t>
      </w:r>
      <w:r>
        <w:rPr>
          <w:spacing w:val="-11"/>
        </w:rPr>
        <w:t> </w:t>
      </w:r>
      <w:r>
        <w:rPr/>
        <w:t>chemotherapy</w:t>
      </w:r>
      <w:r>
        <w:rPr>
          <w:spacing w:val="-9"/>
        </w:rPr>
        <w:t> </w:t>
      </w:r>
      <w:r>
        <w:rPr/>
        <w:t>was</w:t>
      </w:r>
      <w:r>
        <w:rPr>
          <w:spacing w:val="-11"/>
        </w:rPr>
        <w:t> </w:t>
      </w:r>
      <w:r>
        <w:rPr/>
        <w:t>able</w:t>
      </w:r>
      <w:r>
        <w:rPr>
          <w:spacing w:val="-10"/>
        </w:rPr>
        <w:t> </w:t>
      </w:r>
      <w:r>
        <w:rPr/>
        <w:t>to</w:t>
      </w:r>
      <w:r>
        <w:rPr>
          <w:spacing w:val="-8"/>
        </w:rPr>
        <w:t> </w:t>
      </w:r>
      <w:r>
        <w:rPr/>
        <w:t>be</w:t>
      </w:r>
      <w:r>
        <w:rPr>
          <w:spacing w:val="-11"/>
        </w:rPr>
        <w:t> </w:t>
      </w:r>
      <w:r>
        <w:rPr/>
        <w:t>reduced</w:t>
      </w:r>
      <w:r>
        <w:rPr>
          <w:spacing w:val="-9"/>
        </w:rPr>
        <w:t> </w:t>
      </w:r>
      <w:r>
        <w:rPr/>
        <w:t>or</w:t>
      </w:r>
      <w:r>
        <w:rPr>
          <w:spacing w:val="-10"/>
        </w:rPr>
        <w:t> </w:t>
      </w:r>
      <w:r>
        <w:rPr/>
        <w:t>even</w:t>
      </w:r>
      <w:r>
        <w:rPr>
          <w:spacing w:val="-11"/>
        </w:rPr>
        <w:t> </w:t>
      </w:r>
      <w:r>
        <w:rPr/>
        <w:t>pre- vented.</w:t>
      </w:r>
    </w:p>
    <w:p>
      <w:pPr>
        <w:pStyle w:val="Heading1"/>
        <w:spacing w:before="225"/>
        <w:ind w:left="616"/>
        <w:rPr>
          <w:b w:val="0"/>
          <w:i w:val="0"/>
          <w:sz w:val="25"/>
        </w:rPr>
      </w:pPr>
      <w:r>
        <w:rPr/>
        <w:t>Selenium during radiation therapy</w:t>
      </w:r>
      <w:r>
        <w:rPr>
          <w:b w:val="0"/>
          <w:i w:val="0"/>
          <w:position w:val="9"/>
          <w:sz w:val="25"/>
        </w:rPr>
        <w:t>832</w:t>
      </w:r>
    </w:p>
    <w:p>
      <w:pPr>
        <w:pStyle w:val="BodyText"/>
        <w:spacing w:line="276" w:lineRule="auto" w:before="297"/>
        <w:ind w:left="616" w:right="139"/>
        <w:jc w:val="both"/>
      </w:pPr>
      <w:r>
        <w:rPr/>
        <w:t>Selenium enhances the desired effects of radiation therapy. It has been shown in studies that selenium makes the cancer cells more sensitive to the radiation and increases their 'suicide rate'.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6"/>
        </w:rPr>
      </w:pPr>
      <w:r>
        <w:rPr/>
        <w:pict>
          <v:line style="position:absolute;mso-position-horizontal-relative:page;mso-position-vertical-relative:paragraph;z-index:11312;mso-wrap-distance-left:0;mso-wrap-distance-right:0" from="70.823997pt,11.633735pt" to="214.843997pt,11.633735pt" stroked="true" strokeweight=".72003pt" strokecolor="#000000">
            <v:stroke dashstyle="solid"/>
            <w10:wrap type="topAndBottom"/>
          </v:line>
        </w:pict>
      </w:r>
    </w:p>
    <w:p>
      <w:pPr>
        <w:pStyle w:val="BodyText"/>
        <w:spacing w:before="7"/>
        <w:rPr>
          <w:sz w:val="18"/>
        </w:rPr>
      </w:pPr>
    </w:p>
    <w:p>
      <w:pPr>
        <w:spacing w:line="276" w:lineRule="auto" w:before="99"/>
        <w:ind w:left="616" w:right="0" w:firstLine="0"/>
        <w:jc w:val="left"/>
        <w:rPr>
          <w:sz w:val="20"/>
        </w:rPr>
      </w:pPr>
      <w:r>
        <w:rPr>
          <w:position w:val="5"/>
          <w:sz w:val="13"/>
        </w:rPr>
        <w:t>832 </w:t>
      </w:r>
      <w:r>
        <w:rPr>
          <w:sz w:val="20"/>
        </w:rPr>
        <w:t>Prof. Dr. Josef Beuth and Dr. Verena Drebing: Selen gegen Krebs – Unterstützung in der Tumorprävention und –therapie ('Selenium against Cancer – Support in the Prevention and Treatment of Cancer'), TRIAS-Verlag 2006, p. 70</w:t>
      </w:r>
    </w:p>
    <w:p>
      <w:pPr>
        <w:spacing w:after="0" w:line="276" w:lineRule="auto"/>
        <w:jc w:val="left"/>
        <w:rPr>
          <w:sz w:val="20"/>
        </w:rPr>
        <w:sectPr>
          <w:footerReference w:type="default" r:id="rId349"/>
          <w:pgSz w:w="14270" w:h="16850"/>
          <w:pgMar w:footer="404" w:header="0" w:top="1320" w:bottom="600" w:left="800" w:right="1280"/>
          <w:pgNumType w:start="1441"/>
        </w:sectPr>
      </w:pPr>
    </w:p>
    <w:p>
      <w:pPr>
        <w:pStyle w:val="Heading1"/>
        <w:spacing w:before="77"/>
        <w:ind w:left="616"/>
      </w:pPr>
      <w:r>
        <w:rPr/>
        <w:t>Selenium decreases the undesired side effects of radiation therapy</w:t>
      </w:r>
    </w:p>
    <w:p>
      <w:pPr>
        <w:pStyle w:val="BodyText"/>
        <w:spacing w:line="276" w:lineRule="auto" w:before="297"/>
        <w:ind w:left="616" w:right="133"/>
        <w:jc w:val="both"/>
      </w:pPr>
      <w:r>
        <w:rPr/>
        <w:t>As already mentioned, studies have been able to show that selenium protects healthy cells from the damage of radiation during radiotherapy, while the can- cer</w:t>
      </w:r>
      <w:r>
        <w:rPr>
          <w:spacing w:val="-6"/>
        </w:rPr>
        <w:t> </w:t>
      </w:r>
      <w:r>
        <w:rPr/>
        <w:t>cells</w:t>
      </w:r>
      <w:r>
        <w:rPr>
          <w:spacing w:val="-5"/>
        </w:rPr>
        <w:t> </w:t>
      </w:r>
      <w:r>
        <w:rPr/>
        <w:t>receive</w:t>
      </w:r>
      <w:r>
        <w:rPr>
          <w:spacing w:val="-9"/>
        </w:rPr>
        <w:t> </w:t>
      </w:r>
      <w:r>
        <w:rPr/>
        <w:t>no</w:t>
      </w:r>
      <w:r>
        <w:rPr>
          <w:spacing w:val="-5"/>
        </w:rPr>
        <w:t> </w:t>
      </w:r>
      <w:r>
        <w:rPr/>
        <w:t>benefit</w:t>
      </w:r>
      <w:r>
        <w:rPr>
          <w:spacing w:val="-7"/>
        </w:rPr>
        <w:t> </w:t>
      </w:r>
      <w:r>
        <w:rPr/>
        <w:t>from</w:t>
      </w:r>
      <w:r>
        <w:rPr>
          <w:spacing w:val="-9"/>
        </w:rPr>
        <w:t> </w:t>
      </w:r>
      <w:r>
        <w:rPr/>
        <w:t>this</w:t>
      </w:r>
      <w:r>
        <w:rPr>
          <w:spacing w:val="-5"/>
        </w:rPr>
        <w:t> </w:t>
      </w:r>
      <w:r>
        <w:rPr/>
        <w:t>protection.</w:t>
      </w:r>
      <w:r>
        <w:rPr>
          <w:spacing w:val="-8"/>
        </w:rPr>
        <w:t> </w:t>
      </w:r>
      <w:r>
        <w:rPr/>
        <w:t>Selenium</w:t>
      </w:r>
      <w:r>
        <w:rPr>
          <w:spacing w:val="-6"/>
        </w:rPr>
        <w:t> </w:t>
      </w:r>
      <w:r>
        <w:rPr/>
        <w:t>thus</w:t>
      </w:r>
      <w:r>
        <w:rPr>
          <w:spacing w:val="-5"/>
        </w:rPr>
        <w:t> </w:t>
      </w:r>
      <w:r>
        <w:rPr/>
        <w:t>does</w:t>
      </w:r>
      <w:r>
        <w:rPr>
          <w:spacing w:val="-6"/>
        </w:rPr>
        <w:t> </w:t>
      </w:r>
      <w:r>
        <w:rPr/>
        <w:t>not</w:t>
      </w:r>
      <w:r>
        <w:rPr>
          <w:spacing w:val="-6"/>
        </w:rPr>
        <w:t> </w:t>
      </w:r>
      <w:r>
        <w:rPr/>
        <w:t>nega- tively</w:t>
      </w:r>
      <w:r>
        <w:rPr>
          <w:spacing w:val="-5"/>
        </w:rPr>
        <w:t> </w:t>
      </w:r>
      <w:r>
        <w:rPr/>
        <w:t>influence</w:t>
      </w:r>
      <w:r>
        <w:rPr>
          <w:spacing w:val="-5"/>
        </w:rPr>
        <w:t> </w:t>
      </w:r>
      <w:r>
        <w:rPr/>
        <w:t>radiation</w:t>
      </w:r>
      <w:r>
        <w:rPr>
          <w:spacing w:val="-5"/>
        </w:rPr>
        <w:t> </w:t>
      </w:r>
      <w:r>
        <w:rPr/>
        <w:t>therapy</w:t>
      </w:r>
      <w:r>
        <w:rPr>
          <w:spacing w:val="-10"/>
        </w:rPr>
        <w:t> </w:t>
      </w:r>
      <w:r>
        <w:rPr/>
        <w:t>in</w:t>
      </w:r>
      <w:r>
        <w:rPr>
          <w:spacing w:val="-5"/>
        </w:rPr>
        <w:t> </w:t>
      </w:r>
      <w:r>
        <w:rPr/>
        <w:t>any</w:t>
      </w:r>
      <w:r>
        <w:rPr>
          <w:spacing w:val="-8"/>
        </w:rPr>
        <w:t> </w:t>
      </w:r>
      <w:r>
        <w:rPr/>
        <w:t>way,</w:t>
      </w:r>
      <w:r>
        <w:rPr>
          <w:spacing w:val="-5"/>
        </w:rPr>
        <w:t> </w:t>
      </w:r>
      <w:r>
        <w:rPr/>
        <w:t>but</w:t>
      </w:r>
      <w:r>
        <w:rPr>
          <w:spacing w:val="-9"/>
        </w:rPr>
        <w:t> </w:t>
      </w:r>
      <w:r>
        <w:rPr/>
        <w:t>does</w:t>
      </w:r>
      <w:r>
        <w:rPr>
          <w:spacing w:val="-5"/>
        </w:rPr>
        <w:t> </w:t>
      </w:r>
      <w:r>
        <w:rPr/>
        <w:t>protect</w:t>
      </w:r>
      <w:r>
        <w:rPr>
          <w:spacing w:val="-5"/>
        </w:rPr>
        <w:t> </w:t>
      </w:r>
      <w:r>
        <w:rPr/>
        <w:t>the</w:t>
      </w:r>
      <w:r>
        <w:rPr>
          <w:spacing w:val="-7"/>
        </w:rPr>
        <w:t> </w:t>
      </w:r>
      <w:r>
        <w:rPr/>
        <w:t>healthy</w:t>
      </w:r>
      <w:r>
        <w:rPr>
          <w:spacing w:val="-8"/>
        </w:rPr>
        <w:t> </w:t>
      </w:r>
      <w:r>
        <w:rPr/>
        <w:t>cells from</w:t>
      </w:r>
      <w:r>
        <w:rPr>
          <w:spacing w:val="-19"/>
        </w:rPr>
        <w:t> </w:t>
      </w:r>
      <w:r>
        <w:rPr/>
        <w:t>the</w:t>
      </w:r>
      <w:r>
        <w:rPr>
          <w:spacing w:val="-18"/>
        </w:rPr>
        <w:t> </w:t>
      </w:r>
      <w:r>
        <w:rPr/>
        <w:t>dreaded</w:t>
      </w:r>
      <w:r>
        <w:rPr>
          <w:spacing w:val="-19"/>
        </w:rPr>
        <w:t> </w:t>
      </w:r>
      <w:r>
        <w:rPr/>
        <w:t>side</w:t>
      </w:r>
      <w:r>
        <w:rPr>
          <w:spacing w:val="-18"/>
        </w:rPr>
        <w:t> </w:t>
      </w:r>
      <w:r>
        <w:rPr/>
        <w:t>effects.</w:t>
      </w:r>
      <w:r>
        <w:rPr>
          <w:spacing w:val="-18"/>
        </w:rPr>
        <w:t> </w:t>
      </w:r>
      <w:r>
        <w:rPr/>
        <w:t>In</w:t>
      </w:r>
      <w:r>
        <w:rPr>
          <w:spacing w:val="-18"/>
        </w:rPr>
        <w:t> </w:t>
      </w:r>
      <w:r>
        <w:rPr/>
        <w:t>addition,</w:t>
      </w:r>
      <w:r>
        <w:rPr>
          <w:spacing w:val="-18"/>
        </w:rPr>
        <w:t> </w:t>
      </w:r>
      <w:r>
        <w:rPr/>
        <w:t>it</w:t>
      </w:r>
      <w:r>
        <w:rPr>
          <w:spacing w:val="-20"/>
        </w:rPr>
        <w:t> </w:t>
      </w:r>
      <w:r>
        <w:rPr/>
        <w:t>also</w:t>
      </w:r>
      <w:r>
        <w:rPr>
          <w:spacing w:val="-18"/>
        </w:rPr>
        <w:t> </w:t>
      </w:r>
      <w:r>
        <w:rPr/>
        <w:t>protects</w:t>
      </w:r>
      <w:r>
        <w:rPr>
          <w:spacing w:val="-18"/>
        </w:rPr>
        <w:t> </w:t>
      </w:r>
      <w:r>
        <w:rPr/>
        <w:t>against</w:t>
      </w:r>
      <w:r>
        <w:rPr>
          <w:spacing w:val="-19"/>
        </w:rPr>
        <w:t> </w:t>
      </w:r>
      <w:r>
        <w:rPr/>
        <w:t>the</w:t>
      </w:r>
      <w:r>
        <w:rPr>
          <w:spacing w:val="-18"/>
        </w:rPr>
        <w:t> </w:t>
      </w:r>
      <w:r>
        <w:rPr/>
        <w:t>undesired negative effects on the immune system and spares the immune cells a third of the</w:t>
      </w:r>
      <w:r>
        <w:rPr>
          <w:spacing w:val="1"/>
        </w:rPr>
        <w:t> </w:t>
      </w:r>
      <w:r>
        <w:rPr/>
        <w:t>damage.</w:t>
      </w:r>
    </w:p>
    <w:p>
      <w:pPr>
        <w:pStyle w:val="Heading1"/>
        <w:spacing w:line="261" w:lineRule="auto" w:before="223"/>
        <w:ind w:left="616" w:right="139"/>
        <w:jc w:val="both"/>
      </w:pPr>
      <w:r>
        <w:rPr/>
        <w:t>Selenium</w:t>
      </w:r>
      <w:r>
        <w:rPr>
          <w:spacing w:val="-45"/>
        </w:rPr>
        <w:t> </w:t>
      </w:r>
      <w:r>
        <w:rPr/>
        <w:t>facilitates</w:t>
      </w:r>
      <w:r>
        <w:rPr>
          <w:spacing w:val="-43"/>
        </w:rPr>
        <w:t> </w:t>
      </w:r>
      <w:r>
        <w:rPr/>
        <w:t>quicker</w:t>
      </w:r>
      <w:r>
        <w:rPr>
          <w:spacing w:val="-44"/>
        </w:rPr>
        <w:t> </w:t>
      </w:r>
      <w:r>
        <w:rPr/>
        <w:t>stabilisation</w:t>
      </w:r>
      <w:r>
        <w:rPr>
          <w:spacing w:val="-44"/>
        </w:rPr>
        <w:t> </w:t>
      </w:r>
      <w:r>
        <w:rPr/>
        <w:t>of</w:t>
      </w:r>
      <w:r>
        <w:rPr>
          <w:spacing w:val="-44"/>
        </w:rPr>
        <w:t> </w:t>
      </w:r>
      <w:r>
        <w:rPr/>
        <w:t>brain</w:t>
      </w:r>
      <w:r>
        <w:rPr>
          <w:spacing w:val="-44"/>
        </w:rPr>
        <w:t> </w:t>
      </w:r>
      <w:r>
        <w:rPr/>
        <w:t>function</w:t>
      </w:r>
      <w:r>
        <w:rPr>
          <w:spacing w:val="-43"/>
        </w:rPr>
        <w:t> </w:t>
      </w:r>
      <w:r>
        <w:rPr/>
        <w:t>after</w:t>
      </w:r>
      <w:r>
        <w:rPr>
          <w:spacing w:val="-44"/>
        </w:rPr>
        <w:t> </w:t>
      </w:r>
      <w:r>
        <w:rPr/>
        <w:t>stroke and heart</w:t>
      </w:r>
      <w:r>
        <w:rPr>
          <w:spacing w:val="-14"/>
        </w:rPr>
        <w:t> </w:t>
      </w:r>
      <w:r>
        <w:rPr/>
        <w:t>attack</w:t>
      </w:r>
    </w:p>
    <w:p>
      <w:pPr>
        <w:pStyle w:val="BodyText"/>
        <w:spacing w:line="276" w:lineRule="auto" w:before="261"/>
        <w:ind w:left="616" w:right="128"/>
        <w:jc w:val="both"/>
        <w:rPr>
          <w:sz w:val="25"/>
        </w:rPr>
      </w:pPr>
      <w:r>
        <w:rPr/>
        <w:t>Research led by Dr. Johann Reisinger has also shown that the administration of selenium after circulation disruptions caused by heart attack or stroke ef- fected a faster stabilisation of brain function.</w:t>
      </w:r>
      <w:r>
        <w:rPr>
          <w:position w:val="9"/>
          <w:sz w:val="25"/>
        </w:rPr>
        <w:t>833</w:t>
      </w:r>
    </w:p>
    <w:p>
      <w:pPr>
        <w:pStyle w:val="Heading1"/>
        <w:spacing w:line="261" w:lineRule="auto"/>
        <w:ind w:left="616" w:right="140"/>
        <w:jc w:val="both"/>
      </w:pPr>
      <w:r>
        <w:rPr/>
        <w:t>30</w:t>
      </w:r>
      <w:r>
        <w:rPr>
          <w:spacing w:val="-61"/>
        </w:rPr>
        <w:t> </w:t>
      </w:r>
      <w:r>
        <w:rPr/>
        <w:t>studies</w:t>
      </w:r>
      <w:r>
        <w:rPr>
          <w:spacing w:val="-59"/>
        </w:rPr>
        <w:t> </w:t>
      </w:r>
      <w:r>
        <w:rPr/>
        <w:t>demonstrate</w:t>
      </w:r>
      <w:r>
        <w:rPr>
          <w:spacing w:val="-60"/>
        </w:rPr>
        <w:t> </w:t>
      </w:r>
      <w:r>
        <w:rPr/>
        <w:t>the</w:t>
      </w:r>
      <w:r>
        <w:rPr>
          <w:spacing w:val="-60"/>
        </w:rPr>
        <w:t> </w:t>
      </w:r>
      <w:r>
        <w:rPr/>
        <w:t>importance</w:t>
      </w:r>
      <w:r>
        <w:rPr>
          <w:spacing w:val="-59"/>
        </w:rPr>
        <w:t> </w:t>
      </w:r>
      <w:r>
        <w:rPr/>
        <w:t>of</w:t>
      </w:r>
      <w:r>
        <w:rPr>
          <w:spacing w:val="-60"/>
        </w:rPr>
        <w:t> </w:t>
      </w:r>
      <w:r>
        <w:rPr/>
        <w:t>selenium</w:t>
      </w:r>
      <w:r>
        <w:rPr>
          <w:spacing w:val="-60"/>
        </w:rPr>
        <w:t> </w:t>
      </w:r>
      <w:r>
        <w:rPr/>
        <w:t>in</w:t>
      </w:r>
      <w:r>
        <w:rPr>
          <w:spacing w:val="-61"/>
        </w:rPr>
        <w:t> </w:t>
      </w:r>
      <w:r>
        <w:rPr/>
        <w:t>the</w:t>
      </w:r>
      <w:r>
        <w:rPr>
          <w:spacing w:val="-59"/>
        </w:rPr>
        <w:t> </w:t>
      </w:r>
      <w:r>
        <w:rPr/>
        <w:t>prevention</w:t>
      </w:r>
      <w:r>
        <w:rPr>
          <w:spacing w:val="-60"/>
        </w:rPr>
        <w:t> </w:t>
      </w:r>
      <w:r>
        <w:rPr/>
        <w:t>of heart disease</w:t>
      </w:r>
    </w:p>
    <w:p>
      <w:pPr>
        <w:pStyle w:val="BodyText"/>
        <w:spacing w:line="276" w:lineRule="auto" w:before="258"/>
        <w:ind w:left="616" w:right="139"/>
        <w:jc w:val="both"/>
      </w:pPr>
      <w:r>
        <w:rPr/>
        <w:t>As already mentioned, in a meta-analysis summarising 30 empirical studies, an inversely proportional relationship between the selenium level of the subjects and the risk of contracting cardiovascular disease was shown.</w:t>
      </w:r>
    </w:p>
    <w:p>
      <w:pPr>
        <w:pStyle w:val="BodyText"/>
        <w:rPr>
          <w:sz w:val="20"/>
        </w:rPr>
      </w:pPr>
    </w:p>
    <w:p>
      <w:pPr>
        <w:pStyle w:val="BodyText"/>
        <w:spacing w:before="4"/>
        <w:rPr>
          <w:sz w:val="27"/>
        </w:rPr>
      </w:pPr>
      <w:r>
        <w:rPr/>
        <w:pict>
          <v:line style="position:absolute;mso-position-horizontal-relative:page;mso-position-vertical-relative:paragraph;z-index:11336;mso-wrap-distance-left:0;mso-wrap-distance-right:0" from="70.823997pt,17.783766pt" to="214.843997pt,17.783766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833 </w:t>
      </w:r>
      <w:r>
        <w:rPr>
          <w:sz w:val="20"/>
        </w:rPr>
        <w:t>Linz 2009</w:t>
      </w:r>
    </w:p>
    <w:p>
      <w:pPr>
        <w:spacing w:after="0"/>
        <w:jc w:val="left"/>
        <w:rPr>
          <w:sz w:val="20"/>
        </w:rPr>
        <w:sectPr>
          <w:pgSz w:w="14270" w:h="16850"/>
          <w:pgMar w:header="0" w:footer="404" w:top="1320" w:bottom="2080" w:left="800" w:right="1280"/>
        </w:sectPr>
      </w:pPr>
    </w:p>
    <w:p>
      <w:pPr>
        <w:pStyle w:val="Heading2"/>
        <w:spacing w:before="74"/>
        <w:ind w:left="616"/>
      </w:pPr>
      <w:r>
        <w:rPr/>
        <w:t>Selenium incidence</w:t>
      </w:r>
    </w:p>
    <w:p>
      <w:pPr>
        <w:pStyle w:val="BodyText"/>
        <w:spacing w:before="305"/>
        <w:ind w:left="616"/>
      </w:pPr>
      <w:r>
        <w:rPr/>
        <w:t>Selenium is present in the following foods:</w:t>
      </w:r>
    </w:p>
    <w:p>
      <w:pPr>
        <w:pStyle w:val="ListParagraph"/>
        <w:numPr>
          <w:ilvl w:val="0"/>
          <w:numId w:val="81"/>
        </w:numPr>
        <w:tabs>
          <w:tab w:pos="1336" w:val="left" w:leader="none"/>
          <w:tab w:pos="1337" w:val="left" w:leader="none"/>
        </w:tabs>
        <w:spacing w:line="240" w:lineRule="auto" w:before="261" w:after="0"/>
        <w:ind w:left="1336" w:right="0" w:hanging="720"/>
        <w:jc w:val="left"/>
        <w:rPr>
          <w:rFonts w:ascii="Symbol"/>
          <w:sz w:val="20"/>
        </w:rPr>
      </w:pPr>
      <w:r>
        <w:rPr>
          <w:sz w:val="38"/>
        </w:rPr>
        <w:t>Fish</w:t>
      </w:r>
    </w:p>
    <w:p>
      <w:pPr>
        <w:pStyle w:val="ListParagraph"/>
        <w:numPr>
          <w:ilvl w:val="0"/>
          <w:numId w:val="81"/>
        </w:numPr>
        <w:tabs>
          <w:tab w:pos="1336" w:val="left" w:leader="none"/>
          <w:tab w:pos="1337" w:val="left" w:leader="none"/>
        </w:tabs>
        <w:spacing w:line="240" w:lineRule="auto" w:before="185" w:after="0"/>
        <w:ind w:left="1336" w:right="0" w:hanging="720"/>
        <w:jc w:val="left"/>
        <w:rPr>
          <w:rFonts w:ascii="Symbol"/>
          <w:sz w:val="20"/>
        </w:rPr>
      </w:pPr>
      <w:r>
        <w:rPr>
          <w:sz w:val="38"/>
        </w:rPr>
        <w:t>Meat (pork,</w:t>
      </w:r>
      <w:r>
        <w:rPr>
          <w:spacing w:val="-1"/>
          <w:sz w:val="38"/>
        </w:rPr>
        <w:t> </w:t>
      </w:r>
      <w:r>
        <w:rPr>
          <w:sz w:val="38"/>
        </w:rPr>
        <w:t>innards)</w:t>
      </w:r>
    </w:p>
    <w:p>
      <w:pPr>
        <w:pStyle w:val="ListParagraph"/>
        <w:numPr>
          <w:ilvl w:val="0"/>
          <w:numId w:val="81"/>
        </w:numPr>
        <w:tabs>
          <w:tab w:pos="1336" w:val="left" w:leader="none"/>
          <w:tab w:pos="1337" w:val="left" w:leader="none"/>
        </w:tabs>
        <w:spacing w:line="240" w:lineRule="auto" w:before="184" w:after="0"/>
        <w:ind w:left="1336" w:right="0" w:hanging="720"/>
        <w:jc w:val="left"/>
        <w:rPr>
          <w:rFonts w:ascii="Symbol"/>
          <w:sz w:val="20"/>
        </w:rPr>
      </w:pPr>
      <w:r>
        <w:rPr>
          <w:sz w:val="38"/>
        </w:rPr>
        <w:t>Liver</w:t>
      </w:r>
    </w:p>
    <w:p>
      <w:pPr>
        <w:pStyle w:val="ListParagraph"/>
        <w:numPr>
          <w:ilvl w:val="0"/>
          <w:numId w:val="81"/>
        </w:numPr>
        <w:tabs>
          <w:tab w:pos="1336" w:val="left" w:leader="none"/>
          <w:tab w:pos="1337" w:val="left" w:leader="none"/>
        </w:tabs>
        <w:spacing w:line="240" w:lineRule="auto" w:before="185" w:after="0"/>
        <w:ind w:left="1336" w:right="0" w:hanging="720"/>
        <w:jc w:val="left"/>
        <w:rPr>
          <w:rFonts w:ascii="Symbol"/>
          <w:sz w:val="20"/>
        </w:rPr>
      </w:pPr>
      <w:r>
        <w:rPr>
          <w:sz w:val="38"/>
        </w:rPr>
        <w:t>Milk</w:t>
      </w:r>
    </w:p>
    <w:p>
      <w:pPr>
        <w:pStyle w:val="ListParagraph"/>
        <w:numPr>
          <w:ilvl w:val="0"/>
          <w:numId w:val="81"/>
        </w:numPr>
        <w:tabs>
          <w:tab w:pos="1336" w:val="left" w:leader="none"/>
          <w:tab w:pos="1337" w:val="left" w:leader="none"/>
        </w:tabs>
        <w:spacing w:line="240" w:lineRule="auto" w:before="185" w:after="0"/>
        <w:ind w:left="1336" w:right="0" w:hanging="720"/>
        <w:jc w:val="left"/>
        <w:rPr>
          <w:rFonts w:ascii="Symbol"/>
          <w:sz w:val="20"/>
        </w:rPr>
      </w:pPr>
      <w:r>
        <w:rPr>
          <w:sz w:val="38"/>
        </w:rPr>
        <w:t>Vegetables</w:t>
      </w:r>
    </w:p>
    <w:p>
      <w:pPr>
        <w:pStyle w:val="ListParagraph"/>
        <w:numPr>
          <w:ilvl w:val="0"/>
          <w:numId w:val="81"/>
        </w:numPr>
        <w:tabs>
          <w:tab w:pos="1336" w:val="left" w:leader="none"/>
          <w:tab w:pos="1337" w:val="left" w:leader="none"/>
        </w:tabs>
        <w:spacing w:line="240" w:lineRule="auto" w:before="184" w:after="0"/>
        <w:ind w:left="1336" w:right="0" w:hanging="720"/>
        <w:jc w:val="left"/>
        <w:rPr>
          <w:rFonts w:ascii="Symbol"/>
          <w:sz w:val="20"/>
        </w:rPr>
      </w:pPr>
      <w:r>
        <w:rPr>
          <w:sz w:val="38"/>
        </w:rPr>
        <w:t>Nuts</w:t>
      </w:r>
    </w:p>
    <w:p>
      <w:pPr>
        <w:pStyle w:val="ListParagraph"/>
        <w:numPr>
          <w:ilvl w:val="0"/>
          <w:numId w:val="81"/>
        </w:numPr>
        <w:tabs>
          <w:tab w:pos="1336" w:val="left" w:leader="none"/>
          <w:tab w:pos="1337" w:val="left" w:leader="none"/>
        </w:tabs>
        <w:spacing w:line="240" w:lineRule="auto" w:before="185" w:after="0"/>
        <w:ind w:left="1336" w:right="0" w:hanging="720"/>
        <w:jc w:val="left"/>
        <w:rPr>
          <w:rFonts w:ascii="Symbol"/>
          <w:sz w:val="20"/>
        </w:rPr>
      </w:pPr>
      <w:r>
        <w:rPr>
          <w:sz w:val="38"/>
        </w:rPr>
        <w:t>Grains</w:t>
      </w:r>
    </w:p>
    <w:p>
      <w:pPr>
        <w:pStyle w:val="ListParagraph"/>
        <w:numPr>
          <w:ilvl w:val="0"/>
          <w:numId w:val="81"/>
        </w:numPr>
        <w:tabs>
          <w:tab w:pos="1336" w:val="left" w:leader="none"/>
          <w:tab w:pos="1337" w:val="left" w:leader="none"/>
        </w:tabs>
        <w:spacing w:line="240" w:lineRule="auto" w:before="182" w:after="0"/>
        <w:ind w:left="1336" w:right="0" w:hanging="720"/>
        <w:jc w:val="left"/>
        <w:rPr>
          <w:rFonts w:ascii="Symbol"/>
          <w:sz w:val="20"/>
        </w:rPr>
      </w:pPr>
      <w:r>
        <w:rPr>
          <w:sz w:val="38"/>
        </w:rPr>
        <w:t>Sesame</w:t>
      </w:r>
    </w:p>
    <w:p>
      <w:pPr>
        <w:pStyle w:val="ListParagraph"/>
        <w:numPr>
          <w:ilvl w:val="0"/>
          <w:numId w:val="81"/>
        </w:numPr>
        <w:tabs>
          <w:tab w:pos="1336" w:val="left" w:leader="none"/>
          <w:tab w:pos="1337" w:val="left" w:leader="none"/>
        </w:tabs>
        <w:spacing w:line="240" w:lineRule="auto" w:before="304" w:after="0"/>
        <w:ind w:left="1336" w:right="0" w:hanging="720"/>
        <w:jc w:val="left"/>
        <w:rPr>
          <w:rFonts w:ascii="Symbol"/>
          <w:sz w:val="20"/>
        </w:rPr>
      </w:pPr>
      <w:r>
        <w:rPr>
          <w:sz w:val="38"/>
        </w:rPr>
        <w:t>Porcini mushrooms</w:t>
      </w:r>
    </w:p>
    <w:p>
      <w:pPr>
        <w:spacing w:after="0" w:line="240" w:lineRule="auto"/>
        <w:jc w:val="left"/>
        <w:rPr>
          <w:rFonts w:ascii="Symbol"/>
          <w:sz w:val="20"/>
        </w:rPr>
        <w:sectPr>
          <w:pgSz w:w="14270" w:h="16850"/>
          <w:pgMar w:header="0" w:footer="404" w:top="1340" w:bottom="2080" w:left="800" w:right="1280"/>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19"/>
        <w:gridCol w:w="2897"/>
      </w:tblGrid>
      <w:tr>
        <w:trPr>
          <w:trHeight w:val="2647" w:hRule="atLeast"/>
        </w:trPr>
        <w:tc>
          <w:tcPr>
            <w:tcW w:w="6116" w:type="dxa"/>
            <w:gridSpan w:val="2"/>
            <w:shd w:val="clear" w:color="auto" w:fill="8DB3E1"/>
          </w:tcPr>
          <w:p>
            <w:pPr>
              <w:pStyle w:val="TableParagraph"/>
              <w:spacing w:line="276" w:lineRule="auto" w:before="234"/>
              <w:ind w:left="121" w:right="114"/>
              <w:jc w:val="center"/>
              <w:rPr>
                <w:b/>
                <w:sz w:val="25"/>
              </w:rPr>
            </w:pPr>
            <w:r>
              <w:rPr>
                <w:b/>
                <w:sz w:val="38"/>
              </w:rPr>
              <w:t>SELENIUM PRESENCE IN FOODS</w:t>
            </w:r>
            <w:r>
              <w:rPr>
                <w:b/>
                <w:position w:val="9"/>
                <w:sz w:val="25"/>
              </w:rPr>
              <w:t>834</w:t>
            </w:r>
          </w:p>
          <w:p>
            <w:pPr>
              <w:pStyle w:val="TableParagraph"/>
              <w:spacing w:line="276" w:lineRule="auto" w:before="241"/>
              <w:ind w:left="125" w:right="114"/>
              <w:jc w:val="center"/>
              <w:rPr>
                <w:sz w:val="38"/>
              </w:rPr>
            </w:pPr>
            <w:r>
              <w:rPr>
                <w:sz w:val="38"/>
              </w:rPr>
              <w:t>(per 100 g of food in micrograms of se- lenium)</w:t>
            </w:r>
          </w:p>
        </w:tc>
      </w:tr>
      <w:tr>
        <w:trPr>
          <w:trHeight w:val="813" w:hRule="atLeast"/>
        </w:trPr>
        <w:tc>
          <w:tcPr>
            <w:tcW w:w="6116" w:type="dxa"/>
            <w:gridSpan w:val="2"/>
          </w:tcPr>
          <w:p>
            <w:pPr>
              <w:pStyle w:val="TableParagraph"/>
              <w:spacing w:before="96"/>
              <w:ind w:left="1094"/>
              <w:rPr>
                <w:b/>
                <w:i/>
                <w:sz w:val="40"/>
              </w:rPr>
            </w:pPr>
            <w:r>
              <w:rPr>
                <w:b/>
                <w:i/>
                <w:sz w:val="40"/>
              </w:rPr>
              <w:t>Meat and meat</w:t>
            </w:r>
            <w:r>
              <w:rPr>
                <w:b/>
                <w:i/>
                <w:spacing w:val="-57"/>
                <w:sz w:val="40"/>
              </w:rPr>
              <w:t> </w:t>
            </w:r>
            <w:r>
              <w:rPr>
                <w:b/>
                <w:i/>
                <w:sz w:val="40"/>
              </w:rPr>
              <w:t>products</w:t>
            </w:r>
          </w:p>
        </w:tc>
      </w:tr>
      <w:tr>
        <w:trPr>
          <w:trHeight w:val="811" w:hRule="atLeast"/>
        </w:trPr>
        <w:tc>
          <w:tcPr>
            <w:tcW w:w="3219" w:type="dxa"/>
          </w:tcPr>
          <w:p>
            <w:pPr>
              <w:pStyle w:val="TableParagraph"/>
              <w:spacing w:before="114"/>
              <w:ind w:left="203" w:right="190"/>
              <w:jc w:val="center"/>
              <w:rPr>
                <w:sz w:val="38"/>
              </w:rPr>
            </w:pPr>
            <w:r>
              <w:rPr>
                <w:sz w:val="38"/>
              </w:rPr>
              <w:t>Beef liver</w:t>
            </w:r>
          </w:p>
        </w:tc>
        <w:tc>
          <w:tcPr>
            <w:tcW w:w="2897" w:type="dxa"/>
          </w:tcPr>
          <w:p>
            <w:pPr>
              <w:pStyle w:val="TableParagraph"/>
              <w:spacing w:before="114"/>
              <w:ind w:left="1207" w:right="1199"/>
              <w:jc w:val="center"/>
              <w:rPr>
                <w:sz w:val="38"/>
              </w:rPr>
            </w:pPr>
            <w:r>
              <w:rPr>
                <w:sz w:val="38"/>
              </w:rPr>
              <w:t>0.4</w:t>
            </w:r>
          </w:p>
        </w:tc>
      </w:tr>
      <w:tr>
        <w:trPr>
          <w:trHeight w:val="810" w:hRule="atLeast"/>
        </w:trPr>
        <w:tc>
          <w:tcPr>
            <w:tcW w:w="3219" w:type="dxa"/>
          </w:tcPr>
          <w:p>
            <w:pPr>
              <w:pStyle w:val="TableParagraph"/>
              <w:spacing w:before="114"/>
              <w:ind w:left="203" w:right="193"/>
              <w:jc w:val="center"/>
              <w:rPr>
                <w:sz w:val="38"/>
              </w:rPr>
            </w:pPr>
            <w:r>
              <w:rPr>
                <w:sz w:val="38"/>
              </w:rPr>
              <w:t>Pork liver</w:t>
            </w:r>
          </w:p>
        </w:tc>
        <w:tc>
          <w:tcPr>
            <w:tcW w:w="2897" w:type="dxa"/>
          </w:tcPr>
          <w:p>
            <w:pPr>
              <w:pStyle w:val="TableParagraph"/>
              <w:spacing w:before="114"/>
              <w:ind w:left="1207" w:right="1199"/>
              <w:jc w:val="center"/>
              <w:rPr>
                <w:sz w:val="38"/>
              </w:rPr>
            </w:pPr>
            <w:r>
              <w:rPr>
                <w:sz w:val="38"/>
              </w:rPr>
              <w:t>0.6</w:t>
            </w:r>
          </w:p>
        </w:tc>
      </w:tr>
      <w:tr>
        <w:trPr>
          <w:trHeight w:val="813" w:hRule="atLeast"/>
        </w:trPr>
        <w:tc>
          <w:tcPr>
            <w:tcW w:w="3219" w:type="dxa"/>
          </w:tcPr>
          <w:p>
            <w:pPr>
              <w:pStyle w:val="TableParagraph"/>
              <w:spacing w:before="114"/>
              <w:ind w:left="203" w:right="194"/>
              <w:jc w:val="center"/>
              <w:rPr>
                <w:sz w:val="38"/>
              </w:rPr>
            </w:pPr>
            <w:r>
              <w:rPr>
                <w:sz w:val="38"/>
              </w:rPr>
              <w:t>Beef kidneys</w:t>
            </w:r>
          </w:p>
        </w:tc>
        <w:tc>
          <w:tcPr>
            <w:tcW w:w="2897" w:type="dxa"/>
          </w:tcPr>
          <w:p>
            <w:pPr>
              <w:pStyle w:val="TableParagraph"/>
              <w:spacing w:before="114"/>
              <w:ind w:left="1207" w:right="1199"/>
              <w:jc w:val="center"/>
              <w:rPr>
                <w:sz w:val="38"/>
              </w:rPr>
            </w:pPr>
            <w:r>
              <w:rPr>
                <w:sz w:val="38"/>
              </w:rPr>
              <w:t>1.4</w:t>
            </w:r>
          </w:p>
        </w:tc>
      </w:tr>
      <w:tr>
        <w:trPr>
          <w:trHeight w:val="810" w:hRule="atLeast"/>
        </w:trPr>
        <w:tc>
          <w:tcPr>
            <w:tcW w:w="3219" w:type="dxa"/>
          </w:tcPr>
          <w:p>
            <w:pPr>
              <w:pStyle w:val="TableParagraph"/>
              <w:spacing w:before="114"/>
              <w:ind w:left="203" w:right="192"/>
              <w:jc w:val="center"/>
              <w:rPr>
                <w:sz w:val="38"/>
              </w:rPr>
            </w:pPr>
            <w:r>
              <w:rPr>
                <w:sz w:val="38"/>
              </w:rPr>
              <w:t>Veal kidneys</w:t>
            </w:r>
          </w:p>
        </w:tc>
        <w:tc>
          <w:tcPr>
            <w:tcW w:w="2897" w:type="dxa"/>
          </w:tcPr>
          <w:p>
            <w:pPr>
              <w:pStyle w:val="TableParagraph"/>
              <w:spacing w:before="114"/>
              <w:ind w:left="1207" w:right="1199"/>
              <w:jc w:val="center"/>
              <w:rPr>
                <w:sz w:val="38"/>
              </w:rPr>
            </w:pPr>
            <w:r>
              <w:rPr>
                <w:sz w:val="38"/>
              </w:rPr>
              <w:t>2.1</w:t>
            </w:r>
          </w:p>
        </w:tc>
      </w:tr>
      <w:tr>
        <w:trPr>
          <w:trHeight w:val="811" w:hRule="atLeast"/>
        </w:trPr>
        <w:tc>
          <w:tcPr>
            <w:tcW w:w="3219" w:type="dxa"/>
          </w:tcPr>
          <w:p>
            <w:pPr>
              <w:pStyle w:val="TableParagraph"/>
              <w:spacing w:before="114"/>
              <w:ind w:left="203" w:right="193"/>
              <w:jc w:val="center"/>
              <w:rPr>
                <w:sz w:val="38"/>
              </w:rPr>
            </w:pPr>
            <w:r>
              <w:rPr>
                <w:sz w:val="38"/>
              </w:rPr>
              <w:t>Beef steak</w:t>
            </w:r>
          </w:p>
        </w:tc>
        <w:tc>
          <w:tcPr>
            <w:tcW w:w="2897" w:type="dxa"/>
          </w:tcPr>
          <w:p>
            <w:pPr>
              <w:pStyle w:val="TableParagraph"/>
              <w:spacing w:before="114"/>
              <w:ind w:left="1207" w:right="1199"/>
              <w:jc w:val="center"/>
              <w:rPr>
                <w:sz w:val="38"/>
              </w:rPr>
            </w:pPr>
            <w:r>
              <w:rPr>
                <w:sz w:val="38"/>
              </w:rPr>
              <w:t>0.2</w:t>
            </w:r>
          </w:p>
        </w:tc>
      </w:tr>
      <w:tr>
        <w:trPr>
          <w:trHeight w:val="813" w:hRule="atLeast"/>
        </w:trPr>
        <w:tc>
          <w:tcPr>
            <w:tcW w:w="6116" w:type="dxa"/>
            <w:gridSpan w:val="2"/>
          </w:tcPr>
          <w:p>
            <w:pPr>
              <w:pStyle w:val="TableParagraph"/>
              <w:spacing w:before="99"/>
              <w:ind w:left="123" w:right="114"/>
              <w:jc w:val="center"/>
              <w:rPr>
                <w:b/>
                <w:i/>
                <w:sz w:val="40"/>
              </w:rPr>
            </w:pPr>
            <w:r>
              <w:rPr>
                <w:b/>
                <w:i/>
                <w:sz w:val="40"/>
              </w:rPr>
              <w:t>Seafood</w:t>
            </w:r>
          </w:p>
        </w:tc>
      </w:tr>
      <w:tr>
        <w:trPr>
          <w:trHeight w:val="810" w:hRule="atLeast"/>
        </w:trPr>
        <w:tc>
          <w:tcPr>
            <w:tcW w:w="3219" w:type="dxa"/>
          </w:tcPr>
          <w:p>
            <w:pPr>
              <w:pStyle w:val="TableParagraph"/>
              <w:spacing w:before="114"/>
              <w:ind w:left="203" w:right="195"/>
              <w:jc w:val="center"/>
              <w:rPr>
                <w:sz w:val="38"/>
              </w:rPr>
            </w:pPr>
            <w:r>
              <w:rPr>
                <w:sz w:val="38"/>
              </w:rPr>
              <w:t>Tuna</w:t>
            </w:r>
          </w:p>
        </w:tc>
        <w:tc>
          <w:tcPr>
            <w:tcW w:w="2897" w:type="dxa"/>
          </w:tcPr>
          <w:p>
            <w:pPr>
              <w:pStyle w:val="TableParagraph"/>
              <w:spacing w:before="114"/>
              <w:ind w:left="1207" w:right="1199"/>
              <w:jc w:val="center"/>
              <w:rPr>
                <w:sz w:val="38"/>
              </w:rPr>
            </w:pPr>
            <w:r>
              <w:rPr>
                <w:sz w:val="38"/>
              </w:rPr>
              <w:t>0.6</w:t>
            </w:r>
          </w:p>
        </w:tc>
      </w:tr>
      <w:tr>
        <w:trPr>
          <w:trHeight w:val="810" w:hRule="atLeast"/>
        </w:trPr>
        <w:tc>
          <w:tcPr>
            <w:tcW w:w="3219" w:type="dxa"/>
          </w:tcPr>
          <w:p>
            <w:pPr>
              <w:pStyle w:val="TableParagraph"/>
              <w:spacing w:before="114"/>
              <w:ind w:left="203" w:right="193"/>
              <w:jc w:val="center"/>
              <w:rPr>
                <w:sz w:val="38"/>
              </w:rPr>
            </w:pPr>
            <w:r>
              <w:rPr>
                <w:sz w:val="38"/>
              </w:rPr>
              <w:t>Salmon</w:t>
            </w:r>
          </w:p>
        </w:tc>
        <w:tc>
          <w:tcPr>
            <w:tcW w:w="2897" w:type="dxa"/>
          </w:tcPr>
          <w:p>
            <w:pPr>
              <w:pStyle w:val="TableParagraph"/>
              <w:spacing w:before="114"/>
              <w:ind w:left="1207" w:right="1199"/>
              <w:jc w:val="center"/>
              <w:rPr>
                <w:sz w:val="38"/>
              </w:rPr>
            </w:pPr>
            <w:r>
              <w:rPr>
                <w:sz w:val="38"/>
              </w:rPr>
              <w:t>0.4</w:t>
            </w:r>
          </w:p>
        </w:tc>
      </w:tr>
      <w:tr>
        <w:trPr>
          <w:trHeight w:val="813" w:hRule="atLeast"/>
        </w:trPr>
        <w:tc>
          <w:tcPr>
            <w:tcW w:w="3219" w:type="dxa"/>
          </w:tcPr>
          <w:p>
            <w:pPr>
              <w:pStyle w:val="TableParagraph"/>
              <w:spacing w:before="116"/>
              <w:ind w:left="203" w:right="193"/>
              <w:jc w:val="center"/>
              <w:rPr>
                <w:sz w:val="38"/>
              </w:rPr>
            </w:pPr>
            <w:r>
              <w:rPr>
                <w:sz w:val="38"/>
              </w:rPr>
              <w:t>Cod</w:t>
            </w:r>
          </w:p>
        </w:tc>
        <w:tc>
          <w:tcPr>
            <w:tcW w:w="2897" w:type="dxa"/>
          </w:tcPr>
          <w:p>
            <w:pPr>
              <w:pStyle w:val="TableParagraph"/>
              <w:spacing w:before="116"/>
              <w:ind w:left="1207" w:right="1199"/>
              <w:jc w:val="center"/>
              <w:rPr>
                <w:sz w:val="38"/>
              </w:rPr>
            </w:pPr>
            <w:r>
              <w:rPr>
                <w:sz w:val="38"/>
              </w:rPr>
              <w:t>0.3</w:t>
            </w:r>
          </w:p>
        </w:tc>
      </w:tr>
    </w:tbl>
    <w:p>
      <w:pPr>
        <w:pStyle w:val="BodyText"/>
        <w:rPr>
          <w:sz w:val="20"/>
        </w:rPr>
      </w:pPr>
    </w:p>
    <w:p>
      <w:pPr>
        <w:pStyle w:val="BodyText"/>
        <w:rPr>
          <w:sz w:val="20"/>
        </w:rPr>
      </w:pPr>
    </w:p>
    <w:p>
      <w:pPr>
        <w:pStyle w:val="BodyText"/>
        <w:rPr>
          <w:sz w:val="20"/>
        </w:rPr>
      </w:pPr>
    </w:p>
    <w:p>
      <w:pPr>
        <w:pStyle w:val="BodyText"/>
        <w:spacing w:before="1"/>
        <w:rPr>
          <w:sz w:val="14"/>
        </w:rPr>
      </w:pPr>
      <w:r>
        <w:rPr/>
        <w:pict>
          <v:line style="position:absolute;mso-position-horizontal-relative:page;mso-position-vertical-relative:paragraph;z-index:11360;mso-wrap-distance-left:0;mso-wrap-distance-right:0" from="70.823997pt,10.289985pt" to="214.843997pt,10.289985pt" stroked="true" strokeweight=".72003pt" strokecolor="#000000">
            <v:stroke dashstyle="solid"/>
            <w10:wrap type="topAndBottom"/>
          </v:line>
        </w:pict>
      </w:r>
    </w:p>
    <w:p>
      <w:pPr>
        <w:pStyle w:val="BodyText"/>
        <w:spacing w:before="7"/>
        <w:rPr>
          <w:sz w:val="18"/>
        </w:rPr>
      </w:pPr>
    </w:p>
    <w:p>
      <w:pPr>
        <w:spacing w:line="276" w:lineRule="auto" w:before="99"/>
        <w:ind w:left="616" w:right="0" w:firstLine="0"/>
        <w:jc w:val="left"/>
        <w:rPr>
          <w:sz w:val="20"/>
        </w:rPr>
      </w:pPr>
      <w:r>
        <w:rPr>
          <w:position w:val="5"/>
          <w:sz w:val="13"/>
        </w:rPr>
        <w:t>834 </w:t>
      </w:r>
      <w:r>
        <w:rPr>
          <w:sz w:val="20"/>
        </w:rPr>
        <w:t>Hademar Bankhofer: BIO-SELEN, natürlicher Schutz für unser Immunsystem ('BIO-SELENIUM, Natural Defence for Our Immune System'), 5th Edition, July 1998, p. 69</w:t>
      </w:r>
    </w:p>
    <w:p>
      <w:pPr>
        <w:spacing w:after="0" w:line="276" w:lineRule="auto"/>
        <w:jc w:val="left"/>
        <w:rPr>
          <w:sz w:val="20"/>
        </w:rPr>
        <w:sectPr>
          <w:pgSz w:w="14270" w:h="16850"/>
          <w:pgMar w:header="0" w:footer="404" w:top="1420" w:bottom="2080" w:left="800" w:right="1280"/>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19"/>
        <w:gridCol w:w="2897"/>
      </w:tblGrid>
      <w:tr>
        <w:trPr>
          <w:trHeight w:val="813" w:hRule="atLeast"/>
        </w:trPr>
        <w:tc>
          <w:tcPr>
            <w:tcW w:w="3219" w:type="dxa"/>
          </w:tcPr>
          <w:p>
            <w:pPr>
              <w:pStyle w:val="TableParagraph"/>
              <w:spacing w:before="116"/>
              <w:ind w:left="203" w:right="192"/>
              <w:jc w:val="center"/>
              <w:rPr>
                <w:sz w:val="38"/>
              </w:rPr>
            </w:pPr>
            <w:r>
              <w:rPr>
                <w:sz w:val="38"/>
              </w:rPr>
              <w:t>Lobster</w:t>
            </w:r>
          </w:p>
        </w:tc>
        <w:tc>
          <w:tcPr>
            <w:tcW w:w="2897" w:type="dxa"/>
          </w:tcPr>
          <w:p>
            <w:pPr>
              <w:pStyle w:val="TableParagraph"/>
              <w:spacing w:before="116"/>
              <w:ind w:left="1207" w:right="1199"/>
              <w:jc w:val="center"/>
              <w:rPr>
                <w:sz w:val="38"/>
              </w:rPr>
            </w:pPr>
            <w:r>
              <w:rPr>
                <w:sz w:val="38"/>
              </w:rPr>
              <w:t>0.6</w:t>
            </w:r>
          </w:p>
        </w:tc>
      </w:tr>
      <w:tr>
        <w:trPr>
          <w:trHeight w:val="810" w:hRule="atLeast"/>
        </w:trPr>
        <w:tc>
          <w:tcPr>
            <w:tcW w:w="3219" w:type="dxa"/>
          </w:tcPr>
          <w:p>
            <w:pPr>
              <w:pStyle w:val="TableParagraph"/>
              <w:spacing w:before="114"/>
              <w:ind w:left="203" w:right="191"/>
              <w:jc w:val="center"/>
              <w:rPr>
                <w:sz w:val="38"/>
              </w:rPr>
            </w:pPr>
            <w:r>
              <w:rPr>
                <w:sz w:val="38"/>
              </w:rPr>
              <w:t>Oysters, shrimp</w:t>
            </w:r>
          </w:p>
        </w:tc>
        <w:tc>
          <w:tcPr>
            <w:tcW w:w="2897" w:type="dxa"/>
          </w:tcPr>
          <w:p>
            <w:pPr>
              <w:pStyle w:val="TableParagraph"/>
              <w:spacing w:before="114"/>
              <w:ind w:left="1207" w:right="1199"/>
              <w:jc w:val="center"/>
              <w:rPr>
                <w:sz w:val="38"/>
              </w:rPr>
            </w:pPr>
            <w:r>
              <w:rPr>
                <w:sz w:val="38"/>
              </w:rPr>
              <w:t>0.7</w:t>
            </w:r>
          </w:p>
        </w:tc>
      </w:tr>
      <w:tr>
        <w:trPr>
          <w:trHeight w:val="810" w:hRule="atLeast"/>
        </w:trPr>
        <w:tc>
          <w:tcPr>
            <w:tcW w:w="3219" w:type="dxa"/>
          </w:tcPr>
          <w:p>
            <w:pPr>
              <w:pStyle w:val="TableParagraph"/>
              <w:spacing w:before="114"/>
              <w:ind w:left="203" w:right="190"/>
              <w:jc w:val="center"/>
              <w:rPr>
                <w:sz w:val="38"/>
              </w:rPr>
            </w:pPr>
            <w:r>
              <w:rPr>
                <w:sz w:val="38"/>
              </w:rPr>
              <w:t>Freshwater fish</w:t>
            </w:r>
          </w:p>
        </w:tc>
        <w:tc>
          <w:tcPr>
            <w:tcW w:w="2897" w:type="dxa"/>
          </w:tcPr>
          <w:p>
            <w:pPr>
              <w:pStyle w:val="TableParagraph"/>
              <w:spacing w:before="114"/>
              <w:ind w:left="1207" w:right="1199"/>
              <w:jc w:val="center"/>
              <w:rPr>
                <w:sz w:val="38"/>
              </w:rPr>
            </w:pPr>
            <w:r>
              <w:rPr>
                <w:sz w:val="38"/>
              </w:rPr>
              <w:t>1.3</w:t>
            </w:r>
          </w:p>
        </w:tc>
      </w:tr>
      <w:tr>
        <w:trPr>
          <w:trHeight w:val="813" w:hRule="atLeast"/>
        </w:trPr>
        <w:tc>
          <w:tcPr>
            <w:tcW w:w="3219" w:type="dxa"/>
          </w:tcPr>
          <w:p>
            <w:pPr>
              <w:pStyle w:val="TableParagraph"/>
              <w:spacing w:before="116"/>
              <w:ind w:left="203" w:right="194"/>
              <w:jc w:val="center"/>
              <w:rPr>
                <w:sz w:val="38"/>
              </w:rPr>
            </w:pPr>
            <w:r>
              <w:rPr>
                <w:sz w:val="38"/>
              </w:rPr>
              <w:t>Squid</w:t>
            </w:r>
          </w:p>
        </w:tc>
        <w:tc>
          <w:tcPr>
            <w:tcW w:w="2897" w:type="dxa"/>
          </w:tcPr>
          <w:p>
            <w:pPr>
              <w:pStyle w:val="TableParagraph"/>
              <w:spacing w:before="116"/>
              <w:ind w:left="6"/>
              <w:jc w:val="center"/>
              <w:rPr>
                <w:sz w:val="38"/>
              </w:rPr>
            </w:pPr>
            <w:r>
              <w:rPr>
                <w:w w:val="99"/>
                <w:sz w:val="38"/>
              </w:rPr>
              <w:t>3</w:t>
            </w:r>
          </w:p>
        </w:tc>
      </w:tr>
      <w:tr>
        <w:trPr>
          <w:trHeight w:val="811" w:hRule="atLeast"/>
        </w:trPr>
        <w:tc>
          <w:tcPr>
            <w:tcW w:w="6116" w:type="dxa"/>
            <w:gridSpan w:val="2"/>
          </w:tcPr>
          <w:p>
            <w:pPr>
              <w:pStyle w:val="TableParagraph"/>
              <w:spacing w:before="97"/>
              <w:ind w:left="121" w:right="114"/>
              <w:jc w:val="center"/>
              <w:rPr>
                <w:b/>
                <w:i/>
                <w:sz w:val="40"/>
              </w:rPr>
            </w:pPr>
            <w:r>
              <w:rPr>
                <w:b/>
                <w:i/>
                <w:sz w:val="40"/>
              </w:rPr>
              <w:t>Eggs</w:t>
            </w:r>
          </w:p>
        </w:tc>
      </w:tr>
      <w:tr>
        <w:trPr>
          <w:trHeight w:val="810" w:hRule="atLeast"/>
        </w:trPr>
        <w:tc>
          <w:tcPr>
            <w:tcW w:w="3219" w:type="dxa"/>
          </w:tcPr>
          <w:p>
            <w:pPr>
              <w:pStyle w:val="TableParagraph"/>
              <w:spacing w:before="114"/>
              <w:ind w:left="203" w:right="195"/>
              <w:jc w:val="center"/>
              <w:rPr>
                <w:sz w:val="38"/>
              </w:rPr>
            </w:pPr>
            <w:r>
              <w:rPr>
                <w:sz w:val="38"/>
              </w:rPr>
              <w:t>Chicken egg</w:t>
            </w:r>
          </w:p>
        </w:tc>
        <w:tc>
          <w:tcPr>
            <w:tcW w:w="2897" w:type="dxa"/>
          </w:tcPr>
          <w:p>
            <w:pPr>
              <w:pStyle w:val="TableParagraph"/>
              <w:spacing w:before="114"/>
              <w:ind w:left="1207" w:right="1199"/>
              <w:jc w:val="center"/>
              <w:rPr>
                <w:sz w:val="38"/>
              </w:rPr>
            </w:pPr>
            <w:r>
              <w:rPr>
                <w:sz w:val="38"/>
              </w:rPr>
              <w:t>0.2</w:t>
            </w:r>
          </w:p>
        </w:tc>
      </w:tr>
      <w:tr>
        <w:trPr>
          <w:trHeight w:val="813" w:hRule="atLeast"/>
        </w:trPr>
        <w:tc>
          <w:tcPr>
            <w:tcW w:w="6116" w:type="dxa"/>
            <w:gridSpan w:val="2"/>
          </w:tcPr>
          <w:p>
            <w:pPr>
              <w:pStyle w:val="TableParagraph"/>
              <w:spacing w:before="99"/>
              <w:ind w:left="120" w:right="114"/>
              <w:jc w:val="center"/>
              <w:rPr>
                <w:b/>
                <w:i/>
                <w:sz w:val="40"/>
              </w:rPr>
            </w:pPr>
            <w:r>
              <w:rPr>
                <w:b/>
                <w:i/>
                <w:sz w:val="40"/>
              </w:rPr>
              <w:t>Vegetables</w:t>
            </w:r>
          </w:p>
        </w:tc>
      </w:tr>
      <w:tr>
        <w:trPr>
          <w:trHeight w:val="810" w:hRule="atLeast"/>
        </w:trPr>
        <w:tc>
          <w:tcPr>
            <w:tcW w:w="3219" w:type="dxa"/>
          </w:tcPr>
          <w:p>
            <w:pPr>
              <w:pStyle w:val="TableParagraph"/>
              <w:spacing w:before="114"/>
              <w:ind w:left="203" w:right="195"/>
              <w:jc w:val="center"/>
              <w:rPr>
                <w:sz w:val="38"/>
              </w:rPr>
            </w:pPr>
            <w:r>
              <w:rPr>
                <w:sz w:val="38"/>
              </w:rPr>
              <w:t>Garlic</w:t>
            </w:r>
          </w:p>
        </w:tc>
        <w:tc>
          <w:tcPr>
            <w:tcW w:w="2897" w:type="dxa"/>
          </w:tcPr>
          <w:p>
            <w:pPr>
              <w:pStyle w:val="TableParagraph"/>
              <w:spacing w:before="114"/>
              <w:ind w:left="1207" w:right="1199"/>
              <w:jc w:val="center"/>
              <w:rPr>
                <w:sz w:val="38"/>
              </w:rPr>
            </w:pPr>
            <w:r>
              <w:rPr>
                <w:sz w:val="38"/>
              </w:rPr>
              <w:t>0.3</w:t>
            </w:r>
          </w:p>
        </w:tc>
      </w:tr>
      <w:tr>
        <w:trPr>
          <w:trHeight w:val="813" w:hRule="atLeast"/>
        </w:trPr>
        <w:tc>
          <w:tcPr>
            <w:tcW w:w="3219" w:type="dxa"/>
          </w:tcPr>
          <w:p>
            <w:pPr>
              <w:pStyle w:val="TableParagraph"/>
              <w:spacing w:before="114"/>
              <w:ind w:left="203" w:right="191"/>
              <w:jc w:val="center"/>
              <w:rPr>
                <w:sz w:val="38"/>
              </w:rPr>
            </w:pPr>
            <w:r>
              <w:rPr>
                <w:sz w:val="38"/>
              </w:rPr>
              <w:t>Asparagus</w:t>
            </w:r>
          </w:p>
        </w:tc>
        <w:tc>
          <w:tcPr>
            <w:tcW w:w="2897" w:type="dxa"/>
          </w:tcPr>
          <w:p>
            <w:pPr>
              <w:pStyle w:val="TableParagraph"/>
              <w:spacing w:before="114"/>
              <w:ind w:left="1205" w:right="1199"/>
              <w:jc w:val="center"/>
              <w:rPr>
                <w:sz w:val="38"/>
              </w:rPr>
            </w:pPr>
            <w:r>
              <w:rPr>
                <w:sz w:val="38"/>
              </w:rPr>
              <w:t>10</w:t>
            </w:r>
          </w:p>
        </w:tc>
      </w:tr>
      <w:tr>
        <w:trPr>
          <w:trHeight w:val="810" w:hRule="atLeast"/>
        </w:trPr>
        <w:tc>
          <w:tcPr>
            <w:tcW w:w="3219" w:type="dxa"/>
          </w:tcPr>
          <w:p>
            <w:pPr>
              <w:pStyle w:val="TableParagraph"/>
              <w:spacing w:before="114"/>
              <w:ind w:left="203" w:right="194"/>
              <w:jc w:val="center"/>
              <w:rPr>
                <w:sz w:val="38"/>
              </w:rPr>
            </w:pPr>
            <w:r>
              <w:rPr>
                <w:sz w:val="38"/>
              </w:rPr>
              <w:t>Pulses</w:t>
            </w:r>
          </w:p>
        </w:tc>
        <w:tc>
          <w:tcPr>
            <w:tcW w:w="2897" w:type="dxa"/>
          </w:tcPr>
          <w:p>
            <w:pPr>
              <w:pStyle w:val="TableParagraph"/>
              <w:spacing w:before="114"/>
              <w:ind w:left="1207" w:right="1199"/>
              <w:jc w:val="center"/>
              <w:rPr>
                <w:sz w:val="38"/>
              </w:rPr>
            </w:pPr>
            <w:r>
              <w:rPr>
                <w:sz w:val="38"/>
              </w:rPr>
              <w:t>1.2</w:t>
            </w:r>
          </w:p>
        </w:tc>
      </w:tr>
      <w:tr>
        <w:trPr>
          <w:trHeight w:val="810" w:hRule="atLeast"/>
        </w:trPr>
        <w:tc>
          <w:tcPr>
            <w:tcW w:w="3219" w:type="dxa"/>
          </w:tcPr>
          <w:p>
            <w:pPr>
              <w:pStyle w:val="TableParagraph"/>
              <w:spacing w:before="114"/>
              <w:ind w:left="202" w:right="195"/>
              <w:jc w:val="center"/>
              <w:rPr>
                <w:sz w:val="38"/>
              </w:rPr>
            </w:pPr>
            <w:r>
              <w:rPr>
                <w:sz w:val="38"/>
              </w:rPr>
              <w:t>Celery</w:t>
            </w:r>
          </w:p>
        </w:tc>
        <w:tc>
          <w:tcPr>
            <w:tcW w:w="2897" w:type="dxa"/>
          </w:tcPr>
          <w:p>
            <w:pPr>
              <w:pStyle w:val="TableParagraph"/>
              <w:spacing w:before="114"/>
              <w:ind w:left="1207" w:right="1199"/>
              <w:jc w:val="center"/>
              <w:rPr>
                <w:sz w:val="38"/>
              </w:rPr>
            </w:pPr>
            <w:r>
              <w:rPr>
                <w:sz w:val="38"/>
              </w:rPr>
              <w:t>1.4</w:t>
            </w:r>
          </w:p>
        </w:tc>
      </w:tr>
      <w:tr>
        <w:trPr>
          <w:trHeight w:val="813" w:hRule="atLeast"/>
        </w:trPr>
        <w:tc>
          <w:tcPr>
            <w:tcW w:w="3219" w:type="dxa"/>
          </w:tcPr>
          <w:p>
            <w:pPr>
              <w:pStyle w:val="TableParagraph"/>
              <w:spacing w:before="114"/>
              <w:ind w:left="203" w:right="191"/>
              <w:jc w:val="center"/>
              <w:rPr>
                <w:sz w:val="38"/>
              </w:rPr>
            </w:pPr>
            <w:r>
              <w:rPr>
                <w:sz w:val="38"/>
              </w:rPr>
              <w:t>Kohlrabi</w:t>
            </w:r>
          </w:p>
        </w:tc>
        <w:tc>
          <w:tcPr>
            <w:tcW w:w="2897" w:type="dxa"/>
          </w:tcPr>
          <w:p>
            <w:pPr>
              <w:pStyle w:val="TableParagraph"/>
              <w:spacing w:before="114"/>
              <w:ind w:left="1207" w:right="1199"/>
              <w:jc w:val="center"/>
              <w:rPr>
                <w:sz w:val="38"/>
              </w:rPr>
            </w:pPr>
            <w:r>
              <w:rPr>
                <w:sz w:val="38"/>
              </w:rPr>
              <w:t>1.6</w:t>
            </w:r>
          </w:p>
        </w:tc>
      </w:tr>
      <w:tr>
        <w:trPr>
          <w:trHeight w:val="810" w:hRule="atLeast"/>
        </w:trPr>
        <w:tc>
          <w:tcPr>
            <w:tcW w:w="6116" w:type="dxa"/>
            <w:gridSpan w:val="2"/>
          </w:tcPr>
          <w:p>
            <w:pPr>
              <w:pStyle w:val="TableParagraph"/>
              <w:spacing w:before="96"/>
              <w:ind w:left="124" w:right="114"/>
              <w:jc w:val="center"/>
              <w:rPr>
                <w:b/>
                <w:i/>
                <w:sz w:val="40"/>
              </w:rPr>
            </w:pPr>
            <w:r>
              <w:rPr>
                <w:b/>
                <w:i/>
                <w:sz w:val="40"/>
              </w:rPr>
              <w:t>Fungi</w:t>
            </w:r>
          </w:p>
        </w:tc>
      </w:tr>
      <w:tr>
        <w:trPr>
          <w:trHeight w:val="811" w:hRule="atLeast"/>
        </w:trPr>
        <w:tc>
          <w:tcPr>
            <w:tcW w:w="3219" w:type="dxa"/>
          </w:tcPr>
          <w:p>
            <w:pPr>
              <w:pStyle w:val="TableParagraph"/>
              <w:spacing w:before="114"/>
              <w:ind w:left="203" w:right="193"/>
              <w:jc w:val="center"/>
              <w:rPr>
                <w:sz w:val="38"/>
              </w:rPr>
            </w:pPr>
            <w:r>
              <w:rPr>
                <w:sz w:val="38"/>
              </w:rPr>
              <w:t>Mushrooms</w:t>
            </w:r>
          </w:p>
        </w:tc>
        <w:tc>
          <w:tcPr>
            <w:tcW w:w="2897" w:type="dxa"/>
          </w:tcPr>
          <w:p>
            <w:pPr>
              <w:pStyle w:val="TableParagraph"/>
              <w:spacing w:before="114"/>
              <w:ind w:left="1207" w:right="1199"/>
              <w:jc w:val="center"/>
              <w:rPr>
                <w:sz w:val="38"/>
              </w:rPr>
            </w:pPr>
            <w:r>
              <w:rPr>
                <w:sz w:val="38"/>
              </w:rPr>
              <w:t>0.2</w:t>
            </w:r>
          </w:p>
        </w:tc>
      </w:tr>
    </w:tbl>
    <w:p>
      <w:pPr>
        <w:spacing w:after="0"/>
        <w:jc w:val="center"/>
        <w:rPr>
          <w:sz w:val="38"/>
        </w:rPr>
        <w:sectPr>
          <w:pgSz w:w="14270" w:h="16850"/>
          <w:pgMar w:header="0" w:footer="404" w:top="1420" w:bottom="600" w:left="800" w:right="1280"/>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19"/>
        <w:gridCol w:w="2897"/>
      </w:tblGrid>
      <w:tr>
        <w:trPr>
          <w:trHeight w:val="813" w:hRule="atLeast"/>
        </w:trPr>
        <w:tc>
          <w:tcPr>
            <w:tcW w:w="6116" w:type="dxa"/>
            <w:gridSpan w:val="2"/>
          </w:tcPr>
          <w:p>
            <w:pPr>
              <w:pStyle w:val="TableParagraph"/>
              <w:spacing w:before="99"/>
              <w:ind w:left="1790"/>
              <w:rPr>
                <w:b/>
                <w:i/>
                <w:sz w:val="40"/>
              </w:rPr>
            </w:pPr>
            <w:r>
              <w:rPr>
                <w:b/>
                <w:i/>
                <w:sz w:val="40"/>
              </w:rPr>
              <w:t>Cereal products</w:t>
            </w:r>
          </w:p>
        </w:tc>
      </w:tr>
      <w:tr>
        <w:trPr>
          <w:trHeight w:val="1302" w:hRule="atLeast"/>
        </w:trPr>
        <w:tc>
          <w:tcPr>
            <w:tcW w:w="3219" w:type="dxa"/>
          </w:tcPr>
          <w:p>
            <w:pPr>
              <w:pStyle w:val="TableParagraph"/>
              <w:spacing w:line="278" w:lineRule="auto" w:before="111"/>
              <w:ind w:left="297" w:hanging="125"/>
              <w:rPr>
                <w:sz w:val="38"/>
              </w:rPr>
            </w:pPr>
            <w:r>
              <w:rPr>
                <w:sz w:val="38"/>
              </w:rPr>
              <w:t>Whole grains (from the United States)</w:t>
            </w:r>
          </w:p>
        </w:tc>
        <w:tc>
          <w:tcPr>
            <w:tcW w:w="2897" w:type="dxa"/>
          </w:tcPr>
          <w:p>
            <w:pPr>
              <w:pStyle w:val="TableParagraph"/>
              <w:spacing w:before="114"/>
              <w:ind w:left="1207" w:right="1199"/>
              <w:jc w:val="center"/>
              <w:rPr>
                <w:sz w:val="38"/>
              </w:rPr>
            </w:pPr>
            <w:r>
              <w:rPr>
                <w:sz w:val="38"/>
              </w:rPr>
              <w:t>1.2</w:t>
            </w:r>
          </w:p>
        </w:tc>
      </w:tr>
      <w:tr>
        <w:trPr>
          <w:trHeight w:val="810" w:hRule="atLeast"/>
        </w:trPr>
        <w:tc>
          <w:tcPr>
            <w:tcW w:w="3219" w:type="dxa"/>
          </w:tcPr>
          <w:p>
            <w:pPr>
              <w:pStyle w:val="TableParagraph"/>
              <w:spacing w:before="114"/>
              <w:ind w:left="203" w:right="191"/>
              <w:jc w:val="center"/>
              <w:rPr>
                <w:sz w:val="38"/>
              </w:rPr>
            </w:pPr>
            <w:r>
              <w:rPr>
                <w:sz w:val="38"/>
              </w:rPr>
              <w:t>Wheat germs</w:t>
            </w:r>
          </w:p>
        </w:tc>
        <w:tc>
          <w:tcPr>
            <w:tcW w:w="2897" w:type="dxa"/>
          </w:tcPr>
          <w:p>
            <w:pPr>
              <w:pStyle w:val="TableParagraph"/>
              <w:spacing w:before="114"/>
              <w:ind w:left="1207" w:right="1199"/>
              <w:jc w:val="center"/>
              <w:rPr>
                <w:sz w:val="38"/>
              </w:rPr>
            </w:pPr>
            <w:r>
              <w:rPr>
                <w:sz w:val="38"/>
              </w:rPr>
              <w:t>1.1</w:t>
            </w:r>
          </w:p>
        </w:tc>
      </w:tr>
      <w:tr>
        <w:trPr>
          <w:trHeight w:val="813" w:hRule="atLeast"/>
        </w:trPr>
        <w:tc>
          <w:tcPr>
            <w:tcW w:w="3219" w:type="dxa"/>
          </w:tcPr>
          <w:p>
            <w:pPr>
              <w:pStyle w:val="TableParagraph"/>
              <w:spacing w:before="114"/>
              <w:ind w:left="203" w:right="193"/>
              <w:jc w:val="center"/>
              <w:rPr>
                <w:sz w:val="38"/>
              </w:rPr>
            </w:pPr>
            <w:r>
              <w:rPr>
                <w:sz w:val="38"/>
              </w:rPr>
              <w:t>Whole grains</w:t>
            </w:r>
          </w:p>
        </w:tc>
        <w:tc>
          <w:tcPr>
            <w:tcW w:w="2897" w:type="dxa"/>
          </w:tcPr>
          <w:p>
            <w:pPr>
              <w:pStyle w:val="TableParagraph"/>
              <w:spacing w:before="114"/>
              <w:ind w:left="1207" w:right="1199"/>
              <w:jc w:val="center"/>
              <w:rPr>
                <w:sz w:val="38"/>
              </w:rPr>
            </w:pPr>
            <w:r>
              <w:rPr>
                <w:sz w:val="38"/>
              </w:rPr>
              <w:t>0.3</w:t>
            </w:r>
          </w:p>
        </w:tc>
      </w:tr>
      <w:tr>
        <w:trPr>
          <w:trHeight w:val="810" w:hRule="atLeast"/>
        </w:trPr>
        <w:tc>
          <w:tcPr>
            <w:tcW w:w="3219" w:type="dxa"/>
          </w:tcPr>
          <w:p>
            <w:pPr>
              <w:pStyle w:val="TableParagraph"/>
              <w:spacing w:before="114"/>
              <w:ind w:left="201" w:right="195"/>
              <w:jc w:val="center"/>
              <w:rPr>
                <w:sz w:val="38"/>
              </w:rPr>
            </w:pPr>
            <w:r>
              <w:rPr>
                <w:sz w:val="38"/>
              </w:rPr>
              <w:t>Whole grain bread</w:t>
            </w:r>
          </w:p>
        </w:tc>
        <w:tc>
          <w:tcPr>
            <w:tcW w:w="2897" w:type="dxa"/>
          </w:tcPr>
          <w:p>
            <w:pPr>
              <w:pStyle w:val="TableParagraph"/>
              <w:spacing w:before="114"/>
              <w:ind w:left="1207" w:right="1199"/>
              <w:jc w:val="center"/>
              <w:rPr>
                <w:sz w:val="38"/>
              </w:rPr>
            </w:pPr>
            <w:r>
              <w:rPr>
                <w:sz w:val="38"/>
              </w:rPr>
              <w:t>0.4</w:t>
            </w:r>
          </w:p>
        </w:tc>
      </w:tr>
      <w:tr>
        <w:trPr>
          <w:trHeight w:val="810" w:hRule="atLeast"/>
        </w:trPr>
        <w:tc>
          <w:tcPr>
            <w:tcW w:w="3219" w:type="dxa"/>
          </w:tcPr>
          <w:p>
            <w:pPr>
              <w:pStyle w:val="TableParagraph"/>
              <w:spacing w:before="114"/>
              <w:ind w:left="203" w:right="195"/>
              <w:jc w:val="center"/>
              <w:rPr>
                <w:sz w:val="38"/>
              </w:rPr>
            </w:pPr>
            <w:r>
              <w:rPr>
                <w:sz w:val="38"/>
              </w:rPr>
              <w:t>Whole grain barley</w:t>
            </w:r>
          </w:p>
        </w:tc>
        <w:tc>
          <w:tcPr>
            <w:tcW w:w="2897" w:type="dxa"/>
          </w:tcPr>
          <w:p>
            <w:pPr>
              <w:pStyle w:val="TableParagraph"/>
              <w:spacing w:before="114"/>
              <w:ind w:left="1207" w:right="1199"/>
              <w:jc w:val="center"/>
              <w:rPr>
                <w:sz w:val="38"/>
              </w:rPr>
            </w:pPr>
            <w:r>
              <w:rPr>
                <w:sz w:val="38"/>
              </w:rPr>
              <w:t>0.3</w:t>
            </w:r>
          </w:p>
        </w:tc>
      </w:tr>
      <w:tr>
        <w:trPr>
          <w:trHeight w:val="813" w:hRule="atLeast"/>
        </w:trPr>
        <w:tc>
          <w:tcPr>
            <w:tcW w:w="3219" w:type="dxa"/>
          </w:tcPr>
          <w:p>
            <w:pPr>
              <w:pStyle w:val="TableParagraph"/>
              <w:spacing w:before="114"/>
              <w:ind w:left="203" w:right="191"/>
              <w:jc w:val="center"/>
              <w:rPr>
                <w:sz w:val="38"/>
              </w:rPr>
            </w:pPr>
            <w:r>
              <w:rPr>
                <w:sz w:val="38"/>
              </w:rPr>
              <w:t>Whole grain rye</w:t>
            </w:r>
          </w:p>
        </w:tc>
        <w:tc>
          <w:tcPr>
            <w:tcW w:w="2897" w:type="dxa"/>
          </w:tcPr>
          <w:p>
            <w:pPr>
              <w:pStyle w:val="TableParagraph"/>
              <w:spacing w:before="114"/>
              <w:ind w:left="1207" w:right="1199"/>
              <w:jc w:val="center"/>
              <w:rPr>
                <w:sz w:val="38"/>
              </w:rPr>
            </w:pPr>
            <w:r>
              <w:rPr>
                <w:sz w:val="38"/>
              </w:rPr>
              <w:t>0.2</w:t>
            </w:r>
          </w:p>
        </w:tc>
      </w:tr>
      <w:tr>
        <w:trPr>
          <w:trHeight w:val="810" w:hRule="atLeast"/>
        </w:trPr>
        <w:tc>
          <w:tcPr>
            <w:tcW w:w="3219" w:type="dxa"/>
          </w:tcPr>
          <w:p>
            <w:pPr>
              <w:pStyle w:val="TableParagraph"/>
              <w:spacing w:before="114"/>
              <w:ind w:left="202" w:right="195"/>
              <w:jc w:val="center"/>
              <w:rPr>
                <w:sz w:val="38"/>
              </w:rPr>
            </w:pPr>
            <w:r>
              <w:rPr>
                <w:sz w:val="38"/>
              </w:rPr>
              <w:t>Whole grain oats</w:t>
            </w:r>
          </w:p>
        </w:tc>
        <w:tc>
          <w:tcPr>
            <w:tcW w:w="2897" w:type="dxa"/>
          </w:tcPr>
          <w:p>
            <w:pPr>
              <w:pStyle w:val="TableParagraph"/>
              <w:spacing w:before="114"/>
              <w:ind w:left="1207" w:right="1199"/>
              <w:jc w:val="center"/>
              <w:rPr>
                <w:sz w:val="38"/>
              </w:rPr>
            </w:pPr>
            <w:r>
              <w:rPr>
                <w:sz w:val="38"/>
              </w:rPr>
              <w:t>0.3</w:t>
            </w:r>
          </w:p>
        </w:tc>
      </w:tr>
      <w:tr>
        <w:trPr>
          <w:trHeight w:val="811" w:hRule="atLeast"/>
        </w:trPr>
        <w:tc>
          <w:tcPr>
            <w:tcW w:w="3219" w:type="dxa"/>
          </w:tcPr>
          <w:p>
            <w:pPr>
              <w:pStyle w:val="TableParagraph"/>
              <w:spacing w:before="114"/>
              <w:ind w:left="203" w:right="193"/>
              <w:jc w:val="center"/>
              <w:rPr>
                <w:sz w:val="38"/>
              </w:rPr>
            </w:pPr>
            <w:r>
              <w:rPr>
                <w:sz w:val="38"/>
              </w:rPr>
              <w:t>Maize</w:t>
            </w:r>
          </w:p>
        </w:tc>
        <w:tc>
          <w:tcPr>
            <w:tcW w:w="2897" w:type="dxa"/>
          </w:tcPr>
          <w:p>
            <w:pPr>
              <w:pStyle w:val="TableParagraph"/>
              <w:spacing w:before="114"/>
              <w:ind w:left="1207" w:right="1199"/>
              <w:jc w:val="center"/>
              <w:rPr>
                <w:sz w:val="38"/>
              </w:rPr>
            </w:pPr>
            <w:r>
              <w:rPr>
                <w:sz w:val="38"/>
              </w:rPr>
              <w:t>0.1</w:t>
            </w:r>
          </w:p>
        </w:tc>
      </w:tr>
      <w:tr>
        <w:trPr>
          <w:trHeight w:val="813" w:hRule="atLeast"/>
        </w:trPr>
        <w:tc>
          <w:tcPr>
            <w:tcW w:w="3219" w:type="dxa"/>
          </w:tcPr>
          <w:p>
            <w:pPr>
              <w:pStyle w:val="TableParagraph"/>
              <w:spacing w:before="116"/>
              <w:ind w:left="203" w:right="194"/>
              <w:jc w:val="center"/>
              <w:rPr>
                <w:sz w:val="38"/>
              </w:rPr>
            </w:pPr>
            <w:r>
              <w:rPr>
                <w:sz w:val="38"/>
              </w:rPr>
              <w:t>Brown rice</w:t>
            </w:r>
          </w:p>
        </w:tc>
        <w:tc>
          <w:tcPr>
            <w:tcW w:w="2897" w:type="dxa"/>
          </w:tcPr>
          <w:p>
            <w:pPr>
              <w:pStyle w:val="TableParagraph"/>
              <w:spacing w:before="116"/>
              <w:ind w:left="1207" w:right="1199"/>
              <w:jc w:val="center"/>
              <w:rPr>
                <w:sz w:val="38"/>
              </w:rPr>
            </w:pPr>
            <w:r>
              <w:rPr>
                <w:sz w:val="38"/>
              </w:rPr>
              <w:t>0.5</w:t>
            </w:r>
          </w:p>
        </w:tc>
      </w:tr>
    </w:tbl>
    <w:p>
      <w:pPr>
        <w:spacing w:after="0"/>
        <w:jc w:val="center"/>
        <w:rPr>
          <w:sz w:val="38"/>
        </w:rPr>
        <w:sectPr>
          <w:pgSz w:w="14270" w:h="16850"/>
          <w:pgMar w:header="0" w:footer="404" w:top="1420" w:bottom="600" w:left="800" w:right="1280"/>
        </w:sectPr>
      </w:pPr>
    </w:p>
    <w:p>
      <w:pPr>
        <w:pStyle w:val="Heading1"/>
        <w:spacing w:before="77"/>
        <w:ind w:left="616"/>
      </w:pPr>
      <w:r>
        <w:rPr/>
        <w:t>Bioavailability of selenium</w:t>
      </w:r>
    </w:p>
    <w:p>
      <w:pPr>
        <w:pStyle w:val="BodyText"/>
        <w:spacing w:line="276" w:lineRule="auto" w:before="299"/>
        <w:ind w:left="616" w:right="132"/>
        <w:jc w:val="both"/>
      </w:pPr>
      <w:r>
        <w:rPr/>
        <w:t>'Bioavailability' describes the ability of our bodies to absorb and utilise nutri- ents.</w:t>
      </w:r>
      <w:r>
        <w:rPr>
          <w:spacing w:val="-18"/>
        </w:rPr>
        <w:t> </w:t>
      </w:r>
      <w:r>
        <w:rPr/>
        <w:t>Here,</w:t>
      </w:r>
      <w:r>
        <w:rPr>
          <w:spacing w:val="-18"/>
        </w:rPr>
        <w:t> </w:t>
      </w:r>
      <w:r>
        <w:rPr/>
        <w:t>there</w:t>
      </w:r>
      <w:r>
        <w:rPr>
          <w:spacing w:val="-21"/>
        </w:rPr>
        <w:t> </w:t>
      </w:r>
      <w:r>
        <w:rPr/>
        <w:t>are</w:t>
      </w:r>
      <w:r>
        <w:rPr>
          <w:spacing w:val="-19"/>
        </w:rPr>
        <w:t> </w:t>
      </w:r>
      <w:r>
        <w:rPr/>
        <w:t>notable</w:t>
      </w:r>
      <w:r>
        <w:rPr>
          <w:spacing w:val="-18"/>
        </w:rPr>
        <w:t> </w:t>
      </w:r>
      <w:r>
        <w:rPr/>
        <w:t>differences</w:t>
      </w:r>
      <w:r>
        <w:rPr>
          <w:spacing w:val="-18"/>
        </w:rPr>
        <w:t> </w:t>
      </w:r>
      <w:r>
        <w:rPr/>
        <w:t>between</w:t>
      </w:r>
      <w:r>
        <w:rPr>
          <w:spacing w:val="-18"/>
        </w:rPr>
        <w:t> </w:t>
      </w:r>
      <w:r>
        <w:rPr/>
        <w:t>the</w:t>
      </w:r>
      <w:r>
        <w:rPr>
          <w:spacing w:val="-18"/>
        </w:rPr>
        <w:t> </w:t>
      </w:r>
      <w:r>
        <w:rPr/>
        <w:t>various</w:t>
      </w:r>
      <w:r>
        <w:rPr>
          <w:spacing w:val="-18"/>
        </w:rPr>
        <w:t> </w:t>
      </w:r>
      <w:r>
        <w:rPr/>
        <w:t>selenium</w:t>
      </w:r>
      <w:r>
        <w:rPr>
          <w:spacing w:val="-18"/>
        </w:rPr>
        <w:t> </w:t>
      </w:r>
      <w:r>
        <w:rPr/>
        <w:t>sources. While selenium from grains has a bioavailability of 90-100 %, the selenium from</w:t>
      </w:r>
      <w:r>
        <w:rPr>
          <w:spacing w:val="-7"/>
        </w:rPr>
        <w:t> </w:t>
      </w:r>
      <w:r>
        <w:rPr/>
        <w:t>tuna</w:t>
      </w:r>
      <w:r>
        <w:rPr>
          <w:spacing w:val="-7"/>
        </w:rPr>
        <w:t> </w:t>
      </w:r>
      <w:r>
        <w:rPr/>
        <w:t>fish,</w:t>
      </w:r>
      <w:r>
        <w:rPr>
          <w:spacing w:val="-6"/>
        </w:rPr>
        <w:t> </w:t>
      </w:r>
      <w:r>
        <w:rPr/>
        <w:t>for</w:t>
      </w:r>
      <w:r>
        <w:rPr>
          <w:spacing w:val="-4"/>
        </w:rPr>
        <w:t> </w:t>
      </w:r>
      <w:r>
        <w:rPr/>
        <w:t>example,</w:t>
      </w:r>
      <w:r>
        <w:rPr>
          <w:spacing w:val="-6"/>
        </w:rPr>
        <w:t> </w:t>
      </w:r>
      <w:r>
        <w:rPr/>
        <w:t>has</w:t>
      </w:r>
      <w:r>
        <w:rPr>
          <w:spacing w:val="-6"/>
        </w:rPr>
        <w:t> </w:t>
      </w:r>
      <w:r>
        <w:rPr/>
        <w:t>a</w:t>
      </w:r>
      <w:r>
        <w:rPr>
          <w:spacing w:val="-7"/>
        </w:rPr>
        <w:t> </w:t>
      </w:r>
      <w:r>
        <w:rPr/>
        <w:t>bioavailability</w:t>
      </w:r>
      <w:r>
        <w:rPr>
          <w:spacing w:val="-5"/>
        </w:rPr>
        <w:t> </w:t>
      </w:r>
      <w:r>
        <w:rPr/>
        <w:t>for</w:t>
      </w:r>
      <w:r>
        <w:rPr>
          <w:spacing w:val="-5"/>
        </w:rPr>
        <w:t> </w:t>
      </w:r>
      <w:r>
        <w:rPr/>
        <w:t>just</w:t>
      </w:r>
      <w:r>
        <w:rPr>
          <w:spacing w:val="-7"/>
        </w:rPr>
        <w:t> </w:t>
      </w:r>
      <w:r>
        <w:rPr/>
        <w:t>50</w:t>
      </w:r>
      <w:r>
        <w:rPr>
          <w:spacing w:val="-7"/>
        </w:rPr>
        <w:t> </w:t>
      </w:r>
      <w:r>
        <w:rPr/>
        <w:t>%.</w:t>
      </w:r>
      <w:r>
        <w:rPr>
          <w:spacing w:val="-6"/>
        </w:rPr>
        <w:t> </w:t>
      </w:r>
      <w:r>
        <w:rPr/>
        <w:t>The</w:t>
      </w:r>
      <w:r>
        <w:rPr>
          <w:spacing w:val="-6"/>
        </w:rPr>
        <w:t> </w:t>
      </w:r>
      <w:r>
        <w:rPr/>
        <w:t>simultane- ous intake of selenium with certain vitamins like vitamin E, C and A increases the bioavailability in the</w:t>
      </w:r>
      <w:r>
        <w:rPr>
          <w:spacing w:val="3"/>
        </w:rPr>
        <w:t> </w:t>
      </w:r>
      <w:r>
        <w:rPr/>
        <w:t>body.</w:t>
      </w:r>
    </w:p>
    <w:p>
      <w:pPr>
        <w:pStyle w:val="BodyText"/>
        <w:spacing w:before="241"/>
        <w:ind w:left="616"/>
      </w:pPr>
      <w:r>
        <w:rPr/>
        <w:t>Selenium requirements</w:t>
      </w:r>
    </w:p>
    <w:p>
      <w:pPr>
        <w:pStyle w:val="BodyText"/>
        <w:spacing w:line="276" w:lineRule="auto" w:before="302"/>
        <w:ind w:left="616" w:right="130"/>
        <w:jc w:val="both"/>
      </w:pPr>
      <w:r>
        <w:rPr/>
        <w:t>Across</w:t>
      </w:r>
      <w:r>
        <w:rPr>
          <w:spacing w:val="-9"/>
        </w:rPr>
        <w:t> </w:t>
      </w:r>
      <w:r>
        <w:rPr/>
        <w:t>the</w:t>
      </w:r>
      <w:r>
        <w:rPr>
          <w:spacing w:val="-11"/>
        </w:rPr>
        <w:t> </w:t>
      </w:r>
      <w:r>
        <w:rPr/>
        <w:t>world,</w:t>
      </w:r>
      <w:r>
        <w:rPr>
          <w:spacing w:val="-8"/>
        </w:rPr>
        <w:t> </w:t>
      </w:r>
      <w:r>
        <w:rPr/>
        <w:t>almost</w:t>
      </w:r>
      <w:r>
        <w:rPr>
          <w:spacing w:val="-10"/>
        </w:rPr>
        <w:t> </w:t>
      </w:r>
      <w:r>
        <w:rPr/>
        <w:t>nothing</w:t>
      </w:r>
      <w:r>
        <w:rPr>
          <w:spacing w:val="-8"/>
        </w:rPr>
        <w:t> </w:t>
      </w:r>
      <w:r>
        <w:rPr/>
        <w:t>else</w:t>
      </w:r>
      <w:r>
        <w:rPr>
          <w:spacing w:val="-8"/>
        </w:rPr>
        <w:t> </w:t>
      </w:r>
      <w:r>
        <w:rPr/>
        <w:t>is</w:t>
      </w:r>
      <w:r>
        <w:rPr>
          <w:spacing w:val="-11"/>
        </w:rPr>
        <w:t> </w:t>
      </w:r>
      <w:r>
        <w:rPr/>
        <w:t>as</w:t>
      </w:r>
      <w:r>
        <w:rPr>
          <w:spacing w:val="-10"/>
        </w:rPr>
        <w:t> </w:t>
      </w:r>
      <w:r>
        <w:rPr/>
        <w:t>differently</w:t>
      </w:r>
      <w:r>
        <w:rPr>
          <w:spacing w:val="-10"/>
        </w:rPr>
        <w:t> </w:t>
      </w:r>
      <w:r>
        <w:rPr/>
        <w:t>defined</w:t>
      </w:r>
      <w:r>
        <w:rPr>
          <w:spacing w:val="-8"/>
        </w:rPr>
        <w:t> </w:t>
      </w:r>
      <w:r>
        <w:rPr/>
        <w:t>from</w:t>
      </w:r>
      <w:r>
        <w:rPr>
          <w:spacing w:val="-10"/>
        </w:rPr>
        <w:t> </w:t>
      </w:r>
      <w:r>
        <w:rPr/>
        <w:t>country</w:t>
      </w:r>
      <w:r>
        <w:rPr>
          <w:spacing w:val="-8"/>
        </w:rPr>
        <w:t> </w:t>
      </w:r>
      <w:r>
        <w:rPr/>
        <w:t>to country by local health authorities as selenium requirements, which does not make it easy for individuals to make accurate estimates. While the German Nutritional Society recommends a daily selenium consumption of only 30-70 micrograms,</w:t>
      </w:r>
      <w:r>
        <w:rPr>
          <w:spacing w:val="-9"/>
        </w:rPr>
        <w:t> </w:t>
      </w:r>
      <w:r>
        <w:rPr/>
        <w:t>British</w:t>
      </w:r>
      <w:r>
        <w:rPr>
          <w:spacing w:val="-9"/>
        </w:rPr>
        <w:t> </w:t>
      </w:r>
      <w:r>
        <w:rPr/>
        <w:t>experts</w:t>
      </w:r>
      <w:r>
        <w:rPr>
          <w:spacing w:val="-10"/>
        </w:rPr>
        <w:t> </w:t>
      </w:r>
      <w:r>
        <w:rPr/>
        <w:t>recommend</w:t>
      </w:r>
      <w:r>
        <w:rPr>
          <w:spacing w:val="-11"/>
        </w:rPr>
        <w:t> </w:t>
      </w:r>
      <w:r>
        <w:rPr/>
        <w:t>80-100</w:t>
      </w:r>
      <w:r>
        <w:rPr>
          <w:spacing w:val="-9"/>
        </w:rPr>
        <w:t> </w:t>
      </w:r>
      <w:r>
        <w:rPr/>
        <w:t>micrograms</w:t>
      </w:r>
      <w:r>
        <w:rPr>
          <w:spacing w:val="-9"/>
        </w:rPr>
        <w:t> </w:t>
      </w:r>
      <w:r>
        <w:rPr/>
        <w:t>and</w:t>
      </w:r>
      <w:r>
        <w:rPr>
          <w:spacing w:val="-12"/>
        </w:rPr>
        <w:t> </w:t>
      </w:r>
      <w:r>
        <w:rPr/>
        <w:t>even</w:t>
      </w:r>
      <w:r>
        <w:rPr>
          <w:spacing w:val="-11"/>
        </w:rPr>
        <w:t> </w:t>
      </w:r>
      <w:r>
        <w:rPr/>
        <w:t>200</w:t>
      </w:r>
      <w:r>
        <w:rPr>
          <w:spacing w:val="-11"/>
        </w:rPr>
        <w:t> </w:t>
      </w:r>
      <w:r>
        <w:rPr/>
        <w:t>mi- crograms</w:t>
      </w:r>
      <w:r>
        <w:rPr>
          <w:spacing w:val="-20"/>
        </w:rPr>
        <w:t> </w:t>
      </w:r>
      <w:r>
        <w:rPr/>
        <w:t>for</w:t>
      </w:r>
      <w:r>
        <w:rPr>
          <w:spacing w:val="-20"/>
        </w:rPr>
        <w:t> </w:t>
      </w:r>
      <w:r>
        <w:rPr/>
        <w:t>high-risk</w:t>
      </w:r>
      <w:r>
        <w:rPr>
          <w:spacing w:val="-21"/>
        </w:rPr>
        <w:t> </w:t>
      </w:r>
      <w:r>
        <w:rPr/>
        <w:t>groups</w:t>
      </w:r>
      <w:r>
        <w:rPr>
          <w:spacing w:val="-19"/>
        </w:rPr>
        <w:t> </w:t>
      </w:r>
      <w:r>
        <w:rPr/>
        <w:t>like</w:t>
      </w:r>
      <w:r>
        <w:rPr>
          <w:spacing w:val="-20"/>
        </w:rPr>
        <w:t> </w:t>
      </w:r>
      <w:r>
        <w:rPr/>
        <w:t>smokers,</w:t>
      </w:r>
      <w:r>
        <w:rPr>
          <w:spacing w:val="-22"/>
        </w:rPr>
        <w:t> </w:t>
      </w:r>
      <w:r>
        <w:rPr/>
        <w:t>people</w:t>
      </w:r>
      <w:r>
        <w:rPr>
          <w:spacing w:val="-19"/>
        </w:rPr>
        <w:t> </w:t>
      </w:r>
      <w:r>
        <w:rPr/>
        <w:t>with</w:t>
      </w:r>
      <w:r>
        <w:rPr>
          <w:spacing w:val="-20"/>
        </w:rPr>
        <w:t> </w:t>
      </w:r>
      <w:r>
        <w:rPr/>
        <w:t>weak</w:t>
      </w:r>
      <w:r>
        <w:rPr>
          <w:spacing w:val="-21"/>
        </w:rPr>
        <w:t> </w:t>
      </w:r>
      <w:r>
        <w:rPr/>
        <w:t>immune</w:t>
      </w:r>
      <w:r>
        <w:rPr>
          <w:spacing w:val="-19"/>
        </w:rPr>
        <w:t> </w:t>
      </w:r>
      <w:r>
        <w:rPr/>
        <w:t>systems and cancer</w:t>
      </w:r>
      <w:r>
        <w:rPr>
          <w:spacing w:val="1"/>
        </w:rPr>
        <w:t> </w:t>
      </w:r>
      <w:r>
        <w:rPr/>
        <w:t>sufferers.</w:t>
      </w:r>
    </w:p>
    <w:p>
      <w:pPr>
        <w:pStyle w:val="BodyText"/>
        <w:spacing w:line="276" w:lineRule="auto" w:before="240"/>
        <w:ind w:left="616" w:right="142"/>
        <w:jc w:val="both"/>
      </w:pPr>
      <w:r>
        <w:rPr/>
        <w:t>It is also problematic that soils throughout the world contain highly variable amounts</w:t>
      </w:r>
      <w:r>
        <w:rPr>
          <w:spacing w:val="-10"/>
        </w:rPr>
        <w:t> </w:t>
      </w:r>
      <w:r>
        <w:rPr/>
        <w:t>of</w:t>
      </w:r>
      <w:r>
        <w:rPr>
          <w:spacing w:val="-9"/>
        </w:rPr>
        <w:t> </w:t>
      </w:r>
      <w:r>
        <w:rPr/>
        <w:t>selenium.</w:t>
      </w:r>
      <w:r>
        <w:rPr>
          <w:spacing w:val="-9"/>
        </w:rPr>
        <w:t> </w:t>
      </w:r>
      <w:r>
        <w:rPr/>
        <w:t>In</w:t>
      </w:r>
      <w:r>
        <w:rPr>
          <w:spacing w:val="-9"/>
        </w:rPr>
        <w:t> </w:t>
      </w:r>
      <w:r>
        <w:rPr/>
        <w:t>Central</w:t>
      </w:r>
      <w:r>
        <w:rPr>
          <w:spacing w:val="-9"/>
        </w:rPr>
        <w:t> </w:t>
      </w:r>
      <w:r>
        <w:rPr/>
        <w:t>and</w:t>
      </w:r>
      <w:r>
        <w:rPr>
          <w:spacing w:val="-9"/>
        </w:rPr>
        <w:t> </w:t>
      </w:r>
      <w:r>
        <w:rPr/>
        <w:t>Northern</w:t>
      </w:r>
      <w:r>
        <w:rPr>
          <w:spacing w:val="-9"/>
        </w:rPr>
        <w:t> </w:t>
      </w:r>
      <w:r>
        <w:rPr/>
        <w:t>Europe,</w:t>
      </w:r>
      <w:r>
        <w:rPr>
          <w:spacing w:val="-10"/>
        </w:rPr>
        <w:t> </w:t>
      </w:r>
      <w:r>
        <w:rPr/>
        <w:t>in</w:t>
      </w:r>
      <w:r>
        <w:rPr>
          <w:spacing w:val="-9"/>
        </w:rPr>
        <w:t> </w:t>
      </w:r>
      <w:r>
        <w:rPr/>
        <w:t>Germany</w:t>
      </w:r>
      <w:r>
        <w:rPr>
          <w:spacing w:val="-10"/>
        </w:rPr>
        <w:t> </w:t>
      </w:r>
      <w:r>
        <w:rPr/>
        <w:t>and</w:t>
      </w:r>
      <w:r>
        <w:rPr>
          <w:spacing w:val="-9"/>
        </w:rPr>
        <w:t> </w:t>
      </w:r>
      <w:r>
        <w:rPr/>
        <w:t>Swit- zerland for example, the soils are very low in</w:t>
      </w:r>
      <w:r>
        <w:rPr>
          <w:spacing w:val="1"/>
        </w:rPr>
        <w:t> </w:t>
      </w:r>
      <w:r>
        <w:rPr/>
        <w:t>selenium.</w:t>
      </w:r>
    </w:p>
    <w:p>
      <w:pPr>
        <w:pStyle w:val="BodyText"/>
        <w:spacing w:before="242"/>
        <w:ind w:left="616"/>
      </w:pPr>
      <w:r>
        <w:rPr/>
        <w:t>Selenium deficit, a modern problem with catastrophic consequences</w:t>
      </w:r>
    </w:p>
    <w:p>
      <w:pPr>
        <w:pStyle w:val="BodyText"/>
        <w:spacing w:line="276" w:lineRule="auto" w:before="302"/>
        <w:ind w:left="616" w:right="140"/>
        <w:jc w:val="both"/>
      </w:pPr>
      <w:r>
        <w:rPr/>
        <w:t>It is thus no wonder that in the blood of the average German, instead of the optimal amount of 120-160 micrograms/L, a selenium content much lower</w:t>
      </w:r>
    </w:p>
    <w:p>
      <w:pPr>
        <w:spacing w:after="0" w:line="276" w:lineRule="auto"/>
        <w:jc w:val="both"/>
        <w:sectPr>
          <w:pgSz w:w="14270" w:h="16850"/>
          <w:pgMar w:header="0" w:footer="404" w:top="1320" w:bottom="600" w:left="800" w:right="1280"/>
        </w:sectPr>
      </w:pPr>
    </w:p>
    <w:p>
      <w:pPr>
        <w:pStyle w:val="BodyText"/>
        <w:spacing w:line="276" w:lineRule="auto" w:before="72"/>
        <w:ind w:left="616" w:right="136"/>
        <w:jc w:val="both"/>
      </w:pPr>
      <w:r>
        <w:rPr/>
        <w:t>than 85 micrograms/L can be measured. This negative development is cata- strophic. In the 1970s, selenium intake still amounted to about 60-70 µg daily, while it is estimated today to be about 30 µg in women and 40 µg in men. Could this be the reason for the parallel rise of illnesses like cancer and heart attack?</w:t>
      </w:r>
    </w:p>
    <w:p>
      <w:pPr>
        <w:pStyle w:val="BodyText"/>
        <w:spacing w:line="276" w:lineRule="auto" w:before="242"/>
        <w:ind w:left="616" w:right="133"/>
        <w:jc w:val="both"/>
      </w:pPr>
      <w:r>
        <w:rPr/>
        <w:t>Selenium levels can, by the way, be monitored with a simple blood or urine test; however, health insurance policies do not cover this. The cost is around 30 euros and is therefore affordable.</w:t>
      </w:r>
    </w:p>
    <w:p>
      <w:pPr>
        <w:pStyle w:val="BodyText"/>
        <w:spacing w:line="276" w:lineRule="auto" w:before="241"/>
        <w:ind w:left="616" w:right="139"/>
        <w:jc w:val="both"/>
      </w:pPr>
      <w:r>
        <w:rPr/>
        <w:t>In the opinion of independent experts (the latter must unfortunately be em- phasised</w:t>
      </w:r>
      <w:r>
        <w:rPr>
          <w:spacing w:val="-18"/>
        </w:rPr>
        <w:t> </w:t>
      </w:r>
      <w:r>
        <w:rPr/>
        <w:t>repeatedly!),</w:t>
      </w:r>
      <w:r>
        <w:rPr>
          <w:spacing w:val="-17"/>
        </w:rPr>
        <w:t> </w:t>
      </w:r>
      <w:r>
        <w:rPr/>
        <w:t>there</w:t>
      </w:r>
      <w:r>
        <w:rPr>
          <w:spacing w:val="-20"/>
        </w:rPr>
        <w:t> </w:t>
      </w:r>
      <w:r>
        <w:rPr/>
        <w:t>is</w:t>
      </w:r>
      <w:r>
        <w:rPr>
          <w:spacing w:val="-18"/>
        </w:rPr>
        <w:t> </w:t>
      </w:r>
      <w:r>
        <w:rPr/>
        <w:t>a</w:t>
      </w:r>
      <w:r>
        <w:rPr>
          <w:spacing w:val="-19"/>
        </w:rPr>
        <w:t> </w:t>
      </w:r>
      <w:r>
        <w:rPr/>
        <w:t>pronounced</w:t>
      </w:r>
      <w:r>
        <w:rPr>
          <w:spacing w:val="-17"/>
        </w:rPr>
        <w:t> </w:t>
      </w:r>
      <w:r>
        <w:rPr/>
        <w:t>selenium</w:t>
      </w:r>
      <w:r>
        <w:rPr>
          <w:spacing w:val="-18"/>
        </w:rPr>
        <w:t> </w:t>
      </w:r>
      <w:r>
        <w:rPr/>
        <w:t>deficit</w:t>
      </w:r>
      <w:r>
        <w:rPr>
          <w:spacing w:val="-19"/>
        </w:rPr>
        <w:t> </w:t>
      </w:r>
      <w:r>
        <w:rPr/>
        <w:t>in</w:t>
      </w:r>
      <w:r>
        <w:rPr>
          <w:spacing w:val="-17"/>
        </w:rPr>
        <w:t> </w:t>
      </w:r>
      <w:r>
        <w:rPr/>
        <w:t>Central</w:t>
      </w:r>
      <w:r>
        <w:rPr>
          <w:spacing w:val="-20"/>
        </w:rPr>
        <w:t> </w:t>
      </w:r>
      <w:r>
        <w:rPr/>
        <w:t>Europe which is due to the Ice Age, which deprived the soil of selenium, but is also attributable to the use of fertilisers, among other</w:t>
      </w:r>
      <w:r>
        <w:rPr>
          <w:spacing w:val="-2"/>
        </w:rPr>
        <w:t> </w:t>
      </w:r>
      <w:r>
        <w:rPr/>
        <w:t>things.</w:t>
      </w:r>
    </w:p>
    <w:p>
      <w:pPr>
        <w:pStyle w:val="BodyText"/>
        <w:spacing w:line="276" w:lineRule="auto" w:before="240"/>
        <w:ind w:left="616" w:right="132"/>
        <w:jc w:val="both"/>
      </w:pPr>
      <w:r>
        <w:rPr/>
        <w:t>The ammonium sulphate contained in fertiliser absorbs the selenium in the soil, meaning that the plants growing there are in fact low in selenium or have no selenium at all. The animals that graze on these lands receive hardly any selenium;</w:t>
      </w:r>
      <w:r>
        <w:rPr>
          <w:spacing w:val="-10"/>
        </w:rPr>
        <w:t> </w:t>
      </w:r>
      <w:r>
        <w:rPr/>
        <w:t>this</w:t>
      </w:r>
      <w:r>
        <w:rPr>
          <w:spacing w:val="-8"/>
        </w:rPr>
        <w:t> </w:t>
      </w:r>
      <w:r>
        <w:rPr/>
        <w:t>is</w:t>
      </w:r>
      <w:r>
        <w:rPr>
          <w:spacing w:val="-12"/>
        </w:rPr>
        <w:t> </w:t>
      </w:r>
      <w:r>
        <w:rPr/>
        <w:t>transmitted</w:t>
      </w:r>
      <w:r>
        <w:rPr>
          <w:spacing w:val="-11"/>
        </w:rPr>
        <w:t> </w:t>
      </w:r>
      <w:r>
        <w:rPr/>
        <w:t>through</w:t>
      </w:r>
      <w:r>
        <w:rPr>
          <w:spacing w:val="-9"/>
        </w:rPr>
        <w:t> </w:t>
      </w:r>
      <w:r>
        <w:rPr/>
        <w:t>the</w:t>
      </w:r>
      <w:r>
        <w:rPr>
          <w:spacing w:val="-8"/>
        </w:rPr>
        <w:t> </w:t>
      </w:r>
      <w:r>
        <w:rPr/>
        <w:t>food</w:t>
      </w:r>
      <w:r>
        <w:rPr>
          <w:spacing w:val="-10"/>
        </w:rPr>
        <w:t> </w:t>
      </w:r>
      <w:r>
        <w:rPr/>
        <w:t>chain</w:t>
      </w:r>
      <w:r>
        <w:rPr>
          <w:spacing w:val="-9"/>
        </w:rPr>
        <w:t> </w:t>
      </w:r>
      <w:r>
        <w:rPr/>
        <w:t>and</w:t>
      </w:r>
      <w:r>
        <w:rPr>
          <w:spacing w:val="-9"/>
        </w:rPr>
        <w:t> </w:t>
      </w:r>
      <w:r>
        <w:rPr/>
        <w:t>ultimately</w:t>
      </w:r>
      <w:r>
        <w:rPr>
          <w:spacing w:val="-9"/>
        </w:rPr>
        <w:t> </w:t>
      </w:r>
      <w:r>
        <w:rPr/>
        <w:t>to</w:t>
      </w:r>
      <w:r>
        <w:rPr>
          <w:spacing w:val="-9"/>
        </w:rPr>
        <w:t> </w:t>
      </w:r>
      <w:r>
        <w:rPr/>
        <w:t>humans, too.</w:t>
      </w:r>
      <w:r>
        <w:rPr>
          <w:spacing w:val="-18"/>
        </w:rPr>
        <w:t> </w:t>
      </w:r>
      <w:r>
        <w:rPr/>
        <w:t>This</w:t>
      </w:r>
      <w:r>
        <w:rPr>
          <w:spacing w:val="-18"/>
        </w:rPr>
        <w:t> </w:t>
      </w:r>
      <w:r>
        <w:rPr/>
        <w:t>selenium</w:t>
      </w:r>
      <w:r>
        <w:rPr>
          <w:spacing w:val="-19"/>
        </w:rPr>
        <w:t> </w:t>
      </w:r>
      <w:r>
        <w:rPr/>
        <w:t>deficit</w:t>
      </w:r>
      <w:r>
        <w:rPr>
          <w:spacing w:val="-20"/>
        </w:rPr>
        <w:t> </w:t>
      </w:r>
      <w:r>
        <w:rPr/>
        <w:t>already</w:t>
      </w:r>
      <w:r>
        <w:rPr>
          <w:spacing w:val="-17"/>
        </w:rPr>
        <w:t> </w:t>
      </w:r>
      <w:r>
        <w:rPr/>
        <w:t>begins</w:t>
      </w:r>
      <w:r>
        <w:rPr>
          <w:spacing w:val="-17"/>
        </w:rPr>
        <w:t> </w:t>
      </w:r>
      <w:r>
        <w:rPr/>
        <w:t>in</w:t>
      </w:r>
      <w:r>
        <w:rPr>
          <w:spacing w:val="-19"/>
        </w:rPr>
        <w:t> </w:t>
      </w:r>
      <w:r>
        <w:rPr/>
        <w:t>infants</w:t>
      </w:r>
      <w:r>
        <w:rPr>
          <w:spacing w:val="-18"/>
        </w:rPr>
        <w:t> </w:t>
      </w:r>
      <w:r>
        <w:rPr/>
        <w:t>whose</w:t>
      </w:r>
      <w:r>
        <w:rPr>
          <w:spacing w:val="-18"/>
        </w:rPr>
        <w:t> </w:t>
      </w:r>
      <w:r>
        <w:rPr/>
        <w:t>mothers</w:t>
      </w:r>
      <w:r>
        <w:rPr>
          <w:spacing w:val="-21"/>
        </w:rPr>
        <w:t> </w:t>
      </w:r>
      <w:r>
        <w:rPr/>
        <w:t>refrain</w:t>
      </w:r>
      <w:r>
        <w:rPr>
          <w:spacing w:val="-17"/>
        </w:rPr>
        <w:t> </w:t>
      </w:r>
      <w:r>
        <w:rPr/>
        <w:t>from breastfeeding them.</w:t>
      </w:r>
    </w:p>
    <w:p>
      <w:pPr>
        <w:pStyle w:val="BodyText"/>
        <w:spacing w:line="276" w:lineRule="auto" w:before="240"/>
        <w:ind w:left="616" w:right="138"/>
        <w:jc w:val="both"/>
      </w:pPr>
      <w:r>
        <w:rPr/>
        <w:t>The alternative, in the form of cow's milk, leads to a real selenium deficit in the body of the newborn, something that accompanies the young person all the way to adulthood and leads to a high susceptibility to all sorts of illnesses. Another cause of the selenium deficit is the industrialisation of our nutrition,</w:t>
      </w:r>
    </w:p>
    <w:p>
      <w:pPr>
        <w:spacing w:after="0" w:line="276" w:lineRule="auto"/>
        <w:jc w:val="both"/>
        <w:sectPr>
          <w:pgSz w:w="14270" w:h="16850"/>
          <w:pgMar w:header="0" w:footer="404" w:top="1340" w:bottom="2080" w:left="800" w:right="1280"/>
        </w:sectPr>
      </w:pPr>
    </w:p>
    <w:p>
      <w:pPr>
        <w:pStyle w:val="BodyText"/>
        <w:spacing w:line="276" w:lineRule="auto" w:before="72"/>
        <w:ind w:left="616" w:right="132"/>
        <w:jc w:val="both"/>
      </w:pPr>
      <w:r>
        <w:rPr/>
        <w:t>in the process of which half of selenium content is already lost in the grinding of the grain. The production of white flour even causes a loss of 80 % of</w:t>
      </w:r>
      <w:r>
        <w:rPr>
          <w:spacing w:val="-65"/>
        </w:rPr>
        <w:t> </w:t>
      </w:r>
      <w:r>
        <w:rPr/>
        <w:t>sele- nium. The mercury in our diets, e.g. in salt-water fish, binds selenium to itself. The rest is accomplished by acid rain which contains sulphates which in turn prevent the absorption of selenium.</w:t>
      </w:r>
    </w:p>
    <w:p>
      <w:pPr>
        <w:pStyle w:val="Heading1"/>
        <w:ind w:left="616"/>
        <w:jc w:val="both"/>
      </w:pPr>
      <w:r>
        <w:rPr/>
        <w:t>Signs of a selenium deficit</w:t>
      </w:r>
    </w:p>
    <w:p>
      <w:pPr>
        <w:pStyle w:val="BodyText"/>
        <w:spacing w:before="298"/>
        <w:ind w:left="616"/>
        <w:jc w:val="both"/>
      </w:pPr>
      <w:r>
        <w:rPr/>
        <w:t>The following signs or symptoms can accompany a selenium deficit:</w:t>
      </w:r>
    </w:p>
    <w:p>
      <w:pPr>
        <w:pStyle w:val="ListParagraph"/>
        <w:numPr>
          <w:ilvl w:val="0"/>
          <w:numId w:val="113"/>
        </w:numPr>
        <w:tabs>
          <w:tab w:pos="1393" w:val="left" w:leader="none"/>
          <w:tab w:pos="1394" w:val="left" w:leader="none"/>
        </w:tabs>
        <w:spacing w:line="240" w:lineRule="auto" w:before="186" w:after="0"/>
        <w:ind w:left="1394" w:right="0" w:hanging="360"/>
        <w:jc w:val="left"/>
        <w:rPr>
          <w:sz w:val="38"/>
        </w:rPr>
      </w:pPr>
      <w:r>
        <w:rPr>
          <w:sz w:val="38"/>
        </w:rPr>
        <w:t>white spots under the nails, brittle</w:t>
      </w:r>
      <w:r>
        <w:rPr>
          <w:spacing w:val="-1"/>
          <w:sz w:val="38"/>
        </w:rPr>
        <w:t> </w:t>
      </w:r>
      <w:r>
        <w:rPr>
          <w:sz w:val="38"/>
        </w:rPr>
        <w:t>nails,</w:t>
      </w:r>
    </w:p>
    <w:p>
      <w:pPr>
        <w:pStyle w:val="ListParagraph"/>
        <w:numPr>
          <w:ilvl w:val="0"/>
          <w:numId w:val="113"/>
        </w:numPr>
        <w:tabs>
          <w:tab w:pos="1393" w:val="left" w:leader="none"/>
          <w:tab w:pos="1394" w:val="left" w:leader="none"/>
        </w:tabs>
        <w:spacing w:line="240" w:lineRule="auto" w:before="186" w:after="0"/>
        <w:ind w:left="1394" w:right="0" w:hanging="360"/>
        <w:jc w:val="left"/>
        <w:rPr>
          <w:sz w:val="38"/>
        </w:rPr>
      </w:pPr>
      <w:r>
        <w:rPr>
          <w:sz w:val="38"/>
        </w:rPr>
        <w:t>lighter hair than usual,</w:t>
      </w:r>
    </w:p>
    <w:p>
      <w:pPr>
        <w:pStyle w:val="ListParagraph"/>
        <w:numPr>
          <w:ilvl w:val="0"/>
          <w:numId w:val="113"/>
        </w:numPr>
        <w:tabs>
          <w:tab w:pos="1393" w:val="left" w:leader="none"/>
          <w:tab w:pos="1394" w:val="left" w:leader="none"/>
        </w:tabs>
        <w:spacing w:line="240" w:lineRule="auto" w:before="184" w:after="0"/>
        <w:ind w:left="1394" w:right="0" w:hanging="360"/>
        <w:jc w:val="left"/>
        <w:rPr>
          <w:sz w:val="38"/>
        </w:rPr>
      </w:pPr>
      <w:r>
        <w:rPr>
          <w:sz w:val="38"/>
        </w:rPr>
        <w:t>hair loss,</w:t>
      </w:r>
    </w:p>
    <w:p>
      <w:pPr>
        <w:pStyle w:val="ListParagraph"/>
        <w:numPr>
          <w:ilvl w:val="0"/>
          <w:numId w:val="113"/>
        </w:numPr>
        <w:tabs>
          <w:tab w:pos="1393" w:val="left" w:leader="none"/>
          <w:tab w:pos="1394" w:val="left" w:leader="none"/>
        </w:tabs>
        <w:spacing w:line="240" w:lineRule="auto" w:before="183" w:after="0"/>
        <w:ind w:left="1394" w:right="0" w:hanging="360"/>
        <w:jc w:val="left"/>
        <w:rPr>
          <w:sz w:val="38"/>
        </w:rPr>
      </w:pPr>
      <w:r>
        <w:rPr>
          <w:sz w:val="38"/>
        </w:rPr>
        <w:t>paleness of the</w:t>
      </w:r>
      <w:r>
        <w:rPr>
          <w:spacing w:val="1"/>
          <w:sz w:val="38"/>
        </w:rPr>
        <w:t> </w:t>
      </w:r>
      <w:r>
        <w:rPr>
          <w:sz w:val="38"/>
        </w:rPr>
        <w:t>skin,</w:t>
      </w:r>
    </w:p>
    <w:p>
      <w:pPr>
        <w:pStyle w:val="ListParagraph"/>
        <w:numPr>
          <w:ilvl w:val="0"/>
          <w:numId w:val="113"/>
        </w:numPr>
        <w:tabs>
          <w:tab w:pos="1393" w:val="left" w:leader="none"/>
          <w:tab w:pos="1394" w:val="left" w:leader="none"/>
        </w:tabs>
        <w:spacing w:line="240" w:lineRule="auto" w:before="184" w:after="0"/>
        <w:ind w:left="1394" w:right="0" w:hanging="360"/>
        <w:jc w:val="left"/>
        <w:rPr>
          <w:sz w:val="38"/>
        </w:rPr>
      </w:pPr>
      <w:r>
        <w:rPr>
          <w:sz w:val="38"/>
        </w:rPr>
        <w:t>fatigue,</w:t>
      </w:r>
    </w:p>
    <w:p>
      <w:pPr>
        <w:pStyle w:val="ListParagraph"/>
        <w:numPr>
          <w:ilvl w:val="0"/>
          <w:numId w:val="113"/>
        </w:numPr>
        <w:tabs>
          <w:tab w:pos="1393" w:val="left" w:leader="none"/>
          <w:tab w:pos="1394" w:val="left" w:leader="none"/>
        </w:tabs>
        <w:spacing w:line="240" w:lineRule="auto" w:before="184" w:after="0"/>
        <w:ind w:left="1394" w:right="0" w:hanging="360"/>
        <w:jc w:val="left"/>
        <w:rPr>
          <w:sz w:val="38"/>
        </w:rPr>
      </w:pPr>
      <w:r>
        <w:rPr>
          <w:sz w:val="38"/>
        </w:rPr>
        <w:t>arrhythmia,</w:t>
      </w:r>
    </w:p>
    <w:p>
      <w:pPr>
        <w:pStyle w:val="ListParagraph"/>
        <w:numPr>
          <w:ilvl w:val="0"/>
          <w:numId w:val="113"/>
        </w:numPr>
        <w:tabs>
          <w:tab w:pos="1393" w:val="left" w:leader="none"/>
          <w:tab w:pos="1394" w:val="left" w:leader="none"/>
        </w:tabs>
        <w:spacing w:line="240" w:lineRule="auto" w:before="186" w:after="0"/>
        <w:ind w:left="1394" w:right="0" w:hanging="360"/>
        <w:jc w:val="left"/>
        <w:rPr>
          <w:sz w:val="38"/>
        </w:rPr>
      </w:pPr>
      <w:r>
        <w:rPr>
          <w:sz w:val="38"/>
        </w:rPr>
        <w:t>reduction of</w:t>
      </w:r>
      <w:r>
        <w:rPr>
          <w:spacing w:val="1"/>
          <w:sz w:val="38"/>
        </w:rPr>
        <w:t> </w:t>
      </w:r>
      <w:r>
        <w:rPr>
          <w:sz w:val="38"/>
        </w:rPr>
        <w:t>performance,</w:t>
      </w:r>
    </w:p>
    <w:p>
      <w:pPr>
        <w:pStyle w:val="ListParagraph"/>
        <w:numPr>
          <w:ilvl w:val="0"/>
          <w:numId w:val="113"/>
        </w:numPr>
        <w:tabs>
          <w:tab w:pos="1393" w:val="left" w:leader="none"/>
          <w:tab w:pos="1394" w:val="left" w:leader="none"/>
        </w:tabs>
        <w:spacing w:line="240" w:lineRule="auto" w:before="183" w:after="0"/>
        <w:ind w:left="1394" w:right="0" w:hanging="360"/>
        <w:jc w:val="left"/>
        <w:rPr>
          <w:sz w:val="38"/>
        </w:rPr>
      </w:pPr>
      <w:r>
        <w:rPr>
          <w:sz w:val="38"/>
        </w:rPr>
        <w:t>liver</w:t>
      </w:r>
      <w:r>
        <w:rPr>
          <w:spacing w:val="-1"/>
          <w:sz w:val="38"/>
        </w:rPr>
        <w:t> </w:t>
      </w:r>
      <w:r>
        <w:rPr>
          <w:sz w:val="38"/>
        </w:rPr>
        <w:t>problems,</w:t>
      </w:r>
    </w:p>
    <w:p>
      <w:pPr>
        <w:pStyle w:val="ListParagraph"/>
        <w:numPr>
          <w:ilvl w:val="0"/>
          <w:numId w:val="113"/>
        </w:numPr>
        <w:tabs>
          <w:tab w:pos="1393" w:val="left" w:leader="none"/>
          <w:tab w:pos="1394" w:val="left" w:leader="none"/>
        </w:tabs>
        <w:spacing w:line="240" w:lineRule="auto" w:before="184" w:after="0"/>
        <w:ind w:left="1394" w:right="0" w:hanging="360"/>
        <w:jc w:val="left"/>
        <w:rPr>
          <w:sz w:val="38"/>
        </w:rPr>
      </w:pPr>
      <w:r>
        <w:rPr>
          <w:sz w:val="38"/>
        </w:rPr>
        <w:t>hypothyroidism,</w:t>
      </w:r>
    </w:p>
    <w:p>
      <w:pPr>
        <w:pStyle w:val="ListParagraph"/>
        <w:numPr>
          <w:ilvl w:val="0"/>
          <w:numId w:val="113"/>
        </w:numPr>
        <w:tabs>
          <w:tab w:pos="1393" w:val="left" w:leader="none"/>
          <w:tab w:pos="1394" w:val="left" w:leader="none"/>
        </w:tabs>
        <w:spacing w:line="240" w:lineRule="auto" w:before="184" w:after="0"/>
        <w:ind w:left="1394" w:right="0" w:hanging="360"/>
        <w:jc w:val="left"/>
        <w:rPr>
          <w:sz w:val="38"/>
        </w:rPr>
      </w:pPr>
      <w:r>
        <w:rPr>
          <w:sz w:val="38"/>
        </w:rPr>
        <w:t>susceptibility to immune</w:t>
      </w:r>
      <w:r>
        <w:rPr>
          <w:spacing w:val="2"/>
          <w:sz w:val="38"/>
        </w:rPr>
        <w:t> </w:t>
      </w:r>
      <w:r>
        <w:rPr>
          <w:sz w:val="38"/>
        </w:rPr>
        <w:t>diseases,</w:t>
      </w:r>
    </w:p>
    <w:p>
      <w:pPr>
        <w:pStyle w:val="ListParagraph"/>
        <w:numPr>
          <w:ilvl w:val="0"/>
          <w:numId w:val="113"/>
        </w:numPr>
        <w:tabs>
          <w:tab w:pos="1393" w:val="left" w:leader="none"/>
          <w:tab w:pos="1394" w:val="left" w:leader="none"/>
        </w:tabs>
        <w:spacing w:line="240" w:lineRule="auto" w:before="184" w:after="0"/>
        <w:ind w:left="1394" w:right="0" w:hanging="360"/>
        <w:jc w:val="left"/>
        <w:rPr>
          <w:sz w:val="38"/>
        </w:rPr>
      </w:pPr>
      <w:r>
        <w:rPr>
          <w:sz w:val="38"/>
        </w:rPr>
        <w:t>male</w:t>
      </w:r>
      <w:r>
        <w:rPr>
          <w:spacing w:val="-2"/>
          <w:sz w:val="38"/>
        </w:rPr>
        <w:t> </w:t>
      </w:r>
      <w:r>
        <w:rPr>
          <w:sz w:val="38"/>
        </w:rPr>
        <w:t>infertility,</w:t>
      </w:r>
    </w:p>
    <w:p>
      <w:pPr>
        <w:pStyle w:val="ListParagraph"/>
        <w:numPr>
          <w:ilvl w:val="0"/>
          <w:numId w:val="113"/>
        </w:numPr>
        <w:tabs>
          <w:tab w:pos="1393" w:val="left" w:leader="none"/>
          <w:tab w:pos="1394" w:val="left" w:leader="none"/>
        </w:tabs>
        <w:spacing w:line="240" w:lineRule="auto" w:before="186" w:after="0"/>
        <w:ind w:left="1394" w:right="0" w:hanging="360"/>
        <w:jc w:val="left"/>
        <w:rPr>
          <w:sz w:val="38"/>
        </w:rPr>
      </w:pPr>
      <w:r>
        <w:rPr>
          <w:sz w:val="38"/>
        </w:rPr>
        <w:t>joint</w:t>
      </w:r>
      <w:r>
        <w:rPr>
          <w:spacing w:val="-1"/>
          <w:sz w:val="38"/>
        </w:rPr>
        <w:t> </w:t>
      </w:r>
      <w:r>
        <w:rPr>
          <w:sz w:val="38"/>
        </w:rPr>
        <w:t>pain,</w:t>
      </w:r>
    </w:p>
    <w:p>
      <w:pPr>
        <w:spacing w:after="0" w:line="240" w:lineRule="auto"/>
        <w:jc w:val="left"/>
        <w:rPr>
          <w:sz w:val="38"/>
        </w:rPr>
        <w:sectPr>
          <w:pgSz w:w="14270" w:h="16850"/>
          <w:pgMar w:header="0" w:footer="404" w:top="1340" w:bottom="2080" w:left="800" w:right="1280"/>
        </w:sectPr>
      </w:pPr>
    </w:p>
    <w:p>
      <w:pPr>
        <w:pStyle w:val="ListParagraph"/>
        <w:numPr>
          <w:ilvl w:val="0"/>
          <w:numId w:val="113"/>
        </w:numPr>
        <w:tabs>
          <w:tab w:pos="1393" w:val="left" w:leader="none"/>
          <w:tab w:pos="1394" w:val="left" w:leader="none"/>
        </w:tabs>
        <w:spacing w:line="240" w:lineRule="auto" w:before="53" w:after="0"/>
        <w:ind w:left="1394" w:right="0" w:hanging="360"/>
        <w:jc w:val="left"/>
        <w:rPr>
          <w:sz w:val="38"/>
        </w:rPr>
      </w:pPr>
      <w:r>
        <w:rPr>
          <w:sz w:val="38"/>
        </w:rPr>
        <w:t>high blood</w:t>
      </w:r>
      <w:r>
        <w:rPr>
          <w:spacing w:val="2"/>
          <w:sz w:val="38"/>
        </w:rPr>
        <w:t> </w:t>
      </w:r>
      <w:r>
        <w:rPr>
          <w:sz w:val="38"/>
        </w:rPr>
        <w:t>pressure,</w:t>
      </w:r>
    </w:p>
    <w:p>
      <w:pPr>
        <w:pStyle w:val="ListParagraph"/>
        <w:numPr>
          <w:ilvl w:val="0"/>
          <w:numId w:val="113"/>
        </w:numPr>
        <w:tabs>
          <w:tab w:pos="1393" w:val="left" w:leader="none"/>
          <w:tab w:pos="1394" w:val="left" w:leader="none"/>
        </w:tabs>
        <w:spacing w:line="240" w:lineRule="auto" w:before="186" w:after="0"/>
        <w:ind w:left="1394" w:right="0" w:hanging="360"/>
        <w:jc w:val="left"/>
        <w:rPr>
          <w:sz w:val="38"/>
        </w:rPr>
      </w:pPr>
      <w:r>
        <w:rPr>
          <w:sz w:val="38"/>
        </w:rPr>
        <w:t>growth disorders in</w:t>
      </w:r>
      <w:r>
        <w:rPr>
          <w:spacing w:val="2"/>
          <w:sz w:val="38"/>
        </w:rPr>
        <w:t> </w:t>
      </w:r>
      <w:r>
        <w:rPr>
          <w:sz w:val="38"/>
        </w:rPr>
        <w:t>children,</w:t>
      </w:r>
    </w:p>
    <w:p>
      <w:pPr>
        <w:pStyle w:val="ListParagraph"/>
        <w:numPr>
          <w:ilvl w:val="0"/>
          <w:numId w:val="113"/>
        </w:numPr>
        <w:tabs>
          <w:tab w:pos="1393" w:val="left" w:leader="none"/>
          <w:tab w:pos="1394" w:val="left" w:leader="none"/>
        </w:tabs>
        <w:spacing w:line="240" w:lineRule="auto" w:before="184" w:after="0"/>
        <w:ind w:left="1394" w:right="0" w:hanging="360"/>
        <w:jc w:val="left"/>
        <w:rPr>
          <w:sz w:val="38"/>
        </w:rPr>
      </w:pPr>
      <w:r>
        <w:rPr>
          <w:sz w:val="38"/>
        </w:rPr>
        <w:t>cardiovascular problems,</w:t>
      </w:r>
    </w:p>
    <w:p>
      <w:pPr>
        <w:pStyle w:val="ListParagraph"/>
        <w:numPr>
          <w:ilvl w:val="0"/>
          <w:numId w:val="113"/>
        </w:numPr>
        <w:tabs>
          <w:tab w:pos="1393" w:val="left" w:leader="none"/>
          <w:tab w:pos="1394" w:val="left" w:leader="none"/>
        </w:tabs>
        <w:spacing w:line="240" w:lineRule="auto" w:before="184" w:after="0"/>
        <w:ind w:left="1394" w:right="0" w:hanging="360"/>
        <w:jc w:val="left"/>
        <w:rPr>
          <w:sz w:val="38"/>
        </w:rPr>
      </w:pPr>
      <w:r>
        <w:rPr>
          <w:sz w:val="38"/>
        </w:rPr>
        <w:t>cancer.</w:t>
      </w:r>
    </w:p>
    <w:p>
      <w:pPr>
        <w:pStyle w:val="Heading1"/>
        <w:spacing w:before="284"/>
        <w:ind w:left="616"/>
      </w:pPr>
      <w:r>
        <w:rPr/>
        <w:t>External factors which encourage a selenium deficit</w:t>
      </w:r>
    </w:p>
    <w:p>
      <w:pPr>
        <w:pStyle w:val="BodyText"/>
        <w:spacing w:line="276" w:lineRule="auto" w:before="300"/>
        <w:ind w:left="616"/>
      </w:pPr>
      <w:r>
        <w:rPr/>
        <w:t>Among</w:t>
      </w:r>
      <w:r>
        <w:rPr>
          <w:spacing w:val="-15"/>
        </w:rPr>
        <w:t> </w:t>
      </w:r>
      <w:r>
        <w:rPr/>
        <w:t>the</w:t>
      </w:r>
      <w:r>
        <w:rPr>
          <w:spacing w:val="-14"/>
        </w:rPr>
        <w:t> </w:t>
      </w:r>
      <w:r>
        <w:rPr/>
        <w:t>external</w:t>
      </w:r>
      <w:r>
        <w:rPr>
          <w:spacing w:val="-16"/>
        </w:rPr>
        <w:t> </w:t>
      </w:r>
      <w:r>
        <w:rPr/>
        <w:t>factors</w:t>
      </w:r>
      <w:r>
        <w:rPr>
          <w:spacing w:val="-14"/>
        </w:rPr>
        <w:t> </w:t>
      </w:r>
      <w:r>
        <w:rPr/>
        <w:t>which</w:t>
      </w:r>
      <w:r>
        <w:rPr>
          <w:spacing w:val="-14"/>
        </w:rPr>
        <w:t> </w:t>
      </w:r>
      <w:r>
        <w:rPr/>
        <w:t>exacerbate</w:t>
      </w:r>
      <w:r>
        <w:rPr>
          <w:spacing w:val="-16"/>
        </w:rPr>
        <w:t> </w:t>
      </w:r>
      <w:r>
        <w:rPr/>
        <w:t>an</w:t>
      </w:r>
      <w:r>
        <w:rPr>
          <w:spacing w:val="-17"/>
        </w:rPr>
        <w:t> </w:t>
      </w:r>
      <w:r>
        <w:rPr/>
        <w:t>already-existing</w:t>
      </w:r>
      <w:r>
        <w:rPr>
          <w:spacing w:val="-14"/>
        </w:rPr>
        <w:t> </w:t>
      </w:r>
      <w:r>
        <w:rPr/>
        <w:t>selenium</w:t>
      </w:r>
      <w:r>
        <w:rPr>
          <w:spacing w:val="-15"/>
        </w:rPr>
        <w:t> </w:t>
      </w:r>
      <w:r>
        <w:rPr/>
        <w:t>def- icit</w:t>
      </w:r>
      <w:r>
        <w:rPr>
          <w:spacing w:val="-2"/>
        </w:rPr>
        <w:t> </w:t>
      </w:r>
      <w:r>
        <w:rPr/>
        <w:t>are:</w:t>
      </w:r>
    </w:p>
    <w:p>
      <w:pPr>
        <w:pStyle w:val="ListParagraph"/>
        <w:numPr>
          <w:ilvl w:val="1"/>
          <w:numId w:val="81"/>
        </w:numPr>
        <w:tabs>
          <w:tab w:pos="1177" w:val="left" w:leader="none"/>
          <w:tab w:pos="1179" w:val="left" w:leader="none"/>
        </w:tabs>
        <w:spacing w:line="273" w:lineRule="auto" w:before="123" w:after="0"/>
        <w:ind w:left="1178" w:right="136" w:hanging="358"/>
        <w:jc w:val="left"/>
        <w:rPr>
          <w:sz w:val="38"/>
        </w:rPr>
      </w:pPr>
      <w:r>
        <w:rPr>
          <w:sz w:val="38"/>
        </w:rPr>
        <w:t>Stress (stress is a real selenium robber—anyone who has a lot of stress needs to regularly top up on</w:t>
      </w:r>
      <w:r>
        <w:rPr>
          <w:spacing w:val="3"/>
          <w:sz w:val="38"/>
        </w:rPr>
        <w:t> </w:t>
      </w:r>
      <w:r>
        <w:rPr>
          <w:sz w:val="38"/>
        </w:rPr>
        <w:t>selenium!)</w:t>
      </w:r>
    </w:p>
    <w:p>
      <w:pPr>
        <w:pStyle w:val="ListParagraph"/>
        <w:numPr>
          <w:ilvl w:val="1"/>
          <w:numId w:val="81"/>
        </w:numPr>
        <w:tabs>
          <w:tab w:pos="1177" w:val="left" w:leader="none"/>
          <w:tab w:pos="1179" w:val="left" w:leader="none"/>
        </w:tabs>
        <w:spacing w:line="240" w:lineRule="auto" w:before="127" w:after="0"/>
        <w:ind w:left="1178" w:right="0" w:hanging="358"/>
        <w:jc w:val="left"/>
        <w:rPr>
          <w:sz w:val="38"/>
        </w:rPr>
      </w:pPr>
      <w:r>
        <w:rPr>
          <w:sz w:val="38"/>
        </w:rPr>
        <w:t>Air pollution, car exhaust fumes consume a lot of</w:t>
      </w:r>
      <w:r>
        <w:rPr>
          <w:spacing w:val="-3"/>
          <w:sz w:val="38"/>
        </w:rPr>
        <w:t> </w:t>
      </w:r>
      <w:r>
        <w:rPr>
          <w:sz w:val="38"/>
        </w:rPr>
        <w:t>selenium.</w:t>
      </w:r>
    </w:p>
    <w:p>
      <w:pPr>
        <w:pStyle w:val="ListParagraph"/>
        <w:numPr>
          <w:ilvl w:val="1"/>
          <w:numId w:val="81"/>
        </w:numPr>
        <w:tabs>
          <w:tab w:pos="1179" w:val="left" w:leader="none"/>
        </w:tabs>
        <w:spacing w:line="273" w:lineRule="auto" w:before="183" w:after="0"/>
        <w:ind w:left="1178" w:right="135" w:hanging="358"/>
        <w:jc w:val="both"/>
        <w:rPr>
          <w:sz w:val="38"/>
        </w:rPr>
      </w:pPr>
      <w:r>
        <w:rPr>
          <w:sz w:val="38"/>
        </w:rPr>
        <w:t>Cigarette consumption/nicotine taps increasingly into selenium for the purpose of neutralisation (the blood of smokers has been proven to have 25 % less selenium!)</w:t>
      </w:r>
    </w:p>
    <w:p>
      <w:pPr>
        <w:pStyle w:val="ListParagraph"/>
        <w:numPr>
          <w:ilvl w:val="1"/>
          <w:numId w:val="81"/>
        </w:numPr>
        <w:tabs>
          <w:tab w:pos="1177" w:val="left" w:leader="none"/>
          <w:tab w:pos="1179" w:val="left" w:leader="none"/>
        </w:tabs>
        <w:spacing w:line="273" w:lineRule="auto" w:before="132" w:after="0"/>
        <w:ind w:left="1178" w:right="135" w:hanging="358"/>
        <w:jc w:val="left"/>
        <w:rPr>
          <w:sz w:val="38"/>
        </w:rPr>
      </w:pPr>
      <w:r>
        <w:rPr>
          <w:sz w:val="38"/>
        </w:rPr>
        <w:t>Alcohol burden the liver; here, selenium switches on in order to protect the liver and is thus used up in greater quantities.</w:t>
      </w:r>
    </w:p>
    <w:p>
      <w:pPr>
        <w:pStyle w:val="ListParagraph"/>
        <w:numPr>
          <w:ilvl w:val="1"/>
          <w:numId w:val="81"/>
        </w:numPr>
        <w:tabs>
          <w:tab w:pos="1177" w:val="left" w:leader="none"/>
          <w:tab w:pos="1179" w:val="left" w:leader="none"/>
        </w:tabs>
        <w:spacing w:line="240" w:lineRule="auto" w:before="128" w:after="0"/>
        <w:ind w:left="1178" w:right="0" w:hanging="358"/>
        <w:jc w:val="left"/>
        <w:rPr>
          <w:sz w:val="38"/>
        </w:rPr>
      </w:pPr>
      <w:r>
        <w:rPr>
          <w:sz w:val="38"/>
        </w:rPr>
        <w:t>A protein-heavy diet uses up a large amount of</w:t>
      </w:r>
      <w:r>
        <w:rPr>
          <w:spacing w:val="-6"/>
          <w:sz w:val="38"/>
        </w:rPr>
        <w:t> </w:t>
      </w:r>
      <w:r>
        <w:rPr>
          <w:sz w:val="38"/>
        </w:rPr>
        <w:t>selenium.</w:t>
      </w:r>
    </w:p>
    <w:p>
      <w:pPr>
        <w:pStyle w:val="ListParagraph"/>
        <w:numPr>
          <w:ilvl w:val="1"/>
          <w:numId w:val="81"/>
        </w:numPr>
        <w:tabs>
          <w:tab w:pos="1177" w:val="left" w:leader="none"/>
          <w:tab w:pos="1179" w:val="left" w:leader="none"/>
        </w:tabs>
        <w:spacing w:line="273" w:lineRule="auto" w:before="183" w:after="0"/>
        <w:ind w:left="1178" w:right="139" w:hanging="358"/>
        <w:jc w:val="left"/>
        <w:rPr>
          <w:sz w:val="38"/>
        </w:rPr>
      </w:pPr>
      <w:r>
        <w:rPr>
          <w:sz w:val="38"/>
        </w:rPr>
        <w:t>Excessive masturbation in combination with frequent ejaculation uses up selenium reserves which need to be restored</w:t>
      </w:r>
      <w:r>
        <w:rPr>
          <w:spacing w:val="-8"/>
          <w:sz w:val="38"/>
        </w:rPr>
        <w:t> </w:t>
      </w:r>
      <w:r>
        <w:rPr>
          <w:sz w:val="38"/>
        </w:rPr>
        <w:t>afterwards.</w:t>
      </w:r>
    </w:p>
    <w:p>
      <w:pPr>
        <w:pStyle w:val="ListParagraph"/>
        <w:numPr>
          <w:ilvl w:val="1"/>
          <w:numId w:val="81"/>
        </w:numPr>
        <w:tabs>
          <w:tab w:pos="1177" w:val="left" w:leader="none"/>
          <w:tab w:pos="1179" w:val="left" w:leader="none"/>
        </w:tabs>
        <w:spacing w:line="240" w:lineRule="auto" w:before="128" w:after="0"/>
        <w:ind w:left="1178" w:right="0" w:hanging="358"/>
        <w:jc w:val="left"/>
        <w:rPr>
          <w:sz w:val="38"/>
        </w:rPr>
      </w:pPr>
      <w:r>
        <w:rPr>
          <w:sz w:val="38"/>
        </w:rPr>
        <w:t>Cooking grains eliminates about 45 % of the</w:t>
      </w:r>
      <w:r>
        <w:rPr>
          <w:spacing w:val="-4"/>
          <w:sz w:val="38"/>
        </w:rPr>
        <w:t> </w:t>
      </w:r>
      <w:r>
        <w:rPr>
          <w:sz w:val="38"/>
        </w:rPr>
        <w:t>selenium.</w:t>
      </w:r>
    </w:p>
    <w:p>
      <w:pPr>
        <w:pStyle w:val="Heading2"/>
        <w:spacing w:before="302"/>
        <w:ind w:left="712"/>
      </w:pPr>
      <w:r>
        <w:rPr/>
        <w:t>Groups of people at high risk of selenium deficit</w:t>
      </w:r>
    </w:p>
    <w:p>
      <w:pPr>
        <w:spacing w:after="0"/>
        <w:sectPr>
          <w:footerReference w:type="default" r:id="rId350"/>
          <w:pgSz w:w="14270" w:h="16850"/>
          <w:pgMar w:footer="1891" w:header="0" w:top="1360" w:bottom="2080" w:left="800" w:right="1280"/>
          <w:pgNumType w:start="1450"/>
        </w:sectPr>
      </w:pPr>
    </w:p>
    <w:p>
      <w:pPr>
        <w:pStyle w:val="ListParagraph"/>
        <w:numPr>
          <w:ilvl w:val="0"/>
          <w:numId w:val="114"/>
        </w:numPr>
        <w:tabs>
          <w:tab w:pos="1036" w:val="left" w:leader="none"/>
          <w:tab w:pos="1037" w:val="left" w:leader="none"/>
        </w:tabs>
        <w:spacing w:line="240" w:lineRule="auto" w:before="53" w:after="0"/>
        <w:ind w:left="1036" w:right="0" w:hanging="360"/>
        <w:jc w:val="left"/>
        <w:rPr>
          <w:sz w:val="38"/>
        </w:rPr>
      </w:pPr>
      <w:r>
        <w:rPr>
          <w:sz w:val="38"/>
        </w:rPr>
        <w:t>older people,</w:t>
      </w:r>
    </w:p>
    <w:p>
      <w:pPr>
        <w:pStyle w:val="ListParagraph"/>
        <w:numPr>
          <w:ilvl w:val="0"/>
          <w:numId w:val="114"/>
        </w:numPr>
        <w:tabs>
          <w:tab w:pos="1036" w:val="left" w:leader="none"/>
          <w:tab w:pos="1037" w:val="left" w:leader="none"/>
        </w:tabs>
        <w:spacing w:line="240" w:lineRule="auto" w:before="186" w:after="0"/>
        <w:ind w:left="1036" w:right="0" w:hanging="360"/>
        <w:jc w:val="left"/>
        <w:rPr>
          <w:sz w:val="38"/>
        </w:rPr>
      </w:pPr>
      <w:r>
        <w:rPr>
          <w:sz w:val="38"/>
        </w:rPr>
        <w:t>people with unbalanced diets,</w:t>
      </w:r>
    </w:p>
    <w:p>
      <w:pPr>
        <w:pStyle w:val="ListParagraph"/>
        <w:numPr>
          <w:ilvl w:val="0"/>
          <w:numId w:val="114"/>
        </w:numPr>
        <w:tabs>
          <w:tab w:pos="1036" w:val="left" w:leader="none"/>
          <w:tab w:pos="1037" w:val="left" w:leader="none"/>
        </w:tabs>
        <w:spacing w:line="240" w:lineRule="auto" w:before="184" w:after="0"/>
        <w:ind w:left="1036" w:right="0" w:hanging="360"/>
        <w:jc w:val="left"/>
        <w:rPr>
          <w:sz w:val="38"/>
        </w:rPr>
      </w:pPr>
      <w:r>
        <w:rPr>
          <w:sz w:val="38"/>
        </w:rPr>
        <w:t>people on</w:t>
      </w:r>
      <w:r>
        <w:rPr>
          <w:spacing w:val="-4"/>
          <w:sz w:val="38"/>
        </w:rPr>
        <w:t> </w:t>
      </w:r>
      <w:r>
        <w:rPr>
          <w:sz w:val="38"/>
        </w:rPr>
        <w:t>diets,</w:t>
      </w:r>
    </w:p>
    <w:p>
      <w:pPr>
        <w:pStyle w:val="ListParagraph"/>
        <w:numPr>
          <w:ilvl w:val="0"/>
          <w:numId w:val="114"/>
        </w:numPr>
        <w:tabs>
          <w:tab w:pos="1036" w:val="left" w:leader="none"/>
          <w:tab w:pos="1037" w:val="left" w:leader="none"/>
        </w:tabs>
        <w:spacing w:line="240" w:lineRule="auto" w:before="184" w:after="0"/>
        <w:ind w:left="1036" w:right="0" w:hanging="360"/>
        <w:jc w:val="left"/>
        <w:rPr>
          <w:sz w:val="38"/>
        </w:rPr>
      </w:pPr>
      <w:r>
        <w:rPr>
          <w:sz w:val="38"/>
        </w:rPr>
        <w:t>smokers,</w:t>
      </w:r>
    </w:p>
    <w:p>
      <w:pPr>
        <w:pStyle w:val="ListParagraph"/>
        <w:numPr>
          <w:ilvl w:val="0"/>
          <w:numId w:val="114"/>
        </w:numPr>
        <w:tabs>
          <w:tab w:pos="1036" w:val="left" w:leader="none"/>
          <w:tab w:pos="1037" w:val="left" w:leader="none"/>
        </w:tabs>
        <w:spacing w:line="240" w:lineRule="auto" w:before="183" w:after="0"/>
        <w:ind w:left="1036" w:right="0" w:hanging="360"/>
        <w:jc w:val="left"/>
        <w:rPr>
          <w:sz w:val="38"/>
        </w:rPr>
      </w:pPr>
      <w:r>
        <w:rPr>
          <w:sz w:val="38"/>
        </w:rPr>
        <w:t>heavy consumers of alcohol,</w:t>
      </w:r>
    </w:p>
    <w:p>
      <w:pPr>
        <w:pStyle w:val="ListParagraph"/>
        <w:numPr>
          <w:ilvl w:val="0"/>
          <w:numId w:val="114"/>
        </w:numPr>
        <w:tabs>
          <w:tab w:pos="1036" w:val="left" w:leader="none"/>
          <w:tab w:pos="1037" w:val="left" w:leader="none"/>
        </w:tabs>
        <w:spacing w:line="240" w:lineRule="auto" w:before="184" w:after="0"/>
        <w:ind w:left="1036" w:right="0" w:hanging="360"/>
        <w:jc w:val="left"/>
        <w:rPr>
          <w:sz w:val="38"/>
        </w:rPr>
      </w:pPr>
      <w:r>
        <w:rPr>
          <w:sz w:val="38"/>
        </w:rPr>
        <w:t>performance athletes,</w:t>
      </w:r>
    </w:p>
    <w:p>
      <w:pPr>
        <w:pStyle w:val="ListParagraph"/>
        <w:numPr>
          <w:ilvl w:val="0"/>
          <w:numId w:val="114"/>
        </w:numPr>
        <w:tabs>
          <w:tab w:pos="1036" w:val="left" w:leader="none"/>
          <w:tab w:pos="1037" w:val="left" w:leader="none"/>
        </w:tabs>
        <w:spacing w:line="240" w:lineRule="auto" w:before="186" w:after="0"/>
        <w:ind w:left="1036" w:right="0" w:hanging="360"/>
        <w:jc w:val="left"/>
        <w:rPr>
          <w:sz w:val="38"/>
        </w:rPr>
      </w:pPr>
      <w:r>
        <w:rPr>
          <w:sz w:val="38"/>
        </w:rPr>
        <w:t>vegetarians,</w:t>
      </w:r>
    </w:p>
    <w:p>
      <w:pPr>
        <w:pStyle w:val="ListParagraph"/>
        <w:numPr>
          <w:ilvl w:val="0"/>
          <w:numId w:val="114"/>
        </w:numPr>
        <w:tabs>
          <w:tab w:pos="1036" w:val="left" w:leader="none"/>
          <w:tab w:pos="1037" w:val="left" w:leader="none"/>
        </w:tabs>
        <w:spacing w:line="240" w:lineRule="auto" w:before="184" w:after="0"/>
        <w:ind w:left="1036" w:right="0" w:hanging="360"/>
        <w:jc w:val="left"/>
        <w:rPr>
          <w:sz w:val="38"/>
        </w:rPr>
      </w:pPr>
      <w:r>
        <w:rPr>
          <w:sz w:val="38"/>
        </w:rPr>
        <w:t>people with a parenteral</w:t>
      </w:r>
      <w:r>
        <w:rPr>
          <w:spacing w:val="-1"/>
          <w:sz w:val="38"/>
        </w:rPr>
        <w:t> </w:t>
      </w:r>
      <w:r>
        <w:rPr>
          <w:sz w:val="38"/>
        </w:rPr>
        <w:t>diet,</w:t>
      </w:r>
    </w:p>
    <w:p>
      <w:pPr>
        <w:pStyle w:val="ListParagraph"/>
        <w:numPr>
          <w:ilvl w:val="0"/>
          <w:numId w:val="114"/>
        </w:numPr>
        <w:tabs>
          <w:tab w:pos="1036" w:val="left" w:leader="none"/>
          <w:tab w:pos="1037" w:val="left" w:leader="none"/>
        </w:tabs>
        <w:spacing w:line="240" w:lineRule="auto" w:before="184" w:after="0"/>
        <w:ind w:left="1036" w:right="0" w:hanging="360"/>
        <w:jc w:val="left"/>
        <w:rPr>
          <w:sz w:val="38"/>
        </w:rPr>
      </w:pPr>
      <w:r>
        <w:rPr>
          <w:sz w:val="38"/>
        </w:rPr>
        <w:t>dialysis patients/sufferers of kidney</w:t>
      </w:r>
      <w:r>
        <w:rPr>
          <w:spacing w:val="2"/>
          <w:sz w:val="38"/>
        </w:rPr>
        <w:t> </w:t>
      </w:r>
      <w:r>
        <w:rPr>
          <w:sz w:val="38"/>
        </w:rPr>
        <w:t>diseases,</w:t>
      </w:r>
    </w:p>
    <w:p>
      <w:pPr>
        <w:pStyle w:val="ListParagraph"/>
        <w:numPr>
          <w:ilvl w:val="0"/>
          <w:numId w:val="114"/>
        </w:numPr>
        <w:tabs>
          <w:tab w:pos="1036" w:val="left" w:leader="none"/>
          <w:tab w:pos="1037" w:val="left" w:leader="none"/>
        </w:tabs>
        <w:spacing w:line="240" w:lineRule="auto" w:before="183" w:after="0"/>
        <w:ind w:left="1036" w:right="0" w:hanging="360"/>
        <w:jc w:val="left"/>
        <w:rPr>
          <w:sz w:val="38"/>
        </w:rPr>
      </w:pPr>
      <w:r>
        <w:rPr>
          <w:sz w:val="38"/>
        </w:rPr>
        <w:t>people taking dehydrating</w:t>
      </w:r>
      <w:r>
        <w:rPr>
          <w:spacing w:val="-1"/>
          <w:sz w:val="38"/>
        </w:rPr>
        <w:t> </w:t>
      </w:r>
      <w:r>
        <w:rPr>
          <w:sz w:val="38"/>
        </w:rPr>
        <w:t>medications,</w:t>
      </w:r>
    </w:p>
    <w:p>
      <w:pPr>
        <w:pStyle w:val="ListParagraph"/>
        <w:numPr>
          <w:ilvl w:val="0"/>
          <w:numId w:val="114"/>
        </w:numPr>
        <w:tabs>
          <w:tab w:pos="1036" w:val="left" w:leader="none"/>
          <w:tab w:pos="1037" w:val="left" w:leader="none"/>
        </w:tabs>
        <w:spacing w:line="240" w:lineRule="auto" w:before="186" w:after="0"/>
        <w:ind w:left="1036" w:right="0" w:hanging="360"/>
        <w:jc w:val="left"/>
        <w:rPr>
          <w:sz w:val="38"/>
        </w:rPr>
      </w:pPr>
      <w:r>
        <w:rPr>
          <w:sz w:val="38"/>
        </w:rPr>
        <w:t>people taking</w:t>
      </w:r>
      <w:r>
        <w:rPr>
          <w:spacing w:val="-1"/>
          <w:sz w:val="38"/>
        </w:rPr>
        <w:t> </w:t>
      </w:r>
      <w:r>
        <w:rPr>
          <w:sz w:val="38"/>
        </w:rPr>
        <w:t>laxatives,</w:t>
      </w:r>
    </w:p>
    <w:p>
      <w:pPr>
        <w:pStyle w:val="ListParagraph"/>
        <w:numPr>
          <w:ilvl w:val="0"/>
          <w:numId w:val="114"/>
        </w:numPr>
        <w:tabs>
          <w:tab w:pos="1036" w:val="left" w:leader="none"/>
          <w:tab w:pos="1037" w:val="left" w:leader="none"/>
        </w:tabs>
        <w:spacing w:line="240" w:lineRule="auto" w:before="184" w:after="0"/>
        <w:ind w:left="1036" w:right="0" w:hanging="360"/>
        <w:jc w:val="left"/>
        <w:rPr>
          <w:sz w:val="38"/>
        </w:rPr>
      </w:pPr>
      <w:r>
        <w:rPr>
          <w:sz w:val="38"/>
        </w:rPr>
        <w:t>people taking cholesterol-lowering medications,</w:t>
      </w:r>
    </w:p>
    <w:p>
      <w:pPr>
        <w:pStyle w:val="ListParagraph"/>
        <w:numPr>
          <w:ilvl w:val="0"/>
          <w:numId w:val="114"/>
        </w:numPr>
        <w:tabs>
          <w:tab w:pos="1036" w:val="left" w:leader="none"/>
          <w:tab w:pos="1037" w:val="left" w:leader="none"/>
        </w:tabs>
        <w:spacing w:line="240" w:lineRule="auto" w:before="184" w:after="0"/>
        <w:ind w:left="1036" w:right="0" w:hanging="360"/>
        <w:jc w:val="left"/>
        <w:rPr>
          <w:sz w:val="38"/>
        </w:rPr>
      </w:pPr>
      <w:r>
        <w:rPr>
          <w:sz w:val="38"/>
        </w:rPr>
        <w:t>pregnant women and nursing</w:t>
      </w:r>
      <w:r>
        <w:rPr>
          <w:spacing w:val="1"/>
          <w:sz w:val="38"/>
        </w:rPr>
        <w:t> </w:t>
      </w:r>
      <w:r>
        <w:rPr>
          <w:sz w:val="38"/>
        </w:rPr>
        <w:t>mothers,</w:t>
      </w:r>
    </w:p>
    <w:p>
      <w:pPr>
        <w:pStyle w:val="ListParagraph"/>
        <w:numPr>
          <w:ilvl w:val="0"/>
          <w:numId w:val="114"/>
        </w:numPr>
        <w:tabs>
          <w:tab w:pos="1036" w:val="left" w:leader="none"/>
          <w:tab w:pos="1037" w:val="left" w:leader="none"/>
        </w:tabs>
        <w:spacing w:line="240" w:lineRule="auto" w:before="184" w:after="0"/>
        <w:ind w:left="1036" w:right="0" w:hanging="360"/>
        <w:jc w:val="left"/>
        <w:rPr>
          <w:sz w:val="38"/>
        </w:rPr>
      </w:pPr>
      <w:r>
        <w:rPr>
          <w:sz w:val="38"/>
        </w:rPr>
        <w:t>stress-plagued</w:t>
      </w:r>
      <w:r>
        <w:rPr>
          <w:spacing w:val="-1"/>
          <w:sz w:val="38"/>
        </w:rPr>
        <w:t> </w:t>
      </w:r>
      <w:r>
        <w:rPr>
          <w:sz w:val="38"/>
        </w:rPr>
        <w:t>people,</w:t>
      </w:r>
    </w:p>
    <w:p>
      <w:pPr>
        <w:pStyle w:val="ListParagraph"/>
        <w:numPr>
          <w:ilvl w:val="0"/>
          <w:numId w:val="114"/>
        </w:numPr>
        <w:tabs>
          <w:tab w:pos="1036" w:val="left" w:leader="none"/>
          <w:tab w:pos="1037" w:val="left" w:leader="none"/>
        </w:tabs>
        <w:spacing w:line="240" w:lineRule="auto" w:before="183" w:after="0"/>
        <w:ind w:left="1036" w:right="0" w:hanging="360"/>
        <w:jc w:val="left"/>
        <w:rPr>
          <w:sz w:val="38"/>
        </w:rPr>
      </w:pPr>
      <w:r>
        <w:rPr>
          <w:sz w:val="38"/>
        </w:rPr>
        <w:t>rheumatism patients,</w:t>
      </w:r>
    </w:p>
    <w:p>
      <w:pPr>
        <w:pStyle w:val="ListParagraph"/>
        <w:numPr>
          <w:ilvl w:val="0"/>
          <w:numId w:val="114"/>
        </w:numPr>
        <w:tabs>
          <w:tab w:pos="1036" w:val="left" w:leader="none"/>
          <w:tab w:pos="1037" w:val="left" w:leader="none"/>
        </w:tabs>
        <w:spacing w:line="240" w:lineRule="auto" w:before="186" w:after="0"/>
        <w:ind w:left="1036" w:right="0" w:hanging="360"/>
        <w:jc w:val="left"/>
        <w:rPr>
          <w:sz w:val="38"/>
        </w:rPr>
      </w:pPr>
      <w:r>
        <w:rPr>
          <w:sz w:val="38"/>
        </w:rPr>
        <w:t>cancer sufferers,</w:t>
      </w:r>
    </w:p>
    <w:p>
      <w:pPr>
        <w:pStyle w:val="ListParagraph"/>
        <w:numPr>
          <w:ilvl w:val="0"/>
          <w:numId w:val="114"/>
        </w:numPr>
        <w:tabs>
          <w:tab w:pos="1036" w:val="left" w:leader="none"/>
          <w:tab w:pos="1037" w:val="left" w:leader="none"/>
        </w:tabs>
        <w:spacing w:line="240" w:lineRule="auto" w:before="184" w:after="0"/>
        <w:ind w:left="1036" w:right="0" w:hanging="360"/>
        <w:jc w:val="left"/>
        <w:rPr>
          <w:sz w:val="38"/>
        </w:rPr>
      </w:pPr>
      <w:r>
        <w:rPr>
          <w:sz w:val="38"/>
        </w:rPr>
        <w:t>chemotherapy patients,</w:t>
      </w:r>
    </w:p>
    <w:p>
      <w:pPr>
        <w:pStyle w:val="ListParagraph"/>
        <w:numPr>
          <w:ilvl w:val="0"/>
          <w:numId w:val="114"/>
        </w:numPr>
        <w:tabs>
          <w:tab w:pos="1036" w:val="left" w:leader="none"/>
          <w:tab w:pos="1037" w:val="left" w:leader="none"/>
        </w:tabs>
        <w:spacing w:line="240" w:lineRule="auto" w:before="184" w:after="0"/>
        <w:ind w:left="1036" w:right="0" w:hanging="360"/>
        <w:jc w:val="left"/>
        <w:rPr>
          <w:sz w:val="38"/>
        </w:rPr>
      </w:pPr>
      <w:r>
        <w:rPr>
          <w:sz w:val="38"/>
        </w:rPr>
        <w:t>radiation therapy</w:t>
      </w:r>
      <w:r>
        <w:rPr>
          <w:spacing w:val="1"/>
          <w:sz w:val="38"/>
        </w:rPr>
        <w:t> </w:t>
      </w:r>
      <w:r>
        <w:rPr>
          <w:sz w:val="38"/>
        </w:rPr>
        <w:t>patients,</w:t>
      </w:r>
    </w:p>
    <w:p>
      <w:pPr>
        <w:pStyle w:val="ListParagraph"/>
        <w:numPr>
          <w:ilvl w:val="0"/>
          <w:numId w:val="114"/>
        </w:numPr>
        <w:tabs>
          <w:tab w:pos="1036" w:val="left" w:leader="none"/>
          <w:tab w:pos="1037" w:val="left" w:leader="none"/>
        </w:tabs>
        <w:spacing w:line="240" w:lineRule="auto" w:before="184" w:after="0"/>
        <w:ind w:left="1036" w:right="0" w:hanging="360"/>
        <w:jc w:val="left"/>
        <w:rPr>
          <w:sz w:val="38"/>
        </w:rPr>
      </w:pPr>
      <w:r>
        <w:rPr>
          <w:sz w:val="38"/>
        </w:rPr>
        <w:t>heart disease patients,</w:t>
      </w:r>
    </w:p>
    <w:p>
      <w:pPr>
        <w:spacing w:after="0" w:line="240" w:lineRule="auto"/>
        <w:jc w:val="left"/>
        <w:rPr>
          <w:sz w:val="38"/>
        </w:rPr>
        <w:sectPr>
          <w:pgSz w:w="14270" w:h="16850"/>
          <w:pgMar w:header="0" w:footer="1891" w:top="1360" w:bottom="2080" w:left="800" w:right="1280"/>
        </w:sectPr>
      </w:pPr>
    </w:p>
    <w:p>
      <w:pPr>
        <w:pStyle w:val="ListParagraph"/>
        <w:numPr>
          <w:ilvl w:val="0"/>
          <w:numId w:val="114"/>
        </w:numPr>
        <w:tabs>
          <w:tab w:pos="1036" w:val="left" w:leader="none"/>
          <w:tab w:pos="1037" w:val="left" w:leader="none"/>
        </w:tabs>
        <w:spacing w:line="240" w:lineRule="auto" w:before="53" w:after="0"/>
        <w:ind w:left="1036" w:right="0" w:hanging="360"/>
        <w:jc w:val="left"/>
        <w:rPr>
          <w:sz w:val="38"/>
        </w:rPr>
      </w:pPr>
      <w:r>
        <w:rPr>
          <w:sz w:val="38"/>
        </w:rPr>
        <w:t>patients with inflammatory illnesses of the intestinal tract,</w:t>
      </w:r>
    </w:p>
    <w:p>
      <w:pPr>
        <w:pStyle w:val="ListParagraph"/>
        <w:numPr>
          <w:ilvl w:val="0"/>
          <w:numId w:val="114"/>
        </w:numPr>
        <w:tabs>
          <w:tab w:pos="1036" w:val="left" w:leader="none"/>
          <w:tab w:pos="1037" w:val="left" w:leader="none"/>
        </w:tabs>
        <w:spacing w:line="240" w:lineRule="auto" w:before="186" w:after="0"/>
        <w:ind w:left="1036" w:right="0" w:hanging="360"/>
        <w:jc w:val="left"/>
        <w:rPr>
          <w:sz w:val="38"/>
        </w:rPr>
      </w:pPr>
      <w:r>
        <w:rPr>
          <w:sz w:val="38"/>
        </w:rPr>
        <w:t>people with autoimmune diseases,</w:t>
      </w:r>
    </w:p>
    <w:p>
      <w:pPr>
        <w:pStyle w:val="ListParagraph"/>
        <w:numPr>
          <w:ilvl w:val="0"/>
          <w:numId w:val="114"/>
        </w:numPr>
        <w:tabs>
          <w:tab w:pos="1036" w:val="left" w:leader="none"/>
          <w:tab w:pos="1037" w:val="left" w:leader="none"/>
        </w:tabs>
        <w:spacing w:line="240" w:lineRule="auto" w:before="184" w:after="0"/>
        <w:ind w:left="1036" w:right="0" w:hanging="360"/>
        <w:jc w:val="left"/>
        <w:rPr>
          <w:sz w:val="38"/>
        </w:rPr>
      </w:pPr>
      <w:r>
        <w:rPr>
          <w:sz w:val="38"/>
        </w:rPr>
        <w:t>people suffering from</w:t>
      </w:r>
      <w:r>
        <w:rPr>
          <w:spacing w:val="-3"/>
          <w:sz w:val="38"/>
        </w:rPr>
        <w:t> </w:t>
      </w:r>
      <w:r>
        <w:rPr>
          <w:sz w:val="38"/>
        </w:rPr>
        <w:t>immunodeficiency,</w:t>
      </w:r>
    </w:p>
    <w:p>
      <w:pPr>
        <w:pStyle w:val="ListParagraph"/>
        <w:numPr>
          <w:ilvl w:val="0"/>
          <w:numId w:val="114"/>
        </w:numPr>
        <w:tabs>
          <w:tab w:pos="1036" w:val="left" w:leader="none"/>
          <w:tab w:pos="1037" w:val="left" w:leader="none"/>
        </w:tabs>
        <w:spacing w:line="240" w:lineRule="auto" w:before="184" w:after="0"/>
        <w:ind w:left="1036" w:right="0" w:hanging="360"/>
        <w:jc w:val="left"/>
        <w:rPr>
          <w:sz w:val="38"/>
        </w:rPr>
      </w:pPr>
      <w:r>
        <w:rPr>
          <w:sz w:val="38"/>
        </w:rPr>
        <w:t>people with amalgam in their</w:t>
      </w:r>
      <w:r>
        <w:rPr>
          <w:spacing w:val="-1"/>
          <w:sz w:val="38"/>
        </w:rPr>
        <w:t> </w:t>
      </w:r>
      <w:r>
        <w:rPr>
          <w:sz w:val="38"/>
        </w:rPr>
        <w:t>mouths,</w:t>
      </w:r>
    </w:p>
    <w:p>
      <w:pPr>
        <w:pStyle w:val="ListParagraph"/>
        <w:numPr>
          <w:ilvl w:val="0"/>
          <w:numId w:val="114"/>
        </w:numPr>
        <w:tabs>
          <w:tab w:pos="1036" w:val="left" w:leader="none"/>
          <w:tab w:pos="1037" w:val="left" w:leader="none"/>
        </w:tabs>
        <w:spacing w:line="240" w:lineRule="auto" w:before="183" w:after="0"/>
        <w:ind w:left="1036" w:right="0" w:hanging="360"/>
        <w:jc w:val="left"/>
        <w:rPr>
          <w:sz w:val="38"/>
        </w:rPr>
      </w:pPr>
      <w:r>
        <w:rPr>
          <w:sz w:val="38"/>
        </w:rPr>
        <w:t>people professionally exposed to toxic substances,</w:t>
      </w:r>
    </w:p>
    <w:p>
      <w:pPr>
        <w:pStyle w:val="ListParagraph"/>
        <w:numPr>
          <w:ilvl w:val="0"/>
          <w:numId w:val="114"/>
        </w:numPr>
        <w:tabs>
          <w:tab w:pos="1036" w:val="left" w:leader="none"/>
          <w:tab w:pos="1037" w:val="left" w:leader="none"/>
        </w:tabs>
        <w:spacing w:line="240" w:lineRule="auto" w:before="184" w:after="0"/>
        <w:ind w:left="1036" w:right="0" w:hanging="360"/>
        <w:jc w:val="left"/>
        <w:rPr>
          <w:sz w:val="38"/>
        </w:rPr>
      </w:pPr>
      <w:r>
        <w:rPr>
          <w:sz w:val="38"/>
        </w:rPr>
        <w:t>residents of large cities (car exhaust</w:t>
      </w:r>
      <w:r>
        <w:rPr>
          <w:spacing w:val="3"/>
          <w:sz w:val="38"/>
        </w:rPr>
        <w:t> </w:t>
      </w:r>
      <w:r>
        <w:rPr>
          <w:sz w:val="38"/>
        </w:rPr>
        <w:t>fumes),</w:t>
      </w:r>
    </w:p>
    <w:p>
      <w:pPr>
        <w:pStyle w:val="ListParagraph"/>
        <w:numPr>
          <w:ilvl w:val="0"/>
          <w:numId w:val="114"/>
        </w:numPr>
        <w:tabs>
          <w:tab w:pos="1036" w:val="left" w:leader="none"/>
          <w:tab w:pos="1037" w:val="left" w:leader="none"/>
        </w:tabs>
        <w:spacing w:line="240" w:lineRule="auto" w:before="186" w:after="0"/>
        <w:ind w:left="1036" w:right="0" w:hanging="360"/>
        <w:jc w:val="left"/>
        <w:rPr>
          <w:sz w:val="38"/>
        </w:rPr>
      </w:pPr>
      <w:r>
        <w:rPr>
          <w:sz w:val="38"/>
        </w:rPr>
        <w:t>people more heavily exposed to solar radiation (UV</w:t>
      </w:r>
      <w:r>
        <w:rPr>
          <w:spacing w:val="-34"/>
          <w:sz w:val="38"/>
        </w:rPr>
        <w:t> </w:t>
      </w:r>
      <w:r>
        <w:rPr>
          <w:sz w:val="38"/>
        </w:rPr>
        <w:t>rays).</w:t>
      </w:r>
    </w:p>
    <w:p>
      <w:pPr>
        <w:pStyle w:val="Heading1"/>
        <w:spacing w:before="285"/>
        <w:ind w:left="616"/>
        <w:rPr>
          <w:b w:val="0"/>
          <w:i w:val="0"/>
          <w:sz w:val="25"/>
        </w:rPr>
      </w:pPr>
      <w:r>
        <w:rPr/>
        <w:t>Among</w:t>
      </w:r>
      <w:r>
        <w:rPr>
          <w:spacing w:val="-66"/>
        </w:rPr>
        <w:t> </w:t>
      </w:r>
      <w:r>
        <w:rPr/>
        <w:t>the</w:t>
      </w:r>
      <w:r>
        <w:rPr>
          <w:spacing w:val="-65"/>
        </w:rPr>
        <w:t> </w:t>
      </w:r>
      <w:r>
        <w:rPr/>
        <w:t>regions</w:t>
      </w:r>
      <w:r>
        <w:rPr>
          <w:spacing w:val="-66"/>
        </w:rPr>
        <w:t> </w:t>
      </w:r>
      <w:r>
        <w:rPr/>
        <w:t>with</w:t>
      </w:r>
      <w:r>
        <w:rPr>
          <w:spacing w:val="-66"/>
        </w:rPr>
        <w:t> </w:t>
      </w:r>
      <w:r>
        <w:rPr/>
        <w:t>a</w:t>
      </w:r>
      <w:r>
        <w:rPr>
          <w:spacing w:val="-65"/>
        </w:rPr>
        <w:t> </w:t>
      </w:r>
      <w:r>
        <w:rPr/>
        <w:t>pronounced</w:t>
      </w:r>
      <w:r>
        <w:rPr>
          <w:spacing w:val="-66"/>
        </w:rPr>
        <w:t> </w:t>
      </w:r>
      <w:r>
        <w:rPr/>
        <w:t>selenium</w:t>
      </w:r>
      <w:r>
        <w:rPr>
          <w:spacing w:val="-66"/>
        </w:rPr>
        <w:t> </w:t>
      </w:r>
      <w:r>
        <w:rPr/>
        <w:t>deficit</w:t>
      </w:r>
      <w:r>
        <w:rPr>
          <w:spacing w:val="-66"/>
        </w:rPr>
        <w:t> </w:t>
      </w:r>
      <w:r>
        <w:rPr/>
        <w:t>are:</w:t>
      </w:r>
      <w:r>
        <w:rPr>
          <w:b w:val="0"/>
          <w:i w:val="0"/>
          <w:position w:val="9"/>
          <w:sz w:val="25"/>
        </w:rPr>
        <w:t>835</w:t>
      </w:r>
    </w:p>
    <w:p>
      <w:pPr>
        <w:pStyle w:val="ListParagraph"/>
        <w:numPr>
          <w:ilvl w:val="0"/>
          <w:numId w:val="114"/>
        </w:numPr>
        <w:tabs>
          <w:tab w:pos="1036" w:val="left" w:leader="none"/>
          <w:tab w:pos="1037" w:val="left" w:leader="none"/>
        </w:tabs>
        <w:spacing w:line="273" w:lineRule="auto" w:before="301" w:after="0"/>
        <w:ind w:left="1036" w:right="139" w:hanging="360"/>
        <w:jc w:val="left"/>
        <w:rPr>
          <w:sz w:val="38"/>
        </w:rPr>
      </w:pPr>
      <w:r>
        <w:rPr>
          <w:sz w:val="38"/>
        </w:rPr>
        <w:t>Germany (demonstrated without objection in 1987 by Prof. Dr. Hartfiel of the University of</w:t>
      </w:r>
      <w:r>
        <w:rPr>
          <w:spacing w:val="-1"/>
          <w:sz w:val="38"/>
        </w:rPr>
        <w:t> </w:t>
      </w:r>
      <w:r>
        <w:rPr>
          <w:sz w:val="38"/>
        </w:rPr>
        <w:t>Bonn)</w:t>
      </w:r>
    </w:p>
    <w:p>
      <w:pPr>
        <w:pStyle w:val="ListParagraph"/>
        <w:numPr>
          <w:ilvl w:val="0"/>
          <w:numId w:val="114"/>
        </w:numPr>
        <w:tabs>
          <w:tab w:pos="1036" w:val="left" w:leader="none"/>
          <w:tab w:pos="1037" w:val="left" w:leader="none"/>
        </w:tabs>
        <w:spacing w:line="240" w:lineRule="auto" w:before="247" w:after="0"/>
        <w:ind w:left="1036" w:right="0" w:hanging="360"/>
        <w:jc w:val="left"/>
        <w:rPr>
          <w:sz w:val="38"/>
        </w:rPr>
      </w:pPr>
      <w:r>
        <w:rPr>
          <w:sz w:val="38"/>
        </w:rPr>
        <w:t>Austria</w:t>
      </w:r>
    </w:p>
    <w:p>
      <w:pPr>
        <w:pStyle w:val="ListParagraph"/>
        <w:numPr>
          <w:ilvl w:val="0"/>
          <w:numId w:val="114"/>
        </w:numPr>
        <w:tabs>
          <w:tab w:pos="1036" w:val="left" w:leader="none"/>
          <w:tab w:pos="1037" w:val="left" w:leader="none"/>
        </w:tabs>
        <w:spacing w:line="240" w:lineRule="auto" w:before="304" w:after="0"/>
        <w:ind w:left="1036" w:right="0" w:hanging="360"/>
        <w:jc w:val="left"/>
        <w:rPr>
          <w:sz w:val="38"/>
        </w:rPr>
      </w:pPr>
      <w:r>
        <w:rPr>
          <w:sz w:val="38"/>
        </w:rPr>
        <w:t>Switzerland</w:t>
      </w:r>
    </w:p>
    <w:p>
      <w:pPr>
        <w:pStyle w:val="ListParagraph"/>
        <w:numPr>
          <w:ilvl w:val="0"/>
          <w:numId w:val="114"/>
        </w:numPr>
        <w:tabs>
          <w:tab w:pos="1036" w:val="left" w:leader="none"/>
          <w:tab w:pos="1037" w:val="left" w:leader="none"/>
        </w:tabs>
        <w:spacing w:line="240" w:lineRule="auto" w:before="304" w:after="0"/>
        <w:ind w:left="1036" w:right="0" w:hanging="360"/>
        <w:jc w:val="left"/>
        <w:rPr>
          <w:sz w:val="38"/>
        </w:rPr>
      </w:pPr>
      <w:r>
        <w:rPr>
          <w:sz w:val="38"/>
        </w:rPr>
        <w:t>England</w:t>
      </w:r>
    </w:p>
    <w:p>
      <w:pPr>
        <w:pStyle w:val="ListParagraph"/>
        <w:numPr>
          <w:ilvl w:val="0"/>
          <w:numId w:val="114"/>
        </w:numPr>
        <w:tabs>
          <w:tab w:pos="1036" w:val="left" w:leader="none"/>
          <w:tab w:pos="1037" w:val="left" w:leader="none"/>
        </w:tabs>
        <w:spacing w:line="240" w:lineRule="auto" w:before="303" w:after="0"/>
        <w:ind w:left="1036" w:right="0" w:hanging="360"/>
        <w:jc w:val="left"/>
        <w:rPr>
          <w:sz w:val="38"/>
        </w:rPr>
      </w:pPr>
      <w:r>
        <w:rPr>
          <w:sz w:val="38"/>
        </w:rPr>
        <w:t>Scotland</w:t>
      </w:r>
    </w:p>
    <w:p>
      <w:pPr>
        <w:pStyle w:val="ListParagraph"/>
        <w:numPr>
          <w:ilvl w:val="0"/>
          <w:numId w:val="114"/>
        </w:numPr>
        <w:tabs>
          <w:tab w:pos="1036" w:val="left" w:leader="none"/>
          <w:tab w:pos="1037" w:val="left" w:leader="none"/>
        </w:tabs>
        <w:spacing w:line="240" w:lineRule="auto" w:before="307" w:after="0"/>
        <w:ind w:left="1036" w:right="0" w:hanging="360"/>
        <w:jc w:val="left"/>
        <w:rPr>
          <w:sz w:val="38"/>
        </w:rPr>
      </w:pPr>
      <w:r>
        <w:rPr>
          <w:sz w:val="38"/>
        </w:rPr>
        <w:t>Canada</w:t>
      </w:r>
    </w:p>
    <w:p>
      <w:pPr>
        <w:pStyle w:val="ListParagraph"/>
        <w:numPr>
          <w:ilvl w:val="0"/>
          <w:numId w:val="114"/>
        </w:numPr>
        <w:tabs>
          <w:tab w:pos="1036" w:val="left" w:leader="none"/>
          <w:tab w:pos="1037" w:val="left" w:leader="none"/>
        </w:tabs>
        <w:spacing w:line="240" w:lineRule="auto" w:before="304" w:after="0"/>
        <w:ind w:left="1036" w:right="0" w:hanging="360"/>
        <w:jc w:val="left"/>
        <w:rPr>
          <w:sz w:val="38"/>
        </w:rPr>
      </w:pPr>
      <w:r>
        <w:rPr>
          <w:sz w:val="38"/>
        </w:rPr>
        <w:t>Scandinavia</w:t>
      </w:r>
    </w:p>
    <w:p>
      <w:pPr>
        <w:pStyle w:val="BodyText"/>
        <w:spacing w:before="4"/>
        <w:rPr>
          <w:sz w:val="23"/>
        </w:rPr>
      </w:pPr>
      <w:r>
        <w:rPr/>
        <w:pict>
          <v:line style="position:absolute;mso-position-horizontal-relative:page;mso-position-vertical-relative:paragraph;z-index:11384;mso-wrap-distance-left:0;mso-wrap-distance-right:0" from="70.823997pt,15.520971pt" to="214.843997pt,15.520971pt" stroked="true" strokeweight=".72003pt" strokecolor="#000000">
            <v:stroke dashstyle="solid"/>
            <w10:wrap type="topAndBottom"/>
          </v:line>
        </w:pict>
      </w:r>
    </w:p>
    <w:p>
      <w:pPr>
        <w:pStyle w:val="BodyText"/>
        <w:spacing w:before="7"/>
        <w:rPr>
          <w:sz w:val="18"/>
        </w:rPr>
      </w:pPr>
    </w:p>
    <w:p>
      <w:pPr>
        <w:spacing w:line="273" w:lineRule="auto" w:before="99"/>
        <w:ind w:left="616" w:right="0" w:firstLine="0"/>
        <w:jc w:val="left"/>
        <w:rPr>
          <w:sz w:val="20"/>
        </w:rPr>
      </w:pPr>
      <w:r>
        <w:rPr>
          <w:position w:val="5"/>
          <w:sz w:val="13"/>
        </w:rPr>
        <w:t>835 </w:t>
      </w:r>
      <w:r>
        <w:rPr>
          <w:sz w:val="20"/>
        </w:rPr>
        <w:t>Hademar Bankhofer: BIO-SELEN, natürlicher Schutz für unser Immunsystem ('BIO-SELENIUM, Natural Defence for Our Immune System'), 5th Edition, July 1998, p. 26</w:t>
      </w:r>
    </w:p>
    <w:p>
      <w:pPr>
        <w:spacing w:after="0" w:line="273" w:lineRule="auto"/>
        <w:jc w:val="left"/>
        <w:rPr>
          <w:sz w:val="20"/>
        </w:rPr>
        <w:sectPr>
          <w:pgSz w:w="14270" w:h="16850"/>
          <w:pgMar w:header="0" w:footer="1891" w:top="1360" w:bottom="2080" w:left="800" w:right="1280"/>
        </w:sectPr>
      </w:pPr>
    </w:p>
    <w:p>
      <w:pPr>
        <w:pStyle w:val="ListParagraph"/>
        <w:numPr>
          <w:ilvl w:val="0"/>
          <w:numId w:val="114"/>
        </w:numPr>
        <w:tabs>
          <w:tab w:pos="1037" w:val="left" w:leader="none"/>
        </w:tabs>
        <w:spacing w:line="240" w:lineRule="auto" w:before="53" w:after="0"/>
        <w:ind w:left="1036" w:right="0" w:hanging="360"/>
        <w:jc w:val="both"/>
        <w:rPr>
          <w:sz w:val="38"/>
        </w:rPr>
      </w:pPr>
      <w:r>
        <w:rPr>
          <w:sz w:val="38"/>
        </w:rPr>
        <w:t>Australia</w:t>
      </w:r>
    </w:p>
    <w:p>
      <w:pPr>
        <w:pStyle w:val="ListParagraph"/>
        <w:numPr>
          <w:ilvl w:val="0"/>
          <w:numId w:val="114"/>
        </w:numPr>
        <w:tabs>
          <w:tab w:pos="1037" w:val="left" w:leader="none"/>
        </w:tabs>
        <w:spacing w:line="240" w:lineRule="auto" w:before="306" w:after="0"/>
        <w:ind w:left="1036" w:right="0" w:hanging="360"/>
        <w:jc w:val="both"/>
        <w:rPr>
          <w:sz w:val="38"/>
        </w:rPr>
      </w:pPr>
      <w:r>
        <w:rPr>
          <w:sz w:val="38"/>
        </w:rPr>
        <w:t>New</w:t>
      </w:r>
      <w:r>
        <w:rPr>
          <w:spacing w:val="-2"/>
          <w:sz w:val="38"/>
        </w:rPr>
        <w:t> </w:t>
      </w:r>
      <w:r>
        <w:rPr>
          <w:sz w:val="38"/>
        </w:rPr>
        <w:t>Zealand</w:t>
      </w:r>
    </w:p>
    <w:p>
      <w:pPr>
        <w:pStyle w:val="ListParagraph"/>
        <w:numPr>
          <w:ilvl w:val="0"/>
          <w:numId w:val="114"/>
        </w:numPr>
        <w:tabs>
          <w:tab w:pos="1037" w:val="left" w:leader="none"/>
        </w:tabs>
        <w:spacing w:line="240" w:lineRule="auto" w:before="304" w:after="0"/>
        <w:ind w:left="1036" w:right="0" w:hanging="360"/>
        <w:jc w:val="both"/>
        <w:rPr>
          <w:sz w:val="38"/>
        </w:rPr>
      </w:pPr>
      <w:r>
        <w:rPr>
          <w:sz w:val="38"/>
        </w:rPr>
        <w:t>Parts of</w:t>
      </w:r>
      <w:r>
        <w:rPr>
          <w:spacing w:val="1"/>
          <w:sz w:val="38"/>
        </w:rPr>
        <w:t> </w:t>
      </w:r>
      <w:r>
        <w:rPr>
          <w:sz w:val="38"/>
        </w:rPr>
        <w:t>China</w:t>
      </w:r>
    </w:p>
    <w:p>
      <w:pPr>
        <w:pStyle w:val="ListParagraph"/>
        <w:numPr>
          <w:ilvl w:val="0"/>
          <w:numId w:val="114"/>
        </w:numPr>
        <w:tabs>
          <w:tab w:pos="1037" w:val="left" w:leader="none"/>
        </w:tabs>
        <w:spacing w:line="240" w:lineRule="auto" w:before="304" w:after="0"/>
        <w:ind w:left="1036" w:right="0" w:hanging="360"/>
        <w:jc w:val="both"/>
        <w:rPr>
          <w:sz w:val="38"/>
        </w:rPr>
      </w:pPr>
      <w:r>
        <w:rPr>
          <w:sz w:val="38"/>
        </w:rPr>
        <w:t>Japan</w:t>
      </w:r>
    </w:p>
    <w:p>
      <w:pPr>
        <w:pStyle w:val="ListParagraph"/>
        <w:numPr>
          <w:ilvl w:val="0"/>
          <w:numId w:val="114"/>
        </w:numPr>
        <w:tabs>
          <w:tab w:pos="1037" w:val="left" w:leader="none"/>
        </w:tabs>
        <w:spacing w:line="240" w:lineRule="auto" w:before="303" w:after="0"/>
        <w:ind w:left="1036" w:right="0" w:hanging="360"/>
        <w:jc w:val="both"/>
        <w:rPr>
          <w:sz w:val="38"/>
        </w:rPr>
      </w:pPr>
      <w:r>
        <w:rPr>
          <w:sz w:val="38"/>
        </w:rPr>
        <w:t>Parts of South America</w:t>
      </w:r>
    </w:p>
    <w:p>
      <w:pPr>
        <w:pStyle w:val="ListParagraph"/>
        <w:numPr>
          <w:ilvl w:val="0"/>
          <w:numId w:val="114"/>
        </w:numPr>
        <w:tabs>
          <w:tab w:pos="1037" w:val="left" w:leader="none"/>
        </w:tabs>
        <w:spacing w:line="240" w:lineRule="auto" w:before="304" w:after="0"/>
        <w:ind w:left="1036" w:right="0" w:hanging="360"/>
        <w:jc w:val="both"/>
        <w:rPr>
          <w:sz w:val="38"/>
        </w:rPr>
      </w:pPr>
      <w:r>
        <w:rPr>
          <w:sz w:val="38"/>
        </w:rPr>
        <w:t>The East and Northwest of the United</w:t>
      </w:r>
      <w:r>
        <w:rPr>
          <w:spacing w:val="4"/>
          <w:sz w:val="38"/>
        </w:rPr>
        <w:t> </w:t>
      </w:r>
      <w:r>
        <w:rPr>
          <w:sz w:val="38"/>
        </w:rPr>
        <w:t>States</w:t>
      </w:r>
    </w:p>
    <w:p>
      <w:pPr>
        <w:pStyle w:val="Heading1"/>
        <w:spacing w:before="288"/>
        <w:ind w:left="616"/>
        <w:jc w:val="both"/>
        <w:rPr>
          <w:b w:val="0"/>
          <w:i w:val="0"/>
          <w:sz w:val="25"/>
        </w:rPr>
      </w:pPr>
      <w:r>
        <w:rPr/>
        <w:t>In contrast, selenium-rich regions with a selenium surplus are:</w:t>
      </w:r>
      <w:r>
        <w:rPr>
          <w:b w:val="0"/>
          <w:i w:val="0"/>
          <w:position w:val="9"/>
          <w:sz w:val="25"/>
        </w:rPr>
        <w:t>836</w:t>
      </w:r>
    </w:p>
    <w:p>
      <w:pPr>
        <w:pStyle w:val="ListParagraph"/>
        <w:numPr>
          <w:ilvl w:val="0"/>
          <w:numId w:val="114"/>
        </w:numPr>
        <w:tabs>
          <w:tab w:pos="1032" w:val="left" w:leader="none"/>
        </w:tabs>
        <w:spacing w:line="240" w:lineRule="auto" w:before="180" w:after="0"/>
        <w:ind w:left="1031" w:right="0" w:hanging="415"/>
        <w:jc w:val="both"/>
        <w:rPr>
          <w:sz w:val="38"/>
        </w:rPr>
      </w:pPr>
      <w:r>
        <w:rPr>
          <w:sz w:val="38"/>
        </w:rPr>
        <w:t>Western United States</w:t>
      </w:r>
    </w:p>
    <w:p>
      <w:pPr>
        <w:pStyle w:val="ListParagraph"/>
        <w:numPr>
          <w:ilvl w:val="0"/>
          <w:numId w:val="114"/>
        </w:numPr>
        <w:tabs>
          <w:tab w:pos="1032" w:val="left" w:leader="none"/>
        </w:tabs>
        <w:spacing w:line="240" w:lineRule="auto" w:before="184" w:after="0"/>
        <w:ind w:left="1031" w:right="0" w:hanging="415"/>
        <w:jc w:val="both"/>
        <w:rPr>
          <w:sz w:val="38"/>
        </w:rPr>
      </w:pPr>
      <w:r>
        <w:rPr>
          <w:sz w:val="38"/>
        </w:rPr>
        <w:t>Venezuela</w:t>
      </w:r>
    </w:p>
    <w:p>
      <w:pPr>
        <w:pStyle w:val="ListParagraph"/>
        <w:numPr>
          <w:ilvl w:val="0"/>
          <w:numId w:val="114"/>
        </w:numPr>
        <w:tabs>
          <w:tab w:pos="1032" w:val="left" w:leader="none"/>
        </w:tabs>
        <w:spacing w:line="240" w:lineRule="auto" w:before="184" w:after="0"/>
        <w:ind w:left="1031" w:right="0" w:hanging="415"/>
        <w:jc w:val="both"/>
        <w:rPr>
          <w:sz w:val="38"/>
        </w:rPr>
      </w:pPr>
      <w:r>
        <w:rPr>
          <w:sz w:val="38"/>
        </w:rPr>
        <w:t>Colombia</w:t>
      </w:r>
    </w:p>
    <w:p>
      <w:pPr>
        <w:pStyle w:val="ListParagraph"/>
        <w:numPr>
          <w:ilvl w:val="0"/>
          <w:numId w:val="114"/>
        </w:numPr>
        <w:tabs>
          <w:tab w:pos="1032" w:val="left" w:leader="none"/>
        </w:tabs>
        <w:spacing w:line="240" w:lineRule="auto" w:before="184" w:after="0"/>
        <w:ind w:left="1031" w:right="0" w:hanging="415"/>
        <w:jc w:val="both"/>
        <w:rPr>
          <w:sz w:val="38"/>
        </w:rPr>
      </w:pPr>
      <w:r>
        <w:rPr>
          <w:sz w:val="38"/>
        </w:rPr>
        <w:t>Ireland</w:t>
      </w:r>
    </w:p>
    <w:p>
      <w:pPr>
        <w:pStyle w:val="ListParagraph"/>
        <w:numPr>
          <w:ilvl w:val="0"/>
          <w:numId w:val="114"/>
        </w:numPr>
        <w:tabs>
          <w:tab w:pos="1032" w:val="left" w:leader="none"/>
        </w:tabs>
        <w:spacing w:line="240" w:lineRule="auto" w:before="183" w:after="0"/>
        <w:ind w:left="1031" w:right="0" w:hanging="415"/>
        <w:jc w:val="both"/>
        <w:rPr>
          <w:sz w:val="38"/>
        </w:rPr>
      </w:pPr>
      <w:r>
        <w:rPr>
          <w:sz w:val="38"/>
        </w:rPr>
        <w:t>Israel</w:t>
      </w:r>
    </w:p>
    <w:p>
      <w:pPr>
        <w:pStyle w:val="ListParagraph"/>
        <w:numPr>
          <w:ilvl w:val="0"/>
          <w:numId w:val="114"/>
        </w:numPr>
        <w:tabs>
          <w:tab w:pos="1032" w:val="left" w:leader="none"/>
        </w:tabs>
        <w:spacing w:line="240" w:lineRule="auto" w:before="186" w:after="0"/>
        <w:ind w:left="1031" w:right="0" w:hanging="415"/>
        <w:jc w:val="both"/>
        <w:rPr>
          <w:sz w:val="38"/>
        </w:rPr>
      </w:pPr>
      <w:r>
        <w:rPr>
          <w:sz w:val="38"/>
        </w:rPr>
        <w:t>Parts of</w:t>
      </w:r>
      <w:r>
        <w:rPr>
          <w:spacing w:val="-1"/>
          <w:sz w:val="38"/>
        </w:rPr>
        <w:t> </w:t>
      </w:r>
      <w:r>
        <w:rPr>
          <w:sz w:val="38"/>
        </w:rPr>
        <w:t>China</w:t>
      </w:r>
    </w:p>
    <w:p>
      <w:pPr>
        <w:pStyle w:val="BodyText"/>
        <w:spacing w:line="276" w:lineRule="auto" w:before="303"/>
        <w:ind w:left="616" w:right="139"/>
        <w:jc w:val="both"/>
      </w:pPr>
      <w:r>
        <w:rPr/>
        <w:t>The selenium deficit resulting from this, among other things, is visually re- flected in the form of thin hair or nail changes (white spots under the nails). Much</w:t>
      </w:r>
      <w:r>
        <w:rPr>
          <w:spacing w:val="-13"/>
        </w:rPr>
        <w:t> </w:t>
      </w:r>
      <w:r>
        <w:rPr/>
        <w:t>more</w:t>
      </w:r>
      <w:r>
        <w:rPr>
          <w:spacing w:val="-12"/>
        </w:rPr>
        <w:t> </w:t>
      </w:r>
      <w:r>
        <w:rPr/>
        <w:t>serious,</w:t>
      </w:r>
      <w:r>
        <w:rPr>
          <w:spacing w:val="-12"/>
        </w:rPr>
        <w:t> </w:t>
      </w:r>
      <w:r>
        <w:rPr/>
        <w:t>of</w:t>
      </w:r>
      <w:r>
        <w:rPr>
          <w:spacing w:val="-12"/>
        </w:rPr>
        <w:t> </w:t>
      </w:r>
      <w:r>
        <w:rPr/>
        <w:t>course,</w:t>
      </w:r>
      <w:r>
        <w:rPr>
          <w:spacing w:val="-12"/>
        </w:rPr>
        <w:t> </w:t>
      </w:r>
      <w:r>
        <w:rPr/>
        <w:t>are</w:t>
      </w:r>
      <w:r>
        <w:rPr>
          <w:spacing w:val="-12"/>
        </w:rPr>
        <w:t> </w:t>
      </w:r>
      <w:r>
        <w:rPr/>
        <w:t>the</w:t>
      </w:r>
      <w:r>
        <w:rPr>
          <w:spacing w:val="-14"/>
        </w:rPr>
        <w:t> </w:t>
      </w:r>
      <w:r>
        <w:rPr/>
        <w:t>simultaneously</w:t>
      </w:r>
      <w:r>
        <w:rPr>
          <w:spacing w:val="-12"/>
        </w:rPr>
        <w:t> </w:t>
      </w:r>
      <w:r>
        <w:rPr/>
        <w:t>occurring</w:t>
      </w:r>
      <w:r>
        <w:rPr>
          <w:spacing w:val="-15"/>
        </w:rPr>
        <w:t> </w:t>
      </w:r>
      <w:r>
        <w:rPr/>
        <w:t>changes</w:t>
      </w:r>
      <w:r>
        <w:rPr>
          <w:spacing w:val="-13"/>
        </w:rPr>
        <w:t> </w:t>
      </w:r>
      <w:r>
        <w:rPr/>
        <w:t>in</w:t>
      </w:r>
      <w:r>
        <w:rPr>
          <w:spacing w:val="-13"/>
        </w:rPr>
        <w:t> </w:t>
      </w:r>
      <w:r>
        <w:rPr/>
        <w:t>the interior</w:t>
      </w:r>
      <w:r>
        <w:rPr>
          <w:spacing w:val="-13"/>
        </w:rPr>
        <w:t> </w:t>
      </w:r>
      <w:r>
        <w:rPr/>
        <w:t>of</w:t>
      </w:r>
      <w:r>
        <w:rPr>
          <w:spacing w:val="-14"/>
        </w:rPr>
        <w:t> </w:t>
      </w:r>
      <w:r>
        <w:rPr/>
        <w:t>our</w:t>
      </w:r>
      <w:r>
        <w:rPr>
          <w:spacing w:val="-14"/>
        </w:rPr>
        <w:t> </w:t>
      </w:r>
      <w:r>
        <w:rPr/>
        <w:t>bodies,</w:t>
      </w:r>
      <w:r>
        <w:rPr>
          <w:spacing w:val="-13"/>
        </w:rPr>
        <w:t> </w:t>
      </w:r>
      <w:r>
        <w:rPr/>
        <w:t>which</w:t>
      </w:r>
      <w:r>
        <w:rPr>
          <w:spacing w:val="-13"/>
        </w:rPr>
        <w:t> </w:t>
      </w:r>
      <w:r>
        <w:rPr/>
        <w:t>only</w:t>
      </w:r>
      <w:r>
        <w:rPr>
          <w:spacing w:val="-14"/>
        </w:rPr>
        <w:t> </w:t>
      </w:r>
      <w:r>
        <w:rPr/>
        <w:t>manifest</w:t>
      </w:r>
      <w:r>
        <w:rPr>
          <w:spacing w:val="-14"/>
        </w:rPr>
        <w:t> </w:t>
      </w:r>
      <w:r>
        <w:rPr/>
        <w:t>themselves</w:t>
      </w:r>
      <w:r>
        <w:rPr>
          <w:spacing w:val="-13"/>
        </w:rPr>
        <w:t> </w:t>
      </w:r>
      <w:r>
        <w:rPr/>
        <w:t>with</w:t>
      </w:r>
      <w:r>
        <w:rPr>
          <w:spacing w:val="-14"/>
        </w:rPr>
        <w:t> </w:t>
      </w:r>
      <w:r>
        <w:rPr/>
        <w:t>the</w:t>
      </w:r>
      <w:r>
        <w:rPr>
          <w:spacing w:val="-13"/>
        </w:rPr>
        <w:t> </w:t>
      </w:r>
      <w:r>
        <w:rPr/>
        <w:t>outbreak</w:t>
      </w:r>
      <w:r>
        <w:rPr>
          <w:spacing w:val="-13"/>
        </w:rPr>
        <w:t> </w:t>
      </w:r>
      <w:r>
        <w:rPr/>
        <w:t>of</w:t>
      </w:r>
      <w:r>
        <w:rPr>
          <w:spacing w:val="-14"/>
        </w:rPr>
        <w:t> </w:t>
      </w:r>
      <w:r>
        <w:rPr/>
        <w:t>an</w:t>
      </w:r>
    </w:p>
    <w:p>
      <w:pPr>
        <w:pStyle w:val="BodyText"/>
        <w:rPr>
          <w:sz w:val="20"/>
        </w:rPr>
      </w:pPr>
    </w:p>
    <w:p>
      <w:pPr>
        <w:pStyle w:val="BodyText"/>
        <w:spacing w:before="9"/>
        <w:rPr>
          <w:sz w:val="29"/>
        </w:rPr>
      </w:pPr>
      <w:r>
        <w:rPr/>
        <w:pict>
          <v:line style="position:absolute;mso-position-horizontal-relative:page;mso-position-vertical-relative:paragraph;z-index:11408;mso-wrap-distance-left:0;mso-wrap-distance-right:0" from="70.823997pt,19.139780pt" to="214.843997pt,19.139780pt" stroked="true" strokeweight=".71997pt" strokecolor="#000000">
            <v:stroke dashstyle="solid"/>
            <w10:wrap type="topAndBottom"/>
          </v:line>
        </w:pict>
      </w:r>
    </w:p>
    <w:p>
      <w:pPr>
        <w:pStyle w:val="BodyText"/>
        <w:spacing w:before="7"/>
        <w:rPr>
          <w:sz w:val="18"/>
        </w:rPr>
      </w:pPr>
    </w:p>
    <w:p>
      <w:pPr>
        <w:spacing w:line="276" w:lineRule="auto" w:before="99"/>
        <w:ind w:left="616" w:right="0" w:firstLine="0"/>
        <w:jc w:val="left"/>
        <w:rPr>
          <w:sz w:val="20"/>
        </w:rPr>
      </w:pPr>
      <w:r>
        <w:rPr>
          <w:position w:val="5"/>
          <w:sz w:val="13"/>
        </w:rPr>
        <w:t>836 </w:t>
      </w:r>
      <w:r>
        <w:rPr>
          <w:sz w:val="20"/>
        </w:rPr>
        <w:t>Hademar Bankhofer: BIO-SELEN, natürlicher Schutz für unser Immunsystem ('BIO-SELENIUM, Natural Defence for Our Immune System'), 5th Edition, July 1998, p. 26</w:t>
      </w:r>
    </w:p>
    <w:p>
      <w:pPr>
        <w:pStyle w:val="BodyText"/>
        <w:spacing w:before="5"/>
        <w:rPr>
          <w:sz w:val="13"/>
        </w:rPr>
      </w:pPr>
      <w:r>
        <w:rPr/>
        <w:drawing>
          <wp:anchor distT="0" distB="0" distL="0" distR="0" allowOverlap="1" layoutInCell="1" locked="0" behindDoc="0" simplePos="0" relativeHeight="11432">
            <wp:simplePos x="0" y="0"/>
            <wp:positionH relativeFrom="page">
              <wp:posOffset>985998</wp:posOffset>
            </wp:positionH>
            <wp:positionV relativeFrom="paragraph">
              <wp:posOffset>121284</wp:posOffset>
            </wp:positionV>
            <wp:extent cx="6342581" cy="896874"/>
            <wp:effectExtent l="0" t="0" r="0" b="0"/>
            <wp:wrapTopAndBottom/>
            <wp:docPr id="553" name="image2.jpeg" descr=""/>
            <wp:cNvGraphicFramePr>
              <a:graphicFrameLocks noChangeAspect="1"/>
            </wp:cNvGraphicFramePr>
            <a:graphic>
              <a:graphicData uri="http://schemas.openxmlformats.org/drawingml/2006/picture">
                <pic:pic>
                  <pic:nvPicPr>
                    <pic:cNvPr id="554" name="image2.jpeg"/>
                    <pic:cNvPicPr/>
                  </pic:nvPicPr>
                  <pic:blipFill>
                    <a:blip r:embed="rId21" cstate="print"/>
                    <a:stretch>
                      <a:fillRect/>
                    </a:stretch>
                  </pic:blipFill>
                  <pic:spPr>
                    <a:xfrm>
                      <a:off x="0" y="0"/>
                      <a:ext cx="6342581" cy="896874"/>
                    </a:xfrm>
                    <a:prstGeom prst="rect">
                      <a:avLst/>
                    </a:prstGeom>
                  </pic:spPr>
                </pic:pic>
              </a:graphicData>
            </a:graphic>
          </wp:anchor>
        </w:drawing>
      </w:r>
    </w:p>
    <w:p>
      <w:pPr>
        <w:spacing w:after="0"/>
        <w:rPr>
          <w:sz w:val="13"/>
        </w:rPr>
        <w:sectPr>
          <w:footerReference w:type="default" r:id="rId351"/>
          <w:pgSz w:w="14270" w:h="16850"/>
          <w:pgMar w:footer="527" w:header="0" w:top="1360" w:bottom="720" w:left="800" w:right="1280"/>
          <w:pgNumType w:start="1453"/>
        </w:sectPr>
      </w:pPr>
    </w:p>
    <w:p>
      <w:pPr>
        <w:pStyle w:val="BodyText"/>
        <w:spacing w:before="72"/>
        <w:ind w:left="616"/>
      </w:pPr>
      <w:r>
        <w:rPr/>
        <w:t>illness, often many years later.</w:t>
      </w:r>
    </w:p>
    <w:p>
      <w:pPr>
        <w:pStyle w:val="Heading2"/>
        <w:spacing w:before="307"/>
        <w:ind w:left="616"/>
      </w:pPr>
      <w:r>
        <w:rPr/>
        <w:t>Selenium intake</w:t>
      </w:r>
    </w:p>
    <w:p>
      <w:pPr>
        <w:pStyle w:val="BodyText"/>
        <w:spacing w:line="276" w:lineRule="auto" w:before="302"/>
        <w:ind w:left="616" w:right="134"/>
        <w:jc w:val="both"/>
      </w:pPr>
      <w:r>
        <w:rPr/>
        <w:t>Because selenium is a trace element, humans do not need very much of it to remain</w:t>
      </w:r>
      <w:r>
        <w:rPr>
          <w:spacing w:val="-9"/>
        </w:rPr>
        <w:t> </w:t>
      </w:r>
      <w:r>
        <w:rPr/>
        <w:t>healthy—but</w:t>
      </w:r>
      <w:r>
        <w:rPr>
          <w:spacing w:val="-9"/>
        </w:rPr>
        <w:t> </w:t>
      </w:r>
      <w:r>
        <w:rPr/>
        <w:t>nevertheless</w:t>
      </w:r>
      <w:r>
        <w:rPr>
          <w:spacing w:val="-9"/>
        </w:rPr>
        <w:t> </w:t>
      </w:r>
      <w:r>
        <w:rPr/>
        <w:t>require</w:t>
      </w:r>
      <w:r>
        <w:rPr>
          <w:spacing w:val="-7"/>
        </w:rPr>
        <w:t> </w:t>
      </w:r>
      <w:r>
        <w:rPr/>
        <w:t>a</w:t>
      </w:r>
      <w:r>
        <w:rPr>
          <w:spacing w:val="-9"/>
        </w:rPr>
        <w:t> </w:t>
      </w:r>
      <w:r>
        <w:rPr/>
        <w:t>constant</w:t>
      </w:r>
      <w:r>
        <w:rPr>
          <w:spacing w:val="-7"/>
        </w:rPr>
        <w:t> </w:t>
      </w:r>
      <w:r>
        <w:rPr/>
        <w:t>amount</w:t>
      </w:r>
      <w:r>
        <w:rPr>
          <w:spacing w:val="-9"/>
        </w:rPr>
        <w:t> </w:t>
      </w:r>
      <w:r>
        <w:rPr/>
        <w:t>that</w:t>
      </w:r>
      <w:r>
        <w:rPr>
          <w:spacing w:val="-9"/>
        </w:rPr>
        <w:t> </w:t>
      </w:r>
      <w:r>
        <w:rPr/>
        <w:t>must</w:t>
      </w:r>
      <w:r>
        <w:rPr>
          <w:spacing w:val="-8"/>
        </w:rPr>
        <w:t> </w:t>
      </w:r>
      <w:r>
        <w:rPr/>
        <w:t>be</w:t>
      </w:r>
      <w:r>
        <w:rPr>
          <w:spacing w:val="-9"/>
        </w:rPr>
        <w:t> </w:t>
      </w:r>
      <w:r>
        <w:rPr/>
        <w:t>reg- ularly administered to the body! If selenium supply remains deficient or insuf- ficient for a long period of time, this can express itself in serious illnesses like cancer or cardiovascular disease. Selenium is constantly present in the body</w:t>
      </w:r>
      <w:r>
        <w:rPr>
          <w:spacing w:val="-58"/>
        </w:rPr>
        <w:t> </w:t>
      </w:r>
      <w:r>
        <w:rPr/>
        <w:t>of a healthy person in total amounts of 16-20 mg and is located</w:t>
      </w:r>
      <w:r>
        <w:rPr>
          <w:spacing w:val="-5"/>
        </w:rPr>
        <w:t> </w:t>
      </w:r>
      <w:r>
        <w:rPr/>
        <w:t>in:</w:t>
      </w:r>
    </w:p>
    <w:p>
      <w:pPr>
        <w:pStyle w:val="ListParagraph"/>
        <w:numPr>
          <w:ilvl w:val="0"/>
          <w:numId w:val="114"/>
        </w:numPr>
        <w:tabs>
          <w:tab w:pos="1032" w:val="left" w:leader="none"/>
        </w:tabs>
        <w:spacing w:line="240" w:lineRule="auto" w:before="242" w:after="0"/>
        <w:ind w:left="1031" w:right="0" w:hanging="415"/>
        <w:jc w:val="both"/>
        <w:rPr>
          <w:sz w:val="38"/>
        </w:rPr>
      </w:pPr>
      <w:r>
        <w:rPr>
          <w:sz w:val="38"/>
        </w:rPr>
        <w:t>Thyroid</w:t>
      </w:r>
      <w:r>
        <w:rPr>
          <w:spacing w:val="-1"/>
          <w:sz w:val="38"/>
        </w:rPr>
        <w:t> </w:t>
      </w:r>
      <w:r>
        <w:rPr>
          <w:sz w:val="38"/>
        </w:rPr>
        <w:t>gland</w:t>
      </w:r>
    </w:p>
    <w:p>
      <w:pPr>
        <w:pStyle w:val="ListParagraph"/>
        <w:numPr>
          <w:ilvl w:val="0"/>
          <w:numId w:val="114"/>
        </w:numPr>
        <w:tabs>
          <w:tab w:pos="1032" w:val="left" w:leader="none"/>
        </w:tabs>
        <w:spacing w:line="240" w:lineRule="auto" w:before="303" w:after="0"/>
        <w:ind w:left="1031" w:right="0" w:hanging="415"/>
        <w:jc w:val="both"/>
        <w:rPr>
          <w:sz w:val="38"/>
        </w:rPr>
      </w:pPr>
      <w:r>
        <w:rPr>
          <w:sz w:val="38"/>
        </w:rPr>
        <w:t>Kidneys</w:t>
      </w:r>
    </w:p>
    <w:p>
      <w:pPr>
        <w:pStyle w:val="ListParagraph"/>
        <w:numPr>
          <w:ilvl w:val="0"/>
          <w:numId w:val="114"/>
        </w:numPr>
        <w:tabs>
          <w:tab w:pos="1032" w:val="left" w:leader="none"/>
        </w:tabs>
        <w:spacing w:line="240" w:lineRule="auto" w:before="306" w:after="0"/>
        <w:ind w:left="1031" w:right="0" w:hanging="415"/>
        <w:jc w:val="both"/>
        <w:rPr>
          <w:sz w:val="38"/>
        </w:rPr>
      </w:pPr>
      <w:r>
        <w:rPr>
          <w:sz w:val="38"/>
        </w:rPr>
        <w:t>Hearts</w:t>
      </w:r>
    </w:p>
    <w:p>
      <w:pPr>
        <w:pStyle w:val="ListParagraph"/>
        <w:numPr>
          <w:ilvl w:val="0"/>
          <w:numId w:val="114"/>
        </w:numPr>
        <w:tabs>
          <w:tab w:pos="1032" w:val="left" w:leader="none"/>
        </w:tabs>
        <w:spacing w:line="240" w:lineRule="auto" w:before="304" w:after="0"/>
        <w:ind w:left="1031" w:right="0" w:hanging="415"/>
        <w:jc w:val="both"/>
        <w:rPr>
          <w:sz w:val="38"/>
        </w:rPr>
      </w:pPr>
      <w:r>
        <w:rPr>
          <w:sz w:val="38"/>
        </w:rPr>
        <w:t>Testes</w:t>
      </w:r>
    </w:p>
    <w:p>
      <w:pPr>
        <w:pStyle w:val="ListParagraph"/>
        <w:numPr>
          <w:ilvl w:val="0"/>
          <w:numId w:val="114"/>
        </w:numPr>
        <w:tabs>
          <w:tab w:pos="1032" w:val="left" w:leader="none"/>
        </w:tabs>
        <w:spacing w:line="240" w:lineRule="auto" w:before="304" w:after="0"/>
        <w:ind w:left="1031" w:right="0" w:hanging="415"/>
        <w:jc w:val="both"/>
        <w:rPr>
          <w:sz w:val="38"/>
        </w:rPr>
      </w:pPr>
      <w:r>
        <w:rPr>
          <w:sz w:val="38"/>
        </w:rPr>
        <w:t>Prostate</w:t>
      </w:r>
    </w:p>
    <w:p>
      <w:pPr>
        <w:pStyle w:val="ListParagraph"/>
        <w:numPr>
          <w:ilvl w:val="0"/>
          <w:numId w:val="114"/>
        </w:numPr>
        <w:tabs>
          <w:tab w:pos="1032" w:val="left" w:leader="none"/>
        </w:tabs>
        <w:spacing w:line="240" w:lineRule="auto" w:before="304" w:after="0"/>
        <w:ind w:left="1031" w:right="0" w:hanging="415"/>
        <w:jc w:val="both"/>
        <w:rPr>
          <w:sz w:val="38"/>
        </w:rPr>
      </w:pPr>
      <w:r>
        <w:rPr>
          <w:sz w:val="38"/>
        </w:rPr>
        <w:t>Sexual</w:t>
      </w:r>
      <w:r>
        <w:rPr>
          <w:spacing w:val="-2"/>
          <w:sz w:val="38"/>
        </w:rPr>
        <w:t> </w:t>
      </w:r>
      <w:r>
        <w:rPr>
          <w:sz w:val="38"/>
        </w:rPr>
        <w:t>glands</w:t>
      </w:r>
    </w:p>
    <w:p>
      <w:pPr>
        <w:pStyle w:val="ListParagraph"/>
        <w:numPr>
          <w:ilvl w:val="0"/>
          <w:numId w:val="114"/>
        </w:numPr>
        <w:tabs>
          <w:tab w:pos="1032" w:val="left" w:leader="none"/>
        </w:tabs>
        <w:spacing w:line="240" w:lineRule="auto" w:before="303" w:after="0"/>
        <w:ind w:left="1031" w:right="0" w:hanging="415"/>
        <w:jc w:val="both"/>
        <w:rPr>
          <w:sz w:val="38"/>
        </w:rPr>
      </w:pPr>
      <w:r>
        <w:rPr>
          <w:sz w:val="38"/>
        </w:rPr>
        <w:t>Blood</w:t>
      </w:r>
      <w:r>
        <w:rPr>
          <w:spacing w:val="-1"/>
          <w:sz w:val="38"/>
        </w:rPr>
        <w:t> </w:t>
      </w:r>
      <w:r>
        <w:rPr>
          <w:sz w:val="38"/>
        </w:rPr>
        <w:t>plasma</w:t>
      </w:r>
    </w:p>
    <w:p>
      <w:pPr>
        <w:pStyle w:val="BodyText"/>
        <w:spacing w:line="276" w:lineRule="auto" w:before="305"/>
        <w:ind w:left="616" w:right="137"/>
        <w:jc w:val="both"/>
      </w:pPr>
      <w:r>
        <w:rPr/>
        <w:t>Experts recommend a daily administration of 100-250 micrograms. Here it is important that selenium is consumed daily with food and/or as a dietary sup- plement, as it is constantly consumed.</w:t>
      </w:r>
    </w:p>
    <w:p>
      <w:pPr>
        <w:pStyle w:val="BodyText"/>
        <w:spacing w:before="239"/>
        <w:ind w:left="616"/>
        <w:jc w:val="both"/>
      </w:pPr>
      <w:r>
        <w:rPr/>
        <w:t>A supplementary intake of selenium is especially recommended for persons</w:t>
      </w:r>
    </w:p>
    <w:p>
      <w:pPr>
        <w:spacing w:after="0"/>
        <w:jc w:val="both"/>
        <w:sectPr>
          <w:footerReference w:type="default" r:id="rId352"/>
          <w:pgSz w:w="14270" w:h="16850"/>
          <w:pgMar w:footer="1891" w:header="0" w:top="1340" w:bottom="2080" w:left="800" w:right="1280"/>
          <w:pgNumType w:start="1454"/>
        </w:sectPr>
      </w:pPr>
    </w:p>
    <w:p>
      <w:pPr>
        <w:pStyle w:val="BodyText"/>
        <w:spacing w:before="74"/>
        <w:ind w:left="616"/>
      </w:pPr>
      <w:r>
        <w:rPr/>
        <w:t>over 40.</w:t>
      </w:r>
    </w:p>
    <w:p>
      <w:pPr>
        <w:pStyle w:val="BodyText"/>
        <w:spacing w:before="305"/>
        <w:ind w:left="616"/>
      </w:pPr>
      <w:r>
        <w:rPr/>
        <w:t>Many researchers support the following regimen:</w:t>
      </w:r>
    </w:p>
    <w:p>
      <w:pPr>
        <w:pStyle w:val="Heading1"/>
        <w:spacing w:before="285"/>
        <w:ind w:left="616"/>
      </w:pPr>
      <w:r>
        <w:rPr/>
        <w:t>Selenium intake for the prevention of illness:</w:t>
      </w:r>
    </w:p>
    <w:p>
      <w:pPr>
        <w:pStyle w:val="ListParagraph"/>
        <w:numPr>
          <w:ilvl w:val="0"/>
          <w:numId w:val="114"/>
        </w:numPr>
        <w:tabs>
          <w:tab w:pos="1036" w:val="left" w:leader="none"/>
          <w:tab w:pos="1037" w:val="left" w:leader="none"/>
          <w:tab w:pos="3038" w:val="left" w:leader="none"/>
        </w:tabs>
        <w:spacing w:line="240" w:lineRule="auto" w:before="298" w:after="0"/>
        <w:ind w:left="1036" w:right="0" w:hanging="360"/>
        <w:jc w:val="left"/>
        <w:rPr>
          <w:sz w:val="38"/>
        </w:rPr>
      </w:pPr>
      <w:r>
        <w:rPr>
          <w:sz w:val="38"/>
        </w:rPr>
        <w:t>Adults:</w:t>
        <w:tab/>
        <w:t>50–200</w:t>
      </w:r>
      <w:r>
        <w:rPr>
          <w:spacing w:val="-1"/>
          <w:sz w:val="38"/>
        </w:rPr>
        <w:t> </w:t>
      </w:r>
      <w:r>
        <w:rPr>
          <w:sz w:val="38"/>
        </w:rPr>
        <w:t>µg/day</w:t>
      </w:r>
    </w:p>
    <w:p>
      <w:pPr>
        <w:pStyle w:val="ListParagraph"/>
        <w:numPr>
          <w:ilvl w:val="0"/>
          <w:numId w:val="114"/>
        </w:numPr>
        <w:tabs>
          <w:tab w:pos="1036" w:val="left" w:leader="none"/>
          <w:tab w:pos="1037" w:val="left" w:leader="none"/>
        </w:tabs>
        <w:spacing w:line="240" w:lineRule="auto" w:before="306" w:after="0"/>
        <w:ind w:left="1036" w:right="0" w:hanging="360"/>
        <w:jc w:val="left"/>
        <w:rPr>
          <w:sz w:val="38"/>
        </w:rPr>
      </w:pPr>
      <w:r>
        <w:rPr>
          <w:sz w:val="38"/>
        </w:rPr>
        <w:t>Adolescents: 100–200</w:t>
      </w:r>
      <w:r>
        <w:rPr>
          <w:spacing w:val="-1"/>
          <w:sz w:val="38"/>
        </w:rPr>
        <w:t> </w:t>
      </w:r>
      <w:r>
        <w:rPr>
          <w:sz w:val="38"/>
        </w:rPr>
        <w:t>µg/day</w:t>
      </w:r>
    </w:p>
    <w:p>
      <w:pPr>
        <w:pStyle w:val="ListParagraph"/>
        <w:numPr>
          <w:ilvl w:val="0"/>
          <w:numId w:val="114"/>
        </w:numPr>
        <w:tabs>
          <w:tab w:pos="1036" w:val="left" w:leader="none"/>
          <w:tab w:pos="1037" w:val="left" w:leader="none"/>
          <w:tab w:pos="3064" w:val="left" w:leader="none"/>
        </w:tabs>
        <w:spacing w:line="240" w:lineRule="auto" w:before="304" w:after="0"/>
        <w:ind w:left="1036" w:right="0" w:hanging="360"/>
        <w:jc w:val="left"/>
        <w:rPr>
          <w:sz w:val="38"/>
        </w:rPr>
      </w:pPr>
      <w:r>
        <w:rPr>
          <w:sz w:val="38"/>
        </w:rPr>
        <w:t>Children:</w:t>
        <w:tab/>
        <w:t>50</w:t>
      </w:r>
      <w:r>
        <w:rPr>
          <w:spacing w:val="-2"/>
          <w:sz w:val="38"/>
        </w:rPr>
        <w:t> </w:t>
      </w:r>
      <w:r>
        <w:rPr>
          <w:sz w:val="38"/>
        </w:rPr>
        <w:t>µg/day</w:t>
      </w:r>
    </w:p>
    <w:p>
      <w:pPr>
        <w:pStyle w:val="Heading1"/>
        <w:spacing w:before="290"/>
        <w:ind w:left="616"/>
      </w:pPr>
      <w:r>
        <w:rPr/>
        <w:t>Selenium intake during illness</w:t>
      </w:r>
    </w:p>
    <w:p>
      <w:pPr>
        <w:pStyle w:val="BodyText"/>
        <w:spacing w:line="276" w:lineRule="auto" w:before="297"/>
        <w:ind w:left="616"/>
      </w:pPr>
      <w:r>
        <w:rPr/>
        <w:t>A therapeutic dose can amount to up to 1000 µg/day and should be cleared with an alternative practitioner or a knowledgeable therapist.</w:t>
      </w:r>
    </w:p>
    <w:p>
      <w:pPr>
        <w:pStyle w:val="BodyText"/>
        <w:spacing w:line="278" w:lineRule="auto" w:before="238"/>
        <w:ind w:left="616"/>
      </w:pPr>
      <w:r>
        <w:rPr/>
        <w:t>A blood test six to eight weeks before the start of selenium intake can provide useful information for further dosing.</w:t>
      </w:r>
    </w:p>
    <w:p>
      <w:pPr>
        <w:spacing w:after="0" w:line="278" w:lineRule="auto"/>
        <w:sectPr>
          <w:pgSz w:w="14270" w:h="16850"/>
          <w:pgMar w:header="0" w:footer="1891" w:top="1340" w:bottom="2080" w:left="800" w:right="1280"/>
        </w:sectPr>
      </w:pPr>
    </w:p>
    <w:p>
      <w:pPr>
        <w:pStyle w:val="Heading2"/>
        <w:spacing w:before="74"/>
        <w:ind w:left="616"/>
      </w:pPr>
      <w:r>
        <w:rPr/>
        <w:t>Supplementary information on dietary supplements</w:t>
      </w:r>
    </w:p>
    <w:p>
      <w:pPr>
        <w:spacing w:before="287"/>
        <w:ind w:left="616" w:right="0" w:firstLine="0"/>
        <w:jc w:val="left"/>
        <w:rPr>
          <w:b/>
          <w:i/>
          <w:sz w:val="40"/>
        </w:rPr>
      </w:pPr>
      <w:r>
        <w:rPr>
          <w:b/>
          <w:i/>
          <w:sz w:val="40"/>
        </w:rPr>
        <w:t>What is a suitable selenium</w:t>
      </w:r>
      <w:r>
        <w:rPr>
          <w:b/>
          <w:i/>
          <w:spacing w:val="-51"/>
          <w:sz w:val="40"/>
        </w:rPr>
        <w:t> </w:t>
      </w:r>
      <w:r>
        <w:rPr>
          <w:b/>
          <w:i/>
          <w:sz w:val="40"/>
        </w:rPr>
        <w:t>product?</w:t>
      </w:r>
    </w:p>
    <w:p>
      <w:pPr>
        <w:pStyle w:val="BodyText"/>
        <w:spacing w:line="276" w:lineRule="auto" w:before="297"/>
        <w:ind w:left="616" w:right="136"/>
        <w:jc w:val="both"/>
      </w:pPr>
      <w:r>
        <w:rPr/>
        <w:t>Most alternative practitioners and naturopathic physicians agree that humans can</w:t>
      </w:r>
      <w:r>
        <w:rPr>
          <w:spacing w:val="-6"/>
        </w:rPr>
        <w:t> </w:t>
      </w:r>
      <w:r>
        <w:rPr/>
        <w:t>hardly</w:t>
      </w:r>
      <w:r>
        <w:rPr>
          <w:spacing w:val="-6"/>
        </w:rPr>
        <w:t> </w:t>
      </w:r>
      <w:r>
        <w:rPr/>
        <w:t>meet</w:t>
      </w:r>
      <w:r>
        <w:rPr>
          <w:spacing w:val="-4"/>
        </w:rPr>
        <w:t> </w:t>
      </w:r>
      <w:r>
        <w:rPr/>
        <w:t>their</w:t>
      </w:r>
      <w:r>
        <w:rPr>
          <w:spacing w:val="-5"/>
        </w:rPr>
        <w:t> </w:t>
      </w:r>
      <w:r>
        <w:rPr/>
        <w:t>actual</w:t>
      </w:r>
      <w:r>
        <w:rPr>
          <w:spacing w:val="-8"/>
        </w:rPr>
        <w:t> </w:t>
      </w:r>
      <w:r>
        <w:rPr/>
        <w:t>selenium</w:t>
      </w:r>
      <w:r>
        <w:rPr>
          <w:spacing w:val="-6"/>
        </w:rPr>
        <w:t> </w:t>
      </w:r>
      <w:r>
        <w:rPr/>
        <w:t>requirements</w:t>
      </w:r>
      <w:r>
        <w:rPr>
          <w:spacing w:val="-5"/>
        </w:rPr>
        <w:t> </w:t>
      </w:r>
      <w:r>
        <w:rPr/>
        <w:t>in</w:t>
      </w:r>
      <w:r>
        <w:rPr>
          <w:spacing w:val="-7"/>
        </w:rPr>
        <w:t> </w:t>
      </w:r>
      <w:r>
        <w:rPr/>
        <w:t>a</w:t>
      </w:r>
      <w:r>
        <w:rPr>
          <w:spacing w:val="-7"/>
        </w:rPr>
        <w:t> </w:t>
      </w:r>
      <w:r>
        <w:rPr/>
        <w:t>natural</w:t>
      </w:r>
      <w:r>
        <w:rPr>
          <w:spacing w:val="-7"/>
        </w:rPr>
        <w:t> </w:t>
      </w:r>
      <w:r>
        <w:rPr/>
        <w:t>way</w:t>
      </w:r>
      <w:r>
        <w:rPr>
          <w:spacing w:val="-7"/>
        </w:rPr>
        <w:t> </w:t>
      </w:r>
      <w:r>
        <w:rPr/>
        <w:t>(via</w:t>
      </w:r>
      <w:r>
        <w:rPr>
          <w:spacing w:val="-7"/>
        </w:rPr>
        <w:t> </w:t>
      </w:r>
      <w:r>
        <w:rPr/>
        <w:t>food), which studies of blood tests demonstrate perfectly. We therefore</w:t>
      </w:r>
      <w:r>
        <w:rPr>
          <w:spacing w:val="-64"/>
        </w:rPr>
        <w:t> </w:t>
      </w:r>
      <w:r>
        <w:rPr/>
        <w:t>recommend, especially for persons over 40 and high-risk groups, those with weak immune systems and at risk of cancer, supplementing the natural diet with a good</w:t>
      </w:r>
      <w:r>
        <w:rPr>
          <w:spacing w:val="-55"/>
        </w:rPr>
        <w:t> </w:t>
      </w:r>
      <w:r>
        <w:rPr/>
        <w:t>sele- nium</w:t>
      </w:r>
      <w:r>
        <w:rPr>
          <w:spacing w:val="-1"/>
        </w:rPr>
        <w:t> </w:t>
      </w:r>
      <w:r>
        <w:rPr/>
        <w:t>preparation.</w:t>
      </w:r>
    </w:p>
    <w:p>
      <w:pPr>
        <w:pStyle w:val="Heading1"/>
        <w:spacing w:before="226"/>
        <w:ind w:left="616"/>
      </w:pPr>
      <w:r>
        <w:rPr/>
        <w:t>Bio-selenium vs. sodium selenite</w:t>
      </w:r>
    </w:p>
    <w:p>
      <w:pPr>
        <w:pStyle w:val="BodyText"/>
        <w:spacing w:line="276" w:lineRule="auto" w:before="297"/>
        <w:ind w:left="616" w:right="131"/>
        <w:jc w:val="both"/>
      </w:pPr>
      <w:r>
        <w:rPr/>
        <w:t>Many experts recommend the consumption of organic selenium, so-called 'bio-selenium', as the absorption of nutrients by our bodies naturally takes place most efficiently via organic sources, as a general rule.</w:t>
      </w:r>
    </w:p>
    <w:p>
      <w:pPr>
        <w:pStyle w:val="BodyText"/>
        <w:spacing w:line="276" w:lineRule="auto" w:before="241"/>
        <w:ind w:left="616" w:right="140"/>
        <w:jc w:val="both"/>
      </w:pPr>
      <w:r>
        <w:rPr/>
        <w:t>Presently, though, the majority of voices disagree; they are of the belief that the inorganic form of selenium, sodium selenite, can be best absorbed by the body.</w:t>
      </w:r>
    </w:p>
    <w:p>
      <w:pPr>
        <w:pStyle w:val="BodyText"/>
        <w:spacing w:line="276" w:lineRule="auto" w:before="239"/>
        <w:ind w:left="616" w:right="136"/>
        <w:jc w:val="both"/>
      </w:pPr>
      <w:r>
        <w:rPr/>
        <w:t>This has been used successfully in the treatment of many illnesses and seems to be the more modern variant which has proven itself best—especially in the treatment of the following illnesses: More on this topic in the section 'Sele- nium products'.</w:t>
      </w:r>
    </w:p>
    <w:p>
      <w:pPr>
        <w:spacing w:after="0" w:line="276" w:lineRule="auto"/>
        <w:jc w:val="both"/>
        <w:sectPr>
          <w:pgSz w:w="14270" w:h="16850"/>
          <w:pgMar w:header="0" w:footer="1891" w:top="1340" w:bottom="2080" w:left="800" w:right="1280"/>
        </w:sectPr>
      </w:pPr>
    </w:p>
    <w:p>
      <w:pPr>
        <w:pStyle w:val="Heading2"/>
        <w:spacing w:before="74"/>
        <w:ind w:left="616"/>
      </w:pPr>
      <w:r>
        <w:rPr/>
        <w:t>Selenium – the products</w:t>
      </w:r>
    </w:p>
    <w:p>
      <w:pPr>
        <w:pStyle w:val="BodyText"/>
        <w:tabs>
          <w:tab w:pos="1596" w:val="left" w:leader="none"/>
          <w:tab w:pos="2224" w:val="left" w:leader="none"/>
          <w:tab w:pos="3169" w:val="left" w:leader="none"/>
          <w:tab w:pos="5476" w:val="left" w:leader="none"/>
          <w:tab w:pos="7275" w:val="left" w:leader="none"/>
          <w:tab w:pos="7957" w:val="left" w:leader="none"/>
          <w:tab w:pos="8732" w:val="left" w:leader="none"/>
          <w:tab w:pos="10406" w:val="left" w:leader="none"/>
        </w:tabs>
        <w:spacing w:line="278" w:lineRule="auto" w:before="302"/>
        <w:ind w:left="616" w:right="136"/>
      </w:pPr>
      <w:r>
        <w:rPr/>
        <w:t>First,</w:t>
        <w:tab/>
        <w:t>we</w:t>
        <w:tab/>
        <w:t>must</w:t>
        <w:tab/>
        <w:t>fundamentally</w:t>
        <w:tab/>
        <w:t>distinguish</w:t>
        <w:tab/>
        <w:t>the</w:t>
        <w:tab/>
        <w:t>two</w:t>
        <w:tab/>
        <w:t>categories</w:t>
        <w:tab/>
        <w:t>'organically bonded selenium' and 'inorganically bonded</w:t>
      </w:r>
      <w:r>
        <w:rPr>
          <w:spacing w:val="-3"/>
        </w:rPr>
        <w:t> </w:t>
      </w:r>
      <w:r>
        <w:rPr/>
        <w:t>selenium'.</w:t>
      </w:r>
    </w:p>
    <w:p>
      <w:pPr>
        <w:pStyle w:val="Heading1"/>
        <w:spacing w:before="215"/>
        <w:ind w:left="616"/>
      </w:pPr>
      <w:r>
        <w:rPr/>
        <w:t>Organically bonded selenium</w:t>
      </w:r>
    </w:p>
    <w:p>
      <w:pPr>
        <w:pStyle w:val="BodyText"/>
        <w:spacing w:line="276" w:lineRule="auto" w:before="300"/>
        <w:ind w:left="616" w:right="134"/>
        <w:jc w:val="both"/>
      </w:pPr>
      <w:r>
        <w:rPr/>
        <w:t>Organically bonded selenium is bonded to either (selenium) yeast or to the amino acids of (seleno)methionine and/or (seleno)cysteine. While selenome- thionine</w:t>
      </w:r>
      <w:r>
        <w:rPr>
          <w:spacing w:val="-12"/>
        </w:rPr>
        <w:t> </w:t>
      </w:r>
      <w:r>
        <w:rPr/>
        <w:t>is</w:t>
      </w:r>
      <w:r>
        <w:rPr>
          <w:spacing w:val="-12"/>
        </w:rPr>
        <w:t> </w:t>
      </w:r>
      <w:r>
        <w:rPr/>
        <w:t>constantly</w:t>
      </w:r>
      <w:r>
        <w:rPr>
          <w:spacing w:val="-11"/>
        </w:rPr>
        <w:t> </w:t>
      </w:r>
      <w:r>
        <w:rPr/>
        <w:t>modified</w:t>
      </w:r>
      <w:r>
        <w:rPr>
          <w:spacing w:val="-13"/>
        </w:rPr>
        <w:t> </w:t>
      </w:r>
      <w:r>
        <w:rPr/>
        <w:t>in</w:t>
      </w:r>
      <w:r>
        <w:rPr>
          <w:spacing w:val="-11"/>
        </w:rPr>
        <w:t> </w:t>
      </w:r>
      <w:r>
        <w:rPr/>
        <w:t>the</w:t>
      </w:r>
      <w:r>
        <w:rPr>
          <w:spacing w:val="-11"/>
        </w:rPr>
        <w:t> </w:t>
      </w:r>
      <w:r>
        <w:rPr/>
        <w:t>body</w:t>
      </w:r>
      <w:r>
        <w:rPr>
          <w:spacing w:val="-14"/>
        </w:rPr>
        <w:t> </w:t>
      </w:r>
      <w:r>
        <w:rPr/>
        <w:t>and</w:t>
      </w:r>
      <w:r>
        <w:rPr>
          <w:spacing w:val="-11"/>
        </w:rPr>
        <w:t> </w:t>
      </w:r>
      <w:r>
        <w:rPr/>
        <w:t>can</w:t>
      </w:r>
      <w:r>
        <w:rPr>
          <w:spacing w:val="-11"/>
        </w:rPr>
        <w:t> </w:t>
      </w:r>
      <w:r>
        <w:rPr/>
        <w:t>lead</w:t>
      </w:r>
      <w:r>
        <w:rPr>
          <w:spacing w:val="-13"/>
        </w:rPr>
        <w:t> </w:t>
      </w:r>
      <w:r>
        <w:rPr/>
        <w:t>to</w:t>
      </w:r>
      <w:r>
        <w:rPr>
          <w:spacing w:val="-11"/>
        </w:rPr>
        <w:t> </w:t>
      </w:r>
      <w:r>
        <w:rPr/>
        <w:t>an</w:t>
      </w:r>
      <w:r>
        <w:rPr>
          <w:spacing w:val="-12"/>
        </w:rPr>
        <w:t> </w:t>
      </w:r>
      <w:r>
        <w:rPr/>
        <w:t>accumulation</w:t>
      </w:r>
      <w:r>
        <w:rPr>
          <w:spacing w:val="-11"/>
        </w:rPr>
        <w:t> </w:t>
      </w:r>
      <w:r>
        <w:rPr/>
        <w:t>of selenium in the body, selenocysteine forms no such accumulation and cannot, therefore, cause an overdose, in contrast to selenomethionine. Selenium yeast in turn has the disadvantage that the products do not contain a standardised amount</w:t>
      </w:r>
      <w:r>
        <w:rPr>
          <w:spacing w:val="-8"/>
        </w:rPr>
        <w:t> </w:t>
      </w:r>
      <w:r>
        <w:rPr/>
        <w:t>of</w:t>
      </w:r>
      <w:r>
        <w:rPr>
          <w:spacing w:val="-7"/>
        </w:rPr>
        <w:t> </w:t>
      </w:r>
      <w:r>
        <w:rPr/>
        <w:t>selenium,</w:t>
      </w:r>
      <w:r>
        <w:rPr>
          <w:spacing w:val="-6"/>
        </w:rPr>
        <w:t> </w:t>
      </w:r>
      <w:r>
        <w:rPr/>
        <w:t>as</w:t>
      </w:r>
      <w:r>
        <w:rPr>
          <w:spacing w:val="-7"/>
        </w:rPr>
        <w:t> </w:t>
      </w:r>
      <w:r>
        <w:rPr/>
        <w:t>this</w:t>
      </w:r>
      <w:r>
        <w:rPr>
          <w:spacing w:val="-6"/>
        </w:rPr>
        <w:t> </w:t>
      </w:r>
      <w:r>
        <w:rPr/>
        <w:t>cannot</w:t>
      </w:r>
      <w:r>
        <w:rPr>
          <w:spacing w:val="-7"/>
        </w:rPr>
        <w:t> </w:t>
      </w:r>
      <w:r>
        <w:rPr/>
        <w:t>be</w:t>
      </w:r>
      <w:r>
        <w:rPr>
          <w:spacing w:val="-6"/>
        </w:rPr>
        <w:t> </w:t>
      </w:r>
      <w:r>
        <w:rPr/>
        <w:t>influenced</w:t>
      </w:r>
      <w:r>
        <w:rPr>
          <w:spacing w:val="-7"/>
        </w:rPr>
        <w:t> </w:t>
      </w:r>
      <w:r>
        <w:rPr/>
        <w:t>during</w:t>
      </w:r>
      <w:r>
        <w:rPr>
          <w:spacing w:val="-6"/>
        </w:rPr>
        <w:t> </w:t>
      </w:r>
      <w:r>
        <w:rPr/>
        <w:t>production.</w:t>
      </w:r>
      <w:r>
        <w:rPr>
          <w:spacing w:val="-6"/>
        </w:rPr>
        <w:t> </w:t>
      </w:r>
      <w:r>
        <w:rPr/>
        <w:t>An</w:t>
      </w:r>
      <w:r>
        <w:rPr>
          <w:spacing w:val="-7"/>
        </w:rPr>
        <w:t> </w:t>
      </w:r>
      <w:r>
        <w:rPr/>
        <w:t>exact dose appears difficult here.</w:t>
      </w:r>
    </w:p>
    <w:p>
      <w:pPr>
        <w:pStyle w:val="Heading1"/>
        <w:spacing w:before="223"/>
        <w:ind w:left="616"/>
      </w:pPr>
      <w:r>
        <w:rPr/>
        <w:t>Inorganically bonded selenium</w:t>
      </w:r>
    </w:p>
    <w:p>
      <w:pPr>
        <w:pStyle w:val="BodyText"/>
        <w:spacing w:line="276" w:lineRule="auto" w:before="300"/>
        <w:ind w:left="616" w:right="128"/>
        <w:jc w:val="both"/>
      </w:pPr>
      <w:r>
        <w:rPr/>
        <w:t>Inorganically bonded selenium is mostly bonded to sodium in the form of so- dium selenite. It is claimed that this can be absorbed and utilised in the body more quickly. The amounts of selenium contained in it are strictly defined, which</w:t>
      </w:r>
      <w:r>
        <w:rPr>
          <w:spacing w:val="-12"/>
        </w:rPr>
        <w:t> </w:t>
      </w:r>
      <w:r>
        <w:rPr/>
        <w:t>makes</w:t>
      </w:r>
      <w:r>
        <w:rPr>
          <w:spacing w:val="-13"/>
        </w:rPr>
        <w:t> </w:t>
      </w:r>
      <w:r>
        <w:rPr/>
        <w:t>this</w:t>
      </w:r>
      <w:r>
        <w:rPr>
          <w:spacing w:val="-12"/>
        </w:rPr>
        <w:t> </w:t>
      </w:r>
      <w:r>
        <w:rPr/>
        <w:t>form</w:t>
      </w:r>
      <w:r>
        <w:rPr>
          <w:spacing w:val="-13"/>
        </w:rPr>
        <w:t> </w:t>
      </w:r>
      <w:r>
        <w:rPr/>
        <w:t>of</w:t>
      </w:r>
      <w:r>
        <w:rPr>
          <w:spacing w:val="-15"/>
        </w:rPr>
        <w:t> </w:t>
      </w:r>
      <w:r>
        <w:rPr/>
        <w:t>selenium</w:t>
      </w:r>
      <w:r>
        <w:rPr>
          <w:spacing w:val="-13"/>
        </w:rPr>
        <w:t> </w:t>
      </w:r>
      <w:r>
        <w:rPr/>
        <w:t>the</w:t>
      </w:r>
      <w:r>
        <w:rPr>
          <w:spacing w:val="-12"/>
        </w:rPr>
        <w:t> </w:t>
      </w:r>
      <w:r>
        <w:rPr/>
        <w:t>preferred</w:t>
      </w:r>
      <w:r>
        <w:rPr>
          <w:spacing w:val="-14"/>
        </w:rPr>
        <w:t> </w:t>
      </w:r>
      <w:r>
        <w:rPr/>
        <w:t>substance</w:t>
      </w:r>
      <w:r>
        <w:rPr>
          <w:spacing w:val="-12"/>
        </w:rPr>
        <w:t> </w:t>
      </w:r>
      <w:r>
        <w:rPr/>
        <w:t>in</w:t>
      </w:r>
      <w:r>
        <w:rPr>
          <w:spacing w:val="-13"/>
        </w:rPr>
        <w:t> </w:t>
      </w:r>
      <w:r>
        <w:rPr/>
        <w:t>the</w:t>
      </w:r>
      <w:r>
        <w:rPr>
          <w:spacing w:val="-14"/>
        </w:rPr>
        <w:t> </w:t>
      </w:r>
      <w:r>
        <w:rPr/>
        <w:t>treatment</w:t>
      </w:r>
      <w:r>
        <w:rPr>
          <w:spacing w:val="-13"/>
        </w:rPr>
        <w:t> </w:t>
      </w:r>
      <w:r>
        <w:rPr/>
        <w:t>of illnesses.</w:t>
      </w:r>
      <w:r>
        <w:rPr>
          <w:spacing w:val="-18"/>
        </w:rPr>
        <w:t> </w:t>
      </w:r>
      <w:r>
        <w:rPr/>
        <w:t>Any</w:t>
      </w:r>
      <w:r>
        <w:rPr>
          <w:spacing w:val="-18"/>
        </w:rPr>
        <w:t> </w:t>
      </w:r>
      <w:r>
        <w:rPr/>
        <w:t>surplus</w:t>
      </w:r>
      <w:r>
        <w:rPr>
          <w:spacing w:val="-18"/>
        </w:rPr>
        <w:t> </w:t>
      </w:r>
      <w:r>
        <w:rPr/>
        <w:t>is</w:t>
      </w:r>
      <w:r>
        <w:rPr>
          <w:spacing w:val="-18"/>
        </w:rPr>
        <w:t> </w:t>
      </w:r>
      <w:r>
        <w:rPr/>
        <w:t>eliminated</w:t>
      </w:r>
      <w:r>
        <w:rPr>
          <w:spacing w:val="-19"/>
        </w:rPr>
        <w:t> </w:t>
      </w:r>
      <w:r>
        <w:rPr/>
        <w:t>from</w:t>
      </w:r>
      <w:r>
        <w:rPr>
          <w:spacing w:val="-19"/>
        </w:rPr>
        <w:t> </w:t>
      </w:r>
      <w:r>
        <w:rPr/>
        <w:t>the</w:t>
      </w:r>
      <w:r>
        <w:rPr>
          <w:spacing w:val="-17"/>
        </w:rPr>
        <w:t> </w:t>
      </w:r>
      <w:r>
        <w:rPr/>
        <w:t>body.</w:t>
      </w:r>
      <w:r>
        <w:rPr>
          <w:spacing w:val="-20"/>
        </w:rPr>
        <w:t> </w:t>
      </w:r>
      <w:r>
        <w:rPr/>
        <w:t>IMPORTANT:</w:t>
      </w:r>
      <w:r>
        <w:rPr>
          <w:spacing w:val="-19"/>
        </w:rPr>
        <w:t> </w:t>
      </w:r>
      <w:r>
        <w:rPr/>
        <w:t>Sodium</w:t>
      </w:r>
      <w:r>
        <w:rPr>
          <w:spacing w:val="-18"/>
        </w:rPr>
        <w:t> </w:t>
      </w:r>
      <w:r>
        <w:rPr/>
        <w:t>sel- enite should always be taken with a delay (at least an hour) after consuming vitamin C, as vitamin C inhibits the uptake of sodium</w:t>
      </w:r>
      <w:r>
        <w:rPr>
          <w:spacing w:val="-5"/>
        </w:rPr>
        <w:t> </w:t>
      </w:r>
      <w:r>
        <w:rPr/>
        <w:t>selenite!</w:t>
      </w:r>
    </w:p>
    <w:p>
      <w:pPr>
        <w:pStyle w:val="Heading2"/>
        <w:spacing w:before="241"/>
        <w:ind w:left="616"/>
        <w:jc w:val="both"/>
      </w:pPr>
      <w:r>
        <w:rPr/>
        <w:t>Should I expect side effects from selenium?</w:t>
      </w:r>
    </w:p>
    <w:p>
      <w:pPr>
        <w:spacing w:after="0"/>
        <w:jc w:val="both"/>
        <w:sectPr>
          <w:pgSz w:w="14270" w:h="16850"/>
          <w:pgMar w:header="0" w:footer="1891" w:top="1340" w:bottom="2080" w:left="800" w:right="1280"/>
        </w:sectPr>
      </w:pPr>
    </w:p>
    <w:p>
      <w:pPr>
        <w:pStyle w:val="BodyText"/>
        <w:spacing w:line="276" w:lineRule="auto" w:before="74"/>
        <w:ind w:left="616" w:right="135" w:firstLine="96"/>
        <w:jc w:val="both"/>
        <w:rPr>
          <w:sz w:val="25"/>
        </w:rPr>
      </w:pPr>
      <w:r>
        <w:rPr/>
        <w:t>As with everything, the following applies in the case of selenium: The dose makes</w:t>
      </w:r>
      <w:r>
        <w:rPr>
          <w:spacing w:val="-10"/>
        </w:rPr>
        <w:t> </w:t>
      </w:r>
      <w:r>
        <w:rPr/>
        <w:t>the</w:t>
      </w:r>
      <w:r>
        <w:rPr>
          <w:spacing w:val="-10"/>
        </w:rPr>
        <w:t> </w:t>
      </w:r>
      <w:r>
        <w:rPr/>
        <w:t>poison!</w:t>
      </w:r>
      <w:r>
        <w:rPr>
          <w:spacing w:val="-10"/>
        </w:rPr>
        <w:t> </w:t>
      </w:r>
      <w:r>
        <w:rPr/>
        <w:t>A</w:t>
      </w:r>
      <w:r>
        <w:rPr>
          <w:spacing w:val="-10"/>
        </w:rPr>
        <w:t> </w:t>
      </w:r>
      <w:r>
        <w:rPr/>
        <w:t>potential</w:t>
      </w:r>
      <w:r>
        <w:rPr>
          <w:spacing w:val="-11"/>
        </w:rPr>
        <w:t> </w:t>
      </w:r>
      <w:r>
        <w:rPr/>
        <w:t>selenium</w:t>
      </w:r>
      <w:r>
        <w:rPr>
          <w:spacing w:val="-11"/>
        </w:rPr>
        <w:t> </w:t>
      </w:r>
      <w:r>
        <w:rPr/>
        <w:t>overdose</w:t>
      </w:r>
      <w:r>
        <w:rPr>
          <w:spacing w:val="-9"/>
        </w:rPr>
        <w:t> </w:t>
      </w:r>
      <w:r>
        <w:rPr/>
        <w:t>can</w:t>
      </w:r>
      <w:r>
        <w:rPr>
          <w:spacing w:val="-10"/>
        </w:rPr>
        <w:t> </w:t>
      </w:r>
      <w:r>
        <w:rPr/>
        <w:t>manifest</w:t>
      </w:r>
      <w:r>
        <w:rPr>
          <w:spacing w:val="-11"/>
        </w:rPr>
        <w:t> </w:t>
      </w:r>
      <w:r>
        <w:rPr/>
        <w:t>itself</w:t>
      </w:r>
      <w:r>
        <w:rPr>
          <w:spacing w:val="-10"/>
        </w:rPr>
        <w:t> </w:t>
      </w:r>
      <w:r>
        <w:rPr/>
        <w:t>in</w:t>
      </w:r>
      <w:r>
        <w:rPr>
          <w:spacing w:val="-11"/>
        </w:rPr>
        <w:t> </w:t>
      </w:r>
      <w:r>
        <w:rPr/>
        <w:t>the</w:t>
      </w:r>
      <w:r>
        <w:rPr>
          <w:spacing w:val="-10"/>
        </w:rPr>
        <w:t> </w:t>
      </w:r>
      <w:r>
        <w:rPr/>
        <w:t>fol- lowing symptoms:</w:t>
      </w:r>
      <w:r>
        <w:rPr>
          <w:position w:val="9"/>
          <w:sz w:val="25"/>
        </w:rPr>
        <w:t>837</w:t>
      </w:r>
    </w:p>
    <w:p>
      <w:pPr>
        <w:pStyle w:val="ListParagraph"/>
        <w:numPr>
          <w:ilvl w:val="0"/>
          <w:numId w:val="114"/>
        </w:numPr>
        <w:tabs>
          <w:tab w:pos="1032" w:val="left" w:leader="none"/>
        </w:tabs>
        <w:spacing w:line="240" w:lineRule="auto" w:before="200" w:after="0"/>
        <w:ind w:left="1031" w:right="0" w:hanging="415"/>
        <w:jc w:val="both"/>
        <w:rPr>
          <w:sz w:val="38"/>
        </w:rPr>
      </w:pPr>
      <w:r>
        <w:rPr>
          <w:sz w:val="38"/>
        </w:rPr>
        <w:t>nausea, vomiting, stomach pain,</w:t>
      </w:r>
    </w:p>
    <w:p>
      <w:pPr>
        <w:pStyle w:val="ListParagraph"/>
        <w:numPr>
          <w:ilvl w:val="0"/>
          <w:numId w:val="114"/>
        </w:numPr>
        <w:tabs>
          <w:tab w:pos="1032" w:val="left" w:leader="none"/>
        </w:tabs>
        <w:spacing w:line="240" w:lineRule="auto" w:before="183" w:after="0"/>
        <w:ind w:left="1031" w:right="0" w:hanging="415"/>
        <w:jc w:val="both"/>
        <w:rPr>
          <w:sz w:val="38"/>
        </w:rPr>
      </w:pPr>
      <w:r>
        <w:rPr>
          <w:sz w:val="38"/>
        </w:rPr>
        <w:t>digestion</w:t>
      </w:r>
      <w:r>
        <w:rPr>
          <w:spacing w:val="-2"/>
          <w:sz w:val="38"/>
        </w:rPr>
        <w:t> </w:t>
      </w:r>
      <w:r>
        <w:rPr>
          <w:sz w:val="38"/>
        </w:rPr>
        <w:t>problems,</w:t>
      </w:r>
    </w:p>
    <w:p>
      <w:pPr>
        <w:pStyle w:val="ListParagraph"/>
        <w:numPr>
          <w:ilvl w:val="0"/>
          <w:numId w:val="114"/>
        </w:numPr>
        <w:tabs>
          <w:tab w:pos="1032" w:val="left" w:leader="none"/>
        </w:tabs>
        <w:spacing w:line="240" w:lineRule="auto" w:before="186" w:after="0"/>
        <w:ind w:left="1031" w:right="0" w:hanging="415"/>
        <w:jc w:val="both"/>
        <w:rPr>
          <w:sz w:val="38"/>
        </w:rPr>
      </w:pPr>
      <w:r>
        <w:rPr>
          <w:sz w:val="38"/>
        </w:rPr>
        <w:t>strong bad breath after garlic or</w:t>
      </w:r>
      <w:r>
        <w:rPr>
          <w:spacing w:val="3"/>
          <w:sz w:val="38"/>
        </w:rPr>
        <w:t> </w:t>
      </w:r>
      <w:r>
        <w:rPr>
          <w:sz w:val="38"/>
        </w:rPr>
        <w:t>radish,</w:t>
      </w:r>
    </w:p>
    <w:p>
      <w:pPr>
        <w:pStyle w:val="ListParagraph"/>
        <w:numPr>
          <w:ilvl w:val="0"/>
          <w:numId w:val="114"/>
        </w:numPr>
        <w:tabs>
          <w:tab w:pos="1032" w:val="left" w:leader="none"/>
        </w:tabs>
        <w:spacing w:line="240" w:lineRule="auto" w:before="185" w:after="0"/>
        <w:ind w:left="1031" w:right="0" w:hanging="415"/>
        <w:jc w:val="both"/>
        <w:rPr>
          <w:sz w:val="38"/>
        </w:rPr>
      </w:pPr>
      <w:r>
        <w:rPr>
          <w:sz w:val="38"/>
        </w:rPr>
        <w:t>strong smell in the</w:t>
      </w:r>
      <w:r>
        <w:rPr>
          <w:spacing w:val="1"/>
          <w:sz w:val="38"/>
        </w:rPr>
        <w:t> </w:t>
      </w:r>
      <w:r>
        <w:rPr>
          <w:sz w:val="38"/>
        </w:rPr>
        <w:t>armpits,</w:t>
      </w:r>
    </w:p>
    <w:p>
      <w:pPr>
        <w:pStyle w:val="ListParagraph"/>
        <w:numPr>
          <w:ilvl w:val="0"/>
          <w:numId w:val="114"/>
        </w:numPr>
        <w:tabs>
          <w:tab w:pos="1032" w:val="left" w:leader="none"/>
        </w:tabs>
        <w:spacing w:line="240" w:lineRule="auto" w:before="183" w:after="0"/>
        <w:ind w:left="1031" w:right="0" w:hanging="415"/>
        <w:jc w:val="both"/>
        <w:rPr>
          <w:sz w:val="38"/>
        </w:rPr>
      </w:pPr>
      <w:r>
        <w:rPr>
          <w:sz w:val="38"/>
        </w:rPr>
        <w:t>fatigue,</w:t>
      </w:r>
    </w:p>
    <w:p>
      <w:pPr>
        <w:pStyle w:val="ListParagraph"/>
        <w:numPr>
          <w:ilvl w:val="0"/>
          <w:numId w:val="114"/>
        </w:numPr>
        <w:tabs>
          <w:tab w:pos="1032" w:val="left" w:leader="none"/>
        </w:tabs>
        <w:spacing w:line="240" w:lineRule="auto" w:before="184" w:after="0"/>
        <w:ind w:left="1031" w:right="0" w:hanging="415"/>
        <w:jc w:val="both"/>
        <w:rPr>
          <w:sz w:val="38"/>
        </w:rPr>
      </w:pPr>
      <w:r>
        <w:rPr>
          <w:sz w:val="38"/>
        </w:rPr>
        <w:t>headaches,</w:t>
      </w:r>
    </w:p>
    <w:p>
      <w:pPr>
        <w:pStyle w:val="ListParagraph"/>
        <w:numPr>
          <w:ilvl w:val="0"/>
          <w:numId w:val="114"/>
        </w:numPr>
        <w:tabs>
          <w:tab w:pos="1032" w:val="left" w:leader="none"/>
        </w:tabs>
        <w:spacing w:line="240" w:lineRule="auto" w:before="186" w:after="0"/>
        <w:ind w:left="1031" w:right="0" w:hanging="415"/>
        <w:jc w:val="both"/>
        <w:rPr>
          <w:sz w:val="38"/>
        </w:rPr>
      </w:pPr>
      <w:r>
        <w:rPr>
          <w:sz w:val="38"/>
        </w:rPr>
        <w:t>irritability,</w:t>
      </w:r>
    </w:p>
    <w:p>
      <w:pPr>
        <w:pStyle w:val="ListParagraph"/>
        <w:numPr>
          <w:ilvl w:val="0"/>
          <w:numId w:val="114"/>
        </w:numPr>
        <w:tabs>
          <w:tab w:pos="1032" w:val="left" w:leader="none"/>
        </w:tabs>
        <w:spacing w:line="240" w:lineRule="auto" w:before="183" w:after="0"/>
        <w:ind w:left="1031" w:right="0" w:hanging="415"/>
        <w:jc w:val="both"/>
        <w:rPr>
          <w:sz w:val="38"/>
        </w:rPr>
      </w:pPr>
      <w:r>
        <w:rPr>
          <w:sz w:val="38"/>
        </w:rPr>
        <w:t>runny nose,</w:t>
      </w:r>
      <w:r>
        <w:rPr>
          <w:spacing w:val="-2"/>
          <w:sz w:val="38"/>
        </w:rPr>
        <w:t> </w:t>
      </w:r>
      <w:r>
        <w:rPr>
          <w:sz w:val="38"/>
        </w:rPr>
        <w:t>hoarseness,</w:t>
      </w:r>
    </w:p>
    <w:p>
      <w:pPr>
        <w:pStyle w:val="ListParagraph"/>
        <w:numPr>
          <w:ilvl w:val="0"/>
          <w:numId w:val="114"/>
        </w:numPr>
        <w:tabs>
          <w:tab w:pos="1032" w:val="left" w:leader="none"/>
        </w:tabs>
        <w:spacing w:line="240" w:lineRule="auto" w:before="184" w:after="0"/>
        <w:ind w:left="1031" w:right="0" w:hanging="415"/>
        <w:jc w:val="both"/>
        <w:rPr>
          <w:sz w:val="38"/>
        </w:rPr>
      </w:pPr>
      <w:r>
        <w:rPr>
          <w:sz w:val="38"/>
        </w:rPr>
        <w:t>skin</w:t>
      </w:r>
      <w:r>
        <w:rPr>
          <w:spacing w:val="-2"/>
          <w:sz w:val="38"/>
        </w:rPr>
        <w:t> </w:t>
      </w:r>
      <w:r>
        <w:rPr>
          <w:sz w:val="38"/>
        </w:rPr>
        <w:t>rashes</w:t>
      </w:r>
    </w:p>
    <w:p>
      <w:pPr>
        <w:pStyle w:val="ListParagraph"/>
        <w:numPr>
          <w:ilvl w:val="0"/>
          <w:numId w:val="114"/>
        </w:numPr>
        <w:tabs>
          <w:tab w:pos="1032" w:val="left" w:leader="none"/>
        </w:tabs>
        <w:spacing w:line="240" w:lineRule="auto" w:before="184" w:after="0"/>
        <w:ind w:left="1031" w:right="0" w:hanging="415"/>
        <w:jc w:val="both"/>
        <w:rPr>
          <w:sz w:val="38"/>
        </w:rPr>
      </w:pPr>
      <w:r>
        <w:rPr>
          <w:sz w:val="38"/>
        </w:rPr>
        <w:t>hair loss,</w:t>
      </w:r>
    </w:p>
    <w:p>
      <w:pPr>
        <w:pStyle w:val="ListParagraph"/>
        <w:numPr>
          <w:ilvl w:val="0"/>
          <w:numId w:val="114"/>
        </w:numPr>
        <w:tabs>
          <w:tab w:pos="1032" w:val="left" w:leader="none"/>
        </w:tabs>
        <w:spacing w:line="240" w:lineRule="auto" w:before="184" w:after="0"/>
        <w:ind w:left="1031" w:right="0" w:hanging="415"/>
        <w:jc w:val="both"/>
        <w:rPr>
          <w:sz w:val="38"/>
        </w:rPr>
      </w:pPr>
      <w:r>
        <w:rPr>
          <w:sz w:val="38"/>
        </w:rPr>
        <w:t>soft nails,</w:t>
      </w:r>
    </w:p>
    <w:p>
      <w:pPr>
        <w:pStyle w:val="ListParagraph"/>
        <w:numPr>
          <w:ilvl w:val="0"/>
          <w:numId w:val="114"/>
        </w:numPr>
        <w:tabs>
          <w:tab w:pos="1032" w:val="left" w:leader="none"/>
        </w:tabs>
        <w:spacing w:line="240" w:lineRule="auto" w:before="186" w:after="0"/>
        <w:ind w:left="1031" w:right="0" w:hanging="415"/>
        <w:jc w:val="both"/>
        <w:rPr>
          <w:sz w:val="38"/>
        </w:rPr>
      </w:pPr>
      <w:r>
        <w:rPr>
          <w:sz w:val="38"/>
        </w:rPr>
        <w:t>weight</w:t>
      </w:r>
      <w:r>
        <w:rPr>
          <w:spacing w:val="-1"/>
          <w:sz w:val="38"/>
        </w:rPr>
        <w:t> </w:t>
      </w:r>
      <w:r>
        <w:rPr>
          <w:sz w:val="38"/>
        </w:rPr>
        <w:t>loss,</w:t>
      </w:r>
    </w:p>
    <w:p>
      <w:pPr>
        <w:pStyle w:val="ListParagraph"/>
        <w:numPr>
          <w:ilvl w:val="0"/>
          <w:numId w:val="114"/>
        </w:numPr>
        <w:tabs>
          <w:tab w:pos="1032" w:val="left" w:leader="none"/>
        </w:tabs>
        <w:spacing w:line="240" w:lineRule="auto" w:before="183" w:after="0"/>
        <w:ind w:left="1031" w:right="0" w:hanging="415"/>
        <w:jc w:val="both"/>
        <w:rPr>
          <w:sz w:val="38"/>
        </w:rPr>
      </w:pPr>
      <w:r>
        <w:rPr>
          <w:sz w:val="38"/>
        </w:rPr>
        <w:t>Caries,</w:t>
      </w:r>
    </w:p>
    <w:p>
      <w:pPr>
        <w:pStyle w:val="ListParagraph"/>
        <w:numPr>
          <w:ilvl w:val="0"/>
          <w:numId w:val="114"/>
        </w:numPr>
        <w:tabs>
          <w:tab w:pos="1032" w:val="left" w:leader="none"/>
        </w:tabs>
        <w:spacing w:line="240" w:lineRule="auto" w:before="184" w:after="0"/>
        <w:ind w:left="1031" w:right="0" w:hanging="415"/>
        <w:jc w:val="both"/>
        <w:rPr>
          <w:sz w:val="38"/>
        </w:rPr>
      </w:pPr>
      <w:r>
        <w:rPr>
          <w:sz w:val="38"/>
        </w:rPr>
        <w:t>gingivitis.</w:t>
      </w:r>
    </w:p>
    <w:p>
      <w:pPr>
        <w:pStyle w:val="BodyText"/>
        <w:rPr>
          <w:sz w:val="20"/>
        </w:rPr>
      </w:pPr>
    </w:p>
    <w:p>
      <w:pPr>
        <w:pStyle w:val="BodyText"/>
        <w:rPr>
          <w:sz w:val="20"/>
        </w:rPr>
      </w:pPr>
    </w:p>
    <w:p>
      <w:pPr>
        <w:pStyle w:val="BodyText"/>
        <w:rPr>
          <w:sz w:val="20"/>
        </w:rPr>
      </w:pPr>
    </w:p>
    <w:p>
      <w:pPr>
        <w:pStyle w:val="BodyText"/>
        <w:spacing w:before="2"/>
        <w:rPr>
          <w:sz w:val="26"/>
        </w:rPr>
      </w:pPr>
      <w:r>
        <w:rPr/>
        <w:pict>
          <v:line style="position:absolute;mso-position-horizontal-relative:page;mso-position-vertical-relative:paragraph;z-index:11456;mso-wrap-distance-left:0;mso-wrap-distance-right:0" from="70.823997pt,17.093493pt" to="214.843997pt,17.093493pt" stroked="true" strokeweight=".71997pt" strokecolor="#000000">
            <v:stroke dashstyle="solid"/>
            <w10:wrap type="topAndBottom"/>
          </v:line>
        </w:pict>
      </w:r>
    </w:p>
    <w:p>
      <w:pPr>
        <w:pStyle w:val="BodyText"/>
        <w:spacing w:before="7"/>
        <w:rPr>
          <w:sz w:val="18"/>
        </w:rPr>
      </w:pPr>
    </w:p>
    <w:p>
      <w:pPr>
        <w:spacing w:line="276" w:lineRule="auto" w:before="99"/>
        <w:ind w:left="616" w:right="0" w:firstLine="0"/>
        <w:jc w:val="left"/>
        <w:rPr>
          <w:sz w:val="20"/>
        </w:rPr>
      </w:pPr>
      <w:r>
        <w:rPr>
          <w:position w:val="5"/>
          <w:sz w:val="13"/>
        </w:rPr>
        <w:t>837 </w:t>
      </w:r>
      <w:r>
        <w:rPr>
          <w:sz w:val="20"/>
        </w:rPr>
        <w:t>Prof. Dr. Josef Beuth and Dr. Verena Drebing: Selen gegen Krebs – Unterstützung in der Tumorprävention und –therapie ('Selenium against Cancer – Support in the Prevention and Treatment of Cancer'), TRIAS-Verlag 2006, p. 46</w:t>
      </w:r>
    </w:p>
    <w:p>
      <w:pPr>
        <w:spacing w:after="0" w:line="276" w:lineRule="auto"/>
        <w:jc w:val="left"/>
        <w:rPr>
          <w:sz w:val="20"/>
        </w:rPr>
        <w:sectPr>
          <w:pgSz w:w="14270" w:h="16850"/>
          <w:pgMar w:header="0" w:footer="1891" w:top="1340" w:bottom="2080" w:left="800" w:right="1280"/>
        </w:sectPr>
      </w:pPr>
    </w:p>
    <w:p>
      <w:pPr>
        <w:pStyle w:val="BodyText"/>
        <w:spacing w:line="278" w:lineRule="auto" w:before="72"/>
        <w:ind w:left="616"/>
        <w:rPr>
          <w:sz w:val="25"/>
        </w:rPr>
      </w:pPr>
      <w:r>
        <w:rPr/>
        <w:t>Overdosing on selenium is extremely rare in our region of the world; the fol- lowing intake amounts are considered tolerable for selenium:</w:t>
      </w:r>
      <w:r>
        <w:rPr>
          <w:position w:val="9"/>
          <w:sz w:val="25"/>
        </w:rPr>
        <w:t>838</w:t>
      </w:r>
    </w:p>
    <w:p>
      <w:pPr>
        <w:pStyle w:val="BodyText"/>
        <w:rPr>
          <w:sz w:val="20"/>
        </w:rPr>
      </w:pPr>
    </w:p>
    <w:p>
      <w:pPr>
        <w:pStyle w:val="BodyText"/>
        <w:rPr>
          <w:sz w:val="20"/>
        </w:rPr>
      </w:pPr>
    </w:p>
    <w:p>
      <w:pPr>
        <w:pStyle w:val="BodyText"/>
        <w:rPr>
          <w:sz w:val="20"/>
        </w:rPr>
      </w:pPr>
    </w:p>
    <w:p>
      <w:pPr>
        <w:pStyle w:val="BodyText"/>
        <w:spacing w:before="4"/>
        <w:rPr>
          <w:sz w:val="22"/>
        </w:r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06"/>
        <w:gridCol w:w="4606"/>
      </w:tblGrid>
      <w:tr>
        <w:trPr>
          <w:trHeight w:val="1422" w:hRule="atLeast"/>
        </w:trPr>
        <w:tc>
          <w:tcPr>
            <w:tcW w:w="4606" w:type="dxa"/>
            <w:shd w:val="clear" w:color="auto" w:fill="8DB3E1"/>
          </w:tcPr>
          <w:p>
            <w:pPr>
              <w:pStyle w:val="TableParagraph"/>
              <w:spacing w:before="238"/>
              <w:ind w:left="110"/>
              <w:rPr>
                <w:b/>
                <w:sz w:val="38"/>
              </w:rPr>
            </w:pPr>
            <w:r>
              <w:rPr>
                <w:b/>
                <w:sz w:val="38"/>
              </w:rPr>
              <w:t>AGE</w:t>
            </w:r>
          </w:p>
        </w:tc>
        <w:tc>
          <w:tcPr>
            <w:tcW w:w="4606" w:type="dxa"/>
            <w:shd w:val="clear" w:color="auto" w:fill="8DB3E1"/>
          </w:tcPr>
          <w:p>
            <w:pPr>
              <w:pStyle w:val="TableParagraph"/>
              <w:spacing w:line="278" w:lineRule="auto" w:before="236"/>
              <w:ind w:left="110"/>
              <w:rPr>
                <w:b/>
                <w:sz w:val="38"/>
              </w:rPr>
            </w:pPr>
            <w:r>
              <w:rPr>
                <w:b/>
                <w:sz w:val="38"/>
              </w:rPr>
              <w:t>Selenium consumption per day</w:t>
            </w:r>
          </w:p>
        </w:tc>
      </w:tr>
      <w:tr>
        <w:trPr>
          <w:trHeight w:val="933" w:hRule="atLeast"/>
        </w:trPr>
        <w:tc>
          <w:tcPr>
            <w:tcW w:w="4606" w:type="dxa"/>
          </w:tcPr>
          <w:p>
            <w:pPr>
              <w:pStyle w:val="TableParagraph"/>
              <w:spacing w:before="241"/>
              <w:ind w:left="194" w:right="185"/>
              <w:jc w:val="center"/>
              <w:rPr>
                <w:sz w:val="38"/>
              </w:rPr>
            </w:pPr>
            <w:r>
              <w:rPr>
                <w:sz w:val="38"/>
              </w:rPr>
              <w:t>1–3</w:t>
            </w:r>
          </w:p>
        </w:tc>
        <w:tc>
          <w:tcPr>
            <w:tcW w:w="4606" w:type="dxa"/>
          </w:tcPr>
          <w:p>
            <w:pPr>
              <w:pStyle w:val="TableParagraph"/>
              <w:spacing w:before="241"/>
              <w:ind w:left="194" w:right="182"/>
              <w:jc w:val="center"/>
              <w:rPr>
                <w:sz w:val="38"/>
              </w:rPr>
            </w:pPr>
            <w:r>
              <w:rPr>
                <w:sz w:val="38"/>
              </w:rPr>
              <w:t>60</w:t>
            </w:r>
          </w:p>
        </w:tc>
      </w:tr>
      <w:tr>
        <w:trPr>
          <w:trHeight w:val="930" w:hRule="atLeast"/>
        </w:trPr>
        <w:tc>
          <w:tcPr>
            <w:tcW w:w="4606" w:type="dxa"/>
          </w:tcPr>
          <w:p>
            <w:pPr>
              <w:pStyle w:val="TableParagraph"/>
              <w:spacing w:before="238"/>
              <w:ind w:left="194" w:right="185"/>
              <w:jc w:val="center"/>
              <w:rPr>
                <w:sz w:val="38"/>
              </w:rPr>
            </w:pPr>
            <w:r>
              <w:rPr>
                <w:sz w:val="38"/>
              </w:rPr>
              <w:t>4–6</w:t>
            </w:r>
          </w:p>
        </w:tc>
        <w:tc>
          <w:tcPr>
            <w:tcW w:w="4606" w:type="dxa"/>
          </w:tcPr>
          <w:p>
            <w:pPr>
              <w:pStyle w:val="TableParagraph"/>
              <w:spacing w:before="238"/>
              <w:ind w:left="194" w:right="182"/>
              <w:jc w:val="center"/>
              <w:rPr>
                <w:sz w:val="38"/>
              </w:rPr>
            </w:pPr>
            <w:r>
              <w:rPr>
                <w:sz w:val="38"/>
              </w:rPr>
              <w:t>90</w:t>
            </w:r>
          </w:p>
        </w:tc>
      </w:tr>
      <w:tr>
        <w:trPr>
          <w:trHeight w:val="933" w:hRule="atLeast"/>
        </w:trPr>
        <w:tc>
          <w:tcPr>
            <w:tcW w:w="4606" w:type="dxa"/>
          </w:tcPr>
          <w:p>
            <w:pPr>
              <w:pStyle w:val="TableParagraph"/>
              <w:spacing w:before="238"/>
              <w:ind w:left="194" w:right="185"/>
              <w:jc w:val="center"/>
              <w:rPr>
                <w:sz w:val="38"/>
              </w:rPr>
            </w:pPr>
            <w:r>
              <w:rPr>
                <w:sz w:val="38"/>
              </w:rPr>
              <w:t>7–10</w:t>
            </w:r>
          </w:p>
        </w:tc>
        <w:tc>
          <w:tcPr>
            <w:tcW w:w="4606" w:type="dxa"/>
          </w:tcPr>
          <w:p>
            <w:pPr>
              <w:pStyle w:val="TableParagraph"/>
              <w:spacing w:before="238"/>
              <w:ind w:left="194" w:right="182"/>
              <w:jc w:val="center"/>
              <w:rPr>
                <w:sz w:val="38"/>
              </w:rPr>
            </w:pPr>
            <w:r>
              <w:rPr>
                <w:sz w:val="38"/>
              </w:rPr>
              <w:t>130</w:t>
            </w:r>
          </w:p>
        </w:tc>
      </w:tr>
      <w:tr>
        <w:trPr>
          <w:trHeight w:val="930" w:hRule="atLeast"/>
        </w:trPr>
        <w:tc>
          <w:tcPr>
            <w:tcW w:w="4606" w:type="dxa"/>
          </w:tcPr>
          <w:p>
            <w:pPr>
              <w:pStyle w:val="TableParagraph"/>
              <w:spacing w:before="238"/>
              <w:ind w:right="1841"/>
              <w:jc w:val="right"/>
              <w:rPr>
                <w:sz w:val="38"/>
              </w:rPr>
            </w:pPr>
            <w:r>
              <w:rPr>
                <w:w w:val="95"/>
                <w:sz w:val="38"/>
              </w:rPr>
              <w:t>11–14</w:t>
            </w:r>
          </w:p>
        </w:tc>
        <w:tc>
          <w:tcPr>
            <w:tcW w:w="4606" w:type="dxa"/>
          </w:tcPr>
          <w:p>
            <w:pPr>
              <w:pStyle w:val="TableParagraph"/>
              <w:spacing w:before="238"/>
              <w:ind w:left="194" w:right="182"/>
              <w:jc w:val="center"/>
              <w:rPr>
                <w:sz w:val="38"/>
              </w:rPr>
            </w:pPr>
            <w:r>
              <w:rPr>
                <w:sz w:val="38"/>
              </w:rPr>
              <w:t>200</w:t>
            </w:r>
          </w:p>
        </w:tc>
      </w:tr>
      <w:tr>
        <w:trPr>
          <w:trHeight w:val="931" w:hRule="atLeast"/>
        </w:trPr>
        <w:tc>
          <w:tcPr>
            <w:tcW w:w="4606" w:type="dxa"/>
          </w:tcPr>
          <w:p>
            <w:pPr>
              <w:pStyle w:val="TableParagraph"/>
              <w:spacing w:before="239"/>
              <w:ind w:right="1841"/>
              <w:jc w:val="right"/>
              <w:rPr>
                <w:sz w:val="38"/>
              </w:rPr>
            </w:pPr>
            <w:r>
              <w:rPr>
                <w:w w:val="95"/>
                <w:sz w:val="38"/>
              </w:rPr>
              <w:t>15–17</w:t>
            </w:r>
          </w:p>
        </w:tc>
        <w:tc>
          <w:tcPr>
            <w:tcW w:w="4606" w:type="dxa"/>
          </w:tcPr>
          <w:p>
            <w:pPr>
              <w:pStyle w:val="TableParagraph"/>
              <w:spacing w:before="239"/>
              <w:ind w:left="194" w:right="182"/>
              <w:jc w:val="center"/>
              <w:rPr>
                <w:sz w:val="38"/>
              </w:rPr>
            </w:pPr>
            <w:r>
              <w:rPr>
                <w:sz w:val="38"/>
              </w:rPr>
              <w:t>250</w:t>
            </w:r>
          </w:p>
        </w:tc>
      </w:tr>
      <w:tr>
        <w:trPr>
          <w:trHeight w:val="1425" w:hRule="atLeast"/>
        </w:trPr>
        <w:tc>
          <w:tcPr>
            <w:tcW w:w="4606" w:type="dxa"/>
          </w:tcPr>
          <w:p>
            <w:pPr>
              <w:pStyle w:val="TableParagraph"/>
              <w:spacing w:line="278" w:lineRule="auto" w:before="236"/>
              <w:ind w:left="1432" w:right="89" w:hanging="1311"/>
              <w:rPr>
                <w:sz w:val="38"/>
              </w:rPr>
            </w:pPr>
            <w:r>
              <w:rPr>
                <w:sz w:val="38"/>
              </w:rPr>
              <w:t>Adults (incl. pregnant woman and infants)</w:t>
            </w:r>
          </w:p>
        </w:tc>
        <w:tc>
          <w:tcPr>
            <w:tcW w:w="4606" w:type="dxa"/>
          </w:tcPr>
          <w:p>
            <w:pPr>
              <w:pStyle w:val="TableParagraph"/>
              <w:spacing w:before="238"/>
              <w:ind w:left="194" w:right="182"/>
              <w:jc w:val="center"/>
              <w:rPr>
                <w:sz w:val="38"/>
              </w:rPr>
            </w:pPr>
            <w:r>
              <w:rPr>
                <w:sz w:val="38"/>
              </w:rPr>
              <w:t>300</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r>
        <w:rPr/>
        <w:pict>
          <v:line style="position:absolute;mso-position-horizontal-relative:page;mso-position-vertical-relative:paragraph;z-index:11480;mso-wrap-distance-left:0;mso-wrap-distance-right:0" from="70.823997pt,11.280015pt" to="214.843997pt,11.280015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838 </w:t>
      </w:r>
      <w:r>
        <w:rPr>
          <w:sz w:val="20"/>
        </w:rPr>
        <w:t>Heinzow B. und Oster O: Metalle und Metalloide: Selen. ('Metals and Metalloids: Selenium.') Praktische Umweltmedizin, Springer Verlag 2004</w:t>
      </w:r>
    </w:p>
    <w:p>
      <w:pPr>
        <w:spacing w:after="0"/>
        <w:jc w:val="left"/>
        <w:rPr>
          <w:sz w:val="20"/>
        </w:rPr>
        <w:sectPr>
          <w:pgSz w:w="14270" w:h="16850"/>
          <w:pgMar w:header="0" w:footer="1891" w:top="1340" w:bottom="2080" w:left="800" w:right="1280"/>
        </w:sectPr>
      </w:pPr>
    </w:p>
    <w:p>
      <w:pPr>
        <w:spacing w:before="73"/>
        <w:ind w:left="616" w:right="0" w:firstLine="0"/>
        <w:jc w:val="left"/>
        <w:rPr>
          <w:rFonts w:ascii="Cambria"/>
          <w:b/>
          <w:sz w:val="28"/>
        </w:rPr>
      </w:pPr>
      <w:r>
        <w:rPr>
          <w:rFonts w:ascii="Cambria"/>
          <w:b/>
          <w:color w:val="365F91"/>
          <w:sz w:val="28"/>
        </w:rPr>
        <w:t>SILICON/SILICA</w:t>
      </w:r>
    </w:p>
    <w:p>
      <w:pPr>
        <w:pStyle w:val="BodyText"/>
        <w:rPr>
          <w:rFonts w:ascii="Cambria"/>
          <w:b/>
          <w:sz w:val="32"/>
        </w:rPr>
      </w:pPr>
    </w:p>
    <w:p>
      <w:pPr>
        <w:pStyle w:val="BodyText"/>
        <w:spacing w:before="8"/>
        <w:rPr>
          <w:rFonts w:ascii="Cambria"/>
          <w:b/>
          <w:sz w:val="34"/>
        </w:rPr>
      </w:pPr>
    </w:p>
    <w:p>
      <w:pPr>
        <w:pStyle w:val="Heading2"/>
        <w:ind w:left="616"/>
      </w:pPr>
      <w:r>
        <w:rPr/>
        <w:t>Things to know at the beginning</w:t>
      </w:r>
    </w:p>
    <w:p>
      <w:pPr>
        <w:pStyle w:val="BodyText"/>
        <w:spacing w:line="276" w:lineRule="auto" w:before="304"/>
        <w:ind w:left="616" w:right="133"/>
        <w:jc w:val="both"/>
      </w:pPr>
      <w:r>
        <w:rPr/>
        <w:t>Silicon</w:t>
      </w:r>
      <w:r>
        <w:rPr>
          <w:spacing w:val="-7"/>
        </w:rPr>
        <w:t> </w:t>
      </w:r>
      <w:r>
        <w:rPr/>
        <w:t>is</w:t>
      </w:r>
      <w:r>
        <w:rPr>
          <w:spacing w:val="-7"/>
        </w:rPr>
        <w:t> </w:t>
      </w:r>
      <w:r>
        <w:rPr/>
        <w:t>among</w:t>
      </w:r>
      <w:r>
        <w:rPr>
          <w:spacing w:val="-9"/>
        </w:rPr>
        <w:t> </w:t>
      </w:r>
      <w:r>
        <w:rPr/>
        <w:t>the</w:t>
      </w:r>
      <w:r>
        <w:rPr>
          <w:spacing w:val="-8"/>
        </w:rPr>
        <w:t> </w:t>
      </w:r>
      <w:r>
        <w:rPr/>
        <w:t>oldest</w:t>
      </w:r>
      <w:r>
        <w:rPr>
          <w:spacing w:val="-8"/>
        </w:rPr>
        <w:t> </w:t>
      </w:r>
      <w:r>
        <w:rPr/>
        <w:t>elements</w:t>
      </w:r>
      <w:r>
        <w:rPr>
          <w:spacing w:val="-6"/>
        </w:rPr>
        <w:t> </w:t>
      </w:r>
      <w:r>
        <w:rPr/>
        <w:t>on</w:t>
      </w:r>
      <w:r>
        <w:rPr>
          <w:spacing w:val="-9"/>
        </w:rPr>
        <w:t> </w:t>
      </w:r>
      <w:r>
        <w:rPr/>
        <w:t>our</w:t>
      </w:r>
      <w:r>
        <w:rPr>
          <w:spacing w:val="-7"/>
        </w:rPr>
        <w:t> </w:t>
      </w:r>
      <w:r>
        <w:rPr/>
        <w:t>planet</w:t>
      </w:r>
      <w:r>
        <w:rPr>
          <w:spacing w:val="-8"/>
        </w:rPr>
        <w:t> </w:t>
      </w:r>
      <w:r>
        <w:rPr/>
        <w:t>and</w:t>
      </w:r>
      <w:r>
        <w:rPr>
          <w:spacing w:val="-7"/>
        </w:rPr>
        <w:t> </w:t>
      </w:r>
      <w:r>
        <w:rPr/>
        <w:t>has</w:t>
      </w:r>
      <w:r>
        <w:rPr>
          <w:spacing w:val="-8"/>
        </w:rPr>
        <w:t> </w:t>
      </w:r>
      <w:r>
        <w:rPr/>
        <w:t>existed</w:t>
      </w:r>
      <w:r>
        <w:rPr>
          <w:spacing w:val="-7"/>
        </w:rPr>
        <w:t> </w:t>
      </w:r>
      <w:r>
        <w:rPr/>
        <w:t>since</w:t>
      </w:r>
      <w:r>
        <w:rPr>
          <w:spacing w:val="-10"/>
        </w:rPr>
        <w:t> </w:t>
      </w:r>
      <w:r>
        <w:rPr/>
        <w:t>Earth came into being. In nature, silicon never appears in a pure form, but only in combination with oxygen as silicon</w:t>
      </w:r>
      <w:r>
        <w:rPr>
          <w:spacing w:val="1"/>
        </w:rPr>
        <w:t> </w:t>
      </w:r>
      <w:r>
        <w:rPr/>
        <w:t>dioxide.</w:t>
      </w:r>
    </w:p>
    <w:p>
      <w:pPr>
        <w:pStyle w:val="BodyText"/>
        <w:spacing w:before="240"/>
        <w:ind w:left="616"/>
      </w:pPr>
      <w:r>
        <w:rPr/>
        <w:t>The combination of silicon and water is in turn called 'silica'.</w:t>
      </w:r>
    </w:p>
    <w:p>
      <w:pPr>
        <w:pStyle w:val="BodyText"/>
        <w:spacing w:line="276" w:lineRule="auto" w:before="304"/>
        <w:ind w:left="616" w:right="140"/>
        <w:jc w:val="both"/>
      </w:pPr>
      <w:r>
        <w:rPr/>
        <w:t>After oxygen, silicon is the most common element on our planet and belongs to the category of minerals. It is one of 104 elements of which our Earth is composed. It is above all abundantly present in stone, for example in granite, quartz, sandstone and slate.</w:t>
      </w:r>
    </w:p>
    <w:p>
      <w:pPr>
        <w:pStyle w:val="BodyText"/>
        <w:spacing w:line="276" w:lineRule="auto" w:before="239"/>
        <w:ind w:left="616" w:right="135"/>
        <w:jc w:val="both"/>
      </w:pPr>
      <w:r>
        <w:rPr/>
        <w:t>Amazingly, thorough research of these nutrients, so important for our health and</w:t>
      </w:r>
      <w:r>
        <w:rPr>
          <w:spacing w:val="-9"/>
        </w:rPr>
        <w:t> </w:t>
      </w:r>
      <w:r>
        <w:rPr/>
        <w:t>lives,</w:t>
      </w:r>
      <w:r>
        <w:rPr>
          <w:spacing w:val="-9"/>
        </w:rPr>
        <w:t> </w:t>
      </w:r>
      <w:r>
        <w:rPr/>
        <w:t>was</w:t>
      </w:r>
      <w:r>
        <w:rPr>
          <w:spacing w:val="-11"/>
        </w:rPr>
        <w:t> </w:t>
      </w:r>
      <w:r>
        <w:rPr/>
        <w:t>relatively</w:t>
      </w:r>
      <w:r>
        <w:rPr>
          <w:spacing w:val="-10"/>
        </w:rPr>
        <w:t> </w:t>
      </w:r>
      <w:r>
        <w:rPr/>
        <w:t>late.</w:t>
      </w:r>
      <w:r>
        <w:rPr>
          <w:spacing w:val="-10"/>
        </w:rPr>
        <w:t> </w:t>
      </w:r>
      <w:r>
        <w:rPr/>
        <w:t>In</w:t>
      </w:r>
      <w:r>
        <w:rPr>
          <w:spacing w:val="-8"/>
        </w:rPr>
        <w:t> </w:t>
      </w:r>
      <w:r>
        <w:rPr/>
        <w:t>the</w:t>
      </w:r>
      <w:r>
        <w:rPr>
          <w:spacing w:val="-9"/>
        </w:rPr>
        <w:t> </w:t>
      </w:r>
      <w:r>
        <w:rPr/>
        <w:t>case</w:t>
      </w:r>
      <w:r>
        <w:rPr>
          <w:spacing w:val="-11"/>
        </w:rPr>
        <w:t> </w:t>
      </w:r>
      <w:r>
        <w:rPr/>
        <w:t>of</w:t>
      </w:r>
      <w:r>
        <w:rPr>
          <w:spacing w:val="-11"/>
        </w:rPr>
        <w:t> </w:t>
      </w:r>
      <w:r>
        <w:rPr/>
        <w:t>trace</w:t>
      </w:r>
      <w:r>
        <w:rPr>
          <w:spacing w:val="-9"/>
        </w:rPr>
        <w:t> </w:t>
      </w:r>
      <w:r>
        <w:rPr/>
        <w:t>elements,</w:t>
      </w:r>
      <w:r>
        <w:rPr>
          <w:spacing w:val="-8"/>
        </w:rPr>
        <w:t> </w:t>
      </w:r>
      <w:r>
        <w:rPr/>
        <w:t>which</w:t>
      </w:r>
      <w:r>
        <w:rPr>
          <w:spacing w:val="-10"/>
        </w:rPr>
        <w:t> </w:t>
      </w:r>
      <w:r>
        <w:rPr/>
        <w:t>are</w:t>
      </w:r>
      <w:r>
        <w:rPr>
          <w:spacing w:val="-9"/>
        </w:rPr>
        <w:t> </w:t>
      </w:r>
      <w:r>
        <w:rPr/>
        <w:t>present</w:t>
      </w:r>
      <w:r>
        <w:rPr>
          <w:spacing w:val="-12"/>
        </w:rPr>
        <w:t> </w:t>
      </w:r>
      <w:r>
        <w:rPr/>
        <w:t>in our bodies in only tiny amounts, it can take decades until they earn the atten- tion which they have long since</w:t>
      </w:r>
      <w:r>
        <w:rPr>
          <w:spacing w:val="2"/>
        </w:rPr>
        <w:t> </w:t>
      </w:r>
      <w:r>
        <w:rPr/>
        <w:t>deserved.</w:t>
      </w:r>
    </w:p>
    <w:p>
      <w:pPr>
        <w:pStyle w:val="BodyText"/>
        <w:spacing w:line="276" w:lineRule="auto" w:before="242"/>
        <w:ind w:left="616" w:right="137"/>
        <w:jc w:val="both"/>
      </w:pPr>
      <w:r>
        <w:rPr/>
        <w:t>This</w:t>
      </w:r>
      <w:r>
        <w:rPr>
          <w:spacing w:val="-17"/>
        </w:rPr>
        <w:t> </w:t>
      </w:r>
      <w:r>
        <w:rPr/>
        <w:t>fate</w:t>
      </w:r>
      <w:r>
        <w:rPr>
          <w:spacing w:val="-17"/>
        </w:rPr>
        <w:t> </w:t>
      </w:r>
      <w:r>
        <w:rPr/>
        <w:t>was</w:t>
      </w:r>
      <w:r>
        <w:rPr>
          <w:spacing w:val="-17"/>
        </w:rPr>
        <w:t> </w:t>
      </w:r>
      <w:r>
        <w:rPr/>
        <w:t>also</w:t>
      </w:r>
      <w:r>
        <w:rPr>
          <w:spacing w:val="-16"/>
        </w:rPr>
        <w:t> </w:t>
      </w:r>
      <w:r>
        <w:rPr/>
        <w:t>shared</w:t>
      </w:r>
      <w:r>
        <w:rPr>
          <w:spacing w:val="-16"/>
        </w:rPr>
        <w:t> </w:t>
      </w:r>
      <w:r>
        <w:rPr/>
        <w:t>by</w:t>
      </w:r>
      <w:r>
        <w:rPr>
          <w:spacing w:val="-19"/>
        </w:rPr>
        <w:t> </w:t>
      </w:r>
      <w:r>
        <w:rPr/>
        <w:t>the</w:t>
      </w:r>
      <w:r>
        <w:rPr>
          <w:spacing w:val="-15"/>
        </w:rPr>
        <w:t> </w:t>
      </w:r>
      <w:r>
        <w:rPr/>
        <w:t>trace</w:t>
      </w:r>
      <w:r>
        <w:rPr>
          <w:spacing w:val="-16"/>
        </w:rPr>
        <w:t> </w:t>
      </w:r>
      <w:r>
        <w:rPr/>
        <w:t>element</w:t>
      </w:r>
      <w:r>
        <w:rPr>
          <w:spacing w:val="-18"/>
        </w:rPr>
        <w:t> </w:t>
      </w:r>
      <w:r>
        <w:rPr/>
        <w:t>'silicon'.</w:t>
      </w:r>
      <w:r>
        <w:rPr>
          <w:spacing w:val="-16"/>
        </w:rPr>
        <w:t> </w:t>
      </w:r>
      <w:r>
        <w:rPr/>
        <w:t>While,</w:t>
      </w:r>
      <w:r>
        <w:rPr>
          <w:spacing w:val="-19"/>
        </w:rPr>
        <w:t> </w:t>
      </w:r>
      <w:r>
        <w:rPr/>
        <w:t>as</w:t>
      </w:r>
      <w:r>
        <w:rPr>
          <w:spacing w:val="-18"/>
        </w:rPr>
        <w:t> </w:t>
      </w:r>
      <w:r>
        <w:rPr/>
        <w:t>early</w:t>
      </w:r>
      <w:r>
        <w:rPr>
          <w:spacing w:val="-17"/>
        </w:rPr>
        <w:t> </w:t>
      </w:r>
      <w:r>
        <w:rPr/>
        <w:t>as</w:t>
      </w:r>
      <w:r>
        <w:rPr>
          <w:spacing w:val="-17"/>
        </w:rPr>
        <w:t> </w:t>
      </w:r>
      <w:r>
        <w:rPr/>
        <w:t>before the Second World War, some individual scientific treatises by dedicated</w:t>
      </w:r>
      <w:r>
        <w:rPr>
          <w:spacing w:val="-35"/>
        </w:rPr>
        <w:t> </w:t>
      </w:r>
      <w:r>
        <w:rPr/>
        <w:t>scien- tists praised silicon to the skies as a natural remedy, it would take until 1972 before</w:t>
      </w:r>
      <w:r>
        <w:rPr>
          <w:spacing w:val="-7"/>
        </w:rPr>
        <w:t> </w:t>
      </w:r>
      <w:r>
        <w:rPr/>
        <w:t>the</w:t>
      </w:r>
      <w:r>
        <w:rPr>
          <w:spacing w:val="-6"/>
        </w:rPr>
        <w:t> </w:t>
      </w:r>
      <w:r>
        <w:rPr/>
        <w:t>presence</w:t>
      </w:r>
      <w:r>
        <w:rPr>
          <w:spacing w:val="-7"/>
        </w:rPr>
        <w:t> </w:t>
      </w:r>
      <w:r>
        <w:rPr/>
        <w:t>of</w:t>
      </w:r>
      <w:r>
        <w:rPr>
          <w:spacing w:val="-6"/>
        </w:rPr>
        <w:t> </w:t>
      </w:r>
      <w:r>
        <w:rPr/>
        <w:t>silicon</w:t>
      </w:r>
      <w:r>
        <w:rPr>
          <w:spacing w:val="-5"/>
        </w:rPr>
        <w:t> </w:t>
      </w:r>
      <w:r>
        <w:rPr/>
        <w:t>in</w:t>
      </w:r>
      <w:r>
        <w:rPr>
          <w:spacing w:val="-7"/>
        </w:rPr>
        <w:t> </w:t>
      </w:r>
      <w:r>
        <w:rPr/>
        <w:t>the</w:t>
      </w:r>
      <w:r>
        <w:rPr>
          <w:spacing w:val="-6"/>
        </w:rPr>
        <w:t> </w:t>
      </w:r>
      <w:r>
        <w:rPr/>
        <w:t>human</w:t>
      </w:r>
      <w:r>
        <w:rPr>
          <w:spacing w:val="-6"/>
        </w:rPr>
        <w:t> </w:t>
      </w:r>
      <w:r>
        <w:rPr/>
        <w:t>body</w:t>
      </w:r>
      <w:r>
        <w:rPr>
          <w:spacing w:val="-7"/>
        </w:rPr>
        <w:t> </w:t>
      </w:r>
      <w:r>
        <w:rPr/>
        <w:t>was</w:t>
      </w:r>
      <w:r>
        <w:rPr>
          <w:spacing w:val="-6"/>
        </w:rPr>
        <w:t> </w:t>
      </w:r>
      <w:r>
        <w:rPr/>
        <w:t>recognised</w:t>
      </w:r>
      <w:r>
        <w:rPr>
          <w:spacing w:val="-6"/>
        </w:rPr>
        <w:t> </w:t>
      </w:r>
      <w:r>
        <w:rPr/>
        <w:t>as</w:t>
      </w:r>
      <w:r>
        <w:rPr>
          <w:spacing w:val="-7"/>
        </w:rPr>
        <w:t> </w:t>
      </w:r>
      <w:r>
        <w:rPr/>
        <w:t>'necessary for life' and silicon was given the predicate</w:t>
      </w:r>
      <w:r>
        <w:rPr>
          <w:spacing w:val="1"/>
        </w:rPr>
        <w:t> </w:t>
      </w:r>
      <w:r>
        <w:rPr/>
        <w:t>'essential'.</w:t>
      </w:r>
    </w:p>
    <w:p>
      <w:pPr>
        <w:spacing w:after="0" w:line="276" w:lineRule="auto"/>
        <w:jc w:val="both"/>
        <w:sectPr>
          <w:footerReference w:type="default" r:id="rId353"/>
          <w:pgSz w:w="14270" w:h="16850"/>
          <w:pgMar w:footer="1891" w:header="0" w:top="1340" w:bottom="2080" w:left="800" w:right="1280"/>
          <w:pgNumType w:start="1460"/>
        </w:sectPr>
      </w:pPr>
    </w:p>
    <w:p>
      <w:pPr>
        <w:pStyle w:val="BodyText"/>
        <w:spacing w:line="276" w:lineRule="auto" w:before="74"/>
        <w:ind w:left="616" w:right="136"/>
        <w:jc w:val="both"/>
      </w:pPr>
      <w:r>
        <w:rPr/>
        <w:t>For botanists (plant experts), however, silicon was already at the centre of at- tention in the 19th century. Research into the reasons why certain wafer-thin plants like horsetail demonstrate an incredible stability in their support func- tions and structure and, moreover, enjoy a tenacious integrity led straightaway to silicon as their most important component, and as it turned out...</w:t>
      </w:r>
    </w:p>
    <w:p>
      <w:pPr>
        <w:pStyle w:val="BodyText"/>
        <w:spacing w:before="240"/>
        <w:ind w:left="616"/>
      </w:pPr>
      <w:r>
        <w:rPr/>
        <w:t>...the more silicon these plants have, the healthier and more stable they are!</w:t>
      </w:r>
    </w:p>
    <w:p>
      <w:pPr>
        <w:pStyle w:val="BodyText"/>
        <w:spacing w:line="276" w:lineRule="auto" w:before="305"/>
        <w:ind w:left="616" w:right="142"/>
        <w:jc w:val="both"/>
      </w:pPr>
      <w:r>
        <w:rPr/>
        <w:t>Should this principle also apply to higher life forms? Maybe for humans, too? That would be a substantial breakthrough in medicine!</w:t>
      </w:r>
    </w:p>
    <w:p>
      <w:pPr>
        <w:pStyle w:val="BodyText"/>
        <w:spacing w:line="276" w:lineRule="auto" w:before="241"/>
        <w:ind w:left="616" w:right="137"/>
        <w:jc w:val="both"/>
      </w:pPr>
      <w:r>
        <w:rPr/>
        <w:t>The feather of a bird, for example, light and yet stable at the same time, is composed of 70 % silicon, and silicon apparently plays a role wherever stable yet elastic structures are required.</w:t>
      </w:r>
    </w:p>
    <w:p>
      <w:pPr>
        <w:pStyle w:val="BodyText"/>
        <w:spacing w:line="276" w:lineRule="auto" w:before="238"/>
        <w:ind w:left="616" w:right="128"/>
        <w:jc w:val="both"/>
      </w:pPr>
      <w:r>
        <w:rPr/>
        <w:t>Take the human body: the need for stable and simultaneously elastic elements is very high. Thus our entire blood vessel system, which has a total length of around 100,000 km (including capillaries), consists in our younger years of an elastic and simultaneously stable structure. The entirety of our bodily tissue, the</w:t>
      </w:r>
      <w:r>
        <w:rPr>
          <w:spacing w:val="-18"/>
        </w:rPr>
        <w:t> </w:t>
      </w:r>
      <w:r>
        <w:rPr/>
        <w:t>skin,</w:t>
      </w:r>
      <w:r>
        <w:rPr>
          <w:spacing w:val="-17"/>
        </w:rPr>
        <w:t> </w:t>
      </w:r>
      <w:r>
        <w:rPr/>
        <w:t>the</w:t>
      </w:r>
      <w:r>
        <w:rPr>
          <w:spacing w:val="-19"/>
        </w:rPr>
        <w:t> </w:t>
      </w:r>
      <w:r>
        <w:rPr/>
        <w:t>tendons</w:t>
      </w:r>
      <w:r>
        <w:rPr>
          <w:spacing w:val="-17"/>
        </w:rPr>
        <w:t> </w:t>
      </w:r>
      <w:r>
        <w:rPr/>
        <w:t>and</w:t>
      </w:r>
      <w:r>
        <w:rPr>
          <w:spacing w:val="-18"/>
        </w:rPr>
        <w:t> </w:t>
      </w:r>
      <w:r>
        <w:rPr/>
        <w:t>ligaments</w:t>
      </w:r>
      <w:r>
        <w:rPr>
          <w:spacing w:val="-17"/>
        </w:rPr>
        <w:t> </w:t>
      </w:r>
      <w:r>
        <w:rPr/>
        <w:t>as</w:t>
      </w:r>
      <w:r>
        <w:rPr>
          <w:spacing w:val="-18"/>
        </w:rPr>
        <w:t> </w:t>
      </w:r>
      <w:r>
        <w:rPr/>
        <w:t>well</w:t>
      </w:r>
      <w:r>
        <w:rPr>
          <w:spacing w:val="-20"/>
        </w:rPr>
        <w:t> </w:t>
      </w:r>
      <w:r>
        <w:rPr/>
        <w:t>as</w:t>
      </w:r>
      <w:r>
        <w:rPr>
          <w:spacing w:val="-18"/>
        </w:rPr>
        <w:t> </w:t>
      </w:r>
      <w:r>
        <w:rPr/>
        <w:t>the</w:t>
      </w:r>
      <w:r>
        <w:rPr>
          <w:spacing w:val="-20"/>
        </w:rPr>
        <w:t> </w:t>
      </w:r>
      <w:r>
        <w:rPr/>
        <w:t>joint</w:t>
      </w:r>
      <w:r>
        <w:rPr>
          <w:spacing w:val="-18"/>
        </w:rPr>
        <w:t> </w:t>
      </w:r>
      <w:r>
        <w:rPr/>
        <w:t>cartilage,</w:t>
      </w:r>
      <w:r>
        <w:rPr>
          <w:spacing w:val="-17"/>
        </w:rPr>
        <w:t> </w:t>
      </w:r>
      <w:r>
        <w:rPr/>
        <w:t>need</w:t>
      </w:r>
      <w:r>
        <w:rPr>
          <w:spacing w:val="-17"/>
        </w:rPr>
        <w:t> </w:t>
      </w:r>
      <w:r>
        <w:rPr/>
        <w:t>to</w:t>
      </w:r>
      <w:r>
        <w:rPr>
          <w:spacing w:val="-17"/>
        </w:rPr>
        <w:t> </w:t>
      </w:r>
      <w:r>
        <w:rPr/>
        <w:t>endure these simultaneous demands for elasticity and firmness. An indispensable nu- trient,</w:t>
      </w:r>
      <w:r>
        <w:rPr>
          <w:spacing w:val="-18"/>
        </w:rPr>
        <w:t> </w:t>
      </w:r>
      <w:r>
        <w:rPr/>
        <w:t>so</w:t>
      </w:r>
      <w:r>
        <w:rPr>
          <w:spacing w:val="-19"/>
        </w:rPr>
        <w:t> </w:t>
      </w:r>
      <w:r>
        <w:rPr/>
        <w:t>that</w:t>
      </w:r>
      <w:r>
        <w:rPr>
          <w:spacing w:val="-18"/>
        </w:rPr>
        <w:t> </w:t>
      </w:r>
      <w:r>
        <w:rPr/>
        <w:t>these</w:t>
      </w:r>
      <w:r>
        <w:rPr>
          <w:spacing w:val="-17"/>
        </w:rPr>
        <w:t> </w:t>
      </w:r>
      <w:r>
        <w:rPr/>
        <w:t>bodily</w:t>
      </w:r>
      <w:r>
        <w:rPr>
          <w:spacing w:val="-19"/>
        </w:rPr>
        <w:t> </w:t>
      </w:r>
      <w:r>
        <w:rPr/>
        <w:t>tissues</w:t>
      </w:r>
      <w:r>
        <w:rPr>
          <w:spacing w:val="-18"/>
        </w:rPr>
        <w:t> </w:t>
      </w:r>
      <w:r>
        <w:rPr/>
        <w:t>remain</w:t>
      </w:r>
      <w:r>
        <w:rPr>
          <w:spacing w:val="-17"/>
        </w:rPr>
        <w:t> </w:t>
      </w:r>
      <w:r>
        <w:rPr/>
        <w:t>this</w:t>
      </w:r>
      <w:r>
        <w:rPr>
          <w:spacing w:val="-17"/>
        </w:rPr>
        <w:t> </w:t>
      </w:r>
      <w:r>
        <w:rPr/>
        <w:t>way</w:t>
      </w:r>
      <w:r>
        <w:rPr>
          <w:spacing w:val="-17"/>
        </w:rPr>
        <w:t> </w:t>
      </w:r>
      <w:r>
        <w:rPr/>
        <w:t>for</w:t>
      </w:r>
      <w:r>
        <w:rPr>
          <w:spacing w:val="-18"/>
        </w:rPr>
        <w:t> </w:t>
      </w:r>
      <w:r>
        <w:rPr/>
        <w:t>our</w:t>
      </w:r>
      <w:r>
        <w:rPr>
          <w:spacing w:val="-20"/>
        </w:rPr>
        <w:t> </w:t>
      </w:r>
      <w:r>
        <w:rPr/>
        <w:t>whole</w:t>
      </w:r>
      <w:r>
        <w:rPr>
          <w:spacing w:val="-17"/>
        </w:rPr>
        <w:t> </w:t>
      </w:r>
      <w:r>
        <w:rPr/>
        <w:t>lives,</w:t>
      </w:r>
      <w:r>
        <w:rPr>
          <w:spacing w:val="-17"/>
        </w:rPr>
        <w:t> </w:t>
      </w:r>
      <w:r>
        <w:rPr/>
        <w:t>is</w:t>
      </w:r>
      <w:r>
        <w:rPr>
          <w:spacing w:val="-18"/>
        </w:rPr>
        <w:t> </w:t>
      </w:r>
      <w:r>
        <w:rPr/>
        <w:t>silicon, and the scientist Hugo Schulz is among the first to have recognised that there is no human tissue which is without silicon and—thus—is not dependent on silicon!</w:t>
      </w:r>
    </w:p>
    <w:p>
      <w:pPr>
        <w:pStyle w:val="BodyText"/>
        <w:spacing w:before="240"/>
        <w:ind w:left="616"/>
        <w:jc w:val="both"/>
      </w:pPr>
      <w:r>
        <w:rPr/>
        <w:t>The fact that silicon is present in our bodies only in a low total amount of</w:t>
      </w:r>
    </w:p>
    <w:p>
      <w:pPr>
        <w:spacing w:after="0"/>
        <w:jc w:val="both"/>
        <w:sectPr>
          <w:pgSz w:w="14270" w:h="16850"/>
          <w:pgMar w:header="0" w:footer="1891" w:top="1340" w:bottom="2080" w:left="800" w:right="1280"/>
        </w:sectPr>
      </w:pPr>
    </w:p>
    <w:p>
      <w:pPr>
        <w:pStyle w:val="BodyText"/>
        <w:spacing w:line="278" w:lineRule="auto" w:before="72"/>
        <w:ind w:left="616" w:right="130"/>
        <w:jc w:val="both"/>
      </w:pPr>
      <w:r>
        <w:rPr/>
        <w:t>about 7 g is the reason for silica's classification among the so-called trace ele- ments, just like iron, zinc, copper, chrome, fluoride, iodine or selenium.</w:t>
      </w:r>
    </w:p>
    <w:p>
      <w:pPr>
        <w:pStyle w:val="BodyText"/>
        <w:spacing w:line="276" w:lineRule="auto" w:before="232"/>
        <w:ind w:left="616" w:right="134"/>
        <w:jc w:val="both"/>
      </w:pPr>
      <w:r>
        <w:rPr/>
        <w:t>Many years passed before the importance of silicon was also acknowledged in medical circles. Maybe the reason for this is that trace elements are present in such minimal amounts in the body that one does not straightaway want to ascribe to them the degree of potential that the potential of silicon represents. This is a major mistake, knowing as we have for quite some time now the essential functions of, for example, the trace element iron.</w:t>
      </w:r>
    </w:p>
    <w:p>
      <w:pPr>
        <w:pStyle w:val="BodyText"/>
        <w:spacing w:line="276" w:lineRule="auto" w:before="243"/>
        <w:ind w:left="616" w:right="131"/>
        <w:jc w:val="both"/>
      </w:pPr>
      <w:r>
        <w:rPr/>
        <w:t>While, as early as 1878, the famous French chemist and bacteriologist Louis Pasteur prophesied a major role for silicon in healthcare, it was the develop- ment of silicon gel (also known as 'silicea') by Dr. Becker after the Second World</w:t>
      </w:r>
      <w:r>
        <w:rPr>
          <w:spacing w:val="-5"/>
        </w:rPr>
        <w:t> </w:t>
      </w:r>
      <w:r>
        <w:rPr/>
        <w:t>War</w:t>
      </w:r>
      <w:r>
        <w:rPr>
          <w:spacing w:val="-5"/>
        </w:rPr>
        <w:t> </w:t>
      </w:r>
      <w:r>
        <w:rPr/>
        <w:t>that</w:t>
      </w:r>
      <w:r>
        <w:rPr>
          <w:spacing w:val="-7"/>
        </w:rPr>
        <w:t> </w:t>
      </w:r>
      <w:r>
        <w:rPr/>
        <w:t>first</w:t>
      </w:r>
      <w:r>
        <w:rPr>
          <w:spacing w:val="-6"/>
        </w:rPr>
        <w:t> </w:t>
      </w:r>
      <w:r>
        <w:rPr/>
        <w:t>led</w:t>
      </w:r>
      <w:r>
        <w:rPr>
          <w:spacing w:val="-6"/>
        </w:rPr>
        <w:t> </w:t>
      </w:r>
      <w:r>
        <w:rPr/>
        <w:t>to</w:t>
      </w:r>
      <w:r>
        <w:rPr>
          <w:spacing w:val="-7"/>
        </w:rPr>
        <w:t> </w:t>
      </w:r>
      <w:r>
        <w:rPr/>
        <w:t>the</w:t>
      </w:r>
      <w:r>
        <w:rPr>
          <w:spacing w:val="-4"/>
        </w:rPr>
        <w:t> </w:t>
      </w:r>
      <w:r>
        <w:rPr/>
        <w:t>groundbreaking</w:t>
      </w:r>
      <w:r>
        <w:rPr>
          <w:spacing w:val="-5"/>
        </w:rPr>
        <w:t> </w:t>
      </w:r>
      <w:r>
        <w:rPr/>
        <w:t>development</w:t>
      </w:r>
      <w:r>
        <w:rPr>
          <w:spacing w:val="-5"/>
        </w:rPr>
        <w:t> </w:t>
      </w:r>
      <w:r>
        <w:rPr/>
        <w:t>in</w:t>
      </w:r>
      <w:r>
        <w:rPr>
          <w:spacing w:val="-5"/>
        </w:rPr>
        <w:t> </w:t>
      </w:r>
      <w:r>
        <w:rPr/>
        <w:t>the</w:t>
      </w:r>
      <w:r>
        <w:rPr>
          <w:spacing w:val="-5"/>
        </w:rPr>
        <w:t> </w:t>
      </w:r>
      <w:r>
        <w:rPr/>
        <w:t>use</w:t>
      </w:r>
      <w:r>
        <w:rPr>
          <w:spacing w:val="-7"/>
        </w:rPr>
        <w:t> </w:t>
      </w:r>
      <w:r>
        <w:rPr/>
        <w:t>of</w:t>
      </w:r>
      <w:r>
        <w:rPr>
          <w:spacing w:val="-5"/>
        </w:rPr>
        <w:t> </w:t>
      </w:r>
      <w:r>
        <w:rPr/>
        <w:t>and treatment with silicon. Fascinated by the healing properties of the element as described in the scientific media, Dr. Becker laid an emphasis on developing</w:t>
      </w:r>
      <w:r>
        <w:rPr>
          <w:spacing w:val="-36"/>
        </w:rPr>
        <w:t> </w:t>
      </w:r>
      <w:r>
        <w:rPr/>
        <w:t>a silicon product that would enable as efficient an absorption in the body as possible and that could be used both internally and externally. A watery, gel- like</w:t>
      </w:r>
      <w:r>
        <w:rPr>
          <w:spacing w:val="-10"/>
        </w:rPr>
        <w:t> </w:t>
      </w:r>
      <w:r>
        <w:rPr/>
        <w:t>solution</w:t>
      </w:r>
      <w:r>
        <w:rPr>
          <w:spacing w:val="-8"/>
        </w:rPr>
        <w:t> </w:t>
      </w:r>
      <w:r>
        <w:rPr/>
        <w:t>was</w:t>
      </w:r>
      <w:r>
        <w:rPr>
          <w:spacing w:val="-8"/>
        </w:rPr>
        <w:t> </w:t>
      </w:r>
      <w:r>
        <w:rPr/>
        <w:t>to</w:t>
      </w:r>
      <w:r>
        <w:rPr>
          <w:spacing w:val="-7"/>
        </w:rPr>
        <w:t> </w:t>
      </w:r>
      <w:r>
        <w:rPr/>
        <w:t>fulfil</w:t>
      </w:r>
      <w:r>
        <w:rPr>
          <w:spacing w:val="-9"/>
        </w:rPr>
        <w:t> </w:t>
      </w:r>
      <w:r>
        <w:rPr/>
        <w:t>these</w:t>
      </w:r>
      <w:r>
        <w:rPr>
          <w:spacing w:val="-11"/>
        </w:rPr>
        <w:t> </w:t>
      </w:r>
      <w:r>
        <w:rPr/>
        <w:t>criteria.</w:t>
      </w:r>
      <w:r>
        <w:rPr>
          <w:spacing w:val="-7"/>
        </w:rPr>
        <w:t> </w:t>
      </w:r>
      <w:r>
        <w:rPr/>
        <w:t>Silicon</w:t>
      </w:r>
      <w:r>
        <w:rPr>
          <w:spacing w:val="-7"/>
        </w:rPr>
        <w:t> </w:t>
      </w:r>
      <w:r>
        <w:rPr/>
        <w:t>gel</w:t>
      </w:r>
      <w:r>
        <w:rPr>
          <w:spacing w:val="-11"/>
        </w:rPr>
        <w:t> </w:t>
      </w:r>
      <w:r>
        <w:rPr/>
        <w:t>is</w:t>
      </w:r>
      <w:r>
        <w:rPr>
          <w:spacing w:val="-8"/>
        </w:rPr>
        <w:t> </w:t>
      </w:r>
      <w:r>
        <w:rPr/>
        <w:t>to</w:t>
      </w:r>
      <w:r>
        <w:rPr>
          <w:spacing w:val="-9"/>
        </w:rPr>
        <w:t> </w:t>
      </w:r>
      <w:r>
        <w:rPr/>
        <w:t>this</w:t>
      </w:r>
      <w:r>
        <w:rPr>
          <w:spacing w:val="-10"/>
        </w:rPr>
        <w:t> </w:t>
      </w:r>
      <w:r>
        <w:rPr/>
        <w:t>day</w:t>
      </w:r>
      <w:r>
        <w:rPr>
          <w:spacing w:val="-9"/>
        </w:rPr>
        <w:t> </w:t>
      </w:r>
      <w:r>
        <w:rPr/>
        <w:t>considered</w:t>
      </w:r>
      <w:r>
        <w:rPr>
          <w:spacing w:val="-7"/>
        </w:rPr>
        <w:t> </w:t>
      </w:r>
      <w:r>
        <w:rPr/>
        <w:t>one of the most effective silicon products. But it would take even longer until the potential of silicon could be classified in a scientifically clear way, because, among</w:t>
      </w:r>
      <w:r>
        <w:rPr>
          <w:spacing w:val="-11"/>
        </w:rPr>
        <w:t> </w:t>
      </w:r>
      <w:r>
        <w:rPr/>
        <w:t>other</w:t>
      </w:r>
      <w:r>
        <w:rPr>
          <w:spacing w:val="-12"/>
        </w:rPr>
        <w:t> </w:t>
      </w:r>
      <w:r>
        <w:rPr/>
        <w:t>reasons,</w:t>
      </w:r>
      <w:r>
        <w:rPr>
          <w:spacing w:val="-12"/>
        </w:rPr>
        <w:t> </w:t>
      </w:r>
      <w:r>
        <w:rPr/>
        <w:t>the</w:t>
      </w:r>
      <w:r>
        <w:rPr>
          <w:spacing w:val="-10"/>
        </w:rPr>
        <w:t> </w:t>
      </w:r>
      <w:r>
        <w:rPr/>
        <w:t>studies</w:t>
      </w:r>
      <w:r>
        <w:rPr>
          <w:spacing w:val="-13"/>
        </w:rPr>
        <w:t> </w:t>
      </w:r>
      <w:r>
        <w:rPr/>
        <w:t>in</w:t>
      </w:r>
      <w:r>
        <w:rPr>
          <w:spacing w:val="-12"/>
        </w:rPr>
        <w:t> </w:t>
      </w:r>
      <w:r>
        <w:rPr/>
        <w:t>the</w:t>
      </w:r>
      <w:r>
        <w:rPr>
          <w:spacing w:val="-10"/>
        </w:rPr>
        <w:t> </w:t>
      </w:r>
      <w:r>
        <w:rPr/>
        <w:t>early</w:t>
      </w:r>
      <w:r>
        <w:rPr>
          <w:spacing w:val="-10"/>
        </w:rPr>
        <w:t> </w:t>
      </w:r>
      <w:r>
        <w:rPr/>
        <w:t>years</w:t>
      </w:r>
      <w:r>
        <w:rPr>
          <w:spacing w:val="-10"/>
        </w:rPr>
        <w:t> </w:t>
      </w:r>
      <w:r>
        <w:rPr/>
        <w:t>were</w:t>
      </w:r>
      <w:r>
        <w:rPr>
          <w:spacing w:val="-10"/>
        </w:rPr>
        <w:t> </w:t>
      </w:r>
      <w:r>
        <w:rPr/>
        <w:t>distorted</w:t>
      </w:r>
      <w:r>
        <w:rPr>
          <w:spacing w:val="-14"/>
        </w:rPr>
        <w:t> </w:t>
      </w:r>
      <w:r>
        <w:rPr/>
        <w:t>by</w:t>
      </w:r>
      <w:r>
        <w:rPr>
          <w:spacing w:val="-10"/>
        </w:rPr>
        <w:t> </w:t>
      </w:r>
      <w:r>
        <w:rPr/>
        <w:t>the</w:t>
      </w:r>
      <w:r>
        <w:rPr>
          <w:spacing w:val="-10"/>
        </w:rPr>
        <w:t> </w:t>
      </w:r>
      <w:r>
        <w:rPr/>
        <w:t>use</w:t>
      </w:r>
      <w:r>
        <w:rPr>
          <w:spacing w:val="-13"/>
        </w:rPr>
        <w:t> </w:t>
      </w:r>
      <w:r>
        <w:rPr/>
        <w:t>of glass</w:t>
      </w:r>
      <w:r>
        <w:rPr>
          <w:spacing w:val="-16"/>
        </w:rPr>
        <w:t> </w:t>
      </w:r>
      <w:r>
        <w:rPr/>
        <w:t>test</w:t>
      </w:r>
      <w:r>
        <w:rPr>
          <w:spacing w:val="-16"/>
        </w:rPr>
        <w:t> </w:t>
      </w:r>
      <w:r>
        <w:rPr/>
        <w:t>tubes;</w:t>
      </w:r>
      <w:r>
        <w:rPr>
          <w:spacing w:val="-20"/>
        </w:rPr>
        <w:t> </w:t>
      </w:r>
      <w:r>
        <w:rPr/>
        <w:t>glass</w:t>
      </w:r>
      <w:r>
        <w:rPr>
          <w:spacing w:val="-16"/>
        </w:rPr>
        <w:t> </w:t>
      </w:r>
      <w:r>
        <w:rPr/>
        <w:t>is,</w:t>
      </w:r>
      <w:r>
        <w:rPr>
          <w:spacing w:val="-18"/>
        </w:rPr>
        <w:t> </w:t>
      </w:r>
      <w:r>
        <w:rPr/>
        <w:t>of</w:t>
      </w:r>
      <w:r>
        <w:rPr>
          <w:spacing w:val="-16"/>
        </w:rPr>
        <w:t> </w:t>
      </w:r>
      <w:r>
        <w:rPr/>
        <w:t>course,</w:t>
      </w:r>
      <w:r>
        <w:rPr>
          <w:spacing w:val="-16"/>
        </w:rPr>
        <w:t> </w:t>
      </w:r>
      <w:r>
        <w:rPr/>
        <w:t>made</w:t>
      </w:r>
      <w:r>
        <w:rPr>
          <w:spacing w:val="-17"/>
        </w:rPr>
        <w:t> </w:t>
      </w:r>
      <w:r>
        <w:rPr/>
        <w:t>of</w:t>
      </w:r>
      <w:r>
        <w:rPr>
          <w:spacing w:val="-19"/>
        </w:rPr>
        <w:t> </w:t>
      </w:r>
      <w:r>
        <w:rPr/>
        <w:t>silicon.</w:t>
      </w:r>
      <w:r>
        <w:rPr>
          <w:spacing w:val="-16"/>
        </w:rPr>
        <w:t> </w:t>
      </w:r>
      <w:r>
        <w:rPr/>
        <w:t>Later</w:t>
      </w:r>
      <w:r>
        <w:rPr>
          <w:spacing w:val="-16"/>
        </w:rPr>
        <w:t> </w:t>
      </w:r>
      <w:r>
        <w:rPr/>
        <w:t>objective</w:t>
      </w:r>
      <w:r>
        <w:rPr>
          <w:spacing w:val="-17"/>
        </w:rPr>
        <w:t> </w:t>
      </w:r>
      <w:r>
        <w:rPr/>
        <w:t>experiments with materials containing no glass and thus no silicon revealed amazing</w:t>
      </w:r>
      <w:r>
        <w:rPr>
          <w:spacing w:val="-34"/>
        </w:rPr>
        <w:t> </w:t>
      </w:r>
      <w:r>
        <w:rPr/>
        <w:t>things and ascribed important tasks to silicon and/or silica, for</w:t>
      </w:r>
      <w:r>
        <w:rPr>
          <w:spacing w:val="-3"/>
        </w:rPr>
        <w:t> </w:t>
      </w:r>
      <w:r>
        <w:rPr/>
        <w:t>example:</w:t>
      </w:r>
    </w:p>
    <w:p>
      <w:pPr>
        <w:spacing w:after="0" w:line="276" w:lineRule="auto"/>
        <w:jc w:val="both"/>
        <w:sectPr>
          <w:pgSz w:w="14270" w:h="16850"/>
          <w:pgMar w:header="0" w:footer="1891" w:top="1340" w:bottom="2080" w:left="800" w:right="1280"/>
        </w:sectPr>
      </w:pPr>
    </w:p>
    <w:p>
      <w:pPr>
        <w:pStyle w:val="ListParagraph"/>
        <w:numPr>
          <w:ilvl w:val="0"/>
          <w:numId w:val="114"/>
        </w:numPr>
        <w:tabs>
          <w:tab w:pos="1032" w:val="left" w:leader="none"/>
        </w:tabs>
        <w:spacing w:line="240" w:lineRule="auto" w:before="53" w:after="0"/>
        <w:ind w:left="1031" w:right="0" w:hanging="415"/>
        <w:jc w:val="both"/>
        <w:rPr>
          <w:sz w:val="38"/>
        </w:rPr>
      </w:pPr>
      <w:r>
        <w:rPr>
          <w:sz w:val="38"/>
        </w:rPr>
        <w:t>cell</w:t>
      </w:r>
      <w:r>
        <w:rPr>
          <w:spacing w:val="-1"/>
          <w:sz w:val="38"/>
        </w:rPr>
        <w:t> </w:t>
      </w:r>
      <w:r>
        <w:rPr>
          <w:sz w:val="38"/>
        </w:rPr>
        <w:t>metabolism,</w:t>
      </w:r>
    </w:p>
    <w:p>
      <w:pPr>
        <w:pStyle w:val="ListParagraph"/>
        <w:numPr>
          <w:ilvl w:val="0"/>
          <w:numId w:val="114"/>
        </w:numPr>
        <w:tabs>
          <w:tab w:pos="1032" w:val="left" w:leader="none"/>
        </w:tabs>
        <w:spacing w:line="240" w:lineRule="auto" w:before="186" w:after="0"/>
        <w:ind w:left="1031" w:right="0" w:hanging="415"/>
        <w:jc w:val="both"/>
        <w:rPr>
          <w:sz w:val="38"/>
        </w:rPr>
      </w:pPr>
      <w:r>
        <w:rPr>
          <w:sz w:val="38"/>
        </w:rPr>
        <w:t>cell</w:t>
      </w:r>
      <w:r>
        <w:rPr>
          <w:spacing w:val="-1"/>
          <w:sz w:val="38"/>
        </w:rPr>
        <w:t> </w:t>
      </w:r>
      <w:r>
        <w:rPr>
          <w:sz w:val="38"/>
        </w:rPr>
        <w:t>development,</w:t>
      </w:r>
    </w:p>
    <w:p>
      <w:pPr>
        <w:pStyle w:val="ListParagraph"/>
        <w:numPr>
          <w:ilvl w:val="0"/>
          <w:numId w:val="114"/>
        </w:numPr>
        <w:tabs>
          <w:tab w:pos="1032" w:val="left" w:leader="none"/>
        </w:tabs>
        <w:spacing w:line="240" w:lineRule="auto" w:before="184" w:after="0"/>
        <w:ind w:left="1031" w:right="0" w:hanging="415"/>
        <w:jc w:val="both"/>
        <w:rPr>
          <w:sz w:val="38"/>
        </w:rPr>
      </w:pPr>
      <w:r>
        <w:rPr>
          <w:sz w:val="38"/>
        </w:rPr>
        <w:t>development and reinforcement of the connective</w:t>
      </w:r>
      <w:r>
        <w:rPr>
          <w:spacing w:val="-5"/>
          <w:sz w:val="38"/>
        </w:rPr>
        <w:t> </w:t>
      </w:r>
      <w:r>
        <w:rPr>
          <w:sz w:val="38"/>
        </w:rPr>
        <w:t>tissue,</w:t>
      </w:r>
    </w:p>
    <w:p>
      <w:pPr>
        <w:pStyle w:val="ListParagraph"/>
        <w:numPr>
          <w:ilvl w:val="0"/>
          <w:numId w:val="114"/>
        </w:numPr>
        <w:tabs>
          <w:tab w:pos="1032" w:val="left" w:leader="none"/>
        </w:tabs>
        <w:spacing w:line="240" w:lineRule="auto" w:before="184" w:after="0"/>
        <w:ind w:left="1031" w:right="0" w:hanging="415"/>
        <w:jc w:val="both"/>
        <w:rPr>
          <w:sz w:val="38"/>
        </w:rPr>
      </w:pPr>
      <w:r>
        <w:rPr>
          <w:sz w:val="38"/>
        </w:rPr>
        <w:t>strengthening of our immune systems</w:t>
      </w:r>
      <w:r>
        <w:rPr>
          <w:spacing w:val="-1"/>
          <w:sz w:val="38"/>
        </w:rPr>
        <w:t> </w:t>
      </w:r>
      <w:r>
        <w:rPr>
          <w:sz w:val="38"/>
        </w:rPr>
        <w:t>and</w:t>
      </w:r>
    </w:p>
    <w:p>
      <w:pPr>
        <w:pStyle w:val="ListParagraph"/>
        <w:numPr>
          <w:ilvl w:val="0"/>
          <w:numId w:val="114"/>
        </w:numPr>
        <w:tabs>
          <w:tab w:pos="1032" w:val="left" w:leader="none"/>
        </w:tabs>
        <w:spacing w:line="240" w:lineRule="auto" w:before="183" w:after="0"/>
        <w:ind w:left="1031" w:right="0" w:hanging="415"/>
        <w:jc w:val="both"/>
        <w:rPr>
          <w:sz w:val="38"/>
        </w:rPr>
      </w:pPr>
      <w:r>
        <w:rPr>
          <w:sz w:val="38"/>
        </w:rPr>
        <w:t>the elasticity of our blood</w:t>
      </w:r>
      <w:r>
        <w:rPr>
          <w:spacing w:val="-3"/>
          <w:sz w:val="38"/>
        </w:rPr>
        <w:t> </w:t>
      </w:r>
      <w:r>
        <w:rPr>
          <w:sz w:val="38"/>
        </w:rPr>
        <w:t>vessels.</w:t>
      </w:r>
    </w:p>
    <w:p>
      <w:pPr>
        <w:pStyle w:val="BodyText"/>
        <w:spacing w:before="305"/>
        <w:ind w:left="616"/>
        <w:jc w:val="both"/>
      </w:pPr>
      <w:r>
        <w:rPr/>
        <w:t>Not least, silicon was classified as anti-inflammatory and disinfecting.</w:t>
      </w:r>
    </w:p>
    <w:p>
      <w:pPr>
        <w:pStyle w:val="BodyText"/>
        <w:spacing w:line="276" w:lineRule="auto" w:before="305"/>
        <w:ind w:left="616" w:right="135"/>
        <w:jc w:val="both"/>
      </w:pPr>
      <w:r>
        <w:rPr/>
        <w:t>Further scientific studies confirmed that silicon is an essential element, neces- sary</w:t>
      </w:r>
      <w:r>
        <w:rPr>
          <w:spacing w:val="-9"/>
        </w:rPr>
        <w:t> </w:t>
      </w:r>
      <w:r>
        <w:rPr/>
        <w:t>for</w:t>
      </w:r>
      <w:r>
        <w:rPr>
          <w:spacing w:val="-9"/>
        </w:rPr>
        <w:t> </w:t>
      </w:r>
      <w:r>
        <w:rPr/>
        <w:t>life,</w:t>
      </w:r>
      <w:r>
        <w:rPr>
          <w:spacing w:val="-11"/>
        </w:rPr>
        <w:t> </w:t>
      </w:r>
      <w:r>
        <w:rPr/>
        <w:t>even</w:t>
      </w:r>
      <w:r>
        <w:rPr>
          <w:spacing w:val="-8"/>
        </w:rPr>
        <w:t> </w:t>
      </w:r>
      <w:r>
        <w:rPr/>
        <w:t>comparable</w:t>
      </w:r>
      <w:r>
        <w:rPr>
          <w:spacing w:val="-11"/>
        </w:rPr>
        <w:t> </w:t>
      </w:r>
      <w:r>
        <w:rPr/>
        <w:t>to</w:t>
      </w:r>
      <w:r>
        <w:rPr>
          <w:spacing w:val="-10"/>
        </w:rPr>
        <w:t> </w:t>
      </w:r>
      <w:r>
        <w:rPr/>
        <w:t>vitamin</w:t>
      </w:r>
      <w:r>
        <w:rPr>
          <w:spacing w:val="-8"/>
        </w:rPr>
        <w:t> </w:t>
      </w:r>
      <w:r>
        <w:rPr/>
        <w:t>C!</w:t>
      </w:r>
      <w:r>
        <w:rPr>
          <w:spacing w:val="-10"/>
        </w:rPr>
        <w:t> </w:t>
      </w:r>
      <w:r>
        <w:rPr/>
        <w:t>This</w:t>
      </w:r>
      <w:r>
        <w:rPr>
          <w:spacing w:val="-12"/>
        </w:rPr>
        <w:t> </w:t>
      </w:r>
      <w:r>
        <w:rPr/>
        <w:t>is</w:t>
      </w:r>
      <w:r>
        <w:rPr>
          <w:spacing w:val="-8"/>
        </w:rPr>
        <w:t> </w:t>
      </w:r>
      <w:r>
        <w:rPr/>
        <w:t>emphasised</w:t>
      </w:r>
      <w:r>
        <w:rPr>
          <w:spacing w:val="-11"/>
        </w:rPr>
        <w:t> </w:t>
      </w:r>
      <w:r>
        <w:rPr/>
        <w:t>by</w:t>
      </w:r>
      <w:r>
        <w:rPr>
          <w:spacing w:val="-8"/>
        </w:rPr>
        <w:t> </w:t>
      </w:r>
      <w:r>
        <w:rPr/>
        <w:t>the</w:t>
      </w:r>
      <w:r>
        <w:rPr>
          <w:spacing w:val="-10"/>
        </w:rPr>
        <w:t> </w:t>
      </w:r>
      <w:r>
        <w:rPr/>
        <w:t>fact</w:t>
      </w:r>
      <w:r>
        <w:rPr>
          <w:spacing w:val="-9"/>
        </w:rPr>
        <w:t> </w:t>
      </w:r>
      <w:r>
        <w:rPr/>
        <w:t>that silicon accomplishes important processes within our bodies which are exclu- sively possible in the presence of</w:t>
      </w:r>
      <w:r>
        <w:rPr>
          <w:spacing w:val="-1"/>
        </w:rPr>
        <w:t> </w:t>
      </w:r>
      <w:r>
        <w:rPr/>
        <w:t>silicon.</w:t>
      </w:r>
    </w:p>
    <w:p>
      <w:pPr>
        <w:pStyle w:val="BodyText"/>
        <w:spacing w:line="276" w:lineRule="auto" w:before="239"/>
        <w:ind w:left="616" w:right="131"/>
        <w:jc w:val="both"/>
      </w:pPr>
      <w:r>
        <w:rPr/>
        <w:t>If we grasp the above-mentioned influence of silicon on cell regeneration, the strengthening of the immune system, the reinforcement of the connective tis- sue</w:t>
      </w:r>
      <w:r>
        <w:rPr>
          <w:spacing w:val="-21"/>
        </w:rPr>
        <w:t> </w:t>
      </w:r>
      <w:r>
        <w:rPr/>
        <w:t>and</w:t>
      </w:r>
      <w:r>
        <w:rPr>
          <w:spacing w:val="-21"/>
        </w:rPr>
        <w:t> </w:t>
      </w:r>
      <w:r>
        <w:rPr/>
        <w:t>the</w:t>
      </w:r>
      <w:r>
        <w:rPr>
          <w:spacing w:val="-23"/>
        </w:rPr>
        <w:t> </w:t>
      </w:r>
      <w:r>
        <w:rPr/>
        <w:t>elasticity</w:t>
      </w:r>
      <w:r>
        <w:rPr>
          <w:spacing w:val="-22"/>
        </w:rPr>
        <w:t> </w:t>
      </w:r>
      <w:r>
        <w:rPr/>
        <w:t>of</w:t>
      </w:r>
      <w:r>
        <w:rPr>
          <w:spacing w:val="-23"/>
        </w:rPr>
        <w:t> </w:t>
      </w:r>
      <w:r>
        <w:rPr/>
        <w:t>our</w:t>
      </w:r>
      <w:r>
        <w:rPr>
          <w:spacing w:val="-20"/>
        </w:rPr>
        <w:t> </w:t>
      </w:r>
      <w:r>
        <w:rPr/>
        <w:t>blood</w:t>
      </w:r>
      <w:r>
        <w:rPr>
          <w:spacing w:val="-23"/>
        </w:rPr>
        <w:t> </w:t>
      </w:r>
      <w:r>
        <w:rPr/>
        <w:t>vessels,</w:t>
      </w:r>
      <w:r>
        <w:rPr>
          <w:spacing w:val="-22"/>
        </w:rPr>
        <w:t> </w:t>
      </w:r>
      <w:r>
        <w:rPr/>
        <w:t>we</w:t>
      </w:r>
      <w:r>
        <w:rPr>
          <w:spacing w:val="-24"/>
        </w:rPr>
        <w:t> </w:t>
      </w:r>
      <w:r>
        <w:rPr/>
        <w:t>have</w:t>
      </w:r>
      <w:r>
        <w:rPr>
          <w:spacing w:val="-21"/>
        </w:rPr>
        <w:t> </w:t>
      </w:r>
      <w:r>
        <w:rPr/>
        <w:t>a</w:t>
      </w:r>
      <w:r>
        <w:rPr>
          <w:spacing w:val="-21"/>
        </w:rPr>
        <w:t> </w:t>
      </w:r>
      <w:r>
        <w:rPr/>
        <w:t>nutrient</w:t>
      </w:r>
      <w:r>
        <w:rPr>
          <w:spacing w:val="-24"/>
        </w:rPr>
        <w:t> </w:t>
      </w:r>
      <w:r>
        <w:rPr/>
        <w:t>that</w:t>
      </w:r>
      <w:r>
        <w:rPr>
          <w:spacing w:val="-21"/>
        </w:rPr>
        <w:t> </w:t>
      </w:r>
      <w:r>
        <w:rPr/>
        <w:t>demonstrates potential for preventing countless illnesses, healing these illnesses and effi- ciently counteracting ageing</w:t>
      </w:r>
      <w:r>
        <w:rPr>
          <w:spacing w:val="2"/>
        </w:rPr>
        <w:t> </w:t>
      </w:r>
      <w:r>
        <w:rPr/>
        <w:t>processes.</w:t>
      </w:r>
    </w:p>
    <w:p>
      <w:pPr>
        <w:pStyle w:val="BodyText"/>
        <w:spacing w:line="276" w:lineRule="auto" w:before="240"/>
        <w:ind w:left="616" w:right="137"/>
        <w:jc w:val="both"/>
      </w:pPr>
      <w:r>
        <w:rPr/>
        <w:t>It</w:t>
      </w:r>
      <w:r>
        <w:rPr>
          <w:spacing w:val="-6"/>
        </w:rPr>
        <w:t> </w:t>
      </w:r>
      <w:r>
        <w:rPr/>
        <w:t>is</w:t>
      </w:r>
      <w:r>
        <w:rPr>
          <w:spacing w:val="-4"/>
        </w:rPr>
        <w:t> </w:t>
      </w:r>
      <w:r>
        <w:rPr/>
        <w:t>well-known</w:t>
      </w:r>
      <w:r>
        <w:rPr>
          <w:spacing w:val="-3"/>
        </w:rPr>
        <w:t> </w:t>
      </w:r>
      <w:r>
        <w:rPr/>
        <w:t>that</w:t>
      </w:r>
      <w:r>
        <w:rPr>
          <w:spacing w:val="-5"/>
        </w:rPr>
        <w:t> </w:t>
      </w:r>
      <w:r>
        <w:rPr/>
        <w:t>the</w:t>
      </w:r>
      <w:r>
        <w:rPr>
          <w:spacing w:val="-6"/>
        </w:rPr>
        <w:t> </w:t>
      </w:r>
      <w:r>
        <w:rPr/>
        <w:t>tribe</w:t>
      </w:r>
      <w:r>
        <w:rPr>
          <w:spacing w:val="-7"/>
        </w:rPr>
        <w:t> </w:t>
      </w:r>
      <w:r>
        <w:rPr/>
        <w:t>of</w:t>
      </w:r>
      <w:r>
        <w:rPr>
          <w:spacing w:val="-6"/>
        </w:rPr>
        <w:t> </w:t>
      </w:r>
      <w:r>
        <w:rPr/>
        <w:t>the</w:t>
      </w:r>
      <w:r>
        <w:rPr>
          <w:spacing w:val="-6"/>
        </w:rPr>
        <w:t> </w:t>
      </w:r>
      <w:r>
        <w:rPr/>
        <w:t>Hunzas,</w:t>
      </w:r>
      <w:r>
        <w:rPr>
          <w:spacing w:val="-4"/>
        </w:rPr>
        <w:t> </w:t>
      </w:r>
      <w:r>
        <w:rPr/>
        <w:t>a</w:t>
      </w:r>
      <w:r>
        <w:rPr>
          <w:spacing w:val="-9"/>
        </w:rPr>
        <w:t> </w:t>
      </w:r>
      <w:r>
        <w:rPr/>
        <w:t>people</w:t>
      </w:r>
      <w:r>
        <w:rPr>
          <w:spacing w:val="-4"/>
        </w:rPr>
        <w:t> </w:t>
      </w:r>
      <w:r>
        <w:rPr/>
        <w:t>in</w:t>
      </w:r>
      <w:r>
        <w:rPr>
          <w:spacing w:val="-7"/>
        </w:rPr>
        <w:t> </w:t>
      </w:r>
      <w:r>
        <w:rPr/>
        <w:t>the</w:t>
      </w:r>
      <w:r>
        <w:rPr>
          <w:spacing w:val="-6"/>
        </w:rPr>
        <w:t> </w:t>
      </w:r>
      <w:r>
        <w:rPr/>
        <w:t>Himalayas,</w:t>
      </w:r>
      <w:r>
        <w:rPr>
          <w:spacing w:val="-4"/>
        </w:rPr>
        <w:t> </w:t>
      </w:r>
      <w:r>
        <w:rPr/>
        <w:t>drink glacier</w:t>
      </w:r>
      <w:r>
        <w:rPr>
          <w:spacing w:val="-17"/>
        </w:rPr>
        <w:t> </w:t>
      </w:r>
      <w:r>
        <w:rPr/>
        <w:t>water</w:t>
      </w:r>
      <w:r>
        <w:rPr>
          <w:spacing w:val="-16"/>
        </w:rPr>
        <w:t> </w:t>
      </w:r>
      <w:r>
        <w:rPr/>
        <w:t>enriched</w:t>
      </w:r>
      <w:r>
        <w:rPr>
          <w:spacing w:val="-16"/>
        </w:rPr>
        <w:t> </w:t>
      </w:r>
      <w:r>
        <w:rPr/>
        <w:t>with</w:t>
      </w:r>
      <w:r>
        <w:rPr>
          <w:spacing w:val="-16"/>
        </w:rPr>
        <w:t> </w:t>
      </w:r>
      <w:r>
        <w:rPr/>
        <w:t>silicon.</w:t>
      </w:r>
      <w:r>
        <w:rPr>
          <w:spacing w:val="-17"/>
        </w:rPr>
        <w:t> </w:t>
      </w:r>
      <w:r>
        <w:rPr/>
        <w:t>The</w:t>
      </w:r>
      <w:r>
        <w:rPr>
          <w:spacing w:val="-16"/>
        </w:rPr>
        <w:t> </w:t>
      </w:r>
      <w:r>
        <w:rPr/>
        <w:t>average</w:t>
      </w:r>
      <w:r>
        <w:rPr>
          <w:spacing w:val="-16"/>
        </w:rPr>
        <w:t> </w:t>
      </w:r>
      <w:r>
        <w:rPr/>
        <w:t>age</w:t>
      </w:r>
      <w:r>
        <w:rPr>
          <w:spacing w:val="-17"/>
        </w:rPr>
        <w:t> </w:t>
      </w:r>
      <w:r>
        <w:rPr/>
        <w:t>of</w:t>
      </w:r>
      <w:r>
        <w:rPr>
          <w:spacing w:val="-17"/>
        </w:rPr>
        <w:t> </w:t>
      </w:r>
      <w:r>
        <w:rPr/>
        <w:t>these</w:t>
      </w:r>
      <w:r>
        <w:rPr>
          <w:spacing w:val="-18"/>
        </w:rPr>
        <w:t> </w:t>
      </w:r>
      <w:r>
        <w:rPr/>
        <w:t>people</w:t>
      </w:r>
      <w:r>
        <w:rPr>
          <w:spacing w:val="-18"/>
        </w:rPr>
        <w:t> </w:t>
      </w:r>
      <w:r>
        <w:rPr/>
        <w:t>is</w:t>
      </w:r>
      <w:r>
        <w:rPr>
          <w:spacing w:val="-17"/>
        </w:rPr>
        <w:t> </w:t>
      </w:r>
      <w:r>
        <w:rPr/>
        <w:t>an</w:t>
      </w:r>
      <w:r>
        <w:rPr>
          <w:spacing w:val="-16"/>
        </w:rPr>
        <w:t> </w:t>
      </w:r>
      <w:r>
        <w:rPr/>
        <w:t>amaz- ing 130 years with optimal health!</w:t>
      </w:r>
    </w:p>
    <w:p>
      <w:pPr>
        <w:pStyle w:val="BodyText"/>
        <w:spacing w:line="276" w:lineRule="auto" w:before="242"/>
        <w:ind w:left="616" w:right="135"/>
        <w:jc w:val="both"/>
      </w:pPr>
      <w:r>
        <w:rPr/>
        <w:t>Silicon is also the only known substance which has the ability to bind itself to 300 times its weight in water. The healthy functioning of our cells is directly related to water-binding ability, which enables an adequate supply of</w:t>
      </w:r>
      <w:r>
        <w:rPr>
          <w:spacing w:val="-54"/>
        </w:rPr>
        <w:t> </w:t>
      </w:r>
      <w:r>
        <w:rPr/>
        <w:t>nutrients</w:t>
      </w:r>
    </w:p>
    <w:p>
      <w:pPr>
        <w:spacing w:after="0" w:line="276" w:lineRule="auto"/>
        <w:jc w:val="both"/>
        <w:sectPr>
          <w:pgSz w:w="14270" w:h="16850"/>
          <w:pgMar w:header="0" w:footer="1891" w:top="1360" w:bottom="2080" w:left="800" w:right="1280"/>
        </w:sectPr>
      </w:pPr>
    </w:p>
    <w:p>
      <w:pPr>
        <w:pStyle w:val="BodyText"/>
        <w:spacing w:before="74"/>
        <w:ind w:left="616"/>
      </w:pPr>
      <w:r>
        <w:rPr/>
        <w:t>and functioning metabolic processes.</w:t>
      </w:r>
    </w:p>
    <w:p>
      <w:pPr>
        <w:pStyle w:val="BodyText"/>
        <w:spacing w:line="276" w:lineRule="auto" w:before="305"/>
        <w:ind w:left="616" w:right="137"/>
        <w:jc w:val="both"/>
      </w:pPr>
      <w:r>
        <w:rPr/>
        <w:t>We</w:t>
      </w:r>
      <w:r>
        <w:rPr>
          <w:spacing w:val="-25"/>
        </w:rPr>
        <w:t> </w:t>
      </w:r>
      <w:r>
        <w:rPr/>
        <w:t>are</w:t>
      </w:r>
      <w:r>
        <w:rPr>
          <w:spacing w:val="-24"/>
        </w:rPr>
        <w:t> </w:t>
      </w:r>
      <w:r>
        <w:rPr/>
        <w:t>familiar</w:t>
      </w:r>
      <w:r>
        <w:rPr>
          <w:spacing w:val="-21"/>
        </w:rPr>
        <w:t> </w:t>
      </w:r>
      <w:r>
        <w:rPr/>
        <w:t>with</w:t>
      </w:r>
      <w:r>
        <w:rPr>
          <w:spacing w:val="-23"/>
        </w:rPr>
        <w:t> </w:t>
      </w:r>
      <w:r>
        <w:rPr/>
        <w:t>the</w:t>
      </w:r>
      <w:r>
        <w:rPr>
          <w:spacing w:val="-24"/>
        </w:rPr>
        <w:t> </w:t>
      </w:r>
      <w:r>
        <w:rPr/>
        <w:t>degrading</w:t>
      </w:r>
      <w:r>
        <w:rPr>
          <w:spacing w:val="-23"/>
        </w:rPr>
        <w:t> </w:t>
      </w:r>
      <w:r>
        <w:rPr/>
        <w:t>development</w:t>
      </w:r>
      <w:r>
        <w:rPr>
          <w:spacing w:val="-26"/>
        </w:rPr>
        <w:t> </w:t>
      </w:r>
      <w:r>
        <w:rPr/>
        <w:t>of</w:t>
      </w:r>
      <w:r>
        <w:rPr>
          <w:spacing w:val="-23"/>
        </w:rPr>
        <w:t> </w:t>
      </w:r>
      <w:r>
        <w:rPr/>
        <w:t>the</w:t>
      </w:r>
      <w:r>
        <w:rPr>
          <w:spacing w:val="-23"/>
        </w:rPr>
        <w:t> </w:t>
      </w:r>
      <w:r>
        <w:rPr/>
        <w:t>human</w:t>
      </w:r>
      <w:r>
        <w:rPr>
          <w:spacing w:val="-24"/>
        </w:rPr>
        <w:t> </w:t>
      </w:r>
      <w:r>
        <w:rPr/>
        <w:t>body</w:t>
      </w:r>
      <w:r>
        <w:rPr>
          <w:spacing w:val="-24"/>
        </w:rPr>
        <w:t> </w:t>
      </w:r>
      <w:r>
        <w:rPr/>
        <w:t>from</w:t>
      </w:r>
      <w:r>
        <w:rPr>
          <w:spacing w:val="-24"/>
        </w:rPr>
        <w:t> </w:t>
      </w:r>
      <w:r>
        <w:rPr/>
        <w:t>older people,</w:t>
      </w:r>
      <w:r>
        <w:rPr>
          <w:spacing w:val="-6"/>
        </w:rPr>
        <w:t> </w:t>
      </w:r>
      <w:r>
        <w:rPr/>
        <w:t>whose</w:t>
      </w:r>
      <w:r>
        <w:rPr>
          <w:spacing w:val="-6"/>
        </w:rPr>
        <w:t> </w:t>
      </w:r>
      <w:r>
        <w:rPr/>
        <w:t>skin</w:t>
      </w:r>
      <w:r>
        <w:rPr>
          <w:spacing w:val="-6"/>
        </w:rPr>
        <w:t> </w:t>
      </w:r>
      <w:r>
        <w:rPr/>
        <w:t>becomes</w:t>
      </w:r>
      <w:r>
        <w:rPr>
          <w:spacing w:val="-5"/>
        </w:rPr>
        <w:t> </w:t>
      </w:r>
      <w:r>
        <w:rPr/>
        <w:t>wrinkly</w:t>
      </w:r>
      <w:r>
        <w:rPr>
          <w:spacing w:val="-4"/>
        </w:rPr>
        <w:t> </w:t>
      </w:r>
      <w:r>
        <w:rPr/>
        <w:t>in</w:t>
      </w:r>
      <w:r>
        <w:rPr>
          <w:spacing w:val="-6"/>
        </w:rPr>
        <w:t> </w:t>
      </w:r>
      <w:r>
        <w:rPr/>
        <w:t>old</w:t>
      </w:r>
      <w:r>
        <w:rPr>
          <w:spacing w:val="-6"/>
        </w:rPr>
        <w:t> </w:t>
      </w:r>
      <w:r>
        <w:rPr/>
        <w:t>age</w:t>
      </w:r>
      <w:r>
        <w:rPr>
          <w:spacing w:val="-6"/>
        </w:rPr>
        <w:t> </w:t>
      </w:r>
      <w:r>
        <w:rPr/>
        <w:t>due</w:t>
      </w:r>
      <w:r>
        <w:rPr>
          <w:spacing w:val="-7"/>
        </w:rPr>
        <w:t> </w:t>
      </w:r>
      <w:r>
        <w:rPr/>
        <w:t>to</w:t>
      </w:r>
      <w:r>
        <w:rPr>
          <w:spacing w:val="-5"/>
        </w:rPr>
        <w:t> </w:t>
      </w:r>
      <w:r>
        <w:rPr/>
        <w:t>loss</w:t>
      </w:r>
      <w:r>
        <w:rPr>
          <w:spacing w:val="-5"/>
        </w:rPr>
        <w:t> </w:t>
      </w:r>
      <w:r>
        <w:rPr/>
        <w:t>of</w:t>
      </w:r>
      <w:r>
        <w:rPr>
          <w:spacing w:val="-6"/>
        </w:rPr>
        <w:t> </w:t>
      </w:r>
      <w:r>
        <w:rPr/>
        <w:t>fluids</w:t>
      </w:r>
      <w:r>
        <w:rPr>
          <w:spacing w:val="-5"/>
        </w:rPr>
        <w:t> </w:t>
      </w:r>
      <w:r>
        <w:rPr/>
        <w:t>and</w:t>
      </w:r>
      <w:r>
        <w:rPr>
          <w:spacing w:val="-6"/>
        </w:rPr>
        <w:t> </w:t>
      </w:r>
      <w:r>
        <w:rPr/>
        <w:t>there- fore the loss of silicon that accompanies</w:t>
      </w:r>
      <w:r>
        <w:rPr>
          <w:spacing w:val="-2"/>
        </w:rPr>
        <w:t> </w:t>
      </w:r>
      <w:r>
        <w:rPr/>
        <w:t>age.</w:t>
      </w:r>
    </w:p>
    <w:p>
      <w:pPr>
        <w:pStyle w:val="BodyText"/>
        <w:spacing w:line="278" w:lineRule="auto" w:before="238"/>
        <w:ind w:left="616" w:right="135"/>
        <w:jc w:val="both"/>
      </w:pPr>
      <w:r>
        <w:rPr/>
        <w:t>Newborns</w:t>
      </w:r>
      <w:r>
        <w:rPr>
          <w:spacing w:val="-7"/>
        </w:rPr>
        <w:t> </w:t>
      </w:r>
      <w:r>
        <w:rPr/>
        <w:t>have</w:t>
      </w:r>
      <w:r>
        <w:rPr>
          <w:spacing w:val="-13"/>
        </w:rPr>
        <w:t> </w:t>
      </w:r>
      <w:r>
        <w:rPr/>
        <w:t>the</w:t>
      </w:r>
      <w:r>
        <w:rPr>
          <w:spacing w:val="-6"/>
        </w:rPr>
        <w:t> </w:t>
      </w:r>
      <w:r>
        <w:rPr/>
        <w:t>highest</w:t>
      </w:r>
      <w:r>
        <w:rPr>
          <w:spacing w:val="-9"/>
        </w:rPr>
        <w:t> </w:t>
      </w:r>
      <w:r>
        <w:rPr/>
        <w:t>proportion</w:t>
      </w:r>
      <w:r>
        <w:rPr>
          <w:spacing w:val="-7"/>
        </w:rPr>
        <w:t> </w:t>
      </w:r>
      <w:r>
        <w:rPr/>
        <w:t>of</w:t>
      </w:r>
      <w:r>
        <w:rPr>
          <w:spacing w:val="-10"/>
        </w:rPr>
        <w:t> </w:t>
      </w:r>
      <w:r>
        <w:rPr/>
        <w:t>body</w:t>
      </w:r>
      <w:r>
        <w:rPr>
          <w:spacing w:val="-9"/>
        </w:rPr>
        <w:t> </w:t>
      </w:r>
      <w:r>
        <w:rPr/>
        <w:t>fluids.</w:t>
      </w:r>
      <w:r>
        <w:rPr>
          <w:spacing w:val="-7"/>
        </w:rPr>
        <w:t> </w:t>
      </w:r>
      <w:r>
        <w:rPr/>
        <w:t>Over</w:t>
      </w:r>
      <w:r>
        <w:rPr>
          <w:spacing w:val="-7"/>
        </w:rPr>
        <w:t> </w:t>
      </w:r>
      <w:r>
        <w:rPr/>
        <w:t>the</w:t>
      </w:r>
      <w:r>
        <w:rPr>
          <w:spacing w:val="-6"/>
        </w:rPr>
        <w:t> </w:t>
      </w:r>
      <w:r>
        <w:rPr/>
        <w:t>course</w:t>
      </w:r>
      <w:r>
        <w:rPr>
          <w:spacing w:val="-8"/>
        </w:rPr>
        <w:t> </w:t>
      </w:r>
      <w:r>
        <w:rPr/>
        <w:t>of</w:t>
      </w:r>
      <w:r>
        <w:rPr>
          <w:spacing w:val="-10"/>
        </w:rPr>
        <w:t> </w:t>
      </w:r>
      <w:r>
        <w:rPr/>
        <w:t>life, the ratio of fluids to dry mass in our bodies decreases more and</w:t>
      </w:r>
      <w:r>
        <w:rPr>
          <w:spacing w:val="-17"/>
        </w:rPr>
        <w:t> </w:t>
      </w:r>
      <w:r>
        <w:rPr/>
        <w:t>more.</w:t>
      </w:r>
    </w:p>
    <w:p>
      <w:pPr>
        <w:pStyle w:val="BodyText"/>
        <w:spacing w:line="276" w:lineRule="auto" w:before="233"/>
        <w:ind w:left="616" w:right="135"/>
        <w:jc w:val="both"/>
      </w:pPr>
      <w:r>
        <w:rPr/>
        <w:t>Via the supplementation of silicon as a substance produced by the body itself, which has the ability to bind itself to 300 times its weight in water, a resource is available to humans to significantly delay biological ageing and to remain healthy and attractive into old age. So silicon is a nutrient that simultaneously makes</w:t>
      </w:r>
      <w:r>
        <w:rPr>
          <w:spacing w:val="-11"/>
        </w:rPr>
        <w:t> </w:t>
      </w:r>
      <w:r>
        <w:rPr/>
        <w:t>you</w:t>
      </w:r>
      <w:r>
        <w:rPr>
          <w:spacing w:val="-11"/>
        </w:rPr>
        <w:t> </w:t>
      </w:r>
      <w:r>
        <w:rPr/>
        <w:t>healthy,</w:t>
      </w:r>
      <w:r>
        <w:rPr>
          <w:spacing w:val="-11"/>
        </w:rPr>
        <w:t> </w:t>
      </w:r>
      <w:r>
        <w:rPr/>
        <w:t>attractive</w:t>
      </w:r>
      <w:r>
        <w:rPr>
          <w:spacing w:val="-10"/>
        </w:rPr>
        <w:t> </w:t>
      </w:r>
      <w:r>
        <w:rPr/>
        <w:t>and</w:t>
      </w:r>
      <w:r>
        <w:rPr>
          <w:spacing w:val="-12"/>
        </w:rPr>
        <w:t> </w:t>
      </w:r>
      <w:r>
        <w:rPr/>
        <w:t>young?</w:t>
      </w:r>
      <w:r>
        <w:rPr>
          <w:spacing w:val="-10"/>
        </w:rPr>
        <w:t> </w:t>
      </w:r>
      <w:r>
        <w:rPr/>
        <w:t>That's</w:t>
      </w:r>
      <w:r>
        <w:rPr>
          <w:spacing w:val="-14"/>
        </w:rPr>
        <w:t> </w:t>
      </w:r>
      <w:r>
        <w:rPr/>
        <w:t>exactly</w:t>
      </w:r>
      <w:r>
        <w:rPr>
          <w:spacing w:val="-11"/>
        </w:rPr>
        <w:t> </w:t>
      </w:r>
      <w:r>
        <w:rPr/>
        <w:t>right,</w:t>
      </w:r>
      <w:r>
        <w:rPr>
          <w:spacing w:val="-10"/>
        </w:rPr>
        <w:t> </w:t>
      </w:r>
      <w:r>
        <w:rPr/>
        <w:t>and</w:t>
      </w:r>
      <w:r>
        <w:rPr>
          <w:spacing w:val="-12"/>
        </w:rPr>
        <w:t> </w:t>
      </w:r>
      <w:r>
        <w:rPr/>
        <w:t>not</w:t>
      </w:r>
      <w:r>
        <w:rPr>
          <w:spacing w:val="-11"/>
        </w:rPr>
        <w:t> </w:t>
      </w:r>
      <w:r>
        <w:rPr/>
        <w:t>too</w:t>
      </w:r>
      <w:r>
        <w:rPr>
          <w:spacing w:val="-10"/>
        </w:rPr>
        <w:t> </w:t>
      </w:r>
      <w:r>
        <w:rPr/>
        <w:t>long ago, science would have never considered such mechanisms possible.</w:t>
      </w:r>
      <w:r>
        <w:rPr>
          <w:spacing w:val="-65"/>
        </w:rPr>
        <w:t> </w:t>
      </w:r>
      <w:r>
        <w:rPr/>
        <w:t>Enough reason, then, to more closely examine this very special element as a</w:t>
      </w:r>
      <w:r>
        <w:rPr>
          <w:spacing w:val="-55"/>
        </w:rPr>
        <w:t> </w:t>
      </w:r>
      <w:r>
        <w:rPr/>
        <w:t>wonderful gift from Mother Nature!</w:t>
      </w:r>
    </w:p>
    <w:p>
      <w:pPr>
        <w:pStyle w:val="BodyText"/>
        <w:spacing w:before="241"/>
        <w:ind w:left="616"/>
      </w:pPr>
      <w:r>
        <w:rPr/>
        <w:t>Did you know that</w:t>
      </w:r>
    </w:p>
    <w:p>
      <w:pPr>
        <w:pStyle w:val="ListParagraph"/>
        <w:numPr>
          <w:ilvl w:val="1"/>
          <w:numId w:val="114"/>
        </w:numPr>
        <w:tabs>
          <w:tab w:pos="1521" w:val="left" w:leader="none"/>
          <w:tab w:pos="1522" w:val="left" w:leader="none"/>
        </w:tabs>
        <w:spacing w:line="240" w:lineRule="auto" w:before="183" w:after="0"/>
        <w:ind w:left="1329" w:right="0" w:hanging="355"/>
        <w:jc w:val="left"/>
        <w:rPr>
          <w:sz w:val="38"/>
        </w:rPr>
      </w:pPr>
      <w:r>
        <w:rPr>
          <w:sz w:val="38"/>
        </w:rPr>
        <w:t>... silicon is a recognised essential element (necessary for</w:t>
      </w:r>
      <w:r>
        <w:rPr>
          <w:spacing w:val="-7"/>
          <w:sz w:val="38"/>
        </w:rPr>
        <w:t> </w:t>
      </w:r>
      <w:r>
        <w:rPr>
          <w:sz w:val="38"/>
        </w:rPr>
        <w:t>life)?</w:t>
      </w:r>
    </w:p>
    <w:p>
      <w:pPr>
        <w:pStyle w:val="ListParagraph"/>
        <w:numPr>
          <w:ilvl w:val="1"/>
          <w:numId w:val="114"/>
        </w:numPr>
        <w:tabs>
          <w:tab w:pos="1521" w:val="left" w:leader="none"/>
          <w:tab w:pos="1522" w:val="left" w:leader="none"/>
        </w:tabs>
        <w:spacing w:line="271" w:lineRule="auto" w:before="185" w:after="0"/>
        <w:ind w:left="1329" w:right="136" w:hanging="355"/>
        <w:jc w:val="left"/>
        <w:rPr>
          <w:sz w:val="38"/>
        </w:rPr>
      </w:pPr>
      <w:r>
        <w:rPr>
          <w:sz w:val="38"/>
        </w:rPr>
        <w:t>... silicon directly strengthens our immune systems and, in this way, ef- fectively protects our health?</w:t>
      </w:r>
    </w:p>
    <w:p>
      <w:pPr>
        <w:pStyle w:val="ListParagraph"/>
        <w:numPr>
          <w:ilvl w:val="1"/>
          <w:numId w:val="114"/>
        </w:numPr>
        <w:tabs>
          <w:tab w:pos="1521" w:val="left" w:leader="none"/>
          <w:tab w:pos="1522" w:val="left" w:leader="none"/>
        </w:tabs>
        <w:spacing w:line="273" w:lineRule="auto" w:before="131" w:after="0"/>
        <w:ind w:left="1329" w:right="140" w:hanging="355"/>
        <w:jc w:val="left"/>
        <w:rPr>
          <w:sz w:val="38"/>
        </w:rPr>
      </w:pPr>
      <w:r>
        <w:rPr>
          <w:sz w:val="38"/>
        </w:rPr>
        <w:t>... silicon activates cell metabolism, renews our cells and thus causes a biological rejuvenation of our</w:t>
      </w:r>
      <w:r>
        <w:rPr>
          <w:spacing w:val="1"/>
          <w:sz w:val="38"/>
        </w:rPr>
        <w:t> </w:t>
      </w:r>
      <w:r>
        <w:rPr>
          <w:sz w:val="38"/>
        </w:rPr>
        <w:t>bodies?</w:t>
      </w:r>
    </w:p>
    <w:p>
      <w:pPr>
        <w:pStyle w:val="ListParagraph"/>
        <w:numPr>
          <w:ilvl w:val="1"/>
          <w:numId w:val="114"/>
        </w:numPr>
        <w:tabs>
          <w:tab w:pos="1521" w:val="left" w:leader="none"/>
          <w:tab w:pos="1522" w:val="left" w:leader="none"/>
        </w:tabs>
        <w:spacing w:line="240" w:lineRule="auto" w:before="123" w:after="0"/>
        <w:ind w:left="1329" w:right="0" w:hanging="355"/>
        <w:jc w:val="left"/>
        <w:rPr>
          <w:sz w:val="38"/>
        </w:rPr>
      </w:pPr>
      <w:r>
        <w:rPr>
          <w:sz w:val="38"/>
        </w:rPr>
        <w:t>... silicon strengthens and regenerates our connective</w:t>
      </w:r>
      <w:r>
        <w:rPr>
          <w:spacing w:val="-3"/>
          <w:sz w:val="38"/>
        </w:rPr>
        <w:t> </w:t>
      </w:r>
      <w:r>
        <w:rPr>
          <w:sz w:val="38"/>
        </w:rPr>
        <w:t>tissue?</w:t>
      </w:r>
    </w:p>
    <w:p>
      <w:pPr>
        <w:spacing w:after="0" w:line="240" w:lineRule="auto"/>
        <w:jc w:val="left"/>
        <w:rPr>
          <w:sz w:val="38"/>
        </w:rPr>
        <w:sectPr>
          <w:pgSz w:w="14270" w:h="16850"/>
          <w:pgMar w:header="0" w:footer="1891" w:top="1340" w:bottom="2080" w:left="800" w:right="1280"/>
        </w:sectPr>
      </w:pPr>
    </w:p>
    <w:p>
      <w:pPr>
        <w:pStyle w:val="ListParagraph"/>
        <w:numPr>
          <w:ilvl w:val="1"/>
          <w:numId w:val="114"/>
        </w:numPr>
        <w:tabs>
          <w:tab w:pos="1521" w:val="left" w:leader="none"/>
          <w:tab w:pos="1522" w:val="left" w:leader="none"/>
        </w:tabs>
        <w:spacing w:line="271" w:lineRule="auto" w:before="72" w:after="0"/>
        <w:ind w:left="1329" w:right="145" w:hanging="355"/>
        <w:jc w:val="left"/>
        <w:rPr>
          <w:sz w:val="38"/>
        </w:rPr>
      </w:pPr>
      <w:r>
        <w:rPr>
          <w:sz w:val="38"/>
        </w:rPr>
        <w:t>... wrinkles, cellulitis etc. can be combated both internally and externally with silicon?</w:t>
      </w:r>
    </w:p>
    <w:p>
      <w:pPr>
        <w:pStyle w:val="ListParagraph"/>
        <w:numPr>
          <w:ilvl w:val="1"/>
          <w:numId w:val="114"/>
        </w:numPr>
        <w:tabs>
          <w:tab w:pos="1521" w:val="left" w:leader="none"/>
          <w:tab w:pos="1522" w:val="left" w:leader="none"/>
        </w:tabs>
        <w:spacing w:line="271" w:lineRule="auto" w:before="134" w:after="0"/>
        <w:ind w:left="1329" w:right="141" w:hanging="355"/>
        <w:jc w:val="left"/>
        <w:rPr>
          <w:sz w:val="38"/>
        </w:rPr>
      </w:pPr>
      <w:r>
        <w:rPr>
          <w:sz w:val="38"/>
        </w:rPr>
        <w:t>... silicon can repair split ends and brittle fingernails and can make the skin wrinkle-free</w:t>
      </w:r>
      <w:r>
        <w:rPr>
          <w:spacing w:val="1"/>
          <w:sz w:val="38"/>
        </w:rPr>
        <w:t> </w:t>
      </w:r>
      <w:r>
        <w:rPr>
          <w:sz w:val="38"/>
        </w:rPr>
        <w:t>again?</w:t>
      </w:r>
    </w:p>
    <w:p>
      <w:pPr>
        <w:pStyle w:val="ListParagraph"/>
        <w:numPr>
          <w:ilvl w:val="1"/>
          <w:numId w:val="114"/>
        </w:numPr>
        <w:tabs>
          <w:tab w:pos="1521" w:val="left" w:leader="none"/>
          <w:tab w:pos="1522" w:val="left" w:leader="none"/>
        </w:tabs>
        <w:spacing w:line="271" w:lineRule="auto" w:before="131" w:after="0"/>
        <w:ind w:left="1329" w:right="138" w:hanging="355"/>
        <w:jc w:val="left"/>
        <w:rPr>
          <w:sz w:val="38"/>
        </w:rPr>
      </w:pPr>
      <w:r>
        <w:rPr>
          <w:sz w:val="38"/>
        </w:rPr>
        <w:t>...</w:t>
      </w:r>
      <w:r>
        <w:rPr>
          <w:spacing w:val="-5"/>
          <w:sz w:val="38"/>
        </w:rPr>
        <w:t> </w:t>
      </w:r>
      <w:r>
        <w:rPr>
          <w:sz w:val="38"/>
        </w:rPr>
        <w:t>silicon</w:t>
      </w:r>
      <w:r>
        <w:rPr>
          <w:spacing w:val="-5"/>
          <w:sz w:val="38"/>
        </w:rPr>
        <w:t> </w:t>
      </w:r>
      <w:r>
        <w:rPr>
          <w:sz w:val="38"/>
        </w:rPr>
        <w:t>keeps</w:t>
      </w:r>
      <w:r>
        <w:rPr>
          <w:spacing w:val="-10"/>
          <w:sz w:val="38"/>
        </w:rPr>
        <w:t> </w:t>
      </w:r>
      <w:r>
        <w:rPr>
          <w:sz w:val="38"/>
        </w:rPr>
        <w:t>our</w:t>
      </w:r>
      <w:r>
        <w:rPr>
          <w:spacing w:val="-6"/>
          <w:sz w:val="38"/>
        </w:rPr>
        <w:t> </w:t>
      </w:r>
      <w:r>
        <w:rPr>
          <w:sz w:val="38"/>
        </w:rPr>
        <w:t>blood</w:t>
      </w:r>
      <w:r>
        <w:rPr>
          <w:spacing w:val="-7"/>
          <w:sz w:val="38"/>
        </w:rPr>
        <w:t> </w:t>
      </w:r>
      <w:r>
        <w:rPr>
          <w:sz w:val="38"/>
        </w:rPr>
        <w:t>vessels</w:t>
      </w:r>
      <w:r>
        <w:rPr>
          <w:spacing w:val="-7"/>
          <w:sz w:val="38"/>
        </w:rPr>
        <w:t> </w:t>
      </w:r>
      <w:r>
        <w:rPr>
          <w:sz w:val="38"/>
        </w:rPr>
        <w:t>elastic</w:t>
      </w:r>
      <w:r>
        <w:rPr>
          <w:spacing w:val="-7"/>
          <w:sz w:val="38"/>
        </w:rPr>
        <w:t> </w:t>
      </w:r>
      <w:r>
        <w:rPr>
          <w:sz w:val="38"/>
        </w:rPr>
        <w:t>and</w:t>
      </w:r>
      <w:r>
        <w:rPr>
          <w:spacing w:val="-6"/>
          <w:sz w:val="38"/>
        </w:rPr>
        <w:t> </w:t>
      </w:r>
      <w:r>
        <w:rPr>
          <w:sz w:val="38"/>
        </w:rPr>
        <w:t>can</w:t>
      </w:r>
      <w:r>
        <w:rPr>
          <w:spacing w:val="-6"/>
          <w:sz w:val="38"/>
        </w:rPr>
        <w:t> </w:t>
      </w:r>
      <w:r>
        <w:rPr>
          <w:sz w:val="38"/>
        </w:rPr>
        <w:t>make</w:t>
      </w:r>
      <w:r>
        <w:rPr>
          <w:spacing w:val="-7"/>
          <w:sz w:val="38"/>
        </w:rPr>
        <w:t> </w:t>
      </w:r>
      <w:r>
        <w:rPr>
          <w:sz w:val="38"/>
        </w:rPr>
        <w:t>brittle</w:t>
      </w:r>
      <w:r>
        <w:rPr>
          <w:spacing w:val="-7"/>
          <w:sz w:val="38"/>
        </w:rPr>
        <w:t> </w:t>
      </w:r>
      <w:r>
        <w:rPr>
          <w:sz w:val="38"/>
        </w:rPr>
        <w:t>blood</w:t>
      </w:r>
      <w:r>
        <w:rPr>
          <w:spacing w:val="-6"/>
          <w:sz w:val="38"/>
        </w:rPr>
        <w:t> </w:t>
      </w:r>
      <w:r>
        <w:rPr>
          <w:sz w:val="38"/>
        </w:rPr>
        <w:t>ves- sels elastic</w:t>
      </w:r>
      <w:r>
        <w:rPr>
          <w:spacing w:val="-1"/>
          <w:sz w:val="38"/>
        </w:rPr>
        <w:t> </w:t>
      </w:r>
      <w:r>
        <w:rPr>
          <w:sz w:val="38"/>
        </w:rPr>
        <w:t>again?</w:t>
      </w:r>
    </w:p>
    <w:p>
      <w:pPr>
        <w:pStyle w:val="ListParagraph"/>
        <w:numPr>
          <w:ilvl w:val="1"/>
          <w:numId w:val="114"/>
        </w:numPr>
        <w:tabs>
          <w:tab w:pos="1521" w:val="left" w:leader="none"/>
          <w:tab w:pos="1522" w:val="left" w:leader="none"/>
        </w:tabs>
        <w:spacing w:line="271" w:lineRule="auto" w:before="134" w:after="0"/>
        <w:ind w:left="1329" w:right="135" w:hanging="355"/>
        <w:jc w:val="left"/>
        <w:rPr>
          <w:sz w:val="38"/>
        </w:rPr>
      </w:pPr>
      <w:r>
        <w:rPr>
          <w:sz w:val="38"/>
        </w:rPr>
        <w:t>... silicon can even partially reverse atherosclerosis (hardening of the ar- teries)?</w:t>
      </w:r>
    </w:p>
    <w:p>
      <w:pPr>
        <w:pStyle w:val="ListParagraph"/>
        <w:numPr>
          <w:ilvl w:val="1"/>
          <w:numId w:val="114"/>
        </w:numPr>
        <w:tabs>
          <w:tab w:pos="1521" w:val="left" w:leader="none"/>
          <w:tab w:pos="1522" w:val="left" w:leader="none"/>
        </w:tabs>
        <w:spacing w:line="240" w:lineRule="auto" w:before="131" w:after="0"/>
        <w:ind w:left="1329" w:right="0" w:hanging="355"/>
        <w:jc w:val="left"/>
        <w:rPr>
          <w:sz w:val="38"/>
        </w:rPr>
      </w:pPr>
      <w:r>
        <w:rPr>
          <w:sz w:val="38"/>
        </w:rPr>
        <w:t>... silicon (silica) can strengthen our</w:t>
      </w:r>
      <w:r>
        <w:rPr>
          <w:spacing w:val="-1"/>
          <w:sz w:val="38"/>
        </w:rPr>
        <w:t> </w:t>
      </w:r>
      <w:r>
        <w:rPr>
          <w:sz w:val="38"/>
        </w:rPr>
        <w:t>bones?</w:t>
      </w:r>
    </w:p>
    <w:p>
      <w:pPr>
        <w:pStyle w:val="ListParagraph"/>
        <w:numPr>
          <w:ilvl w:val="1"/>
          <w:numId w:val="114"/>
        </w:numPr>
        <w:tabs>
          <w:tab w:pos="1521" w:val="left" w:leader="none"/>
          <w:tab w:pos="1522" w:val="left" w:leader="none"/>
        </w:tabs>
        <w:spacing w:line="240" w:lineRule="auto" w:before="186" w:after="0"/>
        <w:ind w:left="1329" w:right="0" w:hanging="355"/>
        <w:jc w:val="left"/>
        <w:rPr>
          <w:sz w:val="38"/>
        </w:rPr>
      </w:pPr>
      <w:r>
        <w:rPr>
          <w:sz w:val="38"/>
        </w:rPr>
        <w:t>...</w:t>
      </w:r>
      <w:r>
        <w:rPr>
          <w:spacing w:val="-12"/>
          <w:sz w:val="38"/>
        </w:rPr>
        <w:t> </w:t>
      </w:r>
      <w:r>
        <w:rPr>
          <w:sz w:val="38"/>
        </w:rPr>
        <w:t>silicon</w:t>
      </w:r>
      <w:r>
        <w:rPr>
          <w:spacing w:val="-10"/>
          <w:sz w:val="38"/>
        </w:rPr>
        <w:t> </w:t>
      </w:r>
      <w:r>
        <w:rPr>
          <w:sz w:val="38"/>
        </w:rPr>
        <w:t>keeps</w:t>
      </w:r>
      <w:r>
        <w:rPr>
          <w:spacing w:val="-15"/>
          <w:sz w:val="38"/>
        </w:rPr>
        <w:t> </w:t>
      </w:r>
      <w:r>
        <w:rPr>
          <w:sz w:val="38"/>
        </w:rPr>
        <w:t>our</w:t>
      </w:r>
      <w:r>
        <w:rPr>
          <w:spacing w:val="-11"/>
          <w:sz w:val="38"/>
        </w:rPr>
        <w:t> </w:t>
      </w:r>
      <w:r>
        <w:rPr>
          <w:sz w:val="38"/>
        </w:rPr>
        <w:t>joints</w:t>
      </w:r>
      <w:r>
        <w:rPr>
          <w:spacing w:val="-14"/>
          <w:sz w:val="38"/>
        </w:rPr>
        <w:t> </w:t>
      </w:r>
      <w:r>
        <w:rPr>
          <w:sz w:val="38"/>
        </w:rPr>
        <w:t>young</w:t>
      </w:r>
      <w:r>
        <w:rPr>
          <w:spacing w:val="-11"/>
          <w:sz w:val="38"/>
        </w:rPr>
        <w:t> </w:t>
      </w:r>
      <w:r>
        <w:rPr>
          <w:sz w:val="38"/>
        </w:rPr>
        <w:t>and</w:t>
      </w:r>
      <w:r>
        <w:rPr>
          <w:spacing w:val="-11"/>
          <w:sz w:val="38"/>
        </w:rPr>
        <w:t> </w:t>
      </w:r>
      <w:r>
        <w:rPr>
          <w:sz w:val="38"/>
        </w:rPr>
        <w:t>can</w:t>
      </w:r>
      <w:r>
        <w:rPr>
          <w:spacing w:val="-13"/>
          <w:sz w:val="38"/>
        </w:rPr>
        <w:t> </w:t>
      </w:r>
      <w:r>
        <w:rPr>
          <w:sz w:val="38"/>
        </w:rPr>
        <w:t>even</w:t>
      </w:r>
      <w:r>
        <w:rPr>
          <w:spacing w:val="-13"/>
          <w:sz w:val="38"/>
        </w:rPr>
        <w:t> </w:t>
      </w:r>
      <w:r>
        <w:rPr>
          <w:sz w:val="38"/>
        </w:rPr>
        <w:t>partially</w:t>
      </w:r>
      <w:r>
        <w:rPr>
          <w:spacing w:val="-11"/>
          <w:sz w:val="38"/>
        </w:rPr>
        <w:t> </w:t>
      </w:r>
      <w:r>
        <w:rPr>
          <w:sz w:val="38"/>
        </w:rPr>
        <w:t>reverse</w:t>
      </w:r>
      <w:r>
        <w:rPr>
          <w:spacing w:val="-11"/>
          <w:sz w:val="38"/>
        </w:rPr>
        <w:t> </w:t>
      </w:r>
      <w:r>
        <w:rPr>
          <w:sz w:val="38"/>
        </w:rPr>
        <w:t>arthrosis?</w:t>
      </w:r>
    </w:p>
    <w:p>
      <w:pPr>
        <w:pStyle w:val="ListParagraph"/>
        <w:numPr>
          <w:ilvl w:val="1"/>
          <w:numId w:val="114"/>
        </w:numPr>
        <w:tabs>
          <w:tab w:pos="1521" w:val="left" w:leader="none"/>
          <w:tab w:pos="1522" w:val="left" w:leader="none"/>
        </w:tabs>
        <w:spacing w:line="271" w:lineRule="auto" w:before="182" w:after="0"/>
        <w:ind w:left="1329" w:right="139" w:hanging="355"/>
        <w:jc w:val="left"/>
        <w:rPr>
          <w:sz w:val="38"/>
        </w:rPr>
      </w:pPr>
      <w:r>
        <w:rPr>
          <w:sz w:val="38"/>
        </w:rPr>
        <w:t>...our bodies begin to break down silicon as early as age 10, even if this process only become visible at 35 years of age?</w:t>
      </w:r>
    </w:p>
    <w:p>
      <w:pPr>
        <w:pStyle w:val="ListParagraph"/>
        <w:numPr>
          <w:ilvl w:val="1"/>
          <w:numId w:val="114"/>
        </w:numPr>
        <w:tabs>
          <w:tab w:pos="1522" w:val="left" w:leader="none"/>
        </w:tabs>
        <w:spacing w:line="273" w:lineRule="auto" w:before="134" w:after="0"/>
        <w:ind w:left="1329" w:right="134" w:hanging="355"/>
        <w:jc w:val="both"/>
        <w:rPr>
          <w:sz w:val="38"/>
        </w:rPr>
      </w:pPr>
      <w:r>
        <w:rPr>
          <w:sz w:val="38"/>
        </w:rPr>
        <w:t>... silicon is the only substance that can bind 300 times the amount of water to itself and can cause wrinkles to disappear naturally in a few weeks?</w:t>
      </w:r>
    </w:p>
    <w:p>
      <w:pPr>
        <w:pStyle w:val="ListParagraph"/>
        <w:numPr>
          <w:ilvl w:val="1"/>
          <w:numId w:val="114"/>
        </w:numPr>
        <w:tabs>
          <w:tab w:pos="1521" w:val="left" w:leader="none"/>
          <w:tab w:pos="1522" w:val="left" w:leader="none"/>
        </w:tabs>
        <w:spacing w:line="271" w:lineRule="auto" w:before="127" w:after="0"/>
        <w:ind w:left="1329" w:right="141" w:hanging="355"/>
        <w:jc w:val="left"/>
        <w:rPr>
          <w:sz w:val="38"/>
        </w:rPr>
      </w:pPr>
      <w:r>
        <w:rPr>
          <w:sz w:val="38"/>
        </w:rPr>
        <w:t>... silica (silicon) can not only put the brakes on all ageing processes, it has been proven to reverse</w:t>
      </w:r>
      <w:r>
        <w:rPr>
          <w:spacing w:val="-4"/>
          <w:sz w:val="38"/>
        </w:rPr>
        <w:t> </w:t>
      </w:r>
      <w:r>
        <w:rPr>
          <w:sz w:val="38"/>
        </w:rPr>
        <w:t>them?</w:t>
      </w:r>
    </w:p>
    <w:p>
      <w:pPr>
        <w:pStyle w:val="ListParagraph"/>
        <w:numPr>
          <w:ilvl w:val="1"/>
          <w:numId w:val="114"/>
        </w:numPr>
        <w:tabs>
          <w:tab w:pos="1521" w:val="left" w:leader="none"/>
          <w:tab w:pos="1522" w:val="left" w:leader="none"/>
        </w:tabs>
        <w:spacing w:line="240" w:lineRule="auto" w:before="131" w:after="0"/>
        <w:ind w:left="1329" w:right="0" w:hanging="355"/>
        <w:jc w:val="left"/>
        <w:rPr>
          <w:sz w:val="38"/>
        </w:rPr>
      </w:pPr>
      <w:r>
        <w:rPr>
          <w:sz w:val="38"/>
        </w:rPr>
        <w:t>... silicon also disinfects and is</w:t>
      </w:r>
      <w:r>
        <w:rPr>
          <w:spacing w:val="1"/>
          <w:sz w:val="38"/>
        </w:rPr>
        <w:t> </w:t>
      </w:r>
      <w:r>
        <w:rPr>
          <w:sz w:val="38"/>
        </w:rPr>
        <w:t>anti-inflammatory?</w:t>
      </w:r>
    </w:p>
    <w:p>
      <w:pPr>
        <w:pStyle w:val="ListParagraph"/>
        <w:numPr>
          <w:ilvl w:val="1"/>
          <w:numId w:val="114"/>
        </w:numPr>
        <w:tabs>
          <w:tab w:pos="1521" w:val="left" w:leader="none"/>
          <w:tab w:pos="1522" w:val="left" w:leader="none"/>
        </w:tabs>
        <w:spacing w:line="271" w:lineRule="auto" w:before="186" w:after="0"/>
        <w:ind w:left="1329" w:right="147" w:hanging="355"/>
        <w:jc w:val="left"/>
        <w:rPr>
          <w:sz w:val="38"/>
        </w:rPr>
      </w:pPr>
      <w:r>
        <w:rPr>
          <w:sz w:val="38"/>
        </w:rPr>
        <w:t>... silicon, due to these abilities, can make people attractive and healthy and at the same time substantially lengthen</w:t>
      </w:r>
      <w:r>
        <w:rPr>
          <w:spacing w:val="-1"/>
          <w:sz w:val="38"/>
        </w:rPr>
        <w:t> </w:t>
      </w:r>
      <w:r>
        <w:rPr>
          <w:sz w:val="38"/>
        </w:rPr>
        <w:t>lifespan?</w:t>
      </w:r>
    </w:p>
    <w:p>
      <w:pPr>
        <w:spacing w:after="0" w:line="271" w:lineRule="auto"/>
        <w:jc w:val="left"/>
        <w:rPr>
          <w:sz w:val="38"/>
        </w:rPr>
        <w:sectPr>
          <w:pgSz w:w="14270" w:h="16850"/>
          <w:pgMar w:header="0" w:footer="1891" w:top="1340" w:bottom="2080" w:left="800" w:right="1280"/>
        </w:sectPr>
      </w:pPr>
    </w:p>
    <w:p>
      <w:pPr>
        <w:pStyle w:val="ListParagraph"/>
        <w:numPr>
          <w:ilvl w:val="1"/>
          <w:numId w:val="114"/>
        </w:numPr>
        <w:tabs>
          <w:tab w:pos="1521" w:val="left" w:leader="none"/>
          <w:tab w:pos="1522" w:val="left" w:leader="none"/>
        </w:tabs>
        <w:spacing w:line="271" w:lineRule="auto" w:before="72" w:after="0"/>
        <w:ind w:left="1329" w:right="142" w:hanging="355"/>
        <w:jc w:val="left"/>
        <w:rPr>
          <w:sz w:val="38"/>
        </w:rPr>
      </w:pPr>
      <w:r>
        <w:rPr>
          <w:sz w:val="38"/>
        </w:rPr>
        <w:t>...around 80 % of all people suffer from a silicon deficit and unneces- sarily age, become sick and lose the flush of</w:t>
      </w:r>
      <w:r>
        <w:rPr>
          <w:spacing w:val="-4"/>
          <w:sz w:val="38"/>
        </w:rPr>
        <w:t> </w:t>
      </w:r>
      <w:r>
        <w:rPr>
          <w:sz w:val="38"/>
        </w:rPr>
        <w:t>youth?</w:t>
      </w:r>
    </w:p>
    <w:p>
      <w:pPr>
        <w:pStyle w:val="ListParagraph"/>
        <w:numPr>
          <w:ilvl w:val="1"/>
          <w:numId w:val="114"/>
        </w:numPr>
        <w:tabs>
          <w:tab w:pos="1521" w:val="left" w:leader="none"/>
          <w:tab w:pos="1522" w:val="left" w:leader="none"/>
        </w:tabs>
        <w:spacing w:line="271" w:lineRule="auto" w:before="134" w:after="0"/>
        <w:ind w:left="1329" w:right="140" w:hanging="355"/>
        <w:jc w:val="left"/>
        <w:rPr>
          <w:sz w:val="38"/>
        </w:rPr>
      </w:pPr>
      <w:r>
        <w:rPr>
          <w:sz w:val="38"/>
        </w:rPr>
        <w:t>...only</w:t>
      </w:r>
      <w:r>
        <w:rPr>
          <w:spacing w:val="-23"/>
          <w:sz w:val="38"/>
        </w:rPr>
        <w:t> </w:t>
      </w:r>
      <w:r>
        <w:rPr>
          <w:sz w:val="38"/>
        </w:rPr>
        <w:t>very</w:t>
      </w:r>
      <w:r>
        <w:rPr>
          <w:spacing w:val="-21"/>
          <w:sz w:val="38"/>
        </w:rPr>
        <w:t> </w:t>
      </w:r>
      <w:r>
        <w:rPr>
          <w:sz w:val="38"/>
        </w:rPr>
        <w:t>few</w:t>
      </w:r>
      <w:r>
        <w:rPr>
          <w:spacing w:val="-26"/>
          <w:sz w:val="38"/>
        </w:rPr>
        <w:t> </w:t>
      </w:r>
      <w:r>
        <w:rPr>
          <w:sz w:val="38"/>
        </w:rPr>
        <w:t>doctors</w:t>
      </w:r>
      <w:r>
        <w:rPr>
          <w:spacing w:val="-21"/>
          <w:sz w:val="38"/>
        </w:rPr>
        <w:t> </w:t>
      </w:r>
      <w:r>
        <w:rPr>
          <w:sz w:val="38"/>
        </w:rPr>
        <w:t>know</w:t>
      </w:r>
      <w:r>
        <w:rPr>
          <w:spacing w:val="-24"/>
          <w:sz w:val="38"/>
        </w:rPr>
        <w:t> </w:t>
      </w:r>
      <w:r>
        <w:rPr>
          <w:sz w:val="38"/>
        </w:rPr>
        <w:t>about</w:t>
      </w:r>
      <w:r>
        <w:rPr>
          <w:spacing w:val="-24"/>
          <w:sz w:val="38"/>
        </w:rPr>
        <w:t> </w:t>
      </w:r>
      <w:r>
        <w:rPr>
          <w:sz w:val="38"/>
        </w:rPr>
        <w:t>these</w:t>
      </w:r>
      <w:r>
        <w:rPr>
          <w:spacing w:val="-22"/>
          <w:sz w:val="38"/>
        </w:rPr>
        <w:t> </w:t>
      </w:r>
      <w:r>
        <w:rPr>
          <w:sz w:val="38"/>
        </w:rPr>
        <w:t>findings</w:t>
      </w:r>
      <w:r>
        <w:rPr>
          <w:spacing w:val="-21"/>
          <w:sz w:val="38"/>
        </w:rPr>
        <w:t> </w:t>
      </w:r>
      <w:r>
        <w:rPr>
          <w:sz w:val="38"/>
        </w:rPr>
        <w:t>due</w:t>
      </w:r>
      <w:r>
        <w:rPr>
          <w:spacing w:val="-24"/>
          <w:sz w:val="38"/>
        </w:rPr>
        <w:t> </w:t>
      </w:r>
      <w:r>
        <w:rPr>
          <w:sz w:val="38"/>
        </w:rPr>
        <w:t>to</w:t>
      </w:r>
      <w:r>
        <w:rPr>
          <w:spacing w:val="-21"/>
          <w:sz w:val="38"/>
        </w:rPr>
        <w:t> </w:t>
      </w:r>
      <w:r>
        <w:rPr>
          <w:sz w:val="38"/>
        </w:rPr>
        <w:t>the</w:t>
      </w:r>
      <w:r>
        <w:rPr>
          <w:spacing w:val="-22"/>
          <w:sz w:val="38"/>
        </w:rPr>
        <w:t> </w:t>
      </w:r>
      <w:r>
        <w:rPr>
          <w:sz w:val="38"/>
        </w:rPr>
        <w:t>young</w:t>
      </w:r>
      <w:r>
        <w:rPr>
          <w:spacing w:val="-21"/>
          <w:sz w:val="38"/>
        </w:rPr>
        <w:t> </w:t>
      </w:r>
      <w:r>
        <w:rPr>
          <w:sz w:val="38"/>
        </w:rPr>
        <w:t>state of silicon</w:t>
      </w:r>
      <w:r>
        <w:rPr>
          <w:spacing w:val="2"/>
          <w:sz w:val="38"/>
        </w:rPr>
        <w:t> </w:t>
      </w:r>
      <w:r>
        <w:rPr>
          <w:sz w:val="38"/>
        </w:rPr>
        <w:t>research?</w:t>
      </w:r>
    </w:p>
    <w:p>
      <w:pPr>
        <w:pStyle w:val="BodyText"/>
        <w:rPr>
          <w:sz w:val="42"/>
        </w:rPr>
      </w:pPr>
    </w:p>
    <w:p>
      <w:pPr>
        <w:pStyle w:val="BodyText"/>
        <w:spacing w:before="4"/>
        <w:rPr>
          <w:sz w:val="45"/>
        </w:rPr>
      </w:pPr>
    </w:p>
    <w:p>
      <w:pPr>
        <w:pStyle w:val="BodyText"/>
        <w:ind w:left="616"/>
      </w:pPr>
      <w:r>
        <w:rPr/>
        <w:t>Studies on silicon</w:t>
      </w:r>
    </w:p>
    <w:p>
      <w:pPr>
        <w:pStyle w:val="Heading1"/>
        <w:spacing w:before="290"/>
        <w:ind w:left="616"/>
      </w:pPr>
      <w:r>
        <w:rPr/>
        <w:t>Silicon rejuvenates blood vessels and counteracts atherosclerosis</w:t>
      </w:r>
    </w:p>
    <w:p>
      <w:pPr>
        <w:pStyle w:val="BodyText"/>
        <w:spacing w:line="276" w:lineRule="auto" w:before="297"/>
        <w:ind w:left="616" w:right="132"/>
        <w:jc w:val="both"/>
        <w:rPr>
          <w:sz w:val="25"/>
        </w:rPr>
      </w:pPr>
      <w:r>
        <w:rPr/>
        <w:t>In</w:t>
      </w:r>
      <w:r>
        <w:rPr>
          <w:spacing w:val="-19"/>
        </w:rPr>
        <w:t> </w:t>
      </w:r>
      <w:r>
        <w:rPr/>
        <w:t>one</w:t>
      </w:r>
      <w:r>
        <w:rPr>
          <w:spacing w:val="-18"/>
        </w:rPr>
        <w:t> </w:t>
      </w:r>
      <w:r>
        <w:rPr/>
        <w:t>study,</w:t>
      </w:r>
      <w:r>
        <w:rPr>
          <w:spacing w:val="-18"/>
        </w:rPr>
        <w:t> </w:t>
      </w:r>
      <w:r>
        <w:rPr/>
        <w:t>blood</w:t>
      </w:r>
      <w:r>
        <w:rPr>
          <w:spacing w:val="-19"/>
        </w:rPr>
        <w:t> </w:t>
      </w:r>
      <w:r>
        <w:rPr/>
        <w:t>vessels</w:t>
      </w:r>
      <w:r>
        <w:rPr>
          <w:spacing w:val="-18"/>
        </w:rPr>
        <w:t> </w:t>
      </w:r>
      <w:r>
        <w:rPr/>
        <w:t>were</w:t>
      </w:r>
      <w:r>
        <w:rPr>
          <w:spacing w:val="-18"/>
        </w:rPr>
        <w:t> </w:t>
      </w:r>
      <w:r>
        <w:rPr/>
        <w:t>rejuvenated</w:t>
      </w:r>
      <w:r>
        <w:rPr>
          <w:spacing w:val="-17"/>
        </w:rPr>
        <w:t> </w:t>
      </w:r>
      <w:r>
        <w:rPr/>
        <w:t>with</w:t>
      </w:r>
      <w:r>
        <w:rPr>
          <w:spacing w:val="-16"/>
        </w:rPr>
        <w:t> </w:t>
      </w:r>
      <w:r>
        <w:rPr/>
        <w:t>colloidal</w:t>
      </w:r>
      <w:r>
        <w:rPr>
          <w:spacing w:val="-20"/>
        </w:rPr>
        <w:t> </w:t>
      </w:r>
      <w:r>
        <w:rPr/>
        <w:t>silicon.</w:t>
      </w:r>
      <w:r>
        <w:rPr>
          <w:spacing w:val="-16"/>
        </w:rPr>
        <w:t> </w:t>
      </w:r>
      <w:r>
        <w:rPr/>
        <w:t>The</w:t>
      </w:r>
      <w:r>
        <w:rPr>
          <w:spacing w:val="-18"/>
        </w:rPr>
        <w:t> </w:t>
      </w:r>
      <w:r>
        <w:rPr/>
        <w:t>protein of</w:t>
      </w:r>
      <w:r>
        <w:rPr>
          <w:spacing w:val="-20"/>
        </w:rPr>
        <w:t> </w:t>
      </w:r>
      <w:r>
        <w:rPr/>
        <w:t>the</w:t>
      </w:r>
      <w:r>
        <w:rPr>
          <w:spacing w:val="-18"/>
        </w:rPr>
        <w:t> </w:t>
      </w:r>
      <w:r>
        <w:rPr/>
        <w:t>vessels</w:t>
      </w:r>
      <w:r>
        <w:rPr>
          <w:spacing w:val="-18"/>
        </w:rPr>
        <w:t> </w:t>
      </w:r>
      <w:r>
        <w:rPr/>
        <w:t>walls</w:t>
      </w:r>
      <w:r>
        <w:rPr>
          <w:spacing w:val="-19"/>
        </w:rPr>
        <w:t> </w:t>
      </w:r>
      <w:r>
        <w:rPr/>
        <w:t>was</w:t>
      </w:r>
      <w:r>
        <w:rPr>
          <w:spacing w:val="-18"/>
        </w:rPr>
        <w:t> </w:t>
      </w:r>
      <w:r>
        <w:rPr/>
        <w:t>rejuvenated,</w:t>
      </w:r>
      <w:r>
        <w:rPr>
          <w:spacing w:val="-18"/>
        </w:rPr>
        <w:t> </w:t>
      </w:r>
      <w:r>
        <w:rPr/>
        <w:t>which</w:t>
      </w:r>
      <w:r>
        <w:rPr>
          <w:spacing w:val="-18"/>
        </w:rPr>
        <w:t> </w:t>
      </w:r>
      <w:r>
        <w:rPr/>
        <w:t>led</w:t>
      </w:r>
      <w:r>
        <w:rPr>
          <w:spacing w:val="-20"/>
        </w:rPr>
        <w:t> </w:t>
      </w:r>
      <w:r>
        <w:rPr/>
        <w:t>to</w:t>
      </w:r>
      <w:r>
        <w:rPr>
          <w:spacing w:val="-23"/>
        </w:rPr>
        <w:t> </w:t>
      </w:r>
      <w:r>
        <w:rPr/>
        <w:t>a</w:t>
      </w:r>
      <w:r>
        <w:rPr>
          <w:spacing w:val="-20"/>
        </w:rPr>
        <w:t> </w:t>
      </w:r>
      <w:r>
        <w:rPr/>
        <w:t>reduction</w:t>
      </w:r>
      <w:r>
        <w:rPr>
          <w:spacing w:val="-18"/>
        </w:rPr>
        <w:t> </w:t>
      </w:r>
      <w:r>
        <w:rPr/>
        <w:t>of</w:t>
      </w:r>
      <w:r>
        <w:rPr>
          <w:spacing w:val="-19"/>
        </w:rPr>
        <w:t> </w:t>
      </w:r>
      <w:r>
        <w:rPr/>
        <w:t>blood</w:t>
      </w:r>
      <w:r>
        <w:rPr>
          <w:spacing w:val="-19"/>
        </w:rPr>
        <w:t> </w:t>
      </w:r>
      <w:r>
        <w:rPr/>
        <w:t>pressure and the proliferation of lymphocytes and phagocytes.</w:t>
      </w:r>
      <w:r>
        <w:rPr>
          <w:position w:val="9"/>
          <w:sz w:val="25"/>
        </w:rPr>
        <w:t>839 </w:t>
      </w:r>
      <w:r>
        <w:rPr/>
        <w:t>Other studies on rab- bits also showed a decline in atheroma lesions after supplementation of the diet with</w:t>
      </w:r>
      <w:r>
        <w:rPr>
          <w:spacing w:val="-2"/>
        </w:rPr>
        <w:t> </w:t>
      </w:r>
      <w:r>
        <w:rPr/>
        <w:t>silicon.</w:t>
      </w:r>
      <w:r>
        <w:rPr>
          <w:position w:val="9"/>
          <w:sz w:val="25"/>
        </w:rPr>
        <w:t>840</w:t>
      </w:r>
    </w:p>
    <w:p>
      <w:pPr>
        <w:pStyle w:val="Heading1"/>
        <w:spacing w:before="223"/>
        <w:ind w:left="616"/>
      </w:pPr>
      <w:r>
        <w:rPr/>
        <w:t>In studies, silicon rejuvenates the</w:t>
      </w:r>
      <w:r>
        <w:rPr>
          <w:spacing w:val="-52"/>
        </w:rPr>
        <w:t> </w:t>
      </w:r>
      <w:r>
        <w:rPr/>
        <w:t>skin</w:t>
      </w:r>
    </w:p>
    <w:p>
      <w:pPr>
        <w:pStyle w:val="BodyText"/>
        <w:spacing w:line="276" w:lineRule="auto" w:before="299"/>
        <w:ind w:left="616" w:right="128"/>
        <w:jc w:val="both"/>
      </w:pPr>
      <w:r>
        <w:rPr/>
        <w:t>Researchers</w:t>
      </w:r>
      <w:r>
        <w:rPr>
          <w:spacing w:val="-12"/>
        </w:rPr>
        <w:t> </w:t>
      </w:r>
      <w:r>
        <w:rPr/>
        <w:t>noticed</w:t>
      </w:r>
      <w:r>
        <w:rPr>
          <w:spacing w:val="-13"/>
        </w:rPr>
        <w:t> </w:t>
      </w:r>
      <w:r>
        <w:rPr/>
        <w:t>a</w:t>
      </w:r>
      <w:r>
        <w:rPr>
          <w:spacing w:val="-14"/>
        </w:rPr>
        <w:t> </w:t>
      </w:r>
      <w:r>
        <w:rPr/>
        <w:t>significant</w:t>
      </w:r>
      <w:r>
        <w:rPr>
          <w:spacing w:val="-11"/>
        </w:rPr>
        <w:t> </w:t>
      </w:r>
      <w:r>
        <w:rPr/>
        <w:t>decrease</w:t>
      </w:r>
      <w:r>
        <w:rPr>
          <w:spacing w:val="-11"/>
        </w:rPr>
        <w:t> </w:t>
      </w:r>
      <w:r>
        <w:rPr/>
        <w:t>in</w:t>
      </w:r>
      <w:r>
        <w:rPr>
          <w:spacing w:val="-13"/>
        </w:rPr>
        <w:t> </w:t>
      </w:r>
      <w:r>
        <w:rPr/>
        <w:t>wrinkle</w:t>
      </w:r>
      <w:r>
        <w:rPr>
          <w:spacing w:val="-13"/>
        </w:rPr>
        <w:t> </w:t>
      </w:r>
      <w:r>
        <w:rPr/>
        <w:t>depth</w:t>
      </w:r>
      <w:r>
        <w:rPr>
          <w:spacing w:val="-13"/>
        </w:rPr>
        <w:t> </w:t>
      </w:r>
      <w:r>
        <w:rPr/>
        <w:t>in</w:t>
      </w:r>
      <w:r>
        <w:rPr>
          <w:spacing w:val="-12"/>
        </w:rPr>
        <w:t> </w:t>
      </w:r>
      <w:r>
        <w:rPr/>
        <w:t>100</w:t>
      </w:r>
      <w:r>
        <w:rPr>
          <w:spacing w:val="-12"/>
        </w:rPr>
        <w:t> </w:t>
      </w:r>
      <w:r>
        <w:rPr/>
        <w:t>women</w:t>
      </w:r>
      <w:r>
        <w:rPr>
          <w:spacing w:val="-12"/>
        </w:rPr>
        <w:t> </w:t>
      </w:r>
      <w:r>
        <w:rPr/>
        <w:t>who were</w:t>
      </w:r>
      <w:r>
        <w:rPr>
          <w:spacing w:val="-6"/>
        </w:rPr>
        <w:t> </w:t>
      </w:r>
      <w:r>
        <w:rPr/>
        <w:t>treated</w:t>
      </w:r>
      <w:r>
        <w:rPr>
          <w:spacing w:val="-6"/>
        </w:rPr>
        <w:t> </w:t>
      </w:r>
      <w:r>
        <w:rPr/>
        <w:t>three</w:t>
      </w:r>
      <w:r>
        <w:rPr>
          <w:spacing w:val="-7"/>
        </w:rPr>
        <w:t> </w:t>
      </w:r>
      <w:r>
        <w:rPr/>
        <w:t>times</w:t>
      </w:r>
      <w:r>
        <w:rPr>
          <w:spacing w:val="-7"/>
        </w:rPr>
        <w:t> </w:t>
      </w:r>
      <w:r>
        <w:rPr/>
        <w:t>per</w:t>
      </w:r>
      <w:r>
        <w:rPr>
          <w:spacing w:val="-9"/>
        </w:rPr>
        <w:t> </w:t>
      </w:r>
      <w:r>
        <w:rPr/>
        <w:t>day</w:t>
      </w:r>
      <w:r>
        <w:rPr>
          <w:spacing w:val="-10"/>
        </w:rPr>
        <w:t> </w:t>
      </w:r>
      <w:r>
        <w:rPr/>
        <w:t>with</w:t>
      </w:r>
      <w:r>
        <w:rPr>
          <w:spacing w:val="-6"/>
        </w:rPr>
        <w:t> </w:t>
      </w:r>
      <w:r>
        <w:rPr/>
        <w:t>silicon</w:t>
      </w:r>
      <w:r>
        <w:rPr>
          <w:spacing w:val="-4"/>
        </w:rPr>
        <w:t> </w:t>
      </w:r>
      <w:r>
        <w:rPr/>
        <w:t>gel</w:t>
      </w:r>
      <w:r>
        <w:rPr>
          <w:spacing w:val="-7"/>
        </w:rPr>
        <w:t> </w:t>
      </w:r>
      <w:r>
        <w:rPr/>
        <w:t>for</w:t>
      </w:r>
      <w:r>
        <w:rPr>
          <w:spacing w:val="-6"/>
        </w:rPr>
        <w:t> </w:t>
      </w:r>
      <w:r>
        <w:rPr/>
        <w:t>three</w:t>
      </w:r>
      <w:r>
        <w:rPr>
          <w:spacing w:val="-7"/>
        </w:rPr>
        <w:t> </w:t>
      </w:r>
      <w:r>
        <w:rPr/>
        <w:t>weeks.</w:t>
      </w:r>
      <w:r>
        <w:rPr>
          <w:spacing w:val="-10"/>
        </w:rPr>
        <w:t> </w:t>
      </w:r>
      <w:r>
        <w:rPr/>
        <w:t>Regardless</w:t>
      </w:r>
      <w:r>
        <w:rPr>
          <w:spacing w:val="-6"/>
        </w:rPr>
        <w:t> </w:t>
      </w:r>
      <w:r>
        <w:rPr/>
        <w:t>of which skin locations were treated, 40 % of the treated women still showed a lasting effect in the next six months, and 35 % of the subjects after one</w:t>
      </w:r>
      <w:r>
        <w:rPr>
          <w:spacing w:val="-22"/>
        </w:rPr>
        <w:t> </w:t>
      </w:r>
      <w:r>
        <w:rPr/>
        <w:t>year.</w:t>
      </w:r>
    </w:p>
    <w:p>
      <w:pPr>
        <w:pStyle w:val="Heading1"/>
        <w:spacing w:before="222"/>
        <w:ind w:left="616"/>
        <w:jc w:val="both"/>
      </w:pPr>
      <w:r>
        <w:rPr/>
        <w:t>Significant rejuvenation of the skin in animal studies</w:t>
      </w:r>
    </w:p>
    <w:p>
      <w:pPr>
        <w:pStyle w:val="BodyText"/>
        <w:rPr>
          <w:b/>
          <w:i/>
          <w:sz w:val="20"/>
        </w:rPr>
      </w:pPr>
    </w:p>
    <w:p>
      <w:pPr>
        <w:pStyle w:val="BodyText"/>
        <w:rPr>
          <w:b/>
          <w:i/>
          <w:sz w:val="20"/>
        </w:rPr>
      </w:pPr>
    </w:p>
    <w:p>
      <w:pPr>
        <w:pStyle w:val="BodyText"/>
        <w:rPr>
          <w:b/>
          <w:i/>
          <w:sz w:val="20"/>
        </w:rPr>
      </w:pPr>
    </w:p>
    <w:p>
      <w:pPr>
        <w:pStyle w:val="BodyText"/>
        <w:spacing w:before="6"/>
        <w:rPr>
          <w:b/>
          <w:i/>
          <w:sz w:val="20"/>
        </w:rPr>
      </w:pPr>
      <w:r>
        <w:rPr/>
        <w:pict>
          <v:line style="position:absolute;mso-position-horizontal-relative:page;mso-position-vertical-relative:paragraph;z-index:11504;mso-wrap-distance-left:0;mso-wrap-distance-right:0" from="70.823997pt,13.931674pt" to="214.843997pt,13.931674pt" stroked="true" strokeweight=".72003pt" strokecolor="#000000">
            <v:stroke dashstyle="solid"/>
            <w10:wrap type="topAndBottom"/>
          </v:line>
        </w:pict>
      </w:r>
    </w:p>
    <w:p>
      <w:pPr>
        <w:pStyle w:val="BodyText"/>
        <w:spacing w:before="7"/>
        <w:rPr>
          <w:b/>
          <w:i/>
          <w:sz w:val="18"/>
        </w:rPr>
      </w:pPr>
    </w:p>
    <w:p>
      <w:pPr>
        <w:spacing w:before="99"/>
        <w:ind w:left="616" w:right="0" w:firstLine="0"/>
        <w:jc w:val="left"/>
        <w:rPr>
          <w:sz w:val="20"/>
        </w:rPr>
      </w:pPr>
      <w:r>
        <w:rPr>
          <w:position w:val="5"/>
          <w:sz w:val="13"/>
        </w:rPr>
        <w:t>839 </w:t>
      </w:r>
      <w:r>
        <w:rPr>
          <w:sz w:val="20"/>
        </w:rPr>
        <w:t>Gohr and Scholl (Dr. Kobbe: Sklerosol)</w:t>
      </w:r>
    </w:p>
    <w:p>
      <w:pPr>
        <w:spacing w:before="94"/>
        <w:ind w:left="616" w:right="0" w:firstLine="0"/>
        <w:jc w:val="left"/>
        <w:rPr>
          <w:sz w:val="20"/>
        </w:rPr>
      </w:pPr>
      <w:r>
        <w:rPr>
          <w:position w:val="5"/>
          <w:sz w:val="13"/>
        </w:rPr>
        <w:t>840 </w:t>
      </w:r>
      <w:r>
        <w:rPr>
          <w:sz w:val="20"/>
        </w:rPr>
        <w:t>Loeper et al.: Atherosclerosis, 1979, 33, pp. 397-408.</w:t>
      </w:r>
    </w:p>
    <w:p>
      <w:pPr>
        <w:spacing w:after="0"/>
        <w:jc w:val="left"/>
        <w:rPr>
          <w:sz w:val="20"/>
        </w:rPr>
        <w:sectPr>
          <w:pgSz w:w="14270" w:h="16850"/>
          <w:pgMar w:header="0" w:footer="1891" w:top="1340" w:bottom="2080" w:left="800" w:right="1280"/>
        </w:sectPr>
      </w:pPr>
    </w:p>
    <w:p>
      <w:pPr>
        <w:pStyle w:val="BodyText"/>
        <w:spacing w:line="276" w:lineRule="auto" w:before="72"/>
        <w:ind w:left="616" w:right="133"/>
        <w:jc w:val="both"/>
      </w:pPr>
      <w:r>
        <w:rPr/>
        <w:t>Researchers</w:t>
      </w:r>
      <w:r>
        <w:rPr>
          <w:spacing w:val="-10"/>
        </w:rPr>
        <w:t> </w:t>
      </w:r>
      <w:r>
        <w:rPr/>
        <w:t>wanted</w:t>
      </w:r>
      <w:r>
        <w:rPr>
          <w:spacing w:val="-7"/>
        </w:rPr>
        <w:t> </w:t>
      </w:r>
      <w:r>
        <w:rPr/>
        <w:t>to</w:t>
      </w:r>
      <w:r>
        <w:rPr>
          <w:spacing w:val="-7"/>
        </w:rPr>
        <w:t> </w:t>
      </w:r>
      <w:r>
        <w:rPr/>
        <w:t>investigate</w:t>
      </w:r>
      <w:r>
        <w:rPr>
          <w:spacing w:val="-7"/>
        </w:rPr>
        <w:t> </w:t>
      </w:r>
      <w:r>
        <w:rPr/>
        <w:t>the</w:t>
      </w:r>
      <w:r>
        <w:rPr>
          <w:spacing w:val="-9"/>
        </w:rPr>
        <w:t> </w:t>
      </w:r>
      <w:r>
        <w:rPr/>
        <w:t>structural</w:t>
      </w:r>
      <w:r>
        <w:rPr>
          <w:spacing w:val="-7"/>
        </w:rPr>
        <w:t> </w:t>
      </w:r>
      <w:r>
        <w:rPr/>
        <w:t>changes</w:t>
      </w:r>
      <w:r>
        <w:rPr>
          <w:spacing w:val="-6"/>
        </w:rPr>
        <w:t> </w:t>
      </w:r>
      <w:r>
        <w:rPr/>
        <w:t>to</w:t>
      </w:r>
      <w:r>
        <w:rPr>
          <w:spacing w:val="-10"/>
        </w:rPr>
        <w:t> </w:t>
      </w:r>
      <w:r>
        <w:rPr/>
        <w:t>the</w:t>
      </w:r>
      <w:r>
        <w:rPr>
          <w:spacing w:val="-8"/>
        </w:rPr>
        <w:t> </w:t>
      </w:r>
      <w:r>
        <w:rPr/>
        <w:t>skin</w:t>
      </w:r>
      <w:r>
        <w:rPr>
          <w:spacing w:val="-8"/>
        </w:rPr>
        <w:t> </w:t>
      </w:r>
      <w:r>
        <w:rPr/>
        <w:t>of</w:t>
      </w:r>
      <w:r>
        <w:rPr>
          <w:spacing w:val="-9"/>
        </w:rPr>
        <w:t> </w:t>
      </w:r>
      <w:r>
        <w:rPr/>
        <w:t>hairless mice with the use of silicon. For this purpose, they subjected the skin of six- month-old</w:t>
      </w:r>
      <w:r>
        <w:rPr>
          <w:spacing w:val="-9"/>
        </w:rPr>
        <w:t> </w:t>
      </w:r>
      <w:r>
        <w:rPr/>
        <w:t>mice</w:t>
      </w:r>
      <w:r>
        <w:rPr>
          <w:spacing w:val="-11"/>
        </w:rPr>
        <w:t> </w:t>
      </w:r>
      <w:r>
        <w:rPr/>
        <w:t>to</w:t>
      </w:r>
      <w:r>
        <w:rPr>
          <w:spacing w:val="-9"/>
        </w:rPr>
        <w:t> </w:t>
      </w:r>
      <w:r>
        <w:rPr/>
        <w:t>a</w:t>
      </w:r>
      <w:r>
        <w:rPr>
          <w:spacing w:val="-9"/>
        </w:rPr>
        <w:t> </w:t>
      </w:r>
      <w:r>
        <w:rPr/>
        <w:t>comparison</w:t>
      </w:r>
      <w:r>
        <w:rPr>
          <w:spacing w:val="-13"/>
        </w:rPr>
        <w:t> </w:t>
      </w:r>
      <w:r>
        <w:rPr/>
        <w:t>with</w:t>
      </w:r>
      <w:r>
        <w:rPr>
          <w:spacing w:val="-9"/>
        </w:rPr>
        <w:t> </w:t>
      </w:r>
      <w:r>
        <w:rPr/>
        <w:t>the</w:t>
      </w:r>
      <w:r>
        <w:rPr>
          <w:spacing w:val="-7"/>
        </w:rPr>
        <w:t> </w:t>
      </w:r>
      <w:r>
        <w:rPr/>
        <w:t>skin</w:t>
      </w:r>
      <w:r>
        <w:rPr>
          <w:spacing w:val="-8"/>
        </w:rPr>
        <w:t> </w:t>
      </w:r>
      <w:r>
        <w:rPr/>
        <w:t>of</w:t>
      </w:r>
      <w:r>
        <w:rPr>
          <w:spacing w:val="-13"/>
        </w:rPr>
        <w:t> </w:t>
      </w:r>
      <w:r>
        <w:rPr/>
        <w:t>17-month-old</w:t>
      </w:r>
      <w:r>
        <w:rPr>
          <w:spacing w:val="-8"/>
        </w:rPr>
        <w:t> </w:t>
      </w:r>
      <w:r>
        <w:rPr/>
        <w:t>mice.</w:t>
      </w:r>
      <w:r>
        <w:rPr>
          <w:spacing w:val="-9"/>
        </w:rPr>
        <w:t> </w:t>
      </w:r>
      <w:r>
        <w:rPr/>
        <w:t>The</w:t>
      </w:r>
      <w:r>
        <w:rPr>
          <w:spacing w:val="-8"/>
        </w:rPr>
        <w:t> </w:t>
      </w:r>
      <w:r>
        <w:rPr/>
        <w:t>17- month-old mice were administered silicon daily, starting at the age of 12 months</w:t>
      </w:r>
      <w:r>
        <w:rPr>
          <w:spacing w:val="-24"/>
        </w:rPr>
        <w:t> </w:t>
      </w:r>
      <w:r>
        <w:rPr/>
        <w:t>(on</w:t>
      </w:r>
      <w:r>
        <w:rPr>
          <w:spacing w:val="-24"/>
        </w:rPr>
        <w:t> </w:t>
      </w:r>
      <w:r>
        <w:rPr/>
        <w:t>five</w:t>
      </w:r>
      <w:r>
        <w:rPr>
          <w:spacing w:val="-26"/>
        </w:rPr>
        <w:t> </w:t>
      </w:r>
      <w:r>
        <w:rPr/>
        <w:t>days</w:t>
      </w:r>
      <w:r>
        <w:rPr>
          <w:spacing w:val="-23"/>
        </w:rPr>
        <w:t> </w:t>
      </w:r>
      <w:r>
        <w:rPr/>
        <w:t>of</w:t>
      </w:r>
      <w:r>
        <w:rPr>
          <w:spacing w:val="-25"/>
        </w:rPr>
        <w:t> </w:t>
      </w:r>
      <w:r>
        <w:rPr/>
        <w:t>the</w:t>
      </w:r>
      <w:r>
        <w:rPr>
          <w:spacing w:val="-24"/>
        </w:rPr>
        <w:t> </w:t>
      </w:r>
      <w:r>
        <w:rPr/>
        <w:t>week).</w:t>
      </w:r>
      <w:r>
        <w:rPr>
          <w:spacing w:val="-24"/>
        </w:rPr>
        <w:t> </w:t>
      </w:r>
      <w:r>
        <w:rPr/>
        <w:t>In</w:t>
      </w:r>
      <w:r>
        <w:rPr>
          <w:spacing w:val="-24"/>
        </w:rPr>
        <w:t> </w:t>
      </w:r>
      <w:r>
        <w:rPr/>
        <w:t>these</w:t>
      </w:r>
      <w:r>
        <w:rPr>
          <w:spacing w:val="-25"/>
        </w:rPr>
        <w:t> </w:t>
      </w:r>
      <w:r>
        <w:rPr/>
        <w:t>mice,</w:t>
      </w:r>
      <w:r>
        <w:rPr>
          <w:spacing w:val="-27"/>
        </w:rPr>
        <w:t> </w:t>
      </w:r>
      <w:r>
        <w:rPr/>
        <w:t>a</w:t>
      </w:r>
      <w:r>
        <w:rPr>
          <w:spacing w:val="-25"/>
        </w:rPr>
        <w:t> </w:t>
      </w:r>
      <w:r>
        <w:rPr/>
        <w:t>restructuring</w:t>
      </w:r>
      <w:r>
        <w:rPr>
          <w:spacing w:val="-25"/>
        </w:rPr>
        <w:t> </w:t>
      </w:r>
      <w:r>
        <w:rPr/>
        <w:t>of</w:t>
      </w:r>
      <w:r>
        <w:rPr>
          <w:spacing w:val="-25"/>
        </w:rPr>
        <w:t> </w:t>
      </w:r>
      <w:r>
        <w:rPr/>
        <w:t>the</w:t>
      </w:r>
      <w:r>
        <w:rPr>
          <w:spacing w:val="-24"/>
        </w:rPr>
        <w:t> </w:t>
      </w:r>
      <w:r>
        <w:rPr/>
        <w:t>collagen and elastin fibres set in, while the interfibrillar spaces and the strength of the dermis</w:t>
      </w:r>
      <w:r>
        <w:rPr>
          <w:spacing w:val="-15"/>
        </w:rPr>
        <w:t> </w:t>
      </w:r>
      <w:r>
        <w:rPr/>
        <w:t>remained</w:t>
      </w:r>
      <w:r>
        <w:rPr>
          <w:spacing w:val="-14"/>
        </w:rPr>
        <w:t> </w:t>
      </w:r>
      <w:r>
        <w:rPr/>
        <w:t>unchanged</w:t>
      </w:r>
      <w:r>
        <w:rPr>
          <w:spacing w:val="-14"/>
        </w:rPr>
        <w:t> </w:t>
      </w:r>
      <w:r>
        <w:rPr/>
        <w:t>despite</w:t>
      </w:r>
      <w:r>
        <w:rPr>
          <w:spacing w:val="-16"/>
        </w:rPr>
        <w:t> </w:t>
      </w:r>
      <w:r>
        <w:rPr/>
        <w:t>chronological</w:t>
      </w:r>
      <w:r>
        <w:rPr>
          <w:spacing w:val="-14"/>
        </w:rPr>
        <w:t> </w:t>
      </w:r>
      <w:r>
        <w:rPr/>
        <w:t>ageing.</w:t>
      </w:r>
      <w:r>
        <w:rPr>
          <w:spacing w:val="-8"/>
        </w:rPr>
        <w:t> </w:t>
      </w:r>
      <w:r>
        <w:rPr/>
        <w:t>The</w:t>
      </w:r>
      <w:r>
        <w:rPr>
          <w:spacing w:val="-13"/>
        </w:rPr>
        <w:t> </w:t>
      </w:r>
      <w:r>
        <w:rPr/>
        <w:t>structure</w:t>
      </w:r>
      <w:r>
        <w:rPr>
          <w:spacing w:val="-14"/>
        </w:rPr>
        <w:t> </w:t>
      </w:r>
      <w:r>
        <w:rPr/>
        <w:t>of</w:t>
      </w:r>
      <w:r>
        <w:rPr>
          <w:spacing w:val="-15"/>
        </w:rPr>
        <w:t> </w:t>
      </w:r>
      <w:r>
        <w:rPr/>
        <w:t>the dermis corresponded to the skins of the six-month-old, untreated</w:t>
      </w:r>
      <w:r>
        <w:rPr>
          <w:spacing w:val="-8"/>
        </w:rPr>
        <w:t> </w:t>
      </w:r>
      <w:r>
        <w:rPr/>
        <w:t>mice.</w:t>
      </w:r>
    </w:p>
    <w:p>
      <w:pPr>
        <w:pStyle w:val="Heading1"/>
        <w:ind w:left="616"/>
      </w:pPr>
      <w:r>
        <w:rPr/>
        <w:t>Rejuvenation mechanisms demonstrated in further studies</w:t>
      </w:r>
    </w:p>
    <w:p>
      <w:pPr>
        <w:pStyle w:val="BodyText"/>
        <w:spacing w:line="276" w:lineRule="auto" w:before="299"/>
        <w:ind w:left="616" w:right="134"/>
        <w:jc w:val="both"/>
      </w:pPr>
      <w:r>
        <w:rPr/>
        <w:t>It is to the two scientists K. Letters and O. Scholl that we owe the knowledge that the primary process of ageing can be ascribed to dehydration, the drying out of the body's cells. The consequence of this dehydration is the</w:t>
      </w:r>
      <w:r>
        <w:rPr>
          <w:spacing w:val="-49"/>
        </w:rPr>
        <w:t> </w:t>
      </w:r>
      <w:r>
        <w:rPr/>
        <w:t>demacerat- ing</w:t>
      </w:r>
      <w:r>
        <w:rPr>
          <w:spacing w:val="-22"/>
        </w:rPr>
        <w:t> </w:t>
      </w:r>
      <w:r>
        <w:rPr/>
        <w:t>of</w:t>
      </w:r>
      <w:r>
        <w:rPr>
          <w:spacing w:val="-23"/>
        </w:rPr>
        <w:t> </w:t>
      </w:r>
      <w:r>
        <w:rPr/>
        <w:t>protein,</w:t>
      </w:r>
      <w:r>
        <w:rPr>
          <w:spacing w:val="-24"/>
        </w:rPr>
        <w:t> </w:t>
      </w:r>
      <w:r>
        <w:rPr/>
        <w:t>which</w:t>
      </w:r>
      <w:r>
        <w:rPr>
          <w:spacing w:val="-20"/>
        </w:rPr>
        <w:t> </w:t>
      </w:r>
      <w:r>
        <w:rPr/>
        <w:t>causes</w:t>
      </w:r>
      <w:r>
        <w:rPr>
          <w:spacing w:val="-21"/>
        </w:rPr>
        <w:t> </w:t>
      </w:r>
      <w:r>
        <w:rPr/>
        <w:t>the</w:t>
      </w:r>
      <w:r>
        <w:rPr>
          <w:spacing w:val="-23"/>
        </w:rPr>
        <w:t> </w:t>
      </w:r>
      <w:r>
        <w:rPr/>
        <w:t>flocculation</w:t>
      </w:r>
      <w:r>
        <w:rPr>
          <w:spacing w:val="-21"/>
        </w:rPr>
        <w:t> </w:t>
      </w:r>
      <w:r>
        <w:rPr/>
        <w:t>and</w:t>
      </w:r>
      <w:r>
        <w:rPr>
          <w:spacing w:val="-24"/>
        </w:rPr>
        <w:t> </w:t>
      </w:r>
      <w:r>
        <w:rPr/>
        <w:t>coagulation</w:t>
      </w:r>
      <w:r>
        <w:rPr>
          <w:spacing w:val="-20"/>
        </w:rPr>
        <w:t> </w:t>
      </w:r>
      <w:r>
        <w:rPr/>
        <w:t>of</w:t>
      </w:r>
      <w:r>
        <w:rPr>
          <w:spacing w:val="-22"/>
        </w:rPr>
        <w:t> </w:t>
      </w:r>
      <w:r>
        <w:rPr/>
        <w:t>the</w:t>
      </w:r>
      <w:r>
        <w:rPr>
          <w:spacing w:val="-21"/>
        </w:rPr>
        <w:t> </w:t>
      </w:r>
      <w:r>
        <w:rPr/>
        <w:t>body's</w:t>
      </w:r>
      <w:r>
        <w:rPr>
          <w:spacing w:val="-24"/>
        </w:rPr>
        <w:t> </w:t>
      </w:r>
      <w:r>
        <w:rPr/>
        <w:t>own protein. In 1949, the scientists Scholl and Gobor were able to delay and even ultimately</w:t>
      </w:r>
      <w:r>
        <w:rPr>
          <w:spacing w:val="-10"/>
        </w:rPr>
        <w:t> </w:t>
      </w:r>
      <w:r>
        <w:rPr/>
        <w:t>reverse</w:t>
      </w:r>
      <w:r>
        <w:rPr>
          <w:spacing w:val="-8"/>
        </w:rPr>
        <w:t> </w:t>
      </w:r>
      <w:r>
        <w:rPr/>
        <w:t>these</w:t>
      </w:r>
      <w:r>
        <w:rPr>
          <w:spacing w:val="-10"/>
        </w:rPr>
        <w:t> </w:t>
      </w:r>
      <w:r>
        <w:rPr/>
        <w:t>ageing</w:t>
      </w:r>
      <w:r>
        <w:rPr>
          <w:spacing w:val="-10"/>
        </w:rPr>
        <w:t> </w:t>
      </w:r>
      <w:r>
        <w:rPr/>
        <w:t>processes</w:t>
      </w:r>
      <w:r>
        <w:rPr>
          <w:spacing w:val="-9"/>
        </w:rPr>
        <w:t> </w:t>
      </w:r>
      <w:r>
        <w:rPr/>
        <w:t>in</w:t>
      </w:r>
      <w:r>
        <w:rPr>
          <w:spacing w:val="-10"/>
        </w:rPr>
        <w:t> </w:t>
      </w:r>
      <w:r>
        <w:rPr/>
        <w:t>human</w:t>
      </w:r>
      <w:r>
        <w:rPr>
          <w:spacing w:val="-8"/>
        </w:rPr>
        <w:t> </w:t>
      </w:r>
      <w:r>
        <w:rPr/>
        <w:t>tissue</w:t>
      </w:r>
      <w:r>
        <w:rPr>
          <w:spacing w:val="-9"/>
        </w:rPr>
        <w:t> </w:t>
      </w:r>
      <w:r>
        <w:rPr/>
        <w:t>with</w:t>
      </w:r>
      <w:r>
        <w:rPr>
          <w:spacing w:val="-7"/>
        </w:rPr>
        <w:t> </w:t>
      </w:r>
      <w:r>
        <w:rPr/>
        <w:t>1</w:t>
      </w:r>
      <w:r>
        <w:rPr>
          <w:spacing w:val="-11"/>
        </w:rPr>
        <w:t> </w:t>
      </w:r>
      <w:r>
        <w:rPr/>
        <w:t>%</w:t>
      </w:r>
      <w:r>
        <w:rPr>
          <w:spacing w:val="-8"/>
        </w:rPr>
        <w:t> </w:t>
      </w:r>
      <w:r>
        <w:rPr/>
        <w:t>dissolvable silicon.</w:t>
      </w:r>
      <w:r>
        <w:rPr>
          <w:spacing w:val="-11"/>
        </w:rPr>
        <w:t> </w:t>
      </w:r>
      <w:r>
        <w:rPr/>
        <w:t>The</w:t>
      </w:r>
      <w:r>
        <w:rPr>
          <w:spacing w:val="-10"/>
        </w:rPr>
        <w:t> </w:t>
      </w:r>
      <w:r>
        <w:rPr/>
        <w:t>silicon</w:t>
      </w:r>
      <w:r>
        <w:rPr>
          <w:spacing w:val="-10"/>
        </w:rPr>
        <w:t> </w:t>
      </w:r>
      <w:r>
        <w:rPr/>
        <w:t>content</w:t>
      </w:r>
      <w:r>
        <w:rPr>
          <w:spacing w:val="-13"/>
        </w:rPr>
        <w:t> </w:t>
      </w:r>
      <w:r>
        <w:rPr/>
        <w:t>of</w:t>
      </w:r>
      <w:r>
        <w:rPr>
          <w:spacing w:val="-10"/>
        </w:rPr>
        <w:t> </w:t>
      </w:r>
      <w:r>
        <w:rPr/>
        <w:t>the</w:t>
      </w:r>
      <w:r>
        <w:rPr>
          <w:spacing w:val="-11"/>
        </w:rPr>
        <w:t> </w:t>
      </w:r>
      <w:r>
        <w:rPr/>
        <w:t>blood</w:t>
      </w:r>
      <w:r>
        <w:rPr>
          <w:spacing w:val="-10"/>
        </w:rPr>
        <w:t> </w:t>
      </w:r>
      <w:r>
        <w:rPr/>
        <w:t>rose</w:t>
      </w:r>
      <w:r>
        <w:rPr>
          <w:spacing w:val="-13"/>
        </w:rPr>
        <w:t> </w:t>
      </w:r>
      <w:r>
        <w:rPr/>
        <w:t>over</w:t>
      </w:r>
      <w:r>
        <w:rPr>
          <w:spacing w:val="-11"/>
        </w:rPr>
        <w:t> </w:t>
      </w:r>
      <w:r>
        <w:rPr/>
        <w:t>several</w:t>
      </w:r>
      <w:r>
        <w:rPr>
          <w:spacing w:val="-12"/>
        </w:rPr>
        <w:t> </w:t>
      </w:r>
      <w:r>
        <w:rPr/>
        <w:t>weeks,</w:t>
      </w:r>
      <w:r>
        <w:rPr>
          <w:spacing w:val="-13"/>
        </w:rPr>
        <w:t> </w:t>
      </w:r>
      <w:r>
        <w:rPr/>
        <w:t>all</w:t>
      </w:r>
      <w:r>
        <w:rPr>
          <w:spacing w:val="-12"/>
        </w:rPr>
        <w:t> </w:t>
      </w:r>
      <w:r>
        <w:rPr/>
        <w:t>the</w:t>
      </w:r>
      <w:r>
        <w:rPr>
          <w:spacing w:val="-11"/>
        </w:rPr>
        <w:t> </w:t>
      </w:r>
      <w:r>
        <w:rPr/>
        <w:t>way</w:t>
      </w:r>
      <w:r>
        <w:rPr>
          <w:spacing w:val="-10"/>
        </w:rPr>
        <w:t> </w:t>
      </w:r>
      <w:r>
        <w:rPr/>
        <w:t>to 400</w:t>
      </w:r>
      <w:r>
        <w:rPr>
          <w:spacing w:val="-2"/>
        </w:rPr>
        <w:t> </w:t>
      </w:r>
      <w:r>
        <w:rPr/>
        <w:t>%.</w:t>
      </w:r>
    </w:p>
    <w:p>
      <w:pPr>
        <w:pStyle w:val="Heading1"/>
        <w:spacing w:line="261" w:lineRule="auto"/>
        <w:ind w:left="616" w:right="136"/>
        <w:jc w:val="both"/>
      </w:pPr>
      <w:r>
        <w:rPr/>
        <w:t>Silicon (silica) strengthens hair structure and makes </w:t>
      </w:r>
      <w:r>
        <w:rPr>
          <w:spacing w:val="2"/>
        </w:rPr>
        <w:t>the </w:t>
      </w:r>
      <w:r>
        <w:rPr/>
        <w:t>hair</w:t>
      </w:r>
      <w:r>
        <w:rPr>
          <w:spacing w:val="-71"/>
        </w:rPr>
        <w:t> </w:t>
      </w:r>
      <w:r>
        <w:rPr/>
        <w:t>signifi- cantly thicker</w:t>
      </w:r>
    </w:p>
    <w:p>
      <w:pPr>
        <w:pStyle w:val="BodyText"/>
        <w:spacing w:line="276" w:lineRule="auto" w:before="258"/>
        <w:ind w:left="616" w:right="131"/>
        <w:jc w:val="both"/>
      </w:pPr>
      <w:r>
        <w:rPr/>
        <w:t>In a study on 55 women with thin hair at the University Clinic of Hamburg- Eppendorf,</w:t>
      </w:r>
      <w:r>
        <w:rPr>
          <w:spacing w:val="-20"/>
        </w:rPr>
        <w:t> </w:t>
      </w:r>
      <w:r>
        <w:rPr/>
        <w:t>the</w:t>
      </w:r>
      <w:r>
        <w:rPr>
          <w:spacing w:val="-19"/>
        </w:rPr>
        <w:t> </w:t>
      </w:r>
      <w:r>
        <w:rPr/>
        <w:t>research</w:t>
      </w:r>
      <w:r>
        <w:rPr>
          <w:spacing w:val="-17"/>
        </w:rPr>
        <w:t> </w:t>
      </w:r>
      <w:r>
        <w:rPr/>
        <w:t>team</w:t>
      </w:r>
      <w:r>
        <w:rPr>
          <w:spacing w:val="-18"/>
        </w:rPr>
        <w:t> </w:t>
      </w:r>
      <w:r>
        <w:rPr/>
        <w:t>of</w:t>
      </w:r>
      <w:r>
        <w:rPr>
          <w:spacing w:val="-22"/>
        </w:rPr>
        <w:t> </w:t>
      </w:r>
      <w:r>
        <w:rPr/>
        <w:t>Prof.</w:t>
      </w:r>
      <w:r>
        <w:rPr>
          <w:spacing w:val="-17"/>
        </w:rPr>
        <w:t> </w:t>
      </w:r>
      <w:r>
        <w:rPr/>
        <w:t>Dr.</w:t>
      </w:r>
      <w:r>
        <w:rPr>
          <w:spacing w:val="-18"/>
        </w:rPr>
        <w:t> </w:t>
      </w:r>
      <w:r>
        <w:rPr/>
        <w:t>Matthias</w:t>
      </w:r>
      <w:r>
        <w:rPr>
          <w:spacing w:val="-17"/>
        </w:rPr>
        <w:t> </w:t>
      </w:r>
      <w:r>
        <w:rPr/>
        <w:t>Augustin</w:t>
      </w:r>
      <w:r>
        <w:rPr>
          <w:spacing w:val="-17"/>
        </w:rPr>
        <w:t> </w:t>
      </w:r>
      <w:r>
        <w:rPr/>
        <w:t>demonstrated</w:t>
      </w:r>
      <w:r>
        <w:rPr>
          <w:spacing w:val="-17"/>
        </w:rPr>
        <w:t> </w:t>
      </w:r>
      <w:r>
        <w:rPr/>
        <w:t>an average</w:t>
      </w:r>
      <w:r>
        <w:rPr>
          <w:spacing w:val="10"/>
        </w:rPr>
        <w:t> </w:t>
      </w:r>
      <w:r>
        <w:rPr/>
        <w:t>hair</w:t>
      </w:r>
      <w:r>
        <w:rPr>
          <w:spacing w:val="10"/>
        </w:rPr>
        <w:t> </w:t>
      </w:r>
      <w:r>
        <w:rPr/>
        <w:t>thickening</w:t>
      </w:r>
      <w:r>
        <w:rPr>
          <w:spacing w:val="11"/>
        </w:rPr>
        <w:t> </w:t>
      </w:r>
      <w:r>
        <w:rPr/>
        <w:t>of</w:t>
      </w:r>
      <w:r>
        <w:rPr>
          <w:spacing w:val="10"/>
        </w:rPr>
        <w:t> </w:t>
      </w:r>
      <w:r>
        <w:rPr/>
        <w:t>13</w:t>
      </w:r>
      <w:r>
        <w:rPr>
          <w:spacing w:val="9"/>
        </w:rPr>
        <w:t> </w:t>
      </w:r>
      <w:r>
        <w:rPr/>
        <w:t>%</w:t>
      </w:r>
      <w:r>
        <w:rPr>
          <w:spacing w:val="8"/>
        </w:rPr>
        <w:t> </w:t>
      </w:r>
      <w:r>
        <w:rPr/>
        <w:t>after</w:t>
      </w:r>
      <w:r>
        <w:rPr>
          <w:spacing w:val="9"/>
        </w:rPr>
        <w:t> </w:t>
      </w:r>
      <w:r>
        <w:rPr/>
        <w:t>six</w:t>
      </w:r>
      <w:r>
        <w:rPr>
          <w:spacing w:val="10"/>
        </w:rPr>
        <w:t> </w:t>
      </w:r>
      <w:r>
        <w:rPr/>
        <w:t>months</w:t>
      </w:r>
      <w:r>
        <w:rPr>
          <w:spacing w:val="8"/>
        </w:rPr>
        <w:t> </w:t>
      </w:r>
      <w:r>
        <w:rPr/>
        <w:t>of</w:t>
      </w:r>
      <w:r>
        <w:rPr>
          <w:spacing w:val="10"/>
        </w:rPr>
        <w:t> </w:t>
      </w:r>
      <w:r>
        <w:rPr/>
        <w:t>daily</w:t>
      </w:r>
      <w:r>
        <w:rPr>
          <w:spacing w:val="11"/>
        </w:rPr>
        <w:t> </w:t>
      </w:r>
      <w:r>
        <w:rPr/>
        <w:t>intake</w:t>
      </w:r>
      <w:r>
        <w:rPr>
          <w:spacing w:val="9"/>
        </w:rPr>
        <w:t> </w:t>
      </w:r>
      <w:r>
        <w:rPr/>
        <w:t>of</w:t>
      </w:r>
      <w:r>
        <w:rPr>
          <w:spacing w:val="10"/>
        </w:rPr>
        <w:t> </w:t>
      </w:r>
      <w:r>
        <w:rPr/>
        <w:t>silicon</w:t>
      </w:r>
      <w:r>
        <w:rPr>
          <w:spacing w:val="21"/>
        </w:rPr>
        <w:t> </w:t>
      </w:r>
      <w:r>
        <w:rPr/>
        <w:t>gel</w:t>
      </w:r>
    </w:p>
    <w:p>
      <w:pPr>
        <w:spacing w:after="0" w:line="276" w:lineRule="auto"/>
        <w:jc w:val="both"/>
        <w:sectPr>
          <w:pgSz w:w="14270" w:h="16850"/>
          <w:pgMar w:header="0" w:footer="1891" w:top="1340" w:bottom="2080" w:left="800" w:right="1280"/>
        </w:sectPr>
      </w:pPr>
    </w:p>
    <w:p>
      <w:pPr>
        <w:spacing w:line="276" w:lineRule="auto" w:before="72"/>
        <w:ind w:left="616" w:right="135" w:firstLine="0"/>
        <w:jc w:val="both"/>
        <w:rPr>
          <w:i/>
          <w:sz w:val="38"/>
        </w:rPr>
      </w:pPr>
      <w:r>
        <w:rPr>
          <w:sz w:val="38"/>
        </w:rPr>
        <w:t>(1 tsp/day). This thickening of the hair was reflected in a visible increase in volume and radiant health. It was also stated: </w:t>
      </w:r>
      <w:r>
        <w:rPr>
          <w:i/>
          <w:sz w:val="38"/>
        </w:rPr>
        <w:t>'It can be assumed that an extended </w:t>
      </w:r>
      <w:r>
        <w:rPr>
          <w:i/>
          <w:sz w:val="38"/>
        </w:rPr>
        <w:t>intake of silicon gel leads to further strengthening of the hair'.</w:t>
      </w:r>
    </w:p>
    <w:p>
      <w:pPr>
        <w:pStyle w:val="BodyText"/>
        <w:spacing w:line="276" w:lineRule="auto" w:before="241"/>
        <w:ind w:left="616" w:right="136"/>
        <w:jc w:val="both"/>
      </w:pPr>
      <w:r>
        <w:rPr/>
        <w:t>The</w:t>
      </w:r>
      <w:r>
        <w:rPr>
          <w:spacing w:val="-18"/>
        </w:rPr>
        <w:t> </w:t>
      </w:r>
      <w:r>
        <w:rPr/>
        <w:t>scientists</w:t>
      </w:r>
      <w:r>
        <w:rPr>
          <w:spacing w:val="-17"/>
        </w:rPr>
        <w:t> </w:t>
      </w:r>
      <w:r>
        <w:rPr/>
        <w:t>described</w:t>
      </w:r>
      <w:r>
        <w:rPr>
          <w:spacing w:val="-17"/>
        </w:rPr>
        <w:t> </w:t>
      </w:r>
      <w:r>
        <w:rPr/>
        <w:t>the</w:t>
      </w:r>
      <w:r>
        <w:rPr>
          <w:spacing w:val="-17"/>
        </w:rPr>
        <w:t> </w:t>
      </w:r>
      <w:r>
        <w:rPr/>
        <w:t>increase</w:t>
      </w:r>
      <w:r>
        <w:rPr>
          <w:spacing w:val="-18"/>
        </w:rPr>
        <w:t> </w:t>
      </w:r>
      <w:r>
        <w:rPr/>
        <w:t>in</w:t>
      </w:r>
      <w:r>
        <w:rPr>
          <w:spacing w:val="-19"/>
        </w:rPr>
        <w:t> </w:t>
      </w:r>
      <w:r>
        <w:rPr/>
        <w:t>hair</w:t>
      </w:r>
      <w:r>
        <w:rPr>
          <w:spacing w:val="-18"/>
        </w:rPr>
        <w:t> </w:t>
      </w:r>
      <w:r>
        <w:rPr/>
        <w:t>volume</w:t>
      </w:r>
      <w:r>
        <w:rPr>
          <w:spacing w:val="-17"/>
        </w:rPr>
        <w:t> </w:t>
      </w:r>
      <w:r>
        <w:rPr/>
        <w:t>as</w:t>
      </w:r>
      <w:r>
        <w:rPr>
          <w:spacing w:val="-18"/>
        </w:rPr>
        <w:t> </w:t>
      </w:r>
      <w:r>
        <w:rPr/>
        <w:t>a</w:t>
      </w:r>
      <w:r>
        <w:rPr>
          <w:spacing w:val="-17"/>
        </w:rPr>
        <w:t> </w:t>
      </w:r>
      <w:r>
        <w:rPr>
          <w:i/>
        </w:rPr>
        <w:t>'highly</w:t>
      </w:r>
      <w:r>
        <w:rPr>
          <w:i/>
          <w:spacing w:val="-17"/>
        </w:rPr>
        <w:t> </w:t>
      </w:r>
      <w:r>
        <w:rPr>
          <w:i/>
        </w:rPr>
        <w:t>significant</w:t>
      </w:r>
      <w:r>
        <w:rPr>
          <w:i/>
          <w:spacing w:val="-18"/>
        </w:rPr>
        <w:t> </w:t>
      </w:r>
      <w:r>
        <w:rPr>
          <w:i/>
        </w:rPr>
        <w:t>improve- </w:t>
      </w:r>
      <w:r>
        <w:rPr>
          <w:i/>
        </w:rPr>
        <w:t>ment'</w:t>
      </w:r>
      <w:r>
        <w:rPr>
          <w:i/>
          <w:spacing w:val="-10"/>
        </w:rPr>
        <w:t> </w:t>
      </w:r>
      <w:r>
        <w:rPr/>
        <w:t>and</w:t>
      </w:r>
      <w:r>
        <w:rPr>
          <w:spacing w:val="-10"/>
        </w:rPr>
        <w:t> </w:t>
      </w:r>
      <w:r>
        <w:rPr/>
        <w:t>the</w:t>
      </w:r>
      <w:r>
        <w:rPr>
          <w:spacing w:val="-10"/>
        </w:rPr>
        <w:t> </w:t>
      </w:r>
      <w:r>
        <w:rPr/>
        <w:t>director</w:t>
      </w:r>
      <w:r>
        <w:rPr>
          <w:spacing w:val="-10"/>
        </w:rPr>
        <w:t> </w:t>
      </w:r>
      <w:r>
        <w:rPr/>
        <w:t>of</w:t>
      </w:r>
      <w:r>
        <w:rPr>
          <w:spacing w:val="-10"/>
        </w:rPr>
        <w:t> </w:t>
      </w:r>
      <w:r>
        <w:rPr/>
        <w:t>the</w:t>
      </w:r>
      <w:r>
        <w:rPr>
          <w:spacing w:val="-10"/>
        </w:rPr>
        <w:t> </w:t>
      </w:r>
      <w:r>
        <w:rPr/>
        <w:t>study</w:t>
      </w:r>
      <w:r>
        <w:rPr>
          <w:spacing w:val="-11"/>
        </w:rPr>
        <w:t> </w:t>
      </w:r>
      <w:r>
        <w:rPr/>
        <w:t>believed</w:t>
      </w:r>
      <w:r>
        <w:rPr>
          <w:spacing w:val="-12"/>
        </w:rPr>
        <w:t> </w:t>
      </w:r>
      <w:r>
        <w:rPr/>
        <w:t>that</w:t>
      </w:r>
      <w:r>
        <w:rPr>
          <w:spacing w:val="-11"/>
        </w:rPr>
        <w:t> </w:t>
      </w:r>
      <w:r>
        <w:rPr/>
        <w:t>the</w:t>
      </w:r>
      <w:r>
        <w:rPr>
          <w:spacing w:val="-10"/>
        </w:rPr>
        <w:t> </w:t>
      </w:r>
      <w:r>
        <w:rPr/>
        <w:t>conclusion</w:t>
      </w:r>
      <w:r>
        <w:rPr>
          <w:spacing w:val="-10"/>
        </w:rPr>
        <w:t> </w:t>
      </w:r>
      <w:r>
        <w:rPr/>
        <w:t>was</w:t>
      </w:r>
      <w:r>
        <w:rPr>
          <w:spacing w:val="-10"/>
        </w:rPr>
        <w:t> </w:t>
      </w:r>
      <w:r>
        <w:rPr/>
        <w:t>that</w:t>
      </w:r>
      <w:r>
        <w:rPr>
          <w:spacing w:val="-11"/>
        </w:rPr>
        <w:t> </w:t>
      </w:r>
      <w:r>
        <w:rPr/>
        <w:t>silicon gel can, while considering the benefit-risk profile, be used without restriction for the effective treatment of thin hair.</w:t>
      </w:r>
    </w:p>
    <w:p>
      <w:pPr>
        <w:pStyle w:val="BodyText"/>
        <w:spacing w:line="276" w:lineRule="auto" w:before="240"/>
        <w:ind w:left="616" w:right="137"/>
        <w:jc w:val="both"/>
      </w:pPr>
      <w:r>
        <w:rPr/>
        <w:t>Another experiment, this time at the Karlsruhe Skin Clinic, even showed an increase</w:t>
      </w:r>
      <w:r>
        <w:rPr>
          <w:spacing w:val="-8"/>
        </w:rPr>
        <w:t> </w:t>
      </w:r>
      <w:r>
        <w:rPr/>
        <w:t>in</w:t>
      </w:r>
      <w:r>
        <w:rPr>
          <w:spacing w:val="-11"/>
        </w:rPr>
        <w:t> </w:t>
      </w:r>
      <w:r>
        <w:rPr/>
        <w:t>hair</w:t>
      </w:r>
      <w:r>
        <w:rPr>
          <w:spacing w:val="-8"/>
        </w:rPr>
        <w:t> </w:t>
      </w:r>
      <w:r>
        <w:rPr/>
        <w:t>thickness</w:t>
      </w:r>
      <w:r>
        <w:rPr>
          <w:spacing w:val="-8"/>
        </w:rPr>
        <w:t> </w:t>
      </w:r>
      <w:r>
        <w:rPr/>
        <w:t>of</w:t>
      </w:r>
      <w:r>
        <w:rPr>
          <w:spacing w:val="-10"/>
        </w:rPr>
        <w:t> </w:t>
      </w:r>
      <w:r>
        <w:rPr/>
        <w:t>16</w:t>
      </w:r>
      <w:r>
        <w:rPr>
          <w:spacing w:val="-11"/>
        </w:rPr>
        <w:t> </w:t>
      </w:r>
      <w:r>
        <w:rPr/>
        <w:t>%</w:t>
      </w:r>
      <w:r>
        <w:rPr>
          <w:spacing w:val="-10"/>
        </w:rPr>
        <w:t> </w:t>
      </w:r>
      <w:r>
        <w:rPr/>
        <w:t>after</w:t>
      </w:r>
      <w:r>
        <w:rPr>
          <w:spacing w:val="-9"/>
        </w:rPr>
        <w:t> </w:t>
      </w:r>
      <w:r>
        <w:rPr/>
        <w:t>six</w:t>
      </w:r>
      <w:r>
        <w:rPr>
          <w:spacing w:val="-9"/>
        </w:rPr>
        <w:t> </w:t>
      </w:r>
      <w:r>
        <w:rPr/>
        <w:t>months.</w:t>
      </w:r>
      <w:r>
        <w:rPr>
          <w:spacing w:val="-7"/>
        </w:rPr>
        <w:t> </w:t>
      </w:r>
      <w:r>
        <w:rPr/>
        <w:t>By</w:t>
      </w:r>
      <w:r>
        <w:rPr>
          <w:spacing w:val="-12"/>
        </w:rPr>
        <w:t> </w:t>
      </w:r>
      <w:r>
        <w:rPr/>
        <w:t>means</w:t>
      </w:r>
      <w:r>
        <w:rPr>
          <w:spacing w:val="-10"/>
        </w:rPr>
        <w:t> </w:t>
      </w:r>
      <w:r>
        <w:rPr/>
        <w:t>of</w:t>
      </w:r>
      <w:r>
        <w:rPr>
          <w:spacing w:val="-10"/>
        </w:rPr>
        <w:t> </w:t>
      </w:r>
      <w:r>
        <w:rPr/>
        <w:t>a</w:t>
      </w:r>
      <w:r>
        <w:rPr>
          <w:spacing w:val="-10"/>
        </w:rPr>
        <w:t> </w:t>
      </w:r>
      <w:r>
        <w:rPr/>
        <w:t>special</w:t>
      </w:r>
      <w:r>
        <w:rPr>
          <w:spacing w:val="-9"/>
        </w:rPr>
        <w:t> </w:t>
      </w:r>
      <w:r>
        <w:rPr/>
        <w:t>eval- uation scale, the subjects judged the quality of their hair to have improved by 30</w:t>
      </w:r>
      <w:r>
        <w:rPr>
          <w:spacing w:val="-2"/>
        </w:rPr>
        <w:t> </w:t>
      </w:r>
      <w:r>
        <w:rPr/>
        <w:t>%.</w:t>
      </w:r>
    </w:p>
    <w:p>
      <w:pPr>
        <w:pStyle w:val="Heading1"/>
        <w:spacing w:before="226"/>
        <w:ind w:left="616"/>
      </w:pPr>
      <w:r>
        <w:rPr/>
        <w:t>Silicon helps with insomnia, tinnitus and dizziness</w:t>
      </w:r>
    </w:p>
    <w:p>
      <w:pPr>
        <w:pStyle w:val="BodyText"/>
        <w:spacing w:line="276" w:lineRule="auto" w:before="297"/>
        <w:ind w:left="616" w:right="140"/>
        <w:jc w:val="both"/>
      </w:pPr>
      <w:r>
        <w:rPr/>
        <w:t>In human experiments, the scientist H. Gohr remedied insomnia, tinnitus</w:t>
      </w:r>
      <w:r>
        <w:rPr>
          <w:spacing w:val="-35"/>
        </w:rPr>
        <w:t> </w:t>
      </w:r>
      <w:r>
        <w:rPr/>
        <w:t>and dizzy spells with a daily administration of 30 ml of</w:t>
      </w:r>
      <w:r>
        <w:rPr>
          <w:spacing w:val="-8"/>
        </w:rPr>
        <w:t> </w:t>
      </w:r>
      <w:r>
        <w:rPr/>
        <w:t>silicon.</w:t>
      </w:r>
    </w:p>
    <w:p>
      <w:pPr>
        <w:pStyle w:val="Heading1"/>
        <w:ind w:left="616"/>
      </w:pPr>
      <w:r>
        <w:rPr/>
        <w:t>Silicon helps with osteoporosis</w:t>
      </w:r>
    </w:p>
    <w:p>
      <w:pPr>
        <w:pStyle w:val="BodyText"/>
        <w:spacing w:line="278" w:lineRule="auto" w:before="297"/>
        <w:ind w:left="616" w:right="140"/>
        <w:jc w:val="both"/>
        <w:rPr>
          <w:sz w:val="25"/>
        </w:rPr>
      </w:pPr>
      <w:r>
        <w:rPr/>
        <w:t>In studies, silicon consolidates bone structure and thus helps against osteopo- rosis.</w:t>
      </w:r>
      <w:r>
        <w:rPr>
          <w:position w:val="9"/>
          <w:sz w:val="25"/>
        </w:rPr>
        <w:t>841</w:t>
      </w:r>
    </w:p>
    <w:p>
      <w:pPr>
        <w:pStyle w:val="BodyText"/>
        <w:rPr>
          <w:sz w:val="20"/>
        </w:rPr>
      </w:pPr>
    </w:p>
    <w:p>
      <w:pPr>
        <w:pStyle w:val="BodyText"/>
        <w:rPr>
          <w:sz w:val="20"/>
        </w:rPr>
      </w:pPr>
    </w:p>
    <w:p>
      <w:pPr>
        <w:pStyle w:val="BodyText"/>
        <w:rPr>
          <w:sz w:val="29"/>
        </w:rPr>
      </w:pPr>
      <w:r>
        <w:rPr/>
        <w:pict>
          <v:line style="position:absolute;mso-position-horizontal-relative:page;mso-position-vertical-relative:paragraph;z-index:11528;mso-wrap-distance-left:0;mso-wrap-distance-right:0" from="70.823997pt,18.693766pt" to="214.843997pt,18.693766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841 </w:t>
      </w:r>
      <w:r>
        <w:rPr>
          <w:sz w:val="20"/>
        </w:rPr>
        <w:t>Eisinger und Clairet, 1993, Magnesium Research, 6, pp. 247-249.</w:t>
      </w:r>
    </w:p>
    <w:p>
      <w:pPr>
        <w:spacing w:after="0"/>
        <w:jc w:val="left"/>
        <w:rPr>
          <w:sz w:val="20"/>
        </w:rPr>
        <w:sectPr>
          <w:pgSz w:w="14270" w:h="16850"/>
          <w:pgMar w:header="0" w:footer="1891" w:top="1340" w:bottom="2080" w:left="800" w:right="1280"/>
        </w:sectPr>
      </w:pPr>
    </w:p>
    <w:p>
      <w:pPr>
        <w:pStyle w:val="BodyText"/>
        <w:rPr>
          <w:sz w:val="20"/>
        </w:rPr>
      </w:pPr>
    </w:p>
    <w:p>
      <w:pPr>
        <w:pStyle w:val="BodyText"/>
        <w:spacing w:before="2"/>
        <w:rPr>
          <w:sz w:val="18"/>
        </w:rPr>
      </w:pPr>
    </w:p>
    <w:p>
      <w:pPr>
        <w:pStyle w:val="Heading1"/>
        <w:spacing w:before="99"/>
        <w:ind w:left="616"/>
      </w:pPr>
      <w:r>
        <w:rPr/>
        <w:t>Silicon decreases blood pressure values in studies</w:t>
      </w:r>
    </w:p>
    <w:p>
      <w:pPr>
        <w:pStyle w:val="ListParagraph"/>
        <w:numPr>
          <w:ilvl w:val="0"/>
          <w:numId w:val="115"/>
        </w:numPr>
        <w:tabs>
          <w:tab w:pos="1108" w:val="left" w:leader="none"/>
        </w:tabs>
        <w:spacing w:line="278" w:lineRule="auto" w:before="297" w:after="0"/>
        <w:ind w:left="616" w:right="144" w:firstLine="0"/>
        <w:jc w:val="both"/>
        <w:rPr>
          <w:sz w:val="38"/>
        </w:rPr>
      </w:pPr>
      <w:r>
        <w:rPr>
          <w:sz w:val="38"/>
        </w:rPr>
        <w:t>Kohler was able to decrease the systolic blood pressure of three patients from 240 to 160 mmHg with colloidal</w:t>
      </w:r>
      <w:r>
        <w:rPr>
          <w:spacing w:val="-3"/>
          <w:sz w:val="38"/>
        </w:rPr>
        <w:t> </w:t>
      </w:r>
      <w:r>
        <w:rPr>
          <w:sz w:val="38"/>
        </w:rPr>
        <w:t>silicon.</w:t>
      </w:r>
    </w:p>
    <w:p>
      <w:pPr>
        <w:pStyle w:val="Heading1"/>
        <w:spacing w:before="215"/>
        <w:ind w:left="616"/>
      </w:pPr>
      <w:r>
        <w:rPr/>
        <w:t>Silicon protects against Alzheimer's</w:t>
      </w:r>
    </w:p>
    <w:p>
      <w:pPr>
        <w:pStyle w:val="BodyText"/>
        <w:spacing w:line="276" w:lineRule="auto" w:before="300"/>
        <w:ind w:left="616" w:right="135"/>
        <w:jc w:val="both"/>
        <w:rPr>
          <w:sz w:val="25"/>
        </w:rPr>
      </w:pPr>
      <w:r>
        <w:rPr/>
        <w:t>It is presumed that aluminium poisoning is the cause of Alzheimer's. Silicon protects the brain from aluminium poisoning.</w:t>
      </w:r>
      <w:r>
        <w:rPr>
          <w:position w:val="9"/>
          <w:sz w:val="25"/>
        </w:rPr>
        <w:t>842</w:t>
      </w:r>
    </w:p>
    <w:p>
      <w:pPr>
        <w:pStyle w:val="BodyText"/>
        <w:spacing w:line="276" w:lineRule="auto" w:before="241"/>
        <w:ind w:left="616" w:right="131"/>
        <w:jc w:val="both"/>
      </w:pPr>
      <w:r>
        <w:rPr/>
        <w:t>In another study led by the researcher Sophie Gillette-Guyonnet, the data of</w:t>
      </w:r>
      <w:r>
        <w:rPr>
          <w:spacing w:val="-60"/>
        </w:rPr>
        <w:t> </w:t>
      </w:r>
      <w:r>
        <w:rPr/>
        <w:t>a large long-term French experiment with over 7,500 participants in total over 75 years was evaluated.</w:t>
      </w:r>
    </w:p>
    <w:p>
      <w:pPr>
        <w:pStyle w:val="BodyText"/>
        <w:spacing w:line="276" w:lineRule="auto" w:before="239"/>
        <w:ind w:left="616" w:right="136"/>
        <w:jc w:val="both"/>
      </w:pPr>
      <w:r>
        <w:rPr/>
        <w:t>The researchers reached the conclusion that women with good to very good intellectual ability absorbed approx. 10 % more silica than those with inferior cognitive function.</w:t>
      </w:r>
    </w:p>
    <w:p>
      <w:pPr>
        <w:pStyle w:val="Heading1"/>
        <w:ind w:left="616"/>
      </w:pPr>
      <w:r>
        <w:rPr/>
        <w:t>Silicon gel counteracts gum bleeding and caries</w:t>
      </w:r>
    </w:p>
    <w:p>
      <w:pPr>
        <w:pStyle w:val="BodyText"/>
        <w:spacing w:line="276" w:lineRule="auto" w:before="299"/>
        <w:ind w:left="616" w:right="133"/>
        <w:jc w:val="both"/>
        <w:rPr>
          <w:sz w:val="25"/>
        </w:rPr>
      </w:pPr>
      <w:r>
        <w:rPr/>
        <w:t>In</w:t>
      </w:r>
      <w:r>
        <w:rPr>
          <w:spacing w:val="-9"/>
        </w:rPr>
        <w:t> </w:t>
      </w:r>
      <w:r>
        <w:rPr/>
        <w:t>a</w:t>
      </w:r>
      <w:r>
        <w:rPr>
          <w:spacing w:val="-10"/>
        </w:rPr>
        <w:t> </w:t>
      </w:r>
      <w:r>
        <w:rPr/>
        <w:t>study</w:t>
      </w:r>
      <w:r>
        <w:rPr>
          <w:spacing w:val="-10"/>
        </w:rPr>
        <w:t> </w:t>
      </w:r>
      <w:r>
        <w:rPr/>
        <w:t>on</w:t>
      </w:r>
      <w:r>
        <w:rPr>
          <w:spacing w:val="-8"/>
        </w:rPr>
        <w:t> </w:t>
      </w:r>
      <w:r>
        <w:rPr/>
        <w:t>43</w:t>
      </w:r>
      <w:r>
        <w:rPr>
          <w:spacing w:val="-12"/>
        </w:rPr>
        <w:t> </w:t>
      </w:r>
      <w:r>
        <w:rPr/>
        <w:t>patients</w:t>
      </w:r>
      <w:r>
        <w:rPr>
          <w:spacing w:val="-7"/>
        </w:rPr>
        <w:t> </w:t>
      </w:r>
      <w:r>
        <w:rPr/>
        <w:t>with</w:t>
      </w:r>
      <w:r>
        <w:rPr>
          <w:spacing w:val="-9"/>
        </w:rPr>
        <w:t> </w:t>
      </w:r>
      <w:r>
        <w:rPr/>
        <w:t>gum</w:t>
      </w:r>
      <w:r>
        <w:rPr>
          <w:spacing w:val="-8"/>
        </w:rPr>
        <w:t> </w:t>
      </w:r>
      <w:r>
        <w:rPr/>
        <w:t>inflammation,</w:t>
      </w:r>
      <w:r>
        <w:rPr>
          <w:spacing w:val="-7"/>
        </w:rPr>
        <w:t> </w:t>
      </w:r>
      <w:r>
        <w:rPr/>
        <w:t>the</w:t>
      </w:r>
      <w:r>
        <w:rPr>
          <w:spacing w:val="-8"/>
        </w:rPr>
        <w:t> </w:t>
      </w:r>
      <w:r>
        <w:rPr/>
        <w:t>silicon</w:t>
      </w:r>
      <w:r>
        <w:rPr>
          <w:spacing w:val="-8"/>
        </w:rPr>
        <w:t> </w:t>
      </w:r>
      <w:r>
        <w:rPr/>
        <w:t>researcher</w:t>
      </w:r>
      <w:r>
        <w:rPr>
          <w:spacing w:val="-9"/>
        </w:rPr>
        <w:t> </w:t>
      </w:r>
      <w:r>
        <w:rPr/>
        <w:t>Kober substantially reduced gum inflammation and caries with a silicon toothpaste after four to five days.</w:t>
      </w:r>
      <w:r>
        <w:rPr>
          <w:position w:val="9"/>
          <w:sz w:val="25"/>
        </w:rPr>
        <w:t>843</w:t>
      </w:r>
    </w:p>
    <w:p>
      <w:pPr>
        <w:pStyle w:val="Heading2"/>
        <w:spacing w:before="239"/>
        <w:ind w:left="616"/>
        <w:jc w:val="both"/>
      </w:pPr>
      <w:r>
        <w:rPr/>
        <w:t>Silicon and silica – the effect</w:t>
      </w:r>
    </w:p>
    <w:p>
      <w:pPr>
        <w:pStyle w:val="BodyText"/>
        <w:rPr>
          <w:b/>
          <w:sz w:val="20"/>
        </w:rPr>
      </w:pPr>
    </w:p>
    <w:p>
      <w:pPr>
        <w:pStyle w:val="BodyText"/>
        <w:rPr>
          <w:b/>
          <w:sz w:val="20"/>
        </w:rPr>
      </w:pPr>
    </w:p>
    <w:p>
      <w:pPr>
        <w:pStyle w:val="BodyText"/>
        <w:spacing w:before="7"/>
        <w:rPr>
          <w:b/>
          <w:sz w:val="18"/>
        </w:rPr>
      </w:pPr>
      <w:r>
        <w:rPr/>
        <w:pict>
          <v:line style="position:absolute;mso-position-horizontal-relative:page;mso-position-vertical-relative:paragraph;z-index:11552;mso-wrap-distance-left:0;mso-wrap-distance-right:0" from="70.823997pt,12.856235pt" to="214.843997pt,12.856235pt" stroked="true" strokeweight=".72003pt" strokecolor="#000000">
            <v:stroke dashstyle="solid"/>
            <w10:wrap type="topAndBottom"/>
          </v:line>
        </w:pict>
      </w:r>
    </w:p>
    <w:p>
      <w:pPr>
        <w:pStyle w:val="BodyText"/>
        <w:spacing w:before="7"/>
        <w:rPr>
          <w:b/>
          <w:sz w:val="18"/>
        </w:rPr>
      </w:pPr>
    </w:p>
    <w:p>
      <w:pPr>
        <w:spacing w:before="99"/>
        <w:ind w:left="616" w:right="0" w:firstLine="0"/>
        <w:jc w:val="left"/>
        <w:rPr>
          <w:sz w:val="20"/>
        </w:rPr>
      </w:pPr>
      <w:r>
        <w:rPr>
          <w:position w:val="5"/>
          <w:sz w:val="13"/>
        </w:rPr>
        <w:t>842 </w:t>
      </w:r>
      <w:r>
        <w:rPr>
          <w:sz w:val="20"/>
        </w:rPr>
        <w:t>Carlisle und Curran, 1987, Alzheimer's Disease and Associated Disorders, 1, pp. 83-89.</w:t>
      </w:r>
    </w:p>
    <w:p>
      <w:pPr>
        <w:spacing w:before="94"/>
        <w:ind w:left="616" w:right="0" w:firstLine="0"/>
        <w:jc w:val="left"/>
        <w:rPr>
          <w:sz w:val="20"/>
        </w:rPr>
      </w:pPr>
      <w:r>
        <w:rPr>
          <w:position w:val="5"/>
          <w:sz w:val="13"/>
        </w:rPr>
        <w:t>843 </w:t>
      </w:r>
      <w:r>
        <w:rPr>
          <w:sz w:val="20"/>
        </w:rPr>
        <w:t>Klaus Kaufmann: Silicium – Heilung durch Ursubstanz, ('Silicon – Healing by Original Substance'), January 1997, p. 48</w:t>
      </w:r>
    </w:p>
    <w:p>
      <w:pPr>
        <w:spacing w:after="0"/>
        <w:jc w:val="left"/>
        <w:rPr>
          <w:sz w:val="20"/>
        </w:rPr>
        <w:sectPr>
          <w:pgSz w:w="14270" w:h="16850"/>
          <w:pgMar w:header="0" w:footer="1891" w:top="1600" w:bottom="2080" w:left="800" w:right="1280"/>
        </w:sectPr>
      </w:pPr>
    </w:p>
    <w:p>
      <w:pPr>
        <w:pStyle w:val="BodyText"/>
        <w:spacing w:line="276" w:lineRule="auto" w:before="72"/>
        <w:ind w:left="616" w:right="139"/>
        <w:jc w:val="both"/>
      </w:pPr>
      <w:r>
        <w:rPr/>
        <w:t>The range of effects of silicon and/or silica is enormously broad. This is no wonder when we realise that silicon is present in almost all of our organs and that our organs can only fulfil their functions when they are administered a daily amount of 20-30 mg of silicic acid.</w:t>
      </w:r>
    </w:p>
    <w:p>
      <w:pPr>
        <w:pStyle w:val="Heading1"/>
        <w:ind w:left="616"/>
        <w:jc w:val="both"/>
      </w:pPr>
      <w:r>
        <w:rPr/>
        <w:t>General effects of silicon/silica on our</w:t>
      </w:r>
      <w:r>
        <w:rPr>
          <w:spacing w:val="-74"/>
        </w:rPr>
        <w:t> </w:t>
      </w:r>
      <w:r>
        <w:rPr/>
        <w:t>bodies</w:t>
      </w:r>
    </w:p>
    <w:p>
      <w:pPr>
        <w:pStyle w:val="ListParagraph"/>
        <w:numPr>
          <w:ilvl w:val="0"/>
          <w:numId w:val="116"/>
        </w:numPr>
        <w:tabs>
          <w:tab w:pos="1521" w:val="left" w:leader="none"/>
          <w:tab w:pos="1522" w:val="left" w:leader="none"/>
        </w:tabs>
        <w:spacing w:line="240" w:lineRule="auto" w:before="260" w:after="0"/>
        <w:ind w:left="1329" w:right="0" w:hanging="355"/>
        <w:jc w:val="left"/>
        <w:rPr>
          <w:sz w:val="38"/>
        </w:rPr>
      </w:pPr>
      <w:r>
        <w:rPr>
          <w:sz w:val="38"/>
        </w:rPr>
        <w:t>Strengthening of the immune system,</w:t>
      </w:r>
    </w:p>
    <w:p>
      <w:pPr>
        <w:pStyle w:val="ListParagraph"/>
        <w:numPr>
          <w:ilvl w:val="0"/>
          <w:numId w:val="116"/>
        </w:numPr>
        <w:tabs>
          <w:tab w:pos="1521" w:val="left" w:leader="none"/>
          <w:tab w:pos="1522" w:val="left" w:leader="none"/>
        </w:tabs>
        <w:spacing w:line="240" w:lineRule="auto" w:before="184" w:after="0"/>
        <w:ind w:left="1329" w:right="0" w:hanging="355"/>
        <w:jc w:val="left"/>
        <w:rPr>
          <w:sz w:val="38"/>
        </w:rPr>
      </w:pPr>
      <w:r>
        <w:rPr>
          <w:sz w:val="38"/>
        </w:rPr>
        <w:t>involvement in cell formation and activation of cell</w:t>
      </w:r>
      <w:r>
        <w:rPr>
          <w:spacing w:val="-9"/>
          <w:sz w:val="38"/>
        </w:rPr>
        <w:t> </w:t>
      </w:r>
      <w:r>
        <w:rPr>
          <w:sz w:val="38"/>
        </w:rPr>
        <w:t>metabolism,</w:t>
      </w:r>
    </w:p>
    <w:p>
      <w:pPr>
        <w:pStyle w:val="ListParagraph"/>
        <w:numPr>
          <w:ilvl w:val="0"/>
          <w:numId w:val="116"/>
        </w:numPr>
        <w:tabs>
          <w:tab w:pos="1521" w:val="left" w:leader="none"/>
          <w:tab w:pos="1522" w:val="left" w:leader="none"/>
        </w:tabs>
        <w:spacing w:line="240" w:lineRule="auto" w:before="184" w:after="0"/>
        <w:ind w:left="1329" w:right="0" w:hanging="355"/>
        <w:jc w:val="left"/>
        <w:rPr>
          <w:sz w:val="38"/>
        </w:rPr>
      </w:pPr>
      <w:r>
        <w:rPr>
          <w:sz w:val="38"/>
        </w:rPr>
        <w:t>development and reinforcement of the connective</w:t>
      </w:r>
      <w:r>
        <w:rPr>
          <w:spacing w:val="-4"/>
          <w:sz w:val="38"/>
        </w:rPr>
        <w:t> </w:t>
      </w:r>
      <w:r>
        <w:rPr>
          <w:sz w:val="38"/>
        </w:rPr>
        <w:t>tissue,</w:t>
      </w:r>
    </w:p>
    <w:p>
      <w:pPr>
        <w:pStyle w:val="ListParagraph"/>
        <w:numPr>
          <w:ilvl w:val="0"/>
          <w:numId w:val="116"/>
        </w:numPr>
        <w:tabs>
          <w:tab w:pos="1521" w:val="left" w:leader="none"/>
          <w:tab w:pos="1522" w:val="left" w:leader="none"/>
        </w:tabs>
        <w:spacing w:line="273" w:lineRule="auto" w:before="186" w:after="0"/>
        <w:ind w:left="1329" w:right="139" w:hanging="355"/>
        <w:jc w:val="left"/>
        <w:rPr>
          <w:sz w:val="38"/>
        </w:rPr>
      </w:pPr>
      <w:r>
        <w:rPr>
          <w:sz w:val="38"/>
        </w:rPr>
        <w:t>maintaining and increasing the elasticity of blood vessels as well as strengthening them,</w:t>
      </w:r>
    </w:p>
    <w:p>
      <w:pPr>
        <w:pStyle w:val="ListParagraph"/>
        <w:numPr>
          <w:ilvl w:val="0"/>
          <w:numId w:val="116"/>
        </w:numPr>
        <w:tabs>
          <w:tab w:pos="1521" w:val="left" w:leader="none"/>
          <w:tab w:pos="1522" w:val="left" w:leader="none"/>
        </w:tabs>
        <w:spacing w:line="240" w:lineRule="auto" w:before="127" w:after="0"/>
        <w:ind w:left="1329" w:right="0" w:hanging="355"/>
        <w:jc w:val="left"/>
        <w:rPr>
          <w:sz w:val="38"/>
        </w:rPr>
      </w:pPr>
      <w:r>
        <w:rPr>
          <w:sz w:val="38"/>
        </w:rPr>
        <w:t>inhibition of the ageing process in human body</w:t>
      </w:r>
      <w:r>
        <w:rPr>
          <w:spacing w:val="-5"/>
          <w:sz w:val="38"/>
        </w:rPr>
        <w:t> </w:t>
      </w:r>
      <w:r>
        <w:rPr>
          <w:sz w:val="38"/>
        </w:rPr>
        <w:t>tissue,</w:t>
      </w:r>
    </w:p>
    <w:p>
      <w:pPr>
        <w:pStyle w:val="ListParagraph"/>
        <w:numPr>
          <w:ilvl w:val="0"/>
          <w:numId w:val="116"/>
        </w:numPr>
        <w:tabs>
          <w:tab w:pos="1521" w:val="left" w:leader="none"/>
          <w:tab w:pos="1522" w:val="left" w:leader="none"/>
        </w:tabs>
        <w:spacing w:line="240" w:lineRule="auto" w:before="184" w:after="0"/>
        <w:ind w:left="1329" w:right="0" w:hanging="355"/>
        <w:jc w:val="left"/>
        <w:rPr>
          <w:sz w:val="38"/>
        </w:rPr>
      </w:pPr>
      <w:r>
        <w:rPr>
          <w:sz w:val="38"/>
        </w:rPr>
        <w:t>disinfectant,</w:t>
      </w:r>
    </w:p>
    <w:p>
      <w:pPr>
        <w:pStyle w:val="ListParagraph"/>
        <w:numPr>
          <w:ilvl w:val="0"/>
          <w:numId w:val="116"/>
        </w:numPr>
        <w:tabs>
          <w:tab w:pos="1521" w:val="left" w:leader="none"/>
          <w:tab w:pos="1522" w:val="left" w:leader="none"/>
        </w:tabs>
        <w:spacing w:line="240" w:lineRule="auto" w:before="184" w:after="0"/>
        <w:ind w:left="1329" w:right="0" w:hanging="355"/>
        <w:jc w:val="left"/>
        <w:rPr>
          <w:sz w:val="38"/>
        </w:rPr>
      </w:pPr>
      <w:r>
        <w:rPr>
          <w:sz w:val="38"/>
        </w:rPr>
        <w:t>anti-inflammatory.</w:t>
      </w:r>
    </w:p>
    <w:p>
      <w:pPr>
        <w:pStyle w:val="BodyText"/>
        <w:rPr>
          <w:sz w:val="44"/>
        </w:rPr>
      </w:pPr>
    </w:p>
    <w:p>
      <w:pPr>
        <w:pStyle w:val="BodyText"/>
        <w:spacing w:before="4"/>
        <w:rPr>
          <w:sz w:val="46"/>
        </w:rPr>
      </w:pPr>
    </w:p>
    <w:p>
      <w:pPr>
        <w:pStyle w:val="Heading1"/>
        <w:spacing w:before="0"/>
        <w:ind w:left="616"/>
        <w:jc w:val="both"/>
      </w:pPr>
      <w:r>
        <w:rPr/>
        <w:t>Strengthening of the immune system</w:t>
      </w:r>
    </w:p>
    <w:p>
      <w:pPr>
        <w:pStyle w:val="BodyText"/>
        <w:spacing w:line="276" w:lineRule="auto" w:before="299"/>
        <w:ind w:left="616" w:right="141"/>
        <w:jc w:val="both"/>
      </w:pPr>
      <w:r>
        <w:rPr/>
        <w:t>The immune system is a biological defence system in our bodies with the task of preventing tissue damage due to pathogens.</w:t>
      </w:r>
    </w:p>
    <w:p>
      <w:pPr>
        <w:pStyle w:val="BodyText"/>
        <w:spacing w:line="276" w:lineRule="auto" w:before="242"/>
        <w:ind w:left="616" w:right="135"/>
        <w:jc w:val="both"/>
      </w:pPr>
      <w:r>
        <w:rPr/>
        <w:t>In this process, the immune system acts against intruding microorganisms</w:t>
      </w:r>
      <w:r>
        <w:rPr>
          <w:spacing w:val="-52"/>
        </w:rPr>
        <w:t> </w:t>
      </w:r>
      <w:r>
        <w:rPr/>
        <w:t>like bacteria, viruses and fungi, but also has the function of removing foreign sub-</w:t>
      </w:r>
    </w:p>
    <w:p>
      <w:pPr>
        <w:spacing w:after="0" w:line="276" w:lineRule="auto"/>
        <w:jc w:val="both"/>
        <w:sectPr>
          <w:footerReference w:type="default" r:id="rId354"/>
          <w:pgSz w:w="14270" w:h="16850"/>
          <w:pgMar w:footer="1891" w:header="0" w:top="1340" w:bottom="2080" w:left="800" w:right="1280"/>
          <w:pgNumType w:start="1470"/>
        </w:sectPr>
      </w:pPr>
    </w:p>
    <w:p>
      <w:pPr>
        <w:pStyle w:val="BodyText"/>
        <w:spacing w:line="276" w:lineRule="auto" w:before="72"/>
        <w:ind w:left="616" w:right="130"/>
        <w:jc w:val="both"/>
      </w:pPr>
      <w:r>
        <w:rPr/>
        <w:t>stances and also destroying the body's own mutated cells. Whenever the im- mune</w:t>
      </w:r>
      <w:r>
        <w:rPr>
          <w:spacing w:val="-16"/>
        </w:rPr>
        <w:t> </w:t>
      </w:r>
      <w:r>
        <w:rPr/>
        <w:t>system</w:t>
      </w:r>
      <w:r>
        <w:rPr>
          <w:spacing w:val="-19"/>
        </w:rPr>
        <w:t> </w:t>
      </w:r>
      <w:r>
        <w:rPr/>
        <w:t>is</w:t>
      </w:r>
      <w:r>
        <w:rPr>
          <w:spacing w:val="-18"/>
        </w:rPr>
        <w:t> </w:t>
      </w:r>
      <w:r>
        <w:rPr/>
        <w:t>attacked,</w:t>
      </w:r>
      <w:r>
        <w:rPr>
          <w:spacing w:val="-16"/>
        </w:rPr>
        <w:t> </w:t>
      </w:r>
      <w:r>
        <w:rPr/>
        <w:t>we</w:t>
      </w:r>
      <w:r>
        <w:rPr>
          <w:spacing w:val="-16"/>
        </w:rPr>
        <w:t> </w:t>
      </w:r>
      <w:r>
        <w:rPr/>
        <w:t>become</w:t>
      </w:r>
      <w:r>
        <w:rPr>
          <w:spacing w:val="-17"/>
        </w:rPr>
        <w:t> </w:t>
      </w:r>
      <w:r>
        <w:rPr/>
        <w:t>susceptible</w:t>
      </w:r>
      <w:r>
        <w:rPr>
          <w:spacing w:val="-18"/>
        </w:rPr>
        <w:t> </w:t>
      </w:r>
      <w:r>
        <w:rPr/>
        <w:t>to</w:t>
      </w:r>
      <w:r>
        <w:rPr>
          <w:spacing w:val="-16"/>
        </w:rPr>
        <w:t> </w:t>
      </w:r>
      <w:r>
        <w:rPr/>
        <w:t>all</w:t>
      </w:r>
      <w:r>
        <w:rPr>
          <w:spacing w:val="-18"/>
        </w:rPr>
        <w:t> </w:t>
      </w:r>
      <w:r>
        <w:rPr/>
        <w:t>variety</w:t>
      </w:r>
      <w:r>
        <w:rPr>
          <w:spacing w:val="-16"/>
        </w:rPr>
        <w:t> </w:t>
      </w:r>
      <w:r>
        <w:rPr/>
        <w:t>of</w:t>
      </w:r>
      <w:r>
        <w:rPr>
          <w:spacing w:val="-19"/>
        </w:rPr>
        <w:t> </w:t>
      </w:r>
      <w:r>
        <w:rPr/>
        <w:t>illnesses.</w:t>
      </w:r>
      <w:r>
        <w:rPr>
          <w:spacing w:val="-16"/>
        </w:rPr>
        <w:t> </w:t>
      </w:r>
      <w:r>
        <w:rPr/>
        <w:t>Con- versely, illness can only be tackled with the help of a strong immune</w:t>
      </w:r>
      <w:r>
        <w:rPr>
          <w:spacing w:val="-21"/>
        </w:rPr>
        <w:t> </w:t>
      </w:r>
      <w:r>
        <w:rPr/>
        <w:t>system.</w:t>
      </w:r>
    </w:p>
    <w:p>
      <w:pPr>
        <w:pStyle w:val="Heading1"/>
        <w:ind w:left="616"/>
      </w:pPr>
      <w:r>
        <w:rPr/>
        <w:t>Effect of silicon on immune</w:t>
      </w:r>
      <w:r>
        <w:rPr>
          <w:spacing w:val="-52"/>
        </w:rPr>
        <w:t> </w:t>
      </w:r>
      <w:r>
        <w:rPr/>
        <w:t>system</w:t>
      </w:r>
    </w:p>
    <w:p>
      <w:pPr>
        <w:pStyle w:val="BodyText"/>
        <w:spacing w:line="276" w:lineRule="auto" w:before="299"/>
        <w:ind w:left="616" w:right="134"/>
        <w:jc w:val="both"/>
      </w:pPr>
      <w:r>
        <w:rPr/>
        <w:t>The immune system-strengthening effect of silicon is based on several mech- anisms:</w:t>
      </w:r>
      <w:r>
        <w:rPr>
          <w:spacing w:val="-14"/>
        </w:rPr>
        <w:t> </w:t>
      </w:r>
      <w:r>
        <w:rPr/>
        <w:t>For</w:t>
      </w:r>
      <w:r>
        <w:rPr>
          <w:spacing w:val="-13"/>
        </w:rPr>
        <w:t> </w:t>
      </w:r>
      <w:r>
        <w:rPr/>
        <w:t>one,</w:t>
      </w:r>
      <w:r>
        <w:rPr>
          <w:spacing w:val="-16"/>
        </w:rPr>
        <w:t> </w:t>
      </w:r>
      <w:r>
        <w:rPr/>
        <w:t>it</w:t>
      </w:r>
      <w:r>
        <w:rPr>
          <w:spacing w:val="-16"/>
        </w:rPr>
        <w:t> </w:t>
      </w:r>
      <w:r>
        <w:rPr/>
        <w:t>strengthens</w:t>
      </w:r>
      <w:r>
        <w:rPr>
          <w:spacing w:val="-13"/>
        </w:rPr>
        <w:t> </w:t>
      </w:r>
      <w:r>
        <w:rPr/>
        <w:t>the</w:t>
      </w:r>
      <w:r>
        <w:rPr>
          <w:spacing w:val="-15"/>
        </w:rPr>
        <w:t> </w:t>
      </w:r>
      <w:r>
        <w:rPr/>
        <w:t>body's</w:t>
      </w:r>
      <w:r>
        <w:rPr>
          <w:spacing w:val="-14"/>
        </w:rPr>
        <w:t> </w:t>
      </w:r>
      <w:r>
        <w:rPr/>
        <w:t>own</w:t>
      </w:r>
      <w:r>
        <w:rPr>
          <w:spacing w:val="-14"/>
        </w:rPr>
        <w:t> </w:t>
      </w:r>
      <w:r>
        <w:rPr/>
        <w:t>defence</w:t>
      </w:r>
      <w:r>
        <w:rPr>
          <w:spacing w:val="-15"/>
        </w:rPr>
        <w:t> </w:t>
      </w:r>
      <w:r>
        <w:rPr/>
        <w:t>cells</w:t>
      </w:r>
      <w:r>
        <w:rPr>
          <w:spacing w:val="-14"/>
        </w:rPr>
        <w:t> </w:t>
      </w:r>
      <w:r>
        <w:rPr/>
        <w:t>and</w:t>
      </w:r>
      <w:r>
        <w:rPr>
          <w:spacing w:val="-14"/>
        </w:rPr>
        <w:t> </w:t>
      </w:r>
      <w:r>
        <w:rPr/>
        <w:t>stimulates</w:t>
      </w:r>
      <w:r>
        <w:rPr>
          <w:spacing w:val="-15"/>
        </w:rPr>
        <w:t> </w:t>
      </w:r>
      <w:r>
        <w:rPr/>
        <w:t>the reproduction of lymphocytes (white blood cells) and phagocytes in </w:t>
      </w:r>
      <w:r>
        <w:rPr>
          <w:spacing w:val="3"/>
        </w:rPr>
        <w:t>the </w:t>
      </w:r>
      <w:r>
        <w:rPr/>
        <w:t>spleen and lymphatic system, which is to say the scavenger cells which fight, for ex- ample,</w:t>
      </w:r>
      <w:r>
        <w:rPr>
          <w:spacing w:val="-12"/>
        </w:rPr>
        <w:t> </w:t>
      </w:r>
      <w:r>
        <w:rPr/>
        <w:t>against</w:t>
      </w:r>
      <w:r>
        <w:rPr>
          <w:spacing w:val="-12"/>
        </w:rPr>
        <w:t> </w:t>
      </w:r>
      <w:r>
        <w:rPr/>
        <w:t>carcinomas</w:t>
      </w:r>
      <w:r>
        <w:rPr>
          <w:spacing w:val="-12"/>
        </w:rPr>
        <w:t> </w:t>
      </w:r>
      <w:r>
        <w:rPr/>
        <w:t>and</w:t>
      </w:r>
      <w:r>
        <w:rPr>
          <w:spacing w:val="-12"/>
        </w:rPr>
        <w:t> </w:t>
      </w:r>
      <w:r>
        <w:rPr/>
        <w:t>sarcomas</w:t>
      </w:r>
      <w:r>
        <w:rPr>
          <w:spacing w:val="-11"/>
        </w:rPr>
        <w:t> </w:t>
      </w:r>
      <w:r>
        <w:rPr/>
        <w:t>and</w:t>
      </w:r>
      <w:r>
        <w:rPr>
          <w:spacing w:val="-11"/>
        </w:rPr>
        <w:t> </w:t>
      </w:r>
      <w:r>
        <w:rPr/>
        <w:t>thus</w:t>
      </w:r>
      <w:r>
        <w:rPr>
          <w:spacing w:val="-12"/>
        </w:rPr>
        <w:t> </w:t>
      </w:r>
      <w:r>
        <w:rPr/>
        <w:t>against</w:t>
      </w:r>
      <w:r>
        <w:rPr>
          <w:spacing w:val="-12"/>
        </w:rPr>
        <w:t> </w:t>
      </w:r>
      <w:r>
        <w:rPr/>
        <w:t>cancer.</w:t>
      </w:r>
      <w:r>
        <w:rPr>
          <w:spacing w:val="-13"/>
        </w:rPr>
        <w:t> </w:t>
      </w:r>
      <w:r>
        <w:rPr/>
        <w:t>On</w:t>
      </w:r>
      <w:r>
        <w:rPr>
          <w:spacing w:val="-12"/>
        </w:rPr>
        <w:t> </w:t>
      </w:r>
      <w:r>
        <w:rPr/>
        <w:t>the</w:t>
      </w:r>
      <w:r>
        <w:rPr>
          <w:spacing w:val="-12"/>
        </w:rPr>
        <w:t> </w:t>
      </w:r>
      <w:r>
        <w:rPr/>
        <w:t>other hand, it binds harmful substances and in doing so directly supports the im- mune system in its</w:t>
      </w:r>
      <w:r>
        <w:rPr>
          <w:spacing w:val="1"/>
        </w:rPr>
        <w:t> </w:t>
      </w:r>
      <w:r>
        <w:rPr/>
        <w:t>work.</w:t>
      </w:r>
    </w:p>
    <w:p>
      <w:pPr>
        <w:pStyle w:val="Heading1"/>
        <w:spacing w:before="226"/>
        <w:ind w:left="616"/>
      </w:pPr>
      <w:r>
        <w:rPr/>
        <w:t>Cell formation and cell metabolism</w:t>
      </w:r>
    </w:p>
    <w:p>
      <w:pPr>
        <w:pStyle w:val="BodyText"/>
        <w:spacing w:line="276" w:lineRule="auto" w:before="297"/>
        <w:ind w:left="616" w:right="133"/>
        <w:jc w:val="both"/>
      </w:pPr>
      <w:r>
        <w:rPr/>
        <w:t>Silicon is an elementary component of every cell and has been proven to acti- vate cell metabolism as well as cell formation.</w:t>
      </w:r>
    </w:p>
    <w:p>
      <w:pPr>
        <w:pStyle w:val="BodyText"/>
        <w:rPr>
          <w:sz w:val="42"/>
        </w:rPr>
      </w:pPr>
    </w:p>
    <w:p>
      <w:pPr>
        <w:pStyle w:val="BodyText"/>
        <w:spacing w:before="8"/>
        <w:rPr>
          <w:sz w:val="42"/>
        </w:rPr>
      </w:pPr>
    </w:p>
    <w:p>
      <w:pPr>
        <w:pStyle w:val="Heading1"/>
        <w:spacing w:before="0"/>
        <w:ind w:left="616"/>
      </w:pPr>
      <w:r>
        <w:rPr/>
        <w:t>Formation and strengthening of skin and connective tissue</w:t>
      </w:r>
    </w:p>
    <w:p>
      <w:pPr>
        <w:pStyle w:val="BodyText"/>
        <w:spacing w:line="276" w:lineRule="auto" w:before="300"/>
        <w:ind w:left="616" w:right="134"/>
        <w:jc w:val="both"/>
      </w:pPr>
      <w:r>
        <w:rPr/>
        <w:t>Our</w:t>
      </w:r>
      <w:r>
        <w:rPr>
          <w:spacing w:val="-15"/>
        </w:rPr>
        <w:t> </w:t>
      </w:r>
      <w:r>
        <w:rPr/>
        <w:t>connective</w:t>
      </w:r>
      <w:r>
        <w:rPr>
          <w:spacing w:val="-15"/>
        </w:rPr>
        <w:t> </w:t>
      </w:r>
      <w:r>
        <w:rPr/>
        <w:t>tissues,</w:t>
      </w:r>
      <w:r>
        <w:rPr>
          <w:spacing w:val="-13"/>
        </w:rPr>
        <w:t> </w:t>
      </w:r>
      <w:r>
        <w:rPr/>
        <w:t>i.e.</w:t>
      </w:r>
      <w:r>
        <w:rPr>
          <w:spacing w:val="-15"/>
        </w:rPr>
        <w:t> </w:t>
      </w:r>
      <w:r>
        <w:rPr/>
        <w:t>skin,</w:t>
      </w:r>
      <w:r>
        <w:rPr>
          <w:spacing w:val="-15"/>
        </w:rPr>
        <w:t> </w:t>
      </w:r>
      <w:r>
        <w:rPr/>
        <w:t>tendons,</w:t>
      </w:r>
      <w:r>
        <w:rPr>
          <w:spacing w:val="-13"/>
        </w:rPr>
        <w:t> </w:t>
      </w:r>
      <w:r>
        <w:rPr/>
        <w:t>ligaments,</w:t>
      </w:r>
      <w:r>
        <w:rPr>
          <w:spacing w:val="-14"/>
        </w:rPr>
        <w:t> </w:t>
      </w:r>
      <w:r>
        <w:rPr/>
        <w:t>joints</w:t>
      </w:r>
      <w:r>
        <w:rPr>
          <w:spacing w:val="-14"/>
        </w:rPr>
        <w:t> </w:t>
      </w:r>
      <w:r>
        <w:rPr/>
        <w:t>and</w:t>
      </w:r>
      <w:r>
        <w:rPr>
          <w:spacing w:val="-16"/>
        </w:rPr>
        <w:t> </w:t>
      </w:r>
      <w:r>
        <w:rPr/>
        <w:t>spinal</w:t>
      </w:r>
      <w:r>
        <w:rPr>
          <w:spacing w:val="-16"/>
        </w:rPr>
        <w:t> </w:t>
      </w:r>
      <w:r>
        <w:rPr/>
        <w:t>discs,</w:t>
      </w:r>
      <w:r>
        <w:rPr>
          <w:spacing w:val="-13"/>
        </w:rPr>
        <w:t> </w:t>
      </w:r>
      <w:r>
        <w:rPr/>
        <w:t>are composed of protein molecules; connective tissue in fact makes up the</w:t>
      </w:r>
      <w:r>
        <w:rPr>
          <w:spacing w:val="-61"/>
        </w:rPr>
        <w:t> </w:t>
      </w:r>
      <w:r>
        <w:rPr/>
        <w:t>major- ity of our bodies. Silicon is an important component of our connective tissue. It</w:t>
      </w:r>
      <w:r>
        <w:rPr>
          <w:spacing w:val="9"/>
        </w:rPr>
        <w:t> </w:t>
      </w:r>
      <w:r>
        <w:rPr/>
        <w:t>is</w:t>
      </w:r>
      <w:r>
        <w:rPr>
          <w:spacing w:val="11"/>
        </w:rPr>
        <w:t> </w:t>
      </w:r>
      <w:r>
        <w:rPr/>
        <w:t>located</w:t>
      </w:r>
      <w:r>
        <w:rPr>
          <w:spacing w:val="10"/>
        </w:rPr>
        <w:t> </w:t>
      </w:r>
      <w:r>
        <w:rPr/>
        <w:t>in</w:t>
      </w:r>
      <w:r>
        <w:rPr>
          <w:spacing w:val="8"/>
        </w:rPr>
        <w:t> </w:t>
      </w:r>
      <w:r>
        <w:rPr/>
        <w:t>both</w:t>
      </w:r>
      <w:r>
        <w:rPr>
          <w:spacing w:val="11"/>
        </w:rPr>
        <w:t> </w:t>
      </w:r>
      <w:r>
        <w:rPr/>
        <w:t>the</w:t>
      </w:r>
      <w:r>
        <w:rPr>
          <w:spacing w:val="8"/>
        </w:rPr>
        <w:t> </w:t>
      </w:r>
      <w:r>
        <w:rPr/>
        <w:t>fluid</w:t>
      </w:r>
      <w:r>
        <w:rPr>
          <w:spacing w:val="10"/>
        </w:rPr>
        <w:t> </w:t>
      </w:r>
      <w:r>
        <w:rPr/>
        <w:t>base</w:t>
      </w:r>
      <w:r>
        <w:rPr>
          <w:spacing w:val="11"/>
        </w:rPr>
        <w:t> </w:t>
      </w:r>
      <w:r>
        <w:rPr/>
        <w:t>substance</w:t>
      </w:r>
      <w:r>
        <w:rPr>
          <w:spacing w:val="10"/>
        </w:rPr>
        <w:t> </w:t>
      </w:r>
      <w:r>
        <w:rPr/>
        <w:t>and</w:t>
      </w:r>
      <w:r>
        <w:rPr>
          <w:spacing w:val="6"/>
        </w:rPr>
        <w:t> </w:t>
      </w:r>
      <w:r>
        <w:rPr/>
        <w:t>the</w:t>
      </w:r>
      <w:r>
        <w:rPr>
          <w:spacing w:val="11"/>
        </w:rPr>
        <w:t> </w:t>
      </w:r>
      <w:r>
        <w:rPr/>
        <w:t>individual</w:t>
      </w:r>
      <w:r>
        <w:rPr>
          <w:spacing w:val="8"/>
        </w:rPr>
        <w:t> </w:t>
      </w:r>
      <w:r>
        <w:rPr/>
        <w:t>protein</w:t>
      </w:r>
      <w:r>
        <w:rPr>
          <w:spacing w:val="11"/>
        </w:rPr>
        <w:t> </w:t>
      </w:r>
      <w:r>
        <w:rPr/>
        <w:t>fibres</w:t>
      </w:r>
    </w:p>
    <w:p>
      <w:pPr>
        <w:spacing w:after="0" w:line="276" w:lineRule="auto"/>
        <w:jc w:val="both"/>
        <w:sectPr>
          <w:pgSz w:w="14270" w:h="16850"/>
          <w:pgMar w:header="0" w:footer="1891" w:top="1340" w:bottom="2080" w:left="800" w:right="1280"/>
        </w:sectPr>
      </w:pPr>
    </w:p>
    <w:p>
      <w:pPr>
        <w:pStyle w:val="BodyText"/>
        <w:spacing w:line="276" w:lineRule="auto" w:before="72"/>
        <w:ind w:left="616" w:right="135"/>
        <w:jc w:val="both"/>
      </w:pPr>
      <w:r>
        <w:rPr/>
        <w:t>of the connective tissue and it activates the metabolism of our connective tis- sue</w:t>
      </w:r>
      <w:r>
        <w:rPr>
          <w:spacing w:val="-6"/>
        </w:rPr>
        <w:t> </w:t>
      </w:r>
      <w:r>
        <w:rPr/>
        <w:t>and</w:t>
      </w:r>
      <w:r>
        <w:rPr>
          <w:spacing w:val="-5"/>
        </w:rPr>
        <w:t> </w:t>
      </w:r>
      <w:r>
        <w:rPr/>
        <w:t>stabilises</w:t>
      </w:r>
      <w:r>
        <w:rPr>
          <w:spacing w:val="-5"/>
        </w:rPr>
        <w:t> </w:t>
      </w:r>
      <w:r>
        <w:rPr/>
        <w:t>it.</w:t>
      </w:r>
      <w:r>
        <w:rPr>
          <w:spacing w:val="-5"/>
        </w:rPr>
        <w:t> </w:t>
      </w:r>
      <w:r>
        <w:rPr/>
        <w:t>Silicon</w:t>
      </w:r>
      <w:r>
        <w:rPr>
          <w:spacing w:val="-5"/>
        </w:rPr>
        <w:t> </w:t>
      </w:r>
      <w:r>
        <w:rPr/>
        <w:t>is</w:t>
      </w:r>
      <w:r>
        <w:rPr>
          <w:spacing w:val="-5"/>
        </w:rPr>
        <w:t> </w:t>
      </w:r>
      <w:r>
        <w:rPr/>
        <w:t>known</w:t>
      </w:r>
      <w:r>
        <w:rPr>
          <w:spacing w:val="-6"/>
        </w:rPr>
        <w:t> </w:t>
      </w:r>
      <w:r>
        <w:rPr/>
        <w:t>to</w:t>
      </w:r>
      <w:r>
        <w:rPr>
          <w:spacing w:val="-4"/>
        </w:rPr>
        <w:t> </w:t>
      </w:r>
      <w:r>
        <w:rPr/>
        <w:t>be</w:t>
      </w:r>
      <w:r>
        <w:rPr>
          <w:spacing w:val="-5"/>
        </w:rPr>
        <w:t> </w:t>
      </w:r>
      <w:r>
        <w:rPr/>
        <w:t>a</w:t>
      </w:r>
      <w:r>
        <w:rPr>
          <w:spacing w:val="-6"/>
        </w:rPr>
        <w:t> </w:t>
      </w:r>
      <w:r>
        <w:rPr/>
        <w:t>'bridge</w:t>
      </w:r>
      <w:r>
        <w:rPr>
          <w:spacing w:val="-5"/>
        </w:rPr>
        <w:t> </w:t>
      </w:r>
      <w:r>
        <w:rPr/>
        <w:t>element'</w:t>
      </w:r>
      <w:r>
        <w:rPr>
          <w:spacing w:val="-6"/>
        </w:rPr>
        <w:t> </w:t>
      </w:r>
      <w:r>
        <w:rPr/>
        <w:t>for</w:t>
      </w:r>
      <w:r>
        <w:rPr>
          <w:spacing w:val="-3"/>
        </w:rPr>
        <w:t> </w:t>
      </w:r>
      <w:r>
        <w:rPr/>
        <w:t>the</w:t>
      </w:r>
      <w:r>
        <w:rPr>
          <w:spacing w:val="-5"/>
        </w:rPr>
        <w:t> </w:t>
      </w:r>
      <w:r>
        <w:rPr/>
        <w:t>four</w:t>
      </w:r>
      <w:r>
        <w:rPr>
          <w:spacing w:val="-4"/>
        </w:rPr>
        <w:t> </w:t>
      </w:r>
      <w:r>
        <w:rPr/>
        <w:t>con- stituent macromolecules in the connective tissue of our skin. It gives the skin its mechanical properties. Silicon reorganises our skin structure by causing a volume increase to the skin recesses between the glycoproteins via siloxane bonds.</w:t>
      </w:r>
    </w:p>
    <w:p>
      <w:pPr>
        <w:pStyle w:val="BodyText"/>
        <w:spacing w:line="276" w:lineRule="auto" w:before="242"/>
        <w:ind w:left="616" w:right="133"/>
        <w:jc w:val="both"/>
      </w:pPr>
      <w:r>
        <w:rPr/>
        <w:t>While we generally associate connective tissue weakness with external factors like wrinkled skin, cellulitis or varicose veins, the inner damage due to weak connective tissue is omnipresent and thus notably greater. Among these con- ditions are hardening of the arteries, joint pain, bronchial problems and much more.</w:t>
      </w:r>
    </w:p>
    <w:p>
      <w:pPr>
        <w:pStyle w:val="Heading1"/>
        <w:spacing w:before="223"/>
        <w:ind w:left="616"/>
        <w:jc w:val="both"/>
      </w:pPr>
      <w:r>
        <w:rPr/>
        <w:t>Silicon/silica enables rejuvenation of the skin and connective tissue</w:t>
      </w:r>
    </w:p>
    <w:p>
      <w:pPr>
        <w:pStyle w:val="BodyText"/>
        <w:spacing w:line="276" w:lineRule="auto" w:before="299"/>
        <w:ind w:left="616" w:right="131"/>
        <w:jc w:val="both"/>
      </w:pPr>
      <w:r>
        <w:rPr/>
        <w:t>Experiments have shown that silicon can not only slow the ageing process, it can even enable rejuvenation! With the regular consumption of silica, even at an advanced age, you can not only slow further ageing—you can also rejuve- nate your skin in a way that is visible to everyone.</w:t>
      </w:r>
    </w:p>
    <w:p>
      <w:pPr>
        <w:pStyle w:val="BodyText"/>
        <w:spacing w:line="276" w:lineRule="auto" w:before="240"/>
        <w:ind w:left="616" w:right="131"/>
        <w:jc w:val="both"/>
      </w:pPr>
      <w:r>
        <w:rPr/>
        <w:t>The skin contains sugar components that bond with protein and form a net that enables the skin to preserve water. The ability to bind this water to itself is</w:t>
      </w:r>
      <w:r>
        <w:rPr>
          <w:spacing w:val="-10"/>
        </w:rPr>
        <w:t> </w:t>
      </w:r>
      <w:r>
        <w:rPr/>
        <w:t>supported</w:t>
      </w:r>
      <w:r>
        <w:rPr>
          <w:spacing w:val="-9"/>
        </w:rPr>
        <w:t> </w:t>
      </w:r>
      <w:r>
        <w:rPr/>
        <w:t>by</w:t>
      </w:r>
      <w:r>
        <w:rPr>
          <w:spacing w:val="-11"/>
        </w:rPr>
        <w:t> </w:t>
      </w:r>
      <w:r>
        <w:rPr/>
        <w:t>hyaluronic</w:t>
      </w:r>
      <w:r>
        <w:rPr>
          <w:spacing w:val="-10"/>
        </w:rPr>
        <w:t> </w:t>
      </w:r>
      <w:r>
        <w:rPr/>
        <w:t>acid</w:t>
      </w:r>
      <w:r>
        <w:rPr>
          <w:spacing w:val="-8"/>
        </w:rPr>
        <w:t> </w:t>
      </w:r>
      <w:r>
        <w:rPr/>
        <w:t>and</w:t>
      </w:r>
      <w:r>
        <w:rPr>
          <w:spacing w:val="-9"/>
        </w:rPr>
        <w:t> </w:t>
      </w:r>
      <w:r>
        <w:rPr/>
        <w:t>especially</w:t>
      </w:r>
      <w:r>
        <w:rPr>
          <w:spacing w:val="-11"/>
        </w:rPr>
        <w:t> </w:t>
      </w:r>
      <w:r>
        <w:rPr/>
        <w:t>by</w:t>
      </w:r>
      <w:r>
        <w:rPr>
          <w:spacing w:val="-9"/>
        </w:rPr>
        <w:t> </w:t>
      </w:r>
      <w:r>
        <w:rPr/>
        <w:t>silicon.</w:t>
      </w:r>
      <w:r>
        <w:rPr>
          <w:spacing w:val="-8"/>
        </w:rPr>
        <w:t> </w:t>
      </w:r>
      <w:r>
        <w:rPr/>
        <w:t>This</w:t>
      </w:r>
      <w:r>
        <w:rPr>
          <w:spacing w:val="-9"/>
        </w:rPr>
        <w:t> </w:t>
      </w:r>
      <w:r>
        <w:rPr/>
        <w:t>ability</w:t>
      </w:r>
      <w:r>
        <w:rPr>
          <w:spacing w:val="-11"/>
        </w:rPr>
        <w:t> </w:t>
      </w:r>
      <w:r>
        <w:rPr/>
        <w:t>keeps</w:t>
      </w:r>
      <w:r>
        <w:rPr>
          <w:spacing w:val="-9"/>
        </w:rPr>
        <w:t> </w:t>
      </w:r>
      <w:r>
        <w:rPr/>
        <w:t>our skin young and wrinkle-free, while silicon content continually decreases with age</w:t>
      </w:r>
      <w:r>
        <w:rPr>
          <w:spacing w:val="-14"/>
        </w:rPr>
        <w:t> </w:t>
      </w:r>
      <w:r>
        <w:rPr/>
        <w:t>and</w:t>
      </w:r>
      <w:r>
        <w:rPr>
          <w:spacing w:val="-14"/>
        </w:rPr>
        <w:t> </w:t>
      </w:r>
      <w:r>
        <w:rPr/>
        <w:t>the</w:t>
      </w:r>
      <w:r>
        <w:rPr>
          <w:spacing w:val="-16"/>
        </w:rPr>
        <w:t> </w:t>
      </w:r>
      <w:r>
        <w:rPr/>
        <w:t>skin</w:t>
      </w:r>
      <w:r>
        <w:rPr>
          <w:spacing w:val="-16"/>
        </w:rPr>
        <w:t> </w:t>
      </w:r>
      <w:r>
        <w:rPr/>
        <w:t>becomes</w:t>
      </w:r>
      <w:r>
        <w:rPr>
          <w:spacing w:val="-13"/>
        </w:rPr>
        <w:t> </w:t>
      </w:r>
      <w:r>
        <w:rPr/>
        <w:t>old</w:t>
      </w:r>
      <w:r>
        <w:rPr>
          <w:spacing w:val="-14"/>
        </w:rPr>
        <w:t> </w:t>
      </w:r>
      <w:r>
        <w:rPr/>
        <w:t>and</w:t>
      </w:r>
      <w:r>
        <w:rPr>
          <w:spacing w:val="-14"/>
        </w:rPr>
        <w:t> </w:t>
      </w:r>
      <w:r>
        <w:rPr/>
        <w:t>wrinkly.</w:t>
      </w:r>
      <w:r>
        <w:rPr>
          <w:spacing w:val="-13"/>
        </w:rPr>
        <w:t> </w:t>
      </w:r>
      <w:r>
        <w:rPr/>
        <w:t>Silicon</w:t>
      </w:r>
      <w:r>
        <w:rPr>
          <w:spacing w:val="-13"/>
        </w:rPr>
        <w:t> </w:t>
      </w:r>
      <w:r>
        <w:rPr/>
        <w:t>can</w:t>
      </w:r>
      <w:r>
        <w:rPr>
          <w:spacing w:val="-15"/>
        </w:rPr>
        <w:t> </w:t>
      </w:r>
      <w:r>
        <w:rPr/>
        <w:t>rejuvenate</w:t>
      </w:r>
      <w:r>
        <w:rPr>
          <w:spacing w:val="-14"/>
        </w:rPr>
        <w:t> </w:t>
      </w:r>
      <w:r>
        <w:rPr/>
        <w:t>the</w:t>
      </w:r>
      <w:r>
        <w:rPr>
          <w:spacing w:val="-16"/>
        </w:rPr>
        <w:t> </w:t>
      </w:r>
      <w:r>
        <w:rPr/>
        <w:t>skin</w:t>
      </w:r>
      <w:r>
        <w:rPr>
          <w:spacing w:val="-13"/>
        </w:rPr>
        <w:t> </w:t>
      </w:r>
      <w:r>
        <w:rPr/>
        <w:t>from both</w:t>
      </w:r>
      <w:r>
        <w:rPr>
          <w:spacing w:val="22"/>
        </w:rPr>
        <w:t> </w:t>
      </w:r>
      <w:r>
        <w:rPr/>
        <w:t>inside</w:t>
      </w:r>
      <w:r>
        <w:rPr>
          <w:spacing w:val="22"/>
        </w:rPr>
        <w:t> </w:t>
      </w:r>
      <w:r>
        <w:rPr/>
        <w:t>and</w:t>
      </w:r>
      <w:r>
        <w:rPr>
          <w:spacing w:val="20"/>
        </w:rPr>
        <w:t> </w:t>
      </w:r>
      <w:r>
        <w:rPr/>
        <w:t>outside—via</w:t>
      </w:r>
      <w:r>
        <w:rPr>
          <w:spacing w:val="21"/>
        </w:rPr>
        <w:t> </w:t>
      </w:r>
      <w:r>
        <w:rPr/>
        <w:t>oral</w:t>
      </w:r>
      <w:r>
        <w:rPr>
          <w:spacing w:val="21"/>
        </w:rPr>
        <w:t> </w:t>
      </w:r>
      <w:r>
        <w:rPr/>
        <w:t>intake</w:t>
      </w:r>
      <w:r>
        <w:rPr>
          <w:spacing w:val="22"/>
        </w:rPr>
        <w:t> </w:t>
      </w:r>
      <w:r>
        <w:rPr/>
        <w:t>and</w:t>
      </w:r>
      <w:r>
        <w:rPr>
          <w:spacing w:val="22"/>
        </w:rPr>
        <w:t> </w:t>
      </w:r>
      <w:r>
        <w:rPr/>
        <w:t>the</w:t>
      </w:r>
      <w:r>
        <w:rPr>
          <w:spacing w:val="23"/>
        </w:rPr>
        <w:t> </w:t>
      </w:r>
      <w:r>
        <w:rPr/>
        <w:t>application</w:t>
      </w:r>
      <w:r>
        <w:rPr>
          <w:spacing w:val="22"/>
        </w:rPr>
        <w:t> </w:t>
      </w:r>
      <w:r>
        <w:rPr/>
        <w:t>of</w:t>
      </w:r>
      <w:r>
        <w:rPr>
          <w:spacing w:val="23"/>
        </w:rPr>
        <w:t> </w:t>
      </w:r>
      <w:r>
        <w:rPr/>
        <w:t>silicon</w:t>
      </w:r>
      <w:r>
        <w:rPr>
          <w:spacing w:val="24"/>
        </w:rPr>
        <w:t> </w:t>
      </w:r>
      <w:r>
        <w:rPr/>
        <w:t>gel</w:t>
      </w:r>
      <w:r>
        <w:rPr>
          <w:spacing w:val="22"/>
        </w:rPr>
        <w:t> </w:t>
      </w:r>
      <w:r>
        <w:rPr/>
        <w:t>to</w:t>
      </w:r>
    </w:p>
    <w:p>
      <w:pPr>
        <w:spacing w:after="0" w:line="276" w:lineRule="auto"/>
        <w:jc w:val="both"/>
        <w:sectPr>
          <w:pgSz w:w="14270" w:h="16850"/>
          <w:pgMar w:header="0" w:footer="1891" w:top="1340" w:bottom="2080" w:left="800" w:right="1280"/>
        </w:sectPr>
      </w:pPr>
    </w:p>
    <w:p>
      <w:pPr>
        <w:pStyle w:val="BodyText"/>
        <w:spacing w:before="74"/>
        <w:ind w:left="616"/>
      </w:pPr>
      <w:r>
        <w:rPr/>
        <w:t>the skin. In this way, you more quickly achieve a visible effect.</w:t>
      </w:r>
    </w:p>
    <w:p>
      <w:pPr>
        <w:pStyle w:val="BodyText"/>
        <w:spacing w:line="276" w:lineRule="auto" w:before="305"/>
        <w:ind w:left="616" w:right="132"/>
        <w:jc w:val="both"/>
      </w:pPr>
      <w:r>
        <w:rPr/>
        <w:t>From</w:t>
      </w:r>
      <w:r>
        <w:rPr>
          <w:spacing w:val="-9"/>
        </w:rPr>
        <w:t> </w:t>
      </w:r>
      <w:r>
        <w:rPr/>
        <w:t>a</w:t>
      </w:r>
      <w:r>
        <w:rPr>
          <w:spacing w:val="-12"/>
        </w:rPr>
        <w:t> </w:t>
      </w:r>
      <w:r>
        <w:rPr/>
        <w:t>biological</w:t>
      </w:r>
      <w:r>
        <w:rPr>
          <w:spacing w:val="-10"/>
        </w:rPr>
        <w:t> </w:t>
      </w:r>
      <w:r>
        <w:rPr/>
        <w:t>point</w:t>
      </w:r>
      <w:r>
        <w:rPr>
          <w:spacing w:val="-8"/>
        </w:rPr>
        <w:t> </w:t>
      </w:r>
      <w:r>
        <w:rPr/>
        <w:t>of</w:t>
      </w:r>
      <w:r>
        <w:rPr>
          <w:spacing w:val="-10"/>
        </w:rPr>
        <w:t> </w:t>
      </w:r>
      <w:r>
        <w:rPr/>
        <w:t>view,</w:t>
      </w:r>
      <w:r>
        <w:rPr>
          <w:spacing w:val="-10"/>
        </w:rPr>
        <w:t> </w:t>
      </w:r>
      <w:r>
        <w:rPr/>
        <w:t>silicon</w:t>
      </w:r>
      <w:r>
        <w:rPr>
          <w:spacing w:val="-7"/>
        </w:rPr>
        <w:t> </w:t>
      </w:r>
      <w:r>
        <w:rPr/>
        <w:t>bonds</w:t>
      </w:r>
      <w:r>
        <w:rPr>
          <w:spacing w:val="-9"/>
        </w:rPr>
        <w:t> </w:t>
      </w:r>
      <w:r>
        <w:rPr/>
        <w:t>to</w:t>
      </w:r>
      <w:r>
        <w:rPr>
          <w:spacing w:val="-14"/>
        </w:rPr>
        <w:t> </w:t>
      </w:r>
      <w:r>
        <w:rPr/>
        <w:t>300</w:t>
      </w:r>
      <w:r>
        <w:rPr>
          <w:spacing w:val="-9"/>
        </w:rPr>
        <w:t> </w:t>
      </w:r>
      <w:r>
        <w:rPr/>
        <w:t>times</w:t>
      </w:r>
      <w:r>
        <w:rPr>
          <w:spacing w:val="-8"/>
        </w:rPr>
        <w:t> </w:t>
      </w:r>
      <w:r>
        <w:rPr/>
        <w:t>its</w:t>
      </w:r>
      <w:r>
        <w:rPr>
          <w:spacing w:val="-9"/>
        </w:rPr>
        <w:t> </w:t>
      </w:r>
      <w:r>
        <w:rPr/>
        <w:t>weight</w:t>
      </w:r>
      <w:r>
        <w:rPr>
          <w:spacing w:val="-9"/>
        </w:rPr>
        <w:t> </w:t>
      </w:r>
      <w:r>
        <w:rPr/>
        <w:t>in</w:t>
      </w:r>
      <w:r>
        <w:rPr>
          <w:spacing w:val="-11"/>
        </w:rPr>
        <w:t> </w:t>
      </w:r>
      <w:r>
        <w:rPr/>
        <w:t>water, reactivates</w:t>
      </w:r>
      <w:r>
        <w:rPr>
          <w:spacing w:val="-17"/>
        </w:rPr>
        <w:t> </w:t>
      </w:r>
      <w:r>
        <w:rPr/>
        <w:t>cell</w:t>
      </w:r>
      <w:r>
        <w:rPr>
          <w:spacing w:val="-17"/>
        </w:rPr>
        <w:t> </w:t>
      </w:r>
      <w:r>
        <w:rPr/>
        <w:t>metabolism</w:t>
      </w:r>
      <w:r>
        <w:rPr>
          <w:spacing w:val="-18"/>
        </w:rPr>
        <w:t> </w:t>
      </w:r>
      <w:r>
        <w:rPr/>
        <w:t>in</w:t>
      </w:r>
      <w:r>
        <w:rPr>
          <w:spacing w:val="-16"/>
        </w:rPr>
        <w:t> </w:t>
      </w:r>
      <w:r>
        <w:rPr/>
        <w:t>the</w:t>
      </w:r>
      <w:r>
        <w:rPr>
          <w:spacing w:val="-16"/>
        </w:rPr>
        <w:t> </w:t>
      </w:r>
      <w:r>
        <w:rPr/>
        <w:t>connective</w:t>
      </w:r>
      <w:r>
        <w:rPr>
          <w:spacing w:val="-18"/>
        </w:rPr>
        <w:t> </w:t>
      </w:r>
      <w:r>
        <w:rPr/>
        <w:t>tissue</w:t>
      </w:r>
      <w:r>
        <w:rPr>
          <w:spacing w:val="-18"/>
        </w:rPr>
        <w:t> </w:t>
      </w:r>
      <w:r>
        <w:rPr/>
        <w:t>and</w:t>
      </w:r>
      <w:r>
        <w:rPr>
          <w:spacing w:val="-16"/>
        </w:rPr>
        <w:t> </w:t>
      </w:r>
      <w:r>
        <w:rPr/>
        <w:t>stimulates</w:t>
      </w:r>
      <w:r>
        <w:rPr>
          <w:spacing w:val="-17"/>
        </w:rPr>
        <w:t> </w:t>
      </w:r>
      <w:r>
        <w:rPr/>
        <w:t>cell</w:t>
      </w:r>
      <w:r>
        <w:rPr>
          <w:spacing w:val="-17"/>
        </w:rPr>
        <w:t> </w:t>
      </w:r>
      <w:r>
        <w:rPr/>
        <w:t>division. This results in new cell growth and the replacement (rejection) of aged cells, which equates to true rejuvenation in the form of the reversal of ageing</w:t>
      </w:r>
      <w:r>
        <w:rPr>
          <w:spacing w:val="-65"/>
        </w:rPr>
        <w:t> </w:t>
      </w:r>
      <w:r>
        <w:rPr/>
        <w:t>symp- toms, something unknown to science just a few years</w:t>
      </w:r>
      <w:r>
        <w:rPr>
          <w:spacing w:val="-1"/>
        </w:rPr>
        <w:t> </w:t>
      </w:r>
      <w:r>
        <w:rPr/>
        <w:t>ago!</w:t>
      </w:r>
    </w:p>
    <w:p>
      <w:pPr>
        <w:pStyle w:val="Heading1"/>
        <w:spacing w:before="223"/>
        <w:ind w:left="616"/>
      </w:pPr>
      <w:r>
        <w:rPr/>
        <w:t>Maintenance and increase of blood vessel elasticity</w:t>
      </w:r>
    </w:p>
    <w:p>
      <w:pPr>
        <w:pStyle w:val="BodyText"/>
        <w:spacing w:line="276" w:lineRule="auto" w:before="299"/>
        <w:ind w:left="616" w:right="133"/>
        <w:jc w:val="both"/>
      </w:pPr>
      <w:r>
        <w:rPr/>
        <w:t>Our blood vessels are elastic rather than rigid in order to transport the blood pumped jerkily from our heart to all locations of activity. But this is only true in</w:t>
      </w:r>
      <w:r>
        <w:rPr>
          <w:spacing w:val="-8"/>
        </w:rPr>
        <w:t> </w:t>
      </w:r>
      <w:r>
        <w:rPr/>
        <w:t>our</w:t>
      </w:r>
      <w:r>
        <w:rPr>
          <w:spacing w:val="-7"/>
        </w:rPr>
        <w:t> </w:t>
      </w:r>
      <w:r>
        <w:rPr/>
        <w:t>younger</w:t>
      </w:r>
      <w:r>
        <w:rPr>
          <w:spacing w:val="-8"/>
        </w:rPr>
        <w:t> </w:t>
      </w:r>
      <w:r>
        <w:rPr/>
        <w:t>years,</w:t>
      </w:r>
      <w:r>
        <w:rPr>
          <w:spacing w:val="-7"/>
        </w:rPr>
        <w:t> </w:t>
      </w:r>
      <w:r>
        <w:rPr/>
        <w:t>because,</w:t>
      </w:r>
      <w:r>
        <w:rPr>
          <w:spacing w:val="-8"/>
        </w:rPr>
        <w:t> </w:t>
      </w:r>
      <w:r>
        <w:rPr/>
        <w:t>as</w:t>
      </w:r>
      <w:r>
        <w:rPr>
          <w:spacing w:val="-10"/>
        </w:rPr>
        <w:t> </w:t>
      </w:r>
      <w:r>
        <w:rPr/>
        <w:t>early</w:t>
      </w:r>
      <w:r>
        <w:rPr>
          <w:spacing w:val="-6"/>
        </w:rPr>
        <w:t> </w:t>
      </w:r>
      <w:r>
        <w:rPr/>
        <w:t>as</w:t>
      </w:r>
      <w:r>
        <w:rPr>
          <w:spacing w:val="-8"/>
        </w:rPr>
        <w:t> </w:t>
      </w:r>
      <w:r>
        <w:rPr/>
        <w:t>our</w:t>
      </w:r>
      <w:r>
        <w:rPr>
          <w:spacing w:val="-7"/>
        </w:rPr>
        <w:t> </w:t>
      </w:r>
      <w:r>
        <w:rPr/>
        <w:t>adolescence,</w:t>
      </w:r>
      <w:r>
        <w:rPr>
          <w:spacing w:val="-8"/>
        </w:rPr>
        <w:t> </w:t>
      </w:r>
      <w:r>
        <w:rPr/>
        <w:t>calcium</w:t>
      </w:r>
      <w:r>
        <w:rPr>
          <w:spacing w:val="-5"/>
        </w:rPr>
        <w:t> </w:t>
      </w:r>
      <w:r>
        <w:rPr/>
        <w:t>and</w:t>
      </w:r>
      <w:r>
        <w:rPr>
          <w:spacing w:val="-8"/>
        </w:rPr>
        <w:t> </w:t>
      </w:r>
      <w:r>
        <w:rPr/>
        <w:t>choles- terol accumulate on the inner walls of our blood vessels, which gradually be- come rigid and</w:t>
      </w:r>
      <w:r>
        <w:rPr>
          <w:spacing w:val="-1"/>
        </w:rPr>
        <w:t> </w:t>
      </w:r>
      <w:r>
        <w:rPr/>
        <w:t>brittle.</w:t>
      </w:r>
    </w:p>
    <w:p>
      <w:pPr>
        <w:pStyle w:val="BodyText"/>
        <w:spacing w:line="276" w:lineRule="auto" w:before="239"/>
        <w:ind w:left="616" w:right="132"/>
        <w:jc w:val="both"/>
      </w:pPr>
      <w:r>
        <w:rPr/>
        <w:t>In this way, the efficiency of blood transport, and thus the transport of nutri- ents and oxygen to all of our organs and cells, severely declines. What's worst is that the debris thickens and narrows our blood vessels: This is called ather- osclerosis. A heart attack, namely when a sufficient amount of oxygen cannot be transported to the heart, and a stroke, when oxygen transport to the brain is stopped by this restriction, represent the final stage of this pathological de- velopment.</w:t>
      </w:r>
    </w:p>
    <w:p>
      <w:pPr>
        <w:pStyle w:val="BodyText"/>
        <w:spacing w:line="276" w:lineRule="auto" w:before="241"/>
        <w:ind w:left="616" w:right="135"/>
        <w:jc w:val="both"/>
      </w:pPr>
      <w:r>
        <w:rPr/>
        <w:t>Is it a matter of fate? Not at all! A healthy diet can halt this development at</w:t>
      </w:r>
      <w:r>
        <w:rPr>
          <w:spacing w:val="-41"/>
        </w:rPr>
        <w:t> </w:t>
      </w:r>
      <w:r>
        <w:rPr/>
        <w:t>an early</w:t>
      </w:r>
      <w:r>
        <w:rPr>
          <w:spacing w:val="21"/>
        </w:rPr>
        <w:t> </w:t>
      </w:r>
      <w:r>
        <w:rPr/>
        <w:t>stage.</w:t>
      </w:r>
      <w:r>
        <w:rPr>
          <w:spacing w:val="21"/>
        </w:rPr>
        <w:t> </w:t>
      </w:r>
      <w:r>
        <w:rPr/>
        <w:t>This</w:t>
      </w:r>
      <w:r>
        <w:rPr>
          <w:spacing w:val="21"/>
        </w:rPr>
        <w:t> </w:t>
      </w:r>
      <w:r>
        <w:rPr/>
        <w:t>requires</w:t>
      </w:r>
      <w:r>
        <w:rPr>
          <w:spacing w:val="22"/>
        </w:rPr>
        <w:t> </w:t>
      </w:r>
      <w:r>
        <w:rPr/>
        <w:t>a</w:t>
      </w:r>
      <w:r>
        <w:rPr>
          <w:spacing w:val="19"/>
        </w:rPr>
        <w:t> </w:t>
      </w:r>
      <w:r>
        <w:rPr/>
        <w:t>sufficient</w:t>
      </w:r>
      <w:r>
        <w:rPr>
          <w:spacing w:val="21"/>
        </w:rPr>
        <w:t> </w:t>
      </w:r>
      <w:r>
        <w:rPr/>
        <w:t>supply</w:t>
      </w:r>
      <w:r>
        <w:rPr>
          <w:spacing w:val="20"/>
        </w:rPr>
        <w:t> </w:t>
      </w:r>
      <w:r>
        <w:rPr/>
        <w:t>of</w:t>
      </w:r>
      <w:r>
        <w:rPr>
          <w:spacing w:val="22"/>
        </w:rPr>
        <w:t> </w:t>
      </w:r>
      <w:r>
        <w:rPr/>
        <w:t>silicon</w:t>
      </w:r>
      <w:r>
        <w:rPr>
          <w:spacing w:val="21"/>
        </w:rPr>
        <w:t> </w:t>
      </w:r>
      <w:r>
        <w:rPr/>
        <w:t>(silica).</w:t>
      </w:r>
      <w:r>
        <w:rPr>
          <w:spacing w:val="21"/>
        </w:rPr>
        <w:t> </w:t>
      </w:r>
      <w:r>
        <w:rPr/>
        <w:t>Silicon</w:t>
      </w:r>
      <w:r>
        <w:rPr>
          <w:spacing w:val="22"/>
        </w:rPr>
        <w:t> </w:t>
      </w:r>
      <w:r>
        <w:rPr/>
        <w:t>has</w:t>
      </w:r>
      <w:r>
        <w:rPr>
          <w:spacing w:val="21"/>
        </w:rPr>
        <w:t> </w:t>
      </w:r>
      <w:r>
        <w:rPr/>
        <w:t>the</w:t>
      </w:r>
    </w:p>
    <w:p>
      <w:pPr>
        <w:spacing w:after="0" w:line="276" w:lineRule="auto"/>
        <w:jc w:val="both"/>
        <w:sectPr>
          <w:pgSz w:w="14270" w:h="16850"/>
          <w:pgMar w:header="0" w:footer="1891" w:top="1340" w:bottom="2080" w:left="800" w:right="1280"/>
        </w:sectPr>
      </w:pPr>
    </w:p>
    <w:p>
      <w:pPr>
        <w:pStyle w:val="BodyText"/>
        <w:spacing w:line="278" w:lineRule="auto" w:before="72"/>
        <w:ind w:left="616" w:right="139"/>
        <w:jc w:val="both"/>
      </w:pPr>
      <w:r>
        <w:rPr/>
        <w:t>extraordinary ability not only to keep our blood vessels elastic, but also to re- store elasticity to them.</w:t>
      </w:r>
    </w:p>
    <w:p>
      <w:pPr>
        <w:pStyle w:val="BodyText"/>
        <w:rPr>
          <w:sz w:val="42"/>
        </w:rPr>
      </w:pPr>
    </w:p>
    <w:p>
      <w:pPr>
        <w:pStyle w:val="BodyText"/>
        <w:spacing w:before="2"/>
        <w:rPr>
          <w:sz w:val="42"/>
        </w:rPr>
      </w:pPr>
    </w:p>
    <w:p>
      <w:pPr>
        <w:pStyle w:val="Heading1"/>
        <w:spacing w:before="0"/>
        <w:ind w:left="616"/>
      </w:pPr>
      <w:r>
        <w:rPr/>
        <w:t>Anabolic effect</w:t>
      </w:r>
    </w:p>
    <w:p>
      <w:pPr>
        <w:pStyle w:val="BodyText"/>
        <w:spacing w:line="276" w:lineRule="auto" w:before="299"/>
        <w:ind w:left="616" w:right="133"/>
        <w:jc w:val="both"/>
      </w:pPr>
      <w:r>
        <w:rPr/>
        <w:t>Silicon</w:t>
      </w:r>
      <w:r>
        <w:rPr>
          <w:spacing w:val="-6"/>
        </w:rPr>
        <w:t> </w:t>
      </w:r>
      <w:r>
        <w:rPr/>
        <w:t>is</w:t>
      </w:r>
      <w:r>
        <w:rPr>
          <w:spacing w:val="-6"/>
        </w:rPr>
        <w:t> </w:t>
      </w:r>
      <w:r>
        <w:rPr/>
        <w:t>also</w:t>
      </w:r>
      <w:r>
        <w:rPr>
          <w:spacing w:val="-6"/>
        </w:rPr>
        <w:t> </w:t>
      </w:r>
      <w:r>
        <w:rPr/>
        <w:t>said</w:t>
      </w:r>
      <w:r>
        <w:rPr>
          <w:spacing w:val="-7"/>
        </w:rPr>
        <w:t> </w:t>
      </w:r>
      <w:r>
        <w:rPr/>
        <w:t>to</w:t>
      </w:r>
      <w:r>
        <w:rPr>
          <w:spacing w:val="-5"/>
        </w:rPr>
        <w:t> </w:t>
      </w:r>
      <w:r>
        <w:rPr/>
        <w:t>have</w:t>
      </w:r>
      <w:r>
        <w:rPr>
          <w:spacing w:val="-6"/>
        </w:rPr>
        <w:t> </w:t>
      </w:r>
      <w:r>
        <w:rPr/>
        <w:t>an</w:t>
      </w:r>
      <w:r>
        <w:rPr>
          <w:spacing w:val="-6"/>
        </w:rPr>
        <w:t> </w:t>
      </w:r>
      <w:r>
        <w:rPr/>
        <w:t>anabolic,</w:t>
      </w:r>
      <w:r>
        <w:rPr>
          <w:spacing w:val="-7"/>
        </w:rPr>
        <w:t> </w:t>
      </w:r>
      <w:r>
        <w:rPr/>
        <w:t>i.e.</w:t>
      </w:r>
      <w:r>
        <w:rPr>
          <w:spacing w:val="-5"/>
        </w:rPr>
        <w:t> </w:t>
      </w:r>
      <w:r>
        <w:rPr/>
        <w:t>tissue-building</w:t>
      </w:r>
      <w:r>
        <w:rPr>
          <w:spacing w:val="-5"/>
        </w:rPr>
        <w:t> </w:t>
      </w:r>
      <w:r>
        <w:rPr/>
        <w:t>effect.</w:t>
      </w:r>
      <w:r>
        <w:rPr>
          <w:spacing w:val="-4"/>
        </w:rPr>
        <w:t> </w:t>
      </w:r>
      <w:r>
        <w:rPr/>
        <w:t>This</w:t>
      </w:r>
      <w:r>
        <w:rPr>
          <w:spacing w:val="-5"/>
        </w:rPr>
        <w:t> </w:t>
      </w:r>
      <w:r>
        <w:rPr/>
        <w:t>is</w:t>
      </w:r>
      <w:r>
        <w:rPr>
          <w:spacing w:val="-6"/>
        </w:rPr>
        <w:t> </w:t>
      </w:r>
      <w:r>
        <w:rPr/>
        <w:t>some- thing that should appeal to power athletes and bodybuilders in particular, as it is a natural substance and thus a legal, natural means of</w:t>
      </w:r>
      <w:r>
        <w:rPr>
          <w:spacing w:val="-9"/>
        </w:rPr>
        <w:t> </w:t>
      </w:r>
      <w:r>
        <w:rPr/>
        <w:t>doping.</w:t>
      </w:r>
    </w:p>
    <w:p>
      <w:pPr>
        <w:pStyle w:val="BodyText"/>
        <w:spacing w:before="242"/>
        <w:ind w:left="616"/>
      </w:pPr>
      <w:r>
        <w:rPr/>
        <w:t>And the following should also be of interest to athletes:</w:t>
      </w:r>
    </w:p>
    <w:p>
      <w:pPr>
        <w:pStyle w:val="Heading1"/>
        <w:spacing w:before="287"/>
        <w:ind w:left="616"/>
      </w:pPr>
      <w:r>
        <w:rPr/>
        <w:t>Silicon helps prevent muscular injuries</w:t>
      </w:r>
    </w:p>
    <w:p>
      <w:pPr>
        <w:pStyle w:val="BodyText"/>
        <w:spacing w:line="276" w:lineRule="auto" w:before="297"/>
        <w:ind w:left="616" w:right="139"/>
        <w:jc w:val="both"/>
      </w:pPr>
      <w:r>
        <w:rPr/>
        <w:t>The silicon researcher Robert A. Anderson points out that muscular injuries only occur in athletes who suffer from severe silicon deficiency. Those who have sufficient silicon in their tissue, however, are spared from such injuries.</w:t>
      </w:r>
    </w:p>
    <w:p>
      <w:pPr>
        <w:pStyle w:val="Heading1"/>
        <w:ind w:left="616"/>
      </w:pPr>
      <w:r>
        <w:rPr/>
        <w:t>Anti-inflammatory effect</w:t>
      </w:r>
    </w:p>
    <w:p>
      <w:pPr>
        <w:pStyle w:val="BodyText"/>
        <w:spacing w:line="276" w:lineRule="auto" w:before="299"/>
        <w:ind w:left="616" w:right="135"/>
        <w:jc w:val="both"/>
      </w:pPr>
      <w:r>
        <w:rPr/>
        <w:t>It has been found that people who are prone to any kind of inflammation al- most always suffer from silicon deficiency. Internal and external use of silicon (absorbed through the stomach or applied in the form of gel) helps to heal or prevent such inflammation.</w:t>
      </w:r>
    </w:p>
    <w:p>
      <w:pPr>
        <w:pStyle w:val="Heading1"/>
        <w:spacing w:before="223"/>
        <w:ind w:left="616"/>
        <w:jc w:val="both"/>
      </w:pPr>
      <w:r>
        <w:rPr/>
        <w:t>Disinfecting effect</w:t>
      </w:r>
    </w:p>
    <w:p>
      <w:pPr>
        <w:pStyle w:val="BodyText"/>
        <w:spacing w:before="299"/>
        <w:ind w:left="616"/>
        <w:jc w:val="both"/>
      </w:pPr>
      <w:r>
        <w:rPr/>
        <w:t>Silicon</w:t>
      </w:r>
      <w:r>
        <w:rPr>
          <w:spacing w:val="-20"/>
        </w:rPr>
        <w:t> </w:t>
      </w:r>
      <w:r>
        <w:rPr/>
        <w:t>is</w:t>
      </w:r>
      <w:r>
        <w:rPr>
          <w:spacing w:val="-21"/>
        </w:rPr>
        <w:t> </w:t>
      </w:r>
      <w:r>
        <w:rPr/>
        <w:t>also</w:t>
      </w:r>
      <w:r>
        <w:rPr>
          <w:spacing w:val="-22"/>
        </w:rPr>
        <w:t> </w:t>
      </w:r>
      <w:r>
        <w:rPr/>
        <w:t>believed</w:t>
      </w:r>
      <w:r>
        <w:rPr>
          <w:spacing w:val="-21"/>
        </w:rPr>
        <w:t> </w:t>
      </w:r>
      <w:r>
        <w:rPr/>
        <w:t>to</w:t>
      </w:r>
      <w:r>
        <w:rPr>
          <w:spacing w:val="-20"/>
        </w:rPr>
        <w:t> </w:t>
      </w:r>
      <w:r>
        <w:rPr/>
        <w:t>have</w:t>
      </w:r>
      <w:r>
        <w:rPr>
          <w:spacing w:val="-20"/>
        </w:rPr>
        <w:t> </w:t>
      </w:r>
      <w:r>
        <w:rPr/>
        <w:t>a</w:t>
      </w:r>
      <w:r>
        <w:rPr>
          <w:spacing w:val="-24"/>
        </w:rPr>
        <w:t> </w:t>
      </w:r>
      <w:r>
        <w:rPr/>
        <w:t>slight</w:t>
      </w:r>
      <w:r>
        <w:rPr>
          <w:spacing w:val="-20"/>
        </w:rPr>
        <w:t> </w:t>
      </w:r>
      <w:r>
        <w:rPr/>
        <w:t>disinfecting</w:t>
      </w:r>
      <w:r>
        <w:rPr>
          <w:spacing w:val="-22"/>
        </w:rPr>
        <w:t> </w:t>
      </w:r>
      <w:r>
        <w:rPr/>
        <w:t>effect,</w:t>
      </w:r>
      <w:r>
        <w:rPr>
          <w:spacing w:val="-20"/>
        </w:rPr>
        <w:t> </w:t>
      </w:r>
      <w:r>
        <w:rPr/>
        <w:t>which</w:t>
      </w:r>
      <w:r>
        <w:rPr>
          <w:spacing w:val="-19"/>
        </w:rPr>
        <w:t> </w:t>
      </w:r>
      <w:r>
        <w:rPr/>
        <w:t>is</w:t>
      </w:r>
      <w:r>
        <w:rPr>
          <w:spacing w:val="-25"/>
        </w:rPr>
        <w:t> </w:t>
      </w:r>
      <w:r>
        <w:rPr/>
        <w:t>why</w:t>
      </w:r>
      <w:r>
        <w:rPr>
          <w:spacing w:val="-20"/>
        </w:rPr>
        <w:t> </w:t>
      </w:r>
      <w:r>
        <w:rPr/>
        <w:t>it</w:t>
      </w:r>
      <w:r>
        <w:rPr>
          <w:spacing w:val="-22"/>
        </w:rPr>
        <w:t> </w:t>
      </w:r>
      <w:r>
        <w:rPr/>
        <w:t>shows</w:t>
      </w:r>
    </w:p>
    <w:p>
      <w:pPr>
        <w:spacing w:after="0"/>
        <w:jc w:val="both"/>
        <w:sectPr>
          <w:pgSz w:w="14270" w:h="16850"/>
          <w:pgMar w:header="0" w:footer="1891" w:top="1340" w:bottom="2080" w:left="800" w:right="1280"/>
        </w:sectPr>
      </w:pPr>
    </w:p>
    <w:p>
      <w:pPr>
        <w:pStyle w:val="BodyText"/>
        <w:spacing w:line="276" w:lineRule="auto" w:before="72"/>
        <w:ind w:left="616" w:right="133"/>
        <w:jc w:val="both"/>
      </w:pPr>
      <w:r>
        <w:rPr/>
        <w:t>successful effects when applied externally for skin diseases and fungi. From these general, very wide-ranging effects, specific effects arise on the following physical ills and diseases:</w:t>
      </w:r>
    </w:p>
    <w:p>
      <w:pPr>
        <w:pStyle w:val="BodyText"/>
        <w:rPr>
          <w:sz w:val="42"/>
        </w:rPr>
      </w:pPr>
    </w:p>
    <w:p>
      <w:pPr>
        <w:pStyle w:val="BodyText"/>
        <w:spacing w:before="11"/>
        <w:rPr>
          <w:sz w:val="42"/>
        </w:rPr>
      </w:pPr>
    </w:p>
    <w:p>
      <w:pPr>
        <w:pStyle w:val="Heading1"/>
        <w:spacing w:before="0"/>
        <w:ind w:left="616"/>
        <w:jc w:val="both"/>
      </w:pPr>
      <w:r>
        <w:rPr/>
        <w:t>Specific effect of silicon/silica</w:t>
      </w:r>
    </w:p>
    <w:p>
      <w:pPr>
        <w:pStyle w:val="ListParagraph"/>
        <w:numPr>
          <w:ilvl w:val="0"/>
          <w:numId w:val="116"/>
        </w:numPr>
        <w:tabs>
          <w:tab w:pos="1528" w:val="left" w:leader="none"/>
          <w:tab w:pos="1529" w:val="left" w:leader="none"/>
        </w:tabs>
        <w:spacing w:line="240" w:lineRule="auto" w:before="260" w:after="0"/>
        <w:ind w:left="1528" w:right="0" w:hanging="552"/>
        <w:jc w:val="left"/>
        <w:rPr>
          <w:sz w:val="38"/>
        </w:rPr>
      </w:pPr>
      <w:r>
        <w:rPr>
          <w:sz w:val="38"/>
        </w:rPr>
        <w:t>Atherosclerosis (vascular</w:t>
      </w:r>
      <w:r>
        <w:rPr>
          <w:spacing w:val="3"/>
          <w:sz w:val="38"/>
        </w:rPr>
        <w:t> </w:t>
      </w:r>
      <w:r>
        <w:rPr>
          <w:sz w:val="38"/>
        </w:rPr>
        <w:t>calcification)</w:t>
      </w:r>
    </w:p>
    <w:p>
      <w:pPr>
        <w:pStyle w:val="ListParagraph"/>
        <w:numPr>
          <w:ilvl w:val="0"/>
          <w:numId w:val="116"/>
        </w:numPr>
        <w:tabs>
          <w:tab w:pos="1528" w:val="left" w:leader="none"/>
          <w:tab w:pos="1529" w:val="left" w:leader="none"/>
        </w:tabs>
        <w:spacing w:line="240" w:lineRule="auto" w:before="184" w:after="0"/>
        <w:ind w:left="1528" w:right="0" w:hanging="552"/>
        <w:jc w:val="left"/>
        <w:rPr>
          <w:sz w:val="38"/>
        </w:rPr>
      </w:pPr>
      <w:r>
        <w:rPr>
          <w:sz w:val="38"/>
        </w:rPr>
        <w:t>High blood</w:t>
      </w:r>
      <w:r>
        <w:rPr>
          <w:spacing w:val="-1"/>
          <w:sz w:val="38"/>
        </w:rPr>
        <w:t> </w:t>
      </w:r>
      <w:r>
        <w:rPr>
          <w:sz w:val="38"/>
        </w:rPr>
        <w:t>pressure</w:t>
      </w:r>
    </w:p>
    <w:p>
      <w:pPr>
        <w:pStyle w:val="ListParagraph"/>
        <w:numPr>
          <w:ilvl w:val="0"/>
          <w:numId w:val="116"/>
        </w:numPr>
        <w:tabs>
          <w:tab w:pos="1528" w:val="left" w:leader="none"/>
          <w:tab w:pos="1529" w:val="left" w:leader="none"/>
        </w:tabs>
        <w:spacing w:line="240" w:lineRule="auto" w:before="184" w:after="0"/>
        <w:ind w:left="1528" w:right="0" w:hanging="552"/>
        <w:jc w:val="left"/>
        <w:rPr>
          <w:sz w:val="38"/>
        </w:rPr>
      </w:pPr>
      <w:r>
        <w:rPr>
          <w:sz w:val="38"/>
        </w:rPr>
        <w:t>Arthrosis</w:t>
      </w:r>
    </w:p>
    <w:p>
      <w:pPr>
        <w:pStyle w:val="ListParagraph"/>
        <w:numPr>
          <w:ilvl w:val="0"/>
          <w:numId w:val="116"/>
        </w:numPr>
        <w:tabs>
          <w:tab w:pos="1528" w:val="left" w:leader="none"/>
          <w:tab w:pos="1529" w:val="left" w:leader="none"/>
        </w:tabs>
        <w:spacing w:line="240" w:lineRule="auto" w:before="186" w:after="0"/>
        <w:ind w:left="1528" w:right="0" w:hanging="552"/>
        <w:jc w:val="left"/>
        <w:rPr>
          <w:sz w:val="38"/>
        </w:rPr>
      </w:pPr>
      <w:r>
        <w:rPr>
          <w:sz w:val="38"/>
        </w:rPr>
        <w:t>Arthritis</w:t>
      </w:r>
    </w:p>
    <w:p>
      <w:pPr>
        <w:pStyle w:val="ListParagraph"/>
        <w:numPr>
          <w:ilvl w:val="0"/>
          <w:numId w:val="116"/>
        </w:numPr>
        <w:tabs>
          <w:tab w:pos="1528" w:val="left" w:leader="none"/>
          <w:tab w:pos="1529" w:val="left" w:leader="none"/>
        </w:tabs>
        <w:spacing w:line="240" w:lineRule="auto" w:before="183" w:after="0"/>
        <w:ind w:left="1528" w:right="0" w:hanging="552"/>
        <w:jc w:val="left"/>
        <w:rPr>
          <w:sz w:val="38"/>
        </w:rPr>
      </w:pPr>
      <w:r>
        <w:rPr>
          <w:sz w:val="38"/>
        </w:rPr>
        <w:t>Abscesses</w:t>
      </w:r>
    </w:p>
    <w:p>
      <w:pPr>
        <w:pStyle w:val="ListParagraph"/>
        <w:numPr>
          <w:ilvl w:val="0"/>
          <w:numId w:val="116"/>
        </w:numPr>
        <w:tabs>
          <w:tab w:pos="1528" w:val="left" w:leader="none"/>
          <w:tab w:pos="1529" w:val="left" w:leader="none"/>
        </w:tabs>
        <w:spacing w:line="240" w:lineRule="auto" w:before="184" w:after="0"/>
        <w:ind w:left="1528" w:right="0" w:hanging="552"/>
        <w:jc w:val="left"/>
        <w:rPr>
          <w:sz w:val="38"/>
        </w:rPr>
      </w:pPr>
      <w:r>
        <w:rPr>
          <w:sz w:val="38"/>
        </w:rPr>
        <w:t>Varicose veins</w:t>
      </w:r>
    </w:p>
    <w:p>
      <w:pPr>
        <w:pStyle w:val="ListParagraph"/>
        <w:numPr>
          <w:ilvl w:val="0"/>
          <w:numId w:val="116"/>
        </w:numPr>
        <w:tabs>
          <w:tab w:pos="1528" w:val="left" w:leader="none"/>
          <w:tab w:pos="1529" w:val="left" w:leader="none"/>
        </w:tabs>
        <w:spacing w:line="240" w:lineRule="auto" w:before="184" w:after="0"/>
        <w:ind w:left="1528" w:right="0" w:hanging="552"/>
        <w:jc w:val="left"/>
        <w:rPr>
          <w:sz w:val="38"/>
        </w:rPr>
      </w:pPr>
      <w:r>
        <w:rPr>
          <w:sz w:val="38"/>
        </w:rPr>
        <w:t>Immunodeficiency</w:t>
      </w:r>
    </w:p>
    <w:p>
      <w:pPr>
        <w:pStyle w:val="ListParagraph"/>
        <w:numPr>
          <w:ilvl w:val="0"/>
          <w:numId w:val="116"/>
        </w:numPr>
        <w:tabs>
          <w:tab w:pos="1528" w:val="left" w:leader="none"/>
          <w:tab w:pos="1529" w:val="left" w:leader="none"/>
        </w:tabs>
        <w:spacing w:line="240" w:lineRule="auto" w:before="183" w:after="0"/>
        <w:ind w:left="1528" w:right="0" w:hanging="552"/>
        <w:jc w:val="left"/>
        <w:rPr>
          <w:sz w:val="38"/>
        </w:rPr>
      </w:pPr>
      <w:r>
        <w:rPr>
          <w:sz w:val="38"/>
        </w:rPr>
        <w:t>Inflammation</w:t>
      </w:r>
    </w:p>
    <w:p>
      <w:pPr>
        <w:pStyle w:val="ListParagraph"/>
        <w:numPr>
          <w:ilvl w:val="0"/>
          <w:numId w:val="116"/>
        </w:numPr>
        <w:tabs>
          <w:tab w:pos="1528" w:val="left" w:leader="none"/>
          <w:tab w:pos="1529" w:val="left" w:leader="none"/>
        </w:tabs>
        <w:spacing w:line="240" w:lineRule="auto" w:before="186" w:after="0"/>
        <w:ind w:left="1528" w:right="0" w:hanging="552"/>
        <w:jc w:val="left"/>
        <w:rPr>
          <w:sz w:val="38"/>
        </w:rPr>
      </w:pPr>
      <w:r>
        <w:rPr>
          <w:sz w:val="38"/>
        </w:rPr>
        <w:t>Osteoporosis</w:t>
      </w:r>
    </w:p>
    <w:p>
      <w:pPr>
        <w:pStyle w:val="ListParagraph"/>
        <w:numPr>
          <w:ilvl w:val="0"/>
          <w:numId w:val="116"/>
        </w:numPr>
        <w:tabs>
          <w:tab w:pos="1528" w:val="left" w:leader="none"/>
          <w:tab w:pos="1529" w:val="left" w:leader="none"/>
        </w:tabs>
        <w:spacing w:line="240" w:lineRule="auto" w:before="184" w:after="0"/>
        <w:ind w:left="1528" w:right="0" w:hanging="552"/>
        <w:jc w:val="left"/>
        <w:rPr>
          <w:sz w:val="38"/>
        </w:rPr>
      </w:pPr>
      <w:r>
        <w:rPr>
          <w:sz w:val="38"/>
        </w:rPr>
        <w:t>Bone fracture</w:t>
      </w:r>
    </w:p>
    <w:p>
      <w:pPr>
        <w:pStyle w:val="ListParagraph"/>
        <w:numPr>
          <w:ilvl w:val="0"/>
          <w:numId w:val="116"/>
        </w:numPr>
        <w:tabs>
          <w:tab w:pos="1528" w:val="left" w:leader="none"/>
          <w:tab w:pos="1529" w:val="left" w:leader="none"/>
        </w:tabs>
        <w:spacing w:line="240" w:lineRule="auto" w:before="184" w:after="0"/>
        <w:ind w:left="1528" w:right="0" w:hanging="552"/>
        <w:jc w:val="left"/>
        <w:rPr>
          <w:sz w:val="38"/>
        </w:rPr>
      </w:pPr>
      <w:r>
        <w:rPr>
          <w:sz w:val="38"/>
        </w:rPr>
        <w:t>Brittle</w:t>
      </w:r>
      <w:r>
        <w:rPr>
          <w:spacing w:val="-1"/>
          <w:sz w:val="38"/>
        </w:rPr>
        <w:t> </w:t>
      </w:r>
      <w:r>
        <w:rPr>
          <w:sz w:val="38"/>
        </w:rPr>
        <w:t>nails</w:t>
      </w:r>
    </w:p>
    <w:p>
      <w:pPr>
        <w:pStyle w:val="ListParagraph"/>
        <w:numPr>
          <w:ilvl w:val="0"/>
          <w:numId w:val="116"/>
        </w:numPr>
        <w:tabs>
          <w:tab w:pos="1528" w:val="left" w:leader="none"/>
          <w:tab w:pos="1529" w:val="left" w:leader="none"/>
        </w:tabs>
        <w:spacing w:line="240" w:lineRule="auto" w:before="183" w:after="0"/>
        <w:ind w:left="1528" w:right="0" w:hanging="552"/>
        <w:jc w:val="left"/>
        <w:rPr>
          <w:sz w:val="38"/>
        </w:rPr>
      </w:pPr>
      <w:r>
        <w:rPr>
          <w:sz w:val="38"/>
        </w:rPr>
        <w:t>Wrinkled</w:t>
      </w:r>
      <w:r>
        <w:rPr>
          <w:spacing w:val="-1"/>
          <w:sz w:val="38"/>
        </w:rPr>
        <w:t> </w:t>
      </w:r>
      <w:r>
        <w:rPr>
          <w:sz w:val="38"/>
        </w:rPr>
        <w:t>skin</w:t>
      </w:r>
    </w:p>
    <w:p>
      <w:pPr>
        <w:pStyle w:val="ListParagraph"/>
        <w:numPr>
          <w:ilvl w:val="0"/>
          <w:numId w:val="116"/>
        </w:numPr>
        <w:tabs>
          <w:tab w:pos="1528" w:val="left" w:leader="none"/>
          <w:tab w:pos="1529" w:val="left" w:leader="none"/>
        </w:tabs>
        <w:spacing w:line="240" w:lineRule="auto" w:before="185" w:after="0"/>
        <w:ind w:left="1528" w:right="0" w:hanging="552"/>
        <w:jc w:val="left"/>
        <w:rPr>
          <w:sz w:val="38"/>
        </w:rPr>
      </w:pPr>
      <w:r>
        <w:rPr>
          <w:sz w:val="38"/>
        </w:rPr>
        <w:t>Skin diseases</w:t>
      </w:r>
    </w:p>
    <w:p>
      <w:pPr>
        <w:pStyle w:val="ListParagraph"/>
        <w:numPr>
          <w:ilvl w:val="0"/>
          <w:numId w:val="116"/>
        </w:numPr>
        <w:tabs>
          <w:tab w:pos="1528" w:val="left" w:leader="none"/>
          <w:tab w:pos="1529" w:val="left" w:leader="none"/>
        </w:tabs>
        <w:spacing w:line="240" w:lineRule="auto" w:before="186" w:after="0"/>
        <w:ind w:left="1528" w:right="0" w:hanging="552"/>
        <w:jc w:val="left"/>
        <w:rPr>
          <w:sz w:val="38"/>
        </w:rPr>
      </w:pPr>
      <w:r>
        <w:rPr>
          <w:sz w:val="38"/>
        </w:rPr>
        <w:t>Skin damage</w:t>
      </w:r>
    </w:p>
    <w:p>
      <w:pPr>
        <w:spacing w:after="0" w:line="240" w:lineRule="auto"/>
        <w:jc w:val="left"/>
        <w:rPr>
          <w:sz w:val="38"/>
        </w:rPr>
        <w:sectPr>
          <w:pgSz w:w="14270" w:h="16850"/>
          <w:pgMar w:header="0" w:footer="1891" w:top="1340" w:bottom="2080" w:left="800" w:right="1280"/>
        </w:sectPr>
      </w:pPr>
    </w:p>
    <w:p>
      <w:pPr>
        <w:pStyle w:val="ListParagraph"/>
        <w:numPr>
          <w:ilvl w:val="0"/>
          <w:numId w:val="116"/>
        </w:numPr>
        <w:tabs>
          <w:tab w:pos="1528" w:val="left" w:leader="none"/>
          <w:tab w:pos="1529" w:val="left" w:leader="none"/>
        </w:tabs>
        <w:spacing w:line="240" w:lineRule="auto" w:before="53" w:after="0"/>
        <w:ind w:left="1528" w:right="0" w:hanging="552"/>
        <w:jc w:val="left"/>
        <w:rPr>
          <w:sz w:val="38"/>
        </w:rPr>
      </w:pPr>
      <w:r>
        <w:rPr>
          <w:sz w:val="38"/>
        </w:rPr>
        <w:t>Blemishes/acne</w:t>
      </w:r>
    </w:p>
    <w:p>
      <w:pPr>
        <w:pStyle w:val="ListParagraph"/>
        <w:numPr>
          <w:ilvl w:val="0"/>
          <w:numId w:val="116"/>
        </w:numPr>
        <w:tabs>
          <w:tab w:pos="1528" w:val="left" w:leader="none"/>
          <w:tab w:pos="1529" w:val="left" w:leader="none"/>
        </w:tabs>
        <w:spacing w:line="240" w:lineRule="auto" w:before="186" w:after="0"/>
        <w:ind w:left="1528" w:right="0" w:hanging="552"/>
        <w:jc w:val="left"/>
        <w:rPr>
          <w:sz w:val="38"/>
        </w:rPr>
      </w:pPr>
      <w:r>
        <w:rPr>
          <w:sz w:val="38"/>
        </w:rPr>
        <w:t>Erythema</w:t>
      </w:r>
    </w:p>
    <w:p>
      <w:pPr>
        <w:pStyle w:val="ListParagraph"/>
        <w:numPr>
          <w:ilvl w:val="0"/>
          <w:numId w:val="116"/>
        </w:numPr>
        <w:tabs>
          <w:tab w:pos="1528" w:val="left" w:leader="none"/>
          <w:tab w:pos="1529" w:val="left" w:leader="none"/>
        </w:tabs>
        <w:spacing w:line="240" w:lineRule="auto" w:before="184" w:after="0"/>
        <w:ind w:left="1528" w:right="0" w:hanging="552"/>
        <w:jc w:val="left"/>
        <w:rPr>
          <w:sz w:val="38"/>
        </w:rPr>
      </w:pPr>
      <w:r>
        <w:rPr>
          <w:sz w:val="38"/>
        </w:rPr>
        <w:t>Neurodermatitis</w:t>
      </w:r>
    </w:p>
    <w:p>
      <w:pPr>
        <w:pStyle w:val="ListParagraph"/>
        <w:numPr>
          <w:ilvl w:val="0"/>
          <w:numId w:val="116"/>
        </w:numPr>
        <w:tabs>
          <w:tab w:pos="1528" w:val="left" w:leader="none"/>
          <w:tab w:pos="1529" w:val="left" w:leader="none"/>
        </w:tabs>
        <w:spacing w:line="240" w:lineRule="auto" w:before="184" w:after="0"/>
        <w:ind w:left="1528" w:right="0" w:hanging="552"/>
        <w:jc w:val="left"/>
        <w:rPr>
          <w:sz w:val="38"/>
        </w:rPr>
      </w:pPr>
      <w:r>
        <w:rPr>
          <w:sz w:val="38"/>
        </w:rPr>
        <w:t>Skin rash</w:t>
      </w:r>
    </w:p>
    <w:p>
      <w:pPr>
        <w:pStyle w:val="ListParagraph"/>
        <w:numPr>
          <w:ilvl w:val="0"/>
          <w:numId w:val="116"/>
        </w:numPr>
        <w:tabs>
          <w:tab w:pos="1528" w:val="left" w:leader="none"/>
          <w:tab w:pos="1529" w:val="left" w:leader="none"/>
        </w:tabs>
        <w:spacing w:line="240" w:lineRule="auto" w:before="183" w:after="0"/>
        <w:ind w:left="1528" w:right="0" w:hanging="552"/>
        <w:jc w:val="left"/>
        <w:rPr>
          <w:sz w:val="38"/>
        </w:rPr>
      </w:pPr>
      <w:r>
        <w:rPr>
          <w:sz w:val="38"/>
        </w:rPr>
        <w:t>Itching</w:t>
      </w:r>
    </w:p>
    <w:p>
      <w:pPr>
        <w:pStyle w:val="ListParagraph"/>
        <w:numPr>
          <w:ilvl w:val="0"/>
          <w:numId w:val="116"/>
        </w:numPr>
        <w:tabs>
          <w:tab w:pos="1528" w:val="left" w:leader="none"/>
          <w:tab w:pos="1529" w:val="left" w:leader="none"/>
        </w:tabs>
        <w:spacing w:line="240" w:lineRule="auto" w:before="184" w:after="0"/>
        <w:ind w:left="1528" w:right="0" w:hanging="552"/>
        <w:jc w:val="left"/>
        <w:rPr>
          <w:sz w:val="38"/>
        </w:rPr>
      </w:pPr>
      <w:r>
        <w:rPr>
          <w:sz w:val="38"/>
        </w:rPr>
        <w:t>Warts</w:t>
      </w:r>
    </w:p>
    <w:p>
      <w:pPr>
        <w:pStyle w:val="ListParagraph"/>
        <w:numPr>
          <w:ilvl w:val="0"/>
          <w:numId w:val="116"/>
        </w:numPr>
        <w:tabs>
          <w:tab w:pos="1528" w:val="left" w:leader="none"/>
          <w:tab w:pos="1529" w:val="left" w:leader="none"/>
        </w:tabs>
        <w:spacing w:line="240" w:lineRule="auto" w:before="186" w:after="0"/>
        <w:ind w:left="1528" w:right="0" w:hanging="552"/>
        <w:jc w:val="left"/>
        <w:rPr>
          <w:sz w:val="38"/>
        </w:rPr>
      </w:pPr>
      <w:r>
        <w:rPr>
          <w:sz w:val="38"/>
        </w:rPr>
        <w:t>Sunburn</w:t>
      </w:r>
    </w:p>
    <w:p>
      <w:pPr>
        <w:pStyle w:val="ListParagraph"/>
        <w:numPr>
          <w:ilvl w:val="0"/>
          <w:numId w:val="116"/>
        </w:numPr>
        <w:tabs>
          <w:tab w:pos="1528" w:val="left" w:leader="none"/>
          <w:tab w:pos="1529" w:val="left" w:leader="none"/>
        </w:tabs>
        <w:spacing w:line="240" w:lineRule="auto" w:before="184" w:after="0"/>
        <w:ind w:left="1528" w:right="0" w:hanging="552"/>
        <w:jc w:val="left"/>
        <w:rPr>
          <w:sz w:val="38"/>
        </w:rPr>
      </w:pPr>
      <w:r>
        <w:rPr>
          <w:sz w:val="38"/>
        </w:rPr>
        <w:t>Burns</w:t>
      </w:r>
    </w:p>
    <w:p>
      <w:pPr>
        <w:pStyle w:val="ListParagraph"/>
        <w:numPr>
          <w:ilvl w:val="0"/>
          <w:numId w:val="116"/>
        </w:numPr>
        <w:tabs>
          <w:tab w:pos="1528" w:val="left" w:leader="none"/>
          <w:tab w:pos="1529" w:val="left" w:leader="none"/>
        </w:tabs>
        <w:spacing w:line="240" w:lineRule="auto" w:before="184" w:after="0"/>
        <w:ind w:left="1528" w:right="0" w:hanging="552"/>
        <w:jc w:val="left"/>
        <w:rPr>
          <w:sz w:val="38"/>
        </w:rPr>
      </w:pPr>
      <w:r>
        <w:rPr>
          <w:sz w:val="38"/>
        </w:rPr>
        <w:t>Insect</w:t>
      </w:r>
      <w:r>
        <w:rPr>
          <w:spacing w:val="-3"/>
          <w:sz w:val="38"/>
        </w:rPr>
        <w:t> </w:t>
      </w:r>
      <w:r>
        <w:rPr>
          <w:sz w:val="38"/>
        </w:rPr>
        <w:t>bites</w:t>
      </w:r>
    </w:p>
    <w:p>
      <w:pPr>
        <w:pStyle w:val="ListParagraph"/>
        <w:numPr>
          <w:ilvl w:val="0"/>
          <w:numId w:val="116"/>
        </w:numPr>
        <w:tabs>
          <w:tab w:pos="1528" w:val="left" w:leader="none"/>
          <w:tab w:pos="1529" w:val="left" w:leader="none"/>
        </w:tabs>
        <w:spacing w:line="240" w:lineRule="auto" w:before="183" w:after="0"/>
        <w:ind w:left="1528" w:right="0" w:hanging="552"/>
        <w:jc w:val="left"/>
        <w:rPr>
          <w:sz w:val="38"/>
        </w:rPr>
      </w:pPr>
      <w:r>
        <w:rPr>
          <w:sz w:val="38"/>
        </w:rPr>
        <w:t>Premenstrual syndrome</w:t>
      </w:r>
      <w:r>
        <w:rPr>
          <w:spacing w:val="-1"/>
          <w:sz w:val="38"/>
        </w:rPr>
        <w:t> </w:t>
      </w:r>
      <w:r>
        <w:rPr>
          <w:sz w:val="38"/>
        </w:rPr>
        <w:t>(PMS)</w:t>
      </w:r>
    </w:p>
    <w:p>
      <w:pPr>
        <w:pStyle w:val="ListParagraph"/>
        <w:numPr>
          <w:ilvl w:val="0"/>
          <w:numId w:val="116"/>
        </w:numPr>
        <w:tabs>
          <w:tab w:pos="1528" w:val="left" w:leader="none"/>
          <w:tab w:pos="1529" w:val="left" w:leader="none"/>
        </w:tabs>
        <w:spacing w:line="240" w:lineRule="auto" w:before="186" w:after="0"/>
        <w:ind w:left="1528" w:right="0" w:hanging="552"/>
        <w:jc w:val="left"/>
        <w:rPr>
          <w:sz w:val="38"/>
        </w:rPr>
      </w:pPr>
      <w:r>
        <w:rPr>
          <w:sz w:val="38"/>
        </w:rPr>
        <w:t>Cough</w:t>
      </w:r>
    </w:p>
    <w:p>
      <w:pPr>
        <w:pStyle w:val="ListParagraph"/>
        <w:numPr>
          <w:ilvl w:val="0"/>
          <w:numId w:val="116"/>
        </w:numPr>
        <w:tabs>
          <w:tab w:pos="1528" w:val="left" w:leader="none"/>
          <w:tab w:pos="1529" w:val="left" w:leader="none"/>
        </w:tabs>
        <w:spacing w:line="240" w:lineRule="auto" w:before="184" w:after="0"/>
        <w:ind w:left="1528" w:right="0" w:hanging="552"/>
        <w:jc w:val="left"/>
        <w:rPr>
          <w:sz w:val="38"/>
        </w:rPr>
      </w:pPr>
      <w:r>
        <w:rPr>
          <w:sz w:val="38"/>
        </w:rPr>
        <w:t>Haemorrhoids</w:t>
      </w:r>
    </w:p>
    <w:p>
      <w:pPr>
        <w:pStyle w:val="ListParagraph"/>
        <w:numPr>
          <w:ilvl w:val="0"/>
          <w:numId w:val="116"/>
        </w:numPr>
        <w:tabs>
          <w:tab w:pos="1528" w:val="left" w:leader="none"/>
          <w:tab w:pos="1529" w:val="left" w:leader="none"/>
        </w:tabs>
        <w:spacing w:line="240" w:lineRule="auto" w:before="184" w:after="0"/>
        <w:ind w:left="1528" w:right="0" w:hanging="552"/>
        <w:jc w:val="left"/>
        <w:rPr>
          <w:sz w:val="38"/>
        </w:rPr>
      </w:pPr>
      <w:r>
        <w:rPr>
          <w:sz w:val="38"/>
        </w:rPr>
        <w:t>Fragile, split</w:t>
      </w:r>
      <w:r>
        <w:rPr>
          <w:spacing w:val="-2"/>
          <w:sz w:val="38"/>
        </w:rPr>
        <w:t> </w:t>
      </w:r>
      <w:r>
        <w:rPr>
          <w:sz w:val="38"/>
        </w:rPr>
        <w:t>hair</w:t>
      </w:r>
    </w:p>
    <w:p>
      <w:pPr>
        <w:pStyle w:val="ListParagraph"/>
        <w:numPr>
          <w:ilvl w:val="0"/>
          <w:numId w:val="116"/>
        </w:numPr>
        <w:tabs>
          <w:tab w:pos="1528" w:val="left" w:leader="none"/>
          <w:tab w:pos="1529" w:val="left" w:leader="none"/>
        </w:tabs>
        <w:spacing w:line="240" w:lineRule="auto" w:before="184" w:after="0"/>
        <w:ind w:left="1528" w:right="0" w:hanging="552"/>
        <w:jc w:val="left"/>
        <w:rPr>
          <w:sz w:val="38"/>
        </w:rPr>
      </w:pPr>
      <w:r>
        <w:rPr>
          <w:sz w:val="38"/>
        </w:rPr>
        <w:t>Hair</w:t>
      </w:r>
      <w:r>
        <w:rPr>
          <w:spacing w:val="-1"/>
          <w:sz w:val="38"/>
        </w:rPr>
        <w:t> </w:t>
      </w:r>
      <w:r>
        <w:rPr>
          <w:sz w:val="38"/>
        </w:rPr>
        <w:t>loss</w:t>
      </w:r>
    </w:p>
    <w:p>
      <w:pPr>
        <w:pStyle w:val="ListParagraph"/>
        <w:numPr>
          <w:ilvl w:val="0"/>
          <w:numId w:val="116"/>
        </w:numPr>
        <w:tabs>
          <w:tab w:pos="1528" w:val="left" w:leader="none"/>
          <w:tab w:pos="1529" w:val="left" w:leader="none"/>
        </w:tabs>
        <w:spacing w:line="240" w:lineRule="auto" w:before="183" w:after="0"/>
        <w:ind w:left="1528" w:right="0" w:hanging="552"/>
        <w:jc w:val="left"/>
        <w:rPr>
          <w:sz w:val="38"/>
        </w:rPr>
      </w:pPr>
      <w:r>
        <w:rPr>
          <w:sz w:val="38"/>
        </w:rPr>
        <w:t>Respiratory</w:t>
      </w:r>
      <w:r>
        <w:rPr>
          <w:spacing w:val="-3"/>
          <w:sz w:val="38"/>
        </w:rPr>
        <w:t> </w:t>
      </w:r>
      <w:r>
        <w:rPr>
          <w:sz w:val="38"/>
        </w:rPr>
        <w:t>problems</w:t>
      </w:r>
    </w:p>
    <w:p>
      <w:pPr>
        <w:pStyle w:val="ListParagraph"/>
        <w:numPr>
          <w:ilvl w:val="0"/>
          <w:numId w:val="116"/>
        </w:numPr>
        <w:tabs>
          <w:tab w:pos="1528" w:val="left" w:leader="none"/>
          <w:tab w:pos="1529" w:val="left" w:leader="none"/>
        </w:tabs>
        <w:spacing w:line="240" w:lineRule="auto" w:before="186" w:after="0"/>
        <w:ind w:left="1528" w:right="0" w:hanging="552"/>
        <w:jc w:val="left"/>
        <w:rPr>
          <w:sz w:val="38"/>
        </w:rPr>
      </w:pPr>
      <w:r>
        <w:rPr>
          <w:sz w:val="38"/>
        </w:rPr>
        <w:t>Memory</w:t>
      </w:r>
      <w:r>
        <w:rPr>
          <w:spacing w:val="-2"/>
          <w:sz w:val="38"/>
        </w:rPr>
        <w:t> </w:t>
      </w:r>
      <w:r>
        <w:rPr>
          <w:sz w:val="38"/>
        </w:rPr>
        <w:t>impairment</w:t>
      </w:r>
    </w:p>
    <w:p>
      <w:pPr>
        <w:pStyle w:val="ListParagraph"/>
        <w:numPr>
          <w:ilvl w:val="0"/>
          <w:numId w:val="116"/>
        </w:numPr>
        <w:tabs>
          <w:tab w:pos="1528" w:val="left" w:leader="none"/>
          <w:tab w:pos="1529" w:val="left" w:leader="none"/>
        </w:tabs>
        <w:spacing w:line="240" w:lineRule="auto" w:before="184" w:after="0"/>
        <w:ind w:left="1528" w:right="0" w:hanging="552"/>
        <w:jc w:val="left"/>
        <w:rPr>
          <w:sz w:val="38"/>
        </w:rPr>
      </w:pPr>
      <w:r>
        <w:rPr>
          <w:sz w:val="38"/>
        </w:rPr>
        <w:t>Poor</w:t>
      </w:r>
      <w:r>
        <w:rPr>
          <w:spacing w:val="-3"/>
          <w:sz w:val="38"/>
        </w:rPr>
        <w:t> </w:t>
      </w:r>
      <w:r>
        <w:rPr>
          <w:sz w:val="38"/>
        </w:rPr>
        <w:t>concentration</w:t>
      </w:r>
    </w:p>
    <w:p>
      <w:pPr>
        <w:pStyle w:val="ListParagraph"/>
        <w:numPr>
          <w:ilvl w:val="0"/>
          <w:numId w:val="116"/>
        </w:numPr>
        <w:tabs>
          <w:tab w:pos="1528" w:val="left" w:leader="none"/>
          <w:tab w:pos="1529" w:val="left" w:leader="none"/>
        </w:tabs>
        <w:spacing w:line="240" w:lineRule="auto" w:before="184" w:after="0"/>
        <w:ind w:left="1528" w:right="0" w:hanging="552"/>
        <w:jc w:val="left"/>
        <w:rPr>
          <w:sz w:val="38"/>
        </w:rPr>
      </w:pPr>
      <w:r>
        <w:rPr>
          <w:sz w:val="38"/>
        </w:rPr>
        <w:t>Night</w:t>
      </w:r>
      <w:r>
        <w:rPr>
          <w:spacing w:val="-1"/>
          <w:sz w:val="38"/>
        </w:rPr>
        <w:t> </w:t>
      </w:r>
      <w:r>
        <w:rPr>
          <w:sz w:val="38"/>
        </w:rPr>
        <w:t>sweats</w:t>
      </w:r>
    </w:p>
    <w:p>
      <w:pPr>
        <w:pStyle w:val="ListParagraph"/>
        <w:numPr>
          <w:ilvl w:val="0"/>
          <w:numId w:val="116"/>
        </w:numPr>
        <w:tabs>
          <w:tab w:pos="1528" w:val="left" w:leader="none"/>
          <w:tab w:pos="1529" w:val="left" w:leader="none"/>
        </w:tabs>
        <w:spacing w:line="240" w:lineRule="auto" w:before="184" w:after="0"/>
        <w:ind w:left="1528" w:right="0" w:hanging="552"/>
        <w:jc w:val="left"/>
        <w:rPr>
          <w:sz w:val="38"/>
        </w:rPr>
      </w:pPr>
      <w:r>
        <w:rPr>
          <w:sz w:val="38"/>
        </w:rPr>
        <w:t>Cold</w:t>
      </w:r>
    </w:p>
    <w:p>
      <w:pPr>
        <w:spacing w:after="0" w:line="240" w:lineRule="auto"/>
        <w:jc w:val="left"/>
        <w:rPr>
          <w:sz w:val="38"/>
        </w:rPr>
        <w:sectPr>
          <w:pgSz w:w="14270" w:h="16850"/>
          <w:pgMar w:header="0" w:footer="1891" w:top="1360" w:bottom="2080" w:left="800" w:right="1280"/>
        </w:sectPr>
      </w:pPr>
    </w:p>
    <w:p>
      <w:pPr>
        <w:pStyle w:val="ListParagraph"/>
        <w:numPr>
          <w:ilvl w:val="0"/>
          <w:numId w:val="116"/>
        </w:numPr>
        <w:tabs>
          <w:tab w:pos="1528" w:val="left" w:leader="none"/>
          <w:tab w:pos="1529" w:val="left" w:leader="none"/>
        </w:tabs>
        <w:spacing w:line="240" w:lineRule="auto" w:before="53" w:after="0"/>
        <w:ind w:left="1528" w:right="0" w:hanging="552"/>
        <w:jc w:val="left"/>
        <w:rPr>
          <w:sz w:val="38"/>
        </w:rPr>
      </w:pPr>
      <w:r>
        <w:rPr>
          <w:sz w:val="38"/>
        </w:rPr>
        <w:t>Inefficiency</w:t>
      </w:r>
    </w:p>
    <w:p>
      <w:pPr>
        <w:pStyle w:val="ListParagraph"/>
        <w:numPr>
          <w:ilvl w:val="0"/>
          <w:numId w:val="116"/>
        </w:numPr>
        <w:tabs>
          <w:tab w:pos="1528" w:val="left" w:leader="none"/>
          <w:tab w:pos="1529" w:val="left" w:leader="none"/>
        </w:tabs>
        <w:spacing w:line="240" w:lineRule="auto" w:before="186" w:after="0"/>
        <w:ind w:left="1528" w:right="0" w:hanging="552"/>
        <w:jc w:val="left"/>
        <w:rPr>
          <w:sz w:val="38"/>
        </w:rPr>
      </w:pPr>
      <w:r>
        <w:rPr>
          <w:sz w:val="38"/>
        </w:rPr>
        <w:t>Fatigue</w:t>
      </w:r>
    </w:p>
    <w:p>
      <w:pPr>
        <w:pStyle w:val="ListParagraph"/>
        <w:numPr>
          <w:ilvl w:val="0"/>
          <w:numId w:val="116"/>
        </w:numPr>
        <w:tabs>
          <w:tab w:pos="1528" w:val="left" w:leader="none"/>
          <w:tab w:pos="1529" w:val="left" w:leader="none"/>
        </w:tabs>
        <w:spacing w:line="240" w:lineRule="auto" w:before="184" w:after="0"/>
        <w:ind w:left="1528" w:right="0" w:hanging="552"/>
        <w:jc w:val="left"/>
        <w:rPr>
          <w:sz w:val="38"/>
        </w:rPr>
      </w:pPr>
      <w:r>
        <w:rPr>
          <w:sz w:val="38"/>
        </w:rPr>
        <w:t>Enamel</w:t>
      </w:r>
      <w:r>
        <w:rPr>
          <w:spacing w:val="-2"/>
          <w:sz w:val="38"/>
        </w:rPr>
        <w:t> </w:t>
      </w:r>
      <w:r>
        <w:rPr>
          <w:sz w:val="38"/>
        </w:rPr>
        <w:t>problems</w:t>
      </w:r>
    </w:p>
    <w:p>
      <w:pPr>
        <w:pStyle w:val="ListParagraph"/>
        <w:numPr>
          <w:ilvl w:val="0"/>
          <w:numId w:val="116"/>
        </w:numPr>
        <w:tabs>
          <w:tab w:pos="1528" w:val="left" w:leader="none"/>
          <w:tab w:pos="1529" w:val="left" w:leader="none"/>
        </w:tabs>
        <w:spacing w:line="240" w:lineRule="auto" w:before="184" w:after="0"/>
        <w:ind w:left="1528" w:right="0" w:hanging="552"/>
        <w:jc w:val="left"/>
        <w:rPr>
          <w:sz w:val="38"/>
        </w:rPr>
      </w:pPr>
      <w:r>
        <w:rPr>
          <w:sz w:val="38"/>
        </w:rPr>
        <w:t>Caries</w:t>
      </w:r>
    </w:p>
    <w:p>
      <w:pPr>
        <w:pStyle w:val="ListParagraph"/>
        <w:numPr>
          <w:ilvl w:val="0"/>
          <w:numId w:val="116"/>
        </w:numPr>
        <w:tabs>
          <w:tab w:pos="1528" w:val="left" w:leader="none"/>
          <w:tab w:pos="1529" w:val="left" w:leader="none"/>
        </w:tabs>
        <w:spacing w:line="240" w:lineRule="auto" w:before="183" w:after="0"/>
        <w:ind w:left="1528" w:right="0" w:hanging="552"/>
        <w:jc w:val="left"/>
        <w:rPr>
          <w:sz w:val="38"/>
        </w:rPr>
      </w:pPr>
      <w:r>
        <w:rPr>
          <w:sz w:val="38"/>
        </w:rPr>
        <w:t>Allergies</w:t>
      </w:r>
    </w:p>
    <w:p>
      <w:pPr>
        <w:pStyle w:val="ListParagraph"/>
        <w:numPr>
          <w:ilvl w:val="0"/>
          <w:numId w:val="116"/>
        </w:numPr>
        <w:tabs>
          <w:tab w:pos="1528" w:val="left" w:leader="none"/>
          <w:tab w:pos="1529" w:val="left" w:leader="none"/>
        </w:tabs>
        <w:spacing w:line="240" w:lineRule="auto" w:before="184" w:after="0"/>
        <w:ind w:left="1528" w:right="0" w:hanging="552"/>
        <w:jc w:val="left"/>
        <w:rPr>
          <w:sz w:val="38"/>
        </w:rPr>
      </w:pPr>
      <w:r>
        <w:rPr>
          <w:sz w:val="38"/>
        </w:rPr>
        <w:t>Lung and bronchial problems</w:t>
      </w:r>
    </w:p>
    <w:p>
      <w:pPr>
        <w:pStyle w:val="ListParagraph"/>
        <w:numPr>
          <w:ilvl w:val="0"/>
          <w:numId w:val="116"/>
        </w:numPr>
        <w:tabs>
          <w:tab w:pos="1528" w:val="left" w:leader="none"/>
          <w:tab w:pos="1529" w:val="left" w:leader="none"/>
        </w:tabs>
        <w:spacing w:line="240" w:lineRule="auto" w:before="186" w:after="0"/>
        <w:ind w:left="1528" w:right="0" w:hanging="552"/>
        <w:jc w:val="left"/>
        <w:rPr>
          <w:sz w:val="38"/>
        </w:rPr>
      </w:pPr>
      <w:r>
        <w:rPr>
          <w:sz w:val="38"/>
        </w:rPr>
        <w:t>Sleep</w:t>
      </w:r>
      <w:r>
        <w:rPr>
          <w:spacing w:val="1"/>
          <w:sz w:val="38"/>
        </w:rPr>
        <w:t> </w:t>
      </w:r>
      <w:r>
        <w:rPr>
          <w:sz w:val="38"/>
        </w:rPr>
        <w:t>disorders</w:t>
      </w:r>
    </w:p>
    <w:p>
      <w:pPr>
        <w:pStyle w:val="ListParagraph"/>
        <w:numPr>
          <w:ilvl w:val="0"/>
          <w:numId w:val="116"/>
        </w:numPr>
        <w:tabs>
          <w:tab w:pos="1528" w:val="left" w:leader="none"/>
          <w:tab w:pos="1529" w:val="left" w:leader="none"/>
        </w:tabs>
        <w:spacing w:line="240" w:lineRule="auto" w:before="184" w:after="0"/>
        <w:ind w:left="1528" w:right="0" w:hanging="552"/>
        <w:jc w:val="left"/>
        <w:rPr>
          <w:sz w:val="38"/>
        </w:rPr>
      </w:pPr>
      <w:r>
        <w:rPr>
          <w:sz w:val="38"/>
        </w:rPr>
        <w:t>Increased</w:t>
      </w:r>
      <w:r>
        <w:rPr>
          <w:spacing w:val="-1"/>
          <w:sz w:val="38"/>
        </w:rPr>
        <w:t> </w:t>
      </w:r>
      <w:r>
        <w:rPr>
          <w:sz w:val="38"/>
        </w:rPr>
        <w:t>sensitivity</w:t>
      </w:r>
    </w:p>
    <w:p>
      <w:pPr>
        <w:pStyle w:val="ListParagraph"/>
        <w:numPr>
          <w:ilvl w:val="0"/>
          <w:numId w:val="116"/>
        </w:numPr>
        <w:tabs>
          <w:tab w:pos="1528" w:val="left" w:leader="none"/>
          <w:tab w:pos="1529" w:val="left" w:leader="none"/>
        </w:tabs>
        <w:spacing w:line="240" w:lineRule="auto" w:before="184" w:after="0"/>
        <w:ind w:left="1528" w:right="0" w:hanging="552"/>
        <w:jc w:val="left"/>
        <w:rPr>
          <w:sz w:val="38"/>
        </w:rPr>
      </w:pPr>
      <w:r>
        <w:rPr>
          <w:sz w:val="38"/>
        </w:rPr>
        <w:t>Diarrhoea</w:t>
      </w:r>
    </w:p>
    <w:p>
      <w:pPr>
        <w:pStyle w:val="ListParagraph"/>
        <w:numPr>
          <w:ilvl w:val="0"/>
          <w:numId w:val="116"/>
        </w:numPr>
        <w:tabs>
          <w:tab w:pos="1528" w:val="left" w:leader="none"/>
          <w:tab w:pos="1529" w:val="left" w:leader="none"/>
        </w:tabs>
        <w:spacing w:line="240" w:lineRule="auto" w:before="183" w:after="0"/>
        <w:ind w:left="1528" w:right="0" w:hanging="552"/>
        <w:jc w:val="left"/>
        <w:rPr>
          <w:sz w:val="38"/>
        </w:rPr>
      </w:pPr>
      <w:r>
        <w:rPr>
          <w:sz w:val="38"/>
        </w:rPr>
        <w:t>Intestinal disorders</w:t>
      </w:r>
    </w:p>
    <w:p>
      <w:pPr>
        <w:pStyle w:val="ListParagraph"/>
        <w:numPr>
          <w:ilvl w:val="0"/>
          <w:numId w:val="116"/>
        </w:numPr>
        <w:tabs>
          <w:tab w:pos="1528" w:val="left" w:leader="none"/>
          <w:tab w:pos="1529" w:val="left" w:leader="none"/>
        </w:tabs>
        <w:spacing w:line="240" w:lineRule="auto" w:before="186" w:after="0"/>
        <w:ind w:left="1528" w:right="0" w:hanging="552"/>
        <w:jc w:val="left"/>
        <w:rPr>
          <w:sz w:val="38"/>
        </w:rPr>
      </w:pPr>
      <w:r>
        <w:rPr>
          <w:sz w:val="38"/>
        </w:rPr>
        <w:t>Flatulence</w:t>
      </w:r>
    </w:p>
    <w:p>
      <w:pPr>
        <w:pStyle w:val="ListParagraph"/>
        <w:numPr>
          <w:ilvl w:val="0"/>
          <w:numId w:val="116"/>
        </w:numPr>
        <w:tabs>
          <w:tab w:pos="1528" w:val="left" w:leader="none"/>
          <w:tab w:pos="1529" w:val="left" w:leader="none"/>
        </w:tabs>
        <w:spacing w:line="240" w:lineRule="auto" w:before="184" w:after="0"/>
        <w:ind w:left="1528" w:right="0" w:hanging="552"/>
        <w:jc w:val="left"/>
        <w:rPr>
          <w:sz w:val="38"/>
        </w:rPr>
      </w:pPr>
      <w:r>
        <w:rPr>
          <w:sz w:val="38"/>
        </w:rPr>
        <w:t>Congestion</w:t>
      </w:r>
    </w:p>
    <w:p>
      <w:pPr>
        <w:pStyle w:val="ListParagraph"/>
        <w:numPr>
          <w:ilvl w:val="0"/>
          <w:numId w:val="116"/>
        </w:numPr>
        <w:tabs>
          <w:tab w:pos="1528" w:val="left" w:leader="none"/>
          <w:tab w:pos="1529" w:val="left" w:leader="none"/>
        </w:tabs>
        <w:spacing w:line="240" w:lineRule="auto" w:before="184" w:after="0"/>
        <w:ind w:left="1528" w:right="0" w:hanging="552"/>
        <w:jc w:val="left"/>
        <w:rPr>
          <w:sz w:val="38"/>
        </w:rPr>
      </w:pPr>
      <w:r>
        <w:rPr>
          <w:sz w:val="38"/>
        </w:rPr>
        <w:t>Stomach disease</w:t>
      </w:r>
    </w:p>
    <w:p>
      <w:pPr>
        <w:pStyle w:val="ListParagraph"/>
        <w:numPr>
          <w:ilvl w:val="0"/>
          <w:numId w:val="116"/>
        </w:numPr>
        <w:tabs>
          <w:tab w:pos="1528" w:val="left" w:leader="none"/>
          <w:tab w:pos="1529" w:val="left" w:leader="none"/>
        </w:tabs>
        <w:spacing w:line="240" w:lineRule="auto" w:before="184" w:after="0"/>
        <w:ind w:left="1528" w:right="0" w:hanging="552"/>
        <w:jc w:val="left"/>
        <w:rPr>
          <w:sz w:val="38"/>
        </w:rPr>
      </w:pPr>
      <w:r>
        <w:rPr>
          <w:sz w:val="38"/>
        </w:rPr>
        <w:t>Stomach pain</w:t>
      </w:r>
    </w:p>
    <w:p>
      <w:pPr>
        <w:pStyle w:val="ListParagraph"/>
        <w:numPr>
          <w:ilvl w:val="0"/>
          <w:numId w:val="116"/>
        </w:numPr>
        <w:tabs>
          <w:tab w:pos="1528" w:val="left" w:leader="none"/>
          <w:tab w:pos="1529" w:val="left" w:leader="none"/>
        </w:tabs>
        <w:spacing w:line="240" w:lineRule="auto" w:before="183" w:after="0"/>
        <w:ind w:left="1528" w:right="0" w:hanging="552"/>
        <w:jc w:val="left"/>
        <w:rPr>
          <w:sz w:val="38"/>
        </w:rPr>
      </w:pPr>
      <w:r>
        <w:rPr>
          <w:sz w:val="38"/>
        </w:rPr>
        <w:t>Heartburn</w:t>
      </w:r>
    </w:p>
    <w:p>
      <w:pPr>
        <w:pStyle w:val="ListParagraph"/>
        <w:numPr>
          <w:ilvl w:val="0"/>
          <w:numId w:val="116"/>
        </w:numPr>
        <w:tabs>
          <w:tab w:pos="1528" w:val="left" w:leader="none"/>
          <w:tab w:pos="1529" w:val="left" w:leader="none"/>
        </w:tabs>
        <w:spacing w:line="240" w:lineRule="auto" w:before="186" w:after="0"/>
        <w:ind w:left="1528" w:right="0" w:hanging="552"/>
        <w:jc w:val="left"/>
        <w:rPr>
          <w:sz w:val="38"/>
        </w:rPr>
      </w:pPr>
      <w:r>
        <w:rPr>
          <w:sz w:val="38"/>
        </w:rPr>
        <w:t>Bleeding gums</w:t>
      </w:r>
    </w:p>
    <w:p>
      <w:pPr>
        <w:pStyle w:val="ListParagraph"/>
        <w:numPr>
          <w:ilvl w:val="0"/>
          <w:numId w:val="116"/>
        </w:numPr>
        <w:tabs>
          <w:tab w:pos="1528" w:val="left" w:leader="none"/>
          <w:tab w:pos="1529" w:val="left" w:leader="none"/>
        </w:tabs>
        <w:spacing w:line="240" w:lineRule="auto" w:before="184" w:after="0"/>
        <w:ind w:left="1528" w:right="0" w:hanging="552"/>
        <w:jc w:val="left"/>
        <w:rPr>
          <w:sz w:val="38"/>
        </w:rPr>
      </w:pPr>
      <w:r>
        <w:rPr>
          <w:sz w:val="38"/>
        </w:rPr>
        <w:t>Gum</w:t>
      </w:r>
      <w:r>
        <w:rPr>
          <w:spacing w:val="-2"/>
          <w:sz w:val="38"/>
        </w:rPr>
        <w:t> </w:t>
      </w:r>
      <w:r>
        <w:rPr>
          <w:sz w:val="38"/>
        </w:rPr>
        <w:t>inflammation</w:t>
      </w:r>
    </w:p>
    <w:p>
      <w:pPr>
        <w:pStyle w:val="ListParagraph"/>
        <w:numPr>
          <w:ilvl w:val="0"/>
          <w:numId w:val="116"/>
        </w:numPr>
        <w:tabs>
          <w:tab w:pos="1528" w:val="left" w:leader="none"/>
          <w:tab w:pos="1529" w:val="left" w:leader="none"/>
        </w:tabs>
        <w:spacing w:line="240" w:lineRule="auto" w:before="184" w:after="0"/>
        <w:ind w:left="1528" w:right="0" w:hanging="552"/>
        <w:jc w:val="left"/>
        <w:rPr>
          <w:sz w:val="38"/>
        </w:rPr>
      </w:pPr>
      <w:r>
        <w:rPr>
          <w:sz w:val="38"/>
        </w:rPr>
        <w:t>Gum</w:t>
      </w:r>
      <w:r>
        <w:rPr>
          <w:spacing w:val="-2"/>
          <w:sz w:val="38"/>
        </w:rPr>
        <w:t> </w:t>
      </w:r>
      <w:r>
        <w:rPr>
          <w:sz w:val="38"/>
        </w:rPr>
        <w:t>disease</w:t>
      </w:r>
    </w:p>
    <w:p>
      <w:pPr>
        <w:pStyle w:val="ListParagraph"/>
        <w:numPr>
          <w:ilvl w:val="0"/>
          <w:numId w:val="116"/>
        </w:numPr>
        <w:tabs>
          <w:tab w:pos="1528" w:val="left" w:leader="none"/>
          <w:tab w:pos="1529" w:val="left" w:leader="none"/>
        </w:tabs>
        <w:spacing w:line="240" w:lineRule="auto" w:before="184" w:after="0"/>
        <w:ind w:left="1528" w:right="0" w:hanging="552"/>
        <w:jc w:val="left"/>
        <w:rPr>
          <w:sz w:val="38"/>
        </w:rPr>
      </w:pPr>
      <w:r>
        <w:rPr>
          <w:sz w:val="38"/>
        </w:rPr>
        <w:t>Dizziness</w:t>
      </w:r>
    </w:p>
    <w:p>
      <w:pPr>
        <w:spacing w:after="0" w:line="240" w:lineRule="auto"/>
        <w:jc w:val="left"/>
        <w:rPr>
          <w:sz w:val="38"/>
        </w:rPr>
        <w:sectPr>
          <w:pgSz w:w="14270" w:h="16850"/>
          <w:pgMar w:header="0" w:footer="1891" w:top="1360" w:bottom="2080" w:left="800" w:right="1280"/>
        </w:sectPr>
      </w:pPr>
    </w:p>
    <w:p>
      <w:pPr>
        <w:pStyle w:val="ListParagraph"/>
        <w:numPr>
          <w:ilvl w:val="0"/>
          <w:numId w:val="116"/>
        </w:numPr>
        <w:tabs>
          <w:tab w:pos="1528" w:val="left" w:leader="none"/>
          <w:tab w:pos="1529" w:val="left" w:leader="none"/>
        </w:tabs>
        <w:spacing w:line="240" w:lineRule="auto" w:before="53" w:after="0"/>
        <w:ind w:left="1528" w:right="0" w:hanging="552"/>
        <w:jc w:val="left"/>
        <w:rPr>
          <w:sz w:val="38"/>
        </w:rPr>
      </w:pPr>
      <w:r>
        <w:rPr>
          <w:sz w:val="38"/>
        </w:rPr>
        <w:t>Tonsillitis</w:t>
      </w:r>
    </w:p>
    <w:p>
      <w:pPr>
        <w:pStyle w:val="ListParagraph"/>
        <w:numPr>
          <w:ilvl w:val="0"/>
          <w:numId w:val="116"/>
        </w:numPr>
        <w:tabs>
          <w:tab w:pos="1528" w:val="left" w:leader="none"/>
          <w:tab w:pos="1529" w:val="left" w:leader="none"/>
        </w:tabs>
        <w:spacing w:line="240" w:lineRule="auto" w:before="186" w:after="0"/>
        <w:ind w:left="1528" w:right="0" w:hanging="552"/>
        <w:jc w:val="left"/>
        <w:rPr>
          <w:sz w:val="38"/>
        </w:rPr>
      </w:pPr>
      <w:r>
        <w:rPr>
          <w:sz w:val="38"/>
        </w:rPr>
        <w:t>Muscle</w:t>
      </w:r>
      <w:r>
        <w:rPr>
          <w:spacing w:val="-1"/>
          <w:sz w:val="38"/>
        </w:rPr>
        <w:t> </w:t>
      </w:r>
      <w:r>
        <w:rPr>
          <w:sz w:val="38"/>
        </w:rPr>
        <w:t>strain</w:t>
      </w:r>
    </w:p>
    <w:p>
      <w:pPr>
        <w:pStyle w:val="ListParagraph"/>
        <w:numPr>
          <w:ilvl w:val="0"/>
          <w:numId w:val="116"/>
        </w:numPr>
        <w:tabs>
          <w:tab w:pos="1528" w:val="left" w:leader="none"/>
          <w:tab w:pos="1529" w:val="left" w:leader="none"/>
        </w:tabs>
        <w:spacing w:line="240" w:lineRule="auto" w:before="184" w:after="0"/>
        <w:ind w:left="1528" w:right="0" w:hanging="552"/>
        <w:jc w:val="left"/>
        <w:rPr>
          <w:sz w:val="38"/>
        </w:rPr>
      </w:pPr>
      <w:r>
        <w:rPr>
          <w:sz w:val="38"/>
        </w:rPr>
        <w:t>Ligament</w:t>
      </w:r>
      <w:r>
        <w:rPr>
          <w:spacing w:val="-1"/>
          <w:sz w:val="38"/>
        </w:rPr>
        <w:t> </w:t>
      </w:r>
      <w:r>
        <w:rPr>
          <w:sz w:val="38"/>
        </w:rPr>
        <w:t>strain</w:t>
      </w:r>
    </w:p>
    <w:p>
      <w:pPr>
        <w:pStyle w:val="ListParagraph"/>
        <w:numPr>
          <w:ilvl w:val="0"/>
          <w:numId w:val="116"/>
        </w:numPr>
        <w:tabs>
          <w:tab w:pos="1528" w:val="left" w:leader="none"/>
          <w:tab w:pos="1529" w:val="left" w:leader="none"/>
        </w:tabs>
        <w:spacing w:line="240" w:lineRule="auto" w:before="184" w:after="0"/>
        <w:ind w:left="1528" w:right="0" w:hanging="552"/>
        <w:jc w:val="left"/>
        <w:rPr>
          <w:sz w:val="38"/>
        </w:rPr>
      </w:pPr>
      <w:r>
        <w:rPr>
          <w:sz w:val="38"/>
        </w:rPr>
        <w:t>Pulled</w:t>
      </w:r>
      <w:r>
        <w:rPr>
          <w:spacing w:val="-2"/>
          <w:sz w:val="38"/>
        </w:rPr>
        <w:t> </w:t>
      </w:r>
      <w:r>
        <w:rPr>
          <w:sz w:val="38"/>
        </w:rPr>
        <w:t>tendon</w:t>
      </w:r>
    </w:p>
    <w:p>
      <w:pPr>
        <w:pStyle w:val="ListParagraph"/>
        <w:numPr>
          <w:ilvl w:val="0"/>
          <w:numId w:val="116"/>
        </w:numPr>
        <w:tabs>
          <w:tab w:pos="1528" w:val="left" w:leader="none"/>
          <w:tab w:pos="1529" w:val="left" w:leader="none"/>
        </w:tabs>
        <w:spacing w:line="240" w:lineRule="auto" w:before="183" w:after="0"/>
        <w:ind w:left="1528" w:right="0" w:hanging="552"/>
        <w:jc w:val="left"/>
        <w:rPr>
          <w:sz w:val="38"/>
        </w:rPr>
      </w:pPr>
      <w:r>
        <w:rPr>
          <w:sz w:val="38"/>
        </w:rPr>
        <w:t>Sprains</w:t>
      </w:r>
    </w:p>
    <w:p>
      <w:pPr>
        <w:pStyle w:val="ListParagraph"/>
        <w:numPr>
          <w:ilvl w:val="0"/>
          <w:numId w:val="116"/>
        </w:numPr>
        <w:tabs>
          <w:tab w:pos="1528" w:val="left" w:leader="none"/>
          <w:tab w:pos="1529" w:val="left" w:leader="none"/>
        </w:tabs>
        <w:spacing w:line="240" w:lineRule="auto" w:before="184" w:after="0"/>
        <w:ind w:left="1528" w:right="0" w:hanging="552"/>
        <w:jc w:val="left"/>
        <w:rPr>
          <w:sz w:val="38"/>
        </w:rPr>
      </w:pPr>
      <w:r>
        <w:rPr>
          <w:sz w:val="38"/>
        </w:rPr>
        <w:t>Tendonitis</w:t>
      </w:r>
    </w:p>
    <w:p>
      <w:pPr>
        <w:pStyle w:val="ListParagraph"/>
        <w:numPr>
          <w:ilvl w:val="0"/>
          <w:numId w:val="116"/>
        </w:numPr>
        <w:tabs>
          <w:tab w:pos="1528" w:val="left" w:leader="none"/>
          <w:tab w:pos="1529" w:val="left" w:leader="none"/>
        </w:tabs>
        <w:spacing w:line="240" w:lineRule="auto" w:before="186" w:after="0"/>
        <w:ind w:left="1528" w:right="0" w:hanging="552"/>
        <w:jc w:val="left"/>
        <w:rPr>
          <w:sz w:val="38"/>
        </w:rPr>
      </w:pPr>
      <w:r>
        <w:rPr>
          <w:sz w:val="38"/>
        </w:rPr>
        <w:t>Hernia</w:t>
      </w:r>
    </w:p>
    <w:p>
      <w:pPr>
        <w:pStyle w:val="ListParagraph"/>
        <w:numPr>
          <w:ilvl w:val="0"/>
          <w:numId w:val="116"/>
        </w:numPr>
        <w:tabs>
          <w:tab w:pos="1528" w:val="left" w:leader="none"/>
          <w:tab w:pos="1529" w:val="left" w:leader="none"/>
        </w:tabs>
        <w:spacing w:line="240" w:lineRule="auto" w:before="184" w:after="0"/>
        <w:ind w:left="1528" w:right="0" w:hanging="552"/>
        <w:jc w:val="left"/>
        <w:rPr>
          <w:sz w:val="38"/>
        </w:rPr>
      </w:pPr>
      <w:r>
        <w:rPr>
          <w:sz w:val="38"/>
        </w:rPr>
        <w:t>Ulcers</w:t>
      </w:r>
    </w:p>
    <w:p>
      <w:pPr>
        <w:pStyle w:val="ListParagraph"/>
        <w:numPr>
          <w:ilvl w:val="0"/>
          <w:numId w:val="116"/>
        </w:numPr>
        <w:tabs>
          <w:tab w:pos="1528" w:val="left" w:leader="none"/>
          <w:tab w:pos="1529" w:val="left" w:leader="none"/>
        </w:tabs>
        <w:spacing w:line="240" w:lineRule="auto" w:before="184" w:after="0"/>
        <w:ind w:left="1528" w:right="0" w:hanging="552"/>
        <w:jc w:val="left"/>
        <w:rPr>
          <w:sz w:val="38"/>
        </w:rPr>
      </w:pPr>
      <w:r>
        <w:rPr>
          <w:sz w:val="38"/>
        </w:rPr>
        <w:t>Cellulitis</w:t>
      </w:r>
    </w:p>
    <w:p>
      <w:pPr>
        <w:pStyle w:val="ListParagraph"/>
        <w:numPr>
          <w:ilvl w:val="0"/>
          <w:numId w:val="116"/>
        </w:numPr>
        <w:tabs>
          <w:tab w:pos="1528" w:val="left" w:leader="none"/>
          <w:tab w:pos="1529" w:val="left" w:leader="none"/>
        </w:tabs>
        <w:spacing w:line="240" w:lineRule="auto" w:before="183" w:after="0"/>
        <w:ind w:left="1528" w:right="0" w:hanging="552"/>
        <w:jc w:val="left"/>
        <w:rPr>
          <w:sz w:val="38"/>
        </w:rPr>
      </w:pPr>
      <w:r>
        <w:rPr>
          <w:sz w:val="38"/>
        </w:rPr>
        <w:t>Ringing in the</w:t>
      </w:r>
      <w:r>
        <w:rPr>
          <w:spacing w:val="-2"/>
          <w:sz w:val="38"/>
        </w:rPr>
        <w:t> </w:t>
      </w:r>
      <w:r>
        <w:rPr>
          <w:sz w:val="38"/>
        </w:rPr>
        <w:t>ears</w:t>
      </w:r>
    </w:p>
    <w:p>
      <w:pPr>
        <w:pStyle w:val="ListParagraph"/>
        <w:numPr>
          <w:ilvl w:val="0"/>
          <w:numId w:val="116"/>
        </w:numPr>
        <w:tabs>
          <w:tab w:pos="1528" w:val="left" w:leader="none"/>
          <w:tab w:pos="1529" w:val="left" w:leader="none"/>
        </w:tabs>
        <w:spacing w:line="240" w:lineRule="auto" w:before="186" w:after="0"/>
        <w:ind w:left="1528" w:right="0" w:hanging="552"/>
        <w:jc w:val="left"/>
        <w:rPr>
          <w:sz w:val="38"/>
        </w:rPr>
      </w:pPr>
      <w:r>
        <w:rPr>
          <w:sz w:val="38"/>
        </w:rPr>
        <w:t>Headaches</w:t>
      </w:r>
    </w:p>
    <w:p>
      <w:pPr>
        <w:pStyle w:val="ListParagraph"/>
        <w:numPr>
          <w:ilvl w:val="0"/>
          <w:numId w:val="116"/>
        </w:numPr>
        <w:tabs>
          <w:tab w:pos="1528" w:val="left" w:leader="none"/>
          <w:tab w:pos="1529" w:val="left" w:leader="none"/>
        </w:tabs>
        <w:spacing w:line="240" w:lineRule="auto" w:before="184" w:after="0"/>
        <w:ind w:left="1528" w:right="0" w:hanging="552"/>
        <w:jc w:val="left"/>
        <w:rPr>
          <w:sz w:val="38"/>
        </w:rPr>
      </w:pPr>
      <w:r>
        <w:rPr>
          <w:sz w:val="38"/>
        </w:rPr>
        <w:t>Cancer</w:t>
      </w:r>
    </w:p>
    <w:p>
      <w:pPr>
        <w:pStyle w:val="Heading2"/>
        <w:spacing w:before="303"/>
        <w:ind w:left="616"/>
        <w:jc w:val="both"/>
      </w:pPr>
      <w:r>
        <w:rPr/>
        <w:t>Silicon/silica – the products</w:t>
      </w:r>
    </w:p>
    <w:p>
      <w:pPr>
        <w:pStyle w:val="BodyText"/>
        <w:spacing w:line="276" w:lineRule="auto" w:before="304"/>
        <w:ind w:left="616" w:right="137"/>
        <w:jc w:val="both"/>
      </w:pPr>
      <w:r>
        <w:rPr/>
        <w:t>The importance of a substance for the human organism can be deduced, among other things, from the frequency of its occurrence in our body. Silicon is in all types of tissue in our body.</w:t>
      </w:r>
    </w:p>
    <w:p>
      <w:pPr>
        <w:pStyle w:val="BodyText"/>
        <w:spacing w:line="276" w:lineRule="auto" w:before="241"/>
        <w:ind w:left="616" w:right="137"/>
        <w:jc w:val="both"/>
      </w:pPr>
      <w:r>
        <w:rPr/>
        <w:t>Today's food also provides fewer and fewer nutrients due to industrial pro- cessing, artificial fertiliser methods, growth promoters, long-term storage</w:t>
      </w:r>
      <w:r>
        <w:rPr>
          <w:spacing w:val="59"/>
        </w:rPr>
        <w:t> </w:t>
      </w:r>
      <w:r>
        <w:rPr/>
        <w:t>and</w:t>
      </w:r>
    </w:p>
    <w:p>
      <w:pPr>
        <w:spacing w:after="0" w:line="276" w:lineRule="auto"/>
        <w:jc w:val="both"/>
        <w:sectPr>
          <w:pgSz w:w="14270" w:h="16850"/>
          <w:pgMar w:header="0" w:footer="1891" w:top="1360" w:bottom="2080" w:left="800" w:right="1280"/>
        </w:sectPr>
      </w:pPr>
    </w:p>
    <w:p>
      <w:pPr>
        <w:pStyle w:val="BodyText"/>
        <w:spacing w:line="276" w:lineRule="auto" w:before="72"/>
        <w:ind w:left="616" w:right="134"/>
        <w:jc w:val="both"/>
        <w:rPr>
          <w:sz w:val="25"/>
        </w:rPr>
      </w:pPr>
      <w:r>
        <w:rPr/>
        <w:t>environmental</w:t>
      </w:r>
      <w:r>
        <w:rPr>
          <w:spacing w:val="-10"/>
        </w:rPr>
        <w:t> </w:t>
      </w:r>
      <w:r>
        <w:rPr/>
        <w:t>factors.</w:t>
      </w:r>
      <w:r>
        <w:rPr>
          <w:spacing w:val="-7"/>
        </w:rPr>
        <w:t> </w:t>
      </w:r>
      <w:r>
        <w:rPr/>
        <w:t>So</w:t>
      </w:r>
      <w:r>
        <w:rPr>
          <w:spacing w:val="-6"/>
        </w:rPr>
        <w:t> </w:t>
      </w:r>
      <w:r>
        <w:rPr/>
        <w:t>it</w:t>
      </w:r>
      <w:r>
        <w:rPr>
          <w:spacing w:val="-10"/>
        </w:rPr>
        <w:t> </w:t>
      </w:r>
      <w:r>
        <w:rPr/>
        <w:t>makes</w:t>
      </w:r>
      <w:r>
        <w:rPr>
          <w:spacing w:val="-8"/>
        </w:rPr>
        <w:t> </w:t>
      </w:r>
      <w:r>
        <w:rPr/>
        <w:t>a</w:t>
      </w:r>
      <w:r>
        <w:rPr>
          <w:spacing w:val="-8"/>
        </w:rPr>
        <w:t> </w:t>
      </w:r>
      <w:r>
        <w:rPr/>
        <w:t>lot</w:t>
      </w:r>
      <w:r>
        <w:rPr>
          <w:spacing w:val="-8"/>
        </w:rPr>
        <w:t> </w:t>
      </w:r>
      <w:r>
        <w:rPr/>
        <w:t>of</w:t>
      </w:r>
      <w:r>
        <w:rPr>
          <w:spacing w:val="-8"/>
        </w:rPr>
        <w:t> </w:t>
      </w:r>
      <w:r>
        <w:rPr/>
        <w:t>sense</w:t>
      </w:r>
      <w:r>
        <w:rPr>
          <w:spacing w:val="-9"/>
        </w:rPr>
        <w:t> </w:t>
      </w:r>
      <w:r>
        <w:rPr/>
        <w:t>to</w:t>
      </w:r>
      <w:r>
        <w:rPr>
          <w:spacing w:val="-8"/>
        </w:rPr>
        <w:t> </w:t>
      </w:r>
      <w:r>
        <w:rPr/>
        <w:t>resort</w:t>
      </w:r>
      <w:r>
        <w:rPr>
          <w:spacing w:val="-7"/>
        </w:rPr>
        <w:t> </w:t>
      </w:r>
      <w:r>
        <w:rPr/>
        <w:t>to</w:t>
      </w:r>
      <w:r>
        <w:rPr>
          <w:spacing w:val="-8"/>
        </w:rPr>
        <w:t> </w:t>
      </w:r>
      <w:r>
        <w:rPr/>
        <w:t>using</w:t>
      </w:r>
      <w:r>
        <w:rPr>
          <w:spacing w:val="-8"/>
        </w:rPr>
        <w:t> </w:t>
      </w:r>
      <w:r>
        <w:rPr/>
        <w:t>silicon</w:t>
      </w:r>
      <w:r>
        <w:rPr>
          <w:spacing w:val="-6"/>
        </w:rPr>
        <w:t> </w:t>
      </w:r>
      <w:r>
        <w:rPr/>
        <w:t>sup- plements for prevention and cure and supplement these with external</w:t>
      </w:r>
      <w:r>
        <w:rPr>
          <w:spacing w:val="-58"/>
        </w:rPr>
        <w:t> </w:t>
      </w:r>
      <w:r>
        <w:rPr/>
        <w:t>applica- tions</w:t>
      </w:r>
      <w:r>
        <w:rPr>
          <w:spacing w:val="-22"/>
        </w:rPr>
        <w:t> </w:t>
      </w:r>
      <w:r>
        <w:rPr/>
        <w:t>for</w:t>
      </w:r>
      <w:r>
        <w:rPr>
          <w:spacing w:val="-23"/>
        </w:rPr>
        <w:t> </w:t>
      </w:r>
      <w:r>
        <w:rPr/>
        <w:t>certain</w:t>
      </w:r>
      <w:r>
        <w:rPr>
          <w:spacing w:val="-24"/>
        </w:rPr>
        <w:t> </w:t>
      </w:r>
      <w:r>
        <w:rPr/>
        <w:t>indications.</w:t>
      </w:r>
      <w:r>
        <w:rPr>
          <w:spacing w:val="-20"/>
        </w:rPr>
        <w:t> </w:t>
      </w:r>
      <w:r>
        <w:rPr/>
        <w:t>Although</w:t>
      </w:r>
      <w:r>
        <w:rPr>
          <w:spacing w:val="-22"/>
        </w:rPr>
        <w:t> </w:t>
      </w:r>
      <w:r>
        <w:rPr/>
        <w:t>the</w:t>
      </w:r>
      <w:r>
        <w:rPr>
          <w:spacing w:val="-21"/>
        </w:rPr>
        <w:t> </w:t>
      </w:r>
      <w:r>
        <w:rPr/>
        <w:t>concentration</w:t>
      </w:r>
      <w:r>
        <w:rPr>
          <w:spacing w:val="-20"/>
        </w:rPr>
        <w:t> </w:t>
      </w:r>
      <w:r>
        <w:rPr/>
        <w:t>of</w:t>
      </w:r>
      <w:r>
        <w:rPr>
          <w:spacing w:val="-21"/>
        </w:rPr>
        <w:t> </w:t>
      </w:r>
      <w:r>
        <w:rPr/>
        <w:t>silicon</w:t>
      </w:r>
      <w:r>
        <w:rPr>
          <w:spacing w:val="-23"/>
        </w:rPr>
        <w:t> </w:t>
      </w:r>
      <w:r>
        <w:rPr/>
        <w:t>in</w:t>
      </w:r>
      <w:r>
        <w:rPr>
          <w:spacing w:val="-21"/>
        </w:rPr>
        <w:t> </w:t>
      </w:r>
      <w:r>
        <w:rPr/>
        <w:t>our</w:t>
      </w:r>
      <w:r>
        <w:rPr>
          <w:spacing w:val="-21"/>
        </w:rPr>
        <w:t> </w:t>
      </w:r>
      <w:r>
        <w:rPr/>
        <w:t>tissue steadily decreases with age, studies suggest that this concentration may be in- creased by additional external</w:t>
      </w:r>
      <w:r>
        <w:rPr>
          <w:spacing w:val="-1"/>
        </w:rPr>
        <w:t> </w:t>
      </w:r>
      <w:r>
        <w:rPr/>
        <w:t>application.</w:t>
      </w:r>
      <w:r>
        <w:rPr>
          <w:position w:val="9"/>
          <w:sz w:val="25"/>
        </w:rPr>
        <w:t>844</w:t>
      </w:r>
    </w:p>
    <w:p>
      <w:pPr>
        <w:pStyle w:val="Heading1"/>
        <w:ind w:left="616"/>
        <w:jc w:val="both"/>
      </w:pPr>
      <w:r>
        <w:rPr/>
        <w:t>Internal application of silicon/silica</w:t>
      </w:r>
    </w:p>
    <w:p>
      <w:pPr>
        <w:pStyle w:val="BodyText"/>
        <w:spacing w:before="300"/>
        <w:ind w:left="616"/>
        <w:jc w:val="both"/>
      </w:pPr>
      <w:r>
        <w:rPr/>
        <w:t>For internal applications, silicon/silica is taken orally.</w:t>
      </w:r>
    </w:p>
    <w:p>
      <w:pPr>
        <w:pStyle w:val="Heading1"/>
        <w:spacing w:before="288"/>
        <w:ind w:left="616"/>
        <w:jc w:val="both"/>
      </w:pPr>
      <w:r>
        <w:rPr/>
        <w:t>Silicon products for internal application</w:t>
      </w:r>
    </w:p>
    <w:p>
      <w:pPr>
        <w:pStyle w:val="BodyText"/>
        <w:spacing w:before="299"/>
        <w:ind w:left="616"/>
        <w:jc w:val="both"/>
      </w:pPr>
      <w:r>
        <w:rPr/>
        <w:t>The following silicon products for ingestion are commercially available:</w:t>
      </w:r>
    </w:p>
    <w:p>
      <w:pPr>
        <w:pStyle w:val="ListParagraph"/>
        <w:numPr>
          <w:ilvl w:val="0"/>
          <w:numId w:val="114"/>
        </w:numPr>
        <w:tabs>
          <w:tab w:pos="936" w:val="left" w:leader="none"/>
        </w:tabs>
        <w:spacing w:line="240" w:lineRule="auto" w:before="263" w:after="0"/>
        <w:ind w:left="935" w:right="0" w:hanging="319"/>
        <w:jc w:val="both"/>
        <w:rPr>
          <w:sz w:val="38"/>
        </w:rPr>
      </w:pPr>
      <w:r>
        <w:rPr>
          <w:sz w:val="38"/>
        </w:rPr>
        <w:t>Silicon</w:t>
      </w:r>
      <w:r>
        <w:rPr>
          <w:spacing w:val="1"/>
          <w:sz w:val="38"/>
        </w:rPr>
        <w:t> </w:t>
      </w:r>
      <w:r>
        <w:rPr>
          <w:sz w:val="38"/>
        </w:rPr>
        <w:t>gel</w:t>
      </w:r>
    </w:p>
    <w:p>
      <w:pPr>
        <w:pStyle w:val="ListParagraph"/>
        <w:numPr>
          <w:ilvl w:val="0"/>
          <w:numId w:val="114"/>
        </w:numPr>
        <w:tabs>
          <w:tab w:pos="936" w:val="left" w:leader="none"/>
        </w:tabs>
        <w:spacing w:line="240" w:lineRule="auto" w:before="186" w:after="0"/>
        <w:ind w:left="935" w:right="0" w:hanging="319"/>
        <w:jc w:val="both"/>
        <w:rPr>
          <w:sz w:val="38"/>
        </w:rPr>
      </w:pPr>
      <w:r>
        <w:rPr>
          <w:sz w:val="38"/>
        </w:rPr>
        <w:t>Effervescent</w:t>
      </w:r>
      <w:r>
        <w:rPr>
          <w:spacing w:val="-3"/>
          <w:sz w:val="38"/>
        </w:rPr>
        <w:t> </w:t>
      </w:r>
      <w:r>
        <w:rPr>
          <w:sz w:val="38"/>
        </w:rPr>
        <w:t>tablets</w:t>
      </w:r>
    </w:p>
    <w:p>
      <w:pPr>
        <w:pStyle w:val="ListParagraph"/>
        <w:numPr>
          <w:ilvl w:val="0"/>
          <w:numId w:val="114"/>
        </w:numPr>
        <w:tabs>
          <w:tab w:pos="936" w:val="left" w:leader="none"/>
        </w:tabs>
        <w:spacing w:line="240" w:lineRule="auto" w:before="184" w:after="0"/>
        <w:ind w:left="935" w:right="0" w:hanging="319"/>
        <w:jc w:val="both"/>
        <w:rPr>
          <w:sz w:val="38"/>
        </w:rPr>
      </w:pPr>
      <w:r>
        <w:rPr>
          <w:sz w:val="38"/>
        </w:rPr>
        <w:t>Mineral clay (healing clay or green</w:t>
      </w:r>
      <w:r>
        <w:rPr>
          <w:spacing w:val="1"/>
          <w:sz w:val="38"/>
        </w:rPr>
        <w:t> </w:t>
      </w:r>
      <w:r>
        <w:rPr>
          <w:sz w:val="38"/>
        </w:rPr>
        <w:t>clay)</w:t>
      </w:r>
    </w:p>
    <w:p>
      <w:pPr>
        <w:pStyle w:val="ListParagraph"/>
        <w:numPr>
          <w:ilvl w:val="0"/>
          <w:numId w:val="114"/>
        </w:numPr>
        <w:tabs>
          <w:tab w:pos="936" w:val="left" w:leader="none"/>
        </w:tabs>
        <w:spacing w:line="240" w:lineRule="auto" w:before="183" w:after="0"/>
        <w:ind w:left="935" w:right="0" w:hanging="319"/>
        <w:jc w:val="both"/>
        <w:rPr>
          <w:sz w:val="38"/>
        </w:rPr>
      </w:pPr>
      <w:r>
        <w:rPr>
          <w:sz w:val="38"/>
        </w:rPr>
        <w:t>Silicon</w:t>
      </w:r>
      <w:r>
        <w:rPr>
          <w:spacing w:val="1"/>
          <w:sz w:val="38"/>
        </w:rPr>
        <w:t> </w:t>
      </w:r>
      <w:r>
        <w:rPr>
          <w:sz w:val="38"/>
        </w:rPr>
        <w:t>clay</w:t>
      </w:r>
    </w:p>
    <w:p>
      <w:pPr>
        <w:pStyle w:val="ListParagraph"/>
        <w:numPr>
          <w:ilvl w:val="0"/>
          <w:numId w:val="114"/>
        </w:numPr>
        <w:tabs>
          <w:tab w:pos="936" w:val="left" w:leader="none"/>
        </w:tabs>
        <w:spacing w:line="240" w:lineRule="auto" w:before="184" w:after="0"/>
        <w:ind w:left="935" w:right="0" w:hanging="319"/>
        <w:jc w:val="both"/>
        <w:rPr>
          <w:sz w:val="38"/>
        </w:rPr>
      </w:pPr>
      <w:r>
        <w:rPr>
          <w:sz w:val="38"/>
        </w:rPr>
        <w:t>Silicon</w:t>
      </w:r>
      <w:r>
        <w:rPr>
          <w:spacing w:val="1"/>
          <w:sz w:val="38"/>
        </w:rPr>
        <w:t> </w:t>
      </w:r>
      <w:r>
        <w:rPr>
          <w:sz w:val="38"/>
        </w:rPr>
        <w:t>capsules</w:t>
      </w:r>
    </w:p>
    <w:p>
      <w:pPr>
        <w:pStyle w:val="ListParagraph"/>
        <w:numPr>
          <w:ilvl w:val="0"/>
          <w:numId w:val="114"/>
        </w:numPr>
        <w:tabs>
          <w:tab w:pos="936" w:val="left" w:leader="none"/>
        </w:tabs>
        <w:spacing w:line="240" w:lineRule="auto" w:before="184" w:after="0"/>
        <w:ind w:left="935" w:right="0" w:hanging="319"/>
        <w:jc w:val="both"/>
        <w:rPr>
          <w:sz w:val="38"/>
        </w:rPr>
      </w:pPr>
      <w:r>
        <w:rPr>
          <w:sz w:val="38"/>
        </w:rPr>
        <w:t>Chewable silicon</w:t>
      </w:r>
      <w:r>
        <w:rPr>
          <w:spacing w:val="1"/>
          <w:sz w:val="38"/>
        </w:rPr>
        <w:t> </w:t>
      </w:r>
      <w:r>
        <w:rPr>
          <w:sz w:val="38"/>
        </w:rPr>
        <w:t>tablets</w:t>
      </w:r>
    </w:p>
    <w:p>
      <w:pPr>
        <w:pStyle w:val="ListParagraph"/>
        <w:numPr>
          <w:ilvl w:val="0"/>
          <w:numId w:val="114"/>
        </w:numPr>
        <w:tabs>
          <w:tab w:pos="936" w:val="left" w:leader="none"/>
        </w:tabs>
        <w:spacing w:line="240" w:lineRule="auto" w:before="186" w:after="0"/>
        <w:ind w:left="935" w:right="0" w:hanging="319"/>
        <w:jc w:val="both"/>
        <w:rPr>
          <w:sz w:val="38"/>
        </w:rPr>
      </w:pPr>
      <w:r>
        <w:rPr>
          <w:sz w:val="38"/>
        </w:rPr>
        <w:t>Silicon</w:t>
      </w:r>
      <w:r>
        <w:rPr>
          <w:spacing w:val="1"/>
          <w:sz w:val="38"/>
        </w:rPr>
        <w:t> </w:t>
      </w:r>
      <w:r>
        <w:rPr>
          <w:sz w:val="38"/>
        </w:rPr>
        <w:t>powder</w:t>
      </w:r>
    </w:p>
    <w:p>
      <w:pPr>
        <w:pStyle w:val="BodyText"/>
        <w:rPr>
          <w:sz w:val="20"/>
        </w:rPr>
      </w:pPr>
    </w:p>
    <w:p>
      <w:pPr>
        <w:pStyle w:val="BodyText"/>
        <w:rPr>
          <w:sz w:val="20"/>
        </w:rPr>
      </w:pPr>
    </w:p>
    <w:p>
      <w:pPr>
        <w:pStyle w:val="BodyText"/>
        <w:spacing w:before="9"/>
        <w:rPr>
          <w:sz w:val="22"/>
        </w:rPr>
      </w:pPr>
      <w:r>
        <w:rPr/>
        <w:pict>
          <v:line style="position:absolute;mso-position-horizontal-relative:page;mso-position-vertical-relative:paragraph;z-index:11576;mso-wrap-distance-left:0;mso-wrap-distance-right:0" from="70.823997pt,15.212379pt" to="214.843997pt,15.212379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844 </w:t>
      </w:r>
      <w:r>
        <w:rPr>
          <w:sz w:val="20"/>
        </w:rPr>
        <w:t>Schiano A. et al .: Silicon, tissue osseux et immunité. Revue du Rhumatisme 1979, 46, pp. 483-486.</w:t>
      </w:r>
    </w:p>
    <w:p>
      <w:pPr>
        <w:spacing w:after="0"/>
        <w:jc w:val="left"/>
        <w:rPr>
          <w:sz w:val="20"/>
        </w:rPr>
        <w:sectPr>
          <w:pgSz w:w="14270" w:h="16850"/>
          <w:pgMar w:header="0" w:footer="1891" w:top="1340" w:bottom="2080" w:left="800" w:right="1280"/>
        </w:sectPr>
      </w:pPr>
    </w:p>
    <w:p>
      <w:pPr>
        <w:pStyle w:val="ListParagraph"/>
        <w:numPr>
          <w:ilvl w:val="0"/>
          <w:numId w:val="114"/>
        </w:numPr>
        <w:tabs>
          <w:tab w:pos="936" w:val="left" w:leader="none"/>
        </w:tabs>
        <w:spacing w:line="240" w:lineRule="auto" w:before="53" w:after="0"/>
        <w:ind w:left="935" w:right="0" w:hanging="319"/>
        <w:jc w:val="left"/>
        <w:rPr>
          <w:sz w:val="38"/>
        </w:rPr>
      </w:pPr>
      <w:r>
        <w:rPr>
          <w:sz w:val="38"/>
        </w:rPr>
        <w:t>Silicon</w:t>
      </w:r>
      <w:r>
        <w:rPr>
          <w:spacing w:val="1"/>
          <w:sz w:val="38"/>
        </w:rPr>
        <w:t> </w:t>
      </w:r>
      <w:r>
        <w:rPr>
          <w:sz w:val="38"/>
        </w:rPr>
        <w:t>drops</w:t>
      </w:r>
    </w:p>
    <w:p>
      <w:pPr>
        <w:pStyle w:val="ListParagraph"/>
        <w:numPr>
          <w:ilvl w:val="0"/>
          <w:numId w:val="114"/>
        </w:numPr>
        <w:tabs>
          <w:tab w:pos="936" w:val="left" w:leader="none"/>
        </w:tabs>
        <w:spacing w:line="240" w:lineRule="auto" w:before="186" w:after="0"/>
        <w:ind w:left="935" w:right="0" w:hanging="319"/>
        <w:jc w:val="left"/>
        <w:rPr>
          <w:sz w:val="38"/>
        </w:rPr>
      </w:pPr>
      <w:r>
        <w:rPr>
          <w:sz w:val="38"/>
        </w:rPr>
        <w:t>Silicon cough</w:t>
      </w:r>
      <w:r>
        <w:rPr>
          <w:spacing w:val="1"/>
          <w:sz w:val="38"/>
        </w:rPr>
        <w:t> </w:t>
      </w:r>
      <w:r>
        <w:rPr>
          <w:sz w:val="38"/>
        </w:rPr>
        <w:t>drops</w:t>
      </w:r>
    </w:p>
    <w:p>
      <w:pPr>
        <w:pStyle w:val="ListParagraph"/>
        <w:numPr>
          <w:ilvl w:val="0"/>
          <w:numId w:val="114"/>
        </w:numPr>
        <w:tabs>
          <w:tab w:pos="936" w:val="left" w:leader="none"/>
        </w:tabs>
        <w:spacing w:line="240" w:lineRule="auto" w:before="184" w:after="0"/>
        <w:ind w:left="935" w:right="0" w:hanging="319"/>
        <w:jc w:val="left"/>
        <w:rPr>
          <w:sz w:val="38"/>
        </w:rPr>
      </w:pPr>
      <w:r>
        <w:rPr>
          <w:sz w:val="38"/>
        </w:rPr>
        <w:t>Silicon</w:t>
      </w:r>
      <w:r>
        <w:rPr>
          <w:spacing w:val="1"/>
          <w:sz w:val="38"/>
        </w:rPr>
        <w:t> </w:t>
      </w:r>
      <w:r>
        <w:rPr>
          <w:sz w:val="38"/>
        </w:rPr>
        <w:t>mouthwash</w:t>
      </w:r>
    </w:p>
    <w:p>
      <w:pPr>
        <w:pStyle w:val="Heading1"/>
        <w:spacing w:before="287"/>
        <w:ind w:left="616"/>
      </w:pPr>
      <w:r>
        <w:rPr/>
        <w:t>Silicon products for external application</w:t>
      </w:r>
    </w:p>
    <w:p>
      <w:pPr>
        <w:pStyle w:val="BodyText"/>
        <w:spacing w:before="297"/>
        <w:ind w:left="616"/>
      </w:pPr>
      <w:r>
        <w:rPr/>
        <w:t>The following silicon products are available for external application:</w:t>
      </w:r>
    </w:p>
    <w:p>
      <w:pPr>
        <w:pStyle w:val="ListParagraph"/>
        <w:numPr>
          <w:ilvl w:val="0"/>
          <w:numId w:val="114"/>
        </w:numPr>
        <w:tabs>
          <w:tab w:pos="936" w:val="left" w:leader="none"/>
        </w:tabs>
        <w:spacing w:line="240" w:lineRule="auto" w:before="266" w:after="0"/>
        <w:ind w:left="935" w:right="0" w:hanging="319"/>
        <w:jc w:val="left"/>
        <w:rPr>
          <w:sz w:val="38"/>
        </w:rPr>
      </w:pPr>
      <w:r>
        <w:rPr>
          <w:sz w:val="38"/>
        </w:rPr>
        <w:t>Silicon</w:t>
      </w:r>
      <w:r>
        <w:rPr>
          <w:spacing w:val="1"/>
          <w:sz w:val="38"/>
        </w:rPr>
        <w:t> </w:t>
      </w:r>
      <w:r>
        <w:rPr>
          <w:sz w:val="38"/>
        </w:rPr>
        <w:t>gel</w:t>
      </w:r>
    </w:p>
    <w:p>
      <w:pPr>
        <w:pStyle w:val="ListParagraph"/>
        <w:numPr>
          <w:ilvl w:val="0"/>
          <w:numId w:val="114"/>
        </w:numPr>
        <w:tabs>
          <w:tab w:pos="936" w:val="left" w:leader="none"/>
        </w:tabs>
        <w:spacing w:line="240" w:lineRule="auto" w:before="184" w:after="0"/>
        <w:ind w:left="935" w:right="0" w:hanging="319"/>
        <w:jc w:val="left"/>
        <w:rPr>
          <w:sz w:val="38"/>
        </w:rPr>
      </w:pPr>
      <w:r>
        <w:rPr>
          <w:sz w:val="38"/>
        </w:rPr>
        <w:t>Silicon</w:t>
      </w:r>
      <w:r>
        <w:rPr>
          <w:spacing w:val="1"/>
          <w:sz w:val="38"/>
        </w:rPr>
        <w:t> </w:t>
      </w:r>
      <w:r>
        <w:rPr>
          <w:sz w:val="38"/>
        </w:rPr>
        <w:t>balsam</w:t>
      </w:r>
    </w:p>
    <w:p>
      <w:pPr>
        <w:pStyle w:val="ListParagraph"/>
        <w:numPr>
          <w:ilvl w:val="0"/>
          <w:numId w:val="114"/>
        </w:numPr>
        <w:tabs>
          <w:tab w:pos="936" w:val="left" w:leader="none"/>
        </w:tabs>
        <w:spacing w:line="240" w:lineRule="auto" w:before="183" w:after="0"/>
        <w:ind w:left="935" w:right="0" w:hanging="319"/>
        <w:jc w:val="left"/>
        <w:rPr>
          <w:sz w:val="38"/>
        </w:rPr>
      </w:pPr>
      <w:r>
        <w:rPr>
          <w:sz w:val="38"/>
        </w:rPr>
        <w:t>Silicon</w:t>
      </w:r>
      <w:r>
        <w:rPr>
          <w:spacing w:val="1"/>
          <w:sz w:val="38"/>
        </w:rPr>
        <w:t> </w:t>
      </w:r>
      <w:r>
        <w:rPr>
          <w:sz w:val="38"/>
        </w:rPr>
        <w:t>cream</w:t>
      </w:r>
    </w:p>
    <w:p>
      <w:pPr>
        <w:pStyle w:val="ListParagraph"/>
        <w:numPr>
          <w:ilvl w:val="0"/>
          <w:numId w:val="114"/>
        </w:numPr>
        <w:tabs>
          <w:tab w:pos="936" w:val="left" w:leader="none"/>
        </w:tabs>
        <w:spacing w:line="240" w:lineRule="auto" w:before="186" w:after="0"/>
        <w:ind w:left="935" w:right="0" w:hanging="319"/>
        <w:jc w:val="left"/>
        <w:rPr>
          <w:sz w:val="38"/>
        </w:rPr>
      </w:pPr>
      <w:r>
        <w:rPr>
          <w:sz w:val="38"/>
        </w:rPr>
        <w:t>Silicon</w:t>
      </w:r>
      <w:r>
        <w:rPr>
          <w:spacing w:val="1"/>
          <w:sz w:val="38"/>
        </w:rPr>
        <w:t> </w:t>
      </w:r>
      <w:r>
        <w:rPr>
          <w:sz w:val="38"/>
        </w:rPr>
        <w:t>jelly</w:t>
      </w:r>
    </w:p>
    <w:p>
      <w:pPr>
        <w:pStyle w:val="ListParagraph"/>
        <w:numPr>
          <w:ilvl w:val="0"/>
          <w:numId w:val="114"/>
        </w:numPr>
        <w:tabs>
          <w:tab w:pos="936" w:val="left" w:leader="none"/>
        </w:tabs>
        <w:spacing w:line="240" w:lineRule="auto" w:before="184" w:after="0"/>
        <w:ind w:left="935" w:right="0" w:hanging="319"/>
        <w:jc w:val="left"/>
        <w:rPr>
          <w:sz w:val="38"/>
        </w:rPr>
      </w:pPr>
      <w:r>
        <w:rPr>
          <w:sz w:val="38"/>
        </w:rPr>
        <w:t>Silicon facial mask</w:t>
      </w:r>
    </w:p>
    <w:p>
      <w:pPr>
        <w:pStyle w:val="ListParagraph"/>
        <w:numPr>
          <w:ilvl w:val="0"/>
          <w:numId w:val="114"/>
        </w:numPr>
        <w:tabs>
          <w:tab w:pos="936" w:val="left" w:leader="none"/>
        </w:tabs>
        <w:spacing w:line="240" w:lineRule="auto" w:before="183" w:after="0"/>
        <w:ind w:left="935" w:right="0" w:hanging="319"/>
        <w:jc w:val="left"/>
        <w:rPr>
          <w:sz w:val="38"/>
        </w:rPr>
      </w:pPr>
      <w:r>
        <w:rPr>
          <w:sz w:val="38"/>
        </w:rPr>
        <w:t>Silicon</w:t>
      </w:r>
      <w:r>
        <w:rPr>
          <w:spacing w:val="1"/>
          <w:sz w:val="38"/>
        </w:rPr>
        <w:t> </w:t>
      </w:r>
      <w:r>
        <w:rPr>
          <w:sz w:val="38"/>
        </w:rPr>
        <w:t>shampoo</w:t>
      </w:r>
    </w:p>
    <w:p>
      <w:pPr>
        <w:pStyle w:val="ListParagraph"/>
        <w:numPr>
          <w:ilvl w:val="0"/>
          <w:numId w:val="114"/>
        </w:numPr>
        <w:tabs>
          <w:tab w:pos="936" w:val="left" w:leader="none"/>
        </w:tabs>
        <w:spacing w:line="240" w:lineRule="auto" w:before="184" w:after="0"/>
        <w:ind w:left="935" w:right="0" w:hanging="319"/>
        <w:jc w:val="left"/>
        <w:rPr>
          <w:sz w:val="38"/>
        </w:rPr>
      </w:pPr>
      <w:r>
        <w:rPr>
          <w:sz w:val="38"/>
        </w:rPr>
        <w:t>Silicon hair</w:t>
      </w:r>
      <w:r>
        <w:rPr>
          <w:spacing w:val="2"/>
          <w:sz w:val="38"/>
        </w:rPr>
        <w:t> </w:t>
      </w:r>
      <w:r>
        <w:rPr>
          <w:sz w:val="38"/>
        </w:rPr>
        <w:t>conditioner</w:t>
      </w:r>
    </w:p>
    <w:p>
      <w:pPr>
        <w:pStyle w:val="ListParagraph"/>
        <w:numPr>
          <w:ilvl w:val="0"/>
          <w:numId w:val="114"/>
        </w:numPr>
        <w:tabs>
          <w:tab w:pos="936" w:val="left" w:leader="none"/>
        </w:tabs>
        <w:spacing w:line="240" w:lineRule="auto" w:before="186" w:after="0"/>
        <w:ind w:left="935" w:right="0" w:hanging="319"/>
        <w:jc w:val="left"/>
        <w:rPr>
          <w:sz w:val="38"/>
        </w:rPr>
      </w:pPr>
      <w:r>
        <w:rPr>
          <w:sz w:val="38"/>
        </w:rPr>
        <w:t>Silicon hair</w:t>
      </w:r>
      <w:r>
        <w:rPr>
          <w:spacing w:val="2"/>
          <w:sz w:val="38"/>
        </w:rPr>
        <w:t> </w:t>
      </w:r>
      <w:r>
        <w:rPr>
          <w:sz w:val="38"/>
        </w:rPr>
        <w:t>treatment</w:t>
      </w:r>
    </w:p>
    <w:p>
      <w:pPr>
        <w:pStyle w:val="ListParagraph"/>
        <w:numPr>
          <w:ilvl w:val="0"/>
          <w:numId w:val="114"/>
        </w:numPr>
        <w:tabs>
          <w:tab w:pos="936" w:val="left" w:leader="none"/>
        </w:tabs>
        <w:spacing w:line="240" w:lineRule="auto" w:before="184" w:after="0"/>
        <w:ind w:left="935" w:right="0" w:hanging="319"/>
        <w:jc w:val="left"/>
        <w:rPr>
          <w:sz w:val="38"/>
        </w:rPr>
      </w:pPr>
      <w:r>
        <w:rPr>
          <w:sz w:val="38"/>
        </w:rPr>
        <w:t>Silicon toothpaste (often with healing</w:t>
      </w:r>
      <w:r>
        <w:rPr>
          <w:spacing w:val="3"/>
          <w:sz w:val="38"/>
        </w:rPr>
        <w:t> </w:t>
      </w:r>
      <w:r>
        <w:rPr>
          <w:sz w:val="38"/>
        </w:rPr>
        <w:t>clay)</w:t>
      </w:r>
    </w:p>
    <w:p>
      <w:pPr>
        <w:pStyle w:val="ListParagraph"/>
        <w:numPr>
          <w:ilvl w:val="0"/>
          <w:numId w:val="114"/>
        </w:numPr>
        <w:tabs>
          <w:tab w:pos="936" w:val="left" w:leader="none"/>
        </w:tabs>
        <w:spacing w:line="240" w:lineRule="auto" w:before="184" w:after="0"/>
        <w:ind w:left="935" w:right="0" w:hanging="319"/>
        <w:jc w:val="left"/>
        <w:rPr>
          <w:sz w:val="38"/>
        </w:rPr>
      </w:pPr>
      <w:r>
        <w:rPr>
          <w:sz w:val="38"/>
        </w:rPr>
        <w:t>Silicon hand</w:t>
      </w:r>
      <w:r>
        <w:rPr>
          <w:spacing w:val="1"/>
          <w:sz w:val="38"/>
        </w:rPr>
        <w:t> </w:t>
      </w:r>
      <w:r>
        <w:rPr>
          <w:sz w:val="38"/>
        </w:rPr>
        <w:t>cream</w:t>
      </w:r>
    </w:p>
    <w:p>
      <w:pPr>
        <w:pStyle w:val="ListParagraph"/>
        <w:numPr>
          <w:ilvl w:val="0"/>
          <w:numId w:val="114"/>
        </w:numPr>
        <w:tabs>
          <w:tab w:pos="936" w:val="left" w:leader="none"/>
        </w:tabs>
        <w:spacing w:line="240" w:lineRule="auto" w:before="183" w:after="0"/>
        <w:ind w:left="935" w:right="0" w:hanging="319"/>
        <w:jc w:val="left"/>
        <w:rPr>
          <w:sz w:val="38"/>
        </w:rPr>
      </w:pPr>
      <w:r>
        <w:rPr>
          <w:sz w:val="38"/>
        </w:rPr>
        <w:t>Silicon cleansing</w:t>
      </w:r>
      <w:r>
        <w:rPr>
          <w:spacing w:val="2"/>
          <w:sz w:val="38"/>
        </w:rPr>
        <w:t> </w:t>
      </w:r>
      <w:r>
        <w:rPr>
          <w:sz w:val="38"/>
        </w:rPr>
        <w:t>cream</w:t>
      </w:r>
    </w:p>
    <w:p>
      <w:pPr>
        <w:pStyle w:val="ListParagraph"/>
        <w:numPr>
          <w:ilvl w:val="0"/>
          <w:numId w:val="114"/>
        </w:numPr>
        <w:tabs>
          <w:tab w:pos="936" w:val="left" w:leader="none"/>
        </w:tabs>
        <w:spacing w:line="240" w:lineRule="auto" w:before="185" w:after="0"/>
        <w:ind w:left="935" w:right="0" w:hanging="319"/>
        <w:jc w:val="left"/>
        <w:rPr>
          <w:sz w:val="38"/>
        </w:rPr>
      </w:pPr>
      <w:r>
        <w:rPr>
          <w:sz w:val="38"/>
        </w:rPr>
        <w:t>Silicon peeling</w:t>
      </w:r>
      <w:r>
        <w:rPr>
          <w:spacing w:val="-2"/>
          <w:sz w:val="38"/>
        </w:rPr>
        <w:t> </w:t>
      </w:r>
      <w:r>
        <w:rPr>
          <w:sz w:val="38"/>
        </w:rPr>
        <w:t>cream</w:t>
      </w:r>
    </w:p>
    <w:p>
      <w:pPr>
        <w:pStyle w:val="ListParagraph"/>
        <w:numPr>
          <w:ilvl w:val="0"/>
          <w:numId w:val="114"/>
        </w:numPr>
        <w:tabs>
          <w:tab w:pos="936" w:val="left" w:leader="none"/>
        </w:tabs>
        <w:spacing w:line="240" w:lineRule="auto" w:before="186" w:after="0"/>
        <w:ind w:left="935" w:right="0" w:hanging="319"/>
        <w:jc w:val="left"/>
        <w:rPr>
          <w:sz w:val="38"/>
        </w:rPr>
      </w:pPr>
      <w:r>
        <w:rPr>
          <w:sz w:val="38"/>
        </w:rPr>
        <w:t>Silicon face</w:t>
      </w:r>
      <w:r>
        <w:rPr>
          <w:spacing w:val="1"/>
          <w:sz w:val="38"/>
        </w:rPr>
        <w:t> </w:t>
      </w:r>
      <w:r>
        <w:rPr>
          <w:sz w:val="38"/>
        </w:rPr>
        <w:t>tonic</w:t>
      </w:r>
    </w:p>
    <w:p>
      <w:pPr>
        <w:spacing w:after="0" w:line="240" w:lineRule="auto"/>
        <w:jc w:val="left"/>
        <w:rPr>
          <w:sz w:val="38"/>
        </w:rPr>
        <w:sectPr>
          <w:footerReference w:type="default" r:id="rId355"/>
          <w:pgSz w:w="14270" w:h="16850"/>
          <w:pgMar w:footer="1891" w:header="0" w:top="1360" w:bottom="2080" w:left="800" w:right="1280"/>
          <w:pgNumType w:start="1480"/>
        </w:sectPr>
      </w:pPr>
    </w:p>
    <w:p>
      <w:pPr>
        <w:pStyle w:val="ListParagraph"/>
        <w:numPr>
          <w:ilvl w:val="0"/>
          <w:numId w:val="114"/>
        </w:numPr>
        <w:tabs>
          <w:tab w:pos="936" w:val="left" w:leader="none"/>
        </w:tabs>
        <w:spacing w:line="240" w:lineRule="auto" w:before="53" w:after="0"/>
        <w:ind w:left="935" w:right="0" w:hanging="319"/>
        <w:jc w:val="both"/>
        <w:rPr>
          <w:sz w:val="38"/>
        </w:rPr>
      </w:pPr>
      <w:r>
        <w:rPr>
          <w:sz w:val="38"/>
        </w:rPr>
        <w:t>Silicon skin</w:t>
      </w:r>
      <w:r>
        <w:rPr>
          <w:spacing w:val="1"/>
          <w:sz w:val="38"/>
        </w:rPr>
        <w:t> </w:t>
      </w:r>
      <w:r>
        <w:rPr>
          <w:sz w:val="38"/>
        </w:rPr>
        <w:t>oil</w:t>
      </w:r>
    </w:p>
    <w:p>
      <w:pPr>
        <w:pStyle w:val="BodyText"/>
        <w:rPr>
          <w:sz w:val="44"/>
        </w:rPr>
      </w:pPr>
    </w:p>
    <w:p>
      <w:pPr>
        <w:pStyle w:val="BodyText"/>
        <w:rPr>
          <w:sz w:val="44"/>
        </w:rPr>
      </w:pPr>
    </w:p>
    <w:p>
      <w:pPr>
        <w:pStyle w:val="BodyText"/>
        <w:spacing w:before="3"/>
        <w:rPr>
          <w:sz w:val="44"/>
        </w:rPr>
      </w:pPr>
    </w:p>
    <w:p>
      <w:pPr>
        <w:pStyle w:val="BodyText"/>
        <w:ind w:left="616"/>
        <w:jc w:val="both"/>
      </w:pPr>
      <w:r>
        <w:rPr/>
        <w:t>Silicon for beauty</w:t>
      </w:r>
    </w:p>
    <w:p>
      <w:pPr>
        <w:pStyle w:val="BodyText"/>
        <w:spacing w:line="276" w:lineRule="auto" w:before="302"/>
        <w:ind w:left="616" w:right="135"/>
        <w:jc w:val="both"/>
      </w:pPr>
      <w:r>
        <w:rPr/>
        <w:t>The regular oral intake of silicon preparations strengthens our body cells. The effect always occurs from the inside out, which is why the optical changes are only</w:t>
      </w:r>
      <w:r>
        <w:rPr>
          <w:spacing w:val="-18"/>
        </w:rPr>
        <w:t> </w:t>
      </w:r>
      <w:r>
        <w:rPr/>
        <w:t>visible</w:t>
      </w:r>
      <w:r>
        <w:rPr>
          <w:spacing w:val="-17"/>
        </w:rPr>
        <w:t> </w:t>
      </w:r>
      <w:r>
        <w:rPr/>
        <w:t>over</w:t>
      </w:r>
      <w:r>
        <w:rPr>
          <w:spacing w:val="-18"/>
        </w:rPr>
        <w:t> </w:t>
      </w:r>
      <w:r>
        <w:rPr/>
        <w:t>time.</w:t>
      </w:r>
      <w:r>
        <w:rPr>
          <w:spacing w:val="-16"/>
        </w:rPr>
        <w:t> </w:t>
      </w:r>
      <w:r>
        <w:rPr/>
        <w:t>After</w:t>
      </w:r>
      <w:r>
        <w:rPr>
          <w:spacing w:val="-19"/>
        </w:rPr>
        <w:t> </w:t>
      </w:r>
      <w:r>
        <w:rPr/>
        <w:t>several</w:t>
      </w:r>
      <w:r>
        <w:rPr>
          <w:spacing w:val="-18"/>
        </w:rPr>
        <w:t> </w:t>
      </w:r>
      <w:r>
        <w:rPr/>
        <w:t>weeks</w:t>
      </w:r>
      <w:r>
        <w:rPr>
          <w:spacing w:val="-17"/>
        </w:rPr>
        <w:t> </w:t>
      </w:r>
      <w:r>
        <w:rPr/>
        <w:t>of</w:t>
      </w:r>
      <w:r>
        <w:rPr>
          <w:spacing w:val="-16"/>
        </w:rPr>
        <w:t> </w:t>
      </w:r>
      <w:r>
        <w:rPr/>
        <w:t>regular</w:t>
      </w:r>
      <w:r>
        <w:rPr>
          <w:spacing w:val="-18"/>
        </w:rPr>
        <w:t> </w:t>
      </w:r>
      <w:r>
        <w:rPr/>
        <w:t>use,</w:t>
      </w:r>
      <w:r>
        <w:rPr>
          <w:spacing w:val="-15"/>
        </w:rPr>
        <w:t> </w:t>
      </w:r>
      <w:r>
        <w:rPr/>
        <w:t>hair</w:t>
      </w:r>
      <w:r>
        <w:rPr>
          <w:spacing w:val="-17"/>
        </w:rPr>
        <w:t> </w:t>
      </w:r>
      <w:r>
        <w:rPr/>
        <w:t>texture</w:t>
      </w:r>
      <w:r>
        <w:rPr>
          <w:spacing w:val="-17"/>
        </w:rPr>
        <w:t> </w:t>
      </w:r>
      <w:r>
        <w:rPr/>
        <w:t>improves and the skin becomes smoother, the fingernails and toenails also become firmer.</w:t>
      </w:r>
    </w:p>
    <w:p>
      <w:pPr>
        <w:pStyle w:val="BodyText"/>
        <w:spacing w:line="276" w:lineRule="auto" w:before="243"/>
        <w:ind w:left="616" w:right="136"/>
        <w:jc w:val="both"/>
      </w:pPr>
      <w:r>
        <w:rPr/>
        <w:t>This</w:t>
      </w:r>
      <w:r>
        <w:rPr>
          <w:spacing w:val="-14"/>
        </w:rPr>
        <w:t> </w:t>
      </w:r>
      <w:r>
        <w:rPr/>
        <w:t>development</w:t>
      </w:r>
      <w:r>
        <w:rPr>
          <w:spacing w:val="-14"/>
        </w:rPr>
        <w:t> </w:t>
      </w:r>
      <w:r>
        <w:rPr/>
        <w:t>begins</w:t>
      </w:r>
      <w:r>
        <w:rPr>
          <w:spacing w:val="-13"/>
        </w:rPr>
        <w:t> </w:t>
      </w:r>
      <w:r>
        <w:rPr/>
        <w:t>immediately,</w:t>
      </w:r>
      <w:r>
        <w:rPr>
          <w:spacing w:val="-14"/>
        </w:rPr>
        <w:t> </w:t>
      </w:r>
      <w:r>
        <w:rPr/>
        <w:t>but</w:t>
      </w:r>
      <w:r>
        <w:rPr>
          <w:spacing w:val="-15"/>
        </w:rPr>
        <w:t> </w:t>
      </w:r>
      <w:r>
        <w:rPr/>
        <w:t>only</w:t>
      </w:r>
      <w:r>
        <w:rPr>
          <w:spacing w:val="-15"/>
        </w:rPr>
        <w:t> </w:t>
      </w:r>
      <w:r>
        <w:rPr/>
        <w:t>becomes</w:t>
      </w:r>
      <w:r>
        <w:rPr>
          <w:spacing w:val="-14"/>
        </w:rPr>
        <w:t> </w:t>
      </w:r>
      <w:r>
        <w:rPr/>
        <w:t>visible</w:t>
      </w:r>
      <w:r>
        <w:rPr>
          <w:spacing w:val="-14"/>
        </w:rPr>
        <w:t> </w:t>
      </w:r>
      <w:r>
        <w:rPr/>
        <w:t>after</w:t>
      </w:r>
      <w:r>
        <w:rPr>
          <w:spacing w:val="-14"/>
        </w:rPr>
        <w:t> </w:t>
      </w:r>
      <w:r>
        <w:rPr/>
        <w:t>weeks</w:t>
      </w:r>
      <w:r>
        <w:rPr>
          <w:spacing w:val="-14"/>
        </w:rPr>
        <w:t> </w:t>
      </w:r>
      <w:r>
        <w:rPr/>
        <w:t>of regular intake. Depending on the tissue shape and individual cell renewal, it takes about three to six months until these beautifying mechanisms become visible. Skin renewal takes 28 days, hair grows very slowly at 1 cm per month, and a nail completely renews itself after around five to six</w:t>
      </w:r>
      <w:r>
        <w:rPr>
          <w:spacing w:val="-13"/>
        </w:rPr>
        <w:t> </w:t>
      </w:r>
      <w:r>
        <w:rPr/>
        <w:t>months.</w:t>
      </w:r>
    </w:p>
    <w:p>
      <w:pPr>
        <w:pStyle w:val="BodyText"/>
        <w:spacing w:line="276" w:lineRule="auto" w:before="239"/>
        <w:ind w:left="616" w:right="130"/>
        <w:jc w:val="both"/>
      </w:pPr>
      <w:r>
        <w:rPr/>
        <w:t>An application period of six months is recommended, especially for first use; thereafter, it is usually sufficient to perform a three-month silicon treatment two</w:t>
      </w:r>
      <w:r>
        <w:rPr>
          <w:spacing w:val="-22"/>
        </w:rPr>
        <w:t> </w:t>
      </w:r>
      <w:r>
        <w:rPr/>
        <w:t>to</w:t>
      </w:r>
      <w:r>
        <w:rPr>
          <w:spacing w:val="-22"/>
        </w:rPr>
        <w:t> </w:t>
      </w:r>
      <w:r>
        <w:rPr/>
        <w:t>three</w:t>
      </w:r>
      <w:r>
        <w:rPr>
          <w:spacing w:val="-21"/>
        </w:rPr>
        <w:t> </w:t>
      </w:r>
      <w:r>
        <w:rPr/>
        <w:t>times</w:t>
      </w:r>
      <w:r>
        <w:rPr>
          <w:spacing w:val="-22"/>
        </w:rPr>
        <w:t> </w:t>
      </w:r>
      <w:r>
        <w:rPr/>
        <w:t>a</w:t>
      </w:r>
      <w:r>
        <w:rPr>
          <w:spacing w:val="-23"/>
        </w:rPr>
        <w:t> </w:t>
      </w:r>
      <w:r>
        <w:rPr/>
        <w:t>year</w:t>
      </w:r>
      <w:r>
        <w:rPr>
          <w:spacing w:val="-22"/>
        </w:rPr>
        <w:t> </w:t>
      </w:r>
      <w:r>
        <w:rPr/>
        <w:t>to</w:t>
      </w:r>
      <w:r>
        <w:rPr>
          <w:spacing w:val="-22"/>
        </w:rPr>
        <w:t> </w:t>
      </w:r>
      <w:r>
        <w:rPr/>
        <w:t>keep</w:t>
      </w:r>
      <w:r>
        <w:rPr>
          <w:spacing w:val="-21"/>
        </w:rPr>
        <w:t> </w:t>
      </w:r>
      <w:r>
        <w:rPr/>
        <w:t>the</w:t>
      </w:r>
      <w:r>
        <w:rPr>
          <w:spacing w:val="-22"/>
        </w:rPr>
        <w:t> </w:t>
      </w:r>
      <w:r>
        <w:rPr/>
        <w:t>silicon</w:t>
      </w:r>
      <w:r>
        <w:rPr>
          <w:spacing w:val="-21"/>
        </w:rPr>
        <w:t> </w:t>
      </w:r>
      <w:r>
        <w:rPr/>
        <w:t>content</w:t>
      </w:r>
      <w:r>
        <w:rPr>
          <w:spacing w:val="-23"/>
        </w:rPr>
        <w:t> </w:t>
      </w:r>
      <w:r>
        <w:rPr/>
        <w:t>in</w:t>
      </w:r>
      <w:r>
        <w:rPr>
          <w:spacing w:val="-21"/>
        </w:rPr>
        <w:t> </w:t>
      </w:r>
      <w:r>
        <w:rPr/>
        <w:t>the</w:t>
      </w:r>
      <w:r>
        <w:rPr>
          <w:spacing w:val="-22"/>
        </w:rPr>
        <w:t> </w:t>
      </w:r>
      <w:r>
        <w:rPr/>
        <w:t>organism</w:t>
      </w:r>
      <w:r>
        <w:rPr>
          <w:spacing w:val="-22"/>
        </w:rPr>
        <w:t> </w:t>
      </w:r>
      <w:r>
        <w:rPr/>
        <w:t>sufficiently high.</w:t>
      </w:r>
    </w:p>
    <w:p>
      <w:pPr>
        <w:pStyle w:val="BodyText"/>
        <w:spacing w:line="276" w:lineRule="auto" w:before="242"/>
        <w:ind w:left="616" w:right="135"/>
        <w:jc w:val="both"/>
      </w:pPr>
      <w:r>
        <w:rPr/>
        <w:t>In addition to taking silicon internally, creating silicon gel masks is highly rec- ommended for skin renewal. To make this, dilute the silicon gel with a little water and rub this on the skin. After a reaction time of about half an hour,</w:t>
      </w:r>
    </w:p>
    <w:p>
      <w:pPr>
        <w:spacing w:after="0" w:line="276" w:lineRule="auto"/>
        <w:jc w:val="both"/>
        <w:sectPr>
          <w:pgSz w:w="14270" w:h="16850"/>
          <w:pgMar w:header="0" w:footer="1891" w:top="1360" w:bottom="2080" w:left="800" w:right="1280"/>
        </w:sectPr>
      </w:pPr>
    </w:p>
    <w:p>
      <w:pPr>
        <w:pStyle w:val="BodyText"/>
        <w:spacing w:line="410" w:lineRule="auto" w:before="74"/>
        <w:ind w:left="616" w:right="7141"/>
      </w:pPr>
      <w:r>
        <w:rPr/>
        <w:t>wash the mask off with water. Silicon for health</w:t>
      </w:r>
    </w:p>
    <w:p>
      <w:pPr>
        <w:pStyle w:val="BodyText"/>
        <w:spacing w:line="278" w:lineRule="auto"/>
        <w:ind w:left="616" w:right="145"/>
        <w:jc w:val="both"/>
      </w:pPr>
      <w:r>
        <w:rPr/>
        <w:t>As the outer attributes of beauty gradually become visible, we are undergoing internal changes in parallel to these which positively affect our health.</w:t>
      </w:r>
    </w:p>
    <w:p>
      <w:pPr>
        <w:pStyle w:val="BodyText"/>
        <w:spacing w:line="276" w:lineRule="auto" w:before="232"/>
        <w:ind w:left="616" w:right="130"/>
        <w:jc w:val="both"/>
      </w:pPr>
      <w:r>
        <w:rPr/>
        <w:t>First and foremost, positive changes to the so-called degenerative manifesta- tions</w:t>
      </w:r>
      <w:r>
        <w:rPr>
          <w:spacing w:val="-24"/>
        </w:rPr>
        <w:t> </w:t>
      </w:r>
      <w:r>
        <w:rPr/>
        <w:t>should</w:t>
      </w:r>
      <w:r>
        <w:rPr>
          <w:spacing w:val="-25"/>
        </w:rPr>
        <w:t> </w:t>
      </w:r>
      <w:r>
        <w:rPr/>
        <w:t>be</w:t>
      </w:r>
      <w:r>
        <w:rPr>
          <w:spacing w:val="-26"/>
        </w:rPr>
        <w:t> </w:t>
      </w:r>
      <w:r>
        <w:rPr/>
        <w:t>mentioned</w:t>
      </w:r>
      <w:r>
        <w:rPr>
          <w:spacing w:val="-23"/>
        </w:rPr>
        <w:t> </w:t>
      </w:r>
      <w:r>
        <w:rPr/>
        <w:t>here.</w:t>
      </w:r>
      <w:r>
        <w:rPr>
          <w:spacing w:val="-25"/>
        </w:rPr>
        <w:t> </w:t>
      </w:r>
      <w:r>
        <w:rPr/>
        <w:t>These</w:t>
      </w:r>
      <w:r>
        <w:rPr>
          <w:spacing w:val="-23"/>
        </w:rPr>
        <w:t> </w:t>
      </w:r>
      <w:r>
        <w:rPr/>
        <w:t>include</w:t>
      </w:r>
      <w:r>
        <w:rPr>
          <w:spacing w:val="-25"/>
        </w:rPr>
        <w:t> </w:t>
      </w:r>
      <w:r>
        <w:rPr/>
        <w:t>atherosclerosis,</w:t>
      </w:r>
      <w:r>
        <w:rPr>
          <w:spacing w:val="-23"/>
        </w:rPr>
        <w:t> </w:t>
      </w:r>
      <w:r>
        <w:rPr/>
        <w:t>the</w:t>
      </w:r>
      <w:r>
        <w:rPr>
          <w:spacing w:val="-23"/>
        </w:rPr>
        <w:t> </w:t>
      </w:r>
      <w:r>
        <w:rPr/>
        <w:t>calcification of</w:t>
      </w:r>
      <w:r>
        <w:rPr>
          <w:spacing w:val="-9"/>
        </w:rPr>
        <w:t> </w:t>
      </w:r>
      <w:r>
        <w:rPr/>
        <w:t>the</w:t>
      </w:r>
      <w:r>
        <w:rPr>
          <w:spacing w:val="-8"/>
        </w:rPr>
        <w:t> </w:t>
      </w:r>
      <w:r>
        <w:rPr/>
        <w:t>blood</w:t>
      </w:r>
      <w:r>
        <w:rPr>
          <w:spacing w:val="-9"/>
        </w:rPr>
        <w:t> </w:t>
      </w:r>
      <w:r>
        <w:rPr/>
        <w:t>vessels,</w:t>
      </w:r>
      <w:r>
        <w:rPr>
          <w:spacing w:val="-8"/>
        </w:rPr>
        <w:t> </w:t>
      </w:r>
      <w:r>
        <w:rPr/>
        <w:t>which</w:t>
      </w:r>
      <w:r>
        <w:rPr>
          <w:spacing w:val="-8"/>
        </w:rPr>
        <w:t> </w:t>
      </w:r>
      <w:r>
        <w:rPr/>
        <w:t>leads</w:t>
      </w:r>
      <w:r>
        <w:rPr>
          <w:spacing w:val="-8"/>
        </w:rPr>
        <w:t> </w:t>
      </w:r>
      <w:r>
        <w:rPr/>
        <w:t>to</w:t>
      </w:r>
      <w:r>
        <w:rPr>
          <w:spacing w:val="-9"/>
        </w:rPr>
        <w:t> </w:t>
      </w:r>
      <w:r>
        <w:rPr/>
        <w:t>cardiovascular</w:t>
      </w:r>
      <w:r>
        <w:rPr>
          <w:spacing w:val="-8"/>
        </w:rPr>
        <w:t> </w:t>
      </w:r>
      <w:r>
        <w:rPr/>
        <w:t>degeneration</w:t>
      </w:r>
      <w:r>
        <w:rPr>
          <w:spacing w:val="-9"/>
        </w:rPr>
        <w:t> </w:t>
      </w:r>
      <w:r>
        <w:rPr/>
        <w:t>and</w:t>
      </w:r>
      <w:r>
        <w:rPr>
          <w:spacing w:val="-9"/>
        </w:rPr>
        <w:t> </w:t>
      </w:r>
      <w:r>
        <w:rPr/>
        <w:t>causes</w:t>
      </w:r>
      <w:r>
        <w:rPr>
          <w:spacing w:val="-8"/>
        </w:rPr>
        <w:t> </w:t>
      </w:r>
      <w:r>
        <w:rPr/>
        <w:t>50</w:t>
      </w:r>
    </w:p>
    <w:p>
      <w:pPr>
        <w:pStyle w:val="BodyText"/>
        <w:spacing w:line="276" w:lineRule="auto"/>
        <w:ind w:left="616" w:right="132"/>
        <w:jc w:val="both"/>
      </w:pPr>
      <w:r>
        <w:rPr/>
        <w:t>% of all deaths in industrialised countries, then arthrosis and arthritis, i.e. car- tilage wear both in the presence and absence of arthritis, osteoporosis, as well as gastrointestinal problems, skin diseases and all diseases that are caused by inflammation or a weak immune system.</w:t>
      </w:r>
    </w:p>
    <w:p>
      <w:pPr>
        <w:pStyle w:val="Heading1"/>
        <w:ind w:left="616"/>
      </w:pPr>
      <w:r>
        <w:rPr/>
        <w:t>Ability of the body to absorb</w:t>
      </w:r>
      <w:r>
        <w:rPr>
          <w:spacing w:val="-59"/>
        </w:rPr>
        <w:t> </w:t>
      </w:r>
      <w:r>
        <w:rPr/>
        <w:t>silicon</w:t>
      </w:r>
    </w:p>
    <w:p>
      <w:pPr>
        <w:pStyle w:val="BodyText"/>
        <w:spacing w:line="276" w:lineRule="auto" w:before="299"/>
        <w:ind w:left="616" w:right="132"/>
        <w:jc w:val="both"/>
      </w:pPr>
      <w:r>
        <w:rPr/>
        <w:t>The prerequisite for the optimal uptake of silicon is the colloidal form. The 'colloidal</w:t>
      </w:r>
      <w:r>
        <w:rPr>
          <w:spacing w:val="-10"/>
        </w:rPr>
        <w:t> </w:t>
      </w:r>
      <w:r>
        <w:rPr/>
        <w:t>form'</w:t>
      </w:r>
      <w:r>
        <w:rPr>
          <w:spacing w:val="-7"/>
        </w:rPr>
        <w:t> </w:t>
      </w:r>
      <w:r>
        <w:rPr/>
        <w:t>refers</w:t>
      </w:r>
      <w:r>
        <w:rPr>
          <w:spacing w:val="-8"/>
        </w:rPr>
        <w:t> </w:t>
      </w:r>
      <w:r>
        <w:rPr/>
        <w:t>to</w:t>
      </w:r>
      <w:r>
        <w:rPr>
          <w:spacing w:val="-7"/>
        </w:rPr>
        <w:t> </w:t>
      </w:r>
      <w:r>
        <w:rPr/>
        <w:t>a</w:t>
      </w:r>
      <w:r>
        <w:rPr>
          <w:spacing w:val="-8"/>
        </w:rPr>
        <w:t> </w:t>
      </w:r>
      <w:r>
        <w:rPr/>
        <w:t>size</w:t>
      </w:r>
      <w:r>
        <w:rPr>
          <w:spacing w:val="-8"/>
        </w:rPr>
        <w:t> </w:t>
      </w:r>
      <w:r>
        <w:rPr/>
        <w:t>of</w:t>
      </w:r>
      <w:r>
        <w:rPr>
          <w:spacing w:val="-7"/>
        </w:rPr>
        <w:t> </w:t>
      </w:r>
      <w:r>
        <w:rPr/>
        <w:t>the</w:t>
      </w:r>
      <w:r>
        <w:rPr>
          <w:spacing w:val="-7"/>
        </w:rPr>
        <w:t> </w:t>
      </w:r>
      <w:r>
        <w:rPr/>
        <w:t>silicon</w:t>
      </w:r>
      <w:r>
        <w:rPr>
          <w:spacing w:val="-6"/>
        </w:rPr>
        <w:t> </w:t>
      </w:r>
      <w:r>
        <w:rPr/>
        <w:t>particles</w:t>
      </w:r>
      <w:r>
        <w:rPr>
          <w:spacing w:val="-6"/>
        </w:rPr>
        <w:t> </w:t>
      </w:r>
      <w:r>
        <w:rPr/>
        <w:t>which</w:t>
      </w:r>
      <w:r>
        <w:rPr>
          <w:spacing w:val="-7"/>
        </w:rPr>
        <w:t> </w:t>
      </w:r>
      <w:r>
        <w:rPr/>
        <w:t>is</w:t>
      </w:r>
      <w:r>
        <w:rPr>
          <w:spacing w:val="-7"/>
        </w:rPr>
        <w:t> </w:t>
      </w:r>
      <w:r>
        <w:rPr/>
        <w:t>only</w:t>
      </w:r>
      <w:r>
        <w:rPr>
          <w:spacing w:val="-8"/>
        </w:rPr>
        <w:t> </w:t>
      </w:r>
      <w:r>
        <w:rPr/>
        <w:t>an</w:t>
      </w:r>
      <w:r>
        <w:rPr>
          <w:spacing w:val="-8"/>
        </w:rPr>
        <w:t> </w:t>
      </w:r>
      <w:r>
        <w:rPr/>
        <w:t>order</w:t>
      </w:r>
      <w:r>
        <w:rPr>
          <w:spacing w:val="-7"/>
        </w:rPr>
        <w:t> </w:t>
      </w:r>
      <w:r>
        <w:rPr/>
        <w:t>of magnitude higher than an atom. This is very small. The smallest colloidal par- ticles easily penetrate the intestine to be then taken up in the blood and trans- ported to the target site. For comparison, the size of silicon particles present in silica is 1,800 times greater than the silicon particles colloidally present in the silicon</w:t>
      </w:r>
      <w:r>
        <w:rPr>
          <w:spacing w:val="3"/>
        </w:rPr>
        <w:t> </w:t>
      </w:r>
      <w:r>
        <w:rPr/>
        <w:t>gel.</w:t>
      </w:r>
    </w:p>
    <w:p>
      <w:pPr>
        <w:spacing w:after="0" w:line="276" w:lineRule="auto"/>
        <w:jc w:val="both"/>
        <w:sectPr>
          <w:pgSz w:w="14270" w:h="16850"/>
          <w:pgMar w:header="0" w:footer="1891" w:top="1340" w:bottom="2080" w:left="800" w:right="1280"/>
        </w:sectPr>
      </w:pPr>
    </w:p>
    <w:p>
      <w:pPr>
        <w:pStyle w:val="Heading1"/>
        <w:spacing w:before="77"/>
        <w:ind w:left="616"/>
      </w:pPr>
      <w:r>
        <w:rPr/>
        <w:t>Silicon deficiency is due to human behaviour</w:t>
      </w:r>
    </w:p>
    <w:p>
      <w:pPr>
        <w:pStyle w:val="BodyText"/>
        <w:spacing w:line="276" w:lineRule="auto" w:before="299"/>
        <w:ind w:left="616" w:right="132"/>
        <w:jc w:val="both"/>
      </w:pPr>
      <w:r>
        <w:rPr/>
        <w:t>According to Prof. Dr. Karl Hecht, a dedicated silicon researcher, about 80</w:t>
      </w:r>
      <w:r>
        <w:rPr>
          <w:spacing w:val="-54"/>
        </w:rPr>
        <w:t> </w:t>
      </w:r>
      <w:r>
        <w:rPr/>
        <w:t>% of the world's population suffers from silicon deficiency. Before man rejected nature</w:t>
      </w:r>
      <w:r>
        <w:rPr>
          <w:spacing w:val="-22"/>
        </w:rPr>
        <w:t> </w:t>
      </w:r>
      <w:r>
        <w:rPr/>
        <w:t>and</w:t>
      </w:r>
      <w:r>
        <w:rPr>
          <w:spacing w:val="-21"/>
        </w:rPr>
        <w:t> </w:t>
      </w:r>
      <w:r>
        <w:rPr/>
        <w:t>made</w:t>
      </w:r>
      <w:r>
        <w:rPr>
          <w:spacing w:val="-17"/>
        </w:rPr>
        <w:t> </w:t>
      </w:r>
      <w:r>
        <w:rPr/>
        <w:t>the</w:t>
      </w:r>
      <w:r>
        <w:rPr>
          <w:spacing w:val="-20"/>
        </w:rPr>
        <w:t> </w:t>
      </w:r>
      <w:r>
        <w:rPr/>
        <w:t>previously</w:t>
      </w:r>
      <w:r>
        <w:rPr>
          <w:spacing w:val="-21"/>
        </w:rPr>
        <w:t> </w:t>
      </w:r>
      <w:r>
        <w:rPr/>
        <w:t>organic</w:t>
      </w:r>
      <w:r>
        <w:rPr>
          <w:spacing w:val="-22"/>
        </w:rPr>
        <w:t> </w:t>
      </w:r>
      <w:r>
        <w:rPr/>
        <w:t>farmland</w:t>
      </w:r>
      <w:r>
        <w:rPr>
          <w:spacing w:val="-19"/>
        </w:rPr>
        <w:t> </w:t>
      </w:r>
      <w:r>
        <w:rPr/>
        <w:t>virtually</w:t>
      </w:r>
      <w:r>
        <w:rPr>
          <w:spacing w:val="-21"/>
        </w:rPr>
        <w:t> </w:t>
      </w:r>
      <w:r>
        <w:rPr/>
        <w:t>free</w:t>
      </w:r>
      <w:r>
        <w:rPr>
          <w:spacing w:val="-20"/>
        </w:rPr>
        <w:t> </w:t>
      </w:r>
      <w:r>
        <w:rPr/>
        <w:t>of</w:t>
      </w:r>
      <w:r>
        <w:rPr>
          <w:spacing w:val="-21"/>
        </w:rPr>
        <w:t> </w:t>
      </w:r>
      <w:r>
        <w:rPr/>
        <w:t>minerals</w:t>
      </w:r>
      <w:r>
        <w:rPr>
          <w:spacing w:val="-21"/>
        </w:rPr>
        <w:t> </w:t>
      </w:r>
      <w:r>
        <w:rPr/>
        <w:t>with artificial fertilisers, nature could help people through plants. Since the body cannot absorb crystalline substances, plants have taken on this task for us hu- mans</w:t>
      </w:r>
      <w:r>
        <w:rPr>
          <w:spacing w:val="-8"/>
        </w:rPr>
        <w:t> </w:t>
      </w:r>
      <w:r>
        <w:rPr/>
        <w:t>by</w:t>
      </w:r>
      <w:r>
        <w:rPr>
          <w:spacing w:val="-8"/>
        </w:rPr>
        <w:t> </w:t>
      </w:r>
      <w:r>
        <w:rPr/>
        <w:t>taking</w:t>
      </w:r>
      <w:r>
        <w:rPr>
          <w:spacing w:val="-8"/>
        </w:rPr>
        <w:t> </w:t>
      </w:r>
      <w:r>
        <w:rPr/>
        <w:t>the</w:t>
      </w:r>
      <w:r>
        <w:rPr>
          <w:spacing w:val="-7"/>
        </w:rPr>
        <w:t> </w:t>
      </w:r>
      <w:r>
        <w:rPr/>
        <w:t>crystals</w:t>
      </w:r>
      <w:r>
        <w:rPr>
          <w:spacing w:val="-9"/>
        </w:rPr>
        <w:t> </w:t>
      </w:r>
      <w:r>
        <w:rPr/>
        <w:t>from</w:t>
      </w:r>
      <w:r>
        <w:rPr>
          <w:spacing w:val="-11"/>
        </w:rPr>
        <w:t> </w:t>
      </w:r>
      <w:r>
        <w:rPr/>
        <w:t>the</w:t>
      </w:r>
      <w:r>
        <w:rPr>
          <w:spacing w:val="-7"/>
        </w:rPr>
        <w:t> </w:t>
      </w:r>
      <w:r>
        <w:rPr/>
        <w:t>earth</w:t>
      </w:r>
      <w:r>
        <w:rPr>
          <w:spacing w:val="-7"/>
        </w:rPr>
        <w:t> </w:t>
      </w:r>
      <w:r>
        <w:rPr/>
        <w:t>via</w:t>
      </w:r>
      <w:r>
        <w:rPr>
          <w:spacing w:val="-10"/>
        </w:rPr>
        <w:t> </w:t>
      </w:r>
      <w:r>
        <w:rPr/>
        <w:t>their</w:t>
      </w:r>
      <w:r>
        <w:rPr>
          <w:spacing w:val="-8"/>
        </w:rPr>
        <w:t> </w:t>
      </w:r>
      <w:r>
        <w:rPr/>
        <w:t>roots</w:t>
      </w:r>
      <w:r>
        <w:rPr>
          <w:spacing w:val="-8"/>
        </w:rPr>
        <w:t> </w:t>
      </w:r>
      <w:r>
        <w:rPr/>
        <w:t>and</w:t>
      </w:r>
      <w:r>
        <w:rPr>
          <w:spacing w:val="-8"/>
        </w:rPr>
        <w:t> </w:t>
      </w:r>
      <w:r>
        <w:rPr/>
        <w:t>transforming</w:t>
      </w:r>
      <w:r>
        <w:rPr>
          <w:spacing w:val="-8"/>
        </w:rPr>
        <w:t> </w:t>
      </w:r>
      <w:r>
        <w:rPr/>
        <w:t>the crystalline form into the amorphous form with the help of</w:t>
      </w:r>
      <w:r>
        <w:rPr>
          <w:spacing w:val="-20"/>
        </w:rPr>
        <w:t> </w:t>
      </w:r>
      <w:r>
        <w:rPr/>
        <w:t>microorganisms.</w:t>
      </w:r>
    </w:p>
    <w:p>
      <w:pPr>
        <w:pStyle w:val="BodyText"/>
        <w:spacing w:line="276" w:lineRule="auto" w:before="241"/>
        <w:ind w:left="616" w:right="134"/>
        <w:jc w:val="both"/>
      </w:pPr>
      <w:r>
        <w:rPr/>
        <w:t>We were thus granted vegetable food to obtain the precious silicon in usable form.</w:t>
      </w:r>
      <w:r>
        <w:rPr>
          <w:spacing w:val="-18"/>
        </w:rPr>
        <w:t> </w:t>
      </w:r>
      <w:r>
        <w:rPr/>
        <w:t>Since</w:t>
      </w:r>
      <w:r>
        <w:rPr>
          <w:spacing w:val="-16"/>
        </w:rPr>
        <w:t> </w:t>
      </w:r>
      <w:r>
        <w:rPr/>
        <w:t>the</w:t>
      </w:r>
      <w:r>
        <w:rPr>
          <w:spacing w:val="-17"/>
        </w:rPr>
        <w:t> </w:t>
      </w:r>
      <w:r>
        <w:rPr/>
        <w:t>soils</w:t>
      </w:r>
      <w:r>
        <w:rPr>
          <w:spacing w:val="-16"/>
        </w:rPr>
        <w:t> </w:t>
      </w:r>
      <w:r>
        <w:rPr/>
        <w:t>have</w:t>
      </w:r>
      <w:r>
        <w:rPr>
          <w:spacing w:val="-16"/>
        </w:rPr>
        <w:t> </w:t>
      </w:r>
      <w:r>
        <w:rPr/>
        <w:t>lost</w:t>
      </w:r>
      <w:r>
        <w:rPr>
          <w:spacing w:val="-18"/>
        </w:rPr>
        <w:t> </w:t>
      </w:r>
      <w:r>
        <w:rPr/>
        <w:t>most</w:t>
      </w:r>
      <w:r>
        <w:rPr>
          <w:spacing w:val="-17"/>
        </w:rPr>
        <w:t> </w:t>
      </w:r>
      <w:r>
        <w:rPr/>
        <w:t>of</w:t>
      </w:r>
      <w:r>
        <w:rPr>
          <w:spacing w:val="-18"/>
        </w:rPr>
        <w:t> </w:t>
      </w:r>
      <w:r>
        <w:rPr/>
        <w:t>their</w:t>
      </w:r>
      <w:r>
        <w:rPr>
          <w:spacing w:val="-17"/>
        </w:rPr>
        <w:t> </w:t>
      </w:r>
      <w:r>
        <w:rPr/>
        <w:t>minerals,</w:t>
      </w:r>
      <w:r>
        <w:rPr>
          <w:spacing w:val="-16"/>
        </w:rPr>
        <w:t> </w:t>
      </w:r>
      <w:r>
        <w:rPr/>
        <w:t>a</w:t>
      </w:r>
      <w:r>
        <w:rPr>
          <w:spacing w:val="-14"/>
        </w:rPr>
        <w:t> </w:t>
      </w:r>
      <w:r>
        <w:rPr/>
        <w:t>natural</w:t>
      </w:r>
      <w:r>
        <w:rPr>
          <w:spacing w:val="-18"/>
        </w:rPr>
        <w:t> </w:t>
      </w:r>
      <w:r>
        <w:rPr/>
        <w:t>diet</w:t>
      </w:r>
      <w:r>
        <w:rPr>
          <w:spacing w:val="-17"/>
        </w:rPr>
        <w:t> </w:t>
      </w:r>
      <w:r>
        <w:rPr/>
        <w:t>is</w:t>
      </w:r>
      <w:r>
        <w:rPr>
          <w:spacing w:val="-18"/>
        </w:rPr>
        <w:t> </w:t>
      </w:r>
      <w:r>
        <w:rPr/>
        <w:t>no</w:t>
      </w:r>
      <w:r>
        <w:rPr>
          <w:spacing w:val="-18"/>
        </w:rPr>
        <w:t> </w:t>
      </w:r>
      <w:r>
        <w:rPr/>
        <w:t>longer sufficient to meet the silicon demand without</w:t>
      </w:r>
      <w:r>
        <w:rPr>
          <w:spacing w:val="2"/>
        </w:rPr>
        <w:t> </w:t>
      </w:r>
      <w:r>
        <w:rPr/>
        <w:t>supplements.</w:t>
      </w:r>
    </w:p>
    <w:p>
      <w:pPr>
        <w:pStyle w:val="BodyText"/>
        <w:spacing w:line="276" w:lineRule="auto" w:before="239"/>
        <w:ind w:left="616" w:right="136"/>
        <w:jc w:val="both"/>
      </w:pPr>
      <w:r>
        <w:rPr/>
        <w:t>In addition, modern food processing has led to the removal of nutrient-rich components from food, which are no longer available to the consumer. For example,</w:t>
      </w:r>
      <w:r>
        <w:rPr>
          <w:spacing w:val="-7"/>
        </w:rPr>
        <w:t> </w:t>
      </w:r>
      <w:r>
        <w:rPr/>
        <w:t>ground</w:t>
      </w:r>
      <w:r>
        <w:rPr>
          <w:spacing w:val="-7"/>
        </w:rPr>
        <w:t> </w:t>
      </w:r>
      <w:r>
        <w:rPr/>
        <w:t>flour</w:t>
      </w:r>
      <w:r>
        <w:rPr>
          <w:spacing w:val="-7"/>
        </w:rPr>
        <w:t> </w:t>
      </w:r>
      <w:r>
        <w:rPr/>
        <w:t>contains</w:t>
      </w:r>
      <w:r>
        <w:rPr>
          <w:spacing w:val="-10"/>
        </w:rPr>
        <w:t> </w:t>
      </w:r>
      <w:r>
        <w:rPr/>
        <w:t>only</w:t>
      </w:r>
      <w:r>
        <w:rPr>
          <w:spacing w:val="-7"/>
        </w:rPr>
        <w:t> </w:t>
      </w:r>
      <w:r>
        <w:rPr/>
        <w:t>2</w:t>
      </w:r>
      <w:r>
        <w:rPr>
          <w:spacing w:val="-7"/>
        </w:rPr>
        <w:t> </w:t>
      </w:r>
      <w:r>
        <w:rPr/>
        <w:t>%</w:t>
      </w:r>
      <w:r>
        <w:rPr>
          <w:spacing w:val="-7"/>
        </w:rPr>
        <w:t> </w:t>
      </w:r>
      <w:r>
        <w:rPr/>
        <w:t>of</w:t>
      </w:r>
      <w:r>
        <w:rPr>
          <w:spacing w:val="-10"/>
        </w:rPr>
        <w:t> </w:t>
      </w:r>
      <w:r>
        <w:rPr/>
        <w:t>the</w:t>
      </w:r>
      <w:r>
        <w:rPr>
          <w:spacing w:val="-8"/>
        </w:rPr>
        <w:t> </w:t>
      </w:r>
      <w:r>
        <w:rPr/>
        <w:t>original</w:t>
      </w:r>
      <w:r>
        <w:rPr>
          <w:spacing w:val="-8"/>
        </w:rPr>
        <w:t> </w:t>
      </w:r>
      <w:r>
        <w:rPr/>
        <w:t>silicon</w:t>
      </w:r>
      <w:r>
        <w:rPr>
          <w:spacing w:val="-6"/>
        </w:rPr>
        <w:t> </w:t>
      </w:r>
      <w:r>
        <w:rPr/>
        <w:t>content,</w:t>
      </w:r>
      <w:r>
        <w:rPr>
          <w:spacing w:val="-6"/>
        </w:rPr>
        <w:t> </w:t>
      </w:r>
      <w:r>
        <w:rPr/>
        <w:t>which is what makes modern flour beautifully white. Peeled grain also loses 98 % of silicon.</w:t>
      </w:r>
    </w:p>
    <w:p>
      <w:pPr>
        <w:spacing w:after="0" w:line="276" w:lineRule="auto"/>
        <w:jc w:val="both"/>
        <w:sectPr>
          <w:pgSz w:w="14270" w:h="16850"/>
          <w:pgMar w:header="0" w:footer="1891" w:top="1320" w:bottom="2080" w:left="800" w:right="1280"/>
        </w:sectPr>
      </w:pPr>
    </w:p>
    <w:p>
      <w:pPr>
        <w:pStyle w:val="Heading2"/>
        <w:spacing w:before="74"/>
        <w:ind w:left="616"/>
      </w:pPr>
      <w:r>
        <w:rPr/>
        <w:t>Which silicon sources are suitable?</w:t>
      </w:r>
    </w:p>
    <w:p>
      <w:pPr>
        <w:spacing w:before="287"/>
        <w:ind w:left="616" w:right="0" w:firstLine="0"/>
        <w:jc w:val="left"/>
        <w:rPr>
          <w:b/>
          <w:i/>
          <w:sz w:val="40"/>
        </w:rPr>
      </w:pPr>
      <w:r>
        <w:rPr>
          <w:b/>
          <w:i/>
          <w:sz w:val="40"/>
        </w:rPr>
        <w:t>Colloidal silicon gel</w:t>
      </w:r>
    </w:p>
    <w:p>
      <w:pPr>
        <w:pStyle w:val="BodyText"/>
        <w:spacing w:line="278" w:lineRule="auto" w:before="297"/>
        <w:ind w:left="616" w:right="142"/>
        <w:jc w:val="both"/>
      </w:pPr>
      <w:r>
        <w:rPr/>
        <w:t>Those who want to play it safe should resort to silicon gel, which is colloidal and can be optimally absorbed by our organism.</w:t>
      </w:r>
    </w:p>
    <w:p>
      <w:pPr>
        <w:pStyle w:val="BodyText"/>
        <w:spacing w:line="276" w:lineRule="auto" w:before="233"/>
        <w:ind w:left="616" w:right="135"/>
        <w:jc w:val="both"/>
      </w:pPr>
      <w:r>
        <w:rPr/>
        <w:t>The bioavailability of silicon is highest in the form of colloidal silicon gel.</w:t>
      </w:r>
      <w:r>
        <w:rPr>
          <w:spacing w:val="-38"/>
        </w:rPr>
        <w:t> </w:t>
      </w:r>
      <w:r>
        <w:rPr/>
        <w:t>The active particles of silicon gel are about 1,800 times smaller than those of silica and can therefore pass through the intestinal wall much more</w:t>
      </w:r>
      <w:r>
        <w:rPr>
          <w:spacing w:val="-6"/>
        </w:rPr>
        <w:t> </w:t>
      </w:r>
      <w:r>
        <w:rPr/>
        <w:t>efficiently.</w:t>
      </w:r>
    </w:p>
    <w:p>
      <w:pPr>
        <w:pStyle w:val="BodyText"/>
        <w:spacing w:line="276" w:lineRule="auto" w:before="241"/>
        <w:ind w:left="616" w:right="140"/>
        <w:jc w:val="both"/>
      </w:pPr>
      <w:r>
        <w:rPr/>
        <w:t>In studies, up to 90 % of silicon gel could be absorbed and it was proven to have by far the best absorption capacity by our organism.</w:t>
      </w:r>
    </w:p>
    <w:p>
      <w:pPr>
        <w:pStyle w:val="BodyText"/>
        <w:spacing w:line="278" w:lineRule="auto" w:before="239"/>
        <w:ind w:left="616" w:right="139"/>
        <w:jc w:val="both"/>
      </w:pPr>
      <w:r>
        <w:rPr/>
        <w:t>Even small-grained silicon products cannot match silicon gel, neither in terms of effect nor in terms of price-performance ratio.</w:t>
      </w:r>
    </w:p>
    <w:p>
      <w:pPr>
        <w:pStyle w:val="BodyText"/>
        <w:spacing w:line="276" w:lineRule="auto" w:before="232"/>
        <w:ind w:left="616" w:right="136"/>
        <w:jc w:val="both"/>
      </w:pPr>
      <w:r>
        <w:rPr/>
        <w:t>Silicon gel can do even more, because unlike other silicon products, it can be applied very successfully both internally and externally. And this is where sili- con gel shows its full potential.</w:t>
      </w:r>
    </w:p>
    <w:p>
      <w:pPr>
        <w:spacing w:after="0" w:line="276" w:lineRule="auto"/>
        <w:jc w:val="both"/>
        <w:sectPr>
          <w:pgSz w:w="14270" w:h="16850"/>
          <w:pgMar w:header="0" w:footer="1891" w:top="1340" w:bottom="2080" w:left="800" w:right="1280"/>
        </w:sectPr>
      </w:pPr>
    </w:p>
    <w:p>
      <w:pPr>
        <w:pStyle w:val="Heading1"/>
        <w:spacing w:before="77"/>
        <w:ind w:left="616"/>
      </w:pPr>
      <w:r>
        <w:rPr/>
        <w:t>Silicon gel</w:t>
      </w:r>
    </w:p>
    <w:p>
      <w:pPr>
        <w:pStyle w:val="ListParagraph"/>
        <w:numPr>
          <w:ilvl w:val="0"/>
          <w:numId w:val="117"/>
        </w:numPr>
        <w:tabs>
          <w:tab w:pos="831" w:val="left" w:leader="none"/>
        </w:tabs>
        <w:spacing w:line="240" w:lineRule="auto" w:before="261" w:after="0"/>
        <w:ind w:left="830" w:right="0" w:hanging="214"/>
        <w:jc w:val="left"/>
        <w:rPr>
          <w:sz w:val="38"/>
        </w:rPr>
      </w:pPr>
      <w:r>
        <w:rPr>
          <w:sz w:val="38"/>
        </w:rPr>
        <w:t>smoothens wrinkles from the outside,</w:t>
      </w:r>
    </w:p>
    <w:p>
      <w:pPr>
        <w:pStyle w:val="ListParagraph"/>
        <w:numPr>
          <w:ilvl w:val="0"/>
          <w:numId w:val="117"/>
        </w:numPr>
        <w:tabs>
          <w:tab w:pos="831" w:val="left" w:leader="none"/>
        </w:tabs>
        <w:spacing w:line="240" w:lineRule="auto" w:before="264" w:after="0"/>
        <w:ind w:left="830" w:right="0" w:hanging="214"/>
        <w:jc w:val="left"/>
        <w:rPr>
          <w:sz w:val="38"/>
        </w:rPr>
      </w:pPr>
      <w:r>
        <w:rPr>
          <w:sz w:val="38"/>
        </w:rPr>
        <w:t>fights cellulite,</w:t>
      </w:r>
    </w:p>
    <w:p>
      <w:pPr>
        <w:pStyle w:val="ListParagraph"/>
        <w:numPr>
          <w:ilvl w:val="0"/>
          <w:numId w:val="117"/>
        </w:numPr>
        <w:tabs>
          <w:tab w:pos="831" w:val="left" w:leader="none"/>
        </w:tabs>
        <w:spacing w:line="240" w:lineRule="auto" w:before="263" w:after="0"/>
        <w:ind w:left="830" w:right="0" w:hanging="214"/>
        <w:jc w:val="left"/>
        <w:rPr>
          <w:sz w:val="38"/>
        </w:rPr>
      </w:pPr>
      <w:r>
        <w:rPr>
          <w:sz w:val="38"/>
        </w:rPr>
        <w:t>treats eczema, rashes,</w:t>
      </w:r>
    </w:p>
    <w:p>
      <w:pPr>
        <w:pStyle w:val="ListParagraph"/>
        <w:numPr>
          <w:ilvl w:val="0"/>
          <w:numId w:val="117"/>
        </w:numPr>
        <w:tabs>
          <w:tab w:pos="831" w:val="left" w:leader="none"/>
        </w:tabs>
        <w:spacing w:line="240" w:lineRule="auto" w:before="264" w:after="0"/>
        <w:ind w:left="830" w:right="0" w:hanging="214"/>
        <w:jc w:val="left"/>
        <w:rPr>
          <w:sz w:val="38"/>
        </w:rPr>
      </w:pPr>
      <w:r>
        <w:rPr>
          <w:sz w:val="38"/>
        </w:rPr>
        <w:t>relieves</w:t>
      </w:r>
      <w:r>
        <w:rPr>
          <w:spacing w:val="-1"/>
          <w:sz w:val="38"/>
        </w:rPr>
        <w:t> </w:t>
      </w:r>
      <w:r>
        <w:rPr>
          <w:sz w:val="38"/>
        </w:rPr>
        <w:t>itching,</w:t>
      </w:r>
    </w:p>
    <w:p>
      <w:pPr>
        <w:pStyle w:val="ListParagraph"/>
        <w:numPr>
          <w:ilvl w:val="0"/>
          <w:numId w:val="117"/>
        </w:numPr>
        <w:tabs>
          <w:tab w:pos="831" w:val="left" w:leader="none"/>
        </w:tabs>
        <w:spacing w:line="240" w:lineRule="auto" w:before="264" w:after="0"/>
        <w:ind w:left="830" w:right="0" w:hanging="214"/>
        <w:jc w:val="left"/>
        <w:rPr>
          <w:sz w:val="38"/>
        </w:rPr>
      </w:pPr>
      <w:r>
        <w:rPr>
          <w:sz w:val="38"/>
        </w:rPr>
        <w:t>heals</w:t>
      </w:r>
      <w:r>
        <w:rPr>
          <w:spacing w:val="-1"/>
          <w:sz w:val="38"/>
        </w:rPr>
        <w:t> </w:t>
      </w:r>
      <w:r>
        <w:rPr>
          <w:sz w:val="38"/>
        </w:rPr>
        <w:t>burns,</w:t>
      </w:r>
    </w:p>
    <w:p>
      <w:pPr>
        <w:pStyle w:val="ListParagraph"/>
        <w:numPr>
          <w:ilvl w:val="0"/>
          <w:numId w:val="117"/>
        </w:numPr>
        <w:tabs>
          <w:tab w:pos="831" w:val="left" w:leader="none"/>
        </w:tabs>
        <w:spacing w:line="240" w:lineRule="auto" w:before="264" w:after="0"/>
        <w:ind w:left="830" w:right="0" w:hanging="214"/>
        <w:jc w:val="left"/>
        <w:rPr>
          <w:sz w:val="38"/>
        </w:rPr>
      </w:pPr>
      <w:r>
        <w:rPr>
          <w:sz w:val="38"/>
        </w:rPr>
        <w:t>relieves</w:t>
      </w:r>
      <w:r>
        <w:rPr>
          <w:spacing w:val="-1"/>
          <w:sz w:val="38"/>
        </w:rPr>
        <w:t> </w:t>
      </w:r>
      <w:r>
        <w:rPr>
          <w:sz w:val="38"/>
        </w:rPr>
        <w:t>sunburn,</w:t>
      </w:r>
    </w:p>
    <w:p>
      <w:pPr>
        <w:pStyle w:val="ListParagraph"/>
        <w:numPr>
          <w:ilvl w:val="0"/>
          <w:numId w:val="117"/>
        </w:numPr>
        <w:tabs>
          <w:tab w:pos="831" w:val="left" w:leader="none"/>
        </w:tabs>
        <w:spacing w:line="240" w:lineRule="auto" w:before="266" w:after="0"/>
        <w:ind w:left="830" w:right="0" w:hanging="214"/>
        <w:jc w:val="left"/>
        <w:rPr>
          <w:sz w:val="38"/>
        </w:rPr>
      </w:pPr>
      <w:r>
        <w:rPr>
          <w:sz w:val="38"/>
        </w:rPr>
        <w:t>helps with insect</w:t>
      </w:r>
      <w:r>
        <w:rPr>
          <w:spacing w:val="1"/>
          <w:sz w:val="38"/>
        </w:rPr>
        <w:t> </w:t>
      </w:r>
      <w:r>
        <w:rPr>
          <w:sz w:val="38"/>
        </w:rPr>
        <w:t>bites,</w:t>
      </w:r>
    </w:p>
    <w:p>
      <w:pPr>
        <w:pStyle w:val="ListParagraph"/>
        <w:numPr>
          <w:ilvl w:val="0"/>
          <w:numId w:val="117"/>
        </w:numPr>
        <w:tabs>
          <w:tab w:pos="831" w:val="left" w:leader="none"/>
        </w:tabs>
        <w:spacing w:line="240" w:lineRule="auto" w:before="264" w:after="0"/>
        <w:ind w:left="830" w:right="0" w:hanging="214"/>
        <w:jc w:val="left"/>
        <w:rPr>
          <w:sz w:val="38"/>
        </w:rPr>
      </w:pPr>
      <w:r>
        <w:rPr>
          <w:sz w:val="38"/>
        </w:rPr>
        <w:t>relieves</w:t>
      </w:r>
      <w:r>
        <w:rPr>
          <w:spacing w:val="-1"/>
          <w:sz w:val="38"/>
        </w:rPr>
        <w:t> </w:t>
      </w:r>
      <w:r>
        <w:rPr>
          <w:sz w:val="38"/>
        </w:rPr>
        <w:t>inflammation,</w:t>
      </w:r>
    </w:p>
    <w:p>
      <w:pPr>
        <w:pStyle w:val="ListParagraph"/>
        <w:numPr>
          <w:ilvl w:val="0"/>
          <w:numId w:val="117"/>
        </w:numPr>
        <w:tabs>
          <w:tab w:pos="831" w:val="left" w:leader="none"/>
        </w:tabs>
        <w:spacing w:line="240" w:lineRule="auto" w:before="263" w:after="0"/>
        <w:ind w:left="830" w:right="0" w:hanging="214"/>
        <w:jc w:val="left"/>
        <w:rPr>
          <w:sz w:val="38"/>
        </w:rPr>
      </w:pPr>
      <w:r>
        <w:rPr>
          <w:sz w:val="38"/>
        </w:rPr>
        <w:t>binds wound secretions</w:t>
      </w:r>
      <w:r>
        <w:rPr>
          <w:spacing w:val="-11"/>
          <w:sz w:val="38"/>
        </w:rPr>
        <w:t> </w:t>
      </w:r>
      <w:r>
        <w:rPr>
          <w:sz w:val="38"/>
        </w:rPr>
        <w:t>and</w:t>
      </w:r>
    </w:p>
    <w:p>
      <w:pPr>
        <w:pStyle w:val="ListParagraph"/>
        <w:numPr>
          <w:ilvl w:val="0"/>
          <w:numId w:val="117"/>
        </w:numPr>
        <w:tabs>
          <w:tab w:pos="831" w:val="left" w:leader="none"/>
        </w:tabs>
        <w:spacing w:line="240" w:lineRule="auto" w:before="265" w:after="0"/>
        <w:ind w:left="830" w:right="0" w:hanging="214"/>
        <w:jc w:val="left"/>
        <w:rPr>
          <w:sz w:val="38"/>
        </w:rPr>
      </w:pPr>
      <w:r>
        <w:rPr>
          <w:sz w:val="38"/>
        </w:rPr>
        <w:t>helps wounds to heal</w:t>
      </w:r>
      <w:r>
        <w:rPr>
          <w:spacing w:val="-7"/>
          <w:sz w:val="38"/>
        </w:rPr>
        <w:t> </w:t>
      </w:r>
      <w:r>
        <w:rPr>
          <w:sz w:val="38"/>
        </w:rPr>
        <w:t>faster.</w:t>
      </w:r>
    </w:p>
    <w:p>
      <w:pPr>
        <w:spacing w:line="405" w:lineRule="auto" w:before="284"/>
        <w:ind w:left="616" w:right="3634" w:firstLine="0"/>
        <w:jc w:val="left"/>
        <w:rPr>
          <w:b/>
          <w:i/>
          <w:sz w:val="40"/>
        </w:rPr>
      </w:pPr>
      <w:r>
        <w:rPr>
          <w:b/>
          <w:i/>
          <w:sz w:val="40"/>
        </w:rPr>
        <w:t>Furthermore,</w:t>
      </w:r>
      <w:r>
        <w:rPr>
          <w:b/>
          <w:i/>
          <w:spacing w:val="-56"/>
          <w:sz w:val="40"/>
        </w:rPr>
        <w:t> </w:t>
      </w:r>
      <w:r>
        <w:rPr>
          <w:b/>
          <w:i/>
          <w:sz w:val="40"/>
        </w:rPr>
        <w:t>plant-based</w:t>
      </w:r>
      <w:r>
        <w:rPr>
          <w:b/>
          <w:i/>
          <w:spacing w:val="-56"/>
          <w:sz w:val="40"/>
        </w:rPr>
        <w:t> </w:t>
      </w:r>
      <w:r>
        <w:rPr>
          <w:b/>
          <w:i/>
          <w:sz w:val="40"/>
        </w:rPr>
        <w:t>products</w:t>
      </w:r>
      <w:r>
        <w:rPr>
          <w:b/>
          <w:i/>
          <w:spacing w:val="-55"/>
          <w:sz w:val="40"/>
        </w:rPr>
        <w:t> </w:t>
      </w:r>
      <w:r>
        <w:rPr>
          <w:b/>
          <w:i/>
          <w:sz w:val="40"/>
        </w:rPr>
        <w:t>are</w:t>
      </w:r>
      <w:r>
        <w:rPr>
          <w:b/>
          <w:i/>
          <w:spacing w:val="-55"/>
          <w:sz w:val="40"/>
        </w:rPr>
        <w:t> </w:t>
      </w:r>
      <w:r>
        <w:rPr>
          <w:b/>
          <w:i/>
          <w:sz w:val="40"/>
        </w:rPr>
        <w:t>suitable </w:t>
      </w:r>
      <w:r>
        <w:rPr>
          <w:sz w:val="38"/>
        </w:rPr>
        <w:t>100 g of horse tail contains 2,200-5,400 mg of silicon, 100 g of hemp nettle contains 2,680 mg of silicon and 100 g of couch grass contains 210-840 mg of silicon. </w:t>
      </w:r>
      <w:r>
        <w:rPr>
          <w:b/>
          <w:i/>
          <w:sz w:val="40"/>
        </w:rPr>
        <w:t>Silicon in mineral water</w:t>
      </w:r>
    </w:p>
    <w:p>
      <w:pPr>
        <w:pStyle w:val="BodyText"/>
        <w:spacing w:line="417" w:lineRule="exact"/>
        <w:ind w:left="616"/>
      </w:pPr>
      <w:r>
        <w:rPr/>
        <w:t>Certain waters also contain plenty of silicon. Silicate distributions in mineral</w:t>
      </w:r>
    </w:p>
    <w:p>
      <w:pPr>
        <w:spacing w:after="0" w:line="417" w:lineRule="exact"/>
        <w:sectPr>
          <w:pgSz w:w="14270" w:h="16850"/>
          <w:pgMar w:header="0" w:footer="1891" w:top="1320" w:bottom="2080" w:left="800" w:right="1280"/>
        </w:sectPr>
      </w:pPr>
    </w:p>
    <w:p>
      <w:pPr>
        <w:pStyle w:val="BodyText"/>
        <w:spacing w:line="276" w:lineRule="auto" w:before="72"/>
        <w:ind w:left="616" w:right="134"/>
        <w:jc w:val="both"/>
      </w:pPr>
      <w:r>
        <w:rPr/>
        <w:t>waters containing silicon contain between 70 mg and 400 mg/litre. This can be explained by the rocks and sand through which the water sources flow and absorb the silicon in colloidal form.</w:t>
      </w:r>
    </w:p>
    <w:p>
      <w:pPr>
        <w:spacing w:line="405" w:lineRule="auto" w:before="224"/>
        <w:ind w:left="616" w:right="5212" w:firstLine="0"/>
        <w:jc w:val="left"/>
        <w:rPr>
          <w:sz w:val="38"/>
        </w:rPr>
      </w:pPr>
      <w:r>
        <w:rPr>
          <w:b/>
          <w:i/>
          <w:sz w:val="40"/>
        </w:rPr>
        <w:t>Silicon content in mineral water </w:t>
      </w:r>
      <w:r>
        <w:rPr>
          <w:sz w:val="38"/>
        </w:rPr>
        <w:t>Mariánské Lázně forest spring = 400 mg/l Baden-Baden spring = 155 mg/l</w:t>
      </w:r>
    </w:p>
    <w:p>
      <w:pPr>
        <w:pStyle w:val="BodyText"/>
        <w:tabs>
          <w:tab w:pos="4176" w:val="left" w:leader="none"/>
        </w:tabs>
        <w:spacing w:line="410" w:lineRule="auto" w:before="8"/>
        <w:ind w:left="616" w:right="6416"/>
      </w:pPr>
      <w:r>
        <w:rPr/>
        <w:t>Wilhelm spring = 100 mg/l Dunaris</w:t>
      </w:r>
      <w:r>
        <w:rPr>
          <w:spacing w:val="-2"/>
        </w:rPr>
        <w:t> </w:t>
      </w:r>
      <w:r>
        <w:rPr/>
        <w:t>spring</w:t>
      </w:r>
      <w:r>
        <w:rPr>
          <w:spacing w:val="-4"/>
        </w:rPr>
        <w:t> </w:t>
      </w:r>
      <w:r>
        <w:rPr/>
        <w:t>water</w:t>
        <w:tab/>
        <w:t>= 80 mg/l Glashäger healing water = 70</w:t>
      </w:r>
      <w:r>
        <w:rPr>
          <w:spacing w:val="-15"/>
        </w:rPr>
        <w:t> </w:t>
      </w:r>
      <w:r>
        <w:rPr/>
        <w:t>mg/l</w:t>
      </w:r>
    </w:p>
    <w:p>
      <w:pPr>
        <w:pStyle w:val="BodyText"/>
        <w:spacing w:before="1"/>
        <w:ind w:left="616"/>
      </w:pPr>
      <w:r>
        <w:rPr/>
        <w:t>Teinacher Hirschquelle spring = 70 mg/l</w:t>
      </w:r>
    </w:p>
    <w:p>
      <w:pPr>
        <w:pStyle w:val="Heading1"/>
        <w:spacing w:before="287"/>
        <w:ind w:left="616"/>
      </w:pPr>
      <w:r>
        <w:rPr/>
        <w:t>Silicon in healing clay</w:t>
      </w:r>
    </w:p>
    <w:p>
      <w:pPr>
        <w:pStyle w:val="BodyText"/>
        <w:spacing w:line="276" w:lineRule="auto" w:before="300"/>
        <w:ind w:left="616" w:right="133"/>
        <w:jc w:val="both"/>
      </w:pPr>
      <w:r>
        <w:rPr/>
        <w:t>Even in non-colloidal form, silicon seems to be effective in corresponding amounts. Thus, scientists are largely agreed that healing clay owes its healing effect to the high proportion of about 58 %-65 % of (non-colloidal) silicon. Healing clay can do even more: It binds toxins in the intestine and excretes them out of the body.</w:t>
      </w:r>
    </w:p>
    <w:p>
      <w:pPr>
        <w:pStyle w:val="BodyText"/>
        <w:spacing w:line="276" w:lineRule="auto" w:before="239"/>
        <w:ind w:left="616" w:right="138"/>
        <w:jc w:val="both"/>
      </w:pPr>
      <w:r>
        <w:rPr/>
        <w:t>However, since the effect of the healing clay cannot be attributed to silicon with 100 % certainty and the exact amount of silicon absorbed by our body cannot be measured with the healing clay, you should supplement your intake</w:t>
      </w:r>
    </w:p>
    <w:p>
      <w:pPr>
        <w:spacing w:after="0" w:line="276" w:lineRule="auto"/>
        <w:jc w:val="both"/>
        <w:sectPr>
          <w:pgSz w:w="14270" w:h="16850"/>
          <w:pgMar w:header="0" w:footer="1891" w:top="1340" w:bottom="2080" w:left="800" w:right="1280"/>
        </w:sectPr>
      </w:pPr>
    </w:p>
    <w:p>
      <w:pPr>
        <w:pStyle w:val="BodyText"/>
        <w:spacing w:before="74"/>
        <w:ind w:left="616"/>
      </w:pPr>
      <w:r>
        <w:rPr/>
        <w:t>with some silicon gel in case of doubt.</w:t>
      </w:r>
    </w:p>
    <w:p>
      <w:pPr>
        <w:pStyle w:val="BodyText"/>
        <w:rPr>
          <w:sz w:val="42"/>
        </w:rPr>
      </w:pPr>
    </w:p>
    <w:p>
      <w:pPr>
        <w:pStyle w:val="BodyText"/>
        <w:spacing w:before="10"/>
        <w:rPr>
          <w:sz w:val="49"/>
        </w:rPr>
      </w:pPr>
    </w:p>
    <w:p>
      <w:pPr>
        <w:pStyle w:val="Heading2"/>
        <w:spacing w:before="1"/>
        <w:ind w:left="616"/>
      </w:pPr>
      <w:r>
        <w:rPr/>
        <w:t>Specific effect on diseases and conditions</w:t>
      </w:r>
    </w:p>
    <w:p>
      <w:pPr>
        <w:spacing w:line="264" w:lineRule="auto" w:before="287"/>
        <w:ind w:left="616" w:right="136" w:firstLine="0"/>
        <w:jc w:val="both"/>
        <w:rPr>
          <w:b/>
          <w:i/>
          <w:sz w:val="40"/>
        </w:rPr>
      </w:pPr>
      <w:r>
        <w:rPr>
          <w:b/>
          <w:i/>
          <w:sz w:val="40"/>
        </w:rPr>
        <w:t>Effect</w:t>
      </w:r>
      <w:r>
        <w:rPr>
          <w:b/>
          <w:i/>
          <w:spacing w:val="-41"/>
          <w:sz w:val="40"/>
        </w:rPr>
        <w:t> </w:t>
      </w:r>
      <w:r>
        <w:rPr>
          <w:b/>
          <w:i/>
          <w:sz w:val="40"/>
        </w:rPr>
        <w:t>of</w:t>
      </w:r>
      <w:r>
        <w:rPr>
          <w:b/>
          <w:i/>
          <w:spacing w:val="-40"/>
          <w:sz w:val="40"/>
        </w:rPr>
        <w:t> </w:t>
      </w:r>
      <w:r>
        <w:rPr>
          <w:b/>
          <w:i/>
          <w:sz w:val="40"/>
        </w:rPr>
        <w:t>silicon</w:t>
      </w:r>
      <w:r>
        <w:rPr>
          <w:b/>
          <w:i/>
          <w:spacing w:val="-41"/>
          <w:sz w:val="40"/>
        </w:rPr>
        <w:t> </w:t>
      </w:r>
      <w:r>
        <w:rPr>
          <w:b/>
          <w:i/>
          <w:sz w:val="40"/>
        </w:rPr>
        <w:t>on</w:t>
      </w:r>
      <w:r>
        <w:rPr>
          <w:b/>
          <w:i/>
          <w:spacing w:val="-39"/>
          <w:sz w:val="40"/>
        </w:rPr>
        <w:t> </w:t>
      </w:r>
      <w:r>
        <w:rPr>
          <w:b/>
          <w:i/>
          <w:sz w:val="40"/>
        </w:rPr>
        <w:t>intestinal</w:t>
      </w:r>
      <w:r>
        <w:rPr>
          <w:b/>
          <w:i/>
          <w:spacing w:val="-39"/>
          <w:sz w:val="40"/>
        </w:rPr>
        <w:t> </w:t>
      </w:r>
      <w:r>
        <w:rPr>
          <w:b/>
          <w:i/>
          <w:sz w:val="40"/>
        </w:rPr>
        <w:t>disorders,</w:t>
      </w:r>
      <w:r>
        <w:rPr>
          <w:b/>
          <w:i/>
          <w:spacing w:val="-41"/>
          <w:sz w:val="40"/>
        </w:rPr>
        <w:t> </w:t>
      </w:r>
      <w:r>
        <w:rPr>
          <w:b/>
          <w:i/>
          <w:sz w:val="40"/>
        </w:rPr>
        <w:t>diarrhoea,</w:t>
      </w:r>
      <w:r>
        <w:rPr>
          <w:b/>
          <w:i/>
          <w:spacing w:val="-40"/>
          <w:sz w:val="40"/>
        </w:rPr>
        <w:t> </w:t>
      </w:r>
      <w:r>
        <w:rPr>
          <w:b/>
          <w:i/>
          <w:sz w:val="40"/>
        </w:rPr>
        <w:t>constipation,</w:t>
      </w:r>
      <w:r>
        <w:rPr>
          <w:b/>
          <w:i/>
          <w:spacing w:val="-40"/>
          <w:sz w:val="40"/>
        </w:rPr>
        <w:t> </w:t>
      </w:r>
      <w:r>
        <w:rPr>
          <w:b/>
          <w:i/>
          <w:sz w:val="40"/>
        </w:rPr>
        <w:t>flatu- lence and abdominal</w:t>
      </w:r>
      <w:r>
        <w:rPr>
          <w:b/>
          <w:i/>
          <w:spacing w:val="-24"/>
          <w:sz w:val="40"/>
        </w:rPr>
        <w:t> </w:t>
      </w:r>
      <w:r>
        <w:rPr>
          <w:b/>
          <w:i/>
          <w:sz w:val="40"/>
        </w:rPr>
        <w:t>pain</w:t>
      </w:r>
    </w:p>
    <w:p>
      <w:pPr>
        <w:pStyle w:val="BodyText"/>
        <w:spacing w:line="276" w:lineRule="auto" w:before="252"/>
        <w:ind w:left="616" w:right="136"/>
        <w:jc w:val="both"/>
      </w:pPr>
      <w:r>
        <w:rPr/>
        <w:t>Silicon and silica have the ability to bind inflammatory secretions as well as toxins and waste in the intestine. The extreme ability to bind here is compara- ble its ability to bind water, i.e. 300 times its own weight. Furthermore, silicon has a disinfecting effect. In this way, most causes of intestinal problems, diar- rhoea, constipation, flatulence and abdominal pain are naturally counteracted and prevented with long-term intake of silica.</w:t>
      </w:r>
    </w:p>
    <w:p>
      <w:pPr>
        <w:pStyle w:val="BodyText"/>
        <w:spacing w:line="273" w:lineRule="auto" w:before="222"/>
        <w:ind w:left="616" w:right="138"/>
        <w:jc w:val="both"/>
      </w:pPr>
      <w:r>
        <w:rPr>
          <w:b/>
          <w:i/>
          <w:sz w:val="40"/>
        </w:rPr>
        <w:t>Application:</w:t>
      </w:r>
      <w:r>
        <w:rPr>
          <w:b/>
          <w:i/>
          <w:spacing w:val="-19"/>
          <w:sz w:val="40"/>
        </w:rPr>
        <w:t> </w:t>
      </w:r>
      <w:r>
        <w:rPr/>
        <w:t>take</w:t>
      </w:r>
      <w:r>
        <w:rPr>
          <w:spacing w:val="-14"/>
        </w:rPr>
        <w:t> </w:t>
      </w:r>
      <w:r>
        <w:rPr/>
        <w:t>up</w:t>
      </w:r>
      <w:r>
        <w:rPr>
          <w:spacing w:val="-15"/>
        </w:rPr>
        <w:t> </w:t>
      </w:r>
      <w:r>
        <w:rPr/>
        <w:t>to</w:t>
      </w:r>
      <w:r>
        <w:rPr>
          <w:spacing w:val="-13"/>
        </w:rPr>
        <w:t> </w:t>
      </w:r>
      <w:r>
        <w:rPr/>
        <w:t>1</w:t>
      </w:r>
      <w:r>
        <w:rPr>
          <w:spacing w:val="-14"/>
        </w:rPr>
        <w:t> </w:t>
      </w:r>
      <w:r>
        <w:rPr/>
        <w:t>tablespoon</w:t>
      </w:r>
      <w:r>
        <w:rPr>
          <w:spacing w:val="-14"/>
        </w:rPr>
        <w:t> </w:t>
      </w:r>
      <w:r>
        <w:rPr/>
        <w:t>per</w:t>
      </w:r>
      <w:r>
        <w:rPr>
          <w:spacing w:val="-16"/>
        </w:rPr>
        <w:t> </w:t>
      </w:r>
      <w:r>
        <w:rPr/>
        <w:t>hour</w:t>
      </w:r>
      <w:r>
        <w:rPr>
          <w:spacing w:val="-14"/>
        </w:rPr>
        <w:t> </w:t>
      </w:r>
      <w:r>
        <w:rPr/>
        <w:t>of</w:t>
      </w:r>
      <w:r>
        <w:rPr>
          <w:spacing w:val="-14"/>
        </w:rPr>
        <w:t> </w:t>
      </w:r>
      <w:r>
        <w:rPr/>
        <w:t>lightly</w:t>
      </w:r>
      <w:r>
        <w:rPr>
          <w:spacing w:val="-15"/>
        </w:rPr>
        <w:t> </w:t>
      </w:r>
      <w:r>
        <w:rPr/>
        <w:t>diluted</w:t>
      </w:r>
      <w:r>
        <w:rPr>
          <w:spacing w:val="-14"/>
        </w:rPr>
        <w:t> </w:t>
      </w:r>
      <w:r>
        <w:rPr/>
        <w:t>silica</w:t>
      </w:r>
      <w:r>
        <w:rPr>
          <w:spacing w:val="-14"/>
        </w:rPr>
        <w:t> </w:t>
      </w:r>
      <w:r>
        <w:rPr/>
        <w:t>gel</w:t>
      </w:r>
      <w:r>
        <w:rPr>
          <w:spacing w:val="-12"/>
        </w:rPr>
        <w:t> </w:t>
      </w:r>
      <w:r>
        <w:rPr/>
        <w:t>until the symptoms resolve</w:t>
      </w:r>
      <w:r>
        <w:rPr>
          <w:spacing w:val="-1"/>
        </w:rPr>
        <w:t> </w:t>
      </w:r>
      <w:r>
        <w:rPr/>
        <w:t>themselves.</w:t>
      </w:r>
    </w:p>
    <w:p>
      <w:pPr>
        <w:pStyle w:val="Heading1"/>
        <w:ind w:left="616"/>
      </w:pPr>
      <w:r>
        <w:rPr/>
        <w:t>Effect of silica (silicon) on</w:t>
      </w:r>
      <w:r>
        <w:rPr>
          <w:spacing w:val="-56"/>
        </w:rPr>
        <w:t> </w:t>
      </w:r>
      <w:r>
        <w:rPr/>
        <w:t>inflammation</w:t>
      </w:r>
    </w:p>
    <w:p>
      <w:pPr>
        <w:pStyle w:val="BodyText"/>
        <w:spacing w:line="276" w:lineRule="auto" w:before="300"/>
        <w:ind w:left="616" w:right="133"/>
        <w:jc w:val="both"/>
      </w:pPr>
      <w:r>
        <w:rPr/>
        <w:t>Many naturopaths see inflammation itself as the origin of every disease; the role</w:t>
      </w:r>
      <w:r>
        <w:rPr>
          <w:spacing w:val="-22"/>
        </w:rPr>
        <w:t> </w:t>
      </w:r>
      <w:r>
        <w:rPr/>
        <w:t>of</w:t>
      </w:r>
      <w:r>
        <w:rPr>
          <w:spacing w:val="-21"/>
        </w:rPr>
        <w:t> </w:t>
      </w:r>
      <w:r>
        <w:rPr/>
        <w:t>silica,</w:t>
      </w:r>
      <w:r>
        <w:rPr>
          <w:spacing w:val="-21"/>
        </w:rPr>
        <w:t> </w:t>
      </w:r>
      <w:r>
        <w:rPr/>
        <w:t>which</w:t>
      </w:r>
      <w:r>
        <w:rPr>
          <w:spacing w:val="-20"/>
        </w:rPr>
        <w:t> </w:t>
      </w:r>
      <w:r>
        <w:rPr/>
        <w:t>has</w:t>
      </w:r>
      <w:r>
        <w:rPr>
          <w:spacing w:val="-20"/>
        </w:rPr>
        <w:t> </w:t>
      </w:r>
      <w:r>
        <w:rPr/>
        <w:t>anti-inflammatory</w:t>
      </w:r>
      <w:r>
        <w:rPr>
          <w:spacing w:val="-20"/>
        </w:rPr>
        <w:t> </w:t>
      </w:r>
      <w:r>
        <w:rPr/>
        <w:t>effects</w:t>
      </w:r>
      <w:r>
        <w:rPr>
          <w:spacing w:val="-23"/>
        </w:rPr>
        <w:t> </w:t>
      </w:r>
      <w:r>
        <w:rPr/>
        <w:t>on</w:t>
      </w:r>
      <w:r>
        <w:rPr>
          <w:spacing w:val="-20"/>
        </w:rPr>
        <w:t> </w:t>
      </w:r>
      <w:r>
        <w:rPr/>
        <w:t>all</w:t>
      </w:r>
      <w:r>
        <w:rPr>
          <w:spacing w:val="-23"/>
        </w:rPr>
        <w:t> </w:t>
      </w:r>
      <w:r>
        <w:rPr/>
        <w:t>sorts</w:t>
      </w:r>
      <w:r>
        <w:rPr>
          <w:spacing w:val="-23"/>
        </w:rPr>
        <w:t> </w:t>
      </w:r>
      <w:r>
        <w:rPr/>
        <w:t>of</w:t>
      </w:r>
      <w:r>
        <w:rPr>
          <w:spacing w:val="-20"/>
        </w:rPr>
        <w:t> </w:t>
      </w:r>
      <w:r>
        <w:rPr/>
        <w:t>diseases,</w:t>
      </w:r>
      <w:r>
        <w:rPr>
          <w:spacing w:val="-20"/>
        </w:rPr>
        <w:t> </w:t>
      </w:r>
      <w:r>
        <w:rPr/>
        <w:t>there- fore, seems all the more</w:t>
      </w:r>
      <w:r>
        <w:rPr>
          <w:spacing w:val="1"/>
        </w:rPr>
        <w:t> </w:t>
      </w:r>
      <w:r>
        <w:rPr/>
        <w:t>relevant.</w:t>
      </w:r>
    </w:p>
    <w:p>
      <w:pPr>
        <w:pStyle w:val="BodyText"/>
        <w:spacing w:line="276" w:lineRule="auto" w:before="238"/>
        <w:ind w:left="616" w:right="137"/>
        <w:jc w:val="both"/>
      </w:pPr>
      <w:r>
        <w:rPr/>
        <w:t>Silicon can be applied internally (as a silicon gel, healing clay, etc.) and exter- nally, and has been proven to be effective against many inflammatory pro- cesses, from tonsillitis to possible dermatitis. The anti-inflammatory effect is</w:t>
      </w:r>
    </w:p>
    <w:p>
      <w:pPr>
        <w:spacing w:after="0" w:line="276" w:lineRule="auto"/>
        <w:jc w:val="both"/>
        <w:sectPr>
          <w:pgSz w:w="14270" w:h="16850"/>
          <w:pgMar w:header="0" w:footer="1891" w:top="1340" w:bottom="2080" w:left="800" w:right="1280"/>
        </w:sectPr>
      </w:pPr>
    </w:p>
    <w:p>
      <w:pPr>
        <w:pStyle w:val="BodyText"/>
        <w:spacing w:line="278" w:lineRule="auto" w:before="72"/>
        <w:ind w:left="616" w:right="145"/>
        <w:jc w:val="both"/>
      </w:pPr>
      <w:r>
        <w:rPr/>
        <w:t>due to the binding of inflammatory secretions and the simultaneous produc- tion of lymphocytes and phagocytes.</w:t>
      </w:r>
    </w:p>
    <w:p>
      <w:pPr>
        <w:pStyle w:val="Heading1"/>
        <w:spacing w:before="215"/>
        <w:ind w:left="616"/>
        <w:jc w:val="both"/>
      </w:pPr>
      <w:r>
        <w:rPr/>
        <w:t>Effect of silicon on connective</w:t>
      </w:r>
      <w:r>
        <w:rPr>
          <w:spacing w:val="-53"/>
        </w:rPr>
        <w:t> </w:t>
      </w:r>
      <w:r>
        <w:rPr/>
        <w:t>tissue</w:t>
      </w:r>
    </w:p>
    <w:p>
      <w:pPr>
        <w:pStyle w:val="BodyText"/>
        <w:spacing w:line="278" w:lineRule="auto" w:before="299"/>
        <w:ind w:left="616" w:right="134"/>
        <w:jc w:val="both"/>
      </w:pPr>
      <w:r>
        <w:rPr/>
        <w:t>Not only are the skin, tendons, ligaments, cartilage and intervertebral discs re- garded as connective tissue, but also internal components of our organs.</w:t>
      </w:r>
    </w:p>
    <w:p>
      <w:pPr>
        <w:pStyle w:val="BodyText"/>
        <w:spacing w:line="276" w:lineRule="auto" w:before="232"/>
        <w:ind w:left="616" w:right="133"/>
        <w:jc w:val="both"/>
      </w:pPr>
      <w:r>
        <w:rPr/>
        <w:t>Silicon is present in varying amounts in all human tissue forms and as part of our connective tissue, both in the liquid matrix and in the individual protein fibres. It activates cell metabolism, strengthens it and thus prevents skin wrin- kles, cellulitis, varicose veins, atherosclerosis, joint wear and respiratory prob- lems.</w:t>
      </w:r>
    </w:p>
    <w:p>
      <w:pPr>
        <w:pStyle w:val="BodyText"/>
        <w:spacing w:line="273" w:lineRule="auto" w:before="223"/>
        <w:ind w:left="616" w:right="135"/>
        <w:jc w:val="both"/>
      </w:pPr>
      <w:r>
        <w:rPr>
          <w:b/>
          <w:i/>
          <w:sz w:val="40"/>
        </w:rPr>
        <w:t>Application:</w:t>
      </w:r>
      <w:r>
        <w:rPr>
          <w:b/>
          <w:i/>
          <w:spacing w:val="-21"/>
          <w:sz w:val="40"/>
        </w:rPr>
        <w:t> </w:t>
      </w:r>
      <w:r>
        <w:rPr/>
        <w:t>1</w:t>
      </w:r>
      <w:r>
        <w:rPr>
          <w:spacing w:val="-17"/>
        </w:rPr>
        <w:t> </w:t>
      </w:r>
      <w:r>
        <w:rPr/>
        <w:t>tablespoon</w:t>
      </w:r>
      <w:r>
        <w:rPr>
          <w:spacing w:val="-18"/>
        </w:rPr>
        <w:t> </w:t>
      </w:r>
      <w:r>
        <w:rPr/>
        <w:t>of</w:t>
      </w:r>
      <w:r>
        <w:rPr>
          <w:spacing w:val="-16"/>
        </w:rPr>
        <w:t> </w:t>
      </w:r>
      <w:r>
        <w:rPr/>
        <w:t>silicon</w:t>
      </w:r>
      <w:r>
        <w:rPr>
          <w:spacing w:val="-17"/>
        </w:rPr>
        <w:t> </w:t>
      </w:r>
      <w:r>
        <w:rPr/>
        <w:t>gel</w:t>
      </w:r>
      <w:r>
        <w:rPr>
          <w:spacing w:val="-18"/>
        </w:rPr>
        <w:t> </w:t>
      </w:r>
      <w:r>
        <w:rPr/>
        <w:t>daily;</w:t>
      </w:r>
      <w:r>
        <w:rPr>
          <w:spacing w:val="-16"/>
        </w:rPr>
        <w:t> </w:t>
      </w:r>
      <w:r>
        <w:rPr/>
        <w:t>for</w:t>
      </w:r>
      <w:r>
        <w:rPr>
          <w:spacing w:val="-17"/>
        </w:rPr>
        <w:t> </w:t>
      </w:r>
      <w:r>
        <w:rPr/>
        <w:t>wrinkles,</w:t>
      </w:r>
      <w:r>
        <w:rPr>
          <w:spacing w:val="-15"/>
        </w:rPr>
        <w:t> </w:t>
      </w:r>
      <w:r>
        <w:rPr/>
        <w:t>varicose</w:t>
      </w:r>
      <w:r>
        <w:rPr>
          <w:spacing w:val="-16"/>
        </w:rPr>
        <w:t> </w:t>
      </w:r>
      <w:r>
        <w:rPr/>
        <w:t>veins</w:t>
      </w:r>
      <w:r>
        <w:rPr>
          <w:spacing w:val="-18"/>
        </w:rPr>
        <w:t> </w:t>
      </w:r>
      <w:r>
        <w:rPr/>
        <w:t>and haemorrhoids, we recommend the external local application of diluted silicon gel.</w:t>
      </w:r>
    </w:p>
    <w:p>
      <w:pPr>
        <w:pStyle w:val="Heading1"/>
        <w:spacing w:before="229"/>
        <w:ind w:left="616"/>
        <w:jc w:val="both"/>
      </w:pPr>
      <w:r>
        <w:rPr/>
        <w:t>Effect of silicon on cellulite</w:t>
      </w:r>
    </w:p>
    <w:p>
      <w:pPr>
        <w:pStyle w:val="BodyText"/>
        <w:spacing w:line="276" w:lineRule="auto" w:before="299"/>
        <w:ind w:left="616" w:right="132"/>
        <w:jc w:val="both"/>
      </w:pPr>
      <w:r>
        <w:rPr/>
        <w:t>Several reasons are provided for cellulitis. Among other things, it is believed that acidity from an unhealthy diet and environmental factors or stress lead to cellulitis, deposited in adipose tissue in the form of waste.</w:t>
      </w:r>
    </w:p>
    <w:p>
      <w:pPr>
        <w:pStyle w:val="BodyText"/>
        <w:spacing w:line="276" w:lineRule="auto" w:before="239"/>
        <w:ind w:left="616" w:right="135"/>
        <w:jc w:val="both"/>
      </w:pPr>
      <w:r>
        <w:rPr/>
        <w:t>However, cellulite undoubtedly arises because of weak connective tissue, namely when fat cells clump together. The most important measures in the fight against cellulitis are therefore deacidification, purification and strength- ening of the connective tissue.</w:t>
      </w:r>
    </w:p>
    <w:p>
      <w:pPr>
        <w:spacing w:after="0" w:line="276" w:lineRule="auto"/>
        <w:jc w:val="both"/>
        <w:sectPr>
          <w:pgSz w:w="14270" w:h="16850"/>
          <w:pgMar w:header="0" w:footer="1891" w:top="1340" w:bottom="2080" w:left="800" w:right="1280"/>
        </w:sectPr>
      </w:pPr>
    </w:p>
    <w:p>
      <w:pPr>
        <w:pStyle w:val="BodyText"/>
        <w:spacing w:line="271" w:lineRule="auto" w:before="77"/>
        <w:ind w:left="616" w:right="143"/>
        <w:jc w:val="both"/>
      </w:pPr>
      <w:r>
        <w:rPr>
          <w:b/>
          <w:i/>
          <w:sz w:val="40"/>
        </w:rPr>
        <w:t>Application: </w:t>
      </w:r>
      <w:r>
        <w:rPr/>
        <w:t>take 1 tablespoon of silicon gel daily, in addition, apply diluted silicon gel externally locally to the cellulite tissue.</w:t>
      </w:r>
    </w:p>
    <w:p>
      <w:pPr>
        <w:pStyle w:val="Heading1"/>
        <w:spacing w:before="230"/>
        <w:ind w:left="616"/>
      </w:pPr>
      <w:r>
        <w:rPr/>
        <w:t>Effect of silicon on blemishes and</w:t>
      </w:r>
      <w:r>
        <w:rPr>
          <w:spacing w:val="-64"/>
        </w:rPr>
        <w:t> </w:t>
      </w:r>
      <w:r>
        <w:rPr/>
        <w:t>acne</w:t>
      </w:r>
    </w:p>
    <w:p>
      <w:pPr>
        <w:pStyle w:val="BodyText"/>
        <w:spacing w:line="276" w:lineRule="auto" w:before="299"/>
        <w:ind w:left="616" w:right="138"/>
        <w:jc w:val="both"/>
      </w:pPr>
      <w:r>
        <w:rPr/>
        <w:t>Both the internal and external application of silicon are proven measures against</w:t>
      </w:r>
      <w:r>
        <w:rPr>
          <w:spacing w:val="-9"/>
        </w:rPr>
        <w:t> </w:t>
      </w:r>
      <w:r>
        <w:rPr/>
        <w:t>acne</w:t>
      </w:r>
      <w:r>
        <w:rPr>
          <w:spacing w:val="-6"/>
        </w:rPr>
        <w:t> </w:t>
      </w:r>
      <w:r>
        <w:rPr/>
        <w:t>and</w:t>
      </w:r>
      <w:r>
        <w:rPr>
          <w:spacing w:val="-8"/>
        </w:rPr>
        <w:t> </w:t>
      </w:r>
      <w:r>
        <w:rPr/>
        <w:t>any</w:t>
      </w:r>
      <w:r>
        <w:rPr>
          <w:spacing w:val="-8"/>
        </w:rPr>
        <w:t> </w:t>
      </w:r>
      <w:r>
        <w:rPr/>
        <w:t>skin</w:t>
      </w:r>
      <w:r>
        <w:rPr>
          <w:spacing w:val="-9"/>
        </w:rPr>
        <w:t> </w:t>
      </w:r>
      <w:r>
        <w:rPr/>
        <w:t>blemishes</w:t>
      </w:r>
      <w:r>
        <w:rPr>
          <w:spacing w:val="-7"/>
        </w:rPr>
        <w:t> </w:t>
      </w:r>
      <w:r>
        <w:rPr/>
        <w:t>and</w:t>
      </w:r>
      <w:r>
        <w:rPr>
          <w:spacing w:val="-8"/>
        </w:rPr>
        <w:t> </w:t>
      </w:r>
      <w:r>
        <w:rPr/>
        <w:t>inflammatory</w:t>
      </w:r>
      <w:r>
        <w:rPr>
          <w:spacing w:val="-8"/>
        </w:rPr>
        <w:t> </w:t>
      </w:r>
      <w:r>
        <w:rPr/>
        <w:t>processes.</w:t>
      </w:r>
      <w:r>
        <w:rPr>
          <w:spacing w:val="-12"/>
        </w:rPr>
        <w:t> </w:t>
      </w:r>
      <w:r>
        <w:rPr/>
        <w:t>Silicon</w:t>
      </w:r>
      <w:r>
        <w:rPr>
          <w:spacing w:val="-7"/>
        </w:rPr>
        <w:t> </w:t>
      </w:r>
      <w:r>
        <w:rPr/>
        <w:t>helps to detoxify the intestine and purify the connective tissue internally, disinfect it externally, allow the skin to reduce in size and heal without</w:t>
      </w:r>
      <w:r>
        <w:rPr>
          <w:spacing w:val="-11"/>
        </w:rPr>
        <w:t> </w:t>
      </w:r>
      <w:r>
        <w:rPr/>
        <w:t>scarring.</w:t>
      </w:r>
    </w:p>
    <w:p>
      <w:pPr>
        <w:pStyle w:val="BodyText"/>
        <w:spacing w:line="273" w:lineRule="auto" w:before="225"/>
        <w:ind w:left="616" w:right="139"/>
        <w:jc w:val="both"/>
      </w:pPr>
      <w:r>
        <w:rPr>
          <w:b/>
          <w:i/>
          <w:sz w:val="40"/>
        </w:rPr>
        <w:t>Application: </w:t>
      </w:r>
      <w:r>
        <w:rPr/>
        <w:t>take 1-3 tablespoons of silicon gel per day, apply externally un- diluted</w:t>
      </w:r>
      <w:r>
        <w:rPr>
          <w:spacing w:val="-7"/>
        </w:rPr>
        <w:t> </w:t>
      </w:r>
      <w:r>
        <w:rPr/>
        <w:t>on</w:t>
      </w:r>
      <w:r>
        <w:rPr>
          <w:spacing w:val="-6"/>
        </w:rPr>
        <w:t> </w:t>
      </w:r>
      <w:r>
        <w:rPr/>
        <w:t>the</w:t>
      </w:r>
      <w:r>
        <w:rPr>
          <w:spacing w:val="-6"/>
        </w:rPr>
        <w:t> </w:t>
      </w:r>
      <w:r>
        <w:rPr/>
        <w:t>affected</w:t>
      </w:r>
      <w:r>
        <w:rPr>
          <w:spacing w:val="-7"/>
        </w:rPr>
        <w:t> </w:t>
      </w:r>
      <w:r>
        <w:rPr/>
        <w:t>skin</w:t>
      </w:r>
      <w:r>
        <w:rPr>
          <w:spacing w:val="-6"/>
        </w:rPr>
        <w:t> </w:t>
      </w:r>
      <w:r>
        <w:rPr/>
        <w:t>and</w:t>
      </w:r>
      <w:r>
        <w:rPr>
          <w:spacing w:val="-7"/>
        </w:rPr>
        <w:t> </w:t>
      </w:r>
      <w:r>
        <w:rPr/>
        <w:t>allow</w:t>
      </w:r>
      <w:r>
        <w:rPr>
          <w:spacing w:val="-7"/>
        </w:rPr>
        <w:t> </w:t>
      </w:r>
      <w:r>
        <w:rPr/>
        <w:t>to</w:t>
      </w:r>
      <w:r>
        <w:rPr>
          <w:spacing w:val="-2"/>
        </w:rPr>
        <w:t> </w:t>
      </w:r>
      <w:r>
        <w:rPr/>
        <w:t>work</w:t>
      </w:r>
      <w:r>
        <w:rPr>
          <w:spacing w:val="-7"/>
        </w:rPr>
        <w:t> </w:t>
      </w:r>
      <w:r>
        <w:rPr/>
        <w:t>in</w:t>
      </w:r>
      <w:r>
        <w:rPr>
          <w:spacing w:val="-7"/>
        </w:rPr>
        <w:t> </w:t>
      </w:r>
      <w:r>
        <w:rPr/>
        <w:t>for</w:t>
      </w:r>
      <w:r>
        <w:rPr>
          <w:spacing w:val="-5"/>
        </w:rPr>
        <w:t> </w:t>
      </w:r>
      <w:r>
        <w:rPr/>
        <w:t>about</w:t>
      </w:r>
      <w:r>
        <w:rPr>
          <w:spacing w:val="-8"/>
        </w:rPr>
        <w:t> </w:t>
      </w:r>
      <w:r>
        <w:rPr/>
        <w:t>ten</w:t>
      </w:r>
      <w:r>
        <w:rPr>
          <w:spacing w:val="-6"/>
        </w:rPr>
        <w:t> </w:t>
      </w:r>
      <w:r>
        <w:rPr/>
        <w:t>minutes</w:t>
      </w:r>
      <w:r>
        <w:rPr>
          <w:spacing w:val="-7"/>
        </w:rPr>
        <w:t> </w:t>
      </w:r>
      <w:r>
        <w:rPr/>
        <w:t>before washing it with lukewarm</w:t>
      </w:r>
      <w:r>
        <w:rPr>
          <w:spacing w:val="1"/>
        </w:rPr>
        <w:t> </w:t>
      </w:r>
      <w:r>
        <w:rPr/>
        <w:t>water.</w:t>
      </w:r>
    </w:p>
    <w:p>
      <w:pPr>
        <w:pStyle w:val="Heading1"/>
        <w:spacing w:before="226"/>
        <w:ind w:left="616"/>
      </w:pPr>
      <w:r>
        <w:rPr/>
        <w:t>Effect of silicon on warts</w:t>
      </w:r>
    </w:p>
    <w:p>
      <w:pPr>
        <w:pStyle w:val="BodyText"/>
        <w:spacing w:line="278" w:lineRule="auto" w:before="299"/>
        <w:ind w:left="616" w:right="129"/>
        <w:jc w:val="both"/>
      </w:pPr>
      <w:r>
        <w:rPr/>
        <w:t>Silicon</w:t>
      </w:r>
      <w:r>
        <w:rPr>
          <w:spacing w:val="-12"/>
        </w:rPr>
        <w:t> </w:t>
      </w:r>
      <w:r>
        <w:rPr/>
        <w:t>strengthens</w:t>
      </w:r>
      <w:r>
        <w:rPr>
          <w:spacing w:val="-14"/>
        </w:rPr>
        <w:t> </w:t>
      </w:r>
      <w:r>
        <w:rPr/>
        <w:t>our</w:t>
      </w:r>
      <w:r>
        <w:rPr>
          <w:spacing w:val="-12"/>
        </w:rPr>
        <w:t> </w:t>
      </w:r>
      <w:r>
        <w:rPr/>
        <w:t>immune</w:t>
      </w:r>
      <w:r>
        <w:rPr>
          <w:spacing w:val="-12"/>
        </w:rPr>
        <w:t> </w:t>
      </w:r>
      <w:r>
        <w:rPr/>
        <w:t>system</w:t>
      </w:r>
      <w:r>
        <w:rPr>
          <w:spacing w:val="-12"/>
        </w:rPr>
        <w:t> </w:t>
      </w:r>
      <w:r>
        <w:rPr/>
        <w:t>and</w:t>
      </w:r>
      <w:r>
        <w:rPr>
          <w:spacing w:val="-15"/>
        </w:rPr>
        <w:t> </w:t>
      </w:r>
      <w:r>
        <w:rPr/>
        <w:t>thus</w:t>
      </w:r>
      <w:r>
        <w:rPr>
          <w:spacing w:val="-12"/>
        </w:rPr>
        <w:t> </w:t>
      </w:r>
      <w:r>
        <w:rPr/>
        <w:t>acts</w:t>
      </w:r>
      <w:r>
        <w:rPr>
          <w:spacing w:val="-12"/>
        </w:rPr>
        <w:t> </w:t>
      </w:r>
      <w:r>
        <w:rPr/>
        <w:t>against</w:t>
      </w:r>
      <w:r>
        <w:rPr>
          <w:spacing w:val="-13"/>
        </w:rPr>
        <w:t> </w:t>
      </w:r>
      <w:r>
        <w:rPr/>
        <w:t>wart-causing</w:t>
      </w:r>
      <w:r>
        <w:rPr>
          <w:spacing w:val="-12"/>
        </w:rPr>
        <w:t> </w:t>
      </w:r>
      <w:r>
        <w:rPr/>
        <w:t>par- asites. Applied externally, it supports the healing</w:t>
      </w:r>
      <w:r>
        <w:rPr>
          <w:spacing w:val="-8"/>
        </w:rPr>
        <w:t> </w:t>
      </w:r>
      <w:r>
        <w:rPr/>
        <w:t>process.</w:t>
      </w:r>
    </w:p>
    <w:p>
      <w:pPr>
        <w:pStyle w:val="BodyText"/>
        <w:spacing w:line="273" w:lineRule="auto" w:before="216"/>
        <w:ind w:left="616" w:right="136"/>
        <w:jc w:val="both"/>
      </w:pPr>
      <w:r>
        <w:rPr>
          <w:b/>
          <w:i/>
          <w:sz w:val="40"/>
        </w:rPr>
        <w:t>Application: </w:t>
      </w:r>
      <w:r>
        <w:rPr/>
        <w:t>take 1-3 tablespoons of silicon gel per day, apply externally un- diluted</w:t>
      </w:r>
      <w:r>
        <w:rPr>
          <w:spacing w:val="-7"/>
        </w:rPr>
        <w:t> </w:t>
      </w:r>
      <w:r>
        <w:rPr/>
        <w:t>on</w:t>
      </w:r>
      <w:r>
        <w:rPr>
          <w:spacing w:val="-6"/>
        </w:rPr>
        <w:t> </w:t>
      </w:r>
      <w:r>
        <w:rPr/>
        <w:t>the</w:t>
      </w:r>
      <w:r>
        <w:rPr>
          <w:spacing w:val="-5"/>
        </w:rPr>
        <w:t> </w:t>
      </w:r>
      <w:r>
        <w:rPr/>
        <w:t>affected</w:t>
      </w:r>
      <w:r>
        <w:rPr>
          <w:spacing w:val="-8"/>
        </w:rPr>
        <w:t> </w:t>
      </w:r>
      <w:r>
        <w:rPr/>
        <w:t>skin</w:t>
      </w:r>
      <w:r>
        <w:rPr>
          <w:spacing w:val="-5"/>
        </w:rPr>
        <w:t> </w:t>
      </w:r>
      <w:r>
        <w:rPr/>
        <w:t>and</w:t>
      </w:r>
      <w:r>
        <w:rPr>
          <w:spacing w:val="-7"/>
        </w:rPr>
        <w:t> </w:t>
      </w:r>
      <w:r>
        <w:rPr/>
        <w:t>allow</w:t>
      </w:r>
      <w:r>
        <w:rPr>
          <w:spacing w:val="-7"/>
        </w:rPr>
        <w:t> </w:t>
      </w:r>
      <w:r>
        <w:rPr/>
        <w:t>to work</w:t>
      </w:r>
      <w:r>
        <w:rPr>
          <w:spacing w:val="-6"/>
        </w:rPr>
        <w:t> </w:t>
      </w:r>
      <w:r>
        <w:rPr/>
        <w:t>in</w:t>
      </w:r>
      <w:r>
        <w:rPr>
          <w:spacing w:val="-6"/>
        </w:rPr>
        <w:t> </w:t>
      </w:r>
      <w:r>
        <w:rPr/>
        <w:t>for</w:t>
      </w:r>
      <w:r>
        <w:rPr>
          <w:spacing w:val="-5"/>
        </w:rPr>
        <w:t> </w:t>
      </w:r>
      <w:r>
        <w:rPr/>
        <w:t>about</w:t>
      </w:r>
      <w:r>
        <w:rPr>
          <w:spacing w:val="-9"/>
        </w:rPr>
        <w:t> </w:t>
      </w:r>
      <w:r>
        <w:rPr/>
        <w:t>ten</w:t>
      </w:r>
      <w:r>
        <w:rPr>
          <w:spacing w:val="-5"/>
        </w:rPr>
        <w:t> </w:t>
      </w:r>
      <w:r>
        <w:rPr/>
        <w:t>minutes</w:t>
      </w:r>
      <w:r>
        <w:rPr>
          <w:spacing w:val="-7"/>
        </w:rPr>
        <w:t> </w:t>
      </w:r>
      <w:r>
        <w:rPr/>
        <w:t>before washing it with lukewarm</w:t>
      </w:r>
      <w:r>
        <w:rPr>
          <w:spacing w:val="1"/>
        </w:rPr>
        <w:t> </w:t>
      </w:r>
      <w:r>
        <w:rPr/>
        <w:t>water.</w:t>
      </w:r>
    </w:p>
    <w:p>
      <w:pPr>
        <w:spacing w:after="0" w:line="273" w:lineRule="auto"/>
        <w:jc w:val="both"/>
        <w:sectPr>
          <w:pgSz w:w="14270" w:h="16850"/>
          <w:pgMar w:header="0" w:footer="1891" w:top="1320" w:bottom="2080" w:left="800" w:right="1280"/>
        </w:sectPr>
      </w:pPr>
    </w:p>
    <w:p>
      <w:pPr>
        <w:pStyle w:val="Heading1"/>
        <w:spacing w:before="77"/>
        <w:ind w:left="616"/>
      </w:pPr>
      <w:r>
        <w:rPr/>
        <w:t>Effect of silicon on skin injuries and cuts</w:t>
      </w:r>
    </w:p>
    <w:p>
      <w:pPr>
        <w:pStyle w:val="BodyText"/>
        <w:spacing w:line="276" w:lineRule="auto" w:before="299"/>
        <w:ind w:left="616" w:right="133"/>
        <w:jc w:val="both"/>
      </w:pPr>
      <w:r>
        <w:rPr/>
        <w:t>Silicon,</w:t>
      </w:r>
      <w:r>
        <w:rPr>
          <w:spacing w:val="-16"/>
        </w:rPr>
        <w:t> </w:t>
      </w:r>
      <w:r>
        <w:rPr/>
        <w:t>applied</w:t>
      </w:r>
      <w:r>
        <w:rPr>
          <w:spacing w:val="-16"/>
        </w:rPr>
        <w:t> </w:t>
      </w:r>
      <w:r>
        <w:rPr/>
        <w:t>externally</w:t>
      </w:r>
      <w:r>
        <w:rPr>
          <w:spacing w:val="-16"/>
        </w:rPr>
        <w:t> </w:t>
      </w:r>
      <w:r>
        <w:rPr/>
        <w:t>as</w:t>
      </w:r>
      <w:r>
        <w:rPr>
          <w:spacing w:val="-16"/>
        </w:rPr>
        <w:t> </w:t>
      </w:r>
      <w:r>
        <w:rPr/>
        <w:t>a</w:t>
      </w:r>
      <w:r>
        <w:rPr>
          <w:spacing w:val="-18"/>
        </w:rPr>
        <w:t> </w:t>
      </w:r>
      <w:r>
        <w:rPr/>
        <w:t>gel,</w:t>
      </w:r>
      <w:r>
        <w:rPr>
          <w:spacing w:val="-15"/>
        </w:rPr>
        <w:t> </w:t>
      </w:r>
      <w:r>
        <w:rPr/>
        <w:t>has</w:t>
      </w:r>
      <w:r>
        <w:rPr>
          <w:spacing w:val="-16"/>
        </w:rPr>
        <w:t> </w:t>
      </w:r>
      <w:r>
        <w:rPr/>
        <w:t>also</w:t>
      </w:r>
      <w:r>
        <w:rPr>
          <w:spacing w:val="-15"/>
        </w:rPr>
        <w:t> </w:t>
      </w:r>
      <w:r>
        <w:rPr/>
        <w:t>been</w:t>
      </w:r>
      <w:r>
        <w:rPr>
          <w:spacing w:val="-17"/>
        </w:rPr>
        <w:t> </w:t>
      </w:r>
      <w:r>
        <w:rPr/>
        <w:t>proven</w:t>
      </w:r>
      <w:r>
        <w:rPr>
          <w:spacing w:val="-16"/>
        </w:rPr>
        <w:t> </w:t>
      </w:r>
      <w:r>
        <w:rPr/>
        <w:t>to</w:t>
      </w:r>
      <w:r>
        <w:rPr>
          <w:spacing w:val="-15"/>
        </w:rPr>
        <w:t> </w:t>
      </w:r>
      <w:r>
        <w:rPr/>
        <w:t>combat</w:t>
      </w:r>
      <w:r>
        <w:rPr>
          <w:spacing w:val="-20"/>
        </w:rPr>
        <w:t> </w:t>
      </w:r>
      <w:r>
        <w:rPr/>
        <w:t>skin</w:t>
      </w:r>
      <w:r>
        <w:rPr>
          <w:spacing w:val="-15"/>
        </w:rPr>
        <w:t> </w:t>
      </w:r>
      <w:r>
        <w:rPr/>
        <w:t>injuries and cuts. Here, silicon acts as a disinfectant, absorbs the tissue fluid, counter- acts inflammation and promotes wound closure by promoting cell renewal.</w:t>
      </w:r>
      <w:r>
        <w:rPr>
          <w:spacing w:val="-51"/>
        </w:rPr>
        <w:t> </w:t>
      </w:r>
      <w:r>
        <w:rPr/>
        <w:t>In gel form, silicon stops small wounds from bleeding by stretching a kind of protective layer over the</w:t>
      </w:r>
      <w:r>
        <w:rPr>
          <w:spacing w:val="3"/>
        </w:rPr>
        <w:t> </w:t>
      </w:r>
      <w:r>
        <w:rPr/>
        <w:t>wound.</w:t>
      </w:r>
    </w:p>
    <w:p>
      <w:pPr>
        <w:pStyle w:val="BodyText"/>
        <w:spacing w:line="273" w:lineRule="auto" w:before="223"/>
        <w:ind w:left="616" w:right="136"/>
        <w:jc w:val="both"/>
      </w:pPr>
      <w:r>
        <w:rPr>
          <w:b/>
          <w:i/>
          <w:sz w:val="40"/>
        </w:rPr>
        <w:t>Application: </w:t>
      </w:r>
      <w:r>
        <w:rPr/>
        <w:t>for this purpose, after the wound is washed with water, the</w:t>
      </w:r>
      <w:r>
        <w:rPr>
          <w:spacing w:val="-44"/>
        </w:rPr>
        <w:t> </w:t>
      </w:r>
      <w:r>
        <w:rPr/>
        <w:t>sili- con gel is applied undiluted and the wound is covered with a plaster or band- age.</w:t>
      </w:r>
    </w:p>
    <w:p>
      <w:pPr>
        <w:pStyle w:val="Heading1"/>
        <w:spacing w:before="226"/>
        <w:ind w:left="616"/>
      </w:pPr>
      <w:r>
        <w:rPr/>
        <w:t>Effect on insect bites</w:t>
      </w:r>
    </w:p>
    <w:p>
      <w:pPr>
        <w:pStyle w:val="BodyText"/>
        <w:spacing w:line="276" w:lineRule="auto" w:before="299"/>
        <w:ind w:left="616" w:right="135"/>
        <w:jc w:val="both"/>
      </w:pPr>
      <w:r>
        <w:rPr/>
        <w:t>Silicon helps with insect bites by first disinfecting them when they occur,</w:t>
      </w:r>
      <w:r>
        <w:rPr>
          <w:spacing w:val="-50"/>
        </w:rPr>
        <w:t> </w:t>
      </w:r>
      <w:r>
        <w:rPr/>
        <w:t>then absorbs the secretion, counteracts inflammation and closes the wound faster. Silicon gel is best for</w:t>
      </w:r>
      <w:r>
        <w:rPr>
          <w:spacing w:val="3"/>
        </w:rPr>
        <w:t> </w:t>
      </w:r>
      <w:r>
        <w:rPr/>
        <w:t>this.</w:t>
      </w:r>
    </w:p>
    <w:p>
      <w:pPr>
        <w:spacing w:before="224"/>
        <w:ind w:left="616" w:right="0" w:firstLine="0"/>
        <w:jc w:val="both"/>
        <w:rPr>
          <w:sz w:val="38"/>
        </w:rPr>
      </w:pPr>
      <w:r>
        <w:rPr>
          <w:b/>
          <w:i/>
          <w:sz w:val="40"/>
        </w:rPr>
        <w:t>Application: </w:t>
      </w:r>
      <w:r>
        <w:rPr>
          <w:sz w:val="38"/>
        </w:rPr>
        <w:t>Apply silicon gel undiluted several times a day.</w:t>
      </w:r>
    </w:p>
    <w:p>
      <w:pPr>
        <w:spacing w:after="0"/>
        <w:jc w:val="both"/>
        <w:rPr>
          <w:sz w:val="38"/>
        </w:rPr>
        <w:sectPr>
          <w:footerReference w:type="default" r:id="rId356"/>
          <w:pgSz w:w="14270" w:h="16850"/>
          <w:pgMar w:footer="1891" w:header="0" w:top="1320" w:bottom="2080" w:left="800" w:right="1280"/>
          <w:pgNumType w:start="1490"/>
        </w:sectPr>
      </w:pPr>
    </w:p>
    <w:p>
      <w:pPr>
        <w:pStyle w:val="Heading2"/>
        <w:spacing w:before="74"/>
        <w:ind w:left="616"/>
      </w:pPr>
      <w:r>
        <w:rPr/>
        <w:t>Effect of silica on brittle nails</w:t>
      </w:r>
    </w:p>
    <w:p>
      <w:pPr>
        <w:pStyle w:val="BodyText"/>
        <w:spacing w:line="276" w:lineRule="auto" w:before="305"/>
        <w:ind w:left="616" w:right="133"/>
        <w:jc w:val="both"/>
        <w:rPr>
          <w:sz w:val="25"/>
        </w:rPr>
      </w:pPr>
      <w:r>
        <w:rPr/>
        <w:t>As well as skin problems and split hair, silica has also proven its worth against brittle nails. Silicon creates cross-connections between the keratin-protein building blocks and thus strengthens the nail structure; the nails become firmer.</w:t>
      </w:r>
      <w:r>
        <w:rPr>
          <w:spacing w:val="-8"/>
        </w:rPr>
        <w:t> </w:t>
      </w:r>
      <w:r>
        <w:rPr/>
        <w:t>Furthermore,</w:t>
      </w:r>
      <w:r>
        <w:rPr>
          <w:spacing w:val="-9"/>
        </w:rPr>
        <w:t> </w:t>
      </w:r>
      <w:r>
        <w:rPr/>
        <w:t>silicon/silica</w:t>
      </w:r>
      <w:r>
        <w:rPr>
          <w:spacing w:val="-10"/>
        </w:rPr>
        <w:t> </w:t>
      </w:r>
      <w:r>
        <w:rPr/>
        <w:t>improves</w:t>
      </w:r>
      <w:r>
        <w:rPr>
          <w:spacing w:val="-8"/>
        </w:rPr>
        <w:t> </w:t>
      </w:r>
      <w:r>
        <w:rPr/>
        <w:t>the</w:t>
      </w:r>
      <w:r>
        <w:rPr>
          <w:spacing w:val="-8"/>
        </w:rPr>
        <w:t> </w:t>
      </w:r>
      <w:r>
        <w:rPr/>
        <w:t>metabolism</w:t>
      </w:r>
      <w:r>
        <w:rPr>
          <w:spacing w:val="-9"/>
        </w:rPr>
        <w:t> </w:t>
      </w:r>
      <w:r>
        <w:rPr/>
        <w:t>of</w:t>
      </w:r>
      <w:r>
        <w:rPr>
          <w:spacing w:val="-9"/>
        </w:rPr>
        <w:t> </w:t>
      </w:r>
      <w:r>
        <w:rPr/>
        <w:t>connective</w:t>
      </w:r>
      <w:r>
        <w:rPr>
          <w:spacing w:val="-10"/>
        </w:rPr>
        <w:t> </w:t>
      </w:r>
      <w:r>
        <w:rPr/>
        <w:t>tis- sue, which is also crucial for healthy, firm fingernails and toenails. According to scientific studies, 80 % of study participants demonstrated greater stability, structure and appearance after 24 weeks of silicon gel</w:t>
      </w:r>
      <w:r>
        <w:rPr>
          <w:spacing w:val="-1"/>
        </w:rPr>
        <w:t> </w:t>
      </w:r>
      <w:r>
        <w:rPr/>
        <w:t>therapy.</w:t>
      </w:r>
      <w:r>
        <w:rPr>
          <w:position w:val="9"/>
          <w:sz w:val="25"/>
        </w:rPr>
        <w:t>845</w:t>
      </w:r>
    </w:p>
    <w:p>
      <w:pPr>
        <w:spacing w:before="223"/>
        <w:ind w:left="616" w:right="0" w:firstLine="0"/>
        <w:jc w:val="left"/>
        <w:rPr>
          <w:sz w:val="38"/>
        </w:rPr>
      </w:pPr>
      <w:r>
        <w:rPr>
          <w:b/>
          <w:i/>
          <w:sz w:val="40"/>
        </w:rPr>
        <w:t>Application: </w:t>
      </w:r>
      <w:r>
        <w:rPr>
          <w:sz w:val="38"/>
        </w:rPr>
        <w:t>one tablespoon of silicon gel daily</w:t>
      </w:r>
    </w:p>
    <w:p>
      <w:pPr>
        <w:pStyle w:val="Heading1"/>
        <w:spacing w:before="280"/>
        <w:ind w:left="616"/>
      </w:pPr>
      <w:r>
        <w:rPr/>
        <w:t>Effect</w:t>
      </w:r>
      <w:r>
        <w:rPr>
          <w:spacing w:val="-46"/>
        </w:rPr>
        <w:t> </w:t>
      </w:r>
      <w:r>
        <w:rPr/>
        <w:t>of</w:t>
      </w:r>
      <w:r>
        <w:rPr>
          <w:spacing w:val="-45"/>
        </w:rPr>
        <w:t> </w:t>
      </w:r>
      <w:r>
        <w:rPr/>
        <w:t>silicon</w:t>
      </w:r>
      <w:r>
        <w:rPr>
          <w:spacing w:val="-46"/>
        </w:rPr>
        <w:t> </w:t>
      </w:r>
      <w:r>
        <w:rPr/>
        <w:t>on</w:t>
      </w:r>
      <w:r>
        <w:rPr>
          <w:spacing w:val="-45"/>
        </w:rPr>
        <w:t> </w:t>
      </w:r>
      <w:r>
        <w:rPr/>
        <w:t>gastrointestinal</w:t>
      </w:r>
      <w:r>
        <w:rPr>
          <w:spacing w:val="-43"/>
        </w:rPr>
        <w:t> </w:t>
      </w:r>
      <w:r>
        <w:rPr/>
        <w:t>diseases,</w:t>
      </w:r>
      <w:r>
        <w:rPr>
          <w:spacing w:val="-43"/>
        </w:rPr>
        <w:t> </w:t>
      </w:r>
      <w:r>
        <w:rPr/>
        <w:t>gastritis,</w:t>
      </w:r>
      <w:r>
        <w:rPr>
          <w:spacing w:val="-46"/>
        </w:rPr>
        <w:t> </w:t>
      </w:r>
      <w:r>
        <w:rPr/>
        <w:t>diarrhoea,</w:t>
      </w:r>
      <w:r>
        <w:rPr>
          <w:spacing w:val="-45"/>
        </w:rPr>
        <w:t> </w:t>
      </w:r>
      <w:r>
        <w:rPr/>
        <w:t>etc.</w:t>
      </w:r>
    </w:p>
    <w:p>
      <w:pPr>
        <w:pStyle w:val="BodyText"/>
        <w:spacing w:line="276" w:lineRule="auto" w:before="299"/>
        <w:ind w:left="616" w:right="136"/>
        <w:jc w:val="both"/>
      </w:pPr>
      <w:r>
        <w:rPr/>
        <w:t>For gastrointestinal diseases, gastritis, diarrhoea, etc., silicon is used internally, for example in the form of silicon gel, silica or healing clay (contains about 50</w:t>
      </w:r>
    </w:p>
    <w:p>
      <w:pPr>
        <w:pStyle w:val="BodyText"/>
        <w:spacing w:line="276" w:lineRule="auto" w:before="1"/>
        <w:ind w:left="616" w:right="131"/>
        <w:jc w:val="both"/>
      </w:pPr>
      <w:r>
        <w:rPr/>
        <w:t>% silicon). The silica spreads over a large area in the stomach, buffers the ex- cess stomach acid, binds toxins, pathogens and gases (the latter helps combat flatulence!) and counteracts inflammation by eliminating the inflammatory agents and binding inflammatory secretions. Due to the enormous binding ability of the silica particles contained in the gel, the pathogens are bound in a purely physical way and lose their unpleasant effect.</w:t>
      </w:r>
    </w:p>
    <w:p>
      <w:pPr>
        <w:pStyle w:val="BodyText"/>
        <w:rPr>
          <w:sz w:val="20"/>
        </w:rPr>
      </w:pPr>
    </w:p>
    <w:p>
      <w:pPr>
        <w:pStyle w:val="BodyText"/>
        <w:rPr>
          <w:sz w:val="20"/>
        </w:rPr>
      </w:pPr>
    </w:p>
    <w:p>
      <w:pPr>
        <w:pStyle w:val="BodyText"/>
        <w:spacing w:before="7"/>
        <w:rPr>
          <w:sz w:val="28"/>
        </w:rPr>
      </w:pPr>
      <w:r>
        <w:rPr/>
        <w:pict>
          <v:line style="position:absolute;mso-position-horizontal-relative:page;mso-position-vertical-relative:paragraph;z-index:11600;mso-wrap-distance-left:0;mso-wrap-distance-right:0" from="70.823997pt,18.496265pt" to="214.843997pt,18.496265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845 </w:t>
      </w:r>
      <w:r>
        <w:rPr>
          <w:sz w:val="20"/>
        </w:rPr>
        <w:t>Dr. Jürgen Weihofen: Heilwunder Silicium ('The Healing Miracle of Silicon'), 1st Edition 2003, p. 72</w:t>
      </w:r>
    </w:p>
    <w:p>
      <w:pPr>
        <w:spacing w:after="0"/>
        <w:jc w:val="left"/>
        <w:rPr>
          <w:sz w:val="20"/>
        </w:rPr>
        <w:sectPr>
          <w:pgSz w:w="14270" w:h="16850"/>
          <w:pgMar w:header="0" w:footer="1891" w:top="1340" w:bottom="2080" w:left="800" w:right="1280"/>
        </w:sectPr>
      </w:pPr>
    </w:p>
    <w:p>
      <w:pPr>
        <w:pStyle w:val="BodyText"/>
        <w:spacing w:line="271" w:lineRule="auto" w:before="77"/>
        <w:ind w:left="616" w:right="138"/>
        <w:jc w:val="both"/>
      </w:pPr>
      <w:r>
        <w:rPr>
          <w:b/>
          <w:i/>
          <w:sz w:val="40"/>
        </w:rPr>
        <w:t>Application: </w:t>
      </w:r>
      <w:r>
        <w:rPr/>
        <w:t>take up to one tablespoon of silicon gel every hour until the symptoms subside.</w:t>
      </w:r>
    </w:p>
    <w:p>
      <w:pPr>
        <w:pStyle w:val="Heading1"/>
        <w:spacing w:before="230"/>
        <w:ind w:left="616"/>
      </w:pPr>
      <w:r>
        <w:rPr/>
        <w:t>Effect of silicon on premenstrual</w:t>
      </w:r>
      <w:r>
        <w:rPr>
          <w:spacing w:val="-62"/>
        </w:rPr>
        <w:t> </w:t>
      </w:r>
      <w:r>
        <w:rPr/>
        <w:t>syndrome</w:t>
      </w:r>
    </w:p>
    <w:p>
      <w:pPr>
        <w:pStyle w:val="BodyText"/>
        <w:spacing w:line="276" w:lineRule="auto" w:before="299"/>
        <w:ind w:left="616" w:right="134"/>
        <w:jc w:val="both"/>
      </w:pPr>
      <w:r>
        <w:rPr/>
        <w:t>Diluted in water in a ratio of 1:4, silicon also helps with premenstrual syn- drome, before and during menstruation. Here, silica (silicon) has a positive</w:t>
      </w:r>
      <w:r>
        <w:rPr>
          <w:spacing w:val="-49"/>
        </w:rPr>
        <w:t> </w:t>
      </w:r>
      <w:r>
        <w:rPr/>
        <w:t>ef- fect on cell metabolism, cell renewal and the cell tissue to be repelled while relieving pain at the same</w:t>
      </w:r>
      <w:r>
        <w:rPr>
          <w:spacing w:val="1"/>
        </w:rPr>
        <w:t> </w:t>
      </w:r>
      <w:r>
        <w:rPr/>
        <w:t>time.</w:t>
      </w:r>
    </w:p>
    <w:p>
      <w:pPr>
        <w:pStyle w:val="BodyText"/>
        <w:spacing w:before="225"/>
        <w:ind w:left="616"/>
      </w:pPr>
      <w:r>
        <w:rPr>
          <w:b/>
          <w:i/>
          <w:sz w:val="40"/>
        </w:rPr>
        <w:t>Application: </w:t>
      </w:r>
      <w:r>
        <w:rPr/>
        <w:t>3 teaspoons of silica, healing clay or silicon gel per</w:t>
      </w:r>
      <w:r>
        <w:rPr>
          <w:spacing w:val="-60"/>
        </w:rPr>
        <w:t> </w:t>
      </w:r>
      <w:r>
        <w:rPr/>
        <w:t>day.</w:t>
      </w:r>
    </w:p>
    <w:p>
      <w:pPr>
        <w:pStyle w:val="Heading1"/>
        <w:spacing w:before="282"/>
        <w:ind w:left="616"/>
      </w:pPr>
      <w:r>
        <w:rPr/>
        <w:t>Silicon and HIV/AIDS</w:t>
      </w:r>
    </w:p>
    <w:p>
      <w:pPr>
        <w:pStyle w:val="BodyText"/>
        <w:spacing w:line="276" w:lineRule="auto" w:before="297"/>
        <w:ind w:left="616" w:right="134"/>
        <w:jc w:val="both"/>
      </w:pPr>
      <w:r>
        <w:rPr/>
        <w:t>Due to the ability of silicon to strengthen the immune system and stimulate the</w:t>
      </w:r>
      <w:r>
        <w:rPr>
          <w:spacing w:val="-19"/>
        </w:rPr>
        <w:t> </w:t>
      </w:r>
      <w:r>
        <w:rPr/>
        <w:t>production</w:t>
      </w:r>
      <w:r>
        <w:rPr>
          <w:spacing w:val="-18"/>
        </w:rPr>
        <w:t> </w:t>
      </w:r>
      <w:r>
        <w:rPr/>
        <w:t>of</w:t>
      </w:r>
      <w:r>
        <w:rPr>
          <w:spacing w:val="-19"/>
        </w:rPr>
        <w:t> </w:t>
      </w:r>
      <w:r>
        <w:rPr/>
        <w:t>phagocytes,</w:t>
      </w:r>
      <w:r>
        <w:rPr>
          <w:spacing w:val="-19"/>
        </w:rPr>
        <w:t> </w:t>
      </w:r>
      <w:r>
        <w:rPr/>
        <w:t>many</w:t>
      </w:r>
      <w:r>
        <w:rPr>
          <w:spacing w:val="-18"/>
        </w:rPr>
        <w:t> </w:t>
      </w:r>
      <w:r>
        <w:rPr/>
        <w:t>scientists</w:t>
      </w:r>
      <w:r>
        <w:rPr>
          <w:spacing w:val="-18"/>
        </w:rPr>
        <w:t> </w:t>
      </w:r>
      <w:r>
        <w:rPr/>
        <w:t>consider</w:t>
      </w:r>
      <w:r>
        <w:rPr>
          <w:spacing w:val="-18"/>
        </w:rPr>
        <w:t> </w:t>
      </w:r>
      <w:r>
        <w:rPr/>
        <w:t>silicon</w:t>
      </w:r>
      <w:r>
        <w:rPr>
          <w:spacing w:val="-19"/>
        </w:rPr>
        <w:t> </w:t>
      </w:r>
      <w:r>
        <w:rPr/>
        <w:t>to</w:t>
      </w:r>
      <w:r>
        <w:rPr>
          <w:spacing w:val="-18"/>
        </w:rPr>
        <w:t> </w:t>
      </w:r>
      <w:r>
        <w:rPr/>
        <w:t>be</w:t>
      </w:r>
      <w:r>
        <w:rPr>
          <w:spacing w:val="-19"/>
        </w:rPr>
        <w:t> </w:t>
      </w:r>
      <w:r>
        <w:rPr/>
        <w:t>potentially effective in the fight against AIDS. Specifically, the power of silicon can help prevent the onset of AIDS in HIV-infected</w:t>
      </w:r>
      <w:r>
        <w:rPr>
          <w:spacing w:val="-1"/>
        </w:rPr>
        <w:t> </w:t>
      </w:r>
      <w:r>
        <w:rPr/>
        <w:t>people.</w:t>
      </w:r>
    </w:p>
    <w:p>
      <w:pPr>
        <w:pStyle w:val="Heading1"/>
        <w:spacing w:before="225"/>
        <w:ind w:left="616"/>
      </w:pPr>
      <w:r>
        <w:rPr/>
        <w:t>Effect of silicon on arteriosclerosis</w:t>
      </w:r>
    </w:p>
    <w:p>
      <w:pPr>
        <w:pStyle w:val="BodyText"/>
        <w:spacing w:line="276" w:lineRule="auto" w:before="299"/>
        <w:ind w:left="616" w:right="134"/>
        <w:jc w:val="both"/>
      </w:pPr>
      <w:r>
        <w:rPr/>
        <w:t>The</w:t>
      </w:r>
      <w:r>
        <w:rPr>
          <w:spacing w:val="-11"/>
        </w:rPr>
        <w:t> </w:t>
      </w:r>
      <w:r>
        <w:rPr/>
        <w:t>effect</w:t>
      </w:r>
      <w:r>
        <w:rPr>
          <w:spacing w:val="-11"/>
        </w:rPr>
        <w:t> </w:t>
      </w:r>
      <w:r>
        <w:rPr/>
        <w:t>of</w:t>
      </w:r>
      <w:r>
        <w:rPr>
          <w:spacing w:val="-11"/>
        </w:rPr>
        <w:t> </w:t>
      </w:r>
      <w:r>
        <w:rPr/>
        <w:t>silicon</w:t>
      </w:r>
      <w:r>
        <w:rPr>
          <w:spacing w:val="-11"/>
        </w:rPr>
        <w:t> </w:t>
      </w:r>
      <w:r>
        <w:rPr/>
        <w:t>on</w:t>
      </w:r>
      <w:r>
        <w:rPr>
          <w:spacing w:val="-11"/>
        </w:rPr>
        <w:t> </w:t>
      </w:r>
      <w:r>
        <w:rPr/>
        <w:t>arteriosclerosis</w:t>
      </w:r>
      <w:r>
        <w:rPr>
          <w:spacing w:val="-10"/>
        </w:rPr>
        <w:t> </w:t>
      </w:r>
      <w:r>
        <w:rPr/>
        <w:t>(also</w:t>
      </w:r>
      <w:r>
        <w:rPr>
          <w:spacing w:val="-11"/>
        </w:rPr>
        <w:t> </w:t>
      </w:r>
      <w:r>
        <w:rPr/>
        <w:t>commonly</w:t>
      </w:r>
      <w:r>
        <w:rPr>
          <w:spacing w:val="-11"/>
        </w:rPr>
        <w:t> </w:t>
      </w:r>
      <w:r>
        <w:rPr/>
        <w:t>referred</w:t>
      </w:r>
      <w:r>
        <w:rPr>
          <w:spacing w:val="-11"/>
        </w:rPr>
        <w:t> </w:t>
      </w:r>
      <w:r>
        <w:rPr/>
        <w:t>to</w:t>
      </w:r>
      <w:r>
        <w:rPr>
          <w:spacing w:val="-11"/>
        </w:rPr>
        <w:t> </w:t>
      </w:r>
      <w:r>
        <w:rPr/>
        <w:t>as</w:t>
      </w:r>
      <w:r>
        <w:rPr>
          <w:spacing w:val="-12"/>
        </w:rPr>
        <w:t> </w:t>
      </w:r>
      <w:r>
        <w:rPr/>
        <w:t>'harden- ing of the arteries') is becoming increasingly important, bearing in mind that around 50 % of all deaths can be attributed to cardiovascular disease, which</w:t>
      </w:r>
      <w:r>
        <w:rPr>
          <w:spacing w:val="-48"/>
        </w:rPr>
        <w:t> </w:t>
      </w:r>
      <w:r>
        <w:rPr/>
        <w:t>is due to atherosclerosis in almost all cases. The heart pumps blood in a jerky manner via the heartbeat. However, to ensure that it can be transported flu- ently and evenly to the target organs, our blood vessels are elastic at a young age.</w:t>
      </w:r>
      <w:r>
        <w:rPr>
          <w:spacing w:val="35"/>
        </w:rPr>
        <w:t> </w:t>
      </w:r>
      <w:r>
        <w:rPr/>
        <w:t>However,</w:t>
      </w:r>
      <w:r>
        <w:rPr>
          <w:spacing w:val="36"/>
        </w:rPr>
        <w:t> </w:t>
      </w:r>
      <w:r>
        <w:rPr/>
        <w:t>as</w:t>
      </w:r>
      <w:r>
        <w:rPr>
          <w:spacing w:val="37"/>
        </w:rPr>
        <w:t> </w:t>
      </w:r>
      <w:r>
        <w:rPr/>
        <w:t>early</w:t>
      </w:r>
      <w:r>
        <w:rPr>
          <w:spacing w:val="36"/>
        </w:rPr>
        <w:t> </w:t>
      </w:r>
      <w:r>
        <w:rPr/>
        <w:t>as</w:t>
      </w:r>
      <w:r>
        <w:rPr>
          <w:spacing w:val="32"/>
        </w:rPr>
        <w:t> </w:t>
      </w:r>
      <w:r>
        <w:rPr/>
        <w:t>in</w:t>
      </w:r>
      <w:r>
        <w:rPr>
          <w:spacing w:val="33"/>
        </w:rPr>
        <w:t> </w:t>
      </w:r>
      <w:r>
        <w:rPr/>
        <w:t>adolescence,</w:t>
      </w:r>
      <w:r>
        <w:rPr>
          <w:spacing w:val="34"/>
        </w:rPr>
        <w:t> </w:t>
      </w:r>
      <w:r>
        <w:rPr/>
        <w:t>the</w:t>
      </w:r>
      <w:r>
        <w:rPr>
          <w:spacing w:val="34"/>
        </w:rPr>
        <w:t> </w:t>
      </w:r>
      <w:r>
        <w:rPr/>
        <w:t>structure</w:t>
      </w:r>
      <w:r>
        <w:rPr>
          <w:spacing w:val="35"/>
        </w:rPr>
        <w:t> </w:t>
      </w:r>
      <w:r>
        <w:rPr/>
        <w:t>of</w:t>
      </w:r>
      <w:r>
        <w:rPr>
          <w:spacing w:val="35"/>
        </w:rPr>
        <w:t> </w:t>
      </w:r>
      <w:r>
        <w:rPr/>
        <w:t>our</w:t>
      </w:r>
      <w:r>
        <w:rPr>
          <w:spacing w:val="34"/>
        </w:rPr>
        <w:t> </w:t>
      </w:r>
      <w:r>
        <w:rPr/>
        <w:t>blood</w:t>
      </w:r>
      <w:r>
        <w:rPr>
          <w:spacing w:val="35"/>
        </w:rPr>
        <w:t> </w:t>
      </w:r>
      <w:r>
        <w:rPr/>
        <w:t>vessels</w:t>
      </w:r>
    </w:p>
    <w:p>
      <w:pPr>
        <w:spacing w:after="0" w:line="276" w:lineRule="auto"/>
        <w:jc w:val="both"/>
        <w:sectPr>
          <w:pgSz w:w="14270" w:h="16850"/>
          <w:pgMar w:header="0" w:footer="1891" w:top="1320" w:bottom="2080" w:left="800" w:right="1280"/>
        </w:sectPr>
      </w:pPr>
    </w:p>
    <w:p>
      <w:pPr>
        <w:pStyle w:val="BodyText"/>
        <w:spacing w:line="278" w:lineRule="auto" w:before="72"/>
        <w:ind w:left="616" w:right="131"/>
        <w:jc w:val="both"/>
      </w:pPr>
      <w:r>
        <w:rPr/>
        <w:t>changes</w:t>
      </w:r>
      <w:r>
        <w:rPr>
          <w:spacing w:val="-11"/>
        </w:rPr>
        <w:t> </w:t>
      </w:r>
      <w:r>
        <w:rPr/>
        <w:t>because</w:t>
      </w:r>
      <w:r>
        <w:rPr>
          <w:spacing w:val="-12"/>
        </w:rPr>
        <w:t> </w:t>
      </w:r>
      <w:r>
        <w:rPr/>
        <w:t>calcium</w:t>
      </w:r>
      <w:r>
        <w:rPr>
          <w:spacing w:val="-8"/>
        </w:rPr>
        <w:t> </w:t>
      </w:r>
      <w:r>
        <w:rPr/>
        <w:t>and</w:t>
      </w:r>
      <w:r>
        <w:rPr>
          <w:spacing w:val="-11"/>
        </w:rPr>
        <w:t> </w:t>
      </w:r>
      <w:r>
        <w:rPr/>
        <w:t>cholesterol</w:t>
      </w:r>
      <w:r>
        <w:rPr>
          <w:spacing w:val="-12"/>
        </w:rPr>
        <w:t> </w:t>
      </w:r>
      <w:r>
        <w:rPr/>
        <w:t>adhere</w:t>
      </w:r>
      <w:r>
        <w:rPr>
          <w:spacing w:val="-10"/>
        </w:rPr>
        <w:t> </w:t>
      </w:r>
      <w:r>
        <w:rPr/>
        <w:t>to</w:t>
      </w:r>
      <w:r>
        <w:rPr>
          <w:spacing w:val="-11"/>
        </w:rPr>
        <w:t> </w:t>
      </w:r>
      <w:r>
        <w:rPr/>
        <w:t>the</w:t>
      </w:r>
      <w:r>
        <w:rPr>
          <w:spacing w:val="-11"/>
        </w:rPr>
        <w:t> </w:t>
      </w:r>
      <w:r>
        <w:rPr/>
        <w:t>inner</w:t>
      </w:r>
      <w:r>
        <w:rPr>
          <w:spacing w:val="-10"/>
        </w:rPr>
        <w:t> </w:t>
      </w:r>
      <w:r>
        <w:rPr/>
        <w:t>walls</w:t>
      </w:r>
      <w:r>
        <w:rPr>
          <w:spacing w:val="-11"/>
        </w:rPr>
        <w:t> </w:t>
      </w:r>
      <w:r>
        <w:rPr/>
        <w:t>of</w:t>
      </w:r>
      <w:r>
        <w:rPr>
          <w:spacing w:val="-10"/>
        </w:rPr>
        <w:t> </w:t>
      </w:r>
      <w:r>
        <w:rPr/>
        <w:t>the</w:t>
      </w:r>
      <w:r>
        <w:rPr>
          <w:spacing w:val="-11"/>
        </w:rPr>
        <w:t> </w:t>
      </w:r>
      <w:r>
        <w:rPr/>
        <w:t>arter- ies and gradually make the previously elastic blood vessels rigid and</w:t>
      </w:r>
      <w:r>
        <w:rPr>
          <w:spacing w:val="-20"/>
        </w:rPr>
        <w:t> </w:t>
      </w:r>
      <w:r>
        <w:rPr/>
        <w:t>brittle.</w:t>
      </w:r>
    </w:p>
    <w:p>
      <w:pPr>
        <w:pStyle w:val="BodyText"/>
        <w:spacing w:line="278" w:lineRule="auto" w:before="232"/>
        <w:ind w:left="616" w:right="136"/>
        <w:jc w:val="both"/>
      </w:pPr>
      <w:r>
        <w:rPr/>
        <w:t>Not only does the efficiency of the transport of oxygen and nutrients decline, the deposits also condense and constrict our blood vessels more and more.</w:t>
      </w:r>
    </w:p>
    <w:p>
      <w:pPr>
        <w:pStyle w:val="BodyText"/>
        <w:spacing w:line="276" w:lineRule="auto" w:before="232"/>
        <w:ind w:left="616" w:right="133"/>
        <w:jc w:val="both"/>
      </w:pPr>
      <w:r>
        <w:rPr/>
        <w:t>If</w:t>
      </w:r>
      <w:r>
        <w:rPr>
          <w:spacing w:val="-12"/>
        </w:rPr>
        <w:t> </w:t>
      </w:r>
      <w:r>
        <w:rPr/>
        <w:t>this</w:t>
      </w:r>
      <w:r>
        <w:rPr>
          <w:spacing w:val="-13"/>
        </w:rPr>
        <w:t> </w:t>
      </w:r>
      <w:r>
        <w:rPr/>
        <w:t>happens</w:t>
      </w:r>
      <w:r>
        <w:rPr>
          <w:spacing w:val="-12"/>
        </w:rPr>
        <w:t> </w:t>
      </w:r>
      <w:r>
        <w:rPr/>
        <w:t>in</w:t>
      </w:r>
      <w:r>
        <w:rPr>
          <w:spacing w:val="-11"/>
        </w:rPr>
        <w:t> </w:t>
      </w:r>
      <w:r>
        <w:rPr/>
        <w:t>the</w:t>
      </w:r>
      <w:r>
        <w:rPr>
          <w:spacing w:val="-13"/>
        </w:rPr>
        <w:t> </w:t>
      </w:r>
      <w:r>
        <w:rPr/>
        <w:t>arteries</w:t>
      </w:r>
      <w:r>
        <w:rPr>
          <w:spacing w:val="-13"/>
        </w:rPr>
        <w:t> </w:t>
      </w:r>
      <w:r>
        <w:rPr/>
        <w:t>that</w:t>
      </w:r>
      <w:r>
        <w:rPr>
          <w:spacing w:val="-12"/>
        </w:rPr>
        <w:t> </w:t>
      </w:r>
      <w:r>
        <w:rPr/>
        <w:t>lead</w:t>
      </w:r>
      <w:r>
        <w:rPr>
          <w:spacing w:val="-12"/>
        </w:rPr>
        <w:t> </w:t>
      </w:r>
      <w:r>
        <w:rPr/>
        <w:t>to</w:t>
      </w:r>
      <w:r>
        <w:rPr>
          <w:spacing w:val="-14"/>
        </w:rPr>
        <w:t> </w:t>
      </w:r>
      <w:r>
        <w:rPr/>
        <w:t>the</w:t>
      </w:r>
      <w:r>
        <w:rPr>
          <w:spacing w:val="-13"/>
        </w:rPr>
        <w:t> </w:t>
      </w:r>
      <w:r>
        <w:rPr/>
        <w:t>heart</w:t>
      </w:r>
      <w:r>
        <w:rPr>
          <w:spacing w:val="-11"/>
        </w:rPr>
        <w:t> </w:t>
      </w:r>
      <w:r>
        <w:rPr/>
        <w:t>and</w:t>
      </w:r>
      <w:r>
        <w:rPr>
          <w:spacing w:val="-11"/>
        </w:rPr>
        <w:t> </w:t>
      </w:r>
      <w:r>
        <w:rPr/>
        <w:t>if</w:t>
      </w:r>
      <w:r>
        <w:rPr>
          <w:spacing w:val="-14"/>
        </w:rPr>
        <w:t> </w:t>
      </w:r>
      <w:r>
        <w:rPr/>
        <w:t>sufficient</w:t>
      </w:r>
      <w:r>
        <w:rPr>
          <w:spacing w:val="-12"/>
        </w:rPr>
        <w:t> </w:t>
      </w:r>
      <w:r>
        <w:rPr/>
        <w:t>oxygen</w:t>
      </w:r>
      <w:r>
        <w:rPr>
          <w:spacing w:val="-11"/>
        </w:rPr>
        <w:t> </w:t>
      </w:r>
      <w:r>
        <w:rPr/>
        <w:t>can no</w:t>
      </w:r>
      <w:r>
        <w:rPr>
          <w:spacing w:val="-20"/>
        </w:rPr>
        <w:t> </w:t>
      </w:r>
      <w:r>
        <w:rPr/>
        <w:t>longer</w:t>
      </w:r>
      <w:r>
        <w:rPr>
          <w:spacing w:val="-23"/>
        </w:rPr>
        <w:t> </w:t>
      </w:r>
      <w:r>
        <w:rPr/>
        <w:t>be</w:t>
      </w:r>
      <w:r>
        <w:rPr>
          <w:spacing w:val="-23"/>
        </w:rPr>
        <w:t> </w:t>
      </w:r>
      <w:r>
        <w:rPr/>
        <w:t>transported</w:t>
      </w:r>
      <w:r>
        <w:rPr>
          <w:spacing w:val="-24"/>
        </w:rPr>
        <w:t> </w:t>
      </w:r>
      <w:r>
        <w:rPr/>
        <w:t>to</w:t>
      </w:r>
      <w:r>
        <w:rPr>
          <w:spacing w:val="-22"/>
        </w:rPr>
        <w:t> </w:t>
      </w:r>
      <w:r>
        <w:rPr/>
        <w:t>the</w:t>
      </w:r>
      <w:r>
        <w:rPr>
          <w:spacing w:val="-25"/>
        </w:rPr>
        <w:t> </w:t>
      </w:r>
      <w:r>
        <w:rPr/>
        <w:t>heart,</w:t>
      </w:r>
      <w:r>
        <w:rPr>
          <w:spacing w:val="-21"/>
        </w:rPr>
        <w:t> </w:t>
      </w:r>
      <w:r>
        <w:rPr/>
        <w:t>this</w:t>
      </w:r>
      <w:r>
        <w:rPr>
          <w:spacing w:val="-23"/>
        </w:rPr>
        <w:t> </w:t>
      </w:r>
      <w:r>
        <w:rPr/>
        <w:t>results</w:t>
      </w:r>
      <w:r>
        <w:rPr>
          <w:spacing w:val="-22"/>
        </w:rPr>
        <w:t> </w:t>
      </w:r>
      <w:r>
        <w:rPr/>
        <w:t>in</w:t>
      </w:r>
      <w:r>
        <w:rPr>
          <w:spacing w:val="-22"/>
        </w:rPr>
        <w:t> </w:t>
      </w:r>
      <w:r>
        <w:rPr/>
        <w:t>a</w:t>
      </w:r>
      <w:r>
        <w:rPr>
          <w:spacing w:val="-22"/>
        </w:rPr>
        <w:t> </w:t>
      </w:r>
      <w:r>
        <w:rPr/>
        <w:t>heart</w:t>
      </w:r>
      <w:r>
        <w:rPr>
          <w:spacing w:val="-24"/>
        </w:rPr>
        <w:t> </w:t>
      </w:r>
      <w:r>
        <w:rPr/>
        <w:t>attack.</w:t>
      </w:r>
      <w:r>
        <w:rPr>
          <w:spacing w:val="-20"/>
        </w:rPr>
        <w:t> </w:t>
      </w:r>
      <w:r>
        <w:rPr/>
        <w:t>On</w:t>
      </w:r>
      <w:r>
        <w:rPr>
          <w:spacing w:val="-22"/>
        </w:rPr>
        <w:t> </w:t>
      </w:r>
      <w:r>
        <w:rPr/>
        <w:t>the</w:t>
      </w:r>
      <w:r>
        <w:rPr>
          <w:spacing w:val="-22"/>
        </w:rPr>
        <w:t> </w:t>
      </w:r>
      <w:r>
        <w:rPr/>
        <w:t>other hand, if it affects the cerebral arteries, it results in a</w:t>
      </w:r>
      <w:r>
        <w:rPr>
          <w:spacing w:val="-5"/>
        </w:rPr>
        <w:t> </w:t>
      </w:r>
      <w:r>
        <w:rPr/>
        <w:t>stroke.</w:t>
      </w:r>
    </w:p>
    <w:p>
      <w:pPr>
        <w:pStyle w:val="BodyText"/>
        <w:spacing w:line="276" w:lineRule="auto" w:before="242"/>
        <w:ind w:left="616" w:right="135"/>
        <w:jc w:val="both"/>
      </w:pPr>
      <w:r>
        <w:rPr/>
        <w:t>French researchers have shown in 72 adults aged 60+ that atherosclerotic ar- teries</w:t>
      </w:r>
      <w:r>
        <w:rPr>
          <w:spacing w:val="-16"/>
        </w:rPr>
        <w:t> </w:t>
      </w:r>
      <w:r>
        <w:rPr/>
        <w:t>contain</w:t>
      </w:r>
      <w:r>
        <w:rPr>
          <w:spacing w:val="-15"/>
        </w:rPr>
        <w:t> </w:t>
      </w:r>
      <w:r>
        <w:rPr/>
        <w:t>14</w:t>
      </w:r>
      <w:r>
        <w:rPr>
          <w:spacing w:val="-16"/>
        </w:rPr>
        <w:t> </w:t>
      </w:r>
      <w:r>
        <w:rPr/>
        <w:t>times</w:t>
      </w:r>
      <w:r>
        <w:rPr>
          <w:spacing w:val="-16"/>
        </w:rPr>
        <w:t> </w:t>
      </w:r>
      <w:r>
        <w:rPr/>
        <w:t>less</w:t>
      </w:r>
      <w:r>
        <w:rPr>
          <w:spacing w:val="-15"/>
        </w:rPr>
        <w:t> </w:t>
      </w:r>
      <w:r>
        <w:rPr/>
        <w:t>silicon</w:t>
      </w:r>
      <w:r>
        <w:rPr>
          <w:spacing w:val="-14"/>
        </w:rPr>
        <w:t> </w:t>
      </w:r>
      <w:r>
        <w:rPr/>
        <w:t>than</w:t>
      </w:r>
      <w:r>
        <w:rPr>
          <w:spacing w:val="-16"/>
        </w:rPr>
        <w:t> </w:t>
      </w:r>
      <w:r>
        <w:rPr/>
        <w:t>healthy</w:t>
      </w:r>
      <w:r>
        <w:rPr>
          <w:spacing w:val="-16"/>
        </w:rPr>
        <w:t> </w:t>
      </w:r>
      <w:r>
        <w:rPr/>
        <w:t>ones,</w:t>
      </w:r>
      <w:r>
        <w:rPr>
          <w:spacing w:val="-14"/>
        </w:rPr>
        <w:t> </w:t>
      </w:r>
      <w:r>
        <w:rPr/>
        <w:t>which</w:t>
      </w:r>
      <w:r>
        <w:rPr>
          <w:spacing w:val="-15"/>
        </w:rPr>
        <w:t> </w:t>
      </w:r>
      <w:r>
        <w:rPr/>
        <w:t>is</w:t>
      </w:r>
      <w:r>
        <w:rPr>
          <w:spacing w:val="-16"/>
        </w:rPr>
        <w:t> </w:t>
      </w:r>
      <w:r>
        <w:rPr/>
        <w:t>a</w:t>
      </w:r>
      <w:r>
        <w:rPr>
          <w:spacing w:val="-17"/>
        </w:rPr>
        <w:t> </w:t>
      </w:r>
      <w:r>
        <w:rPr/>
        <w:t>clear</w:t>
      </w:r>
      <w:r>
        <w:rPr>
          <w:spacing w:val="-15"/>
        </w:rPr>
        <w:t> </w:t>
      </w:r>
      <w:r>
        <w:rPr/>
        <w:t>indication of the deficiency of a crucial nutrient!</w:t>
      </w:r>
    </w:p>
    <w:p>
      <w:pPr>
        <w:pStyle w:val="BodyText"/>
        <w:spacing w:line="276" w:lineRule="auto" w:before="239"/>
        <w:ind w:left="616" w:right="134"/>
        <w:jc w:val="both"/>
      </w:pPr>
      <w:r>
        <w:rPr/>
        <w:t>A</w:t>
      </w:r>
      <w:r>
        <w:rPr>
          <w:spacing w:val="-24"/>
        </w:rPr>
        <w:t> </w:t>
      </w:r>
      <w:r>
        <w:rPr/>
        <w:t>regular</w:t>
      </w:r>
      <w:r>
        <w:rPr>
          <w:spacing w:val="-23"/>
        </w:rPr>
        <w:t> </w:t>
      </w:r>
      <w:r>
        <w:rPr/>
        <w:t>supply</w:t>
      </w:r>
      <w:r>
        <w:rPr>
          <w:spacing w:val="-24"/>
        </w:rPr>
        <w:t> </w:t>
      </w:r>
      <w:r>
        <w:rPr/>
        <w:t>of</w:t>
      </w:r>
      <w:r>
        <w:rPr>
          <w:spacing w:val="-23"/>
        </w:rPr>
        <w:t> </w:t>
      </w:r>
      <w:r>
        <w:rPr/>
        <w:t>silicon</w:t>
      </w:r>
      <w:r>
        <w:rPr>
          <w:spacing w:val="-22"/>
        </w:rPr>
        <w:t> </w:t>
      </w:r>
      <w:r>
        <w:rPr/>
        <w:t>not</w:t>
      </w:r>
      <w:r>
        <w:rPr>
          <w:spacing w:val="-24"/>
        </w:rPr>
        <w:t> </w:t>
      </w:r>
      <w:r>
        <w:rPr/>
        <w:t>only</w:t>
      </w:r>
      <w:r>
        <w:rPr>
          <w:spacing w:val="-25"/>
        </w:rPr>
        <w:t> </w:t>
      </w:r>
      <w:r>
        <w:rPr/>
        <w:t>keeps</w:t>
      </w:r>
      <w:r>
        <w:rPr>
          <w:spacing w:val="-23"/>
        </w:rPr>
        <w:t> </w:t>
      </w:r>
      <w:r>
        <w:rPr/>
        <w:t>blood</w:t>
      </w:r>
      <w:r>
        <w:rPr>
          <w:spacing w:val="-23"/>
        </w:rPr>
        <w:t> </w:t>
      </w:r>
      <w:r>
        <w:rPr/>
        <w:t>vessels</w:t>
      </w:r>
      <w:r>
        <w:rPr>
          <w:spacing w:val="-22"/>
        </w:rPr>
        <w:t> </w:t>
      </w:r>
      <w:r>
        <w:rPr/>
        <w:t>elastic,</w:t>
      </w:r>
      <w:r>
        <w:rPr>
          <w:spacing w:val="-23"/>
        </w:rPr>
        <w:t> </w:t>
      </w:r>
      <w:r>
        <w:rPr/>
        <w:t>but</w:t>
      </w:r>
      <w:r>
        <w:rPr>
          <w:spacing w:val="-25"/>
        </w:rPr>
        <w:t> </w:t>
      </w:r>
      <w:r>
        <w:rPr/>
        <w:t>studies</w:t>
      </w:r>
      <w:r>
        <w:rPr>
          <w:spacing w:val="-24"/>
        </w:rPr>
        <w:t> </w:t>
      </w:r>
      <w:r>
        <w:rPr/>
        <w:t>have even shown that silicon can even make the blood vessels more elastic again</w:t>
      </w:r>
      <w:r>
        <w:rPr>
          <w:spacing w:val="-32"/>
        </w:rPr>
        <w:t> </w:t>
      </w:r>
      <w:r>
        <w:rPr/>
        <w:t>to a certain extent. This is done by the silicon depleting the inner lining of the intima, thus 'absorbing' the</w:t>
      </w:r>
      <w:r>
        <w:rPr>
          <w:spacing w:val="3"/>
        </w:rPr>
        <w:t> </w:t>
      </w:r>
      <w:r>
        <w:rPr/>
        <w:t>deposits.</w:t>
      </w:r>
    </w:p>
    <w:p>
      <w:pPr>
        <w:spacing w:after="0" w:line="276" w:lineRule="auto"/>
        <w:jc w:val="both"/>
        <w:sectPr>
          <w:pgSz w:w="14270" w:h="16850"/>
          <w:pgMar w:header="0" w:footer="1891" w:top="1340" w:bottom="2080" w:left="800" w:right="1280"/>
        </w:sectPr>
      </w:pPr>
    </w:p>
    <w:p>
      <w:pPr>
        <w:pStyle w:val="Heading1"/>
        <w:spacing w:before="77"/>
        <w:ind w:left="616"/>
        <w:jc w:val="both"/>
      </w:pPr>
      <w:r>
        <w:rPr/>
        <w:t>Effect of silicon against high blood pressure</w:t>
      </w:r>
    </w:p>
    <w:p>
      <w:pPr>
        <w:pStyle w:val="BodyText"/>
        <w:spacing w:line="276" w:lineRule="auto" w:before="299"/>
        <w:ind w:left="616" w:right="141"/>
        <w:jc w:val="both"/>
      </w:pPr>
      <w:r>
        <w:rPr/>
        <w:t>As we have already discussed, the heart pumps blood through our blood ves- sels. However, in order to freely reach our organs, the heart needs our blood vessels to compensate for the impulsive pumping, and this is only possible if the blood vessels are elastic.</w:t>
      </w:r>
    </w:p>
    <w:p>
      <w:pPr>
        <w:pStyle w:val="BodyText"/>
        <w:spacing w:line="276" w:lineRule="auto" w:before="239"/>
        <w:ind w:left="616" w:right="138"/>
        <w:jc w:val="both"/>
      </w:pPr>
      <w:r>
        <w:rPr/>
        <w:t>Unfortunately,</w:t>
      </w:r>
      <w:r>
        <w:rPr>
          <w:spacing w:val="-26"/>
        </w:rPr>
        <w:t> </w:t>
      </w:r>
      <w:r>
        <w:rPr/>
        <w:t>calcium</w:t>
      </w:r>
      <w:r>
        <w:rPr>
          <w:spacing w:val="-26"/>
        </w:rPr>
        <w:t> </w:t>
      </w:r>
      <w:r>
        <w:rPr/>
        <w:t>and</w:t>
      </w:r>
      <w:r>
        <w:rPr>
          <w:spacing w:val="-26"/>
        </w:rPr>
        <w:t> </w:t>
      </w:r>
      <w:r>
        <w:rPr/>
        <w:t>cholesterol</w:t>
      </w:r>
      <w:r>
        <w:rPr>
          <w:spacing w:val="-27"/>
        </w:rPr>
        <w:t> </w:t>
      </w:r>
      <w:r>
        <w:rPr/>
        <w:t>accumulate</w:t>
      </w:r>
      <w:r>
        <w:rPr>
          <w:spacing w:val="-25"/>
        </w:rPr>
        <w:t> </w:t>
      </w:r>
      <w:r>
        <w:rPr/>
        <w:t>over</w:t>
      </w:r>
      <w:r>
        <w:rPr>
          <w:spacing w:val="-27"/>
        </w:rPr>
        <w:t> </w:t>
      </w:r>
      <w:r>
        <w:rPr/>
        <w:t>the</w:t>
      </w:r>
      <w:r>
        <w:rPr>
          <w:spacing w:val="-27"/>
        </w:rPr>
        <w:t> </w:t>
      </w:r>
      <w:r>
        <w:rPr/>
        <w:t>course</w:t>
      </w:r>
      <w:r>
        <w:rPr>
          <w:spacing w:val="-25"/>
        </w:rPr>
        <w:t> </w:t>
      </w:r>
      <w:r>
        <w:rPr/>
        <w:t>of</w:t>
      </w:r>
      <w:r>
        <w:rPr>
          <w:spacing w:val="-28"/>
        </w:rPr>
        <w:t> </w:t>
      </w:r>
      <w:r>
        <w:rPr/>
        <w:t>our</w:t>
      </w:r>
      <w:r>
        <w:rPr>
          <w:spacing w:val="-25"/>
        </w:rPr>
        <w:t> </w:t>
      </w:r>
      <w:r>
        <w:rPr/>
        <w:t>lives, making</w:t>
      </w:r>
      <w:r>
        <w:rPr>
          <w:spacing w:val="-24"/>
        </w:rPr>
        <w:t> </w:t>
      </w:r>
      <w:r>
        <w:rPr/>
        <w:t>the</w:t>
      </w:r>
      <w:r>
        <w:rPr>
          <w:spacing w:val="-23"/>
        </w:rPr>
        <w:t> </w:t>
      </w:r>
      <w:r>
        <w:rPr/>
        <w:t>blood</w:t>
      </w:r>
      <w:r>
        <w:rPr>
          <w:spacing w:val="-24"/>
        </w:rPr>
        <w:t> </w:t>
      </w:r>
      <w:r>
        <w:rPr/>
        <w:t>vessels</w:t>
      </w:r>
      <w:r>
        <w:rPr>
          <w:spacing w:val="-23"/>
        </w:rPr>
        <w:t> </w:t>
      </w:r>
      <w:r>
        <w:rPr/>
        <w:t>rigid</w:t>
      </w:r>
      <w:r>
        <w:rPr>
          <w:spacing w:val="-25"/>
        </w:rPr>
        <w:t> </w:t>
      </w:r>
      <w:r>
        <w:rPr/>
        <w:t>and</w:t>
      </w:r>
      <w:r>
        <w:rPr>
          <w:spacing w:val="-24"/>
        </w:rPr>
        <w:t> </w:t>
      </w:r>
      <w:r>
        <w:rPr/>
        <w:t>brittle.</w:t>
      </w:r>
      <w:r>
        <w:rPr>
          <w:spacing w:val="-23"/>
        </w:rPr>
        <w:t> </w:t>
      </w:r>
      <w:r>
        <w:rPr/>
        <w:t>Since</w:t>
      </w:r>
      <w:r>
        <w:rPr>
          <w:spacing w:val="-26"/>
        </w:rPr>
        <w:t> </w:t>
      </w:r>
      <w:r>
        <w:rPr/>
        <w:t>the</w:t>
      </w:r>
      <w:r>
        <w:rPr>
          <w:spacing w:val="-23"/>
        </w:rPr>
        <w:t> </w:t>
      </w:r>
      <w:r>
        <w:rPr/>
        <w:t>blood</w:t>
      </w:r>
      <w:r>
        <w:rPr>
          <w:spacing w:val="-23"/>
        </w:rPr>
        <w:t> </w:t>
      </w:r>
      <w:r>
        <w:rPr/>
        <w:t>vessels</w:t>
      </w:r>
      <w:r>
        <w:rPr>
          <w:spacing w:val="-24"/>
        </w:rPr>
        <w:t> </w:t>
      </w:r>
      <w:r>
        <w:rPr/>
        <w:t>can</w:t>
      </w:r>
      <w:r>
        <w:rPr>
          <w:spacing w:val="-24"/>
        </w:rPr>
        <w:t> </w:t>
      </w:r>
      <w:r>
        <w:rPr/>
        <w:t>no</w:t>
      </w:r>
      <w:r>
        <w:rPr>
          <w:spacing w:val="-23"/>
        </w:rPr>
        <w:t> </w:t>
      </w:r>
      <w:r>
        <w:rPr/>
        <w:t>longer yield elastically, the blood pressure must be increased so that the blood can continue to be transported to the</w:t>
      </w:r>
      <w:r>
        <w:rPr>
          <w:spacing w:val="-2"/>
        </w:rPr>
        <w:t> </w:t>
      </w:r>
      <w:r>
        <w:rPr/>
        <w:t>destination.</w:t>
      </w:r>
    </w:p>
    <w:p>
      <w:pPr>
        <w:pStyle w:val="BodyText"/>
        <w:spacing w:line="276" w:lineRule="auto" w:before="240"/>
        <w:ind w:left="616" w:right="139"/>
        <w:jc w:val="both"/>
      </w:pPr>
      <w:r>
        <w:rPr/>
        <w:t>Silicon now has the ability to drain the blood vessels and make them elastic again.</w:t>
      </w:r>
      <w:r>
        <w:rPr>
          <w:spacing w:val="-17"/>
        </w:rPr>
        <w:t> </w:t>
      </w:r>
      <w:r>
        <w:rPr/>
        <w:t>The</w:t>
      </w:r>
      <w:r>
        <w:rPr>
          <w:spacing w:val="-19"/>
        </w:rPr>
        <w:t> </w:t>
      </w:r>
      <w:r>
        <w:rPr/>
        <w:t>blood</w:t>
      </w:r>
      <w:r>
        <w:rPr>
          <w:spacing w:val="-19"/>
        </w:rPr>
        <w:t> </w:t>
      </w:r>
      <w:r>
        <w:rPr/>
        <w:t>can</w:t>
      </w:r>
      <w:r>
        <w:rPr>
          <w:spacing w:val="-19"/>
        </w:rPr>
        <w:t> </w:t>
      </w:r>
      <w:r>
        <w:rPr/>
        <w:t>be</w:t>
      </w:r>
      <w:r>
        <w:rPr>
          <w:spacing w:val="-18"/>
        </w:rPr>
        <w:t> </w:t>
      </w:r>
      <w:r>
        <w:rPr/>
        <w:t>pumped</w:t>
      </w:r>
      <w:r>
        <w:rPr>
          <w:spacing w:val="-19"/>
        </w:rPr>
        <w:t> </w:t>
      </w:r>
      <w:r>
        <w:rPr/>
        <w:t>again</w:t>
      </w:r>
      <w:r>
        <w:rPr>
          <w:spacing w:val="-17"/>
        </w:rPr>
        <w:t> </w:t>
      </w:r>
      <w:r>
        <w:rPr/>
        <w:t>with</w:t>
      </w:r>
      <w:r>
        <w:rPr>
          <w:spacing w:val="-17"/>
        </w:rPr>
        <w:t> </w:t>
      </w:r>
      <w:r>
        <w:rPr/>
        <w:t>less</w:t>
      </w:r>
      <w:r>
        <w:rPr>
          <w:spacing w:val="-18"/>
        </w:rPr>
        <w:t> </w:t>
      </w:r>
      <w:r>
        <w:rPr/>
        <w:t>resistance,</w:t>
      </w:r>
      <w:r>
        <w:rPr>
          <w:spacing w:val="-16"/>
        </w:rPr>
        <w:t> </w:t>
      </w:r>
      <w:r>
        <w:rPr/>
        <w:t>and</w:t>
      </w:r>
      <w:r>
        <w:rPr>
          <w:spacing w:val="-19"/>
        </w:rPr>
        <w:t> </w:t>
      </w:r>
      <w:r>
        <w:rPr/>
        <w:t>the</w:t>
      </w:r>
      <w:r>
        <w:rPr>
          <w:spacing w:val="-19"/>
        </w:rPr>
        <w:t> </w:t>
      </w:r>
      <w:r>
        <w:rPr/>
        <w:t>blood</w:t>
      </w:r>
      <w:r>
        <w:rPr>
          <w:spacing w:val="-19"/>
        </w:rPr>
        <w:t> </w:t>
      </w:r>
      <w:r>
        <w:rPr/>
        <w:t>pres- sure is brought back to a normal</w:t>
      </w:r>
      <w:r>
        <w:rPr>
          <w:spacing w:val="-3"/>
        </w:rPr>
        <w:t> </w:t>
      </w:r>
      <w:r>
        <w:rPr/>
        <w:t>level.</w:t>
      </w:r>
    </w:p>
    <w:p>
      <w:pPr>
        <w:pStyle w:val="Heading1"/>
        <w:ind w:left="616"/>
        <w:jc w:val="both"/>
      </w:pPr>
      <w:r>
        <w:rPr/>
        <w:t>Effect of silica (silicon) against</w:t>
      </w:r>
      <w:r>
        <w:rPr>
          <w:spacing w:val="-57"/>
        </w:rPr>
        <w:t> </w:t>
      </w:r>
      <w:r>
        <w:rPr/>
        <w:t>heartburn</w:t>
      </w:r>
    </w:p>
    <w:p>
      <w:pPr>
        <w:pStyle w:val="BodyText"/>
        <w:spacing w:line="276" w:lineRule="auto" w:before="300"/>
        <w:ind w:left="616" w:right="138"/>
        <w:jc w:val="both"/>
      </w:pPr>
      <w:r>
        <w:rPr/>
        <w:t>Silica has a basic effect on our acid-base balance, buffers excess gastric acid and</w:t>
      </w:r>
      <w:r>
        <w:rPr>
          <w:spacing w:val="-15"/>
        </w:rPr>
        <w:t> </w:t>
      </w:r>
      <w:r>
        <w:rPr/>
        <w:t>spreads</w:t>
      </w:r>
      <w:r>
        <w:rPr>
          <w:spacing w:val="-17"/>
        </w:rPr>
        <w:t> </w:t>
      </w:r>
      <w:r>
        <w:rPr/>
        <w:t>a</w:t>
      </w:r>
      <w:r>
        <w:rPr>
          <w:spacing w:val="-15"/>
        </w:rPr>
        <w:t> </w:t>
      </w:r>
      <w:r>
        <w:rPr/>
        <w:t>kind</w:t>
      </w:r>
      <w:r>
        <w:rPr>
          <w:spacing w:val="-15"/>
        </w:rPr>
        <w:t> </w:t>
      </w:r>
      <w:r>
        <w:rPr/>
        <w:t>of</w:t>
      </w:r>
      <w:r>
        <w:rPr>
          <w:spacing w:val="-16"/>
        </w:rPr>
        <w:t> </w:t>
      </w:r>
      <w:r>
        <w:rPr/>
        <w:t>protective</w:t>
      </w:r>
      <w:r>
        <w:rPr>
          <w:spacing w:val="-18"/>
        </w:rPr>
        <w:t> </w:t>
      </w:r>
      <w:r>
        <w:rPr/>
        <w:t>coating</w:t>
      </w:r>
      <w:r>
        <w:rPr>
          <w:spacing w:val="-15"/>
        </w:rPr>
        <w:t> </w:t>
      </w:r>
      <w:r>
        <w:rPr/>
        <w:t>over</w:t>
      </w:r>
      <w:r>
        <w:rPr>
          <w:spacing w:val="-13"/>
        </w:rPr>
        <w:t> </w:t>
      </w:r>
      <w:r>
        <w:rPr/>
        <w:t>the</w:t>
      </w:r>
      <w:r>
        <w:rPr>
          <w:spacing w:val="-17"/>
        </w:rPr>
        <w:t> </w:t>
      </w:r>
      <w:r>
        <w:rPr/>
        <w:t>stomach</w:t>
      </w:r>
      <w:r>
        <w:rPr>
          <w:spacing w:val="-14"/>
        </w:rPr>
        <w:t> </w:t>
      </w:r>
      <w:r>
        <w:rPr/>
        <w:t>which</w:t>
      </w:r>
      <w:r>
        <w:rPr>
          <w:spacing w:val="-13"/>
        </w:rPr>
        <w:t> </w:t>
      </w:r>
      <w:r>
        <w:rPr/>
        <w:t>covers</w:t>
      </w:r>
      <w:r>
        <w:rPr>
          <w:spacing w:val="-14"/>
        </w:rPr>
        <w:t> </w:t>
      </w:r>
      <w:r>
        <w:rPr/>
        <w:t>a</w:t>
      </w:r>
      <w:r>
        <w:rPr>
          <w:spacing w:val="-17"/>
        </w:rPr>
        <w:t> </w:t>
      </w:r>
      <w:r>
        <w:rPr/>
        <w:t>large area of the entire stomach</w:t>
      </w:r>
      <w:r>
        <w:rPr>
          <w:spacing w:val="3"/>
        </w:rPr>
        <w:t> </w:t>
      </w:r>
      <w:r>
        <w:rPr/>
        <w:t>surface.</w:t>
      </w:r>
    </w:p>
    <w:p>
      <w:pPr>
        <w:spacing w:before="221"/>
        <w:ind w:left="616" w:right="0" w:firstLine="0"/>
        <w:jc w:val="both"/>
        <w:rPr>
          <w:sz w:val="38"/>
        </w:rPr>
      </w:pPr>
      <w:r>
        <w:rPr>
          <w:b/>
          <w:i/>
          <w:sz w:val="40"/>
        </w:rPr>
        <w:t>Application: </w:t>
      </w:r>
      <w:r>
        <w:rPr>
          <w:sz w:val="38"/>
        </w:rPr>
        <w:t>1-3 tablespoons silicon gel a day</w:t>
      </w:r>
    </w:p>
    <w:p>
      <w:pPr>
        <w:spacing w:after="0"/>
        <w:jc w:val="both"/>
        <w:rPr>
          <w:sz w:val="38"/>
        </w:rPr>
        <w:sectPr>
          <w:pgSz w:w="14270" w:h="16850"/>
          <w:pgMar w:header="0" w:footer="1891" w:top="1320" w:bottom="2080" w:left="800" w:right="1280"/>
        </w:sectPr>
      </w:pPr>
    </w:p>
    <w:p>
      <w:pPr>
        <w:pStyle w:val="Heading1"/>
        <w:spacing w:before="77"/>
        <w:ind w:left="616"/>
      </w:pPr>
      <w:r>
        <w:rPr/>
        <w:t>Effect of silica (silicon) on colds</w:t>
      </w:r>
    </w:p>
    <w:p>
      <w:pPr>
        <w:pStyle w:val="BodyText"/>
        <w:spacing w:line="276" w:lineRule="auto" w:before="299"/>
        <w:ind w:left="616"/>
      </w:pPr>
      <w:r>
        <w:rPr/>
        <w:t>Silica relieves the irritation of the throat, disinfects the throat and has anti- inflammatory and decongestant properties.</w:t>
      </w:r>
    </w:p>
    <w:p>
      <w:pPr>
        <w:pStyle w:val="BodyText"/>
        <w:spacing w:before="221"/>
        <w:ind w:left="616"/>
      </w:pPr>
      <w:r>
        <w:rPr>
          <w:b/>
          <w:i/>
          <w:sz w:val="40"/>
        </w:rPr>
        <w:t>Application: </w:t>
      </w:r>
      <w:r>
        <w:rPr/>
        <w:t>here, gargling with silicon gel (dilute 1 teaspoon of silicon gel in</w:t>
      </w:r>
    </w:p>
    <w:p>
      <w:pPr>
        <w:pStyle w:val="BodyText"/>
        <w:spacing w:line="278" w:lineRule="auto" w:before="60"/>
        <w:ind w:left="616"/>
      </w:pPr>
      <w:r>
        <w:rPr/>
        <w:t>¼</w:t>
      </w:r>
      <w:r>
        <w:rPr>
          <w:spacing w:val="-16"/>
        </w:rPr>
        <w:t> </w:t>
      </w:r>
      <w:r>
        <w:rPr/>
        <w:t>glass</w:t>
      </w:r>
      <w:r>
        <w:rPr>
          <w:spacing w:val="-13"/>
        </w:rPr>
        <w:t> </w:t>
      </w:r>
      <w:r>
        <w:rPr/>
        <w:t>of</w:t>
      </w:r>
      <w:r>
        <w:rPr>
          <w:spacing w:val="-15"/>
        </w:rPr>
        <w:t> </w:t>
      </w:r>
      <w:r>
        <w:rPr/>
        <w:t>lukewarm</w:t>
      </w:r>
      <w:r>
        <w:rPr>
          <w:spacing w:val="-14"/>
        </w:rPr>
        <w:t> </w:t>
      </w:r>
      <w:r>
        <w:rPr/>
        <w:t>water)</w:t>
      </w:r>
      <w:r>
        <w:rPr>
          <w:spacing w:val="-12"/>
        </w:rPr>
        <w:t> </w:t>
      </w:r>
      <w:r>
        <w:rPr/>
        <w:t>and</w:t>
      </w:r>
      <w:r>
        <w:rPr>
          <w:spacing w:val="-14"/>
        </w:rPr>
        <w:t> </w:t>
      </w:r>
      <w:r>
        <w:rPr/>
        <w:t>then</w:t>
      </w:r>
      <w:r>
        <w:rPr>
          <w:spacing w:val="-14"/>
        </w:rPr>
        <w:t> </w:t>
      </w:r>
      <w:r>
        <w:rPr/>
        <w:t>swallowing</w:t>
      </w:r>
      <w:r>
        <w:rPr>
          <w:spacing w:val="-15"/>
        </w:rPr>
        <w:t> </w:t>
      </w:r>
      <w:r>
        <w:rPr/>
        <w:t>the</w:t>
      </w:r>
      <w:r>
        <w:rPr>
          <w:spacing w:val="-14"/>
        </w:rPr>
        <w:t> </w:t>
      </w:r>
      <w:r>
        <w:rPr/>
        <w:t>mixture</w:t>
      </w:r>
      <w:r>
        <w:rPr>
          <w:spacing w:val="-13"/>
        </w:rPr>
        <w:t> </w:t>
      </w:r>
      <w:r>
        <w:rPr/>
        <w:t>is</w:t>
      </w:r>
      <w:r>
        <w:rPr>
          <w:spacing w:val="-14"/>
        </w:rPr>
        <w:t> </w:t>
      </w:r>
      <w:r>
        <w:rPr/>
        <w:t>recommended. Thus, silicon or silica act both internally and externally.</w:t>
      </w:r>
    </w:p>
    <w:p>
      <w:pPr>
        <w:pStyle w:val="Heading1"/>
        <w:spacing w:before="215"/>
        <w:ind w:left="616"/>
      </w:pPr>
      <w:r>
        <w:rPr/>
        <w:t>Effect of silicon on muscle strain</w:t>
      </w:r>
    </w:p>
    <w:p>
      <w:pPr>
        <w:pStyle w:val="BodyText"/>
        <w:spacing w:line="276" w:lineRule="auto" w:before="299"/>
        <w:ind w:left="616"/>
      </w:pPr>
      <w:r>
        <w:rPr/>
        <w:t>You</w:t>
      </w:r>
      <w:r>
        <w:rPr>
          <w:spacing w:val="-14"/>
        </w:rPr>
        <w:t> </w:t>
      </w:r>
      <w:r>
        <w:rPr/>
        <w:t>can</w:t>
      </w:r>
      <w:r>
        <w:rPr>
          <w:spacing w:val="-14"/>
        </w:rPr>
        <w:t> </w:t>
      </w:r>
      <w:r>
        <w:rPr/>
        <w:t>buy</w:t>
      </w:r>
      <w:r>
        <w:rPr>
          <w:spacing w:val="-12"/>
        </w:rPr>
        <w:t> </w:t>
      </w:r>
      <w:r>
        <w:rPr/>
        <w:t>silicon</w:t>
      </w:r>
      <w:r>
        <w:rPr>
          <w:spacing w:val="-11"/>
        </w:rPr>
        <w:t> </w:t>
      </w:r>
      <w:r>
        <w:rPr/>
        <w:t>gel</w:t>
      </w:r>
      <w:r>
        <w:rPr>
          <w:spacing w:val="-14"/>
        </w:rPr>
        <w:t> </w:t>
      </w:r>
      <w:r>
        <w:rPr/>
        <w:t>pads</w:t>
      </w:r>
      <w:r>
        <w:rPr>
          <w:spacing w:val="-14"/>
        </w:rPr>
        <w:t> </w:t>
      </w:r>
      <w:r>
        <w:rPr/>
        <w:t>to</w:t>
      </w:r>
      <w:r>
        <w:rPr>
          <w:spacing w:val="-14"/>
        </w:rPr>
        <w:t> </w:t>
      </w:r>
      <w:r>
        <w:rPr/>
        <w:t>reduce</w:t>
      </w:r>
      <w:r>
        <w:rPr>
          <w:spacing w:val="-13"/>
        </w:rPr>
        <w:t> </w:t>
      </w:r>
      <w:r>
        <w:rPr/>
        <w:t>swelling.</w:t>
      </w:r>
      <w:r>
        <w:rPr>
          <w:spacing w:val="-11"/>
        </w:rPr>
        <w:t> </w:t>
      </w:r>
      <w:r>
        <w:rPr/>
        <w:t>In</w:t>
      </w:r>
      <w:r>
        <w:rPr>
          <w:spacing w:val="-12"/>
        </w:rPr>
        <w:t> </w:t>
      </w:r>
      <w:r>
        <w:rPr/>
        <w:t>addition,</w:t>
      </w:r>
      <w:r>
        <w:rPr>
          <w:spacing w:val="-12"/>
        </w:rPr>
        <w:t> </w:t>
      </w:r>
      <w:r>
        <w:rPr/>
        <w:t>the</w:t>
      </w:r>
      <w:r>
        <w:rPr>
          <w:spacing w:val="-13"/>
        </w:rPr>
        <w:t> </w:t>
      </w:r>
      <w:r>
        <w:rPr/>
        <w:t>internal</w:t>
      </w:r>
      <w:r>
        <w:rPr>
          <w:spacing w:val="-13"/>
        </w:rPr>
        <w:t> </w:t>
      </w:r>
      <w:r>
        <w:rPr/>
        <w:t>intake of silica promotes the healing</w:t>
      </w:r>
      <w:r>
        <w:rPr>
          <w:spacing w:val="2"/>
        </w:rPr>
        <w:t> </w:t>
      </w:r>
      <w:r>
        <w:rPr/>
        <w:t>process.</w:t>
      </w:r>
    </w:p>
    <w:p>
      <w:pPr>
        <w:pStyle w:val="BodyText"/>
        <w:spacing w:line="273" w:lineRule="auto" w:before="221"/>
        <w:ind w:left="616"/>
      </w:pPr>
      <w:r>
        <w:rPr>
          <w:b/>
          <w:i/>
          <w:sz w:val="40"/>
        </w:rPr>
        <w:t>Application: </w:t>
      </w:r>
      <w:r>
        <w:rPr/>
        <w:t>dilute silicon gel for the pads and take 3 teaspoons of healing clay across the day.</w:t>
      </w:r>
    </w:p>
    <w:p>
      <w:pPr>
        <w:pStyle w:val="Heading1"/>
        <w:ind w:left="616"/>
      </w:pPr>
      <w:r>
        <w:rPr/>
        <w:t>Effect of silicon on sprains</w:t>
      </w:r>
    </w:p>
    <w:p>
      <w:pPr>
        <w:pStyle w:val="BodyText"/>
        <w:spacing w:line="276" w:lineRule="auto" w:before="300"/>
        <w:ind w:left="616"/>
      </w:pPr>
      <w:r>
        <w:rPr/>
        <w:t>Moist silicon pads can reduce swelling in the case of sprains. Here, too, an additional internal intake of silica supports the process.</w:t>
      </w:r>
    </w:p>
    <w:p>
      <w:pPr>
        <w:pStyle w:val="BodyText"/>
        <w:spacing w:line="271" w:lineRule="auto" w:before="223"/>
        <w:ind w:left="616"/>
      </w:pPr>
      <w:r>
        <w:rPr>
          <w:b/>
          <w:i/>
          <w:sz w:val="40"/>
        </w:rPr>
        <w:t>Application:</w:t>
      </w:r>
      <w:r>
        <w:rPr>
          <w:b/>
          <w:i/>
          <w:spacing w:val="-13"/>
          <w:sz w:val="40"/>
        </w:rPr>
        <w:t> </w:t>
      </w:r>
      <w:r>
        <w:rPr/>
        <w:t>silicon</w:t>
      </w:r>
      <w:r>
        <w:rPr>
          <w:spacing w:val="-8"/>
        </w:rPr>
        <w:t> </w:t>
      </w:r>
      <w:r>
        <w:rPr/>
        <w:t>gel</w:t>
      </w:r>
      <w:r>
        <w:rPr>
          <w:spacing w:val="-9"/>
        </w:rPr>
        <w:t> </w:t>
      </w:r>
      <w:r>
        <w:rPr/>
        <w:t>diluted</w:t>
      </w:r>
      <w:r>
        <w:rPr>
          <w:spacing w:val="-8"/>
        </w:rPr>
        <w:t> </w:t>
      </w:r>
      <w:r>
        <w:rPr/>
        <w:t>with</w:t>
      </w:r>
      <w:r>
        <w:rPr>
          <w:spacing w:val="-9"/>
        </w:rPr>
        <w:t> </w:t>
      </w:r>
      <w:r>
        <w:rPr/>
        <w:t>water</w:t>
      </w:r>
      <w:r>
        <w:rPr>
          <w:spacing w:val="-9"/>
        </w:rPr>
        <w:t> </w:t>
      </w:r>
      <w:r>
        <w:rPr/>
        <w:t>in</w:t>
      </w:r>
      <w:r>
        <w:rPr>
          <w:spacing w:val="-9"/>
        </w:rPr>
        <w:t> </w:t>
      </w:r>
      <w:r>
        <w:rPr/>
        <w:t>the</w:t>
      </w:r>
      <w:r>
        <w:rPr>
          <w:spacing w:val="-9"/>
        </w:rPr>
        <w:t> </w:t>
      </w:r>
      <w:r>
        <w:rPr/>
        <w:t>ratio</w:t>
      </w:r>
      <w:r>
        <w:rPr>
          <w:spacing w:val="-10"/>
        </w:rPr>
        <w:t> </w:t>
      </w:r>
      <w:r>
        <w:rPr/>
        <w:t>of</w:t>
      </w:r>
      <w:r>
        <w:rPr>
          <w:spacing w:val="-8"/>
        </w:rPr>
        <w:t> </w:t>
      </w:r>
      <w:r>
        <w:rPr/>
        <w:t>1:4</w:t>
      </w:r>
      <w:r>
        <w:rPr>
          <w:spacing w:val="-9"/>
        </w:rPr>
        <w:t> </w:t>
      </w:r>
      <w:r>
        <w:rPr/>
        <w:t>for</w:t>
      </w:r>
      <w:r>
        <w:rPr>
          <w:spacing w:val="-8"/>
        </w:rPr>
        <w:t> </w:t>
      </w:r>
      <w:r>
        <w:rPr/>
        <w:t>the</w:t>
      </w:r>
      <w:r>
        <w:rPr>
          <w:spacing w:val="-8"/>
        </w:rPr>
        <w:t> </w:t>
      </w:r>
      <w:r>
        <w:rPr/>
        <w:t>pads</w:t>
      </w:r>
      <w:r>
        <w:rPr>
          <w:spacing w:val="-9"/>
        </w:rPr>
        <w:t> </w:t>
      </w:r>
      <w:r>
        <w:rPr/>
        <w:t>and internal intake of 3 teaspoons of healing clay distributed across the</w:t>
      </w:r>
      <w:r>
        <w:rPr>
          <w:spacing w:val="-17"/>
        </w:rPr>
        <w:t> </w:t>
      </w:r>
      <w:r>
        <w:rPr/>
        <w:t>day.</w:t>
      </w:r>
    </w:p>
    <w:p>
      <w:pPr>
        <w:spacing w:after="0" w:line="271" w:lineRule="auto"/>
        <w:sectPr>
          <w:pgSz w:w="14270" w:h="16850"/>
          <w:pgMar w:header="0" w:footer="1891" w:top="1320" w:bottom="2080" w:left="800" w:right="1280"/>
        </w:sectPr>
      </w:pPr>
    </w:p>
    <w:p>
      <w:pPr>
        <w:pStyle w:val="Heading2"/>
        <w:spacing w:before="74"/>
        <w:ind w:left="616"/>
      </w:pPr>
      <w:r>
        <w:rPr/>
        <w:t>Effect of silicon against tendonitis</w:t>
      </w:r>
    </w:p>
    <w:p>
      <w:pPr>
        <w:pStyle w:val="BodyText"/>
        <w:spacing w:line="276" w:lineRule="auto" w:before="305"/>
        <w:ind w:left="616" w:right="142"/>
        <w:jc w:val="both"/>
      </w:pPr>
      <w:r>
        <w:rPr/>
        <w:t>For</w:t>
      </w:r>
      <w:r>
        <w:rPr>
          <w:spacing w:val="-7"/>
        </w:rPr>
        <w:t> </w:t>
      </w:r>
      <w:r>
        <w:rPr/>
        <w:t>tendonitis,</w:t>
      </w:r>
      <w:r>
        <w:rPr>
          <w:spacing w:val="-10"/>
        </w:rPr>
        <w:t> </w:t>
      </w:r>
      <w:r>
        <w:rPr/>
        <w:t>both</w:t>
      </w:r>
      <w:r>
        <w:rPr>
          <w:spacing w:val="-8"/>
        </w:rPr>
        <w:t> </w:t>
      </w:r>
      <w:r>
        <w:rPr/>
        <w:t>external</w:t>
      </w:r>
      <w:r>
        <w:rPr>
          <w:spacing w:val="-9"/>
        </w:rPr>
        <w:t> </w:t>
      </w:r>
      <w:r>
        <w:rPr/>
        <w:t>and</w:t>
      </w:r>
      <w:r>
        <w:rPr>
          <w:spacing w:val="-9"/>
        </w:rPr>
        <w:t> </w:t>
      </w:r>
      <w:r>
        <w:rPr/>
        <w:t>internal</w:t>
      </w:r>
      <w:r>
        <w:rPr>
          <w:spacing w:val="-8"/>
        </w:rPr>
        <w:t> </w:t>
      </w:r>
      <w:r>
        <w:rPr/>
        <w:t>application</w:t>
      </w:r>
      <w:r>
        <w:rPr>
          <w:spacing w:val="-8"/>
        </w:rPr>
        <w:t> </w:t>
      </w:r>
      <w:r>
        <w:rPr/>
        <w:t>is</w:t>
      </w:r>
      <w:r>
        <w:rPr>
          <w:spacing w:val="-8"/>
        </w:rPr>
        <w:t> </w:t>
      </w:r>
      <w:r>
        <w:rPr/>
        <w:t>recommended.</w:t>
      </w:r>
      <w:r>
        <w:rPr>
          <w:spacing w:val="-8"/>
        </w:rPr>
        <w:t> </w:t>
      </w:r>
      <w:r>
        <w:rPr/>
        <w:t>Silicon has an anti-inflammatory effect on the inside as well as on the outside, accel- erating the healing</w:t>
      </w:r>
      <w:r>
        <w:rPr>
          <w:spacing w:val="2"/>
        </w:rPr>
        <w:t> </w:t>
      </w:r>
      <w:r>
        <w:rPr/>
        <w:t>process.</w:t>
      </w:r>
    </w:p>
    <w:p>
      <w:pPr>
        <w:pStyle w:val="BodyText"/>
        <w:spacing w:line="273" w:lineRule="auto" w:before="221"/>
        <w:ind w:left="616" w:right="136"/>
        <w:jc w:val="both"/>
      </w:pPr>
      <w:r>
        <w:rPr>
          <w:b/>
          <w:i/>
          <w:sz w:val="40"/>
        </w:rPr>
        <w:t>Application:</w:t>
      </w:r>
      <w:r>
        <w:rPr>
          <w:b/>
          <w:i/>
          <w:spacing w:val="-18"/>
          <w:sz w:val="40"/>
        </w:rPr>
        <w:t> </w:t>
      </w:r>
      <w:r>
        <w:rPr/>
        <w:t>the</w:t>
      </w:r>
      <w:r>
        <w:rPr>
          <w:spacing w:val="-12"/>
        </w:rPr>
        <w:t> </w:t>
      </w:r>
      <w:r>
        <w:rPr/>
        <w:t>affected</w:t>
      </w:r>
      <w:r>
        <w:rPr>
          <w:spacing w:val="-13"/>
        </w:rPr>
        <w:t> </w:t>
      </w:r>
      <w:r>
        <w:rPr/>
        <w:t>area</w:t>
      </w:r>
      <w:r>
        <w:rPr>
          <w:spacing w:val="-13"/>
        </w:rPr>
        <w:t> </w:t>
      </w:r>
      <w:r>
        <w:rPr/>
        <w:t>is</w:t>
      </w:r>
      <w:r>
        <w:rPr>
          <w:spacing w:val="-13"/>
        </w:rPr>
        <w:t> </w:t>
      </w:r>
      <w:r>
        <w:rPr/>
        <w:t>rubbed</w:t>
      </w:r>
      <w:r>
        <w:rPr>
          <w:spacing w:val="-14"/>
        </w:rPr>
        <w:t> </w:t>
      </w:r>
      <w:r>
        <w:rPr/>
        <w:t>with</w:t>
      </w:r>
      <w:r>
        <w:rPr>
          <w:spacing w:val="-12"/>
        </w:rPr>
        <w:t> </w:t>
      </w:r>
      <w:r>
        <w:rPr/>
        <w:t>silicon</w:t>
      </w:r>
      <w:r>
        <w:rPr>
          <w:spacing w:val="-13"/>
        </w:rPr>
        <w:t> </w:t>
      </w:r>
      <w:r>
        <w:rPr/>
        <w:t>gel</w:t>
      </w:r>
      <w:r>
        <w:rPr>
          <w:spacing w:val="-13"/>
        </w:rPr>
        <w:t> </w:t>
      </w:r>
      <w:r>
        <w:rPr/>
        <w:t>and</w:t>
      </w:r>
      <w:r>
        <w:rPr>
          <w:spacing w:val="-13"/>
        </w:rPr>
        <w:t> </w:t>
      </w:r>
      <w:r>
        <w:rPr/>
        <w:t>supported</w:t>
      </w:r>
      <w:r>
        <w:rPr>
          <w:spacing w:val="-13"/>
        </w:rPr>
        <w:t> </w:t>
      </w:r>
      <w:r>
        <w:rPr/>
        <w:t>with</w:t>
      </w:r>
      <w:r>
        <w:rPr>
          <w:spacing w:val="-13"/>
        </w:rPr>
        <w:t> </w:t>
      </w:r>
      <w:r>
        <w:rPr/>
        <w:t>a stiff dressing. In addition, 3 tablespoons of silicon per day are recommended for oral administration.</w:t>
      </w:r>
    </w:p>
    <w:p>
      <w:pPr>
        <w:pStyle w:val="Heading2"/>
        <w:spacing w:before="246"/>
        <w:ind w:left="616"/>
      </w:pPr>
      <w:r>
        <w:rPr/>
        <w:t>Effect of silicon on night sweats</w:t>
      </w:r>
    </w:p>
    <w:p>
      <w:pPr>
        <w:pStyle w:val="BodyText"/>
        <w:spacing w:line="276" w:lineRule="auto" w:before="305"/>
        <w:ind w:left="616" w:right="143"/>
        <w:jc w:val="both"/>
      </w:pPr>
      <w:r>
        <w:rPr/>
        <w:t>At the same time, people suffering from night sweats suffer from a lack of silicon. This can be prevented by regular use of silicon preparations.</w:t>
      </w:r>
    </w:p>
    <w:p>
      <w:pPr>
        <w:pStyle w:val="BodyText"/>
        <w:spacing w:before="221"/>
        <w:ind w:left="616"/>
      </w:pPr>
      <w:r>
        <w:rPr>
          <w:b/>
          <w:i/>
          <w:sz w:val="40"/>
        </w:rPr>
        <w:t>Application: </w:t>
      </w:r>
      <w:r>
        <w:rPr/>
        <w:t>3 teaspoons of healing clay, silicon gel or silica daily.</w:t>
      </w:r>
    </w:p>
    <w:p>
      <w:pPr>
        <w:pStyle w:val="Heading2"/>
        <w:spacing w:before="299"/>
        <w:ind w:left="616"/>
      </w:pPr>
      <w:r>
        <w:rPr/>
        <w:t>Effect of silicon against allergies</w:t>
      </w:r>
    </w:p>
    <w:p>
      <w:pPr>
        <w:pStyle w:val="BodyText"/>
        <w:spacing w:line="276" w:lineRule="auto" w:before="305"/>
        <w:ind w:left="616" w:right="139"/>
        <w:jc w:val="both"/>
      </w:pPr>
      <w:r>
        <w:rPr/>
        <w:t>Since allergens are often absorbed through the skin and mucous membranes, the firmness and elasticity of the skin, which are associated with the intake of silicon, can successfully defy them.</w:t>
      </w:r>
    </w:p>
    <w:p>
      <w:pPr>
        <w:pStyle w:val="BodyText"/>
        <w:spacing w:line="276" w:lineRule="auto" w:before="239"/>
        <w:ind w:left="616" w:right="135"/>
        <w:jc w:val="both"/>
      </w:pPr>
      <w:r>
        <w:rPr/>
        <w:t>However, allergies are also often due to disrupted intestinal flora which can regenerate silicon. In this case, silicon should be applied both externally and internally.</w:t>
      </w:r>
    </w:p>
    <w:p>
      <w:pPr>
        <w:pStyle w:val="BodyText"/>
        <w:spacing w:line="271" w:lineRule="auto" w:before="224"/>
        <w:ind w:left="616" w:right="135"/>
        <w:jc w:val="both"/>
      </w:pPr>
      <w:r>
        <w:rPr>
          <w:b/>
          <w:i/>
          <w:sz w:val="40"/>
        </w:rPr>
        <w:t>Application:</w:t>
      </w:r>
      <w:r>
        <w:rPr>
          <w:b/>
          <w:i/>
          <w:spacing w:val="-26"/>
          <w:sz w:val="40"/>
        </w:rPr>
        <w:t> </w:t>
      </w:r>
      <w:r>
        <w:rPr/>
        <w:t>apply</w:t>
      </w:r>
      <w:r>
        <w:rPr>
          <w:spacing w:val="-20"/>
        </w:rPr>
        <w:t> </w:t>
      </w:r>
      <w:r>
        <w:rPr/>
        <w:t>undiluted</w:t>
      </w:r>
      <w:r>
        <w:rPr>
          <w:spacing w:val="-20"/>
        </w:rPr>
        <w:t> </w:t>
      </w:r>
      <w:r>
        <w:rPr/>
        <w:t>silicon</w:t>
      </w:r>
      <w:r>
        <w:rPr>
          <w:spacing w:val="-20"/>
        </w:rPr>
        <w:t> </w:t>
      </w:r>
      <w:r>
        <w:rPr/>
        <w:t>gel;</w:t>
      </w:r>
      <w:r>
        <w:rPr>
          <w:spacing w:val="-20"/>
        </w:rPr>
        <w:t> </w:t>
      </w:r>
      <w:r>
        <w:rPr/>
        <w:t>also,</w:t>
      </w:r>
      <w:r>
        <w:rPr>
          <w:spacing w:val="-20"/>
        </w:rPr>
        <w:t> </w:t>
      </w:r>
      <w:r>
        <w:rPr/>
        <w:t>take</w:t>
      </w:r>
      <w:r>
        <w:rPr>
          <w:spacing w:val="-21"/>
        </w:rPr>
        <w:t> </w:t>
      </w:r>
      <w:r>
        <w:rPr/>
        <w:t>1-3</w:t>
      </w:r>
      <w:r>
        <w:rPr>
          <w:spacing w:val="-21"/>
        </w:rPr>
        <w:t> </w:t>
      </w:r>
      <w:r>
        <w:rPr/>
        <w:t>teaspoons</w:t>
      </w:r>
      <w:r>
        <w:rPr>
          <w:spacing w:val="-20"/>
        </w:rPr>
        <w:t> </w:t>
      </w:r>
      <w:r>
        <w:rPr/>
        <w:t>of</w:t>
      </w:r>
      <w:r>
        <w:rPr>
          <w:spacing w:val="-20"/>
        </w:rPr>
        <w:t> </w:t>
      </w:r>
      <w:r>
        <w:rPr/>
        <w:t>silicon</w:t>
      </w:r>
      <w:r>
        <w:rPr>
          <w:spacing w:val="-19"/>
        </w:rPr>
        <w:t> </w:t>
      </w:r>
      <w:r>
        <w:rPr/>
        <w:t>gel in ¼ glass of water, 3 times a</w:t>
      </w:r>
      <w:r>
        <w:rPr>
          <w:spacing w:val="5"/>
        </w:rPr>
        <w:t> </w:t>
      </w:r>
      <w:r>
        <w:rPr/>
        <w:t>day.</w:t>
      </w:r>
    </w:p>
    <w:p>
      <w:pPr>
        <w:spacing w:after="0" w:line="271" w:lineRule="auto"/>
        <w:jc w:val="both"/>
        <w:sectPr>
          <w:pgSz w:w="14270" w:h="16850"/>
          <w:pgMar w:header="0" w:footer="1891" w:top="1340" w:bottom="2080" w:left="800" w:right="1280"/>
        </w:sectPr>
      </w:pPr>
    </w:p>
    <w:p>
      <w:pPr>
        <w:pStyle w:val="Heading2"/>
        <w:spacing w:before="74"/>
        <w:ind w:left="616"/>
      </w:pPr>
      <w:r>
        <w:rPr/>
        <w:t>Effect of silica on burns and sunburn</w:t>
      </w:r>
    </w:p>
    <w:p>
      <w:pPr>
        <w:pStyle w:val="BodyText"/>
        <w:spacing w:line="276" w:lineRule="auto" w:before="305"/>
        <w:ind w:left="616"/>
      </w:pPr>
      <w:r>
        <w:rPr/>
        <w:t>Here, too, silica (silicon) acts in multiple ways, cooling the burn, relieving</w:t>
      </w:r>
      <w:r>
        <w:rPr>
          <w:spacing w:val="-63"/>
        </w:rPr>
        <w:t> </w:t>
      </w:r>
      <w:r>
        <w:rPr/>
        <w:t>pain and any itching, soothing the inflammation and thus accelerating healing.</w:t>
      </w:r>
    </w:p>
    <w:p>
      <w:pPr>
        <w:pStyle w:val="BodyText"/>
        <w:spacing w:line="273" w:lineRule="auto" w:before="221"/>
        <w:ind w:left="616"/>
      </w:pPr>
      <w:r>
        <w:rPr>
          <w:b/>
          <w:i/>
          <w:sz w:val="40"/>
        </w:rPr>
        <w:t>Application: </w:t>
      </w:r>
      <w:r>
        <w:rPr/>
        <w:t>dilute silicon gel with water in a glass in a ratio of 1:4, apply several times a day or moisten a cloth and apply a bandage.</w:t>
      </w:r>
    </w:p>
    <w:p>
      <w:pPr>
        <w:pStyle w:val="Heading2"/>
        <w:spacing w:before="241"/>
        <w:ind w:left="616"/>
      </w:pPr>
      <w:r>
        <w:rPr/>
        <w:t>Effect of silica on migraines and headaches</w:t>
      </w:r>
    </w:p>
    <w:p>
      <w:pPr>
        <w:pStyle w:val="BodyText"/>
        <w:spacing w:line="276" w:lineRule="auto" w:before="305"/>
        <w:ind w:left="616"/>
      </w:pPr>
      <w:r>
        <w:rPr/>
        <w:t>A</w:t>
      </w:r>
      <w:r>
        <w:rPr>
          <w:spacing w:val="-26"/>
        </w:rPr>
        <w:t> </w:t>
      </w:r>
      <w:r>
        <w:rPr/>
        <w:t>throbbing</w:t>
      </w:r>
      <w:r>
        <w:rPr>
          <w:spacing w:val="-25"/>
        </w:rPr>
        <w:t> </w:t>
      </w:r>
      <w:r>
        <w:rPr/>
        <w:t>pain</w:t>
      </w:r>
      <w:r>
        <w:rPr>
          <w:spacing w:val="-25"/>
        </w:rPr>
        <w:t> </w:t>
      </w:r>
      <w:r>
        <w:rPr/>
        <w:t>over</w:t>
      </w:r>
      <w:r>
        <w:rPr>
          <w:spacing w:val="-25"/>
        </w:rPr>
        <w:t> </w:t>
      </w:r>
      <w:r>
        <w:rPr/>
        <w:t>one</w:t>
      </w:r>
      <w:r>
        <w:rPr>
          <w:spacing w:val="-24"/>
        </w:rPr>
        <w:t> </w:t>
      </w:r>
      <w:r>
        <w:rPr/>
        <w:t>eye,</w:t>
      </w:r>
      <w:r>
        <w:rPr>
          <w:spacing w:val="-25"/>
        </w:rPr>
        <w:t> </w:t>
      </w:r>
      <w:r>
        <w:rPr/>
        <w:t>accompanied</w:t>
      </w:r>
      <w:r>
        <w:rPr>
          <w:spacing w:val="-25"/>
        </w:rPr>
        <w:t> </w:t>
      </w:r>
      <w:r>
        <w:rPr/>
        <w:t>by</w:t>
      </w:r>
      <w:r>
        <w:rPr>
          <w:spacing w:val="-26"/>
        </w:rPr>
        <w:t> </w:t>
      </w:r>
      <w:r>
        <w:rPr/>
        <w:t>nausea,</w:t>
      </w:r>
      <w:r>
        <w:rPr>
          <w:spacing w:val="-25"/>
        </w:rPr>
        <w:t> </w:t>
      </w:r>
      <w:r>
        <w:rPr/>
        <w:t>can</w:t>
      </w:r>
      <w:r>
        <w:rPr>
          <w:spacing w:val="-25"/>
        </w:rPr>
        <w:t> </w:t>
      </w:r>
      <w:r>
        <w:rPr/>
        <w:t>often</w:t>
      </w:r>
      <w:r>
        <w:rPr>
          <w:spacing w:val="-25"/>
        </w:rPr>
        <w:t> </w:t>
      </w:r>
      <w:r>
        <w:rPr/>
        <w:t>be</w:t>
      </w:r>
      <w:r>
        <w:rPr>
          <w:spacing w:val="-25"/>
        </w:rPr>
        <w:t> </w:t>
      </w:r>
      <w:r>
        <w:rPr/>
        <w:t>attributed to silicon</w:t>
      </w:r>
      <w:r>
        <w:rPr>
          <w:spacing w:val="2"/>
        </w:rPr>
        <w:t> </w:t>
      </w:r>
      <w:r>
        <w:rPr/>
        <w:t>deficiency.</w:t>
      </w:r>
    </w:p>
    <w:p>
      <w:pPr>
        <w:pStyle w:val="BodyText"/>
        <w:spacing w:before="223"/>
        <w:ind w:left="616"/>
      </w:pPr>
      <w:r>
        <w:rPr>
          <w:b/>
          <w:i/>
          <w:sz w:val="40"/>
        </w:rPr>
        <w:t>Application: </w:t>
      </w:r>
      <w:r>
        <w:rPr/>
        <w:t>take one teaspoon of silica or silicon clay 3 times a</w:t>
      </w:r>
      <w:r>
        <w:rPr>
          <w:spacing w:val="-63"/>
        </w:rPr>
        <w:t> </w:t>
      </w:r>
      <w:r>
        <w:rPr/>
        <w:t>day.</w:t>
      </w:r>
    </w:p>
    <w:p>
      <w:pPr>
        <w:spacing w:after="0"/>
        <w:sectPr>
          <w:pgSz w:w="14270" w:h="16850"/>
          <w:pgMar w:header="0" w:footer="1891" w:top="1340" w:bottom="2080" w:left="800" w:right="1280"/>
        </w:sectPr>
      </w:pPr>
    </w:p>
    <w:p>
      <w:pPr>
        <w:pStyle w:val="Heading2"/>
        <w:spacing w:before="74"/>
        <w:ind w:left="616"/>
      </w:pPr>
      <w:r>
        <w:rPr/>
        <w:t>Effect on arthrosis and arthritis</w:t>
      </w:r>
    </w:p>
    <w:p>
      <w:pPr>
        <w:pStyle w:val="BodyText"/>
        <w:spacing w:line="276" w:lineRule="auto" w:before="305"/>
        <w:ind w:left="616"/>
      </w:pPr>
      <w:r>
        <w:rPr/>
        <w:t>Silicon has an anti-inflammatory effect on the joint; it enhances the ability of the hyaline cartilage to bind water and increases its elasticity.</w:t>
      </w:r>
    </w:p>
    <w:p>
      <w:pPr>
        <w:pStyle w:val="BodyText"/>
        <w:spacing w:line="276" w:lineRule="auto" w:before="238"/>
        <w:ind w:left="616" w:right="133"/>
        <w:jc w:val="both"/>
      </w:pPr>
      <w:r>
        <w:rPr/>
        <w:t>The connective tissue is strengthened, the cartilage can even partially regener- ate, because the chondrocytes (cells in the joint capsule), which constantly re- generate the degraded cartilage in the joint throughout your life, increase their activity by 243 % in the presence of silicon! This quickly results in significant pain reduction and increased mobility.</w:t>
      </w:r>
    </w:p>
    <w:p>
      <w:pPr>
        <w:pStyle w:val="BodyText"/>
        <w:spacing w:line="276" w:lineRule="auto" w:before="243"/>
        <w:ind w:left="616"/>
      </w:pPr>
      <w:r>
        <w:rPr/>
        <w:t>Silicon</w:t>
      </w:r>
      <w:r>
        <w:rPr>
          <w:spacing w:val="-17"/>
        </w:rPr>
        <w:t> </w:t>
      </w:r>
      <w:r>
        <w:rPr/>
        <w:t>therefore</w:t>
      </w:r>
      <w:r>
        <w:rPr>
          <w:spacing w:val="-19"/>
        </w:rPr>
        <w:t> </w:t>
      </w:r>
      <w:r>
        <w:rPr/>
        <w:t>has</w:t>
      </w:r>
      <w:r>
        <w:rPr>
          <w:spacing w:val="-19"/>
        </w:rPr>
        <w:t> </w:t>
      </w:r>
      <w:r>
        <w:rPr/>
        <w:t>a</w:t>
      </w:r>
      <w:r>
        <w:rPr>
          <w:spacing w:val="-19"/>
        </w:rPr>
        <w:t> </w:t>
      </w:r>
      <w:r>
        <w:rPr/>
        <w:t>positive</w:t>
      </w:r>
      <w:r>
        <w:rPr>
          <w:spacing w:val="-18"/>
        </w:rPr>
        <w:t> </w:t>
      </w:r>
      <w:r>
        <w:rPr/>
        <w:t>influence</w:t>
      </w:r>
      <w:r>
        <w:rPr>
          <w:spacing w:val="-18"/>
        </w:rPr>
        <w:t> </w:t>
      </w:r>
      <w:r>
        <w:rPr/>
        <w:t>on</w:t>
      </w:r>
      <w:r>
        <w:rPr>
          <w:spacing w:val="-17"/>
        </w:rPr>
        <w:t> </w:t>
      </w:r>
      <w:r>
        <w:rPr/>
        <w:t>the</w:t>
      </w:r>
      <w:r>
        <w:rPr>
          <w:spacing w:val="-20"/>
        </w:rPr>
        <w:t> </w:t>
      </w:r>
      <w:r>
        <w:rPr/>
        <w:t>structural</w:t>
      </w:r>
      <w:r>
        <w:rPr>
          <w:spacing w:val="-18"/>
        </w:rPr>
        <w:t> </w:t>
      </w:r>
      <w:r>
        <w:rPr/>
        <w:t>strength</w:t>
      </w:r>
      <w:r>
        <w:rPr>
          <w:spacing w:val="-17"/>
        </w:rPr>
        <w:t> </w:t>
      </w:r>
      <w:r>
        <w:rPr/>
        <w:t>of</w:t>
      </w:r>
      <w:r>
        <w:rPr>
          <w:spacing w:val="-21"/>
        </w:rPr>
        <w:t> </w:t>
      </w:r>
      <w:r>
        <w:rPr/>
        <w:t>collagen- ous cartilage and its</w:t>
      </w:r>
      <w:r>
        <w:rPr>
          <w:spacing w:val="3"/>
        </w:rPr>
        <w:t> </w:t>
      </w:r>
      <w:r>
        <w:rPr/>
        <w:t>metabolism.</w:t>
      </w:r>
    </w:p>
    <w:p>
      <w:pPr>
        <w:spacing w:before="221"/>
        <w:ind w:left="616" w:right="0" w:firstLine="0"/>
        <w:jc w:val="left"/>
        <w:rPr>
          <w:sz w:val="38"/>
        </w:rPr>
      </w:pPr>
      <w:r>
        <w:rPr>
          <w:b/>
          <w:i/>
          <w:sz w:val="40"/>
        </w:rPr>
        <w:t>Application: </w:t>
      </w:r>
      <w:r>
        <w:rPr>
          <w:sz w:val="38"/>
        </w:rPr>
        <w:t>dilute 1-3 tablespoons silicon gel in water daily.</w:t>
      </w:r>
    </w:p>
    <w:p>
      <w:pPr>
        <w:pStyle w:val="Heading1"/>
        <w:spacing w:before="282"/>
        <w:ind w:left="616"/>
      </w:pPr>
      <w:r>
        <w:rPr/>
        <w:t>Effect of silicon on gum</w:t>
      </w:r>
      <w:r>
        <w:rPr>
          <w:spacing w:val="-56"/>
        </w:rPr>
        <w:t> </w:t>
      </w:r>
      <w:r>
        <w:rPr/>
        <w:t>inflammation</w:t>
      </w:r>
    </w:p>
    <w:p>
      <w:pPr>
        <w:pStyle w:val="BodyText"/>
        <w:spacing w:line="276" w:lineRule="auto" w:before="299"/>
        <w:ind w:left="616"/>
      </w:pPr>
      <w:r>
        <w:rPr/>
        <w:t>Gum</w:t>
      </w:r>
      <w:r>
        <w:rPr>
          <w:spacing w:val="-19"/>
        </w:rPr>
        <w:t> </w:t>
      </w:r>
      <w:r>
        <w:rPr/>
        <w:t>inflammation</w:t>
      </w:r>
      <w:r>
        <w:rPr>
          <w:spacing w:val="-16"/>
        </w:rPr>
        <w:t> </w:t>
      </w:r>
      <w:r>
        <w:rPr/>
        <w:t>is</w:t>
      </w:r>
      <w:r>
        <w:rPr>
          <w:spacing w:val="-19"/>
        </w:rPr>
        <w:t> </w:t>
      </w:r>
      <w:r>
        <w:rPr/>
        <w:t>caused</w:t>
      </w:r>
      <w:r>
        <w:rPr>
          <w:spacing w:val="-18"/>
        </w:rPr>
        <w:t> </w:t>
      </w:r>
      <w:r>
        <w:rPr/>
        <w:t>by</w:t>
      </w:r>
      <w:r>
        <w:rPr>
          <w:spacing w:val="-19"/>
        </w:rPr>
        <w:t> </w:t>
      </w:r>
      <w:r>
        <w:rPr/>
        <w:t>tartar,</w:t>
      </w:r>
      <w:r>
        <w:rPr>
          <w:spacing w:val="-18"/>
        </w:rPr>
        <w:t> </w:t>
      </w:r>
      <w:r>
        <w:rPr/>
        <w:t>impurities</w:t>
      </w:r>
      <w:r>
        <w:rPr>
          <w:spacing w:val="-16"/>
        </w:rPr>
        <w:t> </w:t>
      </w:r>
      <w:r>
        <w:rPr/>
        <w:t>in</w:t>
      </w:r>
      <w:r>
        <w:rPr>
          <w:spacing w:val="-18"/>
        </w:rPr>
        <w:t> </w:t>
      </w:r>
      <w:r>
        <w:rPr/>
        <w:t>dentures</w:t>
      </w:r>
      <w:r>
        <w:rPr>
          <w:spacing w:val="-18"/>
        </w:rPr>
        <w:t> </w:t>
      </w:r>
      <w:r>
        <w:rPr/>
        <w:t>and</w:t>
      </w:r>
      <w:r>
        <w:rPr>
          <w:spacing w:val="-19"/>
        </w:rPr>
        <w:t> </w:t>
      </w:r>
      <w:r>
        <w:rPr/>
        <w:t>poorly</w:t>
      </w:r>
      <w:r>
        <w:rPr>
          <w:spacing w:val="-20"/>
        </w:rPr>
        <w:t> </w:t>
      </w:r>
      <w:r>
        <w:rPr/>
        <w:t>fitting fillings and</w:t>
      </w:r>
      <w:r>
        <w:rPr>
          <w:spacing w:val="2"/>
        </w:rPr>
        <w:t> </w:t>
      </w:r>
      <w:r>
        <w:rPr/>
        <w:t>crowns.</w:t>
      </w:r>
    </w:p>
    <w:p>
      <w:pPr>
        <w:pStyle w:val="BodyText"/>
        <w:spacing w:line="276" w:lineRule="auto" w:before="241"/>
        <w:ind w:left="616" w:right="139"/>
        <w:jc w:val="both"/>
      </w:pPr>
      <w:r>
        <w:rPr/>
        <w:t>Silicone gel mouthwashes can help relieve inflammation, reduce swelling and can stop bleeding gums. Toothpastes which contain silicon are highly recom- mended.</w:t>
      </w:r>
    </w:p>
    <w:p>
      <w:pPr>
        <w:pStyle w:val="BodyText"/>
        <w:spacing w:line="273" w:lineRule="auto" w:before="222"/>
        <w:ind w:left="616" w:right="51"/>
      </w:pPr>
      <w:r>
        <w:rPr>
          <w:b/>
          <w:i/>
          <w:sz w:val="40"/>
        </w:rPr>
        <w:t>Application: </w:t>
      </w:r>
      <w:r>
        <w:rPr/>
        <w:t>dilute 1 teaspoon of silicon gel in ¼ glass of water and rinse for at least one minute 3 times a day.</w:t>
      </w:r>
    </w:p>
    <w:p>
      <w:pPr>
        <w:pStyle w:val="Heading2"/>
        <w:spacing w:before="241"/>
        <w:ind w:left="616"/>
        <w:jc w:val="both"/>
      </w:pPr>
      <w:r>
        <w:rPr/>
        <w:t>Effect of silicon/silica on caries and tooth enamel problems</w:t>
      </w:r>
    </w:p>
    <w:p>
      <w:pPr>
        <w:spacing w:after="0"/>
        <w:jc w:val="both"/>
        <w:sectPr>
          <w:pgSz w:w="14270" w:h="16850"/>
          <w:pgMar w:header="0" w:footer="1891" w:top="1340" w:bottom="2080" w:left="800" w:right="1280"/>
        </w:sectPr>
      </w:pPr>
    </w:p>
    <w:p>
      <w:pPr>
        <w:pStyle w:val="BodyText"/>
        <w:spacing w:line="276" w:lineRule="auto" w:before="74"/>
        <w:ind w:left="616" w:right="138"/>
        <w:jc w:val="both"/>
      </w:pPr>
      <w:r>
        <w:rPr/>
        <w:t>As we know, teeth are made of calcium. Since silicon supports the incorpora- tion of calcium, regular use can counteract caries and enamel degeneration.</w:t>
      </w:r>
    </w:p>
    <w:p>
      <w:pPr>
        <w:spacing w:before="221"/>
        <w:ind w:left="616" w:right="0" w:firstLine="0"/>
        <w:jc w:val="left"/>
        <w:rPr>
          <w:sz w:val="38"/>
        </w:rPr>
      </w:pPr>
      <w:r>
        <w:rPr>
          <w:b/>
          <w:i/>
          <w:sz w:val="40"/>
        </w:rPr>
        <w:t>Application: </w:t>
      </w:r>
      <w:r>
        <w:rPr>
          <w:sz w:val="38"/>
        </w:rPr>
        <w:t>take 3 tablespoons of silicon a day.</w:t>
      </w:r>
    </w:p>
    <w:p>
      <w:pPr>
        <w:pStyle w:val="Heading2"/>
        <w:spacing w:before="300"/>
        <w:ind w:left="616"/>
      </w:pPr>
      <w:r>
        <w:rPr/>
        <w:t>Action against osteoporosis and bone loss</w:t>
      </w:r>
    </w:p>
    <w:p>
      <w:pPr>
        <w:pStyle w:val="BodyText"/>
        <w:spacing w:line="276" w:lineRule="auto" w:before="304"/>
        <w:ind w:left="616" w:right="135"/>
        <w:jc w:val="both"/>
      </w:pPr>
      <w:r>
        <w:rPr/>
        <w:t>As</w:t>
      </w:r>
      <w:r>
        <w:rPr>
          <w:spacing w:val="-12"/>
        </w:rPr>
        <w:t> </w:t>
      </w:r>
      <w:r>
        <w:rPr/>
        <w:t>we</w:t>
      </w:r>
      <w:r>
        <w:rPr>
          <w:spacing w:val="-12"/>
        </w:rPr>
        <w:t> </w:t>
      </w:r>
      <w:r>
        <w:rPr/>
        <w:t>know,</w:t>
      </w:r>
      <w:r>
        <w:rPr>
          <w:spacing w:val="-12"/>
        </w:rPr>
        <w:t> </w:t>
      </w:r>
      <w:r>
        <w:rPr/>
        <w:t>osteoporosis,</w:t>
      </w:r>
      <w:r>
        <w:rPr>
          <w:spacing w:val="-11"/>
        </w:rPr>
        <w:t> </w:t>
      </w:r>
      <w:r>
        <w:rPr/>
        <w:t>or</w:t>
      </w:r>
      <w:r>
        <w:rPr>
          <w:spacing w:val="-14"/>
        </w:rPr>
        <w:t> </w:t>
      </w:r>
      <w:r>
        <w:rPr/>
        <w:t>bone</w:t>
      </w:r>
      <w:r>
        <w:rPr>
          <w:spacing w:val="-11"/>
        </w:rPr>
        <w:t> </w:t>
      </w:r>
      <w:r>
        <w:rPr/>
        <w:t>loss,</w:t>
      </w:r>
      <w:r>
        <w:rPr>
          <w:spacing w:val="-13"/>
        </w:rPr>
        <w:t> </w:t>
      </w:r>
      <w:r>
        <w:rPr/>
        <w:t>is</w:t>
      </w:r>
      <w:r>
        <w:rPr>
          <w:spacing w:val="-12"/>
        </w:rPr>
        <w:t> </w:t>
      </w:r>
      <w:r>
        <w:rPr/>
        <w:t>associated</w:t>
      </w:r>
      <w:r>
        <w:rPr>
          <w:spacing w:val="-13"/>
        </w:rPr>
        <w:t> </w:t>
      </w:r>
      <w:r>
        <w:rPr/>
        <w:t>with</w:t>
      </w:r>
      <w:r>
        <w:rPr>
          <w:spacing w:val="-12"/>
        </w:rPr>
        <w:t> </w:t>
      </w:r>
      <w:r>
        <w:rPr/>
        <w:t>calcium</w:t>
      </w:r>
      <w:r>
        <w:rPr>
          <w:spacing w:val="-12"/>
        </w:rPr>
        <w:t> </w:t>
      </w:r>
      <w:r>
        <w:rPr/>
        <w:t>breakdown in the bone. Additional calcium intake is therefore recommended. Silicon has the useful property of storing calcium more efficiently in bone tissue as a </w:t>
      </w:r>
      <w:r>
        <w:rPr>
          <w:spacing w:val="3"/>
        </w:rPr>
        <w:t>so- </w:t>
      </w:r>
      <w:r>
        <w:rPr/>
        <w:t>called 'calcium trafficker'. Furthermore, the synthesis of the bone matrix is stimulated, which further improves bone</w:t>
      </w:r>
      <w:r>
        <w:rPr>
          <w:spacing w:val="3"/>
        </w:rPr>
        <w:t> </w:t>
      </w:r>
      <w:r>
        <w:rPr/>
        <w:t>compaction.</w:t>
      </w:r>
    </w:p>
    <w:p>
      <w:pPr>
        <w:spacing w:before="223"/>
        <w:ind w:left="616" w:right="0" w:firstLine="0"/>
        <w:jc w:val="left"/>
        <w:rPr>
          <w:sz w:val="38"/>
        </w:rPr>
      </w:pPr>
      <w:r>
        <w:rPr>
          <w:b/>
          <w:i/>
          <w:sz w:val="40"/>
        </w:rPr>
        <w:t>Application: </w:t>
      </w:r>
      <w:r>
        <w:rPr>
          <w:sz w:val="38"/>
        </w:rPr>
        <w:t>one teaspoon of silicon 3 times a day.</w:t>
      </w:r>
    </w:p>
    <w:p>
      <w:pPr>
        <w:pStyle w:val="Heading1"/>
        <w:spacing w:before="282"/>
        <w:ind w:left="616"/>
      </w:pPr>
      <w:r>
        <w:rPr/>
        <w:t>Effect of silicon on cancer</w:t>
      </w:r>
    </w:p>
    <w:p>
      <w:pPr>
        <w:pStyle w:val="BodyText"/>
        <w:spacing w:line="276" w:lineRule="auto" w:before="299"/>
        <w:ind w:left="616" w:right="135"/>
        <w:jc w:val="both"/>
      </w:pPr>
      <w:r>
        <w:rPr/>
        <w:t>The</w:t>
      </w:r>
      <w:r>
        <w:rPr>
          <w:spacing w:val="-23"/>
        </w:rPr>
        <w:t> </w:t>
      </w:r>
      <w:r>
        <w:rPr/>
        <w:t>stimulation</w:t>
      </w:r>
      <w:r>
        <w:rPr>
          <w:spacing w:val="-22"/>
        </w:rPr>
        <w:t> </w:t>
      </w:r>
      <w:r>
        <w:rPr/>
        <w:t>of</w:t>
      </w:r>
      <w:r>
        <w:rPr>
          <w:spacing w:val="-22"/>
        </w:rPr>
        <w:t> </w:t>
      </w:r>
      <w:r>
        <w:rPr/>
        <w:t>phagocyte</w:t>
      </w:r>
      <w:r>
        <w:rPr>
          <w:spacing w:val="-25"/>
        </w:rPr>
        <w:t> </w:t>
      </w:r>
      <w:r>
        <w:rPr/>
        <w:t>production</w:t>
      </w:r>
      <w:r>
        <w:rPr>
          <w:spacing w:val="-22"/>
        </w:rPr>
        <w:t> </w:t>
      </w:r>
      <w:r>
        <w:rPr/>
        <w:t>and</w:t>
      </w:r>
      <w:r>
        <w:rPr>
          <w:spacing w:val="-22"/>
        </w:rPr>
        <w:t> </w:t>
      </w:r>
      <w:r>
        <w:rPr/>
        <w:t>the</w:t>
      </w:r>
      <w:r>
        <w:rPr>
          <w:spacing w:val="-22"/>
        </w:rPr>
        <w:t> </w:t>
      </w:r>
      <w:r>
        <w:rPr/>
        <w:t>development</w:t>
      </w:r>
      <w:r>
        <w:rPr>
          <w:spacing w:val="-24"/>
        </w:rPr>
        <w:t> </w:t>
      </w:r>
      <w:r>
        <w:rPr/>
        <w:t>of</w:t>
      </w:r>
      <w:r>
        <w:rPr>
          <w:spacing w:val="-23"/>
        </w:rPr>
        <w:t> </w:t>
      </w:r>
      <w:r>
        <w:rPr/>
        <w:t>lymphocytes makes silicon a valuable weapon in the fight against cancer. Silicon repairs the cell protein by re-enabling the synthesis of normal protein bodies, and it has the ability to normalise the dissolution of cell walls caused by carcinogens. Thus, silicon has the ability to regenerate a damaged or denatured protein through structural re-incorporation.</w:t>
      </w:r>
    </w:p>
    <w:p>
      <w:pPr>
        <w:pStyle w:val="BodyText"/>
        <w:spacing w:line="276" w:lineRule="auto" w:before="240"/>
        <w:ind w:left="616" w:right="136"/>
        <w:jc w:val="both"/>
      </w:pPr>
      <w:r>
        <w:rPr/>
        <w:t>It also strengthens the immune system by strengthening the defence cells and also</w:t>
      </w:r>
      <w:r>
        <w:rPr>
          <w:spacing w:val="-16"/>
        </w:rPr>
        <w:t> </w:t>
      </w:r>
      <w:r>
        <w:rPr/>
        <w:t>binds</w:t>
      </w:r>
      <w:r>
        <w:rPr>
          <w:spacing w:val="-17"/>
        </w:rPr>
        <w:t> </w:t>
      </w:r>
      <w:r>
        <w:rPr/>
        <w:t>pollutants</w:t>
      </w:r>
      <w:r>
        <w:rPr>
          <w:spacing w:val="-14"/>
        </w:rPr>
        <w:t> </w:t>
      </w:r>
      <w:r>
        <w:rPr/>
        <w:t>that</w:t>
      </w:r>
      <w:r>
        <w:rPr>
          <w:spacing w:val="-15"/>
        </w:rPr>
        <w:t> </w:t>
      </w:r>
      <w:r>
        <w:rPr/>
        <w:t>may</w:t>
      </w:r>
      <w:r>
        <w:rPr>
          <w:spacing w:val="-17"/>
        </w:rPr>
        <w:t> </w:t>
      </w:r>
      <w:r>
        <w:rPr/>
        <w:t>be</w:t>
      </w:r>
      <w:r>
        <w:rPr>
          <w:spacing w:val="-19"/>
        </w:rPr>
        <w:t> </w:t>
      </w:r>
      <w:r>
        <w:rPr/>
        <w:t>carcinogenic.</w:t>
      </w:r>
      <w:r>
        <w:rPr>
          <w:spacing w:val="-15"/>
        </w:rPr>
        <w:t> </w:t>
      </w:r>
      <w:r>
        <w:rPr/>
        <w:t>Many</w:t>
      </w:r>
      <w:r>
        <w:rPr>
          <w:spacing w:val="-15"/>
        </w:rPr>
        <w:t> </w:t>
      </w:r>
      <w:r>
        <w:rPr/>
        <w:t>cancer</w:t>
      </w:r>
      <w:r>
        <w:rPr>
          <w:spacing w:val="-17"/>
        </w:rPr>
        <w:t> </w:t>
      </w:r>
      <w:r>
        <w:rPr/>
        <w:t>researchers</w:t>
      </w:r>
      <w:r>
        <w:rPr>
          <w:spacing w:val="-16"/>
        </w:rPr>
        <w:t> </w:t>
      </w:r>
      <w:r>
        <w:rPr/>
        <w:t>report successful treatment of carcinomas and sarcomas with silicon, including Lé- riche and</w:t>
      </w:r>
      <w:r>
        <w:rPr>
          <w:spacing w:val="1"/>
        </w:rPr>
        <w:t> </w:t>
      </w:r>
      <w:r>
        <w:rPr/>
        <w:t>Boncour:</w:t>
      </w:r>
    </w:p>
    <w:p>
      <w:pPr>
        <w:spacing w:after="0" w:line="276" w:lineRule="auto"/>
        <w:jc w:val="both"/>
        <w:sectPr>
          <w:pgSz w:w="14270" w:h="16850"/>
          <w:pgMar w:header="0" w:footer="1891" w:top="1340" w:bottom="2080" w:left="800" w:right="1280"/>
        </w:sectPr>
      </w:pPr>
    </w:p>
    <w:p>
      <w:pPr>
        <w:spacing w:line="276" w:lineRule="auto" w:before="72"/>
        <w:ind w:left="616" w:right="131" w:firstLine="0"/>
        <w:jc w:val="both"/>
        <w:rPr>
          <w:i/>
          <w:sz w:val="25"/>
        </w:rPr>
      </w:pPr>
      <w:r>
        <w:rPr>
          <w:i/>
          <w:sz w:val="38"/>
        </w:rPr>
        <w:t>'In our experience, silicon is one of the great basic drugs in the fight against cancer</w:t>
      </w:r>
      <w:r>
        <w:rPr>
          <w:sz w:val="38"/>
        </w:rPr>
        <w:t>. </w:t>
      </w:r>
      <w:r>
        <w:rPr>
          <w:i/>
          <w:sz w:val="38"/>
        </w:rPr>
        <w:t>It is </w:t>
      </w:r>
      <w:r>
        <w:rPr>
          <w:i/>
          <w:sz w:val="38"/>
        </w:rPr>
        <w:t>important</w:t>
      </w:r>
      <w:r>
        <w:rPr>
          <w:i/>
          <w:spacing w:val="-14"/>
          <w:sz w:val="38"/>
        </w:rPr>
        <w:t> </w:t>
      </w:r>
      <w:r>
        <w:rPr>
          <w:i/>
          <w:sz w:val="38"/>
        </w:rPr>
        <w:t>for</w:t>
      </w:r>
      <w:r>
        <w:rPr>
          <w:i/>
          <w:spacing w:val="-13"/>
          <w:sz w:val="38"/>
        </w:rPr>
        <w:t> </w:t>
      </w:r>
      <w:r>
        <w:rPr>
          <w:i/>
          <w:sz w:val="38"/>
        </w:rPr>
        <w:t>change</w:t>
      </w:r>
      <w:r>
        <w:rPr>
          <w:i/>
          <w:spacing w:val="-14"/>
          <w:sz w:val="38"/>
        </w:rPr>
        <w:t> </w:t>
      </w:r>
      <w:r>
        <w:rPr>
          <w:i/>
          <w:sz w:val="38"/>
        </w:rPr>
        <w:t>processes.</w:t>
      </w:r>
      <w:r>
        <w:rPr>
          <w:i/>
          <w:spacing w:val="-14"/>
          <w:sz w:val="38"/>
        </w:rPr>
        <w:t> </w:t>
      </w:r>
      <w:r>
        <w:rPr>
          <w:i/>
          <w:sz w:val="38"/>
        </w:rPr>
        <w:t>It</w:t>
      </w:r>
      <w:r>
        <w:rPr>
          <w:i/>
          <w:spacing w:val="-13"/>
          <w:sz w:val="38"/>
        </w:rPr>
        <w:t> </w:t>
      </w:r>
      <w:r>
        <w:rPr>
          <w:i/>
          <w:sz w:val="38"/>
        </w:rPr>
        <w:t>is</w:t>
      </w:r>
      <w:r>
        <w:rPr>
          <w:i/>
          <w:spacing w:val="-15"/>
          <w:sz w:val="38"/>
        </w:rPr>
        <w:t> </w:t>
      </w:r>
      <w:r>
        <w:rPr>
          <w:i/>
          <w:sz w:val="38"/>
        </w:rPr>
        <w:t>indispensable</w:t>
      </w:r>
      <w:r>
        <w:rPr>
          <w:i/>
          <w:spacing w:val="-15"/>
          <w:sz w:val="38"/>
        </w:rPr>
        <w:t> </w:t>
      </w:r>
      <w:r>
        <w:rPr>
          <w:i/>
          <w:sz w:val="38"/>
        </w:rPr>
        <w:t>for</w:t>
      </w:r>
      <w:r>
        <w:rPr>
          <w:i/>
          <w:spacing w:val="-13"/>
          <w:sz w:val="38"/>
        </w:rPr>
        <w:t> </w:t>
      </w:r>
      <w:r>
        <w:rPr>
          <w:i/>
          <w:sz w:val="38"/>
        </w:rPr>
        <w:t>anyone</w:t>
      </w:r>
      <w:r>
        <w:rPr>
          <w:i/>
          <w:spacing w:val="-15"/>
          <w:sz w:val="38"/>
        </w:rPr>
        <w:t> </w:t>
      </w:r>
      <w:r>
        <w:rPr>
          <w:i/>
          <w:sz w:val="38"/>
        </w:rPr>
        <w:t>with</w:t>
      </w:r>
      <w:r>
        <w:rPr>
          <w:i/>
          <w:spacing w:val="-14"/>
          <w:sz w:val="38"/>
        </w:rPr>
        <w:t> </w:t>
      </w:r>
      <w:r>
        <w:rPr>
          <w:i/>
          <w:sz w:val="38"/>
        </w:rPr>
        <w:t>cancer,</w:t>
      </w:r>
      <w:r>
        <w:rPr>
          <w:i/>
          <w:spacing w:val="-13"/>
          <w:sz w:val="38"/>
        </w:rPr>
        <w:t> </w:t>
      </w:r>
      <w:r>
        <w:rPr>
          <w:i/>
          <w:sz w:val="38"/>
        </w:rPr>
        <w:t>because</w:t>
      </w:r>
      <w:r>
        <w:rPr>
          <w:i/>
          <w:spacing w:val="-15"/>
          <w:sz w:val="38"/>
        </w:rPr>
        <w:t> </w:t>
      </w:r>
      <w:r>
        <w:rPr>
          <w:i/>
          <w:sz w:val="38"/>
        </w:rPr>
        <w:t>it</w:t>
      </w:r>
      <w:r>
        <w:rPr>
          <w:i/>
          <w:spacing w:val="-14"/>
          <w:sz w:val="38"/>
        </w:rPr>
        <w:t> </w:t>
      </w:r>
      <w:r>
        <w:rPr>
          <w:i/>
          <w:sz w:val="38"/>
        </w:rPr>
        <w:t>is</w:t>
      </w:r>
      <w:r>
        <w:rPr>
          <w:i/>
          <w:spacing w:val="-15"/>
          <w:sz w:val="38"/>
        </w:rPr>
        <w:t> </w:t>
      </w:r>
      <w:r>
        <w:rPr>
          <w:i/>
          <w:sz w:val="38"/>
        </w:rPr>
        <w:t>always lacking in the ageing organism'.</w:t>
      </w:r>
      <w:r>
        <w:rPr>
          <w:i/>
          <w:position w:val="9"/>
          <w:sz w:val="25"/>
        </w:rPr>
        <w:t>846</w:t>
      </w:r>
    </w:p>
    <w:p>
      <w:pPr>
        <w:pStyle w:val="BodyText"/>
        <w:spacing w:line="276" w:lineRule="auto" w:before="241"/>
        <w:ind w:left="616" w:right="133"/>
        <w:jc w:val="both"/>
      </w:pPr>
      <w:r>
        <w:rPr/>
        <w:t>In</w:t>
      </w:r>
      <w:r>
        <w:rPr>
          <w:spacing w:val="-7"/>
        </w:rPr>
        <w:t> </w:t>
      </w:r>
      <w:r>
        <w:rPr/>
        <w:t>this</w:t>
      </w:r>
      <w:r>
        <w:rPr>
          <w:spacing w:val="-6"/>
        </w:rPr>
        <w:t> </w:t>
      </w:r>
      <w:r>
        <w:rPr/>
        <w:t>context,</w:t>
      </w:r>
      <w:r>
        <w:rPr>
          <w:spacing w:val="-9"/>
        </w:rPr>
        <w:t> </w:t>
      </w:r>
      <w:r>
        <w:rPr/>
        <w:t>Klaus</w:t>
      </w:r>
      <w:r>
        <w:rPr>
          <w:spacing w:val="-7"/>
        </w:rPr>
        <w:t> </w:t>
      </w:r>
      <w:r>
        <w:rPr/>
        <w:t>Kaufmann,</w:t>
      </w:r>
      <w:r>
        <w:rPr>
          <w:spacing w:val="-6"/>
        </w:rPr>
        <w:t> </w:t>
      </w:r>
      <w:r>
        <w:rPr/>
        <w:t>the</w:t>
      </w:r>
      <w:r>
        <w:rPr>
          <w:spacing w:val="-9"/>
        </w:rPr>
        <w:t> </w:t>
      </w:r>
      <w:r>
        <w:rPr/>
        <w:t>author</w:t>
      </w:r>
      <w:r>
        <w:rPr>
          <w:spacing w:val="-7"/>
        </w:rPr>
        <w:t> </w:t>
      </w:r>
      <w:r>
        <w:rPr/>
        <w:t>of</w:t>
      </w:r>
      <w:r>
        <w:rPr>
          <w:spacing w:val="-11"/>
        </w:rPr>
        <w:t> </w:t>
      </w:r>
      <w:r>
        <w:rPr/>
        <w:t>the</w:t>
      </w:r>
      <w:r>
        <w:rPr>
          <w:spacing w:val="-7"/>
        </w:rPr>
        <w:t> </w:t>
      </w:r>
      <w:r>
        <w:rPr/>
        <w:t>book</w:t>
      </w:r>
      <w:r>
        <w:rPr>
          <w:spacing w:val="-9"/>
        </w:rPr>
        <w:t> </w:t>
      </w:r>
      <w:r>
        <w:rPr/>
        <w:t>'Silicon</w:t>
      </w:r>
      <w:r>
        <w:rPr>
          <w:spacing w:val="-4"/>
        </w:rPr>
        <w:t> </w:t>
      </w:r>
      <w:r>
        <w:rPr/>
        <w:t>–</w:t>
      </w:r>
      <w:r>
        <w:rPr>
          <w:spacing w:val="-7"/>
        </w:rPr>
        <w:t> </w:t>
      </w:r>
      <w:r>
        <w:rPr/>
        <w:t>Healing</w:t>
      </w:r>
      <w:r>
        <w:rPr>
          <w:spacing w:val="-6"/>
        </w:rPr>
        <w:t> </w:t>
      </w:r>
      <w:r>
        <w:rPr/>
        <w:t>by Original Substance' mentioned the amazing fact that the Daun region has the lowest cancer rate in Western Europe. Here, he sees a connection with the Dunaris</w:t>
      </w:r>
      <w:r>
        <w:rPr>
          <w:spacing w:val="-11"/>
        </w:rPr>
        <w:t> </w:t>
      </w:r>
      <w:r>
        <w:rPr/>
        <w:t>spring,</w:t>
      </w:r>
      <w:r>
        <w:rPr>
          <w:spacing w:val="-12"/>
        </w:rPr>
        <w:t> </w:t>
      </w:r>
      <w:r>
        <w:rPr/>
        <w:t>where</w:t>
      </w:r>
      <w:r>
        <w:rPr>
          <w:spacing w:val="-10"/>
        </w:rPr>
        <w:t> </w:t>
      </w:r>
      <w:r>
        <w:rPr/>
        <w:t>the</w:t>
      </w:r>
      <w:r>
        <w:rPr>
          <w:spacing w:val="-11"/>
        </w:rPr>
        <w:t> </w:t>
      </w:r>
      <w:r>
        <w:rPr/>
        <w:t>water</w:t>
      </w:r>
      <w:r>
        <w:rPr>
          <w:spacing w:val="-10"/>
        </w:rPr>
        <w:t> </w:t>
      </w:r>
      <w:r>
        <w:rPr/>
        <w:t>contains</w:t>
      </w:r>
      <w:r>
        <w:rPr>
          <w:spacing w:val="-10"/>
        </w:rPr>
        <w:t> </w:t>
      </w:r>
      <w:r>
        <w:rPr/>
        <w:t>a</w:t>
      </w:r>
      <w:r>
        <w:rPr>
          <w:spacing w:val="-12"/>
        </w:rPr>
        <w:t> </w:t>
      </w:r>
      <w:r>
        <w:rPr/>
        <w:t>large</w:t>
      </w:r>
      <w:r>
        <w:rPr>
          <w:spacing w:val="-11"/>
        </w:rPr>
        <w:t> </w:t>
      </w:r>
      <w:r>
        <w:rPr/>
        <w:t>amount</w:t>
      </w:r>
      <w:r>
        <w:rPr>
          <w:spacing w:val="-10"/>
        </w:rPr>
        <w:t> </w:t>
      </w:r>
      <w:r>
        <w:rPr/>
        <w:t>of</w:t>
      </w:r>
      <w:r>
        <w:rPr>
          <w:spacing w:val="-10"/>
        </w:rPr>
        <w:t> </w:t>
      </w:r>
      <w:r>
        <w:rPr/>
        <w:t>silicon</w:t>
      </w:r>
      <w:r>
        <w:rPr>
          <w:spacing w:val="-8"/>
        </w:rPr>
        <w:t> </w:t>
      </w:r>
      <w:r>
        <w:rPr/>
        <w:t>-</w:t>
      </w:r>
      <w:r>
        <w:rPr>
          <w:spacing w:val="-13"/>
        </w:rPr>
        <w:t> </w:t>
      </w:r>
      <w:r>
        <w:rPr/>
        <w:t>80</w:t>
      </w:r>
      <w:r>
        <w:rPr>
          <w:spacing w:val="-11"/>
        </w:rPr>
        <w:t> </w:t>
      </w:r>
      <w:r>
        <w:rPr/>
        <w:t>mg</w:t>
      </w:r>
      <w:r>
        <w:rPr>
          <w:spacing w:val="-10"/>
        </w:rPr>
        <w:t> </w:t>
      </w:r>
      <w:r>
        <w:rPr/>
        <w:t>per litre.</w:t>
      </w:r>
    </w:p>
    <w:p>
      <w:pPr>
        <w:pStyle w:val="BodyText"/>
        <w:spacing w:before="223"/>
        <w:ind w:left="616"/>
        <w:jc w:val="both"/>
      </w:pPr>
      <w:r>
        <w:rPr>
          <w:b/>
          <w:i/>
          <w:sz w:val="40"/>
        </w:rPr>
        <w:t>Application: </w:t>
      </w:r>
      <w:r>
        <w:rPr/>
        <w:t>unless otherwise prescribed, 50 to 100 mg silicon/silica per day.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0"/>
        </w:rPr>
      </w:pPr>
      <w:r>
        <w:rPr/>
        <w:pict>
          <v:line style="position:absolute;mso-position-horizontal-relative:page;mso-position-vertical-relative:paragraph;z-index:11624;mso-wrap-distance-left:0;mso-wrap-distance-right:0" from="70.823997pt,7.990015pt" to="214.843997pt,7.990015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846 </w:t>
      </w:r>
      <w:r>
        <w:rPr>
          <w:sz w:val="20"/>
        </w:rPr>
        <w:t>Klaus Kaufmann: Silicium – Heilung durch Ursubstanz, ('Silicon – Healing by Original Substance'), January 1997, p. 54</w:t>
      </w:r>
    </w:p>
    <w:p>
      <w:pPr>
        <w:spacing w:after="0"/>
        <w:jc w:val="left"/>
        <w:rPr>
          <w:sz w:val="20"/>
        </w:rPr>
        <w:sectPr>
          <w:footerReference w:type="default" r:id="rId357"/>
          <w:pgSz w:w="14270" w:h="16850"/>
          <w:pgMar w:footer="1891" w:header="0" w:top="1340" w:bottom="2080" w:left="800" w:right="1280"/>
          <w:pgNumType w:start="1500"/>
        </w:sectPr>
      </w:pPr>
    </w:p>
    <w:p>
      <w:pPr>
        <w:pStyle w:val="Heading1"/>
        <w:spacing w:before="77"/>
        <w:ind w:left="616"/>
      </w:pPr>
      <w:r>
        <w:rPr/>
        <w:t>Effect of silicon on respiratory problems (bronchial problems)</w:t>
      </w:r>
    </w:p>
    <w:p>
      <w:pPr>
        <w:pStyle w:val="BodyText"/>
        <w:spacing w:line="276" w:lineRule="auto" w:before="297"/>
        <w:ind w:left="616" w:right="132"/>
        <w:jc w:val="both"/>
      </w:pPr>
      <w:r>
        <w:rPr/>
        <w:t>The bronchi and lobes are embedded in an elastic connective tissue. This is also</w:t>
      </w:r>
      <w:r>
        <w:rPr>
          <w:spacing w:val="-9"/>
        </w:rPr>
        <w:t> </w:t>
      </w:r>
      <w:r>
        <w:rPr/>
        <w:t>located</w:t>
      </w:r>
      <w:r>
        <w:rPr>
          <w:spacing w:val="-9"/>
        </w:rPr>
        <w:t> </w:t>
      </w:r>
      <w:r>
        <w:rPr/>
        <w:t>under</w:t>
      </w:r>
      <w:r>
        <w:rPr>
          <w:spacing w:val="-9"/>
        </w:rPr>
        <w:t> </w:t>
      </w:r>
      <w:r>
        <w:rPr/>
        <w:t>the</w:t>
      </w:r>
      <w:r>
        <w:rPr>
          <w:spacing w:val="-8"/>
        </w:rPr>
        <w:t> </w:t>
      </w:r>
      <w:r>
        <w:rPr/>
        <w:t>lung</w:t>
      </w:r>
      <w:r>
        <w:rPr>
          <w:spacing w:val="-9"/>
        </w:rPr>
        <w:t> </w:t>
      </w:r>
      <w:r>
        <w:rPr/>
        <w:t>membrane</w:t>
      </w:r>
      <w:r>
        <w:rPr>
          <w:spacing w:val="-9"/>
        </w:rPr>
        <w:t> </w:t>
      </w:r>
      <w:r>
        <w:rPr/>
        <w:t>and</w:t>
      </w:r>
      <w:r>
        <w:rPr>
          <w:spacing w:val="-9"/>
        </w:rPr>
        <w:t> </w:t>
      </w:r>
      <w:r>
        <w:rPr/>
        <w:t>naturally</w:t>
      </w:r>
      <w:r>
        <w:rPr>
          <w:spacing w:val="-9"/>
        </w:rPr>
        <w:t> </w:t>
      </w:r>
      <w:r>
        <w:rPr/>
        <w:t>contains</w:t>
      </w:r>
      <w:r>
        <w:rPr>
          <w:spacing w:val="-9"/>
        </w:rPr>
        <w:t> </w:t>
      </w:r>
      <w:r>
        <w:rPr/>
        <w:t>a</w:t>
      </w:r>
      <w:r>
        <w:rPr>
          <w:spacing w:val="-10"/>
        </w:rPr>
        <w:t> </w:t>
      </w:r>
      <w:r>
        <w:rPr/>
        <w:t>lot</w:t>
      </w:r>
      <w:r>
        <w:rPr>
          <w:spacing w:val="-10"/>
        </w:rPr>
        <w:t> </w:t>
      </w:r>
      <w:r>
        <w:rPr/>
        <w:t>of</w:t>
      </w:r>
      <w:r>
        <w:rPr>
          <w:spacing w:val="-8"/>
        </w:rPr>
        <w:t> </w:t>
      </w:r>
      <w:r>
        <w:rPr/>
        <w:t>silicon</w:t>
      </w:r>
      <w:r>
        <w:rPr>
          <w:spacing w:val="-8"/>
        </w:rPr>
        <w:t> </w:t>
      </w:r>
      <w:r>
        <w:rPr/>
        <w:t>in young and healthy people. With increasing age, the proportion of silicon de- creases. This can be countered by taking silicon</w:t>
      </w:r>
      <w:r>
        <w:rPr>
          <w:spacing w:val="-1"/>
        </w:rPr>
        <w:t> </w:t>
      </w:r>
      <w:r>
        <w:rPr/>
        <w:t>supplements.</w:t>
      </w:r>
    </w:p>
    <w:p>
      <w:pPr>
        <w:spacing w:before="224"/>
        <w:ind w:left="616" w:right="0" w:firstLine="0"/>
        <w:jc w:val="left"/>
        <w:rPr>
          <w:sz w:val="38"/>
        </w:rPr>
      </w:pPr>
      <w:r>
        <w:rPr>
          <w:b/>
          <w:i/>
          <w:sz w:val="40"/>
        </w:rPr>
        <w:t>Application: </w:t>
      </w:r>
      <w:r>
        <w:rPr>
          <w:sz w:val="38"/>
        </w:rPr>
        <w:t>1 tablespoon of silicon gel daily.</w:t>
      </w:r>
    </w:p>
    <w:p>
      <w:pPr>
        <w:pStyle w:val="Heading2"/>
        <w:spacing w:before="298"/>
        <w:ind w:left="616"/>
      </w:pPr>
      <w:r>
        <w:rPr/>
        <w:t>Effect of silicon on sleep disorders</w:t>
      </w:r>
    </w:p>
    <w:p>
      <w:pPr>
        <w:pStyle w:val="BodyText"/>
        <w:spacing w:line="276" w:lineRule="auto" w:before="304"/>
        <w:ind w:left="616" w:right="139"/>
        <w:jc w:val="both"/>
      </w:pPr>
      <w:r>
        <w:rPr/>
        <w:t>People who suffer from sleep disorders often suffer from silicon deficiency. Sleepwalkers and people who often suffer from nightmares also have this problem.</w:t>
      </w:r>
    </w:p>
    <w:p>
      <w:pPr>
        <w:pStyle w:val="BodyText"/>
        <w:spacing w:before="224"/>
        <w:ind w:left="616"/>
      </w:pPr>
      <w:r>
        <w:rPr>
          <w:b/>
          <w:i/>
          <w:sz w:val="40"/>
        </w:rPr>
        <w:t>Application:</w:t>
      </w:r>
      <w:r>
        <w:rPr>
          <w:b/>
          <w:i/>
          <w:spacing w:val="-71"/>
          <w:sz w:val="40"/>
        </w:rPr>
        <w:t> </w:t>
      </w:r>
      <w:r>
        <w:rPr/>
        <w:t>1 tablespoon of silicon powder or silicon clay 3 times daily</w:t>
      </w:r>
    </w:p>
    <w:p>
      <w:pPr>
        <w:pStyle w:val="Heading2"/>
        <w:spacing w:before="299"/>
        <w:ind w:left="616"/>
      </w:pPr>
      <w:r>
        <w:rPr/>
        <w:t>Effect of silicon on the hair</w:t>
      </w:r>
    </w:p>
    <w:p>
      <w:pPr>
        <w:pStyle w:val="BodyText"/>
        <w:spacing w:line="276" w:lineRule="auto" w:before="305"/>
        <w:ind w:left="616"/>
      </w:pPr>
      <w:r>
        <w:rPr/>
        <w:t>Silicon is considered one of the most important, if not THE most important nutrient for the hair.</w:t>
      </w:r>
    </w:p>
    <w:p>
      <w:pPr>
        <w:pStyle w:val="BodyText"/>
        <w:spacing w:line="276" w:lineRule="auto" w:before="238"/>
        <w:ind w:left="616" w:right="137"/>
        <w:jc w:val="both"/>
        <w:rPr>
          <w:sz w:val="25"/>
        </w:rPr>
      </w:pPr>
      <w:r>
        <w:rPr/>
        <w:t>In studies, it has been proven that the intake of silicon gel significantly im- proved the hair structure in 70 % of subjects after just 24 weeks. The hair</w:t>
      </w:r>
      <w:r>
        <w:rPr>
          <w:spacing w:val="-49"/>
        </w:rPr>
        <w:t> </w:t>
      </w:r>
      <w:r>
        <w:rPr/>
        <w:t>was stronger, had more shine and fewer split</w:t>
      </w:r>
      <w:r>
        <w:rPr>
          <w:spacing w:val="-1"/>
        </w:rPr>
        <w:t> </w:t>
      </w:r>
      <w:r>
        <w:rPr/>
        <w:t>ends.</w:t>
      </w:r>
      <w:r>
        <w:rPr>
          <w:position w:val="9"/>
          <w:sz w:val="25"/>
        </w:rPr>
        <w:t>847</w:t>
      </w:r>
    </w:p>
    <w:p>
      <w:pPr>
        <w:pStyle w:val="BodyText"/>
        <w:spacing w:before="2"/>
        <w:rPr>
          <w:sz w:val="27"/>
        </w:rPr>
      </w:pPr>
      <w:r>
        <w:rPr/>
        <w:pict>
          <v:line style="position:absolute;mso-position-horizontal-relative:page;mso-position-vertical-relative:paragraph;z-index:11648;mso-wrap-distance-left:0;mso-wrap-distance-right:0" from="70.823997pt,17.665014pt" to="214.843997pt,17.665014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847 </w:t>
      </w:r>
      <w:r>
        <w:rPr>
          <w:sz w:val="20"/>
        </w:rPr>
        <w:t>Dr. Jürgen Weihofen: Heilwunder Silicium ('The Healing Miracle of Silicon'), 1st Edition 2003, p.66</w:t>
      </w:r>
    </w:p>
    <w:p>
      <w:pPr>
        <w:spacing w:after="0"/>
        <w:jc w:val="left"/>
        <w:rPr>
          <w:sz w:val="20"/>
        </w:rPr>
        <w:sectPr>
          <w:pgSz w:w="14270" w:h="16850"/>
          <w:pgMar w:header="0" w:footer="1891" w:top="1320" w:bottom="2080" w:left="800" w:right="1280"/>
        </w:sectPr>
      </w:pPr>
    </w:p>
    <w:p>
      <w:pPr>
        <w:pStyle w:val="BodyText"/>
        <w:spacing w:line="276" w:lineRule="auto" w:before="72"/>
        <w:ind w:left="616" w:right="141"/>
        <w:jc w:val="both"/>
      </w:pPr>
      <w:r>
        <w:rPr/>
        <w:t>Taking 1 tablespoon of silicon gel every day for six months has produced on average up to 16 % thicker hair in studies (see 'Silicon studies').</w:t>
      </w:r>
    </w:p>
    <w:p>
      <w:pPr>
        <w:pStyle w:val="BodyText"/>
        <w:spacing w:line="276" w:lineRule="auto" w:before="241"/>
        <w:ind w:left="616" w:right="136"/>
        <w:jc w:val="both"/>
      </w:pPr>
      <w:r>
        <w:rPr/>
        <w:t>Silicon</w:t>
      </w:r>
      <w:r>
        <w:rPr>
          <w:spacing w:val="-18"/>
        </w:rPr>
        <w:t> </w:t>
      </w:r>
      <w:r>
        <w:rPr/>
        <w:t>has</w:t>
      </w:r>
      <w:r>
        <w:rPr>
          <w:spacing w:val="-17"/>
        </w:rPr>
        <w:t> </w:t>
      </w:r>
      <w:r>
        <w:rPr/>
        <w:t>a</w:t>
      </w:r>
      <w:r>
        <w:rPr>
          <w:spacing w:val="-20"/>
        </w:rPr>
        <w:t> </w:t>
      </w:r>
      <w:r>
        <w:rPr/>
        <w:t>dual</w:t>
      </w:r>
      <w:r>
        <w:rPr>
          <w:spacing w:val="-19"/>
        </w:rPr>
        <w:t> </w:t>
      </w:r>
      <w:r>
        <w:rPr/>
        <w:t>effect</w:t>
      </w:r>
      <w:r>
        <w:rPr>
          <w:spacing w:val="-18"/>
        </w:rPr>
        <w:t> </w:t>
      </w:r>
      <w:r>
        <w:rPr/>
        <w:t>here.</w:t>
      </w:r>
      <w:r>
        <w:rPr>
          <w:spacing w:val="-20"/>
        </w:rPr>
        <w:t> </w:t>
      </w:r>
      <w:r>
        <w:rPr/>
        <w:t>On</w:t>
      </w:r>
      <w:r>
        <w:rPr>
          <w:spacing w:val="-21"/>
        </w:rPr>
        <w:t> </w:t>
      </w:r>
      <w:r>
        <w:rPr/>
        <w:t>the</w:t>
      </w:r>
      <w:r>
        <w:rPr>
          <w:spacing w:val="-18"/>
        </w:rPr>
        <w:t> </w:t>
      </w:r>
      <w:r>
        <w:rPr/>
        <w:t>one</w:t>
      </w:r>
      <w:r>
        <w:rPr>
          <w:spacing w:val="-20"/>
        </w:rPr>
        <w:t> </w:t>
      </w:r>
      <w:r>
        <w:rPr/>
        <w:t>hand,</w:t>
      </w:r>
      <w:r>
        <w:rPr>
          <w:spacing w:val="-17"/>
        </w:rPr>
        <w:t> </w:t>
      </w:r>
      <w:r>
        <w:rPr/>
        <w:t>it</w:t>
      </w:r>
      <w:r>
        <w:rPr>
          <w:spacing w:val="-22"/>
        </w:rPr>
        <w:t> </w:t>
      </w:r>
      <w:r>
        <w:rPr/>
        <w:t>strengthens</w:t>
      </w:r>
      <w:r>
        <w:rPr>
          <w:spacing w:val="-20"/>
        </w:rPr>
        <w:t> </w:t>
      </w:r>
      <w:r>
        <w:rPr/>
        <w:t>the</w:t>
      </w:r>
      <w:r>
        <w:rPr>
          <w:spacing w:val="-20"/>
        </w:rPr>
        <w:t> </w:t>
      </w:r>
      <w:r>
        <w:rPr/>
        <w:t>hair</w:t>
      </w:r>
      <w:r>
        <w:rPr>
          <w:spacing w:val="-18"/>
        </w:rPr>
        <w:t> </w:t>
      </w:r>
      <w:r>
        <w:rPr/>
        <w:t>structure by optimising the cross-linking within the creatine-protein building blocks of hair,</w:t>
      </w:r>
      <w:r>
        <w:rPr>
          <w:spacing w:val="-8"/>
        </w:rPr>
        <w:t> </w:t>
      </w:r>
      <w:r>
        <w:rPr/>
        <w:t>on</w:t>
      </w:r>
      <w:r>
        <w:rPr>
          <w:spacing w:val="-7"/>
        </w:rPr>
        <w:t> </w:t>
      </w:r>
      <w:r>
        <w:rPr/>
        <w:t>the</w:t>
      </w:r>
      <w:r>
        <w:rPr>
          <w:spacing w:val="-8"/>
        </w:rPr>
        <w:t> </w:t>
      </w:r>
      <w:r>
        <w:rPr/>
        <w:t>other</w:t>
      </w:r>
      <w:r>
        <w:rPr>
          <w:spacing w:val="-8"/>
        </w:rPr>
        <w:t> </w:t>
      </w:r>
      <w:r>
        <w:rPr/>
        <w:t>hand,</w:t>
      </w:r>
      <w:r>
        <w:rPr>
          <w:spacing w:val="-8"/>
        </w:rPr>
        <w:t> </w:t>
      </w:r>
      <w:r>
        <w:rPr/>
        <w:t>the</w:t>
      </w:r>
      <w:r>
        <w:rPr>
          <w:spacing w:val="-8"/>
        </w:rPr>
        <w:t> </w:t>
      </w:r>
      <w:r>
        <w:rPr/>
        <w:t>silicon</w:t>
      </w:r>
      <w:r>
        <w:rPr>
          <w:spacing w:val="-7"/>
        </w:rPr>
        <w:t> </w:t>
      </w:r>
      <w:r>
        <w:rPr/>
        <w:t>gel</w:t>
      </w:r>
      <w:r>
        <w:rPr>
          <w:spacing w:val="-8"/>
        </w:rPr>
        <w:t> </w:t>
      </w:r>
      <w:r>
        <w:rPr/>
        <w:t>goes</w:t>
      </w:r>
      <w:r>
        <w:rPr>
          <w:spacing w:val="-8"/>
        </w:rPr>
        <w:t> </w:t>
      </w:r>
      <w:r>
        <w:rPr/>
        <w:t>directly</w:t>
      </w:r>
      <w:r>
        <w:rPr>
          <w:spacing w:val="-8"/>
        </w:rPr>
        <w:t> </w:t>
      </w:r>
      <w:r>
        <w:rPr/>
        <w:t>from</w:t>
      </w:r>
      <w:r>
        <w:rPr>
          <w:spacing w:val="-8"/>
        </w:rPr>
        <w:t> </w:t>
      </w:r>
      <w:r>
        <w:rPr/>
        <w:t>the</w:t>
      </w:r>
      <w:r>
        <w:rPr>
          <w:spacing w:val="-8"/>
        </w:rPr>
        <w:t> </w:t>
      </w:r>
      <w:r>
        <w:rPr/>
        <w:t>intestine</w:t>
      </w:r>
      <w:r>
        <w:rPr>
          <w:spacing w:val="-8"/>
        </w:rPr>
        <w:t> </w:t>
      </w:r>
      <w:r>
        <w:rPr/>
        <w:t>through the bloodstream into the hair root and has a positive effect on hair growth here.</w:t>
      </w:r>
    </w:p>
    <w:p>
      <w:pPr>
        <w:pStyle w:val="BodyText"/>
        <w:spacing w:line="273" w:lineRule="auto" w:before="222"/>
        <w:ind w:left="616" w:right="137"/>
        <w:jc w:val="both"/>
      </w:pPr>
      <w:r>
        <w:rPr>
          <w:b/>
          <w:i/>
          <w:sz w:val="40"/>
        </w:rPr>
        <w:t>Application:</w:t>
      </w:r>
      <w:r>
        <w:rPr>
          <w:b/>
          <w:i/>
          <w:spacing w:val="-31"/>
          <w:sz w:val="40"/>
        </w:rPr>
        <w:t> </w:t>
      </w:r>
      <w:r>
        <w:rPr/>
        <w:t>again,</w:t>
      </w:r>
      <w:r>
        <w:rPr>
          <w:spacing w:val="-26"/>
        </w:rPr>
        <w:t> </w:t>
      </w:r>
      <w:r>
        <w:rPr/>
        <w:t>it</w:t>
      </w:r>
      <w:r>
        <w:rPr>
          <w:spacing w:val="-27"/>
        </w:rPr>
        <w:t> </w:t>
      </w:r>
      <w:r>
        <w:rPr/>
        <w:t>is</w:t>
      </w:r>
      <w:r>
        <w:rPr>
          <w:spacing w:val="-27"/>
        </w:rPr>
        <w:t> </w:t>
      </w:r>
      <w:r>
        <w:rPr/>
        <w:t>advisable</w:t>
      </w:r>
      <w:r>
        <w:rPr>
          <w:spacing w:val="-26"/>
        </w:rPr>
        <w:t> </w:t>
      </w:r>
      <w:r>
        <w:rPr/>
        <w:t>to</w:t>
      </w:r>
      <w:r>
        <w:rPr>
          <w:spacing w:val="-24"/>
        </w:rPr>
        <w:t> </w:t>
      </w:r>
      <w:r>
        <w:rPr/>
        <w:t>apply</w:t>
      </w:r>
      <w:r>
        <w:rPr>
          <w:spacing w:val="-27"/>
        </w:rPr>
        <w:t> </w:t>
      </w:r>
      <w:r>
        <w:rPr/>
        <w:t>silicon</w:t>
      </w:r>
      <w:r>
        <w:rPr>
          <w:spacing w:val="-27"/>
        </w:rPr>
        <w:t> </w:t>
      </w:r>
      <w:r>
        <w:rPr/>
        <w:t>internally</w:t>
      </w:r>
      <w:r>
        <w:rPr>
          <w:spacing w:val="-26"/>
        </w:rPr>
        <w:t> </w:t>
      </w:r>
      <w:r>
        <w:rPr/>
        <w:t>and</w:t>
      </w:r>
      <w:r>
        <w:rPr>
          <w:spacing w:val="-26"/>
        </w:rPr>
        <w:t> </w:t>
      </w:r>
      <w:r>
        <w:rPr/>
        <w:t>externally.</w:t>
      </w:r>
      <w:r>
        <w:rPr>
          <w:spacing w:val="-26"/>
        </w:rPr>
        <w:t> </w:t>
      </w:r>
      <w:r>
        <w:rPr/>
        <w:t>For internal use, take 1 tablespoon silicon gel per day. Externally, after shampoo- ing, take a fingertip-sized amount of silicon gel, dilute with a little water and rub on the wet hair. Leave briefly to work in and then rinse</w:t>
      </w:r>
      <w:r>
        <w:rPr>
          <w:spacing w:val="-10"/>
        </w:rPr>
        <w:t> </w:t>
      </w:r>
      <w:r>
        <w:rPr/>
        <w:t>off.</w:t>
      </w:r>
    </w:p>
    <w:p>
      <w:pPr>
        <w:pStyle w:val="Heading1"/>
        <w:spacing w:before="233"/>
        <w:ind w:left="616"/>
        <w:jc w:val="both"/>
      </w:pPr>
      <w:r>
        <w:rPr/>
        <w:t>Effect of silicon on hair loss</w:t>
      </w:r>
    </w:p>
    <w:p>
      <w:pPr>
        <w:pStyle w:val="BodyText"/>
        <w:spacing w:line="276" w:lineRule="auto" w:before="300"/>
        <w:ind w:left="616" w:right="140"/>
        <w:jc w:val="both"/>
      </w:pPr>
      <w:r>
        <w:rPr/>
        <w:t>Hair loss is not always genetic. Very often, the hair roots lose their elasticity and become loose. Silicon can strengthen the resilience of the hair root and counteract hair loss.</w:t>
      </w:r>
    </w:p>
    <w:p>
      <w:pPr>
        <w:pStyle w:val="BodyText"/>
        <w:spacing w:line="271" w:lineRule="auto" w:before="221"/>
        <w:ind w:left="616" w:right="131"/>
        <w:jc w:val="both"/>
      </w:pPr>
      <w:r>
        <w:rPr>
          <w:b/>
          <w:i/>
          <w:sz w:val="40"/>
        </w:rPr>
        <w:t>Application: </w:t>
      </w:r>
      <w:r>
        <w:rPr/>
        <w:t>take 3 teaspoons of green clay (healing clay) or silicon clay per day.</w:t>
      </w:r>
    </w:p>
    <w:p>
      <w:pPr>
        <w:pStyle w:val="Heading1"/>
        <w:spacing w:before="233"/>
        <w:ind w:left="616"/>
        <w:jc w:val="both"/>
      </w:pPr>
      <w:r>
        <w:rPr/>
        <w:t>Silicon as a preventative measure </w:t>
      </w:r>
      <w:r>
        <w:rPr>
          <w:b w:val="0"/>
          <w:i w:val="0"/>
          <w:sz w:val="38"/>
        </w:rPr>
        <w:t>– </w:t>
      </w:r>
      <w:r>
        <w:rPr/>
        <w:t>prevention instead of cure!</w:t>
      </w:r>
    </w:p>
    <w:p>
      <w:pPr>
        <w:pStyle w:val="BodyText"/>
        <w:spacing w:line="276" w:lineRule="auto" w:before="300"/>
        <w:ind w:left="616" w:right="135"/>
        <w:jc w:val="both"/>
      </w:pPr>
      <w:r>
        <w:rPr/>
        <w:t>Of course, we should not wait until the above symptoms and illnesses come into</w:t>
      </w:r>
      <w:r>
        <w:rPr>
          <w:spacing w:val="-6"/>
        </w:rPr>
        <w:t> </w:t>
      </w:r>
      <w:r>
        <w:rPr/>
        <w:t>our</w:t>
      </w:r>
      <w:r>
        <w:rPr>
          <w:spacing w:val="-6"/>
        </w:rPr>
        <w:t> </w:t>
      </w:r>
      <w:r>
        <w:rPr/>
        <w:t>lives</w:t>
      </w:r>
      <w:r>
        <w:rPr>
          <w:spacing w:val="-7"/>
        </w:rPr>
        <w:t> </w:t>
      </w:r>
      <w:r>
        <w:rPr/>
        <w:t>and</w:t>
      </w:r>
      <w:r>
        <w:rPr>
          <w:spacing w:val="-6"/>
        </w:rPr>
        <w:t> </w:t>
      </w:r>
      <w:r>
        <w:rPr/>
        <w:t>make</w:t>
      </w:r>
      <w:r>
        <w:rPr>
          <w:spacing w:val="-5"/>
        </w:rPr>
        <w:t> </w:t>
      </w:r>
      <w:r>
        <w:rPr/>
        <w:t>things</w:t>
      </w:r>
      <w:r>
        <w:rPr>
          <w:spacing w:val="-5"/>
        </w:rPr>
        <w:t> </w:t>
      </w:r>
      <w:r>
        <w:rPr/>
        <w:t>difficult</w:t>
      </w:r>
      <w:r>
        <w:rPr>
          <w:spacing w:val="-8"/>
        </w:rPr>
        <w:t> </w:t>
      </w:r>
      <w:r>
        <w:rPr/>
        <w:t>for</w:t>
      </w:r>
      <w:r>
        <w:rPr>
          <w:spacing w:val="-4"/>
        </w:rPr>
        <w:t> </w:t>
      </w:r>
      <w:r>
        <w:rPr/>
        <w:t>us.</w:t>
      </w:r>
      <w:r>
        <w:rPr>
          <w:spacing w:val="-7"/>
        </w:rPr>
        <w:t> </w:t>
      </w:r>
      <w:r>
        <w:rPr/>
        <w:t>On</w:t>
      </w:r>
      <w:r>
        <w:rPr>
          <w:spacing w:val="-6"/>
        </w:rPr>
        <w:t> </w:t>
      </w:r>
      <w:r>
        <w:rPr/>
        <w:t>the</w:t>
      </w:r>
      <w:r>
        <w:rPr>
          <w:spacing w:val="-5"/>
        </w:rPr>
        <w:t> </w:t>
      </w:r>
      <w:r>
        <w:rPr/>
        <w:t>contrary:</w:t>
      </w:r>
      <w:r>
        <w:rPr>
          <w:spacing w:val="-8"/>
        </w:rPr>
        <w:t> </w:t>
      </w:r>
      <w:r>
        <w:rPr/>
        <w:t>The</w:t>
      </w:r>
      <w:r>
        <w:rPr>
          <w:spacing w:val="-5"/>
        </w:rPr>
        <w:t> </w:t>
      </w:r>
      <w:r>
        <w:rPr/>
        <w:t>tried-and- trusted motto is 'prevention is better than</w:t>
      </w:r>
      <w:r>
        <w:rPr>
          <w:spacing w:val="1"/>
        </w:rPr>
        <w:t> </w:t>
      </w:r>
      <w:r>
        <w:rPr/>
        <w:t>cure!'.</w:t>
      </w:r>
    </w:p>
    <w:p>
      <w:pPr>
        <w:spacing w:after="0" w:line="276" w:lineRule="auto"/>
        <w:jc w:val="both"/>
        <w:sectPr>
          <w:pgSz w:w="14270" w:h="16850"/>
          <w:pgMar w:header="0" w:footer="1891" w:top="1340" w:bottom="2080" w:left="800" w:right="1280"/>
        </w:sectPr>
      </w:pPr>
    </w:p>
    <w:p>
      <w:pPr>
        <w:pStyle w:val="BodyText"/>
        <w:spacing w:line="276" w:lineRule="auto" w:before="72"/>
        <w:ind w:left="616" w:right="133"/>
        <w:jc w:val="both"/>
      </w:pPr>
      <w:r>
        <w:rPr/>
        <w:t>Symptoms</w:t>
      </w:r>
      <w:r>
        <w:rPr>
          <w:spacing w:val="-19"/>
        </w:rPr>
        <w:t> </w:t>
      </w:r>
      <w:r>
        <w:rPr/>
        <w:t>of</w:t>
      </w:r>
      <w:r>
        <w:rPr>
          <w:spacing w:val="-21"/>
        </w:rPr>
        <w:t> </w:t>
      </w:r>
      <w:r>
        <w:rPr/>
        <w:t>silicon</w:t>
      </w:r>
      <w:r>
        <w:rPr>
          <w:spacing w:val="-18"/>
        </w:rPr>
        <w:t> </w:t>
      </w:r>
      <w:r>
        <w:rPr/>
        <w:t>deficiency,</w:t>
      </w:r>
      <w:r>
        <w:rPr>
          <w:spacing w:val="-20"/>
        </w:rPr>
        <w:t> </w:t>
      </w:r>
      <w:r>
        <w:rPr/>
        <w:t>such</w:t>
      </w:r>
      <w:r>
        <w:rPr>
          <w:spacing w:val="-19"/>
        </w:rPr>
        <w:t> </w:t>
      </w:r>
      <w:r>
        <w:rPr/>
        <w:t>as</w:t>
      </w:r>
      <w:r>
        <w:rPr>
          <w:spacing w:val="-19"/>
        </w:rPr>
        <w:t> </w:t>
      </w:r>
      <w:r>
        <w:rPr/>
        <w:t>dull</w:t>
      </w:r>
      <w:r>
        <w:rPr>
          <w:spacing w:val="-20"/>
        </w:rPr>
        <w:t> </w:t>
      </w:r>
      <w:r>
        <w:rPr/>
        <w:t>hair,</w:t>
      </w:r>
      <w:r>
        <w:rPr>
          <w:spacing w:val="-21"/>
        </w:rPr>
        <w:t> </w:t>
      </w:r>
      <w:r>
        <w:rPr/>
        <w:t>wrinkles</w:t>
      </w:r>
      <w:r>
        <w:rPr>
          <w:spacing w:val="-16"/>
        </w:rPr>
        <w:t> </w:t>
      </w:r>
      <w:r>
        <w:rPr/>
        <w:t>or</w:t>
      </w:r>
      <w:r>
        <w:rPr>
          <w:spacing w:val="-18"/>
        </w:rPr>
        <w:t> </w:t>
      </w:r>
      <w:r>
        <w:rPr/>
        <w:t>brittle</w:t>
      </w:r>
      <w:r>
        <w:rPr>
          <w:spacing w:val="-18"/>
        </w:rPr>
        <w:t> </w:t>
      </w:r>
      <w:r>
        <w:rPr/>
        <w:t>nails,</w:t>
      </w:r>
      <w:r>
        <w:rPr>
          <w:spacing w:val="-18"/>
        </w:rPr>
        <w:t> </w:t>
      </w:r>
      <w:r>
        <w:rPr/>
        <w:t>make it urgently necessary to start a continuous silicon intake. The intelligent ones among us start with supplementation beforehand and avoid these symptoms and diseases</w:t>
      </w:r>
      <w:r>
        <w:rPr>
          <w:spacing w:val="1"/>
        </w:rPr>
        <w:t> </w:t>
      </w:r>
      <w:r>
        <w:rPr/>
        <w:t>altogether.</w:t>
      </w:r>
    </w:p>
    <w:p>
      <w:pPr>
        <w:pStyle w:val="BodyText"/>
        <w:spacing w:line="276" w:lineRule="auto" w:before="241"/>
        <w:ind w:left="616" w:right="131"/>
        <w:jc w:val="both"/>
      </w:pPr>
      <w:r>
        <w:rPr/>
        <w:t>The principle is very simple: if we consume too little silicon through food,</w:t>
      </w:r>
      <w:r>
        <w:rPr>
          <w:spacing w:val="-32"/>
        </w:rPr>
        <w:t> </w:t>
      </w:r>
      <w:r>
        <w:rPr/>
        <w:t>the body degrades the body's own silicon from our connective tissue in order to maintain vital functions. Let's get a surplus! Then, not only does our body no longer</w:t>
      </w:r>
      <w:r>
        <w:rPr>
          <w:spacing w:val="-18"/>
        </w:rPr>
        <w:t> </w:t>
      </w:r>
      <w:r>
        <w:rPr/>
        <w:t>have</w:t>
      </w:r>
      <w:r>
        <w:rPr>
          <w:spacing w:val="-15"/>
        </w:rPr>
        <w:t> </w:t>
      </w:r>
      <w:r>
        <w:rPr/>
        <w:t>to</w:t>
      </w:r>
      <w:r>
        <w:rPr>
          <w:spacing w:val="-18"/>
        </w:rPr>
        <w:t> </w:t>
      </w:r>
      <w:r>
        <w:rPr/>
        <w:t>use</w:t>
      </w:r>
      <w:r>
        <w:rPr>
          <w:spacing w:val="-17"/>
        </w:rPr>
        <w:t> </w:t>
      </w:r>
      <w:r>
        <w:rPr/>
        <w:t>its</w:t>
      </w:r>
      <w:r>
        <w:rPr>
          <w:spacing w:val="-18"/>
        </w:rPr>
        <w:t> </w:t>
      </w:r>
      <w:r>
        <w:rPr/>
        <w:t>own</w:t>
      </w:r>
      <w:r>
        <w:rPr>
          <w:spacing w:val="-17"/>
        </w:rPr>
        <w:t> </w:t>
      </w:r>
      <w:r>
        <w:rPr/>
        <w:t>reserves,</w:t>
      </w:r>
      <w:r>
        <w:rPr>
          <w:spacing w:val="-16"/>
        </w:rPr>
        <w:t> </w:t>
      </w:r>
      <w:r>
        <w:rPr/>
        <w:t>but</w:t>
      </w:r>
      <w:r>
        <w:rPr>
          <w:spacing w:val="-18"/>
        </w:rPr>
        <w:t> </w:t>
      </w:r>
      <w:r>
        <w:rPr/>
        <w:t>it</w:t>
      </w:r>
      <w:r>
        <w:rPr>
          <w:spacing w:val="-19"/>
        </w:rPr>
        <w:t> </w:t>
      </w:r>
      <w:r>
        <w:rPr/>
        <w:t>can</w:t>
      </w:r>
      <w:r>
        <w:rPr>
          <w:spacing w:val="-14"/>
        </w:rPr>
        <w:t> </w:t>
      </w:r>
      <w:r>
        <w:rPr/>
        <w:t>use</w:t>
      </w:r>
      <w:r>
        <w:rPr>
          <w:spacing w:val="-20"/>
        </w:rPr>
        <w:t> </w:t>
      </w:r>
      <w:r>
        <w:rPr/>
        <w:t>the</w:t>
      </w:r>
      <w:r>
        <w:rPr>
          <w:spacing w:val="-15"/>
        </w:rPr>
        <w:t> </w:t>
      </w:r>
      <w:r>
        <w:rPr/>
        <w:t>surplus</w:t>
      </w:r>
      <w:r>
        <w:rPr>
          <w:spacing w:val="-17"/>
        </w:rPr>
        <w:t> </w:t>
      </w:r>
      <w:r>
        <w:rPr/>
        <w:t>of</w:t>
      </w:r>
      <w:r>
        <w:rPr>
          <w:spacing w:val="-18"/>
        </w:rPr>
        <w:t> </w:t>
      </w:r>
      <w:r>
        <w:rPr/>
        <w:t>silicon</w:t>
      </w:r>
      <w:r>
        <w:rPr>
          <w:spacing w:val="-15"/>
        </w:rPr>
        <w:t> </w:t>
      </w:r>
      <w:r>
        <w:rPr/>
        <w:t>to</w:t>
      </w:r>
      <w:r>
        <w:rPr>
          <w:spacing w:val="-17"/>
        </w:rPr>
        <w:t> </w:t>
      </w:r>
      <w:r>
        <w:rPr/>
        <w:t>build up the body through restocking. Turn old into young!</w:t>
      </w:r>
    </w:p>
    <w:p>
      <w:pPr>
        <w:spacing w:after="0" w:line="276" w:lineRule="auto"/>
        <w:jc w:val="both"/>
        <w:sectPr>
          <w:pgSz w:w="14270" w:h="16850"/>
          <w:pgMar w:header="0" w:footer="1891" w:top="1340" w:bottom="2080" w:left="800" w:right="1280"/>
        </w:sectPr>
      </w:pPr>
    </w:p>
    <w:p>
      <w:pPr>
        <w:pStyle w:val="Heading2"/>
        <w:spacing w:before="74"/>
        <w:ind w:left="616"/>
      </w:pPr>
      <w:r>
        <w:rPr/>
        <w:t>Silicon for rejuvenation</w:t>
      </w:r>
    </w:p>
    <w:p>
      <w:pPr>
        <w:spacing w:before="287"/>
        <w:ind w:left="616" w:right="0" w:firstLine="0"/>
        <w:jc w:val="left"/>
        <w:rPr>
          <w:b/>
          <w:i/>
          <w:sz w:val="40"/>
        </w:rPr>
      </w:pPr>
      <w:r>
        <w:rPr>
          <w:b/>
          <w:i/>
          <w:sz w:val="40"/>
        </w:rPr>
        <w:t>Silicon slows down ageing and</w:t>
      </w:r>
      <w:r>
        <w:rPr>
          <w:b/>
          <w:i/>
          <w:spacing w:val="-58"/>
          <w:sz w:val="40"/>
        </w:rPr>
        <w:t> </w:t>
      </w:r>
      <w:r>
        <w:rPr>
          <w:b/>
          <w:i/>
          <w:sz w:val="40"/>
        </w:rPr>
        <w:t>rejuvenates!</w:t>
      </w:r>
    </w:p>
    <w:p>
      <w:pPr>
        <w:pStyle w:val="BodyText"/>
        <w:spacing w:line="276" w:lineRule="auto" w:before="297"/>
        <w:ind w:left="616" w:right="133"/>
        <w:jc w:val="both"/>
      </w:pPr>
      <w:r>
        <w:rPr/>
        <w:t>Ageing takes place from the inside out, which means that all of our visible features, developing wrinkles, grey hair, dull eyes, loose connective tissue,</w:t>
      </w:r>
      <w:r>
        <w:rPr>
          <w:spacing w:val="-60"/>
        </w:rPr>
        <w:t> </w:t>
      </w:r>
      <w:r>
        <w:rPr/>
        <w:t>etc., are always preceded by internal, degenerative changes which, apart from the aesthetic problem, present a much more serious problem.</w:t>
      </w:r>
    </w:p>
    <w:p>
      <w:pPr>
        <w:pStyle w:val="Heading1"/>
        <w:spacing w:before="225"/>
        <w:ind w:left="616"/>
        <w:jc w:val="both"/>
      </w:pPr>
      <w:r>
        <w:rPr/>
        <w:t>External attributes of ageing viewed from top to bottom:</w:t>
      </w:r>
    </w:p>
    <w:p>
      <w:pPr>
        <w:pStyle w:val="ListParagraph"/>
        <w:numPr>
          <w:ilvl w:val="0"/>
          <w:numId w:val="118"/>
        </w:numPr>
        <w:tabs>
          <w:tab w:pos="1032" w:val="left" w:leader="none"/>
        </w:tabs>
        <w:spacing w:line="240" w:lineRule="auto" w:before="260" w:after="0"/>
        <w:ind w:left="1031" w:right="0" w:hanging="415"/>
        <w:jc w:val="both"/>
        <w:rPr>
          <w:sz w:val="38"/>
        </w:rPr>
      </w:pPr>
      <w:r>
        <w:rPr>
          <w:sz w:val="38"/>
        </w:rPr>
        <w:t>Grey</w:t>
      </w:r>
      <w:r>
        <w:rPr>
          <w:spacing w:val="-3"/>
          <w:sz w:val="38"/>
        </w:rPr>
        <w:t> </w:t>
      </w:r>
      <w:r>
        <w:rPr>
          <w:sz w:val="38"/>
        </w:rPr>
        <w:t>hair</w:t>
      </w:r>
    </w:p>
    <w:p>
      <w:pPr>
        <w:pStyle w:val="ListParagraph"/>
        <w:numPr>
          <w:ilvl w:val="0"/>
          <w:numId w:val="118"/>
        </w:numPr>
        <w:tabs>
          <w:tab w:pos="1032" w:val="left" w:leader="none"/>
        </w:tabs>
        <w:spacing w:line="240" w:lineRule="auto" w:before="184" w:after="0"/>
        <w:ind w:left="1031" w:right="0" w:hanging="415"/>
        <w:jc w:val="both"/>
        <w:rPr>
          <w:sz w:val="38"/>
        </w:rPr>
      </w:pPr>
      <w:r>
        <w:rPr>
          <w:sz w:val="38"/>
        </w:rPr>
        <w:t>Hair</w:t>
      </w:r>
      <w:r>
        <w:rPr>
          <w:spacing w:val="-1"/>
          <w:sz w:val="38"/>
        </w:rPr>
        <w:t> </w:t>
      </w:r>
      <w:r>
        <w:rPr>
          <w:sz w:val="38"/>
        </w:rPr>
        <w:t>loss</w:t>
      </w:r>
    </w:p>
    <w:p>
      <w:pPr>
        <w:pStyle w:val="ListParagraph"/>
        <w:numPr>
          <w:ilvl w:val="0"/>
          <w:numId w:val="118"/>
        </w:numPr>
        <w:tabs>
          <w:tab w:pos="1032" w:val="left" w:leader="none"/>
        </w:tabs>
        <w:spacing w:line="240" w:lineRule="auto" w:before="183" w:after="0"/>
        <w:ind w:left="1031" w:right="0" w:hanging="415"/>
        <w:jc w:val="both"/>
        <w:rPr>
          <w:sz w:val="38"/>
        </w:rPr>
      </w:pPr>
      <w:r>
        <w:rPr>
          <w:sz w:val="38"/>
        </w:rPr>
        <w:t>Wrinkles on the face and entire</w:t>
      </w:r>
      <w:r>
        <w:rPr>
          <w:spacing w:val="1"/>
          <w:sz w:val="38"/>
        </w:rPr>
        <w:t> </w:t>
      </w:r>
      <w:r>
        <w:rPr>
          <w:sz w:val="38"/>
        </w:rPr>
        <w:t>body</w:t>
      </w:r>
    </w:p>
    <w:p>
      <w:pPr>
        <w:pStyle w:val="ListParagraph"/>
        <w:numPr>
          <w:ilvl w:val="0"/>
          <w:numId w:val="118"/>
        </w:numPr>
        <w:tabs>
          <w:tab w:pos="1032" w:val="left" w:leader="none"/>
        </w:tabs>
        <w:spacing w:line="240" w:lineRule="auto" w:before="184" w:after="0"/>
        <w:ind w:left="1031" w:right="0" w:hanging="415"/>
        <w:jc w:val="both"/>
        <w:rPr>
          <w:sz w:val="38"/>
        </w:rPr>
      </w:pPr>
      <w:r>
        <w:rPr>
          <w:sz w:val="38"/>
        </w:rPr>
        <w:t>Enamel reduction and tooth loss</w:t>
      </w:r>
    </w:p>
    <w:p>
      <w:pPr>
        <w:pStyle w:val="ListParagraph"/>
        <w:numPr>
          <w:ilvl w:val="0"/>
          <w:numId w:val="118"/>
        </w:numPr>
        <w:tabs>
          <w:tab w:pos="1032" w:val="left" w:leader="none"/>
        </w:tabs>
        <w:spacing w:line="240" w:lineRule="auto" w:before="184" w:after="0"/>
        <w:ind w:left="1031" w:right="0" w:hanging="415"/>
        <w:jc w:val="both"/>
        <w:rPr>
          <w:sz w:val="38"/>
        </w:rPr>
      </w:pPr>
      <w:r>
        <w:rPr>
          <w:sz w:val="38"/>
        </w:rPr>
        <w:t>'Hunchback' as a result of poor</w:t>
      </w:r>
      <w:r>
        <w:rPr>
          <w:spacing w:val="-4"/>
          <w:sz w:val="38"/>
        </w:rPr>
        <w:t> </w:t>
      </w:r>
      <w:r>
        <w:rPr>
          <w:sz w:val="38"/>
        </w:rPr>
        <w:t>posture</w:t>
      </w:r>
    </w:p>
    <w:p>
      <w:pPr>
        <w:pStyle w:val="ListParagraph"/>
        <w:numPr>
          <w:ilvl w:val="0"/>
          <w:numId w:val="118"/>
        </w:numPr>
        <w:tabs>
          <w:tab w:pos="1032" w:val="left" w:leader="none"/>
        </w:tabs>
        <w:spacing w:line="240" w:lineRule="auto" w:before="186" w:after="0"/>
        <w:ind w:left="1031" w:right="0" w:hanging="415"/>
        <w:jc w:val="both"/>
        <w:rPr>
          <w:sz w:val="38"/>
        </w:rPr>
      </w:pPr>
      <w:r>
        <w:rPr>
          <w:sz w:val="38"/>
        </w:rPr>
        <w:t>Connective tissue</w:t>
      </w:r>
      <w:r>
        <w:rPr>
          <w:spacing w:val="-1"/>
          <w:sz w:val="38"/>
        </w:rPr>
        <w:t> </w:t>
      </w:r>
      <w:r>
        <w:rPr>
          <w:sz w:val="38"/>
        </w:rPr>
        <w:t>weakness/cellulitis</w:t>
      </w:r>
    </w:p>
    <w:p>
      <w:pPr>
        <w:pStyle w:val="ListParagraph"/>
        <w:numPr>
          <w:ilvl w:val="0"/>
          <w:numId w:val="118"/>
        </w:numPr>
        <w:tabs>
          <w:tab w:pos="1032" w:val="left" w:leader="none"/>
        </w:tabs>
        <w:spacing w:line="240" w:lineRule="auto" w:before="184" w:after="0"/>
        <w:ind w:left="1031" w:right="0" w:hanging="415"/>
        <w:jc w:val="both"/>
        <w:rPr>
          <w:sz w:val="38"/>
        </w:rPr>
      </w:pPr>
      <w:r>
        <w:rPr>
          <w:sz w:val="38"/>
        </w:rPr>
        <w:t>Fat</w:t>
      </w:r>
      <w:r>
        <w:rPr>
          <w:spacing w:val="-1"/>
          <w:sz w:val="38"/>
        </w:rPr>
        <w:t> </w:t>
      </w:r>
      <w:r>
        <w:rPr>
          <w:sz w:val="38"/>
        </w:rPr>
        <w:t>gain</w:t>
      </w:r>
    </w:p>
    <w:p>
      <w:pPr>
        <w:pStyle w:val="ListParagraph"/>
        <w:numPr>
          <w:ilvl w:val="0"/>
          <w:numId w:val="118"/>
        </w:numPr>
        <w:tabs>
          <w:tab w:pos="1032" w:val="left" w:leader="none"/>
        </w:tabs>
        <w:spacing w:line="240" w:lineRule="auto" w:before="183" w:after="0"/>
        <w:ind w:left="1031" w:right="0" w:hanging="415"/>
        <w:jc w:val="both"/>
        <w:rPr>
          <w:sz w:val="38"/>
        </w:rPr>
      </w:pPr>
      <w:r>
        <w:rPr>
          <w:sz w:val="38"/>
        </w:rPr>
        <w:t>Muscle</w:t>
      </w:r>
      <w:r>
        <w:rPr>
          <w:spacing w:val="-1"/>
          <w:sz w:val="38"/>
        </w:rPr>
        <w:t> </w:t>
      </w:r>
      <w:r>
        <w:rPr>
          <w:sz w:val="38"/>
        </w:rPr>
        <w:t>loss</w:t>
      </w:r>
    </w:p>
    <w:p>
      <w:pPr>
        <w:pStyle w:val="ListParagraph"/>
        <w:numPr>
          <w:ilvl w:val="0"/>
          <w:numId w:val="118"/>
        </w:numPr>
        <w:tabs>
          <w:tab w:pos="1032" w:val="left" w:leader="none"/>
        </w:tabs>
        <w:spacing w:line="240" w:lineRule="auto" w:before="184" w:after="0"/>
        <w:ind w:left="1031" w:right="0" w:hanging="415"/>
        <w:jc w:val="both"/>
        <w:rPr>
          <w:sz w:val="38"/>
        </w:rPr>
      </w:pPr>
      <w:r>
        <w:rPr>
          <w:sz w:val="38"/>
        </w:rPr>
        <w:t>Brittle fingernails and</w:t>
      </w:r>
      <w:r>
        <w:rPr>
          <w:spacing w:val="1"/>
          <w:sz w:val="38"/>
        </w:rPr>
        <w:t> </w:t>
      </w:r>
      <w:r>
        <w:rPr>
          <w:sz w:val="38"/>
        </w:rPr>
        <w:t>toenails</w:t>
      </w:r>
    </w:p>
    <w:p>
      <w:pPr>
        <w:spacing w:after="0" w:line="240" w:lineRule="auto"/>
        <w:jc w:val="both"/>
        <w:rPr>
          <w:sz w:val="38"/>
        </w:rPr>
        <w:sectPr>
          <w:pgSz w:w="14270" w:h="16850"/>
          <w:pgMar w:header="0" w:footer="1891" w:top="1340" w:bottom="2080" w:left="800" w:right="1280"/>
        </w:sectPr>
      </w:pPr>
    </w:p>
    <w:p>
      <w:pPr>
        <w:pStyle w:val="Heading1"/>
        <w:spacing w:before="77"/>
        <w:ind w:left="616"/>
        <w:jc w:val="both"/>
      </w:pPr>
      <w:r>
        <w:rPr/>
        <w:t>Internal attributes of ageing:</w:t>
      </w:r>
    </w:p>
    <w:p>
      <w:pPr>
        <w:pStyle w:val="ListParagraph"/>
        <w:numPr>
          <w:ilvl w:val="0"/>
          <w:numId w:val="118"/>
        </w:numPr>
        <w:tabs>
          <w:tab w:pos="1032" w:val="left" w:leader="none"/>
        </w:tabs>
        <w:spacing w:line="240" w:lineRule="auto" w:before="260" w:after="0"/>
        <w:ind w:left="1031" w:right="0" w:hanging="415"/>
        <w:jc w:val="both"/>
        <w:rPr>
          <w:sz w:val="38"/>
        </w:rPr>
      </w:pPr>
      <w:r>
        <w:rPr>
          <w:sz w:val="38"/>
        </w:rPr>
        <w:t>Visual and hearing</w:t>
      </w:r>
      <w:r>
        <w:rPr>
          <w:spacing w:val="-1"/>
          <w:sz w:val="38"/>
        </w:rPr>
        <w:t> </w:t>
      </w:r>
      <w:r>
        <w:rPr>
          <w:sz w:val="38"/>
        </w:rPr>
        <w:t>impairment</w:t>
      </w:r>
    </w:p>
    <w:p>
      <w:pPr>
        <w:pStyle w:val="ListParagraph"/>
        <w:numPr>
          <w:ilvl w:val="0"/>
          <w:numId w:val="118"/>
        </w:numPr>
        <w:tabs>
          <w:tab w:pos="1032" w:val="left" w:leader="none"/>
        </w:tabs>
        <w:spacing w:line="240" w:lineRule="auto" w:before="184" w:after="0"/>
        <w:ind w:left="1031" w:right="0" w:hanging="415"/>
        <w:jc w:val="both"/>
        <w:rPr>
          <w:sz w:val="38"/>
        </w:rPr>
      </w:pPr>
      <w:r>
        <w:rPr>
          <w:sz w:val="38"/>
        </w:rPr>
        <w:t>Senile</w:t>
      </w:r>
      <w:r>
        <w:rPr>
          <w:spacing w:val="-1"/>
          <w:sz w:val="38"/>
        </w:rPr>
        <w:t> </w:t>
      </w:r>
      <w:r>
        <w:rPr>
          <w:sz w:val="38"/>
        </w:rPr>
        <w:t>dementia</w:t>
      </w:r>
    </w:p>
    <w:p>
      <w:pPr>
        <w:pStyle w:val="ListParagraph"/>
        <w:numPr>
          <w:ilvl w:val="0"/>
          <w:numId w:val="118"/>
        </w:numPr>
        <w:tabs>
          <w:tab w:pos="1032" w:val="left" w:leader="none"/>
        </w:tabs>
        <w:spacing w:line="240" w:lineRule="auto" w:before="183" w:after="0"/>
        <w:ind w:left="1031" w:right="0" w:hanging="415"/>
        <w:jc w:val="both"/>
        <w:rPr>
          <w:sz w:val="38"/>
        </w:rPr>
      </w:pPr>
      <w:r>
        <w:rPr>
          <w:sz w:val="38"/>
        </w:rPr>
        <w:t>Cardiovascular</w:t>
      </w:r>
      <w:r>
        <w:rPr>
          <w:spacing w:val="1"/>
          <w:sz w:val="38"/>
        </w:rPr>
        <w:t> </w:t>
      </w:r>
      <w:r>
        <w:rPr>
          <w:sz w:val="38"/>
        </w:rPr>
        <w:t>degeneration</w:t>
      </w:r>
    </w:p>
    <w:p>
      <w:pPr>
        <w:pStyle w:val="ListParagraph"/>
        <w:numPr>
          <w:ilvl w:val="0"/>
          <w:numId w:val="118"/>
        </w:numPr>
        <w:tabs>
          <w:tab w:pos="1032" w:val="left" w:leader="none"/>
        </w:tabs>
        <w:spacing w:line="240" w:lineRule="auto" w:before="184" w:after="0"/>
        <w:ind w:left="1031" w:right="0" w:hanging="415"/>
        <w:jc w:val="both"/>
        <w:rPr>
          <w:sz w:val="38"/>
        </w:rPr>
      </w:pPr>
      <w:r>
        <w:rPr>
          <w:sz w:val="38"/>
        </w:rPr>
        <w:t>Joint wear (arthrosis)</w:t>
      </w:r>
    </w:p>
    <w:p>
      <w:pPr>
        <w:pStyle w:val="ListParagraph"/>
        <w:numPr>
          <w:ilvl w:val="0"/>
          <w:numId w:val="118"/>
        </w:numPr>
        <w:tabs>
          <w:tab w:pos="1032" w:val="left" w:leader="none"/>
        </w:tabs>
        <w:spacing w:line="240" w:lineRule="auto" w:before="183" w:after="0"/>
        <w:ind w:left="1031" w:right="0" w:hanging="415"/>
        <w:jc w:val="both"/>
        <w:rPr>
          <w:sz w:val="38"/>
        </w:rPr>
      </w:pPr>
      <w:r>
        <w:rPr>
          <w:sz w:val="38"/>
        </w:rPr>
        <w:t>Bone loss</w:t>
      </w:r>
      <w:r>
        <w:rPr>
          <w:spacing w:val="-4"/>
          <w:sz w:val="38"/>
        </w:rPr>
        <w:t> </w:t>
      </w:r>
      <w:r>
        <w:rPr>
          <w:sz w:val="38"/>
        </w:rPr>
        <w:t>(osteoporosis)</w:t>
      </w:r>
    </w:p>
    <w:p>
      <w:pPr>
        <w:pStyle w:val="ListParagraph"/>
        <w:numPr>
          <w:ilvl w:val="0"/>
          <w:numId w:val="118"/>
        </w:numPr>
        <w:tabs>
          <w:tab w:pos="1032" w:val="left" w:leader="none"/>
        </w:tabs>
        <w:spacing w:line="240" w:lineRule="auto" w:before="187" w:after="0"/>
        <w:ind w:left="1031" w:right="0" w:hanging="415"/>
        <w:jc w:val="both"/>
        <w:rPr>
          <w:sz w:val="38"/>
        </w:rPr>
      </w:pPr>
      <w:r>
        <w:rPr>
          <w:sz w:val="38"/>
        </w:rPr>
        <w:t>Degeneration of nerve</w:t>
      </w:r>
      <w:r>
        <w:rPr>
          <w:spacing w:val="1"/>
          <w:sz w:val="38"/>
        </w:rPr>
        <w:t> </w:t>
      </w:r>
      <w:r>
        <w:rPr>
          <w:sz w:val="38"/>
        </w:rPr>
        <w:t>cells</w:t>
      </w:r>
    </w:p>
    <w:p>
      <w:pPr>
        <w:pStyle w:val="ListParagraph"/>
        <w:numPr>
          <w:ilvl w:val="0"/>
          <w:numId w:val="118"/>
        </w:numPr>
        <w:tabs>
          <w:tab w:pos="1032" w:val="left" w:leader="none"/>
        </w:tabs>
        <w:spacing w:line="240" w:lineRule="auto" w:before="184" w:after="0"/>
        <w:ind w:left="1031" w:right="0" w:hanging="415"/>
        <w:jc w:val="both"/>
        <w:rPr>
          <w:sz w:val="38"/>
        </w:rPr>
      </w:pPr>
      <w:r>
        <w:rPr>
          <w:sz w:val="38"/>
        </w:rPr>
        <w:t>Cell degeneration on all</w:t>
      </w:r>
      <w:r>
        <w:rPr>
          <w:spacing w:val="-3"/>
          <w:sz w:val="38"/>
        </w:rPr>
        <w:t> </w:t>
      </w:r>
      <w:r>
        <w:rPr>
          <w:sz w:val="38"/>
        </w:rPr>
        <w:t>organs</w:t>
      </w:r>
    </w:p>
    <w:p>
      <w:pPr>
        <w:pStyle w:val="Heading1"/>
        <w:spacing w:before="287"/>
        <w:ind w:left="616"/>
        <w:jc w:val="both"/>
      </w:pPr>
      <w:r>
        <w:rPr/>
        <w:t>We can influence biological ageing!</w:t>
      </w:r>
    </w:p>
    <w:p>
      <w:pPr>
        <w:pStyle w:val="BodyText"/>
        <w:spacing w:line="278" w:lineRule="auto" w:before="297"/>
        <w:ind w:left="616"/>
      </w:pPr>
      <w:r>
        <w:rPr/>
        <w:t>In contrast to chronological ageing, that is, the age shown in our identity</w:t>
      </w:r>
      <w:r>
        <w:rPr>
          <w:spacing w:val="-59"/>
        </w:rPr>
        <w:t> </w:t>
      </w:r>
      <w:r>
        <w:rPr/>
        <w:t>card, we can strongly influence biological ageing by:</w:t>
      </w:r>
    </w:p>
    <w:p>
      <w:pPr>
        <w:pStyle w:val="ListParagraph"/>
        <w:numPr>
          <w:ilvl w:val="1"/>
          <w:numId w:val="115"/>
        </w:numPr>
        <w:tabs>
          <w:tab w:pos="1697" w:val="left" w:leader="none"/>
        </w:tabs>
        <w:spacing w:line="240" w:lineRule="auto" w:before="232" w:after="0"/>
        <w:ind w:left="1696" w:right="0" w:hanging="360"/>
        <w:jc w:val="left"/>
        <w:rPr>
          <w:sz w:val="38"/>
        </w:rPr>
      </w:pPr>
      <w:r>
        <w:rPr>
          <w:sz w:val="38"/>
        </w:rPr>
        <w:t>protecting the body from free radicals,</w:t>
      </w:r>
    </w:p>
    <w:p>
      <w:pPr>
        <w:pStyle w:val="ListParagraph"/>
        <w:numPr>
          <w:ilvl w:val="1"/>
          <w:numId w:val="115"/>
        </w:numPr>
        <w:tabs>
          <w:tab w:pos="1697" w:val="left" w:leader="none"/>
        </w:tabs>
        <w:spacing w:line="276" w:lineRule="auto" w:before="302" w:after="0"/>
        <w:ind w:left="1696" w:right="142" w:hanging="360"/>
        <w:jc w:val="left"/>
        <w:rPr>
          <w:sz w:val="38"/>
        </w:rPr>
      </w:pPr>
      <w:r>
        <w:rPr>
          <w:sz w:val="38"/>
        </w:rPr>
        <w:t>preserving the organism from the body's own acids and those from one's diet</w:t>
      </w:r>
      <w:r>
        <w:rPr>
          <w:spacing w:val="-1"/>
          <w:sz w:val="38"/>
        </w:rPr>
        <w:t> </w:t>
      </w:r>
      <w:r>
        <w:rPr>
          <w:sz w:val="38"/>
        </w:rPr>
        <w:t>and</w:t>
      </w:r>
    </w:p>
    <w:p>
      <w:pPr>
        <w:pStyle w:val="ListParagraph"/>
        <w:numPr>
          <w:ilvl w:val="1"/>
          <w:numId w:val="115"/>
        </w:numPr>
        <w:tabs>
          <w:tab w:pos="1697" w:val="left" w:leader="none"/>
        </w:tabs>
        <w:spacing w:line="276" w:lineRule="auto" w:before="241" w:after="0"/>
        <w:ind w:left="1696" w:right="141" w:hanging="360"/>
        <w:jc w:val="left"/>
        <w:rPr>
          <w:sz w:val="38"/>
        </w:rPr>
      </w:pPr>
      <w:r>
        <w:rPr>
          <w:sz w:val="38"/>
        </w:rPr>
        <w:t>giving the body all the nutrients that our body cells need for regenera- tion.</w:t>
      </w:r>
    </w:p>
    <w:p>
      <w:pPr>
        <w:pStyle w:val="BodyText"/>
        <w:spacing w:line="276" w:lineRule="auto" w:before="242"/>
        <w:ind w:left="616" w:right="137"/>
        <w:jc w:val="both"/>
      </w:pPr>
      <w:r>
        <w:rPr/>
        <w:t>Here, silicon (silica) proves to be THE all-rounder par excellence! It protects against free radicals, neutralises harmful acids, serves as a nutrient for the body's cells and promotes cell division and cell renewal. New cell growth is</w:t>
      </w:r>
    </w:p>
    <w:p>
      <w:pPr>
        <w:spacing w:after="0" w:line="276" w:lineRule="auto"/>
        <w:jc w:val="both"/>
        <w:sectPr>
          <w:pgSz w:w="14270" w:h="16850"/>
          <w:pgMar w:header="0" w:footer="1891" w:top="1320" w:bottom="2080" w:left="800" w:right="1280"/>
        </w:sectPr>
      </w:pPr>
    </w:p>
    <w:p>
      <w:pPr>
        <w:pStyle w:val="BodyText"/>
        <w:spacing w:line="276" w:lineRule="auto" w:before="72"/>
        <w:ind w:left="616" w:right="138"/>
        <w:jc w:val="both"/>
      </w:pPr>
      <w:r>
        <w:rPr/>
        <w:t>achieved, the new cell tissue is enriched with silicon and can also act as a bio- catalyst and stimulate the metabolism. According to studies, the degradation of silicon in the body begins as early as the age of 10 and it becomes visible from about the age of 35.</w:t>
      </w:r>
    </w:p>
    <w:p>
      <w:pPr>
        <w:pStyle w:val="BodyText"/>
        <w:spacing w:line="276" w:lineRule="auto" w:before="241"/>
        <w:ind w:left="616" w:right="134"/>
        <w:jc w:val="both"/>
      </w:pPr>
      <w:r>
        <w:rPr/>
        <w:t>These</w:t>
      </w:r>
      <w:r>
        <w:rPr>
          <w:spacing w:val="-13"/>
        </w:rPr>
        <w:t> </w:t>
      </w:r>
      <w:r>
        <w:rPr/>
        <w:t>are</w:t>
      </w:r>
      <w:r>
        <w:rPr>
          <w:spacing w:val="-13"/>
        </w:rPr>
        <w:t> </w:t>
      </w:r>
      <w:r>
        <w:rPr/>
        <w:t>mechanisms</w:t>
      </w:r>
      <w:r>
        <w:rPr>
          <w:spacing w:val="-12"/>
        </w:rPr>
        <w:t> </w:t>
      </w:r>
      <w:r>
        <w:rPr/>
        <w:t>that</w:t>
      </w:r>
      <w:r>
        <w:rPr>
          <w:spacing w:val="-13"/>
        </w:rPr>
        <w:t> </w:t>
      </w:r>
      <w:r>
        <w:rPr/>
        <w:t>you</w:t>
      </w:r>
      <w:r>
        <w:rPr>
          <w:spacing w:val="-14"/>
        </w:rPr>
        <w:t> </w:t>
      </w:r>
      <w:r>
        <w:rPr/>
        <w:t>can</w:t>
      </w:r>
      <w:r>
        <w:rPr>
          <w:spacing w:val="-12"/>
        </w:rPr>
        <w:t> </w:t>
      </w:r>
      <w:r>
        <w:rPr/>
        <w:t>not</w:t>
      </w:r>
      <w:r>
        <w:rPr>
          <w:spacing w:val="-13"/>
        </w:rPr>
        <w:t> </w:t>
      </w:r>
      <w:r>
        <w:rPr/>
        <w:t>only</w:t>
      </w:r>
      <w:r>
        <w:rPr>
          <w:spacing w:val="-14"/>
        </w:rPr>
        <w:t> </w:t>
      </w:r>
      <w:r>
        <w:rPr/>
        <w:t>slow</w:t>
      </w:r>
      <w:r>
        <w:rPr>
          <w:spacing w:val="-14"/>
        </w:rPr>
        <w:t> </w:t>
      </w:r>
      <w:r>
        <w:rPr/>
        <w:t>down</w:t>
      </w:r>
      <w:r>
        <w:rPr>
          <w:spacing w:val="-13"/>
        </w:rPr>
        <w:t> </w:t>
      </w:r>
      <w:r>
        <w:rPr/>
        <w:t>with</w:t>
      </w:r>
      <w:r>
        <w:rPr>
          <w:spacing w:val="-13"/>
        </w:rPr>
        <w:t> </w:t>
      </w:r>
      <w:r>
        <w:rPr/>
        <w:t>additional</w:t>
      </w:r>
      <w:r>
        <w:rPr>
          <w:spacing w:val="-15"/>
        </w:rPr>
        <w:t> </w:t>
      </w:r>
      <w:r>
        <w:rPr/>
        <w:t>silicon intake,</w:t>
      </w:r>
      <w:r>
        <w:rPr>
          <w:spacing w:val="-9"/>
        </w:rPr>
        <w:t> </w:t>
      </w:r>
      <w:r>
        <w:rPr/>
        <w:t>but</w:t>
      </w:r>
      <w:r>
        <w:rPr>
          <w:spacing w:val="-9"/>
        </w:rPr>
        <w:t> </w:t>
      </w:r>
      <w:r>
        <w:rPr/>
        <w:t>can</w:t>
      </w:r>
      <w:r>
        <w:rPr>
          <w:spacing w:val="-7"/>
        </w:rPr>
        <w:t> </w:t>
      </w:r>
      <w:r>
        <w:rPr/>
        <w:t>even</w:t>
      </w:r>
      <w:r>
        <w:rPr>
          <w:spacing w:val="-8"/>
        </w:rPr>
        <w:t> </w:t>
      </w:r>
      <w:r>
        <w:rPr/>
        <w:t>reverse</w:t>
      </w:r>
      <w:r>
        <w:rPr>
          <w:spacing w:val="-12"/>
        </w:rPr>
        <w:t> </w:t>
      </w:r>
      <w:r>
        <w:rPr/>
        <w:t>to</w:t>
      </w:r>
      <w:r>
        <w:rPr>
          <w:spacing w:val="-8"/>
        </w:rPr>
        <w:t> </w:t>
      </w:r>
      <w:r>
        <w:rPr/>
        <w:t>a</w:t>
      </w:r>
      <w:r>
        <w:rPr>
          <w:spacing w:val="-12"/>
        </w:rPr>
        <w:t> </w:t>
      </w:r>
      <w:r>
        <w:rPr/>
        <w:t>certain</w:t>
      </w:r>
      <w:r>
        <w:rPr>
          <w:spacing w:val="-8"/>
        </w:rPr>
        <w:t> </w:t>
      </w:r>
      <w:r>
        <w:rPr/>
        <w:t>extent!</w:t>
      </w:r>
      <w:r>
        <w:rPr>
          <w:spacing w:val="-7"/>
        </w:rPr>
        <w:t> </w:t>
      </w:r>
      <w:r>
        <w:rPr/>
        <w:t>These</w:t>
      </w:r>
      <w:r>
        <w:rPr>
          <w:spacing w:val="-9"/>
        </w:rPr>
        <w:t> </w:t>
      </w:r>
      <w:r>
        <w:rPr/>
        <w:t>mechanisms</w:t>
      </w:r>
      <w:r>
        <w:rPr>
          <w:spacing w:val="-9"/>
        </w:rPr>
        <w:t> </w:t>
      </w:r>
      <w:r>
        <w:rPr/>
        <w:t>are</w:t>
      </w:r>
      <w:r>
        <w:rPr>
          <w:spacing w:val="-8"/>
        </w:rPr>
        <w:t> </w:t>
      </w:r>
      <w:r>
        <w:rPr/>
        <w:t>not</w:t>
      </w:r>
      <w:r>
        <w:rPr>
          <w:spacing w:val="-11"/>
        </w:rPr>
        <w:t> </w:t>
      </w:r>
      <w:r>
        <w:rPr/>
        <w:t>just about slowing down ageing, but about age-reversing processes that are com- pletely new within gerontology (the research of ageing) and amaze scientists around the world. According to the researcher Loeper, the wall of the aorta (main artery) contains 4 times more silicon in children than in</w:t>
      </w:r>
      <w:r>
        <w:rPr>
          <w:spacing w:val="-10"/>
        </w:rPr>
        <w:t> </w:t>
      </w:r>
      <w:r>
        <w:rPr/>
        <w:t>adults.</w:t>
      </w:r>
    </w:p>
    <w:p>
      <w:pPr>
        <w:pStyle w:val="BodyText"/>
        <w:spacing w:line="278" w:lineRule="auto" w:before="241"/>
        <w:ind w:left="616" w:right="137"/>
        <w:jc w:val="both"/>
      </w:pPr>
      <w:r>
        <w:rPr/>
        <w:t>The</w:t>
      </w:r>
      <w:r>
        <w:rPr>
          <w:spacing w:val="-13"/>
        </w:rPr>
        <w:t> </w:t>
      </w:r>
      <w:r>
        <w:rPr/>
        <w:t>scientists</w:t>
      </w:r>
      <w:r>
        <w:rPr>
          <w:spacing w:val="-14"/>
        </w:rPr>
        <w:t> </w:t>
      </w:r>
      <w:r>
        <w:rPr/>
        <w:t>O.</w:t>
      </w:r>
      <w:r>
        <w:rPr>
          <w:spacing w:val="-13"/>
        </w:rPr>
        <w:t> </w:t>
      </w:r>
      <w:r>
        <w:rPr/>
        <w:t>Scholl</w:t>
      </w:r>
      <w:r>
        <w:rPr>
          <w:spacing w:val="-15"/>
        </w:rPr>
        <w:t> </w:t>
      </w:r>
      <w:r>
        <w:rPr/>
        <w:t>and</w:t>
      </w:r>
      <w:r>
        <w:rPr>
          <w:spacing w:val="-13"/>
        </w:rPr>
        <w:t> </w:t>
      </w:r>
      <w:r>
        <w:rPr/>
        <w:t>K.</w:t>
      </w:r>
      <w:r>
        <w:rPr>
          <w:spacing w:val="-13"/>
        </w:rPr>
        <w:t> </w:t>
      </w:r>
      <w:r>
        <w:rPr/>
        <w:t>Letters</w:t>
      </w:r>
      <w:r>
        <w:rPr>
          <w:spacing w:val="-12"/>
        </w:rPr>
        <w:t> </w:t>
      </w:r>
      <w:r>
        <w:rPr/>
        <w:t>were</w:t>
      </w:r>
      <w:r>
        <w:rPr>
          <w:spacing w:val="-14"/>
        </w:rPr>
        <w:t> </w:t>
      </w:r>
      <w:r>
        <w:rPr/>
        <w:t>able</w:t>
      </w:r>
      <w:r>
        <w:rPr>
          <w:spacing w:val="-13"/>
        </w:rPr>
        <w:t> </w:t>
      </w:r>
      <w:r>
        <w:rPr/>
        <w:t>to</w:t>
      </w:r>
      <w:r>
        <w:rPr>
          <w:spacing w:val="-14"/>
        </w:rPr>
        <w:t> </w:t>
      </w:r>
      <w:r>
        <w:rPr/>
        <w:t>prove</w:t>
      </w:r>
      <w:r>
        <w:rPr>
          <w:spacing w:val="-13"/>
        </w:rPr>
        <w:t> </w:t>
      </w:r>
      <w:r>
        <w:rPr/>
        <w:t>that</w:t>
      </w:r>
      <w:r>
        <w:rPr>
          <w:spacing w:val="-14"/>
        </w:rPr>
        <w:t> </w:t>
      </w:r>
      <w:r>
        <w:rPr/>
        <w:t>the</w:t>
      </w:r>
      <w:r>
        <w:rPr>
          <w:spacing w:val="-14"/>
        </w:rPr>
        <w:t> </w:t>
      </w:r>
      <w:r>
        <w:rPr/>
        <w:t>main</w:t>
      </w:r>
      <w:r>
        <w:rPr>
          <w:spacing w:val="-14"/>
        </w:rPr>
        <w:t> </w:t>
      </w:r>
      <w:r>
        <w:rPr/>
        <w:t>ageing process is due to dehydration, whereby the body cells dry</w:t>
      </w:r>
      <w:r>
        <w:rPr>
          <w:spacing w:val="-4"/>
        </w:rPr>
        <w:t> </w:t>
      </w:r>
      <w:r>
        <w:rPr/>
        <w:t>out.</w:t>
      </w:r>
    </w:p>
    <w:p>
      <w:pPr>
        <w:pStyle w:val="BodyText"/>
        <w:spacing w:line="276" w:lineRule="auto" w:before="232"/>
        <w:ind w:left="616" w:right="141"/>
        <w:jc w:val="both"/>
      </w:pPr>
      <w:r>
        <w:rPr/>
        <w:t>The result of this dehydration is the swelling of the protein and, as a result, flocculation and coagulation of the body's own protein.</w:t>
      </w:r>
    </w:p>
    <w:p>
      <w:pPr>
        <w:pStyle w:val="BodyText"/>
        <w:spacing w:line="276" w:lineRule="auto" w:before="241"/>
        <w:ind w:left="616" w:right="139"/>
        <w:jc w:val="both"/>
      </w:pPr>
      <w:r>
        <w:rPr/>
        <w:t>In 1949, the scientists Scholl and Gobor succeeded in delaying the described ageing processes on human tissue with 1 % soluble silicon and subsequently reversing it.</w:t>
      </w:r>
    </w:p>
    <w:p>
      <w:pPr>
        <w:pStyle w:val="BodyText"/>
        <w:spacing w:before="239"/>
        <w:ind w:left="616"/>
        <w:jc w:val="both"/>
      </w:pPr>
      <w:r>
        <w:rPr/>
        <w:t>The</w:t>
      </w:r>
      <w:r>
        <w:rPr>
          <w:spacing w:val="-12"/>
        </w:rPr>
        <w:t> </w:t>
      </w:r>
      <w:r>
        <w:rPr/>
        <w:t>silicon</w:t>
      </w:r>
      <w:r>
        <w:rPr>
          <w:spacing w:val="-12"/>
        </w:rPr>
        <w:t> </w:t>
      </w:r>
      <w:r>
        <w:rPr/>
        <w:t>content</w:t>
      </w:r>
      <w:r>
        <w:rPr>
          <w:spacing w:val="-13"/>
        </w:rPr>
        <w:t> </w:t>
      </w:r>
      <w:r>
        <w:rPr/>
        <w:t>of</w:t>
      </w:r>
      <w:r>
        <w:rPr>
          <w:spacing w:val="-13"/>
        </w:rPr>
        <w:t> </w:t>
      </w:r>
      <w:r>
        <w:rPr/>
        <w:t>the</w:t>
      </w:r>
      <w:r>
        <w:rPr>
          <w:spacing w:val="-12"/>
        </w:rPr>
        <w:t> </w:t>
      </w:r>
      <w:r>
        <w:rPr/>
        <w:t>blood</w:t>
      </w:r>
      <w:r>
        <w:rPr>
          <w:spacing w:val="-13"/>
        </w:rPr>
        <w:t> </w:t>
      </w:r>
      <w:r>
        <w:rPr/>
        <w:t>increased</w:t>
      </w:r>
      <w:r>
        <w:rPr>
          <w:spacing w:val="-11"/>
        </w:rPr>
        <w:t> </w:t>
      </w:r>
      <w:r>
        <w:rPr/>
        <w:t>over</w:t>
      </w:r>
      <w:r>
        <w:rPr>
          <w:spacing w:val="-12"/>
        </w:rPr>
        <w:t> </w:t>
      </w:r>
      <w:r>
        <w:rPr/>
        <w:t>several</w:t>
      </w:r>
      <w:r>
        <w:rPr>
          <w:spacing w:val="-15"/>
        </w:rPr>
        <w:t> </w:t>
      </w:r>
      <w:r>
        <w:rPr/>
        <w:t>weeks,</w:t>
      </w:r>
      <w:r>
        <w:rPr>
          <w:spacing w:val="-12"/>
        </w:rPr>
        <w:t> </w:t>
      </w:r>
      <w:r>
        <w:rPr/>
        <w:t>by</w:t>
      </w:r>
      <w:r>
        <w:rPr>
          <w:spacing w:val="-13"/>
        </w:rPr>
        <w:t> </w:t>
      </w:r>
      <w:r>
        <w:rPr/>
        <w:t>up</w:t>
      </w:r>
      <w:r>
        <w:rPr>
          <w:spacing w:val="-13"/>
        </w:rPr>
        <w:t> </w:t>
      </w:r>
      <w:r>
        <w:rPr/>
        <w:t>to</w:t>
      </w:r>
      <w:r>
        <w:rPr>
          <w:spacing w:val="-12"/>
        </w:rPr>
        <w:t> </w:t>
      </w:r>
      <w:r>
        <w:rPr/>
        <w:t>400</w:t>
      </w:r>
      <w:r>
        <w:rPr>
          <w:spacing w:val="-14"/>
        </w:rPr>
        <w:t> </w:t>
      </w:r>
      <w:r>
        <w:rPr/>
        <w:t>%.</w:t>
      </w:r>
    </w:p>
    <w:p>
      <w:pPr>
        <w:pStyle w:val="BodyText"/>
        <w:rPr>
          <w:sz w:val="42"/>
        </w:rPr>
      </w:pPr>
    </w:p>
    <w:p>
      <w:pPr>
        <w:pStyle w:val="BodyText"/>
        <w:spacing w:before="7"/>
        <w:rPr>
          <w:sz w:val="48"/>
        </w:rPr>
      </w:pPr>
    </w:p>
    <w:p>
      <w:pPr>
        <w:pStyle w:val="Heading1"/>
        <w:spacing w:before="0"/>
        <w:ind w:left="616"/>
        <w:jc w:val="both"/>
      </w:pPr>
      <w:r>
        <w:rPr/>
        <w:t>Silicon</w:t>
      </w:r>
      <w:r>
        <w:rPr>
          <w:spacing w:val="-59"/>
        </w:rPr>
        <w:t> </w:t>
      </w:r>
      <w:r>
        <w:rPr/>
        <w:t>strengthens</w:t>
      </w:r>
      <w:r>
        <w:rPr>
          <w:spacing w:val="-57"/>
        </w:rPr>
        <w:t> </w:t>
      </w:r>
      <w:r>
        <w:rPr/>
        <w:t>our</w:t>
      </w:r>
      <w:r>
        <w:rPr>
          <w:spacing w:val="-59"/>
        </w:rPr>
        <w:t> </w:t>
      </w:r>
      <w:r>
        <w:rPr/>
        <w:t>connective</w:t>
      </w:r>
      <w:r>
        <w:rPr>
          <w:spacing w:val="-56"/>
        </w:rPr>
        <w:t> </w:t>
      </w:r>
      <w:r>
        <w:rPr/>
        <w:t>tissue</w:t>
      </w:r>
      <w:r>
        <w:rPr>
          <w:spacing w:val="-58"/>
        </w:rPr>
        <w:t> </w:t>
      </w:r>
      <w:r>
        <w:rPr/>
        <w:t>and</w:t>
      </w:r>
      <w:r>
        <w:rPr>
          <w:spacing w:val="-59"/>
        </w:rPr>
        <w:t> </w:t>
      </w:r>
      <w:r>
        <w:rPr/>
        <w:t>smoothens</w:t>
      </w:r>
      <w:r>
        <w:rPr>
          <w:spacing w:val="-58"/>
        </w:rPr>
        <w:t> </w:t>
      </w:r>
      <w:r>
        <w:rPr/>
        <w:t>skin</w:t>
      </w:r>
      <w:r>
        <w:rPr>
          <w:spacing w:val="-59"/>
        </w:rPr>
        <w:t> </w:t>
      </w:r>
      <w:r>
        <w:rPr/>
        <w:t>wrinkles</w:t>
      </w:r>
    </w:p>
    <w:p>
      <w:pPr>
        <w:spacing w:after="0"/>
        <w:jc w:val="both"/>
        <w:sectPr>
          <w:pgSz w:w="14270" w:h="16850"/>
          <w:pgMar w:header="0" w:footer="1891" w:top="1340" w:bottom="2080" w:left="800" w:right="1280"/>
        </w:sectPr>
      </w:pPr>
    </w:p>
    <w:p>
      <w:pPr>
        <w:pStyle w:val="BodyText"/>
        <w:spacing w:line="276" w:lineRule="auto" w:before="74"/>
        <w:ind w:left="616" w:right="138"/>
        <w:jc w:val="both"/>
      </w:pPr>
      <w:r>
        <w:rPr/>
        <w:t>Skin, tendons, ligaments, cartilage and intervertebral discs consist largely of protein molecules. Silicon stimulates cell division, activates cell metabolism of our connective tissue and strengthens it.</w:t>
      </w:r>
    </w:p>
    <w:p>
      <w:pPr>
        <w:pStyle w:val="BodyText"/>
        <w:spacing w:line="276" w:lineRule="auto" w:before="239"/>
        <w:ind w:left="616" w:right="137"/>
        <w:jc w:val="both"/>
      </w:pPr>
      <w:r>
        <w:rPr/>
        <w:t>Scientific studies confirm that silicon plays an important role in connective tissue</w:t>
      </w:r>
      <w:r>
        <w:rPr>
          <w:spacing w:val="-12"/>
        </w:rPr>
        <w:t> </w:t>
      </w:r>
      <w:r>
        <w:rPr/>
        <w:t>metabolism.</w:t>
      </w:r>
      <w:r>
        <w:rPr>
          <w:spacing w:val="-12"/>
        </w:rPr>
        <w:t> </w:t>
      </w:r>
      <w:r>
        <w:rPr/>
        <w:t>Through</w:t>
      </w:r>
      <w:r>
        <w:rPr>
          <w:spacing w:val="-11"/>
        </w:rPr>
        <w:t> </w:t>
      </w:r>
      <w:r>
        <w:rPr/>
        <w:t>certain</w:t>
      </w:r>
      <w:r>
        <w:rPr>
          <w:spacing w:val="-12"/>
        </w:rPr>
        <w:t> </w:t>
      </w:r>
      <w:r>
        <w:rPr/>
        <w:t>enzymes,</w:t>
      </w:r>
      <w:r>
        <w:rPr>
          <w:spacing w:val="-13"/>
        </w:rPr>
        <w:t> </w:t>
      </w:r>
      <w:r>
        <w:rPr/>
        <w:t>it</w:t>
      </w:r>
      <w:r>
        <w:rPr>
          <w:spacing w:val="-12"/>
        </w:rPr>
        <w:t> </w:t>
      </w:r>
      <w:r>
        <w:rPr/>
        <w:t>promotes</w:t>
      </w:r>
      <w:r>
        <w:rPr>
          <w:spacing w:val="-12"/>
        </w:rPr>
        <w:t> </w:t>
      </w:r>
      <w:r>
        <w:rPr/>
        <w:t>the</w:t>
      </w:r>
      <w:r>
        <w:rPr>
          <w:spacing w:val="-12"/>
        </w:rPr>
        <w:t> </w:t>
      </w:r>
      <w:r>
        <w:rPr/>
        <w:t>formation</w:t>
      </w:r>
      <w:r>
        <w:rPr>
          <w:spacing w:val="-12"/>
        </w:rPr>
        <w:t> </w:t>
      </w:r>
      <w:r>
        <w:rPr/>
        <w:t>of</w:t>
      </w:r>
      <w:r>
        <w:rPr>
          <w:spacing w:val="-11"/>
        </w:rPr>
        <w:t> </w:t>
      </w:r>
      <w:r>
        <w:rPr/>
        <w:t>the connective tissue fibres 'collagen' and 'elastin'. While elastin is responsible for the elasticity of the skin, collagen makes the skin firmer. Silicon is therefore indispensable for the synthesis of collagen and elastin fibres in connective tis- sue;</w:t>
      </w:r>
      <w:r>
        <w:rPr>
          <w:spacing w:val="-19"/>
        </w:rPr>
        <w:t> </w:t>
      </w:r>
      <w:r>
        <w:rPr/>
        <w:t>a</w:t>
      </w:r>
      <w:r>
        <w:rPr>
          <w:spacing w:val="-20"/>
        </w:rPr>
        <w:t> </w:t>
      </w:r>
      <w:r>
        <w:rPr/>
        <w:t>deficiency</w:t>
      </w:r>
      <w:r>
        <w:rPr>
          <w:spacing w:val="-21"/>
        </w:rPr>
        <w:t> </w:t>
      </w:r>
      <w:r>
        <w:rPr/>
        <w:t>reduces</w:t>
      </w:r>
      <w:r>
        <w:rPr>
          <w:spacing w:val="-19"/>
        </w:rPr>
        <w:t> </w:t>
      </w:r>
      <w:r>
        <w:rPr/>
        <w:t>the</w:t>
      </w:r>
      <w:r>
        <w:rPr>
          <w:spacing w:val="-19"/>
        </w:rPr>
        <w:t> </w:t>
      </w:r>
      <w:r>
        <w:rPr/>
        <w:t>elasticity</w:t>
      </w:r>
      <w:r>
        <w:rPr>
          <w:spacing w:val="-20"/>
        </w:rPr>
        <w:t> </w:t>
      </w:r>
      <w:r>
        <w:rPr/>
        <w:t>and</w:t>
      </w:r>
      <w:r>
        <w:rPr>
          <w:spacing w:val="-19"/>
        </w:rPr>
        <w:t> </w:t>
      </w:r>
      <w:r>
        <w:rPr/>
        <w:t>strength</w:t>
      </w:r>
      <w:r>
        <w:rPr>
          <w:spacing w:val="-18"/>
        </w:rPr>
        <w:t> </w:t>
      </w:r>
      <w:r>
        <w:rPr/>
        <w:t>of</w:t>
      </w:r>
      <w:r>
        <w:rPr>
          <w:spacing w:val="-19"/>
        </w:rPr>
        <w:t> </w:t>
      </w:r>
      <w:r>
        <w:rPr/>
        <w:t>the</w:t>
      </w:r>
      <w:r>
        <w:rPr>
          <w:spacing w:val="-22"/>
        </w:rPr>
        <w:t> </w:t>
      </w:r>
      <w:r>
        <w:rPr/>
        <w:t>connective</w:t>
      </w:r>
      <w:r>
        <w:rPr>
          <w:spacing w:val="-20"/>
        </w:rPr>
        <w:t> </w:t>
      </w:r>
      <w:r>
        <w:rPr/>
        <w:t>tissue</w:t>
      </w:r>
      <w:r>
        <w:rPr>
          <w:spacing w:val="-19"/>
        </w:rPr>
        <w:t> </w:t>
      </w:r>
      <w:r>
        <w:rPr/>
        <w:t>and causes wrinkles.</w:t>
      </w:r>
    </w:p>
    <w:p>
      <w:pPr>
        <w:pStyle w:val="BodyText"/>
        <w:spacing w:line="276" w:lineRule="auto" w:before="241"/>
        <w:ind w:left="616" w:right="133"/>
        <w:jc w:val="both"/>
      </w:pPr>
      <w:r>
        <w:rPr/>
        <w:t>Here,</w:t>
      </w:r>
      <w:r>
        <w:rPr>
          <w:spacing w:val="-19"/>
        </w:rPr>
        <w:t> </w:t>
      </w:r>
      <w:r>
        <w:rPr/>
        <w:t>silicon</w:t>
      </w:r>
      <w:r>
        <w:rPr>
          <w:spacing w:val="-18"/>
        </w:rPr>
        <w:t> </w:t>
      </w:r>
      <w:r>
        <w:rPr/>
        <w:t>acts</w:t>
      </w:r>
      <w:r>
        <w:rPr>
          <w:spacing w:val="-18"/>
        </w:rPr>
        <w:t> </w:t>
      </w:r>
      <w:r>
        <w:rPr/>
        <w:t>as</w:t>
      </w:r>
      <w:r>
        <w:rPr>
          <w:spacing w:val="-19"/>
        </w:rPr>
        <w:t> </w:t>
      </w:r>
      <w:r>
        <w:rPr/>
        <w:t>a</w:t>
      </w:r>
      <w:r>
        <w:rPr>
          <w:spacing w:val="-20"/>
        </w:rPr>
        <w:t> </w:t>
      </w:r>
      <w:r>
        <w:rPr/>
        <w:t>connecting</w:t>
      </w:r>
      <w:r>
        <w:rPr>
          <w:spacing w:val="-21"/>
        </w:rPr>
        <w:t> </w:t>
      </w:r>
      <w:r>
        <w:rPr/>
        <w:t>element</w:t>
      </w:r>
      <w:r>
        <w:rPr>
          <w:spacing w:val="-19"/>
        </w:rPr>
        <w:t> </w:t>
      </w:r>
      <w:r>
        <w:rPr/>
        <w:t>between</w:t>
      </w:r>
      <w:r>
        <w:rPr>
          <w:spacing w:val="-19"/>
        </w:rPr>
        <w:t> </w:t>
      </w:r>
      <w:r>
        <w:rPr/>
        <w:t>skin</w:t>
      </w:r>
      <w:r>
        <w:rPr>
          <w:spacing w:val="-18"/>
        </w:rPr>
        <w:t> </w:t>
      </w:r>
      <w:r>
        <w:rPr/>
        <w:t>elements</w:t>
      </w:r>
      <w:r>
        <w:rPr>
          <w:spacing w:val="-18"/>
        </w:rPr>
        <w:t> </w:t>
      </w:r>
      <w:r>
        <w:rPr/>
        <w:t>-</w:t>
      </w:r>
      <w:r>
        <w:rPr>
          <w:spacing w:val="-20"/>
        </w:rPr>
        <w:t> </w:t>
      </w:r>
      <w:r>
        <w:rPr/>
        <w:t>namely</w:t>
      </w:r>
      <w:r>
        <w:rPr>
          <w:spacing w:val="-20"/>
        </w:rPr>
        <w:t> </w:t>
      </w:r>
      <w:r>
        <w:rPr/>
        <w:t>elas- tin and collagen fibres, the proteoglycans and glycosaminoglycans and the structural</w:t>
      </w:r>
      <w:r>
        <w:rPr>
          <w:spacing w:val="-12"/>
        </w:rPr>
        <w:t> </w:t>
      </w:r>
      <w:r>
        <w:rPr/>
        <w:t>glycoproteins,</w:t>
      </w:r>
      <w:r>
        <w:rPr>
          <w:spacing w:val="-10"/>
        </w:rPr>
        <w:t> </w:t>
      </w:r>
      <w:r>
        <w:rPr/>
        <w:t>which</w:t>
      </w:r>
      <w:r>
        <w:rPr>
          <w:spacing w:val="-13"/>
        </w:rPr>
        <w:t> </w:t>
      </w:r>
      <w:r>
        <w:rPr/>
        <w:t>together</w:t>
      </w:r>
      <w:r>
        <w:rPr>
          <w:spacing w:val="-11"/>
        </w:rPr>
        <w:t> </w:t>
      </w:r>
      <w:r>
        <w:rPr/>
        <w:t>form</w:t>
      </w:r>
      <w:r>
        <w:rPr>
          <w:spacing w:val="-14"/>
        </w:rPr>
        <w:t> </w:t>
      </w:r>
      <w:r>
        <w:rPr/>
        <w:t>the</w:t>
      </w:r>
      <w:r>
        <w:rPr>
          <w:spacing w:val="-13"/>
        </w:rPr>
        <w:t> </w:t>
      </w:r>
      <w:r>
        <w:rPr/>
        <w:t>three-dimensional</w:t>
      </w:r>
      <w:r>
        <w:rPr>
          <w:spacing w:val="-12"/>
        </w:rPr>
        <w:t> </w:t>
      </w:r>
      <w:r>
        <w:rPr/>
        <w:t>mesh</w:t>
      </w:r>
      <w:r>
        <w:rPr>
          <w:spacing w:val="-11"/>
        </w:rPr>
        <w:t> </w:t>
      </w:r>
      <w:r>
        <w:rPr/>
        <w:t>that we perceive as the outermost layer of</w:t>
      </w:r>
      <w:r>
        <w:rPr>
          <w:spacing w:val="2"/>
        </w:rPr>
        <w:t> </w:t>
      </w:r>
      <w:r>
        <w:rPr/>
        <w:t>skin.</w:t>
      </w:r>
    </w:p>
    <w:p>
      <w:pPr>
        <w:pStyle w:val="BodyText"/>
        <w:spacing w:line="276" w:lineRule="auto" w:before="242"/>
        <w:ind w:left="616" w:right="133"/>
        <w:jc w:val="both"/>
      </w:pPr>
      <w:r>
        <w:rPr/>
        <w:t>Ageing means gradually drying out – as already mentioned, silicon binds 300 times its own weight in water and ensures that the water comes back to</w:t>
      </w:r>
      <w:r>
        <w:rPr>
          <w:spacing w:val="-48"/>
        </w:rPr>
        <w:t> </w:t>
      </w:r>
      <w:r>
        <w:rPr/>
        <w:t>where it was still taken for granted at a young age: into the body</w:t>
      </w:r>
      <w:r>
        <w:rPr>
          <w:spacing w:val="-4"/>
        </w:rPr>
        <w:t> </w:t>
      </w:r>
      <w:r>
        <w:rPr/>
        <w:t>tissue!</w:t>
      </w:r>
    </w:p>
    <w:p>
      <w:pPr>
        <w:spacing w:after="0" w:line="276" w:lineRule="auto"/>
        <w:jc w:val="both"/>
        <w:sectPr>
          <w:pgSz w:w="14270" w:h="16850"/>
          <w:pgMar w:header="0" w:footer="1891" w:top="1340" w:bottom="2080" w:left="800" w:right="1280"/>
        </w:sectPr>
      </w:pPr>
    </w:p>
    <w:p>
      <w:pPr>
        <w:pStyle w:val="Heading1"/>
        <w:spacing w:before="77"/>
        <w:ind w:left="616"/>
      </w:pPr>
      <w:r>
        <w:rPr/>
        <w:t>Silicon rejuvenates the skin through several mechanisms:</w:t>
      </w:r>
    </w:p>
    <w:p>
      <w:pPr>
        <w:pStyle w:val="ListParagraph"/>
        <w:numPr>
          <w:ilvl w:val="1"/>
          <w:numId w:val="118"/>
        </w:numPr>
        <w:tabs>
          <w:tab w:pos="1663" w:val="left" w:leader="none"/>
        </w:tabs>
        <w:spacing w:line="273" w:lineRule="auto" w:before="178" w:after="0"/>
        <w:ind w:left="1662" w:right="133" w:hanging="360"/>
        <w:jc w:val="both"/>
        <w:rPr>
          <w:sz w:val="38"/>
        </w:rPr>
      </w:pPr>
      <w:r>
        <w:rPr>
          <w:sz w:val="38"/>
        </w:rPr>
        <w:t>By affecting the biosynthesis of elastin and collagen, skin elasticity is increased; tissue hardening resulting from lipid peroxidation and non- enzymatic glycosylation is counteracted.</w:t>
      </w:r>
    </w:p>
    <w:p>
      <w:pPr>
        <w:pStyle w:val="ListParagraph"/>
        <w:numPr>
          <w:ilvl w:val="1"/>
          <w:numId w:val="118"/>
        </w:numPr>
        <w:tabs>
          <w:tab w:pos="1662" w:val="left" w:leader="none"/>
          <w:tab w:pos="1663" w:val="left" w:leader="none"/>
        </w:tabs>
        <w:spacing w:line="240" w:lineRule="auto" w:before="132" w:after="0"/>
        <w:ind w:left="1662" w:right="0" w:hanging="360"/>
        <w:jc w:val="left"/>
        <w:rPr>
          <w:sz w:val="38"/>
        </w:rPr>
      </w:pPr>
      <w:r>
        <w:rPr>
          <w:sz w:val="38"/>
        </w:rPr>
        <w:t>Cell metabolism is stimulated, allowing skin cells to renew</w:t>
      </w:r>
      <w:r>
        <w:rPr>
          <w:spacing w:val="-6"/>
          <w:sz w:val="38"/>
        </w:rPr>
        <w:t> </w:t>
      </w:r>
      <w:r>
        <w:rPr>
          <w:sz w:val="38"/>
        </w:rPr>
        <w:t>faster.</w:t>
      </w:r>
    </w:p>
    <w:p>
      <w:pPr>
        <w:pStyle w:val="ListParagraph"/>
        <w:numPr>
          <w:ilvl w:val="1"/>
          <w:numId w:val="118"/>
        </w:numPr>
        <w:tabs>
          <w:tab w:pos="1662" w:val="left" w:leader="none"/>
          <w:tab w:pos="1663" w:val="left" w:leader="none"/>
        </w:tabs>
        <w:spacing w:line="273" w:lineRule="auto" w:before="184" w:after="0"/>
        <w:ind w:left="1662" w:right="134" w:hanging="360"/>
        <w:jc w:val="left"/>
        <w:rPr>
          <w:sz w:val="38"/>
        </w:rPr>
      </w:pPr>
      <w:r>
        <w:rPr>
          <w:sz w:val="38"/>
        </w:rPr>
        <w:t>The</w:t>
      </w:r>
      <w:r>
        <w:rPr>
          <w:spacing w:val="-12"/>
          <w:sz w:val="38"/>
        </w:rPr>
        <w:t> </w:t>
      </w:r>
      <w:r>
        <w:rPr>
          <w:sz w:val="38"/>
        </w:rPr>
        <w:t>skin</w:t>
      </w:r>
      <w:r>
        <w:rPr>
          <w:spacing w:val="-14"/>
          <w:sz w:val="38"/>
        </w:rPr>
        <w:t> </w:t>
      </w:r>
      <w:r>
        <w:rPr>
          <w:sz w:val="38"/>
        </w:rPr>
        <w:t>stores</w:t>
      </w:r>
      <w:r>
        <w:rPr>
          <w:spacing w:val="-17"/>
          <w:sz w:val="38"/>
        </w:rPr>
        <w:t> </w:t>
      </w:r>
      <w:r>
        <w:rPr>
          <w:sz w:val="38"/>
        </w:rPr>
        <w:t>decidedly</w:t>
      </w:r>
      <w:r>
        <w:rPr>
          <w:spacing w:val="-13"/>
          <w:sz w:val="38"/>
        </w:rPr>
        <w:t> </w:t>
      </w:r>
      <w:r>
        <w:rPr>
          <w:sz w:val="38"/>
        </w:rPr>
        <w:t>more</w:t>
      </w:r>
      <w:r>
        <w:rPr>
          <w:spacing w:val="-15"/>
          <w:sz w:val="38"/>
        </w:rPr>
        <w:t> </w:t>
      </w:r>
      <w:r>
        <w:rPr>
          <w:sz w:val="38"/>
        </w:rPr>
        <w:t>water</w:t>
      </w:r>
      <w:r>
        <w:rPr>
          <w:spacing w:val="-12"/>
          <w:sz w:val="38"/>
        </w:rPr>
        <w:t> </w:t>
      </w:r>
      <w:r>
        <w:rPr>
          <w:sz w:val="38"/>
        </w:rPr>
        <w:t>(from</w:t>
      </w:r>
      <w:r>
        <w:rPr>
          <w:spacing w:val="-13"/>
          <w:sz w:val="38"/>
        </w:rPr>
        <w:t> </w:t>
      </w:r>
      <w:r>
        <w:rPr>
          <w:sz w:val="38"/>
        </w:rPr>
        <w:t>the</w:t>
      </w:r>
      <w:r>
        <w:rPr>
          <w:spacing w:val="-17"/>
          <w:sz w:val="38"/>
        </w:rPr>
        <w:t> </w:t>
      </w:r>
      <w:r>
        <w:rPr>
          <w:sz w:val="38"/>
        </w:rPr>
        <w:t>age</w:t>
      </w:r>
      <w:r>
        <w:rPr>
          <w:spacing w:val="-13"/>
          <w:sz w:val="38"/>
        </w:rPr>
        <w:t> </w:t>
      </w:r>
      <w:r>
        <w:rPr>
          <w:sz w:val="38"/>
        </w:rPr>
        <w:t>of</w:t>
      </w:r>
      <w:r>
        <w:rPr>
          <w:spacing w:val="-15"/>
          <w:sz w:val="38"/>
        </w:rPr>
        <w:t> </w:t>
      </w:r>
      <w:r>
        <w:rPr>
          <w:sz w:val="38"/>
        </w:rPr>
        <w:t>40,</w:t>
      </w:r>
      <w:r>
        <w:rPr>
          <w:spacing w:val="-13"/>
          <w:sz w:val="38"/>
        </w:rPr>
        <w:t> </w:t>
      </w:r>
      <w:r>
        <w:rPr>
          <w:sz w:val="38"/>
        </w:rPr>
        <w:t>the</w:t>
      </w:r>
      <w:r>
        <w:rPr>
          <w:spacing w:val="-15"/>
          <w:sz w:val="38"/>
        </w:rPr>
        <w:t> </w:t>
      </w:r>
      <w:r>
        <w:rPr>
          <w:sz w:val="38"/>
        </w:rPr>
        <w:t>skin</w:t>
      </w:r>
      <w:r>
        <w:rPr>
          <w:spacing w:val="-12"/>
          <w:sz w:val="38"/>
        </w:rPr>
        <w:t> </w:t>
      </w:r>
      <w:r>
        <w:rPr>
          <w:sz w:val="38"/>
        </w:rPr>
        <w:t>dries out gradually without</w:t>
      </w:r>
      <w:r>
        <w:rPr>
          <w:spacing w:val="-4"/>
          <w:sz w:val="38"/>
        </w:rPr>
        <w:t> </w:t>
      </w:r>
      <w:r>
        <w:rPr>
          <w:sz w:val="38"/>
        </w:rPr>
        <w:t>silicon!).</w:t>
      </w:r>
    </w:p>
    <w:p>
      <w:pPr>
        <w:pStyle w:val="ListParagraph"/>
        <w:numPr>
          <w:ilvl w:val="1"/>
          <w:numId w:val="118"/>
        </w:numPr>
        <w:tabs>
          <w:tab w:pos="1662" w:val="left" w:leader="none"/>
          <w:tab w:pos="1663" w:val="left" w:leader="none"/>
        </w:tabs>
        <w:spacing w:line="240" w:lineRule="auto" w:before="127" w:after="0"/>
        <w:ind w:left="1662" w:right="0" w:hanging="360"/>
        <w:jc w:val="left"/>
        <w:rPr>
          <w:sz w:val="38"/>
        </w:rPr>
      </w:pPr>
      <w:r>
        <w:rPr>
          <w:sz w:val="38"/>
        </w:rPr>
        <w:t>The attacking free radicals are</w:t>
      </w:r>
      <w:r>
        <w:rPr>
          <w:spacing w:val="2"/>
          <w:sz w:val="38"/>
        </w:rPr>
        <w:t> </w:t>
      </w:r>
      <w:r>
        <w:rPr>
          <w:sz w:val="38"/>
        </w:rPr>
        <w:t>repelled.</w:t>
      </w:r>
    </w:p>
    <w:p>
      <w:pPr>
        <w:pStyle w:val="BodyText"/>
        <w:spacing w:line="276" w:lineRule="auto" w:before="305"/>
        <w:ind w:left="616" w:right="132"/>
        <w:jc w:val="both"/>
      </w:pPr>
      <w:r>
        <w:rPr/>
        <w:t>The cellular function of protein structures and collagens in human connective tissue as well as in muscle fibres relies on a kind of tissue swelling that partic- ularly satisfies silicon's ability to bind several hundred times its own weight in water.</w:t>
      </w:r>
      <w:r>
        <w:rPr>
          <w:spacing w:val="-5"/>
        </w:rPr>
        <w:t> </w:t>
      </w:r>
      <w:r>
        <w:rPr/>
        <w:t>A</w:t>
      </w:r>
      <w:r>
        <w:rPr>
          <w:spacing w:val="-6"/>
        </w:rPr>
        <w:t> </w:t>
      </w:r>
      <w:r>
        <w:rPr/>
        <w:t>study</w:t>
      </w:r>
      <w:r>
        <w:rPr>
          <w:spacing w:val="-6"/>
        </w:rPr>
        <w:t> </w:t>
      </w:r>
      <w:r>
        <w:rPr/>
        <w:t>on</w:t>
      </w:r>
      <w:r>
        <w:rPr>
          <w:spacing w:val="-6"/>
        </w:rPr>
        <w:t> </w:t>
      </w:r>
      <w:r>
        <w:rPr/>
        <w:t>mice</w:t>
      </w:r>
      <w:r>
        <w:rPr>
          <w:spacing w:val="-6"/>
        </w:rPr>
        <w:t> </w:t>
      </w:r>
      <w:r>
        <w:rPr/>
        <w:t>is</w:t>
      </w:r>
      <w:r>
        <w:rPr>
          <w:spacing w:val="-6"/>
        </w:rPr>
        <w:t> </w:t>
      </w:r>
      <w:r>
        <w:rPr/>
        <w:t>interesting</w:t>
      </w:r>
      <w:r>
        <w:rPr>
          <w:spacing w:val="-5"/>
        </w:rPr>
        <w:t> </w:t>
      </w:r>
      <w:r>
        <w:rPr/>
        <w:t>in</w:t>
      </w:r>
      <w:r>
        <w:rPr>
          <w:spacing w:val="-7"/>
        </w:rPr>
        <w:t> </w:t>
      </w:r>
      <w:r>
        <w:rPr/>
        <w:t>this</w:t>
      </w:r>
      <w:r>
        <w:rPr>
          <w:spacing w:val="-5"/>
        </w:rPr>
        <w:t> </w:t>
      </w:r>
      <w:r>
        <w:rPr/>
        <w:t>regard.</w:t>
      </w:r>
      <w:r>
        <w:rPr>
          <w:spacing w:val="-5"/>
        </w:rPr>
        <w:t> </w:t>
      </w:r>
      <w:r>
        <w:rPr/>
        <w:t>Mice</w:t>
      </w:r>
      <w:r>
        <w:rPr>
          <w:spacing w:val="-6"/>
        </w:rPr>
        <w:t> </w:t>
      </w:r>
      <w:r>
        <w:rPr/>
        <w:t>were</w:t>
      </w:r>
      <w:r>
        <w:rPr>
          <w:spacing w:val="-6"/>
        </w:rPr>
        <w:t> </w:t>
      </w:r>
      <w:r>
        <w:rPr/>
        <w:t>given</w:t>
      </w:r>
      <w:r>
        <w:rPr>
          <w:spacing w:val="-5"/>
        </w:rPr>
        <w:t> </w:t>
      </w:r>
      <w:r>
        <w:rPr/>
        <w:t>silicon</w:t>
      </w:r>
      <w:r>
        <w:rPr>
          <w:spacing w:val="-6"/>
        </w:rPr>
        <w:t> </w:t>
      </w:r>
      <w:r>
        <w:rPr/>
        <w:t>gel five days a week for five months at 12 months of</w:t>
      </w:r>
      <w:r>
        <w:rPr>
          <w:spacing w:val="-4"/>
        </w:rPr>
        <w:t> </w:t>
      </w:r>
      <w:r>
        <w:rPr/>
        <w:t>age.</w:t>
      </w:r>
    </w:p>
    <w:p>
      <w:pPr>
        <w:pStyle w:val="BodyText"/>
        <w:spacing w:line="276" w:lineRule="auto" w:before="240"/>
        <w:ind w:left="616" w:right="132"/>
        <w:jc w:val="both"/>
      </w:pPr>
      <w:r>
        <w:rPr/>
        <w:t>Subsequently, the skin of the 17-month-old mice was compared with the un- treated skin of 6-month-old mice at the end of the experiment. The results of this study were able to show that the skin's collagen and elastin fibres were rebuilt,</w:t>
      </w:r>
      <w:r>
        <w:rPr>
          <w:spacing w:val="-8"/>
        </w:rPr>
        <w:t> </w:t>
      </w:r>
      <w:r>
        <w:rPr/>
        <w:t>the</w:t>
      </w:r>
      <w:r>
        <w:rPr>
          <w:spacing w:val="-7"/>
        </w:rPr>
        <w:t> </w:t>
      </w:r>
      <w:r>
        <w:rPr/>
        <w:t>interfibrillar</w:t>
      </w:r>
      <w:r>
        <w:rPr>
          <w:spacing w:val="-8"/>
        </w:rPr>
        <w:t> </w:t>
      </w:r>
      <w:r>
        <w:rPr/>
        <w:t>spaces</w:t>
      </w:r>
      <w:r>
        <w:rPr>
          <w:spacing w:val="-8"/>
        </w:rPr>
        <w:t> </w:t>
      </w:r>
      <w:r>
        <w:rPr/>
        <w:t>were</w:t>
      </w:r>
      <w:r>
        <w:rPr>
          <w:spacing w:val="-8"/>
        </w:rPr>
        <w:t> </w:t>
      </w:r>
      <w:r>
        <w:rPr/>
        <w:t>preserved</w:t>
      </w:r>
      <w:r>
        <w:rPr>
          <w:spacing w:val="-9"/>
        </w:rPr>
        <w:t> </w:t>
      </w:r>
      <w:r>
        <w:rPr/>
        <w:t>and</w:t>
      </w:r>
      <w:r>
        <w:rPr>
          <w:spacing w:val="-8"/>
        </w:rPr>
        <w:t> </w:t>
      </w:r>
      <w:r>
        <w:rPr/>
        <w:t>the</w:t>
      </w:r>
      <w:r>
        <w:rPr>
          <w:spacing w:val="-9"/>
        </w:rPr>
        <w:t> </w:t>
      </w:r>
      <w:r>
        <w:rPr/>
        <w:t>thickness</w:t>
      </w:r>
      <w:r>
        <w:rPr>
          <w:spacing w:val="-11"/>
        </w:rPr>
        <w:t> </w:t>
      </w:r>
      <w:r>
        <w:rPr/>
        <w:t>of</w:t>
      </w:r>
      <w:r>
        <w:rPr>
          <w:spacing w:val="-8"/>
        </w:rPr>
        <w:t> </w:t>
      </w:r>
      <w:r>
        <w:rPr/>
        <w:t>the</w:t>
      </w:r>
      <w:r>
        <w:rPr>
          <w:spacing w:val="-9"/>
        </w:rPr>
        <w:t> </w:t>
      </w:r>
      <w:r>
        <w:rPr/>
        <w:t>dermis remained the</w:t>
      </w:r>
      <w:r>
        <w:rPr>
          <w:spacing w:val="2"/>
        </w:rPr>
        <w:t> </w:t>
      </w:r>
      <w:r>
        <w:rPr/>
        <w:t>same.</w:t>
      </w:r>
    </w:p>
    <w:p>
      <w:pPr>
        <w:pStyle w:val="BodyText"/>
        <w:spacing w:line="276" w:lineRule="auto" w:before="239"/>
        <w:ind w:left="616" w:right="136"/>
        <w:jc w:val="both"/>
      </w:pPr>
      <w:r>
        <w:rPr/>
        <w:t>The</w:t>
      </w:r>
      <w:r>
        <w:rPr>
          <w:spacing w:val="-18"/>
        </w:rPr>
        <w:t> </w:t>
      </w:r>
      <w:r>
        <w:rPr/>
        <w:t>structure</w:t>
      </w:r>
      <w:r>
        <w:rPr>
          <w:spacing w:val="-19"/>
        </w:rPr>
        <w:t> </w:t>
      </w:r>
      <w:r>
        <w:rPr/>
        <w:t>of</w:t>
      </w:r>
      <w:r>
        <w:rPr>
          <w:spacing w:val="-18"/>
        </w:rPr>
        <w:t> </w:t>
      </w:r>
      <w:r>
        <w:rPr/>
        <w:t>the</w:t>
      </w:r>
      <w:r>
        <w:rPr>
          <w:spacing w:val="-18"/>
        </w:rPr>
        <w:t> </w:t>
      </w:r>
      <w:r>
        <w:rPr/>
        <w:t>dermis</w:t>
      </w:r>
      <w:r>
        <w:rPr>
          <w:spacing w:val="-17"/>
        </w:rPr>
        <w:t> </w:t>
      </w:r>
      <w:r>
        <w:rPr/>
        <w:t>corresponded</w:t>
      </w:r>
      <w:r>
        <w:rPr>
          <w:spacing w:val="-19"/>
        </w:rPr>
        <w:t> </w:t>
      </w:r>
      <w:r>
        <w:rPr/>
        <w:t>to</w:t>
      </w:r>
      <w:r>
        <w:rPr>
          <w:spacing w:val="-18"/>
        </w:rPr>
        <w:t> </w:t>
      </w:r>
      <w:r>
        <w:rPr/>
        <w:t>the</w:t>
      </w:r>
      <w:r>
        <w:rPr>
          <w:spacing w:val="-17"/>
        </w:rPr>
        <w:t> </w:t>
      </w:r>
      <w:r>
        <w:rPr/>
        <w:t>skin</w:t>
      </w:r>
      <w:r>
        <w:rPr>
          <w:spacing w:val="-19"/>
        </w:rPr>
        <w:t> </w:t>
      </w:r>
      <w:r>
        <w:rPr/>
        <w:t>of</w:t>
      </w:r>
      <w:r>
        <w:rPr>
          <w:spacing w:val="-18"/>
        </w:rPr>
        <w:t> </w:t>
      </w:r>
      <w:r>
        <w:rPr/>
        <w:t>the</w:t>
      </w:r>
      <w:r>
        <w:rPr>
          <w:spacing w:val="-18"/>
        </w:rPr>
        <w:t> </w:t>
      </w:r>
      <w:r>
        <w:rPr/>
        <w:t>6-month-old</w:t>
      </w:r>
      <w:r>
        <w:rPr>
          <w:spacing w:val="-18"/>
        </w:rPr>
        <w:t> </w:t>
      </w:r>
      <w:r>
        <w:rPr/>
        <w:t>mice. A proof of the rejuvenation mechanisms of</w:t>
      </w:r>
      <w:r>
        <w:rPr>
          <w:spacing w:val="5"/>
        </w:rPr>
        <w:t> </w:t>
      </w:r>
      <w:r>
        <w:rPr/>
        <w:t>silicon!</w:t>
      </w:r>
    </w:p>
    <w:p>
      <w:pPr>
        <w:pStyle w:val="BodyText"/>
        <w:spacing w:before="242"/>
        <w:ind w:left="616"/>
        <w:jc w:val="both"/>
      </w:pPr>
      <w:r>
        <w:rPr/>
        <w:t>The role of vitamin C is also worth mentioning, which in combination with</w:t>
      </w:r>
    </w:p>
    <w:p>
      <w:pPr>
        <w:spacing w:after="0"/>
        <w:jc w:val="both"/>
        <w:sectPr>
          <w:pgSz w:w="14270" w:h="16850"/>
          <w:pgMar w:header="0" w:footer="1891" w:top="1320" w:bottom="2080" w:left="800" w:right="1280"/>
        </w:sectPr>
      </w:pPr>
    </w:p>
    <w:p>
      <w:pPr>
        <w:pStyle w:val="BodyText"/>
        <w:spacing w:line="276" w:lineRule="auto" w:before="72"/>
        <w:ind w:left="616" w:right="136"/>
        <w:jc w:val="both"/>
        <w:rPr>
          <w:sz w:val="25"/>
        </w:rPr>
      </w:pPr>
      <w:r>
        <w:rPr/>
        <w:t>silicon – and exclusively in its presence – also plays a crucial role in the regen- eration and strengthening of connective tissue and skin. Both substances are true</w:t>
      </w:r>
      <w:r>
        <w:rPr>
          <w:spacing w:val="-23"/>
        </w:rPr>
        <w:t> </w:t>
      </w:r>
      <w:r>
        <w:rPr/>
        <w:t>natural</w:t>
      </w:r>
      <w:r>
        <w:rPr>
          <w:spacing w:val="-22"/>
        </w:rPr>
        <w:t> </w:t>
      </w:r>
      <w:r>
        <w:rPr/>
        <w:t>rejuvenation</w:t>
      </w:r>
      <w:r>
        <w:rPr>
          <w:spacing w:val="-22"/>
        </w:rPr>
        <w:t> </w:t>
      </w:r>
      <w:r>
        <w:rPr/>
        <w:t>artists</w:t>
      </w:r>
      <w:r>
        <w:rPr>
          <w:spacing w:val="-22"/>
        </w:rPr>
        <w:t> </w:t>
      </w:r>
      <w:r>
        <w:rPr/>
        <w:t>who</w:t>
      </w:r>
      <w:r>
        <w:rPr>
          <w:spacing w:val="-20"/>
        </w:rPr>
        <w:t> </w:t>
      </w:r>
      <w:r>
        <w:rPr/>
        <w:t>need</w:t>
      </w:r>
      <w:r>
        <w:rPr>
          <w:spacing w:val="-22"/>
        </w:rPr>
        <w:t> </w:t>
      </w:r>
      <w:r>
        <w:rPr/>
        <w:t>each</w:t>
      </w:r>
      <w:r>
        <w:rPr>
          <w:spacing w:val="-21"/>
        </w:rPr>
        <w:t> </w:t>
      </w:r>
      <w:r>
        <w:rPr/>
        <w:t>other</w:t>
      </w:r>
      <w:r>
        <w:rPr>
          <w:spacing w:val="-22"/>
        </w:rPr>
        <w:t> </w:t>
      </w:r>
      <w:r>
        <w:rPr/>
        <w:t>for</w:t>
      </w:r>
      <w:r>
        <w:rPr>
          <w:spacing w:val="-20"/>
        </w:rPr>
        <w:t> </w:t>
      </w:r>
      <w:r>
        <w:rPr/>
        <w:t>the</w:t>
      </w:r>
      <w:r>
        <w:rPr>
          <w:spacing w:val="-21"/>
        </w:rPr>
        <w:t> </w:t>
      </w:r>
      <w:r>
        <w:rPr/>
        <w:t>optimal</w:t>
      </w:r>
      <w:r>
        <w:rPr>
          <w:spacing w:val="-23"/>
        </w:rPr>
        <w:t> </w:t>
      </w:r>
      <w:r>
        <w:rPr/>
        <w:t>enzymatic activity that these rejuvenation mechanisms accomplish.</w:t>
      </w:r>
      <w:r>
        <w:rPr>
          <w:position w:val="9"/>
          <w:sz w:val="25"/>
        </w:rPr>
        <w:t>848</w:t>
      </w:r>
    </w:p>
    <w:p>
      <w:pPr>
        <w:pStyle w:val="Heading1"/>
        <w:spacing w:before="226"/>
        <w:ind w:left="616"/>
        <w:jc w:val="both"/>
      </w:pPr>
      <w:r>
        <w:rPr/>
        <w:t>Silicon makes hair firmer and gives it new shine</w:t>
      </w:r>
    </w:p>
    <w:p>
      <w:pPr>
        <w:pStyle w:val="BodyText"/>
        <w:spacing w:before="297"/>
        <w:ind w:left="616"/>
        <w:jc w:val="both"/>
      </w:pPr>
      <w:r>
        <w:rPr/>
        <w:t>Silicon stimulates the cells of the scalp and the hair root and</w:t>
      </w:r>
    </w:p>
    <w:p>
      <w:pPr>
        <w:pStyle w:val="ListParagraph"/>
        <w:numPr>
          <w:ilvl w:val="0"/>
          <w:numId w:val="119"/>
        </w:numPr>
        <w:tabs>
          <w:tab w:pos="1336" w:val="left" w:leader="none"/>
          <w:tab w:pos="1337" w:val="left" w:leader="none"/>
        </w:tabs>
        <w:spacing w:line="240" w:lineRule="auto" w:before="185" w:after="0"/>
        <w:ind w:left="1336" w:right="0" w:hanging="360"/>
        <w:jc w:val="left"/>
        <w:rPr>
          <w:sz w:val="38"/>
        </w:rPr>
      </w:pPr>
      <w:r>
        <w:rPr>
          <w:sz w:val="38"/>
        </w:rPr>
        <w:t>strengthens the hair</w:t>
      </w:r>
      <w:r>
        <w:rPr>
          <w:spacing w:val="-1"/>
          <w:sz w:val="38"/>
        </w:rPr>
        <w:t> </w:t>
      </w:r>
      <w:r>
        <w:rPr>
          <w:sz w:val="38"/>
        </w:rPr>
        <w:t>structure,</w:t>
      </w:r>
    </w:p>
    <w:p>
      <w:pPr>
        <w:pStyle w:val="ListParagraph"/>
        <w:numPr>
          <w:ilvl w:val="0"/>
          <w:numId w:val="119"/>
        </w:numPr>
        <w:tabs>
          <w:tab w:pos="1336" w:val="left" w:leader="none"/>
          <w:tab w:pos="1337" w:val="left" w:leader="none"/>
        </w:tabs>
        <w:spacing w:line="240" w:lineRule="auto" w:before="186" w:after="0"/>
        <w:ind w:left="1336" w:right="0" w:hanging="360"/>
        <w:jc w:val="left"/>
        <w:rPr>
          <w:sz w:val="38"/>
        </w:rPr>
      </w:pPr>
      <w:r>
        <w:rPr>
          <w:sz w:val="38"/>
        </w:rPr>
        <w:t>prevents excessively greasy hair,</w:t>
      </w:r>
    </w:p>
    <w:p>
      <w:pPr>
        <w:pStyle w:val="ListParagraph"/>
        <w:numPr>
          <w:ilvl w:val="0"/>
          <w:numId w:val="119"/>
        </w:numPr>
        <w:tabs>
          <w:tab w:pos="1336" w:val="left" w:leader="none"/>
          <w:tab w:pos="1337" w:val="left" w:leader="none"/>
        </w:tabs>
        <w:spacing w:line="240" w:lineRule="auto" w:before="183" w:after="0"/>
        <w:ind w:left="1336" w:right="0" w:hanging="360"/>
        <w:jc w:val="left"/>
        <w:rPr>
          <w:sz w:val="38"/>
        </w:rPr>
      </w:pPr>
      <w:r>
        <w:rPr>
          <w:sz w:val="38"/>
        </w:rPr>
        <w:t>optimises</w:t>
      </w:r>
      <w:r>
        <w:rPr>
          <w:spacing w:val="-8"/>
          <w:sz w:val="38"/>
        </w:rPr>
        <w:t> </w:t>
      </w:r>
      <w:r>
        <w:rPr>
          <w:sz w:val="38"/>
        </w:rPr>
        <w:t>microcirculation,</w:t>
      </w:r>
    </w:p>
    <w:p>
      <w:pPr>
        <w:pStyle w:val="ListParagraph"/>
        <w:numPr>
          <w:ilvl w:val="0"/>
          <w:numId w:val="119"/>
        </w:numPr>
        <w:tabs>
          <w:tab w:pos="1336" w:val="left" w:leader="none"/>
          <w:tab w:pos="1337" w:val="left" w:leader="none"/>
        </w:tabs>
        <w:spacing w:line="240" w:lineRule="auto" w:before="184" w:after="0"/>
        <w:ind w:left="1336" w:right="0" w:hanging="360"/>
        <w:jc w:val="left"/>
        <w:rPr>
          <w:sz w:val="38"/>
        </w:rPr>
      </w:pPr>
      <w:r>
        <w:rPr>
          <w:sz w:val="38"/>
        </w:rPr>
        <w:t>accelerates hair growth</w:t>
      </w:r>
      <w:r>
        <w:rPr>
          <w:spacing w:val="-23"/>
          <w:sz w:val="38"/>
        </w:rPr>
        <w:t> </w:t>
      </w:r>
      <w:r>
        <w:rPr>
          <w:sz w:val="38"/>
        </w:rPr>
        <w:t>and</w:t>
      </w:r>
    </w:p>
    <w:p>
      <w:pPr>
        <w:pStyle w:val="ListParagraph"/>
        <w:numPr>
          <w:ilvl w:val="0"/>
          <w:numId w:val="119"/>
        </w:numPr>
        <w:tabs>
          <w:tab w:pos="1336" w:val="left" w:leader="none"/>
          <w:tab w:pos="1337" w:val="left" w:leader="none"/>
        </w:tabs>
        <w:spacing w:line="240" w:lineRule="auto" w:before="183" w:after="0"/>
        <w:ind w:left="1336" w:right="0" w:hanging="360"/>
        <w:jc w:val="left"/>
        <w:rPr>
          <w:sz w:val="38"/>
        </w:rPr>
      </w:pPr>
      <w:r>
        <w:rPr>
          <w:sz w:val="38"/>
        </w:rPr>
        <w:t>prevents hair</w:t>
      </w:r>
      <w:r>
        <w:rPr>
          <w:spacing w:val="1"/>
          <w:sz w:val="38"/>
        </w:rPr>
        <w:t> </w:t>
      </w:r>
      <w:r>
        <w:rPr>
          <w:sz w:val="38"/>
        </w:rPr>
        <w:t>loss.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7"/>
        </w:rPr>
      </w:pPr>
      <w:r>
        <w:rPr/>
        <w:pict>
          <v:line style="position:absolute;mso-position-horizontal-relative:page;mso-position-vertical-relative:paragraph;z-index:11672;mso-wrap-distance-left:0;mso-wrap-distance-right:0" from="70.823997pt,12.246167pt" to="214.843997pt,12.246167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848 </w:t>
      </w:r>
      <w:r>
        <w:rPr>
          <w:sz w:val="20"/>
        </w:rPr>
        <w:t>Klaus Kaufmann: Silicium – Heilung durch Ursubstanz, ('Silicon – Healing by Original Substance'), January 1997, p. 41</w:t>
      </w:r>
    </w:p>
    <w:p>
      <w:pPr>
        <w:spacing w:after="0"/>
        <w:jc w:val="left"/>
        <w:rPr>
          <w:sz w:val="20"/>
        </w:rPr>
        <w:sectPr>
          <w:pgSz w:w="14270" w:h="16850"/>
          <w:pgMar w:header="0" w:footer="1891" w:top="1340" w:bottom="2080" w:left="800" w:right="1280"/>
        </w:sectPr>
      </w:pPr>
    </w:p>
    <w:p>
      <w:pPr>
        <w:pStyle w:val="Heading1"/>
        <w:spacing w:before="77"/>
        <w:ind w:left="616"/>
      </w:pPr>
      <w:r>
        <w:rPr/>
        <w:t>Silicon strengthens our fingernails and</w:t>
      </w:r>
      <w:r>
        <w:rPr>
          <w:spacing w:val="-71"/>
        </w:rPr>
        <w:t> </w:t>
      </w:r>
      <w:r>
        <w:rPr/>
        <w:t>toenails</w:t>
      </w:r>
    </w:p>
    <w:p>
      <w:pPr>
        <w:pStyle w:val="BodyText"/>
        <w:spacing w:before="299"/>
        <w:ind w:left="616"/>
      </w:pPr>
      <w:r>
        <w:rPr/>
        <w:t>Silicon is one of the structural elements occurring in nails.</w:t>
      </w:r>
    </w:p>
    <w:p>
      <w:pPr>
        <w:pStyle w:val="ListParagraph"/>
        <w:numPr>
          <w:ilvl w:val="0"/>
          <w:numId w:val="119"/>
        </w:numPr>
        <w:tabs>
          <w:tab w:pos="1336" w:val="left" w:leader="none"/>
          <w:tab w:pos="1337" w:val="left" w:leader="none"/>
        </w:tabs>
        <w:spacing w:line="240" w:lineRule="auto" w:before="263" w:after="0"/>
        <w:ind w:left="1336" w:right="0" w:hanging="360"/>
        <w:jc w:val="left"/>
        <w:rPr>
          <w:sz w:val="38"/>
        </w:rPr>
      </w:pPr>
      <w:r>
        <w:rPr>
          <w:sz w:val="38"/>
        </w:rPr>
        <w:t>It strengthens the nail</w:t>
      </w:r>
      <w:r>
        <w:rPr>
          <w:spacing w:val="-3"/>
          <w:sz w:val="38"/>
        </w:rPr>
        <w:t> </w:t>
      </w:r>
      <w:r>
        <w:rPr>
          <w:sz w:val="38"/>
        </w:rPr>
        <w:t>structure,</w:t>
      </w:r>
    </w:p>
    <w:p>
      <w:pPr>
        <w:pStyle w:val="ListParagraph"/>
        <w:numPr>
          <w:ilvl w:val="0"/>
          <w:numId w:val="119"/>
        </w:numPr>
        <w:tabs>
          <w:tab w:pos="1336" w:val="left" w:leader="none"/>
          <w:tab w:pos="1337" w:val="left" w:leader="none"/>
        </w:tabs>
        <w:spacing w:line="240" w:lineRule="auto" w:before="186" w:after="0"/>
        <w:ind w:left="1336" w:right="0" w:hanging="360"/>
        <w:jc w:val="left"/>
        <w:rPr>
          <w:sz w:val="38"/>
        </w:rPr>
      </w:pPr>
      <w:r>
        <w:rPr>
          <w:sz w:val="38"/>
        </w:rPr>
        <w:t>increases the pace of growth</w:t>
      </w:r>
      <w:r>
        <w:rPr>
          <w:spacing w:val="3"/>
          <w:sz w:val="38"/>
        </w:rPr>
        <w:t> </w:t>
      </w:r>
      <w:r>
        <w:rPr>
          <w:sz w:val="38"/>
        </w:rPr>
        <w:t>and</w:t>
      </w:r>
    </w:p>
    <w:p>
      <w:pPr>
        <w:pStyle w:val="ListParagraph"/>
        <w:numPr>
          <w:ilvl w:val="0"/>
          <w:numId w:val="119"/>
        </w:numPr>
        <w:tabs>
          <w:tab w:pos="1336" w:val="left" w:leader="none"/>
          <w:tab w:pos="1337" w:val="left" w:leader="none"/>
        </w:tabs>
        <w:spacing w:line="240" w:lineRule="auto" w:before="184" w:after="0"/>
        <w:ind w:left="1336" w:right="0" w:hanging="360"/>
        <w:jc w:val="left"/>
        <w:rPr>
          <w:sz w:val="38"/>
        </w:rPr>
      </w:pPr>
      <w:r>
        <w:rPr>
          <w:sz w:val="38"/>
        </w:rPr>
        <w:t>gives the nails a healthy shine.</w:t>
      </w:r>
    </w:p>
    <w:p>
      <w:pPr>
        <w:pStyle w:val="Heading1"/>
        <w:spacing w:before="288"/>
        <w:ind w:left="616"/>
      </w:pPr>
      <w:r>
        <w:rPr/>
        <w:t>Silicon counteracts cellulite</w:t>
      </w:r>
    </w:p>
    <w:p>
      <w:pPr>
        <w:pStyle w:val="BodyText"/>
        <w:spacing w:before="296"/>
        <w:ind w:left="616"/>
      </w:pPr>
      <w:r>
        <w:rPr/>
        <w:t>Silicon also has a multifactorial effect against cellulitis, in which it</w:t>
      </w:r>
    </w:p>
    <w:p>
      <w:pPr>
        <w:pStyle w:val="ListParagraph"/>
        <w:numPr>
          <w:ilvl w:val="1"/>
          <w:numId w:val="119"/>
        </w:numPr>
        <w:tabs>
          <w:tab w:pos="1696" w:val="left" w:leader="none"/>
          <w:tab w:pos="1697" w:val="left" w:leader="none"/>
        </w:tabs>
        <w:spacing w:line="240" w:lineRule="auto" w:before="304" w:after="0"/>
        <w:ind w:left="1696" w:right="0" w:hanging="360"/>
        <w:jc w:val="left"/>
        <w:rPr>
          <w:sz w:val="38"/>
        </w:rPr>
      </w:pPr>
      <w:r>
        <w:rPr>
          <w:sz w:val="38"/>
        </w:rPr>
        <w:t>promotes collagen synthesis and strengthens the</w:t>
      </w:r>
      <w:r>
        <w:rPr>
          <w:spacing w:val="-4"/>
          <w:sz w:val="38"/>
        </w:rPr>
        <w:t> </w:t>
      </w:r>
      <w:r>
        <w:rPr>
          <w:sz w:val="38"/>
        </w:rPr>
        <w:t>skin,</w:t>
      </w:r>
    </w:p>
    <w:p>
      <w:pPr>
        <w:pStyle w:val="ListParagraph"/>
        <w:numPr>
          <w:ilvl w:val="1"/>
          <w:numId w:val="119"/>
        </w:numPr>
        <w:tabs>
          <w:tab w:pos="1696" w:val="left" w:leader="none"/>
          <w:tab w:pos="1697" w:val="left" w:leader="none"/>
        </w:tabs>
        <w:spacing w:line="240" w:lineRule="auto" w:before="306" w:after="0"/>
        <w:ind w:left="1696" w:right="0" w:hanging="360"/>
        <w:jc w:val="left"/>
        <w:rPr>
          <w:sz w:val="38"/>
        </w:rPr>
      </w:pPr>
      <w:r>
        <w:rPr>
          <w:sz w:val="38"/>
        </w:rPr>
        <w:t>promotes elastin synthesis and keeps the skin</w:t>
      </w:r>
      <w:r>
        <w:rPr>
          <w:spacing w:val="-4"/>
          <w:sz w:val="38"/>
        </w:rPr>
        <w:t> </w:t>
      </w:r>
      <w:r>
        <w:rPr>
          <w:sz w:val="38"/>
        </w:rPr>
        <w:t>elastic,</w:t>
      </w:r>
    </w:p>
    <w:p>
      <w:pPr>
        <w:pStyle w:val="ListParagraph"/>
        <w:numPr>
          <w:ilvl w:val="1"/>
          <w:numId w:val="119"/>
        </w:numPr>
        <w:tabs>
          <w:tab w:pos="1696" w:val="left" w:leader="none"/>
          <w:tab w:pos="1697" w:val="left" w:leader="none"/>
        </w:tabs>
        <w:spacing w:line="240" w:lineRule="auto" w:before="304" w:after="0"/>
        <w:ind w:left="1696" w:right="0" w:hanging="360"/>
        <w:jc w:val="left"/>
        <w:rPr>
          <w:sz w:val="38"/>
        </w:rPr>
      </w:pPr>
      <w:r>
        <w:rPr>
          <w:sz w:val="38"/>
        </w:rPr>
        <w:t>counteracts the peroxidation of the</w:t>
      </w:r>
      <w:r>
        <w:rPr>
          <w:spacing w:val="2"/>
          <w:sz w:val="38"/>
        </w:rPr>
        <w:t> </w:t>
      </w:r>
      <w:r>
        <w:rPr>
          <w:sz w:val="38"/>
        </w:rPr>
        <w:t>lipids,</w:t>
      </w:r>
    </w:p>
    <w:p>
      <w:pPr>
        <w:pStyle w:val="ListParagraph"/>
        <w:numPr>
          <w:ilvl w:val="1"/>
          <w:numId w:val="119"/>
        </w:numPr>
        <w:tabs>
          <w:tab w:pos="1696" w:val="left" w:leader="none"/>
          <w:tab w:pos="1697" w:val="left" w:leader="none"/>
        </w:tabs>
        <w:spacing w:line="273" w:lineRule="auto" w:before="304" w:after="0"/>
        <w:ind w:left="1696" w:right="139" w:hanging="360"/>
        <w:jc w:val="left"/>
        <w:rPr>
          <w:sz w:val="38"/>
        </w:rPr>
      </w:pPr>
      <w:r>
        <w:rPr>
          <w:sz w:val="38"/>
        </w:rPr>
        <w:t>prevents</w:t>
      </w:r>
      <w:r>
        <w:rPr>
          <w:spacing w:val="-24"/>
          <w:sz w:val="38"/>
        </w:rPr>
        <w:t> </w:t>
      </w:r>
      <w:r>
        <w:rPr>
          <w:sz w:val="38"/>
        </w:rPr>
        <w:t>glycation</w:t>
      </w:r>
      <w:r>
        <w:rPr>
          <w:spacing w:val="-23"/>
          <w:sz w:val="38"/>
        </w:rPr>
        <w:t> </w:t>
      </w:r>
      <w:r>
        <w:rPr>
          <w:sz w:val="38"/>
        </w:rPr>
        <w:t>by</w:t>
      </w:r>
      <w:r>
        <w:rPr>
          <w:spacing w:val="-25"/>
          <w:sz w:val="38"/>
        </w:rPr>
        <w:t> </w:t>
      </w:r>
      <w:r>
        <w:rPr>
          <w:sz w:val="38"/>
        </w:rPr>
        <w:t>preventing</w:t>
      </w:r>
      <w:r>
        <w:rPr>
          <w:spacing w:val="-25"/>
          <w:sz w:val="38"/>
        </w:rPr>
        <w:t> </w:t>
      </w:r>
      <w:r>
        <w:rPr>
          <w:sz w:val="38"/>
        </w:rPr>
        <w:t>the</w:t>
      </w:r>
      <w:r>
        <w:rPr>
          <w:spacing w:val="-25"/>
          <w:sz w:val="38"/>
        </w:rPr>
        <w:t> </w:t>
      </w:r>
      <w:r>
        <w:rPr>
          <w:sz w:val="38"/>
        </w:rPr>
        <w:t>sugar</w:t>
      </w:r>
      <w:r>
        <w:rPr>
          <w:spacing w:val="-23"/>
          <w:sz w:val="38"/>
        </w:rPr>
        <w:t> </w:t>
      </w:r>
      <w:r>
        <w:rPr>
          <w:sz w:val="38"/>
        </w:rPr>
        <w:t>molecules</w:t>
      </w:r>
      <w:r>
        <w:rPr>
          <w:spacing w:val="-23"/>
          <w:sz w:val="38"/>
        </w:rPr>
        <w:t> </w:t>
      </w:r>
      <w:r>
        <w:rPr>
          <w:sz w:val="38"/>
        </w:rPr>
        <w:t>from</w:t>
      </w:r>
      <w:r>
        <w:rPr>
          <w:spacing w:val="-26"/>
          <w:sz w:val="38"/>
        </w:rPr>
        <w:t> </w:t>
      </w:r>
      <w:r>
        <w:rPr>
          <w:sz w:val="38"/>
        </w:rPr>
        <w:t>binding</w:t>
      </w:r>
      <w:r>
        <w:rPr>
          <w:spacing w:val="-29"/>
          <w:sz w:val="38"/>
        </w:rPr>
        <w:t> </w:t>
      </w:r>
      <w:r>
        <w:rPr>
          <w:sz w:val="38"/>
        </w:rPr>
        <w:t>with collagen proteins and making their structure more rigid</w:t>
      </w:r>
      <w:r>
        <w:rPr>
          <w:spacing w:val="-7"/>
          <w:sz w:val="38"/>
        </w:rPr>
        <w:t> </w:t>
      </w:r>
      <w:r>
        <w:rPr>
          <w:sz w:val="38"/>
        </w:rPr>
        <w:t>and</w:t>
      </w:r>
    </w:p>
    <w:p>
      <w:pPr>
        <w:pStyle w:val="ListParagraph"/>
        <w:numPr>
          <w:ilvl w:val="1"/>
          <w:numId w:val="119"/>
        </w:numPr>
        <w:tabs>
          <w:tab w:pos="1696" w:val="left" w:leader="none"/>
          <w:tab w:pos="1697" w:val="left" w:leader="none"/>
        </w:tabs>
        <w:spacing w:line="240" w:lineRule="auto" w:before="247" w:after="0"/>
        <w:ind w:left="1696" w:right="0" w:hanging="360"/>
        <w:jc w:val="left"/>
        <w:rPr>
          <w:sz w:val="38"/>
        </w:rPr>
      </w:pPr>
      <w:r>
        <w:rPr>
          <w:sz w:val="38"/>
        </w:rPr>
        <w:t>increases the capillary resistance and lowers its</w:t>
      </w:r>
      <w:r>
        <w:rPr>
          <w:spacing w:val="-1"/>
          <w:sz w:val="38"/>
        </w:rPr>
        <w:t> </w:t>
      </w:r>
      <w:r>
        <w:rPr>
          <w:sz w:val="38"/>
        </w:rPr>
        <w:t>permeability.</w:t>
      </w:r>
    </w:p>
    <w:p>
      <w:pPr>
        <w:spacing w:after="0" w:line="240" w:lineRule="auto"/>
        <w:jc w:val="left"/>
        <w:rPr>
          <w:sz w:val="38"/>
        </w:rPr>
        <w:sectPr>
          <w:footerReference w:type="default" r:id="rId358"/>
          <w:pgSz w:w="14270" w:h="16850"/>
          <w:pgMar w:footer="1891" w:header="0" w:top="1320" w:bottom="2080" w:left="800" w:right="1280"/>
          <w:pgNumType w:start="1510"/>
        </w:sectPr>
      </w:pPr>
    </w:p>
    <w:p>
      <w:pPr>
        <w:pStyle w:val="Heading1"/>
        <w:spacing w:before="77"/>
        <w:ind w:left="616"/>
      </w:pPr>
      <w:r>
        <w:rPr/>
        <w:t>Silicon strengthens our bones</w:t>
      </w:r>
    </w:p>
    <w:p>
      <w:pPr>
        <w:pStyle w:val="BodyText"/>
        <w:spacing w:line="276" w:lineRule="auto" w:before="299"/>
        <w:ind w:left="616" w:right="140"/>
        <w:jc w:val="both"/>
      </w:pPr>
      <w:r>
        <w:rPr/>
        <w:t>Unfortunately, ageing does not stop with external or visual changes. As most people know, bones need calcium to maintain their strength.</w:t>
      </w:r>
    </w:p>
    <w:p>
      <w:pPr>
        <w:pStyle w:val="BodyText"/>
        <w:spacing w:line="276" w:lineRule="auto" w:before="239"/>
        <w:ind w:left="616" w:right="135"/>
        <w:jc w:val="both"/>
      </w:pPr>
      <w:r>
        <w:rPr/>
        <w:t>However, it is not enough to just take in calcium, because silicon acts as a 'calcium trafficker', allowing calcium to be stored more efficiently in bone tis- sue. Furthermore, silicon improves the synthesis of collagen, which improves bone compaction.</w:t>
      </w:r>
    </w:p>
    <w:p>
      <w:pPr>
        <w:pStyle w:val="Heading1"/>
        <w:ind w:left="616"/>
      </w:pPr>
      <w:r>
        <w:rPr/>
        <w:t>Silicon counteracts joint wear</w:t>
      </w:r>
    </w:p>
    <w:p>
      <w:pPr>
        <w:pStyle w:val="BodyText"/>
        <w:spacing w:line="276" w:lineRule="auto" w:before="300"/>
        <w:ind w:left="616" w:right="133"/>
        <w:jc w:val="both"/>
      </w:pPr>
      <w:r>
        <w:rPr/>
        <w:t>In</w:t>
      </w:r>
      <w:r>
        <w:rPr>
          <w:spacing w:val="-6"/>
        </w:rPr>
        <w:t> </w:t>
      </w:r>
      <w:r>
        <w:rPr/>
        <w:t>old</w:t>
      </w:r>
      <w:r>
        <w:rPr>
          <w:spacing w:val="-6"/>
        </w:rPr>
        <w:t> </w:t>
      </w:r>
      <w:r>
        <w:rPr/>
        <w:t>age</w:t>
      </w:r>
      <w:r>
        <w:rPr>
          <w:spacing w:val="-5"/>
        </w:rPr>
        <w:t> </w:t>
      </w:r>
      <w:r>
        <w:rPr/>
        <w:t>in</w:t>
      </w:r>
      <w:r>
        <w:rPr>
          <w:spacing w:val="-9"/>
        </w:rPr>
        <w:t> </w:t>
      </w:r>
      <w:r>
        <w:rPr/>
        <w:t>particular,</w:t>
      </w:r>
      <w:r>
        <w:rPr>
          <w:spacing w:val="-5"/>
        </w:rPr>
        <w:t> </w:t>
      </w:r>
      <w:r>
        <w:rPr/>
        <w:t>you</w:t>
      </w:r>
      <w:r>
        <w:rPr>
          <w:spacing w:val="-7"/>
        </w:rPr>
        <w:t> </w:t>
      </w:r>
      <w:r>
        <w:rPr/>
        <w:t>can</w:t>
      </w:r>
      <w:r>
        <w:rPr>
          <w:spacing w:val="-8"/>
        </w:rPr>
        <w:t> </w:t>
      </w:r>
      <w:r>
        <w:rPr/>
        <w:t>clearly</w:t>
      </w:r>
      <w:r>
        <w:rPr>
          <w:spacing w:val="-5"/>
        </w:rPr>
        <w:t> </w:t>
      </w:r>
      <w:r>
        <w:rPr/>
        <w:t>see</w:t>
      </w:r>
      <w:r>
        <w:rPr>
          <w:spacing w:val="-5"/>
        </w:rPr>
        <w:t> </w:t>
      </w:r>
      <w:r>
        <w:rPr/>
        <w:t>in</w:t>
      </w:r>
      <w:r>
        <w:rPr>
          <w:spacing w:val="-6"/>
        </w:rPr>
        <w:t> </w:t>
      </w:r>
      <w:r>
        <w:rPr/>
        <w:t>the</w:t>
      </w:r>
      <w:r>
        <w:rPr>
          <w:spacing w:val="-8"/>
        </w:rPr>
        <w:t> </w:t>
      </w:r>
      <w:r>
        <w:rPr/>
        <w:t>bones</w:t>
      </w:r>
      <w:r>
        <w:rPr>
          <w:spacing w:val="-8"/>
        </w:rPr>
        <w:t> </w:t>
      </w:r>
      <w:r>
        <w:rPr/>
        <w:t>that</w:t>
      </w:r>
      <w:r>
        <w:rPr>
          <w:spacing w:val="-6"/>
        </w:rPr>
        <w:t> </w:t>
      </w:r>
      <w:r>
        <w:rPr/>
        <w:t>it</w:t>
      </w:r>
      <w:r>
        <w:rPr>
          <w:spacing w:val="-8"/>
        </w:rPr>
        <w:t> </w:t>
      </w:r>
      <w:r>
        <w:rPr/>
        <w:t>is</w:t>
      </w:r>
      <w:r>
        <w:rPr>
          <w:spacing w:val="-11"/>
        </w:rPr>
        <w:t> </w:t>
      </w:r>
      <w:r>
        <w:rPr/>
        <w:t>painful</w:t>
      </w:r>
      <w:r>
        <w:rPr>
          <w:spacing w:val="-8"/>
        </w:rPr>
        <w:t> </w:t>
      </w:r>
      <w:r>
        <w:rPr/>
        <w:t>to</w:t>
      </w:r>
      <w:r>
        <w:rPr>
          <w:spacing w:val="-5"/>
        </w:rPr>
        <w:t> </w:t>
      </w:r>
      <w:r>
        <w:rPr/>
        <w:t>put a burden on the joints, and crunchy sounds take any joy out of</w:t>
      </w:r>
      <w:r>
        <w:rPr>
          <w:spacing w:val="-19"/>
        </w:rPr>
        <w:t> </w:t>
      </w:r>
      <w:r>
        <w:rPr/>
        <w:t>movement.</w:t>
      </w:r>
    </w:p>
    <w:p>
      <w:pPr>
        <w:pStyle w:val="BodyText"/>
        <w:spacing w:line="276" w:lineRule="auto" w:before="238"/>
        <w:ind w:left="616" w:right="134"/>
        <w:jc w:val="both"/>
      </w:pPr>
      <w:r>
        <w:rPr/>
        <w:t>Silicon can positively affect both the inflammatory form of joint wear</w:t>
      </w:r>
      <w:r>
        <w:rPr>
          <w:spacing w:val="-40"/>
        </w:rPr>
        <w:t> </w:t>
      </w:r>
      <w:r>
        <w:rPr/>
        <w:t>(arthro- sis) and inflammatory arthritis. For this purpose, the internal intake of silicon has a firming effect on our articular cartilage, helps it to bind more water and makes the cartilage more elastic overall. These mechanisms help cartilage to regenerate and form new cartilage</w:t>
      </w:r>
      <w:r>
        <w:rPr>
          <w:spacing w:val="2"/>
        </w:rPr>
        <w:t> </w:t>
      </w:r>
      <w:r>
        <w:rPr/>
        <w:t>cells.</w:t>
      </w:r>
    </w:p>
    <w:p>
      <w:pPr>
        <w:pStyle w:val="BodyText"/>
        <w:spacing w:line="276" w:lineRule="auto" w:before="240"/>
        <w:ind w:left="616" w:right="133"/>
        <w:jc w:val="both"/>
      </w:pPr>
      <w:r>
        <w:rPr/>
        <w:t>In</w:t>
      </w:r>
      <w:r>
        <w:rPr>
          <w:spacing w:val="-16"/>
        </w:rPr>
        <w:t> </w:t>
      </w:r>
      <w:r>
        <w:rPr/>
        <w:t>the</w:t>
      </w:r>
      <w:r>
        <w:rPr>
          <w:spacing w:val="-14"/>
        </w:rPr>
        <w:t> </w:t>
      </w:r>
      <w:r>
        <w:rPr/>
        <w:t>presence</w:t>
      </w:r>
      <w:r>
        <w:rPr>
          <w:spacing w:val="-17"/>
        </w:rPr>
        <w:t> </w:t>
      </w:r>
      <w:r>
        <w:rPr/>
        <w:t>of</w:t>
      </w:r>
      <w:r>
        <w:rPr>
          <w:spacing w:val="-16"/>
        </w:rPr>
        <w:t> </w:t>
      </w:r>
      <w:r>
        <w:rPr/>
        <w:t>a</w:t>
      </w:r>
      <w:r>
        <w:rPr>
          <w:spacing w:val="-17"/>
        </w:rPr>
        <w:t> </w:t>
      </w:r>
      <w:r>
        <w:rPr/>
        <w:t>lot</w:t>
      </w:r>
      <w:r>
        <w:rPr>
          <w:spacing w:val="-16"/>
        </w:rPr>
        <w:t> </w:t>
      </w:r>
      <w:r>
        <w:rPr/>
        <w:t>of</w:t>
      </w:r>
      <w:r>
        <w:rPr>
          <w:spacing w:val="-16"/>
        </w:rPr>
        <w:t> </w:t>
      </w:r>
      <w:r>
        <w:rPr/>
        <w:t>silicon,</w:t>
      </w:r>
      <w:r>
        <w:rPr>
          <w:spacing w:val="-15"/>
        </w:rPr>
        <w:t> </w:t>
      </w:r>
      <w:r>
        <w:rPr/>
        <w:t>the</w:t>
      </w:r>
      <w:r>
        <w:rPr>
          <w:spacing w:val="-14"/>
        </w:rPr>
        <w:t> </w:t>
      </w:r>
      <w:r>
        <w:rPr/>
        <w:t>chondrocytes,</w:t>
      </w:r>
      <w:r>
        <w:rPr>
          <w:spacing w:val="-15"/>
        </w:rPr>
        <w:t> </w:t>
      </w:r>
      <w:r>
        <w:rPr/>
        <w:t>those</w:t>
      </w:r>
      <w:r>
        <w:rPr>
          <w:spacing w:val="-17"/>
        </w:rPr>
        <w:t> </w:t>
      </w:r>
      <w:r>
        <w:rPr/>
        <w:t>cells</w:t>
      </w:r>
      <w:r>
        <w:rPr>
          <w:spacing w:val="-15"/>
        </w:rPr>
        <w:t> </w:t>
      </w:r>
      <w:r>
        <w:rPr/>
        <w:t>within</w:t>
      </w:r>
      <w:r>
        <w:rPr>
          <w:spacing w:val="-16"/>
        </w:rPr>
        <w:t> </w:t>
      </w:r>
      <w:r>
        <w:rPr/>
        <w:t>the</w:t>
      </w:r>
      <w:r>
        <w:rPr>
          <w:spacing w:val="-14"/>
        </w:rPr>
        <w:t> </w:t>
      </w:r>
      <w:r>
        <w:rPr/>
        <w:t>joint capsule</w:t>
      </w:r>
      <w:r>
        <w:rPr>
          <w:spacing w:val="-8"/>
        </w:rPr>
        <w:t> </w:t>
      </w:r>
      <w:r>
        <w:rPr/>
        <w:t>that</w:t>
      </w:r>
      <w:r>
        <w:rPr>
          <w:spacing w:val="-7"/>
        </w:rPr>
        <w:t> </w:t>
      </w:r>
      <w:r>
        <w:rPr/>
        <w:t>constantly</w:t>
      </w:r>
      <w:r>
        <w:rPr>
          <w:spacing w:val="-7"/>
        </w:rPr>
        <w:t> </w:t>
      </w:r>
      <w:r>
        <w:rPr/>
        <w:t>renew</w:t>
      </w:r>
      <w:r>
        <w:rPr>
          <w:spacing w:val="-9"/>
        </w:rPr>
        <w:t> </w:t>
      </w:r>
      <w:r>
        <w:rPr/>
        <w:t>the</w:t>
      </w:r>
      <w:r>
        <w:rPr>
          <w:spacing w:val="-6"/>
        </w:rPr>
        <w:t> </w:t>
      </w:r>
      <w:r>
        <w:rPr/>
        <w:t>articular</w:t>
      </w:r>
      <w:r>
        <w:rPr>
          <w:spacing w:val="-7"/>
        </w:rPr>
        <w:t> </w:t>
      </w:r>
      <w:r>
        <w:rPr/>
        <w:t>cartilage,</w:t>
      </w:r>
      <w:r>
        <w:rPr>
          <w:spacing w:val="-6"/>
        </w:rPr>
        <w:t> </w:t>
      </w:r>
      <w:r>
        <w:rPr/>
        <w:t>are</w:t>
      </w:r>
      <w:r>
        <w:rPr>
          <w:spacing w:val="-7"/>
        </w:rPr>
        <w:t> </w:t>
      </w:r>
      <w:r>
        <w:rPr/>
        <w:t>243</w:t>
      </w:r>
      <w:r>
        <w:rPr>
          <w:spacing w:val="-8"/>
        </w:rPr>
        <w:t> </w:t>
      </w:r>
      <w:r>
        <w:rPr/>
        <w:t>%</w:t>
      </w:r>
      <w:r>
        <w:rPr>
          <w:spacing w:val="-8"/>
        </w:rPr>
        <w:t> </w:t>
      </w:r>
      <w:r>
        <w:rPr/>
        <w:t>more</w:t>
      </w:r>
      <w:r>
        <w:rPr>
          <w:spacing w:val="-7"/>
        </w:rPr>
        <w:t> </w:t>
      </w:r>
      <w:r>
        <w:rPr/>
        <w:t>active.</w:t>
      </w:r>
      <w:r>
        <w:rPr>
          <w:spacing w:val="-7"/>
        </w:rPr>
        <w:t> </w:t>
      </w:r>
      <w:r>
        <w:rPr/>
        <w:t>At the same time, silicon has an anti-inflammatory effect on the joint and very quickly ensures freedom from</w:t>
      </w:r>
      <w:r>
        <w:rPr>
          <w:spacing w:val="1"/>
        </w:rPr>
        <w:t> </w:t>
      </w:r>
      <w:r>
        <w:rPr/>
        <w:t>pain.</w:t>
      </w:r>
    </w:p>
    <w:p>
      <w:pPr>
        <w:spacing w:after="0" w:line="276" w:lineRule="auto"/>
        <w:jc w:val="both"/>
        <w:sectPr>
          <w:pgSz w:w="14270" w:h="16850"/>
          <w:pgMar w:header="0" w:footer="1891" w:top="1320" w:bottom="2080" w:left="800" w:right="1280"/>
        </w:sectPr>
      </w:pPr>
    </w:p>
    <w:p>
      <w:pPr>
        <w:pStyle w:val="Heading1"/>
        <w:spacing w:before="77"/>
        <w:ind w:left="616"/>
        <w:jc w:val="both"/>
      </w:pPr>
      <w:r>
        <w:rPr/>
        <w:t>Silicon slows the ageing of blood</w:t>
      </w:r>
      <w:r>
        <w:rPr>
          <w:spacing w:val="-61"/>
        </w:rPr>
        <w:t> </w:t>
      </w:r>
      <w:r>
        <w:rPr/>
        <w:t>vessels</w:t>
      </w:r>
    </w:p>
    <w:p>
      <w:pPr>
        <w:pStyle w:val="BodyText"/>
        <w:spacing w:line="276" w:lineRule="auto" w:before="299"/>
        <w:ind w:left="616" w:right="135"/>
        <w:jc w:val="both"/>
      </w:pPr>
      <w:r>
        <w:rPr/>
        <w:t>In</w:t>
      </w:r>
      <w:r>
        <w:rPr>
          <w:spacing w:val="-5"/>
        </w:rPr>
        <w:t> </w:t>
      </w:r>
      <w:r>
        <w:rPr/>
        <w:t>almost</w:t>
      </w:r>
      <w:r>
        <w:rPr>
          <w:spacing w:val="-6"/>
        </w:rPr>
        <w:t> </w:t>
      </w:r>
      <w:r>
        <w:rPr/>
        <w:t>all</w:t>
      </w:r>
      <w:r>
        <w:rPr>
          <w:spacing w:val="-7"/>
        </w:rPr>
        <w:t> </w:t>
      </w:r>
      <w:r>
        <w:rPr/>
        <w:t>cases,</w:t>
      </w:r>
      <w:r>
        <w:rPr>
          <w:spacing w:val="-4"/>
        </w:rPr>
        <w:t> </w:t>
      </w:r>
      <w:r>
        <w:rPr/>
        <w:t>it</w:t>
      </w:r>
      <w:r>
        <w:rPr>
          <w:spacing w:val="-7"/>
        </w:rPr>
        <w:t> </w:t>
      </w:r>
      <w:r>
        <w:rPr/>
        <w:t>is</w:t>
      </w:r>
      <w:r>
        <w:rPr>
          <w:spacing w:val="-6"/>
        </w:rPr>
        <w:t> </w:t>
      </w:r>
      <w:r>
        <w:rPr/>
        <w:t>ultimately</w:t>
      </w:r>
      <w:r>
        <w:rPr>
          <w:spacing w:val="-6"/>
        </w:rPr>
        <w:t> </w:t>
      </w:r>
      <w:r>
        <w:rPr/>
        <w:t>our</w:t>
      </w:r>
      <w:r>
        <w:rPr>
          <w:spacing w:val="-6"/>
        </w:rPr>
        <w:t> </w:t>
      </w:r>
      <w:r>
        <w:rPr/>
        <w:t>blood</w:t>
      </w:r>
      <w:r>
        <w:rPr>
          <w:spacing w:val="-6"/>
        </w:rPr>
        <w:t> </w:t>
      </w:r>
      <w:r>
        <w:rPr/>
        <w:t>vessels</w:t>
      </w:r>
      <w:r>
        <w:rPr>
          <w:spacing w:val="-5"/>
        </w:rPr>
        <w:t> </w:t>
      </w:r>
      <w:r>
        <w:rPr/>
        <w:t>that</w:t>
      </w:r>
      <w:r>
        <w:rPr>
          <w:spacing w:val="-6"/>
        </w:rPr>
        <w:t> </w:t>
      </w:r>
      <w:r>
        <w:rPr/>
        <w:t>give</w:t>
      </w:r>
      <w:r>
        <w:rPr>
          <w:spacing w:val="-6"/>
        </w:rPr>
        <w:t> </w:t>
      </w:r>
      <w:r>
        <w:rPr/>
        <w:t>the</w:t>
      </w:r>
      <w:r>
        <w:rPr>
          <w:spacing w:val="-5"/>
        </w:rPr>
        <w:t> </w:t>
      </w:r>
      <w:r>
        <w:rPr/>
        <w:t>clearest</w:t>
      </w:r>
      <w:r>
        <w:rPr>
          <w:spacing w:val="-6"/>
        </w:rPr>
        <w:t> </w:t>
      </w:r>
      <w:r>
        <w:rPr/>
        <w:t>iden- tification</w:t>
      </w:r>
      <w:r>
        <w:rPr>
          <w:spacing w:val="-19"/>
        </w:rPr>
        <w:t> </w:t>
      </w:r>
      <w:r>
        <w:rPr/>
        <w:t>of</w:t>
      </w:r>
      <w:r>
        <w:rPr>
          <w:spacing w:val="-20"/>
        </w:rPr>
        <w:t> </w:t>
      </w:r>
      <w:r>
        <w:rPr/>
        <w:t>biological</w:t>
      </w:r>
      <w:r>
        <w:rPr>
          <w:spacing w:val="-19"/>
        </w:rPr>
        <w:t> </w:t>
      </w:r>
      <w:r>
        <w:rPr/>
        <w:t>ageing.</w:t>
      </w:r>
      <w:r>
        <w:rPr>
          <w:spacing w:val="-19"/>
        </w:rPr>
        <w:t> </w:t>
      </w:r>
      <w:r>
        <w:rPr/>
        <w:t>When</w:t>
      </w:r>
      <w:r>
        <w:rPr>
          <w:spacing w:val="-18"/>
        </w:rPr>
        <w:t> </w:t>
      </w:r>
      <w:r>
        <w:rPr/>
        <w:t>we</w:t>
      </w:r>
      <w:r>
        <w:rPr>
          <w:spacing w:val="-21"/>
        </w:rPr>
        <w:t> </w:t>
      </w:r>
      <w:r>
        <w:rPr/>
        <w:t>are</w:t>
      </w:r>
      <w:r>
        <w:rPr>
          <w:spacing w:val="-21"/>
        </w:rPr>
        <w:t> </w:t>
      </w:r>
      <w:r>
        <w:rPr/>
        <w:t>babies,</w:t>
      </w:r>
      <w:r>
        <w:rPr>
          <w:spacing w:val="-19"/>
        </w:rPr>
        <w:t> </w:t>
      </w:r>
      <w:r>
        <w:rPr/>
        <w:t>our</w:t>
      </w:r>
      <w:r>
        <w:rPr>
          <w:spacing w:val="-21"/>
        </w:rPr>
        <w:t> </w:t>
      </w:r>
      <w:r>
        <w:rPr/>
        <w:t>blood</w:t>
      </w:r>
      <w:r>
        <w:rPr>
          <w:spacing w:val="-19"/>
        </w:rPr>
        <w:t> </w:t>
      </w:r>
      <w:r>
        <w:rPr/>
        <w:t>vessels</w:t>
      </w:r>
      <w:r>
        <w:rPr>
          <w:spacing w:val="-18"/>
        </w:rPr>
        <w:t> </w:t>
      </w:r>
      <w:r>
        <w:rPr/>
        <w:t>are</w:t>
      </w:r>
      <w:r>
        <w:rPr>
          <w:spacing w:val="-20"/>
        </w:rPr>
        <w:t> </w:t>
      </w:r>
      <w:r>
        <w:rPr/>
        <w:t>elastic and smooth like the surface of a mirror.</w:t>
      </w:r>
    </w:p>
    <w:p>
      <w:pPr>
        <w:pStyle w:val="BodyText"/>
        <w:spacing w:line="276" w:lineRule="auto" w:before="239"/>
        <w:ind w:left="616" w:right="134"/>
        <w:jc w:val="both"/>
      </w:pPr>
      <w:r>
        <w:rPr/>
        <w:t>As</w:t>
      </w:r>
      <w:r>
        <w:rPr>
          <w:spacing w:val="-15"/>
        </w:rPr>
        <w:t> </w:t>
      </w:r>
      <w:r>
        <w:rPr/>
        <w:t>early</w:t>
      </w:r>
      <w:r>
        <w:rPr>
          <w:spacing w:val="-14"/>
        </w:rPr>
        <w:t> </w:t>
      </w:r>
      <w:r>
        <w:rPr/>
        <w:t>as</w:t>
      </w:r>
      <w:r>
        <w:rPr>
          <w:spacing w:val="-16"/>
        </w:rPr>
        <w:t> </w:t>
      </w:r>
      <w:r>
        <w:rPr/>
        <w:t>adolescence,</w:t>
      </w:r>
      <w:r>
        <w:rPr>
          <w:spacing w:val="-16"/>
        </w:rPr>
        <w:t> </w:t>
      </w:r>
      <w:r>
        <w:rPr/>
        <w:t>however,</w:t>
      </w:r>
      <w:r>
        <w:rPr>
          <w:spacing w:val="-13"/>
        </w:rPr>
        <w:t> </w:t>
      </w:r>
      <w:r>
        <w:rPr/>
        <w:t>their</w:t>
      </w:r>
      <w:r>
        <w:rPr>
          <w:spacing w:val="-15"/>
        </w:rPr>
        <w:t> </w:t>
      </w:r>
      <w:r>
        <w:rPr/>
        <w:t>structure</w:t>
      </w:r>
      <w:r>
        <w:rPr>
          <w:spacing w:val="-16"/>
        </w:rPr>
        <w:t> </w:t>
      </w:r>
      <w:r>
        <w:rPr/>
        <w:t>changes</w:t>
      </w:r>
      <w:r>
        <w:rPr>
          <w:spacing w:val="-14"/>
        </w:rPr>
        <w:t> </w:t>
      </w:r>
      <w:r>
        <w:rPr/>
        <w:t>as</w:t>
      </w:r>
      <w:r>
        <w:rPr>
          <w:spacing w:val="-16"/>
        </w:rPr>
        <w:t> </w:t>
      </w:r>
      <w:r>
        <w:rPr/>
        <w:t>food</w:t>
      </w:r>
      <w:r>
        <w:rPr>
          <w:spacing w:val="-19"/>
        </w:rPr>
        <w:t> </w:t>
      </w:r>
      <w:r>
        <w:rPr/>
        <w:t>components, such as calcium and cholesterol, attach themselves to the inner walls of the arteries</w:t>
      </w:r>
      <w:r>
        <w:rPr>
          <w:spacing w:val="-20"/>
        </w:rPr>
        <w:t> </w:t>
      </w:r>
      <w:r>
        <w:rPr/>
        <w:t>and</w:t>
      </w:r>
      <w:r>
        <w:rPr>
          <w:spacing w:val="-20"/>
        </w:rPr>
        <w:t> </w:t>
      </w:r>
      <w:r>
        <w:rPr/>
        <w:t>gradually</w:t>
      </w:r>
      <w:r>
        <w:rPr>
          <w:spacing w:val="-21"/>
        </w:rPr>
        <w:t> </w:t>
      </w:r>
      <w:r>
        <w:rPr/>
        <w:t>make</w:t>
      </w:r>
      <w:r>
        <w:rPr>
          <w:spacing w:val="-20"/>
        </w:rPr>
        <w:t> </w:t>
      </w:r>
      <w:r>
        <w:rPr/>
        <w:t>the</w:t>
      </w:r>
      <w:r>
        <w:rPr>
          <w:spacing w:val="-19"/>
        </w:rPr>
        <w:t> </w:t>
      </w:r>
      <w:r>
        <w:rPr/>
        <w:t>previously</w:t>
      </w:r>
      <w:r>
        <w:rPr>
          <w:spacing w:val="-21"/>
        </w:rPr>
        <w:t> </w:t>
      </w:r>
      <w:r>
        <w:rPr/>
        <w:t>elastic</w:t>
      </w:r>
      <w:r>
        <w:rPr>
          <w:spacing w:val="-20"/>
        </w:rPr>
        <w:t> </w:t>
      </w:r>
      <w:r>
        <w:rPr/>
        <w:t>blood</w:t>
      </w:r>
      <w:r>
        <w:rPr>
          <w:spacing w:val="-19"/>
        </w:rPr>
        <w:t> </w:t>
      </w:r>
      <w:r>
        <w:rPr/>
        <w:t>vessels</w:t>
      </w:r>
      <w:r>
        <w:rPr>
          <w:spacing w:val="-22"/>
        </w:rPr>
        <w:t> </w:t>
      </w:r>
      <w:r>
        <w:rPr/>
        <w:t>rigid</w:t>
      </w:r>
      <w:r>
        <w:rPr>
          <w:spacing w:val="-21"/>
        </w:rPr>
        <w:t> </w:t>
      </w:r>
      <w:r>
        <w:rPr/>
        <w:t>and</w:t>
      </w:r>
      <w:r>
        <w:rPr>
          <w:spacing w:val="-20"/>
        </w:rPr>
        <w:t> </w:t>
      </w:r>
      <w:r>
        <w:rPr/>
        <w:t>brittle.</w:t>
      </w:r>
    </w:p>
    <w:p>
      <w:pPr>
        <w:pStyle w:val="BodyText"/>
        <w:spacing w:line="276" w:lineRule="auto" w:before="242"/>
        <w:ind w:left="616" w:right="137"/>
        <w:jc w:val="both"/>
      </w:pPr>
      <w:r>
        <w:rPr/>
        <w:t>Moreover, the resulting atherosclerosis constricts our blood vessels and pre- vents the fluid transport of oxygen and nutrients to the destination organs.</w:t>
      </w:r>
    </w:p>
    <w:p>
      <w:pPr>
        <w:pStyle w:val="BodyText"/>
        <w:spacing w:line="276" w:lineRule="auto" w:before="238"/>
        <w:ind w:left="616" w:right="142"/>
        <w:jc w:val="both"/>
      </w:pPr>
      <w:r>
        <w:rPr/>
        <w:t>If this occurs in those arteries that lead to the heart and sufficient amounts of oxygen can no longer be transported to the heart, the result is a heart attack. In contrast, if it affects the cerebral arteries, this inevitably leads to a stroke!</w:t>
      </w:r>
    </w:p>
    <w:p>
      <w:pPr>
        <w:pStyle w:val="BodyText"/>
        <w:spacing w:line="276" w:lineRule="auto" w:before="242"/>
        <w:ind w:left="616" w:right="134"/>
        <w:jc w:val="both"/>
      </w:pPr>
      <w:r>
        <w:rPr/>
        <w:t>The</w:t>
      </w:r>
      <w:r>
        <w:rPr>
          <w:spacing w:val="-12"/>
        </w:rPr>
        <w:t> </w:t>
      </w:r>
      <w:r>
        <w:rPr/>
        <w:t>regular</w:t>
      </w:r>
      <w:r>
        <w:rPr>
          <w:spacing w:val="-12"/>
        </w:rPr>
        <w:t> </w:t>
      </w:r>
      <w:r>
        <w:rPr/>
        <w:t>intake</w:t>
      </w:r>
      <w:r>
        <w:rPr>
          <w:spacing w:val="-12"/>
        </w:rPr>
        <w:t> </w:t>
      </w:r>
      <w:r>
        <w:rPr/>
        <w:t>of</w:t>
      </w:r>
      <w:r>
        <w:rPr>
          <w:spacing w:val="-12"/>
        </w:rPr>
        <w:t> </w:t>
      </w:r>
      <w:r>
        <w:rPr/>
        <w:t>silicon</w:t>
      </w:r>
      <w:r>
        <w:rPr>
          <w:spacing w:val="-10"/>
        </w:rPr>
        <w:t> </w:t>
      </w:r>
      <w:r>
        <w:rPr/>
        <w:t>preparations</w:t>
      </w:r>
      <w:r>
        <w:rPr>
          <w:spacing w:val="-11"/>
        </w:rPr>
        <w:t> </w:t>
      </w:r>
      <w:r>
        <w:rPr/>
        <w:t>keeps</w:t>
      </w:r>
      <w:r>
        <w:rPr>
          <w:spacing w:val="-14"/>
        </w:rPr>
        <w:t> </w:t>
      </w:r>
      <w:r>
        <w:rPr/>
        <w:t>the</w:t>
      </w:r>
      <w:r>
        <w:rPr>
          <w:spacing w:val="-11"/>
        </w:rPr>
        <w:t> </w:t>
      </w:r>
      <w:r>
        <w:rPr/>
        <w:t>blood</w:t>
      </w:r>
      <w:r>
        <w:rPr>
          <w:spacing w:val="-11"/>
        </w:rPr>
        <w:t> </w:t>
      </w:r>
      <w:r>
        <w:rPr/>
        <w:t>vessels</w:t>
      </w:r>
      <w:r>
        <w:rPr>
          <w:spacing w:val="-12"/>
        </w:rPr>
        <w:t> </w:t>
      </w:r>
      <w:r>
        <w:rPr/>
        <w:t>elastic.</w:t>
      </w:r>
      <w:r>
        <w:rPr>
          <w:spacing w:val="-11"/>
        </w:rPr>
        <w:t> </w:t>
      </w:r>
      <w:r>
        <w:rPr/>
        <w:t>Stud- ies have even shown that silicon can even make the blood vessels elastic again to</w:t>
      </w:r>
      <w:r>
        <w:rPr>
          <w:spacing w:val="-18"/>
        </w:rPr>
        <w:t> </w:t>
      </w:r>
      <w:r>
        <w:rPr/>
        <w:t>a</w:t>
      </w:r>
      <w:r>
        <w:rPr>
          <w:spacing w:val="-19"/>
        </w:rPr>
        <w:t> </w:t>
      </w:r>
      <w:r>
        <w:rPr/>
        <w:t>certain</w:t>
      </w:r>
      <w:r>
        <w:rPr>
          <w:spacing w:val="-18"/>
        </w:rPr>
        <w:t> </w:t>
      </w:r>
      <w:r>
        <w:rPr/>
        <w:t>extent.</w:t>
      </w:r>
      <w:r>
        <w:rPr>
          <w:spacing w:val="-17"/>
        </w:rPr>
        <w:t> </w:t>
      </w:r>
      <w:r>
        <w:rPr/>
        <w:t>In</w:t>
      </w:r>
      <w:r>
        <w:rPr>
          <w:spacing w:val="-17"/>
        </w:rPr>
        <w:t> </w:t>
      </w:r>
      <w:r>
        <w:rPr/>
        <w:t>the</w:t>
      </w:r>
      <w:r>
        <w:rPr>
          <w:spacing w:val="-19"/>
        </w:rPr>
        <w:t> </w:t>
      </w:r>
      <w:r>
        <w:rPr/>
        <w:t>process,</w:t>
      </w:r>
      <w:r>
        <w:rPr>
          <w:spacing w:val="-17"/>
        </w:rPr>
        <w:t> </w:t>
      </w:r>
      <w:r>
        <w:rPr/>
        <w:t>silicon</w:t>
      </w:r>
      <w:r>
        <w:rPr>
          <w:spacing w:val="-17"/>
        </w:rPr>
        <w:t> </w:t>
      </w:r>
      <w:r>
        <w:rPr/>
        <w:t>depletes</w:t>
      </w:r>
      <w:r>
        <w:rPr>
          <w:spacing w:val="-17"/>
        </w:rPr>
        <w:t> </w:t>
      </w:r>
      <w:r>
        <w:rPr/>
        <w:t>the</w:t>
      </w:r>
      <w:r>
        <w:rPr>
          <w:spacing w:val="-17"/>
        </w:rPr>
        <w:t> </w:t>
      </w:r>
      <w:r>
        <w:rPr/>
        <w:t>inner</w:t>
      </w:r>
      <w:r>
        <w:rPr>
          <w:spacing w:val="-17"/>
        </w:rPr>
        <w:t> </w:t>
      </w:r>
      <w:r>
        <w:rPr/>
        <w:t>lining</w:t>
      </w:r>
      <w:r>
        <w:rPr>
          <w:spacing w:val="-19"/>
        </w:rPr>
        <w:t> </w:t>
      </w:r>
      <w:r>
        <w:rPr/>
        <w:t>of</w:t>
      </w:r>
      <w:r>
        <w:rPr>
          <w:spacing w:val="-18"/>
        </w:rPr>
        <w:t> </w:t>
      </w:r>
      <w:r>
        <w:rPr/>
        <w:t>the</w:t>
      </w:r>
      <w:r>
        <w:rPr>
          <w:spacing w:val="-17"/>
        </w:rPr>
        <w:t> </w:t>
      </w:r>
      <w:r>
        <w:rPr/>
        <w:t>vessel, so it absorbs the deposits, as it</w:t>
      </w:r>
      <w:r>
        <w:rPr>
          <w:spacing w:val="-2"/>
        </w:rPr>
        <w:t> </w:t>
      </w:r>
      <w:r>
        <w:rPr/>
        <w:t>were.</w:t>
      </w:r>
    </w:p>
    <w:p>
      <w:pPr>
        <w:pStyle w:val="BodyText"/>
        <w:spacing w:line="276" w:lineRule="auto" w:before="239"/>
        <w:ind w:left="616" w:right="132"/>
        <w:jc w:val="both"/>
      </w:pPr>
      <w:r>
        <w:rPr/>
        <w:t>In this way, silicon or silica keep our blood vessels young and can even make biologically aged blood vessels even younger, thereby prolonging life! An ex- periment</w:t>
      </w:r>
      <w:r>
        <w:rPr>
          <w:spacing w:val="-9"/>
        </w:rPr>
        <w:t> </w:t>
      </w:r>
      <w:r>
        <w:rPr/>
        <w:t>by</w:t>
      </w:r>
      <w:r>
        <w:rPr>
          <w:spacing w:val="-11"/>
        </w:rPr>
        <w:t> </w:t>
      </w:r>
      <w:r>
        <w:rPr/>
        <w:t>the</w:t>
      </w:r>
      <w:r>
        <w:rPr>
          <w:spacing w:val="-11"/>
        </w:rPr>
        <w:t> </w:t>
      </w:r>
      <w:r>
        <w:rPr/>
        <w:t>scientists</w:t>
      </w:r>
      <w:r>
        <w:rPr>
          <w:spacing w:val="-9"/>
        </w:rPr>
        <w:t> </w:t>
      </w:r>
      <w:r>
        <w:rPr/>
        <w:t>Letters</w:t>
      </w:r>
      <w:r>
        <w:rPr>
          <w:spacing w:val="-8"/>
        </w:rPr>
        <w:t> </w:t>
      </w:r>
      <w:r>
        <w:rPr/>
        <w:t>and</w:t>
      </w:r>
      <w:r>
        <w:rPr>
          <w:spacing w:val="-8"/>
        </w:rPr>
        <w:t> </w:t>
      </w:r>
      <w:r>
        <w:rPr/>
        <w:t>Scholl</w:t>
      </w:r>
      <w:r>
        <w:rPr>
          <w:spacing w:val="-12"/>
        </w:rPr>
        <w:t> </w:t>
      </w:r>
      <w:r>
        <w:rPr/>
        <w:t>on</w:t>
      </w:r>
      <w:r>
        <w:rPr>
          <w:spacing w:val="-11"/>
        </w:rPr>
        <w:t> </w:t>
      </w:r>
      <w:r>
        <w:rPr/>
        <w:t>rats</w:t>
      </w:r>
      <w:r>
        <w:rPr>
          <w:spacing w:val="-10"/>
        </w:rPr>
        <w:t> </w:t>
      </w:r>
      <w:r>
        <w:rPr/>
        <w:t>suffering</w:t>
      </w:r>
      <w:r>
        <w:rPr>
          <w:spacing w:val="-8"/>
        </w:rPr>
        <w:t> </w:t>
      </w:r>
      <w:r>
        <w:rPr/>
        <w:t>from</w:t>
      </w:r>
      <w:r>
        <w:rPr>
          <w:spacing w:val="-9"/>
        </w:rPr>
        <w:t> </w:t>
      </w:r>
      <w:r>
        <w:rPr/>
        <w:t>severe</w:t>
      </w:r>
      <w:r>
        <w:rPr>
          <w:spacing w:val="-9"/>
        </w:rPr>
        <w:t> </w:t>
      </w:r>
      <w:r>
        <w:rPr/>
        <w:t>ath- erosclerosis is definitely worth mentioning here. Feeding the rats colloidal si- licium eliminated swelling and the brownish, discoloured, degenerated</w:t>
      </w:r>
      <w:r>
        <w:rPr>
          <w:spacing w:val="56"/>
        </w:rPr>
        <w:t> </w:t>
      </w:r>
      <w:r>
        <w:rPr/>
        <w:t>kidney</w:t>
      </w:r>
    </w:p>
    <w:p>
      <w:pPr>
        <w:spacing w:after="0" w:line="276" w:lineRule="auto"/>
        <w:jc w:val="both"/>
        <w:sectPr>
          <w:pgSz w:w="14270" w:h="16850"/>
          <w:pgMar w:header="0" w:footer="1891" w:top="1320" w:bottom="2080" w:left="800" w:right="1280"/>
        </w:sectPr>
      </w:pPr>
    </w:p>
    <w:p>
      <w:pPr>
        <w:pStyle w:val="BodyText"/>
        <w:spacing w:before="74"/>
        <w:ind w:left="616"/>
      </w:pPr>
      <w:r>
        <w:rPr/>
        <w:t>cells reverted back to a healthy pink, which reflected significant cell renewal.</w:t>
      </w:r>
    </w:p>
    <w:p>
      <w:pPr>
        <w:pStyle w:val="Heading1"/>
        <w:spacing w:before="287"/>
        <w:ind w:left="616"/>
      </w:pPr>
      <w:r>
        <w:rPr/>
        <w:t>Silicon supports breathing</w:t>
      </w:r>
    </w:p>
    <w:p>
      <w:pPr>
        <w:pStyle w:val="BodyText"/>
        <w:spacing w:line="276" w:lineRule="auto" w:before="297"/>
        <w:ind w:left="616" w:right="131"/>
        <w:jc w:val="both"/>
      </w:pPr>
      <w:r>
        <w:rPr/>
        <w:t>In</w:t>
      </w:r>
      <w:r>
        <w:rPr>
          <w:spacing w:val="-22"/>
        </w:rPr>
        <w:t> </w:t>
      </w:r>
      <w:r>
        <w:rPr/>
        <w:t>old</w:t>
      </w:r>
      <w:r>
        <w:rPr>
          <w:spacing w:val="-22"/>
        </w:rPr>
        <w:t> </w:t>
      </w:r>
      <w:r>
        <w:rPr/>
        <w:t>age,</w:t>
      </w:r>
      <w:r>
        <w:rPr>
          <w:spacing w:val="-24"/>
        </w:rPr>
        <w:t> </w:t>
      </w:r>
      <w:r>
        <w:rPr/>
        <w:t>breathing</w:t>
      </w:r>
      <w:r>
        <w:rPr>
          <w:spacing w:val="-21"/>
        </w:rPr>
        <w:t> </w:t>
      </w:r>
      <w:r>
        <w:rPr/>
        <w:t>becomes</w:t>
      </w:r>
      <w:r>
        <w:rPr>
          <w:spacing w:val="-24"/>
        </w:rPr>
        <w:t> </w:t>
      </w:r>
      <w:r>
        <w:rPr/>
        <w:t>more</w:t>
      </w:r>
      <w:r>
        <w:rPr>
          <w:spacing w:val="-22"/>
        </w:rPr>
        <w:t> </w:t>
      </w:r>
      <w:r>
        <w:rPr/>
        <w:t>and</w:t>
      </w:r>
      <w:r>
        <w:rPr>
          <w:spacing w:val="-22"/>
        </w:rPr>
        <w:t> </w:t>
      </w:r>
      <w:r>
        <w:rPr/>
        <w:t>more</w:t>
      </w:r>
      <w:r>
        <w:rPr>
          <w:spacing w:val="-22"/>
        </w:rPr>
        <w:t> </w:t>
      </w:r>
      <w:r>
        <w:rPr/>
        <w:t>difficult,</w:t>
      </w:r>
      <w:r>
        <w:rPr>
          <w:spacing w:val="-23"/>
        </w:rPr>
        <w:t> </w:t>
      </w:r>
      <w:r>
        <w:rPr/>
        <w:t>and</w:t>
      </w:r>
      <w:r>
        <w:rPr>
          <w:spacing w:val="-22"/>
        </w:rPr>
        <w:t> </w:t>
      </w:r>
      <w:r>
        <w:rPr/>
        <w:t>this</w:t>
      </w:r>
      <w:r>
        <w:rPr>
          <w:spacing w:val="-20"/>
        </w:rPr>
        <w:t> </w:t>
      </w:r>
      <w:r>
        <w:rPr/>
        <w:t>has</w:t>
      </w:r>
      <w:r>
        <w:rPr>
          <w:spacing w:val="-22"/>
        </w:rPr>
        <w:t> </w:t>
      </w:r>
      <w:r>
        <w:rPr/>
        <w:t>its</w:t>
      </w:r>
      <w:r>
        <w:rPr>
          <w:spacing w:val="-23"/>
        </w:rPr>
        <w:t> </w:t>
      </w:r>
      <w:r>
        <w:rPr/>
        <w:t>reasons: the loss of lung function due, among other things, to degenerated respiratory organs.</w:t>
      </w:r>
      <w:r>
        <w:rPr>
          <w:spacing w:val="-25"/>
        </w:rPr>
        <w:t> </w:t>
      </w:r>
      <w:r>
        <w:rPr/>
        <w:t>The</w:t>
      </w:r>
      <w:r>
        <w:rPr>
          <w:spacing w:val="-25"/>
        </w:rPr>
        <w:t> </w:t>
      </w:r>
      <w:r>
        <w:rPr/>
        <w:t>bronchi</w:t>
      </w:r>
      <w:r>
        <w:rPr>
          <w:spacing w:val="-24"/>
        </w:rPr>
        <w:t> </w:t>
      </w:r>
      <w:r>
        <w:rPr/>
        <w:t>and</w:t>
      </w:r>
      <w:r>
        <w:rPr>
          <w:spacing w:val="-23"/>
        </w:rPr>
        <w:t> </w:t>
      </w:r>
      <w:r>
        <w:rPr/>
        <w:t>the</w:t>
      </w:r>
      <w:r>
        <w:rPr>
          <w:spacing w:val="-25"/>
        </w:rPr>
        <w:t> </w:t>
      </w:r>
      <w:r>
        <w:rPr/>
        <w:t>lobes</w:t>
      </w:r>
      <w:r>
        <w:rPr>
          <w:spacing w:val="-24"/>
        </w:rPr>
        <w:t> </w:t>
      </w:r>
      <w:r>
        <w:rPr/>
        <w:t>are</w:t>
      </w:r>
      <w:r>
        <w:rPr>
          <w:spacing w:val="-26"/>
        </w:rPr>
        <w:t> </w:t>
      </w:r>
      <w:r>
        <w:rPr/>
        <w:t>embedded</w:t>
      </w:r>
      <w:r>
        <w:rPr>
          <w:spacing w:val="-22"/>
        </w:rPr>
        <w:t> </w:t>
      </w:r>
      <w:r>
        <w:rPr/>
        <w:t>in</w:t>
      </w:r>
      <w:r>
        <w:rPr>
          <w:spacing w:val="-23"/>
        </w:rPr>
        <w:t> </w:t>
      </w:r>
      <w:r>
        <w:rPr/>
        <w:t>an</w:t>
      </w:r>
      <w:r>
        <w:rPr>
          <w:spacing w:val="-26"/>
        </w:rPr>
        <w:t> </w:t>
      </w:r>
      <w:r>
        <w:rPr/>
        <w:t>elastic</w:t>
      </w:r>
      <w:r>
        <w:rPr>
          <w:spacing w:val="-24"/>
        </w:rPr>
        <w:t> </w:t>
      </w:r>
      <w:r>
        <w:rPr/>
        <w:t>connective</w:t>
      </w:r>
      <w:r>
        <w:rPr>
          <w:spacing w:val="-23"/>
        </w:rPr>
        <w:t> </w:t>
      </w:r>
      <w:r>
        <w:rPr/>
        <w:t>tissue. This is also located under the lung membrane and naturally contains a lot of silicon in young and healthy people. With increasing age, the proportion of silicon decreases, which makes breathing increasingly difficult. Regular intake of silicon not only slows down this process, but sometimes even reverses</w:t>
      </w:r>
      <w:r>
        <w:rPr>
          <w:spacing w:val="-18"/>
        </w:rPr>
        <w:t> </w:t>
      </w:r>
      <w:r>
        <w:rPr/>
        <w:t>it.</w:t>
      </w:r>
    </w:p>
    <w:p>
      <w:pPr>
        <w:pStyle w:val="Heading1"/>
        <w:spacing w:before="226"/>
        <w:ind w:left="616"/>
      </w:pPr>
      <w:r>
        <w:rPr/>
        <w:t>Silicon and organs in general</w:t>
      </w:r>
    </w:p>
    <w:p>
      <w:pPr>
        <w:pStyle w:val="BodyText"/>
        <w:spacing w:line="276" w:lineRule="auto" w:before="297"/>
        <w:ind w:left="616" w:right="135"/>
        <w:jc w:val="both"/>
      </w:pPr>
      <w:r>
        <w:rPr/>
        <w:t>Since</w:t>
      </w:r>
      <w:r>
        <w:rPr>
          <w:spacing w:val="-7"/>
        </w:rPr>
        <w:t> </w:t>
      </w:r>
      <w:r>
        <w:rPr/>
        <w:t>all</w:t>
      </w:r>
      <w:r>
        <w:rPr>
          <w:spacing w:val="-8"/>
        </w:rPr>
        <w:t> </w:t>
      </w:r>
      <w:r>
        <w:rPr/>
        <w:t>organs</w:t>
      </w:r>
      <w:r>
        <w:rPr>
          <w:spacing w:val="-9"/>
        </w:rPr>
        <w:t> </w:t>
      </w:r>
      <w:r>
        <w:rPr/>
        <w:t>contain</w:t>
      </w:r>
      <w:r>
        <w:rPr>
          <w:spacing w:val="-7"/>
        </w:rPr>
        <w:t> </w:t>
      </w:r>
      <w:r>
        <w:rPr/>
        <w:t>some</w:t>
      </w:r>
      <w:r>
        <w:rPr>
          <w:spacing w:val="-7"/>
        </w:rPr>
        <w:t> </w:t>
      </w:r>
      <w:r>
        <w:rPr/>
        <w:t>silicon,</w:t>
      </w:r>
      <w:r>
        <w:rPr>
          <w:spacing w:val="-7"/>
        </w:rPr>
        <w:t> </w:t>
      </w:r>
      <w:r>
        <w:rPr/>
        <w:t>but</w:t>
      </w:r>
      <w:r>
        <w:rPr>
          <w:spacing w:val="-8"/>
        </w:rPr>
        <w:t> </w:t>
      </w:r>
      <w:r>
        <w:rPr/>
        <w:t>this</w:t>
      </w:r>
      <w:r>
        <w:rPr>
          <w:spacing w:val="-8"/>
        </w:rPr>
        <w:t> </w:t>
      </w:r>
      <w:r>
        <w:rPr/>
        <w:t>amount</w:t>
      </w:r>
      <w:r>
        <w:rPr>
          <w:spacing w:val="-7"/>
        </w:rPr>
        <w:t> </w:t>
      </w:r>
      <w:r>
        <w:rPr/>
        <w:t>demonstrably</w:t>
      </w:r>
      <w:r>
        <w:rPr>
          <w:spacing w:val="-7"/>
        </w:rPr>
        <w:t> </w:t>
      </w:r>
      <w:r>
        <w:rPr/>
        <w:t>decreases with</w:t>
      </w:r>
      <w:r>
        <w:rPr>
          <w:spacing w:val="-10"/>
        </w:rPr>
        <w:t> </w:t>
      </w:r>
      <w:r>
        <w:rPr/>
        <w:t>advancing</w:t>
      </w:r>
      <w:r>
        <w:rPr>
          <w:spacing w:val="-9"/>
        </w:rPr>
        <w:t> </w:t>
      </w:r>
      <w:r>
        <w:rPr/>
        <w:t>age,</w:t>
      </w:r>
      <w:r>
        <w:rPr>
          <w:spacing w:val="-9"/>
        </w:rPr>
        <w:t> </w:t>
      </w:r>
      <w:r>
        <w:rPr/>
        <w:t>it</w:t>
      </w:r>
      <w:r>
        <w:rPr>
          <w:spacing w:val="-11"/>
        </w:rPr>
        <w:t> </w:t>
      </w:r>
      <w:r>
        <w:rPr/>
        <w:t>makes</w:t>
      </w:r>
      <w:r>
        <w:rPr>
          <w:spacing w:val="-10"/>
        </w:rPr>
        <w:t> </w:t>
      </w:r>
      <w:r>
        <w:rPr/>
        <w:t>a</w:t>
      </w:r>
      <w:r>
        <w:rPr>
          <w:spacing w:val="-13"/>
        </w:rPr>
        <w:t> </w:t>
      </w:r>
      <w:r>
        <w:rPr/>
        <w:t>lot</w:t>
      </w:r>
      <w:r>
        <w:rPr>
          <w:spacing w:val="-12"/>
        </w:rPr>
        <w:t> </w:t>
      </w:r>
      <w:r>
        <w:rPr/>
        <w:t>of</w:t>
      </w:r>
      <w:r>
        <w:rPr>
          <w:spacing w:val="-12"/>
        </w:rPr>
        <w:t> </w:t>
      </w:r>
      <w:r>
        <w:rPr/>
        <w:t>sense</w:t>
      </w:r>
      <w:r>
        <w:rPr>
          <w:spacing w:val="-11"/>
        </w:rPr>
        <w:t> </w:t>
      </w:r>
      <w:r>
        <w:rPr/>
        <w:t>to</w:t>
      </w:r>
      <w:r>
        <w:rPr>
          <w:spacing w:val="-9"/>
        </w:rPr>
        <w:t> </w:t>
      </w:r>
      <w:r>
        <w:rPr/>
        <w:t>counteract</w:t>
      </w:r>
      <w:r>
        <w:rPr>
          <w:spacing w:val="-11"/>
        </w:rPr>
        <w:t> </w:t>
      </w:r>
      <w:r>
        <w:rPr/>
        <w:t>this</w:t>
      </w:r>
      <w:r>
        <w:rPr>
          <w:spacing w:val="-8"/>
        </w:rPr>
        <w:t> </w:t>
      </w:r>
      <w:r>
        <w:rPr/>
        <w:t>process</w:t>
      </w:r>
      <w:r>
        <w:rPr>
          <w:spacing w:val="-9"/>
        </w:rPr>
        <w:t> </w:t>
      </w:r>
      <w:r>
        <w:rPr/>
        <w:t>by</w:t>
      </w:r>
      <w:r>
        <w:rPr>
          <w:spacing w:val="-11"/>
        </w:rPr>
        <w:t> </w:t>
      </w:r>
      <w:r>
        <w:rPr/>
        <w:t>taking additional silicon in a natural way and to slow down, indeed even partially re- vise,</w:t>
      </w:r>
      <w:r>
        <w:rPr>
          <w:spacing w:val="-20"/>
        </w:rPr>
        <w:t> </w:t>
      </w:r>
      <w:r>
        <w:rPr/>
        <w:t>organ</w:t>
      </w:r>
      <w:r>
        <w:rPr>
          <w:spacing w:val="-21"/>
        </w:rPr>
        <w:t> </w:t>
      </w:r>
      <w:r>
        <w:rPr/>
        <w:t>ageing.</w:t>
      </w:r>
      <w:r>
        <w:rPr>
          <w:spacing w:val="-21"/>
        </w:rPr>
        <w:t> </w:t>
      </w:r>
      <w:r>
        <w:rPr/>
        <w:t>So</w:t>
      </w:r>
      <w:r>
        <w:rPr>
          <w:spacing w:val="-20"/>
        </w:rPr>
        <w:t> </w:t>
      </w:r>
      <w:r>
        <w:rPr/>
        <w:t>silicon</w:t>
      </w:r>
      <w:r>
        <w:rPr>
          <w:spacing w:val="-20"/>
        </w:rPr>
        <w:t> </w:t>
      </w:r>
      <w:r>
        <w:rPr/>
        <w:t>contributes</w:t>
      </w:r>
      <w:r>
        <w:rPr>
          <w:spacing w:val="-19"/>
        </w:rPr>
        <w:t> </w:t>
      </w:r>
      <w:r>
        <w:rPr/>
        <w:t>significantly</w:t>
      </w:r>
      <w:r>
        <w:rPr>
          <w:spacing w:val="-21"/>
        </w:rPr>
        <w:t> </w:t>
      </w:r>
      <w:r>
        <w:rPr/>
        <w:t>to</w:t>
      </w:r>
      <w:r>
        <w:rPr>
          <w:spacing w:val="-21"/>
        </w:rPr>
        <w:t> </w:t>
      </w:r>
      <w:r>
        <w:rPr/>
        <w:t>keeping</w:t>
      </w:r>
      <w:r>
        <w:rPr>
          <w:spacing w:val="-21"/>
        </w:rPr>
        <w:t> </w:t>
      </w:r>
      <w:r>
        <w:rPr/>
        <w:t>us</w:t>
      </w:r>
      <w:r>
        <w:rPr>
          <w:spacing w:val="-21"/>
        </w:rPr>
        <w:t> </w:t>
      </w:r>
      <w:r>
        <w:rPr/>
        <w:t>biologically young. The theory that the reason that the population of the Hunza tribe in the Himalayas live to 130 years old on average and enjoys the best of health is that they drink glacier water enriched with silicon could very well be</w:t>
      </w:r>
      <w:r>
        <w:rPr>
          <w:spacing w:val="-10"/>
        </w:rPr>
        <w:t> </w:t>
      </w:r>
      <w:r>
        <w:rPr/>
        <w:t>true.</w:t>
      </w:r>
    </w:p>
    <w:p>
      <w:pPr>
        <w:pStyle w:val="Heading2"/>
        <w:spacing w:before="241"/>
        <w:ind w:left="616"/>
      </w:pPr>
      <w:r>
        <w:rPr/>
        <w:t>Silicon – intake recommendation</w:t>
      </w:r>
    </w:p>
    <w:p>
      <w:pPr>
        <w:pStyle w:val="BodyText"/>
        <w:spacing w:line="276" w:lineRule="auto" w:before="304"/>
        <w:ind w:left="616" w:right="135"/>
        <w:jc w:val="both"/>
      </w:pPr>
      <w:r>
        <w:rPr/>
        <w:t>The daily requirement for silicon is not fully understood, due to the research being relatively new. If you want to know more, you can have a hair analysis done in a good laboratory to check the silicon content in your body. Minerals</w:t>
      </w:r>
    </w:p>
    <w:p>
      <w:pPr>
        <w:spacing w:after="0" w:line="276" w:lineRule="auto"/>
        <w:jc w:val="both"/>
        <w:sectPr>
          <w:pgSz w:w="14270" w:h="16850"/>
          <w:pgMar w:header="0" w:footer="1891" w:top="1340" w:bottom="2080" w:left="800" w:right="1280"/>
        </w:sectPr>
      </w:pPr>
    </w:p>
    <w:p>
      <w:pPr>
        <w:pStyle w:val="BodyText"/>
        <w:spacing w:line="278" w:lineRule="auto" w:before="72"/>
        <w:ind w:left="616" w:right="143"/>
        <w:jc w:val="both"/>
      </w:pPr>
      <w:r>
        <w:rPr/>
        <w:t>(including silicon) are deposited layer by layer in the hair as well as inside the body.</w:t>
      </w:r>
    </w:p>
    <w:p>
      <w:pPr>
        <w:pStyle w:val="BodyText"/>
        <w:spacing w:line="276" w:lineRule="auto" w:before="232"/>
        <w:ind w:left="616" w:right="137"/>
        <w:jc w:val="both"/>
      </w:pPr>
      <w:r>
        <w:rPr/>
        <w:t>It</w:t>
      </w:r>
      <w:r>
        <w:rPr>
          <w:spacing w:val="-20"/>
        </w:rPr>
        <w:t> </w:t>
      </w:r>
      <w:r>
        <w:rPr/>
        <w:t>is</w:t>
      </w:r>
      <w:r>
        <w:rPr>
          <w:spacing w:val="-18"/>
        </w:rPr>
        <w:t> </w:t>
      </w:r>
      <w:r>
        <w:rPr/>
        <w:t>a</w:t>
      </w:r>
      <w:r>
        <w:rPr>
          <w:spacing w:val="-20"/>
        </w:rPr>
        <w:t> </w:t>
      </w:r>
      <w:r>
        <w:rPr/>
        <w:t>well-researched</w:t>
      </w:r>
      <w:r>
        <w:rPr>
          <w:spacing w:val="-17"/>
        </w:rPr>
        <w:t> </w:t>
      </w:r>
      <w:r>
        <w:rPr/>
        <w:t>fact</w:t>
      </w:r>
      <w:r>
        <w:rPr>
          <w:spacing w:val="-19"/>
        </w:rPr>
        <w:t> </w:t>
      </w:r>
      <w:r>
        <w:rPr/>
        <w:t>that</w:t>
      </w:r>
      <w:r>
        <w:rPr>
          <w:spacing w:val="-18"/>
        </w:rPr>
        <w:t> </w:t>
      </w:r>
      <w:r>
        <w:rPr/>
        <w:t>there</w:t>
      </w:r>
      <w:r>
        <w:rPr>
          <w:spacing w:val="-18"/>
        </w:rPr>
        <w:t> </w:t>
      </w:r>
      <w:r>
        <w:rPr/>
        <w:t>are</w:t>
      </w:r>
      <w:r>
        <w:rPr>
          <w:spacing w:val="-18"/>
        </w:rPr>
        <w:t> </w:t>
      </w:r>
      <w:r>
        <w:rPr/>
        <w:t>three</w:t>
      </w:r>
      <w:r>
        <w:rPr>
          <w:spacing w:val="-18"/>
        </w:rPr>
        <w:t> </w:t>
      </w:r>
      <w:r>
        <w:rPr/>
        <w:t>forms</w:t>
      </w:r>
      <w:r>
        <w:rPr>
          <w:spacing w:val="-17"/>
        </w:rPr>
        <w:t> </w:t>
      </w:r>
      <w:r>
        <w:rPr/>
        <w:t>of</w:t>
      </w:r>
      <w:r>
        <w:rPr>
          <w:spacing w:val="-19"/>
        </w:rPr>
        <w:t> </w:t>
      </w:r>
      <w:r>
        <w:rPr/>
        <w:t>silicon</w:t>
      </w:r>
      <w:r>
        <w:rPr>
          <w:spacing w:val="-17"/>
        </w:rPr>
        <w:t> </w:t>
      </w:r>
      <w:r>
        <w:rPr/>
        <w:t>in</w:t>
      </w:r>
      <w:r>
        <w:rPr>
          <w:spacing w:val="-21"/>
        </w:rPr>
        <w:t> </w:t>
      </w:r>
      <w:r>
        <w:rPr/>
        <w:t>human</w:t>
      </w:r>
      <w:r>
        <w:rPr>
          <w:spacing w:val="-17"/>
        </w:rPr>
        <w:t> </w:t>
      </w:r>
      <w:r>
        <w:rPr/>
        <w:t>blood: of these, 60 % are bound to protein, 30 % to fats, and the remaining 10 %</w:t>
      </w:r>
      <w:r>
        <w:rPr>
          <w:spacing w:val="-53"/>
        </w:rPr>
        <w:t> </w:t>
      </w:r>
      <w:r>
        <w:rPr/>
        <w:t>are in aqueous form in the</w:t>
      </w:r>
      <w:r>
        <w:rPr>
          <w:spacing w:val="5"/>
        </w:rPr>
        <w:t> </w:t>
      </w:r>
      <w:r>
        <w:rPr/>
        <w:t>body.</w:t>
      </w:r>
    </w:p>
    <w:p>
      <w:pPr>
        <w:pStyle w:val="BodyText"/>
        <w:spacing w:line="276" w:lineRule="auto" w:before="241"/>
        <w:ind w:left="616" w:right="133"/>
        <w:jc w:val="both"/>
      </w:pPr>
      <w:r>
        <w:rPr/>
        <w:t>The loss of silicon in the human organism varies very widely and depends on individual metabolism as well as eating habits. According to studies by Ravin Jugadaohsingh</w:t>
      </w:r>
      <w:r>
        <w:rPr>
          <w:position w:val="9"/>
          <w:sz w:val="25"/>
        </w:rPr>
        <w:t>849</w:t>
      </w:r>
      <w:r>
        <w:rPr/>
        <w:t>, the body excretes 10-25 mg of silicon daily in urine. Up to another</w:t>
      </w:r>
      <w:r>
        <w:rPr>
          <w:spacing w:val="-13"/>
        </w:rPr>
        <w:t> </w:t>
      </w:r>
      <w:r>
        <w:rPr/>
        <w:t>15</w:t>
      </w:r>
      <w:r>
        <w:rPr>
          <w:spacing w:val="-14"/>
        </w:rPr>
        <w:t> </w:t>
      </w:r>
      <w:r>
        <w:rPr/>
        <w:t>mg</w:t>
      </w:r>
      <w:r>
        <w:rPr>
          <w:spacing w:val="-13"/>
        </w:rPr>
        <w:t> </w:t>
      </w:r>
      <w:r>
        <w:rPr/>
        <w:t>are</w:t>
      </w:r>
      <w:r>
        <w:rPr>
          <w:spacing w:val="-14"/>
        </w:rPr>
        <w:t> </w:t>
      </w:r>
      <w:r>
        <w:rPr/>
        <w:t>excreted</w:t>
      </w:r>
      <w:r>
        <w:rPr>
          <w:spacing w:val="-12"/>
        </w:rPr>
        <w:t> </w:t>
      </w:r>
      <w:r>
        <w:rPr/>
        <w:t>in</w:t>
      </w:r>
      <w:r>
        <w:rPr>
          <w:spacing w:val="-13"/>
        </w:rPr>
        <w:t> </w:t>
      </w:r>
      <w:r>
        <w:rPr/>
        <w:t>stool.</w:t>
      </w:r>
      <w:r>
        <w:rPr>
          <w:spacing w:val="-13"/>
        </w:rPr>
        <w:t> </w:t>
      </w:r>
      <w:r>
        <w:rPr/>
        <w:t>Accordingly,</w:t>
      </w:r>
      <w:r>
        <w:rPr>
          <w:spacing w:val="-12"/>
        </w:rPr>
        <w:t> </w:t>
      </w:r>
      <w:r>
        <w:rPr/>
        <w:t>at</w:t>
      </w:r>
      <w:r>
        <w:rPr>
          <w:spacing w:val="-14"/>
        </w:rPr>
        <w:t> </w:t>
      </w:r>
      <w:r>
        <w:rPr/>
        <w:t>least</w:t>
      </w:r>
      <w:r>
        <w:rPr>
          <w:spacing w:val="-14"/>
        </w:rPr>
        <w:t> </w:t>
      </w:r>
      <w:r>
        <w:rPr/>
        <w:t>10-40</w:t>
      </w:r>
      <w:r>
        <w:rPr>
          <w:spacing w:val="-15"/>
        </w:rPr>
        <w:t> </w:t>
      </w:r>
      <w:r>
        <w:rPr/>
        <w:t>mg</w:t>
      </w:r>
      <w:r>
        <w:rPr>
          <w:spacing w:val="-13"/>
        </w:rPr>
        <w:t> </w:t>
      </w:r>
      <w:r>
        <w:rPr/>
        <w:t>is</w:t>
      </w:r>
      <w:r>
        <w:rPr>
          <w:spacing w:val="-13"/>
        </w:rPr>
        <w:t> </w:t>
      </w:r>
      <w:r>
        <w:rPr/>
        <w:t>indicated in order to safely prevent silicon</w:t>
      </w:r>
      <w:r>
        <w:rPr>
          <w:spacing w:val="-3"/>
        </w:rPr>
        <w:t> </w:t>
      </w:r>
      <w:r>
        <w:rPr/>
        <w:t>deficiency.</w:t>
      </w:r>
    </w:p>
    <w:p>
      <w:pPr>
        <w:pStyle w:val="BodyText"/>
        <w:spacing w:line="276" w:lineRule="auto" w:before="240"/>
        <w:ind w:left="616" w:right="140"/>
        <w:jc w:val="both"/>
      </w:pPr>
      <w:r>
        <w:rPr/>
        <w:t>The</w:t>
      </w:r>
      <w:r>
        <w:rPr>
          <w:spacing w:val="-16"/>
        </w:rPr>
        <w:t> </w:t>
      </w:r>
      <w:r>
        <w:rPr/>
        <w:t>importance</w:t>
      </w:r>
      <w:r>
        <w:rPr>
          <w:spacing w:val="-18"/>
        </w:rPr>
        <w:t> </w:t>
      </w:r>
      <w:r>
        <w:rPr/>
        <w:t>as</w:t>
      </w:r>
      <w:r>
        <w:rPr>
          <w:spacing w:val="-17"/>
        </w:rPr>
        <w:t> </w:t>
      </w:r>
      <w:r>
        <w:rPr/>
        <w:t>well</w:t>
      </w:r>
      <w:r>
        <w:rPr>
          <w:spacing w:val="-18"/>
        </w:rPr>
        <w:t> </w:t>
      </w:r>
      <w:r>
        <w:rPr/>
        <w:t>as</w:t>
      </w:r>
      <w:r>
        <w:rPr>
          <w:spacing w:val="-17"/>
        </w:rPr>
        <w:t> </w:t>
      </w:r>
      <w:r>
        <w:rPr/>
        <w:t>the</w:t>
      </w:r>
      <w:r>
        <w:rPr>
          <w:spacing w:val="-15"/>
        </w:rPr>
        <w:t> </w:t>
      </w:r>
      <w:r>
        <w:rPr/>
        <w:t>recommended</w:t>
      </w:r>
      <w:r>
        <w:rPr>
          <w:spacing w:val="-17"/>
        </w:rPr>
        <w:t> </w:t>
      </w:r>
      <w:r>
        <w:rPr/>
        <w:t>intake</w:t>
      </w:r>
      <w:r>
        <w:rPr>
          <w:spacing w:val="-17"/>
        </w:rPr>
        <w:t> </w:t>
      </w:r>
      <w:r>
        <w:rPr/>
        <w:t>of</w:t>
      </w:r>
      <w:r>
        <w:rPr>
          <w:spacing w:val="-16"/>
        </w:rPr>
        <w:t> </w:t>
      </w:r>
      <w:r>
        <w:rPr/>
        <w:t>silicon</w:t>
      </w:r>
      <w:r>
        <w:rPr>
          <w:spacing w:val="-15"/>
        </w:rPr>
        <w:t> </w:t>
      </w:r>
      <w:r>
        <w:rPr/>
        <w:t>is</w:t>
      </w:r>
      <w:r>
        <w:rPr>
          <w:spacing w:val="-17"/>
        </w:rPr>
        <w:t> </w:t>
      </w:r>
      <w:r>
        <w:rPr/>
        <w:t>expressed</w:t>
      </w:r>
      <w:r>
        <w:rPr>
          <w:spacing w:val="-16"/>
        </w:rPr>
        <w:t> </w:t>
      </w:r>
      <w:r>
        <w:rPr/>
        <w:t>with some certainty in the words of the silicon researcher and author of the book 'Silicon Minerals and Health', Prof. Dr. Karl</w:t>
      </w:r>
      <w:r>
        <w:rPr>
          <w:spacing w:val="-2"/>
        </w:rPr>
        <w:t> </w:t>
      </w:r>
      <w:r>
        <w:rPr/>
        <w:t>Hecht:</w:t>
      </w:r>
    </w:p>
    <w:p>
      <w:pPr>
        <w:spacing w:line="276" w:lineRule="auto" w:before="242"/>
        <w:ind w:left="616" w:right="134" w:firstLine="0"/>
        <w:jc w:val="both"/>
        <w:rPr>
          <w:i/>
          <w:sz w:val="38"/>
        </w:rPr>
      </w:pPr>
      <w:r>
        <w:rPr>
          <w:sz w:val="38"/>
        </w:rPr>
        <w:t>'</w:t>
      </w:r>
      <w:r>
        <w:rPr>
          <w:i/>
          <w:sz w:val="38"/>
        </w:rPr>
        <w:t>Through</w:t>
      </w:r>
      <w:r>
        <w:rPr>
          <w:i/>
          <w:spacing w:val="-20"/>
          <w:sz w:val="38"/>
        </w:rPr>
        <w:t> </w:t>
      </w:r>
      <w:r>
        <w:rPr>
          <w:i/>
          <w:sz w:val="38"/>
        </w:rPr>
        <w:t>extensive</w:t>
      </w:r>
      <w:r>
        <w:rPr>
          <w:i/>
          <w:spacing w:val="-19"/>
          <w:sz w:val="38"/>
        </w:rPr>
        <w:t> </w:t>
      </w:r>
      <w:r>
        <w:rPr>
          <w:i/>
          <w:sz w:val="38"/>
        </w:rPr>
        <w:t>research</w:t>
      </w:r>
      <w:r>
        <w:rPr>
          <w:i/>
          <w:spacing w:val="-19"/>
          <w:sz w:val="38"/>
        </w:rPr>
        <w:t> </w:t>
      </w:r>
      <w:r>
        <w:rPr>
          <w:i/>
          <w:sz w:val="38"/>
        </w:rPr>
        <w:t>and</w:t>
      </w:r>
      <w:r>
        <w:rPr>
          <w:i/>
          <w:spacing w:val="-20"/>
          <w:sz w:val="38"/>
        </w:rPr>
        <w:t> </w:t>
      </w:r>
      <w:r>
        <w:rPr>
          <w:i/>
          <w:sz w:val="38"/>
        </w:rPr>
        <w:t>practical</w:t>
      </w:r>
      <w:r>
        <w:rPr>
          <w:i/>
          <w:spacing w:val="-19"/>
          <w:sz w:val="38"/>
        </w:rPr>
        <w:t> </w:t>
      </w:r>
      <w:r>
        <w:rPr>
          <w:i/>
          <w:sz w:val="38"/>
        </w:rPr>
        <w:t>experience,</w:t>
      </w:r>
      <w:r>
        <w:rPr>
          <w:i/>
          <w:spacing w:val="-18"/>
          <w:sz w:val="38"/>
        </w:rPr>
        <w:t> </w:t>
      </w:r>
      <w:r>
        <w:rPr>
          <w:i/>
          <w:sz w:val="38"/>
        </w:rPr>
        <w:t>we</w:t>
      </w:r>
      <w:r>
        <w:rPr>
          <w:i/>
          <w:spacing w:val="-19"/>
          <w:sz w:val="38"/>
        </w:rPr>
        <w:t> </w:t>
      </w:r>
      <w:r>
        <w:rPr>
          <w:i/>
          <w:sz w:val="38"/>
        </w:rPr>
        <w:t>know</w:t>
      </w:r>
      <w:r>
        <w:rPr>
          <w:i/>
          <w:spacing w:val="-19"/>
          <w:sz w:val="38"/>
        </w:rPr>
        <w:t> </w:t>
      </w:r>
      <w:r>
        <w:rPr>
          <w:i/>
          <w:sz w:val="38"/>
        </w:rPr>
        <w:t>that</w:t>
      </w:r>
      <w:r>
        <w:rPr>
          <w:i/>
          <w:spacing w:val="-20"/>
          <w:sz w:val="38"/>
        </w:rPr>
        <w:t> </w:t>
      </w:r>
      <w:r>
        <w:rPr>
          <w:i/>
          <w:sz w:val="38"/>
        </w:rPr>
        <w:t>silica</w:t>
      </w:r>
      <w:r>
        <w:rPr>
          <w:i/>
          <w:spacing w:val="-19"/>
          <w:sz w:val="38"/>
        </w:rPr>
        <w:t> </w:t>
      </w:r>
      <w:r>
        <w:rPr>
          <w:i/>
          <w:sz w:val="38"/>
        </w:rPr>
        <w:t>is</w:t>
      </w:r>
      <w:r>
        <w:rPr>
          <w:i/>
          <w:spacing w:val="-21"/>
          <w:sz w:val="38"/>
        </w:rPr>
        <w:t> </w:t>
      </w:r>
      <w:r>
        <w:rPr>
          <w:i/>
          <w:sz w:val="38"/>
        </w:rPr>
        <w:t>able</w:t>
      </w:r>
      <w:r>
        <w:rPr>
          <w:i/>
          <w:spacing w:val="-19"/>
          <w:sz w:val="38"/>
        </w:rPr>
        <w:t> </w:t>
      </w:r>
      <w:r>
        <w:rPr>
          <w:i/>
          <w:sz w:val="38"/>
        </w:rPr>
        <w:t>to</w:t>
      </w:r>
      <w:r>
        <w:rPr>
          <w:i/>
          <w:spacing w:val="-22"/>
          <w:sz w:val="38"/>
        </w:rPr>
        <w:t> </w:t>
      </w:r>
      <w:r>
        <w:rPr>
          <w:i/>
          <w:sz w:val="38"/>
        </w:rPr>
        <w:t>slow</w:t>
      </w:r>
      <w:r>
        <w:rPr>
          <w:i/>
          <w:spacing w:val="-18"/>
          <w:sz w:val="38"/>
        </w:rPr>
        <w:t> </w:t>
      </w:r>
      <w:r>
        <w:rPr>
          <w:i/>
          <w:sz w:val="38"/>
        </w:rPr>
        <w:t>down </w:t>
      </w:r>
      <w:r>
        <w:rPr>
          <w:i/>
          <w:sz w:val="38"/>
        </w:rPr>
        <w:t>the ageing process and increase physical and mental</w:t>
      </w:r>
      <w:r>
        <w:rPr>
          <w:i/>
          <w:spacing w:val="-8"/>
          <w:sz w:val="38"/>
        </w:rPr>
        <w:t> </w:t>
      </w:r>
      <w:r>
        <w:rPr>
          <w:i/>
          <w:sz w:val="38"/>
        </w:rPr>
        <w:t>performance.</w:t>
      </w:r>
    </w:p>
    <w:p>
      <w:pPr>
        <w:spacing w:line="276" w:lineRule="auto" w:before="238"/>
        <w:ind w:left="616" w:right="131" w:firstLine="0"/>
        <w:jc w:val="both"/>
        <w:rPr>
          <w:sz w:val="38"/>
        </w:rPr>
      </w:pPr>
      <w:r>
        <w:rPr>
          <w:i/>
          <w:sz w:val="38"/>
        </w:rPr>
        <w:t>It is believed that 80 % of the world's population has a shortage of silicon. I recommend </w:t>
      </w:r>
      <w:r>
        <w:rPr>
          <w:i/>
          <w:sz w:val="38"/>
        </w:rPr>
        <w:t>taking about 50 to 100 mg of silica per day. In addition to horsetail tea, clays, zeolite and colloidal</w:t>
      </w:r>
      <w:r>
        <w:rPr>
          <w:i/>
          <w:spacing w:val="-6"/>
          <w:sz w:val="38"/>
        </w:rPr>
        <w:t> </w:t>
      </w:r>
      <w:r>
        <w:rPr>
          <w:i/>
          <w:sz w:val="38"/>
        </w:rPr>
        <w:t>silicon,</w:t>
      </w:r>
      <w:r>
        <w:rPr>
          <w:i/>
          <w:spacing w:val="-5"/>
          <w:sz w:val="38"/>
        </w:rPr>
        <w:t> </w:t>
      </w:r>
      <w:r>
        <w:rPr>
          <w:i/>
          <w:sz w:val="38"/>
        </w:rPr>
        <w:t>siliceous</w:t>
      </w:r>
      <w:r>
        <w:rPr>
          <w:i/>
          <w:spacing w:val="-6"/>
          <w:sz w:val="38"/>
        </w:rPr>
        <w:t> </w:t>
      </w:r>
      <w:r>
        <w:rPr>
          <w:i/>
          <w:sz w:val="38"/>
        </w:rPr>
        <w:t>healing</w:t>
      </w:r>
      <w:r>
        <w:rPr>
          <w:i/>
          <w:spacing w:val="-7"/>
          <w:sz w:val="38"/>
        </w:rPr>
        <w:t> </w:t>
      </w:r>
      <w:r>
        <w:rPr>
          <w:i/>
          <w:sz w:val="38"/>
        </w:rPr>
        <w:t>waters</w:t>
      </w:r>
      <w:r>
        <w:rPr>
          <w:i/>
          <w:spacing w:val="-6"/>
          <w:sz w:val="38"/>
        </w:rPr>
        <w:t> </w:t>
      </w:r>
      <w:r>
        <w:rPr>
          <w:i/>
          <w:sz w:val="38"/>
        </w:rPr>
        <w:t>are</w:t>
      </w:r>
      <w:r>
        <w:rPr>
          <w:i/>
          <w:spacing w:val="-6"/>
          <w:sz w:val="38"/>
        </w:rPr>
        <w:t> </w:t>
      </w:r>
      <w:r>
        <w:rPr>
          <w:i/>
          <w:sz w:val="38"/>
        </w:rPr>
        <w:t>ideal</w:t>
      </w:r>
      <w:r>
        <w:rPr>
          <w:i/>
          <w:spacing w:val="-5"/>
          <w:sz w:val="38"/>
        </w:rPr>
        <w:t> </w:t>
      </w:r>
      <w:r>
        <w:rPr>
          <w:i/>
          <w:sz w:val="38"/>
        </w:rPr>
        <w:t>and</w:t>
      </w:r>
      <w:r>
        <w:rPr>
          <w:i/>
          <w:spacing w:val="-7"/>
          <w:sz w:val="38"/>
        </w:rPr>
        <w:t> </w:t>
      </w:r>
      <w:r>
        <w:rPr>
          <w:i/>
          <w:sz w:val="38"/>
        </w:rPr>
        <w:t>natural</w:t>
      </w:r>
      <w:r>
        <w:rPr>
          <w:i/>
          <w:spacing w:val="-5"/>
          <w:sz w:val="38"/>
        </w:rPr>
        <w:t> </w:t>
      </w:r>
      <w:r>
        <w:rPr>
          <w:i/>
          <w:sz w:val="38"/>
        </w:rPr>
        <w:t>sources</w:t>
      </w:r>
      <w:r>
        <w:rPr>
          <w:i/>
          <w:spacing w:val="-6"/>
          <w:sz w:val="38"/>
        </w:rPr>
        <w:t> </w:t>
      </w:r>
      <w:r>
        <w:rPr>
          <w:i/>
          <w:sz w:val="38"/>
        </w:rPr>
        <w:t>of</w:t>
      </w:r>
      <w:r>
        <w:rPr>
          <w:i/>
          <w:spacing w:val="-6"/>
          <w:sz w:val="38"/>
        </w:rPr>
        <w:t> </w:t>
      </w:r>
      <w:r>
        <w:rPr>
          <w:i/>
          <w:sz w:val="38"/>
        </w:rPr>
        <w:t>silicon'.</w:t>
      </w:r>
      <w:r>
        <w:rPr>
          <w:i/>
          <w:spacing w:val="-5"/>
          <w:sz w:val="38"/>
        </w:rPr>
        <w:t> </w:t>
      </w:r>
      <w:r>
        <w:rPr>
          <w:sz w:val="38"/>
        </w:rPr>
        <w:t>(Prof.</w:t>
      </w:r>
      <w:r>
        <w:rPr>
          <w:spacing w:val="-5"/>
          <w:sz w:val="38"/>
        </w:rPr>
        <w:t> </w:t>
      </w:r>
      <w:r>
        <w:rPr>
          <w:sz w:val="38"/>
        </w:rPr>
        <w:t>Dr.</w:t>
      </w:r>
    </w:p>
    <w:p>
      <w:pPr>
        <w:pStyle w:val="BodyText"/>
        <w:rPr>
          <w:sz w:val="20"/>
        </w:rPr>
      </w:pPr>
    </w:p>
    <w:p>
      <w:pPr>
        <w:pStyle w:val="BodyText"/>
        <w:spacing w:before="5"/>
        <w:rPr>
          <w:sz w:val="27"/>
        </w:rPr>
      </w:pPr>
      <w:r>
        <w:rPr/>
        <w:pict>
          <v:line style="position:absolute;mso-position-horizontal-relative:page;mso-position-vertical-relative:paragraph;z-index:11696;mso-wrap-distance-left:0;mso-wrap-distance-right:0" from="70.823997pt,17.800014pt" to="214.843997pt,17.800014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849 </w:t>
      </w:r>
      <w:r>
        <w:rPr>
          <w:sz w:val="20"/>
        </w:rPr>
        <w:t>Ravin Jugadaohsingh et al ., 2002</w:t>
      </w:r>
    </w:p>
    <w:p>
      <w:pPr>
        <w:spacing w:after="0"/>
        <w:jc w:val="left"/>
        <w:rPr>
          <w:sz w:val="20"/>
        </w:rPr>
        <w:sectPr>
          <w:pgSz w:w="14270" w:h="16850"/>
          <w:pgMar w:header="0" w:footer="1891" w:top="1340" w:bottom="2080" w:left="800" w:right="1280"/>
        </w:sectPr>
      </w:pPr>
    </w:p>
    <w:p>
      <w:pPr>
        <w:pStyle w:val="BodyText"/>
        <w:spacing w:before="74"/>
        <w:ind w:left="616"/>
      </w:pPr>
      <w:r>
        <w:rPr/>
        <w:t>Karl Hecht)</w:t>
      </w:r>
    </w:p>
    <w:p>
      <w:pPr>
        <w:pStyle w:val="Heading2"/>
        <w:spacing w:before="305"/>
        <w:ind w:left="616"/>
      </w:pPr>
      <w:r>
        <w:rPr/>
        <w:t>Does silicon cause side effects?</w:t>
      </w:r>
    </w:p>
    <w:p>
      <w:pPr>
        <w:pStyle w:val="BodyText"/>
        <w:spacing w:line="276" w:lineRule="auto" w:before="302"/>
        <w:ind w:left="616" w:right="132"/>
        <w:jc w:val="both"/>
      </w:pPr>
      <w:r>
        <w:rPr/>
        <w:t>So far, no significant side effects have been observed for silicon or silica,</w:t>
      </w:r>
      <w:r>
        <w:rPr>
          <w:spacing w:val="-42"/>
        </w:rPr>
        <w:t> </w:t>
      </w:r>
      <w:r>
        <w:rPr/>
        <w:t>even for high amounts. With a long-term, high-dose intake of silicon preparations (far beyond the recommendation), the formation of silicon-containing kidney stones is possible in very rare</w:t>
      </w:r>
      <w:r>
        <w:rPr>
          <w:spacing w:val="-2"/>
        </w:rPr>
        <w:t> </w:t>
      </w:r>
      <w:r>
        <w:rPr/>
        <w:t>instances.</w:t>
      </w:r>
    </w:p>
    <w:p>
      <w:pPr>
        <w:pStyle w:val="BodyText"/>
        <w:rPr>
          <w:sz w:val="42"/>
        </w:rPr>
      </w:pPr>
    </w:p>
    <w:p>
      <w:pPr>
        <w:pStyle w:val="BodyText"/>
        <w:spacing w:before="2"/>
        <w:rPr>
          <w:sz w:val="62"/>
        </w:rPr>
      </w:pPr>
    </w:p>
    <w:p>
      <w:pPr>
        <w:spacing w:before="0"/>
        <w:ind w:left="616" w:right="0" w:firstLine="0"/>
        <w:jc w:val="left"/>
        <w:rPr>
          <w:rFonts w:ascii="Cambria"/>
          <w:b/>
          <w:sz w:val="28"/>
        </w:rPr>
      </w:pPr>
      <w:r>
        <w:rPr>
          <w:rFonts w:ascii="Cambria"/>
          <w:b/>
          <w:color w:val="365F91"/>
          <w:sz w:val="28"/>
        </w:rPr>
        <w:t>SPIRULINA PLATENSIS</w:t>
      </w:r>
    </w:p>
    <w:p>
      <w:pPr>
        <w:pStyle w:val="Heading1"/>
        <w:spacing w:before="272"/>
        <w:ind w:left="616"/>
      </w:pPr>
      <w:r>
        <w:rPr/>
        <w:t>What is spirulina platensis?</w:t>
      </w:r>
    </w:p>
    <w:p>
      <w:pPr>
        <w:pStyle w:val="BodyText"/>
        <w:spacing w:line="276" w:lineRule="auto" w:before="300"/>
        <w:ind w:left="616" w:right="136"/>
        <w:jc w:val="both"/>
      </w:pPr>
      <w:r>
        <w:rPr/>
        <w:t>Most people with an interest in health have already heard the name 'spirulina', either consciously or unconsciously, but very few associate it with what is</w:t>
      </w:r>
      <w:r>
        <w:rPr>
          <w:spacing w:val="-67"/>
        </w:rPr>
        <w:t> </w:t>
      </w:r>
      <w:r>
        <w:rPr/>
        <w:t>best described as the 'Swiss army knife of natural medicine'.</w:t>
      </w:r>
    </w:p>
    <w:p>
      <w:pPr>
        <w:pStyle w:val="BodyText"/>
        <w:spacing w:line="276" w:lineRule="auto" w:before="241"/>
        <w:ind w:left="616" w:right="141"/>
        <w:jc w:val="both"/>
      </w:pPr>
      <w:r>
        <w:rPr/>
        <w:t>If there were a Nobel Prize for a plant or any nutrient with the highest nutri- tional content, it would in all likelihood go to spirulina platensis.</w:t>
      </w:r>
    </w:p>
    <w:p>
      <w:pPr>
        <w:pStyle w:val="BodyText"/>
        <w:spacing w:line="276" w:lineRule="auto" w:before="239"/>
        <w:ind w:left="616" w:right="135"/>
        <w:jc w:val="both"/>
      </w:pPr>
      <w:r>
        <w:rPr/>
        <w:t>No other plant studied to date and no other food has such a wide variety of nutrients as the blue-green freshwater algae spirulina platensis. These include an incredible 2,075 vital substances, which are in a synergy with an</w:t>
      </w:r>
      <w:r>
        <w:rPr>
          <w:spacing w:val="-41"/>
        </w:rPr>
        <w:t> </w:t>
      </w:r>
      <w:r>
        <w:rPr/>
        <w:t>unbeatable bioavailability of almost 100 % to us humans for the very</w:t>
      </w:r>
      <w:r>
        <w:rPr>
          <w:spacing w:val="-69"/>
        </w:rPr>
        <w:t> </w:t>
      </w:r>
      <w:r>
        <w:rPr/>
        <w:t>effective prevention and treatment of numerous diseases! But what exactly is it, this</w:t>
      </w:r>
      <w:r>
        <w:rPr>
          <w:spacing w:val="-10"/>
        </w:rPr>
        <w:t> </w:t>
      </w:r>
      <w:r>
        <w:rPr/>
        <w:t>spirulina?</w:t>
      </w:r>
    </w:p>
    <w:p>
      <w:pPr>
        <w:pStyle w:val="Heading2"/>
        <w:spacing w:before="242"/>
        <w:ind w:left="616"/>
        <w:jc w:val="both"/>
      </w:pPr>
      <w:r>
        <w:rPr/>
        <w:t>Spirulina platensis – the mother of all algae</w:t>
      </w:r>
    </w:p>
    <w:p>
      <w:pPr>
        <w:spacing w:after="0"/>
        <w:jc w:val="both"/>
        <w:sectPr>
          <w:pgSz w:w="14270" w:h="16850"/>
          <w:pgMar w:header="0" w:footer="1891" w:top="1340" w:bottom="2080" w:left="800" w:right="1280"/>
        </w:sectPr>
      </w:pPr>
    </w:p>
    <w:p>
      <w:pPr>
        <w:pStyle w:val="BodyText"/>
        <w:spacing w:before="74"/>
        <w:ind w:left="616"/>
      </w:pPr>
      <w:r>
        <w:rPr/>
        <w:t>In</w:t>
      </w:r>
      <w:r>
        <w:rPr>
          <w:spacing w:val="-14"/>
        </w:rPr>
        <w:t> </w:t>
      </w:r>
      <w:r>
        <w:rPr/>
        <w:t>fact,</w:t>
      </w:r>
      <w:r>
        <w:rPr>
          <w:spacing w:val="-14"/>
        </w:rPr>
        <w:t> </w:t>
      </w:r>
      <w:r>
        <w:rPr/>
        <w:t>spirulina</w:t>
      </w:r>
      <w:r>
        <w:rPr>
          <w:spacing w:val="-14"/>
        </w:rPr>
        <w:t> </w:t>
      </w:r>
      <w:r>
        <w:rPr/>
        <w:t>is</w:t>
      </w:r>
      <w:r>
        <w:rPr>
          <w:spacing w:val="-14"/>
        </w:rPr>
        <w:t> </w:t>
      </w:r>
      <w:r>
        <w:rPr/>
        <w:t>a</w:t>
      </w:r>
      <w:r>
        <w:rPr>
          <w:spacing w:val="-15"/>
        </w:rPr>
        <w:t> </w:t>
      </w:r>
      <w:r>
        <w:rPr/>
        <w:t>cyanobacterium;</w:t>
      </w:r>
      <w:r>
        <w:rPr>
          <w:spacing w:val="-13"/>
        </w:rPr>
        <w:t> </w:t>
      </w:r>
      <w:r>
        <w:rPr/>
        <w:t>the</w:t>
      </w:r>
      <w:r>
        <w:rPr>
          <w:spacing w:val="-12"/>
        </w:rPr>
        <w:t> </w:t>
      </w:r>
      <w:r>
        <w:rPr/>
        <w:t>roots</w:t>
      </w:r>
      <w:r>
        <w:rPr>
          <w:spacing w:val="-16"/>
        </w:rPr>
        <w:t> </w:t>
      </w:r>
      <w:r>
        <w:rPr/>
        <w:t>of</w:t>
      </w:r>
      <w:r>
        <w:rPr>
          <w:spacing w:val="-16"/>
        </w:rPr>
        <w:t> </w:t>
      </w:r>
      <w:r>
        <w:rPr/>
        <w:t>its</w:t>
      </w:r>
      <w:r>
        <w:rPr>
          <w:spacing w:val="-14"/>
        </w:rPr>
        <w:t> </w:t>
      </w:r>
      <w:r>
        <w:rPr/>
        <w:t>ancestors</w:t>
      </w:r>
      <w:r>
        <w:rPr>
          <w:spacing w:val="-13"/>
        </w:rPr>
        <w:t> </w:t>
      </w:r>
      <w:r>
        <w:rPr/>
        <w:t>go</w:t>
      </w:r>
      <w:r>
        <w:rPr>
          <w:spacing w:val="-17"/>
        </w:rPr>
        <w:t> </w:t>
      </w:r>
      <w:r>
        <w:rPr/>
        <w:t>back</w:t>
      </w:r>
      <w:r>
        <w:rPr>
          <w:spacing w:val="-14"/>
        </w:rPr>
        <w:t> </w:t>
      </w:r>
      <w:r>
        <w:rPr/>
        <w:t>around</w:t>
      </w:r>
    </w:p>
    <w:p>
      <w:pPr>
        <w:pStyle w:val="BodyText"/>
        <w:spacing w:line="276" w:lineRule="auto" w:before="62"/>
        <w:ind w:left="616" w:right="138"/>
        <w:jc w:val="both"/>
      </w:pPr>
      <w:r>
        <w:rPr/>
        <w:t>3.5 billion years. From an evolutionary point of view, spirulina platensis is the 'mother' of all 30,000 known species of algae and at the same time is at a de- velopmental level somewhere between plant and animal – because spirulina has neither a cell nucleus nor a hard cell membrane, even though both are characteristic of a plant.</w:t>
      </w:r>
    </w:p>
    <w:p>
      <w:pPr>
        <w:pStyle w:val="BodyText"/>
        <w:spacing w:line="276" w:lineRule="auto" w:before="242"/>
        <w:ind w:left="616" w:right="137"/>
        <w:jc w:val="both"/>
      </w:pPr>
      <w:r>
        <w:rPr/>
        <w:t>The metabolism of spirulina platensis occurs via photosynthesis. For this</w:t>
      </w:r>
      <w:r>
        <w:rPr>
          <w:spacing w:val="-43"/>
        </w:rPr>
        <w:t> </w:t>
      </w:r>
      <w:r>
        <w:rPr/>
        <w:t>pur- pose, it collects sunlight with the pigments phycocyan and chlorophyll, which give it its characteristic blue-green colour. From this, it first builds up carbon dioxide and water and thus creates this incredible spectrum of highly concen- trated nutrients.</w:t>
      </w:r>
    </w:p>
    <w:p>
      <w:pPr>
        <w:pStyle w:val="Heading1"/>
        <w:spacing w:before="223"/>
        <w:ind w:left="616"/>
      </w:pPr>
      <w:r>
        <w:rPr/>
        <w:t>The nomenclature</w:t>
      </w:r>
    </w:p>
    <w:p>
      <w:pPr>
        <w:pStyle w:val="BodyText"/>
        <w:spacing w:line="276" w:lineRule="auto" w:before="299"/>
        <w:ind w:left="616" w:right="139"/>
        <w:jc w:val="both"/>
      </w:pPr>
      <w:r>
        <w:rPr/>
        <w:t>Under</w:t>
      </w:r>
      <w:r>
        <w:rPr>
          <w:spacing w:val="-10"/>
        </w:rPr>
        <w:t> </w:t>
      </w:r>
      <w:r>
        <w:rPr/>
        <w:t>the</w:t>
      </w:r>
      <w:r>
        <w:rPr>
          <w:spacing w:val="-11"/>
        </w:rPr>
        <w:t> </w:t>
      </w:r>
      <w:r>
        <w:rPr/>
        <w:t>microscope,</w:t>
      </w:r>
      <w:r>
        <w:rPr>
          <w:spacing w:val="-12"/>
        </w:rPr>
        <w:t> </w:t>
      </w:r>
      <w:r>
        <w:rPr/>
        <w:t>spirulina</w:t>
      </w:r>
      <w:r>
        <w:rPr>
          <w:spacing w:val="-11"/>
        </w:rPr>
        <w:t> </w:t>
      </w:r>
      <w:r>
        <w:rPr/>
        <w:t>platensis</w:t>
      </w:r>
      <w:r>
        <w:rPr>
          <w:spacing w:val="-9"/>
        </w:rPr>
        <w:t> </w:t>
      </w:r>
      <w:r>
        <w:rPr/>
        <w:t>resembles</w:t>
      </w:r>
      <w:r>
        <w:rPr>
          <w:spacing w:val="-10"/>
        </w:rPr>
        <w:t> </w:t>
      </w:r>
      <w:r>
        <w:rPr/>
        <w:t>a</w:t>
      </w:r>
      <w:r>
        <w:rPr>
          <w:spacing w:val="-13"/>
        </w:rPr>
        <w:t> </w:t>
      </w:r>
      <w:r>
        <w:rPr/>
        <w:t>small</w:t>
      </w:r>
      <w:r>
        <w:rPr>
          <w:spacing w:val="-12"/>
        </w:rPr>
        <w:t> </w:t>
      </w:r>
      <w:r>
        <w:rPr/>
        <w:t>spiral,</w:t>
      </w:r>
      <w:r>
        <w:rPr>
          <w:spacing w:val="-12"/>
        </w:rPr>
        <w:t> </w:t>
      </w:r>
      <w:r>
        <w:rPr/>
        <w:t>which</w:t>
      </w:r>
      <w:r>
        <w:rPr>
          <w:spacing w:val="-11"/>
        </w:rPr>
        <w:t> </w:t>
      </w:r>
      <w:r>
        <w:rPr/>
        <w:t>gives it the synonymous</w:t>
      </w:r>
      <w:r>
        <w:rPr>
          <w:spacing w:val="-1"/>
        </w:rPr>
        <w:t> </w:t>
      </w:r>
      <w:r>
        <w:rPr/>
        <w:t>name.</w:t>
      </w:r>
    </w:p>
    <w:p>
      <w:pPr>
        <w:pStyle w:val="Heading1"/>
        <w:ind w:left="616"/>
      </w:pPr>
      <w:r>
        <w:rPr/>
        <w:t>Spirulina </w:t>
      </w:r>
      <w:r>
        <w:rPr>
          <w:i w:val="0"/>
          <w:sz w:val="38"/>
        </w:rPr>
        <w:t>– </w:t>
      </w:r>
      <w:r>
        <w:rPr/>
        <w:t>a vital substance miracle!</w:t>
      </w:r>
    </w:p>
    <w:p>
      <w:pPr>
        <w:pStyle w:val="BodyText"/>
        <w:spacing w:line="276" w:lineRule="auto" w:before="297"/>
        <w:ind w:left="616" w:right="139"/>
        <w:jc w:val="both"/>
      </w:pPr>
      <w:r>
        <w:rPr/>
        <w:t>The fact that spirulina platensis has no hard cell walls and that its vitamins, minerals and other nutrients are also organically bound makes it possible for us to benefit from a very fast and smooth absorption of all the nutrients con- tained therein.</w:t>
      </w:r>
    </w:p>
    <w:p>
      <w:pPr>
        <w:pStyle w:val="BodyText"/>
        <w:spacing w:line="276" w:lineRule="auto" w:before="242"/>
        <w:ind w:left="616" w:right="133"/>
        <w:jc w:val="both"/>
      </w:pPr>
      <w:r>
        <w:rPr/>
        <w:t>The</w:t>
      </w:r>
      <w:r>
        <w:rPr>
          <w:spacing w:val="-16"/>
        </w:rPr>
        <w:t> </w:t>
      </w:r>
      <w:r>
        <w:rPr/>
        <w:t>nutrient</w:t>
      </w:r>
      <w:r>
        <w:rPr>
          <w:spacing w:val="-17"/>
        </w:rPr>
        <w:t> </w:t>
      </w:r>
      <w:r>
        <w:rPr/>
        <w:t>supply</w:t>
      </w:r>
      <w:r>
        <w:rPr>
          <w:spacing w:val="-16"/>
        </w:rPr>
        <w:t> </w:t>
      </w:r>
      <w:r>
        <w:rPr/>
        <w:t>of</w:t>
      </w:r>
      <w:r>
        <w:rPr>
          <w:spacing w:val="-16"/>
        </w:rPr>
        <w:t> </w:t>
      </w:r>
      <w:r>
        <w:rPr/>
        <w:t>spirulina</w:t>
      </w:r>
      <w:r>
        <w:rPr>
          <w:spacing w:val="-15"/>
        </w:rPr>
        <w:t> </w:t>
      </w:r>
      <w:r>
        <w:rPr/>
        <w:t>platensis</w:t>
      </w:r>
      <w:r>
        <w:rPr>
          <w:spacing w:val="-11"/>
        </w:rPr>
        <w:t> </w:t>
      </w:r>
      <w:r>
        <w:rPr/>
        <w:t>is</w:t>
      </w:r>
      <w:r>
        <w:rPr>
          <w:spacing w:val="-17"/>
        </w:rPr>
        <w:t> </w:t>
      </w:r>
      <w:r>
        <w:rPr/>
        <w:t>made</w:t>
      </w:r>
      <w:r>
        <w:rPr>
          <w:spacing w:val="-14"/>
        </w:rPr>
        <w:t> </w:t>
      </w:r>
      <w:r>
        <w:rPr/>
        <w:t>up</w:t>
      </w:r>
      <w:r>
        <w:rPr>
          <w:spacing w:val="-17"/>
        </w:rPr>
        <w:t> </w:t>
      </w:r>
      <w:r>
        <w:rPr/>
        <w:t>of</w:t>
      </w:r>
      <w:r>
        <w:rPr>
          <w:spacing w:val="-16"/>
        </w:rPr>
        <w:t> </w:t>
      </w:r>
      <w:r>
        <w:rPr/>
        <w:t>around</w:t>
      </w:r>
      <w:r>
        <w:rPr>
          <w:spacing w:val="-16"/>
        </w:rPr>
        <w:t> </w:t>
      </w:r>
      <w:r>
        <w:rPr/>
        <w:t>2,000</w:t>
      </w:r>
      <w:r>
        <w:rPr>
          <w:spacing w:val="-17"/>
        </w:rPr>
        <w:t> </w:t>
      </w:r>
      <w:r>
        <w:rPr/>
        <w:t>enzymes, 75 nutrients and amino acids as well as essential fatty acids. Spirulina offers</w:t>
      </w:r>
      <w:r>
        <w:rPr>
          <w:spacing w:val="-48"/>
        </w:rPr>
        <w:t> </w:t>
      </w:r>
      <w:r>
        <w:rPr/>
        <w:t>us</w:t>
      </w:r>
    </w:p>
    <w:p>
      <w:pPr>
        <w:spacing w:after="0" w:line="276" w:lineRule="auto"/>
        <w:jc w:val="both"/>
        <w:sectPr>
          <w:pgSz w:w="14270" w:h="16850"/>
          <w:pgMar w:header="0" w:footer="1891" w:top="1340" w:bottom="2080" w:left="800" w:right="1280"/>
        </w:sectPr>
      </w:pPr>
    </w:p>
    <w:p>
      <w:pPr>
        <w:pStyle w:val="BodyText"/>
        <w:spacing w:line="276" w:lineRule="auto" w:before="72"/>
        <w:ind w:left="616" w:right="132"/>
        <w:jc w:val="both"/>
      </w:pPr>
      <w:r>
        <w:rPr/>
        <w:t>the</w:t>
      </w:r>
      <w:r>
        <w:rPr>
          <w:spacing w:val="-20"/>
        </w:rPr>
        <w:t> </w:t>
      </w:r>
      <w:r>
        <w:rPr/>
        <w:t>full</w:t>
      </w:r>
      <w:r>
        <w:rPr>
          <w:spacing w:val="-21"/>
        </w:rPr>
        <w:t> </w:t>
      </w:r>
      <w:r>
        <w:rPr/>
        <w:t>range</w:t>
      </w:r>
      <w:r>
        <w:rPr>
          <w:spacing w:val="-22"/>
        </w:rPr>
        <w:t> </w:t>
      </w:r>
      <w:r>
        <w:rPr/>
        <w:t>of</w:t>
      </w:r>
      <w:r>
        <w:rPr>
          <w:spacing w:val="-22"/>
        </w:rPr>
        <w:t> </w:t>
      </w:r>
      <w:r>
        <w:rPr/>
        <w:t>vital</w:t>
      </w:r>
      <w:r>
        <w:rPr>
          <w:spacing w:val="-21"/>
        </w:rPr>
        <w:t> </w:t>
      </w:r>
      <w:r>
        <w:rPr/>
        <w:t>(essential)</w:t>
      </w:r>
      <w:r>
        <w:rPr>
          <w:spacing w:val="-20"/>
        </w:rPr>
        <w:t> </w:t>
      </w:r>
      <w:r>
        <w:rPr/>
        <w:t>and</w:t>
      </w:r>
      <w:r>
        <w:rPr>
          <w:spacing w:val="-19"/>
        </w:rPr>
        <w:t> </w:t>
      </w:r>
      <w:r>
        <w:rPr/>
        <w:t>ten</w:t>
      </w:r>
      <w:r>
        <w:rPr>
          <w:spacing w:val="-23"/>
        </w:rPr>
        <w:t> </w:t>
      </w:r>
      <w:r>
        <w:rPr/>
        <w:t>non-essential</w:t>
      </w:r>
      <w:r>
        <w:rPr>
          <w:spacing w:val="-21"/>
        </w:rPr>
        <w:t> </w:t>
      </w:r>
      <w:r>
        <w:rPr/>
        <w:t>amino</w:t>
      </w:r>
      <w:r>
        <w:rPr>
          <w:spacing w:val="-19"/>
        </w:rPr>
        <w:t> </w:t>
      </w:r>
      <w:r>
        <w:rPr/>
        <w:t>acids.</w:t>
      </w:r>
      <w:r>
        <w:rPr>
          <w:spacing w:val="-20"/>
        </w:rPr>
        <w:t> </w:t>
      </w:r>
      <w:r>
        <w:rPr/>
        <w:t>Considering that</w:t>
      </w:r>
      <w:r>
        <w:rPr>
          <w:spacing w:val="-10"/>
        </w:rPr>
        <w:t> </w:t>
      </w:r>
      <w:r>
        <w:rPr/>
        <w:t>humans</w:t>
      </w:r>
      <w:r>
        <w:rPr>
          <w:spacing w:val="-10"/>
        </w:rPr>
        <w:t> </w:t>
      </w:r>
      <w:r>
        <w:rPr/>
        <w:t>practically</w:t>
      </w:r>
      <w:r>
        <w:rPr>
          <w:spacing w:val="-10"/>
        </w:rPr>
        <w:t> </w:t>
      </w:r>
      <w:r>
        <w:rPr/>
        <w:t>consist</w:t>
      </w:r>
      <w:r>
        <w:rPr>
          <w:spacing w:val="-10"/>
        </w:rPr>
        <w:t> </w:t>
      </w:r>
      <w:r>
        <w:rPr/>
        <w:t>of</w:t>
      </w:r>
      <w:r>
        <w:rPr>
          <w:spacing w:val="-11"/>
        </w:rPr>
        <w:t> </w:t>
      </w:r>
      <w:r>
        <w:rPr/>
        <w:t>water</w:t>
      </w:r>
      <w:r>
        <w:rPr>
          <w:spacing w:val="-10"/>
        </w:rPr>
        <w:t> </w:t>
      </w:r>
      <w:r>
        <w:rPr/>
        <w:t>and</w:t>
      </w:r>
      <w:r>
        <w:rPr>
          <w:spacing w:val="-10"/>
        </w:rPr>
        <w:t> </w:t>
      </w:r>
      <w:r>
        <w:rPr/>
        <w:t>proteins,</w:t>
      </w:r>
      <w:r>
        <w:rPr>
          <w:spacing w:val="-9"/>
        </w:rPr>
        <w:t> </w:t>
      </w:r>
      <w:r>
        <w:rPr/>
        <w:t>this</w:t>
      </w:r>
      <w:r>
        <w:rPr>
          <w:spacing w:val="-11"/>
        </w:rPr>
        <w:t> </w:t>
      </w:r>
      <w:r>
        <w:rPr/>
        <w:t>fact</w:t>
      </w:r>
      <w:r>
        <w:rPr>
          <w:spacing w:val="-11"/>
        </w:rPr>
        <w:t> </w:t>
      </w:r>
      <w:r>
        <w:rPr/>
        <w:t>cannot</w:t>
      </w:r>
      <w:r>
        <w:rPr>
          <w:spacing w:val="-10"/>
        </w:rPr>
        <w:t> </w:t>
      </w:r>
      <w:r>
        <w:rPr/>
        <w:t>be</w:t>
      </w:r>
      <w:r>
        <w:rPr>
          <w:spacing w:val="-12"/>
        </w:rPr>
        <w:t> </w:t>
      </w:r>
      <w:r>
        <w:rPr/>
        <w:t>over- stated!</w:t>
      </w:r>
    </w:p>
    <w:p>
      <w:pPr>
        <w:pStyle w:val="BodyText"/>
        <w:spacing w:line="276" w:lineRule="auto" w:before="241"/>
        <w:ind w:left="616" w:right="138"/>
        <w:jc w:val="both"/>
      </w:pPr>
      <w:r>
        <w:rPr/>
        <w:t>Spirulina researchers agree that humans would survive many days with just 10 g</w:t>
      </w:r>
      <w:r>
        <w:rPr>
          <w:spacing w:val="-15"/>
        </w:rPr>
        <w:t> </w:t>
      </w:r>
      <w:r>
        <w:rPr/>
        <w:t>of</w:t>
      </w:r>
      <w:r>
        <w:rPr>
          <w:spacing w:val="-14"/>
        </w:rPr>
        <w:t> </w:t>
      </w:r>
      <w:r>
        <w:rPr/>
        <w:t>spirulina</w:t>
      </w:r>
      <w:r>
        <w:rPr>
          <w:spacing w:val="-15"/>
        </w:rPr>
        <w:t> </w:t>
      </w:r>
      <w:r>
        <w:rPr/>
        <w:t>per</w:t>
      </w:r>
      <w:r>
        <w:rPr>
          <w:spacing w:val="-14"/>
        </w:rPr>
        <w:t> </w:t>
      </w:r>
      <w:r>
        <w:rPr/>
        <w:t>day,</w:t>
      </w:r>
      <w:r>
        <w:rPr>
          <w:spacing w:val="-15"/>
        </w:rPr>
        <w:t> </w:t>
      </w:r>
      <w:r>
        <w:rPr/>
        <w:t>because</w:t>
      </w:r>
      <w:r>
        <w:rPr>
          <w:spacing w:val="-14"/>
        </w:rPr>
        <w:t> </w:t>
      </w:r>
      <w:r>
        <w:rPr/>
        <w:t>apart</w:t>
      </w:r>
      <w:r>
        <w:rPr>
          <w:spacing w:val="-15"/>
        </w:rPr>
        <w:t> </w:t>
      </w:r>
      <w:r>
        <w:rPr/>
        <w:t>from</w:t>
      </w:r>
      <w:r>
        <w:rPr>
          <w:spacing w:val="-14"/>
        </w:rPr>
        <w:t> </w:t>
      </w:r>
      <w:r>
        <w:rPr/>
        <w:t>vitamin</w:t>
      </w:r>
      <w:r>
        <w:rPr>
          <w:spacing w:val="-15"/>
        </w:rPr>
        <w:t> </w:t>
      </w:r>
      <w:r>
        <w:rPr/>
        <w:t>C,</w:t>
      </w:r>
      <w:r>
        <w:rPr>
          <w:spacing w:val="-15"/>
        </w:rPr>
        <w:t> </w:t>
      </w:r>
      <w:r>
        <w:rPr/>
        <w:t>spirulina</w:t>
      </w:r>
      <w:r>
        <w:rPr>
          <w:spacing w:val="-15"/>
        </w:rPr>
        <w:t> </w:t>
      </w:r>
      <w:r>
        <w:rPr/>
        <w:t>provides</w:t>
      </w:r>
      <w:r>
        <w:rPr>
          <w:spacing w:val="-14"/>
        </w:rPr>
        <w:t> </w:t>
      </w:r>
      <w:r>
        <w:rPr/>
        <w:t>us</w:t>
      </w:r>
      <w:r>
        <w:rPr>
          <w:spacing w:val="-15"/>
        </w:rPr>
        <w:t> </w:t>
      </w:r>
      <w:r>
        <w:rPr/>
        <w:t>with the complete arsenal of nutrients and vital substances that we need to</w:t>
      </w:r>
      <w:r>
        <w:rPr>
          <w:spacing w:val="37"/>
        </w:rPr>
        <w:t> </w:t>
      </w:r>
      <w:r>
        <w:rPr/>
        <w:t>survive</w:t>
      </w:r>
    </w:p>
    <w:p>
      <w:pPr>
        <w:pStyle w:val="BodyText"/>
        <w:spacing w:before="1"/>
        <w:ind w:left="616"/>
        <w:jc w:val="both"/>
      </w:pPr>
      <w:r>
        <w:rPr/>
        <w:t>– compressed into the smallest</w:t>
      </w:r>
      <w:r>
        <w:rPr>
          <w:spacing w:val="-18"/>
        </w:rPr>
        <w:t> </w:t>
      </w:r>
      <w:r>
        <w:rPr/>
        <w:t>space!</w:t>
      </w:r>
    </w:p>
    <w:p>
      <w:pPr>
        <w:pStyle w:val="Heading1"/>
        <w:spacing w:before="288"/>
        <w:ind w:left="616"/>
        <w:jc w:val="both"/>
      </w:pPr>
      <w:r>
        <w:rPr>
          <w:w w:val="95"/>
        </w:rPr>
        <w:t>Spirulina platensis </w:t>
      </w:r>
      <w:r>
        <w:rPr>
          <w:i w:val="0"/>
          <w:w w:val="95"/>
          <w:sz w:val="38"/>
        </w:rPr>
        <w:t>– </w:t>
      </w:r>
      <w:r>
        <w:rPr>
          <w:w w:val="95"/>
        </w:rPr>
        <w:t>the</w:t>
      </w:r>
      <w:r>
        <w:rPr>
          <w:spacing w:val="-9"/>
          <w:w w:val="95"/>
        </w:rPr>
        <w:t> </w:t>
      </w:r>
      <w:r>
        <w:rPr>
          <w:w w:val="95"/>
        </w:rPr>
        <w:t>extraction</w:t>
      </w:r>
    </w:p>
    <w:p>
      <w:pPr>
        <w:pStyle w:val="BodyText"/>
        <w:spacing w:line="276" w:lineRule="auto" w:before="299"/>
        <w:ind w:left="616" w:right="134"/>
        <w:jc w:val="both"/>
      </w:pPr>
      <w:r>
        <w:rPr/>
        <w:t>The Mayans and Aztecs appreciated the health benefits of spirulina algae, and today spirulina is the most researched and best selling supplement - even NASA uses as food for their astronauts. While the Aztecs fished green algae foam from Lake Texcoco, the Maya went further by developing the first algae farms.</w:t>
      </w:r>
    </w:p>
    <w:p>
      <w:pPr>
        <w:pStyle w:val="BodyText"/>
        <w:spacing w:line="276" w:lineRule="auto" w:before="240"/>
        <w:ind w:left="616" w:right="134"/>
        <w:jc w:val="both"/>
      </w:pPr>
      <w:r>
        <w:rPr/>
        <w:t>But it was not until the year 1964 that the western world would discover the blue-green</w:t>
      </w:r>
      <w:r>
        <w:rPr>
          <w:spacing w:val="-16"/>
        </w:rPr>
        <w:t> </w:t>
      </w:r>
      <w:r>
        <w:rPr/>
        <w:t>wonder</w:t>
      </w:r>
      <w:r>
        <w:rPr>
          <w:spacing w:val="-16"/>
        </w:rPr>
        <w:t> </w:t>
      </w:r>
      <w:r>
        <w:rPr/>
        <w:t>algae</w:t>
      </w:r>
      <w:r>
        <w:rPr>
          <w:spacing w:val="-18"/>
        </w:rPr>
        <w:t> </w:t>
      </w:r>
      <w:r>
        <w:rPr/>
        <w:t>for</w:t>
      </w:r>
      <w:r>
        <w:rPr>
          <w:spacing w:val="-14"/>
        </w:rPr>
        <w:t> </w:t>
      </w:r>
      <w:r>
        <w:rPr/>
        <w:t>itself.</w:t>
      </w:r>
      <w:r>
        <w:rPr>
          <w:spacing w:val="-17"/>
        </w:rPr>
        <w:t> </w:t>
      </w:r>
      <w:r>
        <w:rPr/>
        <w:t>This</w:t>
      </w:r>
      <w:r>
        <w:rPr>
          <w:spacing w:val="-16"/>
        </w:rPr>
        <w:t> </w:t>
      </w:r>
      <w:r>
        <w:rPr/>
        <w:t>is</w:t>
      </w:r>
      <w:r>
        <w:rPr>
          <w:spacing w:val="-18"/>
        </w:rPr>
        <w:t> </w:t>
      </w:r>
      <w:r>
        <w:rPr/>
        <w:t>due</w:t>
      </w:r>
      <w:r>
        <w:rPr>
          <w:spacing w:val="-18"/>
        </w:rPr>
        <w:t> </w:t>
      </w:r>
      <w:r>
        <w:rPr/>
        <w:t>to</w:t>
      </w:r>
      <w:r>
        <w:rPr>
          <w:spacing w:val="-17"/>
        </w:rPr>
        <w:t> </w:t>
      </w:r>
      <w:r>
        <w:rPr/>
        <w:t>a</w:t>
      </w:r>
      <w:r>
        <w:rPr>
          <w:spacing w:val="-18"/>
        </w:rPr>
        <w:t> </w:t>
      </w:r>
      <w:r>
        <w:rPr/>
        <w:t>Belgian</w:t>
      </w:r>
      <w:r>
        <w:rPr>
          <w:spacing w:val="-16"/>
        </w:rPr>
        <w:t> </w:t>
      </w:r>
      <w:r>
        <w:rPr/>
        <w:t>botanist</w:t>
      </w:r>
      <w:r>
        <w:rPr>
          <w:spacing w:val="-16"/>
        </w:rPr>
        <w:t> </w:t>
      </w:r>
      <w:r>
        <w:rPr/>
        <w:t>named</w:t>
      </w:r>
      <w:r>
        <w:rPr>
          <w:spacing w:val="-17"/>
        </w:rPr>
        <w:t> </w:t>
      </w:r>
      <w:r>
        <w:rPr/>
        <w:t>Jean Leonard, who watched the Kanembub population skim off a blue-green</w:t>
      </w:r>
      <w:r>
        <w:rPr>
          <w:spacing w:val="-46"/>
        </w:rPr>
        <w:t> </w:t>
      </w:r>
      <w:r>
        <w:rPr/>
        <w:t>foam from the surface of a lake with large straw baskets to make a kind of</w:t>
      </w:r>
      <w:r>
        <w:rPr>
          <w:spacing w:val="-15"/>
        </w:rPr>
        <w:t> </w:t>
      </w:r>
      <w:r>
        <w:rPr/>
        <w:t>cake.</w:t>
      </w:r>
    </w:p>
    <w:p>
      <w:pPr>
        <w:pStyle w:val="BodyText"/>
        <w:spacing w:line="278" w:lineRule="auto" w:before="239"/>
        <w:ind w:left="616" w:right="139"/>
        <w:jc w:val="both"/>
      </w:pPr>
      <w:r>
        <w:rPr/>
        <w:t>The Japanese scientist Nakamura and his colleagues then pushed forward the research of spirulina and its first processing for commercial purposes.</w:t>
      </w:r>
    </w:p>
    <w:p>
      <w:pPr>
        <w:pStyle w:val="BodyText"/>
        <w:spacing w:line="276" w:lineRule="auto" w:before="233"/>
        <w:ind w:left="616" w:right="140"/>
        <w:jc w:val="both"/>
      </w:pPr>
      <w:r>
        <w:rPr/>
        <w:t>Today,</w:t>
      </w:r>
      <w:r>
        <w:rPr>
          <w:spacing w:val="-26"/>
        </w:rPr>
        <w:t> </w:t>
      </w:r>
      <w:r>
        <w:rPr/>
        <w:t>spirulina</w:t>
      </w:r>
      <w:r>
        <w:rPr>
          <w:spacing w:val="-24"/>
        </w:rPr>
        <w:t> </w:t>
      </w:r>
      <w:r>
        <w:rPr/>
        <w:t>platensis</w:t>
      </w:r>
      <w:r>
        <w:rPr>
          <w:spacing w:val="-26"/>
        </w:rPr>
        <w:t> </w:t>
      </w:r>
      <w:r>
        <w:rPr/>
        <w:t>is</w:t>
      </w:r>
      <w:r>
        <w:rPr>
          <w:spacing w:val="-26"/>
        </w:rPr>
        <w:t> </w:t>
      </w:r>
      <w:r>
        <w:rPr/>
        <w:t>grown</w:t>
      </w:r>
      <w:r>
        <w:rPr>
          <w:spacing w:val="-25"/>
        </w:rPr>
        <w:t> </w:t>
      </w:r>
      <w:r>
        <w:rPr/>
        <w:t>in</w:t>
      </w:r>
      <w:r>
        <w:rPr>
          <w:spacing w:val="-26"/>
        </w:rPr>
        <w:t> </w:t>
      </w:r>
      <w:r>
        <w:rPr/>
        <w:t>industrialised</w:t>
      </w:r>
      <w:r>
        <w:rPr>
          <w:spacing w:val="-26"/>
        </w:rPr>
        <w:t> </w:t>
      </w:r>
      <w:r>
        <w:rPr/>
        <w:t>countries,</w:t>
      </w:r>
      <w:r>
        <w:rPr>
          <w:spacing w:val="-25"/>
        </w:rPr>
        <w:t> </w:t>
      </w:r>
      <w:r>
        <w:rPr/>
        <w:t>mainly</w:t>
      </w:r>
      <w:r>
        <w:rPr>
          <w:spacing w:val="-26"/>
        </w:rPr>
        <w:t> </w:t>
      </w:r>
      <w:r>
        <w:rPr/>
        <w:t>in</w:t>
      </w:r>
      <w:r>
        <w:rPr>
          <w:spacing w:val="-26"/>
        </w:rPr>
        <w:t> </w:t>
      </w:r>
      <w:r>
        <w:rPr/>
        <w:t>Hawaii, China,</w:t>
      </w:r>
      <w:r>
        <w:rPr>
          <w:spacing w:val="20"/>
        </w:rPr>
        <w:t> </w:t>
      </w:r>
      <w:r>
        <w:rPr/>
        <w:t>India,</w:t>
      </w:r>
      <w:r>
        <w:rPr>
          <w:spacing w:val="20"/>
        </w:rPr>
        <w:t> </w:t>
      </w:r>
      <w:r>
        <w:rPr/>
        <w:t>Thailand,</w:t>
      </w:r>
      <w:r>
        <w:rPr>
          <w:spacing w:val="21"/>
        </w:rPr>
        <w:t> </w:t>
      </w:r>
      <w:r>
        <w:rPr/>
        <w:t>the</w:t>
      </w:r>
      <w:r>
        <w:rPr>
          <w:spacing w:val="20"/>
        </w:rPr>
        <w:t> </w:t>
      </w:r>
      <w:r>
        <w:rPr/>
        <w:t>USA</w:t>
      </w:r>
      <w:r>
        <w:rPr>
          <w:spacing w:val="20"/>
        </w:rPr>
        <w:t> </w:t>
      </w:r>
      <w:r>
        <w:rPr/>
        <w:t>and</w:t>
      </w:r>
      <w:r>
        <w:rPr>
          <w:spacing w:val="21"/>
        </w:rPr>
        <w:t> </w:t>
      </w:r>
      <w:r>
        <w:rPr/>
        <w:t>Australia</w:t>
      </w:r>
      <w:r>
        <w:rPr>
          <w:spacing w:val="20"/>
        </w:rPr>
        <w:t> </w:t>
      </w:r>
      <w:r>
        <w:rPr/>
        <w:t>in</w:t>
      </w:r>
      <w:r>
        <w:rPr>
          <w:spacing w:val="21"/>
        </w:rPr>
        <w:t> </w:t>
      </w:r>
      <w:r>
        <w:rPr/>
        <w:t>large</w:t>
      </w:r>
      <w:r>
        <w:rPr>
          <w:spacing w:val="20"/>
        </w:rPr>
        <w:t> </w:t>
      </w:r>
      <w:r>
        <w:rPr/>
        <w:t>farms</w:t>
      </w:r>
      <w:r>
        <w:rPr>
          <w:spacing w:val="22"/>
        </w:rPr>
        <w:t> </w:t>
      </w:r>
      <w:r>
        <w:rPr/>
        <w:t>with</w:t>
      </w:r>
      <w:r>
        <w:rPr>
          <w:spacing w:val="20"/>
        </w:rPr>
        <w:t> </w:t>
      </w:r>
      <w:r>
        <w:rPr/>
        <w:t>numerous</w:t>
      </w:r>
    </w:p>
    <w:p>
      <w:pPr>
        <w:spacing w:after="0" w:line="276" w:lineRule="auto"/>
        <w:jc w:val="both"/>
        <w:sectPr>
          <w:pgSz w:w="14270" w:h="16850"/>
          <w:pgMar w:header="0" w:footer="1891" w:top="1340" w:bottom="2080" w:left="800" w:right="1280"/>
        </w:sectPr>
      </w:pPr>
    </w:p>
    <w:p>
      <w:pPr>
        <w:pStyle w:val="BodyText"/>
        <w:spacing w:before="74"/>
        <w:ind w:left="616"/>
        <w:jc w:val="both"/>
      </w:pPr>
      <w:r>
        <w:rPr/>
        <w:t>man-made ponds under supervision and quality control.</w:t>
      </w:r>
    </w:p>
    <w:p>
      <w:pPr>
        <w:pStyle w:val="BodyText"/>
        <w:spacing w:line="276" w:lineRule="auto" w:before="305"/>
        <w:ind w:left="616" w:right="141"/>
        <w:jc w:val="both"/>
      </w:pPr>
      <w:r>
        <w:rPr/>
        <w:t>Fortunately, demand is rising, considering that spirulina not only provides ex- tremely high levels of nutrients, but at the same time detoxifies the organism, protects against radiation, builds up the intestinal flora and positively influ- ences allergies, cancer and even AIDS, and can, frequently, even cure them!</w:t>
      </w:r>
    </w:p>
    <w:p>
      <w:pPr>
        <w:pStyle w:val="BodyText"/>
        <w:spacing w:line="276" w:lineRule="auto" w:before="239"/>
        <w:ind w:left="616" w:right="134"/>
        <w:jc w:val="both"/>
      </w:pPr>
      <w:r>
        <w:rPr/>
        <w:t>This very healing effect is the subject of this section. The mode of action of a 'vital</w:t>
      </w:r>
      <w:r>
        <w:rPr>
          <w:spacing w:val="-21"/>
        </w:rPr>
        <w:t> </w:t>
      </w:r>
      <w:r>
        <w:rPr/>
        <w:t>miracle'</w:t>
      </w:r>
      <w:r>
        <w:rPr>
          <w:spacing w:val="-18"/>
        </w:rPr>
        <w:t> </w:t>
      </w:r>
      <w:r>
        <w:rPr/>
        <w:t>is</w:t>
      </w:r>
      <w:r>
        <w:rPr>
          <w:spacing w:val="-19"/>
        </w:rPr>
        <w:t> </w:t>
      </w:r>
      <w:r>
        <w:rPr/>
        <w:t>objectively</w:t>
      </w:r>
      <w:r>
        <w:rPr>
          <w:spacing w:val="-21"/>
        </w:rPr>
        <w:t> </w:t>
      </w:r>
      <w:r>
        <w:rPr/>
        <w:t>analysed</w:t>
      </w:r>
      <w:r>
        <w:rPr>
          <w:spacing w:val="-18"/>
        </w:rPr>
        <w:t> </w:t>
      </w:r>
      <w:r>
        <w:rPr/>
        <w:t>and</w:t>
      </w:r>
      <w:r>
        <w:rPr>
          <w:spacing w:val="-19"/>
        </w:rPr>
        <w:t> </w:t>
      </w:r>
      <w:r>
        <w:rPr/>
        <w:t>substantiated</w:t>
      </w:r>
      <w:r>
        <w:rPr>
          <w:spacing w:val="-21"/>
        </w:rPr>
        <w:t> </w:t>
      </w:r>
      <w:r>
        <w:rPr/>
        <w:t>by</w:t>
      </w:r>
      <w:r>
        <w:rPr>
          <w:spacing w:val="-19"/>
        </w:rPr>
        <w:t> </w:t>
      </w:r>
      <w:r>
        <w:rPr/>
        <w:t>hard</w:t>
      </w:r>
      <w:r>
        <w:rPr>
          <w:spacing w:val="-19"/>
        </w:rPr>
        <w:t> </w:t>
      </w:r>
      <w:r>
        <w:rPr/>
        <w:t>facts</w:t>
      </w:r>
      <w:r>
        <w:rPr>
          <w:spacing w:val="-18"/>
        </w:rPr>
        <w:t> </w:t>
      </w:r>
      <w:r>
        <w:rPr/>
        <w:t>in</w:t>
      </w:r>
      <w:r>
        <w:rPr>
          <w:spacing w:val="-20"/>
        </w:rPr>
        <w:t> </w:t>
      </w:r>
      <w:r>
        <w:rPr/>
        <w:t>the</w:t>
      </w:r>
      <w:r>
        <w:rPr>
          <w:spacing w:val="-18"/>
        </w:rPr>
        <w:t> </w:t>
      </w:r>
      <w:r>
        <w:rPr/>
        <w:t>form of study results from all over the</w:t>
      </w:r>
      <w:r>
        <w:rPr>
          <w:spacing w:val="-1"/>
        </w:rPr>
        <w:t> </w:t>
      </w:r>
      <w:r>
        <w:rPr/>
        <w:t>world.</w:t>
      </w:r>
    </w:p>
    <w:p>
      <w:pPr>
        <w:pStyle w:val="BodyText"/>
        <w:spacing w:before="242"/>
        <w:ind w:left="616"/>
        <w:jc w:val="both"/>
      </w:pPr>
      <w:r>
        <w:rPr/>
        <w:t>The ingredients and active ingredients of spirulina platensis</w:t>
      </w:r>
    </w:p>
    <w:p>
      <w:pPr>
        <w:pStyle w:val="BodyText"/>
        <w:spacing w:line="276" w:lineRule="auto" w:before="302"/>
        <w:ind w:left="616" w:right="142"/>
        <w:jc w:val="both"/>
      </w:pPr>
      <w:r>
        <w:rPr/>
        <w:t>Before we come to the most interesting point, namely the mode of action</w:t>
      </w:r>
      <w:r>
        <w:rPr>
          <w:spacing w:val="-49"/>
        </w:rPr>
        <w:t> </w:t>
      </w:r>
      <w:r>
        <w:rPr/>
        <w:t>and the concrete effect of spirulina platensis, it makes sense to first take a closer look at the ingredients and active ingredients of</w:t>
      </w:r>
      <w:r>
        <w:rPr>
          <w:spacing w:val="-6"/>
        </w:rPr>
        <w:t> </w:t>
      </w:r>
      <w:r>
        <w:rPr/>
        <w:t>spirulina.</w:t>
      </w:r>
    </w:p>
    <w:p>
      <w:pPr>
        <w:pStyle w:val="BodyText"/>
        <w:spacing w:line="276" w:lineRule="auto" w:before="241"/>
        <w:ind w:left="616" w:right="134"/>
        <w:jc w:val="both"/>
      </w:pPr>
      <w:r>
        <w:rPr/>
        <w:t>Spirulina platensis has an incredible </w:t>
      </w:r>
      <w:r>
        <w:rPr>
          <w:b/>
          <w:u w:val="single"/>
        </w:rPr>
        <w:t>2,075</w:t>
      </w:r>
      <w:r>
        <w:rPr>
          <w:b/>
        </w:rPr>
        <w:t> </w:t>
      </w:r>
      <w:r>
        <w:rPr/>
        <w:t>active ingredients, consisting of 2,000 enzymes and 75 vital substances, amino acids and fatty acids,</w:t>
      </w:r>
      <w:r>
        <w:rPr>
          <w:position w:val="9"/>
          <w:sz w:val="25"/>
        </w:rPr>
        <w:t>850 </w:t>
      </w:r>
      <w:r>
        <w:rPr/>
        <w:t>and in a condition that is optimally absorbed by the body with a bioavailability of al- most 100 %!</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4"/>
        </w:rPr>
      </w:pPr>
      <w:r>
        <w:rPr/>
        <w:pict>
          <v:line style="position:absolute;mso-position-horizontal-relative:page;mso-position-vertical-relative:paragraph;z-index:11720;mso-wrap-distance-left:0;mso-wrap-distance-right:0" from="70.823997pt,10.652515pt" to="214.843997pt,10.652515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850 </w:t>
      </w:r>
      <w:r>
        <w:rPr>
          <w:sz w:val="20"/>
        </w:rPr>
        <w:t>Frank Felte: Spirulina – Die Wunderalge: Essen Sie Leben! ('Spirulina – The Wonder Alga: Eat Life!'), 2002, p. 74</w:t>
      </w:r>
    </w:p>
    <w:p>
      <w:pPr>
        <w:spacing w:after="0"/>
        <w:jc w:val="left"/>
        <w:rPr>
          <w:sz w:val="20"/>
        </w:rPr>
        <w:sectPr>
          <w:pgSz w:w="14270" w:h="16850"/>
          <w:pgMar w:header="0" w:footer="1891" w:top="1340" w:bottom="2080" w:left="800" w:right="1280"/>
        </w:sectPr>
      </w:pPr>
    </w:p>
    <w:p>
      <w:pPr>
        <w:pStyle w:val="BodyText"/>
        <w:spacing w:line="276" w:lineRule="auto" w:before="74"/>
        <w:ind w:left="616"/>
      </w:pPr>
      <w:r>
        <w:rPr/>
        <w:t>With small variations depending on origin and product, the analysis of the in- gredients of spirulina platensis is as follows:</w:t>
      </w:r>
    </w:p>
    <w:p>
      <w:pPr>
        <w:pStyle w:val="BodyText"/>
        <w:rPr>
          <w:sz w:val="20"/>
        </w:rPr>
      </w:pPr>
    </w:p>
    <w:p>
      <w:pPr>
        <w:pStyle w:val="BodyText"/>
        <w:rPr>
          <w:sz w:val="20"/>
        </w:rPr>
      </w:pPr>
    </w:p>
    <w:p>
      <w:pPr>
        <w:pStyle w:val="BodyText"/>
        <w:rPr>
          <w:sz w:val="20"/>
        </w:rPr>
      </w:pPr>
    </w:p>
    <w:p>
      <w:pPr>
        <w:spacing w:after="0"/>
        <w:rPr>
          <w:sz w:val="20"/>
        </w:rPr>
        <w:sectPr>
          <w:pgSz w:w="14270" w:h="16850"/>
          <w:pgMar w:header="0" w:footer="1891" w:top="1340" w:bottom="2080" w:left="800" w:right="1280"/>
        </w:sectPr>
      </w:pPr>
    </w:p>
    <w:p>
      <w:pPr>
        <w:pStyle w:val="Heading2"/>
        <w:tabs>
          <w:tab w:pos="2558" w:val="left" w:leader="none"/>
        </w:tabs>
        <w:spacing w:line="278" w:lineRule="auto" w:before="255"/>
        <w:ind w:left="724"/>
      </w:pPr>
      <w:r>
        <w:rPr/>
        <w:t>Nutrient</w:t>
        <w:tab/>
      </w:r>
      <w:r>
        <w:rPr>
          <w:w w:val="95"/>
        </w:rPr>
        <w:t>analysis </w:t>
      </w:r>
      <w:r>
        <w:rPr/>
        <w:t>of</w:t>
      </w:r>
      <w:r>
        <w:rPr>
          <w:spacing w:val="-2"/>
        </w:rPr>
        <w:t> </w:t>
      </w:r>
      <w:r>
        <w:rPr/>
        <w:t>spirulina</w:t>
      </w:r>
    </w:p>
    <w:p>
      <w:pPr>
        <w:spacing w:before="257"/>
        <w:ind w:left="623" w:right="0" w:firstLine="0"/>
        <w:jc w:val="left"/>
        <w:rPr>
          <w:b/>
          <w:sz w:val="38"/>
        </w:rPr>
      </w:pPr>
      <w:r>
        <w:rPr/>
        <w:br w:type="column"/>
      </w:r>
      <w:r>
        <w:rPr>
          <w:b/>
          <w:sz w:val="38"/>
        </w:rPr>
        <w:t>Averages</w:t>
      </w:r>
    </w:p>
    <w:p>
      <w:pPr>
        <w:spacing w:after="0"/>
        <w:jc w:val="left"/>
        <w:rPr>
          <w:sz w:val="38"/>
        </w:rPr>
        <w:sectPr>
          <w:type w:val="continuous"/>
          <w:pgSz w:w="14270" w:h="16850"/>
          <w:pgMar w:top="1340" w:bottom="280" w:left="800" w:right="1280"/>
          <w:cols w:num="2" w:equalWidth="0">
            <w:col w:w="3832" w:space="40"/>
            <w:col w:w="8318"/>
          </w:cols>
        </w:sectPr>
      </w:pPr>
    </w:p>
    <w:p>
      <w:pPr>
        <w:pStyle w:val="BodyText"/>
        <w:tabs>
          <w:tab w:pos="4051" w:val="left" w:leader="none"/>
        </w:tabs>
        <w:spacing w:before="194"/>
        <w:ind w:left="724"/>
      </w:pPr>
      <w:r>
        <w:rPr/>
        <w:t>Protein</w:t>
        <w:tab/>
        <w:t>65</w:t>
      </w:r>
      <w:r>
        <w:rPr>
          <w:spacing w:val="-3"/>
        </w:rPr>
        <w:t> </w:t>
      </w:r>
      <w:r>
        <w:rPr/>
        <w:t>%</w:t>
      </w:r>
    </w:p>
    <w:p>
      <w:pPr>
        <w:pStyle w:val="BodyText"/>
        <w:tabs>
          <w:tab w:pos="4051" w:val="left" w:leader="none"/>
        </w:tabs>
        <w:spacing w:before="264"/>
        <w:ind w:left="724"/>
      </w:pPr>
      <w:r>
        <w:rPr/>
        <w:t>Carbohydrates</w:t>
        <w:tab/>
        <w:t>15</w:t>
      </w:r>
      <w:r>
        <w:rPr>
          <w:spacing w:val="-3"/>
        </w:rPr>
        <w:t> </w:t>
      </w:r>
      <w:r>
        <w:rPr/>
        <w:t>%</w:t>
      </w:r>
    </w:p>
    <w:p>
      <w:pPr>
        <w:pStyle w:val="BodyText"/>
        <w:tabs>
          <w:tab w:pos="4051" w:val="left" w:leader="none"/>
        </w:tabs>
        <w:spacing w:before="266"/>
        <w:ind w:left="724"/>
      </w:pPr>
      <w:r>
        <w:rPr/>
        <w:t>Fat</w:t>
        <w:tab/>
        <w:t>7</w:t>
      </w:r>
      <w:r>
        <w:rPr>
          <w:spacing w:val="-3"/>
        </w:rPr>
        <w:t> </w:t>
      </w:r>
      <w:r>
        <w:rPr/>
        <w:t>%</w:t>
      </w:r>
    </w:p>
    <w:p>
      <w:pPr>
        <w:pStyle w:val="BodyText"/>
        <w:tabs>
          <w:tab w:pos="4051" w:val="left" w:leader="none"/>
        </w:tabs>
        <w:spacing w:before="264"/>
        <w:ind w:left="724"/>
      </w:pPr>
      <w:r>
        <w:rPr/>
        <w:t>Minerals</w:t>
        <w:tab/>
        <w:t>7</w:t>
      </w:r>
      <w:r>
        <w:rPr>
          <w:spacing w:val="-3"/>
        </w:rPr>
        <w:t> </w:t>
      </w:r>
      <w:r>
        <w:rPr/>
        <w:t>%</w:t>
      </w:r>
    </w:p>
    <w:p>
      <w:pPr>
        <w:pStyle w:val="BodyText"/>
        <w:tabs>
          <w:tab w:pos="4147" w:val="left" w:leader="none"/>
        </w:tabs>
        <w:spacing w:before="263"/>
        <w:ind w:left="724"/>
      </w:pPr>
      <w:r>
        <w:rPr/>
        <w:t>Fibres</w:t>
        <w:tab/>
        <w:t>3</w:t>
      </w:r>
      <w:r>
        <w:rPr>
          <w:spacing w:val="-2"/>
        </w:rPr>
        <w:t> </w:t>
      </w:r>
      <w:r>
        <w:rPr/>
        <w:t>%</w:t>
      </w:r>
    </w:p>
    <w:p>
      <w:pPr>
        <w:pStyle w:val="BodyText"/>
        <w:tabs>
          <w:tab w:pos="4051" w:val="left" w:leader="none"/>
        </w:tabs>
        <w:spacing w:before="264"/>
        <w:ind w:left="724"/>
      </w:pPr>
      <w:r>
        <w:rPr/>
        <w:t>Moisture</w:t>
        <w:tab/>
        <w:t>3</w:t>
      </w:r>
      <w:r>
        <w:rPr>
          <w:spacing w:val="-2"/>
        </w:rPr>
        <w:t> </w:t>
      </w:r>
      <w:r>
        <w:rPr/>
        <w:t>%</w:t>
      </w:r>
    </w:p>
    <w:p>
      <w:pPr>
        <w:pStyle w:val="BodyText"/>
        <w:spacing w:before="5"/>
        <w:rPr>
          <w:sz w:val="14"/>
        </w:rPr>
      </w:pPr>
    </w:p>
    <w:p>
      <w:pPr>
        <w:spacing w:after="0"/>
        <w:rPr>
          <w:sz w:val="14"/>
        </w:rPr>
        <w:sectPr>
          <w:type w:val="continuous"/>
          <w:pgSz w:w="14270" w:h="16850"/>
          <w:pgMar w:top="1340" w:bottom="280" w:left="800" w:right="1280"/>
        </w:sectPr>
      </w:pPr>
    </w:p>
    <w:p>
      <w:pPr>
        <w:pStyle w:val="Heading2"/>
        <w:spacing w:line="278" w:lineRule="auto" w:before="99"/>
        <w:ind w:left="1571" w:right="-14" w:hanging="831"/>
      </w:pPr>
      <w:r>
        <w:rPr/>
        <w:t>Vitamin analysis</w:t>
      </w:r>
      <w:r>
        <w:rPr>
          <w:spacing w:val="-7"/>
        </w:rPr>
        <w:t> </w:t>
      </w:r>
      <w:r>
        <w:rPr/>
        <w:t>of spirulina</w:t>
      </w:r>
    </w:p>
    <w:p>
      <w:pPr>
        <w:spacing w:before="102"/>
        <w:ind w:left="640" w:right="0" w:firstLine="0"/>
        <w:jc w:val="left"/>
        <w:rPr>
          <w:b/>
          <w:sz w:val="38"/>
        </w:rPr>
      </w:pPr>
      <w:r>
        <w:rPr/>
        <w:br w:type="column"/>
      </w:r>
      <w:r>
        <w:rPr>
          <w:b/>
          <w:sz w:val="38"/>
        </w:rPr>
        <w:t>Averages</w:t>
      </w:r>
    </w:p>
    <w:p>
      <w:pPr>
        <w:spacing w:after="0"/>
        <w:jc w:val="left"/>
        <w:rPr>
          <w:sz w:val="38"/>
        </w:rPr>
        <w:sectPr>
          <w:type w:val="continuous"/>
          <w:pgSz w:w="14270" w:h="16850"/>
          <w:pgMar w:top="1340" w:bottom="280" w:left="800" w:right="1280"/>
          <w:cols w:num="2" w:equalWidth="0">
            <w:col w:w="3815" w:space="40"/>
            <w:col w:w="8335"/>
          </w:cols>
        </w:sectPr>
      </w:pPr>
    </w:p>
    <w:p>
      <w:pPr>
        <w:pStyle w:val="BodyText"/>
        <w:tabs>
          <w:tab w:pos="4051" w:val="left" w:leader="none"/>
        </w:tabs>
        <w:spacing w:before="194"/>
        <w:ind w:left="724"/>
      </w:pPr>
      <w:r>
        <w:rPr/>
        <w:t>Biotin</w:t>
        <w:tab/>
        <w:t>250</w:t>
      </w:r>
      <w:r>
        <w:rPr>
          <w:spacing w:val="-5"/>
        </w:rPr>
        <w:t> </w:t>
      </w:r>
      <w:r>
        <w:rPr/>
        <w:t>mcg/kg</w:t>
      </w:r>
    </w:p>
    <w:p>
      <w:pPr>
        <w:pStyle w:val="BodyText"/>
        <w:tabs>
          <w:tab w:pos="4051" w:val="left" w:leader="none"/>
        </w:tabs>
        <w:spacing w:line="388" w:lineRule="auto" w:before="266"/>
        <w:ind w:left="724" w:right="6078"/>
      </w:pPr>
      <w:r>
        <w:rPr/>
        <w:t>Vitamin</w:t>
      </w:r>
      <w:r>
        <w:rPr>
          <w:spacing w:val="-3"/>
        </w:rPr>
        <w:t> </w:t>
      </w:r>
      <w:r>
        <w:rPr/>
        <w:t>B12</w:t>
        <w:tab/>
        <w:t>2,000 mcg/kg Pantothenic</w:t>
      </w:r>
      <w:r>
        <w:rPr>
          <w:spacing w:val="-3"/>
        </w:rPr>
        <w:t> </w:t>
      </w:r>
      <w:r>
        <w:rPr/>
        <w:t>acid</w:t>
        <w:tab/>
        <w:t>8 mg/kg Folic</w:t>
      </w:r>
      <w:r>
        <w:rPr>
          <w:spacing w:val="-1"/>
        </w:rPr>
        <w:t> </w:t>
      </w:r>
      <w:r>
        <w:rPr/>
        <w:t>acid</w:t>
        <w:tab/>
        <w:t>610</w:t>
      </w:r>
      <w:r>
        <w:rPr>
          <w:spacing w:val="-2"/>
        </w:rPr>
        <w:t> </w:t>
      </w:r>
      <w:r>
        <w:rPr/>
        <w:t>mcg/kg</w:t>
      </w:r>
    </w:p>
    <w:p>
      <w:pPr>
        <w:pStyle w:val="BodyText"/>
        <w:tabs>
          <w:tab w:pos="4051" w:val="left" w:leader="none"/>
        </w:tabs>
        <w:spacing w:line="424" w:lineRule="exact"/>
        <w:ind w:left="724"/>
      </w:pPr>
      <w:r>
        <w:rPr/>
        <w:t>Inositol</w:t>
        <w:tab/>
        <w:t>830</w:t>
      </w:r>
      <w:r>
        <w:rPr>
          <w:spacing w:val="-5"/>
        </w:rPr>
        <w:t> </w:t>
      </w:r>
      <w:r>
        <w:rPr/>
        <w:t>mcg/kg</w:t>
      </w:r>
    </w:p>
    <w:p>
      <w:pPr>
        <w:spacing w:after="0" w:line="424" w:lineRule="exact"/>
        <w:sectPr>
          <w:type w:val="continuous"/>
          <w:pgSz w:w="14270" w:h="16850"/>
          <w:pgMar w:top="1340" w:bottom="280" w:left="800" w:right="1280"/>
        </w:sectPr>
      </w:pPr>
    </w:p>
    <w:p>
      <w:pPr>
        <w:pStyle w:val="BodyText"/>
        <w:tabs>
          <w:tab w:pos="4051" w:val="left" w:leader="none"/>
        </w:tabs>
        <w:spacing w:line="388" w:lineRule="auto" w:before="74"/>
        <w:ind w:left="724" w:right="6498"/>
      </w:pPr>
      <w:r>
        <w:rPr/>
        <w:t>Vitamin</w:t>
      </w:r>
      <w:r>
        <w:rPr>
          <w:spacing w:val="-3"/>
        </w:rPr>
        <w:t> </w:t>
      </w:r>
      <w:r>
        <w:rPr/>
        <w:t>B3</w:t>
      </w:r>
      <w:r>
        <w:rPr>
          <w:spacing w:val="-3"/>
        </w:rPr>
        <w:t> </w:t>
      </w:r>
      <w:r>
        <w:rPr/>
        <w:t>(niacin)</w:t>
        <w:tab/>
        <w:t>146 mg/kg Vitamin</w:t>
      </w:r>
      <w:r>
        <w:rPr>
          <w:spacing w:val="-3"/>
        </w:rPr>
        <w:t> </w:t>
      </w:r>
      <w:r>
        <w:rPr/>
        <w:t>B6</w:t>
        <w:tab/>
        <w:t>7</w:t>
      </w:r>
      <w:r>
        <w:rPr>
          <w:spacing w:val="-2"/>
        </w:rPr>
        <w:t> </w:t>
      </w:r>
      <w:r>
        <w:rPr/>
        <w:t>mg/kg</w:t>
      </w:r>
    </w:p>
    <w:p>
      <w:pPr>
        <w:pStyle w:val="BodyText"/>
        <w:tabs>
          <w:tab w:pos="4051" w:val="left" w:leader="none"/>
        </w:tabs>
        <w:spacing w:line="427" w:lineRule="exact"/>
        <w:ind w:left="724"/>
      </w:pPr>
      <w:r>
        <w:rPr/>
        <w:t>Vitamin</w:t>
      </w:r>
      <w:r>
        <w:rPr>
          <w:spacing w:val="-3"/>
        </w:rPr>
        <w:t> </w:t>
      </w:r>
      <w:r>
        <w:rPr/>
        <w:t>B2</w:t>
        <w:tab/>
        <w:t>35</w:t>
      </w:r>
      <w:r>
        <w:rPr>
          <w:spacing w:val="-4"/>
        </w:rPr>
        <w:t> </w:t>
      </w:r>
      <w:r>
        <w:rPr/>
        <w:t>mg/kg</w:t>
      </w:r>
    </w:p>
    <w:p>
      <w:pPr>
        <w:pStyle w:val="BodyText"/>
        <w:tabs>
          <w:tab w:pos="4051" w:val="left" w:leader="none"/>
        </w:tabs>
        <w:spacing w:before="264"/>
        <w:ind w:left="724"/>
      </w:pPr>
      <w:r>
        <w:rPr/>
        <w:t>Vitamin</w:t>
      </w:r>
      <w:r>
        <w:rPr>
          <w:spacing w:val="-3"/>
        </w:rPr>
        <w:t> </w:t>
      </w:r>
      <w:r>
        <w:rPr/>
        <w:t>B1</w:t>
        <w:tab/>
        <w:t>21</w:t>
      </w:r>
      <w:r>
        <w:rPr>
          <w:spacing w:val="-4"/>
        </w:rPr>
        <w:t> </w:t>
      </w:r>
      <w:r>
        <w:rPr/>
        <w:t>mg/kg</w:t>
      </w:r>
    </w:p>
    <w:p>
      <w:pPr>
        <w:pStyle w:val="BodyText"/>
        <w:tabs>
          <w:tab w:pos="4051" w:val="left" w:leader="none"/>
        </w:tabs>
        <w:spacing w:before="264"/>
        <w:ind w:left="724"/>
      </w:pPr>
      <w:r>
        <w:rPr/>
        <w:t>Vitamin</w:t>
      </w:r>
      <w:r>
        <w:rPr>
          <w:spacing w:val="-3"/>
        </w:rPr>
        <w:t> </w:t>
      </w:r>
      <w:r>
        <w:rPr/>
        <w:t>E</w:t>
        <w:tab/>
        <w:t>80</w:t>
      </w:r>
      <w:r>
        <w:rPr>
          <w:spacing w:val="-4"/>
        </w:rPr>
        <w:t> </w:t>
      </w:r>
      <w:r>
        <w:rPr/>
        <w:t>mg/kg</w:t>
      </w:r>
    </w:p>
    <w:p>
      <w:pPr>
        <w:pStyle w:val="BodyText"/>
        <w:tabs>
          <w:tab w:pos="4051" w:val="left" w:leader="none"/>
        </w:tabs>
        <w:spacing w:before="264"/>
        <w:ind w:left="724"/>
      </w:pPr>
      <w:r>
        <w:rPr/>
        <w:t>Vitamin</w:t>
      </w:r>
      <w:r>
        <w:rPr>
          <w:spacing w:val="-3"/>
        </w:rPr>
        <w:t> </w:t>
      </w:r>
      <w:r>
        <w:rPr/>
        <w:t>D</w:t>
        <w:tab/>
        <w:t>120,000</w:t>
      </w:r>
      <w:r>
        <w:rPr>
          <w:spacing w:val="-1"/>
        </w:rPr>
        <w:t> </w:t>
      </w:r>
      <w:r>
        <w:rPr/>
        <w:t>IU/kg</w:t>
      </w:r>
    </w:p>
    <w:p>
      <w:pPr>
        <w:pStyle w:val="BodyText"/>
        <w:tabs>
          <w:tab w:pos="4051" w:val="left" w:leader="none"/>
        </w:tabs>
        <w:spacing w:before="264"/>
        <w:ind w:left="724"/>
      </w:pPr>
      <w:r>
        <w:rPr/>
        <w:t>Vitamin</w:t>
      </w:r>
      <w:r>
        <w:rPr>
          <w:spacing w:val="-3"/>
        </w:rPr>
        <w:t> </w:t>
      </w:r>
      <w:r>
        <w:rPr/>
        <w:t>K</w:t>
        <w:tab/>
        <w:t>22</w:t>
      </w:r>
      <w:r>
        <w:rPr>
          <w:spacing w:val="-1"/>
        </w:rPr>
        <w:t> </w:t>
      </w:r>
      <w:r>
        <w:rPr/>
        <w:t>mg/kg</w:t>
      </w:r>
    </w:p>
    <w:p>
      <w:pPr>
        <w:pStyle w:val="BodyText"/>
        <w:spacing w:before="6"/>
        <w:rPr>
          <w:sz w:val="14"/>
        </w:rPr>
      </w:pPr>
    </w:p>
    <w:p>
      <w:pPr>
        <w:spacing w:after="0"/>
        <w:rPr>
          <w:sz w:val="14"/>
        </w:rPr>
        <w:sectPr>
          <w:footerReference w:type="default" r:id="rId359"/>
          <w:pgSz w:w="14270" w:h="16850"/>
          <w:pgMar w:footer="1891" w:header="0" w:top="1340" w:bottom="2080" w:left="800" w:right="1280"/>
          <w:pgNumType w:start="1520"/>
        </w:sectPr>
      </w:pPr>
    </w:p>
    <w:p>
      <w:pPr>
        <w:pStyle w:val="Heading2"/>
        <w:spacing w:line="278" w:lineRule="auto" w:before="100"/>
        <w:ind w:left="1571" w:right="-12" w:hanging="809"/>
      </w:pPr>
      <w:r>
        <w:rPr/>
        <w:t>Mineral analysis</w:t>
      </w:r>
      <w:r>
        <w:rPr>
          <w:spacing w:val="-9"/>
        </w:rPr>
        <w:t> </w:t>
      </w:r>
      <w:r>
        <w:rPr/>
        <w:t>of spirulina</w:t>
      </w:r>
    </w:p>
    <w:p>
      <w:pPr>
        <w:spacing w:before="102"/>
        <w:ind w:left="744" w:right="0" w:firstLine="0"/>
        <w:jc w:val="left"/>
        <w:rPr>
          <w:b/>
          <w:sz w:val="38"/>
        </w:rPr>
      </w:pPr>
      <w:r>
        <w:rPr/>
        <w:br w:type="column"/>
      </w:r>
      <w:r>
        <w:rPr>
          <w:b/>
          <w:sz w:val="38"/>
        </w:rPr>
        <w:t>Average</w:t>
      </w:r>
    </w:p>
    <w:p>
      <w:pPr>
        <w:spacing w:after="0"/>
        <w:jc w:val="left"/>
        <w:rPr>
          <w:sz w:val="38"/>
        </w:rPr>
        <w:sectPr>
          <w:type w:val="continuous"/>
          <w:pgSz w:w="14270" w:h="16850"/>
          <w:pgMar w:top="1340" w:bottom="280" w:left="800" w:right="1280"/>
          <w:cols w:num="2" w:equalWidth="0">
            <w:col w:w="3793" w:space="40"/>
            <w:col w:w="8357"/>
          </w:cols>
        </w:sectPr>
      </w:pPr>
    </w:p>
    <w:p>
      <w:pPr>
        <w:pStyle w:val="BodyText"/>
        <w:tabs>
          <w:tab w:pos="4051" w:val="left" w:leader="none"/>
        </w:tabs>
        <w:spacing w:before="194"/>
        <w:ind w:left="724"/>
      </w:pPr>
      <w:r>
        <w:rPr/>
        <w:t>Calcium</w:t>
        <w:tab/>
        <w:t>8950</w:t>
      </w:r>
      <w:r>
        <w:rPr>
          <w:spacing w:val="-5"/>
        </w:rPr>
        <w:t> </w:t>
      </w:r>
      <w:r>
        <w:rPr/>
        <w:t>mg/kg</w:t>
      </w:r>
    </w:p>
    <w:p>
      <w:pPr>
        <w:pStyle w:val="BodyText"/>
        <w:tabs>
          <w:tab w:pos="4051" w:val="left" w:leader="none"/>
        </w:tabs>
        <w:spacing w:before="263"/>
        <w:ind w:left="724"/>
      </w:pPr>
      <w:r>
        <w:rPr/>
        <w:t>Phosphorus</w:t>
        <w:tab/>
        <w:t>8940</w:t>
      </w:r>
      <w:r>
        <w:rPr>
          <w:spacing w:val="-5"/>
        </w:rPr>
        <w:t> </w:t>
      </w:r>
      <w:r>
        <w:rPr/>
        <w:t>mg/kg</w:t>
      </w:r>
    </w:p>
    <w:p>
      <w:pPr>
        <w:pStyle w:val="BodyText"/>
        <w:tabs>
          <w:tab w:pos="4051" w:val="left" w:leader="none"/>
        </w:tabs>
        <w:spacing w:before="264"/>
        <w:ind w:left="724"/>
      </w:pPr>
      <w:r>
        <w:rPr/>
        <w:t>Sulphur</w:t>
        <w:tab/>
        <w:t>6,900</w:t>
      </w:r>
      <w:r>
        <w:rPr>
          <w:spacing w:val="-1"/>
        </w:rPr>
        <w:t> </w:t>
      </w:r>
      <w:r>
        <w:rPr/>
        <w:t>mg/kg</w:t>
      </w:r>
    </w:p>
    <w:p>
      <w:pPr>
        <w:pStyle w:val="BodyText"/>
        <w:tabs>
          <w:tab w:pos="4051" w:val="left" w:leader="none"/>
        </w:tabs>
        <w:spacing w:before="264"/>
        <w:ind w:left="724"/>
      </w:pPr>
      <w:r>
        <w:rPr/>
        <w:t>Iron</w:t>
        <w:tab/>
        <w:t>980</w:t>
      </w:r>
      <w:r>
        <w:rPr>
          <w:spacing w:val="-2"/>
        </w:rPr>
        <w:t> </w:t>
      </w:r>
      <w:r>
        <w:rPr/>
        <w:t>mg/kg</w:t>
      </w:r>
    </w:p>
    <w:p>
      <w:pPr>
        <w:pStyle w:val="BodyText"/>
        <w:tabs>
          <w:tab w:pos="4051" w:val="left" w:leader="none"/>
        </w:tabs>
        <w:spacing w:before="264"/>
        <w:ind w:left="724"/>
      </w:pPr>
      <w:r>
        <w:rPr/>
        <w:t>Sodium</w:t>
        <w:tab/>
        <w:t>9,000</w:t>
      </w:r>
      <w:r>
        <w:rPr>
          <w:spacing w:val="-1"/>
        </w:rPr>
        <w:t> </w:t>
      </w:r>
      <w:r>
        <w:rPr/>
        <w:t>mg/kg</w:t>
      </w:r>
    </w:p>
    <w:p>
      <w:pPr>
        <w:pStyle w:val="BodyText"/>
        <w:tabs>
          <w:tab w:pos="4051" w:val="left" w:leader="none"/>
        </w:tabs>
        <w:spacing w:before="266"/>
        <w:ind w:left="724"/>
      </w:pPr>
      <w:r>
        <w:rPr/>
        <w:t>Magnesium</w:t>
        <w:tab/>
        <w:t>3690</w:t>
      </w:r>
      <w:r>
        <w:rPr>
          <w:spacing w:val="-2"/>
        </w:rPr>
        <w:t> </w:t>
      </w:r>
      <w:r>
        <w:rPr/>
        <w:t>mg/kg</w:t>
      </w:r>
    </w:p>
    <w:p>
      <w:pPr>
        <w:pStyle w:val="BodyText"/>
        <w:tabs>
          <w:tab w:pos="4051" w:val="left" w:leader="none"/>
        </w:tabs>
        <w:spacing w:before="264"/>
        <w:ind w:left="724"/>
      </w:pPr>
      <w:r>
        <w:rPr/>
        <w:t>Manganese</w:t>
        <w:tab/>
        <w:t>38</w:t>
      </w:r>
      <w:r>
        <w:rPr>
          <w:spacing w:val="-2"/>
        </w:rPr>
        <w:t> </w:t>
      </w:r>
      <w:r>
        <w:rPr/>
        <w:t>mg/kg</w:t>
      </w:r>
    </w:p>
    <w:p>
      <w:pPr>
        <w:pStyle w:val="BodyText"/>
        <w:tabs>
          <w:tab w:pos="4051" w:val="left" w:leader="none"/>
        </w:tabs>
        <w:spacing w:before="264"/>
        <w:ind w:left="724"/>
      </w:pPr>
      <w:r>
        <w:rPr/>
        <w:t>Copper</w:t>
        <w:tab/>
        <w:t>5</w:t>
      </w:r>
      <w:r>
        <w:rPr>
          <w:spacing w:val="-1"/>
        </w:rPr>
        <w:t> </w:t>
      </w:r>
      <w:r>
        <w:rPr/>
        <w:t>mg/kg</w:t>
      </w:r>
    </w:p>
    <w:p>
      <w:pPr>
        <w:spacing w:after="0"/>
        <w:sectPr>
          <w:type w:val="continuous"/>
          <w:pgSz w:w="14270" w:h="16850"/>
          <w:pgMar w:top="1340" w:bottom="280" w:left="800" w:right="1280"/>
        </w:sectPr>
      </w:pPr>
    </w:p>
    <w:p>
      <w:pPr>
        <w:pStyle w:val="BodyText"/>
        <w:tabs>
          <w:tab w:pos="4051" w:val="left" w:leader="none"/>
        </w:tabs>
        <w:spacing w:before="74"/>
        <w:ind w:left="724"/>
      </w:pPr>
      <w:r>
        <w:rPr/>
        <w:t>Zinc</w:t>
        <w:tab/>
        <w:t>30</w:t>
      </w:r>
      <w:r>
        <w:rPr>
          <w:spacing w:val="-2"/>
        </w:rPr>
        <w:t> </w:t>
      </w:r>
      <w:r>
        <w:rPr/>
        <w:t>mg/kg</w:t>
      </w:r>
    </w:p>
    <w:p>
      <w:pPr>
        <w:pStyle w:val="BodyText"/>
        <w:tabs>
          <w:tab w:pos="4051" w:val="left" w:leader="none"/>
        </w:tabs>
        <w:spacing w:before="266"/>
        <w:ind w:left="724"/>
      </w:pPr>
      <w:r>
        <w:rPr/>
        <w:t>Chrome</w:t>
        <w:tab/>
        <w:t>1</w:t>
      </w:r>
      <w:r>
        <w:rPr>
          <w:spacing w:val="-2"/>
        </w:rPr>
        <w:t> </w:t>
      </w:r>
      <w:r>
        <w:rPr/>
        <w:t>mg/kg</w:t>
      </w:r>
    </w:p>
    <w:p>
      <w:pPr>
        <w:pStyle w:val="BodyText"/>
        <w:tabs>
          <w:tab w:pos="4051" w:val="left" w:leader="none"/>
        </w:tabs>
        <w:spacing w:before="264"/>
        <w:ind w:left="724"/>
      </w:pPr>
      <w:r>
        <w:rPr/>
        <w:t>Potassium</w:t>
        <w:tab/>
        <w:t>16,000</w:t>
      </w:r>
      <w:r>
        <w:rPr>
          <w:spacing w:val="-2"/>
        </w:rPr>
        <w:t> </w:t>
      </w:r>
      <w:r>
        <w:rPr/>
        <w:t>mg/kg</w:t>
      </w:r>
    </w:p>
    <w:p>
      <w:pPr>
        <w:pStyle w:val="BodyText"/>
        <w:tabs>
          <w:tab w:pos="4051" w:val="left" w:leader="none"/>
        </w:tabs>
        <w:spacing w:before="264"/>
        <w:ind w:left="724"/>
      </w:pPr>
      <w:r>
        <w:rPr/>
        <w:t>Selenium</w:t>
        <w:tab/>
        <w:t>140</w:t>
      </w:r>
      <w:r>
        <w:rPr>
          <w:spacing w:val="-5"/>
        </w:rPr>
        <w:t> </w:t>
      </w:r>
      <w:r>
        <w:rPr/>
        <w:t>mcg/kg</w:t>
      </w:r>
    </w:p>
    <w:p>
      <w:pPr>
        <w:pStyle w:val="BodyText"/>
        <w:tabs>
          <w:tab w:pos="4051" w:val="left" w:leader="none"/>
        </w:tabs>
        <w:spacing w:before="263"/>
        <w:ind w:left="724"/>
      </w:pPr>
      <w:r>
        <w:rPr/>
        <w:t>Cobalt</w:t>
        <w:tab/>
        <w:t>230</w:t>
      </w:r>
      <w:r>
        <w:rPr>
          <w:spacing w:val="-5"/>
        </w:rPr>
        <w:t> </w:t>
      </w:r>
      <w:r>
        <w:rPr/>
        <w:t>mcg/kg</w:t>
      </w:r>
    </w:p>
    <w:p>
      <w:pPr>
        <w:pStyle w:val="BodyText"/>
        <w:tabs>
          <w:tab w:pos="4051" w:val="left" w:leader="none"/>
        </w:tabs>
        <w:spacing w:before="265"/>
        <w:ind w:left="724"/>
      </w:pPr>
      <w:r>
        <w:rPr/>
        <w:t>Germanium</w:t>
        <w:tab/>
        <w:t>6,000</w:t>
      </w:r>
      <w:r>
        <w:rPr>
          <w:spacing w:val="-1"/>
        </w:rPr>
        <w:t> </w:t>
      </w:r>
      <w:r>
        <w:rPr/>
        <w:t>mcg/kg</w:t>
      </w:r>
    </w:p>
    <w:p>
      <w:pPr>
        <w:pStyle w:val="Heading2"/>
        <w:spacing w:line="278" w:lineRule="auto" w:before="261"/>
        <w:ind w:left="1785" w:right="8443" w:hanging="960"/>
      </w:pPr>
      <w:r>
        <w:rPr/>
        <w:t>Natural phytopig- ments</w:t>
      </w:r>
    </w:p>
    <w:p>
      <w:pPr>
        <w:spacing w:after="0" w:line="278" w:lineRule="auto"/>
        <w:sectPr>
          <w:pgSz w:w="14270" w:h="16850"/>
          <w:pgMar w:header="0" w:footer="1891" w:top="1340" w:bottom="2080" w:left="800" w:right="1280"/>
        </w:sectPr>
      </w:pPr>
    </w:p>
    <w:p>
      <w:pPr>
        <w:pStyle w:val="BodyText"/>
        <w:tabs>
          <w:tab w:pos="2126" w:val="left" w:leader="none"/>
        </w:tabs>
        <w:spacing w:line="276" w:lineRule="auto" w:before="194"/>
        <w:ind w:left="724"/>
      </w:pPr>
      <w:r>
        <w:rPr/>
        <w:t>Total</w:t>
        <w:tab/>
        <w:t>carotenoids (yellow and</w:t>
      </w:r>
      <w:r>
        <w:rPr>
          <w:spacing w:val="-4"/>
        </w:rPr>
        <w:t> </w:t>
      </w:r>
      <w:r>
        <w:rPr/>
        <w:t>orange)</w:t>
      </w:r>
    </w:p>
    <w:p>
      <w:pPr>
        <w:pStyle w:val="BodyText"/>
        <w:spacing w:before="196"/>
        <w:ind w:left="176"/>
      </w:pPr>
      <w:r>
        <w:rPr/>
        <w:br w:type="column"/>
      </w:r>
      <w:r>
        <w:rPr/>
        <w:t>4,700 mg/kg</w:t>
      </w:r>
    </w:p>
    <w:p>
      <w:pPr>
        <w:spacing w:after="0"/>
        <w:sectPr>
          <w:type w:val="continuous"/>
          <w:pgSz w:w="14270" w:h="16850"/>
          <w:pgMar w:top="1340" w:bottom="280" w:left="800" w:right="1280"/>
          <w:cols w:num="2" w:equalWidth="0">
            <w:col w:w="3835" w:space="40"/>
            <w:col w:w="8315"/>
          </w:cols>
        </w:sectPr>
      </w:pPr>
    </w:p>
    <w:p>
      <w:pPr>
        <w:pStyle w:val="BodyText"/>
        <w:spacing w:before="1"/>
        <w:rPr>
          <w:sz w:val="9"/>
        </w:rPr>
      </w:pPr>
    </w:p>
    <w:p>
      <w:pPr>
        <w:pStyle w:val="BodyText"/>
        <w:spacing w:line="388" w:lineRule="auto" w:before="100"/>
        <w:ind w:left="724" w:right="6058"/>
        <w:jc w:val="both"/>
      </w:pPr>
      <w:r>
        <w:rPr/>
        <w:t>Chlorophyll (green) 11,900 mg/kg Phycocyanin (blue) 49,500 mg/kg Natural carotenoids</w:t>
      </w:r>
    </w:p>
    <w:p>
      <w:pPr>
        <w:pStyle w:val="BodyText"/>
        <w:tabs>
          <w:tab w:pos="4051" w:val="left" w:leader="none"/>
        </w:tabs>
        <w:spacing w:line="424" w:lineRule="exact"/>
        <w:ind w:left="724"/>
        <w:jc w:val="both"/>
      </w:pPr>
      <w:r>
        <w:rPr/>
        <w:t>Beta-carotene</w:t>
        <w:tab/>
        <w:t>2,100</w:t>
      </w:r>
      <w:r>
        <w:rPr>
          <w:spacing w:val="-1"/>
        </w:rPr>
        <w:t> </w:t>
      </w:r>
      <w:r>
        <w:rPr/>
        <w:t>mg/kg</w:t>
      </w:r>
    </w:p>
    <w:p>
      <w:pPr>
        <w:pStyle w:val="BodyText"/>
        <w:spacing w:before="264"/>
        <w:ind w:left="724"/>
        <w:jc w:val="both"/>
      </w:pPr>
      <w:r>
        <w:rPr/>
        <w:t>Other-carotenes          400</w:t>
      </w:r>
      <w:r>
        <w:rPr>
          <w:spacing w:val="-33"/>
        </w:rPr>
        <w:t> </w:t>
      </w:r>
      <w:r>
        <w:rPr/>
        <w:t>mg/kg</w:t>
      </w:r>
    </w:p>
    <w:p>
      <w:pPr>
        <w:pStyle w:val="BodyText"/>
        <w:spacing w:before="263"/>
        <w:ind w:left="724"/>
        <w:jc w:val="both"/>
      </w:pPr>
      <w:r>
        <w:rPr/>
        <w:t>Myxoxanthophyl         900</w:t>
      </w:r>
      <w:r>
        <w:rPr>
          <w:spacing w:val="-39"/>
        </w:rPr>
        <w:t> </w:t>
      </w:r>
      <w:r>
        <w:rPr/>
        <w:t>mg/kg</w:t>
      </w:r>
    </w:p>
    <w:p>
      <w:pPr>
        <w:pStyle w:val="BodyText"/>
        <w:tabs>
          <w:tab w:pos="4051" w:val="left" w:leader="none"/>
        </w:tabs>
        <w:spacing w:before="267"/>
        <w:ind w:left="724"/>
        <w:jc w:val="both"/>
      </w:pPr>
      <w:r>
        <w:rPr/>
        <w:t>Zeaxanthin</w:t>
        <w:tab/>
        <w:t>800</w:t>
      </w:r>
      <w:r>
        <w:rPr>
          <w:spacing w:val="-4"/>
        </w:rPr>
        <w:t> </w:t>
      </w:r>
      <w:r>
        <w:rPr/>
        <w:t>mg/kg</w:t>
      </w:r>
    </w:p>
    <w:p>
      <w:pPr>
        <w:pStyle w:val="BodyText"/>
        <w:tabs>
          <w:tab w:pos="4051" w:val="left" w:leader="none"/>
        </w:tabs>
        <w:spacing w:before="264"/>
        <w:ind w:left="724"/>
        <w:jc w:val="both"/>
      </w:pPr>
      <w:r>
        <w:rPr/>
        <w:t>Cryptoxanthin</w:t>
        <w:tab/>
        <w:t>100</w:t>
      </w:r>
      <w:r>
        <w:rPr>
          <w:spacing w:val="-4"/>
        </w:rPr>
        <w:t> </w:t>
      </w:r>
      <w:r>
        <w:rPr/>
        <w:t>mg/kg</w:t>
      </w:r>
    </w:p>
    <w:p>
      <w:pPr>
        <w:spacing w:after="0"/>
        <w:jc w:val="both"/>
        <w:sectPr>
          <w:type w:val="continuous"/>
          <w:pgSz w:w="14270" w:h="16850"/>
          <w:pgMar w:top="1340" w:bottom="280" w:left="800" w:right="1280"/>
        </w:sectPr>
      </w:pPr>
    </w:p>
    <w:p>
      <w:pPr>
        <w:pStyle w:val="BodyText"/>
        <w:tabs>
          <w:tab w:pos="1992" w:val="left" w:leader="none"/>
        </w:tabs>
        <w:spacing w:line="278" w:lineRule="auto" w:before="72"/>
        <w:ind w:left="724"/>
      </w:pPr>
      <w:r>
        <w:rPr/>
        <w:t>Other</w:t>
        <w:tab/>
      </w:r>
      <w:r>
        <w:rPr>
          <w:w w:val="95"/>
        </w:rPr>
        <w:t>xamthophyll </w:t>
      </w:r>
      <w:r>
        <w:rPr/>
        <w:t>pigments</w:t>
      </w:r>
    </w:p>
    <w:p>
      <w:pPr>
        <w:pStyle w:val="BodyText"/>
        <w:spacing w:before="74"/>
        <w:ind w:left="179"/>
      </w:pPr>
      <w:r>
        <w:rPr/>
        <w:br w:type="column"/>
      </w:r>
      <w:r>
        <w:rPr/>
        <w:t>400 mg/ kg</w:t>
      </w:r>
    </w:p>
    <w:p>
      <w:pPr>
        <w:spacing w:after="0"/>
        <w:sectPr>
          <w:pgSz w:w="14270" w:h="16850"/>
          <w:pgMar w:header="0" w:footer="1891" w:top="1340" w:bottom="2080" w:left="800" w:right="1280"/>
          <w:cols w:num="2" w:equalWidth="0">
            <w:col w:w="3832" w:space="40"/>
            <w:col w:w="8318"/>
          </w:cols>
        </w:sectPr>
      </w:pPr>
    </w:p>
    <w:p>
      <w:pPr>
        <w:pStyle w:val="Heading2"/>
        <w:tabs>
          <w:tab w:pos="4495" w:val="left" w:leader="none"/>
        </w:tabs>
        <w:spacing w:before="194"/>
        <w:ind w:left="854"/>
      </w:pPr>
      <w:r>
        <w:rPr/>
        <w:t>Other</w:t>
      </w:r>
      <w:r>
        <w:rPr>
          <w:spacing w:val="-5"/>
        </w:rPr>
        <w:t> </w:t>
      </w:r>
      <w:r>
        <w:rPr/>
        <w:t>ingredients</w:t>
        <w:tab/>
        <w:t>Averages</w:t>
      </w:r>
    </w:p>
    <w:p>
      <w:pPr>
        <w:pStyle w:val="BodyText"/>
        <w:tabs>
          <w:tab w:pos="4051" w:val="left" w:leader="none"/>
        </w:tabs>
        <w:spacing w:before="266"/>
        <w:ind w:left="724"/>
      </w:pPr>
      <w:r>
        <w:rPr/>
        <w:t>Nucleic</w:t>
      </w:r>
      <w:r>
        <w:rPr>
          <w:spacing w:val="-4"/>
        </w:rPr>
        <w:t> </w:t>
      </w:r>
      <w:r>
        <w:rPr/>
        <w:t>acids</w:t>
        <w:tab/>
        <w:t>4.5</w:t>
      </w:r>
      <w:r>
        <w:rPr>
          <w:spacing w:val="1"/>
        </w:rPr>
        <w:t> </w:t>
      </w:r>
      <w:r>
        <w:rPr/>
        <w:t>%</w:t>
      </w:r>
    </w:p>
    <w:p>
      <w:pPr>
        <w:pStyle w:val="BodyText"/>
        <w:spacing w:before="4"/>
        <w:rPr>
          <w:sz w:val="14"/>
        </w:rPr>
      </w:pPr>
    </w:p>
    <w:p>
      <w:pPr>
        <w:spacing w:after="0"/>
        <w:rPr>
          <w:sz w:val="14"/>
        </w:rPr>
        <w:sectPr>
          <w:type w:val="continuous"/>
          <w:pgSz w:w="14270" w:h="16850"/>
          <w:pgMar w:top="1340" w:bottom="280" w:left="800" w:right="1280"/>
        </w:sectPr>
      </w:pPr>
    </w:p>
    <w:p>
      <w:pPr>
        <w:pStyle w:val="BodyText"/>
        <w:spacing w:line="278" w:lineRule="auto" w:before="100"/>
        <w:ind w:left="724"/>
      </w:pPr>
      <w:r>
        <w:rPr>
          <w:w w:val="95"/>
        </w:rPr>
        <w:t>Gamma-linolenic </w:t>
      </w:r>
      <w:r>
        <w:rPr/>
        <w:t>acid</w:t>
      </w:r>
    </w:p>
    <w:p>
      <w:pPr>
        <w:pStyle w:val="BodyText"/>
        <w:spacing w:before="102"/>
        <w:ind w:left="724"/>
      </w:pPr>
      <w:r>
        <w:rPr/>
        <w:br w:type="column"/>
      </w:r>
      <w:r>
        <w:rPr/>
        <w:t>12,800 mg/kg</w:t>
      </w:r>
    </w:p>
    <w:p>
      <w:pPr>
        <w:spacing w:after="0"/>
        <w:sectPr>
          <w:type w:val="continuous"/>
          <w:pgSz w:w="14270" w:h="16850"/>
          <w:pgMar w:top="1340" w:bottom="280" w:left="800" w:right="1280"/>
          <w:cols w:num="2" w:equalWidth="0">
            <w:col w:w="3277" w:space="50"/>
            <w:col w:w="8863"/>
          </w:cols>
        </w:sectPr>
      </w:pPr>
    </w:p>
    <w:p>
      <w:pPr>
        <w:pStyle w:val="BodyText"/>
        <w:tabs>
          <w:tab w:pos="4051" w:val="left" w:leader="none"/>
        </w:tabs>
        <w:spacing w:before="194"/>
        <w:ind w:left="724"/>
      </w:pPr>
      <w:r>
        <w:rPr/>
        <w:t>Linoleic</w:t>
      </w:r>
      <w:r>
        <w:rPr>
          <w:spacing w:val="-4"/>
        </w:rPr>
        <w:t> </w:t>
      </w:r>
      <w:r>
        <w:rPr/>
        <w:t>acid</w:t>
        <w:tab/>
        <w:t>9,000 mg/kg</w:t>
      </w:r>
    </w:p>
    <w:p>
      <w:pPr>
        <w:pStyle w:val="BodyText"/>
        <w:tabs>
          <w:tab w:pos="4051" w:val="left" w:leader="none"/>
        </w:tabs>
        <w:spacing w:line="276" w:lineRule="auto" w:before="264"/>
        <w:ind w:left="4051" w:right="6715" w:hanging="3327"/>
      </w:pPr>
      <w:r>
        <w:rPr/>
        <w:t>SOD</w:t>
      </w:r>
      <w:r>
        <w:rPr>
          <w:spacing w:val="-4"/>
        </w:rPr>
        <w:t> </w:t>
      </w:r>
      <w:r>
        <w:rPr/>
        <w:t>activity</w:t>
        <w:tab/>
        <w:t>1,100,000 IU/kg</w:t>
      </w:r>
    </w:p>
    <w:p>
      <w:pPr>
        <w:pStyle w:val="BodyText"/>
        <w:tabs>
          <w:tab w:pos="4051" w:val="left" w:leader="none"/>
        </w:tabs>
        <w:spacing w:before="200"/>
        <w:ind w:left="724"/>
      </w:pPr>
      <w:r>
        <w:rPr/>
        <w:t>Glycolipids</w:t>
        <w:tab/>
        <w:t>20,000</w:t>
      </w:r>
      <w:r>
        <w:rPr>
          <w:spacing w:val="-2"/>
        </w:rPr>
        <w:t> </w:t>
      </w:r>
      <w:r>
        <w:rPr/>
        <w:t>mg/kg</w:t>
      </w:r>
    </w:p>
    <w:p>
      <w:pPr>
        <w:pStyle w:val="BodyText"/>
        <w:tabs>
          <w:tab w:pos="4051" w:val="left" w:leader="none"/>
        </w:tabs>
        <w:spacing w:before="263"/>
        <w:ind w:left="724"/>
      </w:pPr>
      <w:r>
        <w:rPr/>
        <w:t>Sulpholipids</w:t>
        <w:tab/>
        <w:t>1,000</w:t>
      </w:r>
      <w:r>
        <w:rPr>
          <w:spacing w:val="-1"/>
        </w:rPr>
        <w:t> </w:t>
      </w:r>
      <w:r>
        <w:rPr/>
        <w:t>mg/kg</w:t>
      </w:r>
    </w:p>
    <w:p>
      <w:pPr>
        <w:pStyle w:val="BodyText"/>
        <w:tabs>
          <w:tab w:pos="4051" w:val="left" w:leader="none"/>
        </w:tabs>
        <w:spacing w:before="264"/>
        <w:ind w:left="724"/>
      </w:pPr>
      <w:r>
        <w:rPr/>
        <w:t>Polysaccharides</w:t>
        <w:tab/>
        <w:t>46,000</w:t>
      </w:r>
      <w:r>
        <w:rPr>
          <w:spacing w:val="-2"/>
        </w:rPr>
        <w:t> </w:t>
      </w:r>
      <w:r>
        <w:rPr/>
        <w:t>rag/kg</w:t>
      </w:r>
    </w:p>
    <w:p>
      <w:pPr>
        <w:pStyle w:val="Heading2"/>
        <w:spacing w:line="276" w:lineRule="auto" w:before="264"/>
        <w:ind w:left="1859" w:right="8597" w:hanging="879"/>
      </w:pPr>
      <w:r>
        <w:rPr/>
        <w:t>Essential amino acids</w:t>
      </w:r>
    </w:p>
    <w:p>
      <w:pPr>
        <w:pStyle w:val="BodyText"/>
        <w:spacing w:after="1"/>
        <w:rPr>
          <w:b/>
          <w:sz w:val="18"/>
        </w:rPr>
      </w:pPr>
    </w:p>
    <w:tbl>
      <w:tblPr>
        <w:tblW w:w="0" w:type="auto"/>
        <w:jc w:val="left"/>
        <w:tblInd w:w="6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60"/>
        <w:gridCol w:w="1714"/>
      </w:tblGrid>
      <w:tr>
        <w:trPr>
          <w:trHeight w:val="558" w:hRule="atLeast"/>
        </w:trPr>
        <w:tc>
          <w:tcPr>
            <w:tcW w:w="2560" w:type="dxa"/>
          </w:tcPr>
          <w:p>
            <w:pPr>
              <w:pStyle w:val="TableParagraph"/>
              <w:spacing w:line="427" w:lineRule="exact"/>
              <w:ind w:left="50"/>
              <w:rPr>
                <w:sz w:val="38"/>
              </w:rPr>
            </w:pPr>
            <w:r>
              <w:rPr>
                <w:sz w:val="38"/>
              </w:rPr>
              <w:t>Isoleucine</w:t>
            </w:r>
          </w:p>
        </w:tc>
        <w:tc>
          <w:tcPr>
            <w:tcW w:w="1714" w:type="dxa"/>
          </w:tcPr>
          <w:p>
            <w:pPr>
              <w:pStyle w:val="TableParagraph"/>
              <w:spacing w:line="427" w:lineRule="exact"/>
              <w:ind w:right="48"/>
              <w:jc w:val="right"/>
              <w:rPr>
                <w:sz w:val="38"/>
              </w:rPr>
            </w:pPr>
            <w:r>
              <w:rPr>
                <w:sz w:val="38"/>
              </w:rPr>
              <w:t>4.1 %</w:t>
            </w:r>
          </w:p>
        </w:tc>
      </w:tr>
      <w:tr>
        <w:trPr>
          <w:trHeight w:val="691" w:hRule="atLeast"/>
        </w:trPr>
        <w:tc>
          <w:tcPr>
            <w:tcW w:w="2560" w:type="dxa"/>
          </w:tcPr>
          <w:p>
            <w:pPr>
              <w:pStyle w:val="TableParagraph"/>
              <w:spacing w:before="131"/>
              <w:ind w:left="50"/>
              <w:rPr>
                <w:sz w:val="38"/>
              </w:rPr>
            </w:pPr>
            <w:r>
              <w:rPr>
                <w:sz w:val="38"/>
              </w:rPr>
              <w:t>Leucine</w:t>
            </w:r>
          </w:p>
        </w:tc>
        <w:tc>
          <w:tcPr>
            <w:tcW w:w="1714" w:type="dxa"/>
          </w:tcPr>
          <w:p>
            <w:pPr>
              <w:pStyle w:val="TableParagraph"/>
              <w:spacing w:before="131"/>
              <w:ind w:right="48"/>
              <w:jc w:val="right"/>
              <w:rPr>
                <w:sz w:val="38"/>
              </w:rPr>
            </w:pPr>
            <w:r>
              <w:rPr>
                <w:sz w:val="38"/>
              </w:rPr>
              <w:t>5.8 %</w:t>
            </w:r>
          </w:p>
        </w:tc>
      </w:tr>
      <w:tr>
        <w:trPr>
          <w:trHeight w:val="691" w:hRule="atLeast"/>
        </w:trPr>
        <w:tc>
          <w:tcPr>
            <w:tcW w:w="2560" w:type="dxa"/>
          </w:tcPr>
          <w:p>
            <w:pPr>
              <w:pStyle w:val="TableParagraph"/>
              <w:spacing w:before="131"/>
              <w:ind w:left="50"/>
              <w:rPr>
                <w:sz w:val="38"/>
              </w:rPr>
            </w:pPr>
            <w:r>
              <w:rPr>
                <w:sz w:val="38"/>
              </w:rPr>
              <w:t>Lysine</w:t>
            </w:r>
          </w:p>
        </w:tc>
        <w:tc>
          <w:tcPr>
            <w:tcW w:w="1714" w:type="dxa"/>
          </w:tcPr>
          <w:p>
            <w:pPr>
              <w:pStyle w:val="TableParagraph"/>
              <w:spacing w:before="131"/>
              <w:ind w:right="48"/>
              <w:jc w:val="right"/>
              <w:rPr>
                <w:sz w:val="38"/>
              </w:rPr>
            </w:pPr>
            <w:r>
              <w:rPr>
                <w:sz w:val="38"/>
              </w:rPr>
              <w:t>4.0 %</w:t>
            </w:r>
          </w:p>
        </w:tc>
      </w:tr>
      <w:tr>
        <w:trPr>
          <w:trHeight w:val="559" w:hRule="atLeast"/>
        </w:trPr>
        <w:tc>
          <w:tcPr>
            <w:tcW w:w="2560" w:type="dxa"/>
          </w:tcPr>
          <w:p>
            <w:pPr>
              <w:pStyle w:val="TableParagraph"/>
              <w:spacing w:line="407" w:lineRule="exact" w:before="132"/>
              <w:ind w:left="50"/>
              <w:rPr>
                <w:sz w:val="38"/>
              </w:rPr>
            </w:pPr>
            <w:r>
              <w:rPr>
                <w:sz w:val="38"/>
              </w:rPr>
              <w:t>Methionine</w:t>
            </w:r>
          </w:p>
        </w:tc>
        <w:tc>
          <w:tcPr>
            <w:tcW w:w="1714" w:type="dxa"/>
          </w:tcPr>
          <w:p>
            <w:pPr>
              <w:pStyle w:val="TableParagraph"/>
              <w:spacing w:line="407" w:lineRule="exact" w:before="132"/>
              <w:ind w:right="48"/>
              <w:jc w:val="right"/>
              <w:rPr>
                <w:sz w:val="38"/>
              </w:rPr>
            </w:pPr>
            <w:r>
              <w:rPr>
                <w:sz w:val="38"/>
              </w:rPr>
              <w:t>2.2 %</w:t>
            </w:r>
          </w:p>
        </w:tc>
      </w:tr>
    </w:tbl>
    <w:p>
      <w:pPr>
        <w:spacing w:after="0" w:line="407" w:lineRule="exact"/>
        <w:jc w:val="right"/>
        <w:rPr>
          <w:sz w:val="38"/>
        </w:rPr>
        <w:sectPr>
          <w:type w:val="continuous"/>
          <w:pgSz w:w="14270" w:h="16850"/>
          <w:pgMar w:top="1340" w:bottom="280" w:left="800" w:right="1280"/>
        </w:sectPr>
      </w:pPr>
    </w:p>
    <w:tbl>
      <w:tblPr>
        <w:tblW w:w="0" w:type="auto"/>
        <w:jc w:val="left"/>
        <w:tblInd w:w="6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38"/>
        <w:gridCol w:w="1535"/>
      </w:tblGrid>
      <w:tr>
        <w:trPr>
          <w:trHeight w:val="560" w:hRule="atLeast"/>
        </w:trPr>
        <w:tc>
          <w:tcPr>
            <w:tcW w:w="2738" w:type="dxa"/>
          </w:tcPr>
          <w:p>
            <w:pPr>
              <w:pStyle w:val="TableParagraph"/>
              <w:spacing w:line="422" w:lineRule="exact"/>
              <w:ind w:left="50"/>
              <w:rPr>
                <w:sz w:val="38"/>
              </w:rPr>
            </w:pPr>
            <w:r>
              <w:rPr>
                <w:sz w:val="38"/>
              </w:rPr>
              <w:t>Phenylalanine</w:t>
            </w:r>
          </w:p>
        </w:tc>
        <w:tc>
          <w:tcPr>
            <w:tcW w:w="1535" w:type="dxa"/>
          </w:tcPr>
          <w:p>
            <w:pPr>
              <w:pStyle w:val="TableParagraph"/>
              <w:spacing w:line="422" w:lineRule="exact"/>
              <w:ind w:right="47"/>
              <w:jc w:val="right"/>
              <w:rPr>
                <w:sz w:val="38"/>
              </w:rPr>
            </w:pPr>
            <w:r>
              <w:rPr>
                <w:sz w:val="38"/>
              </w:rPr>
              <w:t>4.0 %</w:t>
            </w:r>
          </w:p>
        </w:tc>
      </w:tr>
      <w:tr>
        <w:trPr>
          <w:trHeight w:val="692" w:hRule="atLeast"/>
        </w:trPr>
        <w:tc>
          <w:tcPr>
            <w:tcW w:w="2738" w:type="dxa"/>
          </w:tcPr>
          <w:p>
            <w:pPr>
              <w:pStyle w:val="TableParagraph"/>
              <w:spacing w:before="128"/>
              <w:ind w:left="50"/>
              <w:rPr>
                <w:sz w:val="38"/>
              </w:rPr>
            </w:pPr>
            <w:r>
              <w:rPr>
                <w:sz w:val="38"/>
              </w:rPr>
              <w:t>Threonine</w:t>
            </w:r>
          </w:p>
        </w:tc>
        <w:tc>
          <w:tcPr>
            <w:tcW w:w="1535" w:type="dxa"/>
          </w:tcPr>
          <w:p>
            <w:pPr>
              <w:pStyle w:val="TableParagraph"/>
              <w:spacing w:before="128"/>
              <w:ind w:right="47"/>
              <w:jc w:val="right"/>
              <w:rPr>
                <w:sz w:val="38"/>
              </w:rPr>
            </w:pPr>
            <w:r>
              <w:rPr>
                <w:sz w:val="38"/>
              </w:rPr>
              <w:t>4.1 %</w:t>
            </w:r>
          </w:p>
        </w:tc>
      </w:tr>
      <w:tr>
        <w:trPr>
          <w:trHeight w:val="691" w:hRule="atLeast"/>
        </w:trPr>
        <w:tc>
          <w:tcPr>
            <w:tcW w:w="2738" w:type="dxa"/>
          </w:tcPr>
          <w:p>
            <w:pPr>
              <w:pStyle w:val="TableParagraph"/>
              <w:spacing w:before="127"/>
              <w:ind w:left="50"/>
              <w:rPr>
                <w:sz w:val="38"/>
              </w:rPr>
            </w:pPr>
            <w:r>
              <w:rPr>
                <w:sz w:val="38"/>
              </w:rPr>
              <w:t>Tryptophan</w:t>
            </w:r>
          </w:p>
        </w:tc>
        <w:tc>
          <w:tcPr>
            <w:tcW w:w="1535" w:type="dxa"/>
          </w:tcPr>
          <w:p>
            <w:pPr>
              <w:pStyle w:val="TableParagraph"/>
              <w:spacing w:before="127"/>
              <w:ind w:right="47"/>
              <w:jc w:val="right"/>
              <w:rPr>
                <w:sz w:val="38"/>
              </w:rPr>
            </w:pPr>
            <w:r>
              <w:rPr>
                <w:sz w:val="38"/>
              </w:rPr>
              <w:t>1.1 %</w:t>
            </w:r>
          </w:p>
        </w:tc>
      </w:tr>
      <w:tr>
        <w:trPr>
          <w:trHeight w:val="558" w:hRule="atLeast"/>
        </w:trPr>
        <w:tc>
          <w:tcPr>
            <w:tcW w:w="2738" w:type="dxa"/>
          </w:tcPr>
          <w:p>
            <w:pPr>
              <w:pStyle w:val="TableParagraph"/>
              <w:spacing w:line="412" w:lineRule="exact" w:before="127"/>
              <w:ind w:left="50"/>
              <w:rPr>
                <w:sz w:val="38"/>
              </w:rPr>
            </w:pPr>
            <w:r>
              <w:rPr>
                <w:sz w:val="38"/>
              </w:rPr>
              <w:t>Valine</w:t>
            </w:r>
          </w:p>
        </w:tc>
        <w:tc>
          <w:tcPr>
            <w:tcW w:w="1535" w:type="dxa"/>
          </w:tcPr>
          <w:p>
            <w:pPr>
              <w:pStyle w:val="TableParagraph"/>
              <w:spacing w:line="412" w:lineRule="exact" w:before="127"/>
              <w:ind w:right="47"/>
              <w:jc w:val="right"/>
              <w:rPr>
                <w:sz w:val="38"/>
              </w:rPr>
            </w:pPr>
            <w:r>
              <w:rPr>
                <w:sz w:val="38"/>
              </w:rPr>
              <w:t>6.0 %</w:t>
            </w:r>
          </w:p>
        </w:tc>
      </w:tr>
      <w:tr>
        <w:trPr>
          <w:trHeight w:val="1315" w:hRule="atLeast"/>
        </w:trPr>
        <w:tc>
          <w:tcPr>
            <w:tcW w:w="2738" w:type="dxa"/>
          </w:tcPr>
          <w:p>
            <w:pPr>
              <w:pStyle w:val="TableParagraph"/>
              <w:spacing w:line="278" w:lineRule="auto" w:before="256"/>
              <w:ind w:left="628" w:hanging="82"/>
              <w:rPr>
                <w:b/>
                <w:sz w:val="38"/>
              </w:rPr>
            </w:pPr>
            <w:r>
              <w:rPr>
                <w:b/>
                <w:w w:val="95"/>
                <w:sz w:val="38"/>
              </w:rPr>
              <w:t>Nonessential </w:t>
            </w:r>
            <w:r>
              <w:rPr>
                <w:b/>
                <w:sz w:val="38"/>
              </w:rPr>
              <w:t>amino acids</w:t>
            </w:r>
          </w:p>
        </w:tc>
        <w:tc>
          <w:tcPr>
            <w:tcW w:w="1535" w:type="dxa"/>
          </w:tcPr>
          <w:p>
            <w:pPr>
              <w:pStyle w:val="TableParagraph"/>
              <w:rPr>
                <w:rFonts w:ascii="Times New Roman"/>
                <w:sz w:val="36"/>
              </w:rPr>
            </w:pPr>
          </w:p>
        </w:tc>
      </w:tr>
      <w:tr>
        <w:trPr>
          <w:trHeight w:val="691" w:hRule="atLeast"/>
        </w:trPr>
        <w:tc>
          <w:tcPr>
            <w:tcW w:w="2738" w:type="dxa"/>
          </w:tcPr>
          <w:p>
            <w:pPr>
              <w:pStyle w:val="TableParagraph"/>
              <w:spacing w:before="127"/>
              <w:ind w:left="50"/>
              <w:rPr>
                <w:sz w:val="38"/>
              </w:rPr>
            </w:pPr>
            <w:r>
              <w:rPr>
                <w:sz w:val="38"/>
              </w:rPr>
              <w:t>Alanine</w:t>
            </w:r>
          </w:p>
        </w:tc>
        <w:tc>
          <w:tcPr>
            <w:tcW w:w="1535" w:type="dxa"/>
          </w:tcPr>
          <w:p>
            <w:pPr>
              <w:pStyle w:val="TableParagraph"/>
              <w:spacing w:before="127"/>
              <w:ind w:right="47"/>
              <w:jc w:val="right"/>
              <w:rPr>
                <w:sz w:val="38"/>
              </w:rPr>
            </w:pPr>
            <w:r>
              <w:rPr>
                <w:sz w:val="38"/>
              </w:rPr>
              <w:t>5.8 %</w:t>
            </w:r>
          </w:p>
        </w:tc>
      </w:tr>
      <w:tr>
        <w:trPr>
          <w:trHeight w:val="692" w:hRule="atLeast"/>
        </w:trPr>
        <w:tc>
          <w:tcPr>
            <w:tcW w:w="2738" w:type="dxa"/>
          </w:tcPr>
          <w:p>
            <w:pPr>
              <w:pStyle w:val="TableParagraph"/>
              <w:spacing w:before="127"/>
              <w:ind w:left="50"/>
              <w:rPr>
                <w:sz w:val="38"/>
              </w:rPr>
            </w:pPr>
            <w:r>
              <w:rPr>
                <w:sz w:val="38"/>
              </w:rPr>
              <w:t>Arginine</w:t>
            </w:r>
          </w:p>
        </w:tc>
        <w:tc>
          <w:tcPr>
            <w:tcW w:w="1535" w:type="dxa"/>
          </w:tcPr>
          <w:p>
            <w:pPr>
              <w:pStyle w:val="TableParagraph"/>
              <w:spacing w:before="127"/>
              <w:ind w:right="47"/>
              <w:jc w:val="right"/>
              <w:rPr>
                <w:sz w:val="38"/>
              </w:rPr>
            </w:pPr>
            <w:r>
              <w:rPr>
                <w:sz w:val="38"/>
              </w:rPr>
              <w:t>6.0 %</w:t>
            </w:r>
          </w:p>
        </w:tc>
      </w:tr>
      <w:tr>
        <w:trPr>
          <w:trHeight w:val="692" w:hRule="atLeast"/>
        </w:trPr>
        <w:tc>
          <w:tcPr>
            <w:tcW w:w="2738" w:type="dxa"/>
          </w:tcPr>
          <w:p>
            <w:pPr>
              <w:pStyle w:val="TableParagraph"/>
              <w:spacing w:before="128"/>
              <w:ind w:left="50"/>
              <w:rPr>
                <w:sz w:val="38"/>
              </w:rPr>
            </w:pPr>
            <w:r>
              <w:rPr>
                <w:sz w:val="38"/>
              </w:rPr>
              <w:t>Aspartic acid</w:t>
            </w:r>
          </w:p>
        </w:tc>
        <w:tc>
          <w:tcPr>
            <w:tcW w:w="1535" w:type="dxa"/>
          </w:tcPr>
          <w:p>
            <w:pPr>
              <w:pStyle w:val="TableParagraph"/>
              <w:rPr>
                <w:rFonts w:ascii="Times New Roman"/>
                <w:sz w:val="36"/>
              </w:rPr>
            </w:pPr>
          </w:p>
        </w:tc>
      </w:tr>
      <w:tr>
        <w:trPr>
          <w:trHeight w:val="691" w:hRule="atLeast"/>
        </w:trPr>
        <w:tc>
          <w:tcPr>
            <w:tcW w:w="2738" w:type="dxa"/>
          </w:tcPr>
          <w:p>
            <w:pPr>
              <w:pStyle w:val="TableParagraph"/>
              <w:spacing w:before="127"/>
              <w:ind w:left="50"/>
              <w:rPr>
                <w:sz w:val="38"/>
              </w:rPr>
            </w:pPr>
            <w:r>
              <w:rPr>
                <w:sz w:val="38"/>
              </w:rPr>
              <w:t>Cystine</w:t>
            </w:r>
          </w:p>
        </w:tc>
        <w:tc>
          <w:tcPr>
            <w:tcW w:w="1535" w:type="dxa"/>
          </w:tcPr>
          <w:p>
            <w:pPr>
              <w:pStyle w:val="TableParagraph"/>
              <w:spacing w:before="127"/>
              <w:ind w:right="47"/>
              <w:jc w:val="right"/>
              <w:rPr>
                <w:sz w:val="38"/>
              </w:rPr>
            </w:pPr>
            <w:r>
              <w:rPr>
                <w:sz w:val="38"/>
              </w:rPr>
              <w:t>0.7 %</w:t>
            </w:r>
          </w:p>
        </w:tc>
      </w:tr>
      <w:tr>
        <w:trPr>
          <w:trHeight w:val="691" w:hRule="atLeast"/>
        </w:trPr>
        <w:tc>
          <w:tcPr>
            <w:tcW w:w="2738" w:type="dxa"/>
          </w:tcPr>
          <w:p>
            <w:pPr>
              <w:pStyle w:val="TableParagraph"/>
              <w:spacing w:before="127"/>
              <w:ind w:left="50"/>
              <w:rPr>
                <w:sz w:val="38"/>
              </w:rPr>
            </w:pPr>
            <w:r>
              <w:rPr>
                <w:sz w:val="38"/>
              </w:rPr>
              <w:t>Glutamic acid</w:t>
            </w:r>
          </w:p>
        </w:tc>
        <w:tc>
          <w:tcPr>
            <w:tcW w:w="1535" w:type="dxa"/>
          </w:tcPr>
          <w:p>
            <w:pPr>
              <w:pStyle w:val="TableParagraph"/>
              <w:spacing w:before="127"/>
              <w:ind w:right="47"/>
              <w:jc w:val="right"/>
              <w:rPr>
                <w:sz w:val="38"/>
              </w:rPr>
            </w:pPr>
            <w:r>
              <w:rPr>
                <w:sz w:val="38"/>
              </w:rPr>
              <w:t>8.9 %</w:t>
            </w:r>
          </w:p>
        </w:tc>
      </w:tr>
      <w:tr>
        <w:trPr>
          <w:trHeight w:val="691" w:hRule="atLeast"/>
        </w:trPr>
        <w:tc>
          <w:tcPr>
            <w:tcW w:w="2738" w:type="dxa"/>
          </w:tcPr>
          <w:p>
            <w:pPr>
              <w:pStyle w:val="TableParagraph"/>
              <w:spacing w:before="127"/>
              <w:ind w:left="50"/>
              <w:rPr>
                <w:sz w:val="38"/>
              </w:rPr>
            </w:pPr>
            <w:r>
              <w:rPr>
                <w:sz w:val="38"/>
              </w:rPr>
              <w:t>Glycine</w:t>
            </w:r>
          </w:p>
        </w:tc>
        <w:tc>
          <w:tcPr>
            <w:tcW w:w="1535" w:type="dxa"/>
          </w:tcPr>
          <w:p>
            <w:pPr>
              <w:pStyle w:val="TableParagraph"/>
              <w:spacing w:before="127"/>
              <w:ind w:right="47"/>
              <w:jc w:val="right"/>
              <w:rPr>
                <w:sz w:val="38"/>
              </w:rPr>
            </w:pPr>
            <w:r>
              <w:rPr>
                <w:sz w:val="38"/>
              </w:rPr>
              <w:t>3.5 %</w:t>
            </w:r>
          </w:p>
        </w:tc>
      </w:tr>
      <w:tr>
        <w:trPr>
          <w:trHeight w:val="691" w:hRule="atLeast"/>
        </w:trPr>
        <w:tc>
          <w:tcPr>
            <w:tcW w:w="2738" w:type="dxa"/>
          </w:tcPr>
          <w:p>
            <w:pPr>
              <w:pStyle w:val="TableParagraph"/>
              <w:spacing w:before="127"/>
              <w:ind w:left="50"/>
              <w:rPr>
                <w:sz w:val="38"/>
              </w:rPr>
            </w:pPr>
            <w:r>
              <w:rPr>
                <w:sz w:val="38"/>
              </w:rPr>
              <w:t>Histidine</w:t>
            </w:r>
          </w:p>
        </w:tc>
        <w:tc>
          <w:tcPr>
            <w:tcW w:w="1535" w:type="dxa"/>
          </w:tcPr>
          <w:p>
            <w:pPr>
              <w:pStyle w:val="TableParagraph"/>
              <w:spacing w:before="127"/>
              <w:ind w:right="47"/>
              <w:jc w:val="right"/>
              <w:rPr>
                <w:sz w:val="38"/>
              </w:rPr>
            </w:pPr>
            <w:r>
              <w:rPr>
                <w:sz w:val="38"/>
              </w:rPr>
              <w:t>1.1 %</w:t>
            </w:r>
          </w:p>
        </w:tc>
      </w:tr>
      <w:tr>
        <w:trPr>
          <w:trHeight w:val="692" w:hRule="atLeast"/>
        </w:trPr>
        <w:tc>
          <w:tcPr>
            <w:tcW w:w="2738" w:type="dxa"/>
          </w:tcPr>
          <w:p>
            <w:pPr>
              <w:pStyle w:val="TableParagraph"/>
              <w:spacing w:before="127"/>
              <w:ind w:left="50"/>
              <w:rPr>
                <w:sz w:val="38"/>
              </w:rPr>
            </w:pPr>
            <w:r>
              <w:rPr>
                <w:sz w:val="38"/>
              </w:rPr>
              <w:t>Proline</w:t>
            </w:r>
          </w:p>
        </w:tc>
        <w:tc>
          <w:tcPr>
            <w:tcW w:w="1535" w:type="dxa"/>
          </w:tcPr>
          <w:p>
            <w:pPr>
              <w:pStyle w:val="TableParagraph"/>
              <w:spacing w:before="127"/>
              <w:ind w:right="47"/>
              <w:jc w:val="right"/>
              <w:rPr>
                <w:sz w:val="38"/>
              </w:rPr>
            </w:pPr>
            <w:r>
              <w:rPr>
                <w:sz w:val="38"/>
              </w:rPr>
              <w:t>3.0 %</w:t>
            </w:r>
          </w:p>
        </w:tc>
      </w:tr>
      <w:tr>
        <w:trPr>
          <w:trHeight w:val="692" w:hRule="atLeast"/>
        </w:trPr>
        <w:tc>
          <w:tcPr>
            <w:tcW w:w="2738" w:type="dxa"/>
          </w:tcPr>
          <w:p>
            <w:pPr>
              <w:pStyle w:val="TableParagraph"/>
              <w:spacing w:before="128"/>
              <w:ind w:left="50"/>
              <w:rPr>
                <w:sz w:val="38"/>
              </w:rPr>
            </w:pPr>
            <w:r>
              <w:rPr>
                <w:sz w:val="38"/>
              </w:rPr>
              <w:t>Serine</w:t>
            </w:r>
          </w:p>
        </w:tc>
        <w:tc>
          <w:tcPr>
            <w:tcW w:w="1535" w:type="dxa"/>
          </w:tcPr>
          <w:p>
            <w:pPr>
              <w:pStyle w:val="TableParagraph"/>
              <w:spacing w:before="128"/>
              <w:ind w:right="47"/>
              <w:jc w:val="right"/>
              <w:rPr>
                <w:sz w:val="38"/>
              </w:rPr>
            </w:pPr>
            <w:r>
              <w:rPr>
                <w:sz w:val="38"/>
              </w:rPr>
              <w:t>4.0 %</w:t>
            </w:r>
          </w:p>
        </w:tc>
      </w:tr>
      <w:tr>
        <w:trPr>
          <w:trHeight w:val="558" w:hRule="atLeast"/>
        </w:trPr>
        <w:tc>
          <w:tcPr>
            <w:tcW w:w="2738" w:type="dxa"/>
          </w:tcPr>
          <w:p>
            <w:pPr>
              <w:pStyle w:val="TableParagraph"/>
              <w:spacing w:line="412" w:lineRule="exact" w:before="127"/>
              <w:ind w:left="50"/>
              <w:rPr>
                <w:sz w:val="38"/>
              </w:rPr>
            </w:pPr>
            <w:r>
              <w:rPr>
                <w:sz w:val="38"/>
              </w:rPr>
              <w:t>Tyrosine</w:t>
            </w:r>
          </w:p>
        </w:tc>
        <w:tc>
          <w:tcPr>
            <w:tcW w:w="1535" w:type="dxa"/>
          </w:tcPr>
          <w:p>
            <w:pPr>
              <w:pStyle w:val="TableParagraph"/>
              <w:spacing w:line="412" w:lineRule="exact" w:before="127"/>
              <w:ind w:right="47"/>
              <w:jc w:val="right"/>
              <w:rPr>
                <w:sz w:val="38"/>
              </w:rPr>
            </w:pPr>
            <w:r>
              <w:rPr>
                <w:sz w:val="38"/>
              </w:rPr>
              <w:t>4.6 %</w:t>
            </w:r>
          </w:p>
        </w:tc>
      </w:tr>
    </w:tbl>
    <w:p>
      <w:pPr>
        <w:pStyle w:val="BodyText"/>
        <w:spacing w:before="2"/>
        <w:rPr>
          <w:b/>
          <w:sz w:val="14"/>
        </w:rPr>
      </w:pPr>
    </w:p>
    <w:p>
      <w:pPr>
        <w:spacing w:before="100"/>
        <w:ind w:left="616" w:right="0" w:firstLine="0"/>
        <w:jc w:val="left"/>
        <w:rPr>
          <w:sz w:val="38"/>
        </w:rPr>
      </w:pPr>
      <w:r>
        <w:rPr>
          <w:b/>
          <w:sz w:val="38"/>
        </w:rPr>
        <w:t>Source: </w:t>
      </w:r>
      <w:r>
        <w:rPr>
          <w:sz w:val="38"/>
        </w:rPr>
        <w:t>Wolframkober.de</w:t>
      </w:r>
    </w:p>
    <w:p>
      <w:pPr>
        <w:spacing w:after="0"/>
        <w:jc w:val="left"/>
        <w:rPr>
          <w:sz w:val="38"/>
        </w:rPr>
        <w:sectPr>
          <w:pgSz w:w="14270" w:h="16850"/>
          <w:pgMar w:header="0" w:footer="1891" w:top="1420" w:bottom="2080" w:left="800" w:right="1280"/>
        </w:sectPr>
      </w:pPr>
    </w:p>
    <w:p>
      <w:pPr>
        <w:pStyle w:val="Heading2"/>
        <w:spacing w:before="74"/>
        <w:ind w:left="616"/>
      </w:pPr>
      <w:r>
        <w:rPr/>
        <w:t>Spirulina platensis – what it works against, and how</w:t>
      </w:r>
    </w:p>
    <w:p>
      <w:pPr>
        <w:pStyle w:val="BodyText"/>
        <w:spacing w:line="276" w:lineRule="auto" w:before="305"/>
        <w:ind w:left="616" w:right="145"/>
        <w:jc w:val="both"/>
      </w:pPr>
      <w:r>
        <w:rPr/>
        <w:t>The spirulina algae is a veritable nutrient bomb, because just a few grams of it can counteract deficiency symptoms, even if food intake is severely restricted.</w:t>
      </w:r>
    </w:p>
    <w:p>
      <w:pPr>
        <w:pStyle w:val="BodyText"/>
        <w:spacing w:line="276" w:lineRule="auto" w:before="238"/>
        <w:ind w:left="616" w:right="135"/>
        <w:jc w:val="both"/>
      </w:pPr>
      <w:r>
        <w:rPr/>
        <w:t>This fact is related to a remarkable nutrient density, a considerable amount of compressed nutrients in the smallest of spaces, created over 3.5 billion years of</w:t>
      </w:r>
      <w:r>
        <w:rPr>
          <w:spacing w:val="-9"/>
        </w:rPr>
        <w:t> </w:t>
      </w:r>
      <w:r>
        <w:rPr/>
        <w:t>evolution!</w:t>
      </w:r>
      <w:r>
        <w:rPr>
          <w:spacing w:val="-7"/>
        </w:rPr>
        <w:t> </w:t>
      </w:r>
      <w:r>
        <w:rPr/>
        <w:t>In</w:t>
      </w:r>
      <w:r>
        <w:rPr>
          <w:spacing w:val="-9"/>
        </w:rPr>
        <w:t> </w:t>
      </w:r>
      <w:r>
        <w:rPr/>
        <w:t>total,</w:t>
      </w:r>
      <w:r>
        <w:rPr>
          <w:spacing w:val="-8"/>
        </w:rPr>
        <w:t> </w:t>
      </w:r>
      <w:r>
        <w:rPr/>
        <w:t>there</w:t>
      </w:r>
      <w:r>
        <w:rPr>
          <w:spacing w:val="-9"/>
        </w:rPr>
        <w:t> </w:t>
      </w:r>
      <w:r>
        <w:rPr/>
        <w:t>are</w:t>
      </w:r>
      <w:r>
        <w:rPr>
          <w:spacing w:val="-8"/>
        </w:rPr>
        <w:t> </w:t>
      </w:r>
      <w:r>
        <w:rPr/>
        <w:t>2,075</w:t>
      </w:r>
      <w:r>
        <w:rPr>
          <w:spacing w:val="-10"/>
        </w:rPr>
        <w:t> </w:t>
      </w:r>
      <w:r>
        <w:rPr/>
        <w:t>active</w:t>
      </w:r>
      <w:r>
        <w:rPr>
          <w:spacing w:val="-10"/>
        </w:rPr>
        <w:t> </w:t>
      </w:r>
      <w:r>
        <w:rPr/>
        <w:t>ingredients</w:t>
      </w:r>
      <w:r>
        <w:rPr>
          <w:spacing w:val="-9"/>
        </w:rPr>
        <w:t> </w:t>
      </w:r>
      <w:r>
        <w:rPr/>
        <w:t>(2,000</w:t>
      </w:r>
      <w:r>
        <w:rPr>
          <w:spacing w:val="-9"/>
        </w:rPr>
        <w:t> </w:t>
      </w:r>
      <w:r>
        <w:rPr/>
        <w:t>enzymes</w:t>
      </w:r>
      <w:r>
        <w:rPr>
          <w:spacing w:val="-8"/>
        </w:rPr>
        <w:t> </w:t>
      </w:r>
      <w:r>
        <w:rPr/>
        <w:t>and</w:t>
      </w:r>
      <w:r>
        <w:rPr>
          <w:spacing w:val="-8"/>
        </w:rPr>
        <w:t> </w:t>
      </w:r>
      <w:r>
        <w:rPr/>
        <w:t>75 nutrients) that spirulina may call its own; it contains all but one of the sub- stances that humans fundamentally need to maintain their</w:t>
      </w:r>
      <w:r>
        <w:rPr>
          <w:spacing w:val="-2"/>
        </w:rPr>
        <w:t> </w:t>
      </w:r>
      <w:r>
        <w:rPr/>
        <w:t>health.</w:t>
      </w:r>
    </w:p>
    <w:p>
      <w:pPr>
        <w:pStyle w:val="BodyText"/>
        <w:spacing w:line="276" w:lineRule="auto" w:before="243"/>
        <w:ind w:left="616" w:right="131"/>
        <w:jc w:val="both"/>
      </w:pPr>
      <w:r>
        <w:rPr/>
        <w:t>Due to the outstanding number and concentration of nutrients (see 'Ingredi- ents'),</w:t>
      </w:r>
      <w:r>
        <w:rPr>
          <w:spacing w:val="-6"/>
        </w:rPr>
        <w:t> </w:t>
      </w:r>
      <w:r>
        <w:rPr/>
        <w:t>the</w:t>
      </w:r>
      <w:r>
        <w:rPr>
          <w:spacing w:val="-5"/>
        </w:rPr>
        <w:t> </w:t>
      </w:r>
      <w:r>
        <w:rPr/>
        <w:t>effect</w:t>
      </w:r>
      <w:r>
        <w:rPr>
          <w:spacing w:val="-6"/>
        </w:rPr>
        <w:t> </w:t>
      </w:r>
      <w:r>
        <w:rPr/>
        <w:t>of</w:t>
      </w:r>
      <w:r>
        <w:rPr>
          <w:spacing w:val="-7"/>
        </w:rPr>
        <w:t> </w:t>
      </w:r>
      <w:r>
        <w:rPr/>
        <w:t>the</w:t>
      </w:r>
      <w:r>
        <w:rPr>
          <w:spacing w:val="-5"/>
        </w:rPr>
        <w:t> </w:t>
      </w:r>
      <w:r>
        <w:rPr/>
        <w:t>spirulina</w:t>
      </w:r>
      <w:r>
        <w:rPr>
          <w:spacing w:val="-3"/>
        </w:rPr>
        <w:t> </w:t>
      </w:r>
      <w:r>
        <w:rPr/>
        <w:t>algae</w:t>
      </w:r>
      <w:r>
        <w:rPr>
          <w:spacing w:val="-7"/>
        </w:rPr>
        <w:t> </w:t>
      </w:r>
      <w:r>
        <w:rPr/>
        <w:t>is</w:t>
      </w:r>
      <w:r>
        <w:rPr>
          <w:spacing w:val="-6"/>
        </w:rPr>
        <w:t> </w:t>
      </w:r>
      <w:r>
        <w:rPr/>
        <w:t>expected</w:t>
      </w:r>
      <w:r>
        <w:rPr>
          <w:spacing w:val="-3"/>
        </w:rPr>
        <w:t> </w:t>
      </w:r>
      <w:r>
        <w:rPr/>
        <w:t>to</w:t>
      </w:r>
      <w:r>
        <w:rPr>
          <w:spacing w:val="-6"/>
        </w:rPr>
        <w:t> </w:t>
      </w:r>
      <w:r>
        <w:rPr/>
        <w:t>be</w:t>
      </w:r>
      <w:r>
        <w:rPr>
          <w:spacing w:val="-5"/>
        </w:rPr>
        <w:t> </w:t>
      </w:r>
      <w:r>
        <w:rPr/>
        <w:t>very</w:t>
      </w:r>
      <w:r>
        <w:rPr>
          <w:spacing w:val="-5"/>
        </w:rPr>
        <w:t> </w:t>
      </w:r>
      <w:r>
        <w:rPr/>
        <w:t>broad.</w:t>
      </w:r>
      <w:r>
        <w:rPr>
          <w:spacing w:val="-6"/>
        </w:rPr>
        <w:t> </w:t>
      </w:r>
      <w:r>
        <w:rPr/>
        <w:t>But</w:t>
      </w:r>
      <w:r>
        <w:rPr>
          <w:spacing w:val="-6"/>
        </w:rPr>
        <w:t> </w:t>
      </w:r>
      <w:r>
        <w:rPr/>
        <w:t>before we look more closely at the effect, we first clarify the mode of action – that</w:t>
      </w:r>
      <w:r>
        <w:rPr>
          <w:spacing w:val="-44"/>
        </w:rPr>
        <w:t> </w:t>
      </w:r>
      <w:r>
        <w:rPr/>
        <w:t>is, the reasons why spirulina platensis works as well as it</w:t>
      </w:r>
      <w:r>
        <w:rPr>
          <w:spacing w:val="-3"/>
        </w:rPr>
        <w:t> </w:t>
      </w:r>
      <w:r>
        <w:rPr/>
        <w:t>does.</w:t>
      </w:r>
    </w:p>
    <w:p>
      <w:pPr>
        <w:pStyle w:val="BodyText"/>
        <w:spacing w:line="276" w:lineRule="auto" w:before="239"/>
        <w:ind w:left="616" w:right="138"/>
        <w:jc w:val="both"/>
      </w:pPr>
      <w:r>
        <w:rPr/>
        <w:t>Of course, it's the optimal combination of perfectly balanced ingredients that make spirulina a masterful, natural active ingredient.</w:t>
      </w:r>
    </w:p>
    <w:p>
      <w:pPr>
        <w:pStyle w:val="BodyText"/>
        <w:spacing w:line="276" w:lineRule="auto" w:before="241"/>
        <w:ind w:left="616" w:right="133"/>
        <w:jc w:val="both"/>
      </w:pPr>
      <w:r>
        <w:rPr/>
        <w:t>In dry form, spirulina consists of up to 65-71 % of protein and is impressive not least because of its almost complete amino acid profile, consisting of all eight essential and ten nonessential amino acids. These include the essential amino acids leucine, isoleucine, lysine, phenylalanine, methionine, tryptophan, threonine</w:t>
      </w:r>
      <w:r>
        <w:rPr>
          <w:spacing w:val="-20"/>
        </w:rPr>
        <w:t> </w:t>
      </w:r>
      <w:r>
        <w:rPr/>
        <w:t>and</w:t>
      </w:r>
      <w:r>
        <w:rPr>
          <w:spacing w:val="-20"/>
        </w:rPr>
        <w:t> </w:t>
      </w:r>
      <w:r>
        <w:rPr/>
        <w:t>valine,</w:t>
      </w:r>
      <w:r>
        <w:rPr>
          <w:spacing w:val="-19"/>
        </w:rPr>
        <w:t> </w:t>
      </w:r>
      <w:r>
        <w:rPr/>
        <w:t>on</w:t>
      </w:r>
      <w:r>
        <w:rPr>
          <w:spacing w:val="-19"/>
        </w:rPr>
        <w:t> </w:t>
      </w:r>
      <w:r>
        <w:rPr/>
        <w:t>the</w:t>
      </w:r>
      <w:r>
        <w:rPr>
          <w:spacing w:val="-19"/>
        </w:rPr>
        <w:t> </w:t>
      </w:r>
      <w:r>
        <w:rPr/>
        <w:t>nonessential</w:t>
      </w:r>
      <w:r>
        <w:rPr>
          <w:spacing w:val="-22"/>
        </w:rPr>
        <w:t> </w:t>
      </w:r>
      <w:r>
        <w:rPr/>
        <w:t>side,</w:t>
      </w:r>
      <w:r>
        <w:rPr>
          <w:spacing w:val="-19"/>
        </w:rPr>
        <w:t> </w:t>
      </w:r>
      <w:r>
        <w:rPr/>
        <w:t>cysteine,</w:t>
      </w:r>
      <w:r>
        <w:rPr>
          <w:spacing w:val="-20"/>
        </w:rPr>
        <w:t> </w:t>
      </w:r>
      <w:r>
        <w:rPr/>
        <w:t>arginine,</w:t>
      </w:r>
      <w:r>
        <w:rPr>
          <w:spacing w:val="-19"/>
        </w:rPr>
        <w:t> </w:t>
      </w:r>
      <w:r>
        <w:rPr/>
        <w:t>glutamic</w:t>
      </w:r>
      <w:r>
        <w:rPr>
          <w:spacing w:val="-18"/>
        </w:rPr>
        <w:t> </w:t>
      </w:r>
      <w:r>
        <w:rPr/>
        <w:t>acid, alanine,</w:t>
      </w:r>
      <w:r>
        <w:rPr>
          <w:spacing w:val="-23"/>
        </w:rPr>
        <w:t> </w:t>
      </w:r>
      <w:r>
        <w:rPr/>
        <w:t>histidine,</w:t>
      </w:r>
      <w:r>
        <w:rPr>
          <w:spacing w:val="-23"/>
        </w:rPr>
        <w:t> </w:t>
      </w:r>
      <w:r>
        <w:rPr/>
        <w:t>serine,</w:t>
      </w:r>
      <w:r>
        <w:rPr>
          <w:spacing w:val="-23"/>
        </w:rPr>
        <w:t> </w:t>
      </w:r>
      <w:r>
        <w:rPr/>
        <w:t>proline,</w:t>
      </w:r>
      <w:r>
        <w:rPr>
          <w:spacing w:val="-25"/>
        </w:rPr>
        <w:t> </w:t>
      </w:r>
      <w:r>
        <w:rPr/>
        <w:t>glycine</w:t>
      </w:r>
      <w:r>
        <w:rPr>
          <w:spacing w:val="-23"/>
        </w:rPr>
        <w:t> </w:t>
      </w:r>
      <w:r>
        <w:rPr/>
        <w:t>and</w:t>
      </w:r>
      <w:r>
        <w:rPr>
          <w:spacing w:val="-23"/>
        </w:rPr>
        <w:t> </w:t>
      </w:r>
      <w:r>
        <w:rPr/>
        <w:t>aspartic</w:t>
      </w:r>
      <w:r>
        <w:rPr>
          <w:spacing w:val="-23"/>
        </w:rPr>
        <w:t> </w:t>
      </w:r>
      <w:r>
        <w:rPr/>
        <w:t>acid.</w:t>
      </w:r>
      <w:r>
        <w:rPr>
          <w:spacing w:val="-23"/>
        </w:rPr>
        <w:t> </w:t>
      </w:r>
      <w:r>
        <w:rPr/>
        <w:t>Our</w:t>
      </w:r>
      <w:r>
        <w:rPr>
          <w:spacing w:val="-23"/>
        </w:rPr>
        <w:t> </w:t>
      </w:r>
      <w:r>
        <w:rPr/>
        <w:t>organism</w:t>
      </w:r>
      <w:r>
        <w:rPr>
          <w:spacing w:val="-23"/>
        </w:rPr>
        <w:t> </w:t>
      </w:r>
      <w:r>
        <w:rPr/>
        <w:t>needs these components of protein to build our cells, maintain our immune system and produce hormones and enzymes. The amino acids, however, have</w:t>
      </w:r>
      <w:r>
        <w:rPr>
          <w:spacing w:val="88"/>
        </w:rPr>
        <w:t> </w:t>
      </w:r>
      <w:r>
        <w:rPr/>
        <w:t>other,</w:t>
      </w:r>
    </w:p>
    <w:p>
      <w:pPr>
        <w:spacing w:after="0" w:line="276" w:lineRule="auto"/>
        <w:jc w:val="both"/>
        <w:sectPr>
          <w:pgSz w:w="14270" w:h="16850"/>
          <w:pgMar w:header="0" w:footer="1891" w:top="1340" w:bottom="2080" w:left="800" w:right="1280"/>
        </w:sectPr>
      </w:pPr>
    </w:p>
    <w:p>
      <w:pPr>
        <w:spacing w:line="405" w:lineRule="auto" w:before="74"/>
        <w:ind w:left="616" w:right="5961" w:firstLine="0"/>
        <w:jc w:val="left"/>
        <w:rPr>
          <w:b/>
          <w:i/>
          <w:sz w:val="40"/>
        </w:rPr>
      </w:pPr>
      <w:r>
        <w:rPr>
          <w:sz w:val="38"/>
        </w:rPr>
        <w:t>often misunderstood functions. </w:t>
      </w:r>
      <w:r>
        <w:rPr>
          <w:b/>
          <w:sz w:val="38"/>
        </w:rPr>
        <w:t>Effect of the individual ingredients </w:t>
      </w:r>
      <w:r>
        <w:rPr>
          <w:b/>
          <w:i/>
          <w:sz w:val="40"/>
        </w:rPr>
        <w:t>Essential amino acids</w:t>
      </w:r>
    </w:p>
    <w:p>
      <w:pPr>
        <w:pStyle w:val="Heading1"/>
        <w:spacing w:line="421" w:lineRule="exact" w:before="0"/>
        <w:ind w:left="616"/>
      </w:pPr>
      <w:r>
        <w:rPr/>
        <w:t>Effect of leucine</w:t>
      </w:r>
    </w:p>
    <w:p>
      <w:pPr>
        <w:pStyle w:val="BodyText"/>
        <w:spacing w:before="299"/>
        <w:ind w:left="616"/>
      </w:pPr>
      <w:r>
        <w:rPr/>
        <w:t>Leucine</w:t>
      </w:r>
      <w:r>
        <w:rPr>
          <w:spacing w:val="-18"/>
        </w:rPr>
        <w:t> </w:t>
      </w:r>
      <w:r>
        <w:rPr/>
        <w:t>is</w:t>
      </w:r>
      <w:r>
        <w:rPr>
          <w:spacing w:val="-19"/>
        </w:rPr>
        <w:t> </w:t>
      </w:r>
      <w:r>
        <w:rPr/>
        <w:t>responsible</w:t>
      </w:r>
      <w:r>
        <w:rPr>
          <w:spacing w:val="-19"/>
        </w:rPr>
        <w:t> </w:t>
      </w:r>
      <w:r>
        <w:rPr/>
        <w:t>for</w:t>
      </w:r>
      <w:r>
        <w:rPr>
          <w:spacing w:val="-18"/>
        </w:rPr>
        <w:t> </w:t>
      </w:r>
      <w:r>
        <w:rPr/>
        <w:t>energy</w:t>
      </w:r>
      <w:r>
        <w:rPr>
          <w:spacing w:val="-21"/>
        </w:rPr>
        <w:t> </w:t>
      </w:r>
      <w:r>
        <w:rPr/>
        <w:t>metabolism</w:t>
      </w:r>
      <w:r>
        <w:rPr>
          <w:spacing w:val="-18"/>
        </w:rPr>
        <w:t> </w:t>
      </w:r>
      <w:r>
        <w:rPr/>
        <w:t>within</w:t>
      </w:r>
      <w:r>
        <w:rPr>
          <w:spacing w:val="-18"/>
        </w:rPr>
        <w:t> </w:t>
      </w:r>
      <w:r>
        <w:rPr/>
        <w:t>the</w:t>
      </w:r>
      <w:r>
        <w:rPr>
          <w:spacing w:val="-18"/>
        </w:rPr>
        <w:t> </w:t>
      </w:r>
      <w:r>
        <w:rPr/>
        <w:t>muscles</w:t>
      </w:r>
      <w:r>
        <w:rPr>
          <w:spacing w:val="-20"/>
        </w:rPr>
        <w:t> </w:t>
      </w:r>
      <w:r>
        <w:rPr/>
        <w:t>and</w:t>
      </w:r>
      <w:r>
        <w:rPr>
          <w:spacing w:val="-19"/>
        </w:rPr>
        <w:t> </w:t>
      </w:r>
      <w:r>
        <w:rPr/>
        <w:t>the</w:t>
      </w:r>
      <w:r>
        <w:rPr>
          <w:spacing w:val="-14"/>
        </w:rPr>
        <w:t> </w:t>
      </w:r>
      <w:r>
        <w:rPr/>
        <w:t>brain.</w:t>
      </w:r>
    </w:p>
    <w:p>
      <w:pPr>
        <w:pStyle w:val="Heading1"/>
        <w:spacing w:before="288"/>
        <w:ind w:left="616"/>
      </w:pPr>
      <w:r>
        <w:rPr/>
        <w:t>Effect of isoleucine</w:t>
      </w:r>
    </w:p>
    <w:p>
      <w:pPr>
        <w:pStyle w:val="BodyText"/>
        <w:spacing w:line="276" w:lineRule="auto" w:before="300"/>
        <w:ind w:left="616"/>
      </w:pPr>
      <w:r>
        <w:rPr/>
        <w:t>Among other things, isoleucine is responsible for the maturation of our cells, the growth and development of mental intelligence.</w:t>
      </w:r>
    </w:p>
    <w:p>
      <w:pPr>
        <w:pStyle w:val="Heading1"/>
        <w:spacing w:before="223"/>
        <w:ind w:left="616"/>
      </w:pPr>
      <w:r>
        <w:rPr/>
        <w:t>Effect of lysine</w:t>
      </w:r>
    </w:p>
    <w:p>
      <w:pPr>
        <w:pStyle w:val="BodyText"/>
        <w:spacing w:line="276" w:lineRule="auto" w:before="297"/>
        <w:ind w:left="616" w:right="135"/>
        <w:jc w:val="both"/>
      </w:pPr>
      <w:r>
        <w:rPr/>
        <w:t>Plays</w:t>
      </w:r>
      <w:r>
        <w:rPr>
          <w:spacing w:val="-7"/>
        </w:rPr>
        <w:t> </w:t>
      </w:r>
      <w:r>
        <w:rPr/>
        <w:t>an</w:t>
      </w:r>
      <w:r>
        <w:rPr>
          <w:spacing w:val="-7"/>
        </w:rPr>
        <w:t> </w:t>
      </w:r>
      <w:r>
        <w:rPr/>
        <w:t>important</w:t>
      </w:r>
      <w:r>
        <w:rPr>
          <w:spacing w:val="-8"/>
        </w:rPr>
        <w:t> </w:t>
      </w:r>
      <w:r>
        <w:rPr/>
        <w:t>role</w:t>
      </w:r>
      <w:r>
        <w:rPr>
          <w:spacing w:val="-10"/>
        </w:rPr>
        <w:t> </w:t>
      </w:r>
      <w:r>
        <w:rPr/>
        <w:t>in</w:t>
      </w:r>
      <w:r>
        <w:rPr>
          <w:spacing w:val="-9"/>
        </w:rPr>
        <w:t> </w:t>
      </w:r>
      <w:r>
        <w:rPr/>
        <w:t>our</w:t>
      </w:r>
      <w:r>
        <w:rPr>
          <w:spacing w:val="-8"/>
        </w:rPr>
        <w:t> </w:t>
      </w:r>
      <w:r>
        <w:rPr/>
        <w:t>immune</w:t>
      </w:r>
      <w:r>
        <w:rPr>
          <w:spacing w:val="-7"/>
        </w:rPr>
        <w:t> </w:t>
      </w:r>
      <w:r>
        <w:rPr/>
        <w:t>system</w:t>
      </w:r>
      <w:r>
        <w:rPr>
          <w:spacing w:val="-10"/>
        </w:rPr>
        <w:t> </w:t>
      </w:r>
      <w:r>
        <w:rPr/>
        <w:t>as</w:t>
      </w:r>
      <w:r>
        <w:rPr>
          <w:spacing w:val="-10"/>
        </w:rPr>
        <w:t> </w:t>
      </w:r>
      <w:r>
        <w:rPr/>
        <w:t>a</w:t>
      </w:r>
      <w:r>
        <w:rPr>
          <w:spacing w:val="-8"/>
        </w:rPr>
        <w:t> </w:t>
      </w:r>
      <w:r>
        <w:rPr/>
        <w:t>building</w:t>
      </w:r>
      <w:r>
        <w:rPr>
          <w:spacing w:val="-7"/>
        </w:rPr>
        <w:t> </w:t>
      </w:r>
      <w:r>
        <w:rPr/>
        <w:t>block</w:t>
      </w:r>
      <w:r>
        <w:rPr>
          <w:spacing w:val="-9"/>
        </w:rPr>
        <w:t> </w:t>
      </w:r>
      <w:r>
        <w:rPr/>
        <w:t>for</w:t>
      </w:r>
      <w:r>
        <w:rPr>
          <w:spacing w:val="-5"/>
        </w:rPr>
        <w:t> </w:t>
      </w:r>
      <w:r>
        <w:rPr/>
        <w:t>antibod- ies.</w:t>
      </w:r>
      <w:r>
        <w:rPr>
          <w:spacing w:val="-8"/>
        </w:rPr>
        <w:t> </w:t>
      </w:r>
      <w:r>
        <w:rPr/>
        <w:t>Furthermore,</w:t>
      </w:r>
      <w:r>
        <w:rPr>
          <w:spacing w:val="-8"/>
        </w:rPr>
        <w:t> </w:t>
      </w:r>
      <w:r>
        <w:rPr/>
        <w:t>it</w:t>
      </w:r>
      <w:r>
        <w:rPr>
          <w:spacing w:val="-10"/>
        </w:rPr>
        <w:t> </w:t>
      </w:r>
      <w:r>
        <w:rPr/>
        <w:t>is</w:t>
      </w:r>
      <w:r>
        <w:rPr>
          <w:spacing w:val="-9"/>
        </w:rPr>
        <w:t> </w:t>
      </w:r>
      <w:r>
        <w:rPr/>
        <w:t>critically</w:t>
      </w:r>
      <w:r>
        <w:rPr>
          <w:spacing w:val="-10"/>
        </w:rPr>
        <w:t> </w:t>
      </w:r>
      <w:r>
        <w:rPr/>
        <w:t>important</w:t>
      </w:r>
      <w:r>
        <w:rPr>
          <w:spacing w:val="-9"/>
        </w:rPr>
        <w:t> </w:t>
      </w:r>
      <w:r>
        <w:rPr/>
        <w:t>for</w:t>
      </w:r>
      <w:r>
        <w:rPr>
          <w:spacing w:val="-8"/>
        </w:rPr>
        <w:t> </w:t>
      </w:r>
      <w:r>
        <w:rPr/>
        <w:t>cell</w:t>
      </w:r>
      <w:r>
        <w:rPr>
          <w:spacing w:val="-10"/>
        </w:rPr>
        <w:t> </w:t>
      </w:r>
      <w:r>
        <w:rPr/>
        <w:t>growth</w:t>
      </w:r>
      <w:r>
        <w:rPr>
          <w:spacing w:val="-8"/>
        </w:rPr>
        <w:t> </w:t>
      </w:r>
      <w:r>
        <w:rPr/>
        <w:t>and</w:t>
      </w:r>
      <w:r>
        <w:rPr>
          <w:spacing w:val="-9"/>
        </w:rPr>
        <w:t> </w:t>
      </w:r>
      <w:r>
        <w:rPr/>
        <w:t>for</w:t>
      </w:r>
      <w:r>
        <w:rPr>
          <w:spacing w:val="-8"/>
        </w:rPr>
        <w:t> </w:t>
      </w:r>
      <w:r>
        <w:rPr/>
        <w:t>a</w:t>
      </w:r>
      <w:r>
        <w:rPr>
          <w:spacing w:val="-9"/>
        </w:rPr>
        <w:t> </w:t>
      </w:r>
      <w:r>
        <w:rPr/>
        <w:t>healthy</w:t>
      </w:r>
      <w:r>
        <w:rPr>
          <w:spacing w:val="-10"/>
        </w:rPr>
        <w:t> </w:t>
      </w:r>
      <w:r>
        <w:rPr/>
        <w:t>car- diovascular system.</w:t>
      </w:r>
    </w:p>
    <w:p>
      <w:pPr>
        <w:pStyle w:val="Heading1"/>
        <w:ind w:left="616"/>
      </w:pPr>
      <w:r>
        <w:rPr/>
        <w:t>Effect of phenylalanine</w:t>
      </w:r>
    </w:p>
    <w:p>
      <w:pPr>
        <w:pStyle w:val="BodyText"/>
        <w:spacing w:before="299"/>
        <w:ind w:left="616"/>
      </w:pPr>
      <w:r>
        <w:rPr/>
        <w:t>Needed for healthy metabolism, including in the production of thyroxine.</w:t>
      </w:r>
    </w:p>
    <w:p>
      <w:pPr>
        <w:pStyle w:val="Heading1"/>
        <w:spacing w:before="288"/>
        <w:ind w:left="616"/>
      </w:pPr>
      <w:r>
        <w:rPr/>
        <w:t>Effect of methionine</w:t>
      </w:r>
    </w:p>
    <w:p>
      <w:pPr>
        <w:pStyle w:val="BodyText"/>
        <w:spacing w:line="278" w:lineRule="auto" w:before="297"/>
        <w:ind w:left="616"/>
      </w:pPr>
      <w:r>
        <w:rPr/>
        <w:t>Indispensable</w:t>
      </w:r>
      <w:r>
        <w:rPr>
          <w:spacing w:val="-17"/>
        </w:rPr>
        <w:t> </w:t>
      </w:r>
      <w:r>
        <w:rPr/>
        <w:t>for</w:t>
      </w:r>
      <w:r>
        <w:rPr>
          <w:spacing w:val="-16"/>
        </w:rPr>
        <w:t> </w:t>
      </w:r>
      <w:r>
        <w:rPr/>
        <w:t>our</w:t>
      </w:r>
      <w:r>
        <w:rPr>
          <w:spacing w:val="-18"/>
        </w:rPr>
        <w:t> </w:t>
      </w:r>
      <w:r>
        <w:rPr/>
        <w:t>nervous</w:t>
      </w:r>
      <w:r>
        <w:rPr>
          <w:spacing w:val="-19"/>
        </w:rPr>
        <w:t> </w:t>
      </w:r>
      <w:r>
        <w:rPr/>
        <w:t>system</w:t>
      </w:r>
      <w:r>
        <w:rPr>
          <w:spacing w:val="-15"/>
        </w:rPr>
        <w:t> </w:t>
      </w:r>
      <w:r>
        <w:rPr/>
        <w:t>as</w:t>
      </w:r>
      <w:r>
        <w:rPr>
          <w:spacing w:val="-17"/>
        </w:rPr>
        <w:t> </w:t>
      </w:r>
      <w:r>
        <w:rPr/>
        <w:t>well</w:t>
      </w:r>
      <w:r>
        <w:rPr>
          <w:spacing w:val="-17"/>
        </w:rPr>
        <w:t> </w:t>
      </w:r>
      <w:r>
        <w:rPr/>
        <w:t>as</w:t>
      </w:r>
      <w:r>
        <w:rPr>
          <w:spacing w:val="-18"/>
        </w:rPr>
        <w:t> </w:t>
      </w:r>
      <w:r>
        <w:rPr/>
        <w:t>for</w:t>
      </w:r>
      <w:r>
        <w:rPr>
          <w:spacing w:val="-16"/>
        </w:rPr>
        <w:t> </w:t>
      </w:r>
      <w:r>
        <w:rPr/>
        <w:t>fat</w:t>
      </w:r>
      <w:r>
        <w:rPr>
          <w:spacing w:val="-17"/>
        </w:rPr>
        <w:t> </w:t>
      </w:r>
      <w:r>
        <w:rPr/>
        <w:t>metabolism.</w:t>
      </w:r>
      <w:r>
        <w:rPr>
          <w:spacing w:val="-16"/>
        </w:rPr>
        <w:t> </w:t>
      </w:r>
      <w:r>
        <w:rPr/>
        <w:t>It</w:t>
      </w:r>
      <w:r>
        <w:rPr>
          <w:spacing w:val="-19"/>
        </w:rPr>
        <w:t> </w:t>
      </w:r>
      <w:r>
        <w:rPr/>
        <w:t>supports liver function during</w:t>
      </w:r>
      <w:r>
        <w:rPr>
          <w:spacing w:val="1"/>
        </w:rPr>
        <w:t> </w:t>
      </w:r>
      <w:r>
        <w:rPr/>
        <w:t>detoxification.</w:t>
      </w:r>
    </w:p>
    <w:p>
      <w:pPr>
        <w:pStyle w:val="Heading1"/>
        <w:spacing w:before="215"/>
        <w:ind w:left="616"/>
      </w:pPr>
      <w:r>
        <w:rPr/>
        <w:t>Effect of tryptophan</w:t>
      </w:r>
    </w:p>
    <w:p>
      <w:pPr>
        <w:spacing w:after="0"/>
        <w:sectPr>
          <w:pgSz w:w="14270" w:h="16850"/>
          <w:pgMar w:header="0" w:footer="1891" w:top="1340" w:bottom="2080" w:left="800" w:right="1280"/>
        </w:sectPr>
      </w:pPr>
    </w:p>
    <w:p>
      <w:pPr>
        <w:pStyle w:val="BodyText"/>
        <w:spacing w:line="276" w:lineRule="auto" w:before="74"/>
        <w:ind w:left="616"/>
      </w:pPr>
      <w:r>
        <w:rPr/>
        <w:t>Also plays an important role in our nervous system and our emotional well- being.</w:t>
      </w:r>
    </w:p>
    <w:p>
      <w:pPr>
        <w:pStyle w:val="Heading1"/>
        <w:spacing w:before="221"/>
        <w:ind w:left="616"/>
      </w:pPr>
      <w:r>
        <w:rPr/>
        <w:t>Effect of threonine</w:t>
      </w:r>
    </w:p>
    <w:p>
      <w:pPr>
        <w:pStyle w:val="BodyText"/>
        <w:spacing w:line="278" w:lineRule="auto" w:before="300"/>
        <w:ind w:left="616"/>
      </w:pPr>
      <w:r>
        <w:rPr/>
        <w:t>Influences the digestive enzymes and is therefore responsible for the digestive process.</w:t>
      </w:r>
    </w:p>
    <w:p>
      <w:pPr>
        <w:pStyle w:val="Heading1"/>
        <w:spacing w:before="215"/>
        <w:ind w:left="616"/>
      </w:pPr>
      <w:r>
        <w:rPr/>
        <w:t>Effect of valine</w:t>
      </w:r>
    </w:p>
    <w:p>
      <w:pPr>
        <w:pStyle w:val="BodyText"/>
        <w:spacing w:before="299"/>
        <w:ind w:left="616"/>
      </w:pPr>
      <w:r>
        <w:rPr/>
        <w:t>Valine is involved in controlling muscle coordination.</w:t>
      </w:r>
    </w:p>
    <w:p>
      <w:pPr>
        <w:pStyle w:val="Heading1"/>
        <w:spacing w:line="391" w:lineRule="auto" w:before="288"/>
        <w:ind w:left="616" w:right="7393"/>
      </w:pPr>
      <w:r>
        <w:rPr>
          <w:w w:val="95"/>
        </w:rPr>
        <w:t>Nonessential amino acids </w:t>
      </w:r>
      <w:r>
        <w:rPr/>
        <w:t>Effect of cysteine</w:t>
      </w:r>
    </w:p>
    <w:p>
      <w:pPr>
        <w:pStyle w:val="BodyText"/>
        <w:spacing w:line="276" w:lineRule="auto" w:before="11"/>
        <w:ind w:left="616" w:right="136"/>
        <w:jc w:val="both"/>
      </w:pPr>
      <w:r>
        <w:rPr/>
        <w:t>Plays</w:t>
      </w:r>
      <w:r>
        <w:rPr>
          <w:spacing w:val="-11"/>
        </w:rPr>
        <w:t> </w:t>
      </w:r>
      <w:r>
        <w:rPr/>
        <w:t>an</w:t>
      </w:r>
      <w:r>
        <w:rPr>
          <w:spacing w:val="-10"/>
        </w:rPr>
        <w:t> </w:t>
      </w:r>
      <w:r>
        <w:rPr/>
        <w:t>important</w:t>
      </w:r>
      <w:r>
        <w:rPr>
          <w:spacing w:val="-10"/>
        </w:rPr>
        <w:t> </w:t>
      </w:r>
      <w:r>
        <w:rPr/>
        <w:t>role</w:t>
      </w:r>
      <w:r>
        <w:rPr>
          <w:spacing w:val="-11"/>
        </w:rPr>
        <w:t> </w:t>
      </w:r>
      <w:r>
        <w:rPr/>
        <w:t>in</w:t>
      </w:r>
      <w:r>
        <w:rPr>
          <w:spacing w:val="-11"/>
        </w:rPr>
        <w:t> </w:t>
      </w:r>
      <w:r>
        <w:rPr/>
        <w:t>carbohydrate</w:t>
      </w:r>
      <w:r>
        <w:rPr>
          <w:spacing w:val="-11"/>
        </w:rPr>
        <w:t> </w:t>
      </w:r>
      <w:r>
        <w:rPr/>
        <w:t>metabolism,</w:t>
      </w:r>
      <w:r>
        <w:rPr>
          <w:spacing w:val="-11"/>
        </w:rPr>
        <w:t> </w:t>
      </w:r>
      <w:r>
        <w:rPr/>
        <w:t>which</w:t>
      </w:r>
      <w:r>
        <w:rPr>
          <w:spacing w:val="-10"/>
        </w:rPr>
        <w:t> </w:t>
      </w:r>
      <w:r>
        <w:rPr/>
        <w:t>is</w:t>
      </w:r>
      <w:r>
        <w:rPr>
          <w:spacing w:val="-11"/>
        </w:rPr>
        <w:t> </w:t>
      </w:r>
      <w:r>
        <w:rPr/>
        <w:t>why</w:t>
      </w:r>
      <w:r>
        <w:rPr>
          <w:spacing w:val="-10"/>
        </w:rPr>
        <w:t> </w:t>
      </w:r>
      <w:r>
        <w:rPr/>
        <w:t>it</w:t>
      </w:r>
      <w:r>
        <w:rPr>
          <w:spacing w:val="-12"/>
        </w:rPr>
        <w:t> </w:t>
      </w:r>
      <w:r>
        <w:rPr/>
        <w:t>is</w:t>
      </w:r>
      <w:r>
        <w:rPr>
          <w:spacing w:val="-11"/>
        </w:rPr>
        <w:t> </w:t>
      </w:r>
      <w:r>
        <w:rPr/>
        <w:t>respon- sible for the regulation of blood sugar levels. Furthermore, cysteine exerts a positive influence on food</w:t>
      </w:r>
      <w:r>
        <w:rPr>
          <w:spacing w:val="1"/>
        </w:rPr>
        <w:t> </w:t>
      </w:r>
      <w:r>
        <w:rPr/>
        <w:t>allergies.</w:t>
      </w:r>
    </w:p>
    <w:p>
      <w:pPr>
        <w:pStyle w:val="Heading1"/>
        <w:spacing w:before="225"/>
        <w:ind w:left="616"/>
      </w:pPr>
      <w:r>
        <w:rPr/>
        <w:t>Effect of arginine</w:t>
      </w:r>
    </w:p>
    <w:p>
      <w:pPr>
        <w:pStyle w:val="BodyText"/>
        <w:spacing w:line="276" w:lineRule="auto" w:before="299"/>
        <w:ind w:left="616" w:right="36"/>
      </w:pPr>
      <w:r>
        <w:rPr/>
        <w:t>Arginine, among other things, assumes a detoxifying role. Furthermore, sperm is mostly arginine, which is why it plays an important role in reproduction.</w:t>
      </w:r>
    </w:p>
    <w:p>
      <w:pPr>
        <w:pStyle w:val="Heading1"/>
        <w:spacing w:before="221"/>
        <w:ind w:left="616"/>
      </w:pPr>
      <w:r>
        <w:rPr/>
        <w:t>Effect of glutamic acid</w:t>
      </w:r>
    </w:p>
    <w:p>
      <w:pPr>
        <w:pStyle w:val="BodyText"/>
        <w:spacing w:line="278" w:lineRule="auto" w:before="300"/>
        <w:ind w:left="616"/>
      </w:pPr>
      <w:r>
        <w:rPr/>
        <w:t>Glutamic acid plays an important role in our emotional feelings and is respon- sible for the proper functioning of the brain.</w:t>
      </w:r>
    </w:p>
    <w:p>
      <w:pPr>
        <w:spacing w:after="0" w:line="278" w:lineRule="auto"/>
        <w:sectPr>
          <w:pgSz w:w="14270" w:h="16850"/>
          <w:pgMar w:header="0" w:footer="1891" w:top="1340" w:bottom="2080" w:left="800" w:right="1280"/>
        </w:sectPr>
      </w:pPr>
    </w:p>
    <w:p>
      <w:pPr>
        <w:pStyle w:val="Heading1"/>
        <w:spacing w:before="77"/>
        <w:ind w:left="616"/>
      </w:pPr>
      <w:r>
        <w:rPr/>
        <w:t>Effect of alanine</w:t>
      </w:r>
    </w:p>
    <w:p>
      <w:pPr>
        <w:pStyle w:val="BodyText"/>
        <w:spacing w:before="299"/>
        <w:ind w:left="616"/>
      </w:pPr>
      <w:r>
        <w:rPr/>
        <w:t>Alanine plays an important role in energy and cell metabolism.</w:t>
      </w:r>
    </w:p>
    <w:p>
      <w:pPr>
        <w:pStyle w:val="Heading1"/>
        <w:spacing w:before="285"/>
        <w:ind w:left="616"/>
      </w:pPr>
      <w:r>
        <w:rPr/>
        <w:t>Effect of histidine</w:t>
      </w:r>
    </w:p>
    <w:p>
      <w:pPr>
        <w:pStyle w:val="BodyText"/>
        <w:spacing w:line="276" w:lineRule="auto" w:before="299"/>
        <w:ind w:left="616" w:right="136"/>
        <w:jc w:val="both"/>
      </w:pPr>
      <w:r>
        <w:rPr/>
        <w:t>Is very important for iron formation and oxygen transport in our organism.</w:t>
      </w:r>
      <w:r>
        <w:rPr>
          <w:spacing w:val="-58"/>
        </w:rPr>
        <w:t> </w:t>
      </w:r>
      <w:r>
        <w:rPr/>
        <w:t>Is responsible for hearing within our brain and can successfully treat some types of deafness.</w:t>
      </w:r>
    </w:p>
    <w:p>
      <w:pPr>
        <w:pStyle w:val="Heading1"/>
        <w:spacing w:before="225"/>
        <w:ind w:left="616"/>
      </w:pPr>
      <w:r>
        <w:rPr/>
        <w:t>Effect of serine</w:t>
      </w:r>
    </w:p>
    <w:p>
      <w:pPr>
        <w:pStyle w:val="BodyText"/>
        <w:spacing w:line="276" w:lineRule="auto" w:before="299"/>
        <w:ind w:left="616"/>
      </w:pPr>
      <w:r>
        <w:rPr/>
        <w:t>As an important component of many enzymes, serine plays an important role in our health.</w:t>
      </w:r>
    </w:p>
    <w:p>
      <w:pPr>
        <w:pStyle w:val="Heading1"/>
        <w:spacing w:before="221"/>
        <w:ind w:left="616"/>
      </w:pPr>
      <w:r>
        <w:rPr/>
        <w:t>Effect of proline</w:t>
      </w:r>
    </w:p>
    <w:p>
      <w:pPr>
        <w:pStyle w:val="BodyText"/>
        <w:spacing w:before="299"/>
        <w:ind w:left="616"/>
      </w:pPr>
      <w:r>
        <w:rPr/>
        <w:t>Important among other things for healthy blood vessels and healthy joints.</w:t>
      </w:r>
    </w:p>
    <w:p>
      <w:pPr>
        <w:pStyle w:val="Heading1"/>
        <w:spacing w:before="288"/>
        <w:ind w:left="616"/>
      </w:pPr>
      <w:r>
        <w:rPr/>
        <w:t>Effect of tyrosine</w:t>
      </w:r>
    </w:p>
    <w:p>
      <w:pPr>
        <w:pStyle w:val="BodyText"/>
        <w:spacing w:line="276" w:lineRule="auto" w:before="299"/>
        <w:ind w:left="616"/>
      </w:pPr>
      <w:r>
        <w:rPr/>
        <w:t>Acts as a neurotransmitter for the transport of information in the brain,</w:t>
      </w:r>
      <w:r>
        <w:rPr>
          <w:spacing w:val="-46"/>
        </w:rPr>
        <w:t> </w:t>
      </w:r>
      <w:r>
        <w:rPr/>
        <w:t>slows cell</w:t>
      </w:r>
      <w:r>
        <w:rPr>
          <w:spacing w:val="-23"/>
        </w:rPr>
        <w:t> </w:t>
      </w:r>
      <w:r>
        <w:rPr/>
        <w:t>ageing,</w:t>
      </w:r>
      <w:r>
        <w:rPr>
          <w:spacing w:val="-21"/>
        </w:rPr>
        <w:t> </w:t>
      </w:r>
      <w:r>
        <w:rPr/>
        <w:t>can</w:t>
      </w:r>
      <w:r>
        <w:rPr>
          <w:spacing w:val="-24"/>
        </w:rPr>
        <w:t> </w:t>
      </w:r>
      <w:r>
        <w:rPr/>
        <w:t>positively</w:t>
      </w:r>
      <w:r>
        <w:rPr>
          <w:spacing w:val="-22"/>
        </w:rPr>
        <w:t> </w:t>
      </w:r>
      <w:r>
        <w:rPr/>
        <w:t>affect</w:t>
      </w:r>
      <w:r>
        <w:rPr>
          <w:spacing w:val="-23"/>
        </w:rPr>
        <w:t> </w:t>
      </w:r>
      <w:r>
        <w:rPr/>
        <w:t>the</w:t>
      </w:r>
      <w:r>
        <w:rPr>
          <w:spacing w:val="-20"/>
        </w:rPr>
        <w:t> </w:t>
      </w:r>
      <w:r>
        <w:rPr/>
        <w:t>hunger</w:t>
      </w:r>
      <w:r>
        <w:rPr>
          <w:spacing w:val="-23"/>
        </w:rPr>
        <w:t> </w:t>
      </w:r>
      <w:r>
        <w:rPr/>
        <w:t>centre</w:t>
      </w:r>
      <w:r>
        <w:rPr>
          <w:spacing w:val="-23"/>
        </w:rPr>
        <w:t> </w:t>
      </w:r>
      <w:r>
        <w:rPr/>
        <w:t>and</w:t>
      </w:r>
      <w:r>
        <w:rPr>
          <w:spacing w:val="-21"/>
        </w:rPr>
        <w:t> </w:t>
      </w:r>
      <w:r>
        <w:rPr/>
        <w:t>suppress</w:t>
      </w:r>
      <w:r>
        <w:rPr>
          <w:spacing w:val="-24"/>
        </w:rPr>
        <w:t> </w:t>
      </w:r>
      <w:r>
        <w:rPr/>
        <w:t>hunger</w:t>
      </w:r>
      <w:r>
        <w:rPr>
          <w:spacing w:val="-21"/>
        </w:rPr>
        <w:t> </w:t>
      </w:r>
      <w:r>
        <w:rPr/>
        <w:t>in</w:t>
      </w:r>
      <w:r>
        <w:rPr>
          <w:spacing w:val="-24"/>
        </w:rPr>
        <w:t> </w:t>
      </w:r>
      <w:r>
        <w:rPr/>
        <w:t>diets.</w:t>
      </w:r>
    </w:p>
    <w:p>
      <w:pPr>
        <w:pStyle w:val="Heading1"/>
        <w:ind w:left="616"/>
      </w:pPr>
      <w:r>
        <w:rPr/>
        <w:t>Effect of glycine</w:t>
      </w:r>
    </w:p>
    <w:p>
      <w:pPr>
        <w:pStyle w:val="BodyText"/>
        <w:spacing w:line="276" w:lineRule="auto" w:before="297"/>
        <w:ind w:left="616" w:right="140"/>
        <w:jc w:val="both"/>
      </w:pPr>
      <w:r>
        <w:rPr/>
        <w:t>Important component of structural proteins in the body, important for skin, joints, bones and teeth. Furthermore, glycine is an important component of glutathione, which protects our body against free radicals as one of the most important antioxidants.</w:t>
      </w:r>
    </w:p>
    <w:p>
      <w:pPr>
        <w:spacing w:after="0" w:line="276" w:lineRule="auto"/>
        <w:jc w:val="both"/>
        <w:sectPr>
          <w:pgSz w:w="14270" w:h="16850"/>
          <w:pgMar w:header="0" w:footer="1891" w:top="1320" w:bottom="2080" w:left="800" w:right="1280"/>
        </w:sectPr>
      </w:pPr>
    </w:p>
    <w:p>
      <w:pPr>
        <w:pStyle w:val="Heading1"/>
        <w:spacing w:before="77"/>
        <w:ind w:left="616"/>
      </w:pPr>
      <w:r>
        <w:rPr/>
        <w:t>Effect of aspartic acid</w:t>
      </w:r>
    </w:p>
    <w:p>
      <w:pPr>
        <w:pStyle w:val="BodyText"/>
        <w:spacing w:line="276" w:lineRule="auto" w:before="299"/>
        <w:ind w:left="616"/>
      </w:pPr>
      <w:r>
        <w:rPr/>
        <w:t>Among other things, is involved as a neurotransmitter within the transmission of signals in the brain and the metabolism of carbohydrates.</w:t>
      </w:r>
    </w:p>
    <w:p>
      <w:pPr>
        <w:pStyle w:val="Heading2"/>
        <w:spacing w:before="239"/>
        <w:ind w:left="616"/>
      </w:pPr>
      <w:r>
        <w:rPr/>
        <w:t>Effect of vitamins in spirulina platensis</w:t>
      </w:r>
    </w:p>
    <w:p>
      <w:pPr>
        <w:pStyle w:val="BodyText"/>
        <w:spacing w:line="278" w:lineRule="auto" w:before="304"/>
        <w:ind w:left="616"/>
      </w:pPr>
      <w:r>
        <w:rPr/>
        <w:t>Spirulina has a respectable content of vitamins, especially A vitamins, B vita- mins, vitamin E, biotin, folic acid and pantothenic acid.</w:t>
      </w:r>
    </w:p>
    <w:p>
      <w:pPr>
        <w:pStyle w:val="BodyText"/>
        <w:spacing w:line="276" w:lineRule="auto" w:before="233"/>
        <w:ind w:left="616" w:right="140"/>
        <w:jc w:val="both"/>
      </w:pPr>
      <w:r>
        <w:rPr/>
        <w:t>It should be emphasised that all of these vitamins are in organic form and therefore absorbed by the body much more efficiently than any isolated or synthetic vitamins.</w:t>
      </w:r>
    </w:p>
    <w:p>
      <w:pPr>
        <w:pStyle w:val="BodyText"/>
        <w:rPr>
          <w:sz w:val="42"/>
        </w:rPr>
      </w:pPr>
    </w:p>
    <w:p>
      <w:pPr>
        <w:pStyle w:val="BodyText"/>
        <w:spacing w:before="8"/>
        <w:rPr>
          <w:sz w:val="42"/>
        </w:rPr>
      </w:pPr>
    </w:p>
    <w:p>
      <w:pPr>
        <w:pStyle w:val="Heading1"/>
        <w:spacing w:before="0"/>
        <w:ind w:left="616"/>
      </w:pPr>
      <w:r>
        <w:rPr/>
        <w:t>Effect of vitamin E</w:t>
      </w:r>
    </w:p>
    <w:p>
      <w:pPr>
        <w:pStyle w:val="BodyText"/>
        <w:spacing w:line="276" w:lineRule="auto" w:before="300"/>
        <w:ind w:left="616" w:right="136"/>
        <w:jc w:val="both"/>
      </w:pPr>
      <w:r>
        <w:rPr/>
        <w:t>Vitamin E acts as a radical scavenger and also assumes many other important functions in the organism. Among other things, it positively affects the skin and hair metabolism, so in addition to health benefits, it also benefits appear- ance, and not for nothing is it given the title of anti-ageing vitamin par excel- lence. Vitamin E has a positive effect on cancer and positively influences Alz- heimer's and</w:t>
      </w:r>
      <w:r>
        <w:rPr>
          <w:spacing w:val="3"/>
        </w:rPr>
        <w:t> </w:t>
      </w:r>
      <w:r>
        <w:rPr/>
        <w:t>diabetes.</w:t>
      </w:r>
    </w:p>
    <w:p>
      <w:pPr>
        <w:pStyle w:val="Heading1"/>
        <w:spacing w:before="223"/>
        <w:ind w:left="616"/>
        <w:jc w:val="both"/>
      </w:pPr>
      <w:r>
        <w:rPr/>
        <w:t>Effect</w:t>
      </w:r>
      <w:r>
        <w:rPr>
          <w:spacing w:val="-60"/>
        </w:rPr>
        <w:t> </w:t>
      </w:r>
      <w:r>
        <w:rPr/>
        <w:t>of</w:t>
      </w:r>
      <w:r>
        <w:rPr>
          <w:spacing w:val="-60"/>
        </w:rPr>
        <w:t> </w:t>
      </w:r>
      <w:r>
        <w:rPr/>
        <w:t>B</w:t>
      </w:r>
      <w:r>
        <w:rPr>
          <w:spacing w:val="-59"/>
        </w:rPr>
        <w:t> </w:t>
      </w:r>
      <w:r>
        <w:rPr/>
        <w:t>vitamins</w:t>
      </w:r>
    </w:p>
    <w:p>
      <w:pPr>
        <w:pStyle w:val="BodyText"/>
        <w:spacing w:before="299"/>
        <w:ind w:left="616"/>
        <w:jc w:val="both"/>
      </w:pPr>
      <w:r>
        <w:rPr/>
        <w:t>Vitamin 12, B6 and folic acid are a potent trio in the fight against atheroscle-</w:t>
      </w:r>
    </w:p>
    <w:p>
      <w:pPr>
        <w:spacing w:after="0"/>
        <w:jc w:val="both"/>
        <w:sectPr>
          <w:pgSz w:w="14270" w:h="16850"/>
          <w:pgMar w:header="0" w:footer="1891" w:top="1320" w:bottom="2080" w:left="800" w:right="1280"/>
        </w:sectPr>
      </w:pPr>
    </w:p>
    <w:p>
      <w:pPr>
        <w:pStyle w:val="BodyText"/>
        <w:spacing w:line="276" w:lineRule="auto" w:before="72"/>
        <w:ind w:left="616" w:right="139"/>
        <w:jc w:val="both"/>
      </w:pPr>
      <w:r>
        <w:rPr/>
        <w:t>rosis (hardening of the arteries, which causes heart attacks and strokes), vita- min B12 is involved in the formation of nerve fibres and is needed for the formation of red blood cells.</w:t>
      </w:r>
    </w:p>
    <w:p>
      <w:pPr>
        <w:pStyle w:val="BodyText"/>
        <w:spacing w:line="278" w:lineRule="auto" w:before="241"/>
        <w:ind w:left="616"/>
      </w:pPr>
      <w:r>
        <w:rPr/>
        <w:t>B vitamins are rare in plant foods, so vegetarians are at risk of nutrient defi- ciency. A regular supply of spirulina can counteract this very effectively.</w:t>
      </w:r>
    </w:p>
    <w:p>
      <w:pPr>
        <w:pStyle w:val="Heading1"/>
        <w:spacing w:before="215"/>
        <w:ind w:left="616"/>
      </w:pPr>
      <w:r>
        <w:rPr/>
        <w:t>Effect of folic acid</w:t>
      </w:r>
    </w:p>
    <w:p>
      <w:pPr>
        <w:pStyle w:val="BodyText"/>
        <w:spacing w:line="276" w:lineRule="auto" w:before="300"/>
        <w:ind w:left="616"/>
      </w:pPr>
      <w:r>
        <w:rPr/>
        <w:t>Folic</w:t>
      </w:r>
      <w:r>
        <w:rPr>
          <w:spacing w:val="-16"/>
        </w:rPr>
        <w:t> </w:t>
      </w:r>
      <w:r>
        <w:rPr/>
        <w:t>acid</w:t>
      </w:r>
      <w:r>
        <w:rPr>
          <w:spacing w:val="-18"/>
        </w:rPr>
        <w:t> </w:t>
      </w:r>
      <w:r>
        <w:rPr/>
        <w:t>is</w:t>
      </w:r>
      <w:r>
        <w:rPr>
          <w:spacing w:val="-16"/>
        </w:rPr>
        <w:t> </w:t>
      </w:r>
      <w:r>
        <w:rPr/>
        <w:t>needed</w:t>
      </w:r>
      <w:r>
        <w:rPr>
          <w:spacing w:val="-16"/>
        </w:rPr>
        <w:t> </w:t>
      </w:r>
      <w:r>
        <w:rPr/>
        <w:t>for</w:t>
      </w:r>
      <w:r>
        <w:rPr>
          <w:spacing w:val="-14"/>
        </w:rPr>
        <w:t> </w:t>
      </w:r>
      <w:r>
        <w:rPr/>
        <w:t>healthy</w:t>
      </w:r>
      <w:r>
        <w:rPr>
          <w:spacing w:val="-17"/>
        </w:rPr>
        <w:t> </w:t>
      </w:r>
      <w:r>
        <w:rPr/>
        <w:t>cell</w:t>
      </w:r>
      <w:r>
        <w:rPr>
          <w:spacing w:val="-17"/>
        </w:rPr>
        <w:t> </w:t>
      </w:r>
      <w:r>
        <w:rPr/>
        <w:t>renewal</w:t>
      </w:r>
      <w:r>
        <w:rPr>
          <w:spacing w:val="-16"/>
        </w:rPr>
        <w:t> </w:t>
      </w:r>
      <w:r>
        <w:rPr/>
        <w:t>and</w:t>
      </w:r>
      <w:r>
        <w:rPr>
          <w:spacing w:val="-16"/>
        </w:rPr>
        <w:t> </w:t>
      </w:r>
      <w:r>
        <w:rPr/>
        <w:t>is</w:t>
      </w:r>
      <w:r>
        <w:rPr>
          <w:spacing w:val="-15"/>
        </w:rPr>
        <w:t> </w:t>
      </w:r>
      <w:r>
        <w:rPr/>
        <w:t>involved</w:t>
      </w:r>
      <w:r>
        <w:rPr>
          <w:spacing w:val="-17"/>
        </w:rPr>
        <w:t> </w:t>
      </w:r>
      <w:r>
        <w:rPr/>
        <w:t>in</w:t>
      </w:r>
      <w:r>
        <w:rPr>
          <w:spacing w:val="-16"/>
        </w:rPr>
        <w:t> </w:t>
      </w:r>
      <w:r>
        <w:rPr/>
        <w:t>blood</w:t>
      </w:r>
      <w:r>
        <w:rPr>
          <w:spacing w:val="-15"/>
        </w:rPr>
        <w:t> </w:t>
      </w:r>
      <w:r>
        <w:rPr/>
        <w:t>formation and protein</w:t>
      </w:r>
      <w:r>
        <w:rPr>
          <w:spacing w:val="1"/>
        </w:rPr>
        <w:t> </w:t>
      </w:r>
      <w:r>
        <w:rPr/>
        <w:t>metabolism.</w:t>
      </w:r>
    </w:p>
    <w:p>
      <w:pPr>
        <w:pStyle w:val="Heading1"/>
        <w:spacing w:before="223"/>
        <w:ind w:left="616"/>
      </w:pPr>
      <w:r>
        <w:rPr/>
        <w:t>Effect of biotin</w:t>
      </w:r>
    </w:p>
    <w:p>
      <w:pPr>
        <w:pStyle w:val="BodyText"/>
        <w:spacing w:line="276" w:lineRule="auto" w:before="297"/>
        <w:ind w:left="616" w:right="136"/>
        <w:jc w:val="both"/>
      </w:pPr>
      <w:r>
        <w:rPr/>
        <w:t>Biotin is popularly known as 'beauty vitamin', because it strengthens the hair, nails and keeps the skin supple and wrinkle-free. Furthermore, it is needed</w:t>
      </w:r>
      <w:r>
        <w:rPr>
          <w:spacing w:val="-61"/>
        </w:rPr>
        <w:t> </w:t>
      </w:r>
      <w:r>
        <w:rPr/>
        <w:t>for carbohydrate and fat metabolism, providing our nerves and brain with the re- quired glucose.</w:t>
      </w:r>
    </w:p>
    <w:p>
      <w:pPr>
        <w:pStyle w:val="Heading1"/>
        <w:spacing w:before="225"/>
        <w:ind w:left="616"/>
      </w:pPr>
      <w:r>
        <w:rPr/>
        <w:t>Effect of vitamin D</w:t>
      </w:r>
    </w:p>
    <w:p>
      <w:pPr>
        <w:pStyle w:val="BodyText"/>
        <w:spacing w:line="276" w:lineRule="auto" w:before="299"/>
        <w:ind w:left="616"/>
      </w:pPr>
      <w:r>
        <w:rPr/>
        <w:t>We need vitamin D for the storage of calcium as well as phosphate in the bones; only this ensures a stable and healthy skeleton construction.</w:t>
      </w:r>
    </w:p>
    <w:p>
      <w:pPr>
        <w:pStyle w:val="Heading1"/>
        <w:spacing w:before="221"/>
        <w:ind w:left="616"/>
      </w:pPr>
      <w:r>
        <w:rPr/>
        <w:t>Effect of vitamin K</w:t>
      </w:r>
    </w:p>
    <w:p>
      <w:pPr>
        <w:pStyle w:val="BodyText"/>
        <w:spacing w:line="278" w:lineRule="auto" w:before="300"/>
        <w:ind w:left="616" w:right="41"/>
      </w:pPr>
      <w:r>
        <w:rPr/>
        <w:t>Vitamin K prevents atherosclerosis, has a cancer-inhibiting effect and controls blood clotting.</w:t>
      </w:r>
    </w:p>
    <w:p>
      <w:pPr>
        <w:spacing w:after="0" w:line="278" w:lineRule="auto"/>
        <w:sectPr>
          <w:pgSz w:w="14270" w:h="16850"/>
          <w:pgMar w:header="0" w:footer="1891" w:top="1340" w:bottom="2080" w:left="800" w:right="1280"/>
        </w:sectPr>
      </w:pPr>
    </w:p>
    <w:p>
      <w:pPr>
        <w:pStyle w:val="Heading2"/>
        <w:spacing w:before="74"/>
        <w:ind w:left="616"/>
      </w:pPr>
      <w:r>
        <w:rPr/>
        <w:t>Effect of minerals in spirulina platensis</w:t>
      </w:r>
    </w:p>
    <w:p>
      <w:pPr>
        <w:pStyle w:val="BodyText"/>
        <w:spacing w:line="276" w:lineRule="auto" w:before="305"/>
        <w:ind w:left="616" w:right="134"/>
        <w:jc w:val="both"/>
      </w:pPr>
      <w:r>
        <w:rPr/>
        <w:t>Spirulina</w:t>
      </w:r>
      <w:r>
        <w:rPr>
          <w:spacing w:val="-11"/>
        </w:rPr>
        <w:t> </w:t>
      </w:r>
      <w:r>
        <w:rPr/>
        <w:t>platensis</w:t>
      </w:r>
      <w:r>
        <w:rPr>
          <w:spacing w:val="-11"/>
        </w:rPr>
        <w:t> </w:t>
      </w:r>
      <w:r>
        <w:rPr/>
        <w:t>is</w:t>
      </w:r>
      <w:r>
        <w:rPr>
          <w:spacing w:val="-12"/>
        </w:rPr>
        <w:t> </w:t>
      </w:r>
      <w:r>
        <w:rPr/>
        <w:t>one</w:t>
      </w:r>
      <w:r>
        <w:rPr>
          <w:spacing w:val="-14"/>
        </w:rPr>
        <w:t> </w:t>
      </w:r>
      <w:r>
        <w:rPr/>
        <w:t>of</w:t>
      </w:r>
      <w:r>
        <w:rPr>
          <w:spacing w:val="-11"/>
        </w:rPr>
        <w:t> </w:t>
      </w:r>
      <w:r>
        <w:rPr/>
        <w:t>the</w:t>
      </w:r>
      <w:r>
        <w:rPr>
          <w:spacing w:val="-13"/>
        </w:rPr>
        <w:t> </w:t>
      </w:r>
      <w:r>
        <w:rPr/>
        <w:t>most</w:t>
      </w:r>
      <w:r>
        <w:rPr>
          <w:spacing w:val="-11"/>
        </w:rPr>
        <w:t> </w:t>
      </w:r>
      <w:r>
        <w:rPr/>
        <w:t>popular</w:t>
      </w:r>
      <w:r>
        <w:rPr>
          <w:spacing w:val="-12"/>
        </w:rPr>
        <w:t> </w:t>
      </w:r>
      <w:r>
        <w:rPr/>
        <w:t>sources</w:t>
      </w:r>
      <w:r>
        <w:rPr>
          <w:spacing w:val="-11"/>
        </w:rPr>
        <w:t> </w:t>
      </w:r>
      <w:r>
        <w:rPr/>
        <w:t>of</w:t>
      </w:r>
      <w:r>
        <w:rPr>
          <w:spacing w:val="-11"/>
        </w:rPr>
        <w:t> </w:t>
      </w:r>
      <w:r>
        <w:rPr/>
        <w:t>minerals</w:t>
      </w:r>
      <w:r>
        <w:rPr>
          <w:spacing w:val="-10"/>
        </w:rPr>
        <w:t> </w:t>
      </w:r>
      <w:r>
        <w:rPr/>
        <w:t>in</w:t>
      </w:r>
      <w:r>
        <w:rPr>
          <w:spacing w:val="-12"/>
        </w:rPr>
        <w:t> </w:t>
      </w:r>
      <w:r>
        <w:rPr/>
        <w:t>the</w:t>
      </w:r>
      <w:r>
        <w:rPr>
          <w:spacing w:val="-13"/>
        </w:rPr>
        <w:t> </w:t>
      </w:r>
      <w:r>
        <w:rPr/>
        <w:t>world, as</w:t>
      </w:r>
      <w:r>
        <w:rPr>
          <w:spacing w:val="-10"/>
        </w:rPr>
        <w:t> </w:t>
      </w:r>
      <w:r>
        <w:rPr/>
        <w:t>these</w:t>
      </w:r>
      <w:r>
        <w:rPr>
          <w:spacing w:val="-9"/>
        </w:rPr>
        <w:t> </w:t>
      </w:r>
      <w:r>
        <w:rPr/>
        <w:t>are</w:t>
      </w:r>
      <w:r>
        <w:rPr>
          <w:spacing w:val="-8"/>
        </w:rPr>
        <w:t> </w:t>
      </w:r>
      <w:r>
        <w:rPr/>
        <w:t>also</w:t>
      </w:r>
      <w:r>
        <w:rPr>
          <w:spacing w:val="-11"/>
        </w:rPr>
        <w:t> </w:t>
      </w:r>
      <w:r>
        <w:rPr/>
        <w:t>found</w:t>
      </w:r>
      <w:r>
        <w:rPr>
          <w:spacing w:val="-7"/>
        </w:rPr>
        <w:t> </w:t>
      </w:r>
      <w:r>
        <w:rPr/>
        <w:t>in</w:t>
      </w:r>
      <w:r>
        <w:rPr>
          <w:spacing w:val="-9"/>
        </w:rPr>
        <w:t> </w:t>
      </w:r>
      <w:r>
        <w:rPr/>
        <w:t>organic</w:t>
      </w:r>
      <w:r>
        <w:rPr>
          <w:spacing w:val="-9"/>
        </w:rPr>
        <w:t> </w:t>
      </w:r>
      <w:r>
        <w:rPr/>
        <w:t>form</w:t>
      </w:r>
      <w:r>
        <w:rPr>
          <w:spacing w:val="-9"/>
        </w:rPr>
        <w:t> </w:t>
      </w:r>
      <w:r>
        <w:rPr/>
        <w:t>in</w:t>
      </w:r>
      <w:r>
        <w:rPr>
          <w:spacing w:val="-8"/>
        </w:rPr>
        <w:t> </w:t>
      </w:r>
      <w:r>
        <w:rPr/>
        <w:t>spirulina</w:t>
      </w:r>
      <w:r>
        <w:rPr>
          <w:spacing w:val="-9"/>
        </w:rPr>
        <w:t> </w:t>
      </w:r>
      <w:r>
        <w:rPr/>
        <w:t>and</w:t>
      </w:r>
      <w:r>
        <w:rPr>
          <w:spacing w:val="-8"/>
        </w:rPr>
        <w:t> </w:t>
      </w:r>
      <w:r>
        <w:rPr/>
        <w:t>can</w:t>
      </w:r>
      <w:r>
        <w:rPr>
          <w:spacing w:val="-8"/>
        </w:rPr>
        <w:t> </w:t>
      </w:r>
      <w:r>
        <w:rPr/>
        <w:t>therefore</w:t>
      </w:r>
      <w:r>
        <w:rPr>
          <w:spacing w:val="-8"/>
        </w:rPr>
        <w:t> </w:t>
      </w:r>
      <w:r>
        <w:rPr/>
        <w:t>be</w:t>
      </w:r>
      <w:r>
        <w:rPr>
          <w:spacing w:val="-11"/>
        </w:rPr>
        <w:t> </w:t>
      </w:r>
      <w:r>
        <w:rPr/>
        <w:t>better absorbed by the</w:t>
      </w:r>
      <w:r>
        <w:rPr>
          <w:spacing w:val="-2"/>
        </w:rPr>
        <w:t> </w:t>
      </w:r>
      <w:r>
        <w:rPr/>
        <w:t>body.</w:t>
      </w:r>
    </w:p>
    <w:p>
      <w:pPr>
        <w:pStyle w:val="BodyText"/>
        <w:spacing w:line="278" w:lineRule="auto" w:before="238"/>
        <w:ind w:left="616" w:right="135"/>
        <w:jc w:val="both"/>
      </w:pPr>
      <w:r>
        <w:rPr/>
        <w:t>Spirulina</w:t>
      </w:r>
      <w:r>
        <w:rPr>
          <w:spacing w:val="-14"/>
        </w:rPr>
        <w:t> </w:t>
      </w:r>
      <w:r>
        <w:rPr/>
        <w:t>contains</w:t>
      </w:r>
      <w:r>
        <w:rPr>
          <w:spacing w:val="-13"/>
        </w:rPr>
        <w:t> </w:t>
      </w:r>
      <w:r>
        <w:rPr/>
        <w:t>abundant</w:t>
      </w:r>
      <w:r>
        <w:rPr>
          <w:spacing w:val="-15"/>
        </w:rPr>
        <w:t> </w:t>
      </w:r>
      <w:r>
        <w:rPr/>
        <w:t>magnesium,</w:t>
      </w:r>
      <w:r>
        <w:rPr>
          <w:spacing w:val="-13"/>
        </w:rPr>
        <w:t> </w:t>
      </w:r>
      <w:r>
        <w:rPr/>
        <w:t>calcium,</w:t>
      </w:r>
      <w:r>
        <w:rPr>
          <w:spacing w:val="-13"/>
        </w:rPr>
        <w:t> </w:t>
      </w:r>
      <w:r>
        <w:rPr/>
        <w:t>potassium,</w:t>
      </w:r>
      <w:r>
        <w:rPr>
          <w:spacing w:val="-16"/>
        </w:rPr>
        <w:t> </w:t>
      </w:r>
      <w:r>
        <w:rPr/>
        <w:t>manganese,</w:t>
      </w:r>
      <w:r>
        <w:rPr>
          <w:spacing w:val="-13"/>
        </w:rPr>
        <w:t> </w:t>
      </w:r>
      <w:r>
        <w:rPr/>
        <w:t>iron, selenium, phosphorus, copper, zinc, chromium, selenium and</w:t>
      </w:r>
      <w:r>
        <w:rPr>
          <w:spacing w:val="-14"/>
        </w:rPr>
        <w:t> </w:t>
      </w:r>
      <w:r>
        <w:rPr/>
        <w:t>germanium.</w:t>
      </w:r>
    </w:p>
    <w:p>
      <w:pPr>
        <w:pStyle w:val="Heading1"/>
        <w:spacing w:before="216"/>
        <w:ind w:left="616"/>
      </w:pPr>
      <w:r>
        <w:rPr/>
        <w:t>Effect of calcium</w:t>
      </w:r>
    </w:p>
    <w:p>
      <w:pPr>
        <w:pStyle w:val="BodyText"/>
        <w:spacing w:line="276" w:lineRule="auto" w:before="299"/>
        <w:ind w:left="616" w:right="136"/>
        <w:jc w:val="both"/>
      </w:pPr>
      <w:r>
        <w:rPr/>
        <w:t>Interestingly,</w:t>
      </w:r>
      <w:r>
        <w:rPr>
          <w:spacing w:val="-26"/>
        </w:rPr>
        <w:t> </w:t>
      </w:r>
      <w:r>
        <w:rPr/>
        <w:t>calcium</w:t>
      </w:r>
      <w:r>
        <w:rPr>
          <w:spacing w:val="-25"/>
        </w:rPr>
        <w:t> </w:t>
      </w:r>
      <w:r>
        <w:rPr/>
        <w:t>is</w:t>
      </w:r>
      <w:r>
        <w:rPr>
          <w:spacing w:val="-25"/>
        </w:rPr>
        <w:t> </w:t>
      </w:r>
      <w:r>
        <w:rPr/>
        <w:t>the</w:t>
      </w:r>
      <w:r>
        <w:rPr>
          <w:spacing w:val="-25"/>
        </w:rPr>
        <w:t> </w:t>
      </w:r>
      <w:r>
        <w:rPr/>
        <w:t>only</w:t>
      </w:r>
      <w:r>
        <w:rPr>
          <w:spacing w:val="-26"/>
        </w:rPr>
        <w:t> </w:t>
      </w:r>
      <w:r>
        <w:rPr/>
        <w:t>mineral</w:t>
      </w:r>
      <w:r>
        <w:rPr>
          <w:spacing w:val="-26"/>
        </w:rPr>
        <w:t> </w:t>
      </w:r>
      <w:r>
        <w:rPr/>
        <w:t>known</w:t>
      </w:r>
      <w:r>
        <w:rPr>
          <w:spacing w:val="-25"/>
        </w:rPr>
        <w:t> </w:t>
      </w:r>
      <w:r>
        <w:rPr/>
        <w:t>for</w:t>
      </w:r>
      <w:r>
        <w:rPr>
          <w:spacing w:val="-25"/>
        </w:rPr>
        <w:t> </w:t>
      </w:r>
      <w:r>
        <w:rPr/>
        <w:t>its</w:t>
      </w:r>
      <w:r>
        <w:rPr>
          <w:spacing w:val="-25"/>
        </w:rPr>
        <w:t> </w:t>
      </w:r>
      <w:r>
        <w:rPr/>
        <w:t>function</w:t>
      </w:r>
      <w:r>
        <w:rPr>
          <w:spacing w:val="-24"/>
        </w:rPr>
        <w:t> </w:t>
      </w:r>
      <w:r>
        <w:rPr/>
        <w:t>in</w:t>
      </w:r>
      <w:r>
        <w:rPr>
          <w:spacing w:val="-25"/>
        </w:rPr>
        <w:t> </w:t>
      </w:r>
      <w:r>
        <w:rPr/>
        <w:t>bone</w:t>
      </w:r>
      <w:r>
        <w:rPr>
          <w:spacing w:val="-26"/>
        </w:rPr>
        <w:t> </w:t>
      </w:r>
      <w:r>
        <w:rPr/>
        <w:t>growth and bone compaction, as well as healthy teeth. But calcium can do more, as it also counteracts cardiovascular disease and</w:t>
      </w:r>
      <w:r>
        <w:rPr>
          <w:spacing w:val="3"/>
        </w:rPr>
        <w:t> </w:t>
      </w:r>
      <w:r>
        <w:rPr/>
        <w:t>cancer.</w:t>
      </w:r>
    </w:p>
    <w:p>
      <w:pPr>
        <w:pStyle w:val="BodyText"/>
        <w:spacing w:line="276" w:lineRule="auto" w:before="239"/>
        <w:ind w:left="616" w:right="139"/>
        <w:jc w:val="both"/>
      </w:pPr>
      <w:r>
        <w:rPr/>
        <w:t>Spirulina contains more calcium than milk, whereas the latter only harms the body,</w:t>
      </w:r>
      <w:r>
        <w:rPr>
          <w:spacing w:val="-23"/>
        </w:rPr>
        <w:t> </w:t>
      </w:r>
      <w:r>
        <w:rPr/>
        <w:t>since</w:t>
      </w:r>
      <w:r>
        <w:rPr>
          <w:spacing w:val="-23"/>
        </w:rPr>
        <w:t> </w:t>
      </w:r>
      <w:r>
        <w:rPr/>
        <w:t>no</w:t>
      </w:r>
      <w:r>
        <w:rPr>
          <w:spacing w:val="-22"/>
        </w:rPr>
        <w:t> </w:t>
      </w:r>
      <w:r>
        <w:rPr/>
        <w:t>adult</w:t>
      </w:r>
      <w:r>
        <w:rPr>
          <w:spacing w:val="-24"/>
        </w:rPr>
        <w:t> </w:t>
      </w:r>
      <w:r>
        <w:rPr/>
        <w:t>mammal,</w:t>
      </w:r>
      <w:r>
        <w:rPr>
          <w:spacing w:val="-24"/>
        </w:rPr>
        <w:t> </w:t>
      </w:r>
      <w:r>
        <w:rPr/>
        <w:t>including</w:t>
      </w:r>
      <w:r>
        <w:rPr>
          <w:spacing w:val="-22"/>
        </w:rPr>
        <w:t> </w:t>
      </w:r>
      <w:r>
        <w:rPr/>
        <w:t>humans,</w:t>
      </w:r>
      <w:r>
        <w:rPr>
          <w:spacing w:val="-23"/>
        </w:rPr>
        <w:t> </w:t>
      </w:r>
      <w:r>
        <w:rPr/>
        <w:t>is</w:t>
      </w:r>
      <w:r>
        <w:rPr>
          <w:spacing w:val="-24"/>
        </w:rPr>
        <w:t> </w:t>
      </w:r>
      <w:r>
        <w:rPr/>
        <w:t>predestined</w:t>
      </w:r>
      <w:r>
        <w:rPr>
          <w:spacing w:val="-22"/>
        </w:rPr>
        <w:t> </w:t>
      </w:r>
      <w:r>
        <w:rPr/>
        <w:t>to</w:t>
      </w:r>
      <w:r>
        <w:rPr>
          <w:spacing w:val="-23"/>
        </w:rPr>
        <w:t> </w:t>
      </w:r>
      <w:r>
        <w:rPr/>
        <w:t>tolerate</w:t>
      </w:r>
      <w:r>
        <w:rPr>
          <w:spacing w:val="-25"/>
        </w:rPr>
        <w:t> </w:t>
      </w:r>
      <w:r>
        <w:rPr/>
        <w:t>milk without further ado. In addition, the heating of milk destroys the</w:t>
      </w:r>
      <w:r>
        <w:rPr>
          <w:spacing w:val="-19"/>
        </w:rPr>
        <w:t> </w:t>
      </w:r>
      <w:r>
        <w:rPr/>
        <w:t>calcium.</w:t>
      </w:r>
    </w:p>
    <w:p>
      <w:pPr>
        <w:pStyle w:val="Heading1"/>
        <w:ind w:left="616"/>
      </w:pPr>
      <w:r>
        <w:rPr/>
        <w:t>The role of potassium in our</w:t>
      </w:r>
      <w:r>
        <w:rPr>
          <w:spacing w:val="-63"/>
        </w:rPr>
        <w:t> </w:t>
      </w:r>
      <w:r>
        <w:rPr/>
        <w:t>organism</w:t>
      </w:r>
    </w:p>
    <w:p>
      <w:pPr>
        <w:pStyle w:val="BodyText"/>
        <w:spacing w:line="276" w:lineRule="auto" w:before="299"/>
        <w:ind w:left="616" w:right="141"/>
        <w:jc w:val="both"/>
      </w:pPr>
      <w:r>
        <w:rPr/>
        <w:t>Potassium is responsible for regulating the fluid balance in our body and is important for the proper functioning of nerves and muscles.</w:t>
      </w:r>
    </w:p>
    <w:p>
      <w:pPr>
        <w:pStyle w:val="Heading1"/>
        <w:spacing w:before="222"/>
        <w:ind w:left="616"/>
      </w:pPr>
      <w:r>
        <w:rPr/>
        <w:t>The role of iron in spirulina</w:t>
      </w:r>
      <w:r>
        <w:rPr>
          <w:spacing w:val="-60"/>
        </w:rPr>
        <w:t> </w:t>
      </w:r>
      <w:r>
        <w:rPr/>
        <w:t>platensis</w:t>
      </w:r>
    </w:p>
    <w:p>
      <w:pPr>
        <w:pStyle w:val="BodyText"/>
        <w:spacing w:line="276" w:lineRule="auto" w:before="299"/>
        <w:ind w:left="616" w:right="136"/>
        <w:jc w:val="both"/>
      </w:pPr>
      <w:r>
        <w:rPr/>
        <w:t>Iron deficiency is the highest mineral deficiency in the world, affecting 80 % of the world's total population. Iron plays an important role in our immune system and circulation in our organs and an iron deficiency can cause many</w:t>
      </w:r>
    </w:p>
    <w:p>
      <w:pPr>
        <w:spacing w:after="0" w:line="276" w:lineRule="auto"/>
        <w:jc w:val="both"/>
        <w:sectPr>
          <w:footerReference w:type="default" r:id="rId360"/>
          <w:pgSz w:w="14270" w:h="16850"/>
          <w:pgMar w:footer="1891" w:header="0" w:top="1340" w:bottom="2080" w:left="800" w:right="1280"/>
          <w:pgNumType w:start="1530"/>
        </w:sectPr>
      </w:pPr>
    </w:p>
    <w:p>
      <w:pPr>
        <w:pStyle w:val="BodyText"/>
        <w:spacing w:line="278" w:lineRule="auto" w:before="72"/>
        <w:ind w:left="616" w:right="137"/>
        <w:jc w:val="both"/>
      </w:pPr>
      <w:r>
        <w:rPr/>
        <w:t>diseases ranging from blood anaemia and permanent fatigue to mental devel- opmental disorders in children and adolescents.</w:t>
      </w:r>
    </w:p>
    <w:p>
      <w:pPr>
        <w:pStyle w:val="BodyText"/>
        <w:spacing w:line="278" w:lineRule="auto" w:before="232"/>
        <w:ind w:left="616" w:right="142"/>
        <w:jc w:val="both"/>
      </w:pPr>
      <w:r>
        <w:rPr/>
        <w:t>It is difficult to achieve an adequate supply of iron through the normal diet, especially for vegetarians.</w:t>
      </w:r>
    </w:p>
    <w:p>
      <w:pPr>
        <w:pStyle w:val="BodyText"/>
        <w:spacing w:line="276" w:lineRule="auto" w:before="232"/>
        <w:ind w:left="616" w:right="144"/>
        <w:jc w:val="both"/>
      </w:pPr>
      <w:r>
        <w:rPr/>
        <w:t>Iron preparations in isolated form can even be dangerous; spirulina, on the other hand, provides iron in an organic, highly absorbable form and contains 25 to 50 times as much iron as is contained in meat. This makes it a must for vegetarians!</w:t>
      </w:r>
    </w:p>
    <w:p>
      <w:pPr>
        <w:pStyle w:val="Heading1"/>
        <w:spacing w:before="225"/>
        <w:ind w:left="616"/>
      </w:pPr>
      <w:r>
        <w:rPr/>
        <w:t>Effect of manganese</w:t>
      </w:r>
    </w:p>
    <w:p>
      <w:pPr>
        <w:pStyle w:val="BodyText"/>
        <w:spacing w:line="276" w:lineRule="auto" w:before="297"/>
        <w:ind w:left="616" w:right="131"/>
        <w:jc w:val="both"/>
      </w:pPr>
      <w:r>
        <w:rPr/>
        <w:t>Manganese is also a mineral which is indispensable for brain function and a strong immune system. Furthermore, it is important for healthy joints and a healthy nervous system. By regulating blood sugar levels, manganese also has a positive influence on diabetes.</w:t>
      </w:r>
    </w:p>
    <w:p>
      <w:pPr>
        <w:pStyle w:val="Heading1"/>
        <w:spacing w:before="225"/>
        <w:ind w:left="616"/>
      </w:pPr>
      <w:r>
        <w:rPr/>
        <w:t>Effect of magnesium</w:t>
      </w:r>
    </w:p>
    <w:p>
      <w:pPr>
        <w:pStyle w:val="BodyText"/>
        <w:spacing w:line="276" w:lineRule="auto" w:before="299"/>
        <w:ind w:left="616" w:right="131"/>
        <w:jc w:val="both"/>
      </w:pPr>
      <w:r>
        <w:rPr/>
        <w:t>Magnesium is strongly involved in enzyme activity and activates the so-called 'osteoblasts',</w:t>
      </w:r>
      <w:r>
        <w:rPr>
          <w:spacing w:val="-19"/>
        </w:rPr>
        <w:t> </w:t>
      </w:r>
      <w:r>
        <w:rPr/>
        <w:t>which</w:t>
      </w:r>
      <w:r>
        <w:rPr>
          <w:spacing w:val="-16"/>
        </w:rPr>
        <w:t> </w:t>
      </w:r>
      <w:r>
        <w:rPr/>
        <w:t>are</w:t>
      </w:r>
      <w:r>
        <w:rPr>
          <w:spacing w:val="-19"/>
        </w:rPr>
        <w:t> </w:t>
      </w:r>
      <w:r>
        <w:rPr/>
        <w:t>responsible</w:t>
      </w:r>
      <w:r>
        <w:rPr>
          <w:spacing w:val="-18"/>
        </w:rPr>
        <w:t> </w:t>
      </w:r>
      <w:r>
        <w:rPr/>
        <w:t>for</w:t>
      </w:r>
      <w:r>
        <w:rPr>
          <w:spacing w:val="-18"/>
        </w:rPr>
        <w:t> </w:t>
      </w:r>
      <w:r>
        <w:rPr/>
        <w:t>strong</w:t>
      </w:r>
      <w:r>
        <w:rPr>
          <w:spacing w:val="-18"/>
        </w:rPr>
        <w:t> </w:t>
      </w:r>
      <w:r>
        <w:rPr/>
        <w:t>bones;</w:t>
      </w:r>
      <w:r>
        <w:rPr>
          <w:spacing w:val="-18"/>
        </w:rPr>
        <w:t> </w:t>
      </w:r>
      <w:r>
        <w:rPr/>
        <w:t>last</w:t>
      </w:r>
      <w:r>
        <w:rPr>
          <w:spacing w:val="-18"/>
        </w:rPr>
        <w:t> </w:t>
      </w:r>
      <w:r>
        <w:rPr/>
        <w:t>but</w:t>
      </w:r>
      <w:r>
        <w:rPr>
          <w:spacing w:val="-18"/>
        </w:rPr>
        <w:t> </w:t>
      </w:r>
      <w:r>
        <w:rPr/>
        <w:t>not</w:t>
      </w:r>
      <w:r>
        <w:rPr>
          <w:spacing w:val="-17"/>
        </w:rPr>
        <w:t> </w:t>
      </w:r>
      <w:r>
        <w:rPr/>
        <w:t>least,</w:t>
      </w:r>
      <w:r>
        <w:rPr>
          <w:spacing w:val="-17"/>
        </w:rPr>
        <w:t> </w:t>
      </w:r>
      <w:r>
        <w:rPr/>
        <w:t>it</w:t>
      </w:r>
      <w:r>
        <w:rPr>
          <w:spacing w:val="-18"/>
        </w:rPr>
        <w:t> </w:t>
      </w:r>
      <w:r>
        <w:rPr/>
        <w:t>works against cardiovascular diseases and lowers high blood</w:t>
      </w:r>
      <w:r>
        <w:rPr>
          <w:spacing w:val="-2"/>
        </w:rPr>
        <w:t> </w:t>
      </w:r>
      <w:r>
        <w:rPr/>
        <w:t>pressure.</w:t>
      </w:r>
    </w:p>
    <w:p>
      <w:pPr>
        <w:pStyle w:val="Heading1"/>
        <w:spacing w:before="221"/>
        <w:ind w:left="616"/>
        <w:jc w:val="both"/>
      </w:pPr>
      <w:r>
        <w:rPr/>
        <w:t>Effect of selenium</w:t>
      </w:r>
    </w:p>
    <w:p>
      <w:pPr>
        <w:pStyle w:val="BodyText"/>
        <w:spacing w:before="300"/>
        <w:ind w:left="616"/>
        <w:jc w:val="both"/>
      </w:pPr>
      <w:r>
        <w:rPr/>
        <w:t>Selenium acts as an antioxidant, is involved in strengthening the immune</w:t>
      </w:r>
      <w:r>
        <w:rPr>
          <w:spacing w:val="65"/>
        </w:rPr>
        <w:t> </w:t>
      </w:r>
      <w:r>
        <w:rPr/>
        <w:t>sys-</w:t>
      </w:r>
    </w:p>
    <w:p>
      <w:pPr>
        <w:spacing w:after="0"/>
        <w:jc w:val="both"/>
        <w:sectPr>
          <w:pgSz w:w="14270" w:h="16850"/>
          <w:pgMar w:header="0" w:footer="1891" w:top="1340" w:bottom="2080" w:left="800" w:right="1280"/>
        </w:sectPr>
      </w:pPr>
    </w:p>
    <w:p>
      <w:pPr>
        <w:pStyle w:val="BodyText"/>
        <w:spacing w:line="276" w:lineRule="auto" w:before="72"/>
        <w:ind w:left="616" w:right="134"/>
        <w:jc w:val="both"/>
      </w:pPr>
      <w:r>
        <w:rPr/>
        <w:t>tem, protects the cardiovascular system, lowers high blood pressure, has a de- toxifying</w:t>
      </w:r>
      <w:r>
        <w:rPr>
          <w:spacing w:val="-12"/>
        </w:rPr>
        <w:t> </w:t>
      </w:r>
      <w:r>
        <w:rPr/>
        <w:t>and</w:t>
      </w:r>
      <w:r>
        <w:rPr>
          <w:spacing w:val="-11"/>
        </w:rPr>
        <w:t> </w:t>
      </w:r>
      <w:r>
        <w:rPr/>
        <w:t>anti-inflammatory</w:t>
      </w:r>
      <w:r>
        <w:rPr>
          <w:spacing w:val="-9"/>
        </w:rPr>
        <w:t> </w:t>
      </w:r>
      <w:r>
        <w:rPr/>
        <w:t>effect,</w:t>
      </w:r>
      <w:r>
        <w:rPr>
          <w:spacing w:val="-12"/>
        </w:rPr>
        <w:t> </w:t>
      </w:r>
      <w:r>
        <w:rPr/>
        <w:t>acts</w:t>
      </w:r>
      <w:r>
        <w:rPr>
          <w:spacing w:val="-12"/>
        </w:rPr>
        <w:t> </w:t>
      </w:r>
      <w:r>
        <w:rPr/>
        <w:t>against</w:t>
      </w:r>
      <w:r>
        <w:rPr>
          <w:spacing w:val="-12"/>
        </w:rPr>
        <w:t> </w:t>
      </w:r>
      <w:r>
        <w:rPr/>
        <w:t>viruses</w:t>
      </w:r>
      <w:r>
        <w:rPr>
          <w:spacing w:val="-10"/>
        </w:rPr>
        <w:t> </w:t>
      </w:r>
      <w:r>
        <w:rPr/>
        <w:t>and</w:t>
      </w:r>
      <w:r>
        <w:rPr>
          <w:spacing w:val="-12"/>
        </w:rPr>
        <w:t> </w:t>
      </w:r>
      <w:r>
        <w:rPr/>
        <w:t>prevents</w:t>
      </w:r>
      <w:r>
        <w:rPr>
          <w:spacing w:val="-11"/>
        </w:rPr>
        <w:t> </w:t>
      </w:r>
      <w:r>
        <w:rPr/>
        <w:t>muta- tions. Selenium counteracts carcinogenesis and can positively affect existing cancers.</w:t>
      </w:r>
      <w:r>
        <w:rPr>
          <w:spacing w:val="-22"/>
        </w:rPr>
        <w:t> </w:t>
      </w:r>
      <w:r>
        <w:rPr/>
        <w:t>Selenium</w:t>
      </w:r>
      <w:r>
        <w:rPr>
          <w:spacing w:val="-20"/>
        </w:rPr>
        <w:t> </w:t>
      </w:r>
      <w:r>
        <w:rPr/>
        <w:t>protects</w:t>
      </w:r>
      <w:r>
        <w:rPr>
          <w:spacing w:val="-21"/>
        </w:rPr>
        <w:t> </w:t>
      </w:r>
      <w:r>
        <w:rPr/>
        <w:t>against</w:t>
      </w:r>
      <w:r>
        <w:rPr>
          <w:spacing w:val="-20"/>
        </w:rPr>
        <w:t> </w:t>
      </w:r>
      <w:r>
        <w:rPr/>
        <w:t>UV</w:t>
      </w:r>
      <w:r>
        <w:rPr>
          <w:spacing w:val="-23"/>
        </w:rPr>
        <w:t> </w:t>
      </w:r>
      <w:r>
        <w:rPr/>
        <w:t>rays</w:t>
      </w:r>
      <w:r>
        <w:rPr>
          <w:spacing w:val="-18"/>
        </w:rPr>
        <w:t> </w:t>
      </w:r>
      <w:r>
        <w:rPr/>
        <w:t>and</w:t>
      </w:r>
      <w:r>
        <w:rPr>
          <w:spacing w:val="-22"/>
        </w:rPr>
        <w:t> </w:t>
      </w:r>
      <w:r>
        <w:rPr/>
        <w:t>prolongs</w:t>
      </w:r>
      <w:r>
        <w:rPr>
          <w:spacing w:val="-21"/>
        </w:rPr>
        <w:t> </w:t>
      </w:r>
      <w:r>
        <w:rPr/>
        <w:t>life.</w:t>
      </w:r>
      <w:r>
        <w:rPr>
          <w:spacing w:val="-19"/>
        </w:rPr>
        <w:t> </w:t>
      </w:r>
      <w:r>
        <w:rPr/>
        <w:t>It</w:t>
      </w:r>
      <w:r>
        <w:rPr>
          <w:spacing w:val="-23"/>
        </w:rPr>
        <w:t> </w:t>
      </w:r>
      <w:r>
        <w:rPr/>
        <w:t>can</w:t>
      </w:r>
      <w:r>
        <w:rPr>
          <w:spacing w:val="-19"/>
        </w:rPr>
        <w:t> </w:t>
      </w:r>
      <w:r>
        <w:rPr/>
        <w:t>also</w:t>
      </w:r>
      <w:r>
        <w:rPr>
          <w:spacing w:val="-21"/>
        </w:rPr>
        <w:t> </w:t>
      </w:r>
      <w:r>
        <w:rPr/>
        <w:t>reduce the side effects of chemotherapy and</w:t>
      </w:r>
      <w:r>
        <w:rPr>
          <w:spacing w:val="2"/>
        </w:rPr>
        <w:t> </w:t>
      </w:r>
      <w:r>
        <w:rPr/>
        <w:t>radiation.</w:t>
      </w:r>
    </w:p>
    <w:p>
      <w:pPr>
        <w:pStyle w:val="Heading1"/>
        <w:ind w:left="616"/>
      </w:pPr>
      <w:r>
        <w:rPr/>
        <w:t>What effect does chromium from spirulina have?</w:t>
      </w:r>
    </w:p>
    <w:p>
      <w:pPr>
        <w:pStyle w:val="BodyText"/>
        <w:spacing w:line="276" w:lineRule="auto" w:before="300"/>
        <w:ind w:left="616" w:right="133"/>
        <w:jc w:val="both"/>
      </w:pPr>
      <w:r>
        <w:rPr/>
        <w:t>Chromium helps prevent atherosclerosis by lowering cholesterol levels and counteracting</w:t>
      </w:r>
      <w:r>
        <w:rPr>
          <w:spacing w:val="-12"/>
        </w:rPr>
        <w:t> </w:t>
      </w:r>
      <w:r>
        <w:rPr/>
        <w:t>cardiovascular</w:t>
      </w:r>
      <w:r>
        <w:rPr>
          <w:spacing w:val="-12"/>
        </w:rPr>
        <w:t> </w:t>
      </w:r>
      <w:r>
        <w:rPr/>
        <w:t>disease.</w:t>
      </w:r>
      <w:r>
        <w:rPr>
          <w:spacing w:val="-12"/>
        </w:rPr>
        <w:t> </w:t>
      </w:r>
      <w:r>
        <w:rPr/>
        <w:t>It</w:t>
      </w:r>
      <w:r>
        <w:rPr>
          <w:spacing w:val="-12"/>
        </w:rPr>
        <w:t> </w:t>
      </w:r>
      <w:r>
        <w:rPr/>
        <w:t>also</w:t>
      </w:r>
      <w:r>
        <w:rPr>
          <w:spacing w:val="-12"/>
        </w:rPr>
        <w:t> </w:t>
      </w:r>
      <w:r>
        <w:rPr/>
        <w:t>controls</w:t>
      </w:r>
      <w:r>
        <w:rPr>
          <w:spacing w:val="-11"/>
        </w:rPr>
        <w:t> </w:t>
      </w:r>
      <w:r>
        <w:rPr/>
        <w:t>blood</w:t>
      </w:r>
      <w:r>
        <w:rPr>
          <w:spacing w:val="-12"/>
        </w:rPr>
        <w:t> </w:t>
      </w:r>
      <w:r>
        <w:rPr/>
        <w:t>sugar</w:t>
      </w:r>
      <w:r>
        <w:rPr>
          <w:spacing w:val="-11"/>
        </w:rPr>
        <w:t> </w:t>
      </w:r>
      <w:r>
        <w:rPr/>
        <w:t>levels</w:t>
      </w:r>
      <w:r>
        <w:rPr>
          <w:spacing w:val="-12"/>
        </w:rPr>
        <w:t> </w:t>
      </w:r>
      <w:r>
        <w:rPr/>
        <w:t>to</w:t>
      </w:r>
      <w:r>
        <w:rPr>
          <w:spacing w:val="-11"/>
        </w:rPr>
        <w:t> </w:t>
      </w:r>
      <w:r>
        <w:rPr/>
        <w:t>pre- vent diabetes.</w:t>
      </w:r>
    </w:p>
    <w:p>
      <w:pPr>
        <w:pStyle w:val="Heading1"/>
        <w:spacing w:before="222"/>
        <w:ind w:left="616"/>
      </w:pPr>
      <w:r>
        <w:rPr/>
        <w:t>Effect of zinc</w:t>
      </w:r>
    </w:p>
    <w:p>
      <w:pPr>
        <w:pStyle w:val="BodyText"/>
        <w:spacing w:line="278" w:lineRule="auto" w:before="299"/>
        <w:ind w:left="616" w:right="134"/>
        <w:jc w:val="both"/>
      </w:pPr>
      <w:r>
        <w:rPr/>
        <w:t>Zinc</w:t>
      </w:r>
      <w:r>
        <w:rPr>
          <w:spacing w:val="-11"/>
        </w:rPr>
        <w:t> </w:t>
      </w:r>
      <w:r>
        <w:rPr/>
        <w:t>is</w:t>
      </w:r>
      <w:r>
        <w:rPr>
          <w:spacing w:val="-12"/>
        </w:rPr>
        <w:t> </w:t>
      </w:r>
      <w:r>
        <w:rPr/>
        <w:t>important</w:t>
      </w:r>
      <w:r>
        <w:rPr>
          <w:spacing w:val="-12"/>
        </w:rPr>
        <w:t> </w:t>
      </w:r>
      <w:r>
        <w:rPr/>
        <w:t>for</w:t>
      </w:r>
      <w:r>
        <w:rPr>
          <w:spacing w:val="-12"/>
        </w:rPr>
        <w:t> </w:t>
      </w:r>
      <w:r>
        <w:rPr/>
        <w:t>our</w:t>
      </w:r>
      <w:r>
        <w:rPr>
          <w:spacing w:val="-11"/>
        </w:rPr>
        <w:t> </w:t>
      </w:r>
      <w:r>
        <w:rPr/>
        <w:t>immune</w:t>
      </w:r>
      <w:r>
        <w:rPr>
          <w:spacing w:val="-11"/>
        </w:rPr>
        <w:t> </w:t>
      </w:r>
      <w:r>
        <w:rPr/>
        <w:t>system.</w:t>
      </w:r>
      <w:r>
        <w:rPr>
          <w:spacing w:val="-12"/>
        </w:rPr>
        <w:t> </w:t>
      </w:r>
      <w:r>
        <w:rPr/>
        <w:t>It</w:t>
      </w:r>
      <w:r>
        <w:rPr>
          <w:spacing w:val="-12"/>
        </w:rPr>
        <w:t> </w:t>
      </w:r>
      <w:r>
        <w:rPr/>
        <w:t>is</w:t>
      </w:r>
      <w:r>
        <w:rPr>
          <w:spacing w:val="-13"/>
        </w:rPr>
        <w:t> </w:t>
      </w:r>
      <w:r>
        <w:rPr/>
        <w:t>involved</w:t>
      </w:r>
      <w:r>
        <w:rPr>
          <w:spacing w:val="-11"/>
        </w:rPr>
        <w:t> </w:t>
      </w:r>
      <w:r>
        <w:rPr/>
        <w:t>in</w:t>
      </w:r>
      <w:r>
        <w:rPr>
          <w:spacing w:val="-12"/>
        </w:rPr>
        <w:t> </w:t>
      </w:r>
      <w:r>
        <w:rPr/>
        <w:t>wound</w:t>
      </w:r>
      <w:r>
        <w:rPr>
          <w:spacing w:val="-11"/>
        </w:rPr>
        <w:t> </w:t>
      </w:r>
      <w:r>
        <w:rPr/>
        <w:t>healing</w:t>
      </w:r>
      <w:r>
        <w:rPr>
          <w:spacing w:val="-11"/>
        </w:rPr>
        <w:t> </w:t>
      </w:r>
      <w:r>
        <w:rPr/>
        <w:t>and, moreover, significantly involved in enzyme</w:t>
      </w:r>
      <w:r>
        <w:rPr>
          <w:spacing w:val="1"/>
        </w:rPr>
        <w:t> </w:t>
      </w:r>
      <w:r>
        <w:rPr/>
        <w:t>activity.</w:t>
      </w:r>
    </w:p>
    <w:p>
      <w:pPr>
        <w:pStyle w:val="Heading1"/>
        <w:spacing w:before="215"/>
        <w:ind w:left="616"/>
      </w:pPr>
      <w:r>
        <w:rPr/>
        <w:t>Effect of germanium</w:t>
      </w:r>
    </w:p>
    <w:p>
      <w:pPr>
        <w:spacing w:line="276" w:lineRule="auto" w:before="300"/>
        <w:ind w:left="616" w:right="136" w:firstLine="0"/>
        <w:jc w:val="both"/>
        <w:rPr>
          <w:i/>
          <w:sz w:val="38"/>
        </w:rPr>
      </w:pPr>
      <w:r>
        <w:rPr>
          <w:sz w:val="38"/>
        </w:rPr>
        <w:t>While</w:t>
      </w:r>
      <w:r>
        <w:rPr>
          <w:spacing w:val="-22"/>
          <w:sz w:val="38"/>
        </w:rPr>
        <w:t> </w:t>
      </w:r>
      <w:r>
        <w:rPr>
          <w:sz w:val="38"/>
        </w:rPr>
        <w:t>almost</w:t>
      </w:r>
      <w:r>
        <w:rPr>
          <w:spacing w:val="-21"/>
          <w:sz w:val="38"/>
        </w:rPr>
        <w:t> </w:t>
      </w:r>
      <w:r>
        <w:rPr>
          <w:sz w:val="38"/>
        </w:rPr>
        <w:t>all</w:t>
      </w:r>
      <w:r>
        <w:rPr>
          <w:spacing w:val="-19"/>
          <w:sz w:val="38"/>
        </w:rPr>
        <w:t> </w:t>
      </w:r>
      <w:r>
        <w:rPr>
          <w:sz w:val="38"/>
        </w:rPr>
        <w:t>minerals</w:t>
      </w:r>
      <w:r>
        <w:rPr>
          <w:spacing w:val="-20"/>
          <w:sz w:val="38"/>
        </w:rPr>
        <w:t> </w:t>
      </w:r>
      <w:r>
        <w:rPr>
          <w:sz w:val="38"/>
        </w:rPr>
        <w:t>and</w:t>
      </w:r>
      <w:r>
        <w:rPr>
          <w:spacing w:val="-20"/>
          <w:sz w:val="38"/>
        </w:rPr>
        <w:t> </w:t>
      </w:r>
      <w:r>
        <w:rPr>
          <w:sz w:val="38"/>
        </w:rPr>
        <w:t>trace</w:t>
      </w:r>
      <w:r>
        <w:rPr>
          <w:spacing w:val="-20"/>
          <w:sz w:val="38"/>
        </w:rPr>
        <w:t> </w:t>
      </w:r>
      <w:r>
        <w:rPr>
          <w:sz w:val="38"/>
        </w:rPr>
        <w:t>elements</w:t>
      </w:r>
      <w:r>
        <w:rPr>
          <w:spacing w:val="-21"/>
          <w:sz w:val="38"/>
        </w:rPr>
        <w:t> </w:t>
      </w:r>
      <w:r>
        <w:rPr>
          <w:sz w:val="38"/>
        </w:rPr>
        <w:t>are</w:t>
      </w:r>
      <w:r>
        <w:rPr>
          <w:spacing w:val="-20"/>
          <w:sz w:val="38"/>
        </w:rPr>
        <w:t> </w:t>
      </w:r>
      <w:r>
        <w:rPr>
          <w:sz w:val="38"/>
        </w:rPr>
        <w:t>known</w:t>
      </w:r>
      <w:r>
        <w:rPr>
          <w:spacing w:val="-20"/>
          <w:sz w:val="38"/>
        </w:rPr>
        <w:t> </w:t>
      </w:r>
      <w:r>
        <w:rPr>
          <w:sz w:val="38"/>
        </w:rPr>
        <w:t>to</w:t>
      </w:r>
      <w:r>
        <w:rPr>
          <w:spacing w:val="-20"/>
          <w:sz w:val="38"/>
        </w:rPr>
        <w:t> </w:t>
      </w:r>
      <w:r>
        <w:rPr>
          <w:sz w:val="38"/>
        </w:rPr>
        <w:t>most</w:t>
      </w:r>
      <w:r>
        <w:rPr>
          <w:spacing w:val="-20"/>
          <w:sz w:val="38"/>
        </w:rPr>
        <w:t> </w:t>
      </w:r>
      <w:r>
        <w:rPr>
          <w:sz w:val="38"/>
        </w:rPr>
        <w:t>people,</w:t>
      </w:r>
      <w:r>
        <w:rPr>
          <w:spacing w:val="-20"/>
          <w:sz w:val="38"/>
        </w:rPr>
        <w:t> </w:t>
      </w:r>
      <w:r>
        <w:rPr>
          <w:sz w:val="38"/>
        </w:rPr>
        <w:t>at</w:t>
      </w:r>
      <w:r>
        <w:rPr>
          <w:spacing w:val="-21"/>
          <w:sz w:val="38"/>
        </w:rPr>
        <w:t> </w:t>
      </w:r>
      <w:r>
        <w:rPr>
          <w:sz w:val="38"/>
        </w:rPr>
        <w:t>least by name, and numerous healthy functions in the organism require their pres- ence, germanium stands out because very few people have heard of it and it seems</w:t>
      </w:r>
      <w:r>
        <w:rPr>
          <w:spacing w:val="-5"/>
          <w:sz w:val="38"/>
        </w:rPr>
        <w:t> </w:t>
      </w:r>
      <w:r>
        <w:rPr>
          <w:sz w:val="38"/>
        </w:rPr>
        <w:t>to</w:t>
      </w:r>
      <w:r>
        <w:rPr>
          <w:spacing w:val="-7"/>
          <w:sz w:val="38"/>
        </w:rPr>
        <w:t> </w:t>
      </w:r>
      <w:r>
        <w:rPr>
          <w:sz w:val="38"/>
        </w:rPr>
        <w:t>have</w:t>
      </w:r>
      <w:r>
        <w:rPr>
          <w:spacing w:val="-4"/>
          <w:sz w:val="38"/>
        </w:rPr>
        <w:t> </w:t>
      </w:r>
      <w:r>
        <w:rPr>
          <w:sz w:val="38"/>
        </w:rPr>
        <w:t>almost</w:t>
      </w:r>
      <w:r>
        <w:rPr>
          <w:spacing w:val="-3"/>
          <w:sz w:val="38"/>
        </w:rPr>
        <w:t> </w:t>
      </w:r>
      <w:r>
        <w:rPr>
          <w:sz w:val="38"/>
        </w:rPr>
        <w:t>miraculous</w:t>
      </w:r>
      <w:r>
        <w:rPr>
          <w:spacing w:val="-4"/>
          <w:sz w:val="38"/>
        </w:rPr>
        <w:t> </w:t>
      </w:r>
      <w:r>
        <w:rPr>
          <w:sz w:val="38"/>
        </w:rPr>
        <w:t>powers.</w:t>
      </w:r>
      <w:r>
        <w:rPr>
          <w:spacing w:val="-5"/>
          <w:sz w:val="38"/>
        </w:rPr>
        <w:t> </w:t>
      </w:r>
      <w:r>
        <w:rPr>
          <w:sz w:val="38"/>
        </w:rPr>
        <w:t>Or,</w:t>
      </w:r>
      <w:r>
        <w:rPr>
          <w:spacing w:val="-6"/>
          <w:sz w:val="38"/>
        </w:rPr>
        <w:t> </w:t>
      </w:r>
      <w:r>
        <w:rPr>
          <w:sz w:val="38"/>
        </w:rPr>
        <w:t>to</w:t>
      </w:r>
      <w:r>
        <w:rPr>
          <w:spacing w:val="-9"/>
          <w:sz w:val="38"/>
        </w:rPr>
        <w:t> </w:t>
      </w:r>
      <w:r>
        <w:rPr>
          <w:sz w:val="38"/>
        </w:rPr>
        <w:t>put</w:t>
      </w:r>
      <w:r>
        <w:rPr>
          <w:spacing w:val="-5"/>
          <w:sz w:val="38"/>
        </w:rPr>
        <w:t> </w:t>
      </w:r>
      <w:r>
        <w:rPr>
          <w:sz w:val="38"/>
        </w:rPr>
        <w:t>it</w:t>
      </w:r>
      <w:r>
        <w:rPr>
          <w:spacing w:val="-6"/>
          <w:sz w:val="38"/>
        </w:rPr>
        <w:t> </w:t>
      </w:r>
      <w:r>
        <w:rPr>
          <w:sz w:val="38"/>
        </w:rPr>
        <w:t>in</w:t>
      </w:r>
      <w:r>
        <w:rPr>
          <w:spacing w:val="-4"/>
          <w:sz w:val="38"/>
        </w:rPr>
        <w:t> </w:t>
      </w:r>
      <w:r>
        <w:rPr>
          <w:sz w:val="38"/>
        </w:rPr>
        <w:t>words</w:t>
      </w:r>
      <w:r>
        <w:rPr>
          <w:spacing w:val="-6"/>
          <w:sz w:val="38"/>
        </w:rPr>
        <w:t> </w:t>
      </w:r>
      <w:r>
        <w:rPr>
          <w:sz w:val="38"/>
        </w:rPr>
        <w:t>of</w:t>
      </w:r>
      <w:r>
        <w:rPr>
          <w:spacing w:val="-5"/>
          <w:sz w:val="38"/>
        </w:rPr>
        <w:t> </w:t>
      </w:r>
      <w:r>
        <w:rPr>
          <w:sz w:val="38"/>
        </w:rPr>
        <w:t>the</w:t>
      </w:r>
      <w:r>
        <w:rPr>
          <w:spacing w:val="-4"/>
          <w:sz w:val="38"/>
        </w:rPr>
        <w:t> </w:t>
      </w:r>
      <w:r>
        <w:rPr>
          <w:sz w:val="38"/>
        </w:rPr>
        <w:t>discov- erer and researcher of organic germanium: </w:t>
      </w:r>
      <w:r>
        <w:rPr>
          <w:spacing w:val="2"/>
          <w:sz w:val="38"/>
        </w:rPr>
        <w:t>'</w:t>
      </w:r>
      <w:r>
        <w:rPr>
          <w:i/>
          <w:spacing w:val="2"/>
          <w:sz w:val="38"/>
        </w:rPr>
        <w:t>It </w:t>
      </w:r>
      <w:r>
        <w:rPr>
          <w:i/>
          <w:sz w:val="38"/>
        </w:rPr>
        <w:t>seems as if germanium is a substance </w:t>
      </w:r>
      <w:r>
        <w:rPr>
          <w:i/>
          <w:sz w:val="38"/>
        </w:rPr>
        <w:t>that comes directly from previously unknown dimensions with immediate connection to the vital forces of</w:t>
      </w:r>
      <w:r>
        <w:rPr>
          <w:i/>
          <w:spacing w:val="-2"/>
          <w:sz w:val="38"/>
        </w:rPr>
        <w:t> </w:t>
      </w:r>
      <w:r>
        <w:rPr>
          <w:i/>
          <w:sz w:val="38"/>
        </w:rPr>
        <w:t>life'.</w:t>
      </w:r>
    </w:p>
    <w:p>
      <w:pPr>
        <w:pStyle w:val="BodyText"/>
        <w:spacing w:before="240"/>
        <w:ind w:left="616"/>
        <w:jc w:val="both"/>
      </w:pPr>
      <w:r>
        <w:rPr/>
        <w:t>Germanium</w:t>
      </w:r>
      <w:r>
        <w:rPr>
          <w:spacing w:val="-22"/>
        </w:rPr>
        <w:t> </w:t>
      </w:r>
      <w:r>
        <w:rPr/>
        <w:t>has</w:t>
      </w:r>
      <w:r>
        <w:rPr>
          <w:spacing w:val="-20"/>
        </w:rPr>
        <w:t> </w:t>
      </w:r>
      <w:r>
        <w:rPr/>
        <w:t>been</w:t>
      </w:r>
      <w:r>
        <w:rPr>
          <w:spacing w:val="-20"/>
        </w:rPr>
        <w:t> </w:t>
      </w:r>
      <w:r>
        <w:rPr/>
        <w:t>the</w:t>
      </w:r>
      <w:r>
        <w:rPr>
          <w:spacing w:val="-20"/>
        </w:rPr>
        <w:t> </w:t>
      </w:r>
      <w:r>
        <w:rPr/>
        <w:t>subject</w:t>
      </w:r>
      <w:r>
        <w:rPr>
          <w:spacing w:val="-23"/>
        </w:rPr>
        <w:t> </w:t>
      </w:r>
      <w:r>
        <w:rPr/>
        <w:t>of</w:t>
      </w:r>
      <w:r>
        <w:rPr>
          <w:spacing w:val="-20"/>
        </w:rPr>
        <w:t> </w:t>
      </w:r>
      <w:r>
        <w:rPr/>
        <w:t>numerous</w:t>
      </w:r>
      <w:r>
        <w:rPr>
          <w:spacing w:val="-21"/>
        </w:rPr>
        <w:t> </w:t>
      </w:r>
      <w:r>
        <w:rPr/>
        <w:t>experiments</w:t>
      </w:r>
      <w:r>
        <w:rPr>
          <w:spacing w:val="-21"/>
        </w:rPr>
        <w:t> </w:t>
      </w:r>
      <w:r>
        <w:rPr/>
        <w:t>and</w:t>
      </w:r>
      <w:r>
        <w:rPr>
          <w:spacing w:val="-20"/>
        </w:rPr>
        <w:t> </w:t>
      </w:r>
      <w:r>
        <w:rPr/>
        <w:t>its</w:t>
      </w:r>
      <w:r>
        <w:rPr>
          <w:spacing w:val="-22"/>
        </w:rPr>
        <w:t> </w:t>
      </w:r>
      <w:r>
        <w:rPr/>
        <w:t>effects</w:t>
      </w:r>
      <w:r>
        <w:rPr>
          <w:spacing w:val="-20"/>
        </w:rPr>
        <w:t> </w:t>
      </w:r>
      <w:r>
        <w:rPr/>
        <w:t>have</w:t>
      </w:r>
    </w:p>
    <w:p>
      <w:pPr>
        <w:spacing w:after="0"/>
        <w:jc w:val="both"/>
        <w:sectPr>
          <w:pgSz w:w="14270" w:h="16850"/>
          <w:pgMar w:header="0" w:footer="1891" w:top="1340" w:bottom="2080" w:left="800" w:right="1280"/>
        </w:sectPr>
      </w:pPr>
    </w:p>
    <w:p>
      <w:pPr>
        <w:pStyle w:val="BodyText"/>
        <w:spacing w:line="276" w:lineRule="auto" w:before="72"/>
        <w:ind w:left="616" w:right="131"/>
        <w:jc w:val="both"/>
      </w:pPr>
      <w:r>
        <w:rPr/>
        <w:t>been proven in reports by experienced therapists on diseases such as arthritis, cancer, cardiovascular diseases, multiple sclerosis, epilepsy, HIV/AIDS or os- teoporosis.</w:t>
      </w:r>
    </w:p>
    <w:p>
      <w:pPr>
        <w:pStyle w:val="BodyText"/>
        <w:spacing w:before="241"/>
        <w:ind w:left="616"/>
        <w:jc w:val="both"/>
      </w:pPr>
      <w:r>
        <w:rPr/>
        <w:t>This is described as:</w:t>
      </w:r>
    </w:p>
    <w:p>
      <w:pPr>
        <w:pStyle w:val="ListParagraph"/>
        <w:numPr>
          <w:ilvl w:val="0"/>
          <w:numId w:val="120"/>
        </w:numPr>
        <w:tabs>
          <w:tab w:pos="1032" w:val="left" w:leader="none"/>
        </w:tabs>
        <w:spacing w:line="240" w:lineRule="auto" w:before="265" w:after="0"/>
        <w:ind w:left="899" w:right="0" w:hanging="283"/>
        <w:jc w:val="both"/>
        <w:rPr>
          <w:sz w:val="38"/>
        </w:rPr>
      </w:pPr>
      <w:r>
        <w:rPr>
          <w:sz w:val="38"/>
        </w:rPr>
        <w:t>stimulating the immune</w:t>
      </w:r>
      <w:r>
        <w:rPr>
          <w:spacing w:val="3"/>
          <w:sz w:val="38"/>
        </w:rPr>
        <w:t> </w:t>
      </w:r>
      <w:r>
        <w:rPr>
          <w:sz w:val="38"/>
        </w:rPr>
        <w:t>system,</w:t>
      </w:r>
    </w:p>
    <w:p>
      <w:pPr>
        <w:pStyle w:val="ListParagraph"/>
        <w:numPr>
          <w:ilvl w:val="0"/>
          <w:numId w:val="120"/>
        </w:numPr>
        <w:tabs>
          <w:tab w:pos="1032" w:val="left" w:leader="none"/>
        </w:tabs>
        <w:spacing w:line="240" w:lineRule="auto" w:before="184" w:after="0"/>
        <w:ind w:left="899" w:right="0" w:hanging="283"/>
        <w:jc w:val="both"/>
        <w:rPr>
          <w:sz w:val="38"/>
        </w:rPr>
      </w:pPr>
      <w:r>
        <w:rPr>
          <w:sz w:val="38"/>
        </w:rPr>
        <w:t>anti-inflammatory,</w:t>
      </w:r>
    </w:p>
    <w:p>
      <w:pPr>
        <w:pStyle w:val="ListParagraph"/>
        <w:numPr>
          <w:ilvl w:val="0"/>
          <w:numId w:val="120"/>
        </w:numPr>
        <w:tabs>
          <w:tab w:pos="1032" w:val="left" w:leader="none"/>
        </w:tabs>
        <w:spacing w:line="240" w:lineRule="auto" w:before="186" w:after="0"/>
        <w:ind w:left="899" w:right="0" w:hanging="283"/>
        <w:jc w:val="both"/>
        <w:rPr>
          <w:sz w:val="38"/>
        </w:rPr>
      </w:pPr>
      <w:r>
        <w:rPr>
          <w:sz w:val="38"/>
        </w:rPr>
        <w:t>activating natural killer cells</w:t>
      </w:r>
      <w:r>
        <w:rPr>
          <w:spacing w:val="1"/>
          <w:sz w:val="38"/>
        </w:rPr>
        <w:t> </w:t>
      </w:r>
      <w:r>
        <w:rPr>
          <w:sz w:val="38"/>
        </w:rPr>
        <w:t>and</w:t>
      </w:r>
    </w:p>
    <w:p>
      <w:pPr>
        <w:pStyle w:val="ListParagraph"/>
        <w:numPr>
          <w:ilvl w:val="0"/>
          <w:numId w:val="120"/>
        </w:numPr>
        <w:tabs>
          <w:tab w:pos="1032" w:val="left" w:leader="none"/>
        </w:tabs>
        <w:spacing w:line="240" w:lineRule="auto" w:before="184" w:after="0"/>
        <w:ind w:left="899" w:right="0" w:hanging="283"/>
        <w:jc w:val="both"/>
        <w:rPr>
          <w:sz w:val="38"/>
        </w:rPr>
      </w:pPr>
      <w:r>
        <w:rPr>
          <w:sz w:val="38"/>
        </w:rPr>
        <w:t>promoting T-suppressor</w:t>
      </w:r>
      <w:r>
        <w:rPr>
          <w:spacing w:val="1"/>
          <w:sz w:val="38"/>
        </w:rPr>
        <w:t> </w:t>
      </w:r>
      <w:r>
        <w:rPr>
          <w:sz w:val="38"/>
        </w:rPr>
        <w:t>cells.</w:t>
      </w:r>
    </w:p>
    <w:p>
      <w:pPr>
        <w:pStyle w:val="BodyText"/>
        <w:spacing w:line="278" w:lineRule="auto" w:before="302"/>
        <w:ind w:left="616"/>
      </w:pPr>
      <w:r>
        <w:rPr/>
        <w:t>The expressly oxygen-promoting mechanisms of organic germanium reduce the risk and consequences of a heart attack or stroke.</w:t>
      </w:r>
    </w:p>
    <w:p>
      <w:pPr>
        <w:pStyle w:val="BodyText"/>
        <w:spacing w:line="276" w:lineRule="auto" w:before="232"/>
        <w:ind w:left="616" w:right="136"/>
        <w:jc w:val="both"/>
      </w:pPr>
      <w:r>
        <w:rPr/>
        <w:t>The</w:t>
      </w:r>
      <w:r>
        <w:rPr>
          <w:spacing w:val="-11"/>
        </w:rPr>
        <w:t> </w:t>
      </w:r>
      <w:r>
        <w:rPr/>
        <w:t>optimal</w:t>
      </w:r>
      <w:r>
        <w:rPr>
          <w:spacing w:val="-13"/>
        </w:rPr>
        <w:t> </w:t>
      </w:r>
      <w:r>
        <w:rPr/>
        <w:t>absorption</w:t>
      </w:r>
      <w:r>
        <w:rPr>
          <w:spacing w:val="-11"/>
        </w:rPr>
        <w:t> </w:t>
      </w:r>
      <w:r>
        <w:rPr/>
        <w:t>of</w:t>
      </w:r>
      <w:r>
        <w:rPr>
          <w:spacing w:val="-11"/>
        </w:rPr>
        <w:t> </w:t>
      </w:r>
      <w:r>
        <w:rPr/>
        <w:t>the</w:t>
      </w:r>
      <w:r>
        <w:rPr>
          <w:spacing w:val="-13"/>
        </w:rPr>
        <w:t> </w:t>
      </w:r>
      <w:r>
        <w:rPr/>
        <w:t>various</w:t>
      </w:r>
      <w:r>
        <w:rPr>
          <w:spacing w:val="-11"/>
        </w:rPr>
        <w:t> </w:t>
      </w:r>
      <w:r>
        <w:rPr/>
        <w:t>minerals</w:t>
      </w:r>
      <w:r>
        <w:rPr>
          <w:spacing w:val="-12"/>
        </w:rPr>
        <w:t> </w:t>
      </w:r>
      <w:r>
        <w:rPr/>
        <w:t>through</w:t>
      </w:r>
      <w:r>
        <w:rPr>
          <w:spacing w:val="-11"/>
        </w:rPr>
        <w:t> </w:t>
      </w:r>
      <w:r>
        <w:rPr/>
        <w:t>the</w:t>
      </w:r>
      <w:r>
        <w:rPr>
          <w:spacing w:val="-11"/>
        </w:rPr>
        <w:t> </w:t>
      </w:r>
      <w:r>
        <w:rPr/>
        <w:t>body</w:t>
      </w:r>
      <w:r>
        <w:rPr>
          <w:spacing w:val="-14"/>
        </w:rPr>
        <w:t> </w:t>
      </w:r>
      <w:r>
        <w:rPr/>
        <w:t>proves</w:t>
      </w:r>
      <w:r>
        <w:rPr>
          <w:spacing w:val="-11"/>
        </w:rPr>
        <w:t> </w:t>
      </w:r>
      <w:r>
        <w:rPr/>
        <w:t>to</w:t>
      </w:r>
      <w:r>
        <w:rPr>
          <w:spacing w:val="-14"/>
        </w:rPr>
        <w:t> </w:t>
      </w:r>
      <w:r>
        <w:rPr/>
        <w:t>be very satisfactory. The formation of chelates with amino acids increases the</w:t>
      </w:r>
      <w:r>
        <w:rPr>
          <w:spacing w:val="-44"/>
        </w:rPr>
        <w:t> </w:t>
      </w:r>
      <w:r>
        <w:rPr/>
        <w:t>ca- pacity of our organism to make better use of the</w:t>
      </w:r>
      <w:r>
        <w:rPr>
          <w:spacing w:val="-7"/>
        </w:rPr>
        <w:t> </w:t>
      </w:r>
      <w:r>
        <w:rPr/>
        <w:t>minerals.</w:t>
      </w:r>
    </w:p>
    <w:p>
      <w:pPr>
        <w:pStyle w:val="Heading2"/>
        <w:spacing w:before="242"/>
        <w:ind w:left="616"/>
        <w:jc w:val="both"/>
      </w:pPr>
      <w:r>
        <w:rPr/>
        <w:t>The minerals contained in spirulina have a positive effect</w:t>
      </w:r>
    </w:p>
    <w:p>
      <w:pPr>
        <w:pStyle w:val="ListParagraph"/>
        <w:numPr>
          <w:ilvl w:val="0"/>
          <w:numId w:val="120"/>
        </w:numPr>
        <w:tabs>
          <w:tab w:pos="1032" w:val="left" w:leader="none"/>
        </w:tabs>
        <w:spacing w:line="240" w:lineRule="auto" w:before="263" w:after="0"/>
        <w:ind w:left="899" w:right="0" w:hanging="283"/>
        <w:jc w:val="both"/>
        <w:rPr>
          <w:sz w:val="38"/>
        </w:rPr>
      </w:pPr>
      <w:r>
        <w:rPr>
          <w:sz w:val="38"/>
        </w:rPr>
        <w:t>on the regulation of the acid-base</w:t>
      </w:r>
      <w:r>
        <w:rPr>
          <w:spacing w:val="-1"/>
          <w:sz w:val="38"/>
        </w:rPr>
        <w:t> </w:t>
      </w:r>
      <w:r>
        <w:rPr>
          <w:sz w:val="38"/>
        </w:rPr>
        <w:t>balance,</w:t>
      </w:r>
    </w:p>
    <w:p>
      <w:pPr>
        <w:pStyle w:val="ListParagraph"/>
        <w:numPr>
          <w:ilvl w:val="0"/>
          <w:numId w:val="120"/>
        </w:numPr>
        <w:tabs>
          <w:tab w:pos="1032" w:val="left" w:leader="none"/>
        </w:tabs>
        <w:spacing w:line="240" w:lineRule="auto" w:before="186" w:after="0"/>
        <w:ind w:left="899" w:right="0" w:hanging="283"/>
        <w:jc w:val="both"/>
        <w:rPr>
          <w:sz w:val="38"/>
        </w:rPr>
      </w:pPr>
      <w:r>
        <w:rPr>
          <w:sz w:val="38"/>
        </w:rPr>
        <w:t>on the detoxification of the organism</w:t>
      </w:r>
      <w:r>
        <w:rPr>
          <w:spacing w:val="1"/>
          <w:sz w:val="38"/>
        </w:rPr>
        <w:t> </w:t>
      </w:r>
      <w:r>
        <w:rPr>
          <w:sz w:val="38"/>
        </w:rPr>
        <w:t>and</w:t>
      </w:r>
    </w:p>
    <w:p>
      <w:pPr>
        <w:pStyle w:val="ListParagraph"/>
        <w:numPr>
          <w:ilvl w:val="0"/>
          <w:numId w:val="120"/>
        </w:numPr>
        <w:tabs>
          <w:tab w:pos="1032" w:val="left" w:leader="none"/>
        </w:tabs>
        <w:spacing w:line="240" w:lineRule="auto" w:before="183" w:after="0"/>
        <w:ind w:left="899" w:right="0" w:hanging="283"/>
        <w:jc w:val="both"/>
        <w:rPr>
          <w:sz w:val="38"/>
        </w:rPr>
      </w:pPr>
      <w:r>
        <w:rPr>
          <w:sz w:val="38"/>
        </w:rPr>
        <w:t>on the strengthening of the immune</w:t>
      </w:r>
      <w:r>
        <w:rPr>
          <w:spacing w:val="1"/>
          <w:sz w:val="38"/>
        </w:rPr>
        <w:t> </w:t>
      </w:r>
      <w:r>
        <w:rPr>
          <w:sz w:val="38"/>
        </w:rPr>
        <w:t>system.</w:t>
      </w:r>
    </w:p>
    <w:p>
      <w:pPr>
        <w:pStyle w:val="Heading1"/>
        <w:spacing w:before="288"/>
        <w:ind w:left="616"/>
        <w:jc w:val="both"/>
      </w:pPr>
      <w:r>
        <w:rPr/>
        <w:t>Effect of pigments in spirulina</w:t>
      </w:r>
      <w:r>
        <w:rPr>
          <w:spacing w:val="-55"/>
        </w:rPr>
        <w:t> </w:t>
      </w:r>
      <w:r>
        <w:rPr/>
        <w:t>platensis</w:t>
      </w:r>
    </w:p>
    <w:p>
      <w:pPr>
        <w:spacing w:after="0"/>
        <w:jc w:val="both"/>
        <w:sectPr>
          <w:pgSz w:w="14270" w:h="16850"/>
          <w:pgMar w:header="0" w:footer="1891" w:top="1340" w:bottom="2080" w:left="800" w:right="1280"/>
        </w:sectPr>
      </w:pPr>
    </w:p>
    <w:p>
      <w:pPr>
        <w:pStyle w:val="BodyText"/>
        <w:spacing w:line="276" w:lineRule="auto" w:before="74"/>
        <w:ind w:left="616" w:right="140"/>
        <w:jc w:val="both"/>
      </w:pPr>
      <w:r>
        <w:rPr/>
        <w:t>Colour pigments not only give plants their typical colour, but also play an im- portant</w:t>
      </w:r>
      <w:r>
        <w:rPr>
          <w:spacing w:val="-12"/>
        </w:rPr>
        <w:t> </w:t>
      </w:r>
      <w:r>
        <w:rPr/>
        <w:t>role</w:t>
      </w:r>
      <w:r>
        <w:rPr>
          <w:spacing w:val="-12"/>
        </w:rPr>
        <w:t> </w:t>
      </w:r>
      <w:r>
        <w:rPr/>
        <w:t>in</w:t>
      </w:r>
      <w:r>
        <w:rPr>
          <w:spacing w:val="-13"/>
        </w:rPr>
        <w:t> </w:t>
      </w:r>
      <w:r>
        <w:rPr/>
        <w:t>their</w:t>
      </w:r>
      <w:r>
        <w:rPr>
          <w:spacing w:val="-12"/>
        </w:rPr>
        <w:t> </w:t>
      </w:r>
      <w:r>
        <w:rPr/>
        <w:t>health.</w:t>
      </w:r>
      <w:r>
        <w:rPr>
          <w:spacing w:val="-11"/>
        </w:rPr>
        <w:t> </w:t>
      </w:r>
      <w:r>
        <w:rPr/>
        <w:t>The</w:t>
      </w:r>
      <w:r>
        <w:rPr>
          <w:spacing w:val="-15"/>
        </w:rPr>
        <w:t> </w:t>
      </w:r>
      <w:r>
        <w:rPr/>
        <w:t>green</w:t>
      </w:r>
      <w:r>
        <w:rPr>
          <w:spacing w:val="-11"/>
        </w:rPr>
        <w:t> </w:t>
      </w:r>
      <w:r>
        <w:rPr/>
        <w:t>colour</w:t>
      </w:r>
      <w:r>
        <w:rPr>
          <w:spacing w:val="-13"/>
        </w:rPr>
        <w:t> </w:t>
      </w:r>
      <w:r>
        <w:rPr/>
        <w:t>of</w:t>
      </w:r>
      <w:r>
        <w:rPr>
          <w:spacing w:val="-14"/>
        </w:rPr>
        <w:t> </w:t>
      </w:r>
      <w:r>
        <w:rPr/>
        <w:t>spirulina</w:t>
      </w:r>
      <w:r>
        <w:rPr>
          <w:spacing w:val="-10"/>
        </w:rPr>
        <w:t> </w:t>
      </w:r>
      <w:r>
        <w:rPr/>
        <w:t>is</w:t>
      </w:r>
      <w:r>
        <w:rPr>
          <w:spacing w:val="-12"/>
        </w:rPr>
        <w:t> </w:t>
      </w:r>
      <w:r>
        <w:rPr/>
        <w:t>due</w:t>
      </w:r>
      <w:r>
        <w:rPr>
          <w:spacing w:val="-13"/>
        </w:rPr>
        <w:t> </w:t>
      </w:r>
      <w:r>
        <w:rPr/>
        <w:t>to</w:t>
      </w:r>
      <w:r>
        <w:rPr>
          <w:spacing w:val="-10"/>
        </w:rPr>
        <w:t> </w:t>
      </w:r>
      <w:r>
        <w:rPr/>
        <w:t>the</w:t>
      </w:r>
      <w:r>
        <w:rPr>
          <w:spacing w:val="-13"/>
        </w:rPr>
        <w:t> </w:t>
      </w:r>
      <w:r>
        <w:rPr/>
        <w:t>pigment 'chlorophyll', which has an astonishing pharmacological</w:t>
      </w:r>
      <w:r>
        <w:rPr>
          <w:spacing w:val="-5"/>
        </w:rPr>
        <w:t> </w:t>
      </w:r>
      <w:r>
        <w:rPr/>
        <w:t>effect.</w:t>
      </w:r>
    </w:p>
    <w:p>
      <w:pPr>
        <w:pStyle w:val="BodyText"/>
        <w:spacing w:line="276" w:lineRule="auto" w:before="239"/>
        <w:ind w:left="616" w:right="134"/>
        <w:jc w:val="both"/>
      </w:pPr>
      <w:r>
        <w:rPr/>
        <w:t>However, in addition to chlorophyll, spirulina algae have a large number of pigments, including poryphyrin, tetrapyrrole, phytonadione, phycoerythrin, as well as beta-carotene, which is most commonly known for giving carrots</w:t>
      </w:r>
      <w:r>
        <w:rPr>
          <w:spacing w:val="-49"/>
        </w:rPr>
        <w:t> </w:t>
      </w:r>
      <w:r>
        <w:rPr/>
        <w:t>their orange colour, and phycocyanin, both of which are also potentially highly po- tent substances for the prevention and treatment of diseases!</w:t>
      </w:r>
    </w:p>
    <w:p>
      <w:pPr>
        <w:pStyle w:val="Heading1"/>
        <w:spacing w:before="225"/>
        <w:ind w:left="616"/>
        <w:jc w:val="both"/>
      </w:pPr>
      <w:r>
        <w:rPr/>
        <w:t>Role of chlorophyll in the human</w:t>
      </w:r>
      <w:r>
        <w:rPr>
          <w:spacing w:val="-71"/>
        </w:rPr>
        <w:t> </w:t>
      </w:r>
      <w:r>
        <w:rPr/>
        <w:t>organism</w:t>
      </w:r>
    </w:p>
    <w:p>
      <w:pPr>
        <w:pStyle w:val="BodyText"/>
        <w:spacing w:line="276" w:lineRule="auto" w:before="297"/>
        <w:ind w:left="616" w:right="134"/>
        <w:jc w:val="both"/>
      </w:pPr>
      <w:r>
        <w:rPr/>
        <w:t>Chlorophyll gives spirulina algae its green colour and very strongly resembles the haemoglobin of our blood in its chemical structure. Haemoglobin is re- sponsible for the transport of oxygen into the individual tissues and thus for the</w:t>
      </w:r>
      <w:r>
        <w:rPr>
          <w:spacing w:val="-12"/>
        </w:rPr>
        <w:t> </w:t>
      </w:r>
      <w:r>
        <w:rPr/>
        <w:t>oxygen</w:t>
      </w:r>
      <w:r>
        <w:rPr>
          <w:spacing w:val="-11"/>
        </w:rPr>
        <w:t> </w:t>
      </w:r>
      <w:r>
        <w:rPr/>
        <w:t>supply</w:t>
      </w:r>
      <w:r>
        <w:rPr>
          <w:spacing w:val="-13"/>
        </w:rPr>
        <w:t> </w:t>
      </w:r>
      <w:r>
        <w:rPr/>
        <w:t>of</w:t>
      </w:r>
      <w:r>
        <w:rPr>
          <w:spacing w:val="-11"/>
        </w:rPr>
        <w:t> </w:t>
      </w:r>
      <w:r>
        <w:rPr/>
        <w:t>our</w:t>
      </w:r>
      <w:r>
        <w:rPr>
          <w:spacing w:val="-11"/>
        </w:rPr>
        <w:t> </w:t>
      </w:r>
      <w:r>
        <w:rPr/>
        <w:t>body.</w:t>
      </w:r>
      <w:r>
        <w:rPr>
          <w:spacing w:val="-13"/>
        </w:rPr>
        <w:t> </w:t>
      </w:r>
      <w:r>
        <w:rPr/>
        <w:t>Chlorophyll</w:t>
      </w:r>
      <w:r>
        <w:rPr>
          <w:spacing w:val="-13"/>
        </w:rPr>
        <w:t> </w:t>
      </w:r>
      <w:r>
        <w:rPr/>
        <w:t>mimics</w:t>
      </w:r>
      <w:r>
        <w:rPr>
          <w:spacing w:val="-11"/>
        </w:rPr>
        <w:t> </w:t>
      </w:r>
      <w:r>
        <w:rPr/>
        <w:t>this</w:t>
      </w:r>
      <w:r>
        <w:rPr>
          <w:spacing w:val="-11"/>
        </w:rPr>
        <w:t> </w:t>
      </w:r>
      <w:r>
        <w:rPr/>
        <w:t>role</w:t>
      </w:r>
      <w:r>
        <w:rPr>
          <w:spacing w:val="-15"/>
        </w:rPr>
        <w:t> </w:t>
      </w:r>
      <w:r>
        <w:rPr/>
        <w:t>and</w:t>
      </w:r>
      <w:r>
        <w:rPr>
          <w:spacing w:val="-11"/>
        </w:rPr>
        <w:t> </w:t>
      </w:r>
      <w:r>
        <w:rPr/>
        <w:t>thus</w:t>
      </w:r>
      <w:r>
        <w:rPr>
          <w:spacing w:val="-11"/>
        </w:rPr>
        <w:t> </w:t>
      </w:r>
      <w:r>
        <w:rPr/>
        <w:t>takes</w:t>
      </w:r>
      <w:r>
        <w:rPr>
          <w:spacing w:val="-12"/>
        </w:rPr>
        <w:t> </w:t>
      </w:r>
      <w:r>
        <w:rPr/>
        <w:t>on an additional oxygen-enriching role. Furthermore, it is involved in the detoxi- fication of our organism, blood purification and the immune</w:t>
      </w:r>
      <w:r>
        <w:rPr>
          <w:spacing w:val="-9"/>
        </w:rPr>
        <w:t> </w:t>
      </w:r>
      <w:r>
        <w:rPr/>
        <w:t>system.</w:t>
      </w:r>
    </w:p>
    <w:p>
      <w:pPr>
        <w:pStyle w:val="Heading1"/>
        <w:spacing w:before="223"/>
        <w:ind w:left="616"/>
        <w:jc w:val="both"/>
      </w:pPr>
      <w:r>
        <w:rPr/>
        <w:t>Role of phycocyanin in the human</w:t>
      </w:r>
      <w:r>
        <w:rPr>
          <w:spacing w:val="-65"/>
        </w:rPr>
        <w:t> </w:t>
      </w:r>
      <w:r>
        <w:rPr/>
        <w:t>body</w:t>
      </w:r>
    </w:p>
    <w:p>
      <w:pPr>
        <w:pStyle w:val="BodyText"/>
        <w:spacing w:line="276" w:lineRule="auto" w:before="299"/>
        <w:ind w:left="616" w:right="131"/>
        <w:jc w:val="both"/>
      </w:pPr>
      <w:r>
        <w:rPr/>
        <w:t>Phycocyanin provides the bluish part of spirulina; it is a phycobiliprotein and acts as an accessory pigment of photosynthesis in spirulina. It plays many im- portant roles in the human body, including as a powerful antioxidant; it pro- tects</w:t>
      </w:r>
      <w:r>
        <w:rPr>
          <w:spacing w:val="-19"/>
        </w:rPr>
        <w:t> </w:t>
      </w:r>
      <w:r>
        <w:rPr/>
        <w:t>our</w:t>
      </w:r>
      <w:r>
        <w:rPr>
          <w:spacing w:val="-22"/>
        </w:rPr>
        <w:t> </w:t>
      </w:r>
      <w:r>
        <w:rPr/>
        <w:t>body</w:t>
      </w:r>
      <w:r>
        <w:rPr>
          <w:spacing w:val="-23"/>
        </w:rPr>
        <w:t> </w:t>
      </w:r>
      <w:r>
        <w:rPr/>
        <w:t>cells</w:t>
      </w:r>
      <w:r>
        <w:rPr>
          <w:spacing w:val="-20"/>
        </w:rPr>
        <w:t> </w:t>
      </w:r>
      <w:r>
        <w:rPr/>
        <w:t>against</w:t>
      </w:r>
      <w:r>
        <w:rPr>
          <w:spacing w:val="-19"/>
        </w:rPr>
        <w:t> </w:t>
      </w:r>
      <w:r>
        <w:rPr/>
        <w:t>the</w:t>
      </w:r>
      <w:r>
        <w:rPr>
          <w:spacing w:val="-22"/>
        </w:rPr>
        <w:t> </w:t>
      </w:r>
      <w:r>
        <w:rPr/>
        <w:t>attacks</w:t>
      </w:r>
      <w:r>
        <w:rPr>
          <w:spacing w:val="-19"/>
        </w:rPr>
        <w:t> </w:t>
      </w:r>
      <w:r>
        <w:rPr/>
        <w:t>of</w:t>
      </w:r>
      <w:r>
        <w:rPr>
          <w:spacing w:val="-20"/>
        </w:rPr>
        <w:t> </w:t>
      </w:r>
      <w:r>
        <w:rPr/>
        <w:t>free</w:t>
      </w:r>
      <w:r>
        <w:rPr>
          <w:spacing w:val="-22"/>
        </w:rPr>
        <w:t> </w:t>
      </w:r>
      <w:r>
        <w:rPr/>
        <w:t>radicals,</w:t>
      </w:r>
      <w:r>
        <w:rPr>
          <w:spacing w:val="-19"/>
        </w:rPr>
        <w:t> </w:t>
      </w:r>
      <w:r>
        <w:rPr/>
        <w:t>strengthens</w:t>
      </w:r>
      <w:r>
        <w:rPr>
          <w:spacing w:val="-21"/>
        </w:rPr>
        <w:t> </w:t>
      </w:r>
      <w:r>
        <w:rPr/>
        <w:t>our</w:t>
      </w:r>
      <w:r>
        <w:rPr>
          <w:spacing w:val="-22"/>
        </w:rPr>
        <w:t> </w:t>
      </w:r>
      <w:r>
        <w:rPr/>
        <w:t>immune system, supports the work of the kidneys and the liver and also eliminates de- generated cancer</w:t>
      </w:r>
      <w:r>
        <w:rPr>
          <w:spacing w:val="-1"/>
        </w:rPr>
        <w:t> </w:t>
      </w:r>
      <w:r>
        <w:rPr/>
        <w:t>cells.</w:t>
      </w:r>
    </w:p>
    <w:p>
      <w:pPr>
        <w:spacing w:after="0" w:line="276" w:lineRule="auto"/>
        <w:jc w:val="both"/>
        <w:sectPr>
          <w:pgSz w:w="14270" w:h="16850"/>
          <w:pgMar w:header="0" w:footer="1891" w:top="1340" w:bottom="2080" w:left="800" w:right="1280"/>
        </w:sectPr>
      </w:pPr>
    </w:p>
    <w:p>
      <w:pPr>
        <w:pStyle w:val="Heading1"/>
        <w:spacing w:before="77"/>
        <w:ind w:left="616"/>
      </w:pPr>
      <w:r>
        <w:rPr/>
        <w:t>Role of beta-carotene in the human organism</w:t>
      </w:r>
    </w:p>
    <w:p>
      <w:pPr>
        <w:pStyle w:val="BodyText"/>
        <w:spacing w:line="276" w:lineRule="auto" w:before="299"/>
        <w:ind w:left="616" w:right="132"/>
        <w:jc w:val="both"/>
      </w:pPr>
      <w:r>
        <w:rPr/>
        <w:t>Carotenoids,</w:t>
      </w:r>
      <w:r>
        <w:rPr>
          <w:spacing w:val="-23"/>
        </w:rPr>
        <w:t> </w:t>
      </w:r>
      <w:r>
        <w:rPr/>
        <w:t>especially</w:t>
      </w:r>
      <w:r>
        <w:rPr>
          <w:spacing w:val="-22"/>
        </w:rPr>
        <w:t> </w:t>
      </w:r>
      <w:r>
        <w:rPr/>
        <w:t>beta-carotene</w:t>
      </w:r>
      <w:r>
        <w:rPr>
          <w:spacing w:val="-22"/>
        </w:rPr>
        <w:t> </w:t>
      </w:r>
      <w:r>
        <w:rPr/>
        <w:t>(also</w:t>
      </w:r>
      <w:r>
        <w:rPr>
          <w:spacing w:val="-22"/>
        </w:rPr>
        <w:t> </w:t>
      </w:r>
      <w:r>
        <w:rPr/>
        <w:t>called</w:t>
      </w:r>
      <w:r>
        <w:rPr>
          <w:spacing w:val="-24"/>
        </w:rPr>
        <w:t> </w:t>
      </w:r>
      <w:r>
        <w:rPr/>
        <w:t>provitamin</w:t>
      </w:r>
      <w:r>
        <w:rPr>
          <w:spacing w:val="-22"/>
        </w:rPr>
        <w:t> </w:t>
      </w:r>
      <w:r>
        <w:rPr/>
        <w:t>A),</w:t>
      </w:r>
      <w:r>
        <w:rPr>
          <w:spacing w:val="-22"/>
        </w:rPr>
        <w:t> </w:t>
      </w:r>
      <w:r>
        <w:rPr/>
        <w:t>are</w:t>
      </w:r>
      <w:r>
        <w:rPr>
          <w:spacing w:val="-22"/>
        </w:rPr>
        <w:t> </w:t>
      </w:r>
      <w:r>
        <w:rPr/>
        <w:t>among</w:t>
      </w:r>
      <w:r>
        <w:rPr>
          <w:spacing w:val="-22"/>
        </w:rPr>
        <w:t> </w:t>
      </w:r>
      <w:r>
        <w:rPr/>
        <w:t>the most important colour pigments in spirulina, which spirulina produces for its own light absorption. Beta-carotene is an important antioxidant which, to- gether with other antioxidants, thwarts aggressive free radical attacks on our body's cells. Beta-carotene protects against infectious diseases and has even successfully</w:t>
      </w:r>
      <w:r>
        <w:rPr>
          <w:spacing w:val="-12"/>
        </w:rPr>
        <w:t> </w:t>
      </w:r>
      <w:r>
        <w:rPr/>
        <w:t>prevented</w:t>
      </w:r>
      <w:r>
        <w:rPr>
          <w:spacing w:val="-13"/>
        </w:rPr>
        <w:t> </w:t>
      </w:r>
      <w:r>
        <w:rPr/>
        <w:t>the</w:t>
      </w:r>
      <w:r>
        <w:rPr>
          <w:spacing w:val="-11"/>
        </w:rPr>
        <w:t> </w:t>
      </w:r>
      <w:r>
        <w:rPr/>
        <w:t>development</w:t>
      </w:r>
      <w:r>
        <w:rPr>
          <w:spacing w:val="-13"/>
        </w:rPr>
        <w:t> </w:t>
      </w:r>
      <w:r>
        <w:rPr/>
        <w:t>of</w:t>
      </w:r>
      <w:r>
        <w:rPr>
          <w:spacing w:val="-15"/>
        </w:rPr>
        <w:t> </w:t>
      </w:r>
      <w:r>
        <w:rPr/>
        <w:t>cancer</w:t>
      </w:r>
      <w:r>
        <w:rPr>
          <w:spacing w:val="-12"/>
        </w:rPr>
        <w:t> </w:t>
      </w:r>
      <w:r>
        <w:rPr/>
        <w:t>or</w:t>
      </w:r>
      <w:r>
        <w:rPr>
          <w:spacing w:val="-14"/>
        </w:rPr>
        <w:t> </w:t>
      </w:r>
      <w:r>
        <w:rPr/>
        <w:t>contained</w:t>
      </w:r>
      <w:r>
        <w:rPr>
          <w:spacing w:val="-13"/>
        </w:rPr>
        <w:t> </w:t>
      </w:r>
      <w:r>
        <w:rPr/>
        <w:t>existing</w:t>
      </w:r>
      <w:r>
        <w:rPr>
          <w:spacing w:val="-11"/>
        </w:rPr>
        <w:t> </w:t>
      </w:r>
      <w:r>
        <w:rPr/>
        <w:t>cancer in numerous studies. Many researchers agree that 15 mg of-carotene per day effectively protects against the onset of various cancers; this amount is guar- anteed with just 5-10 g spirulina. In addition, beta-carotene has been proven to</w:t>
      </w:r>
      <w:r>
        <w:rPr>
          <w:spacing w:val="-22"/>
        </w:rPr>
        <w:t> </w:t>
      </w:r>
      <w:r>
        <w:rPr/>
        <w:t>protect</w:t>
      </w:r>
      <w:r>
        <w:rPr>
          <w:spacing w:val="-22"/>
        </w:rPr>
        <w:t> </w:t>
      </w:r>
      <w:r>
        <w:rPr/>
        <w:t>against</w:t>
      </w:r>
      <w:r>
        <w:rPr>
          <w:spacing w:val="-22"/>
        </w:rPr>
        <w:t> </w:t>
      </w:r>
      <w:r>
        <w:rPr/>
        <w:t>macular</w:t>
      </w:r>
      <w:r>
        <w:rPr>
          <w:spacing w:val="-22"/>
        </w:rPr>
        <w:t> </w:t>
      </w:r>
      <w:r>
        <w:rPr/>
        <w:t>degeneration</w:t>
      </w:r>
      <w:r>
        <w:rPr>
          <w:spacing w:val="-21"/>
        </w:rPr>
        <w:t> </w:t>
      </w:r>
      <w:r>
        <w:rPr/>
        <w:t>and</w:t>
      </w:r>
      <w:r>
        <w:rPr>
          <w:spacing w:val="-21"/>
        </w:rPr>
        <w:t> </w:t>
      </w:r>
      <w:r>
        <w:rPr/>
        <w:t>also</w:t>
      </w:r>
      <w:r>
        <w:rPr>
          <w:spacing w:val="-21"/>
        </w:rPr>
        <w:t> </w:t>
      </w:r>
      <w:r>
        <w:rPr/>
        <w:t>protects</w:t>
      </w:r>
      <w:r>
        <w:rPr>
          <w:spacing w:val="-22"/>
        </w:rPr>
        <w:t> </w:t>
      </w:r>
      <w:r>
        <w:rPr/>
        <w:t>our</w:t>
      </w:r>
      <w:r>
        <w:rPr>
          <w:spacing w:val="-21"/>
        </w:rPr>
        <w:t> </w:t>
      </w:r>
      <w:r>
        <w:rPr/>
        <w:t>skin</w:t>
      </w:r>
      <w:r>
        <w:rPr>
          <w:spacing w:val="-21"/>
        </w:rPr>
        <w:t> </w:t>
      </w:r>
      <w:r>
        <w:rPr/>
        <w:t>from</w:t>
      </w:r>
      <w:r>
        <w:rPr>
          <w:spacing w:val="-22"/>
        </w:rPr>
        <w:t> </w:t>
      </w:r>
      <w:r>
        <w:rPr/>
        <w:t>ageing.</w:t>
      </w:r>
    </w:p>
    <w:p>
      <w:pPr>
        <w:pStyle w:val="BodyText"/>
        <w:spacing w:line="276" w:lineRule="auto" w:before="240"/>
        <w:ind w:left="616" w:right="134"/>
        <w:jc w:val="both"/>
      </w:pPr>
      <w:r>
        <w:rPr/>
        <w:t>It is noteworthy that spirulina provides the most beta-carotene of all foods, even</w:t>
      </w:r>
      <w:r>
        <w:rPr>
          <w:spacing w:val="-11"/>
        </w:rPr>
        <w:t> </w:t>
      </w:r>
      <w:r>
        <w:rPr/>
        <w:t>more</w:t>
      </w:r>
      <w:r>
        <w:rPr>
          <w:spacing w:val="-13"/>
        </w:rPr>
        <w:t> </w:t>
      </w:r>
      <w:r>
        <w:rPr/>
        <w:t>than</w:t>
      </w:r>
      <w:r>
        <w:rPr>
          <w:spacing w:val="-14"/>
        </w:rPr>
        <w:t> </w:t>
      </w:r>
      <w:r>
        <w:rPr/>
        <w:t>carrots</w:t>
      </w:r>
      <w:r>
        <w:rPr>
          <w:spacing w:val="-12"/>
        </w:rPr>
        <w:t> </w:t>
      </w:r>
      <w:r>
        <w:rPr/>
        <w:t>–</w:t>
      </w:r>
      <w:r>
        <w:rPr>
          <w:spacing w:val="-13"/>
        </w:rPr>
        <w:t> </w:t>
      </w:r>
      <w:r>
        <w:rPr/>
        <w:t>10</w:t>
      </w:r>
      <w:r>
        <w:rPr>
          <w:spacing w:val="-12"/>
        </w:rPr>
        <w:t> </w:t>
      </w:r>
      <w:r>
        <w:rPr/>
        <w:t>g</w:t>
      </w:r>
      <w:r>
        <w:rPr>
          <w:spacing w:val="-13"/>
        </w:rPr>
        <w:t> </w:t>
      </w:r>
      <w:r>
        <w:rPr/>
        <w:t>of</w:t>
      </w:r>
      <w:r>
        <w:rPr>
          <w:spacing w:val="-13"/>
        </w:rPr>
        <w:t> </w:t>
      </w:r>
      <w:r>
        <w:rPr/>
        <w:t>spirulina</w:t>
      </w:r>
      <w:r>
        <w:rPr>
          <w:spacing w:val="-11"/>
        </w:rPr>
        <w:t> </w:t>
      </w:r>
      <w:r>
        <w:rPr/>
        <w:t>contains</w:t>
      </w:r>
      <w:r>
        <w:rPr>
          <w:spacing w:val="-11"/>
        </w:rPr>
        <w:t> </w:t>
      </w:r>
      <w:r>
        <w:rPr/>
        <w:t>17-28</w:t>
      </w:r>
      <w:r>
        <w:rPr>
          <w:spacing w:val="-11"/>
        </w:rPr>
        <w:t> </w:t>
      </w:r>
      <w:r>
        <w:rPr/>
        <w:t>mg</w:t>
      </w:r>
      <w:r>
        <w:rPr>
          <w:spacing w:val="-11"/>
        </w:rPr>
        <w:t> </w:t>
      </w:r>
      <w:r>
        <w:rPr/>
        <w:t>of</w:t>
      </w:r>
      <w:r>
        <w:rPr>
          <w:spacing w:val="-15"/>
        </w:rPr>
        <w:t> </w:t>
      </w:r>
      <w:r>
        <w:rPr/>
        <w:t>beta-carotene, while carrots contain just 0.76</w:t>
      </w:r>
      <w:r>
        <w:rPr>
          <w:spacing w:val="3"/>
        </w:rPr>
        <w:t> </w:t>
      </w:r>
      <w:r>
        <w:rPr/>
        <w:t>mg!</w:t>
      </w:r>
    </w:p>
    <w:p>
      <w:pPr>
        <w:pStyle w:val="Heading1"/>
        <w:ind w:left="616"/>
      </w:pPr>
      <w:r>
        <w:rPr/>
        <w:t>Effect of fatty acids in spirulina</w:t>
      </w:r>
      <w:r>
        <w:rPr>
          <w:spacing w:val="-66"/>
        </w:rPr>
        <w:t> </w:t>
      </w:r>
      <w:r>
        <w:rPr/>
        <w:t>platensis</w:t>
      </w:r>
    </w:p>
    <w:p>
      <w:pPr>
        <w:pStyle w:val="BodyText"/>
        <w:spacing w:line="276" w:lineRule="auto" w:before="297"/>
        <w:ind w:left="616" w:right="137"/>
        <w:jc w:val="both"/>
      </w:pPr>
      <w:r>
        <w:rPr/>
        <w:t>Most of the fatty acids found in spirulina consist of very healthy, polyunsatu- rated fatty acids; these include alpha-lipoic acid, arachidonic acid, gamma-lin- olenic acid and the omega-3 fatty acids EPA and DHA.</w:t>
      </w:r>
    </w:p>
    <w:p>
      <w:pPr>
        <w:pStyle w:val="BodyText"/>
        <w:spacing w:before="241"/>
        <w:ind w:left="616"/>
        <w:jc w:val="both"/>
      </w:pPr>
      <w:r>
        <w:rPr/>
        <w:t>The omega-3 fatty acids in particular offer very interesting health benefits:</w:t>
      </w:r>
    </w:p>
    <w:p>
      <w:pPr>
        <w:pStyle w:val="Heading1"/>
        <w:spacing w:before="288"/>
        <w:ind w:left="616"/>
        <w:jc w:val="both"/>
      </w:pPr>
      <w:r>
        <w:rPr/>
        <w:t>Effect of omega-3 fatty acids in the human organism</w:t>
      </w:r>
    </w:p>
    <w:p>
      <w:pPr>
        <w:pStyle w:val="BodyText"/>
        <w:spacing w:before="299"/>
        <w:ind w:left="616"/>
        <w:jc w:val="both"/>
      </w:pPr>
      <w:r>
        <w:rPr/>
        <w:t>There are thousands of positive studies on the health effects of omega-3 fatty</w:t>
      </w:r>
    </w:p>
    <w:p>
      <w:pPr>
        <w:spacing w:after="0"/>
        <w:jc w:val="both"/>
        <w:sectPr>
          <w:pgSz w:w="14270" w:h="16850"/>
          <w:pgMar w:header="0" w:footer="1891" w:top="1320" w:bottom="2080" w:left="800" w:right="1280"/>
        </w:sectPr>
      </w:pPr>
    </w:p>
    <w:p>
      <w:pPr>
        <w:pStyle w:val="BodyText"/>
        <w:spacing w:line="278" w:lineRule="auto" w:before="72"/>
        <w:ind w:left="616"/>
      </w:pPr>
      <w:r>
        <w:rPr/>
        <w:t>acids; the effect on the following body functions of humans can be summa- rised below:</w:t>
      </w:r>
    </w:p>
    <w:p>
      <w:pPr>
        <w:pStyle w:val="ListParagraph"/>
        <w:numPr>
          <w:ilvl w:val="0"/>
          <w:numId w:val="120"/>
        </w:numPr>
        <w:tabs>
          <w:tab w:pos="1032" w:val="left" w:leader="none"/>
        </w:tabs>
        <w:spacing w:line="240" w:lineRule="auto" w:before="193" w:after="0"/>
        <w:ind w:left="899" w:right="0" w:hanging="283"/>
        <w:jc w:val="both"/>
        <w:rPr>
          <w:sz w:val="38"/>
        </w:rPr>
      </w:pPr>
      <w:r>
        <w:rPr>
          <w:sz w:val="38"/>
        </w:rPr>
        <w:t>cell metabolism as well as cellular</w:t>
      </w:r>
      <w:r>
        <w:rPr>
          <w:spacing w:val="-3"/>
          <w:sz w:val="38"/>
        </w:rPr>
        <w:t> </w:t>
      </w:r>
      <w:r>
        <w:rPr>
          <w:sz w:val="38"/>
        </w:rPr>
        <w:t>respiration</w:t>
      </w:r>
    </w:p>
    <w:p>
      <w:pPr>
        <w:pStyle w:val="ListParagraph"/>
        <w:numPr>
          <w:ilvl w:val="0"/>
          <w:numId w:val="120"/>
        </w:numPr>
        <w:tabs>
          <w:tab w:pos="1032" w:val="left" w:leader="none"/>
        </w:tabs>
        <w:spacing w:line="240" w:lineRule="auto" w:before="186" w:after="0"/>
        <w:ind w:left="899" w:right="0" w:hanging="283"/>
        <w:jc w:val="both"/>
        <w:rPr>
          <w:sz w:val="38"/>
        </w:rPr>
      </w:pPr>
      <w:r>
        <w:rPr>
          <w:sz w:val="38"/>
        </w:rPr>
        <w:t>hormone</w:t>
      </w:r>
      <w:r>
        <w:rPr>
          <w:spacing w:val="-2"/>
          <w:sz w:val="38"/>
        </w:rPr>
        <w:t> </w:t>
      </w:r>
      <w:r>
        <w:rPr>
          <w:sz w:val="38"/>
        </w:rPr>
        <w:t>production</w:t>
      </w:r>
    </w:p>
    <w:p>
      <w:pPr>
        <w:pStyle w:val="ListParagraph"/>
        <w:numPr>
          <w:ilvl w:val="0"/>
          <w:numId w:val="120"/>
        </w:numPr>
        <w:tabs>
          <w:tab w:pos="1032" w:val="left" w:leader="none"/>
        </w:tabs>
        <w:spacing w:line="240" w:lineRule="auto" w:before="183" w:after="0"/>
        <w:ind w:left="899" w:right="0" w:hanging="283"/>
        <w:jc w:val="both"/>
        <w:rPr>
          <w:sz w:val="38"/>
        </w:rPr>
      </w:pPr>
      <w:r>
        <w:rPr>
          <w:sz w:val="38"/>
        </w:rPr>
        <w:t>protein synthesis</w:t>
      </w:r>
    </w:p>
    <w:p>
      <w:pPr>
        <w:pStyle w:val="ListParagraph"/>
        <w:numPr>
          <w:ilvl w:val="0"/>
          <w:numId w:val="120"/>
        </w:numPr>
        <w:tabs>
          <w:tab w:pos="1032" w:val="left" w:leader="none"/>
        </w:tabs>
        <w:spacing w:line="240" w:lineRule="auto" w:before="184" w:after="0"/>
        <w:ind w:left="899" w:right="0" w:hanging="283"/>
        <w:jc w:val="both"/>
        <w:rPr>
          <w:sz w:val="38"/>
        </w:rPr>
      </w:pPr>
      <w:r>
        <w:rPr>
          <w:sz w:val="38"/>
        </w:rPr>
        <w:t>protection against atherosclerosis</w:t>
      </w:r>
    </w:p>
    <w:p>
      <w:pPr>
        <w:pStyle w:val="ListParagraph"/>
        <w:numPr>
          <w:ilvl w:val="0"/>
          <w:numId w:val="120"/>
        </w:numPr>
        <w:tabs>
          <w:tab w:pos="1032" w:val="left" w:leader="none"/>
        </w:tabs>
        <w:spacing w:line="240" w:lineRule="auto" w:before="184" w:after="0"/>
        <w:ind w:left="899" w:right="0" w:hanging="283"/>
        <w:jc w:val="both"/>
        <w:rPr>
          <w:sz w:val="38"/>
        </w:rPr>
      </w:pPr>
      <w:r>
        <w:rPr>
          <w:sz w:val="38"/>
        </w:rPr>
        <w:t>production of the body's own defence</w:t>
      </w:r>
      <w:r>
        <w:rPr>
          <w:spacing w:val="-3"/>
          <w:sz w:val="38"/>
        </w:rPr>
        <w:t> </w:t>
      </w:r>
      <w:r>
        <w:rPr>
          <w:sz w:val="38"/>
        </w:rPr>
        <w:t>cells</w:t>
      </w:r>
    </w:p>
    <w:p>
      <w:pPr>
        <w:pStyle w:val="ListParagraph"/>
        <w:numPr>
          <w:ilvl w:val="0"/>
          <w:numId w:val="120"/>
        </w:numPr>
        <w:tabs>
          <w:tab w:pos="1032" w:val="left" w:leader="none"/>
        </w:tabs>
        <w:spacing w:line="240" w:lineRule="auto" w:before="184" w:after="0"/>
        <w:ind w:left="899" w:right="0" w:hanging="283"/>
        <w:jc w:val="both"/>
        <w:rPr>
          <w:sz w:val="38"/>
        </w:rPr>
      </w:pPr>
      <w:r>
        <w:rPr>
          <w:sz w:val="38"/>
        </w:rPr>
        <w:t>increase in</w:t>
      </w:r>
      <w:r>
        <w:rPr>
          <w:spacing w:val="-1"/>
          <w:sz w:val="38"/>
        </w:rPr>
        <w:t> </w:t>
      </w:r>
      <w:r>
        <w:rPr>
          <w:sz w:val="38"/>
        </w:rPr>
        <w:t>resistance</w:t>
      </w:r>
    </w:p>
    <w:p>
      <w:pPr>
        <w:pStyle w:val="ListParagraph"/>
        <w:numPr>
          <w:ilvl w:val="0"/>
          <w:numId w:val="120"/>
        </w:numPr>
        <w:tabs>
          <w:tab w:pos="1032" w:val="left" w:leader="none"/>
        </w:tabs>
        <w:spacing w:line="240" w:lineRule="auto" w:before="186" w:after="0"/>
        <w:ind w:left="899" w:right="0" w:hanging="283"/>
        <w:jc w:val="both"/>
        <w:rPr>
          <w:sz w:val="38"/>
        </w:rPr>
      </w:pPr>
      <w:r>
        <w:rPr>
          <w:sz w:val="38"/>
        </w:rPr>
        <w:t>strengthening of the immune system</w:t>
      </w:r>
    </w:p>
    <w:p>
      <w:pPr>
        <w:pStyle w:val="ListParagraph"/>
        <w:numPr>
          <w:ilvl w:val="0"/>
          <w:numId w:val="120"/>
        </w:numPr>
        <w:tabs>
          <w:tab w:pos="1032" w:val="left" w:leader="none"/>
        </w:tabs>
        <w:spacing w:line="240" w:lineRule="auto" w:before="184" w:after="0"/>
        <w:ind w:left="899" w:right="0" w:hanging="283"/>
        <w:jc w:val="both"/>
        <w:rPr>
          <w:sz w:val="38"/>
        </w:rPr>
      </w:pPr>
      <w:r>
        <w:rPr>
          <w:sz w:val="38"/>
        </w:rPr>
        <w:t>building intestinal</w:t>
      </w:r>
      <w:r>
        <w:rPr>
          <w:spacing w:val="-1"/>
          <w:sz w:val="38"/>
        </w:rPr>
        <w:t> </w:t>
      </w:r>
      <w:r>
        <w:rPr>
          <w:sz w:val="38"/>
        </w:rPr>
        <w:t>flora</w:t>
      </w:r>
    </w:p>
    <w:p>
      <w:pPr>
        <w:pStyle w:val="ListParagraph"/>
        <w:numPr>
          <w:ilvl w:val="0"/>
          <w:numId w:val="120"/>
        </w:numPr>
        <w:tabs>
          <w:tab w:pos="1032" w:val="left" w:leader="none"/>
        </w:tabs>
        <w:spacing w:line="240" w:lineRule="auto" w:before="183" w:after="0"/>
        <w:ind w:left="899" w:right="0" w:hanging="283"/>
        <w:jc w:val="both"/>
        <w:rPr>
          <w:sz w:val="38"/>
        </w:rPr>
      </w:pPr>
      <w:r>
        <w:rPr>
          <w:sz w:val="38"/>
        </w:rPr>
        <w:t>reduction of</w:t>
      </w:r>
      <w:r>
        <w:rPr>
          <w:spacing w:val="-2"/>
          <w:sz w:val="38"/>
        </w:rPr>
        <w:t> </w:t>
      </w:r>
      <w:r>
        <w:rPr>
          <w:sz w:val="38"/>
        </w:rPr>
        <w:t>inflammation</w:t>
      </w:r>
    </w:p>
    <w:p>
      <w:pPr>
        <w:pStyle w:val="ListParagraph"/>
        <w:numPr>
          <w:ilvl w:val="0"/>
          <w:numId w:val="120"/>
        </w:numPr>
        <w:tabs>
          <w:tab w:pos="1032" w:val="left" w:leader="none"/>
        </w:tabs>
        <w:spacing w:line="240" w:lineRule="auto" w:before="184" w:after="0"/>
        <w:ind w:left="899" w:right="0" w:hanging="283"/>
        <w:jc w:val="both"/>
        <w:rPr>
          <w:sz w:val="38"/>
        </w:rPr>
      </w:pPr>
      <w:r>
        <w:rPr>
          <w:sz w:val="38"/>
        </w:rPr>
        <w:t>metabolism of synovial fluid in the joints</w:t>
      </w:r>
    </w:p>
    <w:p>
      <w:pPr>
        <w:pStyle w:val="Heading1"/>
        <w:spacing w:before="290"/>
        <w:ind w:left="616"/>
        <w:jc w:val="both"/>
      </w:pPr>
      <w:r>
        <w:rPr/>
        <w:t>Effect of gamma-linolenic acid</w:t>
      </w:r>
    </w:p>
    <w:p>
      <w:pPr>
        <w:pStyle w:val="BodyText"/>
        <w:spacing w:line="276" w:lineRule="auto" w:before="297"/>
        <w:ind w:left="616" w:right="132"/>
        <w:jc w:val="both"/>
      </w:pPr>
      <w:r>
        <w:rPr/>
        <w:t>This fatty acid belongs to the group of omega-6 fatty acids that are essential for our organism and its functions. Gamma-linoleic acid is responsible for</w:t>
      </w:r>
      <w:r>
        <w:rPr>
          <w:spacing w:val="-65"/>
        </w:rPr>
        <w:t> </w:t>
      </w:r>
      <w:r>
        <w:rPr/>
        <w:t>cell renewal, is involved in numerous metabolic processes in the body and is a structural element of our skin.</w:t>
      </w:r>
    </w:p>
    <w:p>
      <w:pPr>
        <w:pStyle w:val="Heading1"/>
        <w:spacing w:before="222"/>
        <w:ind w:left="616"/>
        <w:jc w:val="both"/>
      </w:pPr>
      <w:r>
        <w:rPr/>
        <w:t>Effect of superoxide dismutase (SOD)</w:t>
      </w:r>
    </w:p>
    <w:p>
      <w:pPr>
        <w:spacing w:after="0"/>
        <w:jc w:val="both"/>
        <w:sectPr>
          <w:pgSz w:w="14270" w:h="16850"/>
          <w:pgMar w:header="0" w:footer="1891" w:top="1340" w:bottom="2080" w:left="800" w:right="1280"/>
        </w:sectPr>
      </w:pPr>
    </w:p>
    <w:p>
      <w:pPr>
        <w:pStyle w:val="BodyText"/>
        <w:spacing w:line="276" w:lineRule="auto" w:before="74"/>
        <w:ind w:left="616" w:right="137"/>
        <w:jc w:val="both"/>
      </w:pPr>
      <w:r>
        <w:rPr/>
        <w:t>Another</w:t>
      </w:r>
      <w:r>
        <w:rPr>
          <w:spacing w:val="-19"/>
        </w:rPr>
        <w:t> </w:t>
      </w:r>
      <w:r>
        <w:rPr/>
        <w:t>essential</w:t>
      </w:r>
      <w:r>
        <w:rPr>
          <w:spacing w:val="-21"/>
        </w:rPr>
        <w:t> </w:t>
      </w:r>
      <w:r>
        <w:rPr/>
        <w:t>natural</w:t>
      </w:r>
      <w:r>
        <w:rPr>
          <w:spacing w:val="-20"/>
        </w:rPr>
        <w:t> </w:t>
      </w:r>
      <w:r>
        <w:rPr/>
        <w:t>substance</w:t>
      </w:r>
      <w:r>
        <w:rPr>
          <w:spacing w:val="-19"/>
        </w:rPr>
        <w:t> </w:t>
      </w:r>
      <w:r>
        <w:rPr/>
        <w:t>in</w:t>
      </w:r>
      <w:r>
        <w:rPr>
          <w:spacing w:val="-19"/>
        </w:rPr>
        <w:t> </w:t>
      </w:r>
      <w:r>
        <w:rPr/>
        <w:t>spirulina</w:t>
      </w:r>
      <w:r>
        <w:rPr>
          <w:spacing w:val="-20"/>
        </w:rPr>
        <w:t> </w:t>
      </w:r>
      <w:r>
        <w:rPr/>
        <w:t>is</w:t>
      </w:r>
      <w:r>
        <w:rPr>
          <w:spacing w:val="-17"/>
        </w:rPr>
        <w:t> </w:t>
      </w:r>
      <w:r>
        <w:rPr/>
        <w:t>superoxide</w:t>
      </w:r>
      <w:r>
        <w:rPr>
          <w:spacing w:val="-20"/>
        </w:rPr>
        <w:t> </w:t>
      </w:r>
      <w:r>
        <w:rPr/>
        <w:t>dismutase,</w:t>
      </w:r>
      <w:r>
        <w:rPr>
          <w:spacing w:val="-18"/>
        </w:rPr>
        <w:t> </w:t>
      </w:r>
      <w:r>
        <w:rPr/>
        <w:t>a</w:t>
      </w:r>
      <w:r>
        <w:rPr>
          <w:spacing w:val="-21"/>
        </w:rPr>
        <w:t> </w:t>
      </w:r>
      <w:r>
        <w:rPr/>
        <w:t>cop- per and zinc-containing enzyme that inhibits inflammation and, according to many nutritionists, is the most potent antioxidant. 10 g of spirulina contain 4 mg of this wonderful</w:t>
      </w:r>
      <w:r>
        <w:rPr>
          <w:spacing w:val="2"/>
        </w:rPr>
        <w:t> </w:t>
      </w:r>
      <w:r>
        <w:rPr/>
        <w:t>enzyme.</w:t>
      </w:r>
    </w:p>
    <w:p>
      <w:pPr>
        <w:pStyle w:val="Heading1"/>
        <w:spacing w:before="222"/>
        <w:ind w:left="616"/>
      </w:pPr>
      <w:r>
        <w:rPr/>
        <w:t>Effect of biophotons in spirulina</w:t>
      </w:r>
      <w:r>
        <w:rPr>
          <w:spacing w:val="-61"/>
        </w:rPr>
        <w:t> </w:t>
      </w:r>
      <w:r>
        <w:rPr/>
        <w:t>platensis</w:t>
      </w:r>
    </w:p>
    <w:p>
      <w:pPr>
        <w:pStyle w:val="BodyText"/>
        <w:spacing w:line="276" w:lineRule="auto" w:before="299"/>
        <w:ind w:left="616" w:right="137"/>
        <w:jc w:val="both"/>
      </w:pPr>
      <w:r>
        <w:rPr/>
        <w:t>While</w:t>
      </w:r>
      <w:r>
        <w:rPr>
          <w:spacing w:val="-14"/>
        </w:rPr>
        <w:t> </w:t>
      </w:r>
      <w:r>
        <w:rPr/>
        <w:t>we</w:t>
      </w:r>
      <w:r>
        <w:rPr>
          <w:spacing w:val="-13"/>
        </w:rPr>
        <w:t> </w:t>
      </w:r>
      <w:r>
        <w:rPr/>
        <w:t>are</w:t>
      </w:r>
      <w:r>
        <w:rPr>
          <w:spacing w:val="-12"/>
        </w:rPr>
        <w:t> </w:t>
      </w:r>
      <w:r>
        <w:rPr/>
        <w:t>familiar</w:t>
      </w:r>
      <w:r>
        <w:rPr>
          <w:spacing w:val="-13"/>
        </w:rPr>
        <w:t> </w:t>
      </w:r>
      <w:r>
        <w:rPr/>
        <w:t>terms</w:t>
      </w:r>
      <w:r>
        <w:rPr>
          <w:spacing w:val="-12"/>
        </w:rPr>
        <w:t> </w:t>
      </w:r>
      <w:r>
        <w:rPr/>
        <w:t>such</w:t>
      </w:r>
      <w:r>
        <w:rPr>
          <w:spacing w:val="-12"/>
        </w:rPr>
        <w:t> </w:t>
      </w:r>
      <w:r>
        <w:rPr/>
        <w:t>as</w:t>
      </w:r>
      <w:r>
        <w:rPr>
          <w:spacing w:val="-15"/>
        </w:rPr>
        <w:t> </w:t>
      </w:r>
      <w:r>
        <w:rPr/>
        <w:t>vitamins,</w:t>
      </w:r>
      <w:r>
        <w:rPr>
          <w:spacing w:val="-12"/>
        </w:rPr>
        <w:t> </w:t>
      </w:r>
      <w:r>
        <w:rPr/>
        <w:t>minerals,</w:t>
      </w:r>
      <w:r>
        <w:rPr>
          <w:spacing w:val="-12"/>
        </w:rPr>
        <w:t> </w:t>
      </w:r>
      <w:r>
        <w:rPr/>
        <w:t>trace</w:t>
      </w:r>
      <w:r>
        <w:rPr>
          <w:spacing w:val="-14"/>
        </w:rPr>
        <w:t> </w:t>
      </w:r>
      <w:r>
        <w:rPr/>
        <w:t>elements</w:t>
      </w:r>
      <w:r>
        <w:rPr>
          <w:spacing w:val="-12"/>
        </w:rPr>
        <w:t> </w:t>
      </w:r>
      <w:r>
        <w:rPr/>
        <w:t>and</w:t>
      </w:r>
      <w:r>
        <w:rPr>
          <w:spacing w:val="-15"/>
        </w:rPr>
        <w:t> </w:t>
      </w:r>
      <w:r>
        <w:rPr/>
        <w:t>per- haps</w:t>
      </w:r>
      <w:r>
        <w:rPr>
          <w:spacing w:val="-18"/>
        </w:rPr>
        <w:t> </w:t>
      </w:r>
      <w:r>
        <w:rPr/>
        <w:t>even</w:t>
      </w:r>
      <w:r>
        <w:rPr>
          <w:spacing w:val="-19"/>
        </w:rPr>
        <w:t> </w:t>
      </w:r>
      <w:r>
        <w:rPr/>
        <w:t>specific</w:t>
      </w:r>
      <w:r>
        <w:rPr>
          <w:spacing w:val="-19"/>
        </w:rPr>
        <w:t> </w:t>
      </w:r>
      <w:r>
        <w:rPr/>
        <w:t>phytochemicals,</w:t>
      </w:r>
      <w:r>
        <w:rPr>
          <w:spacing w:val="-18"/>
        </w:rPr>
        <w:t> </w:t>
      </w:r>
      <w:r>
        <w:rPr/>
        <w:t>pretty</w:t>
      </w:r>
      <w:r>
        <w:rPr>
          <w:spacing w:val="-18"/>
        </w:rPr>
        <w:t> </w:t>
      </w:r>
      <w:r>
        <w:rPr/>
        <w:t>much</w:t>
      </w:r>
      <w:r>
        <w:rPr>
          <w:spacing w:val="-19"/>
        </w:rPr>
        <w:t> </w:t>
      </w:r>
      <w:r>
        <w:rPr/>
        <w:t>every</w:t>
      </w:r>
      <w:r>
        <w:rPr>
          <w:spacing w:val="-18"/>
        </w:rPr>
        <w:t> </w:t>
      </w:r>
      <w:r>
        <w:rPr/>
        <w:t>reader</w:t>
      </w:r>
      <w:r>
        <w:rPr>
          <w:spacing w:val="-20"/>
        </w:rPr>
        <w:t> </w:t>
      </w:r>
      <w:r>
        <w:rPr/>
        <w:t>asks</w:t>
      </w:r>
      <w:r>
        <w:rPr>
          <w:spacing w:val="-23"/>
        </w:rPr>
        <w:t> </w:t>
      </w:r>
      <w:r>
        <w:rPr/>
        <w:t>the</w:t>
      </w:r>
      <w:r>
        <w:rPr>
          <w:spacing w:val="-16"/>
        </w:rPr>
        <w:t> </w:t>
      </w:r>
      <w:r>
        <w:rPr/>
        <w:t>question: What are</w:t>
      </w:r>
      <w:r>
        <w:rPr>
          <w:spacing w:val="-1"/>
        </w:rPr>
        <w:t> </w:t>
      </w:r>
      <w:r>
        <w:rPr/>
        <w:t>biophotons?</w:t>
      </w:r>
    </w:p>
    <w:p>
      <w:pPr>
        <w:pStyle w:val="BodyText"/>
        <w:spacing w:line="276" w:lineRule="auto" w:before="242"/>
        <w:ind w:left="616" w:right="133"/>
        <w:jc w:val="both"/>
      </w:pPr>
      <w:r>
        <w:rPr/>
        <w:t>According</w:t>
      </w:r>
      <w:r>
        <w:rPr>
          <w:spacing w:val="-17"/>
        </w:rPr>
        <w:t> </w:t>
      </w:r>
      <w:r>
        <w:rPr/>
        <w:t>to</w:t>
      </w:r>
      <w:r>
        <w:rPr>
          <w:spacing w:val="-16"/>
        </w:rPr>
        <w:t> </w:t>
      </w:r>
      <w:r>
        <w:rPr/>
        <w:t>the</w:t>
      </w:r>
      <w:r>
        <w:rPr>
          <w:spacing w:val="-16"/>
        </w:rPr>
        <w:t> </w:t>
      </w:r>
      <w:r>
        <w:rPr/>
        <w:t>pioneer</w:t>
      </w:r>
      <w:r>
        <w:rPr>
          <w:spacing w:val="-16"/>
        </w:rPr>
        <w:t> </w:t>
      </w:r>
      <w:r>
        <w:rPr/>
        <w:t>in</w:t>
      </w:r>
      <w:r>
        <w:rPr>
          <w:spacing w:val="-16"/>
        </w:rPr>
        <w:t> </w:t>
      </w:r>
      <w:r>
        <w:rPr/>
        <w:t>biophoton</w:t>
      </w:r>
      <w:r>
        <w:rPr>
          <w:spacing w:val="-16"/>
        </w:rPr>
        <w:t> </w:t>
      </w:r>
      <w:r>
        <w:rPr/>
        <w:t>research,</w:t>
      </w:r>
      <w:r>
        <w:rPr>
          <w:spacing w:val="-17"/>
        </w:rPr>
        <w:t> </w:t>
      </w:r>
      <w:r>
        <w:rPr/>
        <w:t>Prof.</w:t>
      </w:r>
      <w:r>
        <w:rPr>
          <w:spacing w:val="-16"/>
        </w:rPr>
        <w:t> </w:t>
      </w:r>
      <w:r>
        <w:rPr/>
        <w:t>Fritz-A.</w:t>
      </w:r>
      <w:r>
        <w:rPr>
          <w:spacing w:val="-16"/>
        </w:rPr>
        <w:t> </w:t>
      </w:r>
      <w:r>
        <w:rPr/>
        <w:t>Popp,</w:t>
      </w:r>
      <w:r>
        <w:rPr>
          <w:spacing w:val="-16"/>
        </w:rPr>
        <w:t> </w:t>
      </w:r>
      <w:r>
        <w:rPr/>
        <w:t>it</w:t>
      </w:r>
      <w:r>
        <w:rPr>
          <w:spacing w:val="-18"/>
        </w:rPr>
        <w:t> </w:t>
      </w:r>
      <w:r>
        <w:rPr/>
        <w:t>is</w:t>
      </w:r>
      <w:r>
        <w:rPr>
          <w:spacing w:val="-17"/>
        </w:rPr>
        <w:t> </w:t>
      </w:r>
      <w:r>
        <w:rPr/>
        <w:t>food (of plant or animal origin) which has been irradiated by the sun, which makes the food valuable. They store electromagnetic energy in the form of light and have a great impact on our metabolism and therefore our health! Spirulina is considered to be an excellent reservoir of solar power and provides these val- uable</w:t>
      </w:r>
      <w:r>
        <w:rPr>
          <w:spacing w:val="-7"/>
        </w:rPr>
        <w:t> </w:t>
      </w:r>
      <w:r>
        <w:rPr/>
        <w:t>biophotons,</w:t>
      </w:r>
      <w:r>
        <w:rPr>
          <w:spacing w:val="-5"/>
        </w:rPr>
        <w:t> </w:t>
      </w:r>
      <w:r>
        <w:rPr/>
        <w:t>which</w:t>
      </w:r>
      <w:r>
        <w:rPr>
          <w:spacing w:val="-8"/>
        </w:rPr>
        <w:t> </w:t>
      </w:r>
      <w:r>
        <w:rPr/>
        <w:t>Prof.</w:t>
      </w:r>
      <w:r>
        <w:rPr>
          <w:spacing w:val="-9"/>
        </w:rPr>
        <w:t> </w:t>
      </w:r>
      <w:r>
        <w:rPr/>
        <w:t>A.</w:t>
      </w:r>
      <w:r>
        <w:rPr>
          <w:spacing w:val="-9"/>
        </w:rPr>
        <w:t> </w:t>
      </w:r>
      <w:r>
        <w:rPr/>
        <w:t>Popp</w:t>
      </w:r>
      <w:r>
        <w:rPr>
          <w:spacing w:val="-11"/>
        </w:rPr>
        <w:t> </w:t>
      </w:r>
      <w:r>
        <w:rPr/>
        <w:t>has</w:t>
      </w:r>
      <w:r>
        <w:rPr>
          <w:spacing w:val="-8"/>
        </w:rPr>
        <w:t> </w:t>
      </w:r>
      <w:r>
        <w:rPr/>
        <w:t>referred</w:t>
      </w:r>
      <w:r>
        <w:rPr>
          <w:spacing w:val="-7"/>
        </w:rPr>
        <w:t> </w:t>
      </w:r>
      <w:r>
        <w:rPr/>
        <w:t>to</w:t>
      </w:r>
      <w:r>
        <w:rPr>
          <w:spacing w:val="-9"/>
        </w:rPr>
        <w:t> </w:t>
      </w:r>
      <w:r>
        <w:rPr/>
        <w:t>as</w:t>
      </w:r>
      <w:r>
        <w:rPr>
          <w:spacing w:val="-9"/>
        </w:rPr>
        <w:t> </w:t>
      </w:r>
      <w:r>
        <w:rPr/>
        <w:t>the</w:t>
      </w:r>
      <w:r>
        <w:rPr>
          <w:spacing w:val="-6"/>
        </w:rPr>
        <w:t> </w:t>
      </w:r>
      <w:r>
        <w:rPr>
          <w:i/>
        </w:rPr>
        <w:t>'pillar</w:t>
      </w:r>
      <w:r>
        <w:rPr>
          <w:i/>
          <w:spacing w:val="-7"/>
        </w:rPr>
        <w:t> </w:t>
      </w:r>
      <w:r>
        <w:rPr>
          <w:i/>
        </w:rPr>
        <w:t>of</w:t>
      </w:r>
      <w:r>
        <w:rPr>
          <w:i/>
          <w:spacing w:val="-11"/>
        </w:rPr>
        <w:t> </w:t>
      </w:r>
      <w:r>
        <w:rPr>
          <w:i/>
        </w:rPr>
        <w:t>food</w:t>
      </w:r>
      <w:r>
        <w:rPr>
          <w:i/>
          <w:spacing w:val="-7"/>
        </w:rPr>
        <w:t> </w:t>
      </w:r>
      <w:r>
        <w:rPr>
          <w:i/>
        </w:rPr>
        <w:t>qual- </w:t>
      </w:r>
      <w:r>
        <w:rPr>
          <w:i/>
        </w:rPr>
        <w:t>ity'</w:t>
      </w:r>
      <w:r>
        <w:rPr/>
        <w:t>, to us humans!</w:t>
      </w:r>
      <w:r>
        <w:rPr>
          <w:position w:val="9"/>
          <w:sz w:val="25"/>
        </w:rPr>
        <w:t>851 </w:t>
      </w:r>
      <w:r>
        <w:rPr/>
        <w:t>Unfortunately, we do not have too many biophotons at our disposal as greenhouses or chicken batteries do not exactly encourage the uptake of biophotons by vegetables, fruits or</w:t>
      </w:r>
      <w:r>
        <w:rPr>
          <w:spacing w:val="-6"/>
        </w:rPr>
        <w:t> </w:t>
      </w:r>
      <w:r>
        <w:rPr/>
        <w:t>chickens!</w:t>
      </w:r>
    </w:p>
    <w:p>
      <w:pPr>
        <w:pStyle w:val="Heading2"/>
        <w:spacing w:before="239"/>
        <w:ind w:left="616"/>
        <w:jc w:val="both"/>
      </w:pPr>
      <w:r>
        <w:rPr/>
        <w:t>Specific effects of spirulina on diseases and conditions</w:t>
      </w:r>
    </w:p>
    <w:p>
      <w:pPr>
        <w:pStyle w:val="BodyText"/>
        <w:rPr>
          <w:b/>
          <w:sz w:val="20"/>
        </w:rPr>
      </w:pPr>
    </w:p>
    <w:p>
      <w:pPr>
        <w:pStyle w:val="BodyText"/>
        <w:rPr>
          <w:b/>
          <w:sz w:val="20"/>
        </w:rPr>
      </w:pPr>
    </w:p>
    <w:p>
      <w:pPr>
        <w:pStyle w:val="BodyText"/>
        <w:rPr>
          <w:b/>
          <w:sz w:val="20"/>
        </w:rPr>
      </w:pPr>
    </w:p>
    <w:p>
      <w:pPr>
        <w:pStyle w:val="BodyText"/>
        <w:spacing w:before="4"/>
        <w:rPr>
          <w:b/>
          <w:sz w:val="14"/>
        </w:rPr>
      </w:pPr>
      <w:r>
        <w:rPr/>
        <w:pict>
          <v:line style="position:absolute;mso-position-horizontal-relative:page;mso-position-vertical-relative:paragraph;z-index:11744;mso-wrap-distance-left:0;mso-wrap-distance-right:0" from="70.823997pt,10.465015pt" to="214.843997pt,10.465015pt" stroked="true" strokeweight=".71997pt" strokecolor="#000000">
            <v:stroke dashstyle="solid"/>
            <w10:wrap type="topAndBottom"/>
          </v:line>
        </w:pict>
      </w:r>
    </w:p>
    <w:p>
      <w:pPr>
        <w:pStyle w:val="BodyText"/>
        <w:spacing w:before="7"/>
        <w:rPr>
          <w:b/>
          <w:sz w:val="18"/>
        </w:rPr>
      </w:pPr>
    </w:p>
    <w:p>
      <w:pPr>
        <w:spacing w:before="100"/>
        <w:ind w:left="616" w:right="0" w:firstLine="0"/>
        <w:jc w:val="left"/>
        <w:rPr>
          <w:sz w:val="20"/>
        </w:rPr>
      </w:pPr>
      <w:r>
        <w:rPr>
          <w:position w:val="5"/>
          <w:sz w:val="13"/>
        </w:rPr>
        <w:t>851 </w:t>
      </w:r>
      <w:r>
        <w:rPr>
          <w:sz w:val="20"/>
        </w:rPr>
        <w:t>Marianne E. Meyer: Spirulina – Wundernahrung der Zukunft ('Spirulina – Wonder Food of the Future'), 2002, p. 22</w:t>
      </w:r>
    </w:p>
    <w:p>
      <w:pPr>
        <w:spacing w:after="0"/>
        <w:jc w:val="left"/>
        <w:rPr>
          <w:sz w:val="20"/>
        </w:rPr>
        <w:sectPr>
          <w:pgSz w:w="14270" w:h="16850"/>
          <w:pgMar w:header="0" w:footer="1891" w:top="1340" w:bottom="2080" w:left="800" w:right="1280"/>
        </w:sectPr>
      </w:pPr>
    </w:p>
    <w:p>
      <w:pPr>
        <w:pStyle w:val="BodyText"/>
        <w:spacing w:line="276" w:lineRule="auto" w:before="74"/>
        <w:ind w:left="616" w:right="57"/>
      </w:pPr>
      <w:r>
        <w:rPr/>
        <w:t>Before we examine the specific effects of spirulina on diseases and conditions, let's first examine its general effect:</w:t>
      </w:r>
    </w:p>
    <w:p>
      <w:pPr>
        <w:pStyle w:val="Heading1"/>
        <w:spacing w:before="221"/>
        <w:ind w:left="616"/>
      </w:pPr>
      <w:r>
        <w:rPr/>
        <w:t>General effect of spirulina platensis</w:t>
      </w:r>
    </w:p>
    <w:p>
      <w:pPr>
        <w:pStyle w:val="BodyText"/>
        <w:spacing w:before="300"/>
        <w:ind w:left="616"/>
      </w:pPr>
      <w:r>
        <w:rPr/>
        <w:t>Spirulina platensis has the following effects:</w:t>
      </w:r>
    </w:p>
    <w:p>
      <w:pPr>
        <w:pStyle w:val="ListParagraph"/>
        <w:numPr>
          <w:ilvl w:val="0"/>
          <w:numId w:val="120"/>
        </w:numPr>
        <w:tabs>
          <w:tab w:pos="1031" w:val="left" w:leader="none"/>
          <w:tab w:pos="1032" w:val="left" w:leader="none"/>
        </w:tabs>
        <w:spacing w:line="240" w:lineRule="auto" w:before="265" w:after="0"/>
        <w:ind w:left="899" w:right="0" w:hanging="283"/>
        <w:jc w:val="left"/>
        <w:rPr>
          <w:sz w:val="38"/>
        </w:rPr>
      </w:pPr>
      <w:r>
        <w:rPr>
          <w:sz w:val="38"/>
        </w:rPr>
        <w:t>strengthens the immune system</w:t>
      </w:r>
    </w:p>
    <w:p>
      <w:pPr>
        <w:pStyle w:val="ListParagraph"/>
        <w:numPr>
          <w:ilvl w:val="0"/>
          <w:numId w:val="120"/>
        </w:numPr>
        <w:tabs>
          <w:tab w:pos="1031" w:val="left" w:leader="none"/>
          <w:tab w:pos="1032" w:val="left" w:leader="none"/>
        </w:tabs>
        <w:spacing w:line="240" w:lineRule="auto" w:before="183" w:after="0"/>
        <w:ind w:left="899" w:right="0" w:hanging="283"/>
        <w:jc w:val="left"/>
        <w:rPr>
          <w:sz w:val="38"/>
        </w:rPr>
      </w:pPr>
      <w:r>
        <w:rPr>
          <w:sz w:val="38"/>
        </w:rPr>
        <w:t>antioxidant (cell protection against free</w:t>
      </w:r>
      <w:r>
        <w:rPr>
          <w:spacing w:val="-3"/>
          <w:sz w:val="38"/>
        </w:rPr>
        <w:t> </w:t>
      </w:r>
      <w:r>
        <w:rPr>
          <w:sz w:val="38"/>
        </w:rPr>
        <w:t>radicals)</w:t>
      </w:r>
    </w:p>
    <w:p>
      <w:pPr>
        <w:pStyle w:val="ListParagraph"/>
        <w:numPr>
          <w:ilvl w:val="0"/>
          <w:numId w:val="120"/>
        </w:numPr>
        <w:tabs>
          <w:tab w:pos="1031" w:val="left" w:leader="none"/>
          <w:tab w:pos="1032" w:val="left" w:leader="none"/>
        </w:tabs>
        <w:spacing w:line="240" w:lineRule="auto" w:before="187" w:after="0"/>
        <w:ind w:left="899" w:right="0" w:hanging="283"/>
        <w:jc w:val="left"/>
        <w:rPr>
          <w:sz w:val="38"/>
        </w:rPr>
      </w:pPr>
      <w:r>
        <w:rPr>
          <w:sz w:val="38"/>
        </w:rPr>
        <w:t>detoxifying</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discharges heavy</w:t>
      </w:r>
      <w:r>
        <w:rPr>
          <w:spacing w:val="-2"/>
          <w:sz w:val="38"/>
        </w:rPr>
        <w:t> </w:t>
      </w:r>
      <w:r>
        <w:rPr>
          <w:sz w:val="38"/>
        </w:rPr>
        <w:t>metals</w:t>
      </w:r>
    </w:p>
    <w:p>
      <w:pPr>
        <w:pStyle w:val="ListParagraph"/>
        <w:numPr>
          <w:ilvl w:val="0"/>
          <w:numId w:val="120"/>
        </w:numPr>
        <w:tabs>
          <w:tab w:pos="1031" w:val="left" w:leader="none"/>
          <w:tab w:pos="1032" w:val="left" w:leader="none"/>
        </w:tabs>
        <w:spacing w:line="240" w:lineRule="auto" w:before="183" w:after="0"/>
        <w:ind w:left="899" w:right="0" w:hanging="283"/>
        <w:jc w:val="left"/>
        <w:rPr>
          <w:sz w:val="38"/>
        </w:rPr>
      </w:pPr>
      <w:r>
        <w:rPr>
          <w:sz w:val="38"/>
        </w:rPr>
        <w:t>excretes</w:t>
      </w:r>
      <w:r>
        <w:rPr>
          <w:spacing w:val="-1"/>
          <w:sz w:val="38"/>
        </w:rPr>
        <w:t> </w:t>
      </w:r>
      <w:r>
        <w:rPr>
          <w:sz w:val="38"/>
        </w:rPr>
        <w:t>toxins</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discharges</w:t>
      </w:r>
      <w:r>
        <w:rPr>
          <w:spacing w:val="-2"/>
          <w:sz w:val="38"/>
        </w:rPr>
        <w:t> </w:t>
      </w:r>
      <w:r>
        <w:rPr>
          <w:sz w:val="38"/>
        </w:rPr>
        <w:t>radiation</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deacidifies</w:t>
      </w:r>
    </w:p>
    <w:p>
      <w:pPr>
        <w:pStyle w:val="ListParagraph"/>
        <w:numPr>
          <w:ilvl w:val="0"/>
          <w:numId w:val="120"/>
        </w:numPr>
        <w:tabs>
          <w:tab w:pos="1031" w:val="left" w:leader="none"/>
          <w:tab w:pos="1032" w:val="left" w:leader="none"/>
        </w:tabs>
        <w:spacing w:line="240" w:lineRule="auto" w:before="186" w:after="0"/>
        <w:ind w:left="899" w:right="0" w:hanging="283"/>
        <w:jc w:val="left"/>
        <w:rPr>
          <w:sz w:val="38"/>
        </w:rPr>
      </w:pPr>
      <w:r>
        <w:rPr>
          <w:sz w:val="38"/>
        </w:rPr>
        <w:t>cleanses the</w:t>
      </w:r>
      <w:r>
        <w:rPr>
          <w:spacing w:val="-2"/>
          <w:sz w:val="38"/>
        </w:rPr>
        <w:t> </w:t>
      </w:r>
      <w:r>
        <w:rPr>
          <w:sz w:val="38"/>
        </w:rPr>
        <w:t>blood</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antiallergic</w:t>
      </w:r>
    </w:p>
    <w:p>
      <w:pPr>
        <w:pStyle w:val="ListParagraph"/>
        <w:numPr>
          <w:ilvl w:val="0"/>
          <w:numId w:val="120"/>
        </w:numPr>
        <w:tabs>
          <w:tab w:pos="1031" w:val="left" w:leader="none"/>
          <w:tab w:pos="1032" w:val="left" w:leader="none"/>
        </w:tabs>
        <w:spacing w:line="240" w:lineRule="auto" w:before="183" w:after="0"/>
        <w:ind w:left="899" w:right="0" w:hanging="283"/>
        <w:jc w:val="left"/>
        <w:rPr>
          <w:sz w:val="38"/>
        </w:rPr>
      </w:pPr>
      <w:r>
        <w:rPr>
          <w:sz w:val="38"/>
        </w:rPr>
        <w:t>antibacterial</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builds cell</w:t>
      </w:r>
      <w:r>
        <w:rPr>
          <w:spacing w:val="-2"/>
          <w:sz w:val="38"/>
        </w:rPr>
        <w:t> </w:t>
      </w:r>
      <w:r>
        <w:rPr>
          <w:sz w:val="38"/>
        </w:rPr>
        <w:t>metabolism</w:t>
      </w:r>
    </w:p>
    <w:p>
      <w:pPr>
        <w:pStyle w:val="ListParagraph"/>
        <w:numPr>
          <w:ilvl w:val="0"/>
          <w:numId w:val="120"/>
        </w:numPr>
        <w:tabs>
          <w:tab w:pos="1031" w:val="left" w:leader="none"/>
          <w:tab w:pos="1032" w:val="left" w:leader="none"/>
        </w:tabs>
        <w:spacing w:line="240" w:lineRule="auto" w:before="183" w:after="0"/>
        <w:ind w:left="899" w:right="0" w:hanging="283"/>
        <w:jc w:val="left"/>
        <w:rPr>
          <w:sz w:val="38"/>
        </w:rPr>
      </w:pPr>
      <w:r>
        <w:rPr>
          <w:sz w:val="38"/>
        </w:rPr>
        <w:t>builds connective</w:t>
      </w:r>
      <w:r>
        <w:rPr>
          <w:spacing w:val="-2"/>
          <w:sz w:val="38"/>
        </w:rPr>
        <w:t> </w:t>
      </w:r>
      <w:r>
        <w:rPr>
          <w:sz w:val="38"/>
        </w:rPr>
        <w:t>tissue</w:t>
      </w:r>
    </w:p>
    <w:p>
      <w:pPr>
        <w:pStyle w:val="ListParagraph"/>
        <w:numPr>
          <w:ilvl w:val="0"/>
          <w:numId w:val="120"/>
        </w:numPr>
        <w:tabs>
          <w:tab w:pos="1031" w:val="left" w:leader="none"/>
          <w:tab w:pos="1032" w:val="left" w:leader="none"/>
        </w:tabs>
        <w:spacing w:line="240" w:lineRule="auto" w:before="186" w:after="0"/>
        <w:ind w:left="899" w:right="0" w:hanging="283"/>
        <w:jc w:val="left"/>
        <w:rPr>
          <w:sz w:val="38"/>
        </w:rPr>
      </w:pPr>
      <w:r>
        <w:rPr>
          <w:sz w:val="38"/>
        </w:rPr>
        <w:t>anti-inflammatory</w:t>
      </w:r>
    </w:p>
    <w:p>
      <w:pPr>
        <w:pStyle w:val="ListParagraph"/>
        <w:numPr>
          <w:ilvl w:val="0"/>
          <w:numId w:val="120"/>
        </w:numPr>
        <w:tabs>
          <w:tab w:pos="1031" w:val="left" w:leader="none"/>
          <w:tab w:pos="1032" w:val="left" w:leader="none"/>
        </w:tabs>
        <w:spacing w:line="240" w:lineRule="auto" w:before="185" w:after="0"/>
        <w:ind w:left="899" w:right="0" w:hanging="283"/>
        <w:jc w:val="left"/>
        <w:rPr>
          <w:sz w:val="38"/>
        </w:rPr>
      </w:pPr>
      <w:r>
        <w:rPr>
          <w:sz w:val="38"/>
        </w:rPr>
        <w:t>disinfectant</w:t>
      </w:r>
    </w:p>
    <w:p>
      <w:pPr>
        <w:pStyle w:val="ListParagraph"/>
        <w:numPr>
          <w:ilvl w:val="0"/>
          <w:numId w:val="120"/>
        </w:numPr>
        <w:tabs>
          <w:tab w:pos="1031" w:val="left" w:leader="none"/>
          <w:tab w:pos="1032" w:val="left" w:leader="none"/>
        </w:tabs>
        <w:spacing w:line="240" w:lineRule="auto" w:before="183" w:after="0"/>
        <w:ind w:left="899" w:right="0" w:hanging="283"/>
        <w:jc w:val="left"/>
        <w:rPr>
          <w:sz w:val="38"/>
        </w:rPr>
      </w:pPr>
      <w:r>
        <w:rPr>
          <w:sz w:val="38"/>
        </w:rPr>
        <w:t>strengthens</w:t>
      </w:r>
      <w:r>
        <w:rPr>
          <w:spacing w:val="17"/>
          <w:sz w:val="38"/>
        </w:rPr>
        <w:t> </w:t>
      </w:r>
      <w:r>
        <w:rPr>
          <w:sz w:val="38"/>
        </w:rPr>
        <w:t>blood</w:t>
      </w:r>
      <w:r>
        <w:rPr>
          <w:spacing w:val="19"/>
          <w:sz w:val="38"/>
        </w:rPr>
        <w:t> </w:t>
      </w:r>
      <w:r>
        <w:rPr>
          <w:sz w:val="38"/>
        </w:rPr>
        <w:t>vessels</w:t>
      </w:r>
      <w:r>
        <w:rPr>
          <w:spacing w:val="20"/>
          <w:sz w:val="38"/>
        </w:rPr>
        <w:t> </w:t>
      </w:r>
      <w:r>
        <w:rPr>
          <w:sz w:val="38"/>
        </w:rPr>
        <w:t>(strengthens</w:t>
      </w:r>
      <w:r>
        <w:rPr>
          <w:spacing w:val="20"/>
          <w:sz w:val="38"/>
        </w:rPr>
        <w:t> </w:t>
      </w:r>
      <w:r>
        <w:rPr>
          <w:sz w:val="38"/>
        </w:rPr>
        <w:t>and</w:t>
      </w:r>
      <w:r>
        <w:rPr>
          <w:spacing w:val="20"/>
          <w:sz w:val="38"/>
        </w:rPr>
        <w:t> </w:t>
      </w:r>
      <w:r>
        <w:rPr>
          <w:sz w:val="38"/>
        </w:rPr>
        <w:t>keeps</w:t>
      </w:r>
      <w:r>
        <w:rPr>
          <w:spacing w:val="20"/>
          <w:sz w:val="38"/>
        </w:rPr>
        <w:t> </w:t>
      </w:r>
      <w:r>
        <w:rPr>
          <w:sz w:val="38"/>
        </w:rPr>
        <w:t>them</w:t>
      </w:r>
      <w:r>
        <w:rPr>
          <w:spacing w:val="20"/>
          <w:sz w:val="38"/>
        </w:rPr>
        <w:t> </w:t>
      </w:r>
      <w:r>
        <w:rPr>
          <w:sz w:val="38"/>
        </w:rPr>
        <w:t>elastic</w:t>
      </w:r>
      <w:r>
        <w:rPr>
          <w:spacing w:val="19"/>
          <w:sz w:val="38"/>
        </w:rPr>
        <w:t> </w:t>
      </w:r>
      <w:r>
        <w:rPr>
          <w:sz w:val="38"/>
        </w:rPr>
        <w:t>at</w:t>
      </w:r>
      <w:r>
        <w:rPr>
          <w:spacing w:val="19"/>
          <w:sz w:val="38"/>
        </w:rPr>
        <w:t> </w:t>
      </w:r>
      <w:r>
        <w:rPr>
          <w:sz w:val="38"/>
        </w:rPr>
        <w:t>the</w:t>
      </w:r>
      <w:r>
        <w:rPr>
          <w:spacing w:val="20"/>
          <w:sz w:val="38"/>
        </w:rPr>
        <w:t> </w:t>
      </w:r>
      <w:r>
        <w:rPr>
          <w:sz w:val="38"/>
        </w:rPr>
        <w:t>same</w:t>
      </w:r>
    </w:p>
    <w:p>
      <w:pPr>
        <w:spacing w:after="0" w:line="240" w:lineRule="auto"/>
        <w:jc w:val="left"/>
        <w:rPr>
          <w:sz w:val="38"/>
        </w:rPr>
        <w:sectPr>
          <w:pgSz w:w="14270" w:h="16850"/>
          <w:pgMar w:header="0" w:footer="1891" w:top="1340" w:bottom="2080" w:left="800" w:right="1280"/>
        </w:sectPr>
      </w:pPr>
    </w:p>
    <w:p>
      <w:pPr>
        <w:pStyle w:val="BodyText"/>
        <w:spacing w:before="72"/>
        <w:ind w:left="616"/>
        <w:jc w:val="both"/>
      </w:pPr>
      <w:r>
        <w:rPr/>
        <w:t>time)</w:t>
      </w:r>
    </w:p>
    <w:p>
      <w:pPr>
        <w:pStyle w:val="ListParagraph"/>
        <w:numPr>
          <w:ilvl w:val="0"/>
          <w:numId w:val="120"/>
        </w:numPr>
        <w:tabs>
          <w:tab w:pos="1032" w:val="left" w:leader="none"/>
        </w:tabs>
        <w:spacing w:line="240" w:lineRule="auto" w:before="186" w:after="0"/>
        <w:ind w:left="899" w:right="0" w:hanging="283"/>
        <w:jc w:val="both"/>
        <w:rPr>
          <w:sz w:val="38"/>
        </w:rPr>
      </w:pPr>
      <w:r>
        <w:rPr>
          <w:sz w:val="38"/>
        </w:rPr>
        <w:t>increases aerobic endurance</w:t>
      </w:r>
    </w:p>
    <w:p>
      <w:pPr>
        <w:pStyle w:val="ListParagraph"/>
        <w:numPr>
          <w:ilvl w:val="0"/>
          <w:numId w:val="120"/>
        </w:numPr>
        <w:tabs>
          <w:tab w:pos="1032" w:val="left" w:leader="none"/>
        </w:tabs>
        <w:spacing w:line="240" w:lineRule="auto" w:before="183" w:after="0"/>
        <w:ind w:left="899" w:right="0" w:hanging="283"/>
        <w:jc w:val="both"/>
        <w:rPr>
          <w:sz w:val="38"/>
        </w:rPr>
      </w:pPr>
      <w:r>
        <w:rPr>
          <w:sz w:val="38"/>
        </w:rPr>
        <w:t>protects the</w:t>
      </w:r>
      <w:r>
        <w:rPr>
          <w:spacing w:val="-1"/>
          <w:sz w:val="38"/>
        </w:rPr>
        <w:t> </w:t>
      </w:r>
      <w:r>
        <w:rPr>
          <w:sz w:val="38"/>
        </w:rPr>
        <w:t>liver</w:t>
      </w:r>
    </w:p>
    <w:p>
      <w:pPr>
        <w:pStyle w:val="ListParagraph"/>
        <w:numPr>
          <w:ilvl w:val="0"/>
          <w:numId w:val="120"/>
        </w:numPr>
        <w:tabs>
          <w:tab w:pos="1032" w:val="left" w:leader="none"/>
        </w:tabs>
        <w:spacing w:line="240" w:lineRule="auto" w:before="186" w:after="0"/>
        <w:ind w:left="899" w:right="0" w:hanging="283"/>
        <w:jc w:val="both"/>
        <w:rPr>
          <w:sz w:val="38"/>
        </w:rPr>
      </w:pPr>
      <w:r>
        <w:rPr>
          <w:sz w:val="38"/>
        </w:rPr>
        <w:t>lowers</w:t>
      </w:r>
      <w:r>
        <w:rPr>
          <w:spacing w:val="-2"/>
          <w:sz w:val="38"/>
        </w:rPr>
        <w:t> </w:t>
      </w:r>
      <w:r>
        <w:rPr>
          <w:sz w:val="38"/>
        </w:rPr>
        <w:t>cholesterol</w:t>
      </w:r>
    </w:p>
    <w:p>
      <w:pPr>
        <w:pStyle w:val="ListParagraph"/>
        <w:numPr>
          <w:ilvl w:val="0"/>
          <w:numId w:val="120"/>
        </w:numPr>
        <w:tabs>
          <w:tab w:pos="1032" w:val="left" w:leader="none"/>
        </w:tabs>
        <w:spacing w:line="240" w:lineRule="auto" w:before="184" w:after="0"/>
        <w:ind w:left="899" w:right="0" w:hanging="283"/>
        <w:jc w:val="both"/>
        <w:rPr>
          <w:sz w:val="38"/>
        </w:rPr>
      </w:pPr>
      <w:r>
        <w:rPr>
          <w:sz w:val="38"/>
        </w:rPr>
        <w:t>regulates fat</w:t>
      </w:r>
      <w:r>
        <w:rPr>
          <w:spacing w:val="-1"/>
          <w:sz w:val="38"/>
        </w:rPr>
        <w:t> </w:t>
      </w:r>
      <w:r>
        <w:rPr>
          <w:sz w:val="38"/>
        </w:rPr>
        <w:t>metabolism</w:t>
      </w:r>
    </w:p>
    <w:p>
      <w:pPr>
        <w:pStyle w:val="ListParagraph"/>
        <w:numPr>
          <w:ilvl w:val="0"/>
          <w:numId w:val="120"/>
        </w:numPr>
        <w:tabs>
          <w:tab w:pos="1032" w:val="left" w:leader="none"/>
        </w:tabs>
        <w:spacing w:line="240" w:lineRule="auto" w:before="184" w:after="0"/>
        <w:ind w:left="899" w:right="0" w:hanging="283"/>
        <w:jc w:val="both"/>
        <w:rPr>
          <w:sz w:val="38"/>
        </w:rPr>
      </w:pPr>
      <w:r>
        <w:rPr>
          <w:sz w:val="38"/>
        </w:rPr>
        <w:t>lowers high blood</w:t>
      </w:r>
      <w:r>
        <w:rPr>
          <w:spacing w:val="-1"/>
          <w:sz w:val="38"/>
        </w:rPr>
        <w:t> </w:t>
      </w:r>
      <w:r>
        <w:rPr>
          <w:sz w:val="38"/>
        </w:rPr>
        <w:t>pressure</w:t>
      </w:r>
    </w:p>
    <w:p>
      <w:pPr>
        <w:pStyle w:val="ListParagraph"/>
        <w:numPr>
          <w:ilvl w:val="0"/>
          <w:numId w:val="120"/>
        </w:numPr>
        <w:tabs>
          <w:tab w:pos="1032" w:val="left" w:leader="none"/>
        </w:tabs>
        <w:spacing w:line="240" w:lineRule="auto" w:before="184" w:after="0"/>
        <w:ind w:left="899" w:right="0" w:hanging="283"/>
        <w:jc w:val="both"/>
        <w:rPr>
          <w:sz w:val="38"/>
        </w:rPr>
      </w:pPr>
      <w:r>
        <w:rPr>
          <w:sz w:val="38"/>
        </w:rPr>
        <w:t>regulates/builds up intestinal flora</w:t>
      </w:r>
    </w:p>
    <w:p>
      <w:pPr>
        <w:pStyle w:val="Heading1"/>
        <w:spacing w:before="290"/>
        <w:ind w:left="616"/>
        <w:jc w:val="both"/>
      </w:pPr>
      <w:r>
        <w:rPr/>
        <w:t>Immune-strengthening effect of spirulina</w:t>
      </w:r>
      <w:r>
        <w:rPr>
          <w:spacing w:val="-63"/>
        </w:rPr>
        <w:t> </w:t>
      </w:r>
      <w:r>
        <w:rPr/>
        <w:t>platensis</w:t>
      </w:r>
    </w:p>
    <w:p>
      <w:pPr>
        <w:pStyle w:val="BodyText"/>
        <w:spacing w:line="276" w:lineRule="auto" w:before="296"/>
        <w:ind w:left="616" w:right="135"/>
        <w:jc w:val="both"/>
      </w:pPr>
      <w:r>
        <w:rPr/>
        <w:t>Although it is somewhat unfair to the numerous other active ingredients in spirulina, which are also involved in building a strong, functioning immune system, one active ingredient in it, namely the pigment 'phycocyanin', stands out in particular.</w:t>
      </w:r>
    </w:p>
    <w:p>
      <w:pPr>
        <w:pStyle w:val="BodyText"/>
        <w:spacing w:line="278" w:lineRule="auto" w:before="240"/>
        <w:ind w:left="616"/>
      </w:pPr>
      <w:r>
        <w:rPr/>
        <w:t>Phycocyanin activates the white blood cells (lymphocytes), which recognise, encase and eat up hostile invaders, such as bacteria, viruses and fungi.</w:t>
      </w:r>
    </w:p>
    <w:p>
      <w:pPr>
        <w:pStyle w:val="Heading1"/>
        <w:spacing w:before="215"/>
        <w:ind w:left="616"/>
      </w:pPr>
      <w:r>
        <w:rPr/>
        <w:t>Antibacterial effect of spirulina</w:t>
      </w:r>
    </w:p>
    <w:p>
      <w:pPr>
        <w:pStyle w:val="BodyText"/>
        <w:spacing w:line="276" w:lineRule="auto" w:before="299"/>
        <w:ind w:left="616"/>
      </w:pPr>
      <w:r>
        <w:rPr/>
        <w:t>The antibacterial effect of spirulina is based not least on the pigment 'chloro- phyll', whose oxygen kills germs such as bacteria.</w:t>
      </w:r>
    </w:p>
    <w:p>
      <w:pPr>
        <w:pStyle w:val="Heading1"/>
        <w:spacing w:before="222"/>
        <w:ind w:left="616"/>
        <w:jc w:val="both"/>
      </w:pPr>
      <w:r>
        <w:rPr/>
        <w:t>Antioxidant, cytoprotective effect of spirulina platensis</w:t>
      </w:r>
    </w:p>
    <w:p>
      <w:pPr>
        <w:pStyle w:val="BodyText"/>
        <w:spacing w:before="299"/>
        <w:ind w:left="616"/>
        <w:jc w:val="both"/>
      </w:pPr>
      <w:r>
        <w:rPr/>
        <w:t>In addition to numerous other, highly efficient antioxidants that protect our</w:t>
      </w:r>
    </w:p>
    <w:p>
      <w:pPr>
        <w:spacing w:after="0"/>
        <w:jc w:val="both"/>
        <w:sectPr>
          <w:pgSz w:w="14270" w:h="16850"/>
          <w:pgMar w:header="0" w:footer="1891" w:top="1340" w:bottom="2080" w:left="800" w:right="1280"/>
        </w:sectPr>
      </w:pPr>
    </w:p>
    <w:p>
      <w:pPr>
        <w:pStyle w:val="BodyText"/>
        <w:spacing w:line="278" w:lineRule="auto" w:before="72"/>
        <w:ind w:left="616" w:right="135"/>
        <w:jc w:val="both"/>
      </w:pPr>
      <w:r>
        <w:rPr/>
        <w:t>cells from aggressive free radicals, one stands out in particular – superoxide dismutase!</w:t>
      </w:r>
    </w:p>
    <w:p>
      <w:pPr>
        <w:pStyle w:val="BodyText"/>
        <w:spacing w:line="276" w:lineRule="auto" w:before="232"/>
        <w:ind w:left="616" w:right="136"/>
        <w:jc w:val="both"/>
      </w:pPr>
      <w:r>
        <w:rPr/>
        <w:t>Superoxide dismutase (SOD) is a copper and zinc-containing enzyme and ar- guably the most potent antioxidant. 10 g of spirulina contain 4 mg of this en- zyme.</w:t>
      </w:r>
    </w:p>
    <w:p>
      <w:pPr>
        <w:pStyle w:val="Heading1"/>
        <w:ind w:left="616"/>
      </w:pPr>
      <w:r>
        <w:rPr/>
        <w:t>Deacidifying effect of spirulina platensis</w:t>
      </w:r>
    </w:p>
    <w:p>
      <w:pPr>
        <w:pStyle w:val="BodyText"/>
        <w:spacing w:line="276" w:lineRule="auto" w:before="300"/>
        <w:ind w:left="616" w:right="137"/>
        <w:jc w:val="both"/>
      </w:pPr>
      <w:r>
        <w:rPr/>
        <w:t>Increasingly, in our world, our organism is over-saturated with acids, and knowledgeable physicians and naturopaths agree that acids are directly and</w:t>
      </w:r>
      <w:r>
        <w:rPr>
          <w:spacing w:val="-53"/>
        </w:rPr>
        <w:t> </w:t>
      </w:r>
      <w:r>
        <w:rPr/>
        <w:t>in- directly</w:t>
      </w:r>
      <w:r>
        <w:rPr>
          <w:spacing w:val="-7"/>
        </w:rPr>
        <w:t> </w:t>
      </w:r>
      <w:r>
        <w:rPr/>
        <w:t>responsible</w:t>
      </w:r>
      <w:r>
        <w:rPr>
          <w:spacing w:val="-7"/>
        </w:rPr>
        <w:t> </w:t>
      </w:r>
      <w:r>
        <w:rPr/>
        <w:t>for</w:t>
      </w:r>
      <w:r>
        <w:rPr>
          <w:spacing w:val="-5"/>
        </w:rPr>
        <w:t> </w:t>
      </w:r>
      <w:r>
        <w:rPr/>
        <w:t>hundreds</w:t>
      </w:r>
      <w:r>
        <w:rPr>
          <w:spacing w:val="-6"/>
        </w:rPr>
        <w:t> </w:t>
      </w:r>
      <w:r>
        <w:rPr/>
        <w:t>of</w:t>
      </w:r>
      <w:r>
        <w:rPr>
          <w:spacing w:val="-7"/>
        </w:rPr>
        <w:t> </w:t>
      </w:r>
      <w:r>
        <w:rPr/>
        <w:t>diseases.</w:t>
      </w:r>
      <w:r>
        <w:rPr>
          <w:spacing w:val="-5"/>
        </w:rPr>
        <w:t> </w:t>
      </w:r>
      <w:r>
        <w:rPr/>
        <w:t>It</w:t>
      </w:r>
      <w:r>
        <w:rPr>
          <w:spacing w:val="-7"/>
        </w:rPr>
        <w:t> </w:t>
      </w:r>
      <w:r>
        <w:rPr/>
        <w:t>was</w:t>
      </w:r>
      <w:r>
        <w:rPr>
          <w:spacing w:val="-6"/>
        </w:rPr>
        <w:t> </w:t>
      </w:r>
      <w:r>
        <w:rPr/>
        <w:t>Dr.</w:t>
      </w:r>
      <w:r>
        <w:rPr>
          <w:spacing w:val="-6"/>
        </w:rPr>
        <w:t> </w:t>
      </w:r>
      <w:r>
        <w:rPr/>
        <w:t>Warburg,</w:t>
      </w:r>
      <w:r>
        <w:rPr>
          <w:spacing w:val="-9"/>
        </w:rPr>
        <w:t> </w:t>
      </w:r>
      <w:r>
        <w:rPr/>
        <w:t>among</w:t>
      </w:r>
      <w:r>
        <w:rPr>
          <w:spacing w:val="-7"/>
        </w:rPr>
        <w:t> </w:t>
      </w:r>
      <w:r>
        <w:rPr/>
        <w:t>oth- ers, who was able to prove that cancer can only spread in an acidic environ- ment.</w:t>
      </w:r>
    </w:p>
    <w:p>
      <w:pPr>
        <w:pStyle w:val="BodyText"/>
        <w:spacing w:line="278" w:lineRule="auto" w:before="239"/>
        <w:ind w:left="616" w:right="141"/>
        <w:jc w:val="both"/>
      </w:pPr>
      <w:r>
        <w:rPr/>
        <w:t>The deacidifying effect of spirulina is due to it containing chlorophyll and nu- merous basic minerals.</w:t>
      </w:r>
    </w:p>
    <w:p>
      <w:pPr>
        <w:pStyle w:val="Heading1"/>
        <w:spacing w:before="216"/>
        <w:ind w:left="616"/>
      </w:pPr>
      <w:r>
        <w:rPr/>
        <w:t>Cholesterol-lowering effect of spirulina</w:t>
      </w:r>
    </w:p>
    <w:p>
      <w:pPr>
        <w:pStyle w:val="BodyText"/>
        <w:spacing w:line="276" w:lineRule="auto" w:before="299"/>
        <w:ind w:left="616" w:right="135"/>
        <w:jc w:val="both"/>
      </w:pPr>
      <w:r>
        <w:rPr/>
        <w:t>The cholesterol-lowering effect of spirulina has been demonstrated in numer- ous</w:t>
      </w:r>
      <w:r>
        <w:rPr>
          <w:spacing w:val="-10"/>
        </w:rPr>
        <w:t> </w:t>
      </w:r>
      <w:r>
        <w:rPr/>
        <w:t>studies,</w:t>
      </w:r>
      <w:r>
        <w:rPr>
          <w:spacing w:val="-10"/>
        </w:rPr>
        <w:t> </w:t>
      </w:r>
      <w:r>
        <w:rPr/>
        <w:t>including</w:t>
      </w:r>
      <w:r>
        <w:rPr>
          <w:spacing w:val="-11"/>
        </w:rPr>
        <w:t> </w:t>
      </w:r>
      <w:r>
        <w:rPr/>
        <w:t>a</w:t>
      </w:r>
      <w:r>
        <w:rPr>
          <w:spacing w:val="-12"/>
        </w:rPr>
        <w:t> </w:t>
      </w:r>
      <w:r>
        <w:rPr/>
        <w:t>study</w:t>
      </w:r>
      <w:r>
        <w:rPr>
          <w:spacing w:val="-11"/>
        </w:rPr>
        <w:t> </w:t>
      </w:r>
      <w:r>
        <w:rPr/>
        <w:t>carried</w:t>
      </w:r>
      <w:r>
        <w:rPr>
          <w:spacing w:val="-11"/>
        </w:rPr>
        <w:t> </w:t>
      </w:r>
      <w:r>
        <w:rPr/>
        <w:t>out</w:t>
      </w:r>
      <w:r>
        <w:rPr>
          <w:spacing w:val="-12"/>
        </w:rPr>
        <w:t> </w:t>
      </w:r>
      <w:r>
        <w:rPr/>
        <w:t>at</w:t>
      </w:r>
      <w:r>
        <w:rPr>
          <w:spacing w:val="-12"/>
        </w:rPr>
        <w:t> </w:t>
      </w:r>
      <w:r>
        <w:rPr/>
        <w:t>the</w:t>
      </w:r>
      <w:r>
        <w:rPr>
          <w:spacing w:val="-12"/>
        </w:rPr>
        <w:t> </w:t>
      </w:r>
      <w:r>
        <w:rPr/>
        <w:t>University</w:t>
      </w:r>
      <w:r>
        <w:rPr>
          <w:spacing w:val="-11"/>
        </w:rPr>
        <w:t> </w:t>
      </w:r>
      <w:r>
        <w:rPr/>
        <w:t>of</w:t>
      </w:r>
      <w:r>
        <w:rPr>
          <w:spacing w:val="-10"/>
        </w:rPr>
        <w:t> </w:t>
      </w:r>
      <w:r>
        <w:rPr/>
        <w:t>Tokai</w:t>
      </w:r>
      <w:r>
        <w:rPr>
          <w:spacing w:val="-11"/>
        </w:rPr>
        <w:t> </w:t>
      </w:r>
      <w:r>
        <w:rPr/>
        <w:t>on</w:t>
      </w:r>
      <w:r>
        <w:rPr>
          <w:spacing w:val="-9"/>
        </w:rPr>
        <w:t> </w:t>
      </w:r>
      <w:r>
        <w:rPr/>
        <w:t>30</w:t>
      </w:r>
      <w:r>
        <w:rPr>
          <w:spacing w:val="-11"/>
        </w:rPr>
        <w:t> </w:t>
      </w:r>
      <w:r>
        <w:rPr/>
        <w:t>male volunteers. The men were divided into two</w:t>
      </w:r>
      <w:r>
        <w:rPr>
          <w:spacing w:val="4"/>
        </w:rPr>
        <w:t> </w:t>
      </w:r>
      <w:r>
        <w:rPr/>
        <w:t>groups:</w:t>
      </w:r>
    </w:p>
    <w:p>
      <w:pPr>
        <w:pStyle w:val="BodyText"/>
        <w:spacing w:line="276" w:lineRule="auto" w:before="239"/>
        <w:ind w:left="616" w:right="134"/>
        <w:jc w:val="both"/>
      </w:pPr>
      <w:r>
        <w:rPr/>
        <w:t>Group A was given 4.2 g of spirulina every day for eight weeks and group B received the same amount but only for the first four weeks – this group was</w:t>
      </w:r>
    </w:p>
    <w:p>
      <w:pPr>
        <w:spacing w:after="0" w:line="276" w:lineRule="auto"/>
        <w:jc w:val="both"/>
        <w:sectPr>
          <w:footerReference w:type="default" r:id="rId361"/>
          <w:pgSz w:w="14270" w:h="16850"/>
          <w:pgMar w:footer="1891" w:header="0" w:top="1340" w:bottom="2080" w:left="800" w:right="1280"/>
          <w:pgNumType w:start="1540"/>
        </w:sectPr>
      </w:pPr>
    </w:p>
    <w:p>
      <w:pPr>
        <w:pStyle w:val="BodyText"/>
        <w:spacing w:before="74"/>
        <w:ind w:left="616"/>
      </w:pPr>
      <w:r>
        <w:rPr/>
        <w:t>given a placebo for the remaining four weeks.</w:t>
      </w:r>
    </w:p>
    <w:p>
      <w:pPr>
        <w:pStyle w:val="BodyText"/>
        <w:spacing w:line="276" w:lineRule="auto" w:before="305"/>
        <w:ind w:left="616" w:right="133"/>
        <w:jc w:val="both"/>
        <w:rPr>
          <w:sz w:val="25"/>
        </w:rPr>
      </w:pPr>
      <w:r>
        <w:rPr/>
        <w:t>As</w:t>
      </w:r>
      <w:r>
        <w:rPr>
          <w:spacing w:val="-11"/>
        </w:rPr>
        <w:t> </w:t>
      </w:r>
      <w:r>
        <w:rPr/>
        <w:t>a</w:t>
      </w:r>
      <w:r>
        <w:rPr>
          <w:spacing w:val="-12"/>
        </w:rPr>
        <w:t> </w:t>
      </w:r>
      <w:r>
        <w:rPr/>
        <w:t>result,</w:t>
      </w:r>
      <w:r>
        <w:rPr>
          <w:spacing w:val="-12"/>
        </w:rPr>
        <w:t> </w:t>
      </w:r>
      <w:r>
        <w:rPr/>
        <w:t>a</w:t>
      </w:r>
      <w:r>
        <w:rPr>
          <w:spacing w:val="-12"/>
        </w:rPr>
        <w:t> </w:t>
      </w:r>
      <w:r>
        <w:rPr/>
        <w:t>significant</w:t>
      </w:r>
      <w:r>
        <w:rPr>
          <w:spacing w:val="-11"/>
        </w:rPr>
        <w:t> </w:t>
      </w:r>
      <w:r>
        <w:rPr/>
        <w:t>reduction</w:t>
      </w:r>
      <w:r>
        <w:rPr>
          <w:spacing w:val="-11"/>
        </w:rPr>
        <w:t> </w:t>
      </w:r>
      <w:r>
        <w:rPr/>
        <w:t>in</w:t>
      </w:r>
      <w:r>
        <w:rPr>
          <w:spacing w:val="-11"/>
        </w:rPr>
        <w:t> </w:t>
      </w:r>
      <w:r>
        <w:rPr/>
        <w:t>cholesterol</w:t>
      </w:r>
      <w:r>
        <w:rPr>
          <w:spacing w:val="-12"/>
        </w:rPr>
        <w:t> </w:t>
      </w:r>
      <w:r>
        <w:rPr/>
        <w:t>levels</w:t>
      </w:r>
      <w:r>
        <w:rPr>
          <w:spacing w:val="-11"/>
        </w:rPr>
        <w:t> </w:t>
      </w:r>
      <w:r>
        <w:rPr/>
        <w:t>from</w:t>
      </w:r>
      <w:r>
        <w:rPr>
          <w:spacing w:val="-12"/>
        </w:rPr>
        <w:t> </w:t>
      </w:r>
      <w:r>
        <w:rPr/>
        <w:t>243.5</w:t>
      </w:r>
      <w:r>
        <w:rPr>
          <w:spacing w:val="-11"/>
        </w:rPr>
        <w:t> </w:t>
      </w:r>
      <w:r>
        <w:rPr/>
        <w:t>mg/dl</w:t>
      </w:r>
      <w:r>
        <w:rPr>
          <w:spacing w:val="-12"/>
        </w:rPr>
        <w:t> </w:t>
      </w:r>
      <w:r>
        <w:rPr/>
        <w:t>to</w:t>
      </w:r>
      <w:r>
        <w:rPr>
          <w:spacing w:val="-10"/>
        </w:rPr>
        <w:t> </w:t>
      </w:r>
      <w:r>
        <w:rPr/>
        <w:t>an average of 232.7 mg was found in the group which received spirulina all the way through.</w:t>
      </w:r>
      <w:r>
        <w:rPr>
          <w:position w:val="9"/>
          <w:sz w:val="25"/>
        </w:rPr>
        <w:t>852</w:t>
      </w:r>
    </w:p>
    <w:p>
      <w:pPr>
        <w:pStyle w:val="Heading1"/>
        <w:spacing w:before="221"/>
        <w:ind w:left="616"/>
      </w:pPr>
      <w:r>
        <w:rPr/>
        <w:t>Anti-inflammatory effect of spirulina</w:t>
      </w:r>
      <w:r>
        <w:rPr>
          <w:spacing w:val="-54"/>
        </w:rPr>
        <w:t> </w:t>
      </w:r>
      <w:r>
        <w:rPr/>
        <w:t>platensis</w:t>
      </w:r>
    </w:p>
    <w:p>
      <w:pPr>
        <w:pStyle w:val="BodyText"/>
        <w:spacing w:line="276" w:lineRule="auto" w:before="299"/>
        <w:ind w:left="616" w:right="137"/>
        <w:jc w:val="both"/>
        <w:rPr>
          <w:sz w:val="25"/>
        </w:rPr>
      </w:pPr>
      <w:r>
        <w:rPr/>
        <w:t>The</w:t>
      </w:r>
      <w:r>
        <w:rPr>
          <w:spacing w:val="-9"/>
        </w:rPr>
        <w:t> </w:t>
      </w:r>
      <w:r>
        <w:rPr/>
        <w:t>anti-inflammatory</w:t>
      </w:r>
      <w:r>
        <w:rPr>
          <w:spacing w:val="-9"/>
        </w:rPr>
        <w:t> </w:t>
      </w:r>
      <w:r>
        <w:rPr/>
        <w:t>effect</w:t>
      </w:r>
      <w:r>
        <w:rPr>
          <w:spacing w:val="-9"/>
        </w:rPr>
        <w:t> </w:t>
      </w:r>
      <w:r>
        <w:rPr/>
        <w:t>of</w:t>
      </w:r>
      <w:r>
        <w:rPr>
          <w:spacing w:val="-9"/>
        </w:rPr>
        <w:t> </w:t>
      </w:r>
      <w:r>
        <w:rPr/>
        <w:t>spirulina</w:t>
      </w:r>
      <w:r>
        <w:rPr>
          <w:spacing w:val="-8"/>
        </w:rPr>
        <w:t> </w:t>
      </w:r>
      <w:r>
        <w:rPr/>
        <w:t>has</w:t>
      </w:r>
      <w:r>
        <w:rPr>
          <w:spacing w:val="-9"/>
        </w:rPr>
        <w:t> </w:t>
      </w:r>
      <w:r>
        <w:rPr/>
        <w:t>been</w:t>
      </w:r>
      <w:r>
        <w:rPr>
          <w:spacing w:val="-9"/>
        </w:rPr>
        <w:t> </w:t>
      </w:r>
      <w:r>
        <w:rPr/>
        <w:t>confirmed</w:t>
      </w:r>
      <w:r>
        <w:rPr>
          <w:spacing w:val="-9"/>
        </w:rPr>
        <w:t> </w:t>
      </w:r>
      <w:r>
        <w:rPr/>
        <w:t>in</w:t>
      </w:r>
      <w:r>
        <w:rPr>
          <w:spacing w:val="-9"/>
        </w:rPr>
        <w:t> </w:t>
      </w:r>
      <w:r>
        <w:rPr/>
        <w:t>studies</w:t>
      </w:r>
      <w:r>
        <w:rPr>
          <w:spacing w:val="-9"/>
        </w:rPr>
        <w:t> </w:t>
      </w:r>
      <w:r>
        <w:rPr/>
        <w:t>by</w:t>
      </w:r>
      <w:r>
        <w:rPr>
          <w:spacing w:val="-9"/>
        </w:rPr>
        <w:t> </w:t>
      </w:r>
      <w:r>
        <w:rPr/>
        <w:t>the reduction of TNF alpha-immune colouring in the inflamed feet of mice and the myeloperoxidase release from human neutrophils.</w:t>
      </w:r>
      <w:r>
        <w:rPr>
          <w:position w:val="9"/>
          <w:sz w:val="25"/>
        </w:rPr>
        <w:t>853</w:t>
      </w:r>
    </w:p>
    <w:p>
      <w:pPr>
        <w:pStyle w:val="Heading1"/>
        <w:spacing w:before="225"/>
        <w:ind w:left="616"/>
      </w:pPr>
      <w:r>
        <w:rPr/>
        <w:t>Special effect of spirulina on health</w:t>
      </w:r>
    </w:p>
    <w:p>
      <w:pPr>
        <w:pStyle w:val="BodyText"/>
        <w:spacing w:line="276" w:lineRule="auto" w:before="297"/>
        <w:ind w:left="616" w:right="132"/>
        <w:jc w:val="both"/>
      </w:pPr>
      <w:r>
        <w:rPr/>
        <w:t>Considering the fact that spirulina, with 2,075 synergistic vital substances, which are also easily absorbed by the body, is probably the most nutrient-rich plant,</w:t>
      </w:r>
      <w:r>
        <w:rPr>
          <w:spacing w:val="-11"/>
        </w:rPr>
        <w:t> </w:t>
      </w:r>
      <w:r>
        <w:rPr/>
        <w:t>it</w:t>
      </w:r>
      <w:r>
        <w:rPr>
          <w:spacing w:val="-13"/>
        </w:rPr>
        <w:t> </w:t>
      </w:r>
      <w:r>
        <w:rPr/>
        <w:t>is</w:t>
      </w:r>
      <w:r>
        <w:rPr>
          <w:spacing w:val="-13"/>
        </w:rPr>
        <w:t> </w:t>
      </w:r>
      <w:r>
        <w:rPr/>
        <w:t>not</w:t>
      </w:r>
      <w:r>
        <w:rPr>
          <w:spacing w:val="-14"/>
        </w:rPr>
        <w:t> </w:t>
      </w:r>
      <w:r>
        <w:rPr/>
        <w:t>surprising</w:t>
      </w:r>
      <w:r>
        <w:rPr>
          <w:spacing w:val="-12"/>
        </w:rPr>
        <w:t> </w:t>
      </w:r>
      <w:r>
        <w:rPr/>
        <w:t>that</w:t>
      </w:r>
      <w:r>
        <w:rPr>
          <w:spacing w:val="-12"/>
        </w:rPr>
        <w:t> </w:t>
      </w:r>
      <w:r>
        <w:rPr/>
        <w:t>there</w:t>
      </w:r>
      <w:r>
        <w:rPr>
          <w:spacing w:val="-12"/>
        </w:rPr>
        <w:t> </w:t>
      </w:r>
      <w:r>
        <w:rPr/>
        <w:t>is</w:t>
      </w:r>
      <w:r>
        <w:rPr>
          <w:spacing w:val="-13"/>
        </w:rPr>
        <w:t> </w:t>
      </w:r>
      <w:r>
        <w:rPr/>
        <w:t>an</w:t>
      </w:r>
      <w:r>
        <w:rPr>
          <w:spacing w:val="-14"/>
        </w:rPr>
        <w:t> </w:t>
      </w:r>
      <w:r>
        <w:rPr/>
        <w:t>enormous</w:t>
      </w:r>
      <w:r>
        <w:rPr>
          <w:spacing w:val="-10"/>
        </w:rPr>
        <w:t> </w:t>
      </w:r>
      <w:r>
        <w:rPr/>
        <w:t>range</w:t>
      </w:r>
      <w:r>
        <w:rPr>
          <w:spacing w:val="-13"/>
        </w:rPr>
        <w:t> </w:t>
      </w:r>
      <w:r>
        <w:rPr/>
        <w:t>of</w:t>
      </w:r>
      <w:r>
        <w:rPr>
          <w:spacing w:val="-14"/>
        </w:rPr>
        <w:t> </w:t>
      </w:r>
      <w:r>
        <w:rPr/>
        <w:t>diseases</w:t>
      </w:r>
      <w:r>
        <w:rPr>
          <w:spacing w:val="-10"/>
        </w:rPr>
        <w:t> </w:t>
      </w:r>
      <w:r>
        <w:rPr/>
        <w:t>which</w:t>
      </w:r>
      <w:r>
        <w:rPr>
          <w:spacing w:val="-13"/>
        </w:rPr>
        <w:t> </w:t>
      </w:r>
      <w:r>
        <w:rPr/>
        <w:t>can be avoided or positively influenced with</w:t>
      </w:r>
      <w:r>
        <w:rPr>
          <w:spacing w:val="-1"/>
        </w:rPr>
        <w:t> </w:t>
      </w:r>
      <w:r>
        <w:rPr/>
        <w:t>spirulina!</w:t>
      </w:r>
    </w:p>
    <w:p>
      <w:pPr>
        <w:pStyle w:val="BodyText"/>
        <w:spacing w:line="276" w:lineRule="auto" w:before="242"/>
        <w:ind w:left="616" w:right="138"/>
        <w:jc w:val="both"/>
      </w:pPr>
      <w:r>
        <w:rPr/>
        <w:t>The</w:t>
      </w:r>
      <w:r>
        <w:rPr>
          <w:spacing w:val="-22"/>
        </w:rPr>
        <w:t> </w:t>
      </w:r>
      <w:r>
        <w:rPr/>
        <w:t>general</w:t>
      </w:r>
      <w:r>
        <w:rPr>
          <w:spacing w:val="-23"/>
        </w:rPr>
        <w:t> </w:t>
      </w:r>
      <w:r>
        <w:rPr/>
        <w:t>effect,</w:t>
      </w:r>
      <w:r>
        <w:rPr>
          <w:spacing w:val="-21"/>
        </w:rPr>
        <w:t> </w:t>
      </w:r>
      <w:r>
        <w:rPr/>
        <w:t>such</w:t>
      </w:r>
      <w:r>
        <w:rPr>
          <w:spacing w:val="-21"/>
        </w:rPr>
        <w:t> </w:t>
      </w:r>
      <w:r>
        <w:rPr/>
        <w:t>as</w:t>
      </w:r>
      <w:r>
        <w:rPr>
          <w:spacing w:val="-21"/>
        </w:rPr>
        <w:t> </w:t>
      </w:r>
      <w:r>
        <w:rPr/>
        <w:t>the</w:t>
      </w:r>
      <w:r>
        <w:rPr>
          <w:spacing w:val="-20"/>
        </w:rPr>
        <w:t> </w:t>
      </w:r>
      <w:r>
        <w:rPr/>
        <w:t>strengthening</w:t>
      </w:r>
      <w:r>
        <w:rPr>
          <w:spacing w:val="-21"/>
        </w:rPr>
        <w:t> </w:t>
      </w:r>
      <w:r>
        <w:rPr/>
        <w:t>of</w:t>
      </w:r>
      <w:r>
        <w:rPr>
          <w:spacing w:val="-21"/>
        </w:rPr>
        <w:t> </w:t>
      </w:r>
      <w:r>
        <w:rPr/>
        <w:t>the</w:t>
      </w:r>
      <w:r>
        <w:rPr>
          <w:spacing w:val="-21"/>
        </w:rPr>
        <w:t> </w:t>
      </w:r>
      <w:r>
        <w:rPr/>
        <w:t>immune</w:t>
      </w:r>
      <w:r>
        <w:rPr>
          <w:spacing w:val="-21"/>
        </w:rPr>
        <w:t> </w:t>
      </w:r>
      <w:r>
        <w:rPr/>
        <w:t>system,</w:t>
      </w:r>
      <w:r>
        <w:rPr>
          <w:spacing w:val="-20"/>
        </w:rPr>
        <w:t> </w:t>
      </w:r>
      <w:r>
        <w:rPr/>
        <w:t>protection against</w:t>
      </w:r>
      <w:r>
        <w:rPr>
          <w:spacing w:val="-13"/>
        </w:rPr>
        <w:t> </w:t>
      </w:r>
      <w:r>
        <w:rPr/>
        <w:t>free</w:t>
      </w:r>
      <w:r>
        <w:rPr>
          <w:spacing w:val="-12"/>
        </w:rPr>
        <w:t> </w:t>
      </w:r>
      <w:r>
        <w:rPr/>
        <w:t>radicals,</w:t>
      </w:r>
      <w:r>
        <w:rPr>
          <w:spacing w:val="-12"/>
        </w:rPr>
        <w:t> </w:t>
      </w:r>
      <w:r>
        <w:rPr/>
        <w:t>detoxification</w:t>
      </w:r>
      <w:r>
        <w:rPr>
          <w:spacing w:val="-12"/>
        </w:rPr>
        <w:t> </w:t>
      </w:r>
      <w:r>
        <w:rPr/>
        <w:t>(removal</w:t>
      </w:r>
      <w:r>
        <w:rPr>
          <w:spacing w:val="-13"/>
        </w:rPr>
        <w:t> </w:t>
      </w:r>
      <w:r>
        <w:rPr/>
        <w:t>of</w:t>
      </w:r>
      <w:r>
        <w:rPr>
          <w:spacing w:val="-12"/>
        </w:rPr>
        <w:t> </w:t>
      </w:r>
      <w:r>
        <w:rPr/>
        <w:t>heavy</w:t>
      </w:r>
      <w:r>
        <w:rPr>
          <w:spacing w:val="-14"/>
        </w:rPr>
        <w:t> </w:t>
      </w:r>
      <w:r>
        <w:rPr/>
        <w:t>metals,</w:t>
      </w:r>
      <w:r>
        <w:rPr>
          <w:spacing w:val="-12"/>
        </w:rPr>
        <w:t> </w:t>
      </w:r>
      <w:r>
        <w:rPr/>
        <w:t>binding</w:t>
      </w:r>
      <w:r>
        <w:rPr>
          <w:spacing w:val="-12"/>
        </w:rPr>
        <w:t> </w:t>
      </w:r>
      <w:r>
        <w:rPr/>
        <w:t>of</w:t>
      </w:r>
      <w:r>
        <w:rPr>
          <w:spacing w:val="-12"/>
        </w:rPr>
        <w:t> </w:t>
      </w:r>
      <w:r>
        <w:rPr/>
        <w:t>pollu- tants),</w:t>
      </w:r>
      <w:r>
        <w:rPr>
          <w:spacing w:val="-10"/>
        </w:rPr>
        <w:t> </w:t>
      </w:r>
      <w:r>
        <w:rPr/>
        <w:t>deacidification,</w:t>
      </w:r>
      <w:r>
        <w:rPr>
          <w:spacing w:val="-10"/>
        </w:rPr>
        <w:t> </w:t>
      </w:r>
      <w:r>
        <w:rPr/>
        <w:t>anti-inflammatory</w:t>
      </w:r>
      <w:r>
        <w:rPr>
          <w:spacing w:val="-10"/>
        </w:rPr>
        <w:t> </w:t>
      </w:r>
      <w:r>
        <w:rPr/>
        <w:t>effect,</w:t>
      </w:r>
      <w:r>
        <w:rPr>
          <w:spacing w:val="-13"/>
        </w:rPr>
        <w:t> </w:t>
      </w:r>
      <w:r>
        <w:rPr/>
        <w:t>regulation</w:t>
      </w:r>
      <w:r>
        <w:rPr>
          <w:spacing w:val="-10"/>
        </w:rPr>
        <w:t> </w:t>
      </w:r>
      <w:r>
        <w:rPr/>
        <w:t>of</w:t>
      </w:r>
      <w:r>
        <w:rPr>
          <w:spacing w:val="-11"/>
        </w:rPr>
        <w:t> </w:t>
      </w:r>
      <w:r>
        <w:rPr/>
        <w:t>lipid</w:t>
      </w:r>
      <w:r>
        <w:rPr>
          <w:spacing w:val="-11"/>
        </w:rPr>
        <w:t> </w:t>
      </w:r>
      <w:r>
        <w:rPr/>
        <w:t>metabolism and creation of a healthy intestinal flora ('Death is in the gut!') underline this comprehensive effect of spirulina</w:t>
      </w:r>
      <w:r>
        <w:rPr>
          <w:spacing w:val="-1"/>
        </w:rPr>
        <w:t> </w:t>
      </w:r>
      <w:r>
        <w:rPr/>
        <w:t>platensis.</w:t>
      </w:r>
    </w:p>
    <w:p>
      <w:pPr>
        <w:pStyle w:val="BodyText"/>
        <w:rPr>
          <w:sz w:val="20"/>
        </w:rPr>
      </w:pPr>
    </w:p>
    <w:p>
      <w:pPr>
        <w:pStyle w:val="BodyText"/>
        <w:rPr>
          <w:sz w:val="20"/>
        </w:rPr>
      </w:pPr>
    </w:p>
    <w:p>
      <w:pPr>
        <w:pStyle w:val="BodyText"/>
        <w:spacing w:before="1"/>
        <w:rPr>
          <w:sz w:val="20"/>
        </w:rPr>
      </w:pPr>
      <w:r>
        <w:rPr/>
        <w:pict>
          <v:line style="position:absolute;mso-position-horizontal-relative:page;mso-position-vertical-relative:paragraph;z-index:11768;mso-wrap-distance-left:0;mso-wrap-distance-right:0" from="70.823997pt,13.676265pt" to="214.843997pt,13.676265pt" stroked="true" strokeweight=".71997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852 </w:t>
      </w:r>
      <w:r>
        <w:rPr>
          <w:sz w:val="20"/>
        </w:rPr>
        <w:t>Marianne E. Meyer: Spirulina – Die blaugrüne Wundernahrung ('The Blue-Green Wonder Food'), 1998, p. 68</w:t>
      </w:r>
    </w:p>
    <w:p>
      <w:pPr>
        <w:pStyle w:val="BodyText"/>
        <w:rPr>
          <w:sz w:val="22"/>
        </w:rPr>
      </w:pPr>
    </w:p>
    <w:p>
      <w:pPr>
        <w:pStyle w:val="BodyText"/>
        <w:spacing w:before="8"/>
        <w:rPr>
          <w:sz w:val="23"/>
        </w:rPr>
      </w:pPr>
    </w:p>
    <w:p>
      <w:pPr>
        <w:spacing w:line="276" w:lineRule="auto" w:before="0"/>
        <w:ind w:left="616" w:right="265" w:firstLine="0"/>
        <w:jc w:val="left"/>
        <w:rPr>
          <w:sz w:val="20"/>
        </w:rPr>
      </w:pPr>
      <w:r>
        <w:rPr/>
        <w:drawing>
          <wp:anchor distT="0" distB="0" distL="0" distR="0" allowOverlap="1" layoutInCell="1" locked="0" behindDoc="1" simplePos="0" relativeHeight="267179567">
            <wp:simplePos x="0" y="0"/>
            <wp:positionH relativeFrom="page">
              <wp:posOffset>985998</wp:posOffset>
            </wp:positionH>
            <wp:positionV relativeFrom="paragraph">
              <wp:posOffset>411456</wp:posOffset>
            </wp:positionV>
            <wp:extent cx="6379583" cy="902106"/>
            <wp:effectExtent l="0" t="0" r="0" b="0"/>
            <wp:wrapNone/>
            <wp:docPr id="575" name="image2.jpeg" descr=""/>
            <wp:cNvGraphicFramePr>
              <a:graphicFrameLocks noChangeAspect="1"/>
            </wp:cNvGraphicFramePr>
            <a:graphic>
              <a:graphicData uri="http://schemas.openxmlformats.org/drawingml/2006/picture">
                <pic:pic>
                  <pic:nvPicPr>
                    <pic:cNvPr id="576" name="image2.jpeg"/>
                    <pic:cNvPicPr/>
                  </pic:nvPicPr>
                  <pic:blipFill>
                    <a:blip r:embed="rId21" cstate="print"/>
                    <a:stretch>
                      <a:fillRect/>
                    </a:stretch>
                  </pic:blipFill>
                  <pic:spPr>
                    <a:xfrm>
                      <a:off x="0" y="0"/>
                      <a:ext cx="6379583" cy="902106"/>
                    </a:xfrm>
                    <a:prstGeom prst="rect">
                      <a:avLst/>
                    </a:prstGeom>
                  </pic:spPr>
                </pic:pic>
              </a:graphicData>
            </a:graphic>
          </wp:anchor>
        </w:drawing>
      </w:r>
      <w:r>
        <w:rPr>
          <w:color w:val="365F91"/>
          <w:position w:val="5"/>
          <w:sz w:val="13"/>
        </w:rPr>
        <w:t>853 </w:t>
      </w:r>
      <w:r>
        <w:rPr>
          <w:sz w:val="20"/>
        </w:rPr>
        <w:t>Joventino I. P</w:t>
      </w:r>
      <w:r>
        <w:rPr>
          <w:color w:val="365F91"/>
          <w:sz w:val="20"/>
        </w:rPr>
        <w:t>. et al.: The Microalga Spirulina platensis Presents Anti-inflammatory Action as well as Hypoglycemic and Hypolipidemic Proper- ties in Diabetic Rats, </w:t>
      </w:r>
      <w:r>
        <w:rPr>
          <w:sz w:val="20"/>
        </w:rPr>
        <w:t>J Complement Integr Med. </w:t>
      </w:r>
      <w:r>
        <w:rPr>
          <w:color w:val="365F91"/>
          <w:sz w:val="20"/>
        </w:rPr>
        <w:t>2012 Aug 10; 9 (1).pii: /j/jcim.2012.9.issue-1/1553–3840.1534/1553–3840.1534.xml.doi: 10.1515/1553–3840.1534.</w:t>
      </w:r>
    </w:p>
    <w:p>
      <w:pPr>
        <w:spacing w:after="0" w:line="276" w:lineRule="auto"/>
        <w:jc w:val="left"/>
        <w:rPr>
          <w:sz w:val="20"/>
        </w:rPr>
        <w:sectPr>
          <w:footerReference w:type="default" r:id="rId362"/>
          <w:pgSz w:w="14270" w:h="16850"/>
          <w:pgMar w:footer="527" w:header="0" w:top="1340" w:bottom="720" w:left="800" w:right="1280"/>
          <w:pgNumType w:start="1541"/>
        </w:sectPr>
      </w:pPr>
    </w:p>
    <w:p>
      <w:pPr>
        <w:pStyle w:val="Heading1"/>
        <w:spacing w:line="264" w:lineRule="auto" w:before="75"/>
        <w:ind w:left="616"/>
      </w:pPr>
      <w:r>
        <w:rPr/>
        <w:t>Spirulina</w:t>
      </w:r>
      <w:r>
        <w:rPr>
          <w:spacing w:val="-47"/>
        </w:rPr>
        <w:t> </w:t>
      </w:r>
      <w:r>
        <w:rPr/>
        <w:t>has</w:t>
      </w:r>
      <w:r>
        <w:rPr>
          <w:spacing w:val="-46"/>
        </w:rPr>
        <w:t> </w:t>
      </w:r>
      <w:r>
        <w:rPr/>
        <w:t>shown</w:t>
      </w:r>
      <w:r>
        <w:rPr>
          <w:spacing w:val="-48"/>
        </w:rPr>
        <w:t> </w:t>
      </w:r>
      <w:r>
        <w:rPr/>
        <w:t>a</w:t>
      </w:r>
      <w:r>
        <w:rPr>
          <w:spacing w:val="-46"/>
        </w:rPr>
        <w:t> </w:t>
      </w:r>
      <w:r>
        <w:rPr/>
        <w:t>positive</w:t>
      </w:r>
      <w:r>
        <w:rPr>
          <w:spacing w:val="-47"/>
        </w:rPr>
        <w:t> </w:t>
      </w:r>
      <w:r>
        <w:rPr/>
        <w:t>influence</w:t>
      </w:r>
      <w:r>
        <w:rPr>
          <w:spacing w:val="-47"/>
        </w:rPr>
        <w:t> </w:t>
      </w:r>
      <w:r>
        <w:rPr/>
        <w:t>on</w:t>
      </w:r>
      <w:r>
        <w:rPr>
          <w:spacing w:val="-44"/>
        </w:rPr>
        <w:t> </w:t>
      </w:r>
      <w:r>
        <w:rPr>
          <w:i w:val="0"/>
          <w:sz w:val="38"/>
        </w:rPr>
        <w:t>–</w:t>
      </w:r>
      <w:r>
        <w:rPr>
          <w:i w:val="0"/>
          <w:spacing w:val="-41"/>
          <w:sz w:val="38"/>
        </w:rPr>
        <w:t> </w:t>
      </w:r>
      <w:r>
        <w:rPr/>
        <w:t>and</w:t>
      </w:r>
      <w:r>
        <w:rPr>
          <w:spacing w:val="-47"/>
        </w:rPr>
        <w:t> </w:t>
      </w:r>
      <w:r>
        <w:rPr/>
        <w:t>even</w:t>
      </w:r>
      <w:r>
        <w:rPr>
          <w:spacing w:val="-47"/>
        </w:rPr>
        <w:t> </w:t>
      </w:r>
      <w:r>
        <w:rPr/>
        <w:t>healed</w:t>
      </w:r>
      <w:r>
        <w:rPr>
          <w:spacing w:val="-47"/>
        </w:rPr>
        <w:t> </w:t>
      </w:r>
      <w:r>
        <w:rPr>
          <w:i w:val="0"/>
          <w:sz w:val="38"/>
        </w:rPr>
        <w:t>–</w:t>
      </w:r>
      <w:r>
        <w:rPr>
          <w:i w:val="0"/>
          <w:spacing w:val="-41"/>
          <w:sz w:val="38"/>
        </w:rPr>
        <w:t> </w:t>
      </w:r>
      <w:r>
        <w:rPr/>
        <w:t>the following</w:t>
      </w:r>
      <w:r>
        <w:rPr>
          <w:spacing w:val="-7"/>
        </w:rPr>
        <w:t> </w:t>
      </w:r>
      <w:r>
        <w:rPr/>
        <w:t>diseases:</w:t>
      </w:r>
    </w:p>
    <w:p>
      <w:pPr>
        <w:pStyle w:val="ListParagraph"/>
        <w:numPr>
          <w:ilvl w:val="0"/>
          <w:numId w:val="120"/>
        </w:numPr>
        <w:tabs>
          <w:tab w:pos="1031" w:val="left" w:leader="none"/>
          <w:tab w:pos="1032" w:val="left" w:leader="none"/>
        </w:tabs>
        <w:spacing w:line="240" w:lineRule="auto" w:before="212" w:after="0"/>
        <w:ind w:left="899" w:right="0" w:hanging="283"/>
        <w:jc w:val="left"/>
        <w:rPr>
          <w:sz w:val="38"/>
        </w:rPr>
      </w:pPr>
      <w:r>
        <w:rPr>
          <w:sz w:val="38"/>
        </w:rPr>
        <w:t>Chronic</w:t>
      </w:r>
      <w:r>
        <w:rPr>
          <w:spacing w:val="-4"/>
          <w:sz w:val="38"/>
        </w:rPr>
        <w:t> </w:t>
      </w:r>
      <w:r>
        <w:rPr>
          <w:sz w:val="38"/>
        </w:rPr>
        <w:t>fatigue</w:t>
      </w:r>
    </w:p>
    <w:p>
      <w:pPr>
        <w:pStyle w:val="ListParagraph"/>
        <w:numPr>
          <w:ilvl w:val="0"/>
          <w:numId w:val="120"/>
        </w:numPr>
        <w:tabs>
          <w:tab w:pos="1031" w:val="left" w:leader="none"/>
          <w:tab w:pos="1032" w:val="left" w:leader="none"/>
        </w:tabs>
        <w:spacing w:line="240" w:lineRule="auto" w:before="186" w:after="0"/>
        <w:ind w:left="899" w:right="0" w:hanging="283"/>
        <w:jc w:val="left"/>
        <w:rPr>
          <w:sz w:val="38"/>
        </w:rPr>
      </w:pPr>
      <w:r>
        <w:rPr>
          <w:sz w:val="38"/>
        </w:rPr>
        <w:t>Energy deficiency</w:t>
      </w:r>
    </w:p>
    <w:p>
      <w:pPr>
        <w:pStyle w:val="ListParagraph"/>
        <w:numPr>
          <w:ilvl w:val="0"/>
          <w:numId w:val="120"/>
        </w:numPr>
        <w:tabs>
          <w:tab w:pos="1031" w:val="left" w:leader="none"/>
          <w:tab w:pos="1032" w:val="left" w:leader="none"/>
        </w:tabs>
        <w:spacing w:line="240" w:lineRule="auto" w:before="183" w:after="0"/>
        <w:ind w:left="899" w:right="0" w:hanging="283"/>
        <w:jc w:val="left"/>
        <w:rPr>
          <w:sz w:val="38"/>
        </w:rPr>
      </w:pPr>
      <w:r>
        <w:rPr>
          <w:sz w:val="38"/>
        </w:rPr>
        <w:t>Vital substance</w:t>
      </w:r>
      <w:r>
        <w:rPr>
          <w:spacing w:val="-2"/>
          <w:sz w:val="38"/>
        </w:rPr>
        <w:t> </w:t>
      </w:r>
      <w:r>
        <w:rPr>
          <w:sz w:val="38"/>
        </w:rPr>
        <w:t>deficiencies</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Poisoning with heavy metals</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Hepatitis</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Cirrhosis</w:t>
      </w:r>
    </w:p>
    <w:p>
      <w:pPr>
        <w:pStyle w:val="ListParagraph"/>
        <w:numPr>
          <w:ilvl w:val="0"/>
          <w:numId w:val="120"/>
        </w:numPr>
        <w:tabs>
          <w:tab w:pos="1031" w:val="left" w:leader="none"/>
          <w:tab w:pos="1032" w:val="left" w:leader="none"/>
        </w:tabs>
        <w:spacing w:line="240" w:lineRule="auto" w:before="186" w:after="0"/>
        <w:ind w:left="899" w:right="0" w:hanging="283"/>
        <w:jc w:val="left"/>
        <w:rPr>
          <w:sz w:val="38"/>
        </w:rPr>
      </w:pPr>
      <w:r>
        <w:rPr>
          <w:sz w:val="38"/>
        </w:rPr>
        <w:t>Cardiovascular disease (cholesterol, high blood</w:t>
      </w:r>
      <w:r>
        <w:rPr>
          <w:spacing w:val="-1"/>
          <w:sz w:val="38"/>
        </w:rPr>
        <w:t> </w:t>
      </w:r>
      <w:r>
        <w:rPr>
          <w:sz w:val="38"/>
        </w:rPr>
        <w:t>pressure)</w:t>
      </w:r>
    </w:p>
    <w:p>
      <w:pPr>
        <w:pStyle w:val="ListParagraph"/>
        <w:numPr>
          <w:ilvl w:val="0"/>
          <w:numId w:val="120"/>
        </w:numPr>
        <w:tabs>
          <w:tab w:pos="1031" w:val="left" w:leader="none"/>
          <w:tab w:pos="1032" w:val="left" w:leader="none"/>
        </w:tabs>
        <w:spacing w:line="240" w:lineRule="auto" w:before="183" w:after="0"/>
        <w:ind w:left="899" w:right="0" w:hanging="283"/>
        <w:jc w:val="left"/>
        <w:rPr>
          <w:sz w:val="38"/>
        </w:rPr>
      </w:pPr>
      <w:r>
        <w:rPr>
          <w:sz w:val="38"/>
        </w:rPr>
        <w:t>Gastrointestinal</w:t>
      </w:r>
      <w:r>
        <w:rPr>
          <w:spacing w:val="-2"/>
          <w:sz w:val="38"/>
        </w:rPr>
        <w:t> </w:t>
      </w:r>
      <w:r>
        <w:rPr>
          <w:sz w:val="38"/>
        </w:rPr>
        <w:t>complaints</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Gastritis</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Acidification of the</w:t>
      </w:r>
      <w:r>
        <w:rPr>
          <w:spacing w:val="4"/>
          <w:sz w:val="38"/>
        </w:rPr>
        <w:t> </w:t>
      </w:r>
      <w:r>
        <w:rPr>
          <w:sz w:val="38"/>
        </w:rPr>
        <w:t>organism</w:t>
      </w:r>
    </w:p>
    <w:p>
      <w:pPr>
        <w:pStyle w:val="ListParagraph"/>
        <w:numPr>
          <w:ilvl w:val="0"/>
          <w:numId w:val="120"/>
        </w:numPr>
        <w:tabs>
          <w:tab w:pos="1031" w:val="left" w:leader="none"/>
          <w:tab w:pos="1032" w:val="left" w:leader="none"/>
        </w:tabs>
        <w:spacing w:line="240" w:lineRule="auto" w:before="186" w:after="0"/>
        <w:ind w:left="899" w:right="0" w:hanging="283"/>
        <w:jc w:val="left"/>
        <w:rPr>
          <w:sz w:val="38"/>
        </w:rPr>
      </w:pPr>
      <w:r>
        <w:rPr>
          <w:sz w:val="38"/>
        </w:rPr>
        <w:t>Neurodermatitis</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Protein deficiency</w:t>
      </w:r>
    </w:p>
    <w:p>
      <w:pPr>
        <w:pStyle w:val="ListParagraph"/>
        <w:numPr>
          <w:ilvl w:val="0"/>
          <w:numId w:val="120"/>
        </w:numPr>
        <w:tabs>
          <w:tab w:pos="1031" w:val="left" w:leader="none"/>
          <w:tab w:pos="1032" w:val="left" w:leader="none"/>
        </w:tabs>
        <w:spacing w:line="240" w:lineRule="auto" w:before="183" w:after="0"/>
        <w:ind w:left="899" w:right="0" w:hanging="283"/>
        <w:jc w:val="left"/>
        <w:rPr>
          <w:sz w:val="38"/>
        </w:rPr>
      </w:pPr>
      <w:r>
        <w:rPr>
          <w:sz w:val="38"/>
        </w:rPr>
        <w:t>Iron deficiency</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Anaemia</w:t>
      </w:r>
    </w:p>
    <w:p>
      <w:pPr>
        <w:pStyle w:val="ListParagraph"/>
        <w:numPr>
          <w:ilvl w:val="0"/>
          <w:numId w:val="120"/>
        </w:numPr>
        <w:tabs>
          <w:tab w:pos="1031" w:val="left" w:leader="none"/>
          <w:tab w:pos="1032" w:val="left" w:leader="none"/>
        </w:tabs>
        <w:spacing w:line="240" w:lineRule="auto" w:before="183" w:after="0"/>
        <w:ind w:left="899" w:right="0" w:hanging="283"/>
        <w:jc w:val="left"/>
        <w:rPr>
          <w:sz w:val="38"/>
        </w:rPr>
      </w:pPr>
      <w:r>
        <w:rPr>
          <w:sz w:val="38"/>
        </w:rPr>
        <w:t>Premenstrual</w:t>
      </w:r>
      <w:r>
        <w:rPr>
          <w:spacing w:val="-2"/>
          <w:sz w:val="38"/>
        </w:rPr>
        <w:t> </w:t>
      </w:r>
      <w:r>
        <w:rPr>
          <w:sz w:val="38"/>
        </w:rPr>
        <w:t>syndrome</w:t>
      </w:r>
    </w:p>
    <w:p>
      <w:pPr>
        <w:pStyle w:val="ListParagraph"/>
        <w:numPr>
          <w:ilvl w:val="0"/>
          <w:numId w:val="120"/>
        </w:numPr>
        <w:tabs>
          <w:tab w:pos="1031" w:val="left" w:leader="none"/>
          <w:tab w:pos="1032" w:val="left" w:leader="none"/>
        </w:tabs>
        <w:spacing w:line="240" w:lineRule="auto" w:before="187" w:after="0"/>
        <w:ind w:left="899" w:right="0" w:hanging="283"/>
        <w:jc w:val="left"/>
        <w:rPr>
          <w:sz w:val="38"/>
        </w:rPr>
      </w:pPr>
      <w:r>
        <w:rPr>
          <w:sz w:val="38"/>
        </w:rPr>
        <w:t>Cancer</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Arthritis</w:t>
      </w:r>
    </w:p>
    <w:p>
      <w:pPr>
        <w:spacing w:after="0" w:line="240" w:lineRule="auto"/>
        <w:jc w:val="left"/>
        <w:rPr>
          <w:sz w:val="38"/>
        </w:rPr>
        <w:sectPr>
          <w:footerReference w:type="default" r:id="rId363"/>
          <w:pgSz w:w="14270" w:h="16850"/>
          <w:pgMar w:footer="1891" w:header="0" w:top="1320" w:bottom="2080" w:left="800" w:right="1280"/>
          <w:pgNumType w:start="1542"/>
        </w:sectPr>
      </w:pPr>
    </w:p>
    <w:p>
      <w:pPr>
        <w:pStyle w:val="ListParagraph"/>
        <w:numPr>
          <w:ilvl w:val="0"/>
          <w:numId w:val="120"/>
        </w:numPr>
        <w:tabs>
          <w:tab w:pos="1032" w:val="left" w:leader="none"/>
        </w:tabs>
        <w:spacing w:line="240" w:lineRule="auto" w:before="53" w:after="0"/>
        <w:ind w:left="899" w:right="0" w:hanging="283"/>
        <w:jc w:val="both"/>
        <w:rPr>
          <w:sz w:val="38"/>
        </w:rPr>
      </w:pPr>
      <w:r>
        <w:rPr>
          <w:sz w:val="38"/>
        </w:rPr>
        <w:t>Allergies</w:t>
      </w:r>
    </w:p>
    <w:p>
      <w:pPr>
        <w:pStyle w:val="ListParagraph"/>
        <w:numPr>
          <w:ilvl w:val="0"/>
          <w:numId w:val="120"/>
        </w:numPr>
        <w:tabs>
          <w:tab w:pos="1032" w:val="left" w:leader="none"/>
        </w:tabs>
        <w:spacing w:line="240" w:lineRule="auto" w:before="186" w:after="0"/>
        <w:ind w:left="899" w:right="0" w:hanging="283"/>
        <w:jc w:val="both"/>
        <w:rPr>
          <w:sz w:val="38"/>
        </w:rPr>
      </w:pPr>
      <w:r>
        <w:rPr>
          <w:sz w:val="38"/>
        </w:rPr>
        <w:t>Asthma</w:t>
      </w:r>
    </w:p>
    <w:p>
      <w:pPr>
        <w:pStyle w:val="ListParagraph"/>
        <w:numPr>
          <w:ilvl w:val="0"/>
          <w:numId w:val="120"/>
        </w:numPr>
        <w:tabs>
          <w:tab w:pos="1032" w:val="left" w:leader="none"/>
        </w:tabs>
        <w:spacing w:line="240" w:lineRule="auto" w:before="184" w:after="0"/>
        <w:ind w:left="899" w:right="0" w:hanging="283"/>
        <w:jc w:val="both"/>
        <w:rPr>
          <w:sz w:val="38"/>
        </w:rPr>
      </w:pPr>
      <w:r>
        <w:rPr>
          <w:sz w:val="38"/>
        </w:rPr>
        <w:t>Premature ageing</w:t>
      </w:r>
    </w:p>
    <w:p>
      <w:pPr>
        <w:pStyle w:val="ListParagraph"/>
        <w:numPr>
          <w:ilvl w:val="0"/>
          <w:numId w:val="120"/>
        </w:numPr>
        <w:tabs>
          <w:tab w:pos="1032" w:val="left" w:leader="none"/>
        </w:tabs>
        <w:spacing w:line="240" w:lineRule="auto" w:before="184" w:after="0"/>
        <w:ind w:left="899" w:right="0" w:hanging="283"/>
        <w:jc w:val="both"/>
        <w:rPr>
          <w:sz w:val="38"/>
        </w:rPr>
      </w:pPr>
      <w:r>
        <w:rPr>
          <w:sz w:val="38"/>
        </w:rPr>
        <w:t>Difficulty</w:t>
      </w:r>
      <w:r>
        <w:rPr>
          <w:spacing w:val="-2"/>
          <w:sz w:val="38"/>
        </w:rPr>
        <w:t> </w:t>
      </w:r>
      <w:r>
        <w:rPr>
          <w:sz w:val="38"/>
        </w:rPr>
        <w:t>concentrating</w:t>
      </w:r>
    </w:p>
    <w:p>
      <w:pPr>
        <w:pStyle w:val="ListParagraph"/>
        <w:numPr>
          <w:ilvl w:val="0"/>
          <w:numId w:val="120"/>
        </w:numPr>
        <w:tabs>
          <w:tab w:pos="1032" w:val="left" w:leader="none"/>
        </w:tabs>
        <w:spacing w:line="240" w:lineRule="auto" w:before="183" w:after="0"/>
        <w:ind w:left="899" w:right="0" w:hanging="283"/>
        <w:jc w:val="both"/>
        <w:rPr>
          <w:sz w:val="38"/>
        </w:rPr>
      </w:pPr>
      <w:r>
        <w:rPr>
          <w:sz w:val="38"/>
        </w:rPr>
        <w:t>Learning disabilities</w:t>
      </w:r>
    </w:p>
    <w:p>
      <w:pPr>
        <w:pStyle w:val="ListParagraph"/>
        <w:numPr>
          <w:ilvl w:val="0"/>
          <w:numId w:val="120"/>
        </w:numPr>
        <w:tabs>
          <w:tab w:pos="1032" w:val="left" w:leader="none"/>
        </w:tabs>
        <w:spacing w:line="240" w:lineRule="auto" w:before="184" w:after="0"/>
        <w:ind w:left="899" w:right="0" w:hanging="283"/>
        <w:jc w:val="both"/>
        <w:rPr>
          <w:sz w:val="38"/>
        </w:rPr>
      </w:pPr>
      <w:r>
        <w:rPr>
          <w:sz w:val="38"/>
        </w:rPr>
        <w:t>Depression</w:t>
      </w:r>
    </w:p>
    <w:p>
      <w:pPr>
        <w:pStyle w:val="ListParagraph"/>
        <w:numPr>
          <w:ilvl w:val="0"/>
          <w:numId w:val="120"/>
        </w:numPr>
        <w:tabs>
          <w:tab w:pos="1032" w:val="left" w:leader="none"/>
        </w:tabs>
        <w:spacing w:line="240" w:lineRule="auto" w:before="186" w:after="0"/>
        <w:ind w:left="899" w:right="0" w:hanging="283"/>
        <w:jc w:val="both"/>
        <w:rPr>
          <w:sz w:val="38"/>
        </w:rPr>
      </w:pPr>
      <w:r>
        <w:rPr>
          <w:sz w:val="38"/>
        </w:rPr>
        <w:t>Cellulitis</w:t>
      </w:r>
    </w:p>
    <w:p>
      <w:pPr>
        <w:pStyle w:val="ListParagraph"/>
        <w:numPr>
          <w:ilvl w:val="0"/>
          <w:numId w:val="120"/>
        </w:numPr>
        <w:tabs>
          <w:tab w:pos="1032" w:val="left" w:leader="none"/>
        </w:tabs>
        <w:spacing w:line="240" w:lineRule="auto" w:before="184" w:after="0"/>
        <w:ind w:left="899" w:right="0" w:hanging="283"/>
        <w:jc w:val="both"/>
        <w:rPr>
          <w:sz w:val="38"/>
        </w:rPr>
      </w:pPr>
      <w:r>
        <w:rPr>
          <w:sz w:val="38"/>
        </w:rPr>
        <w:t>Excess</w:t>
      </w:r>
      <w:r>
        <w:rPr>
          <w:spacing w:val="-2"/>
          <w:sz w:val="38"/>
        </w:rPr>
        <w:t> </w:t>
      </w:r>
      <w:r>
        <w:rPr>
          <w:sz w:val="38"/>
        </w:rPr>
        <w:t>weight</w:t>
      </w:r>
    </w:p>
    <w:p>
      <w:pPr>
        <w:pStyle w:val="ListParagraph"/>
        <w:numPr>
          <w:ilvl w:val="0"/>
          <w:numId w:val="120"/>
        </w:numPr>
        <w:tabs>
          <w:tab w:pos="1032" w:val="left" w:leader="none"/>
        </w:tabs>
        <w:spacing w:line="240" w:lineRule="auto" w:before="184" w:after="0"/>
        <w:ind w:left="899" w:right="0" w:hanging="283"/>
        <w:jc w:val="both"/>
        <w:rPr>
          <w:sz w:val="38"/>
        </w:rPr>
      </w:pPr>
      <w:r>
        <w:rPr>
          <w:sz w:val="38"/>
        </w:rPr>
        <w:t>Insufficient</w:t>
      </w:r>
      <w:r>
        <w:rPr>
          <w:spacing w:val="-1"/>
          <w:sz w:val="38"/>
        </w:rPr>
        <w:t> </w:t>
      </w:r>
      <w:r>
        <w:rPr>
          <w:sz w:val="38"/>
        </w:rPr>
        <w:t>weight</w:t>
      </w:r>
    </w:p>
    <w:p>
      <w:pPr>
        <w:pStyle w:val="ListParagraph"/>
        <w:numPr>
          <w:ilvl w:val="0"/>
          <w:numId w:val="120"/>
        </w:numPr>
        <w:tabs>
          <w:tab w:pos="1032" w:val="left" w:leader="none"/>
        </w:tabs>
        <w:spacing w:line="240" w:lineRule="auto" w:before="183" w:after="0"/>
        <w:ind w:left="899" w:right="0" w:hanging="283"/>
        <w:jc w:val="both"/>
        <w:rPr>
          <w:sz w:val="38"/>
        </w:rPr>
      </w:pPr>
      <w:r>
        <w:rPr>
          <w:sz w:val="38"/>
        </w:rPr>
        <w:t>AIDS</w:t>
      </w:r>
    </w:p>
    <w:p>
      <w:pPr>
        <w:pStyle w:val="Heading1"/>
        <w:spacing w:before="290"/>
        <w:ind w:left="616"/>
        <w:jc w:val="both"/>
      </w:pPr>
      <w:r>
        <w:rPr/>
        <w:t>Effect of spirulina on gastritis</w:t>
      </w:r>
    </w:p>
    <w:p>
      <w:pPr>
        <w:pStyle w:val="BodyText"/>
        <w:spacing w:line="276" w:lineRule="auto" w:before="297"/>
        <w:ind w:left="616" w:right="139"/>
        <w:jc w:val="both"/>
      </w:pPr>
      <w:r>
        <w:rPr/>
        <w:t>Due</w:t>
      </w:r>
      <w:r>
        <w:rPr>
          <w:spacing w:val="-23"/>
        </w:rPr>
        <w:t> </w:t>
      </w:r>
      <w:r>
        <w:rPr/>
        <w:t>to</w:t>
      </w:r>
      <w:r>
        <w:rPr>
          <w:spacing w:val="-22"/>
        </w:rPr>
        <w:t> </w:t>
      </w:r>
      <w:r>
        <w:rPr/>
        <w:t>the</w:t>
      </w:r>
      <w:r>
        <w:rPr>
          <w:spacing w:val="-21"/>
        </w:rPr>
        <w:t> </w:t>
      </w:r>
      <w:r>
        <w:rPr/>
        <w:t>acid-buffering</w:t>
      </w:r>
      <w:r>
        <w:rPr>
          <w:spacing w:val="-22"/>
        </w:rPr>
        <w:t> </w:t>
      </w:r>
      <w:r>
        <w:rPr/>
        <w:t>properties</w:t>
      </w:r>
      <w:r>
        <w:rPr>
          <w:spacing w:val="-22"/>
        </w:rPr>
        <w:t> </w:t>
      </w:r>
      <w:r>
        <w:rPr/>
        <w:t>of</w:t>
      </w:r>
      <w:r>
        <w:rPr>
          <w:spacing w:val="-22"/>
        </w:rPr>
        <w:t> </w:t>
      </w:r>
      <w:r>
        <w:rPr/>
        <w:t>the</w:t>
      </w:r>
      <w:r>
        <w:rPr>
          <w:spacing w:val="-21"/>
        </w:rPr>
        <w:t> </w:t>
      </w:r>
      <w:r>
        <w:rPr/>
        <w:t>chlorophyll</w:t>
      </w:r>
      <w:r>
        <w:rPr>
          <w:spacing w:val="-23"/>
        </w:rPr>
        <w:t> </w:t>
      </w:r>
      <w:r>
        <w:rPr/>
        <w:t>and</w:t>
      </w:r>
      <w:r>
        <w:rPr>
          <w:spacing w:val="-22"/>
        </w:rPr>
        <w:t> </w:t>
      </w:r>
      <w:r>
        <w:rPr/>
        <w:t>basic</w:t>
      </w:r>
      <w:r>
        <w:rPr>
          <w:spacing w:val="-25"/>
        </w:rPr>
        <w:t> </w:t>
      </w:r>
      <w:r>
        <w:rPr/>
        <w:t>minerals</w:t>
      </w:r>
      <w:r>
        <w:rPr>
          <w:spacing w:val="-21"/>
        </w:rPr>
        <w:t> </w:t>
      </w:r>
      <w:r>
        <w:rPr/>
        <w:t>con- tained in it, spirulina can have a soothing effect against gastritis and gastric ulcers.</w:t>
      </w:r>
    </w:p>
    <w:p>
      <w:pPr>
        <w:pStyle w:val="Heading1"/>
        <w:spacing w:before="222"/>
        <w:ind w:left="616"/>
      </w:pPr>
      <w:r>
        <w:rPr/>
        <w:t>Effect of spirulina on cardiovascular</w:t>
      </w:r>
      <w:r>
        <w:rPr>
          <w:spacing w:val="-64"/>
        </w:rPr>
        <w:t> </w:t>
      </w:r>
      <w:r>
        <w:rPr/>
        <w:t>diseases</w:t>
      </w:r>
    </w:p>
    <w:p>
      <w:pPr>
        <w:pStyle w:val="BodyText"/>
        <w:spacing w:line="276" w:lineRule="auto" w:before="299"/>
        <w:ind w:left="616" w:right="131"/>
        <w:jc w:val="both"/>
      </w:pPr>
      <w:r>
        <w:rPr/>
        <w:t>The beneficial effects of spirulina are not surprising given that it contains in- gredients such as omega-3 fatty acids or beta-carotene, which in themselves have</w:t>
      </w:r>
      <w:r>
        <w:rPr>
          <w:spacing w:val="-7"/>
        </w:rPr>
        <w:t> </w:t>
      </w:r>
      <w:r>
        <w:rPr/>
        <w:t>already</w:t>
      </w:r>
      <w:r>
        <w:rPr>
          <w:spacing w:val="-7"/>
        </w:rPr>
        <w:t> </w:t>
      </w:r>
      <w:r>
        <w:rPr/>
        <w:t>been</w:t>
      </w:r>
      <w:r>
        <w:rPr>
          <w:spacing w:val="-6"/>
        </w:rPr>
        <w:t> </w:t>
      </w:r>
      <w:r>
        <w:rPr/>
        <w:t>proven</w:t>
      </w:r>
      <w:r>
        <w:rPr>
          <w:spacing w:val="-8"/>
        </w:rPr>
        <w:t> </w:t>
      </w:r>
      <w:r>
        <w:rPr/>
        <w:t>to</w:t>
      </w:r>
      <w:r>
        <w:rPr>
          <w:spacing w:val="-6"/>
        </w:rPr>
        <w:t> </w:t>
      </w:r>
      <w:r>
        <w:rPr/>
        <w:t>have</w:t>
      </w:r>
      <w:r>
        <w:rPr>
          <w:spacing w:val="-7"/>
        </w:rPr>
        <w:t> </w:t>
      </w:r>
      <w:r>
        <w:rPr/>
        <w:t>a</w:t>
      </w:r>
      <w:r>
        <w:rPr>
          <w:spacing w:val="-8"/>
        </w:rPr>
        <w:t> </w:t>
      </w:r>
      <w:r>
        <w:rPr/>
        <w:t>respectable</w:t>
      </w:r>
      <w:r>
        <w:rPr>
          <w:spacing w:val="-6"/>
        </w:rPr>
        <w:t> </w:t>
      </w:r>
      <w:r>
        <w:rPr/>
        <w:t>effect</w:t>
      </w:r>
      <w:r>
        <w:rPr>
          <w:spacing w:val="-7"/>
        </w:rPr>
        <w:t> </w:t>
      </w:r>
      <w:r>
        <w:rPr/>
        <w:t>in</w:t>
      </w:r>
      <w:r>
        <w:rPr>
          <w:spacing w:val="-7"/>
        </w:rPr>
        <w:t> </w:t>
      </w:r>
      <w:r>
        <w:rPr/>
        <w:t>terms</w:t>
      </w:r>
      <w:r>
        <w:rPr>
          <w:spacing w:val="-9"/>
        </w:rPr>
        <w:t> </w:t>
      </w:r>
      <w:r>
        <w:rPr/>
        <w:t>of</w:t>
      </w:r>
      <w:r>
        <w:rPr>
          <w:spacing w:val="-7"/>
        </w:rPr>
        <w:t> </w:t>
      </w:r>
      <w:r>
        <w:rPr/>
        <w:t>cardiovascu- lar strengthening and protection against heart attacks in numerous scientific studies. Spirulina has a multifactorial effect on cardiovascular diseases and</w:t>
      </w:r>
      <w:r>
        <w:rPr>
          <w:spacing w:val="-51"/>
        </w:rPr>
        <w:t> </w:t>
      </w:r>
      <w:r>
        <w:rPr/>
        <w:t>can</w:t>
      </w:r>
    </w:p>
    <w:p>
      <w:pPr>
        <w:spacing w:after="0" w:line="276" w:lineRule="auto"/>
        <w:jc w:val="both"/>
        <w:sectPr>
          <w:pgSz w:w="14270" w:h="16850"/>
          <w:pgMar w:header="0" w:footer="1891" w:top="1360" w:bottom="2080" w:left="800" w:right="1280"/>
        </w:sectPr>
      </w:pPr>
    </w:p>
    <w:p>
      <w:pPr>
        <w:pStyle w:val="BodyText"/>
        <w:spacing w:line="278" w:lineRule="auto" w:before="72"/>
        <w:ind w:left="616"/>
      </w:pPr>
      <w:r>
        <w:rPr/>
        <w:t>positively</w:t>
      </w:r>
      <w:r>
        <w:rPr>
          <w:spacing w:val="-23"/>
        </w:rPr>
        <w:t> </w:t>
      </w:r>
      <w:r>
        <w:rPr/>
        <w:t>affect</w:t>
      </w:r>
      <w:r>
        <w:rPr>
          <w:spacing w:val="-22"/>
        </w:rPr>
        <w:t> </w:t>
      </w:r>
      <w:r>
        <w:rPr/>
        <w:t>existing</w:t>
      </w:r>
      <w:r>
        <w:rPr>
          <w:spacing w:val="-21"/>
        </w:rPr>
        <w:t> </w:t>
      </w:r>
      <w:r>
        <w:rPr/>
        <w:t>cardiovascular</w:t>
      </w:r>
      <w:r>
        <w:rPr>
          <w:spacing w:val="-21"/>
        </w:rPr>
        <w:t> </w:t>
      </w:r>
      <w:r>
        <w:rPr/>
        <w:t>disease.</w:t>
      </w:r>
      <w:r>
        <w:rPr>
          <w:spacing w:val="-21"/>
        </w:rPr>
        <w:t> </w:t>
      </w:r>
      <w:r>
        <w:rPr/>
        <w:t>In</w:t>
      </w:r>
      <w:r>
        <w:rPr>
          <w:spacing w:val="-23"/>
        </w:rPr>
        <w:t> </w:t>
      </w:r>
      <w:r>
        <w:rPr/>
        <w:t>this</w:t>
      </w:r>
      <w:r>
        <w:rPr>
          <w:spacing w:val="-20"/>
        </w:rPr>
        <w:t> </w:t>
      </w:r>
      <w:r>
        <w:rPr/>
        <w:t>way,</w:t>
      </w:r>
      <w:r>
        <w:rPr>
          <w:spacing w:val="-22"/>
        </w:rPr>
        <w:t> </w:t>
      </w:r>
      <w:r>
        <w:rPr/>
        <w:t>consequences</w:t>
      </w:r>
      <w:r>
        <w:rPr>
          <w:spacing w:val="-20"/>
        </w:rPr>
        <w:t> </w:t>
      </w:r>
      <w:r>
        <w:rPr/>
        <w:t>such as heart attacks and strokes are prevented.</w:t>
      </w:r>
    </w:p>
    <w:p>
      <w:pPr>
        <w:pStyle w:val="BodyText"/>
        <w:spacing w:line="276" w:lineRule="auto" w:before="232"/>
        <w:ind w:left="616" w:right="131"/>
        <w:jc w:val="both"/>
      </w:pPr>
      <w:r>
        <w:rPr/>
        <w:t>In numerous studies Spirulina has been able to prove that it can neutralise cholesterol</w:t>
      </w:r>
      <w:r>
        <w:rPr>
          <w:spacing w:val="-14"/>
        </w:rPr>
        <w:t> </w:t>
      </w:r>
      <w:r>
        <w:rPr/>
        <w:t>and</w:t>
      </w:r>
      <w:r>
        <w:rPr>
          <w:spacing w:val="-13"/>
        </w:rPr>
        <w:t> </w:t>
      </w:r>
      <w:r>
        <w:rPr/>
        <w:t>lower</w:t>
      </w:r>
      <w:r>
        <w:rPr>
          <w:spacing w:val="-12"/>
        </w:rPr>
        <w:t> </w:t>
      </w:r>
      <w:r>
        <w:rPr/>
        <w:t>blood</w:t>
      </w:r>
      <w:r>
        <w:rPr>
          <w:spacing w:val="-16"/>
        </w:rPr>
        <w:t> </w:t>
      </w:r>
      <w:r>
        <w:rPr/>
        <w:t>pressure;</w:t>
      </w:r>
      <w:r>
        <w:rPr>
          <w:spacing w:val="-11"/>
        </w:rPr>
        <w:t> </w:t>
      </w:r>
      <w:r>
        <w:rPr/>
        <w:t>among</w:t>
      </w:r>
      <w:r>
        <w:rPr>
          <w:spacing w:val="-16"/>
        </w:rPr>
        <w:t> </w:t>
      </w:r>
      <w:r>
        <w:rPr/>
        <w:t>other</w:t>
      </w:r>
      <w:r>
        <w:rPr>
          <w:spacing w:val="-13"/>
        </w:rPr>
        <w:t> </w:t>
      </w:r>
      <w:r>
        <w:rPr/>
        <w:t>things,</w:t>
      </w:r>
      <w:r>
        <w:rPr>
          <w:spacing w:val="-14"/>
        </w:rPr>
        <w:t> </w:t>
      </w:r>
      <w:r>
        <w:rPr/>
        <w:t>the</w:t>
      </w:r>
      <w:r>
        <w:rPr>
          <w:spacing w:val="-14"/>
        </w:rPr>
        <w:t> </w:t>
      </w:r>
      <w:r>
        <w:rPr/>
        <w:t>amino</w:t>
      </w:r>
      <w:r>
        <w:rPr>
          <w:spacing w:val="-13"/>
        </w:rPr>
        <w:t> </w:t>
      </w:r>
      <w:r>
        <w:rPr/>
        <w:t>acid</w:t>
      </w:r>
      <w:r>
        <w:rPr>
          <w:spacing w:val="-14"/>
        </w:rPr>
        <w:t> </w:t>
      </w:r>
      <w:r>
        <w:rPr/>
        <w:t>'leu- cine'</w:t>
      </w:r>
      <w:r>
        <w:rPr>
          <w:spacing w:val="-13"/>
        </w:rPr>
        <w:t> </w:t>
      </w:r>
      <w:r>
        <w:rPr/>
        <w:t>is</w:t>
      </w:r>
      <w:r>
        <w:rPr>
          <w:spacing w:val="-14"/>
        </w:rPr>
        <w:t> </w:t>
      </w:r>
      <w:r>
        <w:rPr/>
        <w:t>responsible</w:t>
      </w:r>
      <w:r>
        <w:rPr>
          <w:spacing w:val="-13"/>
        </w:rPr>
        <w:t> </w:t>
      </w:r>
      <w:r>
        <w:rPr/>
        <w:t>for</w:t>
      </w:r>
      <w:r>
        <w:rPr>
          <w:spacing w:val="-13"/>
        </w:rPr>
        <w:t> </w:t>
      </w:r>
      <w:r>
        <w:rPr/>
        <w:t>this.</w:t>
      </w:r>
      <w:r>
        <w:rPr>
          <w:spacing w:val="-14"/>
        </w:rPr>
        <w:t> </w:t>
      </w:r>
      <w:r>
        <w:rPr/>
        <w:t>The</w:t>
      </w:r>
      <w:r>
        <w:rPr>
          <w:spacing w:val="-16"/>
        </w:rPr>
        <w:t> </w:t>
      </w:r>
      <w:r>
        <w:rPr/>
        <w:t>chlorophyll</w:t>
      </w:r>
      <w:r>
        <w:rPr>
          <w:spacing w:val="-14"/>
        </w:rPr>
        <w:t> </w:t>
      </w:r>
      <w:r>
        <w:rPr/>
        <w:t>pigments</w:t>
      </w:r>
      <w:r>
        <w:rPr>
          <w:spacing w:val="-14"/>
        </w:rPr>
        <w:t> </w:t>
      </w:r>
      <w:r>
        <w:rPr/>
        <w:t>in</w:t>
      </w:r>
      <w:r>
        <w:rPr>
          <w:spacing w:val="-12"/>
        </w:rPr>
        <w:t> </w:t>
      </w:r>
      <w:r>
        <w:rPr/>
        <w:t>spirulina</w:t>
      </w:r>
      <w:r>
        <w:rPr>
          <w:spacing w:val="-13"/>
        </w:rPr>
        <w:t> </w:t>
      </w:r>
      <w:r>
        <w:rPr/>
        <w:t>can</w:t>
      </w:r>
      <w:r>
        <w:rPr>
          <w:spacing w:val="-13"/>
        </w:rPr>
        <w:t> </w:t>
      </w:r>
      <w:r>
        <w:rPr/>
        <w:t>bind</w:t>
      </w:r>
      <w:r>
        <w:rPr>
          <w:spacing w:val="-13"/>
        </w:rPr>
        <w:t> </w:t>
      </w:r>
      <w:r>
        <w:rPr/>
        <w:t>not only heavy metals but also</w:t>
      </w:r>
      <w:r>
        <w:rPr>
          <w:spacing w:val="-2"/>
        </w:rPr>
        <w:t> </w:t>
      </w:r>
      <w:r>
        <w:rPr/>
        <w:t>calcium.</w:t>
      </w:r>
    </w:p>
    <w:p>
      <w:pPr>
        <w:pStyle w:val="BodyText"/>
        <w:spacing w:line="276" w:lineRule="auto" w:before="242"/>
        <w:ind w:left="616" w:right="136"/>
        <w:jc w:val="both"/>
      </w:pPr>
      <w:r>
        <w:rPr/>
        <w:t>It is calcium, however, which, in combination with fatty deposits, creates plaque on the inner vessel walls of the blood vessels and thus causes the dreaded arteriosclerosis which leads to heart attacks and strokes. The numer- ous</w:t>
      </w:r>
      <w:r>
        <w:rPr>
          <w:spacing w:val="-22"/>
        </w:rPr>
        <w:t> </w:t>
      </w:r>
      <w:r>
        <w:rPr/>
        <w:t>antioxidants</w:t>
      </w:r>
      <w:r>
        <w:rPr>
          <w:spacing w:val="-20"/>
        </w:rPr>
        <w:t> </w:t>
      </w:r>
      <w:r>
        <w:rPr/>
        <w:t>in</w:t>
      </w:r>
      <w:r>
        <w:rPr>
          <w:spacing w:val="-24"/>
        </w:rPr>
        <w:t> </w:t>
      </w:r>
      <w:r>
        <w:rPr/>
        <w:t>spirulina</w:t>
      </w:r>
      <w:r>
        <w:rPr>
          <w:spacing w:val="-21"/>
        </w:rPr>
        <w:t> </w:t>
      </w:r>
      <w:r>
        <w:rPr/>
        <w:t>platensis</w:t>
      </w:r>
      <w:r>
        <w:rPr>
          <w:spacing w:val="-21"/>
        </w:rPr>
        <w:t> </w:t>
      </w:r>
      <w:r>
        <w:rPr/>
        <w:t>also</w:t>
      </w:r>
      <w:r>
        <w:rPr>
          <w:spacing w:val="-24"/>
        </w:rPr>
        <w:t> </w:t>
      </w:r>
      <w:r>
        <w:rPr/>
        <w:t>prevent</w:t>
      </w:r>
      <w:r>
        <w:rPr>
          <w:spacing w:val="-23"/>
        </w:rPr>
        <w:t> </w:t>
      </w:r>
      <w:r>
        <w:rPr/>
        <w:t>the</w:t>
      </w:r>
      <w:r>
        <w:rPr>
          <w:spacing w:val="-24"/>
        </w:rPr>
        <w:t> </w:t>
      </w:r>
      <w:r>
        <w:rPr/>
        <w:t>oxidation</w:t>
      </w:r>
      <w:r>
        <w:rPr>
          <w:spacing w:val="-21"/>
        </w:rPr>
        <w:t> </w:t>
      </w:r>
      <w:r>
        <w:rPr/>
        <w:t>of</w:t>
      </w:r>
      <w:r>
        <w:rPr>
          <w:spacing w:val="-22"/>
        </w:rPr>
        <w:t> </w:t>
      </w:r>
      <w:r>
        <w:rPr/>
        <w:t>cholesterol, which is considered a prerequisite for the formation of</w:t>
      </w:r>
      <w:r>
        <w:rPr>
          <w:spacing w:val="-9"/>
        </w:rPr>
        <w:t> </w:t>
      </w:r>
      <w:r>
        <w:rPr/>
        <w:t>plaque.</w:t>
      </w:r>
    </w:p>
    <w:p>
      <w:pPr>
        <w:pStyle w:val="Heading2"/>
        <w:spacing w:line="278" w:lineRule="auto" w:before="240"/>
        <w:ind w:left="616"/>
      </w:pPr>
      <w:r>
        <w:rPr/>
        <w:t>The following mechanisms of action counteract cardiovascular dis- eases:</w:t>
      </w:r>
    </w:p>
    <w:p>
      <w:pPr>
        <w:pStyle w:val="ListParagraph"/>
        <w:numPr>
          <w:ilvl w:val="0"/>
          <w:numId w:val="120"/>
        </w:numPr>
        <w:tabs>
          <w:tab w:pos="1032" w:val="left" w:leader="none"/>
        </w:tabs>
        <w:spacing w:line="240" w:lineRule="auto" w:before="193" w:after="0"/>
        <w:ind w:left="899" w:right="0" w:hanging="283"/>
        <w:jc w:val="both"/>
        <w:rPr>
          <w:sz w:val="38"/>
        </w:rPr>
      </w:pPr>
      <w:r>
        <w:rPr>
          <w:sz w:val="38"/>
        </w:rPr>
        <w:t>Spirulina normalises a high cholesterol level</w:t>
      </w:r>
    </w:p>
    <w:p>
      <w:pPr>
        <w:pStyle w:val="ListParagraph"/>
        <w:numPr>
          <w:ilvl w:val="0"/>
          <w:numId w:val="120"/>
        </w:numPr>
        <w:tabs>
          <w:tab w:pos="1032" w:val="left" w:leader="none"/>
        </w:tabs>
        <w:spacing w:line="240" w:lineRule="auto" w:before="184" w:after="0"/>
        <w:ind w:left="899" w:right="0" w:hanging="283"/>
        <w:jc w:val="both"/>
        <w:rPr>
          <w:sz w:val="38"/>
        </w:rPr>
      </w:pPr>
      <w:r>
        <w:rPr>
          <w:sz w:val="38"/>
        </w:rPr>
        <w:t>Spirulina lowers high blood</w:t>
      </w:r>
      <w:r>
        <w:rPr>
          <w:spacing w:val="-2"/>
          <w:sz w:val="38"/>
        </w:rPr>
        <w:t> </w:t>
      </w:r>
      <w:r>
        <w:rPr>
          <w:sz w:val="38"/>
        </w:rPr>
        <w:t>pressure</w:t>
      </w:r>
    </w:p>
    <w:p>
      <w:pPr>
        <w:pStyle w:val="ListParagraph"/>
        <w:numPr>
          <w:ilvl w:val="0"/>
          <w:numId w:val="120"/>
        </w:numPr>
        <w:tabs>
          <w:tab w:pos="1032" w:val="left" w:leader="none"/>
        </w:tabs>
        <w:spacing w:line="240" w:lineRule="auto" w:before="183" w:after="0"/>
        <w:ind w:left="899" w:right="0" w:hanging="283"/>
        <w:jc w:val="both"/>
        <w:rPr>
          <w:sz w:val="38"/>
        </w:rPr>
      </w:pPr>
      <w:r>
        <w:rPr>
          <w:sz w:val="38"/>
        </w:rPr>
        <w:t>Spirulina strengthens the blood</w:t>
      </w:r>
      <w:r>
        <w:rPr>
          <w:spacing w:val="-2"/>
          <w:sz w:val="38"/>
        </w:rPr>
        <w:t> </w:t>
      </w:r>
      <w:r>
        <w:rPr>
          <w:sz w:val="38"/>
        </w:rPr>
        <w:t>vessels</w:t>
      </w:r>
    </w:p>
    <w:p>
      <w:pPr>
        <w:pStyle w:val="ListParagraph"/>
        <w:numPr>
          <w:ilvl w:val="0"/>
          <w:numId w:val="120"/>
        </w:numPr>
        <w:tabs>
          <w:tab w:pos="1032" w:val="left" w:leader="none"/>
        </w:tabs>
        <w:spacing w:line="240" w:lineRule="auto" w:before="184" w:after="0"/>
        <w:ind w:left="899" w:right="0" w:hanging="283"/>
        <w:jc w:val="both"/>
        <w:rPr>
          <w:sz w:val="38"/>
        </w:rPr>
      </w:pPr>
      <w:r>
        <w:rPr>
          <w:sz w:val="38"/>
        </w:rPr>
        <w:t>Spirulina increases the elasticity of the blood</w:t>
      </w:r>
      <w:r>
        <w:rPr>
          <w:spacing w:val="-1"/>
          <w:sz w:val="38"/>
        </w:rPr>
        <w:t> </w:t>
      </w:r>
      <w:r>
        <w:rPr>
          <w:sz w:val="38"/>
        </w:rPr>
        <w:t>vessels</w:t>
      </w:r>
    </w:p>
    <w:p>
      <w:pPr>
        <w:pStyle w:val="ListParagraph"/>
        <w:numPr>
          <w:ilvl w:val="0"/>
          <w:numId w:val="120"/>
        </w:numPr>
        <w:tabs>
          <w:tab w:pos="1032" w:val="left" w:leader="none"/>
        </w:tabs>
        <w:spacing w:line="240" w:lineRule="auto" w:before="186" w:after="0"/>
        <w:ind w:left="899" w:right="0" w:hanging="283"/>
        <w:jc w:val="both"/>
        <w:rPr>
          <w:sz w:val="38"/>
        </w:rPr>
      </w:pPr>
      <w:r>
        <w:rPr>
          <w:sz w:val="38"/>
        </w:rPr>
        <w:t>Spirulina prevents atherosclerosis</w:t>
      </w:r>
    </w:p>
    <w:p>
      <w:pPr>
        <w:pStyle w:val="ListParagraph"/>
        <w:numPr>
          <w:ilvl w:val="0"/>
          <w:numId w:val="120"/>
        </w:numPr>
        <w:tabs>
          <w:tab w:pos="1032" w:val="left" w:leader="none"/>
        </w:tabs>
        <w:spacing w:line="240" w:lineRule="auto" w:before="184" w:after="0"/>
        <w:ind w:left="899" w:right="0" w:hanging="283"/>
        <w:jc w:val="both"/>
        <w:rPr>
          <w:sz w:val="38"/>
        </w:rPr>
      </w:pPr>
      <w:r>
        <w:rPr>
          <w:sz w:val="38"/>
        </w:rPr>
        <w:t>Spirulina breaks down atherosclerosis</w:t>
      </w:r>
    </w:p>
    <w:p>
      <w:pPr>
        <w:pStyle w:val="Heading1"/>
        <w:spacing w:before="287"/>
        <w:ind w:left="616"/>
        <w:jc w:val="both"/>
      </w:pPr>
      <w:r>
        <w:rPr/>
        <w:t>Effects of spirulina before and after a stroke</w:t>
      </w:r>
    </w:p>
    <w:p>
      <w:pPr>
        <w:spacing w:after="0"/>
        <w:jc w:val="both"/>
        <w:sectPr>
          <w:pgSz w:w="14270" w:h="16850"/>
          <w:pgMar w:header="0" w:footer="1891" w:top="1340" w:bottom="2080" w:left="800" w:right="1280"/>
        </w:sectPr>
      </w:pPr>
    </w:p>
    <w:p>
      <w:pPr>
        <w:pStyle w:val="BodyText"/>
        <w:spacing w:line="276" w:lineRule="auto" w:before="74"/>
        <w:ind w:left="616" w:right="134"/>
        <w:jc w:val="both"/>
        <w:rPr>
          <w:sz w:val="25"/>
        </w:rPr>
      </w:pPr>
      <w:r>
        <w:rPr/>
        <w:t>The high-blood-pressure-lowering, blood-vessel-strengthening and elasticity- regulating action of spirulina, which regulates the metabolism of lipids, pro- tects our brain from a stroke. According to various experiments, spirulina platensis reduces the impact of any stroke that has already occurred, and vic- tims regain their mobility faster.</w:t>
      </w:r>
      <w:r>
        <w:rPr>
          <w:position w:val="9"/>
          <w:sz w:val="25"/>
        </w:rPr>
        <w:t>854</w:t>
      </w:r>
    </w:p>
    <w:p>
      <w:pPr>
        <w:pStyle w:val="Heading1"/>
        <w:spacing w:before="222"/>
        <w:ind w:left="616"/>
        <w:jc w:val="both"/>
      </w:pPr>
      <w:r>
        <w:rPr>
          <w:w w:val="95"/>
        </w:rPr>
        <w:t>Strengthening effect on the</w:t>
      </w:r>
      <w:r>
        <w:rPr>
          <w:spacing w:val="-23"/>
          <w:w w:val="95"/>
        </w:rPr>
        <w:t> </w:t>
      </w:r>
      <w:r>
        <w:rPr>
          <w:w w:val="95"/>
        </w:rPr>
        <w:t>liver</w:t>
      </w:r>
    </w:p>
    <w:p>
      <w:pPr>
        <w:pStyle w:val="BodyText"/>
        <w:spacing w:line="276" w:lineRule="auto" w:before="300"/>
        <w:ind w:left="616" w:right="133"/>
        <w:jc w:val="both"/>
        <w:rPr>
          <w:sz w:val="25"/>
        </w:rPr>
      </w:pPr>
      <w:r>
        <w:rPr/>
        <w:t>The</w:t>
      </w:r>
      <w:r>
        <w:rPr>
          <w:spacing w:val="-11"/>
        </w:rPr>
        <w:t> </w:t>
      </w:r>
      <w:r>
        <w:rPr/>
        <w:t>liver</w:t>
      </w:r>
      <w:r>
        <w:rPr>
          <w:spacing w:val="-11"/>
        </w:rPr>
        <w:t> </w:t>
      </w:r>
      <w:r>
        <w:rPr/>
        <w:t>is</w:t>
      </w:r>
      <w:r>
        <w:rPr>
          <w:spacing w:val="-13"/>
        </w:rPr>
        <w:t> </w:t>
      </w:r>
      <w:r>
        <w:rPr/>
        <w:t>the</w:t>
      </w:r>
      <w:r>
        <w:rPr>
          <w:spacing w:val="-13"/>
        </w:rPr>
        <w:t> </w:t>
      </w:r>
      <w:r>
        <w:rPr/>
        <w:t>kitchen</w:t>
      </w:r>
      <w:r>
        <w:rPr>
          <w:spacing w:val="-10"/>
        </w:rPr>
        <w:t> </w:t>
      </w:r>
      <w:r>
        <w:rPr/>
        <w:t>of</w:t>
      </w:r>
      <w:r>
        <w:rPr>
          <w:spacing w:val="-13"/>
        </w:rPr>
        <w:t> </w:t>
      </w:r>
      <w:r>
        <w:rPr/>
        <w:t>our</w:t>
      </w:r>
      <w:r>
        <w:rPr>
          <w:spacing w:val="-10"/>
        </w:rPr>
        <w:t> </w:t>
      </w:r>
      <w:r>
        <w:rPr/>
        <w:t>metabolism</w:t>
      </w:r>
      <w:r>
        <w:rPr>
          <w:spacing w:val="-12"/>
        </w:rPr>
        <w:t> </w:t>
      </w:r>
      <w:r>
        <w:rPr/>
        <w:t>and</w:t>
      </w:r>
      <w:r>
        <w:rPr>
          <w:spacing w:val="-10"/>
        </w:rPr>
        <w:t> </w:t>
      </w:r>
      <w:r>
        <w:rPr/>
        <w:t>has</w:t>
      </w:r>
      <w:r>
        <w:rPr>
          <w:spacing w:val="-12"/>
        </w:rPr>
        <w:t> </w:t>
      </w:r>
      <w:r>
        <w:rPr/>
        <w:t>to</w:t>
      </w:r>
      <w:r>
        <w:rPr>
          <w:spacing w:val="-13"/>
        </w:rPr>
        <w:t> </w:t>
      </w:r>
      <w:r>
        <w:rPr/>
        <w:t>detoxify</w:t>
      </w:r>
      <w:r>
        <w:rPr>
          <w:spacing w:val="-12"/>
        </w:rPr>
        <w:t> </w:t>
      </w:r>
      <w:r>
        <w:rPr/>
        <w:t>tonnes</w:t>
      </w:r>
      <w:r>
        <w:rPr>
          <w:spacing w:val="-10"/>
        </w:rPr>
        <w:t> </w:t>
      </w:r>
      <w:r>
        <w:rPr/>
        <w:t>of</w:t>
      </w:r>
      <w:r>
        <w:rPr>
          <w:spacing w:val="-13"/>
        </w:rPr>
        <w:t> </w:t>
      </w:r>
      <w:r>
        <w:rPr/>
        <w:t>harm- ful substances every day. Spirulina strengthens the liver cells; chlorophyll and beta-carotene are primarily involved in this. Spirulina is used in the treatment of cirrhosis of the liver and chronic hepatitis in Japan and the</w:t>
      </w:r>
      <w:r>
        <w:rPr>
          <w:spacing w:val="-5"/>
        </w:rPr>
        <w:t> </w:t>
      </w:r>
      <w:r>
        <w:rPr/>
        <w:t>USA.</w:t>
      </w:r>
      <w:r>
        <w:rPr>
          <w:position w:val="9"/>
          <w:sz w:val="25"/>
        </w:rPr>
        <w:t>855</w:t>
      </w:r>
    </w:p>
    <w:p>
      <w:pPr>
        <w:pStyle w:val="Heading1"/>
        <w:spacing w:before="222"/>
        <w:ind w:left="616"/>
        <w:jc w:val="both"/>
      </w:pPr>
      <w:r>
        <w:rPr/>
        <w:t>Effect of spirulina platensis on</w:t>
      </w:r>
      <w:r>
        <w:rPr>
          <w:spacing w:val="-56"/>
        </w:rPr>
        <w:t> </w:t>
      </w:r>
      <w:r>
        <w:rPr/>
        <w:t>diabetes</w:t>
      </w:r>
    </w:p>
    <w:p>
      <w:pPr>
        <w:pStyle w:val="BodyText"/>
        <w:spacing w:line="276" w:lineRule="auto" w:before="299"/>
        <w:ind w:left="616" w:right="143"/>
        <w:jc w:val="both"/>
        <w:rPr>
          <w:sz w:val="25"/>
        </w:rPr>
      </w:pPr>
      <w:r>
        <w:rPr/>
        <w:t>In several studies, spirulina has been shown to lower glucose levels. Among other things, a water-soluble part of spirulina is responsible for this; after just five days, an anti-diabetic effect has been achieved in animal tests.</w:t>
      </w:r>
      <w:r>
        <w:rPr>
          <w:position w:val="9"/>
          <w:sz w:val="25"/>
        </w:rPr>
        <w:t>856</w:t>
      </w:r>
    </w:p>
    <w:p>
      <w:pPr>
        <w:pStyle w:val="BodyText"/>
        <w:spacing w:line="276" w:lineRule="auto" w:before="242"/>
        <w:ind w:left="616" w:right="139"/>
        <w:jc w:val="both"/>
      </w:pPr>
      <w:r>
        <w:rPr/>
        <w:t>Furthermore, the glutamic acid and the amino acid 'leucine' have a negative effect on the blood sugar level. Spirulina also contains chromium, which acts as a coenzyme activating insulin, protects the pancreas and prevents blood sugar fluctuations.</w:t>
      </w:r>
    </w:p>
    <w:p>
      <w:pPr>
        <w:pStyle w:val="BodyText"/>
        <w:rPr>
          <w:sz w:val="20"/>
        </w:rPr>
      </w:pPr>
    </w:p>
    <w:p>
      <w:pPr>
        <w:pStyle w:val="BodyText"/>
        <w:rPr>
          <w:sz w:val="20"/>
        </w:rPr>
      </w:pPr>
    </w:p>
    <w:p>
      <w:pPr>
        <w:pStyle w:val="BodyText"/>
        <w:rPr>
          <w:sz w:val="20"/>
        </w:rPr>
      </w:pPr>
    </w:p>
    <w:p>
      <w:pPr>
        <w:pStyle w:val="BodyText"/>
        <w:spacing w:before="5"/>
        <w:rPr>
          <w:sz w:val="21"/>
        </w:rPr>
      </w:pPr>
      <w:r>
        <w:rPr/>
        <w:pict>
          <v:line style="position:absolute;mso-position-horizontal-relative:page;mso-position-vertical-relative:paragraph;z-index:11816;mso-wrap-distance-left:0;mso-wrap-distance-right:0" from="70.823997pt,14.420015pt" to="214.843997pt,14.420015pt" stroked="true" strokeweight=".71997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854 </w:t>
      </w:r>
      <w:r>
        <w:rPr>
          <w:color w:val="660066"/>
          <w:sz w:val="20"/>
        </w:rPr>
        <w:t>Wang Y</w:t>
      </w:r>
      <w:r>
        <w:rPr>
          <w:sz w:val="20"/>
        </w:rPr>
        <w:t>. et al.: Dietary supplementation with blueberries, spinach, or spirulina reduces ischemic brain damage. 2005 May, 193 (1), pp. 75-84.</w:t>
      </w:r>
    </w:p>
    <w:p>
      <w:pPr>
        <w:spacing w:before="94"/>
        <w:ind w:left="616" w:right="0" w:firstLine="0"/>
        <w:jc w:val="left"/>
        <w:rPr>
          <w:sz w:val="20"/>
        </w:rPr>
      </w:pPr>
      <w:r>
        <w:rPr>
          <w:position w:val="5"/>
          <w:sz w:val="13"/>
        </w:rPr>
        <w:t>855 </w:t>
      </w:r>
      <w:r>
        <w:rPr>
          <w:sz w:val="20"/>
        </w:rPr>
        <w:t>Frank Felte: Spirulina – Die Wunderalge: Essen Sie Leben! ('Spirulina – The Wonder Alga: Eat Life!'), 2002, p. 48</w:t>
      </w:r>
    </w:p>
    <w:p>
      <w:pPr>
        <w:pStyle w:val="BodyText"/>
        <w:rPr>
          <w:sz w:val="22"/>
        </w:rPr>
      </w:pPr>
    </w:p>
    <w:p>
      <w:pPr>
        <w:pStyle w:val="BodyText"/>
        <w:spacing w:before="8"/>
        <w:rPr>
          <w:sz w:val="23"/>
        </w:rPr>
      </w:pPr>
    </w:p>
    <w:p>
      <w:pPr>
        <w:spacing w:line="276" w:lineRule="auto" w:before="0"/>
        <w:ind w:left="616" w:right="265" w:firstLine="0"/>
        <w:jc w:val="left"/>
        <w:rPr>
          <w:sz w:val="20"/>
        </w:rPr>
      </w:pPr>
      <w:r>
        <w:rPr/>
        <w:drawing>
          <wp:anchor distT="0" distB="0" distL="0" distR="0" allowOverlap="1" layoutInCell="1" locked="0" behindDoc="1" simplePos="0" relativeHeight="267179615">
            <wp:simplePos x="0" y="0"/>
            <wp:positionH relativeFrom="page">
              <wp:posOffset>985998</wp:posOffset>
            </wp:positionH>
            <wp:positionV relativeFrom="paragraph">
              <wp:posOffset>208764</wp:posOffset>
            </wp:positionV>
            <wp:extent cx="6379583" cy="902106"/>
            <wp:effectExtent l="0" t="0" r="0" b="0"/>
            <wp:wrapNone/>
            <wp:docPr id="579" name="image2.jpeg" descr=""/>
            <wp:cNvGraphicFramePr>
              <a:graphicFrameLocks noChangeAspect="1"/>
            </wp:cNvGraphicFramePr>
            <a:graphic>
              <a:graphicData uri="http://schemas.openxmlformats.org/drawingml/2006/picture">
                <pic:pic>
                  <pic:nvPicPr>
                    <pic:cNvPr id="580" name="image2.jpeg"/>
                    <pic:cNvPicPr/>
                  </pic:nvPicPr>
                  <pic:blipFill>
                    <a:blip r:embed="rId21" cstate="print"/>
                    <a:stretch>
                      <a:fillRect/>
                    </a:stretch>
                  </pic:blipFill>
                  <pic:spPr>
                    <a:xfrm>
                      <a:off x="0" y="0"/>
                      <a:ext cx="6379583" cy="902106"/>
                    </a:xfrm>
                    <a:prstGeom prst="rect">
                      <a:avLst/>
                    </a:prstGeom>
                  </pic:spPr>
                </pic:pic>
              </a:graphicData>
            </a:graphic>
          </wp:anchor>
        </w:drawing>
      </w:r>
      <w:r>
        <w:rPr>
          <w:color w:val="365F91"/>
          <w:position w:val="5"/>
          <w:sz w:val="13"/>
        </w:rPr>
        <w:t>856 </w:t>
      </w:r>
      <w:r>
        <w:rPr>
          <w:sz w:val="20"/>
        </w:rPr>
        <w:t>Joventino I. P</w:t>
      </w:r>
      <w:r>
        <w:rPr>
          <w:color w:val="365F91"/>
          <w:sz w:val="20"/>
        </w:rPr>
        <w:t>. et al.: The Microalga Spirulina platensis Presents Anti-inflammatory Action as well as Hypoglycemic and Hypolipidemic Proper- ties in Diabetic Rats. </w:t>
      </w:r>
      <w:r>
        <w:rPr>
          <w:sz w:val="20"/>
        </w:rPr>
        <w:t>J Complement Integr Med. </w:t>
      </w:r>
      <w:r>
        <w:rPr>
          <w:color w:val="365F91"/>
          <w:sz w:val="20"/>
        </w:rPr>
        <w:t>2012 Aug, 10; 9 (1).pii: /j/jcim.2012.9.issue-1/1553-3840.1534/1553–3840.1534.xml.doi: 10.1515/1553–3840.1534.</w:t>
      </w:r>
    </w:p>
    <w:p>
      <w:pPr>
        <w:spacing w:after="0" w:line="276" w:lineRule="auto"/>
        <w:jc w:val="left"/>
        <w:rPr>
          <w:sz w:val="20"/>
        </w:rPr>
        <w:sectPr>
          <w:footerReference w:type="default" r:id="rId364"/>
          <w:pgSz w:w="14270" w:h="16850"/>
          <w:pgMar w:footer="527" w:header="0" w:top="1340" w:bottom="720" w:left="800" w:right="1280"/>
          <w:pgNumType w:start="1545"/>
        </w:sectPr>
      </w:pPr>
    </w:p>
    <w:p>
      <w:pPr>
        <w:pStyle w:val="Heading1"/>
        <w:spacing w:before="77"/>
        <w:ind w:left="616"/>
      </w:pPr>
      <w:r>
        <w:rPr/>
        <w:t>Effect of spirulina on poisoning</w:t>
      </w:r>
    </w:p>
    <w:p>
      <w:pPr>
        <w:pStyle w:val="BodyText"/>
        <w:spacing w:line="276" w:lineRule="auto" w:before="299"/>
        <w:ind w:left="616" w:right="137"/>
        <w:jc w:val="both"/>
      </w:pPr>
      <w:r>
        <w:rPr/>
        <w:t>Spirulina has detoxifying properties; the amino acids and alginates it contains, especially chlorophyll, bind to toxic substances such as lead, mercury, alumin- ium, tin and others, which are then released from the body. Pesticides are</w:t>
      </w:r>
      <w:r>
        <w:rPr>
          <w:spacing w:val="-49"/>
        </w:rPr>
        <w:t> </w:t>
      </w:r>
      <w:r>
        <w:rPr/>
        <w:t>also flushed out of the body with the help of</w:t>
      </w:r>
      <w:r>
        <w:rPr>
          <w:spacing w:val="-3"/>
        </w:rPr>
        <w:t> </w:t>
      </w:r>
      <w:r>
        <w:rPr/>
        <w:t>spirulina.</w:t>
      </w:r>
    </w:p>
    <w:p>
      <w:pPr>
        <w:pStyle w:val="BodyText"/>
        <w:spacing w:line="276" w:lineRule="auto" w:before="239"/>
        <w:ind w:left="616" w:right="139"/>
        <w:jc w:val="both"/>
      </w:pPr>
      <w:r>
        <w:rPr/>
        <w:t>In the course of this detoxification process, some people experience an initial and temporary discomfort.</w:t>
      </w:r>
    </w:p>
    <w:p>
      <w:pPr>
        <w:pStyle w:val="BodyText"/>
        <w:spacing w:line="276" w:lineRule="auto" w:before="239"/>
        <w:ind w:left="616" w:right="135"/>
        <w:jc w:val="both"/>
        <w:rPr>
          <w:sz w:val="25"/>
        </w:rPr>
      </w:pPr>
      <w:r>
        <w:rPr/>
        <w:t>In a placebo-controlled study on the effect of spirulina in conjunction with zinc following arsenic poisoning, the treatment was able to quickly transport most of the arsenic out of the body. There were fewer traces of arsenic in the people who had taken spirulina and after several weeks of spirulina intake, there was as much as 47.1 % less arsenic present in their hair roots!</w:t>
      </w:r>
      <w:r>
        <w:rPr>
          <w:position w:val="9"/>
          <w:sz w:val="25"/>
        </w:rPr>
        <w:t>857</w:t>
      </w:r>
    </w:p>
    <w:p>
      <w:pPr>
        <w:pStyle w:val="Heading1"/>
        <w:spacing w:before="225"/>
        <w:ind w:left="616"/>
      </w:pPr>
      <w:r>
        <w:rPr/>
        <w:t>Effect of spirulina on arthritis</w:t>
      </w:r>
    </w:p>
    <w:p>
      <w:pPr>
        <w:pStyle w:val="BodyText"/>
        <w:spacing w:line="276" w:lineRule="auto" w:before="300"/>
        <w:ind w:left="616" w:right="131"/>
        <w:jc w:val="both"/>
      </w:pPr>
      <w:r>
        <w:rPr/>
        <w:t>Spirulina contains numerous nutrients that are able to remove acid crystals on their</w:t>
      </w:r>
      <w:r>
        <w:rPr>
          <w:spacing w:val="-19"/>
        </w:rPr>
        <w:t> </w:t>
      </w:r>
      <w:r>
        <w:rPr/>
        <w:t>own,</w:t>
      </w:r>
      <w:r>
        <w:rPr>
          <w:spacing w:val="-19"/>
        </w:rPr>
        <w:t> </w:t>
      </w:r>
      <w:r>
        <w:rPr/>
        <w:t>remedy</w:t>
      </w:r>
      <w:r>
        <w:rPr>
          <w:spacing w:val="-19"/>
        </w:rPr>
        <w:t> </w:t>
      </w:r>
      <w:r>
        <w:rPr/>
        <w:t>arthritis</w:t>
      </w:r>
      <w:r>
        <w:rPr>
          <w:spacing w:val="-20"/>
        </w:rPr>
        <w:t> </w:t>
      </w:r>
      <w:r>
        <w:rPr/>
        <w:t>pain</w:t>
      </w:r>
      <w:r>
        <w:rPr>
          <w:spacing w:val="-20"/>
        </w:rPr>
        <w:t> </w:t>
      </w:r>
      <w:r>
        <w:rPr/>
        <w:t>and</w:t>
      </w:r>
      <w:r>
        <w:rPr>
          <w:spacing w:val="-19"/>
        </w:rPr>
        <w:t> </w:t>
      </w:r>
      <w:r>
        <w:rPr/>
        <w:t>inflammation</w:t>
      </w:r>
      <w:r>
        <w:rPr>
          <w:spacing w:val="-14"/>
        </w:rPr>
        <w:t> </w:t>
      </w:r>
      <w:r>
        <w:rPr/>
        <w:t>and</w:t>
      </w:r>
      <w:r>
        <w:rPr>
          <w:spacing w:val="-20"/>
        </w:rPr>
        <w:t> </w:t>
      </w:r>
      <w:r>
        <w:rPr/>
        <w:t>even</w:t>
      </w:r>
      <w:r>
        <w:rPr>
          <w:spacing w:val="-18"/>
        </w:rPr>
        <w:t> </w:t>
      </w:r>
      <w:r>
        <w:rPr/>
        <w:t>heal</w:t>
      </w:r>
      <w:r>
        <w:rPr>
          <w:spacing w:val="-21"/>
        </w:rPr>
        <w:t> </w:t>
      </w:r>
      <w:r>
        <w:rPr/>
        <w:t>arthritis;</w:t>
      </w:r>
      <w:r>
        <w:rPr>
          <w:spacing w:val="-19"/>
        </w:rPr>
        <w:t> </w:t>
      </w:r>
      <w:r>
        <w:rPr/>
        <w:t>these include, for example, gamma-linolenic acid, which has potent anti-inflamma- tory effects, as well as the omega-3 fatty acids and the trace element selenium, which made headlines when the former president of an arthritis association in the UK succeeded in curing his severe arthritis with bio-selenium and</w:t>
      </w:r>
      <w:r>
        <w:rPr>
          <w:spacing w:val="65"/>
        </w:rPr>
        <w:t> </w:t>
      </w:r>
      <w:r>
        <w:rPr/>
        <w:t>further</w:t>
      </w:r>
    </w:p>
    <w:p>
      <w:pPr>
        <w:pStyle w:val="BodyText"/>
        <w:rPr>
          <w:sz w:val="20"/>
        </w:rPr>
      </w:pPr>
    </w:p>
    <w:p>
      <w:pPr>
        <w:pStyle w:val="BodyText"/>
        <w:spacing w:before="7"/>
        <w:rPr>
          <w:sz w:val="28"/>
        </w:rPr>
      </w:pPr>
      <w:r>
        <w:rPr/>
        <w:pict>
          <v:line style="position:absolute;mso-position-horizontal-relative:page;mso-position-vertical-relative:paragraph;z-index:11864;mso-wrap-distance-left:0;mso-wrap-distance-right:0" from="70.823997pt,18.458735pt" to="214.843997pt,18.458735pt" stroked="true" strokeweight=".72003pt" strokecolor="#000000">
            <v:stroke dashstyle="solid"/>
            <w10:wrap type="topAndBottom"/>
          </v:line>
        </w:pict>
      </w:r>
    </w:p>
    <w:p>
      <w:pPr>
        <w:pStyle w:val="BodyText"/>
        <w:spacing w:before="7"/>
        <w:rPr>
          <w:sz w:val="18"/>
        </w:rPr>
      </w:pPr>
    </w:p>
    <w:p>
      <w:pPr>
        <w:spacing w:line="273" w:lineRule="auto" w:before="99"/>
        <w:ind w:left="616" w:right="156" w:firstLine="0"/>
        <w:jc w:val="left"/>
        <w:rPr>
          <w:sz w:val="20"/>
        </w:rPr>
      </w:pPr>
      <w:r>
        <w:rPr>
          <w:position w:val="5"/>
          <w:sz w:val="13"/>
        </w:rPr>
        <w:t>857 </w:t>
      </w:r>
      <w:r>
        <w:rPr>
          <w:sz w:val="20"/>
        </w:rPr>
        <w:t>Misbahuddin M. et al: Efficaof spirulina extract plus zinc in patients of chronic arsenic poisoning: a randomized placebo-controlled study. 2006, 44 (2), pp. 135–141</w:t>
      </w:r>
    </w:p>
    <w:p>
      <w:pPr>
        <w:spacing w:after="0" w:line="273" w:lineRule="auto"/>
        <w:jc w:val="left"/>
        <w:rPr>
          <w:sz w:val="20"/>
        </w:rPr>
        <w:sectPr>
          <w:footerReference w:type="default" r:id="rId365"/>
          <w:pgSz w:w="14270" w:h="16850"/>
          <w:pgMar w:footer="1891" w:header="0" w:top="1320" w:bottom="2080" w:left="800" w:right="1280"/>
          <w:pgNumType w:start="1546"/>
        </w:sectPr>
      </w:pPr>
    </w:p>
    <w:p>
      <w:pPr>
        <w:pStyle w:val="BodyText"/>
        <w:spacing w:before="74"/>
        <w:ind w:left="616"/>
      </w:pPr>
      <w:r>
        <w:rPr/>
        <w:t>studies confirmed this effect.</w:t>
      </w:r>
    </w:p>
    <w:p>
      <w:pPr>
        <w:pStyle w:val="BodyText"/>
        <w:spacing w:line="276" w:lineRule="auto" w:before="305"/>
        <w:ind w:left="616" w:right="135"/>
        <w:jc w:val="both"/>
      </w:pPr>
      <w:r>
        <w:rPr/>
        <w:t>Another very important substance in spirulina is superoxide dismutase, a cop- per and zinc-containing enzyme that inhibits inflammation and is one of the most important antioxidants in the world!</w:t>
      </w:r>
    </w:p>
    <w:p>
      <w:pPr>
        <w:pStyle w:val="BodyText"/>
        <w:spacing w:line="276" w:lineRule="auto" w:before="238"/>
        <w:ind w:left="616" w:right="134"/>
        <w:jc w:val="both"/>
      </w:pPr>
      <w:r>
        <w:rPr/>
        <w:t>People</w:t>
      </w:r>
      <w:r>
        <w:rPr>
          <w:spacing w:val="-11"/>
        </w:rPr>
        <w:t> </w:t>
      </w:r>
      <w:r>
        <w:rPr/>
        <w:t>suffering</w:t>
      </w:r>
      <w:r>
        <w:rPr>
          <w:spacing w:val="-11"/>
        </w:rPr>
        <w:t> </w:t>
      </w:r>
      <w:r>
        <w:rPr/>
        <w:t>from</w:t>
      </w:r>
      <w:r>
        <w:rPr>
          <w:spacing w:val="-12"/>
        </w:rPr>
        <w:t> </w:t>
      </w:r>
      <w:r>
        <w:rPr/>
        <w:t>arthritis</w:t>
      </w:r>
      <w:r>
        <w:rPr>
          <w:spacing w:val="-9"/>
        </w:rPr>
        <w:t> </w:t>
      </w:r>
      <w:r>
        <w:rPr/>
        <w:t>and</w:t>
      </w:r>
      <w:r>
        <w:rPr>
          <w:spacing w:val="-11"/>
        </w:rPr>
        <w:t> </w:t>
      </w:r>
      <w:r>
        <w:rPr/>
        <w:t>gout</w:t>
      </w:r>
      <w:r>
        <w:rPr>
          <w:spacing w:val="-13"/>
        </w:rPr>
        <w:t> </w:t>
      </w:r>
      <w:r>
        <w:rPr/>
        <w:t>may</w:t>
      </w:r>
      <w:r>
        <w:rPr>
          <w:spacing w:val="-12"/>
        </w:rPr>
        <w:t> </w:t>
      </w:r>
      <w:r>
        <w:rPr/>
        <w:t>experience</w:t>
      </w:r>
      <w:r>
        <w:rPr>
          <w:spacing w:val="-11"/>
        </w:rPr>
        <w:t> </w:t>
      </w:r>
      <w:r>
        <w:rPr/>
        <w:t>pain</w:t>
      </w:r>
      <w:r>
        <w:rPr>
          <w:spacing w:val="-11"/>
        </w:rPr>
        <w:t> </w:t>
      </w:r>
      <w:r>
        <w:rPr/>
        <w:t>in</w:t>
      </w:r>
      <w:r>
        <w:rPr>
          <w:spacing w:val="-12"/>
        </w:rPr>
        <w:t> </w:t>
      </w:r>
      <w:r>
        <w:rPr/>
        <w:t>the</w:t>
      </w:r>
      <w:r>
        <w:rPr>
          <w:spacing w:val="-11"/>
        </w:rPr>
        <w:t> </w:t>
      </w:r>
      <w:r>
        <w:rPr/>
        <w:t>first</w:t>
      </w:r>
      <w:r>
        <w:rPr>
          <w:spacing w:val="-12"/>
        </w:rPr>
        <w:t> </w:t>
      </w:r>
      <w:r>
        <w:rPr/>
        <w:t>weeks of taking spirulina as a result of dissolved acid crystals which are now being transported out of the body.</w:t>
      </w:r>
    </w:p>
    <w:p>
      <w:pPr>
        <w:pStyle w:val="Heading1"/>
        <w:spacing w:before="225"/>
        <w:ind w:left="616"/>
      </w:pPr>
      <w:r>
        <w:rPr/>
        <w:t>Effect on anaemia</w:t>
      </w:r>
    </w:p>
    <w:p>
      <w:pPr>
        <w:pStyle w:val="BodyText"/>
        <w:spacing w:line="276" w:lineRule="auto" w:before="299"/>
        <w:ind w:left="616" w:right="141"/>
        <w:jc w:val="both"/>
      </w:pPr>
      <w:r>
        <w:rPr/>
        <w:t>In particular, a shortage of iron, B vitamins (including vitamin B12 and folic acid) and vitamin E is often responsible for anaemia. Since spirulina platensis contains all of these nutrients in high amounts and a highly bioavailable form, a regular intake of spirulina protects against anaemia.</w:t>
      </w:r>
    </w:p>
    <w:p>
      <w:pPr>
        <w:pStyle w:val="BodyText"/>
        <w:spacing w:line="276" w:lineRule="auto" w:before="240"/>
        <w:ind w:left="616" w:right="138"/>
        <w:jc w:val="both"/>
        <w:rPr>
          <w:sz w:val="25"/>
        </w:rPr>
      </w:pPr>
      <w:r>
        <w:rPr/>
        <w:t>In studies, the intake of 4 g of spirulina after each meal increased the haemo- globin level of the test subjects by 21 % after 30 days (109 to 132 g/l).</w:t>
      </w:r>
      <w:r>
        <w:rPr>
          <w:position w:val="9"/>
          <w:sz w:val="25"/>
        </w:rPr>
        <w:t>858</w:t>
      </w:r>
    </w:p>
    <w:p>
      <w:pPr>
        <w:pStyle w:val="Heading1"/>
        <w:spacing w:before="223"/>
        <w:ind w:left="616"/>
      </w:pPr>
      <w:r>
        <w:rPr/>
        <w:t>Effect against premenstrual syndrome</w:t>
      </w:r>
    </w:p>
    <w:p>
      <w:pPr>
        <w:pStyle w:val="BodyText"/>
        <w:spacing w:line="278" w:lineRule="auto" w:before="297"/>
        <w:ind w:left="616" w:right="139"/>
        <w:jc w:val="both"/>
      </w:pPr>
      <w:r>
        <w:rPr/>
        <w:t>The</w:t>
      </w:r>
      <w:r>
        <w:rPr>
          <w:spacing w:val="-20"/>
        </w:rPr>
        <w:t> </w:t>
      </w:r>
      <w:r>
        <w:rPr/>
        <w:t>numerous</w:t>
      </w:r>
      <w:r>
        <w:rPr>
          <w:spacing w:val="-21"/>
        </w:rPr>
        <w:t> </w:t>
      </w:r>
      <w:r>
        <w:rPr/>
        <w:t>active</w:t>
      </w:r>
      <w:r>
        <w:rPr>
          <w:spacing w:val="-21"/>
        </w:rPr>
        <w:t> </w:t>
      </w:r>
      <w:r>
        <w:rPr/>
        <w:t>ingredients</w:t>
      </w:r>
      <w:r>
        <w:rPr>
          <w:spacing w:val="-20"/>
        </w:rPr>
        <w:t> </w:t>
      </w:r>
      <w:r>
        <w:rPr/>
        <w:t>in</w:t>
      </w:r>
      <w:r>
        <w:rPr>
          <w:spacing w:val="-20"/>
        </w:rPr>
        <w:t> </w:t>
      </w:r>
      <w:r>
        <w:rPr/>
        <w:t>spirulina</w:t>
      </w:r>
      <w:r>
        <w:rPr>
          <w:spacing w:val="-21"/>
        </w:rPr>
        <w:t> </w:t>
      </w:r>
      <w:r>
        <w:rPr/>
        <w:t>platensis</w:t>
      </w:r>
      <w:r>
        <w:rPr>
          <w:spacing w:val="-19"/>
        </w:rPr>
        <w:t> </w:t>
      </w:r>
      <w:r>
        <w:rPr/>
        <w:t>counteract</w:t>
      </w:r>
      <w:r>
        <w:rPr>
          <w:spacing w:val="-23"/>
        </w:rPr>
        <w:t> </w:t>
      </w:r>
      <w:r>
        <w:rPr/>
        <w:t>premenstrual syndrome.</w:t>
      </w:r>
    </w:p>
    <w:p>
      <w:pPr>
        <w:pStyle w:val="Heading1"/>
        <w:spacing w:before="215"/>
        <w:ind w:left="616"/>
        <w:jc w:val="both"/>
      </w:pPr>
      <w:r>
        <w:rPr/>
        <w:t>Effect of spirulina platensis on</w:t>
      </w:r>
      <w:r>
        <w:rPr>
          <w:spacing w:val="-60"/>
        </w:rPr>
        <w:t> </w:t>
      </w:r>
      <w:r>
        <w:rPr/>
        <w:t>depression</w:t>
      </w:r>
    </w:p>
    <w:p>
      <w:pPr>
        <w:pStyle w:val="BodyText"/>
        <w:spacing w:before="300"/>
        <w:ind w:left="616"/>
        <w:jc w:val="both"/>
      </w:pPr>
      <w:r>
        <w:rPr/>
        <w:t>Depression occurs to a significant degree when certain messengers are missing</w:t>
      </w:r>
    </w:p>
    <w:p>
      <w:pPr>
        <w:pStyle w:val="BodyText"/>
        <w:spacing w:before="6"/>
        <w:rPr>
          <w:sz w:val="25"/>
        </w:rPr>
      </w:pPr>
      <w:r>
        <w:rPr/>
        <w:pict>
          <v:line style="position:absolute;mso-position-horizontal-relative:page;mso-position-vertical-relative:paragraph;z-index:11888;mso-wrap-distance-left:0;mso-wrap-distance-right:0" from="70.823997pt,16.724985pt" to="214.843997pt,16.724985pt" stroked="true" strokeweight=".72003pt" strokecolor="#000000">
            <v:stroke dashstyle="solid"/>
            <w10:wrap type="topAndBottom"/>
          </v:line>
        </w:pict>
      </w:r>
    </w:p>
    <w:p>
      <w:pPr>
        <w:pStyle w:val="BodyText"/>
        <w:spacing w:before="7"/>
        <w:rPr>
          <w:sz w:val="18"/>
        </w:rPr>
      </w:pPr>
    </w:p>
    <w:p>
      <w:pPr>
        <w:spacing w:line="276" w:lineRule="auto" w:before="99"/>
        <w:ind w:left="616" w:right="0" w:firstLine="0"/>
        <w:jc w:val="left"/>
        <w:rPr>
          <w:sz w:val="20"/>
        </w:rPr>
      </w:pPr>
      <w:r>
        <w:rPr>
          <w:position w:val="5"/>
          <w:sz w:val="13"/>
        </w:rPr>
        <w:t>858 </w:t>
      </w:r>
      <w:r>
        <w:rPr>
          <w:sz w:val="20"/>
        </w:rPr>
        <w:t>Takeuchi, T.: Clinical experiences of administration of spirulina to patients with hypochromic anaemia, Tokyo Medical and Detnal University, Japan 1978</w:t>
      </w:r>
    </w:p>
    <w:p>
      <w:pPr>
        <w:spacing w:after="0" w:line="276" w:lineRule="auto"/>
        <w:jc w:val="left"/>
        <w:rPr>
          <w:sz w:val="20"/>
        </w:rPr>
        <w:sectPr>
          <w:pgSz w:w="14270" w:h="16850"/>
          <w:pgMar w:header="0" w:footer="1891" w:top="1340" w:bottom="2080" w:left="800" w:right="1280"/>
        </w:sectPr>
      </w:pPr>
    </w:p>
    <w:p>
      <w:pPr>
        <w:pStyle w:val="BodyText"/>
        <w:spacing w:line="276" w:lineRule="auto" w:before="72"/>
        <w:ind w:left="616" w:right="141"/>
        <w:jc w:val="both"/>
      </w:pPr>
      <w:r>
        <w:rPr/>
        <w:t>in the brain. The vitamin B12 contained in spirulina, folic acid and the amino acid 'methionine' are responsible for the production of these beneficial sub- stances in the brain.</w:t>
      </w:r>
    </w:p>
    <w:p>
      <w:pPr>
        <w:pStyle w:val="BodyText"/>
        <w:spacing w:line="276" w:lineRule="auto" w:before="241"/>
        <w:ind w:left="616" w:right="136"/>
        <w:jc w:val="both"/>
      </w:pPr>
      <w:r>
        <w:rPr/>
        <w:t>Tryptophan is a precursor to the neurotransmitter and happiness hormones 'serotonin', tyrosine and phenylalanine supply the body with a benzene ring responsible</w:t>
      </w:r>
      <w:r>
        <w:rPr>
          <w:spacing w:val="-21"/>
        </w:rPr>
        <w:t> </w:t>
      </w:r>
      <w:r>
        <w:rPr/>
        <w:t>for</w:t>
      </w:r>
      <w:r>
        <w:rPr>
          <w:spacing w:val="-19"/>
        </w:rPr>
        <w:t> </w:t>
      </w:r>
      <w:r>
        <w:rPr/>
        <w:t>the</w:t>
      </w:r>
      <w:r>
        <w:rPr>
          <w:spacing w:val="-20"/>
        </w:rPr>
        <w:t> </w:t>
      </w:r>
      <w:r>
        <w:rPr/>
        <w:t>synthesis</w:t>
      </w:r>
      <w:r>
        <w:rPr>
          <w:spacing w:val="-20"/>
        </w:rPr>
        <w:t> </w:t>
      </w:r>
      <w:r>
        <w:rPr/>
        <w:t>of</w:t>
      </w:r>
      <w:r>
        <w:rPr>
          <w:spacing w:val="-20"/>
        </w:rPr>
        <w:t> </w:t>
      </w:r>
      <w:r>
        <w:rPr/>
        <w:t>epinephrine,</w:t>
      </w:r>
      <w:r>
        <w:rPr>
          <w:spacing w:val="-19"/>
        </w:rPr>
        <w:t> </w:t>
      </w:r>
      <w:r>
        <w:rPr/>
        <w:t>norepinephrine</w:t>
      </w:r>
      <w:r>
        <w:rPr>
          <w:spacing w:val="-19"/>
        </w:rPr>
        <w:t> </w:t>
      </w:r>
      <w:r>
        <w:rPr/>
        <w:t>and</w:t>
      </w:r>
      <w:r>
        <w:rPr>
          <w:spacing w:val="-20"/>
        </w:rPr>
        <w:t> </w:t>
      </w:r>
      <w:r>
        <w:rPr/>
        <w:t>dopamine.</w:t>
      </w:r>
      <w:r>
        <w:rPr>
          <w:spacing w:val="-19"/>
        </w:rPr>
        <w:t> </w:t>
      </w:r>
      <w:r>
        <w:rPr/>
        <w:t>In addition,</w:t>
      </w:r>
      <w:r>
        <w:rPr>
          <w:spacing w:val="-19"/>
        </w:rPr>
        <w:t> </w:t>
      </w:r>
      <w:r>
        <w:rPr/>
        <w:t>minerals</w:t>
      </w:r>
      <w:r>
        <w:rPr>
          <w:spacing w:val="-20"/>
        </w:rPr>
        <w:t> </w:t>
      </w:r>
      <w:r>
        <w:rPr/>
        <w:t>such</w:t>
      </w:r>
      <w:r>
        <w:rPr>
          <w:spacing w:val="-18"/>
        </w:rPr>
        <w:t> </w:t>
      </w:r>
      <w:r>
        <w:rPr/>
        <w:t>as</w:t>
      </w:r>
      <w:r>
        <w:rPr>
          <w:spacing w:val="-20"/>
        </w:rPr>
        <w:t> </w:t>
      </w:r>
      <w:r>
        <w:rPr/>
        <w:t>calcium</w:t>
      </w:r>
      <w:r>
        <w:rPr>
          <w:spacing w:val="-19"/>
        </w:rPr>
        <w:t> </w:t>
      </w:r>
      <w:r>
        <w:rPr/>
        <w:t>and</w:t>
      </w:r>
      <w:r>
        <w:rPr>
          <w:spacing w:val="-20"/>
        </w:rPr>
        <w:t> </w:t>
      </w:r>
      <w:r>
        <w:rPr/>
        <w:t>magnesium</w:t>
      </w:r>
      <w:r>
        <w:rPr>
          <w:spacing w:val="-20"/>
        </w:rPr>
        <w:t> </w:t>
      </w:r>
      <w:r>
        <w:rPr/>
        <w:t>break</w:t>
      </w:r>
      <w:r>
        <w:rPr>
          <w:spacing w:val="-19"/>
        </w:rPr>
        <w:t> </w:t>
      </w:r>
      <w:r>
        <w:rPr/>
        <w:t>down</w:t>
      </w:r>
      <w:r>
        <w:rPr>
          <w:spacing w:val="-19"/>
        </w:rPr>
        <w:t> </w:t>
      </w:r>
      <w:r>
        <w:rPr/>
        <w:t>the</w:t>
      </w:r>
      <w:r>
        <w:rPr>
          <w:spacing w:val="-18"/>
        </w:rPr>
        <w:t> </w:t>
      </w:r>
      <w:r>
        <w:rPr/>
        <w:t>stress</w:t>
      </w:r>
      <w:r>
        <w:rPr>
          <w:spacing w:val="-19"/>
        </w:rPr>
        <w:t> </w:t>
      </w:r>
      <w:r>
        <w:rPr/>
        <w:t>acids.</w:t>
      </w:r>
    </w:p>
    <w:p>
      <w:pPr>
        <w:pStyle w:val="BodyText"/>
        <w:spacing w:line="276" w:lineRule="auto" w:before="242"/>
        <w:ind w:left="616" w:right="132"/>
        <w:jc w:val="both"/>
      </w:pPr>
      <w:r>
        <w:rPr/>
        <w:t>All</w:t>
      </w:r>
      <w:r>
        <w:rPr>
          <w:spacing w:val="-26"/>
        </w:rPr>
        <w:t> </w:t>
      </w:r>
      <w:r>
        <w:rPr/>
        <w:t>these</w:t>
      </w:r>
      <w:r>
        <w:rPr>
          <w:spacing w:val="-23"/>
        </w:rPr>
        <w:t> </w:t>
      </w:r>
      <w:r>
        <w:rPr/>
        <w:t>substances,</w:t>
      </w:r>
      <w:r>
        <w:rPr>
          <w:spacing w:val="-23"/>
        </w:rPr>
        <w:t> </w:t>
      </w:r>
      <w:r>
        <w:rPr/>
        <w:t>in</w:t>
      </w:r>
      <w:r>
        <w:rPr>
          <w:spacing w:val="-26"/>
        </w:rPr>
        <w:t> </w:t>
      </w:r>
      <w:r>
        <w:rPr/>
        <w:t>the</w:t>
      </w:r>
      <w:r>
        <w:rPr>
          <w:spacing w:val="-26"/>
        </w:rPr>
        <w:t> </w:t>
      </w:r>
      <w:r>
        <w:rPr/>
        <w:t>right</w:t>
      </w:r>
      <w:r>
        <w:rPr>
          <w:spacing w:val="-27"/>
        </w:rPr>
        <w:t> </w:t>
      </w:r>
      <w:r>
        <w:rPr/>
        <w:t>proportions</w:t>
      </w:r>
      <w:r>
        <w:rPr>
          <w:spacing w:val="-25"/>
        </w:rPr>
        <w:t> </w:t>
      </w:r>
      <w:r>
        <w:rPr/>
        <w:t>to</w:t>
      </w:r>
      <w:r>
        <w:rPr>
          <w:spacing w:val="-26"/>
        </w:rPr>
        <w:t> </w:t>
      </w:r>
      <w:r>
        <w:rPr/>
        <w:t>each</w:t>
      </w:r>
      <w:r>
        <w:rPr>
          <w:spacing w:val="-23"/>
        </w:rPr>
        <w:t> </w:t>
      </w:r>
      <w:r>
        <w:rPr/>
        <w:t>other</w:t>
      </w:r>
      <w:r>
        <w:rPr>
          <w:spacing w:val="-24"/>
        </w:rPr>
        <w:t> </w:t>
      </w:r>
      <w:r>
        <w:rPr/>
        <w:t>and</w:t>
      </w:r>
      <w:r>
        <w:rPr>
          <w:spacing w:val="-26"/>
        </w:rPr>
        <w:t> </w:t>
      </w:r>
      <w:r>
        <w:rPr/>
        <w:t>with</w:t>
      </w:r>
      <w:r>
        <w:rPr>
          <w:spacing w:val="-23"/>
        </w:rPr>
        <w:t> </w:t>
      </w:r>
      <w:r>
        <w:rPr/>
        <w:t>the</w:t>
      </w:r>
      <w:r>
        <w:rPr>
          <w:spacing w:val="-25"/>
        </w:rPr>
        <w:t> </w:t>
      </w:r>
      <w:r>
        <w:rPr/>
        <w:t>highest bioavailability in spirulina platensis, are important building blocks in the pre- vention and avoidance of</w:t>
      </w:r>
      <w:r>
        <w:rPr>
          <w:spacing w:val="2"/>
        </w:rPr>
        <w:t> </w:t>
      </w:r>
      <w:r>
        <w:rPr/>
        <w:t>depression.</w:t>
      </w:r>
    </w:p>
    <w:p>
      <w:pPr>
        <w:pStyle w:val="Heading1"/>
        <w:spacing w:before="222"/>
        <w:ind w:left="616"/>
        <w:jc w:val="both"/>
      </w:pPr>
      <w:r>
        <w:rPr/>
        <w:t>Effect of spirulina against AIDS</w:t>
      </w:r>
    </w:p>
    <w:p>
      <w:pPr>
        <w:spacing w:line="276" w:lineRule="auto" w:before="299"/>
        <w:ind w:left="616" w:right="137" w:firstLine="0"/>
        <w:jc w:val="both"/>
        <w:rPr>
          <w:sz w:val="38"/>
        </w:rPr>
      </w:pPr>
      <w:r>
        <w:rPr>
          <w:sz w:val="38"/>
        </w:rPr>
        <w:t>In</w:t>
      </w:r>
      <w:r>
        <w:rPr>
          <w:spacing w:val="-24"/>
          <w:sz w:val="38"/>
        </w:rPr>
        <w:t> </w:t>
      </w:r>
      <w:r>
        <w:rPr>
          <w:sz w:val="38"/>
        </w:rPr>
        <w:t>her</w:t>
      </w:r>
      <w:r>
        <w:rPr>
          <w:spacing w:val="-27"/>
          <w:sz w:val="38"/>
        </w:rPr>
        <w:t> </w:t>
      </w:r>
      <w:r>
        <w:rPr>
          <w:sz w:val="38"/>
        </w:rPr>
        <w:t>book</w:t>
      </w:r>
      <w:r>
        <w:rPr>
          <w:spacing w:val="-24"/>
          <w:sz w:val="38"/>
        </w:rPr>
        <w:t> </w:t>
      </w:r>
      <w:r>
        <w:rPr>
          <w:i/>
          <w:sz w:val="38"/>
        </w:rPr>
        <w:t>‘Spirulina</w:t>
      </w:r>
      <w:r>
        <w:rPr>
          <w:i/>
          <w:spacing w:val="-25"/>
          <w:sz w:val="38"/>
        </w:rPr>
        <w:t> </w:t>
      </w:r>
      <w:r>
        <w:rPr>
          <w:i/>
          <w:sz w:val="38"/>
        </w:rPr>
        <w:t>–</w:t>
      </w:r>
      <w:r>
        <w:rPr>
          <w:i/>
          <w:spacing w:val="-25"/>
          <w:sz w:val="38"/>
        </w:rPr>
        <w:t> </w:t>
      </w:r>
      <w:r>
        <w:rPr>
          <w:i/>
          <w:sz w:val="38"/>
        </w:rPr>
        <w:t>die</w:t>
      </w:r>
      <w:r>
        <w:rPr>
          <w:i/>
          <w:spacing w:val="-25"/>
          <w:sz w:val="38"/>
        </w:rPr>
        <w:t> </w:t>
      </w:r>
      <w:r>
        <w:rPr>
          <w:i/>
          <w:sz w:val="38"/>
        </w:rPr>
        <w:t>blaugrüne</w:t>
      </w:r>
      <w:r>
        <w:rPr>
          <w:i/>
          <w:spacing w:val="-25"/>
          <w:sz w:val="38"/>
        </w:rPr>
        <w:t> </w:t>
      </w:r>
      <w:r>
        <w:rPr>
          <w:i/>
          <w:sz w:val="38"/>
        </w:rPr>
        <w:t>Wundernahrung’</w:t>
      </w:r>
      <w:r>
        <w:rPr>
          <w:i/>
          <w:spacing w:val="-21"/>
          <w:sz w:val="38"/>
        </w:rPr>
        <w:t> </w:t>
      </w:r>
      <w:r>
        <w:rPr>
          <w:sz w:val="38"/>
        </w:rPr>
        <w:t>('Spirulina</w:t>
      </w:r>
      <w:r>
        <w:rPr>
          <w:spacing w:val="-23"/>
          <w:sz w:val="38"/>
        </w:rPr>
        <w:t> </w:t>
      </w:r>
      <w:r>
        <w:rPr>
          <w:sz w:val="38"/>
        </w:rPr>
        <w:t>–</w:t>
      </w:r>
      <w:r>
        <w:rPr>
          <w:spacing w:val="-24"/>
          <w:sz w:val="38"/>
        </w:rPr>
        <w:t> </w:t>
      </w:r>
      <w:r>
        <w:rPr>
          <w:sz w:val="38"/>
        </w:rPr>
        <w:t>the</w:t>
      </w:r>
      <w:r>
        <w:rPr>
          <w:spacing w:val="-26"/>
          <w:sz w:val="38"/>
        </w:rPr>
        <w:t> </w:t>
      </w:r>
      <w:r>
        <w:rPr>
          <w:sz w:val="38"/>
        </w:rPr>
        <w:t>Blue-Green Miracle Food'), the author Marianne E. Meyer mentions several studies in which spirulina platensis has shown success in</w:t>
      </w:r>
      <w:r>
        <w:rPr>
          <w:spacing w:val="2"/>
          <w:sz w:val="38"/>
        </w:rPr>
        <w:t> </w:t>
      </w:r>
      <w:r>
        <w:rPr>
          <w:sz w:val="38"/>
        </w:rPr>
        <w:t>AIDS:</w:t>
      </w:r>
    </w:p>
    <w:p>
      <w:pPr>
        <w:pStyle w:val="BodyText"/>
        <w:rPr>
          <w:sz w:val="42"/>
        </w:rPr>
      </w:pPr>
    </w:p>
    <w:p>
      <w:pPr>
        <w:pStyle w:val="BodyText"/>
        <w:spacing w:before="8"/>
        <w:rPr>
          <w:sz w:val="42"/>
        </w:rPr>
      </w:pPr>
    </w:p>
    <w:p>
      <w:pPr>
        <w:pStyle w:val="Heading1"/>
        <w:spacing w:before="1"/>
        <w:ind w:left="616"/>
        <w:jc w:val="both"/>
      </w:pPr>
      <w:r>
        <w:rPr/>
        <w:t>Studies confirm the beneficial effects of beta-carotene in AIDS</w:t>
      </w:r>
    </w:p>
    <w:p>
      <w:pPr>
        <w:pStyle w:val="BodyText"/>
        <w:spacing w:line="276" w:lineRule="auto" w:before="299"/>
        <w:ind w:left="616" w:right="134"/>
        <w:jc w:val="both"/>
      </w:pPr>
      <w:r>
        <w:rPr/>
        <w:t>A study under the direction of Dr. Gregg Coodley of the Portland Health</w:t>
      </w:r>
      <w:r>
        <w:rPr>
          <w:spacing w:val="-48"/>
        </w:rPr>
        <w:t> </w:t>
      </w:r>
      <w:r>
        <w:rPr/>
        <w:t>Sci- ence University on 21 AIDS patients, who received 180 mg of beta-carotene for four weeks, saw an increase in CD-4 or oct-4 or T-4 lymphocytes, which all belong to the group of helper cells that fight HIV</w:t>
      </w:r>
      <w:r>
        <w:rPr>
          <w:spacing w:val="-6"/>
        </w:rPr>
        <w:t> </w:t>
      </w:r>
      <w:r>
        <w:rPr/>
        <w:t>viruses.</w:t>
      </w:r>
    </w:p>
    <w:p>
      <w:pPr>
        <w:spacing w:after="0" w:line="276" w:lineRule="auto"/>
        <w:jc w:val="both"/>
        <w:sectPr>
          <w:pgSz w:w="14270" w:h="16850"/>
          <w:pgMar w:header="0" w:footer="1891" w:top="1340" w:bottom="2080" w:left="800" w:right="1280"/>
        </w:sectPr>
      </w:pPr>
    </w:p>
    <w:p>
      <w:pPr>
        <w:pStyle w:val="BodyText"/>
        <w:spacing w:line="276" w:lineRule="auto" w:before="74"/>
        <w:ind w:left="616" w:right="133"/>
        <w:jc w:val="both"/>
      </w:pPr>
      <w:r>
        <w:rPr/>
        <w:t>Another (in vitro) study by the Laboratory of Viral Pathogenesis, Harvard Medical</w:t>
      </w:r>
      <w:r>
        <w:rPr>
          <w:spacing w:val="-12"/>
        </w:rPr>
        <w:t> </w:t>
      </w:r>
      <w:r>
        <w:rPr/>
        <w:t>School,</w:t>
      </w:r>
      <w:r>
        <w:rPr>
          <w:spacing w:val="-12"/>
        </w:rPr>
        <w:t> </w:t>
      </w:r>
      <w:r>
        <w:rPr/>
        <w:t>substantiates</w:t>
      </w:r>
      <w:r>
        <w:rPr>
          <w:spacing w:val="-10"/>
        </w:rPr>
        <w:t> </w:t>
      </w:r>
      <w:r>
        <w:rPr/>
        <w:t>that</w:t>
      </w:r>
      <w:r>
        <w:rPr>
          <w:spacing w:val="-10"/>
        </w:rPr>
        <w:t> </w:t>
      </w:r>
      <w:r>
        <w:rPr/>
        <w:t>a</w:t>
      </w:r>
      <w:r>
        <w:rPr>
          <w:spacing w:val="-11"/>
        </w:rPr>
        <w:t> </w:t>
      </w:r>
      <w:r>
        <w:rPr/>
        <w:t>water-soluble</w:t>
      </w:r>
      <w:r>
        <w:rPr>
          <w:spacing w:val="-7"/>
        </w:rPr>
        <w:t> </w:t>
      </w:r>
      <w:r>
        <w:rPr/>
        <w:t>extract</w:t>
      </w:r>
      <w:r>
        <w:rPr>
          <w:spacing w:val="-10"/>
        </w:rPr>
        <w:t> </w:t>
      </w:r>
      <w:r>
        <w:rPr/>
        <w:t>of</w:t>
      </w:r>
      <w:r>
        <w:rPr>
          <w:spacing w:val="-10"/>
        </w:rPr>
        <w:t> </w:t>
      </w:r>
      <w:r>
        <w:rPr/>
        <w:t>spirulina</w:t>
      </w:r>
      <w:r>
        <w:rPr>
          <w:spacing w:val="-9"/>
        </w:rPr>
        <w:t> </w:t>
      </w:r>
      <w:r>
        <w:rPr/>
        <w:t>platensis inhibits HIV-1 replication in human blood</w:t>
      </w:r>
      <w:r>
        <w:rPr>
          <w:spacing w:val="1"/>
        </w:rPr>
        <w:t> </w:t>
      </w:r>
      <w:r>
        <w:rPr/>
        <w:t>cells.</w:t>
      </w:r>
    </w:p>
    <w:p>
      <w:pPr>
        <w:pStyle w:val="Heading1"/>
        <w:spacing w:before="222"/>
        <w:ind w:left="616"/>
      </w:pPr>
      <w:r>
        <w:rPr/>
        <w:t>Effect of spirulina on allergies and</w:t>
      </w:r>
      <w:r>
        <w:rPr>
          <w:spacing w:val="-65"/>
        </w:rPr>
        <w:t> </w:t>
      </w:r>
      <w:r>
        <w:rPr/>
        <w:t>asthma</w:t>
      </w:r>
    </w:p>
    <w:p>
      <w:pPr>
        <w:pStyle w:val="BodyText"/>
        <w:spacing w:line="278" w:lineRule="auto" w:before="299"/>
        <w:ind w:left="616" w:right="137"/>
        <w:jc w:val="both"/>
      </w:pPr>
      <w:r>
        <w:rPr/>
        <w:t>Histamine</w:t>
      </w:r>
      <w:r>
        <w:rPr>
          <w:spacing w:val="-11"/>
        </w:rPr>
        <w:t> </w:t>
      </w:r>
      <w:r>
        <w:rPr/>
        <w:t>secretion</w:t>
      </w:r>
      <w:r>
        <w:rPr>
          <w:spacing w:val="-11"/>
        </w:rPr>
        <w:t> </w:t>
      </w:r>
      <w:r>
        <w:rPr/>
        <w:t>is</w:t>
      </w:r>
      <w:r>
        <w:rPr>
          <w:spacing w:val="-12"/>
        </w:rPr>
        <w:t> </w:t>
      </w:r>
      <w:r>
        <w:rPr/>
        <w:t>the</w:t>
      </w:r>
      <w:r>
        <w:rPr>
          <w:spacing w:val="-11"/>
        </w:rPr>
        <w:t> </w:t>
      </w:r>
      <w:r>
        <w:rPr/>
        <w:t>main</w:t>
      </w:r>
      <w:r>
        <w:rPr>
          <w:spacing w:val="-11"/>
        </w:rPr>
        <w:t> </w:t>
      </w:r>
      <w:r>
        <w:rPr/>
        <w:t>cause</w:t>
      </w:r>
      <w:r>
        <w:rPr>
          <w:spacing w:val="-12"/>
        </w:rPr>
        <w:t> </w:t>
      </w:r>
      <w:r>
        <w:rPr/>
        <w:t>of</w:t>
      </w:r>
      <w:r>
        <w:rPr>
          <w:spacing w:val="-11"/>
        </w:rPr>
        <w:t> </w:t>
      </w:r>
      <w:r>
        <w:rPr/>
        <w:t>allergic</w:t>
      </w:r>
      <w:r>
        <w:rPr>
          <w:spacing w:val="-11"/>
        </w:rPr>
        <w:t> </w:t>
      </w:r>
      <w:r>
        <w:rPr/>
        <w:t>reactions.</w:t>
      </w:r>
      <w:r>
        <w:rPr>
          <w:spacing w:val="-10"/>
        </w:rPr>
        <w:t> </w:t>
      </w:r>
      <w:r>
        <w:rPr/>
        <w:t>In</w:t>
      </w:r>
      <w:r>
        <w:rPr>
          <w:spacing w:val="-11"/>
        </w:rPr>
        <w:t> </w:t>
      </w:r>
      <w:r>
        <w:rPr/>
        <w:t>studies,</w:t>
      </w:r>
      <w:r>
        <w:rPr>
          <w:spacing w:val="-11"/>
        </w:rPr>
        <w:t> </w:t>
      </w:r>
      <w:r>
        <w:rPr/>
        <w:t>spirulina has reduced histamine release.</w:t>
      </w:r>
    </w:p>
    <w:p>
      <w:pPr>
        <w:pStyle w:val="BodyText"/>
        <w:spacing w:line="276" w:lineRule="auto" w:before="233"/>
        <w:ind w:left="616" w:right="139"/>
        <w:jc w:val="both"/>
        <w:rPr>
          <w:sz w:val="25"/>
        </w:rPr>
      </w:pPr>
      <w:r>
        <w:rPr/>
        <w:t>South Korean researchers have tested the effects of spirulina powder on ana- phylactic reactions, with positive results. 0.5-1 g of spirulina powder per kg of body weight completely suppressed anaphylactic shock.</w:t>
      </w:r>
      <w:r>
        <w:rPr>
          <w:position w:val="9"/>
          <w:sz w:val="25"/>
        </w:rPr>
        <w:t>859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r>
        <w:rPr/>
        <w:pict>
          <v:line style="position:absolute;mso-position-horizontal-relative:page;mso-position-vertical-relative:paragraph;z-index:11912;mso-wrap-distance-left:0;mso-wrap-distance-right:0" from="70.823997pt,15.462515pt" to="214.843997pt,15.462515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859 </w:t>
      </w:r>
      <w:r>
        <w:rPr>
          <w:sz w:val="20"/>
        </w:rPr>
        <w:t>Marianne E. Meyer: Spirulina – Die blaugrüne Wundernahrung ('The Blue-Green Wonder Food'), 1998, p. 60</w:t>
      </w:r>
    </w:p>
    <w:p>
      <w:pPr>
        <w:spacing w:after="0"/>
        <w:jc w:val="left"/>
        <w:rPr>
          <w:sz w:val="20"/>
        </w:rPr>
        <w:sectPr>
          <w:pgSz w:w="14270" w:h="16850"/>
          <w:pgMar w:header="0" w:footer="1891" w:top="1340" w:bottom="2080" w:left="800" w:right="1280"/>
        </w:sectPr>
      </w:pPr>
    </w:p>
    <w:p>
      <w:pPr>
        <w:pStyle w:val="Heading1"/>
        <w:spacing w:before="77"/>
        <w:ind w:left="616"/>
      </w:pPr>
      <w:r>
        <w:rPr/>
        <w:t>Effect of spirulina platensis against neurodermatitis</w:t>
      </w:r>
    </w:p>
    <w:p>
      <w:pPr>
        <w:pStyle w:val="BodyText"/>
        <w:spacing w:line="276" w:lineRule="auto" w:before="299"/>
        <w:ind w:left="616" w:right="137"/>
        <w:jc w:val="both"/>
      </w:pPr>
      <w:r>
        <w:rPr/>
        <w:t>The numerous active ingredients contained in spirulina, especially B vitamins, can restore the mental balance that is disturbed in people suffering from neu- rodermatitis.</w:t>
      </w:r>
    </w:p>
    <w:p>
      <w:pPr>
        <w:pStyle w:val="Heading1"/>
        <w:spacing w:before="222"/>
        <w:ind w:left="616"/>
      </w:pPr>
      <w:r>
        <w:rPr/>
        <w:t>Protective effect of spirulina against</w:t>
      </w:r>
      <w:r>
        <w:rPr>
          <w:spacing w:val="-63"/>
        </w:rPr>
        <w:t> </w:t>
      </w:r>
      <w:r>
        <w:rPr/>
        <w:t>radiation</w:t>
      </w:r>
    </w:p>
    <w:p>
      <w:pPr>
        <w:pStyle w:val="BodyText"/>
        <w:spacing w:line="276" w:lineRule="auto" w:before="299"/>
        <w:ind w:left="616" w:right="135"/>
        <w:jc w:val="both"/>
        <w:rPr>
          <w:sz w:val="25"/>
        </w:rPr>
      </w:pPr>
      <w:r>
        <w:rPr/>
        <w:t>Immediately</w:t>
      </w:r>
      <w:r>
        <w:rPr>
          <w:spacing w:val="-10"/>
        </w:rPr>
        <w:t> </w:t>
      </w:r>
      <w:r>
        <w:rPr/>
        <w:t>after</w:t>
      </w:r>
      <w:r>
        <w:rPr>
          <w:spacing w:val="-12"/>
        </w:rPr>
        <w:t> </w:t>
      </w:r>
      <w:r>
        <w:rPr/>
        <w:t>the</w:t>
      </w:r>
      <w:r>
        <w:rPr>
          <w:spacing w:val="-11"/>
        </w:rPr>
        <w:t> </w:t>
      </w:r>
      <w:r>
        <w:rPr/>
        <w:t>nuclear</w:t>
      </w:r>
      <w:r>
        <w:rPr>
          <w:spacing w:val="-12"/>
        </w:rPr>
        <w:t> </w:t>
      </w:r>
      <w:r>
        <w:rPr/>
        <w:t>disaster</w:t>
      </w:r>
      <w:r>
        <w:rPr>
          <w:spacing w:val="-11"/>
        </w:rPr>
        <w:t> </w:t>
      </w:r>
      <w:r>
        <w:rPr/>
        <w:t>in</w:t>
      </w:r>
      <w:r>
        <w:rPr>
          <w:spacing w:val="-13"/>
        </w:rPr>
        <w:t> </w:t>
      </w:r>
      <w:r>
        <w:rPr/>
        <w:t>Chernobyl,</w:t>
      </w:r>
      <w:r>
        <w:rPr>
          <w:spacing w:val="-11"/>
        </w:rPr>
        <w:t> </w:t>
      </w:r>
      <w:r>
        <w:rPr/>
        <w:t>children</w:t>
      </w:r>
      <w:r>
        <w:rPr>
          <w:spacing w:val="-12"/>
        </w:rPr>
        <w:t> </w:t>
      </w:r>
      <w:r>
        <w:rPr/>
        <w:t>were</w:t>
      </w:r>
      <w:r>
        <w:rPr>
          <w:spacing w:val="-11"/>
        </w:rPr>
        <w:t> </w:t>
      </w:r>
      <w:r>
        <w:rPr/>
        <w:t>treated</w:t>
      </w:r>
      <w:r>
        <w:rPr>
          <w:spacing w:val="-12"/>
        </w:rPr>
        <w:t> </w:t>
      </w:r>
      <w:r>
        <w:rPr/>
        <w:t>very successfully with spirulina algae. A Chinese study on mice demonstrated very impressively</w:t>
      </w:r>
      <w:r>
        <w:rPr>
          <w:spacing w:val="-27"/>
        </w:rPr>
        <w:t> </w:t>
      </w:r>
      <w:r>
        <w:rPr/>
        <w:t>that</w:t>
      </w:r>
      <w:r>
        <w:rPr>
          <w:spacing w:val="-24"/>
        </w:rPr>
        <w:t> </w:t>
      </w:r>
      <w:r>
        <w:rPr/>
        <w:t>taking</w:t>
      </w:r>
      <w:r>
        <w:rPr>
          <w:spacing w:val="-24"/>
        </w:rPr>
        <w:t> </w:t>
      </w:r>
      <w:r>
        <w:rPr/>
        <w:t>a</w:t>
      </w:r>
      <w:r>
        <w:rPr>
          <w:spacing w:val="-27"/>
        </w:rPr>
        <w:t> </w:t>
      </w:r>
      <w:r>
        <w:rPr/>
        <w:t>polysaccharide</w:t>
      </w:r>
      <w:r>
        <w:rPr>
          <w:spacing w:val="-25"/>
        </w:rPr>
        <w:t> </w:t>
      </w:r>
      <w:r>
        <w:rPr/>
        <w:t>extract</w:t>
      </w:r>
      <w:r>
        <w:rPr>
          <w:spacing w:val="-26"/>
        </w:rPr>
        <w:t> </w:t>
      </w:r>
      <w:r>
        <w:rPr/>
        <w:t>from</w:t>
      </w:r>
      <w:r>
        <w:rPr>
          <w:spacing w:val="-24"/>
        </w:rPr>
        <w:t> </w:t>
      </w:r>
      <w:r>
        <w:rPr/>
        <w:t>spirulina</w:t>
      </w:r>
      <w:r>
        <w:rPr>
          <w:spacing w:val="-26"/>
        </w:rPr>
        <w:t> </w:t>
      </w:r>
      <w:r>
        <w:rPr/>
        <w:t>has</w:t>
      </w:r>
      <w:r>
        <w:rPr>
          <w:spacing w:val="-22"/>
        </w:rPr>
        <w:t> </w:t>
      </w:r>
      <w:r>
        <w:rPr/>
        <w:t>a</w:t>
      </w:r>
      <w:r>
        <w:rPr>
          <w:spacing w:val="-27"/>
        </w:rPr>
        <w:t> </w:t>
      </w:r>
      <w:r>
        <w:rPr/>
        <w:t>significant protective</w:t>
      </w:r>
      <w:r>
        <w:rPr>
          <w:spacing w:val="-13"/>
        </w:rPr>
        <w:t> </w:t>
      </w:r>
      <w:r>
        <w:rPr/>
        <w:t>effect</w:t>
      </w:r>
      <w:r>
        <w:rPr>
          <w:spacing w:val="-12"/>
        </w:rPr>
        <w:t> </w:t>
      </w:r>
      <w:r>
        <w:rPr/>
        <w:t>against</w:t>
      </w:r>
      <w:r>
        <w:rPr>
          <w:spacing w:val="-13"/>
        </w:rPr>
        <w:t> </w:t>
      </w:r>
      <w:r>
        <w:rPr/>
        <w:t>gamma</w:t>
      </w:r>
      <w:r>
        <w:rPr>
          <w:spacing w:val="-12"/>
        </w:rPr>
        <w:t> </w:t>
      </w:r>
      <w:r>
        <w:rPr/>
        <w:t>rays,</w:t>
      </w:r>
      <w:r>
        <w:rPr>
          <w:spacing w:val="-12"/>
        </w:rPr>
        <w:t> </w:t>
      </w:r>
      <w:r>
        <w:rPr/>
        <w:t>which</w:t>
      </w:r>
      <w:r>
        <w:rPr>
          <w:spacing w:val="-12"/>
        </w:rPr>
        <w:t> </w:t>
      </w:r>
      <w:r>
        <w:rPr/>
        <w:t>is</w:t>
      </w:r>
      <w:r>
        <w:rPr>
          <w:spacing w:val="-15"/>
        </w:rPr>
        <w:t> </w:t>
      </w:r>
      <w:r>
        <w:rPr/>
        <w:t>probably</w:t>
      </w:r>
      <w:r>
        <w:rPr>
          <w:spacing w:val="-13"/>
        </w:rPr>
        <w:t> </w:t>
      </w:r>
      <w:r>
        <w:rPr/>
        <w:t>due</w:t>
      </w:r>
      <w:r>
        <w:rPr>
          <w:spacing w:val="-14"/>
        </w:rPr>
        <w:t> </w:t>
      </w:r>
      <w:r>
        <w:rPr/>
        <w:t>to</w:t>
      </w:r>
      <w:r>
        <w:rPr>
          <w:spacing w:val="-12"/>
        </w:rPr>
        <w:t> </w:t>
      </w:r>
      <w:r>
        <w:rPr/>
        <w:t>the</w:t>
      </w:r>
      <w:r>
        <w:rPr>
          <w:spacing w:val="-15"/>
        </w:rPr>
        <w:t> </w:t>
      </w:r>
      <w:r>
        <w:rPr/>
        <w:t>stabilisation of the</w:t>
      </w:r>
      <w:r>
        <w:rPr>
          <w:spacing w:val="2"/>
        </w:rPr>
        <w:t> </w:t>
      </w:r>
      <w:r>
        <w:rPr/>
        <w:t>DNA.</w:t>
      </w:r>
      <w:r>
        <w:rPr>
          <w:position w:val="9"/>
          <w:sz w:val="25"/>
        </w:rPr>
        <w:t>860</w:t>
      </w:r>
    </w:p>
    <w:p>
      <w:pPr>
        <w:pStyle w:val="Heading1"/>
        <w:spacing w:before="223"/>
        <w:ind w:left="616"/>
      </w:pPr>
      <w:r>
        <w:rPr/>
        <w:t>Spirulina counteracts ageing</w:t>
      </w:r>
    </w:p>
    <w:p>
      <w:pPr>
        <w:pStyle w:val="BodyText"/>
        <w:spacing w:line="276" w:lineRule="auto" w:before="299"/>
        <w:ind w:left="616" w:right="130"/>
        <w:jc w:val="both"/>
        <w:rPr>
          <w:sz w:val="25"/>
        </w:rPr>
      </w:pPr>
      <w:r>
        <w:rPr/>
        <w:t>Ageing is mainly caused by the free radicals that attack our body cells about 10,000 times per day. Another crucial aspect of ageing is the shortening of so- called telomeres. The attacks of aggressive radicals are intercepted by a highly effective network of antioxidants, including perhaps the most potent one, su- peroxide dismutase. Other substances, such as omega-3 fatty acids, have been shown to protect our telomeres on the chromosomes in studies, protecting them from shortening.</w:t>
      </w:r>
      <w:r>
        <w:rPr>
          <w:position w:val="9"/>
          <w:sz w:val="25"/>
        </w:rPr>
        <w:t>861</w:t>
      </w:r>
    </w:p>
    <w:p>
      <w:pPr>
        <w:pStyle w:val="BodyText"/>
        <w:spacing w:before="241"/>
        <w:ind w:left="616"/>
        <w:jc w:val="both"/>
      </w:pPr>
      <w:r>
        <w:rPr/>
        <w:t>Spirulina increases endurance and promotes fat burning</w:t>
      </w:r>
    </w:p>
    <w:p>
      <w:pPr>
        <w:pStyle w:val="BodyText"/>
        <w:rPr>
          <w:sz w:val="20"/>
        </w:rPr>
      </w:pPr>
    </w:p>
    <w:p>
      <w:pPr>
        <w:pStyle w:val="BodyText"/>
        <w:rPr>
          <w:sz w:val="13"/>
        </w:rPr>
      </w:pPr>
      <w:r>
        <w:rPr/>
        <w:pict>
          <v:line style="position:absolute;mso-position-horizontal-relative:page;mso-position-vertical-relative:paragraph;z-index:11936;mso-wrap-distance-left:0;mso-wrap-distance-right:0" from="70.823997pt,9.696235pt" to="214.843997pt,9.696235pt" stroked="true" strokeweight=".72003pt" strokecolor="#000000">
            <v:stroke dashstyle="solid"/>
            <w10:wrap type="topAndBottom"/>
          </v:line>
        </w:pict>
      </w:r>
    </w:p>
    <w:p>
      <w:pPr>
        <w:pStyle w:val="BodyText"/>
        <w:spacing w:before="7"/>
        <w:rPr>
          <w:sz w:val="18"/>
        </w:rPr>
      </w:pPr>
    </w:p>
    <w:p>
      <w:pPr>
        <w:spacing w:line="273" w:lineRule="auto" w:before="99"/>
        <w:ind w:left="616" w:right="0" w:firstLine="0"/>
        <w:jc w:val="left"/>
        <w:rPr>
          <w:sz w:val="20"/>
        </w:rPr>
      </w:pPr>
      <w:r>
        <w:rPr>
          <w:position w:val="5"/>
          <w:sz w:val="13"/>
        </w:rPr>
        <w:t>860 </w:t>
      </w:r>
      <w:r>
        <w:rPr>
          <w:sz w:val="20"/>
        </w:rPr>
        <w:t>Qishen, P. et al.: Radioprotective effect of extract from spirulina platensis in mouse bone marrow cells studied by using the micronucleus test. Toxicolog Ltt. 48</w:t>
      </w:r>
    </w:p>
    <w:p>
      <w:pPr>
        <w:spacing w:before="63"/>
        <w:ind w:left="616" w:right="0" w:firstLine="0"/>
        <w:jc w:val="left"/>
        <w:rPr>
          <w:sz w:val="20"/>
        </w:rPr>
      </w:pPr>
      <w:r>
        <w:rPr>
          <w:position w:val="5"/>
          <w:sz w:val="13"/>
        </w:rPr>
        <w:t>861 </w:t>
      </w:r>
      <w:r>
        <w:rPr>
          <w:sz w:val="20"/>
        </w:rPr>
        <w:t>Farzaneh-Far R. et al. JAMA, January 3, 2010, 303 (3), pp. 250-257</w:t>
      </w:r>
    </w:p>
    <w:p>
      <w:pPr>
        <w:spacing w:after="0"/>
        <w:jc w:val="left"/>
        <w:rPr>
          <w:sz w:val="20"/>
        </w:rPr>
        <w:sectPr>
          <w:footerReference w:type="default" r:id="rId366"/>
          <w:pgSz w:w="14270" w:h="16850"/>
          <w:pgMar w:footer="1891" w:header="0" w:top="1320" w:bottom="2080" w:left="800" w:right="1280"/>
          <w:pgNumType w:start="1550"/>
        </w:sectPr>
      </w:pPr>
    </w:p>
    <w:p>
      <w:pPr>
        <w:pStyle w:val="BodyText"/>
        <w:spacing w:line="276" w:lineRule="auto" w:before="72"/>
        <w:ind w:left="616" w:right="135"/>
        <w:jc w:val="both"/>
        <w:rPr>
          <w:sz w:val="25"/>
        </w:rPr>
      </w:pPr>
      <w:r>
        <w:rPr/>
        <w:t>According</w:t>
      </w:r>
      <w:r>
        <w:rPr>
          <w:spacing w:val="-11"/>
        </w:rPr>
        <w:t> </w:t>
      </w:r>
      <w:r>
        <w:rPr/>
        <w:t>to</w:t>
      </w:r>
      <w:r>
        <w:rPr>
          <w:spacing w:val="-11"/>
        </w:rPr>
        <w:t> </w:t>
      </w:r>
      <w:r>
        <w:rPr/>
        <w:t>a</w:t>
      </w:r>
      <w:r>
        <w:rPr>
          <w:spacing w:val="-13"/>
        </w:rPr>
        <w:t> </w:t>
      </w:r>
      <w:r>
        <w:rPr/>
        <w:t>study</w:t>
      </w:r>
      <w:r>
        <w:rPr>
          <w:spacing w:val="-11"/>
        </w:rPr>
        <w:t> </w:t>
      </w:r>
      <w:r>
        <w:rPr/>
        <w:t>published</w:t>
      </w:r>
      <w:r>
        <w:rPr>
          <w:spacing w:val="-11"/>
        </w:rPr>
        <w:t> </w:t>
      </w:r>
      <w:r>
        <w:rPr/>
        <w:t>in</w:t>
      </w:r>
      <w:r>
        <w:rPr>
          <w:spacing w:val="-11"/>
        </w:rPr>
        <w:t> </w:t>
      </w:r>
      <w:r>
        <w:rPr/>
        <w:t>the</w:t>
      </w:r>
      <w:r>
        <w:rPr>
          <w:spacing w:val="-11"/>
        </w:rPr>
        <w:t> </w:t>
      </w:r>
      <w:r>
        <w:rPr/>
        <w:t>magazine</w:t>
      </w:r>
      <w:r>
        <w:rPr>
          <w:spacing w:val="-10"/>
        </w:rPr>
        <w:t> </w:t>
      </w:r>
      <w:r>
        <w:rPr>
          <w:i/>
        </w:rPr>
        <w:t>Medicine</w:t>
      </w:r>
      <w:r>
        <w:rPr>
          <w:i/>
          <w:spacing w:val="-12"/>
        </w:rPr>
        <w:t> </w:t>
      </w:r>
      <w:r>
        <w:rPr>
          <w:i/>
        </w:rPr>
        <w:t>and</w:t>
      </w:r>
      <w:r>
        <w:rPr>
          <w:i/>
          <w:spacing w:val="-12"/>
        </w:rPr>
        <w:t> </w:t>
      </w:r>
      <w:r>
        <w:rPr>
          <w:i/>
        </w:rPr>
        <w:t>Science</w:t>
      </w:r>
      <w:r>
        <w:rPr>
          <w:i/>
          <w:spacing w:val="-11"/>
        </w:rPr>
        <w:t> </w:t>
      </w:r>
      <w:r>
        <w:rPr>
          <w:i/>
        </w:rPr>
        <w:t>in</w:t>
      </w:r>
      <w:r>
        <w:rPr>
          <w:i/>
          <w:spacing w:val="-11"/>
        </w:rPr>
        <w:t> </w:t>
      </w:r>
      <w:r>
        <w:rPr>
          <w:i/>
        </w:rPr>
        <w:t>Sports</w:t>
      </w:r>
      <w:r>
        <w:rPr>
          <w:i/>
          <w:spacing w:val="-12"/>
        </w:rPr>
        <w:t> </w:t>
      </w:r>
      <w:r>
        <w:rPr>
          <w:i/>
        </w:rPr>
        <w:t>and </w:t>
      </w:r>
      <w:r>
        <w:rPr>
          <w:i/>
        </w:rPr>
        <w:t>Exercise</w:t>
      </w:r>
      <w:r>
        <w:rPr/>
        <w:t>, the consumption of spirulina significantly increased endurance per- formance in the test subjects when compared to the placebo group. In the study,</w:t>
      </w:r>
      <w:r>
        <w:rPr>
          <w:spacing w:val="-16"/>
        </w:rPr>
        <w:t> </w:t>
      </w:r>
      <w:r>
        <w:rPr/>
        <w:t>nine</w:t>
      </w:r>
      <w:r>
        <w:rPr>
          <w:spacing w:val="-15"/>
        </w:rPr>
        <w:t> </w:t>
      </w:r>
      <w:r>
        <w:rPr/>
        <w:t>men</w:t>
      </w:r>
      <w:r>
        <w:rPr>
          <w:spacing w:val="-19"/>
        </w:rPr>
        <w:t> </w:t>
      </w:r>
      <w:r>
        <w:rPr/>
        <w:t>were</w:t>
      </w:r>
      <w:r>
        <w:rPr>
          <w:spacing w:val="-15"/>
        </w:rPr>
        <w:t> </w:t>
      </w:r>
      <w:r>
        <w:rPr/>
        <w:t>given</w:t>
      </w:r>
      <w:r>
        <w:rPr>
          <w:spacing w:val="-16"/>
        </w:rPr>
        <w:t> </w:t>
      </w:r>
      <w:r>
        <w:rPr/>
        <w:t>spirulina</w:t>
      </w:r>
      <w:r>
        <w:rPr>
          <w:spacing w:val="-16"/>
        </w:rPr>
        <w:t> </w:t>
      </w:r>
      <w:r>
        <w:rPr/>
        <w:t>for</w:t>
      </w:r>
      <w:r>
        <w:rPr>
          <w:spacing w:val="-14"/>
        </w:rPr>
        <w:t> </w:t>
      </w:r>
      <w:r>
        <w:rPr/>
        <w:t>a</w:t>
      </w:r>
      <w:r>
        <w:rPr>
          <w:spacing w:val="-17"/>
        </w:rPr>
        <w:t> </w:t>
      </w:r>
      <w:r>
        <w:rPr/>
        <w:t>month</w:t>
      </w:r>
      <w:r>
        <w:rPr>
          <w:spacing w:val="-19"/>
        </w:rPr>
        <w:t> </w:t>
      </w:r>
      <w:r>
        <w:rPr/>
        <w:t>and</w:t>
      </w:r>
      <w:r>
        <w:rPr>
          <w:spacing w:val="-15"/>
        </w:rPr>
        <w:t> </w:t>
      </w:r>
      <w:r>
        <w:rPr/>
        <w:t>a</w:t>
      </w:r>
      <w:r>
        <w:rPr>
          <w:spacing w:val="-18"/>
        </w:rPr>
        <w:t> </w:t>
      </w:r>
      <w:r>
        <w:rPr/>
        <w:t>further</w:t>
      </w:r>
      <w:r>
        <w:rPr>
          <w:spacing w:val="-14"/>
        </w:rPr>
        <w:t> </w:t>
      </w:r>
      <w:r>
        <w:rPr/>
        <w:t>nine</w:t>
      </w:r>
      <w:r>
        <w:rPr>
          <w:spacing w:val="-17"/>
        </w:rPr>
        <w:t> </w:t>
      </w:r>
      <w:r>
        <w:rPr/>
        <w:t>were</w:t>
      </w:r>
      <w:r>
        <w:rPr>
          <w:spacing w:val="-15"/>
        </w:rPr>
        <w:t> </w:t>
      </w:r>
      <w:r>
        <w:rPr/>
        <w:t>given a placebo; both groups took part in two hours of running training on a tread- mill at 70-75 % and 90 % of VO2 until exhaustion. In the spirulina group, recovery</w:t>
      </w:r>
      <w:r>
        <w:rPr>
          <w:spacing w:val="-11"/>
        </w:rPr>
        <w:t> </w:t>
      </w:r>
      <w:r>
        <w:rPr/>
        <w:t>time</w:t>
      </w:r>
      <w:r>
        <w:rPr>
          <w:spacing w:val="-12"/>
        </w:rPr>
        <w:t> </w:t>
      </w:r>
      <w:r>
        <w:rPr/>
        <w:t>was</w:t>
      </w:r>
      <w:r>
        <w:rPr>
          <w:spacing w:val="-10"/>
        </w:rPr>
        <w:t> </w:t>
      </w:r>
      <w:r>
        <w:rPr/>
        <w:t>shorter,</w:t>
      </w:r>
      <w:r>
        <w:rPr>
          <w:spacing w:val="-12"/>
        </w:rPr>
        <w:t> </w:t>
      </w:r>
      <w:r>
        <w:rPr/>
        <w:t>fat</w:t>
      </w:r>
      <w:r>
        <w:rPr>
          <w:spacing w:val="-12"/>
        </w:rPr>
        <w:t> </w:t>
      </w:r>
      <w:r>
        <w:rPr/>
        <w:t>burning</w:t>
      </w:r>
      <w:r>
        <w:rPr>
          <w:spacing w:val="-11"/>
        </w:rPr>
        <w:t> </w:t>
      </w:r>
      <w:r>
        <w:rPr/>
        <w:t>was</w:t>
      </w:r>
      <w:r>
        <w:rPr>
          <w:spacing w:val="-11"/>
        </w:rPr>
        <w:t> </w:t>
      </w:r>
      <w:r>
        <w:rPr/>
        <w:t>11</w:t>
      </w:r>
      <w:r>
        <w:rPr>
          <w:spacing w:val="-11"/>
        </w:rPr>
        <w:t> </w:t>
      </w:r>
      <w:r>
        <w:rPr/>
        <w:t>%</w:t>
      </w:r>
      <w:r>
        <w:rPr>
          <w:spacing w:val="-12"/>
        </w:rPr>
        <w:t> </w:t>
      </w:r>
      <w:r>
        <w:rPr/>
        <w:t>higher</w:t>
      </w:r>
      <w:r>
        <w:rPr>
          <w:spacing w:val="-10"/>
        </w:rPr>
        <w:t> </w:t>
      </w:r>
      <w:r>
        <w:rPr/>
        <w:t>and</w:t>
      </w:r>
      <w:r>
        <w:rPr>
          <w:spacing w:val="-11"/>
        </w:rPr>
        <w:t> </w:t>
      </w:r>
      <w:r>
        <w:rPr/>
        <w:t>KH</w:t>
      </w:r>
      <w:r>
        <w:rPr>
          <w:spacing w:val="-11"/>
        </w:rPr>
        <w:t> </w:t>
      </w:r>
      <w:r>
        <w:rPr/>
        <w:t>oxidation</w:t>
      </w:r>
      <w:r>
        <w:rPr>
          <w:spacing w:val="-11"/>
        </w:rPr>
        <w:t> </w:t>
      </w:r>
      <w:r>
        <w:rPr/>
        <w:t>was 10</w:t>
      </w:r>
      <w:r>
        <w:rPr>
          <w:spacing w:val="-26"/>
        </w:rPr>
        <w:t> </w:t>
      </w:r>
      <w:r>
        <w:rPr/>
        <w:t>%</w:t>
      </w:r>
      <w:r>
        <w:rPr>
          <w:spacing w:val="-25"/>
        </w:rPr>
        <w:t> </w:t>
      </w:r>
      <w:r>
        <w:rPr/>
        <w:t>higher,</w:t>
      </w:r>
      <w:r>
        <w:rPr>
          <w:spacing w:val="-24"/>
        </w:rPr>
        <w:t> </w:t>
      </w:r>
      <w:r>
        <w:rPr/>
        <w:t>indicating</w:t>
      </w:r>
      <w:r>
        <w:rPr>
          <w:spacing w:val="-25"/>
        </w:rPr>
        <w:t> </w:t>
      </w:r>
      <w:r>
        <w:rPr/>
        <w:t>a</w:t>
      </w:r>
      <w:r>
        <w:rPr>
          <w:spacing w:val="-26"/>
        </w:rPr>
        <w:t> </w:t>
      </w:r>
      <w:r>
        <w:rPr/>
        <w:t>significant</w:t>
      </w:r>
      <w:r>
        <w:rPr>
          <w:spacing w:val="-25"/>
        </w:rPr>
        <w:t> </w:t>
      </w:r>
      <w:r>
        <w:rPr/>
        <w:t>increase</w:t>
      </w:r>
      <w:r>
        <w:rPr>
          <w:spacing w:val="-24"/>
        </w:rPr>
        <w:t> </w:t>
      </w:r>
      <w:r>
        <w:rPr/>
        <w:t>in</w:t>
      </w:r>
      <w:r>
        <w:rPr>
          <w:spacing w:val="-25"/>
        </w:rPr>
        <w:t> </w:t>
      </w:r>
      <w:r>
        <w:rPr/>
        <w:t>performance</w:t>
      </w:r>
      <w:r>
        <w:rPr>
          <w:spacing w:val="-25"/>
        </w:rPr>
        <w:t> </w:t>
      </w:r>
      <w:r>
        <w:rPr/>
        <w:t>due</w:t>
      </w:r>
      <w:r>
        <w:rPr>
          <w:spacing w:val="-26"/>
        </w:rPr>
        <w:t> </w:t>
      </w:r>
      <w:r>
        <w:rPr/>
        <w:t>to</w:t>
      </w:r>
      <w:r>
        <w:rPr>
          <w:spacing w:val="-24"/>
        </w:rPr>
        <w:t> </w:t>
      </w:r>
      <w:r>
        <w:rPr/>
        <w:t>spirulina.</w:t>
      </w:r>
      <w:r>
        <w:rPr>
          <w:position w:val="9"/>
          <w:sz w:val="25"/>
        </w:rPr>
        <w:t>862</w:t>
      </w:r>
    </w:p>
    <w:p>
      <w:pPr>
        <w:pStyle w:val="Heading2"/>
        <w:spacing w:before="243"/>
        <w:ind w:left="616"/>
      </w:pPr>
      <w:r>
        <w:rPr/>
        <w:t>Effect of spirulina against cancer</w:t>
      </w:r>
    </w:p>
    <w:p>
      <w:pPr>
        <w:pStyle w:val="BodyText"/>
        <w:spacing w:line="276" w:lineRule="auto" w:before="303"/>
        <w:ind w:left="616" w:right="137"/>
        <w:jc w:val="both"/>
      </w:pPr>
      <w:r>
        <w:rPr/>
        <w:t>Spirulina contains a formidable amount of active ingredients that have been shown</w:t>
      </w:r>
      <w:r>
        <w:rPr>
          <w:spacing w:val="-17"/>
        </w:rPr>
        <w:t> </w:t>
      </w:r>
      <w:r>
        <w:rPr/>
        <w:t>to</w:t>
      </w:r>
      <w:r>
        <w:rPr>
          <w:spacing w:val="-20"/>
        </w:rPr>
        <w:t> </w:t>
      </w:r>
      <w:r>
        <w:rPr/>
        <w:t>have</w:t>
      </w:r>
      <w:r>
        <w:rPr>
          <w:spacing w:val="-17"/>
        </w:rPr>
        <w:t> </w:t>
      </w:r>
      <w:r>
        <w:rPr/>
        <w:t>anticancer</w:t>
      </w:r>
      <w:r>
        <w:rPr>
          <w:spacing w:val="-17"/>
        </w:rPr>
        <w:t> </w:t>
      </w:r>
      <w:r>
        <w:rPr/>
        <w:t>effects</w:t>
      </w:r>
      <w:r>
        <w:rPr>
          <w:spacing w:val="-19"/>
        </w:rPr>
        <w:t> </w:t>
      </w:r>
      <w:r>
        <w:rPr/>
        <w:t>in</w:t>
      </w:r>
      <w:r>
        <w:rPr>
          <w:spacing w:val="-17"/>
        </w:rPr>
        <w:t> </w:t>
      </w:r>
      <w:r>
        <w:rPr/>
        <w:t>numerous</w:t>
      </w:r>
      <w:r>
        <w:rPr>
          <w:spacing w:val="-20"/>
        </w:rPr>
        <w:t> </w:t>
      </w:r>
      <w:r>
        <w:rPr/>
        <w:t>studies,</w:t>
      </w:r>
      <w:r>
        <w:rPr>
          <w:spacing w:val="-17"/>
        </w:rPr>
        <w:t> </w:t>
      </w:r>
      <w:r>
        <w:rPr/>
        <w:t>including</w:t>
      </w:r>
      <w:r>
        <w:rPr>
          <w:spacing w:val="-18"/>
        </w:rPr>
        <w:t> </w:t>
      </w:r>
      <w:r>
        <w:rPr/>
        <w:t>beta-carotene, selenium, omega-3 fatty acids, phycocyanin and</w:t>
      </w:r>
      <w:r>
        <w:rPr>
          <w:spacing w:val="-1"/>
        </w:rPr>
        <w:t> </w:t>
      </w:r>
      <w:r>
        <w:rPr/>
        <w:t>germanium.</w:t>
      </w:r>
    </w:p>
    <w:p>
      <w:pPr>
        <w:pStyle w:val="BodyText"/>
        <w:spacing w:line="276" w:lineRule="auto" w:before="241"/>
        <w:ind w:left="616" w:right="135"/>
        <w:jc w:val="both"/>
      </w:pPr>
      <w:r>
        <w:rPr/>
        <w:t>Spirulina, and in particular the pigment 'phycocyanin', further supports the production of TNF (Tumour Necrosis Factor), a protein of our immune sys- tem with a cancer-destroying effect. Even Dr. Warburg was able to prove</w:t>
      </w:r>
      <w:r>
        <w:rPr>
          <w:spacing w:val="-50"/>
        </w:rPr>
        <w:t> </w:t>
      </w:r>
      <w:r>
        <w:rPr/>
        <w:t>that cancer</w:t>
      </w:r>
      <w:r>
        <w:rPr>
          <w:spacing w:val="-12"/>
        </w:rPr>
        <w:t> </w:t>
      </w:r>
      <w:r>
        <w:rPr/>
        <w:t>can</w:t>
      </w:r>
      <w:r>
        <w:rPr>
          <w:spacing w:val="-11"/>
        </w:rPr>
        <w:t> </w:t>
      </w:r>
      <w:r>
        <w:rPr/>
        <w:t>only</w:t>
      </w:r>
      <w:r>
        <w:rPr>
          <w:spacing w:val="-16"/>
        </w:rPr>
        <w:t> </w:t>
      </w:r>
      <w:r>
        <w:rPr/>
        <w:t>spread</w:t>
      </w:r>
      <w:r>
        <w:rPr>
          <w:spacing w:val="-13"/>
        </w:rPr>
        <w:t> </w:t>
      </w:r>
      <w:r>
        <w:rPr/>
        <w:t>in</w:t>
      </w:r>
      <w:r>
        <w:rPr>
          <w:spacing w:val="-12"/>
        </w:rPr>
        <w:t> </w:t>
      </w:r>
      <w:r>
        <w:rPr/>
        <w:t>an</w:t>
      </w:r>
      <w:r>
        <w:rPr>
          <w:spacing w:val="-12"/>
        </w:rPr>
        <w:t> </w:t>
      </w:r>
      <w:r>
        <w:rPr/>
        <w:t>acidic</w:t>
      </w:r>
      <w:r>
        <w:rPr>
          <w:spacing w:val="-13"/>
        </w:rPr>
        <w:t> </w:t>
      </w:r>
      <w:r>
        <w:rPr/>
        <w:t>environment.</w:t>
      </w:r>
      <w:r>
        <w:rPr>
          <w:spacing w:val="-14"/>
        </w:rPr>
        <w:t> </w:t>
      </w:r>
      <w:r>
        <w:rPr/>
        <w:t>The</w:t>
      </w:r>
      <w:r>
        <w:rPr>
          <w:spacing w:val="-12"/>
        </w:rPr>
        <w:t> </w:t>
      </w:r>
      <w:r>
        <w:rPr/>
        <w:t>basic</w:t>
      </w:r>
      <w:r>
        <w:rPr>
          <w:spacing w:val="-12"/>
        </w:rPr>
        <w:t> </w:t>
      </w:r>
      <w:r>
        <w:rPr/>
        <w:t>minerals</w:t>
      </w:r>
      <w:r>
        <w:rPr>
          <w:spacing w:val="-13"/>
        </w:rPr>
        <w:t> </w:t>
      </w:r>
      <w:r>
        <w:rPr/>
        <w:t>contained in spirulina, particularly chlorophyll, can successfully bind body acids and reg- ulate the acid-base balance in this</w:t>
      </w:r>
      <w:r>
        <w:rPr>
          <w:spacing w:val="1"/>
        </w:rPr>
        <w:t> </w:t>
      </w:r>
      <w:r>
        <w:rPr/>
        <w:t>way.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0"/>
        </w:rPr>
      </w:pPr>
      <w:r>
        <w:rPr/>
        <w:pict>
          <v:line style="position:absolute;mso-position-horizontal-relative:page;mso-position-vertical-relative:paragraph;z-index:11960;mso-wrap-distance-left:0;mso-wrap-distance-right:0" from="70.823997pt,7.983765pt" to="214.843997pt,7.983765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862 </w:t>
      </w:r>
      <w:r>
        <w:rPr>
          <w:sz w:val="20"/>
        </w:rPr>
        <w:t>Kalafati M. et al.: Ergogenic and antioxidant effects of spirulina supplementation in humans, Med Sci Sports Exerc. 2010 Jan, 42 (1), pp. 142–51.</w:t>
      </w:r>
    </w:p>
    <w:p>
      <w:pPr>
        <w:spacing w:after="0"/>
        <w:jc w:val="left"/>
        <w:rPr>
          <w:sz w:val="20"/>
        </w:rPr>
        <w:sectPr>
          <w:pgSz w:w="14270" w:h="16850"/>
          <w:pgMar w:header="0" w:footer="1891" w:top="1340" w:bottom="2080" w:left="800" w:right="1280"/>
        </w:sectPr>
      </w:pPr>
    </w:p>
    <w:p>
      <w:pPr>
        <w:pStyle w:val="Heading1"/>
        <w:spacing w:before="77"/>
        <w:ind w:left="616"/>
      </w:pPr>
      <w:r>
        <w:rPr/>
        <w:t>The anti-carcinogenic effect of carotene in spirulina</w:t>
      </w:r>
    </w:p>
    <w:p>
      <w:pPr>
        <w:pStyle w:val="BodyText"/>
        <w:spacing w:line="276" w:lineRule="auto" w:before="299"/>
        <w:ind w:left="616" w:right="131"/>
        <w:jc w:val="both"/>
      </w:pPr>
      <w:r>
        <w:rPr/>
        <w:t>The carotene contained in spirulina proliferates the T-helper cells of the im- mune</w:t>
      </w:r>
      <w:r>
        <w:rPr>
          <w:spacing w:val="-14"/>
        </w:rPr>
        <w:t> </w:t>
      </w:r>
      <w:r>
        <w:rPr/>
        <w:t>system,</w:t>
      </w:r>
      <w:r>
        <w:rPr>
          <w:spacing w:val="-13"/>
        </w:rPr>
        <w:t> </w:t>
      </w:r>
      <w:r>
        <w:rPr/>
        <w:t>which</w:t>
      </w:r>
      <w:r>
        <w:rPr>
          <w:spacing w:val="-13"/>
        </w:rPr>
        <w:t> </w:t>
      </w:r>
      <w:r>
        <w:rPr/>
        <w:t>cause</w:t>
      </w:r>
      <w:r>
        <w:rPr>
          <w:spacing w:val="-14"/>
        </w:rPr>
        <w:t> </w:t>
      </w:r>
      <w:r>
        <w:rPr/>
        <w:t>the</w:t>
      </w:r>
      <w:r>
        <w:rPr>
          <w:spacing w:val="-13"/>
        </w:rPr>
        <w:t> </w:t>
      </w:r>
      <w:r>
        <w:rPr/>
        <w:t>release</w:t>
      </w:r>
      <w:r>
        <w:rPr>
          <w:spacing w:val="-14"/>
        </w:rPr>
        <w:t> </w:t>
      </w:r>
      <w:r>
        <w:rPr/>
        <w:t>of</w:t>
      </w:r>
      <w:r>
        <w:rPr>
          <w:spacing w:val="-14"/>
        </w:rPr>
        <w:t> </w:t>
      </w:r>
      <w:r>
        <w:rPr/>
        <w:t>antibodies</w:t>
      </w:r>
      <w:r>
        <w:rPr>
          <w:spacing w:val="-14"/>
        </w:rPr>
        <w:t> </w:t>
      </w:r>
      <w:r>
        <w:rPr/>
        <w:t>and</w:t>
      </w:r>
      <w:r>
        <w:rPr>
          <w:spacing w:val="-13"/>
        </w:rPr>
        <w:t> </w:t>
      </w:r>
      <w:r>
        <w:rPr/>
        <w:t>activate</w:t>
      </w:r>
      <w:r>
        <w:rPr>
          <w:spacing w:val="-14"/>
        </w:rPr>
        <w:t> </w:t>
      </w:r>
      <w:r>
        <w:rPr/>
        <w:t>other</w:t>
      </w:r>
      <w:r>
        <w:rPr>
          <w:spacing w:val="-13"/>
        </w:rPr>
        <w:t> </w:t>
      </w:r>
      <w:r>
        <w:rPr/>
        <w:t>immune cells.</w:t>
      </w:r>
    </w:p>
    <w:p>
      <w:pPr>
        <w:pStyle w:val="Heading1"/>
        <w:spacing w:before="222"/>
        <w:ind w:left="616"/>
        <w:jc w:val="both"/>
      </w:pPr>
      <w:r>
        <w:rPr/>
        <w:t>Effect of selenium on cancer</w:t>
      </w:r>
      <w:r>
        <w:rPr>
          <w:spacing w:val="-51"/>
        </w:rPr>
        <w:t> </w:t>
      </w:r>
      <w:r>
        <w:rPr/>
        <w:t>cells</w:t>
      </w:r>
    </w:p>
    <w:p>
      <w:pPr>
        <w:pStyle w:val="BodyText"/>
        <w:spacing w:before="299"/>
        <w:ind w:left="616"/>
        <w:jc w:val="both"/>
      </w:pPr>
      <w:r>
        <w:rPr/>
        <w:t>Selenium has a multifactorial effect on carcinogenesis:</w:t>
      </w:r>
    </w:p>
    <w:p>
      <w:pPr>
        <w:pStyle w:val="ListParagraph"/>
        <w:numPr>
          <w:ilvl w:val="1"/>
          <w:numId w:val="120"/>
        </w:numPr>
        <w:tabs>
          <w:tab w:pos="1279" w:val="left" w:leader="none"/>
        </w:tabs>
        <w:spacing w:line="240" w:lineRule="auto" w:before="266" w:after="0"/>
        <w:ind w:left="1182" w:right="0" w:hanging="141"/>
        <w:jc w:val="left"/>
        <w:rPr>
          <w:sz w:val="38"/>
        </w:rPr>
      </w:pPr>
      <w:r>
        <w:rPr>
          <w:sz w:val="38"/>
        </w:rPr>
        <w:t>it boosts the immune system,</w:t>
      </w:r>
    </w:p>
    <w:p>
      <w:pPr>
        <w:pStyle w:val="ListParagraph"/>
        <w:numPr>
          <w:ilvl w:val="1"/>
          <w:numId w:val="120"/>
        </w:numPr>
        <w:tabs>
          <w:tab w:pos="1279" w:val="left" w:leader="none"/>
        </w:tabs>
        <w:spacing w:line="240" w:lineRule="auto" w:before="183" w:after="0"/>
        <w:ind w:left="1182" w:right="0" w:hanging="141"/>
        <w:jc w:val="left"/>
        <w:rPr>
          <w:sz w:val="38"/>
        </w:rPr>
      </w:pPr>
      <w:r>
        <w:rPr>
          <w:sz w:val="38"/>
        </w:rPr>
        <w:t>it activates the natural killer cells that attack the cancer</w:t>
      </w:r>
      <w:r>
        <w:rPr>
          <w:spacing w:val="-5"/>
          <w:sz w:val="38"/>
        </w:rPr>
        <w:t> </w:t>
      </w:r>
      <w:r>
        <w:rPr>
          <w:sz w:val="38"/>
        </w:rPr>
        <w:t>cells,</w:t>
      </w:r>
    </w:p>
    <w:p>
      <w:pPr>
        <w:pStyle w:val="ListParagraph"/>
        <w:numPr>
          <w:ilvl w:val="1"/>
          <w:numId w:val="120"/>
        </w:numPr>
        <w:tabs>
          <w:tab w:pos="1279" w:val="left" w:leader="none"/>
        </w:tabs>
        <w:spacing w:line="240" w:lineRule="auto" w:before="184" w:after="0"/>
        <w:ind w:left="1182" w:right="0" w:hanging="141"/>
        <w:jc w:val="left"/>
        <w:rPr>
          <w:sz w:val="38"/>
        </w:rPr>
      </w:pPr>
      <w:r>
        <w:rPr>
          <w:sz w:val="38"/>
        </w:rPr>
        <w:t>it produces other antibodies that eliminate</w:t>
      </w:r>
      <w:r>
        <w:rPr>
          <w:spacing w:val="-4"/>
          <w:sz w:val="38"/>
        </w:rPr>
        <w:t> </w:t>
      </w:r>
      <w:r>
        <w:rPr>
          <w:sz w:val="38"/>
        </w:rPr>
        <w:t>cancer,</w:t>
      </w:r>
    </w:p>
    <w:p>
      <w:pPr>
        <w:pStyle w:val="ListParagraph"/>
        <w:numPr>
          <w:ilvl w:val="1"/>
          <w:numId w:val="120"/>
        </w:numPr>
        <w:tabs>
          <w:tab w:pos="1279" w:val="left" w:leader="none"/>
        </w:tabs>
        <w:spacing w:line="273" w:lineRule="auto" w:before="184" w:after="0"/>
        <w:ind w:left="1182" w:right="143" w:hanging="141"/>
        <w:jc w:val="left"/>
        <w:rPr>
          <w:sz w:val="38"/>
        </w:rPr>
      </w:pPr>
      <w:r>
        <w:rPr>
          <w:sz w:val="38"/>
        </w:rPr>
        <w:t>it lowers the number of surface molecules on the cancer cells and marks them so that the NK cells recognise and attack them,</w:t>
      </w:r>
    </w:p>
    <w:p>
      <w:pPr>
        <w:pStyle w:val="ListParagraph"/>
        <w:numPr>
          <w:ilvl w:val="1"/>
          <w:numId w:val="120"/>
        </w:numPr>
        <w:tabs>
          <w:tab w:pos="1279" w:val="left" w:leader="none"/>
        </w:tabs>
        <w:spacing w:line="240" w:lineRule="auto" w:before="127" w:after="0"/>
        <w:ind w:left="1182" w:right="0" w:hanging="141"/>
        <w:jc w:val="left"/>
        <w:rPr>
          <w:sz w:val="38"/>
        </w:rPr>
      </w:pPr>
      <w:r>
        <w:rPr>
          <w:sz w:val="38"/>
        </w:rPr>
        <w:t>it repairs attacked cells,</w:t>
      </w:r>
    </w:p>
    <w:p>
      <w:pPr>
        <w:pStyle w:val="ListParagraph"/>
        <w:numPr>
          <w:ilvl w:val="1"/>
          <w:numId w:val="120"/>
        </w:numPr>
        <w:tabs>
          <w:tab w:pos="1279" w:val="left" w:leader="none"/>
        </w:tabs>
        <w:spacing w:line="240" w:lineRule="auto" w:before="186" w:after="0"/>
        <w:ind w:left="1182" w:right="0" w:hanging="141"/>
        <w:jc w:val="left"/>
        <w:rPr>
          <w:sz w:val="38"/>
        </w:rPr>
      </w:pPr>
      <w:r>
        <w:rPr>
          <w:sz w:val="38"/>
        </w:rPr>
        <w:t>it supports apoptosis, i.e. programmed cell death in degenerated</w:t>
      </w:r>
      <w:r>
        <w:rPr>
          <w:spacing w:val="-15"/>
          <w:sz w:val="38"/>
        </w:rPr>
        <w:t> </w:t>
      </w:r>
      <w:r>
        <w:rPr>
          <w:sz w:val="38"/>
        </w:rPr>
        <w:t>cells,</w:t>
      </w:r>
    </w:p>
    <w:p>
      <w:pPr>
        <w:pStyle w:val="ListParagraph"/>
        <w:numPr>
          <w:ilvl w:val="1"/>
          <w:numId w:val="120"/>
        </w:numPr>
        <w:tabs>
          <w:tab w:pos="1279" w:val="left" w:leader="none"/>
        </w:tabs>
        <w:spacing w:line="240" w:lineRule="auto" w:before="184" w:after="0"/>
        <w:ind w:left="1182" w:right="0" w:hanging="141"/>
        <w:jc w:val="left"/>
        <w:rPr>
          <w:sz w:val="38"/>
        </w:rPr>
      </w:pPr>
      <w:r>
        <w:rPr>
          <w:sz w:val="38"/>
        </w:rPr>
        <w:t>it prevents damage to</w:t>
      </w:r>
      <w:r>
        <w:rPr>
          <w:spacing w:val="-1"/>
          <w:sz w:val="38"/>
        </w:rPr>
        <w:t> </w:t>
      </w:r>
      <w:r>
        <w:rPr>
          <w:sz w:val="38"/>
        </w:rPr>
        <w:t>chromosomes,</w:t>
      </w:r>
    </w:p>
    <w:p>
      <w:pPr>
        <w:pStyle w:val="ListParagraph"/>
        <w:numPr>
          <w:ilvl w:val="1"/>
          <w:numId w:val="120"/>
        </w:numPr>
        <w:tabs>
          <w:tab w:pos="1279" w:val="left" w:leader="none"/>
        </w:tabs>
        <w:spacing w:line="240" w:lineRule="auto" w:before="183" w:after="0"/>
        <w:ind w:left="1182" w:right="0" w:hanging="141"/>
        <w:jc w:val="left"/>
        <w:rPr>
          <w:sz w:val="38"/>
        </w:rPr>
      </w:pPr>
      <w:r>
        <w:rPr>
          <w:sz w:val="38"/>
        </w:rPr>
        <w:t>it neutralises carcinogenic substances and carcinogens</w:t>
      </w:r>
      <w:r>
        <w:rPr>
          <w:spacing w:val="-2"/>
          <w:sz w:val="38"/>
        </w:rPr>
        <w:t> </w:t>
      </w:r>
      <w:r>
        <w:rPr>
          <w:sz w:val="38"/>
        </w:rPr>
        <w:t>and</w:t>
      </w:r>
    </w:p>
    <w:p>
      <w:pPr>
        <w:pStyle w:val="ListParagraph"/>
        <w:numPr>
          <w:ilvl w:val="1"/>
          <w:numId w:val="120"/>
        </w:numPr>
        <w:tabs>
          <w:tab w:pos="1279" w:val="left" w:leader="none"/>
        </w:tabs>
        <w:spacing w:line="240" w:lineRule="auto" w:before="184" w:after="0"/>
        <w:ind w:left="1182" w:right="0" w:hanging="141"/>
        <w:jc w:val="left"/>
        <w:rPr>
          <w:sz w:val="38"/>
        </w:rPr>
      </w:pPr>
      <w:r>
        <w:rPr>
          <w:sz w:val="38"/>
        </w:rPr>
        <w:t>it protects against radioactive</w:t>
      </w:r>
      <w:r>
        <w:rPr>
          <w:spacing w:val="-3"/>
          <w:sz w:val="38"/>
        </w:rPr>
        <w:t> </w:t>
      </w:r>
      <w:r>
        <w:rPr>
          <w:sz w:val="38"/>
        </w:rPr>
        <w:t>radiation.</w:t>
      </w:r>
    </w:p>
    <w:p>
      <w:pPr>
        <w:pStyle w:val="Heading1"/>
        <w:spacing w:before="290"/>
        <w:ind w:left="616"/>
        <w:jc w:val="both"/>
      </w:pPr>
      <w:r>
        <w:rPr/>
        <w:t>Effect of phycocyanin on cancer</w:t>
      </w:r>
    </w:p>
    <w:p>
      <w:pPr>
        <w:pStyle w:val="BodyText"/>
        <w:spacing w:before="297"/>
        <w:ind w:left="616"/>
        <w:jc w:val="both"/>
      </w:pPr>
      <w:r>
        <w:rPr/>
        <w:t>Phycocyanin plays the same role that chemotherapy plays by exerting a cyto-</w:t>
      </w:r>
    </w:p>
    <w:p>
      <w:pPr>
        <w:spacing w:after="0"/>
        <w:jc w:val="both"/>
        <w:sectPr>
          <w:pgSz w:w="14270" w:h="16850"/>
          <w:pgMar w:header="0" w:footer="1891" w:top="1320" w:bottom="2080" w:left="800" w:right="1280"/>
        </w:sectPr>
      </w:pPr>
    </w:p>
    <w:p>
      <w:pPr>
        <w:pStyle w:val="BodyText"/>
        <w:spacing w:line="276" w:lineRule="auto" w:before="72"/>
        <w:ind w:left="616" w:right="137"/>
        <w:jc w:val="both"/>
      </w:pPr>
      <w:r>
        <w:rPr/>
        <w:t>toxic effect on the cancer cells, bringing about a direct destruction of the can- cer cell, and at the same time a cytostatic effect, resulting in an inhibition of cancer development.</w:t>
      </w:r>
    </w:p>
    <w:p>
      <w:pPr>
        <w:pStyle w:val="BodyText"/>
        <w:spacing w:line="276" w:lineRule="auto" w:before="241"/>
        <w:ind w:left="616" w:right="136"/>
        <w:jc w:val="both"/>
      </w:pPr>
      <w:r>
        <w:rPr/>
        <w:t>Phycocyanin accomplishes this by increasing lymphocyte activity. The ad- vantage</w:t>
      </w:r>
      <w:r>
        <w:rPr>
          <w:spacing w:val="-19"/>
        </w:rPr>
        <w:t> </w:t>
      </w:r>
      <w:r>
        <w:rPr/>
        <w:t>is</w:t>
      </w:r>
      <w:r>
        <w:rPr>
          <w:spacing w:val="-18"/>
        </w:rPr>
        <w:t> </w:t>
      </w:r>
      <w:r>
        <w:rPr/>
        <w:t>obvious,</w:t>
      </w:r>
      <w:r>
        <w:rPr>
          <w:spacing w:val="-17"/>
        </w:rPr>
        <w:t> </w:t>
      </w:r>
      <w:r>
        <w:rPr/>
        <w:t>because</w:t>
      </w:r>
      <w:r>
        <w:rPr>
          <w:spacing w:val="-19"/>
        </w:rPr>
        <w:t> </w:t>
      </w:r>
      <w:r>
        <w:rPr/>
        <w:t>the</w:t>
      </w:r>
      <w:r>
        <w:rPr>
          <w:spacing w:val="-17"/>
        </w:rPr>
        <w:t> </w:t>
      </w:r>
      <w:r>
        <w:rPr/>
        <w:t>phycocyanin</w:t>
      </w:r>
      <w:r>
        <w:rPr>
          <w:spacing w:val="-18"/>
        </w:rPr>
        <w:t> </w:t>
      </w:r>
      <w:r>
        <w:rPr/>
        <w:t>acts</w:t>
      </w:r>
      <w:r>
        <w:rPr>
          <w:spacing w:val="-21"/>
        </w:rPr>
        <w:t> </w:t>
      </w:r>
      <w:r>
        <w:rPr/>
        <w:t>selectively,</w:t>
      </w:r>
      <w:r>
        <w:rPr>
          <w:spacing w:val="-17"/>
        </w:rPr>
        <w:t> </w:t>
      </w:r>
      <w:r>
        <w:rPr/>
        <w:t>so</w:t>
      </w:r>
      <w:r>
        <w:rPr>
          <w:spacing w:val="-17"/>
        </w:rPr>
        <w:t> </w:t>
      </w:r>
      <w:r>
        <w:rPr/>
        <w:t>it</w:t>
      </w:r>
      <w:r>
        <w:rPr>
          <w:spacing w:val="-19"/>
        </w:rPr>
        <w:t> </w:t>
      </w:r>
      <w:r>
        <w:rPr/>
        <w:t>only</w:t>
      </w:r>
      <w:r>
        <w:rPr>
          <w:spacing w:val="-20"/>
        </w:rPr>
        <w:t> </w:t>
      </w:r>
      <w:r>
        <w:rPr/>
        <w:t>destroys cancer cells, and – in contrast to chemotherapy – spares the healthy</w:t>
      </w:r>
      <w:r>
        <w:rPr>
          <w:spacing w:val="-17"/>
        </w:rPr>
        <w:t> </w:t>
      </w:r>
      <w:r>
        <w:rPr/>
        <w:t>cells!</w:t>
      </w:r>
    </w:p>
    <w:p>
      <w:pPr>
        <w:pStyle w:val="Heading1"/>
        <w:ind w:left="616"/>
        <w:jc w:val="both"/>
      </w:pPr>
      <w:r>
        <w:rPr/>
        <w:t>Effect of polysaccharides on cancer</w:t>
      </w:r>
    </w:p>
    <w:p>
      <w:pPr>
        <w:pStyle w:val="BodyText"/>
        <w:spacing w:line="276" w:lineRule="auto" w:before="300"/>
        <w:ind w:left="616" w:right="134"/>
        <w:jc w:val="both"/>
      </w:pPr>
      <w:r>
        <w:rPr/>
        <w:t>The abundant polysaccharides in spirulina increase macrophage activity. Mac- rophages</w:t>
      </w:r>
      <w:r>
        <w:rPr>
          <w:spacing w:val="-15"/>
        </w:rPr>
        <w:t> </w:t>
      </w:r>
      <w:r>
        <w:rPr/>
        <w:t>are</w:t>
      </w:r>
      <w:r>
        <w:rPr>
          <w:spacing w:val="-16"/>
        </w:rPr>
        <w:t> </w:t>
      </w:r>
      <w:r>
        <w:rPr/>
        <w:t>scavenger</w:t>
      </w:r>
      <w:r>
        <w:rPr>
          <w:spacing w:val="-13"/>
        </w:rPr>
        <w:t> </w:t>
      </w:r>
      <w:r>
        <w:rPr/>
        <w:t>cells</w:t>
      </w:r>
      <w:r>
        <w:rPr>
          <w:spacing w:val="-14"/>
        </w:rPr>
        <w:t> </w:t>
      </w:r>
      <w:r>
        <w:rPr/>
        <w:t>of</w:t>
      </w:r>
      <w:r>
        <w:rPr>
          <w:spacing w:val="-16"/>
        </w:rPr>
        <w:t> </w:t>
      </w:r>
      <w:r>
        <w:rPr/>
        <w:t>the</w:t>
      </w:r>
      <w:r>
        <w:rPr>
          <w:spacing w:val="-14"/>
        </w:rPr>
        <w:t> </w:t>
      </w:r>
      <w:r>
        <w:rPr/>
        <w:t>immune</w:t>
      </w:r>
      <w:r>
        <w:rPr>
          <w:spacing w:val="-14"/>
        </w:rPr>
        <w:t> </w:t>
      </w:r>
      <w:r>
        <w:rPr/>
        <w:t>system</w:t>
      </w:r>
      <w:r>
        <w:rPr>
          <w:spacing w:val="-14"/>
        </w:rPr>
        <w:t> </w:t>
      </w:r>
      <w:r>
        <w:rPr/>
        <w:t>that</w:t>
      </w:r>
      <w:r>
        <w:rPr>
          <w:spacing w:val="-14"/>
        </w:rPr>
        <w:t> </w:t>
      </w:r>
      <w:r>
        <w:rPr/>
        <w:t>encase</w:t>
      </w:r>
      <w:r>
        <w:rPr>
          <w:spacing w:val="-13"/>
        </w:rPr>
        <w:t> </w:t>
      </w:r>
      <w:r>
        <w:rPr/>
        <w:t>and</w:t>
      </w:r>
      <w:r>
        <w:rPr>
          <w:spacing w:val="-14"/>
        </w:rPr>
        <w:t> </w:t>
      </w:r>
      <w:r>
        <w:rPr/>
        <w:t>destroy</w:t>
      </w:r>
      <w:r>
        <w:rPr>
          <w:spacing w:val="-14"/>
        </w:rPr>
        <w:t> </w:t>
      </w:r>
      <w:r>
        <w:rPr/>
        <w:t>the cancer cell.</w:t>
      </w:r>
    </w:p>
    <w:p>
      <w:pPr>
        <w:pStyle w:val="Heading1"/>
        <w:spacing w:before="221"/>
        <w:ind w:left="616"/>
        <w:jc w:val="both"/>
      </w:pPr>
      <w:r>
        <w:rPr/>
        <w:t>Effect of omega-3 fatty acids against</w:t>
      </w:r>
      <w:r>
        <w:rPr>
          <w:spacing w:val="-72"/>
        </w:rPr>
        <w:t> </w:t>
      </w:r>
      <w:r>
        <w:rPr/>
        <w:t>cancer</w:t>
      </w:r>
    </w:p>
    <w:p>
      <w:pPr>
        <w:pStyle w:val="BodyText"/>
        <w:spacing w:line="276" w:lineRule="auto" w:before="299"/>
        <w:ind w:left="616" w:right="132"/>
        <w:jc w:val="both"/>
        <w:rPr>
          <w:sz w:val="25"/>
        </w:rPr>
      </w:pPr>
      <w:r>
        <w:rPr/>
        <w:t>Omega-3 fatty acids inhibit cancer growth by improving immune function. Omega-3 fatty acids have a particularly good effect on breast cancer, oesoph- ageal cancer and colon cancer. It has been proven that people who prefer to eat fish, therefore, succumb 50 % less frequently to cancer of the gastrointes- tinal tract, 20 % less frequently to uterine cancer and 30 % less frequently to ovarian cancer.</w:t>
      </w:r>
      <w:r>
        <w:rPr>
          <w:position w:val="9"/>
          <w:sz w:val="25"/>
        </w:rPr>
        <w:t>863</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1"/>
        </w:rPr>
      </w:pPr>
      <w:r>
        <w:rPr/>
        <w:pict>
          <v:line style="position:absolute;mso-position-horizontal-relative:page;mso-position-vertical-relative:paragraph;z-index:11984;mso-wrap-distance-left:0;mso-wrap-distance-right:0" from="70.823997pt,8.621265pt" to="214.843997pt,8.621265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863 </w:t>
      </w:r>
      <w:r>
        <w:rPr>
          <w:sz w:val="20"/>
        </w:rPr>
        <w:t>Dr. Frank Liebke: Omega-3-Fettsäuren – Gesundheit aus dem Meer ('Omega-3 Fatty Acids – Health from the Sea'), 2001, p. 40</w:t>
      </w:r>
    </w:p>
    <w:p>
      <w:pPr>
        <w:spacing w:after="0"/>
        <w:jc w:val="left"/>
        <w:rPr>
          <w:sz w:val="20"/>
        </w:rPr>
        <w:sectPr>
          <w:pgSz w:w="14270" w:h="16850"/>
          <w:pgMar w:header="0" w:footer="1891" w:top="1340" w:bottom="2080" w:left="800" w:right="1280"/>
        </w:sectPr>
      </w:pPr>
    </w:p>
    <w:p>
      <w:pPr>
        <w:pStyle w:val="Heading1"/>
        <w:spacing w:before="77"/>
        <w:ind w:left="616"/>
      </w:pPr>
      <w:r>
        <w:rPr/>
        <w:t>Effect of beta-carotene against cancer</w:t>
      </w:r>
    </w:p>
    <w:p>
      <w:pPr>
        <w:pStyle w:val="BodyText"/>
        <w:spacing w:before="299"/>
        <w:ind w:left="616"/>
      </w:pPr>
      <w:r>
        <w:rPr/>
        <w:t>Beta-carotene</w:t>
      </w:r>
    </w:p>
    <w:p>
      <w:pPr>
        <w:pStyle w:val="ListParagraph"/>
        <w:numPr>
          <w:ilvl w:val="0"/>
          <w:numId w:val="121"/>
        </w:numPr>
        <w:tabs>
          <w:tab w:pos="1078" w:val="left" w:leader="none"/>
        </w:tabs>
        <w:spacing w:line="240" w:lineRule="auto" w:before="263" w:after="0"/>
        <w:ind w:left="1046" w:right="0" w:hanging="288"/>
        <w:jc w:val="left"/>
        <w:rPr>
          <w:sz w:val="38"/>
        </w:rPr>
      </w:pPr>
      <w:r>
        <w:rPr>
          <w:sz w:val="38"/>
        </w:rPr>
        <w:t>stimulates our immune</w:t>
      </w:r>
      <w:r>
        <w:rPr>
          <w:spacing w:val="2"/>
          <w:sz w:val="38"/>
        </w:rPr>
        <w:t> </w:t>
      </w:r>
      <w:r>
        <w:rPr>
          <w:sz w:val="38"/>
        </w:rPr>
        <w:t>system,</w:t>
      </w:r>
    </w:p>
    <w:p>
      <w:pPr>
        <w:pStyle w:val="ListParagraph"/>
        <w:numPr>
          <w:ilvl w:val="0"/>
          <w:numId w:val="121"/>
        </w:numPr>
        <w:tabs>
          <w:tab w:pos="1078" w:val="left" w:leader="none"/>
        </w:tabs>
        <w:spacing w:line="273" w:lineRule="auto" w:before="186" w:after="0"/>
        <w:ind w:left="1046" w:right="6953" w:hanging="288"/>
        <w:jc w:val="left"/>
        <w:rPr>
          <w:sz w:val="38"/>
        </w:rPr>
      </w:pPr>
      <w:r>
        <w:rPr>
          <w:sz w:val="38"/>
        </w:rPr>
        <w:t>controls cell growth and cell proliferation,</w:t>
      </w:r>
    </w:p>
    <w:p>
      <w:pPr>
        <w:pStyle w:val="ListParagraph"/>
        <w:numPr>
          <w:ilvl w:val="0"/>
          <w:numId w:val="121"/>
        </w:numPr>
        <w:tabs>
          <w:tab w:pos="1078" w:val="left" w:leader="none"/>
        </w:tabs>
        <w:spacing w:line="273" w:lineRule="auto" w:before="7" w:after="0"/>
        <w:ind w:left="1046" w:right="5357" w:hanging="288"/>
        <w:jc w:val="left"/>
        <w:rPr>
          <w:sz w:val="38"/>
        </w:rPr>
      </w:pPr>
      <w:r>
        <w:rPr>
          <w:sz w:val="38"/>
        </w:rPr>
        <w:t>suppresses mutation of procarcinogens into</w:t>
      </w:r>
      <w:r>
        <w:rPr>
          <w:spacing w:val="-2"/>
          <w:sz w:val="38"/>
        </w:rPr>
        <w:t> </w:t>
      </w:r>
      <w:r>
        <w:rPr>
          <w:sz w:val="38"/>
        </w:rPr>
        <w:t>carcinogens</w:t>
      </w:r>
    </w:p>
    <w:p>
      <w:pPr>
        <w:pStyle w:val="ListParagraph"/>
        <w:numPr>
          <w:ilvl w:val="0"/>
          <w:numId w:val="121"/>
        </w:numPr>
        <w:tabs>
          <w:tab w:pos="1078" w:val="left" w:leader="none"/>
        </w:tabs>
        <w:spacing w:line="240" w:lineRule="auto" w:before="8" w:after="0"/>
        <w:ind w:left="1046" w:right="0" w:hanging="288"/>
        <w:jc w:val="left"/>
        <w:rPr>
          <w:sz w:val="38"/>
        </w:rPr>
      </w:pPr>
      <w:r>
        <w:rPr>
          <w:sz w:val="38"/>
        </w:rPr>
        <w:t>and inactivates cell-damaging</w:t>
      </w:r>
      <w:r>
        <w:rPr>
          <w:spacing w:val="3"/>
          <w:sz w:val="38"/>
        </w:rPr>
        <w:t> </w:t>
      </w:r>
      <w:r>
        <w:rPr>
          <w:sz w:val="38"/>
        </w:rPr>
        <w:t>substances.</w:t>
      </w:r>
    </w:p>
    <w:p>
      <w:pPr>
        <w:pStyle w:val="Heading1"/>
        <w:spacing w:before="287"/>
        <w:ind w:left="616"/>
      </w:pPr>
      <w:r>
        <w:rPr/>
        <w:t>Effect of organic germanium against</w:t>
      </w:r>
      <w:r>
        <w:rPr>
          <w:spacing w:val="-62"/>
        </w:rPr>
        <w:t> </w:t>
      </w:r>
      <w:r>
        <w:rPr/>
        <w:t>cancer</w:t>
      </w:r>
    </w:p>
    <w:p>
      <w:pPr>
        <w:pStyle w:val="BodyText"/>
        <w:spacing w:line="276" w:lineRule="auto" w:before="297"/>
        <w:ind w:left="616" w:right="134"/>
        <w:jc w:val="both"/>
      </w:pPr>
      <w:r>
        <w:rPr/>
        <w:t>While</w:t>
      </w:r>
      <w:r>
        <w:rPr>
          <w:spacing w:val="-13"/>
        </w:rPr>
        <w:t> </w:t>
      </w:r>
      <w:r>
        <w:rPr/>
        <w:t>the</w:t>
      </w:r>
      <w:r>
        <w:rPr>
          <w:spacing w:val="-10"/>
        </w:rPr>
        <w:t> </w:t>
      </w:r>
      <w:r>
        <w:rPr/>
        <w:t>carcinoma</w:t>
      </w:r>
      <w:r>
        <w:rPr>
          <w:spacing w:val="-12"/>
        </w:rPr>
        <w:t> </w:t>
      </w:r>
      <w:r>
        <w:rPr/>
        <w:t>has</w:t>
      </w:r>
      <w:r>
        <w:rPr>
          <w:spacing w:val="-11"/>
        </w:rPr>
        <w:t> </w:t>
      </w:r>
      <w:r>
        <w:rPr/>
        <w:t>a</w:t>
      </w:r>
      <w:r>
        <w:rPr>
          <w:spacing w:val="-12"/>
        </w:rPr>
        <w:t> </w:t>
      </w:r>
      <w:r>
        <w:rPr/>
        <w:t>positive</w:t>
      </w:r>
      <w:r>
        <w:rPr>
          <w:spacing w:val="-11"/>
        </w:rPr>
        <w:t> </w:t>
      </w:r>
      <w:r>
        <w:rPr/>
        <w:t>charge,</w:t>
      </w:r>
      <w:r>
        <w:rPr>
          <w:spacing w:val="-11"/>
        </w:rPr>
        <w:t> </w:t>
      </w:r>
      <w:r>
        <w:rPr/>
        <w:t>the</w:t>
      </w:r>
      <w:r>
        <w:rPr>
          <w:spacing w:val="-10"/>
        </w:rPr>
        <w:t> </w:t>
      </w:r>
      <w:r>
        <w:rPr/>
        <w:t>charge</w:t>
      </w:r>
      <w:r>
        <w:rPr>
          <w:spacing w:val="-10"/>
        </w:rPr>
        <w:t> </w:t>
      </w:r>
      <w:r>
        <w:rPr/>
        <w:t>of</w:t>
      </w:r>
      <w:r>
        <w:rPr>
          <w:spacing w:val="-11"/>
        </w:rPr>
        <w:t> </w:t>
      </w:r>
      <w:r>
        <w:rPr/>
        <w:t>organic</w:t>
      </w:r>
      <w:r>
        <w:rPr>
          <w:spacing w:val="-11"/>
        </w:rPr>
        <w:t> </w:t>
      </w:r>
      <w:r>
        <w:rPr/>
        <w:t>germanium</w:t>
      </w:r>
      <w:r>
        <w:rPr>
          <w:spacing w:val="-11"/>
        </w:rPr>
        <w:t> </w:t>
      </w:r>
      <w:r>
        <w:rPr/>
        <w:t>is negative,</w:t>
      </w:r>
      <w:r>
        <w:rPr>
          <w:spacing w:val="-11"/>
        </w:rPr>
        <w:t> </w:t>
      </w:r>
      <w:r>
        <w:rPr/>
        <w:t>and</w:t>
      </w:r>
      <w:r>
        <w:rPr>
          <w:spacing w:val="-11"/>
        </w:rPr>
        <w:t> </w:t>
      </w:r>
      <w:r>
        <w:rPr/>
        <w:t>they</w:t>
      </w:r>
      <w:r>
        <w:rPr>
          <w:spacing w:val="-11"/>
        </w:rPr>
        <w:t> </w:t>
      </w:r>
      <w:r>
        <w:rPr/>
        <w:t>collide</w:t>
      </w:r>
      <w:r>
        <w:rPr>
          <w:spacing w:val="-12"/>
        </w:rPr>
        <w:t> </w:t>
      </w:r>
      <w:r>
        <w:rPr/>
        <w:t>with</w:t>
      </w:r>
      <w:r>
        <w:rPr>
          <w:spacing w:val="-11"/>
        </w:rPr>
        <w:t> </w:t>
      </w:r>
      <w:r>
        <w:rPr/>
        <w:t>each</w:t>
      </w:r>
      <w:r>
        <w:rPr>
          <w:spacing w:val="-10"/>
        </w:rPr>
        <w:t> </w:t>
      </w:r>
      <w:r>
        <w:rPr/>
        <w:t>other.</w:t>
      </w:r>
      <w:r>
        <w:rPr>
          <w:spacing w:val="-11"/>
        </w:rPr>
        <w:t> </w:t>
      </w:r>
      <w:r>
        <w:rPr/>
        <w:t>When</w:t>
      </w:r>
      <w:r>
        <w:rPr>
          <w:spacing w:val="-13"/>
        </w:rPr>
        <w:t> </w:t>
      </w:r>
      <w:r>
        <w:rPr/>
        <w:t>a</w:t>
      </w:r>
      <w:r>
        <w:rPr>
          <w:spacing w:val="-13"/>
        </w:rPr>
        <w:t> </w:t>
      </w:r>
      <w:r>
        <w:rPr/>
        <w:t>(negatively</w:t>
      </w:r>
      <w:r>
        <w:rPr>
          <w:spacing w:val="-11"/>
        </w:rPr>
        <w:t> </w:t>
      </w:r>
      <w:r>
        <w:rPr/>
        <w:t>charged)</w:t>
      </w:r>
      <w:r>
        <w:rPr>
          <w:spacing w:val="-12"/>
        </w:rPr>
        <w:t> </w:t>
      </w:r>
      <w:r>
        <w:rPr/>
        <w:t>germa- nium particle comes into contact with the cancer cell, it breaks its positive charge and the cancer cell</w:t>
      </w:r>
      <w:r>
        <w:rPr>
          <w:spacing w:val="2"/>
        </w:rPr>
        <w:t> </w:t>
      </w:r>
      <w:r>
        <w:rPr/>
        <w:t>disintegrates.</w:t>
      </w:r>
    </w:p>
    <w:p>
      <w:pPr>
        <w:pStyle w:val="BodyText"/>
        <w:spacing w:before="242"/>
        <w:ind w:left="616"/>
      </w:pPr>
      <w:r>
        <w:rPr/>
        <w:t>In summary, organic germanium affects the cancer cell as follows:</w:t>
      </w:r>
    </w:p>
    <w:p>
      <w:pPr>
        <w:pStyle w:val="ListParagraph"/>
        <w:numPr>
          <w:ilvl w:val="0"/>
          <w:numId w:val="120"/>
        </w:numPr>
        <w:tabs>
          <w:tab w:pos="900" w:val="left" w:leader="none"/>
        </w:tabs>
        <w:spacing w:line="273" w:lineRule="auto" w:before="263" w:after="0"/>
        <w:ind w:left="899" w:right="142" w:hanging="283"/>
        <w:jc w:val="left"/>
        <w:rPr>
          <w:sz w:val="38"/>
        </w:rPr>
      </w:pPr>
      <w:r>
        <w:rPr>
          <w:sz w:val="38"/>
        </w:rPr>
        <w:t>It stimulates the T cells to produce gamma interferon, which activates the macrophages.</w:t>
      </w:r>
    </w:p>
    <w:p>
      <w:pPr>
        <w:pStyle w:val="ListParagraph"/>
        <w:numPr>
          <w:ilvl w:val="0"/>
          <w:numId w:val="120"/>
        </w:numPr>
        <w:tabs>
          <w:tab w:pos="900" w:val="left" w:leader="none"/>
        </w:tabs>
        <w:spacing w:line="240" w:lineRule="auto" w:before="127" w:after="0"/>
        <w:ind w:left="899" w:right="0" w:hanging="283"/>
        <w:jc w:val="left"/>
        <w:rPr>
          <w:sz w:val="38"/>
        </w:rPr>
      </w:pPr>
      <w:r>
        <w:rPr>
          <w:sz w:val="38"/>
        </w:rPr>
        <w:t>Macrophages suppress the proliferation and growth of the</w:t>
      </w:r>
      <w:r>
        <w:rPr>
          <w:spacing w:val="-7"/>
          <w:sz w:val="38"/>
        </w:rPr>
        <w:t> </w:t>
      </w:r>
      <w:r>
        <w:rPr>
          <w:sz w:val="38"/>
        </w:rPr>
        <w:t>tumour.</w:t>
      </w:r>
    </w:p>
    <w:p>
      <w:pPr>
        <w:pStyle w:val="ListParagraph"/>
        <w:numPr>
          <w:ilvl w:val="0"/>
          <w:numId w:val="120"/>
        </w:numPr>
        <w:tabs>
          <w:tab w:pos="900" w:val="left" w:leader="none"/>
        </w:tabs>
        <w:spacing w:line="273" w:lineRule="auto" w:before="186" w:after="0"/>
        <w:ind w:left="899" w:right="137" w:hanging="283"/>
        <w:jc w:val="left"/>
        <w:rPr>
          <w:sz w:val="38"/>
        </w:rPr>
      </w:pPr>
      <w:r>
        <w:rPr>
          <w:sz w:val="38"/>
        </w:rPr>
        <w:t>The germanium inhibits the DNA and RNA synthesis as well as the protein synthesis of the cancer</w:t>
      </w:r>
      <w:r>
        <w:rPr>
          <w:spacing w:val="-2"/>
          <w:sz w:val="38"/>
        </w:rPr>
        <w:t> </w:t>
      </w:r>
      <w:r>
        <w:rPr>
          <w:sz w:val="38"/>
        </w:rPr>
        <w:t>cells.</w:t>
      </w:r>
    </w:p>
    <w:p>
      <w:pPr>
        <w:pStyle w:val="BodyText"/>
        <w:spacing w:before="248"/>
        <w:ind w:left="616"/>
      </w:pPr>
      <w:r>
        <w:rPr/>
        <w:t>Germanium has proven its worth against the following cancers:</w:t>
      </w:r>
    </w:p>
    <w:p>
      <w:pPr>
        <w:spacing w:after="0"/>
        <w:sectPr>
          <w:pgSz w:w="14270" w:h="16850"/>
          <w:pgMar w:header="0" w:footer="1891" w:top="1320" w:bottom="2080" w:left="800" w:right="1280"/>
        </w:sectPr>
      </w:pPr>
    </w:p>
    <w:p>
      <w:pPr>
        <w:pStyle w:val="ListParagraph"/>
        <w:numPr>
          <w:ilvl w:val="0"/>
          <w:numId w:val="120"/>
        </w:numPr>
        <w:tabs>
          <w:tab w:pos="1031" w:val="left" w:leader="none"/>
          <w:tab w:pos="1032" w:val="left" w:leader="none"/>
        </w:tabs>
        <w:spacing w:line="240" w:lineRule="auto" w:before="53" w:after="0"/>
        <w:ind w:left="899" w:right="0" w:hanging="283"/>
        <w:jc w:val="left"/>
        <w:rPr>
          <w:sz w:val="38"/>
        </w:rPr>
      </w:pPr>
      <w:r>
        <w:rPr>
          <w:sz w:val="38"/>
        </w:rPr>
        <w:t>Breast</w:t>
      </w:r>
      <w:r>
        <w:rPr>
          <w:spacing w:val="-1"/>
          <w:sz w:val="38"/>
        </w:rPr>
        <w:t> </w:t>
      </w:r>
      <w:r>
        <w:rPr>
          <w:sz w:val="38"/>
        </w:rPr>
        <w:t>cancer</w:t>
      </w:r>
    </w:p>
    <w:p>
      <w:pPr>
        <w:pStyle w:val="ListParagraph"/>
        <w:numPr>
          <w:ilvl w:val="0"/>
          <w:numId w:val="120"/>
        </w:numPr>
        <w:tabs>
          <w:tab w:pos="1031" w:val="left" w:leader="none"/>
          <w:tab w:pos="1032" w:val="left" w:leader="none"/>
        </w:tabs>
        <w:spacing w:line="240" w:lineRule="auto" w:before="186" w:after="0"/>
        <w:ind w:left="899" w:right="0" w:hanging="283"/>
        <w:jc w:val="left"/>
        <w:rPr>
          <w:sz w:val="38"/>
        </w:rPr>
      </w:pPr>
      <w:r>
        <w:rPr>
          <w:sz w:val="38"/>
        </w:rPr>
        <w:t>Lung cancer</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ovarian</w:t>
      </w:r>
      <w:r>
        <w:rPr>
          <w:spacing w:val="-1"/>
          <w:sz w:val="38"/>
        </w:rPr>
        <w:t> </w:t>
      </w:r>
      <w:r>
        <w:rPr>
          <w:sz w:val="38"/>
        </w:rPr>
        <w:t>cancer</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Prostate</w:t>
      </w:r>
      <w:r>
        <w:rPr>
          <w:spacing w:val="-1"/>
          <w:sz w:val="38"/>
        </w:rPr>
        <w:t> </w:t>
      </w:r>
      <w:r>
        <w:rPr>
          <w:sz w:val="38"/>
        </w:rPr>
        <w:t>cancer</w:t>
      </w:r>
    </w:p>
    <w:p>
      <w:pPr>
        <w:pStyle w:val="ListParagraph"/>
        <w:numPr>
          <w:ilvl w:val="0"/>
          <w:numId w:val="120"/>
        </w:numPr>
        <w:tabs>
          <w:tab w:pos="1031" w:val="left" w:leader="none"/>
          <w:tab w:pos="1032" w:val="left" w:leader="none"/>
        </w:tabs>
        <w:spacing w:line="240" w:lineRule="auto" w:before="183" w:after="0"/>
        <w:ind w:left="899" w:right="0" w:hanging="283"/>
        <w:jc w:val="left"/>
        <w:rPr>
          <w:sz w:val="38"/>
        </w:rPr>
      </w:pPr>
      <w:r>
        <w:rPr>
          <w:sz w:val="38"/>
        </w:rPr>
        <w:t>cervical</w:t>
      </w:r>
      <w:r>
        <w:rPr>
          <w:spacing w:val="-2"/>
          <w:sz w:val="38"/>
        </w:rPr>
        <w:t> </w:t>
      </w:r>
      <w:r>
        <w:rPr>
          <w:sz w:val="38"/>
        </w:rPr>
        <w:t>cancer</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Colon cancer</w:t>
      </w:r>
    </w:p>
    <w:p>
      <w:pPr>
        <w:pStyle w:val="ListParagraph"/>
        <w:numPr>
          <w:ilvl w:val="0"/>
          <w:numId w:val="120"/>
        </w:numPr>
        <w:tabs>
          <w:tab w:pos="1031" w:val="left" w:leader="none"/>
          <w:tab w:pos="1032" w:val="left" w:leader="none"/>
        </w:tabs>
        <w:spacing w:line="240" w:lineRule="auto" w:before="186" w:after="0"/>
        <w:ind w:left="899" w:right="0" w:hanging="283"/>
        <w:jc w:val="left"/>
        <w:rPr>
          <w:sz w:val="38"/>
        </w:rPr>
      </w:pPr>
      <w:r>
        <w:rPr>
          <w:sz w:val="38"/>
        </w:rPr>
        <w:t>Leukaemia</w:t>
      </w:r>
    </w:p>
    <w:p>
      <w:pPr>
        <w:pStyle w:val="Heading1"/>
        <w:spacing w:before="48"/>
        <w:ind w:left="616"/>
      </w:pPr>
      <w:r>
        <w:rPr/>
        <w:t>Effect of spirulina against cancer explicitly proven in studies</w:t>
      </w:r>
    </w:p>
    <w:p>
      <w:pPr>
        <w:pStyle w:val="BodyText"/>
        <w:spacing w:line="276" w:lineRule="auto" w:before="297"/>
        <w:ind w:left="616" w:right="134"/>
        <w:jc w:val="both"/>
        <w:rPr>
          <w:sz w:val="25"/>
        </w:rPr>
      </w:pPr>
      <w:r>
        <w:rPr/>
        <w:t>At the renowned Harvard University School of Dental Medicine in Boston, repeated tests were performed against cancer in the late 1980s. Scientists Schwartz and Shklar were able to determine the following in all the studies:</w:t>
      </w:r>
      <w:r>
        <w:rPr>
          <w:position w:val="9"/>
          <w:sz w:val="25"/>
        </w:rPr>
        <w:t>864</w:t>
      </w:r>
    </w:p>
    <w:p>
      <w:pPr>
        <w:pStyle w:val="ListParagraph"/>
        <w:numPr>
          <w:ilvl w:val="0"/>
          <w:numId w:val="120"/>
        </w:numPr>
        <w:tabs>
          <w:tab w:pos="1031" w:val="left" w:leader="none"/>
          <w:tab w:pos="1032" w:val="left" w:leader="none"/>
        </w:tabs>
        <w:spacing w:line="273" w:lineRule="auto" w:before="201" w:after="0"/>
        <w:ind w:left="998" w:right="4824" w:hanging="382"/>
        <w:jc w:val="left"/>
        <w:rPr>
          <w:sz w:val="38"/>
        </w:rPr>
      </w:pPr>
      <w:r>
        <w:rPr>
          <w:sz w:val="38"/>
        </w:rPr>
        <w:t>Spirulina reduces the number as well as the size of</w:t>
      </w:r>
      <w:r>
        <w:rPr>
          <w:spacing w:val="-1"/>
          <w:sz w:val="38"/>
        </w:rPr>
        <w:t> </w:t>
      </w:r>
      <w:r>
        <w:rPr>
          <w:sz w:val="38"/>
        </w:rPr>
        <w:t>tumours.</w:t>
      </w:r>
    </w:p>
    <w:p>
      <w:pPr>
        <w:pStyle w:val="ListParagraph"/>
        <w:numPr>
          <w:ilvl w:val="0"/>
          <w:numId w:val="120"/>
        </w:numPr>
        <w:tabs>
          <w:tab w:pos="1031" w:val="left" w:leader="none"/>
          <w:tab w:pos="1032" w:val="left" w:leader="none"/>
        </w:tabs>
        <w:spacing w:line="240" w:lineRule="auto" w:before="8" w:after="0"/>
        <w:ind w:left="899" w:right="0" w:hanging="283"/>
        <w:jc w:val="left"/>
        <w:rPr>
          <w:sz w:val="38"/>
        </w:rPr>
      </w:pPr>
      <w:r>
        <w:rPr>
          <w:sz w:val="38"/>
        </w:rPr>
        <w:t>Spirulina slows the development of</w:t>
      </w:r>
      <w:r>
        <w:rPr>
          <w:spacing w:val="3"/>
          <w:sz w:val="38"/>
        </w:rPr>
        <w:t> </w:t>
      </w:r>
      <w:r>
        <w:rPr>
          <w:sz w:val="38"/>
        </w:rPr>
        <w:t>cancer.</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Spirulina prevents the development of cancer.</w:t>
      </w:r>
    </w:p>
    <w:p>
      <w:pPr>
        <w:pStyle w:val="BodyText"/>
        <w:spacing w:line="278" w:lineRule="auto" w:before="302"/>
        <w:ind w:left="616"/>
      </w:pPr>
      <w:r>
        <w:rPr/>
        <w:t>In</w:t>
      </w:r>
      <w:r>
        <w:rPr>
          <w:spacing w:val="-17"/>
        </w:rPr>
        <w:t> </w:t>
      </w:r>
      <w:r>
        <w:rPr/>
        <w:t>another</w:t>
      </w:r>
      <w:r>
        <w:rPr>
          <w:spacing w:val="-17"/>
        </w:rPr>
        <w:t> </w:t>
      </w:r>
      <w:r>
        <w:rPr/>
        <w:t>study</w:t>
      </w:r>
      <w:r>
        <w:rPr>
          <w:spacing w:val="-18"/>
        </w:rPr>
        <w:t> </w:t>
      </w:r>
      <w:r>
        <w:rPr/>
        <w:t>in</w:t>
      </w:r>
      <w:r>
        <w:rPr>
          <w:spacing w:val="-18"/>
        </w:rPr>
        <w:t> </w:t>
      </w:r>
      <w:r>
        <w:rPr/>
        <w:t>1995,</w:t>
      </w:r>
      <w:r>
        <w:rPr>
          <w:spacing w:val="-18"/>
        </w:rPr>
        <w:t> </w:t>
      </w:r>
      <w:r>
        <w:rPr/>
        <w:t>Quereshi</w:t>
      </w:r>
      <w:r>
        <w:rPr>
          <w:spacing w:val="-18"/>
        </w:rPr>
        <w:t> </w:t>
      </w:r>
      <w:r>
        <w:rPr/>
        <w:t>et</w:t>
      </w:r>
      <w:r>
        <w:rPr>
          <w:spacing w:val="-18"/>
        </w:rPr>
        <w:t> </w:t>
      </w:r>
      <w:r>
        <w:rPr/>
        <w:t>al.</w:t>
      </w:r>
      <w:r>
        <w:rPr>
          <w:spacing w:val="-17"/>
        </w:rPr>
        <w:t> </w:t>
      </w:r>
      <w:r>
        <w:rPr/>
        <w:t>were</w:t>
      </w:r>
      <w:r>
        <w:rPr>
          <w:spacing w:val="-17"/>
        </w:rPr>
        <w:t> </w:t>
      </w:r>
      <w:r>
        <w:rPr/>
        <w:t>able</w:t>
      </w:r>
      <w:r>
        <w:rPr>
          <w:spacing w:val="-18"/>
        </w:rPr>
        <w:t> </w:t>
      </w:r>
      <w:r>
        <w:rPr/>
        <w:t>to</w:t>
      </w:r>
      <w:r>
        <w:rPr>
          <w:spacing w:val="-17"/>
        </w:rPr>
        <w:t> </w:t>
      </w:r>
      <w:r>
        <w:rPr/>
        <w:t>demonstrate</w:t>
      </w:r>
      <w:r>
        <w:rPr>
          <w:spacing w:val="-20"/>
        </w:rPr>
        <w:t> </w:t>
      </w:r>
      <w:r>
        <w:rPr/>
        <w:t>that</w:t>
      </w:r>
      <w:r>
        <w:rPr>
          <w:spacing w:val="-18"/>
        </w:rPr>
        <w:t> </w:t>
      </w:r>
      <w:r>
        <w:rPr/>
        <w:t>a</w:t>
      </w:r>
      <w:r>
        <w:rPr>
          <w:spacing w:val="-18"/>
        </w:rPr>
        <w:t> </w:t>
      </w:r>
      <w:r>
        <w:rPr/>
        <w:t>water- soluble extract of spirulina promoted the death of cancer</w:t>
      </w:r>
      <w:r>
        <w:rPr>
          <w:spacing w:val="-4"/>
        </w:rPr>
        <w:t> </w:t>
      </w:r>
      <w:r>
        <w:rPr/>
        <w:t>cells.</w:t>
      </w:r>
    </w:p>
    <w:p>
      <w:pPr>
        <w:pStyle w:val="BodyText"/>
        <w:rPr>
          <w:sz w:val="20"/>
        </w:rPr>
      </w:pPr>
    </w:p>
    <w:p>
      <w:pPr>
        <w:pStyle w:val="BodyText"/>
        <w:spacing w:before="7"/>
        <w:rPr>
          <w:sz w:val="17"/>
        </w:rPr>
      </w:pPr>
      <w:r>
        <w:rPr/>
        <w:pict>
          <v:line style="position:absolute;mso-position-horizontal-relative:page;mso-position-vertical-relative:paragraph;z-index:12008;mso-wrap-distance-left:0;mso-wrap-distance-right:0" from="70.823997pt,12.29233pt" to="214.843997pt,12.29233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864 </w:t>
      </w:r>
      <w:r>
        <w:rPr>
          <w:sz w:val="20"/>
        </w:rPr>
        <w:t>Marianne E. Meyer: Spirulina – Wundernahrung der Zukunft ('Wonder Food of the Future'), 2002, p. 58</w:t>
      </w:r>
    </w:p>
    <w:p>
      <w:pPr>
        <w:spacing w:after="0"/>
        <w:jc w:val="left"/>
        <w:rPr>
          <w:sz w:val="20"/>
        </w:rPr>
        <w:sectPr>
          <w:pgSz w:w="14270" w:h="16850"/>
          <w:pgMar w:header="0" w:footer="1891" w:top="1360" w:bottom="2080" w:left="800" w:right="1280"/>
        </w:sectPr>
      </w:pPr>
    </w:p>
    <w:p>
      <w:pPr>
        <w:pStyle w:val="Heading1"/>
        <w:spacing w:before="77"/>
        <w:ind w:left="616"/>
      </w:pPr>
      <w:r>
        <w:rPr/>
        <w:t>Just</w:t>
      </w:r>
      <w:r>
        <w:rPr>
          <w:spacing w:val="-50"/>
        </w:rPr>
        <w:t> </w:t>
      </w:r>
      <w:r>
        <w:rPr/>
        <w:t>1</w:t>
      </w:r>
      <w:r>
        <w:rPr>
          <w:spacing w:val="-48"/>
        </w:rPr>
        <w:t> </w:t>
      </w:r>
      <w:r>
        <w:rPr/>
        <w:t>g</w:t>
      </w:r>
      <w:r>
        <w:rPr>
          <w:spacing w:val="-47"/>
        </w:rPr>
        <w:t> </w:t>
      </w:r>
      <w:r>
        <w:rPr/>
        <w:t>of</w:t>
      </w:r>
      <w:r>
        <w:rPr>
          <w:spacing w:val="-49"/>
        </w:rPr>
        <w:t> </w:t>
      </w:r>
      <w:r>
        <w:rPr/>
        <w:t>spirulina</w:t>
      </w:r>
      <w:r>
        <w:rPr>
          <w:spacing w:val="-48"/>
        </w:rPr>
        <w:t> </w:t>
      </w:r>
      <w:r>
        <w:rPr/>
        <w:t>heals</w:t>
      </w:r>
      <w:r>
        <w:rPr>
          <w:spacing w:val="-48"/>
        </w:rPr>
        <w:t> </w:t>
      </w:r>
      <w:r>
        <w:rPr/>
        <w:t>cancer!</w:t>
      </w:r>
    </w:p>
    <w:p>
      <w:pPr>
        <w:pStyle w:val="BodyText"/>
        <w:spacing w:line="276" w:lineRule="auto" w:before="299"/>
        <w:ind w:left="616" w:right="129"/>
        <w:jc w:val="both"/>
      </w:pPr>
      <w:r>
        <w:rPr/>
        <w:t>The</w:t>
      </w:r>
      <w:r>
        <w:rPr>
          <w:spacing w:val="-23"/>
        </w:rPr>
        <w:t> </w:t>
      </w:r>
      <w:r>
        <w:rPr/>
        <w:t>researcher</w:t>
      </w:r>
      <w:r>
        <w:rPr>
          <w:spacing w:val="-24"/>
        </w:rPr>
        <w:t> </w:t>
      </w:r>
      <w:r>
        <w:rPr/>
        <w:t>Mathew</w:t>
      </w:r>
      <w:r>
        <w:rPr>
          <w:spacing w:val="-23"/>
        </w:rPr>
        <w:t> </w:t>
      </w:r>
      <w:r>
        <w:rPr/>
        <w:t>and</w:t>
      </w:r>
      <w:r>
        <w:rPr>
          <w:spacing w:val="-23"/>
        </w:rPr>
        <w:t> </w:t>
      </w:r>
      <w:r>
        <w:rPr/>
        <w:t>colleagues</w:t>
      </w:r>
      <w:r>
        <w:rPr>
          <w:spacing w:val="-23"/>
        </w:rPr>
        <w:t> </w:t>
      </w:r>
      <w:r>
        <w:rPr/>
        <w:t>from</w:t>
      </w:r>
      <w:r>
        <w:rPr>
          <w:spacing w:val="-23"/>
        </w:rPr>
        <w:t> </w:t>
      </w:r>
      <w:r>
        <w:rPr/>
        <w:t>India</w:t>
      </w:r>
      <w:r>
        <w:rPr>
          <w:spacing w:val="-24"/>
        </w:rPr>
        <w:t> </w:t>
      </w:r>
      <w:r>
        <w:rPr/>
        <w:t>administered</w:t>
      </w:r>
      <w:r>
        <w:rPr>
          <w:spacing w:val="-22"/>
        </w:rPr>
        <w:t> </w:t>
      </w:r>
      <w:r>
        <w:rPr/>
        <w:t>1</w:t>
      </w:r>
      <w:r>
        <w:rPr>
          <w:spacing w:val="-23"/>
        </w:rPr>
        <w:t> </w:t>
      </w:r>
      <w:r>
        <w:rPr/>
        <w:t>g</w:t>
      </w:r>
      <w:r>
        <w:rPr>
          <w:spacing w:val="-22"/>
        </w:rPr>
        <w:t> </w:t>
      </w:r>
      <w:r>
        <w:rPr/>
        <w:t>of</w:t>
      </w:r>
      <w:r>
        <w:rPr>
          <w:spacing w:val="-22"/>
        </w:rPr>
        <w:t> </w:t>
      </w:r>
      <w:r>
        <w:rPr/>
        <w:t>spirulina to</w:t>
      </w:r>
      <w:r>
        <w:rPr>
          <w:spacing w:val="-11"/>
        </w:rPr>
        <w:t> </w:t>
      </w:r>
      <w:r>
        <w:rPr/>
        <w:t>44</w:t>
      </w:r>
      <w:r>
        <w:rPr>
          <w:spacing w:val="-11"/>
        </w:rPr>
        <w:t> </w:t>
      </w:r>
      <w:r>
        <w:rPr/>
        <w:t>tobacco</w:t>
      </w:r>
      <w:r>
        <w:rPr>
          <w:spacing w:val="-10"/>
        </w:rPr>
        <w:t> </w:t>
      </w:r>
      <w:r>
        <w:rPr/>
        <w:t>chewers</w:t>
      </w:r>
      <w:r>
        <w:rPr>
          <w:spacing w:val="-11"/>
        </w:rPr>
        <w:t> </w:t>
      </w:r>
      <w:r>
        <w:rPr/>
        <w:t>who</w:t>
      </w:r>
      <w:r>
        <w:rPr>
          <w:spacing w:val="-10"/>
        </w:rPr>
        <w:t> </w:t>
      </w:r>
      <w:r>
        <w:rPr/>
        <w:t>were</w:t>
      </w:r>
      <w:r>
        <w:rPr>
          <w:spacing w:val="-13"/>
        </w:rPr>
        <w:t> </w:t>
      </w:r>
      <w:r>
        <w:rPr/>
        <w:t>in</w:t>
      </w:r>
      <w:r>
        <w:rPr>
          <w:spacing w:val="-12"/>
        </w:rPr>
        <w:t> </w:t>
      </w:r>
      <w:r>
        <w:rPr/>
        <w:t>the</w:t>
      </w:r>
      <w:r>
        <w:rPr>
          <w:spacing w:val="-10"/>
        </w:rPr>
        <w:t> </w:t>
      </w:r>
      <w:r>
        <w:rPr/>
        <w:t>preliminary</w:t>
      </w:r>
      <w:r>
        <w:rPr>
          <w:spacing w:val="-10"/>
        </w:rPr>
        <w:t> </w:t>
      </w:r>
      <w:r>
        <w:rPr/>
        <w:t>stage</w:t>
      </w:r>
      <w:r>
        <w:rPr>
          <w:spacing w:val="-10"/>
        </w:rPr>
        <w:t> </w:t>
      </w:r>
      <w:r>
        <w:rPr/>
        <w:t>of</w:t>
      </w:r>
      <w:r>
        <w:rPr>
          <w:spacing w:val="-11"/>
        </w:rPr>
        <w:t> </w:t>
      </w:r>
      <w:r>
        <w:rPr/>
        <w:t>tongue</w:t>
      </w:r>
      <w:r>
        <w:rPr>
          <w:spacing w:val="-12"/>
        </w:rPr>
        <w:t> </w:t>
      </w:r>
      <w:r>
        <w:rPr/>
        <w:t>cancer,</w:t>
      </w:r>
      <w:r>
        <w:rPr>
          <w:spacing w:val="-12"/>
        </w:rPr>
        <w:t> </w:t>
      </w:r>
      <w:r>
        <w:rPr/>
        <w:t>the control group were given a</w:t>
      </w:r>
      <w:r>
        <w:rPr>
          <w:spacing w:val="1"/>
        </w:rPr>
        <w:t> </w:t>
      </w:r>
      <w:r>
        <w:rPr/>
        <w:t>placebo.</w:t>
      </w:r>
    </w:p>
    <w:p>
      <w:pPr>
        <w:pStyle w:val="BodyText"/>
        <w:spacing w:line="278" w:lineRule="auto" w:before="239"/>
        <w:ind w:left="616" w:right="135"/>
        <w:jc w:val="both"/>
        <w:rPr>
          <w:sz w:val="25"/>
        </w:rPr>
      </w:pPr>
      <w:r>
        <w:rPr/>
        <w:t>In the group which was given spirulina, 20 people were cancer-free after one year, but only three were healed in the placebo group.</w:t>
      </w:r>
      <w:r>
        <w:rPr>
          <w:position w:val="9"/>
          <w:sz w:val="25"/>
        </w:rPr>
        <w:t>865</w:t>
      </w:r>
    </w:p>
    <w:p>
      <w:pPr>
        <w:pStyle w:val="Heading1"/>
        <w:spacing w:before="215"/>
        <w:ind w:left="616"/>
      </w:pPr>
      <w:r>
        <w:rPr/>
        <w:t>Spirulina protects against the side effects of irradiation</w:t>
      </w:r>
    </w:p>
    <w:p>
      <w:pPr>
        <w:pStyle w:val="BodyText"/>
        <w:spacing w:line="276" w:lineRule="auto" w:before="300"/>
        <w:ind w:left="616" w:right="138"/>
        <w:jc w:val="both"/>
      </w:pPr>
      <w:r>
        <w:rPr/>
        <w:t>Taken before or after radiation treatment, spirulina algae helps to protect against undesirable side effects, without reducing the desired effect (ray pro- tector).</w:t>
      </w:r>
    </w:p>
    <w:p>
      <w:pPr>
        <w:pStyle w:val="BodyText"/>
        <w:rPr>
          <w:sz w:val="42"/>
        </w:rPr>
      </w:pPr>
    </w:p>
    <w:p>
      <w:pPr>
        <w:pStyle w:val="BodyText"/>
        <w:spacing w:before="1"/>
        <w:rPr>
          <w:sz w:val="39"/>
        </w:rPr>
      </w:pPr>
    </w:p>
    <w:p>
      <w:pPr>
        <w:pStyle w:val="Heading1"/>
        <w:spacing w:before="0"/>
        <w:ind w:left="616"/>
      </w:pPr>
      <w:r>
        <w:rPr/>
        <w:t>Spirulina protects the heart against the side effects of chemotherapy</w:t>
      </w:r>
    </w:p>
    <w:p>
      <w:pPr>
        <w:pStyle w:val="BodyText"/>
        <w:spacing w:line="276" w:lineRule="auto" w:before="300"/>
        <w:ind w:left="616" w:right="134"/>
        <w:jc w:val="both"/>
      </w:pPr>
      <w:r>
        <w:rPr/>
        <w:t>In</w:t>
      </w:r>
      <w:r>
        <w:rPr>
          <w:spacing w:val="-17"/>
        </w:rPr>
        <w:t> </w:t>
      </w:r>
      <w:r>
        <w:rPr/>
        <w:t>studies</w:t>
      </w:r>
      <w:r>
        <w:rPr>
          <w:spacing w:val="-17"/>
        </w:rPr>
        <w:t> </w:t>
      </w:r>
      <w:r>
        <w:rPr/>
        <w:t>on</w:t>
      </w:r>
      <w:r>
        <w:rPr>
          <w:spacing w:val="-17"/>
        </w:rPr>
        <w:t> </w:t>
      </w:r>
      <w:r>
        <w:rPr/>
        <w:t>mice,</w:t>
      </w:r>
      <w:r>
        <w:rPr>
          <w:spacing w:val="-16"/>
        </w:rPr>
        <w:t> </w:t>
      </w:r>
      <w:r>
        <w:rPr/>
        <w:t>spirulina</w:t>
      </w:r>
      <w:r>
        <w:rPr>
          <w:spacing w:val="-17"/>
        </w:rPr>
        <w:t> </w:t>
      </w:r>
      <w:r>
        <w:rPr/>
        <w:t>demonstrated</w:t>
      </w:r>
      <w:r>
        <w:rPr>
          <w:spacing w:val="-16"/>
        </w:rPr>
        <w:t> </w:t>
      </w:r>
      <w:r>
        <w:rPr/>
        <w:t>a</w:t>
      </w:r>
      <w:r>
        <w:rPr>
          <w:spacing w:val="-19"/>
        </w:rPr>
        <w:t> </w:t>
      </w:r>
      <w:r>
        <w:rPr/>
        <w:t>cardioprotective</w:t>
      </w:r>
      <w:r>
        <w:rPr>
          <w:spacing w:val="-17"/>
        </w:rPr>
        <w:t> </w:t>
      </w:r>
      <w:r>
        <w:rPr/>
        <w:t>effect</w:t>
      </w:r>
      <w:r>
        <w:rPr>
          <w:spacing w:val="-17"/>
        </w:rPr>
        <w:t> </w:t>
      </w:r>
      <w:r>
        <w:rPr/>
        <w:t>against</w:t>
      </w:r>
      <w:r>
        <w:rPr>
          <w:spacing w:val="-17"/>
        </w:rPr>
        <w:t> </w:t>
      </w:r>
      <w:r>
        <w:rPr/>
        <w:t>the chemotherapy substance 'doxorubicin', without having an influence on the</w:t>
      </w:r>
      <w:r>
        <w:rPr>
          <w:spacing w:val="-42"/>
        </w:rPr>
        <w:t> </w:t>
      </w:r>
      <w:r>
        <w:rPr/>
        <w:t>ef- fect of the substance.</w:t>
      </w:r>
      <w:r>
        <w:rPr>
          <w:position w:val="9"/>
          <w:sz w:val="25"/>
        </w:rPr>
        <w:t>866 </w:t>
      </w:r>
      <w:r>
        <w:rPr/>
        <w:t>It stands to reason that it would have the same pro- tection if used on people. This is almost certainly thanks to the selenium con- tained in spirulina which can relieve the side effects of chemotherapy (and ra- diation therapy!) on its own without having an unfavourable influence on the treatment.</w:t>
      </w:r>
    </w:p>
    <w:p>
      <w:pPr>
        <w:pStyle w:val="BodyText"/>
        <w:rPr>
          <w:sz w:val="20"/>
        </w:rPr>
      </w:pPr>
    </w:p>
    <w:p>
      <w:pPr>
        <w:pStyle w:val="BodyText"/>
        <w:spacing w:before="9"/>
        <w:rPr>
          <w:sz w:val="24"/>
        </w:rPr>
      </w:pPr>
      <w:r>
        <w:rPr/>
        <w:pict>
          <v:line style="position:absolute;mso-position-horizontal-relative:page;mso-position-vertical-relative:paragraph;z-index:12032;mso-wrap-distance-left:0;mso-wrap-distance-right:0" from="70.823997pt,16.331236pt" to="214.843997pt,16.331236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865 </w:t>
      </w:r>
      <w:r>
        <w:rPr>
          <w:sz w:val="20"/>
        </w:rPr>
        <w:t>Marianne E. Meyer: Spirulina – Wundernahrung der Zukunft ('Wonder Food of the Future'), 2002, p. 58</w:t>
      </w:r>
    </w:p>
    <w:p>
      <w:pPr>
        <w:pStyle w:val="BodyText"/>
        <w:rPr>
          <w:sz w:val="22"/>
        </w:rPr>
      </w:pPr>
    </w:p>
    <w:p>
      <w:pPr>
        <w:pStyle w:val="BodyText"/>
        <w:spacing w:before="8"/>
        <w:rPr>
          <w:sz w:val="23"/>
        </w:rPr>
      </w:pPr>
    </w:p>
    <w:p>
      <w:pPr>
        <w:spacing w:before="0"/>
        <w:ind w:left="616" w:right="0" w:firstLine="0"/>
        <w:jc w:val="left"/>
        <w:rPr>
          <w:sz w:val="20"/>
        </w:rPr>
      </w:pPr>
      <w:r>
        <w:rPr/>
        <w:drawing>
          <wp:anchor distT="0" distB="0" distL="0" distR="0" allowOverlap="1" layoutInCell="1" locked="0" behindDoc="1" simplePos="0" relativeHeight="267179831">
            <wp:simplePos x="0" y="0"/>
            <wp:positionH relativeFrom="page">
              <wp:posOffset>985998</wp:posOffset>
            </wp:positionH>
            <wp:positionV relativeFrom="paragraph">
              <wp:posOffset>82272</wp:posOffset>
            </wp:positionV>
            <wp:extent cx="6379583" cy="902106"/>
            <wp:effectExtent l="0" t="0" r="0" b="0"/>
            <wp:wrapNone/>
            <wp:docPr id="585" name="image2.jpeg" descr=""/>
            <wp:cNvGraphicFramePr>
              <a:graphicFrameLocks noChangeAspect="1"/>
            </wp:cNvGraphicFramePr>
            <a:graphic>
              <a:graphicData uri="http://schemas.openxmlformats.org/drawingml/2006/picture">
                <pic:pic>
                  <pic:nvPicPr>
                    <pic:cNvPr id="586" name="image2.jpeg"/>
                    <pic:cNvPicPr/>
                  </pic:nvPicPr>
                  <pic:blipFill>
                    <a:blip r:embed="rId21" cstate="print"/>
                    <a:stretch>
                      <a:fillRect/>
                    </a:stretch>
                  </pic:blipFill>
                  <pic:spPr>
                    <a:xfrm>
                      <a:off x="0" y="0"/>
                      <a:ext cx="6379583" cy="902106"/>
                    </a:xfrm>
                    <a:prstGeom prst="rect">
                      <a:avLst/>
                    </a:prstGeom>
                  </pic:spPr>
                </pic:pic>
              </a:graphicData>
            </a:graphic>
          </wp:anchor>
        </w:drawing>
      </w:r>
      <w:r>
        <w:rPr>
          <w:color w:val="365F91"/>
          <w:position w:val="5"/>
          <w:sz w:val="13"/>
        </w:rPr>
        <w:t>866 </w:t>
      </w:r>
      <w:r>
        <w:rPr>
          <w:sz w:val="20"/>
          <w:u w:val="single"/>
        </w:rPr>
        <w:t>Khan M</w:t>
      </w:r>
      <w:r>
        <w:rPr>
          <w:color w:val="365F91"/>
          <w:sz w:val="20"/>
        </w:rPr>
        <w:t>. et al.: Protective effect of Spirulina against doxorubicin-induced cardiotoxicity, 2005 Dec; 19 (12), pp. 1030–1037</w:t>
      </w:r>
    </w:p>
    <w:p>
      <w:pPr>
        <w:spacing w:after="0"/>
        <w:jc w:val="left"/>
        <w:rPr>
          <w:sz w:val="20"/>
        </w:rPr>
        <w:sectPr>
          <w:footerReference w:type="default" r:id="rId367"/>
          <w:pgSz w:w="14270" w:h="16850"/>
          <w:pgMar w:footer="527" w:header="0" w:top="1320" w:bottom="720" w:left="800" w:right="1280"/>
          <w:pgNumType w:start="1556"/>
        </w:sectPr>
      </w:pPr>
    </w:p>
    <w:p>
      <w:pPr>
        <w:pStyle w:val="Heading1"/>
        <w:spacing w:line="261" w:lineRule="auto" w:before="77"/>
        <w:ind w:left="616" w:right="141"/>
        <w:jc w:val="both"/>
      </w:pPr>
      <w:r>
        <w:rPr/>
        <w:t>Spirulina</w:t>
      </w:r>
      <w:r>
        <w:rPr>
          <w:spacing w:val="-47"/>
        </w:rPr>
        <w:t> </w:t>
      </w:r>
      <w:r>
        <w:rPr/>
        <w:t>protects</w:t>
      </w:r>
      <w:r>
        <w:rPr>
          <w:spacing w:val="-46"/>
        </w:rPr>
        <w:t> </w:t>
      </w:r>
      <w:r>
        <w:rPr/>
        <w:t>hair,</w:t>
      </w:r>
      <w:r>
        <w:rPr>
          <w:spacing w:val="-47"/>
        </w:rPr>
        <w:t> </w:t>
      </w:r>
      <w:r>
        <w:rPr/>
        <w:t>skin</w:t>
      </w:r>
      <w:r>
        <w:rPr>
          <w:spacing w:val="-47"/>
        </w:rPr>
        <w:t> </w:t>
      </w:r>
      <w:r>
        <w:rPr/>
        <w:t>and</w:t>
      </w:r>
      <w:r>
        <w:rPr>
          <w:spacing w:val="-46"/>
        </w:rPr>
        <w:t> </w:t>
      </w:r>
      <w:r>
        <w:rPr/>
        <w:t>mucosa</w:t>
      </w:r>
      <w:r>
        <w:rPr>
          <w:spacing w:val="-46"/>
        </w:rPr>
        <w:t> </w:t>
      </w:r>
      <w:r>
        <w:rPr/>
        <w:t>from</w:t>
      </w:r>
      <w:r>
        <w:rPr>
          <w:spacing w:val="-47"/>
        </w:rPr>
        <w:t> </w:t>
      </w:r>
      <w:r>
        <w:rPr/>
        <w:t>the</w:t>
      </w:r>
      <w:r>
        <w:rPr>
          <w:spacing w:val="-46"/>
        </w:rPr>
        <w:t> </w:t>
      </w:r>
      <w:r>
        <w:rPr/>
        <w:t>side</w:t>
      </w:r>
      <w:r>
        <w:rPr>
          <w:spacing w:val="-47"/>
        </w:rPr>
        <w:t> </w:t>
      </w:r>
      <w:r>
        <w:rPr/>
        <w:t>effects</w:t>
      </w:r>
      <w:r>
        <w:rPr>
          <w:spacing w:val="-46"/>
        </w:rPr>
        <w:t> </w:t>
      </w:r>
      <w:r>
        <w:rPr/>
        <w:t>of</w:t>
      </w:r>
      <w:r>
        <w:rPr>
          <w:spacing w:val="-46"/>
        </w:rPr>
        <w:t> </w:t>
      </w:r>
      <w:r>
        <w:rPr/>
        <w:t>chem- otherapy</w:t>
      </w:r>
    </w:p>
    <w:p>
      <w:pPr>
        <w:pStyle w:val="BodyText"/>
        <w:spacing w:line="278" w:lineRule="auto" w:before="258"/>
        <w:ind w:left="616" w:right="133"/>
        <w:jc w:val="both"/>
      </w:pPr>
      <w:r>
        <w:rPr/>
        <w:t>Furthermore,</w:t>
      </w:r>
      <w:r>
        <w:rPr>
          <w:spacing w:val="-6"/>
        </w:rPr>
        <w:t> </w:t>
      </w:r>
      <w:r>
        <w:rPr/>
        <w:t>spirulina</w:t>
      </w:r>
      <w:r>
        <w:rPr>
          <w:spacing w:val="-7"/>
        </w:rPr>
        <w:t> </w:t>
      </w:r>
      <w:r>
        <w:rPr/>
        <w:t>can</w:t>
      </w:r>
      <w:r>
        <w:rPr>
          <w:spacing w:val="-6"/>
        </w:rPr>
        <w:t> </w:t>
      </w:r>
      <w:r>
        <w:rPr/>
        <w:t>protect</w:t>
      </w:r>
      <w:r>
        <w:rPr>
          <w:spacing w:val="-6"/>
        </w:rPr>
        <w:t> </w:t>
      </w:r>
      <w:r>
        <w:rPr/>
        <w:t>hair,</w:t>
      </w:r>
      <w:r>
        <w:rPr>
          <w:spacing w:val="-6"/>
        </w:rPr>
        <w:t> </w:t>
      </w:r>
      <w:r>
        <w:rPr/>
        <w:t>skin</w:t>
      </w:r>
      <w:r>
        <w:rPr>
          <w:spacing w:val="-6"/>
        </w:rPr>
        <w:t> </w:t>
      </w:r>
      <w:r>
        <w:rPr/>
        <w:t>and</w:t>
      </w:r>
      <w:r>
        <w:rPr>
          <w:spacing w:val="-9"/>
        </w:rPr>
        <w:t> </w:t>
      </w:r>
      <w:r>
        <w:rPr/>
        <w:t>mucosa</w:t>
      </w:r>
      <w:r>
        <w:rPr>
          <w:spacing w:val="-7"/>
        </w:rPr>
        <w:t> </w:t>
      </w:r>
      <w:r>
        <w:rPr/>
        <w:t>from</w:t>
      </w:r>
      <w:r>
        <w:rPr>
          <w:spacing w:val="-7"/>
        </w:rPr>
        <w:t> </w:t>
      </w:r>
      <w:r>
        <w:rPr/>
        <w:t>the</w:t>
      </w:r>
      <w:r>
        <w:rPr>
          <w:spacing w:val="-7"/>
        </w:rPr>
        <w:t> </w:t>
      </w:r>
      <w:r>
        <w:rPr/>
        <w:t>side</w:t>
      </w:r>
      <w:r>
        <w:rPr>
          <w:spacing w:val="-6"/>
        </w:rPr>
        <w:t> </w:t>
      </w:r>
      <w:r>
        <w:rPr/>
        <w:t>effects of chemotherapy (chemo</w:t>
      </w:r>
      <w:r>
        <w:rPr>
          <w:spacing w:val="2"/>
        </w:rPr>
        <w:t> </w:t>
      </w:r>
      <w:r>
        <w:rPr/>
        <w:t>protector).</w:t>
      </w:r>
    </w:p>
    <w:p>
      <w:pPr>
        <w:pStyle w:val="BodyText"/>
        <w:spacing w:before="232"/>
        <w:ind w:left="616"/>
      </w:pPr>
      <w:r>
        <w:rPr/>
        <w:t>Weight loss with spirulina</w:t>
      </w:r>
    </w:p>
    <w:p>
      <w:pPr>
        <w:pStyle w:val="BodyText"/>
        <w:spacing w:line="276" w:lineRule="auto" w:before="305"/>
        <w:ind w:left="616" w:right="133"/>
        <w:jc w:val="both"/>
      </w:pPr>
      <w:r>
        <w:rPr/>
        <w:t>Based on several aspects within a diet which spirulina fully satisfies, it has demonstrated itself to be a perfect nutritional supplement during diets or</w:t>
      </w:r>
      <w:r>
        <w:rPr>
          <w:spacing w:val="-55"/>
        </w:rPr>
        <w:t> </w:t>
      </w:r>
      <w:r>
        <w:rPr/>
        <w:t>fast- ing. Spirulina is generally considered to be a metabolic activator. The heavy macerating effect of spirulina creates a feeling of satiety via the dilating recep- tors of the stomach wall. Tyrosin and phenylalanine suppress feelings of hun- ger by triggering biochemical reactions in the affected brain regions. The sup- ply of protein, which is simply too low in may diets and results in muscle loss and the associated yo-yo effect, is another aspect. Yet we need every gram of muscle in order to maintain our metabolism.</w:t>
      </w:r>
    </w:p>
    <w:p>
      <w:pPr>
        <w:pStyle w:val="BodyText"/>
        <w:spacing w:line="276" w:lineRule="auto" w:before="241"/>
        <w:ind w:left="616" w:right="136"/>
        <w:jc w:val="both"/>
      </w:pPr>
      <w:r>
        <w:rPr/>
        <w:t>Spirulina is an excellent protein supplier with just a few calories (barely 4 kilo calories per gram of protein!) There is a pleasing aspect where exercising is concerned during a diet. In this case, fat-burning increases significantly!</w:t>
      </w:r>
    </w:p>
    <w:p>
      <w:pPr>
        <w:pStyle w:val="Heading1"/>
        <w:spacing w:before="222"/>
        <w:ind w:left="616"/>
        <w:jc w:val="both"/>
      </w:pPr>
      <w:r>
        <w:rPr/>
        <w:t>Summary of the advantages of spirulina during a diet or fasting</w:t>
      </w:r>
    </w:p>
    <w:p>
      <w:pPr>
        <w:pStyle w:val="ListParagraph"/>
        <w:numPr>
          <w:ilvl w:val="1"/>
          <w:numId w:val="120"/>
        </w:numPr>
        <w:tabs>
          <w:tab w:pos="1336" w:val="left" w:leader="none"/>
          <w:tab w:pos="1337" w:val="left" w:leader="none"/>
        </w:tabs>
        <w:spacing w:line="240" w:lineRule="auto" w:before="260" w:after="0"/>
        <w:ind w:left="1336" w:right="0" w:hanging="360"/>
        <w:jc w:val="left"/>
        <w:rPr>
          <w:sz w:val="38"/>
        </w:rPr>
      </w:pPr>
      <w:r>
        <w:rPr>
          <w:sz w:val="38"/>
        </w:rPr>
        <w:t>Spirulina regulates the</w:t>
      </w:r>
      <w:r>
        <w:rPr>
          <w:spacing w:val="4"/>
          <w:sz w:val="38"/>
        </w:rPr>
        <w:t> </w:t>
      </w:r>
      <w:r>
        <w:rPr>
          <w:sz w:val="38"/>
        </w:rPr>
        <w:t>metabolism.</w:t>
      </w:r>
    </w:p>
    <w:p>
      <w:pPr>
        <w:pStyle w:val="ListParagraph"/>
        <w:numPr>
          <w:ilvl w:val="1"/>
          <w:numId w:val="120"/>
        </w:numPr>
        <w:tabs>
          <w:tab w:pos="1336" w:val="left" w:leader="none"/>
          <w:tab w:pos="1337" w:val="left" w:leader="none"/>
        </w:tabs>
        <w:spacing w:line="240" w:lineRule="auto" w:before="184" w:after="0"/>
        <w:ind w:left="1336" w:right="0" w:hanging="360"/>
        <w:jc w:val="left"/>
        <w:rPr>
          <w:sz w:val="38"/>
        </w:rPr>
      </w:pPr>
      <w:r>
        <w:rPr>
          <w:sz w:val="38"/>
        </w:rPr>
        <w:t>Spirulina macerates significantly and ensures a feeling of</w:t>
      </w:r>
      <w:r>
        <w:rPr>
          <w:spacing w:val="-5"/>
          <w:sz w:val="38"/>
        </w:rPr>
        <w:t> </w:t>
      </w:r>
      <w:r>
        <w:rPr>
          <w:sz w:val="38"/>
        </w:rPr>
        <w:t>satiety.</w:t>
      </w:r>
    </w:p>
    <w:p>
      <w:pPr>
        <w:pStyle w:val="ListParagraph"/>
        <w:numPr>
          <w:ilvl w:val="1"/>
          <w:numId w:val="120"/>
        </w:numPr>
        <w:tabs>
          <w:tab w:pos="1336" w:val="left" w:leader="none"/>
          <w:tab w:pos="1337" w:val="left" w:leader="none"/>
        </w:tabs>
        <w:spacing w:line="240" w:lineRule="auto" w:before="184" w:after="0"/>
        <w:ind w:left="1336" w:right="0" w:hanging="360"/>
        <w:jc w:val="left"/>
        <w:rPr>
          <w:sz w:val="38"/>
        </w:rPr>
      </w:pPr>
      <w:r>
        <w:rPr>
          <w:sz w:val="38"/>
        </w:rPr>
        <w:t>Tyrosin</w:t>
      </w:r>
      <w:r>
        <w:rPr>
          <w:spacing w:val="71"/>
          <w:sz w:val="38"/>
        </w:rPr>
        <w:t> </w:t>
      </w:r>
      <w:r>
        <w:rPr>
          <w:sz w:val="38"/>
        </w:rPr>
        <w:t>and</w:t>
      </w:r>
      <w:r>
        <w:rPr>
          <w:spacing w:val="71"/>
          <w:sz w:val="38"/>
        </w:rPr>
        <w:t> </w:t>
      </w:r>
      <w:r>
        <w:rPr>
          <w:sz w:val="38"/>
        </w:rPr>
        <w:t>phenylalanine</w:t>
      </w:r>
      <w:r>
        <w:rPr>
          <w:spacing w:val="70"/>
          <w:sz w:val="38"/>
        </w:rPr>
        <w:t> </w:t>
      </w:r>
      <w:r>
        <w:rPr>
          <w:sz w:val="38"/>
        </w:rPr>
        <w:t>trigger</w:t>
      </w:r>
      <w:r>
        <w:rPr>
          <w:spacing w:val="71"/>
          <w:sz w:val="38"/>
        </w:rPr>
        <w:t> </w:t>
      </w:r>
      <w:r>
        <w:rPr>
          <w:sz w:val="38"/>
        </w:rPr>
        <w:t>hunger-suppressing</w:t>
      </w:r>
      <w:r>
        <w:rPr>
          <w:spacing w:val="71"/>
          <w:sz w:val="38"/>
        </w:rPr>
        <w:t> </w:t>
      </w:r>
      <w:r>
        <w:rPr>
          <w:sz w:val="38"/>
        </w:rPr>
        <w:t>activities</w:t>
      </w:r>
      <w:r>
        <w:rPr>
          <w:spacing w:val="71"/>
          <w:sz w:val="38"/>
        </w:rPr>
        <w:t> </w:t>
      </w:r>
      <w:r>
        <w:rPr>
          <w:sz w:val="38"/>
        </w:rPr>
        <w:t>in</w:t>
      </w:r>
      <w:r>
        <w:rPr>
          <w:spacing w:val="70"/>
          <w:sz w:val="38"/>
        </w:rPr>
        <w:t> </w:t>
      </w:r>
      <w:r>
        <w:rPr>
          <w:sz w:val="38"/>
        </w:rPr>
        <w:t>the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r>
        <w:rPr/>
        <w:drawing>
          <wp:anchor distT="0" distB="0" distL="0" distR="0" allowOverlap="1" layoutInCell="1" locked="0" behindDoc="0" simplePos="0" relativeHeight="12080">
            <wp:simplePos x="0" y="0"/>
            <wp:positionH relativeFrom="page">
              <wp:posOffset>985998</wp:posOffset>
            </wp:positionH>
            <wp:positionV relativeFrom="paragraph">
              <wp:posOffset>236190</wp:posOffset>
            </wp:positionV>
            <wp:extent cx="6340974" cy="896874"/>
            <wp:effectExtent l="0" t="0" r="0" b="0"/>
            <wp:wrapTopAndBottom/>
            <wp:docPr id="587" name="image2.jpeg" descr=""/>
            <wp:cNvGraphicFramePr>
              <a:graphicFrameLocks noChangeAspect="1"/>
            </wp:cNvGraphicFramePr>
            <a:graphic>
              <a:graphicData uri="http://schemas.openxmlformats.org/drawingml/2006/picture">
                <pic:pic>
                  <pic:nvPicPr>
                    <pic:cNvPr id="588" name="image2.jpeg"/>
                    <pic:cNvPicPr/>
                  </pic:nvPicPr>
                  <pic:blipFill>
                    <a:blip r:embed="rId21" cstate="print"/>
                    <a:stretch>
                      <a:fillRect/>
                    </a:stretch>
                  </pic:blipFill>
                  <pic:spPr>
                    <a:xfrm>
                      <a:off x="0" y="0"/>
                      <a:ext cx="6340974" cy="896874"/>
                    </a:xfrm>
                    <a:prstGeom prst="rect">
                      <a:avLst/>
                    </a:prstGeom>
                  </pic:spPr>
                </pic:pic>
              </a:graphicData>
            </a:graphic>
          </wp:anchor>
        </w:drawing>
      </w:r>
    </w:p>
    <w:p>
      <w:pPr>
        <w:spacing w:after="0"/>
        <w:rPr>
          <w:sz w:val="29"/>
        </w:rPr>
        <w:sectPr>
          <w:pgSz w:w="14270" w:h="16850"/>
          <w:pgMar w:header="0" w:footer="527" w:top="1320" w:bottom="720" w:left="800" w:right="1280"/>
        </w:sectPr>
      </w:pPr>
    </w:p>
    <w:p>
      <w:pPr>
        <w:pStyle w:val="BodyText"/>
        <w:spacing w:before="72"/>
        <w:ind w:left="1336"/>
      </w:pPr>
      <w:r>
        <w:rPr/>
        <w:t>brain.</w:t>
      </w:r>
    </w:p>
    <w:p>
      <w:pPr>
        <w:pStyle w:val="ListParagraph"/>
        <w:numPr>
          <w:ilvl w:val="1"/>
          <w:numId w:val="120"/>
        </w:numPr>
        <w:tabs>
          <w:tab w:pos="1336" w:val="left" w:leader="none"/>
          <w:tab w:pos="1337" w:val="left" w:leader="none"/>
        </w:tabs>
        <w:spacing w:line="240" w:lineRule="auto" w:before="186" w:after="0"/>
        <w:ind w:left="1336" w:right="0" w:hanging="360"/>
        <w:jc w:val="left"/>
        <w:rPr>
          <w:sz w:val="38"/>
        </w:rPr>
      </w:pPr>
      <w:r>
        <w:rPr>
          <w:sz w:val="38"/>
        </w:rPr>
        <w:t>The amino acids in spirulina combat the dreaded muscle</w:t>
      </w:r>
      <w:r>
        <w:rPr>
          <w:spacing w:val="-5"/>
          <w:sz w:val="38"/>
        </w:rPr>
        <w:t> </w:t>
      </w:r>
      <w:r>
        <w:rPr>
          <w:sz w:val="38"/>
        </w:rPr>
        <w:t>loss.</w:t>
      </w:r>
    </w:p>
    <w:p>
      <w:pPr>
        <w:pStyle w:val="ListParagraph"/>
        <w:numPr>
          <w:ilvl w:val="1"/>
          <w:numId w:val="120"/>
        </w:numPr>
        <w:tabs>
          <w:tab w:pos="1336" w:val="left" w:leader="none"/>
          <w:tab w:pos="1337" w:val="left" w:leader="none"/>
        </w:tabs>
        <w:spacing w:line="240" w:lineRule="auto" w:before="183" w:after="0"/>
        <w:ind w:left="1336" w:right="0" w:hanging="360"/>
        <w:jc w:val="left"/>
        <w:rPr>
          <w:sz w:val="38"/>
        </w:rPr>
      </w:pPr>
      <w:r>
        <w:rPr>
          <w:sz w:val="38"/>
        </w:rPr>
        <w:t>More fat is burned during</w:t>
      </w:r>
      <w:r>
        <w:rPr>
          <w:spacing w:val="-1"/>
          <w:sz w:val="38"/>
        </w:rPr>
        <w:t> </w:t>
      </w:r>
      <w:r>
        <w:rPr>
          <w:sz w:val="38"/>
        </w:rPr>
        <w:t>exercise.</w:t>
      </w:r>
    </w:p>
    <w:p>
      <w:pPr>
        <w:pStyle w:val="Heading1"/>
        <w:spacing w:before="290"/>
        <w:ind w:left="616"/>
        <w:jc w:val="both"/>
      </w:pPr>
      <w:r>
        <w:rPr/>
        <w:t>Spirulina increases fat-burning by 11 % during exercise</w:t>
      </w:r>
    </w:p>
    <w:p>
      <w:pPr>
        <w:pStyle w:val="BodyText"/>
        <w:spacing w:line="276" w:lineRule="auto" w:before="297"/>
        <w:ind w:left="616" w:right="135"/>
        <w:jc w:val="both"/>
        <w:rPr>
          <w:sz w:val="25"/>
        </w:rPr>
      </w:pPr>
      <w:r>
        <w:rPr/>
        <w:t>According to a study published in the magazine 'Medicine and Science in Sports and Exercise', the consumption of spirulina was able to significantly increase fat burning. In the study, nine men were given spirulina for a month and a further nine were given a placebo; both groups took part in two hours of running training on a treadmill at 70-75 % and 90 % of VO2 until exhaus- tion. In the spirulina group, recovery time was shorter, fat burning was 11 % higher and KH oxidation was 10 % higher, indicating a significant increase in performance due to spirulina.</w:t>
      </w:r>
      <w:r>
        <w:rPr>
          <w:position w:val="9"/>
          <w:sz w:val="25"/>
        </w:rPr>
        <w:t>867</w:t>
      </w:r>
    </w:p>
    <w:p>
      <w:pPr>
        <w:pStyle w:val="Heading2"/>
        <w:spacing w:before="242"/>
        <w:ind w:left="616"/>
      </w:pPr>
      <w:r>
        <w:rPr/>
        <w:t>Spirulina – the scientific studies</w:t>
      </w:r>
    </w:p>
    <w:p>
      <w:pPr>
        <w:spacing w:before="287"/>
        <w:ind w:left="616" w:right="0" w:firstLine="0"/>
        <w:jc w:val="left"/>
        <w:rPr>
          <w:b/>
          <w:i/>
          <w:sz w:val="40"/>
        </w:rPr>
      </w:pPr>
      <w:r>
        <w:rPr>
          <w:b/>
          <w:i/>
          <w:sz w:val="40"/>
        </w:rPr>
        <w:t>Cholesterol-lowering effect confirmed in</w:t>
      </w:r>
      <w:r>
        <w:rPr>
          <w:b/>
          <w:i/>
          <w:spacing w:val="-58"/>
          <w:sz w:val="40"/>
        </w:rPr>
        <w:t> </w:t>
      </w:r>
      <w:r>
        <w:rPr>
          <w:b/>
          <w:i/>
          <w:sz w:val="40"/>
        </w:rPr>
        <w:t>studies</w:t>
      </w:r>
    </w:p>
    <w:p>
      <w:pPr>
        <w:pStyle w:val="BodyText"/>
        <w:spacing w:line="276" w:lineRule="auto" w:before="297"/>
        <w:ind w:left="616" w:right="134"/>
        <w:jc w:val="both"/>
      </w:pPr>
      <w:r>
        <w:rPr/>
        <w:t>Spirulina has exhibited a cholesterol-lowering effect in several studies and is therefore predestined for preventative and curative use for numerous cardio- vascular diseases.</w:t>
      </w:r>
      <w:r>
        <w:rPr>
          <w:position w:val="9"/>
          <w:sz w:val="25"/>
        </w:rPr>
        <w:t>868 </w:t>
      </w:r>
      <w:r>
        <w:rPr/>
        <w:t>In another study at the University in Tokai, 30 male test subjects demonstrated a cholesterol-lowering effect using spirulina. The men were divided into two groups. Group A was given 4.2 g of spirulina every day for eight weeks and Group B received the same amount but only for the</w:t>
      </w:r>
      <w:r>
        <w:rPr>
          <w:spacing w:val="83"/>
        </w:rPr>
        <w:t> </w:t>
      </w:r>
      <w:r>
        <w:rPr/>
        <w:t>first</w:t>
      </w:r>
    </w:p>
    <w:p>
      <w:pPr>
        <w:pStyle w:val="BodyText"/>
        <w:spacing w:before="7"/>
        <w:rPr>
          <w:sz w:val="10"/>
        </w:rPr>
      </w:pPr>
      <w:r>
        <w:rPr/>
        <w:pict>
          <v:line style="position:absolute;mso-position-horizontal-relative:page;mso-position-vertical-relative:paragraph;z-index:12104;mso-wrap-distance-left:0;mso-wrap-distance-right:0" from="70.823997pt,8.354976pt" to="214.843997pt,8.354976pt" stroked="true" strokeweight=".71997pt" strokecolor="#000000">
            <v:stroke dashstyle="solid"/>
            <w10:wrap type="topAndBottom"/>
          </v:line>
        </w:pict>
      </w:r>
    </w:p>
    <w:p>
      <w:pPr>
        <w:pStyle w:val="BodyText"/>
        <w:spacing w:before="7"/>
        <w:rPr>
          <w:sz w:val="18"/>
        </w:rPr>
      </w:pPr>
    </w:p>
    <w:p>
      <w:pPr>
        <w:spacing w:line="276" w:lineRule="auto" w:before="99"/>
        <w:ind w:left="616" w:right="244" w:firstLine="0"/>
        <w:jc w:val="left"/>
        <w:rPr>
          <w:sz w:val="20"/>
        </w:rPr>
      </w:pPr>
      <w:r>
        <w:rPr>
          <w:position w:val="5"/>
          <w:sz w:val="13"/>
        </w:rPr>
        <w:t>867 </w:t>
      </w:r>
      <w:r>
        <w:rPr>
          <w:sz w:val="20"/>
        </w:rPr>
        <w:t>Kalafati M. et al.: Ergogenic and antioxidant effects of spirulina supplementation in humans, Med Sci Sports Exerc. 2010 Jan, 42 (1), pp. 142– 151</w:t>
      </w:r>
    </w:p>
    <w:p>
      <w:pPr>
        <w:spacing w:line="276" w:lineRule="auto" w:before="61"/>
        <w:ind w:left="616" w:right="244" w:firstLine="0"/>
        <w:jc w:val="left"/>
        <w:rPr>
          <w:sz w:val="20"/>
        </w:rPr>
      </w:pPr>
      <w:r>
        <w:rPr/>
        <w:pict>
          <v:group style="position:absolute;margin-left:69.384003pt;margin-top:19.488169pt;width:574.3pt;height:71.05pt;mso-position-horizontal-relative:page;mso-position-vertical-relative:paragraph;z-index:-1255552" coordorigin="1388,390" coordsize="11486,1421">
            <v:shape style="position:absolute;left:1552;top:389;width:10047;height:1421" type="#_x0000_t75" stroked="false">
              <v:imagedata r:id="rId21" o:title=""/>
            </v:shape>
            <v:rect style="position:absolute;left:1387;top:581;width:11486;height:257" filled="true" fillcolor="#ffffff" stroked="false">
              <v:fill type="solid"/>
            </v:rect>
            <w10:wrap type="none"/>
          </v:group>
        </w:pict>
      </w:r>
      <w:r>
        <w:rPr>
          <w:position w:val="5"/>
          <w:sz w:val="13"/>
        </w:rPr>
        <w:t>868 </w:t>
      </w:r>
      <w:r>
        <w:rPr>
          <w:sz w:val="20"/>
        </w:rPr>
        <w:t>Joventino I. P. et al.: The Microalga Spirulina platensis Presents Anti-inflammatory Action as well as Hypoglycemic and Hypolipidemic Proper- ties in Diabetic Rats. J Complement Integr Med. 2012 Aug 10, 9 (1). pii: /j/jcim.2012.9.issue-1/1553–3840.1534/1553–3840.1534.xml. doi: 10.1515/1553–3840.1534.</w:t>
      </w:r>
    </w:p>
    <w:p>
      <w:pPr>
        <w:spacing w:after="0" w:line="276" w:lineRule="auto"/>
        <w:jc w:val="left"/>
        <w:rPr>
          <w:sz w:val="20"/>
        </w:rPr>
        <w:sectPr>
          <w:pgSz w:w="14270" w:h="16850"/>
          <w:pgMar w:header="0" w:footer="527" w:top="1340" w:bottom="720" w:left="800" w:right="1280"/>
        </w:sectPr>
      </w:pPr>
    </w:p>
    <w:p>
      <w:pPr>
        <w:pStyle w:val="BodyText"/>
        <w:spacing w:line="276" w:lineRule="auto" w:before="72"/>
        <w:ind w:left="616" w:right="134"/>
        <w:jc w:val="both"/>
        <w:rPr>
          <w:sz w:val="25"/>
        </w:rPr>
      </w:pPr>
      <w:r>
        <w:rPr/>
        <w:t>four weeks – in the remaining four weeks, this group was given a placebo. A significant reduction of the cholesterol level from 243.5 mg/dl to an average of 232.7 mg was observed.</w:t>
      </w:r>
      <w:r>
        <w:rPr>
          <w:position w:val="9"/>
          <w:sz w:val="25"/>
        </w:rPr>
        <w:t>869</w:t>
      </w:r>
    </w:p>
    <w:p>
      <w:pPr>
        <w:pStyle w:val="Heading1"/>
        <w:ind w:left="616"/>
      </w:pPr>
      <w:r>
        <w:rPr/>
        <w:t>Effect of spirulina after a stroke</w:t>
      </w:r>
    </w:p>
    <w:p>
      <w:pPr>
        <w:pStyle w:val="BodyText"/>
        <w:spacing w:line="278" w:lineRule="auto" w:before="299"/>
        <w:ind w:left="616"/>
        <w:rPr>
          <w:sz w:val="25"/>
        </w:rPr>
      </w:pPr>
      <w:r>
        <w:rPr/>
        <w:t>In</w:t>
      </w:r>
      <w:r>
        <w:rPr>
          <w:spacing w:val="-10"/>
        </w:rPr>
        <w:t> </w:t>
      </w:r>
      <w:r>
        <w:rPr/>
        <w:t>an</w:t>
      </w:r>
      <w:r>
        <w:rPr>
          <w:spacing w:val="-10"/>
        </w:rPr>
        <w:t> </w:t>
      </w:r>
      <w:r>
        <w:rPr/>
        <w:t>animal</w:t>
      </w:r>
      <w:r>
        <w:rPr>
          <w:spacing w:val="-10"/>
        </w:rPr>
        <w:t> </w:t>
      </w:r>
      <w:r>
        <w:rPr/>
        <w:t>trial,</w:t>
      </w:r>
      <w:r>
        <w:rPr>
          <w:spacing w:val="-10"/>
        </w:rPr>
        <w:t> </w:t>
      </w:r>
      <w:r>
        <w:rPr/>
        <w:t>spirulina</w:t>
      </w:r>
      <w:r>
        <w:rPr>
          <w:spacing w:val="-9"/>
        </w:rPr>
        <w:t> </w:t>
      </w:r>
      <w:r>
        <w:rPr/>
        <w:t>reduced</w:t>
      </w:r>
      <w:r>
        <w:rPr>
          <w:spacing w:val="-11"/>
        </w:rPr>
        <w:t> </w:t>
      </w:r>
      <w:r>
        <w:rPr/>
        <w:t>the</w:t>
      </w:r>
      <w:r>
        <w:rPr>
          <w:spacing w:val="-8"/>
        </w:rPr>
        <w:t> </w:t>
      </w:r>
      <w:r>
        <w:rPr/>
        <w:t>extent</w:t>
      </w:r>
      <w:r>
        <w:rPr>
          <w:spacing w:val="-10"/>
        </w:rPr>
        <w:t> </w:t>
      </w:r>
      <w:r>
        <w:rPr/>
        <w:t>of</w:t>
      </w:r>
      <w:r>
        <w:rPr>
          <w:spacing w:val="-11"/>
        </w:rPr>
        <w:t> </w:t>
      </w:r>
      <w:r>
        <w:rPr/>
        <w:t>a</w:t>
      </w:r>
      <w:r>
        <w:rPr>
          <w:spacing w:val="-11"/>
        </w:rPr>
        <w:t> </w:t>
      </w:r>
      <w:r>
        <w:rPr/>
        <w:t>stroke</w:t>
      </w:r>
      <w:r>
        <w:rPr>
          <w:spacing w:val="-9"/>
        </w:rPr>
        <w:t> </w:t>
      </w:r>
      <w:r>
        <w:rPr/>
        <w:t>and</w:t>
      </w:r>
      <w:r>
        <w:rPr>
          <w:spacing w:val="-10"/>
        </w:rPr>
        <w:t> </w:t>
      </w:r>
      <w:r>
        <w:rPr/>
        <w:t>affected</w:t>
      </w:r>
      <w:r>
        <w:rPr>
          <w:spacing w:val="-9"/>
        </w:rPr>
        <w:t> </w:t>
      </w:r>
      <w:r>
        <w:rPr/>
        <w:t>animals regained their movement more</w:t>
      </w:r>
      <w:r>
        <w:rPr>
          <w:spacing w:val="1"/>
        </w:rPr>
        <w:t> </w:t>
      </w:r>
      <w:r>
        <w:rPr/>
        <w:t>quickly.</w:t>
      </w:r>
      <w:r>
        <w:rPr>
          <w:position w:val="9"/>
          <w:sz w:val="25"/>
        </w:rPr>
        <w:t>870</w:t>
      </w:r>
    </w:p>
    <w:p>
      <w:pPr>
        <w:pStyle w:val="Heading1"/>
        <w:spacing w:before="215"/>
        <w:ind w:left="616"/>
      </w:pPr>
      <w:r>
        <w:rPr/>
        <w:t>Effect of spirulina against cancer explicitly proven in studies</w:t>
      </w:r>
    </w:p>
    <w:p>
      <w:pPr>
        <w:pStyle w:val="BodyText"/>
        <w:spacing w:line="276" w:lineRule="auto" w:before="300"/>
        <w:ind w:left="616" w:right="134"/>
        <w:jc w:val="both"/>
        <w:rPr>
          <w:sz w:val="25"/>
        </w:rPr>
      </w:pPr>
      <w:r>
        <w:rPr/>
        <w:t>Spirulina was tested repeatedly on cancer during the 1880s at the famous</w:t>
      </w:r>
      <w:r>
        <w:rPr>
          <w:spacing w:val="-56"/>
        </w:rPr>
        <w:t> </w:t>
      </w:r>
      <w:r>
        <w:rPr/>
        <w:t>Har- vard University School of Dental Medicine in Boston. Scientists Schwartz</w:t>
      </w:r>
      <w:r>
        <w:rPr>
          <w:spacing w:val="-53"/>
        </w:rPr>
        <w:t> </w:t>
      </w:r>
      <w:r>
        <w:rPr/>
        <w:t>and Shklar were able to determine the following in all the studies:</w:t>
      </w:r>
      <w:r>
        <w:rPr>
          <w:position w:val="9"/>
          <w:sz w:val="25"/>
        </w:rPr>
        <w:t>871</w:t>
      </w:r>
    </w:p>
    <w:p>
      <w:pPr>
        <w:pStyle w:val="ListParagraph"/>
        <w:numPr>
          <w:ilvl w:val="0"/>
          <w:numId w:val="120"/>
        </w:numPr>
        <w:tabs>
          <w:tab w:pos="840" w:val="left" w:leader="none"/>
        </w:tabs>
        <w:spacing w:line="240" w:lineRule="auto" w:before="199" w:after="0"/>
        <w:ind w:left="839" w:right="0" w:hanging="223"/>
        <w:jc w:val="left"/>
        <w:rPr>
          <w:sz w:val="38"/>
        </w:rPr>
      </w:pPr>
      <w:r>
        <w:rPr>
          <w:sz w:val="38"/>
        </w:rPr>
        <w:t>Spirulina reduces the number and size of tumours.</w:t>
      </w:r>
    </w:p>
    <w:p>
      <w:pPr>
        <w:pStyle w:val="ListParagraph"/>
        <w:numPr>
          <w:ilvl w:val="0"/>
          <w:numId w:val="120"/>
        </w:numPr>
        <w:tabs>
          <w:tab w:pos="840" w:val="left" w:leader="none"/>
        </w:tabs>
        <w:spacing w:line="240" w:lineRule="auto" w:before="184" w:after="0"/>
        <w:ind w:left="839" w:right="0" w:hanging="223"/>
        <w:jc w:val="left"/>
        <w:rPr>
          <w:sz w:val="38"/>
        </w:rPr>
      </w:pPr>
      <w:r>
        <w:rPr>
          <w:sz w:val="38"/>
        </w:rPr>
        <w:t>Spirulina slows the development of</w:t>
      </w:r>
      <w:r>
        <w:rPr>
          <w:spacing w:val="-1"/>
          <w:sz w:val="38"/>
        </w:rPr>
        <w:t> </w:t>
      </w:r>
      <w:r>
        <w:rPr>
          <w:sz w:val="38"/>
        </w:rPr>
        <w:t>cancer.</w:t>
      </w:r>
    </w:p>
    <w:p>
      <w:pPr>
        <w:pStyle w:val="ListParagraph"/>
        <w:numPr>
          <w:ilvl w:val="0"/>
          <w:numId w:val="120"/>
        </w:numPr>
        <w:tabs>
          <w:tab w:pos="840" w:val="left" w:leader="none"/>
        </w:tabs>
        <w:spacing w:line="240" w:lineRule="auto" w:before="186" w:after="0"/>
        <w:ind w:left="839" w:right="0" w:hanging="223"/>
        <w:jc w:val="left"/>
        <w:rPr>
          <w:sz w:val="38"/>
        </w:rPr>
      </w:pPr>
      <w:r>
        <w:rPr>
          <w:sz w:val="38"/>
        </w:rPr>
        <w:t>Spirulina prevents the development of</w:t>
      </w:r>
      <w:r>
        <w:rPr>
          <w:spacing w:val="1"/>
          <w:sz w:val="38"/>
        </w:rPr>
        <w:t> </w:t>
      </w:r>
      <w:r>
        <w:rPr>
          <w:sz w:val="38"/>
        </w:rPr>
        <w:t>cancer.</w:t>
      </w:r>
    </w:p>
    <w:p>
      <w:pPr>
        <w:pStyle w:val="BodyText"/>
        <w:spacing w:line="278" w:lineRule="auto" w:before="302"/>
        <w:ind w:left="616"/>
      </w:pPr>
      <w:r>
        <w:rPr/>
        <w:t>In another study, Quereshi et al. 1995 were able to demonstrate that a water- soluble extract of spirulina promoted the death of cancer cells.</w:t>
      </w:r>
    </w:p>
    <w:p>
      <w:pPr>
        <w:pStyle w:val="Heading1"/>
        <w:spacing w:before="215"/>
        <w:ind w:left="616"/>
      </w:pPr>
      <w:r>
        <w:rPr/>
        <w:t>1 g of spirulina heals cancer!</w:t>
      </w:r>
    </w:p>
    <w:p>
      <w:pPr>
        <w:pStyle w:val="BodyText"/>
        <w:spacing w:line="276" w:lineRule="auto" w:before="300"/>
        <w:ind w:left="616"/>
      </w:pPr>
      <w:r>
        <w:rPr/>
        <w:t>The</w:t>
      </w:r>
      <w:r>
        <w:rPr>
          <w:spacing w:val="-23"/>
        </w:rPr>
        <w:t> </w:t>
      </w:r>
      <w:r>
        <w:rPr/>
        <w:t>researcher</w:t>
      </w:r>
      <w:r>
        <w:rPr>
          <w:spacing w:val="-24"/>
        </w:rPr>
        <w:t> </w:t>
      </w:r>
      <w:r>
        <w:rPr/>
        <w:t>Mathew</w:t>
      </w:r>
      <w:r>
        <w:rPr>
          <w:spacing w:val="-25"/>
        </w:rPr>
        <w:t> </w:t>
      </w:r>
      <w:r>
        <w:rPr/>
        <w:t>and</w:t>
      </w:r>
      <w:r>
        <w:rPr>
          <w:spacing w:val="-23"/>
        </w:rPr>
        <w:t> </w:t>
      </w:r>
      <w:r>
        <w:rPr/>
        <w:t>colleagues</w:t>
      </w:r>
      <w:r>
        <w:rPr>
          <w:spacing w:val="-22"/>
        </w:rPr>
        <w:t> </w:t>
      </w:r>
      <w:r>
        <w:rPr/>
        <w:t>from</w:t>
      </w:r>
      <w:r>
        <w:rPr>
          <w:spacing w:val="-24"/>
        </w:rPr>
        <w:t> </w:t>
      </w:r>
      <w:r>
        <w:rPr/>
        <w:t>India</w:t>
      </w:r>
      <w:r>
        <w:rPr>
          <w:spacing w:val="-24"/>
        </w:rPr>
        <w:t> </w:t>
      </w:r>
      <w:r>
        <w:rPr/>
        <w:t>administered</w:t>
      </w:r>
      <w:r>
        <w:rPr>
          <w:spacing w:val="-22"/>
        </w:rPr>
        <w:t> </w:t>
      </w:r>
      <w:r>
        <w:rPr/>
        <w:t>1</w:t>
      </w:r>
      <w:r>
        <w:rPr>
          <w:spacing w:val="-24"/>
        </w:rPr>
        <w:t> </w:t>
      </w:r>
      <w:r>
        <w:rPr/>
        <w:t>g</w:t>
      </w:r>
      <w:r>
        <w:rPr>
          <w:spacing w:val="-22"/>
        </w:rPr>
        <w:t> </w:t>
      </w:r>
      <w:r>
        <w:rPr/>
        <w:t>of</w:t>
      </w:r>
      <w:r>
        <w:rPr>
          <w:spacing w:val="-22"/>
        </w:rPr>
        <w:t> </w:t>
      </w:r>
      <w:r>
        <w:rPr/>
        <w:t>spirulina to</w:t>
      </w:r>
      <w:r>
        <w:rPr>
          <w:spacing w:val="-11"/>
        </w:rPr>
        <w:t> </w:t>
      </w:r>
      <w:r>
        <w:rPr/>
        <w:t>44</w:t>
      </w:r>
      <w:r>
        <w:rPr>
          <w:spacing w:val="-11"/>
        </w:rPr>
        <w:t> </w:t>
      </w:r>
      <w:r>
        <w:rPr/>
        <w:t>tobacco</w:t>
      </w:r>
      <w:r>
        <w:rPr>
          <w:spacing w:val="-10"/>
        </w:rPr>
        <w:t> </w:t>
      </w:r>
      <w:r>
        <w:rPr/>
        <w:t>chewers</w:t>
      </w:r>
      <w:r>
        <w:rPr>
          <w:spacing w:val="-11"/>
        </w:rPr>
        <w:t> </w:t>
      </w:r>
      <w:r>
        <w:rPr/>
        <w:t>who</w:t>
      </w:r>
      <w:r>
        <w:rPr>
          <w:spacing w:val="-10"/>
        </w:rPr>
        <w:t> </w:t>
      </w:r>
      <w:r>
        <w:rPr/>
        <w:t>were</w:t>
      </w:r>
      <w:r>
        <w:rPr>
          <w:spacing w:val="-13"/>
        </w:rPr>
        <w:t> </w:t>
      </w:r>
      <w:r>
        <w:rPr/>
        <w:t>in</w:t>
      </w:r>
      <w:r>
        <w:rPr>
          <w:spacing w:val="-12"/>
        </w:rPr>
        <w:t> </w:t>
      </w:r>
      <w:r>
        <w:rPr/>
        <w:t>the</w:t>
      </w:r>
      <w:r>
        <w:rPr>
          <w:spacing w:val="-10"/>
        </w:rPr>
        <w:t> </w:t>
      </w:r>
      <w:r>
        <w:rPr/>
        <w:t>preliminary</w:t>
      </w:r>
      <w:r>
        <w:rPr>
          <w:spacing w:val="-14"/>
        </w:rPr>
        <w:t> </w:t>
      </w:r>
      <w:r>
        <w:rPr/>
        <w:t>stage</w:t>
      </w:r>
      <w:r>
        <w:rPr>
          <w:spacing w:val="-10"/>
        </w:rPr>
        <w:t> </w:t>
      </w:r>
      <w:r>
        <w:rPr/>
        <w:t>of</w:t>
      </w:r>
      <w:r>
        <w:rPr>
          <w:spacing w:val="-11"/>
        </w:rPr>
        <w:t> </w:t>
      </w:r>
      <w:r>
        <w:rPr/>
        <w:t>tongue</w:t>
      </w:r>
      <w:r>
        <w:rPr>
          <w:spacing w:val="-12"/>
        </w:rPr>
        <w:t> </w:t>
      </w:r>
      <w:r>
        <w:rPr/>
        <w:t>cancer,</w:t>
      </w:r>
      <w:r>
        <w:rPr>
          <w:spacing w:val="-12"/>
        </w:rPr>
        <w:t> </w:t>
      </w:r>
      <w:r>
        <w:rPr/>
        <w:t>the</w:t>
      </w:r>
    </w:p>
    <w:p>
      <w:pPr>
        <w:pStyle w:val="BodyText"/>
        <w:rPr>
          <w:sz w:val="20"/>
        </w:rPr>
      </w:pPr>
    </w:p>
    <w:p>
      <w:pPr>
        <w:pStyle w:val="BodyText"/>
        <w:spacing w:before="5"/>
        <w:rPr>
          <w:sz w:val="18"/>
        </w:rPr>
      </w:pPr>
      <w:r>
        <w:rPr/>
        <w:pict>
          <v:line style="position:absolute;mso-position-horizontal-relative:page;mso-position-vertical-relative:paragraph;z-index:12152;mso-wrap-distance-left:0;mso-wrap-distance-right:0" from="70.823997pt,12.743676pt" to="214.843997pt,12.743676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869 </w:t>
      </w:r>
      <w:r>
        <w:rPr>
          <w:sz w:val="20"/>
        </w:rPr>
        <w:t>Marianne E. Meyer: Spirulina – Die blaugrüne Wundernahrung ('The Blue-Green Wonder Food'), 1998, p. 68</w:t>
      </w:r>
    </w:p>
    <w:p>
      <w:pPr>
        <w:pStyle w:val="BodyText"/>
        <w:rPr>
          <w:sz w:val="22"/>
        </w:rPr>
      </w:pPr>
    </w:p>
    <w:p>
      <w:pPr>
        <w:pStyle w:val="BodyText"/>
        <w:spacing w:before="8"/>
        <w:rPr>
          <w:sz w:val="23"/>
        </w:rPr>
      </w:pPr>
    </w:p>
    <w:p>
      <w:pPr>
        <w:spacing w:before="0"/>
        <w:ind w:left="616" w:right="0" w:firstLine="0"/>
        <w:jc w:val="left"/>
        <w:rPr>
          <w:sz w:val="20"/>
        </w:rPr>
      </w:pPr>
      <w:r>
        <w:rPr>
          <w:color w:val="365F91"/>
          <w:position w:val="5"/>
          <w:sz w:val="13"/>
        </w:rPr>
        <w:t>870 </w:t>
      </w:r>
      <w:r>
        <w:rPr>
          <w:sz w:val="20"/>
        </w:rPr>
        <w:t>Wang Y</w:t>
      </w:r>
      <w:r>
        <w:rPr>
          <w:color w:val="365F91"/>
          <w:sz w:val="20"/>
        </w:rPr>
        <w:t>. et al.: Dietary supplementation with blueberries, spinach, or spirulina reduces ischemic brain damage. 2005 May, 193 (1), pp. 75-84.</w:t>
      </w:r>
    </w:p>
    <w:p>
      <w:pPr>
        <w:spacing w:before="94"/>
        <w:ind w:left="616" w:right="0" w:firstLine="0"/>
        <w:jc w:val="left"/>
        <w:rPr>
          <w:sz w:val="20"/>
        </w:rPr>
      </w:pPr>
      <w:r>
        <w:rPr>
          <w:position w:val="5"/>
          <w:sz w:val="13"/>
        </w:rPr>
        <w:t>871 </w:t>
      </w:r>
      <w:r>
        <w:rPr>
          <w:sz w:val="20"/>
        </w:rPr>
        <w:t>Marianne E. Meyer: Spirulina – Wundernahrung der Zukunft ('Wonder Food of the Future'), 2002, p. 58</w:t>
      </w:r>
    </w:p>
    <w:p>
      <w:pPr>
        <w:spacing w:after="0"/>
        <w:jc w:val="left"/>
        <w:rPr>
          <w:sz w:val="20"/>
        </w:rPr>
        <w:sectPr>
          <w:footerReference w:type="default" r:id="rId368"/>
          <w:pgSz w:w="14270" w:h="16850"/>
          <w:pgMar w:footer="1984" w:header="0" w:top="1340" w:bottom="2180" w:left="800" w:right="1280"/>
          <w:pgNumType w:start="155"/>
        </w:sectPr>
      </w:pPr>
    </w:p>
    <w:p>
      <w:pPr>
        <w:pStyle w:val="BodyText"/>
        <w:spacing w:line="276" w:lineRule="auto" w:before="72"/>
        <w:ind w:left="616" w:right="136"/>
        <w:jc w:val="both"/>
        <w:rPr>
          <w:sz w:val="25"/>
        </w:rPr>
      </w:pPr>
      <w:r>
        <w:rPr/>
        <w:t>control group were given a placebo. In the group which was given spirulina, 20 people were cancer-free after one year, but only three were healed in the placebo group.</w:t>
      </w:r>
      <w:r>
        <w:rPr>
          <w:position w:val="9"/>
          <w:sz w:val="25"/>
        </w:rPr>
        <w:t>872</w:t>
      </w:r>
    </w:p>
    <w:p>
      <w:pPr>
        <w:pStyle w:val="Heading1"/>
        <w:ind w:left="616"/>
      </w:pPr>
      <w:r>
        <w:rPr/>
        <w:t>Spirulina protects the heart against the side effects of chemotherapy</w:t>
      </w:r>
    </w:p>
    <w:p>
      <w:pPr>
        <w:pStyle w:val="BodyText"/>
        <w:spacing w:line="276" w:lineRule="auto" w:before="299"/>
        <w:ind w:left="616" w:right="134"/>
        <w:jc w:val="both"/>
        <w:rPr>
          <w:sz w:val="25"/>
        </w:rPr>
      </w:pPr>
      <w:r>
        <w:rPr/>
        <w:t>In</w:t>
      </w:r>
      <w:r>
        <w:rPr>
          <w:spacing w:val="-17"/>
        </w:rPr>
        <w:t> </w:t>
      </w:r>
      <w:r>
        <w:rPr/>
        <w:t>studies</w:t>
      </w:r>
      <w:r>
        <w:rPr>
          <w:spacing w:val="-17"/>
        </w:rPr>
        <w:t> </w:t>
      </w:r>
      <w:r>
        <w:rPr/>
        <w:t>on</w:t>
      </w:r>
      <w:r>
        <w:rPr>
          <w:spacing w:val="-17"/>
        </w:rPr>
        <w:t> </w:t>
      </w:r>
      <w:r>
        <w:rPr/>
        <w:t>mice,</w:t>
      </w:r>
      <w:r>
        <w:rPr>
          <w:spacing w:val="-16"/>
        </w:rPr>
        <w:t> </w:t>
      </w:r>
      <w:r>
        <w:rPr/>
        <w:t>spirulina</w:t>
      </w:r>
      <w:r>
        <w:rPr>
          <w:spacing w:val="-17"/>
        </w:rPr>
        <w:t> </w:t>
      </w:r>
      <w:r>
        <w:rPr/>
        <w:t>demonstrated</w:t>
      </w:r>
      <w:r>
        <w:rPr>
          <w:spacing w:val="-16"/>
        </w:rPr>
        <w:t> </w:t>
      </w:r>
      <w:r>
        <w:rPr/>
        <w:t>a</w:t>
      </w:r>
      <w:r>
        <w:rPr>
          <w:spacing w:val="-19"/>
        </w:rPr>
        <w:t> </w:t>
      </w:r>
      <w:r>
        <w:rPr/>
        <w:t>cardioprotective</w:t>
      </w:r>
      <w:r>
        <w:rPr>
          <w:spacing w:val="-17"/>
        </w:rPr>
        <w:t> </w:t>
      </w:r>
      <w:r>
        <w:rPr/>
        <w:t>effect</w:t>
      </w:r>
      <w:r>
        <w:rPr>
          <w:spacing w:val="-17"/>
        </w:rPr>
        <w:t> </w:t>
      </w:r>
      <w:r>
        <w:rPr/>
        <w:t>against</w:t>
      </w:r>
      <w:r>
        <w:rPr>
          <w:spacing w:val="-17"/>
        </w:rPr>
        <w:t> </w:t>
      </w:r>
      <w:r>
        <w:rPr/>
        <w:t>the chemotherapy substance 'doxorubicin', without having an influence on the</w:t>
      </w:r>
      <w:r>
        <w:rPr>
          <w:spacing w:val="-42"/>
        </w:rPr>
        <w:t> </w:t>
      </w:r>
      <w:r>
        <w:rPr/>
        <w:t>ef- fect of the</w:t>
      </w:r>
      <w:r>
        <w:rPr>
          <w:spacing w:val="1"/>
        </w:rPr>
        <w:t> </w:t>
      </w:r>
      <w:r>
        <w:rPr/>
        <w:t>substance.</w:t>
      </w:r>
      <w:r>
        <w:rPr>
          <w:position w:val="9"/>
          <w:sz w:val="25"/>
        </w:rPr>
        <w:t>873</w:t>
      </w:r>
    </w:p>
    <w:p>
      <w:pPr>
        <w:pStyle w:val="BodyText"/>
        <w:spacing w:before="242"/>
        <w:ind w:left="616"/>
      </w:pPr>
      <w:r>
        <w:rPr/>
        <w:t>Spirulina increases endurance performance and promotes fat burning</w:t>
      </w:r>
    </w:p>
    <w:p>
      <w:pPr>
        <w:pStyle w:val="BodyText"/>
        <w:spacing w:line="276" w:lineRule="auto" w:before="302"/>
        <w:ind w:left="616" w:right="136"/>
        <w:jc w:val="both"/>
        <w:rPr>
          <w:sz w:val="25"/>
        </w:rPr>
      </w:pPr>
      <w:r>
        <w:rPr/>
        <w:t>As already mentioned above, according to a study published in the magazine '</w:t>
      </w:r>
      <w:r>
        <w:rPr>
          <w:i/>
        </w:rPr>
        <w:t>Medicine</w:t>
      </w:r>
      <w:r>
        <w:rPr>
          <w:i/>
          <w:spacing w:val="-12"/>
        </w:rPr>
        <w:t> </w:t>
      </w:r>
      <w:r>
        <w:rPr>
          <w:i/>
        </w:rPr>
        <w:t>and</w:t>
      </w:r>
      <w:r>
        <w:rPr>
          <w:i/>
          <w:spacing w:val="-12"/>
        </w:rPr>
        <w:t> </w:t>
      </w:r>
      <w:r>
        <w:rPr>
          <w:i/>
        </w:rPr>
        <w:t>Science</w:t>
      </w:r>
      <w:r>
        <w:rPr>
          <w:i/>
          <w:spacing w:val="-12"/>
        </w:rPr>
        <w:t> </w:t>
      </w:r>
      <w:r>
        <w:rPr>
          <w:i/>
        </w:rPr>
        <w:t>in</w:t>
      </w:r>
      <w:r>
        <w:rPr>
          <w:i/>
          <w:spacing w:val="-14"/>
        </w:rPr>
        <w:t> </w:t>
      </w:r>
      <w:r>
        <w:rPr>
          <w:i/>
        </w:rPr>
        <w:t>Sports</w:t>
      </w:r>
      <w:r>
        <w:rPr>
          <w:i/>
          <w:spacing w:val="-12"/>
        </w:rPr>
        <w:t> </w:t>
      </w:r>
      <w:r>
        <w:rPr>
          <w:i/>
        </w:rPr>
        <w:t>and</w:t>
      </w:r>
      <w:r>
        <w:rPr>
          <w:i/>
          <w:spacing w:val="-15"/>
        </w:rPr>
        <w:t> </w:t>
      </w:r>
      <w:r>
        <w:rPr>
          <w:i/>
        </w:rPr>
        <w:t>Exercise</w:t>
      </w:r>
      <w:r>
        <w:rPr/>
        <w:t>',</w:t>
      </w:r>
      <w:r>
        <w:rPr>
          <w:spacing w:val="-11"/>
        </w:rPr>
        <w:t> </w:t>
      </w:r>
      <w:r>
        <w:rPr/>
        <w:t>the</w:t>
      </w:r>
      <w:r>
        <w:rPr>
          <w:spacing w:val="-11"/>
        </w:rPr>
        <w:t> </w:t>
      </w:r>
      <w:r>
        <w:rPr/>
        <w:t>consumption</w:t>
      </w:r>
      <w:r>
        <w:rPr>
          <w:spacing w:val="-11"/>
        </w:rPr>
        <w:t> </w:t>
      </w:r>
      <w:r>
        <w:rPr/>
        <w:t>of</w:t>
      </w:r>
      <w:r>
        <w:rPr>
          <w:spacing w:val="-14"/>
        </w:rPr>
        <w:t> </w:t>
      </w:r>
      <w:r>
        <w:rPr/>
        <w:t>spirulina</w:t>
      </w:r>
      <w:r>
        <w:rPr>
          <w:spacing w:val="-11"/>
        </w:rPr>
        <w:t> </w:t>
      </w:r>
      <w:r>
        <w:rPr/>
        <w:t>was</w:t>
      </w:r>
      <w:r>
        <w:rPr>
          <w:spacing w:val="-11"/>
        </w:rPr>
        <w:t> </w:t>
      </w:r>
      <w:r>
        <w:rPr/>
        <w:t>able to significantly increase endurance performance in test subjects when com- pared to the placebo group. In the study, nine men were given spirulina for a month and a further nine were given a placebo; both groups took part in two hours of running training on a treadmill at 70-75 % and 90 % of VO2 until exhaustion. In the spirulina group, recovery time was shorter, fat burning was 11 % higher and KH oxidation was 10 % higher, indicating a significant in- crease in performance due to</w:t>
      </w:r>
      <w:r>
        <w:rPr>
          <w:spacing w:val="2"/>
        </w:rPr>
        <w:t> </w:t>
      </w:r>
      <w:r>
        <w:rPr/>
        <w:t>spirulina.</w:t>
      </w:r>
      <w:r>
        <w:rPr>
          <w:position w:val="9"/>
          <w:sz w:val="25"/>
        </w:rPr>
        <w:t>874</w:t>
      </w:r>
    </w:p>
    <w:p>
      <w:pPr>
        <w:pStyle w:val="Heading1"/>
        <w:ind w:left="616"/>
        <w:jc w:val="both"/>
      </w:pPr>
      <w:r>
        <w:rPr/>
        <w:t>Spirulina is successful in detoxifying arsenic poisoning</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9"/>
        <w:rPr>
          <w:b/>
          <w:i/>
          <w:sz w:val="29"/>
        </w:rPr>
      </w:pPr>
      <w:r>
        <w:rPr/>
        <w:pict>
          <v:line style="position:absolute;mso-position-horizontal-relative:page;mso-position-vertical-relative:paragraph;z-index:12176;mso-wrap-distance-left:0;mso-wrap-distance-right:0" from="70.823997pt,19.136265pt" to="214.843997pt,19.136265pt" stroked="true" strokeweight=".71997pt" strokecolor="#000000">
            <v:stroke dashstyle="solid"/>
            <w10:wrap type="topAndBottom"/>
          </v:line>
        </w:pict>
      </w:r>
    </w:p>
    <w:p>
      <w:pPr>
        <w:pStyle w:val="BodyText"/>
        <w:spacing w:before="7"/>
        <w:rPr>
          <w:b/>
          <w:i/>
          <w:sz w:val="18"/>
        </w:rPr>
      </w:pPr>
    </w:p>
    <w:p>
      <w:pPr>
        <w:spacing w:before="99"/>
        <w:ind w:left="616" w:right="0" w:firstLine="0"/>
        <w:jc w:val="left"/>
        <w:rPr>
          <w:sz w:val="20"/>
        </w:rPr>
      </w:pPr>
      <w:r>
        <w:rPr>
          <w:position w:val="5"/>
          <w:sz w:val="13"/>
        </w:rPr>
        <w:t>872 </w:t>
      </w:r>
      <w:r>
        <w:rPr>
          <w:sz w:val="20"/>
        </w:rPr>
        <w:t>Marianne E. Meyer: Spirulina – Wundernahrung der Zukunft ('Wonder Food of the Future'), 2002, p. 58</w:t>
      </w:r>
    </w:p>
    <w:p>
      <w:pPr>
        <w:pStyle w:val="BodyText"/>
        <w:rPr>
          <w:sz w:val="22"/>
        </w:rPr>
      </w:pPr>
    </w:p>
    <w:p>
      <w:pPr>
        <w:pStyle w:val="BodyText"/>
        <w:spacing w:before="8"/>
        <w:rPr>
          <w:sz w:val="23"/>
        </w:rPr>
      </w:pPr>
    </w:p>
    <w:p>
      <w:pPr>
        <w:spacing w:before="0"/>
        <w:ind w:left="616" w:right="0" w:firstLine="0"/>
        <w:jc w:val="left"/>
        <w:rPr>
          <w:sz w:val="20"/>
        </w:rPr>
      </w:pPr>
      <w:r>
        <w:rPr>
          <w:color w:val="365F91"/>
          <w:position w:val="5"/>
          <w:sz w:val="13"/>
        </w:rPr>
        <w:t>873 </w:t>
      </w:r>
      <w:r>
        <w:rPr>
          <w:sz w:val="20"/>
        </w:rPr>
        <w:t>Khan M</w:t>
      </w:r>
      <w:r>
        <w:rPr>
          <w:color w:val="365F91"/>
          <w:sz w:val="20"/>
        </w:rPr>
        <w:t>. et al.: Protective effect of Spirulina against doxorubicin-induced cardiotoxicity, 2005 Dec, 19 (12), pp. 1030–1037.</w:t>
      </w:r>
    </w:p>
    <w:p>
      <w:pPr>
        <w:spacing w:line="276" w:lineRule="auto" w:before="94"/>
        <w:ind w:left="616" w:right="244" w:firstLine="0"/>
        <w:jc w:val="left"/>
        <w:rPr>
          <w:sz w:val="20"/>
        </w:rPr>
      </w:pPr>
      <w:r>
        <w:rPr>
          <w:position w:val="5"/>
          <w:sz w:val="13"/>
        </w:rPr>
        <w:t>874 </w:t>
      </w:r>
      <w:r>
        <w:rPr>
          <w:sz w:val="20"/>
        </w:rPr>
        <w:t>Kalafati M. et al</w:t>
      </w:r>
      <w:r>
        <w:rPr>
          <w:b/>
          <w:sz w:val="20"/>
        </w:rPr>
        <w:t>.: </w:t>
      </w:r>
      <w:r>
        <w:rPr>
          <w:color w:val="233B53"/>
          <w:sz w:val="20"/>
        </w:rPr>
        <w:t>Ergogenic and antioxidant effects of spirulina supplementation in humans, </w:t>
      </w:r>
      <w:r>
        <w:rPr>
          <w:sz w:val="20"/>
        </w:rPr>
        <w:t>Med Sci Sports Exerc. 2010 Jan, 42 (1), pp. 142– 151</w:t>
      </w:r>
    </w:p>
    <w:p>
      <w:pPr>
        <w:spacing w:after="0" w:line="276" w:lineRule="auto"/>
        <w:jc w:val="left"/>
        <w:rPr>
          <w:sz w:val="20"/>
        </w:rPr>
        <w:sectPr>
          <w:footerReference w:type="default" r:id="rId369"/>
          <w:pgSz w:w="14270" w:h="16850"/>
          <w:pgMar w:footer="1984" w:header="0" w:top="1340" w:bottom="2180" w:left="800" w:right="1280"/>
          <w:pgNumType w:start="156"/>
        </w:sectPr>
      </w:pPr>
    </w:p>
    <w:p>
      <w:pPr>
        <w:pStyle w:val="BodyText"/>
        <w:spacing w:line="276" w:lineRule="auto" w:before="74"/>
        <w:ind w:left="616" w:right="135"/>
        <w:jc w:val="both"/>
        <w:rPr>
          <w:sz w:val="25"/>
        </w:rPr>
      </w:pPr>
      <w:r>
        <w:rPr/>
        <w:t>As seen above, in a placebo-controlled study on the effect of spirulina in con- junction with zinc following arsenic poisoning, the treatment was able to quickly transport the most of the arsenic out of the body. There were fewer traces of arsenic in the urine of spirulina test subjects, after several weeks of spirulina consumption, there was even 47.1 % less arsenic in their hair folli- cles!</w:t>
      </w:r>
      <w:r>
        <w:rPr>
          <w:position w:val="9"/>
          <w:sz w:val="25"/>
        </w:rPr>
        <w:t>875</w:t>
      </w:r>
    </w:p>
    <w:p>
      <w:pPr>
        <w:pStyle w:val="Heading1"/>
        <w:spacing w:before="223"/>
        <w:ind w:left="616"/>
      </w:pPr>
      <w:r>
        <w:rPr/>
        <w:t>Removal</w:t>
      </w:r>
      <w:r>
        <w:rPr>
          <w:spacing w:val="-65"/>
        </w:rPr>
        <w:t> </w:t>
      </w:r>
      <w:r>
        <w:rPr/>
        <w:t>of</w:t>
      </w:r>
      <w:r>
        <w:rPr>
          <w:spacing w:val="-65"/>
        </w:rPr>
        <w:t> </w:t>
      </w:r>
      <w:r>
        <w:rPr/>
        <w:t>lead</w:t>
      </w:r>
      <w:r>
        <w:rPr>
          <w:spacing w:val="-66"/>
        </w:rPr>
        <w:t> </w:t>
      </w:r>
      <w:r>
        <w:rPr/>
        <w:t>with</w:t>
      </w:r>
      <w:r>
        <w:rPr>
          <w:spacing w:val="-66"/>
        </w:rPr>
        <w:t> </w:t>
      </w:r>
      <w:r>
        <w:rPr/>
        <w:t>the</w:t>
      </w:r>
      <w:r>
        <w:rPr>
          <w:spacing w:val="-65"/>
        </w:rPr>
        <w:t> </w:t>
      </w:r>
      <w:r>
        <w:rPr/>
        <w:t>help</w:t>
      </w:r>
      <w:r>
        <w:rPr>
          <w:spacing w:val="-65"/>
        </w:rPr>
        <w:t> </w:t>
      </w:r>
      <w:r>
        <w:rPr/>
        <w:t>of</w:t>
      </w:r>
      <w:r>
        <w:rPr>
          <w:spacing w:val="-65"/>
        </w:rPr>
        <w:t> </w:t>
      </w:r>
      <w:r>
        <w:rPr/>
        <w:t>spirulina</w:t>
      </w:r>
      <w:r>
        <w:rPr>
          <w:spacing w:val="-65"/>
        </w:rPr>
        <w:t> </w:t>
      </w:r>
      <w:r>
        <w:rPr/>
        <w:t>platensis</w:t>
      </w:r>
      <w:r>
        <w:rPr>
          <w:spacing w:val="-66"/>
        </w:rPr>
        <w:t> </w:t>
      </w:r>
      <w:r>
        <w:rPr/>
        <w:t>confirmed</w:t>
      </w:r>
      <w:r>
        <w:rPr>
          <w:spacing w:val="-65"/>
        </w:rPr>
        <w:t> </w:t>
      </w:r>
      <w:r>
        <w:rPr/>
        <w:t>in</w:t>
      </w:r>
      <w:r>
        <w:rPr>
          <w:spacing w:val="-66"/>
        </w:rPr>
        <w:t> </w:t>
      </w:r>
      <w:r>
        <w:rPr/>
        <w:t>studies</w:t>
      </w:r>
    </w:p>
    <w:p>
      <w:pPr>
        <w:pStyle w:val="BodyText"/>
        <w:spacing w:line="276" w:lineRule="auto" w:before="300"/>
        <w:ind w:left="616" w:right="137"/>
        <w:jc w:val="both"/>
      </w:pPr>
      <w:r>
        <w:rPr/>
        <w:t>A study on 16 women in Belarus with lead poisoning who only took five spir- ulina tablets a day showed a reduction of lead levels in the blood and urine; after two months' consumption, this led to a normalisation of lead values.</w:t>
      </w:r>
    </w:p>
    <w:p>
      <w:pPr>
        <w:pStyle w:val="Heading1"/>
        <w:spacing w:line="264" w:lineRule="auto" w:before="221"/>
        <w:ind w:left="616" w:right="147"/>
        <w:jc w:val="both"/>
      </w:pPr>
      <w:r>
        <w:rPr>
          <w:w w:val="95"/>
        </w:rPr>
        <w:t>Spirulina demonstrates a hypoglycaemic effect in studies and therefore </w:t>
      </w:r>
      <w:r>
        <w:rPr/>
        <w:t>helps with diabetes</w:t>
      </w:r>
    </w:p>
    <w:p>
      <w:pPr>
        <w:pStyle w:val="BodyText"/>
        <w:spacing w:line="276" w:lineRule="auto" w:before="251"/>
        <w:ind w:left="616" w:right="140"/>
        <w:jc w:val="both"/>
        <w:rPr>
          <w:sz w:val="25"/>
        </w:rPr>
      </w:pPr>
      <w:r>
        <w:rPr/>
        <w:t>Even</w:t>
      </w:r>
      <w:r>
        <w:rPr>
          <w:spacing w:val="-14"/>
        </w:rPr>
        <w:t> </w:t>
      </w:r>
      <w:r>
        <w:rPr/>
        <w:t>after</w:t>
      </w:r>
      <w:r>
        <w:rPr>
          <w:spacing w:val="-14"/>
        </w:rPr>
        <w:t> </w:t>
      </w:r>
      <w:r>
        <w:rPr/>
        <w:t>consuming</w:t>
      </w:r>
      <w:r>
        <w:rPr>
          <w:spacing w:val="-14"/>
        </w:rPr>
        <w:t> </w:t>
      </w:r>
      <w:r>
        <w:rPr/>
        <w:t>spirulina</w:t>
      </w:r>
      <w:r>
        <w:rPr>
          <w:spacing w:val="-12"/>
        </w:rPr>
        <w:t> </w:t>
      </w:r>
      <w:r>
        <w:rPr/>
        <w:t>for</w:t>
      </w:r>
      <w:r>
        <w:rPr>
          <w:spacing w:val="-14"/>
        </w:rPr>
        <w:t> </w:t>
      </w:r>
      <w:r>
        <w:rPr/>
        <w:t>five</w:t>
      </w:r>
      <w:r>
        <w:rPr>
          <w:spacing w:val="-16"/>
        </w:rPr>
        <w:t> </w:t>
      </w:r>
      <w:r>
        <w:rPr/>
        <w:t>days,</w:t>
      </w:r>
      <w:r>
        <w:rPr>
          <w:spacing w:val="-14"/>
        </w:rPr>
        <w:t> </w:t>
      </w:r>
      <w:r>
        <w:rPr/>
        <w:t>animal</w:t>
      </w:r>
      <w:r>
        <w:rPr>
          <w:spacing w:val="-15"/>
        </w:rPr>
        <w:t> </w:t>
      </w:r>
      <w:r>
        <w:rPr/>
        <w:t>trials</w:t>
      </w:r>
      <w:r>
        <w:rPr>
          <w:spacing w:val="-15"/>
        </w:rPr>
        <w:t> </w:t>
      </w:r>
      <w:r>
        <w:rPr/>
        <w:t>demonstrated</w:t>
      </w:r>
      <w:r>
        <w:rPr>
          <w:spacing w:val="-16"/>
        </w:rPr>
        <w:t> </w:t>
      </w:r>
      <w:r>
        <w:rPr/>
        <w:t>hypo- glycaemic,</w:t>
      </w:r>
      <w:r>
        <w:rPr>
          <w:spacing w:val="-19"/>
        </w:rPr>
        <w:t> </w:t>
      </w:r>
      <w:r>
        <w:rPr/>
        <w:t>or</w:t>
      </w:r>
      <w:r>
        <w:rPr>
          <w:spacing w:val="-18"/>
        </w:rPr>
        <w:t> </w:t>
      </w:r>
      <w:r>
        <w:rPr/>
        <w:t>blood</w:t>
      </w:r>
      <w:r>
        <w:rPr>
          <w:spacing w:val="-20"/>
        </w:rPr>
        <w:t> </w:t>
      </w:r>
      <w:r>
        <w:rPr/>
        <w:t>sugar</w:t>
      </w:r>
      <w:r>
        <w:rPr>
          <w:spacing w:val="-18"/>
        </w:rPr>
        <w:t> </w:t>
      </w:r>
      <w:r>
        <w:rPr/>
        <w:t>lowering,</w:t>
      </w:r>
      <w:r>
        <w:rPr>
          <w:spacing w:val="-19"/>
        </w:rPr>
        <w:t> </w:t>
      </w:r>
      <w:r>
        <w:rPr/>
        <w:t>properties,</w:t>
      </w:r>
      <w:r>
        <w:rPr>
          <w:spacing w:val="-21"/>
        </w:rPr>
        <w:t> </w:t>
      </w:r>
      <w:r>
        <w:rPr/>
        <w:t>which</w:t>
      </w:r>
      <w:r>
        <w:rPr>
          <w:spacing w:val="-19"/>
        </w:rPr>
        <w:t> </w:t>
      </w:r>
      <w:r>
        <w:rPr/>
        <w:t>could</w:t>
      </w:r>
      <w:r>
        <w:rPr>
          <w:spacing w:val="-19"/>
        </w:rPr>
        <w:t> </w:t>
      </w:r>
      <w:r>
        <w:rPr/>
        <w:t>also</w:t>
      </w:r>
      <w:r>
        <w:rPr>
          <w:spacing w:val="-18"/>
        </w:rPr>
        <w:t> </w:t>
      </w:r>
      <w:r>
        <w:rPr/>
        <w:t>play</w:t>
      </w:r>
      <w:r>
        <w:rPr>
          <w:spacing w:val="-21"/>
        </w:rPr>
        <w:t> </w:t>
      </w:r>
      <w:r>
        <w:rPr/>
        <w:t>a</w:t>
      </w:r>
      <w:r>
        <w:rPr>
          <w:spacing w:val="-20"/>
        </w:rPr>
        <w:t> </w:t>
      </w:r>
      <w:r>
        <w:rPr/>
        <w:t>decisive role in people where diabetes is</w:t>
      </w:r>
      <w:r>
        <w:rPr>
          <w:spacing w:val="5"/>
        </w:rPr>
        <w:t> </w:t>
      </w:r>
      <w:r>
        <w:rPr/>
        <w:t>concerned.</w:t>
      </w:r>
      <w:r>
        <w:rPr>
          <w:position w:val="9"/>
          <w:sz w:val="25"/>
        </w:rPr>
        <w:t>876</w:t>
      </w:r>
    </w:p>
    <w:p>
      <w:pPr>
        <w:pStyle w:val="Heading1"/>
        <w:spacing w:before="222"/>
        <w:ind w:left="616"/>
      </w:pPr>
      <w:r>
        <w:rPr/>
        <w:t>Spirulina has been shown to have anti-inflammatory effects</w:t>
      </w:r>
    </w:p>
    <w:p>
      <w:pPr>
        <w:pStyle w:val="BodyText"/>
        <w:spacing w:line="276" w:lineRule="auto" w:before="300"/>
        <w:ind w:left="616" w:right="137"/>
        <w:jc w:val="both"/>
      </w:pPr>
      <w:r>
        <w:rPr/>
        <w:t>The inflammation-inhibiting effect of spirulina has been confirmed by the re- duction of TNF alpha-immune colouring in the inflamed feet of mice and the</w:t>
      </w:r>
    </w:p>
    <w:p>
      <w:pPr>
        <w:pStyle w:val="BodyText"/>
        <w:rPr>
          <w:sz w:val="20"/>
        </w:rPr>
      </w:pPr>
    </w:p>
    <w:p>
      <w:pPr>
        <w:pStyle w:val="BodyText"/>
        <w:rPr>
          <w:sz w:val="20"/>
        </w:rPr>
      </w:pPr>
    </w:p>
    <w:p>
      <w:pPr>
        <w:pStyle w:val="BodyText"/>
        <w:spacing w:before="6"/>
        <w:rPr>
          <w:sz w:val="25"/>
        </w:rPr>
      </w:pPr>
      <w:r>
        <w:rPr/>
        <w:pict>
          <v:line style="position:absolute;mso-position-horizontal-relative:page;mso-position-vertical-relative:paragraph;z-index:12200;mso-wrap-distance-left:0;mso-wrap-distance-right:0" from="70.823997pt,16.732515pt" to="214.843997pt,16.732515pt" stroked="true" strokeweight=".71997pt" strokecolor="#000000">
            <v:stroke dashstyle="solid"/>
            <w10:wrap type="topAndBottom"/>
          </v:line>
        </w:pict>
      </w:r>
    </w:p>
    <w:p>
      <w:pPr>
        <w:pStyle w:val="BodyText"/>
        <w:spacing w:before="7"/>
        <w:rPr>
          <w:sz w:val="18"/>
        </w:rPr>
      </w:pPr>
    </w:p>
    <w:p>
      <w:pPr>
        <w:spacing w:line="276" w:lineRule="auto" w:before="99"/>
        <w:ind w:left="616" w:right="244" w:firstLine="0"/>
        <w:jc w:val="left"/>
        <w:rPr>
          <w:sz w:val="20"/>
        </w:rPr>
      </w:pPr>
      <w:r>
        <w:rPr>
          <w:position w:val="5"/>
          <w:sz w:val="13"/>
        </w:rPr>
        <w:t>875 </w:t>
      </w:r>
      <w:r>
        <w:rPr>
          <w:sz w:val="20"/>
        </w:rPr>
        <w:t>Misbahuddin M. et al</w:t>
      </w:r>
      <w:r>
        <w:rPr>
          <w:b/>
          <w:sz w:val="20"/>
        </w:rPr>
        <w:t>.: </w:t>
      </w:r>
      <w:r>
        <w:rPr>
          <w:sz w:val="20"/>
        </w:rPr>
        <w:t>Efficacy of spirulina extract plus zinc in patients of chronic arsenic poisoning: a randomized placebo-controlled study. 2006, 44 (2), pp. 135–141</w:t>
      </w:r>
    </w:p>
    <w:p>
      <w:pPr>
        <w:pStyle w:val="BodyText"/>
        <w:rPr>
          <w:sz w:val="22"/>
        </w:rPr>
      </w:pPr>
    </w:p>
    <w:p>
      <w:pPr>
        <w:pStyle w:val="BodyText"/>
        <w:spacing w:before="8"/>
        <w:rPr>
          <w:sz w:val="20"/>
        </w:rPr>
      </w:pPr>
    </w:p>
    <w:p>
      <w:pPr>
        <w:spacing w:line="276" w:lineRule="auto" w:before="1"/>
        <w:ind w:left="616" w:right="265" w:firstLine="0"/>
        <w:jc w:val="left"/>
        <w:rPr>
          <w:sz w:val="20"/>
        </w:rPr>
      </w:pPr>
      <w:r>
        <w:rPr>
          <w:color w:val="365F91"/>
          <w:position w:val="5"/>
          <w:sz w:val="13"/>
        </w:rPr>
        <w:t>876 </w:t>
      </w:r>
      <w:r>
        <w:rPr>
          <w:sz w:val="20"/>
        </w:rPr>
        <w:t>Joventino I. P</w:t>
      </w:r>
      <w:r>
        <w:rPr>
          <w:color w:val="365F91"/>
          <w:sz w:val="20"/>
        </w:rPr>
        <w:t>. et al.: The Microalga Spirulina platensis Presents Anti-inflammatory Action as well as Hypoglycemic and Hypolipidemic Proper- ties in Diabetic Rats, </w:t>
      </w:r>
      <w:r>
        <w:rPr>
          <w:sz w:val="20"/>
        </w:rPr>
        <w:t>J Complement Integr Med. </w:t>
      </w:r>
      <w:r>
        <w:rPr>
          <w:color w:val="365F91"/>
          <w:sz w:val="20"/>
        </w:rPr>
        <w:t>2012 Aug 10, 9 (1).pii: /j/jcim.2012.9.issue-1/1553–3840.1534/1553–3840.1534.xml.doi:</w:t>
      </w:r>
    </w:p>
    <w:p>
      <w:pPr>
        <w:spacing w:after="0" w:line="276" w:lineRule="auto"/>
        <w:jc w:val="left"/>
        <w:rPr>
          <w:sz w:val="20"/>
        </w:rPr>
        <w:sectPr>
          <w:footerReference w:type="default" r:id="rId370"/>
          <w:pgSz w:w="14270" w:h="16850"/>
          <w:pgMar w:footer="2243" w:header="0" w:top="1340" w:bottom="2440" w:left="800" w:right="1280"/>
          <w:pgNumType w:start="1561"/>
        </w:sectPr>
      </w:pPr>
    </w:p>
    <w:p>
      <w:pPr>
        <w:pStyle w:val="BodyText"/>
        <w:spacing w:before="74"/>
        <w:ind w:left="616"/>
        <w:rPr>
          <w:sz w:val="25"/>
        </w:rPr>
      </w:pPr>
      <w:r>
        <w:rPr/>
        <w:t>myeloperoxidase release from human neutrophils.</w:t>
      </w:r>
      <w:r>
        <w:rPr>
          <w:position w:val="9"/>
          <w:sz w:val="25"/>
        </w:rPr>
        <w:t>877</w:t>
      </w:r>
    </w:p>
    <w:p>
      <w:pPr>
        <w:pStyle w:val="Heading2"/>
        <w:spacing w:before="305"/>
        <w:ind w:left="616"/>
      </w:pPr>
      <w:r>
        <w:rPr/>
        <w:t>Spirulina platensis – introducing THE beauty elixir</w:t>
      </w:r>
    </w:p>
    <w:p>
      <w:pPr>
        <w:pStyle w:val="BodyText"/>
        <w:spacing w:line="278" w:lineRule="auto" w:before="302"/>
        <w:ind w:left="616" w:right="139"/>
        <w:jc w:val="both"/>
      </w:pPr>
      <w:r>
        <w:rPr/>
        <w:t>It may be the case that the saying 'beauty is in the eye of the beholder' is true. However, as before, there are certain aspects which follow an ideal beauty.</w:t>
      </w:r>
    </w:p>
    <w:p>
      <w:pPr>
        <w:pStyle w:val="BodyText"/>
        <w:spacing w:line="276" w:lineRule="auto" w:before="232"/>
        <w:ind w:left="616" w:right="135"/>
        <w:jc w:val="both"/>
      </w:pPr>
      <w:r>
        <w:rPr/>
        <w:t>Of course, there is another saying, 'a leopard can't change its spots'; however, this is to be taken relatively if we consider that healthy, shining eyes, smooth skin,</w:t>
      </w:r>
      <w:r>
        <w:rPr>
          <w:spacing w:val="-10"/>
        </w:rPr>
        <w:t> </w:t>
      </w:r>
      <w:r>
        <w:rPr/>
        <w:t>a</w:t>
      </w:r>
      <w:r>
        <w:rPr>
          <w:spacing w:val="-12"/>
        </w:rPr>
        <w:t> </w:t>
      </w:r>
      <w:r>
        <w:rPr/>
        <w:t>healthy</w:t>
      </w:r>
      <w:r>
        <w:rPr>
          <w:spacing w:val="-11"/>
        </w:rPr>
        <w:t> </w:t>
      </w:r>
      <w:r>
        <w:rPr/>
        <w:t>complexion,</w:t>
      </w:r>
      <w:r>
        <w:rPr>
          <w:spacing w:val="-10"/>
        </w:rPr>
        <w:t> </w:t>
      </w:r>
      <w:r>
        <w:rPr/>
        <w:t>long,</w:t>
      </w:r>
      <w:r>
        <w:rPr>
          <w:spacing w:val="-10"/>
        </w:rPr>
        <w:t> </w:t>
      </w:r>
      <w:r>
        <w:rPr/>
        <w:t>thick</w:t>
      </w:r>
      <w:r>
        <w:rPr>
          <w:spacing w:val="-11"/>
        </w:rPr>
        <w:t> </w:t>
      </w:r>
      <w:r>
        <w:rPr/>
        <w:t>hair,</w:t>
      </w:r>
      <w:r>
        <w:rPr>
          <w:spacing w:val="-12"/>
        </w:rPr>
        <w:t> </w:t>
      </w:r>
      <w:r>
        <w:rPr/>
        <w:t>strong</w:t>
      </w:r>
      <w:r>
        <w:rPr>
          <w:spacing w:val="-11"/>
        </w:rPr>
        <w:t> </w:t>
      </w:r>
      <w:r>
        <w:rPr/>
        <w:t>fingernails</w:t>
      </w:r>
      <w:r>
        <w:rPr>
          <w:spacing w:val="-11"/>
        </w:rPr>
        <w:t> </w:t>
      </w:r>
      <w:r>
        <w:rPr/>
        <w:t>and</w:t>
      </w:r>
      <w:r>
        <w:rPr>
          <w:spacing w:val="-11"/>
        </w:rPr>
        <w:t> </w:t>
      </w:r>
      <w:r>
        <w:rPr/>
        <w:t>toenails</w:t>
      </w:r>
      <w:r>
        <w:rPr>
          <w:spacing w:val="-11"/>
        </w:rPr>
        <w:t> </w:t>
      </w:r>
      <w:r>
        <w:rPr/>
        <w:t>and healthy teeth are precisely the things we would want to change our spots to possess – yet which we can also heavily influence in reality with appropriate nutrition!</w:t>
      </w:r>
    </w:p>
    <w:p>
      <w:pPr>
        <w:pStyle w:val="BodyText"/>
        <w:spacing w:line="276" w:lineRule="auto" w:before="240"/>
        <w:ind w:left="616" w:right="136"/>
        <w:jc w:val="both"/>
      </w:pPr>
      <w:r>
        <w:rPr/>
        <w:t>Staying with these two sayings, the following is also applicable and can be un- derstood in two respects: 'Real beauty comes from within!'. On the one hand, this saying means that it is a person's character which makes them 'beautiful' and that the visual appearance plays a secondary role. On the other hand, this saying</w:t>
      </w:r>
      <w:r>
        <w:rPr>
          <w:spacing w:val="-20"/>
        </w:rPr>
        <w:t> </w:t>
      </w:r>
      <w:r>
        <w:rPr/>
        <w:t>applies</w:t>
      </w:r>
      <w:r>
        <w:rPr>
          <w:spacing w:val="-19"/>
        </w:rPr>
        <w:t> </w:t>
      </w:r>
      <w:r>
        <w:rPr/>
        <w:t>precisely</w:t>
      </w:r>
      <w:r>
        <w:rPr>
          <w:spacing w:val="-19"/>
        </w:rPr>
        <w:t> </w:t>
      </w:r>
      <w:r>
        <w:rPr/>
        <w:t>to</w:t>
      </w:r>
      <w:r>
        <w:rPr>
          <w:spacing w:val="-18"/>
        </w:rPr>
        <w:t> </w:t>
      </w:r>
      <w:r>
        <w:rPr/>
        <w:t>the</w:t>
      </w:r>
      <w:r>
        <w:rPr>
          <w:spacing w:val="-18"/>
        </w:rPr>
        <w:t> </w:t>
      </w:r>
      <w:r>
        <w:rPr/>
        <w:t>core</w:t>
      </w:r>
      <w:r>
        <w:rPr>
          <w:spacing w:val="-18"/>
        </w:rPr>
        <w:t> </w:t>
      </w:r>
      <w:r>
        <w:rPr/>
        <w:t>of</w:t>
      </w:r>
      <w:r>
        <w:rPr>
          <w:spacing w:val="-19"/>
        </w:rPr>
        <w:t> </w:t>
      </w:r>
      <w:r>
        <w:rPr/>
        <w:t>what</w:t>
      </w:r>
      <w:r>
        <w:rPr>
          <w:spacing w:val="-20"/>
        </w:rPr>
        <w:t> </w:t>
      </w:r>
      <w:r>
        <w:rPr/>
        <w:t>influences</w:t>
      </w:r>
      <w:r>
        <w:rPr>
          <w:spacing w:val="-18"/>
        </w:rPr>
        <w:t> </w:t>
      </w:r>
      <w:r>
        <w:rPr/>
        <w:t>our</w:t>
      </w:r>
      <w:r>
        <w:rPr>
          <w:spacing w:val="-20"/>
        </w:rPr>
        <w:t> </w:t>
      </w:r>
      <w:r>
        <w:rPr/>
        <w:t>beauty:</w:t>
      </w:r>
      <w:r>
        <w:rPr>
          <w:spacing w:val="-18"/>
        </w:rPr>
        <w:t> </w:t>
      </w:r>
      <w:r>
        <w:rPr/>
        <w:t>experts</w:t>
      </w:r>
      <w:r>
        <w:rPr>
          <w:spacing w:val="-18"/>
        </w:rPr>
        <w:t> </w:t>
      </w:r>
      <w:r>
        <w:rPr/>
        <w:t>agree that all the creams, lotions and tonics in the world cannot nearly achieve the same effect as a targeted nutritional supply!</w:t>
      </w:r>
    </w:p>
    <w:p>
      <w:pPr>
        <w:pStyle w:val="BodyText"/>
        <w:spacing w:line="276" w:lineRule="auto" w:before="241"/>
        <w:ind w:left="616" w:right="135"/>
        <w:jc w:val="both"/>
      </w:pPr>
      <w:r>
        <w:rPr/>
        <w:t>The</w:t>
      </w:r>
      <w:r>
        <w:rPr>
          <w:spacing w:val="-11"/>
        </w:rPr>
        <w:t> </w:t>
      </w:r>
      <w:r>
        <w:rPr/>
        <w:t>quality</w:t>
      </w:r>
      <w:r>
        <w:rPr>
          <w:spacing w:val="-11"/>
        </w:rPr>
        <w:t> </w:t>
      </w:r>
      <w:r>
        <w:rPr/>
        <w:t>of</w:t>
      </w:r>
      <w:r>
        <w:rPr>
          <w:spacing w:val="-11"/>
        </w:rPr>
        <w:t> </w:t>
      </w:r>
      <w:r>
        <w:rPr/>
        <w:t>skin,</w:t>
      </w:r>
      <w:r>
        <w:rPr>
          <w:spacing w:val="-11"/>
        </w:rPr>
        <w:t> </w:t>
      </w:r>
      <w:r>
        <w:rPr/>
        <w:t>hair,</w:t>
      </w:r>
      <w:r>
        <w:rPr>
          <w:spacing w:val="-11"/>
        </w:rPr>
        <w:t> </w:t>
      </w:r>
      <w:r>
        <w:rPr/>
        <w:t>fingernails</w:t>
      </w:r>
      <w:r>
        <w:rPr>
          <w:spacing w:val="-11"/>
        </w:rPr>
        <w:t> </w:t>
      </w:r>
      <w:r>
        <w:rPr/>
        <w:t>and</w:t>
      </w:r>
      <w:r>
        <w:rPr>
          <w:spacing w:val="-11"/>
        </w:rPr>
        <w:t> </w:t>
      </w:r>
      <w:r>
        <w:rPr/>
        <w:t>all</w:t>
      </w:r>
      <w:r>
        <w:rPr>
          <w:spacing w:val="-13"/>
        </w:rPr>
        <w:t> </w:t>
      </w:r>
      <w:r>
        <w:rPr/>
        <w:t>organs</w:t>
      </w:r>
      <w:r>
        <w:rPr>
          <w:spacing w:val="-9"/>
        </w:rPr>
        <w:t> </w:t>
      </w:r>
      <w:r>
        <w:rPr/>
        <w:t>is</w:t>
      </w:r>
      <w:r>
        <w:rPr>
          <w:spacing w:val="-11"/>
        </w:rPr>
        <w:t> </w:t>
      </w:r>
      <w:r>
        <w:rPr/>
        <w:t>directly</w:t>
      </w:r>
      <w:r>
        <w:rPr>
          <w:spacing w:val="-12"/>
        </w:rPr>
        <w:t> </w:t>
      </w:r>
      <w:r>
        <w:rPr/>
        <w:t>dependent</w:t>
      </w:r>
      <w:r>
        <w:rPr>
          <w:spacing w:val="-12"/>
        </w:rPr>
        <w:t> </w:t>
      </w:r>
      <w:r>
        <w:rPr/>
        <w:t>on</w:t>
      </w:r>
      <w:r>
        <w:rPr>
          <w:spacing w:val="-11"/>
        </w:rPr>
        <w:t> </w:t>
      </w:r>
      <w:r>
        <w:rPr/>
        <w:t>our daily</w:t>
      </w:r>
      <w:r>
        <w:rPr>
          <w:spacing w:val="-22"/>
        </w:rPr>
        <w:t> </w:t>
      </w:r>
      <w:r>
        <w:rPr/>
        <w:t>nutritional</w:t>
      </w:r>
      <w:r>
        <w:rPr>
          <w:spacing w:val="-23"/>
        </w:rPr>
        <w:t> </w:t>
      </w:r>
      <w:r>
        <w:rPr/>
        <w:t>and</w:t>
      </w:r>
      <w:r>
        <w:rPr>
          <w:spacing w:val="-22"/>
        </w:rPr>
        <w:t> </w:t>
      </w:r>
      <w:r>
        <w:rPr/>
        <w:t>oxygen</w:t>
      </w:r>
      <w:r>
        <w:rPr>
          <w:spacing w:val="-22"/>
        </w:rPr>
        <w:t> </w:t>
      </w:r>
      <w:r>
        <w:rPr/>
        <w:t>supply</w:t>
      </w:r>
      <w:r>
        <w:rPr>
          <w:spacing w:val="-23"/>
        </w:rPr>
        <w:t> </w:t>
      </w:r>
      <w:r>
        <w:rPr/>
        <w:t>and</w:t>
      </w:r>
      <w:r>
        <w:rPr>
          <w:spacing w:val="-22"/>
        </w:rPr>
        <w:t> </w:t>
      </w:r>
      <w:r>
        <w:rPr/>
        <w:t>with</w:t>
      </w:r>
      <w:r>
        <w:rPr>
          <w:spacing w:val="-22"/>
        </w:rPr>
        <w:t> </w:t>
      </w:r>
      <w:r>
        <w:rPr/>
        <w:t>the</w:t>
      </w:r>
      <w:r>
        <w:rPr>
          <w:spacing w:val="-21"/>
        </w:rPr>
        <w:t> </w:t>
      </w:r>
      <w:r>
        <w:rPr/>
        <w:t>appropriate</w:t>
      </w:r>
      <w:r>
        <w:rPr>
          <w:spacing w:val="-23"/>
        </w:rPr>
        <w:t> </w:t>
      </w:r>
      <w:r>
        <w:rPr/>
        <w:t>supply</w:t>
      </w:r>
      <w:r>
        <w:rPr>
          <w:spacing w:val="-22"/>
        </w:rPr>
        <w:t> </w:t>
      </w:r>
      <w:r>
        <w:rPr/>
        <w:t>of</w:t>
      </w:r>
      <w:r>
        <w:rPr>
          <w:spacing w:val="-22"/>
        </w:rPr>
        <w:t> </w:t>
      </w:r>
      <w:r>
        <w:rPr/>
        <w:t>essential substances it can be gradually improved, albeit always from the inside out.</w:t>
      </w:r>
      <w:r>
        <w:rPr>
          <w:spacing w:val="-68"/>
        </w:rPr>
        <w:t> </w:t>
      </w:r>
      <w:r>
        <w:rPr/>
        <w:t>Put</w:t>
      </w:r>
    </w:p>
    <w:p>
      <w:pPr>
        <w:pStyle w:val="BodyText"/>
        <w:rPr>
          <w:sz w:val="20"/>
        </w:rPr>
      </w:pPr>
    </w:p>
    <w:p>
      <w:pPr>
        <w:pStyle w:val="BodyText"/>
        <w:rPr>
          <w:sz w:val="20"/>
        </w:rPr>
      </w:pPr>
    </w:p>
    <w:p>
      <w:pPr>
        <w:pStyle w:val="BodyText"/>
        <w:spacing w:before="10"/>
        <w:rPr>
          <w:sz w:val="10"/>
        </w:rPr>
      </w:pPr>
      <w:r>
        <w:rPr/>
        <w:pict>
          <v:line style="position:absolute;mso-position-horizontal-relative:page;mso-position-vertical-relative:paragraph;z-index:12224;mso-wrap-distance-left:0;mso-wrap-distance-right:0" from="70.823997pt,8.499985pt" to="214.843997pt,8.499985pt" stroked="true" strokeweight=".72003pt" strokecolor="#000000">
            <v:stroke dashstyle="solid"/>
            <w10:wrap type="topAndBottom"/>
          </v:line>
        </w:pict>
      </w:r>
    </w:p>
    <w:p>
      <w:pPr>
        <w:pStyle w:val="BodyText"/>
        <w:rPr>
          <w:sz w:val="20"/>
        </w:rPr>
      </w:pPr>
    </w:p>
    <w:p>
      <w:pPr>
        <w:pStyle w:val="BodyText"/>
        <w:rPr>
          <w:sz w:val="20"/>
        </w:rPr>
      </w:pPr>
    </w:p>
    <w:p>
      <w:pPr>
        <w:pStyle w:val="BodyText"/>
        <w:spacing w:before="9"/>
        <w:rPr>
          <w:sz w:val="24"/>
        </w:rPr>
      </w:pPr>
    </w:p>
    <w:p>
      <w:pPr>
        <w:spacing w:line="276" w:lineRule="auto" w:before="0"/>
        <w:ind w:left="616" w:right="265" w:firstLine="0"/>
        <w:jc w:val="left"/>
        <w:rPr>
          <w:sz w:val="20"/>
        </w:rPr>
      </w:pPr>
      <w:r>
        <w:rPr>
          <w:color w:val="365F91"/>
          <w:position w:val="5"/>
          <w:sz w:val="13"/>
        </w:rPr>
        <w:t>877 </w:t>
      </w:r>
      <w:r>
        <w:rPr>
          <w:sz w:val="20"/>
        </w:rPr>
        <w:t>Joventino I. P</w:t>
      </w:r>
      <w:r>
        <w:rPr>
          <w:color w:val="365F91"/>
          <w:sz w:val="20"/>
        </w:rPr>
        <w:t>. et al.: The Microalga Spirulina platensis Presents Anti-inflammatory Action as well as Hypoglycemic and Hypolipidemic Proper- ties in Diabetic Rats, </w:t>
      </w:r>
      <w:r>
        <w:rPr>
          <w:sz w:val="20"/>
        </w:rPr>
        <w:t>J Complement Integr Med. </w:t>
      </w:r>
      <w:r>
        <w:rPr>
          <w:color w:val="365F91"/>
          <w:sz w:val="20"/>
        </w:rPr>
        <w:t>2012 Aug 10, 9 (1).pii: /j/jcim.2012.9.issue-1/1553–3840.1534/1553–3840.1534.xml.doi:</w:t>
      </w:r>
    </w:p>
    <w:p>
      <w:pPr>
        <w:spacing w:after="0" w:line="276" w:lineRule="auto"/>
        <w:jc w:val="left"/>
        <w:rPr>
          <w:sz w:val="20"/>
        </w:rPr>
        <w:sectPr>
          <w:pgSz w:w="14270" w:h="16850"/>
          <w:pgMar w:header="0" w:footer="2243" w:top="1340" w:bottom="2440" w:left="800" w:right="1280"/>
        </w:sectPr>
      </w:pPr>
    </w:p>
    <w:p>
      <w:pPr>
        <w:pStyle w:val="BodyText"/>
        <w:spacing w:line="276" w:lineRule="auto" w:before="72"/>
        <w:ind w:left="616" w:right="130"/>
        <w:jc w:val="both"/>
      </w:pPr>
      <w:r>
        <w:rPr/>
        <w:t>simply,</w:t>
      </w:r>
      <w:r>
        <w:rPr>
          <w:spacing w:val="-9"/>
        </w:rPr>
        <w:t> </w:t>
      </w:r>
      <w:r>
        <w:rPr/>
        <w:t>this</w:t>
      </w:r>
      <w:r>
        <w:rPr>
          <w:spacing w:val="-7"/>
        </w:rPr>
        <w:t> </w:t>
      </w:r>
      <w:r>
        <w:rPr/>
        <w:t>means</w:t>
      </w:r>
      <w:r>
        <w:rPr>
          <w:spacing w:val="-8"/>
        </w:rPr>
        <w:t> </w:t>
      </w:r>
      <w:r>
        <w:rPr/>
        <w:t>that</w:t>
      </w:r>
      <w:r>
        <w:rPr>
          <w:spacing w:val="-8"/>
        </w:rPr>
        <w:t> </w:t>
      </w:r>
      <w:r>
        <w:rPr/>
        <w:t>even</w:t>
      </w:r>
      <w:r>
        <w:rPr>
          <w:spacing w:val="-9"/>
        </w:rPr>
        <w:t> </w:t>
      </w:r>
      <w:r>
        <w:rPr/>
        <w:t>from</w:t>
      </w:r>
      <w:r>
        <w:rPr>
          <w:spacing w:val="-8"/>
        </w:rPr>
        <w:t> </w:t>
      </w:r>
      <w:r>
        <w:rPr/>
        <w:t>the</w:t>
      </w:r>
      <w:r>
        <w:rPr>
          <w:spacing w:val="-7"/>
        </w:rPr>
        <w:t> </w:t>
      </w:r>
      <w:r>
        <w:rPr/>
        <w:t>first</w:t>
      </w:r>
      <w:r>
        <w:rPr>
          <w:spacing w:val="-10"/>
        </w:rPr>
        <w:t> </w:t>
      </w:r>
      <w:r>
        <w:rPr/>
        <w:t>moment</w:t>
      </w:r>
      <w:r>
        <w:rPr>
          <w:spacing w:val="-9"/>
        </w:rPr>
        <w:t> </w:t>
      </w:r>
      <w:r>
        <w:rPr/>
        <w:t>of</w:t>
      </w:r>
      <w:r>
        <w:rPr>
          <w:spacing w:val="-9"/>
        </w:rPr>
        <w:t> </w:t>
      </w:r>
      <w:r>
        <w:rPr/>
        <w:t>supplying</w:t>
      </w:r>
      <w:r>
        <w:rPr>
          <w:spacing w:val="-10"/>
        </w:rPr>
        <w:t> </w:t>
      </w:r>
      <w:r>
        <w:rPr/>
        <w:t>the</w:t>
      </w:r>
      <w:r>
        <w:rPr>
          <w:spacing w:val="-7"/>
        </w:rPr>
        <w:t> </w:t>
      </w:r>
      <w:r>
        <w:rPr/>
        <w:t>appropri- ate essential substances, even if at first this is unnoticed, positive changes take place in our</w:t>
      </w:r>
      <w:r>
        <w:rPr>
          <w:spacing w:val="2"/>
        </w:rPr>
        <w:t> </w:t>
      </w:r>
      <w:r>
        <w:rPr/>
        <w:t>organism.</w:t>
      </w:r>
    </w:p>
    <w:p>
      <w:pPr>
        <w:pStyle w:val="BodyText"/>
        <w:spacing w:line="276" w:lineRule="auto" w:before="241"/>
        <w:ind w:left="616" w:right="134"/>
        <w:jc w:val="both"/>
      </w:pPr>
      <w:r>
        <w:rPr/>
        <w:t>Attacks from tissue-destroying free radicals are successfully warded off, circu- lation</w:t>
      </w:r>
      <w:r>
        <w:rPr>
          <w:spacing w:val="-13"/>
        </w:rPr>
        <w:t> </w:t>
      </w:r>
      <w:r>
        <w:rPr/>
        <w:t>and</w:t>
      </w:r>
      <w:r>
        <w:rPr>
          <w:spacing w:val="-14"/>
        </w:rPr>
        <w:t> </w:t>
      </w:r>
      <w:r>
        <w:rPr/>
        <w:t>with</w:t>
      </w:r>
      <w:r>
        <w:rPr>
          <w:spacing w:val="-14"/>
        </w:rPr>
        <w:t> </w:t>
      </w:r>
      <w:r>
        <w:rPr/>
        <w:t>it</w:t>
      </w:r>
      <w:r>
        <w:rPr>
          <w:spacing w:val="-14"/>
        </w:rPr>
        <w:t> </w:t>
      </w:r>
      <w:r>
        <w:rPr/>
        <w:t>the</w:t>
      </w:r>
      <w:r>
        <w:rPr>
          <w:spacing w:val="-13"/>
        </w:rPr>
        <w:t> </w:t>
      </w:r>
      <w:r>
        <w:rPr/>
        <w:t>supply</w:t>
      </w:r>
      <w:r>
        <w:rPr>
          <w:spacing w:val="-15"/>
        </w:rPr>
        <w:t> </w:t>
      </w:r>
      <w:r>
        <w:rPr/>
        <w:t>of</w:t>
      </w:r>
      <w:r>
        <w:rPr>
          <w:spacing w:val="-14"/>
        </w:rPr>
        <w:t> </w:t>
      </w:r>
      <w:r>
        <w:rPr/>
        <w:t>nutrients</w:t>
      </w:r>
      <w:r>
        <w:rPr>
          <w:spacing w:val="-13"/>
        </w:rPr>
        <w:t> </w:t>
      </w:r>
      <w:r>
        <w:rPr/>
        <w:t>and</w:t>
      </w:r>
      <w:r>
        <w:rPr>
          <w:spacing w:val="-14"/>
        </w:rPr>
        <w:t> </w:t>
      </w:r>
      <w:r>
        <w:rPr/>
        <w:t>oxygen</w:t>
      </w:r>
      <w:r>
        <w:rPr>
          <w:spacing w:val="-13"/>
        </w:rPr>
        <w:t> </w:t>
      </w:r>
      <w:r>
        <w:rPr/>
        <w:t>is</w:t>
      </w:r>
      <w:r>
        <w:rPr>
          <w:spacing w:val="-14"/>
        </w:rPr>
        <w:t> </w:t>
      </w:r>
      <w:r>
        <w:rPr/>
        <w:t>improved,</w:t>
      </w:r>
      <w:r>
        <w:rPr>
          <w:spacing w:val="-15"/>
        </w:rPr>
        <w:t> </w:t>
      </w:r>
      <w:r>
        <w:rPr/>
        <w:t>repair</w:t>
      </w:r>
      <w:r>
        <w:rPr>
          <w:spacing w:val="-14"/>
        </w:rPr>
        <w:t> </w:t>
      </w:r>
      <w:r>
        <w:rPr/>
        <w:t>mech- anisms in tissues increase incrementally, the entire cell metabolism is opti- mised, cells can renew themselves more easily, which manifests itself within a few months initially in the fingernails and toenails becoming more solid, fol- lowed</w:t>
      </w:r>
      <w:r>
        <w:rPr>
          <w:spacing w:val="-10"/>
        </w:rPr>
        <w:t> </w:t>
      </w:r>
      <w:r>
        <w:rPr/>
        <w:t>by</w:t>
      </w:r>
      <w:r>
        <w:rPr>
          <w:spacing w:val="-8"/>
        </w:rPr>
        <w:t> </w:t>
      </w:r>
      <w:r>
        <w:rPr/>
        <w:t>the</w:t>
      </w:r>
      <w:r>
        <w:rPr>
          <w:spacing w:val="-7"/>
        </w:rPr>
        <w:t> </w:t>
      </w:r>
      <w:r>
        <w:rPr/>
        <w:t>hair</w:t>
      </w:r>
      <w:r>
        <w:rPr>
          <w:spacing w:val="-9"/>
        </w:rPr>
        <w:t> </w:t>
      </w:r>
      <w:r>
        <w:rPr/>
        <w:t>which</w:t>
      </w:r>
      <w:r>
        <w:rPr>
          <w:spacing w:val="-7"/>
        </w:rPr>
        <w:t> </w:t>
      </w:r>
      <w:r>
        <w:rPr/>
        <w:t>become</w:t>
      </w:r>
      <w:r>
        <w:rPr>
          <w:spacing w:val="-13"/>
        </w:rPr>
        <w:t> </w:t>
      </w:r>
      <w:r>
        <w:rPr/>
        <w:t>thicker,</w:t>
      </w:r>
      <w:r>
        <w:rPr>
          <w:spacing w:val="-8"/>
        </w:rPr>
        <w:t> </w:t>
      </w:r>
      <w:r>
        <w:rPr/>
        <w:t>longer</w:t>
      </w:r>
      <w:r>
        <w:rPr>
          <w:spacing w:val="-9"/>
        </w:rPr>
        <w:t> </w:t>
      </w:r>
      <w:r>
        <w:rPr/>
        <w:t>and</w:t>
      </w:r>
      <w:r>
        <w:rPr>
          <w:spacing w:val="-8"/>
        </w:rPr>
        <w:t> </w:t>
      </w:r>
      <w:r>
        <w:rPr/>
        <w:t>shinier</w:t>
      </w:r>
      <w:r>
        <w:rPr>
          <w:spacing w:val="-8"/>
        </w:rPr>
        <w:t> </w:t>
      </w:r>
      <w:r>
        <w:rPr/>
        <w:t>and,</w:t>
      </w:r>
      <w:r>
        <w:rPr>
          <w:spacing w:val="-11"/>
        </w:rPr>
        <w:t> </w:t>
      </w:r>
      <w:r>
        <w:rPr/>
        <w:t>a</w:t>
      </w:r>
      <w:r>
        <w:rPr>
          <w:spacing w:val="-9"/>
        </w:rPr>
        <w:t> </w:t>
      </w:r>
      <w:r>
        <w:rPr/>
        <w:t>few</w:t>
      </w:r>
      <w:r>
        <w:rPr>
          <w:spacing w:val="-9"/>
        </w:rPr>
        <w:t> </w:t>
      </w:r>
      <w:r>
        <w:rPr/>
        <w:t>months later, improvements in</w:t>
      </w:r>
      <w:r>
        <w:rPr>
          <w:spacing w:val="2"/>
        </w:rPr>
        <w:t> </w:t>
      </w:r>
      <w:r>
        <w:rPr/>
        <w:t>complexion.</w:t>
      </w:r>
    </w:p>
    <w:p>
      <w:pPr>
        <w:pStyle w:val="BodyText"/>
        <w:spacing w:line="278" w:lineRule="auto" w:before="241"/>
        <w:ind w:left="616" w:right="139"/>
        <w:jc w:val="both"/>
      </w:pPr>
      <w:r>
        <w:rPr/>
        <w:t>The</w:t>
      </w:r>
      <w:r>
        <w:rPr>
          <w:spacing w:val="-23"/>
        </w:rPr>
        <w:t> </w:t>
      </w:r>
      <w:r>
        <w:rPr/>
        <w:t>person</w:t>
      </w:r>
      <w:r>
        <w:rPr>
          <w:spacing w:val="-23"/>
        </w:rPr>
        <w:t> </w:t>
      </w:r>
      <w:r>
        <w:rPr/>
        <w:t>becomes</w:t>
      </w:r>
      <w:r>
        <w:rPr>
          <w:spacing w:val="-23"/>
        </w:rPr>
        <w:t> </w:t>
      </w:r>
      <w:r>
        <w:rPr/>
        <w:t>not</w:t>
      </w:r>
      <w:r>
        <w:rPr>
          <w:spacing w:val="-23"/>
        </w:rPr>
        <w:t> </w:t>
      </w:r>
      <w:r>
        <w:rPr/>
        <w:t>only</w:t>
      </w:r>
      <w:r>
        <w:rPr>
          <w:spacing w:val="-23"/>
        </w:rPr>
        <w:t> </w:t>
      </w:r>
      <w:r>
        <w:rPr/>
        <w:t>HEALTHIER</w:t>
      </w:r>
      <w:r>
        <w:rPr>
          <w:spacing w:val="-21"/>
        </w:rPr>
        <w:t> </w:t>
      </w:r>
      <w:r>
        <w:rPr/>
        <w:t>but</w:t>
      </w:r>
      <w:r>
        <w:rPr>
          <w:spacing w:val="-22"/>
        </w:rPr>
        <w:t> </w:t>
      </w:r>
      <w:r>
        <w:rPr/>
        <w:t>also</w:t>
      </w:r>
      <w:r>
        <w:rPr>
          <w:spacing w:val="-22"/>
        </w:rPr>
        <w:t> </w:t>
      </w:r>
      <w:r>
        <w:rPr/>
        <w:t>more</w:t>
      </w:r>
      <w:r>
        <w:rPr>
          <w:spacing w:val="-23"/>
        </w:rPr>
        <w:t> </w:t>
      </w:r>
      <w:r>
        <w:rPr/>
        <w:t>visually</w:t>
      </w:r>
      <w:r>
        <w:rPr>
          <w:spacing w:val="-23"/>
        </w:rPr>
        <w:t> </w:t>
      </w:r>
      <w:r>
        <w:rPr/>
        <w:t>ATTRAC- TIVE!</w:t>
      </w:r>
    </w:p>
    <w:p>
      <w:pPr>
        <w:pStyle w:val="Heading1"/>
        <w:spacing w:before="215"/>
        <w:ind w:left="616"/>
        <w:jc w:val="both"/>
      </w:pPr>
      <w:r>
        <w:rPr/>
        <w:t>How does spirulina platensis have an effect on our beauty?</w:t>
      </w:r>
    </w:p>
    <w:p>
      <w:pPr>
        <w:pStyle w:val="BodyText"/>
        <w:spacing w:line="276" w:lineRule="auto" w:before="299"/>
        <w:ind w:left="616" w:right="136"/>
        <w:jc w:val="both"/>
      </w:pPr>
      <w:r>
        <w:rPr/>
        <w:t>This is down to the symphony of perfectly matched nutrients and enzymes (numbering</w:t>
      </w:r>
      <w:r>
        <w:rPr>
          <w:spacing w:val="-15"/>
        </w:rPr>
        <w:t> </w:t>
      </w:r>
      <w:r>
        <w:rPr/>
        <w:t>2,075!)</w:t>
      </w:r>
      <w:r>
        <w:rPr>
          <w:spacing w:val="-15"/>
        </w:rPr>
        <w:t> </w:t>
      </w:r>
      <w:r>
        <w:rPr/>
        <w:t>which</w:t>
      </w:r>
      <w:r>
        <w:rPr>
          <w:spacing w:val="-15"/>
        </w:rPr>
        <w:t> </w:t>
      </w:r>
      <w:r>
        <w:rPr/>
        <w:t>are</w:t>
      </w:r>
      <w:r>
        <w:rPr>
          <w:spacing w:val="-16"/>
        </w:rPr>
        <w:t> </w:t>
      </w:r>
      <w:r>
        <w:rPr/>
        <w:t>present</w:t>
      </w:r>
      <w:r>
        <w:rPr>
          <w:spacing w:val="-15"/>
        </w:rPr>
        <w:t> </w:t>
      </w:r>
      <w:r>
        <w:rPr/>
        <w:t>in</w:t>
      </w:r>
      <w:r>
        <w:rPr>
          <w:spacing w:val="-17"/>
        </w:rPr>
        <w:t> </w:t>
      </w:r>
      <w:r>
        <w:rPr/>
        <w:t>organic</w:t>
      </w:r>
      <w:r>
        <w:rPr>
          <w:spacing w:val="-17"/>
        </w:rPr>
        <w:t> </w:t>
      </w:r>
      <w:r>
        <w:rPr/>
        <w:t>forms</w:t>
      </w:r>
      <w:r>
        <w:rPr>
          <w:spacing w:val="-15"/>
        </w:rPr>
        <w:t> </w:t>
      </w:r>
      <w:r>
        <w:rPr/>
        <w:t>in</w:t>
      </w:r>
      <w:r>
        <w:rPr>
          <w:spacing w:val="-16"/>
        </w:rPr>
        <w:t> </w:t>
      </w:r>
      <w:r>
        <w:rPr/>
        <w:t>spirulina</w:t>
      </w:r>
      <w:r>
        <w:rPr>
          <w:spacing w:val="-13"/>
        </w:rPr>
        <w:t> </w:t>
      </w:r>
      <w:r>
        <w:rPr/>
        <w:t>and</w:t>
      </w:r>
      <w:r>
        <w:rPr>
          <w:spacing w:val="-15"/>
        </w:rPr>
        <w:t> </w:t>
      </w:r>
      <w:r>
        <w:rPr/>
        <w:t>thereby guarantee an unbelievable bioavailability of almost 100</w:t>
      </w:r>
      <w:r>
        <w:rPr>
          <w:spacing w:val="-5"/>
        </w:rPr>
        <w:t> </w:t>
      </w:r>
      <w:r>
        <w:rPr/>
        <w:t>%!</w:t>
      </w:r>
    </w:p>
    <w:p>
      <w:pPr>
        <w:pStyle w:val="BodyText"/>
        <w:spacing w:line="276" w:lineRule="auto" w:before="239"/>
        <w:ind w:left="616" w:right="136"/>
        <w:jc w:val="both"/>
      </w:pPr>
      <w:r>
        <w:rPr/>
        <w:t>Which vital substances are responsible for what? It is simply impossible</w:t>
      </w:r>
      <w:r>
        <w:rPr>
          <w:spacing w:val="-69"/>
        </w:rPr>
        <w:t> </w:t>
      </w:r>
      <w:r>
        <w:rPr/>
        <w:t>to an- alyse the effect of all the nutrients in spirulina on our beauty. However, the most important are explained here:</w:t>
      </w:r>
    </w:p>
    <w:p>
      <w:pPr>
        <w:spacing w:after="0" w:line="276" w:lineRule="auto"/>
        <w:jc w:val="both"/>
        <w:sectPr>
          <w:footerReference w:type="default" r:id="rId371"/>
          <w:pgSz w:w="14270" w:h="16850"/>
          <w:pgMar w:footer="1891" w:header="0" w:top="1340" w:bottom="2080" w:left="800" w:right="1280"/>
          <w:pgNumType w:start="1563"/>
        </w:sectPr>
      </w:pPr>
    </w:p>
    <w:p>
      <w:pPr>
        <w:pStyle w:val="Heading1"/>
        <w:spacing w:before="77"/>
        <w:ind w:left="616"/>
      </w:pPr>
      <w:r>
        <w:rPr/>
        <w:t>Iron for optimum oxygen supply</w:t>
      </w:r>
    </w:p>
    <w:p>
      <w:pPr>
        <w:pStyle w:val="BodyText"/>
        <w:spacing w:line="276" w:lineRule="auto" w:before="299"/>
        <w:ind w:left="616" w:right="140"/>
        <w:jc w:val="both"/>
      </w:pPr>
      <w:r>
        <w:rPr/>
        <w:t>As we saw further above, beauty (and health!) are dependent on two elemen- tary things: oxygen and nutrient supply! Iron is responsible for the formation of red blood cells which transport oxygen to cells: skin cells, hair follicle cells and others.</w:t>
      </w:r>
    </w:p>
    <w:p>
      <w:pPr>
        <w:pStyle w:val="Heading1"/>
        <w:spacing w:before="222"/>
        <w:ind w:left="616"/>
      </w:pPr>
      <w:r>
        <w:rPr/>
        <w:t>Amino acids for healthy, smooth</w:t>
      </w:r>
      <w:r>
        <w:rPr>
          <w:spacing w:val="-53"/>
        </w:rPr>
        <w:t> </w:t>
      </w:r>
      <w:r>
        <w:rPr/>
        <w:t>skin</w:t>
      </w:r>
    </w:p>
    <w:p>
      <w:pPr>
        <w:pStyle w:val="BodyText"/>
        <w:spacing w:line="276" w:lineRule="auto" w:before="300"/>
        <w:ind w:left="616" w:right="137"/>
        <w:jc w:val="both"/>
      </w:pPr>
      <w:r>
        <w:rPr/>
        <w:t>Our body largely consists of proteins and water. Not only organs and</w:t>
      </w:r>
      <w:r>
        <w:rPr>
          <w:spacing w:val="-42"/>
        </w:rPr>
        <w:t> </w:t>
      </w:r>
      <w:r>
        <w:rPr/>
        <w:t>muscles but</w:t>
      </w:r>
      <w:r>
        <w:rPr>
          <w:spacing w:val="-11"/>
        </w:rPr>
        <w:t> </w:t>
      </w:r>
      <w:r>
        <w:rPr/>
        <w:t>also</w:t>
      </w:r>
      <w:r>
        <w:rPr>
          <w:spacing w:val="-9"/>
        </w:rPr>
        <w:t> </w:t>
      </w:r>
      <w:r>
        <w:rPr/>
        <w:t>skin,</w:t>
      </w:r>
      <w:r>
        <w:rPr>
          <w:spacing w:val="-8"/>
        </w:rPr>
        <w:t> </w:t>
      </w:r>
      <w:r>
        <w:rPr/>
        <w:t>hair,</w:t>
      </w:r>
      <w:r>
        <w:rPr>
          <w:spacing w:val="-8"/>
        </w:rPr>
        <w:t> </w:t>
      </w:r>
      <w:r>
        <w:rPr/>
        <w:t>nails</w:t>
      </w:r>
      <w:r>
        <w:rPr>
          <w:spacing w:val="-9"/>
        </w:rPr>
        <w:t> </w:t>
      </w:r>
      <w:r>
        <w:rPr/>
        <w:t>and</w:t>
      </w:r>
      <w:r>
        <w:rPr>
          <w:spacing w:val="-9"/>
        </w:rPr>
        <w:t> </w:t>
      </w:r>
      <w:r>
        <w:rPr/>
        <w:t>eyes</w:t>
      </w:r>
      <w:r>
        <w:rPr>
          <w:spacing w:val="-11"/>
        </w:rPr>
        <w:t> </w:t>
      </w:r>
      <w:r>
        <w:rPr/>
        <w:t>largely</w:t>
      </w:r>
      <w:r>
        <w:rPr>
          <w:spacing w:val="-9"/>
        </w:rPr>
        <w:t> </w:t>
      </w:r>
      <w:r>
        <w:rPr/>
        <w:t>consist</w:t>
      </w:r>
      <w:r>
        <w:rPr>
          <w:spacing w:val="-10"/>
        </w:rPr>
        <w:t> </w:t>
      </w:r>
      <w:r>
        <w:rPr/>
        <w:t>of</w:t>
      </w:r>
      <w:r>
        <w:rPr>
          <w:spacing w:val="-11"/>
        </w:rPr>
        <w:t> </w:t>
      </w:r>
      <w:r>
        <w:rPr/>
        <w:t>proteins</w:t>
      </w:r>
      <w:r>
        <w:rPr>
          <w:spacing w:val="-11"/>
        </w:rPr>
        <w:t> </w:t>
      </w:r>
      <w:r>
        <w:rPr/>
        <w:t>which</w:t>
      </w:r>
      <w:r>
        <w:rPr>
          <w:spacing w:val="-11"/>
        </w:rPr>
        <w:t> </w:t>
      </w:r>
      <w:r>
        <w:rPr/>
        <w:t>make</w:t>
      </w:r>
      <w:r>
        <w:rPr>
          <w:spacing w:val="-10"/>
        </w:rPr>
        <w:t> </w:t>
      </w:r>
      <w:r>
        <w:rPr/>
        <w:t>up</w:t>
      </w:r>
      <w:r>
        <w:rPr>
          <w:spacing w:val="-10"/>
        </w:rPr>
        <w:t> </w:t>
      </w:r>
      <w:r>
        <w:rPr/>
        <w:t>the elemental components of all cells and enzymes and ensure their function and appearance.</w:t>
      </w:r>
    </w:p>
    <w:p>
      <w:pPr>
        <w:pStyle w:val="BodyText"/>
        <w:spacing w:line="278" w:lineRule="auto" w:before="239"/>
        <w:ind w:left="616"/>
      </w:pPr>
      <w:r>
        <w:rPr/>
        <w:t>Spirulina supplies all eight essential and ten non-essential amino acids in per- fect harmony.</w:t>
      </w:r>
    </w:p>
    <w:p>
      <w:pPr>
        <w:pStyle w:val="Heading1"/>
        <w:spacing w:before="215"/>
        <w:ind w:left="616"/>
      </w:pPr>
      <w:r>
        <w:rPr/>
        <w:t>Biotin for skin and hair</w:t>
      </w:r>
    </w:p>
    <w:p>
      <w:pPr>
        <w:pStyle w:val="BodyText"/>
        <w:spacing w:line="276" w:lineRule="auto" w:before="300"/>
        <w:ind w:left="616"/>
      </w:pPr>
      <w:r>
        <w:rPr/>
        <w:t>Biotin has earned the synonym 'beauty vitamin' among the population. Biotin strengthens hair and nails and keeps skin soft and smooth.</w:t>
      </w:r>
    </w:p>
    <w:p>
      <w:pPr>
        <w:pStyle w:val="Heading1"/>
        <w:spacing w:before="221"/>
        <w:ind w:left="616"/>
      </w:pPr>
      <w:r>
        <w:rPr/>
        <w:t>Beta-carotene for skin and eyes</w:t>
      </w:r>
    </w:p>
    <w:p>
      <w:pPr>
        <w:pStyle w:val="BodyText"/>
        <w:spacing w:line="278" w:lineRule="auto" w:before="299"/>
        <w:ind w:left="616"/>
      </w:pPr>
      <w:r>
        <w:rPr/>
        <w:t>Beta-carotene keeps our skin young and smooth and our eyes shining and healthy.</w:t>
      </w:r>
    </w:p>
    <w:p>
      <w:pPr>
        <w:pStyle w:val="Heading1"/>
        <w:spacing w:before="216"/>
        <w:ind w:left="616"/>
        <w:jc w:val="both"/>
      </w:pPr>
      <w:r>
        <w:rPr/>
        <w:t>Gamma-linolenic acid for beautiful skin</w:t>
      </w:r>
    </w:p>
    <w:p>
      <w:pPr>
        <w:spacing w:after="0"/>
        <w:jc w:val="both"/>
        <w:sectPr>
          <w:pgSz w:w="14270" w:h="16850"/>
          <w:pgMar w:header="0" w:footer="1891" w:top="1320" w:bottom="2080" w:left="800" w:right="1280"/>
        </w:sectPr>
      </w:pPr>
    </w:p>
    <w:p>
      <w:pPr>
        <w:pStyle w:val="BodyText"/>
        <w:spacing w:line="276" w:lineRule="auto" w:before="74"/>
        <w:ind w:left="616" w:right="137"/>
        <w:jc w:val="both"/>
      </w:pPr>
      <w:r>
        <w:rPr/>
        <w:t>Gamma-linolenic acid belongs to the category of omega-6 fatty acids and is a solid component of our skin structure.</w:t>
      </w:r>
    </w:p>
    <w:p>
      <w:pPr>
        <w:pStyle w:val="Heading1"/>
        <w:spacing w:before="221"/>
        <w:ind w:left="616"/>
      </w:pPr>
      <w:r>
        <w:rPr/>
        <w:t>Calcium for healthy teeth</w:t>
      </w:r>
    </w:p>
    <w:p>
      <w:pPr>
        <w:pStyle w:val="BodyText"/>
        <w:spacing w:before="300"/>
        <w:ind w:left="616"/>
      </w:pPr>
      <w:r>
        <w:rPr/>
        <w:t>Calcium strengthens our tooth structure and keeps teeth strong and healthy.</w:t>
      </w:r>
    </w:p>
    <w:p>
      <w:pPr>
        <w:pStyle w:val="Heading1"/>
        <w:spacing w:before="287"/>
        <w:ind w:left="616"/>
      </w:pPr>
      <w:r>
        <w:rPr/>
        <w:t>Zinc for skin and hair</w:t>
      </w:r>
    </w:p>
    <w:p>
      <w:pPr>
        <w:pStyle w:val="BodyText"/>
        <w:spacing w:line="276" w:lineRule="auto" w:before="300"/>
        <w:ind w:left="616" w:right="137"/>
        <w:jc w:val="both"/>
      </w:pPr>
      <w:r>
        <w:rPr/>
        <w:t>A</w:t>
      </w:r>
      <w:r>
        <w:rPr>
          <w:spacing w:val="-25"/>
        </w:rPr>
        <w:t> </w:t>
      </w:r>
      <w:r>
        <w:rPr/>
        <w:t>lack</w:t>
      </w:r>
      <w:r>
        <w:rPr>
          <w:spacing w:val="-25"/>
        </w:rPr>
        <w:t> </w:t>
      </w:r>
      <w:r>
        <w:rPr/>
        <w:t>of</w:t>
      </w:r>
      <w:r>
        <w:rPr>
          <w:spacing w:val="-26"/>
        </w:rPr>
        <w:t> </w:t>
      </w:r>
      <w:r>
        <w:rPr/>
        <w:t>zinc</w:t>
      </w:r>
      <w:r>
        <w:rPr>
          <w:spacing w:val="-25"/>
        </w:rPr>
        <w:t> </w:t>
      </w:r>
      <w:r>
        <w:rPr/>
        <w:t>leads</w:t>
      </w:r>
      <w:r>
        <w:rPr>
          <w:spacing w:val="-25"/>
        </w:rPr>
        <w:t> </w:t>
      </w:r>
      <w:r>
        <w:rPr/>
        <w:t>to</w:t>
      </w:r>
      <w:r>
        <w:rPr>
          <w:spacing w:val="-25"/>
        </w:rPr>
        <w:t> </w:t>
      </w:r>
      <w:r>
        <w:rPr/>
        <w:t>dry,</w:t>
      </w:r>
      <w:r>
        <w:rPr>
          <w:spacing w:val="-26"/>
        </w:rPr>
        <w:t> </w:t>
      </w:r>
      <w:r>
        <w:rPr/>
        <w:t>cracked</w:t>
      </w:r>
      <w:r>
        <w:rPr>
          <w:spacing w:val="-24"/>
        </w:rPr>
        <w:t> </w:t>
      </w:r>
      <w:r>
        <w:rPr/>
        <w:t>skin</w:t>
      </w:r>
      <w:r>
        <w:rPr>
          <w:spacing w:val="-24"/>
        </w:rPr>
        <w:t> </w:t>
      </w:r>
      <w:r>
        <w:rPr/>
        <w:t>and</w:t>
      </w:r>
      <w:r>
        <w:rPr>
          <w:spacing w:val="-26"/>
        </w:rPr>
        <w:t> </w:t>
      </w:r>
      <w:r>
        <w:rPr/>
        <w:t>brittle,</w:t>
      </w:r>
      <w:r>
        <w:rPr>
          <w:spacing w:val="-23"/>
        </w:rPr>
        <w:t> </w:t>
      </w:r>
      <w:r>
        <w:rPr/>
        <w:t>dull</w:t>
      </w:r>
      <w:r>
        <w:rPr>
          <w:spacing w:val="-25"/>
        </w:rPr>
        <w:t> </w:t>
      </w:r>
      <w:r>
        <w:rPr/>
        <w:t>hair,</w:t>
      </w:r>
      <w:r>
        <w:rPr>
          <w:spacing w:val="-26"/>
        </w:rPr>
        <w:t> </w:t>
      </w:r>
      <w:r>
        <w:rPr/>
        <w:t>premature</w:t>
      </w:r>
      <w:r>
        <w:rPr>
          <w:spacing w:val="-24"/>
        </w:rPr>
        <w:t> </w:t>
      </w:r>
      <w:r>
        <w:rPr/>
        <w:t>greying, hair loss, and brittle nails – conversely, an optimal supply of zinc results in smooth skin, thick, shiny hair and solid</w:t>
      </w:r>
      <w:r>
        <w:rPr>
          <w:spacing w:val="-2"/>
        </w:rPr>
        <w:t> </w:t>
      </w:r>
      <w:r>
        <w:rPr/>
        <w:t>fingernails.</w:t>
      </w:r>
    </w:p>
    <w:p>
      <w:pPr>
        <w:pStyle w:val="Heading2"/>
        <w:spacing w:before="202"/>
        <w:ind w:left="616"/>
      </w:pPr>
      <w:r>
        <w:rPr/>
        <w:t>Consumption of spirulina</w:t>
      </w:r>
    </w:p>
    <w:p>
      <w:pPr>
        <w:pStyle w:val="BodyText"/>
        <w:spacing w:line="276" w:lineRule="auto" w:before="302"/>
        <w:ind w:left="616" w:right="139"/>
        <w:jc w:val="both"/>
        <w:rPr>
          <w:sz w:val="25"/>
        </w:rPr>
      </w:pPr>
      <w:r>
        <w:rPr/>
        <w:t>A New Yorker comparative study between the bioavailability in 250 different multivitamin preparations and the bioavailability in spirulina proved that it is worth</w:t>
      </w:r>
      <w:r>
        <w:rPr>
          <w:spacing w:val="-25"/>
        </w:rPr>
        <w:t> </w:t>
      </w:r>
      <w:r>
        <w:rPr/>
        <w:t>taking</w:t>
      </w:r>
      <w:r>
        <w:rPr>
          <w:spacing w:val="-24"/>
        </w:rPr>
        <w:t> </w:t>
      </w:r>
      <w:r>
        <w:rPr/>
        <w:t>spirulina</w:t>
      </w:r>
      <w:r>
        <w:rPr>
          <w:spacing w:val="-26"/>
        </w:rPr>
        <w:t> </w:t>
      </w:r>
      <w:r>
        <w:rPr/>
        <w:t>rather</w:t>
      </w:r>
      <w:r>
        <w:rPr>
          <w:spacing w:val="-24"/>
        </w:rPr>
        <w:t> </w:t>
      </w:r>
      <w:r>
        <w:rPr/>
        <w:t>than</w:t>
      </w:r>
      <w:r>
        <w:rPr>
          <w:spacing w:val="-24"/>
        </w:rPr>
        <w:t> </w:t>
      </w:r>
      <w:r>
        <w:rPr/>
        <w:t>artificially</w:t>
      </w:r>
      <w:r>
        <w:rPr>
          <w:spacing w:val="-26"/>
        </w:rPr>
        <w:t> </w:t>
      </w:r>
      <w:r>
        <w:rPr/>
        <w:t>created</w:t>
      </w:r>
      <w:r>
        <w:rPr>
          <w:spacing w:val="-25"/>
        </w:rPr>
        <w:t> </w:t>
      </w:r>
      <w:r>
        <w:rPr/>
        <w:t>vitamin</w:t>
      </w:r>
      <w:r>
        <w:rPr>
          <w:spacing w:val="-24"/>
        </w:rPr>
        <w:t> </w:t>
      </w:r>
      <w:r>
        <w:rPr/>
        <w:t>preparations.</w:t>
      </w:r>
      <w:r>
        <w:rPr>
          <w:spacing w:val="-25"/>
        </w:rPr>
        <w:t> </w:t>
      </w:r>
      <w:r>
        <w:rPr/>
        <w:t>Spir- ulina left all 250 preparations in its</w:t>
      </w:r>
      <w:r>
        <w:rPr>
          <w:spacing w:val="1"/>
        </w:rPr>
        <w:t> </w:t>
      </w:r>
      <w:r>
        <w:rPr/>
        <w:t>wake.</w:t>
      </w:r>
      <w:r>
        <w:rPr>
          <w:position w:val="9"/>
          <w:sz w:val="25"/>
        </w:rPr>
        <w:t>878</w:t>
      </w:r>
    </w:p>
    <w:p>
      <w:pPr>
        <w:pStyle w:val="BodyText"/>
        <w:spacing w:line="276" w:lineRule="auto" w:before="240"/>
        <w:ind w:left="616" w:right="135"/>
        <w:jc w:val="both"/>
      </w:pPr>
      <w:r>
        <w:rPr/>
        <w:t>The</w:t>
      </w:r>
      <w:r>
        <w:rPr>
          <w:spacing w:val="-12"/>
        </w:rPr>
        <w:t> </w:t>
      </w:r>
      <w:r>
        <w:rPr/>
        <w:t>fact</w:t>
      </w:r>
      <w:r>
        <w:rPr>
          <w:spacing w:val="-14"/>
        </w:rPr>
        <w:t> </w:t>
      </w:r>
      <w:r>
        <w:rPr/>
        <w:t>that</w:t>
      </w:r>
      <w:r>
        <w:rPr>
          <w:spacing w:val="-13"/>
        </w:rPr>
        <w:t> </w:t>
      </w:r>
      <w:r>
        <w:rPr/>
        <w:t>spirulina</w:t>
      </w:r>
      <w:r>
        <w:rPr>
          <w:spacing w:val="-14"/>
        </w:rPr>
        <w:t> </w:t>
      </w:r>
      <w:r>
        <w:rPr/>
        <w:t>platensis</w:t>
      </w:r>
      <w:r>
        <w:rPr>
          <w:spacing w:val="-12"/>
        </w:rPr>
        <w:t> </w:t>
      </w:r>
      <w:r>
        <w:rPr/>
        <w:t>has</w:t>
      </w:r>
      <w:r>
        <w:rPr>
          <w:spacing w:val="-12"/>
        </w:rPr>
        <w:t> </w:t>
      </w:r>
      <w:r>
        <w:rPr/>
        <w:t>no</w:t>
      </w:r>
      <w:r>
        <w:rPr>
          <w:spacing w:val="-12"/>
        </w:rPr>
        <w:t> </w:t>
      </w:r>
      <w:r>
        <w:rPr/>
        <w:t>hard</w:t>
      </w:r>
      <w:r>
        <w:rPr>
          <w:spacing w:val="-13"/>
        </w:rPr>
        <w:t> </w:t>
      </w:r>
      <w:r>
        <w:rPr/>
        <w:t>cell</w:t>
      </w:r>
      <w:r>
        <w:rPr>
          <w:spacing w:val="-12"/>
        </w:rPr>
        <w:t> </w:t>
      </w:r>
      <w:r>
        <w:rPr/>
        <w:t>walls</w:t>
      </w:r>
      <w:r>
        <w:rPr>
          <w:spacing w:val="-14"/>
        </w:rPr>
        <w:t> </w:t>
      </w:r>
      <w:r>
        <w:rPr/>
        <w:t>but</w:t>
      </w:r>
      <w:r>
        <w:rPr>
          <w:spacing w:val="-13"/>
        </w:rPr>
        <w:t> </w:t>
      </w:r>
      <w:r>
        <w:rPr/>
        <w:t>only</w:t>
      </w:r>
      <w:r>
        <w:rPr>
          <w:spacing w:val="-14"/>
        </w:rPr>
        <w:t> </w:t>
      </w:r>
      <w:r>
        <w:rPr/>
        <w:t>a</w:t>
      </w:r>
      <w:r>
        <w:rPr>
          <w:spacing w:val="-12"/>
        </w:rPr>
        <w:t> </w:t>
      </w:r>
      <w:r>
        <w:rPr/>
        <w:t>soft</w:t>
      </w:r>
      <w:r>
        <w:rPr>
          <w:spacing w:val="-13"/>
        </w:rPr>
        <w:t> </w:t>
      </w:r>
      <w:r>
        <w:rPr/>
        <w:t>cell</w:t>
      </w:r>
      <w:r>
        <w:rPr>
          <w:spacing w:val="-13"/>
        </w:rPr>
        <w:t> </w:t>
      </w:r>
      <w:r>
        <w:rPr/>
        <w:t>mem- brane and that its vitamins, minerals and other nutrients are also organically bound</w:t>
      </w:r>
      <w:r>
        <w:rPr>
          <w:spacing w:val="-10"/>
        </w:rPr>
        <w:t> </w:t>
      </w:r>
      <w:r>
        <w:rPr/>
        <w:t>makes</w:t>
      </w:r>
      <w:r>
        <w:rPr>
          <w:spacing w:val="-8"/>
        </w:rPr>
        <w:t> </w:t>
      </w:r>
      <w:r>
        <w:rPr/>
        <w:t>it</w:t>
      </w:r>
      <w:r>
        <w:rPr>
          <w:spacing w:val="-10"/>
        </w:rPr>
        <w:t> </w:t>
      </w:r>
      <w:r>
        <w:rPr/>
        <w:t>possible</w:t>
      </w:r>
      <w:r>
        <w:rPr>
          <w:spacing w:val="-8"/>
        </w:rPr>
        <w:t> </w:t>
      </w:r>
      <w:r>
        <w:rPr/>
        <w:t>for</w:t>
      </w:r>
      <w:r>
        <w:rPr>
          <w:spacing w:val="-7"/>
        </w:rPr>
        <w:t> </w:t>
      </w:r>
      <w:r>
        <w:rPr/>
        <w:t>us</w:t>
      </w:r>
      <w:r>
        <w:rPr>
          <w:spacing w:val="-9"/>
        </w:rPr>
        <w:t> </w:t>
      </w:r>
      <w:r>
        <w:rPr/>
        <w:t>to</w:t>
      </w:r>
      <w:r>
        <w:rPr>
          <w:spacing w:val="-8"/>
        </w:rPr>
        <w:t> </w:t>
      </w:r>
      <w:r>
        <w:rPr/>
        <w:t>benefit</w:t>
      </w:r>
      <w:r>
        <w:rPr>
          <w:spacing w:val="-9"/>
        </w:rPr>
        <w:t> </w:t>
      </w:r>
      <w:r>
        <w:rPr/>
        <w:t>from</w:t>
      </w:r>
      <w:r>
        <w:rPr>
          <w:spacing w:val="-8"/>
        </w:rPr>
        <w:t> </w:t>
      </w:r>
      <w:r>
        <w:rPr/>
        <w:t>a</w:t>
      </w:r>
      <w:r>
        <w:rPr>
          <w:spacing w:val="-9"/>
        </w:rPr>
        <w:t> </w:t>
      </w:r>
      <w:r>
        <w:rPr/>
        <w:t>very</w:t>
      </w:r>
      <w:r>
        <w:rPr>
          <w:spacing w:val="-8"/>
        </w:rPr>
        <w:t> </w:t>
      </w:r>
      <w:r>
        <w:rPr/>
        <w:t>fast</w:t>
      </w:r>
      <w:r>
        <w:rPr>
          <w:spacing w:val="-9"/>
        </w:rPr>
        <w:t> </w:t>
      </w:r>
      <w:r>
        <w:rPr/>
        <w:t>and</w:t>
      </w:r>
      <w:r>
        <w:rPr>
          <w:spacing w:val="-8"/>
        </w:rPr>
        <w:t> </w:t>
      </w:r>
      <w:r>
        <w:rPr/>
        <w:t>smooth</w:t>
      </w:r>
      <w:r>
        <w:rPr>
          <w:spacing w:val="-8"/>
        </w:rPr>
        <w:t> </w:t>
      </w:r>
      <w:r>
        <w:rPr/>
        <w:t>absorp- tion of all the nutrients contained therein. The bioavailability of almost 100</w:t>
      </w:r>
      <w:r>
        <w:rPr>
          <w:spacing w:val="-46"/>
        </w:rPr>
        <w:t> </w:t>
      </w:r>
      <w:r>
        <w:rPr/>
        <w:t>%</w:t>
      </w:r>
    </w:p>
    <w:p>
      <w:pPr>
        <w:pStyle w:val="BodyText"/>
        <w:rPr>
          <w:sz w:val="20"/>
        </w:rPr>
      </w:pPr>
    </w:p>
    <w:p>
      <w:pPr>
        <w:pStyle w:val="BodyText"/>
        <w:rPr>
          <w:sz w:val="20"/>
        </w:rPr>
      </w:pPr>
    </w:p>
    <w:p>
      <w:pPr>
        <w:pStyle w:val="BodyText"/>
        <w:spacing w:before="10"/>
        <w:rPr>
          <w:sz w:val="11"/>
        </w:rPr>
      </w:pPr>
      <w:r>
        <w:rPr/>
        <w:pict>
          <v:line style="position:absolute;mso-position-horizontal-relative:page;mso-position-vertical-relative:paragraph;z-index:12248;mso-wrap-distance-left:0;mso-wrap-distance-right:0" from="70.823997pt,9.083765pt" to="214.843997pt,9.083765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878 </w:t>
      </w:r>
      <w:r>
        <w:rPr>
          <w:sz w:val="20"/>
        </w:rPr>
        <w:t>Frank Felte: Spirulina – Die Wunderalge: Essen Sie Leben! ('Spirulina – The Wonder Alga: Eat Life!'), 2002, p. 30</w:t>
      </w:r>
    </w:p>
    <w:p>
      <w:pPr>
        <w:spacing w:after="0"/>
        <w:jc w:val="left"/>
        <w:rPr>
          <w:sz w:val="20"/>
        </w:rPr>
        <w:sectPr>
          <w:pgSz w:w="14270" w:h="16850"/>
          <w:pgMar w:header="0" w:footer="1891" w:top="1340" w:bottom="2080" w:left="800" w:right="1280"/>
        </w:sectPr>
      </w:pPr>
    </w:p>
    <w:p>
      <w:pPr>
        <w:pStyle w:val="BodyText"/>
        <w:spacing w:before="74"/>
        <w:ind w:left="616"/>
      </w:pPr>
      <w:r>
        <w:rPr/>
        <w:t>can be called sensational!</w:t>
      </w:r>
    </w:p>
    <w:p>
      <w:pPr>
        <w:pStyle w:val="BodyText"/>
        <w:spacing w:line="276" w:lineRule="auto" w:before="305"/>
        <w:ind w:left="616" w:right="138"/>
        <w:jc w:val="both"/>
      </w:pPr>
      <w:r>
        <w:rPr/>
        <w:t>The</w:t>
      </w:r>
      <w:r>
        <w:rPr>
          <w:spacing w:val="-13"/>
        </w:rPr>
        <w:t> </w:t>
      </w:r>
      <w:r>
        <w:rPr/>
        <w:t>consumption</w:t>
      </w:r>
      <w:r>
        <w:rPr>
          <w:spacing w:val="-12"/>
        </w:rPr>
        <w:t> </w:t>
      </w:r>
      <w:r>
        <w:rPr/>
        <w:t>of</w:t>
      </w:r>
      <w:r>
        <w:rPr>
          <w:spacing w:val="-15"/>
        </w:rPr>
        <w:t> </w:t>
      </w:r>
      <w:r>
        <w:rPr/>
        <w:t>spirulina</w:t>
      </w:r>
      <w:r>
        <w:rPr>
          <w:spacing w:val="-13"/>
        </w:rPr>
        <w:t> </w:t>
      </w:r>
      <w:r>
        <w:rPr/>
        <w:t>may</w:t>
      </w:r>
      <w:r>
        <w:rPr>
          <w:spacing w:val="-13"/>
        </w:rPr>
        <w:t> </w:t>
      </w:r>
      <w:r>
        <w:rPr/>
        <w:t>well</w:t>
      </w:r>
      <w:r>
        <w:rPr>
          <w:spacing w:val="-14"/>
        </w:rPr>
        <w:t> </w:t>
      </w:r>
      <w:r>
        <w:rPr/>
        <w:t>be</w:t>
      </w:r>
      <w:r>
        <w:rPr>
          <w:spacing w:val="-14"/>
        </w:rPr>
        <w:t> </w:t>
      </w:r>
      <w:r>
        <w:rPr/>
        <w:t>used</w:t>
      </w:r>
      <w:r>
        <w:rPr>
          <w:spacing w:val="-13"/>
        </w:rPr>
        <w:t> </w:t>
      </w:r>
      <w:r>
        <w:rPr/>
        <w:t>to</w:t>
      </w:r>
      <w:r>
        <w:rPr>
          <w:spacing w:val="-12"/>
        </w:rPr>
        <w:t> </w:t>
      </w:r>
      <w:r>
        <w:rPr/>
        <w:t>compensate</w:t>
      </w:r>
      <w:r>
        <w:rPr>
          <w:spacing w:val="-12"/>
        </w:rPr>
        <w:t> </w:t>
      </w:r>
      <w:r>
        <w:rPr/>
        <w:t>for</w:t>
      </w:r>
      <w:r>
        <w:rPr>
          <w:spacing w:val="-13"/>
        </w:rPr>
        <w:t> </w:t>
      </w:r>
      <w:r>
        <w:rPr/>
        <w:t>bottlenecks in</w:t>
      </w:r>
      <w:r>
        <w:rPr>
          <w:spacing w:val="-10"/>
        </w:rPr>
        <w:t> </w:t>
      </w:r>
      <w:r>
        <w:rPr/>
        <w:t>vital</w:t>
      </w:r>
      <w:r>
        <w:rPr>
          <w:spacing w:val="-11"/>
        </w:rPr>
        <w:t> </w:t>
      </w:r>
      <w:r>
        <w:rPr/>
        <w:t>supplies,</w:t>
      </w:r>
      <w:r>
        <w:rPr>
          <w:spacing w:val="-14"/>
        </w:rPr>
        <w:t> </w:t>
      </w:r>
      <w:r>
        <w:rPr/>
        <w:t>detoxifying</w:t>
      </w:r>
      <w:r>
        <w:rPr>
          <w:spacing w:val="-10"/>
        </w:rPr>
        <w:t> </w:t>
      </w:r>
      <w:r>
        <w:rPr/>
        <w:t>the</w:t>
      </w:r>
      <w:r>
        <w:rPr>
          <w:spacing w:val="-12"/>
        </w:rPr>
        <w:t> </w:t>
      </w:r>
      <w:r>
        <w:rPr/>
        <w:t>organism,</w:t>
      </w:r>
      <w:r>
        <w:rPr>
          <w:spacing w:val="-12"/>
        </w:rPr>
        <w:t> </w:t>
      </w:r>
      <w:r>
        <w:rPr/>
        <w:t>improving</w:t>
      </w:r>
      <w:r>
        <w:rPr>
          <w:spacing w:val="-10"/>
        </w:rPr>
        <w:t> </w:t>
      </w:r>
      <w:r>
        <w:rPr/>
        <w:t>performance,</w:t>
      </w:r>
      <w:r>
        <w:rPr>
          <w:spacing w:val="-10"/>
        </w:rPr>
        <w:t> </w:t>
      </w:r>
      <w:r>
        <w:rPr/>
        <w:t>mobilising self-healing resources and preventing diseases and</w:t>
      </w:r>
      <w:r>
        <w:rPr>
          <w:spacing w:val="2"/>
        </w:rPr>
        <w:t> </w:t>
      </w:r>
      <w:r>
        <w:rPr/>
        <w:t>illness.</w:t>
      </w:r>
    </w:p>
    <w:p>
      <w:pPr>
        <w:pStyle w:val="BodyText"/>
        <w:spacing w:line="278" w:lineRule="auto" w:before="238"/>
        <w:ind w:left="616" w:right="143"/>
        <w:jc w:val="both"/>
      </w:pPr>
      <w:r>
        <w:rPr/>
        <w:t>Spirulina should not be taken concurrently with vitamin C as vitamin C de- stroys the important oxygen-enriching chlorophyll in spirulina.</w:t>
      </w:r>
    </w:p>
    <w:p>
      <w:pPr>
        <w:spacing w:after="0" w:line="278" w:lineRule="auto"/>
        <w:jc w:val="both"/>
        <w:sectPr>
          <w:pgSz w:w="14270" w:h="16850"/>
          <w:pgMar w:header="0" w:footer="1891" w:top="1340" w:bottom="2080" w:left="800" w:right="1280"/>
        </w:sectPr>
      </w:pPr>
    </w:p>
    <w:p>
      <w:pPr>
        <w:pStyle w:val="Heading1"/>
        <w:spacing w:before="77"/>
        <w:ind w:left="616"/>
      </w:pPr>
      <w:r>
        <w:rPr/>
        <w:t>Who needs spirulina?</w:t>
      </w:r>
    </w:p>
    <w:p>
      <w:pPr>
        <w:pStyle w:val="BodyText"/>
        <w:spacing w:line="276" w:lineRule="auto" w:before="299"/>
        <w:ind w:left="616" w:right="133"/>
        <w:jc w:val="both"/>
      </w:pPr>
      <w:r>
        <w:rPr/>
        <w:t>In today's fast-paced, stress-inducing society with poisons in food, water and the air and a dramatically falling nutrient content in foods - practically every- body! Performance athletes, people with physically hard jobs, smokers, alco- holics, people under stress, pregnant and breast-feeding women, children and young people in the process of growing as well as older people can maintain their performance and ensure their health by regularly taking spirulina.</w:t>
      </w:r>
    </w:p>
    <w:p>
      <w:pPr>
        <w:pStyle w:val="Heading1"/>
        <w:spacing w:before="223"/>
        <w:ind w:left="616"/>
      </w:pPr>
      <w:r>
        <w:rPr/>
        <w:t>Spirulina dosage</w:t>
      </w:r>
    </w:p>
    <w:p>
      <w:pPr>
        <w:pStyle w:val="BodyText"/>
        <w:spacing w:line="276" w:lineRule="auto" w:before="300"/>
        <w:ind w:left="616" w:right="134"/>
        <w:jc w:val="both"/>
      </w:pPr>
      <w:r>
        <w:rPr/>
        <w:t>Assuming a weight of 400 mg per tablet, a preventative dose of 8-15 tablets over the course of the day is generally prescribed, taken with lots of fluids. In the</w:t>
      </w:r>
      <w:r>
        <w:rPr>
          <w:spacing w:val="-12"/>
        </w:rPr>
        <w:t> </w:t>
      </w:r>
      <w:r>
        <w:rPr/>
        <w:t>case</w:t>
      </w:r>
      <w:r>
        <w:rPr>
          <w:spacing w:val="-14"/>
        </w:rPr>
        <w:t> </w:t>
      </w:r>
      <w:r>
        <w:rPr/>
        <w:t>of</w:t>
      </w:r>
      <w:r>
        <w:rPr>
          <w:spacing w:val="-12"/>
        </w:rPr>
        <w:t> </w:t>
      </w:r>
      <w:r>
        <w:rPr/>
        <w:t>disease,</w:t>
      </w:r>
      <w:r>
        <w:rPr>
          <w:spacing w:val="-10"/>
        </w:rPr>
        <w:t> </w:t>
      </w:r>
      <w:r>
        <w:rPr/>
        <w:t>follow</w:t>
      </w:r>
      <w:r>
        <w:rPr>
          <w:spacing w:val="-13"/>
        </w:rPr>
        <w:t> </w:t>
      </w:r>
      <w:r>
        <w:rPr/>
        <w:t>the</w:t>
      </w:r>
      <w:r>
        <w:rPr>
          <w:spacing w:val="-14"/>
        </w:rPr>
        <w:t> </w:t>
      </w:r>
      <w:r>
        <w:rPr/>
        <w:t>recommendation</w:t>
      </w:r>
      <w:r>
        <w:rPr>
          <w:spacing w:val="-11"/>
        </w:rPr>
        <w:t> </w:t>
      </w:r>
      <w:r>
        <w:rPr/>
        <w:t>from</w:t>
      </w:r>
      <w:r>
        <w:rPr>
          <w:spacing w:val="-13"/>
        </w:rPr>
        <w:t> </w:t>
      </w:r>
      <w:r>
        <w:rPr/>
        <w:t>your</w:t>
      </w:r>
      <w:r>
        <w:rPr>
          <w:spacing w:val="-15"/>
        </w:rPr>
        <w:t> </w:t>
      </w:r>
      <w:r>
        <w:rPr/>
        <w:t>treatment</w:t>
      </w:r>
      <w:r>
        <w:rPr>
          <w:spacing w:val="-13"/>
        </w:rPr>
        <w:t> </w:t>
      </w:r>
      <w:r>
        <w:rPr/>
        <w:t>therapist; the dose is generally in the range of 15-30 tablets per</w:t>
      </w:r>
      <w:r>
        <w:rPr>
          <w:spacing w:val="-1"/>
        </w:rPr>
        <w:t> </w:t>
      </w:r>
      <w:r>
        <w:rPr/>
        <w:t>day.</w:t>
      </w:r>
    </w:p>
    <w:p>
      <w:pPr>
        <w:pStyle w:val="Heading1"/>
        <w:spacing w:before="222"/>
        <w:ind w:left="616"/>
      </w:pPr>
      <w:r>
        <w:rPr/>
        <w:t>Herxheimer reaction</w:t>
      </w:r>
    </w:p>
    <w:p>
      <w:pPr>
        <w:pStyle w:val="BodyText"/>
        <w:spacing w:line="276" w:lineRule="auto" w:before="299"/>
        <w:ind w:left="616" w:right="137"/>
        <w:jc w:val="both"/>
      </w:pPr>
      <w:r>
        <w:rPr/>
        <w:t>In the course of detoxification, during the first days and weeks of taking spir- ulina platensis, some people may initially feel unwell or nauseous. This should be seen as a positive sign and can be attributed to increased detoxification as well</w:t>
      </w:r>
      <w:r>
        <w:rPr>
          <w:spacing w:val="-14"/>
        </w:rPr>
        <w:t> </w:t>
      </w:r>
      <w:r>
        <w:rPr/>
        <w:t>as</w:t>
      </w:r>
      <w:r>
        <w:rPr>
          <w:spacing w:val="-13"/>
        </w:rPr>
        <w:t> </w:t>
      </w:r>
      <w:r>
        <w:rPr/>
        <w:t>the</w:t>
      </w:r>
      <w:r>
        <w:rPr>
          <w:spacing w:val="-11"/>
        </w:rPr>
        <w:t> </w:t>
      </w:r>
      <w:r>
        <w:rPr/>
        <w:t>sudden</w:t>
      </w:r>
      <w:r>
        <w:rPr>
          <w:spacing w:val="-12"/>
        </w:rPr>
        <w:t> </w:t>
      </w:r>
      <w:r>
        <w:rPr/>
        <w:t>destruction</w:t>
      </w:r>
      <w:r>
        <w:rPr>
          <w:spacing w:val="-13"/>
        </w:rPr>
        <w:t> </w:t>
      </w:r>
      <w:r>
        <w:rPr/>
        <w:t>of</w:t>
      </w:r>
      <w:r>
        <w:rPr>
          <w:spacing w:val="-12"/>
        </w:rPr>
        <w:t> </w:t>
      </w:r>
      <w:r>
        <w:rPr/>
        <w:t>bacteria</w:t>
      </w:r>
      <w:r>
        <w:rPr>
          <w:spacing w:val="-13"/>
        </w:rPr>
        <w:t> </w:t>
      </w:r>
      <w:r>
        <w:rPr/>
        <w:t>and</w:t>
      </w:r>
      <w:r>
        <w:rPr>
          <w:spacing w:val="-12"/>
        </w:rPr>
        <w:t> </w:t>
      </w:r>
      <w:r>
        <w:rPr/>
        <w:t>parasites.</w:t>
      </w:r>
      <w:r>
        <w:rPr>
          <w:spacing w:val="-11"/>
        </w:rPr>
        <w:t> </w:t>
      </w:r>
      <w:r>
        <w:rPr/>
        <w:t>After</w:t>
      </w:r>
      <w:r>
        <w:rPr>
          <w:spacing w:val="-15"/>
        </w:rPr>
        <w:t> </w:t>
      </w:r>
      <w:r>
        <w:rPr/>
        <w:t>a</w:t>
      </w:r>
      <w:r>
        <w:rPr>
          <w:spacing w:val="-13"/>
        </w:rPr>
        <w:t> </w:t>
      </w:r>
      <w:r>
        <w:rPr/>
        <w:t>period</w:t>
      </w:r>
      <w:r>
        <w:rPr>
          <w:spacing w:val="-13"/>
        </w:rPr>
        <w:t> </w:t>
      </w:r>
      <w:r>
        <w:rPr/>
        <w:t>of</w:t>
      </w:r>
      <w:r>
        <w:rPr>
          <w:spacing w:val="-14"/>
        </w:rPr>
        <w:t> </w:t>
      </w:r>
      <w:r>
        <w:rPr/>
        <w:t>time, these will recede by themselves (in the case of heavier symptoms, reduce the dose initially!) and afterwards you will feel better than</w:t>
      </w:r>
      <w:r>
        <w:rPr>
          <w:spacing w:val="-3"/>
        </w:rPr>
        <w:t> </w:t>
      </w:r>
      <w:r>
        <w:rPr/>
        <w:t>before.</w:t>
      </w:r>
    </w:p>
    <w:p>
      <w:pPr>
        <w:pStyle w:val="Heading1"/>
        <w:spacing w:before="223"/>
        <w:ind w:left="616"/>
        <w:jc w:val="both"/>
      </w:pPr>
      <w:r>
        <w:rPr/>
        <w:t>Observations when taking spirulina</w:t>
      </w:r>
    </w:p>
    <w:p>
      <w:pPr>
        <w:pStyle w:val="BodyText"/>
        <w:spacing w:before="300"/>
        <w:ind w:left="616"/>
        <w:jc w:val="both"/>
      </w:pPr>
      <w:r>
        <w:rPr/>
        <w:t>In the highly recommended book 'Spirulina – the Blue-Green Miracle Food',</w:t>
      </w:r>
    </w:p>
    <w:p>
      <w:pPr>
        <w:spacing w:after="0"/>
        <w:jc w:val="both"/>
        <w:sectPr>
          <w:pgSz w:w="14270" w:h="16850"/>
          <w:pgMar w:header="0" w:footer="1891" w:top="1320" w:bottom="2080" w:left="800" w:right="1280"/>
        </w:sectPr>
      </w:pPr>
    </w:p>
    <w:p>
      <w:pPr>
        <w:pStyle w:val="BodyText"/>
        <w:spacing w:line="278" w:lineRule="auto" w:before="72"/>
        <w:ind w:left="616"/>
      </w:pPr>
      <w:r>
        <w:rPr/>
        <w:t>author Marianne E. Meyer describes the observations about spirulina con- sumption from evaluating the data of people with immunodeficiencies.</w:t>
      </w:r>
    </w:p>
    <w:p>
      <w:pPr>
        <w:pStyle w:val="BodyText"/>
        <w:spacing w:line="278" w:lineRule="auto" w:before="232"/>
        <w:ind w:left="616" w:right="45"/>
      </w:pPr>
      <w:r>
        <w:rPr/>
        <w:t>79 % of participants were able to improve their health after regularly taking 10 g of spirulina or more for several months.</w:t>
      </w:r>
    </w:p>
    <w:p>
      <w:pPr>
        <w:pStyle w:val="BodyText"/>
        <w:spacing w:before="232"/>
        <w:ind w:left="616"/>
      </w:pPr>
      <w:r>
        <w:rPr/>
        <w:t>The subjective improvements indicated by participants:</w:t>
      </w:r>
    </w:p>
    <w:p>
      <w:pPr>
        <w:pStyle w:val="ListParagraph"/>
        <w:numPr>
          <w:ilvl w:val="0"/>
          <w:numId w:val="120"/>
        </w:numPr>
        <w:tabs>
          <w:tab w:pos="1031" w:val="left" w:leader="none"/>
          <w:tab w:pos="1032" w:val="left" w:leader="none"/>
        </w:tabs>
        <w:spacing w:line="240" w:lineRule="auto" w:before="265" w:after="0"/>
        <w:ind w:left="899" w:right="0" w:hanging="283"/>
        <w:jc w:val="left"/>
        <w:rPr>
          <w:sz w:val="38"/>
        </w:rPr>
      </w:pPr>
      <w:r>
        <w:rPr>
          <w:sz w:val="38"/>
        </w:rPr>
        <w:t>State of mind</w:t>
      </w:r>
      <w:r>
        <w:rPr>
          <w:spacing w:val="-4"/>
          <w:sz w:val="38"/>
        </w:rPr>
        <w:t> </w:t>
      </w:r>
      <w:r>
        <w:rPr>
          <w:sz w:val="38"/>
        </w:rPr>
        <w:t>60</w:t>
      </w:r>
    </w:p>
    <w:p>
      <w:pPr>
        <w:pStyle w:val="ListParagraph"/>
        <w:numPr>
          <w:ilvl w:val="0"/>
          <w:numId w:val="120"/>
        </w:numPr>
        <w:tabs>
          <w:tab w:pos="1031" w:val="left" w:leader="none"/>
          <w:tab w:pos="1032" w:val="left" w:leader="none"/>
        </w:tabs>
        <w:spacing w:line="240" w:lineRule="auto" w:before="185" w:after="0"/>
        <w:ind w:left="899" w:right="0" w:hanging="283"/>
        <w:jc w:val="left"/>
        <w:rPr>
          <w:sz w:val="38"/>
        </w:rPr>
      </w:pPr>
      <w:r>
        <w:rPr>
          <w:sz w:val="38"/>
        </w:rPr>
        <w:t>Digestion</w:t>
      </w:r>
      <w:r>
        <w:rPr>
          <w:spacing w:val="-2"/>
          <w:sz w:val="38"/>
        </w:rPr>
        <w:t> </w:t>
      </w:r>
      <w:r>
        <w:rPr>
          <w:sz w:val="38"/>
        </w:rPr>
        <w:t>60</w:t>
      </w:r>
    </w:p>
    <w:p>
      <w:pPr>
        <w:pStyle w:val="ListParagraph"/>
        <w:numPr>
          <w:ilvl w:val="0"/>
          <w:numId w:val="120"/>
        </w:numPr>
        <w:tabs>
          <w:tab w:pos="1031" w:val="left" w:leader="none"/>
          <w:tab w:pos="1032" w:val="left" w:leader="none"/>
        </w:tabs>
        <w:spacing w:line="240" w:lineRule="auto" w:before="183" w:after="0"/>
        <w:ind w:left="899" w:right="0" w:hanging="283"/>
        <w:jc w:val="left"/>
        <w:rPr>
          <w:sz w:val="38"/>
        </w:rPr>
      </w:pPr>
      <w:r>
        <w:rPr>
          <w:sz w:val="38"/>
        </w:rPr>
        <w:t>Memory</w:t>
      </w:r>
      <w:r>
        <w:rPr>
          <w:spacing w:val="-1"/>
          <w:sz w:val="38"/>
        </w:rPr>
        <w:t> </w:t>
      </w:r>
      <w:r>
        <w:rPr>
          <w:sz w:val="38"/>
        </w:rPr>
        <w:t>55</w:t>
      </w:r>
    </w:p>
    <w:p>
      <w:pPr>
        <w:pStyle w:val="ListParagraph"/>
        <w:numPr>
          <w:ilvl w:val="0"/>
          <w:numId w:val="120"/>
        </w:numPr>
        <w:tabs>
          <w:tab w:pos="1031" w:val="left" w:leader="none"/>
          <w:tab w:pos="1032" w:val="left" w:leader="none"/>
        </w:tabs>
        <w:spacing w:line="240" w:lineRule="auto" w:before="186" w:after="0"/>
        <w:ind w:left="899" w:right="0" w:hanging="283"/>
        <w:jc w:val="left"/>
        <w:rPr>
          <w:sz w:val="38"/>
        </w:rPr>
      </w:pPr>
      <w:r>
        <w:rPr>
          <w:sz w:val="38"/>
        </w:rPr>
        <w:t>Excretion 45</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Circulation 35</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Appetite</w:t>
      </w:r>
      <w:r>
        <w:rPr>
          <w:spacing w:val="-1"/>
          <w:sz w:val="38"/>
        </w:rPr>
        <w:t> </w:t>
      </w:r>
      <w:r>
        <w:rPr>
          <w:sz w:val="38"/>
        </w:rPr>
        <w:t>35</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Skin</w:t>
      </w:r>
      <w:r>
        <w:rPr>
          <w:spacing w:val="-2"/>
          <w:sz w:val="38"/>
        </w:rPr>
        <w:t> </w:t>
      </w:r>
      <w:r>
        <w:rPr>
          <w:sz w:val="38"/>
        </w:rPr>
        <w:t>30</w:t>
      </w:r>
    </w:p>
    <w:p>
      <w:pPr>
        <w:pStyle w:val="ListParagraph"/>
        <w:numPr>
          <w:ilvl w:val="0"/>
          <w:numId w:val="120"/>
        </w:numPr>
        <w:tabs>
          <w:tab w:pos="1031" w:val="left" w:leader="none"/>
          <w:tab w:pos="1032" w:val="left" w:leader="none"/>
        </w:tabs>
        <w:spacing w:line="240" w:lineRule="auto" w:before="183" w:after="0"/>
        <w:ind w:left="899" w:right="0" w:hanging="283"/>
        <w:jc w:val="left"/>
        <w:rPr>
          <w:sz w:val="38"/>
        </w:rPr>
      </w:pPr>
      <w:r>
        <w:rPr>
          <w:sz w:val="38"/>
        </w:rPr>
        <w:t>Relaxation/sleep</w:t>
      </w:r>
      <w:r>
        <w:rPr>
          <w:spacing w:val="1"/>
          <w:sz w:val="38"/>
        </w:rPr>
        <w:t> </w:t>
      </w:r>
      <w:r>
        <w:rPr>
          <w:sz w:val="38"/>
        </w:rPr>
        <w:t>30</w:t>
      </w:r>
    </w:p>
    <w:p>
      <w:pPr>
        <w:pStyle w:val="Heading1"/>
        <w:spacing w:before="290"/>
        <w:ind w:left="616"/>
      </w:pPr>
      <w:r>
        <w:rPr/>
        <w:t>Objective health improvements:</w:t>
      </w:r>
    </w:p>
    <w:p>
      <w:pPr>
        <w:pStyle w:val="ListParagraph"/>
        <w:numPr>
          <w:ilvl w:val="1"/>
          <w:numId w:val="120"/>
        </w:numPr>
        <w:tabs>
          <w:tab w:pos="1336" w:val="left" w:leader="none"/>
          <w:tab w:pos="1337" w:val="left" w:leader="none"/>
        </w:tabs>
        <w:spacing w:line="240" w:lineRule="auto" w:before="257" w:after="0"/>
        <w:ind w:left="1336" w:right="0" w:hanging="360"/>
        <w:jc w:val="left"/>
        <w:rPr>
          <w:sz w:val="38"/>
        </w:rPr>
      </w:pPr>
      <w:r>
        <w:rPr>
          <w:sz w:val="38"/>
        </w:rPr>
        <w:t>Reduced occurrence of infection 16</w:t>
      </w:r>
    </w:p>
    <w:p>
      <w:pPr>
        <w:pStyle w:val="ListParagraph"/>
        <w:numPr>
          <w:ilvl w:val="1"/>
          <w:numId w:val="120"/>
        </w:numPr>
        <w:tabs>
          <w:tab w:pos="1336" w:val="left" w:leader="none"/>
          <w:tab w:pos="1337" w:val="left" w:leader="none"/>
        </w:tabs>
        <w:spacing w:line="240" w:lineRule="auto" w:before="184" w:after="0"/>
        <w:ind w:left="1336" w:right="0" w:hanging="360"/>
        <w:jc w:val="left"/>
        <w:rPr>
          <w:sz w:val="38"/>
        </w:rPr>
      </w:pPr>
      <w:r>
        <w:rPr>
          <w:sz w:val="38"/>
        </w:rPr>
        <w:t>Increased energy</w:t>
      </w:r>
      <w:r>
        <w:rPr>
          <w:spacing w:val="2"/>
          <w:sz w:val="38"/>
        </w:rPr>
        <w:t> </w:t>
      </w:r>
      <w:r>
        <w:rPr>
          <w:sz w:val="38"/>
        </w:rPr>
        <w:t>14</w:t>
      </w:r>
    </w:p>
    <w:p>
      <w:pPr>
        <w:pStyle w:val="ListParagraph"/>
        <w:numPr>
          <w:ilvl w:val="1"/>
          <w:numId w:val="120"/>
        </w:numPr>
        <w:tabs>
          <w:tab w:pos="1336" w:val="left" w:leader="none"/>
          <w:tab w:pos="1337" w:val="left" w:leader="none"/>
        </w:tabs>
        <w:spacing w:line="240" w:lineRule="auto" w:before="184" w:after="0"/>
        <w:ind w:left="1336" w:right="0" w:hanging="360"/>
        <w:jc w:val="left"/>
        <w:rPr>
          <w:sz w:val="38"/>
        </w:rPr>
      </w:pPr>
      <w:r>
        <w:rPr>
          <w:sz w:val="38"/>
        </w:rPr>
        <w:t>Improved liver values</w:t>
      </w:r>
      <w:r>
        <w:rPr>
          <w:spacing w:val="1"/>
          <w:sz w:val="38"/>
        </w:rPr>
        <w:t> </w:t>
      </w:r>
      <w:r>
        <w:rPr>
          <w:sz w:val="38"/>
        </w:rPr>
        <w:t>10</w:t>
      </w:r>
    </w:p>
    <w:p>
      <w:pPr>
        <w:pStyle w:val="ListParagraph"/>
        <w:numPr>
          <w:ilvl w:val="1"/>
          <w:numId w:val="120"/>
        </w:numPr>
        <w:tabs>
          <w:tab w:pos="1336" w:val="left" w:leader="none"/>
          <w:tab w:pos="1337" w:val="left" w:leader="none"/>
        </w:tabs>
        <w:spacing w:line="240" w:lineRule="auto" w:before="184" w:after="0"/>
        <w:ind w:left="1336" w:right="0" w:hanging="360"/>
        <w:jc w:val="left"/>
        <w:rPr>
          <w:sz w:val="38"/>
        </w:rPr>
      </w:pPr>
      <w:r>
        <w:rPr>
          <w:sz w:val="38"/>
        </w:rPr>
        <w:t>Absence or reduction of arthritic pain 8</w:t>
      </w:r>
    </w:p>
    <w:p>
      <w:pPr>
        <w:pStyle w:val="ListParagraph"/>
        <w:numPr>
          <w:ilvl w:val="1"/>
          <w:numId w:val="120"/>
        </w:numPr>
        <w:tabs>
          <w:tab w:pos="1336" w:val="left" w:leader="none"/>
          <w:tab w:pos="1337" w:val="left" w:leader="none"/>
        </w:tabs>
        <w:spacing w:line="240" w:lineRule="auto" w:before="186" w:after="0"/>
        <w:ind w:left="1336" w:right="0" w:hanging="360"/>
        <w:jc w:val="left"/>
        <w:rPr>
          <w:sz w:val="38"/>
        </w:rPr>
      </w:pPr>
      <w:r>
        <w:rPr>
          <w:sz w:val="38"/>
        </w:rPr>
        <w:t>Less hunger/fewer sugar cravings</w:t>
      </w:r>
      <w:r>
        <w:rPr>
          <w:spacing w:val="2"/>
          <w:sz w:val="38"/>
        </w:rPr>
        <w:t> </w:t>
      </w:r>
      <w:r>
        <w:rPr>
          <w:sz w:val="38"/>
        </w:rPr>
        <w:t>7</w:t>
      </w:r>
    </w:p>
    <w:p>
      <w:pPr>
        <w:spacing w:after="0" w:line="240" w:lineRule="auto"/>
        <w:jc w:val="left"/>
        <w:rPr>
          <w:sz w:val="38"/>
        </w:rPr>
        <w:sectPr>
          <w:pgSz w:w="14270" w:h="16850"/>
          <w:pgMar w:header="0" w:footer="1891" w:top="1340" w:bottom="2080" w:left="800" w:right="1280"/>
        </w:sectPr>
      </w:pPr>
    </w:p>
    <w:p>
      <w:pPr>
        <w:pStyle w:val="ListParagraph"/>
        <w:numPr>
          <w:ilvl w:val="1"/>
          <w:numId w:val="120"/>
        </w:numPr>
        <w:tabs>
          <w:tab w:pos="1336" w:val="left" w:leader="none"/>
          <w:tab w:pos="1337" w:val="left" w:leader="none"/>
        </w:tabs>
        <w:spacing w:line="240" w:lineRule="auto" w:before="53" w:after="0"/>
        <w:ind w:left="1336" w:right="0" w:hanging="360"/>
        <w:jc w:val="left"/>
        <w:rPr>
          <w:sz w:val="38"/>
        </w:rPr>
      </w:pPr>
      <w:r>
        <w:rPr>
          <w:sz w:val="38"/>
        </w:rPr>
        <w:t>Improved blood values including increased haemoglobin content</w:t>
      </w:r>
      <w:r>
        <w:rPr>
          <w:spacing w:val="-10"/>
          <w:sz w:val="38"/>
        </w:rPr>
        <w:t> </w:t>
      </w:r>
      <w:r>
        <w:rPr>
          <w:sz w:val="38"/>
        </w:rPr>
        <w:t>6</w:t>
      </w:r>
    </w:p>
    <w:p>
      <w:pPr>
        <w:pStyle w:val="ListParagraph"/>
        <w:numPr>
          <w:ilvl w:val="1"/>
          <w:numId w:val="120"/>
        </w:numPr>
        <w:tabs>
          <w:tab w:pos="1336" w:val="left" w:leader="none"/>
          <w:tab w:pos="1337" w:val="left" w:leader="none"/>
        </w:tabs>
        <w:spacing w:line="240" w:lineRule="auto" w:before="186" w:after="0"/>
        <w:ind w:left="1336" w:right="0" w:hanging="360"/>
        <w:jc w:val="left"/>
        <w:rPr>
          <w:sz w:val="38"/>
        </w:rPr>
      </w:pPr>
      <w:r>
        <w:rPr>
          <w:sz w:val="38"/>
        </w:rPr>
        <w:t>Improved digestion 5</w:t>
      </w:r>
    </w:p>
    <w:p>
      <w:pPr>
        <w:pStyle w:val="ListParagraph"/>
        <w:numPr>
          <w:ilvl w:val="1"/>
          <w:numId w:val="120"/>
        </w:numPr>
        <w:tabs>
          <w:tab w:pos="1336" w:val="left" w:leader="none"/>
          <w:tab w:pos="1337" w:val="left" w:leader="none"/>
        </w:tabs>
        <w:spacing w:line="240" w:lineRule="auto" w:before="184" w:after="0"/>
        <w:ind w:left="1336" w:right="0" w:hanging="360"/>
        <w:jc w:val="left"/>
        <w:rPr>
          <w:sz w:val="38"/>
        </w:rPr>
      </w:pPr>
      <w:r>
        <w:rPr>
          <w:sz w:val="38"/>
        </w:rPr>
        <w:t>Less fatigue</w:t>
      </w:r>
      <w:r>
        <w:rPr>
          <w:spacing w:val="2"/>
          <w:sz w:val="38"/>
        </w:rPr>
        <w:t> </w:t>
      </w:r>
      <w:r>
        <w:rPr>
          <w:sz w:val="38"/>
        </w:rPr>
        <w:t>5</w:t>
      </w:r>
    </w:p>
    <w:p>
      <w:pPr>
        <w:pStyle w:val="ListParagraph"/>
        <w:numPr>
          <w:ilvl w:val="1"/>
          <w:numId w:val="120"/>
        </w:numPr>
        <w:tabs>
          <w:tab w:pos="1336" w:val="left" w:leader="none"/>
          <w:tab w:pos="1337" w:val="left" w:leader="none"/>
        </w:tabs>
        <w:spacing w:line="240" w:lineRule="auto" w:before="184" w:after="0"/>
        <w:ind w:left="1336" w:right="0" w:hanging="360"/>
        <w:jc w:val="left"/>
        <w:rPr>
          <w:sz w:val="38"/>
        </w:rPr>
      </w:pPr>
      <w:r>
        <w:rPr>
          <w:sz w:val="38"/>
        </w:rPr>
        <w:t>Normal blood sugar level</w:t>
      </w:r>
      <w:r>
        <w:rPr>
          <w:spacing w:val="-3"/>
          <w:sz w:val="38"/>
        </w:rPr>
        <w:t> </w:t>
      </w:r>
      <w:r>
        <w:rPr>
          <w:sz w:val="38"/>
        </w:rPr>
        <w:t>3</w:t>
      </w:r>
    </w:p>
    <w:p>
      <w:pPr>
        <w:pStyle w:val="ListParagraph"/>
        <w:numPr>
          <w:ilvl w:val="1"/>
          <w:numId w:val="120"/>
        </w:numPr>
        <w:tabs>
          <w:tab w:pos="1336" w:val="left" w:leader="none"/>
          <w:tab w:pos="1337" w:val="left" w:leader="none"/>
        </w:tabs>
        <w:spacing w:line="240" w:lineRule="auto" w:before="183" w:after="0"/>
        <w:ind w:left="1336" w:right="0" w:hanging="360"/>
        <w:jc w:val="left"/>
        <w:rPr>
          <w:sz w:val="38"/>
        </w:rPr>
      </w:pPr>
      <w:r>
        <w:rPr>
          <w:sz w:val="38"/>
        </w:rPr>
        <w:t>Less exhaustion</w:t>
      </w:r>
      <w:r>
        <w:rPr>
          <w:spacing w:val="3"/>
          <w:sz w:val="38"/>
        </w:rPr>
        <w:t> </w:t>
      </w:r>
      <w:r>
        <w:rPr>
          <w:sz w:val="38"/>
        </w:rPr>
        <w:t>2</w:t>
      </w:r>
    </w:p>
    <w:p>
      <w:pPr>
        <w:pStyle w:val="ListParagraph"/>
        <w:numPr>
          <w:ilvl w:val="1"/>
          <w:numId w:val="120"/>
        </w:numPr>
        <w:tabs>
          <w:tab w:pos="1336" w:val="left" w:leader="none"/>
          <w:tab w:pos="1337" w:val="left" w:leader="none"/>
        </w:tabs>
        <w:spacing w:line="240" w:lineRule="auto" w:before="184" w:after="0"/>
        <w:ind w:left="1336" w:right="0" w:hanging="360"/>
        <w:jc w:val="left"/>
        <w:rPr>
          <w:sz w:val="38"/>
        </w:rPr>
      </w:pPr>
      <w:r>
        <w:rPr>
          <w:sz w:val="38"/>
        </w:rPr>
        <w:t>Improved wound healing with open hands</w:t>
      </w:r>
      <w:r>
        <w:rPr>
          <w:spacing w:val="1"/>
          <w:sz w:val="38"/>
        </w:rPr>
        <w:t> </w:t>
      </w:r>
      <w:r>
        <w:rPr>
          <w:sz w:val="38"/>
        </w:rPr>
        <w:t>2</w:t>
      </w:r>
    </w:p>
    <w:p>
      <w:pPr>
        <w:pStyle w:val="ListParagraph"/>
        <w:numPr>
          <w:ilvl w:val="1"/>
          <w:numId w:val="120"/>
        </w:numPr>
        <w:tabs>
          <w:tab w:pos="1336" w:val="left" w:leader="none"/>
          <w:tab w:pos="1337" w:val="left" w:leader="none"/>
        </w:tabs>
        <w:spacing w:line="240" w:lineRule="auto" w:before="186" w:after="0"/>
        <w:ind w:left="1336" w:right="0" w:hanging="360"/>
        <w:jc w:val="left"/>
        <w:rPr>
          <w:sz w:val="38"/>
        </w:rPr>
      </w:pPr>
      <w:r>
        <w:rPr>
          <w:sz w:val="38"/>
        </w:rPr>
        <w:t>Improved blood circulation</w:t>
      </w:r>
      <w:r>
        <w:rPr>
          <w:spacing w:val="-2"/>
          <w:sz w:val="38"/>
        </w:rPr>
        <w:t> </w:t>
      </w:r>
      <w:r>
        <w:rPr>
          <w:sz w:val="38"/>
        </w:rPr>
        <w:t>2</w:t>
      </w:r>
    </w:p>
    <w:p>
      <w:pPr>
        <w:pStyle w:val="ListParagraph"/>
        <w:numPr>
          <w:ilvl w:val="1"/>
          <w:numId w:val="120"/>
        </w:numPr>
        <w:tabs>
          <w:tab w:pos="1336" w:val="left" w:leader="none"/>
          <w:tab w:pos="1337" w:val="left" w:leader="none"/>
        </w:tabs>
        <w:spacing w:line="240" w:lineRule="auto" w:before="184" w:after="0"/>
        <w:ind w:left="1336" w:right="0" w:hanging="360"/>
        <w:jc w:val="left"/>
        <w:rPr>
          <w:sz w:val="38"/>
        </w:rPr>
      </w:pPr>
      <w:r>
        <w:rPr>
          <w:sz w:val="38"/>
        </w:rPr>
        <w:t>Improved ability to concentrate</w:t>
      </w:r>
      <w:r>
        <w:rPr>
          <w:spacing w:val="-4"/>
          <w:sz w:val="38"/>
        </w:rPr>
        <w:t> </w:t>
      </w:r>
      <w:r>
        <w:rPr>
          <w:sz w:val="38"/>
        </w:rPr>
        <w:t>1</w:t>
      </w:r>
    </w:p>
    <w:p>
      <w:pPr>
        <w:pStyle w:val="Heading2"/>
        <w:spacing w:before="305"/>
        <w:ind w:left="616"/>
        <w:jc w:val="both"/>
      </w:pPr>
      <w:r>
        <w:rPr/>
        <w:t>Quality differences in spirulina</w:t>
      </w:r>
    </w:p>
    <w:p>
      <w:pPr>
        <w:pStyle w:val="BodyText"/>
        <w:spacing w:line="276" w:lineRule="auto" w:before="302"/>
        <w:ind w:left="616" w:right="132"/>
        <w:jc w:val="both"/>
      </w:pPr>
      <w:r>
        <w:rPr/>
        <w:t>As spirulina algae sucks up its minerals and trace elements from the water in which</w:t>
      </w:r>
      <w:r>
        <w:rPr>
          <w:spacing w:val="-11"/>
        </w:rPr>
        <w:t> </w:t>
      </w:r>
      <w:r>
        <w:rPr/>
        <w:t>it</w:t>
      </w:r>
      <w:r>
        <w:rPr>
          <w:spacing w:val="-12"/>
        </w:rPr>
        <w:t> </w:t>
      </w:r>
      <w:r>
        <w:rPr/>
        <w:t>lives,</w:t>
      </w:r>
      <w:r>
        <w:rPr>
          <w:spacing w:val="-11"/>
        </w:rPr>
        <w:t> </w:t>
      </w:r>
      <w:r>
        <w:rPr/>
        <w:t>its</w:t>
      </w:r>
      <w:r>
        <w:rPr>
          <w:spacing w:val="-9"/>
        </w:rPr>
        <w:t> </w:t>
      </w:r>
      <w:r>
        <w:rPr/>
        <w:t>contents</w:t>
      </w:r>
      <w:r>
        <w:rPr>
          <w:spacing w:val="-11"/>
        </w:rPr>
        <w:t> </w:t>
      </w:r>
      <w:r>
        <w:rPr/>
        <w:t>depend</w:t>
      </w:r>
      <w:r>
        <w:rPr>
          <w:spacing w:val="-12"/>
        </w:rPr>
        <w:t> </w:t>
      </w:r>
      <w:r>
        <w:rPr/>
        <w:t>directly</w:t>
      </w:r>
      <w:r>
        <w:rPr>
          <w:spacing w:val="-11"/>
        </w:rPr>
        <w:t> </w:t>
      </w:r>
      <w:r>
        <w:rPr/>
        <w:t>on</w:t>
      </w:r>
      <w:r>
        <w:rPr>
          <w:spacing w:val="-11"/>
        </w:rPr>
        <w:t> </w:t>
      </w:r>
      <w:r>
        <w:rPr/>
        <w:t>the</w:t>
      </w:r>
      <w:r>
        <w:rPr>
          <w:spacing w:val="-10"/>
        </w:rPr>
        <w:t> </w:t>
      </w:r>
      <w:r>
        <w:rPr/>
        <w:t>mineral</w:t>
      </w:r>
      <w:r>
        <w:rPr>
          <w:spacing w:val="-11"/>
        </w:rPr>
        <w:t> </w:t>
      </w:r>
      <w:r>
        <w:rPr/>
        <w:t>substance</w:t>
      </w:r>
      <w:r>
        <w:rPr>
          <w:spacing w:val="-11"/>
        </w:rPr>
        <w:t> </w:t>
      </w:r>
      <w:r>
        <w:rPr/>
        <w:t>content</w:t>
      </w:r>
      <w:r>
        <w:rPr>
          <w:spacing w:val="-11"/>
        </w:rPr>
        <w:t> </w:t>
      </w:r>
      <w:r>
        <w:rPr/>
        <w:t>of this water. A mixture of fresh and salt water provides the best medium for spirulina.</w:t>
      </w:r>
      <w:r>
        <w:rPr>
          <w:spacing w:val="-18"/>
        </w:rPr>
        <w:t> </w:t>
      </w:r>
      <w:r>
        <w:rPr/>
        <w:t>The</w:t>
      </w:r>
      <w:r>
        <w:rPr>
          <w:spacing w:val="-17"/>
        </w:rPr>
        <w:t> </w:t>
      </w:r>
      <w:r>
        <w:rPr/>
        <w:t>darker</w:t>
      </w:r>
      <w:r>
        <w:rPr>
          <w:spacing w:val="-15"/>
        </w:rPr>
        <w:t> </w:t>
      </w:r>
      <w:r>
        <w:rPr/>
        <w:t>the</w:t>
      </w:r>
      <w:r>
        <w:rPr>
          <w:spacing w:val="-17"/>
        </w:rPr>
        <w:t> </w:t>
      </w:r>
      <w:r>
        <w:rPr/>
        <w:t>green</w:t>
      </w:r>
      <w:r>
        <w:rPr>
          <w:spacing w:val="-18"/>
        </w:rPr>
        <w:t> </w:t>
      </w:r>
      <w:r>
        <w:rPr/>
        <w:t>colour</w:t>
      </w:r>
      <w:r>
        <w:rPr>
          <w:spacing w:val="-18"/>
        </w:rPr>
        <w:t> </w:t>
      </w:r>
      <w:r>
        <w:rPr/>
        <w:t>of</w:t>
      </w:r>
      <w:r>
        <w:rPr>
          <w:spacing w:val="-18"/>
        </w:rPr>
        <w:t> </w:t>
      </w:r>
      <w:r>
        <w:rPr/>
        <w:t>the</w:t>
      </w:r>
      <w:r>
        <w:rPr>
          <w:spacing w:val="-17"/>
        </w:rPr>
        <w:t> </w:t>
      </w:r>
      <w:r>
        <w:rPr/>
        <w:t>spirulina</w:t>
      </w:r>
      <w:r>
        <w:rPr>
          <w:spacing w:val="-19"/>
        </w:rPr>
        <w:t> </w:t>
      </w:r>
      <w:r>
        <w:rPr/>
        <w:t>tablet,</w:t>
      </w:r>
      <w:r>
        <w:rPr>
          <w:spacing w:val="-17"/>
        </w:rPr>
        <w:t> </w:t>
      </w:r>
      <w:r>
        <w:rPr/>
        <w:t>the</w:t>
      </w:r>
      <w:r>
        <w:rPr>
          <w:spacing w:val="-17"/>
        </w:rPr>
        <w:t> </w:t>
      </w:r>
      <w:r>
        <w:rPr/>
        <w:t>better</w:t>
      </w:r>
      <w:r>
        <w:rPr>
          <w:spacing w:val="-17"/>
        </w:rPr>
        <w:t> </w:t>
      </w:r>
      <w:r>
        <w:rPr/>
        <w:t>its</w:t>
      </w:r>
      <w:r>
        <w:rPr>
          <w:spacing w:val="-18"/>
        </w:rPr>
        <w:t> </w:t>
      </w:r>
      <w:r>
        <w:rPr/>
        <w:t>qual- ity!</w:t>
      </w:r>
    </w:p>
    <w:p>
      <w:pPr>
        <w:pStyle w:val="Heading2"/>
        <w:spacing w:before="240"/>
        <w:ind w:left="616"/>
      </w:pPr>
      <w:r>
        <w:rPr/>
        <w:t>Does spirulina cause any side effects?</w:t>
      </w:r>
    </w:p>
    <w:p>
      <w:pPr>
        <w:pStyle w:val="BodyText"/>
        <w:spacing w:line="276" w:lineRule="auto" w:before="304"/>
        <w:ind w:left="616" w:right="134"/>
        <w:jc w:val="both"/>
      </w:pPr>
      <w:r>
        <w:rPr/>
        <w:t>There is practically no risk associated with consumption as using spirulina in the human diet can be traced back for hundreds and thousands of years in some</w:t>
      </w:r>
      <w:r>
        <w:rPr>
          <w:spacing w:val="-20"/>
        </w:rPr>
        <w:t> </w:t>
      </w:r>
      <w:r>
        <w:rPr/>
        <w:t>cultures.</w:t>
      </w:r>
      <w:r>
        <w:rPr>
          <w:spacing w:val="-20"/>
        </w:rPr>
        <w:t> </w:t>
      </w:r>
      <w:r>
        <w:rPr/>
        <w:t>People</w:t>
      </w:r>
      <w:r>
        <w:rPr>
          <w:spacing w:val="-21"/>
        </w:rPr>
        <w:t> </w:t>
      </w:r>
      <w:r>
        <w:rPr/>
        <w:t>suffering</w:t>
      </w:r>
      <w:r>
        <w:rPr>
          <w:spacing w:val="-20"/>
        </w:rPr>
        <w:t> </w:t>
      </w:r>
      <w:r>
        <w:rPr/>
        <w:t>from</w:t>
      </w:r>
      <w:r>
        <w:rPr>
          <w:spacing w:val="-21"/>
        </w:rPr>
        <w:t> </w:t>
      </w:r>
      <w:r>
        <w:rPr/>
        <w:t>arthritis</w:t>
      </w:r>
      <w:r>
        <w:rPr>
          <w:spacing w:val="-16"/>
        </w:rPr>
        <w:t> </w:t>
      </w:r>
      <w:r>
        <w:rPr/>
        <w:t>and</w:t>
      </w:r>
      <w:r>
        <w:rPr>
          <w:spacing w:val="-22"/>
        </w:rPr>
        <w:t> </w:t>
      </w:r>
      <w:r>
        <w:rPr/>
        <w:t>gout</w:t>
      </w:r>
      <w:r>
        <w:rPr>
          <w:spacing w:val="-23"/>
        </w:rPr>
        <w:t> </w:t>
      </w:r>
      <w:r>
        <w:rPr/>
        <w:t>initially</w:t>
      </w:r>
      <w:r>
        <w:rPr>
          <w:spacing w:val="-22"/>
        </w:rPr>
        <w:t> </w:t>
      </w:r>
      <w:r>
        <w:rPr/>
        <w:t>experience</w:t>
      </w:r>
      <w:r>
        <w:rPr>
          <w:spacing w:val="-19"/>
        </w:rPr>
        <w:t> </w:t>
      </w:r>
      <w:r>
        <w:rPr/>
        <w:t>pain as a result of dissolved acid crystals which are now being transported out of the</w:t>
      </w:r>
      <w:r>
        <w:rPr>
          <w:spacing w:val="1"/>
        </w:rPr>
        <w:t> </w:t>
      </w:r>
      <w:r>
        <w:rPr/>
        <w:t>body</w:t>
      </w:r>
    </w:p>
    <w:p>
      <w:pPr>
        <w:spacing w:after="0" w:line="276" w:lineRule="auto"/>
        <w:jc w:val="both"/>
        <w:sectPr>
          <w:pgSz w:w="14270" w:h="16850"/>
          <w:pgMar w:header="0" w:footer="1891" w:top="1360" w:bottom="2080" w:left="800" w:right="1280"/>
        </w:sectPr>
      </w:pPr>
    </w:p>
    <w:p>
      <w:pPr>
        <w:pStyle w:val="BodyText"/>
        <w:rPr>
          <w:sz w:val="20"/>
        </w:rPr>
      </w:pPr>
    </w:p>
    <w:p>
      <w:pPr>
        <w:pStyle w:val="BodyText"/>
        <w:spacing w:before="2"/>
        <w:rPr>
          <w:sz w:val="18"/>
        </w:rPr>
      </w:pPr>
    </w:p>
    <w:p>
      <w:pPr>
        <w:pStyle w:val="Heading1"/>
        <w:spacing w:before="99"/>
        <w:ind w:left="616"/>
      </w:pPr>
      <w:r>
        <w:rPr/>
        <w:t>Possible interactions</w:t>
      </w:r>
    </w:p>
    <w:p>
      <w:pPr>
        <w:pStyle w:val="BodyText"/>
        <w:spacing w:line="276" w:lineRule="auto" w:before="297"/>
        <w:ind w:left="616" w:right="139"/>
        <w:jc w:val="both"/>
      </w:pPr>
      <w:r>
        <w:rPr/>
        <w:t>If you take blood thinners, you should discuss the consumption of spirulina with your doctor as spirulina contains the blood thinning vitamin K (1 tablet contains approx. 0.006 mg of vitamin K)</w:t>
      </w:r>
    </w:p>
    <w:p>
      <w:pPr>
        <w:spacing w:after="0" w:line="276" w:lineRule="auto"/>
        <w:jc w:val="both"/>
        <w:sectPr>
          <w:footerReference w:type="default" r:id="rId372"/>
          <w:pgSz w:w="14270" w:h="16850"/>
          <w:pgMar w:footer="1891" w:header="0" w:top="1600" w:bottom="2080" w:left="800" w:right="1280"/>
          <w:pgNumType w:start="1570"/>
        </w:sectPr>
      </w:pPr>
    </w:p>
    <w:p>
      <w:pPr>
        <w:spacing w:before="73"/>
        <w:ind w:left="616" w:right="0" w:firstLine="0"/>
        <w:jc w:val="left"/>
        <w:rPr>
          <w:rFonts w:ascii="Cambria"/>
          <w:b/>
          <w:sz w:val="28"/>
        </w:rPr>
      </w:pPr>
      <w:r>
        <w:rPr>
          <w:rFonts w:ascii="Cambria"/>
          <w:b/>
          <w:color w:val="365F91"/>
          <w:sz w:val="28"/>
        </w:rPr>
        <w:t>STEVIA</w:t>
      </w:r>
    </w:p>
    <w:p>
      <w:pPr>
        <w:pStyle w:val="BodyText"/>
        <w:spacing w:before="11"/>
        <w:rPr>
          <w:rFonts w:ascii="Cambria"/>
          <w:b/>
          <w:sz w:val="24"/>
        </w:rPr>
      </w:pPr>
    </w:p>
    <w:p>
      <w:pPr>
        <w:pStyle w:val="Heading2"/>
        <w:ind w:left="616"/>
      </w:pPr>
      <w:r>
        <w:rPr/>
        <w:t>Stevia – what is it?</w:t>
      </w:r>
    </w:p>
    <w:p>
      <w:pPr>
        <w:pStyle w:val="BodyText"/>
        <w:spacing w:line="276" w:lineRule="auto" w:before="302"/>
        <w:ind w:left="616" w:right="133"/>
        <w:jc w:val="both"/>
      </w:pPr>
      <w:r>
        <w:rPr/>
        <w:t>Stevia,</w:t>
      </w:r>
      <w:r>
        <w:rPr>
          <w:spacing w:val="-21"/>
        </w:rPr>
        <w:t> </w:t>
      </w:r>
      <w:r>
        <w:rPr/>
        <w:t>sweet</w:t>
      </w:r>
      <w:r>
        <w:rPr>
          <w:spacing w:val="-21"/>
        </w:rPr>
        <w:t> </w:t>
      </w:r>
      <w:r>
        <w:rPr/>
        <w:t>herb,</w:t>
      </w:r>
      <w:r>
        <w:rPr>
          <w:spacing w:val="-23"/>
        </w:rPr>
        <w:t> </w:t>
      </w:r>
      <w:r>
        <w:rPr/>
        <w:t>sweet</w:t>
      </w:r>
      <w:r>
        <w:rPr>
          <w:spacing w:val="-21"/>
        </w:rPr>
        <w:t> </w:t>
      </w:r>
      <w:r>
        <w:rPr/>
        <w:t>leaf,</w:t>
      </w:r>
      <w:r>
        <w:rPr>
          <w:spacing w:val="-22"/>
        </w:rPr>
        <w:t> </w:t>
      </w:r>
      <w:r>
        <w:rPr/>
        <w:t>honey</w:t>
      </w:r>
      <w:r>
        <w:rPr>
          <w:spacing w:val="-20"/>
        </w:rPr>
        <w:t> </w:t>
      </w:r>
      <w:r>
        <w:rPr/>
        <w:t>leaf,</w:t>
      </w:r>
      <w:r>
        <w:rPr>
          <w:spacing w:val="-23"/>
        </w:rPr>
        <w:t> </w:t>
      </w:r>
      <w:r>
        <w:rPr/>
        <w:t>sugar</w:t>
      </w:r>
      <w:r>
        <w:rPr>
          <w:spacing w:val="-21"/>
        </w:rPr>
        <w:t> </w:t>
      </w:r>
      <w:r>
        <w:rPr/>
        <w:t>loaf</w:t>
      </w:r>
      <w:r>
        <w:rPr>
          <w:spacing w:val="-19"/>
        </w:rPr>
        <w:t> </w:t>
      </w:r>
      <w:r>
        <w:rPr/>
        <w:t>–</w:t>
      </w:r>
      <w:r>
        <w:rPr>
          <w:spacing w:val="-22"/>
        </w:rPr>
        <w:t> </w:t>
      </w:r>
      <w:r>
        <w:rPr/>
        <w:t>five</w:t>
      </w:r>
      <w:r>
        <w:rPr>
          <w:spacing w:val="-22"/>
        </w:rPr>
        <w:t> </w:t>
      </w:r>
      <w:r>
        <w:rPr/>
        <w:t>terms</w:t>
      </w:r>
      <w:r>
        <w:rPr>
          <w:spacing w:val="-22"/>
        </w:rPr>
        <w:t> </w:t>
      </w:r>
      <w:r>
        <w:rPr/>
        <w:t>which</w:t>
      </w:r>
      <w:r>
        <w:rPr>
          <w:spacing w:val="-21"/>
        </w:rPr>
        <w:t> </w:t>
      </w:r>
      <w:r>
        <w:rPr/>
        <w:t>describe the same thing, namely an alternative to harmful, calorie-rich household sugar and the highly questionably 'healthy' artificial sweeteners on the</w:t>
      </w:r>
      <w:r>
        <w:rPr>
          <w:spacing w:val="-16"/>
        </w:rPr>
        <w:t> </w:t>
      </w:r>
      <w:r>
        <w:rPr/>
        <w:t>market.</w:t>
      </w:r>
    </w:p>
    <w:p>
      <w:pPr>
        <w:pStyle w:val="BodyText"/>
        <w:spacing w:line="278" w:lineRule="auto" w:before="239"/>
        <w:ind w:left="616" w:right="138"/>
        <w:jc w:val="both"/>
      </w:pPr>
      <w:r>
        <w:rPr/>
        <w:t>For simplicity's sake, we will refer to it using the most common of all</w:t>
      </w:r>
      <w:r>
        <w:rPr>
          <w:spacing w:val="-59"/>
        </w:rPr>
        <w:t> </w:t>
      </w:r>
      <w:r>
        <w:rPr/>
        <w:t>designa- tions in this text: STEVIA.</w:t>
      </w:r>
    </w:p>
    <w:p>
      <w:pPr>
        <w:pStyle w:val="BodyText"/>
        <w:spacing w:line="276" w:lineRule="auto" w:before="232"/>
        <w:ind w:left="616" w:right="142"/>
        <w:jc w:val="both"/>
      </w:pPr>
      <w:r>
        <w:rPr/>
        <w:t>The name 'stevia' comes from its origin, namely 'Stevia rebaudiana' (Eupato- rium rebaudianum), a plant type from the Stevia genus of the Asteraceae fam- ily.</w:t>
      </w:r>
    </w:p>
    <w:p>
      <w:pPr>
        <w:pStyle w:val="Heading2"/>
        <w:spacing w:before="242"/>
        <w:ind w:left="616"/>
      </w:pPr>
      <w:r>
        <w:rPr/>
        <w:t>Stevia, a sweet medicinal plant as a healthy sugar substitute</w:t>
      </w:r>
    </w:p>
    <w:p>
      <w:pPr>
        <w:pStyle w:val="BodyText"/>
        <w:spacing w:line="276" w:lineRule="auto" w:before="302"/>
        <w:ind w:left="616" w:right="135"/>
        <w:jc w:val="both"/>
      </w:pPr>
      <w:r>
        <w:rPr/>
        <w:t>'Stevia</w:t>
      </w:r>
      <w:r>
        <w:rPr>
          <w:spacing w:val="-12"/>
        </w:rPr>
        <w:t> </w:t>
      </w:r>
      <w:r>
        <w:rPr/>
        <w:t>rebaudiana'</w:t>
      </w:r>
      <w:r>
        <w:rPr>
          <w:spacing w:val="-7"/>
        </w:rPr>
        <w:t> </w:t>
      </w:r>
      <w:r>
        <w:rPr/>
        <w:t>originates</w:t>
      </w:r>
      <w:r>
        <w:rPr>
          <w:spacing w:val="-11"/>
        </w:rPr>
        <w:t> </w:t>
      </w:r>
      <w:r>
        <w:rPr/>
        <w:t>from</w:t>
      </w:r>
      <w:r>
        <w:rPr>
          <w:spacing w:val="-12"/>
        </w:rPr>
        <w:t> </w:t>
      </w:r>
      <w:r>
        <w:rPr/>
        <w:t>the</w:t>
      </w:r>
      <w:r>
        <w:rPr>
          <w:spacing w:val="-9"/>
        </w:rPr>
        <w:t> </w:t>
      </w:r>
      <w:r>
        <w:rPr/>
        <w:t>sub-tropical</w:t>
      </w:r>
      <w:r>
        <w:rPr>
          <w:spacing w:val="-12"/>
        </w:rPr>
        <w:t> </w:t>
      </w:r>
      <w:r>
        <w:rPr/>
        <w:t>annual</w:t>
      </w:r>
      <w:r>
        <w:rPr>
          <w:spacing w:val="-12"/>
        </w:rPr>
        <w:t> </w:t>
      </w:r>
      <w:r>
        <w:rPr/>
        <w:t>plants</w:t>
      </w:r>
      <w:r>
        <w:rPr>
          <w:spacing w:val="-8"/>
        </w:rPr>
        <w:t> </w:t>
      </w:r>
      <w:r>
        <w:rPr/>
        <w:t>and</w:t>
      </w:r>
      <w:r>
        <w:rPr>
          <w:spacing w:val="-10"/>
        </w:rPr>
        <w:t> </w:t>
      </w:r>
      <w:r>
        <w:rPr/>
        <w:t>grows</w:t>
      </w:r>
      <w:r>
        <w:rPr>
          <w:spacing w:val="-11"/>
        </w:rPr>
        <w:t> </w:t>
      </w:r>
      <w:r>
        <w:rPr/>
        <w:t>to about 70-100 cm tall. It has 2-3 cm-long leaves and white flowers. When</w:t>
      </w:r>
      <w:r>
        <w:rPr>
          <w:spacing w:val="43"/>
        </w:rPr>
        <w:t> </w:t>
      </w:r>
      <w:r>
        <w:rPr/>
        <w:t>raw,</w:t>
      </w:r>
    </w:p>
    <w:p>
      <w:pPr>
        <w:pStyle w:val="ListParagraph"/>
        <w:numPr>
          <w:ilvl w:val="1"/>
          <w:numId w:val="122"/>
        </w:numPr>
        <w:tabs>
          <w:tab w:pos="1116" w:val="left" w:leader="none"/>
        </w:tabs>
        <w:spacing w:line="276" w:lineRule="auto" w:before="1" w:after="0"/>
        <w:ind w:left="616" w:right="134" w:firstLine="0"/>
        <w:jc w:val="both"/>
        <w:rPr>
          <w:sz w:val="38"/>
        </w:rPr>
      </w:pPr>
      <w:r>
        <w:rPr>
          <w:sz w:val="38"/>
        </w:rPr>
        <w:t>unprocessed,</w:t>
      </w:r>
      <w:r>
        <w:rPr>
          <w:spacing w:val="-13"/>
          <w:sz w:val="38"/>
        </w:rPr>
        <w:t> </w:t>
      </w:r>
      <w:r>
        <w:rPr>
          <w:sz w:val="38"/>
        </w:rPr>
        <w:t>the</w:t>
      </w:r>
      <w:r>
        <w:rPr>
          <w:spacing w:val="-11"/>
          <w:sz w:val="38"/>
        </w:rPr>
        <w:t> </w:t>
      </w:r>
      <w:r>
        <w:rPr>
          <w:sz w:val="38"/>
        </w:rPr>
        <w:t>stevia</w:t>
      </w:r>
      <w:r>
        <w:rPr>
          <w:spacing w:val="-12"/>
          <w:sz w:val="38"/>
        </w:rPr>
        <w:t> </w:t>
      </w:r>
      <w:r>
        <w:rPr>
          <w:sz w:val="38"/>
        </w:rPr>
        <w:t>plant</w:t>
      </w:r>
      <w:r>
        <w:rPr>
          <w:spacing w:val="-14"/>
          <w:sz w:val="38"/>
        </w:rPr>
        <w:t> </w:t>
      </w:r>
      <w:r>
        <w:rPr>
          <w:sz w:val="38"/>
        </w:rPr>
        <w:t>stands</w:t>
      </w:r>
      <w:r>
        <w:rPr>
          <w:spacing w:val="-10"/>
          <w:sz w:val="38"/>
        </w:rPr>
        <w:t> </w:t>
      </w:r>
      <w:r>
        <w:rPr>
          <w:sz w:val="38"/>
        </w:rPr>
        <w:t>out</w:t>
      </w:r>
      <w:r>
        <w:rPr>
          <w:spacing w:val="-12"/>
          <w:sz w:val="38"/>
        </w:rPr>
        <w:t> </w:t>
      </w:r>
      <w:r>
        <w:rPr>
          <w:sz w:val="38"/>
        </w:rPr>
        <w:t>by</w:t>
      </w:r>
      <w:r>
        <w:rPr>
          <w:spacing w:val="-11"/>
          <w:sz w:val="38"/>
        </w:rPr>
        <w:t> </w:t>
      </w:r>
      <w:r>
        <w:rPr>
          <w:sz w:val="38"/>
        </w:rPr>
        <w:t>developing</w:t>
      </w:r>
      <w:r>
        <w:rPr>
          <w:spacing w:val="-11"/>
          <w:sz w:val="38"/>
        </w:rPr>
        <w:t> </w:t>
      </w:r>
      <w:r>
        <w:rPr>
          <w:sz w:val="38"/>
        </w:rPr>
        <w:t>10</w:t>
      </w:r>
      <w:r>
        <w:rPr>
          <w:spacing w:val="-12"/>
          <w:sz w:val="38"/>
        </w:rPr>
        <w:t> </w:t>
      </w:r>
      <w:r>
        <w:rPr>
          <w:sz w:val="38"/>
        </w:rPr>
        <w:t>to</w:t>
      </w:r>
      <w:r>
        <w:rPr>
          <w:spacing w:val="-11"/>
          <w:sz w:val="38"/>
        </w:rPr>
        <w:t> </w:t>
      </w:r>
      <w:r>
        <w:rPr>
          <w:sz w:val="38"/>
        </w:rPr>
        <w:t>30</w:t>
      </w:r>
      <w:r>
        <w:rPr>
          <w:spacing w:val="-11"/>
          <w:sz w:val="38"/>
        </w:rPr>
        <w:t> </w:t>
      </w:r>
      <w:r>
        <w:rPr>
          <w:sz w:val="38"/>
        </w:rPr>
        <w:t>times</w:t>
      </w:r>
      <w:r>
        <w:rPr>
          <w:spacing w:val="-11"/>
          <w:sz w:val="38"/>
        </w:rPr>
        <w:t> </w:t>
      </w:r>
      <w:r>
        <w:rPr>
          <w:sz w:val="38"/>
        </w:rPr>
        <w:t>more sweetness compared to household sugar, depending on the surroundings and climate. As a processed extract, it even has 300 to 400 times more</w:t>
      </w:r>
      <w:r>
        <w:rPr>
          <w:spacing w:val="-20"/>
          <w:sz w:val="38"/>
        </w:rPr>
        <w:t> </w:t>
      </w:r>
      <w:r>
        <w:rPr>
          <w:sz w:val="38"/>
        </w:rPr>
        <w:t>sweetness.</w:t>
      </w:r>
    </w:p>
    <w:p>
      <w:pPr>
        <w:spacing w:after="0" w:line="276" w:lineRule="auto"/>
        <w:jc w:val="both"/>
        <w:rPr>
          <w:sz w:val="38"/>
        </w:rPr>
        <w:sectPr>
          <w:pgSz w:w="14270" w:h="16850"/>
          <w:pgMar w:header="0" w:footer="1891" w:top="1340" w:bottom="2080" w:left="800" w:right="1280"/>
        </w:sectPr>
      </w:pPr>
    </w:p>
    <w:p>
      <w:pPr>
        <w:pStyle w:val="Heading2"/>
        <w:spacing w:before="74"/>
        <w:ind w:left="616"/>
      </w:pPr>
      <w:r>
        <w:rPr/>
        <w:t>What makes stevia so sweet?</w:t>
      </w:r>
    </w:p>
    <w:p>
      <w:pPr>
        <w:pStyle w:val="BodyText"/>
        <w:spacing w:line="276" w:lineRule="auto" w:before="302"/>
        <w:ind w:left="616" w:right="130"/>
        <w:jc w:val="both"/>
      </w:pPr>
      <w:r>
        <w:rPr/>
        <w:t>Stevia owes its pronounced sweetness to its complex molecule, called stevio- side, a glucoside from glucose, steviol and sophorose. In conjunction with other ingredients which are related but some of which have not been studied down</w:t>
      </w:r>
      <w:r>
        <w:rPr>
          <w:spacing w:val="-13"/>
        </w:rPr>
        <w:t> </w:t>
      </w:r>
      <w:r>
        <w:rPr/>
        <w:t>to</w:t>
      </w:r>
      <w:r>
        <w:rPr>
          <w:spacing w:val="-13"/>
        </w:rPr>
        <w:t> </w:t>
      </w:r>
      <w:r>
        <w:rPr/>
        <w:t>the</w:t>
      </w:r>
      <w:r>
        <w:rPr>
          <w:spacing w:val="-14"/>
        </w:rPr>
        <w:t> </w:t>
      </w:r>
      <w:r>
        <w:rPr/>
        <w:t>last</w:t>
      </w:r>
      <w:r>
        <w:rPr>
          <w:spacing w:val="-16"/>
        </w:rPr>
        <w:t> </w:t>
      </w:r>
      <w:r>
        <w:rPr/>
        <w:t>detail,</w:t>
      </w:r>
      <w:r>
        <w:rPr>
          <w:spacing w:val="-12"/>
        </w:rPr>
        <w:t> </w:t>
      </w:r>
      <w:r>
        <w:rPr/>
        <w:t>the</w:t>
      </w:r>
      <w:r>
        <w:rPr>
          <w:spacing w:val="-11"/>
        </w:rPr>
        <w:t> </w:t>
      </w:r>
      <w:r>
        <w:rPr/>
        <w:t>stevia</w:t>
      </w:r>
      <w:r>
        <w:rPr>
          <w:spacing w:val="-16"/>
        </w:rPr>
        <w:t> </w:t>
      </w:r>
      <w:r>
        <w:rPr/>
        <w:t>leaf</w:t>
      </w:r>
      <w:r>
        <w:rPr>
          <w:spacing w:val="-13"/>
        </w:rPr>
        <w:t> </w:t>
      </w:r>
      <w:r>
        <w:rPr/>
        <w:t>appears</w:t>
      </w:r>
      <w:r>
        <w:rPr>
          <w:spacing w:val="-12"/>
        </w:rPr>
        <w:t> </w:t>
      </w:r>
      <w:r>
        <w:rPr/>
        <w:t>to</w:t>
      </w:r>
      <w:r>
        <w:rPr>
          <w:spacing w:val="-15"/>
        </w:rPr>
        <w:t> </w:t>
      </w:r>
      <w:r>
        <w:rPr/>
        <w:t>be</w:t>
      </w:r>
      <w:r>
        <w:rPr>
          <w:spacing w:val="-12"/>
        </w:rPr>
        <w:t> </w:t>
      </w:r>
      <w:r>
        <w:rPr/>
        <w:t>10</w:t>
      </w:r>
      <w:r>
        <w:rPr>
          <w:spacing w:val="-14"/>
        </w:rPr>
        <w:t> </w:t>
      </w:r>
      <w:r>
        <w:rPr/>
        <w:t>to</w:t>
      </w:r>
      <w:r>
        <w:rPr>
          <w:spacing w:val="-14"/>
        </w:rPr>
        <w:t> </w:t>
      </w:r>
      <w:r>
        <w:rPr/>
        <w:t>20</w:t>
      </w:r>
      <w:r>
        <w:rPr>
          <w:spacing w:val="-14"/>
        </w:rPr>
        <w:t> </w:t>
      </w:r>
      <w:r>
        <w:rPr/>
        <w:t>times</w:t>
      </w:r>
      <w:r>
        <w:rPr>
          <w:spacing w:val="-17"/>
        </w:rPr>
        <w:t> </w:t>
      </w:r>
      <w:r>
        <w:rPr/>
        <w:t>sweeter</w:t>
      </w:r>
      <w:r>
        <w:rPr>
          <w:spacing w:val="-11"/>
        </w:rPr>
        <w:t> </w:t>
      </w:r>
      <w:r>
        <w:rPr/>
        <w:t>than sugar.</w:t>
      </w:r>
    </w:p>
    <w:p>
      <w:pPr>
        <w:pStyle w:val="Heading2"/>
        <w:spacing w:before="240"/>
        <w:ind w:left="616"/>
      </w:pPr>
      <w:r>
        <w:rPr/>
        <w:t>Origin and history of the stevia plant</w:t>
      </w:r>
    </w:p>
    <w:p>
      <w:pPr>
        <w:pStyle w:val="BodyText"/>
        <w:spacing w:line="276" w:lineRule="auto" w:before="305"/>
        <w:ind w:left="616" w:right="134"/>
        <w:jc w:val="both"/>
      </w:pPr>
      <w:r>
        <w:rPr/>
        <w:t>The original name of the stevia plant comes from Paraguay in South America and</w:t>
      </w:r>
      <w:r>
        <w:rPr>
          <w:spacing w:val="-4"/>
        </w:rPr>
        <w:t> </w:t>
      </w:r>
      <w:r>
        <w:rPr/>
        <w:t>it</w:t>
      </w:r>
      <w:r>
        <w:rPr>
          <w:spacing w:val="-6"/>
        </w:rPr>
        <w:t> </w:t>
      </w:r>
      <w:r>
        <w:rPr/>
        <w:t>is</w:t>
      </w:r>
      <w:r>
        <w:rPr>
          <w:spacing w:val="-4"/>
        </w:rPr>
        <w:t> </w:t>
      </w:r>
      <w:r>
        <w:rPr/>
        <w:t>thanks</w:t>
      </w:r>
      <w:r>
        <w:rPr>
          <w:spacing w:val="-6"/>
        </w:rPr>
        <w:t> </w:t>
      </w:r>
      <w:r>
        <w:rPr/>
        <w:t>to</w:t>
      </w:r>
      <w:r>
        <w:rPr>
          <w:spacing w:val="-4"/>
        </w:rPr>
        <w:t> </w:t>
      </w:r>
      <w:r>
        <w:rPr/>
        <w:t>its</w:t>
      </w:r>
      <w:r>
        <w:rPr>
          <w:spacing w:val="-5"/>
        </w:rPr>
        <w:t> </w:t>
      </w:r>
      <w:r>
        <w:rPr/>
        <w:t>impressive</w:t>
      </w:r>
      <w:r>
        <w:rPr>
          <w:spacing w:val="-8"/>
        </w:rPr>
        <w:t> </w:t>
      </w:r>
      <w:r>
        <w:rPr/>
        <w:t>sweetness</w:t>
      </w:r>
      <w:r>
        <w:rPr>
          <w:spacing w:val="-3"/>
        </w:rPr>
        <w:t> </w:t>
      </w:r>
      <w:r>
        <w:rPr/>
        <w:t>and</w:t>
      </w:r>
      <w:r>
        <w:rPr>
          <w:spacing w:val="-7"/>
        </w:rPr>
        <w:t> </w:t>
      </w:r>
      <w:r>
        <w:rPr/>
        <w:t>health</w:t>
      </w:r>
      <w:r>
        <w:rPr>
          <w:spacing w:val="-3"/>
        </w:rPr>
        <w:t> </w:t>
      </w:r>
      <w:r>
        <w:rPr/>
        <w:t>benefits</w:t>
      </w:r>
      <w:r>
        <w:rPr>
          <w:spacing w:val="-3"/>
        </w:rPr>
        <w:t> </w:t>
      </w:r>
      <w:r>
        <w:rPr/>
        <w:t>that</w:t>
      </w:r>
      <w:r>
        <w:rPr>
          <w:spacing w:val="-5"/>
        </w:rPr>
        <w:t> </w:t>
      </w:r>
      <w:r>
        <w:rPr/>
        <w:t>it</w:t>
      </w:r>
      <w:r>
        <w:rPr>
          <w:spacing w:val="-6"/>
        </w:rPr>
        <w:t> </w:t>
      </w:r>
      <w:r>
        <w:rPr/>
        <w:t>has</w:t>
      </w:r>
      <w:r>
        <w:rPr>
          <w:spacing w:val="-6"/>
        </w:rPr>
        <w:t> </w:t>
      </w:r>
      <w:r>
        <w:rPr/>
        <w:t>been used by the native inhabitants of Paraguay and Brazil for centuries as both a sweetener and medicine. The Guarani and Mato Grosso Indians have used stevia</w:t>
      </w:r>
      <w:r>
        <w:rPr>
          <w:spacing w:val="-11"/>
        </w:rPr>
        <w:t> </w:t>
      </w:r>
      <w:r>
        <w:rPr/>
        <w:t>for</w:t>
      </w:r>
      <w:r>
        <w:rPr>
          <w:spacing w:val="-8"/>
        </w:rPr>
        <w:t> </w:t>
      </w:r>
      <w:r>
        <w:rPr/>
        <w:t>centuries</w:t>
      </w:r>
      <w:r>
        <w:rPr>
          <w:spacing w:val="-9"/>
        </w:rPr>
        <w:t> </w:t>
      </w:r>
      <w:r>
        <w:rPr/>
        <w:t>as</w:t>
      </w:r>
      <w:r>
        <w:rPr>
          <w:spacing w:val="-10"/>
        </w:rPr>
        <w:t> </w:t>
      </w:r>
      <w:r>
        <w:rPr/>
        <w:t>a</w:t>
      </w:r>
      <w:r>
        <w:rPr>
          <w:spacing w:val="-10"/>
        </w:rPr>
        <w:t> </w:t>
      </w:r>
      <w:r>
        <w:rPr/>
        <w:t>sweetener</w:t>
      </w:r>
      <w:r>
        <w:rPr>
          <w:spacing w:val="-10"/>
        </w:rPr>
        <w:t> </w:t>
      </w:r>
      <w:r>
        <w:rPr/>
        <w:t>for</w:t>
      </w:r>
      <w:r>
        <w:rPr>
          <w:spacing w:val="-8"/>
        </w:rPr>
        <w:t> </w:t>
      </w:r>
      <w:r>
        <w:rPr/>
        <w:t>their</w:t>
      </w:r>
      <w:r>
        <w:rPr>
          <w:spacing w:val="-9"/>
        </w:rPr>
        <w:t> </w:t>
      </w:r>
      <w:r>
        <w:rPr/>
        <w:t>slightly</w:t>
      </w:r>
      <w:r>
        <w:rPr>
          <w:spacing w:val="-9"/>
        </w:rPr>
        <w:t> </w:t>
      </w:r>
      <w:r>
        <w:rPr/>
        <w:t>bitter</w:t>
      </w:r>
      <w:r>
        <w:rPr>
          <w:spacing w:val="-10"/>
        </w:rPr>
        <w:t> </w:t>
      </w:r>
      <w:r>
        <w:rPr/>
        <w:t>Mate</w:t>
      </w:r>
      <w:r>
        <w:rPr>
          <w:spacing w:val="-9"/>
        </w:rPr>
        <w:t> </w:t>
      </w:r>
      <w:r>
        <w:rPr/>
        <w:t>tea</w:t>
      </w:r>
      <w:r>
        <w:rPr>
          <w:spacing w:val="-10"/>
        </w:rPr>
        <w:t> </w:t>
      </w:r>
      <w:r>
        <w:rPr/>
        <w:t>and</w:t>
      </w:r>
      <w:r>
        <w:rPr>
          <w:spacing w:val="-9"/>
        </w:rPr>
        <w:t> </w:t>
      </w:r>
      <w:r>
        <w:rPr/>
        <w:t>in</w:t>
      </w:r>
      <w:r>
        <w:rPr>
          <w:spacing w:val="-9"/>
        </w:rPr>
        <w:t> </w:t>
      </w:r>
      <w:r>
        <w:rPr/>
        <w:t>other dishes and also as a medicine, to heal wounds and for diabetes among other things.</w:t>
      </w:r>
    </w:p>
    <w:p>
      <w:pPr>
        <w:pStyle w:val="BodyText"/>
        <w:spacing w:line="276" w:lineRule="auto" w:before="241"/>
        <w:ind w:left="616" w:right="133"/>
        <w:jc w:val="both"/>
      </w:pPr>
      <w:r>
        <w:rPr/>
        <w:t>The sweetening properties and health benefits of stevia were revealed to Eu- ropeans as far back as the 16th century when the Spanish conquistadors first reported</w:t>
      </w:r>
      <w:r>
        <w:rPr>
          <w:spacing w:val="-24"/>
        </w:rPr>
        <w:t> </w:t>
      </w:r>
      <w:r>
        <w:rPr/>
        <w:t>that</w:t>
      </w:r>
      <w:r>
        <w:rPr>
          <w:spacing w:val="-27"/>
        </w:rPr>
        <w:t> </w:t>
      </w:r>
      <w:r>
        <w:rPr/>
        <w:t>the</w:t>
      </w:r>
      <w:r>
        <w:rPr>
          <w:spacing w:val="-25"/>
        </w:rPr>
        <w:t> </w:t>
      </w:r>
      <w:r>
        <w:rPr/>
        <w:t>native</w:t>
      </w:r>
      <w:r>
        <w:rPr>
          <w:spacing w:val="-25"/>
        </w:rPr>
        <w:t> </w:t>
      </w:r>
      <w:r>
        <w:rPr/>
        <w:t>South</w:t>
      </w:r>
      <w:r>
        <w:rPr>
          <w:spacing w:val="-26"/>
        </w:rPr>
        <w:t> </w:t>
      </w:r>
      <w:r>
        <w:rPr/>
        <w:t>Americans</w:t>
      </w:r>
      <w:r>
        <w:rPr>
          <w:spacing w:val="-24"/>
        </w:rPr>
        <w:t> </w:t>
      </w:r>
      <w:r>
        <w:rPr/>
        <w:t>used</w:t>
      </w:r>
      <w:r>
        <w:rPr>
          <w:spacing w:val="-24"/>
        </w:rPr>
        <w:t> </w:t>
      </w:r>
      <w:r>
        <w:rPr/>
        <w:t>its</w:t>
      </w:r>
      <w:r>
        <w:rPr>
          <w:spacing w:val="-24"/>
        </w:rPr>
        <w:t> </w:t>
      </w:r>
      <w:r>
        <w:rPr/>
        <w:t>leaves</w:t>
      </w:r>
      <w:r>
        <w:rPr>
          <w:spacing w:val="-26"/>
        </w:rPr>
        <w:t> </w:t>
      </w:r>
      <w:r>
        <w:rPr/>
        <w:t>to</w:t>
      </w:r>
      <w:r>
        <w:rPr>
          <w:spacing w:val="-26"/>
        </w:rPr>
        <w:t> </w:t>
      </w:r>
      <w:r>
        <w:rPr/>
        <w:t>sweeten</w:t>
      </w:r>
      <w:r>
        <w:rPr>
          <w:spacing w:val="-23"/>
        </w:rPr>
        <w:t> </w:t>
      </w:r>
      <w:r>
        <w:rPr/>
        <w:t>their</w:t>
      </w:r>
      <w:r>
        <w:rPr>
          <w:spacing w:val="-26"/>
        </w:rPr>
        <w:t> </w:t>
      </w:r>
      <w:r>
        <w:rPr/>
        <w:t>herbal tea.</w:t>
      </w:r>
    </w:p>
    <w:p>
      <w:pPr>
        <w:pStyle w:val="BodyText"/>
        <w:spacing w:line="276" w:lineRule="auto" w:before="241"/>
        <w:ind w:left="616" w:right="139"/>
        <w:jc w:val="both"/>
      </w:pPr>
      <w:r>
        <w:rPr/>
        <w:t>Is stevia therefore a health-promoting alternative to unhealthy sugar and arti- ficial sweeteners? Yes. We will look at this more closely later...</w:t>
      </w:r>
    </w:p>
    <w:p>
      <w:pPr>
        <w:spacing w:after="0" w:line="276" w:lineRule="auto"/>
        <w:jc w:val="both"/>
        <w:sectPr>
          <w:pgSz w:w="14270" w:h="16850"/>
          <w:pgMar w:header="0" w:footer="1891" w:top="1340" w:bottom="2080" w:left="800" w:right="1280"/>
        </w:sectPr>
      </w:pPr>
    </w:p>
    <w:p>
      <w:pPr>
        <w:pStyle w:val="Heading2"/>
        <w:spacing w:before="72"/>
        <w:ind w:left="616"/>
        <w:jc w:val="both"/>
      </w:pPr>
      <w:r>
        <w:rPr/>
        <w:t>Stevia cultivation</w:t>
      </w:r>
    </w:p>
    <w:p>
      <w:pPr>
        <w:pStyle w:val="BodyText"/>
        <w:spacing w:line="276" w:lineRule="auto" w:before="304"/>
        <w:ind w:left="616" w:right="138"/>
        <w:jc w:val="both"/>
      </w:pPr>
      <w:r>
        <w:rPr/>
        <w:t>Despite</w:t>
      </w:r>
      <w:r>
        <w:rPr>
          <w:spacing w:val="-13"/>
        </w:rPr>
        <w:t> </w:t>
      </w:r>
      <w:r>
        <w:rPr/>
        <w:t>its</w:t>
      </w:r>
      <w:r>
        <w:rPr>
          <w:spacing w:val="-12"/>
        </w:rPr>
        <w:t> </w:t>
      </w:r>
      <w:r>
        <w:rPr/>
        <w:t>tropical</w:t>
      </w:r>
      <w:r>
        <w:rPr>
          <w:spacing w:val="-12"/>
        </w:rPr>
        <w:t> </w:t>
      </w:r>
      <w:r>
        <w:rPr/>
        <w:t>origins,</w:t>
      </w:r>
      <w:r>
        <w:rPr>
          <w:spacing w:val="-11"/>
        </w:rPr>
        <w:t> </w:t>
      </w:r>
      <w:r>
        <w:rPr/>
        <w:t>the</w:t>
      </w:r>
      <w:r>
        <w:rPr>
          <w:spacing w:val="-11"/>
        </w:rPr>
        <w:t> </w:t>
      </w:r>
      <w:r>
        <w:rPr/>
        <w:t>stevia</w:t>
      </w:r>
      <w:r>
        <w:rPr>
          <w:spacing w:val="-12"/>
        </w:rPr>
        <w:t> </w:t>
      </w:r>
      <w:r>
        <w:rPr/>
        <w:t>plant</w:t>
      </w:r>
      <w:r>
        <w:rPr>
          <w:spacing w:val="-12"/>
        </w:rPr>
        <w:t> </w:t>
      </w:r>
      <w:r>
        <w:rPr/>
        <w:t>is</w:t>
      </w:r>
      <w:r>
        <w:rPr>
          <w:spacing w:val="-13"/>
        </w:rPr>
        <w:t> </w:t>
      </w:r>
      <w:r>
        <w:rPr/>
        <w:t>characterised</w:t>
      </w:r>
      <w:r>
        <w:rPr>
          <w:spacing w:val="-11"/>
        </w:rPr>
        <w:t> </w:t>
      </w:r>
      <w:r>
        <w:rPr/>
        <w:t>by</w:t>
      </w:r>
      <w:r>
        <w:rPr>
          <w:spacing w:val="-11"/>
        </w:rPr>
        <w:t> </w:t>
      </w:r>
      <w:r>
        <w:rPr/>
        <w:t>a</w:t>
      </w:r>
      <w:r>
        <w:rPr>
          <w:spacing w:val="-13"/>
        </w:rPr>
        <w:t> </w:t>
      </w:r>
      <w:r>
        <w:rPr/>
        <w:t>relative</w:t>
      </w:r>
      <w:r>
        <w:rPr>
          <w:spacing w:val="-11"/>
        </w:rPr>
        <w:t> </w:t>
      </w:r>
      <w:r>
        <w:rPr/>
        <w:t>lack</w:t>
      </w:r>
      <w:r>
        <w:rPr>
          <w:spacing w:val="-13"/>
        </w:rPr>
        <w:t> </w:t>
      </w:r>
      <w:r>
        <w:rPr/>
        <w:t>of sensitivity to temperature. Thus, Stevia rebaudiana can also be cultivated on our latitude; however, when cultivating seeds, a continuous germ temperature of at least 22 °C should be ensured.</w:t>
      </w:r>
    </w:p>
    <w:p>
      <w:pPr>
        <w:pStyle w:val="BodyText"/>
        <w:spacing w:line="276" w:lineRule="auto" w:before="242"/>
        <w:ind w:left="616" w:right="136"/>
        <w:jc w:val="both"/>
      </w:pPr>
      <w:r>
        <w:rPr/>
        <w:t>For this, sow the seeds in the compost in a bowl and then place it on the sur- face of the soil (stevia is a light germ so do not cover it with soil) and lightly press. The slightly damp soil is covered with a glass or film and the bowl is kept</w:t>
      </w:r>
      <w:r>
        <w:rPr>
          <w:spacing w:val="-23"/>
        </w:rPr>
        <w:t> </w:t>
      </w:r>
      <w:r>
        <w:rPr/>
        <w:t>in</w:t>
      </w:r>
      <w:r>
        <w:rPr>
          <w:spacing w:val="-23"/>
        </w:rPr>
        <w:t> </w:t>
      </w:r>
      <w:r>
        <w:rPr/>
        <w:t>a</w:t>
      </w:r>
      <w:r>
        <w:rPr>
          <w:spacing w:val="-26"/>
        </w:rPr>
        <w:t> </w:t>
      </w:r>
      <w:r>
        <w:rPr/>
        <w:t>light,</w:t>
      </w:r>
      <w:r>
        <w:rPr>
          <w:spacing w:val="-24"/>
        </w:rPr>
        <w:t> </w:t>
      </w:r>
      <w:r>
        <w:rPr/>
        <w:t>warm</w:t>
      </w:r>
      <w:r>
        <w:rPr>
          <w:spacing w:val="-23"/>
        </w:rPr>
        <w:t> </w:t>
      </w:r>
      <w:r>
        <w:rPr/>
        <w:t>location</w:t>
      </w:r>
      <w:r>
        <w:rPr>
          <w:spacing w:val="-23"/>
        </w:rPr>
        <w:t> </w:t>
      </w:r>
      <w:r>
        <w:rPr/>
        <w:t>(for</w:t>
      </w:r>
      <w:r>
        <w:rPr>
          <w:spacing w:val="-24"/>
        </w:rPr>
        <w:t> </w:t>
      </w:r>
      <w:r>
        <w:rPr/>
        <w:t>example,</w:t>
      </w:r>
      <w:r>
        <w:rPr>
          <w:spacing w:val="-23"/>
        </w:rPr>
        <w:t> </w:t>
      </w:r>
      <w:r>
        <w:rPr/>
        <w:t>a</w:t>
      </w:r>
      <w:r>
        <w:rPr>
          <w:spacing w:val="-24"/>
        </w:rPr>
        <w:t> </w:t>
      </w:r>
      <w:r>
        <w:rPr/>
        <w:t>window</w:t>
      </w:r>
      <w:r>
        <w:rPr>
          <w:spacing w:val="-24"/>
        </w:rPr>
        <w:t> </w:t>
      </w:r>
      <w:r>
        <w:rPr/>
        <w:t>ledge,</w:t>
      </w:r>
      <w:r>
        <w:rPr>
          <w:spacing w:val="-24"/>
        </w:rPr>
        <w:t> </w:t>
      </w:r>
      <w:r>
        <w:rPr/>
        <w:t>heat</w:t>
      </w:r>
      <w:r>
        <w:rPr>
          <w:spacing w:val="-24"/>
        </w:rPr>
        <w:t> </w:t>
      </w:r>
      <w:r>
        <w:rPr/>
        <w:t>in</w:t>
      </w:r>
      <w:r>
        <w:rPr>
          <w:spacing w:val="-26"/>
        </w:rPr>
        <w:t> </w:t>
      </w:r>
      <w:r>
        <w:rPr/>
        <w:t>the</w:t>
      </w:r>
      <w:r>
        <w:rPr>
          <w:spacing w:val="-24"/>
        </w:rPr>
        <w:t> </w:t>
      </w:r>
      <w:r>
        <w:rPr/>
        <w:t>winter!). After about ten days, the first seedlings should</w:t>
      </w:r>
      <w:r>
        <w:rPr>
          <w:spacing w:val="-1"/>
        </w:rPr>
        <w:t> </w:t>
      </w:r>
      <w:r>
        <w:rPr/>
        <w:t>appear.</w:t>
      </w:r>
    </w:p>
    <w:p>
      <w:pPr>
        <w:pStyle w:val="BodyText"/>
        <w:spacing w:line="276" w:lineRule="auto" w:before="240"/>
        <w:ind w:left="616" w:right="136"/>
        <w:jc w:val="both"/>
      </w:pPr>
      <w:r>
        <w:rPr/>
        <w:t>As soon as the plants are there, each one must be transferred into its own pot with highly permeable soil. At this point, ensure that the pot is the right size (approx. 16 cm) so that the plant can spread out its storage roots. Similarly to basil, the stevia plant flourishes in a varied environment of moisture and dry- ness;</w:t>
      </w:r>
      <w:r>
        <w:rPr>
          <w:spacing w:val="-18"/>
        </w:rPr>
        <w:t> </w:t>
      </w:r>
      <w:r>
        <w:rPr/>
        <w:t>however,</w:t>
      </w:r>
      <w:r>
        <w:rPr>
          <w:spacing w:val="-16"/>
        </w:rPr>
        <w:t> </w:t>
      </w:r>
      <w:r>
        <w:rPr/>
        <w:t>standing</w:t>
      </w:r>
      <w:r>
        <w:rPr>
          <w:spacing w:val="-15"/>
        </w:rPr>
        <w:t> </w:t>
      </w:r>
      <w:r>
        <w:rPr/>
        <w:t>water</w:t>
      </w:r>
      <w:r>
        <w:rPr>
          <w:spacing w:val="-16"/>
        </w:rPr>
        <w:t> </w:t>
      </w:r>
      <w:r>
        <w:rPr/>
        <w:t>(in</w:t>
      </w:r>
      <w:r>
        <w:rPr>
          <w:spacing w:val="-16"/>
        </w:rPr>
        <w:t> </w:t>
      </w:r>
      <w:r>
        <w:rPr/>
        <w:t>the</w:t>
      </w:r>
      <w:r>
        <w:rPr>
          <w:spacing w:val="-14"/>
        </w:rPr>
        <w:t> </w:t>
      </w:r>
      <w:r>
        <w:rPr/>
        <w:t>tray)</w:t>
      </w:r>
      <w:r>
        <w:rPr>
          <w:spacing w:val="-16"/>
        </w:rPr>
        <w:t> </w:t>
      </w:r>
      <w:r>
        <w:rPr/>
        <w:t>should</w:t>
      </w:r>
      <w:r>
        <w:rPr>
          <w:spacing w:val="-18"/>
        </w:rPr>
        <w:t> </w:t>
      </w:r>
      <w:r>
        <w:rPr/>
        <w:t>be</w:t>
      </w:r>
      <w:r>
        <w:rPr>
          <w:spacing w:val="-15"/>
        </w:rPr>
        <w:t> </w:t>
      </w:r>
      <w:r>
        <w:rPr/>
        <w:t>avoided</w:t>
      </w:r>
      <w:r>
        <w:rPr>
          <w:spacing w:val="-17"/>
        </w:rPr>
        <w:t> </w:t>
      </w:r>
      <w:r>
        <w:rPr/>
        <w:t>as</w:t>
      </w:r>
      <w:r>
        <w:rPr>
          <w:spacing w:val="-17"/>
        </w:rPr>
        <w:t> </w:t>
      </w:r>
      <w:r>
        <w:rPr/>
        <w:t>far</w:t>
      </w:r>
      <w:r>
        <w:rPr>
          <w:spacing w:val="-15"/>
        </w:rPr>
        <w:t> </w:t>
      </w:r>
      <w:r>
        <w:rPr/>
        <w:t>as</w:t>
      </w:r>
      <w:r>
        <w:rPr>
          <w:spacing w:val="-17"/>
        </w:rPr>
        <w:t> </w:t>
      </w:r>
      <w:r>
        <w:rPr/>
        <w:t>possible.</w:t>
      </w:r>
    </w:p>
    <w:p>
      <w:pPr>
        <w:pStyle w:val="Heading2"/>
        <w:spacing w:before="240"/>
        <w:ind w:left="616"/>
        <w:jc w:val="both"/>
      </w:pPr>
      <w:r>
        <w:rPr/>
        <w:t>Scientific studies on stevia</w:t>
      </w:r>
    </w:p>
    <w:p>
      <w:pPr>
        <w:pStyle w:val="BodyText"/>
        <w:spacing w:line="276" w:lineRule="auto" w:before="304"/>
        <w:ind w:left="616" w:right="128"/>
        <w:jc w:val="both"/>
      </w:pPr>
      <w:r>
        <w:rPr/>
        <w:t>The</w:t>
      </w:r>
      <w:r>
        <w:rPr>
          <w:spacing w:val="-14"/>
        </w:rPr>
        <w:t> </w:t>
      </w:r>
      <w:r>
        <w:rPr/>
        <w:t>first</w:t>
      </w:r>
      <w:r>
        <w:rPr>
          <w:spacing w:val="-13"/>
        </w:rPr>
        <w:t> </w:t>
      </w:r>
      <w:r>
        <w:rPr/>
        <w:t>scientific</w:t>
      </w:r>
      <w:r>
        <w:rPr>
          <w:spacing w:val="-15"/>
        </w:rPr>
        <w:t> </w:t>
      </w:r>
      <w:r>
        <w:rPr/>
        <w:t>realisations</w:t>
      </w:r>
      <w:r>
        <w:rPr>
          <w:spacing w:val="-13"/>
        </w:rPr>
        <w:t> </w:t>
      </w:r>
      <w:r>
        <w:rPr/>
        <w:t>regarding</w:t>
      </w:r>
      <w:r>
        <w:rPr>
          <w:spacing w:val="-14"/>
        </w:rPr>
        <w:t> </w:t>
      </w:r>
      <w:r>
        <w:rPr/>
        <w:t>stevia</w:t>
      </w:r>
      <w:r>
        <w:rPr>
          <w:spacing w:val="-14"/>
        </w:rPr>
        <w:t> </w:t>
      </w:r>
      <w:r>
        <w:rPr/>
        <w:t>were</w:t>
      </w:r>
      <w:r>
        <w:rPr>
          <w:spacing w:val="-14"/>
        </w:rPr>
        <w:t> </w:t>
      </w:r>
      <w:r>
        <w:rPr/>
        <w:t>made</w:t>
      </w:r>
      <w:r>
        <w:rPr>
          <w:spacing w:val="-14"/>
        </w:rPr>
        <w:t> </w:t>
      </w:r>
      <w:r>
        <w:rPr/>
        <w:t>by</w:t>
      </w:r>
      <w:r>
        <w:rPr>
          <w:spacing w:val="-16"/>
        </w:rPr>
        <w:t> </w:t>
      </w:r>
      <w:r>
        <w:rPr/>
        <w:t>the</w:t>
      </w:r>
      <w:r>
        <w:rPr>
          <w:spacing w:val="-15"/>
        </w:rPr>
        <w:t> </w:t>
      </w:r>
      <w:r>
        <w:rPr/>
        <w:t>botanist</w:t>
      </w:r>
      <w:r>
        <w:rPr>
          <w:spacing w:val="-14"/>
        </w:rPr>
        <w:t> </w:t>
      </w:r>
      <w:r>
        <w:rPr/>
        <w:t>Moi- sés Santiago Bertoni who travelled from Tessin to Paraguay and presented it in his scientific treatises in 1899. Since then, stevia has been researched across the world, which has led to the approval of stevia in many countries including Japan, New Zealand, Australia and recently also in</w:t>
      </w:r>
      <w:r>
        <w:rPr>
          <w:spacing w:val="-3"/>
        </w:rPr>
        <w:t> </w:t>
      </w:r>
      <w:r>
        <w:rPr/>
        <w:t>Switzerland.</w:t>
      </w:r>
    </w:p>
    <w:p>
      <w:pPr>
        <w:spacing w:after="0" w:line="276" w:lineRule="auto"/>
        <w:jc w:val="both"/>
        <w:sectPr>
          <w:pgSz w:w="14270" w:h="16850"/>
          <w:pgMar w:header="0" w:footer="1891" w:top="1340" w:bottom="2080" w:left="800" w:right="1280"/>
        </w:sectPr>
      </w:pPr>
    </w:p>
    <w:p>
      <w:pPr>
        <w:pStyle w:val="BodyText"/>
        <w:spacing w:line="276" w:lineRule="auto" w:before="72"/>
        <w:ind w:left="616" w:right="132"/>
        <w:jc w:val="both"/>
      </w:pPr>
      <w:r>
        <w:rPr/>
        <w:t>Stevia</w:t>
      </w:r>
      <w:r>
        <w:rPr>
          <w:spacing w:val="-22"/>
        </w:rPr>
        <w:t> </w:t>
      </w:r>
      <w:r>
        <w:rPr/>
        <w:t>has</w:t>
      </w:r>
      <w:r>
        <w:rPr>
          <w:spacing w:val="-20"/>
        </w:rPr>
        <w:t> </w:t>
      </w:r>
      <w:r>
        <w:rPr/>
        <w:t>also</w:t>
      </w:r>
      <w:r>
        <w:rPr>
          <w:spacing w:val="-22"/>
        </w:rPr>
        <w:t> </w:t>
      </w:r>
      <w:r>
        <w:rPr/>
        <w:t>been</w:t>
      </w:r>
      <w:r>
        <w:rPr>
          <w:spacing w:val="-20"/>
        </w:rPr>
        <w:t> </w:t>
      </w:r>
      <w:r>
        <w:rPr/>
        <w:t>intensively</w:t>
      </w:r>
      <w:r>
        <w:rPr>
          <w:spacing w:val="-24"/>
        </w:rPr>
        <w:t> </w:t>
      </w:r>
      <w:r>
        <w:rPr/>
        <w:t>researched</w:t>
      </w:r>
      <w:r>
        <w:rPr>
          <w:spacing w:val="-20"/>
        </w:rPr>
        <w:t> </w:t>
      </w:r>
      <w:r>
        <w:rPr/>
        <w:t>in</w:t>
      </w:r>
      <w:r>
        <w:rPr>
          <w:spacing w:val="-23"/>
        </w:rPr>
        <w:t> </w:t>
      </w:r>
      <w:r>
        <w:rPr/>
        <w:t>Germany,</w:t>
      </w:r>
      <w:r>
        <w:rPr>
          <w:spacing w:val="-20"/>
        </w:rPr>
        <w:t> </w:t>
      </w:r>
      <w:r>
        <w:rPr/>
        <w:t>for</w:t>
      </w:r>
      <w:r>
        <w:rPr>
          <w:spacing w:val="-21"/>
        </w:rPr>
        <w:t> </w:t>
      </w:r>
      <w:r>
        <w:rPr/>
        <w:t>example</w:t>
      </w:r>
      <w:r>
        <w:rPr>
          <w:spacing w:val="-21"/>
        </w:rPr>
        <w:t> </w:t>
      </w:r>
      <w:r>
        <w:rPr/>
        <w:t>since</w:t>
      </w:r>
      <w:r>
        <w:rPr>
          <w:spacing w:val="-23"/>
        </w:rPr>
        <w:t> </w:t>
      </w:r>
      <w:r>
        <w:rPr/>
        <w:t>1998 at the University of Hohenheim. Field tests have been carried out with stevia in the Rhineland since</w:t>
      </w:r>
      <w:r>
        <w:rPr>
          <w:spacing w:val="2"/>
        </w:rPr>
        <w:t> </w:t>
      </w:r>
      <w:r>
        <w:rPr/>
        <w:t>2002.</w:t>
      </w:r>
    </w:p>
    <w:p>
      <w:pPr>
        <w:pStyle w:val="Heading1"/>
        <w:ind w:left="616"/>
        <w:jc w:val="both"/>
      </w:pPr>
      <w:r>
        <w:rPr/>
        <w:t>Stevia in cancer studies</w:t>
      </w:r>
    </w:p>
    <w:p>
      <w:pPr>
        <w:pStyle w:val="BodyText"/>
        <w:spacing w:line="276" w:lineRule="auto" w:before="299"/>
        <w:ind w:left="616" w:right="135"/>
        <w:jc w:val="both"/>
      </w:pPr>
      <w:r>
        <w:rPr/>
        <w:t>Contrary to the initial and now discredited theory that stevia could cause can- cer, several studies on animals reinforce the very opposite (for example the studies of Hagiwara et al. (1984), Yamada et al. (1985), Xili et al. (1992) and Toyoda</w:t>
      </w:r>
      <w:r>
        <w:rPr>
          <w:spacing w:val="-12"/>
        </w:rPr>
        <w:t> </w:t>
      </w:r>
      <w:r>
        <w:rPr/>
        <w:t>et</w:t>
      </w:r>
      <w:r>
        <w:rPr>
          <w:spacing w:val="-11"/>
        </w:rPr>
        <w:t> </w:t>
      </w:r>
      <w:r>
        <w:rPr/>
        <w:t>al.</w:t>
      </w:r>
      <w:r>
        <w:rPr>
          <w:spacing w:val="-12"/>
        </w:rPr>
        <w:t> </w:t>
      </w:r>
      <w:r>
        <w:rPr/>
        <w:t>(1997),</w:t>
      </w:r>
      <w:r>
        <w:rPr>
          <w:spacing w:val="-11"/>
        </w:rPr>
        <w:t> </w:t>
      </w:r>
      <w:r>
        <w:rPr/>
        <w:t>namely</w:t>
      </w:r>
      <w:r>
        <w:rPr>
          <w:spacing w:val="-11"/>
        </w:rPr>
        <w:t> </w:t>
      </w:r>
      <w:r>
        <w:rPr/>
        <w:t>that</w:t>
      </w:r>
      <w:r>
        <w:rPr>
          <w:spacing w:val="-13"/>
        </w:rPr>
        <w:t> </w:t>
      </w:r>
      <w:r>
        <w:rPr/>
        <w:t>stevioside</w:t>
      </w:r>
      <w:r>
        <w:rPr>
          <w:spacing w:val="-12"/>
        </w:rPr>
        <w:t> </w:t>
      </w:r>
      <w:r>
        <w:rPr/>
        <w:t>causes</w:t>
      </w:r>
      <w:r>
        <w:rPr>
          <w:spacing w:val="-10"/>
        </w:rPr>
        <w:t> </w:t>
      </w:r>
      <w:r>
        <w:rPr/>
        <w:t>a</w:t>
      </w:r>
      <w:r>
        <w:rPr>
          <w:spacing w:val="-13"/>
        </w:rPr>
        <w:t> </w:t>
      </w:r>
      <w:r>
        <w:rPr/>
        <w:t>clear</w:t>
      </w:r>
      <w:r>
        <w:rPr>
          <w:spacing w:val="-10"/>
        </w:rPr>
        <w:t> </w:t>
      </w:r>
      <w:r>
        <w:rPr/>
        <w:t>inhibition</w:t>
      </w:r>
      <w:r>
        <w:rPr>
          <w:spacing w:val="-11"/>
        </w:rPr>
        <w:t> </w:t>
      </w:r>
      <w:r>
        <w:rPr/>
        <w:t>of</w:t>
      </w:r>
      <w:r>
        <w:rPr>
          <w:spacing w:val="-13"/>
        </w:rPr>
        <w:t> </w:t>
      </w:r>
      <w:r>
        <w:rPr/>
        <w:t>tumour development.</w:t>
      </w:r>
    </w:p>
    <w:p>
      <w:pPr>
        <w:pStyle w:val="BodyText"/>
        <w:spacing w:line="276" w:lineRule="auto" w:before="240"/>
        <w:ind w:left="616" w:right="137"/>
        <w:jc w:val="both"/>
      </w:pPr>
      <w:r>
        <w:rPr/>
        <w:t>Furthermore, Konoshima and Takasaki were able to prove in 2002 that stevi- oside inhibited the formation of skin cancer in animal trials.</w:t>
      </w:r>
    </w:p>
    <w:p>
      <w:pPr>
        <w:pStyle w:val="BodyText"/>
        <w:spacing w:line="276" w:lineRule="auto" w:before="241"/>
        <w:ind w:left="616" w:right="138"/>
        <w:jc w:val="both"/>
      </w:pPr>
      <w:r>
        <w:rPr/>
        <w:t>The authors of this study concluded from this that stevioside is a valuable sweetener which could be suitable as a protection against chemically triggered cancer.</w:t>
      </w:r>
    </w:p>
    <w:p>
      <w:pPr>
        <w:pStyle w:val="Heading1"/>
        <w:spacing w:before="222"/>
        <w:ind w:left="616"/>
        <w:jc w:val="both"/>
      </w:pPr>
      <w:r>
        <w:rPr/>
        <w:t>Stevia in blood pressure studies</w:t>
      </w:r>
    </w:p>
    <w:p>
      <w:pPr>
        <w:pStyle w:val="BodyText"/>
        <w:spacing w:line="276" w:lineRule="auto" w:before="299"/>
        <w:ind w:left="616" w:right="134"/>
        <w:jc w:val="both"/>
      </w:pPr>
      <w:r>
        <w:rPr/>
        <w:t>In</w:t>
      </w:r>
      <w:r>
        <w:rPr>
          <w:spacing w:val="-10"/>
        </w:rPr>
        <w:t> </w:t>
      </w:r>
      <w:r>
        <w:rPr/>
        <w:t>a</w:t>
      </w:r>
      <w:r>
        <w:rPr>
          <w:spacing w:val="-12"/>
        </w:rPr>
        <w:t> </w:t>
      </w:r>
      <w:r>
        <w:rPr/>
        <w:t>study</w:t>
      </w:r>
      <w:r>
        <w:rPr>
          <w:spacing w:val="-11"/>
        </w:rPr>
        <w:t> </w:t>
      </w:r>
      <w:r>
        <w:rPr/>
        <w:t>by</w:t>
      </w:r>
      <w:r>
        <w:rPr>
          <w:spacing w:val="-10"/>
        </w:rPr>
        <w:t> </w:t>
      </w:r>
      <w:r>
        <w:rPr/>
        <w:t>Chan</w:t>
      </w:r>
      <w:r>
        <w:rPr>
          <w:spacing w:val="-10"/>
        </w:rPr>
        <w:t> </w:t>
      </w:r>
      <w:r>
        <w:rPr/>
        <w:t>et</w:t>
      </w:r>
      <w:r>
        <w:rPr>
          <w:spacing w:val="-11"/>
        </w:rPr>
        <w:t> </w:t>
      </w:r>
      <w:r>
        <w:rPr/>
        <w:t>al.</w:t>
      </w:r>
      <w:r>
        <w:rPr>
          <w:spacing w:val="-11"/>
        </w:rPr>
        <w:t> </w:t>
      </w:r>
      <w:r>
        <w:rPr/>
        <w:t>(2000),</w:t>
      </w:r>
      <w:r>
        <w:rPr>
          <w:spacing w:val="-9"/>
        </w:rPr>
        <w:t> </w:t>
      </w:r>
      <w:r>
        <w:rPr/>
        <w:t>60</w:t>
      </w:r>
      <w:r>
        <w:rPr>
          <w:spacing w:val="-11"/>
        </w:rPr>
        <w:t> </w:t>
      </w:r>
      <w:r>
        <w:rPr/>
        <w:t>test</w:t>
      </w:r>
      <w:r>
        <w:rPr>
          <w:spacing w:val="-10"/>
        </w:rPr>
        <w:t> </w:t>
      </w:r>
      <w:r>
        <w:rPr/>
        <w:t>subjects</w:t>
      </w:r>
      <w:r>
        <w:rPr>
          <w:spacing w:val="-8"/>
        </w:rPr>
        <w:t> </w:t>
      </w:r>
      <w:r>
        <w:rPr/>
        <w:t>with</w:t>
      </w:r>
      <w:r>
        <w:rPr>
          <w:spacing w:val="-10"/>
        </w:rPr>
        <w:t> </w:t>
      </w:r>
      <w:r>
        <w:rPr/>
        <w:t>high</w:t>
      </w:r>
      <w:r>
        <w:rPr>
          <w:spacing w:val="-9"/>
        </w:rPr>
        <w:t> </w:t>
      </w:r>
      <w:r>
        <w:rPr/>
        <w:t>blood</w:t>
      </w:r>
      <w:r>
        <w:rPr>
          <w:spacing w:val="-10"/>
        </w:rPr>
        <w:t> </w:t>
      </w:r>
      <w:r>
        <w:rPr/>
        <w:t>pressure</w:t>
      </w:r>
      <w:r>
        <w:rPr>
          <w:spacing w:val="-11"/>
        </w:rPr>
        <w:t> </w:t>
      </w:r>
      <w:r>
        <w:rPr/>
        <w:t>were prescribed 250 mg of stevioside 3 x a day for a duration of one year. After three</w:t>
      </w:r>
      <w:r>
        <w:rPr>
          <w:spacing w:val="-6"/>
        </w:rPr>
        <w:t> </w:t>
      </w:r>
      <w:r>
        <w:rPr/>
        <w:t>months,</w:t>
      </w:r>
      <w:r>
        <w:rPr>
          <w:spacing w:val="-5"/>
        </w:rPr>
        <w:t> </w:t>
      </w:r>
      <w:r>
        <w:rPr/>
        <w:t>the</w:t>
      </w:r>
      <w:r>
        <w:rPr>
          <w:spacing w:val="-7"/>
        </w:rPr>
        <w:t> </w:t>
      </w:r>
      <w:r>
        <w:rPr/>
        <w:t>systolic</w:t>
      </w:r>
      <w:r>
        <w:rPr>
          <w:spacing w:val="-6"/>
        </w:rPr>
        <w:t> </w:t>
      </w:r>
      <w:r>
        <w:rPr/>
        <w:t>and</w:t>
      </w:r>
      <w:r>
        <w:rPr>
          <w:spacing w:val="-7"/>
        </w:rPr>
        <w:t> </w:t>
      </w:r>
      <w:r>
        <w:rPr/>
        <w:t>diastolic</w:t>
      </w:r>
      <w:r>
        <w:rPr>
          <w:spacing w:val="-7"/>
        </w:rPr>
        <w:t> </w:t>
      </w:r>
      <w:r>
        <w:rPr/>
        <w:t>blood</w:t>
      </w:r>
      <w:r>
        <w:rPr>
          <w:spacing w:val="-6"/>
        </w:rPr>
        <w:t> </w:t>
      </w:r>
      <w:r>
        <w:rPr/>
        <w:t>pressure</w:t>
      </w:r>
      <w:r>
        <w:rPr>
          <w:spacing w:val="-7"/>
        </w:rPr>
        <w:t> </w:t>
      </w:r>
      <w:r>
        <w:rPr/>
        <w:t>of</w:t>
      </w:r>
      <w:r>
        <w:rPr>
          <w:spacing w:val="-7"/>
        </w:rPr>
        <w:t> </w:t>
      </w:r>
      <w:r>
        <w:rPr/>
        <w:t>the</w:t>
      </w:r>
      <w:r>
        <w:rPr>
          <w:spacing w:val="-5"/>
        </w:rPr>
        <w:t> </w:t>
      </w:r>
      <w:r>
        <w:rPr/>
        <w:t>test</w:t>
      </w:r>
      <w:r>
        <w:rPr>
          <w:spacing w:val="-6"/>
        </w:rPr>
        <w:t> </w:t>
      </w:r>
      <w:r>
        <w:rPr/>
        <w:t>subjects</w:t>
      </w:r>
      <w:r>
        <w:rPr>
          <w:spacing w:val="-6"/>
        </w:rPr>
        <w:t> </w:t>
      </w:r>
      <w:r>
        <w:rPr/>
        <w:t>had significantly decreased and the effect was sustained for the entire</w:t>
      </w:r>
      <w:r>
        <w:rPr>
          <w:spacing w:val="-7"/>
        </w:rPr>
        <w:t> </w:t>
      </w:r>
      <w:r>
        <w:rPr/>
        <w:t>year.</w:t>
      </w:r>
    </w:p>
    <w:p>
      <w:pPr>
        <w:pStyle w:val="BodyText"/>
        <w:spacing w:line="276" w:lineRule="auto" w:before="240"/>
        <w:ind w:left="616" w:right="136"/>
        <w:jc w:val="both"/>
      </w:pPr>
      <w:r>
        <w:rPr/>
        <w:t>The values at the start of the study were, on average, 160 mmHg systolic and 102 mmHg diastolic, while, by the end of the study, the blood pressure sank</w:t>
      </w:r>
    </w:p>
    <w:p>
      <w:pPr>
        <w:spacing w:after="0" w:line="276" w:lineRule="auto"/>
        <w:jc w:val="both"/>
        <w:sectPr>
          <w:pgSz w:w="14270" w:h="16850"/>
          <w:pgMar w:header="0" w:footer="1891" w:top="1340" w:bottom="2080" w:left="800" w:right="1280"/>
        </w:sectPr>
      </w:pPr>
    </w:p>
    <w:p>
      <w:pPr>
        <w:pStyle w:val="BodyText"/>
        <w:spacing w:before="72"/>
        <w:ind w:left="616"/>
      </w:pPr>
      <w:r>
        <w:rPr/>
        <w:t>to an average of 153/90 mmHg.</w:t>
      </w:r>
    </w:p>
    <w:p>
      <w:pPr>
        <w:pStyle w:val="BodyText"/>
        <w:spacing w:line="276" w:lineRule="auto" w:before="304"/>
        <w:ind w:left="616" w:right="132"/>
        <w:jc w:val="both"/>
      </w:pPr>
      <w:r>
        <w:rPr/>
        <w:t>Neither the blood parameters (lipids and glucose) nor the quality of life changed and no harmful signs were observed. The authors of the study deter- mined from this that stevioside is a tolerable and effective substance for use within</w:t>
      </w:r>
      <w:r>
        <w:rPr>
          <w:spacing w:val="-12"/>
        </w:rPr>
        <w:t> </w:t>
      </w:r>
      <w:r>
        <w:rPr/>
        <w:t>nutritional</w:t>
      </w:r>
      <w:r>
        <w:rPr>
          <w:spacing w:val="-13"/>
        </w:rPr>
        <w:t> </w:t>
      </w:r>
      <w:r>
        <w:rPr/>
        <w:t>supplement</w:t>
      </w:r>
      <w:r>
        <w:rPr>
          <w:spacing w:val="-12"/>
        </w:rPr>
        <w:t> </w:t>
      </w:r>
      <w:r>
        <w:rPr/>
        <w:t>treatments</w:t>
      </w:r>
      <w:r>
        <w:rPr>
          <w:spacing w:val="-12"/>
        </w:rPr>
        <w:t> </w:t>
      </w:r>
      <w:r>
        <w:rPr/>
        <w:t>of</w:t>
      </w:r>
      <w:r>
        <w:rPr>
          <w:spacing w:val="-11"/>
        </w:rPr>
        <w:t> </w:t>
      </w:r>
      <w:r>
        <w:rPr/>
        <w:t>patients</w:t>
      </w:r>
      <w:r>
        <w:rPr>
          <w:spacing w:val="-11"/>
        </w:rPr>
        <w:t> </w:t>
      </w:r>
      <w:r>
        <w:rPr/>
        <w:t>with</w:t>
      </w:r>
      <w:r>
        <w:rPr>
          <w:spacing w:val="-12"/>
        </w:rPr>
        <w:t> </w:t>
      </w:r>
      <w:r>
        <w:rPr/>
        <w:t>high</w:t>
      </w:r>
      <w:r>
        <w:rPr>
          <w:spacing w:val="-10"/>
        </w:rPr>
        <w:t> </w:t>
      </w:r>
      <w:r>
        <w:rPr/>
        <w:t>blood</w:t>
      </w:r>
      <w:r>
        <w:rPr>
          <w:spacing w:val="-11"/>
        </w:rPr>
        <w:t> </w:t>
      </w:r>
      <w:r>
        <w:rPr/>
        <w:t>pressure.</w:t>
      </w:r>
    </w:p>
    <w:p>
      <w:pPr>
        <w:pStyle w:val="Heading1"/>
        <w:spacing w:before="225"/>
        <w:ind w:left="616"/>
      </w:pPr>
      <w:r>
        <w:rPr/>
        <w:t>Stevia in fertility studies</w:t>
      </w:r>
    </w:p>
    <w:p>
      <w:pPr>
        <w:pStyle w:val="BodyText"/>
        <w:spacing w:line="276" w:lineRule="auto" w:before="297"/>
        <w:ind w:left="616" w:right="140"/>
        <w:jc w:val="both"/>
      </w:pPr>
      <w:r>
        <w:rPr/>
        <w:t>The initial scepticism that stevia could negatively influence our reproductive organs was refuted by Shiotus (1996). No negative influence was observed in the reproductive organs of rats, mice or hamsters.</w:t>
      </w:r>
    </w:p>
    <w:p>
      <w:pPr>
        <w:pStyle w:val="BodyText"/>
        <w:spacing w:before="241"/>
        <w:ind w:left="616"/>
        <w:jc w:val="both"/>
      </w:pPr>
      <w:r>
        <w:rPr/>
        <w:t>This was confirmed in a study by Oliveira-Filho et al. (1989).</w:t>
      </w:r>
    </w:p>
    <w:p>
      <w:pPr>
        <w:pStyle w:val="Heading1"/>
        <w:spacing w:before="287"/>
        <w:ind w:left="616"/>
      </w:pPr>
      <w:r>
        <w:rPr/>
        <w:t>Studies regarding the maximum dose of stevia</w:t>
      </w:r>
    </w:p>
    <w:p>
      <w:pPr>
        <w:pStyle w:val="BodyText"/>
        <w:spacing w:line="276" w:lineRule="auto" w:before="300"/>
        <w:ind w:left="616" w:right="133"/>
        <w:jc w:val="both"/>
      </w:pPr>
      <w:r>
        <w:rPr/>
        <w:t>'The dose makes the poison' – a saying which affects all foodstuffs, even pure water (in adults more than 10 litres at once due to hyponatraemia</w:t>
      </w:r>
      <w:r>
        <w:rPr>
          <w:position w:val="9"/>
          <w:sz w:val="25"/>
        </w:rPr>
        <w:t>879</w:t>
      </w:r>
      <w:r>
        <w:rPr/>
        <w:t>). With stevia, too, there is a tolerance level. A study (Xili et al., 1992) calculated a permissible daily dosage of 7.9 mg of stevioside per kg of body weight, which would still mean 592 mg of pure steviol a day for a person weighing 75 kg.</w:t>
      </w:r>
    </w:p>
    <w:p>
      <w:pPr>
        <w:pStyle w:val="BodyText"/>
        <w:spacing w:line="276" w:lineRule="auto" w:before="240"/>
        <w:ind w:left="616" w:right="133"/>
        <w:jc w:val="both"/>
      </w:pPr>
      <w:r>
        <w:rPr/>
        <w:t>If we work on the basis that the total average sugar consumption per day</w:t>
      </w:r>
      <w:r>
        <w:rPr>
          <w:spacing w:val="-50"/>
        </w:rPr>
        <w:t> </w:t>
      </w:r>
      <w:r>
        <w:rPr/>
        <w:t>(131 g/day) should be replaced by stevioside (which is practically impossible), this could be achieved with less than 436 mg of stevioside or 4.36 g of dried</w:t>
      </w:r>
      <w:r>
        <w:rPr>
          <w:spacing w:val="-52"/>
        </w:rPr>
        <w:t> </w:t>
      </w:r>
      <w:r>
        <w:rPr/>
        <w:t>stevia leaves.</w:t>
      </w:r>
    </w:p>
    <w:p>
      <w:pPr>
        <w:pStyle w:val="BodyText"/>
        <w:rPr>
          <w:sz w:val="20"/>
        </w:rPr>
      </w:pPr>
    </w:p>
    <w:p>
      <w:pPr>
        <w:pStyle w:val="BodyText"/>
        <w:spacing w:before="7"/>
        <w:rPr>
          <w:sz w:val="16"/>
        </w:rPr>
      </w:pPr>
      <w:r>
        <w:rPr/>
        <w:pict>
          <v:line style="position:absolute;mso-position-horizontal-relative:page;mso-position-vertical-relative:paragraph;z-index:12272;mso-wrap-distance-left:0;mso-wrap-distance-right:0" from="70.823997pt,11.700015pt" to="214.843997pt,11.700015pt" stroked="true" strokeweight=".71997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879 </w:t>
      </w:r>
      <w:r>
        <w:rPr>
          <w:sz w:val="20"/>
        </w:rPr>
        <w:t>https://en.wikipedia.org/wiki/Poison</w:t>
      </w:r>
    </w:p>
    <w:p>
      <w:pPr>
        <w:spacing w:after="0"/>
        <w:jc w:val="left"/>
        <w:rPr>
          <w:sz w:val="20"/>
        </w:rPr>
        <w:sectPr>
          <w:pgSz w:w="14270" w:h="16850"/>
          <w:pgMar w:header="0" w:footer="1891" w:top="1340" w:bottom="2080" w:left="800" w:right="1280"/>
        </w:sectPr>
      </w:pPr>
    </w:p>
    <w:p>
      <w:pPr>
        <w:pStyle w:val="BodyText"/>
        <w:spacing w:line="276" w:lineRule="auto" w:before="72"/>
        <w:ind w:left="616" w:right="130"/>
        <w:jc w:val="both"/>
        <w:rPr>
          <w:sz w:val="25"/>
        </w:rPr>
      </w:pPr>
      <w:r>
        <w:rPr/>
        <w:t>A daily dosage of 20 mg/kg body weight could be derived from various toxi- cological</w:t>
      </w:r>
      <w:r>
        <w:rPr>
          <w:spacing w:val="-17"/>
        </w:rPr>
        <w:t> </w:t>
      </w:r>
      <w:r>
        <w:rPr/>
        <w:t>studies</w:t>
      </w:r>
      <w:r>
        <w:rPr>
          <w:spacing w:val="-14"/>
        </w:rPr>
        <w:t> </w:t>
      </w:r>
      <w:r>
        <w:rPr/>
        <w:t>with</w:t>
      </w:r>
      <w:r>
        <w:rPr>
          <w:spacing w:val="-15"/>
        </w:rPr>
        <w:t> </w:t>
      </w:r>
      <w:r>
        <w:rPr/>
        <w:t>a</w:t>
      </w:r>
      <w:r>
        <w:rPr>
          <w:spacing w:val="-18"/>
        </w:rPr>
        <w:t> </w:t>
      </w:r>
      <w:r>
        <w:rPr/>
        <w:t>safety</w:t>
      </w:r>
      <w:r>
        <w:rPr>
          <w:spacing w:val="-15"/>
        </w:rPr>
        <w:t> </w:t>
      </w:r>
      <w:r>
        <w:rPr/>
        <w:t>factor</w:t>
      </w:r>
      <w:r>
        <w:rPr>
          <w:spacing w:val="-15"/>
        </w:rPr>
        <w:t> </w:t>
      </w:r>
      <w:r>
        <w:rPr/>
        <w:t>of</w:t>
      </w:r>
      <w:r>
        <w:rPr>
          <w:spacing w:val="-16"/>
        </w:rPr>
        <w:t> </w:t>
      </w:r>
      <w:r>
        <w:rPr/>
        <w:t>100.</w:t>
      </w:r>
      <w:r>
        <w:rPr>
          <w:position w:val="9"/>
          <w:sz w:val="25"/>
        </w:rPr>
        <w:t>880</w:t>
      </w:r>
      <w:r>
        <w:rPr>
          <w:spacing w:val="31"/>
          <w:position w:val="9"/>
          <w:sz w:val="25"/>
        </w:rPr>
        <w:t> </w:t>
      </w:r>
      <w:r>
        <w:rPr/>
        <w:t>Study</w:t>
      </w:r>
      <w:r>
        <w:rPr>
          <w:spacing w:val="-14"/>
        </w:rPr>
        <w:t> </w:t>
      </w:r>
      <w:r>
        <w:rPr/>
        <w:t>results</w:t>
      </w:r>
      <w:r>
        <w:rPr>
          <w:spacing w:val="-17"/>
        </w:rPr>
        <w:t> </w:t>
      </w:r>
      <w:r>
        <w:rPr/>
        <w:t>in</w:t>
      </w:r>
      <w:r>
        <w:rPr>
          <w:spacing w:val="-15"/>
        </w:rPr>
        <w:t> </w:t>
      </w:r>
      <w:r>
        <w:rPr/>
        <w:t>Japan</w:t>
      </w:r>
      <w:r>
        <w:rPr>
          <w:spacing w:val="-18"/>
        </w:rPr>
        <w:t> </w:t>
      </w:r>
      <w:r>
        <w:rPr/>
        <w:t>and</w:t>
      </w:r>
      <w:r>
        <w:rPr>
          <w:spacing w:val="-16"/>
        </w:rPr>
        <w:t> </w:t>
      </w:r>
      <w:r>
        <w:rPr/>
        <w:t>Brazil showed</w:t>
      </w:r>
      <w:r>
        <w:rPr>
          <w:spacing w:val="-10"/>
        </w:rPr>
        <w:t> </w:t>
      </w:r>
      <w:r>
        <w:rPr/>
        <w:t>that</w:t>
      </w:r>
      <w:r>
        <w:rPr>
          <w:spacing w:val="-9"/>
        </w:rPr>
        <w:t> </w:t>
      </w:r>
      <w:r>
        <w:rPr/>
        <w:t>no</w:t>
      </w:r>
      <w:r>
        <w:rPr>
          <w:spacing w:val="-13"/>
        </w:rPr>
        <w:t> </w:t>
      </w:r>
      <w:r>
        <w:rPr/>
        <w:t>toxicity</w:t>
      </w:r>
      <w:r>
        <w:rPr>
          <w:spacing w:val="-10"/>
        </w:rPr>
        <w:t> </w:t>
      </w:r>
      <w:r>
        <w:rPr/>
        <w:t>should</w:t>
      </w:r>
      <w:r>
        <w:rPr>
          <w:spacing w:val="-9"/>
        </w:rPr>
        <w:t> </w:t>
      </w:r>
      <w:r>
        <w:rPr/>
        <w:t>be</w:t>
      </w:r>
      <w:r>
        <w:rPr>
          <w:spacing w:val="-9"/>
        </w:rPr>
        <w:t> </w:t>
      </w:r>
      <w:r>
        <w:rPr/>
        <w:t>expected</w:t>
      </w:r>
      <w:r>
        <w:rPr>
          <w:spacing w:val="-8"/>
        </w:rPr>
        <w:t> </w:t>
      </w:r>
      <w:r>
        <w:rPr/>
        <w:t>with</w:t>
      </w:r>
      <w:r>
        <w:rPr>
          <w:spacing w:val="-9"/>
        </w:rPr>
        <w:t> </w:t>
      </w:r>
      <w:r>
        <w:rPr/>
        <w:t>the</w:t>
      </w:r>
      <w:r>
        <w:rPr>
          <w:spacing w:val="-8"/>
        </w:rPr>
        <w:t> </w:t>
      </w:r>
      <w:r>
        <w:rPr/>
        <w:t>daily</w:t>
      </w:r>
      <w:r>
        <w:rPr>
          <w:spacing w:val="-8"/>
        </w:rPr>
        <w:t> </w:t>
      </w:r>
      <w:r>
        <w:rPr/>
        <w:t>consumption</w:t>
      </w:r>
      <w:r>
        <w:rPr>
          <w:spacing w:val="-9"/>
        </w:rPr>
        <w:t> </w:t>
      </w:r>
      <w:r>
        <w:rPr/>
        <w:t>of</w:t>
      </w:r>
      <w:r>
        <w:rPr>
          <w:spacing w:val="-9"/>
        </w:rPr>
        <w:t> </w:t>
      </w:r>
      <w:r>
        <w:rPr/>
        <w:t>less than 38.5 mg of stevioside/kg of body weight.</w:t>
      </w:r>
      <w:r>
        <w:rPr>
          <w:position w:val="9"/>
          <w:sz w:val="25"/>
        </w:rPr>
        <w:t>881 </w:t>
      </w:r>
      <w:r>
        <w:rPr/>
        <w:t>In April 2010, the </w:t>
      </w:r>
      <w:r>
        <w:rPr>
          <w:i/>
        </w:rPr>
        <w:t>European </w:t>
      </w:r>
      <w:r>
        <w:rPr>
          <w:i/>
        </w:rPr>
        <w:t>Food Safety Authority </w:t>
      </w:r>
      <w:r>
        <w:rPr/>
        <w:t>classified up to 4 mg per day per kg of body weight as harmless.</w:t>
      </w:r>
      <w:r>
        <w:rPr>
          <w:position w:val="9"/>
          <w:sz w:val="25"/>
        </w:rPr>
        <w:t>882</w:t>
      </w:r>
    </w:p>
    <w:p>
      <w:pPr>
        <w:pStyle w:val="Heading1"/>
        <w:spacing w:before="222"/>
        <w:ind w:left="616"/>
      </w:pPr>
      <w:r>
        <w:rPr/>
        <w:t>The JECFA study by the World Health Organisation</w:t>
      </w:r>
    </w:p>
    <w:p>
      <w:pPr>
        <w:pStyle w:val="BodyText"/>
        <w:spacing w:line="276" w:lineRule="auto" w:before="300"/>
        <w:ind w:left="616" w:right="135"/>
        <w:jc w:val="both"/>
      </w:pPr>
      <w:r>
        <w:rPr/>
        <w:t>The JECFA (Joint FAO/WHO Expert Committee on Food Additives), an expert</w:t>
      </w:r>
      <w:r>
        <w:rPr>
          <w:spacing w:val="-15"/>
        </w:rPr>
        <w:t> </w:t>
      </w:r>
      <w:r>
        <w:rPr/>
        <w:t>commission</w:t>
      </w:r>
      <w:r>
        <w:rPr>
          <w:spacing w:val="-14"/>
        </w:rPr>
        <w:t> </w:t>
      </w:r>
      <w:r>
        <w:rPr/>
        <w:t>for</w:t>
      </w:r>
      <w:r>
        <w:rPr>
          <w:spacing w:val="-13"/>
        </w:rPr>
        <w:t> </w:t>
      </w:r>
      <w:r>
        <w:rPr/>
        <w:t>foodstuff</w:t>
      </w:r>
      <w:r>
        <w:rPr>
          <w:spacing w:val="-15"/>
        </w:rPr>
        <w:t> </w:t>
      </w:r>
      <w:r>
        <w:rPr/>
        <w:t>additives</w:t>
      </w:r>
      <w:r>
        <w:rPr>
          <w:spacing w:val="-14"/>
        </w:rPr>
        <w:t> </w:t>
      </w:r>
      <w:r>
        <w:rPr/>
        <w:t>which</w:t>
      </w:r>
      <w:r>
        <w:rPr>
          <w:spacing w:val="-11"/>
        </w:rPr>
        <w:t> </w:t>
      </w:r>
      <w:r>
        <w:rPr/>
        <w:t>belongs,</w:t>
      </w:r>
      <w:r>
        <w:rPr>
          <w:spacing w:val="-13"/>
        </w:rPr>
        <w:t> </w:t>
      </w:r>
      <w:r>
        <w:rPr/>
        <w:t>among</w:t>
      </w:r>
      <w:r>
        <w:rPr>
          <w:spacing w:val="-16"/>
        </w:rPr>
        <w:t> </w:t>
      </w:r>
      <w:r>
        <w:rPr/>
        <w:t>other</w:t>
      </w:r>
      <w:r>
        <w:rPr>
          <w:spacing w:val="-13"/>
        </w:rPr>
        <w:t> </w:t>
      </w:r>
      <w:r>
        <w:rPr/>
        <w:t>organ- isations, to the World Health Organization, published a study in 1999 which confirmed that the oral consumption of stevioside with a concentration of</w:t>
      </w:r>
      <w:r>
        <w:rPr>
          <w:spacing w:val="-55"/>
        </w:rPr>
        <w:t> </w:t>
      </w:r>
      <w:r>
        <w:rPr/>
        <w:t>2.5</w:t>
      </w:r>
    </w:p>
    <w:p>
      <w:pPr>
        <w:pStyle w:val="BodyText"/>
        <w:spacing w:line="276" w:lineRule="auto" w:before="2"/>
        <w:ind w:left="616" w:right="134"/>
        <w:jc w:val="both"/>
      </w:pPr>
      <w:r>
        <w:rPr/>
        <w:t>% demonstrated no significant toxic effect in rats over two years. This corre- sponds to 970-1,100 mg of stevioside per kg of body weight. In addition, the JECFA</w:t>
      </w:r>
      <w:r>
        <w:rPr>
          <w:spacing w:val="-23"/>
        </w:rPr>
        <w:t> </w:t>
      </w:r>
      <w:r>
        <w:rPr/>
        <w:t>and</w:t>
      </w:r>
      <w:r>
        <w:rPr>
          <w:spacing w:val="-21"/>
        </w:rPr>
        <w:t> </w:t>
      </w:r>
      <w:r>
        <w:rPr/>
        <w:t>the</w:t>
      </w:r>
      <w:r>
        <w:rPr>
          <w:spacing w:val="-20"/>
        </w:rPr>
        <w:t> </w:t>
      </w:r>
      <w:r>
        <w:rPr/>
        <w:t>WHO</w:t>
      </w:r>
      <w:r>
        <w:rPr>
          <w:spacing w:val="-21"/>
        </w:rPr>
        <w:t> </w:t>
      </w:r>
      <w:r>
        <w:rPr/>
        <w:t>determined</w:t>
      </w:r>
      <w:r>
        <w:rPr>
          <w:spacing w:val="-21"/>
        </w:rPr>
        <w:t> </w:t>
      </w:r>
      <w:r>
        <w:rPr/>
        <w:t>a</w:t>
      </w:r>
      <w:r>
        <w:rPr>
          <w:spacing w:val="-23"/>
        </w:rPr>
        <w:t> </w:t>
      </w:r>
      <w:r>
        <w:rPr/>
        <w:t>temporary</w:t>
      </w:r>
      <w:r>
        <w:rPr>
          <w:spacing w:val="-24"/>
        </w:rPr>
        <w:t> </w:t>
      </w:r>
      <w:r>
        <w:rPr/>
        <w:t>ADI</w:t>
      </w:r>
      <w:r>
        <w:rPr>
          <w:spacing w:val="-21"/>
        </w:rPr>
        <w:t> </w:t>
      </w:r>
      <w:r>
        <w:rPr/>
        <w:t>VALUE</w:t>
      </w:r>
      <w:r>
        <w:rPr>
          <w:spacing w:val="-22"/>
        </w:rPr>
        <w:t> </w:t>
      </w:r>
      <w:r>
        <w:rPr/>
        <w:t>('acceptable</w:t>
      </w:r>
      <w:r>
        <w:rPr>
          <w:spacing w:val="-21"/>
        </w:rPr>
        <w:t> </w:t>
      </w:r>
      <w:r>
        <w:rPr/>
        <w:t>daily intake') for steviol-glycoside at their 69th meeting, providing worldwide con- firmation of the harmlessness of stevia to our health. Unlike with sugar and artificial sweeteners, centuries of use of stevia across the world have not re- sulted in a single known case of poisoning or other health impairments from the use of</w:t>
      </w:r>
      <w:r>
        <w:rPr>
          <w:spacing w:val="2"/>
        </w:rPr>
        <w:t> </w:t>
      </w:r>
      <w:r>
        <w:rPr/>
        <w:t>stevia.</w:t>
      </w:r>
    </w:p>
    <w:p>
      <w:pPr>
        <w:pStyle w:val="Heading1"/>
        <w:spacing w:before="221"/>
        <w:ind w:left="616"/>
        <w:jc w:val="both"/>
      </w:pPr>
      <w:r>
        <w:rPr/>
        <w:t>The decisive approval study in the</w:t>
      </w:r>
      <w:r>
        <w:rPr>
          <w:spacing w:val="-65"/>
        </w:rPr>
        <w:t> </w:t>
      </w:r>
      <w:r>
        <w:rPr/>
        <w:t>EU</w:t>
      </w:r>
    </w:p>
    <w:p>
      <w:pPr>
        <w:pStyle w:val="BodyText"/>
        <w:rPr>
          <w:b/>
          <w:i/>
          <w:sz w:val="20"/>
        </w:rPr>
      </w:pPr>
    </w:p>
    <w:p>
      <w:pPr>
        <w:pStyle w:val="BodyText"/>
        <w:spacing w:before="5"/>
        <w:rPr>
          <w:b/>
          <w:i/>
          <w:sz w:val="22"/>
        </w:rPr>
      </w:pPr>
      <w:r>
        <w:rPr/>
        <w:pict>
          <v:line style="position:absolute;mso-position-horizontal-relative:page;mso-position-vertical-relative:paragraph;z-index:12296;mso-wrap-distance-left:0;mso-wrap-distance-right:0" from="70.823997pt,14.977485pt" to="214.843997pt,14.977485pt" stroked="true" strokeweight=".72003pt" strokecolor="#000000">
            <v:stroke dashstyle="solid"/>
            <w10:wrap type="topAndBottom"/>
          </v:line>
        </w:pict>
      </w:r>
    </w:p>
    <w:p>
      <w:pPr>
        <w:pStyle w:val="BodyText"/>
        <w:spacing w:before="7"/>
        <w:rPr>
          <w:b/>
          <w:i/>
          <w:sz w:val="18"/>
        </w:rPr>
      </w:pPr>
    </w:p>
    <w:p>
      <w:pPr>
        <w:spacing w:before="99"/>
        <w:ind w:left="616" w:right="0" w:firstLine="0"/>
        <w:jc w:val="left"/>
        <w:rPr>
          <w:sz w:val="20"/>
        </w:rPr>
      </w:pPr>
      <w:r>
        <w:rPr>
          <w:position w:val="5"/>
          <w:sz w:val="13"/>
        </w:rPr>
        <w:t>880 </w:t>
      </w:r>
      <w:r>
        <w:rPr>
          <w:sz w:val="20"/>
        </w:rPr>
        <w:t>Werner Goller: Was verschweigt die Schulmedizin? ('What Does Conventional Medicine Conceal?'), 2009, p. 222</w:t>
      </w:r>
    </w:p>
    <w:p>
      <w:pPr>
        <w:spacing w:before="92"/>
        <w:ind w:left="616" w:right="0" w:firstLine="0"/>
        <w:jc w:val="left"/>
        <w:rPr>
          <w:sz w:val="20"/>
        </w:rPr>
      </w:pPr>
      <w:r>
        <w:rPr>
          <w:position w:val="5"/>
          <w:sz w:val="13"/>
        </w:rPr>
        <w:t>881</w:t>
      </w:r>
      <w:r>
        <w:rPr>
          <w:spacing w:val="3"/>
          <w:position w:val="5"/>
          <w:sz w:val="13"/>
        </w:rPr>
        <w:t> </w:t>
      </w:r>
      <w:r>
        <w:rPr>
          <w:sz w:val="20"/>
        </w:rPr>
        <w:t>https://en.wikipedia.org/wiki/Stevia</w:t>
      </w:r>
    </w:p>
    <w:p>
      <w:pPr>
        <w:spacing w:before="94"/>
        <w:ind w:left="616" w:right="0" w:firstLine="0"/>
        <w:jc w:val="left"/>
        <w:rPr>
          <w:sz w:val="20"/>
        </w:rPr>
      </w:pPr>
      <w:r>
        <w:rPr>
          <w:position w:val="5"/>
          <w:sz w:val="13"/>
        </w:rPr>
        <w:t>882</w:t>
      </w:r>
      <w:r>
        <w:rPr>
          <w:spacing w:val="3"/>
          <w:position w:val="5"/>
          <w:sz w:val="13"/>
        </w:rPr>
        <w:t> </w:t>
      </w:r>
      <w:r>
        <w:rPr>
          <w:sz w:val="20"/>
        </w:rPr>
        <w:t>https://en.wikipedia.org/wiki/Stevia</w:t>
      </w:r>
    </w:p>
    <w:p>
      <w:pPr>
        <w:spacing w:after="0"/>
        <w:jc w:val="left"/>
        <w:rPr>
          <w:sz w:val="20"/>
        </w:rPr>
        <w:sectPr>
          <w:pgSz w:w="14270" w:h="16850"/>
          <w:pgMar w:header="0" w:footer="1891" w:top="1340" w:bottom="2080" w:left="800" w:right="1280"/>
        </w:sectPr>
      </w:pPr>
    </w:p>
    <w:p>
      <w:pPr>
        <w:pStyle w:val="BodyText"/>
        <w:spacing w:line="276" w:lineRule="auto" w:before="72"/>
        <w:ind w:left="616" w:right="134"/>
        <w:jc w:val="both"/>
      </w:pPr>
      <w:r>
        <w:rPr/>
        <w:t>While there are still some individual health reservations to be discussed, on</w:t>
      </w:r>
      <w:r>
        <w:rPr>
          <w:spacing w:val="-55"/>
        </w:rPr>
        <w:t> </w:t>
      </w:r>
      <w:r>
        <w:rPr/>
        <w:t>14 April</w:t>
      </w:r>
      <w:r>
        <w:rPr>
          <w:spacing w:val="-15"/>
        </w:rPr>
        <w:t> </w:t>
      </w:r>
      <w:r>
        <w:rPr/>
        <w:t>2010,</w:t>
      </w:r>
      <w:r>
        <w:rPr>
          <w:spacing w:val="-15"/>
        </w:rPr>
        <w:t> </w:t>
      </w:r>
      <w:r>
        <w:rPr/>
        <w:t>the</w:t>
      </w:r>
      <w:r>
        <w:rPr>
          <w:spacing w:val="-17"/>
        </w:rPr>
        <w:t> </w:t>
      </w:r>
      <w:r>
        <w:rPr>
          <w:i/>
        </w:rPr>
        <w:t>European</w:t>
      </w:r>
      <w:r>
        <w:rPr>
          <w:i/>
          <w:spacing w:val="-14"/>
        </w:rPr>
        <w:t> </w:t>
      </w:r>
      <w:r>
        <w:rPr>
          <w:i/>
        </w:rPr>
        <w:t>Food</w:t>
      </w:r>
      <w:r>
        <w:rPr>
          <w:i/>
          <w:spacing w:val="-15"/>
        </w:rPr>
        <w:t> </w:t>
      </w:r>
      <w:r>
        <w:rPr>
          <w:i/>
        </w:rPr>
        <w:t>Safety</w:t>
      </w:r>
      <w:r>
        <w:rPr>
          <w:i/>
          <w:spacing w:val="-16"/>
        </w:rPr>
        <w:t> </w:t>
      </w:r>
      <w:r>
        <w:rPr>
          <w:i/>
        </w:rPr>
        <w:t>Authority</w:t>
      </w:r>
      <w:r>
        <w:rPr>
          <w:i/>
          <w:spacing w:val="-14"/>
        </w:rPr>
        <w:t> </w:t>
      </w:r>
      <w:r>
        <w:rPr/>
        <w:t>(EFSA)</w:t>
      </w:r>
      <w:r>
        <w:rPr>
          <w:spacing w:val="-14"/>
        </w:rPr>
        <w:t> </w:t>
      </w:r>
      <w:r>
        <w:rPr/>
        <w:t>classified</w:t>
      </w:r>
      <w:r>
        <w:rPr>
          <w:spacing w:val="-15"/>
        </w:rPr>
        <w:t> </w:t>
      </w:r>
      <w:r>
        <w:rPr/>
        <w:t>stevia</w:t>
      </w:r>
      <w:r>
        <w:rPr>
          <w:spacing w:val="-15"/>
        </w:rPr>
        <w:t> </w:t>
      </w:r>
      <w:r>
        <w:rPr/>
        <w:t>as</w:t>
      </w:r>
      <w:r>
        <w:rPr>
          <w:spacing w:val="-14"/>
        </w:rPr>
        <w:t> </w:t>
      </w:r>
      <w:r>
        <w:rPr/>
        <w:t>neither genotoxic</w:t>
      </w:r>
      <w:r>
        <w:rPr>
          <w:spacing w:val="-24"/>
        </w:rPr>
        <w:t> </w:t>
      </w:r>
      <w:r>
        <w:rPr/>
        <w:t>nor</w:t>
      </w:r>
      <w:r>
        <w:rPr>
          <w:spacing w:val="-27"/>
        </w:rPr>
        <w:t> </w:t>
      </w:r>
      <w:r>
        <w:rPr/>
        <w:t>carcinogenic,</w:t>
      </w:r>
      <w:r>
        <w:rPr>
          <w:spacing w:val="-24"/>
        </w:rPr>
        <w:t> </w:t>
      </w:r>
      <w:r>
        <w:rPr/>
        <w:t>without</w:t>
      </w:r>
      <w:r>
        <w:rPr>
          <w:spacing w:val="-26"/>
        </w:rPr>
        <w:t> </w:t>
      </w:r>
      <w:r>
        <w:rPr/>
        <w:t>any</w:t>
      </w:r>
      <w:r>
        <w:rPr>
          <w:spacing w:val="-24"/>
        </w:rPr>
        <w:t> </w:t>
      </w:r>
      <w:r>
        <w:rPr/>
        <w:t>negative</w:t>
      </w:r>
      <w:r>
        <w:rPr>
          <w:spacing w:val="-28"/>
        </w:rPr>
        <w:t> </w:t>
      </w:r>
      <w:r>
        <w:rPr/>
        <w:t>effects</w:t>
      </w:r>
      <w:r>
        <w:rPr>
          <w:spacing w:val="-24"/>
        </w:rPr>
        <w:t> </w:t>
      </w:r>
      <w:r>
        <w:rPr/>
        <w:t>on</w:t>
      </w:r>
      <w:r>
        <w:rPr>
          <w:spacing w:val="-26"/>
        </w:rPr>
        <w:t> </w:t>
      </w:r>
      <w:r>
        <w:rPr/>
        <w:t>human</w:t>
      </w:r>
      <w:r>
        <w:rPr>
          <w:spacing w:val="-24"/>
        </w:rPr>
        <w:t> </w:t>
      </w:r>
      <w:r>
        <w:rPr/>
        <w:t>fertility</w:t>
      </w:r>
      <w:r>
        <w:rPr>
          <w:spacing w:val="-25"/>
        </w:rPr>
        <w:t> </w:t>
      </w:r>
      <w:r>
        <w:rPr/>
        <w:t>and reproductive</w:t>
      </w:r>
      <w:r>
        <w:rPr>
          <w:spacing w:val="-20"/>
        </w:rPr>
        <w:t> </w:t>
      </w:r>
      <w:r>
        <w:rPr/>
        <w:t>organs,</w:t>
      </w:r>
      <w:r>
        <w:rPr>
          <w:spacing w:val="-16"/>
        </w:rPr>
        <w:t> </w:t>
      </w:r>
      <w:r>
        <w:rPr/>
        <w:t>based</w:t>
      </w:r>
      <w:r>
        <w:rPr>
          <w:spacing w:val="-17"/>
        </w:rPr>
        <w:t> </w:t>
      </w:r>
      <w:r>
        <w:rPr/>
        <w:t>on</w:t>
      </w:r>
      <w:r>
        <w:rPr>
          <w:spacing w:val="-17"/>
        </w:rPr>
        <w:t> </w:t>
      </w:r>
      <w:r>
        <w:rPr/>
        <w:t>current</w:t>
      </w:r>
      <w:r>
        <w:rPr>
          <w:spacing w:val="-18"/>
        </w:rPr>
        <w:t> </w:t>
      </w:r>
      <w:r>
        <w:rPr/>
        <w:t>studies.</w:t>
      </w:r>
      <w:r>
        <w:rPr>
          <w:spacing w:val="-17"/>
        </w:rPr>
        <w:t> </w:t>
      </w:r>
      <w:r>
        <w:rPr/>
        <w:t>The</w:t>
      </w:r>
      <w:r>
        <w:rPr>
          <w:spacing w:val="-17"/>
        </w:rPr>
        <w:t> </w:t>
      </w:r>
      <w:r>
        <w:rPr/>
        <w:t>realisations</w:t>
      </w:r>
      <w:r>
        <w:rPr>
          <w:spacing w:val="-17"/>
        </w:rPr>
        <w:t> </w:t>
      </w:r>
      <w:r>
        <w:rPr/>
        <w:t>made</w:t>
      </w:r>
      <w:r>
        <w:rPr>
          <w:spacing w:val="-18"/>
        </w:rPr>
        <w:t> </w:t>
      </w:r>
      <w:r>
        <w:rPr/>
        <w:t>about</w:t>
      </w:r>
      <w:r>
        <w:rPr>
          <w:spacing w:val="-19"/>
        </w:rPr>
        <w:t> </w:t>
      </w:r>
      <w:r>
        <w:rPr/>
        <w:t>the harmless nature of stevia on the part of the EFSA in April 2010 made an im- minent approval of sugar substitutes from stevia in the EU highly</w:t>
      </w:r>
      <w:r>
        <w:rPr>
          <w:spacing w:val="-13"/>
        </w:rPr>
        <w:t> </w:t>
      </w:r>
      <w:r>
        <w:rPr/>
        <w:t>likely.</w:t>
      </w:r>
    </w:p>
    <w:p>
      <w:pPr>
        <w:pStyle w:val="Heading1"/>
        <w:spacing w:line="261" w:lineRule="auto" w:before="222"/>
        <w:ind w:left="616" w:right="136"/>
        <w:jc w:val="both"/>
      </w:pPr>
      <w:r>
        <w:rPr/>
        <w:t>Market</w:t>
      </w:r>
      <w:r>
        <w:rPr>
          <w:spacing w:val="-38"/>
        </w:rPr>
        <w:t> </w:t>
      </w:r>
      <w:r>
        <w:rPr/>
        <w:t>cultivation</w:t>
      </w:r>
      <w:r>
        <w:rPr>
          <w:spacing w:val="-38"/>
        </w:rPr>
        <w:t> </w:t>
      </w:r>
      <w:r>
        <w:rPr/>
        <w:t>and</w:t>
      </w:r>
      <w:r>
        <w:rPr>
          <w:spacing w:val="-38"/>
        </w:rPr>
        <w:t> </w:t>
      </w:r>
      <w:r>
        <w:rPr/>
        <w:t>approval</w:t>
      </w:r>
      <w:r>
        <w:rPr>
          <w:spacing w:val="-38"/>
        </w:rPr>
        <w:t> </w:t>
      </w:r>
      <w:r>
        <w:rPr/>
        <w:t>of</w:t>
      </w:r>
      <w:r>
        <w:rPr>
          <w:spacing w:val="-37"/>
        </w:rPr>
        <w:t> </w:t>
      </w:r>
      <w:r>
        <w:rPr/>
        <w:t>stevia</w:t>
      </w:r>
      <w:r>
        <w:rPr>
          <w:spacing w:val="-37"/>
        </w:rPr>
        <w:t> </w:t>
      </w:r>
      <w:r>
        <w:rPr/>
        <w:t>sugar</w:t>
      </w:r>
      <w:r>
        <w:rPr>
          <w:spacing w:val="-38"/>
        </w:rPr>
        <w:t> </w:t>
      </w:r>
      <w:r>
        <w:rPr/>
        <w:t>substitute</w:t>
      </w:r>
      <w:r>
        <w:rPr>
          <w:spacing w:val="-35"/>
        </w:rPr>
        <w:t> </w:t>
      </w:r>
      <w:r>
        <w:rPr/>
        <w:t>–</w:t>
      </w:r>
      <w:r>
        <w:rPr>
          <w:spacing w:val="-37"/>
        </w:rPr>
        <w:t> </w:t>
      </w:r>
      <w:r>
        <w:rPr/>
        <w:t>Japan</w:t>
      </w:r>
      <w:r>
        <w:rPr>
          <w:spacing w:val="-38"/>
        </w:rPr>
        <w:t> </w:t>
      </w:r>
      <w:r>
        <w:rPr/>
        <w:t>as</w:t>
      </w:r>
      <w:r>
        <w:rPr>
          <w:spacing w:val="-36"/>
        </w:rPr>
        <w:t> </w:t>
      </w:r>
      <w:r>
        <w:rPr/>
        <w:t>a pioneer</w:t>
      </w:r>
    </w:p>
    <w:p>
      <w:pPr>
        <w:pStyle w:val="BodyText"/>
        <w:spacing w:line="276" w:lineRule="auto" w:before="261"/>
        <w:ind w:left="616" w:right="132"/>
        <w:jc w:val="both"/>
      </w:pPr>
      <w:r>
        <w:rPr/>
        <w:t>It</w:t>
      </w:r>
      <w:r>
        <w:rPr>
          <w:spacing w:val="-15"/>
        </w:rPr>
        <w:t> </w:t>
      </w:r>
      <w:r>
        <w:rPr/>
        <w:t>is</w:t>
      </w:r>
      <w:r>
        <w:rPr>
          <w:spacing w:val="-14"/>
        </w:rPr>
        <w:t> </w:t>
      </w:r>
      <w:r>
        <w:rPr/>
        <w:t>estimated</w:t>
      </w:r>
      <w:r>
        <w:rPr>
          <w:spacing w:val="-13"/>
        </w:rPr>
        <w:t> </w:t>
      </w:r>
      <w:r>
        <w:rPr/>
        <w:t>that</w:t>
      </w:r>
      <w:r>
        <w:rPr>
          <w:spacing w:val="-14"/>
        </w:rPr>
        <w:t> </w:t>
      </w:r>
      <w:r>
        <w:rPr/>
        <w:t>approx.</w:t>
      </w:r>
      <w:r>
        <w:rPr>
          <w:spacing w:val="-14"/>
        </w:rPr>
        <w:t> </w:t>
      </w:r>
      <w:r>
        <w:rPr/>
        <w:t>150</w:t>
      </w:r>
      <w:r>
        <w:rPr>
          <w:spacing w:val="-18"/>
        </w:rPr>
        <w:t> </w:t>
      </w:r>
      <w:r>
        <w:rPr/>
        <w:t>million</w:t>
      </w:r>
      <w:r>
        <w:rPr>
          <w:spacing w:val="-13"/>
        </w:rPr>
        <w:t> </w:t>
      </w:r>
      <w:r>
        <w:rPr/>
        <w:t>people</w:t>
      </w:r>
      <w:r>
        <w:rPr>
          <w:spacing w:val="-14"/>
        </w:rPr>
        <w:t> </w:t>
      </w:r>
      <w:r>
        <w:rPr/>
        <w:t>across</w:t>
      </w:r>
      <w:r>
        <w:rPr>
          <w:spacing w:val="-16"/>
        </w:rPr>
        <w:t> </w:t>
      </w:r>
      <w:r>
        <w:rPr/>
        <w:t>the</w:t>
      </w:r>
      <w:r>
        <w:rPr>
          <w:spacing w:val="-14"/>
        </w:rPr>
        <w:t> </w:t>
      </w:r>
      <w:r>
        <w:rPr/>
        <w:t>globe</w:t>
      </w:r>
      <w:r>
        <w:rPr>
          <w:spacing w:val="-16"/>
        </w:rPr>
        <w:t> </w:t>
      </w:r>
      <w:r>
        <w:rPr/>
        <w:t>use</w:t>
      </w:r>
      <w:r>
        <w:rPr>
          <w:spacing w:val="-14"/>
        </w:rPr>
        <w:t> </w:t>
      </w:r>
      <w:r>
        <w:rPr/>
        <w:t>stevia</w:t>
      </w:r>
      <w:r>
        <w:rPr>
          <w:spacing w:val="-13"/>
        </w:rPr>
        <w:t> </w:t>
      </w:r>
      <w:r>
        <w:rPr/>
        <w:t>daily, in</w:t>
      </w:r>
      <w:r>
        <w:rPr>
          <w:spacing w:val="-21"/>
        </w:rPr>
        <w:t> </w:t>
      </w:r>
      <w:r>
        <w:rPr/>
        <w:t>particular</w:t>
      </w:r>
      <w:r>
        <w:rPr>
          <w:spacing w:val="-21"/>
        </w:rPr>
        <w:t> </w:t>
      </w:r>
      <w:r>
        <w:rPr/>
        <w:t>in</w:t>
      </w:r>
      <w:r>
        <w:rPr>
          <w:spacing w:val="-21"/>
        </w:rPr>
        <w:t> </w:t>
      </w:r>
      <w:r>
        <w:rPr/>
        <w:t>Japan,</w:t>
      </w:r>
      <w:r>
        <w:rPr>
          <w:spacing w:val="-20"/>
        </w:rPr>
        <w:t> </w:t>
      </w:r>
      <w:r>
        <w:rPr/>
        <w:t>China,</w:t>
      </w:r>
      <w:r>
        <w:rPr>
          <w:spacing w:val="-20"/>
        </w:rPr>
        <w:t> </w:t>
      </w:r>
      <w:r>
        <w:rPr/>
        <w:t>Malaysia,</w:t>
      </w:r>
      <w:r>
        <w:rPr>
          <w:spacing w:val="-20"/>
        </w:rPr>
        <w:t> </w:t>
      </w:r>
      <w:r>
        <w:rPr/>
        <w:t>Korea,</w:t>
      </w:r>
      <w:r>
        <w:rPr>
          <w:spacing w:val="-21"/>
        </w:rPr>
        <w:t> </w:t>
      </w:r>
      <w:r>
        <w:rPr/>
        <w:t>Thailand</w:t>
      </w:r>
      <w:r>
        <w:rPr>
          <w:spacing w:val="-21"/>
        </w:rPr>
        <w:t> </w:t>
      </w:r>
      <w:r>
        <w:rPr/>
        <w:t>and</w:t>
      </w:r>
      <w:r>
        <w:rPr>
          <w:spacing w:val="-21"/>
        </w:rPr>
        <w:t> </w:t>
      </w:r>
      <w:r>
        <w:rPr/>
        <w:t>South</w:t>
      </w:r>
      <w:r>
        <w:rPr>
          <w:spacing w:val="-18"/>
        </w:rPr>
        <w:t> </w:t>
      </w:r>
      <w:r>
        <w:rPr/>
        <w:t>America</w:t>
      </w:r>
      <w:r>
        <w:rPr>
          <w:spacing w:val="-22"/>
        </w:rPr>
        <w:t> </w:t>
      </w:r>
      <w:r>
        <w:rPr/>
        <w:t>but also in the USA, New Zealand, Israel and Mexico. Korea has been producing stevia</w:t>
      </w:r>
      <w:r>
        <w:rPr>
          <w:spacing w:val="-12"/>
        </w:rPr>
        <w:t> </w:t>
      </w:r>
      <w:r>
        <w:rPr/>
        <w:t>for</w:t>
      </w:r>
      <w:r>
        <w:rPr>
          <w:spacing w:val="-10"/>
        </w:rPr>
        <w:t> </w:t>
      </w:r>
      <w:r>
        <w:rPr/>
        <w:t>the</w:t>
      </w:r>
      <w:r>
        <w:rPr>
          <w:spacing w:val="-10"/>
        </w:rPr>
        <w:t> </w:t>
      </w:r>
      <w:r>
        <w:rPr/>
        <w:t>Japanese</w:t>
      </w:r>
      <w:r>
        <w:rPr>
          <w:spacing w:val="-11"/>
        </w:rPr>
        <w:t> </w:t>
      </w:r>
      <w:r>
        <w:rPr/>
        <w:t>market</w:t>
      </w:r>
      <w:r>
        <w:rPr>
          <w:spacing w:val="-10"/>
        </w:rPr>
        <w:t> </w:t>
      </w:r>
      <w:r>
        <w:rPr/>
        <w:t>since</w:t>
      </w:r>
      <w:r>
        <w:rPr>
          <w:spacing w:val="-11"/>
        </w:rPr>
        <w:t> </w:t>
      </w:r>
      <w:r>
        <w:rPr/>
        <w:t>1973</w:t>
      </w:r>
      <w:r>
        <w:rPr>
          <w:spacing w:val="-12"/>
        </w:rPr>
        <w:t> </w:t>
      </w:r>
      <w:r>
        <w:rPr/>
        <w:t>and</w:t>
      </w:r>
      <w:r>
        <w:rPr>
          <w:spacing w:val="-11"/>
        </w:rPr>
        <w:t> </w:t>
      </w:r>
      <w:r>
        <w:rPr/>
        <w:t>it</w:t>
      </w:r>
      <w:r>
        <w:rPr>
          <w:spacing w:val="-10"/>
        </w:rPr>
        <w:t> </w:t>
      </w:r>
      <w:r>
        <w:rPr/>
        <w:t>has</w:t>
      </w:r>
      <w:r>
        <w:rPr>
          <w:spacing w:val="-11"/>
        </w:rPr>
        <w:t> </w:t>
      </w:r>
      <w:r>
        <w:rPr/>
        <w:t>been</w:t>
      </w:r>
      <w:r>
        <w:rPr>
          <w:spacing w:val="-10"/>
        </w:rPr>
        <w:t> </w:t>
      </w:r>
      <w:r>
        <w:rPr/>
        <w:t>permitted</w:t>
      </w:r>
      <w:r>
        <w:rPr>
          <w:spacing w:val="-11"/>
        </w:rPr>
        <w:t> </w:t>
      </w:r>
      <w:r>
        <w:rPr/>
        <w:t>as</w:t>
      </w:r>
      <w:r>
        <w:rPr>
          <w:spacing w:val="-11"/>
        </w:rPr>
        <w:t> </w:t>
      </w:r>
      <w:r>
        <w:rPr/>
        <w:t>a</w:t>
      </w:r>
      <w:r>
        <w:rPr>
          <w:spacing w:val="-13"/>
        </w:rPr>
        <w:t> </w:t>
      </w:r>
      <w:r>
        <w:rPr/>
        <w:t>sweet- ening agent on the world market since 1975. There, it has already been able</w:t>
      </w:r>
      <w:r>
        <w:rPr>
          <w:spacing w:val="-48"/>
        </w:rPr>
        <w:t> </w:t>
      </w:r>
      <w:r>
        <w:rPr/>
        <w:t>to conquer 50 % of the sweetening agent market and so it is understandable that stevia has been used as a sweetener in things such as ice cream and lollies as well as cakes, biscuits, lemonade, milk products and toothpaste </w:t>
      </w:r>
      <w:r>
        <w:rPr>
          <w:spacing w:val="2"/>
        </w:rPr>
        <w:t>for </w:t>
      </w:r>
      <w:r>
        <w:rPr/>
        <w:t>over 30 years.</w:t>
      </w:r>
    </w:p>
    <w:p>
      <w:pPr>
        <w:pStyle w:val="BodyText"/>
        <w:spacing w:line="276" w:lineRule="auto" w:before="242"/>
        <w:ind w:left="616" w:right="136"/>
        <w:jc w:val="both"/>
      </w:pPr>
      <w:r>
        <w:rPr/>
        <w:t>In June 2008, the UN panel of experts classified stevia as harmless to health following extensive research, which quickly led to the approval of stevia sugar substitute in Switzerland.</w:t>
      </w:r>
    </w:p>
    <w:p>
      <w:pPr>
        <w:pStyle w:val="BodyText"/>
        <w:spacing w:line="276" w:lineRule="auto" w:before="239"/>
        <w:ind w:left="616" w:right="136"/>
        <w:jc w:val="both"/>
      </w:pPr>
      <w:r>
        <w:rPr/>
        <w:t>France was the first EU state to issue a 'temporary' approval for stevia sugar substitute, initially limited to two years.</w:t>
      </w:r>
    </w:p>
    <w:p>
      <w:pPr>
        <w:spacing w:after="0" w:line="276" w:lineRule="auto"/>
        <w:jc w:val="both"/>
        <w:sectPr>
          <w:pgSz w:w="14270" w:h="16850"/>
          <w:pgMar w:header="0" w:footer="1891" w:top="1340" w:bottom="2080" w:left="800" w:right="1280"/>
        </w:sectPr>
      </w:pPr>
    </w:p>
    <w:p>
      <w:pPr>
        <w:pStyle w:val="BodyText"/>
        <w:rPr>
          <w:sz w:val="20"/>
        </w:rPr>
      </w:pPr>
    </w:p>
    <w:p>
      <w:pPr>
        <w:pStyle w:val="BodyText"/>
        <w:spacing w:before="10"/>
        <w:rPr>
          <w:sz w:val="17"/>
        </w:rPr>
      </w:pPr>
    </w:p>
    <w:p>
      <w:pPr>
        <w:pStyle w:val="Heading1"/>
        <w:spacing w:before="100"/>
        <w:ind w:left="616"/>
      </w:pPr>
      <w:r>
        <w:rPr/>
        <w:t>Approval by the FDA in the</w:t>
      </w:r>
      <w:r>
        <w:rPr>
          <w:spacing w:val="-55"/>
        </w:rPr>
        <w:t> </w:t>
      </w:r>
      <w:r>
        <w:rPr/>
        <w:t>USA</w:t>
      </w:r>
    </w:p>
    <w:p>
      <w:pPr>
        <w:pStyle w:val="BodyText"/>
        <w:spacing w:line="276" w:lineRule="auto" w:before="300"/>
        <w:ind w:left="616" w:right="131"/>
        <w:rPr>
          <w:sz w:val="25"/>
        </w:rPr>
      </w:pPr>
      <w:r>
        <w:rPr/>
        <w:t>The FDA (Food And Drug Association in the USA), concluded that stevia is a</w:t>
      </w:r>
      <w:r>
        <w:rPr>
          <w:spacing w:val="-15"/>
        </w:rPr>
        <w:t> </w:t>
      </w:r>
      <w:r>
        <w:rPr/>
        <w:t>harmless</w:t>
      </w:r>
      <w:r>
        <w:rPr>
          <w:spacing w:val="-13"/>
        </w:rPr>
        <w:t> </w:t>
      </w:r>
      <w:r>
        <w:rPr/>
        <w:t>foodstuff</w:t>
      </w:r>
      <w:r>
        <w:rPr>
          <w:spacing w:val="-15"/>
        </w:rPr>
        <w:t> </w:t>
      </w:r>
      <w:r>
        <w:rPr/>
        <w:t>with</w:t>
      </w:r>
      <w:r>
        <w:rPr>
          <w:spacing w:val="-13"/>
        </w:rPr>
        <w:t> </w:t>
      </w:r>
      <w:r>
        <w:rPr/>
        <w:t>high</w:t>
      </w:r>
      <w:r>
        <w:rPr>
          <w:spacing w:val="-13"/>
        </w:rPr>
        <w:t> </w:t>
      </w:r>
      <w:r>
        <w:rPr/>
        <w:t>nutritional</w:t>
      </w:r>
      <w:r>
        <w:rPr>
          <w:spacing w:val="-16"/>
        </w:rPr>
        <w:t> </w:t>
      </w:r>
      <w:r>
        <w:rPr/>
        <w:t>value</w:t>
      </w:r>
      <w:r>
        <w:rPr>
          <w:spacing w:val="-14"/>
        </w:rPr>
        <w:t> </w:t>
      </w:r>
      <w:r>
        <w:rPr/>
        <w:t>and</w:t>
      </w:r>
      <w:r>
        <w:rPr>
          <w:spacing w:val="-14"/>
        </w:rPr>
        <w:t> </w:t>
      </w:r>
      <w:r>
        <w:rPr/>
        <w:t>approved</w:t>
      </w:r>
      <w:r>
        <w:rPr>
          <w:spacing w:val="-14"/>
        </w:rPr>
        <w:t> </w:t>
      </w:r>
      <w:r>
        <w:rPr/>
        <w:t>it</w:t>
      </w:r>
      <w:r>
        <w:rPr>
          <w:spacing w:val="-14"/>
        </w:rPr>
        <w:t> </w:t>
      </w:r>
      <w:r>
        <w:rPr/>
        <w:t>in</w:t>
      </w:r>
      <w:r>
        <w:rPr>
          <w:spacing w:val="-14"/>
        </w:rPr>
        <w:t> </w:t>
      </w:r>
      <w:r>
        <w:rPr/>
        <w:t>the</w:t>
      </w:r>
      <w:r>
        <w:rPr>
          <w:spacing w:val="-13"/>
        </w:rPr>
        <w:t> </w:t>
      </w:r>
      <w:r>
        <w:rPr/>
        <w:t>USA.</w:t>
      </w:r>
      <w:r>
        <w:rPr>
          <w:position w:val="9"/>
          <w:sz w:val="25"/>
        </w:rPr>
        <w:t>883</w:t>
      </w:r>
    </w:p>
    <w:p>
      <w:pPr>
        <w:pStyle w:val="Heading1"/>
        <w:spacing w:before="223"/>
        <w:ind w:left="616"/>
      </w:pPr>
      <w:r>
        <w:rPr/>
        <w:t>Stevia officially classified as harmless in Europe</w:t>
      </w:r>
    </w:p>
    <w:p>
      <w:pPr>
        <w:pStyle w:val="BodyText"/>
        <w:spacing w:line="276" w:lineRule="auto" w:before="300"/>
        <w:ind w:left="616"/>
      </w:pPr>
      <w:r>
        <w:rPr/>
        <w:t>Stevia is still classified as a 'novel food' in the EU; a new type of food stuff which must provide clear proof that it is harmless.</w:t>
      </w:r>
    </w:p>
    <w:p>
      <w:pPr>
        <w:pStyle w:val="Heading1"/>
        <w:spacing w:before="221"/>
        <w:ind w:left="616"/>
      </w:pPr>
      <w:r>
        <w:rPr/>
        <w:t>Stevia now also approved in the</w:t>
      </w:r>
      <w:r>
        <w:rPr>
          <w:spacing w:val="-61"/>
        </w:rPr>
        <w:t> </w:t>
      </w:r>
      <w:r>
        <w:rPr/>
        <w:t>EU</w:t>
      </w:r>
    </w:p>
    <w:p>
      <w:pPr>
        <w:pStyle w:val="BodyText"/>
        <w:spacing w:line="276" w:lineRule="auto" w:before="299"/>
        <w:ind w:left="616" w:right="138"/>
        <w:jc w:val="both"/>
      </w:pPr>
      <w:r>
        <w:rPr/>
        <w:t>After years of efforts and enthusiastic campaigning, stevia has now also been approved as a foodstuff supplement in the EU since 2 December 2011 under the identifier E960. However, this does not mean the stevia plant, rather the artificially created substance! (See 'Stevia lies')</w:t>
      </w:r>
    </w:p>
    <w:p>
      <w:pPr>
        <w:pStyle w:val="Heading2"/>
        <w:spacing w:before="242"/>
        <w:ind w:left="712"/>
        <w:rPr>
          <w:sz w:val="25"/>
        </w:rPr>
      </w:pPr>
      <w:r>
        <w:rPr/>
        <w:t>Stevia's chronological history</w:t>
      </w:r>
      <w:r>
        <w:rPr>
          <w:position w:val="9"/>
          <w:sz w:val="25"/>
        </w:rPr>
        <w:t>884</w:t>
      </w:r>
    </w:p>
    <w:p>
      <w:pPr>
        <w:pStyle w:val="ListParagraph"/>
        <w:numPr>
          <w:ilvl w:val="2"/>
          <w:numId w:val="122"/>
        </w:numPr>
        <w:tabs>
          <w:tab w:pos="1329" w:val="left" w:leader="none"/>
          <w:tab w:pos="1330" w:val="left" w:leader="none"/>
        </w:tabs>
        <w:spacing w:line="240" w:lineRule="auto" w:before="182" w:after="0"/>
        <w:ind w:left="1329" w:right="0" w:hanging="355"/>
        <w:jc w:val="left"/>
        <w:rPr>
          <w:sz w:val="38"/>
        </w:rPr>
      </w:pPr>
      <w:r>
        <w:rPr>
          <w:sz w:val="38"/>
        </w:rPr>
        <w:t>1920: Cultivation of stevia in plantations</w:t>
      </w:r>
    </w:p>
    <w:p>
      <w:pPr>
        <w:pStyle w:val="ListParagraph"/>
        <w:numPr>
          <w:ilvl w:val="2"/>
          <w:numId w:val="122"/>
        </w:numPr>
        <w:tabs>
          <w:tab w:pos="1330" w:val="left" w:leader="none"/>
        </w:tabs>
        <w:spacing w:line="276" w:lineRule="auto" w:before="185" w:after="0"/>
        <w:ind w:left="1329" w:right="139" w:hanging="355"/>
        <w:jc w:val="both"/>
        <w:rPr>
          <w:sz w:val="38"/>
        </w:rPr>
      </w:pPr>
      <w:r>
        <w:rPr>
          <w:sz w:val="38"/>
        </w:rPr>
        <w:t>1931: Physiological studies carried out by Pomeret and Lavieille: Stevio- side proven as non-toxic and not reabsorbed in guinea pigs, rabbits and chickens.</w:t>
      </w:r>
    </w:p>
    <w:p>
      <w:pPr>
        <w:pStyle w:val="ListParagraph"/>
        <w:numPr>
          <w:ilvl w:val="2"/>
          <w:numId w:val="122"/>
        </w:numPr>
        <w:tabs>
          <w:tab w:pos="1330" w:val="left" w:leader="none"/>
        </w:tabs>
        <w:spacing w:line="276" w:lineRule="auto" w:before="121" w:after="0"/>
        <w:ind w:left="1329" w:right="133" w:hanging="355"/>
        <w:jc w:val="both"/>
        <w:rPr>
          <w:sz w:val="38"/>
        </w:rPr>
      </w:pPr>
      <w:r>
        <w:rPr>
          <w:sz w:val="38"/>
        </w:rPr>
        <w:t>1941:</w:t>
      </w:r>
      <w:r>
        <w:rPr>
          <w:spacing w:val="-24"/>
          <w:sz w:val="38"/>
        </w:rPr>
        <w:t> </w:t>
      </w:r>
      <w:r>
        <w:rPr>
          <w:sz w:val="38"/>
        </w:rPr>
        <w:t>Testing</w:t>
      </w:r>
      <w:r>
        <w:rPr>
          <w:spacing w:val="-23"/>
          <w:sz w:val="38"/>
        </w:rPr>
        <w:t> </w:t>
      </w:r>
      <w:r>
        <w:rPr>
          <w:sz w:val="38"/>
        </w:rPr>
        <w:t>of</w:t>
      </w:r>
      <w:r>
        <w:rPr>
          <w:spacing w:val="-25"/>
          <w:sz w:val="38"/>
        </w:rPr>
        <w:t> </w:t>
      </w:r>
      <w:r>
        <w:rPr>
          <w:sz w:val="38"/>
        </w:rPr>
        <w:t>sugar</w:t>
      </w:r>
      <w:r>
        <w:rPr>
          <w:spacing w:val="-23"/>
          <w:sz w:val="38"/>
        </w:rPr>
        <w:t> </w:t>
      </w:r>
      <w:r>
        <w:rPr>
          <w:sz w:val="38"/>
        </w:rPr>
        <w:t>substitutes</w:t>
      </w:r>
      <w:r>
        <w:rPr>
          <w:spacing w:val="-20"/>
          <w:sz w:val="38"/>
        </w:rPr>
        <w:t> </w:t>
      </w:r>
      <w:r>
        <w:rPr>
          <w:sz w:val="38"/>
        </w:rPr>
        <w:t>in</w:t>
      </w:r>
      <w:r>
        <w:rPr>
          <w:spacing w:val="-23"/>
          <w:sz w:val="38"/>
        </w:rPr>
        <w:t> </w:t>
      </w:r>
      <w:r>
        <w:rPr>
          <w:sz w:val="38"/>
        </w:rPr>
        <w:t>England</w:t>
      </w:r>
      <w:r>
        <w:rPr>
          <w:spacing w:val="-22"/>
          <w:sz w:val="38"/>
        </w:rPr>
        <w:t> </w:t>
      </w:r>
      <w:r>
        <w:rPr>
          <w:sz w:val="38"/>
        </w:rPr>
        <w:t>due</w:t>
      </w:r>
      <w:r>
        <w:rPr>
          <w:spacing w:val="-27"/>
          <w:sz w:val="38"/>
        </w:rPr>
        <w:t> </w:t>
      </w:r>
      <w:r>
        <w:rPr>
          <w:sz w:val="38"/>
        </w:rPr>
        <w:t>to</w:t>
      </w:r>
      <w:r>
        <w:rPr>
          <w:spacing w:val="-22"/>
          <w:sz w:val="38"/>
        </w:rPr>
        <w:t> </w:t>
      </w:r>
      <w:r>
        <w:rPr>
          <w:sz w:val="38"/>
        </w:rPr>
        <w:t>sugar</w:t>
      </w:r>
      <w:r>
        <w:rPr>
          <w:spacing w:val="-23"/>
          <w:sz w:val="38"/>
        </w:rPr>
        <w:t> </w:t>
      </w:r>
      <w:r>
        <w:rPr>
          <w:sz w:val="38"/>
        </w:rPr>
        <w:t>shortage</w:t>
      </w:r>
      <w:r>
        <w:rPr>
          <w:spacing w:val="-22"/>
          <w:sz w:val="38"/>
        </w:rPr>
        <w:t> </w:t>
      </w:r>
      <w:r>
        <w:rPr>
          <w:sz w:val="38"/>
        </w:rPr>
        <w:t>caused by German U-boat</w:t>
      </w:r>
      <w:r>
        <w:rPr>
          <w:spacing w:val="1"/>
          <w:sz w:val="38"/>
        </w:rPr>
        <w:t> </w:t>
      </w:r>
      <w:r>
        <w:rPr>
          <w:sz w:val="38"/>
        </w:rPr>
        <w:t>blockade.</w:t>
      </w:r>
    </w:p>
    <w:p>
      <w:pPr>
        <w:pStyle w:val="BodyText"/>
        <w:spacing w:before="10"/>
        <w:rPr>
          <w:sz w:val="19"/>
        </w:rPr>
      </w:pPr>
      <w:r>
        <w:rPr/>
        <w:pict>
          <v:line style="position:absolute;mso-position-horizontal-relative:page;mso-position-vertical-relative:paragraph;z-index:12320;mso-wrap-distance-left:0;mso-wrap-distance-right:0" from="70.823997pt,13.571235pt" to="214.843997pt,13.571235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883 </w:t>
      </w:r>
      <w:r>
        <w:rPr>
          <w:sz w:val="20"/>
        </w:rPr>
        <w:t>Werner Goller: Was verschweigt die Schulmedizin? ('What Does Conventional Medicine Conceal?'), 2009, p. 216</w:t>
      </w:r>
    </w:p>
    <w:p>
      <w:pPr>
        <w:spacing w:before="94"/>
        <w:ind w:left="616" w:right="0" w:firstLine="0"/>
        <w:jc w:val="left"/>
        <w:rPr>
          <w:sz w:val="20"/>
        </w:rPr>
      </w:pPr>
      <w:r>
        <w:rPr>
          <w:position w:val="5"/>
          <w:sz w:val="13"/>
        </w:rPr>
        <w:t>884 </w:t>
      </w:r>
      <w:r>
        <w:rPr>
          <w:sz w:val="20"/>
        </w:rPr>
        <w:t>https://en.wikipedia.org/wiki/Stevia</w:t>
      </w:r>
    </w:p>
    <w:p>
      <w:pPr>
        <w:spacing w:after="0"/>
        <w:jc w:val="left"/>
        <w:rPr>
          <w:sz w:val="20"/>
        </w:rPr>
        <w:sectPr>
          <w:pgSz w:w="14270" w:h="16850"/>
          <w:pgMar w:header="0" w:footer="1891" w:top="1600" w:bottom="2080" w:left="800" w:right="1280"/>
        </w:sectPr>
      </w:pPr>
    </w:p>
    <w:p>
      <w:pPr>
        <w:pStyle w:val="ListParagraph"/>
        <w:numPr>
          <w:ilvl w:val="2"/>
          <w:numId w:val="122"/>
        </w:numPr>
        <w:tabs>
          <w:tab w:pos="1329" w:val="left" w:leader="none"/>
          <w:tab w:pos="1330" w:val="left" w:leader="none"/>
        </w:tabs>
        <w:spacing w:line="276" w:lineRule="auto" w:before="72" w:after="0"/>
        <w:ind w:left="1329" w:right="135" w:hanging="355"/>
        <w:jc w:val="left"/>
        <w:rPr>
          <w:i/>
          <w:sz w:val="38"/>
        </w:rPr>
      </w:pPr>
      <w:r>
        <w:rPr>
          <w:sz w:val="38"/>
        </w:rPr>
        <w:t>1952:</w:t>
      </w:r>
      <w:r>
        <w:rPr>
          <w:spacing w:val="-10"/>
          <w:sz w:val="38"/>
        </w:rPr>
        <w:t> </w:t>
      </w:r>
      <w:r>
        <w:rPr>
          <w:sz w:val="38"/>
        </w:rPr>
        <w:t>The</w:t>
      </w:r>
      <w:r>
        <w:rPr>
          <w:spacing w:val="-9"/>
          <w:sz w:val="38"/>
        </w:rPr>
        <w:t> </w:t>
      </w:r>
      <w:r>
        <w:rPr>
          <w:sz w:val="38"/>
        </w:rPr>
        <w:t>main</w:t>
      </w:r>
      <w:r>
        <w:rPr>
          <w:spacing w:val="-7"/>
          <w:sz w:val="38"/>
        </w:rPr>
        <w:t> </w:t>
      </w:r>
      <w:r>
        <w:rPr>
          <w:sz w:val="38"/>
        </w:rPr>
        <w:t>components</w:t>
      </w:r>
      <w:r>
        <w:rPr>
          <w:spacing w:val="-10"/>
          <w:sz w:val="38"/>
        </w:rPr>
        <w:t> </w:t>
      </w:r>
      <w:r>
        <w:rPr>
          <w:sz w:val="38"/>
        </w:rPr>
        <w:t>of</w:t>
      </w:r>
      <w:r>
        <w:rPr>
          <w:spacing w:val="-9"/>
          <w:sz w:val="38"/>
        </w:rPr>
        <w:t> </w:t>
      </w:r>
      <w:r>
        <w:rPr>
          <w:sz w:val="38"/>
        </w:rPr>
        <w:t>the</w:t>
      </w:r>
      <w:r>
        <w:rPr>
          <w:spacing w:val="-8"/>
          <w:sz w:val="38"/>
        </w:rPr>
        <w:t> </w:t>
      </w:r>
      <w:r>
        <w:rPr>
          <w:sz w:val="38"/>
        </w:rPr>
        <w:t>natural</w:t>
      </w:r>
      <w:r>
        <w:rPr>
          <w:spacing w:val="-10"/>
          <w:sz w:val="38"/>
        </w:rPr>
        <w:t> </w:t>
      </w:r>
      <w:r>
        <w:rPr>
          <w:sz w:val="38"/>
        </w:rPr>
        <w:t>substance</w:t>
      </w:r>
      <w:r>
        <w:rPr>
          <w:spacing w:val="-9"/>
          <w:sz w:val="38"/>
        </w:rPr>
        <w:t> </w:t>
      </w:r>
      <w:r>
        <w:rPr>
          <w:sz w:val="38"/>
        </w:rPr>
        <w:t>extract</w:t>
      </w:r>
      <w:r>
        <w:rPr>
          <w:spacing w:val="-9"/>
          <w:sz w:val="38"/>
        </w:rPr>
        <w:t> </w:t>
      </w:r>
      <w:r>
        <w:rPr>
          <w:sz w:val="38"/>
        </w:rPr>
        <w:t>of</w:t>
      </w:r>
      <w:r>
        <w:rPr>
          <w:spacing w:val="-9"/>
          <w:sz w:val="38"/>
        </w:rPr>
        <w:t> </w:t>
      </w:r>
      <w:r>
        <w:rPr>
          <w:sz w:val="38"/>
        </w:rPr>
        <w:t>stevia</w:t>
      </w:r>
      <w:r>
        <w:rPr>
          <w:spacing w:val="-10"/>
          <w:sz w:val="38"/>
        </w:rPr>
        <w:t> </w:t>
      </w:r>
      <w:r>
        <w:rPr>
          <w:sz w:val="38"/>
        </w:rPr>
        <w:t>are determined by the National Institute of Arthritis and Metabolic</w:t>
      </w:r>
      <w:r>
        <w:rPr>
          <w:spacing w:val="-51"/>
          <w:sz w:val="38"/>
        </w:rPr>
        <w:t> </w:t>
      </w:r>
      <w:r>
        <w:rPr>
          <w:sz w:val="38"/>
        </w:rPr>
        <w:t>Diseases</w:t>
      </w:r>
      <w:r>
        <w:rPr>
          <w:i/>
          <w:sz w:val="38"/>
        </w:rPr>
        <w:t>.</w:t>
      </w:r>
    </w:p>
    <w:p>
      <w:pPr>
        <w:pStyle w:val="ListParagraph"/>
        <w:numPr>
          <w:ilvl w:val="2"/>
          <w:numId w:val="122"/>
        </w:numPr>
        <w:tabs>
          <w:tab w:pos="1329" w:val="left" w:leader="none"/>
          <w:tab w:pos="1330" w:val="left" w:leader="none"/>
        </w:tabs>
        <w:spacing w:line="240" w:lineRule="auto" w:before="121" w:after="0"/>
        <w:ind w:left="1329" w:right="0" w:hanging="355"/>
        <w:jc w:val="left"/>
        <w:rPr>
          <w:sz w:val="38"/>
        </w:rPr>
      </w:pPr>
      <w:r>
        <w:rPr>
          <w:sz w:val="38"/>
        </w:rPr>
        <w:t>1954: Japan: Cultivation of stevia in</w:t>
      </w:r>
      <w:r>
        <w:rPr>
          <w:spacing w:val="5"/>
          <w:sz w:val="38"/>
        </w:rPr>
        <w:t> </w:t>
      </w:r>
      <w:r>
        <w:rPr>
          <w:sz w:val="38"/>
        </w:rPr>
        <w:t>greenhouses</w:t>
      </w:r>
    </w:p>
    <w:p>
      <w:pPr>
        <w:pStyle w:val="ListParagraph"/>
        <w:numPr>
          <w:ilvl w:val="2"/>
          <w:numId w:val="122"/>
        </w:numPr>
        <w:tabs>
          <w:tab w:pos="1329" w:val="left" w:leader="none"/>
          <w:tab w:pos="1330" w:val="left" w:leader="none"/>
        </w:tabs>
        <w:spacing w:line="240" w:lineRule="auto" w:before="184" w:after="0"/>
        <w:ind w:left="1329" w:right="0" w:hanging="355"/>
        <w:jc w:val="left"/>
        <w:rPr>
          <w:sz w:val="38"/>
        </w:rPr>
      </w:pPr>
      <w:r>
        <w:rPr>
          <w:sz w:val="38"/>
        </w:rPr>
        <w:t>1969–1971: Further cultivation experiments in</w:t>
      </w:r>
      <w:r>
        <w:rPr>
          <w:spacing w:val="2"/>
          <w:sz w:val="38"/>
        </w:rPr>
        <w:t> </w:t>
      </w:r>
      <w:r>
        <w:rPr>
          <w:sz w:val="38"/>
        </w:rPr>
        <w:t>Japan</w:t>
      </w:r>
    </w:p>
    <w:p>
      <w:pPr>
        <w:pStyle w:val="ListParagraph"/>
        <w:numPr>
          <w:ilvl w:val="2"/>
          <w:numId w:val="122"/>
        </w:numPr>
        <w:tabs>
          <w:tab w:pos="1329" w:val="left" w:leader="none"/>
          <w:tab w:pos="1330" w:val="left" w:leader="none"/>
        </w:tabs>
        <w:spacing w:line="240" w:lineRule="auto" w:before="185" w:after="0"/>
        <w:ind w:left="1329" w:right="0" w:hanging="355"/>
        <w:jc w:val="left"/>
        <w:rPr>
          <w:sz w:val="38"/>
        </w:rPr>
      </w:pPr>
      <w:r>
        <w:rPr>
          <w:sz w:val="38"/>
        </w:rPr>
        <w:t>1971: Stevia becomes known in China, industrial use begins in</w:t>
      </w:r>
      <w:r>
        <w:rPr>
          <w:spacing w:val="-25"/>
          <w:sz w:val="38"/>
        </w:rPr>
        <w:t> </w:t>
      </w:r>
      <w:r>
        <w:rPr>
          <w:sz w:val="38"/>
        </w:rPr>
        <w:t>Japan.</w:t>
      </w:r>
    </w:p>
    <w:p>
      <w:pPr>
        <w:pStyle w:val="ListParagraph"/>
        <w:numPr>
          <w:ilvl w:val="2"/>
          <w:numId w:val="122"/>
        </w:numPr>
        <w:tabs>
          <w:tab w:pos="1329" w:val="left" w:leader="none"/>
          <w:tab w:pos="1330" w:val="left" w:leader="none"/>
        </w:tabs>
        <w:spacing w:line="240" w:lineRule="auto" w:before="184" w:after="0"/>
        <w:ind w:left="1329" w:right="0" w:hanging="355"/>
        <w:jc w:val="left"/>
        <w:rPr>
          <w:sz w:val="38"/>
        </w:rPr>
      </w:pPr>
      <w:r>
        <w:rPr>
          <w:sz w:val="38"/>
        </w:rPr>
        <w:t>1970s: Successful approval of stevia as a sugar substitute in</w:t>
      </w:r>
      <w:r>
        <w:rPr>
          <w:spacing w:val="-23"/>
          <w:sz w:val="38"/>
        </w:rPr>
        <w:t> </w:t>
      </w:r>
      <w:r>
        <w:rPr>
          <w:sz w:val="38"/>
        </w:rPr>
        <w:t>Japan.</w:t>
      </w:r>
    </w:p>
    <w:p>
      <w:pPr>
        <w:pStyle w:val="ListParagraph"/>
        <w:numPr>
          <w:ilvl w:val="2"/>
          <w:numId w:val="122"/>
        </w:numPr>
        <w:tabs>
          <w:tab w:pos="1329" w:val="left" w:leader="none"/>
          <w:tab w:pos="1330" w:val="left" w:leader="none"/>
        </w:tabs>
        <w:spacing w:line="240" w:lineRule="auto" w:before="183" w:after="0"/>
        <w:ind w:left="1329" w:right="0" w:hanging="355"/>
        <w:jc w:val="left"/>
        <w:rPr>
          <w:sz w:val="38"/>
        </w:rPr>
      </w:pPr>
      <w:r>
        <w:rPr>
          <w:sz w:val="38"/>
        </w:rPr>
        <w:t>1981: 2,000 tonnes of stevia used in</w:t>
      </w:r>
      <w:r>
        <w:rPr>
          <w:spacing w:val="-1"/>
          <w:sz w:val="38"/>
        </w:rPr>
        <w:t> </w:t>
      </w:r>
      <w:r>
        <w:rPr>
          <w:sz w:val="38"/>
        </w:rPr>
        <w:t>Japan</w:t>
      </w:r>
    </w:p>
    <w:p>
      <w:pPr>
        <w:pStyle w:val="ListParagraph"/>
        <w:numPr>
          <w:ilvl w:val="2"/>
          <w:numId w:val="122"/>
        </w:numPr>
        <w:tabs>
          <w:tab w:pos="1329" w:val="left" w:leader="none"/>
          <w:tab w:pos="1330" w:val="left" w:leader="none"/>
        </w:tabs>
        <w:spacing w:line="276" w:lineRule="auto" w:before="184" w:after="0"/>
        <w:ind w:left="1329" w:right="146" w:hanging="355"/>
        <w:jc w:val="left"/>
        <w:rPr>
          <w:sz w:val="38"/>
        </w:rPr>
      </w:pPr>
      <w:r>
        <w:rPr>
          <w:sz w:val="38"/>
        </w:rPr>
        <w:t>1982: P. J. Medon et al., Pharmacy College of the University of Chicago, Illinois, USA: Steviol is</w:t>
      </w:r>
      <w:r>
        <w:rPr>
          <w:spacing w:val="1"/>
          <w:sz w:val="38"/>
        </w:rPr>
        <w:t> </w:t>
      </w:r>
      <w:r>
        <w:rPr>
          <w:sz w:val="38"/>
        </w:rPr>
        <w:t>mutagenic.</w:t>
      </w:r>
    </w:p>
    <w:p>
      <w:pPr>
        <w:pStyle w:val="ListParagraph"/>
        <w:numPr>
          <w:ilvl w:val="2"/>
          <w:numId w:val="122"/>
        </w:numPr>
        <w:tabs>
          <w:tab w:pos="1329" w:val="left" w:leader="none"/>
          <w:tab w:pos="1330" w:val="left" w:leader="none"/>
        </w:tabs>
        <w:spacing w:line="276" w:lineRule="auto" w:before="121" w:after="0"/>
        <w:ind w:left="1329" w:right="141" w:hanging="355"/>
        <w:jc w:val="left"/>
        <w:rPr>
          <w:sz w:val="38"/>
        </w:rPr>
      </w:pPr>
      <w:r>
        <w:rPr>
          <w:sz w:val="38"/>
        </w:rPr>
        <w:t>1985:</w:t>
      </w:r>
      <w:r>
        <w:rPr>
          <w:spacing w:val="-9"/>
          <w:sz w:val="38"/>
        </w:rPr>
        <w:t> </w:t>
      </w:r>
      <w:r>
        <w:rPr>
          <w:sz w:val="38"/>
        </w:rPr>
        <w:t>John</w:t>
      </w:r>
      <w:r>
        <w:rPr>
          <w:spacing w:val="-9"/>
          <w:sz w:val="38"/>
        </w:rPr>
        <w:t> </w:t>
      </w:r>
      <w:r>
        <w:rPr>
          <w:sz w:val="38"/>
        </w:rPr>
        <w:t>Pezzutto</w:t>
      </w:r>
      <w:r>
        <w:rPr>
          <w:spacing w:val="-8"/>
          <w:sz w:val="38"/>
        </w:rPr>
        <w:t> </w:t>
      </w:r>
      <w:r>
        <w:rPr>
          <w:sz w:val="38"/>
        </w:rPr>
        <w:t>et</w:t>
      </w:r>
      <w:r>
        <w:rPr>
          <w:spacing w:val="-9"/>
          <w:sz w:val="38"/>
        </w:rPr>
        <w:t> </w:t>
      </w:r>
      <w:r>
        <w:rPr>
          <w:sz w:val="38"/>
        </w:rPr>
        <w:t>al.:</w:t>
      </w:r>
      <w:r>
        <w:rPr>
          <w:spacing w:val="-9"/>
          <w:sz w:val="38"/>
        </w:rPr>
        <w:t> </w:t>
      </w:r>
      <w:r>
        <w:rPr>
          <w:sz w:val="38"/>
        </w:rPr>
        <w:t>Metabolically</w:t>
      </w:r>
      <w:r>
        <w:rPr>
          <w:spacing w:val="-8"/>
          <w:sz w:val="38"/>
        </w:rPr>
        <w:t> </w:t>
      </w:r>
      <w:r>
        <w:rPr>
          <w:sz w:val="38"/>
        </w:rPr>
        <w:t>activated</w:t>
      </w:r>
      <w:r>
        <w:rPr>
          <w:spacing w:val="-8"/>
          <w:sz w:val="38"/>
        </w:rPr>
        <w:t> </w:t>
      </w:r>
      <w:r>
        <w:rPr>
          <w:sz w:val="38"/>
        </w:rPr>
        <w:t>steviol,</w:t>
      </w:r>
      <w:r>
        <w:rPr>
          <w:spacing w:val="-8"/>
          <w:sz w:val="38"/>
        </w:rPr>
        <w:t> </w:t>
      </w:r>
      <w:r>
        <w:rPr>
          <w:sz w:val="38"/>
        </w:rPr>
        <w:t>the</w:t>
      </w:r>
      <w:r>
        <w:rPr>
          <w:spacing w:val="-9"/>
          <w:sz w:val="38"/>
        </w:rPr>
        <w:t> </w:t>
      </w:r>
      <w:r>
        <w:rPr>
          <w:sz w:val="38"/>
        </w:rPr>
        <w:t>aglycone</w:t>
      </w:r>
      <w:r>
        <w:rPr>
          <w:spacing w:val="-10"/>
          <w:sz w:val="38"/>
        </w:rPr>
        <w:t> </w:t>
      </w:r>
      <w:r>
        <w:rPr>
          <w:sz w:val="38"/>
        </w:rPr>
        <w:t>of stevioside, is mutagenic. No EU approval.</w:t>
      </w:r>
    </w:p>
    <w:p>
      <w:pPr>
        <w:pStyle w:val="ListParagraph"/>
        <w:numPr>
          <w:ilvl w:val="2"/>
          <w:numId w:val="122"/>
        </w:numPr>
        <w:tabs>
          <w:tab w:pos="1329" w:val="left" w:leader="none"/>
          <w:tab w:pos="1330" w:val="left" w:leader="none"/>
        </w:tabs>
        <w:spacing w:line="240" w:lineRule="auto" w:before="121" w:after="0"/>
        <w:ind w:left="1329" w:right="0" w:hanging="355"/>
        <w:jc w:val="left"/>
        <w:rPr>
          <w:sz w:val="38"/>
        </w:rPr>
      </w:pPr>
      <w:r>
        <w:rPr>
          <w:sz w:val="38"/>
        </w:rPr>
        <w:t>2007: Coca-Cola submits 24 patents based on stevia as a</w:t>
      </w:r>
      <w:r>
        <w:rPr>
          <w:spacing w:val="-13"/>
          <w:sz w:val="38"/>
        </w:rPr>
        <w:t> </w:t>
      </w:r>
      <w:r>
        <w:rPr>
          <w:sz w:val="38"/>
        </w:rPr>
        <w:t>sweetener.</w:t>
      </w:r>
    </w:p>
    <w:p>
      <w:pPr>
        <w:pStyle w:val="ListParagraph"/>
        <w:numPr>
          <w:ilvl w:val="2"/>
          <w:numId w:val="122"/>
        </w:numPr>
        <w:tabs>
          <w:tab w:pos="1330" w:val="left" w:leader="none"/>
        </w:tabs>
        <w:spacing w:line="276" w:lineRule="auto" w:before="185" w:after="0"/>
        <w:ind w:left="1329" w:right="141" w:hanging="355"/>
        <w:jc w:val="both"/>
        <w:rPr>
          <w:sz w:val="38"/>
        </w:rPr>
      </w:pPr>
      <w:r>
        <w:rPr>
          <w:sz w:val="38"/>
        </w:rPr>
        <w:t>From August 2008: A provisional individual permit is issued for steviol glycoside in Switzerland according to art. 2 (1) of the Regulation govern- ing additives permitted in foodstuffs (ZuV; SR</w:t>
      </w:r>
      <w:r>
        <w:rPr>
          <w:spacing w:val="-1"/>
          <w:sz w:val="38"/>
        </w:rPr>
        <w:t> </w:t>
      </w:r>
      <w:r>
        <w:rPr>
          <w:sz w:val="38"/>
        </w:rPr>
        <w:t>817.022.31).</w:t>
      </w:r>
    </w:p>
    <w:p>
      <w:pPr>
        <w:pStyle w:val="ListParagraph"/>
        <w:numPr>
          <w:ilvl w:val="2"/>
          <w:numId w:val="122"/>
        </w:numPr>
        <w:tabs>
          <w:tab w:pos="1329" w:val="left" w:leader="none"/>
          <w:tab w:pos="1330" w:val="left" w:leader="none"/>
        </w:tabs>
        <w:spacing w:line="240" w:lineRule="auto" w:before="118" w:after="0"/>
        <w:ind w:left="1329" w:right="0" w:hanging="355"/>
        <w:jc w:val="left"/>
        <w:rPr>
          <w:sz w:val="38"/>
        </w:rPr>
      </w:pPr>
      <w:r>
        <w:rPr>
          <w:sz w:val="38"/>
        </w:rPr>
        <w:t>October 2008: Approval granted in Australia and New</w:t>
      </w:r>
      <w:r>
        <w:rPr>
          <w:spacing w:val="-12"/>
          <w:sz w:val="38"/>
        </w:rPr>
        <w:t> </w:t>
      </w:r>
      <w:r>
        <w:rPr>
          <w:sz w:val="38"/>
        </w:rPr>
        <w:t>Zealand.</w:t>
      </w:r>
    </w:p>
    <w:p>
      <w:pPr>
        <w:pStyle w:val="ListParagraph"/>
        <w:numPr>
          <w:ilvl w:val="2"/>
          <w:numId w:val="122"/>
        </w:numPr>
        <w:tabs>
          <w:tab w:pos="1330" w:val="left" w:leader="none"/>
        </w:tabs>
        <w:spacing w:line="276" w:lineRule="auto" w:before="185" w:after="0"/>
        <w:ind w:left="1329" w:right="139" w:hanging="355"/>
        <w:jc w:val="both"/>
        <w:rPr>
          <w:sz w:val="38"/>
        </w:rPr>
      </w:pPr>
      <w:r>
        <w:rPr>
          <w:sz w:val="38"/>
        </w:rPr>
        <w:t>December</w:t>
      </w:r>
      <w:r>
        <w:rPr>
          <w:spacing w:val="-14"/>
          <w:sz w:val="38"/>
        </w:rPr>
        <w:t> </w:t>
      </w:r>
      <w:r>
        <w:rPr>
          <w:sz w:val="38"/>
        </w:rPr>
        <w:t>2008:</w:t>
      </w:r>
      <w:r>
        <w:rPr>
          <w:spacing w:val="-17"/>
          <w:sz w:val="38"/>
        </w:rPr>
        <w:t> </w:t>
      </w:r>
      <w:r>
        <w:rPr>
          <w:sz w:val="38"/>
        </w:rPr>
        <w:t>Approval</w:t>
      </w:r>
      <w:r>
        <w:rPr>
          <w:spacing w:val="-15"/>
          <w:sz w:val="38"/>
        </w:rPr>
        <w:t> </w:t>
      </w:r>
      <w:r>
        <w:rPr>
          <w:sz w:val="38"/>
        </w:rPr>
        <w:t>granted</w:t>
      </w:r>
      <w:r>
        <w:rPr>
          <w:spacing w:val="-15"/>
          <w:sz w:val="38"/>
        </w:rPr>
        <w:t> </w:t>
      </w:r>
      <w:r>
        <w:rPr>
          <w:sz w:val="38"/>
        </w:rPr>
        <w:t>by</w:t>
      </w:r>
      <w:r>
        <w:rPr>
          <w:spacing w:val="-14"/>
          <w:sz w:val="38"/>
        </w:rPr>
        <w:t> </w:t>
      </w:r>
      <w:r>
        <w:rPr>
          <w:sz w:val="38"/>
        </w:rPr>
        <w:t>the</w:t>
      </w:r>
      <w:r>
        <w:rPr>
          <w:spacing w:val="-15"/>
          <w:sz w:val="38"/>
        </w:rPr>
        <w:t> </w:t>
      </w:r>
      <w:r>
        <w:rPr>
          <w:sz w:val="38"/>
        </w:rPr>
        <w:t>Food</w:t>
      </w:r>
      <w:r>
        <w:rPr>
          <w:spacing w:val="-17"/>
          <w:sz w:val="38"/>
        </w:rPr>
        <w:t> </w:t>
      </w:r>
      <w:r>
        <w:rPr>
          <w:sz w:val="38"/>
        </w:rPr>
        <w:t>and</w:t>
      </w:r>
      <w:r>
        <w:rPr>
          <w:spacing w:val="-15"/>
          <w:sz w:val="38"/>
        </w:rPr>
        <w:t> </w:t>
      </w:r>
      <w:r>
        <w:rPr>
          <w:sz w:val="38"/>
        </w:rPr>
        <w:t>Drug</w:t>
      </w:r>
      <w:r>
        <w:rPr>
          <w:spacing w:val="-15"/>
          <w:sz w:val="38"/>
        </w:rPr>
        <w:t> </w:t>
      </w:r>
      <w:r>
        <w:rPr>
          <w:sz w:val="38"/>
        </w:rPr>
        <w:t>Administration in the USA the component Rebaudioside A in sweeteners as a food sup- plement.</w:t>
      </w:r>
    </w:p>
    <w:p>
      <w:pPr>
        <w:pStyle w:val="ListParagraph"/>
        <w:numPr>
          <w:ilvl w:val="2"/>
          <w:numId w:val="122"/>
        </w:numPr>
        <w:tabs>
          <w:tab w:pos="1329" w:val="left" w:leader="none"/>
          <w:tab w:pos="1330" w:val="left" w:leader="none"/>
        </w:tabs>
        <w:spacing w:line="276" w:lineRule="auto" w:before="119" w:after="0"/>
        <w:ind w:left="1329" w:right="135" w:hanging="355"/>
        <w:jc w:val="left"/>
        <w:rPr>
          <w:sz w:val="38"/>
        </w:rPr>
      </w:pPr>
      <w:r>
        <w:rPr>
          <w:sz w:val="38"/>
        </w:rPr>
        <w:t>August</w:t>
      </w:r>
      <w:r>
        <w:rPr>
          <w:spacing w:val="-9"/>
          <w:sz w:val="38"/>
        </w:rPr>
        <w:t> </w:t>
      </w:r>
      <w:r>
        <w:rPr>
          <w:sz w:val="38"/>
        </w:rPr>
        <w:t>2009:</w:t>
      </w:r>
      <w:r>
        <w:rPr>
          <w:spacing w:val="-9"/>
          <w:sz w:val="38"/>
        </w:rPr>
        <w:t> </w:t>
      </w:r>
      <w:r>
        <w:rPr>
          <w:sz w:val="38"/>
        </w:rPr>
        <w:t>France</w:t>
      </w:r>
      <w:r>
        <w:rPr>
          <w:spacing w:val="-8"/>
          <w:sz w:val="38"/>
        </w:rPr>
        <w:t> </w:t>
      </w:r>
      <w:r>
        <w:rPr>
          <w:sz w:val="38"/>
        </w:rPr>
        <w:t>issues</w:t>
      </w:r>
      <w:r>
        <w:rPr>
          <w:spacing w:val="-10"/>
          <w:sz w:val="38"/>
        </w:rPr>
        <w:t> </w:t>
      </w:r>
      <w:r>
        <w:rPr>
          <w:sz w:val="38"/>
        </w:rPr>
        <w:t>a</w:t>
      </w:r>
      <w:r>
        <w:rPr>
          <w:spacing w:val="-9"/>
          <w:sz w:val="38"/>
        </w:rPr>
        <w:t> </w:t>
      </w:r>
      <w:r>
        <w:rPr>
          <w:sz w:val="38"/>
        </w:rPr>
        <w:t>preliminary</w:t>
      </w:r>
      <w:r>
        <w:rPr>
          <w:spacing w:val="-9"/>
          <w:sz w:val="38"/>
        </w:rPr>
        <w:t> </w:t>
      </w:r>
      <w:r>
        <w:rPr>
          <w:sz w:val="38"/>
        </w:rPr>
        <w:t>approval</w:t>
      </w:r>
      <w:r>
        <w:rPr>
          <w:spacing w:val="-11"/>
          <w:sz w:val="38"/>
        </w:rPr>
        <w:t> </w:t>
      </w:r>
      <w:r>
        <w:rPr>
          <w:sz w:val="38"/>
        </w:rPr>
        <w:t>by</w:t>
      </w:r>
      <w:r>
        <w:rPr>
          <w:spacing w:val="-8"/>
          <w:sz w:val="38"/>
        </w:rPr>
        <w:t> </w:t>
      </w:r>
      <w:r>
        <w:rPr>
          <w:sz w:val="38"/>
        </w:rPr>
        <w:t>decree</w:t>
      </w:r>
      <w:r>
        <w:rPr>
          <w:spacing w:val="-9"/>
          <w:sz w:val="38"/>
        </w:rPr>
        <w:t> </w:t>
      </w:r>
      <w:r>
        <w:rPr>
          <w:sz w:val="38"/>
        </w:rPr>
        <w:t>for</w:t>
      </w:r>
      <w:r>
        <w:rPr>
          <w:spacing w:val="-11"/>
          <w:sz w:val="38"/>
        </w:rPr>
        <w:t> </w:t>
      </w:r>
      <w:r>
        <w:rPr>
          <w:sz w:val="38"/>
        </w:rPr>
        <w:t>sweeten- ers from Stevia</w:t>
      </w:r>
      <w:r>
        <w:rPr>
          <w:spacing w:val="-3"/>
          <w:sz w:val="38"/>
        </w:rPr>
        <w:t> </w:t>
      </w:r>
      <w:r>
        <w:rPr>
          <w:sz w:val="38"/>
        </w:rPr>
        <w:t>rebaudiana.</w:t>
      </w:r>
    </w:p>
    <w:p>
      <w:pPr>
        <w:spacing w:after="0" w:line="276" w:lineRule="auto"/>
        <w:jc w:val="left"/>
        <w:rPr>
          <w:sz w:val="38"/>
        </w:rPr>
        <w:sectPr>
          <w:pgSz w:w="14270" w:h="16850"/>
          <w:pgMar w:header="0" w:footer="1891" w:top="1340" w:bottom="2080" w:left="800" w:right="1280"/>
        </w:sectPr>
      </w:pPr>
    </w:p>
    <w:p>
      <w:pPr>
        <w:pStyle w:val="ListParagraph"/>
        <w:numPr>
          <w:ilvl w:val="2"/>
          <w:numId w:val="122"/>
        </w:numPr>
        <w:tabs>
          <w:tab w:pos="1329" w:val="left" w:leader="none"/>
          <w:tab w:pos="1330" w:val="left" w:leader="none"/>
        </w:tabs>
        <w:spacing w:line="276" w:lineRule="auto" w:before="72" w:after="0"/>
        <w:ind w:left="1329" w:right="134" w:hanging="355"/>
        <w:jc w:val="left"/>
        <w:rPr>
          <w:sz w:val="38"/>
        </w:rPr>
      </w:pPr>
      <w:r>
        <w:rPr>
          <w:sz w:val="38"/>
        </w:rPr>
        <w:t>April</w:t>
      </w:r>
      <w:r>
        <w:rPr>
          <w:spacing w:val="-20"/>
          <w:sz w:val="38"/>
        </w:rPr>
        <w:t> </w:t>
      </w:r>
      <w:r>
        <w:rPr>
          <w:sz w:val="38"/>
        </w:rPr>
        <w:t>2010:</w:t>
      </w:r>
      <w:r>
        <w:rPr>
          <w:spacing w:val="-18"/>
          <w:sz w:val="38"/>
        </w:rPr>
        <w:t> </w:t>
      </w:r>
      <w:r>
        <w:rPr>
          <w:sz w:val="38"/>
        </w:rPr>
        <w:t>The</w:t>
      </w:r>
      <w:r>
        <w:rPr>
          <w:spacing w:val="-18"/>
          <w:sz w:val="38"/>
        </w:rPr>
        <w:t> </w:t>
      </w:r>
      <w:r>
        <w:rPr>
          <w:sz w:val="38"/>
        </w:rPr>
        <w:t>European</w:t>
      </w:r>
      <w:r>
        <w:rPr>
          <w:spacing w:val="-19"/>
          <w:sz w:val="38"/>
        </w:rPr>
        <w:t> </w:t>
      </w:r>
      <w:r>
        <w:rPr>
          <w:sz w:val="38"/>
        </w:rPr>
        <w:t>Food</w:t>
      </w:r>
      <w:r>
        <w:rPr>
          <w:spacing w:val="-21"/>
          <w:sz w:val="38"/>
        </w:rPr>
        <w:t> </w:t>
      </w:r>
      <w:r>
        <w:rPr>
          <w:sz w:val="38"/>
        </w:rPr>
        <w:t>Safety</w:t>
      </w:r>
      <w:r>
        <w:rPr>
          <w:spacing w:val="-19"/>
          <w:sz w:val="38"/>
        </w:rPr>
        <w:t> </w:t>
      </w:r>
      <w:r>
        <w:rPr>
          <w:sz w:val="38"/>
        </w:rPr>
        <w:t>Authority</w:t>
      </w:r>
      <w:r>
        <w:rPr>
          <w:spacing w:val="-12"/>
          <w:sz w:val="38"/>
        </w:rPr>
        <w:t> </w:t>
      </w:r>
      <w:r>
        <w:rPr>
          <w:sz w:val="38"/>
        </w:rPr>
        <w:t>classifies</w:t>
      </w:r>
      <w:r>
        <w:rPr>
          <w:spacing w:val="-18"/>
          <w:sz w:val="38"/>
        </w:rPr>
        <w:t> </w:t>
      </w:r>
      <w:r>
        <w:rPr>
          <w:sz w:val="38"/>
        </w:rPr>
        <w:t>up</w:t>
      </w:r>
      <w:r>
        <w:rPr>
          <w:spacing w:val="-18"/>
          <w:sz w:val="38"/>
        </w:rPr>
        <w:t> </w:t>
      </w:r>
      <w:r>
        <w:rPr>
          <w:sz w:val="38"/>
        </w:rPr>
        <w:t>to</w:t>
      </w:r>
      <w:r>
        <w:rPr>
          <w:spacing w:val="-18"/>
          <w:sz w:val="38"/>
        </w:rPr>
        <w:t> </w:t>
      </w:r>
      <w:r>
        <w:rPr>
          <w:sz w:val="38"/>
        </w:rPr>
        <w:t>4</w:t>
      </w:r>
      <w:r>
        <w:rPr>
          <w:spacing w:val="-18"/>
          <w:sz w:val="38"/>
        </w:rPr>
        <w:t> </w:t>
      </w:r>
      <w:r>
        <w:rPr>
          <w:sz w:val="38"/>
        </w:rPr>
        <w:t>mg</w:t>
      </w:r>
      <w:r>
        <w:rPr>
          <w:spacing w:val="-18"/>
          <w:sz w:val="38"/>
        </w:rPr>
        <w:t> </w:t>
      </w:r>
      <w:r>
        <w:rPr>
          <w:sz w:val="38"/>
        </w:rPr>
        <w:t>per day per kg of body weight as</w:t>
      </w:r>
      <w:r>
        <w:rPr>
          <w:spacing w:val="-3"/>
          <w:sz w:val="38"/>
        </w:rPr>
        <w:t> </w:t>
      </w:r>
      <w:r>
        <w:rPr>
          <w:sz w:val="38"/>
        </w:rPr>
        <w:t>harmless.</w:t>
      </w:r>
    </w:p>
    <w:p>
      <w:pPr>
        <w:pStyle w:val="ListParagraph"/>
        <w:numPr>
          <w:ilvl w:val="2"/>
          <w:numId w:val="122"/>
        </w:numPr>
        <w:tabs>
          <w:tab w:pos="1329" w:val="left" w:leader="none"/>
          <w:tab w:pos="1330" w:val="left" w:leader="none"/>
        </w:tabs>
        <w:spacing w:line="276" w:lineRule="auto" w:before="121" w:after="0"/>
        <w:ind w:left="1329" w:right="141" w:hanging="355"/>
        <w:jc w:val="left"/>
        <w:rPr>
          <w:sz w:val="38"/>
        </w:rPr>
      </w:pPr>
      <w:r>
        <w:rPr>
          <w:sz w:val="38"/>
        </w:rPr>
        <w:t>December</w:t>
      </w:r>
      <w:r>
        <w:rPr>
          <w:spacing w:val="-10"/>
          <w:sz w:val="38"/>
        </w:rPr>
        <w:t> </w:t>
      </w:r>
      <w:r>
        <w:rPr>
          <w:sz w:val="38"/>
        </w:rPr>
        <w:t>2011:</w:t>
      </w:r>
      <w:r>
        <w:rPr>
          <w:spacing w:val="-12"/>
          <w:sz w:val="38"/>
        </w:rPr>
        <w:t> </w:t>
      </w:r>
      <w:r>
        <w:rPr>
          <w:sz w:val="38"/>
        </w:rPr>
        <w:t>Stevioside</w:t>
      </w:r>
      <w:r>
        <w:rPr>
          <w:spacing w:val="-10"/>
          <w:sz w:val="38"/>
        </w:rPr>
        <w:t> </w:t>
      </w:r>
      <w:r>
        <w:rPr>
          <w:sz w:val="38"/>
        </w:rPr>
        <w:t>is</w:t>
      </w:r>
      <w:r>
        <w:rPr>
          <w:spacing w:val="-12"/>
          <w:sz w:val="38"/>
        </w:rPr>
        <w:t> </w:t>
      </w:r>
      <w:r>
        <w:rPr>
          <w:sz w:val="38"/>
        </w:rPr>
        <w:t>approved</w:t>
      </w:r>
      <w:r>
        <w:rPr>
          <w:spacing w:val="-9"/>
          <w:sz w:val="38"/>
        </w:rPr>
        <w:t> </w:t>
      </w:r>
      <w:r>
        <w:rPr>
          <w:sz w:val="38"/>
        </w:rPr>
        <w:t>in</w:t>
      </w:r>
      <w:r>
        <w:rPr>
          <w:spacing w:val="-12"/>
          <w:sz w:val="38"/>
        </w:rPr>
        <w:t> </w:t>
      </w:r>
      <w:r>
        <w:rPr>
          <w:sz w:val="38"/>
        </w:rPr>
        <w:t>the</w:t>
      </w:r>
      <w:r>
        <w:rPr>
          <w:spacing w:val="-11"/>
          <w:sz w:val="38"/>
        </w:rPr>
        <w:t> </w:t>
      </w:r>
      <w:r>
        <w:rPr>
          <w:sz w:val="38"/>
        </w:rPr>
        <w:t>EU,</w:t>
      </w:r>
      <w:r>
        <w:rPr>
          <w:spacing w:val="-10"/>
          <w:sz w:val="38"/>
        </w:rPr>
        <w:t> </w:t>
      </w:r>
      <w:r>
        <w:rPr>
          <w:sz w:val="38"/>
        </w:rPr>
        <w:t>stevia</w:t>
      </w:r>
      <w:r>
        <w:rPr>
          <w:spacing w:val="-10"/>
          <w:sz w:val="38"/>
        </w:rPr>
        <w:t> </w:t>
      </w:r>
      <w:r>
        <w:rPr>
          <w:sz w:val="38"/>
        </w:rPr>
        <w:t>remains</w:t>
      </w:r>
      <w:r>
        <w:rPr>
          <w:spacing w:val="-9"/>
          <w:sz w:val="38"/>
        </w:rPr>
        <w:t> </w:t>
      </w:r>
      <w:r>
        <w:rPr>
          <w:sz w:val="38"/>
        </w:rPr>
        <w:t>banned as a</w:t>
      </w:r>
      <w:r>
        <w:rPr>
          <w:spacing w:val="-2"/>
          <w:sz w:val="38"/>
        </w:rPr>
        <w:t> </w:t>
      </w:r>
      <w:r>
        <w:rPr>
          <w:sz w:val="38"/>
        </w:rPr>
        <w:t>foodstuff.</w:t>
      </w:r>
    </w:p>
    <w:p>
      <w:pPr>
        <w:pStyle w:val="Heading2"/>
        <w:spacing w:before="240"/>
        <w:ind w:left="616"/>
      </w:pPr>
      <w:r>
        <w:rPr/>
        <w:t>It's a trap – the stevia lies!</w:t>
      </w:r>
    </w:p>
    <w:p>
      <w:pPr>
        <w:pStyle w:val="BodyText"/>
        <w:spacing w:line="276" w:lineRule="auto" w:before="305"/>
        <w:ind w:left="616" w:right="133"/>
        <w:jc w:val="both"/>
      </w:pPr>
      <w:r>
        <w:rPr/>
        <w:t>Of course, it would be highly atypical if a natural substance which could turn off the tap for the entire sugar lobby in our country were approved without any</w:t>
      </w:r>
      <w:r>
        <w:rPr>
          <w:spacing w:val="-8"/>
        </w:rPr>
        <w:t> </w:t>
      </w:r>
      <w:r>
        <w:rPr/>
        <w:t>difficulty.</w:t>
      </w:r>
      <w:r>
        <w:rPr>
          <w:spacing w:val="-8"/>
        </w:rPr>
        <w:t> </w:t>
      </w:r>
      <w:r>
        <w:rPr/>
        <w:t>As</w:t>
      </w:r>
      <w:r>
        <w:rPr>
          <w:spacing w:val="-8"/>
        </w:rPr>
        <w:t> </w:t>
      </w:r>
      <w:r>
        <w:rPr/>
        <w:t>this</w:t>
      </w:r>
      <w:r>
        <w:rPr>
          <w:spacing w:val="-10"/>
        </w:rPr>
        <w:t> </w:t>
      </w:r>
      <w:r>
        <w:rPr/>
        <w:t>does</w:t>
      </w:r>
      <w:r>
        <w:rPr>
          <w:spacing w:val="-10"/>
        </w:rPr>
        <w:t> </w:t>
      </w:r>
      <w:r>
        <w:rPr/>
        <w:t>not</w:t>
      </w:r>
      <w:r>
        <w:rPr>
          <w:spacing w:val="-11"/>
        </w:rPr>
        <w:t> </w:t>
      </w:r>
      <w:r>
        <w:rPr/>
        <w:t>even</w:t>
      </w:r>
      <w:r>
        <w:rPr>
          <w:spacing w:val="-7"/>
        </w:rPr>
        <w:t> </w:t>
      </w:r>
      <w:r>
        <w:rPr/>
        <w:t>come</w:t>
      </w:r>
      <w:r>
        <w:rPr>
          <w:spacing w:val="-10"/>
        </w:rPr>
        <w:t> </w:t>
      </w:r>
      <w:r>
        <w:rPr/>
        <w:t>close</w:t>
      </w:r>
      <w:r>
        <w:rPr>
          <w:spacing w:val="-11"/>
        </w:rPr>
        <w:t> </w:t>
      </w:r>
      <w:r>
        <w:rPr/>
        <w:t>to</w:t>
      </w:r>
      <w:r>
        <w:rPr>
          <w:spacing w:val="-8"/>
        </w:rPr>
        <w:t> </w:t>
      </w:r>
      <w:r>
        <w:rPr/>
        <w:t>covering</w:t>
      </w:r>
      <w:r>
        <w:rPr>
          <w:spacing w:val="-11"/>
        </w:rPr>
        <w:t> </w:t>
      </w:r>
      <w:r>
        <w:rPr/>
        <w:t>the</w:t>
      </w:r>
      <w:r>
        <w:rPr>
          <w:spacing w:val="-10"/>
        </w:rPr>
        <w:t> </w:t>
      </w:r>
      <w:r>
        <w:rPr/>
        <w:t>industrial</w:t>
      </w:r>
      <w:r>
        <w:rPr>
          <w:spacing w:val="-8"/>
        </w:rPr>
        <w:t> </w:t>
      </w:r>
      <w:r>
        <w:rPr/>
        <w:t>con- duct</w:t>
      </w:r>
      <w:r>
        <w:rPr>
          <w:spacing w:val="-8"/>
        </w:rPr>
        <w:t> </w:t>
      </w:r>
      <w:r>
        <w:rPr/>
        <w:t>of</w:t>
      </w:r>
      <w:r>
        <w:rPr>
          <w:spacing w:val="-7"/>
        </w:rPr>
        <w:t> </w:t>
      </w:r>
      <w:r>
        <w:rPr/>
        <w:t>our</w:t>
      </w:r>
      <w:r>
        <w:rPr>
          <w:spacing w:val="-7"/>
        </w:rPr>
        <w:t> </w:t>
      </w:r>
      <w:r>
        <w:rPr/>
        <w:t>country,</w:t>
      </w:r>
      <w:r>
        <w:rPr>
          <w:spacing w:val="-6"/>
        </w:rPr>
        <w:t> </w:t>
      </w:r>
      <w:r>
        <w:rPr/>
        <w:t>not</w:t>
      </w:r>
      <w:r>
        <w:rPr>
          <w:spacing w:val="-6"/>
        </w:rPr>
        <w:t> </w:t>
      </w:r>
      <w:r>
        <w:rPr/>
        <w:t>to</w:t>
      </w:r>
      <w:r>
        <w:rPr>
          <w:spacing w:val="-6"/>
        </w:rPr>
        <w:t> </w:t>
      </w:r>
      <w:r>
        <w:rPr/>
        <w:t>mention</w:t>
      </w:r>
      <w:r>
        <w:rPr>
          <w:spacing w:val="-6"/>
        </w:rPr>
        <w:t> </w:t>
      </w:r>
      <w:r>
        <w:rPr/>
        <w:t>the</w:t>
      </w:r>
      <w:r>
        <w:rPr>
          <w:spacing w:val="-6"/>
        </w:rPr>
        <w:t> </w:t>
      </w:r>
      <w:r>
        <w:rPr/>
        <w:t>EU,</w:t>
      </w:r>
      <w:r>
        <w:rPr>
          <w:spacing w:val="-6"/>
        </w:rPr>
        <w:t> </w:t>
      </w:r>
      <w:r>
        <w:rPr/>
        <w:t>I</w:t>
      </w:r>
      <w:r>
        <w:rPr>
          <w:spacing w:val="-6"/>
        </w:rPr>
        <w:t> </w:t>
      </w:r>
      <w:r>
        <w:rPr/>
        <w:t>was</w:t>
      </w:r>
      <w:r>
        <w:rPr>
          <w:spacing w:val="-6"/>
        </w:rPr>
        <w:t> </w:t>
      </w:r>
      <w:r>
        <w:rPr/>
        <w:t>already</w:t>
      </w:r>
      <w:r>
        <w:rPr>
          <w:spacing w:val="-7"/>
        </w:rPr>
        <w:t> </w:t>
      </w:r>
      <w:r>
        <w:rPr/>
        <w:t>very</w:t>
      </w:r>
      <w:r>
        <w:rPr>
          <w:spacing w:val="-6"/>
        </w:rPr>
        <w:t> </w:t>
      </w:r>
      <w:r>
        <w:rPr/>
        <w:t>sceptical</w:t>
      </w:r>
      <w:r>
        <w:rPr>
          <w:spacing w:val="-7"/>
        </w:rPr>
        <w:t> </w:t>
      </w:r>
      <w:r>
        <w:rPr/>
        <w:t>when the stevia activists, who have fought for EU approval of stevia as a</w:t>
      </w:r>
      <w:r>
        <w:rPr>
          <w:spacing w:val="-44"/>
        </w:rPr>
        <w:t> </w:t>
      </w:r>
      <w:r>
        <w:rPr/>
        <w:t>nutritional substance for many years, started to</w:t>
      </w:r>
      <w:r>
        <w:rPr>
          <w:spacing w:val="3"/>
        </w:rPr>
        <w:t> </w:t>
      </w:r>
      <w:r>
        <w:rPr/>
        <w:t>rejoice.</w:t>
      </w:r>
    </w:p>
    <w:p>
      <w:pPr>
        <w:pStyle w:val="BodyText"/>
        <w:spacing w:before="240"/>
        <w:ind w:left="616"/>
      </w:pPr>
      <w:r>
        <w:rPr/>
        <w:t>We had done thorough research and ought to have been proven correct!</w:t>
      </w:r>
    </w:p>
    <w:p>
      <w:pPr>
        <w:pStyle w:val="BodyText"/>
        <w:spacing w:line="276" w:lineRule="auto" w:before="305"/>
        <w:ind w:left="616" w:right="128"/>
        <w:jc w:val="both"/>
      </w:pPr>
      <w:r>
        <w:rPr/>
        <w:t>Actually, it was not the healthy 'stevia' plant which they approved, rather a substance</w:t>
      </w:r>
      <w:r>
        <w:rPr>
          <w:spacing w:val="-11"/>
        </w:rPr>
        <w:t> </w:t>
      </w:r>
      <w:r>
        <w:rPr/>
        <w:t>gained</w:t>
      </w:r>
      <w:r>
        <w:rPr>
          <w:spacing w:val="-11"/>
        </w:rPr>
        <w:t> </w:t>
      </w:r>
      <w:r>
        <w:rPr/>
        <w:t>from</w:t>
      </w:r>
      <w:r>
        <w:rPr>
          <w:spacing w:val="-12"/>
        </w:rPr>
        <w:t> </w:t>
      </w:r>
      <w:r>
        <w:rPr/>
        <w:t>an</w:t>
      </w:r>
      <w:r>
        <w:rPr>
          <w:spacing w:val="-14"/>
        </w:rPr>
        <w:t> </w:t>
      </w:r>
      <w:r>
        <w:rPr/>
        <w:t>expensive</w:t>
      </w:r>
      <w:r>
        <w:rPr>
          <w:spacing w:val="-12"/>
        </w:rPr>
        <w:t> </w:t>
      </w:r>
      <w:r>
        <w:rPr/>
        <w:t>chemical</w:t>
      </w:r>
      <w:r>
        <w:rPr>
          <w:spacing w:val="-12"/>
        </w:rPr>
        <w:t> </w:t>
      </w:r>
      <w:r>
        <w:rPr/>
        <w:t>industrial</w:t>
      </w:r>
      <w:r>
        <w:rPr>
          <w:spacing w:val="-13"/>
        </w:rPr>
        <w:t> </w:t>
      </w:r>
      <w:r>
        <w:rPr/>
        <w:t>process</w:t>
      </w:r>
      <w:r>
        <w:rPr>
          <w:spacing w:val="-13"/>
        </w:rPr>
        <w:t> </w:t>
      </w:r>
      <w:r>
        <w:rPr/>
        <w:t>with</w:t>
      </w:r>
      <w:r>
        <w:rPr>
          <w:spacing w:val="-11"/>
        </w:rPr>
        <w:t> </w:t>
      </w:r>
      <w:r>
        <w:rPr/>
        <w:t>the</w:t>
      </w:r>
      <w:r>
        <w:rPr>
          <w:spacing w:val="-11"/>
        </w:rPr>
        <w:t> </w:t>
      </w:r>
      <w:r>
        <w:rPr/>
        <w:t>name 'steviol glycoside' and the identifier E960 for the sweetener which was created artificially in a laboratory which the EU Commission had</w:t>
      </w:r>
      <w:r>
        <w:rPr>
          <w:spacing w:val="-10"/>
        </w:rPr>
        <w:t> </w:t>
      </w:r>
      <w:r>
        <w:rPr/>
        <w:t>approved.</w:t>
      </w:r>
    </w:p>
    <w:p>
      <w:pPr>
        <w:pStyle w:val="BodyText"/>
        <w:spacing w:line="276" w:lineRule="auto" w:before="239"/>
        <w:ind w:left="616" w:right="135"/>
        <w:jc w:val="both"/>
      </w:pPr>
      <w:r>
        <w:rPr/>
        <w:t>An innocent by-stander might think this seems relatively harmless, if it were not the fact that steviol glycoside is harmful to health and hardly different to the previously described poison 'aspartame'. Chemicals, solvents and dyes are used</w:t>
      </w:r>
      <w:r>
        <w:rPr>
          <w:spacing w:val="-11"/>
        </w:rPr>
        <w:t> </w:t>
      </w:r>
      <w:r>
        <w:rPr/>
        <w:t>in</w:t>
      </w:r>
      <w:r>
        <w:rPr>
          <w:spacing w:val="-10"/>
        </w:rPr>
        <w:t> </w:t>
      </w:r>
      <w:r>
        <w:rPr/>
        <w:t>the</w:t>
      </w:r>
      <w:r>
        <w:rPr>
          <w:spacing w:val="-12"/>
        </w:rPr>
        <w:t> </w:t>
      </w:r>
      <w:r>
        <w:rPr/>
        <w:t>manufacture</w:t>
      </w:r>
      <w:r>
        <w:rPr>
          <w:spacing w:val="-10"/>
        </w:rPr>
        <w:t> </w:t>
      </w:r>
      <w:r>
        <w:rPr/>
        <w:t>and,</w:t>
      </w:r>
      <w:r>
        <w:rPr>
          <w:spacing w:val="-10"/>
        </w:rPr>
        <w:t> </w:t>
      </w:r>
      <w:r>
        <w:rPr/>
        <w:t>because</w:t>
      </w:r>
      <w:r>
        <w:rPr>
          <w:spacing w:val="-11"/>
        </w:rPr>
        <w:t> </w:t>
      </w:r>
      <w:r>
        <w:rPr/>
        <w:t>steviol</w:t>
      </w:r>
      <w:r>
        <w:rPr>
          <w:spacing w:val="-10"/>
        </w:rPr>
        <w:t> </w:t>
      </w:r>
      <w:r>
        <w:rPr/>
        <w:t>glycoside</w:t>
      </w:r>
      <w:r>
        <w:rPr>
          <w:spacing w:val="-10"/>
        </w:rPr>
        <w:t> </w:t>
      </w:r>
      <w:r>
        <w:rPr/>
        <w:t>has</w:t>
      </w:r>
      <w:r>
        <w:rPr>
          <w:spacing w:val="-12"/>
        </w:rPr>
        <w:t> </w:t>
      </w:r>
      <w:r>
        <w:rPr/>
        <w:t>a</w:t>
      </w:r>
      <w:r>
        <w:rPr>
          <w:spacing w:val="-11"/>
        </w:rPr>
        <w:t> </w:t>
      </w:r>
      <w:r>
        <w:rPr/>
        <w:t>bitter</w:t>
      </w:r>
      <w:r>
        <w:rPr>
          <w:spacing w:val="-9"/>
        </w:rPr>
        <w:t> </w:t>
      </w:r>
      <w:r>
        <w:rPr/>
        <w:t>aftertaste,</w:t>
      </w:r>
      <w:r>
        <w:rPr>
          <w:spacing w:val="-10"/>
        </w:rPr>
        <w:t> </w:t>
      </w:r>
      <w:r>
        <w:rPr/>
        <w:t>it</w:t>
      </w:r>
    </w:p>
    <w:p>
      <w:pPr>
        <w:spacing w:after="0" w:line="276" w:lineRule="auto"/>
        <w:jc w:val="both"/>
        <w:sectPr>
          <w:footerReference w:type="default" r:id="rId373"/>
          <w:pgSz w:w="14270" w:h="16850"/>
          <w:pgMar w:footer="404" w:header="0" w:top="1340" w:bottom="600" w:left="800" w:right="1280"/>
          <w:pgNumType w:start="1580"/>
        </w:sectPr>
      </w:pPr>
    </w:p>
    <w:p>
      <w:pPr>
        <w:pStyle w:val="BodyText"/>
        <w:spacing w:before="72"/>
        <w:ind w:left="616"/>
        <w:rPr>
          <w:sz w:val="25"/>
        </w:rPr>
      </w:pPr>
      <w:r>
        <w:rPr/>
        <w:t>is first mixed with sugar, sugar substitutes and sweeteners!!</w:t>
      </w:r>
      <w:r>
        <w:rPr>
          <w:position w:val="9"/>
          <w:sz w:val="25"/>
        </w:rPr>
        <w:t>885</w:t>
      </w:r>
    </w:p>
    <w:p>
      <w:pPr>
        <w:pStyle w:val="BodyText"/>
        <w:spacing w:line="276" w:lineRule="auto" w:before="304"/>
        <w:ind w:left="616" w:right="138"/>
        <w:jc w:val="both"/>
      </w:pPr>
      <w:r>
        <w:rPr/>
        <w:t>This supposed 'stevia' has little in common with the natural, healthy 'stevia' plant and can cause complications in cancer treatments! Incidentally, stevia leaves continue to be excluded from this questionable EU approval!</w:t>
      </w:r>
    </w:p>
    <w:p>
      <w:pPr>
        <w:pStyle w:val="BodyText"/>
        <w:spacing w:line="276" w:lineRule="auto" w:before="241"/>
        <w:ind w:left="616" w:right="139"/>
        <w:jc w:val="both"/>
      </w:pPr>
      <w:r>
        <w:rPr/>
        <w:t>With a little luck, you can buy a stevia plant at a weekly market where it is declared as an ornamental plant.</w:t>
      </w:r>
    </w:p>
    <w:p>
      <w:pPr>
        <w:pStyle w:val="BodyText"/>
        <w:spacing w:line="276" w:lineRule="auto" w:before="239"/>
        <w:ind w:left="616" w:right="143"/>
        <w:jc w:val="both"/>
      </w:pPr>
      <w:r>
        <w:rPr/>
        <w:t>15 g of stevia leaves costs about 6 Dollar or 5 euros, 100 g between 7 Dollar or and 8 euros.</w:t>
      </w:r>
    </w:p>
    <w:p>
      <w:pPr>
        <w:pStyle w:val="BodyText"/>
        <w:rPr>
          <w:sz w:val="42"/>
        </w:rPr>
      </w:pPr>
    </w:p>
    <w:p>
      <w:pPr>
        <w:pStyle w:val="Heading2"/>
        <w:spacing w:before="261"/>
        <w:ind w:left="616"/>
      </w:pPr>
      <w:r>
        <w:rPr/>
        <w:t>Is stevia healthy or just harmless?</w:t>
      </w:r>
    </w:p>
    <w:p>
      <w:pPr>
        <w:pStyle w:val="BodyText"/>
        <w:spacing w:line="276" w:lineRule="auto" w:before="304"/>
        <w:ind w:left="616" w:right="134"/>
        <w:jc w:val="both"/>
      </w:pPr>
      <w:r>
        <w:rPr/>
        <w:t>The</w:t>
      </w:r>
      <w:r>
        <w:rPr>
          <w:spacing w:val="-24"/>
        </w:rPr>
        <w:t> </w:t>
      </w:r>
      <w:r>
        <w:rPr/>
        <w:t>astounding</w:t>
      </w:r>
      <w:r>
        <w:rPr>
          <w:spacing w:val="-26"/>
        </w:rPr>
        <w:t> </w:t>
      </w:r>
      <w:r>
        <w:rPr/>
        <w:t>sweetening</w:t>
      </w:r>
      <w:r>
        <w:rPr>
          <w:spacing w:val="-24"/>
        </w:rPr>
        <w:t> </w:t>
      </w:r>
      <w:r>
        <w:rPr/>
        <w:t>properties</w:t>
      </w:r>
      <w:r>
        <w:rPr>
          <w:spacing w:val="-24"/>
        </w:rPr>
        <w:t> </w:t>
      </w:r>
      <w:r>
        <w:rPr/>
        <w:t>explained</w:t>
      </w:r>
      <w:r>
        <w:rPr>
          <w:spacing w:val="-23"/>
        </w:rPr>
        <w:t> </w:t>
      </w:r>
      <w:r>
        <w:rPr/>
        <w:t>in</w:t>
      </w:r>
      <w:r>
        <w:rPr>
          <w:spacing w:val="-24"/>
        </w:rPr>
        <w:t> </w:t>
      </w:r>
      <w:r>
        <w:rPr/>
        <w:t>the</w:t>
      </w:r>
      <w:r>
        <w:rPr>
          <w:spacing w:val="-25"/>
        </w:rPr>
        <w:t> </w:t>
      </w:r>
      <w:r>
        <w:rPr/>
        <w:t>section</w:t>
      </w:r>
      <w:r>
        <w:rPr>
          <w:spacing w:val="-25"/>
        </w:rPr>
        <w:t> </w:t>
      </w:r>
      <w:r>
        <w:rPr/>
        <w:t>'What</w:t>
      </w:r>
      <w:r>
        <w:rPr>
          <w:spacing w:val="-25"/>
        </w:rPr>
        <w:t> </w:t>
      </w:r>
      <w:r>
        <w:rPr/>
        <w:t>is</w:t>
      </w:r>
      <w:r>
        <w:rPr>
          <w:spacing w:val="-26"/>
        </w:rPr>
        <w:t> </w:t>
      </w:r>
      <w:r>
        <w:rPr/>
        <w:t>stevia?', which are around 300 to 400 times greater than in our unhealthy household sugar and are much sweeter than the conventional, artificial sugar substitutes, is already an argument in itself to switch to</w:t>
      </w:r>
      <w:r>
        <w:rPr>
          <w:spacing w:val="-2"/>
        </w:rPr>
        <w:t> </w:t>
      </w:r>
      <w:r>
        <w:rPr/>
        <w:t>stevia.</w:t>
      </w:r>
    </w:p>
    <w:p>
      <w:pPr>
        <w:pStyle w:val="BodyText"/>
        <w:spacing w:line="276" w:lineRule="auto" w:before="242"/>
        <w:ind w:left="616" w:right="137"/>
        <w:jc w:val="both"/>
      </w:pPr>
      <w:r>
        <w:rPr/>
        <w:t>While</w:t>
      </w:r>
      <w:r>
        <w:rPr>
          <w:spacing w:val="-26"/>
        </w:rPr>
        <w:t> </w:t>
      </w:r>
      <w:r>
        <w:rPr/>
        <w:t>normal</w:t>
      </w:r>
      <w:r>
        <w:rPr>
          <w:spacing w:val="-25"/>
        </w:rPr>
        <w:t> </w:t>
      </w:r>
      <w:r>
        <w:rPr/>
        <w:t>household</w:t>
      </w:r>
      <w:r>
        <w:rPr>
          <w:spacing w:val="-25"/>
        </w:rPr>
        <w:t> </w:t>
      </w:r>
      <w:r>
        <w:rPr/>
        <w:t>sugar</w:t>
      </w:r>
      <w:r>
        <w:rPr>
          <w:spacing w:val="-24"/>
        </w:rPr>
        <w:t> </w:t>
      </w:r>
      <w:r>
        <w:rPr/>
        <w:t>has</w:t>
      </w:r>
      <w:r>
        <w:rPr>
          <w:spacing w:val="-23"/>
        </w:rPr>
        <w:t> </w:t>
      </w:r>
      <w:r>
        <w:rPr/>
        <w:t>rightly</w:t>
      </w:r>
      <w:r>
        <w:rPr>
          <w:spacing w:val="-25"/>
        </w:rPr>
        <w:t> </w:t>
      </w:r>
      <w:r>
        <w:rPr/>
        <w:t>earned</w:t>
      </w:r>
      <w:r>
        <w:rPr>
          <w:spacing w:val="-23"/>
        </w:rPr>
        <w:t> </w:t>
      </w:r>
      <w:r>
        <w:rPr/>
        <w:t>itself</w:t>
      </w:r>
      <w:r>
        <w:rPr>
          <w:spacing w:val="-24"/>
        </w:rPr>
        <w:t> </w:t>
      </w:r>
      <w:r>
        <w:rPr/>
        <w:t>the</w:t>
      </w:r>
      <w:r>
        <w:rPr>
          <w:spacing w:val="-23"/>
        </w:rPr>
        <w:t> </w:t>
      </w:r>
      <w:r>
        <w:rPr/>
        <w:t>name</w:t>
      </w:r>
      <w:r>
        <w:rPr>
          <w:spacing w:val="-23"/>
        </w:rPr>
        <w:t> </w:t>
      </w:r>
      <w:r>
        <w:rPr/>
        <w:t>'white</w:t>
      </w:r>
      <w:r>
        <w:rPr>
          <w:spacing w:val="-26"/>
        </w:rPr>
        <w:t> </w:t>
      </w:r>
      <w:r>
        <w:rPr/>
        <w:t>poison', stevia is not only harmless, it also has many health</w:t>
      </w:r>
      <w:r>
        <w:rPr>
          <w:spacing w:val="-6"/>
        </w:rPr>
        <w:t> </w:t>
      </w:r>
      <w:r>
        <w:rPr/>
        <w:t>benefits.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3"/>
        </w:rPr>
      </w:pPr>
      <w:r>
        <w:rPr/>
        <w:pict>
          <v:line style="position:absolute;mso-position-horizontal-relative:page;mso-position-vertical-relative:paragraph;z-index:12344;mso-wrap-distance-left:0;mso-wrap-distance-right:0" from="70.823997pt,9.858765pt" to="214.843997pt,9.858765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885 </w:t>
      </w:r>
      <w:hyperlink r:id="rId374">
        <w:r>
          <w:rPr>
            <w:sz w:val="20"/>
          </w:rPr>
          <w:t>http://lichtweltverlag.blogspot.de/2012/05/stevia-betrug-e960-jjk.html</w:t>
        </w:r>
      </w:hyperlink>
    </w:p>
    <w:p>
      <w:pPr>
        <w:spacing w:after="0"/>
        <w:jc w:val="left"/>
        <w:rPr>
          <w:sz w:val="20"/>
        </w:rPr>
        <w:sectPr>
          <w:pgSz w:w="14270" w:h="16850"/>
          <w:pgMar w:header="0" w:footer="404" w:top="1340" w:bottom="2080" w:left="800" w:right="1280"/>
        </w:sectPr>
      </w:pPr>
    </w:p>
    <w:p>
      <w:pPr>
        <w:pStyle w:val="Heading1"/>
        <w:spacing w:line="261" w:lineRule="auto" w:before="77"/>
        <w:ind w:left="616" w:right="138"/>
        <w:jc w:val="both"/>
      </w:pPr>
      <w:r>
        <w:rPr/>
        <w:t>The benefits of stevia as a sugar substitute compared to sugar and sweeteners</w:t>
      </w:r>
    </w:p>
    <w:p>
      <w:pPr>
        <w:pStyle w:val="BodyText"/>
        <w:spacing w:line="276" w:lineRule="auto" w:before="258"/>
        <w:ind w:left="616" w:right="133"/>
        <w:jc w:val="both"/>
      </w:pPr>
      <w:r>
        <w:rPr/>
        <w:t>The</w:t>
      </w:r>
      <w:r>
        <w:rPr>
          <w:spacing w:val="-6"/>
        </w:rPr>
        <w:t> </w:t>
      </w:r>
      <w:r>
        <w:rPr/>
        <w:t>biggest</w:t>
      </w:r>
      <w:r>
        <w:rPr>
          <w:spacing w:val="-8"/>
        </w:rPr>
        <w:t> </w:t>
      </w:r>
      <w:r>
        <w:rPr/>
        <w:t>advantage</w:t>
      </w:r>
      <w:r>
        <w:rPr>
          <w:spacing w:val="-7"/>
        </w:rPr>
        <w:t> </w:t>
      </w:r>
      <w:r>
        <w:rPr/>
        <w:t>of</w:t>
      </w:r>
      <w:r>
        <w:rPr>
          <w:spacing w:val="-7"/>
        </w:rPr>
        <w:t> </w:t>
      </w:r>
      <w:r>
        <w:rPr/>
        <w:t>stevia</w:t>
      </w:r>
      <w:r>
        <w:rPr>
          <w:spacing w:val="-7"/>
        </w:rPr>
        <w:t> </w:t>
      </w:r>
      <w:r>
        <w:rPr/>
        <w:t>is</w:t>
      </w:r>
      <w:r>
        <w:rPr>
          <w:spacing w:val="-6"/>
        </w:rPr>
        <w:t> </w:t>
      </w:r>
      <w:r>
        <w:rPr/>
        <w:t>in</w:t>
      </w:r>
      <w:r>
        <w:rPr>
          <w:spacing w:val="-9"/>
        </w:rPr>
        <w:t> </w:t>
      </w:r>
      <w:r>
        <w:rPr/>
        <w:t>the</w:t>
      </w:r>
      <w:r>
        <w:rPr>
          <w:spacing w:val="-8"/>
        </w:rPr>
        <w:t> </w:t>
      </w:r>
      <w:r>
        <w:rPr/>
        <w:t>prevention</w:t>
      </w:r>
      <w:r>
        <w:rPr>
          <w:spacing w:val="-5"/>
        </w:rPr>
        <w:t> </w:t>
      </w:r>
      <w:r>
        <w:rPr/>
        <w:t>of</w:t>
      </w:r>
      <w:r>
        <w:rPr>
          <w:spacing w:val="-9"/>
        </w:rPr>
        <w:t> </w:t>
      </w:r>
      <w:r>
        <w:rPr/>
        <w:t>diseases</w:t>
      </w:r>
      <w:r>
        <w:rPr>
          <w:spacing w:val="-9"/>
        </w:rPr>
        <w:t> </w:t>
      </w:r>
      <w:r>
        <w:rPr/>
        <w:t>that</w:t>
      </w:r>
      <w:r>
        <w:rPr>
          <w:spacing w:val="-8"/>
        </w:rPr>
        <w:t> </w:t>
      </w:r>
      <w:r>
        <w:rPr/>
        <w:t>are</w:t>
      </w:r>
      <w:r>
        <w:rPr>
          <w:spacing w:val="-7"/>
        </w:rPr>
        <w:t> </w:t>
      </w:r>
      <w:r>
        <w:rPr/>
        <w:t>caused by the high consumption of household sugar as well as the relief of diseases associated with blood sugar level such as diabetes.</w:t>
      </w:r>
    </w:p>
    <w:p>
      <w:pPr>
        <w:pStyle w:val="BodyText"/>
        <w:rPr>
          <w:sz w:val="42"/>
        </w:rPr>
      </w:pPr>
    </w:p>
    <w:p>
      <w:pPr>
        <w:pStyle w:val="BodyText"/>
        <w:rPr>
          <w:sz w:val="43"/>
        </w:rPr>
      </w:pPr>
    </w:p>
    <w:p>
      <w:pPr>
        <w:pStyle w:val="Heading1"/>
        <w:spacing w:line="391" w:lineRule="auto" w:before="0"/>
        <w:ind w:left="616" w:right="3192"/>
      </w:pPr>
      <w:r>
        <w:rPr/>
        <w:t>The</w:t>
      </w:r>
      <w:r>
        <w:rPr>
          <w:spacing w:val="-56"/>
        </w:rPr>
        <w:t> </w:t>
      </w:r>
      <w:r>
        <w:rPr/>
        <w:t>most</w:t>
      </w:r>
      <w:r>
        <w:rPr>
          <w:spacing w:val="-56"/>
        </w:rPr>
        <w:t> </w:t>
      </w:r>
      <w:r>
        <w:rPr/>
        <w:t>important</w:t>
      </w:r>
      <w:r>
        <w:rPr>
          <w:spacing w:val="-57"/>
        </w:rPr>
        <w:t> </w:t>
      </w:r>
      <w:r>
        <w:rPr/>
        <w:t>advantages</w:t>
      </w:r>
      <w:r>
        <w:rPr>
          <w:spacing w:val="-55"/>
        </w:rPr>
        <w:t> </w:t>
      </w:r>
      <w:r>
        <w:rPr/>
        <w:t>of</w:t>
      </w:r>
      <w:r>
        <w:rPr>
          <w:spacing w:val="-57"/>
        </w:rPr>
        <w:t> </w:t>
      </w:r>
      <w:r>
        <w:rPr/>
        <w:t>stevia</w:t>
      </w:r>
      <w:r>
        <w:rPr>
          <w:spacing w:val="-55"/>
        </w:rPr>
        <w:t> </w:t>
      </w:r>
      <w:r>
        <w:rPr/>
        <w:t>at</w:t>
      </w:r>
      <w:r>
        <w:rPr>
          <w:spacing w:val="-55"/>
        </w:rPr>
        <w:t> </w:t>
      </w:r>
      <w:r>
        <w:rPr/>
        <w:t>a</w:t>
      </w:r>
      <w:r>
        <w:rPr>
          <w:spacing w:val="-56"/>
        </w:rPr>
        <w:t> </w:t>
      </w:r>
      <w:r>
        <w:rPr/>
        <w:t>glance General</w:t>
      </w:r>
    </w:p>
    <w:p>
      <w:pPr>
        <w:pStyle w:val="ListParagraph"/>
        <w:numPr>
          <w:ilvl w:val="0"/>
          <w:numId w:val="123"/>
        </w:numPr>
        <w:tabs>
          <w:tab w:pos="1329" w:val="left" w:leader="none"/>
          <w:tab w:pos="1330" w:val="left" w:leader="none"/>
        </w:tabs>
        <w:spacing w:line="430" w:lineRule="exact" w:before="0" w:after="0"/>
        <w:ind w:left="1329" w:right="0" w:hanging="355"/>
        <w:jc w:val="left"/>
        <w:rPr>
          <w:sz w:val="38"/>
        </w:rPr>
      </w:pPr>
      <w:r>
        <w:rPr>
          <w:sz w:val="38"/>
        </w:rPr>
        <w:t>The sweetening agent in stevia, stevioside, has practically no</w:t>
      </w:r>
      <w:r>
        <w:rPr>
          <w:spacing w:val="-12"/>
          <w:sz w:val="38"/>
        </w:rPr>
        <w:t> </w:t>
      </w:r>
      <w:r>
        <w:rPr>
          <w:sz w:val="38"/>
        </w:rPr>
        <w:t>calories.</w:t>
      </w:r>
    </w:p>
    <w:p>
      <w:pPr>
        <w:pStyle w:val="ListParagraph"/>
        <w:numPr>
          <w:ilvl w:val="0"/>
          <w:numId w:val="123"/>
        </w:numPr>
        <w:tabs>
          <w:tab w:pos="1329" w:val="left" w:leader="none"/>
          <w:tab w:pos="1330" w:val="left" w:leader="none"/>
        </w:tabs>
        <w:spacing w:line="240" w:lineRule="auto" w:before="184" w:after="0"/>
        <w:ind w:left="1329" w:right="0" w:hanging="355"/>
        <w:jc w:val="left"/>
        <w:rPr>
          <w:sz w:val="38"/>
        </w:rPr>
      </w:pPr>
      <w:r>
        <w:rPr>
          <w:sz w:val="38"/>
        </w:rPr>
        <w:t>Stevia is a product from Mother Nature and completely</w:t>
      </w:r>
      <w:r>
        <w:rPr>
          <w:spacing w:val="-14"/>
          <w:sz w:val="38"/>
        </w:rPr>
        <w:t> </w:t>
      </w:r>
      <w:r>
        <w:rPr>
          <w:sz w:val="38"/>
        </w:rPr>
        <w:t>non-synthetic.</w:t>
      </w:r>
    </w:p>
    <w:p>
      <w:pPr>
        <w:pStyle w:val="ListParagraph"/>
        <w:numPr>
          <w:ilvl w:val="0"/>
          <w:numId w:val="123"/>
        </w:numPr>
        <w:tabs>
          <w:tab w:pos="1329" w:val="left" w:leader="none"/>
          <w:tab w:pos="1330" w:val="left" w:leader="none"/>
        </w:tabs>
        <w:spacing w:line="240" w:lineRule="auto" w:before="183" w:after="0"/>
        <w:ind w:left="1329" w:right="0" w:hanging="355"/>
        <w:jc w:val="left"/>
        <w:rPr>
          <w:sz w:val="38"/>
        </w:rPr>
      </w:pPr>
      <w:r>
        <w:rPr>
          <w:sz w:val="38"/>
        </w:rPr>
        <w:t>Stevia is neither poisonous nor harmful to</w:t>
      </w:r>
      <w:r>
        <w:rPr>
          <w:spacing w:val="-5"/>
          <w:sz w:val="38"/>
        </w:rPr>
        <w:t> </w:t>
      </w:r>
      <w:r>
        <w:rPr>
          <w:sz w:val="38"/>
        </w:rPr>
        <w:t>health.</w:t>
      </w:r>
    </w:p>
    <w:p>
      <w:pPr>
        <w:pStyle w:val="ListParagraph"/>
        <w:numPr>
          <w:ilvl w:val="0"/>
          <w:numId w:val="123"/>
        </w:numPr>
        <w:tabs>
          <w:tab w:pos="1329" w:val="left" w:leader="none"/>
          <w:tab w:pos="1330" w:val="left" w:leader="none"/>
        </w:tabs>
        <w:spacing w:line="240" w:lineRule="auto" w:before="184" w:after="0"/>
        <w:ind w:left="1329" w:right="0" w:hanging="355"/>
        <w:jc w:val="left"/>
        <w:rPr>
          <w:sz w:val="38"/>
        </w:rPr>
      </w:pPr>
      <w:r>
        <w:rPr>
          <w:sz w:val="38"/>
        </w:rPr>
        <w:t>Stevia does not require</w:t>
      </w:r>
      <w:r>
        <w:rPr>
          <w:spacing w:val="-1"/>
          <w:sz w:val="38"/>
        </w:rPr>
        <w:t> </w:t>
      </w:r>
      <w:r>
        <w:rPr>
          <w:sz w:val="38"/>
        </w:rPr>
        <w:t>fermentation.</w:t>
      </w:r>
    </w:p>
    <w:p>
      <w:pPr>
        <w:pStyle w:val="ListParagraph"/>
        <w:numPr>
          <w:ilvl w:val="0"/>
          <w:numId w:val="123"/>
        </w:numPr>
        <w:tabs>
          <w:tab w:pos="1329" w:val="left" w:leader="none"/>
          <w:tab w:pos="1330" w:val="left" w:leader="none"/>
        </w:tabs>
        <w:spacing w:line="240" w:lineRule="auto" w:before="184" w:after="0"/>
        <w:ind w:left="1329" w:right="0" w:hanging="355"/>
        <w:jc w:val="left"/>
        <w:rPr>
          <w:sz w:val="38"/>
        </w:rPr>
      </w:pPr>
      <w:r>
        <w:rPr>
          <w:sz w:val="38"/>
        </w:rPr>
        <w:t>Stevia is a flavour enhancer and is not addictive (ideal for</w:t>
      </w:r>
      <w:r>
        <w:rPr>
          <w:spacing w:val="-15"/>
          <w:sz w:val="38"/>
        </w:rPr>
        <w:t> </w:t>
      </w:r>
      <w:r>
        <w:rPr>
          <w:sz w:val="38"/>
        </w:rPr>
        <w:t>children).</w:t>
      </w:r>
    </w:p>
    <w:p>
      <w:pPr>
        <w:pStyle w:val="ListParagraph"/>
        <w:numPr>
          <w:ilvl w:val="0"/>
          <w:numId w:val="123"/>
        </w:numPr>
        <w:tabs>
          <w:tab w:pos="1329" w:val="left" w:leader="none"/>
          <w:tab w:pos="1330" w:val="left" w:leader="none"/>
        </w:tabs>
        <w:spacing w:line="240" w:lineRule="auto" w:before="186" w:after="0"/>
        <w:ind w:left="1329" w:right="0" w:hanging="355"/>
        <w:jc w:val="left"/>
        <w:rPr>
          <w:sz w:val="38"/>
        </w:rPr>
      </w:pPr>
      <w:r>
        <w:rPr>
          <w:sz w:val="38"/>
        </w:rPr>
        <w:t>Stevia is stable up to a temperature of 200</w:t>
      </w:r>
      <w:r>
        <w:rPr>
          <w:spacing w:val="4"/>
          <w:sz w:val="38"/>
        </w:rPr>
        <w:t> </w:t>
      </w:r>
      <w:r>
        <w:rPr>
          <w:sz w:val="38"/>
        </w:rPr>
        <w:t>°C.</w:t>
      </w:r>
    </w:p>
    <w:p>
      <w:pPr>
        <w:pStyle w:val="ListParagraph"/>
        <w:numPr>
          <w:ilvl w:val="0"/>
          <w:numId w:val="123"/>
        </w:numPr>
        <w:tabs>
          <w:tab w:pos="1329" w:val="left" w:leader="none"/>
          <w:tab w:pos="1330" w:val="left" w:leader="none"/>
        </w:tabs>
        <w:spacing w:line="240" w:lineRule="auto" w:before="184" w:after="0"/>
        <w:ind w:left="1329" w:right="0" w:hanging="355"/>
        <w:jc w:val="left"/>
        <w:rPr>
          <w:sz w:val="38"/>
        </w:rPr>
      </w:pPr>
      <w:r>
        <w:rPr>
          <w:sz w:val="38"/>
        </w:rPr>
        <w:t>Due to its high level of sweetness, only very small amounts are</w:t>
      </w:r>
      <w:r>
        <w:rPr>
          <w:spacing w:val="-29"/>
          <w:sz w:val="38"/>
        </w:rPr>
        <w:t> </w:t>
      </w:r>
      <w:r>
        <w:rPr>
          <w:sz w:val="38"/>
        </w:rPr>
        <w:t>required.</w:t>
      </w:r>
    </w:p>
    <w:p>
      <w:pPr>
        <w:pStyle w:val="ListParagraph"/>
        <w:numPr>
          <w:ilvl w:val="0"/>
          <w:numId w:val="123"/>
        </w:numPr>
        <w:tabs>
          <w:tab w:pos="1329" w:val="left" w:leader="none"/>
          <w:tab w:pos="1330" w:val="left" w:leader="none"/>
        </w:tabs>
        <w:spacing w:line="240" w:lineRule="auto" w:before="183" w:after="0"/>
        <w:ind w:left="1329" w:right="0" w:hanging="355"/>
        <w:jc w:val="left"/>
        <w:rPr>
          <w:sz w:val="38"/>
        </w:rPr>
      </w:pPr>
      <w:r>
        <w:rPr>
          <w:sz w:val="38"/>
        </w:rPr>
        <w:t>Stevia aids</w:t>
      </w:r>
      <w:r>
        <w:rPr>
          <w:spacing w:val="-1"/>
          <w:sz w:val="38"/>
        </w:rPr>
        <w:t> </w:t>
      </w:r>
      <w:r>
        <w:rPr>
          <w:sz w:val="38"/>
        </w:rPr>
        <w:t>digestion.</w:t>
      </w:r>
    </w:p>
    <w:p>
      <w:pPr>
        <w:pStyle w:val="ListParagraph"/>
        <w:numPr>
          <w:ilvl w:val="0"/>
          <w:numId w:val="123"/>
        </w:numPr>
        <w:tabs>
          <w:tab w:pos="1329" w:val="left" w:leader="none"/>
          <w:tab w:pos="1330" w:val="left" w:leader="none"/>
        </w:tabs>
        <w:spacing w:line="240" w:lineRule="auto" w:before="184" w:after="0"/>
        <w:ind w:left="1329" w:right="0" w:hanging="355"/>
        <w:jc w:val="left"/>
        <w:rPr>
          <w:sz w:val="38"/>
        </w:rPr>
      </w:pPr>
      <w:r>
        <w:rPr>
          <w:sz w:val="38"/>
        </w:rPr>
        <w:t>Stevia is suitable for</w:t>
      </w:r>
      <w:r>
        <w:rPr>
          <w:spacing w:val="4"/>
          <w:sz w:val="38"/>
        </w:rPr>
        <w:t> </w:t>
      </w:r>
      <w:r>
        <w:rPr>
          <w:sz w:val="38"/>
        </w:rPr>
        <w:t>diabetics.</w:t>
      </w:r>
    </w:p>
    <w:p>
      <w:pPr>
        <w:pStyle w:val="ListParagraph"/>
        <w:numPr>
          <w:ilvl w:val="0"/>
          <w:numId w:val="123"/>
        </w:numPr>
        <w:tabs>
          <w:tab w:pos="1329" w:val="left" w:leader="none"/>
          <w:tab w:pos="1330" w:val="left" w:leader="none"/>
        </w:tabs>
        <w:spacing w:line="273" w:lineRule="auto" w:before="184" w:after="0"/>
        <w:ind w:left="1329" w:right="138" w:hanging="355"/>
        <w:jc w:val="left"/>
        <w:rPr>
          <w:sz w:val="38"/>
        </w:rPr>
      </w:pPr>
      <w:r>
        <w:rPr>
          <w:sz w:val="38"/>
        </w:rPr>
        <w:t>It is accepted that regular consumption of stevia stems the desire for sweets and fatty foods.</w:t>
      </w:r>
    </w:p>
    <w:p>
      <w:pPr>
        <w:spacing w:after="0" w:line="273" w:lineRule="auto"/>
        <w:jc w:val="left"/>
        <w:rPr>
          <w:sz w:val="38"/>
        </w:rPr>
        <w:sectPr>
          <w:pgSz w:w="14270" w:h="16850"/>
          <w:pgMar w:header="0" w:footer="404" w:top="1320" w:bottom="2080" w:left="800" w:right="1280"/>
        </w:sectPr>
      </w:pPr>
    </w:p>
    <w:p>
      <w:pPr>
        <w:pStyle w:val="ListParagraph"/>
        <w:numPr>
          <w:ilvl w:val="0"/>
          <w:numId w:val="123"/>
        </w:numPr>
        <w:tabs>
          <w:tab w:pos="1329" w:val="left" w:leader="none"/>
          <w:tab w:pos="1330" w:val="left" w:leader="none"/>
        </w:tabs>
        <w:spacing w:line="240" w:lineRule="auto" w:before="53" w:after="0"/>
        <w:ind w:left="1329" w:right="0" w:hanging="355"/>
        <w:jc w:val="left"/>
        <w:rPr>
          <w:sz w:val="38"/>
        </w:rPr>
      </w:pPr>
      <w:r>
        <w:rPr>
          <w:sz w:val="38"/>
        </w:rPr>
        <w:t>Stevia is said to suppress the desire for tobacco and</w:t>
      </w:r>
      <w:r>
        <w:rPr>
          <w:spacing w:val="-6"/>
          <w:sz w:val="38"/>
        </w:rPr>
        <w:t> </w:t>
      </w:r>
      <w:r>
        <w:rPr>
          <w:sz w:val="38"/>
        </w:rPr>
        <w:t>alcohol.</w:t>
      </w:r>
    </w:p>
    <w:p>
      <w:pPr>
        <w:pStyle w:val="Heading1"/>
        <w:spacing w:line="261" w:lineRule="auto" w:before="288"/>
        <w:ind w:left="616"/>
      </w:pPr>
      <w:r>
        <w:rPr/>
        <w:t>Stevia</w:t>
      </w:r>
      <w:r>
        <w:rPr>
          <w:spacing w:val="-65"/>
        </w:rPr>
        <w:t> </w:t>
      </w:r>
      <w:r>
        <w:rPr/>
        <w:t>is</w:t>
      </w:r>
      <w:r>
        <w:rPr>
          <w:spacing w:val="-65"/>
        </w:rPr>
        <w:t> </w:t>
      </w:r>
      <w:r>
        <w:rPr/>
        <w:t>purported</w:t>
      </w:r>
      <w:r>
        <w:rPr>
          <w:spacing w:val="-65"/>
        </w:rPr>
        <w:t> </w:t>
      </w:r>
      <w:r>
        <w:rPr/>
        <w:t>to</w:t>
      </w:r>
      <w:r>
        <w:rPr>
          <w:spacing w:val="-65"/>
        </w:rPr>
        <w:t> </w:t>
      </w:r>
      <w:r>
        <w:rPr/>
        <w:t>have</w:t>
      </w:r>
      <w:r>
        <w:rPr>
          <w:spacing w:val="-65"/>
        </w:rPr>
        <w:t> </w:t>
      </w:r>
      <w:r>
        <w:rPr/>
        <w:t>the</w:t>
      </w:r>
      <w:r>
        <w:rPr>
          <w:spacing w:val="-65"/>
        </w:rPr>
        <w:t> </w:t>
      </w:r>
      <w:r>
        <w:rPr/>
        <w:t>following</w:t>
      </w:r>
      <w:r>
        <w:rPr>
          <w:spacing w:val="-65"/>
        </w:rPr>
        <w:t> </w:t>
      </w:r>
      <w:r>
        <w:rPr/>
        <w:t>benefits</w:t>
      </w:r>
      <w:r>
        <w:rPr>
          <w:spacing w:val="-64"/>
        </w:rPr>
        <w:t> </w:t>
      </w:r>
      <w:r>
        <w:rPr/>
        <w:t>from</w:t>
      </w:r>
      <w:r>
        <w:rPr>
          <w:spacing w:val="-65"/>
        </w:rPr>
        <w:t> </w:t>
      </w:r>
      <w:r>
        <w:rPr/>
        <w:t>a</w:t>
      </w:r>
      <w:r>
        <w:rPr>
          <w:spacing w:val="-64"/>
        </w:rPr>
        <w:t> </w:t>
      </w:r>
      <w:r>
        <w:rPr/>
        <w:t>health</w:t>
      </w:r>
      <w:r>
        <w:rPr>
          <w:spacing w:val="-65"/>
        </w:rPr>
        <w:t> </w:t>
      </w:r>
      <w:r>
        <w:rPr/>
        <w:t>perspec- tive:</w:t>
      </w:r>
    </w:p>
    <w:p>
      <w:pPr>
        <w:pStyle w:val="ListParagraph"/>
        <w:numPr>
          <w:ilvl w:val="0"/>
          <w:numId w:val="123"/>
        </w:numPr>
        <w:tabs>
          <w:tab w:pos="1329" w:val="left" w:leader="none"/>
          <w:tab w:pos="1330" w:val="left" w:leader="none"/>
        </w:tabs>
        <w:spacing w:line="273" w:lineRule="auto" w:before="221" w:after="0"/>
        <w:ind w:left="1329" w:right="139" w:hanging="355"/>
        <w:jc w:val="left"/>
        <w:rPr>
          <w:sz w:val="38"/>
        </w:rPr>
      </w:pPr>
      <w:r>
        <w:rPr>
          <w:sz w:val="38"/>
        </w:rPr>
        <w:t>Protection from cardiovascular disease (highest cause of death in indus- trialised</w:t>
      </w:r>
      <w:r>
        <w:rPr>
          <w:spacing w:val="-1"/>
          <w:sz w:val="38"/>
        </w:rPr>
        <w:t> </w:t>
      </w:r>
      <w:r>
        <w:rPr>
          <w:sz w:val="38"/>
        </w:rPr>
        <w:t>countries)</w:t>
      </w:r>
    </w:p>
    <w:p>
      <w:pPr>
        <w:pStyle w:val="ListParagraph"/>
        <w:numPr>
          <w:ilvl w:val="0"/>
          <w:numId w:val="123"/>
        </w:numPr>
        <w:tabs>
          <w:tab w:pos="1329" w:val="left" w:leader="none"/>
          <w:tab w:pos="1330" w:val="left" w:leader="none"/>
        </w:tabs>
        <w:spacing w:line="240" w:lineRule="auto" w:before="127" w:after="0"/>
        <w:ind w:left="1329" w:right="0" w:hanging="355"/>
        <w:jc w:val="left"/>
        <w:rPr>
          <w:sz w:val="38"/>
        </w:rPr>
      </w:pPr>
      <w:r>
        <w:rPr>
          <w:sz w:val="38"/>
        </w:rPr>
        <w:t>Positive influence on the blood sugar level (important for</w:t>
      </w:r>
      <w:r>
        <w:rPr>
          <w:spacing w:val="-11"/>
          <w:sz w:val="38"/>
        </w:rPr>
        <w:t> </w:t>
      </w:r>
      <w:r>
        <w:rPr>
          <w:sz w:val="38"/>
        </w:rPr>
        <w:t>diabetics)</w:t>
      </w:r>
    </w:p>
    <w:p>
      <w:pPr>
        <w:pStyle w:val="ListParagraph"/>
        <w:numPr>
          <w:ilvl w:val="0"/>
          <w:numId w:val="123"/>
        </w:numPr>
        <w:tabs>
          <w:tab w:pos="1329" w:val="left" w:leader="none"/>
          <w:tab w:pos="1330" w:val="left" w:leader="none"/>
        </w:tabs>
        <w:spacing w:line="240" w:lineRule="auto" w:before="184" w:after="0"/>
        <w:ind w:left="1329" w:right="0" w:hanging="355"/>
        <w:jc w:val="left"/>
        <w:rPr>
          <w:sz w:val="38"/>
        </w:rPr>
      </w:pPr>
      <w:r>
        <w:rPr>
          <w:sz w:val="38"/>
        </w:rPr>
        <w:t>Aids</w:t>
      </w:r>
      <w:r>
        <w:rPr>
          <w:spacing w:val="-1"/>
          <w:sz w:val="38"/>
        </w:rPr>
        <w:t> </w:t>
      </w:r>
      <w:r>
        <w:rPr>
          <w:sz w:val="38"/>
        </w:rPr>
        <w:t>digestion</w:t>
      </w:r>
    </w:p>
    <w:p>
      <w:pPr>
        <w:pStyle w:val="ListParagraph"/>
        <w:numPr>
          <w:ilvl w:val="0"/>
          <w:numId w:val="123"/>
        </w:numPr>
        <w:tabs>
          <w:tab w:pos="1329" w:val="left" w:leader="none"/>
          <w:tab w:pos="1330" w:val="left" w:leader="none"/>
        </w:tabs>
        <w:spacing w:line="240" w:lineRule="auto" w:before="184" w:after="0"/>
        <w:ind w:left="1329" w:right="0" w:hanging="355"/>
        <w:jc w:val="left"/>
        <w:rPr>
          <w:sz w:val="38"/>
        </w:rPr>
      </w:pPr>
      <w:r>
        <w:rPr>
          <w:sz w:val="38"/>
        </w:rPr>
        <w:t>Regulates weight, helps with weight</w:t>
      </w:r>
      <w:r>
        <w:rPr>
          <w:spacing w:val="1"/>
          <w:sz w:val="38"/>
        </w:rPr>
        <w:t> </w:t>
      </w:r>
      <w:r>
        <w:rPr>
          <w:sz w:val="38"/>
        </w:rPr>
        <w:t>loss</w:t>
      </w:r>
    </w:p>
    <w:p>
      <w:pPr>
        <w:pStyle w:val="ListParagraph"/>
        <w:numPr>
          <w:ilvl w:val="0"/>
          <w:numId w:val="123"/>
        </w:numPr>
        <w:tabs>
          <w:tab w:pos="1329" w:val="left" w:leader="none"/>
          <w:tab w:pos="1330" w:val="left" w:leader="none"/>
        </w:tabs>
        <w:spacing w:line="240" w:lineRule="auto" w:before="183" w:after="0"/>
        <w:ind w:left="1329" w:right="0" w:hanging="355"/>
        <w:jc w:val="left"/>
        <w:rPr>
          <w:sz w:val="38"/>
        </w:rPr>
      </w:pPr>
      <w:r>
        <w:rPr>
          <w:sz w:val="38"/>
        </w:rPr>
        <w:t>Impedes infections</w:t>
      </w:r>
    </w:p>
    <w:p>
      <w:pPr>
        <w:pStyle w:val="ListParagraph"/>
        <w:numPr>
          <w:ilvl w:val="0"/>
          <w:numId w:val="123"/>
        </w:numPr>
        <w:tabs>
          <w:tab w:pos="1329" w:val="left" w:leader="none"/>
          <w:tab w:pos="1330" w:val="left" w:leader="none"/>
        </w:tabs>
        <w:spacing w:line="240" w:lineRule="auto" w:before="186" w:after="0"/>
        <w:ind w:left="1329" w:right="0" w:hanging="355"/>
        <w:jc w:val="left"/>
        <w:rPr>
          <w:sz w:val="38"/>
        </w:rPr>
      </w:pPr>
      <w:r>
        <w:rPr>
          <w:sz w:val="38"/>
        </w:rPr>
        <w:t>Anti-bacterial</w:t>
      </w:r>
      <w:r>
        <w:rPr>
          <w:spacing w:val="-2"/>
          <w:sz w:val="38"/>
        </w:rPr>
        <w:t> </w:t>
      </w:r>
      <w:r>
        <w:rPr>
          <w:sz w:val="38"/>
        </w:rPr>
        <w:t>effect</w:t>
      </w:r>
    </w:p>
    <w:p>
      <w:pPr>
        <w:pStyle w:val="ListParagraph"/>
        <w:numPr>
          <w:ilvl w:val="0"/>
          <w:numId w:val="123"/>
        </w:numPr>
        <w:tabs>
          <w:tab w:pos="1329" w:val="left" w:leader="none"/>
          <w:tab w:pos="1330" w:val="left" w:leader="none"/>
        </w:tabs>
        <w:spacing w:line="240" w:lineRule="auto" w:before="184" w:after="0"/>
        <w:ind w:left="1329" w:right="0" w:hanging="355"/>
        <w:jc w:val="left"/>
        <w:rPr>
          <w:sz w:val="38"/>
        </w:rPr>
      </w:pPr>
      <w:r>
        <w:rPr>
          <w:sz w:val="38"/>
        </w:rPr>
        <w:t>Inhibits the growth of</w:t>
      </w:r>
      <w:r>
        <w:rPr>
          <w:spacing w:val="3"/>
          <w:sz w:val="38"/>
        </w:rPr>
        <w:t> </w:t>
      </w:r>
      <w:r>
        <w:rPr>
          <w:sz w:val="38"/>
        </w:rPr>
        <w:t>fungi</w:t>
      </w:r>
    </w:p>
    <w:p>
      <w:pPr>
        <w:pStyle w:val="ListParagraph"/>
        <w:numPr>
          <w:ilvl w:val="0"/>
          <w:numId w:val="123"/>
        </w:numPr>
        <w:tabs>
          <w:tab w:pos="1329" w:val="left" w:leader="none"/>
          <w:tab w:pos="1330" w:val="left" w:leader="none"/>
        </w:tabs>
        <w:spacing w:line="240" w:lineRule="auto" w:before="184" w:after="0"/>
        <w:ind w:left="1329" w:right="0" w:hanging="355"/>
        <w:jc w:val="left"/>
        <w:rPr>
          <w:sz w:val="38"/>
        </w:rPr>
      </w:pPr>
      <w:r>
        <w:rPr>
          <w:sz w:val="38"/>
        </w:rPr>
        <w:t>Blood pressure-lowering effect without affecting normal blood</w:t>
      </w:r>
      <w:r>
        <w:rPr>
          <w:spacing w:val="-17"/>
          <w:sz w:val="38"/>
        </w:rPr>
        <w:t> </w:t>
      </w:r>
      <w:r>
        <w:rPr>
          <w:sz w:val="38"/>
        </w:rPr>
        <w:t>pressure</w:t>
      </w:r>
    </w:p>
    <w:p>
      <w:pPr>
        <w:pStyle w:val="ListParagraph"/>
        <w:numPr>
          <w:ilvl w:val="0"/>
          <w:numId w:val="123"/>
        </w:numPr>
        <w:tabs>
          <w:tab w:pos="1329" w:val="left" w:leader="none"/>
          <w:tab w:pos="1330" w:val="left" w:leader="none"/>
        </w:tabs>
        <w:spacing w:line="240" w:lineRule="auto" w:before="183" w:after="0"/>
        <w:ind w:left="1329" w:right="0" w:hanging="355"/>
        <w:jc w:val="left"/>
        <w:rPr>
          <w:sz w:val="38"/>
        </w:rPr>
      </w:pPr>
      <w:r>
        <w:rPr>
          <w:sz w:val="38"/>
        </w:rPr>
        <w:t>Boosts immune system thanks to chlorophyll and vitamin C</w:t>
      </w:r>
      <w:r>
        <w:rPr>
          <w:spacing w:val="-9"/>
          <w:sz w:val="38"/>
        </w:rPr>
        <w:t> </w:t>
      </w:r>
      <w:r>
        <w:rPr>
          <w:sz w:val="38"/>
        </w:rPr>
        <w:t>content</w:t>
      </w:r>
    </w:p>
    <w:p>
      <w:pPr>
        <w:pStyle w:val="ListParagraph"/>
        <w:numPr>
          <w:ilvl w:val="0"/>
          <w:numId w:val="123"/>
        </w:numPr>
        <w:tabs>
          <w:tab w:pos="1329" w:val="left" w:leader="none"/>
          <w:tab w:pos="1330" w:val="left" w:leader="none"/>
        </w:tabs>
        <w:spacing w:line="240" w:lineRule="auto" w:before="184" w:after="0"/>
        <w:ind w:left="1329" w:right="0" w:hanging="355"/>
        <w:jc w:val="left"/>
        <w:rPr>
          <w:sz w:val="38"/>
        </w:rPr>
      </w:pPr>
      <w:r>
        <w:rPr>
          <w:sz w:val="38"/>
        </w:rPr>
        <w:t>Impedes infections</w:t>
      </w:r>
    </w:p>
    <w:p>
      <w:pPr>
        <w:pStyle w:val="ListParagraph"/>
        <w:numPr>
          <w:ilvl w:val="0"/>
          <w:numId w:val="123"/>
        </w:numPr>
        <w:tabs>
          <w:tab w:pos="1329" w:val="left" w:leader="none"/>
          <w:tab w:pos="1330" w:val="left" w:leader="none"/>
        </w:tabs>
        <w:spacing w:line="240" w:lineRule="auto" w:before="186" w:after="0"/>
        <w:ind w:left="1329" w:right="0" w:hanging="355"/>
        <w:jc w:val="left"/>
        <w:rPr>
          <w:sz w:val="38"/>
        </w:rPr>
      </w:pPr>
      <w:r>
        <w:rPr>
          <w:sz w:val="38"/>
        </w:rPr>
        <w:t>Calming effect on the stomach and</w:t>
      </w:r>
      <w:r>
        <w:rPr>
          <w:spacing w:val="2"/>
          <w:sz w:val="38"/>
        </w:rPr>
        <w:t> </w:t>
      </w:r>
      <w:r>
        <w:rPr>
          <w:sz w:val="38"/>
        </w:rPr>
        <w:t>intestine</w:t>
      </w:r>
    </w:p>
    <w:p>
      <w:pPr>
        <w:pStyle w:val="ListParagraph"/>
        <w:numPr>
          <w:ilvl w:val="0"/>
          <w:numId w:val="123"/>
        </w:numPr>
        <w:tabs>
          <w:tab w:pos="1329" w:val="left" w:leader="none"/>
          <w:tab w:pos="1330" w:val="left" w:leader="none"/>
        </w:tabs>
        <w:spacing w:line="240" w:lineRule="auto" w:before="184" w:after="0"/>
        <w:ind w:left="1329" w:right="0" w:hanging="355"/>
        <w:jc w:val="left"/>
        <w:rPr>
          <w:sz w:val="38"/>
        </w:rPr>
      </w:pPr>
      <w:r>
        <w:rPr>
          <w:sz w:val="38"/>
        </w:rPr>
        <w:t>Combats symptoms of fatigue and states of</w:t>
      </w:r>
      <w:r>
        <w:rPr>
          <w:spacing w:val="-3"/>
          <w:sz w:val="38"/>
        </w:rPr>
        <w:t> </w:t>
      </w:r>
      <w:r>
        <w:rPr>
          <w:sz w:val="38"/>
        </w:rPr>
        <w:t>exhaustion</w:t>
      </w:r>
    </w:p>
    <w:p>
      <w:pPr>
        <w:pStyle w:val="ListParagraph"/>
        <w:numPr>
          <w:ilvl w:val="0"/>
          <w:numId w:val="123"/>
        </w:numPr>
        <w:tabs>
          <w:tab w:pos="1329" w:val="left" w:leader="none"/>
          <w:tab w:pos="1330" w:val="left" w:leader="none"/>
        </w:tabs>
        <w:spacing w:line="240" w:lineRule="auto" w:before="183" w:after="0"/>
        <w:ind w:left="1329" w:right="0" w:hanging="355"/>
        <w:jc w:val="left"/>
        <w:rPr>
          <w:sz w:val="38"/>
        </w:rPr>
      </w:pPr>
      <w:r>
        <w:rPr>
          <w:sz w:val="38"/>
        </w:rPr>
        <w:t>As a face mask (see below), stevia combats acne, dermatitis and</w:t>
      </w:r>
      <w:r>
        <w:rPr>
          <w:spacing w:val="-15"/>
          <w:sz w:val="38"/>
        </w:rPr>
        <w:t> </w:t>
      </w:r>
      <w:r>
        <w:rPr>
          <w:sz w:val="38"/>
        </w:rPr>
        <w:t>eczema</w:t>
      </w:r>
    </w:p>
    <w:p>
      <w:pPr>
        <w:pStyle w:val="ListParagraph"/>
        <w:numPr>
          <w:ilvl w:val="0"/>
          <w:numId w:val="123"/>
        </w:numPr>
        <w:tabs>
          <w:tab w:pos="1329" w:val="left" w:leader="none"/>
          <w:tab w:pos="1330" w:val="left" w:leader="none"/>
        </w:tabs>
        <w:spacing w:line="240" w:lineRule="auto" w:before="185" w:after="0"/>
        <w:ind w:left="1329" w:right="0" w:hanging="355"/>
        <w:jc w:val="left"/>
        <w:rPr>
          <w:sz w:val="38"/>
        </w:rPr>
      </w:pPr>
      <w:r>
        <w:rPr>
          <w:sz w:val="38"/>
        </w:rPr>
        <w:t>Prophylaxis against</w:t>
      </w:r>
      <w:r>
        <w:rPr>
          <w:spacing w:val="-1"/>
          <w:sz w:val="38"/>
        </w:rPr>
        <w:t> </w:t>
      </w:r>
      <w:r>
        <w:rPr>
          <w:sz w:val="38"/>
        </w:rPr>
        <w:t>caries</w:t>
      </w:r>
    </w:p>
    <w:p>
      <w:pPr>
        <w:pStyle w:val="ListParagraph"/>
        <w:numPr>
          <w:ilvl w:val="0"/>
          <w:numId w:val="123"/>
        </w:numPr>
        <w:tabs>
          <w:tab w:pos="1329" w:val="left" w:leader="none"/>
          <w:tab w:pos="1330" w:val="left" w:leader="none"/>
        </w:tabs>
        <w:spacing w:line="240" w:lineRule="auto" w:before="183" w:after="0"/>
        <w:ind w:left="1329" w:right="0" w:hanging="355"/>
        <w:jc w:val="left"/>
        <w:rPr>
          <w:sz w:val="38"/>
        </w:rPr>
      </w:pPr>
      <w:r>
        <w:rPr>
          <w:sz w:val="38"/>
        </w:rPr>
        <w:t>Strengthens</w:t>
      </w:r>
      <w:r>
        <w:rPr>
          <w:spacing w:val="50"/>
          <w:sz w:val="38"/>
        </w:rPr>
        <w:t> </w:t>
      </w:r>
      <w:r>
        <w:rPr>
          <w:sz w:val="38"/>
        </w:rPr>
        <w:t>the</w:t>
      </w:r>
      <w:r>
        <w:rPr>
          <w:spacing w:val="51"/>
          <w:sz w:val="38"/>
        </w:rPr>
        <w:t> </w:t>
      </w:r>
      <w:r>
        <w:rPr>
          <w:sz w:val="38"/>
        </w:rPr>
        <w:t>immune</w:t>
      </w:r>
      <w:r>
        <w:rPr>
          <w:spacing w:val="53"/>
          <w:sz w:val="38"/>
        </w:rPr>
        <w:t> </w:t>
      </w:r>
      <w:r>
        <w:rPr>
          <w:sz w:val="38"/>
        </w:rPr>
        <w:t>system</w:t>
      </w:r>
      <w:r>
        <w:rPr>
          <w:spacing w:val="52"/>
          <w:sz w:val="38"/>
        </w:rPr>
        <w:t> </w:t>
      </w:r>
      <w:r>
        <w:rPr>
          <w:sz w:val="38"/>
        </w:rPr>
        <w:t>(due</w:t>
      </w:r>
      <w:r>
        <w:rPr>
          <w:spacing w:val="53"/>
          <w:sz w:val="38"/>
        </w:rPr>
        <w:t> </w:t>
      </w:r>
      <w:r>
        <w:rPr>
          <w:sz w:val="38"/>
        </w:rPr>
        <w:t>to</w:t>
      </w:r>
      <w:r>
        <w:rPr>
          <w:spacing w:val="54"/>
          <w:sz w:val="38"/>
        </w:rPr>
        <w:t> </w:t>
      </w:r>
      <w:r>
        <w:rPr>
          <w:sz w:val="38"/>
        </w:rPr>
        <w:t>vitamin</w:t>
      </w:r>
      <w:r>
        <w:rPr>
          <w:spacing w:val="52"/>
          <w:sz w:val="38"/>
        </w:rPr>
        <w:t> </w:t>
      </w:r>
      <w:r>
        <w:rPr>
          <w:sz w:val="38"/>
        </w:rPr>
        <w:t>C,</w:t>
      </w:r>
      <w:r>
        <w:rPr>
          <w:spacing w:val="52"/>
          <w:sz w:val="38"/>
        </w:rPr>
        <w:t> </w:t>
      </w:r>
      <w:r>
        <w:rPr>
          <w:sz w:val="38"/>
        </w:rPr>
        <w:t>numerous</w:t>
      </w:r>
      <w:r>
        <w:rPr>
          <w:spacing w:val="52"/>
          <w:sz w:val="38"/>
        </w:rPr>
        <w:t> </w:t>
      </w:r>
      <w:r>
        <w:rPr>
          <w:sz w:val="38"/>
        </w:rPr>
        <w:t>mineral</w:t>
      </w:r>
    </w:p>
    <w:p>
      <w:pPr>
        <w:spacing w:after="0" w:line="240" w:lineRule="auto"/>
        <w:jc w:val="left"/>
        <w:rPr>
          <w:sz w:val="38"/>
        </w:rPr>
        <w:sectPr>
          <w:pgSz w:w="14270" w:h="16850"/>
          <w:pgMar w:header="0" w:footer="404" w:top="1360" w:bottom="2080" w:left="800" w:right="1280"/>
        </w:sectPr>
      </w:pPr>
    </w:p>
    <w:p>
      <w:pPr>
        <w:pStyle w:val="BodyText"/>
        <w:spacing w:before="72"/>
        <w:ind w:left="1329"/>
      </w:pPr>
      <w:r>
        <w:rPr/>
        <w:t>substances and trace elements)</w:t>
      </w:r>
    </w:p>
    <w:p>
      <w:pPr>
        <w:pStyle w:val="Heading2"/>
        <w:spacing w:before="304"/>
        <w:ind w:left="616"/>
      </w:pPr>
      <w:r>
        <w:rPr/>
        <w:t>Stevia as a perfect sugar substitute for diabetes</w:t>
      </w:r>
    </w:p>
    <w:p>
      <w:pPr>
        <w:pStyle w:val="BodyText"/>
        <w:spacing w:before="307"/>
        <w:ind w:left="616"/>
      </w:pPr>
      <w:r>
        <w:rPr/>
        <w:t>What makes stevia so different that it does not harm diabetics like sugar does?</w:t>
      </w:r>
    </w:p>
    <w:p>
      <w:pPr>
        <w:pStyle w:val="BodyText"/>
        <w:spacing w:line="276" w:lineRule="auto" w:before="302"/>
        <w:ind w:left="616" w:right="130"/>
        <w:jc w:val="both"/>
      </w:pPr>
      <w:r>
        <w:rPr/>
        <w:t>Unlike sugar, stevia is not absorbed through the intestinal wall and not con- verted</w:t>
      </w:r>
      <w:r>
        <w:rPr>
          <w:spacing w:val="-6"/>
        </w:rPr>
        <w:t> </w:t>
      </w:r>
      <w:r>
        <w:rPr/>
        <w:t>by</w:t>
      </w:r>
      <w:r>
        <w:rPr>
          <w:spacing w:val="-6"/>
        </w:rPr>
        <w:t> </w:t>
      </w:r>
      <w:r>
        <w:rPr/>
        <w:t>enzymes</w:t>
      </w:r>
      <w:r>
        <w:rPr>
          <w:spacing w:val="-6"/>
        </w:rPr>
        <w:t> </w:t>
      </w:r>
      <w:r>
        <w:rPr/>
        <w:t>in</w:t>
      </w:r>
      <w:r>
        <w:rPr>
          <w:spacing w:val="-7"/>
        </w:rPr>
        <w:t> </w:t>
      </w:r>
      <w:r>
        <w:rPr/>
        <w:t>the</w:t>
      </w:r>
      <w:r>
        <w:rPr>
          <w:spacing w:val="-8"/>
        </w:rPr>
        <w:t> </w:t>
      </w:r>
      <w:r>
        <w:rPr/>
        <w:t>gastrointestinal</w:t>
      </w:r>
      <w:r>
        <w:rPr>
          <w:spacing w:val="-6"/>
        </w:rPr>
        <w:t> </w:t>
      </w:r>
      <w:r>
        <w:rPr/>
        <w:t>channel</w:t>
      </w:r>
      <w:r>
        <w:rPr>
          <w:spacing w:val="-7"/>
        </w:rPr>
        <w:t> </w:t>
      </w:r>
      <w:r>
        <w:rPr/>
        <w:t>as</w:t>
      </w:r>
      <w:r>
        <w:rPr>
          <w:spacing w:val="-7"/>
        </w:rPr>
        <w:t> </w:t>
      </w:r>
      <w:r>
        <w:rPr/>
        <w:t>the</w:t>
      </w:r>
      <w:r>
        <w:rPr>
          <w:spacing w:val="-6"/>
        </w:rPr>
        <w:t> </w:t>
      </w:r>
      <w:r>
        <w:rPr/>
        <w:t>sugar</w:t>
      </w:r>
      <w:r>
        <w:rPr>
          <w:spacing w:val="-6"/>
        </w:rPr>
        <w:t> </w:t>
      </w:r>
      <w:r>
        <w:rPr/>
        <w:t>bonds</w:t>
      </w:r>
      <w:r>
        <w:rPr>
          <w:spacing w:val="-5"/>
        </w:rPr>
        <w:t> </w:t>
      </w:r>
      <w:r>
        <w:rPr/>
        <w:t>in</w:t>
      </w:r>
      <w:r>
        <w:rPr>
          <w:spacing w:val="-7"/>
        </w:rPr>
        <w:t> </w:t>
      </w:r>
      <w:r>
        <w:rPr/>
        <w:t>stevio- side are ß-glucoside bonds. Instead, stevioside is turned into steviol and sugar by bacteria in the large</w:t>
      </w:r>
      <w:r>
        <w:rPr>
          <w:spacing w:val="1"/>
        </w:rPr>
        <w:t> </w:t>
      </w:r>
      <w:r>
        <w:rPr/>
        <w:t>intestine.</w:t>
      </w:r>
    </w:p>
    <w:p>
      <w:pPr>
        <w:pStyle w:val="BodyText"/>
        <w:spacing w:line="276" w:lineRule="auto" w:before="242"/>
        <w:ind w:left="616" w:right="134"/>
        <w:jc w:val="both"/>
      </w:pPr>
      <w:r>
        <w:rPr/>
        <w:t>However, in order to replace the average 150 g of sugar a German consumes each day with stevioside, 400 mg of stevioside would be required and only approx. 200 mg of glucose would make its way into the circulatory system. However, the body only absorbs 1/3 of the amount of glucose, which would leave us with about 70 mg per day which is, of course, absolutely negligible.</w:t>
      </w:r>
    </w:p>
    <w:p>
      <w:pPr>
        <w:pStyle w:val="Heading2"/>
        <w:spacing w:before="240"/>
        <w:ind w:left="616"/>
      </w:pPr>
      <w:r>
        <w:rPr/>
        <w:t>What ingredients/active substances make stevia so healthy?</w:t>
      </w:r>
    </w:p>
    <w:p>
      <w:pPr>
        <w:pStyle w:val="BodyText"/>
        <w:spacing w:line="276" w:lineRule="auto" w:before="305"/>
        <w:ind w:left="616" w:right="137"/>
        <w:jc w:val="both"/>
      </w:pPr>
      <w:r>
        <w:rPr/>
        <w:t>It is the synergetic effect of the vitamins found in stevia (almost all B and C vitamins as co-vitamins from OPC and others), trace elements, alkaloids and diterpenes.</w:t>
      </w:r>
    </w:p>
    <w:p>
      <w:pPr>
        <w:spacing w:after="0" w:line="276" w:lineRule="auto"/>
        <w:jc w:val="both"/>
        <w:sectPr>
          <w:pgSz w:w="14270" w:h="16850"/>
          <w:pgMar w:header="0" w:footer="404" w:top="1340" w:bottom="2080" w:left="800" w:right="1280"/>
        </w:sectPr>
      </w:pPr>
    </w:p>
    <w:p>
      <w:pPr>
        <w:pStyle w:val="Heading2"/>
        <w:spacing w:before="74"/>
        <w:ind w:left="616"/>
        <w:jc w:val="both"/>
      </w:pPr>
      <w:r>
        <w:rPr/>
        <w:t>Why is sugar unhealthy and what are the effects?</w:t>
      </w:r>
    </w:p>
    <w:p>
      <w:pPr>
        <w:pStyle w:val="BodyText"/>
        <w:spacing w:line="276" w:lineRule="auto" w:before="302"/>
        <w:ind w:left="616" w:right="133"/>
        <w:jc w:val="both"/>
      </w:pPr>
      <w:r>
        <w:rPr/>
        <w:t>People</w:t>
      </w:r>
      <w:r>
        <w:rPr>
          <w:spacing w:val="-14"/>
        </w:rPr>
        <w:t> </w:t>
      </w:r>
      <w:r>
        <w:rPr/>
        <w:t>in</w:t>
      </w:r>
      <w:r>
        <w:rPr>
          <w:spacing w:val="-14"/>
        </w:rPr>
        <w:t> </w:t>
      </w:r>
      <w:r>
        <w:rPr/>
        <w:t>industrialized</w:t>
      </w:r>
      <w:r>
        <w:rPr>
          <w:spacing w:val="-14"/>
        </w:rPr>
        <w:t> </w:t>
      </w:r>
      <w:r>
        <w:rPr/>
        <w:t>countries</w:t>
      </w:r>
      <w:r>
        <w:rPr>
          <w:spacing w:val="-12"/>
        </w:rPr>
        <w:t> </w:t>
      </w:r>
      <w:r>
        <w:rPr/>
        <w:t>consume</w:t>
      </w:r>
      <w:r>
        <w:rPr>
          <w:spacing w:val="-13"/>
        </w:rPr>
        <w:t> </w:t>
      </w:r>
      <w:r>
        <w:rPr/>
        <w:t>approx.</w:t>
      </w:r>
      <w:r>
        <w:rPr>
          <w:spacing w:val="-14"/>
        </w:rPr>
        <w:t> </w:t>
      </w:r>
      <w:r>
        <w:rPr/>
        <w:t>110</w:t>
      </w:r>
      <w:r>
        <w:rPr>
          <w:spacing w:val="-15"/>
        </w:rPr>
        <w:t> </w:t>
      </w:r>
      <w:r>
        <w:rPr/>
        <w:t>pounds</w:t>
      </w:r>
      <w:r>
        <w:rPr>
          <w:spacing w:val="-15"/>
        </w:rPr>
        <w:t> </w:t>
      </w:r>
      <w:r>
        <w:rPr/>
        <w:t>of</w:t>
      </w:r>
      <w:r>
        <w:rPr>
          <w:spacing w:val="-14"/>
        </w:rPr>
        <w:t> </w:t>
      </w:r>
      <w:r>
        <w:rPr/>
        <w:t>sugar</w:t>
      </w:r>
      <w:r>
        <w:rPr>
          <w:spacing w:val="-13"/>
        </w:rPr>
        <w:t> </w:t>
      </w:r>
      <w:r>
        <w:rPr/>
        <w:t>a</w:t>
      </w:r>
      <w:r>
        <w:rPr>
          <w:spacing w:val="-15"/>
        </w:rPr>
        <w:t> </w:t>
      </w:r>
      <w:r>
        <w:rPr/>
        <w:t>year and</w:t>
      </w:r>
      <w:r>
        <w:rPr>
          <w:spacing w:val="-12"/>
        </w:rPr>
        <w:t> </w:t>
      </w:r>
      <w:r>
        <w:rPr/>
        <w:t>it</w:t>
      </w:r>
      <w:r>
        <w:rPr>
          <w:spacing w:val="-13"/>
        </w:rPr>
        <w:t> </w:t>
      </w:r>
      <w:r>
        <w:rPr/>
        <w:t>is</w:t>
      </w:r>
      <w:r>
        <w:rPr>
          <w:spacing w:val="-14"/>
        </w:rPr>
        <w:t> </w:t>
      </w:r>
      <w:r>
        <w:rPr/>
        <w:t>becoming</w:t>
      </w:r>
      <w:r>
        <w:rPr>
          <w:spacing w:val="-11"/>
        </w:rPr>
        <w:t> </w:t>
      </w:r>
      <w:r>
        <w:rPr/>
        <w:t>a</w:t>
      </w:r>
      <w:r>
        <w:rPr>
          <w:spacing w:val="-15"/>
        </w:rPr>
        <w:t> </w:t>
      </w:r>
      <w:r>
        <w:rPr/>
        <w:t>problem</w:t>
      </w:r>
      <w:r>
        <w:rPr>
          <w:spacing w:val="-15"/>
        </w:rPr>
        <w:t> </w:t>
      </w:r>
      <w:r>
        <w:rPr/>
        <w:t>of</w:t>
      </w:r>
      <w:r>
        <w:rPr>
          <w:spacing w:val="-16"/>
        </w:rPr>
        <w:t> </w:t>
      </w:r>
      <w:r>
        <w:rPr/>
        <w:t>epidemic</w:t>
      </w:r>
      <w:r>
        <w:rPr>
          <w:spacing w:val="-12"/>
        </w:rPr>
        <w:t> </w:t>
      </w:r>
      <w:r>
        <w:rPr/>
        <w:t>proportions</w:t>
      </w:r>
      <w:r>
        <w:rPr>
          <w:spacing w:val="-11"/>
        </w:rPr>
        <w:t> </w:t>
      </w:r>
      <w:r>
        <w:rPr/>
        <w:t>which</w:t>
      </w:r>
      <w:r>
        <w:rPr>
          <w:spacing w:val="-13"/>
        </w:rPr>
        <w:t> </w:t>
      </w:r>
      <w:r>
        <w:rPr/>
        <w:t>not</w:t>
      </w:r>
      <w:r>
        <w:rPr>
          <w:spacing w:val="-17"/>
        </w:rPr>
        <w:t> </w:t>
      </w:r>
      <w:r>
        <w:rPr/>
        <w:t>only</w:t>
      </w:r>
      <w:r>
        <w:rPr>
          <w:spacing w:val="-13"/>
        </w:rPr>
        <w:t> </w:t>
      </w:r>
      <w:r>
        <w:rPr/>
        <w:t>burdens people themselves but also our health systems.</w:t>
      </w:r>
    </w:p>
    <w:p>
      <w:pPr>
        <w:pStyle w:val="BodyText"/>
        <w:spacing w:line="276" w:lineRule="auto" w:before="241"/>
        <w:ind w:left="616" w:right="132"/>
        <w:jc w:val="both"/>
      </w:pPr>
      <w:r>
        <w:rPr/>
        <w:t>Approx.</w:t>
      </w:r>
      <w:r>
        <w:rPr>
          <w:spacing w:val="-10"/>
        </w:rPr>
        <w:t> </w:t>
      </w:r>
      <w:r>
        <w:rPr/>
        <w:t>75</w:t>
      </w:r>
      <w:r>
        <w:rPr>
          <w:spacing w:val="-9"/>
        </w:rPr>
        <w:t> </w:t>
      </w:r>
      <w:r>
        <w:rPr/>
        <w:t>%</w:t>
      </w:r>
      <w:r>
        <w:rPr>
          <w:spacing w:val="-9"/>
        </w:rPr>
        <w:t> </w:t>
      </w:r>
      <w:r>
        <w:rPr/>
        <w:t>of</w:t>
      </w:r>
      <w:r>
        <w:rPr>
          <w:spacing w:val="-9"/>
        </w:rPr>
        <w:t> </w:t>
      </w:r>
      <w:r>
        <w:rPr/>
        <w:t>the</w:t>
      </w:r>
      <w:r>
        <w:rPr>
          <w:spacing w:val="-7"/>
        </w:rPr>
        <w:t> </w:t>
      </w:r>
      <w:r>
        <w:rPr/>
        <w:t>sugar</w:t>
      </w:r>
      <w:r>
        <w:rPr>
          <w:spacing w:val="-8"/>
        </w:rPr>
        <w:t> </w:t>
      </w:r>
      <w:r>
        <w:rPr/>
        <w:t>we</w:t>
      </w:r>
      <w:r>
        <w:rPr>
          <w:spacing w:val="-9"/>
        </w:rPr>
        <w:t> </w:t>
      </w:r>
      <w:r>
        <w:rPr/>
        <w:t>absorb</w:t>
      </w:r>
      <w:r>
        <w:rPr>
          <w:spacing w:val="-8"/>
        </w:rPr>
        <w:t> </w:t>
      </w:r>
      <w:r>
        <w:rPr/>
        <w:t>is</w:t>
      </w:r>
      <w:r>
        <w:rPr>
          <w:spacing w:val="-11"/>
        </w:rPr>
        <w:t> </w:t>
      </w:r>
      <w:r>
        <w:rPr/>
        <w:t>found</w:t>
      </w:r>
      <w:r>
        <w:rPr>
          <w:spacing w:val="-7"/>
        </w:rPr>
        <w:t> </w:t>
      </w:r>
      <w:r>
        <w:rPr/>
        <w:t>in</w:t>
      </w:r>
      <w:r>
        <w:rPr>
          <w:spacing w:val="-8"/>
        </w:rPr>
        <w:t> </w:t>
      </w:r>
      <w:r>
        <w:rPr/>
        <w:t>60</w:t>
      </w:r>
      <w:r>
        <w:rPr>
          <w:spacing w:val="-9"/>
        </w:rPr>
        <w:t> </w:t>
      </w:r>
      <w:r>
        <w:rPr/>
        <w:t>%</w:t>
      </w:r>
      <w:r>
        <w:rPr>
          <w:spacing w:val="-9"/>
        </w:rPr>
        <w:t> </w:t>
      </w:r>
      <w:r>
        <w:rPr/>
        <w:t>of</w:t>
      </w:r>
      <w:r>
        <w:rPr>
          <w:spacing w:val="-8"/>
        </w:rPr>
        <w:t> </w:t>
      </w:r>
      <w:r>
        <w:rPr/>
        <w:t>processed</w:t>
      </w:r>
      <w:r>
        <w:rPr>
          <w:spacing w:val="-8"/>
        </w:rPr>
        <w:t> </w:t>
      </w:r>
      <w:r>
        <w:rPr/>
        <w:t>foods.</w:t>
      </w:r>
      <w:r>
        <w:rPr>
          <w:spacing w:val="-2"/>
        </w:rPr>
        <w:t> </w:t>
      </w:r>
      <w:r>
        <w:rPr/>
        <w:t>As with 'hidden fats', we are largely dealing with 'hidden sugars' here, that is the use of sugar not only for direct sweetening but also as a preservative (for ex- ample: in jam) or as a flavour enhancer in meat and sausage products. Studies certify that the sweeter a foodstuff is, the more frequently it is</w:t>
      </w:r>
      <w:r>
        <w:rPr>
          <w:spacing w:val="-16"/>
        </w:rPr>
        <w:t> </w:t>
      </w:r>
      <w:r>
        <w:rPr/>
        <w:t>consumed.</w:t>
      </w:r>
    </w:p>
    <w:p>
      <w:pPr>
        <w:pStyle w:val="BodyText"/>
        <w:spacing w:line="276" w:lineRule="auto" w:before="241"/>
        <w:ind w:left="616" w:right="134"/>
        <w:jc w:val="both"/>
      </w:pPr>
      <w:r>
        <w:rPr/>
        <w:t>The</w:t>
      </w:r>
      <w:r>
        <w:rPr>
          <w:spacing w:val="-9"/>
        </w:rPr>
        <w:t> </w:t>
      </w:r>
      <w:r>
        <w:rPr/>
        <w:t>fact</w:t>
      </w:r>
      <w:r>
        <w:rPr>
          <w:spacing w:val="-10"/>
        </w:rPr>
        <w:t> </w:t>
      </w:r>
      <w:r>
        <w:rPr/>
        <w:t>that</w:t>
      </w:r>
      <w:r>
        <w:rPr>
          <w:spacing w:val="-8"/>
        </w:rPr>
        <w:t> </w:t>
      </w:r>
      <w:r>
        <w:rPr/>
        <w:t>our</w:t>
      </w:r>
      <w:r>
        <w:rPr>
          <w:spacing w:val="-9"/>
        </w:rPr>
        <w:t> </w:t>
      </w:r>
      <w:r>
        <w:rPr/>
        <w:t>palate</w:t>
      </w:r>
      <w:r>
        <w:rPr>
          <w:spacing w:val="-9"/>
        </w:rPr>
        <w:t> </w:t>
      </w:r>
      <w:r>
        <w:rPr/>
        <w:t>is</w:t>
      </w:r>
      <w:r>
        <w:rPr>
          <w:spacing w:val="-9"/>
        </w:rPr>
        <w:t> </w:t>
      </w:r>
      <w:r>
        <w:rPr/>
        <w:t>programmed</w:t>
      </w:r>
      <w:r>
        <w:rPr>
          <w:spacing w:val="-8"/>
        </w:rPr>
        <w:t> </w:t>
      </w:r>
      <w:r>
        <w:rPr/>
        <w:t>for</w:t>
      </w:r>
      <w:r>
        <w:rPr>
          <w:spacing w:val="-8"/>
        </w:rPr>
        <w:t> </w:t>
      </w:r>
      <w:r>
        <w:rPr/>
        <w:t>sugars</w:t>
      </w:r>
      <w:r>
        <w:rPr>
          <w:spacing w:val="-8"/>
        </w:rPr>
        <w:t> </w:t>
      </w:r>
      <w:r>
        <w:rPr/>
        <w:t>and</w:t>
      </w:r>
      <w:r>
        <w:rPr>
          <w:spacing w:val="-9"/>
        </w:rPr>
        <w:t> </w:t>
      </w:r>
      <w:r>
        <w:rPr/>
        <w:t>that</w:t>
      </w:r>
      <w:r>
        <w:rPr>
          <w:spacing w:val="-8"/>
        </w:rPr>
        <w:t> </w:t>
      </w:r>
      <w:r>
        <w:rPr/>
        <w:t>the</w:t>
      </w:r>
      <w:r>
        <w:rPr>
          <w:spacing w:val="-11"/>
        </w:rPr>
        <w:t> </w:t>
      </w:r>
      <w:r>
        <w:rPr/>
        <w:t>desire</w:t>
      </w:r>
      <w:r>
        <w:rPr>
          <w:spacing w:val="-8"/>
        </w:rPr>
        <w:t> </w:t>
      </w:r>
      <w:r>
        <w:rPr/>
        <w:t>for</w:t>
      </w:r>
      <w:r>
        <w:rPr>
          <w:spacing w:val="-10"/>
        </w:rPr>
        <w:t> </w:t>
      </w:r>
      <w:r>
        <w:rPr/>
        <w:t>sugar grows</w:t>
      </w:r>
      <w:r>
        <w:rPr>
          <w:spacing w:val="-8"/>
        </w:rPr>
        <w:t> </w:t>
      </w:r>
      <w:r>
        <w:rPr/>
        <w:t>in</w:t>
      </w:r>
      <w:r>
        <w:rPr>
          <w:spacing w:val="-9"/>
        </w:rPr>
        <w:t> </w:t>
      </w:r>
      <w:r>
        <w:rPr/>
        <w:t>parallel</w:t>
      </w:r>
      <w:r>
        <w:rPr>
          <w:spacing w:val="-5"/>
        </w:rPr>
        <w:t> </w:t>
      </w:r>
      <w:r>
        <w:rPr/>
        <w:t>to</w:t>
      </w:r>
      <w:r>
        <w:rPr>
          <w:spacing w:val="-9"/>
        </w:rPr>
        <w:t> </w:t>
      </w:r>
      <w:r>
        <w:rPr/>
        <w:t>sugar</w:t>
      </w:r>
      <w:r>
        <w:rPr>
          <w:spacing w:val="-7"/>
        </w:rPr>
        <w:t> </w:t>
      </w:r>
      <w:r>
        <w:rPr/>
        <w:t>consumption</w:t>
      </w:r>
      <w:r>
        <w:rPr>
          <w:spacing w:val="-6"/>
        </w:rPr>
        <w:t> </w:t>
      </w:r>
      <w:r>
        <w:rPr/>
        <w:t>is</w:t>
      </w:r>
      <w:r>
        <w:rPr>
          <w:spacing w:val="-9"/>
        </w:rPr>
        <w:t> </w:t>
      </w:r>
      <w:r>
        <w:rPr/>
        <w:t>particularly</w:t>
      </w:r>
      <w:r>
        <w:rPr>
          <w:spacing w:val="-7"/>
        </w:rPr>
        <w:t> </w:t>
      </w:r>
      <w:r>
        <w:rPr/>
        <w:t>problematic.</w:t>
      </w:r>
      <w:r>
        <w:rPr>
          <w:spacing w:val="-8"/>
        </w:rPr>
        <w:t> </w:t>
      </w:r>
      <w:r>
        <w:rPr/>
        <w:t>Sugar</w:t>
      </w:r>
      <w:r>
        <w:rPr>
          <w:spacing w:val="-6"/>
        </w:rPr>
        <w:t> </w:t>
      </w:r>
      <w:r>
        <w:rPr/>
        <w:t>is</w:t>
      </w:r>
      <w:r>
        <w:rPr>
          <w:spacing w:val="-9"/>
        </w:rPr>
        <w:t> </w:t>
      </w:r>
      <w:r>
        <w:rPr/>
        <w:t>ad- dictive – and</w:t>
      </w:r>
      <w:r>
        <w:rPr>
          <w:spacing w:val="2"/>
        </w:rPr>
        <w:t> </w:t>
      </w:r>
      <w:r>
        <w:rPr/>
        <w:t>unhealthy!</w:t>
      </w:r>
    </w:p>
    <w:p>
      <w:pPr>
        <w:pStyle w:val="BodyText"/>
        <w:spacing w:line="276" w:lineRule="auto" w:before="241"/>
        <w:ind w:left="616" w:right="146"/>
        <w:jc w:val="both"/>
      </w:pPr>
      <w:r>
        <w:rPr/>
        <w:t>Readers got a rude awakening to the risks with the publication of Dr. Otto Bruker's book, 'Sugar, Sugar', as sugar, also known as 'white poison' has been proven to be directly responsible for numerous diseases.</w:t>
      </w:r>
    </w:p>
    <w:p>
      <w:pPr>
        <w:pStyle w:val="BodyText"/>
        <w:spacing w:line="276" w:lineRule="auto" w:before="239"/>
        <w:ind w:left="616" w:right="135"/>
        <w:jc w:val="both"/>
      </w:pPr>
      <w:r>
        <w:rPr/>
        <w:t>The layperson may spontaneously think of caries; however there are many more, much more serious diseases which are attributed to high levels of sugar consumption.</w:t>
      </w:r>
    </w:p>
    <w:p>
      <w:pPr>
        <w:spacing w:after="0" w:line="276" w:lineRule="auto"/>
        <w:jc w:val="both"/>
        <w:sectPr>
          <w:pgSz w:w="14270" w:h="16850"/>
          <w:pgMar w:header="0" w:footer="404" w:top="1340" w:bottom="2080" w:left="800" w:right="1280"/>
        </w:sectPr>
      </w:pPr>
    </w:p>
    <w:p>
      <w:pPr>
        <w:pStyle w:val="Heading1"/>
        <w:spacing w:before="77"/>
        <w:ind w:left="616"/>
      </w:pPr>
      <w:r>
        <w:rPr/>
        <w:t>Direct and indirect damage caused by sugar:</w:t>
      </w:r>
    </w:p>
    <w:p>
      <w:pPr>
        <w:pStyle w:val="ListParagraph"/>
        <w:numPr>
          <w:ilvl w:val="0"/>
          <w:numId w:val="123"/>
        </w:numPr>
        <w:tabs>
          <w:tab w:pos="1329" w:val="left" w:leader="none"/>
          <w:tab w:pos="1330" w:val="left" w:leader="none"/>
        </w:tabs>
        <w:spacing w:line="240" w:lineRule="auto" w:before="260" w:after="0"/>
        <w:ind w:left="1329" w:right="0" w:hanging="355"/>
        <w:jc w:val="left"/>
        <w:rPr>
          <w:sz w:val="38"/>
        </w:rPr>
      </w:pPr>
      <w:r>
        <w:rPr>
          <w:sz w:val="38"/>
        </w:rPr>
        <w:t>Metabolic disorders, for example, excess weight</w:t>
      </w:r>
    </w:p>
    <w:p>
      <w:pPr>
        <w:pStyle w:val="ListParagraph"/>
        <w:numPr>
          <w:ilvl w:val="0"/>
          <w:numId w:val="123"/>
        </w:numPr>
        <w:tabs>
          <w:tab w:pos="1329" w:val="left" w:leader="none"/>
          <w:tab w:pos="1330" w:val="left" w:leader="none"/>
        </w:tabs>
        <w:spacing w:line="240" w:lineRule="auto" w:before="184" w:after="0"/>
        <w:ind w:left="1329" w:right="0" w:hanging="355"/>
        <w:jc w:val="left"/>
        <w:rPr>
          <w:sz w:val="38"/>
        </w:rPr>
      </w:pPr>
      <w:r>
        <w:rPr>
          <w:sz w:val="38"/>
        </w:rPr>
        <w:t>Acidification</w:t>
      </w:r>
    </w:p>
    <w:p>
      <w:pPr>
        <w:pStyle w:val="ListParagraph"/>
        <w:numPr>
          <w:ilvl w:val="0"/>
          <w:numId w:val="123"/>
        </w:numPr>
        <w:tabs>
          <w:tab w:pos="1329" w:val="left" w:leader="none"/>
          <w:tab w:pos="1330" w:val="left" w:leader="none"/>
        </w:tabs>
        <w:spacing w:line="240" w:lineRule="auto" w:before="183" w:after="0"/>
        <w:ind w:left="1329" w:right="0" w:hanging="355"/>
        <w:jc w:val="left"/>
        <w:rPr>
          <w:sz w:val="38"/>
        </w:rPr>
      </w:pPr>
      <w:r>
        <w:rPr>
          <w:sz w:val="38"/>
        </w:rPr>
        <w:t>Increased cholesterol</w:t>
      </w:r>
      <w:r>
        <w:rPr>
          <w:spacing w:val="2"/>
          <w:sz w:val="38"/>
        </w:rPr>
        <w:t> </w:t>
      </w:r>
      <w:r>
        <w:rPr>
          <w:sz w:val="38"/>
        </w:rPr>
        <w:t>values</w:t>
      </w:r>
    </w:p>
    <w:p>
      <w:pPr>
        <w:pStyle w:val="ListParagraph"/>
        <w:numPr>
          <w:ilvl w:val="0"/>
          <w:numId w:val="123"/>
        </w:numPr>
        <w:tabs>
          <w:tab w:pos="1329" w:val="left" w:leader="none"/>
          <w:tab w:pos="1330" w:val="left" w:leader="none"/>
        </w:tabs>
        <w:spacing w:line="240" w:lineRule="auto" w:before="184" w:after="0"/>
        <w:ind w:left="1329" w:right="0" w:hanging="355"/>
        <w:jc w:val="left"/>
        <w:rPr>
          <w:sz w:val="38"/>
        </w:rPr>
      </w:pPr>
      <w:r>
        <w:rPr>
          <w:sz w:val="38"/>
        </w:rPr>
        <w:t>Nervous system diseases, multiple sclerosis</w:t>
      </w:r>
    </w:p>
    <w:p>
      <w:pPr>
        <w:pStyle w:val="ListParagraph"/>
        <w:numPr>
          <w:ilvl w:val="0"/>
          <w:numId w:val="123"/>
        </w:numPr>
        <w:tabs>
          <w:tab w:pos="1329" w:val="left" w:leader="none"/>
          <w:tab w:pos="1330" w:val="left" w:leader="none"/>
        </w:tabs>
        <w:spacing w:line="240" w:lineRule="auto" w:before="183" w:after="0"/>
        <w:ind w:left="1329" w:right="0" w:hanging="355"/>
        <w:jc w:val="left"/>
        <w:rPr>
          <w:sz w:val="38"/>
        </w:rPr>
      </w:pPr>
      <w:r>
        <w:rPr>
          <w:sz w:val="38"/>
        </w:rPr>
        <w:t>Cancer</w:t>
      </w:r>
    </w:p>
    <w:p>
      <w:pPr>
        <w:pStyle w:val="ListParagraph"/>
        <w:numPr>
          <w:ilvl w:val="0"/>
          <w:numId w:val="123"/>
        </w:numPr>
        <w:tabs>
          <w:tab w:pos="1329" w:val="left" w:leader="none"/>
          <w:tab w:pos="1330" w:val="left" w:leader="none"/>
        </w:tabs>
        <w:spacing w:line="240" w:lineRule="auto" w:before="187" w:after="0"/>
        <w:ind w:left="1329" w:right="0" w:hanging="355"/>
        <w:jc w:val="left"/>
        <w:rPr>
          <w:sz w:val="38"/>
        </w:rPr>
      </w:pPr>
      <w:r>
        <w:rPr>
          <w:sz w:val="38"/>
        </w:rPr>
        <w:t>Caries</w:t>
      </w:r>
    </w:p>
    <w:p>
      <w:pPr>
        <w:pStyle w:val="ListParagraph"/>
        <w:numPr>
          <w:ilvl w:val="0"/>
          <w:numId w:val="123"/>
        </w:numPr>
        <w:tabs>
          <w:tab w:pos="1329" w:val="left" w:leader="none"/>
          <w:tab w:pos="1330" w:val="left" w:leader="none"/>
        </w:tabs>
        <w:spacing w:line="273" w:lineRule="auto" w:before="184" w:after="0"/>
        <w:ind w:left="1329" w:right="139" w:hanging="355"/>
        <w:jc w:val="left"/>
        <w:rPr>
          <w:sz w:val="38"/>
        </w:rPr>
      </w:pPr>
      <w:r>
        <w:rPr>
          <w:sz w:val="38"/>
        </w:rPr>
        <w:t>Osteoporosis/demineralisation of teeth and bones (sugar draws calcium from the</w:t>
      </w:r>
      <w:r>
        <w:rPr>
          <w:spacing w:val="1"/>
          <w:sz w:val="38"/>
        </w:rPr>
        <w:t> </w:t>
      </w:r>
      <w:r>
        <w:rPr>
          <w:sz w:val="38"/>
        </w:rPr>
        <w:t>body)</w:t>
      </w:r>
    </w:p>
    <w:p>
      <w:pPr>
        <w:pStyle w:val="ListParagraph"/>
        <w:numPr>
          <w:ilvl w:val="0"/>
          <w:numId w:val="123"/>
        </w:numPr>
        <w:tabs>
          <w:tab w:pos="1329" w:val="left" w:leader="none"/>
          <w:tab w:pos="1330" w:val="left" w:leader="none"/>
        </w:tabs>
        <w:spacing w:line="240" w:lineRule="auto" w:before="127" w:after="0"/>
        <w:ind w:left="1329" w:right="0" w:hanging="355"/>
        <w:jc w:val="left"/>
        <w:rPr>
          <w:sz w:val="38"/>
        </w:rPr>
      </w:pPr>
      <w:r>
        <w:rPr>
          <w:sz w:val="38"/>
        </w:rPr>
        <w:t>Hypo and</w:t>
      </w:r>
      <w:r>
        <w:rPr>
          <w:spacing w:val="2"/>
          <w:sz w:val="38"/>
        </w:rPr>
        <w:t> </w:t>
      </w:r>
      <w:r>
        <w:rPr>
          <w:sz w:val="38"/>
        </w:rPr>
        <w:t>hyperglycemia</w:t>
      </w:r>
    </w:p>
    <w:p>
      <w:pPr>
        <w:pStyle w:val="ListParagraph"/>
        <w:numPr>
          <w:ilvl w:val="0"/>
          <w:numId w:val="123"/>
        </w:numPr>
        <w:tabs>
          <w:tab w:pos="1329" w:val="left" w:leader="none"/>
          <w:tab w:pos="1330" w:val="left" w:leader="none"/>
        </w:tabs>
        <w:spacing w:line="240" w:lineRule="auto" w:before="183" w:after="0"/>
        <w:ind w:left="1329" w:right="0" w:hanging="355"/>
        <w:jc w:val="left"/>
        <w:rPr>
          <w:sz w:val="38"/>
        </w:rPr>
      </w:pPr>
      <w:r>
        <w:rPr>
          <w:sz w:val="38"/>
        </w:rPr>
        <w:t>Digestive organ</w:t>
      </w:r>
      <w:r>
        <w:rPr>
          <w:spacing w:val="-2"/>
          <w:sz w:val="38"/>
        </w:rPr>
        <w:t> </w:t>
      </w:r>
      <w:r>
        <w:rPr>
          <w:sz w:val="38"/>
        </w:rPr>
        <w:t>diseases</w:t>
      </w:r>
    </w:p>
    <w:p>
      <w:pPr>
        <w:pStyle w:val="ListParagraph"/>
        <w:numPr>
          <w:ilvl w:val="0"/>
          <w:numId w:val="123"/>
        </w:numPr>
        <w:tabs>
          <w:tab w:pos="1329" w:val="left" w:leader="none"/>
          <w:tab w:pos="1330" w:val="left" w:leader="none"/>
        </w:tabs>
        <w:spacing w:line="240" w:lineRule="auto" w:before="184" w:after="0"/>
        <w:ind w:left="1329" w:right="0" w:hanging="355"/>
        <w:jc w:val="left"/>
        <w:rPr>
          <w:sz w:val="38"/>
        </w:rPr>
      </w:pPr>
      <w:r>
        <w:rPr>
          <w:sz w:val="38"/>
        </w:rPr>
        <w:t>Diabetes/adult-onset diabetes</w:t>
      </w:r>
    </w:p>
    <w:p>
      <w:pPr>
        <w:pStyle w:val="ListParagraph"/>
        <w:numPr>
          <w:ilvl w:val="0"/>
          <w:numId w:val="123"/>
        </w:numPr>
        <w:tabs>
          <w:tab w:pos="1329" w:val="left" w:leader="none"/>
          <w:tab w:pos="1330" w:val="left" w:leader="none"/>
        </w:tabs>
        <w:spacing w:line="240" w:lineRule="auto" w:before="186" w:after="0"/>
        <w:ind w:left="1329" w:right="0" w:hanging="355"/>
        <w:jc w:val="left"/>
        <w:rPr>
          <w:sz w:val="38"/>
        </w:rPr>
      </w:pPr>
      <w:r>
        <w:rPr>
          <w:sz w:val="38"/>
        </w:rPr>
        <w:t>Poliomyelitis</w:t>
      </w:r>
    </w:p>
    <w:p>
      <w:pPr>
        <w:pStyle w:val="ListParagraph"/>
        <w:numPr>
          <w:ilvl w:val="0"/>
          <w:numId w:val="123"/>
        </w:numPr>
        <w:tabs>
          <w:tab w:pos="1329" w:val="left" w:leader="none"/>
          <w:tab w:pos="1330" w:val="left" w:leader="none"/>
        </w:tabs>
        <w:spacing w:line="240" w:lineRule="auto" w:before="184" w:after="0"/>
        <w:ind w:left="1329" w:right="0" w:hanging="355"/>
        <w:jc w:val="left"/>
        <w:rPr>
          <w:sz w:val="38"/>
        </w:rPr>
      </w:pPr>
      <w:r>
        <w:rPr>
          <w:sz w:val="38"/>
        </w:rPr>
        <w:t>Gastritis</w:t>
      </w:r>
    </w:p>
    <w:p>
      <w:pPr>
        <w:pStyle w:val="ListParagraph"/>
        <w:numPr>
          <w:ilvl w:val="0"/>
          <w:numId w:val="123"/>
        </w:numPr>
        <w:tabs>
          <w:tab w:pos="1329" w:val="left" w:leader="none"/>
          <w:tab w:pos="1330" w:val="left" w:leader="none"/>
        </w:tabs>
        <w:spacing w:line="240" w:lineRule="auto" w:before="184" w:after="0"/>
        <w:ind w:left="1329" w:right="0" w:hanging="355"/>
        <w:jc w:val="left"/>
        <w:rPr>
          <w:sz w:val="38"/>
        </w:rPr>
      </w:pPr>
      <w:r>
        <w:rPr>
          <w:sz w:val="38"/>
        </w:rPr>
        <w:t>Diseases of the movement apparatus (rheumatism, gout, slipped</w:t>
      </w:r>
      <w:r>
        <w:rPr>
          <w:spacing w:val="-9"/>
          <w:sz w:val="38"/>
        </w:rPr>
        <w:t> </w:t>
      </w:r>
      <w:r>
        <w:rPr>
          <w:sz w:val="38"/>
        </w:rPr>
        <w:t>discs)</w:t>
      </w:r>
    </w:p>
    <w:p>
      <w:pPr>
        <w:pStyle w:val="ListParagraph"/>
        <w:numPr>
          <w:ilvl w:val="0"/>
          <w:numId w:val="123"/>
        </w:numPr>
        <w:tabs>
          <w:tab w:pos="1329" w:val="left" w:leader="none"/>
          <w:tab w:pos="1330" w:val="left" w:leader="none"/>
        </w:tabs>
        <w:spacing w:line="240" w:lineRule="auto" w:before="183" w:after="0"/>
        <w:ind w:left="1329" w:right="0" w:hanging="355"/>
        <w:jc w:val="left"/>
        <w:rPr>
          <w:sz w:val="38"/>
        </w:rPr>
      </w:pPr>
      <w:r>
        <w:rPr>
          <w:sz w:val="38"/>
        </w:rPr>
        <w:t>Depression</w:t>
      </w:r>
    </w:p>
    <w:p>
      <w:pPr>
        <w:pStyle w:val="ListParagraph"/>
        <w:numPr>
          <w:ilvl w:val="0"/>
          <w:numId w:val="123"/>
        </w:numPr>
        <w:tabs>
          <w:tab w:pos="1329" w:val="left" w:leader="none"/>
          <w:tab w:pos="1330" w:val="left" w:leader="none"/>
        </w:tabs>
        <w:spacing w:line="240" w:lineRule="auto" w:before="184" w:after="0"/>
        <w:ind w:left="1329" w:right="0" w:hanging="355"/>
        <w:jc w:val="left"/>
        <w:rPr>
          <w:sz w:val="38"/>
        </w:rPr>
      </w:pPr>
      <w:r>
        <w:rPr>
          <w:sz w:val="38"/>
        </w:rPr>
        <w:t>Cancer</w:t>
      </w:r>
    </w:p>
    <w:p>
      <w:pPr>
        <w:pStyle w:val="ListParagraph"/>
        <w:numPr>
          <w:ilvl w:val="0"/>
          <w:numId w:val="123"/>
        </w:numPr>
        <w:tabs>
          <w:tab w:pos="1329" w:val="left" w:leader="none"/>
          <w:tab w:pos="1330" w:val="left" w:leader="none"/>
        </w:tabs>
        <w:spacing w:line="240" w:lineRule="auto" w:before="187" w:after="0"/>
        <w:ind w:left="1329" w:right="0" w:hanging="355"/>
        <w:jc w:val="left"/>
        <w:rPr>
          <w:sz w:val="38"/>
        </w:rPr>
      </w:pPr>
      <w:r>
        <w:rPr>
          <w:sz w:val="38"/>
        </w:rPr>
        <w:t>Heart</w:t>
      </w:r>
      <w:r>
        <w:rPr>
          <w:spacing w:val="-1"/>
          <w:sz w:val="38"/>
        </w:rPr>
        <w:t> </w:t>
      </w:r>
      <w:r>
        <w:rPr>
          <w:sz w:val="38"/>
        </w:rPr>
        <w:t>attack</w:t>
      </w:r>
    </w:p>
    <w:p>
      <w:pPr>
        <w:pStyle w:val="ListParagraph"/>
        <w:numPr>
          <w:ilvl w:val="0"/>
          <w:numId w:val="123"/>
        </w:numPr>
        <w:tabs>
          <w:tab w:pos="1329" w:val="left" w:leader="none"/>
          <w:tab w:pos="1330" w:val="left" w:leader="none"/>
        </w:tabs>
        <w:spacing w:line="240" w:lineRule="auto" w:before="183" w:after="0"/>
        <w:ind w:left="1329" w:right="0" w:hanging="355"/>
        <w:jc w:val="left"/>
        <w:rPr>
          <w:sz w:val="38"/>
        </w:rPr>
      </w:pPr>
      <w:r>
        <w:rPr>
          <w:sz w:val="38"/>
        </w:rPr>
        <w:t>Acne</w:t>
      </w:r>
    </w:p>
    <w:p>
      <w:pPr>
        <w:spacing w:after="0" w:line="240" w:lineRule="auto"/>
        <w:jc w:val="left"/>
        <w:rPr>
          <w:sz w:val="38"/>
        </w:rPr>
        <w:sectPr>
          <w:pgSz w:w="14270" w:h="16850"/>
          <w:pgMar w:header="0" w:footer="404" w:top="1320" w:bottom="2080" w:left="800" w:right="1280"/>
        </w:sectPr>
      </w:pPr>
    </w:p>
    <w:p>
      <w:pPr>
        <w:pStyle w:val="ListParagraph"/>
        <w:numPr>
          <w:ilvl w:val="0"/>
          <w:numId w:val="123"/>
        </w:numPr>
        <w:tabs>
          <w:tab w:pos="1329" w:val="left" w:leader="none"/>
          <w:tab w:pos="1330" w:val="left" w:leader="none"/>
        </w:tabs>
        <w:spacing w:line="240" w:lineRule="auto" w:before="53" w:after="0"/>
        <w:ind w:left="1329" w:right="0" w:hanging="355"/>
        <w:jc w:val="left"/>
        <w:rPr>
          <w:sz w:val="38"/>
        </w:rPr>
      </w:pPr>
      <w:r>
        <w:rPr>
          <w:sz w:val="38"/>
        </w:rPr>
        <w:t>Fatty</w:t>
      </w:r>
      <w:r>
        <w:rPr>
          <w:spacing w:val="-1"/>
          <w:sz w:val="38"/>
        </w:rPr>
        <w:t> </w:t>
      </w:r>
      <w:r>
        <w:rPr>
          <w:sz w:val="38"/>
        </w:rPr>
        <w:t>liver</w:t>
      </w:r>
    </w:p>
    <w:p>
      <w:pPr>
        <w:pStyle w:val="BodyText"/>
        <w:rPr>
          <w:sz w:val="44"/>
        </w:rPr>
      </w:pPr>
    </w:p>
    <w:p>
      <w:pPr>
        <w:pStyle w:val="BodyText"/>
        <w:spacing w:before="10"/>
        <w:rPr>
          <w:sz w:val="47"/>
        </w:rPr>
      </w:pPr>
    </w:p>
    <w:p>
      <w:pPr>
        <w:pStyle w:val="BodyText"/>
        <w:spacing w:before="1"/>
        <w:ind w:left="616"/>
        <w:rPr>
          <w:sz w:val="25"/>
        </w:rPr>
      </w:pPr>
      <w:r>
        <w:rPr/>
        <w:t>The</w:t>
      </w:r>
      <w:r>
        <w:rPr>
          <w:spacing w:val="-17"/>
        </w:rPr>
        <w:t> </w:t>
      </w:r>
      <w:r>
        <w:rPr/>
        <w:t>following</w:t>
      </w:r>
      <w:r>
        <w:rPr>
          <w:spacing w:val="-16"/>
        </w:rPr>
        <w:t> </w:t>
      </w:r>
      <w:r>
        <w:rPr/>
        <w:t>table</w:t>
      </w:r>
      <w:r>
        <w:rPr>
          <w:spacing w:val="-16"/>
        </w:rPr>
        <w:t> </w:t>
      </w:r>
      <w:r>
        <w:rPr/>
        <w:t>contains</w:t>
      </w:r>
      <w:r>
        <w:rPr>
          <w:spacing w:val="-19"/>
        </w:rPr>
        <w:t> </w:t>
      </w:r>
      <w:r>
        <w:rPr/>
        <w:t>some</w:t>
      </w:r>
      <w:r>
        <w:rPr>
          <w:spacing w:val="-16"/>
        </w:rPr>
        <w:t> </w:t>
      </w:r>
      <w:r>
        <w:rPr/>
        <w:t>examples</w:t>
      </w:r>
      <w:r>
        <w:rPr>
          <w:spacing w:val="-15"/>
        </w:rPr>
        <w:t> </w:t>
      </w:r>
      <w:r>
        <w:rPr/>
        <w:t>of</w:t>
      </w:r>
      <w:r>
        <w:rPr>
          <w:spacing w:val="-19"/>
        </w:rPr>
        <w:t> </w:t>
      </w:r>
      <w:r>
        <w:rPr/>
        <w:t>'hidden'</w:t>
      </w:r>
      <w:r>
        <w:rPr>
          <w:spacing w:val="-18"/>
        </w:rPr>
        <w:t> </w:t>
      </w:r>
      <w:r>
        <w:rPr/>
        <w:t>sugar</w:t>
      </w:r>
      <w:r>
        <w:rPr>
          <w:spacing w:val="-16"/>
        </w:rPr>
        <w:t> </w:t>
      </w:r>
      <w:r>
        <w:rPr/>
        <w:t>or</w:t>
      </w:r>
      <w:r>
        <w:rPr>
          <w:spacing w:val="-18"/>
        </w:rPr>
        <w:t> </w:t>
      </w:r>
      <w:r>
        <w:rPr/>
        <w:t>sugar</w:t>
      </w:r>
      <w:r>
        <w:rPr>
          <w:spacing w:val="-17"/>
        </w:rPr>
        <w:t> </w:t>
      </w:r>
      <w:r>
        <w:rPr/>
        <w:t>traps:</w:t>
      </w:r>
      <w:r>
        <w:rPr>
          <w:position w:val="9"/>
          <w:sz w:val="25"/>
        </w:rPr>
        <w:t>886</w:t>
      </w:r>
    </w:p>
    <w:p>
      <w:pPr>
        <w:pStyle w:val="BodyText"/>
        <w:spacing w:before="3"/>
        <w:rPr>
          <w:sz w:val="7"/>
        </w:rPr>
      </w:pPr>
    </w:p>
    <w:tbl>
      <w:tblPr>
        <w:tblW w:w="0" w:type="auto"/>
        <w:jc w:val="left"/>
        <w:tblInd w:w="649"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top w:w="0" w:type="dxa"/>
          <w:left w:w="0" w:type="dxa"/>
          <w:bottom w:w="0" w:type="dxa"/>
          <w:right w:w="0" w:type="dxa"/>
        </w:tblCellMar>
        <w:tblLook w:val="01E0"/>
      </w:tblPr>
      <w:tblGrid>
        <w:gridCol w:w="1088"/>
        <w:gridCol w:w="2464"/>
        <w:gridCol w:w="1178"/>
      </w:tblGrid>
      <w:tr>
        <w:trPr>
          <w:trHeight w:val="1493" w:hRule="atLeast"/>
        </w:trPr>
        <w:tc>
          <w:tcPr>
            <w:tcW w:w="1088" w:type="dxa"/>
            <w:tcBorders>
              <w:left w:val="double" w:sz="2" w:space="0" w:color="EFEFEF"/>
            </w:tcBorders>
          </w:tcPr>
          <w:p>
            <w:pPr>
              <w:pStyle w:val="TableParagraph"/>
              <w:spacing w:before="274"/>
              <w:ind w:left="38"/>
              <w:rPr>
                <w:sz w:val="38"/>
              </w:rPr>
            </w:pPr>
            <w:r>
              <w:rPr>
                <w:sz w:val="38"/>
              </w:rPr>
              <w:t>180 g</w:t>
            </w:r>
          </w:p>
        </w:tc>
        <w:tc>
          <w:tcPr>
            <w:tcW w:w="2464" w:type="dxa"/>
          </w:tcPr>
          <w:p>
            <w:pPr>
              <w:pStyle w:val="TableParagraph"/>
              <w:spacing w:before="274"/>
              <w:ind w:left="42"/>
              <w:rPr>
                <w:sz w:val="38"/>
              </w:rPr>
            </w:pPr>
            <w:r>
              <w:rPr>
                <w:sz w:val="38"/>
              </w:rPr>
              <w:t>Fruit yoghurt</w:t>
            </w:r>
          </w:p>
        </w:tc>
        <w:tc>
          <w:tcPr>
            <w:tcW w:w="1178" w:type="dxa"/>
          </w:tcPr>
          <w:p>
            <w:pPr>
              <w:pStyle w:val="TableParagraph"/>
              <w:tabs>
                <w:tab w:pos="991" w:val="left" w:leader="none"/>
              </w:tabs>
              <w:spacing w:before="271"/>
              <w:ind w:left="44"/>
              <w:rPr>
                <w:sz w:val="38"/>
              </w:rPr>
            </w:pPr>
            <w:r>
              <w:rPr>
                <w:sz w:val="38"/>
              </w:rPr>
              <w:t>14-4</w:t>
              <w:tab/>
              <w:t>-</w:t>
            </w:r>
          </w:p>
          <w:p>
            <w:pPr>
              <w:pStyle w:val="TableParagraph"/>
              <w:spacing w:before="67"/>
              <w:ind w:left="44"/>
              <w:rPr>
                <w:sz w:val="38"/>
              </w:rPr>
            </w:pPr>
            <w:r>
              <w:rPr>
                <w:sz w:val="38"/>
              </w:rPr>
              <w:t>19.8 g</w:t>
            </w:r>
          </w:p>
        </w:tc>
      </w:tr>
      <w:tr>
        <w:trPr>
          <w:trHeight w:val="1491" w:hRule="atLeast"/>
        </w:trPr>
        <w:tc>
          <w:tcPr>
            <w:tcW w:w="1088" w:type="dxa"/>
            <w:tcBorders>
              <w:left w:val="double" w:sz="2" w:space="0" w:color="EFEFEF"/>
            </w:tcBorders>
          </w:tcPr>
          <w:p>
            <w:pPr>
              <w:pStyle w:val="TableParagraph"/>
              <w:spacing w:before="272"/>
              <w:ind w:left="38"/>
              <w:rPr>
                <w:sz w:val="38"/>
              </w:rPr>
            </w:pPr>
            <w:r>
              <w:rPr>
                <w:sz w:val="38"/>
              </w:rPr>
              <w:t>10 g</w:t>
            </w:r>
          </w:p>
        </w:tc>
        <w:tc>
          <w:tcPr>
            <w:tcW w:w="2464" w:type="dxa"/>
          </w:tcPr>
          <w:p>
            <w:pPr>
              <w:pStyle w:val="TableParagraph"/>
              <w:tabs>
                <w:tab w:pos="1727" w:val="left" w:leader="none"/>
              </w:tabs>
              <w:spacing w:line="278" w:lineRule="auto" w:before="270"/>
              <w:ind w:left="42" w:right="24"/>
              <w:rPr>
                <w:sz w:val="38"/>
              </w:rPr>
            </w:pPr>
            <w:r>
              <w:rPr>
                <w:sz w:val="38"/>
              </w:rPr>
              <w:t>Powdered</w:t>
              <w:tab/>
              <w:t>con- diment</w:t>
            </w:r>
          </w:p>
        </w:tc>
        <w:tc>
          <w:tcPr>
            <w:tcW w:w="1178" w:type="dxa"/>
          </w:tcPr>
          <w:p>
            <w:pPr>
              <w:pStyle w:val="TableParagraph"/>
              <w:spacing w:before="272"/>
              <w:ind w:left="44"/>
              <w:rPr>
                <w:sz w:val="38"/>
              </w:rPr>
            </w:pPr>
            <w:r>
              <w:rPr>
                <w:sz w:val="38"/>
              </w:rPr>
              <w:t>0.3 g</w:t>
            </w:r>
          </w:p>
        </w:tc>
      </w:tr>
      <w:tr>
        <w:trPr>
          <w:trHeight w:val="1001" w:hRule="atLeast"/>
        </w:trPr>
        <w:tc>
          <w:tcPr>
            <w:tcW w:w="1088" w:type="dxa"/>
            <w:tcBorders>
              <w:left w:val="double" w:sz="2" w:space="0" w:color="EFEFEF"/>
            </w:tcBorders>
          </w:tcPr>
          <w:p>
            <w:pPr>
              <w:pStyle w:val="TableParagraph"/>
              <w:spacing w:before="274"/>
              <w:ind w:left="38"/>
              <w:rPr>
                <w:sz w:val="38"/>
              </w:rPr>
            </w:pPr>
            <w:r>
              <w:rPr>
                <w:sz w:val="38"/>
              </w:rPr>
              <w:t>15 g</w:t>
            </w:r>
          </w:p>
        </w:tc>
        <w:tc>
          <w:tcPr>
            <w:tcW w:w="2464" w:type="dxa"/>
          </w:tcPr>
          <w:p>
            <w:pPr>
              <w:pStyle w:val="TableParagraph"/>
              <w:spacing w:before="274"/>
              <w:ind w:left="42"/>
              <w:rPr>
                <w:sz w:val="38"/>
              </w:rPr>
            </w:pPr>
            <w:r>
              <w:rPr>
                <w:sz w:val="38"/>
              </w:rPr>
              <w:t>Cocoa drink</w:t>
            </w:r>
          </w:p>
        </w:tc>
        <w:tc>
          <w:tcPr>
            <w:tcW w:w="1178" w:type="dxa"/>
          </w:tcPr>
          <w:p>
            <w:pPr>
              <w:pStyle w:val="TableParagraph"/>
              <w:spacing w:before="274"/>
              <w:ind w:left="44"/>
              <w:rPr>
                <w:sz w:val="38"/>
              </w:rPr>
            </w:pPr>
            <w:r>
              <w:rPr>
                <w:sz w:val="38"/>
              </w:rPr>
              <w:t>10 g</w:t>
            </w:r>
          </w:p>
        </w:tc>
      </w:tr>
      <w:tr>
        <w:trPr>
          <w:trHeight w:val="1491" w:hRule="atLeast"/>
        </w:trPr>
        <w:tc>
          <w:tcPr>
            <w:tcW w:w="1088" w:type="dxa"/>
            <w:tcBorders>
              <w:left w:val="double" w:sz="2" w:space="0" w:color="EFEFEF"/>
            </w:tcBorders>
          </w:tcPr>
          <w:p>
            <w:pPr>
              <w:pStyle w:val="TableParagraph"/>
              <w:spacing w:before="274"/>
              <w:ind w:left="38"/>
              <w:rPr>
                <w:sz w:val="38"/>
              </w:rPr>
            </w:pPr>
            <w:r>
              <w:rPr>
                <w:sz w:val="38"/>
              </w:rPr>
              <w:t>50 g</w:t>
            </w:r>
          </w:p>
        </w:tc>
        <w:tc>
          <w:tcPr>
            <w:tcW w:w="2464" w:type="dxa"/>
          </w:tcPr>
          <w:p>
            <w:pPr>
              <w:pStyle w:val="TableParagraph"/>
              <w:spacing w:before="274"/>
              <w:ind w:left="42"/>
              <w:rPr>
                <w:sz w:val="38"/>
              </w:rPr>
            </w:pPr>
            <w:r>
              <w:rPr>
                <w:sz w:val="38"/>
              </w:rPr>
              <w:t>Ketchup</w:t>
            </w:r>
          </w:p>
        </w:tc>
        <w:tc>
          <w:tcPr>
            <w:tcW w:w="1178" w:type="dxa"/>
          </w:tcPr>
          <w:p>
            <w:pPr>
              <w:pStyle w:val="TableParagraph"/>
              <w:spacing w:before="271"/>
              <w:ind w:left="44"/>
              <w:rPr>
                <w:sz w:val="38"/>
              </w:rPr>
            </w:pPr>
            <w:r>
              <w:rPr>
                <w:sz w:val="38"/>
              </w:rPr>
              <w:t>8.5-11</w:t>
            </w:r>
          </w:p>
          <w:p>
            <w:pPr>
              <w:pStyle w:val="TableParagraph"/>
              <w:spacing w:before="65"/>
              <w:ind w:left="44"/>
              <w:rPr>
                <w:sz w:val="38"/>
              </w:rPr>
            </w:pPr>
            <w:r>
              <w:rPr>
                <w:w w:val="99"/>
                <w:sz w:val="38"/>
              </w:rPr>
              <w:t>g</w:t>
            </w:r>
          </w:p>
        </w:tc>
      </w:tr>
      <w:tr>
        <w:trPr>
          <w:trHeight w:val="1981" w:hRule="atLeast"/>
        </w:trPr>
        <w:tc>
          <w:tcPr>
            <w:tcW w:w="1088" w:type="dxa"/>
            <w:tcBorders>
              <w:left w:val="double" w:sz="2" w:space="0" w:color="EFEFEF"/>
            </w:tcBorders>
          </w:tcPr>
          <w:p>
            <w:pPr>
              <w:pStyle w:val="TableParagraph"/>
              <w:spacing w:before="274"/>
              <w:ind w:left="38"/>
              <w:rPr>
                <w:sz w:val="38"/>
              </w:rPr>
            </w:pPr>
            <w:r>
              <w:rPr>
                <w:sz w:val="38"/>
              </w:rPr>
              <w:t>2 dl</w:t>
            </w:r>
          </w:p>
        </w:tc>
        <w:tc>
          <w:tcPr>
            <w:tcW w:w="2464" w:type="dxa"/>
          </w:tcPr>
          <w:p>
            <w:pPr>
              <w:pStyle w:val="TableParagraph"/>
              <w:tabs>
                <w:tab w:pos="1270" w:val="left" w:leader="none"/>
                <w:tab w:pos="1942" w:val="left" w:leader="none"/>
              </w:tabs>
              <w:spacing w:line="276" w:lineRule="auto" w:before="271"/>
              <w:ind w:left="42" w:right="23"/>
              <w:rPr>
                <w:sz w:val="38"/>
              </w:rPr>
            </w:pPr>
            <w:r>
              <w:rPr>
                <w:sz w:val="38"/>
              </w:rPr>
              <w:t>Sweetened drinks,</w:t>
              <w:tab/>
              <w:t>for</w:t>
              <w:tab/>
              <w:t>ex- ample, cola</w:t>
            </w:r>
          </w:p>
        </w:tc>
        <w:tc>
          <w:tcPr>
            <w:tcW w:w="1178" w:type="dxa"/>
          </w:tcPr>
          <w:p>
            <w:pPr>
              <w:pStyle w:val="TableParagraph"/>
              <w:spacing w:before="274"/>
              <w:ind w:left="44"/>
              <w:rPr>
                <w:sz w:val="38"/>
              </w:rPr>
            </w:pPr>
            <w:r>
              <w:rPr>
                <w:sz w:val="38"/>
              </w:rPr>
              <w:t>22 g</w:t>
            </w:r>
          </w:p>
        </w:tc>
      </w:tr>
    </w:tbl>
    <w:p>
      <w:pPr>
        <w:pStyle w:val="BodyText"/>
        <w:rPr>
          <w:sz w:val="20"/>
        </w:rPr>
      </w:pPr>
    </w:p>
    <w:p>
      <w:pPr>
        <w:pStyle w:val="BodyText"/>
        <w:rPr>
          <w:sz w:val="20"/>
        </w:rPr>
      </w:pPr>
    </w:p>
    <w:p>
      <w:pPr>
        <w:pStyle w:val="BodyText"/>
        <w:rPr>
          <w:sz w:val="20"/>
        </w:rPr>
      </w:pPr>
    </w:p>
    <w:p>
      <w:pPr>
        <w:pStyle w:val="BodyText"/>
        <w:spacing w:before="8"/>
        <w:rPr>
          <w:sz w:val="18"/>
        </w:rPr>
      </w:pPr>
      <w:r>
        <w:rPr/>
        <w:pict>
          <v:line style="position:absolute;mso-position-horizontal-relative:page;mso-position-vertical-relative:paragraph;z-index:12368;mso-wrap-distance-left:0;mso-wrap-distance-right:0" from="70.823997pt,12.901245pt" to="214.843997pt,12.901245pt" stroked="true" strokeweight=".71997pt" strokecolor="#000000">
            <v:stroke dashstyle="solid"/>
            <w10:wrap type="topAndBottom"/>
          </v:line>
        </w:pict>
      </w:r>
    </w:p>
    <w:p>
      <w:pPr>
        <w:spacing w:before="309"/>
        <w:ind w:left="616" w:right="0" w:firstLine="0"/>
        <w:jc w:val="left"/>
        <w:rPr>
          <w:sz w:val="20"/>
        </w:rPr>
      </w:pPr>
      <w:r>
        <w:rPr>
          <w:position w:val="5"/>
          <w:sz w:val="13"/>
        </w:rPr>
        <w:t>886 </w:t>
      </w:r>
      <w:hyperlink r:id="rId375">
        <w:r>
          <w:rPr>
            <w:sz w:val="20"/>
          </w:rPr>
          <w:t>http://www.biogans.ch/erica/ern_infos/Zuckervortrag.html</w:t>
        </w:r>
      </w:hyperlink>
    </w:p>
    <w:p>
      <w:pPr>
        <w:spacing w:after="0"/>
        <w:jc w:val="left"/>
        <w:rPr>
          <w:sz w:val="20"/>
        </w:rPr>
        <w:sectPr>
          <w:pgSz w:w="14270" w:h="16850"/>
          <w:pgMar w:header="0" w:footer="404" w:top="1360" w:bottom="2080" w:left="800" w:right="1280"/>
        </w:sectPr>
      </w:pPr>
    </w:p>
    <w:tbl>
      <w:tblPr>
        <w:tblW w:w="0" w:type="auto"/>
        <w:jc w:val="left"/>
        <w:tblInd w:w="649"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top w:w="0" w:type="dxa"/>
          <w:left w:w="0" w:type="dxa"/>
          <w:bottom w:w="0" w:type="dxa"/>
          <w:right w:w="0" w:type="dxa"/>
        </w:tblCellMar>
        <w:tblLook w:val="01E0"/>
      </w:tblPr>
      <w:tblGrid>
        <w:gridCol w:w="1088"/>
        <w:gridCol w:w="2464"/>
        <w:gridCol w:w="1178"/>
      </w:tblGrid>
      <w:tr>
        <w:trPr>
          <w:trHeight w:val="998" w:hRule="atLeast"/>
        </w:trPr>
        <w:tc>
          <w:tcPr>
            <w:tcW w:w="1088" w:type="dxa"/>
            <w:tcBorders>
              <w:left w:val="double" w:sz="2" w:space="0" w:color="EFEFEF"/>
            </w:tcBorders>
          </w:tcPr>
          <w:p>
            <w:pPr>
              <w:pStyle w:val="TableParagraph"/>
              <w:spacing w:before="271"/>
              <w:ind w:left="38"/>
              <w:rPr>
                <w:sz w:val="38"/>
              </w:rPr>
            </w:pPr>
            <w:r>
              <w:rPr>
                <w:sz w:val="38"/>
              </w:rPr>
              <w:t>2 dl</w:t>
            </w:r>
          </w:p>
        </w:tc>
        <w:tc>
          <w:tcPr>
            <w:tcW w:w="2464" w:type="dxa"/>
          </w:tcPr>
          <w:p>
            <w:pPr>
              <w:pStyle w:val="TableParagraph"/>
              <w:spacing w:before="271"/>
              <w:ind w:left="42"/>
              <w:rPr>
                <w:sz w:val="38"/>
              </w:rPr>
            </w:pPr>
            <w:r>
              <w:rPr>
                <w:sz w:val="38"/>
              </w:rPr>
              <w:t>Iced tea</w:t>
            </w:r>
          </w:p>
        </w:tc>
        <w:tc>
          <w:tcPr>
            <w:tcW w:w="1178" w:type="dxa"/>
          </w:tcPr>
          <w:p>
            <w:pPr>
              <w:pStyle w:val="TableParagraph"/>
              <w:spacing w:before="271"/>
              <w:ind w:left="44"/>
              <w:rPr>
                <w:sz w:val="38"/>
              </w:rPr>
            </w:pPr>
            <w:r>
              <w:rPr>
                <w:sz w:val="38"/>
              </w:rPr>
              <w:t>15 g</w:t>
            </w:r>
          </w:p>
        </w:tc>
      </w:tr>
      <w:tr>
        <w:trPr>
          <w:trHeight w:val="1493" w:hRule="atLeast"/>
        </w:trPr>
        <w:tc>
          <w:tcPr>
            <w:tcW w:w="1088" w:type="dxa"/>
            <w:tcBorders>
              <w:left w:val="double" w:sz="2" w:space="0" w:color="EFEFEF"/>
            </w:tcBorders>
          </w:tcPr>
          <w:p>
            <w:pPr>
              <w:pStyle w:val="TableParagraph"/>
              <w:spacing w:before="274"/>
              <w:ind w:left="38"/>
              <w:rPr>
                <w:sz w:val="38"/>
              </w:rPr>
            </w:pPr>
            <w:r>
              <w:rPr>
                <w:sz w:val="38"/>
              </w:rPr>
              <w:t>1 dl</w:t>
            </w:r>
          </w:p>
        </w:tc>
        <w:tc>
          <w:tcPr>
            <w:tcW w:w="2464" w:type="dxa"/>
          </w:tcPr>
          <w:p>
            <w:pPr>
              <w:pStyle w:val="TableParagraph"/>
              <w:spacing w:line="278" w:lineRule="auto" w:before="271"/>
              <w:ind w:left="42"/>
              <w:rPr>
                <w:sz w:val="38"/>
              </w:rPr>
            </w:pPr>
            <w:r>
              <w:rPr>
                <w:w w:val="95"/>
                <w:sz w:val="38"/>
              </w:rPr>
              <w:t>Ready-made </w:t>
            </w:r>
            <w:r>
              <w:rPr>
                <w:sz w:val="38"/>
              </w:rPr>
              <w:t>sauces</w:t>
            </w:r>
          </w:p>
        </w:tc>
        <w:tc>
          <w:tcPr>
            <w:tcW w:w="1178" w:type="dxa"/>
          </w:tcPr>
          <w:p>
            <w:pPr>
              <w:pStyle w:val="TableParagraph"/>
              <w:spacing w:before="274"/>
              <w:ind w:left="44"/>
              <w:rPr>
                <w:sz w:val="38"/>
              </w:rPr>
            </w:pPr>
            <w:r>
              <w:rPr>
                <w:sz w:val="38"/>
              </w:rPr>
              <w:t>0.7 g</w:t>
            </w:r>
          </w:p>
        </w:tc>
      </w:tr>
      <w:tr>
        <w:trPr>
          <w:trHeight w:val="1001" w:hRule="atLeast"/>
        </w:trPr>
        <w:tc>
          <w:tcPr>
            <w:tcW w:w="1088" w:type="dxa"/>
            <w:tcBorders>
              <w:left w:val="double" w:sz="2" w:space="0" w:color="EFEFEF"/>
            </w:tcBorders>
          </w:tcPr>
          <w:p>
            <w:pPr>
              <w:pStyle w:val="TableParagraph"/>
              <w:spacing w:before="274"/>
              <w:ind w:left="38"/>
              <w:rPr>
                <w:sz w:val="38"/>
              </w:rPr>
            </w:pPr>
            <w:r>
              <w:rPr>
                <w:sz w:val="38"/>
              </w:rPr>
              <w:t>1 plate</w:t>
            </w:r>
          </w:p>
        </w:tc>
        <w:tc>
          <w:tcPr>
            <w:tcW w:w="2464" w:type="dxa"/>
          </w:tcPr>
          <w:p>
            <w:pPr>
              <w:pStyle w:val="TableParagraph"/>
              <w:spacing w:before="274"/>
              <w:ind w:left="42"/>
              <w:rPr>
                <w:sz w:val="38"/>
              </w:rPr>
            </w:pPr>
            <w:r>
              <w:rPr>
                <w:sz w:val="38"/>
              </w:rPr>
              <w:t>Soup</w:t>
            </w:r>
          </w:p>
        </w:tc>
        <w:tc>
          <w:tcPr>
            <w:tcW w:w="1178" w:type="dxa"/>
          </w:tcPr>
          <w:p>
            <w:pPr>
              <w:pStyle w:val="TableParagraph"/>
              <w:spacing w:before="274"/>
              <w:ind w:left="44"/>
              <w:rPr>
                <w:sz w:val="38"/>
              </w:rPr>
            </w:pPr>
            <w:r>
              <w:rPr>
                <w:sz w:val="38"/>
              </w:rPr>
              <w:t>0.7 g</w:t>
            </w:r>
          </w:p>
        </w:tc>
      </w:tr>
      <w:tr>
        <w:trPr>
          <w:trHeight w:val="999" w:hRule="atLeast"/>
        </w:trPr>
        <w:tc>
          <w:tcPr>
            <w:tcW w:w="3552" w:type="dxa"/>
            <w:gridSpan w:val="2"/>
            <w:tcBorders>
              <w:left w:val="double" w:sz="2" w:space="0" w:color="EFEFEF"/>
            </w:tcBorders>
          </w:tcPr>
          <w:p>
            <w:pPr>
              <w:pStyle w:val="TableParagraph"/>
              <w:spacing w:before="272"/>
              <w:ind w:left="38"/>
              <w:rPr>
                <w:sz w:val="38"/>
              </w:rPr>
            </w:pPr>
            <w:r>
              <w:rPr>
                <w:sz w:val="38"/>
              </w:rPr>
              <w:t>Total</w:t>
            </w:r>
          </w:p>
        </w:tc>
        <w:tc>
          <w:tcPr>
            <w:tcW w:w="1178" w:type="dxa"/>
          </w:tcPr>
          <w:p>
            <w:pPr>
              <w:pStyle w:val="TableParagraph"/>
              <w:spacing w:before="272"/>
              <w:ind w:left="44"/>
              <w:rPr>
                <w:sz w:val="38"/>
              </w:rPr>
            </w:pPr>
            <w:r>
              <w:rPr>
                <w:sz w:val="38"/>
              </w:rPr>
              <w:t>91.5 g</w:t>
            </w:r>
          </w:p>
        </w:tc>
      </w:tr>
    </w:tbl>
    <w:p>
      <w:pPr>
        <w:spacing w:after="0"/>
        <w:rPr>
          <w:sz w:val="38"/>
        </w:rPr>
        <w:sectPr>
          <w:pgSz w:w="14270" w:h="16850"/>
          <w:pgMar w:header="0" w:footer="404" w:top="1420" w:bottom="600" w:left="800" w:right="1280"/>
        </w:sectPr>
      </w:pPr>
    </w:p>
    <w:p>
      <w:pPr>
        <w:spacing w:line="340" w:lineRule="auto" w:before="77"/>
        <w:ind w:left="616" w:right="3707" w:firstLine="0"/>
        <w:jc w:val="left"/>
        <w:rPr>
          <w:sz w:val="38"/>
        </w:rPr>
      </w:pPr>
      <w:r>
        <w:rPr>
          <w:b/>
          <w:i/>
          <w:w w:val="95"/>
          <w:sz w:val="40"/>
        </w:rPr>
        <w:t>Further examples of 'hidden' sugar in foodstuffs: </w:t>
      </w:r>
      <w:r>
        <w:rPr>
          <w:sz w:val="38"/>
        </w:rPr>
        <w:t>Iced tea contains approx. 19-24 sugar cubes per litre 1,000 g of Nesquick contains approx. 840 g of sugar Nutella consists of 60 % sugar</w:t>
      </w:r>
    </w:p>
    <w:p>
      <w:pPr>
        <w:pStyle w:val="BodyText"/>
        <w:spacing w:before="3"/>
        <w:ind w:left="616"/>
      </w:pPr>
      <w:r>
        <w:rPr/>
        <w:t>1 litre of cola contains 11 % sugar or approx. 37 sugar cubes</w:t>
      </w:r>
    </w:p>
    <w:p>
      <w:pPr>
        <w:pStyle w:val="BodyText"/>
        <w:tabs>
          <w:tab w:pos="1336" w:val="left" w:leader="none"/>
        </w:tabs>
        <w:spacing w:before="186"/>
        <w:ind w:left="616"/>
      </w:pPr>
      <w:r>
        <w:rPr>
          <w:rFonts w:ascii="Times New Roman"/>
        </w:rPr>
        <w:t>-</w:t>
        <w:tab/>
      </w:r>
      <w:r>
        <w:rPr/>
        <w:t>Jam: 60</w:t>
      </w:r>
      <w:r>
        <w:rPr>
          <w:spacing w:val="-1"/>
        </w:rPr>
        <w:t> </w:t>
      </w:r>
      <w:r>
        <w:rPr/>
        <w:t>%</w:t>
      </w:r>
    </w:p>
    <w:p>
      <w:pPr>
        <w:pStyle w:val="ListParagraph"/>
        <w:numPr>
          <w:ilvl w:val="0"/>
          <w:numId w:val="120"/>
        </w:numPr>
        <w:tabs>
          <w:tab w:pos="1336" w:val="left" w:leader="none"/>
          <w:tab w:pos="1337" w:val="left" w:leader="none"/>
        </w:tabs>
        <w:spacing w:line="240" w:lineRule="auto" w:before="184" w:after="0"/>
        <w:ind w:left="1336" w:right="0" w:hanging="720"/>
        <w:jc w:val="left"/>
        <w:rPr>
          <w:sz w:val="38"/>
        </w:rPr>
      </w:pPr>
      <w:r>
        <w:rPr>
          <w:sz w:val="38"/>
        </w:rPr>
        <w:t>Marmalade: 55–65</w:t>
      </w:r>
      <w:r>
        <w:rPr>
          <w:spacing w:val="-1"/>
          <w:sz w:val="38"/>
        </w:rPr>
        <w:t> </w:t>
      </w:r>
      <w:r>
        <w:rPr>
          <w:sz w:val="38"/>
        </w:rPr>
        <w:t>%</w:t>
      </w:r>
    </w:p>
    <w:p>
      <w:pPr>
        <w:pStyle w:val="ListParagraph"/>
        <w:numPr>
          <w:ilvl w:val="0"/>
          <w:numId w:val="120"/>
        </w:numPr>
        <w:tabs>
          <w:tab w:pos="1336" w:val="left" w:leader="none"/>
          <w:tab w:pos="1337" w:val="left" w:leader="none"/>
        </w:tabs>
        <w:spacing w:line="240" w:lineRule="auto" w:before="184" w:after="0"/>
        <w:ind w:left="1336" w:right="0" w:hanging="720"/>
        <w:jc w:val="left"/>
        <w:rPr>
          <w:sz w:val="38"/>
        </w:rPr>
      </w:pPr>
      <w:r>
        <w:rPr>
          <w:sz w:val="38"/>
        </w:rPr>
        <w:t>Chocolate: up to 56</w:t>
      </w:r>
      <w:r>
        <w:rPr>
          <w:spacing w:val="-1"/>
          <w:sz w:val="38"/>
        </w:rPr>
        <w:t> </w:t>
      </w:r>
      <w:r>
        <w:rPr>
          <w:sz w:val="38"/>
        </w:rPr>
        <w:t>%</w:t>
      </w:r>
    </w:p>
    <w:p>
      <w:pPr>
        <w:pStyle w:val="ListParagraph"/>
        <w:numPr>
          <w:ilvl w:val="0"/>
          <w:numId w:val="120"/>
        </w:numPr>
        <w:tabs>
          <w:tab w:pos="1336" w:val="left" w:leader="none"/>
          <w:tab w:pos="1337" w:val="left" w:leader="none"/>
        </w:tabs>
        <w:spacing w:line="240" w:lineRule="auto" w:before="183" w:after="0"/>
        <w:ind w:left="1336" w:right="0" w:hanging="720"/>
        <w:jc w:val="left"/>
        <w:rPr>
          <w:sz w:val="38"/>
        </w:rPr>
      </w:pPr>
      <w:r>
        <w:rPr>
          <w:sz w:val="38"/>
        </w:rPr>
        <w:t>Sweets: 96 %</w:t>
      </w:r>
    </w:p>
    <w:p>
      <w:pPr>
        <w:pStyle w:val="ListParagraph"/>
        <w:numPr>
          <w:ilvl w:val="0"/>
          <w:numId w:val="120"/>
        </w:numPr>
        <w:tabs>
          <w:tab w:pos="1336" w:val="left" w:leader="none"/>
          <w:tab w:pos="1337" w:val="left" w:leader="none"/>
        </w:tabs>
        <w:spacing w:line="240" w:lineRule="auto" w:before="184" w:after="0"/>
        <w:ind w:left="1336" w:right="0" w:hanging="720"/>
        <w:jc w:val="left"/>
        <w:rPr>
          <w:sz w:val="38"/>
        </w:rPr>
      </w:pPr>
      <w:r>
        <w:rPr>
          <w:sz w:val="38"/>
        </w:rPr>
        <w:t>Liquorice: 78</w:t>
      </w:r>
      <w:r>
        <w:rPr>
          <w:spacing w:val="-1"/>
          <w:sz w:val="38"/>
        </w:rPr>
        <w:t> </w:t>
      </w:r>
      <w:r>
        <w:rPr>
          <w:sz w:val="38"/>
        </w:rPr>
        <w:t>%</w:t>
      </w:r>
    </w:p>
    <w:p>
      <w:pPr>
        <w:pStyle w:val="ListParagraph"/>
        <w:numPr>
          <w:ilvl w:val="0"/>
          <w:numId w:val="120"/>
        </w:numPr>
        <w:tabs>
          <w:tab w:pos="1336" w:val="left" w:leader="none"/>
          <w:tab w:pos="1337" w:val="left" w:leader="none"/>
        </w:tabs>
        <w:spacing w:line="240" w:lineRule="auto" w:before="186" w:after="0"/>
        <w:ind w:left="1336" w:right="0" w:hanging="720"/>
        <w:jc w:val="left"/>
        <w:rPr>
          <w:sz w:val="38"/>
        </w:rPr>
      </w:pPr>
      <w:r>
        <w:rPr>
          <w:sz w:val="38"/>
        </w:rPr>
        <w:t>Chewing gum: 78 %</w:t>
      </w:r>
    </w:p>
    <w:p>
      <w:pPr>
        <w:pStyle w:val="ListParagraph"/>
        <w:numPr>
          <w:ilvl w:val="0"/>
          <w:numId w:val="120"/>
        </w:numPr>
        <w:tabs>
          <w:tab w:pos="1336" w:val="left" w:leader="none"/>
          <w:tab w:pos="1337" w:val="left" w:leader="none"/>
        </w:tabs>
        <w:spacing w:line="240" w:lineRule="auto" w:before="184" w:after="0"/>
        <w:ind w:left="1336" w:right="0" w:hanging="720"/>
        <w:jc w:val="left"/>
        <w:rPr>
          <w:sz w:val="38"/>
        </w:rPr>
      </w:pPr>
      <w:r>
        <w:rPr>
          <w:sz w:val="38"/>
        </w:rPr>
        <w:t>Sherbet: up to 32</w:t>
      </w:r>
      <w:r>
        <w:rPr>
          <w:spacing w:val="-10"/>
          <w:sz w:val="38"/>
        </w:rPr>
        <w:t> </w:t>
      </w:r>
      <w:r>
        <w:rPr>
          <w:sz w:val="38"/>
        </w:rPr>
        <w:t>%</w:t>
      </w:r>
    </w:p>
    <w:p>
      <w:pPr>
        <w:pStyle w:val="ListParagraph"/>
        <w:numPr>
          <w:ilvl w:val="0"/>
          <w:numId w:val="120"/>
        </w:numPr>
        <w:tabs>
          <w:tab w:pos="1336" w:val="left" w:leader="none"/>
          <w:tab w:pos="1337" w:val="left" w:leader="none"/>
        </w:tabs>
        <w:spacing w:line="240" w:lineRule="auto" w:before="183" w:after="0"/>
        <w:ind w:left="1336" w:right="0" w:hanging="720"/>
        <w:jc w:val="left"/>
        <w:rPr>
          <w:sz w:val="38"/>
        </w:rPr>
      </w:pPr>
      <w:r>
        <w:rPr>
          <w:sz w:val="38"/>
        </w:rPr>
        <w:t>Gummi bears: 76</w:t>
      </w:r>
      <w:r>
        <w:rPr>
          <w:spacing w:val="-5"/>
          <w:sz w:val="38"/>
        </w:rPr>
        <w:t> </w:t>
      </w:r>
      <w:r>
        <w:rPr>
          <w:sz w:val="38"/>
        </w:rPr>
        <w:t>%</w:t>
      </w:r>
    </w:p>
    <w:p>
      <w:pPr>
        <w:pStyle w:val="ListParagraph"/>
        <w:numPr>
          <w:ilvl w:val="0"/>
          <w:numId w:val="120"/>
        </w:numPr>
        <w:tabs>
          <w:tab w:pos="1336" w:val="left" w:leader="none"/>
          <w:tab w:pos="1337" w:val="left" w:leader="none"/>
        </w:tabs>
        <w:spacing w:line="240" w:lineRule="auto" w:before="184" w:after="0"/>
        <w:ind w:left="1336" w:right="0" w:hanging="720"/>
        <w:jc w:val="left"/>
        <w:rPr>
          <w:sz w:val="38"/>
        </w:rPr>
      </w:pPr>
      <w:r>
        <w:rPr>
          <w:sz w:val="38"/>
        </w:rPr>
        <w:t>Cocoa drink: 79</w:t>
      </w:r>
      <w:r>
        <w:rPr>
          <w:spacing w:val="-2"/>
          <w:sz w:val="38"/>
        </w:rPr>
        <w:t> </w:t>
      </w:r>
      <w:r>
        <w:rPr>
          <w:sz w:val="38"/>
        </w:rPr>
        <w:t>%</w:t>
      </w:r>
    </w:p>
    <w:p>
      <w:pPr>
        <w:pStyle w:val="ListParagraph"/>
        <w:numPr>
          <w:ilvl w:val="0"/>
          <w:numId w:val="120"/>
        </w:numPr>
        <w:tabs>
          <w:tab w:pos="1336" w:val="left" w:leader="none"/>
          <w:tab w:pos="1337" w:val="left" w:leader="none"/>
        </w:tabs>
        <w:spacing w:line="240" w:lineRule="auto" w:before="186" w:after="0"/>
        <w:ind w:left="1336" w:right="0" w:hanging="720"/>
        <w:jc w:val="left"/>
        <w:rPr>
          <w:sz w:val="38"/>
        </w:rPr>
      </w:pPr>
      <w:r>
        <w:rPr>
          <w:sz w:val="38"/>
        </w:rPr>
        <w:t>Breakfast cereals: 40–50</w:t>
      </w:r>
      <w:r>
        <w:rPr>
          <w:spacing w:val="-5"/>
          <w:sz w:val="38"/>
        </w:rPr>
        <w:t> </w:t>
      </w:r>
      <w:r>
        <w:rPr>
          <w:sz w:val="38"/>
        </w:rPr>
        <w:t>%</w:t>
      </w:r>
    </w:p>
    <w:p>
      <w:pPr>
        <w:pStyle w:val="ListParagraph"/>
        <w:numPr>
          <w:ilvl w:val="0"/>
          <w:numId w:val="120"/>
        </w:numPr>
        <w:tabs>
          <w:tab w:pos="1336" w:val="left" w:leader="none"/>
          <w:tab w:pos="1337" w:val="left" w:leader="none"/>
        </w:tabs>
        <w:spacing w:line="240" w:lineRule="auto" w:before="184" w:after="0"/>
        <w:ind w:left="1336" w:right="0" w:hanging="720"/>
        <w:jc w:val="left"/>
        <w:rPr>
          <w:sz w:val="38"/>
        </w:rPr>
      </w:pPr>
      <w:r>
        <w:rPr>
          <w:sz w:val="38"/>
        </w:rPr>
        <w:t>Tomato ketchup: 30–50</w:t>
      </w:r>
      <w:r>
        <w:rPr>
          <w:spacing w:val="-4"/>
          <w:sz w:val="38"/>
        </w:rPr>
        <w:t> </w:t>
      </w:r>
      <w:r>
        <w:rPr>
          <w:sz w:val="38"/>
        </w:rPr>
        <w:t>%</w:t>
      </w:r>
    </w:p>
    <w:p>
      <w:pPr>
        <w:pStyle w:val="ListParagraph"/>
        <w:numPr>
          <w:ilvl w:val="0"/>
          <w:numId w:val="120"/>
        </w:numPr>
        <w:tabs>
          <w:tab w:pos="1336" w:val="left" w:leader="none"/>
          <w:tab w:pos="1337" w:val="left" w:leader="none"/>
        </w:tabs>
        <w:spacing w:line="240" w:lineRule="auto" w:before="183" w:after="0"/>
        <w:ind w:left="1336" w:right="0" w:hanging="720"/>
        <w:jc w:val="left"/>
        <w:rPr>
          <w:sz w:val="38"/>
        </w:rPr>
      </w:pPr>
      <w:r>
        <w:rPr>
          <w:sz w:val="38"/>
        </w:rPr>
        <w:t>Apple sauce: 20</w:t>
      </w:r>
      <w:r>
        <w:rPr>
          <w:spacing w:val="-3"/>
          <w:sz w:val="38"/>
        </w:rPr>
        <w:t> </w:t>
      </w:r>
      <w:r>
        <w:rPr>
          <w:sz w:val="38"/>
        </w:rPr>
        <w:t>%</w:t>
      </w:r>
    </w:p>
    <w:p>
      <w:pPr>
        <w:pStyle w:val="BodyText"/>
        <w:tabs>
          <w:tab w:pos="1336" w:val="left" w:leader="none"/>
        </w:tabs>
        <w:spacing w:before="185"/>
        <w:ind w:left="616"/>
      </w:pPr>
      <w:r>
        <w:rPr>
          <w:rFonts w:ascii="Times New Roman" w:hAnsi="Times New Roman"/>
        </w:rPr>
        <w:t>-</w:t>
        <w:tab/>
      </w:r>
      <w:r>
        <w:rPr/>
        <w:t>Muesli: 20–30</w:t>
      </w:r>
      <w:r>
        <w:rPr>
          <w:spacing w:val="2"/>
        </w:rPr>
        <w:t> </w:t>
      </w:r>
      <w:r>
        <w:rPr/>
        <w:t>%</w:t>
      </w:r>
    </w:p>
    <w:p>
      <w:pPr>
        <w:pStyle w:val="ListParagraph"/>
        <w:numPr>
          <w:ilvl w:val="0"/>
          <w:numId w:val="120"/>
        </w:numPr>
        <w:tabs>
          <w:tab w:pos="1336" w:val="left" w:leader="none"/>
          <w:tab w:pos="1337" w:val="left" w:leader="none"/>
        </w:tabs>
        <w:spacing w:line="240" w:lineRule="auto" w:before="183" w:after="0"/>
        <w:ind w:left="1336" w:right="0" w:hanging="720"/>
        <w:jc w:val="left"/>
        <w:rPr>
          <w:sz w:val="38"/>
        </w:rPr>
      </w:pPr>
      <w:r>
        <w:rPr>
          <w:sz w:val="38"/>
        </w:rPr>
        <w:t>Tinned pineapple:</w:t>
      </w:r>
      <w:r>
        <w:rPr>
          <w:spacing w:val="1"/>
          <w:sz w:val="38"/>
        </w:rPr>
        <w:t> </w:t>
      </w:r>
      <w:r>
        <w:rPr>
          <w:sz w:val="38"/>
        </w:rPr>
        <w:t>20</w:t>
      </w:r>
    </w:p>
    <w:p>
      <w:pPr>
        <w:spacing w:after="0" w:line="240" w:lineRule="auto"/>
        <w:jc w:val="left"/>
        <w:rPr>
          <w:sz w:val="38"/>
        </w:rPr>
        <w:sectPr>
          <w:pgSz w:w="14270" w:h="16850"/>
          <w:pgMar w:header="0" w:footer="404" w:top="1320" w:bottom="600" w:left="800" w:right="1280"/>
        </w:sectPr>
      </w:pPr>
    </w:p>
    <w:p>
      <w:pPr>
        <w:pStyle w:val="ListParagraph"/>
        <w:numPr>
          <w:ilvl w:val="0"/>
          <w:numId w:val="120"/>
        </w:numPr>
        <w:tabs>
          <w:tab w:pos="1337" w:val="left" w:leader="none"/>
        </w:tabs>
        <w:spacing w:line="240" w:lineRule="auto" w:before="53" w:after="0"/>
        <w:ind w:left="1336" w:right="0" w:hanging="720"/>
        <w:jc w:val="both"/>
        <w:rPr>
          <w:sz w:val="38"/>
        </w:rPr>
      </w:pPr>
      <w:r>
        <w:rPr>
          <w:sz w:val="38"/>
        </w:rPr>
        <w:t>Fruit nectar: up to 20</w:t>
      </w:r>
      <w:r>
        <w:rPr>
          <w:spacing w:val="1"/>
          <w:sz w:val="38"/>
        </w:rPr>
        <w:t> </w:t>
      </w:r>
      <w:r>
        <w:rPr>
          <w:sz w:val="38"/>
        </w:rPr>
        <w:t>%</w:t>
      </w:r>
    </w:p>
    <w:p>
      <w:pPr>
        <w:pStyle w:val="ListParagraph"/>
        <w:numPr>
          <w:ilvl w:val="0"/>
          <w:numId w:val="120"/>
        </w:numPr>
        <w:tabs>
          <w:tab w:pos="1337" w:val="left" w:leader="none"/>
        </w:tabs>
        <w:spacing w:line="240" w:lineRule="auto" w:before="186" w:after="0"/>
        <w:ind w:left="1336" w:right="0" w:hanging="720"/>
        <w:jc w:val="both"/>
        <w:rPr>
          <w:sz w:val="38"/>
        </w:rPr>
      </w:pPr>
      <w:r>
        <w:rPr>
          <w:sz w:val="38"/>
        </w:rPr>
        <w:t>Mustard: 18</w:t>
      </w:r>
      <w:r>
        <w:rPr>
          <w:spacing w:val="-1"/>
          <w:sz w:val="38"/>
        </w:rPr>
        <w:t> </w:t>
      </w:r>
      <w:r>
        <w:rPr>
          <w:sz w:val="38"/>
        </w:rPr>
        <w:t>%</w:t>
      </w:r>
    </w:p>
    <w:p>
      <w:pPr>
        <w:pStyle w:val="ListParagraph"/>
        <w:numPr>
          <w:ilvl w:val="0"/>
          <w:numId w:val="120"/>
        </w:numPr>
        <w:tabs>
          <w:tab w:pos="1337" w:val="left" w:leader="none"/>
        </w:tabs>
        <w:spacing w:line="240" w:lineRule="auto" w:before="184" w:after="0"/>
        <w:ind w:left="1336" w:right="0" w:hanging="720"/>
        <w:jc w:val="both"/>
        <w:rPr>
          <w:sz w:val="38"/>
        </w:rPr>
      </w:pPr>
      <w:r>
        <w:rPr>
          <w:sz w:val="38"/>
        </w:rPr>
        <w:t>Dairy ice cream: 15 %</w:t>
      </w:r>
    </w:p>
    <w:p>
      <w:pPr>
        <w:pStyle w:val="ListParagraph"/>
        <w:numPr>
          <w:ilvl w:val="0"/>
          <w:numId w:val="120"/>
        </w:numPr>
        <w:tabs>
          <w:tab w:pos="1337" w:val="left" w:leader="none"/>
        </w:tabs>
        <w:spacing w:line="240" w:lineRule="auto" w:before="184" w:after="0"/>
        <w:ind w:left="1336" w:right="0" w:hanging="720"/>
        <w:jc w:val="both"/>
        <w:rPr>
          <w:sz w:val="38"/>
        </w:rPr>
      </w:pPr>
      <w:r>
        <w:rPr>
          <w:sz w:val="38"/>
        </w:rPr>
        <w:t>Lemonade: 12</w:t>
      </w:r>
      <w:r>
        <w:rPr>
          <w:spacing w:val="-1"/>
          <w:sz w:val="38"/>
        </w:rPr>
        <w:t> </w:t>
      </w:r>
      <w:r>
        <w:rPr>
          <w:sz w:val="38"/>
        </w:rPr>
        <w:t>%</w:t>
      </w:r>
    </w:p>
    <w:p>
      <w:pPr>
        <w:pStyle w:val="Heading1"/>
        <w:spacing w:line="264" w:lineRule="auto" w:before="284"/>
        <w:ind w:left="616" w:right="137"/>
      </w:pPr>
      <w:r>
        <w:rPr/>
        <w:t>Why</w:t>
      </w:r>
      <w:r>
        <w:rPr>
          <w:spacing w:val="-57"/>
        </w:rPr>
        <w:t> </w:t>
      </w:r>
      <w:r>
        <w:rPr/>
        <w:t>are</w:t>
      </w:r>
      <w:r>
        <w:rPr>
          <w:spacing w:val="-56"/>
        </w:rPr>
        <w:t> </w:t>
      </w:r>
      <w:r>
        <w:rPr/>
        <w:t>artificial</w:t>
      </w:r>
      <w:r>
        <w:rPr>
          <w:spacing w:val="-56"/>
        </w:rPr>
        <w:t> </w:t>
      </w:r>
      <w:r>
        <w:rPr/>
        <w:t>sweeteners/sugar</w:t>
      </w:r>
      <w:r>
        <w:rPr>
          <w:spacing w:val="-57"/>
        </w:rPr>
        <w:t> </w:t>
      </w:r>
      <w:r>
        <w:rPr/>
        <w:t>substitutes</w:t>
      </w:r>
      <w:r>
        <w:rPr>
          <w:spacing w:val="-56"/>
        </w:rPr>
        <w:t> </w:t>
      </w:r>
      <w:r>
        <w:rPr/>
        <w:t>unhealthy</w:t>
      </w:r>
      <w:r>
        <w:rPr>
          <w:spacing w:val="-56"/>
        </w:rPr>
        <w:t> </w:t>
      </w:r>
      <w:r>
        <w:rPr/>
        <w:t>and</w:t>
      </w:r>
      <w:r>
        <w:rPr>
          <w:spacing w:val="-56"/>
        </w:rPr>
        <w:t> </w:t>
      </w:r>
      <w:r>
        <w:rPr/>
        <w:t>how</w:t>
      </w:r>
      <w:r>
        <w:rPr>
          <w:spacing w:val="-56"/>
        </w:rPr>
        <w:t> </w:t>
      </w:r>
      <w:r>
        <w:rPr/>
        <w:t>ex- actly do they work?</w:t>
      </w:r>
    </w:p>
    <w:p>
      <w:pPr>
        <w:pStyle w:val="BodyText"/>
        <w:spacing w:line="276" w:lineRule="auto" w:before="252"/>
        <w:ind w:left="616" w:right="132"/>
        <w:jc w:val="both"/>
      </w:pPr>
      <w:r>
        <w:rPr/>
        <w:t>Even</w:t>
      </w:r>
      <w:r>
        <w:rPr>
          <w:spacing w:val="-6"/>
        </w:rPr>
        <w:t> </w:t>
      </w:r>
      <w:r>
        <w:rPr/>
        <w:t>though,</w:t>
      </w:r>
      <w:r>
        <w:rPr>
          <w:spacing w:val="-5"/>
        </w:rPr>
        <w:t> </w:t>
      </w:r>
      <w:r>
        <w:rPr/>
        <w:t>to</w:t>
      </w:r>
      <w:r>
        <w:rPr>
          <w:spacing w:val="-8"/>
        </w:rPr>
        <w:t> </w:t>
      </w:r>
      <w:r>
        <w:rPr/>
        <w:t>be</w:t>
      </w:r>
      <w:r>
        <w:rPr>
          <w:spacing w:val="-5"/>
        </w:rPr>
        <w:t> </w:t>
      </w:r>
      <w:r>
        <w:rPr/>
        <w:t>fair,</w:t>
      </w:r>
      <w:r>
        <w:rPr>
          <w:spacing w:val="-5"/>
        </w:rPr>
        <w:t> </w:t>
      </w:r>
      <w:r>
        <w:rPr/>
        <w:t>we</w:t>
      </w:r>
      <w:r>
        <w:rPr>
          <w:spacing w:val="-7"/>
        </w:rPr>
        <w:t> </w:t>
      </w:r>
      <w:r>
        <w:rPr/>
        <w:t>must</w:t>
      </w:r>
      <w:r>
        <w:rPr>
          <w:spacing w:val="-6"/>
        </w:rPr>
        <w:t> </w:t>
      </w:r>
      <w:r>
        <w:rPr/>
        <w:t>classify</w:t>
      </w:r>
      <w:r>
        <w:rPr>
          <w:spacing w:val="-5"/>
        </w:rPr>
        <w:t> </w:t>
      </w:r>
      <w:r>
        <w:rPr/>
        <w:t>various</w:t>
      </w:r>
      <w:r>
        <w:rPr>
          <w:spacing w:val="-6"/>
        </w:rPr>
        <w:t> </w:t>
      </w:r>
      <w:r>
        <w:rPr/>
        <w:t>sweeteners</w:t>
      </w:r>
      <w:r>
        <w:rPr>
          <w:spacing w:val="-5"/>
        </w:rPr>
        <w:t> </w:t>
      </w:r>
      <w:r>
        <w:rPr/>
        <w:t>differently</w:t>
      </w:r>
      <w:r>
        <w:rPr>
          <w:spacing w:val="-6"/>
        </w:rPr>
        <w:t> </w:t>
      </w:r>
      <w:r>
        <w:rPr/>
        <w:t>due</w:t>
      </w:r>
      <w:r>
        <w:rPr>
          <w:spacing w:val="-8"/>
        </w:rPr>
        <w:t> </w:t>
      </w:r>
      <w:r>
        <w:rPr/>
        <w:t>to their contents, any reasonably intelligent person would hear alarm bells when they</w:t>
      </w:r>
      <w:r>
        <w:rPr>
          <w:spacing w:val="-7"/>
        </w:rPr>
        <w:t> </w:t>
      </w:r>
      <w:r>
        <w:rPr/>
        <w:t>read</w:t>
      </w:r>
      <w:r>
        <w:rPr>
          <w:spacing w:val="-9"/>
        </w:rPr>
        <w:t> </w:t>
      </w:r>
      <w:r>
        <w:rPr/>
        <w:t>that</w:t>
      </w:r>
      <w:r>
        <w:rPr>
          <w:spacing w:val="-8"/>
        </w:rPr>
        <w:t> </w:t>
      </w:r>
      <w:r>
        <w:rPr/>
        <w:t>the</w:t>
      </w:r>
      <w:r>
        <w:rPr>
          <w:spacing w:val="-7"/>
        </w:rPr>
        <w:t> </w:t>
      </w:r>
      <w:r>
        <w:rPr/>
        <w:t>sweetener</w:t>
      </w:r>
      <w:r>
        <w:rPr>
          <w:spacing w:val="-7"/>
        </w:rPr>
        <w:t> </w:t>
      </w:r>
      <w:r>
        <w:rPr/>
        <w:t>'aspartame',</w:t>
      </w:r>
      <w:r>
        <w:rPr>
          <w:spacing w:val="-7"/>
        </w:rPr>
        <w:t> </w:t>
      </w:r>
      <w:r>
        <w:rPr/>
        <w:t>for</w:t>
      </w:r>
      <w:r>
        <w:rPr>
          <w:spacing w:val="-6"/>
        </w:rPr>
        <w:t> </w:t>
      </w:r>
      <w:r>
        <w:rPr/>
        <w:t>example,</w:t>
      </w:r>
      <w:r>
        <w:rPr>
          <w:spacing w:val="-7"/>
        </w:rPr>
        <w:t> </w:t>
      </w:r>
      <w:r>
        <w:rPr/>
        <w:t>creates</w:t>
      </w:r>
      <w:r>
        <w:rPr>
          <w:spacing w:val="-7"/>
        </w:rPr>
        <w:t> </w:t>
      </w:r>
      <w:r>
        <w:rPr/>
        <w:t>dangerous</w:t>
      </w:r>
      <w:r>
        <w:rPr>
          <w:spacing w:val="-8"/>
        </w:rPr>
        <w:t> </w:t>
      </w:r>
      <w:r>
        <w:rPr/>
        <w:t>nerve gases when it is created which can cause, among other things, memory loss, blindness, hearing loss and</w:t>
      </w:r>
      <w:r>
        <w:rPr>
          <w:spacing w:val="1"/>
        </w:rPr>
        <w:t> </w:t>
      </w:r>
      <w:r>
        <w:rPr/>
        <w:t>depression.</w:t>
      </w:r>
    </w:p>
    <w:p>
      <w:pPr>
        <w:pStyle w:val="BodyText"/>
        <w:spacing w:line="276" w:lineRule="auto" w:before="240"/>
        <w:ind w:left="616" w:right="135"/>
        <w:jc w:val="both"/>
      </w:pPr>
      <w:r>
        <w:rPr/>
        <w:t>Yet, in regard to aspartame, which was discovered in 1965 by a chemist from the</w:t>
      </w:r>
      <w:r>
        <w:rPr>
          <w:spacing w:val="-6"/>
        </w:rPr>
        <w:t> </w:t>
      </w:r>
      <w:r>
        <w:rPr/>
        <w:t>Chicago</w:t>
      </w:r>
      <w:r>
        <w:rPr>
          <w:spacing w:val="-7"/>
        </w:rPr>
        <w:t> </w:t>
      </w:r>
      <w:r>
        <w:rPr/>
        <w:t>Searle</w:t>
      </w:r>
      <w:r>
        <w:rPr>
          <w:spacing w:val="-7"/>
        </w:rPr>
        <w:t> </w:t>
      </w:r>
      <w:r>
        <w:rPr/>
        <w:t>Company</w:t>
      </w:r>
      <w:r>
        <w:rPr>
          <w:spacing w:val="-4"/>
        </w:rPr>
        <w:t> </w:t>
      </w:r>
      <w:r>
        <w:rPr/>
        <w:t>and</w:t>
      </w:r>
      <w:r>
        <w:rPr>
          <w:spacing w:val="-7"/>
        </w:rPr>
        <w:t> </w:t>
      </w:r>
      <w:r>
        <w:rPr/>
        <w:t>enjoyed</w:t>
      </w:r>
      <w:r>
        <w:rPr>
          <w:spacing w:val="-6"/>
        </w:rPr>
        <w:t> </w:t>
      </w:r>
      <w:r>
        <w:rPr/>
        <w:t>great</w:t>
      </w:r>
      <w:r>
        <w:rPr>
          <w:spacing w:val="-7"/>
        </w:rPr>
        <w:t> </w:t>
      </w:r>
      <w:r>
        <w:rPr/>
        <w:t>popularity</w:t>
      </w:r>
      <w:r>
        <w:rPr>
          <w:spacing w:val="-8"/>
        </w:rPr>
        <w:t> </w:t>
      </w:r>
      <w:r>
        <w:rPr/>
        <w:t>due</w:t>
      </w:r>
      <w:r>
        <w:rPr>
          <w:spacing w:val="-8"/>
        </w:rPr>
        <w:t> </w:t>
      </w:r>
      <w:r>
        <w:rPr/>
        <w:t>to</w:t>
      </w:r>
      <w:r>
        <w:rPr>
          <w:spacing w:val="-7"/>
        </w:rPr>
        <w:t> </w:t>
      </w:r>
      <w:r>
        <w:rPr/>
        <w:t>its</w:t>
      </w:r>
      <w:r>
        <w:rPr>
          <w:spacing w:val="-7"/>
        </w:rPr>
        <w:t> </w:t>
      </w:r>
      <w:r>
        <w:rPr/>
        <w:t>sugar-like taste, it is shocking to learn that it is still contained in over 9,000 products in over 90</w:t>
      </w:r>
      <w:r>
        <w:rPr>
          <w:spacing w:val="-1"/>
        </w:rPr>
        <w:t> </w:t>
      </w:r>
      <w:r>
        <w:rPr/>
        <w:t>countries.</w:t>
      </w:r>
    </w:p>
    <w:p>
      <w:pPr>
        <w:pStyle w:val="BodyText"/>
        <w:spacing w:line="276" w:lineRule="auto" w:before="242"/>
        <w:ind w:left="616"/>
      </w:pPr>
      <w:r>
        <w:rPr/>
        <w:t>According to a list from the American FDA, there are over 92 symptoms which can be traced back to aspartame poisoning – here are the most serious:</w:t>
      </w:r>
    </w:p>
    <w:p>
      <w:pPr>
        <w:pStyle w:val="ListParagraph"/>
        <w:numPr>
          <w:ilvl w:val="0"/>
          <w:numId w:val="124"/>
        </w:numPr>
        <w:tabs>
          <w:tab w:pos="1336" w:val="left" w:leader="none"/>
          <w:tab w:pos="1337" w:val="left" w:leader="none"/>
        </w:tabs>
        <w:spacing w:line="240" w:lineRule="auto" w:before="118" w:after="0"/>
        <w:ind w:left="616" w:right="0" w:firstLine="0"/>
        <w:jc w:val="both"/>
        <w:rPr>
          <w:rFonts w:ascii="Symbol"/>
          <w:sz w:val="20"/>
        </w:rPr>
      </w:pPr>
      <w:r>
        <w:rPr>
          <w:sz w:val="38"/>
        </w:rPr>
        <w:t>Arthrosis</w:t>
      </w:r>
    </w:p>
    <w:p>
      <w:pPr>
        <w:pStyle w:val="ListParagraph"/>
        <w:numPr>
          <w:ilvl w:val="0"/>
          <w:numId w:val="124"/>
        </w:numPr>
        <w:tabs>
          <w:tab w:pos="1336" w:val="left" w:leader="none"/>
          <w:tab w:pos="1337" w:val="left" w:leader="none"/>
        </w:tabs>
        <w:spacing w:line="240" w:lineRule="auto" w:before="185" w:after="0"/>
        <w:ind w:left="616" w:right="0" w:firstLine="0"/>
        <w:jc w:val="both"/>
        <w:rPr>
          <w:rFonts w:ascii="Symbol"/>
          <w:sz w:val="20"/>
        </w:rPr>
      </w:pPr>
      <w:r>
        <w:rPr>
          <w:sz w:val="38"/>
        </w:rPr>
        <w:t>Anxiety</w:t>
      </w:r>
    </w:p>
    <w:p>
      <w:pPr>
        <w:pStyle w:val="ListParagraph"/>
        <w:numPr>
          <w:ilvl w:val="0"/>
          <w:numId w:val="124"/>
        </w:numPr>
        <w:tabs>
          <w:tab w:pos="1336" w:val="left" w:leader="none"/>
          <w:tab w:pos="1337" w:val="left" w:leader="none"/>
        </w:tabs>
        <w:spacing w:line="240" w:lineRule="auto" w:before="185" w:after="0"/>
        <w:ind w:left="616" w:right="0" w:firstLine="0"/>
        <w:jc w:val="both"/>
        <w:rPr>
          <w:rFonts w:ascii="Symbol"/>
          <w:sz w:val="20"/>
        </w:rPr>
      </w:pPr>
      <w:r>
        <w:rPr>
          <w:sz w:val="38"/>
        </w:rPr>
        <w:t>Asthmatic</w:t>
      </w:r>
      <w:r>
        <w:rPr>
          <w:spacing w:val="-2"/>
          <w:sz w:val="38"/>
        </w:rPr>
        <w:t> </w:t>
      </w:r>
      <w:r>
        <w:rPr>
          <w:sz w:val="38"/>
        </w:rPr>
        <w:t>reactions</w:t>
      </w:r>
    </w:p>
    <w:p>
      <w:pPr>
        <w:spacing w:after="0" w:line="240" w:lineRule="auto"/>
        <w:jc w:val="both"/>
        <w:rPr>
          <w:rFonts w:ascii="Symbol"/>
          <w:sz w:val="20"/>
        </w:rPr>
        <w:sectPr>
          <w:footerReference w:type="default" r:id="rId376"/>
          <w:pgSz w:w="14270" w:h="16850"/>
          <w:pgMar w:footer="1891" w:header="0" w:top="1360" w:bottom="2080" w:left="800" w:right="1280"/>
          <w:pgNumType w:start="1590"/>
        </w:sectPr>
      </w:pPr>
    </w:p>
    <w:p>
      <w:pPr>
        <w:pStyle w:val="ListParagraph"/>
        <w:numPr>
          <w:ilvl w:val="0"/>
          <w:numId w:val="124"/>
        </w:numPr>
        <w:tabs>
          <w:tab w:pos="1336" w:val="left" w:leader="none"/>
          <w:tab w:pos="1337" w:val="left" w:leader="none"/>
        </w:tabs>
        <w:spacing w:line="240" w:lineRule="auto" w:before="72" w:after="0"/>
        <w:ind w:left="616" w:right="0" w:firstLine="0"/>
        <w:jc w:val="left"/>
        <w:rPr>
          <w:rFonts w:ascii="Symbol"/>
          <w:sz w:val="20"/>
        </w:rPr>
      </w:pPr>
      <w:r>
        <w:rPr>
          <w:sz w:val="38"/>
        </w:rPr>
        <w:t>Abdominal</w:t>
      </w:r>
      <w:r>
        <w:rPr>
          <w:spacing w:val="-1"/>
          <w:sz w:val="38"/>
        </w:rPr>
        <w:t> </w:t>
      </w:r>
      <w:r>
        <w:rPr>
          <w:sz w:val="38"/>
        </w:rPr>
        <w:t>pains</w:t>
      </w:r>
    </w:p>
    <w:p>
      <w:pPr>
        <w:pStyle w:val="ListParagraph"/>
        <w:numPr>
          <w:ilvl w:val="0"/>
          <w:numId w:val="124"/>
        </w:numPr>
        <w:tabs>
          <w:tab w:pos="1336" w:val="left" w:leader="none"/>
          <w:tab w:pos="1337" w:val="left" w:leader="none"/>
        </w:tabs>
        <w:spacing w:line="240" w:lineRule="auto" w:before="184" w:after="0"/>
        <w:ind w:left="616" w:right="0" w:firstLine="0"/>
        <w:jc w:val="left"/>
        <w:rPr>
          <w:rFonts w:ascii="Symbol"/>
          <w:sz w:val="20"/>
        </w:rPr>
      </w:pPr>
      <w:r>
        <w:rPr>
          <w:sz w:val="38"/>
        </w:rPr>
        <w:t>Itching and skin</w:t>
      </w:r>
      <w:r>
        <w:rPr>
          <w:spacing w:val="1"/>
          <w:sz w:val="38"/>
        </w:rPr>
        <w:t> </w:t>
      </w:r>
      <w:r>
        <w:rPr>
          <w:sz w:val="38"/>
        </w:rPr>
        <w:t>irritations</w:t>
      </w:r>
    </w:p>
    <w:p>
      <w:pPr>
        <w:pStyle w:val="ListParagraph"/>
        <w:numPr>
          <w:ilvl w:val="0"/>
          <w:numId w:val="124"/>
        </w:numPr>
        <w:tabs>
          <w:tab w:pos="1336" w:val="left" w:leader="none"/>
          <w:tab w:pos="1337" w:val="left" w:leader="none"/>
        </w:tabs>
        <w:spacing w:line="240" w:lineRule="auto" w:before="185" w:after="0"/>
        <w:ind w:left="616" w:right="0" w:firstLine="0"/>
        <w:jc w:val="left"/>
        <w:rPr>
          <w:rFonts w:ascii="Symbol"/>
          <w:sz w:val="20"/>
        </w:rPr>
      </w:pPr>
      <w:r>
        <w:rPr>
          <w:sz w:val="38"/>
        </w:rPr>
        <w:t>Dizziness</w:t>
      </w:r>
    </w:p>
    <w:p>
      <w:pPr>
        <w:pStyle w:val="ListParagraph"/>
        <w:numPr>
          <w:ilvl w:val="0"/>
          <w:numId w:val="124"/>
        </w:numPr>
        <w:tabs>
          <w:tab w:pos="1336" w:val="left" w:leader="none"/>
          <w:tab w:pos="1337" w:val="left" w:leader="none"/>
        </w:tabs>
        <w:spacing w:line="240" w:lineRule="auto" w:before="184" w:after="0"/>
        <w:ind w:left="616" w:right="0" w:firstLine="0"/>
        <w:jc w:val="left"/>
        <w:rPr>
          <w:rFonts w:ascii="Symbol"/>
          <w:sz w:val="20"/>
        </w:rPr>
      </w:pPr>
      <w:r>
        <w:rPr>
          <w:sz w:val="38"/>
        </w:rPr>
        <w:t>Trembling</w:t>
      </w:r>
    </w:p>
    <w:p>
      <w:pPr>
        <w:pStyle w:val="ListParagraph"/>
        <w:numPr>
          <w:ilvl w:val="0"/>
          <w:numId w:val="124"/>
        </w:numPr>
        <w:tabs>
          <w:tab w:pos="1336" w:val="left" w:leader="none"/>
          <w:tab w:pos="1337" w:val="left" w:leader="none"/>
        </w:tabs>
        <w:spacing w:line="240" w:lineRule="auto" w:before="185" w:after="0"/>
        <w:ind w:left="616" w:right="0" w:firstLine="0"/>
        <w:jc w:val="left"/>
        <w:rPr>
          <w:rFonts w:ascii="Symbol"/>
          <w:sz w:val="20"/>
        </w:rPr>
      </w:pPr>
      <w:r>
        <w:rPr>
          <w:sz w:val="38"/>
        </w:rPr>
        <w:t>Blood sugar level</w:t>
      </w:r>
      <w:r>
        <w:rPr>
          <w:spacing w:val="-1"/>
          <w:sz w:val="38"/>
        </w:rPr>
        <w:t> </w:t>
      </w:r>
      <w:r>
        <w:rPr>
          <w:sz w:val="38"/>
        </w:rPr>
        <w:t>fluctuations</w:t>
      </w:r>
    </w:p>
    <w:p>
      <w:pPr>
        <w:pStyle w:val="ListParagraph"/>
        <w:numPr>
          <w:ilvl w:val="0"/>
          <w:numId w:val="124"/>
        </w:numPr>
        <w:tabs>
          <w:tab w:pos="1336" w:val="left" w:leader="none"/>
          <w:tab w:pos="1337" w:val="left" w:leader="none"/>
        </w:tabs>
        <w:spacing w:line="240" w:lineRule="auto" w:before="184" w:after="0"/>
        <w:ind w:left="616" w:right="0" w:firstLine="0"/>
        <w:jc w:val="left"/>
        <w:rPr>
          <w:rFonts w:ascii="Symbol"/>
          <w:sz w:val="20"/>
        </w:rPr>
      </w:pPr>
      <w:r>
        <w:rPr>
          <w:sz w:val="38"/>
        </w:rPr>
        <w:t>Burning eyes and</w:t>
      </w:r>
      <w:r>
        <w:rPr>
          <w:spacing w:val="1"/>
          <w:sz w:val="38"/>
        </w:rPr>
        <w:t> </w:t>
      </w:r>
      <w:r>
        <w:rPr>
          <w:sz w:val="38"/>
        </w:rPr>
        <w:t>throat</w:t>
      </w:r>
    </w:p>
    <w:p>
      <w:pPr>
        <w:pStyle w:val="ListParagraph"/>
        <w:numPr>
          <w:ilvl w:val="0"/>
          <w:numId w:val="124"/>
        </w:numPr>
        <w:tabs>
          <w:tab w:pos="1336" w:val="left" w:leader="none"/>
          <w:tab w:pos="1337" w:val="left" w:leader="none"/>
        </w:tabs>
        <w:spacing w:line="240" w:lineRule="auto" w:before="183" w:after="0"/>
        <w:ind w:left="616" w:right="0" w:firstLine="0"/>
        <w:jc w:val="left"/>
        <w:rPr>
          <w:rFonts w:ascii="Symbol"/>
          <w:sz w:val="20"/>
        </w:rPr>
      </w:pPr>
      <w:r>
        <w:rPr>
          <w:sz w:val="38"/>
        </w:rPr>
        <w:t>Pain when</w:t>
      </w:r>
      <w:r>
        <w:rPr>
          <w:spacing w:val="1"/>
          <w:sz w:val="38"/>
        </w:rPr>
        <w:t> </w:t>
      </w:r>
      <w:r>
        <w:rPr>
          <w:sz w:val="38"/>
        </w:rPr>
        <w:t>urinating</w:t>
      </w:r>
    </w:p>
    <w:p>
      <w:pPr>
        <w:pStyle w:val="ListParagraph"/>
        <w:numPr>
          <w:ilvl w:val="0"/>
          <w:numId w:val="124"/>
        </w:numPr>
        <w:tabs>
          <w:tab w:pos="1336" w:val="left" w:leader="none"/>
          <w:tab w:pos="1337" w:val="left" w:leader="none"/>
        </w:tabs>
        <w:spacing w:line="240" w:lineRule="auto" w:before="185" w:after="0"/>
        <w:ind w:left="616" w:right="0" w:firstLine="0"/>
        <w:jc w:val="left"/>
        <w:rPr>
          <w:rFonts w:ascii="Symbol"/>
          <w:sz w:val="20"/>
        </w:rPr>
      </w:pPr>
      <w:r>
        <w:rPr>
          <w:sz w:val="38"/>
        </w:rPr>
        <w:t>Impotence</w:t>
      </w:r>
    </w:p>
    <w:p>
      <w:pPr>
        <w:pStyle w:val="ListParagraph"/>
        <w:numPr>
          <w:ilvl w:val="0"/>
          <w:numId w:val="124"/>
        </w:numPr>
        <w:tabs>
          <w:tab w:pos="1336" w:val="left" w:leader="none"/>
          <w:tab w:pos="1337" w:val="left" w:leader="none"/>
        </w:tabs>
        <w:spacing w:line="240" w:lineRule="auto" w:before="184" w:after="0"/>
        <w:ind w:left="616" w:right="0" w:firstLine="0"/>
        <w:jc w:val="left"/>
        <w:rPr>
          <w:rFonts w:ascii="Symbol"/>
          <w:sz w:val="20"/>
        </w:rPr>
      </w:pPr>
      <w:r>
        <w:rPr>
          <w:sz w:val="38"/>
        </w:rPr>
        <w:t>Migraines</w:t>
      </w:r>
    </w:p>
    <w:p>
      <w:pPr>
        <w:pStyle w:val="ListParagraph"/>
        <w:numPr>
          <w:ilvl w:val="0"/>
          <w:numId w:val="124"/>
        </w:numPr>
        <w:tabs>
          <w:tab w:pos="1336" w:val="left" w:leader="none"/>
          <w:tab w:pos="1337" w:val="left" w:leader="none"/>
        </w:tabs>
        <w:spacing w:line="240" w:lineRule="auto" w:before="185" w:after="0"/>
        <w:ind w:left="616" w:right="0" w:firstLine="0"/>
        <w:jc w:val="left"/>
        <w:rPr>
          <w:rFonts w:ascii="Symbol"/>
          <w:sz w:val="20"/>
        </w:rPr>
      </w:pPr>
      <w:r>
        <w:rPr>
          <w:sz w:val="38"/>
        </w:rPr>
        <w:t>Chronic</w:t>
      </w:r>
      <w:r>
        <w:rPr>
          <w:spacing w:val="-2"/>
          <w:sz w:val="38"/>
        </w:rPr>
        <w:t> </w:t>
      </w:r>
      <w:r>
        <w:rPr>
          <w:sz w:val="38"/>
        </w:rPr>
        <w:t>fatigue</w:t>
      </w:r>
    </w:p>
    <w:p>
      <w:pPr>
        <w:pStyle w:val="ListParagraph"/>
        <w:numPr>
          <w:ilvl w:val="0"/>
          <w:numId w:val="124"/>
        </w:numPr>
        <w:tabs>
          <w:tab w:pos="1336" w:val="left" w:leader="none"/>
          <w:tab w:pos="1337" w:val="left" w:leader="none"/>
        </w:tabs>
        <w:spacing w:line="240" w:lineRule="auto" w:before="184" w:after="0"/>
        <w:ind w:left="616" w:right="0" w:firstLine="0"/>
        <w:jc w:val="left"/>
        <w:rPr>
          <w:rFonts w:ascii="Symbol"/>
          <w:sz w:val="20"/>
        </w:rPr>
      </w:pPr>
      <w:r>
        <w:rPr>
          <w:sz w:val="38"/>
        </w:rPr>
        <w:t>Hair</w:t>
      </w:r>
      <w:r>
        <w:rPr>
          <w:spacing w:val="-1"/>
          <w:sz w:val="38"/>
        </w:rPr>
        <w:t> </w:t>
      </w:r>
      <w:r>
        <w:rPr>
          <w:sz w:val="38"/>
        </w:rPr>
        <w:t>loss</w:t>
      </w:r>
    </w:p>
    <w:p>
      <w:pPr>
        <w:pStyle w:val="ListParagraph"/>
        <w:numPr>
          <w:ilvl w:val="0"/>
          <w:numId w:val="124"/>
        </w:numPr>
        <w:tabs>
          <w:tab w:pos="1336" w:val="left" w:leader="none"/>
          <w:tab w:pos="1337" w:val="left" w:leader="none"/>
        </w:tabs>
        <w:spacing w:line="240" w:lineRule="auto" w:before="185" w:after="0"/>
        <w:ind w:left="616" w:right="0" w:firstLine="0"/>
        <w:jc w:val="left"/>
        <w:rPr>
          <w:rFonts w:ascii="Symbol"/>
          <w:sz w:val="20"/>
        </w:rPr>
      </w:pPr>
      <w:r>
        <w:rPr>
          <w:sz w:val="38"/>
        </w:rPr>
        <w:t>Circulatory disorders</w:t>
      </w:r>
    </w:p>
    <w:p>
      <w:pPr>
        <w:pStyle w:val="ListParagraph"/>
        <w:numPr>
          <w:ilvl w:val="0"/>
          <w:numId w:val="124"/>
        </w:numPr>
        <w:tabs>
          <w:tab w:pos="1336" w:val="left" w:leader="none"/>
          <w:tab w:pos="1337" w:val="left" w:leader="none"/>
        </w:tabs>
        <w:spacing w:line="240" w:lineRule="auto" w:before="184" w:after="0"/>
        <w:ind w:left="616" w:right="0" w:firstLine="0"/>
        <w:jc w:val="left"/>
        <w:rPr>
          <w:rFonts w:ascii="Symbol"/>
          <w:sz w:val="20"/>
        </w:rPr>
      </w:pPr>
      <w:r>
        <w:rPr>
          <w:sz w:val="38"/>
        </w:rPr>
        <w:t>Tinnitus</w:t>
      </w:r>
    </w:p>
    <w:p>
      <w:pPr>
        <w:pStyle w:val="ListParagraph"/>
        <w:numPr>
          <w:ilvl w:val="0"/>
          <w:numId w:val="124"/>
        </w:numPr>
        <w:tabs>
          <w:tab w:pos="1336" w:val="left" w:leader="none"/>
          <w:tab w:pos="1337" w:val="left" w:leader="none"/>
        </w:tabs>
        <w:spacing w:line="240" w:lineRule="auto" w:before="183" w:after="0"/>
        <w:ind w:left="616" w:right="0" w:firstLine="0"/>
        <w:jc w:val="left"/>
        <w:rPr>
          <w:rFonts w:ascii="Symbol"/>
          <w:sz w:val="20"/>
        </w:rPr>
      </w:pPr>
      <w:r>
        <w:rPr>
          <w:sz w:val="38"/>
        </w:rPr>
        <w:t>Menstrual</w:t>
      </w:r>
      <w:r>
        <w:rPr>
          <w:spacing w:val="-2"/>
          <w:sz w:val="38"/>
        </w:rPr>
        <w:t> </w:t>
      </w:r>
      <w:r>
        <w:rPr>
          <w:sz w:val="38"/>
        </w:rPr>
        <w:t>cramps</w:t>
      </w:r>
    </w:p>
    <w:p>
      <w:pPr>
        <w:pStyle w:val="ListParagraph"/>
        <w:numPr>
          <w:ilvl w:val="0"/>
          <w:numId w:val="124"/>
        </w:numPr>
        <w:tabs>
          <w:tab w:pos="1336" w:val="left" w:leader="none"/>
          <w:tab w:pos="1337" w:val="left" w:leader="none"/>
        </w:tabs>
        <w:spacing w:line="240" w:lineRule="auto" w:before="184" w:after="0"/>
        <w:ind w:left="616" w:right="0" w:firstLine="0"/>
        <w:jc w:val="left"/>
        <w:rPr>
          <w:rFonts w:ascii="Symbol"/>
          <w:sz w:val="20"/>
        </w:rPr>
      </w:pPr>
      <w:r>
        <w:rPr>
          <w:sz w:val="38"/>
        </w:rPr>
        <w:t>Eye problems</w:t>
      </w:r>
    </w:p>
    <w:p>
      <w:pPr>
        <w:pStyle w:val="ListParagraph"/>
        <w:numPr>
          <w:ilvl w:val="0"/>
          <w:numId w:val="124"/>
        </w:numPr>
        <w:tabs>
          <w:tab w:pos="1336" w:val="left" w:leader="none"/>
          <w:tab w:pos="1337" w:val="left" w:leader="none"/>
        </w:tabs>
        <w:spacing w:line="240" w:lineRule="auto" w:before="185" w:after="0"/>
        <w:ind w:left="616" w:right="0" w:firstLine="0"/>
        <w:jc w:val="left"/>
        <w:rPr>
          <w:rFonts w:ascii="Symbol"/>
          <w:sz w:val="20"/>
        </w:rPr>
      </w:pPr>
      <w:r>
        <w:rPr>
          <w:sz w:val="38"/>
        </w:rPr>
        <w:t>Weight</w:t>
      </w:r>
      <w:r>
        <w:rPr>
          <w:spacing w:val="-1"/>
          <w:sz w:val="38"/>
        </w:rPr>
        <w:t> </w:t>
      </w:r>
      <w:r>
        <w:rPr>
          <w:sz w:val="38"/>
        </w:rPr>
        <w:t>gain</w:t>
      </w:r>
    </w:p>
    <w:p>
      <w:pPr>
        <w:spacing w:after="0" w:line="240" w:lineRule="auto"/>
        <w:jc w:val="left"/>
        <w:rPr>
          <w:rFonts w:ascii="Symbol"/>
          <w:sz w:val="20"/>
        </w:rPr>
        <w:sectPr>
          <w:pgSz w:w="14270" w:h="16850"/>
          <w:pgMar w:header="0" w:footer="1891" w:top="1340" w:bottom="2080" w:left="800" w:right="1280"/>
        </w:sectPr>
      </w:pPr>
    </w:p>
    <w:p>
      <w:pPr>
        <w:pStyle w:val="Heading1"/>
        <w:spacing w:before="77"/>
        <w:ind w:left="616"/>
      </w:pPr>
      <w:r>
        <w:rPr/>
        <w:t>In summary, the following can be</w:t>
      </w:r>
      <w:r>
        <w:rPr>
          <w:spacing w:val="-61"/>
        </w:rPr>
        <w:t> </w:t>
      </w:r>
      <w:r>
        <w:rPr/>
        <w:t>said</w:t>
      </w:r>
    </w:p>
    <w:p>
      <w:pPr>
        <w:pStyle w:val="BodyText"/>
        <w:spacing w:line="276" w:lineRule="auto" w:before="299"/>
        <w:ind w:left="616" w:right="136"/>
        <w:jc w:val="both"/>
      </w:pPr>
      <w:r>
        <w:rPr/>
        <w:t>Stevia offers the benefits of a natural sweetener with the simultaneous exclu- sion of disadvantages (risks) associated with artificial sugar substitutes (sweet- eners) and also comes with many health benefits – or, in short: poisons wel- come, healthy foodstuffs forbidden. In particular, for people who, due to chronic</w:t>
      </w:r>
      <w:r>
        <w:rPr>
          <w:spacing w:val="-7"/>
        </w:rPr>
        <w:t> </w:t>
      </w:r>
      <w:r>
        <w:rPr/>
        <w:t>disease,</w:t>
      </w:r>
      <w:r>
        <w:rPr>
          <w:spacing w:val="-7"/>
        </w:rPr>
        <w:t> </w:t>
      </w:r>
      <w:r>
        <w:rPr/>
        <w:t>must</w:t>
      </w:r>
      <w:r>
        <w:rPr>
          <w:spacing w:val="-7"/>
        </w:rPr>
        <w:t> </w:t>
      </w:r>
      <w:r>
        <w:rPr/>
        <w:t>avoid</w:t>
      </w:r>
      <w:r>
        <w:rPr>
          <w:spacing w:val="-7"/>
        </w:rPr>
        <w:t> </w:t>
      </w:r>
      <w:r>
        <w:rPr/>
        <w:t>sugar</w:t>
      </w:r>
      <w:r>
        <w:rPr>
          <w:spacing w:val="-6"/>
        </w:rPr>
        <w:t> </w:t>
      </w:r>
      <w:r>
        <w:rPr/>
        <w:t>as</w:t>
      </w:r>
      <w:r>
        <w:rPr>
          <w:spacing w:val="-7"/>
        </w:rPr>
        <w:t> </w:t>
      </w:r>
      <w:r>
        <w:rPr/>
        <w:t>much</w:t>
      </w:r>
      <w:r>
        <w:rPr>
          <w:spacing w:val="-6"/>
        </w:rPr>
        <w:t> </w:t>
      </w:r>
      <w:r>
        <w:rPr/>
        <w:t>as</w:t>
      </w:r>
      <w:r>
        <w:rPr>
          <w:spacing w:val="-6"/>
        </w:rPr>
        <w:t> </w:t>
      </w:r>
      <w:r>
        <w:rPr/>
        <w:t>possible</w:t>
      </w:r>
      <w:r>
        <w:rPr>
          <w:spacing w:val="-7"/>
        </w:rPr>
        <w:t> </w:t>
      </w:r>
      <w:r>
        <w:rPr/>
        <w:t>(diabetics),</w:t>
      </w:r>
      <w:r>
        <w:rPr>
          <w:spacing w:val="-5"/>
        </w:rPr>
        <w:t> </w:t>
      </w:r>
      <w:r>
        <w:rPr/>
        <w:t>stevia</w:t>
      </w:r>
      <w:r>
        <w:rPr>
          <w:spacing w:val="-6"/>
        </w:rPr>
        <w:t> </w:t>
      </w:r>
      <w:r>
        <w:rPr/>
        <w:t>opens up new possibilities which expand the quality of</w:t>
      </w:r>
      <w:r>
        <w:rPr>
          <w:spacing w:val="4"/>
        </w:rPr>
        <w:t> </w:t>
      </w:r>
      <w:r>
        <w:rPr/>
        <w:t>life.</w:t>
      </w:r>
    </w:p>
    <w:p>
      <w:pPr>
        <w:pStyle w:val="Heading2"/>
        <w:spacing w:before="241"/>
        <w:ind w:left="616"/>
      </w:pPr>
      <w:r>
        <w:rPr/>
        <w:t>Stevia dosage: how much stevia should be used for sweetening?</w:t>
      </w:r>
    </w:p>
    <w:p>
      <w:pPr>
        <w:pStyle w:val="BodyText"/>
        <w:spacing w:line="276" w:lineRule="auto" w:before="304"/>
        <w:ind w:left="616" w:right="136"/>
        <w:jc w:val="both"/>
      </w:pPr>
      <w:r>
        <w:rPr/>
        <w:t>As harvested and dried stevia leaves contain a greater or larger proportion of the actual sweet substance 'stevioside', depending on their origin, there is no overall answer to this question. The stevioside content fluctuates between 6 and 15 % of the dry weight of stevia leaves. Accordingly, dried stevia leaves are 18-45 x sweeter than sugar; therefore, 10 g of dried stevia leaves is equiva- lent to 180 g of sugar (with a 6 % proportion of the sweet substance 'stevio- side', it is 450 g of sugar with a sweet substance proportion of 15 %).</w:t>
      </w:r>
    </w:p>
    <w:p>
      <w:pPr>
        <w:pStyle w:val="BodyText"/>
        <w:spacing w:before="238"/>
        <w:ind w:left="616"/>
      </w:pPr>
      <w:r>
        <w:rPr/>
        <w:t>Therefore, there is no clear statement which can be made here.</w:t>
      </w:r>
    </w:p>
    <w:p>
      <w:pPr>
        <w:pStyle w:val="BodyText"/>
        <w:spacing w:line="278" w:lineRule="auto" w:before="305"/>
        <w:ind w:left="616"/>
      </w:pPr>
      <w:r>
        <w:rPr/>
        <w:t>As a rule of thumb, you should replace 100 g of white or 90 g of brown sugar with one to two teaspoons of stevia powder or about 57 drops of fluid stevia.</w:t>
      </w:r>
    </w:p>
    <w:p>
      <w:pPr>
        <w:pStyle w:val="BodyText"/>
        <w:spacing w:line="276" w:lineRule="auto" w:before="232"/>
        <w:ind w:left="616" w:right="69"/>
      </w:pPr>
      <w:r>
        <w:rPr/>
        <w:t>CONCLUSION: You can sweeten healthily and without calories with very lit- tle stevia.</w:t>
      </w:r>
    </w:p>
    <w:p>
      <w:pPr>
        <w:pStyle w:val="Heading2"/>
        <w:spacing w:before="241"/>
        <w:ind w:left="616"/>
        <w:jc w:val="both"/>
      </w:pPr>
      <w:r>
        <w:rPr/>
        <w:t>Furthermore, stevia is available in different dosage forms, such as</w:t>
      </w:r>
    </w:p>
    <w:p>
      <w:pPr>
        <w:spacing w:after="0"/>
        <w:jc w:val="both"/>
        <w:sectPr>
          <w:pgSz w:w="14270" w:h="16850"/>
          <w:pgMar w:header="0" w:footer="1891" w:top="1320" w:bottom="2080" w:left="800" w:right="1280"/>
        </w:sectPr>
      </w:pPr>
    </w:p>
    <w:p>
      <w:pPr>
        <w:pStyle w:val="ListParagraph"/>
        <w:numPr>
          <w:ilvl w:val="0"/>
          <w:numId w:val="125"/>
        </w:numPr>
        <w:tabs>
          <w:tab w:pos="1329" w:val="left" w:leader="none"/>
          <w:tab w:pos="1330" w:val="left" w:leader="none"/>
        </w:tabs>
        <w:spacing w:line="273" w:lineRule="auto" w:before="53" w:after="0"/>
        <w:ind w:left="1329" w:right="145" w:hanging="355"/>
        <w:jc w:val="left"/>
        <w:rPr>
          <w:sz w:val="38"/>
        </w:rPr>
      </w:pPr>
      <w:r>
        <w:rPr>
          <w:sz w:val="38"/>
        </w:rPr>
        <w:t>a primary product in the form of fresh stevia leaves (very sweet but with a certain liquorice</w:t>
      </w:r>
      <w:r>
        <w:rPr>
          <w:spacing w:val="-1"/>
          <w:sz w:val="38"/>
        </w:rPr>
        <w:t> </w:t>
      </w:r>
      <w:r>
        <w:rPr>
          <w:sz w:val="38"/>
        </w:rPr>
        <w:t>aftertaste)</w:t>
      </w:r>
    </w:p>
    <w:p>
      <w:pPr>
        <w:pStyle w:val="ListParagraph"/>
        <w:numPr>
          <w:ilvl w:val="0"/>
          <w:numId w:val="125"/>
        </w:numPr>
        <w:tabs>
          <w:tab w:pos="1329" w:val="left" w:leader="none"/>
          <w:tab w:pos="1330" w:val="left" w:leader="none"/>
        </w:tabs>
        <w:spacing w:line="273" w:lineRule="auto" w:before="7" w:after="0"/>
        <w:ind w:left="1329" w:right="137" w:hanging="355"/>
        <w:jc w:val="left"/>
        <w:rPr>
          <w:sz w:val="38"/>
        </w:rPr>
      </w:pPr>
      <w:r>
        <w:rPr>
          <w:sz w:val="38"/>
        </w:rPr>
        <w:t>a primary product in the form of dried and powdered stevia leaves (but with a liquorice aftertaste)</w:t>
      </w:r>
    </w:p>
    <w:p>
      <w:pPr>
        <w:pStyle w:val="ListParagraph"/>
        <w:numPr>
          <w:ilvl w:val="0"/>
          <w:numId w:val="125"/>
        </w:numPr>
        <w:tabs>
          <w:tab w:pos="1329" w:val="left" w:leader="none"/>
          <w:tab w:pos="1330" w:val="left" w:leader="none"/>
        </w:tabs>
        <w:spacing w:line="240" w:lineRule="auto" w:before="10" w:after="0"/>
        <w:ind w:left="1329" w:right="0" w:hanging="355"/>
        <w:jc w:val="left"/>
        <w:rPr>
          <w:sz w:val="38"/>
        </w:rPr>
      </w:pPr>
      <w:r>
        <w:rPr>
          <w:sz w:val="38"/>
        </w:rPr>
        <w:t>a fluid concentration (liquorice</w:t>
      </w:r>
      <w:r>
        <w:rPr>
          <w:spacing w:val="-2"/>
          <w:sz w:val="38"/>
        </w:rPr>
        <w:t> </w:t>
      </w:r>
      <w:r>
        <w:rPr>
          <w:sz w:val="38"/>
        </w:rPr>
        <w:t>aftertaste)</w:t>
      </w:r>
    </w:p>
    <w:p>
      <w:pPr>
        <w:pStyle w:val="ListParagraph"/>
        <w:numPr>
          <w:ilvl w:val="0"/>
          <w:numId w:val="125"/>
        </w:numPr>
        <w:tabs>
          <w:tab w:pos="1329" w:val="left" w:leader="none"/>
          <w:tab w:pos="1330" w:val="left" w:leader="none"/>
        </w:tabs>
        <w:spacing w:line="273" w:lineRule="auto" w:before="64" w:after="0"/>
        <w:ind w:left="1329" w:right="139" w:hanging="355"/>
        <w:jc w:val="left"/>
        <w:rPr>
          <w:sz w:val="38"/>
        </w:rPr>
      </w:pPr>
      <w:r>
        <w:rPr>
          <w:sz w:val="38"/>
        </w:rPr>
        <w:t>a powdered, white extract (no aftertaste, often mixed with the artificial sweetening substance</w:t>
      </w:r>
      <w:r>
        <w:rPr>
          <w:spacing w:val="1"/>
          <w:sz w:val="38"/>
        </w:rPr>
        <w:t> </w:t>
      </w:r>
      <w:r>
        <w:rPr>
          <w:sz w:val="38"/>
        </w:rPr>
        <w:t>'maltodextrin').</w:t>
      </w:r>
    </w:p>
    <w:p>
      <w:pPr>
        <w:pStyle w:val="Heading2"/>
        <w:spacing w:before="246"/>
        <w:ind w:left="616"/>
      </w:pPr>
      <w:r>
        <w:rPr/>
        <w:t>Storing stevia</w:t>
      </w:r>
    </w:p>
    <w:p>
      <w:pPr>
        <w:pStyle w:val="BodyText"/>
        <w:spacing w:line="276" w:lineRule="auto" w:before="304"/>
        <w:ind w:left="616" w:right="137"/>
        <w:jc w:val="both"/>
      </w:pPr>
      <w:r>
        <w:rPr/>
        <w:t>There are three storage rules for all forms of stevia, be it in the form of dried leaves, powder or tabs: cool, dark and dry. This can even guarantee the stevia lasts for years.</w:t>
      </w:r>
    </w:p>
    <w:p>
      <w:pPr>
        <w:pStyle w:val="Heading2"/>
        <w:spacing w:before="239"/>
        <w:ind w:left="616"/>
      </w:pPr>
      <w:r>
        <w:rPr/>
        <w:t>Instructions for stevia extract</w:t>
      </w:r>
    </w:p>
    <w:p>
      <w:pPr>
        <w:pStyle w:val="BodyText"/>
        <w:spacing w:before="305"/>
        <w:ind w:left="616"/>
      </w:pPr>
      <w:r>
        <w:rPr/>
        <w:t>It is very easy to create a fluid stevia extract yourself from stevia leaves.</w:t>
      </w:r>
    </w:p>
    <w:p>
      <w:pPr>
        <w:pStyle w:val="Heading1"/>
        <w:spacing w:before="287"/>
        <w:ind w:left="616"/>
      </w:pPr>
      <w:r>
        <w:rPr/>
        <w:t>Instructions</w:t>
      </w:r>
    </w:p>
    <w:p>
      <w:pPr>
        <w:pStyle w:val="BodyText"/>
        <w:spacing w:line="276" w:lineRule="auto" w:before="299"/>
        <w:ind w:left="616" w:right="137"/>
        <w:jc w:val="both"/>
      </w:pPr>
      <w:r>
        <w:rPr/>
        <w:t>Cover dried or pulverised stevia leaves with alcohol (corn or fruit based) and leave to soak for 24 hours. Then filter off the fluid with a coffee filter and dilute with water according to taste. This also works without alcohol by using pure water. However, less of the sweet glycoside is dissolved in water, which means that a water-based stevia extract is not as sweet.</w:t>
      </w:r>
    </w:p>
    <w:p>
      <w:pPr>
        <w:pStyle w:val="BodyText"/>
        <w:spacing w:before="240"/>
        <w:ind w:left="616"/>
        <w:jc w:val="both"/>
      </w:pPr>
      <w:r>
        <w:rPr/>
        <w:t>Stevia – the cosmetic</w:t>
      </w:r>
    </w:p>
    <w:p>
      <w:pPr>
        <w:spacing w:after="0"/>
        <w:jc w:val="both"/>
        <w:sectPr>
          <w:pgSz w:w="14270" w:h="16850"/>
          <w:pgMar w:header="0" w:footer="1891" w:top="1360" w:bottom="2080" w:left="800" w:right="1280"/>
        </w:sectPr>
      </w:pPr>
    </w:p>
    <w:p>
      <w:pPr>
        <w:pStyle w:val="BodyText"/>
        <w:spacing w:line="276" w:lineRule="auto" w:before="72"/>
        <w:ind w:left="616" w:right="130"/>
        <w:jc w:val="both"/>
      </w:pPr>
      <w:r>
        <w:rPr/>
        <w:t>The Native Americans have been making use of the cosmetic properties of stevia for centuries. Thus, stevia is sought after for its skin-cleansing and</w:t>
      </w:r>
      <w:r>
        <w:rPr>
          <w:spacing w:val="-50"/>
        </w:rPr>
        <w:t> </w:t>
      </w:r>
      <w:r>
        <w:rPr/>
        <w:t>skin- tightening effect; skin appears in a new, glowing</w:t>
      </w:r>
      <w:r>
        <w:rPr>
          <w:spacing w:val="-2"/>
        </w:rPr>
        <w:t> </w:t>
      </w:r>
      <w:r>
        <w:rPr/>
        <w:t>light.</w:t>
      </w:r>
    </w:p>
    <w:p>
      <w:pPr>
        <w:pStyle w:val="BodyText"/>
        <w:spacing w:line="278" w:lineRule="auto" w:before="241"/>
        <w:ind w:left="616" w:right="145"/>
        <w:jc w:val="both"/>
      </w:pPr>
      <w:r>
        <w:rPr/>
        <w:t>Further, stevia protects the skin with its active antibacterial and antifungal properties and accelerates wound healing.</w:t>
      </w:r>
    </w:p>
    <w:p>
      <w:pPr>
        <w:pStyle w:val="Heading1"/>
        <w:spacing w:before="215"/>
        <w:ind w:left="616"/>
      </w:pPr>
      <w:r>
        <w:rPr/>
        <w:t>Stevia for soft, smooth skin</w:t>
      </w:r>
    </w:p>
    <w:p>
      <w:pPr>
        <w:pStyle w:val="BodyText"/>
        <w:spacing w:line="276" w:lineRule="auto" w:before="297"/>
        <w:ind w:left="616" w:right="135"/>
        <w:jc w:val="both"/>
      </w:pPr>
      <w:r>
        <w:rPr/>
        <w:t>It</w:t>
      </w:r>
      <w:r>
        <w:rPr>
          <w:spacing w:val="-21"/>
        </w:rPr>
        <w:t> </w:t>
      </w:r>
      <w:r>
        <w:rPr/>
        <w:t>is</w:t>
      </w:r>
      <w:r>
        <w:rPr>
          <w:spacing w:val="-21"/>
        </w:rPr>
        <w:t> </w:t>
      </w:r>
      <w:r>
        <w:rPr/>
        <w:t>not</w:t>
      </w:r>
      <w:r>
        <w:rPr>
          <w:spacing w:val="-21"/>
        </w:rPr>
        <w:t> </w:t>
      </w:r>
      <w:r>
        <w:rPr/>
        <w:t>only</w:t>
      </w:r>
      <w:r>
        <w:rPr>
          <w:spacing w:val="-21"/>
        </w:rPr>
        <w:t> </w:t>
      </w:r>
      <w:r>
        <w:rPr/>
        <w:t>the</w:t>
      </w:r>
      <w:r>
        <w:rPr>
          <w:spacing w:val="-19"/>
        </w:rPr>
        <w:t> </w:t>
      </w:r>
      <w:r>
        <w:rPr/>
        <w:t>coenzyme</w:t>
      </w:r>
      <w:r>
        <w:rPr>
          <w:spacing w:val="-19"/>
        </w:rPr>
        <w:t> </w:t>
      </w:r>
      <w:r>
        <w:rPr/>
        <w:t>Q10</w:t>
      </w:r>
      <w:r>
        <w:rPr>
          <w:spacing w:val="-20"/>
        </w:rPr>
        <w:t> </w:t>
      </w:r>
      <w:r>
        <w:rPr/>
        <w:t>but</w:t>
      </w:r>
      <w:r>
        <w:rPr>
          <w:spacing w:val="-21"/>
        </w:rPr>
        <w:t> </w:t>
      </w:r>
      <w:r>
        <w:rPr/>
        <w:t>also</w:t>
      </w:r>
      <w:r>
        <w:rPr>
          <w:spacing w:val="-20"/>
        </w:rPr>
        <w:t> </w:t>
      </w:r>
      <w:r>
        <w:rPr/>
        <w:t>stevia</w:t>
      </w:r>
      <w:r>
        <w:rPr>
          <w:spacing w:val="-21"/>
        </w:rPr>
        <w:t> </w:t>
      </w:r>
      <w:r>
        <w:rPr/>
        <w:t>extracts</w:t>
      </w:r>
      <w:r>
        <w:rPr>
          <w:spacing w:val="-19"/>
        </w:rPr>
        <w:t> </w:t>
      </w:r>
      <w:r>
        <w:rPr/>
        <w:t>and</w:t>
      </w:r>
      <w:r>
        <w:rPr>
          <w:spacing w:val="-20"/>
        </w:rPr>
        <w:t> </w:t>
      </w:r>
      <w:r>
        <w:rPr/>
        <w:t>entire</w:t>
      </w:r>
      <w:r>
        <w:rPr>
          <w:spacing w:val="-17"/>
        </w:rPr>
        <w:t> </w:t>
      </w:r>
      <w:r>
        <w:rPr/>
        <w:t>leaves</w:t>
      </w:r>
      <w:r>
        <w:rPr>
          <w:spacing w:val="-20"/>
        </w:rPr>
        <w:t> </w:t>
      </w:r>
      <w:r>
        <w:rPr/>
        <w:t>which make the skin softer and smoother, improve tone and smooth</w:t>
      </w:r>
      <w:r>
        <w:rPr>
          <w:spacing w:val="-13"/>
        </w:rPr>
        <w:t> </w:t>
      </w:r>
      <w:r>
        <w:rPr/>
        <w:t>wrinkles.</w:t>
      </w:r>
    </w:p>
    <w:p>
      <w:pPr>
        <w:pStyle w:val="Heading1"/>
        <w:ind w:left="616"/>
      </w:pPr>
      <w:r>
        <w:rPr/>
        <w:t>Stevia steam bath for even skin</w:t>
      </w:r>
      <w:r>
        <w:rPr>
          <w:spacing w:val="-60"/>
        </w:rPr>
        <w:t> </w:t>
      </w:r>
      <w:r>
        <w:rPr/>
        <w:t>tones</w:t>
      </w:r>
    </w:p>
    <w:p>
      <w:pPr>
        <w:pStyle w:val="BodyText"/>
        <w:spacing w:line="276" w:lineRule="auto" w:before="299"/>
        <w:ind w:left="616" w:right="136"/>
        <w:jc w:val="both"/>
      </w:pPr>
      <w:r>
        <w:rPr/>
        <w:t>A steam bath with stevia offers a tried and tested possibility to cleanse and refresh skin. Simply place one to two tablespoons of stevia leaves in a large bowl</w:t>
      </w:r>
      <w:r>
        <w:rPr>
          <w:spacing w:val="-8"/>
        </w:rPr>
        <w:t> </w:t>
      </w:r>
      <w:r>
        <w:rPr/>
        <w:t>and</w:t>
      </w:r>
      <w:r>
        <w:rPr>
          <w:spacing w:val="-7"/>
        </w:rPr>
        <w:t> </w:t>
      </w:r>
      <w:r>
        <w:rPr/>
        <w:t>cover</w:t>
      </w:r>
      <w:r>
        <w:rPr>
          <w:spacing w:val="-8"/>
        </w:rPr>
        <w:t> </w:t>
      </w:r>
      <w:r>
        <w:rPr/>
        <w:t>with</w:t>
      </w:r>
      <w:r>
        <w:rPr>
          <w:spacing w:val="-6"/>
        </w:rPr>
        <w:t> </w:t>
      </w:r>
      <w:r>
        <w:rPr/>
        <w:t>boiling</w:t>
      </w:r>
      <w:r>
        <w:rPr>
          <w:spacing w:val="-6"/>
        </w:rPr>
        <w:t> </w:t>
      </w:r>
      <w:r>
        <w:rPr/>
        <w:t>water.</w:t>
      </w:r>
      <w:r>
        <w:rPr>
          <w:spacing w:val="-7"/>
        </w:rPr>
        <w:t> </w:t>
      </w:r>
      <w:r>
        <w:rPr/>
        <w:t>Lean</w:t>
      </w:r>
      <w:r>
        <w:rPr>
          <w:spacing w:val="-6"/>
        </w:rPr>
        <w:t> </w:t>
      </w:r>
      <w:r>
        <w:rPr/>
        <w:t>your</w:t>
      </w:r>
      <w:r>
        <w:rPr>
          <w:spacing w:val="-7"/>
        </w:rPr>
        <w:t> </w:t>
      </w:r>
      <w:r>
        <w:rPr/>
        <w:t>head</w:t>
      </w:r>
      <w:r>
        <w:rPr>
          <w:spacing w:val="-7"/>
        </w:rPr>
        <w:t> </w:t>
      </w:r>
      <w:r>
        <w:rPr/>
        <w:t>over</w:t>
      </w:r>
      <w:r>
        <w:rPr>
          <w:spacing w:val="-6"/>
        </w:rPr>
        <w:t> </w:t>
      </w:r>
      <w:r>
        <w:rPr/>
        <w:t>the</w:t>
      </w:r>
      <w:r>
        <w:rPr>
          <w:spacing w:val="-6"/>
        </w:rPr>
        <w:t> </w:t>
      </w:r>
      <w:r>
        <w:rPr/>
        <w:t>bowl</w:t>
      </w:r>
      <w:r>
        <w:rPr>
          <w:spacing w:val="-8"/>
        </w:rPr>
        <w:t> </w:t>
      </w:r>
      <w:r>
        <w:rPr/>
        <w:t>with</w:t>
      </w:r>
      <w:r>
        <w:rPr>
          <w:spacing w:val="-6"/>
        </w:rPr>
        <w:t> </w:t>
      </w:r>
      <w:r>
        <w:rPr/>
        <w:t>a</w:t>
      </w:r>
      <w:r>
        <w:rPr>
          <w:spacing w:val="-8"/>
        </w:rPr>
        <w:t> </w:t>
      </w:r>
      <w:r>
        <w:rPr/>
        <w:t>towel covering it and allow to work in for a few</w:t>
      </w:r>
      <w:r>
        <w:rPr>
          <w:spacing w:val="1"/>
        </w:rPr>
        <w:t> </w:t>
      </w:r>
      <w:r>
        <w:rPr/>
        <w:t>minutes.</w:t>
      </w:r>
    </w:p>
    <w:p>
      <w:pPr>
        <w:pStyle w:val="Heading1"/>
        <w:spacing w:before="222"/>
        <w:ind w:left="616"/>
      </w:pPr>
      <w:r>
        <w:rPr/>
        <w:t>Stevia face mask</w:t>
      </w:r>
    </w:p>
    <w:p>
      <w:pPr>
        <w:pStyle w:val="BodyText"/>
        <w:spacing w:line="276" w:lineRule="auto" w:before="300"/>
        <w:ind w:left="616" w:right="133"/>
        <w:jc w:val="both"/>
      </w:pPr>
      <w:r>
        <w:rPr/>
        <w:t>Massage</w:t>
      </w:r>
      <w:r>
        <w:rPr>
          <w:spacing w:val="-8"/>
        </w:rPr>
        <w:t> </w:t>
      </w:r>
      <w:r>
        <w:rPr/>
        <w:t>1</w:t>
      </w:r>
      <w:r>
        <w:rPr>
          <w:spacing w:val="-9"/>
        </w:rPr>
        <w:t> </w:t>
      </w:r>
      <w:r>
        <w:rPr/>
        <w:t>teaspoon</w:t>
      </w:r>
      <w:r>
        <w:rPr>
          <w:spacing w:val="-8"/>
        </w:rPr>
        <w:t> </w:t>
      </w:r>
      <w:r>
        <w:rPr/>
        <w:t>of</w:t>
      </w:r>
      <w:r>
        <w:rPr>
          <w:spacing w:val="-8"/>
        </w:rPr>
        <w:t> </w:t>
      </w:r>
      <w:r>
        <w:rPr/>
        <w:t>fine</w:t>
      </w:r>
      <w:r>
        <w:rPr>
          <w:spacing w:val="-7"/>
        </w:rPr>
        <w:t> </w:t>
      </w:r>
      <w:r>
        <w:rPr/>
        <w:t>cut</w:t>
      </w:r>
      <w:r>
        <w:rPr>
          <w:spacing w:val="-10"/>
        </w:rPr>
        <w:t> </w:t>
      </w:r>
      <w:r>
        <w:rPr/>
        <w:t>stevia</w:t>
      </w:r>
      <w:r>
        <w:rPr>
          <w:spacing w:val="-9"/>
        </w:rPr>
        <w:t> </w:t>
      </w:r>
      <w:r>
        <w:rPr/>
        <w:t>leaves</w:t>
      </w:r>
      <w:r>
        <w:rPr>
          <w:spacing w:val="-8"/>
        </w:rPr>
        <w:t> </w:t>
      </w:r>
      <w:r>
        <w:rPr/>
        <w:t>mixed</w:t>
      </w:r>
      <w:r>
        <w:rPr>
          <w:spacing w:val="-8"/>
        </w:rPr>
        <w:t> </w:t>
      </w:r>
      <w:r>
        <w:rPr/>
        <w:t>with</w:t>
      </w:r>
      <w:r>
        <w:rPr>
          <w:spacing w:val="-8"/>
        </w:rPr>
        <w:t> </w:t>
      </w:r>
      <w:r>
        <w:rPr/>
        <w:t>1</w:t>
      </w:r>
      <w:r>
        <w:rPr>
          <w:spacing w:val="-9"/>
        </w:rPr>
        <w:t> </w:t>
      </w:r>
      <w:r>
        <w:rPr/>
        <w:t>teaspoon</w:t>
      </w:r>
      <w:r>
        <w:rPr>
          <w:spacing w:val="-8"/>
        </w:rPr>
        <w:t> </w:t>
      </w:r>
      <w:r>
        <w:rPr/>
        <w:t>of</w:t>
      </w:r>
      <w:r>
        <w:rPr>
          <w:spacing w:val="-7"/>
        </w:rPr>
        <w:t> </w:t>
      </w:r>
      <w:r>
        <w:rPr/>
        <w:t>almond meal and 2 teaspoons of water on clean skin and leave to work in for 20-30 minutes. Then wipe off with a damp towel and rinse with water.</w:t>
      </w:r>
    </w:p>
    <w:p>
      <w:pPr>
        <w:spacing w:after="0" w:line="276" w:lineRule="auto"/>
        <w:jc w:val="both"/>
        <w:sectPr>
          <w:pgSz w:w="14270" w:h="16850"/>
          <w:pgMar w:header="0" w:footer="1891" w:top="1340" w:bottom="2080" w:left="800" w:right="1280"/>
        </w:sectPr>
      </w:pPr>
    </w:p>
    <w:p>
      <w:pPr>
        <w:pStyle w:val="Heading1"/>
        <w:spacing w:before="77"/>
        <w:ind w:left="616"/>
      </w:pPr>
      <w:r>
        <w:rPr/>
        <w:t>Face mask for uneven skin tones</w:t>
      </w:r>
    </w:p>
    <w:p>
      <w:pPr>
        <w:pStyle w:val="BodyText"/>
        <w:spacing w:line="276" w:lineRule="auto" w:before="297"/>
        <w:ind w:left="616" w:right="135"/>
        <w:jc w:val="both"/>
      </w:pPr>
      <w:r>
        <w:rPr/>
        <w:t>Mix a little quark with freshly pressed pineapple or papaya juice (combining the</w:t>
      </w:r>
      <w:r>
        <w:rPr>
          <w:spacing w:val="-13"/>
        </w:rPr>
        <w:t> </w:t>
      </w:r>
      <w:r>
        <w:rPr/>
        <w:t>two</w:t>
      </w:r>
      <w:r>
        <w:rPr>
          <w:spacing w:val="-14"/>
        </w:rPr>
        <w:t> </w:t>
      </w:r>
      <w:r>
        <w:rPr/>
        <w:t>will</w:t>
      </w:r>
      <w:r>
        <w:rPr>
          <w:spacing w:val="-15"/>
        </w:rPr>
        <w:t> </w:t>
      </w:r>
      <w:r>
        <w:rPr/>
        <w:t>strengthen</w:t>
      </w:r>
      <w:r>
        <w:rPr>
          <w:spacing w:val="-13"/>
        </w:rPr>
        <w:t> </w:t>
      </w:r>
      <w:r>
        <w:rPr/>
        <w:t>the</w:t>
      </w:r>
      <w:r>
        <w:rPr>
          <w:spacing w:val="-16"/>
        </w:rPr>
        <w:t> </w:t>
      </w:r>
      <w:r>
        <w:rPr/>
        <w:t>effect)</w:t>
      </w:r>
      <w:r>
        <w:rPr>
          <w:spacing w:val="-15"/>
        </w:rPr>
        <w:t> </w:t>
      </w:r>
      <w:r>
        <w:rPr/>
        <w:t>and</w:t>
      </w:r>
      <w:r>
        <w:rPr>
          <w:spacing w:val="-14"/>
        </w:rPr>
        <w:t> </w:t>
      </w:r>
      <w:r>
        <w:rPr/>
        <w:t>some</w:t>
      </w:r>
      <w:r>
        <w:rPr>
          <w:spacing w:val="-16"/>
        </w:rPr>
        <w:t> </w:t>
      </w:r>
      <w:r>
        <w:rPr/>
        <w:t>green</w:t>
      </w:r>
      <w:r>
        <w:rPr>
          <w:spacing w:val="-13"/>
        </w:rPr>
        <w:t> </w:t>
      </w:r>
      <w:r>
        <w:rPr/>
        <w:t>healing</w:t>
      </w:r>
      <w:r>
        <w:rPr>
          <w:spacing w:val="-13"/>
        </w:rPr>
        <w:t> </w:t>
      </w:r>
      <w:r>
        <w:rPr/>
        <w:t>clay.</w:t>
      </w:r>
      <w:r>
        <w:rPr>
          <w:spacing w:val="-16"/>
        </w:rPr>
        <w:t> </w:t>
      </w:r>
      <w:r>
        <w:rPr/>
        <w:t>Now</w:t>
      </w:r>
      <w:r>
        <w:rPr>
          <w:spacing w:val="-15"/>
        </w:rPr>
        <w:t> </w:t>
      </w:r>
      <w:r>
        <w:rPr/>
        <w:t>add</w:t>
      </w:r>
      <w:r>
        <w:rPr>
          <w:spacing w:val="-15"/>
        </w:rPr>
        <w:t> </w:t>
      </w:r>
      <w:r>
        <w:rPr/>
        <w:t>a</w:t>
      </w:r>
      <w:r>
        <w:rPr>
          <w:spacing w:val="-15"/>
        </w:rPr>
        <w:t> </w:t>
      </w:r>
      <w:r>
        <w:rPr/>
        <w:t>few drops of stevia extract and mix everything</w:t>
      </w:r>
      <w:r>
        <w:rPr>
          <w:spacing w:val="-4"/>
        </w:rPr>
        <w:t> </w:t>
      </w:r>
      <w:r>
        <w:rPr/>
        <w:t>together.</w:t>
      </w:r>
    </w:p>
    <w:p>
      <w:pPr>
        <w:pStyle w:val="BodyText"/>
        <w:spacing w:line="276" w:lineRule="auto" w:before="241"/>
        <w:ind w:left="616" w:right="135"/>
        <w:jc w:val="both"/>
      </w:pPr>
      <w:r>
        <w:rPr/>
        <w:t>Apply</w:t>
      </w:r>
      <w:r>
        <w:rPr>
          <w:spacing w:val="-9"/>
        </w:rPr>
        <w:t> </w:t>
      </w:r>
      <w:r>
        <w:rPr/>
        <w:t>the</w:t>
      </w:r>
      <w:r>
        <w:rPr>
          <w:spacing w:val="-7"/>
        </w:rPr>
        <w:t> </w:t>
      </w:r>
      <w:r>
        <w:rPr/>
        <w:t>mask</w:t>
      </w:r>
      <w:r>
        <w:rPr>
          <w:spacing w:val="-8"/>
        </w:rPr>
        <w:t> </w:t>
      </w:r>
      <w:r>
        <w:rPr/>
        <w:t>evenly</w:t>
      </w:r>
      <w:r>
        <w:rPr>
          <w:spacing w:val="-9"/>
        </w:rPr>
        <w:t> </w:t>
      </w:r>
      <w:r>
        <w:rPr/>
        <w:t>and</w:t>
      </w:r>
      <w:r>
        <w:rPr>
          <w:spacing w:val="-8"/>
        </w:rPr>
        <w:t> </w:t>
      </w:r>
      <w:r>
        <w:rPr/>
        <w:t>leave</w:t>
      </w:r>
      <w:r>
        <w:rPr>
          <w:spacing w:val="-7"/>
        </w:rPr>
        <w:t> </w:t>
      </w:r>
      <w:r>
        <w:rPr/>
        <w:t>to</w:t>
      </w:r>
      <w:r>
        <w:rPr>
          <w:spacing w:val="-8"/>
        </w:rPr>
        <w:t> </w:t>
      </w:r>
      <w:r>
        <w:rPr/>
        <w:t>work</w:t>
      </w:r>
      <w:r>
        <w:rPr>
          <w:spacing w:val="-8"/>
        </w:rPr>
        <w:t> </w:t>
      </w:r>
      <w:r>
        <w:rPr/>
        <w:t>in</w:t>
      </w:r>
      <w:r>
        <w:rPr>
          <w:spacing w:val="-8"/>
        </w:rPr>
        <w:t> </w:t>
      </w:r>
      <w:r>
        <w:rPr/>
        <w:t>for</w:t>
      </w:r>
      <w:r>
        <w:rPr>
          <w:spacing w:val="-7"/>
        </w:rPr>
        <w:t> </w:t>
      </w:r>
      <w:r>
        <w:rPr/>
        <w:t>20-30</w:t>
      </w:r>
      <w:r>
        <w:rPr>
          <w:spacing w:val="-9"/>
        </w:rPr>
        <w:t> </w:t>
      </w:r>
      <w:r>
        <w:rPr/>
        <w:t>minutes</w:t>
      </w:r>
      <w:r>
        <w:rPr>
          <w:spacing w:val="-7"/>
        </w:rPr>
        <w:t> </w:t>
      </w:r>
      <w:r>
        <w:rPr/>
        <w:t>–</w:t>
      </w:r>
      <w:r>
        <w:rPr>
          <w:spacing w:val="-9"/>
        </w:rPr>
        <w:t> </w:t>
      </w:r>
      <w:r>
        <w:rPr/>
        <w:t>then</w:t>
      </w:r>
      <w:r>
        <w:rPr>
          <w:spacing w:val="-8"/>
        </w:rPr>
        <w:t> </w:t>
      </w:r>
      <w:r>
        <w:rPr/>
        <w:t>rinse</w:t>
      </w:r>
      <w:r>
        <w:rPr>
          <w:spacing w:val="-7"/>
        </w:rPr>
        <w:t> </w:t>
      </w:r>
      <w:r>
        <w:rPr/>
        <w:t>off with water.</w:t>
      </w:r>
    </w:p>
    <w:p>
      <w:pPr>
        <w:pStyle w:val="Heading1"/>
        <w:spacing w:before="222"/>
        <w:ind w:left="616"/>
      </w:pPr>
      <w:r>
        <w:rPr/>
        <w:t>Face mask for dry skin</w:t>
      </w:r>
    </w:p>
    <w:p>
      <w:pPr>
        <w:pStyle w:val="BodyText"/>
        <w:spacing w:line="276" w:lineRule="auto" w:before="299"/>
        <w:ind w:left="616" w:right="132"/>
        <w:jc w:val="both"/>
      </w:pPr>
      <w:r>
        <w:rPr/>
        <w:t>The following face mask has proven itself to be highly suitable for dry and flaky skin: Mix a little quark with egg yolk and olive oil and a few drops of stevia.</w:t>
      </w:r>
      <w:r>
        <w:rPr>
          <w:spacing w:val="-6"/>
        </w:rPr>
        <w:t> </w:t>
      </w:r>
      <w:r>
        <w:rPr/>
        <w:t>Now</w:t>
      </w:r>
      <w:r>
        <w:rPr>
          <w:spacing w:val="-7"/>
        </w:rPr>
        <w:t> </w:t>
      </w:r>
      <w:r>
        <w:rPr/>
        <w:t>spread</w:t>
      </w:r>
      <w:r>
        <w:rPr>
          <w:spacing w:val="-7"/>
        </w:rPr>
        <w:t> </w:t>
      </w:r>
      <w:r>
        <w:rPr/>
        <w:t>the</w:t>
      </w:r>
      <w:r>
        <w:rPr>
          <w:spacing w:val="-4"/>
        </w:rPr>
        <w:t> </w:t>
      </w:r>
      <w:r>
        <w:rPr/>
        <w:t>skin</w:t>
      </w:r>
      <w:r>
        <w:rPr>
          <w:spacing w:val="-5"/>
        </w:rPr>
        <w:t> </w:t>
      </w:r>
      <w:r>
        <w:rPr/>
        <w:t>mask</w:t>
      </w:r>
      <w:r>
        <w:rPr>
          <w:spacing w:val="-6"/>
        </w:rPr>
        <w:t> </w:t>
      </w:r>
      <w:r>
        <w:rPr/>
        <w:t>evenly</w:t>
      </w:r>
      <w:r>
        <w:rPr>
          <w:spacing w:val="-5"/>
        </w:rPr>
        <w:t> </w:t>
      </w:r>
      <w:r>
        <w:rPr/>
        <w:t>on</w:t>
      </w:r>
      <w:r>
        <w:rPr>
          <w:spacing w:val="-7"/>
        </w:rPr>
        <w:t> </w:t>
      </w:r>
      <w:r>
        <w:rPr/>
        <w:t>your</w:t>
      </w:r>
      <w:r>
        <w:rPr>
          <w:spacing w:val="-9"/>
        </w:rPr>
        <w:t> </w:t>
      </w:r>
      <w:r>
        <w:rPr/>
        <w:t>face</w:t>
      </w:r>
      <w:r>
        <w:rPr>
          <w:spacing w:val="-6"/>
        </w:rPr>
        <w:t> </w:t>
      </w:r>
      <w:r>
        <w:rPr/>
        <w:t>and</w:t>
      </w:r>
      <w:r>
        <w:rPr>
          <w:spacing w:val="-5"/>
        </w:rPr>
        <w:t> </w:t>
      </w:r>
      <w:r>
        <w:rPr/>
        <w:t>leave</w:t>
      </w:r>
      <w:r>
        <w:rPr>
          <w:spacing w:val="-7"/>
        </w:rPr>
        <w:t> </w:t>
      </w:r>
      <w:r>
        <w:rPr/>
        <w:t>to</w:t>
      </w:r>
      <w:r>
        <w:rPr>
          <w:spacing w:val="-5"/>
        </w:rPr>
        <w:t> </w:t>
      </w:r>
      <w:r>
        <w:rPr/>
        <w:t>work</w:t>
      </w:r>
      <w:r>
        <w:rPr>
          <w:spacing w:val="-4"/>
        </w:rPr>
        <w:t> </w:t>
      </w:r>
      <w:r>
        <w:rPr/>
        <w:t>in</w:t>
      </w:r>
      <w:r>
        <w:rPr>
          <w:spacing w:val="-6"/>
        </w:rPr>
        <w:t> </w:t>
      </w:r>
      <w:r>
        <w:rPr/>
        <w:t>for approx. 20-30</w:t>
      </w:r>
      <w:r>
        <w:rPr>
          <w:spacing w:val="-2"/>
        </w:rPr>
        <w:t> </w:t>
      </w:r>
      <w:r>
        <w:rPr/>
        <w:t>minutes.</w:t>
      </w:r>
    </w:p>
    <w:p>
      <w:pPr>
        <w:pStyle w:val="Heading1"/>
        <w:ind w:left="616"/>
      </w:pPr>
      <w:r>
        <w:rPr/>
        <w:t>Face mask for oily skin</w:t>
      </w:r>
    </w:p>
    <w:p>
      <w:pPr>
        <w:pStyle w:val="BodyText"/>
        <w:spacing w:line="276" w:lineRule="auto" w:before="300"/>
        <w:ind w:left="616" w:right="133"/>
        <w:jc w:val="both"/>
      </w:pPr>
      <w:r>
        <w:rPr/>
        <w:t>Mix</w:t>
      </w:r>
      <w:r>
        <w:rPr>
          <w:spacing w:val="-12"/>
        </w:rPr>
        <w:t> </w:t>
      </w:r>
      <w:r>
        <w:rPr/>
        <w:t>fat-free</w:t>
      </w:r>
      <w:r>
        <w:rPr>
          <w:spacing w:val="-10"/>
        </w:rPr>
        <w:t> </w:t>
      </w:r>
      <w:r>
        <w:rPr/>
        <w:t>quark</w:t>
      </w:r>
      <w:r>
        <w:rPr>
          <w:spacing w:val="-10"/>
        </w:rPr>
        <w:t> </w:t>
      </w:r>
      <w:r>
        <w:rPr/>
        <w:t>with</w:t>
      </w:r>
      <w:r>
        <w:rPr>
          <w:spacing w:val="-9"/>
        </w:rPr>
        <w:t> </w:t>
      </w:r>
      <w:r>
        <w:rPr/>
        <w:t>stevia</w:t>
      </w:r>
      <w:r>
        <w:rPr>
          <w:spacing w:val="-11"/>
        </w:rPr>
        <w:t> </w:t>
      </w:r>
      <w:r>
        <w:rPr/>
        <w:t>powder</w:t>
      </w:r>
      <w:r>
        <w:rPr>
          <w:spacing w:val="-10"/>
        </w:rPr>
        <w:t> </w:t>
      </w:r>
      <w:r>
        <w:rPr/>
        <w:t>or</w:t>
      </w:r>
      <w:r>
        <w:rPr>
          <w:spacing w:val="-10"/>
        </w:rPr>
        <w:t> </w:t>
      </w:r>
      <w:r>
        <w:rPr/>
        <w:t>extract</w:t>
      </w:r>
      <w:r>
        <w:rPr>
          <w:spacing w:val="-13"/>
        </w:rPr>
        <w:t> </w:t>
      </w:r>
      <w:r>
        <w:rPr/>
        <w:t>and</w:t>
      </w:r>
      <w:r>
        <w:rPr>
          <w:spacing w:val="-10"/>
        </w:rPr>
        <w:t> </w:t>
      </w:r>
      <w:r>
        <w:rPr/>
        <w:t>freshly</w:t>
      </w:r>
      <w:r>
        <w:rPr>
          <w:spacing w:val="-11"/>
        </w:rPr>
        <w:t> </w:t>
      </w:r>
      <w:r>
        <w:rPr/>
        <w:t>pressed</w:t>
      </w:r>
      <w:r>
        <w:rPr>
          <w:spacing w:val="-11"/>
        </w:rPr>
        <w:t> </w:t>
      </w:r>
      <w:r>
        <w:rPr/>
        <w:t>cucumber juice, apply the resulting face mask and allow to work in for approx. 20-30 minutes.</w:t>
      </w:r>
    </w:p>
    <w:p>
      <w:pPr>
        <w:pStyle w:val="Heading1"/>
        <w:spacing w:before="221"/>
        <w:ind w:left="616"/>
      </w:pPr>
      <w:r>
        <w:rPr/>
        <w:t>Stevia face mask for wrinkles</w:t>
      </w:r>
    </w:p>
    <w:p>
      <w:pPr>
        <w:pStyle w:val="BodyText"/>
        <w:spacing w:line="276" w:lineRule="auto" w:before="300"/>
        <w:ind w:left="616" w:right="135"/>
        <w:jc w:val="both"/>
      </w:pPr>
      <w:r>
        <w:rPr/>
        <w:t>Mix quark with pineapple and papaya juice as well as stevia extract or green stevia powder. Apply the face mask evenly and leave to work in for 20-30 minutes.</w:t>
      </w:r>
    </w:p>
    <w:p>
      <w:pPr>
        <w:spacing w:after="0" w:line="276" w:lineRule="auto"/>
        <w:jc w:val="both"/>
        <w:sectPr>
          <w:pgSz w:w="14270" w:h="16850"/>
          <w:pgMar w:header="0" w:footer="1891" w:top="1320" w:bottom="2080" w:left="800" w:right="1280"/>
        </w:sectPr>
      </w:pPr>
    </w:p>
    <w:p>
      <w:pPr>
        <w:pStyle w:val="Heading1"/>
        <w:spacing w:before="77"/>
        <w:ind w:left="616"/>
      </w:pPr>
      <w:r>
        <w:rPr/>
        <w:t>Stevia bath essence</w:t>
      </w:r>
    </w:p>
    <w:p>
      <w:pPr>
        <w:pStyle w:val="BodyText"/>
        <w:spacing w:line="276" w:lineRule="auto" w:before="297"/>
        <w:ind w:left="616" w:right="140"/>
        <w:jc w:val="both"/>
      </w:pPr>
      <w:r>
        <w:rPr/>
        <w:t>Allow stevia leaves to boil in 1 litre of water for three minutes and add the stevia bath essence to your bath water. This will soften your skin and free it from inflammation and bacteria.</w:t>
      </w:r>
    </w:p>
    <w:p>
      <w:pPr>
        <w:pStyle w:val="Heading1"/>
        <w:ind w:left="616"/>
      </w:pPr>
      <w:r>
        <w:rPr/>
        <w:t>Stevia dental care</w:t>
      </w:r>
    </w:p>
    <w:p>
      <w:pPr>
        <w:pStyle w:val="BodyText"/>
        <w:spacing w:line="276" w:lineRule="auto" w:before="299"/>
        <w:ind w:left="616" w:right="135"/>
        <w:jc w:val="both"/>
      </w:pPr>
      <w:r>
        <w:rPr/>
        <w:t>The antibacterial and anti-inflammatory effects of stevia make the plant ideal for all-round dental care. Stevia prevents caries and fights gum inflammation and periodontosis. It is therefore not surprising that toothpastes in Japan and Brazil contain</w:t>
      </w:r>
      <w:r>
        <w:rPr>
          <w:spacing w:val="-1"/>
        </w:rPr>
        <w:t> </w:t>
      </w:r>
      <w:r>
        <w:rPr/>
        <w:t>stevia.</w:t>
      </w:r>
    </w:p>
    <w:p>
      <w:pPr>
        <w:pStyle w:val="Heading1"/>
        <w:spacing w:before="222"/>
        <w:ind w:left="616"/>
      </w:pPr>
      <w:r>
        <w:rPr>
          <w:w w:val="95"/>
        </w:rPr>
        <w:t>Stevia mouth</w:t>
      </w:r>
      <w:r>
        <w:rPr>
          <w:spacing w:val="-14"/>
          <w:w w:val="95"/>
        </w:rPr>
        <w:t> </w:t>
      </w:r>
      <w:r>
        <w:rPr>
          <w:w w:val="95"/>
        </w:rPr>
        <w:t>wash</w:t>
      </w:r>
    </w:p>
    <w:p>
      <w:pPr>
        <w:pStyle w:val="BodyText"/>
        <w:spacing w:line="276" w:lineRule="auto" w:before="300"/>
        <w:ind w:left="616" w:right="137"/>
        <w:jc w:val="both"/>
      </w:pPr>
      <w:r>
        <w:rPr/>
        <w:t>Place some finely chopped stevia leaves or 1 teaspoon of stevia powder in boiling water and leave to boil for three minutes. Pour the cooled water through a sieve and store in the refrigerator.</w:t>
      </w:r>
    </w:p>
    <w:p>
      <w:pPr>
        <w:pStyle w:val="BodyText"/>
        <w:spacing w:line="276" w:lineRule="auto" w:before="239"/>
        <w:ind w:left="616" w:right="142"/>
        <w:jc w:val="both"/>
      </w:pPr>
      <w:r>
        <w:rPr/>
        <w:t>This is ideal as a mouth wash and has an antibacterial effect against gingivitis, periodontosis and sore throats.</w:t>
      </w:r>
    </w:p>
    <w:p>
      <w:pPr>
        <w:pStyle w:val="Heading1"/>
        <w:spacing w:before="223"/>
        <w:ind w:left="616"/>
      </w:pPr>
      <w:r>
        <w:rPr/>
        <w:t>Stevia toothpaste</w:t>
      </w:r>
    </w:p>
    <w:p>
      <w:pPr>
        <w:pStyle w:val="BodyText"/>
        <w:spacing w:line="276" w:lineRule="auto" w:before="300"/>
        <w:ind w:left="616" w:right="136"/>
        <w:jc w:val="both"/>
      </w:pPr>
      <w:r>
        <w:rPr/>
        <w:t>Obtain almond meal, peppermint oil, plant-based glycerine, cream of tartar powder and propolis powder from your health food shop. Mix 30 g of cream of tartar powder, 15 g of almond meal and 15 g of propolis powder with 15 g of stevia powder into a paste and use this as toothpaste.</w:t>
      </w:r>
    </w:p>
    <w:p>
      <w:pPr>
        <w:spacing w:after="0" w:line="276" w:lineRule="auto"/>
        <w:jc w:val="both"/>
        <w:sectPr>
          <w:pgSz w:w="14270" w:h="16850"/>
          <w:pgMar w:header="0" w:footer="1891" w:top="1320" w:bottom="2080" w:left="800" w:right="1280"/>
        </w:sectPr>
      </w:pPr>
    </w:p>
    <w:p>
      <w:pPr>
        <w:pStyle w:val="BodyText"/>
        <w:rPr>
          <w:sz w:val="20"/>
        </w:rPr>
      </w:pPr>
    </w:p>
    <w:p>
      <w:pPr>
        <w:pStyle w:val="BodyText"/>
        <w:spacing w:before="10"/>
        <w:rPr>
          <w:sz w:val="17"/>
        </w:rPr>
      </w:pPr>
    </w:p>
    <w:p>
      <w:pPr>
        <w:pStyle w:val="Heading1"/>
        <w:spacing w:before="100"/>
        <w:ind w:left="616"/>
      </w:pPr>
      <w:r>
        <w:rPr/>
        <w:t>Stevia as a care shampoo</w:t>
      </w:r>
    </w:p>
    <w:p>
      <w:pPr>
        <w:pStyle w:val="BodyText"/>
        <w:spacing w:line="276" w:lineRule="auto" w:before="300"/>
        <w:ind w:left="616" w:right="244"/>
      </w:pPr>
      <w:r>
        <w:rPr/>
        <w:t>Traditionally, stevia is used for dull hair and dandruff and is even meant to help with grey hair and hair loss when used regularly.</w:t>
      </w:r>
    </w:p>
    <w:p>
      <w:pPr>
        <w:pStyle w:val="BodyText"/>
        <w:spacing w:line="276" w:lineRule="auto" w:before="240"/>
        <w:ind w:left="616"/>
      </w:pPr>
      <w:r>
        <w:rPr/>
        <w:t>For this, use normal shampoo with some stevia extract; after washing the hair, leave this stevia shampoo to act for a short while.</w:t>
      </w:r>
    </w:p>
    <w:p>
      <w:pPr>
        <w:pStyle w:val="Heading1"/>
        <w:spacing w:before="222"/>
        <w:ind w:left="616"/>
      </w:pPr>
      <w:r>
        <w:rPr/>
        <w:t>Stevia as a hair conditioner</w:t>
      </w:r>
    </w:p>
    <w:p>
      <w:pPr>
        <w:pStyle w:val="BodyText"/>
        <w:spacing w:line="276" w:lineRule="auto" w:before="299"/>
        <w:ind w:left="616"/>
      </w:pPr>
      <w:r>
        <w:rPr/>
        <w:t>Stevia hair-cure is a special hair conditioner which returns shine and vitality</w:t>
      </w:r>
      <w:r>
        <w:rPr>
          <w:spacing w:val="-55"/>
        </w:rPr>
        <w:t> </w:t>
      </w:r>
      <w:r>
        <w:rPr/>
        <w:t>to hair while restoring its natural colour and also helps combat brittle hair.</w:t>
      </w:r>
    </w:p>
    <w:p>
      <w:pPr>
        <w:pStyle w:val="BodyText"/>
        <w:spacing w:line="276" w:lineRule="auto" w:before="241"/>
        <w:ind w:left="616" w:right="135"/>
        <w:jc w:val="both"/>
      </w:pPr>
      <w:r>
        <w:rPr/>
        <w:t>It is very easy to prepare a stevia hair conditioner: Mix 2 teaspoons of green stevia powder or stevia extract with 2 tablespoons of olive oil and 2 egg yolks. Apply the resulting conditioner to hair and leave to work in for about 1 hour then wash out with stevia shampoo.</w:t>
      </w:r>
    </w:p>
    <w:p>
      <w:pPr>
        <w:spacing w:after="0" w:line="276" w:lineRule="auto"/>
        <w:jc w:val="both"/>
        <w:sectPr>
          <w:pgSz w:w="14270" w:h="16850"/>
          <w:pgMar w:header="0" w:footer="1891" w:top="1600" w:bottom="2080" w:left="800" w:right="1280"/>
        </w:sectPr>
      </w:pPr>
    </w:p>
    <w:p>
      <w:pPr>
        <w:pStyle w:val="Heading2"/>
        <w:spacing w:before="74"/>
        <w:ind w:left="616"/>
      </w:pPr>
      <w:r>
        <w:rPr/>
        <w:t>Stevia – FAQs</w:t>
      </w:r>
    </w:p>
    <w:p>
      <w:pPr>
        <w:spacing w:before="285"/>
        <w:ind w:left="616" w:right="0" w:firstLine="0"/>
        <w:jc w:val="left"/>
        <w:rPr>
          <w:b/>
          <w:i/>
          <w:sz w:val="40"/>
        </w:rPr>
      </w:pPr>
      <w:r>
        <w:rPr>
          <w:b/>
          <w:i/>
          <w:sz w:val="40"/>
        </w:rPr>
        <w:t>What is stevia and what are its</w:t>
      </w:r>
      <w:r>
        <w:rPr>
          <w:b/>
          <w:i/>
          <w:spacing w:val="-68"/>
          <w:sz w:val="40"/>
        </w:rPr>
        <w:t> </w:t>
      </w:r>
      <w:r>
        <w:rPr>
          <w:b/>
          <w:i/>
          <w:sz w:val="40"/>
        </w:rPr>
        <w:t>benefits?</w:t>
      </w:r>
    </w:p>
    <w:p>
      <w:pPr>
        <w:pStyle w:val="BodyText"/>
        <w:spacing w:line="278" w:lineRule="auto" w:before="299"/>
        <w:ind w:left="616" w:right="139"/>
        <w:jc w:val="both"/>
      </w:pPr>
      <w:r>
        <w:rPr/>
        <w:t>Stevia,</w:t>
      </w:r>
      <w:r>
        <w:rPr>
          <w:spacing w:val="-9"/>
        </w:rPr>
        <w:t> </w:t>
      </w:r>
      <w:r>
        <w:rPr/>
        <w:t>also</w:t>
      </w:r>
      <w:r>
        <w:rPr>
          <w:spacing w:val="-9"/>
        </w:rPr>
        <w:t> </w:t>
      </w:r>
      <w:r>
        <w:rPr/>
        <w:t>known</w:t>
      </w:r>
      <w:r>
        <w:rPr>
          <w:spacing w:val="-8"/>
        </w:rPr>
        <w:t> </w:t>
      </w:r>
      <w:r>
        <w:rPr/>
        <w:t>as</w:t>
      </w:r>
      <w:r>
        <w:rPr>
          <w:spacing w:val="-10"/>
        </w:rPr>
        <w:t> </w:t>
      </w:r>
      <w:r>
        <w:rPr/>
        <w:t>sweet</w:t>
      </w:r>
      <w:r>
        <w:rPr>
          <w:spacing w:val="-9"/>
        </w:rPr>
        <w:t> </w:t>
      </w:r>
      <w:r>
        <w:rPr/>
        <w:t>herb,</w:t>
      </w:r>
      <w:r>
        <w:rPr>
          <w:spacing w:val="-8"/>
        </w:rPr>
        <w:t> </w:t>
      </w:r>
      <w:r>
        <w:rPr/>
        <w:t>sweet</w:t>
      </w:r>
      <w:r>
        <w:rPr>
          <w:spacing w:val="-9"/>
        </w:rPr>
        <w:t> </w:t>
      </w:r>
      <w:r>
        <w:rPr/>
        <w:t>leaf,</w:t>
      </w:r>
      <w:r>
        <w:rPr>
          <w:spacing w:val="-12"/>
        </w:rPr>
        <w:t> </w:t>
      </w:r>
      <w:r>
        <w:rPr/>
        <w:t>honey</w:t>
      </w:r>
      <w:r>
        <w:rPr>
          <w:spacing w:val="-8"/>
        </w:rPr>
        <w:t> </w:t>
      </w:r>
      <w:r>
        <w:rPr/>
        <w:t>leaf</w:t>
      </w:r>
      <w:r>
        <w:rPr>
          <w:spacing w:val="-10"/>
        </w:rPr>
        <w:t> </w:t>
      </w:r>
      <w:r>
        <w:rPr/>
        <w:t>or</w:t>
      </w:r>
      <w:r>
        <w:rPr>
          <w:spacing w:val="-10"/>
        </w:rPr>
        <w:t> </w:t>
      </w:r>
      <w:r>
        <w:rPr/>
        <w:t>sugar</w:t>
      </w:r>
      <w:r>
        <w:rPr>
          <w:spacing w:val="-8"/>
        </w:rPr>
        <w:t> </w:t>
      </w:r>
      <w:r>
        <w:rPr/>
        <w:t>loaf,</w:t>
      </w:r>
      <w:r>
        <w:rPr>
          <w:spacing w:val="-9"/>
        </w:rPr>
        <w:t> </w:t>
      </w:r>
      <w:r>
        <w:rPr/>
        <w:t>is</w:t>
      </w:r>
      <w:r>
        <w:rPr>
          <w:spacing w:val="-8"/>
        </w:rPr>
        <w:t> </w:t>
      </w:r>
      <w:r>
        <w:rPr/>
        <w:t>a</w:t>
      </w:r>
      <w:r>
        <w:rPr>
          <w:spacing w:val="-13"/>
        </w:rPr>
        <w:t> </w:t>
      </w:r>
      <w:r>
        <w:rPr/>
        <w:t>plant species from the Stevia genus of the Asteraceae</w:t>
      </w:r>
      <w:r>
        <w:rPr>
          <w:spacing w:val="-7"/>
        </w:rPr>
        <w:t> </w:t>
      </w:r>
      <w:r>
        <w:rPr/>
        <w:t>family.</w:t>
      </w:r>
    </w:p>
    <w:p>
      <w:pPr>
        <w:pStyle w:val="BodyText"/>
        <w:spacing w:line="276" w:lineRule="auto" w:before="233"/>
        <w:ind w:left="616" w:right="132"/>
        <w:jc w:val="both"/>
      </w:pPr>
      <w:r>
        <w:rPr/>
        <w:t>Stevia's speciality lies in the fact that, even when raw, it is already 10-30 times sweeter</w:t>
      </w:r>
      <w:r>
        <w:rPr>
          <w:spacing w:val="-11"/>
        </w:rPr>
        <w:t> </w:t>
      </w:r>
      <w:r>
        <w:rPr/>
        <w:t>than</w:t>
      </w:r>
      <w:r>
        <w:rPr>
          <w:spacing w:val="-13"/>
        </w:rPr>
        <w:t> </w:t>
      </w:r>
      <w:r>
        <w:rPr/>
        <w:t>normal</w:t>
      </w:r>
      <w:r>
        <w:rPr>
          <w:spacing w:val="-12"/>
        </w:rPr>
        <w:t> </w:t>
      </w:r>
      <w:r>
        <w:rPr/>
        <w:t>household</w:t>
      </w:r>
      <w:r>
        <w:rPr>
          <w:spacing w:val="-12"/>
        </w:rPr>
        <w:t> </w:t>
      </w:r>
      <w:r>
        <w:rPr/>
        <w:t>sugar;</w:t>
      </w:r>
      <w:r>
        <w:rPr>
          <w:spacing w:val="-11"/>
        </w:rPr>
        <w:t> </w:t>
      </w:r>
      <w:r>
        <w:rPr/>
        <w:t>stevia</w:t>
      </w:r>
      <w:r>
        <w:rPr>
          <w:spacing w:val="-13"/>
        </w:rPr>
        <w:t> </w:t>
      </w:r>
      <w:r>
        <w:rPr/>
        <w:t>which</w:t>
      </w:r>
      <w:r>
        <w:rPr>
          <w:spacing w:val="-11"/>
        </w:rPr>
        <w:t> </w:t>
      </w:r>
      <w:r>
        <w:rPr/>
        <w:t>has</w:t>
      </w:r>
      <w:r>
        <w:rPr>
          <w:spacing w:val="-13"/>
        </w:rPr>
        <w:t> </w:t>
      </w:r>
      <w:r>
        <w:rPr/>
        <w:t>been</w:t>
      </w:r>
      <w:r>
        <w:rPr>
          <w:spacing w:val="-13"/>
        </w:rPr>
        <w:t> </w:t>
      </w:r>
      <w:r>
        <w:rPr/>
        <w:t>processed</w:t>
      </w:r>
      <w:r>
        <w:rPr>
          <w:spacing w:val="-11"/>
        </w:rPr>
        <w:t> </w:t>
      </w:r>
      <w:r>
        <w:rPr/>
        <w:t>into</w:t>
      </w:r>
      <w:r>
        <w:rPr>
          <w:spacing w:val="-12"/>
        </w:rPr>
        <w:t> </w:t>
      </w:r>
      <w:r>
        <w:rPr/>
        <w:t>an extract can be as much as 300-400 times sweeter than household</w:t>
      </w:r>
      <w:r>
        <w:rPr>
          <w:spacing w:val="-9"/>
        </w:rPr>
        <w:t> </w:t>
      </w:r>
      <w:r>
        <w:rPr/>
        <w:t>sugar.</w:t>
      </w:r>
    </w:p>
    <w:p>
      <w:pPr>
        <w:pStyle w:val="BodyText"/>
        <w:spacing w:before="241"/>
        <w:ind w:left="616"/>
      </w:pPr>
      <w:r>
        <w:rPr/>
        <w:t>This fact makes stevia ideal as a sugar substitute or a natural</w:t>
      </w:r>
      <w:r>
        <w:rPr>
          <w:spacing w:val="-28"/>
        </w:rPr>
        <w:t> </w:t>
      </w:r>
      <w:r>
        <w:rPr/>
        <w:t>sweetener.</w:t>
      </w:r>
    </w:p>
    <w:p>
      <w:pPr>
        <w:pStyle w:val="Heading1"/>
        <w:spacing w:before="287"/>
        <w:ind w:left="616"/>
      </w:pPr>
      <w:r>
        <w:rPr/>
        <w:t>Can stevia replace sugar and artificial sweeteners?</w:t>
      </w:r>
    </w:p>
    <w:p>
      <w:pPr>
        <w:pStyle w:val="BodyText"/>
        <w:spacing w:line="276" w:lineRule="auto" w:before="297"/>
        <w:ind w:left="616" w:right="138"/>
        <w:jc w:val="both"/>
      </w:pPr>
      <w:r>
        <w:rPr/>
        <w:t>Unlike harmful sugar (sometimes referred to by specialists as 'white poison'), stevia has a healthy sweetness and is therefore not only harmless but also a healthy alternative to unhealthy sugar and artificial sweeteners.</w:t>
      </w:r>
    </w:p>
    <w:p>
      <w:pPr>
        <w:pStyle w:val="Heading1"/>
        <w:spacing w:before="225"/>
        <w:ind w:left="616"/>
      </w:pPr>
      <w:r>
        <w:rPr/>
        <w:t>Why are sugar and artificial sweeteners unhealthy?</w:t>
      </w:r>
    </w:p>
    <w:p>
      <w:pPr>
        <w:pStyle w:val="BodyText"/>
        <w:spacing w:line="276" w:lineRule="auto" w:before="296"/>
        <w:ind w:left="616" w:right="135"/>
        <w:jc w:val="both"/>
      </w:pPr>
      <w:r>
        <w:rPr/>
        <w:t>Readers</w:t>
      </w:r>
      <w:r>
        <w:rPr>
          <w:spacing w:val="-16"/>
        </w:rPr>
        <w:t> </w:t>
      </w:r>
      <w:r>
        <w:rPr/>
        <w:t>became</w:t>
      </w:r>
      <w:r>
        <w:rPr>
          <w:spacing w:val="-16"/>
        </w:rPr>
        <w:t> </w:t>
      </w:r>
      <w:r>
        <w:rPr/>
        <w:t>aware</w:t>
      </w:r>
      <w:r>
        <w:rPr>
          <w:spacing w:val="-16"/>
        </w:rPr>
        <w:t> </w:t>
      </w:r>
      <w:r>
        <w:rPr/>
        <w:t>of</w:t>
      </w:r>
      <w:r>
        <w:rPr>
          <w:spacing w:val="-15"/>
        </w:rPr>
        <w:t> </w:t>
      </w:r>
      <w:r>
        <w:rPr/>
        <w:t>the</w:t>
      </w:r>
      <w:r>
        <w:rPr>
          <w:spacing w:val="-15"/>
        </w:rPr>
        <w:t> </w:t>
      </w:r>
      <w:r>
        <w:rPr/>
        <w:t>risks</w:t>
      </w:r>
      <w:r>
        <w:rPr>
          <w:spacing w:val="-16"/>
        </w:rPr>
        <w:t> </w:t>
      </w:r>
      <w:r>
        <w:rPr/>
        <w:t>of</w:t>
      </w:r>
      <w:r>
        <w:rPr>
          <w:spacing w:val="-16"/>
        </w:rPr>
        <w:t> </w:t>
      </w:r>
      <w:r>
        <w:rPr/>
        <w:t>sugar</w:t>
      </w:r>
      <w:r>
        <w:rPr>
          <w:spacing w:val="-15"/>
        </w:rPr>
        <w:t> </w:t>
      </w:r>
      <w:r>
        <w:rPr/>
        <w:t>consumption</w:t>
      </w:r>
      <w:r>
        <w:rPr>
          <w:spacing w:val="-16"/>
        </w:rPr>
        <w:t> </w:t>
      </w:r>
      <w:r>
        <w:rPr/>
        <w:t>at</w:t>
      </w:r>
      <w:r>
        <w:rPr>
          <w:spacing w:val="-18"/>
        </w:rPr>
        <w:t> </w:t>
      </w:r>
      <w:r>
        <w:rPr/>
        <w:t>the</w:t>
      </w:r>
      <w:r>
        <w:rPr>
          <w:spacing w:val="-14"/>
        </w:rPr>
        <w:t> </w:t>
      </w:r>
      <w:r>
        <w:rPr/>
        <w:t>very</w:t>
      </w:r>
      <w:r>
        <w:rPr>
          <w:spacing w:val="-16"/>
        </w:rPr>
        <w:t> </w:t>
      </w:r>
      <w:r>
        <w:rPr/>
        <w:t>latest</w:t>
      </w:r>
      <w:r>
        <w:rPr>
          <w:spacing w:val="-17"/>
        </w:rPr>
        <w:t> </w:t>
      </w:r>
      <w:r>
        <w:rPr/>
        <w:t>with the publication of Dr. Otto Bruker's bestseller 'Sugar, Sugar'. It is not without reason</w:t>
      </w:r>
      <w:r>
        <w:rPr>
          <w:spacing w:val="-5"/>
        </w:rPr>
        <w:t> </w:t>
      </w:r>
      <w:r>
        <w:rPr/>
        <w:t>that</w:t>
      </w:r>
      <w:r>
        <w:rPr>
          <w:spacing w:val="-7"/>
        </w:rPr>
        <w:t> </w:t>
      </w:r>
      <w:r>
        <w:rPr/>
        <w:t>sugar</w:t>
      </w:r>
      <w:r>
        <w:rPr>
          <w:spacing w:val="-4"/>
        </w:rPr>
        <w:t> </w:t>
      </w:r>
      <w:r>
        <w:rPr/>
        <w:t>has</w:t>
      </w:r>
      <w:r>
        <w:rPr>
          <w:spacing w:val="-6"/>
        </w:rPr>
        <w:t> </w:t>
      </w:r>
      <w:r>
        <w:rPr/>
        <w:t>been</w:t>
      </w:r>
      <w:r>
        <w:rPr>
          <w:spacing w:val="-6"/>
        </w:rPr>
        <w:t> </w:t>
      </w:r>
      <w:r>
        <w:rPr/>
        <w:t>titled</w:t>
      </w:r>
      <w:r>
        <w:rPr>
          <w:spacing w:val="-8"/>
        </w:rPr>
        <w:t> </w:t>
      </w:r>
      <w:r>
        <w:rPr/>
        <w:t>the</w:t>
      </w:r>
      <w:r>
        <w:rPr>
          <w:spacing w:val="-3"/>
        </w:rPr>
        <w:t> </w:t>
      </w:r>
      <w:r>
        <w:rPr/>
        <w:t>'white</w:t>
      </w:r>
      <w:r>
        <w:rPr>
          <w:spacing w:val="-7"/>
        </w:rPr>
        <w:t> </w:t>
      </w:r>
      <w:r>
        <w:rPr/>
        <w:t>poison'</w:t>
      </w:r>
      <w:r>
        <w:rPr>
          <w:spacing w:val="-4"/>
        </w:rPr>
        <w:t> </w:t>
      </w:r>
      <w:r>
        <w:rPr/>
        <w:t>by</w:t>
      </w:r>
      <w:r>
        <w:rPr>
          <w:spacing w:val="-6"/>
        </w:rPr>
        <w:t> </w:t>
      </w:r>
      <w:r>
        <w:rPr/>
        <w:t>experts.</w:t>
      </w:r>
      <w:r>
        <w:rPr>
          <w:spacing w:val="-7"/>
        </w:rPr>
        <w:t> </w:t>
      </w:r>
      <w:r>
        <w:rPr/>
        <w:t>Sugar</w:t>
      </w:r>
      <w:r>
        <w:rPr>
          <w:spacing w:val="-4"/>
        </w:rPr>
        <w:t> </w:t>
      </w:r>
      <w:r>
        <w:rPr/>
        <w:t>is</w:t>
      </w:r>
      <w:r>
        <w:rPr>
          <w:spacing w:val="-7"/>
        </w:rPr>
        <w:t> </w:t>
      </w:r>
      <w:r>
        <w:rPr/>
        <w:t>proven to be directly and indirectly responsible for numerous</w:t>
      </w:r>
      <w:r>
        <w:rPr>
          <w:spacing w:val="-3"/>
        </w:rPr>
        <w:t> </w:t>
      </w:r>
      <w:r>
        <w:rPr/>
        <w:t>diseases.</w:t>
      </w:r>
    </w:p>
    <w:p>
      <w:pPr>
        <w:pStyle w:val="BodyText"/>
        <w:spacing w:line="276" w:lineRule="auto" w:before="243"/>
        <w:ind w:left="616" w:right="137"/>
        <w:jc w:val="both"/>
      </w:pPr>
      <w:r>
        <w:rPr/>
        <w:t>Sweetener in itself can be unhealthy as it has nothing to do with natural food- stuffs.</w:t>
      </w:r>
      <w:r>
        <w:rPr>
          <w:spacing w:val="-16"/>
        </w:rPr>
        <w:t> </w:t>
      </w:r>
      <w:r>
        <w:rPr/>
        <w:t>The</w:t>
      </w:r>
      <w:r>
        <w:rPr>
          <w:spacing w:val="-15"/>
        </w:rPr>
        <w:t> </w:t>
      </w:r>
      <w:r>
        <w:rPr/>
        <w:t>sweetener</w:t>
      </w:r>
      <w:r>
        <w:rPr>
          <w:spacing w:val="-16"/>
        </w:rPr>
        <w:t> </w:t>
      </w:r>
      <w:r>
        <w:rPr/>
        <w:t>aspartame</w:t>
      </w:r>
      <w:r>
        <w:rPr>
          <w:spacing w:val="-15"/>
        </w:rPr>
        <w:t> </w:t>
      </w:r>
      <w:r>
        <w:rPr/>
        <w:t>is</w:t>
      </w:r>
      <w:r>
        <w:rPr>
          <w:spacing w:val="-17"/>
        </w:rPr>
        <w:t> </w:t>
      </w:r>
      <w:r>
        <w:rPr/>
        <w:t>still</w:t>
      </w:r>
      <w:r>
        <w:rPr>
          <w:spacing w:val="-17"/>
        </w:rPr>
        <w:t> </w:t>
      </w:r>
      <w:r>
        <w:rPr/>
        <w:t>used</w:t>
      </w:r>
      <w:r>
        <w:rPr>
          <w:spacing w:val="-17"/>
        </w:rPr>
        <w:t> </w:t>
      </w:r>
      <w:r>
        <w:rPr/>
        <w:t>very</w:t>
      </w:r>
      <w:r>
        <w:rPr>
          <w:spacing w:val="-12"/>
        </w:rPr>
        <w:t> </w:t>
      </w:r>
      <w:r>
        <w:rPr/>
        <w:t>frequently</w:t>
      </w:r>
      <w:r>
        <w:rPr>
          <w:spacing w:val="-17"/>
        </w:rPr>
        <w:t> </w:t>
      </w:r>
      <w:r>
        <w:rPr/>
        <w:t>in</w:t>
      </w:r>
      <w:r>
        <w:rPr>
          <w:spacing w:val="-15"/>
        </w:rPr>
        <w:t> </w:t>
      </w:r>
      <w:r>
        <w:rPr/>
        <w:t>numerous</w:t>
      </w:r>
      <w:r>
        <w:rPr>
          <w:spacing w:val="-16"/>
        </w:rPr>
        <w:t> </w:t>
      </w:r>
      <w:r>
        <w:rPr/>
        <w:t>prod- ucts,</w:t>
      </w:r>
      <w:r>
        <w:rPr>
          <w:spacing w:val="20"/>
        </w:rPr>
        <w:t> </w:t>
      </w:r>
      <w:r>
        <w:rPr/>
        <w:t>as</w:t>
      </w:r>
      <w:r>
        <w:rPr>
          <w:spacing w:val="20"/>
        </w:rPr>
        <w:t> </w:t>
      </w:r>
      <w:r>
        <w:rPr/>
        <w:t>its</w:t>
      </w:r>
      <w:r>
        <w:rPr>
          <w:spacing w:val="19"/>
        </w:rPr>
        <w:t> </w:t>
      </w:r>
      <w:r>
        <w:rPr/>
        <w:t>sugar-like</w:t>
      </w:r>
      <w:r>
        <w:rPr>
          <w:spacing w:val="19"/>
        </w:rPr>
        <w:t> </w:t>
      </w:r>
      <w:r>
        <w:rPr/>
        <w:t>taste</w:t>
      </w:r>
      <w:r>
        <w:rPr>
          <w:spacing w:val="19"/>
        </w:rPr>
        <w:t> </w:t>
      </w:r>
      <w:r>
        <w:rPr/>
        <w:t>has</w:t>
      </w:r>
      <w:r>
        <w:rPr>
          <w:spacing w:val="21"/>
        </w:rPr>
        <w:t> </w:t>
      </w:r>
      <w:r>
        <w:rPr/>
        <w:t>made</w:t>
      </w:r>
      <w:r>
        <w:rPr>
          <w:spacing w:val="19"/>
        </w:rPr>
        <w:t> </w:t>
      </w:r>
      <w:r>
        <w:rPr/>
        <w:t>it</w:t>
      </w:r>
      <w:r>
        <w:rPr>
          <w:spacing w:val="19"/>
        </w:rPr>
        <w:t> </w:t>
      </w:r>
      <w:r>
        <w:rPr/>
        <w:t>extremely</w:t>
      </w:r>
      <w:r>
        <w:rPr>
          <w:spacing w:val="22"/>
        </w:rPr>
        <w:t> </w:t>
      </w:r>
      <w:r>
        <w:rPr/>
        <w:t>popular</w:t>
      </w:r>
      <w:r>
        <w:rPr>
          <w:spacing w:val="18"/>
        </w:rPr>
        <w:t> </w:t>
      </w:r>
      <w:r>
        <w:rPr/>
        <w:t>and</w:t>
      </w:r>
      <w:r>
        <w:rPr>
          <w:spacing w:val="20"/>
        </w:rPr>
        <w:t> </w:t>
      </w:r>
      <w:r>
        <w:rPr/>
        <w:t>people</w:t>
      </w:r>
      <w:r>
        <w:rPr>
          <w:spacing w:val="19"/>
        </w:rPr>
        <w:t> </w:t>
      </w:r>
      <w:r>
        <w:rPr/>
        <w:t>assume</w:t>
      </w:r>
    </w:p>
    <w:p>
      <w:pPr>
        <w:spacing w:after="0" w:line="276" w:lineRule="auto"/>
        <w:jc w:val="both"/>
        <w:sectPr>
          <w:pgSz w:w="14270" w:h="16850"/>
          <w:pgMar w:header="0" w:footer="1891" w:top="1340" w:bottom="2080" w:left="800" w:right="1280"/>
        </w:sectPr>
      </w:pPr>
    </w:p>
    <w:p>
      <w:pPr>
        <w:pStyle w:val="BodyText"/>
        <w:spacing w:before="74"/>
        <w:ind w:left="616"/>
      </w:pPr>
      <w:r>
        <w:rPr/>
        <w:t>that governments protect us from harmful substances.</w:t>
      </w:r>
    </w:p>
    <w:p>
      <w:pPr>
        <w:pStyle w:val="BodyText"/>
        <w:spacing w:line="276" w:lineRule="auto" w:before="305"/>
        <w:ind w:left="616" w:right="132"/>
        <w:jc w:val="both"/>
      </w:pPr>
      <w:r>
        <w:rPr/>
        <w:t>Unfortunately, this is not the case as poisonous nerve gases are created in the manufacture of aspartame which, among other things, can bring about memory</w:t>
      </w:r>
      <w:r>
        <w:rPr>
          <w:spacing w:val="-21"/>
        </w:rPr>
        <w:t> </w:t>
      </w:r>
      <w:r>
        <w:rPr/>
        <w:t>loss,</w:t>
      </w:r>
      <w:r>
        <w:rPr>
          <w:spacing w:val="-22"/>
        </w:rPr>
        <w:t> </w:t>
      </w:r>
      <w:r>
        <w:rPr/>
        <w:t>blindness,</w:t>
      </w:r>
      <w:r>
        <w:rPr>
          <w:spacing w:val="-23"/>
        </w:rPr>
        <w:t> </w:t>
      </w:r>
      <w:r>
        <w:rPr/>
        <w:t>hearing</w:t>
      </w:r>
      <w:r>
        <w:rPr>
          <w:spacing w:val="-22"/>
        </w:rPr>
        <w:t> </w:t>
      </w:r>
      <w:r>
        <w:rPr/>
        <w:t>loss</w:t>
      </w:r>
      <w:r>
        <w:rPr>
          <w:spacing w:val="-21"/>
        </w:rPr>
        <w:t> </w:t>
      </w:r>
      <w:r>
        <w:rPr/>
        <w:t>and</w:t>
      </w:r>
      <w:r>
        <w:rPr>
          <w:spacing w:val="-23"/>
        </w:rPr>
        <w:t> </w:t>
      </w:r>
      <w:r>
        <w:rPr/>
        <w:t>depression.</w:t>
      </w:r>
      <w:r>
        <w:rPr>
          <w:spacing w:val="-23"/>
        </w:rPr>
        <w:t> </w:t>
      </w:r>
      <w:r>
        <w:rPr/>
        <w:t>You</w:t>
      </w:r>
      <w:r>
        <w:rPr>
          <w:spacing w:val="-21"/>
        </w:rPr>
        <w:t> </w:t>
      </w:r>
      <w:r>
        <w:rPr/>
        <w:t>can</w:t>
      </w:r>
      <w:r>
        <w:rPr>
          <w:spacing w:val="-20"/>
        </w:rPr>
        <w:t> </w:t>
      </w:r>
      <w:r>
        <w:rPr/>
        <w:t>find</w:t>
      </w:r>
      <w:r>
        <w:rPr>
          <w:spacing w:val="-22"/>
        </w:rPr>
        <w:t> </w:t>
      </w:r>
      <w:r>
        <w:rPr/>
        <w:t>more</w:t>
      </w:r>
      <w:r>
        <w:rPr>
          <w:spacing w:val="-23"/>
        </w:rPr>
        <w:t> </w:t>
      </w:r>
      <w:r>
        <w:rPr/>
        <w:t>details in the section 'Stevia – a healthy sugar substitute'.</w:t>
      </w:r>
    </w:p>
    <w:p>
      <w:pPr>
        <w:pStyle w:val="Heading1"/>
        <w:spacing w:before="222"/>
        <w:ind w:left="616"/>
      </w:pPr>
      <w:r>
        <w:rPr/>
        <w:t>Is stevia harmless to health </w:t>
      </w:r>
      <w:r>
        <w:rPr>
          <w:i w:val="0"/>
          <w:sz w:val="38"/>
        </w:rPr>
        <w:t>– </w:t>
      </w:r>
      <w:r>
        <w:rPr/>
        <w:t>or even healthy?</w:t>
      </w:r>
    </w:p>
    <w:p>
      <w:pPr>
        <w:pStyle w:val="BodyText"/>
        <w:spacing w:line="276" w:lineRule="auto" w:before="297"/>
        <w:ind w:left="616" w:right="135"/>
        <w:jc w:val="both"/>
      </w:pPr>
      <w:r>
        <w:rPr/>
        <w:t>Stevia</w:t>
      </w:r>
      <w:r>
        <w:rPr>
          <w:spacing w:val="-15"/>
        </w:rPr>
        <w:t> </w:t>
      </w:r>
      <w:r>
        <w:rPr/>
        <w:t>has</w:t>
      </w:r>
      <w:r>
        <w:rPr>
          <w:spacing w:val="-12"/>
        </w:rPr>
        <w:t> </w:t>
      </w:r>
      <w:r>
        <w:rPr/>
        <w:t>been</w:t>
      </w:r>
      <w:r>
        <w:rPr>
          <w:spacing w:val="-13"/>
        </w:rPr>
        <w:t> </w:t>
      </w:r>
      <w:r>
        <w:rPr/>
        <w:t>extensively</w:t>
      </w:r>
      <w:r>
        <w:rPr>
          <w:spacing w:val="-14"/>
        </w:rPr>
        <w:t> </w:t>
      </w:r>
      <w:r>
        <w:rPr/>
        <w:t>researched</w:t>
      </w:r>
      <w:r>
        <w:rPr>
          <w:spacing w:val="-13"/>
        </w:rPr>
        <w:t> </w:t>
      </w:r>
      <w:r>
        <w:rPr/>
        <w:t>for</w:t>
      </w:r>
      <w:r>
        <w:rPr>
          <w:spacing w:val="-13"/>
        </w:rPr>
        <w:t> </w:t>
      </w:r>
      <w:r>
        <w:rPr/>
        <w:t>many</w:t>
      </w:r>
      <w:r>
        <w:rPr>
          <w:spacing w:val="-15"/>
        </w:rPr>
        <w:t> </w:t>
      </w:r>
      <w:r>
        <w:rPr/>
        <w:t>years</w:t>
      </w:r>
      <w:r>
        <w:rPr>
          <w:spacing w:val="-12"/>
        </w:rPr>
        <w:t> </w:t>
      </w:r>
      <w:r>
        <w:rPr/>
        <w:t>and</w:t>
      </w:r>
      <w:r>
        <w:rPr>
          <w:spacing w:val="-14"/>
        </w:rPr>
        <w:t> </w:t>
      </w:r>
      <w:r>
        <w:rPr/>
        <w:t>studies</w:t>
      </w:r>
      <w:r>
        <w:rPr>
          <w:spacing w:val="-11"/>
        </w:rPr>
        <w:t> </w:t>
      </w:r>
      <w:r>
        <w:rPr/>
        <w:t>diagnose</w:t>
      </w:r>
      <w:r>
        <w:rPr>
          <w:spacing w:val="-13"/>
        </w:rPr>
        <w:t> </w:t>
      </w:r>
      <w:r>
        <w:rPr/>
        <w:t>the plant as medically harmless. The JEFCA (including the World Health Organi- sation) and recently the European Food Safety Authority (EFSA) have classi- fied stevia as having no health risks, which should soon lead to its approval as a food supplement in the</w:t>
      </w:r>
      <w:r>
        <w:rPr>
          <w:spacing w:val="2"/>
        </w:rPr>
        <w:t> </w:t>
      </w:r>
      <w:r>
        <w:rPr/>
        <w:t>EU.</w:t>
      </w:r>
    </w:p>
    <w:p>
      <w:pPr>
        <w:spacing w:after="0" w:line="276" w:lineRule="auto"/>
        <w:jc w:val="both"/>
        <w:sectPr>
          <w:pgSz w:w="14270" w:h="16850"/>
          <w:pgMar w:header="0" w:footer="1891" w:top="1340" w:bottom="2080" w:left="800" w:right="1280"/>
        </w:sectPr>
      </w:pPr>
    </w:p>
    <w:p>
      <w:pPr>
        <w:pStyle w:val="Heading2"/>
        <w:spacing w:line="276" w:lineRule="auto" w:before="74"/>
        <w:ind w:left="616"/>
      </w:pPr>
      <w:r>
        <w:rPr/>
        <w:t>Stevia</w:t>
      </w:r>
      <w:r>
        <w:rPr>
          <w:spacing w:val="-13"/>
        </w:rPr>
        <w:t> </w:t>
      </w:r>
      <w:r>
        <w:rPr/>
        <w:t>is</w:t>
      </w:r>
      <w:r>
        <w:rPr>
          <w:spacing w:val="-13"/>
        </w:rPr>
        <w:t> </w:t>
      </w:r>
      <w:r>
        <w:rPr/>
        <w:t>purported</w:t>
      </w:r>
      <w:r>
        <w:rPr>
          <w:spacing w:val="-12"/>
        </w:rPr>
        <w:t> </w:t>
      </w:r>
      <w:r>
        <w:rPr/>
        <w:t>to</w:t>
      </w:r>
      <w:r>
        <w:rPr>
          <w:spacing w:val="-13"/>
        </w:rPr>
        <w:t> </w:t>
      </w:r>
      <w:r>
        <w:rPr/>
        <w:t>have</w:t>
      </w:r>
      <w:r>
        <w:rPr>
          <w:spacing w:val="-13"/>
        </w:rPr>
        <w:t> </w:t>
      </w:r>
      <w:r>
        <w:rPr/>
        <w:t>the</w:t>
      </w:r>
      <w:r>
        <w:rPr>
          <w:spacing w:val="-11"/>
        </w:rPr>
        <w:t> </w:t>
      </w:r>
      <w:r>
        <w:rPr/>
        <w:t>following</w:t>
      </w:r>
      <w:r>
        <w:rPr>
          <w:spacing w:val="-13"/>
        </w:rPr>
        <w:t> </w:t>
      </w:r>
      <w:r>
        <w:rPr/>
        <w:t>benefits</w:t>
      </w:r>
      <w:r>
        <w:rPr>
          <w:spacing w:val="-11"/>
        </w:rPr>
        <w:t> </w:t>
      </w:r>
      <w:r>
        <w:rPr/>
        <w:t>from</w:t>
      </w:r>
      <w:r>
        <w:rPr>
          <w:spacing w:val="-12"/>
        </w:rPr>
        <w:t> </w:t>
      </w:r>
      <w:r>
        <w:rPr/>
        <w:t>a</w:t>
      </w:r>
      <w:r>
        <w:rPr>
          <w:spacing w:val="-11"/>
        </w:rPr>
        <w:t> </w:t>
      </w:r>
      <w:r>
        <w:rPr/>
        <w:t>health</w:t>
      </w:r>
      <w:r>
        <w:rPr>
          <w:spacing w:val="-13"/>
        </w:rPr>
        <w:t> </w:t>
      </w:r>
      <w:r>
        <w:rPr/>
        <w:t>perspec- tive:</w:t>
      </w:r>
    </w:p>
    <w:p>
      <w:pPr>
        <w:pStyle w:val="ListParagraph"/>
        <w:numPr>
          <w:ilvl w:val="0"/>
          <w:numId w:val="125"/>
        </w:numPr>
        <w:tabs>
          <w:tab w:pos="1329" w:val="left" w:leader="none"/>
          <w:tab w:pos="1330" w:val="left" w:leader="none"/>
        </w:tabs>
        <w:spacing w:line="273" w:lineRule="auto" w:before="199" w:after="0"/>
        <w:ind w:left="1329" w:right="140" w:hanging="355"/>
        <w:jc w:val="left"/>
        <w:rPr>
          <w:sz w:val="38"/>
        </w:rPr>
      </w:pPr>
      <w:r>
        <w:rPr>
          <w:sz w:val="38"/>
        </w:rPr>
        <w:t>Protection from cardiovascular disease (highest cause of death in indus- trialised</w:t>
      </w:r>
      <w:r>
        <w:rPr>
          <w:spacing w:val="-1"/>
          <w:sz w:val="38"/>
        </w:rPr>
        <w:t> </w:t>
      </w:r>
      <w:r>
        <w:rPr>
          <w:sz w:val="38"/>
        </w:rPr>
        <w:t>countries)</w:t>
      </w:r>
    </w:p>
    <w:p>
      <w:pPr>
        <w:pStyle w:val="ListParagraph"/>
        <w:numPr>
          <w:ilvl w:val="0"/>
          <w:numId w:val="125"/>
        </w:numPr>
        <w:tabs>
          <w:tab w:pos="1329" w:val="left" w:leader="none"/>
          <w:tab w:pos="1330" w:val="left" w:leader="none"/>
        </w:tabs>
        <w:spacing w:line="240" w:lineRule="auto" w:before="127" w:after="0"/>
        <w:ind w:left="1329" w:right="0" w:hanging="355"/>
        <w:jc w:val="left"/>
        <w:rPr>
          <w:sz w:val="38"/>
        </w:rPr>
      </w:pPr>
      <w:r>
        <w:rPr>
          <w:sz w:val="38"/>
        </w:rPr>
        <w:t>Positive influence on the blood sugar level (important for</w:t>
      </w:r>
      <w:r>
        <w:rPr>
          <w:spacing w:val="-11"/>
          <w:sz w:val="38"/>
        </w:rPr>
        <w:t> </w:t>
      </w:r>
      <w:r>
        <w:rPr>
          <w:sz w:val="38"/>
        </w:rPr>
        <w:t>diabetics)</w:t>
      </w:r>
    </w:p>
    <w:p>
      <w:pPr>
        <w:pStyle w:val="ListParagraph"/>
        <w:numPr>
          <w:ilvl w:val="0"/>
          <w:numId w:val="125"/>
        </w:numPr>
        <w:tabs>
          <w:tab w:pos="1329" w:val="left" w:leader="none"/>
          <w:tab w:pos="1330" w:val="left" w:leader="none"/>
        </w:tabs>
        <w:spacing w:line="240" w:lineRule="auto" w:before="186" w:after="0"/>
        <w:ind w:left="1329" w:right="0" w:hanging="355"/>
        <w:jc w:val="left"/>
        <w:rPr>
          <w:sz w:val="38"/>
        </w:rPr>
      </w:pPr>
      <w:r>
        <w:rPr>
          <w:sz w:val="38"/>
        </w:rPr>
        <w:t>Aids</w:t>
      </w:r>
      <w:r>
        <w:rPr>
          <w:spacing w:val="-1"/>
          <w:sz w:val="38"/>
        </w:rPr>
        <w:t> </w:t>
      </w:r>
      <w:r>
        <w:rPr>
          <w:sz w:val="38"/>
        </w:rPr>
        <w:t>digestion</w:t>
      </w:r>
    </w:p>
    <w:p>
      <w:pPr>
        <w:pStyle w:val="ListParagraph"/>
        <w:numPr>
          <w:ilvl w:val="0"/>
          <w:numId w:val="125"/>
        </w:numPr>
        <w:tabs>
          <w:tab w:pos="1329" w:val="left" w:leader="none"/>
          <w:tab w:pos="1330" w:val="left" w:leader="none"/>
        </w:tabs>
        <w:spacing w:line="240" w:lineRule="auto" w:before="185" w:after="0"/>
        <w:ind w:left="1329" w:right="0" w:hanging="355"/>
        <w:jc w:val="left"/>
        <w:rPr>
          <w:sz w:val="38"/>
        </w:rPr>
      </w:pPr>
      <w:r>
        <w:rPr>
          <w:sz w:val="38"/>
        </w:rPr>
        <w:t>Regulates weight, helps with weight</w:t>
      </w:r>
      <w:r>
        <w:rPr>
          <w:spacing w:val="1"/>
          <w:sz w:val="38"/>
        </w:rPr>
        <w:t> </w:t>
      </w:r>
      <w:r>
        <w:rPr>
          <w:sz w:val="38"/>
        </w:rPr>
        <w:t>loss</w:t>
      </w:r>
    </w:p>
    <w:p>
      <w:pPr>
        <w:pStyle w:val="ListParagraph"/>
        <w:numPr>
          <w:ilvl w:val="0"/>
          <w:numId w:val="125"/>
        </w:numPr>
        <w:tabs>
          <w:tab w:pos="1329" w:val="left" w:leader="none"/>
          <w:tab w:pos="1330" w:val="left" w:leader="none"/>
        </w:tabs>
        <w:spacing w:line="240" w:lineRule="auto" w:before="183" w:after="0"/>
        <w:ind w:left="1329" w:right="0" w:hanging="355"/>
        <w:jc w:val="left"/>
        <w:rPr>
          <w:sz w:val="38"/>
        </w:rPr>
      </w:pPr>
      <w:r>
        <w:rPr>
          <w:sz w:val="38"/>
        </w:rPr>
        <w:t>Impedes infections</w:t>
      </w:r>
    </w:p>
    <w:p>
      <w:pPr>
        <w:pStyle w:val="ListParagraph"/>
        <w:numPr>
          <w:ilvl w:val="0"/>
          <w:numId w:val="125"/>
        </w:numPr>
        <w:tabs>
          <w:tab w:pos="1329" w:val="left" w:leader="none"/>
          <w:tab w:pos="1330" w:val="left" w:leader="none"/>
        </w:tabs>
        <w:spacing w:line="240" w:lineRule="auto" w:before="184" w:after="0"/>
        <w:ind w:left="1329" w:right="0" w:hanging="355"/>
        <w:jc w:val="left"/>
        <w:rPr>
          <w:sz w:val="38"/>
        </w:rPr>
      </w:pPr>
      <w:r>
        <w:rPr>
          <w:sz w:val="38"/>
        </w:rPr>
        <w:t>Anti-bacterial</w:t>
      </w:r>
      <w:r>
        <w:rPr>
          <w:spacing w:val="-2"/>
          <w:sz w:val="38"/>
        </w:rPr>
        <w:t> </w:t>
      </w:r>
      <w:r>
        <w:rPr>
          <w:sz w:val="38"/>
        </w:rPr>
        <w:t>effect</w:t>
      </w:r>
    </w:p>
    <w:p>
      <w:pPr>
        <w:pStyle w:val="ListParagraph"/>
        <w:numPr>
          <w:ilvl w:val="0"/>
          <w:numId w:val="125"/>
        </w:numPr>
        <w:tabs>
          <w:tab w:pos="1329" w:val="left" w:leader="none"/>
          <w:tab w:pos="1330" w:val="left" w:leader="none"/>
        </w:tabs>
        <w:spacing w:line="240" w:lineRule="auto" w:before="186" w:after="0"/>
        <w:ind w:left="1329" w:right="0" w:hanging="355"/>
        <w:jc w:val="left"/>
        <w:rPr>
          <w:sz w:val="38"/>
        </w:rPr>
      </w:pPr>
      <w:r>
        <w:rPr>
          <w:sz w:val="38"/>
        </w:rPr>
        <w:t>Inhibits the growth of</w:t>
      </w:r>
      <w:r>
        <w:rPr>
          <w:spacing w:val="3"/>
          <w:sz w:val="38"/>
        </w:rPr>
        <w:t> </w:t>
      </w:r>
      <w:r>
        <w:rPr>
          <w:sz w:val="38"/>
        </w:rPr>
        <w:t>fungi</w:t>
      </w:r>
    </w:p>
    <w:p>
      <w:pPr>
        <w:pStyle w:val="ListParagraph"/>
        <w:numPr>
          <w:ilvl w:val="0"/>
          <w:numId w:val="125"/>
        </w:numPr>
        <w:tabs>
          <w:tab w:pos="1329" w:val="left" w:leader="none"/>
          <w:tab w:pos="1330" w:val="left" w:leader="none"/>
        </w:tabs>
        <w:spacing w:line="240" w:lineRule="auto" w:before="184" w:after="0"/>
        <w:ind w:left="1329" w:right="0" w:hanging="355"/>
        <w:jc w:val="left"/>
        <w:rPr>
          <w:sz w:val="38"/>
        </w:rPr>
      </w:pPr>
      <w:r>
        <w:rPr>
          <w:sz w:val="38"/>
        </w:rPr>
        <w:t>Blood pressure-lowering effect without affecting normal blood</w:t>
      </w:r>
      <w:r>
        <w:rPr>
          <w:spacing w:val="-14"/>
          <w:sz w:val="38"/>
        </w:rPr>
        <w:t> </w:t>
      </w:r>
      <w:r>
        <w:rPr>
          <w:sz w:val="38"/>
        </w:rPr>
        <w:t>pressure</w:t>
      </w:r>
    </w:p>
    <w:p>
      <w:pPr>
        <w:pStyle w:val="ListParagraph"/>
        <w:numPr>
          <w:ilvl w:val="0"/>
          <w:numId w:val="125"/>
        </w:numPr>
        <w:tabs>
          <w:tab w:pos="1329" w:val="left" w:leader="none"/>
          <w:tab w:pos="1330" w:val="left" w:leader="none"/>
        </w:tabs>
        <w:spacing w:line="240" w:lineRule="auto" w:before="183" w:after="0"/>
        <w:ind w:left="1329" w:right="0" w:hanging="355"/>
        <w:jc w:val="left"/>
        <w:rPr>
          <w:sz w:val="38"/>
        </w:rPr>
      </w:pPr>
      <w:r>
        <w:rPr>
          <w:sz w:val="38"/>
        </w:rPr>
        <w:t>Boosts immune system thanks to chlorophyll and vitamin C</w:t>
      </w:r>
      <w:r>
        <w:rPr>
          <w:spacing w:val="-9"/>
          <w:sz w:val="38"/>
        </w:rPr>
        <w:t> </w:t>
      </w:r>
      <w:r>
        <w:rPr>
          <w:sz w:val="38"/>
        </w:rPr>
        <w:t>content</w:t>
      </w:r>
    </w:p>
    <w:p>
      <w:pPr>
        <w:pStyle w:val="ListParagraph"/>
        <w:numPr>
          <w:ilvl w:val="0"/>
          <w:numId w:val="125"/>
        </w:numPr>
        <w:tabs>
          <w:tab w:pos="1329" w:val="left" w:leader="none"/>
          <w:tab w:pos="1330" w:val="left" w:leader="none"/>
        </w:tabs>
        <w:spacing w:line="240" w:lineRule="auto" w:before="184" w:after="0"/>
        <w:ind w:left="1329" w:right="0" w:hanging="355"/>
        <w:jc w:val="left"/>
        <w:rPr>
          <w:sz w:val="38"/>
        </w:rPr>
      </w:pPr>
      <w:r>
        <w:rPr>
          <w:sz w:val="38"/>
        </w:rPr>
        <w:t>Impedes infections</w:t>
      </w:r>
    </w:p>
    <w:p>
      <w:pPr>
        <w:pStyle w:val="ListParagraph"/>
        <w:numPr>
          <w:ilvl w:val="0"/>
          <w:numId w:val="125"/>
        </w:numPr>
        <w:tabs>
          <w:tab w:pos="1329" w:val="left" w:leader="none"/>
          <w:tab w:pos="1330" w:val="left" w:leader="none"/>
        </w:tabs>
        <w:spacing w:line="240" w:lineRule="auto" w:before="184" w:after="0"/>
        <w:ind w:left="1329" w:right="0" w:hanging="355"/>
        <w:jc w:val="left"/>
        <w:rPr>
          <w:sz w:val="38"/>
        </w:rPr>
      </w:pPr>
      <w:r>
        <w:rPr>
          <w:sz w:val="38"/>
        </w:rPr>
        <w:t>Has a calming effect on the</w:t>
      </w:r>
      <w:r>
        <w:rPr>
          <w:spacing w:val="-1"/>
          <w:sz w:val="38"/>
        </w:rPr>
        <w:t> </w:t>
      </w:r>
      <w:r>
        <w:rPr>
          <w:sz w:val="38"/>
        </w:rPr>
        <w:t>stomach</w:t>
      </w:r>
    </w:p>
    <w:p>
      <w:pPr>
        <w:pStyle w:val="ListParagraph"/>
        <w:numPr>
          <w:ilvl w:val="0"/>
          <w:numId w:val="125"/>
        </w:numPr>
        <w:tabs>
          <w:tab w:pos="1329" w:val="left" w:leader="none"/>
          <w:tab w:pos="1330" w:val="left" w:leader="none"/>
        </w:tabs>
        <w:spacing w:line="240" w:lineRule="auto" w:before="186" w:after="0"/>
        <w:ind w:left="1329" w:right="0" w:hanging="355"/>
        <w:jc w:val="left"/>
        <w:rPr>
          <w:sz w:val="38"/>
        </w:rPr>
      </w:pPr>
      <w:r>
        <w:rPr>
          <w:sz w:val="38"/>
        </w:rPr>
        <w:t>Combats symptoms of fatigue and states of</w:t>
      </w:r>
      <w:r>
        <w:rPr>
          <w:spacing w:val="-3"/>
          <w:sz w:val="38"/>
        </w:rPr>
        <w:t> </w:t>
      </w:r>
      <w:r>
        <w:rPr>
          <w:sz w:val="38"/>
        </w:rPr>
        <w:t>exhaustion</w:t>
      </w:r>
    </w:p>
    <w:p>
      <w:pPr>
        <w:pStyle w:val="ListParagraph"/>
        <w:numPr>
          <w:ilvl w:val="0"/>
          <w:numId w:val="125"/>
        </w:numPr>
        <w:tabs>
          <w:tab w:pos="1329" w:val="left" w:leader="none"/>
          <w:tab w:pos="1330" w:val="left" w:leader="none"/>
        </w:tabs>
        <w:spacing w:line="240" w:lineRule="auto" w:before="183" w:after="0"/>
        <w:ind w:left="1329" w:right="0" w:hanging="355"/>
        <w:jc w:val="left"/>
        <w:rPr>
          <w:sz w:val="38"/>
        </w:rPr>
      </w:pPr>
      <w:r>
        <w:rPr>
          <w:sz w:val="38"/>
        </w:rPr>
        <w:t>Stevia combats acne, dermatitis and eczema as a face mask (see</w:t>
      </w:r>
      <w:r>
        <w:rPr>
          <w:spacing w:val="-11"/>
          <w:sz w:val="38"/>
        </w:rPr>
        <w:t> </w:t>
      </w:r>
      <w:r>
        <w:rPr>
          <w:sz w:val="38"/>
        </w:rPr>
        <w:t>above)</w:t>
      </w:r>
    </w:p>
    <w:p>
      <w:pPr>
        <w:pStyle w:val="ListParagraph"/>
        <w:numPr>
          <w:ilvl w:val="0"/>
          <w:numId w:val="125"/>
        </w:numPr>
        <w:tabs>
          <w:tab w:pos="1329" w:val="left" w:leader="none"/>
          <w:tab w:pos="1330" w:val="left" w:leader="none"/>
        </w:tabs>
        <w:spacing w:line="240" w:lineRule="auto" w:before="184" w:after="0"/>
        <w:ind w:left="1329" w:right="0" w:hanging="355"/>
        <w:jc w:val="left"/>
        <w:rPr>
          <w:sz w:val="38"/>
        </w:rPr>
      </w:pPr>
      <w:r>
        <w:rPr>
          <w:sz w:val="38"/>
        </w:rPr>
        <w:t>Prophylaxis against</w:t>
      </w:r>
      <w:r>
        <w:rPr>
          <w:spacing w:val="-1"/>
          <w:sz w:val="38"/>
        </w:rPr>
        <w:t> </w:t>
      </w:r>
      <w:r>
        <w:rPr>
          <w:sz w:val="38"/>
        </w:rPr>
        <w:t>caries</w:t>
      </w:r>
    </w:p>
    <w:p>
      <w:pPr>
        <w:pStyle w:val="ListParagraph"/>
        <w:numPr>
          <w:ilvl w:val="0"/>
          <w:numId w:val="125"/>
        </w:numPr>
        <w:tabs>
          <w:tab w:pos="1329" w:val="left" w:leader="none"/>
          <w:tab w:pos="1330" w:val="left" w:leader="none"/>
        </w:tabs>
        <w:spacing w:line="273" w:lineRule="auto" w:before="184" w:after="0"/>
        <w:ind w:left="1329" w:right="144" w:hanging="355"/>
        <w:jc w:val="left"/>
        <w:rPr>
          <w:sz w:val="38"/>
        </w:rPr>
      </w:pPr>
      <w:r>
        <w:rPr>
          <w:sz w:val="38"/>
        </w:rPr>
        <w:t>Strengthens the immune system (due to vitamin C, numerous mineral substances and trace</w:t>
      </w:r>
      <w:r>
        <w:rPr>
          <w:spacing w:val="2"/>
          <w:sz w:val="38"/>
        </w:rPr>
        <w:t> </w:t>
      </w:r>
      <w:r>
        <w:rPr>
          <w:sz w:val="38"/>
        </w:rPr>
        <w:t>elements)</w:t>
      </w:r>
    </w:p>
    <w:p>
      <w:pPr>
        <w:spacing w:after="0" w:line="273" w:lineRule="auto"/>
        <w:jc w:val="left"/>
        <w:rPr>
          <w:sz w:val="38"/>
        </w:rPr>
        <w:sectPr>
          <w:footerReference w:type="default" r:id="rId377"/>
          <w:pgSz w:w="14270" w:h="16850"/>
          <w:pgMar w:footer="1891" w:header="0" w:top="1340" w:bottom="2080" w:left="800" w:right="1280"/>
          <w:pgNumType w:start="1600"/>
        </w:sectPr>
      </w:pPr>
    </w:p>
    <w:p>
      <w:pPr>
        <w:pStyle w:val="BodyText"/>
        <w:spacing w:line="276" w:lineRule="auto" w:before="72"/>
        <w:ind w:left="616" w:right="133"/>
        <w:jc w:val="both"/>
      </w:pPr>
      <w:r>
        <w:rPr/>
        <w:t>It</w:t>
      </w:r>
      <w:r>
        <w:rPr>
          <w:spacing w:val="-11"/>
        </w:rPr>
        <w:t> </w:t>
      </w:r>
      <w:r>
        <w:rPr/>
        <w:t>is</w:t>
      </w:r>
      <w:r>
        <w:rPr>
          <w:spacing w:val="-12"/>
        </w:rPr>
        <w:t> </w:t>
      </w:r>
      <w:r>
        <w:rPr/>
        <w:t>suspected</w:t>
      </w:r>
      <w:r>
        <w:rPr>
          <w:spacing w:val="-10"/>
        </w:rPr>
        <w:t> </w:t>
      </w:r>
      <w:r>
        <w:rPr/>
        <w:t>that</w:t>
      </w:r>
      <w:r>
        <w:rPr>
          <w:spacing w:val="-10"/>
        </w:rPr>
        <w:t> </w:t>
      </w:r>
      <w:r>
        <w:rPr/>
        <w:t>the</w:t>
      </w:r>
      <w:r>
        <w:rPr>
          <w:spacing w:val="-11"/>
        </w:rPr>
        <w:t> </w:t>
      </w:r>
      <w:r>
        <w:rPr/>
        <w:t>synergetic</w:t>
      </w:r>
      <w:r>
        <w:rPr>
          <w:spacing w:val="-10"/>
        </w:rPr>
        <w:t> </w:t>
      </w:r>
      <w:r>
        <w:rPr/>
        <w:t>relationship</w:t>
      </w:r>
      <w:r>
        <w:rPr>
          <w:spacing w:val="-12"/>
        </w:rPr>
        <w:t> </w:t>
      </w:r>
      <w:r>
        <w:rPr/>
        <w:t>between</w:t>
      </w:r>
      <w:r>
        <w:rPr>
          <w:spacing w:val="-10"/>
        </w:rPr>
        <w:t> </w:t>
      </w:r>
      <w:r>
        <w:rPr/>
        <w:t>the</w:t>
      </w:r>
      <w:r>
        <w:rPr>
          <w:spacing w:val="-8"/>
        </w:rPr>
        <w:t> </w:t>
      </w:r>
      <w:r>
        <w:rPr/>
        <w:t>vitamins</w:t>
      </w:r>
      <w:r>
        <w:rPr>
          <w:spacing w:val="-9"/>
        </w:rPr>
        <w:t> </w:t>
      </w:r>
      <w:r>
        <w:rPr/>
        <w:t>(almost</w:t>
      </w:r>
      <w:r>
        <w:rPr>
          <w:spacing w:val="-11"/>
        </w:rPr>
        <w:t> </w:t>
      </w:r>
      <w:r>
        <w:rPr/>
        <w:t>all B and C vitamins), trace elements, alkaloids and diterpenes contained in</w:t>
      </w:r>
      <w:r>
        <w:rPr>
          <w:spacing w:val="-52"/>
        </w:rPr>
        <w:t> </w:t>
      </w:r>
      <w:r>
        <w:rPr/>
        <w:t>stevia is responsible for these health</w:t>
      </w:r>
      <w:r>
        <w:rPr>
          <w:spacing w:val="-1"/>
        </w:rPr>
        <w:t> </w:t>
      </w:r>
      <w:r>
        <w:rPr/>
        <w:t>benefits.</w:t>
      </w:r>
    </w:p>
    <w:p>
      <w:pPr>
        <w:pStyle w:val="BodyText"/>
        <w:spacing w:line="276" w:lineRule="auto" w:before="241"/>
        <w:ind w:left="616" w:right="136"/>
        <w:jc w:val="both"/>
      </w:pPr>
      <w:r>
        <w:rPr/>
        <w:t>Furthermore, stevia has shown itself to be a perfect sugar substitute for dia- betics as, unlike sugar, stevia is not absorbed through the intestinal wall and not</w:t>
      </w:r>
      <w:r>
        <w:rPr>
          <w:spacing w:val="-11"/>
        </w:rPr>
        <w:t> </w:t>
      </w:r>
      <w:r>
        <w:rPr/>
        <w:t>transformed</w:t>
      </w:r>
      <w:r>
        <w:rPr>
          <w:spacing w:val="-12"/>
        </w:rPr>
        <w:t> </w:t>
      </w:r>
      <w:r>
        <w:rPr/>
        <w:t>by</w:t>
      </w:r>
      <w:r>
        <w:rPr>
          <w:spacing w:val="-9"/>
        </w:rPr>
        <w:t> </w:t>
      </w:r>
      <w:r>
        <w:rPr/>
        <w:t>enzymes</w:t>
      </w:r>
      <w:r>
        <w:rPr>
          <w:spacing w:val="-11"/>
        </w:rPr>
        <w:t> </w:t>
      </w:r>
      <w:r>
        <w:rPr/>
        <w:t>in</w:t>
      </w:r>
      <w:r>
        <w:rPr>
          <w:spacing w:val="-9"/>
        </w:rPr>
        <w:t> </w:t>
      </w:r>
      <w:r>
        <w:rPr/>
        <w:t>the</w:t>
      </w:r>
      <w:r>
        <w:rPr>
          <w:spacing w:val="-9"/>
        </w:rPr>
        <w:t> </w:t>
      </w:r>
      <w:r>
        <w:rPr/>
        <w:t>gastrointestinal</w:t>
      </w:r>
      <w:r>
        <w:rPr>
          <w:spacing w:val="-12"/>
        </w:rPr>
        <w:t> </w:t>
      </w:r>
      <w:r>
        <w:rPr/>
        <w:t>channel</w:t>
      </w:r>
      <w:r>
        <w:rPr>
          <w:spacing w:val="-9"/>
        </w:rPr>
        <w:t> </w:t>
      </w:r>
      <w:r>
        <w:rPr/>
        <w:t>as</w:t>
      </w:r>
      <w:r>
        <w:rPr>
          <w:spacing w:val="-10"/>
        </w:rPr>
        <w:t> </w:t>
      </w:r>
      <w:r>
        <w:rPr/>
        <w:t>the</w:t>
      </w:r>
      <w:r>
        <w:rPr>
          <w:spacing w:val="-12"/>
        </w:rPr>
        <w:t> </w:t>
      </w:r>
      <w:r>
        <w:rPr/>
        <w:t>sugar</w:t>
      </w:r>
      <w:r>
        <w:rPr>
          <w:spacing w:val="-9"/>
        </w:rPr>
        <w:t> </w:t>
      </w:r>
      <w:r>
        <w:rPr/>
        <w:t>bonds in stevioside are ß-glucoside bonds. Instead, stevioside is turned into steviol and sugar by bacteria in the large</w:t>
      </w:r>
      <w:r>
        <w:rPr>
          <w:spacing w:val="3"/>
        </w:rPr>
        <w:t> </w:t>
      </w:r>
      <w:r>
        <w:rPr/>
        <w:t>intestine.</w:t>
      </w:r>
    </w:p>
    <w:p>
      <w:pPr>
        <w:pStyle w:val="Heading1"/>
        <w:spacing w:before="225"/>
        <w:ind w:left="616"/>
      </w:pPr>
      <w:r>
        <w:rPr/>
        <w:t>Does stevia contain calories?</w:t>
      </w:r>
    </w:p>
    <w:p>
      <w:pPr>
        <w:pStyle w:val="BodyText"/>
        <w:spacing w:before="299"/>
        <w:ind w:left="616"/>
      </w:pPr>
      <w:r>
        <w:rPr/>
        <w:t>Stevia contains no calories.</w:t>
      </w:r>
    </w:p>
    <w:p>
      <w:pPr>
        <w:pStyle w:val="Heading1"/>
        <w:spacing w:before="285"/>
        <w:ind w:left="616"/>
      </w:pPr>
      <w:r>
        <w:rPr/>
        <w:t>How much stevia should be used for sweetening?</w:t>
      </w:r>
    </w:p>
    <w:p>
      <w:pPr>
        <w:pStyle w:val="BodyText"/>
        <w:spacing w:line="278" w:lineRule="auto" w:before="300"/>
        <w:ind w:left="616" w:right="136"/>
        <w:jc w:val="both"/>
      </w:pPr>
      <w:r>
        <w:rPr/>
        <w:t>There is no single answer here as this depends on the sweetness content of 'stevioside' in the dried stevia leaves.</w:t>
      </w:r>
    </w:p>
    <w:p>
      <w:pPr>
        <w:pStyle w:val="BodyText"/>
        <w:spacing w:line="276" w:lineRule="auto" w:before="232"/>
        <w:ind w:left="616" w:right="132"/>
        <w:jc w:val="both"/>
      </w:pPr>
      <w:r>
        <w:rPr/>
        <w:t>The stevioside content fluctuates between 6 and 15 % of the dry weight of stevia leaves. Accordingly, dried stevia leaves are 18-45 x sweeter than sugar; therefore, 10 g of dried stevia leaves is equivalent to 180 g of sugar (with a 6</w:t>
      </w:r>
    </w:p>
    <w:p>
      <w:pPr>
        <w:pStyle w:val="BodyText"/>
        <w:spacing w:line="276" w:lineRule="auto"/>
        <w:ind w:left="616" w:right="138"/>
        <w:jc w:val="both"/>
      </w:pPr>
      <w:r>
        <w:rPr/>
        <w:t>% proportion of the sweet substance 'stevioside', it is 450 g of sugar with a sweet substance proportion of 15 %). As a rule of thumb, you should replace 100 g of white or 90 g of brown sugar with one to two teaspoons of stevia powder or about 57 drops of fluid stevia.</w:t>
      </w:r>
    </w:p>
    <w:p>
      <w:pPr>
        <w:spacing w:after="0" w:line="276" w:lineRule="auto"/>
        <w:jc w:val="both"/>
        <w:sectPr>
          <w:pgSz w:w="14270" w:h="16850"/>
          <w:pgMar w:header="0" w:footer="1891" w:top="1340" w:bottom="2080" w:left="800" w:right="1280"/>
        </w:sectPr>
      </w:pPr>
    </w:p>
    <w:p>
      <w:pPr>
        <w:pStyle w:val="Heading1"/>
        <w:spacing w:before="77"/>
        <w:ind w:left="616"/>
      </w:pPr>
      <w:r>
        <w:rPr/>
        <w:t>Can stevia be used for baking and cooking?</w:t>
      </w:r>
    </w:p>
    <w:p>
      <w:pPr>
        <w:pStyle w:val="BodyText"/>
        <w:spacing w:line="276" w:lineRule="auto" w:before="299"/>
        <w:ind w:left="616" w:right="141"/>
        <w:jc w:val="both"/>
      </w:pPr>
      <w:r>
        <w:rPr/>
        <w:t>Stevia is ideal for baking and cooking. This is due to the high melting point</w:t>
      </w:r>
      <w:r>
        <w:rPr>
          <w:spacing w:val="-42"/>
        </w:rPr>
        <w:t> </w:t>
      </w:r>
      <w:r>
        <w:rPr/>
        <w:t>of stevia of 198 °C. Furthermore, stevioside is very resistant to fermentation and pH stable.</w:t>
      </w:r>
    </w:p>
    <w:p>
      <w:pPr>
        <w:pStyle w:val="BodyText"/>
        <w:spacing w:line="276" w:lineRule="auto" w:before="239"/>
        <w:ind w:left="616" w:right="140"/>
        <w:jc w:val="both"/>
      </w:pPr>
      <w:r>
        <w:rPr/>
        <w:t>Therefore, stevia is not only perfect as a sugar substitute in meals and drinks but also in baking and cooking. You can find some inspiration about how to use stevia in cooking and baking under the section 'Stevia recipes'.</w:t>
      </w:r>
    </w:p>
    <w:p>
      <w:pPr>
        <w:pStyle w:val="Heading1"/>
        <w:ind w:left="616"/>
      </w:pPr>
      <w:r>
        <w:rPr/>
        <w:t>Is stevia available on the EU</w:t>
      </w:r>
      <w:r>
        <w:rPr>
          <w:spacing w:val="-58"/>
        </w:rPr>
        <w:t> </w:t>
      </w:r>
      <w:r>
        <w:rPr/>
        <w:t>market?</w:t>
      </w:r>
    </w:p>
    <w:p>
      <w:pPr>
        <w:pStyle w:val="BodyText"/>
        <w:spacing w:line="276" w:lineRule="auto" w:before="300"/>
        <w:ind w:left="616" w:right="134"/>
        <w:jc w:val="both"/>
      </w:pPr>
      <w:r>
        <w:rPr/>
        <w:t>Stevia is not yet available as a nutritional supplement or foodstuff in the EU. However, this should change soon, as stevia has successfully passed all the most important approval studies of the EU committees (see section 'Stevia studies')</w:t>
      </w:r>
      <w:r>
        <w:rPr>
          <w:spacing w:val="-13"/>
        </w:rPr>
        <w:t> </w:t>
      </w:r>
      <w:r>
        <w:rPr/>
        <w:t>and</w:t>
      </w:r>
      <w:r>
        <w:rPr>
          <w:spacing w:val="-11"/>
        </w:rPr>
        <w:t> </w:t>
      </w:r>
      <w:r>
        <w:rPr/>
        <w:t>has</w:t>
      </w:r>
      <w:r>
        <w:rPr>
          <w:spacing w:val="-9"/>
        </w:rPr>
        <w:t> </w:t>
      </w:r>
      <w:r>
        <w:rPr/>
        <w:t>already</w:t>
      </w:r>
      <w:r>
        <w:rPr>
          <w:spacing w:val="-12"/>
        </w:rPr>
        <w:t> </w:t>
      </w:r>
      <w:r>
        <w:rPr/>
        <w:t>long</w:t>
      </w:r>
      <w:r>
        <w:rPr>
          <w:spacing w:val="-11"/>
        </w:rPr>
        <w:t> </w:t>
      </w:r>
      <w:r>
        <w:rPr/>
        <w:t>been</w:t>
      </w:r>
      <w:r>
        <w:rPr>
          <w:spacing w:val="-12"/>
        </w:rPr>
        <w:t> </w:t>
      </w:r>
      <w:r>
        <w:rPr/>
        <w:t>available</w:t>
      </w:r>
      <w:r>
        <w:rPr>
          <w:spacing w:val="-12"/>
        </w:rPr>
        <w:t> </w:t>
      </w:r>
      <w:r>
        <w:rPr/>
        <w:t>as</w:t>
      </w:r>
      <w:r>
        <w:rPr>
          <w:spacing w:val="-12"/>
        </w:rPr>
        <w:t> </w:t>
      </w:r>
      <w:r>
        <w:rPr/>
        <w:t>a</w:t>
      </w:r>
      <w:r>
        <w:rPr>
          <w:spacing w:val="-13"/>
        </w:rPr>
        <w:t> </w:t>
      </w:r>
      <w:r>
        <w:rPr/>
        <w:t>nutritional</w:t>
      </w:r>
      <w:r>
        <w:rPr>
          <w:spacing w:val="-13"/>
        </w:rPr>
        <w:t> </w:t>
      </w:r>
      <w:r>
        <w:rPr/>
        <w:t>supplement</w:t>
      </w:r>
      <w:r>
        <w:rPr>
          <w:spacing w:val="-12"/>
        </w:rPr>
        <w:t> </w:t>
      </w:r>
      <w:r>
        <w:rPr/>
        <w:t>on</w:t>
      </w:r>
      <w:r>
        <w:rPr>
          <w:spacing w:val="-11"/>
        </w:rPr>
        <w:t> </w:t>
      </w:r>
      <w:r>
        <w:rPr/>
        <w:t>the markets in the USA, France and Japan, among</w:t>
      </w:r>
      <w:r>
        <w:rPr>
          <w:spacing w:val="-2"/>
        </w:rPr>
        <w:t> </w:t>
      </w:r>
      <w:r>
        <w:rPr/>
        <w:t>others.</w:t>
      </w:r>
    </w:p>
    <w:p>
      <w:pPr>
        <w:pStyle w:val="BodyText"/>
        <w:spacing w:line="276" w:lineRule="auto" w:before="237"/>
        <w:ind w:left="616" w:right="137"/>
        <w:jc w:val="both"/>
      </w:pPr>
      <w:r>
        <w:rPr/>
        <w:t>Suppliers use tricks and declare stevia as a cosmetic, mouth wash or bathing supplement. It is already available as such within the EU.</w:t>
      </w:r>
    </w:p>
    <w:p>
      <w:pPr>
        <w:pStyle w:val="BodyText"/>
        <w:spacing w:line="276" w:lineRule="auto" w:before="241"/>
        <w:ind w:left="616" w:right="141"/>
        <w:jc w:val="both"/>
      </w:pPr>
      <w:r>
        <w:rPr/>
        <w:t>Ironically,</w:t>
      </w:r>
      <w:r>
        <w:rPr>
          <w:spacing w:val="-10"/>
        </w:rPr>
        <w:t> </w:t>
      </w:r>
      <w:r>
        <w:rPr/>
        <w:t>stevia</w:t>
      </w:r>
      <w:r>
        <w:rPr>
          <w:spacing w:val="-10"/>
        </w:rPr>
        <w:t> </w:t>
      </w:r>
      <w:r>
        <w:rPr/>
        <w:t>is</w:t>
      </w:r>
      <w:r>
        <w:rPr>
          <w:spacing w:val="-10"/>
        </w:rPr>
        <w:t> </w:t>
      </w:r>
      <w:r>
        <w:rPr/>
        <w:t>already</w:t>
      </w:r>
      <w:r>
        <w:rPr>
          <w:spacing w:val="-10"/>
        </w:rPr>
        <w:t> </w:t>
      </w:r>
      <w:r>
        <w:rPr/>
        <w:t>offered</w:t>
      </w:r>
      <w:r>
        <w:rPr>
          <w:spacing w:val="-10"/>
        </w:rPr>
        <w:t> </w:t>
      </w:r>
      <w:r>
        <w:rPr/>
        <w:t>in</w:t>
      </w:r>
      <w:r>
        <w:rPr>
          <w:spacing w:val="-10"/>
        </w:rPr>
        <w:t> </w:t>
      </w:r>
      <w:r>
        <w:rPr/>
        <w:t>the</w:t>
      </w:r>
      <w:r>
        <w:rPr>
          <w:spacing w:val="-8"/>
        </w:rPr>
        <w:t> </w:t>
      </w:r>
      <w:r>
        <w:rPr/>
        <w:t>same</w:t>
      </w:r>
      <w:r>
        <w:rPr>
          <w:spacing w:val="-11"/>
        </w:rPr>
        <w:t> </w:t>
      </w:r>
      <w:r>
        <w:rPr/>
        <w:t>dispensers</w:t>
      </w:r>
      <w:r>
        <w:rPr>
          <w:spacing w:val="-12"/>
        </w:rPr>
        <w:t> </w:t>
      </w:r>
      <w:r>
        <w:rPr/>
        <w:t>we</w:t>
      </w:r>
      <w:r>
        <w:rPr>
          <w:spacing w:val="-10"/>
        </w:rPr>
        <w:t> </w:t>
      </w:r>
      <w:r>
        <w:rPr/>
        <w:t>are</w:t>
      </w:r>
      <w:r>
        <w:rPr>
          <w:spacing w:val="-9"/>
        </w:rPr>
        <w:t> </w:t>
      </w:r>
      <w:r>
        <w:rPr/>
        <w:t>already</w:t>
      </w:r>
      <w:r>
        <w:rPr>
          <w:spacing w:val="-10"/>
        </w:rPr>
        <w:t> </w:t>
      </w:r>
      <w:r>
        <w:rPr/>
        <w:t>famil- iar with for artificial</w:t>
      </w:r>
      <w:r>
        <w:rPr>
          <w:spacing w:val="2"/>
        </w:rPr>
        <w:t> </w:t>
      </w:r>
      <w:r>
        <w:rPr/>
        <w:t>sweeteners.</w:t>
      </w:r>
    </w:p>
    <w:p>
      <w:pPr>
        <w:spacing w:after="0" w:line="276" w:lineRule="auto"/>
        <w:jc w:val="both"/>
        <w:sectPr>
          <w:pgSz w:w="14270" w:h="16850"/>
          <w:pgMar w:header="0" w:footer="1891" w:top="1320" w:bottom="2080" w:left="800" w:right="1280"/>
        </w:sectPr>
      </w:pPr>
    </w:p>
    <w:p>
      <w:pPr>
        <w:pStyle w:val="Heading1"/>
        <w:spacing w:before="77"/>
        <w:ind w:left="616"/>
      </w:pPr>
      <w:r>
        <w:rPr/>
        <w:t>How is the stevia extract prepared?</w:t>
      </w:r>
    </w:p>
    <w:p>
      <w:pPr>
        <w:pStyle w:val="BodyText"/>
        <w:spacing w:before="299"/>
        <w:ind w:left="616"/>
      </w:pPr>
      <w:r>
        <w:rPr/>
        <w:t>You can prepare fluid stevia extract yourself, here are the instructions;</w:t>
      </w:r>
    </w:p>
    <w:p>
      <w:pPr>
        <w:pStyle w:val="BodyText"/>
        <w:spacing w:line="276" w:lineRule="auto" w:before="302"/>
        <w:ind w:left="616" w:right="139"/>
        <w:jc w:val="both"/>
      </w:pPr>
      <w:r>
        <w:rPr/>
        <w:t>Cover dried or powdered stevia leaves with alcohol (corn or fruit based) and leave to soak for 24 hours. Then filter off the fluid with a coffee filter and dilute with water according to taste.</w:t>
      </w:r>
    </w:p>
    <w:p>
      <w:pPr>
        <w:pStyle w:val="Heading2"/>
        <w:spacing w:before="241"/>
        <w:ind w:left="616"/>
      </w:pPr>
      <w:r>
        <w:rPr/>
        <w:t>Stevia recipes</w:t>
      </w:r>
    </w:p>
    <w:p>
      <w:pPr>
        <w:spacing w:line="405" w:lineRule="auto" w:before="286"/>
        <w:ind w:left="616" w:right="7793" w:firstLine="0"/>
        <w:jc w:val="left"/>
        <w:rPr>
          <w:sz w:val="38"/>
        </w:rPr>
      </w:pPr>
      <w:r>
        <w:rPr>
          <w:b/>
          <w:i/>
          <w:w w:val="95"/>
          <w:sz w:val="40"/>
        </w:rPr>
        <w:t>Stevia breakfast recipes </w:t>
      </w:r>
      <w:r>
        <w:rPr>
          <w:sz w:val="38"/>
        </w:rPr>
        <w:t>Pancakes (10 pancakes) Ingredients:</w:t>
      </w:r>
    </w:p>
    <w:p>
      <w:pPr>
        <w:pStyle w:val="ListParagraph"/>
        <w:numPr>
          <w:ilvl w:val="0"/>
          <w:numId w:val="125"/>
        </w:numPr>
        <w:tabs>
          <w:tab w:pos="1336" w:val="left" w:leader="none"/>
          <w:tab w:pos="1337" w:val="left" w:leader="none"/>
        </w:tabs>
        <w:spacing w:line="240" w:lineRule="auto" w:before="9" w:after="0"/>
        <w:ind w:left="1336" w:right="0" w:hanging="360"/>
        <w:jc w:val="left"/>
        <w:rPr>
          <w:sz w:val="38"/>
        </w:rPr>
      </w:pPr>
      <w:r>
        <w:rPr>
          <w:sz w:val="38"/>
        </w:rPr>
        <w:t>¼ teaspoon of stevia extract</w:t>
      </w:r>
      <w:r>
        <w:rPr>
          <w:spacing w:val="-1"/>
          <w:sz w:val="38"/>
        </w:rPr>
        <w:t> </w:t>
      </w:r>
      <w:r>
        <w:rPr>
          <w:sz w:val="38"/>
        </w:rPr>
        <w:t>(powder)</w:t>
      </w:r>
    </w:p>
    <w:p>
      <w:pPr>
        <w:pStyle w:val="ListParagraph"/>
        <w:numPr>
          <w:ilvl w:val="0"/>
          <w:numId w:val="125"/>
        </w:numPr>
        <w:tabs>
          <w:tab w:pos="1336" w:val="left" w:leader="none"/>
          <w:tab w:pos="1337" w:val="left" w:leader="none"/>
        </w:tabs>
        <w:spacing w:line="240" w:lineRule="auto" w:before="304" w:after="0"/>
        <w:ind w:left="1336" w:right="0" w:hanging="360"/>
        <w:jc w:val="left"/>
        <w:rPr>
          <w:sz w:val="38"/>
        </w:rPr>
      </w:pPr>
      <w:r>
        <w:rPr>
          <w:sz w:val="38"/>
        </w:rPr>
        <w:t>3 teaspoons of baking</w:t>
      </w:r>
      <w:r>
        <w:rPr>
          <w:spacing w:val="-1"/>
          <w:sz w:val="38"/>
        </w:rPr>
        <w:t> </w:t>
      </w:r>
      <w:r>
        <w:rPr>
          <w:sz w:val="38"/>
        </w:rPr>
        <w:t>powder</w:t>
      </w:r>
    </w:p>
    <w:p>
      <w:pPr>
        <w:pStyle w:val="ListParagraph"/>
        <w:numPr>
          <w:ilvl w:val="0"/>
          <w:numId w:val="125"/>
        </w:numPr>
        <w:tabs>
          <w:tab w:pos="1336" w:val="left" w:leader="none"/>
          <w:tab w:pos="1337" w:val="left" w:leader="none"/>
        </w:tabs>
        <w:spacing w:line="240" w:lineRule="auto" w:before="304" w:after="0"/>
        <w:ind w:left="1336" w:right="0" w:hanging="360"/>
        <w:jc w:val="left"/>
        <w:rPr>
          <w:sz w:val="38"/>
        </w:rPr>
      </w:pPr>
      <w:r>
        <w:rPr>
          <w:sz w:val="38"/>
        </w:rPr>
        <w:t>8 tablespoons of rye</w:t>
      </w:r>
      <w:r>
        <w:rPr>
          <w:spacing w:val="-3"/>
          <w:sz w:val="38"/>
        </w:rPr>
        <w:t> </w:t>
      </w:r>
      <w:r>
        <w:rPr>
          <w:sz w:val="38"/>
        </w:rPr>
        <w:t>flour</w:t>
      </w:r>
    </w:p>
    <w:p>
      <w:pPr>
        <w:pStyle w:val="ListParagraph"/>
        <w:numPr>
          <w:ilvl w:val="0"/>
          <w:numId w:val="125"/>
        </w:numPr>
        <w:tabs>
          <w:tab w:pos="1336" w:val="left" w:leader="none"/>
          <w:tab w:pos="1337" w:val="left" w:leader="none"/>
        </w:tabs>
        <w:spacing w:line="240" w:lineRule="auto" w:before="306" w:after="0"/>
        <w:ind w:left="1336" w:right="0" w:hanging="360"/>
        <w:jc w:val="left"/>
        <w:rPr>
          <w:sz w:val="38"/>
        </w:rPr>
      </w:pPr>
      <w:r>
        <w:rPr>
          <w:sz w:val="38"/>
        </w:rPr>
        <w:t>½ teaspoon of cream of</w:t>
      </w:r>
      <w:r>
        <w:rPr>
          <w:spacing w:val="2"/>
          <w:sz w:val="38"/>
        </w:rPr>
        <w:t> </w:t>
      </w:r>
      <w:r>
        <w:rPr>
          <w:sz w:val="38"/>
        </w:rPr>
        <w:t>tartar</w:t>
      </w:r>
    </w:p>
    <w:p>
      <w:pPr>
        <w:pStyle w:val="ListParagraph"/>
        <w:numPr>
          <w:ilvl w:val="0"/>
          <w:numId w:val="125"/>
        </w:numPr>
        <w:tabs>
          <w:tab w:pos="1336" w:val="left" w:leader="none"/>
          <w:tab w:pos="1337" w:val="left" w:leader="none"/>
        </w:tabs>
        <w:spacing w:line="240" w:lineRule="auto" w:before="304" w:after="0"/>
        <w:ind w:left="1336" w:right="0" w:hanging="360"/>
        <w:jc w:val="left"/>
        <w:rPr>
          <w:sz w:val="38"/>
        </w:rPr>
      </w:pPr>
      <w:r>
        <w:rPr>
          <w:sz w:val="38"/>
        </w:rPr>
        <w:t>200 g barley</w:t>
      </w:r>
      <w:r>
        <w:rPr>
          <w:spacing w:val="-1"/>
          <w:sz w:val="38"/>
        </w:rPr>
        <w:t> </w:t>
      </w:r>
      <w:r>
        <w:rPr>
          <w:sz w:val="38"/>
        </w:rPr>
        <w:t>flour</w:t>
      </w:r>
    </w:p>
    <w:p>
      <w:pPr>
        <w:pStyle w:val="ListParagraph"/>
        <w:numPr>
          <w:ilvl w:val="0"/>
          <w:numId w:val="125"/>
        </w:numPr>
        <w:tabs>
          <w:tab w:pos="1336" w:val="left" w:leader="none"/>
          <w:tab w:pos="1337" w:val="left" w:leader="none"/>
        </w:tabs>
        <w:spacing w:line="240" w:lineRule="auto" w:before="303" w:after="0"/>
        <w:ind w:left="1336" w:right="0" w:hanging="360"/>
        <w:jc w:val="left"/>
        <w:rPr>
          <w:sz w:val="38"/>
        </w:rPr>
      </w:pPr>
      <w:r>
        <w:rPr>
          <w:sz w:val="38"/>
        </w:rPr>
        <w:t>¼ teaspoon salt</w:t>
      </w:r>
    </w:p>
    <w:p>
      <w:pPr>
        <w:pStyle w:val="ListParagraph"/>
        <w:numPr>
          <w:ilvl w:val="0"/>
          <w:numId w:val="125"/>
        </w:numPr>
        <w:tabs>
          <w:tab w:pos="1336" w:val="left" w:leader="none"/>
          <w:tab w:pos="1337" w:val="left" w:leader="none"/>
        </w:tabs>
        <w:spacing w:line="240" w:lineRule="auto" w:before="304" w:after="0"/>
        <w:ind w:left="1336" w:right="0" w:hanging="360"/>
        <w:jc w:val="left"/>
        <w:rPr>
          <w:sz w:val="38"/>
        </w:rPr>
      </w:pPr>
      <w:r>
        <w:rPr>
          <w:sz w:val="38"/>
        </w:rPr>
        <w:t>2</w:t>
      </w:r>
      <w:r>
        <w:rPr>
          <w:spacing w:val="-2"/>
          <w:sz w:val="38"/>
        </w:rPr>
        <w:t> </w:t>
      </w:r>
      <w:r>
        <w:rPr>
          <w:sz w:val="38"/>
        </w:rPr>
        <w:t>eggs</w:t>
      </w:r>
    </w:p>
    <w:p>
      <w:pPr>
        <w:pStyle w:val="ListParagraph"/>
        <w:numPr>
          <w:ilvl w:val="0"/>
          <w:numId w:val="125"/>
        </w:numPr>
        <w:tabs>
          <w:tab w:pos="1336" w:val="left" w:leader="none"/>
          <w:tab w:pos="1337" w:val="left" w:leader="none"/>
        </w:tabs>
        <w:spacing w:line="240" w:lineRule="auto" w:before="304" w:after="0"/>
        <w:ind w:left="1336" w:right="0" w:hanging="360"/>
        <w:jc w:val="left"/>
        <w:rPr>
          <w:sz w:val="38"/>
        </w:rPr>
      </w:pPr>
      <w:r>
        <w:rPr>
          <w:sz w:val="38"/>
        </w:rPr>
        <w:t>120 ml soya</w:t>
      </w:r>
      <w:r>
        <w:rPr>
          <w:spacing w:val="-2"/>
          <w:sz w:val="38"/>
        </w:rPr>
        <w:t> </w:t>
      </w:r>
      <w:r>
        <w:rPr>
          <w:sz w:val="38"/>
        </w:rPr>
        <w:t>milk</w:t>
      </w:r>
    </w:p>
    <w:p>
      <w:pPr>
        <w:spacing w:after="0" w:line="240" w:lineRule="auto"/>
        <w:jc w:val="left"/>
        <w:rPr>
          <w:sz w:val="38"/>
        </w:rPr>
        <w:sectPr>
          <w:pgSz w:w="14270" w:h="16850"/>
          <w:pgMar w:header="0" w:footer="1891" w:top="1320" w:bottom="2080" w:left="800" w:right="1280"/>
        </w:sectPr>
      </w:pPr>
    </w:p>
    <w:p>
      <w:pPr>
        <w:pStyle w:val="ListParagraph"/>
        <w:numPr>
          <w:ilvl w:val="0"/>
          <w:numId w:val="125"/>
        </w:numPr>
        <w:tabs>
          <w:tab w:pos="1336" w:val="left" w:leader="none"/>
          <w:tab w:pos="1337" w:val="left" w:leader="none"/>
        </w:tabs>
        <w:spacing w:line="240" w:lineRule="auto" w:before="53" w:after="0"/>
        <w:ind w:left="1336" w:right="0" w:hanging="360"/>
        <w:jc w:val="left"/>
        <w:rPr>
          <w:sz w:val="38"/>
        </w:rPr>
      </w:pPr>
      <w:r>
        <w:rPr>
          <w:sz w:val="38"/>
        </w:rPr>
        <w:t>300 ml</w:t>
      </w:r>
      <w:r>
        <w:rPr>
          <w:spacing w:val="-2"/>
          <w:sz w:val="38"/>
        </w:rPr>
        <w:t> </w:t>
      </w:r>
      <w:r>
        <w:rPr>
          <w:sz w:val="38"/>
        </w:rPr>
        <w:t>water</w:t>
      </w:r>
    </w:p>
    <w:p>
      <w:pPr>
        <w:pStyle w:val="BodyText"/>
        <w:spacing w:line="276" w:lineRule="auto" w:before="305"/>
        <w:ind w:left="616" w:right="140"/>
        <w:jc w:val="both"/>
      </w:pPr>
      <w:r>
        <w:rPr/>
        <w:t>Preparation: mix the fluid ingredients in a bowl and the other ingredients in a separate bowl then combine the two.</w:t>
      </w:r>
    </w:p>
    <w:p>
      <w:pPr>
        <w:pStyle w:val="BodyText"/>
        <w:spacing w:line="276" w:lineRule="auto" w:before="238"/>
        <w:ind w:left="616" w:right="134"/>
        <w:jc w:val="both"/>
      </w:pPr>
      <w:r>
        <w:rPr/>
        <w:t>Heat</w:t>
      </w:r>
      <w:r>
        <w:rPr>
          <w:spacing w:val="-13"/>
        </w:rPr>
        <w:t> </w:t>
      </w:r>
      <w:r>
        <w:rPr/>
        <w:t>a</w:t>
      </w:r>
      <w:r>
        <w:rPr>
          <w:spacing w:val="-12"/>
        </w:rPr>
        <w:t> </w:t>
      </w:r>
      <w:r>
        <w:rPr/>
        <w:t>pan</w:t>
      </w:r>
      <w:r>
        <w:rPr>
          <w:spacing w:val="-11"/>
        </w:rPr>
        <w:t> </w:t>
      </w:r>
      <w:r>
        <w:rPr/>
        <w:t>and</w:t>
      </w:r>
      <w:r>
        <w:rPr>
          <w:spacing w:val="-10"/>
        </w:rPr>
        <w:t> </w:t>
      </w:r>
      <w:r>
        <w:rPr/>
        <w:t>pour</w:t>
      </w:r>
      <w:r>
        <w:rPr>
          <w:spacing w:val="-11"/>
        </w:rPr>
        <w:t> </w:t>
      </w:r>
      <w:r>
        <w:rPr/>
        <w:t>approx.</w:t>
      </w:r>
      <w:r>
        <w:rPr>
          <w:spacing w:val="-12"/>
        </w:rPr>
        <w:t> </w:t>
      </w:r>
      <w:r>
        <w:rPr/>
        <w:t>80</w:t>
      </w:r>
      <w:r>
        <w:rPr>
          <w:spacing w:val="-14"/>
        </w:rPr>
        <w:t> </w:t>
      </w:r>
      <w:r>
        <w:rPr/>
        <w:t>ml</w:t>
      </w:r>
      <w:r>
        <w:rPr>
          <w:spacing w:val="-11"/>
        </w:rPr>
        <w:t> </w:t>
      </w:r>
      <w:r>
        <w:rPr/>
        <w:t>of</w:t>
      </w:r>
      <w:r>
        <w:rPr>
          <w:spacing w:val="-7"/>
        </w:rPr>
        <w:t> </w:t>
      </w:r>
      <w:r>
        <w:rPr/>
        <w:t>batter</w:t>
      </w:r>
      <w:r>
        <w:rPr>
          <w:spacing w:val="-10"/>
        </w:rPr>
        <w:t> </w:t>
      </w:r>
      <w:r>
        <w:rPr/>
        <w:t>into</w:t>
      </w:r>
      <w:r>
        <w:rPr>
          <w:spacing w:val="-13"/>
        </w:rPr>
        <w:t> </w:t>
      </w:r>
      <w:r>
        <w:rPr/>
        <w:t>the</w:t>
      </w:r>
      <w:r>
        <w:rPr>
          <w:spacing w:val="-10"/>
        </w:rPr>
        <w:t> </w:t>
      </w:r>
      <w:r>
        <w:rPr/>
        <w:t>pan</w:t>
      </w:r>
      <w:r>
        <w:rPr>
          <w:spacing w:val="-10"/>
        </w:rPr>
        <w:t> </w:t>
      </w:r>
      <w:r>
        <w:rPr/>
        <w:t>for</w:t>
      </w:r>
      <w:r>
        <w:rPr>
          <w:spacing w:val="-13"/>
        </w:rPr>
        <w:t> </w:t>
      </w:r>
      <w:r>
        <w:rPr/>
        <w:t>each</w:t>
      </w:r>
      <w:r>
        <w:rPr>
          <w:spacing w:val="-12"/>
        </w:rPr>
        <w:t> </w:t>
      </w:r>
      <w:r>
        <w:rPr/>
        <w:t>pancake,</w:t>
      </w:r>
      <w:r>
        <w:rPr>
          <w:spacing w:val="-10"/>
        </w:rPr>
        <w:t> </w:t>
      </w:r>
      <w:r>
        <w:rPr/>
        <w:t>fry until golden-brown on both</w:t>
      </w:r>
      <w:r>
        <w:rPr>
          <w:spacing w:val="-2"/>
        </w:rPr>
        <w:t> </w:t>
      </w:r>
      <w:r>
        <w:rPr/>
        <w:t>sides.</w:t>
      </w:r>
    </w:p>
    <w:p>
      <w:pPr>
        <w:pStyle w:val="BodyText"/>
        <w:rPr>
          <w:sz w:val="42"/>
        </w:rPr>
      </w:pPr>
    </w:p>
    <w:p>
      <w:pPr>
        <w:pStyle w:val="BodyText"/>
        <w:rPr>
          <w:sz w:val="42"/>
        </w:rPr>
      </w:pPr>
    </w:p>
    <w:p>
      <w:pPr>
        <w:pStyle w:val="BodyText"/>
        <w:spacing w:before="1"/>
        <w:rPr>
          <w:sz w:val="41"/>
        </w:rPr>
      </w:pPr>
    </w:p>
    <w:p>
      <w:pPr>
        <w:pStyle w:val="Heading1"/>
        <w:spacing w:before="0"/>
        <w:ind w:left="616"/>
        <w:jc w:val="both"/>
      </w:pPr>
      <w:r>
        <w:rPr/>
        <w:t>Oat porridge (2 portions)</w:t>
      </w:r>
    </w:p>
    <w:p>
      <w:pPr>
        <w:pStyle w:val="BodyText"/>
        <w:spacing w:before="299"/>
        <w:ind w:left="616"/>
        <w:jc w:val="both"/>
      </w:pPr>
      <w:r>
        <w:rPr/>
        <w:t>Ingredients:</w:t>
      </w:r>
    </w:p>
    <w:p>
      <w:pPr>
        <w:pStyle w:val="ListParagraph"/>
        <w:numPr>
          <w:ilvl w:val="0"/>
          <w:numId w:val="125"/>
        </w:numPr>
        <w:tabs>
          <w:tab w:pos="1336" w:val="left" w:leader="none"/>
          <w:tab w:pos="1337" w:val="left" w:leader="none"/>
        </w:tabs>
        <w:spacing w:line="240" w:lineRule="auto" w:before="307" w:after="0"/>
        <w:ind w:left="1336" w:right="0" w:hanging="360"/>
        <w:jc w:val="left"/>
        <w:rPr>
          <w:sz w:val="38"/>
        </w:rPr>
      </w:pPr>
      <w:r>
        <w:rPr>
          <w:sz w:val="38"/>
        </w:rPr>
        <w:t>400 ml</w:t>
      </w:r>
      <w:r>
        <w:rPr>
          <w:spacing w:val="-2"/>
          <w:sz w:val="38"/>
        </w:rPr>
        <w:t> </w:t>
      </w:r>
      <w:r>
        <w:rPr>
          <w:sz w:val="38"/>
        </w:rPr>
        <w:t>water</w:t>
      </w:r>
    </w:p>
    <w:p>
      <w:pPr>
        <w:pStyle w:val="ListParagraph"/>
        <w:numPr>
          <w:ilvl w:val="0"/>
          <w:numId w:val="125"/>
        </w:numPr>
        <w:tabs>
          <w:tab w:pos="1336" w:val="left" w:leader="none"/>
          <w:tab w:pos="1337" w:val="left" w:leader="none"/>
        </w:tabs>
        <w:spacing w:line="240" w:lineRule="auto" w:before="303" w:after="0"/>
        <w:ind w:left="1336" w:right="0" w:hanging="360"/>
        <w:jc w:val="left"/>
        <w:rPr>
          <w:sz w:val="38"/>
        </w:rPr>
      </w:pPr>
      <w:r>
        <w:rPr>
          <w:sz w:val="38"/>
        </w:rPr>
        <w:t>Pinch of</w:t>
      </w:r>
      <w:r>
        <w:rPr>
          <w:spacing w:val="2"/>
          <w:sz w:val="38"/>
        </w:rPr>
        <w:t> </w:t>
      </w:r>
      <w:r>
        <w:rPr>
          <w:sz w:val="38"/>
        </w:rPr>
        <w:t>salt</w:t>
      </w:r>
    </w:p>
    <w:p>
      <w:pPr>
        <w:pStyle w:val="ListParagraph"/>
        <w:numPr>
          <w:ilvl w:val="0"/>
          <w:numId w:val="125"/>
        </w:numPr>
        <w:tabs>
          <w:tab w:pos="1336" w:val="left" w:leader="none"/>
          <w:tab w:pos="1337" w:val="left" w:leader="none"/>
        </w:tabs>
        <w:spacing w:line="240" w:lineRule="auto" w:before="304" w:after="0"/>
        <w:ind w:left="1336" w:right="0" w:hanging="360"/>
        <w:jc w:val="left"/>
        <w:rPr>
          <w:sz w:val="38"/>
        </w:rPr>
      </w:pPr>
      <w:r>
        <w:rPr>
          <w:sz w:val="38"/>
        </w:rPr>
        <w:t>½ teaspoon of stevia extract</w:t>
      </w:r>
      <w:r>
        <w:rPr>
          <w:spacing w:val="-1"/>
          <w:sz w:val="38"/>
        </w:rPr>
        <w:t> </w:t>
      </w:r>
      <w:r>
        <w:rPr>
          <w:sz w:val="38"/>
        </w:rPr>
        <w:t>(powder)</w:t>
      </w:r>
    </w:p>
    <w:p>
      <w:pPr>
        <w:pStyle w:val="ListParagraph"/>
        <w:numPr>
          <w:ilvl w:val="0"/>
          <w:numId w:val="125"/>
        </w:numPr>
        <w:tabs>
          <w:tab w:pos="1336" w:val="left" w:leader="none"/>
          <w:tab w:pos="1337" w:val="left" w:leader="none"/>
        </w:tabs>
        <w:spacing w:line="240" w:lineRule="auto" w:before="304" w:after="0"/>
        <w:ind w:left="1336" w:right="0" w:hanging="360"/>
        <w:jc w:val="left"/>
        <w:rPr>
          <w:sz w:val="38"/>
        </w:rPr>
      </w:pPr>
      <w:r>
        <w:rPr>
          <w:sz w:val="38"/>
        </w:rPr>
        <w:t>70 g oat</w:t>
      </w:r>
      <w:r>
        <w:rPr>
          <w:spacing w:val="-1"/>
          <w:sz w:val="38"/>
        </w:rPr>
        <w:t> </w:t>
      </w:r>
      <w:r>
        <w:rPr>
          <w:sz w:val="38"/>
        </w:rPr>
        <w:t>flakes</w:t>
      </w:r>
    </w:p>
    <w:p>
      <w:pPr>
        <w:pStyle w:val="ListParagraph"/>
        <w:numPr>
          <w:ilvl w:val="0"/>
          <w:numId w:val="125"/>
        </w:numPr>
        <w:tabs>
          <w:tab w:pos="1336" w:val="left" w:leader="none"/>
          <w:tab w:pos="1337" w:val="left" w:leader="none"/>
        </w:tabs>
        <w:spacing w:line="240" w:lineRule="auto" w:before="306" w:after="0"/>
        <w:ind w:left="1336" w:right="0" w:hanging="360"/>
        <w:jc w:val="left"/>
        <w:rPr>
          <w:sz w:val="38"/>
        </w:rPr>
      </w:pPr>
      <w:r>
        <w:rPr>
          <w:sz w:val="38"/>
        </w:rPr>
        <w:t>1 cup of</w:t>
      </w:r>
      <w:r>
        <w:rPr>
          <w:spacing w:val="-1"/>
          <w:sz w:val="38"/>
        </w:rPr>
        <w:t> </w:t>
      </w:r>
      <w:r>
        <w:rPr>
          <w:sz w:val="38"/>
        </w:rPr>
        <w:t>yoghurt.</w:t>
      </w:r>
    </w:p>
    <w:p>
      <w:pPr>
        <w:pStyle w:val="BodyText"/>
        <w:spacing w:line="276" w:lineRule="auto" w:before="302"/>
        <w:ind w:left="616" w:right="137"/>
        <w:jc w:val="both"/>
      </w:pPr>
      <w:r>
        <w:rPr/>
        <w:t>Preparation: boil the stevia powder with water and salt in a pan, then add the oat flakes and stir. Allow to simmer for five minutes at a low heat, stirring occasionally.</w:t>
      </w:r>
    </w:p>
    <w:p>
      <w:pPr>
        <w:pStyle w:val="BodyText"/>
        <w:spacing w:before="239"/>
        <w:ind w:left="616"/>
        <w:jc w:val="both"/>
      </w:pPr>
      <w:r>
        <w:rPr/>
        <w:t>Then remove the pan from the heat and leave uncovered to rest for about 5</w:t>
      </w:r>
    </w:p>
    <w:p>
      <w:pPr>
        <w:spacing w:after="0"/>
        <w:jc w:val="both"/>
        <w:sectPr>
          <w:pgSz w:w="14270" w:h="16850"/>
          <w:pgMar w:header="0" w:footer="1891" w:top="1360" w:bottom="2080" w:left="800" w:right="1280"/>
        </w:sectPr>
      </w:pPr>
    </w:p>
    <w:p>
      <w:pPr>
        <w:pStyle w:val="BodyText"/>
        <w:spacing w:before="72"/>
        <w:ind w:left="616"/>
        <w:jc w:val="both"/>
      </w:pPr>
      <w:r>
        <w:rPr/>
        <w:t>minutes. Serve in small bowls and garnish with yoghurt.</w:t>
      </w:r>
    </w:p>
    <w:p>
      <w:pPr>
        <w:pStyle w:val="Heading2"/>
        <w:spacing w:before="304"/>
        <w:ind w:left="616"/>
        <w:jc w:val="both"/>
      </w:pPr>
      <w:r>
        <w:rPr/>
        <w:t>Stevia snacks</w:t>
      </w:r>
    </w:p>
    <w:p>
      <w:pPr>
        <w:spacing w:before="288"/>
        <w:ind w:left="616" w:right="0" w:firstLine="0"/>
        <w:jc w:val="both"/>
        <w:rPr>
          <w:b/>
          <w:i/>
          <w:sz w:val="40"/>
        </w:rPr>
      </w:pPr>
      <w:r>
        <w:rPr>
          <w:b/>
          <w:i/>
          <w:sz w:val="40"/>
        </w:rPr>
        <w:t>Banana, kiwi and pear shake (2</w:t>
      </w:r>
      <w:r>
        <w:rPr>
          <w:b/>
          <w:i/>
          <w:spacing w:val="-68"/>
          <w:sz w:val="40"/>
        </w:rPr>
        <w:t> </w:t>
      </w:r>
      <w:r>
        <w:rPr>
          <w:b/>
          <w:i/>
          <w:sz w:val="40"/>
        </w:rPr>
        <w:t>portions)</w:t>
      </w:r>
    </w:p>
    <w:p>
      <w:pPr>
        <w:pStyle w:val="BodyText"/>
        <w:spacing w:before="299"/>
        <w:ind w:left="616"/>
        <w:jc w:val="both"/>
      </w:pPr>
      <w:r>
        <w:rPr/>
        <w:t>Ingredients:</w:t>
      </w:r>
    </w:p>
    <w:p>
      <w:pPr>
        <w:pStyle w:val="ListParagraph"/>
        <w:numPr>
          <w:ilvl w:val="0"/>
          <w:numId w:val="125"/>
        </w:numPr>
        <w:tabs>
          <w:tab w:pos="1336" w:val="left" w:leader="none"/>
          <w:tab w:pos="1337" w:val="left" w:leader="none"/>
        </w:tabs>
        <w:spacing w:line="240" w:lineRule="auto" w:before="306" w:after="0"/>
        <w:ind w:left="1336" w:right="0" w:hanging="360"/>
        <w:jc w:val="left"/>
        <w:rPr>
          <w:sz w:val="38"/>
        </w:rPr>
      </w:pPr>
      <w:r>
        <w:rPr>
          <w:sz w:val="38"/>
        </w:rPr>
        <w:t>2</w:t>
      </w:r>
      <w:r>
        <w:rPr>
          <w:spacing w:val="-2"/>
          <w:sz w:val="38"/>
        </w:rPr>
        <w:t> </w:t>
      </w:r>
      <w:r>
        <w:rPr>
          <w:sz w:val="38"/>
        </w:rPr>
        <w:t>bananas</w:t>
      </w:r>
    </w:p>
    <w:p>
      <w:pPr>
        <w:pStyle w:val="ListParagraph"/>
        <w:numPr>
          <w:ilvl w:val="0"/>
          <w:numId w:val="125"/>
        </w:numPr>
        <w:tabs>
          <w:tab w:pos="1336" w:val="left" w:leader="none"/>
          <w:tab w:pos="1337" w:val="left" w:leader="none"/>
        </w:tabs>
        <w:spacing w:line="240" w:lineRule="auto" w:before="304" w:after="0"/>
        <w:ind w:left="1336" w:right="0" w:hanging="360"/>
        <w:jc w:val="left"/>
        <w:rPr>
          <w:sz w:val="38"/>
        </w:rPr>
      </w:pPr>
      <w:r>
        <w:rPr>
          <w:sz w:val="38"/>
        </w:rPr>
        <w:t>2</w:t>
      </w:r>
      <w:r>
        <w:rPr>
          <w:spacing w:val="-2"/>
          <w:sz w:val="38"/>
        </w:rPr>
        <w:t> </w:t>
      </w:r>
      <w:r>
        <w:rPr>
          <w:sz w:val="38"/>
        </w:rPr>
        <w:t>kiwis</w:t>
      </w:r>
    </w:p>
    <w:p>
      <w:pPr>
        <w:pStyle w:val="ListParagraph"/>
        <w:numPr>
          <w:ilvl w:val="0"/>
          <w:numId w:val="125"/>
        </w:numPr>
        <w:tabs>
          <w:tab w:pos="1336" w:val="left" w:leader="none"/>
          <w:tab w:pos="1337" w:val="left" w:leader="none"/>
        </w:tabs>
        <w:spacing w:line="240" w:lineRule="auto" w:before="304" w:after="0"/>
        <w:ind w:left="1336" w:right="0" w:hanging="360"/>
        <w:jc w:val="left"/>
        <w:rPr>
          <w:sz w:val="38"/>
        </w:rPr>
      </w:pPr>
      <w:r>
        <w:rPr>
          <w:sz w:val="38"/>
        </w:rPr>
        <w:t>1</w:t>
      </w:r>
      <w:r>
        <w:rPr>
          <w:spacing w:val="-1"/>
          <w:sz w:val="38"/>
        </w:rPr>
        <w:t> </w:t>
      </w:r>
      <w:r>
        <w:rPr>
          <w:sz w:val="38"/>
        </w:rPr>
        <w:t>pear</w:t>
      </w:r>
    </w:p>
    <w:p>
      <w:pPr>
        <w:pStyle w:val="ListParagraph"/>
        <w:numPr>
          <w:ilvl w:val="0"/>
          <w:numId w:val="125"/>
        </w:numPr>
        <w:tabs>
          <w:tab w:pos="1336" w:val="left" w:leader="none"/>
          <w:tab w:pos="1337" w:val="left" w:leader="none"/>
        </w:tabs>
        <w:spacing w:line="240" w:lineRule="auto" w:before="303" w:after="0"/>
        <w:ind w:left="1336" w:right="0" w:hanging="360"/>
        <w:jc w:val="left"/>
        <w:rPr>
          <w:sz w:val="38"/>
        </w:rPr>
      </w:pPr>
      <w:r>
        <w:rPr>
          <w:sz w:val="38"/>
        </w:rPr>
        <w:t>2 teaspoons of soya milk</w:t>
      </w:r>
      <w:r>
        <w:rPr>
          <w:spacing w:val="-15"/>
          <w:sz w:val="38"/>
        </w:rPr>
        <w:t> </w:t>
      </w:r>
      <w:r>
        <w:rPr>
          <w:sz w:val="38"/>
        </w:rPr>
        <w:t>powder</w:t>
      </w:r>
    </w:p>
    <w:p>
      <w:pPr>
        <w:pStyle w:val="ListParagraph"/>
        <w:numPr>
          <w:ilvl w:val="0"/>
          <w:numId w:val="125"/>
        </w:numPr>
        <w:tabs>
          <w:tab w:pos="1336" w:val="left" w:leader="none"/>
          <w:tab w:pos="1337" w:val="left" w:leader="none"/>
        </w:tabs>
        <w:spacing w:line="240" w:lineRule="auto" w:before="306" w:after="0"/>
        <w:ind w:left="1336" w:right="0" w:hanging="360"/>
        <w:jc w:val="left"/>
        <w:rPr>
          <w:sz w:val="38"/>
        </w:rPr>
      </w:pPr>
      <w:r>
        <w:rPr>
          <w:sz w:val="38"/>
        </w:rPr>
        <w:t>2 pinches of green stevia</w:t>
      </w:r>
      <w:r>
        <w:rPr>
          <w:spacing w:val="-15"/>
          <w:sz w:val="38"/>
        </w:rPr>
        <w:t> </w:t>
      </w:r>
      <w:r>
        <w:rPr>
          <w:sz w:val="38"/>
        </w:rPr>
        <w:t>powder</w:t>
      </w:r>
    </w:p>
    <w:p>
      <w:pPr>
        <w:pStyle w:val="ListParagraph"/>
        <w:numPr>
          <w:ilvl w:val="0"/>
          <w:numId w:val="125"/>
        </w:numPr>
        <w:tabs>
          <w:tab w:pos="1336" w:val="left" w:leader="none"/>
          <w:tab w:pos="1337" w:val="left" w:leader="none"/>
        </w:tabs>
        <w:spacing w:line="240" w:lineRule="auto" w:before="304" w:after="0"/>
        <w:ind w:left="1336" w:right="0" w:hanging="360"/>
        <w:jc w:val="left"/>
        <w:rPr>
          <w:sz w:val="38"/>
        </w:rPr>
      </w:pPr>
      <w:r>
        <w:rPr>
          <w:sz w:val="38"/>
        </w:rPr>
        <w:t>120 ml of apple</w:t>
      </w:r>
      <w:r>
        <w:rPr>
          <w:spacing w:val="-3"/>
          <w:sz w:val="38"/>
        </w:rPr>
        <w:t> </w:t>
      </w:r>
      <w:r>
        <w:rPr>
          <w:sz w:val="38"/>
        </w:rPr>
        <w:t>juice</w:t>
      </w:r>
    </w:p>
    <w:p>
      <w:pPr>
        <w:pStyle w:val="BodyText"/>
        <w:spacing w:line="276" w:lineRule="auto" w:before="302"/>
        <w:ind w:left="616" w:right="141"/>
        <w:jc w:val="both"/>
      </w:pPr>
      <w:r>
        <w:rPr/>
        <w:t>Preparation: cut the banana into slices, peel the kiwis, peel the pears, remove seeds and quarter. Place the kiwis, pears, stevia, soya milk powder and apple juice in a mixer and mix at full power – add the banana slices bit by bit and mix again until creamy.</w:t>
      </w:r>
    </w:p>
    <w:p>
      <w:pPr>
        <w:spacing w:after="0" w:line="276" w:lineRule="auto"/>
        <w:jc w:val="both"/>
        <w:sectPr>
          <w:pgSz w:w="14270" w:h="16850"/>
          <w:pgMar w:header="0" w:footer="1891" w:top="1340" w:bottom="2080" w:left="800" w:right="1280"/>
        </w:sectPr>
      </w:pPr>
    </w:p>
    <w:p>
      <w:pPr>
        <w:pStyle w:val="Heading1"/>
        <w:spacing w:before="77"/>
        <w:ind w:left="616"/>
        <w:jc w:val="both"/>
      </w:pPr>
      <w:r>
        <w:rPr/>
        <w:t>Sweet strawberry and banana shake (2 portions)</w:t>
      </w:r>
    </w:p>
    <w:p>
      <w:pPr>
        <w:pStyle w:val="BodyText"/>
        <w:spacing w:before="297"/>
        <w:ind w:left="616"/>
        <w:jc w:val="both"/>
      </w:pPr>
      <w:r>
        <w:rPr/>
        <w:t>Ingredients:</w:t>
      </w:r>
    </w:p>
    <w:p>
      <w:pPr>
        <w:pStyle w:val="ListParagraph"/>
        <w:numPr>
          <w:ilvl w:val="0"/>
          <w:numId w:val="125"/>
        </w:numPr>
        <w:tabs>
          <w:tab w:pos="1336" w:val="left" w:leader="none"/>
          <w:tab w:pos="1337" w:val="left" w:leader="none"/>
        </w:tabs>
        <w:spacing w:line="240" w:lineRule="auto" w:before="306" w:after="0"/>
        <w:ind w:left="1336" w:right="0" w:hanging="360"/>
        <w:jc w:val="left"/>
        <w:rPr>
          <w:sz w:val="38"/>
        </w:rPr>
      </w:pPr>
      <w:r>
        <w:rPr>
          <w:sz w:val="38"/>
        </w:rPr>
        <w:t>1</w:t>
      </w:r>
      <w:r>
        <w:rPr>
          <w:spacing w:val="-2"/>
          <w:sz w:val="38"/>
        </w:rPr>
        <w:t> </w:t>
      </w:r>
      <w:r>
        <w:rPr>
          <w:sz w:val="38"/>
        </w:rPr>
        <w:t>banana</w:t>
      </w:r>
    </w:p>
    <w:p>
      <w:pPr>
        <w:pStyle w:val="ListParagraph"/>
        <w:numPr>
          <w:ilvl w:val="0"/>
          <w:numId w:val="125"/>
        </w:numPr>
        <w:tabs>
          <w:tab w:pos="1336" w:val="left" w:leader="none"/>
          <w:tab w:pos="1337" w:val="left" w:leader="none"/>
        </w:tabs>
        <w:spacing w:line="240" w:lineRule="auto" w:before="303" w:after="0"/>
        <w:ind w:left="1336" w:right="0" w:hanging="360"/>
        <w:jc w:val="left"/>
        <w:rPr>
          <w:sz w:val="38"/>
        </w:rPr>
      </w:pPr>
      <w:r>
        <w:rPr>
          <w:sz w:val="38"/>
        </w:rPr>
        <w:t>250 g</w:t>
      </w:r>
      <w:r>
        <w:rPr>
          <w:spacing w:val="-9"/>
          <w:sz w:val="38"/>
        </w:rPr>
        <w:t> </w:t>
      </w:r>
      <w:r>
        <w:rPr>
          <w:sz w:val="38"/>
        </w:rPr>
        <w:t>strawberries</w:t>
      </w:r>
    </w:p>
    <w:p>
      <w:pPr>
        <w:pStyle w:val="ListParagraph"/>
        <w:numPr>
          <w:ilvl w:val="0"/>
          <w:numId w:val="125"/>
        </w:numPr>
        <w:tabs>
          <w:tab w:pos="1336" w:val="left" w:leader="none"/>
          <w:tab w:pos="1337" w:val="left" w:leader="none"/>
        </w:tabs>
        <w:spacing w:line="240" w:lineRule="auto" w:before="306" w:after="0"/>
        <w:ind w:left="1336" w:right="0" w:hanging="360"/>
        <w:jc w:val="left"/>
        <w:rPr>
          <w:sz w:val="38"/>
        </w:rPr>
      </w:pPr>
      <w:r>
        <w:rPr>
          <w:sz w:val="38"/>
        </w:rPr>
        <w:t>150 ml grape</w:t>
      </w:r>
      <w:r>
        <w:rPr>
          <w:spacing w:val="-8"/>
          <w:sz w:val="38"/>
        </w:rPr>
        <w:t> </w:t>
      </w:r>
      <w:r>
        <w:rPr>
          <w:sz w:val="38"/>
        </w:rPr>
        <w:t>juice</w:t>
      </w:r>
    </w:p>
    <w:p>
      <w:pPr>
        <w:pStyle w:val="ListParagraph"/>
        <w:numPr>
          <w:ilvl w:val="0"/>
          <w:numId w:val="125"/>
        </w:numPr>
        <w:tabs>
          <w:tab w:pos="1336" w:val="left" w:leader="none"/>
          <w:tab w:pos="1337" w:val="left" w:leader="none"/>
        </w:tabs>
        <w:spacing w:line="240" w:lineRule="auto" w:before="305" w:after="0"/>
        <w:ind w:left="1336" w:right="0" w:hanging="360"/>
        <w:jc w:val="left"/>
        <w:rPr>
          <w:sz w:val="38"/>
        </w:rPr>
      </w:pPr>
      <w:r>
        <w:rPr>
          <w:sz w:val="38"/>
        </w:rPr>
        <w:t>3 teaspoons of</w:t>
      </w:r>
      <w:r>
        <w:rPr>
          <w:spacing w:val="-1"/>
          <w:sz w:val="38"/>
        </w:rPr>
        <w:t> </w:t>
      </w:r>
      <w:r>
        <w:rPr>
          <w:sz w:val="38"/>
        </w:rPr>
        <w:t>tofu</w:t>
      </w:r>
    </w:p>
    <w:p>
      <w:pPr>
        <w:pStyle w:val="ListParagraph"/>
        <w:numPr>
          <w:ilvl w:val="0"/>
          <w:numId w:val="125"/>
        </w:numPr>
        <w:tabs>
          <w:tab w:pos="1336" w:val="left" w:leader="none"/>
          <w:tab w:pos="1337" w:val="left" w:leader="none"/>
        </w:tabs>
        <w:spacing w:line="240" w:lineRule="auto" w:before="303" w:after="0"/>
        <w:ind w:left="1336" w:right="0" w:hanging="360"/>
        <w:jc w:val="left"/>
        <w:rPr>
          <w:sz w:val="38"/>
        </w:rPr>
      </w:pPr>
      <w:r>
        <w:rPr>
          <w:sz w:val="38"/>
        </w:rPr>
        <w:t>Pinch of stevia extract</w:t>
      </w:r>
      <w:r>
        <w:rPr>
          <w:spacing w:val="2"/>
          <w:sz w:val="38"/>
        </w:rPr>
        <w:t> </w:t>
      </w:r>
      <w:r>
        <w:rPr>
          <w:sz w:val="38"/>
        </w:rPr>
        <w:t>(powder)</w:t>
      </w:r>
    </w:p>
    <w:p>
      <w:pPr>
        <w:pStyle w:val="ListParagraph"/>
        <w:numPr>
          <w:ilvl w:val="0"/>
          <w:numId w:val="125"/>
        </w:numPr>
        <w:tabs>
          <w:tab w:pos="1336" w:val="left" w:leader="none"/>
          <w:tab w:pos="1337" w:val="left" w:leader="none"/>
        </w:tabs>
        <w:spacing w:line="240" w:lineRule="auto" w:before="304" w:after="0"/>
        <w:ind w:left="1336" w:right="0" w:hanging="360"/>
        <w:jc w:val="left"/>
        <w:rPr>
          <w:sz w:val="38"/>
        </w:rPr>
      </w:pPr>
      <w:r>
        <w:rPr>
          <w:sz w:val="38"/>
        </w:rPr>
        <w:t>2 teaspoons of low-fat milk</w:t>
      </w:r>
      <w:r>
        <w:rPr>
          <w:spacing w:val="-3"/>
          <w:sz w:val="38"/>
        </w:rPr>
        <w:t> </w:t>
      </w:r>
      <w:r>
        <w:rPr>
          <w:sz w:val="38"/>
        </w:rPr>
        <w:t>powder)</w:t>
      </w:r>
    </w:p>
    <w:p>
      <w:pPr>
        <w:pStyle w:val="BodyText"/>
        <w:spacing w:line="276" w:lineRule="auto" w:before="302"/>
        <w:ind w:left="616" w:right="139"/>
        <w:jc w:val="both"/>
      </w:pPr>
      <w:r>
        <w:rPr/>
        <w:t>Preparation: place all the ingredients except the strawberries in the mixer and mix. Add the strawberries while the mix is being pureed and continue to mix until you have a creamy shake.</w:t>
      </w:r>
    </w:p>
    <w:p>
      <w:pPr>
        <w:spacing w:after="0" w:line="276" w:lineRule="auto"/>
        <w:jc w:val="both"/>
        <w:sectPr>
          <w:pgSz w:w="14270" w:h="16850"/>
          <w:pgMar w:header="0" w:footer="1891" w:top="1320" w:bottom="2080" w:left="800" w:right="1280"/>
        </w:sectPr>
      </w:pPr>
    </w:p>
    <w:p>
      <w:pPr>
        <w:pStyle w:val="Heading1"/>
        <w:spacing w:before="77"/>
        <w:ind w:left="616"/>
        <w:jc w:val="both"/>
      </w:pPr>
      <w:r>
        <w:rPr/>
        <w:t>Rice pudding (6 portions)</w:t>
      </w:r>
    </w:p>
    <w:p>
      <w:pPr>
        <w:pStyle w:val="BodyText"/>
        <w:spacing w:before="297"/>
        <w:ind w:left="616"/>
        <w:jc w:val="both"/>
      </w:pPr>
      <w:r>
        <w:rPr/>
        <w:t>Ingredients:</w:t>
      </w:r>
    </w:p>
    <w:p>
      <w:pPr>
        <w:pStyle w:val="ListParagraph"/>
        <w:numPr>
          <w:ilvl w:val="0"/>
          <w:numId w:val="125"/>
        </w:numPr>
        <w:tabs>
          <w:tab w:pos="1336" w:val="left" w:leader="none"/>
          <w:tab w:pos="1337" w:val="left" w:leader="none"/>
        </w:tabs>
        <w:spacing w:line="240" w:lineRule="auto" w:before="306" w:after="0"/>
        <w:ind w:left="1336" w:right="0" w:hanging="360"/>
        <w:jc w:val="left"/>
        <w:rPr>
          <w:sz w:val="38"/>
        </w:rPr>
      </w:pPr>
      <w:r>
        <w:rPr>
          <w:sz w:val="38"/>
        </w:rPr>
        <w:t>450 ml</w:t>
      </w:r>
      <w:r>
        <w:rPr>
          <w:spacing w:val="-2"/>
          <w:sz w:val="38"/>
        </w:rPr>
        <w:t> </w:t>
      </w:r>
      <w:r>
        <w:rPr>
          <w:sz w:val="38"/>
        </w:rPr>
        <w:t>milk</w:t>
      </w:r>
    </w:p>
    <w:p>
      <w:pPr>
        <w:pStyle w:val="ListParagraph"/>
        <w:numPr>
          <w:ilvl w:val="0"/>
          <w:numId w:val="125"/>
        </w:numPr>
        <w:tabs>
          <w:tab w:pos="1336" w:val="left" w:leader="none"/>
          <w:tab w:pos="1337" w:val="left" w:leader="none"/>
        </w:tabs>
        <w:spacing w:line="240" w:lineRule="auto" w:before="303" w:after="0"/>
        <w:ind w:left="1336" w:right="0" w:hanging="360"/>
        <w:jc w:val="left"/>
        <w:rPr>
          <w:sz w:val="38"/>
        </w:rPr>
      </w:pPr>
      <w:r>
        <w:rPr>
          <w:sz w:val="38"/>
        </w:rPr>
        <w:t>1 teaspoon of stevia extract (stevia</w:t>
      </w:r>
      <w:r>
        <w:rPr>
          <w:spacing w:val="-5"/>
          <w:sz w:val="38"/>
        </w:rPr>
        <w:t> </w:t>
      </w:r>
      <w:r>
        <w:rPr>
          <w:sz w:val="38"/>
        </w:rPr>
        <w:t>powder)</w:t>
      </w:r>
    </w:p>
    <w:p>
      <w:pPr>
        <w:pStyle w:val="ListParagraph"/>
        <w:numPr>
          <w:ilvl w:val="0"/>
          <w:numId w:val="125"/>
        </w:numPr>
        <w:tabs>
          <w:tab w:pos="1336" w:val="left" w:leader="none"/>
          <w:tab w:pos="1337" w:val="left" w:leader="none"/>
        </w:tabs>
        <w:spacing w:line="240" w:lineRule="auto" w:before="306" w:after="0"/>
        <w:ind w:left="1336" w:right="0" w:hanging="360"/>
        <w:jc w:val="left"/>
        <w:rPr>
          <w:sz w:val="38"/>
        </w:rPr>
      </w:pPr>
      <w:r>
        <w:rPr>
          <w:sz w:val="38"/>
        </w:rPr>
        <w:t>2</w:t>
      </w:r>
      <w:r>
        <w:rPr>
          <w:spacing w:val="-2"/>
          <w:sz w:val="38"/>
        </w:rPr>
        <w:t> </w:t>
      </w:r>
      <w:r>
        <w:rPr>
          <w:sz w:val="38"/>
        </w:rPr>
        <w:t>eggs</w:t>
      </w:r>
    </w:p>
    <w:p>
      <w:pPr>
        <w:pStyle w:val="ListParagraph"/>
        <w:numPr>
          <w:ilvl w:val="0"/>
          <w:numId w:val="125"/>
        </w:numPr>
        <w:tabs>
          <w:tab w:pos="1336" w:val="left" w:leader="none"/>
          <w:tab w:pos="1337" w:val="left" w:leader="none"/>
        </w:tabs>
        <w:spacing w:line="240" w:lineRule="auto" w:before="305" w:after="0"/>
        <w:ind w:left="1336" w:right="0" w:hanging="360"/>
        <w:jc w:val="left"/>
        <w:rPr>
          <w:sz w:val="38"/>
        </w:rPr>
      </w:pPr>
      <w:r>
        <w:rPr>
          <w:sz w:val="38"/>
        </w:rPr>
        <w:t>¼ teaspoon of</w:t>
      </w:r>
      <w:r>
        <w:rPr>
          <w:spacing w:val="-1"/>
          <w:sz w:val="38"/>
        </w:rPr>
        <w:t> </w:t>
      </w:r>
      <w:r>
        <w:rPr>
          <w:sz w:val="38"/>
        </w:rPr>
        <w:t>salt</w:t>
      </w:r>
    </w:p>
    <w:p>
      <w:pPr>
        <w:pStyle w:val="ListParagraph"/>
        <w:numPr>
          <w:ilvl w:val="0"/>
          <w:numId w:val="125"/>
        </w:numPr>
        <w:tabs>
          <w:tab w:pos="1336" w:val="left" w:leader="none"/>
          <w:tab w:pos="1337" w:val="left" w:leader="none"/>
        </w:tabs>
        <w:spacing w:line="240" w:lineRule="auto" w:before="303" w:after="0"/>
        <w:ind w:left="1336" w:right="0" w:hanging="360"/>
        <w:jc w:val="left"/>
        <w:rPr>
          <w:sz w:val="38"/>
        </w:rPr>
      </w:pPr>
      <w:r>
        <w:rPr>
          <w:sz w:val="38"/>
        </w:rPr>
        <w:t>5</w:t>
      </w:r>
      <w:r>
        <w:rPr>
          <w:spacing w:val="-2"/>
          <w:sz w:val="38"/>
        </w:rPr>
        <w:t> </w:t>
      </w:r>
      <w:r>
        <w:rPr>
          <w:sz w:val="38"/>
        </w:rPr>
        <w:t>raisins</w:t>
      </w:r>
    </w:p>
    <w:p>
      <w:pPr>
        <w:pStyle w:val="ListParagraph"/>
        <w:numPr>
          <w:ilvl w:val="0"/>
          <w:numId w:val="125"/>
        </w:numPr>
        <w:tabs>
          <w:tab w:pos="1336" w:val="left" w:leader="none"/>
          <w:tab w:pos="1337" w:val="left" w:leader="none"/>
        </w:tabs>
        <w:spacing w:line="240" w:lineRule="auto" w:before="304" w:after="0"/>
        <w:ind w:left="1336" w:right="0" w:hanging="360"/>
        <w:jc w:val="left"/>
        <w:rPr>
          <w:sz w:val="38"/>
        </w:rPr>
      </w:pPr>
      <w:r>
        <w:rPr>
          <w:sz w:val="38"/>
        </w:rPr>
        <w:t>¼ teaspoon of</w:t>
      </w:r>
      <w:r>
        <w:rPr>
          <w:spacing w:val="-1"/>
          <w:sz w:val="38"/>
        </w:rPr>
        <w:t> </w:t>
      </w:r>
      <w:r>
        <w:rPr>
          <w:sz w:val="38"/>
        </w:rPr>
        <w:t>nutmeg</w:t>
      </w:r>
    </w:p>
    <w:p>
      <w:pPr>
        <w:pStyle w:val="ListParagraph"/>
        <w:numPr>
          <w:ilvl w:val="0"/>
          <w:numId w:val="125"/>
        </w:numPr>
        <w:tabs>
          <w:tab w:pos="1336" w:val="left" w:leader="none"/>
          <w:tab w:pos="1337" w:val="left" w:leader="none"/>
        </w:tabs>
        <w:spacing w:line="240" w:lineRule="auto" w:before="304" w:after="0"/>
        <w:ind w:left="1336" w:right="0" w:hanging="360"/>
        <w:jc w:val="left"/>
        <w:rPr>
          <w:sz w:val="38"/>
        </w:rPr>
      </w:pPr>
      <w:r>
        <w:rPr>
          <w:sz w:val="38"/>
        </w:rPr>
        <w:t>2 teaspoons of vanilla</w:t>
      </w:r>
      <w:r>
        <w:rPr>
          <w:spacing w:val="-2"/>
          <w:sz w:val="38"/>
        </w:rPr>
        <w:t> </w:t>
      </w:r>
      <w:r>
        <w:rPr>
          <w:sz w:val="38"/>
        </w:rPr>
        <w:t>extract</w:t>
      </w:r>
    </w:p>
    <w:p>
      <w:pPr>
        <w:pStyle w:val="ListParagraph"/>
        <w:numPr>
          <w:ilvl w:val="0"/>
          <w:numId w:val="125"/>
        </w:numPr>
        <w:tabs>
          <w:tab w:pos="1336" w:val="left" w:leader="none"/>
          <w:tab w:pos="1337" w:val="left" w:leader="none"/>
        </w:tabs>
        <w:spacing w:line="240" w:lineRule="auto" w:before="306" w:after="0"/>
        <w:ind w:left="1336" w:right="0" w:hanging="360"/>
        <w:jc w:val="left"/>
        <w:rPr>
          <w:sz w:val="38"/>
        </w:rPr>
      </w:pPr>
      <w:r>
        <w:rPr>
          <w:sz w:val="38"/>
        </w:rPr>
        <w:t>2 cups of rice</w:t>
      </w:r>
      <w:r>
        <w:rPr>
          <w:spacing w:val="-2"/>
          <w:sz w:val="38"/>
        </w:rPr>
        <w:t> </w:t>
      </w:r>
      <w:r>
        <w:rPr>
          <w:sz w:val="38"/>
        </w:rPr>
        <w:t>(cooked)</w:t>
      </w:r>
    </w:p>
    <w:p>
      <w:pPr>
        <w:pStyle w:val="BodyText"/>
        <w:spacing w:line="276" w:lineRule="auto" w:before="302"/>
        <w:ind w:left="616" w:right="134"/>
        <w:jc w:val="both"/>
      </w:pPr>
      <w:r>
        <w:rPr/>
        <w:t>Preparation: pre-heat the oven to 180 °C; place all the ingredients except the cooked</w:t>
      </w:r>
      <w:r>
        <w:rPr>
          <w:spacing w:val="-9"/>
        </w:rPr>
        <w:t> </w:t>
      </w:r>
      <w:r>
        <w:rPr/>
        <w:t>rice</w:t>
      </w:r>
      <w:r>
        <w:rPr>
          <w:spacing w:val="-9"/>
        </w:rPr>
        <w:t> </w:t>
      </w:r>
      <w:r>
        <w:rPr/>
        <w:t>into</w:t>
      </w:r>
      <w:r>
        <w:rPr>
          <w:spacing w:val="-13"/>
        </w:rPr>
        <w:t> </w:t>
      </w:r>
      <w:r>
        <w:rPr/>
        <w:t>the</w:t>
      </w:r>
      <w:r>
        <w:rPr>
          <w:spacing w:val="-8"/>
        </w:rPr>
        <w:t> </w:t>
      </w:r>
      <w:r>
        <w:rPr/>
        <w:t>oven</w:t>
      </w:r>
      <w:r>
        <w:rPr>
          <w:spacing w:val="-9"/>
        </w:rPr>
        <w:t> </w:t>
      </w:r>
      <w:r>
        <w:rPr/>
        <w:t>dish</w:t>
      </w:r>
      <w:r>
        <w:rPr>
          <w:spacing w:val="-9"/>
        </w:rPr>
        <w:t> </w:t>
      </w:r>
      <w:r>
        <w:rPr/>
        <w:t>then</w:t>
      </w:r>
      <w:r>
        <w:rPr>
          <w:spacing w:val="-9"/>
        </w:rPr>
        <w:t> </w:t>
      </w:r>
      <w:r>
        <w:rPr/>
        <w:t>layer</w:t>
      </w:r>
      <w:r>
        <w:rPr>
          <w:spacing w:val="-9"/>
        </w:rPr>
        <w:t> </w:t>
      </w:r>
      <w:r>
        <w:rPr/>
        <w:t>over</w:t>
      </w:r>
      <w:r>
        <w:rPr>
          <w:spacing w:val="-10"/>
        </w:rPr>
        <w:t> </w:t>
      </w:r>
      <w:r>
        <w:rPr/>
        <w:t>the</w:t>
      </w:r>
      <w:r>
        <w:rPr>
          <w:spacing w:val="-10"/>
        </w:rPr>
        <w:t> </w:t>
      </w:r>
      <w:r>
        <w:rPr/>
        <w:t>rice.</w:t>
      </w:r>
      <w:r>
        <w:rPr>
          <w:spacing w:val="-11"/>
        </w:rPr>
        <w:t> </w:t>
      </w:r>
      <w:r>
        <w:rPr/>
        <w:t>Bake</w:t>
      </w:r>
      <w:r>
        <w:rPr>
          <w:spacing w:val="-10"/>
        </w:rPr>
        <w:t> </w:t>
      </w:r>
      <w:r>
        <w:rPr/>
        <w:t>for</w:t>
      </w:r>
      <w:r>
        <w:rPr>
          <w:spacing w:val="-8"/>
        </w:rPr>
        <w:t> </w:t>
      </w:r>
      <w:r>
        <w:rPr/>
        <w:t>about</w:t>
      </w:r>
      <w:r>
        <w:rPr>
          <w:spacing w:val="-11"/>
        </w:rPr>
        <w:t> </w:t>
      </w:r>
      <w:r>
        <w:rPr/>
        <w:t>an</w:t>
      </w:r>
      <w:r>
        <w:rPr>
          <w:spacing w:val="-8"/>
        </w:rPr>
        <w:t> </w:t>
      </w:r>
      <w:r>
        <w:rPr/>
        <w:t>hour then leave to</w:t>
      </w:r>
      <w:r>
        <w:rPr>
          <w:spacing w:val="1"/>
        </w:rPr>
        <w:t> </w:t>
      </w:r>
      <w:r>
        <w:rPr/>
        <w:t>cool.</w:t>
      </w:r>
    </w:p>
    <w:p>
      <w:pPr>
        <w:spacing w:after="0" w:line="276" w:lineRule="auto"/>
        <w:jc w:val="both"/>
        <w:sectPr>
          <w:pgSz w:w="14270" w:h="16850"/>
          <w:pgMar w:header="0" w:footer="1891" w:top="1320" w:bottom="2080" w:left="800" w:right="1280"/>
        </w:sectPr>
      </w:pPr>
    </w:p>
    <w:p>
      <w:pPr>
        <w:pStyle w:val="Heading2"/>
        <w:spacing w:before="74"/>
        <w:ind w:left="616"/>
        <w:jc w:val="both"/>
      </w:pPr>
      <w:r>
        <w:rPr/>
        <w:t>Main courses</w:t>
      </w:r>
    </w:p>
    <w:p>
      <w:pPr>
        <w:spacing w:before="302"/>
        <w:ind w:left="616" w:right="0" w:firstLine="0"/>
        <w:jc w:val="both"/>
        <w:rPr>
          <w:i/>
          <w:sz w:val="38"/>
        </w:rPr>
      </w:pPr>
      <w:r>
        <w:rPr>
          <w:i/>
          <w:sz w:val="38"/>
        </w:rPr>
        <w:t>Sweet potato gratin (3 portions)</w:t>
      </w:r>
    </w:p>
    <w:p>
      <w:pPr>
        <w:pStyle w:val="BodyText"/>
        <w:spacing w:before="305"/>
        <w:ind w:left="616"/>
        <w:jc w:val="both"/>
      </w:pPr>
      <w:r>
        <w:rPr/>
        <w:t>Ingredients:</w:t>
      </w:r>
    </w:p>
    <w:p>
      <w:pPr>
        <w:pStyle w:val="ListParagraph"/>
        <w:numPr>
          <w:ilvl w:val="0"/>
          <w:numId w:val="125"/>
        </w:numPr>
        <w:tabs>
          <w:tab w:pos="1336" w:val="left" w:leader="none"/>
          <w:tab w:pos="1337" w:val="left" w:leader="none"/>
        </w:tabs>
        <w:spacing w:line="240" w:lineRule="auto" w:before="306" w:after="0"/>
        <w:ind w:left="1336" w:right="0" w:hanging="360"/>
        <w:jc w:val="left"/>
        <w:rPr>
          <w:sz w:val="38"/>
        </w:rPr>
      </w:pPr>
      <w:r>
        <w:rPr>
          <w:sz w:val="38"/>
        </w:rPr>
        <w:t>2 sweet</w:t>
      </w:r>
      <w:r>
        <w:rPr>
          <w:spacing w:val="-2"/>
          <w:sz w:val="38"/>
        </w:rPr>
        <w:t> </w:t>
      </w:r>
      <w:r>
        <w:rPr>
          <w:sz w:val="38"/>
        </w:rPr>
        <w:t>potatoes</w:t>
      </w:r>
    </w:p>
    <w:p>
      <w:pPr>
        <w:pStyle w:val="ListParagraph"/>
        <w:numPr>
          <w:ilvl w:val="0"/>
          <w:numId w:val="125"/>
        </w:numPr>
        <w:tabs>
          <w:tab w:pos="1336" w:val="left" w:leader="none"/>
          <w:tab w:pos="1337" w:val="left" w:leader="none"/>
        </w:tabs>
        <w:spacing w:line="240" w:lineRule="auto" w:before="303" w:after="0"/>
        <w:ind w:left="1336" w:right="0" w:hanging="360"/>
        <w:jc w:val="left"/>
        <w:rPr>
          <w:sz w:val="38"/>
        </w:rPr>
      </w:pPr>
      <w:r>
        <w:rPr>
          <w:sz w:val="38"/>
        </w:rPr>
        <w:t>11/2</w:t>
      </w:r>
      <w:r>
        <w:rPr>
          <w:spacing w:val="-2"/>
          <w:sz w:val="38"/>
        </w:rPr>
        <w:t> </w:t>
      </w:r>
      <w:r>
        <w:rPr>
          <w:sz w:val="38"/>
        </w:rPr>
        <w:t>onions</w:t>
      </w:r>
    </w:p>
    <w:p>
      <w:pPr>
        <w:pStyle w:val="ListParagraph"/>
        <w:numPr>
          <w:ilvl w:val="0"/>
          <w:numId w:val="125"/>
        </w:numPr>
        <w:tabs>
          <w:tab w:pos="1336" w:val="left" w:leader="none"/>
          <w:tab w:pos="1337" w:val="left" w:leader="none"/>
        </w:tabs>
        <w:spacing w:line="240" w:lineRule="auto" w:before="305" w:after="0"/>
        <w:ind w:left="1336" w:right="0" w:hanging="360"/>
        <w:jc w:val="left"/>
        <w:rPr>
          <w:sz w:val="38"/>
        </w:rPr>
      </w:pPr>
      <w:r>
        <w:rPr>
          <w:sz w:val="38"/>
        </w:rPr>
        <w:t>¼ teaspoon of stevia</w:t>
      </w:r>
      <w:r>
        <w:rPr>
          <w:spacing w:val="-1"/>
          <w:sz w:val="38"/>
        </w:rPr>
        <w:t> </w:t>
      </w:r>
      <w:r>
        <w:rPr>
          <w:sz w:val="38"/>
        </w:rPr>
        <w:t>powder</w:t>
      </w:r>
    </w:p>
    <w:p>
      <w:pPr>
        <w:pStyle w:val="ListParagraph"/>
        <w:numPr>
          <w:ilvl w:val="0"/>
          <w:numId w:val="125"/>
        </w:numPr>
        <w:tabs>
          <w:tab w:pos="1336" w:val="left" w:leader="none"/>
          <w:tab w:pos="1337" w:val="left" w:leader="none"/>
        </w:tabs>
        <w:spacing w:line="240" w:lineRule="auto" w:before="306" w:after="0"/>
        <w:ind w:left="1336" w:right="0" w:hanging="360"/>
        <w:jc w:val="left"/>
        <w:rPr>
          <w:sz w:val="38"/>
        </w:rPr>
      </w:pPr>
      <w:r>
        <w:rPr>
          <w:sz w:val="38"/>
        </w:rPr>
        <w:t>¼ teaspoon salt</w:t>
      </w:r>
    </w:p>
    <w:p>
      <w:pPr>
        <w:pStyle w:val="ListParagraph"/>
        <w:numPr>
          <w:ilvl w:val="0"/>
          <w:numId w:val="125"/>
        </w:numPr>
        <w:tabs>
          <w:tab w:pos="1336" w:val="left" w:leader="none"/>
          <w:tab w:pos="1337" w:val="left" w:leader="none"/>
        </w:tabs>
        <w:spacing w:line="240" w:lineRule="auto" w:before="303" w:after="0"/>
        <w:ind w:left="1336" w:right="0" w:hanging="360"/>
        <w:jc w:val="left"/>
        <w:rPr>
          <w:sz w:val="38"/>
        </w:rPr>
      </w:pPr>
      <w:r>
        <w:rPr>
          <w:sz w:val="38"/>
        </w:rPr>
        <w:t>3 tablespoons of orange</w:t>
      </w:r>
      <w:r>
        <w:rPr>
          <w:spacing w:val="-3"/>
          <w:sz w:val="38"/>
        </w:rPr>
        <w:t> </w:t>
      </w:r>
      <w:r>
        <w:rPr>
          <w:sz w:val="38"/>
        </w:rPr>
        <w:t>juice</w:t>
      </w:r>
    </w:p>
    <w:p>
      <w:pPr>
        <w:pStyle w:val="ListParagraph"/>
        <w:numPr>
          <w:ilvl w:val="0"/>
          <w:numId w:val="125"/>
        </w:numPr>
        <w:tabs>
          <w:tab w:pos="1336" w:val="left" w:leader="none"/>
          <w:tab w:pos="1337" w:val="left" w:leader="none"/>
        </w:tabs>
        <w:spacing w:line="240" w:lineRule="auto" w:before="304" w:after="0"/>
        <w:ind w:left="1336" w:right="0" w:hanging="360"/>
        <w:jc w:val="left"/>
        <w:rPr>
          <w:sz w:val="38"/>
        </w:rPr>
      </w:pPr>
      <w:r>
        <w:rPr>
          <w:sz w:val="38"/>
        </w:rPr>
        <w:t>1 tablespoon of lemon</w:t>
      </w:r>
      <w:r>
        <w:rPr>
          <w:spacing w:val="-3"/>
          <w:sz w:val="38"/>
        </w:rPr>
        <w:t> </w:t>
      </w:r>
      <w:r>
        <w:rPr>
          <w:sz w:val="38"/>
        </w:rPr>
        <w:t>juice</w:t>
      </w:r>
    </w:p>
    <w:p>
      <w:pPr>
        <w:pStyle w:val="ListParagraph"/>
        <w:numPr>
          <w:ilvl w:val="0"/>
          <w:numId w:val="125"/>
        </w:numPr>
        <w:tabs>
          <w:tab w:pos="1336" w:val="left" w:leader="none"/>
          <w:tab w:pos="1337" w:val="left" w:leader="none"/>
        </w:tabs>
        <w:spacing w:line="240" w:lineRule="auto" w:before="304" w:after="0"/>
        <w:ind w:left="1336" w:right="0" w:hanging="360"/>
        <w:jc w:val="left"/>
        <w:rPr>
          <w:sz w:val="38"/>
        </w:rPr>
      </w:pPr>
      <w:r>
        <w:rPr>
          <w:sz w:val="38"/>
        </w:rPr>
        <w:t>11/2 vegetable</w:t>
      </w:r>
      <w:r>
        <w:rPr>
          <w:spacing w:val="1"/>
          <w:sz w:val="38"/>
        </w:rPr>
        <w:t> </w:t>
      </w:r>
      <w:r>
        <w:rPr>
          <w:sz w:val="38"/>
        </w:rPr>
        <w:t>oil</w:t>
      </w:r>
    </w:p>
    <w:p>
      <w:pPr>
        <w:pStyle w:val="ListParagraph"/>
        <w:numPr>
          <w:ilvl w:val="0"/>
          <w:numId w:val="125"/>
        </w:numPr>
        <w:tabs>
          <w:tab w:pos="1336" w:val="left" w:leader="none"/>
          <w:tab w:pos="1337" w:val="left" w:leader="none"/>
        </w:tabs>
        <w:spacing w:line="240" w:lineRule="auto" w:before="304" w:after="0"/>
        <w:ind w:left="1336" w:right="0" w:hanging="360"/>
        <w:jc w:val="left"/>
        <w:rPr>
          <w:sz w:val="38"/>
        </w:rPr>
      </w:pPr>
      <w:r>
        <w:rPr>
          <w:sz w:val="38"/>
        </w:rPr>
        <w:t>2</w:t>
      </w:r>
      <w:r>
        <w:rPr>
          <w:spacing w:val="-2"/>
          <w:sz w:val="38"/>
        </w:rPr>
        <w:t> </w:t>
      </w:r>
      <w:r>
        <w:rPr>
          <w:sz w:val="38"/>
        </w:rPr>
        <w:t>apples</w:t>
      </w:r>
    </w:p>
    <w:p>
      <w:pPr>
        <w:pStyle w:val="ListParagraph"/>
        <w:numPr>
          <w:ilvl w:val="0"/>
          <w:numId w:val="125"/>
        </w:numPr>
        <w:tabs>
          <w:tab w:pos="1336" w:val="left" w:leader="none"/>
          <w:tab w:pos="1337" w:val="left" w:leader="none"/>
        </w:tabs>
        <w:spacing w:line="240" w:lineRule="auto" w:before="306" w:after="0"/>
        <w:ind w:left="1336" w:right="0" w:hanging="360"/>
        <w:jc w:val="left"/>
        <w:rPr>
          <w:sz w:val="38"/>
        </w:rPr>
      </w:pPr>
      <w:r>
        <w:rPr>
          <w:sz w:val="38"/>
        </w:rPr>
        <w:t>1 teaspoon of garden herb</w:t>
      </w:r>
      <w:r>
        <w:rPr>
          <w:spacing w:val="-4"/>
          <w:sz w:val="38"/>
        </w:rPr>
        <w:t> </w:t>
      </w:r>
      <w:r>
        <w:rPr>
          <w:sz w:val="38"/>
        </w:rPr>
        <w:t>mix</w:t>
      </w:r>
    </w:p>
    <w:p>
      <w:pPr>
        <w:pStyle w:val="BodyText"/>
        <w:spacing w:line="276" w:lineRule="auto" w:before="302"/>
        <w:ind w:left="616" w:right="138"/>
        <w:jc w:val="both"/>
      </w:pPr>
      <w:r>
        <w:rPr/>
        <w:t>Preparation: cut the sweet potato and onions into cubes. Layer the sweet po- tatoes and onions in a greased oven dish. Mix the orange juice, stevia, salt and lemon</w:t>
      </w:r>
      <w:r>
        <w:rPr>
          <w:spacing w:val="-9"/>
        </w:rPr>
        <w:t> </w:t>
      </w:r>
      <w:r>
        <w:rPr/>
        <w:t>juice</w:t>
      </w:r>
      <w:r>
        <w:rPr>
          <w:spacing w:val="-10"/>
        </w:rPr>
        <w:t> </w:t>
      </w:r>
      <w:r>
        <w:rPr/>
        <w:t>together</w:t>
      </w:r>
      <w:r>
        <w:rPr>
          <w:spacing w:val="-9"/>
        </w:rPr>
        <w:t> </w:t>
      </w:r>
      <w:r>
        <w:rPr/>
        <w:t>with</w:t>
      </w:r>
      <w:r>
        <w:rPr>
          <w:spacing w:val="-8"/>
        </w:rPr>
        <w:t> </w:t>
      </w:r>
      <w:r>
        <w:rPr/>
        <w:t>the</w:t>
      </w:r>
      <w:r>
        <w:rPr>
          <w:spacing w:val="-8"/>
        </w:rPr>
        <w:t> </w:t>
      </w:r>
      <w:r>
        <w:rPr/>
        <w:t>vegetable</w:t>
      </w:r>
      <w:r>
        <w:rPr>
          <w:spacing w:val="-10"/>
        </w:rPr>
        <w:t> </w:t>
      </w:r>
      <w:r>
        <w:rPr/>
        <w:t>oil</w:t>
      </w:r>
      <w:r>
        <w:rPr>
          <w:spacing w:val="-10"/>
        </w:rPr>
        <w:t> </w:t>
      </w:r>
      <w:r>
        <w:rPr/>
        <w:t>and</w:t>
      </w:r>
      <w:r>
        <w:rPr>
          <w:spacing w:val="-8"/>
        </w:rPr>
        <w:t> </w:t>
      </w:r>
      <w:r>
        <w:rPr/>
        <w:t>then</w:t>
      </w:r>
      <w:r>
        <w:rPr>
          <w:spacing w:val="-9"/>
        </w:rPr>
        <w:t> </w:t>
      </w:r>
      <w:r>
        <w:rPr/>
        <w:t>pour</w:t>
      </w:r>
      <w:r>
        <w:rPr>
          <w:spacing w:val="-10"/>
        </w:rPr>
        <w:t> </w:t>
      </w:r>
      <w:r>
        <w:rPr/>
        <w:t>over</w:t>
      </w:r>
      <w:r>
        <w:rPr>
          <w:spacing w:val="-7"/>
        </w:rPr>
        <w:t> </w:t>
      </w:r>
      <w:r>
        <w:rPr/>
        <w:t>the</w:t>
      </w:r>
      <w:r>
        <w:rPr>
          <w:spacing w:val="-9"/>
        </w:rPr>
        <w:t> </w:t>
      </w:r>
      <w:r>
        <w:rPr/>
        <w:t>sweet</w:t>
      </w:r>
      <w:r>
        <w:rPr>
          <w:spacing w:val="-10"/>
        </w:rPr>
        <w:t> </w:t>
      </w:r>
      <w:r>
        <w:rPr/>
        <w:t>pota- toes and</w:t>
      </w:r>
      <w:r>
        <w:rPr>
          <w:spacing w:val="2"/>
        </w:rPr>
        <w:t> </w:t>
      </w:r>
      <w:r>
        <w:rPr/>
        <w:t>onions.</w:t>
      </w:r>
    </w:p>
    <w:p>
      <w:pPr>
        <w:pStyle w:val="BodyText"/>
        <w:spacing w:before="239"/>
        <w:ind w:left="616"/>
        <w:jc w:val="both"/>
      </w:pPr>
      <w:r>
        <w:rPr/>
        <w:t>Mix everything together, cover the oven dish and bake for approx. 25-30 mins</w:t>
      </w:r>
    </w:p>
    <w:p>
      <w:pPr>
        <w:spacing w:after="0"/>
        <w:jc w:val="both"/>
        <w:sectPr>
          <w:pgSz w:w="14270" w:h="16850"/>
          <w:pgMar w:header="0" w:footer="1891" w:top="1340" w:bottom="2080" w:left="800" w:right="1280"/>
        </w:sectPr>
      </w:pPr>
    </w:p>
    <w:p>
      <w:pPr>
        <w:spacing w:line="400" w:lineRule="auto" w:before="72"/>
        <w:ind w:left="616" w:right="6484" w:firstLine="0"/>
        <w:jc w:val="left"/>
        <w:rPr>
          <w:sz w:val="38"/>
        </w:rPr>
      </w:pPr>
      <w:r>
        <w:rPr>
          <w:sz w:val="38"/>
        </w:rPr>
        <w:t>in a pre-heated oven at 175 °C. </w:t>
      </w:r>
      <w:r>
        <w:rPr>
          <w:b/>
          <w:i/>
          <w:sz w:val="40"/>
        </w:rPr>
        <w:t>Herby</w:t>
      </w:r>
      <w:r>
        <w:rPr>
          <w:b/>
          <w:i/>
          <w:spacing w:val="-67"/>
          <w:sz w:val="40"/>
        </w:rPr>
        <w:t> </w:t>
      </w:r>
      <w:r>
        <w:rPr>
          <w:b/>
          <w:i/>
          <w:sz w:val="40"/>
        </w:rPr>
        <w:t>pollack</w:t>
      </w:r>
      <w:r>
        <w:rPr>
          <w:b/>
          <w:i/>
          <w:spacing w:val="-65"/>
          <w:sz w:val="40"/>
        </w:rPr>
        <w:t> </w:t>
      </w:r>
      <w:r>
        <w:rPr>
          <w:b/>
          <w:i/>
          <w:sz w:val="40"/>
        </w:rPr>
        <w:t>fillet</w:t>
      </w:r>
      <w:r>
        <w:rPr>
          <w:b/>
          <w:i/>
          <w:spacing w:val="-66"/>
          <w:sz w:val="40"/>
        </w:rPr>
        <w:t> </w:t>
      </w:r>
      <w:r>
        <w:rPr>
          <w:b/>
          <w:i/>
          <w:sz w:val="40"/>
        </w:rPr>
        <w:t>(3</w:t>
      </w:r>
      <w:r>
        <w:rPr>
          <w:b/>
          <w:i/>
          <w:spacing w:val="-66"/>
          <w:sz w:val="40"/>
        </w:rPr>
        <w:t> </w:t>
      </w:r>
      <w:r>
        <w:rPr>
          <w:b/>
          <w:i/>
          <w:sz w:val="40"/>
        </w:rPr>
        <w:t>portions) </w:t>
      </w:r>
      <w:r>
        <w:rPr>
          <w:sz w:val="38"/>
        </w:rPr>
        <w:t>Ingredients:</w:t>
      </w:r>
    </w:p>
    <w:p>
      <w:pPr>
        <w:pStyle w:val="ListParagraph"/>
        <w:numPr>
          <w:ilvl w:val="0"/>
          <w:numId w:val="125"/>
        </w:numPr>
        <w:tabs>
          <w:tab w:pos="1329" w:val="left" w:leader="none"/>
          <w:tab w:pos="1330" w:val="left" w:leader="none"/>
        </w:tabs>
        <w:spacing w:line="240" w:lineRule="auto" w:before="18" w:after="0"/>
        <w:ind w:left="1329" w:right="0" w:hanging="355"/>
        <w:jc w:val="left"/>
        <w:rPr>
          <w:sz w:val="38"/>
        </w:rPr>
      </w:pPr>
      <w:r>
        <w:rPr>
          <w:sz w:val="38"/>
        </w:rPr>
        <w:t>450 g pollack</w:t>
      </w:r>
      <w:r>
        <w:rPr>
          <w:spacing w:val="-1"/>
          <w:sz w:val="38"/>
        </w:rPr>
        <w:t> </w:t>
      </w:r>
      <w:r>
        <w:rPr>
          <w:sz w:val="38"/>
        </w:rPr>
        <w:t>fillet</w:t>
      </w:r>
    </w:p>
    <w:p>
      <w:pPr>
        <w:pStyle w:val="ListParagraph"/>
        <w:numPr>
          <w:ilvl w:val="0"/>
          <w:numId w:val="125"/>
        </w:numPr>
        <w:tabs>
          <w:tab w:pos="1329" w:val="left" w:leader="none"/>
          <w:tab w:pos="1330" w:val="left" w:leader="none"/>
        </w:tabs>
        <w:spacing w:line="240" w:lineRule="auto" w:before="239" w:after="0"/>
        <w:ind w:left="1329" w:right="0" w:hanging="355"/>
        <w:jc w:val="left"/>
        <w:rPr>
          <w:sz w:val="38"/>
        </w:rPr>
      </w:pPr>
      <w:r>
        <w:rPr>
          <w:sz w:val="38"/>
        </w:rPr>
        <w:t>3 tablespoons of red pepper, cut into small</w:t>
      </w:r>
      <w:r>
        <w:rPr>
          <w:spacing w:val="-8"/>
          <w:sz w:val="38"/>
        </w:rPr>
        <w:t> </w:t>
      </w:r>
      <w:r>
        <w:rPr>
          <w:sz w:val="38"/>
        </w:rPr>
        <w:t>cubes</w:t>
      </w:r>
    </w:p>
    <w:p>
      <w:pPr>
        <w:pStyle w:val="ListParagraph"/>
        <w:numPr>
          <w:ilvl w:val="0"/>
          <w:numId w:val="125"/>
        </w:numPr>
        <w:tabs>
          <w:tab w:pos="1329" w:val="left" w:leader="none"/>
          <w:tab w:pos="1330" w:val="left" w:leader="none"/>
        </w:tabs>
        <w:spacing w:line="240" w:lineRule="auto" w:before="242" w:after="0"/>
        <w:ind w:left="1329" w:right="0" w:hanging="355"/>
        <w:jc w:val="left"/>
        <w:rPr>
          <w:sz w:val="38"/>
        </w:rPr>
      </w:pPr>
      <w:r>
        <w:rPr>
          <w:sz w:val="38"/>
        </w:rPr>
        <w:t>2 tablespoons of</w:t>
      </w:r>
      <w:r>
        <w:rPr>
          <w:spacing w:val="-17"/>
          <w:sz w:val="38"/>
        </w:rPr>
        <w:t> </w:t>
      </w:r>
      <w:r>
        <w:rPr>
          <w:sz w:val="38"/>
        </w:rPr>
        <w:t>butter</w:t>
      </w:r>
    </w:p>
    <w:p>
      <w:pPr>
        <w:pStyle w:val="ListParagraph"/>
        <w:numPr>
          <w:ilvl w:val="0"/>
          <w:numId w:val="125"/>
        </w:numPr>
        <w:tabs>
          <w:tab w:pos="1329" w:val="left" w:leader="none"/>
          <w:tab w:pos="1330" w:val="left" w:leader="none"/>
        </w:tabs>
        <w:spacing w:line="240" w:lineRule="auto" w:before="238" w:after="0"/>
        <w:ind w:left="1329" w:right="0" w:hanging="355"/>
        <w:jc w:val="left"/>
        <w:rPr>
          <w:sz w:val="38"/>
        </w:rPr>
      </w:pPr>
      <w:r>
        <w:rPr>
          <w:sz w:val="38"/>
        </w:rPr>
        <w:t>Pinch of stevia</w:t>
      </w:r>
      <w:r>
        <w:rPr>
          <w:spacing w:val="-7"/>
          <w:sz w:val="38"/>
        </w:rPr>
        <w:t> </w:t>
      </w:r>
      <w:r>
        <w:rPr>
          <w:sz w:val="38"/>
        </w:rPr>
        <w:t>powder</w:t>
      </w:r>
    </w:p>
    <w:p>
      <w:pPr>
        <w:pStyle w:val="ListParagraph"/>
        <w:numPr>
          <w:ilvl w:val="0"/>
          <w:numId w:val="125"/>
        </w:numPr>
        <w:tabs>
          <w:tab w:pos="1329" w:val="left" w:leader="none"/>
          <w:tab w:pos="1330" w:val="left" w:leader="none"/>
        </w:tabs>
        <w:spacing w:line="240" w:lineRule="auto" w:before="242" w:after="0"/>
        <w:ind w:left="1329" w:right="0" w:hanging="355"/>
        <w:jc w:val="left"/>
        <w:rPr>
          <w:sz w:val="38"/>
        </w:rPr>
      </w:pPr>
      <w:r>
        <w:rPr>
          <w:sz w:val="38"/>
        </w:rPr>
        <w:t>½ chopped</w:t>
      </w:r>
      <w:r>
        <w:rPr>
          <w:spacing w:val="-1"/>
          <w:sz w:val="38"/>
        </w:rPr>
        <w:t> </w:t>
      </w:r>
      <w:r>
        <w:rPr>
          <w:sz w:val="38"/>
        </w:rPr>
        <w:t>onion</w:t>
      </w:r>
    </w:p>
    <w:p>
      <w:pPr>
        <w:pStyle w:val="ListParagraph"/>
        <w:numPr>
          <w:ilvl w:val="0"/>
          <w:numId w:val="125"/>
        </w:numPr>
        <w:tabs>
          <w:tab w:pos="1329" w:val="left" w:leader="none"/>
          <w:tab w:pos="1330" w:val="left" w:leader="none"/>
        </w:tabs>
        <w:spacing w:line="240" w:lineRule="auto" w:before="239" w:after="0"/>
        <w:ind w:left="1329" w:right="0" w:hanging="355"/>
        <w:jc w:val="left"/>
        <w:rPr>
          <w:sz w:val="38"/>
        </w:rPr>
      </w:pPr>
      <w:r>
        <w:rPr>
          <w:sz w:val="38"/>
        </w:rPr>
        <w:t>11/2 chopped basil</w:t>
      </w:r>
      <w:r>
        <w:rPr>
          <w:spacing w:val="-3"/>
          <w:sz w:val="38"/>
        </w:rPr>
        <w:t> </w:t>
      </w:r>
      <w:r>
        <w:rPr>
          <w:sz w:val="38"/>
        </w:rPr>
        <w:t>leaves</w:t>
      </w:r>
    </w:p>
    <w:p>
      <w:pPr>
        <w:pStyle w:val="ListParagraph"/>
        <w:numPr>
          <w:ilvl w:val="0"/>
          <w:numId w:val="125"/>
        </w:numPr>
        <w:tabs>
          <w:tab w:pos="1329" w:val="left" w:leader="none"/>
          <w:tab w:pos="1330" w:val="left" w:leader="none"/>
        </w:tabs>
        <w:spacing w:line="240" w:lineRule="auto" w:before="241" w:after="0"/>
        <w:ind w:left="1329" w:right="0" w:hanging="355"/>
        <w:jc w:val="left"/>
        <w:rPr>
          <w:sz w:val="38"/>
        </w:rPr>
      </w:pPr>
      <w:r>
        <w:rPr>
          <w:sz w:val="38"/>
        </w:rPr>
        <w:t>1 garlic clove, peeled and cut into</w:t>
      </w:r>
      <w:r>
        <w:rPr>
          <w:spacing w:val="3"/>
          <w:sz w:val="38"/>
        </w:rPr>
        <w:t> </w:t>
      </w:r>
      <w:r>
        <w:rPr>
          <w:sz w:val="38"/>
        </w:rPr>
        <w:t>slices</w:t>
      </w:r>
    </w:p>
    <w:p>
      <w:pPr>
        <w:pStyle w:val="ListParagraph"/>
        <w:numPr>
          <w:ilvl w:val="0"/>
          <w:numId w:val="125"/>
        </w:numPr>
        <w:tabs>
          <w:tab w:pos="1329" w:val="left" w:leader="none"/>
          <w:tab w:pos="1330" w:val="left" w:leader="none"/>
        </w:tabs>
        <w:spacing w:line="240" w:lineRule="auto" w:before="239" w:after="0"/>
        <w:ind w:left="1329" w:right="0" w:hanging="355"/>
        <w:jc w:val="left"/>
        <w:rPr>
          <w:sz w:val="38"/>
        </w:rPr>
      </w:pPr>
      <w:r>
        <w:rPr>
          <w:sz w:val="38"/>
        </w:rPr>
        <w:t>4 tablespoons of low-fat</w:t>
      </w:r>
      <w:r>
        <w:rPr>
          <w:spacing w:val="-5"/>
          <w:sz w:val="38"/>
        </w:rPr>
        <w:t> </w:t>
      </w:r>
      <w:r>
        <w:rPr>
          <w:sz w:val="38"/>
        </w:rPr>
        <w:t>yoghurt</w:t>
      </w:r>
    </w:p>
    <w:p>
      <w:pPr>
        <w:pStyle w:val="ListParagraph"/>
        <w:numPr>
          <w:ilvl w:val="0"/>
          <w:numId w:val="125"/>
        </w:numPr>
        <w:tabs>
          <w:tab w:pos="1329" w:val="left" w:leader="none"/>
          <w:tab w:pos="1330" w:val="left" w:leader="none"/>
        </w:tabs>
        <w:spacing w:line="240" w:lineRule="auto" w:before="241" w:after="0"/>
        <w:ind w:left="1329" w:right="0" w:hanging="355"/>
        <w:jc w:val="left"/>
        <w:rPr>
          <w:sz w:val="38"/>
        </w:rPr>
      </w:pPr>
      <w:r>
        <w:rPr>
          <w:sz w:val="38"/>
        </w:rPr>
        <w:t>11/2 rice</w:t>
      </w:r>
      <w:r>
        <w:rPr>
          <w:spacing w:val="-2"/>
          <w:sz w:val="38"/>
        </w:rPr>
        <w:t> </w:t>
      </w:r>
      <w:r>
        <w:rPr>
          <w:sz w:val="38"/>
        </w:rPr>
        <w:t>vinegar</w:t>
      </w:r>
    </w:p>
    <w:p>
      <w:pPr>
        <w:pStyle w:val="ListParagraph"/>
        <w:numPr>
          <w:ilvl w:val="0"/>
          <w:numId w:val="125"/>
        </w:numPr>
        <w:tabs>
          <w:tab w:pos="1329" w:val="left" w:leader="none"/>
          <w:tab w:pos="1330" w:val="left" w:leader="none"/>
        </w:tabs>
        <w:spacing w:line="240" w:lineRule="auto" w:before="239" w:after="0"/>
        <w:ind w:left="1329" w:right="0" w:hanging="355"/>
        <w:jc w:val="left"/>
        <w:rPr>
          <w:sz w:val="38"/>
        </w:rPr>
      </w:pPr>
      <w:r>
        <w:rPr>
          <w:sz w:val="38"/>
        </w:rPr>
        <w:t>4 tablespoons of rye bread</w:t>
      </w:r>
      <w:r>
        <w:rPr>
          <w:spacing w:val="-5"/>
          <w:sz w:val="38"/>
        </w:rPr>
        <w:t> </w:t>
      </w:r>
      <w:r>
        <w:rPr>
          <w:sz w:val="38"/>
        </w:rPr>
        <w:t>cubes</w:t>
      </w:r>
    </w:p>
    <w:p>
      <w:pPr>
        <w:pStyle w:val="ListParagraph"/>
        <w:numPr>
          <w:ilvl w:val="0"/>
          <w:numId w:val="125"/>
        </w:numPr>
        <w:tabs>
          <w:tab w:pos="1329" w:val="left" w:leader="none"/>
          <w:tab w:pos="1330" w:val="left" w:leader="none"/>
        </w:tabs>
        <w:spacing w:line="240" w:lineRule="auto" w:before="241" w:after="0"/>
        <w:ind w:left="1329" w:right="0" w:hanging="355"/>
        <w:jc w:val="left"/>
        <w:rPr>
          <w:sz w:val="38"/>
        </w:rPr>
      </w:pPr>
      <w:r>
        <w:rPr>
          <w:sz w:val="38"/>
        </w:rPr>
        <w:t>1 tablespoon of vegetable</w:t>
      </w:r>
      <w:r>
        <w:rPr>
          <w:spacing w:val="-5"/>
          <w:sz w:val="38"/>
        </w:rPr>
        <w:t> </w:t>
      </w:r>
      <w:r>
        <w:rPr>
          <w:sz w:val="38"/>
        </w:rPr>
        <w:t>oil</w:t>
      </w:r>
    </w:p>
    <w:p>
      <w:pPr>
        <w:pStyle w:val="BodyText"/>
        <w:spacing w:line="276" w:lineRule="auto" w:before="238"/>
        <w:ind w:left="616" w:right="132"/>
        <w:jc w:val="both"/>
      </w:pPr>
      <w:r>
        <w:rPr/>
        <w:t>Preparation:</w:t>
      </w:r>
      <w:r>
        <w:rPr>
          <w:spacing w:val="-8"/>
        </w:rPr>
        <w:t> </w:t>
      </w:r>
      <w:r>
        <w:rPr/>
        <w:t>place</w:t>
      </w:r>
      <w:r>
        <w:rPr>
          <w:spacing w:val="-9"/>
        </w:rPr>
        <w:t> </w:t>
      </w:r>
      <w:r>
        <w:rPr/>
        <w:t>the</w:t>
      </w:r>
      <w:r>
        <w:rPr>
          <w:spacing w:val="-8"/>
        </w:rPr>
        <w:t> </w:t>
      </w:r>
      <w:r>
        <w:rPr/>
        <w:t>pollack</w:t>
      </w:r>
      <w:r>
        <w:rPr>
          <w:spacing w:val="-9"/>
        </w:rPr>
        <w:t> </w:t>
      </w:r>
      <w:r>
        <w:rPr/>
        <w:t>fillet</w:t>
      </w:r>
      <w:r>
        <w:rPr>
          <w:spacing w:val="-10"/>
        </w:rPr>
        <w:t> </w:t>
      </w:r>
      <w:r>
        <w:rPr/>
        <w:t>into</w:t>
      </w:r>
      <w:r>
        <w:rPr>
          <w:spacing w:val="-9"/>
        </w:rPr>
        <w:t> </w:t>
      </w:r>
      <w:r>
        <w:rPr/>
        <w:t>a</w:t>
      </w:r>
      <w:r>
        <w:rPr>
          <w:spacing w:val="-10"/>
        </w:rPr>
        <w:t> </w:t>
      </w:r>
      <w:r>
        <w:rPr/>
        <w:t>greased</w:t>
      </w:r>
      <w:r>
        <w:rPr>
          <w:spacing w:val="-8"/>
        </w:rPr>
        <w:t> </w:t>
      </w:r>
      <w:r>
        <w:rPr/>
        <w:t>oven</w:t>
      </w:r>
      <w:r>
        <w:rPr>
          <w:spacing w:val="-8"/>
        </w:rPr>
        <w:t> </w:t>
      </w:r>
      <w:r>
        <w:rPr/>
        <w:t>dish.</w:t>
      </w:r>
      <w:r>
        <w:rPr>
          <w:spacing w:val="-8"/>
        </w:rPr>
        <w:t> </w:t>
      </w:r>
      <w:r>
        <w:rPr/>
        <w:t>Melt</w:t>
      </w:r>
      <w:r>
        <w:rPr>
          <w:spacing w:val="-11"/>
        </w:rPr>
        <w:t> </w:t>
      </w:r>
      <w:r>
        <w:rPr/>
        <w:t>the</w:t>
      </w:r>
      <w:r>
        <w:rPr>
          <w:spacing w:val="-8"/>
        </w:rPr>
        <w:t> </w:t>
      </w:r>
      <w:r>
        <w:rPr/>
        <w:t>butter</w:t>
      </w:r>
      <w:r>
        <w:rPr>
          <w:spacing w:val="-9"/>
        </w:rPr>
        <w:t> </w:t>
      </w:r>
      <w:r>
        <w:rPr/>
        <w:t>in a pan over a medium heat and sweat the onions and the pepper for 5 minutes in</w:t>
      </w:r>
      <w:r>
        <w:rPr>
          <w:spacing w:val="-20"/>
        </w:rPr>
        <w:t> </w:t>
      </w:r>
      <w:r>
        <w:rPr/>
        <w:t>the</w:t>
      </w:r>
      <w:r>
        <w:rPr>
          <w:spacing w:val="-20"/>
        </w:rPr>
        <w:t> </w:t>
      </w:r>
      <w:r>
        <w:rPr/>
        <w:t>butter,</w:t>
      </w:r>
      <w:r>
        <w:rPr>
          <w:spacing w:val="-18"/>
        </w:rPr>
        <w:t> </w:t>
      </w:r>
      <w:r>
        <w:rPr/>
        <w:t>add</w:t>
      </w:r>
      <w:r>
        <w:rPr>
          <w:spacing w:val="-20"/>
        </w:rPr>
        <w:t> </w:t>
      </w:r>
      <w:r>
        <w:rPr/>
        <w:t>basil</w:t>
      </w:r>
      <w:r>
        <w:rPr>
          <w:spacing w:val="-21"/>
        </w:rPr>
        <w:t> </w:t>
      </w:r>
      <w:r>
        <w:rPr/>
        <w:t>and</w:t>
      </w:r>
      <w:r>
        <w:rPr>
          <w:spacing w:val="-19"/>
        </w:rPr>
        <w:t> </w:t>
      </w:r>
      <w:r>
        <w:rPr/>
        <w:t>pour</w:t>
      </w:r>
      <w:r>
        <w:rPr>
          <w:spacing w:val="-21"/>
        </w:rPr>
        <w:t> </w:t>
      </w:r>
      <w:r>
        <w:rPr/>
        <w:t>over</w:t>
      </w:r>
      <w:r>
        <w:rPr>
          <w:spacing w:val="-18"/>
        </w:rPr>
        <w:t> </w:t>
      </w:r>
      <w:r>
        <w:rPr/>
        <w:t>the</w:t>
      </w:r>
      <w:r>
        <w:rPr>
          <w:spacing w:val="-22"/>
        </w:rPr>
        <w:t> </w:t>
      </w:r>
      <w:r>
        <w:rPr/>
        <w:t>entire</w:t>
      </w:r>
      <w:r>
        <w:rPr>
          <w:spacing w:val="-18"/>
        </w:rPr>
        <w:t> </w:t>
      </w:r>
      <w:r>
        <w:rPr/>
        <w:t>fish.</w:t>
      </w:r>
      <w:r>
        <w:rPr>
          <w:spacing w:val="-18"/>
        </w:rPr>
        <w:t> </w:t>
      </w:r>
      <w:r>
        <w:rPr/>
        <w:t>Mix</w:t>
      </w:r>
      <w:r>
        <w:rPr>
          <w:spacing w:val="-22"/>
        </w:rPr>
        <w:t> </w:t>
      </w:r>
      <w:r>
        <w:rPr/>
        <w:t>oil,</w:t>
      </w:r>
      <w:r>
        <w:rPr>
          <w:spacing w:val="-19"/>
        </w:rPr>
        <w:t> </w:t>
      </w:r>
      <w:r>
        <w:rPr/>
        <w:t>stevia</w:t>
      </w:r>
      <w:r>
        <w:rPr>
          <w:spacing w:val="-20"/>
        </w:rPr>
        <w:t> </w:t>
      </w:r>
      <w:r>
        <w:rPr/>
        <w:t>and</w:t>
      </w:r>
      <w:r>
        <w:rPr>
          <w:spacing w:val="-19"/>
        </w:rPr>
        <w:t> </w:t>
      </w:r>
      <w:r>
        <w:rPr/>
        <w:t>yoghurt and pour over evenly. Briefly sweat the garlic and oil, add bread cubes and</w:t>
      </w:r>
      <w:r>
        <w:rPr>
          <w:spacing w:val="-61"/>
        </w:rPr>
        <w:t> </w:t>
      </w:r>
      <w:r>
        <w:rPr/>
        <w:t>stir</w:t>
      </w:r>
    </w:p>
    <w:p>
      <w:pPr>
        <w:spacing w:after="0" w:line="276" w:lineRule="auto"/>
        <w:jc w:val="both"/>
        <w:sectPr>
          <w:pgSz w:w="14270" w:h="16850"/>
          <w:pgMar w:header="0" w:footer="1891" w:top="1340" w:bottom="2080" w:left="800" w:right="1280"/>
        </w:sectPr>
      </w:pPr>
    </w:p>
    <w:p>
      <w:pPr>
        <w:pStyle w:val="BodyText"/>
        <w:spacing w:line="276" w:lineRule="auto" w:before="72"/>
        <w:ind w:left="616"/>
      </w:pPr>
      <w:r>
        <w:rPr/>
        <w:t>while frying; add on top of the fish and leave to braise in a pre-heated oven at 175 °C for approx. 30-35 minutes.</w:t>
      </w:r>
    </w:p>
    <w:p>
      <w:pPr>
        <w:pStyle w:val="BodyText"/>
        <w:spacing w:before="241"/>
        <w:ind w:left="616"/>
      </w:pPr>
      <w:r>
        <w:rPr/>
        <w:t>STEVIA PRESS REVIEWS</w:t>
      </w:r>
    </w:p>
    <w:p>
      <w:pPr>
        <w:pStyle w:val="BodyText"/>
        <w:spacing w:before="304"/>
        <w:ind w:left="616"/>
      </w:pPr>
      <w:r>
        <w:rPr>
          <w:b/>
        </w:rPr>
        <w:t>'BIO' </w:t>
      </w:r>
      <w:r>
        <w:rPr/>
        <w:t>(published September 1999)</w:t>
      </w:r>
    </w:p>
    <w:p>
      <w:pPr>
        <w:spacing w:before="305"/>
        <w:ind w:left="616" w:right="0" w:firstLine="0"/>
        <w:jc w:val="left"/>
        <w:rPr>
          <w:i/>
          <w:sz w:val="38"/>
        </w:rPr>
      </w:pPr>
      <w:r>
        <w:rPr>
          <w:i/>
          <w:sz w:val="38"/>
        </w:rPr>
        <w:t>All-clear for stevia</w:t>
      </w:r>
    </w:p>
    <w:p>
      <w:pPr>
        <w:spacing w:line="276" w:lineRule="auto" w:before="305"/>
        <w:ind w:left="616" w:right="0" w:firstLine="0"/>
        <w:jc w:val="left"/>
        <w:rPr>
          <w:i/>
          <w:sz w:val="38"/>
        </w:rPr>
      </w:pPr>
      <w:r>
        <w:rPr>
          <w:i/>
          <w:sz w:val="38"/>
        </w:rPr>
        <w:t>It was widely believed that the natural sweetener stevia (see report in BIO June 1999) was </w:t>
      </w:r>
      <w:r>
        <w:rPr>
          <w:i/>
          <w:sz w:val="38"/>
        </w:rPr>
        <w:t>carcinogenic. Here is the author's position</w:t>
      </w:r>
    </w:p>
    <w:p>
      <w:pPr>
        <w:spacing w:line="276" w:lineRule="auto" w:before="238"/>
        <w:ind w:left="616" w:right="137" w:firstLine="0"/>
        <w:jc w:val="both"/>
        <w:rPr>
          <w:i/>
          <w:sz w:val="38"/>
        </w:rPr>
      </w:pPr>
      <w:r>
        <w:rPr>
          <w:i/>
          <w:sz w:val="38"/>
        </w:rPr>
        <w:t>Friedrich Reuss, certified chemist and publicly sworn-in expert, describes the following in his </w:t>
      </w:r>
      <w:r>
        <w:rPr>
          <w:i/>
          <w:sz w:val="38"/>
        </w:rPr>
        <w:t>report:</w:t>
      </w:r>
      <w:r>
        <w:rPr>
          <w:i/>
          <w:spacing w:val="-11"/>
          <w:sz w:val="38"/>
        </w:rPr>
        <w:t> </w:t>
      </w:r>
      <w:r>
        <w:rPr>
          <w:i/>
          <w:sz w:val="38"/>
        </w:rPr>
        <w:t>'Rumours</w:t>
      </w:r>
      <w:r>
        <w:rPr>
          <w:i/>
          <w:spacing w:val="-12"/>
          <w:sz w:val="38"/>
        </w:rPr>
        <w:t> </w:t>
      </w:r>
      <w:r>
        <w:rPr>
          <w:i/>
          <w:sz w:val="38"/>
        </w:rPr>
        <w:t>about</w:t>
      </w:r>
      <w:r>
        <w:rPr>
          <w:i/>
          <w:spacing w:val="-11"/>
          <w:sz w:val="38"/>
        </w:rPr>
        <w:t> </w:t>
      </w:r>
      <w:r>
        <w:rPr>
          <w:i/>
          <w:sz w:val="38"/>
        </w:rPr>
        <w:t>the</w:t>
      </w:r>
      <w:r>
        <w:rPr>
          <w:i/>
          <w:spacing w:val="-12"/>
          <w:sz w:val="38"/>
        </w:rPr>
        <w:t> </w:t>
      </w:r>
      <w:r>
        <w:rPr>
          <w:i/>
          <w:sz w:val="38"/>
        </w:rPr>
        <w:t>alleged</w:t>
      </w:r>
      <w:r>
        <w:rPr>
          <w:i/>
          <w:spacing w:val="-12"/>
          <w:sz w:val="38"/>
        </w:rPr>
        <w:t> </w:t>
      </w:r>
      <w:r>
        <w:rPr>
          <w:i/>
          <w:sz w:val="38"/>
        </w:rPr>
        <w:t>cancer</w:t>
      </w:r>
      <w:r>
        <w:rPr>
          <w:i/>
          <w:spacing w:val="-12"/>
          <w:sz w:val="38"/>
        </w:rPr>
        <w:t> </w:t>
      </w:r>
      <w:r>
        <w:rPr>
          <w:i/>
          <w:sz w:val="38"/>
        </w:rPr>
        <w:t>risk</w:t>
      </w:r>
      <w:r>
        <w:rPr>
          <w:i/>
          <w:spacing w:val="-13"/>
          <w:sz w:val="38"/>
        </w:rPr>
        <w:t> </w:t>
      </w:r>
      <w:r>
        <w:rPr>
          <w:i/>
          <w:sz w:val="38"/>
        </w:rPr>
        <w:t>in</w:t>
      </w:r>
      <w:r>
        <w:rPr>
          <w:i/>
          <w:spacing w:val="-11"/>
          <w:sz w:val="38"/>
        </w:rPr>
        <w:t> </w:t>
      </w:r>
      <w:r>
        <w:rPr>
          <w:i/>
          <w:sz w:val="38"/>
        </w:rPr>
        <w:t>the</w:t>
      </w:r>
      <w:r>
        <w:rPr>
          <w:i/>
          <w:spacing w:val="-11"/>
          <w:sz w:val="38"/>
        </w:rPr>
        <w:t> </w:t>
      </w:r>
      <w:r>
        <w:rPr>
          <w:i/>
          <w:sz w:val="38"/>
        </w:rPr>
        <w:t>use</w:t>
      </w:r>
      <w:r>
        <w:rPr>
          <w:i/>
          <w:spacing w:val="-12"/>
          <w:sz w:val="38"/>
        </w:rPr>
        <w:t> </w:t>
      </w:r>
      <w:r>
        <w:rPr>
          <w:i/>
          <w:sz w:val="38"/>
        </w:rPr>
        <w:t>of</w:t>
      </w:r>
      <w:r>
        <w:rPr>
          <w:i/>
          <w:spacing w:val="-11"/>
          <w:sz w:val="38"/>
        </w:rPr>
        <w:t> </w:t>
      </w:r>
      <w:r>
        <w:rPr>
          <w:i/>
          <w:sz w:val="38"/>
        </w:rPr>
        <w:t>stevia</w:t>
      </w:r>
      <w:r>
        <w:rPr>
          <w:i/>
          <w:spacing w:val="-13"/>
          <w:sz w:val="38"/>
        </w:rPr>
        <w:t> </w:t>
      </w:r>
      <w:r>
        <w:rPr>
          <w:i/>
          <w:sz w:val="38"/>
        </w:rPr>
        <w:t>are</w:t>
      </w:r>
      <w:r>
        <w:rPr>
          <w:i/>
          <w:spacing w:val="-11"/>
          <w:sz w:val="38"/>
        </w:rPr>
        <w:t> </w:t>
      </w:r>
      <w:r>
        <w:rPr>
          <w:i/>
          <w:sz w:val="38"/>
        </w:rPr>
        <w:t>completely</w:t>
      </w:r>
      <w:r>
        <w:rPr>
          <w:i/>
          <w:spacing w:val="-10"/>
          <w:sz w:val="38"/>
        </w:rPr>
        <w:t> </w:t>
      </w:r>
      <w:r>
        <w:rPr>
          <w:i/>
          <w:sz w:val="38"/>
        </w:rPr>
        <w:t>bereft</w:t>
      </w:r>
      <w:r>
        <w:rPr>
          <w:i/>
          <w:spacing w:val="-11"/>
          <w:sz w:val="38"/>
        </w:rPr>
        <w:t> </w:t>
      </w:r>
      <w:r>
        <w:rPr>
          <w:i/>
          <w:sz w:val="38"/>
        </w:rPr>
        <w:t>of</w:t>
      </w:r>
      <w:r>
        <w:rPr>
          <w:i/>
          <w:spacing w:val="-11"/>
          <w:sz w:val="38"/>
        </w:rPr>
        <w:t> </w:t>
      </w:r>
      <w:r>
        <w:rPr>
          <w:i/>
          <w:sz w:val="38"/>
        </w:rPr>
        <w:t>any scientific basis. Due to its antioxidative contents, it can be assumed that stevia tea even has a protective effect against</w:t>
      </w:r>
      <w:r>
        <w:rPr>
          <w:i/>
          <w:spacing w:val="1"/>
          <w:sz w:val="38"/>
        </w:rPr>
        <w:t> </w:t>
      </w:r>
      <w:r>
        <w:rPr>
          <w:i/>
          <w:sz w:val="38"/>
        </w:rPr>
        <w:t>cancer.</w:t>
      </w:r>
    </w:p>
    <w:p>
      <w:pPr>
        <w:spacing w:line="276" w:lineRule="auto" w:before="242"/>
        <w:ind w:left="616" w:right="134" w:firstLine="0"/>
        <w:jc w:val="left"/>
        <w:rPr>
          <w:i/>
          <w:sz w:val="38"/>
        </w:rPr>
      </w:pPr>
      <w:r>
        <w:rPr>
          <w:i/>
          <w:sz w:val="38"/>
        </w:rPr>
        <w:t>The World Health Organization is currently making a concerted effort to recommend stevia </w:t>
      </w:r>
      <w:r>
        <w:rPr>
          <w:i/>
          <w:sz w:val="38"/>
        </w:rPr>
        <w:t>as a sweetener worthy of promotion.'</w:t>
      </w:r>
    </w:p>
    <w:p>
      <w:pPr>
        <w:spacing w:line="276" w:lineRule="auto" w:before="238"/>
        <w:ind w:left="616" w:right="135" w:firstLine="0"/>
        <w:jc w:val="both"/>
        <w:rPr>
          <w:i/>
          <w:sz w:val="38"/>
        </w:rPr>
      </w:pPr>
      <w:r>
        <w:rPr>
          <w:i/>
          <w:sz w:val="38"/>
        </w:rPr>
        <w:t>Due</w:t>
      </w:r>
      <w:r>
        <w:rPr>
          <w:i/>
          <w:spacing w:val="-7"/>
          <w:sz w:val="38"/>
        </w:rPr>
        <w:t> </w:t>
      </w:r>
      <w:r>
        <w:rPr>
          <w:i/>
          <w:sz w:val="38"/>
        </w:rPr>
        <w:t>to</w:t>
      </w:r>
      <w:r>
        <w:rPr>
          <w:i/>
          <w:spacing w:val="-6"/>
          <w:sz w:val="38"/>
        </w:rPr>
        <w:t> </w:t>
      </w:r>
      <w:r>
        <w:rPr>
          <w:i/>
          <w:sz w:val="38"/>
        </w:rPr>
        <w:t>the</w:t>
      </w:r>
      <w:r>
        <w:rPr>
          <w:i/>
          <w:spacing w:val="-7"/>
          <w:sz w:val="38"/>
        </w:rPr>
        <w:t> </w:t>
      </w:r>
      <w:r>
        <w:rPr>
          <w:i/>
          <w:sz w:val="38"/>
        </w:rPr>
        <w:t>scientific</w:t>
      </w:r>
      <w:r>
        <w:rPr>
          <w:i/>
          <w:spacing w:val="-8"/>
          <w:sz w:val="38"/>
        </w:rPr>
        <w:t> </w:t>
      </w:r>
      <w:r>
        <w:rPr>
          <w:i/>
          <w:sz w:val="38"/>
        </w:rPr>
        <w:t>interests</w:t>
      </w:r>
      <w:r>
        <w:rPr>
          <w:i/>
          <w:spacing w:val="-5"/>
          <w:sz w:val="38"/>
        </w:rPr>
        <w:t> </w:t>
      </w:r>
      <w:r>
        <w:rPr>
          <w:i/>
          <w:sz w:val="38"/>
        </w:rPr>
        <w:t>of</w:t>
      </w:r>
      <w:r>
        <w:rPr>
          <w:i/>
          <w:spacing w:val="-6"/>
          <w:sz w:val="38"/>
        </w:rPr>
        <w:t> </w:t>
      </w:r>
      <w:r>
        <w:rPr>
          <w:i/>
          <w:sz w:val="38"/>
        </w:rPr>
        <w:t>the</w:t>
      </w:r>
      <w:r>
        <w:rPr>
          <w:i/>
          <w:spacing w:val="-6"/>
          <w:sz w:val="38"/>
        </w:rPr>
        <w:t> </w:t>
      </w:r>
      <w:r>
        <w:rPr>
          <w:i/>
          <w:sz w:val="38"/>
        </w:rPr>
        <w:t>sweetener</w:t>
      </w:r>
      <w:r>
        <w:rPr>
          <w:i/>
          <w:spacing w:val="-6"/>
          <w:sz w:val="38"/>
        </w:rPr>
        <w:t> </w:t>
      </w:r>
      <w:r>
        <w:rPr>
          <w:i/>
          <w:sz w:val="38"/>
        </w:rPr>
        <w:t>industry,</w:t>
      </w:r>
      <w:r>
        <w:rPr>
          <w:i/>
          <w:spacing w:val="-6"/>
          <w:sz w:val="38"/>
        </w:rPr>
        <w:t> </w:t>
      </w:r>
      <w:r>
        <w:rPr>
          <w:i/>
          <w:sz w:val="38"/>
        </w:rPr>
        <w:t>stevia</w:t>
      </w:r>
      <w:r>
        <w:rPr>
          <w:i/>
          <w:spacing w:val="-7"/>
          <w:sz w:val="38"/>
        </w:rPr>
        <w:t> </w:t>
      </w:r>
      <w:r>
        <w:rPr>
          <w:i/>
          <w:sz w:val="38"/>
        </w:rPr>
        <w:t>powder</w:t>
      </w:r>
      <w:r>
        <w:rPr>
          <w:i/>
          <w:spacing w:val="-6"/>
          <w:sz w:val="38"/>
        </w:rPr>
        <w:t> </w:t>
      </w:r>
      <w:r>
        <w:rPr>
          <w:i/>
          <w:sz w:val="38"/>
        </w:rPr>
        <w:t>extract</w:t>
      </w:r>
      <w:r>
        <w:rPr>
          <w:i/>
          <w:spacing w:val="-6"/>
          <w:sz w:val="38"/>
        </w:rPr>
        <w:t> </w:t>
      </w:r>
      <w:r>
        <w:rPr>
          <w:i/>
          <w:sz w:val="38"/>
        </w:rPr>
        <w:t>is</w:t>
      </w:r>
      <w:r>
        <w:rPr>
          <w:i/>
          <w:spacing w:val="-7"/>
          <w:sz w:val="38"/>
        </w:rPr>
        <w:t> </w:t>
      </w:r>
      <w:r>
        <w:rPr>
          <w:i/>
          <w:sz w:val="38"/>
        </w:rPr>
        <w:t>unfortunately </w:t>
      </w:r>
      <w:r>
        <w:rPr>
          <w:i/>
          <w:sz w:val="38"/>
        </w:rPr>
        <w:t>only sold with the label 'animal food supplement'. Do not be afraid of this enforced declara- tion.</w:t>
      </w:r>
    </w:p>
    <w:p>
      <w:pPr>
        <w:spacing w:line="400" w:lineRule="auto" w:before="241"/>
        <w:ind w:left="616" w:right="4972" w:firstLine="0"/>
        <w:jc w:val="left"/>
        <w:rPr>
          <w:i/>
          <w:sz w:val="38"/>
        </w:rPr>
      </w:pPr>
      <w:r>
        <w:rPr>
          <w:sz w:val="38"/>
        </w:rPr>
        <w:t>Barbara Simonsohn, 22607 HAMBURG </w:t>
      </w:r>
      <w:r>
        <w:rPr>
          <w:b/>
          <w:i/>
          <w:sz w:val="40"/>
        </w:rPr>
        <w:t>Diabetiker</w:t>
      </w:r>
      <w:r>
        <w:rPr>
          <w:b/>
          <w:i/>
          <w:spacing w:val="-49"/>
          <w:sz w:val="40"/>
        </w:rPr>
        <w:t> </w:t>
      </w:r>
      <w:r>
        <w:rPr>
          <w:b/>
          <w:i/>
          <w:sz w:val="40"/>
        </w:rPr>
        <w:t>Ratgeber</w:t>
      </w:r>
      <w:r>
        <w:rPr>
          <w:b/>
          <w:i/>
          <w:spacing w:val="-48"/>
          <w:sz w:val="40"/>
        </w:rPr>
        <w:t> </w:t>
      </w:r>
      <w:r>
        <w:rPr>
          <w:sz w:val="38"/>
        </w:rPr>
        <w:t>(published</w:t>
      </w:r>
      <w:r>
        <w:rPr>
          <w:spacing w:val="-43"/>
          <w:sz w:val="38"/>
        </w:rPr>
        <w:t> </w:t>
      </w:r>
      <w:r>
        <w:rPr>
          <w:sz w:val="38"/>
        </w:rPr>
        <w:t>June</w:t>
      </w:r>
      <w:r>
        <w:rPr>
          <w:spacing w:val="-42"/>
          <w:sz w:val="38"/>
        </w:rPr>
        <w:t> </w:t>
      </w:r>
      <w:r>
        <w:rPr>
          <w:sz w:val="38"/>
        </w:rPr>
        <w:t>1999) </w:t>
      </w:r>
      <w:r>
        <w:rPr>
          <w:i/>
          <w:sz w:val="38"/>
        </w:rPr>
        <w:t>Natural sweetener: Are you familiar with</w:t>
      </w:r>
      <w:r>
        <w:rPr>
          <w:i/>
          <w:spacing w:val="-11"/>
          <w:sz w:val="38"/>
        </w:rPr>
        <w:t> </w:t>
      </w:r>
      <w:r>
        <w:rPr>
          <w:i/>
          <w:sz w:val="38"/>
        </w:rPr>
        <w:t>stevia?</w:t>
      </w:r>
    </w:p>
    <w:p>
      <w:pPr>
        <w:spacing w:after="0" w:line="400" w:lineRule="auto"/>
        <w:jc w:val="left"/>
        <w:rPr>
          <w:sz w:val="38"/>
        </w:rPr>
        <w:sectPr>
          <w:footerReference w:type="default" r:id="rId378"/>
          <w:pgSz w:w="14270" w:h="16850"/>
          <w:pgMar w:footer="1891" w:header="0" w:top="1340" w:bottom="2080" w:left="800" w:right="1280"/>
          <w:pgNumType w:start="1610"/>
        </w:sectPr>
      </w:pPr>
    </w:p>
    <w:p>
      <w:pPr>
        <w:spacing w:line="276" w:lineRule="auto" w:before="72"/>
        <w:ind w:left="616" w:right="136" w:firstLine="0"/>
        <w:jc w:val="both"/>
        <w:rPr>
          <w:i/>
          <w:sz w:val="38"/>
        </w:rPr>
      </w:pPr>
      <w:r>
        <w:rPr>
          <w:i/>
          <w:sz w:val="38"/>
        </w:rPr>
        <w:t>Better</w:t>
      </w:r>
      <w:r>
        <w:rPr>
          <w:i/>
          <w:spacing w:val="-19"/>
          <w:sz w:val="38"/>
        </w:rPr>
        <w:t> </w:t>
      </w:r>
      <w:r>
        <w:rPr>
          <w:i/>
          <w:sz w:val="38"/>
        </w:rPr>
        <w:t>known</w:t>
      </w:r>
      <w:r>
        <w:rPr>
          <w:i/>
          <w:spacing w:val="-17"/>
          <w:sz w:val="38"/>
        </w:rPr>
        <w:t> </w:t>
      </w:r>
      <w:r>
        <w:rPr>
          <w:i/>
          <w:sz w:val="38"/>
        </w:rPr>
        <w:t>as</w:t>
      </w:r>
      <w:r>
        <w:rPr>
          <w:i/>
          <w:spacing w:val="-21"/>
          <w:sz w:val="38"/>
        </w:rPr>
        <w:t> </w:t>
      </w:r>
      <w:r>
        <w:rPr>
          <w:sz w:val="38"/>
        </w:rPr>
        <w:t>Stevia</w:t>
      </w:r>
      <w:r>
        <w:rPr>
          <w:spacing w:val="-20"/>
          <w:sz w:val="38"/>
        </w:rPr>
        <w:t> </w:t>
      </w:r>
      <w:r>
        <w:rPr>
          <w:sz w:val="38"/>
        </w:rPr>
        <w:t>rebaudiana</w:t>
      </w:r>
      <w:r>
        <w:rPr>
          <w:spacing w:val="-16"/>
          <w:sz w:val="38"/>
        </w:rPr>
        <w:t> </w:t>
      </w:r>
      <w:r>
        <w:rPr>
          <w:i/>
          <w:sz w:val="38"/>
        </w:rPr>
        <w:t>under</w:t>
      </w:r>
      <w:r>
        <w:rPr>
          <w:i/>
          <w:spacing w:val="-19"/>
          <w:sz w:val="38"/>
        </w:rPr>
        <w:t> </w:t>
      </w:r>
      <w:r>
        <w:rPr>
          <w:i/>
          <w:sz w:val="38"/>
        </w:rPr>
        <w:t>the</w:t>
      </w:r>
      <w:r>
        <w:rPr>
          <w:i/>
          <w:spacing w:val="-19"/>
          <w:sz w:val="38"/>
        </w:rPr>
        <w:t> </w:t>
      </w:r>
      <w:r>
        <w:rPr>
          <w:i/>
          <w:sz w:val="38"/>
        </w:rPr>
        <w:t>designation</w:t>
      </w:r>
      <w:r>
        <w:rPr>
          <w:i/>
          <w:spacing w:val="-19"/>
          <w:sz w:val="38"/>
        </w:rPr>
        <w:t> </w:t>
      </w:r>
      <w:r>
        <w:rPr>
          <w:i/>
          <w:sz w:val="38"/>
        </w:rPr>
        <w:t>sweet</w:t>
      </w:r>
      <w:r>
        <w:rPr>
          <w:i/>
          <w:spacing w:val="-18"/>
          <w:sz w:val="38"/>
        </w:rPr>
        <w:t> </w:t>
      </w:r>
      <w:r>
        <w:rPr>
          <w:i/>
          <w:sz w:val="38"/>
        </w:rPr>
        <w:t>herb</w:t>
      </w:r>
      <w:r>
        <w:rPr>
          <w:sz w:val="38"/>
        </w:rPr>
        <w:t>.</w:t>
      </w:r>
      <w:r>
        <w:rPr>
          <w:spacing w:val="-18"/>
          <w:sz w:val="38"/>
        </w:rPr>
        <w:t> </w:t>
      </w:r>
      <w:r>
        <w:rPr>
          <w:i/>
          <w:sz w:val="38"/>
        </w:rPr>
        <w:t>This</w:t>
      </w:r>
      <w:r>
        <w:rPr>
          <w:i/>
          <w:spacing w:val="-20"/>
          <w:sz w:val="38"/>
        </w:rPr>
        <w:t> </w:t>
      </w:r>
      <w:r>
        <w:rPr>
          <w:i/>
          <w:sz w:val="38"/>
        </w:rPr>
        <w:t>is</w:t>
      </w:r>
      <w:r>
        <w:rPr>
          <w:i/>
          <w:spacing w:val="-21"/>
          <w:sz w:val="38"/>
        </w:rPr>
        <w:t> </w:t>
      </w:r>
      <w:r>
        <w:rPr>
          <w:i/>
          <w:sz w:val="38"/>
        </w:rPr>
        <w:t>a</w:t>
      </w:r>
      <w:r>
        <w:rPr>
          <w:i/>
          <w:spacing w:val="-20"/>
          <w:sz w:val="38"/>
        </w:rPr>
        <w:t> </w:t>
      </w:r>
      <w:r>
        <w:rPr>
          <w:i/>
          <w:sz w:val="38"/>
        </w:rPr>
        <w:t>plant</w:t>
      </w:r>
      <w:r>
        <w:rPr>
          <w:i/>
          <w:spacing w:val="-18"/>
          <w:sz w:val="38"/>
        </w:rPr>
        <w:t> </w:t>
      </w:r>
      <w:r>
        <w:rPr>
          <w:i/>
          <w:sz w:val="38"/>
        </w:rPr>
        <w:t>which </w:t>
      </w:r>
      <w:r>
        <w:rPr>
          <w:i/>
          <w:sz w:val="38"/>
        </w:rPr>
        <w:t>originates</w:t>
      </w:r>
      <w:r>
        <w:rPr>
          <w:i/>
          <w:spacing w:val="-12"/>
          <w:sz w:val="38"/>
        </w:rPr>
        <w:t> </w:t>
      </w:r>
      <w:r>
        <w:rPr>
          <w:i/>
          <w:sz w:val="38"/>
        </w:rPr>
        <w:t>in</w:t>
      </w:r>
      <w:r>
        <w:rPr>
          <w:i/>
          <w:spacing w:val="-11"/>
          <w:sz w:val="38"/>
        </w:rPr>
        <w:t> </w:t>
      </w:r>
      <w:r>
        <w:rPr>
          <w:i/>
          <w:sz w:val="38"/>
        </w:rPr>
        <w:t>Paraguay</w:t>
      </w:r>
      <w:r>
        <w:rPr>
          <w:i/>
          <w:spacing w:val="-12"/>
          <w:sz w:val="38"/>
        </w:rPr>
        <w:t> </w:t>
      </w:r>
      <w:r>
        <w:rPr>
          <w:i/>
          <w:sz w:val="38"/>
        </w:rPr>
        <w:t>where</w:t>
      </w:r>
      <w:r>
        <w:rPr>
          <w:i/>
          <w:spacing w:val="-12"/>
          <w:sz w:val="38"/>
        </w:rPr>
        <w:t> </w:t>
      </w:r>
      <w:r>
        <w:rPr>
          <w:i/>
          <w:sz w:val="38"/>
        </w:rPr>
        <w:t>it</w:t>
      </w:r>
      <w:r>
        <w:rPr>
          <w:i/>
          <w:spacing w:val="-11"/>
          <w:sz w:val="38"/>
        </w:rPr>
        <w:t> </w:t>
      </w:r>
      <w:r>
        <w:rPr>
          <w:i/>
          <w:sz w:val="38"/>
        </w:rPr>
        <w:t>is</w:t>
      </w:r>
      <w:r>
        <w:rPr>
          <w:i/>
          <w:spacing w:val="-15"/>
          <w:sz w:val="38"/>
        </w:rPr>
        <w:t> </w:t>
      </w:r>
      <w:r>
        <w:rPr>
          <w:i/>
          <w:sz w:val="38"/>
        </w:rPr>
        <w:t>known</w:t>
      </w:r>
      <w:r>
        <w:rPr>
          <w:i/>
          <w:spacing w:val="-11"/>
          <w:sz w:val="38"/>
        </w:rPr>
        <w:t> </w:t>
      </w:r>
      <w:r>
        <w:rPr>
          <w:i/>
          <w:sz w:val="38"/>
        </w:rPr>
        <w:t>under</w:t>
      </w:r>
      <w:r>
        <w:rPr>
          <w:i/>
          <w:spacing w:val="-13"/>
          <w:sz w:val="38"/>
        </w:rPr>
        <w:t> </w:t>
      </w:r>
      <w:r>
        <w:rPr>
          <w:i/>
          <w:sz w:val="38"/>
        </w:rPr>
        <w:t>the</w:t>
      </w:r>
      <w:r>
        <w:rPr>
          <w:i/>
          <w:spacing w:val="-14"/>
          <w:sz w:val="38"/>
        </w:rPr>
        <w:t> </w:t>
      </w:r>
      <w:r>
        <w:rPr>
          <w:i/>
          <w:sz w:val="38"/>
        </w:rPr>
        <w:t>name</w:t>
      </w:r>
      <w:r>
        <w:rPr>
          <w:i/>
          <w:spacing w:val="-15"/>
          <w:sz w:val="38"/>
        </w:rPr>
        <w:t> </w:t>
      </w:r>
      <w:r>
        <w:rPr>
          <w:i/>
          <w:sz w:val="38"/>
        </w:rPr>
        <w:t>ka'a</w:t>
      </w:r>
      <w:r>
        <w:rPr>
          <w:i/>
          <w:spacing w:val="-13"/>
          <w:sz w:val="38"/>
        </w:rPr>
        <w:t> </w:t>
      </w:r>
      <w:r>
        <w:rPr>
          <w:i/>
          <w:sz w:val="38"/>
        </w:rPr>
        <w:t>he'e'</w:t>
      </w:r>
      <w:r>
        <w:rPr>
          <w:i/>
          <w:spacing w:val="-11"/>
          <w:sz w:val="38"/>
        </w:rPr>
        <w:t> </w:t>
      </w:r>
      <w:r>
        <w:rPr>
          <w:i/>
          <w:sz w:val="38"/>
        </w:rPr>
        <w:t>and</w:t>
      </w:r>
      <w:r>
        <w:rPr>
          <w:i/>
          <w:spacing w:val="-14"/>
          <w:sz w:val="38"/>
        </w:rPr>
        <w:t> </w:t>
      </w:r>
      <w:r>
        <w:rPr>
          <w:i/>
          <w:sz w:val="38"/>
        </w:rPr>
        <w:t>used</w:t>
      </w:r>
      <w:r>
        <w:rPr>
          <w:i/>
          <w:spacing w:val="-12"/>
          <w:sz w:val="38"/>
        </w:rPr>
        <w:t> </w:t>
      </w:r>
      <w:r>
        <w:rPr>
          <w:i/>
          <w:sz w:val="38"/>
        </w:rPr>
        <w:t>to</w:t>
      </w:r>
      <w:r>
        <w:rPr>
          <w:i/>
          <w:spacing w:val="-14"/>
          <w:sz w:val="38"/>
        </w:rPr>
        <w:t> </w:t>
      </w:r>
      <w:r>
        <w:rPr>
          <w:i/>
          <w:sz w:val="38"/>
        </w:rPr>
        <w:t>sweeten</w:t>
      </w:r>
      <w:r>
        <w:rPr>
          <w:i/>
          <w:spacing w:val="-13"/>
          <w:sz w:val="38"/>
        </w:rPr>
        <w:t> </w:t>
      </w:r>
      <w:r>
        <w:rPr>
          <w:i/>
          <w:sz w:val="38"/>
        </w:rPr>
        <w:t>food and</w:t>
      </w:r>
      <w:r>
        <w:rPr>
          <w:i/>
          <w:spacing w:val="-19"/>
          <w:sz w:val="38"/>
        </w:rPr>
        <w:t> </w:t>
      </w:r>
      <w:r>
        <w:rPr>
          <w:i/>
          <w:sz w:val="38"/>
        </w:rPr>
        <w:t>beverages.</w:t>
      </w:r>
      <w:r>
        <w:rPr>
          <w:i/>
          <w:spacing w:val="-19"/>
          <w:sz w:val="38"/>
        </w:rPr>
        <w:t> </w:t>
      </w:r>
      <w:r>
        <w:rPr>
          <w:i/>
          <w:sz w:val="38"/>
        </w:rPr>
        <w:t>Its</w:t>
      </w:r>
      <w:r>
        <w:rPr>
          <w:i/>
          <w:spacing w:val="-18"/>
          <w:sz w:val="38"/>
        </w:rPr>
        <w:t> </w:t>
      </w:r>
      <w:r>
        <w:rPr>
          <w:i/>
          <w:sz w:val="38"/>
        </w:rPr>
        <w:t>leaves</w:t>
      </w:r>
      <w:r>
        <w:rPr>
          <w:i/>
          <w:spacing w:val="-20"/>
          <w:sz w:val="38"/>
        </w:rPr>
        <w:t> </w:t>
      </w:r>
      <w:r>
        <w:rPr>
          <w:i/>
          <w:sz w:val="38"/>
        </w:rPr>
        <w:t>contain</w:t>
      </w:r>
      <w:r>
        <w:rPr>
          <w:i/>
          <w:spacing w:val="-19"/>
          <w:sz w:val="38"/>
        </w:rPr>
        <w:t> </w:t>
      </w:r>
      <w:r>
        <w:rPr>
          <w:i/>
          <w:sz w:val="38"/>
        </w:rPr>
        <w:t>different</w:t>
      </w:r>
      <w:r>
        <w:rPr>
          <w:i/>
          <w:spacing w:val="-18"/>
          <w:sz w:val="38"/>
        </w:rPr>
        <w:t> </w:t>
      </w:r>
      <w:r>
        <w:rPr>
          <w:i/>
          <w:sz w:val="38"/>
        </w:rPr>
        <w:t>terpene</w:t>
      </w:r>
      <w:r>
        <w:rPr>
          <w:i/>
          <w:spacing w:val="-18"/>
          <w:sz w:val="38"/>
        </w:rPr>
        <w:t> </w:t>
      </w:r>
      <w:r>
        <w:rPr>
          <w:i/>
          <w:sz w:val="38"/>
        </w:rPr>
        <w:t>compounds</w:t>
      </w:r>
      <w:r>
        <w:rPr>
          <w:i/>
          <w:spacing w:val="-20"/>
          <w:sz w:val="38"/>
        </w:rPr>
        <w:t> </w:t>
      </w:r>
      <w:r>
        <w:rPr>
          <w:i/>
          <w:sz w:val="38"/>
        </w:rPr>
        <w:t>such</w:t>
      </w:r>
      <w:r>
        <w:rPr>
          <w:i/>
          <w:spacing w:val="-18"/>
          <w:sz w:val="38"/>
        </w:rPr>
        <w:t> </w:t>
      </w:r>
      <w:r>
        <w:rPr>
          <w:i/>
          <w:sz w:val="38"/>
        </w:rPr>
        <w:t>as</w:t>
      </w:r>
      <w:r>
        <w:rPr>
          <w:i/>
          <w:spacing w:val="-20"/>
          <w:sz w:val="38"/>
        </w:rPr>
        <w:t> </w:t>
      </w:r>
      <w:r>
        <w:rPr>
          <w:i/>
          <w:sz w:val="38"/>
        </w:rPr>
        <w:t>stevioside,</w:t>
      </w:r>
      <w:r>
        <w:rPr>
          <w:i/>
          <w:spacing w:val="-18"/>
          <w:sz w:val="38"/>
        </w:rPr>
        <w:t> </w:t>
      </w:r>
      <w:r>
        <w:rPr>
          <w:i/>
          <w:sz w:val="38"/>
        </w:rPr>
        <w:t>which</w:t>
      </w:r>
      <w:r>
        <w:rPr>
          <w:i/>
          <w:spacing w:val="-19"/>
          <w:sz w:val="38"/>
        </w:rPr>
        <w:t> </w:t>
      </w:r>
      <w:r>
        <w:rPr>
          <w:i/>
          <w:sz w:val="38"/>
        </w:rPr>
        <w:t>is</w:t>
      </w:r>
      <w:r>
        <w:rPr>
          <w:i/>
          <w:spacing w:val="-19"/>
          <w:sz w:val="38"/>
        </w:rPr>
        <w:t> </w:t>
      </w:r>
      <w:r>
        <w:rPr>
          <w:i/>
          <w:sz w:val="38"/>
        </w:rPr>
        <w:t>much sweeter than sugar. Yet, the sweet taste is the only thing stevia has in common with sugar as stevia contains neither calories nor does it encourage caries. There are no known health</w:t>
      </w:r>
      <w:r>
        <w:rPr>
          <w:i/>
          <w:spacing w:val="-52"/>
          <w:sz w:val="38"/>
        </w:rPr>
        <w:t> </w:t>
      </w:r>
      <w:r>
        <w:rPr>
          <w:i/>
          <w:sz w:val="38"/>
        </w:rPr>
        <w:t>risks from stevia.</w:t>
      </w:r>
    </w:p>
    <w:p>
      <w:pPr>
        <w:spacing w:before="240"/>
        <w:ind w:left="616" w:right="0" w:firstLine="0"/>
        <w:jc w:val="left"/>
        <w:rPr>
          <w:sz w:val="38"/>
        </w:rPr>
      </w:pPr>
      <w:r>
        <w:rPr>
          <w:b/>
          <w:sz w:val="38"/>
        </w:rPr>
        <w:t>BILD online </w:t>
      </w:r>
      <w:r>
        <w:rPr>
          <w:sz w:val="38"/>
        </w:rPr>
        <w:t>(published 26 June 2001)</w:t>
      </w:r>
    </w:p>
    <w:p>
      <w:pPr>
        <w:spacing w:before="305"/>
        <w:ind w:left="616" w:right="0" w:firstLine="0"/>
        <w:jc w:val="left"/>
        <w:rPr>
          <w:i/>
          <w:sz w:val="38"/>
        </w:rPr>
      </w:pPr>
      <w:r>
        <w:rPr>
          <w:i/>
          <w:sz w:val="38"/>
        </w:rPr>
        <w:t>Sweet wonder herb replaces sugar</w:t>
      </w:r>
    </w:p>
    <w:p>
      <w:pPr>
        <w:spacing w:line="276" w:lineRule="auto" w:before="304"/>
        <w:ind w:left="616" w:right="244" w:firstLine="0"/>
        <w:jc w:val="left"/>
        <w:rPr>
          <w:i/>
          <w:sz w:val="38"/>
        </w:rPr>
      </w:pPr>
      <w:r>
        <w:rPr>
          <w:i/>
          <w:sz w:val="38"/>
        </w:rPr>
        <w:t>New York – sugar and sweeteners are getting some healthy competition: the little-known </w:t>
      </w:r>
      <w:r>
        <w:rPr>
          <w:i/>
          <w:sz w:val="38"/>
        </w:rPr>
        <w:t>herb 'stevia' not only tastes as sweet as sugar, it is also incredibly healthy.</w:t>
      </w:r>
    </w:p>
    <w:p>
      <w:pPr>
        <w:spacing w:before="224"/>
        <w:ind w:left="616" w:right="0" w:firstLine="0"/>
        <w:jc w:val="left"/>
        <w:rPr>
          <w:sz w:val="38"/>
        </w:rPr>
      </w:pPr>
      <w:r>
        <w:rPr>
          <w:b/>
          <w:i/>
          <w:sz w:val="40"/>
        </w:rPr>
        <w:t>Brigitte </w:t>
      </w:r>
      <w:r>
        <w:rPr>
          <w:sz w:val="38"/>
        </w:rPr>
        <w:t>(15/99)</w:t>
      </w:r>
    </w:p>
    <w:p>
      <w:pPr>
        <w:spacing w:before="299"/>
        <w:ind w:left="616" w:right="0" w:firstLine="0"/>
        <w:jc w:val="left"/>
        <w:rPr>
          <w:i/>
          <w:sz w:val="38"/>
        </w:rPr>
      </w:pPr>
      <w:r>
        <w:rPr>
          <w:i/>
          <w:sz w:val="38"/>
        </w:rPr>
        <w:t>Really sweet</w:t>
      </w:r>
    </w:p>
    <w:p>
      <w:pPr>
        <w:spacing w:before="305"/>
        <w:ind w:left="616" w:right="0" w:firstLine="0"/>
        <w:jc w:val="left"/>
        <w:rPr>
          <w:i/>
          <w:sz w:val="38"/>
        </w:rPr>
      </w:pPr>
      <w:r>
        <w:rPr>
          <w:i/>
          <w:sz w:val="38"/>
        </w:rPr>
        <w:t>Have you heard about stevia?</w:t>
      </w:r>
    </w:p>
    <w:p>
      <w:pPr>
        <w:spacing w:line="276" w:lineRule="auto" w:before="302"/>
        <w:ind w:left="616" w:right="0" w:firstLine="0"/>
        <w:jc w:val="left"/>
        <w:rPr>
          <w:i/>
          <w:sz w:val="38"/>
        </w:rPr>
      </w:pPr>
      <w:r>
        <w:rPr>
          <w:i/>
          <w:sz w:val="38"/>
        </w:rPr>
        <w:t>Not</w:t>
      </w:r>
      <w:r>
        <w:rPr>
          <w:i/>
          <w:spacing w:val="-21"/>
          <w:sz w:val="38"/>
        </w:rPr>
        <w:t> </w:t>
      </w:r>
      <w:r>
        <w:rPr>
          <w:i/>
          <w:sz w:val="38"/>
        </w:rPr>
        <w:t>everybody</w:t>
      </w:r>
      <w:r>
        <w:rPr>
          <w:i/>
          <w:spacing w:val="-21"/>
          <w:sz w:val="38"/>
        </w:rPr>
        <w:t> </w:t>
      </w:r>
      <w:r>
        <w:rPr>
          <w:i/>
          <w:sz w:val="38"/>
        </w:rPr>
        <w:t>likes</w:t>
      </w:r>
      <w:r>
        <w:rPr>
          <w:i/>
          <w:spacing w:val="-20"/>
          <w:sz w:val="38"/>
        </w:rPr>
        <w:t> </w:t>
      </w:r>
      <w:r>
        <w:rPr>
          <w:i/>
          <w:sz w:val="38"/>
        </w:rPr>
        <w:t>sweet</w:t>
      </w:r>
      <w:r>
        <w:rPr>
          <w:i/>
          <w:spacing w:val="-21"/>
          <w:sz w:val="38"/>
        </w:rPr>
        <w:t> </w:t>
      </w:r>
      <w:r>
        <w:rPr>
          <w:i/>
          <w:sz w:val="38"/>
        </w:rPr>
        <w:t>things,</w:t>
      </w:r>
      <w:r>
        <w:rPr>
          <w:i/>
          <w:spacing w:val="-22"/>
          <w:sz w:val="38"/>
        </w:rPr>
        <w:t> </w:t>
      </w:r>
      <w:r>
        <w:rPr>
          <w:i/>
          <w:sz w:val="38"/>
        </w:rPr>
        <w:t>honey</w:t>
      </w:r>
      <w:r>
        <w:rPr>
          <w:i/>
          <w:spacing w:val="-26"/>
          <w:sz w:val="38"/>
        </w:rPr>
        <w:t> </w:t>
      </w:r>
      <w:r>
        <w:rPr>
          <w:i/>
          <w:sz w:val="38"/>
        </w:rPr>
        <w:t>isn't</w:t>
      </w:r>
      <w:r>
        <w:rPr>
          <w:i/>
          <w:spacing w:val="-21"/>
          <w:sz w:val="38"/>
        </w:rPr>
        <w:t> </w:t>
      </w:r>
      <w:r>
        <w:rPr>
          <w:i/>
          <w:sz w:val="38"/>
        </w:rPr>
        <w:t>always</w:t>
      </w:r>
      <w:r>
        <w:rPr>
          <w:i/>
          <w:spacing w:val="-22"/>
          <w:sz w:val="38"/>
        </w:rPr>
        <w:t> </w:t>
      </w:r>
      <w:r>
        <w:rPr>
          <w:i/>
          <w:sz w:val="38"/>
        </w:rPr>
        <w:t>a</w:t>
      </w:r>
      <w:r>
        <w:rPr>
          <w:i/>
          <w:spacing w:val="-22"/>
          <w:sz w:val="38"/>
        </w:rPr>
        <w:t> </w:t>
      </w:r>
      <w:r>
        <w:rPr>
          <w:i/>
          <w:sz w:val="38"/>
        </w:rPr>
        <w:t>good</w:t>
      </w:r>
      <w:r>
        <w:rPr>
          <w:i/>
          <w:spacing w:val="-24"/>
          <w:sz w:val="38"/>
        </w:rPr>
        <w:t> </w:t>
      </w:r>
      <w:r>
        <w:rPr>
          <w:i/>
          <w:sz w:val="38"/>
        </w:rPr>
        <w:t>accompaniment</w:t>
      </w:r>
      <w:r>
        <w:rPr>
          <w:i/>
          <w:spacing w:val="-21"/>
          <w:sz w:val="38"/>
        </w:rPr>
        <w:t> </w:t>
      </w:r>
      <w:r>
        <w:rPr>
          <w:i/>
          <w:sz w:val="38"/>
        </w:rPr>
        <w:t>and</w:t>
      </w:r>
      <w:r>
        <w:rPr>
          <w:i/>
          <w:spacing w:val="-20"/>
          <w:sz w:val="38"/>
        </w:rPr>
        <w:t> </w:t>
      </w:r>
      <w:r>
        <w:rPr>
          <w:i/>
          <w:sz w:val="38"/>
        </w:rPr>
        <w:t>a</w:t>
      </w:r>
      <w:r>
        <w:rPr>
          <w:i/>
          <w:spacing w:val="-22"/>
          <w:sz w:val="38"/>
        </w:rPr>
        <w:t> </w:t>
      </w:r>
      <w:r>
        <w:rPr>
          <w:i/>
          <w:sz w:val="38"/>
        </w:rPr>
        <w:t>lot</w:t>
      </w:r>
      <w:r>
        <w:rPr>
          <w:i/>
          <w:spacing w:val="-22"/>
          <w:sz w:val="38"/>
        </w:rPr>
        <w:t> </w:t>
      </w:r>
      <w:r>
        <w:rPr>
          <w:i/>
          <w:sz w:val="38"/>
        </w:rPr>
        <w:t>of</w:t>
      </w:r>
      <w:r>
        <w:rPr>
          <w:i/>
          <w:spacing w:val="-23"/>
          <w:sz w:val="38"/>
        </w:rPr>
        <w:t> </w:t>
      </w:r>
      <w:r>
        <w:rPr>
          <w:i/>
          <w:sz w:val="38"/>
        </w:rPr>
        <w:t>people </w:t>
      </w:r>
      <w:r>
        <w:rPr>
          <w:i/>
          <w:sz w:val="38"/>
        </w:rPr>
        <w:t>don't want</w:t>
      </w:r>
      <w:r>
        <w:rPr>
          <w:i/>
          <w:spacing w:val="-1"/>
          <w:sz w:val="38"/>
        </w:rPr>
        <w:t> </w:t>
      </w:r>
      <w:r>
        <w:rPr>
          <w:i/>
          <w:sz w:val="38"/>
        </w:rPr>
        <w:t>sugar.</w:t>
      </w:r>
    </w:p>
    <w:p>
      <w:pPr>
        <w:spacing w:line="276" w:lineRule="auto" w:before="241"/>
        <w:ind w:left="616" w:right="0" w:firstLine="0"/>
        <w:jc w:val="left"/>
        <w:rPr>
          <w:i/>
          <w:sz w:val="38"/>
        </w:rPr>
      </w:pPr>
      <w:r>
        <w:rPr>
          <w:i/>
          <w:sz w:val="38"/>
        </w:rPr>
        <w:t>Luckily, there is an alternative: health food shops are offering a new sweetener to suit all </w:t>
      </w:r>
      <w:r>
        <w:rPr>
          <w:i/>
          <w:sz w:val="38"/>
        </w:rPr>
        <w:t>tastes.</w:t>
      </w:r>
    </w:p>
    <w:p>
      <w:pPr>
        <w:spacing w:line="276" w:lineRule="auto" w:before="241"/>
        <w:ind w:left="616" w:right="133" w:firstLine="0"/>
        <w:jc w:val="both"/>
        <w:rPr>
          <w:i/>
          <w:sz w:val="38"/>
        </w:rPr>
      </w:pPr>
      <w:r>
        <w:rPr>
          <w:i/>
          <w:sz w:val="38"/>
        </w:rPr>
        <w:t>The honey leaves of the Native American stevia, a type of chrysanthemum with sweet</w:t>
      </w:r>
      <w:r>
        <w:rPr>
          <w:i/>
          <w:spacing w:val="-52"/>
          <w:sz w:val="38"/>
        </w:rPr>
        <w:t> </w:t>
      </w:r>
      <w:r>
        <w:rPr>
          <w:i/>
          <w:sz w:val="38"/>
        </w:rPr>
        <w:t>leaves, </w:t>
      </w:r>
      <w:r>
        <w:rPr>
          <w:i/>
          <w:sz w:val="38"/>
        </w:rPr>
        <w:t>grows</w:t>
      </w:r>
      <w:r>
        <w:rPr>
          <w:i/>
          <w:spacing w:val="-15"/>
          <w:sz w:val="38"/>
        </w:rPr>
        <w:t> </w:t>
      </w:r>
      <w:r>
        <w:rPr>
          <w:i/>
          <w:sz w:val="38"/>
        </w:rPr>
        <w:t>wild</w:t>
      </w:r>
      <w:r>
        <w:rPr>
          <w:i/>
          <w:spacing w:val="-14"/>
          <w:sz w:val="38"/>
        </w:rPr>
        <w:t> </w:t>
      </w:r>
      <w:r>
        <w:rPr>
          <w:i/>
          <w:sz w:val="38"/>
        </w:rPr>
        <w:t>in</w:t>
      </w:r>
      <w:r>
        <w:rPr>
          <w:i/>
          <w:spacing w:val="-16"/>
          <w:sz w:val="38"/>
        </w:rPr>
        <w:t> </w:t>
      </w:r>
      <w:r>
        <w:rPr>
          <w:i/>
          <w:sz w:val="38"/>
        </w:rPr>
        <w:t>Brazil</w:t>
      </w:r>
      <w:r>
        <w:rPr>
          <w:i/>
          <w:spacing w:val="-14"/>
          <w:sz w:val="38"/>
        </w:rPr>
        <w:t> </w:t>
      </w:r>
      <w:r>
        <w:rPr>
          <w:i/>
          <w:sz w:val="38"/>
        </w:rPr>
        <w:t>and</w:t>
      </w:r>
      <w:r>
        <w:rPr>
          <w:i/>
          <w:spacing w:val="-14"/>
          <w:sz w:val="38"/>
        </w:rPr>
        <w:t> </w:t>
      </w:r>
      <w:r>
        <w:rPr>
          <w:i/>
          <w:sz w:val="38"/>
        </w:rPr>
        <w:t>Paraguay.</w:t>
      </w:r>
      <w:r>
        <w:rPr>
          <w:i/>
          <w:spacing w:val="-16"/>
          <w:sz w:val="38"/>
        </w:rPr>
        <w:t> </w:t>
      </w:r>
      <w:r>
        <w:rPr>
          <w:i/>
          <w:sz w:val="38"/>
        </w:rPr>
        <w:t>The</w:t>
      </w:r>
      <w:r>
        <w:rPr>
          <w:i/>
          <w:spacing w:val="-15"/>
          <w:sz w:val="38"/>
        </w:rPr>
        <w:t> </w:t>
      </w:r>
      <w:r>
        <w:rPr>
          <w:i/>
          <w:sz w:val="38"/>
        </w:rPr>
        <w:t>Native</w:t>
      </w:r>
      <w:r>
        <w:rPr>
          <w:i/>
          <w:spacing w:val="-14"/>
          <w:sz w:val="38"/>
        </w:rPr>
        <w:t> </w:t>
      </w:r>
      <w:r>
        <w:rPr>
          <w:i/>
          <w:sz w:val="38"/>
        </w:rPr>
        <w:t>Americans</w:t>
      </w:r>
      <w:r>
        <w:rPr>
          <w:i/>
          <w:spacing w:val="-14"/>
          <w:sz w:val="38"/>
        </w:rPr>
        <w:t> </w:t>
      </w:r>
      <w:r>
        <w:rPr>
          <w:i/>
          <w:sz w:val="38"/>
        </w:rPr>
        <w:t>have</w:t>
      </w:r>
      <w:r>
        <w:rPr>
          <w:i/>
          <w:spacing w:val="-16"/>
          <w:sz w:val="38"/>
        </w:rPr>
        <w:t> </w:t>
      </w:r>
      <w:r>
        <w:rPr>
          <w:i/>
          <w:sz w:val="38"/>
        </w:rPr>
        <w:t>been</w:t>
      </w:r>
      <w:r>
        <w:rPr>
          <w:i/>
          <w:spacing w:val="-14"/>
          <w:sz w:val="38"/>
        </w:rPr>
        <w:t> </w:t>
      </w:r>
      <w:r>
        <w:rPr>
          <w:i/>
          <w:sz w:val="38"/>
        </w:rPr>
        <w:t>using</w:t>
      </w:r>
      <w:r>
        <w:rPr>
          <w:i/>
          <w:spacing w:val="-16"/>
          <w:sz w:val="38"/>
        </w:rPr>
        <w:t> </w:t>
      </w:r>
      <w:r>
        <w:rPr>
          <w:i/>
          <w:sz w:val="38"/>
        </w:rPr>
        <w:t>the</w:t>
      </w:r>
      <w:r>
        <w:rPr>
          <w:i/>
          <w:spacing w:val="-14"/>
          <w:sz w:val="38"/>
        </w:rPr>
        <w:t> </w:t>
      </w:r>
      <w:r>
        <w:rPr>
          <w:i/>
          <w:sz w:val="38"/>
        </w:rPr>
        <w:t>herb</w:t>
      </w:r>
      <w:r>
        <w:rPr>
          <w:i/>
          <w:spacing w:val="-15"/>
          <w:sz w:val="38"/>
        </w:rPr>
        <w:t> </w:t>
      </w:r>
      <w:r>
        <w:rPr>
          <w:i/>
          <w:sz w:val="38"/>
        </w:rPr>
        <w:t>to</w:t>
      </w:r>
      <w:r>
        <w:rPr>
          <w:i/>
          <w:spacing w:val="-17"/>
          <w:sz w:val="38"/>
        </w:rPr>
        <w:t> </w:t>
      </w:r>
      <w:r>
        <w:rPr>
          <w:i/>
          <w:sz w:val="38"/>
        </w:rPr>
        <w:t>cook with for</w:t>
      </w:r>
      <w:r>
        <w:rPr>
          <w:i/>
          <w:spacing w:val="2"/>
          <w:sz w:val="38"/>
        </w:rPr>
        <w:t> </w:t>
      </w:r>
      <w:r>
        <w:rPr>
          <w:i/>
          <w:sz w:val="38"/>
        </w:rPr>
        <w:t>centuries.</w:t>
      </w:r>
    </w:p>
    <w:p>
      <w:pPr>
        <w:spacing w:after="0" w:line="276" w:lineRule="auto"/>
        <w:jc w:val="both"/>
        <w:rPr>
          <w:sz w:val="38"/>
        </w:rPr>
        <w:sectPr>
          <w:pgSz w:w="14270" w:h="16850"/>
          <w:pgMar w:header="0" w:footer="1891" w:top="1340" w:bottom="2080" w:left="800" w:right="1280"/>
        </w:sectPr>
      </w:pPr>
    </w:p>
    <w:p>
      <w:pPr>
        <w:spacing w:line="276" w:lineRule="auto" w:before="72"/>
        <w:ind w:left="616" w:right="144" w:firstLine="0"/>
        <w:jc w:val="both"/>
        <w:rPr>
          <w:i/>
          <w:sz w:val="38"/>
        </w:rPr>
      </w:pPr>
      <w:r>
        <w:rPr>
          <w:i/>
          <w:sz w:val="38"/>
        </w:rPr>
        <w:t>Today, it is cultivated in Asia, Israel and the USA. The sweetener can already be found</w:t>
      </w:r>
      <w:r>
        <w:rPr>
          <w:i/>
          <w:spacing w:val="-53"/>
          <w:sz w:val="38"/>
        </w:rPr>
        <w:t> </w:t>
      </w:r>
      <w:r>
        <w:rPr>
          <w:i/>
          <w:sz w:val="38"/>
        </w:rPr>
        <w:t>in </w:t>
      </w:r>
      <w:r>
        <w:rPr>
          <w:i/>
          <w:sz w:val="38"/>
        </w:rPr>
        <w:t>chewing gum, yoghurt, cola light and soya sauce in Japan, as well as seasoning for vegetable and fish dishes. Yet, the plant substance remains insider knowledge for us.</w:t>
      </w:r>
    </w:p>
    <w:p>
      <w:pPr>
        <w:spacing w:line="276" w:lineRule="auto" w:before="241"/>
        <w:ind w:left="616" w:right="143" w:firstLine="0"/>
        <w:jc w:val="both"/>
        <w:rPr>
          <w:i/>
          <w:sz w:val="38"/>
        </w:rPr>
      </w:pPr>
      <w:r>
        <w:rPr>
          <w:i/>
          <w:sz w:val="38"/>
        </w:rPr>
        <w:t>The</w:t>
      </w:r>
      <w:r>
        <w:rPr>
          <w:i/>
          <w:spacing w:val="-16"/>
          <w:sz w:val="38"/>
        </w:rPr>
        <w:t> </w:t>
      </w:r>
      <w:r>
        <w:rPr>
          <w:i/>
          <w:sz w:val="38"/>
        </w:rPr>
        <w:t>reason:</w:t>
      </w:r>
      <w:r>
        <w:rPr>
          <w:i/>
          <w:spacing w:val="-13"/>
          <w:sz w:val="38"/>
        </w:rPr>
        <w:t> </w:t>
      </w:r>
      <w:r>
        <w:rPr>
          <w:i/>
          <w:sz w:val="38"/>
        </w:rPr>
        <w:t>Stevia</w:t>
      </w:r>
      <w:r>
        <w:rPr>
          <w:i/>
          <w:spacing w:val="-18"/>
          <w:sz w:val="38"/>
        </w:rPr>
        <w:t> </w:t>
      </w:r>
      <w:r>
        <w:rPr>
          <w:i/>
          <w:sz w:val="38"/>
        </w:rPr>
        <w:t>has</w:t>
      </w:r>
      <w:r>
        <w:rPr>
          <w:i/>
          <w:spacing w:val="-15"/>
          <w:sz w:val="38"/>
        </w:rPr>
        <w:t> </w:t>
      </w:r>
      <w:r>
        <w:rPr>
          <w:i/>
          <w:sz w:val="38"/>
        </w:rPr>
        <w:t>not</w:t>
      </w:r>
      <w:r>
        <w:rPr>
          <w:i/>
          <w:spacing w:val="-15"/>
          <w:sz w:val="38"/>
        </w:rPr>
        <w:t> </w:t>
      </w:r>
      <w:r>
        <w:rPr>
          <w:i/>
          <w:sz w:val="38"/>
        </w:rPr>
        <w:t>yet</w:t>
      </w:r>
      <w:r>
        <w:rPr>
          <w:i/>
          <w:spacing w:val="-15"/>
          <w:sz w:val="38"/>
        </w:rPr>
        <w:t> </w:t>
      </w:r>
      <w:r>
        <w:rPr>
          <w:i/>
          <w:sz w:val="38"/>
        </w:rPr>
        <w:t>been</w:t>
      </w:r>
      <w:r>
        <w:rPr>
          <w:i/>
          <w:spacing w:val="-14"/>
          <w:sz w:val="38"/>
        </w:rPr>
        <w:t> </w:t>
      </w:r>
      <w:r>
        <w:rPr>
          <w:i/>
          <w:sz w:val="38"/>
        </w:rPr>
        <w:t>approved</w:t>
      </w:r>
      <w:r>
        <w:rPr>
          <w:i/>
          <w:spacing w:val="-15"/>
          <w:sz w:val="38"/>
        </w:rPr>
        <w:t> </w:t>
      </w:r>
      <w:r>
        <w:rPr>
          <w:i/>
          <w:sz w:val="38"/>
        </w:rPr>
        <w:t>as</w:t>
      </w:r>
      <w:r>
        <w:rPr>
          <w:i/>
          <w:spacing w:val="-15"/>
          <w:sz w:val="38"/>
        </w:rPr>
        <w:t> </w:t>
      </w:r>
      <w:r>
        <w:rPr>
          <w:i/>
          <w:sz w:val="38"/>
        </w:rPr>
        <w:t>a</w:t>
      </w:r>
      <w:r>
        <w:rPr>
          <w:i/>
          <w:spacing w:val="-15"/>
          <w:sz w:val="38"/>
        </w:rPr>
        <w:t> </w:t>
      </w:r>
      <w:r>
        <w:rPr>
          <w:i/>
          <w:sz w:val="38"/>
        </w:rPr>
        <w:t>sweetener.</w:t>
      </w:r>
      <w:r>
        <w:rPr>
          <w:i/>
          <w:spacing w:val="-13"/>
          <w:sz w:val="38"/>
        </w:rPr>
        <w:t> </w:t>
      </w:r>
      <w:r>
        <w:rPr>
          <w:i/>
          <w:sz w:val="38"/>
        </w:rPr>
        <w:t>This</w:t>
      </w:r>
      <w:r>
        <w:rPr>
          <w:i/>
          <w:spacing w:val="-15"/>
          <w:sz w:val="38"/>
        </w:rPr>
        <w:t> </w:t>
      </w:r>
      <w:r>
        <w:rPr>
          <w:i/>
          <w:sz w:val="38"/>
        </w:rPr>
        <w:t>is</w:t>
      </w:r>
      <w:r>
        <w:rPr>
          <w:i/>
          <w:spacing w:val="-15"/>
          <w:sz w:val="38"/>
        </w:rPr>
        <w:t> </w:t>
      </w:r>
      <w:r>
        <w:rPr>
          <w:i/>
          <w:sz w:val="38"/>
        </w:rPr>
        <w:t>why</w:t>
      </w:r>
      <w:r>
        <w:rPr>
          <w:i/>
          <w:spacing w:val="-16"/>
          <w:sz w:val="38"/>
        </w:rPr>
        <w:t> </w:t>
      </w:r>
      <w:r>
        <w:rPr>
          <w:i/>
          <w:sz w:val="38"/>
        </w:rPr>
        <w:t>the</w:t>
      </w:r>
      <w:r>
        <w:rPr>
          <w:i/>
          <w:spacing w:val="-19"/>
          <w:sz w:val="38"/>
        </w:rPr>
        <w:t> </w:t>
      </w:r>
      <w:r>
        <w:rPr>
          <w:i/>
          <w:sz w:val="38"/>
        </w:rPr>
        <w:t>dried</w:t>
      </w:r>
      <w:r>
        <w:rPr>
          <w:i/>
          <w:spacing w:val="-16"/>
          <w:sz w:val="38"/>
        </w:rPr>
        <w:t> </w:t>
      </w:r>
      <w:r>
        <w:rPr>
          <w:i/>
          <w:sz w:val="38"/>
        </w:rPr>
        <w:t>and</w:t>
      </w:r>
      <w:r>
        <w:rPr>
          <w:i/>
          <w:spacing w:val="-14"/>
          <w:sz w:val="38"/>
        </w:rPr>
        <w:t> </w:t>
      </w:r>
      <w:r>
        <w:rPr>
          <w:i/>
          <w:sz w:val="38"/>
        </w:rPr>
        <w:t>grated </w:t>
      </w:r>
      <w:r>
        <w:rPr>
          <w:i/>
          <w:sz w:val="38"/>
        </w:rPr>
        <w:t>leaves are only available as 'stevia tea'. It tastes pleasantly sweet with hints of a strong liq- uorice concentration.</w:t>
      </w:r>
    </w:p>
    <w:p>
      <w:pPr>
        <w:spacing w:line="276" w:lineRule="auto" w:before="239"/>
        <w:ind w:left="616" w:right="143" w:firstLine="0"/>
        <w:jc w:val="both"/>
        <w:rPr>
          <w:i/>
          <w:sz w:val="38"/>
        </w:rPr>
      </w:pPr>
      <w:r>
        <w:rPr>
          <w:i/>
          <w:sz w:val="38"/>
        </w:rPr>
        <w:t>The advice on the packaging states that the infusion (half a teaspoon of leaves in boiling </w:t>
      </w:r>
      <w:r>
        <w:rPr>
          <w:i/>
          <w:sz w:val="38"/>
        </w:rPr>
        <w:t>water) can be used as a 'natural seasoning' for beverages and meals.</w:t>
      </w:r>
    </w:p>
    <w:p>
      <w:pPr>
        <w:spacing w:line="276" w:lineRule="auto" w:before="241"/>
        <w:ind w:left="616" w:right="138" w:firstLine="0"/>
        <w:jc w:val="both"/>
        <w:rPr>
          <w:i/>
          <w:sz w:val="38"/>
        </w:rPr>
      </w:pPr>
      <w:r>
        <w:rPr>
          <w:i/>
          <w:sz w:val="38"/>
        </w:rPr>
        <w:t>You can also cook and bake with stevia powder and extract. So why haven't the authorities </w:t>
      </w:r>
      <w:r>
        <w:rPr>
          <w:i/>
          <w:sz w:val="38"/>
        </w:rPr>
        <w:t>given it the green light? 'Because there is a lack of proof that the product is not harmful to health',</w:t>
      </w:r>
      <w:r>
        <w:rPr>
          <w:i/>
          <w:spacing w:val="-7"/>
          <w:sz w:val="38"/>
        </w:rPr>
        <w:t> </w:t>
      </w:r>
      <w:r>
        <w:rPr>
          <w:i/>
          <w:sz w:val="38"/>
        </w:rPr>
        <w:t>explains</w:t>
      </w:r>
      <w:r>
        <w:rPr>
          <w:i/>
          <w:spacing w:val="-6"/>
          <w:sz w:val="38"/>
        </w:rPr>
        <w:t> </w:t>
      </w:r>
      <w:r>
        <w:rPr>
          <w:i/>
          <w:sz w:val="38"/>
        </w:rPr>
        <w:t>the</w:t>
      </w:r>
      <w:r>
        <w:rPr>
          <w:i/>
          <w:spacing w:val="-7"/>
          <w:sz w:val="38"/>
        </w:rPr>
        <w:t> </w:t>
      </w:r>
      <w:r>
        <w:rPr>
          <w:i/>
          <w:sz w:val="38"/>
        </w:rPr>
        <w:t>German</w:t>
      </w:r>
      <w:r>
        <w:rPr>
          <w:i/>
          <w:spacing w:val="-8"/>
          <w:sz w:val="38"/>
        </w:rPr>
        <w:t> </w:t>
      </w:r>
      <w:r>
        <w:rPr>
          <w:i/>
          <w:sz w:val="38"/>
        </w:rPr>
        <w:t>Federal</w:t>
      </w:r>
      <w:r>
        <w:rPr>
          <w:i/>
          <w:spacing w:val="-4"/>
          <w:sz w:val="38"/>
        </w:rPr>
        <w:t> </w:t>
      </w:r>
      <w:r>
        <w:rPr>
          <w:i/>
          <w:sz w:val="38"/>
        </w:rPr>
        <w:t>Institute</w:t>
      </w:r>
      <w:r>
        <w:rPr>
          <w:i/>
          <w:spacing w:val="-10"/>
          <w:sz w:val="38"/>
        </w:rPr>
        <w:t> </w:t>
      </w:r>
      <w:r>
        <w:rPr>
          <w:i/>
          <w:sz w:val="38"/>
        </w:rPr>
        <w:t>for</w:t>
      </w:r>
      <w:r>
        <w:rPr>
          <w:i/>
          <w:spacing w:val="-6"/>
          <w:sz w:val="38"/>
        </w:rPr>
        <w:t> </w:t>
      </w:r>
      <w:r>
        <w:rPr>
          <w:i/>
          <w:sz w:val="38"/>
        </w:rPr>
        <w:t>Consumer</w:t>
      </w:r>
      <w:r>
        <w:rPr>
          <w:i/>
          <w:spacing w:val="-6"/>
          <w:sz w:val="38"/>
        </w:rPr>
        <w:t> </w:t>
      </w:r>
      <w:r>
        <w:rPr>
          <w:i/>
          <w:sz w:val="38"/>
        </w:rPr>
        <w:t>Health</w:t>
      </w:r>
      <w:r>
        <w:rPr>
          <w:i/>
          <w:spacing w:val="-7"/>
          <w:sz w:val="38"/>
        </w:rPr>
        <w:t> </w:t>
      </w:r>
      <w:r>
        <w:rPr>
          <w:i/>
          <w:sz w:val="38"/>
        </w:rPr>
        <w:t>Protection</w:t>
      </w:r>
      <w:r>
        <w:rPr>
          <w:i/>
          <w:spacing w:val="-7"/>
          <w:sz w:val="38"/>
        </w:rPr>
        <w:t> </w:t>
      </w:r>
      <w:r>
        <w:rPr>
          <w:i/>
          <w:sz w:val="38"/>
        </w:rPr>
        <w:t>and</w:t>
      </w:r>
      <w:r>
        <w:rPr>
          <w:i/>
          <w:spacing w:val="-7"/>
          <w:sz w:val="38"/>
        </w:rPr>
        <w:t> </w:t>
      </w:r>
      <w:r>
        <w:rPr>
          <w:i/>
          <w:sz w:val="38"/>
        </w:rPr>
        <w:t>Veter- inary Medicine. German importer Helga Zeck-Weitz suspects there may be another reason. 'The sugar and sweetener industry do not want the</w:t>
      </w:r>
      <w:r>
        <w:rPr>
          <w:i/>
          <w:spacing w:val="-2"/>
          <w:sz w:val="38"/>
        </w:rPr>
        <w:t> </w:t>
      </w:r>
      <w:r>
        <w:rPr>
          <w:i/>
          <w:sz w:val="38"/>
        </w:rPr>
        <w:t>competition'.</w:t>
      </w:r>
    </w:p>
    <w:p>
      <w:pPr>
        <w:spacing w:before="240"/>
        <w:ind w:left="616" w:right="0" w:firstLine="0"/>
        <w:jc w:val="both"/>
        <w:rPr>
          <w:sz w:val="38"/>
        </w:rPr>
      </w:pPr>
      <w:r>
        <w:rPr>
          <w:b/>
          <w:sz w:val="38"/>
        </w:rPr>
        <w:t>Natur&amp;Heilen </w:t>
      </w:r>
      <w:r>
        <w:rPr>
          <w:sz w:val="38"/>
        </w:rPr>
        <w:t>(published December 2000)</w:t>
      </w:r>
    </w:p>
    <w:p>
      <w:pPr>
        <w:spacing w:before="304"/>
        <w:ind w:left="616" w:right="0" w:firstLine="0"/>
        <w:jc w:val="both"/>
        <w:rPr>
          <w:i/>
          <w:sz w:val="38"/>
        </w:rPr>
      </w:pPr>
      <w:r>
        <w:rPr>
          <w:i/>
          <w:sz w:val="38"/>
        </w:rPr>
        <w:t>THE STEVIA LESSON</w:t>
      </w:r>
    </w:p>
    <w:p>
      <w:pPr>
        <w:spacing w:line="276" w:lineRule="auto" w:before="305"/>
        <w:ind w:left="616" w:right="133" w:firstLine="0"/>
        <w:jc w:val="both"/>
        <w:rPr>
          <w:i/>
          <w:sz w:val="38"/>
        </w:rPr>
      </w:pPr>
      <w:r>
        <w:rPr>
          <w:i/>
          <w:sz w:val="38"/>
        </w:rPr>
        <w:t>As</w:t>
      </w:r>
      <w:r>
        <w:rPr>
          <w:i/>
          <w:spacing w:val="-9"/>
          <w:sz w:val="38"/>
        </w:rPr>
        <w:t> </w:t>
      </w:r>
      <w:r>
        <w:rPr>
          <w:i/>
          <w:sz w:val="38"/>
        </w:rPr>
        <w:t>with</w:t>
      </w:r>
      <w:r>
        <w:rPr>
          <w:i/>
          <w:spacing w:val="-8"/>
          <w:sz w:val="38"/>
        </w:rPr>
        <w:t> </w:t>
      </w:r>
      <w:r>
        <w:rPr>
          <w:i/>
          <w:sz w:val="38"/>
        </w:rPr>
        <w:t>many</w:t>
      </w:r>
      <w:r>
        <w:rPr>
          <w:i/>
          <w:spacing w:val="-13"/>
          <w:sz w:val="38"/>
        </w:rPr>
        <w:t> </w:t>
      </w:r>
      <w:r>
        <w:rPr>
          <w:i/>
          <w:sz w:val="38"/>
        </w:rPr>
        <w:t>things</w:t>
      </w:r>
      <w:r>
        <w:rPr>
          <w:i/>
          <w:spacing w:val="-8"/>
          <w:sz w:val="38"/>
        </w:rPr>
        <w:t> </w:t>
      </w:r>
      <w:r>
        <w:rPr>
          <w:i/>
          <w:sz w:val="38"/>
        </w:rPr>
        <w:t>of</w:t>
      </w:r>
      <w:r>
        <w:rPr>
          <w:i/>
          <w:spacing w:val="-10"/>
          <w:sz w:val="38"/>
        </w:rPr>
        <w:t> </w:t>
      </w:r>
      <w:r>
        <w:rPr>
          <w:i/>
          <w:sz w:val="38"/>
        </w:rPr>
        <w:t>late,</w:t>
      </w:r>
      <w:r>
        <w:rPr>
          <w:i/>
          <w:spacing w:val="-10"/>
          <w:sz w:val="38"/>
        </w:rPr>
        <w:t> </w:t>
      </w:r>
      <w:r>
        <w:rPr>
          <w:i/>
          <w:sz w:val="38"/>
        </w:rPr>
        <w:t>stevia</w:t>
      </w:r>
      <w:r>
        <w:rPr>
          <w:i/>
          <w:spacing w:val="-10"/>
          <w:sz w:val="38"/>
        </w:rPr>
        <w:t> </w:t>
      </w:r>
      <w:r>
        <w:rPr>
          <w:i/>
          <w:sz w:val="38"/>
        </w:rPr>
        <w:t>has</w:t>
      </w:r>
      <w:r>
        <w:rPr>
          <w:i/>
          <w:spacing w:val="-10"/>
          <w:sz w:val="38"/>
        </w:rPr>
        <w:t> </w:t>
      </w:r>
      <w:r>
        <w:rPr>
          <w:i/>
          <w:sz w:val="38"/>
        </w:rPr>
        <w:t>long</w:t>
      </w:r>
      <w:r>
        <w:rPr>
          <w:i/>
          <w:spacing w:val="-11"/>
          <w:sz w:val="38"/>
        </w:rPr>
        <w:t> </w:t>
      </w:r>
      <w:r>
        <w:rPr>
          <w:i/>
          <w:sz w:val="38"/>
        </w:rPr>
        <w:t>enjoyed</w:t>
      </w:r>
      <w:r>
        <w:rPr>
          <w:i/>
          <w:spacing w:val="-11"/>
          <w:sz w:val="38"/>
        </w:rPr>
        <w:t> </w:t>
      </w:r>
      <w:r>
        <w:rPr>
          <w:i/>
          <w:sz w:val="38"/>
        </w:rPr>
        <w:t>a</w:t>
      </w:r>
      <w:r>
        <w:rPr>
          <w:i/>
          <w:spacing w:val="-8"/>
          <w:sz w:val="38"/>
        </w:rPr>
        <w:t> </w:t>
      </w:r>
      <w:r>
        <w:rPr>
          <w:i/>
          <w:sz w:val="38"/>
        </w:rPr>
        <w:t>sort</w:t>
      </w:r>
      <w:r>
        <w:rPr>
          <w:i/>
          <w:spacing w:val="-10"/>
          <w:sz w:val="38"/>
        </w:rPr>
        <w:t> </w:t>
      </w:r>
      <w:r>
        <w:rPr>
          <w:i/>
          <w:sz w:val="38"/>
        </w:rPr>
        <w:t>of</w:t>
      </w:r>
      <w:r>
        <w:rPr>
          <w:i/>
          <w:spacing w:val="-8"/>
          <w:sz w:val="38"/>
        </w:rPr>
        <w:t> </w:t>
      </w:r>
      <w:r>
        <w:rPr>
          <w:i/>
          <w:sz w:val="38"/>
        </w:rPr>
        <w:t>'cult'</w:t>
      </w:r>
      <w:r>
        <w:rPr>
          <w:i/>
          <w:spacing w:val="-10"/>
          <w:sz w:val="38"/>
        </w:rPr>
        <w:t> </w:t>
      </w:r>
      <w:r>
        <w:rPr>
          <w:i/>
          <w:sz w:val="38"/>
        </w:rPr>
        <w:t>status</w:t>
      </w:r>
      <w:r>
        <w:rPr>
          <w:i/>
          <w:spacing w:val="-7"/>
          <w:sz w:val="38"/>
        </w:rPr>
        <w:t> </w:t>
      </w:r>
      <w:r>
        <w:rPr>
          <w:i/>
          <w:sz w:val="38"/>
        </w:rPr>
        <w:t>on</w:t>
      </w:r>
      <w:r>
        <w:rPr>
          <w:i/>
          <w:spacing w:val="-10"/>
          <w:sz w:val="38"/>
        </w:rPr>
        <w:t> </w:t>
      </w:r>
      <w:r>
        <w:rPr>
          <w:i/>
          <w:sz w:val="38"/>
        </w:rPr>
        <w:t>the</w:t>
      </w:r>
      <w:r>
        <w:rPr>
          <w:i/>
          <w:spacing w:val="-9"/>
          <w:sz w:val="38"/>
        </w:rPr>
        <w:t> </w:t>
      </w:r>
      <w:r>
        <w:rPr>
          <w:i/>
          <w:sz w:val="38"/>
        </w:rPr>
        <w:t>health</w:t>
      </w:r>
      <w:r>
        <w:rPr>
          <w:i/>
          <w:spacing w:val="-10"/>
          <w:sz w:val="38"/>
        </w:rPr>
        <w:t> </w:t>
      </w:r>
      <w:r>
        <w:rPr>
          <w:i/>
          <w:sz w:val="38"/>
        </w:rPr>
        <w:t>scene. </w:t>
      </w:r>
      <w:r>
        <w:rPr>
          <w:i/>
          <w:sz w:val="38"/>
        </w:rPr>
        <w:t>Not just because the herb from the South American plant brings natural sweetness to meals and beverages without any calories.</w:t>
      </w:r>
    </w:p>
    <w:p>
      <w:pPr>
        <w:spacing w:line="276" w:lineRule="auto" w:before="242"/>
        <w:ind w:left="616" w:right="136" w:firstLine="0"/>
        <w:jc w:val="both"/>
        <w:rPr>
          <w:i/>
          <w:sz w:val="38"/>
        </w:rPr>
      </w:pPr>
      <w:r>
        <w:rPr>
          <w:i/>
          <w:sz w:val="38"/>
        </w:rPr>
        <w:t>It</w:t>
      </w:r>
      <w:r>
        <w:rPr>
          <w:i/>
          <w:spacing w:val="-20"/>
          <w:sz w:val="38"/>
        </w:rPr>
        <w:t> </w:t>
      </w:r>
      <w:r>
        <w:rPr>
          <w:i/>
          <w:sz w:val="38"/>
        </w:rPr>
        <w:t>is</w:t>
      </w:r>
      <w:r>
        <w:rPr>
          <w:i/>
          <w:spacing w:val="-23"/>
          <w:sz w:val="38"/>
        </w:rPr>
        <w:t> </w:t>
      </w:r>
      <w:r>
        <w:rPr>
          <w:i/>
          <w:sz w:val="38"/>
        </w:rPr>
        <w:t>also</w:t>
      </w:r>
      <w:r>
        <w:rPr>
          <w:i/>
          <w:spacing w:val="-20"/>
          <w:sz w:val="38"/>
        </w:rPr>
        <w:t> </w:t>
      </w:r>
      <w:r>
        <w:rPr>
          <w:i/>
          <w:sz w:val="38"/>
        </w:rPr>
        <w:t>believed</w:t>
      </w:r>
      <w:r>
        <w:rPr>
          <w:i/>
          <w:spacing w:val="-21"/>
          <w:sz w:val="38"/>
        </w:rPr>
        <w:t> </w:t>
      </w:r>
      <w:r>
        <w:rPr>
          <w:i/>
          <w:sz w:val="38"/>
        </w:rPr>
        <w:t>to</w:t>
      </w:r>
      <w:r>
        <w:rPr>
          <w:i/>
          <w:spacing w:val="-24"/>
          <w:sz w:val="38"/>
        </w:rPr>
        <w:t> </w:t>
      </w:r>
      <w:r>
        <w:rPr>
          <w:i/>
          <w:sz w:val="38"/>
        </w:rPr>
        <w:t>have</w:t>
      </w:r>
      <w:r>
        <w:rPr>
          <w:i/>
          <w:spacing w:val="-21"/>
          <w:sz w:val="38"/>
        </w:rPr>
        <w:t> </w:t>
      </w:r>
      <w:r>
        <w:rPr>
          <w:i/>
          <w:sz w:val="38"/>
        </w:rPr>
        <w:t>all</w:t>
      </w:r>
      <w:r>
        <w:rPr>
          <w:i/>
          <w:spacing w:val="-18"/>
          <w:sz w:val="38"/>
        </w:rPr>
        <w:t> </w:t>
      </w:r>
      <w:r>
        <w:rPr>
          <w:i/>
          <w:sz w:val="38"/>
        </w:rPr>
        <w:t>kinds</w:t>
      </w:r>
      <w:r>
        <w:rPr>
          <w:i/>
          <w:spacing w:val="-21"/>
          <w:sz w:val="38"/>
        </w:rPr>
        <w:t> </w:t>
      </w:r>
      <w:r>
        <w:rPr>
          <w:i/>
          <w:sz w:val="38"/>
        </w:rPr>
        <w:t>of</w:t>
      </w:r>
      <w:r>
        <w:rPr>
          <w:i/>
          <w:spacing w:val="-21"/>
          <w:sz w:val="38"/>
        </w:rPr>
        <w:t> </w:t>
      </w:r>
      <w:r>
        <w:rPr>
          <w:i/>
          <w:sz w:val="38"/>
        </w:rPr>
        <w:t>healthy</w:t>
      </w:r>
      <w:r>
        <w:rPr>
          <w:i/>
          <w:spacing w:val="-21"/>
          <w:sz w:val="38"/>
        </w:rPr>
        <w:t> </w:t>
      </w:r>
      <w:r>
        <w:rPr>
          <w:i/>
          <w:sz w:val="38"/>
        </w:rPr>
        <w:t>effects,</w:t>
      </w:r>
      <w:r>
        <w:rPr>
          <w:i/>
          <w:spacing w:val="-19"/>
          <w:sz w:val="38"/>
        </w:rPr>
        <w:t> </w:t>
      </w:r>
      <w:r>
        <w:rPr>
          <w:i/>
          <w:sz w:val="38"/>
        </w:rPr>
        <w:t>albeit</w:t>
      </w:r>
      <w:r>
        <w:rPr>
          <w:i/>
          <w:spacing w:val="-19"/>
          <w:sz w:val="38"/>
        </w:rPr>
        <w:t> </w:t>
      </w:r>
      <w:r>
        <w:rPr>
          <w:i/>
          <w:sz w:val="38"/>
        </w:rPr>
        <w:t>effects</w:t>
      </w:r>
      <w:r>
        <w:rPr>
          <w:i/>
          <w:spacing w:val="-23"/>
          <w:sz w:val="38"/>
        </w:rPr>
        <w:t> </w:t>
      </w:r>
      <w:r>
        <w:rPr>
          <w:i/>
          <w:sz w:val="38"/>
        </w:rPr>
        <w:t>about</w:t>
      </w:r>
      <w:r>
        <w:rPr>
          <w:i/>
          <w:spacing w:val="-21"/>
          <w:sz w:val="38"/>
        </w:rPr>
        <w:t> </w:t>
      </w:r>
      <w:r>
        <w:rPr>
          <w:i/>
          <w:sz w:val="38"/>
        </w:rPr>
        <w:t>which</w:t>
      </w:r>
      <w:r>
        <w:rPr>
          <w:i/>
          <w:spacing w:val="-20"/>
          <w:sz w:val="38"/>
        </w:rPr>
        <w:t> </w:t>
      </w:r>
      <w:r>
        <w:rPr>
          <w:i/>
          <w:sz w:val="38"/>
        </w:rPr>
        <w:t>hardly</w:t>
      </w:r>
      <w:r>
        <w:rPr>
          <w:i/>
          <w:spacing w:val="-19"/>
          <w:sz w:val="38"/>
        </w:rPr>
        <w:t> </w:t>
      </w:r>
      <w:r>
        <w:rPr>
          <w:i/>
          <w:sz w:val="38"/>
        </w:rPr>
        <w:t>anything </w:t>
      </w:r>
      <w:r>
        <w:rPr>
          <w:i/>
          <w:sz w:val="38"/>
        </w:rPr>
        <w:t>has been concretely proven. This jungle medicine flight of fancy was harshly brought to a standstill</w:t>
      </w:r>
      <w:r>
        <w:rPr>
          <w:i/>
          <w:spacing w:val="-21"/>
          <w:sz w:val="38"/>
        </w:rPr>
        <w:t> </w:t>
      </w:r>
      <w:r>
        <w:rPr>
          <w:i/>
          <w:sz w:val="38"/>
        </w:rPr>
        <w:t>when</w:t>
      </w:r>
      <w:r>
        <w:rPr>
          <w:i/>
          <w:spacing w:val="-23"/>
          <w:sz w:val="38"/>
        </w:rPr>
        <w:t> </w:t>
      </w:r>
      <w:r>
        <w:rPr>
          <w:i/>
          <w:sz w:val="38"/>
        </w:rPr>
        <w:t>EU</w:t>
      </w:r>
      <w:r>
        <w:rPr>
          <w:i/>
          <w:spacing w:val="-22"/>
          <w:sz w:val="38"/>
        </w:rPr>
        <w:t> </w:t>
      </w:r>
      <w:r>
        <w:rPr>
          <w:i/>
          <w:sz w:val="38"/>
        </w:rPr>
        <w:t>authorities</w:t>
      </w:r>
      <w:r>
        <w:rPr>
          <w:i/>
          <w:spacing w:val="-23"/>
          <w:sz w:val="38"/>
        </w:rPr>
        <w:t> </w:t>
      </w:r>
      <w:r>
        <w:rPr>
          <w:i/>
          <w:sz w:val="38"/>
        </w:rPr>
        <w:t>gave</w:t>
      </w:r>
      <w:r>
        <w:rPr>
          <w:i/>
          <w:spacing w:val="-22"/>
          <w:sz w:val="38"/>
        </w:rPr>
        <w:t> </w:t>
      </w:r>
      <w:r>
        <w:rPr>
          <w:i/>
          <w:sz w:val="38"/>
        </w:rPr>
        <w:t>it</w:t>
      </w:r>
      <w:r>
        <w:rPr>
          <w:i/>
          <w:spacing w:val="-23"/>
          <w:sz w:val="38"/>
        </w:rPr>
        <w:t> </w:t>
      </w:r>
      <w:r>
        <w:rPr>
          <w:i/>
          <w:sz w:val="38"/>
        </w:rPr>
        <w:t>the</w:t>
      </w:r>
      <w:r>
        <w:rPr>
          <w:i/>
          <w:spacing w:val="-22"/>
          <w:sz w:val="38"/>
        </w:rPr>
        <w:t> </w:t>
      </w:r>
      <w:r>
        <w:rPr>
          <w:i/>
          <w:sz w:val="38"/>
        </w:rPr>
        <w:t>red</w:t>
      </w:r>
      <w:r>
        <w:rPr>
          <w:i/>
          <w:spacing w:val="-22"/>
          <w:sz w:val="38"/>
        </w:rPr>
        <w:t> </w:t>
      </w:r>
      <w:r>
        <w:rPr>
          <w:i/>
          <w:sz w:val="38"/>
        </w:rPr>
        <w:t>card</w:t>
      </w:r>
      <w:r>
        <w:rPr>
          <w:i/>
          <w:spacing w:val="-23"/>
          <w:sz w:val="38"/>
        </w:rPr>
        <w:t> </w:t>
      </w:r>
      <w:r>
        <w:rPr>
          <w:i/>
          <w:sz w:val="38"/>
        </w:rPr>
        <w:t>in</w:t>
      </w:r>
      <w:r>
        <w:rPr>
          <w:i/>
          <w:spacing w:val="-23"/>
          <w:sz w:val="38"/>
        </w:rPr>
        <w:t> </w:t>
      </w:r>
      <w:r>
        <w:rPr>
          <w:i/>
          <w:sz w:val="38"/>
        </w:rPr>
        <w:t>their</w:t>
      </w:r>
      <w:r>
        <w:rPr>
          <w:i/>
          <w:spacing w:val="-23"/>
          <w:sz w:val="38"/>
        </w:rPr>
        <w:t> </w:t>
      </w:r>
      <w:r>
        <w:rPr>
          <w:i/>
          <w:sz w:val="38"/>
        </w:rPr>
        <w:t>Common</w:t>
      </w:r>
      <w:r>
        <w:rPr>
          <w:i/>
          <w:spacing w:val="-20"/>
          <w:sz w:val="38"/>
        </w:rPr>
        <w:t> </w:t>
      </w:r>
      <w:r>
        <w:rPr>
          <w:i/>
          <w:sz w:val="38"/>
        </w:rPr>
        <w:t>Market.</w:t>
      </w:r>
      <w:r>
        <w:rPr>
          <w:i/>
          <w:spacing w:val="-25"/>
          <w:sz w:val="38"/>
        </w:rPr>
        <w:t> </w:t>
      </w:r>
      <w:r>
        <w:rPr>
          <w:i/>
          <w:sz w:val="38"/>
        </w:rPr>
        <w:t>Some</w:t>
      </w:r>
      <w:r>
        <w:rPr>
          <w:i/>
          <w:spacing w:val="-21"/>
          <w:sz w:val="38"/>
        </w:rPr>
        <w:t> </w:t>
      </w:r>
      <w:r>
        <w:rPr>
          <w:i/>
          <w:sz w:val="38"/>
        </w:rPr>
        <w:t>observers</w:t>
      </w:r>
    </w:p>
    <w:p>
      <w:pPr>
        <w:spacing w:after="0" w:line="276" w:lineRule="auto"/>
        <w:jc w:val="both"/>
        <w:rPr>
          <w:sz w:val="38"/>
        </w:rPr>
        <w:sectPr>
          <w:pgSz w:w="14270" w:h="16850"/>
          <w:pgMar w:header="0" w:footer="1891" w:top="1340" w:bottom="2080" w:left="800" w:right="1280"/>
        </w:sectPr>
      </w:pPr>
    </w:p>
    <w:p>
      <w:pPr>
        <w:spacing w:line="276" w:lineRule="auto" w:before="72"/>
        <w:ind w:left="616" w:right="133" w:firstLine="0"/>
        <w:jc w:val="both"/>
        <w:rPr>
          <w:i/>
          <w:sz w:val="38"/>
        </w:rPr>
      </w:pPr>
      <w:r>
        <w:rPr>
          <w:i/>
          <w:sz w:val="38"/>
        </w:rPr>
        <w:t>were</w:t>
      </w:r>
      <w:r>
        <w:rPr>
          <w:i/>
          <w:spacing w:val="-4"/>
          <w:sz w:val="38"/>
        </w:rPr>
        <w:t> </w:t>
      </w:r>
      <w:r>
        <w:rPr>
          <w:i/>
          <w:sz w:val="38"/>
        </w:rPr>
        <w:t>surprised</w:t>
      </w:r>
      <w:r>
        <w:rPr>
          <w:i/>
          <w:spacing w:val="-6"/>
          <w:sz w:val="38"/>
        </w:rPr>
        <w:t> </w:t>
      </w:r>
      <w:r>
        <w:rPr>
          <w:i/>
          <w:sz w:val="38"/>
        </w:rPr>
        <w:t>that,</w:t>
      </w:r>
      <w:r>
        <w:rPr>
          <w:i/>
          <w:spacing w:val="-5"/>
          <w:sz w:val="38"/>
        </w:rPr>
        <w:t> </w:t>
      </w:r>
      <w:r>
        <w:rPr>
          <w:i/>
          <w:sz w:val="38"/>
        </w:rPr>
        <w:t>despite</w:t>
      </w:r>
      <w:r>
        <w:rPr>
          <w:i/>
          <w:spacing w:val="-4"/>
          <w:sz w:val="38"/>
        </w:rPr>
        <w:t> </w:t>
      </w:r>
      <w:r>
        <w:rPr>
          <w:i/>
          <w:sz w:val="38"/>
        </w:rPr>
        <w:t>the</w:t>
      </w:r>
      <w:r>
        <w:rPr>
          <w:i/>
          <w:spacing w:val="-4"/>
          <w:sz w:val="38"/>
        </w:rPr>
        <w:t> </w:t>
      </w:r>
      <w:r>
        <w:rPr>
          <w:i/>
          <w:sz w:val="38"/>
        </w:rPr>
        <w:t>'ban',</w:t>
      </w:r>
      <w:r>
        <w:rPr>
          <w:i/>
          <w:spacing w:val="-4"/>
          <w:sz w:val="38"/>
        </w:rPr>
        <w:t> </w:t>
      </w:r>
      <w:r>
        <w:rPr>
          <w:i/>
          <w:sz w:val="38"/>
        </w:rPr>
        <w:t>it</w:t>
      </w:r>
      <w:r>
        <w:rPr>
          <w:i/>
          <w:spacing w:val="-4"/>
          <w:sz w:val="38"/>
        </w:rPr>
        <w:t> </w:t>
      </w:r>
      <w:r>
        <w:rPr>
          <w:i/>
          <w:sz w:val="38"/>
        </w:rPr>
        <w:t>was</w:t>
      </w:r>
      <w:r>
        <w:rPr>
          <w:i/>
          <w:spacing w:val="-5"/>
          <w:sz w:val="38"/>
        </w:rPr>
        <w:t> </w:t>
      </w:r>
      <w:r>
        <w:rPr>
          <w:i/>
          <w:sz w:val="38"/>
        </w:rPr>
        <w:t>still</w:t>
      </w:r>
      <w:r>
        <w:rPr>
          <w:i/>
          <w:spacing w:val="-4"/>
          <w:sz w:val="38"/>
        </w:rPr>
        <w:t> </w:t>
      </w:r>
      <w:r>
        <w:rPr>
          <w:i/>
          <w:sz w:val="38"/>
        </w:rPr>
        <w:t>sold</w:t>
      </w:r>
      <w:r>
        <w:rPr>
          <w:i/>
          <w:spacing w:val="-3"/>
          <w:sz w:val="38"/>
        </w:rPr>
        <w:t> </w:t>
      </w:r>
      <w:r>
        <w:rPr>
          <w:i/>
          <w:sz w:val="38"/>
        </w:rPr>
        <w:t>by</w:t>
      </w:r>
      <w:r>
        <w:rPr>
          <w:i/>
          <w:spacing w:val="-8"/>
          <w:sz w:val="38"/>
        </w:rPr>
        <w:t> </w:t>
      </w:r>
      <w:r>
        <w:rPr>
          <w:i/>
          <w:sz w:val="38"/>
        </w:rPr>
        <w:t>numerous</w:t>
      </w:r>
      <w:r>
        <w:rPr>
          <w:i/>
          <w:spacing w:val="-5"/>
          <w:sz w:val="38"/>
        </w:rPr>
        <w:t> </w:t>
      </w:r>
      <w:r>
        <w:rPr>
          <w:i/>
          <w:sz w:val="38"/>
        </w:rPr>
        <w:t>suppliers</w:t>
      </w:r>
      <w:r>
        <w:rPr>
          <w:i/>
          <w:spacing w:val="-7"/>
          <w:sz w:val="38"/>
        </w:rPr>
        <w:t> </w:t>
      </w:r>
      <w:r>
        <w:rPr>
          <w:sz w:val="38"/>
        </w:rPr>
        <w:t>–</w:t>
      </w:r>
      <w:r>
        <w:rPr>
          <w:spacing w:val="-5"/>
          <w:sz w:val="38"/>
        </w:rPr>
        <w:t> </w:t>
      </w:r>
      <w:r>
        <w:rPr>
          <w:i/>
          <w:sz w:val="38"/>
        </w:rPr>
        <w:t>an</w:t>
      </w:r>
      <w:r>
        <w:rPr>
          <w:i/>
          <w:spacing w:val="-4"/>
          <w:sz w:val="38"/>
        </w:rPr>
        <w:t> </w:t>
      </w:r>
      <w:r>
        <w:rPr>
          <w:i/>
          <w:sz w:val="38"/>
        </w:rPr>
        <w:t>indication </w:t>
      </w:r>
      <w:r>
        <w:rPr>
          <w:i/>
          <w:sz w:val="38"/>
        </w:rPr>
        <w:t>of the general confusion in the face of more and more legal market regulations in connection with the 'globalisation' and unification of the internal European</w:t>
      </w:r>
      <w:r>
        <w:rPr>
          <w:i/>
          <w:spacing w:val="-7"/>
          <w:sz w:val="38"/>
        </w:rPr>
        <w:t> </w:t>
      </w:r>
      <w:r>
        <w:rPr>
          <w:i/>
          <w:sz w:val="38"/>
        </w:rPr>
        <w:t>market.</w:t>
      </w:r>
    </w:p>
    <w:p>
      <w:pPr>
        <w:spacing w:line="276" w:lineRule="auto" w:before="241"/>
        <w:ind w:left="616" w:right="134" w:firstLine="0"/>
        <w:jc w:val="both"/>
        <w:rPr>
          <w:i/>
          <w:sz w:val="38"/>
        </w:rPr>
      </w:pPr>
      <w:r>
        <w:rPr>
          <w:i/>
          <w:sz w:val="38"/>
        </w:rPr>
        <w:t>Stevia was not forbidden, rather, it was not approved as a 'novel foodstuff' and foodstuff </w:t>
      </w:r>
      <w:r>
        <w:rPr>
          <w:i/>
          <w:sz w:val="38"/>
        </w:rPr>
        <w:t>supplement</w:t>
      </w:r>
      <w:r>
        <w:rPr>
          <w:i/>
          <w:spacing w:val="-9"/>
          <w:sz w:val="38"/>
        </w:rPr>
        <w:t> </w:t>
      </w:r>
      <w:r>
        <w:rPr>
          <w:i/>
          <w:sz w:val="38"/>
        </w:rPr>
        <w:t>according</w:t>
      </w:r>
      <w:r>
        <w:rPr>
          <w:i/>
          <w:spacing w:val="-10"/>
          <w:sz w:val="38"/>
        </w:rPr>
        <w:t> </w:t>
      </w:r>
      <w:r>
        <w:rPr>
          <w:i/>
          <w:sz w:val="38"/>
        </w:rPr>
        <w:t>to</w:t>
      </w:r>
      <w:r>
        <w:rPr>
          <w:i/>
          <w:spacing w:val="-12"/>
          <w:sz w:val="38"/>
        </w:rPr>
        <w:t> </w:t>
      </w:r>
      <w:r>
        <w:rPr>
          <w:i/>
          <w:sz w:val="38"/>
        </w:rPr>
        <w:t>the</w:t>
      </w:r>
      <w:r>
        <w:rPr>
          <w:i/>
          <w:spacing w:val="-12"/>
          <w:sz w:val="38"/>
        </w:rPr>
        <w:t> </w:t>
      </w:r>
      <w:r>
        <w:rPr>
          <w:i/>
          <w:sz w:val="38"/>
        </w:rPr>
        <w:t>'novel</w:t>
      </w:r>
      <w:r>
        <w:rPr>
          <w:i/>
          <w:spacing w:val="-12"/>
          <w:sz w:val="38"/>
        </w:rPr>
        <w:t> </w:t>
      </w:r>
      <w:r>
        <w:rPr>
          <w:i/>
          <w:sz w:val="38"/>
        </w:rPr>
        <w:t>food</w:t>
      </w:r>
      <w:r>
        <w:rPr>
          <w:i/>
          <w:spacing w:val="-9"/>
          <w:sz w:val="38"/>
        </w:rPr>
        <w:t> </w:t>
      </w:r>
      <w:r>
        <w:rPr>
          <w:i/>
          <w:sz w:val="38"/>
        </w:rPr>
        <w:t>provision'</w:t>
      </w:r>
      <w:r>
        <w:rPr>
          <w:i/>
          <w:spacing w:val="-8"/>
          <w:sz w:val="38"/>
        </w:rPr>
        <w:t> </w:t>
      </w:r>
      <w:r>
        <w:rPr>
          <w:i/>
          <w:sz w:val="38"/>
        </w:rPr>
        <w:t>of</w:t>
      </w:r>
      <w:r>
        <w:rPr>
          <w:i/>
          <w:spacing w:val="-11"/>
          <w:sz w:val="38"/>
        </w:rPr>
        <w:t> </w:t>
      </w:r>
      <w:r>
        <w:rPr>
          <w:i/>
          <w:sz w:val="38"/>
        </w:rPr>
        <w:t>the</w:t>
      </w:r>
      <w:r>
        <w:rPr>
          <w:i/>
          <w:spacing w:val="-9"/>
          <w:sz w:val="38"/>
        </w:rPr>
        <w:t> </w:t>
      </w:r>
      <w:r>
        <w:rPr>
          <w:i/>
          <w:sz w:val="38"/>
        </w:rPr>
        <w:t>EC</w:t>
      </w:r>
      <w:r>
        <w:rPr>
          <w:i/>
          <w:spacing w:val="-9"/>
          <w:sz w:val="38"/>
        </w:rPr>
        <w:t> </w:t>
      </w:r>
      <w:r>
        <w:rPr>
          <w:i/>
          <w:sz w:val="38"/>
        </w:rPr>
        <w:t>or</w:t>
      </w:r>
      <w:r>
        <w:rPr>
          <w:i/>
          <w:spacing w:val="-9"/>
          <w:sz w:val="38"/>
        </w:rPr>
        <w:t> </w:t>
      </w:r>
      <w:r>
        <w:rPr>
          <w:i/>
          <w:sz w:val="38"/>
        </w:rPr>
        <w:t>as</w:t>
      </w:r>
      <w:r>
        <w:rPr>
          <w:i/>
          <w:spacing w:val="-11"/>
          <w:sz w:val="38"/>
        </w:rPr>
        <w:t> </w:t>
      </w:r>
      <w:r>
        <w:rPr>
          <w:i/>
          <w:sz w:val="38"/>
        </w:rPr>
        <w:t>a</w:t>
      </w:r>
      <w:r>
        <w:rPr>
          <w:i/>
          <w:spacing w:val="-9"/>
          <w:sz w:val="38"/>
        </w:rPr>
        <w:t> </w:t>
      </w:r>
      <w:r>
        <w:rPr>
          <w:i/>
          <w:sz w:val="38"/>
        </w:rPr>
        <w:t>supplement</w:t>
      </w:r>
      <w:r>
        <w:rPr>
          <w:i/>
          <w:spacing w:val="-9"/>
          <w:sz w:val="38"/>
        </w:rPr>
        <w:t> </w:t>
      </w:r>
      <w:r>
        <w:rPr>
          <w:i/>
          <w:sz w:val="38"/>
        </w:rPr>
        <w:t>or</w:t>
      </w:r>
      <w:r>
        <w:rPr>
          <w:i/>
          <w:spacing w:val="-11"/>
          <w:sz w:val="38"/>
        </w:rPr>
        <w:t> </w:t>
      </w:r>
      <w:r>
        <w:rPr>
          <w:i/>
          <w:sz w:val="38"/>
        </w:rPr>
        <w:t>sweetener. There are certain prerequisites for this (for example, the proof of non-toxicity), which were not considered fulfilled in this</w:t>
      </w:r>
      <w:r>
        <w:rPr>
          <w:i/>
          <w:spacing w:val="1"/>
          <w:sz w:val="38"/>
        </w:rPr>
        <w:t> </w:t>
      </w:r>
      <w:r>
        <w:rPr>
          <w:i/>
          <w:sz w:val="38"/>
        </w:rPr>
        <w:t>case.</w:t>
      </w:r>
    </w:p>
    <w:p>
      <w:pPr>
        <w:spacing w:line="276" w:lineRule="auto" w:before="240"/>
        <w:ind w:left="616" w:right="136" w:firstLine="0"/>
        <w:jc w:val="both"/>
        <w:rPr>
          <w:i/>
          <w:sz w:val="38"/>
        </w:rPr>
      </w:pPr>
      <w:r>
        <w:rPr>
          <w:i/>
          <w:sz w:val="38"/>
        </w:rPr>
        <w:t>The</w:t>
      </w:r>
      <w:r>
        <w:rPr>
          <w:i/>
          <w:spacing w:val="-6"/>
          <w:sz w:val="38"/>
        </w:rPr>
        <w:t> </w:t>
      </w:r>
      <w:r>
        <w:rPr>
          <w:i/>
          <w:sz w:val="38"/>
        </w:rPr>
        <w:t>issue</w:t>
      </w:r>
      <w:r>
        <w:rPr>
          <w:i/>
          <w:spacing w:val="-4"/>
          <w:sz w:val="38"/>
        </w:rPr>
        <w:t> </w:t>
      </w:r>
      <w:r>
        <w:rPr>
          <w:i/>
          <w:sz w:val="38"/>
        </w:rPr>
        <w:t>as</w:t>
      </w:r>
      <w:r>
        <w:rPr>
          <w:i/>
          <w:spacing w:val="-8"/>
          <w:sz w:val="38"/>
        </w:rPr>
        <w:t> </w:t>
      </w:r>
      <w:r>
        <w:rPr>
          <w:i/>
          <w:sz w:val="38"/>
        </w:rPr>
        <w:t>to</w:t>
      </w:r>
      <w:r>
        <w:rPr>
          <w:i/>
          <w:spacing w:val="-6"/>
          <w:sz w:val="38"/>
        </w:rPr>
        <w:t> </w:t>
      </w:r>
      <w:r>
        <w:rPr>
          <w:i/>
          <w:sz w:val="38"/>
        </w:rPr>
        <w:t>what</w:t>
      </w:r>
      <w:r>
        <w:rPr>
          <w:i/>
          <w:spacing w:val="-4"/>
          <w:sz w:val="38"/>
        </w:rPr>
        <w:t> </w:t>
      </w:r>
      <w:r>
        <w:rPr>
          <w:i/>
          <w:sz w:val="38"/>
        </w:rPr>
        <w:t>extent</w:t>
      </w:r>
      <w:r>
        <w:rPr>
          <w:i/>
          <w:spacing w:val="-5"/>
          <w:sz w:val="38"/>
        </w:rPr>
        <w:t> </w:t>
      </w:r>
      <w:r>
        <w:rPr>
          <w:i/>
          <w:sz w:val="38"/>
        </w:rPr>
        <w:t>stevia</w:t>
      </w:r>
      <w:r>
        <w:rPr>
          <w:i/>
          <w:spacing w:val="-5"/>
          <w:sz w:val="38"/>
        </w:rPr>
        <w:t> </w:t>
      </w:r>
      <w:r>
        <w:rPr>
          <w:i/>
          <w:sz w:val="38"/>
        </w:rPr>
        <w:t>is</w:t>
      </w:r>
      <w:r>
        <w:rPr>
          <w:i/>
          <w:spacing w:val="-6"/>
          <w:sz w:val="38"/>
        </w:rPr>
        <w:t> </w:t>
      </w:r>
      <w:r>
        <w:rPr>
          <w:i/>
          <w:sz w:val="38"/>
        </w:rPr>
        <w:t>affected</w:t>
      </w:r>
      <w:r>
        <w:rPr>
          <w:i/>
          <w:spacing w:val="-4"/>
          <w:sz w:val="38"/>
        </w:rPr>
        <w:t> </w:t>
      </w:r>
      <w:r>
        <w:rPr>
          <w:i/>
          <w:sz w:val="38"/>
        </w:rPr>
        <w:t>by</w:t>
      </w:r>
      <w:r>
        <w:rPr>
          <w:i/>
          <w:spacing w:val="-7"/>
          <w:sz w:val="38"/>
        </w:rPr>
        <w:t> </w:t>
      </w:r>
      <w:r>
        <w:rPr>
          <w:i/>
          <w:sz w:val="38"/>
        </w:rPr>
        <w:t>the</w:t>
      </w:r>
      <w:r>
        <w:rPr>
          <w:i/>
          <w:spacing w:val="-6"/>
          <w:sz w:val="38"/>
        </w:rPr>
        <w:t> </w:t>
      </w:r>
      <w:r>
        <w:rPr>
          <w:i/>
          <w:sz w:val="38"/>
        </w:rPr>
        <w:t>EU</w:t>
      </w:r>
      <w:r>
        <w:rPr>
          <w:i/>
          <w:spacing w:val="-4"/>
          <w:sz w:val="38"/>
        </w:rPr>
        <w:t> </w:t>
      </w:r>
      <w:r>
        <w:rPr>
          <w:i/>
          <w:sz w:val="38"/>
        </w:rPr>
        <w:t>prohibition</w:t>
      </w:r>
      <w:r>
        <w:rPr>
          <w:i/>
          <w:spacing w:val="-4"/>
          <w:sz w:val="38"/>
        </w:rPr>
        <w:t> </w:t>
      </w:r>
      <w:r>
        <w:rPr>
          <w:i/>
          <w:sz w:val="38"/>
        </w:rPr>
        <w:t>on</w:t>
      </w:r>
      <w:r>
        <w:rPr>
          <w:i/>
          <w:spacing w:val="-5"/>
          <w:sz w:val="38"/>
        </w:rPr>
        <w:t> </w:t>
      </w:r>
      <w:r>
        <w:rPr>
          <w:i/>
          <w:sz w:val="38"/>
        </w:rPr>
        <w:t>its</w:t>
      </w:r>
      <w:r>
        <w:rPr>
          <w:i/>
          <w:spacing w:val="-7"/>
          <w:sz w:val="38"/>
        </w:rPr>
        <w:t> </w:t>
      </w:r>
      <w:r>
        <w:rPr>
          <w:i/>
          <w:sz w:val="38"/>
        </w:rPr>
        <w:t>sale</w:t>
      </w:r>
      <w:r>
        <w:rPr>
          <w:i/>
          <w:spacing w:val="-3"/>
          <w:sz w:val="38"/>
        </w:rPr>
        <w:t> </w:t>
      </w:r>
      <w:r>
        <w:rPr>
          <w:i/>
          <w:sz w:val="38"/>
        </w:rPr>
        <w:t>as</w:t>
      </w:r>
      <w:r>
        <w:rPr>
          <w:i/>
          <w:spacing w:val="-6"/>
          <w:sz w:val="38"/>
        </w:rPr>
        <w:t> </w:t>
      </w:r>
      <w:r>
        <w:rPr>
          <w:i/>
          <w:sz w:val="38"/>
        </w:rPr>
        <w:t>a</w:t>
      </w:r>
      <w:r>
        <w:rPr>
          <w:i/>
          <w:spacing w:val="-7"/>
          <w:sz w:val="38"/>
        </w:rPr>
        <w:t> </w:t>
      </w:r>
      <w:r>
        <w:rPr>
          <w:i/>
          <w:sz w:val="38"/>
        </w:rPr>
        <w:t>foodstuff </w:t>
      </w:r>
      <w:r>
        <w:rPr>
          <w:i/>
          <w:sz w:val="38"/>
        </w:rPr>
        <w:t>('living stevia plant') or component of tea is still</w:t>
      </w:r>
      <w:r>
        <w:rPr>
          <w:i/>
          <w:spacing w:val="-2"/>
          <w:sz w:val="38"/>
        </w:rPr>
        <w:t> </w:t>
      </w:r>
      <w:r>
        <w:rPr>
          <w:i/>
          <w:sz w:val="38"/>
        </w:rPr>
        <w:t>contentious.</w:t>
      </w:r>
    </w:p>
    <w:p>
      <w:pPr>
        <w:spacing w:line="276" w:lineRule="auto" w:before="240"/>
        <w:ind w:left="616" w:right="132" w:firstLine="0"/>
        <w:jc w:val="both"/>
        <w:rPr>
          <w:i/>
          <w:sz w:val="38"/>
        </w:rPr>
      </w:pPr>
      <w:r>
        <w:rPr>
          <w:i/>
          <w:sz w:val="38"/>
        </w:rPr>
        <w:t>A lance was broken for the central American sweet plant with the association 'Stevia für </w:t>
      </w:r>
      <w:r>
        <w:rPr>
          <w:i/>
          <w:sz w:val="38"/>
        </w:rPr>
        <w:t>Alle' ('Stevia for All') (Margit Holly, Scharnhorst Str. 1, 65195 Wiesbaden, Fax 0611/9406839).</w:t>
      </w:r>
      <w:r>
        <w:rPr>
          <w:i/>
          <w:spacing w:val="-18"/>
          <w:sz w:val="38"/>
        </w:rPr>
        <w:t> </w:t>
      </w:r>
      <w:r>
        <w:rPr>
          <w:i/>
          <w:sz w:val="38"/>
        </w:rPr>
        <w:t>Here,</w:t>
      </w:r>
      <w:r>
        <w:rPr>
          <w:i/>
          <w:spacing w:val="-18"/>
          <w:sz w:val="38"/>
        </w:rPr>
        <w:t> </w:t>
      </w:r>
      <w:r>
        <w:rPr>
          <w:i/>
          <w:sz w:val="38"/>
        </w:rPr>
        <w:t>reference</w:t>
      </w:r>
      <w:r>
        <w:rPr>
          <w:i/>
          <w:spacing w:val="-19"/>
          <w:sz w:val="38"/>
        </w:rPr>
        <w:t> </w:t>
      </w:r>
      <w:r>
        <w:rPr>
          <w:i/>
          <w:sz w:val="38"/>
        </w:rPr>
        <w:t>is</w:t>
      </w:r>
      <w:r>
        <w:rPr>
          <w:i/>
          <w:spacing w:val="-20"/>
          <w:sz w:val="38"/>
        </w:rPr>
        <w:t> </w:t>
      </w:r>
      <w:r>
        <w:rPr>
          <w:i/>
          <w:sz w:val="38"/>
        </w:rPr>
        <w:t>made</w:t>
      </w:r>
      <w:r>
        <w:rPr>
          <w:i/>
          <w:spacing w:val="-17"/>
          <w:sz w:val="38"/>
        </w:rPr>
        <w:t> </w:t>
      </w:r>
      <w:r>
        <w:rPr>
          <w:i/>
          <w:sz w:val="38"/>
        </w:rPr>
        <w:t>to</w:t>
      </w:r>
      <w:r>
        <w:rPr>
          <w:i/>
          <w:spacing w:val="-19"/>
          <w:sz w:val="38"/>
        </w:rPr>
        <w:t> </w:t>
      </w:r>
      <w:r>
        <w:rPr>
          <w:i/>
          <w:sz w:val="38"/>
        </w:rPr>
        <w:t>the</w:t>
      </w:r>
      <w:r>
        <w:rPr>
          <w:i/>
          <w:spacing w:val="-19"/>
          <w:sz w:val="38"/>
        </w:rPr>
        <w:t> </w:t>
      </w:r>
      <w:r>
        <w:rPr>
          <w:i/>
          <w:sz w:val="38"/>
        </w:rPr>
        <w:t>fact</w:t>
      </w:r>
      <w:r>
        <w:rPr>
          <w:i/>
          <w:spacing w:val="-17"/>
          <w:sz w:val="38"/>
        </w:rPr>
        <w:t> </w:t>
      </w:r>
      <w:r>
        <w:rPr>
          <w:i/>
          <w:sz w:val="38"/>
        </w:rPr>
        <w:t>that</w:t>
      </w:r>
      <w:r>
        <w:rPr>
          <w:i/>
          <w:spacing w:val="-18"/>
          <w:sz w:val="38"/>
        </w:rPr>
        <w:t> </w:t>
      </w:r>
      <w:r>
        <w:rPr>
          <w:i/>
          <w:sz w:val="38"/>
        </w:rPr>
        <w:t>recent</w:t>
      </w:r>
      <w:r>
        <w:rPr>
          <w:i/>
          <w:spacing w:val="-18"/>
          <w:sz w:val="38"/>
        </w:rPr>
        <w:t> </w:t>
      </w:r>
      <w:r>
        <w:rPr>
          <w:i/>
          <w:sz w:val="38"/>
        </w:rPr>
        <w:t>publications</w:t>
      </w:r>
      <w:r>
        <w:rPr>
          <w:i/>
          <w:spacing w:val="-19"/>
          <w:sz w:val="38"/>
        </w:rPr>
        <w:t> </w:t>
      </w:r>
      <w:r>
        <w:rPr>
          <w:i/>
          <w:sz w:val="38"/>
        </w:rPr>
        <w:t>regarding</w:t>
      </w:r>
      <w:r>
        <w:rPr>
          <w:i/>
          <w:spacing w:val="-18"/>
          <w:sz w:val="38"/>
        </w:rPr>
        <w:t> </w:t>
      </w:r>
      <w:r>
        <w:rPr>
          <w:i/>
          <w:sz w:val="38"/>
        </w:rPr>
        <w:t>stevia have caused more harm than good as the plant is extolled as a 'wonder plant' </w:t>
      </w:r>
      <w:r>
        <w:rPr>
          <w:sz w:val="38"/>
        </w:rPr>
        <w:t>– </w:t>
      </w:r>
      <w:r>
        <w:rPr>
          <w:i/>
          <w:sz w:val="38"/>
        </w:rPr>
        <w:t>a claim </w:t>
      </w:r>
      <w:r>
        <w:rPr>
          <w:i/>
          <w:sz w:val="38"/>
        </w:rPr>
        <w:t>which cannot be honoured.</w:t>
      </w:r>
    </w:p>
    <w:p>
      <w:pPr>
        <w:spacing w:line="276" w:lineRule="auto" w:before="240"/>
        <w:ind w:left="616" w:right="132" w:firstLine="0"/>
        <w:jc w:val="both"/>
        <w:rPr>
          <w:i/>
          <w:sz w:val="38"/>
        </w:rPr>
      </w:pPr>
      <w:r>
        <w:rPr>
          <w:i/>
          <w:sz w:val="38"/>
        </w:rPr>
        <w:t>Nonetheless, this is a valuable sugar alternative and sugar substitute and it is completely </w:t>
      </w:r>
      <w:r>
        <w:rPr>
          <w:i/>
          <w:sz w:val="38"/>
        </w:rPr>
        <w:t>overblown when the press report statements in big letters like: 'Consumer headquarters</w:t>
      </w:r>
      <w:r>
        <w:rPr>
          <w:i/>
          <w:spacing w:val="-58"/>
          <w:sz w:val="38"/>
        </w:rPr>
        <w:t> </w:t>
      </w:r>
      <w:r>
        <w:rPr>
          <w:i/>
          <w:sz w:val="38"/>
        </w:rPr>
        <w:t>warn about consumption.'</w:t>
      </w:r>
    </w:p>
    <w:p>
      <w:pPr>
        <w:spacing w:after="0" w:line="276" w:lineRule="auto"/>
        <w:jc w:val="both"/>
        <w:rPr>
          <w:sz w:val="38"/>
        </w:rPr>
        <w:sectPr>
          <w:pgSz w:w="14270" w:h="16850"/>
          <w:pgMar w:header="0" w:footer="1891" w:top="1340" w:bottom="2080" w:left="800" w:right="1280"/>
        </w:sectPr>
      </w:pPr>
    </w:p>
    <w:p>
      <w:pPr>
        <w:spacing w:before="74"/>
        <w:ind w:left="616" w:right="0" w:firstLine="0"/>
        <w:jc w:val="left"/>
        <w:rPr>
          <w:sz w:val="38"/>
        </w:rPr>
      </w:pPr>
      <w:r>
        <w:rPr>
          <w:b/>
          <w:sz w:val="38"/>
        </w:rPr>
        <w:t>Raum&amp;Zeit </w:t>
      </w:r>
      <w:r>
        <w:rPr>
          <w:sz w:val="38"/>
        </w:rPr>
        <w:t>(105/2000, page 46)</w:t>
      </w:r>
    </w:p>
    <w:p>
      <w:pPr>
        <w:spacing w:before="302"/>
        <w:ind w:left="616" w:right="0" w:firstLine="0"/>
        <w:jc w:val="left"/>
        <w:rPr>
          <w:i/>
          <w:sz w:val="38"/>
        </w:rPr>
      </w:pPr>
      <w:r>
        <w:rPr>
          <w:i/>
          <w:sz w:val="38"/>
        </w:rPr>
        <w:t>European Union stops sales</w:t>
      </w:r>
    </w:p>
    <w:p>
      <w:pPr>
        <w:spacing w:line="276" w:lineRule="auto" w:before="305"/>
        <w:ind w:left="616" w:right="135" w:firstLine="0"/>
        <w:jc w:val="both"/>
        <w:rPr>
          <w:i/>
          <w:sz w:val="38"/>
        </w:rPr>
      </w:pPr>
      <w:r>
        <w:rPr>
          <w:i/>
          <w:sz w:val="38"/>
        </w:rPr>
        <w:t>It</w:t>
      </w:r>
      <w:r>
        <w:rPr>
          <w:i/>
          <w:spacing w:val="-11"/>
          <w:sz w:val="38"/>
        </w:rPr>
        <w:t> </w:t>
      </w:r>
      <w:r>
        <w:rPr>
          <w:i/>
          <w:sz w:val="38"/>
        </w:rPr>
        <w:t>all</w:t>
      </w:r>
      <w:r>
        <w:rPr>
          <w:i/>
          <w:spacing w:val="-10"/>
          <w:sz w:val="38"/>
        </w:rPr>
        <w:t> </w:t>
      </w:r>
      <w:r>
        <w:rPr>
          <w:i/>
          <w:sz w:val="38"/>
        </w:rPr>
        <w:t>sounded</w:t>
      </w:r>
      <w:r>
        <w:rPr>
          <w:i/>
          <w:spacing w:val="-12"/>
          <w:sz w:val="38"/>
        </w:rPr>
        <w:t> </w:t>
      </w:r>
      <w:r>
        <w:rPr>
          <w:i/>
          <w:sz w:val="38"/>
        </w:rPr>
        <w:t>so</w:t>
      </w:r>
      <w:r>
        <w:rPr>
          <w:i/>
          <w:spacing w:val="-11"/>
          <w:sz w:val="38"/>
        </w:rPr>
        <w:t> </w:t>
      </w:r>
      <w:r>
        <w:rPr>
          <w:i/>
          <w:sz w:val="38"/>
        </w:rPr>
        <w:t>good:</w:t>
      </w:r>
      <w:r>
        <w:rPr>
          <w:i/>
          <w:spacing w:val="-11"/>
          <w:sz w:val="38"/>
        </w:rPr>
        <w:t> </w:t>
      </w:r>
      <w:r>
        <w:rPr>
          <w:i/>
          <w:sz w:val="38"/>
        </w:rPr>
        <w:t>a</w:t>
      </w:r>
      <w:r>
        <w:rPr>
          <w:i/>
          <w:spacing w:val="-12"/>
          <w:sz w:val="38"/>
        </w:rPr>
        <w:t> </w:t>
      </w:r>
      <w:r>
        <w:rPr>
          <w:i/>
          <w:sz w:val="38"/>
        </w:rPr>
        <w:t>new</w:t>
      </w:r>
      <w:r>
        <w:rPr>
          <w:i/>
          <w:spacing w:val="-11"/>
          <w:sz w:val="38"/>
        </w:rPr>
        <w:t> </w:t>
      </w:r>
      <w:r>
        <w:rPr>
          <w:i/>
          <w:sz w:val="38"/>
        </w:rPr>
        <w:t>type</w:t>
      </w:r>
      <w:r>
        <w:rPr>
          <w:i/>
          <w:spacing w:val="-11"/>
          <w:sz w:val="38"/>
        </w:rPr>
        <w:t> </w:t>
      </w:r>
      <w:r>
        <w:rPr>
          <w:i/>
          <w:sz w:val="38"/>
        </w:rPr>
        <w:t>of</w:t>
      </w:r>
      <w:r>
        <w:rPr>
          <w:i/>
          <w:spacing w:val="-11"/>
          <w:sz w:val="38"/>
        </w:rPr>
        <w:t> </w:t>
      </w:r>
      <w:r>
        <w:rPr>
          <w:i/>
          <w:sz w:val="38"/>
        </w:rPr>
        <w:t>sweetener,</w:t>
      </w:r>
      <w:r>
        <w:rPr>
          <w:i/>
          <w:spacing w:val="-10"/>
          <w:sz w:val="38"/>
        </w:rPr>
        <w:t> </w:t>
      </w:r>
      <w:r>
        <w:rPr>
          <w:i/>
          <w:sz w:val="38"/>
        </w:rPr>
        <w:t>sweeter</w:t>
      </w:r>
      <w:r>
        <w:rPr>
          <w:i/>
          <w:spacing w:val="-10"/>
          <w:sz w:val="38"/>
        </w:rPr>
        <w:t> </w:t>
      </w:r>
      <w:r>
        <w:rPr>
          <w:i/>
          <w:sz w:val="38"/>
        </w:rPr>
        <w:t>than</w:t>
      </w:r>
      <w:r>
        <w:rPr>
          <w:i/>
          <w:spacing w:val="-10"/>
          <w:sz w:val="38"/>
        </w:rPr>
        <w:t> </w:t>
      </w:r>
      <w:r>
        <w:rPr>
          <w:i/>
          <w:sz w:val="38"/>
        </w:rPr>
        <w:t>sugar</w:t>
      </w:r>
      <w:r>
        <w:rPr>
          <w:i/>
          <w:spacing w:val="-11"/>
          <w:sz w:val="38"/>
        </w:rPr>
        <w:t> </w:t>
      </w:r>
      <w:r>
        <w:rPr>
          <w:i/>
          <w:sz w:val="38"/>
        </w:rPr>
        <w:t>but</w:t>
      </w:r>
      <w:r>
        <w:rPr>
          <w:i/>
          <w:spacing w:val="-9"/>
          <w:sz w:val="38"/>
        </w:rPr>
        <w:t> </w:t>
      </w:r>
      <w:r>
        <w:rPr>
          <w:i/>
          <w:sz w:val="38"/>
        </w:rPr>
        <w:t>completely</w:t>
      </w:r>
      <w:r>
        <w:rPr>
          <w:i/>
          <w:spacing w:val="-9"/>
          <w:sz w:val="38"/>
        </w:rPr>
        <w:t> </w:t>
      </w:r>
      <w:r>
        <w:rPr>
          <w:i/>
          <w:sz w:val="38"/>
        </w:rPr>
        <w:t>healthy</w:t>
      </w:r>
      <w:r>
        <w:rPr>
          <w:i/>
          <w:spacing w:val="-11"/>
          <w:sz w:val="38"/>
        </w:rPr>
        <w:t> </w:t>
      </w:r>
      <w:r>
        <w:rPr>
          <w:i/>
          <w:sz w:val="38"/>
        </w:rPr>
        <w:t>and </w:t>
      </w:r>
      <w:r>
        <w:rPr>
          <w:i/>
          <w:sz w:val="38"/>
        </w:rPr>
        <w:t>even suitable for people with excess weight and diabetics (see raum&amp;zeit No. 103 'Stevia</w:t>
      </w:r>
      <w:r>
        <w:rPr>
          <w:i/>
          <w:spacing w:val="-59"/>
          <w:sz w:val="38"/>
        </w:rPr>
        <w:t> </w:t>
      </w:r>
      <w:r>
        <w:rPr>
          <w:i/>
          <w:sz w:val="38"/>
        </w:rPr>
        <w:t>– süßer als Zucker und so gesund' ('Stevia - sweeter than sugar and</w:t>
      </w:r>
      <w:r>
        <w:rPr>
          <w:i/>
          <w:spacing w:val="-7"/>
          <w:sz w:val="38"/>
        </w:rPr>
        <w:t> </w:t>
      </w:r>
      <w:r>
        <w:rPr>
          <w:i/>
          <w:sz w:val="38"/>
        </w:rPr>
        <w:t>super-healthy').</w:t>
      </w:r>
    </w:p>
    <w:p>
      <w:pPr>
        <w:spacing w:before="241"/>
        <w:ind w:left="616" w:right="0" w:firstLine="0"/>
        <w:jc w:val="left"/>
        <w:rPr>
          <w:i/>
          <w:sz w:val="38"/>
        </w:rPr>
      </w:pPr>
      <w:r>
        <w:rPr>
          <w:i/>
          <w:sz w:val="38"/>
        </w:rPr>
        <w:t>Too good to be true?</w:t>
      </w:r>
    </w:p>
    <w:p>
      <w:pPr>
        <w:spacing w:line="276" w:lineRule="auto" w:before="305"/>
        <w:ind w:left="616" w:right="133" w:firstLine="0"/>
        <w:jc w:val="both"/>
        <w:rPr>
          <w:i/>
          <w:sz w:val="38"/>
        </w:rPr>
      </w:pPr>
      <w:r>
        <w:rPr>
          <w:i/>
          <w:sz w:val="38"/>
        </w:rPr>
        <w:t>It seems the European Union at least holds that opinion, as it has not recommended the </w:t>
      </w:r>
      <w:r>
        <w:rPr>
          <w:i/>
          <w:sz w:val="38"/>
        </w:rPr>
        <w:t>dried leaves of Stevia rebaudiana as a novel food. The provision was issued on 22 February 2000. The EU food commission has rejected the approval of Stevia rebaudiana with the reason that there is insufficient information to guarantee that it is harmless.</w:t>
      </w:r>
    </w:p>
    <w:p>
      <w:pPr>
        <w:spacing w:line="276" w:lineRule="auto" w:before="239"/>
        <w:ind w:left="616" w:right="134" w:firstLine="0"/>
        <w:jc w:val="both"/>
        <w:rPr>
          <w:i/>
          <w:sz w:val="38"/>
        </w:rPr>
      </w:pPr>
      <w:r>
        <w:rPr>
          <w:i/>
          <w:sz w:val="38"/>
        </w:rPr>
        <w:t>Thus, the fact that, over the past centuries, many scientific investigations have been carried </w:t>
      </w:r>
      <w:r>
        <w:rPr>
          <w:i/>
          <w:sz w:val="38"/>
        </w:rPr>
        <w:t>out internationally regarding the harmlessness of stevia, has been ignored. In Japan, for ex- ample, stevia has been approved since 1976, in Canada and the USA, Stevia rebaudiana is available as a nutritional supplement.</w:t>
      </w:r>
    </w:p>
    <w:p>
      <w:pPr>
        <w:spacing w:after="0" w:line="276" w:lineRule="auto"/>
        <w:jc w:val="both"/>
        <w:rPr>
          <w:sz w:val="38"/>
        </w:rPr>
        <w:sectPr>
          <w:pgSz w:w="14270" w:h="16850"/>
          <w:pgMar w:header="0" w:footer="1891" w:top="1340" w:bottom="2080" w:left="800" w:right="1280"/>
        </w:sectPr>
      </w:pPr>
    </w:p>
    <w:p>
      <w:pPr>
        <w:spacing w:before="73"/>
        <w:ind w:left="616" w:right="0" w:firstLine="0"/>
        <w:jc w:val="left"/>
        <w:rPr>
          <w:rFonts w:ascii="Cambria"/>
          <w:b/>
          <w:sz w:val="28"/>
        </w:rPr>
      </w:pPr>
      <w:r>
        <w:rPr>
          <w:rFonts w:ascii="Cambria"/>
          <w:b/>
          <w:color w:val="365F91"/>
          <w:sz w:val="28"/>
        </w:rPr>
        <w:t>STROPHANTHIN</w:t>
      </w:r>
    </w:p>
    <w:p>
      <w:pPr>
        <w:pStyle w:val="Heading1"/>
        <w:spacing w:line="391" w:lineRule="auto" w:before="273"/>
        <w:ind w:left="616" w:right="6997"/>
      </w:pPr>
      <w:r>
        <w:rPr>
          <w:w w:val="95"/>
        </w:rPr>
        <w:t>Strophanthin – a suppressed </w:t>
      </w:r>
      <w:r>
        <w:rPr/>
        <w:t>'blessing for</w:t>
      </w:r>
      <w:r>
        <w:rPr>
          <w:spacing w:val="-54"/>
        </w:rPr>
        <w:t> </w:t>
      </w:r>
      <w:r>
        <w:rPr/>
        <w:t>cardiology'</w:t>
      </w:r>
    </w:p>
    <w:p>
      <w:pPr>
        <w:pStyle w:val="BodyText"/>
        <w:spacing w:line="276" w:lineRule="auto" w:before="11"/>
        <w:ind w:left="616" w:right="133"/>
        <w:jc w:val="both"/>
      </w:pPr>
      <w:r>
        <w:rPr/>
        <w:t>Strophanthin, which was known and rightly celebrated just a few years ago as 'insulin</w:t>
      </w:r>
      <w:r>
        <w:rPr>
          <w:spacing w:val="-23"/>
        </w:rPr>
        <w:t> </w:t>
      </w:r>
      <w:r>
        <w:rPr/>
        <w:t>for</w:t>
      </w:r>
      <w:r>
        <w:rPr>
          <w:spacing w:val="-23"/>
        </w:rPr>
        <w:t> </w:t>
      </w:r>
      <w:r>
        <w:rPr/>
        <w:t>cardiac</w:t>
      </w:r>
      <w:r>
        <w:rPr>
          <w:spacing w:val="-23"/>
        </w:rPr>
        <w:t> </w:t>
      </w:r>
      <w:r>
        <w:rPr/>
        <w:t>patients',</w:t>
      </w:r>
      <w:r>
        <w:rPr>
          <w:spacing w:val="-23"/>
        </w:rPr>
        <w:t> </w:t>
      </w:r>
      <w:r>
        <w:rPr/>
        <w:t>is</w:t>
      </w:r>
      <w:r>
        <w:rPr>
          <w:spacing w:val="-23"/>
        </w:rPr>
        <w:t> </w:t>
      </w:r>
      <w:r>
        <w:rPr/>
        <w:t>now</w:t>
      </w:r>
      <w:r>
        <w:rPr>
          <w:spacing w:val="-24"/>
        </w:rPr>
        <w:t> </w:t>
      </w:r>
      <w:r>
        <w:rPr/>
        <w:t>in</w:t>
      </w:r>
      <w:r>
        <w:rPr>
          <w:spacing w:val="-23"/>
        </w:rPr>
        <w:t> </w:t>
      </w:r>
      <w:r>
        <w:rPr/>
        <w:t>dire</w:t>
      </w:r>
      <w:r>
        <w:rPr>
          <w:spacing w:val="-22"/>
        </w:rPr>
        <w:t> </w:t>
      </w:r>
      <w:r>
        <w:rPr/>
        <w:t>straits</w:t>
      </w:r>
      <w:r>
        <w:rPr>
          <w:spacing w:val="-23"/>
        </w:rPr>
        <w:t> </w:t>
      </w:r>
      <w:r>
        <w:rPr/>
        <w:t>and</w:t>
      </w:r>
      <w:r>
        <w:rPr>
          <w:spacing w:val="-23"/>
        </w:rPr>
        <w:t> </w:t>
      </w:r>
      <w:r>
        <w:rPr/>
        <w:t>has</w:t>
      </w:r>
      <w:r>
        <w:rPr>
          <w:spacing w:val="-22"/>
        </w:rPr>
        <w:t> </w:t>
      </w:r>
      <w:r>
        <w:rPr/>
        <w:t>nearly</w:t>
      </w:r>
      <w:r>
        <w:rPr>
          <w:spacing w:val="-24"/>
        </w:rPr>
        <w:t> </w:t>
      </w:r>
      <w:r>
        <w:rPr/>
        <w:t>been</w:t>
      </w:r>
      <w:r>
        <w:rPr>
          <w:spacing w:val="-22"/>
        </w:rPr>
        <w:t> </w:t>
      </w:r>
      <w:r>
        <w:rPr/>
        <w:t>forgotten. The</w:t>
      </w:r>
      <w:r>
        <w:rPr>
          <w:spacing w:val="-9"/>
        </w:rPr>
        <w:t> </w:t>
      </w:r>
      <w:r>
        <w:rPr/>
        <w:t>specialist</w:t>
      </w:r>
      <w:r>
        <w:rPr>
          <w:spacing w:val="-10"/>
        </w:rPr>
        <w:t> </w:t>
      </w:r>
      <w:r>
        <w:rPr/>
        <w:t>is</w:t>
      </w:r>
      <w:r>
        <w:rPr>
          <w:spacing w:val="-12"/>
        </w:rPr>
        <w:t> </w:t>
      </w:r>
      <w:r>
        <w:rPr/>
        <w:t>astonished</w:t>
      </w:r>
      <w:r>
        <w:rPr>
          <w:spacing w:val="-9"/>
        </w:rPr>
        <w:t> </w:t>
      </w:r>
      <w:r>
        <w:rPr/>
        <w:t>and</w:t>
      </w:r>
      <w:r>
        <w:rPr>
          <w:spacing w:val="-8"/>
        </w:rPr>
        <w:t> </w:t>
      </w:r>
      <w:r>
        <w:rPr/>
        <w:t>the</w:t>
      </w:r>
      <w:r>
        <w:rPr>
          <w:spacing w:val="-9"/>
        </w:rPr>
        <w:t> </w:t>
      </w:r>
      <w:r>
        <w:rPr/>
        <w:t>layman</w:t>
      </w:r>
      <w:r>
        <w:rPr>
          <w:spacing w:val="-9"/>
        </w:rPr>
        <w:t> </w:t>
      </w:r>
      <w:r>
        <w:rPr/>
        <w:t>wonders</w:t>
      </w:r>
      <w:r>
        <w:rPr>
          <w:spacing w:val="-9"/>
        </w:rPr>
        <w:t> </w:t>
      </w:r>
      <w:r>
        <w:rPr/>
        <w:t>–</w:t>
      </w:r>
      <w:r>
        <w:rPr>
          <w:spacing w:val="-9"/>
        </w:rPr>
        <w:t> </w:t>
      </w:r>
      <w:r>
        <w:rPr/>
        <w:t>this</w:t>
      </w:r>
      <w:r>
        <w:rPr>
          <w:spacing w:val="-9"/>
        </w:rPr>
        <w:t> </w:t>
      </w:r>
      <w:r>
        <w:rPr/>
        <w:t>could</w:t>
      </w:r>
      <w:r>
        <w:rPr>
          <w:spacing w:val="-11"/>
        </w:rPr>
        <w:t> </w:t>
      </w:r>
      <w:r>
        <w:rPr/>
        <w:t>be</w:t>
      </w:r>
      <w:r>
        <w:rPr>
          <w:spacing w:val="-9"/>
        </w:rPr>
        <w:t> </w:t>
      </w:r>
      <w:r>
        <w:rPr/>
        <w:t>the</w:t>
      </w:r>
      <w:r>
        <w:rPr>
          <w:spacing w:val="-11"/>
        </w:rPr>
        <w:t> </w:t>
      </w:r>
      <w:r>
        <w:rPr/>
        <w:t>title</w:t>
      </w:r>
      <w:r>
        <w:rPr>
          <w:spacing w:val="-9"/>
        </w:rPr>
        <w:t> </w:t>
      </w:r>
      <w:r>
        <w:rPr/>
        <w:t>of this very unique 'strophanthin</w:t>
      </w:r>
      <w:r>
        <w:rPr>
          <w:spacing w:val="3"/>
        </w:rPr>
        <w:t> </w:t>
      </w:r>
      <w:r>
        <w:rPr/>
        <w:t>case'...</w:t>
      </w:r>
    </w:p>
    <w:p>
      <w:pPr>
        <w:pStyle w:val="BodyText"/>
        <w:spacing w:line="276" w:lineRule="auto" w:before="242"/>
        <w:ind w:left="616" w:right="131"/>
        <w:jc w:val="both"/>
      </w:pPr>
      <w:r>
        <w:rPr/>
        <w:t>Yet</w:t>
      </w:r>
      <w:r>
        <w:rPr>
          <w:spacing w:val="-11"/>
        </w:rPr>
        <w:t> </w:t>
      </w:r>
      <w:r>
        <w:rPr/>
        <w:t>it</w:t>
      </w:r>
      <w:r>
        <w:rPr>
          <w:spacing w:val="-12"/>
        </w:rPr>
        <w:t> </w:t>
      </w:r>
      <w:r>
        <w:rPr/>
        <w:t>refers</w:t>
      </w:r>
      <w:r>
        <w:rPr>
          <w:spacing w:val="-9"/>
        </w:rPr>
        <w:t> </w:t>
      </w:r>
      <w:r>
        <w:rPr/>
        <w:t>to</w:t>
      </w:r>
      <w:r>
        <w:rPr>
          <w:spacing w:val="-10"/>
        </w:rPr>
        <w:t> </w:t>
      </w:r>
      <w:r>
        <w:rPr/>
        <w:t>one</w:t>
      </w:r>
      <w:r>
        <w:rPr>
          <w:spacing w:val="-10"/>
        </w:rPr>
        <w:t> </w:t>
      </w:r>
      <w:r>
        <w:rPr/>
        <w:t>of</w:t>
      </w:r>
      <w:r>
        <w:rPr>
          <w:spacing w:val="-10"/>
        </w:rPr>
        <w:t> </w:t>
      </w:r>
      <w:r>
        <w:rPr/>
        <w:t>the</w:t>
      </w:r>
      <w:r>
        <w:rPr>
          <w:spacing w:val="-10"/>
        </w:rPr>
        <w:t> </w:t>
      </w:r>
      <w:r>
        <w:rPr/>
        <w:t>greatest</w:t>
      </w:r>
      <w:r>
        <w:rPr>
          <w:spacing w:val="-11"/>
        </w:rPr>
        <w:t> </w:t>
      </w:r>
      <w:r>
        <w:rPr/>
        <w:t>scandals</w:t>
      </w:r>
      <w:r>
        <w:rPr>
          <w:spacing w:val="-11"/>
        </w:rPr>
        <w:t> </w:t>
      </w:r>
      <w:r>
        <w:rPr/>
        <w:t>in</w:t>
      </w:r>
      <w:r>
        <w:rPr>
          <w:spacing w:val="-12"/>
        </w:rPr>
        <w:t> </w:t>
      </w:r>
      <w:r>
        <w:rPr/>
        <w:t>the</w:t>
      </w:r>
      <w:r>
        <w:rPr>
          <w:spacing w:val="-10"/>
        </w:rPr>
        <w:t> </w:t>
      </w:r>
      <w:r>
        <w:rPr/>
        <w:t>history</w:t>
      </w:r>
      <w:r>
        <w:rPr>
          <w:spacing w:val="-10"/>
        </w:rPr>
        <w:t> </w:t>
      </w:r>
      <w:r>
        <w:rPr/>
        <w:t>of</w:t>
      </w:r>
      <w:r>
        <w:rPr>
          <w:spacing w:val="-10"/>
        </w:rPr>
        <w:t> </w:t>
      </w:r>
      <w:r>
        <w:rPr/>
        <w:t>German</w:t>
      </w:r>
      <w:r>
        <w:rPr>
          <w:spacing w:val="-10"/>
        </w:rPr>
        <w:t> </w:t>
      </w:r>
      <w:r>
        <w:rPr/>
        <w:t>medicine, when a natural and side-effect-free herbal substance named 'strophanthin' en- joyed a glorious ascent only to reach a precipitous end a short time later, de- spite</w:t>
      </w:r>
      <w:r>
        <w:rPr>
          <w:spacing w:val="-12"/>
        </w:rPr>
        <w:t> </w:t>
      </w:r>
      <w:r>
        <w:rPr/>
        <w:t>clearly</w:t>
      </w:r>
      <w:r>
        <w:rPr>
          <w:spacing w:val="-11"/>
        </w:rPr>
        <w:t> </w:t>
      </w:r>
      <w:r>
        <w:rPr/>
        <w:t>proven</w:t>
      </w:r>
      <w:r>
        <w:rPr>
          <w:spacing w:val="-11"/>
        </w:rPr>
        <w:t> </w:t>
      </w:r>
      <w:r>
        <w:rPr/>
        <w:t>and</w:t>
      </w:r>
      <w:r>
        <w:rPr>
          <w:spacing w:val="-11"/>
        </w:rPr>
        <w:t> </w:t>
      </w:r>
      <w:r>
        <w:rPr/>
        <w:t>quite</w:t>
      </w:r>
      <w:r>
        <w:rPr>
          <w:spacing w:val="-12"/>
        </w:rPr>
        <w:t> </w:t>
      </w:r>
      <w:r>
        <w:rPr/>
        <w:t>sensational</w:t>
      </w:r>
      <w:r>
        <w:rPr>
          <w:spacing w:val="-12"/>
        </w:rPr>
        <w:t> </w:t>
      </w:r>
      <w:r>
        <w:rPr/>
        <w:t>positive</w:t>
      </w:r>
      <w:r>
        <w:rPr>
          <w:spacing w:val="-12"/>
        </w:rPr>
        <w:t> </w:t>
      </w:r>
      <w:r>
        <w:rPr/>
        <w:t>effects</w:t>
      </w:r>
      <w:r>
        <w:rPr>
          <w:spacing w:val="-11"/>
        </w:rPr>
        <w:t> </w:t>
      </w:r>
      <w:r>
        <w:rPr/>
        <w:t>on</w:t>
      </w:r>
      <w:r>
        <w:rPr>
          <w:spacing w:val="-11"/>
        </w:rPr>
        <w:t> </w:t>
      </w:r>
      <w:r>
        <w:rPr/>
        <w:t>heart</w:t>
      </w:r>
      <w:r>
        <w:rPr>
          <w:spacing w:val="-11"/>
        </w:rPr>
        <w:t> </w:t>
      </w:r>
      <w:r>
        <w:rPr/>
        <w:t>diseases</w:t>
      </w:r>
      <w:r>
        <w:rPr>
          <w:spacing w:val="-13"/>
        </w:rPr>
        <w:t> </w:t>
      </w:r>
      <w:r>
        <w:rPr/>
        <w:t>and cardiac insufficiency (No.1 cause of death in developed countries!) the likes</w:t>
      </w:r>
      <w:r>
        <w:rPr>
          <w:spacing w:val="-65"/>
        </w:rPr>
        <w:t> </w:t>
      </w:r>
      <w:r>
        <w:rPr/>
        <w:t>of which the medical field had never</w:t>
      </w:r>
      <w:r>
        <w:rPr>
          <w:spacing w:val="4"/>
        </w:rPr>
        <w:t> </w:t>
      </w:r>
      <w:r>
        <w:rPr/>
        <w:t>seen.</w:t>
      </w:r>
    </w:p>
    <w:p>
      <w:pPr>
        <w:pStyle w:val="Heading1"/>
        <w:spacing w:before="223"/>
        <w:ind w:left="616"/>
      </w:pPr>
      <w:r>
        <w:rPr/>
        <w:t>Let's start from the beginning</w:t>
      </w:r>
    </w:p>
    <w:p>
      <w:pPr>
        <w:pStyle w:val="BodyText"/>
        <w:spacing w:line="276" w:lineRule="auto" w:before="300"/>
        <w:ind w:left="616" w:right="135"/>
        <w:jc w:val="both"/>
      </w:pPr>
      <w:r>
        <w:rPr/>
        <w:t>We're writing in the year 1859. A certain Dr. Kirk is travelling through Africa and the seed of the strophanthus plant, of all things, contaminates his tooth- brush,</w:t>
      </w:r>
      <w:r>
        <w:rPr>
          <w:spacing w:val="-6"/>
        </w:rPr>
        <w:t> </w:t>
      </w:r>
      <w:r>
        <w:rPr/>
        <w:t>whereupon</w:t>
      </w:r>
      <w:r>
        <w:rPr>
          <w:spacing w:val="-7"/>
        </w:rPr>
        <w:t> </w:t>
      </w:r>
      <w:r>
        <w:rPr/>
        <w:t>his</w:t>
      </w:r>
      <w:r>
        <w:rPr>
          <w:spacing w:val="-6"/>
        </w:rPr>
        <w:t> </w:t>
      </w:r>
      <w:r>
        <w:rPr/>
        <w:t>heart</w:t>
      </w:r>
      <w:r>
        <w:rPr>
          <w:spacing w:val="-7"/>
        </w:rPr>
        <w:t> </w:t>
      </w:r>
      <w:r>
        <w:rPr/>
        <w:t>problems</w:t>
      </w:r>
      <w:r>
        <w:rPr>
          <w:spacing w:val="-6"/>
        </w:rPr>
        <w:t> </w:t>
      </w:r>
      <w:r>
        <w:rPr/>
        <w:t>quickly</w:t>
      </w:r>
      <w:r>
        <w:rPr>
          <w:spacing w:val="-7"/>
        </w:rPr>
        <w:t> </w:t>
      </w:r>
      <w:r>
        <w:rPr/>
        <w:t>improve,</w:t>
      </w:r>
      <w:r>
        <w:rPr>
          <w:spacing w:val="-6"/>
        </w:rPr>
        <w:t> </w:t>
      </w:r>
      <w:r>
        <w:rPr/>
        <w:t>to</w:t>
      </w:r>
      <w:r>
        <w:rPr>
          <w:spacing w:val="-7"/>
        </w:rPr>
        <w:t> </w:t>
      </w:r>
      <w:r>
        <w:rPr/>
        <w:t>his</w:t>
      </w:r>
      <w:r>
        <w:rPr>
          <w:spacing w:val="-6"/>
        </w:rPr>
        <w:t> </w:t>
      </w:r>
      <w:r>
        <w:rPr/>
        <w:t>amazement</w:t>
      </w:r>
      <w:r>
        <w:rPr>
          <w:spacing w:val="-7"/>
        </w:rPr>
        <w:t> </w:t>
      </w:r>
      <w:r>
        <w:rPr/>
        <w:t>(it</w:t>
      </w:r>
      <w:r>
        <w:rPr>
          <w:spacing w:val="-8"/>
        </w:rPr>
        <w:t> </w:t>
      </w:r>
      <w:r>
        <w:rPr/>
        <w:t>is bizarre that it should be this substance, as the natives still use it for their poi- son-tipped arrows!). The swift improvement of his condition prompted Dr. Kirk to take strophanthin to Europe. This is how strophanthin reached the European continent and was made available for scientific</w:t>
      </w:r>
      <w:r>
        <w:rPr>
          <w:spacing w:val="-7"/>
        </w:rPr>
        <w:t> </w:t>
      </w:r>
      <w:r>
        <w:rPr/>
        <w:t>research.</w:t>
      </w:r>
    </w:p>
    <w:p>
      <w:pPr>
        <w:spacing w:after="0" w:line="276" w:lineRule="auto"/>
        <w:jc w:val="both"/>
        <w:sectPr>
          <w:pgSz w:w="14270" w:h="16850"/>
          <w:pgMar w:header="0" w:footer="1891" w:top="1340" w:bottom="2080" w:left="800" w:right="1280"/>
        </w:sectPr>
      </w:pPr>
    </w:p>
    <w:p>
      <w:pPr>
        <w:pStyle w:val="BodyText"/>
        <w:spacing w:line="276" w:lineRule="auto" w:before="74"/>
        <w:ind w:left="616" w:right="138"/>
        <w:jc w:val="both"/>
      </w:pPr>
      <w:r>
        <w:rPr/>
        <w:t>However,</w:t>
      </w:r>
      <w:r>
        <w:rPr>
          <w:spacing w:val="-13"/>
        </w:rPr>
        <w:t> </w:t>
      </w:r>
      <w:r>
        <w:rPr/>
        <w:t>it</w:t>
      </w:r>
      <w:r>
        <w:rPr>
          <w:spacing w:val="-14"/>
        </w:rPr>
        <w:t> </w:t>
      </w:r>
      <w:r>
        <w:rPr/>
        <w:t>would</w:t>
      </w:r>
      <w:r>
        <w:rPr>
          <w:spacing w:val="-14"/>
        </w:rPr>
        <w:t> </w:t>
      </w:r>
      <w:r>
        <w:rPr/>
        <w:t>be</w:t>
      </w:r>
      <w:r>
        <w:rPr>
          <w:spacing w:val="-13"/>
        </w:rPr>
        <w:t> </w:t>
      </w:r>
      <w:r>
        <w:rPr/>
        <w:t>another</w:t>
      </w:r>
      <w:r>
        <w:rPr>
          <w:spacing w:val="-12"/>
        </w:rPr>
        <w:t> </w:t>
      </w:r>
      <w:r>
        <w:rPr/>
        <w:t>26</w:t>
      </w:r>
      <w:r>
        <w:rPr>
          <w:spacing w:val="-14"/>
        </w:rPr>
        <w:t> </w:t>
      </w:r>
      <w:r>
        <w:rPr/>
        <w:t>years</w:t>
      </w:r>
      <w:r>
        <w:rPr>
          <w:spacing w:val="-12"/>
        </w:rPr>
        <w:t> </w:t>
      </w:r>
      <w:r>
        <w:rPr/>
        <w:t>before,</w:t>
      </w:r>
      <w:r>
        <w:rPr>
          <w:spacing w:val="-12"/>
        </w:rPr>
        <w:t> </w:t>
      </w:r>
      <w:r>
        <w:rPr/>
        <w:t>in</w:t>
      </w:r>
      <w:r>
        <w:rPr>
          <w:spacing w:val="-15"/>
        </w:rPr>
        <w:t> </w:t>
      </w:r>
      <w:r>
        <w:rPr/>
        <w:t>1885,</w:t>
      </w:r>
      <w:r>
        <w:rPr>
          <w:spacing w:val="-13"/>
        </w:rPr>
        <w:t> </w:t>
      </w:r>
      <w:r>
        <w:rPr/>
        <w:t>a</w:t>
      </w:r>
      <w:r>
        <w:rPr>
          <w:spacing w:val="-14"/>
        </w:rPr>
        <w:t> </w:t>
      </w:r>
      <w:r>
        <w:rPr/>
        <w:t>British</w:t>
      </w:r>
      <w:r>
        <w:rPr>
          <w:spacing w:val="-12"/>
        </w:rPr>
        <w:t> </w:t>
      </w:r>
      <w:r>
        <w:rPr/>
        <w:t>doctor</w:t>
      </w:r>
      <w:r>
        <w:rPr>
          <w:spacing w:val="-12"/>
        </w:rPr>
        <w:t> </w:t>
      </w:r>
      <w:r>
        <w:rPr/>
        <w:t>named Thomas Fraser researched the therapeutic value of g-strophanthin, a herbal substance, in the seed of the native African climbing shrub with the botanical name of 'Strophanthus gratus', and introduced it to clinics in the form of a tincture by the name of 'Tinctura Strophanthi'. In 1893 the 'Tinctura Stro- phanthi' was officially recorded in the German</w:t>
      </w:r>
      <w:r>
        <w:rPr>
          <w:spacing w:val="-5"/>
        </w:rPr>
        <w:t> </w:t>
      </w:r>
      <w:r>
        <w:rPr/>
        <w:t>Pharmacopoeia.</w:t>
      </w:r>
    </w:p>
    <w:p>
      <w:pPr>
        <w:pStyle w:val="BodyText"/>
        <w:spacing w:line="276" w:lineRule="auto" w:before="238"/>
        <w:ind w:left="616" w:right="130"/>
        <w:jc w:val="both"/>
      </w:pPr>
      <w:r>
        <w:rPr/>
        <w:t>Strophanthin is systematically used for the first time by Professor Albert Fraenkel</w:t>
      </w:r>
      <w:r>
        <w:rPr>
          <w:spacing w:val="-18"/>
        </w:rPr>
        <w:t> </w:t>
      </w:r>
      <w:r>
        <w:rPr/>
        <w:t>in</w:t>
      </w:r>
      <w:r>
        <w:rPr>
          <w:spacing w:val="-17"/>
        </w:rPr>
        <w:t> </w:t>
      </w:r>
      <w:r>
        <w:rPr/>
        <w:t>Germany,</w:t>
      </w:r>
      <w:r>
        <w:rPr>
          <w:spacing w:val="-16"/>
        </w:rPr>
        <w:t> </w:t>
      </w:r>
      <w:r>
        <w:rPr/>
        <w:t>who</w:t>
      </w:r>
      <w:r>
        <w:rPr>
          <w:spacing w:val="-16"/>
        </w:rPr>
        <w:t> </w:t>
      </w:r>
      <w:r>
        <w:rPr/>
        <w:t>verified</w:t>
      </w:r>
      <w:r>
        <w:rPr>
          <w:spacing w:val="-16"/>
        </w:rPr>
        <w:t> </w:t>
      </w:r>
      <w:r>
        <w:rPr/>
        <w:t>extremely</w:t>
      </w:r>
      <w:r>
        <w:rPr>
          <w:spacing w:val="-17"/>
        </w:rPr>
        <w:t> </w:t>
      </w:r>
      <w:r>
        <w:rPr/>
        <w:t>successful</w:t>
      </w:r>
      <w:r>
        <w:rPr>
          <w:spacing w:val="-19"/>
        </w:rPr>
        <w:t> </w:t>
      </w:r>
      <w:r>
        <w:rPr/>
        <w:t>healing</w:t>
      </w:r>
      <w:r>
        <w:rPr>
          <w:spacing w:val="-16"/>
        </w:rPr>
        <w:t> </w:t>
      </w:r>
      <w:r>
        <w:rPr/>
        <w:t>cases</w:t>
      </w:r>
      <w:r>
        <w:rPr>
          <w:spacing w:val="-17"/>
        </w:rPr>
        <w:t> </w:t>
      </w:r>
      <w:r>
        <w:rPr/>
        <w:t>with</w:t>
      </w:r>
      <w:r>
        <w:rPr>
          <w:spacing w:val="-16"/>
        </w:rPr>
        <w:t> </w:t>
      </w:r>
      <w:r>
        <w:rPr/>
        <w:t>this natural</w:t>
      </w:r>
      <w:r>
        <w:rPr>
          <w:spacing w:val="-2"/>
        </w:rPr>
        <w:t> </w:t>
      </w:r>
      <w:r>
        <w:rPr/>
        <w:t>substance.</w:t>
      </w:r>
    </w:p>
    <w:p>
      <w:pPr>
        <w:pStyle w:val="BodyText"/>
        <w:spacing w:line="276" w:lineRule="auto" w:before="241"/>
        <w:ind w:left="616" w:right="132"/>
        <w:jc w:val="both"/>
      </w:pPr>
      <w:r>
        <w:rPr/>
        <w:t>Because some people were not as tolerant of the oral form of strophanthin (also</w:t>
      </w:r>
      <w:r>
        <w:rPr>
          <w:spacing w:val="-24"/>
        </w:rPr>
        <w:t> </w:t>
      </w:r>
      <w:r>
        <w:rPr/>
        <w:t>often</w:t>
      </w:r>
      <w:r>
        <w:rPr>
          <w:spacing w:val="-25"/>
        </w:rPr>
        <w:t> </w:t>
      </w:r>
      <w:r>
        <w:rPr/>
        <w:t>referred</w:t>
      </w:r>
      <w:r>
        <w:rPr>
          <w:spacing w:val="-24"/>
        </w:rPr>
        <w:t> </w:t>
      </w:r>
      <w:r>
        <w:rPr/>
        <w:t>to</w:t>
      </w:r>
      <w:r>
        <w:rPr>
          <w:spacing w:val="-26"/>
        </w:rPr>
        <w:t> </w:t>
      </w:r>
      <w:r>
        <w:rPr/>
        <w:t>as</w:t>
      </w:r>
      <w:r>
        <w:rPr>
          <w:spacing w:val="-24"/>
        </w:rPr>
        <w:t> </w:t>
      </w:r>
      <w:r>
        <w:rPr/>
        <w:t>'ouabain')</w:t>
      </w:r>
      <w:r>
        <w:rPr>
          <w:spacing w:val="-24"/>
        </w:rPr>
        <w:t> </w:t>
      </w:r>
      <w:r>
        <w:rPr/>
        <w:t>at</w:t>
      </w:r>
      <w:r>
        <w:rPr>
          <w:spacing w:val="-25"/>
        </w:rPr>
        <w:t> </w:t>
      </w:r>
      <w:r>
        <w:rPr/>
        <w:t>the</w:t>
      </w:r>
      <w:r>
        <w:rPr>
          <w:spacing w:val="-25"/>
        </w:rPr>
        <w:t> </w:t>
      </w:r>
      <w:r>
        <w:rPr/>
        <w:t>time,</w:t>
      </w:r>
      <w:r>
        <w:rPr>
          <w:spacing w:val="-25"/>
        </w:rPr>
        <w:t> </w:t>
      </w:r>
      <w:r>
        <w:rPr/>
        <w:t>but</w:t>
      </w:r>
      <w:r>
        <w:rPr>
          <w:spacing w:val="-23"/>
        </w:rPr>
        <w:t> </w:t>
      </w:r>
      <w:r>
        <w:rPr/>
        <w:t>studies</w:t>
      </w:r>
      <w:r>
        <w:rPr>
          <w:spacing w:val="-24"/>
        </w:rPr>
        <w:t> </w:t>
      </w:r>
      <w:r>
        <w:rPr/>
        <w:t>were</w:t>
      </w:r>
      <w:r>
        <w:rPr>
          <w:spacing w:val="-26"/>
        </w:rPr>
        <w:t> </w:t>
      </w:r>
      <w:r>
        <w:rPr/>
        <w:t>very</w:t>
      </w:r>
      <w:r>
        <w:rPr>
          <w:spacing w:val="-23"/>
        </w:rPr>
        <w:t> </w:t>
      </w:r>
      <w:r>
        <w:rPr/>
        <w:t>promising, it was decided that strophanthin would simply be administered</w:t>
      </w:r>
      <w:r>
        <w:rPr>
          <w:spacing w:val="-31"/>
        </w:rPr>
        <w:t> </w:t>
      </w:r>
      <w:r>
        <w:rPr/>
        <w:t>intravenously.</w:t>
      </w:r>
    </w:p>
    <w:p>
      <w:pPr>
        <w:pStyle w:val="BodyText"/>
        <w:spacing w:line="276" w:lineRule="auto" w:before="242"/>
        <w:ind w:left="616" w:right="131"/>
        <w:jc w:val="both"/>
      </w:pPr>
      <w:r>
        <w:rPr/>
        <w:t>Between 1905-1950, the intravenous form of strophanthin was a leading</w:t>
      </w:r>
      <w:r>
        <w:rPr>
          <w:spacing w:val="-67"/>
        </w:rPr>
        <w:t> </w:t>
      </w:r>
      <w:r>
        <w:rPr/>
        <w:t>med- ication in German cardiology (heart medicine), the prophylactic and</w:t>
      </w:r>
      <w:r>
        <w:rPr>
          <w:spacing w:val="-53"/>
        </w:rPr>
        <w:t> </w:t>
      </w:r>
      <w:r>
        <w:rPr/>
        <w:t>therapeu- tic effects of it on heart symptoms, especially in the treatment of angina pec- toris and prevention of heart attack, were in fact incomparable with anything else</w:t>
      </w:r>
      <w:r>
        <w:rPr>
          <w:spacing w:val="-13"/>
        </w:rPr>
        <w:t> </w:t>
      </w:r>
      <w:r>
        <w:rPr/>
        <w:t>–</w:t>
      </w:r>
      <w:r>
        <w:rPr>
          <w:spacing w:val="-12"/>
        </w:rPr>
        <w:t> </w:t>
      </w:r>
      <w:r>
        <w:rPr/>
        <w:t>it</w:t>
      </w:r>
      <w:r>
        <w:rPr>
          <w:spacing w:val="-13"/>
        </w:rPr>
        <w:t> </w:t>
      </w:r>
      <w:r>
        <w:rPr/>
        <w:t>was</w:t>
      </w:r>
      <w:r>
        <w:rPr>
          <w:spacing w:val="-11"/>
        </w:rPr>
        <w:t> </w:t>
      </w:r>
      <w:r>
        <w:rPr/>
        <w:t>quite</w:t>
      </w:r>
      <w:r>
        <w:rPr>
          <w:spacing w:val="-11"/>
        </w:rPr>
        <w:t> </w:t>
      </w:r>
      <w:r>
        <w:rPr/>
        <w:t>affordable</w:t>
      </w:r>
      <w:r>
        <w:rPr>
          <w:spacing w:val="-12"/>
        </w:rPr>
        <w:t> </w:t>
      </w:r>
      <w:r>
        <w:rPr/>
        <w:t>and</w:t>
      </w:r>
      <w:r>
        <w:rPr>
          <w:spacing w:val="-11"/>
        </w:rPr>
        <w:t> </w:t>
      </w:r>
      <w:r>
        <w:rPr/>
        <w:t>without</w:t>
      </w:r>
      <w:r>
        <w:rPr>
          <w:spacing w:val="-13"/>
        </w:rPr>
        <w:t> </w:t>
      </w:r>
      <w:r>
        <w:rPr/>
        <w:t>notable</w:t>
      </w:r>
      <w:r>
        <w:rPr>
          <w:spacing w:val="-12"/>
        </w:rPr>
        <w:t> </w:t>
      </w:r>
      <w:r>
        <w:rPr/>
        <w:t>side</w:t>
      </w:r>
      <w:r>
        <w:rPr>
          <w:spacing w:val="-11"/>
        </w:rPr>
        <w:t> </w:t>
      </w:r>
      <w:r>
        <w:rPr/>
        <w:t>effects</w:t>
      </w:r>
      <w:r>
        <w:rPr>
          <w:spacing w:val="-11"/>
        </w:rPr>
        <w:t> </w:t>
      </w:r>
      <w:r>
        <w:rPr/>
        <w:t>or</w:t>
      </w:r>
      <w:r>
        <w:rPr>
          <w:spacing w:val="-13"/>
        </w:rPr>
        <w:t> </w:t>
      </w:r>
      <w:r>
        <w:rPr/>
        <w:t>interactions</w:t>
      </w:r>
      <w:r>
        <w:rPr>
          <w:spacing w:val="-11"/>
        </w:rPr>
        <w:t> </w:t>
      </w:r>
      <w:r>
        <w:rPr/>
        <w:t>at that! The cardiac glycoside g-strophanthin was a standard treatment in every German</w:t>
      </w:r>
      <w:r>
        <w:rPr>
          <w:spacing w:val="-18"/>
        </w:rPr>
        <w:t> </w:t>
      </w:r>
      <w:r>
        <w:rPr/>
        <w:t>clinic</w:t>
      </w:r>
      <w:r>
        <w:rPr>
          <w:spacing w:val="-17"/>
        </w:rPr>
        <w:t> </w:t>
      </w:r>
      <w:r>
        <w:rPr/>
        <w:t>that</w:t>
      </w:r>
      <w:r>
        <w:rPr>
          <w:spacing w:val="-18"/>
        </w:rPr>
        <w:t> </w:t>
      </w:r>
      <w:r>
        <w:rPr/>
        <w:t>treated</w:t>
      </w:r>
      <w:r>
        <w:rPr>
          <w:spacing w:val="-17"/>
        </w:rPr>
        <w:t> </w:t>
      </w:r>
      <w:r>
        <w:rPr/>
        <w:t>cardiac</w:t>
      </w:r>
      <w:r>
        <w:rPr>
          <w:spacing w:val="-18"/>
        </w:rPr>
        <w:t> </w:t>
      </w:r>
      <w:r>
        <w:rPr/>
        <w:t>insufficiency</w:t>
      </w:r>
      <w:r>
        <w:rPr>
          <w:spacing w:val="-17"/>
        </w:rPr>
        <w:t> </w:t>
      </w:r>
      <w:r>
        <w:rPr/>
        <w:t>until</w:t>
      </w:r>
      <w:r>
        <w:rPr>
          <w:spacing w:val="-19"/>
        </w:rPr>
        <w:t> </w:t>
      </w:r>
      <w:r>
        <w:rPr/>
        <w:t>the</w:t>
      </w:r>
      <w:r>
        <w:rPr>
          <w:spacing w:val="-17"/>
        </w:rPr>
        <w:t> </w:t>
      </w:r>
      <w:r>
        <w:rPr/>
        <w:t>early</w:t>
      </w:r>
      <w:r>
        <w:rPr>
          <w:spacing w:val="-17"/>
        </w:rPr>
        <w:t> </w:t>
      </w:r>
      <w:r>
        <w:rPr/>
        <w:t>1970s.</w:t>
      </w:r>
      <w:r>
        <w:rPr>
          <w:spacing w:val="-18"/>
        </w:rPr>
        <w:t> </w:t>
      </w:r>
      <w:r>
        <w:rPr/>
        <w:t>Could</w:t>
      </w:r>
      <w:r>
        <w:rPr>
          <w:spacing w:val="-18"/>
        </w:rPr>
        <w:t> </w:t>
      </w:r>
      <w:r>
        <w:rPr/>
        <w:t>the increasing rate of deaths due to circulatory diseases in recent decades be ex- plained by the fact that the popularity of strophanthin was killed</w:t>
      </w:r>
      <w:r>
        <w:rPr>
          <w:spacing w:val="-12"/>
        </w:rPr>
        <w:t> </w:t>
      </w:r>
      <w:r>
        <w:rPr/>
        <w:t>off?</w:t>
      </w:r>
    </w:p>
    <w:p>
      <w:pPr>
        <w:pStyle w:val="BodyText"/>
        <w:spacing w:before="239"/>
        <w:ind w:left="616"/>
        <w:jc w:val="both"/>
      </w:pPr>
      <w:r>
        <w:rPr/>
        <w:t>The statistics from Dr. Berthold Kern, who analysed strophanthin treatment</w:t>
      </w:r>
    </w:p>
    <w:p>
      <w:pPr>
        <w:spacing w:after="0"/>
        <w:jc w:val="both"/>
        <w:sectPr>
          <w:pgSz w:w="14270" w:h="16850"/>
          <w:pgMar w:header="0" w:footer="1891" w:top="1340" w:bottom="2080" w:left="800" w:right="1280"/>
        </w:sectPr>
      </w:pPr>
    </w:p>
    <w:p>
      <w:pPr>
        <w:pStyle w:val="BodyText"/>
        <w:spacing w:line="276" w:lineRule="auto" w:before="72"/>
        <w:ind w:left="616" w:right="134"/>
        <w:jc w:val="both"/>
      </w:pPr>
      <w:r>
        <w:rPr/>
        <w:t>in around 15,000 patients over 40 years, with the result that, after consistent administration</w:t>
      </w:r>
      <w:r>
        <w:rPr>
          <w:spacing w:val="-8"/>
        </w:rPr>
        <w:t> </w:t>
      </w:r>
      <w:r>
        <w:rPr/>
        <w:t>of</w:t>
      </w:r>
      <w:r>
        <w:rPr>
          <w:spacing w:val="-8"/>
        </w:rPr>
        <w:t> </w:t>
      </w:r>
      <w:r>
        <w:rPr/>
        <w:t>strophanthin</w:t>
      </w:r>
      <w:r>
        <w:rPr>
          <w:spacing w:val="-7"/>
        </w:rPr>
        <w:t> </w:t>
      </w:r>
      <w:r>
        <w:rPr/>
        <w:t>(ouabain),</w:t>
      </w:r>
      <w:r>
        <w:rPr>
          <w:spacing w:val="-2"/>
        </w:rPr>
        <w:t> </w:t>
      </w:r>
      <w:r>
        <w:rPr/>
        <w:t>there</w:t>
      </w:r>
      <w:r>
        <w:rPr>
          <w:spacing w:val="-8"/>
        </w:rPr>
        <w:t> </w:t>
      </w:r>
      <w:r>
        <w:rPr/>
        <w:t>was</w:t>
      </w:r>
      <w:r>
        <w:rPr>
          <w:spacing w:val="-7"/>
        </w:rPr>
        <w:t> </w:t>
      </w:r>
      <w:r>
        <w:rPr/>
        <w:t>not</w:t>
      </w:r>
      <w:r>
        <w:rPr>
          <w:spacing w:val="-7"/>
        </w:rPr>
        <w:t> </w:t>
      </w:r>
      <w:r>
        <w:rPr/>
        <w:t>one</w:t>
      </w:r>
      <w:r>
        <w:rPr>
          <w:spacing w:val="-8"/>
        </w:rPr>
        <w:t> </w:t>
      </w:r>
      <w:r>
        <w:rPr/>
        <w:t>single</w:t>
      </w:r>
      <w:r>
        <w:rPr>
          <w:spacing w:val="-8"/>
        </w:rPr>
        <w:t> </w:t>
      </w:r>
      <w:r>
        <w:rPr/>
        <w:t>death</w:t>
      </w:r>
      <w:r>
        <w:rPr>
          <w:spacing w:val="-8"/>
        </w:rPr>
        <w:t> </w:t>
      </w:r>
      <w:r>
        <w:rPr/>
        <w:t>from heart</w:t>
      </w:r>
      <w:r>
        <w:rPr>
          <w:spacing w:val="-24"/>
        </w:rPr>
        <w:t> </w:t>
      </w:r>
      <w:r>
        <w:rPr/>
        <w:t>attack,</w:t>
      </w:r>
      <w:r>
        <w:rPr>
          <w:spacing w:val="-22"/>
        </w:rPr>
        <w:t> </w:t>
      </w:r>
      <w:r>
        <w:rPr/>
        <w:t>are</w:t>
      </w:r>
      <w:r>
        <w:rPr>
          <w:spacing w:val="-23"/>
        </w:rPr>
        <w:t> </w:t>
      </w:r>
      <w:r>
        <w:rPr/>
        <w:t>especially</w:t>
      </w:r>
      <w:r>
        <w:rPr>
          <w:spacing w:val="-24"/>
        </w:rPr>
        <w:t> </w:t>
      </w:r>
      <w:r>
        <w:rPr/>
        <w:t>promising</w:t>
      </w:r>
      <w:r>
        <w:rPr>
          <w:spacing w:val="-22"/>
        </w:rPr>
        <w:t> </w:t>
      </w:r>
      <w:r>
        <w:rPr/>
        <w:t>and</w:t>
      </w:r>
      <w:r>
        <w:rPr>
          <w:spacing w:val="-23"/>
        </w:rPr>
        <w:t> </w:t>
      </w:r>
      <w:r>
        <w:rPr/>
        <w:t>representative;</w:t>
      </w:r>
      <w:r>
        <w:rPr>
          <w:spacing w:val="-23"/>
        </w:rPr>
        <w:t> </w:t>
      </w:r>
      <w:r>
        <w:rPr/>
        <w:t>yet,</w:t>
      </w:r>
      <w:r>
        <w:rPr>
          <w:spacing w:val="-23"/>
        </w:rPr>
        <w:t> </w:t>
      </w:r>
      <w:r>
        <w:rPr/>
        <w:t>without</w:t>
      </w:r>
      <w:r>
        <w:rPr>
          <w:spacing w:val="-25"/>
        </w:rPr>
        <w:t> </w:t>
      </w:r>
      <w:r>
        <w:rPr/>
        <w:t>strophan- thin, there would have been, rounded up, 130 cases of</w:t>
      </w:r>
      <w:r>
        <w:rPr>
          <w:spacing w:val="-1"/>
        </w:rPr>
        <w:t> </w:t>
      </w:r>
      <w:r>
        <w:rPr/>
        <w:t>death!</w:t>
      </w:r>
    </w:p>
    <w:p>
      <w:pPr>
        <w:pStyle w:val="BodyText"/>
        <w:spacing w:line="278" w:lineRule="auto" w:before="241"/>
        <w:ind w:left="616" w:right="139"/>
        <w:jc w:val="both"/>
        <w:rPr>
          <w:sz w:val="25"/>
        </w:rPr>
      </w:pPr>
      <w:r>
        <w:rPr/>
        <w:t>The number of reinfarctions sank from 530 to a tremendous 20 cases less se- vere in nature, and none of these reinfarctions were fatal.</w:t>
      </w:r>
      <w:r>
        <w:rPr>
          <w:position w:val="9"/>
          <w:sz w:val="25"/>
        </w:rPr>
        <w:t>887</w:t>
      </w:r>
    </w:p>
    <w:p>
      <w:pPr>
        <w:pStyle w:val="Heading1"/>
        <w:spacing w:before="216"/>
        <w:ind w:left="616"/>
        <w:jc w:val="both"/>
      </w:pPr>
      <w:r>
        <w:rPr/>
        <w:t>Resistance of 'Big Pharma' and academic medicine</w:t>
      </w:r>
    </w:p>
    <w:p>
      <w:pPr>
        <w:pStyle w:val="BodyText"/>
        <w:spacing w:line="276" w:lineRule="auto" w:before="299"/>
        <w:ind w:left="616" w:right="135"/>
        <w:jc w:val="both"/>
      </w:pPr>
      <w:r>
        <w:rPr/>
        <w:t>Things came to their inevitable end in the same way many other potentially highly effective natural treatments have: strophanthin had become its own worst enemy because of its incredible effectiveness! Loudly praised by aca- demic</w:t>
      </w:r>
      <w:r>
        <w:rPr>
          <w:spacing w:val="-11"/>
        </w:rPr>
        <w:t> </w:t>
      </w:r>
      <w:r>
        <w:rPr/>
        <w:t>medicine</w:t>
      </w:r>
      <w:r>
        <w:rPr>
          <w:spacing w:val="-8"/>
        </w:rPr>
        <w:t> </w:t>
      </w:r>
      <w:r>
        <w:rPr/>
        <w:t>just</w:t>
      </w:r>
      <w:r>
        <w:rPr>
          <w:spacing w:val="-10"/>
        </w:rPr>
        <w:t> </w:t>
      </w:r>
      <w:r>
        <w:rPr/>
        <w:t>a</w:t>
      </w:r>
      <w:r>
        <w:rPr>
          <w:spacing w:val="-12"/>
        </w:rPr>
        <w:t> </w:t>
      </w:r>
      <w:r>
        <w:rPr/>
        <w:t>few</w:t>
      </w:r>
      <w:r>
        <w:rPr>
          <w:spacing w:val="-11"/>
        </w:rPr>
        <w:t> </w:t>
      </w:r>
      <w:r>
        <w:rPr/>
        <w:t>years</w:t>
      </w:r>
      <w:r>
        <w:rPr>
          <w:spacing w:val="-9"/>
        </w:rPr>
        <w:t> </w:t>
      </w:r>
      <w:r>
        <w:rPr/>
        <w:t>ago,</w:t>
      </w:r>
      <w:r>
        <w:rPr>
          <w:spacing w:val="-10"/>
        </w:rPr>
        <w:t> </w:t>
      </w:r>
      <w:r>
        <w:rPr/>
        <w:t>'Big</w:t>
      </w:r>
      <w:r>
        <w:rPr>
          <w:spacing w:val="-12"/>
        </w:rPr>
        <w:t> </w:t>
      </w:r>
      <w:r>
        <w:rPr/>
        <w:t>Pharma'</w:t>
      </w:r>
      <w:r>
        <w:rPr>
          <w:spacing w:val="-10"/>
        </w:rPr>
        <w:t> </w:t>
      </w:r>
      <w:r>
        <w:rPr/>
        <w:t>recognised</w:t>
      </w:r>
      <w:r>
        <w:rPr>
          <w:spacing w:val="-10"/>
        </w:rPr>
        <w:t> </w:t>
      </w:r>
      <w:r>
        <w:rPr/>
        <w:t>its</w:t>
      </w:r>
      <w:r>
        <w:rPr>
          <w:spacing w:val="-11"/>
        </w:rPr>
        <w:t> </w:t>
      </w:r>
      <w:r>
        <w:rPr/>
        <w:t>own</w:t>
      </w:r>
      <w:r>
        <w:rPr>
          <w:spacing w:val="-11"/>
        </w:rPr>
        <w:t> </w:t>
      </w:r>
      <w:r>
        <w:rPr/>
        <w:t>goal</w:t>
      </w:r>
      <w:r>
        <w:rPr>
          <w:spacing w:val="-11"/>
        </w:rPr>
        <w:t> </w:t>
      </w:r>
      <w:r>
        <w:rPr/>
        <w:t>very quickly: strophanthin was doing what patients wanted and what cured them, or at least alleviated symptoms and prevented</w:t>
      </w:r>
      <w:r>
        <w:rPr>
          <w:spacing w:val="-4"/>
        </w:rPr>
        <w:t> </w:t>
      </w:r>
      <w:r>
        <w:rPr/>
        <w:t>infarctions!</w:t>
      </w:r>
    </w:p>
    <w:p>
      <w:pPr>
        <w:pStyle w:val="BodyText"/>
        <w:spacing w:line="276" w:lineRule="auto" w:before="240"/>
        <w:ind w:left="616" w:right="138"/>
        <w:jc w:val="both"/>
      </w:pPr>
      <w:r>
        <w:rPr/>
        <w:t>Yet</w:t>
      </w:r>
      <w:r>
        <w:rPr>
          <w:spacing w:val="-22"/>
        </w:rPr>
        <w:t> </w:t>
      </w:r>
      <w:r>
        <w:rPr/>
        <w:t>in</w:t>
      </w:r>
      <w:r>
        <w:rPr>
          <w:spacing w:val="-21"/>
        </w:rPr>
        <w:t> </w:t>
      </w:r>
      <w:r>
        <w:rPr/>
        <w:t>doing</w:t>
      </w:r>
      <w:r>
        <w:rPr>
          <w:spacing w:val="-21"/>
        </w:rPr>
        <w:t> </w:t>
      </w:r>
      <w:r>
        <w:rPr/>
        <w:t>so,</w:t>
      </w:r>
      <w:r>
        <w:rPr>
          <w:spacing w:val="-21"/>
        </w:rPr>
        <w:t> </w:t>
      </w:r>
      <w:r>
        <w:rPr/>
        <w:t>it</w:t>
      </w:r>
      <w:r>
        <w:rPr>
          <w:spacing w:val="-22"/>
        </w:rPr>
        <w:t> </w:t>
      </w:r>
      <w:r>
        <w:rPr/>
        <w:t>was</w:t>
      </w:r>
      <w:r>
        <w:rPr>
          <w:spacing w:val="-21"/>
        </w:rPr>
        <w:t> </w:t>
      </w:r>
      <w:r>
        <w:rPr/>
        <w:t>replacing</w:t>
      </w:r>
      <w:r>
        <w:rPr>
          <w:spacing w:val="-20"/>
        </w:rPr>
        <w:t> </w:t>
      </w:r>
      <w:r>
        <w:rPr/>
        <w:t>countless</w:t>
      </w:r>
      <w:r>
        <w:rPr>
          <w:spacing w:val="-22"/>
        </w:rPr>
        <w:t> </w:t>
      </w:r>
      <w:r>
        <w:rPr/>
        <w:t>heart</w:t>
      </w:r>
      <w:r>
        <w:rPr>
          <w:spacing w:val="-22"/>
        </w:rPr>
        <w:t> </w:t>
      </w:r>
      <w:r>
        <w:rPr/>
        <w:t>medications</w:t>
      </w:r>
      <w:r>
        <w:rPr>
          <w:spacing w:val="-21"/>
        </w:rPr>
        <w:t> </w:t>
      </w:r>
      <w:r>
        <w:rPr/>
        <w:t>that</w:t>
      </w:r>
      <w:r>
        <w:rPr>
          <w:spacing w:val="-21"/>
        </w:rPr>
        <w:t> </w:t>
      </w:r>
      <w:r>
        <w:rPr/>
        <w:t>were</w:t>
      </w:r>
      <w:r>
        <w:rPr>
          <w:spacing w:val="-21"/>
        </w:rPr>
        <w:t> </w:t>
      </w:r>
      <w:r>
        <w:rPr/>
        <w:t>lucrative for the pharmaceutical industry, and made the many operations in which aca- demic medicine had a significant share practically</w:t>
      </w:r>
      <w:r>
        <w:rPr>
          <w:spacing w:val="-2"/>
        </w:rPr>
        <w:t> </w:t>
      </w:r>
      <w:r>
        <w:rPr/>
        <w:t>redundant!</w:t>
      </w:r>
    </w:p>
    <w:p>
      <w:pPr>
        <w:pStyle w:val="BodyText"/>
        <w:spacing w:line="276" w:lineRule="auto" w:before="239"/>
        <w:ind w:left="616" w:right="136"/>
        <w:jc w:val="both"/>
        <w:rPr>
          <w:sz w:val="25"/>
        </w:rPr>
      </w:pPr>
      <w:r>
        <w:rPr/>
        <w:t>In a poll of 3,650 doctors in the year 1984, 98 % of them reported that stro- phanthin (ouabain) is extremely effective. The remaining 2 % attested limited effectiveness to strophanthin. None of the 3,650 doctors, i.e. 0 %, questioned the effectiveness in the poll!</w:t>
      </w:r>
      <w:r>
        <w:rPr>
          <w:position w:val="9"/>
          <w:sz w:val="25"/>
        </w:rPr>
        <w:t>888</w:t>
      </w:r>
    </w:p>
    <w:p>
      <w:pPr>
        <w:pStyle w:val="BodyText"/>
        <w:rPr>
          <w:sz w:val="20"/>
        </w:rPr>
      </w:pPr>
    </w:p>
    <w:p>
      <w:pPr>
        <w:pStyle w:val="BodyText"/>
        <w:rPr>
          <w:sz w:val="20"/>
        </w:rPr>
      </w:pPr>
    </w:p>
    <w:p>
      <w:pPr>
        <w:pStyle w:val="BodyText"/>
        <w:spacing w:before="10"/>
        <w:rPr>
          <w:sz w:val="10"/>
        </w:rPr>
      </w:pPr>
      <w:r>
        <w:rPr/>
        <w:pict>
          <v:line style="position:absolute;mso-position-horizontal-relative:page;mso-position-vertical-relative:paragraph;z-index:12392;mso-wrap-distance-left:0;mso-wrap-distance-right:0" from="70.823997pt,8.518735pt" to="214.843997pt,8.518735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887 </w:t>
      </w:r>
      <w:hyperlink r:id="rId379">
        <w:r>
          <w:rPr>
            <w:sz w:val="20"/>
          </w:rPr>
          <w:t>www.strophantus.de/mediapool/59/596780/data/Dr._KernErfolgsstatistik.pdf</w:t>
        </w:r>
      </w:hyperlink>
    </w:p>
    <w:p>
      <w:pPr>
        <w:spacing w:before="94"/>
        <w:ind w:left="616" w:right="0" w:firstLine="0"/>
        <w:jc w:val="left"/>
        <w:rPr>
          <w:sz w:val="20"/>
        </w:rPr>
      </w:pPr>
      <w:r>
        <w:rPr>
          <w:position w:val="5"/>
          <w:sz w:val="13"/>
        </w:rPr>
        <w:t>888 </w:t>
      </w:r>
      <w:hyperlink r:id="rId380">
        <w:r>
          <w:rPr>
            <w:sz w:val="20"/>
          </w:rPr>
          <w:t>http://www.strophantus.de/was-ist-strophantin.html</w:t>
        </w:r>
      </w:hyperlink>
    </w:p>
    <w:p>
      <w:pPr>
        <w:spacing w:after="0"/>
        <w:jc w:val="left"/>
        <w:rPr>
          <w:sz w:val="20"/>
        </w:rPr>
        <w:sectPr>
          <w:pgSz w:w="14270" w:h="16850"/>
          <w:pgMar w:header="0" w:footer="1891" w:top="1340" w:bottom="2080" w:left="800" w:right="1280"/>
        </w:sectPr>
      </w:pPr>
    </w:p>
    <w:p>
      <w:pPr>
        <w:pStyle w:val="BodyText"/>
        <w:spacing w:line="276" w:lineRule="auto" w:before="74"/>
        <w:ind w:left="616" w:right="131"/>
        <w:jc w:val="both"/>
      </w:pPr>
      <w:r>
        <w:rPr/>
        <w:t>Another</w:t>
      </w:r>
      <w:r>
        <w:rPr>
          <w:spacing w:val="-8"/>
        </w:rPr>
        <w:t> </w:t>
      </w:r>
      <w:r>
        <w:rPr/>
        <w:t>characteristic</w:t>
      </w:r>
      <w:r>
        <w:rPr>
          <w:spacing w:val="-10"/>
        </w:rPr>
        <w:t> </w:t>
      </w:r>
      <w:r>
        <w:rPr/>
        <w:t>that</w:t>
      </w:r>
      <w:r>
        <w:rPr>
          <w:spacing w:val="-9"/>
        </w:rPr>
        <w:t> </w:t>
      </w:r>
      <w:r>
        <w:rPr/>
        <w:t>spoke</w:t>
      </w:r>
      <w:r>
        <w:rPr>
          <w:spacing w:val="-8"/>
        </w:rPr>
        <w:t> </w:t>
      </w:r>
      <w:r>
        <w:rPr/>
        <w:t>against</w:t>
      </w:r>
      <w:r>
        <w:rPr>
          <w:spacing w:val="-10"/>
        </w:rPr>
        <w:t> </w:t>
      </w:r>
      <w:r>
        <w:rPr/>
        <w:t>strophanthin</w:t>
      </w:r>
      <w:r>
        <w:rPr>
          <w:spacing w:val="-9"/>
        </w:rPr>
        <w:t> </w:t>
      </w:r>
      <w:r>
        <w:rPr/>
        <w:t>is</w:t>
      </w:r>
      <w:r>
        <w:rPr>
          <w:spacing w:val="-8"/>
        </w:rPr>
        <w:t> </w:t>
      </w:r>
      <w:r>
        <w:rPr/>
        <w:t>its</w:t>
      </w:r>
      <w:r>
        <w:rPr>
          <w:spacing w:val="-10"/>
        </w:rPr>
        <w:t> </w:t>
      </w:r>
      <w:r>
        <w:rPr/>
        <w:t>low</w:t>
      </w:r>
      <w:r>
        <w:rPr>
          <w:spacing w:val="-7"/>
        </w:rPr>
        <w:t> </w:t>
      </w:r>
      <w:r>
        <w:rPr/>
        <w:t>price.</w:t>
      </w:r>
      <w:r>
        <w:rPr>
          <w:spacing w:val="-8"/>
        </w:rPr>
        <w:t> </w:t>
      </w:r>
      <w:r>
        <w:rPr/>
        <w:t>1</w:t>
      </w:r>
      <w:r>
        <w:rPr>
          <w:spacing w:val="-10"/>
        </w:rPr>
        <w:t> </w:t>
      </w:r>
      <w:r>
        <w:rPr/>
        <w:t>vial</w:t>
      </w:r>
      <w:r>
        <w:rPr>
          <w:spacing w:val="-11"/>
        </w:rPr>
        <w:t> </w:t>
      </w:r>
      <w:r>
        <w:rPr/>
        <w:t>in the 1990s cost 1.00 deutschmark! And only about 10-15 injections are needed to achieve a satisfactory result. The commonly administered ACE inhibitors, beta blockers and calcium antagonists are far more expensive in comparison. Yet</w:t>
      </w:r>
      <w:r>
        <w:rPr>
          <w:spacing w:val="-7"/>
        </w:rPr>
        <w:t> </w:t>
      </w:r>
      <w:r>
        <w:rPr/>
        <w:t>because</w:t>
      </w:r>
      <w:r>
        <w:rPr>
          <w:spacing w:val="-7"/>
        </w:rPr>
        <w:t> </w:t>
      </w:r>
      <w:r>
        <w:rPr/>
        <w:t>their</w:t>
      </w:r>
      <w:r>
        <w:rPr>
          <w:spacing w:val="-6"/>
        </w:rPr>
        <w:t> </w:t>
      </w:r>
      <w:r>
        <w:rPr/>
        <w:t>effects</w:t>
      </w:r>
      <w:r>
        <w:rPr>
          <w:spacing w:val="-5"/>
        </w:rPr>
        <w:t> </w:t>
      </w:r>
      <w:r>
        <w:rPr/>
        <w:t>are</w:t>
      </w:r>
      <w:r>
        <w:rPr>
          <w:spacing w:val="-7"/>
        </w:rPr>
        <w:t> </w:t>
      </w:r>
      <w:r>
        <w:rPr/>
        <w:t>more</w:t>
      </w:r>
      <w:r>
        <w:rPr>
          <w:spacing w:val="-7"/>
        </w:rPr>
        <w:t> </w:t>
      </w:r>
      <w:r>
        <w:rPr/>
        <w:t>pronounced</w:t>
      </w:r>
      <w:r>
        <w:rPr>
          <w:spacing w:val="-6"/>
        </w:rPr>
        <w:t> </w:t>
      </w:r>
      <w:r>
        <w:rPr/>
        <w:t>in</w:t>
      </w:r>
      <w:r>
        <w:rPr>
          <w:spacing w:val="-9"/>
        </w:rPr>
        <w:t> </w:t>
      </w:r>
      <w:r>
        <w:rPr/>
        <w:t>their</w:t>
      </w:r>
      <w:r>
        <w:rPr>
          <w:spacing w:val="-6"/>
        </w:rPr>
        <w:t> </w:t>
      </w:r>
      <w:r>
        <w:rPr/>
        <w:t>side</w:t>
      </w:r>
      <w:r>
        <w:rPr>
          <w:spacing w:val="-7"/>
        </w:rPr>
        <w:t> </w:t>
      </w:r>
      <w:r>
        <w:rPr/>
        <w:t>effects</w:t>
      </w:r>
      <w:r>
        <w:rPr>
          <w:spacing w:val="-5"/>
        </w:rPr>
        <w:t> </w:t>
      </w:r>
      <w:r>
        <w:rPr/>
        <w:t>rather</w:t>
      </w:r>
      <w:r>
        <w:rPr>
          <w:spacing w:val="-6"/>
        </w:rPr>
        <w:t> </w:t>
      </w:r>
      <w:r>
        <w:rPr/>
        <w:t>than actually</w:t>
      </w:r>
      <w:r>
        <w:rPr>
          <w:spacing w:val="-25"/>
        </w:rPr>
        <w:t> </w:t>
      </w:r>
      <w:r>
        <w:rPr/>
        <w:t>helping</w:t>
      </w:r>
      <w:r>
        <w:rPr>
          <w:spacing w:val="-22"/>
        </w:rPr>
        <w:t> </w:t>
      </w:r>
      <w:r>
        <w:rPr/>
        <w:t>the</w:t>
      </w:r>
      <w:r>
        <w:rPr>
          <w:spacing w:val="-23"/>
        </w:rPr>
        <w:t> </w:t>
      </w:r>
      <w:r>
        <w:rPr/>
        <w:t>patient,</w:t>
      </w:r>
      <w:r>
        <w:rPr>
          <w:spacing w:val="-22"/>
        </w:rPr>
        <w:t> </w:t>
      </w:r>
      <w:r>
        <w:rPr/>
        <w:t>it</w:t>
      </w:r>
      <w:r>
        <w:rPr>
          <w:spacing w:val="-24"/>
        </w:rPr>
        <w:t> </w:t>
      </w:r>
      <w:r>
        <w:rPr/>
        <w:t>simply</w:t>
      </w:r>
      <w:r>
        <w:rPr>
          <w:spacing w:val="-24"/>
        </w:rPr>
        <w:t> </w:t>
      </w:r>
      <w:r>
        <w:rPr/>
        <w:t>made</w:t>
      </w:r>
      <w:r>
        <w:rPr>
          <w:spacing w:val="-23"/>
        </w:rPr>
        <w:t> </w:t>
      </w:r>
      <w:r>
        <w:rPr/>
        <w:t>no</w:t>
      </w:r>
      <w:r>
        <w:rPr>
          <w:spacing w:val="-22"/>
        </w:rPr>
        <w:t> </w:t>
      </w:r>
      <w:r>
        <w:rPr/>
        <w:t>sense</w:t>
      </w:r>
      <w:r>
        <w:rPr>
          <w:spacing w:val="-23"/>
        </w:rPr>
        <w:t> </w:t>
      </w:r>
      <w:r>
        <w:rPr/>
        <w:t>to</w:t>
      </w:r>
      <w:r>
        <w:rPr>
          <w:spacing w:val="-22"/>
        </w:rPr>
        <w:t> </w:t>
      </w:r>
      <w:r>
        <w:rPr/>
        <w:t>the</w:t>
      </w:r>
      <w:r>
        <w:rPr>
          <w:spacing w:val="-22"/>
        </w:rPr>
        <w:t> </w:t>
      </w:r>
      <w:r>
        <w:rPr/>
        <w:t>influential</w:t>
      </w:r>
      <w:r>
        <w:rPr>
          <w:spacing w:val="-25"/>
        </w:rPr>
        <w:t> </w:t>
      </w:r>
      <w:r>
        <w:rPr/>
        <w:t>'Big</w:t>
      </w:r>
      <w:r>
        <w:rPr>
          <w:spacing w:val="-23"/>
        </w:rPr>
        <w:t> </w:t>
      </w:r>
      <w:r>
        <w:rPr/>
        <w:t>Phar- ma'</w:t>
      </w:r>
      <w:r>
        <w:rPr>
          <w:spacing w:val="-26"/>
        </w:rPr>
        <w:t> </w:t>
      </w:r>
      <w:r>
        <w:rPr/>
        <w:t>to</w:t>
      </w:r>
      <w:r>
        <w:rPr>
          <w:spacing w:val="-25"/>
        </w:rPr>
        <w:t> </w:t>
      </w:r>
      <w:r>
        <w:rPr/>
        <w:t>replace</w:t>
      </w:r>
      <w:r>
        <w:rPr>
          <w:spacing w:val="-26"/>
        </w:rPr>
        <w:t> </w:t>
      </w:r>
      <w:r>
        <w:rPr/>
        <w:t>these</w:t>
      </w:r>
      <w:r>
        <w:rPr>
          <w:spacing w:val="-25"/>
        </w:rPr>
        <w:t> </w:t>
      </w:r>
      <w:r>
        <w:rPr/>
        <w:t>profitable</w:t>
      </w:r>
      <w:r>
        <w:rPr>
          <w:spacing w:val="-26"/>
        </w:rPr>
        <w:t> </w:t>
      </w:r>
      <w:r>
        <w:rPr/>
        <w:t>medications</w:t>
      </w:r>
      <w:r>
        <w:rPr>
          <w:spacing w:val="-24"/>
        </w:rPr>
        <w:t> </w:t>
      </w:r>
      <w:r>
        <w:rPr/>
        <w:t>with</w:t>
      </w:r>
      <w:r>
        <w:rPr>
          <w:spacing w:val="-25"/>
        </w:rPr>
        <w:t> </w:t>
      </w:r>
      <w:r>
        <w:rPr/>
        <w:t>one</w:t>
      </w:r>
      <w:r>
        <w:rPr>
          <w:spacing w:val="-26"/>
        </w:rPr>
        <w:t> </w:t>
      </w:r>
      <w:r>
        <w:rPr/>
        <w:t>single,</w:t>
      </w:r>
      <w:r>
        <w:rPr>
          <w:spacing w:val="-25"/>
        </w:rPr>
        <w:t> </w:t>
      </w:r>
      <w:r>
        <w:rPr/>
        <w:t>less</w:t>
      </w:r>
      <w:r>
        <w:rPr>
          <w:spacing w:val="-27"/>
        </w:rPr>
        <w:t> </w:t>
      </w:r>
      <w:r>
        <w:rPr/>
        <w:t>profitable</w:t>
      </w:r>
      <w:r>
        <w:rPr>
          <w:spacing w:val="-26"/>
        </w:rPr>
        <w:t> </w:t>
      </w:r>
      <w:r>
        <w:rPr/>
        <w:t>med- ication that actually helped!</w:t>
      </w:r>
    </w:p>
    <w:p>
      <w:pPr>
        <w:pStyle w:val="BodyText"/>
        <w:spacing w:line="276" w:lineRule="auto" w:before="241"/>
        <w:ind w:left="616" w:right="135"/>
        <w:jc w:val="both"/>
      </w:pPr>
      <w:r>
        <w:rPr/>
        <w:t>'Big Pharma', which was fearing for its survival, backpedalled and revised its positive</w:t>
      </w:r>
      <w:r>
        <w:rPr>
          <w:spacing w:val="-20"/>
        </w:rPr>
        <w:t> </w:t>
      </w:r>
      <w:r>
        <w:rPr/>
        <w:t>remarks</w:t>
      </w:r>
      <w:r>
        <w:rPr>
          <w:spacing w:val="-21"/>
        </w:rPr>
        <w:t> </w:t>
      </w:r>
      <w:r>
        <w:rPr/>
        <w:t>about</w:t>
      </w:r>
      <w:r>
        <w:rPr>
          <w:spacing w:val="-22"/>
        </w:rPr>
        <w:t> </w:t>
      </w:r>
      <w:r>
        <w:rPr/>
        <w:t>strophanthin</w:t>
      </w:r>
      <w:r>
        <w:rPr>
          <w:spacing w:val="-19"/>
        </w:rPr>
        <w:t> </w:t>
      </w:r>
      <w:r>
        <w:rPr/>
        <w:t>in</w:t>
      </w:r>
      <w:r>
        <w:rPr>
          <w:spacing w:val="-20"/>
        </w:rPr>
        <w:t> </w:t>
      </w:r>
      <w:r>
        <w:rPr/>
        <w:t>countless</w:t>
      </w:r>
      <w:r>
        <w:rPr>
          <w:spacing w:val="-21"/>
        </w:rPr>
        <w:t> </w:t>
      </w:r>
      <w:r>
        <w:rPr/>
        <w:t>former</w:t>
      </w:r>
      <w:r>
        <w:rPr>
          <w:spacing w:val="-19"/>
        </w:rPr>
        <w:t> </w:t>
      </w:r>
      <w:r>
        <w:rPr/>
        <w:t>studies</w:t>
      </w:r>
      <w:r>
        <w:rPr>
          <w:spacing w:val="-20"/>
        </w:rPr>
        <w:t> </w:t>
      </w:r>
      <w:r>
        <w:rPr/>
        <w:t>only</w:t>
      </w:r>
      <w:r>
        <w:rPr>
          <w:spacing w:val="-20"/>
        </w:rPr>
        <w:t> </w:t>
      </w:r>
      <w:r>
        <w:rPr/>
        <w:t>to</w:t>
      </w:r>
      <w:r>
        <w:rPr>
          <w:spacing w:val="-22"/>
        </w:rPr>
        <w:t> </w:t>
      </w:r>
      <w:r>
        <w:rPr/>
        <w:t>release new, questionable 'studies' that disparage the exact same medication that they had praised most highly just a few years</w:t>
      </w:r>
      <w:r>
        <w:rPr>
          <w:spacing w:val="1"/>
        </w:rPr>
        <w:t> </w:t>
      </w:r>
      <w:r>
        <w:rPr/>
        <w:t>prior!</w:t>
      </w:r>
    </w:p>
    <w:p>
      <w:pPr>
        <w:pStyle w:val="BodyText"/>
        <w:spacing w:line="276" w:lineRule="auto" w:before="240"/>
        <w:ind w:left="616" w:right="137"/>
        <w:jc w:val="both"/>
      </w:pPr>
      <w:r>
        <w:rPr/>
        <w:t>This</w:t>
      </w:r>
      <w:r>
        <w:rPr>
          <w:spacing w:val="-9"/>
        </w:rPr>
        <w:t> </w:t>
      </w:r>
      <w:r>
        <w:rPr/>
        <w:t>resistance</w:t>
      </w:r>
      <w:r>
        <w:rPr>
          <w:spacing w:val="-13"/>
        </w:rPr>
        <w:t> </w:t>
      </w:r>
      <w:r>
        <w:rPr/>
        <w:t>was</w:t>
      </w:r>
      <w:r>
        <w:rPr>
          <w:spacing w:val="-10"/>
        </w:rPr>
        <w:t> </w:t>
      </w:r>
      <w:r>
        <w:rPr/>
        <w:t>in</w:t>
      </w:r>
      <w:r>
        <w:rPr>
          <w:spacing w:val="-9"/>
        </w:rPr>
        <w:t> </w:t>
      </w:r>
      <w:r>
        <w:rPr/>
        <w:t>the</w:t>
      </w:r>
      <w:r>
        <w:rPr>
          <w:spacing w:val="-12"/>
        </w:rPr>
        <w:t> </w:t>
      </w:r>
      <w:r>
        <w:rPr/>
        <w:t>interests</w:t>
      </w:r>
      <w:r>
        <w:rPr>
          <w:spacing w:val="-9"/>
        </w:rPr>
        <w:t> </w:t>
      </w:r>
      <w:r>
        <w:rPr/>
        <w:t>of</w:t>
      </w:r>
      <w:r>
        <w:rPr>
          <w:spacing w:val="-12"/>
        </w:rPr>
        <w:t> </w:t>
      </w:r>
      <w:r>
        <w:rPr/>
        <w:t>academic</w:t>
      </w:r>
      <w:r>
        <w:rPr>
          <w:spacing w:val="-12"/>
        </w:rPr>
        <w:t> </w:t>
      </w:r>
      <w:r>
        <w:rPr/>
        <w:t>medicine</w:t>
      </w:r>
      <w:r>
        <w:rPr>
          <w:spacing w:val="-9"/>
        </w:rPr>
        <w:t> </w:t>
      </w:r>
      <w:r>
        <w:rPr/>
        <w:t>as</w:t>
      </w:r>
      <w:r>
        <w:rPr>
          <w:spacing w:val="-11"/>
        </w:rPr>
        <w:t> </w:t>
      </w:r>
      <w:r>
        <w:rPr/>
        <w:t>well,</w:t>
      </w:r>
      <w:r>
        <w:rPr>
          <w:spacing w:val="-8"/>
        </w:rPr>
        <w:t> </w:t>
      </w:r>
      <w:r>
        <w:rPr/>
        <w:t>because</w:t>
      </w:r>
      <w:r>
        <w:rPr>
          <w:spacing w:val="-11"/>
        </w:rPr>
        <w:t> </w:t>
      </w:r>
      <w:r>
        <w:rPr/>
        <w:t>stro- phanthin</w:t>
      </w:r>
      <w:r>
        <w:rPr>
          <w:spacing w:val="-16"/>
        </w:rPr>
        <w:t> </w:t>
      </w:r>
      <w:r>
        <w:rPr/>
        <w:t>ultimately</w:t>
      </w:r>
      <w:r>
        <w:rPr>
          <w:spacing w:val="-17"/>
        </w:rPr>
        <w:t> </w:t>
      </w:r>
      <w:r>
        <w:rPr/>
        <w:t>threatened</w:t>
      </w:r>
      <w:r>
        <w:rPr>
          <w:spacing w:val="-17"/>
        </w:rPr>
        <w:t> </w:t>
      </w:r>
      <w:r>
        <w:rPr/>
        <w:t>its</w:t>
      </w:r>
      <w:r>
        <w:rPr>
          <w:spacing w:val="-16"/>
        </w:rPr>
        <w:t> </w:t>
      </w:r>
      <w:r>
        <w:rPr/>
        <w:t>own</w:t>
      </w:r>
      <w:r>
        <w:rPr>
          <w:spacing w:val="-16"/>
        </w:rPr>
        <w:t> </w:t>
      </w:r>
      <w:r>
        <w:rPr/>
        <w:t>existence,</w:t>
      </w:r>
      <w:r>
        <w:rPr>
          <w:spacing w:val="-16"/>
        </w:rPr>
        <w:t> </w:t>
      </w:r>
      <w:r>
        <w:rPr/>
        <w:t>as</w:t>
      </w:r>
      <w:r>
        <w:rPr>
          <w:spacing w:val="-16"/>
        </w:rPr>
        <w:t> </w:t>
      </w:r>
      <w:r>
        <w:rPr/>
        <w:t>a</w:t>
      </w:r>
      <w:r>
        <w:rPr>
          <w:spacing w:val="-18"/>
        </w:rPr>
        <w:t> </w:t>
      </w:r>
      <w:r>
        <w:rPr/>
        <w:t>doctor</w:t>
      </w:r>
      <w:r>
        <w:rPr>
          <w:spacing w:val="-16"/>
        </w:rPr>
        <w:t> </w:t>
      </w:r>
      <w:r>
        <w:rPr/>
        <w:t>makes</w:t>
      </w:r>
      <w:r>
        <w:rPr>
          <w:spacing w:val="-13"/>
        </w:rPr>
        <w:t> </w:t>
      </w:r>
      <w:r>
        <w:rPr/>
        <w:t>their</w:t>
      </w:r>
      <w:r>
        <w:rPr>
          <w:spacing w:val="-15"/>
        </w:rPr>
        <w:t> </w:t>
      </w:r>
      <w:r>
        <w:rPr/>
        <w:t>living from diseases, not treatments!</w:t>
      </w:r>
    </w:p>
    <w:p>
      <w:pPr>
        <w:pStyle w:val="BodyText"/>
        <w:spacing w:line="276" w:lineRule="auto" w:before="239"/>
        <w:ind w:left="616" w:right="129"/>
        <w:jc w:val="both"/>
      </w:pPr>
      <w:r>
        <w:rPr/>
        <w:t>Furthermore,</w:t>
      </w:r>
      <w:r>
        <w:rPr>
          <w:spacing w:val="-17"/>
        </w:rPr>
        <w:t> </w:t>
      </w:r>
      <w:r>
        <w:rPr/>
        <w:t>the</w:t>
      </w:r>
      <w:r>
        <w:rPr>
          <w:spacing w:val="-16"/>
        </w:rPr>
        <w:t> </w:t>
      </w:r>
      <w:r>
        <w:rPr/>
        <w:t>assumed</w:t>
      </w:r>
      <w:r>
        <w:rPr>
          <w:spacing w:val="-18"/>
        </w:rPr>
        <w:t> </w:t>
      </w:r>
      <w:r>
        <w:rPr/>
        <w:t>effect</w:t>
      </w:r>
      <w:r>
        <w:rPr>
          <w:spacing w:val="-14"/>
        </w:rPr>
        <w:t> </w:t>
      </w:r>
      <w:r>
        <w:rPr/>
        <w:t>mechanism</w:t>
      </w:r>
      <w:r>
        <w:rPr>
          <w:spacing w:val="-17"/>
        </w:rPr>
        <w:t> </w:t>
      </w:r>
      <w:r>
        <w:rPr/>
        <w:t>of</w:t>
      </w:r>
      <w:r>
        <w:rPr>
          <w:spacing w:val="-16"/>
        </w:rPr>
        <w:t> </w:t>
      </w:r>
      <w:r>
        <w:rPr/>
        <w:t>strophanthin</w:t>
      </w:r>
      <w:r>
        <w:rPr>
          <w:spacing w:val="-17"/>
        </w:rPr>
        <w:t> </w:t>
      </w:r>
      <w:r>
        <w:rPr/>
        <w:t>(destabilising</w:t>
      </w:r>
      <w:r>
        <w:rPr>
          <w:spacing w:val="-16"/>
        </w:rPr>
        <w:t> </w:t>
      </w:r>
      <w:r>
        <w:rPr/>
        <w:t>the metabolism in the left heart muscle) contradicted the applied heart attack hy- pothesis in which the heart attack is caused by arterial construction (arterial clogging</w:t>
      </w:r>
      <w:r>
        <w:rPr>
          <w:spacing w:val="-21"/>
        </w:rPr>
        <w:t> </w:t>
      </w:r>
      <w:r>
        <w:rPr/>
        <w:t>of</w:t>
      </w:r>
      <w:r>
        <w:rPr>
          <w:spacing w:val="-21"/>
        </w:rPr>
        <w:t> </w:t>
      </w:r>
      <w:r>
        <w:rPr/>
        <w:t>the</w:t>
      </w:r>
      <w:r>
        <w:rPr>
          <w:spacing w:val="-23"/>
        </w:rPr>
        <w:t> </w:t>
      </w:r>
      <w:r>
        <w:rPr/>
        <w:t>coronary</w:t>
      </w:r>
      <w:r>
        <w:rPr>
          <w:spacing w:val="-21"/>
        </w:rPr>
        <w:t> </w:t>
      </w:r>
      <w:r>
        <w:rPr/>
        <w:t>vessels).</w:t>
      </w:r>
      <w:r>
        <w:rPr>
          <w:position w:val="9"/>
          <w:sz w:val="25"/>
        </w:rPr>
        <w:t>889</w:t>
      </w:r>
      <w:r>
        <w:rPr>
          <w:spacing w:val="31"/>
          <w:position w:val="9"/>
          <w:sz w:val="25"/>
        </w:rPr>
        <w:t> </w:t>
      </w:r>
      <w:r>
        <w:rPr/>
        <w:t>Other</w:t>
      </w:r>
      <w:r>
        <w:rPr>
          <w:spacing w:val="-21"/>
        </w:rPr>
        <w:t> </w:t>
      </w:r>
      <w:r>
        <w:rPr/>
        <w:t>very</w:t>
      </w:r>
      <w:r>
        <w:rPr>
          <w:spacing w:val="-21"/>
        </w:rPr>
        <w:t> </w:t>
      </w:r>
      <w:r>
        <w:rPr/>
        <w:t>interesting</w:t>
      </w:r>
      <w:r>
        <w:rPr>
          <w:spacing w:val="-21"/>
        </w:rPr>
        <w:t> </w:t>
      </w:r>
      <w:r>
        <w:rPr/>
        <w:t>details</w:t>
      </w:r>
      <w:r>
        <w:rPr>
          <w:spacing w:val="-21"/>
        </w:rPr>
        <w:t> </w:t>
      </w:r>
      <w:r>
        <w:rPr/>
        <w:t>can</w:t>
      </w:r>
      <w:r>
        <w:rPr>
          <w:spacing w:val="-20"/>
        </w:rPr>
        <w:t> </w:t>
      </w:r>
      <w:r>
        <w:rPr/>
        <w:t>be</w:t>
      </w:r>
      <w:r>
        <w:rPr>
          <w:spacing w:val="-21"/>
        </w:rPr>
        <w:t> </w:t>
      </w:r>
      <w:r>
        <w:rPr/>
        <w:t>found at:</w:t>
      </w:r>
    </w:p>
    <w:p>
      <w:pPr>
        <w:pStyle w:val="BodyText"/>
        <w:spacing w:before="242"/>
        <w:ind w:left="616"/>
        <w:jc w:val="both"/>
      </w:pPr>
      <w:hyperlink r:id="rId381">
        <w:r>
          <w:rPr/>
          <w:t>www.melhorn.de/Tribunal/index.htm</w:t>
        </w:r>
      </w:hyperlink>
    </w:p>
    <w:p>
      <w:pPr>
        <w:pStyle w:val="BodyText"/>
        <w:rPr>
          <w:sz w:val="20"/>
        </w:rPr>
      </w:pPr>
    </w:p>
    <w:p>
      <w:pPr>
        <w:pStyle w:val="BodyText"/>
        <w:spacing w:before="1"/>
        <w:rPr>
          <w:sz w:val="14"/>
        </w:rPr>
      </w:pPr>
      <w:r>
        <w:rPr/>
        <w:pict>
          <v:line style="position:absolute;mso-position-horizontal-relative:page;mso-position-vertical-relative:paragraph;z-index:12416;mso-wrap-distance-left:0;mso-wrap-distance-right:0" from="70.823997pt,10.289985pt" to="214.843997pt,10.289985pt" stroked="true" strokeweight=".72003pt" strokecolor="#000000">
            <v:stroke dashstyle="solid"/>
            <w10:wrap type="topAndBottom"/>
          </v:line>
        </w:pict>
      </w:r>
    </w:p>
    <w:p>
      <w:pPr>
        <w:pStyle w:val="BodyText"/>
        <w:spacing w:before="7"/>
        <w:rPr>
          <w:sz w:val="18"/>
        </w:rPr>
      </w:pPr>
    </w:p>
    <w:p>
      <w:pPr>
        <w:spacing w:line="340" w:lineRule="auto" w:before="99"/>
        <w:ind w:left="616" w:right="6169" w:firstLine="0"/>
        <w:jc w:val="left"/>
        <w:rPr>
          <w:sz w:val="20"/>
        </w:rPr>
      </w:pPr>
      <w:r>
        <w:rPr>
          <w:position w:val="5"/>
          <w:sz w:val="13"/>
        </w:rPr>
        <w:t>889 </w:t>
      </w:r>
      <w:r>
        <w:rPr>
          <w:sz w:val="20"/>
        </w:rPr>
        <w:t>Other very interesting details can be found at:</w:t>
      </w:r>
      <w:hyperlink r:id="rId381">
        <w:r>
          <w:rPr>
            <w:sz w:val="20"/>
          </w:rPr>
          <w:t> www.melhorn.de/Tribunal/index.htm</w:t>
        </w:r>
      </w:hyperlink>
    </w:p>
    <w:p>
      <w:pPr>
        <w:spacing w:after="0" w:line="340" w:lineRule="auto"/>
        <w:jc w:val="left"/>
        <w:rPr>
          <w:sz w:val="20"/>
        </w:rPr>
        <w:sectPr>
          <w:pgSz w:w="14270" w:h="16850"/>
          <w:pgMar w:header="0" w:footer="1891" w:top="1340" w:bottom="2080" w:left="800" w:right="1280"/>
        </w:sectPr>
      </w:pPr>
    </w:p>
    <w:p>
      <w:pPr>
        <w:pStyle w:val="BodyText"/>
        <w:spacing w:line="276" w:lineRule="auto" w:before="74"/>
        <w:ind w:left="616" w:right="133"/>
        <w:jc w:val="both"/>
      </w:pPr>
      <w:r>
        <w:rPr/>
        <w:t>Because the immense effectiveness has been seen (experienced) in thousands of patients but not understood, science – as evidenced by its origins in the Latin</w:t>
      </w:r>
      <w:r>
        <w:rPr>
          <w:spacing w:val="-9"/>
        </w:rPr>
        <w:t> </w:t>
      </w:r>
      <w:r>
        <w:rPr/>
        <w:t>word</w:t>
      </w:r>
      <w:r>
        <w:rPr>
          <w:spacing w:val="-6"/>
        </w:rPr>
        <w:t> </w:t>
      </w:r>
      <w:r>
        <w:rPr/>
        <w:t>for</w:t>
      </w:r>
      <w:r>
        <w:rPr>
          <w:spacing w:val="-5"/>
        </w:rPr>
        <w:t> </w:t>
      </w:r>
      <w:r>
        <w:rPr/>
        <w:t>'knowledge',</w:t>
      </w:r>
      <w:r>
        <w:rPr>
          <w:spacing w:val="-6"/>
        </w:rPr>
        <w:t> </w:t>
      </w:r>
      <w:r>
        <w:rPr/>
        <w:t>not</w:t>
      </w:r>
      <w:r>
        <w:rPr>
          <w:spacing w:val="-10"/>
        </w:rPr>
        <w:t> </w:t>
      </w:r>
      <w:r>
        <w:rPr/>
        <w:t>'experience'</w:t>
      </w:r>
      <w:r>
        <w:rPr>
          <w:spacing w:val="-6"/>
        </w:rPr>
        <w:t> </w:t>
      </w:r>
      <w:r>
        <w:rPr/>
        <w:t>–</w:t>
      </w:r>
      <w:r>
        <w:rPr>
          <w:spacing w:val="-7"/>
        </w:rPr>
        <w:t> </w:t>
      </w:r>
      <w:r>
        <w:rPr/>
        <w:t>would</w:t>
      </w:r>
      <w:r>
        <w:rPr>
          <w:spacing w:val="-7"/>
        </w:rPr>
        <w:t> </w:t>
      </w:r>
      <w:r>
        <w:rPr/>
        <w:t>not</w:t>
      </w:r>
      <w:r>
        <w:rPr>
          <w:spacing w:val="-7"/>
        </w:rPr>
        <w:t> </w:t>
      </w:r>
      <w:r>
        <w:rPr/>
        <w:t>deign</w:t>
      </w:r>
      <w:r>
        <w:rPr>
          <w:spacing w:val="-6"/>
        </w:rPr>
        <w:t> </w:t>
      </w:r>
      <w:r>
        <w:rPr/>
        <w:t>to</w:t>
      </w:r>
      <w:r>
        <w:rPr>
          <w:spacing w:val="-8"/>
        </w:rPr>
        <w:t> </w:t>
      </w:r>
      <w:r>
        <w:rPr/>
        <w:t>tolerate</w:t>
      </w:r>
      <w:r>
        <w:rPr>
          <w:spacing w:val="-8"/>
        </w:rPr>
        <w:t> </w:t>
      </w:r>
      <w:r>
        <w:rPr/>
        <w:t>that it has not understood anything. The vain and corrupt medical profession, among them leading professors, hoisted the flag of 'Big Pharma' and became emphatically</w:t>
      </w:r>
      <w:r>
        <w:rPr>
          <w:spacing w:val="-14"/>
        </w:rPr>
        <w:t> </w:t>
      </w:r>
      <w:r>
        <w:rPr/>
        <w:t>involved</w:t>
      </w:r>
      <w:r>
        <w:rPr>
          <w:spacing w:val="-11"/>
        </w:rPr>
        <w:t> </w:t>
      </w:r>
      <w:r>
        <w:rPr/>
        <w:t>in</w:t>
      </w:r>
      <w:r>
        <w:rPr>
          <w:spacing w:val="-11"/>
        </w:rPr>
        <w:t> </w:t>
      </w:r>
      <w:r>
        <w:rPr/>
        <w:t>the</w:t>
      </w:r>
      <w:r>
        <w:rPr>
          <w:spacing w:val="-14"/>
        </w:rPr>
        <w:t> </w:t>
      </w:r>
      <w:r>
        <w:rPr/>
        <w:t>enormous</w:t>
      </w:r>
      <w:r>
        <w:rPr>
          <w:spacing w:val="-11"/>
        </w:rPr>
        <w:t> </w:t>
      </w:r>
      <w:r>
        <w:rPr/>
        <w:t>smear</w:t>
      </w:r>
      <w:r>
        <w:rPr>
          <w:spacing w:val="-13"/>
        </w:rPr>
        <w:t> </w:t>
      </w:r>
      <w:r>
        <w:rPr/>
        <w:t>campaigns</w:t>
      </w:r>
      <w:r>
        <w:rPr>
          <w:spacing w:val="-12"/>
        </w:rPr>
        <w:t> </w:t>
      </w:r>
      <w:r>
        <w:rPr/>
        <w:t>against</w:t>
      </w:r>
      <w:r>
        <w:rPr>
          <w:spacing w:val="-14"/>
        </w:rPr>
        <w:t> </w:t>
      </w:r>
      <w:r>
        <w:rPr/>
        <w:t>strophanthin. In</w:t>
      </w:r>
      <w:r>
        <w:rPr>
          <w:spacing w:val="-17"/>
        </w:rPr>
        <w:t> </w:t>
      </w:r>
      <w:r>
        <w:rPr/>
        <w:t>the</w:t>
      </w:r>
      <w:r>
        <w:rPr>
          <w:spacing w:val="-17"/>
        </w:rPr>
        <w:t> </w:t>
      </w:r>
      <w:r>
        <w:rPr/>
        <w:t>modern</w:t>
      </w:r>
      <w:r>
        <w:rPr>
          <w:spacing w:val="-22"/>
        </w:rPr>
        <w:t> </w:t>
      </w:r>
      <w:r>
        <w:rPr/>
        <w:t>medical</w:t>
      </w:r>
      <w:r>
        <w:rPr>
          <w:spacing w:val="-19"/>
        </w:rPr>
        <w:t> </w:t>
      </w:r>
      <w:r>
        <w:rPr/>
        <w:t>profession,</w:t>
      </w:r>
      <w:r>
        <w:rPr>
          <w:spacing w:val="-17"/>
        </w:rPr>
        <w:t> </w:t>
      </w:r>
      <w:r>
        <w:rPr/>
        <w:t>it</w:t>
      </w:r>
      <w:r>
        <w:rPr>
          <w:spacing w:val="-19"/>
        </w:rPr>
        <w:t> </w:t>
      </w:r>
      <w:r>
        <w:rPr/>
        <w:t>is</w:t>
      </w:r>
      <w:r>
        <w:rPr>
          <w:spacing w:val="-17"/>
        </w:rPr>
        <w:t> </w:t>
      </w:r>
      <w:r>
        <w:rPr/>
        <w:t>downright</w:t>
      </w:r>
      <w:r>
        <w:rPr>
          <w:spacing w:val="-18"/>
        </w:rPr>
        <w:t> </w:t>
      </w:r>
      <w:r>
        <w:rPr/>
        <w:t>taboo</w:t>
      </w:r>
      <w:r>
        <w:rPr>
          <w:spacing w:val="-17"/>
        </w:rPr>
        <w:t> </w:t>
      </w:r>
      <w:r>
        <w:rPr/>
        <w:t>to</w:t>
      </w:r>
      <w:r>
        <w:rPr>
          <w:spacing w:val="-17"/>
        </w:rPr>
        <w:t> </w:t>
      </w:r>
      <w:r>
        <w:rPr/>
        <w:t>even</w:t>
      </w:r>
      <w:r>
        <w:rPr>
          <w:spacing w:val="-19"/>
        </w:rPr>
        <w:t> </w:t>
      </w:r>
      <w:r>
        <w:rPr/>
        <w:t>utter</w:t>
      </w:r>
      <w:r>
        <w:rPr>
          <w:spacing w:val="-17"/>
        </w:rPr>
        <w:t> </w:t>
      </w:r>
      <w:r>
        <w:rPr/>
        <w:t>the</w:t>
      </w:r>
      <w:r>
        <w:rPr>
          <w:spacing w:val="-17"/>
        </w:rPr>
        <w:t> </w:t>
      </w:r>
      <w:r>
        <w:rPr/>
        <w:t>word 'strophanthin', as it has long been frowned</w:t>
      </w:r>
      <w:r>
        <w:rPr>
          <w:spacing w:val="-3"/>
        </w:rPr>
        <w:t> </w:t>
      </w:r>
      <w:r>
        <w:rPr/>
        <w:t>upon!</w:t>
      </w:r>
    </w:p>
    <w:p>
      <w:pPr>
        <w:pStyle w:val="BodyText"/>
        <w:spacing w:line="276" w:lineRule="auto" w:before="241"/>
        <w:ind w:left="616" w:right="132"/>
        <w:jc w:val="both"/>
      </w:pPr>
      <w:r>
        <w:rPr/>
        <w:t>The unending fight over strophanthin stretched across decades. Members of the </w:t>
      </w:r>
      <w:r>
        <w:rPr>
          <w:i/>
        </w:rPr>
        <w:t>International Society for Fighting Infarction</w:t>
      </w:r>
      <w:r>
        <w:rPr/>
        <w:t>, supporters of strophanthin</w:t>
      </w:r>
      <w:r>
        <w:rPr>
          <w:spacing w:val="-61"/>
        </w:rPr>
        <w:t> </w:t>
      </w:r>
      <w:r>
        <w:rPr/>
        <w:t>engaged in actual fights with obstinate representatives of the conservative medical es- tablishment, even in front of television cameras during an airing of 'Report' in 1976. The enemies' strategy was always the same: Either they were silent on the positive effects of strophanthin, or according to Prof. Schettler, they obli- gated</w:t>
      </w:r>
      <w:r>
        <w:rPr>
          <w:spacing w:val="-14"/>
        </w:rPr>
        <w:t> </w:t>
      </w:r>
      <w:r>
        <w:rPr/>
        <w:t>influential</w:t>
      </w:r>
      <w:r>
        <w:rPr>
          <w:spacing w:val="-13"/>
        </w:rPr>
        <w:t> </w:t>
      </w:r>
      <w:r>
        <w:rPr/>
        <w:t>representatives</w:t>
      </w:r>
      <w:r>
        <w:rPr>
          <w:spacing w:val="-15"/>
        </w:rPr>
        <w:t> </w:t>
      </w:r>
      <w:r>
        <w:rPr/>
        <w:t>of</w:t>
      </w:r>
      <w:r>
        <w:rPr>
          <w:spacing w:val="-12"/>
        </w:rPr>
        <w:t> </w:t>
      </w:r>
      <w:r>
        <w:rPr/>
        <w:t>academic</w:t>
      </w:r>
      <w:r>
        <w:rPr>
          <w:spacing w:val="-14"/>
        </w:rPr>
        <w:t> </w:t>
      </w:r>
      <w:r>
        <w:rPr/>
        <w:t>medicine</w:t>
      </w:r>
      <w:r>
        <w:rPr>
          <w:spacing w:val="-12"/>
        </w:rPr>
        <w:t> </w:t>
      </w:r>
      <w:r>
        <w:rPr/>
        <w:t>to</w:t>
      </w:r>
      <w:r>
        <w:rPr>
          <w:spacing w:val="-6"/>
        </w:rPr>
        <w:t> </w:t>
      </w:r>
      <w:r>
        <w:rPr/>
        <w:t>aggressively</w:t>
      </w:r>
      <w:r>
        <w:rPr>
          <w:spacing w:val="-13"/>
        </w:rPr>
        <w:t> </w:t>
      </w:r>
      <w:r>
        <w:rPr/>
        <w:t>blow</w:t>
      </w:r>
      <w:r>
        <w:rPr>
          <w:spacing w:val="-14"/>
        </w:rPr>
        <w:t> </w:t>
      </w:r>
      <w:r>
        <w:rPr/>
        <w:t>the battle horn – both were very efficient, but the resistance would not</w:t>
      </w:r>
      <w:r>
        <w:rPr>
          <w:spacing w:val="-14"/>
        </w:rPr>
        <w:t> </w:t>
      </w:r>
      <w:r>
        <w:rPr/>
        <w:t>yield.</w:t>
      </w:r>
    </w:p>
    <w:p>
      <w:pPr>
        <w:pStyle w:val="BodyText"/>
        <w:spacing w:line="276" w:lineRule="auto" w:before="239"/>
        <w:ind w:left="616" w:right="133"/>
        <w:jc w:val="both"/>
      </w:pPr>
      <w:r>
        <w:rPr/>
        <w:t>Thankfully there is still a score of doctors who earn their title and have sworn the</w:t>
      </w:r>
      <w:r>
        <w:rPr>
          <w:spacing w:val="-13"/>
        </w:rPr>
        <w:t> </w:t>
      </w:r>
      <w:r>
        <w:rPr/>
        <w:t>Hippocratic</w:t>
      </w:r>
      <w:r>
        <w:rPr>
          <w:spacing w:val="-14"/>
        </w:rPr>
        <w:t> </w:t>
      </w:r>
      <w:r>
        <w:rPr/>
        <w:t>oath</w:t>
      </w:r>
      <w:r>
        <w:rPr>
          <w:spacing w:val="-12"/>
        </w:rPr>
        <w:t> </w:t>
      </w:r>
      <w:r>
        <w:rPr/>
        <w:t>out</w:t>
      </w:r>
      <w:r>
        <w:rPr>
          <w:spacing w:val="-15"/>
        </w:rPr>
        <w:t> </w:t>
      </w:r>
      <w:r>
        <w:rPr/>
        <w:t>of</w:t>
      </w:r>
      <w:r>
        <w:rPr>
          <w:spacing w:val="-12"/>
        </w:rPr>
        <w:t> </w:t>
      </w:r>
      <w:r>
        <w:rPr/>
        <w:t>their</w:t>
      </w:r>
      <w:r>
        <w:rPr>
          <w:spacing w:val="-15"/>
        </w:rPr>
        <w:t> </w:t>
      </w:r>
      <w:r>
        <w:rPr/>
        <w:t>deepest</w:t>
      </w:r>
      <w:r>
        <w:rPr>
          <w:spacing w:val="-12"/>
        </w:rPr>
        <w:t> </w:t>
      </w:r>
      <w:r>
        <w:rPr/>
        <w:t>conviction</w:t>
      </w:r>
      <w:r>
        <w:rPr>
          <w:spacing w:val="-13"/>
        </w:rPr>
        <w:t> </w:t>
      </w:r>
      <w:r>
        <w:rPr/>
        <w:t>for</w:t>
      </w:r>
      <w:r>
        <w:rPr>
          <w:spacing w:val="-14"/>
        </w:rPr>
        <w:t> </w:t>
      </w:r>
      <w:r>
        <w:rPr/>
        <w:t>humanity,</w:t>
      </w:r>
      <w:r>
        <w:rPr>
          <w:spacing w:val="-13"/>
        </w:rPr>
        <w:t> </w:t>
      </w:r>
      <w:r>
        <w:rPr/>
        <w:t>and</w:t>
      </w:r>
      <w:r>
        <w:rPr>
          <w:spacing w:val="-13"/>
        </w:rPr>
        <w:t> </w:t>
      </w:r>
      <w:r>
        <w:rPr/>
        <w:t>not</w:t>
      </w:r>
      <w:r>
        <w:rPr>
          <w:spacing w:val="-6"/>
        </w:rPr>
        <w:t> </w:t>
      </w:r>
      <w:r>
        <w:rPr/>
        <w:t>for their own wallet or the pharmaceutical industry. These doctors continue to fight, albeit less organised than in the 1970s, to make strophanthin accessible to</w:t>
      </w:r>
      <w:r>
        <w:rPr>
          <w:spacing w:val="15"/>
        </w:rPr>
        <w:t> </w:t>
      </w:r>
      <w:r>
        <w:rPr/>
        <w:t>every</w:t>
      </w:r>
      <w:r>
        <w:rPr>
          <w:spacing w:val="15"/>
        </w:rPr>
        <w:t> </w:t>
      </w:r>
      <w:r>
        <w:rPr/>
        <w:t>cardiac</w:t>
      </w:r>
      <w:r>
        <w:rPr>
          <w:spacing w:val="12"/>
        </w:rPr>
        <w:t> </w:t>
      </w:r>
      <w:r>
        <w:rPr/>
        <w:t>patient.</w:t>
      </w:r>
      <w:r>
        <w:rPr>
          <w:spacing w:val="15"/>
        </w:rPr>
        <w:t> </w:t>
      </w:r>
      <w:r>
        <w:rPr/>
        <w:t>For</w:t>
      </w:r>
      <w:r>
        <w:rPr>
          <w:spacing w:val="15"/>
        </w:rPr>
        <w:t> </w:t>
      </w:r>
      <w:r>
        <w:rPr/>
        <w:t>example</w:t>
      </w:r>
      <w:r>
        <w:rPr>
          <w:spacing w:val="15"/>
        </w:rPr>
        <w:t> </w:t>
      </w:r>
      <w:r>
        <w:rPr/>
        <w:t>in</w:t>
      </w:r>
      <w:r>
        <w:rPr>
          <w:spacing w:val="15"/>
        </w:rPr>
        <w:t> </w:t>
      </w:r>
      <w:r>
        <w:rPr/>
        <w:t>Germany</w:t>
      </w:r>
      <w:r>
        <w:rPr>
          <w:spacing w:val="15"/>
        </w:rPr>
        <w:t> </w:t>
      </w:r>
      <w:r>
        <w:rPr/>
        <w:t>alone,</w:t>
      </w:r>
      <w:r>
        <w:rPr>
          <w:spacing w:val="15"/>
        </w:rPr>
        <w:t> </w:t>
      </w:r>
      <w:r>
        <w:rPr/>
        <w:t>2,000-3,000</w:t>
      </w:r>
      <w:r>
        <w:rPr>
          <w:spacing w:val="14"/>
        </w:rPr>
        <w:t> </w:t>
      </w:r>
      <w:r>
        <w:rPr/>
        <w:t>doctors</w:t>
      </w:r>
    </w:p>
    <w:p>
      <w:pPr>
        <w:spacing w:after="0" w:line="276" w:lineRule="auto"/>
        <w:jc w:val="both"/>
        <w:sectPr>
          <w:pgSz w:w="14270" w:h="16850"/>
          <w:pgMar w:header="0" w:footer="1891" w:top="1340" w:bottom="2080" w:left="800" w:right="1280"/>
        </w:sectPr>
      </w:pPr>
    </w:p>
    <w:p>
      <w:pPr>
        <w:pStyle w:val="BodyText"/>
        <w:spacing w:line="278" w:lineRule="auto" w:before="72"/>
        <w:ind w:left="616" w:right="135"/>
        <w:jc w:val="both"/>
        <w:rPr>
          <w:sz w:val="25"/>
        </w:rPr>
      </w:pPr>
      <w:r>
        <w:rPr/>
        <w:t>still</w:t>
      </w:r>
      <w:r>
        <w:rPr>
          <w:spacing w:val="-28"/>
        </w:rPr>
        <w:t> </w:t>
      </w:r>
      <w:r>
        <w:rPr/>
        <w:t>administer</w:t>
      </w:r>
      <w:r>
        <w:rPr>
          <w:spacing w:val="-26"/>
        </w:rPr>
        <w:t> </w:t>
      </w:r>
      <w:r>
        <w:rPr/>
        <w:t>oral</w:t>
      </w:r>
      <w:r>
        <w:rPr>
          <w:spacing w:val="-28"/>
        </w:rPr>
        <w:t> </w:t>
      </w:r>
      <w:r>
        <w:rPr/>
        <w:t>g-strophanthin,</w:t>
      </w:r>
      <w:r>
        <w:rPr>
          <w:spacing w:val="-26"/>
        </w:rPr>
        <w:t> </w:t>
      </w:r>
      <w:r>
        <w:rPr/>
        <w:t>particularly</w:t>
      </w:r>
      <w:r>
        <w:rPr>
          <w:spacing w:val="-27"/>
        </w:rPr>
        <w:t> </w:t>
      </w:r>
      <w:r>
        <w:rPr/>
        <w:t>to</w:t>
      </w:r>
      <w:r>
        <w:rPr>
          <w:spacing w:val="-25"/>
        </w:rPr>
        <w:t> </w:t>
      </w:r>
      <w:r>
        <w:rPr/>
        <w:t>prevent</w:t>
      </w:r>
      <w:r>
        <w:rPr>
          <w:spacing w:val="-27"/>
        </w:rPr>
        <w:t> </w:t>
      </w:r>
      <w:r>
        <w:rPr/>
        <w:t>and</w:t>
      </w:r>
      <w:r>
        <w:rPr>
          <w:spacing w:val="-27"/>
        </w:rPr>
        <w:t> </w:t>
      </w:r>
      <w:r>
        <w:rPr/>
        <w:t>treat</w:t>
      </w:r>
      <w:r>
        <w:rPr>
          <w:spacing w:val="-27"/>
        </w:rPr>
        <w:t> </w:t>
      </w:r>
      <w:r>
        <w:rPr/>
        <w:t>angina</w:t>
      </w:r>
      <w:r>
        <w:rPr>
          <w:spacing w:val="-27"/>
        </w:rPr>
        <w:t> </w:t>
      </w:r>
      <w:r>
        <w:rPr/>
        <w:t>pec- toris and heart</w:t>
      </w:r>
      <w:r>
        <w:rPr>
          <w:spacing w:val="1"/>
        </w:rPr>
        <w:t> </w:t>
      </w:r>
      <w:r>
        <w:rPr/>
        <w:t>attack.</w:t>
      </w:r>
      <w:r>
        <w:rPr>
          <w:position w:val="9"/>
          <w:sz w:val="25"/>
        </w:rPr>
        <w:t>890</w:t>
      </w:r>
    </w:p>
    <w:p>
      <w:pPr>
        <w:pStyle w:val="Heading1"/>
        <w:spacing w:before="215"/>
        <w:ind w:left="616"/>
      </w:pPr>
      <w:r>
        <w:rPr/>
        <w:t>Contradictory treatment</w:t>
      </w:r>
    </w:p>
    <w:p>
      <w:pPr>
        <w:pStyle w:val="BodyText"/>
        <w:spacing w:line="276" w:lineRule="auto" w:before="299"/>
        <w:ind w:left="616" w:right="131"/>
        <w:jc w:val="both"/>
      </w:pPr>
      <w:r>
        <w:rPr/>
        <w:t>Absurdly, one side maintains the mistaken claim that oral g-strophanthin is virtually</w:t>
      </w:r>
      <w:r>
        <w:rPr>
          <w:spacing w:val="-19"/>
        </w:rPr>
        <w:t> </w:t>
      </w:r>
      <w:r>
        <w:rPr/>
        <w:t>ineffective</w:t>
      </w:r>
      <w:r>
        <w:rPr>
          <w:spacing w:val="-19"/>
        </w:rPr>
        <w:t> </w:t>
      </w:r>
      <w:r>
        <w:rPr/>
        <w:t>because</w:t>
      </w:r>
      <w:r>
        <w:rPr>
          <w:spacing w:val="-19"/>
        </w:rPr>
        <w:t> </w:t>
      </w:r>
      <w:r>
        <w:rPr/>
        <w:t>of</w:t>
      </w:r>
      <w:r>
        <w:rPr>
          <w:spacing w:val="-21"/>
        </w:rPr>
        <w:t> </w:t>
      </w:r>
      <w:r>
        <w:rPr/>
        <w:t>insufficient</w:t>
      </w:r>
      <w:r>
        <w:rPr>
          <w:spacing w:val="-19"/>
        </w:rPr>
        <w:t> </w:t>
      </w:r>
      <w:r>
        <w:rPr/>
        <w:t>resorption,</w:t>
      </w:r>
      <w:r>
        <w:rPr>
          <w:spacing w:val="-21"/>
        </w:rPr>
        <w:t> </w:t>
      </w:r>
      <w:r>
        <w:rPr/>
        <w:t>while</w:t>
      </w:r>
      <w:r>
        <w:rPr>
          <w:spacing w:val="-20"/>
        </w:rPr>
        <w:t> </w:t>
      </w:r>
      <w:r>
        <w:rPr/>
        <w:t>the</w:t>
      </w:r>
      <w:r>
        <w:rPr>
          <w:spacing w:val="-20"/>
        </w:rPr>
        <w:t> </w:t>
      </w:r>
      <w:r>
        <w:rPr/>
        <w:t>other</w:t>
      </w:r>
      <w:r>
        <w:rPr>
          <w:spacing w:val="-19"/>
        </w:rPr>
        <w:t> </w:t>
      </w:r>
      <w:r>
        <w:rPr/>
        <w:t>side</w:t>
      </w:r>
      <w:r>
        <w:rPr>
          <w:spacing w:val="-21"/>
        </w:rPr>
        <w:t> </w:t>
      </w:r>
      <w:r>
        <w:rPr/>
        <w:t>calls for approval of the medication, and in order to secure the monopoly on the 'oh</w:t>
      </w:r>
      <w:r>
        <w:rPr>
          <w:spacing w:val="-21"/>
        </w:rPr>
        <w:t> </w:t>
      </w:r>
      <w:r>
        <w:rPr/>
        <w:t>so</w:t>
      </w:r>
      <w:r>
        <w:rPr>
          <w:spacing w:val="-22"/>
        </w:rPr>
        <w:t> </w:t>
      </w:r>
      <w:r>
        <w:rPr/>
        <w:t>ineffective</w:t>
      </w:r>
      <w:r>
        <w:rPr>
          <w:spacing w:val="-23"/>
        </w:rPr>
        <w:t> </w:t>
      </w:r>
      <w:r>
        <w:rPr/>
        <w:t>medication'</w:t>
      </w:r>
      <w:r>
        <w:rPr>
          <w:spacing w:val="-23"/>
        </w:rPr>
        <w:t> </w:t>
      </w:r>
      <w:r>
        <w:rPr/>
        <w:t>and</w:t>
      </w:r>
      <w:r>
        <w:rPr>
          <w:spacing w:val="-22"/>
        </w:rPr>
        <w:t> </w:t>
      </w:r>
      <w:r>
        <w:rPr/>
        <w:t>to</w:t>
      </w:r>
      <w:r>
        <w:rPr>
          <w:spacing w:val="-22"/>
        </w:rPr>
        <w:t> </w:t>
      </w:r>
      <w:r>
        <w:rPr/>
        <w:t>control</w:t>
      </w:r>
      <w:r>
        <w:rPr>
          <w:spacing w:val="-23"/>
        </w:rPr>
        <w:t> </w:t>
      </w:r>
      <w:r>
        <w:rPr/>
        <w:t>it</w:t>
      </w:r>
      <w:r>
        <w:rPr>
          <w:spacing w:val="-23"/>
        </w:rPr>
        <w:t> </w:t>
      </w:r>
      <w:r>
        <w:rPr/>
        <w:t>(so</w:t>
      </w:r>
      <w:r>
        <w:rPr>
          <w:spacing w:val="-22"/>
        </w:rPr>
        <w:t> </w:t>
      </w:r>
      <w:r>
        <w:rPr/>
        <w:t>it</w:t>
      </w:r>
      <w:r>
        <w:rPr>
          <w:spacing w:val="-23"/>
        </w:rPr>
        <w:t> </w:t>
      </w:r>
      <w:r>
        <w:rPr/>
        <w:t>does</w:t>
      </w:r>
      <w:r>
        <w:rPr>
          <w:spacing w:val="-22"/>
        </w:rPr>
        <w:t> </w:t>
      </w:r>
      <w:r>
        <w:rPr/>
        <w:t>not</w:t>
      </w:r>
      <w:r>
        <w:rPr>
          <w:spacing w:val="-23"/>
        </w:rPr>
        <w:t> </w:t>
      </w:r>
      <w:r>
        <w:rPr/>
        <w:t>fall</w:t>
      </w:r>
      <w:r>
        <w:rPr>
          <w:spacing w:val="-23"/>
        </w:rPr>
        <w:t> </w:t>
      </w:r>
      <w:r>
        <w:rPr/>
        <w:t>into</w:t>
      </w:r>
      <w:r>
        <w:rPr>
          <w:spacing w:val="-22"/>
        </w:rPr>
        <w:t> </w:t>
      </w:r>
      <w:r>
        <w:rPr/>
        <w:t>the</w:t>
      </w:r>
      <w:r>
        <w:rPr>
          <w:spacing w:val="-21"/>
        </w:rPr>
        <w:t> </w:t>
      </w:r>
      <w:r>
        <w:rPr/>
        <w:t>hands of homoeopaths and natural practitioners), g-strophanthin was promptly sub- jected to prescription requirements by the other</w:t>
      </w:r>
      <w:r>
        <w:rPr>
          <w:spacing w:val="-4"/>
        </w:rPr>
        <w:t> </w:t>
      </w:r>
      <w:r>
        <w:rPr/>
        <w:t>side.</w:t>
      </w:r>
    </w:p>
    <w:p>
      <w:pPr>
        <w:pStyle w:val="BodyText"/>
        <w:spacing w:before="240"/>
        <w:ind w:left="616"/>
      </w:pPr>
      <w:r>
        <w:rPr/>
        <w:t>Make of that what you will!</w:t>
      </w:r>
    </w:p>
    <w:p>
      <w:pPr>
        <w:pStyle w:val="Heading1"/>
        <w:spacing w:before="288"/>
        <w:ind w:left="616"/>
      </w:pPr>
      <w:r>
        <w:rPr/>
        <w:t>The doctor's dilemma</w:t>
      </w:r>
    </w:p>
    <w:p>
      <w:pPr>
        <w:pStyle w:val="BodyText"/>
        <w:spacing w:line="276" w:lineRule="auto" w:before="299"/>
        <w:ind w:left="616" w:right="130"/>
        <w:jc w:val="both"/>
      </w:pPr>
      <w:r>
        <w:rPr/>
        <w:t>A</w:t>
      </w:r>
      <w:r>
        <w:rPr>
          <w:spacing w:val="-10"/>
        </w:rPr>
        <w:t> </w:t>
      </w:r>
      <w:r>
        <w:rPr/>
        <w:t>doctor</w:t>
      </w:r>
      <w:r>
        <w:rPr>
          <w:spacing w:val="-8"/>
        </w:rPr>
        <w:t> </w:t>
      </w:r>
      <w:r>
        <w:rPr/>
        <w:t>must</w:t>
      </w:r>
      <w:r>
        <w:rPr>
          <w:spacing w:val="-9"/>
        </w:rPr>
        <w:t> </w:t>
      </w:r>
      <w:r>
        <w:rPr/>
        <w:t>be</w:t>
      </w:r>
      <w:r>
        <w:rPr>
          <w:spacing w:val="-9"/>
        </w:rPr>
        <w:t> </w:t>
      </w:r>
      <w:r>
        <w:rPr/>
        <w:t>highly</w:t>
      </w:r>
      <w:r>
        <w:rPr>
          <w:spacing w:val="-10"/>
        </w:rPr>
        <w:t> </w:t>
      </w:r>
      <w:r>
        <w:rPr/>
        <w:t>conversant</w:t>
      </w:r>
      <w:r>
        <w:rPr>
          <w:spacing w:val="-9"/>
        </w:rPr>
        <w:t> </w:t>
      </w:r>
      <w:r>
        <w:rPr/>
        <w:t>in</w:t>
      </w:r>
      <w:r>
        <w:rPr>
          <w:spacing w:val="-9"/>
        </w:rPr>
        <w:t> </w:t>
      </w:r>
      <w:r>
        <w:rPr/>
        <w:t>the</w:t>
      </w:r>
      <w:r>
        <w:rPr>
          <w:spacing w:val="-8"/>
        </w:rPr>
        <w:t> </w:t>
      </w:r>
      <w:r>
        <w:rPr/>
        <w:t>things</w:t>
      </w:r>
      <w:r>
        <w:rPr>
          <w:spacing w:val="-10"/>
        </w:rPr>
        <w:t> </w:t>
      </w:r>
      <w:r>
        <w:rPr/>
        <w:t>that</w:t>
      </w:r>
      <w:r>
        <w:rPr>
          <w:spacing w:val="-9"/>
        </w:rPr>
        <w:t> </w:t>
      </w:r>
      <w:r>
        <w:rPr/>
        <w:t>go</w:t>
      </w:r>
      <w:r>
        <w:rPr>
          <w:spacing w:val="-9"/>
        </w:rPr>
        <w:t> </w:t>
      </w:r>
      <w:r>
        <w:rPr/>
        <w:t>on</w:t>
      </w:r>
      <w:r>
        <w:rPr>
          <w:spacing w:val="-7"/>
        </w:rPr>
        <w:t> </w:t>
      </w:r>
      <w:r>
        <w:rPr/>
        <w:t>behind</w:t>
      </w:r>
      <w:r>
        <w:rPr>
          <w:spacing w:val="-10"/>
        </w:rPr>
        <w:t> </w:t>
      </w:r>
      <w:r>
        <w:rPr/>
        <w:t>the</w:t>
      </w:r>
      <w:r>
        <w:rPr>
          <w:spacing w:val="-8"/>
        </w:rPr>
        <w:t> </w:t>
      </w:r>
      <w:r>
        <w:rPr/>
        <w:t>scenes in order to prescribe a medication that, according to the current ('adjusted') textbooks, allegedly does not work. It is all the more difficult to find a loyal and responsible doctor who will prescribe strophanthin to you. In the 'Stro- phanthin</w:t>
      </w:r>
      <w:r>
        <w:rPr>
          <w:spacing w:val="-16"/>
        </w:rPr>
        <w:t> </w:t>
      </w:r>
      <w:r>
        <w:rPr/>
        <w:t>doctors'</w:t>
      </w:r>
      <w:r>
        <w:rPr>
          <w:spacing w:val="-16"/>
        </w:rPr>
        <w:t> </w:t>
      </w:r>
      <w:r>
        <w:rPr/>
        <w:t>section,</w:t>
      </w:r>
      <w:r>
        <w:rPr>
          <w:spacing w:val="-16"/>
        </w:rPr>
        <w:t> </w:t>
      </w:r>
      <w:r>
        <w:rPr/>
        <w:t>you</w:t>
      </w:r>
      <w:r>
        <w:rPr>
          <w:spacing w:val="-17"/>
        </w:rPr>
        <w:t> </w:t>
      </w:r>
      <w:r>
        <w:rPr/>
        <w:t>will</w:t>
      </w:r>
      <w:r>
        <w:rPr>
          <w:spacing w:val="-17"/>
        </w:rPr>
        <w:t> </w:t>
      </w:r>
      <w:r>
        <w:rPr/>
        <w:t>see</w:t>
      </w:r>
      <w:r>
        <w:rPr>
          <w:spacing w:val="-15"/>
        </w:rPr>
        <w:t> </w:t>
      </w:r>
      <w:r>
        <w:rPr/>
        <w:t>a</w:t>
      </w:r>
      <w:r>
        <w:rPr>
          <w:spacing w:val="-17"/>
        </w:rPr>
        <w:t> </w:t>
      </w:r>
      <w:r>
        <w:rPr/>
        <w:t>precise</w:t>
      </w:r>
      <w:r>
        <w:rPr>
          <w:spacing w:val="-17"/>
        </w:rPr>
        <w:t> </w:t>
      </w:r>
      <w:r>
        <w:rPr/>
        <w:t>list</w:t>
      </w:r>
      <w:r>
        <w:rPr>
          <w:spacing w:val="-16"/>
        </w:rPr>
        <w:t> </w:t>
      </w:r>
      <w:r>
        <w:rPr/>
        <w:t>of</w:t>
      </w:r>
      <w:r>
        <w:rPr>
          <w:spacing w:val="-15"/>
        </w:rPr>
        <w:t> </w:t>
      </w:r>
      <w:r>
        <w:rPr/>
        <w:t>these</w:t>
      </w:r>
      <w:r>
        <w:rPr>
          <w:spacing w:val="-18"/>
        </w:rPr>
        <w:t> </w:t>
      </w:r>
      <w:r>
        <w:rPr/>
        <w:t>doctors</w:t>
      </w:r>
      <w:r>
        <w:rPr>
          <w:spacing w:val="-14"/>
        </w:rPr>
        <w:t> </w:t>
      </w:r>
      <w:r>
        <w:rPr/>
        <w:t>who</w:t>
      </w:r>
      <w:r>
        <w:rPr>
          <w:spacing w:val="-14"/>
        </w:rPr>
        <w:t> </w:t>
      </w:r>
      <w:r>
        <w:rPr/>
        <w:t>know better than established academic</w:t>
      </w:r>
      <w:r>
        <w:rPr>
          <w:spacing w:val="2"/>
        </w:rPr>
        <w:t> </w:t>
      </w:r>
      <w:r>
        <w:rPr/>
        <w:t>medicine...</w:t>
      </w:r>
    </w:p>
    <w:p>
      <w:pPr>
        <w:pStyle w:val="BodyText"/>
        <w:spacing w:before="240"/>
        <w:ind w:left="616"/>
        <w:jc w:val="both"/>
      </w:pPr>
      <w:r>
        <w:rPr/>
        <w:t>Furthermore, the decision to make strophanthin a prescription medication was</w:t>
      </w:r>
    </w:p>
    <w:p>
      <w:pPr>
        <w:pStyle w:val="BodyText"/>
        <w:rPr>
          <w:sz w:val="20"/>
        </w:rPr>
      </w:pPr>
    </w:p>
    <w:p>
      <w:pPr>
        <w:pStyle w:val="BodyText"/>
        <w:spacing w:before="8"/>
        <w:rPr>
          <w:sz w:val="11"/>
        </w:rPr>
      </w:pPr>
      <w:r>
        <w:rPr/>
        <w:pict>
          <v:line style="position:absolute;mso-position-horizontal-relative:page;mso-position-vertical-relative:paragraph;z-index:12440;mso-wrap-distance-left:0;mso-wrap-distance-right:0" from="70.823997pt,8.975015pt" to="214.843997pt,8.975015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890 </w:t>
      </w:r>
      <w:r>
        <w:rPr>
          <w:sz w:val="20"/>
        </w:rPr>
        <w:t>gesund-im-net.de/strophanthin.htm</w:t>
      </w:r>
    </w:p>
    <w:p>
      <w:pPr>
        <w:spacing w:after="0"/>
        <w:jc w:val="left"/>
        <w:rPr>
          <w:sz w:val="20"/>
        </w:rPr>
        <w:sectPr>
          <w:footerReference w:type="default" r:id="rId382"/>
          <w:pgSz w:w="14270" w:h="16850"/>
          <w:pgMar w:footer="1891" w:header="0" w:top="1340" w:bottom="2080" w:left="800" w:right="1280"/>
          <w:pgNumType w:start="1620"/>
        </w:sectPr>
      </w:pPr>
    </w:p>
    <w:p>
      <w:pPr>
        <w:pStyle w:val="BodyText"/>
        <w:spacing w:line="276" w:lineRule="auto" w:before="72"/>
        <w:ind w:left="616" w:right="137"/>
        <w:jc w:val="both"/>
      </w:pPr>
      <w:r>
        <w:rPr/>
        <w:t>justified by 'fluctuations in resorption' (absorption by the body), which was in turn based on one single study. Specifically, the resorption distribution came about through scientifically unreasonable studies in which the strophanthin was administered once before and once after eating, which would of course result in different resorption curves.</w:t>
      </w:r>
    </w:p>
    <w:p>
      <w:pPr>
        <w:pStyle w:val="BodyText"/>
        <w:spacing w:line="276" w:lineRule="auto" w:before="242"/>
        <w:ind w:left="616" w:right="137"/>
        <w:jc w:val="both"/>
      </w:pPr>
      <w:r>
        <w:rPr/>
        <w:t>For an example of some aspects of this topical issue of strophanthin, refer to this quote from Prof. Udo Köhler:</w:t>
      </w:r>
    </w:p>
    <w:p>
      <w:pPr>
        <w:spacing w:line="276" w:lineRule="auto" w:before="241"/>
        <w:ind w:left="616" w:right="133" w:firstLine="0"/>
        <w:jc w:val="both"/>
        <w:rPr>
          <w:i/>
          <w:sz w:val="38"/>
        </w:rPr>
      </w:pPr>
      <w:r>
        <w:rPr>
          <w:i/>
          <w:sz w:val="38"/>
        </w:rPr>
        <w:t>'By taking 1 capsule of Strodival mr® twice a day [editor's note: oral, stomach-resistant </w:t>
      </w:r>
      <w:r>
        <w:rPr>
          <w:i/>
          <w:sz w:val="38"/>
        </w:rPr>
        <w:t>form of strophanthin], I have been able to rid myself of the pain of a treatment-resistant</w:t>
      </w:r>
      <w:r>
        <w:rPr>
          <w:i/>
          <w:spacing w:val="-59"/>
          <w:sz w:val="38"/>
        </w:rPr>
        <w:t> </w:t>
      </w:r>
      <w:r>
        <w:rPr>
          <w:i/>
          <w:sz w:val="38"/>
        </w:rPr>
        <w:t>case of the most severe coronary sclerosis with angina pectoris, post-heart attack, which was given up on by a renowned heart clinic and not without reason, and have been enjoying this </w:t>
      </w:r>
      <w:r>
        <w:rPr>
          <w:i/>
          <w:spacing w:val="2"/>
          <w:sz w:val="38"/>
        </w:rPr>
        <w:t>pain- </w:t>
      </w:r>
      <w:r>
        <w:rPr>
          <w:i/>
          <w:sz w:val="38"/>
        </w:rPr>
        <w:t>free condition for months.</w:t>
      </w:r>
    </w:p>
    <w:p>
      <w:pPr>
        <w:spacing w:line="276" w:lineRule="auto" w:before="240"/>
        <w:ind w:left="616" w:right="136" w:firstLine="0"/>
        <w:jc w:val="both"/>
        <w:rPr>
          <w:i/>
          <w:sz w:val="38"/>
        </w:rPr>
      </w:pPr>
      <w:r>
        <w:rPr>
          <w:i/>
          <w:sz w:val="38"/>
        </w:rPr>
        <w:t>Yet this solves one of the most urgent problems of modern practical medicine, the connection </w:t>
      </w:r>
      <w:r>
        <w:rPr>
          <w:i/>
          <w:sz w:val="38"/>
        </w:rPr>
        <w:t>between old medical knowledge with usage of the latest fundamental research and technology, and every doctor has finally been given an effective weapon in the fight against coronary</w:t>
      </w:r>
      <w:r>
        <w:rPr>
          <w:i/>
          <w:spacing w:val="-67"/>
          <w:sz w:val="38"/>
        </w:rPr>
        <w:t> </w:t>
      </w:r>
      <w:r>
        <w:rPr>
          <w:i/>
          <w:sz w:val="38"/>
        </w:rPr>
        <w:t>heart death.</w:t>
      </w:r>
    </w:p>
    <w:p>
      <w:pPr>
        <w:spacing w:line="276" w:lineRule="auto" w:before="239"/>
        <w:ind w:left="616" w:right="134" w:firstLine="0"/>
        <w:jc w:val="both"/>
        <w:rPr>
          <w:sz w:val="25"/>
        </w:rPr>
      </w:pPr>
      <w:r>
        <w:rPr>
          <w:i/>
          <w:sz w:val="38"/>
        </w:rPr>
        <w:t>To</w:t>
      </w:r>
      <w:r>
        <w:rPr>
          <w:i/>
          <w:spacing w:val="-12"/>
          <w:sz w:val="38"/>
        </w:rPr>
        <w:t> </w:t>
      </w:r>
      <w:r>
        <w:rPr>
          <w:i/>
          <w:sz w:val="38"/>
        </w:rPr>
        <w:t>point</w:t>
      </w:r>
      <w:r>
        <w:rPr>
          <w:i/>
          <w:spacing w:val="-11"/>
          <w:sz w:val="38"/>
        </w:rPr>
        <w:t> </w:t>
      </w:r>
      <w:r>
        <w:rPr>
          <w:i/>
          <w:sz w:val="38"/>
        </w:rPr>
        <w:t>out</w:t>
      </w:r>
      <w:r>
        <w:rPr>
          <w:i/>
          <w:spacing w:val="-12"/>
          <w:sz w:val="38"/>
        </w:rPr>
        <w:t> </w:t>
      </w:r>
      <w:r>
        <w:rPr>
          <w:i/>
          <w:sz w:val="38"/>
        </w:rPr>
        <w:t>the</w:t>
      </w:r>
      <w:r>
        <w:rPr>
          <w:i/>
          <w:spacing w:val="-12"/>
          <w:sz w:val="38"/>
        </w:rPr>
        <w:t> </w:t>
      </w:r>
      <w:r>
        <w:rPr>
          <w:i/>
          <w:sz w:val="38"/>
        </w:rPr>
        <w:t>national</w:t>
      </w:r>
      <w:r>
        <w:rPr>
          <w:i/>
          <w:spacing w:val="-11"/>
          <w:sz w:val="38"/>
        </w:rPr>
        <w:t> </w:t>
      </w:r>
      <w:r>
        <w:rPr>
          <w:i/>
          <w:sz w:val="38"/>
        </w:rPr>
        <w:t>significance</w:t>
      </w:r>
      <w:r>
        <w:rPr>
          <w:i/>
          <w:spacing w:val="-12"/>
          <w:sz w:val="38"/>
        </w:rPr>
        <w:t> </w:t>
      </w:r>
      <w:r>
        <w:rPr>
          <w:i/>
          <w:sz w:val="38"/>
        </w:rPr>
        <w:t>of</w:t>
      </w:r>
      <w:r>
        <w:rPr>
          <w:i/>
          <w:spacing w:val="-11"/>
          <w:sz w:val="38"/>
        </w:rPr>
        <w:t> </w:t>
      </w:r>
      <w:r>
        <w:rPr>
          <w:i/>
          <w:sz w:val="38"/>
        </w:rPr>
        <w:t>these</w:t>
      </w:r>
      <w:r>
        <w:rPr>
          <w:i/>
          <w:spacing w:val="-15"/>
          <w:sz w:val="38"/>
        </w:rPr>
        <w:t> </w:t>
      </w:r>
      <w:r>
        <w:rPr>
          <w:i/>
          <w:sz w:val="38"/>
        </w:rPr>
        <w:t>circulatory</w:t>
      </w:r>
      <w:r>
        <w:rPr>
          <w:i/>
          <w:spacing w:val="-12"/>
          <w:sz w:val="38"/>
        </w:rPr>
        <w:t> </w:t>
      </w:r>
      <w:r>
        <w:rPr>
          <w:i/>
          <w:sz w:val="38"/>
        </w:rPr>
        <w:t>diseases</w:t>
      </w:r>
      <w:r>
        <w:rPr>
          <w:i/>
          <w:spacing w:val="-12"/>
          <w:sz w:val="38"/>
        </w:rPr>
        <w:t> </w:t>
      </w:r>
      <w:r>
        <w:rPr>
          <w:i/>
          <w:sz w:val="38"/>
        </w:rPr>
        <w:t>would</w:t>
      </w:r>
      <w:r>
        <w:rPr>
          <w:i/>
          <w:spacing w:val="-11"/>
          <w:sz w:val="38"/>
        </w:rPr>
        <w:t> </w:t>
      </w:r>
      <w:r>
        <w:rPr>
          <w:i/>
          <w:sz w:val="38"/>
        </w:rPr>
        <w:t>be</w:t>
      </w:r>
      <w:r>
        <w:rPr>
          <w:i/>
          <w:spacing w:val="-13"/>
          <w:sz w:val="38"/>
        </w:rPr>
        <w:t> </w:t>
      </w:r>
      <w:r>
        <w:rPr>
          <w:i/>
          <w:sz w:val="38"/>
        </w:rPr>
        <w:t>like</w:t>
      </w:r>
      <w:r>
        <w:rPr>
          <w:i/>
          <w:spacing w:val="-13"/>
          <w:sz w:val="38"/>
        </w:rPr>
        <w:t> </w:t>
      </w:r>
      <w:r>
        <w:rPr>
          <w:i/>
          <w:sz w:val="38"/>
        </w:rPr>
        <w:t>carrying</w:t>
      </w:r>
      <w:r>
        <w:rPr>
          <w:i/>
          <w:spacing w:val="-12"/>
          <w:sz w:val="38"/>
        </w:rPr>
        <w:t> </w:t>
      </w:r>
      <w:r>
        <w:rPr>
          <w:i/>
          <w:sz w:val="38"/>
        </w:rPr>
        <w:t>coals </w:t>
      </w:r>
      <w:r>
        <w:rPr>
          <w:i/>
          <w:sz w:val="38"/>
        </w:rPr>
        <w:t>to Newcastle. But maybe those responsible will think about how many millions of deutsch- marks could be saved every year if the emphasis in the fight against heart attack was placed in the hands of practical doctors and</w:t>
      </w:r>
      <w:r>
        <w:rPr>
          <w:i/>
          <w:spacing w:val="1"/>
          <w:sz w:val="38"/>
        </w:rPr>
        <w:t> </w:t>
      </w:r>
      <w:r>
        <w:rPr>
          <w:i/>
          <w:sz w:val="38"/>
        </w:rPr>
        <w:t>internists'.</w:t>
      </w:r>
      <w:r>
        <w:rPr>
          <w:position w:val="9"/>
          <w:sz w:val="25"/>
        </w:rPr>
        <w:t>891</w:t>
      </w:r>
    </w:p>
    <w:p>
      <w:pPr>
        <w:pStyle w:val="BodyText"/>
        <w:spacing w:before="242"/>
        <w:ind w:left="616"/>
        <w:jc w:val="both"/>
      </w:pPr>
      <w:r>
        <w:rPr/>
        <w:t>True words! The case described ultimately reflects just one of many examples</w:t>
      </w:r>
    </w:p>
    <w:p>
      <w:pPr>
        <w:pStyle w:val="BodyText"/>
        <w:spacing w:before="5"/>
        <w:rPr>
          <w:sz w:val="23"/>
        </w:rPr>
      </w:pPr>
      <w:r>
        <w:rPr/>
        <w:pict>
          <v:line style="position:absolute;mso-position-horizontal-relative:page;mso-position-vertical-relative:paragraph;z-index:12464;mso-wrap-distance-left:0;mso-wrap-distance-right:0" from="70.823997pt,15.539985pt" to="214.843997pt,15.539985pt" stroked="true" strokeweight=".72003pt" strokecolor="#000000">
            <v:stroke dashstyle="solid"/>
            <w10:wrap type="topAndBottom"/>
          </v:line>
        </w:pict>
      </w:r>
    </w:p>
    <w:p>
      <w:pPr>
        <w:pStyle w:val="BodyText"/>
        <w:spacing w:before="7"/>
        <w:rPr>
          <w:sz w:val="18"/>
        </w:rPr>
      </w:pPr>
    </w:p>
    <w:p>
      <w:pPr>
        <w:spacing w:line="276" w:lineRule="auto" w:before="99"/>
        <w:ind w:left="616" w:right="0" w:firstLine="0"/>
        <w:jc w:val="left"/>
        <w:rPr>
          <w:sz w:val="20"/>
        </w:rPr>
      </w:pPr>
      <w:r>
        <w:rPr>
          <w:position w:val="5"/>
          <w:sz w:val="13"/>
        </w:rPr>
        <w:t>891 </w:t>
      </w:r>
      <w:r>
        <w:rPr>
          <w:sz w:val="20"/>
        </w:rPr>
        <w:t>Prof. Udo Köhler: Schach dem Herzinfarkt (Checkmate for heart attack), published in: Zeitschrift für Allgemeinmedizin (Journal of General Medicine), 1976, 52, p. 1103 f.</w:t>
      </w:r>
    </w:p>
    <w:p>
      <w:pPr>
        <w:spacing w:after="0" w:line="276" w:lineRule="auto"/>
        <w:jc w:val="left"/>
        <w:rPr>
          <w:sz w:val="20"/>
        </w:rPr>
        <w:sectPr>
          <w:pgSz w:w="14270" w:h="16850"/>
          <w:pgMar w:header="0" w:footer="1891" w:top="1340" w:bottom="2080" w:left="800" w:right="1280"/>
        </w:sectPr>
      </w:pPr>
    </w:p>
    <w:p>
      <w:pPr>
        <w:pStyle w:val="BodyText"/>
        <w:spacing w:line="278" w:lineRule="auto" w:before="72"/>
        <w:ind w:left="616" w:right="141"/>
        <w:jc w:val="both"/>
      </w:pPr>
      <w:r>
        <w:rPr/>
        <w:t>of various cures for so-called 'hopeless cases'. The last section, unfortunately, clashes with the mindset and function of lobbying within politics.</w:t>
      </w:r>
    </w:p>
    <w:p>
      <w:pPr>
        <w:pStyle w:val="BodyText"/>
        <w:spacing w:line="278" w:lineRule="auto" w:before="232"/>
        <w:ind w:left="616" w:right="143"/>
        <w:jc w:val="both"/>
      </w:pPr>
      <w:r>
        <w:rPr/>
        <w:t>On top of that, there are the specialist journalists who are not afraid to report the successes of strophanthin to this day.</w:t>
      </w:r>
    </w:p>
    <w:p>
      <w:pPr>
        <w:pStyle w:val="BodyText"/>
        <w:spacing w:line="276" w:lineRule="auto" w:before="232"/>
        <w:ind w:left="616" w:right="135"/>
        <w:jc w:val="both"/>
      </w:pPr>
      <w:r>
        <w:rPr/>
        <w:t>For</w:t>
      </w:r>
      <w:r>
        <w:rPr>
          <w:spacing w:val="-24"/>
        </w:rPr>
        <w:t> </w:t>
      </w:r>
      <w:r>
        <w:rPr/>
        <w:t>example,</w:t>
      </w:r>
      <w:r>
        <w:rPr>
          <w:spacing w:val="-25"/>
        </w:rPr>
        <w:t> </w:t>
      </w:r>
      <w:r>
        <w:rPr/>
        <w:t>the</w:t>
      </w:r>
      <w:r>
        <w:rPr>
          <w:spacing w:val="-27"/>
        </w:rPr>
        <w:t> </w:t>
      </w:r>
      <w:r>
        <w:rPr/>
        <w:t>renowned</w:t>
      </w:r>
      <w:r>
        <w:rPr>
          <w:spacing w:val="-27"/>
        </w:rPr>
        <w:t> </w:t>
      </w:r>
      <w:r>
        <w:rPr/>
        <w:t>British</w:t>
      </w:r>
      <w:r>
        <w:rPr>
          <w:spacing w:val="-25"/>
        </w:rPr>
        <w:t> </w:t>
      </w:r>
      <w:r>
        <w:rPr/>
        <w:t>publication</w:t>
      </w:r>
      <w:r>
        <w:rPr>
          <w:spacing w:val="-24"/>
        </w:rPr>
        <w:t> </w:t>
      </w:r>
      <w:r>
        <w:rPr/>
        <w:t>International</w:t>
      </w:r>
      <w:r>
        <w:rPr>
          <w:spacing w:val="-27"/>
        </w:rPr>
        <w:t> </w:t>
      </w:r>
      <w:r>
        <w:rPr/>
        <w:t>Journal</w:t>
      </w:r>
      <w:r>
        <w:rPr>
          <w:spacing w:val="-26"/>
        </w:rPr>
        <w:t> </w:t>
      </w:r>
      <w:r>
        <w:rPr/>
        <w:t>of</w:t>
      </w:r>
      <w:r>
        <w:rPr>
          <w:spacing w:val="-24"/>
        </w:rPr>
        <w:t> </w:t>
      </w:r>
      <w:r>
        <w:rPr/>
        <w:t>Clinical Practice</w:t>
      </w:r>
      <w:r>
        <w:rPr>
          <w:spacing w:val="-10"/>
        </w:rPr>
        <w:t> </w:t>
      </w:r>
      <w:r>
        <w:rPr/>
        <w:t>published</w:t>
      </w:r>
      <w:r>
        <w:rPr>
          <w:spacing w:val="-10"/>
        </w:rPr>
        <w:t> </w:t>
      </w:r>
      <w:r>
        <w:rPr/>
        <w:t>a</w:t>
      </w:r>
      <w:r>
        <w:rPr>
          <w:spacing w:val="-10"/>
        </w:rPr>
        <w:t> </w:t>
      </w:r>
      <w:r>
        <w:rPr/>
        <w:t>review</w:t>
      </w:r>
      <w:r>
        <w:rPr>
          <w:spacing w:val="-11"/>
        </w:rPr>
        <w:t> </w:t>
      </w:r>
      <w:r>
        <w:rPr/>
        <w:t>article</w:t>
      </w:r>
      <w:r>
        <w:rPr>
          <w:spacing w:val="-9"/>
        </w:rPr>
        <w:t> </w:t>
      </w:r>
      <w:r>
        <w:rPr/>
        <w:t>in</w:t>
      </w:r>
      <w:r>
        <w:rPr>
          <w:spacing w:val="-9"/>
        </w:rPr>
        <w:t> </w:t>
      </w:r>
      <w:r>
        <w:rPr/>
        <w:t>November</w:t>
      </w:r>
      <w:r>
        <w:rPr>
          <w:spacing w:val="-11"/>
        </w:rPr>
        <w:t> </w:t>
      </w:r>
      <w:r>
        <w:rPr/>
        <w:t>2010</w:t>
      </w:r>
      <w:r>
        <w:rPr>
          <w:spacing w:val="-10"/>
        </w:rPr>
        <w:t> </w:t>
      </w:r>
      <w:r>
        <w:rPr/>
        <w:t>with</w:t>
      </w:r>
      <w:r>
        <w:rPr>
          <w:spacing w:val="-8"/>
        </w:rPr>
        <w:t> </w:t>
      </w:r>
      <w:r>
        <w:rPr/>
        <w:t>the</w:t>
      </w:r>
      <w:r>
        <w:rPr>
          <w:spacing w:val="-8"/>
        </w:rPr>
        <w:t> </w:t>
      </w:r>
      <w:r>
        <w:rPr/>
        <w:t>title</w:t>
      </w:r>
      <w:r>
        <w:rPr>
          <w:spacing w:val="-9"/>
        </w:rPr>
        <w:t> </w:t>
      </w:r>
      <w:r>
        <w:rPr/>
        <w:t>'Ouabain</w:t>
      </w:r>
      <w:r>
        <w:rPr>
          <w:spacing w:val="-6"/>
        </w:rPr>
        <w:t> </w:t>
      </w:r>
      <w:r>
        <w:rPr/>
        <w:t>– the insulin for the heart' about the remarkable treatment successes. You can find a short preview of this article</w:t>
      </w:r>
      <w:r>
        <w:rPr>
          <w:spacing w:val="-2"/>
        </w:rPr>
        <w:t> </w:t>
      </w:r>
      <w:r>
        <w:rPr/>
        <w:t>at:</w:t>
      </w:r>
    </w:p>
    <w:p>
      <w:pPr>
        <w:pStyle w:val="BodyText"/>
        <w:spacing w:line="276" w:lineRule="auto" w:before="242"/>
        <w:ind w:left="616" w:right="487"/>
      </w:pPr>
      <w:hyperlink r:id="rId383">
        <w:r>
          <w:rPr/>
          <w:t>http://onlinelibrary.wiley.com/doi/10.1111/j.1742-1241.2010.02395.x/ab-</w:t>
        </w:r>
      </w:hyperlink>
      <w:r>
        <w:rPr/>
        <w:t> stract</w:t>
      </w:r>
    </w:p>
    <w:p>
      <w:pPr>
        <w:pStyle w:val="BodyText"/>
        <w:spacing w:line="276" w:lineRule="auto" w:before="239"/>
        <w:ind w:left="616" w:right="137"/>
        <w:jc w:val="both"/>
      </w:pPr>
      <w:r>
        <w:rPr/>
        <w:t>The</w:t>
      </w:r>
      <w:r>
        <w:rPr>
          <w:spacing w:val="-20"/>
        </w:rPr>
        <w:t> </w:t>
      </w:r>
      <w:r>
        <w:rPr/>
        <w:t>section</w:t>
      </w:r>
      <w:r>
        <w:rPr>
          <w:spacing w:val="-20"/>
        </w:rPr>
        <w:t> </w:t>
      </w:r>
      <w:r>
        <w:rPr/>
        <w:t>'Strophanthin</w:t>
      </w:r>
      <w:r>
        <w:rPr>
          <w:spacing w:val="-20"/>
        </w:rPr>
        <w:t> </w:t>
      </w:r>
      <w:r>
        <w:rPr/>
        <w:t>studies'</w:t>
      </w:r>
      <w:r>
        <w:rPr>
          <w:spacing w:val="-21"/>
        </w:rPr>
        <w:t> </w:t>
      </w:r>
      <w:r>
        <w:rPr/>
        <w:t>highlights</w:t>
      </w:r>
      <w:r>
        <w:rPr>
          <w:spacing w:val="-19"/>
        </w:rPr>
        <w:t> </w:t>
      </w:r>
      <w:r>
        <w:rPr/>
        <w:t>this</w:t>
      </w:r>
      <w:r>
        <w:rPr>
          <w:spacing w:val="-20"/>
        </w:rPr>
        <w:t> </w:t>
      </w:r>
      <w:r>
        <w:rPr/>
        <w:t>statement</w:t>
      </w:r>
      <w:r>
        <w:rPr>
          <w:spacing w:val="-20"/>
        </w:rPr>
        <w:t> </w:t>
      </w:r>
      <w:r>
        <w:rPr/>
        <w:t>with</w:t>
      </w:r>
      <w:r>
        <w:rPr>
          <w:spacing w:val="-20"/>
        </w:rPr>
        <w:t> </w:t>
      </w:r>
      <w:r>
        <w:rPr/>
        <w:t>representative studies of thousands of patients for the unmatched effectiveness of strophan- thin with as good as no notable side</w:t>
      </w:r>
      <w:r>
        <w:rPr>
          <w:spacing w:val="-1"/>
        </w:rPr>
        <w:t> </w:t>
      </w:r>
      <w:r>
        <w:rPr/>
        <w:t>effects.</w:t>
      </w:r>
    </w:p>
    <w:p>
      <w:pPr>
        <w:pStyle w:val="BodyText"/>
        <w:spacing w:line="276" w:lineRule="auto" w:before="241"/>
        <w:ind w:left="616" w:right="140"/>
        <w:jc w:val="both"/>
      </w:pPr>
      <w:r>
        <w:rPr/>
        <w:t>Interestingly, there are even newer studies on this topic, e.g. one from March 2010. Is there hope that strophanthin will get the appreciation it deserves, al- beit belatedly? This remains to be seen, because the opposition is strong and strophanthin is simply an obstacle to billions in profits!</w:t>
      </w:r>
    </w:p>
    <w:p>
      <w:pPr>
        <w:pStyle w:val="Heading1"/>
        <w:spacing w:before="222"/>
        <w:ind w:left="616"/>
      </w:pPr>
      <w:r>
        <w:rPr/>
        <w:t>Current approval or ban situation</w:t>
      </w:r>
    </w:p>
    <w:p>
      <w:pPr>
        <w:pStyle w:val="BodyText"/>
        <w:spacing w:line="276" w:lineRule="auto" w:before="300"/>
        <w:ind w:left="616" w:right="144"/>
        <w:jc w:val="both"/>
      </w:pPr>
      <w:r>
        <w:rPr/>
        <w:t>The producer of strophanthin, the company MEDA, has since been ordered to submit a double-blind study on the medication 'Strodival' that must fulfil</w:t>
      </w:r>
    </w:p>
    <w:p>
      <w:pPr>
        <w:spacing w:after="0" w:line="276" w:lineRule="auto"/>
        <w:jc w:val="both"/>
        <w:sectPr>
          <w:pgSz w:w="14270" w:h="16850"/>
          <w:pgMar w:header="0" w:footer="1891" w:top="1340" w:bottom="2080" w:left="800" w:right="1280"/>
        </w:sectPr>
      </w:pPr>
    </w:p>
    <w:p>
      <w:pPr>
        <w:pStyle w:val="BodyText"/>
        <w:spacing w:line="276" w:lineRule="auto" w:before="72"/>
        <w:ind w:left="616" w:right="133"/>
        <w:jc w:val="both"/>
      </w:pPr>
      <w:r>
        <w:rPr/>
        <w:t>the current complex and extremely costly requirements. These modern stand- ards</w:t>
      </w:r>
      <w:r>
        <w:rPr>
          <w:spacing w:val="-11"/>
        </w:rPr>
        <w:t> </w:t>
      </w:r>
      <w:r>
        <w:rPr/>
        <w:t>are</w:t>
      </w:r>
      <w:r>
        <w:rPr>
          <w:spacing w:val="-11"/>
        </w:rPr>
        <w:t> </w:t>
      </w:r>
      <w:r>
        <w:rPr/>
        <w:t>only</w:t>
      </w:r>
      <w:r>
        <w:rPr>
          <w:spacing w:val="-13"/>
        </w:rPr>
        <w:t> </w:t>
      </w:r>
      <w:r>
        <w:rPr/>
        <w:t>financially</w:t>
      </w:r>
      <w:r>
        <w:rPr>
          <w:spacing w:val="-11"/>
        </w:rPr>
        <w:t> </w:t>
      </w:r>
      <w:r>
        <w:rPr/>
        <w:t>feasible</w:t>
      </w:r>
      <w:r>
        <w:rPr>
          <w:spacing w:val="-11"/>
        </w:rPr>
        <w:t> </w:t>
      </w:r>
      <w:r>
        <w:rPr/>
        <w:t>for</w:t>
      </w:r>
      <w:r>
        <w:rPr>
          <w:spacing w:val="-10"/>
        </w:rPr>
        <w:t> </w:t>
      </w:r>
      <w:r>
        <w:rPr/>
        <w:t>the</w:t>
      </w:r>
      <w:r>
        <w:rPr>
          <w:spacing w:val="-12"/>
        </w:rPr>
        <w:t> </w:t>
      </w:r>
      <w:r>
        <w:rPr/>
        <w:t>giant</w:t>
      </w:r>
      <w:r>
        <w:rPr>
          <w:spacing w:val="-11"/>
        </w:rPr>
        <w:t> </w:t>
      </w:r>
      <w:r>
        <w:rPr/>
        <w:t>pharmaceutical</w:t>
      </w:r>
      <w:r>
        <w:rPr>
          <w:spacing w:val="-11"/>
        </w:rPr>
        <w:t> </w:t>
      </w:r>
      <w:r>
        <w:rPr/>
        <w:t>corporations,</w:t>
      </w:r>
      <w:r>
        <w:rPr>
          <w:spacing w:val="-10"/>
        </w:rPr>
        <w:t> </w:t>
      </w:r>
      <w:r>
        <w:rPr/>
        <w:t>but MEDA is not a giant pharmaceutical</w:t>
      </w:r>
      <w:r>
        <w:rPr>
          <w:spacing w:val="-5"/>
        </w:rPr>
        <w:t> </w:t>
      </w:r>
      <w:r>
        <w:rPr/>
        <w:t>corporation.</w:t>
      </w:r>
    </w:p>
    <w:p>
      <w:pPr>
        <w:pStyle w:val="BodyText"/>
        <w:spacing w:line="276" w:lineRule="auto" w:before="241"/>
        <w:ind w:left="616" w:right="131"/>
        <w:jc w:val="both"/>
      </w:pPr>
      <w:r>
        <w:rPr/>
        <w:t>Because</w:t>
      </w:r>
      <w:r>
        <w:rPr>
          <w:spacing w:val="-7"/>
        </w:rPr>
        <w:t> </w:t>
      </w:r>
      <w:r>
        <w:rPr/>
        <w:t>MEDA</w:t>
      </w:r>
      <w:r>
        <w:rPr>
          <w:spacing w:val="-6"/>
        </w:rPr>
        <w:t> </w:t>
      </w:r>
      <w:r>
        <w:rPr/>
        <w:t>also</w:t>
      </w:r>
      <w:r>
        <w:rPr>
          <w:spacing w:val="-8"/>
        </w:rPr>
        <w:t> </w:t>
      </w:r>
      <w:r>
        <w:rPr/>
        <w:t>holds</w:t>
      </w:r>
      <w:r>
        <w:rPr>
          <w:spacing w:val="-7"/>
        </w:rPr>
        <w:t> </w:t>
      </w:r>
      <w:r>
        <w:rPr/>
        <w:t>no</w:t>
      </w:r>
      <w:r>
        <w:rPr>
          <w:spacing w:val="-9"/>
        </w:rPr>
        <w:t> </w:t>
      </w:r>
      <w:r>
        <w:rPr/>
        <w:t>patent</w:t>
      </w:r>
      <w:r>
        <w:rPr>
          <w:spacing w:val="-8"/>
        </w:rPr>
        <w:t> </w:t>
      </w:r>
      <w:r>
        <w:rPr/>
        <w:t>right</w:t>
      </w:r>
      <w:r>
        <w:rPr>
          <w:spacing w:val="-8"/>
        </w:rPr>
        <w:t> </w:t>
      </w:r>
      <w:r>
        <w:rPr/>
        <w:t>for</w:t>
      </w:r>
      <w:r>
        <w:rPr>
          <w:spacing w:val="-6"/>
        </w:rPr>
        <w:t> </w:t>
      </w:r>
      <w:r>
        <w:rPr/>
        <w:t>the</w:t>
      </w:r>
      <w:r>
        <w:rPr>
          <w:spacing w:val="-8"/>
        </w:rPr>
        <w:t> </w:t>
      </w:r>
      <w:r>
        <w:rPr/>
        <w:t>production</w:t>
      </w:r>
      <w:r>
        <w:rPr>
          <w:spacing w:val="-7"/>
        </w:rPr>
        <w:t> </w:t>
      </w:r>
      <w:r>
        <w:rPr/>
        <w:t>of</w:t>
      </w:r>
      <w:r>
        <w:rPr>
          <w:spacing w:val="-10"/>
        </w:rPr>
        <w:t> </w:t>
      </w:r>
      <w:r>
        <w:rPr/>
        <w:t>strophanthin (all patent rights expired decades ago, which is why strophanthin is so cheap to</w:t>
      </w:r>
      <w:r>
        <w:rPr>
          <w:spacing w:val="-11"/>
        </w:rPr>
        <w:t> </w:t>
      </w:r>
      <w:r>
        <w:rPr/>
        <w:t>sell!),</w:t>
      </w:r>
      <w:r>
        <w:rPr>
          <w:spacing w:val="-10"/>
        </w:rPr>
        <w:t> </w:t>
      </w:r>
      <w:r>
        <w:rPr/>
        <w:t>this</w:t>
      </w:r>
      <w:r>
        <w:rPr>
          <w:spacing w:val="-11"/>
        </w:rPr>
        <w:t> </w:t>
      </w:r>
      <w:r>
        <w:rPr/>
        <w:t>raises</w:t>
      </w:r>
      <w:r>
        <w:rPr>
          <w:spacing w:val="-10"/>
        </w:rPr>
        <w:t> </w:t>
      </w:r>
      <w:r>
        <w:rPr/>
        <w:t>the</w:t>
      </w:r>
      <w:r>
        <w:rPr>
          <w:spacing w:val="-10"/>
        </w:rPr>
        <w:t> </w:t>
      </w:r>
      <w:r>
        <w:rPr/>
        <w:t>justifiable</w:t>
      </w:r>
      <w:r>
        <w:rPr>
          <w:spacing w:val="-10"/>
        </w:rPr>
        <w:t> </w:t>
      </w:r>
      <w:r>
        <w:rPr/>
        <w:t>question</w:t>
      </w:r>
      <w:r>
        <w:rPr>
          <w:spacing w:val="-10"/>
        </w:rPr>
        <w:t> </w:t>
      </w:r>
      <w:r>
        <w:rPr/>
        <w:t>of</w:t>
      </w:r>
      <w:r>
        <w:rPr>
          <w:spacing w:val="-11"/>
        </w:rPr>
        <w:t> </w:t>
      </w:r>
      <w:r>
        <w:rPr/>
        <w:t>whether</w:t>
      </w:r>
      <w:r>
        <w:rPr>
          <w:spacing w:val="-9"/>
        </w:rPr>
        <w:t> </w:t>
      </w:r>
      <w:r>
        <w:rPr/>
        <w:t>they</w:t>
      </w:r>
      <w:r>
        <w:rPr>
          <w:spacing w:val="-10"/>
        </w:rPr>
        <w:t> </w:t>
      </w:r>
      <w:r>
        <w:rPr/>
        <w:t>would</w:t>
      </w:r>
      <w:r>
        <w:rPr>
          <w:spacing w:val="-10"/>
        </w:rPr>
        <w:t> </w:t>
      </w:r>
      <w:r>
        <w:rPr/>
        <w:t>like</w:t>
      </w:r>
      <w:r>
        <w:rPr>
          <w:spacing w:val="-12"/>
        </w:rPr>
        <w:t> </w:t>
      </w:r>
      <w:r>
        <w:rPr/>
        <w:t>to,</w:t>
      </w:r>
      <w:r>
        <w:rPr>
          <w:spacing w:val="-11"/>
        </w:rPr>
        <w:t> </w:t>
      </w:r>
      <w:r>
        <w:rPr/>
        <w:t>or</w:t>
      </w:r>
      <w:r>
        <w:rPr>
          <w:spacing w:val="-10"/>
        </w:rPr>
        <w:t> </w:t>
      </w:r>
      <w:r>
        <w:rPr/>
        <w:t>are even able to, take on these massive</w:t>
      </w:r>
      <w:r>
        <w:rPr>
          <w:spacing w:val="2"/>
        </w:rPr>
        <w:t> </w:t>
      </w:r>
      <w:r>
        <w:rPr/>
        <w:t>costs.</w:t>
      </w:r>
    </w:p>
    <w:p>
      <w:pPr>
        <w:pStyle w:val="BodyText"/>
        <w:spacing w:line="276" w:lineRule="auto" w:before="242"/>
        <w:ind w:left="616" w:right="134"/>
        <w:jc w:val="both"/>
      </w:pPr>
      <w:r>
        <w:rPr/>
        <w:t>In order to prevent the impending, abrupt END of strophanthin, a group of scientists got together in 2005, wrote to members of the German parliament and</w:t>
      </w:r>
      <w:r>
        <w:rPr>
          <w:spacing w:val="-26"/>
        </w:rPr>
        <w:t> </w:t>
      </w:r>
      <w:r>
        <w:rPr/>
        <w:t>presented</w:t>
      </w:r>
      <w:r>
        <w:rPr>
          <w:spacing w:val="-25"/>
        </w:rPr>
        <w:t> </w:t>
      </w:r>
      <w:r>
        <w:rPr/>
        <w:t>convincing</w:t>
      </w:r>
      <w:r>
        <w:rPr>
          <w:spacing w:val="-24"/>
        </w:rPr>
        <w:t> </w:t>
      </w:r>
      <w:r>
        <w:rPr/>
        <w:t>statistics,</w:t>
      </w:r>
      <w:r>
        <w:rPr>
          <w:spacing w:val="-25"/>
        </w:rPr>
        <w:t> </w:t>
      </w:r>
      <w:r>
        <w:rPr/>
        <w:t>facts,</w:t>
      </w:r>
      <w:r>
        <w:rPr>
          <w:spacing w:val="-24"/>
        </w:rPr>
        <w:t> </w:t>
      </w:r>
      <w:r>
        <w:rPr/>
        <w:t>and</w:t>
      </w:r>
      <w:r>
        <w:rPr>
          <w:spacing w:val="-26"/>
        </w:rPr>
        <w:t> </w:t>
      </w:r>
      <w:r>
        <w:rPr/>
        <w:t>countless</w:t>
      </w:r>
      <w:r>
        <w:rPr>
          <w:spacing w:val="-24"/>
        </w:rPr>
        <w:t> </w:t>
      </w:r>
      <w:r>
        <w:rPr/>
        <w:t>positive</w:t>
      </w:r>
      <w:r>
        <w:rPr>
          <w:spacing w:val="-26"/>
        </w:rPr>
        <w:t> </w:t>
      </w:r>
      <w:r>
        <w:rPr/>
        <w:t>patient</w:t>
      </w:r>
      <w:r>
        <w:rPr>
          <w:spacing w:val="-25"/>
        </w:rPr>
        <w:t> </w:t>
      </w:r>
      <w:r>
        <w:rPr/>
        <w:t>stories. Many</w:t>
      </w:r>
      <w:r>
        <w:rPr>
          <w:spacing w:val="-24"/>
        </w:rPr>
        <w:t> </w:t>
      </w:r>
      <w:r>
        <w:rPr/>
        <w:t>of</w:t>
      </w:r>
      <w:r>
        <w:rPr>
          <w:spacing w:val="-26"/>
        </w:rPr>
        <w:t> </w:t>
      </w:r>
      <w:r>
        <w:rPr/>
        <w:t>the</w:t>
      </w:r>
      <w:r>
        <w:rPr>
          <w:spacing w:val="-25"/>
        </w:rPr>
        <w:t> </w:t>
      </w:r>
      <w:r>
        <w:rPr/>
        <w:t>politicians</w:t>
      </w:r>
      <w:r>
        <w:rPr>
          <w:spacing w:val="-23"/>
        </w:rPr>
        <w:t> </w:t>
      </w:r>
      <w:r>
        <w:rPr/>
        <w:t>who</w:t>
      </w:r>
      <w:r>
        <w:rPr>
          <w:spacing w:val="-23"/>
        </w:rPr>
        <w:t> </w:t>
      </w:r>
      <w:r>
        <w:rPr/>
        <w:t>received</w:t>
      </w:r>
      <w:r>
        <w:rPr>
          <w:spacing w:val="-24"/>
        </w:rPr>
        <w:t> </w:t>
      </w:r>
      <w:r>
        <w:rPr/>
        <w:t>their</w:t>
      </w:r>
      <w:r>
        <w:rPr>
          <w:spacing w:val="-24"/>
        </w:rPr>
        <w:t> </w:t>
      </w:r>
      <w:r>
        <w:rPr/>
        <w:t>letters</w:t>
      </w:r>
      <w:r>
        <w:rPr>
          <w:spacing w:val="-25"/>
        </w:rPr>
        <w:t> </w:t>
      </w:r>
      <w:r>
        <w:rPr/>
        <w:t>turned</w:t>
      </w:r>
      <w:r>
        <w:rPr>
          <w:spacing w:val="-24"/>
        </w:rPr>
        <w:t> </w:t>
      </w:r>
      <w:r>
        <w:rPr/>
        <w:t>to</w:t>
      </w:r>
      <w:r>
        <w:rPr>
          <w:spacing w:val="-26"/>
        </w:rPr>
        <w:t> </w:t>
      </w:r>
      <w:r>
        <w:rPr/>
        <w:t>the</w:t>
      </w:r>
      <w:r>
        <w:rPr>
          <w:spacing w:val="-25"/>
        </w:rPr>
        <w:t> </w:t>
      </w:r>
      <w:r>
        <w:rPr/>
        <w:t>German</w:t>
      </w:r>
      <w:r>
        <w:rPr>
          <w:spacing w:val="-24"/>
        </w:rPr>
        <w:t> </w:t>
      </w:r>
      <w:r>
        <w:rPr/>
        <w:t>Federal Institute for Drugs and Medical Devices (BfArM). In response, there was an extension for the post-approval of Strodival in 2006, but the large-scale study is still being requested. One major problem was postponed, if not resolved, and</w:t>
      </w:r>
      <w:r>
        <w:rPr>
          <w:spacing w:val="-20"/>
        </w:rPr>
        <w:t> </w:t>
      </w:r>
      <w:r>
        <w:rPr/>
        <w:t>it</w:t>
      </w:r>
      <w:r>
        <w:rPr>
          <w:spacing w:val="-21"/>
        </w:rPr>
        <w:t> </w:t>
      </w:r>
      <w:r>
        <w:rPr/>
        <w:t>could</w:t>
      </w:r>
      <w:r>
        <w:rPr>
          <w:spacing w:val="-21"/>
        </w:rPr>
        <w:t> </w:t>
      </w:r>
      <w:r>
        <w:rPr/>
        <w:t>be</w:t>
      </w:r>
      <w:r>
        <w:rPr>
          <w:spacing w:val="-20"/>
        </w:rPr>
        <w:t> </w:t>
      </w:r>
      <w:r>
        <w:rPr/>
        <w:t>a</w:t>
      </w:r>
      <w:r>
        <w:rPr>
          <w:spacing w:val="-21"/>
        </w:rPr>
        <w:t> </w:t>
      </w:r>
      <w:r>
        <w:rPr/>
        <w:t>scandal</w:t>
      </w:r>
      <w:r>
        <w:rPr>
          <w:spacing w:val="-22"/>
        </w:rPr>
        <w:t> </w:t>
      </w:r>
      <w:r>
        <w:rPr/>
        <w:t>of</w:t>
      </w:r>
      <w:r>
        <w:rPr>
          <w:spacing w:val="-20"/>
        </w:rPr>
        <w:t> </w:t>
      </w:r>
      <w:r>
        <w:rPr/>
        <w:t>the</w:t>
      </w:r>
      <w:r>
        <w:rPr>
          <w:spacing w:val="-19"/>
        </w:rPr>
        <w:t> </w:t>
      </w:r>
      <w:r>
        <w:rPr/>
        <w:t>highest</w:t>
      </w:r>
      <w:r>
        <w:rPr>
          <w:spacing w:val="-20"/>
        </w:rPr>
        <w:t> </w:t>
      </w:r>
      <w:r>
        <w:rPr/>
        <w:t>order,</w:t>
      </w:r>
      <w:r>
        <w:rPr>
          <w:spacing w:val="-22"/>
        </w:rPr>
        <w:t> </w:t>
      </w:r>
      <w:r>
        <w:rPr/>
        <w:t>a</w:t>
      </w:r>
      <w:r>
        <w:rPr>
          <w:spacing w:val="-21"/>
        </w:rPr>
        <w:t> </w:t>
      </w:r>
      <w:r>
        <w:rPr/>
        <w:t>downright</w:t>
      </w:r>
      <w:r>
        <w:rPr>
          <w:spacing w:val="-21"/>
        </w:rPr>
        <w:t> </w:t>
      </w:r>
      <w:r>
        <w:rPr/>
        <w:t>tragedy,</w:t>
      </w:r>
      <w:r>
        <w:rPr>
          <w:spacing w:val="-19"/>
        </w:rPr>
        <w:t> </w:t>
      </w:r>
      <w:r>
        <w:rPr/>
        <w:t>if</w:t>
      </w:r>
      <w:r>
        <w:rPr>
          <w:spacing w:val="-21"/>
        </w:rPr>
        <w:t> </w:t>
      </w:r>
      <w:r>
        <w:rPr/>
        <w:t>we</w:t>
      </w:r>
      <w:r>
        <w:rPr>
          <w:spacing w:val="-21"/>
        </w:rPr>
        <w:t> </w:t>
      </w:r>
      <w:r>
        <w:rPr/>
        <w:t>should one day lose this</w:t>
      </w:r>
      <w:r>
        <w:rPr>
          <w:spacing w:val="-1"/>
        </w:rPr>
        <w:t> </w:t>
      </w:r>
      <w:r>
        <w:rPr/>
        <w:t>medication...</w:t>
      </w:r>
    </w:p>
    <w:p>
      <w:pPr>
        <w:pStyle w:val="Heading2"/>
        <w:spacing w:line="276" w:lineRule="auto" w:before="239"/>
        <w:ind w:left="616" w:right="146"/>
        <w:jc w:val="both"/>
      </w:pPr>
      <w:r>
        <w:rPr/>
        <w:t>Statements from leading physicians about strophanthin and their expe- riences in practice</w:t>
      </w:r>
    </w:p>
    <w:p>
      <w:pPr>
        <w:pStyle w:val="BodyText"/>
        <w:spacing w:line="276" w:lineRule="auto" w:before="241"/>
        <w:ind w:left="616" w:right="135"/>
        <w:jc w:val="both"/>
      </w:pPr>
      <w:r>
        <w:rPr/>
        <w:t>According to a representative poll of 3,650 doctors in the year 1984, 98 % of the doctors polled attested to the extreme effectiveness of strophanthin. The remaining</w:t>
      </w:r>
      <w:r>
        <w:rPr>
          <w:spacing w:val="-9"/>
        </w:rPr>
        <w:t> </w:t>
      </w:r>
      <w:r>
        <w:rPr/>
        <w:t>2</w:t>
      </w:r>
      <w:r>
        <w:rPr>
          <w:spacing w:val="-10"/>
        </w:rPr>
        <w:t> </w:t>
      </w:r>
      <w:r>
        <w:rPr/>
        <w:t>%</w:t>
      </w:r>
      <w:r>
        <w:rPr>
          <w:spacing w:val="-10"/>
        </w:rPr>
        <w:t> </w:t>
      </w:r>
      <w:r>
        <w:rPr/>
        <w:t>reported</w:t>
      </w:r>
      <w:r>
        <w:rPr>
          <w:spacing w:val="-9"/>
        </w:rPr>
        <w:t> </w:t>
      </w:r>
      <w:r>
        <w:rPr/>
        <w:t>limited</w:t>
      </w:r>
      <w:r>
        <w:rPr>
          <w:spacing w:val="-9"/>
        </w:rPr>
        <w:t> </w:t>
      </w:r>
      <w:r>
        <w:rPr/>
        <w:t>effectiveness</w:t>
      </w:r>
      <w:r>
        <w:rPr>
          <w:spacing w:val="-9"/>
        </w:rPr>
        <w:t> </w:t>
      </w:r>
      <w:r>
        <w:rPr/>
        <w:t>of</w:t>
      </w:r>
      <w:r>
        <w:rPr>
          <w:spacing w:val="-11"/>
        </w:rPr>
        <w:t> </w:t>
      </w:r>
      <w:r>
        <w:rPr/>
        <w:t>strophanthin,</w:t>
      </w:r>
      <w:r>
        <w:rPr>
          <w:spacing w:val="-8"/>
        </w:rPr>
        <w:t> </w:t>
      </w:r>
      <w:r>
        <w:rPr/>
        <w:t>and</w:t>
      </w:r>
      <w:r>
        <w:rPr>
          <w:spacing w:val="-10"/>
        </w:rPr>
        <w:t> </w:t>
      </w:r>
      <w:r>
        <w:rPr/>
        <w:t>none</w:t>
      </w:r>
      <w:r>
        <w:rPr>
          <w:spacing w:val="-8"/>
        </w:rPr>
        <w:t> </w:t>
      </w:r>
      <w:r>
        <w:rPr/>
        <w:t>of</w:t>
      </w:r>
      <w:r>
        <w:rPr>
          <w:spacing w:val="-11"/>
        </w:rPr>
        <w:t> </w:t>
      </w:r>
      <w:r>
        <w:rPr/>
        <w:t>the</w:t>
      </w:r>
    </w:p>
    <w:p>
      <w:pPr>
        <w:spacing w:after="0" w:line="276" w:lineRule="auto"/>
        <w:jc w:val="both"/>
        <w:sectPr>
          <w:pgSz w:w="14270" w:h="16850"/>
          <w:pgMar w:header="0" w:footer="1891" w:top="1340" w:bottom="2080" w:left="800" w:right="1280"/>
        </w:sectPr>
      </w:pPr>
    </w:p>
    <w:p>
      <w:pPr>
        <w:pStyle w:val="BodyText"/>
        <w:spacing w:before="74"/>
        <w:ind w:left="616"/>
        <w:rPr>
          <w:sz w:val="25"/>
        </w:rPr>
      </w:pPr>
      <w:r>
        <w:rPr/>
        <w:t>doctors polled denied its effectiveness!</w:t>
      </w:r>
      <w:r>
        <w:rPr>
          <w:position w:val="9"/>
          <w:sz w:val="25"/>
        </w:rPr>
        <w:t>892</w:t>
      </w:r>
    </w:p>
    <w:p>
      <w:pPr>
        <w:pStyle w:val="Heading2"/>
        <w:spacing w:before="305"/>
        <w:ind w:left="616"/>
      </w:pPr>
      <w:r>
        <w:rPr/>
        <w:t>Prof. Udo Köhler:</w:t>
      </w:r>
    </w:p>
    <w:p>
      <w:pPr>
        <w:spacing w:line="276" w:lineRule="auto" w:before="302"/>
        <w:ind w:left="616" w:right="133" w:firstLine="0"/>
        <w:jc w:val="both"/>
        <w:rPr>
          <w:i/>
          <w:sz w:val="38"/>
        </w:rPr>
      </w:pPr>
      <w:r>
        <w:rPr>
          <w:i/>
          <w:sz w:val="38"/>
        </w:rPr>
        <w:t>'By taking 1 capsule of Strodival mr® twice a day [editor's note: oral, stomach-resistant </w:t>
      </w:r>
      <w:r>
        <w:rPr>
          <w:i/>
          <w:sz w:val="38"/>
        </w:rPr>
        <w:t>form of strophanthin], I have been able to rid myself of the pain of a treatment-resistant</w:t>
      </w:r>
      <w:r>
        <w:rPr>
          <w:i/>
          <w:spacing w:val="-64"/>
          <w:sz w:val="38"/>
        </w:rPr>
        <w:t> </w:t>
      </w:r>
      <w:r>
        <w:rPr>
          <w:i/>
          <w:sz w:val="38"/>
        </w:rPr>
        <w:t>case of the most severe coronary sclerosis with angina pectoris, post-heart attack, which was given up on by a renowned heart clinic and not without reason, and have been enjoying this pain- free condition for months.</w:t>
      </w:r>
    </w:p>
    <w:p>
      <w:pPr>
        <w:spacing w:line="276" w:lineRule="auto" w:before="242"/>
        <w:ind w:left="616" w:right="136" w:firstLine="0"/>
        <w:jc w:val="both"/>
        <w:rPr>
          <w:i/>
          <w:sz w:val="38"/>
        </w:rPr>
      </w:pPr>
      <w:r>
        <w:rPr>
          <w:i/>
          <w:sz w:val="38"/>
        </w:rPr>
        <w:t>Yet this solves one of the most urgent problems of modern practical medicine, the connection </w:t>
      </w:r>
      <w:r>
        <w:rPr>
          <w:i/>
          <w:sz w:val="38"/>
        </w:rPr>
        <w:t>between old medical knowledge with usage of the latest fundamental research and technology, and every doctor has finally been given an effective weapon in the fight against coronary</w:t>
      </w:r>
      <w:r>
        <w:rPr>
          <w:i/>
          <w:spacing w:val="-66"/>
          <w:sz w:val="38"/>
        </w:rPr>
        <w:t> </w:t>
      </w:r>
      <w:r>
        <w:rPr>
          <w:i/>
          <w:sz w:val="38"/>
        </w:rPr>
        <w:t>heart death.</w:t>
      </w:r>
    </w:p>
    <w:p>
      <w:pPr>
        <w:spacing w:line="276" w:lineRule="auto" w:before="239"/>
        <w:ind w:left="616" w:right="134" w:firstLine="0"/>
        <w:jc w:val="both"/>
        <w:rPr>
          <w:sz w:val="25"/>
        </w:rPr>
      </w:pPr>
      <w:r>
        <w:rPr>
          <w:i/>
          <w:sz w:val="38"/>
        </w:rPr>
        <w:t>To</w:t>
      </w:r>
      <w:r>
        <w:rPr>
          <w:i/>
          <w:spacing w:val="-12"/>
          <w:sz w:val="38"/>
        </w:rPr>
        <w:t> </w:t>
      </w:r>
      <w:r>
        <w:rPr>
          <w:i/>
          <w:sz w:val="38"/>
        </w:rPr>
        <w:t>point</w:t>
      </w:r>
      <w:r>
        <w:rPr>
          <w:i/>
          <w:spacing w:val="-11"/>
          <w:sz w:val="38"/>
        </w:rPr>
        <w:t> </w:t>
      </w:r>
      <w:r>
        <w:rPr>
          <w:i/>
          <w:sz w:val="38"/>
        </w:rPr>
        <w:t>out</w:t>
      </w:r>
      <w:r>
        <w:rPr>
          <w:i/>
          <w:spacing w:val="-12"/>
          <w:sz w:val="38"/>
        </w:rPr>
        <w:t> </w:t>
      </w:r>
      <w:r>
        <w:rPr>
          <w:i/>
          <w:sz w:val="38"/>
        </w:rPr>
        <w:t>the</w:t>
      </w:r>
      <w:r>
        <w:rPr>
          <w:i/>
          <w:spacing w:val="-12"/>
          <w:sz w:val="38"/>
        </w:rPr>
        <w:t> </w:t>
      </w:r>
      <w:r>
        <w:rPr>
          <w:i/>
          <w:sz w:val="38"/>
        </w:rPr>
        <w:t>national</w:t>
      </w:r>
      <w:r>
        <w:rPr>
          <w:i/>
          <w:spacing w:val="-11"/>
          <w:sz w:val="38"/>
        </w:rPr>
        <w:t> </w:t>
      </w:r>
      <w:r>
        <w:rPr>
          <w:i/>
          <w:sz w:val="38"/>
        </w:rPr>
        <w:t>significance</w:t>
      </w:r>
      <w:r>
        <w:rPr>
          <w:i/>
          <w:spacing w:val="-12"/>
          <w:sz w:val="38"/>
        </w:rPr>
        <w:t> </w:t>
      </w:r>
      <w:r>
        <w:rPr>
          <w:i/>
          <w:sz w:val="38"/>
        </w:rPr>
        <w:t>of</w:t>
      </w:r>
      <w:r>
        <w:rPr>
          <w:i/>
          <w:spacing w:val="-11"/>
          <w:sz w:val="38"/>
        </w:rPr>
        <w:t> </w:t>
      </w:r>
      <w:r>
        <w:rPr>
          <w:i/>
          <w:sz w:val="38"/>
        </w:rPr>
        <w:t>these</w:t>
      </w:r>
      <w:r>
        <w:rPr>
          <w:i/>
          <w:spacing w:val="-15"/>
          <w:sz w:val="38"/>
        </w:rPr>
        <w:t> </w:t>
      </w:r>
      <w:r>
        <w:rPr>
          <w:i/>
          <w:sz w:val="38"/>
        </w:rPr>
        <w:t>circulatory</w:t>
      </w:r>
      <w:r>
        <w:rPr>
          <w:i/>
          <w:spacing w:val="-12"/>
          <w:sz w:val="38"/>
        </w:rPr>
        <w:t> </w:t>
      </w:r>
      <w:r>
        <w:rPr>
          <w:i/>
          <w:sz w:val="38"/>
        </w:rPr>
        <w:t>diseases</w:t>
      </w:r>
      <w:r>
        <w:rPr>
          <w:i/>
          <w:spacing w:val="-12"/>
          <w:sz w:val="38"/>
        </w:rPr>
        <w:t> </w:t>
      </w:r>
      <w:r>
        <w:rPr>
          <w:i/>
          <w:sz w:val="38"/>
        </w:rPr>
        <w:t>would</w:t>
      </w:r>
      <w:r>
        <w:rPr>
          <w:i/>
          <w:spacing w:val="-11"/>
          <w:sz w:val="38"/>
        </w:rPr>
        <w:t> </w:t>
      </w:r>
      <w:r>
        <w:rPr>
          <w:i/>
          <w:sz w:val="38"/>
        </w:rPr>
        <w:t>be</w:t>
      </w:r>
      <w:r>
        <w:rPr>
          <w:i/>
          <w:spacing w:val="-13"/>
          <w:sz w:val="38"/>
        </w:rPr>
        <w:t> </w:t>
      </w:r>
      <w:r>
        <w:rPr>
          <w:i/>
          <w:sz w:val="38"/>
        </w:rPr>
        <w:t>like</w:t>
      </w:r>
      <w:r>
        <w:rPr>
          <w:i/>
          <w:spacing w:val="-13"/>
          <w:sz w:val="38"/>
        </w:rPr>
        <w:t> </w:t>
      </w:r>
      <w:r>
        <w:rPr>
          <w:i/>
          <w:sz w:val="38"/>
        </w:rPr>
        <w:t>carrying</w:t>
      </w:r>
      <w:r>
        <w:rPr>
          <w:i/>
          <w:spacing w:val="-12"/>
          <w:sz w:val="38"/>
        </w:rPr>
        <w:t> </w:t>
      </w:r>
      <w:r>
        <w:rPr>
          <w:i/>
          <w:sz w:val="38"/>
        </w:rPr>
        <w:t>coals </w:t>
      </w:r>
      <w:r>
        <w:rPr>
          <w:i/>
          <w:sz w:val="38"/>
        </w:rPr>
        <w:t>to Newcastle. But maybe those responsible will think about how many millions of deutsch- marks could be saved every year if the emphasis in the fight against heart attack was placed in the hands of practical doctors and</w:t>
      </w:r>
      <w:r>
        <w:rPr>
          <w:i/>
          <w:spacing w:val="1"/>
          <w:sz w:val="38"/>
        </w:rPr>
        <w:t> </w:t>
      </w:r>
      <w:r>
        <w:rPr>
          <w:i/>
          <w:sz w:val="38"/>
        </w:rPr>
        <w:t>internists'.</w:t>
      </w:r>
      <w:r>
        <w:rPr>
          <w:position w:val="9"/>
          <w:sz w:val="25"/>
        </w:rPr>
        <w:t>893</w:t>
      </w:r>
    </w:p>
    <w:p>
      <w:pPr>
        <w:spacing w:before="240"/>
        <w:ind w:left="616" w:right="0" w:firstLine="0"/>
        <w:jc w:val="both"/>
        <w:rPr>
          <w:sz w:val="38"/>
        </w:rPr>
      </w:pPr>
      <w:r>
        <w:rPr>
          <w:b/>
          <w:sz w:val="38"/>
        </w:rPr>
        <w:t>Professor Ernst Edens, </w:t>
      </w:r>
      <w:r>
        <w:rPr>
          <w:sz w:val="38"/>
        </w:rPr>
        <w:t>Medical University Clinic Düsseldorf</w:t>
      </w:r>
    </w:p>
    <w:p>
      <w:pPr>
        <w:spacing w:before="304"/>
        <w:ind w:left="616" w:right="0" w:firstLine="0"/>
        <w:jc w:val="both"/>
        <w:rPr>
          <w:i/>
          <w:sz w:val="38"/>
        </w:rPr>
      </w:pPr>
      <w:r>
        <w:rPr>
          <w:i/>
          <w:sz w:val="38"/>
        </w:rPr>
        <w:t>'To not administer strophanthin is tantamount to medical malpractice'.</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6"/>
        <w:rPr>
          <w:i/>
          <w:sz w:val="20"/>
        </w:rPr>
      </w:pPr>
      <w:r>
        <w:rPr/>
        <w:pict>
          <v:line style="position:absolute;mso-position-horizontal-relative:page;mso-position-vertical-relative:paragraph;z-index:12488;mso-wrap-distance-left:0;mso-wrap-distance-right:0" from="70.823997pt,13.933735pt" to="214.843997pt,13.933735pt" stroked="true" strokeweight=".72003pt" strokecolor="#000000">
            <v:stroke dashstyle="solid"/>
            <w10:wrap type="topAndBottom"/>
          </v:line>
        </w:pict>
      </w:r>
    </w:p>
    <w:p>
      <w:pPr>
        <w:pStyle w:val="BodyText"/>
        <w:spacing w:before="7"/>
        <w:rPr>
          <w:i/>
          <w:sz w:val="18"/>
        </w:rPr>
      </w:pPr>
    </w:p>
    <w:p>
      <w:pPr>
        <w:spacing w:before="99"/>
        <w:ind w:left="616" w:right="0" w:firstLine="0"/>
        <w:jc w:val="left"/>
        <w:rPr>
          <w:sz w:val="20"/>
        </w:rPr>
      </w:pPr>
      <w:r>
        <w:rPr>
          <w:position w:val="5"/>
          <w:sz w:val="13"/>
        </w:rPr>
        <w:t>892 </w:t>
      </w:r>
      <w:hyperlink r:id="rId380">
        <w:r>
          <w:rPr>
            <w:sz w:val="20"/>
          </w:rPr>
          <w:t>http://www.strophantus.de/was-ist-strophantin.html</w:t>
        </w:r>
      </w:hyperlink>
    </w:p>
    <w:p>
      <w:pPr>
        <w:spacing w:line="276" w:lineRule="auto" w:before="92"/>
        <w:ind w:left="616" w:right="479" w:firstLine="0"/>
        <w:jc w:val="left"/>
        <w:rPr>
          <w:sz w:val="20"/>
        </w:rPr>
      </w:pPr>
      <w:r>
        <w:rPr>
          <w:position w:val="5"/>
          <w:sz w:val="13"/>
        </w:rPr>
        <w:t>893 </w:t>
      </w:r>
      <w:r>
        <w:rPr>
          <w:sz w:val="20"/>
        </w:rPr>
        <w:t>Prof. Udo Köhler: Schach dem Herzinfarkt (Checkmate for heart attack), published in: Zeitschrift für Allgemeinmedizin (Journal of General Medicine), 1976, 52, p. 1103-1104</w:t>
      </w:r>
    </w:p>
    <w:p>
      <w:pPr>
        <w:spacing w:after="0" w:line="276" w:lineRule="auto"/>
        <w:jc w:val="left"/>
        <w:rPr>
          <w:sz w:val="20"/>
        </w:rPr>
        <w:sectPr>
          <w:pgSz w:w="14270" w:h="16850"/>
          <w:pgMar w:header="0" w:footer="1891" w:top="1340" w:bottom="2080" w:left="800" w:right="1280"/>
        </w:sectPr>
      </w:pPr>
    </w:p>
    <w:p>
      <w:pPr>
        <w:spacing w:line="276" w:lineRule="auto" w:before="74"/>
        <w:ind w:left="616" w:right="137" w:firstLine="0"/>
        <w:jc w:val="both"/>
        <w:rPr>
          <w:sz w:val="38"/>
        </w:rPr>
      </w:pPr>
      <w:r>
        <w:rPr>
          <w:b/>
          <w:sz w:val="38"/>
        </w:rPr>
        <w:t>Professor Dr. Sarre, </w:t>
      </w:r>
      <w:r>
        <w:rPr>
          <w:sz w:val="38"/>
        </w:rPr>
        <w:t>director of the Medical University Policlinic Freiburg, Breisgau:</w:t>
      </w:r>
    </w:p>
    <w:p>
      <w:pPr>
        <w:spacing w:line="278" w:lineRule="auto" w:before="239"/>
        <w:ind w:left="616" w:right="145" w:firstLine="0"/>
        <w:jc w:val="both"/>
        <w:rPr>
          <w:i/>
          <w:sz w:val="38"/>
        </w:rPr>
      </w:pPr>
      <w:r>
        <w:rPr>
          <w:i/>
          <w:sz w:val="38"/>
        </w:rPr>
        <w:t>'One may want to assume that strophanthin should only be administered in cases in which </w:t>
      </w:r>
      <w:r>
        <w:rPr>
          <w:i/>
          <w:sz w:val="38"/>
        </w:rPr>
        <w:t>angina pectoris is linked with cardiac insufficiency. To which the following must be said:</w:t>
      </w:r>
    </w:p>
    <w:p>
      <w:pPr>
        <w:spacing w:line="278" w:lineRule="auto" w:before="232"/>
        <w:ind w:left="616" w:right="143" w:firstLine="0"/>
        <w:jc w:val="both"/>
        <w:rPr>
          <w:i/>
          <w:sz w:val="38"/>
        </w:rPr>
      </w:pPr>
      <w:r>
        <w:rPr>
          <w:i/>
          <w:sz w:val="38"/>
        </w:rPr>
        <w:t>every case of angina pectoris with existing or the onset of coronary sclerosis will, sooner or </w:t>
      </w:r>
      <w:r>
        <w:rPr>
          <w:i/>
          <w:sz w:val="38"/>
        </w:rPr>
        <w:t>later, lead to myocardial damage, to myodegeneratio cordis [...]</w:t>
      </w:r>
    </w:p>
    <w:p>
      <w:pPr>
        <w:spacing w:line="276" w:lineRule="auto" w:before="233"/>
        <w:ind w:left="616" w:right="135" w:firstLine="0"/>
        <w:jc w:val="both"/>
        <w:rPr>
          <w:i/>
          <w:sz w:val="38"/>
        </w:rPr>
      </w:pPr>
      <w:r>
        <w:rPr>
          <w:i/>
          <w:sz w:val="38"/>
        </w:rPr>
        <w:t>[...] On the other hand, we know that the digitalis bodies in every affected myocardium, </w:t>
      </w:r>
      <w:r>
        <w:rPr>
          <w:i/>
          <w:sz w:val="38"/>
        </w:rPr>
        <w:t>especially</w:t>
      </w:r>
      <w:r>
        <w:rPr>
          <w:i/>
          <w:spacing w:val="-9"/>
          <w:sz w:val="38"/>
        </w:rPr>
        <w:t> </w:t>
      </w:r>
      <w:r>
        <w:rPr>
          <w:i/>
          <w:sz w:val="38"/>
        </w:rPr>
        <w:t>with</w:t>
      </w:r>
      <w:r>
        <w:rPr>
          <w:i/>
          <w:spacing w:val="-7"/>
          <w:sz w:val="38"/>
        </w:rPr>
        <w:t> </w:t>
      </w:r>
      <w:r>
        <w:rPr>
          <w:i/>
          <w:sz w:val="38"/>
        </w:rPr>
        <w:t>all</w:t>
      </w:r>
      <w:r>
        <w:rPr>
          <w:i/>
          <w:spacing w:val="-9"/>
          <w:sz w:val="38"/>
        </w:rPr>
        <w:t> </w:t>
      </w:r>
      <w:r>
        <w:rPr>
          <w:i/>
          <w:sz w:val="38"/>
        </w:rPr>
        <w:t>degenerative</w:t>
      </w:r>
      <w:r>
        <w:rPr>
          <w:i/>
          <w:spacing w:val="-8"/>
          <w:sz w:val="38"/>
        </w:rPr>
        <w:t> </w:t>
      </w:r>
      <w:r>
        <w:rPr>
          <w:i/>
          <w:sz w:val="38"/>
        </w:rPr>
        <w:t>myocardial</w:t>
      </w:r>
      <w:r>
        <w:rPr>
          <w:i/>
          <w:spacing w:val="-8"/>
          <w:sz w:val="38"/>
        </w:rPr>
        <w:t> </w:t>
      </w:r>
      <w:r>
        <w:rPr>
          <w:i/>
          <w:sz w:val="38"/>
        </w:rPr>
        <w:t>damage,</w:t>
      </w:r>
      <w:r>
        <w:rPr>
          <w:i/>
          <w:spacing w:val="-9"/>
          <w:sz w:val="38"/>
        </w:rPr>
        <w:t> </w:t>
      </w:r>
      <w:r>
        <w:rPr>
          <w:i/>
          <w:sz w:val="38"/>
        </w:rPr>
        <w:t>are</w:t>
      </w:r>
      <w:r>
        <w:rPr>
          <w:i/>
          <w:spacing w:val="-8"/>
          <w:sz w:val="38"/>
        </w:rPr>
        <w:t> </w:t>
      </w:r>
      <w:r>
        <w:rPr>
          <w:i/>
          <w:sz w:val="38"/>
        </w:rPr>
        <w:t>effective</w:t>
      </w:r>
      <w:r>
        <w:rPr>
          <w:i/>
          <w:spacing w:val="-8"/>
          <w:sz w:val="38"/>
        </w:rPr>
        <w:t> </w:t>
      </w:r>
      <w:r>
        <w:rPr>
          <w:i/>
          <w:sz w:val="38"/>
        </w:rPr>
        <w:t>in</w:t>
      </w:r>
      <w:r>
        <w:rPr>
          <w:i/>
          <w:spacing w:val="-7"/>
          <w:sz w:val="38"/>
        </w:rPr>
        <w:t> </w:t>
      </w:r>
      <w:r>
        <w:rPr>
          <w:i/>
          <w:sz w:val="38"/>
        </w:rPr>
        <w:t>that</w:t>
      </w:r>
      <w:r>
        <w:rPr>
          <w:i/>
          <w:spacing w:val="-9"/>
          <w:sz w:val="38"/>
        </w:rPr>
        <w:t> </w:t>
      </w:r>
      <w:r>
        <w:rPr>
          <w:i/>
          <w:sz w:val="38"/>
        </w:rPr>
        <w:t>they</w:t>
      </w:r>
      <w:r>
        <w:rPr>
          <w:i/>
          <w:spacing w:val="-10"/>
          <w:sz w:val="38"/>
        </w:rPr>
        <w:t> </w:t>
      </w:r>
      <w:r>
        <w:rPr>
          <w:i/>
          <w:sz w:val="38"/>
        </w:rPr>
        <w:t>discretely</w:t>
      </w:r>
      <w:r>
        <w:rPr>
          <w:i/>
          <w:spacing w:val="-8"/>
          <w:sz w:val="38"/>
        </w:rPr>
        <w:t> </w:t>
      </w:r>
      <w:r>
        <w:rPr>
          <w:i/>
          <w:sz w:val="38"/>
        </w:rPr>
        <w:t>manip- ulate</w:t>
      </w:r>
      <w:r>
        <w:rPr>
          <w:i/>
          <w:spacing w:val="-13"/>
          <w:sz w:val="38"/>
        </w:rPr>
        <w:t> </w:t>
      </w:r>
      <w:r>
        <w:rPr>
          <w:i/>
          <w:sz w:val="38"/>
        </w:rPr>
        <w:t>the</w:t>
      </w:r>
      <w:r>
        <w:rPr>
          <w:i/>
          <w:spacing w:val="-12"/>
          <w:sz w:val="38"/>
        </w:rPr>
        <w:t> </w:t>
      </w:r>
      <w:r>
        <w:rPr>
          <w:i/>
          <w:sz w:val="38"/>
        </w:rPr>
        <w:t>metabolic</w:t>
      </w:r>
      <w:r>
        <w:rPr>
          <w:i/>
          <w:spacing w:val="-12"/>
          <w:sz w:val="38"/>
        </w:rPr>
        <w:t> </w:t>
      </w:r>
      <w:r>
        <w:rPr>
          <w:i/>
          <w:sz w:val="38"/>
        </w:rPr>
        <w:t>conditions</w:t>
      </w:r>
      <w:r>
        <w:rPr>
          <w:i/>
          <w:spacing w:val="-11"/>
          <w:sz w:val="38"/>
        </w:rPr>
        <w:t> </w:t>
      </w:r>
      <w:r>
        <w:rPr>
          <w:i/>
          <w:sz w:val="38"/>
        </w:rPr>
        <w:t>of</w:t>
      </w:r>
      <w:r>
        <w:rPr>
          <w:i/>
          <w:spacing w:val="-11"/>
          <w:sz w:val="38"/>
        </w:rPr>
        <w:t> </w:t>
      </w:r>
      <w:r>
        <w:rPr>
          <w:i/>
          <w:sz w:val="38"/>
        </w:rPr>
        <w:t>cardiac</w:t>
      </w:r>
      <w:r>
        <w:rPr>
          <w:i/>
          <w:spacing w:val="-10"/>
          <w:sz w:val="38"/>
        </w:rPr>
        <w:t> </w:t>
      </w:r>
      <w:r>
        <w:rPr>
          <w:i/>
          <w:sz w:val="38"/>
        </w:rPr>
        <w:t>insufficiency,</w:t>
      </w:r>
      <w:r>
        <w:rPr>
          <w:i/>
          <w:spacing w:val="-12"/>
          <w:sz w:val="38"/>
        </w:rPr>
        <w:t> </w:t>
      </w:r>
      <w:r>
        <w:rPr>
          <w:i/>
          <w:sz w:val="38"/>
        </w:rPr>
        <w:t>especially</w:t>
      </w:r>
      <w:r>
        <w:rPr>
          <w:i/>
          <w:spacing w:val="-8"/>
          <w:sz w:val="38"/>
        </w:rPr>
        <w:t> </w:t>
      </w:r>
      <w:r>
        <w:rPr>
          <w:i/>
          <w:sz w:val="38"/>
        </w:rPr>
        <w:t>by</w:t>
      </w:r>
      <w:r>
        <w:rPr>
          <w:i/>
          <w:spacing w:val="-12"/>
          <w:sz w:val="38"/>
        </w:rPr>
        <w:t> </w:t>
      </w:r>
      <w:r>
        <w:rPr>
          <w:i/>
          <w:sz w:val="38"/>
        </w:rPr>
        <w:t>improving</w:t>
      </w:r>
      <w:r>
        <w:rPr>
          <w:i/>
          <w:spacing w:val="-10"/>
          <w:sz w:val="38"/>
        </w:rPr>
        <w:t> </w:t>
      </w:r>
      <w:r>
        <w:rPr>
          <w:i/>
          <w:sz w:val="38"/>
        </w:rPr>
        <w:t>oxidative</w:t>
      </w:r>
      <w:r>
        <w:rPr>
          <w:i/>
          <w:spacing w:val="-9"/>
          <w:sz w:val="38"/>
        </w:rPr>
        <w:t> </w:t>
      </w:r>
      <w:r>
        <w:rPr>
          <w:i/>
          <w:sz w:val="38"/>
        </w:rPr>
        <w:t>recov- ery processes while saving</w:t>
      </w:r>
      <w:r>
        <w:rPr>
          <w:i/>
          <w:spacing w:val="-1"/>
          <w:sz w:val="38"/>
        </w:rPr>
        <w:t> </w:t>
      </w:r>
      <w:r>
        <w:rPr>
          <w:i/>
          <w:sz w:val="38"/>
        </w:rPr>
        <w:t>oxygen.</w:t>
      </w:r>
    </w:p>
    <w:p>
      <w:pPr>
        <w:spacing w:line="276" w:lineRule="auto" w:before="239"/>
        <w:ind w:left="616" w:right="144" w:firstLine="0"/>
        <w:jc w:val="both"/>
        <w:rPr>
          <w:i/>
          <w:sz w:val="38"/>
        </w:rPr>
      </w:pPr>
      <w:r>
        <w:rPr>
          <w:i/>
          <w:sz w:val="38"/>
        </w:rPr>
        <w:t>These processes counteract the malign effects of oxygen shortage, as in the case of coronary </w:t>
      </w:r>
      <w:r>
        <w:rPr>
          <w:i/>
          <w:sz w:val="38"/>
        </w:rPr>
        <w:t>sclerosis, </w:t>
      </w:r>
      <w:r>
        <w:rPr>
          <w:i/>
          <w:sz w:val="38"/>
          <w:u w:val="single"/>
        </w:rPr>
        <w:t>in every</w:t>
      </w:r>
      <w:r>
        <w:rPr>
          <w:i/>
          <w:sz w:val="38"/>
        </w:rPr>
        <w:t> case. Digitalis bodies and strophanthin would thus be appropriate with every ischaemia of the myocardium, with every coronary insufficiency'.</w:t>
      </w:r>
    </w:p>
    <w:p>
      <w:pPr>
        <w:pStyle w:val="BodyText"/>
        <w:spacing w:line="276" w:lineRule="auto" w:before="241"/>
        <w:ind w:left="616" w:right="141"/>
        <w:jc w:val="both"/>
      </w:pPr>
      <w:r>
        <w:rPr>
          <w:b/>
        </w:rPr>
        <w:t>Prof. Hallhuber, </w:t>
      </w:r>
      <w:r>
        <w:rPr/>
        <w:t>prominent cardiologist and founder of the Deutsche Her- zsportgruppen:</w:t>
      </w:r>
    </w:p>
    <w:p>
      <w:pPr>
        <w:spacing w:line="278" w:lineRule="auto" w:before="239"/>
        <w:ind w:left="616" w:right="138" w:firstLine="0"/>
        <w:jc w:val="both"/>
        <w:rPr>
          <w:i/>
          <w:sz w:val="38"/>
        </w:rPr>
      </w:pPr>
      <w:r>
        <w:rPr>
          <w:i/>
          <w:sz w:val="38"/>
        </w:rPr>
        <w:t>'It</w:t>
      </w:r>
      <w:r>
        <w:rPr>
          <w:i/>
          <w:spacing w:val="-6"/>
          <w:sz w:val="38"/>
        </w:rPr>
        <w:t> </w:t>
      </w:r>
      <w:r>
        <w:rPr>
          <w:i/>
          <w:sz w:val="38"/>
        </w:rPr>
        <w:t>is</w:t>
      </w:r>
      <w:r>
        <w:rPr>
          <w:i/>
          <w:spacing w:val="-9"/>
          <w:sz w:val="38"/>
        </w:rPr>
        <w:t> </w:t>
      </w:r>
      <w:r>
        <w:rPr>
          <w:i/>
          <w:sz w:val="38"/>
        </w:rPr>
        <w:t>also</w:t>
      </w:r>
      <w:r>
        <w:rPr>
          <w:i/>
          <w:spacing w:val="-7"/>
          <w:sz w:val="38"/>
        </w:rPr>
        <w:t> </w:t>
      </w:r>
      <w:r>
        <w:rPr>
          <w:i/>
          <w:sz w:val="38"/>
        </w:rPr>
        <w:t>worth</w:t>
      </w:r>
      <w:r>
        <w:rPr>
          <w:i/>
          <w:spacing w:val="-9"/>
          <w:sz w:val="38"/>
        </w:rPr>
        <w:t> </w:t>
      </w:r>
      <w:r>
        <w:rPr>
          <w:i/>
          <w:sz w:val="38"/>
        </w:rPr>
        <w:t>noting</w:t>
      </w:r>
      <w:r>
        <w:rPr>
          <w:i/>
          <w:spacing w:val="-7"/>
          <w:sz w:val="38"/>
        </w:rPr>
        <w:t> </w:t>
      </w:r>
      <w:r>
        <w:rPr>
          <w:i/>
          <w:sz w:val="38"/>
        </w:rPr>
        <w:t>that</w:t>
      </w:r>
      <w:r>
        <w:rPr>
          <w:i/>
          <w:spacing w:val="-11"/>
          <w:sz w:val="38"/>
        </w:rPr>
        <w:t> </w:t>
      </w:r>
      <w:r>
        <w:rPr>
          <w:i/>
          <w:sz w:val="38"/>
        </w:rPr>
        <w:t>the</w:t>
      </w:r>
      <w:r>
        <w:rPr>
          <w:i/>
          <w:spacing w:val="-7"/>
          <w:sz w:val="38"/>
        </w:rPr>
        <w:t> </w:t>
      </w:r>
      <w:r>
        <w:rPr>
          <w:i/>
          <w:sz w:val="38"/>
        </w:rPr>
        <w:t>optimum</w:t>
      </w:r>
      <w:r>
        <w:rPr>
          <w:i/>
          <w:spacing w:val="-8"/>
          <w:sz w:val="38"/>
        </w:rPr>
        <w:t> </w:t>
      </w:r>
      <w:r>
        <w:rPr>
          <w:i/>
          <w:sz w:val="38"/>
        </w:rPr>
        <w:t>treatment</w:t>
      </w:r>
      <w:r>
        <w:rPr>
          <w:i/>
          <w:spacing w:val="-8"/>
          <w:sz w:val="38"/>
        </w:rPr>
        <w:t> </w:t>
      </w:r>
      <w:r>
        <w:rPr>
          <w:i/>
          <w:sz w:val="38"/>
        </w:rPr>
        <w:t>success</w:t>
      </w:r>
      <w:r>
        <w:rPr>
          <w:i/>
          <w:spacing w:val="-10"/>
          <w:sz w:val="38"/>
        </w:rPr>
        <w:t> </w:t>
      </w:r>
      <w:r>
        <w:rPr>
          <w:i/>
          <w:sz w:val="38"/>
        </w:rPr>
        <w:t>in</w:t>
      </w:r>
      <w:r>
        <w:rPr>
          <w:i/>
          <w:spacing w:val="-9"/>
          <w:sz w:val="38"/>
        </w:rPr>
        <w:t> </w:t>
      </w:r>
      <w:r>
        <w:rPr>
          <w:i/>
          <w:sz w:val="38"/>
        </w:rPr>
        <w:t>10</w:t>
      </w:r>
      <w:r>
        <w:rPr>
          <w:i/>
          <w:spacing w:val="-8"/>
          <w:sz w:val="38"/>
        </w:rPr>
        <w:t> </w:t>
      </w:r>
      <w:r>
        <w:rPr>
          <w:i/>
          <w:sz w:val="38"/>
        </w:rPr>
        <w:t>out</w:t>
      </w:r>
      <w:r>
        <w:rPr>
          <w:i/>
          <w:spacing w:val="-9"/>
          <w:sz w:val="38"/>
        </w:rPr>
        <w:t> </w:t>
      </w:r>
      <w:r>
        <w:rPr>
          <w:i/>
          <w:sz w:val="38"/>
        </w:rPr>
        <w:t>of</w:t>
      </w:r>
      <w:r>
        <w:rPr>
          <w:i/>
          <w:spacing w:val="-8"/>
          <w:sz w:val="38"/>
        </w:rPr>
        <w:t> </w:t>
      </w:r>
      <w:r>
        <w:rPr>
          <w:i/>
          <w:sz w:val="38"/>
        </w:rPr>
        <w:t>30</w:t>
      </w:r>
      <w:r>
        <w:rPr>
          <w:i/>
          <w:spacing w:val="-8"/>
          <w:sz w:val="38"/>
        </w:rPr>
        <w:t> </w:t>
      </w:r>
      <w:r>
        <w:rPr>
          <w:i/>
          <w:sz w:val="38"/>
        </w:rPr>
        <w:t>coronary</w:t>
      </w:r>
      <w:r>
        <w:rPr>
          <w:i/>
          <w:spacing w:val="-6"/>
          <w:sz w:val="38"/>
        </w:rPr>
        <w:t> </w:t>
      </w:r>
      <w:r>
        <w:rPr>
          <w:i/>
          <w:sz w:val="38"/>
        </w:rPr>
        <w:t>patients </w:t>
      </w:r>
      <w:r>
        <w:rPr>
          <w:i/>
          <w:sz w:val="38"/>
        </w:rPr>
        <w:t>was achieved after the end of the strophoral shock, so after just 3</w:t>
      </w:r>
      <w:r>
        <w:rPr>
          <w:i/>
          <w:spacing w:val="-13"/>
          <w:sz w:val="38"/>
        </w:rPr>
        <w:t> </w:t>
      </w:r>
      <w:r>
        <w:rPr>
          <w:i/>
          <w:sz w:val="38"/>
        </w:rPr>
        <w:t>days'.</w:t>
      </w:r>
    </w:p>
    <w:p>
      <w:pPr>
        <w:spacing w:after="0" w:line="278" w:lineRule="auto"/>
        <w:jc w:val="both"/>
        <w:rPr>
          <w:sz w:val="38"/>
        </w:rPr>
        <w:sectPr>
          <w:pgSz w:w="14270" w:h="16850"/>
          <w:pgMar w:header="0" w:footer="1891" w:top="1340" w:bottom="2080" w:left="800" w:right="1280"/>
        </w:sectPr>
      </w:pPr>
    </w:p>
    <w:p>
      <w:pPr>
        <w:pStyle w:val="Heading2"/>
        <w:spacing w:before="74"/>
        <w:ind w:left="616"/>
      </w:pPr>
      <w:r>
        <w:rPr/>
        <w:t>Dr. Bergener/Dr. Neller:</w:t>
      </w:r>
    </w:p>
    <w:p>
      <w:pPr>
        <w:spacing w:line="276" w:lineRule="auto" w:before="305"/>
        <w:ind w:left="616" w:right="135" w:firstLine="0"/>
        <w:jc w:val="both"/>
        <w:rPr>
          <w:i/>
          <w:sz w:val="38"/>
        </w:rPr>
      </w:pPr>
      <w:r>
        <w:rPr>
          <w:i/>
          <w:sz w:val="38"/>
        </w:rPr>
        <w:t>'Clinical experience shows time and again that the physiological failures in older patients </w:t>
      </w:r>
      <w:r>
        <w:rPr>
          <w:i/>
          <w:sz w:val="38"/>
        </w:rPr>
        <w:t>develop in connection with asymptomatic heart weakness or concurrently with infections or other somatic states of illness.</w:t>
      </w:r>
    </w:p>
    <w:p>
      <w:pPr>
        <w:spacing w:line="276" w:lineRule="auto" w:before="238"/>
        <w:ind w:left="616" w:right="131" w:firstLine="0"/>
        <w:jc w:val="both"/>
        <w:rPr>
          <w:i/>
          <w:sz w:val="38"/>
        </w:rPr>
      </w:pPr>
      <w:r>
        <w:rPr>
          <w:i/>
          <w:sz w:val="38"/>
        </w:rPr>
        <w:t>In most cases, the early administration of a strophanthin treatment achieves both cardiac re- </w:t>
      </w:r>
      <w:r>
        <w:rPr>
          <w:i/>
          <w:sz w:val="38"/>
        </w:rPr>
        <w:t>compensation and at the same time compensation of the central failures without additional therapeutic measures, apart from antibiotics which are necessary in individual cases.</w:t>
      </w:r>
    </w:p>
    <w:p>
      <w:pPr>
        <w:pStyle w:val="BodyText"/>
        <w:spacing w:line="278" w:lineRule="auto" w:before="240"/>
        <w:ind w:left="616" w:right="139"/>
        <w:jc w:val="both"/>
      </w:pPr>
      <w:r>
        <w:rPr>
          <w:b/>
        </w:rPr>
        <w:t>Dr.</w:t>
      </w:r>
      <w:r>
        <w:rPr>
          <w:b/>
          <w:spacing w:val="-24"/>
        </w:rPr>
        <w:t> </w:t>
      </w:r>
      <w:r>
        <w:rPr>
          <w:b/>
        </w:rPr>
        <w:t>W.-D.</w:t>
      </w:r>
      <w:r>
        <w:rPr>
          <w:b/>
          <w:spacing w:val="-25"/>
        </w:rPr>
        <w:t> </w:t>
      </w:r>
      <w:r>
        <w:rPr>
          <w:b/>
        </w:rPr>
        <w:t>Heiss,</w:t>
      </w:r>
      <w:r>
        <w:rPr>
          <w:b/>
          <w:spacing w:val="-23"/>
        </w:rPr>
        <w:t> </w:t>
      </w:r>
      <w:r>
        <w:rPr/>
        <w:t>Laboratory</w:t>
      </w:r>
      <w:r>
        <w:rPr>
          <w:spacing w:val="-24"/>
        </w:rPr>
        <w:t> </w:t>
      </w:r>
      <w:r>
        <w:rPr/>
        <w:t>for</w:t>
      </w:r>
      <w:r>
        <w:rPr>
          <w:spacing w:val="-23"/>
        </w:rPr>
        <w:t> </w:t>
      </w:r>
      <w:r>
        <w:rPr/>
        <w:t>Brain</w:t>
      </w:r>
      <w:r>
        <w:rPr>
          <w:spacing w:val="-23"/>
        </w:rPr>
        <w:t> </w:t>
      </w:r>
      <w:r>
        <w:rPr/>
        <w:t>Circulation</w:t>
      </w:r>
      <w:r>
        <w:rPr>
          <w:spacing w:val="-23"/>
        </w:rPr>
        <w:t> </w:t>
      </w:r>
      <w:r>
        <w:rPr/>
        <w:t>at</w:t>
      </w:r>
      <w:r>
        <w:rPr>
          <w:spacing w:val="-25"/>
        </w:rPr>
        <w:t> </w:t>
      </w:r>
      <w:r>
        <w:rPr/>
        <w:t>the</w:t>
      </w:r>
      <w:r>
        <w:rPr>
          <w:spacing w:val="-23"/>
        </w:rPr>
        <w:t> </w:t>
      </w:r>
      <w:r>
        <w:rPr/>
        <w:t>Department</w:t>
      </w:r>
      <w:r>
        <w:rPr>
          <w:spacing w:val="-24"/>
        </w:rPr>
        <w:t> </w:t>
      </w:r>
      <w:r>
        <w:rPr/>
        <w:t>of</w:t>
      </w:r>
      <w:r>
        <w:rPr>
          <w:spacing w:val="-23"/>
        </w:rPr>
        <w:t> </w:t>
      </w:r>
      <w:r>
        <w:rPr/>
        <w:t>Neu- rology in the Medical University of Vienna:</w:t>
      </w:r>
    </w:p>
    <w:p>
      <w:pPr>
        <w:spacing w:line="278" w:lineRule="auto" w:before="232"/>
        <w:ind w:left="616" w:right="138" w:firstLine="0"/>
        <w:jc w:val="both"/>
        <w:rPr>
          <w:i/>
          <w:sz w:val="38"/>
        </w:rPr>
      </w:pPr>
      <w:r>
        <w:rPr>
          <w:i/>
          <w:sz w:val="38"/>
        </w:rPr>
        <w:t>'The clinical experience that strophanthin has a therapeutic benefit for stroke patients is </w:t>
      </w:r>
      <w:r>
        <w:rPr>
          <w:i/>
          <w:sz w:val="38"/>
        </w:rPr>
        <w:t>supported by the results reported here.</w:t>
      </w:r>
    </w:p>
    <w:p>
      <w:pPr>
        <w:spacing w:line="276" w:lineRule="auto" w:before="232"/>
        <w:ind w:left="616" w:right="139" w:firstLine="0"/>
        <w:jc w:val="both"/>
        <w:rPr>
          <w:i/>
          <w:sz w:val="38"/>
        </w:rPr>
      </w:pPr>
      <w:r>
        <w:rPr>
          <w:i/>
          <w:sz w:val="38"/>
        </w:rPr>
        <w:t>Regardless of the underlying illness, and equally in insufficiently and sufficiently supplied </w:t>
      </w:r>
      <w:r>
        <w:rPr>
          <w:i/>
          <w:sz w:val="38"/>
        </w:rPr>
        <w:t>brain</w:t>
      </w:r>
      <w:r>
        <w:rPr>
          <w:i/>
          <w:spacing w:val="-9"/>
          <w:sz w:val="38"/>
        </w:rPr>
        <w:t> </w:t>
      </w:r>
      <w:r>
        <w:rPr>
          <w:i/>
          <w:sz w:val="38"/>
        </w:rPr>
        <w:t>tissue,</w:t>
      </w:r>
      <w:r>
        <w:rPr>
          <w:i/>
          <w:spacing w:val="-9"/>
          <w:sz w:val="38"/>
        </w:rPr>
        <w:t> </w:t>
      </w:r>
      <w:r>
        <w:rPr>
          <w:i/>
          <w:sz w:val="38"/>
        </w:rPr>
        <w:t>the</w:t>
      </w:r>
      <w:r>
        <w:rPr>
          <w:i/>
          <w:spacing w:val="-9"/>
          <w:sz w:val="38"/>
        </w:rPr>
        <w:t> </w:t>
      </w:r>
      <w:r>
        <w:rPr>
          <w:i/>
          <w:sz w:val="38"/>
        </w:rPr>
        <w:t>circulation</w:t>
      </w:r>
      <w:r>
        <w:rPr>
          <w:i/>
          <w:spacing w:val="-6"/>
          <w:sz w:val="38"/>
        </w:rPr>
        <w:t> </w:t>
      </w:r>
      <w:r>
        <w:rPr>
          <w:i/>
          <w:sz w:val="38"/>
        </w:rPr>
        <w:t>was</w:t>
      </w:r>
      <w:r>
        <w:rPr>
          <w:i/>
          <w:spacing w:val="-10"/>
          <w:sz w:val="38"/>
        </w:rPr>
        <w:t> </w:t>
      </w:r>
      <w:r>
        <w:rPr>
          <w:i/>
          <w:sz w:val="38"/>
        </w:rPr>
        <w:t>significantly</w:t>
      </w:r>
      <w:r>
        <w:rPr>
          <w:i/>
          <w:spacing w:val="-8"/>
          <w:sz w:val="38"/>
        </w:rPr>
        <w:t> </w:t>
      </w:r>
      <w:r>
        <w:rPr>
          <w:i/>
          <w:sz w:val="38"/>
        </w:rPr>
        <w:t>improved</w:t>
      </w:r>
      <w:r>
        <w:rPr>
          <w:i/>
          <w:spacing w:val="-11"/>
          <w:sz w:val="38"/>
        </w:rPr>
        <w:t> </w:t>
      </w:r>
      <w:r>
        <w:rPr>
          <w:i/>
          <w:sz w:val="38"/>
        </w:rPr>
        <w:t>with</w:t>
      </w:r>
      <w:r>
        <w:rPr>
          <w:i/>
          <w:spacing w:val="-8"/>
          <w:sz w:val="38"/>
        </w:rPr>
        <w:t> </w:t>
      </w:r>
      <w:r>
        <w:rPr>
          <w:i/>
          <w:sz w:val="38"/>
        </w:rPr>
        <w:t>ouabain,</w:t>
      </w:r>
      <w:r>
        <w:rPr>
          <w:i/>
          <w:spacing w:val="-8"/>
          <w:sz w:val="38"/>
        </w:rPr>
        <w:t> </w:t>
      </w:r>
      <w:r>
        <w:rPr>
          <w:i/>
          <w:sz w:val="38"/>
        </w:rPr>
        <w:t>even</w:t>
      </w:r>
      <w:r>
        <w:rPr>
          <w:i/>
          <w:spacing w:val="-8"/>
          <w:sz w:val="38"/>
        </w:rPr>
        <w:t> </w:t>
      </w:r>
      <w:r>
        <w:rPr>
          <w:i/>
          <w:sz w:val="38"/>
        </w:rPr>
        <w:t>with</w:t>
      </w:r>
      <w:r>
        <w:rPr>
          <w:i/>
          <w:spacing w:val="-9"/>
          <w:sz w:val="38"/>
        </w:rPr>
        <w:t> </w:t>
      </w:r>
      <w:r>
        <w:rPr>
          <w:i/>
          <w:sz w:val="38"/>
        </w:rPr>
        <w:t>an</w:t>
      </w:r>
      <w:r>
        <w:rPr>
          <w:i/>
          <w:spacing w:val="-9"/>
          <w:sz w:val="38"/>
        </w:rPr>
        <w:t> </w:t>
      </w:r>
      <w:r>
        <w:rPr>
          <w:i/>
          <w:sz w:val="38"/>
        </w:rPr>
        <w:t>absence</w:t>
      </w:r>
      <w:r>
        <w:rPr>
          <w:i/>
          <w:spacing w:val="-10"/>
          <w:sz w:val="38"/>
        </w:rPr>
        <w:t> </w:t>
      </w:r>
      <w:r>
        <w:rPr>
          <w:i/>
          <w:sz w:val="38"/>
        </w:rPr>
        <w:t>of manifest cardiac de-compensation; the effect is clear just 15 minutes after ouabain is admin- istered, however it is still clearly evident after 90</w:t>
      </w:r>
      <w:r>
        <w:rPr>
          <w:i/>
          <w:spacing w:val="-1"/>
          <w:sz w:val="38"/>
        </w:rPr>
        <w:t> </w:t>
      </w:r>
      <w:r>
        <w:rPr>
          <w:i/>
          <w:sz w:val="38"/>
        </w:rPr>
        <w:t>minutes.</w:t>
      </w:r>
    </w:p>
    <w:p>
      <w:pPr>
        <w:spacing w:line="278" w:lineRule="auto" w:before="240"/>
        <w:ind w:left="616" w:right="139" w:firstLine="0"/>
        <w:jc w:val="both"/>
        <w:rPr>
          <w:i/>
          <w:sz w:val="38"/>
        </w:rPr>
      </w:pPr>
      <w:r>
        <w:rPr>
          <w:i/>
          <w:sz w:val="38"/>
        </w:rPr>
        <w:t>The</w:t>
      </w:r>
      <w:r>
        <w:rPr>
          <w:i/>
          <w:spacing w:val="-18"/>
          <w:sz w:val="38"/>
        </w:rPr>
        <w:t> </w:t>
      </w:r>
      <w:r>
        <w:rPr>
          <w:i/>
          <w:sz w:val="38"/>
        </w:rPr>
        <w:t>results</w:t>
      </w:r>
      <w:r>
        <w:rPr>
          <w:i/>
          <w:spacing w:val="-18"/>
          <w:sz w:val="38"/>
        </w:rPr>
        <w:t> </w:t>
      </w:r>
      <w:r>
        <w:rPr>
          <w:i/>
          <w:sz w:val="38"/>
        </w:rPr>
        <w:t>of</w:t>
      </w:r>
      <w:r>
        <w:rPr>
          <w:i/>
          <w:spacing w:val="-16"/>
          <w:sz w:val="38"/>
        </w:rPr>
        <w:t> </w:t>
      </w:r>
      <w:r>
        <w:rPr>
          <w:i/>
          <w:sz w:val="38"/>
        </w:rPr>
        <w:t>Solti</w:t>
      </w:r>
      <w:r>
        <w:rPr>
          <w:i/>
          <w:spacing w:val="-20"/>
          <w:sz w:val="38"/>
        </w:rPr>
        <w:t> </w:t>
      </w:r>
      <w:r>
        <w:rPr>
          <w:i/>
          <w:sz w:val="38"/>
        </w:rPr>
        <w:t>and</w:t>
      </w:r>
      <w:r>
        <w:rPr>
          <w:i/>
          <w:spacing w:val="-16"/>
          <w:sz w:val="38"/>
        </w:rPr>
        <w:t> </w:t>
      </w:r>
      <w:r>
        <w:rPr>
          <w:i/>
          <w:sz w:val="38"/>
        </w:rPr>
        <w:t>colleagues</w:t>
      </w:r>
      <w:r>
        <w:rPr>
          <w:i/>
          <w:spacing w:val="-17"/>
          <w:sz w:val="38"/>
        </w:rPr>
        <w:t> </w:t>
      </w:r>
      <w:r>
        <w:rPr>
          <w:i/>
          <w:sz w:val="38"/>
        </w:rPr>
        <w:t>who</w:t>
      </w:r>
      <w:r>
        <w:rPr>
          <w:i/>
          <w:spacing w:val="-19"/>
          <w:sz w:val="38"/>
        </w:rPr>
        <w:t> </w:t>
      </w:r>
      <w:r>
        <w:rPr>
          <w:i/>
          <w:sz w:val="38"/>
        </w:rPr>
        <w:t>observed</w:t>
      </w:r>
      <w:r>
        <w:rPr>
          <w:i/>
          <w:spacing w:val="-18"/>
          <w:sz w:val="38"/>
        </w:rPr>
        <w:t> </w:t>
      </w:r>
      <w:r>
        <w:rPr>
          <w:i/>
          <w:sz w:val="38"/>
        </w:rPr>
        <w:t>increased</w:t>
      </w:r>
      <w:r>
        <w:rPr>
          <w:i/>
          <w:spacing w:val="-18"/>
          <w:sz w:val="38"/>
        </w:rPr>
        <w:t> </w:t>
      </w:r>
      <w:r>
        <w:rPr>
          <w:i/>
          <w:sz w:val="38"/>
        </w:rPr>
        <w:t>brain</w:t>
      </w:r>
      <w:r>
        <w:rPr>
          <w:i/>
          <w:spacing w:val="-16"/>
          <w:sz w:val="38"/>
        </w:rPr>
        <w:t> </w:t>
      </w:r>
      <w:r>
        <w:rPr>
          <w:i/>
          <w:sz w:val="38"/>
        </w:rPr>
        <w:t>circulation</w:t>
      </w:r>
      <w:r>
        <w:rPr>
          <w:i/>
          <w:spacing w:val="-18"/>
          <w:sz w:val="38"/>
        </w:rPr>
        <w:t> </w:t>
      </w:r>
      <w:r>
        <w:rPr>
          <w:i/>
          <w:sz w:val="38"/>
        </w:rPr>
        <w:t>after</w:t>
      </w:r>
      <w:r>
        <w:rPr>
          <w:i/>
          <w:spacing w:val="-16"/>
          <w:sz w:val="38"/>
        </w:rPr>
        <w:t> </w:t>
      </w:r>
      <w:r>
        <w:rPr>
          <w:i/>
          <w:sz w:val="38"/>
        </w:rPr>
        <w:t>strophanthin </w:t>
      </w:r>
      <w:r>
        <w:rPr>
          <w:i/>
          <w:sz w:val="38"/>
        </w:rPr>
        <w:t>with a nitrous oxide method are thereby confirmed and</w:t>
      </w:r>
      <w:r>
        <w:rPr>
          <w:i/>
          <w:spacing w:val="-8"/>
          <w:sz w:val="38"/>
        </w:rPr>
        <w:t> </w:t>
      </w:r>
      <w:r>
        <w:rPr>
          <w:i/>
          <w:sz w:val="38"/>
        </w:rPr>
        <w:t>extended'.</w:t>
      </w:r>
    </w:p>
    <w:p>
      <w:pPr>
        <w:spacing w:after="0" w:line="278" w:lineRule="auto"/>
        <w:jc w:val="both"/>
        <w:rPr>
          <w:sz w:val="38"/>
        </w:rPr>
        <w:sectPr>
          <w:pgSz w:w="14270" w:h="16850"/>
          <w:pgMar w:header="0" w:footer="1891" w:top="1340" w:bottom="2080" w:left="800" w:right="1280"/>
        </w:sectPr>
      </w:pPr>
    </w:p>
    <w:p>
      <w:pPr>
        <w:pStyle w:val="Heading2"/>
        <w:spacing w:before="74"/>
        <w:ind w:left="616"/>
      </w:pPr>
      <w:r>
        <w:rPr/>
        <w:t>Dr. Stoerger, Nuremberg:</w:t>
      </w:r>
    </w:p>
    <w:p>
      <w:pPr>
        <w:spacing w:line="276" w:lineRule="auto" w:before="305"/>
        <w:ind w:left="616" w:right="139" w:firstLine="0"/>
        <w:jc w:val="both"/>
        <w:rPr>
          <w:i/>
          <w:sz w:val="38"/>
        </w:rPr>
      </w:pPr>
      <w:r>
        <w:rPr>
          <w:i/>
          <w:sz w:val="38"/>
        </w:rPr>
        <w:t>The use of strophanthin, which is the 'milk of old age' is recommended by other authors. </w:t>
      </w:r>
      <w:r>
        <w:rPr>
          <w:i/>
          <w:sz w:val="38"/>
        </w:rPr>
        <w:t>Astonishingly, delirious states, apathy, drowsiness and even loss of memory performance are combatted effectively with this.</w:t>
      </w:r>
    </w:p>
    <w:p>
      <w:pPr>
        <w:pStyle w:val="Heading2"/>
        <w:spacing w:before="238"/>
        <w:ind w:left="616"/>
      </w:pPr>
      <w:r>
        <w:rPr/>
        <w:t>Prof Dr. G. Hofmann:</w:t>
      </w:r>
    </w:p>
    <w:p>
      <w:pPr>
        <w:spacing w:line="276" w:lineRule="auto" w:before="305"/>
        <w:ind w:left="616" w:right="134" w:firstLine="0"/>
        <w:jc w:val="both"/>
        <w:rPr>
          <w:i/>
          <w:sz w:val="38"/>
        </w:rPr>
      </w:pPr>
      <w:r>
        <w:rPr>
          <w:i/>
          <w:sz w:val="38"/>
        </w:rPr>
        <w:t>'A great deal of importance is placed on reinvigorating the circulation and the cardiac situa- </w:t>
      </w:r>
      <w:r>
        <w:rPr>
          <w:i/>
          <w:sz w:val="38"/>
        </w:rPr>
        <w:t>tion.</w:t>
      </w:r>
      <w:r>
        <w:rPr>
          <w:i/>
          <w:spacing w:val="-7"/>
          <w:sz w:val="38"/>
        </w:rPr>
        <w:t> </w:t>
      </w:r>
      <w:r>
        <w:rPr>
          <w:i/>
          <w:sz w:val="38"/>
        </w:rPr>
        <w:t>We</w:t>
      </w:r>
      <w:r>
        <w:rPr>
          <w:i/>
          <w:spacing w:val="-8"/>
          <w:sz w:val="38"/>
        </w:rPr>
        <w:t> </w:t>
      </w:r>
      <w:r>
        <w:rPr>
          <w:i/>
          <w:sz w:val="38"/>
        </w:rPr>
        <w:t>always</w:t>
      </w:r>
      <w:r>
        <w:rPr>
          <w:i/>
          <w:spacing w:val="-10"/>
          <w:sz w:val="38"/>
        </w:rPr>
        <w:t> </w:t>
      </w:r>
      <w:r>
        <w:rPr>
          <w:i/>
          <w:sz w:val="38"/>
        </w:rPr>
        <w:t>use</w:t>
      </w:r>
      <w:r>
        <w:rPr>
          <w:i/>
          <w:spacing w:val="-8"/>
          <w:sz w:val="38"/>
        </w:rPr>
        <w:t> </w:t>
      </w:r>
      <w:r>
        <w:rPr>
          <w:i/>
          <w:sz w:val="38"/>
        </w:rPr>
        <w:t>strophanthin</w:t>
      </w:r>
      <w:r>
        <w:rPr>
          <w:i/>
          <w:spacing w:val="-6"/>
          <w:sz w:val="38"/>
        </w:rPr>
        <w:t> </w:t>
      </w:r>
      <w:r>
        <w:rPr>
          <w:i/>
          <w:sz w:val="38"/>
        </w:rPr>
        <w:t>or</w:t>
      </w:r>
      <w:r>
        <w:rPr>
          <w:i/>
          <w:spacing w:val="-10"/>
          <w:sz w:val="38"/>
        </w:rPr>
        <w:t> </w:t>
      </w:r>
      <w:r>
        <w:rPr>
          <w:i/>
          <w:sz w:val="38"/>
        </w:rPr>
        <w:t>a</w:t>
      </w:r>
      <w:r>
        <w:rPr>
          <w:i/>
          <w:spacing w:val="-8"/>
          <w:sz w:val="38"/>
        </w:rPr>
        <w:t> </w:t>
      </w:r>
      <w:r>
        <w:rPr>
          <w:i/>
          <w:sz w:val="38"/>
        </w:rPr>
        <w:t>heart-supporting</w:t>
      </w:r>
      <w:r>
        <w:rPr>
          <w:i/>
          <w:spacing w:val="-7"/>
          <w:sz w:val="38"/>
        </w:rPr>
        <w:t> </w:t>
      </w:r>
      <w:r>
        <w:rPr>
          <w:i/>
          <w:sz w:val="38"/>
        </w:rPr>
        <w:t>preparation,</w:t>
      </w:r>
      <w:r>
        <w:rPr>
          <w:i/>
          <w:spacing w:val="-7"/>
          <w:sz w:val="38"/>
        </w:rPr>
        <w:t> </w:t>
      </w:r>
      <w:r>
        <w:rPr>
          <w:i/>
          <w:sz w:val="38"/>
        </w:rPr>
        <w:t>regardless</w:t>
      </w:r>
      <w:r>
        <w:rPr>
          <w:i/>
          <w:spacing w:val="-8"/>
          <w:sz w:val="38"/>
        </w:rPr>
        <w:t> </w:t>
      </w:r>
      <w:r>
        <w:rPr>
          <w:i/>
          <w:sz w:val="38"/>
        </w:rPr>
        <w:t>of</w:t>
      </w:r>
      <w:r>
        <w:rPr>
          <w:i/>
          <w:spacing w:val="-7"/>
          <w:sz w:val="38"/>
        </w:rPr>
        <w:t> </w:t>
      </w:r>
      <w:r>
        <w:rPr>
          <w:i/>
          <w:sz w:val="38"/>
        </w:rPr>
        <w:t>the</w:t>
      </w:r>
      <w:r>
        <w:rPr>
          <w:i/>
          <w:spacing w:val="-7"/>
          <w:sz w:val="38"/>
        </w:rPr>
        <w:t> </w:t>
      </w:r>
      <w:r>
        <w:rPr>
          <w:i/>
          <w:sz w:val="38"/>
        </w:rPr>
        <w:t>proven cardiac</w:t>
      </w:r>
      <w:r>
        <w:rPr>
          <w:i/>
          <w:spacing w:val="-1"/>
          <w:sz w:val="38"/>
        </w:rPr>
        <w:t> </w:t>
      </w:r>
      <w:r>
        <w:rPr>
          <w:i/>
          <w:sz w:val="38"/>
        </w:rPr>
        <w:t>insufficiency.</w:t>
      </w:r>
    </w:p>
    <w:p>
      <w:pPr>
        <w:spacing w:line="276" w:lineRule="auto" w:before="242"/>
        <w:ind w:left="616" w:right="143" w:firstLine="0"/>
        <w:jc w:val="both"/>
        <w:rPr>
          <w:i/>
          <w:sz w:val="38"/>
        </w:rPr>
      </w:pPr>
      <w:r>
        <w:rPr>
          <w:i/>
          <w:sz w:val="38"/>
        </w:rPr>
        <w:t>The direct circulation-promoting effect of strophanthin on the brain's metabolism has been </w:t>
      </w:r>
      <w:r>
        <w:rPr>
          <w:i/>
          <w:sz w:val="38"/>
        </w:rPr>
        <w:t>proven'.</w:t>
      </w:r>
    </w:p>
    <w:p>
      <w:pPr>
        <w:pStyle w:val="BodyText"/>
        <w:spacing w:line="278" w:lineRule="auto" w:before="238"/>
        <w:ind w:left="616" w:right="135"/>
        <w:jc w:val="both"/>
      </w:pPr>
      <w:r>
        <w:rPr/>
        <w:t>Further advocates and tireless campaigners for strophanthin include Manfred von Ardenne, Prof. Glatzel and Prof. Girogio Baroldi.</w:t>
      </w:r>
    </w:p>
    <w:p>
      <w:pPr>
        <w:pStyle w:val="Heading2"/>
        <w:spacing w:line="276" w:lineRule="auto" w:before="233"/>
        <w:ind w:left="616" w:right="142"/>
        <w:jc w:val="both"/>
      </w:pPr>
      <w:r>
        <w:rPr/>
        <w:t>Strophanthin and its unbelievable effect in heart failure and heart dis- eases and also in other diseases.</w:t>
      </w:r>
    </w:p>
    <w:p>
      <w:pPr>
        <w:spacing w:after="0" w:line="276" w:lineRule="auto"/>
        <w:jc w:val="both"/>
        <w:sectPr>
          <w:pgSz w:w="14270" w:h="16850"/>
          <w:pgMar w:header="0" w:footer="1891" w:top="1340" w:bottom="2080" w:left="800" w:right="1280"/>
        </w:sectPr>
      </w:pPr>
    </w:p>
    <w:p>
      <w:pPr>
        <w:pStyle w:val="BodyText"/>
        <w:spacing w:line="276" w:lineRule="auto" w:before="72"/>
        <w:ind w:left="616" w:right="130"/>
        <w:jc w:val="both"/>
      </w:pPr>
      <w:r>
        <w:rPr/>
        <w:t>If</w:t>
      </w:r>
      <w:r>
        <w:rPr>
          <w:spacing w:val="-11"/>
        </w:rPr>
        <w:t> </w:t>
      </w:r>
      <w:r>
        <w:rPr/>
        <w:t>you</w:t>
      </w:r>
      <w:r>
        <w:rPr>
          <w:spacing w:val="-11"/>
        </w:rPr>
        <w:t> </w:t>
      </w:r>
      <w:r>
        <w:rPr/>
        <w:t>examine</w:t>
      </w:r>
      <w:r>
        <w:rPr>
          <w:spacing w:val="-10"/>
        </w:rPr>
        <w:t> </w:t>
      </w:r>
      <w:r>
        <w:rPr/>
        <w:t>the</w:t>
      </w:r>
      <w:r>
        <w:rPr>
          <w:spacing w:val="-10"/>
        </w:rPr>
        <w:t> </w:t>
      </w:r>
      <w:r>
        <w:rPr/>
        <w:t>topic</w:t>
      </w:r>
      <w:r>
        <w:rPr>
          <w:spacing w:val="-12"/>
        </w:rPr>
        <w:t> </w:t>
      </w:r>
      <w:r>
        <w:rPr/>
        <w:t>of</w:t>
      </w:r>
      <w:r>
        <w:rPr>
          <w:spacing w:val="-12"/>
        </w:rPr>
        <w:t> </w:t>
      </w:r>
      <w:r>
        <w:rPr/>
        <w:t>'strophanthin'</w:t>
      </w:r>
      <w:r>
        <w:rPr>
          <w:spacing w:val="-10"/>
        </w:rPr>
        <w:t> </w:t>
      </w:r>
      <w:r>
        <w:rPr/>
        <w:t>more</w:t>
      </w:r>
      <w:r>
        <w:rPr>
          <w:spacing w:val="-13"/>
        </w:rPr>
        <w:t> </w:t>
      </w:r>
      <w:r>
        <w:rPr/>
        <w:t>closely</w:t>
      </w:r>
      <w:r>
        <w:rPr>
          <w:spacing w:val="-10"/>
        </w:rPr>
        <w:t> </w:t>
      </w:r>
      <w:r>
        <w:rPr/>
        <w:t>and</w:t>
      </w:r>
      <w:r>
        <w:rPr>
          <w:spacing w:val="-10"/>
        </w:rPr>
        <w:t> </w:t>
      </w:r>
      <w:r>
        <w:rPr/>
        <w:t>objectively</w:t>
      </w:r>
      <w:r>
        <w:rPr>
          <w:spacing w:val="-11"/>
        </w:rPr>
        <w:t> </w:t>
      </w:r>
      <w:r>
        <w:rPr/>
        <w:t>analyse more</w:t>
      </w:r>
      <w:r>
        <w:rPr>
          <w:spacing w:val="-14"/>
        </w:rPr>
        <w:t> </w:t>
      </w:r>
      <w:r>
        <w:rPr/>
        <w:t>impartial</w:t>
      </w:r>
      <w:r>
        <w:rPr>
          <w:spacing w:val="-16"/>
        </w:rPr>
        <w:t> </w:t>
      </w:r>
      <w:r>
        <w:rPr/>
        <w:t>studies,</w:t>
      </w:r>
      <w:r>
        <w:rPr>
          <w:spacing w:val="-13"/>
        </w:rPr>
        <w:t> </w:t>
      </w:r>
      <w:r>
        <w:rPr/>
        <w:t>practice</w:t>
      </w:r>
      <w:r>
        <w:rPr>
          <w:spacing w:val="-15"/>
        </w:rPr>
        <w:t> </w:t>
      </w:r>
      <w:r>
        <w:rPr/>
        <w:t>cases</w:t>
      </w:r>
      <w:r>
        <w:rPr>
          <w:spacing w:val="-13"/>
        </w:rPr>
        <w:t> </w:t>
      </w:r>
      <w:r>
        <w:rPr/>
        <w:t>and</w:t>
      </w:r>
      <w:r>
        <w:rPr>
          <w:spacing w:val="-14"/>
        </w:rPr>
        <w:t> </w:t>
      </w:r>
      <w:r>
        <w:rPr/>
        <w:t>doctors'</w:t>
      </w:r>
      <w:r>
        <w:rPr>
          <w:spacing w:val="-15"/>
        </w:rPr>
        <w:t> </w:t>
      </w:r>
      <w:r>
        <w:rPr/>
        <w:t>statements,</w:t>
      </w:r>
      <w:r>
        <w:rPr>
          <w:spacing w:val="-13"/>
        </w:rPr>
        <w:t> </w:t>
      </w:r>
      <w:r>
        <w:rPr/>
        <w:t>it</w:t>
      </w:r>
      <w:r>
        <w:rPr>
          <w:spacing w:val="-17"/>
        </w:rPr>
        <w:t> </w:t>
      </w:r>
      <w:r>
        <w:rPr/>
        <w:t>becomes</w:t>
      </w:r>
      <w:r>
        <w:rPr>
          <w:spacing w:val="-13"/>
        </w:rPr>
        <w:t> </w:t>
      </w:r>
      <w:r>
        <w:rPr/>
        <w:t>clear that</w:t>
      </w:r>
      <w:r>
        <w:rPr>
          <w:spacing w:val="-10"/>
        </w:rPr>
        <w:t> </w:t>
      </w:r>
      <w:r>
        <w:rPr/>
        <w:t>strophanthin,</w:t>
      </w:r>
      <w:r>
        <w:rPr>
          <w:spacing w:val="-9"/>
        </w:rPr>
        <w:t> </w:t>
      </w:r>
      <w:r>
        <w:rPr/>
        <w:t>despite</w:t>
      </w:r>
      <w:r>
        <w:rPr>
          <w:spacing w:val="-11"/>
        </w:rPr>
        <w:t> </w:t>
      </w:r>
      <w:r>
        <w:rPr/>
        <w:t>the</w:t>
      </w:r>
      <w:r>
        <w:rPr>
          <w:spacing w:val="-12"/>
        </w:rPr>
        <w:t> </w:t>
      </w:r>
      <w:r>
        <w:rPr/>
        <w:t>negative,</w:t>
      </w:r>
      <w:r>
        <w:rPr>
          <w:spacing w:val="-10"/>
        </w:rPr>
        <w:t> </w:t>
      </w:r>
      <w:r>
        <w:rPr/>
        <w:t>partial</w:t>
      </w:r>
      <w:r>
        <w:rPr>
          <w:spacing w:val="-12"/>
        </w:rPr>
        <w:t> </w:t>
      </w:r>
      <w:r>
        <w:rPr/>
        <w:t>statements,</w:t>
      </w:r>
      <w:r>
        <w:rPr>
          <w:spacing w:val="-11"/>
        </w:rPr>
        <w:t> </w:t>
      </w:r>
      <w:r>
        <w:rPr/>
        <w:t>remains,</w:t>
      </w:r>
      <w:r>
        <w:rPr>
          <w:spacing w:val="-9"/>
        </w:rPr>
        <w:t> </w:t>
      </w:r>
      <w:r>
        <w:rPr/>
        <w:t>to</w:t>
      </w:r>
      <w:r>
        <w:rPr>
          <w:spacing w:val="-10"/>
        </w:rPr>
        <w:t> </w:t>
      </w:r>
      <w:r>
        <w:rPr/>
        <w:t>this</w:t>
      </w:r>
      <w:r>
        <w:rPr>
          <w:spacing w:val="-12"/>
        </w:rPr>
        <w:t> </w:t>
      </w:r>
      <w:r>
        <w:rPr/>
        <w:t>day, by</w:t>
      </w:r>
      <w:r>
        <w:rPr>
          <w:spacing w:val="-6"/>
        </w:rPr>
        <w:t> </w:t>
      </w:r>
      <w:r>
        <w:rPr/>
        <w:t>far</w:t>
      </w:r>
      <w:r>
        <w:rPr>
          <w:spacing w:val="-7"/>
        </w:rPr>
        <w:t> </w:t>
      </w:r>
      <w:r>
        <w:rPr/>
        <w:t>the</w:t>
      </w:r>
      <w:r>
        <w:rPr>
          <w:spacing w:val="-8"/>
        </w:rPr>
        <w:t> </w:t>
      </w:r>
      <w:r>
        <w:rPr/>
        <w:t>best</w:t>
      </w:r>
      <w:r>
        <w:rPr>
          <w:spacing w:val="-7"/>
        </w:rPr>
        <w:t> </w:t>
      </w:r>
      <w:r>
        <w:rPr/>
        <w:t>known</w:t>
      </w:r>
      <w:r>
        <w:rPr>
          <w:spacing w:val="-7"/>
        </w:rPr>
        <w:t> </w:t>
      </w:r>
      <w:r>
        <w:rPr/>
        <w:t>heart</w:t>
      </w:r>
      <w:r>
        <w:rPr>
          <w:spacing w:val="-7"/>
        </w:rPr>
        <w:t> </w:t>
      </w:r>
      <w:r>
        <w:rPr/>
        <w:t>medicine</w:t>
      </w:r>
      <w:r>
        <w:rPr>
          <w:spacing w:val="-7"/>
        </w:rPr>
        <w:t> </w:t>
      </w:r>
      <w:r>
        <w:rPr/>
        <w:t>with</w:t>
      </w:r>
      <w:r>
        <w:rPr>
          <w:spacing w:val="-5"/>
        </w:rPr>
        <w:t> </w:t>
      </w:r>
      <w:r>
        <w:rPr/>
        <w:t>the</w:t>
      </w:r>
      <w:r>
        <w:rPr>
          <w:spacing w:val="-6"/>
        </w:rPr>
        <w:t> </w:t>
      </w:r>
      <w:r>
        <w:rPr/>
        <w:t>fewest</w:t>
      </w:r>
      <w:r>
        <w:rPr>
          <w:spacing w:val="-7"/>
        </w:rPr>
        <w:t> </w:t>
      </w:r>
      <w:r>
        <w:rPr/>
        <w:t>side</w:t>
      </w:r>
      <w:r>
        <w:rPr>
          <w:spacing w:val="-7"/>
        </w:rPr>
        <w:t> </w:t>
      </w:r>
      <w:r>
        <w:rPr/>
        <w:t>effects.</w:t>
      </w:r>
      <w:r>
        <w:rPr>
          <w:spacing w:val="-5"/>
        </w:rPr>
        <w:t> </w:t>
      </w:r>
      <w:r>
        <w:rPr/>
        <w:t>The</w:t>
      </w:r>
      <w:r>
        <w:rPr>
          <w:spacing w:val="-6"/>
        </w:rPr>
        <w:t> </w:t>
      </w:r>
      <w:r>
        <w:rPr/>
        <w:t>famous 'Stuttgart Study', which documented the treatment success of 15,000 heart pa- tients over 40 years, observed a reduction in the number of deaths from 130 (patients previously treated with conventional heart medication) to 0 (patients treated with strophanthin) and reinfarction was reduced from 530 (with con- ventional</w:t>
      </w:r>
      <w:r>
        <w:rPr>
          <w:spacing w:val="-10"/>
        </w:rPr>
        <w:t> </w:t>
      </w:r>
      <w:r>
        <w:rPr/>
        <w:t>medicine)</w:t>
      </w:r>
      <w:r>
        <w:rPr>
          <w:spacing w:val="-10"/>
        </w:rPr>
        <w:t> </w:t>
      </w:r>
      <w:r>
        <w:rPr/>
        <w:t>to</w:t>
      </w:r>
      <w:r>
        <w:rPr>
          <w:spacing w:val="-8"/>
        </w:rPr>
        <w:t> </w:t>
      </w:r>
      <w:r>
        <w:rPr/>
        <w:t>20</w:t>
      </w:r>
      <w:r>
        <w:rPr>
          <w:spacing w:val="-10"/>
        </w:rPr>
        <w:t> </w:t>
      </w:r>
      <w:r>
        <w:rPr/>
        <w:t>minor</w:t>
      </w:r>
      <w:r>
        <w:rPr>
          <w:spacing w:val="-8"/>
        </w:rPr>
        <w:t> </w:t>
      </w:r>
      <w:r>
        <w:rPr/>
        <w:t>reinfarctions</w:t>
      </w:r>
      <w:r>
        <w:rPr>
          <w:spacing w:val="-9"/>
        </w:rPr>
        <w:t> </w:t>
      </w:r>
      <w:r>
        <w:rPr/>
        <w:t>when</w:t>
      </w:r>
      <w:r>
        <w:rPr>
          <w:spacing w:val="-8"/>
        </w:rPr>
        <w:t> </w:t>
      </w:r>
      <w:r>
        <w:rPr/>
        <w:t>treated</w:t>
      </w:r>
      <w:r>
        <w:rPr>
          <w:spacing w:val="-8"/>
        </w:rPr>
        <w:t> </w:t>
      </w:r>
      <w:r>
        <w:rPr/>
        <w:t>with</w:t>
      </w:r>
      <w:r>
        <w:rPr>
          <w:spacing w:val="-9"/>
        </w:rPr>
        <w:t> </w:t>
      </w:r>
      <w:r>
        <w:rPr/>
        <w:t>strophanthin.</w:t>
      </w:r>
    </w:p>
    <w:p>
      <w:pPr>
        <w:pStyle w:val="BodyText"/>
        <w:spacing w:line="276" w:lineRule="auto" w:before="241"/>
        <w:ind w:left="616" w:right="132"/>
        <w:jc w:val="both"/>
        <w:rPr>
          <w:sz w:val="25"/>
        </w:rPr>
      </w:pPr>
      <w:r>
        <w:rPr/>
        <w:t>The hardened critic may argue that studies can be influenced and falsified. However, the survey of 3,650 doctors from 1984 who used strophanthin in treatments</w:t>
      </w:r>
      <w:r>
        <w:rPr>
          <w:spacing w:val="-6"/>
        </w:rPr>
        <w:t> </w:t>
      </w:r>
      <w:r>
        <w:rPr/>
        <w:t>should</w:t>
      </w:r>
      <w:r>
        <w:rPr>
          <w:spacing w:val="-7"/>
        </w:rPr>
        <w:t> </w:t>
      </w:r>
      <w:r>
        <w:rPr/>
        <w:t>silence</w:t>
      </w:r>
      <w:r>
        <w:rPr>
          <w:spacing w:val="-5"/>
        </w:rPr>
        <w:t> </w:t>
      </w:r>
      <w:r>
        <w:rPr/>
        <w:t>all</w:t>
      </w:r>
      <w:r>
        <w:rPr>
          <w:spacing w:val="-7"/>
        </w:rPr>
        <w:t> </w:t>
      </w:r>
      <w:r>
        <w:rPr/>
        <w:t>the</w:t>
      </w:r>
      <w:r>
        <w:rPr>
          <w:spacing w:val="-6"/>
        </w:rPr>
        <w:t> </w:t>
      </w:r>
      <w:r>
        <w:rPr/>
        <w:t>critics</w:t>
      </w:r>
      <w:r>
        <w:rPr>
          <w:spacing w:val="-6"/>
        </w:rPr>
        <w:t> </w:t>
      </w:r>
      <w:r>
        <w:rPr/>
        <w:t>–</w:t>
      </w:r>
      <w:r>
        <w:rPr>
          <w:spacing w:val="-6"/>
        </w:rPr>
        <w:t> </w:t>
      </w:r>
      <w:r>
        <w:rPr/>
        <w:t>98</w:t>
      </w:r>
      <w:r>
        <w:rPr>
          <w:spacing w:val="-7"/>
        </w:rPr>
        <w:t> </w:t>
      </w:r>
      <w:r>
        <w:rPr/>
        <w:t>%</w:t>
      </w:r>
      <w:r>
        <w:rPr>
          <w:spacing w:val="-6"/>
        </w:rPr>
        <w:t> </w:t>
      </w:r>
      <w:r>
        <w:rPr/>
        <w:t>of</w:t>
      </w:r>
      <w:r>
        <w:rPr>
          <w:spacing w:val="-7"/>
        </w:rPr>
        <w:t> </w:t>
      </w:r>
      <w:r>
        <w:rPr/>
        <w:t>the</w:t>
      </w:r>
      <w:r>
        <w:rPr>
          <w:spacing w:val="-5"/>
        </w:rPr>
        <w:t> </w:t>
      </w:r>
      <w:r>
        <w:rPr/>
        <w:t>3650</w:t>
      </w:r>
      <w:r>
        <w:rPr>
          <w:spacing w:val="-7"/>
        </w:rPr>
        <w:t> </w:t>
      </w:r>
      <w:r>
        <w:rPr/>
        <w:t>doctors</w:t>
      </w:r>
      <w:r>
        <w:rPr>
          <w:spacing w:val="-5"/>
        </w:rPr>
        <w:t> </w:t>
      </w:r>
      <w:r>
        <w:rPr/>
        <w:t>questioned attested to the extreme effectiveness of strophanthin, the remaining 2 % still attributed</w:t>
      </w:r>
      <w:r>
        <w:rPr>
          <w:spacing w:val="-25"/>
        </w:rPr>
        <w:t> </w:t>
      </w:r>
      <w:r>
        <w:rPr/>
        <w:t>a</w:t>
      </w:r>
      <w:r>
        <w:rPr>
          <w:spacing w:val="-25"/>
        </w:rPr>
        <w:t> </w:t>
      </w:r>
      <w:r>
        <w:rPr/>
        <w:t>limited</w:t>
      </w:r>
      <w:r>
        <w:rPr>
          <w:spacing w:val="-22"/>
        </w:rPr>
        <w:t> </w:t>
      </w:r>
      <w:r>
        <w:rPr/>
        <w:t>effectiveness</w:t>
      </w:r>
      <w:r>
        <w:rPr>
          <w:spacing w:val="-27"/>
        </w:rPr>
        <w:t> </w:t>
      </w:r>
      <w:r>
        <w:rPr/>
        <w:t>to</w:t>
      </w:r>
      <w:r>
        <w:rPr>
          <w:spacing w:val="-22"/>
        </w:rPr>
        <w:t> </w:t>
      </w:r>
      <w:r>
        <w:rPr/>
        <w:t>strophanthin</w:t>
      </w:r>
      <w:r>
        <w:rPr>
          <w:spacing w:val="-28"/>
        </w:rPr>
        <w:t> </w:t>
      </w:r>
      <w:r>
        <w:rPr/>
        <w:t>and</w:t>
      </w:r>
      <w:r>
        <w:rPr>
          <w:spacing w:val="-23"/>
        </w:rPr>
        <w:t> </w:t>
      </w:r>
      <w:r>
        <w:rPr/>
        <w:t>none</w:t>
      </w:r>
      <w:r>
        <w:rPr>
          <w:spacing w:val="-25"/>
        </w:rPr>
        <w:t> </w:t>
      </w:r>
      <w:r>
        <w:rPr/>
        <w:t>(0</w:t>
      </w:r>
      <w:r>
        <w:rPr>
          <w:spacing w:val="-27"/>
        </w:rPr>
        <w:t> </w:t>
      </w:r>
      <w:r>
        <w:rPr/>
        <w:t>%)</w:t>
      </w:r>
      <w:r>
        <w:rPr>
          <w:spacing w:val="-26"/>
        </w:rPr>
        <w:t> </w:t>
      </w:r>
      <w:r>
        <w:rPr/>
        <w:t>of</w:t>
      </w:r>
      <w:r>
        <w:rPr>
          <w:spacing w:val="-23"/>
        </w:rPr>
        <w:t> </w:t>
      </w:r>
      <w:r>
        <w:rPr/>
        <w:t>the</w:t>
      </w:r>
      <w:r>
        <w:rPr>
          <w:spacing w:val="-25"/>
        </w:rPr>
        <w:t> </w:t>
      </w:r>
      <w:r>
        <w:rPr/>
        <w:t>doctors questioned in the survey doubted or denied the effectiveness of strophan- thin!</w:t>
      </w:r>
      <w:r>
        <w:rPr>
          <w:position w:val="9"/>
          <w:sz w:val="25"/>
        </w:rPr>
        <w:t>894</w:t>
      </w:r>
    </w:p>
    <w:p>
      <w:pPr>
        <w:pStyle w:val="Heading1"/>
        <w:ind w:left="616"/>
      </w:pPr>
      <w:r>
        <w:rPr/>
        <w:t>Strophanthin - one of the body's own hormones</w:t>
      </w:r>
    </w:p>
    <w:p>
      <w:pPr>
        <w:pStyle w:val="BodyText"/>
        <w:spacing w:line="276" w:lineRule="auto" w:before="299"/>
        <w:ind w:left="616" w:right="133"/>
        <w:jc w:val="both"/>
      </w:pPr>
      <w:r>
        <w:rPr/>
        <w:t>Prof.</w:t>
      </w:r>
      <w:r>
        <w:rPr>
          <w:spacing w:val="-10"/>
        </w:rPr>
        <w:t> </w:t>
      </w:r>
      <w:r>
        <w:rPr/>
        <w:t>Schoner</w:t>
      </w:r>
      <w:r>
        <w:rPr>
          <w:spacing w:val="-11"/>
        </w:rPr>
        <w:t> </w:t>
      </w:r>
      <w:r>
        <w:rPr/>
        <w:t>from</w:t>
      </w:r>
      <w:r>
        <w:rPr>
          <w:spacing w:val="-9"/>
        </w:rPr>
        <w:t> </w:t>
      </w:r>
      <w:r>
        <w:rPr/>
        <w:t>the</w:t>
      </w:r>
      <w:r>
        <w:rPr>
          <w:spacing w:val="-11"/>
        </w:rPr>
        <w:t> </w:t>
      </w:r>
      <w:r>
        <w:rPr/>
        <w:t>University</w:t>
      </w:r>
      <w:r>
        <w:rPr>
          <w:spacing w:val="-11"/>
        </w:rPr>
        <w:t> </w:t>
      </w:r>
      <w:r>
        <w:rPr/>
        <w:t>of</w:t>
      </w:r>
      <w:r>
        <w:rPr>
          <w:spacing w:val="-9"/>
        </w:rPr>
        <w:t> </w:t>
      </w:r>
      <w:r>
        <w:rPr/>
        <w:t>Giessen</w:t>
      </w:r>
      <w:r>
        <w:rPr>
          <w:spacing w:val="-10"/>
        </w:rPr>
        <w:t> </w:t>
      </w:r>
      <w:r>
        <w:rPr/>
        <w:t>succeeded,</w:t>
      </w:r>
      <w:r>
        <w:rPr>
          <w:spacing w:val="-9"/>
        </w:rPr>
        <w:t> </w:t>
      </w:r>
      <w:r>
        <w:rPr/>
        <w:t>between</w:t>
      </w:r>
      <w:r>
        <w:rPr>
          <w:spacing w:val="-10"/>
        </w:rPr>
        <w:t> </w:t>
      </w:r>
      <w:r>
        <w:rPr/>
        <w:t>1999–2003, in proving that strophanthin, or more precisely, g-strophanthin, concerned</w:t>
      </w:r>
      <w:r>
        <w:rPr>
          <w:spacing w:val="-15"/>
        </w:rPr>
        <w:t> </w:t>
      </w:r>
      <w:r>
        <w:rPr/>
        <w:t>an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5"/>
        </w:rPr>
      </w:pPr>
      <w:r>
        <w:rPr/>
        <w:pict>
          <v:line style="position:absolute;mso-position-horizontal-relative:page;mso-position-vertical-relative:paragraph;z-index:12512;mso-wrap-distance-left:0;mso-wrap-distance-right:0" from="70.823997pt,16.787516pt" to="214.843997pt,16.787516pt" stroked="true" strokeweight=".71997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894 </w:t>
      </w:r>
      <w:hyperlink r:id="rId380">
        <w:r>
          <w:rPr>
            <w:sz w:val="20"/>
          </w:rPr>
          <w:t>http://www.strophantus.de/was-ist-strophantin.html</w:t>
        </w:r>
      </w:hyperlink>
    </w:p>
    <w:p>
      <w:pPr>
        <w:spacing w:after="0"/>
        <w:jc w:val="left"/>
        <w:rPr>
          <w:sz w:val="20"/>
        </w:rPr>
        <w:sectPr>
          <w:pgSz w:w="14270" w:h="16850"/>
          <w:pgMar w:header="0" w:footer="1891" w:top="1340" w:bottom="2080" w:left="800" w:right="1280"/>
        </w:sectPr>
      </w:pPr>
    </w:p>
    <w:p>
      <w:pPr>
        <w:pStyle w:val="BodyText"/>
        <w:spacing w:line="276" w:lineRule="auto" w:before="72"/>
        <w:ind w:left="616" w:right="133"/>
        <w:jc w:val="both"/>
      </w:pPr>
      <w:r>
        <w:rPr/>
        <w:t>endogenous hormone in our circulatory system which is released during</w:t>
      </w:r>
      <w:r>
        <w:rPr>
          <w:spacing w:val="-55"/>
        </w:rPr>
        <w:t> </w:t>
      </w:r>
      <w:r>
        <w:rPr/>
        <w:t>phys- iological stress in the appropriate required dose, similarly to insulin.</w:t>
      </w:r>
      <w:r>
        <w:rPr>
          <w:position w:val="9"/>
          <w:sz w:val="25"/>
        </w:rPr>
        <w:t>895 </w:t>
      </w:r>
      <w:r>
        <w:rPr/>
        <w:t>There- fore, strophanthin is produced by the body if the heart requires increased ox- ygen, for example, during sport.</w:t>
      </w:r>
    </w:p>
    <w:p>
      <w:pPr>
        <w:pStyle w:val="BodyText"/>
        <w:spacing w:line="278" w:lineRule="auto" w:before="241"/>
        <w:ind w:left="616" w:right="133"/>
        <w:jc w:val="both"/>
      </w:pPr>
      <w:r>
        <w:rPr/>
        <w:t>Apparently,</w:t>
      </w:r>
      <w:r>
        <w:rPr>
          <w:spacing w:val="-25"/>
        </w:rPr>
        <w:t> </w:t>
      </w:r>
      <w:r>
        <w:rPr/>
        <w:t>g-strophanthin</w:t>
      </w:r>
      <w:r>
        <w:rPr>
          <w:spacing w:val="-27"/>
        </w:rPr>
        <w:t> </w:t>
      </w:r>
      <w:r>
        <w:rPr/>
        <w:t>stimulates</w:t>
      </w:r>
      <w:r>
        <w:rPr>
          <w:spacing w:val="-24"/>
        </w:rPr>
        <w:t> </w:t>
      </w:r>
      <w:r>
        <w:rPr/>
        <w:t>the</w:t>
      </w:r>
      <w:r>
        <w:rPr>
          <w:spacing w:val="-27"/>
        </w:rPr>
        <w:t> </w:t>
      </w:r>
      <w:r>
        <w:rPr/>
        <w:t>sodium-potassium</w:t>
      </w:r>
      <w:r>
        <w:rPr>
          <w:spacing w:val="-25"/>
        </w:rPr>
        <w:t> </w:t>
      </w:r>
      <w:r>
        <w:rPr/>
        <w:t>pump</w:t>
      </w:r>
      <w:r>
        <w:rPr>
          <w:spacing w:val="-24"/>
        </w:rPr>
        <w:t> </w:t>
      </w:r>
      <w:r>
        <w:rPr/>
        <w:t>which</w:t>
      </w:r>
      <w:r>
        <w:rPr>
          <w:spacing w:val="-26"/>
        </w:rPr>
        <w:t> </w:t>
      </w:r>
      <w:r>
        <w:rPr/>
        <w:t>sup- ports the heart’s metabolic process and protects it from</w:t>
      </w:r>
      <w:r>
        <w:rPr>
          <w:spacing w:val="-12"/>
        </w:rPr>
        <w:t> </w:t>
      </w:r>
      <w:r>
        <w:rPr/>
        <w:t>overexertion.</w:t>
      </w:r>
    </w:p>
    <w:p>
      <w:pPr>
        <w:pStyle w:val="BodyText"/>
        <w:spacing w:line="276" w:lineRule="auto" w:before="233"/>
        <w:ind w:left="616" w:right="132"/>
        <w:jc w:val="both"/>
      </w:pPr>
      <w:r>
        <w:rPr/>
        <w:t>In addition to its heart-strengthening effect, strophanthin demonstrates a fur- ther important function, namely deacidification of the heart muscle. Many</w:t>
      </w:r>
      <w:r>
        <w:rPr>
          <w:spacing w:val="-66"/>
        </w:rPr>
        <w:t> </w:t>
      </w:r>
      <w:r>
        <w:rPr/>
        <w:t>sci- entists across the world consider acidification g of our entire organism due to incorrect nutrition, stress and other factors – and consequently also the acidi- fication of the cardiac muscles – to be the actual reason for heart attacks and strokes.</w:t>
      </w:r>
    </w:p>
    <w:p>
      <w:pPr>
        <w:pStyle w:val="BodyText"/>
        <w:spacing w:before="240"/>
        <w:ind w:left="616"/>
      </w:pPr>
      <w:r>
        <w:rPr/>
        <w:t>The left inner layer of our heart, which is at particular risk, has a pH value of</w:t>
      </w:r>
    </w:p>
    <w:p>
      <w:pPr>
        <w:pStyle w:val="BodyText"/>
        <w:spacing w:line="276" w:lineRule="auto" w:before="62"/>
        <w:ind w:left="616" w:right="147"/>
        <w:jc w:val="both"/>
      </w:pPr>
      <w:r>
        <w:rPr/>
        <w:t>7.2 in a healthy person. In a person suffering from a heart condition it shows a value of 6.8 – and the threshold for an attack is a pH value of 6.8.</w:t>
      </w:r>
    </w:p>
    <w:p>
      <w:pPr>
        <w:pStyle w:val="BodyText"/>
        <w:spacing w:line="276" w:lineRule="auto" w:before="241"/>
        <w:ind w:left="616" w:right="132"/>
        <w:jc w:val="both"/>
      </w:pPr>
      <w:r>
        <w:rPr/>
        <w:t>Stimulation of the cellular sodium-potassium ATPase by strophanthin, which helps</w:t>
      </w:r>
      <w:r>
        <w:rPr>
          <w:spacing w:val="-20"/>
        </w:rPr>
        <w:t> </w:t>
      </w:r>
      <w:r>
        <w:rPr/>
        <w:t>to</w:t>
      </w:r>
      <w:r>
        <w:rPr>
          <w:spacing w:val="-21"/>
        </w:rPr>
        <w:t> </w:t>
      </w:r>
      <w:r>
        <w:rPr/>
        <w:t>pump</w:t>
      </w:r>
      <w:r>
        <w:rPr>
          <w:spacing w:val="-20"/>
        </w:rPr>
        <w:t> </w:t>
      </w:r>
      <w:r>
        <w:rPr/>
        <w:t>the</w:t>
      </w:r>
      <w:r>
        <w:rPr>
          <w:spacing w:val="-20"/>
        </w:rPr>
        <w:t> </w:t>
      </w:r>
      <w:r>
        <w:rPr/>
        <w:t>sodium</w:t>
      </w:r>
      <w:r>
        <w:rPr>
          <w:spacing w:val="-21"/>
        </w:rPr>
        <w:t> </w:t>
      </w:r>
      <w:r>
        <w:rPr/>
        <w:t>out</w:t>
      </w:r>
      <w:r>
        <w:rPr>
          <w:spacing w:val="-21"/>
        </w:rPr>
        <w:t> </w:t>
      </w:r>
      <w:r>
        <w:rPr/>
        <w:t>of</w:t>
      </w:r>
      <w:r>
        <w:rPr>
          <w:spacing w:val="-21"/>
        </w:rPr>
        <w:t> </w:t>
      </w:r>
      <w:r>
        <w:rPr/>
        <w:t>the</w:t>
      </w:r>
      <w:r>
        <w:rPr>
          <w:spacing w:val="-20"/>
        </w:rPr>
        <w:t> </w:t>
      </w:r>
      <w:r>
        <w:rPr/>
        <w:t>cells</w:t>
      </w:r>
      <w:r>
        <w:rPr>
          <w:spacing w:val="-20"/>
        </w:rPr>
        <w:t> </w:t>
      </w:r>
      <w:r>
        <w:rPr/>
        <w:t>while</w:t>
      </w:r>
      <w:r>
        <w:rPr>
          <w:spacing w:val="-22"/>
        </w:rPr>
        <w:t> </w:t>
      </w:r>
      <w:r>
        <w:rPr/>
        <w:t>simultaneously</w:t>
      </w:r>
      <w:r>
        <w:rPr>
          <w:spacing w:val="-22"/>
        </w:rPr>
        <w:t> </w:t>
      </w:r>
      <w:r>
        <w:rPr/>
        <w:t>supplying</w:t>
      </w:r>
      <w:r>
        <w:rPr>
          <w:spacing w:val="-20"/>
        </w:rPr>
        <w:t> </w:t>
      </w:r>
      <w:r>
        <w:rPr/>
        <w:t>them with</w:t>
      </w:r>
      <w:r>
        <w:rPr>
          <w:spacing w:val="-16"/>
        </w:rPr>
        <w:t> </w:t>
      </w:r>
      <w:r>
        <w:rPr/>
        <w:t>potassium,</w:t>
      </w:r>
      <w:r>
        <w:rPr>
          <w:spacing w:val="-16"/>
        </w:rPr>
        <w:t> </w:t>
      </w:r>
      <w:r>
        <w:rPr/>
        <w:t>is</w:t>
      </w:r>
      <w:r>
        <w:rPr>
          <w:spacing w:val="-16"/>
        </w:rPr>
        <w:t> </w:t>
      </w:r>
      <w:r>
        <w:rPr/>
        <w:t>of</w:t>
      </w:r>
      <w:r>
        <w:rPr>
          <w:spacing w:val="-16"/>
        </w:rPr>
        <w:t> </w:t>
      </w:r>
      <w:r>
        <w:rPr/>
        <w:t>significant</w:t>
      </w:r>
      <w:r>
        <w:rPr>
          <w:spacing w:val="-16"/>
        </w:rPr>
        <w:t> </w:t>
      </w:r>
      <w:r>
        <w:rPr/>
        <w:t>importance</w:t>
      </w:r>
      <w:r>
        <w:rPr>
          <w:spacing w:val="-16"/>
        </w:rPr>
        <w:t> </w:t>
      </w:r>
      <w:r>
        <w:rPr/>
        <w:t>for</w:t>
      </w:r>
      <w:r>
        <w:rPr>
          <w:spacing w:val="-17"/>
        </w:rPr>
        <w:t> </w:t>
      </w:r>
      <w:r>
        <w:rPr/>
        <w:t>many</w:t>
      </w:r>
      <w:r>
        <w:rPr>
          <w:spacing w:val="-16"/>
        </w:rPr>
        <w:t> </w:t>
      </w:r>
      <w:r>
        <w:rPr/>
        <w:t>basic</w:t>
      </w:r>
      <w:r>
        <w:rPr>
          <w:spacing w:val="-16"/>
        </w:rPr>
        <w:t> </w:t>
      </w:r>
      <w:r>
        <w:rPr/>
        <w:t>heart</w:t>
      </w:r>
      <w:r>
        <w:rPr>
          <w:spacing w:val="-17"/>
        </w:rPr>
        <w:t> </w:t>
      </w:r>
      <w:r>
        <w:rPr/>
        <w:t>cell</w:t>
      </w:r>
      <w:r>
        <w:rPr>
          <w:spacing w:val="-16"/>
        </w:rPr>
        <w:t> </w:t>
      </w:r>
      <w:r>
        <w:rPr/>
        <w:t>functions</w:t>
      </w:r>
    </w:p>
    <w:p>
      <w:pPr>
        <w:pStyle w:val="BodyText"/>
        <w:rPr>
          <w:sz w:val="20"/>
        </w:rPr>
      </w:pPr>
    </w:p>
    <w:p>
      <w:pPr>
        <w:pStyle w:val="BodyText"/>
        <w:rPr>
          <w:sz w:val="20"/>
        </w:rPr>
      </w:pPr>
    </w:p>
    <w:p>
      <w:pPr>
        <w:pStyle w:val="BodyText"/>
        <w:spacing w:before="9"/>
        <w:rPr>
          <w:sz w:val="28"/>
        </w:rPr>
      </w:pPr>
      <w:r>
        <w:rPr/>
        <w:pict>
          <v:line style="position:absolute;mso-position-horizontal-relative:page;mso-position-vertical-relative:paragraph;z-index:12536;mso-wrap-distance-left:0;mso-wrap-distance-right:0" from="70.823997pt,18.556265pt" to="214.843997pt,18.556265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895 </w:t>
      </w:r>
      <w:r>
        <w:rPr>
          <w:sz w:val="20"/>
        </w:rPr>
        <w:t>Schoner, W. et al.: Ouabain as a Mammalian Hormone, Ann. N. Y. Acad.Sci. 2003, 986, pp. 678–684</w:t>
      </w:r>
    </w:p>
    <w:p>
      <w:pPr>
        <w:spacing w:after="0"/>
        <w:jc w:val="left"/>
        <w:rPr>
          <w:sz w:val="20"/>
        </w:rPr>
        <w:sectPr>
          <w:pgSz w:w="14270" w:h="16850"/>
          <w:pgMar w:header="0" w:footer="1891" w:top="1340" w:bottom="2080" w:left="800" w:right="1280"/>
        </w:sectPr>
      </w:pPr>
    </w:p>
    <w:p>
      <w:pPr>
        <w:pStyle w:val="BodyText"/>
        <w:spacing w:line="276" w:lineRule="auto" w:before="72"/>
        <w:ind w:left="616" w:right="137"/>
        <w:jc w:val="both"/>
      </w:pPr>
      <w:r>
        <w:rPr/>
        <w:t>and precipitates in cell deacidification which can decisively prevent a heart at- tack. Here, too, the deacidification of the organism is clearly a fundamental component of effective heart therapy!</w:t>
      </w:r>
    </w:p>
    <w:p>
      <w:pPr>
        <w:pStyle w:val="BodyText"/>
        <w:spacing w:line="276" w:lineRule="auto" w:before="241"/>
        <w:ind w:left="616" w:right="136"/>
        <w:jc w:val="both"/>
      </w:pPr>
      <w:r>
        <w:rPr/>
        <w:t>The red blood cells (erythrocytes), solidified by acids can reform again and enter the heart (and brain) through the smallest capillaries in order to supply them with oxygen (= prevent heart attacks and strokes).</w:t>
      </w:r>
    </w:p>
    <w:p>
      <w:pPr>
        <w:pStyle w:val="BodyText"/>
        <w:spacing w:line="276" w:lineRule="auto" w:before="242"/>
        <w:ind w:left="616" w:right="136"/>
        <w:jc w:val="both"/>
        <w:rPr>
          <w:sz w:val="25"/>
        </w:rPr>
      </w:pPr>
      <w:r>
        <w:rPr/>
        <w:t>Professor</w:t>
      </w:r>
      <w:r>
        <w:rPr>
          <w:spacing w:val="-9"/>
        </w:rPr>
        <w:t> </w:t>
      </w:r>
      <w:r>
        <w:rPr/>
        <w:t>Dr.</w:t>
      </w:r>
      <w:r>
        <w:rPr>
          <w:spacing w:val="-9"/>
        </w:rPr>
        <w:t> </w:t>
      </w:r>
      <w:r>
        <w:rPr/>
        <w:t>Sarre,</w:t>
      </w:r>
      <w:r>
        <w:rPr>
          <w:spacing w:val="-8"/>
        </w:rPr>
        <w:t> </w:t>
      </w:r>
      <w:r>
        <w:rPr/>
        <w:t>Director</w:t>
      </w:r>
      <w:r>
        <w:rPr>
          <w:spacing w:val="-9"/>
        </w:rPr>
        <w:t> </w:t>
      </w:r>
      <w:r>
        <w:rPr/>
        <w:t>of</w:t>
      </w:r>
      <w:r>
        <w:rPr>
          <w:spacing w:val="-7"/>
        </w:rPr>
        <w:t> </w:t>
      </w:r>
      <w:r>
        <w:rPr/>
        <w:t>the</w:t>
      </w:r>
      <w:r>
        <w:rPr>
          <w:spacing w:val="-6"/>
        </w:rPr>
        <w:t> </w:t>
      </w:r>
      <w:r>
        <w:rPr/>
        <w:t>Freiburg</w:t>
      </w:r>
      <w:r>
        <w:rPr>
          <w:spacing w:val="-9"/>
        </w:rPr>
        <w:t> </w:t>
      </w:r>
      <w:r>
        <w:rPr/>
        <w:t>Medical</w:t>
      </w:r>
      <w:r>
        <w:rPr>
          <w:spacing w:val="-9"/>
        </w:rPr>
        <w:t> </w:t>
      </w:r>
      <w:r>
        <w:rPr/>
        <w:t>University</w:t>
      </w:r>
      <w:r>
        <w:rPr>
          <w:spacing w:val="-8"/>
        </w:rPr>
        <w:t> </w:t>
      </w:r>
      <w:r>
        <w:rPr/>
        <w:t>Clinic</w:t>
      </w:r>
      <w:r>
        <w:rPr>
          <w:spacing w:val="-7"/>
        </w:rPr>
        <w:t> </w:t>
      </w:r>
      <w:r>
        <w:rPr/>
        <w:t>(Breis- gau),</w:t>
      </w:r>
      <w:r>
        <w:rPr>
          <w:spacing w:val="-16"/>
        </w:rPr>
        <w:t> </w:t>
      </w:r>
      <w:r>
        <w:rPr/>
        <w:t>furthermore,</w:t>
      </w:r>
      <w:r>
        <w:rPr>
          <w:spacing w:val="-15"/>
        </w:rPr>
        <w:t> </w:t>
      </w:r>
      <w:r>
        <w:rPr/>
        <w:t>considers</w:t>
      </w:r>
      <w:r>
        <w:rPr>
          <w:spacing w:val="-15"/>
        </w:rPr>
        <w:t> </w:t>
      </w:r>
      <w:r>
        <w:rPr/>
        <w:t>oxygen</w:t>
      </w:r>
      <w:r>
        <w:rPr>
          <w:spacing w:val="-14"/>
        </w:rPr>
        <w:t> </w:t>
      </w:r>
      <w:r>
        <w:rPr/>
        <w:t>supply</w:t>
      </w:r>
      <w:r>
        <w:rPr>
          <w:spacing w:val="-16"/>
        </w:rPr>
        <w:t> </w:t>
      </w:r>
      <w:r>
        <w:rPr/>
        <w:t>to</w:t>
      </w:r>
      <w:r>
        <w:rPr>
          <w:spacing w:val="-15"/>
        </w:rPr>
        <w:t> </w:t>
      </w:r>
      <w:r>
        <w:rPr/>
        <w:t>the</w:t>
      </w:r>
      <w:r>
        <w:rPr>
          <w:spacing w:val="-14"/>
        </w:rPr>
        <w:t> </w:t>
      </w:r>
      <w:r>
        <w:rPr/>
        <w:t>heart</w:t>
      </w:r>
      <w:r>
        <w:rPr>
          <w:spacing w:val="-16"/>
        </w:rPr>
        <w:t> </w:t>
      </w:r>
      <w:r>
        <w:rPr/>
        <w:t>as</w:t>
      </w:r>
      <w:r>
        <w:rPr>
          <w:spacing w:val="-16"/>
        </w:rPr>
        <w:t> </w:t>
      </w:r>
      <w:r>
        <w:rPr/>
        <w:t>decisive</w:t>
      </w:r>
      <w:r>
        <w:rPr>
          <w:spacing w:val="-15"/>
        </w:rPr>
        <w:t> </w:t>
      </w:r>
      <w:r>
        <w:rPr/>
        <w:t>for</w:t>
      </w:r>
      <w:r>
        <w:rPr>
          <w:spacing w:val="-14"/>
        </w:rPr>
        <w:t> </w:t>
      </w:r>
      <w:r>
        <w:rPr/>
        <w:t>the</w:t>
      </w:r>
      <w:r>
        <w:rPr>
          <w:spacing w:val="-14"/>
        </w:rPr>
        <w:t> </w:t>
      </w:r>
      <w:r>
        <w:rPr/>
        <w:t>suc- cess of</w:t>
      </w:r>
      <w:r>
        <w:rPr>
          <w:spacing w:val="-2"/>
        </w:rPr>
        <w:t> </w:t>
      </w:r>
      <w:r>
        <w:rPr/>
        <w:t>strophanthin.</w:t>
      </w:r>
      <w:r>
        <w:rPr>
          <w:position w:val="9"/>
          <w:sz w:val="25"/>
        </w:rPr>
        <w:t>896</w:t>
      </w:r>
    </w:p>
    <w:p>
      <w:pPr>
        <w:pStyle w:val="Heading2"/>
        <w:spacing w:before="238"/>
        <w:ind w:left="616"/>
        <w:jc w:val="both"/>
      </w:pPr>
      <w:r>
        <w:rPr/>
        <w:t>The effect of strophanthin can be summarised as follows:</w:t>
      </w:r>
    </w:p>
    <w:p>
      <w:pPr>
        <w:pStyle w:val="BodyText"/>
        <w:spacing w:line="276" w:lineRule="auto" w:before="305"/>
        <w:ind w:left="616" w:right="133"/>
        <w:jc w:val="both"/>
      </w:pPr>
      <w:r>
        <w:rPr/>
        <w:t>Strophanthin supports the heart’s metabolism, normalises its metabolic state and</w:t>
      </w:r>
      <w:r>
        <w:rPr>
          <w:spacing w:val="-19"/>
        </w:rPr>
        <w:t> </w:t>
      </w:r>
      <w:r>
        <w:rPr/>
        <w:t>thereby</w:t>
      </w:r>
      <w:r>
        <w:rPr>
          <w:spacing w:val="-19"/>
        </w:rPr>
        <w:t> </w:t>
      </w:r>
      <w:r>
        <w:rPr/>
        <w:t>protects</w:t>
      </w:r>
      <w:r>
        <w:rPr>
          <w:spacing w:val="-18"/>
        </w:rPr>
        <w:t> </w:t>
      </w:r>
      <w:r>
        <w:rPr/>
        <w:t>the</w:t>
      </w:r>
      <w:r>
        <w:rPr>
          <w:spacing w:val="-18"/>
        </w:rPr>
        <w:t> </w:t>
      </w:r>
      <w:r>
        <w:rPr/>
        <w:t>heart</w:t>
      </w:r>
      <w:r>
        <w:rPr>
          <w:spacing w:val="-19"/>
        </w:rPr>
        <w:t> </w:t>
      </w:r>
      <w:r>
        <w:rPr/>
        <w:t>muscles</w:t>
      </w:r>
      <w:r>
        <w:rPr>
          <w:spacing w:val="-18"/>
        </w:rPr>
        <w:t> </w:t>
      </w:r>
      <w:r>
        <w:rPr/>
        <w:t>during</w:t>
      </w:r>
      <w:r>
        <w:rPr>
          <w:spacing w:val="-18"/>
        </w:rPr>
        <w:t> </w:t>
      </w:r>
      <w:r>
        <w:rPr/>
        <w:t>overexertion.</w:t>
      </w:r>
      <w:r>
        <w:rPr>
          <w:spacing w:val="-18"/>
        </w:rPr>
        <w:t> </w:t>
      </w:r>
      <w:r>
        <w:rPr/>
        <w:t>The</w:t>
      </w:r>
      <w:r>
        <w:rPr>
          <w:spacing w:val="-18"/>
        </w:rPr>
        <w:t> </w:t>
      </w:r>
      <w:r>
        <w:rPr/>
        <w:t>concentration of</w:t>
      </w:r>
      <w:r>
        <w:rPr>
          <w:spacing w:val="-10"/>
        </w:rPr>
        <w:t> </w:t>
      </w:r>
      <w:r>
        <w:rPr/>
        <w:t>g-strophanthin</w:t>
      </w:r>
      <w:r>
        <w:rPr>
          <w:spacing w:val="-10"/>
        </w:rPr>
        <w:t> </w:t>
      </w:r>
      <w:r>
        <w:rPr/>
        <w:t>found</w:t>
      </w:r>
      <w:r>
        <w:rPr>
          <w:spacing w:val="-9"/>
        </w:rPr>
        <w:t> </w:t>
      </w:r>
      <w:r>
        <w:rPr/>
        <w:t>in</w:t>
      </w:r>
      <w:r>
        <w:rPr>
          <w:spacing w:val="-12"/>
        </w:rPr>
        <w:t> </w:t>
      </w:r>
      <w:r>
        <w:rPr/>
        <w:t>a</w:t>
      </w:r>
      <w:r>
        <w:rPr>
          <w:spacing w:val="-14"/>
        </w:rPr>
        <w:t> </w:t>
      </w:r>
      <w:r>
        <w:rPr/>
        <w:t>healthy</w:t>
      </w:r>
      <w:r>
        <w:rPr>
          <w:spacing w:val="-9"/>
        </w:rPr>
        <w:t> </w:t>
      </w:r>
      <w:r>
        <w:rPr/>
        <w:t>human</w:t>
      </w:r>
      <w:r>
        <w:rPr>
          <w:spacing w:val="-10"/>
        </w:rPr>
        <w:t> </w:t>
      </w:r>
      <w:r>
        <w:rPr/>
        <w:t>body</w:t>
      </w:r>
      <w:r>
        <w:rPr>
          <w:spacing w:val="-10"/>
        </w:rPr>
        <w:t> </w:t>
      </w:r>
      <w:r>
        <w:rPr/>
        <w:t>at</w:t>
      </w:r>
      <w:r>
        <w:rPr>
          <w:spacing w:val="-12"/>
        </w:rPr>
        <w:t> </w:t>
      </w:r>
      <w:r>
        <w:rPr/>
        <w:t>these</w:t>
      </w:r>
      <w:r>
        <w:rPr>
          <w:spacing w:val="-8"/>
        </w:rPr>
        <w:t> </w:t>
      </w:r>
      <w:r>
        <w:rPr/>
        <w:t>times</w:t>
      </w:r>
      <w:r>
        <w:rPr>
          <w:spacing w:val="-12"/>
        </w:rPr>
        <w:t> </w:t>
      </w:r>
      <w:r>
        <w:rPr/>
        <w:t>is</w:t>
      </w:r>
      <w:r>
        <w:rPr>
          <w:spacing w:val="-10"/>
        </w:rPr>
        <w:t> </w:t>
      </w:r>
      <w:r>
        <w:rPr/>
        <w:t>comparable to</w:t>
      </w:r>
      <w:r>
        <w:rPr>
          <w:spacing w:val="-18"/>
        </w:rPr>
        <w:t> </w:t>
      </w:r>
      <w:r>
        <w:rPr/>
        <w:t>the</w:t>
      </w:r>
      <w:r>
        <w:rPr>
          <w:spacing w:val="-16"/>
        </w:rPr>
        <w:t> </w:t>
      </w:r>
      <w:r>
        <w:rPr/>
        <w:t>amount</w:t>
      </w:r>
      <w:r>
        <w:rPr>
          <w:spacing w:val="-20"/>
        </w:rPr>
        <w:t> </w:t>
      </w:r>
      <w:r>
        <w:rPr/>
        <w:t>of</w:t>
      </w:r>
      <w:r>
        <w:rPr>
          <w:spacing w:val="-20"/>
        </w:rPr>
        <w:t> </w:t>
      </w:r>
      <w:r>
        <w:rPr/>
        <w:t>active</w:t>
      </w:r>
      <w:r>
        <w:rPr>
          <w:spacing w:val="-17"/>
        </w:rPr>
        <w:t> </w:t>
      </w:r>
      <w:r>
        <w:rPr/>
        <w:t>strophanthin</w:t>
      </w:r>
      <w:r>
        <w:rPr>
          <w:spacing w:val="-18"/>
        </w:rPr>
        <w:t> </w:t>
      </w:r>
      <w:r>
        <w:rPr/>
        <w:t>which</w:t>
      </w:r>
      <w:r>
        <w:rPr>
          <w:spacing w:val="-16"/>
        </w:rPr>
        <w:t> </w:t>
      </w:r>
      <w:r>
        <w:rPr/>
        <w:t>is</w:t>
      </w:r>
      <w:r>
        <w:rPr>
          <w:spacing w:val="-20"/>
        </w:rPr>
        <w:t> </w:t>
      </w:r>
      <w:r>
        <w:rPr/>
        <w:t>successfully</w:t>
      </w:r>
      <w:r>
        <w:rPr>
          <w:spacing w:val="-17"/>
        </w:rPr>
        <w:t> </w:t>
      </w:r>
      <w:r>
        <w:rPr/>
        <w:t>administered</w:t>
      </w:r>
      <w:r>
        <w:rPr>
          <w:spacing w:val="-18"/>
        </w:rPr>
        <w:t> </w:t>
      </w:r>
      <w:r>
        <w:rPr/>
        <w:t>during intravenous</w:t>
      </w:r>
      <w:r>
        <w:rPr>
          <w:spacing w:val="-1"/>
        </w:rPr>
        <w:t> </w:t>
      </w:r>
      <w:r>
        <w:rPr/>
        <w:t>treatment.</w:t>
      </w:r>
    </w:p>
    <w:p>
      <w:pPr>
        <w:pStyle w:val="Heading2"/>
        <w:spacing w:line="278" w:lineRule="auto" w:before="240"/>
        <w:ind w:left="616" w:right="143"/>
        <w:jc w:val="both"/>
      </w:pPr>
      <w:r>
        <w:rPr/>
        <w:t>Strophanthin has been proven to have an effect on several components in the organism:</w:t>
      </w:r>
    </w:p>
    <w:p>
      <w:pPr>
        <w:pStyle w:val="ListParagraph"/>
        <w:numPr>
          <w:ilvl w:val="0"/>
          <w:numId w:val="120"/>
        </w:numPr>
        <w:tabs>
          <w:tab w:pos="1032" w:val="left" w:leader="none"/>
        </w:tabs>
        <w:spacing w:line="240" w:lineRule="auto" w:before="193" w:after="0"/>
        <w:ind w:left="899" w:right="0" w:hanging="283"/>
        <w:jc w:val="both"/>
        <w:rPr>
          <w:sz w:val="38"/>
        </w:rPr>
      </w:pPr>
      <w:r>
        <w:rPr>
          <w:sz w:val="38"/>
        </w:rPr>
        <w:t>the heart muscle</w:t>
      </w:r>
      <w:r>
        <w:rPr>
          <w:spacing w:val="-2"/>
          <w:sz w:val="38"/>
        </w:rPr>
        <w:t> </w:t>
      </w:r>
      <w:r>
        <w:rPr>
          <w:sz w:val="38"/>
        </w:rPr>
        <w:t>(myocardium),</w:t>
      </w:r>
    </w:p>
    <w:p>
      <w:pPr>
        <w:pStyle w:val="BodyText"/>
        <w:rPr>
          <w:sz w:val="20"/>
        </w:rPr>
      </w:pPr>
    </w:p>
    <w:p>
      <w:pPr>
        <w:pStyle w:val="BodyText"/>
        <w:spacing w:before="8"/>
        <w:rPr>
          <w:sz w:val="12"/>
        </w:rPr>
      </w:pPr>
      <w:r>
        <w:rPr/>
        <w:pict>
          <v:line style="position:absolute;mso-position-horizontal-relative:page;mso-position-vertical-relative:paragraph;z-index:12560;mso-wrap-distance-left:0;mso-wrap-distance-right:0" from="70.823997pt,9.548745pt" to="214.843997pt,9.548745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896 </w:t>
      </w:r>
      <w:hyperlink r:id="rId385">
        <w:r>
          <w:rPr>
            <w:sz w:val="20"/>
          </w:rPr>
          <w:t>http://www.strophantus.de/mediapool/59/596780/data/Sarre.pdf</w:t>
        </w:r>
      </w:hyperlink>
    </w:p>
    <w:p>
      <w:pPr>
        <w:spacing w:after="0"/>
        <w:jc w:val="left"/>
        <w:rPr>
          <w:sz w:val="20"/>
        </w:rPr>
        <w:sectPr>
          <w:footerReference w:type="default" r:id="rId384"/>
          <w:pgSz w:w="14270" w:h="16850"/>
          <w:pgMar w:footer="1891" w:header="0" w:top="1340" w:bottom="2080" w:left="800" w:right="1280"/>
          <w:pgNumType w:start="1630"/>
        </w:sectPr>
      </w:pPr>
    </w:p>
    <w:p>
      <w:pPr>
        <w:pStyle w:val="ListParagraph"/>
        <w:numPr>
          <w:ilvl w:val="0"/>
          <w:numId w:val="120"/>
        </w:numPr>
        <w:tabs>
          <w:tab w:pos="1031" w:val="left" w:leader="none"/>
          <w:tab w:pos="1032" w:val="left" w:leader="none"/>
        </w:tabs>
        <w:spacing w:line="240" w:lineRule="auto" w:before="53" w:after="0"/>
        <w:ind w:left="899" w:right="0" w:hanging="283"/>
        <w:jc w:val="left"/>
        <w:rPr>
          <w:sz w:val="38"/>
        </w:rPr>
      </w:pPr>
      <w:r>
        <w:rPr>
          <w:sz w:val="38"/>
        </w:rPr>
        <w:t>the</w:t>
      </w:r>
      <w:r>
        <w:rPr>
          <w:spacing w:val="-2"/>
          <w:sz w:val="38"/>
        </w:rPr>
        <w:t> </w:t>
      </w:r>
      <w:r>
        <w:rPr>
          <w:sz w:val="38"/>
        </w:rPr>
        <w:t>arteries,</w:t>
      </w:r>
    </w:p>
    <w:p>
      <w:pPr>
        <w:pStyle w:val="ListParagraph"/>
        <w:numPr>
          <w:ilvl w:val="0"/>
          <w:numId w:val="120"/>
        </w:numPr>
        <w:tabs>
          <w:tab w:pos="1031" w:val="left" w:leader="none"/>
          <w:tab w:pos="1032" w:val="left" w:leader="none"/>
        </w:tabs>
        <w:spacing w:line="273" w:lineRule="auto" w:before="186" w:after="0"/>
        <w:ind w:left="998" w:right="6333" w:hanging="382"/>
        <w:jc w:val="left"/>
        <w:rPr>
          <w:sz w:val="38"/>
        </w:rPr>
      </w:pPr>
      <w:r>
        <w:rPr>
          <w:sz w:val="38"/>
        </w:rPr>
        <w:t>the red blood cells (erythrocytes) and</w:t>
      </w:r>
    </w:p>
    <w:p>
      <w:pPr>
        <w:pStyle w:val="ListParagraph"/>
        <w:numPr>
          <w:ilvl w:val="0"/>
          <w:numId w:val="120"/>
        </w:numPr>
        <w:tabs>
          <w:tab w:pos="1031" w:val="left" w:leader="none"/>
          <w:tab w:pos="1032" w:val="left" w:leader="none"/>
        </w:tabs>
        <w:spacing w:line="240" w:lineRule="auto" w:before="7" w:after="0"/>
        <w:ind w:left="899" w:right="0" w:hanging="283"/>
        <w:jc w:val="left"/>
        <w:rPr>
          <w:sz w:val="38"/>
        </w:rPr>
      </w:pPr>
      <w:r>
        <w:rPr>
          <w:sz w:val="38"/>
        </w:rPr>
        <w:t>the nervous</w:t>
      </w:r>
      <w:r>
        <w:rPr>
          <w:spacing w:val="-4"/>
          <w:sz w:val="38"/>
        </w:rPr>
        <w:t> </w:t>
      </w:r>
      <w:r>
        <w:rPr>
          <w:sz w:val="38"/>
        </w:rPr>
        <w:t>system.</w:t>
      </w:r>
    </w:p>
    <w:p>
      <w:pPr>
        <w:pStyle w:val="BodyText"/>
        <w:spacing w:line="276" w:lineRule="auto" w:before="303"/>
        <w:ind w:left="616" w:right="136"/>
        <w:jc w:val="both"/>
      </w:pPr>
      <w:r>
        <w:rPr/>
        <w:t>Extensive</w:t>
      </w:r>
      <w:r>
        <w:rPr>
          <w:spacing w:val="-12"/>
        </w:rPr>
        <w:t> </w:t>
      </w:r>
      <w:r>
        <w:rPr/>
        <w:t>research</w:t>
      </w:r>
      <w:r>
        <w:rPr>
          <w:spacing w:val="-11"/>
        </w:rPr>
        <w:t> </w:t>
      </w:r>
      <w:r>
        <w:rPr/>
        <w:t>has</w:t>
      </w:r>
      <w:r>
        <w:rPr>
          <w:spacing w:val="-12"/>
        </w:rPr>
        <w:t> </w:t>
      </w:r>
      <w:r>
        <w:rPr/>
        <w:t>not</w:t>
      </w:r>
      <w:r>
        <w:rPr>
          <w:spacing w:val="-12"/>
        </w:rPr>
        <w:t> </w:t>
      </w:r>
      <w:r>
        <w:rPr/>
        <w:t>yet</w:t>
      </w:r>
      <w:r>
        <w:rPr>
          <w:spacing w:val="-14"/>
        </w:rPr>
        <w:t> </w:t>
      </w:r>
      <w:r>
        <w:rPr/>
        <w:t>been</w:t>
      </w:r>
      <w:r>
        <w:rPr>
          <w:spacing w:val="-10"/>
        </w:rPr>
        <w:t> </w:t>
      </w:r>
      <w:r>
        <w:rPr/>
        <w:t>carried</w:t>
      </w:r>
      <w:r>
        <w:rPr>
          <w:spacing w:val="-12"/>
        </w:rPr>
        <w:t> </w:t>
      </w:r>
      <w:r>
        <w:rPr/>
        <w:t>out</w:t>
      </w:r>
      <w:r>
        <w:rPr>
          <w:spacing w:val="-12"/>
        </w:rPr>
        <w:t> </w:t>
      </w:r>
      <w:r>
        <w:rPr/>
        <w:t>as</w:t>
      </w:r>
      <w:r>
        <w:rPr>
          <w:spacing w:val="-11"/>
        </w:rPr>
        <w:t> </w:t>
      </w:r>
      <w:r>
        <w:rPr/>
        <w:t>to</w:t>
      </w:r>
      <w:r>
        <w:rPr>
          <w:spacing w:val="-11"/>
        </w:rPr>
        <w:t> </w:t>
      </w:r>
      <w:r>
        <w:rPr/>
        <w:t>why</w:t>
      </w:r>
      <w:r>
        <w:rPr>
          <w:spacing w:val="-13"/>
        </w:rPr>
        <w:t> </w:t>
      </w:r>
      <w:r>
        <w:rPr/>
        <w:t>the</w:t>
      </w:r>
      <w:r>
        <w:rPr>
          <w:spacing w:val="-13"/>
        </w:rPr>
        <w:t> </w:t>
      </w:r>
      <w:r>
        <w:rPr/>
        <w:t>body</w:t>
      </w:r>
      <w:r>
        <w:rPr>
          <w:spacing w:val="-10"/>
        </w:rPr>
        <w:t> </w:t>
      </w:r>
      <w:r>
        <w:rPr/>
        <w:t>of</w:t>
      </w:r>
      <w:r>
        <w:rPr>
          <w:spacing w:val="-11"/>
        </w:rPr>
        <w:t> </w:t>
      </w:r>
      <w:r>
        <w:rPr/>
        <w:t>a</w:t>
      </w:r>
      <w:r>
        <w:rPr>
          <w:spacing w:val="-15"/>
        </w:rPr>
        <w:t> </w:t>
      </w:r>
      <w:r>
        <w:rPr/>
        <w:t>person suffering</w:t>
      </w:r>
      <w:r>
        <w:rPr>
          <w:spacing w:val="-19"/>
        </w:rPr>
        <w:t> </w:t>
      </w:r>
      <w:r>
        <w:rPr/>
        <w:t>from</w:t>
      </w:r>
      <w:r>
        <w:rPr>
          <w:spacing w:val="-19"/>
        </w:rPr>
        <w:t> </w:t>
      </w:r>
      <w:r>
        <w:rPr/>
        <w:t>a</w:t>
      </w:r>
      <w:r>
        <w:rPr>
          <w:spacing w:val="-20"/>
        </w:rPr>
        <w:t> </w:t>
      </w:r>
      <w:r>
        <w:rPr/>
        <w:t>heart</w:t>
      </w:r>
      <w:r>
        <w:rPr>
          <w:spacing w:val="-18"/>
        </w:rPr>
        <w:t> </w:t>
      </w:r>
      <w:r>
        <w:rPr/>
        <w:t>condition</w:t>
      </w:r>
      <w:r>
        <w:rPr>
          <w:spacing w:val="-18"/>
        </w:rPr>
        <w:t> </w:t>
      </w:r>
      <w:r>
        <w:rPr/>
        <w:t>loses</w:t>
      </w:r>
      <w:r>
        <w:rPr>
          <w:spacing w:val="-18"/>
        </w:rPr>
        <w:t> </w:t>
      </w:r>
      <w:r>
        <w:rPr/>
        <w:t>the</w:t>
      </w:r>
      <w:r>
        <w:rPr>
          <w:spacing w:val="-17"/>
        </w:rPr>
        <w:t> </w:t>
      </w:r>
      <w:r>
        <w:rPr/>
        <w:t>capacity</w:t>
      </w:r>
      <w:r>
        <w:rPr>
          <w:spacing w:val="-18"/>
        </w:rPr>
        <w:t> </w:t>
      </w:r>
      <w:r>
        <w:rPr/>
        <w:t>to</w:t>
      </w:r>
      <w:r>
        <w:rPr>
          <w:spacing w:val="-18"/>
        </w:rPr>
        <w:t> </w:t>
      </w:r>
      <w:r>
        <w:rPr/>
        <w:t>create</w:t>
      </w:r>
      <w:r>
        <w:rPr>
          <w:spacing w:val="-19"/>
        </w:rPr>
        <w:t> </w:t>
      </w:r>
      <w:r>
        <w:rPr/>
        <w:t>strophanthin</w:t>
      </w:r>
      <w:r>
        <w:rPr>
          <w:spacing w:val="-18"/>
        </w:rPr>
        <w:t> </w:t>
      </w:r>
      <w:r>
        <w:rPr/>
        <w:t>itself. The fact is that most people suffering from a heart condition are treated with standard, conventional medicines such as beta-blockers and ACE</w:t>
      </w:r>
      <w:r>
        <w:rPr>
          <w:spacing w:val="-20"/>
        </w:rPr>
        <w:t> </w:t>
      </w:r>
      <w:r>
        <w:rPr/>
        <w:t>inhibitors.</w:t>
      </w:r>
    </w:p>
    <w:p>
      <w:pPr>
        <w:pStyle w:val="BodyText"/>
        <w:spacing w:line="276" w:lineRule="auto" w:before="242"/>
        <w:ind w:left="616"/>
        <w:rPr>
          <w:sz w:val="25"/>
        </w:rPr>
      </w:pPr>
      <w:r>
        <w:rPr/>
        <w:t>It is also true that animal studies have shown that precisely these medicines block the body’s own distribution of strophanthin!</w:t>
      </w:r>
      <w:r>
        <w:rPr>
          <w:position w:val="9"/>
          <w:sz w:val="25"/>
        </w:rPr>
        <w:t>897</w:t>
      </w:r>
    </w:p>
    <w:p>
      <w:pPr>
        <w:pStyle w:val="Heading1"/>
        <w:spacing w:before="221"/>
        <w:ind w:left="616"/>
      </w:pPr>
      <w:r>
        <w:rPr/>
        <w:t>Strophanthin – ‘insulin for the heart’?</w:t>
      </w:r>
    </w:p>
    <w:p>
      <w:pPr>
        <w:pStyle w:val="BodyText"/>
        <w:spacing w:line="276" w:lineRule="auto" w:before="299"/>
        <w:ind w:left="616" w:right="140"/>
        <w:jc w:val="both"/>
      </w:pPr>
      <w:r>
        <w:rPr/>
        <w:t>Strophanthin is a natural, endogenous hormone which regulates the heart’s metabolism and thereby protects against heart attacks like no other</w:t>
      </w:r>
      <w:r>
        <w:rPr>
          <w:spacing w:val="-53"/>
        </w:rPr>
        <w:t> </w:t>
      </w:r>
      <w:r>
        <w:rPr/>
        <w:t>substance, yet it is produced in insufficient amounts in people suffering from heart con- ditions?</w:t>
      </w:r>
    </w:p>
    <w:p>
      <w:pPr>
        <w:pStyle w:val="BodyText"/>
        <w:spacing w:line="276" w:lineRule="auto" w:before="242"/>
        <w:ind w:left="616"/>
      </w:pPr>
      <w:r>
        <w:rPr/>
        <w:t>The inevitable comparison with insulin in cases of the pancreas and diabetes comes to the fore, as continually reinforced in specialist literature.</w:t>
      </w:r>
    </w:p>
    <w:p>
      <w:pPr>
        <w:pStyle w:val="BodyText"/>
        <w:spacing w:line="276" w:lineRule="auto" w:before="238"/>
        <w:ind w:left="616"/>
      </w:pPr>
      <w:r>
        <w:rPr/>
        <w:t>Can a heart attack be prevented with the help of strophanthin (Ouabain) sim- ilarly to hyperglycaemia and its serious effects in the case of diabetes? Perhaps</w:t>
      </w:r>
    </w:p>
    <w:p>
      <w:pPr>
        <w:pStyle w:val="BodyText"/>
        <w:rPr>
          <w:sz w:val="20"/>
        </w:rPr>
      </w:pPr>
    </w:p>
    <w:p>
      <w:pPr>
        <w:pStyle w:val="BodyText"/>
        <w:rPr>
          <w:sz w:val="20"/>
        </w:rPr>
      </w:pPr>
    </w:p>
    <w:p>
      <w:pPr>
        <w:pStyle w:val="BodyText"/>
        <w:spacing w:before="4"/>
        <w:rPr>
          <w:sz w:val="15"/>
        </w:rPr>
      </w:pPr>
      <w:r>
        <w:rPr/>
        <w:pict>
          <v:line style="position:absolute;mso-position-horizontal-relative:page;mso-position-vertical-relative:paragraph;z-index:12584;mso-wrap-distance-left:0;mso-wrap-distance-right:0" from="70.823997pt,11.009936pt" to="214.843997pt,11.009936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897 </w:t>
      </w:r>
      <w:r>
        <w:rPr>
          <w:sz w:val="20"/>
        </w:rPr>
        <w:t>Schoner, W. et al.: Ouabain as a Mammalian Hormone, Ann. N. Y. Acad.Sci. 2003, 986, pp. 678–684</w:t>
      </w:r>
    </w:p>
    <w:p>
      <w:pPr>
        <w:spacing w:after="0"/>
        <w:jc w:val="left"/>
        <w:rPr>
          <w:sz w:val="20"/>
        </w:rPr>
        <w:sectPr>
          <w:pgSz w:w="14270" w:h="16850"/>
          <w:pgMar w:header="0" w:footer="1891" w:top="1360" w:bottom="2080" w:left="800" w:right="1280"/>
        </w:sectPr>
      </w:pPr>
    </w:p>
    <w:p>
      <w:pPr>
        <w:pStyle w:val="BodyText"/>
        <w:spacing w:line="276" w:lineRule="auto" w:before="72"/>
        <w:ind w:left="616" w:right="131"/>
        <w:jc w:val="both"/>
      </w:pPr>
      <w:r>
        <w:rPr/>
        <w:t>the pharmaceutical industry has too much to lose if this natural substance re- places countless, unnecessary yet expensive medicines which are partially ac- companied</w:t>
      </w:r>
      <w:r>
        <w:rPr>
          <w:spacing w:val="-14"/>
        </w:rPr>
        <w:t> </w:t>
      </w:r>
      <w:r>
        <w:rPr/>
        <w:t>by</w:t>
      </w:r>
      <w:r>
        <w:rPr>
          <w:spacing w:val="-14"/>
        </w:rPr>
        <w:t> </w:t>
      </w:r>
      <w:r>
        <w:rPr/>
        <w:t>extremely</w:t>
      </w:r>
      <w:r>
        <w:rPr>
          <w:spacing w:val="-13"/>
        </w:rPr>
        <w:t> </w:t>
      </w:r>
      <w:r>
        <w:rPr/>
        <w:t>serious</w:t>
      </w:r>
      <w:r>
        <w:rPr>
          <w:spacing w:val="-11"/>
        </w:rPr>
        <w:t> </w:t>
      </w:r>
      <w:r>
        <w:rPr/>
        <w:t>side-effects</w:t>
      </w:r>
      <w:r>
        <w:rPr>
          <w:spacing w:val="-13"/>
        </w:rPr>
        <w:t> </w:t>
      </w:r>
      <w:r>
        <w:rPr/>
        <w:t>while</w:t>
      </w:r>
      <w:r>
        <w:rPr>
          <w:spacing w:val="-14"/>
        </w:rPr>
        <w:t> </w:t>
      </w:r>
      <w:r>
        <w:rPr/>
        <w:t>perhaps</w:t>
      </w:r>
      <w:r>
        <w:rPr>
          <w:spacing w:val="-12"/>
        </w:rPr>
        <w:t> </w:t>
      </w:r>
      <w:r>
        <w:rPr/>
        <w:t>even</w:t>
      </w:r>
      <w:r>
        <w:rPr>
          <w:spacing w:val="-13"/>
        </w:rPr>
        <w:t> </w:t>
      </w:r>
      <w:r>
        <w:rPr/>
        <w:t>relieving</w:t>
      </w:r>
      <w:r>
        <w:rPr>
          <w:spacing w:val="-14"/>
        </w:rPr>
        <w:t> </w:t>
      </w:r>
      <w:r>
        <w:rPr/>
        <w:t>a</w:t>
      </w:r>
      <w:r>
        <w:rPr>
          <w:spacing w:val="-15"/>
        </w:rPr>
        <w:t> </w:t>
      </w:r>
      <w:r>
        <w:rPr/>
        <w:t>pa- tient of his or her</w:t>
      </w:r>
      <w:r>
        <w:rPr>
          <w:spacing w:val="1"/>
        </w:rPr>
        <w:t> </w:t>
      </w:r>
      <w:r>
        <w:rPr/>
        <w:t>problems?</w:t>
      </w:r>
    </w:p>
    <w:p>
      <w:pPr>
        <w:pStyle w:val="BodyText"/>
        <w:rPr>
          <w:sz w:val="42"/>
        </w:rPr>
      </w:pPr>
    </w:p>
    <w:p>
      <w:pPr>
        <w:pStyle w:val="BodyText"/>
        <w:rPr>
          <w:sz w:val="43"/>
        </w:rPr>
      </w:pPr>
    </w:p>
    <w:p>
      <w:pPr>
        <w:pStyle w:val="Heading1"/>
        <w:spacing w:before="0"/>
        <w:ind w:left="616"/>
      </w:pPr>
      <w:r>
        <w:rPr/>
        <w:t>Is</w:t>
      </w:r>
      <w:r>
        <w:rPr>
          <w:spacing w:val="-47"/>
        </w:rPr>
        <w:t> </w:t>
      </w:r>
      <w:r>
        <w:rPr/>
        <w:t>oral</w:t>
      </w:r>
      <w:r>
        <w:rPr>
          <w:spacing w:val="-46"/>
        </w:rPr>
        <w:t> </w:t>
      </w:r>
      <w:r>
        <w:rPr/>
        <w:t>strophanthin</w:t>
      </w:r>
      <w:r>
        <w:rPr>
          <w:spacing w:val="-48"/>
        </w:rPr>
        <w:t> </w:t>
      </w:r>
      <w:r>
        <w:rPr/>
        <w:t>effective</w:t>
      </w:r>
      <w:r>
        <w:rPr>
          <w:spacing w:val="-46"/>
        </w:rPr>
        <w:t> </w:t>
      </w:r>
      <w:r>
        <w:rPr/>
        <w:t>or</w:t>
      </w:r>
      <w:r>
        <w:rPr>
          <w:spacing w:val="-47"/>
        </w:rPr>
        <w:t> </w:t>
      </w:r>
      <w:r>
        <w:rPr/>
        <w:t>does</w:t>
      </w:r>
      <w:r>
        <w:rPr>
          <w:spacing w:val="-47"/>
        </w:rPr>
        <w:t> </w:t>
      </w:r>
      <w:r>
        <w:rPr/>
        <w:t>it</w:t>
      </w:r>
      <w:r>
        <w:rPr>
          <w:spacing w:val="-48"/>
        </w:rPr>
        <w:t> </w:t>
      </w:r>
      <w:r>
        <w:rPr/>
        <w:t>need</w:t>
      </w:r>
      <w:r>
        <w:rPr>
          <w:spacing w:val="-46"/>
        </w:rPr>
        <w:t> </w:t>
      </w:r>
      <w:r>
        <w:rPr/>
        <w:t>to</w:t>
      </w:r>
      <w:r>
        <w:rPr>
          <w:spacing w:val="-48"/>
        </w:rPr>
        <w:t> </w:t>
      </w:r>
      <w:r>
        <w:rPr/>
        <w:t>be</w:t>
      </w:r>
      <w:r>
        <w:rPr>
          <w:spacing w:val="-47"/>
        </w:rPr>
        <w:t> </w:t>
      </w:r>
      <w:r>
        <w:rPr/>
        <w:t>taken</w:t>
      </w:r>
      <w:r>
        <w:rPr>
          <w:spacing w:val="-48"/>
        </w:rPr>
        <w:t> </w:t>
      </w:r>
      <w:r>
        <w:rPr/>
        <w:t>intravenously?</w:t>
      </w:r>
    </w:p>
    <w:p>
      <w:pPr>
        <w:pStyle w:val="BodyText"/>
        <w:spacing w:line="276" w:lineRule="auto" w:before="300"/>
        <w:ind w:left="616" w:right="135"/>
        <w:jc w:val="both"/>
      </w:pPr>
      <w:r>
        <w:rPr/>
        <w:t>If</w:t>
      </w:r>
      <w:r>
        <w:rPr>
          <w:spacing w:val="-9"/>
        </w:rPr>
        <w:t> </w:t>
      </w:r>
      <w:r>
        <w:rPr/>
        <w:t>we</w:t>
      </w:r>
      <w:r>
        <w:rPr>
          <w:spacing w:val="-9"/>
        </w:rPr>
        <w:t> </w:t>
      </w:r>
      <w:r>
        <w:rPr/>
        <w:t>want</w:t>
      </w:r>
      <w:r>
        <w:rPr>
          <w:spacing w:val="-8"/>
        </w:rPr>
        <w:t> </w:t>
      </w:r>
      <w:r>
        <w:rPr/>
        <w:t>to</w:t>
      </w:r>
      <w:r>
        <w:rPr>
          <w:spacing w:val="-7"/>
        </w:rPr>
        <w:t> </w:t>
      </w:r>
      <w:r>
        <w:rPr/>
        <w:t>spiritedly</w:t>
      </w:r>
      <w:r>
        <w:rPr>
          <w:spacing w:val="-9"/>
        </w:rPr>
        <w:t> </w:t>
      </w:r>
      <w:r>
        <w:rPr/>
        <w:t>add</w:t>
      </w:r>
      <w:r>
        <w:rPr>
          <w:spacing w:val="-9"/>
        </w:rPr>
        <w:t> </w:t>
      </w:r>
      <w:r>
        <w:rPr/>
        <w:t>weight</w:t>
      </w:r>
      <w:r>
        <w:rPr>
          <w:spacing w:val="-7"/>
        </w:rPr>
        <w:t> </w:t>
      </w:r>
      <w:r>
        <w:rPr/>
        <w:t>to</w:t>
      </w:r>
      <w:r>
        <w:rPr>
          <w:spacing w:val="-8"/>
        </w:rPr>
        <w:t> </w:t>
      </w:r>
      <w:r>
        <w:rPr/>
        <w:t>a</w:t>
      </w:r>
      <w:r>
        <w:rPr>
          <w:spacing w:val="-9"/>
        </w:rPr>
        <w:t> </w:t>
      </w:r>
      <w:r>
        <w:rPr/>
        <w:t>lie</w:t>
      </w:r>
      <w:r>
        <w:rPr>
          <w:spacing w:val="-9"/>
        </w:rPr>
        <w:t> </w:t>
      </w:r>
      <w:r>
        <w:rPr/>
        <w:t>regarding</w:t>
      </w:r>
      <w:r>
        <w:rPr>
          <w:spacing w:val="-7"/>
        </w:rPr>
        <w:t> </w:t>
      </w:r>
      <w:r>
        <w:rPr/>
        <w:t>oral</w:t>
      </w:r>
      <w:r>
        <w:rPr>
          <w:spacing w:val="-10"/>
        </w:rPr>
        <w:t> </w:t>
      </w:r>
      <w:r>
        <w:rPr/>
        <w:t>medicines</w:t>
      </w:r>
      <w:r>
        <w:rPr>
          <w:spacing w:val="-8"/>
        </w:rPr>
        <w:t> </w:t>
      </w:r>
      <w:r>
        <w:rPr/>
        <w:t>in</w:t>
      </w:r>
      <w:r>
        <w:rPr>
          <w:spacing w:val="-7"/>
        </w:rPr>
        <w:t> </w:t>
      </w:r>
      <w:r>
        <w:rPr/>
        <w:t>order</w:t>
      </w:r>
      <w:r>
        <w:rPr>
          <w:spacing w:val="-10"/>
        </w:rPr>
        <w:t> </w:t>
      </w:r>
      <w:r>
        <w:rPr/>
        <w:t>to advise against their ingestion, nothing is easier than to simply deny the effect with the classic reasoning that the active ingredient will not survive the gastric juices.</w:t>
      </w:r>
    </w:p>
    <w:p>
      <w:pPr>
        <w:pStyle w:val="BodyText"/>
        <w:spacing w:before="239"/>
        <w:ind w:left="616"/>
      </w:pPr>
      <w:r>
        <w:rPr/>
        <w:t>Opponents to strophanthin try to maintain this lie to this day.</w:t>
      </w:r>
    </w:p>
    <w:p>
      <w:pPr>
        <w:pStyle w:val="BodyText"/>
        <w:spacing w:line="276" w:lineRule="auto" w:before="304"/>
        <w:ind w:left="616" w:right="136"/>
        <w:jc w:val="both"/>
      </w:pPr>
      <w:r>
        <w:rPr/>
        <w:t>Dr. Heyde maintains that the negative results presented for the alleged ineffi- cacy of strophanthin are due in part to insufficient dosing or the attempt to make edematous, tachycardic legal insufficiency of oral treatment accessible.</w:t>
      </w:r>
    </w:p>
    <w:p>
      <w:pPr>
        <w:pStyle w:val="BodyText"/>
        <w:spacing w:before="242"/>
        <w:ind w:left="616"/>
      </w:pPr>
      <w:r>
        <w:rPr/>
        <w:t>However, observations from practice give a clear message:</w:t>
      </w:r>
    </w:p>
    <w:p>
      <w:pPr>
        <w:pStyle w:val="Heading2"/>
        <w:spacing w:before="302"/>
        <w:ind w:left="616"/>
      </w:pPr>
      <w:r>
        <w:rPr/>
        <w:t>Sensational</w:t>
      </w:r>
      <w:r>
        <w:rPr>
          <w:spacing w:val="-24"/>
        </w:rPr>
        <w:t> </w:t>
      </w:r>
      <w:r>
        <w:rPr/>
        <w:t>effect</w:t>
      </w:r>
      <w:r>
        <w:rPr>
          <w:spacing w:val="-26"/>
        </w:rPr>
        <w:t> </w:t>
      </w:r>
      <w:r>
        <w:rPr/>
        <w:t>in</w:t>
      </w:r>
      <w:r>
        <w:rPr>
          <w:spacing w:val="-26"/>
        </w:rPr>
        <w:t> </w:t>
      </w:r>
      <w:r>
        <w:rPr/>
        <w:t>99</w:t>
      </w:r>
      <w:r>
        <w:rPr>
          <w:spacing w:val="-27"/>
        </w:rPr>
        <w:t> </w:t>
      </w:r>
      <w:r>
        <w:rPr/>
        <w:t>%</w:t>
      </w:r>
      <w:r>
        <w:rPr>
          <w:spacing w:val="-22"/>
        </w:rPr>
        <w:t> </w:t>
      </w:r>
      <w:r>
        <w:rPr/>
        <w:t>of</w:t>
      </w:r>
      <w:r>
        <w:rPr>
          <w:spacing w:val="-25"/>
        </w:rPr>
        <w:t> </w:t>
      </w:r>
      <w:r>
        <w:rPr/>
        <w:t>angina</w:t>
      </w:r>
      <w:r>
        <w:rPr>
          <w:spacing w:val="-27"/>
        </w:rPr>
        <w:t> </w:t>
      </w:r>
      <w:r>
        <w:rPr/>
        <w:t>pectoris</w:t>
      </w:r>
      <w:r>
        <w:rPr>
          <w:spacing w:val="-23"/>
        </w:rPr>
        <w:t> </w:t>
      </w:r>
      <w:r>
        <w:rPr/>
        <w:t>patients</w:t>
      </w:r>
      <w:r>
        <w:rPr>
          <w:spacing w:val="-25"/>
        </w:rPr>
        <w:t> </w:t>
      </w:r>
      <w:r>
        <w:rPr/>
        <w:t>after</w:t>
      </w:r>
      <w:r>
        <w:rPr>
          <w:spacing w:val="-25"/>
        </w:rPr>
        <w:t> </w:t>
      </w:r>
      <w:r>
        <w:rPr/>
        <w:t>just</w:t>
      </w:r>
      <w:r>
        <w:rPr>
          <w:spacing w:val="-27"/>
        </w:rPr>
        <w:t> </w:t>
      </w:r>
      <w:r>
        <w:rPr/>
        <w:t>two</w:t>
      </w:r>
      <w:r>
        <w:rPr>
          <w:spacing w:val="-26"/>
        </w:rPr>
        <w:t> </w:t>
      </w:r>
      <w:r>
        <w:rPr/>
        <w:t>weeks</w:t>
      </w:r>
    </w:p>
    <w:p>
      <w:pPr>
        <w:pStyle w:val="BodyText"/>
        <w:spacing w:line="276" w:lineRule="auto" w:before="304"/>
        <w:ind w:left="616" w:right="130"/>
        <w:jc w:val="both"/>
      </w:pPr>
      <w:r>
        <w:rPr/>
        <w:t>During</w:t>
      </w:r>
      <w:r>
        <w:rPr>
          <w:spacing w:val="-24"/>
        </w:rPr>
        <w:t> </w:t>
      </w:r>
      <w:r>
        <w:rPr/>
        <w:t>twelve</w:t>
      </w:r>
      <w:r>
        <w:rPr>
          <w:spacing w:val="-24"/>
        </w:rPr>
        <w:t> </w:t>
      </w:r>
      <w:r>
        <w:rPr/>
        <w:t>years</w:t>
      </w:r>
      <w:r>
        <w:rPr>
          <w:spacing w:val="-22"/>
        </w:rPr>
        <w:t> </w:t>
      </w:r>
      <w:r>
        <w:rPr/>
        <w:t>of</w:t>
      </w:r>
      <w:r>
        <w:rPr>
          <w:spacing w:val="-24"/>
        </w:rPr>
        <w:t> </w:t>
      </w:r>
      <w:r>
        <w:rPr/>
        <w:t>treatment</w:t>
      </w:r>
      <w:r>
        <w:rPr>
          <w:spacing w:val="-25"/>
        </w:rPr>
        <w:t> </w:t>
      </w:r>
      <w:r>
        <w:rPr/>
        <w:t>with</w:t>
      </w:r>
      <w:r>
        <w:rPr>
          <w:spacing w:val="-23"/>
        </w:rPr>
        <w:t> </w:t>
      </w:r>
      <w:r>
        <w:rPr/>
        <w:t>stomach</w:t>
      </w:r>
      <w:r>
        <w:rPr>
          <w:spacing w:val="-23"/>
        </w:rPr>
        <w:t> </w:t>
      </w:r>
      <w:r>
        <w:rPr/>
        <w:t>resistant</w:t>
      </w:r>
      <w:r>
        <w:rPr>
          <w:spacing w:val="-24"/>
        </w:rPr>
        <w:t> </w:t>
      </w:r>
      <w:r>
        <w:rPr/>
        <w:t>strophanthin</w:t>
      </w:r>
      <w:r>
        <w:rPr>
          <w:spacing w:val="-24"/>
        </w:rPr>
        <w:t> </w:t>
      </w:r>
      <w:r>
        <w:rPr/>
        <w:t>capsules, Prof.</w:t>
      </w:r>
      <w:r>
        <w:rPr>
          <w:spacing w:val="63"/>
        </w:rPr>
        <w:t> </w:t>
      </w:r>
      <w:r>
        <w:rPr/>
        <w:t>Dohrmann</w:t>
      </w:r>
      <w:r>
        <w:rPr>
          <w:spacing w:val="-15"/>
        </w:rPr>
        <w:t> </w:t>
      </w:r>
      <w:r>
        <w:rPr/>
        <w:t>from</w:t>
      </w:r>
      <w:r>
        <w:rPr>
          <w:spacing w:val="-17"/>
        </w:rPr>
        <w:t> </w:t>
      </w:r>
      <w:r>
        <w:rPr/>
        <w:t>the</w:t>
      </w:r>
      <w:r>
        <w:rPr>
          <w:spacing w:val="-14"/>
        </w:rPr>
        <w:t> </w:t>
      </w:r>
      <w:r>
        <w:rPr/>
        <w:t>Berlin</w:t>
      </w:r>
      <w:r>
        <w:rPr>
          <w:spacing w:val="-16"/>
        </w:rPr>
        <w:t> </w:t>
      </w:r>
      <w:r>
        <w:rPr/>
        <w:t>Clinic</w:t>
      </w:r>
      <w:r>
        <w:rPr>
          <w:spacing w:val="-16"/>
        </w:rPr>
        <w:t> </w:t>
      </w:r>
      <w:r>
        <w:rPr/>
        <w:t>achieved</w:t>
      </w:r>
      <w:r>
        <w:rPr>
          <w:spacing w:val="-17"/>
        </w:rPr>
        <w:t> </w:t>
      </w:r>
      <w:r>
        <w:rPr/>
        <w:t>complete</w:t>
      </w:r>
      <w:r>
        <w:rPr>
          <w:spacing w:val="-16"/>
        </w:rPr>
        <w:t> </w:t>
      </w:r>
      <w:r>
        <w:rPr/>
        <w:t>relief</w:t>
      </w:r>
      <w:r>
        <w:rPr>
          <w:spacing w:val="-18"/>
        </w:rPr>
        <w:t> </w:t>
      </w:r>
      <w:r>
        <w:rPr/>
        <w:t>of</w:t>
      </w:r>
      <w:r>
        <w:rPr>
          <w:spacing w:val="-15"/>
        </w:rPr>
        <w:t> </w:t>
      </w:r>
      <w:r>
        <w:rPr/>
        <w:t>symptoms in a sensational 99 % of all patients with serious angina</w:t>
      </w:r>
      <w:r>
        <w:rPr>
          <w:spacing w:val="-10"/>
        </w:rPr>
        <w:t> </w:t>
      </w:r>
      <w:r>
        <w:rPr/>
        <w:t>pectoris!</w:t>
      </w:r>
    </w:p>
    <w:p>
      <w:pPr>
        <w:spacing w:after="0" w:line="276" w:lineRule="auto"/>
        <w:jc w:val="both"/>
        <w:sectPr>
          <w:pgSz w:w="14270" w:h="16850"/>
          <w:pgMar w:header="0" w:footer="1891" w:top="1340" w:bottom="2080" w:left="800" w:right="1280"/>
        </w:sectPr>
      </w:pPr>
    </w:p>
    <w:p>
      <w:pPr>
        <w:pStyle w:val="BodyText"/>
        <w:spacing w:line="276" w:lineRule="auto" w:before="74"/>
        <w:ind w:left="616" w:right="137"/>
        <w:jc w:val="both"/>
      </w:pPr>
      <w:r>
        <w:rPr/>
        <w:t>In</w:t>
      </w:r>
      <w:r>
        <w:rPr>
          <w:spacing w:val="-24"/>
        </w:rPr>
        <w:t> </w:t>
      </w:r>
      <w:r>
        <w:rPr/>
        <w:t>the</w:t>
      </w:r>
      <w:r>
        <w:rPr>
          <w:spacing w:val="-23"/>
        </w:rPr>
        <w:t> </w:t>
      </w:r>
      <w:r>
        <w:rPr/>
        <w:t>meantime,</w:t>
      </w:r>
      <w:r>
        <w:rPr>
          <w:spacing w:val="-23"/>
        </w:rPr>
        <w:t> </w:t>
      </w:r>
      <w:r>
        <w:rPr/>
        <w:t>studies</w:t>
      </w:r>
      <w:r>
        <w:rPr>
          <w:spacing w:val="-24"/>
        </w:rPr>
        <w:t> </w:t>
      </w:r>
      <w:r>
        <w:rPr/>
        <w:t>by</w:t>
      </w:r>
      <w:r>
        <w:rPr>
          <w:spacing w:val="-24"/>
        </w:rPr>
        <w:t> </w:t>
      </w:r>
      <w:r>
        <w:rPr/>
        <w:t>researchers</w:t>
      </w:r>
      <w:r>
        <w:rPr>
          <w:spacing w:val="-23"/>
        </w:rPr>
        <w:t> </w:t>
      </w:r>
      <w:r>
        <w:rPr/>
        <w:t>such</w:t>
      </w:r>
      <w:r>
        <w:rPr>
          <w:spacing w:val="-23"/>
        </w:rPr>
        <w:t> </w:t>
      </w:r>
      <w:r>
        <w:rPr/>
        <w:t>as</w:t>
      </w:r>
      <w:r>
        <w:rPr>
          <w:spacing w:val="-25"/>
        </w:rPr>
        <w:t> </w:t>
      </w:r>
      <w:r>
        <w:rPr/>
        <w:t>Hildegard,</w:t>
      </w:r>
      <w:r>
        <w:rPr>
          <w:spacing w:val="-24"/>
        </w:rPr>
        <w:t> </w:t>
      </w:r>
      <w:r>
        <w:rPr/>
        <w:t>Marquardt</w:t>
      </w:r>
      <w:r>
        <w:rPr>
          <w:spacing w:val="-25"/>
        </w:rPr>
        <w:t> </w:t>
      </w:r>
      <w:r>
        <w:rPr/>
        <w:t>and</w:t>
      </w:r>
      <w:r>
        <w:rPr>
          <w:spacing w:val="-24"/>
        </w:rPr>
        <w:t> </w:t>
      </w:r>
      <w:r>
        <w:rPr/>
        <w:t>Len- dle</w:t>
      </w:r>
      <w:r>
        <w:rPr>
          <w:position w:val="9"/>
          <w:sz w:val="25"/>
        </w:rPr>
        <w:t>898</w:t>
      </w:r>
      <w:r>
        <w:rPr/>
        <w:t>, among others, have proven that g-strophanthin is reabsorbed into the gastrointestinal tract, survives the stomach and intestine unharmed</w:t>
      </w:r>
      <w:r>
        <w:rPr>
          <w:spacing w:val="59"/>
        </w:rPr>
        <w:t> </w:t>
      </w:r>
      <w:r>
        <w:rPr/>
        <w:t>and... works! (See also the diagram regarding the effect of oral strophanthin under the point ‘Strophanthin</w:t>
      </w:r>
      <w:r>
        <w:rPr>
          <w:spacing w:val="2"/>
        </w:rPr>
        <w:t> </w:t>
      </w:r>
      <w:r>
        <w:rPr/>
        <w:t>Studies’).</w:t>
      </w:r>
    </w:p>
    <w:p>
      <w:pPr>
        <w:pStyle w:val="BodyText"/>
        <w:spacing w:line="276" w:lineRule="auto" w:before="240"/>
        <w:ind w:left="616" w:right="140"/>
        <w:jc w:val="both"/>
      </w:pPr>
      <w:r>
        <w:rPr/>
        <w:t>A summary about this position by Prof. Dr. Sarre, Director of the Freiburg Medical University Clinic in Breisgau:</w:t>
      </w:r>
    </w:p>
    <w:p>
      <w:pPr>
        <w:spacing w:line="276" w:lineRule="auto" w:before="241"/>
        <w:ind w:left="616" w:right="131" w:firstLine="0"/>
        <w:jc w:val="both"/>
        <w:rPr>
          <w:i/>
          <w:sz w:val="38"/>
        </w:rPr>
      </w:pPr>
      <w:r>
        <w:rPr>
          <w:i/>
          <w:sz w:val="38"/>
        </w:rPr>
        <w:t>‘Accordingly, there can be no doubt that the combination of 90 % g-strophanthin and a </w:t>
      </w:r>
      <w:r>
        <w:rPr>
          <w:i/>
          <w:sz w:val="38"/>
        </w:rPr>
        <w:t>reduced strophanthin present in Strophoral is effective.’</w:t>
      </w:r>
    </w:p>
    <w:p>
      <w:pPr>
        <w:pStyle w:val="BodyText"/>
        <w:spacing w:line="278" w:lineRule="auto" w:before="238"/>
        <w:ind w:left="616" w:right="133"/>
        <w:jc w:val="both"/>
      </w:pPr>
      <w:r>
        <w:rPr/>
        <w:t>Further, animal trials with radioactively marked g-strophanthin demonstrated a strong capacity to reabsorb strophanthin from oral administration:</w:t>
      </w:r>
    </w:p>
    <w:p>
      <w:pPr>
        <w:pStyle w:val="ListParagraph"/>
        <w:numPr>
          <w:ilvl w:val="1"/>
          <w:numId w:val="120"/>
        </w:numPr>
        <w:tabs>
          <w:tab w:pos="1693" w:val="left" w:leader="none"/>
          <w:tab w:pos="1694" w:val="left" w:leader="none"/>
        </w:tabs>
        <w:spacing w:line="273" w:lineRule="auto" w:before="193" w:after="0"/>
        <w:ind w:left="1694" w:right="137" w:hanging="360"/>
        <w:jc w:val="left"/>
        <w:rPr>
          <w:sz w:val="38"/>
        </w:rPr>
      </w:pPr>
      <w:r>
        <w:rPr>
          <w:sz w:val="38"/>
        </w:rPr>
        <w:t>in</w:t>
      </w:r>
      <w:r>
        <w:rPr>
          <w:spacing w:val="-11"/>
          <w:sz w:val="38"/>
        </w:rPr>
        <w:t> </w:t>
      </w:r>
      <w:r>
        <w:rPr>
          <w:sz w:val="38"/>
        </w:rPr>
        <w:t>guinea</w:t>
      </w:r>
      <w:r>
        <w:rPr>
          <w:spacing w:val="-11"/>
          <w:sz w:val="38"/>
        </w:rPr>
        <w:t> </w:t>
      </w:r>
      <w:r>
        <w:rPr>
          <w:sz w:val="38"/>
        </w:rPr>
        <w:t>pigs,</w:t>
      </w:r>
      <w:r>
        <w:rPr>
          <w:spacing w:val="-12"/>
          <w:sz w:val="38"/>
        </w:rPr>
        <w:t> </w:t>
      </w:r>
      <w:r>
        <w:rPr>
          <w:sz w:val="38"/>
        </w:rPr>
        <w:t>45</w:t>
      </w:r>
      <w:r>
        <w:rPr>
          <w:spacing w:val="-11"/>
          <w:sz w:val="38"/>
        </w:rPr>
        <w:t> </w:t>
      </w:r>
      <w:r>
        <w:rPr>
          <w:sz w:val="38"/>
        </w:rPr>
        <w:t>%</w:t>
      </w:r>
      <w:r>
        <w:rPr>
          <w:spacing w:val="-12"/>
          <w:sz w:val="38"/>
        </w:rPr>
        <w:t> </w:t>
      </w:r>
      <w:r>
        <w:rPr>
          <w:sz w:val="38"/>
        </w:rPr>
        <w:t>of</w:t>
      </w:r>
      <w:r>
        <w:rPr>
          <w:spacing w:val="-12"/>
          <w:sz w:val="38"/>
        </w:rPr>
        <w:t> </w:t>
      </w:r>
      <w:r>
        <w:rPr>
          <w:sz w:val="38"/>
        </w:rPr>
        <w:t>the</w:t>
      </w:r>
      <w:r>
        <w:rPr>
          <w:spacing w:val="-12"/>
          <w:sz w:val="38"/>
        </w:rPr>
        <w:t> </w:t>
      </w:r>
      <w:r>
        <w:rPr>
          <w:sz w:val="38"/>
        </w:rPr>
        <w:t>administered</w:t>
      </w:r>
      <w:r>
        <w:rPr>
          <w:spacing w:val="-11"/>
          <w:sz w:val="38"/>
        </w:rPr>
        <w:t> </w:t>
      </w:r>
      <w:r>
        <w:rPr>
          <w:sz w:val="38"/>
        </w:rPr>
        <w:t>strophanthin</w:t>
      </w:r>
      <w:r>
        <w:rPr>
          <w:spacing w:val="-10"/>
          <w:sz w:val="38"/>
        </w:rPr>
        <w:t> </w:t>
      </w:r>
      <w:r>
        <w:rPr>
          <w:sz w:val="38"/>
        </w:rPr>
        <w:t>was</w:t>
      </w:r>
      <w:r>
        <w:rPr>
          <w:spacing w:val="-13"/>
          <w:sz w:val="38"/>
        </w:rPr>
        <w:t> </w:t>
      </w:r>
      <w:r>
        <w:rPr>
          <w:sz w:val="38"/>
        </w:rPr>
        <w:t>proven</w:t>
      </w:r>
      <w:r>
        <w:rPr>
          <w:spacing w:val="-10"/>
          <w:sz w:val="38"/>
        </w:rPr>
        <w:t> </w:t>
      </w:r>
      <w:r>
        <w:rPr>
          <w:sz w:val="38"/>
        </w:rPr>
        <w:t>after six</w:t>
      </w:r>
      <w:r>
        <w:rPr>
          <w:spacing w:val="-1"/>
          <w:sz w:val="38"/>
        </w:rPr>
        <w:t> </w:t>
      </w:r>
      <w:r>
        <w:rPr>
          <w:sz w:val="38"/>
        </w:rPr>
        <w:t>hours,</w:t>
      </w:r>
    </w:p>
    <w:p>
      <w:pPr>
        <w:pStyle w:val="ListParagraph"/>
        <w:numPr>
          <w:ilvl w:val="1"/>
          <w:numId w:val="120"/>
        </w:numPr>
        <w:tabs>
          <w:tab w:pos="1693" w:val="left" w:leader="none"/>
          <w:tab w:pos="1694" w:val="left" w:leader="none"/>
        </w:tabs>
        <w:spacing w:line="240" w:lineRule="auto" w:before="128" w:after="0"/>
        <w:ind w:left="1694" w:right="0" w:hanging="360"/>
        <w:jc w:val="left"/>
        <w:rPr>
          <w:sz w:val="38"/>
        </w:rPr>
      </w:pPr>
      <w:r>
        <w:rPr>
          <w:sz w:val="38"/>
        </w:rPr>
        <w:t>in rats it was 20 % after twelve hours</w:t>
      </w:r>
      <w:r>
        <w:rPr>
          <w:spacing w:val="-2"/>
          <w:sz w:val="38"/>
        </w:rPr>
        <w:t> </w:t>
      </w:r>
      <w:r>
        <w:rPr>
          <w:sz w:val="38"/>
        </w:rPr>
        <w:t>and</w:t>
      </w:r>
    </w:p>
    <w:p>
      <w:pPr>
        <w:pStyle w:val="ListParagraph"/>
        <w:numPr>
          <w:ilvl w:val="1"/>
          <w:numId w:val="120"/>
        </w:numPr>
        <w:tabs>
          <w:tab w:pos="1693" w:val="left" w:leader="none"/>
          <w:tab w:pos="1694" w:val="left" w:leader="none"/>
        </w:tabs>
        <w:spacing w:line="240" w:lineRule="auto" w:before="183" w:after="0"/>
        <w:ind w:left="1694" w:right="0" w:hanging="360"/>
        <w:jc w:val="left"/>
        <w:rPr>
          <w:sz w:val="38"/>
        </w:rPr>
      </w:pPr>
      <w:r>
        <w:rPr>
          <w:sz w:val="38"/>
        </w:rPr>
        <w:t>in guinea pigs after seven days a notable 67</w:t>
      </w:r>
      <w:r>
        <w:rPr>
          <w:spacing w:val="-4"/>
          <w:sz w:val="38"/>
        </w:rPr>
        <w:t> </w:t>
      </w:r>
      <w:r>
        <w:rPr>
          <w:sz w:val="38"/>
        </w:rPr>
        <w:t>%.</w:t>
      </w:r>
    </w:p>
    <w:p>
      <w:pPr>
        <w:pStyle w:val="BodyText"/>
        <w:spacing w:line="276" w:lineRule="auto" w:before="305"/>
        <w:ind w:left="616" w:right="137"/>
        <w:jc w:val="both"/>
      </w:pPr>
      <w:r>
        <w:rPr/>
        <w:t>Of course, intravenous administration of Strophoral is much more effective; according</w:t>
      </w:r>
      <w:r>
        <w:rPr>
          <w:spacing w:val="-17"/>
        </w:rPr>
        <w:t> </w:t>
      </w:r>
      <w:r>
        <w:rPr/>
        <w:t>to</w:t>
      </w:r>
      <w:r>
        <w:rPr>
          <w:spacing w:val="-16"/>
        </w:rPr>
        <w:t> </w:t>
      </w:r>
      <w:r>
        <w:rPr/>
        <w:t>a</w:t>
      </w:r>
      <w:r>
        <w:rPr>
          <w:spacing w:val="-18"/>
        </w:rPr>
        <w:t> </w:t>
      </w:r>
      <w:r>
        <w:rPr/>
        <w:t>study,</w:t>
      </w:r>
      <w:r>
        <w:rPr>
          <w:spacing w:val="-16"/>
        </w:rPr>
        <w:t> </w:t>
      </w:r>
      <w:r>
        <w:rPr/>
        <w:t>the</w:t>
      </w:r>
      <w:r>
        <w:rPr>
          <w:spacing w:val="-15"/>
        </w:rPr>
        <w:t> </w:t>
      </w:r>
      <w:r>
        <w:rPr/>
        <w:t>oral</w:t>
      </w:r>
      <w:r>
        <w:rPr>
          <w:spacing w:val="-18"/>
        </w:rPr>
        <w:t> </w:t>
      </w:r>
      <w:r>
        <w:rPr/>
        <w:t>consumption</w:t>
      </w:r>
      <w:r>
        <w:rPr>
          <w:spacing w:val="-16"/>
        </w:rPr>
        <w:t> </w:t>
      </w:r>
      <w:r>
        <w:rPr/>
        <w:t>of</w:t>
      </w:r>
      <w:r>
        <w:rPr>
          <w:spacing w:val="-16"/>
        </w:rPr>
        <w:t> </w:t>
      </w:r>
      <w:r>
        <w:rPr/>
        <w:t>3</w:t>
      </w:r>
      <w:r>
        <w:rPr>
          <w:spacing w:val="-17"/>
        </w:rPr>
        <w:t> </w:t>
      </w:r>
      <w:r>
        <w:rPr/>
        <w:t>mg</w:t>
      </w:r>
      <w:r>
        <w:rPr>
          <w:spacing w:val="-17"/>
        </w:rPr>
        <w:t> </w:t>
      </w:r>
      <w:r>
        <w:rPr/>
        <w:t>of</w:t>
      </w:r>
      <w:r>
        <w:rPr>
          <w:spacing w:val="-16"/>
        </w:rPr>
        <w:t> </w:t>
      </w:r>
      <w:r>
        <w:rPr/>
        <w:t>Stophoral</w:t>
      </w:r>
      <w:r>
        <w:rPr>
          <w:spacing w:val="-17"/>
        </w:rPr>
        <w:t> </w:t>
      </w:r>
      <w:r>
        <w:rPr/>
        <w:t>is</w:t>
      </w:r>
      <w:r>
        <w:rPr>
          <w:spacing w:val="-19"/>
        </w:rPr>
        <w:t> </w:t>
      </w:r>
      <w:r>
        <w:rPr/>
        <w:t>comparable to the effect triggered by 0.25 mg of intravenously administered</w:t>
      </w:r>
      <w:r>
        <w:rPr>
          <w:spacing w:val="-26"/>
        </w:rPr>
        <w:t> </w:t>
      </w:r>
      <w:r>
        <w:rPr/>
        <w:t>strophanthin,</w:t>
      </w:r>
    </w:p>
    <w:p>
      <w:pPr>
        <w:pStyle w:val="BodyText"/>
        <w:spacing w:before="3"/>
        <w:rPr>
          <w:sz w:val="22"/>
        </w:rPr>
      </w:pPr>
      <w:r>
        <w:rPr/>
        <w:pict>
          <v:line style="position:absolute;mso-position-horizontal-relative:page;mso-position-vertical-relative:paragraph;z-index:12608;mso-wrap-distance-left:0;mso-wrap-distance-right:0" from="70.823997pt,14.882466pt" to="214.843997pt,14.882466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898 </w:t>
      </w:r>
      <w:hyperlink r:id="rId385">
        <w:r>
          <w:rPr>
            <w:sz w:val="20"/>
          </w:rPr>
          <w:t>www.strophantus.de/mediapool/59/596780/data/Sarre.pdf</w:t>
        </w:r>
      </w:hyperlink>
    </w:p>
    <w:p>
      <w:pPr>
        <w:spacing w:after="0"/>
        <w:jc w:val="left"/>
        <w:rPr>
          <w:sz w:val="20"/>
        </w:rPr>
        <w:sectPr>
          <w:pgSz w:w="14270" w:h="16850"/>
          <w:pgMar w:header="0" w:footer="1891" w:top="1340" w:bottom="2080" w:left="800" w:right="1280"/>
        </w:sectPr>
      </w:pPr>
    </w:p>
    <w:p>
      <w:pPr>
        <w:pStyle w:val="BodyText"/>
        <w:spacing w:line="278" w:lineRule="auto" w:before="72"/>
        <w:ind w:left="616" w:right="132"/>
        <w:jc w:val="both"/>
      </w:pPr>
      <w:r>
        <w:rPr/>
        <w:t>extrapolated to an impact ration of 1:36 (thus, the intravenous effect in com- parable amounts to the oral effect is 36 x stronger than the oral effect!).</w:t>
      </w:r>
    </w:p>
    <w:p>
      <w:pPr>
        <w:pStyle w:val="BodyText"/>
        <w:rPr>
          <w:sz w:val="42"/>
        </w:rPr>
      </w:pPr>
    </w:p>
    <w:p>
      <w:pPr>
        <w:pStyle w:val="BodyText"/>
        <w:spacing w:before="2"/>
        <w:rPr>
          <w:sz w:val="42"/>
        </w:rPr>
      </w:pPr>
    </w:p>
    <w:p>
      <w:pPr>
        <w:pStyle w:val="Heading1"/>
        <w:spacing w:before="0"/>
        <w:ind w:left="616"/>
      </w:pPr>
      <w:r>
        <w:rPr>
          <w:w w:val="95"/>
        </w:rPr>
        <w:t>Extremely successful application of strophanthin for acute heart attacks</w:t>
      </w:r>
    </w:p>
    <w:p>
      <w:pPr>
        <w:pStyle w:val="BodyText"/>
        <w:spacing w:line="276" w:lineRule="auto" w:before="299"/>
        <w:ind w:left="616" w:right="133"/>
        <w:jc w:val="both"/>
      </w:pPr>
      <w:r>
        <w:rPr/>
        <w:t>Both the oral and intravenous administration of strophanthin have proven to be</w:t>
      </w:r>
      <w:r>
        <w:rPr>
          <w:spacing w:val="-10"/>
        </w:rPr>
        <w:t> </w:t>
      </w:r>
      <w:r>
        <w:rPr/>
        <w:t>extremely</w:t>
      </w:r>
      <w:r>
        <w:rPr>
          <w:spacing w:val="-9"/>
        </w:rPr>
        <w:t> </w:t>
      </w:r>
      <w:r>
        <w:rPr/>
        <w:t>successful</w:t>
      </w:r>
      <w:r>
        <w:rPr>
          <w:spacing w:val="-11"/>
        </w:rPr>
        <w:t> </w:t>
      </w:r>
      <w:r>
        <w:rPr/>
        <w:t>and</w:t>
      </w:r>
      <w:r>
        <w:rPr>
          <w:spacing w:val="-10"/>
        </w:rPr>
        <w:t> </w:t>
      </w:r>
      <w:r>
        <w:rPr/>
        <w:t>life-saving</w:t>
      </w:r>
      <w:r>
        <w:rPr>
          <w:spacing w:val="-10"/>
        </w:rPr>
        <w:t> </w:t>
      </w:r>
      <w:r>
        <w:rPr/>
        <w:t>in</w:t>
      </w:r>
      <w:r>
        <w:rPr>
          <w:spacing w:val="-9"/>
        </w:rPr>
        <w:t> </w:t>
      </w:r>
      <w:r>
        <w:rPr/>
        <w:t>the</w:t>
      </w:r>
      <w:r>
        <w:rPr>
          <w:spacing w:val="-9"/>
        </w:rPr>
        <w:t> </w:t>
      </w:r>
      <w:r>
        <w:rPr/>
        <w:t>prevention</w:t>
      </w:r>
      <w:r>
        <w:rPr>
          <w:spacing w:val="-9"/>
        </w:rPr>
        <w:t> </w:t>
      </w:r>
      <w:r>
        <w:rPr/>
        <w:t>of</w:t>
      </w:r>
      <w:r>
        <w:rPr>
          <w:spacing w:val="-9"/>
        </w:rPr>
        <w:t> </w:t>
      </w:r>
      <w:r>
        <w:rPr/>
        <w:t>heart</w:t>
      </w:r>
      <w:r>
        <w:rPr>
          <w:spacing w:val="-11"/>
        </w:rPr>
        <w:t> </w:t>
      </w:r>
      <w:r>
        <w:rPr/>
        <w:t>attacks,</w:t>
      </w:r>
      <w:r>
        <w:rPr>
          <w:spacing w:val="-9"/>
        </w:rPr>
        <w:t> </w:t>
      </w:r>
      <w:r>
        <w:rPr/>
        <w:t>even in cases of </w:t>
      </w:r>
      <w:r>
        <w:rPr>
          <w:u w:val="single"/>
        </w:rPr>
        <w:t>acute</w:t>
      </w:r>
      <w:r>
        <w:rPr/>
        <w:t> heart</w:t>
      </w:r>
      <w:r>
        <w:rPr>
          <w:spacing w:val="2"/>
        </w:rPr>
        <w:t> </w:t>
      </w:r>
      <w:r>
        <w:rPr/>
        <w:t>attacks.</w:t>
      </w:r>
    </w:p>
    <w:p>
      <w:pPr>
        <w:pStyle w:val="BodyText"/>
        <w:spacing w:line="276" w:lineRule="auto" w:before="242"/>
        <w:ind w:left="616" w:right="137"/>
        <w:jc w:val="both"/>
      </w:pPr>
      <w:r>
        <w:rPr/>
        <w:t>Prof. Dohrmann achieved ‘</w:t>
      </w:r>
      <w:r>
        <w:rPr>
          <w:i/>
        </w:rPr>
        <w:t>the world’s best survival rates</w:t>
      </w:r>
      <w:r>
        <w:rPr/>
        <w:t>’ for acute heart attacks using strophanthin at a clinic in west Berlin; over 1000 attacks were analysed to give this result.</w:t>
      </w:r>
    </w:p>
    <w:p>
      <w:pPr>
        <w:pStyle w:val="BodyText"/>
        <w:spacing w:before="238"/>
        <w:ind w:left="616"/>
      </w:pPr>
      <w:r>
        <w:rPr/>
        <w:t>Similar successes were confirmed by Prof. Agostoni in Milan.</w:t>
      </w:r>
    </w:p>
    <w:p>
      <w:pPr>
        <w:pStyle w:val="BodyText"/>
        <w:spacing w:line="278" w:lineRule="auto" w:before="305"/>
        <w:ind w:left="616" w:right="137"/>
        <w:jc w:val="both"/>
      </w:pPr>
      <w:r>
        <w:rPr/>
        <w:t>You can find further conclusive facts regarding the effect of strophanthin in studies under the section ‘Strophanthin studies’.</w:t>
      </w:r>
    </w:p>
    <w:p>
      <w:pPr>
        <w:pStyle w:val="Heading1"/>
        <w:spacing w:before="215"/>
        <w:ind w:left="616"/>
      </w:pPr>
      <w:r>
        <w:rPr/>
        <w:t>Strophanthin normalises blood pressure</w:t>
      </w:r>
    </w:p>
    <w:p>
      <w:pPr>
        <w:pStyle w:val="BodyText"/>
        <w:spacing w:line="276" w:lineRule="auto" w:before="300"/>
        <w:ind w:left="616" w:right="134"/>
        <w:jc w:val="both"/>
      </w:pPr>
      <w:r>
        <w:rPr/>
        <w:t>Numerous studies (see also the section ‘Strophanthin studies’) and doctors’ statements confirm the normalising effect of strophanthin on blood pressure. However, it should be emphasised here that this effect occurs over weeks and months and is sustainable while the symptoms from angina pectoris often</w:t>
      </w:r>
      <w:r>
        <w:rPr>
          <w:spacing w:val="-68"/>
        </w:rPr>
        <w:t> </w:t>
      </w:r>
      <w:r>
        <w:rPr/>
        <w:t>dis- appear after just a few days of consuming strophanthin.</w:t>
      </w:r>
    </w:p>
    <w:p>
      <w:pPr>
        <w:spacing w:after="0" w:line="276" w:lineRule="auto"/>
        <w:jc w:val="both"/>
        <w:sectPr>
          <w:pgSz w:w="14270" w:h="16850"/>
          <w:pgMar w:header="0" w:footer="1891" w:top="1340" w:bottom="2080" w:left="800" w:right="1280"/>
        </w:sectPr>
      </w:pPr>
    </w:p>
    <w:p>
      <w:pPr>
        <w:pStyle w:val="Heading1"/>
        <w:spacing w:before="77"/>
        <w:ind w:left="616"/>
        <w:jc w:val="both"/>
      </w:pPr>
      <w:r>
        <w:rPr/>
        <w:t>The effect of strophanthin against</w:t>
      </w:r>
      <w:r>
        <w:rPr>
          <w:spacing w:val="-56"/>
        </w:rPr>
        <w:t> </w:t>
      </w:r>
      <w:r>
        <w:rPr/>
        <w:t>strokes</w:t>
      </w:r>
    </w:p>
    <w:p>
      <w:pPr>
        <w:pStyle w:val="BodyText"/>
        <w:spacing w:line="276" w:lineRule="auto" w:before="299"/>
        <w:ind w:left="616" w:right="133"/>
        <w:jc w:val="both"/>
      </w:pPr>
      <w:r>
        <w:rPr/>
        <w:t>Although</w:t>
      </w:r>
      <w:r>
        <w:rPr>
          <w:spacing w:val="-9"/>
        </w:rPr>
        <w:t> </w:t>
      </w:r>
      <w:r>
        <w:rPr/>
        <w:t>there</w:t>
      </w:r>
      <w:r>
        <w:rPr>
          <w:spacing w:val="-14"/>
        </w:rPr>
        <w:t> </w:t>
      </w:r>
      <w:r>
        <w:rPr/>
        <w:t>are</w:t>
      </w:r>
      <w:r>
        <w:rPr>
          <w:spacing w:val="-9"/>
        </w:rPr>
        <w:t> </w:t>
      </w:r>
      <w:r>
        <w:rPr/>
        <w:t>extensive</w:t>
      </w:r>
      <w:r>
        <w:rPr>
          <w:spacing w:val="-10"/>
        </w:rPr>
        <w:t> </w:t>
      </w:r>
      <w:r>
        <w:rPr/>
        <w:t>studies</w:t>
      </w:r>
      <w:r>
        <w:rPr>
          <w:spacing w:val="-9"/>
        </w:rPr>
        <w:t> </w:t>
      </w:r>
      <w:r>
        <w:rPr/>
        <w:t>in</w:t>
      </w:r>
      <w:r>
        <w:rPr>
          <w:spacing w:val="-12"/>
        </w:rPr>
        <w:t> </w:t>
      </w:r>
      <w:r>
        <w:rPr/>
        <w:t>regard</w:t>
      </w:r>
      <w:r>
        <w:rPr>
          <w:spacing w:val="-8"/>
        </w:rPr>
        <w:t> </w:t>
      </w:r>
      <w:r>
        <w:rPr/>
        <w:t>to</w:t>
      </w:r>
      <w:r>
        <w:rPr>
          <w:spacing w:val="-14"/>
        </w:rPr>
        <w:t> </w:t>
      </w:r>
      <w:r>
        <w:rPr/>
        <w:t>the</w:t>
      </w:r>
      <w:r>
        <w:rPr>
          <w:spacing w:val="-8"/>
        </w:rPr>
        <w:t> </w:t>
      </w:r>
      <w:r>
        <w:rPr/>
        <w:t>prevention</w:t>
      </w:r>
      <w:r>
        <w:rPr>
          <w:spacing w:val="-10"/>
        </w:rPr>
        <w:t> </w:t>
      </w:r>
      <w:r>
        <w:rPr/>
        <w:t>and</w:t>
      </w:r>
      <w:r>
        <w:rPr>
          <w:spacing w:val="-8"/>
        </w:rPr>
        <w:t> </w:t>
      </w:r>
      <w:r>
        <w:rPr/>
        <w:t>treatment of heart diseases there are sufficient expert opinions which also consider stro- phanthin extremely effective in the event of a stroke. These expert statements which reinforce the efficacy of strophanthin against strokes are presented be- low:</w:t>
      </w:r>
    </w:p>
    <w:p>
      <w:pPr>
        <w:pStyle w:val="Heading2"/>
        <w:spacing w:before="240"/>
        <w:ind w:left="616"/>
        <w:jc w:val="both"/>
      </w:pPr>
      <w:r>
        <w:rPr/>
        <w:t>Dr. Bergener/Dr. Neller:</w:t>
      </w:r>
    </w:p>
    <w:p>
      <w:pPr>
        <w:spacing w:line="276" w:lineRule="auto" w:before="305"/>
        <w:ind w:left="616" w:right="140" w:firstLine="0"/>
        <w:jc w:val="both"/>
        <w:rPr>
          <w:i/>
          <w:sz w:val="38"/>
        </w:rPr>
      </w:pPr>
      <w:r>
        <w:rPr>
          <w:i/>
          <w:sz w:val="38"/>
        </w:rPr>
        <w:t>‘Clinical experience shows again and again that the physiological failures in older patients </w:t>
      </w:r>
      <w:r>
        <w:rPr>
          <w:i/>
          <w:sz w:val="38"/>
        </w:rPr>
        <w:t>develop in connection with poor symptoms of heart weakness or concurrent with infections or other somatic states of illness.</w:t>
      </w:r>
    </w:p>
    <w:p>
      <w:pPr>
        <w:spacing w:line="276" w:lineRule="auto" w:before="239"/>
        <w:ind w:left="616" w:right="131" w:firstLine="0"/>
        <w:jc w:val="both"/>
        <w:rPr>
          <w:i/>
          <w:sz w:val="38"/>
        </w:rPr>
      </w:pPr>
      <w:r>
        <w:rPr>
          <w:i/>
          <w:sz w:val="38"/>
        </w:rPr>
        <w:t>In most cases, the early administration of a strophanthin treatment achieves both cardiac re- </w:t>
      </w:r>
      <w:r>
        <w:rPr>
          <w:i/>
          <w:sz w:val="38"/>
        </w:rPr>
        <w:t>compensation and at the same time an offset of the central failures without additional thera- peutic measures, apart from antibiotics which are necessary in individual cases.</w:t>
      </w:r>
    </w:p>
    <w:p>
      <w:pPr>
        <w:pStyle w:val="BodyText"/>
        <w:spacing w:line="278" w:lineRule="auto" w:before="239"/>
        <w:ind w:left="616" w:right="137"/>
        <w:jc w:val="both"/>
      </w:pPr>
      <w:r>
        <w:rPr>
          <w:b/>
        </w:rPr>
        <w:t>Dr.</w:t>
      </w:r>
      <w:r>
        <w:rPr>
          <w:b/>
          <w:spacing w:val="-24"/>
        </w:rPr>
        <w:t> </w:t>
      </w:r>
      <w:r>
        <w:rPr>
          <w:b/>
        </w:rPr>
        <w:t>W.-D.</w:t>
      </w:r>
      <w:r>
        <w:rPr>
          <w:b/>
          <w:spacing w:val="-25"/>
        </w:rPr>
        <w:t> </w:t>
      </w:r>
      <w:r>
        <w:rPr>
          <w:b/>
        </w:rPr>
        <w:t>Heiss,</w:t>
      </w:r>
      <w:r>
        <w:rPr>
          <w:b/>
          <w:spacing w:val="-23"/>
        </w:rPr>
        <w:t> </w:t>
      </w:r>
      <w:r>
        <w:rPr/>
        <w:t>Laboratory</w:t>
      </w:r>
      <w:r>
        <w:rPr>
          <w:spacing w:val="-21"/>
        </w:rPr>
        <w:t> </w:t>
      </w:r>
      <w:r>
        <w:rPr/>
        <w:t>for</w:t>
      </w:r>
      <w:r>
        <w:rPr>
          <w:spacing w:val="-23"/>
        </w:rPr>
        <w:t> </w:t>
      </w:r>
      <w:r>
        <w:rPr/>
        <w:t>Brain</w:t>
      </w:r>
      <w:r>
        <w:rPr>
          <w:spacing w:val="-23"/>
        </w:rPr>
        <w:t> </w:t>
      </w:r>
      <w:r>
        <w:rPr/>
        <w:t>Circulation</w:t>
      </w:r>
      <w:r>
        <w:rPr>
          <w:spacing w:val="-23"/>
        </w:rPr>
        <w:t> </w:t>
      </w:r>
      <w:r>
        <w:rPr/>
        <w:t>at</w:t>
      </w:r>
      <w:r>
        <w:rPr>
          <w:spacing w:val="-25"/>
        </w:rPr>
        <w:t> </w:t>
      </w:r>
      <w:r>
        <w:rPr/>
        <w:t>the</w:t>
      </w:r>
      <w:r>
        <w:rPr>
          <w:spacing w:val="-23"/>
        </w:rPr>
        <w:t> </w:t>
      </w:r>
      <w:r>
        <w:rPr/>
        <w:t>Department</w:t>
      </w:r>
      <w:r>
        <w:rPr>
          <w:spacing w:val="-24"/>
        </w:rPr>
        <w:t> </w:t>
      </w:r>
      <w:r>
        <w:rPr/>
        <w:t>of</w:t>
      </w:r>
      <w:r>
        <w:rPr>
          <w:spacing w:val="-23"/>
        </w:rPr>
        <w:t> </w:t>
      </w:r>
      <w:r>
        <w:rPr/>
        <w:t>Neu- rology in the Medical University of Vienna:</w:t>
      </w:r>
    </w:p>
    <w:p>
      <w:pPr>
        <w:spacing w:line="278" w:lineRule="auto" w:before="232"/>
        <w:ind w:left="616" w:right="138" w:firstLine="0"/>
        <w:jc w:val="both"/>
        <w:rPr>
          <w:i/>
          <w:sz w:val="38"/>
        </w:rPr>
      </w:pPr>
      <w:r>
        <w:rPr>
          <w:i/>
          <w:sz w:val="38"/>
        </w:rPr>
        <w:t>‘The clinical experience that strophanthin has a therapeutic benefit for stroke patients is </w:t>
      </w:r>
      <w:r>
        <w:rPr>
          <w:i/>
          <w:sz w:val="38"/>
        </w:rPr>
        <w:t>supported by the results reported here.</w:t>
      </w:r>
    </w:p>
    <w:p>
      <w:pPr>
        <w:spacing w:line="276" w:lineRule="auto" w:before="232"/>
        <w:ind w:left="616" w:right="137" w:firstLine="0"/>
        <w:jc w:val="both"/>
        <w:rPr>
          <w:i/>
          <w:sz w:val="38"/>
        </w:rPr>
      </w:pPr>
      <w:r>
        <w:rPr>
          <w:i/>
          <w:sz w:val="38"/>
        </w:rPr>
        <w:t>Regardless of the underlying illness and in equal measure, whether the brain tissue was suf- </w:t>
      </w:r>
      <w:r>
        <w:rPr>
          <w:i/>
          <w:sz w:val="38"/>
        </w:rPr>
        <w:t>ficiently or insufficiently supplied, the circulation was significantly improved with Ouabain, even with an absence of manifest cardiac de-compensation; the effect is clear just 15 minutes after Ouabain is administered, however it can still be proven after 90 minutes.</w:t>
      </w:r>
    </w:p>
    <w:p>
      <w:pPr>
        <w:spacing w:after="0" w:line="276" w:lineRule="auto"/>
        <w:jc w:val="both"/>
        <w:rPr>
          <w:sz w:val="38"/>
        </w:rPr>
        <w:sectPr>
          <w:pgSz w:w="14270" w:h="16850"/>
          <w:pgMar w:header="0" w:footer="1891" w:top="1320" w:bottom="2080" w:left="800" w:right="1280"/>
        </w:sectPr>
      </w:pPr>
    </w:p>
    <w:p>
      <w:pPr>
        <w:spacing w:line="276" w:lineRule="auto" w:before="74"/>
        <w:ind w:left="616" w:right="143" w:firstLine="0"/>
        <w:jc w:val="both"/>
        <w:rPr>
          <w:i/>
          <w:sz w:val="38"/>
        </w:rPr>
      </w:pPr>
      <w:r>
        <w:rPr>
          <w:i/>
          <w:sz w:val="38"/>
        </w:rPr>
        <w:t>The</w:t>
      </w:r>
      <w:r>
        <w:rPr>
          <w:i/>
          <w:spacing w:val="-19"/>
          <w:sz w:val="38"/>
        </w:rPr>
        <w:t> </w:t>
      </w:r>
      <w:r>
        <w:rPr>
          <w:i/>
          <w:sz w:val="38"/>
        </w:rPr>
        <w:t>results</w:t>
      </w:r>
      <w:r>
        <w:rPr>
          <w:i/>
          <w:spacing w:val="-17"/>
          <w:sz w:val="38"/>
        </w:rPr>
        <w:t> </w:t>
      </w:r>
      <w:r>
        <w:rPr>
          <w:i/>
          <w:sz w:val="38"/>
        </w:rPr>
        <w:t>of</w:t>
      </w:r>
      <w:r>
        <w:rPr>
          <w:i/>
          <w:spacing w:val="-17"/>
          <w:sz w:val="38"/>
        </w:rPr>
        <w:t> </w:t>
      </w:r>
      <w:r>
        <w:rPr>
          <w:i/>
          <w:sz w:val="38"/>
        </w:rPr>
        <w:t>Solti</w:t>
      </w:r>
      <w:r>
        <w:rPr>
          <w:i/>
          <w:spacing w:val="-20"/>
          <w:sz w:val="38"/>
        </w:rPr>
        <w:t> </w:t>
      </w:r>
      <w:r>
        <w:rPr>
          <w:i/>
          <w:sz w:val="38"/>
        </w:rPr>
        <w:t>and</w:t>
      </w:r>
      <w:r>
        <w:rPr>
          <w:i/>
          <w:spacing w:val="-16"/>
          <w:sz w:val="38"/>
        </w:rPr>
        <w:t> </w:t>
      </w:r>
      <w:r>
        <w:rPr>
          <w:i/>
          <w:sz w:val="38"/>
        </w:rPr>
        <w:t>colleagues</w:t>
      </w:r>
      <w:r>
        <w:rPr>
          <w:i/>
          <w:spacing w:val="-18"/>
          <w:sz w:val="38"/>
        </w:rPr>
        <w:t> </w:t>
      </w:r>
      <w:r>
        <w:rPr>
          <w:i/>
          <w:sz w:val="38"/>
        </w:rPr>
        <w:t>who</w:t>
      </w:r>
      <w:r>
        <w:rPr>
          <w:i/>
          <w:spacing w:val="-19"/>
          <w:sz w:val="38"/>
        </w:rPr>
        <w:t> </w:t>
      </w:r>
      <w:r>
        <w:rPr>
          <w:i/>
          <w:sz w:val="38"/>
        </w:rPr>
        <w:t>observed</w:t>
      </w:r>
      <w:r>
        <w:rPr>
          <w:i/>
          <w:spacing w:val="-18"/>
          <w:sz w:val="38"/>
        </w:rPr>
        <w:t> </w:t>
      </w:r>
      <w:r>
        <w:rPr>
          <w:i/>
          <w:sz w:val="38"/>
        </w:rPr>
        <w:t>increased</w:t>
      </w:r>
      <w:r>
        <w:rPr>
          <w:i/>
          <w:spacing w:val="-19"/>
          <w:sz w:val="38"/>
        </w:rPr>
        <w:t> </w:t>
      </w:r>
      <w:r>
        <w:rPr>
          <w:i/>
          <w:sz w:val="38"/>
        </w:rPr>
        <w:t>brain</w:t>
      </w:r>
      <w:r>
        <w:rPr>
          <w:i/>
          <w:spacing w:val="-16"/>
          <w:sz w:val="38"/>
        </w:rPr>
        <w:t> </w:t>
      </w:r>
      <w:r>
        <w:rPr>
          <w:i/>
          <w:sz w:val="38"/>
        </w:rPr>
        <w:t>circulation</w:t>
      </w:r>
      <w:r>
        <w:rPr>
          <w:i/>
          <w:spacing w:val="-18"/>
          <w:sz w:val="38"/>
        </w:rPr>
        <w:t> </w:t>
      </w:r>
      <w:r>
        <w:rPr>
          <w:i/>
          <w:sz w:val="38"/>
        </w:rPr>
        <w:t>after</w:t>
      </w:r>
      <w:r>
        <w:rPr>
          <w:i/>
          <w:spacing w:val="-17"/>
          <w:sz w:val="38"/>
        </w:rPr>
        <w:t> </w:t>
      </w:r>
      <w:r>
        <w:rPr>
          <w:i/>
          <w:sz w:val="38"/>
        </w:rPr>
        <w:t>strophanthin </w:t>
      </w:r>
      <w:r>
        <w:rPr>
          <w:i/>
          <w:sz w:val="38"/>
        </w:rPr>
        <w:t>with a nitrous oxide method are thereby confirmed and</w:t>
      </w:r>
      <w:r>
        <w:rPr>
          <w:i/>
          <w:spacing w:val="-8"/>
          <w:sz w:val="38"/>
        </w:rPr>
        <w:t> </w:t>
      </w:r>
      <w:r>
        <w:rPr>
          <w:i/>
          <w:sz w:val="38"/>
        </w:rPr>
        <w:t>extended.’</w:t>
      </w:r>
    </w:p>
    <w:p>
      <w:pPr>
        <w:spacing w:before="239"/>
        <w:ind w:left="616" w:right="0" w:firstLine="0"/>
        <w:jc w:val="left"/>
        <w:rPr>
          <w:i/>
          <w:sz w:val="38"/>
        </w:rPr>
      </w:pPr>
      <w:r>
        <w:rPr>
          <w:b/>
          <w:sz w:val="38"/>
        </w:rPr>
        <w:t>Prof. Udo Köhler: </w:t>
      </w:r>
      <w:r>
        <w:rPr>
          <w:i/>
          <w:sz w:val="38"/>
        </w:rPr>
        <w:t>‘Check-mate, heart attack’</w:t>
      </w:r>
    </w:p>
    <w:p>
      <w:pPr>
        <w:pStyle w:val="Heading2"/>
        <w:spacing w:before="304"/>
        <w:ind w:left="616"/>
      </w:pPr>
      <w:r>
        <w:rPr/>
        <w:t>Dr. Stoerger, Nuremberg:</w:t>
      </w:r>
    </w:p>
    <w:p>
      <w:pPr>
        <w:spacing w:line="276" w:lineRule="auto" w:before="305"/>
        <w:ind w:left="616" w:right="141" w:firstLine="0"/>
        <w:jc w:val="both"/>
        <w:rPr>
          <w:i/>
          <w:sz w:val="38"/>
        </w:rPr>
      </w:pPr>
      <w:r>
        <w:rPr>
          <w:i/>
          <w:sz w:val="38"/>
        </w:rPr>
        <w:t>The use of strophanthin, which is the ‘milk of old age’ is recommended with other authors. </w:t>
      </w:r>
      <w:r>
        <w:rPr>
          <w:i/>
          <w:sz w:val="38"/>
        </w:rPr>
        <w:t>Astonishingly, delirious states, apathy, drowsiness and even loss of memory performance are combatted effectively with this.</w:t>
      </w:r>
    </w:p>
    <w:p>
      <w:pPr>
        <w:pStyle w:val="Heading2"/>
        <w:spacing w:before="241"/>
        <w:ind w:left="616"/>
      </w:pPr>
      <w:r>
        <w:rPr/>
        <w:t>Prof Dr. G. Hofmann:</w:t>
      </w:r>
    </w:p>
    <w:p>
      <w:pPr>
        <w:spacing w:line="276" w:lineRule="auto" w:before="305"/>
        <w:ind w:left="616" w:right="137" w:firstLine="0"/>
        <w:jc w:val="both"/>
        <w:rPr>
          <w:i/>
          <w:sz w:val="38"/>
        </w:rPr>
      </w:pPr>
      <w:r>
        <w:rPr>
          <w:i/>
          <w:sz w:val="38"/>
        </w:rPr>
        <w:t>‘A great deal of importance is placed on reinvigorating the circulation and the cardiac situa- </w:t>
      </w:r>
      <w:r>
        <w:rPr>
          <w:i/>
          <w:sz w:val="38"/>
        </w:rPr>
        <w:t>tion.</w:t>
      </w:r>
      <w:r>
        <w:rPr>
          <w:i/>
          <w:spacing w:val="-7"/>
          <w:sz w:val="38"/>
        </w:rPr>
        <w:t> </w:t>
      </w:r>
      <w:r>
        <w:rPr>
          <w:i/>
          <w:sz w:val="38"/>
        </w:rPr>
        <w:t>We</w:t>
      </w:r>
      <w:r>
        <w:rPr>
          <w:i/>
          <w:spacing w:val="-7"/>
          <w:sz w:val="38"/>
        </w:rPr>
        <w:t> </w:t>
      </w:r>
      <w:r>
        <w:rPr>
          <w:i/>
          <w:sz w:val="38"/>
        </w:rPr>
        <w:t>always</w:t>
      </w:r>
      <w:r>
        <w:rPr>
          <w:i/>
          <w:spacing w:val="-8"/>
          <w:sz w:val="38"/>
        </w:rPr>
        <w:t> </w:t>
      </w:r>
      <w:r>
        <w:rPr>
          <w:i/>
          <w:sz w:val="38"/>
        </w:rPr>
        <w:t>use</w:t>
      </w:r>
      <w:r>
        <w:rPr>
          <w:i/>
          <w:spacing w:val="-7"/>
          <w:sz w:val="38"/>
        </w:rPr>
        <w:t> </w:t>
      </w:r>
      <w:r>
        <w:rPr>
          <w:i/>
          <w:sz w:val="38"/>
        </w:rPr>
        <w:t>strophanthin</w:t>
      </w:r>
      <w:r>
        <w:rPr>
          <w:i/>
          <w:spacing w:val="-6"/>
          <w:sz w:val="38"/>
        </w:rPr>
        <w:t> </w:t>
      </w:r>
      <w:r>
        <w:rPr>
          <w:i/>
          <w:sz w:val="38"/>
        </w:rPr>
        <w:t>or</w:t>
      </w:r>
      <w:r>
        <w:rPr>
          <w:i/>
          <w:spacing w:val="-7"/>
          <w:sz w:val="38"/>
        </w:rPr>
        <w:t> </w:t>
      </w:r>
      <w:r>
        <w:rPr>
          <w:i/>
          <w:sz w:val="38"/>
        </w:rPr>
        <w:t>a</w:t>
      </w:r>
      <w:r>
        <w:rPr>
          <w:i/>
          <w:spacing w:val="-8"/>
          <w:sz w:val="38"/>
        </w:rPr>
        <w:t> </w:t>
      </w:r>
      <w:r>
        <w:rPr>
          <w:i/>
          <w:sz w:val="38"/>
        </w:rPr>
        <w:t>heart</w:t>
      </w:r>
      <w:r>
        <w:rPr>
          <w:i/>
          <w:spacing w:val="-6"/>
          <w:sz w:val="38"/>
        </w:rPr>
        <w:t> </w:t>
      </w:r>
      <w:r>
        <w:rPr>
          <w:i/>
          <w:sz w:val="38"/>
        </w:rPr>
        <w:t>supporting</w:t>
      </w:r>
      <w:r>
        <w:rPr>
          <w:i/>
          <w:spacing w:val="-7"/>
          <w:sz w:val="38"/>
        </w:rPr>
        <w:t> </w:t>
      </w:r>
      <w:r>
        <w:rPr>
          <w:i/>
          <w:sz w:val="38"/>
        </w:rPr>
        <w:t>preparation,</w:t>
      </w:r>
      <w:r>
        <w:rPr>
          <w:i/>
          <w:spacing w:val="-6"/>
          <w:sz w:val="38"/>
        </w:rPr>
        <w:t> </w:t>
      </w:r>
      <w:r>
        <w:rPr>
          <w:i/>
          <w:sz w:val="38"/>
        </w:rPr>
        <w:t>regardless</w:t>
      </w:r>
      <w:r>
        <w:rPr>
          <w:i/>
          <w:spacing w:val="-8"/>
          <w:sz w:val="38"/>
        </w:rPr>
        <w:t> </w:t>
      </w:r>
      <w:r>
        <w:rPr>
          <w:i/>
          <w:sz w:val="38"/>
        </w:rPr>
        <w:t>of</w:t>
      </w:r>
      <w:r>
        <w:rPr>
          <w:i/>
          <w:spacing w:val="-7"/>
          <w:sz w:val="38"/>
        </w:rPr>
        <w:t> </w:t>
      </w:r>
      <w:r>
        <w:rPr>
          <w:i/>
          <w:sz w:val="38"/>
        </w:rPr>
        <w:t>the</w:t>
      </w:r>
      <w:r>
        <w:rPr>
          <w:i/>
          <w:spacing w:val="-7"/>
          <w:sz w:val="38"/>
        </w:rPr>
        <w:t> </w:t>
      </w:r>
      <w:r>
        <w:rPr>
          <w:i/>
          <w:sz w:val="38"/>
        </w:rPr>
        <w:t>proven cardiac</w:t>
      </w:r>
      <w:r>
        <w:rPr>
          <w:i/>
          <w:spacing w:val="-1"/>
          <w:sz w:val="38"/>
        </w:rPr>
        <w:t> </w:t>
      </w:r>
      <w:r>
        <w:rPr>
          <w:i/>
          <w:sz w:val="38"/>
        </w:rPr>
        <w:t>insufficiency.</w:t>
      </w:r>
    </w:p>
    <w:p>
      <w:pPr>
        <w:spacing w:line="278" w:lineRule="auto" w:before="239"/>
        <w:ind w:left="616" w:right="143" w:firstLine="0"/>
        <w:jc w:val="both"/>
        <w:rPr>
          <w:i/>
          <w:sz w:val="38"/>
        </w:rPr>
      </w:pPr>
      <w:r>
        <w:rPr>
          <w:i/>
          <w:sz w:val="38"/>
        </w:rPr>
        <w:t>The direct circulation-promoting effect of strophanthin on the brain’s metabolism has been </w:t>
      </w:r>
      <w:r>
        <w:rPr>
          <w:i/>
          <w:sz w:val="38"/>
        </w:rPr>
        <w:t>proven.’</w:t>
      </w:r>
    </w:p>
    <w:p>
      <w:pPr>
        <w:pStyle w:val="Heading2"/>
        <w:spacing w:before="232"/>
        <w:ind w:left="616"/>
      </w:pPr>
      <w:r>
        <w:rPr/>
        <w:t>Effect on other diseases</w:t>
      </w:r>
    </w:p>
    <w:p>
      <w:pPr>
        <w:pStyle w:val="BodyText"/>
        <w:spacing w:line="276" w:lineRule="auto" w:before="305"/>
        <w:ind w:left="616" w:right="133"/>
        <w:jc w:val="both"/>
      </w:pPr>
      <w:r>
        <w:rPr/>
        <w:t>The</w:t>
      </w:r>
      <w:r>
        <w:rPr>
          <w:spacing w:val="-23"/>
        </w:rPr>
        <w:t> </w:t>
      </w:r>
      <w:r>
        <w:rPr/>
        <w:t>stimulating</w:t>
      </w:r>
      <w:r>
        <w:rPr>
          <w:spacing w:val="-22"/>
        </w:rPr>
        <w:t> </w:t>
      </w:r>
      <w:r>
        <w:rPr/>
        <w:t>effect</w:t>
      </w:r>
      <w:r>
        <w:rPr>
          <w:spacing w:val="-23"/>
        </w:rPr>
        <w:t> </w:t>
      </w:r>
      <w:r>
        <w:rPr/>
        <w:t>of</w:t>
      </w:r>
      <w:r>
        <w:rPr>
          <w:spacing w:val="-25"/>
        </w:rPr>
        <w:t> </w:t>
      </w:r>
      <w:r>
        <w:rPr/>
        <w:t>g-strophanthin</w:t>
      </w:r>
      <w:r>
        <w:rPr>
          <w:spacing w:val="-22"/>
        </w:rPr>
        <w:t> </w:t>
      </w:r>
      <w:r>
        <w:rPr/>
        <w:t>on</w:t>
      </w:r>
      <w:r>
        <w:rPr>
          <w:spacing w:val="-24"/>
        </w:rPr>
        <w:t> </w:t>
      </w:r>
      <w:r>
        <w:rPr/>
        <w:t>sodium-potassium</w:t>
      </w:r>
      <w:r>
        <w:rPr>
          <w:spacing w:val="-24"/>
        </w:rPr>
        <w:t> </w:t>
      </w:r>
      <w:r>
        <w:rPr/>
        <w:t>pumps</w:t>
      </w:r>
      <w:r>
        <w:rPr>
          <w:spacing w:val="-23"/>
        </w:rPr>
        <w:t> </w:t>
      </w:r>
      <w:r>
        <w:rPr/>
        <w:t>includes a</w:t>
      </w:r>
      <w:r>
        <w:rPr>
          <w:spacing w:val="-22"/>
        </w:rPr>
        <w:t> </w:t>
      </w:r>
      <w:r>
        <w:rPr/>
        <w:t>demonstrably</w:t>
      </w:r>
      <w:r>
        <w:rPr>
          <w:spacing w:val="-24"/>
        </w:rPr>
        <w:t> </w:t>
      </w:r>
      <w:r>
        <w:rPr/>
        <w:t>positive</w:t>
      </w:r>
      <w:r>
        <w:rPr>
          <w:spacing w:val="-22"/>
        </w:rPr>
        <w:t> </w:t>
      </w:r>
      <w:r>
        <w:rPr/>
        <w:t>effect</w:t>
      </w:r>
      <w:r>
        <w:rPr>
          <w:spacing w:val="-21"/>
        </w:rPr>
        <w:t> </w:t>
      </w:r>
      <w:r>
        <w:rPr/>
        <w:t>not</w:t>
      </w:r>
      <w:r>
        <w:rPr>
          <w:spacing w:val="-21"/>
        </w:rPr>
        <w:t> </w:t>
      </w:r>
      <w:r>
        <w:rPr/>
        <w:t>only</w:t>
      </w:r>
      <w:r>
        <w:rPr>
          <w:spacing w:val="-23"/>
        </w:rPr>
        <w:t> </w:t>
      </w:r>
      <w:r>
        <w:rPr/>
        <w:t>in</w:t>
      </w:r>
      <w:r>
        <w:rPr>
          <w:spacing w:val="-23"/>
        </w:rPr>
        <w:t> </w:t>
      </w:r>
      <w:r>
        <w:rPr/>
        <w:t>people</w:t>
      </w:r>
      <w:r>
        <w:rPr>
          <w:spacing w:val="-24"/>
        </w:rPr>
        <w:t> </w:t>
      </w:r>
      <w:r>
        <w:rPr/>
        <w:t>with</w:t>
      </w:r>
      <w:r>
        <w:rPr>
          <w:spacing w:val="-21"/>
        </w:rPr>
        <w:t> </w:t>
      </w:r>
      <w:r>
        <w:rPr/>
        <w:t>heart</w:t>
      </w:r>
      <w:r>
        <w:rPr>
          <w:spacing w:val="-21"/>
        </w:rPr>
        <w:t> </w:t>
      </w:r>
      <w:r>
        <w:rPr/>
        <w:t>disease</w:t>
      </w:r>
      <w:r>
        <w:rPr>
          <w:spacing w:val="-19"/>
        </w:rPr>
        <w:t> </w:t>
      </w:r>
      <w:r>
        <w:rPr/>
        <w:t>and</w:t>
      </w:r>
      <w:r>
        <w:rPr>
          <w:spacing w:val="-24"/>
        </w:rPr>
        <w:t> </w:t>
      </w:r>
      <w:r>
        <w:rPr/>
        <w:t>strokes but also on those suffering from dementia, endogenous depression, bronchial asthma, sepsis and</w:t>
      </w:r>
      <w:r>
        <w:rPr>
          <w:spacing w:val="2"/>
        </w:rPr>
        <w:t> </w:t>
      </w:r>
      <w:r>
        <w:rPr/>
        <w:t>glaucoma.</w:t>
      </w:r>
    </w:p>
    <w:p>
      <w:pPr>
        <w:pStyle w:val="BodyText"/>
        <w:spacing w:line="276" w:lineRule="auto" w:before="239"/>
        <w:ind w:left="616" w:right="135"/>
        <w:jc w:val="both"/>
      </w:pPr>
      <w:r>
        <w:rPr/>
        <w:t>Furthermore,</w:t>
      </w:r>
      <w:r>
        <w:rPr>
          <w:spacing w:val="-13"/>
        </w:rPr>
        <w:t> </w:t>
      </w:r>
      <w:r>
        <w:rPr/>
        <w:t>experts</w:t>
      </w:r>
      <w:r>
        <w:rPr>
          <w:spacing w:val="-13"/>
        </w:rPr>
        <w:t> </w:t>
      </w:r>
      <w:r>
        <w:rPr/>
        <w:t>estimate</w:t>
      </w:r>
      <w:r>
        <w:rPr>
          <w:spacing w:val="-13"/>
        </w:rPr>
        <w:t> </w:t>
      </w:r>
      <w:r>
        <w:rPr/>
        <w:t>that</w:t>
      </w:r>
      <w:r>
        <w:rPr>
          <w:spacing w:val="-14"/>
        </w:rPr>
        <w:t> </w:t>
      </w:r>
      <w:r>
        <w:rPr/>
        <w:t>the</w:t>
      </w:r>
      <w:r>
        <w:rPr>
          <w:spacing w:val="-13"/>
        </w:rPr>
        <w:t> </w:t>
      </w:r>
      <w:r>
        <w:rPr/>
        <w:t>effect</w:t>
      </w:r>
      <w:r>
        <w:rPr>
          <w:spacing w:val="-15"/>
        </w:rPr>
        <w:t> </w:t>
      </w:r>
      <w:r>
        <w:rPr/>
        <w:t>on</w:t>
      </w:r>
      <w:r>
        <w:rPr>
          <w:spacing w:val="-15"/>
        </w:rPr>
        <w:t> </w:t>
      </w:r>
      <w:r>
        <w:rPr/>
        <w:t>the</w:t>
      </w:r>
      <w:r>
        <w:rPr>
          <w:spacing w:val="-12"/>
        </w:rPr>
        <w:t> </w:t>
      </w:r>
      <w:r>
        <w:rPr/>
        <w:t>sodium-potassium</w:t>
      </w:r>
      <w:r>
        <w:rPr>
          <w:spacing w:val="-14"/>
        </w:rPr>
        <w:t> </w:t>
      </w:r>
      <w:r>
        <w:rPr/>
        <w:t>pumps is</w:t>
      </w:r>
      <w:r>
        <w:rPr>
          <w:spacing w:val="36"/>
        </w:rPr>
        <w:t> </w:t>
      </w:r>
      <w:r>
        <w:rPr/>
        <w:t>equally</w:t>
      </w:r>
      <w:r>
        <w:rPr>
          <w:spacing w:val="37"/>
        </w:rPr>
        <w:t> </w:t>
      </w:r>
      <w:r>
        <w:rPr/>
        <w:t>important</w:t>
      </w:r>
      <w:r>
        <w:rPr>
          <w:spacing w:val="37"/>
        </w:rPr>
        <w:t> </w:t>
      </w:r>
      <w:r>
        <w:rPr/>
        <w:t>as</w:t>
      </w:r>
      <w:r>
        <w:rPr>
          <w:spacing w:val="36"/>
        </w:rPr>
        <w:t> </w:t>
      </w:r>
      <w:r>
        <w:rPr/>
        <w:t>the</w:t>
      </w:r>
      <w:r>
        <w:rPr>
          <w:spacing w:val="36"/>
        </w:rPr>
        <w:t> </w:t>
      </w:r>
      <w:r>
        <w:rPr/>
        <w:t>positive</w:t>
      </w:r>
      <w:r>
        <w:rPr>
          <w:spacing w:val="36"/>
        </w:rPr>
        <w:t> </w:t>
      </w:r>
      <w:r>
        <w:rPr/>
        <w:t>effect</w:t>
      </w:r>
      <w:r>
        <w:rPr>
          <w:spacing w:val="37"/>
        </w:rPr>
        <w:t> </w:t>
      </w:r>
      <w:r>
        <w:rPr/>
        <w:t>on</w:t>
      </w:r>
      <w:r>
        <w:rPr>
          <w:spacing w:val="36"/>
        </w:rPr>
        <w:t> </w:t>
      </w:r>
      <w:r>
        <w:rPr/>
        <w:t>countless</w:t>
      </w:r>
      <w:r>
        <w:rPr>
          <w:spacing w:val="38"/>
        </w:rPr>
        <w:t> </w:t>
      </w:r>
      <w:r>
        <w:rPr/>
        <w:t>other</w:t>
      </w:r>
      <w:r>
        <w:rPr>
          <w:spacing w:val="35"/>
        </w:rPr>
        <w:t> </w:t>
      </w:r>
      <w:r>
        <w:rPr/>
        <w:t>symptoms</w:t>
      </w:r>
      <w:r>
        <w:rPr>
          <w:spacing w:val="39"/>
        </w:rPr>
        <w:t> </w:t>
      </w:r>
      <w:r>
        <w:rPr/>
        <w:t>for</w:t>
      </w:r>
    </w:p>
    <w:p>
      <w:pPr>
        <w:spacing w:after="0" w:line="276" w:lineRule="auto"/>
        <w:jc w:val="both"/>
        <w:sectPr>
          <w:pgSz w:w="14270" w:h="16850"/>
          <w:pgMar w:header="0" w:footer="1891" w:top="1340" w:bottom="2080" w:left="800" w:right="1280"/>
        </w:sectPr>
      </w:pPr>
    </w:p>
    <w:p>
      <w:pPr>
        <w:pStyle w:val="BodyText"/>
        <w:spacing w:before="74"/>
        <w:ind w:left="616"/>
      </w:pPr>
      <w:r>
        <w:rPr/>
        <w:t>which there are to date no empirical values or studies with strophanthin.</w:t>
      </w:r>
    </w:p>
    <w:p>
      <w:pPr>
        <w:pStyle w:val="Heading1"/>
        <w:spacing w:before="287"/>
        <w:ind w:left="616"/>
      </w:pPr>
      <w:r>
        <w:rPr/>
        <w:t>In summary, strophanthin:</w:t>
      </w:r>
    </w:p>
    <w:p>
      <w:pPr>
        <w:pStyle w:val="ListParagraph"/>
        <w:numPr>
          <w:ilvl w:val="0"/>
          <w:numId w:val="126"/>
        </w:numPr>
        <w:tabs>
          <w:tab w:pos="1521" w:val="left" w:leader="none"/>
          <w:tab w:pos="1522" w:val="left" w:leader="none"/>
        </w:tabs>
        <w:spacing w:line="240" w:lineRule="auto" w:before="258" w:after="0"/>
        <w:ind w:left="1329" w:right="0" w:hanging="355"/>
        <w:jc w:val="left"/>
        <w:rPr>
          <w:sz w:val="38"/>
        </w:rPr>
      </w:pPr>
      <w:r>
        <w:rPr>
          <w:sz w:val="38"/>
        </w:rPr>
        <w:t>has a preventative effect against heart</w:t>
      </w:r>
      <w:r>
        <w:rPr>
          <w:spacing w:val="-2"/>
          <w:sz w:val="38"/>
        </w:rPr>
        <w:t> </w:t>
      </w:r>
      <w:r>
        <w:rPr>
          <w:sz w:val="38"/>
        </w:rPr>
        <w:t>attacks,</w:t>
      </w:r>
    </w:p>
    <w:p>
      <w:pPr>
        <w:pStyle w:val="ListParagraph"/>
        <w:numPr>
          <w:ilvl w:val="0"/>
          <w:numId w:val="126"/>
        </w:numPr>
        <w:tabs>
          <w:tab w:pos="1521" w:val="left" w:leader="none"/>
          <w:tab w:pos="1522" w:val="left" w:leader="none"/>
        </w:tabs>
        <w:spacing w:line="240" w:lineRule="auto" w:before="186" w:after="0"/>
        <w:ind w:left="1329" w:right="0" w:hanging="355"/>
        <w:jc w:val="left"/>
        <w:rPr>
          <w:sz w:val="38"/>
        </w:rPr>
      </w:pPr>
      <w:r>
        <w:rPr>
          <w:sz w:val="38"/>
        </w:rPr>
        <w:t>minimises the effects of a heart</w:t>
      </w:r>
      <w:r>
        <w:rPr>
          <w:spacing w:val="-1"/>
          <w:sz w:val="38"/>
        </w:rPr>
        <w:t> </w:t>
      </w:r>
      <w:r>
        <w:rPr>
          <w:sz w:val="38"/>
        </w:rPr>
        <w:t>attack,</w:t>
      </w:r>
    </w:p>
    <w:p>
      <w:pPr>
        <w:pStyle w:val="ListParagraph"/>
        <w:numPr>
          <w:ilvl w:val="0"/>
          <w:numId w:val="126"/>
        </w:numPr>
        <w:tabs>
          <w:tab w:pos="1521" w:val="left" w:leader="none"/>
          <w:tab w:pos="1522" w:val="left" w:leader="none"/>
        </w:tabs>
        <w:spacing w:line="240" w:lineRule="auto" w:before="184" w:after="0"/>
        <w:ind w:left="1329" w:right="0" w:hanging="355"/>
        <w:jc w:val="left"/>
        <w:rPr>
          <w:sz w:val="38"/>
        </w:rPr>
      </w:pPr>
      <w:r>
        <w:rPr>
          <w:sz w:val="38"/>
        </w:rPr>
        <w:t>prevents</w:t>
      </w:r>
      <w:r>
        <w:rPr>
          <w:spacing w:val="-3"/>
          <w:sz w:val="38"/>
        </w:rPr>
        <w:t> </w:t>
      </w:r>
      <w:r>
        <w:rPr>
          <w:sz w:val="38"/>
        </w:rPr>
        <w:t>strokes,</w:t>
      </w:r>
    </w:p>
    <w:p>
      <w:pPr>
        <w:pStyle w:val="ListParagraph"/>
        <w:numPr>
          <w:ilvl w:val="0"/>
          <w:numId w:val="126"/>
        </w:numPr>
        <w:tabs>
          <w:tab w:pos="1521" w:val="left" w:leader="none"/>
          <w:tab w:pos="1522" w:val="left" w:leader="none"/>
        </w:tabs>
        <w:spacing w:line="240" w:lineRule="auto" w:before="183" w:after="0"/>
        <w:ind w:left="1329" w:right="0" w:hanging="355"/>
        <w:jc w:val="left"/>
        <w:rPr>
          <w:sz w:val="38"/>
        </w:rPr>
      </w:pPr>
      <w:r>
        <w:rPr>
          <w:sz w:val="38"/>
        </w:rPr>
        <w:t>minimises the effects of strokes</w:t>
      </w:r>
      <w:r>
        <w:rPr>
          <w:spacing w:val="3"/>
          <w:sz w:val="38"/>
        </w:rPr>
        <w:t> </w:t>
      </w:r>
      <w:r>
        <w:rPr>
          <w:sz w:val="38"/>
        </w:rPr>
        <w:t>,</w:t>
      </w:r>
    </w:p>
    <w:p>
      <w:pPr>
        <w:pStyle w:val="ListParagraph"/>
        <w:numPr>
          <w:ilvl w:val="0"/>
          <w:numId w:val="126"/>
        </w:numPr>
        <w:tabs>
          <w:tab w:pos="1521" w:val="left" w:leader="none"/>
          <w:tab w:pos="1522" w:val="left" w:leader="none"/>
        </w:tabs>
        <w:spacing w:line="240" w:lineRule="auto" w:before="185" w:after="0"/>
        <w:ind w:left="1329" w:right="0" w:hanging="355"/>
        <w:jc w:val="left"/>
        <w:rPr>
          <w:sz w:val="38"/>
        </w:rPr>
      </w:pPr>
      <w:r>
        <w:rPr>
          <w:sz w:val="38"/>
        </w:rPr>
        <w:t>in the event of angina</w:t>
      </w:r>
      <w:r>
        <w:rPr>
          <w:spacing w:val="-5"/>
          <w:sz w:val="38"/>
        </w:rPr>
        <w:t> </w:t>
      </w:r>
      <w:r>
        <w:rPr>
          <w:sz w:val="38"/>
        </w:rPr>
        <w:t>pectoris,</w:t>
      </w:r>
    </w:p>
    <w:p>
      <w:pPr>
        <w:pStyle w:val="ListParagraph"/>
        <w:numPr>
          <w:ilvl w:val="0"/>
          <w:numId w:val="126"/>
        </w:numPr>
        <w:tabs>
          <w:tab w:pos="1521" w:val="left" w:leader="none"/>
          <w:tab w:pos="1522" w:val="left" w:leader="none"/>
        </w:tabs>
        <w:spacing w:line="240" w:lineRule="auto" w:before="183" w:after="0"/>
        <w:ind w:left="1329" w:right="0" w:hanging="355"/>
        <w:jc w:val="left"/>
        <w:rPr>
          <w:sz w:val="38"/>
        </w:rPr>
      </w:pPr>
      <w:r>
        <w:rPr>
          <w:sz w:val="38"/>
        </w:rPr>
        <w:t>in the event of heart</w:t>
      </w:r>
      <w:r>
        <w:rPr>
          <w:spacing w:val="-16"/>
          <w:sz w:val="38"/>
        </w:rPr>
        <w:t> </w:t>
      </w:r>
      <w:r>
        <w:rPr>
          <w:sz w:val="38"/>
        </w:rPr>
        <w:t>failure,</w:t>
      </w:r>
    </w:p>
    <w:p>
      <w:pPr>
        <w:pStyle w:val="ListParagraph"/>
        <w:numPr>
          <w:ilvl w:val="0"/>
          <w:numId w:val="126"/>
        </w:numPr>
        <w:tabs>
          <w:tab w:pos="1521" w:val="left" w:leader="none"/>
          <w:tab w:pos="1522" w:val="left" w:leader="none"/>
        </w:tabs>
        <w:spacing w:line="273" w:lineRule="auto" w:before="186" w:after="0"/>
        <w:ind w:left="1329" w:right="141" w:hanging="355"/>
        <w:jc w:val="left"/>
        <w:rPr>
          <w:sz w:val="38"/>
        </w:rPr>
      </w:pPr>
      <w:r>
        <w:rPr>
          <w:sz w:val="38"/>
        </w:rPr>
        <w:t>combats</w:t>
      </w:r>
      <w:r>
        <w:rPr>
          <w:spacing w:val="-15"/>
          <w:sz w:val="38"/>
        </w:rPr>
        <w:t> </w:t>
      </w:r>
      <w:r>
        <w:rPr>
          <w:sz w:val="38"/>
        </w:rPr>
        <w:t>high</w:t>
      </w:r>
      <w:r>
        <w:rPr>
          <w:spacing w:val="-14"/>
          <w:sz w:val="38"/>
        </w:rPr>
        <w:t> </w:t>
      </w:r>
      <w:r>
        <w:rPr>
          <w:sz w:val="38"/>
        </w:rPr>
        <w:t>blood</w:t>
      </w:r>
      <w:r>
        <w:rPr>
          <w:spacing w:val="-13"/>
          <w:sz w:val="38"/>
        </w:rPr>
        <w:t> </w:t>
      </w:r>
      <w:r>
        <w:rPr>
          <w:sz w:val="38"/>
        </w:rPr>
        <w:t>pressure</w:t>
      </w:r>
      <w:r>
        <w:rPr>
          <w:spacing w:val="-9"/>
          <w:sz w:val="38"/>
        </w:rPr>
        <w:t> </w:t>
      </w:r>
      <w:r>
        <w:rPr>
          <w:sz w:val="38"/>
        </w:rPr>
        <w:t>(not</w:t>
      </w:r>
      <w:r>
        <w:rPr>
          <w:spacing w:val="-12"/>
          <w:sz w:val="38"/>
        </w:rPr>
        <w:t> </w:t>
      </w:r>
      <w:r>
        <w:rPr>
          <w:sz w:val="38"/>
        </w:rPr>
        <w:t>just</w:t>
      </w:r>
      <w:r>
        <w:rPr>
          <w:spacing w:val="-11"/>
          <w:sz w:val="38"/>
        </w:rPr>
        <w:t> </w:t>
      </w:r>
      <w:r>
        <w:rPr>
          <w:sz w:val="38"/>
        </w:rPr>
        <w:t>a</w:t>
      </w:r>
      <w:r>
        <w:rPr>
          <w:spacing w:val="-14"/>
          <w:sz w:val="38"/>
        </w:rPr>
        <w:t> </w:t>
      </w:r>
      <w:r>
        <w:rPr>
          <w:sz w:val="38"/>
        </w:rPr>
        <w:t>one</w:t>
      </w:r>
      <w:r>
        <w:rPr>
          <w:spacing w:val="-15"/>
          <w:sz w:val="38"/>
        </w:rPr>
        <w:t> </w:t>
      </w:r>
      <w:r>
        <w:rPr>
          <w:sz w:val="38"/>
        </w:rPr>
        <w:t>off</w:t>
      </w:r>
      <w:r>
        <w:rPr>
          <w:spacing w:val="-14"/>
          <w:sz w:val="38"/>
        </w:rPr>
        <w:t> </w:t>
      </w:r>
      <w:r>
        <w:rPr>
          <w:sz w:val="38"/>
        </w:rPr>
        <w:t>reduction</w:t>
      </w:r>
      <w:r>
        <w:rPr>
          <w:spacing w:val="-12"/>
          <w:sz w:val="38"/>
        </w:rPr>
        <w:t> </w:t>
      </w:r>
      <w:r>
        <w:rPr>
          <w:sz w:val="38"/>
        </w:rPr>
        <w:t>but</w:t>
      </w:r>
      <w:r>
        <w:rPr>
          <w:spacing w:val="-14"/>
          <w:sz w:val="38"/>
        </w:rPr>
        <w:t> </w:t>
      </w:r>
      <w:r>
        <w:rPr>
          <w:sz w:val="38"/>
        </w:rPr>
        <w:t>it</w:t>
      </w:r>
      <w:r>
        <w:rPr>
          <w:spacing w:val="-16"/>
          <w:sz w:val="38"/>
        </w:rPr>
        <w:t> </w:t>
      </w:r>
      <w:r>
        <w:rPr>
          <w:sz w:val="38"/>
        </w:rPr>
        <w:t>normal- ises it when it is too high!),</w:t>
      </w:r>
    </w:p>
    <w:p>
      <w:pPr>
        <w:pStyle w:val="ListParagraph"/>
        <w:numPr>
          <w:ilvl w:val="0"/>
          <w:numId w:val="126"/>
        </w:numPr>
        <w:tabs>
          <w:tab w:pos="1521" w:val="left" w:leader="none"/>
          <w:tab w:pos="1522" w:val="left" w:leader="none"/>
        </w:tabs>
        <w:spacing w:line="240" w:lineRule="auto" w:before="127" w:after="0"/>
        <w:ind w:left="1329" w:right="0" w:hanging="355"/>
        <w:jc w:val="left"/>
        <w:rPr>
          <w:sz w:val="38"/>
        </w:rPr>
      </w:pPr>
      <w:r>
        <w:rPr>
          <w:sz w:val="38"/>
        </w:rPr>
        <w:t>has an effect on occlusive artery diseases,</w:t>
      </w:r>
    </w:p>
    <w:p>
      <w:pPr>
        <w:pStyle w:val="ListParagraph"/>
        <w:numPr>
          <w:ilvl w:val="0"/>
          <w:numId w:val="126"/>
        </w:numPr>
        <w:tabs>
          <w:tab w:pos="1521" w:val="left" w:leader="none"/>
          <w:tab w:pos="1522" w:val="left" w:leader="none"/>
        </w:tabs>
        <w:spacing w:line="240" w:lineRule="auto" w:before="184" w:after="0"/>
        <w:ind w:left="1329" w:right="0" w:hanging="355"/>
        <w:jc w:val="left"/>
        <w:rPr>
          <w:sz w:val="38"/>
        </w:rPr>
      </w:pPr>
      <w:r>
        <w:rPr>
          <w:sz w:val="38"/>
        </w:rPr>
        <w:t>has an effect on bronchial</w:t>
      </w:r>
      <w:r>
        <w:rPr>
          <w:spacing w:val="-2"/>
          <w:sz w:val="38"/>
        </w:rPr>
        <w:t> </w:t>
      </w:r>
      <w:r>
        <w:rPr>
          <w:sz w:val="38"/>
        </w:rPr>
        <w:t>asthma,</w:t>
      </w:r>
    </w:p>
    <w:p>
      <w:pPr>
        <w:pStyle w:val="ListParagraph"/>
        <w:numPr>
          <w:ilvl w:val="0"/>
          <w:numId w:val="126"/>
        </w:numPr>
        <w:tabs>
          <w:tab w:pos="1521" w:val="left" w:leader="none"/>
          <w:tab w:pos="1522" w:val="left" w:leader="none"/>
        </w:tabs>
        <w:spacing w:line="240" w:lineRule="auto" w:before="184" w:after="0"/>
        <w:ind w:left="1329" w:right="0" w:hanging="355"/>
        <w:jc w:val="left"/>
        <w:rPr>
          <w:sz w:val="38"/>
        </w:rPr>
      </w:pPr>
      <w:r>
        <w:rPr>
          <w:sz w:val="38"/>
        </w:rPr>
        <w:t>Glaucoma,</w:t>
      </w:r>
    </w:p>
    <w:p>
      <w:pPr>
        <w:pStyle w:val="ListParagraph"/>
        <w:numPr>
          <w:ilvl w:val="0"/>
          <w:numId w:val="126"/>
        </w:numPr>
        <w:tabs>
          <w:tab w:pos="1521" w:val="left" w:leader="none"/>
          <w:tab w:pos="1522" w:val="left" w:leader="none"/>
        </w:tabs>
        <w:spacing w:line="240" w:lineRule="auto" w:before="184" w:after="0"/>
        <w:ind w:left="1329" w:right="0" w:hanging="355"/>
        <w:jc w:val="left"/>
        <w:rPr>
          <w:sz w:val="38"/>
        </w:rPr>
      </w:pPr>
      <w:r>
        <w:rPr>
          <w:sz w:val="38"/>
        </w:rPr>
        <w:t>Sepsis</w:t>
      </w:r>
    </w:p>
    <w:p>
      <w:pPr>
        <w:pStyle w:val="ListParagraph"/>
        <w:numPr>
          <w:ilvl w:val="0"/>
          <w:numId w:val="126"/>
        </w:numPr>
        <w:tabs>
          <w:tab w:pos="1521" w:val="left" w:leader="none"/>
          <w:tab w:pos="1522" w:val="left" w:leader="none"/>
        </w:tabs>
        <w:spacing w:line="240" w:lineRule="auto" w:before="186" w:after="0"/>
        <w:ind w:left="1329" w:right="0" w:hanging="355"/>
        <w:jc w:val="left"/>
        <w:rPr>
          <w:sz w:val="38"/>
        </w:rPr>
      </w:pPr>
      <w:r>
        <w:rPr>
          <w:sz w:val="38"/>
        </w:rPr>
        <w:t>Dementia,</w:t>
      </w:r>
    </w:p>
    <w:p>
      <w:pPr>
        <w:pStyle w:val="ListParagraph"/>
        <w:numPr>
          <w:ilvl w:val="0"/>
          <w:numId w:val="126"/>
        </w:numPr>
        <w:tabs>
          <w:tab w:pos="1521" w:val="left" w:leader="none"/>
          <w:tab w:pos="1522" w:val="left" w:leader="none"/>
        </w:tabs>
        <w:spacing w:line="240" w:lineRule="auto" w:before="183" w:after="0"/>
        <w:ind w:left="1329" w:right="0" w:hanging="355"/>
        <w:jc w:val="left"/>
        <w:rPr>
          <w:sz w:val="38"/>
        </w:rPr>
      </w:pPr>
      <w:r>
        <w:rPr>
          <w:sz w:val="38"/>
        </w:rPr>
        <w:t>endogenous</w:t>
      </w:r>
      <w:r>
        <w:rPr>
          <w:spacing w:val="-1"/>
          <w:sz w:val="38"/>
        </w:rPr>
        <w:t> </w:t>
      </w:r>
      <w:r>
        <w:rPr>
          <w:sz w:val="38"/>
        </w:rPr>
        <w:t>depression.</w:t>
      </w:r>
    </w:p>
    <w:p>
      <w:pPr>
        <w:spacing w:after="0" w:line="240" w:lineRule="auto"/>
        <w:jc w:val="left"/>
        <w:rPr>
          <w:sz w:val="38"/>
        </w:rPr>
        <w:sectPr>
          <w:pgSz w:w="14270" w:h="16850"/>
          <w:pgMar w:header="0" w:footer="1891" w:top="1340" w:bottom="2080" w:left="800" w:right="1280"/>
        </w:sectPr>
      </w:pPr>
    </w:p>
    <w:p>
      <w:pPr>
        <w:pStyle w:val="Heading2"/>
        <w:spacing w:before="74"/>
        <w:ind w:left="616"/>
      </w:pPr>
      <w:r>
        <w:rPr/>
        <w:t>Strophanthin studies</w:t>
      </w:r>
    </w:p>
    <w:p>
      <w:pPr>
        <w:spacing w:before="287"/>
        <w:ind w:left="616" w:right="0" w:firstLine="0"/>
        <w:jc w:val="left"/>
        <w:rPr>
          <w:sz w:val="25"/>
        </w:rPr>
      </w:pPr>
      <w:r>
        <w:rPr>
          <w:b/>
          <w:i/>
          <w:sz w:val="40"/>
        </w:rPr>
        <w:t>The ‘Stuttgart study’ on 15,000 heart patients</w:t>
      </w:r>
      <w:r>
        <w:rPr>
          <w:position w:val="9"/>
          <w:sz w:val="25"/>
        </w:rPr>
        <w:t>899</w:t>
      </w:r>
    </w:p>
    <w:p>
      <w:pPr>
        <w:pStyle w:val="BodyText"/>
        <w:spacing w:line="276" w:lineRule="auto" w:before="297"/>
        <w:ind w:left="616" w:right="136"/>
        <w:jc w:val="both"/>
      </w:pPr>
      <w:r>
        <w:rPr/>
        <w:t>During</w:t>
      </w:r>
      <w:r>
        <w:rPr>
          <w:spacing w:val="-14"/>
        </w:rPr>
        <w:t> </w:t>
      </w:r>
      <w:r>
        <w:rPr/>
        <w:t>observations</w:t>
      </w:r>
      <w:r>
        <w:rPr>
          <w:spacing w:val="-13"/>
        </w:rPr>
        <w:t> </w:t>
      </w:r>
      <w:r>
        <w:rPr/>
        <w:t>made</w:t>
      </w:r>
      <w:r>
        <w:rPr>
          <w:spacing w:val="-14"/>
        </w:rPr>
        <w:t> </w:t>
      </w:r>
      <w:r>
        <w:rPr/>
        <w:t>over</w:t>
      </w:r>
      <w:r>
        <w:rPr>
          <w:spacing w:val="-16"/>
        </w:rPr>
        <w:t> </w:t>
      </w:r>
      <w:r>
        <w:rPr/>
        <w:t>many</w:t>
      </w:r>
      <w:r>
        <w:rPr>
          <w:spacing w:val="-13"/>
        </w:rPr>
        <w:t> </w:t>
      </w:r>
      <w:r>
        <w:rPr/>
        <w:t>years</w:t>
      </w:r>
      <w:r>
        <w:rPr>
          <w:spacing w:val="-13"/>
        </w:rPr>
        <w:t> </w:t>
      </w:r>
      <w:r>
        <w:rPr/>
        <w:t>on</w:t>
      </w:r>
      <w:r>
        <w:rPr>
          <w:spacing w:val="-15"/>
        </w:rPr>
        <w:t> </w:t>
      </w:r>
      <w:r>
        <w:rPr/>
        <w:t>15,000</w:t>
      </w:r>
      <w:r>
        <w:rPr>
          <w:spacing w:val="-14"/>
        </w:rPr>
        <w:t> </w:t>
      </w:r>
      <w:r>
        <w:rPr/>
        <w:t>heart</w:t>
      </w:r>
      <w:r>
        <w:rPr>
          <w:spacing w:val="-14"/>
        </w:rPr>
        <w:t> </w:t>
      </w:r>
      <w:r>
        <w:rPr/>
        <w:t>patients,</w:t>
      </w:r>
      <w:r>
        <w:rPr>
          <w:spacing w:val="-13"/>
        </w:rPr>
        <w:t> </w:t>
      </w:r>
      <w:r>
        <w:rPr/>
        <w:t>Dr.</w:t>
      </w:r>
      <w:r>
        <w:rPr>
          <w:spacing w:val="-15"/>
        </w:rPr>
        <w:t> </w:t>
      </w:r>
      <w:r>
        <w:rPr/>
        <w:t>Kern attested that strophanthin had an impressive therapeutic success rate in the ‘Stuttgart</w:t>
      </w:r>
      <w:r>
        <w:rPr>
          <w:spacing w:val="-1"/>
        </w:rPr>
        <w:t> </w:t>
      </w:r>
      <w:r>
        <w:rPr/>
        <w:t>study’.</w:t>
      </w:r>
    </w:p>
    <w:p>
      <w:pPr>
        <w:pStyle w:val="BodyText"/>
        <w:spacing w:line="276" w:lineRule="auto" w:before="241"/>
        <w:ind w:left="616" w:right="135"/>
        <w:jc w:val="both"/>
      </w:pPr>
      <w:r>
        <w:rPr/>
        <w:t>In comparison to conventional medical therapy, the number of deaths sank from</w:t>
      </w:r>
      <w:r>
        <w:rPr>
          <w:spacing w:val="-10"/>
        </w:rPr>
        <w:t> </w:t>
      </w:r>
      <w:r>
        <w:rPr/>
        <w:t>130</w:t>
      </w:r>
      <w:r>
        <w:rPr>
          <w:spacing w:val="-11"/>
        </w:rPr>
        <w:t> </w:t>
      </w:r>
      <w:r>
        <w:rPr/>
        <w:t>to</w:t>
      </w:r>
      <w:r>
        <w:rPr>
          <w:spacing w:val="-10"/>
        </w:rPr>
        <w:t> </w:t>
      </w:r>
      <w:r>
        <w:rPr/>
        <w:t>0</w:t>
      </w:r>
      <w:r>
        <w:rPr>
          <w:spacing w:val="-11"/>
        </w:rPr>
        <w:t> </w:t>
      </w:r>
      <w:r>
        <w:rPr/>
        <w:t>when</w:t>
      </w:r>
      <w:r>
        <w:rPr>
          <w:spacing w:val="-9"/>
        </w:rPr>
        <w:t> </w:t>
      </w:r>
      <w:r>
        <w:rPr/>
        <w:t>strophanthin</w:t>
      </w:r>
      <w:r>
        <w:rPr>
          <w:spacing w:val="-10"/>
        </w:rPr>
        <w:t> </w:t>
      </w:r>
      <w:r>
        <w:rPr/>
        <w:t>was</w:t>
      </w:r>
      <w:r>
        <w:rPr>
          <w:spacing w:val="-9"/>
        </w:rPr>
        <w:t> </w:t>
      </w:r>
      <w:r>
        <w:rPr/>
        <w:t>administered!</w:t>
      </w:r>
      <w:r>
        <w:rPr>
          <w:spacing w:val="-10"/>
        </w:rPr>
        <w:t> </w:t>
      </w:r>
      <w:r>
        <w:rPr/>
        <w:t>Furthermore,</w:t>
      </w:r>
      <w:r>
        <w:rPr>
          <w:spacing w:val="-9"/>
        </w:rPr>
        <w:t> </w:t>
      </w:r>
      <w:r>
        <w:rPr/>
        <w:t>the</w:t>
      </w:r>
      <w:r>
        <w:rPr>
          <w:spacing w:val="-9"/>
        </w:rPr>
        <w:t> </w:t>
      </w:r>
      <w:r>
        <w:rPr/>
        <w:t>number of 530 reinfarctions fell to 20 reinfarctions of a lesser degree with the admin- istration of</w:t>
      </w:r>
      <w:r>
        <w:rPr>
          <w:spacing w:val="2"/>
        </w:rPr>
        <w:t> </w:t>
      </w:r>
      <w:r>
        <w:rPr/>
        <w:t>strophanthin!</w:t>
      </w:r>
    </w:p>
    <w:p>
      <w:pPr>
        <w:pStyle w:val="Heading1"/>
        <w:spacing w:before="223"/>
        <w:ind w:left="616"/>
      </w:pPr>
      <w:r>
        <w:rPr/>
        <w:t>Report from the Gelsenkirchen mine</w:t>
      </w:r>
    </w:p>
    <w:p>
      <w:pPr>
        <w:pStyle w:val="BodyText"/>
        <w:spacing w:line="276" w:lineRule="auto" w:before="299"/>
        <w:ind w:left="616" w:right="131"/>
        <w:jc w:val="both"/>
        <w:rPr>
          <w:sz w:val="25"/>
        </w:rPr>
      </w:pPr>
      <w:r>
        <w:rPr/>
        <w:t>According to a report from the Gelsenkirchen mine following a year where three people had died from heart attacks, during an observation period of ten years</w:t>
      </w:r>
      <w:r>
        <w:rPr>
          <w:spacing w:val="-6"/>
        </w:rPr>
        <w:t> </w:t>
      </w:r>
      <w:r>
        <w:rPr/>
        <w:t>after</w:t>
      </w:r>
      <w:r>
        <w:rPr>
          <w:spacing w:val="-7"/>
        </w:rPr>
        <w:t> </w:t>
      </w:r>
      <w:r>
        <w:rPr/>
        <w:t>the</w:t>
      </w:r>
      <w:r>
        <w:rPr>
          <w:spacing w:val="-6"/>
        </w:rPr>
        <w:t> </w:t>
      </w:r>
      <w:r>
        <w:rPr/>
        <w:t>preventative</w:t>
      </w:r>
      <w:r>
        <w:rPr>
          <w:spacing w:val="-7"/>
        </w:rPr>
        <w:t> </w:t>
      </w:r>
      <w:r>
        <w:rPr/>
        <w:t>administration</w:t>
      </w:r>
      <w:r>
        <w:rPr>
          <w:spacing w:val="-6"/>
        </w:rPr>
        <w:t> </w:t>
      </w:r>
      <w:r>
        <w:rPr/>
        <w:t>of</w:t>
      </w:r>
      <w:r>
        <w:rPr>
          <w:spacing w:val="-8"/>
        </w:rPr>
        <w:t> </w:t>
      </w:r>
      <w:r>
        <w:rPr/>
        <w:t>strophanthin</w:t>
      </w:r>
      <w:r>
        <w:rPr>
          <w:spacing w:val="-7"/>
        </w:rPr>
        <w:t> </w:t>
      </w:r>
      <w:r>
        <w:rPr/>
        <w:t>not</w:t>
      </w:r>
      <w:r>
        <w:rPr>
          <w:spacing w:val="-7"/>
        </w:rPr>
        <w:t> </w:t>
      </w:r>
      <w:r>
        <w:rPr/>
        <w:t>a</w:t>
      </w:r>
      <w:r>
        <w:rPr>
          <w:spacing w:val="-13"/>
        </w:rPr>
        <w:t> </w:t>
      </w:r>
      <w:r>
        <w:rPr/>
        <w:t>single</w:t>
      </w:r>
      <w:r>
        <w:rPr>
          <w:spacing w:val="-7"/>
        </w:rPr>
        <w:t> </w:t>
      </w:r>
      <w:r>
        <w:rPr/>
        <w:t>further death was</w:t>
      </w:r>
      <w:r>
        <w:rPr>
          <w:spacing w:val="1"/>
        </w:rPr>
        <w:t> </w:t>
      </w:r>
      <w:r>
        <w:rPr/>
        <w:t>recorded.</w:t>
      </w:r>
      <w:r>
        <w:rPr>
          <w:position w:val="9"/>
          <w:sz w:val="25"/>
        </w:rPr>
        <w:t>900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3"/>
        </w:rPr>
      </w:pPr>
      <w:r>
        <w:rPr/>
        <w:pict>
          <v:line style="position:absolute;mso-position-horizontal-relative:page;mso-position-vertical-relative:paragraph;z-index:12632;mso-wrap-distance-left:0;mso-wrap-distance-right:0" from="70.823997pt,9.771235pt" to="214.843997pt,9.771235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899 </w:t>
      </w:r>
      <w:hyperlink r:id="rId386">
        <w:r>
          <w:rPr>
            <w:sz w:val="20"/>
          </w:rPr>
          <w:t>www.melhorn.de/Strophanthin</w:t>
        </w:r>
      </w:hyperlink>
    </w:p>
    <w:p>
      <w:pPr>
        <w:spacing w:before="94"/>
        <w:ind w:left="616" w:right="0" w:firstLine="0"/>
        <w:jc w:val="left"/>
        <w:rPr>
          <w:sz w:val="20"/>
        </w:rPr>
      </w:pPr>
      <w:r>
        <w:rPr>
          <w:position w:val="5"/>
          <w:sz w:val="13"/>
        </w:rPr>
        <w:t>900 </w:t>
      </w:r>
      <w:hyperlink r:id="rId380">
        <w:r>
          <w:rPr>
            <w:sz w:val="20"/>
          </w:rPr>
          <w:t>www.strophantus.de/was-ist-strophantin.html</w:t>
        </w:r>
      </w:hyperlink>
    </w:p>
    <w:p>
      <w:pPr>
        <w:spacing w:after="0"/>
        <w:jc w:val="left"/>
        <w:rPr>
          <w:sz w:val="20"/>
        </w:rPr>
        <w:sectPr>
          <w:pgSz w:w="14270" w:h="16850"/>
          <w:pgMar w:header="0" w:footer="1891" w:top="1340" w:bottom="2080" w:left="800" w:right="1280"/>
        </w:sectPr>
      </w:pPr>
    </w:p>
    <w:p>
      <w:pPr>
        <w:pStyle w:val="Heading1"/>
        <w:spacing w:line="261" w:lineRule="auto" w:before="77"/>
        <w:ind w:left="616" w:right="139"/>
        <w:jc w:val="both"/>
        <w:rPr>
          <w:b w:val="0"/>
          <w:i w:val="0"/>
          <w:sz w:val="25"/>
        </w:rPr>
      </w:pPr>
      <w:r>
        <w:rPr/>
        <w:t>Change</w:t>
      </w:r>
      <w:r>
        <w:rPr>
          <w:spacing w:val="-19"/>
        </w:rPr>
        <w:t> </w:t>
      </w:r>
      <w:r>
        <w:rPr/>
        <w:t>in</w:t>
      </w:r>
      <w:r>
        <w:rPr>
          <w:spacing w:val="-18"/>
        </w:rPr>
        <w:t> </w:t>
      </w:r>
      <w:r>
        <w:rPr/>
        <w:t>heart</w:t>
      </w:r>
      <w:r>
        <w:rPr>
          <w:spacing w:val="-19"/>
        </w:rPr>
        <w:t> </w:t>
      </w:r>
      <w:r>
        <w:rPr/>
        <w:t>performance</w:t>
      </w:r>
      <w:r>
        <w:rPr>
          <w:spacing w:val="-17"/>
        </w:rPr>
        <w:t> </w:t>
      </w:r>
      <w:r>
        <w:rPr/>
        <w:t>half</w:t>
      </w:r>
      <w:r>
        <w:rPr>
          <w:spacing w:val="-18"/>
        </w:rPr>
        <w:t> </w:t>
      </w:r>
      <w:r>
        <w:rPr/>
        <w:t>an</w:t>
      </w:r>
      <w:r>
        <w:rPr>
          <w:spacing w:val="-18"/>
        </w:rPr>
        <w:t> </w:t>
      </w:r>
      <w:r>
        <w:rPr/>
        <w:t>hour</w:t>
      </w:r>
      <w:r>
        <w:rPr>
          <w:spacing w:val="-17"/>
        </w:rPr>
        <w:t> </w:t>
      </w:r>
      <w:r>
        <w:rPr/>
        <w:t>after</w:t>
      </w:r>
      <w:r>
        <w:rPr>
          <w:spacing w:val="-18"/>
        </w:rPr>
        <w:t> </w:t>
      </w:r>
      <w:r>
        <w:rPr/>
        <w:t>the</w:t>
      </w:r>
      <w:r>
        <w:rPr>
          <w:spacing w:val="-13"/>
        </w:rPr>
        <w:t> </w:t>
      </w:r>
      <w:r>
        <w:rPr/>
        <w:t>administration</w:t>
      </w:r>
      <w:r>
        <w:rPr>
          <w:spacing w:val="-18"/>
        </w:rPr>
        <w:t> </w:t>
      </w:r>
      <w:r>
        <w:rPr/>
        <w:t>of strophanthin</w:t>
      </w:r>
      <w:r>
        <w:rPr>
          <w:spacing w:val="-50"/>
        </w:rPr>
        <w:t> </w:t>
      </w:r>
      <w:r>
        <w:rPr/>
        <w:t>perlingually</w:t>
      </w:r>
      <w:r>
        <w:rPr>
          <w:spacing w:val="-51"/>
        </w:rPr>
        <w:t> </w:t>
      </w:r>
      <w:r>
        <w:rPr/>
        <w:t>(6</w:t>
      </w:r>
      <w:r>
        <w:rPr>
          <w:spacing w:val="-50"/>
        </w:rPr>
        <w:t> </w:t>
      </w:r>
      <w:r>
        <w:rPr/>
        <w:t>drips</w:t>
      </w:r>
      <w:r>
        <w:rPr>
          <w:spacing w:val="-49"/>
        </w:rPr>
        <w:t> </w:t>
      </w:r>
      <w:r>
        <w:rPr/>
        <w:t>of</w:t>
      </w:r>
      <w:r>
        <w:rPr>
          <w:spacing w:val="-51"/>
        </w:rPr>
        <w:t> </w:t>
      </w:r>
      <w:r>
        <w:rPr/>
        <w:t>Strophinos)</w:t>
      </w:r>
      <w:r>
        <w:rPr>
          <w:spacing w:val="-49"/>
        </w:rPr>
        <w:t> </w:t>
      </w:r>
      <w:r>
        <w:rPr/>
        <w:t>in</w:t>
      </w:r>
      <w:r>
        <w:rPr>
          <w:spacing w:val="-51"/>
        </w:rPr>
        <w:t> </w:t>
      </w:r>
      <w:r>
        <w:rPr/>
        <w:t>patients</w:t>
      </w:r>
      <w:r>
        <w:rPr>
          <w:spacing w:val="-50"/>
        </w:rPr>
        <w:t> </w:t>
      </w:r>
      <w:r>
        <w:rPr/>
        <w:t>with</w:t>
      </w:r>
      <w:r>
        <w:rPr>
          <w:spacing w:val="-51"/>
        </w:rPr>
        <w:t> </w:t>
      </w:r>
      <w:r>
        <w:rPr/>
        <w:t>coro- nary sclerosis and angina</w:t>
      </w:r>
      <w:r>
        <w:rPr>
          <w:spacing w:val="-40"/>
        </w:rPr>
        <w:t> </w:t>
      </w:r>
      <w:r>
        <w:rPr/>
        <w:t>pectoris</w:t>
      </w:r>
      <w:r>
        <w:rPr>
          <w:b w:val="0"/>
          <w:i w:val="0"/>
          <w:position w:val="9"/>
          <w:sz w:val="25"/>
        </w:rPr>
        <w:t>901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after="1"/>
        <w:rPr>
          <w:sz w:val="14"/>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6"/>
        <w:gridCol w:w="804"/>
        <w:gridCol w:w="973"/>
        <w:gridCol w:w="1275"/>
        <w:gridCol w:w="1544"/>
        <w:gridCol w:w="1860"/>
        <w:gridCol w:w="2559"/>
      </w:tblGrid>
      <w:tr>
        <w:trPr>
          <w:trHeight w:val="923" w:hRule="atLeast"/>
        </w:trPr>
        <w:tc>
          <w:tcPr>
            <w:tcW w:w="806" w:type="dxa"/>
          </w:tcPr>
          <w:p>
            <w:pPr>
              <w:pStyle w:val="TableParagraph"/>
              <w:rPr>
                <w:rFonts w:ascii="Times New Roman"/>
                <w:sz w:val="30"/>
              </w:rPr>
            </w:pPr>
          </w:p>
        </w:tc>
        <w:tc>
          <w:tcPr>
            <w:tcW w:w="1777" w:type="dxa"/>
            <w:gridSpan w:val="2"/>
          </w:tcPr>
          <w:p>
            <w:pPr>
              <w:pStyle w:val="TableParagraph"/>
              <w:spacing w:line="278" w:lineRule="auto"/>
              <w:ind w:left="192" w:right="160" w:firstLine="67"/>
              <w:rPr>
                <w:b/>
                <w:sz w:val="28"/>
              </w:rPr>
            </w:pPr>
            <w:r>
              <w:rPr>
                <w:b/>
                <w:sz w:val="28"/>
              </w:rPr>
              <w:t>Stroke vol- ume in ccm</w:t>
            </w:r>
          </w:p>
        </w:tc>
        <w:tc>
          <w:tcPr>
            <w:tcW w:w="2819" w:type="dxa"/>
            <w:gridSpan w:val="2"/>
          </w:tcPr>
          <w:p>
            <w:pPr>
              <w:pStyle w:val="TableParagraph"/>
              <w:spacing w:line="313" w:lineRule="exact"/>
              <w:ind w:left="779"/>
              <w:rPr>
                <w:b/>
                <w:sz w:val="28"/>
              </w:rPr>
            </w:pPr>
            <w:r>
              <w:rPr>
                <w:b/>
                <w:sz w:val="28"/>
              </w:rPr>
              <w:t>Frequency</w:t>
            </w:r>
          </w:p>
        </w:tc>
        <w:tc>
          <w:tcPr>
            <w:tcW w:w="4419" w:type="dxa"/>
            <w:gridSpan w:val="2"/>
          </w:tcPr>
          <w:p>
            <w:pPr>
              <w:pStyle w:val="TableParagraph"/>
              <w:spacing w:line="313" w:lineRule="exact"/>
              <w:ind w:left="829"/>
              <w:rPr>
                <w:b/>
                <w:sz w:val="28"/>
              </w:rPr>
            </w:pPr>
            <w:r>
              <w:rPr>
                <w:b/>
                <w:sz w:val="28"/>
              </w:rPr>
              <w:t>Minute volume in litres</w:t>
            </w:r>
          </w:p>
        </w:tc>
      </w:tr>
      <w:tr>
        <w:trPr>
          <w:trHeight w:val="926" w:hRule="atLeast"/>
        </w:trPr>
        <w:tc>
          <w:tcPr>
            <w:tcW w:w="806" w:type="dxa"/>
          </w:tcPr>
          <w:p>
            <w:pPr>
              <w:pStyle w:val="TableParagraph"/>
              <w:rPr>
                <w:rFonts w:ascii="Times New Roman"/>
                <w:sz w:val="30"/>
              </w:rPr>
            </w:pPr>
          </w:p>
        </w:tc>
        <w:tc>
          <w:tcPr>
            <w:tcW w:w="804" w:type="dxa"/>
          </w:tcPr>
          <w:p>
            <w:pPr>
              <w:pStyle w:val="TableParagraph"/>
              <w:spacing w:line="278" w:lineRule="auto"/>
              <w:ind w:left="110" w:right="206"/>
              <w:rPr>
                <w:b/>
                <w:sz w:val="28"/>
              </w:rPr>
            </w:pPr>
            <w:r>
              <w:rPr>
                <w:b/>
                <w:sz w:val="28"/>
              </w:rPr>
              <w:t>be- fore</w:t>
            </w:r>
          </w:p>
        </w:tc>
        <w:tc>
          <w:tcPr>
            <w:tcW w:w="973" w:type="dxa"/>
          </w:tcPr>
          <w:p>
            <w:pPr>
              <w:pStyle w:val="TableParagraph"/>
              <w:spacing w:line="313" w:lineRule="exact"/>
              <w:ind w:left="108"/>
              <w:rPr>
                <w:b/>
                <w:sz w:val="28"/>
              </w:rPr>
            </w:pPr>
            <w:r>
              <w:rPr>
                <w:b/>
                <w:sz w:val="28"/>
              </w:rPr>
              <w:t>after</w:t>
            </w:r>
          </w:p>
        </w:tc>
        <w:tc>
          <w:tcPr>
            <w:tcW w:w="1275" w:type="dxa"/>
          </w:tcPr>
          <w:p>
            <w:pPr>
              <w:pStyle w:val="TableParagraph"/>
              <w:spacing w:line="313" w:lineRule="exact"/>
              <w:ind w:left="107"/>
              <w:rPr>
                <w:b/>
                <w:sz w:val="28"/>
              </w:rPr>
            </w:pPr>
            <w:r>
              <w:rPr>
                <w:b/>
                <w:sz w:val="28"/>
              </w:rPr>
              <w:t>before</w:t>
            </w:r>
          </w:p>
        </w:tc>
        <w:tc>
          <w:tcPr>
            <w:tcW w:w="1544" w:type="dxa"/>
          </w:tcPr>
          <w:p>
            <w:pPr>
              <w:pStyle w:val="TableParagraph"/>
              <w:spacing w:line="313" w:lineRule="exact"/>
              <w:ind w:left="109"/>
              <w:rPr>
                <w:b/>
                <w:sz w:val="28"/>
              </w:rPr>
            </w:pPr>
            <w:r>
              <w:rPr>
                <w:b/>
                <w:sz w:val="28"/>
              </w:rPr>
              <w:t>after</w:t>
            </w:r>
          </w:p>
        </w:tc>
        <w:tc>
          <w:tcPr>
            <w:tcW w:w="1860" w:type="dxa"/>
          </w:tcPr>
          <w:p>
            <w:pPr>
              <w:pStyle w:val="TableParagraph"/>
              <w:spacing w:line="313" w:lineRule="exact"/>
              <w:ind w:left="106"/>
              <w:rPr>
                <w:b/>
                <w:sz w:val="28"/>
              </w:rPr>
            </w:pPr>
            <w:r>
              <w:rPr>
                <w:b/>
                <w:sz w:val="28"/>
              </w:rPr>
              <w:t>before</w:t>
            </w:r>
          </w:p>
        </w:tc>
        <w:tc>
          <w:tcPr>
            <w:tcW w:w="2559" w:type="dxa"/>
          </w:tcPr>
          <w:p>
            <w:pPr>
              <w:pStyle w:val="TableParagraph"/>
              <w:spacing w:line="313" w:lineRule="exact"/>
              <w:ind w:left="106"/>
              <w:rPr>
                <w:b/>
                <w:sz w:val="28"/>
              </w:rPr>
            </w:pPr>
            <w:r>
              <w:rPr>
                <w:b/>
                <w:sz w:val="28"/>
              </w:rPr>
              <w:t>after</w:t>
            </w:r>
          </w:p>
        </w:tc>
      </w:tr>
      <w:tr>
        <w:trPr>
          <w:trHeight w:val="1285" w:hRule="atLeast"/>
        </w:trPr>
        <w:tc>
          <w:tcPr>
            <w:tcW w:w="806" w:type="dxa"/>
          </w:tcPr>
          <w:p>
            <w:pPr>
              <w:pStyle w:val="TableParagraph"/>
              <w:spacing w:line="276" w:lineRule="auto"/>
              <w:ind w:left="107" w:right="181"/>
              <w:rPr>
                <w:sz w:val="28"/>
              </w:rPr>
            </w:pPr>
            <w:r>
              <w:rPr>
                <w:sz w:val="28"/>
              </w:rPr>
              <w:t>F.K. 54</w:t>
            </w:r>
          </w:p>
          <w:p>
            <w:pPr>
              <w:pStyle w:val="TableParagraph"/>
              <w:ind w:left="107"/>
              <w:rPr>
                <w:sz w:val="28"/>
              </w:rPr>
            </w:pPr>
            <w:r>
              <w:rPr>
                <w:sz w:val="28"/>
              </w:rPr>
              <w:t>years</w:t>
            </w:r>
          </w:p>
        </w:tc>
        <w:tc>
          <w:tcPr>
            <w:tcW w:w="804" w:type="dxa"/>
          </w:tcPr>
          <w:p>
            <w:pPr>
              <w:pStyle w:val="TableParagraph"/>
              <w:spacing w:line="313" w:lineRule="exact"/>
              <w:ind w:left="110"/>
              <w:rPr>
                <w:sz w:val="28"/>
              </w:rPr>
            </w:pPr>
            <w:r>
              <w:rPr>
                <w:sz w:val="28"/>
              </w:rPr>
              <w:t>60.9</w:t>
            </w:r>
          </w:p>
        </w:tc>
        <w:tc>
          <w:tcPr>
            <w:tcW w:w="973" w:type="dxa"/>
          </w:tcPr>
          <w:p>
            <w:pPr>
              <w:pStyle w:val="TableParagraph"/>
              <w:spacing w:line="313" w:lineRule="exact"/>
              <w:ind w:left="108"/>
              <w:rPr>
                <w:sz w:val="28"/>
              </w:rPr>
            </w:pPr>
            <w:r>
              <w:rPr>
                <w:sz w:val="28"/>
              </w:rPr>
              <w:t>109.6</w:t>
            </w:r>
          </w:p>
        </w:tc>
        <w:tc>
          <w:tcPr>
            <w:tcW w:w="1275" w:type="dxa"/>
          </w:tcPr>
          <w:p>
            <w:pPr>
              <w:pStyle w:val="TableParagraph"/>
              <w:spacing w:line="313" w:lineRule="exact"/>
              <w:ind w:left="107"/>
              <w:rPr>
                <w:sz w:val="28"/>
              </w:rPr>
            </w:pPr>
            <w:r>
              <w:rPr>
                <w:sz w:val="28"/>
              </w:rPr>
              <w:t>79</w:t>
            </w:r>
          </w:p>
        </w:tc>
        <w:tc>
          <w:tcPr>
            <w:tcW w:w="1544" w:type="dxa"/>
          </w:tcPr>
          <w:p>
            <w:pPr>
              <w:pStyle w:val="TableParagraph"/>
              <w:spacing w:line="313" w:lineRule="exact"/>
              <w:ind w:left="109"/>
              <w:rPr>
                <w:sz w:val="28"/>
              </w:rPr>
            </w:pPr>
            <w:r>
              <w:rPr>
                <w:sz w:val="28"/>
              </w:rPr>
              <w:t>71</w:t>
            </w:r>
          </w:p>
        </w:tc>
        <w:tc>
          <w:tcPr>
            <w:tcW w:w="1860" w:type="dxa"/>
          </w:tcPr>
          <w:p>
            <w:pPr>
              <w:pStyle w:val="TableParagraph"/>
              <w:spacing w:line="313" w:lineRule="exact"/>
              <w:ind w:left="106"/>
              <w:rPr>
                <w:sz w:val="28"/>
              </w:rPr>
            </w:pPr>
            <w:r>
              <w:rPr>
                <w:sz w:val="28"/>
              </w:rPr>
              <w:t>4.81</w:t>
            </w:r>
          </w:p>
        </w:tc>
        <w:tc>
          <w:tcPr>
            <w:tcW w:w="2559" w:type="dxa"/>
          </w:tcPr>
          <w:p>
            <w:pPr>
              <w:pStyle w:val="TableParagraph"/>
              <w:spacing w:line="313" w:lineRule="exact"/>
              <w:ind w:left="106"/>
              <w:rPr>
                <w:sz w:val="28"/>
              </w:rPr>
            </w:pPr>
            <w:r>
              <w:rPr>
                <w:sz w:val="28"/>
              </w:rPr>
              <w:t>7.72</w:t>
            </w:r>
          </w:p>
        </w:tc>
      </w:tr>
      <w:tr>
        <w:trPr>
          <w:trHeight w:val="1286" w:hRule="atLeast"/>
        </w:trPr>
        <w:tc>
          <w:tcPr>
            <w:tcW w:w="806" w:type="dxa"/>
          </w:tcPr>
          <w:p>
            <w:pPr>
              <w:pStyle w:val="TableParagraph"/>
              <w:spacing w:line="276" w:lineRule="auto"/>
              <w:ind w:left="107" w:right="181"/>
              <w:rPr>
                <w:sz w:val="28"/>
              </w:rPr>
            </w:pPr>
            <w:r>
              <w:rPr>
                <w:sz w:val="28"/>
              </w:rPr>
              <w:t>F.K. 64</w:t>
            </w:r>
          </w:p>
          <w:p>
            <w:pPr>
              <w:pStyle w:val="TableParagraph"/>
              <w:ind w:left="107"/>
              <w:rPr>
                <w:sz w:val="28"/>
              </w:rPr>
            </w:pPr>
            <w:r>
              <w:rPr>
                <w:sz w:val="28"/>
              </w:rPr>
              <w:t>years</w:t>
            </w:r>
          </w:p>
        </w:tc>
        <w:tc>
          <w:tcPr>
            <w:tcW w:w="804" w:type="dxa"/>
          </w:tcPr>
          <w:p>
            <w:pPr>
              <w:pStyle w:val="TableParagraph"/>
              <w:spacing w:line="314" w:lineRule="exact"/>
              <w:ind w:left="110"/>
              <w:rPr>
                <w:sz w:val="28"/>
              </w:rPr>
            </w:pPr>
            <w:r>
              <w:rPr>
                <w:sz w:val="28"/>
              </w:rPr>
              <w:t>150.6</w:t>
            </w:r>
          </w:p>
        </w:tc>
        <w:tc>
          <w:tcPr>
            <w:tcW w:w="973" w:type="dxa"/>
          </w:tcPr>
          <w:p>
            <w:pPr>
              <w:pStyle w:val="TableParagraph"/>
              <w:spacing w:line="314" w:lineRule="exact"/>
              <w:ind w:left="108"/>
              <w:rPr>
                <w:sz w:val="28"/>
              </w:rPr>
            </w:pPr>
            <w:r>
              <w:rPr>
                <w:sz w:val="28"/>
              </w:rPr>
              <w:t>184.7</w:t>
            </w:r>
          </w:p>
        </w:tc>
        <w:tc>
          <w:tcPr>
            <w:tcW w:w="1275" w:type="dxa"/>
          </w:tcPr>
          <w:p>
            <w:pPr>
              <w:pStyle w:val="TableParagraph"/>
              <w:spacing w:line="314" w:lineRule="exact"/>
              <w:ind w:left="107"/>
              <w:rPr>
                <w:sz w:val="28"/>
              </w:rPr>
            </w:pPr>
            <w:r>
              <w:rPr>
                <w:sz w:val="28"/>
              </w:rPr>
              <w:t>52</w:t>
            </w:r>
          </w:p>
        </w:tc>
        <w:tc>
          <w:tcPr>
            <w:tcW w:w="1544" w:type="dxa"/>
          </w:tcPr>
          <w:p>
            <w:pPr>
              <w:pStyle w:val="TableParagraph"/>
              <w:spacing w:line="314" w:lineRule="exact"/>
              <w:ind w:left="109"/>
              <w:rPr>
                <w:sz w:val="28"/>
              </w:rPr>
            </w:pPr>
            <w:r>
              <w:rPr>
                <w:sz w:val="28"/>
              </w:rPr>
              <w:t>49</w:t>
            </w:r>
          </w:p>
        </w:tc>
        <w:tc>
          <w:tcPr>
            <w:tcW w:w="1860" w:type="dxa"/>
          </w:tcPr>
          <w:p>
            <w:pPr>
              <w:pStyle w:val="TableParagraph"/>
              <w:spacing w:line="314" w:lineRule="exact"/>
              <w:ind w:left="106"/>
              <w:rPr>
                <w:sz w:val="28"/>
              </w:rPr>
            </w:pPr>
            <w:r>
              <w:rPr>
                <w:sz w:val="28"/>
              </w:rPr>
              <w:t>7.83</w:t>
            </w:r>
          </w:p>
        </w:tc>
        <w:tc>
          <w:tcPr>
            <w:tcW w:w="2559" w:type="dxa"/>
          </w:tcPr>
          <w:p>
            <w:pPr>
              <w:pStyle w:val="TableParagraph"/>
              <w:spacing w:line="314" w:lineRule="exact"/>
              <w:ind w:left="106"/>
              <w:rPr>
                <w:sz w:val="28"/>
              </w:rPr>
            </w:pPr>
            <w:r>
              <w:rPr>
                <w:sz w:val="28"/>
              </w:rPr>
              <w:t>9.05</w:t>
            </w:r>
          </w:p>
        </w:tc>
      </w:tr>
      <w:tr>
        <w:trPr>
          <w:trHeight w:val="1288" w:hRule="atLeast"/>
        </w:trPr>
        <w:tc>
          <w:tcPr>
            <w:tcW w:w="806" w:type="dxa"/>
          </w:tcPr>
          <w:p>
            <w:pPr>
              <w:pStyle w:val="TableParagraph"/>
              <w:spacing w:line="276" w:lineRule="auto"/>
              <w:ind w:left="107" w:right="109"/>
              <w:rPr>
                <w:sz w:val="28"/>
              </w:rPr>
            </w:pPr>
            <w:r>
              <w:rPr>
                <w:sz w:val="28"/>
              </w:rPr>
              <w:t>A.W. 49</w:t>
            </w:r>
          </w:p>
          <w:p>
            <w:pPr>
              <w:pStyle w:val="TableParagraph"/>
              <w:ind w:left="107"/>
              <w:rPr>
                <w:sz w:val="28"/>
              </w:rPr>
            </w:pPr>
            <w:r>
              <w:rPr>
                <w:sz w:val="28"/>
              </w:rPr>
              <w:t>years</w:t>
            </w:r>
          </w:p>
        </w:tc>
        <w:tc>
          <w:tcPr>
            <w:tcW w:w="804" w:type="dxa"/>
          </w:tcPr>
          <w:p>
            <w:pPr>
              <w:pStyle w:val="TableParagraph"/>
              <w:spacing w:line="313" w:lineRule="exact"/>
              <w:ind w:left="110"/>
              <w:rPr>
                <w:sz w:val="28"/>
              </w:rPr>
            </w:pPr>
            <w:r>
              <w:rPr>
                <w:sz w:val="28"/>
              </w:rPr>
              <w:t>97.0</w:t>
            </w:r>
          </w:p>
        </w:tc>
        <w:tc>
          <w:tcPr>
            <w:tcW w:w="973" w:type="dxa"/>
          </w:tcPr>
          <w:p>
            <w:pPr>
              <w:pStyle w:val="TableParagraph"/>
              <w:spacing w:line="313" w:lineRule="exact"/>
              <w:ind w:left="108"/>
              <w:rPr>
                <w:sz w:val="28"/>
              </w:rPr>
            </w:pPr>
            <w:r>
              <w:rPr>
                <w:sz w:val="28"/>
              </w:rPr>
              <w:t>119.0</w:t>
            </w:r>
          </w:p>
        </w:tc>
        <w:tc>
          <w:tcPr>
            <w:tcW w:w="1275" w:type="dxa"/>
          </w:tcPr>
          <w:p>
            <w:pPr>
              <w:pStyle w:val="TableParagraph"/>
              <w:spacing w:line="313" w:lineRule="exact"/>
              <w:ind w:left="107"/>
              <w:rPr>
                <w:sz w:val="28"/>
              </w:rPr>
            </w:pPr>
            <w:r>
              <w:rPr>
                <w:sz w:val="28"/>
              </w:rPr>
              <w:t>73</w:t>
            </w:r>
          </w:p>
        </w:tc>
        <w:tc>
          <w:tcPr>
            <w:tcW w:w="1544" w:type="dxa"/>
          </w:tcPr>
          <w:p>
            <w:pPr>
              <w:pStyle w:val="TableParagraph"/>
              <w:spacing w:line="313" w:lineRule="exact"/>
              <w:ind w:left="109"/>
              <w:rPr>
                <w:sz w:val="28"/>
              </w:rPr>
            </w:pPr>
            <w:r>
              <w:rPr>
                <w:sz w:val="28"/>
              </w:rPr>
              <w:t>63</w:t>
            </w:r>
          </w:p>
        </w:tc>
        <w:tc>
          <w:tcPr>
            <w:tcW w:w="1860" w:type="dxa"/>
          </w:tcPr>
          <w:p>
            <w:pPr>
              <w:pStyle w:val="TableParagraph"/>
              <w:spacing w:line="313" w:lineRule="exact"/>
              <w:ind w:left="106"/>
              <w:rPr>
                <w:sz w:val="28"/>
              </w:rPr>
            </w:pPr>
            <w:r>
              <w:rPr>
                <w:sz w:val="28"/>
              </w:rPr>
              <w:t>7.81</w:t>
            </w:r>
          </w:p>
        </w:tc>
        <w:tc>
          <w:tcPr>
            <w:tcW w:w="2559" w:type="dxa"/>
          </w:tcPr>
          <w:p>
            <w:pPr>
              <w:pStyle w:val="TableParagraph"/>
              <w:spacing w:line="313" w:lineRule="exact"/>
              <w:ind w:left="106"/>
              <w:rPr>
                <w:sz w:val="28"/>
              </w:rPr>
            </w:pPr>
            <w:r>
              <w:rPr>
                <w:sz w:val="28"/>
              </w:rPr>
              <w:t>7.49</w:t>
            </w:r>
          </w:p>
        </w:tc>
      </w:tr>
      <w:tr>
        <w:trPr>
          <w:trHeight w:val="724" w:hRule="atLeast"/>
        </w:trPr>
        <w:tc>
          <w:tcPr>
            <w:tcW w:w="806" w:type="dxa"/>
          </w:tcPr>
          <w:p>
            <w:pPr>
              <w:pStyle w:val="TableParagraph"/>
              <w:spacing w:line="311" w:lineRule="exact"/>
              <w:ind w:left="107"/>
              <w:rPr>
                <w:sz w:val="28"/>
              </w:rPr>
            </w:pPr>
            <w:r>
              <w:rPr>
                <w:sz w:val="28"/>
              </w:rPr>
              <w:t>P.H.</w:t>
            </w:r>
          </w:p>
          <w:p>
            <w:pPr>
              <w:pStyle w:val="TableParagraph"/>
              <w:spacing w:before="47"/>
              <w:ind w:left="107"/>
              <w:rPr>
                <w:sz w:val="28"/>
              </w:rPr>
            </w:pPr>
            <w:r>
              <w:rPr>
                <w:sz w:val="28"/>
              </w:rPr>
              <w:t>74</w:t>
            </w:r>
          </w:p>
        </w:tc>
        <w:tc>
          <w:tcPr>
            <w:tcW w:w="804" w:type="dxa"/>
          </w:tcPr>
          <w:p>
            <w:pPr>
              <w:pStyle w:val="TableParagraph"/>
              <w:spacing w:line="313" w:lineRule="exact"/>
              <w:ind w:left="110"/>
              <w:rPr>
                <w:sz w:val="28"/>
              </w:rPr>
            </w:pPr>
            <w:r>
              <w:rPr>
                <w:sz w:val="28"/>
              </w:rPr>
              <w:t>130.6</w:t>
            </w:r>
          </w:p>
        </w:tc>
        <w:tc>
          <w:tcPr>
            <w:tcW w:w="973" w:type="dxa"/>
          </w:tcPr>
          <w:p>
            <w:pPr>
              <w:pStyle w:val="TableParagraph"/>
              <w:spacing w:line="313" w:lineRule="exact"/>
              <w:ind w:left="108"/>
              <w:rPr>
                <w:sz w:val="28"/>
              </w:rPr>
            </w:pPr>
            <w:r>
              <w:rPr>
                <w:sz w:val="28"/>
              </w:rPr>
              <w:t>141.9</w:t>
            </w:r>
          </w:p>
        </w:tc>
        <w:tc>
          <w:tcPr>
            <w:tcW w:w="1275" w:type="dxa"/>
          </w:tcPr>
          <w:p>
            <w:pPr>
              <w:pStyle w:val="TableParagraph"/>
              <w:spacing w:line="313" w:lineRule="exact"/>
              <w:ind w:left="107"/>
              <w:rPr>
                <w:sz w:val="28"/>
              </w:rPr>
            </w:pPr>
            <w:r>
              <w:rPr>
                <w:sz w:val="28"/>
              </w:rPr>
              <w:t>69</w:t>
            </w:r>
          </w:p>
        </w:tc>
        <w:tc>
          <w:tcPr>
            <w:tcW w:w="1544" w:type="dxa"/>
          </w:tcPr>
          <w:p>
            <w:pPr>
              <w:pStyle w:val="TableParagraph"/>
              <w:spacing w:line="313" w:lineRule="exact"/>
              <w:ind w:left="109"/>
              <w:rPr>
                <w:sz w:val="28"/>
              </w:rPr>
            </w:pPr>
            <w:r>
              <w:rPr>
                <w:sz w:val="28"/>
              </w:rPr>
              <w:t>62</w:t>
            </w:r>
          </w:p>
        </w:tc>
        <w:tc>
          <w:tcPr>
            <w:tcW w:w="1860" w:type="dxa"/>
          </w:tcPr>
          <w:p>
            <w:pPr>
              <w:pStyle w:val="TableParagraph"/>
              <w:spacing w:line="313" w:lineRule="exact"/>
              <w:ind w:left="106"/>
              <w:rPr>
                <w:sz w:val="28"/>
              </w:rPr>
            </w:pPr>
            <w:r>
              <w:rPr>
                <w:sz w:val="28"/>
              </w:rPr>
              <w:t>9.01</w:t>
            </w:r>
          </w:p>
        </w:tc>
        <w:tc>
          <w:tcPr>
            <w:tcW w:w="2559" w:type="dxa"/>
          </w:tcPr>
          <w:p>
            <w:pPr>
              <w:pStyle w:val="TableParagraph"/>
              <w:spacing w:line="313" w:lineRule="exact"/>
              <w:ind w:left="106"/>
              <w:rPr>
                <w:sz w:val="28"/>
              </w:rPr>
            </w:pPr>
            <w:r>
              <w:rPr>
                <w:sz w:val="28"/>
              </w:rPr>
              <w:t>8.80</w:t>
            </w:r>
          </w:p>
        </w:tc>
      </w:tr>
    </w:tbl>
    <w:p>
      <w:pPr>
        <w:pStyle w:val="BodyText"/>
        <w:rPr>
          <w:sz w:val="19"/>
        </w:rPr>
      </w:pPr>
      <w:r>
        <w:rPr/>
        <w:pict>
          <v:line style="position:absolute;mso-position-horizontal-relative:page;mso-position-vertical-relative:paragraph;z-index:12656;mso-wrap-distance-left:0;mso-wrap-distance-right:0" from="70.823997pt,13.080015pt" to="214.843997pt,13.080015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901 </w:t>
      </w:r>
      <w:hyperlink r:id="rId385">
        <w:r>
          <w:rPr>
            <w:sz w:val="20"/>
          </w:rPr>
          <w:t>http://www.strophantus.de/mediapool/59/596780/data/Sarre.pdf</w:t>
        </w:r>
      </w:hyperlink>
    </w:p>
    <w:p>
      <w:pPr>
        <w:spacing w:after="0"/>
        <w:jc w:val="left"/>
        <w:rPr>
          <w:sz w:val="20"/>
        </w:rPr>
        <w:sectPr>
          <w:pgSz w:w="14270" w:h="16850"/>
          <w:pgMar w:header="0" w:footer="1891" w:top="1320" w:bottom="2080" w:left="800" w:right="1280"/>
        </w:sect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6"/>
        <w:gridCol w:w="804"/>
        <w:gridCol w:w="973"/>
        <w:gridCol w:w="1275"/>
        <w:gridCol w:w="1544"/>
        <w:gridCol w:w="1860"/>
        <w:gridCol w:w="2559"/>
      </w:tblGrid>
      <w:tr>
        <w:trPr>
          <w:trHeight w:val="564" w:hRule="atLeast"/>
        </w:trPr>
        <w:tc>
          <w:tcPr>
            <w:tcW w:w="806" w:type="dxa"/>
          </w:tcPr>
          <w:p>
            <w:pPr>
              <w:pStyle w:val="TableParagraph"/>
              <w:spacing w:line="311" w:lineRule="exact"/>
              <w:ind w:left="107"/>
              <w:rPr>
                <w:sz w:val="28"/>
              </w:rPr>
            </w:pPr>
            <w:r>
              <w:rPr>
                <w:sz w:val="28"/>
              </w:rPr>
              <w:t>years</w:t>
            </w:r>
          </w:p>
        </w:tc>
        <w:tc>
          <w:tcPr>
            <w:tcW w:w="804" w:type="dxa"/>
          </w:tcPr>
          <w:p>
            <w:pPr>
              <w:pStyle w:val="TableParagraph"/>
              <w:rPr>
                <w:rFonts w:ascii="Times New Roman"/>
                <w:sz w:val="26"/>
              </w:rPr>
            </w:pPr>
          </w:p>
        </w:tc>
        <w:tc>
          <w:tcPr>
            <w:tcW w:w="973" w:type="dxa"/>
          </w:tcPr>
          <w:p>
            <w:pPr>
              <w:pStyle w:val="TableParagraph"/>
              <w:rPr>
                <w:rFonts w:ascii="Times New Roman"/>
                <w:sz w:val="26"/>
              </w:rPr>
            </w:pPr>
          </w:p>
        </w:tc>
        <w:tc>
          <w:tcPr>
            <w:tcW w:w="1275" w:type="dxa"/>
          </w:tcPr>
          <w:p>
            <w:pPr>
              <w:pStyle w:val="TableParagraph"/>
              <w:rPr>
                <w:rFonts w:ascii="Times New Roman"/>
                <w:sz w:val="26"/>
              </w:rPr>
            </w:pPr>
          </w:p>
        </w:tc>
        <w:tc>
          <w:tcPr>
            <w:tcW w:w="1544" w:type="dxa"/>
          </w:tcPr>
          <w:p>
            <w:pPr>
              <w:pStyle w:val="TableParagraph"/>
              <w:rPr>
                <w:rFonts w:ascii="Times New Roman"/>
                <w:sz w:val="26"/>
              </w:rPr>
            </w:pPr>
          </w:p>
        </w:tc>
        <w:tc>
          <w:tcPr>
            <w:tcW w:w="1860" w:type="dxa"/>
          </w:tcPr>
          <w:p>
            <w:pPr>
              <w:pStyle w:val="TableParagraph"/>
              <w:rPr>
                <w:rFonts w:ascii="Times New Roman"/>
                <w:sz w:val="26"/>
              </w:rPr>
            </w:pPr>
          </w:p>
        </w:tc>
        <w:tc>
          <w:tcPr>
            <w:tcW w:w="2559" w:type="dxa"/>
          </w:tcPr>
          <w:p>
            <w:pPr>
              <w:pStyle w:val="TableParagraph"/>
              <w:rPr>
                <w:rFonts w:ascii="Times New Roman"/>
                <w:sz w:val="26"/>
              </w:rPr>
            </w:pPr>
          </w:p>
        </w:tc>
      </w:tr>
      <w:tr>
        <w:trPr>
          <w:trHeight w:val="1285" w:hRule="atLeast"/>
        </w:trPr>
        <w:tc>
          <w:tcPr>
            <w:tcW w:w="806" w:type="dxa"/>
          </w:tcPr>
          <w:p>
            <w:pPr>
              <w:pStyle w:val="TableParagraph"/>
              <w:spacing w:line="276" w:lineRule="auto"/>
              <w:ind w:left="107" w:right="79"/>
              <w:rPr>
                <w:sz w:val="28"/>
              </w:rPr>
            </w:pPr>
            <w:r>
              <w:rPr>
                <w:sz w:val="28"/>
              </w:rPr>
              <w:t>M.M. 59</w:t>
            </w:r>
          </w:p>
          <w:p>
            <w:pPr>
              <w:pStyle w:val="TableParagraph"/>
              <w:ind w:left="107"/>
              <w:rPr>
                <w:sz w:val="28"/>
              </w:rPr>
            </w:pPr>
            <w:r>
              <w:rPr>
                <w:sz w:val="28"/>
              </w:rPr>
              <w:t>years</w:t>
            </w:r>
          </w:p>
        </w:tc>
        <w:tc>
          <w:tcPr>
            <w:tcW w:w="804" w:type="dxa"/>
          </w:tcPr>
          <w:p>
            <w:pPr>
              <w:pStyle w:val="TableParagraph"/>
              <w:spacing w:line="309" w:lineRule="exact"/>
              <w:ind w:left="110"/>
              <w:rPr>
                <w:sz w:val="28"/>
              </w:rPr>
            </w:pPr>
            <w:r>
              <w:rPr>
                <w:sz w:val="28"/>
              </w:rPr>
              <w:t>87.1</w:t>
            </w:r>
          </w:p>
        </w:tc>
        <w:tc>
          <w:tcPr>
            <w:tcW w:w="973" w:type="dxa"/>
          </w:tcPr>
          <w:p>
            <w:pPr>
              <w:pStyle w:val="TableParagraph"/>
              <w:spacing w:line="309" w:lineRule="exact"/>
              <w:ind w:left="108"/>
              <w:rPr>
                <w:sz w:val="28"/>
              </w:rPr>
            </w:pPr>
            <w:r>
              <w:rPr>
                <w:sz w:val="28"/>
              </w:rPr>
              <w:t>108.2</w:t>
            </w:r>
          </w:p>
        </w:tc>
        <w:tc>
          <w:tcPr>
            <w:tcW w:w="1275" w:type="dxa"/>
          </w:tcPr>
          <w:p>
            <w:pPr>
              <w:pStyle w:val="TableParagraph"/>
              <w:spacing w:line="309" w:lineRule="exact"/>
              <w:ind w:left="107"/>
              <w:rPr>
                <w:sz w:val="28"/>
              </w:rPr>
            </w:pPr>
            <w:r>
              <w:rPr>
                <w:sz w:val="28"/>
              </w:rPr>
              <w:t>67</w:t>
            </w:r>
          </w:p>
        </w:tc>
        <w:tc>
          <w:tcPr>
            <w:tcW w:w="1544" w:type="dxa"/>
          </w:tcPr>
          <w:p>
            <w:pPr>
              <w:pStyle w:val="TableParagraph"/>
              <w:spacing w:line="309" w:lineRule="exact"/>
              <w:ind w:left="109"/>
              <w:rPr>
                <w:sz w:val="28"/>
              </w:rPr>
            </w:pPr>
            <w:r>
              <w:rPr>
                <w:sz w:val="28"/>
              </w:rPr>
              <w:t>64</w:t>
            </w:r>
          </w:p>
        </w:tc>
        <w:tc>
          <w:tcPr>
            <w:tcW w:w="1860" w:type="dxa"/>
          </w:tcPr>
          <w:p>
            <w:pPr>
              <w:pStyle w:val="TableParagraph"/>
              <w:spacing w:line="309" w:lineRule="exact"/>
              <w:ind w:left="106"/>
              <w:rPr>
                <w:sz w:val="28"/>
              </w:rPr>
            </w:pPr>
            <w:r>
              <w:rPr>
                <w:sz w:val="28"/>
              </w:rPr>
              <w:t>5.84</w:t>
            </w:r>
          </w:p>
        </w:tc>
        <w:tc>
          <w:tcPr>
            <w:tcW w:w="2559" w:type="dxa"/>
          </w:tcPr>
          <w:p>
            <w:pPr>
              <w:pStyle w:val="TableParagraph"/>
              <w:spacing w:line="309" w:lineRule="exact"/>
              <w:ind w:left="106"/>
              <w:rPr>
                <w:sz w:val="28"/>
              </w:rPr>
            </w:pPr>
            <w:r>
              <w:rPr>
                <w:sz w:val="28"/>
              </w:rPr>
              <w:t>6.92</w:t>
            </w:r>
          </w:p>
        </w:tc>
      </w:tr>
      <w:tr>
        <w:trPr>
          <w:trHeight w:val="1285" w:hRule="atLeast"/>
        </w:trPr>
        <w:tc>
          <w:tcPr>
            <w:tcW w:w="806" w:type="dxa"/>
          </w:tcPr>
          <w:p>
            <w:pPr>
              <w:pStyle w:val="TableParagraph"/>
              <w:spacing w:line="276" w:lineRule="auto"/>
              <w:ind w:left="107" w:right="184"/>
              <w:rPr>
                <w:sz w:val="28"/>
              </w:rPr>
            </w:pPr>
            <w:r>
              <w:rPr>
                <w:sz w:val="28"/>
              </w:rPr>
              <w:t>A.B. 56</w:t>
            </w:r>
          </w:p>
          <w:p>
            <w:pPr>
              <w:pStyle w:val="TableParagraph"/>
              <w:ind w:left="107"/>
              <w:rPr>
                <w:sz w:val="28"/>
              </w:rPr>
            </w:pPr>
            <w:r>
              <w:rPr>
                <w:sz w:val="28"/>
              </w:rPr>
              <w:t>years</w:t>
            </w:r>
          </w:p>
        </w:tc>
        <w:tc>
          <w:tcPr>
            <w:tcW w:w="804" w:type="dxa"/>
          </w:tcPr>
          <w:p>
            <w:pPr>
              <w:pStyle w:val="TableParagraph"/>
              <w:spacing w:line="309" w:lineRule="exact"/>
              <w:ind w:left="110"/>
              <w:rPr>
                <w:sz w:val="28"/>
              </w:rPr>
            </w:pPr>
            <w:r>
              <w:rPr>
                <w:sz w:val="28"/>
              </w:rPr>
              <w:t>76.8</w:t>
            </w:r>
          </w:p>
        </w:tc>
        <w:tc>
          <w:tcPr>
            <w:tcW w:w="973" w:type="dxa"/>
          </w:tcPr>
          <w:p>
            <w:pPr>
              <w:pStyle w:val="TableParagraph"/>
              <w:spacing w:line="309" w:lineRule="exact"/>
              <w:ind w:left="108"/>
              <w:rPr>
                <w:sz w:val="28"/>
              </w:rPr>
            </w:pPr>
            <w:r>
              <w:rPr>
                <w:sz w:val="28"/>
              </w:rPr>
              <w:t>83.9</w:t>
            </w:r>
          </w:p>
        </w:tc>
        <w:tc>
          <w:tcPr>
            <w:tcW w:w="1275" w:type="dxa"/>
          </w:tcPr>
          <w:p>
            <w:pPr>
              <w:pStyle w:val="TableParagraph"/>
              <w:spacing w:line="309" w:lineRule="exact"/>
              <w:ind w:left="107"/>
              <w:rPr>
                <w:sz w:val="28"/>
              </w:rPr>
            </w:pPr>
            <w:r>
              <w:rPr>
                <w:sz w:val="28"/>
              </w:rPr>
              <w:t>80</w:t>
            </w:r>
          </w:p>
        </w:tc>
        <w:tc>
          <w:tcPr>
            <w:tcW w:w="1544" w:type="dxa"/>
          </w:tcPr>
          <w:p>
            <w:pPr>
              <w:pStyle w:val="TableParagraph"/>
              <w:spacing w:line="309" w:lineRule="exact"/>
              <w:ind w:left="109"/>
              <w:rPr>
                <w:sz w:val="28"/>
              </w:rPr>
            </w:pPr>
            <w:r>
              <w:rPr>
                <w:sz w:val="28"/>
              </w:rPr>
              <w:t>78</w:t>
            </w:r>
          </w:p>
        </w:tc>
        <w:tc>
          <w:tcPr>
            <w:tcW w:w="1860" w:type="dxa"/>
          </w:tcPr>
          <w:p>
            <w:pPr>
              <w:pStyle w:val="TableParagraph"/>
              <w:spacing w:line="309" w:lineRule="exact"/>
              <w:ind w:left="106"/>
              <w:rPr>
                <w:sz w:val="28"/>
              </w:rPr>
            </w:pPr>
            <w:r>
              <w:rPr>
                <w:sz w:val="28"/>
              </w:rPr>
              <w:t>6.15</w:t>
            </w:r>
          </w:p>
        </w:tc>
        <w:tc>
          <w:tcPr>
            <w:tcW w:w="2559" w:type="dxa"/>
          </w:tcPr>
          <w:p>
            <w:pPr>
              <w:pStyle w:val="TableParagraph"/>
              <w:spacing w:line="309" w:lineRule="exact"/>
              <w:ind w:left="106"/>
              <w:rPr>
                <w:sz w:val="28"/>
              </w:rPr>
            </w:pPr>
            <w:r>
              <w:rPr>
                <w:sz w:val="28"/>
              </w:rPr>
              <w:t>6.53</w:t>
            </w:r>
          </w:p>
        </w:tc>
      </w:tr>
      <w:tr>
        <w:trPr>
          <w:trHeight w:val="1288" w:hRule="atLeast"/>
        </w:trPr>
        <w:tc>
          <w:tcPr>
            <w:tcW w:w="806" w:type="dxa"/>
          </w:tcPr>
          <w:p>
            <w:pPr>
              <w:pStyle w:val="TableParagraph"/>
              <w:spacing w:line="276" w:lineRule="auto"/>
              <w:ind w:left="107" w:right="252"/>
              <w:rPr>
                <w:sz w:val="28"/>
              </w:rPr>
            </w:pPr>
            <w:r>
              <w:rPr>
                <w:sz w:val="28"/>
              </w:rPr>
              <w:t>L.S. 54</w:t>
            </w:r>
          </w:p>
          <w:p>
            <w:pPr>
              <w:pStyle w:val="TableParagraph"/>
              <w:ind w:left="107"/>
              <w:rPr>
                <w:sz w:val="28"/>
              </w:rPr>
            </w:pPr>
            <w:r>
              <w:rPr>
                <w:sz w:val="28"/>
              </w:rPr>
              <w:t>years</w:t>
            </w:r>
          </w:p>
        </w:tc>
        <w:tc>
          <w:tcPr>
            <w:tcW w:w="804" w:type="dxa"/>
          </w:tcPr>
          <w:p>
            <w:pPr>
              <w:pStyle w:val="TableParagraph"/>
              <w:spacing w:line="311" w:lineRule="exact"/>
              <w:ind w:left="110"/>
              <w:rPr>
                <w:sz w:val="28"/>
              </w:rPr>
            </w:pPr>
            <w:r>
              <w:rPr>
                <w:sz w:val="28"/>
              </w:rPr>
              <w:t>85.0</w:t>
            </w:r>
          </w:p>
        </w:tc>
        <w:tc>
          <w:tcPr>
            <w:tcW w:w="973" w:type="dxa"/>
          </w:tcPr>
          <w:p>
            <w:pPr>
              <w:pStyle w:val="TableParagraph"/>
              <w:spacing w:line="311" w:lineRule="exact"/>
              <w:ind w:left="108"/>
              <w:rPr>
                <w:sz w:val="28"/>
              </w:rPr>
            </w:pPr>
            <w:r>
              <w:rPr>
                <w:sz w:val="28"/>
              </w:rPr>
              <w:t>104.0</w:t>
            </w:r>
          </w:p>
        </w:tc>
        <w:tc>
          <w:tcPr>
            <w:tcW w:w="1275" w:type="dxa"/>
          </w:tcPr>
          <w:p>
            <w:pPr>
              <w:pStyle w:val="TableParagraph"/>
              <w:spacing w:line="311" w:lineRule="exact"/>
              <w:ind w:left="107"/>
              <w:rPr>
                <w:sz w:val="28"/>
              </w:rPr>
            </w:pPr>
            <w:r>
              <w:rPr>
                <w:sz w:val="28"/>
              </w:rPr>
              <w:t>81</w:t>
            </w:r>
          </w:p>
        </w:tc>
        <w:tc>
          <w:tcPr>
            <w:tcW w:w="1544" w:type="dxa"/>
          </w:tcPr>
          <w:p>
            <w:pPr>
              <w:pStyle w:val="TableParagraph"/>
              <w:spacing w:line="311" w:lineRule="exact"/>
              <w:ind w:left="109"/>
              <w:rPr>
                <w:sz w:val="28"/>
              </w:rPr>
            </w:pPr>
            <w:r>
              <w:rPr>
                <w:sz w:val="28"/>
              </w:rPr>
              <w:t>77</w:t>
            </w:r>
          </w:p>
        </w:tc>
        <w:tc>
          <w:tcPr>
            <w:tcW w:w="1860" w:type="dxa"/>
          </w:tcPr>
          <w:p>
            <w:pPr>
              <w:pStyle w:val="TableParagraph"/>
              <w:spacing w:line="311" w:lineRule="exact"/>
              <w:ind w:left="106"/>
              <w:rPr>
                <w:sz w:val="28"/>
              </w:rPr>
            </w:pPr>
            <w:r>
              <w:rPr>
                <w:sz w:val="28"/>
              </w:rPr>
              <w:t>6.88</w:t>
            </w:r>
          </w:p>
        </w:tc>
        <w:tc>
          <w:tcPr>
            <w:tcW w:w="2559" w:type="dxa"/>
          </w:tcPr>
          <w:p>
            <w:pPr>
              <w:pStyle w:val="TableParagraph"/>
              <w:spacing w:line="311" w:lineRule="exact"/>
              <w:ind w:left="106"/>
              <w:rPr>
                <w:sz w:val="28"/>
              </w:rPr>
            </w:pPr>
            <w:r>
              <w:rPr>
                <w:sz w:val="28"/>
              </w:rPr>
              <w:t>8.00</w:t>
            </w:r>
          </w:p>
        </w:tc>
      </w:tr>
      <w:tr>
        <w:trPr>
          <w:trHeight w:val="1286" w:hRule="atLeast"/>
        </w:trPr>
        <w:tc>
          <w:tcPr>
            <w:tcW w:w="806" w:type="dxa"/>
          </w:tcPr>
          <w:p>
            <w:pPr>
              <w:pStyle w:val="TableParagraph"/>
              <w:spacing w:line="276" w:lineRule="auto"/>
              <w:ind w:left="107" w:right="193"/>
              <w:rPr>
                <w:sz w:val="28"/>
              </w:rPr>
            </w:pPr>
            <w:r>
              <w:rPr>
                <w:sz w:val="28"/>
              </w:rPr>
              <w:t>O.S. 49</w:t>
            </w:r>
          </w:p>
          <w:p>
            <w:pPr>
              <w:pStyle w:val="TableParagraph"/>
              <w:ind w:left="107"/>
              <w:rPr>
                <w:sz w:val="28"/>
              </w:rPr>
            </w:pPr>
            <w:r>
              <w:rPr>
                <w:sz w:val="28"/>
              </w:rPr>
              <w:t>years</w:t>
            </w:r>
          </w:p>
        </w:tc>
        <w:tc>
          <w:tcPr>
            <w:tcW w:w="804" w:type="dxa"/>
          </w:tcPr>
          <w:p>
            <w:pPr>
              <w:pStyle w:val="TableParagraph"/>
              <w:spacing w:line="309" w:lineRule="exact"/>
              <w:ind w:left="110"/>
              <w:rPr>
                <w:sz w:val="28"/>
              </w:rPr>
            </w:pPr>
            <w:r>
              <w:rPr>
                <w:sz w:val="28"/>
              </w:rPr>
              <w:t>69.5</w:t>
            </w:r>
          </w:p>
        </w:tc>
        <w:tc>
          <w:tcPr>
            <w:tcW w:w="973" w:type="dxa"/>
          </w:tcPr>
          <w:p>
            <w:pPr>
              <w:pStyle w:val="TableParagraph"/>
              <w:spacing w:line="309" w:lineRule="exact"/>
              <w:ind w:left="108"/>
              <w:rPr>
                <w:sz w:val="28"/>
              </w:rPr>
            </w:pPr>
            <w:r>
              <w:rPr>
                <w:sz w:val="28"/>
              </w:rPr>
              <w:t>91.9</w:t>
            </w:r>
          </w:p>
        </w:tc>
        <w:tc>
          <w:tcPr>
            <w:tcW w:w="1275" w:type="dxa"/>
          </w:tcPr>
          <w:p>
            <w:pPr>
              <w:pStyle w:val="TableParagraph"/>
              <w:spacing w:line="309" w:lineRule="exact"/>
              <w:ind w:left="107"/>
              <w:rPr>
                <w:sz w:val="28"/>
              </w:rPr>
            </w:pPr>
            <w:r>
              <w:rPr>
                <w:sz w:val="28"/>
              </w:rPr>
              <w:t>74</w:t>
            </w:r>
          </w:p>
        </w:tc>
        <w:tc>
          <w:tcPr>
            <w:tcW w:w="1544" w:type="dxa"/>
          </w:tcPr>
          <w:p>
            <w:pPr>
              <w:pStyle w:val="TableParagraph"/>
              <w:spacing w:line="309" w:lineRule="exact"/>
              <w:ind w:left="109"/>
              <w:rPr>
                <w:sz w:val="28"/>
              </w:rPr>
            </w:pPr>
            <w:r>
              <w:rPr>
                <w:sz w:val="28"/>
              </w:rPr>
              <w:t>58</w:t>
            </w:r>
          </w:p>
        </w:tc>
        <w:tc>
          <w:tcPr>
            <w:tcW w:w="1860" w:type="dxa"/>
          </w:tcPr>
          <w:p>
            <w:pPr>
              <w:pStyle w:val="TableParagraph"/>
              <w:spacing w:line="309" w:lineRule="exact"/>
              <w:ind w:left="106"/>
              <w:rPr>
                <w:sz w:val="28"/>
              </w:rPr>
            </w:pPr>
            <w:r>
              <w:rPr>
                <w:sz w:val="28"/>
              </w:rPr>
              <w:t>5.14</w:t>
            </w:r>
          </w:p>
        </w:tc>
        <w:tc>
          <w:tcPr>
            <w:tcW w:w="2559" w:type="dxa"/>
          </w:tcPr>
          <w:p>
            <w:pPr>
              <w:pStyle w:val="TableParagraph"/>
              <w:spacing w:line="309" w:lineRule="exact"/>
              <w:ind w:left="106"/>
              <w:rPr>
                <w:sz w:val="28"/>
              </w:rPr>
            </w:pPr>
            <w:r>
              <w:rPr>
                <w:sz w:val="28"/>
              </w:rPr>
              <w:t>5.33</w:t>
            </w:r>
          </w:p>
        </w:tc>
      </w:tr>
      <w:tr>
        <w:trPr>
          <w:trHeight w:val="1286" w:hRule="atLeast"/>
        </w:trPr>
        <w:tc>
          <w:tcPr>
            <w:tcW w:w="806" w:type="dxa"/>
          </w:tcPr>
          <w:p>
            <w:pPr>
              <w:pStyle w:val="TableParagraph"/>
              <w:spacing w:line="276" w:lineRule="auto"/>
              <w:ind w:left="107" w:right="254"/>
              <w:rPr>
                <w:sz w:val="28"/>
              </w:rPr>
            </w:pPr>
            <w:r>
              <w:rPr>
                <w:sz w:val="28"/>
              </w:rPr>
              <w:t>F.S. 50</w:t>
            </w:r>
          </w:p>
          <w:p>
            <w:pPr>
              <w:pStyle w:val="TableParagraph"/>
              <w:ind w:left="107"/>
              <w:rPr>
                <w:sz w:val="28"/>
              </w:rPr>
            </w:pPr>
            <w:r>
              <w:rPr>
                <w:sz w:val="28"/>
              </w:rPr>
              <w:t>years</w:t>
            </w:r>
          </w:p>
        </w:tc>
        <w:tc>
          <w:tcPr>
            <w:tcW w:w="804" w:type="dxa"/>
          </w:tcPr>
          <w:p>
            <w:pPr>
              <w:pStyle w:val="TableParagraph"/>
              <w:spacing w:line="309" w:lineRule="exact"/>
              <w:ind w:left="110"/>
              <w:rPr>
                <w:sz w:val="28"/>
              </w:rPr>
            </w:pPr>
            <w:r>
              <w:rPr>
                <w:sz w:val="28"/>
              </w:rPr>
              <w:t>56.5</w:t>
            </w:r>
          </w:p>
        </w:tc>
        <w:tc>
          <w:tcPr>
            <w:tcW w:w="973" w:type="dxa"/>
          </w:tcPr>
          <w:p>
            <w:pPr>
              <w:pStyle w:val="TableParagraph"/>
              <w:spacing w:line="309" w:lineRule="exact"/>
              <w:ind w:left="108"/>
              <w:rPr>
                <w:sz w:val="28"/>
              </w:rPr>
            </w:pPr>
            <w:r>
              <w:rPr>
                <w:sz w:val="28"/>
              </w:rPr>
              <w:t>57.5</w:t>
            </w:r>
          </w:p>
        </w:tc>
        <w:tc>
          <w:tcPr>
            <w:tcW w:w="1275" w:type="dxa"/>
          </w:tcPr>
          <w:p>
            <w:pPr>
              <w:pStyle w:val="TableParagraph"/>
              <w:spacing w:line="309" w:lineRule="exact"/>
              <w:ind w:left="107"/>
              <w:rPr>
                <w:sz w:val="28"/>
              </w:rPr>
            </w:pPr>
            <w:r>
              <w:rPr>
                <w:sz w:val="28"/>
              </w:rPr>
              <w:t>95</w:t>
            </w:r>
          </w:p>
        </w:tc>
        <w:tc>
          <w:tcPr>
            <w:tcW w:w="1544" w:type="dxa"/>
          </w:tcPr>
          <w:p>
            <w:pPr>
              <w:pStyle w:val="TableParagraph"/>
              <w:spacing w:line="309" w:lineRule="exact"/>
              <w:ind w:left="109"/>
              <w:rPr>
                <w:sz w:val="28"/>
              </w:rPr>
            </w:pPr>
            <w:r>
              <w:rPr>
                <w:sz w:val="28"/>
              </w:rPr>
              <w:t>83</w:t>
            </w:r>
          </w:p>
        </w:tc>
        <w:tc>
          <w:tcPr>
            <w:tcW w:w="1860" w:type="dxa"/>
          </w:tcPr>
          <w:p>
            <w:pPr>
              <w:pStyle w:val="TableParagraph"/>
              <w:spacing w:line="309" w:lineRule="exact"/>
              <w:ind w:left="106"/>
              <w:rPr>
                <w:sz w:val="28"/>
              </w:rPr>
            </w:pPr>
            <w:r>
              <w:rPr>
                <w:sz w:val="28"/>
              </w:rPr>
              <w:t>5.36</w:t>
            </w:r>
          </w:p>
        </w:tc>
        <w:tc>
          <w:tcPr>
            <w:tcW w:w="2559" w:type="dxa"/>
          </w:tcPr>
          <w:p>
            <w:pPr>
              <w:pStyle w:val="TableParagraph"/>
              <w:spacing w:line="309" w:lineRule="exact"/>
              <w:ind w:left="106"/>
              <w:rPr>
                <w:sz w:val="28"/>
              </w:rPr>
            </w:pPr>
            <w:r>
              <w:rPr>
                <w:sz w:val="28"/>
              </w:rPr>
              <w:t>4.77</w:t>
            </w:r>
          </w:p>
        </w:tc>
      </w:tr>
      <w:tr>
        <w:trPr>
          <w:trHeight w:val="1288" w:hRule="atLeast"/>
        </w:trPr>
        <w:tc>
          <w:tcPr>
            <w:tcW w:w="806" w:type="dxa"/>
          </w:tcPr>
          <w:p>
            <w:pPr>
              <w:pStyle w:val="TableParagraph"/>
              <w:spacing w:line="276" w:lineRule="auto"/>
              <w:ind w:left="107" w:right="179"/>
              <w:rPr>
                <w:sz w:val="28"/>
              </w:rPr>
            </w:pPr>
            <w:r>
              <w:rPr>
                <w:sz w:val="28"/>
              </w:rPr>
              <w:t>K.L. 75</w:t>
            </w:r>
          </w:p>
          <w:p>
            <w:pPr>
              <w:pStyle w:val="TableParagraph"/>
              <w:ind w:left="107"/>
              <w:rPr>
                <w:sz w:val="28"/>
              </w:rPr>
            </w:pPr>
            <w:r>
              <w:rPr>
                <w:sz w:val="28"/>
              </w:rPr>
              <w:t>years</w:t>
            </w:r>
          </w:p>
        </w:tc>
        <w:tc>
          <w:tcPr>
            <w:tcW w:w="804" w:type="dxa"/>
          </w:tcPr>
          <w:p>
            <w:pPr>
              <w:pStyle w:val="TableParagraph"/>
              <w:spacing w:line="311" w:lineRule="exact"/>
              <w:ind w:left="110"/>
              <w:rPr>
                <w:sz w:val="28"/>
              </w:rPr>
            </w:pPr>
            <w:r>
              <w:rPr>
                <w:sz w:val="28"/>
              </w:rPr>
              <w:t>65.7</w:t>
            </w:r>
          </w:p>
        </w:tc>
        <w:tc>
          <w:tcPr>
            <w:tcW w:w="973" w:type="dxa"/>
          </w:tcPr>
          <w:p>
            <w:pPr>
              <w:pStyle w:val="TableParagraph"/>
              <w:spacing w:line="311" w:lineRule="exact"/>
              <w:ind w:left="108"/>
              <w:rPr>
                <w:sz w:val="28"/>
              </w:rPr>
            </w:pPr>
            <w:r>
              <w:rPr>
                <w:sz w:val="28"/>
              </w:rPr>
              <w:t>89.6</w:t>
            </w:r>
          </w:p>
        </w:tc>
        <w:tc>
          <w:tcPr>
            <w:tcW w:w="1275" w:type="dxa"/>
          </w:tcPr>
          <w:p>
            <w:pPr>
              <w:pStyle w:val="TableParagraph"/>
              <w:spacing w:line="311" w:lineRule="exact"/>
              <w:ind w:left="107"/>
              <w:rPr>
                <w:sz w:val="28"/>
              </w:rPr>
            </w:pPr>
            <w:r>
              <w:rPr>
                <w:sz w:val="28"/>
              </w:rPr>
              <w:t>80</w:t>
            </w:r>
          </w:p>
        </w:tc>
        <w:tc>
          <w:tcPr>
            <w:tcW w:w="1544" w:type="dxa"/>
          </w:tcPr>
          <w:p>
            <w:pPr>
              <w:pStyle w:val="TableParagraph"/>
              <w:spacing w:line="311" w:lineRule="exact"/>
              <w:ind w:left="109"/>
              <w:rPr>
                <w:sz w:val="28"/>
              </w:rPr>
            </w:pPr>
            <w:r>
              <w:rPr>
                <w:sz w:val="28"/>
              </w:rPr>
              <w:t>75</w:t>
            </w:r>
          </w:p>
        </w:tc>
        <w:tc>
          <w:tcPr>
            <w:tcW w:w="1860" w:type="dxa"/>
          </w:tcPr>
          <w:p>
            <w:pPr>
              <w:pStyle w:val="TableParagraph"/>
              <w:spacing w:line="311" w:lineRule="exact"/>
              <w:ind w:left="106"/>
              <w:rPr>
                <w:sz w:val="28"/>
              </w:rPr>
            </w:pPr>
            <w:r>
              <w:rPr>
                <w:sz w:val="28"/>
              </w:rPr>
              <w:t>5.25</w:t>
            </w:r>
          </w:p>
        </w:tc>
        <w:tc>
          <w:tcPr>
            <w:tcW w:w="2559" w:type="dxa"/>
          </w:tcPr>
          <w:p>
            <w:pPr>
              <w:pStyle w:val="TableParagraph"/>
              <w:spacing w:line="311" w:lineRule="exact"/>
              <w:ind w:left="106"/>
              <w:rPr>
                <w:sz w:val="28"/>
              </w:rPr>
            </w:pPr>
            <w:r>
              <w:rPr>
                <w:sz w:val="28"/>
              </w:rPr>
              <w:t>6.72</w:t>
            </w:r>
          </w:p>
        </w:tc>
      </w:tr>
      <w:tr>
        <w:trPr>
          <w:trHeight w:val="1286" w:hRule="atLeast"/>
        </w:trPr>
        <w:tc>
          <w:tcPr>
            <w:tcW w:w="806" w:type="dxa"/>
          </w:tcPr>
          <w:p>
            <w:pPr>
              <w:pStyle w:val="TableParagraph"/>
              <w:spacing w:line="276" w:lineRule="auto"/>
              <w:ind w:left="107"/>
              <w:rPr>
                <w:sz w:val="28"/>
              </w:rPr>
            </w:pPr>
            <w:r>
              <w:rPr>
                <w:sz w:val="28"/>
              </w:rPr>
              <w:t>B. T. 64 years</w:t>
            </w:r>
          </w:p>
        </w:tc>
        <w:tc>
          <w:tcPr>
            <w:tcW w:w="804" w:type="dxa"/>
          </w:tcPr>
          <w:p>
            <w:pPr>
              <w:pStyle w:val="TableParagraph"/>
              <w:spacing w:line="309" w:lineRule="exact"/>
              <w:ind w:left="110"/>
              <w:rPr>
                <w:sz w:val="28"/>
              </w:rPr>
            </w:pPr>
            <w:r>
              <w:rPr>
                <w:sz w:val="28"/>
              </w:rPr>
              <w:t>93.9</w:t>
            </w:r>
          </w:p>
        </w:tc>
        <w:tc>
          <w:tcPr>
            <w:tcW w:w="973" w:type="dxa"/>
          </w:tcPr>
          <w:p>
            <w:pPr>
              <w:pStyle w:val="TableParagraph"/>
              <w:spacing w:line="309" w:lineRule="exact"/>
              <w:ind w:left="108"/>
              <w:rPr>
                <w:sz w:val="28"/>
              </w:rPr>
            </w:pPr>
            <w:r>
              <w:rPr>
                <w:sz w:val="28"/>
              </w:rPr>
              <w:t>116.6</w:t>
            </w:r>
          </w:p>
        </w:tc>
        <w:tc>
          <w:tcPr>
            <w:tcW w:w="1275" w:type="dxa"/>
          </w:tcPr>
          <w:p>
            <w:pPr>
              <w:pStyle w:val="TableParagraph"/>
              <w:spacing w:line="309" w:lineRule="exact"/>
              <w:ind w:left="107"/>
              <w:rPr>
                <w:sz w:val="28"/>
              </w:rPr>
            </w:pPr>
            <w:r>
              <w:rPr>
                <w:sz w:val="28"/>
              </w:rPr>
              <w:t>78</w:t>
            </w:r>
          </w:p>
        </w:tc>
        <w:tc>
          <w:tcPr>
            <w:tcW w:w="1544" w:type="dxa"/>
          </w:tcPr>
          <w:p>
            <w:pPr>
              <w:pStyle w:val="TableParagraph"/>
              <w:spacing w:line="309" w:lineRule="exact"/>
              <w:ind w:left="109"/>
              <w:rPr>
                <w:sz w:val="28"/>
              </w:rPr>
            </w:pPr>
            <w:r>
              <w:rPr>
                <w:sz w:val="28"/>
              </w:rPr>
              <w:t>73</w:t>
            </w:r>
          </w:p>
        </w:tc>
        <w:tc>
          <w:tcPr>
            <w:tcW w:w="1860" w:type="dxa"/>
          </w:tcPr>
          <w:p>
            <w:pPr>
              <w:pStyle w:val="TableParagraph"/>
              <w:spacing w:line="309" w:lineRule="exact"/>
              <w:ind w:left="106"/>
              <w:rPr>
                <w:sz w:val="28"/>
              </w:rPr>
            </w:pPr>
            <w:r>
              <w:rPr>
                <w:sz w:val="28"/>
              </w:rPr>
              <w:t>7.32</w:t>
            </w:r>
          </w:p>
        </w:tc>
        <w:tc>
          <w:tcPr>
            <w:tcW w:w="2559" w:type="dxa"/>
          </w:tcPr>
          <w:p>
            <w:pPr>
              <w:pStyle w:val="TableParagraph"/>
              <w:spacing w:line="309" w:lineRule="exact"/>
              <w:ind w:left="106"/>
              <w:rPr>
                <w:sz w:val="28"/>
              </w:rPr>
            </w:pPr>
            <w:r>
              <w:rPr>
                <w:sz w:val="28"/>
              </w:rPr>
              <w:t>8.51</w:t>
            </w:r>
          </w:p>
        </w:tc>
      </w:tr>
      <w:tr>
        <w:trPr>
          <w:trHeight w:val="1288" w:hRule="atLeast"/>
        </w:trPr>
        <w:tc>
          <w:tcPr>
            <w:tcW w:w="806" w:type="dxa"/>
          </w:tcPr>
          <w:p>
            <w:pPr>
              <w:pStyle w:val="TableParagraph"/>
              <w:spacing w:line="276" w:lineRule="auto"/>
              <w:ind w:left="107" w:right="173"/>
              <w:rPr>
                <w:sz w:val="28"/>
              </w:rPr>
            </w:pPr>
            <w:r>
              <w:rPr>
                <w:sz w:val="28"/>
              </w:rPr>
              <w:t>H.L. 46</w:t>
            </w:r>
          </w:p>
          <w:p>
            <w:pPr>
              <w:pStyle w:val="TableParagraph"/>
              <w:ind w:left="107"/>
              <w:rPr>
                <w:sz w:val="28"/>
              </w:rPr>
            </w:pPr>
            <w:r>
              <w:rPr>
                <w:sz w:val="28"/>
              </w:rPr>
              <w:t>years</w:t>
            </w:r>
          </w:p>
        </w:tc>
        <w:tc>
          <w:tcPr>
            <w:tcW w:w="804" w:type="dxa"/>
          </w:tcPr>
          <w:p>
            <w:pPr>
              <w:pStyle w:val="TableParagraph"/>
              <w:spacing w:line="309" w:lineRule="exact"/>
              <w:ind w:left="110"/>
              <w:rPr>
                <w:sz w:val="28"/>
              </w:rPr>
            </w:pPr>
            <w:r>
              <w:rPr>
                <w:sz w:val="28"/>
              </w:rPr>
              <w:t>95.6</w:t>
            </w:r>
          </w:p>
        </w:tc>
        <w:tc>
          <w:tcPr>
            <w:tcW w:w="973" w:type="dxa"/>
          </w:tcPr>
          <w:p>
            <w:pPr>
              <w:pStyle w:val="TableParagraph"/>
              <w:spacing w:line="309" w:lineRule="exact"/>
              <w:ind w:left="108"/>
              <w:rPr>
                <w:sz w:val="28"/>
              </w:rPr>
            </w:pPr>
            <w:r>
              <w:rPr>
                <w:sz w:val="28"/>
              </w:rPr>
              <w:t>104.9</w:t>
            </w:r>
          </w:p>
        </w:tc>
        <w:tc>
          <w:tcPr>
            <w:tcW w:w="1275" w:type="dxa"/>
          </w:tcPr>
          <w:p>
            <w:pPr>
              <w:pStyle w:val="TableParagraph"/>
              <w:spacing w:line="309" w:lineRule="exact"/>
              <w:ind w:left="107"/>
              <w:rPr>
                <w:sz w:val="28"/>
              </w:rPr>
            </w:pPr>
            <w:r>
              <w:rPr>
                <w:sz w:val="28"/>
              </w:rPr>
              <w:t>63</w:t>
            </w:r>
          </w:p>
        </w:tc>
        <w:tc>
          <w:tcPr>
            <w:tcW w:w="1544" w:type="dxa"/>
          </w:tcPr>
          <w:p>
            <w:pPr>
              <w:pStyle w:val="TableParagraph"/>
              <w:spacing w:line="309" w:lineRule="exact"/>
              <w:ind w:left="109"/>
              <w:rPr>
                <w:sz w:val="28"/>
              </w:rPr>
            </w:pPr>
            <w:r>
              <w:rPr>
                <w:sz w:val="28"/>
              </w:rPr>
              <w:t>61</w:t>
            </w:r>
          </w:p>
        </w:tc>
        <w:tc>
          <w:tcPr>
            <w:tcW w:w="1860" w:type="dxa"/>
          </w:tcPr>
          <w:p>
            <w:pPr>
              <w:pStyle w:val="TableParagraph"/>
              <w:spacing w:line="309" w:lineRule="exact"/>
              <w:ind w:left="106"/>
              <w:rPr>
                <w:sz w:val="28"/>
              </w:rPr>
            </w:pPr>
            <w:r>
              <w:rPr>
                <w:sz w:val="28"/>
              </w:rPr>
              <w:t>6.02</w:t>
            </w:r>
          </w:p>
        </w:tc>
        <w:tc>
          <w:tcPr>
            <w:tcW w:w="2559" w:type="dxa"/>
          </w:tcPr>
          <w:p>
            <w:pPr>
              <w:pStyle w:val="TableParagraph"/>
              <w:spacing w:line="309" w:lineRule="exact"/>
              <w:ind w:left="106"/>
              <w:rPr>
                <w:sz w:val="28"/>
              </w:rPr>
            </w:pPr>
            <w:r>
              <w:rPr>
                <w:sz w:val="28"/>
              </w:rPr>
              <w:t>6.39</w:t>
            </w:r>
          </w:p>
        </w:tc>
      </w:tr>
    </w:tbl>
    <w:p>
      <w:pPr>
        <w:spacing w:after="0" w:line="309" w:lineRule="exact"/>
        <w:rPr>
          <w:sz w:val="28"/>
        </w:rPr>
        <w:sectPr>
          <w:footerReference w:type="default" r:id="rId387"/>
          <w:pgSz w:w="14270" w:h="16850"/>
          <w:pgMar w:footer="404" w:header="0" w:top="1420" w:bottom="600" w:left="800" w:right="1280"/>
          <w:pgNumType w:start="16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264" w:lineRule="auto" w:before="219"/>
        <w:ind w:left="616" w:right="143"/>
        <w:jc w:val="both"/>
      </w:pPr>
      <w:r>
        <w:rPr/>
        <w:t>According</w:t>
      </w:r>
      <w:r>
        <w:rPr>
          <w:spacing w:val="-63"/>
        </w:rPr>
        <w:t> </w:t>
      </w:r>
      <w:r>
        <w:rPr/>
        <w:t>to</w:t>
      </w:r>
      <w:r>
        <w:rPr>
          <w:spacing w:val="-63"/>
        </w:rPr>
        <w:t> </w:t>
      </w:r>
      <w:r>
        <w:rPr/>
        <w:t>observations</w:t>
      </w:r>
      <w:r>
        <w:rPr>
          <w:spacing w:val="-62"/>
        </w:rPr>
        <w:t> </w:t>
      </w:r>
      <w:r>
        <w:rPr/>
        <w:t>over</w:t>
      </w:r>
      <w:r>
        <w:rPr>
          <w:spacing w:val="-63"/>
        </w:rPr>
        <w:t> </w:t>
      </w:r>
      <w:r>
        <w:rPr/>
        <w:t>twelve</w:t>
      </w:r>
      <w:r>
        <w:rPr>
          <w:spacing w:val="-63"/>
        </w:rPr>
        <w:t> </w:t>
      </w:r>
      <w:r>
        <w:rPr/>
        <w:t>years</w:t>
      </w:r>
      <w:r>
        <w:rPr>
          <w:spacing w:val="-62"/>
        </w:rPr>
        <w:t> </w:t>
      </w:r>
      <w:r>
        <w:rPr/>
        <w:t>of</w:t>
      </w:r>
      <w:r>
        <w:rPr>
          <w:spacing w:val="-63"/>
        </w:rPr>
        <w:t> </w:t>
      </w:r>
      <w:r>
        <w:rPr/>
        <w:t>treatment,</w:t>
      </w:r>
      <w:r>
        <w:rPr>
          <w:spacing w:val="-63"/>
        </w:rPr>
        <w:t> </w:t>
      </w:r>
      <w:r>
        <w:rPr/>
        <w:t>strophanthin effective for 99 %</w:t>
      </w:r>
    </w:p>
    <w:p>
      <w:pPr>
        <w:pStyle w:val="BodyText"/>
        <w:spacing w:line="278" w:lineRule="auto" w:before="251"/>
        <w:ind w:left="616" w:right="133"/>
        <w:jc w:val="both"/>
      </w:pPr>
      <w:r>
        <w:rPr/>
        <w:t>Prof. Dohrmann treated his patients with strophanthin capsules for twelve years at a clinic in Berlin.</w:t>
      </w:r>
    </w:p>
    <w:p>
      <w:pPr>
        <w:pStyle w:val="BodyText"/>
        <w:spacing w:line="276" w:lineRule="auto" w:before="232"/>
        <w:ind w:left="616" w:right="132"/>
        <w:jc w:val="both"/>
      </w:pPr>
      <w:r>
        <w:rPr/>
        <w:t>85 % of patients who suffered from serious angina pectoris experienced total relief</w:t>
      </w:r>
      <w:r>
        <w:rPr>
          <w:spacing w:val="-21"/>
        </w:rPr>
        <w:t> </w:t>
      </w:r>
      <w:r>
        <w:rPr/>
        <w:t>of</w:t>
      </w:r>
      <w:r>
        <w:rPr>
          <w:spacing w:val="-20"/>
        </w:rPr>
        <w:t> </w:t>
      </w:r>
      <w:r>
        <w:rPr/>
        <w:t>symptoms</w:t>
      </w:r>
      <w:r>
        <w:rPr>
          <w:spacing w:val="-20"/>
        </w:rPr>
        <w:t> </w:t>
      </w:r>
      <w:r>
        <w:rPr/>
        <w:t>after</w:t>
      </w:r>
      <w:r>
        <w:rPr>
          <w:spacing w:val="-19"/>
        </w:rPr>
        <w:t> </w:t>
      </w:r>
      <w:r>
        <w:rPr/>
        <w:t>one</w:t>
      </w:r>
      <w:r>
        <w:rPr>
          <w:spacing w:val="-22"/>
        </w:rPr>
        <w:t> </w:t>
      </w:r>
      <w:r>
        <w:rPr/>
        <w:t>week</w:t>
      </w:r>
      <w:r>
        <w:rPr>
          <w:spacing w:val="-20"/>
        </w:rPr>
        <w:t> </w:t>
      </w:r>
      <w:r>
        <w:rPr/>
        <w:t>of</w:t>
      </w:r>
      <w:r>
        <w:rPr>
          <w:spacing w:val="-20"/>
        </w:rPr>
        <w:t> </w:t>
      </w:r>
      <w:r>
        <w:rPr/>
        <w:t>taking</w:t>
      </w:r>
      <w:r>
        <w:rPr>
          <w:spacing w:val="-18"/>
        </w:rPr>
        <w:t> </w:t>
      </w:r>
      <w:r>
        <w:rPr/>
        <w:t>the</w:t>
      </w:r>
      <w:r>
        <w:rPr>
          <w:spacing w:val="-22"/>
        </w:rPr>
        <w:t> </w:t>
      </w:r>
      <w:r>
        <w:rPr/>
        <w:t>stomach</w:t>
      </w:r>
      <w:r>
        <w:rPr>
          <w:spacing w:val="-20"/>
        </w:rPr>
        <w:t> </w:t>
      </w:r>
      <w:r>
        <w:rPr/>
        <w:t>resistant</w:t>
      </w:r>
      <w:r>
        <w:rPr>
          <w:spacing w:val="-21"/>
        </w:rPr>
        <w:t> </w:t>
      </w:r>
      <w:r>
        <w:rPr/>
        <w:t>strophanthin capsules, after two weeks it reached 99</w:t>
      </w:r>
      <w:r>
        <w:rPr>
          <w:spacing w:val="1"/>
        </w:rPr>
        <w:t> </w:t>
      </w:r>
      <w:r>
        <w:rPr/>
        <w:t>%.</w:t>
      </w:r>
    </w:p>
    <w:p>
      <w:pPr>
        <w:spacing w:after="0" w:line="276" w:lineRule="auto"/>
        <w:jc w:val="both"/>
        <w:sectPr>
          <w:pgSz w:w="14270" w:h="16850"/>
          <w:pgMar w:header="0" w:footer="404" w:top="1600" w:bottom="600" w:left="800" w:right="1280"/>
        </w:sectPr>
      </w:pPr>
    </w:p>
    <w:p>
      <w:pPr>
        <w:pStyle w:val="Heading1"/>
        <w:spacing w:before="77"/>
        <w:ind w:left="616"/>
      </w:pPr>
      <w:r>
        <w:rPr/>
        <w:t>Strophanthin normalises ECG values in double-blind study</w:t>
      </w:r>
    </w:p>
    <w:p>
      <w:pPr>
        <w:pStyle w:val="BodyText"/>
        <w:spacing w:line="276" w:lineRule="auto" w:before="299"/>
        <w:ind w:left="616" w:right="132"/>
        <w:jc w:val="both"/>
      </w:pPr>
      <w:r>
        <w:rPr/>
        <w:t>Researchers Reisner and Kubicek reported on 22 heart patients (KHK) to whom they administered strophanthin and then exposed them to ECG stress.</w:t>
      </w:r>
    </w:p>
    <w:p>
      <w:pPr>
        <w:pStyle w:val="BodyText"/>
        <w:spacing w:line="276" w:lineRule="auto" w:before="239"/>
        <w:ind w:left="616" w:right="136"/>
        <w:jc w:val="both"/>
      </w:pPr>
      <w:r>
        <w:rPr/>
        <w:t>The ECG values improved in 19 cases (ST-segment); in 7 of these 22 cases values were even completely normalised! Only 4 patients experienced some kind of discomfort.</w:t>
      </w:r>
    </w:p>
    <w:p>
      <w:pPr>
        <w:pStyle w:val="BodyText"/>
        <w:spacing w:line="276" w:lineRule="auto" w:before="241"/>
        <w:ind w:left="616" w:right="135"/>
        <w:jc w:val="both"/>
        <w:rPr>
          <w:sz w:val="25"/>
        </w:rPr>
      </w:pPr>
      <w:r>
        <w:rPr/>
        <w:t>Conversely, in the placebo group only four test subjects did not feel these symptoms,</w:t>
      </w:r>
      <w:r>
        <w:rPr>
          <w:spacing w:val="-17"/>
        </w:rPr>
        <w:t> </w:t>
      </w:r>
      <w:r>
        <w:rPr/>
        <w:t>furthermore</w:t>
      </w:r>
      <w:r>
        <w:rPr>
          <w:spacing w:val="-16"/>
        </w:rPr>
        <w:t> </w:t>
      </w:r>
      <w:r>
        <w:rPr/>
        <w:t>there</w:t>
      </w:r>
      <w:r>
        <w:rPr>
          <w:spacing w:val="-19"/>
        </w:rPr>
        <w:t> </w:t>
      </w:r>
      <w:r>
        <w:rPr/>
        <w:t>was</w:t>
      </w:r>
      <w:r>
        <w:rPr>
          <w:spacing w:val="-16"/>
        </w:rPr>
        <w:t> </w:t>
      </w:r>
      <w:r>
        <w:rPr/>
        <w:t>no</w:t>
      </w:r>
      <w:r>
        <w:rPr>
          <w:spacing w:val="-19"/>
        </w:rPr>
        <w:t> </w:t>
      </w:r>
      <w:r>
        <w:rPr/>
        <w:t>positive</w:t>
      </w:r>
      <w:r>
        <w:rPr>
          <w:spacing w:val="-17"/>
        </w:rPr>
        <w:t> </w:t>
      </w:r>
      <w:r>
        <w:rPr/>
        <w:t>effect.</w:t>
      </w:r>
      <w:r>
        <w:rPr>
          <w:spacing w:val="-16"/>
        </w:rPr>
        <w:t> </w:t>
      </w:r>
      <w:r>
        <w:rPr/>
        <w:t>Incidentally,</w:t>
      </w:r>
      <w:r>
        <w:rPr>
          <w:spacing w:val="-16"/>
        </w:rPr>
        <w:t> </w:t>
      </w:r>
      <w:r>
        <w:rPr/>
        <w:t>Digitalis,</w:t>
      </w:r>
      <w:r>
        <w:rPr>
          <w:spacing w:val="-16"/>
        </w:rPr>
        <w:t> </w:t>
      </w:r>
      <w:r>
        <w:rPr/>
        <w:t>the medicine which is most often incorrectly confused with strophanthin, actually leads to deterioration and partially to ECG</w:t>
      </w:r>
      <w:r>
        <w:rPr>
          <w:spacing w:val="1"/>
        </w:rPr>
        <w:t> </w:t>
      </w:r>
      <w:r>
        <w:rPr/>
        <w:t>termination.</w:t>
      </w:r>
      <w:r>
        <w:rPr>
          <w:position w:val="9"/>
          <w:sz w:val="25"/>
        </w:rPr>
        <w:t>902</w:t>
      </w:r>
    </w:p>
    <w:p>
      <w:pPr>
        <w:pStyle w:val="Heading1"/>
        <w:spacing w:before="222"/>
        <w:ind w:left="616"/>
      </w:pPr>
      <w:r>
        <w:rPr/>
        <w:t>Oxygen</w:t>
      </w:r>
      <w:r>
        <w:rPr>
          <w:spacing w:val="-51"/>
        </w:rPr>
        <w:t> </w:t>
      </w:r>
      <w:r>
        <w:rPr/>
        <w:t>savings and</w:t>
      </w:r>
      <w:r>
        <w:rPr>
          <w:spacing w:val="-51"/>
        </w:rPr>
        <w:t> </w:t>
      </w:r>
      <w:r>
        <w:rPr/>
        <w:t>reduced oxygen consumption</w:t>
      </w:r>
      <w:r>
        <w:rPr>
          <w:spacing w:val="-51"/>
        </w:rPr>
        <w:t> </w:t>
      </w:r>
      <w:r>
        <w:rPr/>
        <w:t>with strophanthin</w:t>
      </w:r>
    </w:p>
    <w:p>
      <w:pPr>
        <w:pStyle w:val="BodyText"/>
        <w:spacing w:line="278" w:lineRule="auto" w:before="299"/>
        <w:ind w:left="616" w:right="144"/>
        <w:jc w:val="both"/>
        <w:rPr>
          <w:sz w:val="25"/>
        </w:rPr>
      </w:pPr>
      <w:r>
        <w:rPr/>
        <w:t>Researcher Gremels observed oxygen savings and reduced oxygen consump- tion in animal trials even with the smallest doses of strophanthin.</w:t>
      </w:r>
      <w:r>
        <w:rPr>
          <w:position w:val="9"/>
          <w:sz w:val="25"/>
        </w:rPr>
        <w:t>903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0"/>
        </w:rPr>
      </w:pPr>
      <w:r>
        <w:rPr/>
        <w:pict>
          <v:line style="position:absolute;mso-position-horizontal-relative:page;mso-position-vertical-relative:paragraph;z-index:12680;mso-wrap-distance-left:0;mso-wrap-distance-right:0" from="70.823997pt,8.118735pt" to="214.843997pt,8.118735pt" stroked="true" strokeweight=".72003pt" strokecolor="#000000">
            <v:stroke dashstyle="solid"/>
            <w10:wrap type="topAndBottom"/>
          </v:line>
        </w:pict>
      </w:r>
    </w:p>
    <w:p>
      <w:pPr>
        <w:pStyle w:val="BodyText"/>
        <w:spacing w:before="7"/>
        <w:rPr>
          <w:sz w:val="18"/>
        </w:rPr>
      </w:pPr>
    </w:p>
    <w:p>
      <w:pPr>
        <w:spacing w:line="273" w:lineRule="auto" w:before="99"/>
        <w:ind w:left="616" w:right="0" w:firstLine="0"/>
        <w:jc w:val="left"/>
        <w:rPr>
          <w:sz w:val="20"/>
        </w:rPr>
      </w:pPr>
      <w:r>
        <w:rPr>
          <w:position w:val="5"/>
          <w:sz w:val="13"/>
        </w:rPr>
        <w:t>902 </w:t>
      </w:r>
      <w:r>
        <w:rPr>
          <w:sz w:val="20"/>
        </w:rPr>
        <w:t>Kubicek and Reisner: Hypoxia tolerance in coronary heart disease under the effect of Digoxin, Beta-Methyl-Digoxin and g-strophanthin, Thera- pie der Gegenwart 1972, 112, pp. 747–768</w:t>
      </w:r>
    </w:p>
    <w:p>
      <w:pPr>
        <w:spacing w:before="63"/>
        <w:ind w:left="616" w:right="0" w:firstLine="0"/>
        <w:jc w:val="left"/>
        <w:rPr>
          <w:sz w:val="20"/>
        </w:rPr>
      </w:pPr>
      <w:r>
        <w:rPr>
          <w:position w:val="5"/>
          <w:sz w:val="13"/>
        </w:rPr>
        <w:t>903 </w:t>
      </w:r>
      <w:hyperlink r:id="rId385">
        <w:r>
          <w:rPr>
            <w:sz w:val="20"/>
          </w:rPr>
          <w:t>www.strophantus.de/mediapool/59/596780/data/Sarre.pdf</w:t>
        </w:r>
      </w:hyperlink>
    </w:p>
    <w:p>
      <w:pPr>
        <w:spacing w:after="0"/>
        <w:jc w:val="left"/>
        <w:rPr>
          <w:sz w:val="20"/>
        </w:rPr>
        <w:sectPr>
          <w:pgSz w:w="14270" w:h="16850"/>
          <w:pgMar w:header="0" w:footer="404" w:top="1320" w:bottom="2080" w:left="800" w:right="1280"/>
        </w:sectPr>
      </w:pPr>
    </w:p>
    <w:p>
      <w:pPr>
        <w:pStyle w:val="Heading1"/>
        <w:spacing w:line="261" w:lineRule="auto" w:before="77"/>
        <w:ind w:left="616" w:right="141"/>
        <w:jc w:val="both"/>
      </w:pPr>
      <w:r>
        <w:rPr/>
        <w:t>Provoked</w:t>
      </w:r>
      <w:r>
        <w:rPr>
          <w:spacing w:val="-68"/>
        </w:rPr>
        <w:t> </w:t>
      </w:r>
      <w:r>
        <w:rPr/>
        <w:t>heart</w:t>
      </w:r>
      <w:r>
        <w:rPr>
          <w:spacing w:val="-67"/>
        </w:rPr>
        <w:t> </w:t>
      </w:r>
      <w:r>
        <w:rPr/>
        <w:t>attack</w:t>
      </w:r>
      <w:r>
        <w:rPr>
          <w:spacing w:val="-67"/>
        </w:rPr>
        <w:t> </w:t>
      </w:r>
      <w:r>
        <w:rPr/>
        <w:t>clearly</w:t>
      </w:r>
      <w:r>
        <w:rPr>
          <w:spacing w:val="-68"/>
        </w:rPr>
        <w:t> </w:t>
      </w:r>
      <w:r>
        <w:rPr/>
        <w:t>smaller</w:t>
      </w:r>
      <w:r>
        <w:rPr>
          <w:spacing w:val="-67"/>
        </w:rPr>
        <w:t> </w:t>
      </w:r>
      <w:r>
        <w:rPr/>
        <w:t>if</w:t>
      </w:r>
      <w:r>
        <w:rPr>
          <w:spacing w:val="-68"/>
        </w:rPr>
        <w:t> </w:t>
      </w:r>
      <w:r>
        <w:rPr/>
        <w:t>strophanthin</w:t>
      </w:r>
      <w:r>
        <w:rPr>
          <w:spacing w:val="-67"/>
        </w:rPr>
        <w:t> </w:t>
      </w:r>
      <w:r>
        <w:rPr/>
        <w:t>has</w:t>
      </w:r>
      <w:r>
        <w:rPr>
          <w:spacing w:val="-68"/>
        </w:rPr>
        <w:t> </w:t>
      </w:r>
      <w:r>
        <w:rPr/>
        <w:t>been</w:t>
      </w:r>
      <w:r>
        <w:rPr>
          <w:spacing w:val="-67"/>
        </w:rPr>
        <w:t> </w:t>
      </w:r>
      <w:r>
        <w:rPr/>
        <w:t>adminis- tered in advance.</w:t>
      </w:r>
    </w:p>
    <w:p>
      <w:pPr>
        <w:pStyle w:val="BodyText"/>
        <w:spacing w:line="276" w:lineRule="auto" w:before="258"/>
        <w:ind w:left="616" w:right="135"/>
        <w:jc w:val="both"/>
        <w:rPr>
          <w:sz w:val="25"/>
        </w:rPr>
      </w:pPr>
      <w:r>
        <w:rPr/>
        <w:t>Researchers</w:t>
      </w:r>
      <w:r>
        <w:rPr>
          <w:spacing w:val="-13"/>
        </w:rPr>
        <w:t> </w:t>
      </w:r>
      <w:r>
        <w:rPr/>
        <w:t>at</w:t>
      </w:r>
      <w:r>
        <w:rPr>
          <w:spacing w:val="-13"/>
        </w:rPr>
        <w:t> </w:t>
      </w:r>
      <w:r>
        <w:rPr/>
        <w:t>the</w:t>
      </w:r>
      <w:r>
        <w:rPr>
          <w:spacing w:val="-11"/>
        </w:rPr>
        <w:t> </w:t>
      </w:r>
      <w:r>
        <w:rPr/>
        <w:t>University</w:t>
      </w:r>
      <w:r>
        <w:rPr>
          <w:spacing w:val="-15"/>
        </w:rPr>
        <w:t> </w:t>
      </w:r>
      <w:r>
        <w:rPr/>
        <w:t>of</w:t>
      </w:r>
      <w:r>
        <w:rPr>
          <w:spacing w:val="-15"/>
        </w:rPr>
        <w:t> </w:t>
      </w:r>
      <w:r>
        <w:rPr/>
        <w:t>Toledo</w:t>
      </w:r>
      <w:r>
        <w:rPr>
          <w:spacing w:val="-11"/>
        </w:rPr>
        <w:t> </w:t>
      </w:r>
      <w:r>
        <w:rPr/>
        <w:t>were</w:t>
      </w:r>
      <w:r>
        <w:rPr>
          <w:spacing w:val="-11"/>
        </w:rPr>
        <w:t> </w:t>
      </w:r>
      <w:r>
        <w:rPr/>
        <w:t>able</w:t>
      </w:r>
      <w:r>
        <w:rPr>
          <w:spacing w:val="-11"/>
        </w:rPr>
        <w:t> </w:t>
      </w:r>
      <w:r>
        <w:rPr/>
        <w:t>to</w:t>
      </w:r>
      <w:r>
        <w:rPr>
          <w:spacing w:val="-14"/>
        </w:rPr>
        <w:t> </w:t>
      </w:r>
      <w:r>
        <w:rPr/>
        <w:t>prove</w:t>
      </w:r>
      <w:r>
        <w:rPr>
          <w:spacing w:val="-14"/>
        </w:rPr>
        <w:t> </w:t>
      </w:r>
      <w:r>
        <w:rPr/>
        <w:t>in</w:t>
      </w:r>
      <w:r>
        <w:rPr>
          <w:spacing w:val="-13"/>
        </w:rPr>
        <w:t> </w:t>
      </w:r>
      <w:r>
        <w:rPr/>
        <w:t>animal</w:t>
      </w:r>
      <w:r>
        <w:rPr>
          <w:spacing w:val="-13"/>
        </w:rPr>
        <w:t> </w:t>
      </w:r>
      <w:r>
        <w:rPr/>
        <w:t>trials</w:t>
      </w:r>
      <w:r>
        <w:rPr>
          <w:spacing w:val="-12"/>
        </w:rPr>
        <w:t> </w:t>
      </w:r>
      <w:r>
        <w:rPr/>
        <w:t>that the number of heart attacks triggered by suppressed circulation is significantly lower if strophanthin is administered in</w:t>
      </w:r>
      <w:r>
        <w:rPr>
          <w:spacing w:val="2"/>
        </w:rPr>
        <w:t> </w:t>
      </w:r>
      <w:r>
        <w:rPr/>
        <w:t>advance.</w:t>
      </w:r>
      <w:r>
        <w:rPr>
          <w:position w:val="9"/>
          <w:sz w:val="25"/>
        </w:rPr>
        <w:t>904</w:t>
      </w:r>
    </w:p>
    <w:p>
      <w:pPr>
        <w:pStyle w:val="Heading1"/>
        <w:ind w:left="616"/>
      </w:pPr>
      <w:r>
        <w:rPr/>
        <w:t>Impressive</w:t>
      </w:r>
      <w:r>
        <w:rPr>
          <w:spacing w:val="-45"/>
        </w:rPr>
        <w:t> </w:t>
      </w:r>
      <w:r>
        <w:rPr/>
        <w:t>effect</w:t>
      </w:r>
      <w:r>
        <w:rPr>
          <w:spacing w:val="-45"/>
        </w:rPr>
        <w:t> </w:t>
      </w:r>
      <w:r>
        <w:rPr/>
        <w:t>of</w:t>
      </w:r>
      <w:r>
        <w:rPr>
          <w:spacing w:val="-43"/>
        </w:rPr>
        <w:t> </w:t>
      </w:r>
      <w:r>
        <w:rPr/>
        <w:t>oral</w:t>
      </w:r>
      <w:r>
        <w:rPr>
          <w:spacing w:val="-44"/>
        </w:rPr>
        <w:t> </w:t>
      </w:r>
      <w:r>
        <w:rPr/>
        <w:t>strophanthin</w:t>
      </w:r>
      <w:r>
        <w:rPr>
          <w:spacing w:val="-45"/>
        </w:rPr>
        <w:t> </w:t>
      </w:r>
      <w:r>
        <w:rPr/>
        <w:t>confirmed</w:t>
      </w:r>
      <w:r>
        <w:rPr>
          <w:spacing w:val="-44"/>
        </w:rPr>
        <w:t> </w:t>
      </w:r>
      <w:r>
        <w:rPr/>
        <w:t>in</w:t>
      </w:r>
      <w:r>
        <w:rPr>
          <w:spacing w:val="-45"/>
        </w:rPr>
        <w:t> </w:t>
      </w:r>
      <w:r>
        <w:rPr/>
        <w:t>double-blind</w:t>
      </w:r>
      <w:r>
        <w:rPr>
          <w:spacing w:val="-45"/>
        </w:rPr>
        <w:t> </w:t>
      </w:r>
      <w:r>
        <w:rPr/>
        <w:t>test</w:t>
      </w:r>
    </w:p>
    <w:p>
      <w:pPr>
        <w:pStyle w:val="BodyText"/>
        <w:spacing w:line="276" w:lineRule="auto" w:before="300"/>
        <w:ind w:left="616" w:right="133"/>
        <w:jc w:val="both"/>
      </w:pPr>
      <w:r>
        <w:rPr/>
        <w:t>In</w:t>
      </w:r>
      <w:r>
        <w:rPr>
          <w:spacing w:val="-18"/>
        </w:rPr>
        <w:t> </w:t>
      </w:r>
      <w:r>
        <w:rPr/>
        <w:t>a</w:t>
      </w:r>
      <w:r>
        <w:rPr>
          <w:spacing w:val="-19"/>
        </w:rPr>
        <w:t> </w:t>
      </w:r>
      <w:r>
        <w:rPr/>
        <w:t>double-blind</w:t>
      </w:r>
      <w:r>
        <w:rPr>
          <w:spacing w:val="-19"/>
        </w:rPr>
        <w:t> </w:t>
      </w:r>
      <w:r>
        <w:rPr/>
        <w:t>study</w:t>
      </w:r>
      <w:r>
        <w:rPr>
          <w:spacing w:val="-18"/>
        </w:rPr>
        <w:t> </w:t>
      </w:r>
      <w:r>
        <w:rPr/>
        <w:t>carried</w:t>
      </w:r>
      <w:r>
        <w:rPr>
          <w:spacing w:val="-19"/>
        </w:rPr>
        <w:t> </w:t>
      </w:r>
      <w:r>
        <w:rPr/>
        <w:t>out</w:t>
      </w:r>
      <w:r>
        <w:rPr>
          <w:spacing w:val="-20"/>
        </w:rPr>
        <w:t> </w:t>
      </w:r>
      <w:r>
        <w:rPr/>
        <w:t>by</w:t>
      </w:r>
      <w:r>
        <w:rPr>
          <w:spacing w:val="-18"/>
        </w:rPr>
        <w:t> </w:t>
      </w:r>
      <w:r>
        <w:rPr/>
        <w:t>researchers</w:t>
      </w:r>
      <w:r>
        <w:rPr>
          <w:spacing w:val="-20"/>
        </w:rPr>
        <w:t> </w:t>
      </w:r>
      <w:r>
        <w:rPr/>
        <w:t>Schneider</w:t>
      </w:r>
      <w:r>
        <w:rPr>
          <w:spacing w:val="-18"/>
        </w:rPr>
        <w:t> </w:t>
      </w:r>
      <w:r>
        <w:rPr/>
        <w:t>and</w:t>
      </w:r>
      <w:r>
        <w:rPr>
          <w:spacing w:val="-18"/>
        </w:rPr>
        <w:t> </w:t>
      </w:r>
      <w:r>
        <w:rPr/>
        <w:t>Salz</w:t>
      </w:r>
      <w:r>
        <w:rPr>
          <w:spacing w:val="-18"/>
        </w:rPr>
        <w:t> </w:t>
      </w:r>
      <w:r>
        <w:rPr/>
        <w:t>on</w:t>
      </w:r>
      <w:r>
        <w:rPr>
          <w:spacing w:val="-18"/>
        </w:rPr>
        <w:t> </w:t>
      </w:r>
      <w:r>
        <w:rPr/>
        <w:t>a</w:t>
      </w:r>
      <w:r>
        <w:rPr>
          <w:spacing w:val="-19"/>
        </w:rPr>
        <w:t> </w:t>
      </w:r>
      <w:r>
        <w:rPr/>
        <w:t>total of</w:t>
      </w:r>
      <w:r>
        <w:rPr>
          <w:spacing w:val="-20"/>
        </w:rPr>
        <w:t> </w:t>
      </w:r>
      <w:r>
        <w:rPr/>
        <w:t>30</w:t>
      </w:r>
      <w:r>
        <w:rPr>
          <w:spacing w:val="-19"/>
        </w:rPr>
        <w:t> </w:t>
      </w:r>
      <w:r>
        <w:rPr/>
        <w:t>patients</w:t>
      </w:r>
      <w:r>
        <w:rPr>
          <w:spacing w:val="-18"/>
        </w:rPr>
        <w:t> </w:t>
      </w:r>
      <w:r>
        <w:rPr/>
        <w:t>in</w:t>
      </w:r>
      <w:r>
        <w:rPr>
          <w:spacing w:val="-21"/>
        </w:rPr>
        <w:t> </w:t>
      </w:r>
      <w:r>
        <w:rPr/>
        <w:t>seven</w:t>
      </w:r>
      <w:r>
        <w:rPr>
          <w:spacing w:val="-17"/>
        </w:rPr>
        <w:t> </w:t>
      </w:r>
      <w:r>
        <w:rPr/>
        <w:t>practices</w:t>
      </w:r>
      <w:r>
        <w:rPr>
          <w:spacing w:val="-19"/>
        </w:rPr>
        <w:t> </w:t>
      </w:r>
      <w:r>
        <w:rPr/>
        <w:t>attested</w:t>
      </w:r>
      <w:r>
        <w:rPr>
          <w:spacing w:val="-18"/>
        </w:rPr>
        <w:t> </w:t>
      </w:r>
      <w:r>
        <w:rPr/>
        <w:t>to</w:t>
      </w:r>
      <w:r>
        <w:rPr>
          <w:spacing w:val="-18"/>
        </w:rPr>
        <w:t> </w:t>
      </w:r>
      <w:r>
        <w:rPr/>
        <w:t>the</w:t>
      </w:r>
      <w:r>
        <w:rPr>
          <w:spacing w:val="-19"/>
        </w:rPr>
        <w:t> </w:t>
      </w:r>
      <w:r>
        <w:rPr/>
        <w:t>highly</w:t>
      </w:r>
      <w:r>
        <w:rPr>
          <w:spacing w:val="-19"/>
        </w:rPr>
        <w:t> </w:t>
      </w:r>
      <w:r>
        <w:rPr/>
        <w:t>significant</w:t>
      </w:r>
      <w:r>
        <w:rPr>
          <w:spacing w:val="-20"/>
        </w:rPr>
        <w:t> </w:t>
      </w:r>
      <w:r>
        <w:rPr/>
        <w:t>positive</w:t>
      </w:r>
      <w:r>
        <w:rPr>
          <w:spacing w:val="-20"/>
        </w:rPr>
        <w:t> </w:t>
      </w:r>
      <w:r>
        <w:rPr/>
        <w:t>effect of oral g-strophanthin after just two weeks.</w:t>
      </w:r>
    </w:p>
    <w:p>
      <w:pPr>
        <w:pStyle w:val="BodyText"/>
        <w:spacing w:line="278" w:lineRule="auto" w:before="238"/>
        <w:ind w:left="616" w:right="141"/>
        <w:jc w:val="both"/>
        <w:rPr>
          <w:sz w:val="25"/>
        </w:rPr>
      </w:pPr>
      <w:r>
        <w:rPr/>
        <w:t>While</w:t>
      </w:r>
      <w:r>
        <w:rPr>
          <w:spacing w:val="-26"/>
        </w:rPr>
        <w:t> </w:t>
      </w:r>
      <w:r>
        <w:rPr/>
        <w:t>every</w:t>
      </w:r>
      <w:r>
        <w:rPr>
          <w:spacing w:val="-24"/>
        </w:rPr>
        <w:t> </w:t>
      </w:r>
      <w:r>
        <w:rPr/>
        <w:t>single</w:t>
      </w:r>
      <w:r>
        <w:rPr>
          <w:spacing w:val="-24"/>
        </w:rPr>
        <w:t> </w:t>
      </w:r>
      <w:r>
        <w:rPr/>
        <w:t>patient</w:t>
      </w:r>
      <w:r>
        <w:rPr>
          <w:spacing w:val="-25"/>
        </w:rPr>
        <w:t> </w:t>
      </w:r>
      <w:r>
        <w:rPr/>
        <w:t>benefited</w:t>
      </w:r>
      <w:r>
        <w:rPr>
          <w:spacing w:val="-23"/>
        </w:rPr>
        <w:t> </w:t>
      </w:r>
      <w:r>
        <w:rPr/>
        <w:t>from</w:t>
      </w:r>
      <w:r>
        <w:rPr>
          <w:spacing w:val="-25"/>
        </w:rPr>
        <w:t> </w:t>
      </w:r>
      <w:r>
        <w:rPr/>
        <w:t>strophanthin,</w:t>
      </w:r>
      <w:r>
        <w:rPr>
          <w:spacing w:val="-23"/>
        </w:rPr>
        <w:t> </w:t>
      </w:r>
      <w:r>
        <w:rPr/>
        <w:t>there</w:t>
      </w:r>
      <w:r>
        <w:rPr>
          <w:spacing w:val="-24"/>
        </w:rPr>
        <w:t> </w:t>
      </w:r>
      <w:r>
        <w:rPr/>
        <w:t>was</w:t>
      </w:r>
      <w:r>
        <w:rPr>
          <w:spacing w:val="-23"/>
        </w:rPr>
        <w:t> </w:t>
      </w:r>
      <w:r>
        <w:rPr/>
        <w:t>deterioration in almost all participants in the control group</w:t>
      </w:r>
      <w:r>
        <w:rPr>
          <w:spacing w:val="-4"/>
        </w:rPr>
        <w:t> </w:t>
      </w:r>
      <w:r>
        <w:rPr/>
        <w:t>(placebo).</w:t>
      </w:r>
      <w:r>
        <w:rPr>
          <w:position w:val="9"/>
          <w:sz w:val="25"/>
        </w:rPr>
        <w:t>905</w:t>
      </w:r>
    </w:p>
    <w:p>
      <w:pPr>
        <w:pStyle w:val="Heading1"/>
        <w:spacing w:line="264" w:lineRule="auto" w:before="215"/>
        <w:ind w:left="616" w:right="137"/>
        <w:jc w:val="both"/>
      </w:pPr>
      <w:r>
        <w:rPr/>
        <w:t>In studies, strophanthin strengthens heart performance and</w:t>
      </w:r>
      <w:r>
        <w:rPr>
          <w:spacing w:val="-58"/>
        </w:rPr>
        <w:t> </w:t>
      </w:r>
      <w:r>
        <w:rPr/>
        <w:t>reduces blood pressure</w:t>
      </w:r>
    </w:p>
    <w:p>
      <w:pPr>
        <w:pStyle w:val="BodyText"/>
        <w:spacing w:line="276" w:lineRule="auto" w:before="252"/>
        <w:ind w:left="616" w:right="143"/>
        <w:jc w:val="both"/>
      </w:pPr>
      <w:r>
        <w:rPr/>
        <w:t>In a comparative study between dioxin and strophanthin, dioxin increased heart performance by 25 %, strophanthin by an incredible 41 %. Blood pres- sure reduction was only achieved with strophanthin.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4"/>
        </w:rPr>
      </w:pPr>
      <w:r>
        <w:rPr/>
        <w:pict>
          <v:line style="position:absolute;mso-position-horizontal-relative:page;mso-position-vertical-relative:paragraph;z-index:12704;mso-wrap-distance-left:0;mso-wrap-distance-right:0" from="70.823997pt,16.018736pt" to="214.843997pt,16.018736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904 </w:t>
      </w:r>
      <w:hyperlink r:id="rId388">
        <w:r>
          <w:rPr>
            <w:sz w:val="20"/>
          </w:rPr>
          <w:t>www.ncbi.nlm.nih.gov/pubmed/20010435</w:t>
        </w:r>
      </w:hyperlink>
    </w:p>
    <w:p>
      <w:pPr>
        <w:spacing w:before="94"/>
        <w:ind w:left="616" w:right="0" w:firstLine="0"/>
        <w:jc w:val="left"/>
        <w:rPr>
          <w:sz w:val="20"/>
        </w:rPr>
      </w:pPr>
      <w:r>
        <w:rPr>
          <w:position w:val="5"/>
          <w:sz w:val="13"/>
        </w:rPr>
        <w:t>905 </w:t>
      </w:r>
      <w:r>
        <w:rPr>
          <w:sz w:val="20"/>
        </w:rPr>
        <w:t>H. Salz und B. Schneider: Perlingual g-strophanthin in stable angina pectoris. Zeitschrift f. Allgemeinmedizin 1985, 61, pp. 1223–1228</w:t>
      </w:r>
    </w:p>
    <w:p>
      <w:pPr>
        <w:spacing w:after="0"/>
        <w:jc w:val="left"/>
        <w:rPr>
          <w:sz w:val="20"/>
        </w:rPr>
        <w:sectPr>
          <w:pgSz w:w="14270" w:h="16850"/>
          <w:pgMar w:header="0" w:footer="404" w:top="1320" w:bottom="2080" w:left="800" w:right="1280"/>
        </w:sectPr>
      </w:pPr>
    </w:p>
    <w:p>
      <w:pPr>
        <w:pStyle w:val="Heading1"/>
        <w:spacing w:line="261" w:lineRule="auto" w:before="77"/>
        <w:ind w:left="616" w:right="143"/>
        <w:jc w:val="both"/>
      </w:pPr>
      <w:r>
        <w:rPr/>
        <w:t>Studies show strophanthin strengthens the heart and reduces blood pressure and the noradrenaline hormone</w:t>
      </w:r>
      <w:r>
        <w:rPr>
          <w:spacing w:val="-74"/>
        </w:rPr>
        <w:t> </w:t>
      </w:r>
      <w:r>
        <w:rPr/>
        <w:t>content</w:t>
      </w:r>
    </w:p>
    <w:p>
      <w:pPr>
        <w:pStyle w:val="BodyText"/>
        <w:spacing w:line="276" w:lineRule="auto" w:before="258"/>
        <w:ind w:left="616" w:right="141"/>
        <w:jc w:val="both"/>
        <w:rPr>
          <w:sz w:val="25"/>
        </w:rPr>
      </w:pPr>
      <w:r>
        <w:rPr/>
        <w:t>Both when relaxing and on the bicycle ergometer, strophanthin led to an im- provement in the overall state. Diastolic blood pressure could be reduced due to the diminishing peripheral vascular resistance, the noradrenaline plasma hormone content was reduced.</w:t>
      </w:r>
      <w:r>
        <w:rPr>
          <w:position w:val="9"/>
          <w:sz w:val="25"/>
        </w:rPr>
        <w:t>906</w:t>
      </w:r>
    </w:p>
    <w:p>
      <w:pPr>
        <w:pStyle w:val="Heading2"/>
        <w:spacing w:before="242"/>
        <w:ind w:left="616"/>
      </w:pPr>
      <w:r>
        <w:rPr/>
        <w:t>Application of strophanthin</w:t>
      </w:r>
    </w:p>
    <w:p>
      <w:pPr>
        <w:pStyle w:val="BodyText"/>
        <w:spacing w:before="304"/>
        <w:ind w:left="616"/>
      </w:pPr>
      <w:r>
        <w:rPr/>
        <w:t>Strophanthin can be taken orally (tablets/tincture) or intravenously.</w:t>
      </w:r>
    </w:p>
    <w:p>
      <w:pPr>
        <w:pStyle w:val="Heading1"/>
        <w:spacing w:before="288"/>
        <w:ind w:left="616"/>
      </w:pPr>
      <w:r>
        <w:rPr/>
        <w:t>Strophanthin in tablet/capsule form</w:t>
      </w:r>
    </w:p>
    <w:p>
      <w:pPr>
        <w:pStyle w:val="BodyText"/>
        <w:spacing w:line="276" w:lineRule="auto" w:before="297"/>
        <w:ind w:left="616" w:right="136"/>
        <w:jc w:val="both"/>
      </w:pPr>
      <w:r>
        <w:rPr/>
        <w:t>Generally, you should follow the advice of an experienced strophanthin doc- tor;</w:t>
      </w:r>
      <w:r>
        <w:rPr>
          <w:spacing w:val="-18"/>
        </w:rPr>
        <w:t> </w:t>
      </w:r>
      <w:r>
        <w:rPr/>
        <w:t>you</w:t>
      </w:r>
      <w:r>
        <w:rPr>
          <w:spacing w:val="-20"/>
        </w:rPr>
        <w:t> </w:t>
      </w:r>
      <w:r>
        <w:rPr/>
        <w:t>can</w:t>
      </w:r>
      <w:r>
        <w:rPr>
          <w:spacing w:val="-18"/>
        </w:rPr>
        <w:t> </w:t>
      </w:r>
      <w:r>
        <w:rPr/>
        <w:t>find</w:t>
      </w:r>
      <w:r>
        <w:rPr>
          <w:spacing w:val="-19"/>
        </w:rPr>
        <w:t> </w:t>
      </w:r>
      <w:r>
        <w:rPr/>
        <w:t>addresses</w:t>
      </w:r>
      <w:r>
        <w:rPr>
          <w:spacing w:val="-18"/>
        </w:rPr>
        <w:t> </w:t>
      </w:r>
      <w:r>
        <w:rPr/>
        <w:t>under</w:t>
      </w:r>
      <w:r>
        <w:rPr>
          <w:spacing w:val="-18"/>
        </w:rPr>
        <w:t> </w:t>
      </w:r>
      <w:r>
        <w:rPr/>
        <w:t>the</w:t>
      </w:r>
      <w:r>
        <w:rPr>
          <w:spacing w:val="-18"/>
        </w:rPr>
        <w:t> </w:t>
      </w:r>
      <w:r>
        <w:rPr/>
        <w:t>section</w:t>
      </w:r>
      <w:r>
        <w:rPr>
          <w:spacing w:val="-18"/>
        </w:rPr>
        <w:t> </w:t>
      </w:r>
      <w:r>
        <w:rPr/>
        <w:t>‘Strophanthin</w:t>
      </w:r>
      <w:r>
        <w:rPr>
          <w:spacing w:val="-18"/>
        </w:rPr>
        <w:t> </w:t>
      </w:r>
      <w:r>
        <w:rPr/>
        <w:t>doctors’.</w:t>
      </w:r>
      <w:r>
        <w:rPr>
          <w:spacing w:val="-18"/>
        </w:rPr>
        <w:t> </w:t>
      </w:r>
      <w:r>
        <w:rPr/>
        <w:t>Here,</w:t>
      </w:r>
      <w:r>
        <w:rPr>
          <w:spacing w:val="-18"/>
        </w:rPr>
        <w:t> </w:t>
      </w:r>
      <w:r>
        <w:rPr/>
        <w:t>you will find a list of every doctor who can prescribe you strophanthin capsules (prescription obligatory).</w:t>
      </w:r>
    </w:p>
    <w:p>
      <w:pPr>
        <w:pStyle w:val="BodyText"/>
        <w:spacing w:line="276" w:lineRule="auto" w:before="241"/>
        <w:ind w:left="616" w:right="133"/>
        <w:jc w:val="both"/>
      </w:pPr>
      <w:r>
        <w:rPr/>
        <w:t>For</w:t>
      </w:r>
      <w:r>
        <w:rPr>
          <w:spacing w:val="-18"/>
        </w:rPr>
        <w:t> </w:t>
      </w:r>
      <w:r>
        <w:rPr/>
        <w:t>your</w:t>
      </w:r>
      <w:r>
        <w:rPr>
          <w:spacing w:val="-22"/>
        </w:rPr>
        <w:t> </w:t>
      </w:r>
      <w:r>
        <w:rPr/>
        <w:t>information:</w:t>
      </w:r>
      <w:r>
        <w:rPr>
          <w:spacing w:val="-17"/>
        </w:rPr>
        <w:t> </w:t>
      </w:r>
      <w:r>
        <w:rPr/>
        <w:t>These</w:t>
      </w:r>
      <w:r>
        <w:rPr>
          <w:spacing w:val="-21"/>
        </w:rPr>
        <w:t> </w:t>
      </w:r>
      <w:r>
        <w:rPr/>
        <w:t>are</w:t>
      </w:r>
      <w:r>
        <w:rPr>
          <w:spacing w:val="-23"/>
        </w:rPr>
        <w:t> </w:t>
      </w:r>
      <w:r>
        <w:rPr/>
        <w:t>generally</w:t>
      </w:r>
      <w:r>
        <w:rPr>
          <w:spacing w:val="-18"/>
        </w:rPr>
        <w:t> </w:t>
      </w:r>
      <w:r>
        <w:rPr/>
        <w:t>prescribed</w:t>
      </w:r>
      <w:r>
        <w:rPr>
          <w:spacing w:val="-18"/>
        </w:rPr>
        <w:t> </w:t>
      </w:r>
      <w:r>
        <w:rPr/>
        <w:t>as</w:t>
      </w:r>
      <w:r>
        <w:rPr>
          <w:spacing w:val="-20"/>
        </w:rPr>
        <w:t> </w:t>
      </w:r>
      <w:r>
        <w:rPr/>
        <w:t>3-6</w:t>
      </w:r>
      <w:r>
        <w:rPr>
          <w:spacing w:val="-19"/>
        </w:rPr>
        <w:t> </w:t>
      </w:r>
      <w:r>
        <w:rPr/>
        <w:t>mg</w:t>
      </w:r>
      <w:r>
        <w:rPr>
          <w:spacing w:val="-17"/>
        </w:rPr>
        <w:t> </w:t>
      </w:r>
      <w:r>
        <w:rPr/>
        <w:t>1-4</w:t>
      </w:r>
      <w:r>
        <w:rPr>
          <w:spacing w:val="-19"/>
        </w:rPr>
        <w:t> </w:t>
      </w:r>
      <w:r>
        <w:rPr/>
        <w:t>times</w:t>
      </w:r>
      <w:r>
        <w:rPr>
          <w:spacing w:val="-18"/>
        </w:rPr>
        <w:t> </w:t>
      </w:r>
      <w:r>
        <w:rPr/>
        <w:t>a</w:t>
      </w:r>
      <w:r>
        <w:rPr>
          <w:spacing w:val="-21"/>
        </w:rPr>
        <w:t> </w:t>
      </w:r>
      <w:r>
        <w:rPr/>
        <w:t>day. 100</w:t>
      </w:r>
      <w:r>
        <w:rPr>
          <w:spacing w:val="-25"/>
        </w:rPr>
        <w:t> </w:t>
      </w:r>
      <w:r>
        <w:rPr/>
        <w:t>capsules</w:t>
      </w:r>
      <w:r>
        <w:rPr>
          <w:spacing w:val="-23"/>
        </w:rPr>
        <w:t> </w:t>
      </w:r>
      <w:r>
        <w:rPr/>
        <w:t>of</w:t>
      </w:r>
      <w:r>
        <w:rPr>
          <w:spacing w:val="-22"/>
        </w:rPr>
        <w:t> </w:t>
      </w:r>
      <w:r>
        <w:rPr/>
        <w:t>strophanthin</w:t>
      </w:r>
      <w:r>
        <w:rPr>
          <w:spacing w:val="-23"/>
        </w:rPr>
        <w:t> </w:t>
      </w:r>
      <w:r>
        <w:rPr/>
        <w:t>cost</w:t>
      </w:r>
      <w:r>
        <w:rPr>
          <w:spacing w:val="-26"/>
        </w:rPr>
        <w:t> </w:t>
      </w:r>
      <w:r>
        <w:rPr/>
        <w:t>approx.</w:t>
      </w:r>
      <w:r>
        <w:rPr>
          <w:spacing w:val="-24"/>
        </w:rPr>
        <w:t> </w:t>
      </w:r>
      <w:r>
        <w:rPr/>
        <w:t>30</w:t>
      </w:r>
      <w:r>
        <w:rPr>
          <w:spacing w:val="-24"/>
        </w:rPr>
        <w:t> </w:t>
      </w:r>
      <w:r>
        <w:rPr/>
        <w:t>EUR.</w:t>
      </w:r>
      <w:r>
        <w:rPr>
          <w:spacing w:val="-22"/>
        </w:rPr>
        <w:t> </w:t>
      </w:r>
      <w:r>
        <w:rPr/>
        <w:t>If</w:t>
      </w:r>
      <w:r>
        <w:rPr>
          <w:spacing w:val="-24"/>
        </w:rPr>
        <w:t> </w:t>
      </w:r>
      <w:r>
        <w:rPr/>
        <w:t>possible,</w:t>
      </w:r>
      <w:r>
        <w:rPr>
          <w:spacing w:val="-25"/>
        </w:rPr>
        <w:t> </w:t>
      </w:r>
      <w:r>
        <w:rPr/>
        <w:t>capsules</w:t>
      </w:r>
      <w:r>
        <w:rPr>
          <w:spacing w:val="-22"/>
        </w:rPr>
        <w:t> </w:t>
      </w:r>
      <w:r>
        <w:rPr/>
        <w:t>should be taken on an empty stomach, at the latest half an hour before meal times, accompanied by plenty of water.</w:t>
      </w:r>
    </w:p>
    <w:p>
      <w:pPr>
        <w:pStyle w:val="BodyText"/>
        <w:rPr>
          <w:sz w:val="20"/>
        </w:rPr>
      </w:pPr>
    </w:p>
    <w:p>
      <w:pPr>
        <w:pStyle w:val="BodyText"/>
        <w:rPr>
          <w:sz w:val="20"/>
        </w:rPr>
      </w:pPr>
    </w:p>
    <w:p>
      <w:pPr>
        <w:pStyle w:val="BodyText"/>
        <w:spacing w:before="8"/>
        <w:rPr>
          <w:sz w:val="29"/>
        </w:rPr>
      </w:pPr>
      <w:r>
        <w:rPr/>
        <w:pict>
          <v:line style="position:absolute;mso-position-horizontal-relative:page;mso-position-vertical-relative:paragraph;z-index:12728;mso-wrap-distance-left:0;mso-wrap-distance-right:0" from="70.823997pt,19.065016pt" to="214.843997pt,19.065016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906 </w:t>
      </w:r>
      <w:r>
        <w:rPr>
          <w:sz w:val="20"/>
        </w:rPr>
        <w:t>Agostoni et al. 1994</w:t>
      </w:r>
    </w:p>
    <w:p>
      <w:pPr>
        <w:spacing w:after="0"/>
        <w:jc w:val="left"/>
        <w:rPr>
          <w:sz w:val="20"/>
        </w:rPr>
        <w:sectPr>
          <w:pgSz w:w="14270" w:h="16850"/>
          <w:pgMar w:header="0" w:footer="404" w:top="1320" w:bottom="2080" w:left="800" w:right="1280"/>
        </w:sectPr>
      </w:pPr>
    </w:p>
    <w:p>
      <w:pPr>
        <w:pStyle w:val="Heading1"/>
        <w:spacing w:before="77"/>
        <w:ind w:left="616"/>
      </w:pPr>
      <w:r>
        <w:rPr/>
        <w:t>Strophanthin as a tincture/drops</w:t>
      </w:r>
    </w:p>
    <w:p>
      <w:pPr>
        <w:pStyle w:val="BodyText"/>
        <w:spacing w:before="299"/>
        <w:ind w:left="616"/>
      </w:pPr>
      <w:r>
        <w:rPr/>
        <w:t>As with tablets, strophanthin drops (tincture) require a prescription.</w:t>
      </w:r>
    </w:p>
    <w:p>
      <w:pPr>
        <w:pStyle w:val="Heading1"/>
        <w:spacing w:before="285"/>
        <w:ind w:left="616"/>
      </w:pPr>
      <w:r>
        <w:rPr/>
        <w:t>Strophanthin from seeds (Strophanthus</w:t>
      </w:r>
      <w:r>
        <w:rPr>
          <w:spacing w:val="-56"/>
        </w:rPr>
        <w:t> </w:t>
      </w:r>
      <w:r>
        <w:rPr/>
        <w:t>gratus)</w:t>
      </w:r>
    </w:p>
    <w:p>
      <w:pPr>
        <w:pStyle w:val="BodyText"/>
        <w:spacing w:line="276" w:lineRule="auto" w:before="299"/>
        <w:ind w:left="616" w:right="130"/>
        <w:jc w:val="both"/>
      </w:pPr>
      <w:r>
        <w:rPr/>
        <w:t>As an alternative to capsules or tinctures you can also source strophanthin seeds</w:t>
      </w:r>
      <w:r>
        <w:rPr>
          <w:spacing w:val="-19"/>
        </w:rPr>
        <w:t> </w:t>
      </w:r>
      <w:r>
        <w:rPr/>
        <w:t>(Strophanthus</w:t>
      </w:r>
      <w:r>
        <w:rPr>
          <w:spacing w:val="-18"/>
        </w:rPr>
        <w:t> </w:t>
      </w:r>
      <w:r>
        <w:rPr/>
        <w:t>gratus)</w:t>
      </w:r>
      <w:r>
        <w:rPr>
          <w:spacing w:val="-18"/>
        </w:rPr>
        <w:t> </w:t>
      </w:r>
      <w:r>
        <w:rPr/>
        <w:t>–</w:t>
      </w:r>
      <w:r>
        <w:rPr>
          <w:spacing w:val="-20"/>
        </w:rPr>
        <w:t> </w:t>
      </w:r>
      <w:r>
        <w:rPr/>
        <w:t>comparatively,</w:t>
      </w:r>
      <w:r>
        <w:rPr>
          <w:spacing w:val="-18"/>
        </w:rPr>
        <w:t> </w:t>
      </w:r>
      <w:r>
        <w:rPr/>
        <w:t>however,</w:t>
      </w:r>
      <w:r>
        <w:rPr>
          <w:spacing w:val="-18"/>
        </w:rPr>
        <w:t> </w:t>
      </w:r>
      <w:r>
        <w:rPr/>
        <w:t>the</w:t>
      </w:r>
      <w:r>
        <w:rPr>
          <w:spacing w:val="-19"/>
        </w:rPr>
        <w:t> </w:t>
      </w:r>
      <w:r>
        <w:rPr/>
        <w:t>effect</w:t>
      </w:r>
      <w:r>
        <w:rPr>
          <w:spacing w:val="-21"/>
        </w:rPr>
        <w:t> </w:t>
      </w:r>
      <w:r>
        <w:rPr/>
        <w:t>of</w:t>
      </w:r>
      <w:r>
        <w:rPr>
          <w:spacing w:val="-19"/>
        </w:rPr>
        <w:t> </w:t>
      </w:r>
      <w:r>
        <w:rPr/>
        <w:t>tablets</w:t>
      </w:r>
      <w:r>
        <w:rPr>
          <w:spacing w:val="-18"/>
        </w:rPr>
        <w:t> </w:t>
      </w:r>
      <w:r>
        <w:rPr/>
        <w:t>and tinctures is much more predictable.</w:t>
      </w:r>
    </w:p>
    <w:p>
      <w:pPr>
        <w:pStyle w:val="BodyText"/>
        <w:spacing w:before="242"/>
        <w:ind w:left="616"/>
      </w:pPr>
      <w:r>
        <w:rPr/>
        <w:t>The following preparations are available from chemists:</w:t>
      </w:r>
    </w:p>
    <w:p>
      <w:pPr>
        <w:pStyle w:val="ListParagraph"/>
        <w:numPr>
          <w:ilvl w:val="0"/>
          <w:numId w:val="127"/>
        </w:numPr>
        <w:tabs>
          <w:tab w:pos="1761" w:val="left" w:leader="none"/>
          <w:tab w:pos="1762" w:val="left" w:leader="none"/>
        </w:tabs>
        <w:spacing w:line="240" w:lineRule="auto" w:before="265" w:after="0"/>
        <w:ind w:left="1761" w:right="0" w:hanging="360"/>
        <w:jc w:val="left"/>
        <w:rPr>
          <w:sz w:val="38"/>
        </w:rPr>
      </w:pPr>
      <w:r>
        <w:rPr>
          <w:sz w:val="38"/>
        </w:rPr>
        <w:t>allopathic g-strophanthin drops (prescription</w:t>
      </w:r>
      <w:r>
        <w:rPr>
          <w:spacing w:val="-6"/>
          <w:sz w:val="38"/>
        </w:rPr>
        <w:t> </w:t>
      </w:r>
      <w:r>
        <w:rPr>
          <w:sz w:val="38"/>
        </w:rPr>
        <w:t>required)</w:t>
      </w:r>
    </w:p>
    <w:p>
      <w:pPr>
        <w:pStyle w:val="ListParagraph"/>
        <w:numPr>
          <w:ilvl w:val="0"/>
          <w:numId w:val="127"/>
        </w:numPr>
        <w:tabs>
          <w:tab w:pos="1761" w:val="left" w:leader="none"/>
          <w:tab w:pos="1762" w:val="left" w:leader="none"/>
        </w:tabs>
        <w:spacing w:line="273" w:lineRule="auto" w:before="184" w:after="0"/>
        <w:ind w:left="1761" w:right="814" w:hanging="360"/>
        <w:jc w:val="left"/>
        <w:rPr>
          <w:sz w:val="38"/>
        </w:rPr>
      </w:pPr>
      <w:r>
        <w:rPr>
          <w:sz w:val="38"/>
        </w:rPr>
        <w:t>allopathic k-strophanthin drops and iv ampoules (prescription re- quired)</w:t>
      </w:r>
    </w:p>
    <w:p>
      <w:pPr>
        <w:pStyle w:val="ListParagraph"/>
        <w:numPr>
          <w:ilvl w:val="0"/>
          <w:numId w:val="127"/>
        </w:numPr>
        <w:tabs>
          <w:tab w:pos="1761" w:val="left" w:leader="none"/>
          <w:tab w:pos="1762" w:val="left" w:leader="none"/>
        </w:tabs>
        <w:spacing w:line="240" w:lineRule="auto" w:before="127" w:after="0"/>
        <w:ind w:left="1761" w:right="0" w:hanging="360"/>
        <w:jc w:val="left"/>
        <w:rPr>
          <w:sz w:val="38"/>
        </w:rPr>
      </w:pPr>
      <w:r>
        <w:rPr>
          <w:sz w:val="38"/>
        </w:rPr>
        <w:t>Strodival mr® stomach resistant capsules (prescription</w:t>
      </w:r>
      <w:r>
        <w:rPr>
          <w:spacing w:val="-5"/>
          <w:sz w:val="38"/>
        </w:rPr>
        <w:t> </w:t>
      </w:r>
      <w:r>
        <w:rPr>
          <w:sz w:val="38"/>
        </w:rPr>
        <w:t>required)</w:t>
      </w:r>
    </w:p>
    <w:p>
      <w:pPr>
        <w:pStyle w:val="ListParagraph"/>
        <w:numPr>
          <w:ilvl w:val="0"/>
          <w:numId w:val="127"/>
        </w:numPr>
        <w:tabs>
          <w:tab w:pos="1761" w:val="left" w:leader="none"/>
          <w:tab w:pos="1762" w:val="left" w:leader="none"/>
        </w:tabs>
        <w:spacing w:line="273" w:lineRule="auto" w:before="184" w:after="0"/>
        <w:ind w:left="1761" w:right="571" w:hanging="360"/>
        <w:jc w:val="left"/>
        <w:rPr>
          <w:sz w:val="38"/>
        </w:rPr>
      </w:pPr>
      <w:r>
        <w:rPr>
          <w:sz w:val="38"/>
        </w:rPr>
        <w:t>Kombetin® ampoules for intravenous administration (prescription required)</w:t>
      </w:r>
    </w:p>
    <w:p>
      <w:pPr>
        <w:pStyle w:val="ListParagraph"/>
        <w:numPr>
          <w:ilvl w:val="0"/>
          <w:numId w:val="127"/>
        </w:numPr>
        <w:tabs>
          <w:tab w:pos="1761" w:val="left" w:leader="none"/>
          <w:tab w:pos="1762" w:val="left" w:leader="none"/>
        </w:tabs>
        <w:spacing w:line="240" w:lineRule="auto" w:before="127" w:after="0"/>
        <w:ind w:left="1761" w:right="0" w:hanging="360"/>
        <w:jc w:val="left"/>
        <w:rPr>
          <w:sz w:val="38"/>
        </w:rPr>
      </w:pPr>
      <w:r>
        <w:rPr>
          <w:sz w:val="38"/>
        </w:rPr>
        <w:t>Oleum Strophanthi forte® soft capsules (prescription</w:t>
      </w:r>
      <w:r>
        <w:rPr>
          <w:spacing w:val="-8"/>
          <w:sz w:val="38"/>
        </w:rPr>
        <w:t> </w:t>
      </w:r>
      <w:r>
        <w:rPr>
          <w:sz w:val="38"/>
        </w:rPr>
        <w:t>required)</w:t>
      </w:r>
    </w:p>
    <w:p>
      <w:pPr>
        <w:pStyle w:val="BodyText"/>
        <w:spacing w:line="278" w:lineRule="auto" w:before="302"/>
        <w:ind w:left="616"/>
      </w:pPr>
      <w:r>
        <w:rPr/>
        <w:t>In</w:t>
      </w:r>
      <w:r>
        <w:rPr>
          <w:spacing w:val="-25"/>
        </w:rPr>
        <w:t> </w:t>
      </w:r>
      <w:r>
        <w:rPr/>
        <w:t>addition,</w:t>
      </w:r>
      <w:r>
        <w:rPr>
          <w:spacing w:val="-25"/>
        </w:rPr>
        <w:t> </w:t>
      </w:r>
      <w:r>
        <w:rPr/>
        <w:t>there</w:t>
      </w:r>
      <w:r>
        <w:rPr>
          <w:spacing w:val="-25"/>
        </w:rPr>
        <w:t> </w:t>
      </w:r>
      <w:r>
        <w:rPr/>
        <w:t>are</w:t>
      </w:r>
      <w:r>
        <w:rPr>
          <w:spacing w:val="-26"/>
        </w:rPr>
        <w:t> </w:t>
      </w:r>
      <w:r>
        <w:rPr/>
        <w:t>many</w:t>
      </w:r>
      <w:r>
        <w:rPr>
          <w:spacing w:val="-24"/>
        </w:rPr>
        <w:t> </w:t>
      </w:r>
      <w:r>
        <w:rPr/>
        <w:t>homeopathic</w:t>
      </w:r>
      <w:r>
        <w:rPr>
          <w:spacing w:val="-26"/>
        </w:rPr>
        <w:t> </w:t>
      </w:r>
      <w:r>
        <w:rPr/>
        <w:t>remedies</w:t>
      </w:r>
      <w:r>
        <w:rPr>
          <w:spacing w:val="-25"/>
        </w:rPr>
        <w:t> </w:t>
      </w:r>
      <w:r>
        <w:rPr/>
        <w:t>available</w:t>
      </w:r>
      <w:r>
        <w:rPr>
          <w:spacing w:val="-25"/>
        </w:rPr>
        <w:t> </w:t>
      </w:r>
      <w:r>
        <w:rPr/>
        <w:t>without</w:t>
      </w:r>
      <w:r>
        <w:rPr>
          <w:spacing w:val="-27"/>
        </w:rPr>
        <w:t> </w:t>
      </w:r>
      <w:r>
        <w:rPr/>
        <w:t>a</w:t>
      </w:r>
      <w:r>
        <w:rPr>
          <w:spacing w:val="-26"/>
        </w:rPr>
        <w:t> </w:t>
      </w:r>
      <w:r>
        <w:rPr/>
        <w:t>prescrip- tion.</w:t>
      </w:r>
    </w:p>
    <w:p>
      <w:pPr>
        <w:spacing w:after="0" w:line="278" w:lineRule="auto"/>
        <w:sectPr>
          <w:pgSz w:w="14270" w:h="16850"/>
          <w:pgMar w:header="0" w:footer="404" w:top="1320" w:bottom="2080" w:left="800" w:right="1280"/>
        </w:sectPr>
      </w:pPr>
    </w:p>
    <w:p>
      <w:pPr>
        <w:pStyle w:val="Heading1"/>
        <w:spacing w:before="77"/>
        <w:ind w:left="616"/>
        <w:jc w:val="both"/>
      </w:pPr>
      <w:r>
        <w:rPr>
          <w:w w:val="95"/>
        </w:rPr>
        <w:t>Strophanthin is always ready as a life-saving emergency</w:t>
      </w:r>
      <w:r>
        <w:rPr>
          <w:spacing w:val="-29"/>
          <w:w w:val="95"/>
        </w:rPr>
        <w:t> </w:t>
      </w:r>
      <w:r>
        <w:rPr>
          <w:w w:val="95"/>
        </w:rPr>
        <w:t>medicine</w:t>
      </w:r>
    </w:p>
    <w:p>
      <w:pPr>
        <w:pStyle w:val="BodyText"/>
        <w:spacing w:line="276" w:lineRule="auto" w:before="299"/>
        <w:ind w:left="616" w:right="130"/>
        <w:jc w:val="both"/>
      </w:pPr>
      <w:r>
        <w:rPr/>
        <w:t>Strophanthin experts recommend that people suffering from heart conditions always carry an emergency dose of 3 mr strophanthin tablets (the stomach re- sistant version) with them. In an emergency (stroke, signs of a heart attack), bite two in your mouth. Others have already been helped in this way; for this reason,</w:t>
      </w:r>
      <w:r>
        <w:rPr>
          <w:spacing w:val="-18"/>
        </w:rPr>
        <w:t> </w:t>
      </w:r>
      <w:r>
        <w:rPr/>
        <w:t>squeeze</w:t>
      </w:r>
      <w:r>
        <w:rPr>
          <w:spacing w:val="-18"/>
        </w:rPr>
        <w:t> </w:t>
      </w:r>
      <w:r>
        <w:rPr/>
        <w:t>out</w:t>
      </w:r>
      <w:r>
        <w:rPr>
          <w:spacing w:val="-18"/>
        </w:rPr>
        <w:t> </w:t>
      </w:r>
      <w:r>
        <w:rPr/>
        <w:t>the</w:t>
      </w:r>
      <w:r>
        <w:rPr>
          <w:spacing w:val="-16"/>
        </w:rPr>
        <w:t> </w:t>
      </w:r>
      <w:r>
        <w:rPr/>
        <w:t>entire</w:t>
      </w:r>
      <w:r>
        <w:rPr>
          <w:spacing w:val="-16"/>
        </w:rPr>
        <w:t> </w:t>
      </w:r>
      <w:r>
        <w:rPr/>
        <w:t>capsule</w:t>
      </w:r>
      <w:r>
        <w:rPr>
          <w:spacing w:val="-16"/>
        </w:rPr>
        <w:t> </w:t>
      </w:r>
      <w:r>
        <w:rPr/>
        <w:t>and</w:t>
      </w:r>
      <w:r>
        <w:rPr>
          <w:spacing w:val="-16"/>
        </w:rPr>
        <w:t> </w:t>
      </w:r>
      <w:r>
        <w:rPr/>
        <w:t>the</w:t>
      </w:r>
      <w:r>
        <w:rPr>
          <w:spacing w:val="-18"/>
        </w:rPr>
        <w:t> </w:t>
      </w:r>
      <w:r>
        <w:rPr/>
        <w:t>wipe</w:t>
      </w:r>
      <w:r>
        <w:rPr>
          <w:spacing w:val="-16"/>
        </w:rPr>
        <w:t> </w:t>
      </w:r>
      <w:r>
        <w:rPr/>
        <w:t>the</w:t>
      </w:r>
      <w:r>
        <w:rPr>
          <w:spacing w:val="-19"/>
        </w:rPr>
        <w:t> </w:t>
      </w:r>
      <w:r>
        <w:rPr/>
        <w:t>contents</w:t>
      </w:r>
      <w:r>
        <w:rPr>
          <w:spacing w:val="-20"/>
        </w:rPr>
        <w:t> </w:t>
      </w:r>
      <w:r>
        <w:rPr/>
        <w:t>onto</w:t>
      </w:r>
      <w:r>
        <w:rPr>
          <w:spacing w:val="-16"/>
        </w:rPr>
        <w:t> </w:t>
      </w:r>
      <w:r>
        <w:rPr/>
        <w:t>the</w:t>
      </w:r>
      <w:r>
        <w:rPr>
          <w:spacing w:val="-18"/>
        </w:rPr>
        <w:t> </w:t>
      </w:r>
      <w:r>
        <w:rPr/>
        <w:t>inner cheeks of the victim (in order to enable absorption via the oral</w:t>
      </w:r>
      <w:r>
        <w:rPr>
          <w:spacing w:val="-18"/>
        </w:rPr>
        <w:t> </w:t>
      </w:r>
      <w:r>
        <w:rPr/>
        <w:t>mucosa.</w:t>
      </w:r>
    </w:p>
    <w:p>
      <w:pPr>
        <w:pStyle w:val="Heading2"/>
        <w:spacing w:before="241"/>
        <w:ind w:left="616"/>
        <w:jc w:val="both"/>
      </w:pPr>
      <w:r>
        <w:rPr/>
        <w:t>Side-effects of strophanthin?</w:t>
      </w:r>
    </w:p>
    <w:p>
      <w:pPr>
        <w:pStyle w:val="BodyText"/>
        <w:spacing w:line="276" w:lineRule="auto" w:before="304"/>
        <w:ind w:left="616" w:right="131"/>
        <w:jc w:val="both"/>
      </w:pPr>
      <w:r>
        <w:rPr/>
        <w:t>Despite the alleged side-effects of strophanthin, after 150 years of use there are no records of notable side effects or drug interaction in connection with real strophanthin. Side effects or interactions are reported much more in con- nection with the medicine ‘Digitalis’ (incorrectly equated to strophanthin!). Digitalis has a very similar chemical structure but has a much weaker effect and, unlike strophanthin, it does not promote deacidification.</w:t>
      </w:r>
    </w:p>
    <w:p>
      <w:pPr>
        <w:pStyle w:val="BodyText"/>
        <w:spacing w:line="276" w:lineRule="auto" w:before="240"/>
        <w:ind w:left="616" w:right="131"/>
        <w:jc w:val="both"/>
      </w:pPr>
      <w:r>
        <w:rPr/>
        <w:t>The</w:t>
      </w:r>
      <w:r>
        <w:rPr>
          <w:spacing w:val="-13"/>
        </w:rPr>
        <w:t> </w:t>
      </w:r>
      <w:r>
        <w:rPr/>
        <w:t>tablets</w:t>
      </w:r>
      <w:r>
        <w:rPr>
          <w:spacing w:val="-14"/>
        </w:rPr>
        <w:t> </w:t>
      </w:r>
      <w:r>
        <w:rPr/>
        <w:t>can</w:t>
      </w:r>
      <w:r>
        <w:rPr>
          <w:spacing w:val="-12"/>
        </w:rPr>
        <w:t> </w:t>
      </w:r>
      <w:r>
        <w:rPr/>
        <w:t>trigger</w:t>
      </w:r>
      <w:r>
        <w:rPr>
          <w:spacing w:val="-13"/>
        </w:rPr>
        <w:t> </w:t>
      </w:r>
      <w:r>
        <w:rPr/>
        <w:t>irritation</w:t>
      </w:r>
      <w:r>
        <w:rPr>
          <w:spacing w:val="-15"/>
        </w:rPr>
        <w:t> </w:t>
      </w:r>
      <w:r>
        <w:rPr/>
        <w:t>of</w:t>
      </w:r>
      <w:r>
        <w:rPr>
          <w:spacing w:val="-14"/>
        </w:rPr>
        <w:t> </w:t>
      </w:r>
      <w:r>
        <w:rPr/>
        <w:t>the</w:t>
      </w:r>
      <w:r>
        <w:rPr>
          <w:spacing w:val="-12"/>
        </w:rPr>
        <w:t> </w:t>
      </w:r>
      <w:r>
        <w:rPr/>
        <w:t>mucosa</w:t>
      </w:r>
      <w:r>
        <w:rPr>
          <w:spacing w:val="-17"/>
        </w:rPr>
        <w:t> </w:t>
      </w:r>
      <w:r>
        <w:rPr/>
        <w:t>in</w:t>
      </w:r>
      <w:r>
        <w:rPr>
          <w:spacing w:val="-15"/>
        </w:rPr>
        <w:t> </w:t>
      </w:r>
      <w:r>
        <w:rPr/>
        <w:t>the</w:t>
      </w:r>
      <w:r>
        <w:rPr>
          <w:spacing w:val="-13"/>
        </w:rPr>
        <w:t> </w:t>
      </w:r>
      <w:r>
        <w:rPr/>
        <w:t>mouth</w:t>
      </w:r>
      <w:r>
        <w:rPr>
          <w:spacing w:val="-15"/>
        </w:rPr>
        <w:t> </w:t>
      </w:r>
      <w:r>
        <w:rPr/>
        <w:t>or</w:t>
      </w:r>
      <w:r>
        <w:rPr>
          <w:spacing w:val="-14"/>
        </w:rPr>
        <w:t> </w:t>
      </w:r>
      <w:r>
        <w:rPr/>
        <w:t>gastrointestinal tract in around 10 % of all users. The drops can represent a real alternative here. You can obtain them from the Schloss-Apotheke Koblenz, with a pre- scription, under the designation ‘Tinctura Strophanthi’.</w:t>
      </w:r>
    </w:p>
    <w:p>
      <w:pPr>
        <w:pStyle w:val="BodyText"/>
        <w:spacing w:line="276" w:lineRule="auto" w:before="240"/>
        <w:ind w:left="616" w:right="133"/>
        <w:jc w:val="both"/>
      </w:pPr>
      <w:r>
        <w:rPr/>
        <w:t>It</w:t>
      </w:r>
      <w:r>
        <w:rPr>
          <w:spacing w:val="-7"/>
        </w:rPr>
        <w:t> </w:t>
      </w:r>
      <w:r>
        <w:rPr/>
        <w:t>is</w:t>
      </w:r>
      <w:r>
        <w:rPr>
          <w:spacing w:val="-7"/>
        </w:rPr>
        <w:t> </w:t>
      </w:r>
      <w:r>
        <w:rPr/>
        <w:t>known</w:t>
      </w:r>
      <w:r>
        <w:rPr>
          <w:spacing w:val="-7"/>
        </w:rPr>
        <w:t> </w:t>
      </w:r>
      <w:r>
        <w:rPr/>
        <w:t>that</w:t>
      </w:r>
      <w:r>
        <w:rPr>
          <w:spacing w:val="-9"/>
        </w:rPr>
        <w:t> </w:t>
      </w:r>
      <w:r>
        <w:rPr/>
        <w:t>even</w:t>
      </w:r>
      <w:r>
        <w:rPr>
          <w:spacing w:val="-6"/>
        </w:rPr>
        <w:t> </w:t>
      </w:r>
      <w:r>
        <w:rPr/>
        <w:t>water</w:t>
      </w:r>
      <w:r>
        <w:rPr>
          <w:spacing w:val="-6"/>
        </w:rPr>
        <w:t> </w:t>
      </w:r>
      <w:r>
        <w:rPr/>
        <w:t>has</w:t>
      </w:r>
      <w:r>
        <w:rPr>
          <w:spacing w:val="-6"/>
        </w:rPr>
        <w:t> </w:t>
      </w:r>
      <w:r>
        <w:rPr/>
        <w:t>a</w:t>
      </w:r>
      <w:r>
        <w:rPr>
          <w:spacing w:val="-7"/>
        </w:rPr>
        <w:t> </w:t>
      </w:r>
      <w:r>
        <w:rPr/>
        <w:t>poisonous</w:t>
      </w:r>
      <w:r>
        <w:rPr>
          <w:spacing w:val="-7"/>
        </w:rPr>
        <w:t> </w:t>
      </w:r>
      <w:r>
        <w:rPr/>
        <w:t>threshold.</w:t>
      </w:r>
      <w:r>
        <w:rPr>
          <w:spacing w:val="-7"/>
        </w:rPr>
        <w:t> </w:t>
      </w:r>
      <w:r>
        <w:rPr/>
        <w:t>However,</w:t>
      </w:r>
      <w:r>
        <w:rPr>
          <w:spacing w:val="-8"/>
        </w:rPr>
        <w:t> </w:t>
      </w:r>
      <w:r>
        <w:rPr/>
        <w:t>as</w:t>
      </w:r>
      <w:r>
        <w:rPr>
          <w:spacing w:val="-7"/>
        </w:rPr>
        <w:t> </w:t>
      </w:r>
      <w:r>
        <w:rPr/>
        <w:t>strophan- thin mainly has a stimulating effect on sodium-potassium pumps, even very low concentrations of g-strophanthin are extremely effective with few or no side effects.</w:t>
      </w:r>
    </w:p>
    <w:p>
      <w:pPr>
        <w:spacing w:after="0" w:line="276" w:lineRule="auto"/>
        <w:jc w:val="both"/>
        <w:sectPr>
          <w:pgSz w:w="14270" w:h="16850"/>
          <w:pgMar w:header="0" w:footer="404" w:top="1320" w:bottom="2080" w:left="800" w:right="1280"/>
        </w:sectPr>
      </w:pPr>
    </w:p>
    <w:p>
      <w:pPr>
        <w:pStyle w:val="BodyText"/>
        <w:spacing w:line="276" w:lineRule="auto" w:before="74"/>
        <w:ind w:left="616" w:right="141"/>
        <w:jc w:val="both"/>
      </w:pPr>
      <w:r>
        <w:rPr/>
        <w:t>However,</w:t>
      </w:r>
      <w:r>
        <w:rPr>
          <w:spacing w:val="-8"/>
        </w:rPr>
        <w:t> </w:t>
      </w:r>
      <w:r>
        <w:rPr/>
        <w:t>incorrect</w:t>
      </w:r>
      <w:r>
        <w:rPr>
          <w:spacing w:val="-9"/>
        </w:rPr>
        <w:t> </w:t>
      </w:r>
      <w:r>
        <w:rPr/>
        <w:t>consumption</w:t>
      </w:r>
      <w:r>
        <w:rPr>
          <w:spacing w:val="-9"/>
        </w:rPr>
        <w:t> </w:t>
      </w:r>
      <w:r>
        <w:rPr/>
        <w:t>of</w:t>
      </w:r>
      <w:r>
        <w:rPr>
          <w:spacing w:val="-10"/>
        </w:rPr>
        <w:t> </w:t>
      </w:r>
      <w:r>
        <w:rPr/>
        <w:t>excessively</w:t>
      </w:r>
      <w:r>
        <w:rPr>
          <w:spacing w:val="-11"/>
        </w:rPr>
        <w:t> </w:t>
      </w:r>
      <w:r>
        <w:rPr/>
        <w:t>high</w:t>
      </w:r>
      <w:r>
        <w:rPr>
          <w:spacing w:val="-6"/>
        </w:rPr>
        <w:t> </w:t>
      </w:r>
      <w:r>
        <w:rPr/>
        <w:t>amount</w:t>
      </w:r>
      <w:r>
        <w:rPr>
          <w:spacing w:val="-9"/>
        </w:rPr>
        <w:t> </w:t>
      </w:r>
      <w:r>
        <w:rPr/>
        <w:t>may</w:t>
      </w:r>
      <w:r>
        <w:rPr>
          <w:spacing w:val="-8"/>
        </w:rPr>
        <w:t> </w:t>
      </w:r>
      <w:r>
        <w:rPr/>
        <w:t>lead</w:t>
      </w:r>
      <w:r>
        <w:rPr>
          <w:spacing w:val="-9"/>
        </w:rPr>
        <w:t> </w:t>
      </w:r>
      <w:r>
        <w:rPr/>
        <w:t>to</w:t>
      </w:r>
      <w:r>
        <w:rPr>
          <w:spacing w:val="-11"/>
        </w:rPr>
        <w:t> </w:t>
      </w:r>
      <w:r>
        <w:rPr/>
        <w:t>pos- sible side</w:t>
      </w:r>
      <w:r>
        <w:rPr>
          <w:spacing w:val="-3"/>
        </w:rPr>
        <w:t> </w:t>
      </w:r>
      <w:r>
        <w:rPr/>
        <w:t>effects!</w:t>
      </w:r>
    </w:p>
    <w:p>
      <w:pPr>
        <w:pStyle w:val="BodyText"/>
        <w:spacing w:line="276" w:lineRule="auto" w:before="239"/>
        <w:ind w:left="616" w:right="132"/>
        <w:jc w:val="both"/>
      </w:pPr>
      <w:r>
        <w:rPr/>
        <w:t>g-strophanthin is compatible with all (heart) medicines, so you should </w:t>
      </w:r>
      <w:r>
        <w:rPr>
          <w:spacing w:val="3"/>
        </w:rPr>
        <w:t>not </w:t>
      </w:r>
      <w:r>
        <w:rPr/>
        <w:t>as- sume adverse drug interactions. As strophanthin achieves far better results than typically prescribed cardiac remedies, strophanthin can reduce their use or</w:t>
      </w:r>
      <w:r>
        <w:rPr>
          <w:spacing w:val="-13"/>
        </w:rPr>
        <w:t> </w:t>
      </w:r>
      <w:r>
        <w:rPr/>
        <w:t>render</w:t>
      </w:r>
      <w:r>
        <w:rPr>
          <w:spacing w:val="-15"/>
        </w:rPr>
        <w:t> </w:t>
      </w:r>
      <w:r>
        <w:rPr/>
        <w:t>them</w:t>
      </w:r>
      <w:r>
        <w:rPr>
          <w:spacing w:val="-14"/>
        </w:rPr>
        <w:t> </w:t>
      </w:r>
      <w:r>
        <w:rPr/>
        <w:t>superfluous.</w:t>
      </w:r>
      <w:r>
        <w:rPr>
          <w:spacing w:val="-12"/>
        </w:rPr>
        <w:t> </w:t>
      </w:r>
      <w:r>
        <w:rPr/>
        <w:t>However,</w:t>
      </w:r>
      <w:r>
        <w:rPr>
          <w:spacing w:val="-12"/>
        </w:rPr>
        <w:t> </w:t>
      </w:r>
      <w:r>
        <w:rPr/>
        <w:t>you</w:t>
      </w:r>
      <w:r>
        <w:rPr>
          <w:spacing w:val="-14"/>
        </w:rPr>
        <w:t> </w:t>
      </w:r>
      <w:r>
        <w:rPr/>
        <w:t>should</w:t>
      </w:r>
      <w:r>
        <w:rPr>
          <w:spacing w:val="-13"/>
        </w:rPr>
        <w:t> </w:t>
      </w:r>
      <w:r>
        <w:rPr/>
        <w:t>never</w:t>
      </w:r>
      <w:r>
        <w:rPr>
          <w:spacing w:val="-12"/>
        </w:rPr>
        <w:t> </w:t>
      </w:r>
      <w:r>
        <w:rPr/>
        <w:t>make</w:t>
      </w:r>
      <w:r>
        <w:rPr>
          <w:spacing w:val="-13"/>
        </w:rPr>
        <w:t> </w:t>
      </w:r>
      <w:r>
        <w:rPr/>
        <w:t>this</w:t>
      </w:r>
      <w:r>
        <w:rPr>
          <w:spacing w:val="-13"/>
        </w:rPr>
        <w:t> </w:t>
      </w:r>
      <w:r>
        <w:rPr/>
        <w:t>decision</w:t>
      </w:r>
      <w:r>
        <w:rPr>
          <w:spacing w:val="-12"/>
        </w:rPr>
        <w:t> </w:t>
      </w:r>
      <w:r>
        <w:rPr/>
        <w:t>by yourself, rather always seek clear advice from a doctor who is well versed in the use of ‘strophanthin’.</w:t>
      </w:r>
    </w:p>
    <w:p>
      <w:pPr>
        <w:pStyle w:val="Heading2"/>
        <w:spacing w:before="242"/>
        <w:ind w:left="616"/>
      </w:pPr>
      <w:r>
        <w:rPr/>
        <w:t>Strophanthin doctors</w:t>
      </w:r>
    </w:p>
    <w:p>
      <w:pPr>
        <w:spacing w:before="285"/>
        <w:ind w:left="616" w:right="0" w:firstLine="0"/>
        <w:jc w:val="left"/>
        <w:rPr>
          <w:b/>
          <w:i/>
          <w:sz w:val="40"/>
        </w:rPr>
      </w:pPr>
      <w:r>
        <w:rPr>
          <w:b/>
          <w:i/>
          <w:sz w:val="40"/>
        </w:rPr>
        <w:t>Which doctors prescribe strophanthin?</w:t>
      </w:r>
    </w:p>
    <w:p>
      <w:pPr>
        <w:pStyle w:val="BodyText"/>
        <w:spacing w:line="276" w:lineRule="auto" w:before="300"/>
        <w:ind w:left="616" w:right="132"/>
        <w:jc w:val="both"/>
      </w:pPr>
      <w:r>
        <w:rPr/>
        <w:t>If</w:t>
      </w:r>
      <w:r>
        <w:rPr>
          <w:spacing w:val="-10"/>
        </w:rPr>
        <w:t> </w:t>
      </w:r>
      <w:r>
        <w:rPr/>
        <w:t>you</w:t>
      </w:r>
      <w:r>
        <w:rPr>
          <w:spacing w:val="-9"/>
        </w:rPr>
        <w:t> </w:t>
      </w:r>
      <w:r>
        <w:rPr/>
        <w:t>do</w:t>
      </w:r>
      <w:r>
        <w:rPr>
          <w:spacing w:val="-11"/>
        </w:rPr>
        <w:t> </w:t>
      </w:r>
      <w:r>
        <w:rPr/>
        <w:t>not</w:t>
      </w:r>
      <w:r>
        <w:rPr>
          <w:spacing w:val="-11"/>
        </w:rPr>
        <w:t> </w:t>
      </w:r>
      <w:r>
        <w:rPr/>
        <w:t>currently</w:t>
      </w:r>
      <w:r>
        <w:rPr>
          <w:spacing w:val="-10"/>
        </w:rPr>
        <w:t> </w:t>
      </w:r>
      <w:r>
        <w:rPr/>
        <w:t>have</w:t>
      </w:r>
      <w:r>
        <w:rPr>
          <w:spacing w:val="-11"/>
        </w:rPr>
        <w:t> </w:t>
      </w:r>
      <w:r>
        <w:rPr/>
        <w:t>the</w:t>
      </w:r>
      <w:r>
        <w:rPr>
          <w:spacing w:val="-11"/>
        </w:rPr>
        <w:t> </w:t>
      </w:r>
      <w:r>
        <w:rPr/>
        <w:t>ineffable</w:t>
      </w:r>
      <w:r>
        <w:rPr>
          <w:spacing w:val="-9"/>
        </w:rPr>
        <w:t> </w:t>
      </w:r>
      <w:r>
        <w:rPr/>
        <w:t>luck</w:t>
      </w:r>
      <w:r>
        <w:rPr>
          <w:spacing w:val="-9"/>
        </w:rPr>
        <w:t> </w:t>
      </w:r>
      <w:r>
        <w:rPr/>
        <w:t>of</w:t>
      </w:r>
      <w:r>
        <w:rPr>
          <w:spacing w:val="-8"/>
        </w:rPr>
        <w:t> </w:t>
      </w:r>
      <w:r>
        <w:rPr/>
        <w:t>knowing</w:t>
      </w:r>
      <w:r>
        <w:rPr>
          <w:spacing w:val="-9"/>
        </w:rPr>
        <w:t> </w:t>
      </w:r>
      <w:r>
        <w:rPr/>
        <w:t>a</w:t>
      </w:r>
      <w:r>
        <w:rPr>
          <w:spacing w:val="-12"/>
        </w:rPr>
        <w:t> </w:t>
      </w:r>
      <w:r>
        <w:rPr/>
        <w:t>doctor</w:t>
      </w:r>
      <w:r>
        <w:rPr>
          <w:spacing w:val="-7"/>
        </w:rPr>
        <w:t> </w:t>
      </w:r>
      <w:r>
        <w:rPr/>
        <w:t>who</w:t>
      </w:r>
      <w:r>
        <w:rPr>
          <w:spacing w:val="-11"/>
        </w:rPr>
        <w:t> </w:t>
      </w:r>
      <w:r>
        <w:rPr/>
        <w:t>either remembers the success of the standard therapy in the 1960s or who has spent sufficient time and commitment and has the necessary specialist knowledge</w:t>
      </w:r>
      <w:r>
        <w:rPr>
          <w:spacing w:val="-66"/>
        </w:rPr>
        <w:t> </w:t>
      </w:r>
      <w:r>
        <w:rPr/>
        <w:t>to research</w:t>
      </w:r>
      <w:r>
        <w:rPr>
          <w:spacing w:val="-14"/>
        </w:rPr>
        <w:t> </w:t>
      </w:r>
      <w:r>
        <w:rPr/>
        <w:t>the</w:t>
      </w:r>
      <w:r>
        <w:rPr>
          <w:spacing w:val="-14"/>
        </w:rPr>
        <w:t> </w:t>
      </w:r>
      <w:r>
        <w:rPr/>
        <w:t>facts</w:t>
      </w:r>
      <w:r>
        <w:rPr>
          <w:spacing w:val="-14"/>
        </w:rPr>
        <w:t> </w:t>
      </w:r>
      <w:r>
        <w:rPr/>
        <w:t>about</w:t>
      </w:r>
      <w:r>
        <w:rPr>
          <w:spacing w:val="-14"/>
        </w:rPr>
        <w:t> </w:t>
      </w:r>
      <w:r>
        <w:rPr/>
        <w:t>strophanthin</w:t>
      </w:r>
      <w:r>
        <w:rPr>
          <w:spacing w:val="-14"/>
        </w:rPr>
        <w:t> </w:t>
      </w:r>
      <w:r>
        <w:rPr/>
        <w:t>in</w:t>
      </w:r>
      <w:r>
        <w:rPr>
          <w:spacing w:val="-16"/>
        </w:rPr>
        <w:t> </w:t>
      </w:r>
      <w:r>
        <w:rPr/>
        <w:t>specialist</w:t>
      </w:r>
      <w:r>
        <w:rPr>
          <w:spacing w:val="-17"/>
        </w:rPr>
        <w:t> </w:t>
      </w:r>
      <w:r>
        <w:rPr/>
        <w:t>literature</w:t>
      </w:r>
      <w:r>
        <w:rPr>
          <w:spacing w:val="-15"/>
        </w:rPr>
        <w:t> </w:t>
      </w:r>
      <w:r>
        <w:rPr/>
        <w:t>and</w:t>
      </w:r>
      <w:r>
        <w:rPr>
          <w:spacing w:val="-14"/>
        </w:rPr>
        <w:t> </w:t>
      </w:r>
      <w:r>
        <w:rPr/>
        <w:t>on</w:t>
      </w:r>
      <w:r>
        <w:rPr>
          <w:spacing w:val="-14"/>
        </w:rPr>
        <w:t> </w:t>
      </w:r>
      <w:r>
        <w:rPr/>
        <w:t>the</w:t>
      </w:r>
      <w:r>
        <w:rPr>
          <w:spacing w:val="-16"/>
        </w:rPr>
        <w:t> </w:t>
      </w:r>
      <w:r>
        <w:rPr/>
        <w:t>internet in a completely impartial manner themselves, experience has shown that you may find it difficult to convince a doctor to prescribe strophanthin. Unfortu- nately, younger doctors accept the mediated, misleading scientific</w:t>
      </w:r>
      <w:r>
        <w:rPr>
          <w:spacing w:val="-43"/>
        </w:rPr>
        <w:t> </w:t>
      </w:r>
      <w:r>
        <w:rPr/>
        <w:t>understand- ing of ‘strophanthin’ without questioning any part of</w:t>
      </w:r>
      <w:r>
        <w:rPr>
          <w:spacing w:val="-1"/>
        </w:rPr>
        <w:t> </w:t>
      </w:r>
      <w:r>
        <w:rPr/>
        <w:t>it.</w:t>
      </w:r>
    </w:p>
    <w:p>
      <w:pPr>
        <w:pStyle w:val="BodyText"/>
        <w:rPr>
          <w:sz w:val="42"/>
        </w:rPr>
      </w:pPr>
    </w:p>
    <w:p>
      <w:pPr>
        <w:pStyle w:val="BodyText"/>
        <w:rPr>
          <w:sz w:val="42"/>
        </w:rPr>
      </w:pPr>
    </w:p>
    <w:p>
      <w:pPr>
        <w:pStyle w:val="BodyText"/>
        <w:rPr>
          <w:sz w:val="42"/>
        </w:rPr>
      </w:pPr>
    </w:p>
    <w:p>
      <w:pPr>
        <w:pStyle w:val="Heading1"/>
        <w:spacing w:before="270"/>
        <w:ind w:left="616"/>
        <w:jc w:val="both"/>
      </w:pPr>
      <w:r>
        <w:rPr/>
        <w:t>A list of doctors who prescribe</w:t>
      </w:r>
      <w:r>
        <w:rPr>
          <w:spacing w:val="-70"/>
        </w:rPr>
        <w:t> </w:t>
      </w:r>
      <w:r>
        <w:rPr/>
        <w:t>strophanthin</w:t>
      </w:r>
    </w:p>
    <w:p>
      <w:pPr>
        <w:spacing w:after="0"/>
        <w:jc w:val="both"/>
        <w:sectPr>
          <w:pgSz w:w="14270" w:h="16850"/>
          <w:pgMar w:header="0" w:footer="404" w:top="1340" w:bottom="2080" w:left="800" w:right="1280"/>
        </w:sectPr>
      </w:pPr>
    </w:p>
    <w:p>
      <w:pPr>
        <w:pStyle w:val="BodyText"/>
        <w:spacing w:line="276" w:lineRule="auto" w:before="74"/>
        <w:ind w:left="616"/>
      </w:pPr>
      <w:r>
        <w:rPr/>
        <w:t>The following list comes from the fabulous and highly recommended, exten- sive website concerning the topic of strophanthin: </w:t>
      </w:r>
      <w:hyperlink r:id="rId389">
        <w:r>
          <w:rPr/>
          <w:t>www.strophanthin.de</w:t>
        </w:r>
      </w:hyperlink>
    </w:p>
    <w:p>
      <w:pPr>
        <w:pStyle w:val="BodyText"/>
        <w:spacing w:line="276" w:lineRule="auto" w:before="239"/>
        <w:ind w:left="616" w:right="142"/>
        <w:jc w:val="both"/>
      </w:pPr>
      <w:r>
        <w:rPr/>
        <w:t>All chemists are in the position to supply strophanthin upon presentation of</w:t>
      </w:r>
      <w:r>
        <w:rPr>
          <w:spacing w:val="-54"/>
        </w:rPr>
        <w:t> </w:t>
      </w:r>
      <w:r>
        <w:rPr/>
        <w:t>a prescription. 100 capsules cost approx. 35 Dollar (or 30 EUR) with a private prescription, some costs are borne by health insurance providers.</w:t>
      </w:r>
    </w:p>
    <w:p>
      <w:pPr>
        <w:pStyle w:val="Heading2"/>
        <w:spacing w:before="241"/>
        <w:ind w:left="616"/>
      </w:pPr>
      <w:r>
        <w:rPr>
          <w:u w:val="single"/>
        </w:rPr>
        <w:t>England:</w:t>
      </w:r>
    </w:p>
    <w:p>
      <w:pPr>
        <w:spacing w:before="305"/>
        <w:ind w:left="616" w:right="0" w:firstLine="0"/>
        <w:jc w:val="left"/>
        <w:rPr>
          <w:b/>
          <w:sz w:val="38"/>
        </w:rPr>
      </w:pPr>
      <w:r>
        <w:rPr>
          <w:b/>
          <w:sz w:val="38"/>
        </w:rPr>
        <w:t>Dr. med. Jochen Philipp Handel,</w:t>
      </w:r>
    </w:p>
    <w:p>
      <w:pPr>
        <w:pStyle w:val="BodyText"/>
        <w:spacing w:before="304"/>
        <w:ind w:left="616"/>
      </w:pPr>
      <w:r>
        <w:rPr/>
        <w:t>Email: </w:t>
      </w:r>
      <w:hyperlink r:id="rId390">
        <w:r>
          <w:rPr/>
          <w:t>jochen.handel@gmx.de</w:t>
        </w:r>
      </w:hyperlink>
    </w:p>
    <w:p>
      <w:pPr>
        <w:pStyle w:val="BodyText"/>
        <w:rPr>
          <w:sz w:val="42"/>
        </w:rPr>
      </w:pPr>
    </w:p>
    <w:p>
      <w:pPr>
        <w:pStyle w:val="BodyText"/>
        <w:spacing w:before="4"/>
        <w:rPr>
          <w:sz w:val="37"/>
        </w:rPr>
      </w:pPr>
    </w:p>
    <w:p>
      <w:pPr>
        <w:pStyle w:val="Heading2"/>
        <w:ind w:left="616"/>
      </w:pPr>
      <w:r>
        <w:rPr>
          <w:u w:val="single"/>
        </w:rPr>
        <w:t>USA:</w:t>
      </w:r>
    </w:p>
    <w:p>
      <w:pPr>
        <w:spacing w:line="271" w:lineRule="auto" w:before="179"/>
        <w:ind w:left="616" w:right="244" w:firstLine="0"/>
        <w:jc w:val="left"/>
        <w:rPr>
          <w:sz w:val="38"/>
        </w:rPr>
      </w:pPr>
      <w:r>
        <w:rPr>
          <w:b/>
          <w:sz w:val="38"/>
        </w:rPr>
        <w:t>94131</w:t>
      </w:r>
      <w:r>
        <w:rPr>
          <w:b/>
          <w:spacing w:val="-16"/>
          <w:sz w:val="38"/>
        </w:rPr>
        <w:t> </w:t>
      </w:r>
      <w:r>
        <w:rPr>
          <w:b/>
          <w:sz w:val="38"/>
        </w:rPr>
        <w:t>CA,</w:t>
      </w:r>
      <w:r>
        <w:rPr>
          <w:b/>
          <w:spacing w:val="-16"/>
          <w:sz w:val="38"/>
        </w:rPr>
        <w:t> </w:t>
      </w:r>
      <w:r>
        <w:rPr>
          <w:b/>
          <w:sz w:val="38"/>
        </w:rPr>
        <w:t>San</w:t>
      </w:r>
      <w:r>
        <w:rPr>
          <w:b/>
          <w:spacing w:val="-19"/>
          <w:sz w:val="38"/>
        </w:rPr>
        <w:t> </w:t>
      </w:r>
      <w:r>
        <w:rPr>
          <w:b/>
          <w:sz w:val="38"/>
        </w:rPr>
        <w:t>Francisco:</w:t>
      </w:r>
      <w:r>
        <w:rPr>
          <w:b/>
          <w:spacing w:val="-14"/>
          <w:sz w:val="38"/>
        </w:rPr>
        <w:t> </w:t>
      </w:r>
      <w:r>
        <w:rPr>
          <w:b/>
          <w:i/>
          <w:sz w:val="40"/>
        </w:rPr>
        <w:t>Thomas</w:t>
      </w:r>
      <w:r>
        <w:rPr>
          <w:b/>
          <w:i/>
          <w:spacing w:val="-21"/>
          <w:sz w:val="40"/>
        </w:rPr>
        <w:t> </w:t>
      </w:r>
      <w:r>
        <w:rPr>
          <w:b/>
          <w:i/>
          <w:sz w:val="40"/>
        </w:rPr>
        <w:t>S.</w:t>
      </w:r>
      <w:r>
        <w:rPr>
          <w:b/>
          <w:i/>
          <w:spacing w:val="-21"/>
          <w:sz w:val="40"/>
        </w:rPr>
        <w:t> </w:t>
      </w:r>
      <w:r>
        <w:rPr>
          <w:b/>
          <w:i/>
          <w:sz w:val="40"/>
        </w:rPr>
        <w:t>Cowan</w:t>
      </w:r>
      <w:r>
        <w:rPr>
          <w:i/>
          <w:sz w:val="38"/>
        </w:rPr>
        <w:t>,</w:t>
      </w:r>
      <w:r>
        <w:rPr>
          <w:i/>
          <w:spacing w:val="-16"/>
          <w:sz w:val="38"/>
        </w:rPr>
        <w:t> </w:t>
      </w:r>
      <w:r>
        <w:rPr>
          <w:i/>
          <w:sz w:val="38"/>
        </w:rPr>
        <w:t>M.D.</w:t>
      </w:r>
      <w:r>
        <w:rPr>
          <w:i/>
          <w:spacing w:val="-14"/>
          <w:sz w:val="38"/>
        </w:rPr>
        <w:t> </w:t>
      </w:r>
      <w:r>
        <w:rPr>
          <w:sz w:val="38"/>
        </w:rPr>
        <w:t>661</w:t>
      </w:r>
      <w:r>
        <w:rPr>
          <w:spacing w:val="-17"/>
          <w:sz w:val="38"/>
        </w:rPr>
        <w:t> </w:t>
      </w:r>
      <w:r>
        <w:rPr>
          <w:sz w:val="38"/>
        </w:rPr>
        <w:t>Chenery</w:t>
      </w:r>
      <w:r>
        <w:rPr>
          <w:spacing w:val="-16"/>
          <w:sz w:val="38"/>
        </w:rPr>
        <w:t> </w:t>
      </w:r>
      <w:r>
        <w:rPr>
          <w:sz w:val="38"/>
        </w:rPr>
        <w:t>Street, Fax : 001 415- 334-1014, Front Desk: 001</w:t>
      </w:r>
      <w:r>
        <w:rPr>
          <w:spacing w:val="-3"/>
          <w:sz w:val="38"/>
        </w:rPr>
        <w:t> </w:t>
      </w:r>
      <w:r>
        <w:rPr>
          <w:sz w:val="38"/>
        </w:rPr>
        <w:t>415-334-1010</w:t>
      </w:r>
    </w:p>
    <w:p>
      <w:pPr>
        <w:pStyle w:val="BodyText"/>
        <w:spacing w:line="276" w:lineRule="auto" w:before="8"/>
        <w:ind w:left="616" w:right="215" w:firstLine="96"/>
      </w:pPr>
      <w:hyperlink r:id="rId391">
        <w:r>
          <w:rPr/>
          <w:t>http://fourfoldhealing.com/, </w:t>
        </w:r>
      </w:hyperlink>
      <w:r>
        <w:rPr/>
        <w:t>there especially about Strophanthin to be found menuepoint in the top "articles", and there "about the medicines", and there "Strodival" (not more available, today it´s Strophanthus).</w:t>
      </w:r>
    </w:p>
    <w:p>
      <w:pPr>
        <w:pStyle w:val="BodyText"/>
        <w:spacing w:before="9"/>
        <w:rPr>
          <w:sz w:val="43"/>
        </w:rPr>
      </w:pPr>
    </w:p>
    <w:p>
      <w:pPr>
        <w:pStyle w:val="BodyText"/>
        <w:spacing w:line="276" w:lineRule="auto"/>
        <w:ind w:left="616" w:right="309"/>
      </w:pPr>
      <w:r>
        <w:rPr/>
        <w:t>The latest writing of Dr. Cowan </w:t>
      </w:r>
      <w:hyperlink r:id="rId392">
        <w:r>
          <w:rPr/>
          <w:t>http://fourfoldhealing.com/wp-con-</w:t>
        </w:r>
      </w:hyperlink>
      <w:r>
        <w:rPr/>
        <w:t> tent/uploads/2014/05/Cowan-reprint.pdf There is a close cooperation with dr. Knut Sroka, Hamburg, Germany </w:t>
      </w:r>
      <w:hyperlink r:id="rId393">
        <w:r>
          <w:rPr/>
          <w:t>http://heartattacknew.com/ </w:t>
        </w:r>
      </w:hyperlink>
      <w:r>
        <w:rPr/>
        <w:t>Here the link to a video on you tube: Cause and Prevention of Heart Attacks. A</w:t>
      </w:r>
    </w:p>
    <w:p>
      <w:pPr>
        <w:spacing w:after="0" w:line="276" w:lineRule="auto"/>
        <w:sectPr>
          <w:pgSz w:w="14270" w:h="16850"/>
          <w:pgMar w:header="0" w:footer="404" w:top="1340" w:bottom="2080" w:left="800" w:right="1280"/>
        </w:sectPr>
      </w:pPr>
    </w:p>
    <w:p>
      <w:pPr>
        <w:pStyle w:val="BodyText"/>
        <w:spacing w:line="276" w:lineRule="auto" w:before="72"/>
        <w:ind w:left="616" w:right="231"/>
      </w:pPr>
      <w:r>
        <w:rPr/>
        <w:t>speech from Thomas Cowan, given at the Freedom Law School in California 2009.</w:t>
      </w:r>
    </w:p>
    <w:p>
      <w:pPr>
        <w:pStyle w:val="BodyText"/>
        <w:rPr>
          <w:sz w:val="42"/>
        </w:rPr>
      </w:pPr>
    </w:p>
    <w:p>
      <w:pPr>
        <w:pStyle w:val="BodyText"/>
        <w:spacing w:line="276" w:lineRule="auto" w:before="289"/>
        <w:ind w:left="616" w:right="373"/>
      </w:pPr>
      <w:r>
        <w:rPr/>
        <w:t>Dr. Cowan has written an new book on heart disease treatement, especially by Ouabain (Strophanthine). He was intrviewt by Dr. Mercola and an article postet on mercola.com on December 18, 2016.</w:t>
      </w:r>
    </w:p>
    <w:p>
      <w:pPr>
        <w:pStyle w:val="BodyText"/>
        <w:rPr>
          <w:sz w:val="42"/>
        </w:rPr>
      </w:pPr>
    </w:p>
    <w:p>
      <w:pPr>
        <w:pStyle w:val="BodyText"/>
        <w:rPr>
          <w:sz w:val="42"/>
        </w:rPr>
      </w:pPr>
    </w:p>
    <w:p>
      <w:pPr>
        <w:pStyle w:val="BodyText"/>
        <w:spacing w:before="6"/>
        <w:rPr>
          <w:sz w:val="57"/>
        </w:rPr>
      </w:pPr>
    </w:p>
    <w:p>
      <w:pPr>
        <w:pStyle w:val="Heading2"/>
        <w:spacing w:before="1"/>
        <w:ind w:left="616"/>
      </w:pPr>
      <w:r>
        <w:rPr>
          <w:u w:val="single"/>
        </w:rPr>
        <w:t>Germany:</w:t>
      </w:r>
    </w:p>
    <w:p>
      <w:pPr>
        <w:pStyle w:val="BodyText"/>
        <w:spacing w:line="276" w:lineRule="auto" w:before="302"/>
        <w:ind w:left="616" w:right="136"/>
        <w:jc w:val="both"/>
      </w:pPr>
      <w:r>
        <w:rPr/>
        <w:t>Dr. Debusmann, an experienced expert in strophanthin, recommends the chemist Dr. Eichele. According to his statement, this is the chemist with the longest experience in the manufacture and effects of strophanthin and manu- factures his own stomach resistant capsules completely altruistically himself:</w:t>
      </w:r>
    </w:p>
    <w:p>
      <w:pPr>
        <w:pStyle w:val="Heading2"/>
        <w:spacing w:before="239"/>
        <w:ind w:left="616"/>
      </w:pPr>
      <w:r>
        <w:rPr/>
        <w:t>Schlossapotheke in 56068 Koblenz, Schlossstraße 17, Phone. 0261–18439,</w:t>
      </w:r>
    </w:p>
    <w:p>
      <w:pPr>
        <w:spacing w:before="67"/>
        <w:ind w:left="616" w:right="0" w:firstLine="0"/>
        <w:jc w:val="left"/>
        <w:rPr>
          <w:b/>
          <w:sz w:val="38"/>
        </w:rPr>
      </w:pPr>
      <w:r>
        <w:rPr>
          <w:b/>
          <w:sz w:val="38"/>
        </w:rPr>
        <w:t>Fax. 0261–12449.</w:t>
      </w:r>
    </w:p>
    <w:p>
      <w:pPr>
        <w:pStyle w:val="BodyText"/>
        <w:rPr>
          <w:b/>
          <w:sz w:val="42"/>
        </w:rPr>
      </w:pPr>
    </w:p>
    <w:p>
      <w:pPr>
        <w:pStyle w:val="BodyText"/>
        <w:spacing w:before="3"/>
        <w:rPr>
          <w:b/>
          <w:sz w:val="46"/>
        </w:rPr>
      </w:pPr>
    </w:p>
    <w:p>
      <w:pPr>
        <w:pStyle w:val="BodyText"/>
        <w:spacing w:line="276" w:lineRule="auto"/>
        <w:ind w:left="616" w:right="132"/>
        <w:jc w:val="both"/>
      </w:pPr>
      <w:r>
        <w:rPr/>
        <w:t>The</w:t>
      </w:r>
      <w:r>
        <w:rPr>
          <w:spacing w:val="-14"/>
        </w:rPr>
        <w:t> </w:t>
      </w:r>
      <w:r>
        <w:rPr/>
        <w:t>following</w:t>
      </w:r>
      <w:r>
        <w:rPr>
          <w:spacing w:val="-13"/>
        </w:rPr>
        <w:t> </w:t>
      </w:r>
      <w:r>
        <w:rPr/>
        <w:t>german</w:t>
      </w:r>
      <w:r>
        <w:rPr>
          <w:spacing w:val="-14"/>
        </w:rPr>
        <w:t> </w:t>
      </w:r>
      <w:r>
        <w:rPr/>
        <w:t>doctors</w:t>
      </w:r>
      <w:r>
        <w:rPr>
          <w:spacing w:val="-13"/>
        </w:rPr>
        <w:t> </w:t>
      </w:r>
      <w:r>
        <w:rPr/>
        <w:t>and</w:t>
      </w:r>
      <w:r>
        <w:rPr>
          <w:spacing w:val="-14"/>
        </w:rPr>
        <w:t> </w:t>
      </w:r>
      <w:r>
        <w:rPr/>
        <w:t>therapists,</w:t>
      </w:r>
      <w:r>
        <w:rPr>
          <w:spacing w:val="-13"/>
        </w:rPr>
        <w:t> </w:t>
      </w:r>
      <w:r>
        <w:rPr/>
        <w:t>listed</w:t>
      </w:r>
      <w:r>
        <w:rPr>
          <w:spacing w:val="-15"/>
        </w:rPr>
        <w:t> </w:t>
      </w:r>
      <w:r>
        <w:rPr/>
        <w:t>according</w:t>
      </w:r>
      <w:r>
        <w:rPr>
          <w:spacing w:val="-14"/>
        </w:rPr>
        <w:t> </w:t>
      </w:r>
      <w:r>
        <w:rPr/>
        <w:t>to</w:t>
      </w:r>
      <w:r>
        <w:rPr>
          <w:spacing w:val="-14"/>
        </w:rPr>
        <w:t> </w:t>
      </w:r>
      <w:r>
        <w:rPr/>
        <w:t>postcode,</w:t>
      </w:r>
      <w:r>
        <w:rPr>
          <w:spacing w:val="-14"/>
        </w:rPr>
        <w:t> </w:t>
      </w:r>
      <w:r>
        <w:rPr/>
        <w:t>are prepared to prescribe strophanthin, which requires a prescription. This con- cerns</w:t>
      </w:r>
      <w:r>
        <w:rPr>
          <w:spacing w:val="-17"/>
        </w:rPr>
        <w:t> </w:t>
      </w:r>
      <w:r>
        <w:rPr/>
        <w:t>(almost</w:t>
      </w:r>
      <w:r>
        <w:rPr>
          <w:spacing w:val="-17"/>
        </w:rPr>
        <w:t> </w:t>
      </w:r>
      <w:r>
        <w:rPr/>
        <w:t>without</w:t>
      </w:r>
      <w:r>
        <w:rPr>
          <w:spacing w:val="-18"/>
        </w:rPr>
        <w:t> </w:t>
      </w:r>
      <w:r>
        <w:rPr/>
        <w:t>exception)</w:t>
      </w:r>
      <w:r>
        <w:rPr>
          <w:spacing w:val="-17"/>
        </w:rPr>
        <w:t> </w:t>
      </w:r>
      <w:r>
        <w:rPr/>
        <w:t>extremely</w:t>
      </w:r>
      <w:r>
        <w:rPr>
          <w:spacing w:val="-17"/>
        </w:rPr>
        <w:t> </w:t>
      </w:r>
      <w:r>
        <w:rPr/>
        <w:t>experienced</w:t>
      </w:r>
      <w:r>
        <w:rPr>
          <w:spacing w:val="-17"/>
        </w:rPr>
        <w:t> </w:t>
      </w:r>
      <w:r>
        <w:rPr/>
        <w:t>doctors</w:t>
      </w:r>
      <w:r>
        <w:rPr>
          <w:spacing w:val="-19"/>
        </w:rPr>
        <w:t> </w:t>
      </w:r>
      <w:r>
        <w:rPr/>
        <w:t>and</w:t>
      </w:r>
      <w:r>
        <w:rPr>
          <w:spacing w:val="-17"/>
        </w:rPr>
        <w:t> </w:t>
      </w:r>
      <w:r>
        <w:rPr/>
        <w:t>therapists who</w:t>
      </w:r>
      <w:r>
        <w:rPr>
          <w:spacing w:val="-15"/>
        </w:rPr>
        <w:t> </w:t>
      </w:r>
      <w:r>
        <w:rPr/>
        <w:t>have</w:t>
      </w:r>
      <w:r>
        <w:rPr>
          <w:spacing w:val="-16"/>
        </w:rPr>
        <w:t> </w:t>
      </w:r>
      <w:r>
        <w:rPr/>
        <w:t>already</w:t>
      </w:r>
      <w:r>
        <w:rPr>
          <w:spacing w:val="-17"/>
        </w:rPr>
        <w:t> </w:t>
      </w:r>
      <w:r>
        <w:rPr/>
        <w:t>used</w:t>
      </w:r>
      <w:r>
        <w:rPr>
          <w:spacing w:val="-17"/>
        </w:rPr>
        <w:t> </w:t>
      </w:r>
      <w:r>
        <w:rPr/>
        <w:t>strophanthin</w:t>
      </w:r>
      <w:r>
        <w:rPr>
          <w:spacing w:val="-16"/>
        </w:rPr>
        <w:t> </w:t>
      </w:r>
      <w:r>
        <w:rPr/>
        <w:t>in</w:t>
      </w:r>
      <w:r>
        <w:rPr>
          <w:spacing w:val="-15"/>
        </w:rPr>
        <w:t> </w:t>
      </w:r>
      <w:r>
        <w:rPr/>
        <w:t>treatments</w:t>
      </w:r>
      <w:r>
        <w:rPr>
          <w:spacing w:val="-16"/>
        </w:rPr>
        <w:t> </w:t>
      </w:r>
      <w:r>
        <w:rPr/>
        <w:t>for</w:t>
      </w:r>
      <w:r>
        <w:rPr>
          <w:spacing w:val="-17"/>
        </w:rPr>
        <w:t> </w:t>
      </w:r>
      <w:r>
        <w:rPr/>
        <w:t>a</w:t>
      </w:r>
      <w:r>
        <w:rPr>
          <w:spacing w:val="-18"/>
        </w:rPr>
        <w:t> </w:t>
      </w:r>
      <w:r>
        <w:rPr/>
        <w:t>long</w:t>
      </w:r>
      <w:r>
        <w:rPr>
          <w:spacing w:val="-19"/>
        </w:rPr>
        <w:t> </w:t>
      </w:r>
      <w:r>
        <w:rPr/>
        <w:t>time</w:t>
      </w:r>
      <w:r>
        <w:rPr>
          <w:spacing w:val="-18"/>
        </w:rPr>
        <w:t> </w:t>
      </w:r>
      <w:r>
        <w:rPr/>
        <w:t>and</w:t>
      </w:r>
      <w:r>
        <w:rPr>
          <w:spacing w:val="-16"/>
        </w:rPr>
        <w:t> </w:t>
      </w:r>
      <w:r>
        <w:rPr/>
        <w:t>correctly prescribe</w:t>
      </w:r>
      <w:r>
        <w:rPr>
          <w:spacing w:val="35"/>
        </w:rPr>
        <w:t> </w:t>
      </w:r>
      <w:r>
        <w:rPr/>
        <w:t>this</w:t>
      </w:r>
      <w:r>
        <w:rPr>
          <w:spacing w:val="37"/>
        </w:rPr>
        <w:t> </w:t>
      </w:r>
      <w:r>
        <w:rPr/>
        <w:t>as</w:t>
      </w:r>
      <w:r>
        <w:rPr>
          <w:spacing w:val="33"/>
        </w:rPr>
        <w:t> </w:t>
      </w:r>
      <w:r>
        <w:rPr/>
        <w:t>a</w:t>
      </w:r>
      <w:r>
        <w:rPr>
          <w:spacing w:val="34"/>
        </w:rPr>
        <w:t> </w:t>
      </w:r>
      <w:r>
        <w:rPr/>
        <w:t>result</w:t>
      </w:r>
      <w:r>
        <w:rPr>
          <w:spacing w:val="35"/>
        </w:rPr>
        <w:t> </w:t>
      </w:r>
      <w:r>
        <w:rPr/>
        <w:t>of</w:t>
      </w:r>
      <w:r>
        <w:rPr>
          <w:spacing w:val="36"/>
        </w:rPr>
        <w:t> </w:t>
      </w:r>
      <w:r>
        <w:rPr/>
        <w:t>their</w:t>
      </w:r>
      <w:r>
        <w:rPr>
          <w:spacing w:val="35"/>
        </w:rPr>
        <w:t> </w:t>
      </w:r>
      <w:r>
        <w:rPr/>
        <w:t>own</w:t>
      </w:r>
      <w:r>
        <w:rPr>
          <w:spacing w:val="36"/>
        </w:rPr>
        <w:t> </w:t>
      </w:r>
      <w:r>
        <w:rPr/>
        <w:t>conviction.</w:t>
      </w:r>
      <w:r>
        <w:rPr>
          <w:spacing w:val="36"/>
        </w:rPr>
        <w:t> </w:t>
      </w:r>
      <w:r>
        <w:rPr/>
        <w:t>Moreover,</w:t>
      </w:r>
      <w:r>
        <w:rPr>
          <w:spacing w:val="36"/>
        </w:rPr>
        <w:t> </w:t>
      </w:r>
      <w:r>
        <w:rPr/>
        <w:t>in</w:t>
      </w:r>
      <w:r>
        <w:rPr>
          <w:spacing w:val="33"/>
        </w:rPr>
        <w:t> </w:t>
      </w:r>
      <w:r>
        <w:rPr/>
        <w:t>Austria</w:t>
      </w:r>
      <w:r>
        <w:rPr>
          <w:spacing w:val="34"/>
        </w:rPr>
        <w:t> </w:t>
      </w:r>
      <w:r>
        <w:rPr/>
        <w:t>you</w:t>
      </w:r>
    </w:p>
    <w:p>
      <w:pPr>
        <w:spacing w:after="0" w:line="276" w:lineRule="auto"/>
        <w:jc w:val="both"/>
        <w:sectPr>
          <w:pgSz w:w="14270" w:h="16850"/>
          <w:pgMar w:header="0" w:footer="404" w:top="1340" w:bottom="2080" w:left="800" w:right="1280"/>
        </w:sectPr>
      </w:pPr>
    </w:p>
    <w:p>
      <w:pPr>
        <w:pStyle w:val="BodyText"/>
        <w:spacing w:before="74"/>
        <w:ind w:left="616"/>
      </w:pPr>
      <w:r>
        <w:rPr/>
        <w:t>should be able to get Strodival in any chemists without a prescription!</w:t>
      </w:r>
    </w:p>
    <w:p>
      <w:pPr>
        <w:pStyle w:val="BodyText"/>
        <w:tabs>
          <w:tab w:pos="5138" w:val="left" w:leader="none"/>
          <w:tab w:pos="10974" w:val="left" w:leader="none"/>
        </w:tabs>
        <w:spacing w:line="276" w:lineRule="auto" w:before="305"/>
        <w:ind w:left="616" w:right="134"/>
        <w:jc w:val="both"/>
      </w:pPr>
      <w:r>
        <w:rPr>
          <w:b/>
        </w:rPr>
        <w:t>04109 Leipzig: Dr. med. Matthias Freutsmiedl</w:t>
      </w:r>
      <w:r>
        <w:rPr/>
        <w:t>, specialist GP, emergency medicine, homeopathy. Praxis für Ganzheitsmedizin &amp; Prävention. Käthe- Kollwitz-Str. 69,</w:t>
        <w:tab/>
        <w:t>Phone.: 0341–2 53</w:t>
      </w:r>
      <w:r>
        <w:rPr>
          <w:spacing w:val="-4"/>
        </w:rPr>
        <w:t> </w:t>
      </w:r>
      <w:r>
        <w:rPr/>
        <w:t>58</w:t>
      </w:r>
      <w:r>
        <w:rPr>
          <w:spacing w:val="-1"/>
        </w:rPr>
        <w:t> </w:t>
      </w:r>
      <w:r>
        <w:rPr/>
        <w:t>67.</w:t>
        <w:tab/>
        <w:t>E-mail: </w:t>
      </w:r>
      <w:hyperlink r:id="rId395">
        <w:r>
          <w:rPr/>
          <w:t>info@ganzmed.eu.</w:t>
        </w:r>
      </w:hyperlink>
      <w:r>
        <w:rPr/>
        <w:t> Homepage: </w:t>
      </w:r>
      <w:hyperlink r:id="rId396">
        <w:r>
          <w:rPr/>
          <w:t>www.ganzmed.eu. </w:t>
        </w:r>
      </w:hyperlink>
      <w:r>
        <w:rPr/>
        <w:t>Dr.</w:t>
      </w:r>
      <w:r>
        <w:rPr>
          <w:spacing w:val="-2"/>
        </w:rPr>
        <w:t> </w:t>
      </w:r>
      <w:r>
        <w:rPr/>
        <w:t>Freutsmiedl</w:t>
      </w:r>
    </w:p>
    <w:p>
      <w:pPr>
        <w:spacing w:line="276" w:lineRule="auto" w:before="239"/>
        <w:ind w:left="616" w:right="135" w:firstLine="0"/>
        <w:jc w:val="both"/>
        <w:rPr>
          <w:sz w:val="38"/>
        </w:rPr>
      </w:pPr>
      <w:r>
        <w:rPr>
          <w:b/>
          <w:sz w:val="38"/>
        </w:rPr>
        <w:t>14109</w:t>
      </w:r>
      <w:r>
        <w:rPr>
          <w:b/>
          <w:spacing w:val="-13"/>
          <w:sz w:val="38"/>
        </w:rPr>
        <w:t> </w:t>
      </w:r>
      <w:r>
        <w:rPr>
          <w:b/>
          <w:sz w:val="38"/>
        </w:rPr>
        <w:t>Berlin,</w:t>
      </w:r>
      <w:r>
        <w:rPr>
          <w:b/>
          <w:spacing w:val="-13"/>
          <w:sz w:val="38"/>
        </w:rPr>
        <w:t> </w:t>
      </w:r>
      <w:r>
        <w:rPr>
          <w:b/>
          <w:sz w:val="38"/>
        </w:rPr>
        <w:t>Department</w:t>
      </w:r>
      <w:r>
        <w:rPr>
          <w:b/>
          <w:spacing w:val="-16"/>
          <w:sz w:val="38"/>
        </w:rPr>
        <w:t> </w:t>
      </w:r>
      <w:r>
        <w:rPr>
          <w:b/>
          <w:sz w:val="38"/>
        </w:rPr>
        <w:t>for</w:t>
      </w:r>
      <w:r>
        <w:rPr>
          <w:b/>
          <w:spacing w:val="-14"/>
          <w:sz w:val="38"/>
        </w:rPr>
        <w:t> </w:t>
      </w:r>
      <w:r>
        <w:rPr>
          <w:b/>
          <w:sz w:val="38"/>
        </w:rPr>
        <w:t>Natural</w:t>
      </w:r>
      <w:r>
        <w:rPr>
          <w:b/>
          <w:spacing w:val="-15"/>
          <w:sz w:val="38"/>
        </w:rPr>
        <w:t> </w:t>
      </w:r>
      <w:r>
        <w:rPr>
          <w:b/>
          <w:sz w:val="38"/>
        </w:rPr>
        <w:t>Medicine</w:t>
      </w:r>
      <w:r>
        <w:rPr>
          <w:b/>
          <w:spacing w:val="-15"/>
          <w:sz w:val="38"/>
        </w:rPr>
        <w:t> </w:t>
      </w:r>
      <w:r>
        <w:rPr>
          <w:b/>
          <w:sz w:val="38"/>
        </w:rPr>
        <w:t>at</w:t>
      </w:r>
      <w:r>
        <w:rPr>
          <w:b/>
          <w:spacing w:val="-12"/>
          <w:sz w:val="38"/>
        </w:rPr>
        <w:t> </w:t>
      </w:r>
      <w:r>
        <w:rPr>
          <w:b/>
          <w:sz w:val="38"/>
        </w:rPr>
        <w:t>the</w:t>
      </w:r>
      <w:r>
        <w:rPr>
          <w:b/>
          <w:spacing w:val="-11"/>
          <w:sz w:val="38"/>
        </w:rPr>
        <w:t> </w:t>
      </w:r>
      <w:r>
        <w:rPr>
          <w:b/>
          <w:sz w:val="38"/>
        </w:rPr>
        <w:t>Immanuel</w:t>
      </w:r>
      <w:r>
        <w:rPr>
          <w:b/>
          <w:spacing w:val="-15"/>
          <w:sz w:val="38"/>
        </w:rPr>
        <w:t> </w:t>
      </w:r>
      <w:r>
        <w:rPr>
          <w:b/>
          <w:sz w:val="38"/>
        </w:rPr>
        <w:t>Hospi- tal</w:t>
      </w:r>
      <w:r>
        <w:rPr>
          <w:sz w:val="38"/>
        </w:rPr>
        <w:t>,</w:t>
      </w:r>
      <w:r>
        <w:rPr>
          <w:spacing w:val="-24"/>
          <w:sz w:val="38"/>
        </w:rPr>
        <w:t> </w:t>
      </w:r>
      <w:r>
        <w:rPr>
          <w:sz w:val="38"/>
        </w:rPr>
        <w:t>Hochschulambulanz,</w:t>
      </w:r>
      <w:r>
        <w:rPr>
          <w:spacing w:val="-24"/>
          <w:sz w:val="38"/>
        </w:rPr>
        <w:t> </w:t>
      </w:r>
      <w:r>
        <w:rPr>
          <w:sz w:val="38"/>
        </w:rPr>
        <w:t>Am</w:t>
      </w:r>
      <w:r>
        <w:rPr>
          <w:spacing w:val="-24"/>
          <w:sz w:val="38"/>
        </w:rPr>
        <w:t> </w:t>
      </w:r>
      <w:r>
        <w:rPr>
          <w:sz w:val="38"/>
        </w:rPr>
        <w:t>Kleinen</w:t>
      </w:r>
      <w:r>
        <w:rPr>
          <w:spacing w:val="-24"/>
          <w:sz w:val="38"/>
        </w:rPr>
        <w:t> </w:t>
      </w:r>
      <w:r>
        <w:rPr>
          <w:sz w:val="38"/>
        </w:rPr>
        <w:t>Wannsee</w:t>
      </w:r>
      <w:r>
        <w:rPr>
          <w:spacing w:val="-23"/>
          <w:sz w:val="38"/>
        </w:rPr>
        <w:t> </w:t>
      </w:r>
      <w:r>
        <w:rPr>
          <w:sz w:val="38"/>
        </w:rPr>
        <w:t>5,</w:t>
      </w:r>
      <w:r>
        <w:rPr>
          <w:spacing w:val="-24"/>
          <w:sz w:val="38"/>
        </w:rPr>
        <w:t> </w:t>
      </w:r>
      <w:r>
        <w:rPr>
          <w:sz w:val="38"/>
        </w:rPr>
        <w:t>house</w:t>
      </w:r>
      <w:r>
        <w:rPr>
          <w:spacing w:val="-24"/>
          <w:sz w:val="38"/>
        </w:rPr>
        <w:t> </w:t>
      </w:r>
      <w:r>
        <w:rPr>
          <w:sz w:val="38"/>
        </w:rPr>
        <w:t>6,</w:t>
      </w:r>
      <w:r>
        <w:rPr>
          <w:spacing w:val="-24"/>
          <w:sz w:val="38"/>
        </w:rPr>
        <w:t> </w:t>
      </w:r>
      <w:r>
        <w:rPr>
          <w:sz w:val="38"/>
        </w:rPr>
        <w:t>Phone.:</w:t>
      </w:r>
      <w:r>
        <w:rPr>
          <w:spacing w:val="-23"/>
          <w:sz w:val="38"/>
        </w:rPr>
        <w:t> </w:t>
      </w:r>
      <w:r>
        <w:rPr>
          <w:sz w:val="38"/>
        </w:rPr>
        <w:t>030–80505 306.</w:t>
      </w:r>
    </w:p>
    <w:p>
      <w:pPr>
        <w:spacing w:line="276" w:lineRule="auto" w:before="242"/>
        <w:ind w:left="616" w:right="139" w:firstLine="0"/>
        <w:jc w:val="both"/>
        <w:rPr>
          <w:sz w:val="38"/>
        </w:rPr>
      </w:pPr>
      <w:r>
        <w:rPr>
          <w:b/>
          <w:sz w:val="38"/>
        </w:rPr>
        <w:t>20255 Hamburg: Dr. Knut Sroka</w:t>
      </w:r>
      <w:r>
        <w:rPr>
          <w:sz w:val="38"/>
        </w:rPr>
        <w:t>, GP, acupuncture. Stellinger Weg 47, Phone.: 040–4918398.</w:t>
      </w:r>
    </w:p>
    <w:p>
      <w:pPr>
        <w:spacing w:line="278" w:lineRule="auto" w:before="238"/>
        <w:ind w:left="616" w:right="132" w:firstLine="0"/>
        <w:jc w:val="both"/>
        <w:rPr>
          <w:sz w:val="38"/>
        </w:rPr>
      </w:pPr>
      <w:r>
        <w:rPr>
          <w:b/>
          <w:sz w:val="38"/>
        </w:rPr>
        <w:t>24582 Wattenbek: Dr. med. Helmut Völkner, </w:t>
      </w:r>
      <w:r>
        <w:rPr>
          <w:sz w:val="38"/>
        </w:rPr>
        <w:t>Tulpenweg 11, Phone.: 04322–1808.</w:t>
      </w:r>
    </w:p>
    <w:p>
      <w:pPr>
        <w:spacing w:line="276" w:lineRule="auto" w:before="232"/>
        <w:ind w:left="616" w:right="132" w:firstLine="0"/>
        <w:jc w:val="both"/>
        <w:rPr>
          <w:sz w:val="38"/>
        </w:rPr>
      </w:pPr>
      <w:r>
        <w:rPr>
          <w:b/>
          <w:sz w:val="38"/>
        </w:rPr>
        <w:t>31542</w:t>
      </w:r>
      <w:r>
        <w:rPr>
          <w:b/>
          <w:spacing w:val="-11"/>
          <w:sz w:val="38"/>
        </w:rPr>
        <w:t> </w:t>
      </w:r>
      <w:r>
        <w:rPr>
          <w:b/>
          <w:sz w:val="38"/>
        </w:rPr>
        <w:t>Bad</w:t>
      </w:r>
      <w:r>
        <w:rPr>
          <w:b/>
          <w:spacing w:val="-10"/>
          <w:sz w:val="38"/>
        </w:rPr>
        <w:t> </w:t>
      </w:r>
      <w:r>
        <w:rPr>
          <w:b/>
          <w:sz w:val="38"/>
        </w:rPr>
        <w:t>Nenndorf:</w:t>
      </w:r>
      <w:r>
        <w:rPr>
          <w:b/>
          <w:spacing w:val="-4"/>
          <w:sz w:val="38"/>
        </w:rPr>
        <w:t> </w:t>
      </w:r>
      <w:r>
        <w:rPr>
          <w:b/>
          <w:sz w:val="38"/>
        </w:rPr>
        <w:t>Dr.</w:t>
      </w:r>
      <w:r>
        <w:rPr>
          <w:b/>
          <w:spacing w:val="-11"/>
          <w:sz w:val="38"/>
        </w:rPr>
        <w:t> </w:t>
      </w:r>
      <w:r>
        <w:rPr>
          <w:b/>
          <w:sz w:val="38"/>
        </w:rPr>
        <w:t>med.</w:t>
      </w:r>
      <w:r>
        <w:rPr>
          <w:b/>
          <w:spacing w:val="-9"/>
          <w:sz w:val="38"/>
        </w:rPr>
        <w:t> </w:t>
      </w:r>
      <w:r>
        <w:rPr>
          <w:b/>
          <w:sz w:val="38"/>
        </w:rPr>
        <w:t>Bärbel</w:t>
      </w:r>
      <w:r>
        <w:rPr>
          <w:b/>
          <w:spacing w:val="-12"/>
          <w:sz w:val="38"/>
        </w:rPr>
        <w:t> </w:t>
      </w:r>
      <w:r>
        <w:rPr>
          <w:b/>
          <w:sz w:val="38"/>
        </w:rPr>
        <w:t>Schick</w:t>
      </w:r>
      <w:r>
        <w:rPr>
          <w:sz w:val="38"/>
        </w:rPr>
        <w:t>,</w:t>
      </w:r>
      <w:r>
        <w:rPr>
          <w:spacing w:val="-8"/>
          <w:sz w:val="38"/>
        </w:rPr>
        <w:t> </w:t>
      </w:r>
      <w:r>
        <w:rPr>
          <w:sz w:val="38"/>
        </w:rPr>
        <w:t>Hauptstraße</w:t>
      </w:r>
      <w:r>
        <w:rPr>
          <w:spacing w:val="-10"/>
          <w:sz w:val="38"/>
        </w:rPr>
        <w:t> </w:t>
      </w:r>
      <w:r>
        <w:rPr>
          <w:sz w:val="38"/>
        </w:rPr>
        <w:t>59,</w:t>
      </w:r>
      <w:r>
        <w:rPr>
          <w:spacing w:val="-9"/>
          <w:sz w:val="38"/>
        </w:rPr>
        <w:t> </w:t>
      </w:r>
      <w:r>
        <w:rPr>
          <w:sz w:val="38"/>
        </w:rPr>
        <w:t>Klinik</w:t>
      </w:r>
      <w:r>
        <w:rPr>
          <w:spacing w:val="-10"/>
          <w:sz w:val="38"/>
        </w:rPr>
        <w:t> </w:t>
      </w:r>
      <w:r>
        <w:rPr>
          <w:sz w:val="38"/>
        </w:rPr>
        <w:t>Nie- dersachsen. Phone.: 05723</w:t>
      </w:r>
      <w:r>
        <w:rPr>
          <w:spacing w:val="-2"/>
          <w:sz w:val="38"/>
        </w:rPr>
        <w:t> </w:t>
      </w:r>
      <w:r>
        <w:rPr>
          <w:sz w:val="38"/>
        </w:rPr>
        <w:t>707165.</w:t>
      </w:r>
    </w:p>
    <w:p>
      <w:pPr>
        <w:pStyle w:val="BodyText"/>
        <w:spacing w:before="241"/>
        <w:ind w:left="712"/>
      </w:pPr>
      <w:r>
        <w:rPr/>
        <w:t>e-mail: </w:t>
      </w:r>
      <w:hyperlink r:id="rId397">
        <w:r>
          <w:rPr/>
          <w:t>baerbel.schick@online.de</w:t>
        </w:r>
      </w:hyperlink>
    </w:p>
    <w:p>
      <w:pPr>
        <w:spacing w:line="278" w:lineRule="auto" w:before="302"/>
        <w:ind w:left="616" w:right="140" w:firstLine="0"/>
        <w:jc w:val="both"/>
        <w:rPr>
          <w:sz w:val="38"/>
        </w:rPr>
      </w:pPr>
      <w:r>
        <w:rPr>
          <w:b/>
          <w:sz w:val="38"/>
        </w:rPr>
        <w:t>34471 Volkmarsen-Külte</w:t>
      </w:r>
      <w:r>
        <w:rPr>
          <w:sz w:val="38"/>
        </w:rPr>
        <w:t>: </w:t>
      </w:r>
      <w:r>
        <w:rPr>
          <w:b/>
          <w:sz w:val="38"/>
        </w:rPr>
        <w:t>Dr. med. Ingeborg Debes</w:t>
      </w:r>
      <w:r>
        <w:rPr>
          <w:sz w:val="38"/>
        </w:rPr>
        <w:t>. Auf’m Hakenberg 11a. Phone. 05691–7740.</w:t>
      </w:r>
    </w:p>
    <w:p>
      <w:pPr>
        <w:spacing w:line="278" w:lineRule="auto" w:before="233"/>
        <w:ind w:left="616" w:right="135" w:firstLine="0"/>
        <w:jc w:val="both"/>
        <w:rPr>
          <w:sz w:val="38"/>
        </w:rPr>
      </w:pPr>
      <w:r>
        <w:rPr>
          <w:b/>
          <w:sz w:val="38"/>
        </w:rPr>
        <w:t>36129</w:t>
      </w:r>
      <w:r>
        <w:rPr>
          <w:b/>
          <w:spacing w:val="-16"/>
          <w:sz w:val="38"/>
        </w:rPr>
        <w:t> </w:t>
      </w:r>
      <w:r>
        <w:rPr>
          <w:b/>
          <w:sz w:val="38"/>
        </w:rPr>
        <w:t>Gersfeld/Röhn:</w:t>
      </w:r>
      <w:r>
        <w:rPr>
          <w:b/>
          <w:spacing w:val="-3"/>
          <w:sz w:val="38"/>
        </w:rPr>
        <w:t> </w:t>
      </w:r>
      <w:r>
        <w:rPr>
          <w:b/>
          <w:sz w:val="38"/>
        </w:rPr>
        <w:t>Dr.</w:t>
      </w:r>
      <w:r>
        <w:rPr>
          <w:b/>
          <w:spacing w:val="-14"/>
          <w:sz w:val="38"/>
        </w:rPr>
        <w:t> </w:t>
      </w:r>
      <w:r>
        <w:rPr>
          <w:b/>
          <w:sz w:val="38"/>
        </w:rPr>
        <w:t>med.</w:t>
      </w:r>
      <w:r>
        <w:rPr>
          <w:b/>
          <w:spacing w:val="-18"/>
          <w:sz w:val="38"/>
        </w:rPr>
        <w:t> </w:t>
      </w:r>
      <w:r>
        <w:rPr>
          <w:b/>
          <w:sz w:val="38"/>
        </w:rPr>
        <w:t>Jürgen</w:t>
      </w:r>
      <w:r>
        <w:rPr>
          <w:b/>
          <w:spacing w:val="-2"/>
          <w:sz w:val="38"/>
        </w:rPr>
        <w:t> </w:t>
      </w:r>
      <w:r>
        <w:rPr>
          <w:b/>
          <w:sz w:val="38"/>
        </w:rPr>
        <w:t>Freiherr</w:t>
      </w:r>
      <w:r>
        <w:rPr>
          <w:b/>
          <w:spacing w:val="-15"/>
          <w:sz w:val="38"/>
        </w:rPr>
        <w:t> </w:t>
      </w:r>
      <w:r>
        <w:rPr>
          <w:b/>
          <w:sz w:val="38"/>
        </w:rPr>
        <w:t>von</w:t>
      </w:r>
      <w:r>
        <w:rPr>
          <w:b/>
          <w:spacing w:val="-17"/>
          <w:sz w:val="38"/>
        </w:rPr>
        <w:t> </w:t>
      </w:r>
      <w:r>
        <w:rPr>
          <w:b/>
          <w:sz w:val="38"/>
        </w:rPr>
        <w:t>Rosen</w:t>
      </w:r>
      <w:r>
        <w:rPr>
          <w:sz w:val="38"/>
        </w:rPr>
        <w:t>,</w:t>
      </w:r>
      <w:r>
        <w:rPr>
          <w:spacing w:val="-13"/>
          <w:sz w:val="38"/>
        </w:rPr>
        <w:t> </w:t>
      </w:r>
      <w:r>
        <w:rPr>
          <w:sz w:val="38"/>
        </w:rPr>
        <w:t>Fritz-Stamer- Straße 11. Phone.: 06654–160, e-mail:</w:t>
      </w:r>
      <w:r>
        <w:rPr>
          <w:spacing w:val="-1"/>
          <w:sz w:val="38"/>
        </w:rPr>
        <w:t> </w:t>
      </w:r>
      <w:hyperlink r:id="rId398">
        <w:r>
          <w:rPr>
            <w:sz w:val="38"/>
          </w:rPr>
          <w:t>info@schloss-klinik.de</w:t>
        </w:r>
      </w:hyperlink>
    </w:p>
    <w:p>
      <w:pPr>
        <w:spacing w:after="0" w:line="278" w:lineRule="auto"/>
        <w:jc w:val="both"/>
        <w:rPr>
          <w:sz w:val="38"/>
        </w:rPr>
        <w:sectPr>
          <w:footerReference w:type="default" r:id="rId394"/>
          <w:pgSz w:w="14270" w:h="16850"/>
          <w:pgMar w:footer="1891" w:header="0" w:top="1340" w:bottom="2080" w:left="800" w:right="1280"/>
          <w:pgNumType w:start="1650"/>
        </w:sectPr>
      </w:pPr>
    </w:p>
    <w:p>
      <w:pPr>
        <w:spacing w:line="276" w:lineRule="auto" w:before="74"/>
        <w:ind w:left="616" w:right="135" w:firstLine="0"/>
        <w:jc w:val="both"/>
        <w:rPr>
          <w:sz w:val="38"/>
        </w:rPr>
      </w:pPr>
      <w:r>
        <w:rPr>
          <w:b/>
          <w:sz w:val="38"/>
        </w:rPr>
        <w:t>39319 Jerichow: Mr Frank Buff. </w:t>
      </w:r>
      <w:r>
        <w:rPr>
          <w:sz w:val="38"/>
        </w:rPr>
        <w:t>Psychiatrist and alternative medicine prac- titioner: </w:t>
      </w:r>
      <w:hyperlink r:id="rId399">
        <w:r>
          <w:rPr>
            <w:sz w:val="38"/>
            <w:u w:val="single"/>
          </w:rPr>
          <w:t>frankbuff@web.de</w:t>
        </w:r>
      </w:hyperlink>
    </w:p>
    <w:p>
      <w:pPr>
        <w:pStyle w:val="BodyText"/>
        <w:spacing w:line="276" w:lineRule="auto" w:before="239"/>
        <w:ind w:left="616" w:right="135"/>
        <w:jc w:val="both"/>
      </w:pPr>
      <w:r>
        <w:rPr>
          <w:b/>
        </w:rPr>
        <w:t>42899</w:t>
      </w:r>
      <w:r>
        <w:rPr>
          <w:b/>
          <w:spacing w:val="-22"/>
        </w:rPr>
        <w:t> </w:t>
      </w:r>
      <w:r>
        <w:rPr>
          <w:b/>
        </w:rPr>
        <w:t>Remscheid:</w:t>
      </w:r>
      <w:r>
        <w:rPr>
          <w:b/>
          <w:spacing w:val="-23"/>
        </w:rPr>
        <w:t> </w:t>
      </w:r>
      <w:r>
        <w:rPr>
          <w:b/>
        </w:rPr>
        <w:t>Mr</w:t>
      </w:r>
      <w:r>
        <w:rPr>
          <w:b/>
          <w:spacing w:val="-23"/>
        </w:rPr>
        <w:t> </w:t>
      </w:r>
      <w:r>
        <w:rPr>
          <w:b/>
        </w:rPr>
        <w:t>Walter</w:t>
      </w:r>
      <w:r>
        <w:rPr>
          <w:b/>
          <w:spacing w:val="-23"/>
        </w:rPr>
        <w:t> </w:t>
      </w:r>
      <w:r>
        <w:rPr>
          <w:b/>
        </w:rPr>
        <w:t>Steege</w:t>
      </w:r>
      <w:r>
        <w:rPr/>
        <w:t>.</w:t>
      </w:r>
      <w:r>
        <w:rPr>
          <w:spacing w:val="-22"/>
        </w:rPr>
        <w:t> </w:t>
      </w:r>
      <w:r>
        <w:rPr/>
        <w:t>Specialist</w:t>
      </w:r>
      <w:r>
        <w:rPr>
          <w:spacing w:val="-21"/>
        </w:rPr>
        <w:t> </w:t>
      </w:r>
      <w:r>
        <w:rPr/>
        <w:t>GP,</w:t>
      </w:r>
      <w:r>
        <w:rPr>
          <w:spacing w:val="-21"/>
        </w:rPr>
        <w:t> </w:t>
      </w:r>
      <w:r>
        <w:rPr/>
        <w:t>psychotherapist,</w:t>
      </w:r>
      <w:r>
        <w:rPr>
          <w:spacing w:val="-23"/>
        </w:rPr>
        <w:t> </w:t>
      </w:r>
      <w:r>
        <w:rPr/>
        <w:t>natural medicine, Eisernsteinstraße 16. Phone.: 02191/569898, Fax: 02191–55628. E- mail: </w:t>
      </w:r>
      <w:hyperlink r:id="rId400">
        <w:r>
          <w:rPr>
            <w:u w:val="single"/>
          </w:rPr>
          <w:t>walter.steege@web.de.</w:t>
        </w:r>
      </w:hyperlink>
    </w:p>
    <w:p>
      <w:pPr>
        <w:spacing w:line="276" w:lineRule="auto" w:before="241"/>
        <w:ind w:left="616" w:right="135" w:firstLine="0"/>
        <w:jc w:val="both"/>
        <w:rPr>
          <w:sz w:val="38"/>
        </w:rPr>
      </w:pPr>
      <w:r>
        <w:rPr>
          <w:b/>
          <w:sz w:val="38"/>
        </w:rPr>
        <w:t>51556 Windeck: Mr Hans Kaegelmann, </w:t>
      </w:r>
      <w:r>
        <w:rPr>
          <w:sz w:val="38"/>
        </w:rPr>
        <w:t>internist, PO box 1168. Phone.: 02292–7906. Fax: 02292–67069.</w:t>
      </w:r>
    </w:p>
    <w:p>
      <w:pPr>
        <w:spacing w:line="276" w:lineRule="auto" w:before="241"/>
        <w:ind w:left="616" w:right="135" w:firstLine="0"/>
        <w:jc w:val="both"/>
        <w:rPr>
          <w:sz w:val="38"/>
        </w:rPr>
      </w:pPr>
      <w:r>
        <w:rPr>
          <w:b/>
          <w:sz w:val="38"/>
        </w:rPr>
        <w:t>56170</w:t>
      </w:r>
      <w:r>
        <w:rPr>
          <w:b/>
          <w:spacing w:val="-22"/>
          <w:sz w:val="38"/>
        </w:rPr>
        <w:t> </w:t>
      </w:r>
      <w:r>
        <w:rPr>
          <w:b/>
          <w:sz w:val="38"/>
        </w:rPr>
        <w:t>Bendorf:</w:t>
      </w:r>
      <w:r>
        <w:rPr>
          <w:b/>
          <w:spacing w:val="-1"/>
          <w:sz w:val="38"/>
        </w:rPr>
        <w:t> </w:t>
      </w:r>
      <w:r>
        <w:rPr>
          <w:b/>
          <w:sz w:val="38"/>
        </w:rPr>
        <w:t>Dr.</w:t>
      </w:r>
      <w:r>
        <w:rPr>
          <w:b/>
          <w:spacing w:val="-23"/>
          <w:sz w:val="38"/>
        </w:rPr>
        <w:t> </w:t>
      </w:r>
      <w:r>
        <w:rPr>
          <w:b/>
          <w:sz w:val="38"/>
        </w:rPr>
        <w:t>med.</w:t>
      </w:r>
      <w:r>
        <w:rPr>
          <w:b/>
          <w:spacing w:val="-23"/>
          <w:sz w:val="38"/>
        </w:rPr>
        <w:t> </w:t>
      </w:r>
      <w:r>
        <w:rPr>
          <w:b/>
          <w:sz w:val="38"/>
        </w:rPr>
        <w:t>Arnold</w:t>
      </w:r>
      <w:r>
        <w:rPr>
          <w:b/>
          <w:spacing w:val="-23"/>
          <w:sz w:val="38"/>
        </w:rPr>
        <w:t> </w:t>
      </w:r>
      <w:r>
        <w:rPr>
          <w:b/>
          <w:sz w:val="38"/>
        </w:rPr>
        <w:t>Weidel.</w:t>
      </w:r>
      <w:r>
        <w:rPr>
          <w:b/>
          <w:spacing w:val="-21"/>
          <w:sz w:val="38"/>
        </w:rPr>
        <w:t> </w:t>
      </w:r>
      <w:r>
        <w:rPr>
          <w:sz w:val="38"/>
        </w:rPr>
        <w:t>Merowingerweg</w:t>
      </w:r>
      <w:r>
        <w:rPr>
          <w:spacing w:val="-23"/>
          <w:sz w:val="38"/>
        </w:rPr>
        <w:t> </w:t>
      </w:r>
      <w:r>
        <w:rPr>
          <w:sz w:val="38"/>
        </w:rPr>
        <w:t>1,</w:t>
      </w:r>
      <w:r>
        <w:rPr>
          <w:spacing w:val="-22"/>
          <w:sz w:val="38"/>
        </w:rPr>
        <w:t> </w:t>
      </w:r>
      <w:r>
        <w:rPr>
          <w:sz w:val="38"/>
        </w:rPr>
        <w:t>Phone.:</w:t>
      </w:r>
      <w:r>
        <w:rPr>
          <w:spacing w:val="-23"/>
          <w:sz w:val="38"/>
        </w:rPr>
        <w:t> </w:t>
      </w:r>
      <w:r>
        <w:rPr>
          <w:sz w:val="38"/>
        </w:rPr>
        <w:t>02622– 156 22. E-mail:</w:t>
      </w:r>
      <w:r>
        <w:rPr>
          <w:spacing w:val="-1"/>
          <w:sz w:val="38"/>
        </w:rPr>
        <w:t> </w:t>
      </w:r>
      <w:hyperlink r:id="rId401">
        <w:r>
          <w:rPr>
            <w:sz w:val="38"/>
          </w:rPr>
          <w:t>dr.a.weidel@web.de.</w:t>
        </w:r>
      </w:hyperlink>
    </w:p>
    <w:p>
      <w:pPr>
        <w:pStyle w:val="BodyText"/>
        <w:tabs>
          <w:tab w:pos="10969" w:val="left" w:leader="none"/>
        </w:tabs>
        <w:spacing w:line="276" w:lineRule="auto" w:before="238"/>
        <w:ind w:left="616" w:right="135"/>
        <w:jc w:val="both"/>
      </w:pPr>
      <w:r>
        <w:rPr>
          <w:b/>
        </w:rPr>
        <w:t>61231 Bad Nauheim: Dr. Peter Hain</w:t>
      </w:r>
      <w:r>
        <w:rPr/>
        <w:t>. Ludwigstr. 41. Dr. Hain is the head of</w:t>
      </w:r>
      <w:r>
        <w:rPr>
          <w:spacing w:val="-24"/>
        </w:rPr>
        <w:t> </w:t>
      </w:r>
      <w:r>
        <w:rPr/>
        <w:t>the</w:t>
      </w:r>
      <w:r>
        <w:rPr>
          <w:spacing w:val="-25"/>
        </w:rPr>
        <w:t> </w:t>
      </w:r>
      <w:r>
        <w:rPr/>
        <w:t>department</w:t>
      </w:r>
      <w:r>
        <w:rPr>
          <w:spacing w:val="-24"/>
        </w:rPr>
        <w:t> </w:t>
      </w:r>
      <w:r>
        <w:rPr/>
        <w:t>for</w:t>
      </w:r>
      <w:r>
        <w:rPr>
          <w:spacing w:val="-24"/>
        </w:rPr>
        <w:t> </w:t>
      </w:r>
      <w:r>
        <w:rPr/>
        <w:t>holistic</w:t>
      </w:r>
      <w:r>
        <w:rPr>
          <w:spacing w:val="-27"/>
        </w:rPr>
        <w:t> </w:t>
      </w:r>
      <w:r>
        <w:rPr/>
        <w:t>cardiology</w:t>
      </w:r>
      <w:r>
        <w:rPr>
          <w:spacing w:val="-24"/>
        </w:rPr>
        <w:t> </w:t>
      </w:r>
      <w:r>
        <w:rPr/>
        <w:t>and</w:t>
      </w:r>
      <w:r>
        <w:rPr>
          <w:spacing w:val="-26"/>
        </w:rPr>
        <w:t> </w:t>
      </w:r>
      <w:r>
        <w:rPr/>
        <w:t>natural</w:t>
      </w:r>
      <w:r>
        <w:rPr>
          <w:spacing w:val="-25"/>
        </w:rPr>
        <w:t> </w:t>
      </w:r>
      <w:r>
        <w:rPr/>
        <w:t>medicine</w:t>
      </w:r>
      <w:r>
        <w:rPr>
          <w:spacing w:val="-23"/>
        </w:rPr>
        <w:t> </w:t>
      </w:r>
      <w:r>
        <w:rPr/>
        <w:t>at</w:t>
      </w:r>
      <w:r>
        <w:rPr>
          <w:spacing w:val="-27"/>
        </w:rPr>
        <w:t> </w:t>
      </w:r>
      <w:r>
        <w:rPr/>
        <w:t>the</w:t>
      </w:r>
      <w:r>
        <w:rPr>
          <w:spacing w:val="-23"/>
        </w:rPr>
        <w:t> </w:t>
      </w:r>
      <w:r>
        <w:rPr/>
        <w:t>Kerckhoff Rehabilitation</w:t>
        <w:tab/>
        <w:t>Centre.</w:t>
      </w:r>
    </w:p>
    <w:p>
      <w:pPr>
        <w:pStyle w:val="BodyText"/>
        <w:spacing w:line="276" w:lineRule="auto" w:before="2"/>
        <w:ind w:left="616" w:right="136"/>
        <w:jc w:val="both"/>
      </w:pPr>
      <w:r>
        <w:rPr/>
        <w:t>Phone.: 06032–999–5820, Fax: 06032–999–5827, e-mail: </w:t>
      </w:r>
      <w:hyperlink r:id="rId402">
        <w:r>
          <w:rPr/>
          <w:t>p.hain@reha.kerck-</w:t>
        </w:r>
      </w:hyperlink>
      <w:r>
        <w:rPr/>
        <w:t> hoff-klinik.de</w:t>
      </w:r>
    </w:p>
    <w:p>
      <w:pPr>
        <w:spacing w:line="276" w:lineRule="auto" w:before="241"/>
        <w:ind w:left="616" w:right="134" w:firstLine="0"/>
        <w:jc w:val="both"/>
        <w:rPr>
          <w:sz w:val="38"/>
        </w:rPr>
      </w:pPr>
      <w:r>
        <w:rPr>
          <w:b/>
          <w:sz w:val="38"/>
        </w:rPr>
        <w:t>64385 Reichelsheim: Dr. med. Anke Persson. </w:t>
      </w:r>
      <w:r>
        <w:rPr>
          <w:sz w:val="38"/>
        </w:rPr>
        <w:t>Am Schafacker 9b, Phone.: 06164–503366. Website: </w:t>
      </w:r>
      <w:hyperlink r:id="rId403">
        <w:r>
          <w:rPr>
            <w:sz w:val="38"/>
            <w:u w:val="single"/>
          </w:rPr>
          <w:t>http://www.dr-anke-persson.de</w:t>
        </w:r>
      </w:hyperlink>
      <w:r>
        <w:rPr>
          <w:sz w:val="38"/>
        </w:rPr>
        <w:t> , e-mail: </w:t>
      </w:r>
      <w:hyperlink r:id="rId404">
        <w:r>
          <w:rPr>
            <w:sz w:val="38"/>
            <w:u w:val="single"/>
          </w:rPr>
          <w:t>anke.persson@t-online.de</w:t>
        </w:r>
        <w:r>
          <w:rPr>
            <w:sz w:val="38"/>
          </w:rPr>
          <w:t>.</w:t>
        </w:r>
      </w:hyperlink>
    </w:p>
    <w:p>
      <w:pPr>
        <w:spacing w:line="276" w:lineRule="auto" w:before="238"/>
        <w:ind w:left="616" w:right="129" w:firstLine="0"/>
        <w:jc w:val="both"/>
        <w:rPr>
          <w:sz w:val="38"/>
        </w:rPr>
      </w:pPr>
      <w:r>
        <w:rPr>
          <w:b/>
          <w:sz w:val="38"/>
        </w:rPr>
        <w:t>65812 Bad Soden am Taunus: Dr. Marion Abeling</w:t>
      </w:r>
      <w:r>
        <w:rPr>
          <w:sz w:val="38"/>
        </w:rPr>
        <w:t>, specialist for</w:t>
      </w:r>
      <w:r>
        <w:rPr>
          <w:spacing w:val="-59"/>
          <w:sz w:val="38"/>
        </w:rPr>
        <w:t> </w:t>
      </w:r>
      <w:r>
        <w:rPr>
          <w:sz w:val="38"/>
        </w:rPr>
        <w:t>anaesthe- siology with a specialisation in pain management, kinesiology. Waldstr. 9. Phone.: 06196–651610. E-mail: </w:t>
      </w:r>
      <w:hyperlink r:id="rId405">
        <w:r>
          <w:rPr>
            <w:sz w:val="38"/>
            <w:u w:val="single"/>
          </w:rPr>
          <w:t>marion-abeling@t-online.de</w:t>
        </w:r>
      </w:hyperlink>
    </w:p>
    <w:p>
      <w:pPr>
        <w:spacing w:before="242"/>
        <w:ind w:left="616" w:right="0" w:firstLine="0"/>
        <w:jc w:val="both"/>
        <w:rPr>
          <w:sz w:val="38"/>
        </w:rPr>
      </w:pPr>
      <w:r>
        <w:rPr>
          <w:b/>
          <w:sz w:val="38"/>
        </w:rPr>
        <w:t>66879 Reichenbach-Steegen: Dr. Eicke Heinicke, </w:t>
      </w:r>
      <w:r>
        <w:rPr>
          <w:sz w:val="38"/>
        </w:rPr>
        <w:t>GP, anaesthesiology,</w:t>
      </w:r>
    </w:p>
    <w:p>
      <w:pPr>
        <w:spacing w:after="0"/>
        <w:jc w:val="both"/>
        <w:rPr>
          <w:sz w:val="38"/>
        </w:rPr>
        <w:sectPr>
          <w:pgSz w:w="14270" w:h="16850"/>
          <w:pgMar w:header="0" w:footer="1891" w:top="1340" w:bottom="2080" w:left="800" w:right="1280"/>
        </w:sectPr>
      </w:pPr>
    </w:p>
    <w:p>
      <w:pPr>
        <w:pStyle w:val="BodyText"/>
        <w:spacing w:line="278" w:lineRule="auto" w:before="72"/>
        <w:ind w:left="616" w:right="133"/>
        <w:jc w:val="both"/>
      </w:pPr>
      <w:r>
        <w:rPr/>
        <w:t>natural medicine, manual medicine/chirotherapy, Hauptstr. 83. Phone.: 06385–99066. E-mail: </w:t>
      </w:r>
      <w:hyperlink r:id="rId406">
        <w:r>
          <w:rPr>
            <w:u w:val="single"/>
          </w:rPr>
          <w:t>heinicke@im-puls.info</w:t>
        </w:r>
      </w:hyperlink>
    </w:p>
    <w:p>
      <w:pPr>
        <w:spacing w:line="276" w:lineRule="auto" w:before="232"/>
        <w:ind w:left="616" w:right="135" w:firstLine="0"/>
        <w:jc w:val="both"/>
        <w:rPr>
          <w:sz w:val="38"/>
        </w:rPr>
      </w:pPr>
      <w:r>
        <w:rPr>
          <w:b/>
          <w:sz w:val="38"/>
        </w:rPr>
        <w:t>70178 Stuttgart: Mrs Waltraud Kern-Benz. </w:t>
      </w:r>
      <w:r>
        <w:rPr>
          <w:sz w:val="38"/>
        </w:rPr>
        <w:t>Daughter of the creator of per- lingual strophanthin, Reinsburgstr. 35a, Phone.: 0711–616495 Fax: 0711– 610013.</w:t>
      </w:r>
    </w:p>
    <w:p>
      <w:pPr>
        <w:spacing w:line="276" w:lineRule="auto" w:before="241"/>
        <w:ind w:left="616" w:right="135" w:firstLine="0"/>
        <w:jc w:val="both"/>
        <w:rPr>
          <w:sz w:val="38"/>
        </w:rPr>
      </w:pPr>
      <w:r>
        <w:rPr>
          <w:b/>
          <w:sz w:val="38"/>
        </w:rPr>
        <w:t>71540</w:t>
      </w:r>
      <w:r>
        <w:rPr>
          <w:b/>
          <w:spacing w:val="-20"/>
          <w:sz w:val="38"/>
        </w:rPr>
        <w:t> </w:t>
      </w:r>
      <w:r>
        <w:rPr>
          <w:b/>
          <w:sz w:val="38"/>
        </w:rPr>
        <w:t>Murrhardt:</w:t>
      </w:r>
      <w:r>
        <w:rPr>
          <w:b/>
          <w:spacing w:val="-19"/>
          <w:sz w:val="38"/>
        </w:rPr>
        <w:t> </w:t>
      </w:r>
      <w:r>
        <w:rPr>
          <w:b/>
          <w:sz w:val="38"/>
        </w:rPr>
        <w:t>Mr</w:t>
      </w:r>
      <w:r>
        <w:rPr>
          <w:b/>
          <w:spacing w:val="-18"/>
          <w:sz w:val="38"/>
        </w:rPr>
        <w:t> </w:t>
      </w:r>
      <w:r>
        <w:rPr>
          <w:b/>
          <w:sz w:val="38"/>
        </w:rPr>
        <w:t>Rainer</w:t>
      </w:r>
      <w:r>
        <w:rPr>
          <w:b/>
          <w:spacing w:val="-21"/>
          <w:sz w:val="38"/>
        </w:rPr>
        <w:t> </w:t>
      </w:r>
      <w:r>
        <w:rPr>
          <w:b/>
          <w:sz w:val="38"/>
        </w:rPr>
        <w:t>Soeder</w:t>
      </w:r>
      <w:r>
        <w:rPr>
          <w:sz w:val="38"/>
        </w:rPr>
        <w:t>,</w:t>
      </w:r>
      <w:r>
        <w:rPr>
          <w:spacing w:val="-18"/>
          <w:sz w:val="38"/>
        </w:rPr>
        <w:t> </w:t>
      </w:r>
      <w:r>
        <w:rPr>
          <w:sz w:val="38"/>
        </w:rPr>
        <w:t>GP,</w:t>
      </w:r>
      <w:r>
        <w:rPr>
          <w:spacing w:val="-18"/>
          <w:sz w:val="38"/>
        </w:rPr>
        <w:t> </w:t>
      </w:r>
      <w:r>
        <w:rPr>
          <w:sz w:val="38"/>
        </w:rPr>
        <w:t>Höschbachstr.</w:t>
      </w:r>
      <w:r>
        <w:rPr>
          <w:spacing w:val="-18"/>
          <w:sz w:val="38"/>
        </w:rPr>
        <w:t> </w:t>
      </w:r>
      <w:r>
        <w:rPr>
          <w:sz w:val="38"/>
        </w:rPr>
        <w:t>51,</w:t>
      </w:r>
      <w:r>
        <w:rPr>
          <w:spacing w:val="-19"/>
          <w:sz w:val="38"/>
        </w:rPr>
        <w:t> </w:t>
      </w:r>
      <w:r>
        <w:rPr>
          <w:sz w:val="38"/>
        </w:rPr>
        <w:t>Phone.:</w:t>
      </w:r>
      <w:r>
        <w:rPr>
          <w:spacing w:val="-19"/>
          <w:sz w:val="38"/>
        </w:rPr>
        <w:t> </w:t>
      </w:r>
      <w:r>
        <w:rPr>
          <w:sz w:val="38"/>
        </w:rPr>
        <w:t>07192– 20329, Fax: 07192–934345. E-mail:</w:t>
      </w:r>
      <w:r>
        <w:rPr>
          <w:spacing w:val="2"/>
          <w:sz w:val="38"/>
        </w:rPr>
        <w:t> </w:t>
      </w:r>
      <w:hyperlink r:id="rId407">
        <w:r>
          <w:rPr>
            <w:sz w:val="38"/>
            <w:u w:val="single"/>
          </w:rPr>
          <w:t>heinle_soeder@web.de</w:t>
        </w:r>
        <w:r>
          <w:rPr>
            <w:sz w:val="38"/>
          </w:rPr>
          <w:t>.</w:t>
        </w:r>
      </w:hyperlink>
    </w:p>
    <w:p>
      <w:pPr>
        <w:spacing w:line="276" w:lineRule="auto" w:before="241"/>
        <w:ind w:left="616" w:right="135" w:firstLine="0"/>
        <w:jc w:val="both"/>
        <w:rPr>
          <w:sz w:val="38"/>
        </w:rPr>
      </w:pPr>
      <w:r>
        <w:rPr>
          <w:b/>
          <w:sz w:val="38"/>
        </w:rPr>
        <w:t>73087</w:t>
      </w:r>
      <w:r>
        <w:rPr>
          <w:b/>
          <w:spacing w:val="-27"/>
          <w:sz w:val="38"/>
        </w:rPr>
        <w:t> </w:t>
      </w:r>
      <w:r>
        <w:rPr>
          <w:b/>
          <w:sz w:val="38"/>
        </w:rPr>
        <w:t>Bad</w:t>
      </w:r>
      <w:r>
        <w:rPr>
          <w:b/>
          <w:spacing w:val="-27"/>
          <w:sz w:val="38"/>
        </w:rPr>
        <w:t> </w:t>
      </w:r>
      <w:r>
        <w:rPr>
          <w:b/>
          <w:sz w:val="38"/>
        </w:rPr>
        <w:t>Boll:</w:t>
      </w:r>
      <w:r>
        <w:rPr>
          <w:b/>
          <w:spacing w:val="-24"/>
          <w:sz w:val="38"/>
        </w:rPr>
        <w:t> </w:t>
      </w:r>
      <w:r>
        <w:rPr>
          <w:b/>
          <w:sz w:val="38"/>
        </w:rPr>
        <w:t>Dr.</w:t>
      </w:r>
      <w:r>
        <w:rPr>
          <w:b/>
          <w:spacing w:val="-24"/>
          <w:sz w:val="38"/>
        </w:rPr>
        <w:t> </w:t>
      </w:r>
      <w:r>
        <w:rPr>
          <w:b/>
          <w:sz w:val="38"/>
        </w:rPr>
        <w:t>Johannes</w:t>
      </w:r>
      <w:r>
        <w:rPr>
          <w:b/>
          <w:spacing w:val="-26"/>
          <w:sz w:val="38"/>
        </w:rPr>
        <w:t> </w:t>
      </w:r>
      <w:r>
        <w:rPr>
          <w:b/>
          <w:sz w:val="38"/>
        </w:rPr>
        <w:t>Freiherr</w:t>
      </w:r>
      <w:r>
        <w:rPr>
          <w:b/>
          <w:spacing w:val="-25"/>
          <w:sz w:val="38"/>
        </w:rPr>
        <w:t> </w:t>
      </w:r>
      <w:r>
        <w:rPr>
          <w:b/>
          <w:sz w:val="38"/>
        </w:rPr>
        <w:t>von</w:t>
      </w:r>
      <w:r>
        <w:rPr>
          <w:b/>
          <w:spacing w:val="-26"/>
          <w:sz w:val="38"/>
        </w:rPr>
        <w:t> </w:t>
      </w:r>
      <w:r>
        <w:rPr>
          <w:b/>
          <w:sz w:val="38"/>
        </w:rPr>
        <w:t>Redwitz</w:t>
      </w:r>
      <w:r>
        <w:rPr>
          <w:sz w:val="38"/>
        </w:rPr>
        <w:t>.</w:t>
      </w:r>
      <w:r>
        <w:rPr>
          <w:spacing w:val="-24"/>
          <w:sz w:val="38"/>
        </w:rPr>
        <w:t> </w:t>
      </w:r>
      <w:r>
        <w:rPr>
          <w:sz w:val="38"/>
        </w:rPr>
        <w:t>Erlengarten</w:t>
      </w:r>
      <w:r>
        <w:rPr>
          <w:spacing w:val="-25"/>
          <w:sz w:val="38"/>
        </w:rPr>
        <w:t> </w:t>
      </w:r>
      <w:r>
        <w:rPr>
          <w:sz w:val="38"/>
        </w:rPr>
        <w:t>3,</w:t>
      </w:r>
      <w:r>
        <w:rPr>
          <w:spacing w:val="-25"/>
          <w:sz w:val="38"/>
        </w:rPr>
        <w:t> </w:t>
      </w:r>
      <w:r>
        <w:rPr>
          <w:sz w:val="38"/>
        </w:rPr>
        <w:t>Phone.: 07164–130311, Fax: 07164–130312.</w:t>
      </w:r>
    </w:p>
    <w:p>
      <w:pPr>
        <w:spacing w:line="276" w:lineRule="auto" w:before="239"/>
        <w:ind w:left="616" w:right="135" w:firstLine="0"/>
        <w:jc w:val="both"/>
        <w:rPr>
          <w:sz w:val="38"/>
        </w:rPr>
      </w:pPr>
      <w:r>
        <w:rPr>
          <w:b/>
          <w:sz w:val="38"/>
        </w:rPr>
        <w:t>79341 Kenzingen: Dr. med. Dipl.-Ing. Klaus-Dieter Beller. </w:t>
      </w:r>
      <w:r>
        <w:rPr>
          <w:sz w:val="38"/>
        </w:rPr>
        <w:t>Specialist in pharmacology and toxicology. Schulstraße 18, Phone.: 07644–930660.</w:t>
      </w:r>
      <w:r>
        <w:rPr>
          <w:spacing w:val="-40"/>
          <w:sz w:val="38"/>
        </w:rPr>
        <w:t> </w:t>
      </w:r>
      <w:r>
        <w:rPr>
          <w:sz w:val="38"/>
        </w:rPr>
        <w:t>E-mail: </w:t>
      </w:r>
      <w:hyperlink r:id="rId408">
        <w:r>
          <w:rPr>
            <w:sz w:val="38"/>
            <w:u w:val="single"/>
          </w:rPr>
          <w:t>med-tec-beller@t-online.de</w:t>
        </w:r>
        <w:r>
          <w:rPr>
            <w:sz w:val="38"/>
          </w:rPr>
          <w:t>,</w:t>
        </w:r>
        <w:r>
          <w:rPr>
            <w:spacing w:val="1"/>
            <w:sz w:val="38"/>
          </w:rPr>
          <w:t> </w:t>
        </w:r>
      </w:hyperlink>
      <w:hyperlink r:id="rId409">
        <w:r>
          <w:rPr>
            <w:sz w:val="38"/>
            <w:u w:val="single"/>
          </w:rPr>
          <w:t>www.med-tec-beller.de</w:t>
        </w:r>
      </w:hyperlink>
    </w:p>
    <w:p>
      <w:pPr>
        <w:spacing w:before="241"/>
        <w:ind w:left="616" w:right="0" w:firstLine="0"/>
        <w:jc w:val="left"/>
        <w:rPr>
          <w:sz w:val="38"/>
        </w:rPr>
      </w:pPr>
      <w:r>
        <w:rPr>
          <w:b/>
          <w:sz w:val="38"/>
        </w:rPr>
        <w:t>80801 Munich:</w:t>
      </w:r>
      <w:r>
        <w:rPr>
          <w:b/>
          <w:spacing w:val="53"/>
          <w:sz w:val="38"/>
        </w:rPr>
        <w:t> </w:t>
      </w:r>
      <w:r>
        <w:rPr>
          <w:b/>
          <w:sz w:val="38"/>
        </w:rPr>
        <w:t>Dr.</w:t>
      </w:r>
      <w:r>
        <w:rPr>
          <w:b/>
          <w:spacing w:val="51"/>
          <w:sz w:val="38"/>
        </w:rPr>
        <w:t> </w:t>
      </w:r>
      <w:r>
        <w:rPr>
          <w:b/>
          <w:sz w:val="38"/>
        </w:rPr>
        <w:t>Norbert Kriegisch</w:t>
      </w:r>
      <w:r>
        <w:rPr>
          <w:sz w:val="38"/>
        </w:rPr>
        <w:t>,</w:t>
      </w:r>
      <w:r>
        <w:rPr>
          <w:spacing w:val="52"/>
          <w:sz w:val="38"/>
        </w:rPr>
        <w:t> </w:t>
      </w:r>
      <w:r>
        <w:rPr>
          <w:sz w:val="38"/>
        </w:rPr>
        <w:t>Hohenstauferstr.</w:t>
      </w:r>
      <w:r>
        <w:rPr>
          <w:spacing w:val="51"/>
          <w:sz w:val="38"/>
        </w:rPr>
        <w:t> </w:t>
      </w:r>
      <w:r>
        <w:rPr>
          <w:sz w:val="38"/>
        </w:rPr>
        <w:t>1, Phone.:</w:t>
      </w:r>
      <w:r>
        <w:rPr>
          <w:spacing w:val="51"/>
          <w:sz w:val="38"/>
        </w:rPr>
        <w:t> </w:t>
      </w:r>
      <w:r>
        <w:rPr>
          <w:sz w:val="38"/>
        </w:rPr>
        <w:t>089–</w:t>
      </w:r>
    </w:p>
    <w:p>
      <w:pPr>
        <w:pStyle w:val="BodyText"/>
        <w:spacing w:before="65"/>
        <w:ind w:left="616"/>
      </w:pPr>
      <w:r>
        <w:rPr/>
        <w:t>335337</w:t>
      </w:r>
    </w:p>
    <w:p>
      <w:pPr>
        <w:spacing w:line="276" w:lineRule="auto" w:before="304"/>
        <w:ind w:left="616" w:right="135" w:firstLine="0"/>
        <w:jc w:val="both"/>
        <w:rPr>
          <w:sz w:val="38"/>
        </w:rPr>
      </w:pPr>
      <w:r>
        <w:rPr>
          <w:b/>
          <w:sz w:val="38"/>
        </w:rPr>
        <w:t>82467 Garmisch-Partenkirchen: Mr Anton Gräupner, </w:t>
      </w:r>
      <w:r>
        <w:rPr>
          <w:sz w:val="38"/>
        </w:rPr>
        <w:t>doctor for natural medicine, Bahnhofstr. 36, </w:t>
      </w:r>
      <w:hyperlink r:id="rId410">
        <w:r>
          <w:rPr>
            <w:sz w:val="38"/>
          </w:rPr>
          <w:t>www.arztpraxis-graeupner.de/,</w:t>
        </w:r>
      </w:hyperlink>
      <w:r>
        <w:rPr>
          <w:sz w:val="38"/>
        </w:rPr>
        <w:t> Phone.: 08821–</w:t>
      </w:r>
    </w:p>
    <w:p>
      <w:pPr>
        <w:pStyle w:val="BodyText"/>
        <w:spacing w:before="1"/>
        <w:ind w:left="616"/>
        <w:jc w:val="both"/>
      </w:pPr>
      <w:r>
        <w:rPr/>
        <w:t>57646</w:t>
      </w:r>
    </w:p>
    <w:p>
      <w:pPr>
        <w:spacing w:before="302"/>
        <w:ind w:left="616" w:right="0" w:firstLine="0"/>
        <w:jc w:val="both"/>
        <w:rPr>
          <w:sz w:val="38"/>
        </w:rPr>
      </w:pPr>
      <w:r>
        <w:rPr>
          <w:b/>
          <w:sz w:val="38"/>
        </w:rPr>
        <w:t>88138 Hergensweiler. Dr. Hans Thiessen</w:t>
      </w:r>
      <w:r>
        <w:rPr>
          <w:sz w:val="38"/>
        </w:rPr>
        <w:t>, Sennereiweg 3. Phone.:</w:t>
      </w:r>
      <w:r>
        <w:rPr>
          <w:spacing w:val="86"/>
          <w:sz w:val="38"/>
        </w:rPr>
        <w:t> </w:t>
      </w:r>
      <w:r>
        <w:rPr>
          <w:sz w:val="38"/>
        </w:rPr>
        <w:t>08388–</w:t>
      </w:r>
    </w:p>
    <w:p>
      <w:pPr>
        <w:pStyle w:val="BodyText"/>
        <w:spacing w:before="68"/>
        <w:ind w:left="616"/>
        <w:jc w:val="both"/>
      </w:pPr>
      <w:r>
        <w:rPr/>
        <w:t>204. Specialist GP and chiropractor.</w:t>
      </w:r>
    </w:p>
    <w:p>
      <w:pPr>
        <w:spacing w:before="302"/>
        <w:ind w:left="616" w:right="0" w:firstLine="0"/>
        <w:jc w:val="both"/>
        <w:rPr>
          <w:sz w:val="38"/>
        </w:rPr>
      </w:pPr>
      <w:r>
        <w:rPr>
          <w:b/>
          <w:sz w:val="38"/>
        </w:rPr>
        <w:t>88212</w:t>
      </w:r>
      <w:r>
        <w:rPr>
          <w:b/>
          <w:spacing w:val="52"/>
          <w:sz w:val="38"/>
        </w:rPr>
        <w:t> </w:t>
      </w:r>
      <w:r>
        <w:rPr>
          <w:b/>
          <w:sz w:val="38"/>
        </w:rPr>
        <w:t>Ravensburg</w:t>
      </w:r>
      <w:r>
        <w:rPr>
          <w:sz w:val="38"/>
        </w:rPr>
        <w:t>: </w:t>
      </w:r>
      <w:r>
        <w:rPr>
          <w:b/>
          <w:sz w:val="38"/>
        </w:rPr>
        <w:t>Mr</w:t>
      </w:r>
      <w:r>
        <w:rPr>
          <w:b/>
          <w:spacing w:val="52"/>
          <w:sz w:val="38"/>
        </w:rPr>
        <w:t> </w:t>
      </w:r>
      <w:r>
        <w:rPr>
          <w:b/>
          <w:sz w:val="38"/>
        </w:rPr>
        <w:t>Rainer</w:t>
      </w:r>
      <w:r>
        <w:rPr>
          <w:b/>
          <w:spacing w:val="54"/>
          <w:sz w:val="38"/>
        </w:rPr>
        <w:t> </w:t>
      </w:r>
      <w:r>
        <w:rPr>
          <w:b/>
          <w:sz w:val="38"/>
        </w:rPr>
        <w:t>Wyslich</w:t>
      </w:r>
      <w:r>
        <w:rPr>
          <w:sz w:val="38"/>
        </w:rPr>
        <w:t>,</w:t>
      </w:r>
      <w:r>
        <w:rPr>
          <w:spacing w:val="53"/>
          <w:sz w:val="38"/>
        </w:rPr>
        <w:t> </w:t>
      </w:r>
      <w:r>
        <w:rPr>
          <w:sz w:val="38"/>
        </w:rPr>
        <w:t>Schussenstraße</w:t>
      </w:r>
      <w:r>
        <w:rPr>
          <w:spacing w:val="52"/>
          <w:sz w:val="38"/>
        </w:rPr>
        <w:t> </w:t>
      </w:r>
      <w:r>
        <w:rPr>
          <w:sz w:val="38"/>
        </w:rPr>
        <w:t>2,</w:t>
      </w:r>
      <w:r>
        <w:rPr>
          <w:spacing w:val="52"/>
          <w:sz w:val="38"/>
        </w:rPr>
        <w:t> </w:t>
      </w:r>
      <w:r>
        <w:rPr>
          <w:sz w:val="38"/>
        </w:rPr>
        <w:t>Phone.:</w:t>
      </w:r>
      <w:r>
        <w:rPr>
          <w:spacing w:val="52"/>
          <w:sz w:val="38"/>
        </w:rPr>
        <w:t> </w:t>
      </w:r>
      <w:r>
        <w:rPr>
          <w:sz w:val="38"/>
        </w:rPr>
        <w:t>0751–</w:t>
      </w:r>
    </w:p>
    <w:p>
      <w:pPr>
        <w:spacing w:after="0"/>
        <w:jc w:val="both"/>
        <w:rPr>
          <w:sz w:val="38"/>
        </w:rPr>
        <w:sectPr>
          <w:pgSz w:w="14270" w:h="16850"/>
          <w:pgMar w:header="0" w:footer="1891" w:top="1340" w:bottom="2080" w:left="800" w:right="1280"/>
        </w:sectPr>
      </w:pPr>
    </w:p>
    <w:p>
      <w:pPr>
        <w:pStyle w:val="BodyText"/>
        <w:spacing w:before="74"/>
        <w:ind w:left="616"/>
      </w:pPr>
      <w:r>
        <w:rPr/>
        <w:t>3524663, Fax: 0751–3524664.</w:t>
      </w:r>
    </w:p>
    <w:p>
      <w:pPr>
        <w:spacing w:line="276" w:lineRule="auto" w:before="305"/>
        <w:ind w:left="616" w:right="0" w:firstLine="0"/>
        <w:jc w:val="left"/>
        <w:rPr>
          <w:sz w:val="38"/>
        </w:rPr>
      </w:pPr>
      <w:r>
        <w:rPr>
          <w:b/>
          <w:sz w:val="38"/>
        </w:rPr>
        <w:t>88239 Wangen im Allgäu: Dr. Andreas Thum</w:t>
      </w:r>
      <w:r>
        <w:rPr>
          <w:sz w:val="38"/>
        </w:rPr>
        <w:t>. Herrenstraße 31, Phone.: 07522–912708. The specialist for orthopaedics.</w:t>
      </w:r>
    </w:p>
    <w:p>
      <w:pPr>
        <w:spacing w:before="238"/>
        <w:ind w:left="616" w:right="0" w:firstLine="0"/>
        <w:jc w:val="left"/>
        <w:rPr>
          <w:sz w:val="38"/>
        </w:rPr>
      </w:pPr>
      <w:r>
        <w:rPr>
          <w:b/>
          <w:sz w:val="38"/>
        </w:rPr>
        <w:t>94405 Landau/Isar: Dr. Günter Werner</w:t>
      </w:r>
      <w:r>
        <w:rPr>
          <w:sz w:val="38"/>
        </w:rPr>
        <w:t>, Theresienhöhe 45, Phone.: 09951–</w:t>
      </w:r>
    </w:p>
    <w:p>
      <w:pPr>
        <w:pStyle w:val="BodyText"/>
        <w:spacing w:before="67"/>
        <w:ind w:left="616"/>
      </w:pPr>
      <w:r>
        <w:rPr/>
        <w:t>601275.</w:t>
      </w:r>
    </w:p>
    <w:p>
      <w:pPr>
        <w:spacing w:before="302"/>
        <w:ind w:left="616" w:right="0" w:firstLine="0"/>
        <w:jc w:val="left"/>
        <w:rPr>
          <w:sz w:val="38"/>
        </w:rPr>
      </w:pPr>
      <w:r>
        <w:rPr>
          <w:b/>
          <w:sz w:val="38"/>
        </w:rPr>
        <w:t>96047 Bamberg: Dr. Berndt Rieger</w:t>
      </w:r>
      <w:r>
        <w:rPr>
          <w:sz w:val="38"/>
        </w:rPr>
        <w:t>, Markusstraße 5, Phone.: 0951–91 799</w:t>
      </w:r>
    </w:p>
    <w:p>
      <w:pPr>
        <w:pStyle w:val="BodyText"/>
        <w:spacing w:before="65"/>
        <w:ind w:left="616"/>
      </w:pPr>
      <w:r>
        <w:rPr/>
        <w:t>44. E-mail: </w:t>
      </w:r>
      <w:hyperlink r:id="rId411">
        <w:r>
          <w:rPr>
            <w:u w:val="single"/>
          </w:rPr>
          <w:t>zentrumTEM@gmx.de</w:t>
        </w:r>
        <w:r>
          <w:rPr/>
          <w:t>.</w:t>
        </w:r>
      </w:hyperlink>
    </w:p>
    <w:p>
      <w:pPr>
        <w:spacing w:line="276" w:lineRule="auto" w:before="305"/>
        <w:ind w:left="616" w:right="0" w:firstLine="0"/>
        <w:jc w:val="left"/>
        <w:rPr>
          <w:sz w:val="38"/>
        </w:rPr>
      </w:pPr>
      <w:r>
        <w:rPr>
          <w:b/>
          <w:sz w:val="38"/>
        </w:rPr>
        <w:t>96450 Coburg: Dr. med. Thomas Scheller</w:t>
      </w:r>
      <w:r>
        <w:rPr>
          <w:sz w:val="38"/>
        </w:rPr>
        <w:t>, Heimatring 56. Phone.: 09561– 30711, Fax: 09561–30003. E-mail: </w:t>
      </w:r>
      <w:hyperlink r:id="rId412">
        <w:r>
          <w:rPr>
            <w:sz w:val="38"/>
          </w:rPr>
          <w:t>dr.scheller@t-online.de.</w:t>
        </w:r>
      </w:hyperlink>
    </w:p>
    <w:p>
      <w:pPr>
        <w:pStyle w:val="BodyText"/>
        <w:spacing w:line="276" w:lineRule="auto" w:before="238"/>
        <w:ind w:left="616" w:right="135"/>
        <w:jc w:val="both"/>
      </w:pPr>
      <w:r>
        <w:rPr>
          <w:b/>
        </w:rPr>
        <w:t>97450</w:t>
      </w:r>
      <w:r>
        <w:rPr>
          <w:b/>
          <w:spacing w:val="-21"/>
        </w:rPr>
        <w:t> </w:t>
      </w:r>
      <w:r>
        <w:rPr>
          <w:b/>
        </w:rPr>
        <w:t>Arnstein:</w:t>
      </w:r>
      <w:r>
        <w:rPr>
          <w:b/>
          <w:spacing w:val="-2"/>
        </w:rPr>
        <w:t> </w:t>
      </w:r>
      <w:r>
        <w:rPr/>
        <w:t>Dr.</w:t>
      </w:r>
      <w:r>
        <w:rPr>
          <w:spacing w:val="-21"/>
        </w:rPr>
        <w:t> </w:t>
      </w:r>
      <w:r>
        <w:rPr/>
        <w:t>Leonhard</w:t>
      </w:r>
      <w:r>
        <w:rPr>
          <w:spacing w:val="-21"/>
        </w:rPr>
        <w:t> </w:t>
      </w:r>
      <w:r>
        <w:rPr/>
        <w:t>Wecker,</w:t>
      </w:r>
      <w:r>
        <w:rPr>
          <w:spacing w:val="-19"/>
        </w:rPr>
        <w:t> </w:t>
      </w:r>
      <w:r>
        <w:rPr/>
        <w:t>doctor</w:t>
      </w:r>
      <w:r>
        <w:rPr>
          <w:spacing w:val="-19"/>
        </w:rPr>
        <w:t> </w:t>
      </w:r>
      <w:r>
        <w:rPr/>
        <w:t>for</w:t>
      </w:r>
      <w:r>
        <w:rPr>
          <w:spacing w:val="-19"/>
        </w:rPr>
        <w:t> </w:t>
      </w:r>
      <w:r>
        <w:rPr/>
        <w:t>outpatient</w:t>
      </w:r>
      <w:r>
        <w:rPr>
          <w:spacing w:val="-18"/>
        </w:rPr>
        <w:t> </w:t>
      </w:r>
      <w:r>
        <w:rPr/>
        <w:t>operations,</w:t>
      </w:r>
      <w:r>
        <w:rPr>
          <w:spacing w:val="-18"/>
        </w:rPr>
        <w:t> </w:t>
      </w:r>
      <w:r>
        <w:rPr/>
        <w:t>doc- tor for homeopathy and practice doctor. Thüringer Str. 13, Phone.: 09363– 5051. E-mail:</w:t>
      </w:r>
      <w:r>
        <w:rPr>
          <w:spacing w:val="-1"/>
        </w:rPr>
        <w:t> </w:t>
      </w:r>
      <w:hyperlink r:id="rId413">
        <w:r>
          <w:rPr/>
          <w:t>L.Wecker@gmx.de.</w:t>
        </w:r>
      </w:hyperlink>
    </w:p>
    <w:p>
      <w:pPr>
        <w:spacing w:before="242"/>
        <w:ind w:left="616" w:right="0" w:firstLine="0"/>
        <w:jc w:val="left"/>
        <w:rPr>
          <w:sz w:val="38"/>
        </w:rPr>
      </w:pPr>
      <w:r>
        <w:rPr>
          <w:b/>
          <w:sz w:val="38"/>
        </w:rPr>
        <w:t>97517 Rannungen: Dr. Waldemar Weber. </w:t>
      </w:r>
      <w:r>
        <w:rPr>
          <w:sz w:val="38"/>
        </w:rPr>
        <w:t>Ringstraße 19, Phone.: 09738–</w:t>
      </w:r>
    </w:p>
    <w:p>
      <w:pPr>
        <w:pStyle w:val="BodyText"/>
        <w:spacing w:before="64"/>
        <w:ind w:left="616"/>
      </w:pPr>
      <w:r>
        <w:rPr/>
        <w:t>219. E-mail: </w:t>
      </w:r>
      <w:hyperlink r:id="rId414">
        <w:r>
          <w:rPr/>
          <w:t>post@dr-w-weber.de.</w:t>
        </w:r>
      </w:hyperlink>
    </w:p>
    <w:p>
      <w:pPr>
        <w:tabs>
          <w:tab w:pos="1727" w:val="left" w:leader="none"/>
          <w:tab w:pos="3723" w:val="left" w:leader="none"/>
          <w:tab w:pos="6414" w:val="left" w:leader="none"/>
          <w:tab w:pos="7409" w:val="left" w:leader="none"/>
          <w:tab w:pos="8794" w:val="left" w:leader="none"/>
          <w:tab w:pos="10237" w:val="left" w:leader="none"/>
          <w:tab w:pos="10926" w:val="left" w:leader="none"/>
        </w:tabs>
        <w:spacing w:line="276" w:lineRule="auto" w:before="305"/>
        <w:ind w:left="616" w:right="135" w:firstLine="0"/>
        <w:jc w:val="left"/>
        <w:rPr>
          <w:sz w:val="38"/>
        </w:rPr>
      </w:pPr>
      <w:r>
        <w:rPr>
          <w:b/>
          <w:sz w:val="38"/>
        </w:rPr>
        <w:t>99518</w:t>
        <w:tab/>
        <w:t>Rannstedt,</w:t>
        <w:tab/>
        <w:t>Thüringen:</w:t>
      </w:r>
      <w:r>
        <w:rPr>
          <w:b/>
          <w:spacing w:val="-1"/>
          <w:sz w:val="38"/>
        </w:rPr>
        <w:t> </w:t>
      </w:r>
      <w:r>
        <w:rPr>
          <w:b/>
          <w:sz w:val="38"/>
        </w:rPr>
        <w:t>Dr.</w:t>
        <w:tab/>
        <w:t>Lutz</w:t>
        <w:tab/>
        <w:t>Riedel.</w:t>
        <w:tab/>
      </w:r>
      <w:r>
        <w:rPr>
          <w:sz w:val="38"/>
        </w:rPr>
        <w:t>Dorfstr.</w:t>
        <w:tab/>
        <w:t>21,</w:t>
        <w:tab/>
        <w:t>Phone.: 036463–40318.</w:t>
      </w:r>
    </w:p>
    <w:p>
      <w:pPr>
        <w:pStyle w:val="BodyText"/>
        <w:rPr>
          <w:sz w:val="42"/>
        </w:rPr>
      </w:pPr>
    </w:p>
    <w:p>
      <w:pPr>
        <w:pStyle w:val="BodyText"/>
        <w:spacing w:before="9"/>
        <w:rPr>
          <w:sz w:val="40"/>
        </w:rPr>
      </w:pPr>
    </w:p>
    <w:p>
      <w:pPr>
        <w:pStyle w:val="Heading2"/>
        <w:spacing w:before="1"/>
        <w:ind w:left="616"/>
      </w:pPr>
      <w:r>
        <w:rPr>
          <w:u w:val="single"/>
        </w:rPr>
        <w:t>Austria:</w:t>
      </w:r>
    </w:p>
    <w:p>
      <w:pPr>
        <w:spacing w:after="0"/>
        <w:sectPr>
          <w:pgSz w:w="14270" w:h="16850"/>
          <w:pgMar w:header="0" w:footer="1891" w:top="1340" w:bottom="2080" w:left="800" w:right="1280"/>
        </w:sectPr>
      </w:pPr>
    </w:p>
    <w:p>
      <w:pPr>
        <w:pStyle w:val="BodyText"/>
        <w:spacing w:before="7"/>
        <w:rPr>
          <w:b/>
          <w:sz w:val="16"/>
        </w:rPr>
      </w:pPr>
    </w:p>
    <w:p>
      <w:pPr>
        <w:spacing w:before="100"/>
        <w:ind w:left="616" w:right="0" w:firstLine="0"/>
        <w:jc w:val="left"/>
        <w:rPr>
          <w:sz w:val="38"/>
        </w:rPr>
      </w:pPr>
      <w:r>
        <w:rPr>
          <w:b/>
          <w:sz w:val="38"/>
        </w:rPr>
        <w:t>1230 Wien: </w:t>
      </w:r>
      <w:r>
        <w:rPr>
          <w:b/>
          <w:i/>
          <w:sz w:val="40"/>
        </w:rPr>
        <w:t>Dr. Thomas Kroiss</w:t>
      </w:r>
      <w:r>
        <w:rPr>
          <w:b/>
          <w:sz w:val="38"/>
        </w:rPr>
        <w:t>, </w:t>
      </w:r>
      <w:r>
        <w:rPr>
          <w:sz w:val="38"/>
        </w:rPr>
        <w:t>Speisingerstraße 18. Phone: 0043 1 982</w:t>
      </w:r>
    </w:p>
    <w:p>
      <w:pPr>
        <w:pStyle w:val="BodyText"/>
        <w:spacing w:before="61"/>
        <w:ind w:left="616"/>
      </w:pPr>
      <w:r>
        <w:rPr/>
        <w:t>5767, Email: </w:t>
      </w:r>
      <w:hyperlink r:id="rId415">
        <w:r>
          <w:rPr/>
          <w:t>kroiss@dr-kroiss.at</w:t>
        </w:r>
      </w:hyperlink>
    </w:p>
    <w:p>
      <w:pPr>
        <w:pStyle w:val="BodyText"/>
        <w:rPr>
          <w:sz w:val="42"/>
        </w:rPr>
      </w:pPr>
    </w:p>
    <w:p>
      <w:pPr>
        <w:pStyle w:val="BodyText"/>
        <w:rPr>
          <w:sz w:val="42"/>
        </w:rPr>
      </w:pPr>
    </w:p>
    <w:p>
      <w:pPr>
        <w:pStyle w:val="BodyText"/>
        <w:rPr>
          <w:sz w:val="42"/>
        </w:rPr>
      </w:pPr>
    </w:p>
    <w:p>
      <w:pPr>
        <w:spacing w:before="284"/>
        <w:ind w:left="616" w:right="0" w:firstLine="0"/>
        <w:jc w:val="left"/>
        <w:rPr>
          <w:b/>
          <w:i/>
          <w:sz w:val="40"/>
        </w:rPr>
      </w:pPr>
      <w:r>
        <w:rPr>
          <w:b/>
          <w:sz w:val="38"/>
        </w:rPr>
        <w:t>2500 Baden: </w:t>
      </w:r>
      <w:r>
        <w:rPr>
          <w:b/>
          <w:i/>
          <w:sz w:val="40"/>
        </w:rPr>
        <w:t>Dr. Bärbel Kullik.</w:t>
      </w:r>
    </w:p>
    <w:p>
      <w:pPr>
        <w:pStyle w:val="BodyText"/>
        <w:spacing w:line="278" w:lineRule="auto" w:before="256"/>
        <w:ind w:left="616" w:right="820"/>
      </w:pPr>
      <w:r>
        <w:rPr/>
        <w:t>Lambrechtgasse 7, Phone: 0043 2252 42 7 42, eMail: office@bewusst-ge- sund-sein.at , Homepage: </w:t>
      </w:r>
      <w:hyperlink r:id="rId416">
        <w:r>
          <w:rPr/>
          <w:t>http://www.dr-kullik.com/.</w:t>
        </w:r>
      </w:hyperlink>
    </w:p>
    <w:p>
      <w:pPr>
        <w:spacing w:before="311"/>
        <w:ind w:left="616" w:right="0" w:firstLine="0"/>
        <w:jc w:val="left"/>
        <w:rPr>
          <w:b/>
          <w:i/>
          <w:sz w:val="40"/>
        </w:rPr>
      </w:pPr>
      <w:r>
        <w:rPr>
          <w:b/>
          <w:sz w:val="38"/>
        </w:rPr>
        <w:t>3011 Irenental/Tullnerbach: </w:t>
      </w:r>
      <w:r>
        <w:rPr>
          <w:b/>
          <w:i/>
          <w:sz w:val="40"/>
        </w:rPr>
        <w:t>Dr. Veronika Königswieser</w:t>
      </w:r>
    </w:p>
    <w:p>
      <w:pPr>
        <w:pStyle w:val="BodyText"/>
        <w:spacing w:line="278" w:lineRule="auto" w:before="191"/>
        <w:ind w:left="616" w:right="395"/>
      </w:pPr>
      <w:r>
        <w:rPr/>
        <w:t>Phone.: 0043 1 367 45 70. Fax: 0810 955 413 7762 Klosterstraße 44/1. Frau Königswieser</w:t>
      </w:r>
    </w:p>
    <w:p>
      <w:pPr>
        <w:pStyle w:val="BodyText"/>
        <w:rPr>
          <w:sz w:val="42"/>
        </w:rPr>
      </w:pPr>
    </w:p>
    <w:p>
      <w:pPr>
        <w:pStyle w:val="BodyText"/>
        <w:spacing w:before="2"/>
        <w:rPr>
          <w:sz w:val="35"/>
        </w:rPr>
      </w:pPr>
    </w:p>
    <w:p>
      <w:pPr>
        <w:pStyle w:val="BodyText"/>
        <w:tabs>
          <w:tab w:pos="2903" w:val="left" w:leader="none"/>
        </w:tabs>
        <w:spacing w:line="273" w:lineRule="auto"/>
        <w:ind w:left="616" w:right="1085"/>
      </w:pPr>
      <w:r>
        <w:rPr>
          <w:b/>
        </w:rPr>
        <w:t>4040</w:t>
      </w:r>
      <w:r>
        <w:rPr>
          <w:b/>
          <w:spacing w:val="-19"/>
        </w:rPr>
        <w:t> </w:t>
      </w:r>
      <w:r>
        <w:rPr>
          <w:b/>
        </w:rPr>
        <w:t>Linz:</w:t>
      </w:r>
      <w:r>
        <w:rPr>
          <w:b/>
          <w:spacing w:val="-17"/>
        </w:rPr>
        <w:t> </w:t>
      </w:r>
      <w:r>
        <w:rPr>
          <w:b/>
          <w:i/>
          <w:sz w:val="40"/>
        </w:rPr>
        <w:t>Dr.</w:t>
      </w:r>
      <w:r>
        <w:rPr>
          <w:b/>
          <w:i/>
          <w:spacing w:val="-21"/>
          <w:sz w:val="40"/>
        </w:rPr>
        <w:t> </w:t>
      </w:r>
      <w:r>
        <w:rPr>
          <w:b/>
          <w:i/>
          <w:sz w:val="40"/>
        </w:rPr>
        <w:t>Andreas</w:t>
      </w:r>
      <w:r>
        <w:rPr>
          <w:b/>
          <w:i/>
          <w:spacing w:val="-23"/>
          <w:sz w:val="40"/>
        </w:rPr>
        <w:t> </w:t>
      </w:r>
      <w:r>
        <w:rPr>
          <w:b/>
          <w:i/>
          <w:sz w:val="40"/>
        </w:rPr>
        <w:t>Faux</w:t>
      </w:r>
      <w:r>
        <w:rPr>
          <w:b/>
          <w:i/>
          <w:spacing w:val="-20"/>
          <w:sz w:val="40"/>
        </w:rPr>
        <w:t> </w:t>
      </w:r>
      <w:r>
        <w:rPr/>
        <w:t>Schmiedegasse</w:t>
      </w:r>
      <w:r>
        <w:rPr>
          <w:spacing w:val="-18"/>
        </w:rPr>
        <w:t> </w:t>
      </w:r>
      <w:r>
        <w:rPr/>
        <w:t>14/6.</w:t>
      </w:r>
      <w:r>
        <w:rPr>
          <w:spacing w:val="-17"/>
        </w:rPr>
        <w:t> </w:t>
      </w:r>
      <w:r>
        <w:rPr/>
        <w:t>Stock;</w:t>
      </w:r>
      <w:r>
        <w:rPr>
          <w:spacing w:val="-16"/>
        </w:rPr>
        <w:t> </w:t>
      </w:r>
      <w:r>
        <w:rPr/>
        <w:t>Lentia</w:t>
      </w:r>
      <w:r>
        <w:rPr>
          <w:spacing w:val="-19"/>
        </w:rPr>
        <w:t> </w:t>
      </w:r>
      <w:r>
        <w:rPr/>
        <w:t>City Eingang neben Libro. Phone.: 0043 732 718628,. E-mail: </w:t>
      </w:r>
      <w:r>
        <w:rPr>
          <w:u w:val="single"/>
        </w:rPr>
        <w:t>ordina-</w:t>
      </w:r>
      <w:r>
        <w:rPr/>
        <w:t> </w:t>
      </w:r>
      <w:r>
        <w:rPr>
          <w:u w:val="single"/>
        </w:rPr>
        <w:t>tion@faux.at</w:t>
      </w:r>
      <w:r>
        <w:rPr/>
        <w:t>;</w:t>
        <w:tab/>
        <w:t>Homepage:</w:t>
      </w:r>
      <w:r>
        <w:rPr>
          <w:spacing w:val="4"/>
        </w:rPr>
        <w:t> </w:t>
      </w:r>
      <w:hyperlink r:id="rId417">
        <w:r>
          <w:rPr>
            <w:u w:val="single"/>
          </w:rPr>
          <w:t>www.faux.at</w:t>
        </w:r>
      </w:hyperlink>
    </w:p>
    <w:p>
      <w:pPr>
        <w:spacing w:after="0" w:line="273" w:lineRule="auto"/>
        <w:sectPr>
          <w:pgSz w:w="14270" w:h="16850"/>
          <w:pgMar w:header="0" w:footer="1891" w:top="1600" w:bottom="2080" w:left="800" w:right="1280"/>
        </w:sectPr>
      </w:pPr>
    </w:p>
    <w:p>
      <w:pPr>
        <w:spacing w:line="273" w:lineRule="auto" w:before="75"/>
        <w:ind w:left="616" w:right="260" w:firstLine="0"/>
        <w:jc w:val="left"/>
        <w:rPr>
          <w:sz w:val="38"/>
        </w:rPr>
      </w:pPr>
      <w:r>
        <w:rPr>
          <w:b/>
          <w:sz w:val="38"/>
        </w:rPr>
        <w:t>4540 Bad Hall, </w:t>
      </w:r>
      <w:r>
        <w:rPr>
          <w:b/>
          <w:i/>
          <w:sz w:val="40"/>
        </w:rPr>
        <w:t>Dr. Wilhelm Tischler </w:t>
      </w:r>
      <w:r>
        <w:rPr>
          <w:sz w:val="38"/>
        </w:rPr>
        <w:t>Feldgasse 7, 4540 Bad Hall, Phone: 0043 7258 4868, eMail: </w:t>
      </w:r>
      <w:hyperlink r:id="rId418">
        <w:r>
          <w:rPr>
            <w:sz w:val="38"/>
          </w:rPr>
          <w:t>office@metabolic-typing.at </w:t>
        </w:r>
      </w:hyperlink>
      <w:r>
        <w:rPr>
          <w:sz w:val="38"/>
        </w:rPr>
        <w:t>, Homepage: </w:t>
      </w:r>
      <w:r>
        <w:rPr>
          <w:sz w:val="38"/>
          <w:u w:val="single"/>
        </w:rPr>
        <w:t>www.meta-</w:t>
      </w:r>
      <w:r>
        <w:rPr>
          <w:sz w:val="38"/>
        </w:rPr>
        <w:t> </w:t>
      </w:r>
      <w:r>
        <w:rPr>
          <w:sz w:val="38"/>
          <w:u w:val="single"/>
        </w:rPr>
        <w:t>bolic-typing.at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73" w:lineRule="auto" w:before="262"/>
        <w:ind w:left="616" w:right="244" w:firstLine="0"/>
        <w:jc w:val="left"/>
        <w:rPr>
          <w:sz w:val="38"/>
        </w:rPr>
      </w:pPr>
      <w:r>
        <w:rPr>
          <w:b/>
          <w:sz w:val="38"/>
        </w:rPr>
        <w:t>4840</w:t>
      </w:r>
      <w:r>
        <w:rPr>
          <w:b/>
          <w:spacing w:val="-29"/>
          <w:sz w:val="38"/>
        </w:rPr>
        <w:t> </w:t>
      </w:r>
      <w:r>
        <w:rPr>
          <w:b/>
          <w:sz w:val="38"/>
        </w:rPr>
        <w:t>Vöcklabruck:</w:t>
      </w:r>
      <w:r>
        <w:rPr>
          <w:b/>
          <w:spacing w:val="-27"/>
          <w:sz w:val="38"/>
        </w:rPr>
        <w:t> </w:t>
      </w:r>
      <w:r>
        <w:rPr>
          <w:b/>
          <w:i/>
          <w:sz w:val="40"/>
        </w:rPr>
        <w:t>Dr.</w:t>
      </w:r>
      <w:r>
        <w:rPr>
          <w:b/>
          <w:i/>
          <w:spacing w:val="-34"/>
          <w:sz w:val="40"/>
        </w:rPr>
        <w:t> </w:t>
      </w:r>
      <w:r>
        <w:rPr>
          <w:b/>
          <w:i/>
          <w:sz w:val="40"/>
        </w:rPr>
        <w:t>med.</w:t>
      </w:r>
      <w:r>
        <w:rPr>
          <w:b/>
          <w:i/>
          <w:spacing w:val="-32"/>
          <w:sz w:val="40"/>
        </w:rPr>
        <w:t> </w:t>
      </w:r>
      <w:r>
        <w:rPr>
          <w:b/>
          <w:i/>
          <w:sz w:val="40"/>
        </w:rPr>
        <w:t>Helmut</w:t>
      </w:r>
      <w:r>
        <w:rPr>
          <w:b/>
          <w:i/>
          <w:spacing w:val="-33"/>
          <w:sz w:val="40"/>
        </w:rPr>
        <w:t> </w:t>
      </w:r>
      <w:r>
        <w:rPr>
          <w:b/>
          <w:i/>
          <w:sz w:val="40"/>
        </w:rPr>
        <w:t>B.</w:t>
      </w:r>
      <w:r>
        <w:rPr>
          <w:b/>
          <w:i/>
          <w:spacing w:val="-33"/>
          <w:sz w:val="40"/>
        </w:rPr>
        <w:t> </w:t>
      </w:r>
      <w:r>
        <w:rPr>
          <w:b/>
          <w:i/>
          <w:sz w:val="40"/>
        </w:rPr>
        <w:t>Retzek</w:t>
      </w:r>
      <w:r>
        <w:rPr>
          <w:b/>
          <w:sz w:val="38"/>
        </w:rPr>
        <w:t>,</w:t>
      </w:r>
      <w:r>
        <w:rPr>
          <w:b/>
          <w:spacing w:val="-28"/>
          <w:sz w:val="38"/>
        </w:rPr>
        <w:t> </w:t>
      </w:r>
      <w:r>
        <w:rPr>
          <w:sz w:val="38"/>
        </w:rPr>
        <w:t>Oberbleichfleck</w:t>
      </w:r>
      <w:r>
        <w:rPr>
          <w:spacing w:val="-29"/>
          <w:sz w:val="38"/>
        </w:rPr>
        <w:t> </w:t>
      </w:r>
      <w:r>
        <w:rPr>
          <w:sz w:val="38"/>
        </w:rPr>
        <w:t>2. Phone.: 0043 7672-23700, Fax-12, e-mail:</w:t>
      </w:r>
      <w:r>
        <w:rPr>
          <w:spacing w:val="-14"/>
          <w:sz w:val="38"/>
        </w:rPr>
        <w:t> </w:t>
      </w:r>
      <w:hyperlink r:id="rId419">
        <w:r>
          <w:rPr>
            <w:sz w:val="38"/>
            <w:u w:val="single"/>
          </w:rPr>
          <w:t>heli.retzek@homeopathy.at</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spacing w:line="273" w:lineRule="auto" w:before="100"/>
        <w:ind w:left="616" w:right="2490" w:firstLine="0"/>
        <w:jc w:val="left"/>
        <w:rPr>
          <w:sz w:val="38"/>
        </w:rPr>
      </w:pPr>
      <w:r>
        <w:rPr>
          <w:b/>
          <w:sz w:val="38"/>
        </w:rPr>
        <w:t>4840</w:t>
      </w:r>
      <w:r>
        <w:rPr>
          <w:b/>
          <w:spacing w:val="-21"/>
          <w:sz w:val="38"/>
        </w:rPr>
        <w:t> </w:t>
      </w:r>
      <w:r>
        <w:rPr>
          <w:b/>
          <w:sz w:val="38"/>
        </w:rPr>
        <w:t>Vöcklabruck:</w:t>
      </w:r>
      <w:r>
        <w:rPr>
          <w:b/>
          <w:spacing w:val="-18"/>
          <w:sz w:val="38"/>
        </w:rPr>
        <w:t> </w:t>
      </w:r>
      <w:r>
        <w:rPr>
          <w:b/>
          <w:i/>
          <w:sz w:val="40"/>
        </w:rPr>
        <w:t>Dr.</w:t>
      </w:r>
      <w:r>
        <w:rPr>
          <w:b/>
          <w:i/>
          <w:spacing w:val="-25"/>
          <w:sz w:val="40"/>
        </w:rPr>
        <w:t> </w:t>
      </w:r>
      <w:r>
        <w:rPr>
          <w:b/>
          <w:i/>
          <w:sz w:val="40"/>
        </w:rPr>
        <w:t>Werner</w:t>
      </w:r>
      <w:r>
        <w:rPr>
          <w:b/>
          <w:i/>
          <w:spacing w:val="-25"/>
          <w:sz w:val="40"/>
        </w:rPr>
        <w:t> </w:t>
      </w:r>
      <w:r>
        <w:rPr>
          <w:b/>
          <w:i/>
          <w:sz w:val="40"/>
        </w:rPr>
        <w:t>Pohl</w:t>
      </w:r>
      <w:r>
        <w:rPr>
          <w:b/>
          <w:sz w:val="38"/>
        </w:rPr>
        <w:t>.</w:t>
      </w:r>
      <w:r>
        <w:rPr>
          <w:sz w:val="38"/>
        </w:rPr>
        <w:t>.</w:t>
      </w:r>
      <w:r>
        <w:rPr>
          <w:spacing w:val="-19"/>
          <w:sz w:val="38"/>
        </w:rPr>
        <w:t> </w:t>
      </w:r>
      <w:r>
        <w:rPr>
          <w:sz w:val="38"/>
        </w:rPr>
        <w:t>Stadtplatz</w:t>
      </w:r>
      <w:r>
        <w:rPr>
          <w:spacing w:val="-18"/>
          <w:sz w:val="38"/>
        </w:rPr>
        <w:t> </w:t>
      </w:r>
      <w:r>
        <w:rPr>
          <w:sz w:val="38"/>
        </w:rPr>
        <w:t>22.</w:t>
      </w:r>
      <w:r>
        <w:rPr>
          <w:spacing w:val="-19"/>
          <w:sz w:val="38"/>
        </w:rPr>
        <w:t> </w:t>
      </w:r>
      <w:r>
        <w:rPr>
          <w:sz w:val="38"/>
        </w:rPr>
        <w:t>Phone. 0043 7672 - 25445. Email: </w:t>
      </w:r>
      <w:hyperlink r:id="rId420">
        <w:r>
          <w:rPr>
            <w:sz w:val="38"/>
          </w:rPr>
          <w:t>pohl.w@medway.at </w:t>
        </w:r>
      </w:hyperlink>
      <w:r>
        <w:rPr>
          <w:sz w:val="38"/>
        </w:rPr>
        <w:t>Homepage: </w:t>
      </w:r>
      <w:hyperlink r:id="rId421">
        <w:r>
          <w:rPr>
            <w:sz w:val="38"/>
          </w:rPr>
          <w:t>www.ganzheitsmed-pohl.at</w:t>
        </w:r>
      </w:hyperlink>
    </w:p>
    <w:p>
      <w:pPr>
        <w:pStyle w:val="BodyText"/>
        <w:rPr>
          <w:sz w:val="42"/>
        </w:rPr>
      </w:pPr>
    </w:p>
    <w:p>
      <w:pPr>
        <w:pStyle w:val="BodyText"/>
        <w:spacing w:before="4"/>
        <w:rPr>
          <w:sz w:val="42"/>
        </w:rPr>
      </w:pPr>
    </w:p>
    <w:p>
      <w:pPr>
        <w:spacing w:before="0"/>
        <w:ind w:left="616" w:right="0" w:firstLine="0"/>
        <w:jc w:val="left"/>
        <w:rPr>
          <w:i/>
          <w:sz w:val="38"/>
        </w:rPr>
      </w:pPr>
      <w:r>
        <w:rPr>
          <w:b/>
          <w:sz w:val="38"/>
        </w:rPr>
        <w:t>6020 Innsbruck: </w:t>
      </w:r>
      <w:r>
        <w:rPr>
          <w:b/>
          <w:i/>
          <w:sz w:val="40"/>
        </w:rPr>
        <w:t>Dr. Bodo Kuklinski</w:t>
      </w:r>
      <w:r>
        <w:rPr>
          <w:i/>
          <w:sz w:val="38"/>
        </w:rPr>
        <w:t>, </w:t>
      </w:r>
      <w:r>
        <w:rPr>
          <w:sz w:val="38"/>
        </w:rPr>
        <w:t>Höttingergasse 18. </w:t>
      </w:r>
      <w:r>
        <w:rPr>
          <w:i/>
          <w:sz w:val="38"/>
        </w:rPr>
        <w:t>Metabolic-Screen.</w:t>
      </w:r>
    </w:p>
    <w:p>
      <w:pPr>
        <w:pStyle w:val="BodyText"/>
        <w:spacing w:before="59"/>
        <w:ind w:left="616"/>
      </w:pPr>
      <w:r>
        <w:rPr/>
        <w:t>Phone: +43 699 11 40 30 02;</w:t>
      </w:r>
    </w:p>
    <w:p>
      <w:pPr>
        <w:spacing w:after="0"/>
        <w:sectPr>
          <w:pgSz w:w="14270" w:h="16850"/>
          <w:pgMar w:header="0" w:footer="1891" w:top="1320" w:bottom="2080" w:left="800" w:right="1280"/>
        </w:sectPr>
      </w:pPr>
    </w:p>
    <w:p>
      <w:pPr>
        <w:spacing w:before="75"/>
        <w:ind w:left="616" w:right="0" w:firstLine="0"/>
        <w:jc w:val="left"/>
        <w:rPr>
          <w:sz w:val="38"/>
        </w:rPr>
      </w:pPr>
      <w:r>
        <w:rPr>
          <w:b/>
          <w:sz w:val="38"/>
        </w:rPr>
        <w:t>9800 Spittal/Drau: </w:t>
      </w:r>
      <w:r>
        <w:rPr>
          <w:b/>
          <w:i/>
          <w:sz w:val="40"/>
        </w:rPr>
        <w:t>Dr. Gernot Moder</w:t>
      </w:r>
      <w:r>
        <w:rPr>
          <w:sz w:val="38"/>
        </w:rPr>
        <w:t>, Tirolerstraße 12. Phone. 047 62 /</w:t>
      </w:r>
    </w:p>
    <w:p>
      <w:pPr>
        <w:pStyle w:val="BodyText"/>
        <w:spacing w:before="61"/>
        <w:ind w:left="616"/>
      </w:pPr>
      <w:r>
        <w:rPr/>
        <w:t>36 38 70. Homepage: </w:t>
      </w:r>
      <w:hyperlink r:id="rId422">
        <w:r>
          <w:rPr>
            <w:u w:val="single"/>
          </w:rPr>
          <w:t>www.lungenpraxis-moder.at</w:t>
        </w:r>
      </w:hyperlink>
    </w:p>
    <w:p>
      <w:pPr>
        <w:pStyle w:val="BodyText"/>
        <w:rPr>
          <w:sz w:val="20"/>
        </w:rPr>
      </w:pPr>
    </w:p>
    <w:p>
      <w:pPr>
        <w:pStyle w:val="BodyText"/>
        <w:rPr>
          <w:sz w:val="20"/>
        </w:rPr>
      </w:pPr>
    </w:p>
    <w:p>
      <w:pPr>
        <w:pStyle w:val="BodyText"/>
        <w:rPr>
          <w:sz w:val="20"/>
        </w:rPr>
      </w:pPr>
    </w:p>
    <w:p>
      <w:pPr>
        <w:pStyle w:val="Heading2"/>
        <w:spacing w:before="218"/>
        <w:ind w:left="616"/>
      </w:pPr>
      <w:r>
        <w:rPr>
          <w:u w:val="single"/>
        </w:rPr>
        <w:t>Switzerland:</w:t>
      </w:r>
    </w:p>
    <w:p>
      <w:pPr>
        <w:pStyle w:val="BodyText"/>
        <w:rPr>
          <w:b/>
          <w:sz w:val="20"/>
        </w:rPr>
      </w:pPr>
    </w:p>
    <w:p>
      <w:pPr>
        <w:pStyle w:val="BodyText"/>
        <w:rPr>
          <w:b/>
          <w:sz w:val="20"/>
        </w:rPr>
      </w:pPr>
    </w:p>
    <w:p>
      <w:pPr>
        <w:pStyle w:val="BodyText"/>
        <w:rPr>
          <w:b/>
          <w:sz w:val="20"/>
        </w:rPr>
      </w:pPr>
    </w:p>
    <w:p>
      <w:pPr>
        <w:spacing w:before="262"/>
        <w:ind w:left="616" w:right="0" w:firstLine="0"/>
        <w:jc w:val="left"/>
        <w:rPr>
          <w:b/>
          <w:i/>
          <w:sz w:val="40"/>
        </w:rPr>
      </w:pPr>
      <w:r>
        <w:rPr>
          <w:b/>
          <w:sz w:val="38"/>
        </w:rPr>
        <w:t>4450 Sissach: </w:t>
      </w:r>
      <w:r>
        <w:rPr>
          <w:b/>
          <w:i/>
          <w:sz w:val="40"/>
        </w:rPr>
        <w:t>Herr Martin Nötzli,</w:t>
      </w:r>
    </w:p>
    <w:p>
      <w:pPr>
        <w:pStyle w:val="BodyText"/>
        <w:spacing w:line="278" w:lineRule="auto" w:before="257"/>
        <w:ind w:left="616" w:right="1520"/>
      </w:pPr>
      <w:r>
        <w:rPr/>
        <w:t>Phone. 0041 77 222 88 30, Homepage: </w:t>
      </w:r>
      <w:hyperlink r:id="rId423">
        <w:r>
          <w:rPr>
            <w:u w:val="single"/>
          </w:rPr>
          <w:t>http://www.naturarztbiloba.ch</w:t>
        </w:r>
      </w:hyperlink>
    </w:p>
    <w:p>
      <w:pPr>
        <w:pStyle w:val="BodyText"/>
        <w:spacing w:line="388" w:lineRule="auto" w:before="194"/>
        <w:ind w:left="616" w:right="6413"/>
      </w:pPr>
      <w:hyperlink r:id="rId424">
        <w:r>
          <w:rPr>
            <w:u w:val="single"/>
          </w:rPr>
          <w:t>http://www.homoeopathbiloba.ch</w:t>
        </w:r>
      </w:hyperlink>
      <w:r>
        <w:rPr/>
        <w:t> </w:t>
      </w:r>
      <w:hyperlink r:id="rId425">
        <w:r>
          <w:rPr>
            <w:u w:val="single"/>
          </w:rPr>
          <w:t>http://www.healingcoaching.ch</w:t>
        </w:r>
      </w:hyperlink>
    </w:p>
    <w:p>
      <w:pPr>
        <w:pStyle w:val="BodyText"/>
        <w:rPr>
          <w:sz w:val="20"/>
        </w:rPr>
      </w:pPr>
    </w:p>
    <w:p>
      <w:pPr>
        <w:pStyle w:val="BodyText"/>
        <w:rPr>
          <w:sz w:val="20"/>
        </w:rPr>
      </w:pPr>
    </w:p>
    <w:p>
      <w:pPr>
        <w:spacing w:line="688" w:lineRule="exact" w:before="18"/>
        <w:ind w:left="616" w:right="4971" w:firstLine="0"/>
        <w:jc w:val="left"/>
        <w:rPr>
          <w:sz w:val="38"/>
        </w:rPr>
      </w:pPr>
      <w:r>
        <w:rPr>
          <w:b/>
          <w:sz w:val="38"/>
        </w:rPr>
        <w:t>6074</w:t>
      </w:r>
      <w:r>
        <w:rPr>
          <w:b/>
          <w:spacing w:val="-32"/>
          <w:sz w:val="38"/>
        </w:rPr>
        <w:t> </w:t>
      </w:r>
      <w:r>
        <w:rPr>
          <w:b/>
          <w:sz w:val="38"/>
        </w:rPr>
        <w:t>Giswil</w:t>
      </w:r>
      <w:r>
        <w:rPr>
          <w:b/>
          <w:spacing w:val="-32"/>
          <w:sz w:val="38"/>
        </w:rPr>
        <w:t> </w:t>
      </w:r>
      <w:r>
        <w:rPr>
          <w:b/>
          <w:sz w:val="38"/>
        </w:rPr>
        <w:t>OW:</w:t>
      </w:r>
      <w:r>
        <w:rPr>
          <w:b/>
          <w:spacing w:val="-30"/>
          <w:sz w:val="38"/>
        </w:rPr>
        <w:t> </w:t>
      </w:r>
      <w:r>
        <w:rPr>
          <w:b/>
          <w:i/>
          <w:sz w:val="40"/>
        </w:rPr>
        <w:t>Dr.</w:t>
      </w:r>
      <w:r>
        <w:rPr>
          <w:b/>
          <w:i/>
          <w:spacing w:val="-37"/>
          <w:sz w:val="40"/>
        </w:rPr>
        <w:t> </w:t>
      </w:r>
      <w:r>
        <w:rPr>
          <w:b/>
          <w:i/>
          <w:sz w:val="40"/>
        </w:rPr>
        <w:t>med.</w:t>
      </w:r>
      <w:r>
        <w:rPr>
          <w:b/>
          <w:i/>
          <w:spacing w:val="-37"/>
          <w:sz w:val="40"/>
        </w:rPr>
        <w:t> </w:t>
      </w:r>
      <w:r>
        <w:rPr>
          <w:b/>
          <w:i/>
          <w:sz w:val="40"/>
        </w:rPr>
        <w:t>Lothar</w:t>
      </w:r>
      <w:r>
        <w:rPr>
          <w:b/>
          <w:i/>
          <w:spacing w:val="-37"/>
          <w:sz w:val="40"/>
        </w:rPr>
        <w:t> </w:t>
      </w:r>
      <w:r>
        <w:rPr>
          <w:b/>
          <w:i/>
          <w:sz w:val="40"/>
        </w:rPr>
        <w:t>Zieger</w:t>
      </w:r>
      <w:r>
        <w:rPr>
          <w:sz w:val="38"/>
        </w:rPr>
        <w:t>. Email: </w:t>
      </w:r>
      <w:hyperlink r:id="rId426">
        <w:r>
          <w:rPr>
            <w:sz w:val="38"/>
          </w:rPr>
          <w:t>info@resomed.com</w:t>
        </w:r>
      </w:hyperlink>
    </w:p>
    <w:p>
      <w:pPr>
        <w:pStyle w:val="BodyText"/>
        <w:spacing w:before="30"/>
        <w:ind w:left="616"/>
      </w:pPr>
      <w:r>
        <w:rPr/>
        <w:t>Phone.: +41 41 810 22 44.</w:t>
      </w:r>
    </w:p>
    <w:p>
      <w:pPr>
        <w:pStyle w:val="BodyText"/>
        <w:rPr>
          <w:sz w:val="42"/>
        </w:rPr>
      </w:pPr>
    </w:p>
    <w:p>
      <w:pPr>
        <w:pStyle w:val="BodyText"/>
        <w:spacing w:before="2"/>
        <w:rPr>
          <w:sz w:val="41"/>
        </w:rPr>
      </w:pPr>
    </w:p>
    <w:p>
      <w:pPr>
        <w:spacing w:line="273" w:lineRule="auto" w:before="0"/>
        <w:ind w:left="616" w:right="0" w:firstLine="0"/>
        <w:jc w:val="left"/>
        <w:rPr>
          <w:sz w:val="38"/>
        </w:rPr>
      </w:pPr>
      <w:r>
        <w:rPr>
          <w:b/>
          <w:sz w:val="38"/>
        </w:rPr>
        <w:t>6436</w:t>
      </w:r>
      <w:r>
        <w:rPr>
          <w:b/>
          <w:spacing w:val="-34"/>
          <w:sz w:val="38"/>
        </w:rPr>
        <w:t> </w:t>
      </w:r>
      <w:r>
        <w:rPr>
          <w:b/>
          <w:sz w:val="38"/>
        </w:rPr>
        <w:t>Brunnen:</w:t>
      </w:r>
      <w:r>
        <w:rPr>
          <w:b/>
          <w:spacing w:val="-30"/>
          <w:sz w:val="38"/>
        </w:rPr>
        <w:t> </w:t>
      </w:r>
      <w:r>
        <w:rPr>
          <w:b/>
          <w:i/>
          <w:sz w:val="40"/>
        </w:rPr>
        <w:t>Dr.</w:t>
      </w:r>
      <w:r>
        <w:rPr>
          <w:b/>
          <w:i/>
          <w:spacing w:val="-38"/>
          <w:sz w:val="40"/>
        </w:rPr>
        <w:t> </w:t>
      </w:r>
      <w:r>
        <w:rPr>
          <w:b/>
          <w:i/>
          <w:sz w:val="40"/>
        </w:rPr>
        <w:t>Christian</w:t>
      </w:r>
      <w:r>
        <w:rPr>
          <w:b/>
          <w:i/>
          <w:spacing w:val="-38"/>
          <w:sz w:val="40"/>
        </w:rPr>
        <w:t> </w:t>
      </w:r>
      <w:r>
        <w:rPr>
          <w:b/>
          <w:i/>
          <w:sz w:val="40"/>
        </w:rPr>
        <w:t>Bouillaguet.</w:t>
      </w:r>
      <w:r>
        <w:rPr>
          <w:b/>
          <w:i/>
          <w:spacing w:val="-35"/>
          <w:sz w:val="40"/>
        </w:rPr>
        <w:t> </w:t>
      </w:r>
      <w:r>
        <w:rPr>
          <w:sz w:val="38"/>
        </w:rPr>
        <w:t>Bahnhofstrasse</w:t>
      </w:r>
      <w:r>
        <w:rPr>
          <w:spacing w:val="-31"/>
          <w:sz w:val="38"/>
        </w:rPr>
        <w:t> </w:t>
      </w:r>
      <w:r>
        <w:rPr>
          <w:sz w:val="38"/>
        </w:rPr>
        <w:t>51.Phone.</w:t>
      </w:r>
      <w:r>
        <w:rPr>
          <w:spacing w:val="-32"/>
          <w:sz w:val="38"/>
        </w:rPr>
        <w:t> </w:t>
      </w:r>
      <w:r>
        <w:rPr>
          <w:sz w:val="38"/>
        </w:rPr>
        <w:t>0041 41 820 32 25. Email:</w:t>
      </w:r>
      <w:r>
        <w:rPr>
          <w:spacing w:val="-3"/>
          <w:sz w:val="38"/>
        </w:rPr>
        <w:t> </w:t>
      </w:r>
      <w:r>
        <w:rPr>
          <w:sz w:val="38"/>
        </w:rPr>
        <w:t>c.bouillaguet@bluewin.ch;</w:t>
      </w:r>
    </w:p>
    <w:p>
      <w:pPr>
        <w:spacing w:after="0" w:line="273" w:lineRule="auto"/>
        <w:jc w:val="left"/>
        <w:rPr>
          <w:sz w:val="38"/>
        </w:rPr>
        <w:sectPr>
          <w:pgSz w:w="14270" w:h="16850"/>
          <w:pgMar w:header="0" w:footer="1891" w:top="1320" w:bottom="2080" w:left="800" w:right="1280"/>
        </w:sectPr>
      </w:pPr>
    </w:p>
    <w:p>
      <w:pPr>
        <w:pStyle w:val="BodyText"/>
        <w:rPr>
          <w:sz w:val="20"/>
        </w:rPr>
      </w:pPr>
    </w:p>
    <w:p>
      <w:pPr>
        <w:pStyle w:val="BodyText"/>
        <w:spacing w:before="8"/>
        <w:rPr>
          <w:sz w:val="20"/>
        </w:rPr>
      </w:pPr>
    </w:p>
    <w:p>
      <w:pPr>
        <w:spacing w:line="261" w:lineRule="auto" w:before="100"/>
        <w:ind w:left="616" w:right="0" w:firstLine="0"/>
        <w:jc w:val="left"/>
        <w:rPr>
          <w:b/>
          <w:sz w:val="38"/>
        </w:rPr>
      </w:pPr>
      <w:r>
        <w:rPr>
          <w:b/>
          <w:sz w:val="38"/>
        </w:rPr>
        <w:t>9404 Rorschacherberg: </w:t>
      </w:r>
      <w:r>
        <w:rPr>
          <w:b/>
          <w:i/>
          <w:sz w:val="40"/>
        </w:rPr>
        <w:t>Dr. Manfred Doepp im QuantiSana Gesund- heitsZentrum AG</w:t>
      </w:r>
      <w:r>
        <w:rPr>
          <w:b/>
          <w:sz w:val="38"/>
        </w:rPr>
        <w:t>, Wartenseestr. 2, Schloss Wartensee, Phone.: 0041</w:t>
      </w:r>
      <w:r>
        <w:rPr>
          <w:b/>
          <w:spacing w:val="-72"/>
          <w:sz w:val="38"/>
        </w:rPr>
        <w:t> </w:t>
      </w:r>
      <w:r>
        <w:rPr>
          <w:b/>
          <w:sz w:val="38"/>
        </w:rPr>
        <w:t>71</w:t>
      </w:r>
    </w:p>
    <w:p>
      <w:pPr>
        <w:pStyle w:val="Heading2"/>
        <w:spacing w:line="278" w:lineRule="auto" w:before="18"/>
        <w:ind w:left="616" w:right="3257"/>
      </w:pPr>
      <w:r>
        <w:rPr/>
        <w:t>955 9536; Email: m.doepp@quantisana.ch; Homep- age: </w:t>
      </w:r>
      <w:hyperlink r:id="rId427">
        <w:r>
          <w:rPr>
            <w:u w:val="single"/>
          </w:rPr>
          <w:t>http://www.quantisana.ch</w:t>
        </w:r>
        <w:r>
          <w:rPr/>
          <w:t>.</w:t>
        </w:r>
      </w:hyperlink>
    </w:p>
    <w:p>
      <w:pPr>
        <w:pStyle w:val="BodyText"/>
        <w:rPr>
          <w:b/>
          <w:sz w:val="20"/>
        </w:rPr>
      </w:pPr>
    </w:p>
    <w:p>
      <w:pPr>
        <w:pStyle w:val="BodyText"/>
        <w:rPr>
          <w:b/>
          <w:sz w:val="20"/>
        </w:rPr>
      </w:pPr>
    </w:p>
    <w:p>
      <w:pPr>
        <w:pStyle w:val="BodyText"/>
        <w:rPr>
          <w:b/>
          <w:sz w:val="20"/>
        </w:rPr>
      </w:pPr>
    </w:p>
    <w:p>
      <w:pPr>
        <w:spacing w:before="263"/>
        <w:ind w:left="616" w:right="0" w:firstLine="0"/>
        <w:jc w:val="left"/>
        <w:rPr>
          <w:sz w:val="38"/>
        </w:rPr>
      </w:pPr>
      <w:r>
        <w:rPr>
          <w:b/>
          <w:sz w:val="38"/>
        </w:rPr>
        <w:t>9410 Heiden: </w:t>
      </w:r>
      <w:r>
        <w:rPr>
          <w:b/>
          <w:i/>
          <w:sz w:val="40"/>
        </w:rPr>
        <w:t>Martin Jennessen</w:t>
      </w:r>
      <w:r>
        <w:rPr>
          <w:sz w:val="38"/>
        </w:rPr>
        <w:t>; Werdstr. 1a, Fon (CH): 0041 71 898</w:t>
      </w:r>
    </w:p>
    <w:p>
      <w:pPr>
        <w:pStyle w:val="BodyText"/>
        <w:spacing w:before="59"/>
        <w:ind w:left="616"/>
      </w:pPr>
      <w:r>
        <w:rPr/>
        <w:t>6369, Fax (CH): 0041 71 898 6544, Fon (D): 049 2925 525 909, Fax</w:t>
      </w:r>
    </w:p>
    <w:p>
      <w:pPr>
        <w:pStyle w:val="BodyText"/>
        <w:spacing w:before="67"/>
        <w:ind w:left="616"/>
      </w:pPr>
      <w:r>
        <w:rPr/>
        <w:t>(D): 0049 2925 525 910. eMail: </w:t>
      </w:r>
      <w:hyperlink r:id="rId428">
        <w:r>
          <w:rPr>
            <w:u w:val="single"/>
          </w:rPr>
          <w:t>praxis@jennessen.de</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spacing w:before="100"/>
        <w:ind w:left="616" w:right="0" w:firstLine="0"/>
        <w:jc w:val="left"/>
        <w:rPr>
          <w:sz w:val="38"/>
        </w:rPr>
      </w:pPr>
      <w:r>
        <w:rPr>
          <w:b/>
          <w:sz w:val="38"/>
        </w:rPr>
        <w:t>9410 Heiden: </w:t>
      </w:r>
      <w:r>
        <w:rPr>
          <w:b/>
          <w:i/>
          <w:sz w:val="40"/>
        </w:rPr>
        <w:t>Dr. Oliver M. de Potzolli</w:t>
      </w:r>
      <w:r>
        <w:rPr>
          <w:b/>
          <w:sz w:val="38"/>
        </w:rPr>
        <w:t>.</w:t>
      </w:r>
      <w:r>
        <w:rPr>
          <w:b/>
          <w:spacing w:val="65"/>
          <w:sz w:val="38"/>
        </w:rPr>
        <w:t> </w:t>
      </w:r>
      <w:r>
        <w:rPr>
          <w:sz w:val="38"/>
        </w:rPr>
        <w:t>Hasenbühlweg 2. Phone: 071 891</w:t>
      </w:r>
    </w:p>
    <w:p>
      <w:pPr>
        <w:pStyle w:val="BodyText"/>
        <w:spacing w:before="61"/>
        <w:ind w:left="616"/>
      </w:pPr>
      <w:r>
        <w:rPr/>
        <w:t>32-91 Facsimile: 071 891 32-13</w:t>
      </w:r>
    </w:p>
    <w:p>
      <w:pPr>
        <w:pStyle w:val="BodyText"/>
        <w:spacing w:line="278" w:lineRule="auto" w:before="262"/>
        <w:ind w:left="616" w:right="492"/>
      </w:pPr>
      <w:r>
        <w:rPr/>
        <w:t>Homepage: </w:t>
      </w:r>
      <w:hyperlink r:id="rId429">
        <w:r>
          <w:rPr>
            <w:u w:val="single"/>
          </w:rPr>
          <w:t>http://www.doktor.ch/arzt/de-potzolli-oliver-m-heiden-9410-</w:t>
        </w:r>
      </w:hyperlink>
      <w:r>
        <w:rPr/>
        <w:t> </w:t>
      </w:r>
      <w:r>
        <w:rPr>
          <w:u w:val="single"/>
        </w:rPr>
        <w:t>arzt.html</w:t>
      </w:r>
    </w:p>
    <w:p>
      <w:pPr>
        <w:pStyle w:val="BodyText"/>
        <w:spacing w:before="129"/>
        <w:ind w:left="616"/>
      </w:pPr>
      <w:r>
        <w:rPr/>
        <w:t>eMail: </w:t>
      </w:r>
      <w:hyperlink r:id="rId430">
        <w:r>
          <w:rPr/>
          <w:t>dr.om.depotzolli@hin.ch</w:t>
        </w:r>
      </w:hyperlink>
    </w:p>
    <w:p>
      <w:pPr>
        <w:spacing w:after="0"/>
        <w:sectPr>
          <w:pgSz w:w="14270" w:h="16850"/>
          <w:pgMar w:header="0" w:footer="1891" w:top="1600" w:bottom="2080" w:left="800" w:right="1280"/>
        </w:sectPr>
      </w:pPr>
    </w:p>
    <w:p>
      <w:pPr>
        <w:pStyle w:val="Heading2"/>
        <w:spacing w:before="74"/>
        <w:ind w:left="616"/>
      </w:pPr>
      <w:r>
        <w:rPr>
          <w:u w:val="single"/>
        </w:rPr>
        <w:t>India and Russia</w:t>
      </w:r>
      <w:r>
        <w:rPr/>
        <w:t>:</w:t>
      </w:r>
    </w:p>
    <w:p>
      <w:pPr>
        <w:pStyle w:val="BodyText"/>
        <w:rPr>
          <w:b/>
          <w:sz w:val="20"/>
        </w:rPr>
      </w:pPr>
    </w:p>
    <w:p>
      <w:pPr>
        <w:pStyle w:val="BodyText"/>
        <w:rPr>
          <w:b/>
          <w:sz w:val="20"/>
        </w:rPr>
      </w:pPr>
    </w:p>
    <w:p>
      <w:pPr>
        <w:pStyle w:val="BodyText"/>
        <w:rPr>
          <w:b/>
          <w:sz w:val="20"/>
        </w:rPr>
      </w:pPr>
    </w:p>
    <w:p>
      <w:pPr>
        <w:pStyle w:val="BodyText"/>
        <w:spacing w:before="1"/>
        <w:rPr>
          <w:b/>
          <w:sz w:val="16"/>
        </w:rPr>
      </w:pPr>
    </w:p>
    <w:p>
      <w:pPr>
        <w:pStyle w:val="BodyText"/>
        <w:spacing w:line="276" w:lineRule="auto" w:before="99"/>
        <w:ind w:left="616" w:right="503"/>
      </w:pPr>
      <w:r>
        <w:rPr/>
        <w:t>Shams Scheik, MD, ABAARM, DOM. 115093, Moscow, Pervey Shhip- kovskij pereulok, d.4, eMail: </w:t>
      </w:r>
      <w:hyperlink r:id="rId431">
        <w:r>
          <w:rPr/>
          <w:t>shams_scheik@hotmail.com </w:t>
        </w:r>
      </w:hyperlink>
      <w:r>
        <w:rPr/>
        <w:t>, Phone. in India:</w:t>
      </w:r>
    </w:p>
    <w:p>
      <w:pPr>
        <w:pStyle w:val="BodyText"/>
        <w:spacing w:before="1"/>
        <w:ind w:left="616"/>
      </w:pPr>
      <w:r>
        <w:rPr/>
        <w:t>+91-8551945377 , Phone. in Russia: +7-9197756674. D</w:t>
      </w:r>
    </w:p>
    <w:p>
      <w:pPr>
        <w:pStyle w:val="BodyText"/>
        <w:rPr>
          <w:sz w:val="42"/>
        </w:rPr>
      </w:pPr>
    </w:p>
    <w:p>
      <w:pPr>
        <w:pStyle w:val="BodyText"/>
        <w:spacing w:before="4"/>
        <w:rPr>
          <w:sz w:val="37"/>
        </w:rPr>
      </w:pPr>
    </w:p>
    <w:p>
      <w:pPr>
        <w:pStyle w:val="Heading2"/>
        <w:ind w:left="616"/>
      </w:pPr>
      <w:r>
        <w:rPr>
          <w:u w:val="single"/>
        </w:rPr>
        <w:t>Santa Cruz da Graciosa (Portugal):</w:t>
      </w:r>
    </w:p>
    <w:p>
      <w:pPr>
        <w:spacing w:before="197"/>
        <w:ind w:left="616" w:right="0" w:firstLine="0"/>
        <w:jc w:val="left"/>
        <w:rPr>
          <w:b/>
          <w:sz w:val="38"/>
        </w:rPr>
      </w:pPr>
      <w:r>
        <w:rPr>
          <w:b/>
          <w:sz w:val="38"/>
        </w:rPr>
        <w:t>Dr.med Peter Heger</w:t>
      </w:r>
    </w:p>
    <w:p>
      <w:pPr>
        <w:pStyle w:val="BodyText"/>
        <w:spacing w:before="64"/>
        <w:ind w:left="616"/>
      </w:pPr>
      <w:r>
        <w:rPr/>
        <w:t>rua 6 de janeiro 23</w:t>
      </w:r>
    </w:p>
    <w:p>
      <w:pPr>
        <w:pStyle w:val="BodyText"/>
        <w:spacing w:before="65"/>
        <w:ind w:left="616"/>
      </w:pPr>
      <w:r>
        <w:rPr/>
        <w:t>9880.139 Santa Cruz da Graciosa Luz</w:t>
      </w:r>
    </w:p>
    <w:p>
      <w:pPr>
        <w:pStyle w:val="BodyText"/>
        <w:tabs>
          <w:tab w:pos="8357" w:val="left" w:leader="none"/>
        </w:tabs>
        <w:spacing w:line="278" w:lineRule="auto" w:before="62"/>
        <w:ind w:left="616" w:right="423"/>
      </w:pPr>
      <w:r>
        <w:rPr/>
        <w:t>Phone: 00351295714054,</w:t>
      </w:r>
      <w:r>
        <w:rPr>
          <w:spacing w:val="86"/>
        </w:rPr>
        <w:t> </w:t>
      </w:r>
      <w:r>
        <w:rPr/>
        <w:t>Handy</w:t>
      </w:r>
      <w:r>
        <w:rPr>
          <w:spacing w:val="-3"/>
        </w:rPr>
        <w:t> </w:t>
      </w:r>
      <w:r>
        <w:rPr/>
        <w:t>+351960019474,</w:t>
        <w:tab/>
        <w:t>Email: peter.heger@ic- loud.com</w:t>
      </w:r>
    </w:p>
    <w:p>
      <w:pPr>
        <w:spacing w:after="0" w:line="278" w:lineRule="auto"/>
        <w:sectPr>
          <w:pgSz w:w="14270" w:h="16850"/>
          <w:pgMar w:header="0" w:footer="1891" w:top="1340" w:bottom="2080" w:left="800" w:right="1280"/>
        </w:sectPr>
      </w:pPr>
    </w:p>
    <w:p>
      <w:pPr>
        <w:spacing w:before="73"/>
        <w:ind w:left="616" w:right="0" w:firstLine="0"/>
        <w:jc w:val="both"/>
        <w:rPr>
          <w:rFonts w:ascii="Cambria" w:hAnsi="Cambria"/>
          <w:b/>
          <w:sz w:val="28"/>
        </w:rPr>
      </w:pPr>
      <w:r>
        <w:rPr>
          <w:rFonts w:ascii="Cambria" w:hAnsi="Cambria"/>
          <w:b/>
          <w:color w:val="365F91"/>
          <w:sz w:val="28"/>
        </w:rPr>
        <w:t>EDIBLE MUSHROOMS – MEDICINAL MUSHROOMS</w:t>
      </w:r>
    </w:p>
    <w:p>
      <w:pPr>
        <w:pStyle w:val="BodyText"/>
        <w:spacing w:before="11"/>
        <w:rPr>
          <w:rFonts w:ascii="Cambria"/>
          <w:b/>
          <w:sz w:val="24"/>
        </w:rPr>
      </w:pPr>
    </w:p>
    <w:p>
      <w:pPr>
        <w:pStyle w:val="Heading2"/>
        <w:ind w:left="616"/>
        <w:jc w:val="both"/>
      </w:pPr>
      <w:r>
        <w:rPr/>
        <w:t>Foreword</w:t>
      </w:r>
    </w:p>
    <w:p>
      <w:pPr>
        <w:pStyle w:val="BodyText"/>
        <w:spacing w:line="276" w:lineRule="auto" w:before="302"/>
        <w:ind w:left="616" w:right="141"/>
        <w:jc w:val="both"/>
      </w:pPr>
      <w:r>
        <w:rPr/>
        <w:t>Medicinal mushrooms are one of the oldest, most traditional natural remedies that exist and have been used in Asia for thousands of years prophylactically and therapeutically with great success.</w:t>
      </w:r>
    </w:p>
    <w:p>
      <w:pPr>
        <w:pStyle w:val="BodyText"/>
        <w:spacing w:line="276" w:lineRule="auto" w:before="239"/>
        <w:ind w:left="616" w:right="136"/>
        <w:jc w:val="both"/>
      </w:pPr>
      <w:r>
        <w:rPr/>
        <w:t>The term ‘edible mushroom’ may be a little confusing here, however, in prin- ciple it is a synonym for ‘medicinal mushrooms’ and which resulted not least from</w:t>
      </w:r>
      <w:r>
        <w:rPr>
          <w:spacing w:val="-25"/>
        </w:rPr>
        <w:t> </w:t>
      </w:r>
      <w:r>
        <w:rPr/>
        <w:t>senseless</w:t>
      </w:r>
      <w:r>
        <w:rPr>
          <w:spacing w:val="-23"/>
        </w:rPr>
        <w:t> </w:t>
      </w:r>
      <w:r>
        <w:rPr/>
        <w:t>legislation</w:t>
      </w:r>
      <w:r>
        <w:rPr>
          <w:spacing w:val="-24"/>
        </w:rPr>
        <w:t> </w:t>
      </w:r>
      <w:r>
        <w:rPr/>
        <w:t>within</w:t>
      </w:r>
      <w:r>
        <w:rPr>
          <w:spacing w:val="-23"/>
        </w:rPr>
        <w:t> </w:t>
      </w:r>
      <w:r>
        <w:rPr/>
        <w:t>the</w:t>
      </w:r>
      <w:r>
        <w:rPr>
          <w:spacing w:val="-25"/>
        </w:rPr>
        <w:t> </w:t>
      </w:r>
      <w:r>
        <w:rPr/>
        <w:t>EU</w:t>
      </w:r>
      <w:r>
        <w:rPr>
          <w:spacing w:val="-24"/>
        </w:rPr>
        <w:t> </w:t>
      </w:r>
      <w:r>
        <w:rPr/>
        <w:t>despite</w:t>
      </w:r>
      <w:r>
        <w:rPr>
          <w:spacing w:val="-25"/>
        </w:rPr>
        <w:t> </w:t>
      </w:r>
      <w:r>
        <w:rPr/>
        <w:t>vast</w:t>
      </w:r>
      <w:r>
        <w:rPr>
          <w:spacing w:val="-25"/>
        </w:rPr>
        <w:t> </w:t>
      </w:r>
      <w:r>
        <w:rPr/>
        <w:t>amounts</w:t>
      </w:r>
      <w:r>
        <w:rPr>
          <w:spacing w:val="-23"/>
        </w:rPr>
        <w:t> </w:t>
      </w:r>
      <w:r>
        <w:rPr/>
        <w:t>of</w:t>
      </w:r>
      <w:r>
        <w:rPr>
          <w:spacing w:val="-24"/>
        </w:rPr>
        <w:t> </w:t>
      </w:r>
      <w:r>
        <w:rPr/>
        <w:t>representative studies which have not only proven vitalisation but even healing in a number of still very serious diseases which have been classified as ‘incurable’ by con- ventional medicine (you can read more about this under ‘Studies’ for the re- spective sub-points of the individual</w:t>
      </w:r>
      <w:r>
        <w:rPr>
          <w:spacing w:val="-2"/>
        </w:rPr>
        <w:t> </w:t>
      </w:r>
      <w:r>
        <w:rPr/>
        <w:t>mushrooms).</w:t>
      </w:r>
    </w:p>
    <w:p>
      <w:pPr>
        <w:pStyle w:val="BodyText"/>
        <w:spacing w:line="276" w:lineRule="auto" w:before="240"/>
        <w:ind w:left="616" w:right="135"/>
        <w:jc w:val="both"/>
      </w:pPr>
      <w:r>
        <w:rPr/>
        <w:t>The most well-known representatives of edible and medicinal mushrooms in- clude, without a doubt, Reishi, Shiitake and Maitake. Shiitake in particular is extremely well-known and popular thanks to its properties as a delicious deli- cacy.</w:t>
      </w:r>
    </w:p>
    <w:p>
      <w:pPr>
        <w:pStyle w:val="BodyText"/>
        <w:spacing w:line="276" w:lineRule="auto" w:before="242"/>
        <w:ind w:left="616" w:right="135"/>
        <w:jc w:val="both"/>
      </w:pPr>
      <w:r>
        <w:rPr/>
        <w:t>Reishi, on the other hand, is rarely seen on a gourmet cook’s menu; it has a tougher, harder consistency. The Reishi Ling-Zhi on the other hand has really had</w:t>
      </w:r>
      <w:r>
        <w:rPr>
          <w:spacing w:val="-21"/>
        </w:rPr>
        <w:t> </w:t>
      </w:r>
      <w:r>
        <w:rPr/>
        <w:t>to</w:t>
      </w:r>
      <w:r>
        <w:rPr>
          <w:spacing w:val="-21"/>
        </w:rPr>
        <w:t> </w:t>
      </w:r>
      <w:r>
        <w:rPr/>
        <w:t>earn</w:t>
      </w:r>
      <w:r>
        <w:rPr>
          <w:spacing w:val="-19"/>
        </w:rPr>
        <w:t> </w:t>
      </w:r>
      <w:r>
        <w:rPr/>
        <w:t>its</w:t>
      </w:r>
      <w:r>
        <w:rPr>
          <w:spacing w:val="-22"/>
        </w:rPr>
        <w:t> </w:t>
      </w:r>
      <w:r>
        <w:rPr/>
        <w:t>fame</w:t>
      </w:r>
      <w:r>
        <w:rPr>
          <w:spacing w:val="-20"/>
        </w:rPr>
        <w:t> </w:t>
      </w:r>
      <w:r>
        <w:rPr/>
        <w:t>and</w:t>
      </w:r>
      <w:r>
        <w:rPr>
          <w:spacing w:val="-21"/>
        </w:rPr>
        <w:t> </w:t>
      </w:r>
      <w:r>
        <w:rPr/>
        <w:t>renown</w:t>
      </w:r>
      <w:r>
        <w:rPr>
          <w:spacing w:val="-23"/>
        </w:rPr>
        <w:t> </w:t>
      </w:r>
      <w:r>
        <w:rPr/>
        <w:t>solely</w:t>
      </w:r>
      <w:r>
        <w:rPr>
          <w:spacing w:val="-22"/>
        </w:rPr>
        <w:t> </w:t>
      </w:r>
      <w:r>
        <w:rPr/>
        <w:t>due</w:t>
      </w:r>
      <w:r>
        <w:rPr>
          <w:spacing w:val="-21"/>
        </w:rPr>
        <w:t> </w:t>
      </w:r>
      <w:r>
        <w:rPr/>
        <w:t>to</w:t>
      </w:r>
      <w:r>
        <w:rPr>
          <w:spacing w:val="-21"/>
        </w:rPr>
        <w:t> </w:t>
      </w:r>
      <w:r>
        <w:rPr/>
        <w:t>its</w:t>
      </w:r>
      <w:r>
        <w:rPr>
          <w:spacing w:val="-21"/>
        </w:rPr>
        <w:t> </w:t>
      </w:r>
      <w:r>
        <w:rPr/>
        <w:t>excellent</w:t>
      </w:r>
      <w:r>
        <w:rPr>
          <w:spacing w:val="-21"/>
        </w:rPr>
        <w:t> </w:t>
      </w:r>
      <w:r>
        <w:rPr/>
        <w:t>vitalising</w:t>
      </w:r>
      <w:r>
        <w:rPr>
          <w:spacing w:val="-19"/>
        </w:rPr>
        <w:t> </w:t>
      </w:r>
      <w:r>
        <w:rPr/>
        <w:t>and</w:t>
      </w:r>
      <w:r>
        <w:rPr>
          <w:spacing w:val="-21"/>
        </w:rPr>
        <w:t> </w:t>
      </w:r>
      <w:r>
        <w:rPr/>
        <w:t>healing properties.</w:t>
      </w:r>
    </w:p>
    <w:p>
      <w:pPr>
        <w:pStyle w:val="BodyText"/>
        <w:spacing w:line="276" w:lineRule="auto" w:before="240"/>
        <w:ind w:left="616" w:right="138"/>
        <w:jc w:val="both"/>
      </w:pPr>
      <w:r>
        <w:rPr/>
        <w:t>Rightly idolised in Asia and honoured as a ‘divine mushroom of immortality’, ‘holy mushroom’, ‘fountain of youth’, ‘herb with spiritual power’, ‘phantom</w:t>
      </w:r>
    </w:p>
    <w:p>
      <w:pPr>
        <w:spacing w:after="0" w:line="276" w:lineRule="auto"/>
        <w:jc w:val="both"/>
        <w:sectPr>
          <w:pgSz w:w="14270" w:h="16850"/>
          <w:pgMar w:header="0" w:footer="1891" w:top="1340" w:bottom="2080" w:left="800" w:right="1280"/>
        </w:sectPr>
      </w:pPr>
    </w:p>
    <w:p>
      <w:pPr>
        <w:pStyle w:val="BodyText"/>
        <w:spacing w:line="276" w:lineRule="auto" w:before="72"/>
        <w:ind w:left="616" w:right="139"/>
        <w:jc w:val="both"/>
      </w:pPr>
      <w:r>
        <w:rPr/>
        <w:t>plant’ or ‘luck mushroom’, it has been hinted at in traditional Asian medicine for more than 4000 years for its great merits. Thus, the Reishi mushroom is ahead of Ginseng in herbal books, in 1st place among the 120 most popular medicinal herbs.</w:t>
      </w:r>
    </w:p>
    <w:p>
      <w:pPr>
        <w:pStyle w:val="BodyText"/>
        <w:spacing w:line="276" w:lineRule="auto" w:before="241"/>
        <w:ind w:left="616" w:right="139"/>
        <w:jc w:val="both"/>
      </w:pPr>
      <w:r>
        <w:rPr/>
        <w:t>However,</w:t>
      </w:r>
      <w:r>
        <w:rPr>
          <w:spacing w:val="-18"/>
        </w:rPr>
        <w:t> </w:t>
      </w:r>
      <w:r>
        <w:rPr/>
        <w:t>it</w:t>
      </w:r>
      <w:r>
        <w:rPr>
          <w:spacing w:val="-20"/>
        </w:rPr>
        <w:t> </w:t>
      </w:r>
      <w:r>
        <w:rPr/>
        <w:t>would</w:t>
      </w:r>
      <w:r>
        <w:rPr>
          <w:spacing w:val="-20"/>
        </w:rPr>
        <w:t> </w:t>
      </w:r>
      <w:r>
        <w:rPr/>
        <w:t>be</w:t>
      </w:r>
      <w:r>
        <w:rPr>
          <w:spacing w:val="-19"/>
        </w:rPr>
        <w:t> </w:t>
      </w:r>
      <w:r>
        <w:rPr/>
        <w:t>unfair</w:t>
      </w:r>
      <w:r>
        <w:rPr>
          <w:spacing w:val="-19"/>
        </w:rPr>
        <w:t> </w:t>
      </w:r>
      <w:r>
        <w:rPr/>
        <w:t>and</w:t>
      </w:r>
      <w:r>
        <w:rPr>
          <w:spacing w:val="-19"/>
        </w:rPr>
        <w:t> </w:t>
      </w:r>
      <w:r>
        <w:rPr/>
        <w:t>contrary</w:t>
      </w:r>
      <w:r>
        <w:rPr>
          <w:spacing w:val="-19"/>
        </w:rPr>
        <w:t> </w:t>
      </w:r>
      <w:r>
        <w:rPr/>
        <w:t>to</w:t>
      </w:r>
      <w:r>
        <w:rPr>
          <w:spacing w:val="-17"/>
        </w:rPr>
        <w:t> </w:t>
      </w:r>
      <w:r>
        <w:rPr/>
        <w:t>the</w:t>
      </w:r>
      <w:r>
        <w:rPr>
          <w:spacing w:val="-18"/>
        </w:rPr>
        <w:t> </w:t>
      </w:r>
      <w:r>
        <w:rPr/>
        <w:t>objective</w:t>
      </w:r>
      <w:r>
        <w:rPr>
          <w:spacing w:val="-19"/>
        </w:rPr>
        <w:t> </w:t>
      </w:r>
      <w:r>
        <w:rPr/>
        <w:t>to</w:t>
      </w:r>
      <w:r>
        <w:rPr>
          <w:spacing w:val="-18"/>
        </w:rPr>
        <w:t> </w:t>
      </w:r>
      <w:r>
        <w:rPr/>
        <w:t>simply</w:t>
      </w:r>
      <w:r>
        <w:rPr>
          <w:spacing w:val="-20"/>
        </w:rPr>
        <w:t> </w:t>
      </w:r>
      <w:r>
        <w:rPr/>
        <w:t>give</w:t>
      </w:r>
      <w:r>
        <w:rPr>
          <w:spacing w:val="-19"/>
        </w:rPr>
        <w:t> </w:t>
      </w:r>
      <w:r>
        <w:rPr/>
        <w:t>a</w:t>
      </w:r>
      <w:r>
        <w:rPr>
          <w:spacing w:val="-20"/>
        </w:rPr>
        <w:t> </w:t>
      </w:r>
      <w:r>
        <w:rPr/>
        <w:t>brief nod to other medicinal mushrooms – quite the opposite, the traditional and extremely successful therapy with medicinal mushrooms thrives on the diver- sity of health benefits offered by different medicinal</w:t>
      </w:r>
      <w:r>
        <w:rPr>
          <w:spacing w:val="-7"/>
        </w:rPr>
        <w:t> </w:t>
      </w:r>
      <w:r>
        <w:rPr/>
        <w:t>mushrooms.</w:t>
      </w:r>
    </w:p>
    <w:p>
      <w:pPr>
        <w:pStyle w:val="BodyText"/>
        <w:spacing w:line="276" w:lineRule="auto" w:before="242"/>
        <w:ind w:left="616" w:right="132"/>
        <w:jc w:val="both"/>
      </w:pPr>
      <w:r>
        <w:rPr/>
        <w:t>Yet, what makes these medicinal and edible mushrooms so unique and at the same time valuable? It is the perfect combination of highly nutritionally</w:t>
      </w:r>
      <w:r>
        <w:rPr>
          <w:spacing w:val="-68"/>
        </w:rPr>
        <w:t> </w:t>
      </w:r>
      <w:r>
        <w:rPr/>
        <w:t>valua- ble biological ingredients such as glucans, polysaccharides, vitamins, minerals and secondary plant substances which supply the body with energy, boost its self-healing powers and have even been proven in studies to have a positive effect on serious diseases such as cancer, AIDS, diabetes, arteriosclerosis (see respective sub-points under ‘Studies’). The following section concerns the properties and health benefits as well as the use of probably the six most im- portant</w:t>
      </w:r>
      <w:r>
        <w:rPr>
          <w:spacing w:val="-10"/>
        </w:rPr>
        <w:t> </w:t>
      </w:r>
      <w:r>
        <w:rPr/>
        <w:t>medicinal/edible</w:t>
      </w:r>
      <w:r>
        <w:rPr>
          <w:spacing w:val="-10"/>
        </w:rPr>
        <w:t> </w:t>
      </w:r>
      <w:r>
        <w:rPr/>
        <w:t>mushrooms,</w:t>
      </w:r>
      <w:r>
        <w:rPr>
          <w:spacing w:val="-8"/>
        </w:rPr>
        <w:t> </w:t>
      </w:r>
      <w:r>
        <w:rPr/>
        <w:t>and</w:t>
      </w:r>
      <w:r>
        <w:rPr>
          <w:spacing w:val="-9"/>
        </w:rPr>
        <w:t> </w:t>
      </w:r>
      <w:r>
        <w:rPr/>
        <w:t>will</w:t>
      </w:r>
      <w:r>
        <w:rPr>
          <w:spacing w:val="-11"/>
        </w:rPr>
        <w:t> </w:t>
      </w:r>
      <w:r>
        <w:rPr/>
        <w:t>introduce</w:t>
      </w:r>
      <w:r>
        <w:rPr>
          <w:spacing w:val="-9"/>
        </w:rPr>
        <w:t> </w:t>
      </w:r>
      <w:r>
        <w:rPr/>
        <w:t>you</w:t>
      </w:r>
      <w:r>
        <w:rPr>
          <w:spacing w:val="-10"/>
        </w:rPr>
        <w:t> </w:t>
      </w:r>
      <w:r>
        <w:rPr/>
        <w:t>in</w:t>
      </w:r>
      <w:r>
        <w:rPr>
          <w:spacing w:val="-8"/>
        </w:rPr>
        <w:t> </w:t>
      </w:r>
      <w:r>
        <w:rPr/>
        <w:t>more</w:t>
      </w:r>
      <w:r>
        <w:rPr>
          <w:spacing w:val="-9"/>
        </w:rPr>
        <w:t> </w:t>
      </w:r>
      <w:r>
        <w:rPr/>
        <w:t>detail</w:t>
      </w:r>
      <w:r>
        <w:rPr>
          <w:spacing w:val="-11"/>
        </w:rPr>
        <w:t> </w:t>
      </w:r>
      <w:r>
        <w:rPr/>
        <w:t>to the highly interesting and optimistic topic of medicinal mushroom therapy in an understandable manner. Furthermore, diseases will be referred to where medicinal mushrooms have demonstrated an explicitly positive effect in stud- ies.</w:t>
      </w:r>
    </w:p>
    <w:p>
      <w:pPr>
        <w:pStyle w:val="Heading2"/>
        <w:spacing w:before="239"/>
        <w:ind w:left="616"/>
        <w:jc w:val="both"/>
      </w:pPr>
      <w:r>
        <w:rPr/>
        <w:t>Active agents and effects of medicinal and edible mushrooms:</w:t>
      </w:r>
    </w:p>
    <w:p>
      <w:pPr>
        <w:spacing w:after="0"/>
        <w:jc w:val="both"/>
        <w:sectPr>
          <w:footerReference w:type="default" r:id="rId432"/>
          <w:pgSz w:w="14270" w:h="16850"/>
          <w:pgMar w:footer="1891" w:header="0" w:top="1340" w:bottom="2080" w:left="800" w:right="1280"/>
          <w:pgNumType w:start="1660"/>
        </w:sectPr>
      </w:pPr>
    </w:p>
    <w:p>
      <w:pPr>
        <w:pStyle w:val="BodyText"/>
        <w:spacing w:line="276" w:lineRule="auto" w:before="74"/>
        <w:ind w:left="616"/>
      </w:pPr>
      <w:r>
        <w:rPr/>
        <w:t>In addition to vitamins, minerals and trace elements, medicinal mushrooms specifically contain the following active agents:</w:t>
      </w:r>
    </w:p>
    <w:p>
      <w:pPr>
        <w:pStyle w:val="Heading1"/>
        <w:spacing w:before="221"/>
        <w:ind w:left="616"/>
      </w:pPr>
      <w:r>
        <w:rPr/>
        <w:t>Medically active medicinal mushroom</w:t>
      </w:r>
      <w:r>
        <w:rPr>
          <w:spacing w:val="-62"/>
        </w:rPr>
        <w:t> </w:t>
      </w:r>
      <w:r>
        <w:rPr/>
        <w:t>substances</w:t>
      </w:r>
    </w:p>
    <w:p>
      <w:pPr>
        <w:pStyle w:val="ListParagraph"/>
        <w:numPr>
          <w:ilvl w:val="0"/>
          <w:numId w:val="128"/>
        </w:numPr>
        <w:tabs>
          <w:tab w:pos="1617" w:val="left" w:leader="none"/>
          <w:tab w:pos="1618" w:val="left" w:leader="none"/>
        </w:tabs>
        <w:spacing w:line="240" w:lineRule="auto" w:before="260" w:after="0"/>
        <w:ind w:left="1182" w:right="0" w:hanging="208"/>
        <w:jc w:val="left"/>
        <w:rPr>
          <w:sz w:val="38"/>
        </w:rPr>
      </w:pPr>
      <w:r>
        <w:rPr>
          <w:sz w:val="38"/>
        </w:rPr>
        <w:t>Polysaccharide (beta-glucan)</w:t>
      </w:r>
    </w:p>
    <w:p>
      <w:pPr>
        <w:pStyle w:val="ListParagraph"/>
        <w:numPr>
          <w:ilvl w:val="0"/>
          <w:numId w:val="128"/>
        </w:numPr>
        <w:tabs>
          <w:tab w:pos="1617" w:val="left" w:leader="none"/>
          <w:tab w:pos="1618" w:val="left" w:leader="none"/>
        </w:tabs>
        <w:spacing w:line="240" w:lineRule="auto" w:before="184" w:after="0"/>
        <w:ind w:left="1182" w:right="0" w:hanging="208"/>
        <w:jc w:val="left"/>
        <w:rPr>
          <w:sz w:val="38"/>
        </w:rPr>
      </w:pPr>
      <w:r>
        <w:rPr>
          <w:sz w:val="38"/>
        </w:rPr>
        <w:t>Glycoprotein</w:t>
      </w:r>
    </w:p>
    <w:p>
      <w:pPr>
        <w:pStyle w:val="ListParagraph"/>
        <w:numPr>
          <w:ilvl w:val="0"/>
          <w:numId w:val="128"/>
        </w:numPr>
        <w:tabs>
          <w:tab w:pos="1617" w:val="left" w:leader="none"/>
          <w:tab w:pos="1618" w:val="left" w:leader="none"/>
        </w:tabs>
        <w:spacing w:line="240" w:lineRule="auto" w:before="186" w:after="0"/>
        <w:ind w:left="1182" w:right="0" w:hanging="208"/>
        <w:jc w:val="left"/>
        <w:rPr>
          <w:sz w:val="38"/>
        </w:rPr>
      </w:pPr>
      <w:r>
        <w:rPr>
          <w:sz w:val="38"/>
        </w:rPr>
        <w:t>Ergosterol</w:t>
      </w:r>
    </w:p>
    <w:p>
      <w:pPr>
        <w:pStyle w:val="ListParagraph"/>
        <w:numPr>
          <w:ilvl w:val="0"/>
          <w:numId w:val="128"/>
        </w:numPr>
        <w:tabs>
          <w:tab w:pos="1617" w:val="left" w:leader="none"/>
          <w:tab w:pos="1618" w:val="left" w:leader="none"/>
        </w:tabs>
        <w:spacing w:line="240" w:lineRule="auto" w:before="184" w:after="0"/>
        <w:ind w:left="1182" w:right="0" w:hanging="208"/>
        <w:jc w:val="left"/>
        <w:rPr>
          <w:sz w:val="38"/>
        </w:rPr>
      </w:pPr>
      <w:r>
        <w:rPr>
          <w:sz w:val="38"/>
        </w:rPr>
        <w:t>Di- and triterpene</w:t>
      </w:r>
    </w:p>
    <w:p>
      <w:pPr>
        <w:pStyle w:val="ListParagraph"/>
        <w:numPr>
          <w:ilvl w:val="0"/>
          <w:numId w:val="128"/>
        </w:numPr>
        <w:tabs>
          <w:tab w:pos="1617" w:val="left" w:leader="none"/>
          <w:tab w:pos="1618" w:val="left" w:leader="none"/>
        </w:tabs>
        <w:spacing w:line="240" w:lineRule="auto" w:before="184" w:after="0"/>
        <w:ind w:left="1182" w:right="0" w:hanging="208"/>
        <w:jc w:val="left"/>
        <w:rPr>
          <w:sz w:val="38"/>
        </w:rPr>
      </w:pPr>
      <w:r>
        <w:rPr>
          <w:sz w:val="38"/>
        </w:rPr>
        <w:t>Eritadenin</w:t>
      </w:r>
    </w:p>
    <w:p>
      <w:pPr>
        <w:pStyle w:val="ListParagraph"/>
        <w:numPr>
          <w:ilvl w:val="0"/>
          <w:numId w:val="128"/>
        </w:numPr>
        <w:tabs>
          <w:tab w:pos="1617" w:val="left" w:leader="none"/>
          <w:tab w:pos="1618" w:val="left" w:leader="none"/>
        </w:tabs>
        <w:spacing w:line="240" w:lineRule="auto" w:before="183" w:after="0"/>
        <w:ind w:left="1182" w:right="0" w:hanging="208"/>
        <w:jc w:val="left"/>
        <w:rPr>
          <w:sz w:val="38"/>
        </w:rPr>
      </w:pPr>
      <w:r>
        <w:rPr>
          <w:sz w:val="38"/>
        </w:rPr>
        <w:t>Phenolic derivate</w:t>
      </w:r>
    </w:p>
    <w:p>
      <w:pPr>
        <w:pStyle w:val="ListParagraph"/>
        <w:numPr>
          <w:ilvl w:val="0"/>
          <w:numId w:val="128"/>
        </w:numPr>
        <w:tabs>
          <w:tab w:pos="1617" w:val="left" w:leader="none"/>
          <w:tab w:pos="1618" w:val="left" w:leader="none"/>
        </w:tabs>
        <w:spacing w:line="240" w:lineRule="auto" w:before="186" w:after="0"/>
        <w:ind w:left="1182" w:right="0" w:hanging="208"/>
        <w:jc w:val="left"/>
        <w:rPr>
          <w:sz w:val="38"/>
        </w:rPr>
      </w:pPr>
      <w:r>
        <w:rPr>
          <w:sz w:val="38"/>
        </w:rPr>
        <w:t>Fatty</w:t>
      </w:r>
      <w:r>
        <w:rPr>
          <w:spacing w:val="-1"/>
          <w:sz w:val="38"/>
        </w:rPr>
        <w:t> </w:t>
      </w:r>
      <w:r>
        <w:rPr>
          <w:sz w:val="38"/>
        </w:rPr>
        <w:t>acids</w:t>
      </w:r>
    </w:p>
    <w:p>
      <w:pPr>
        <w:pStyle w:val="ListParagraph"/>
        <w:numPr>
          <w:ilvl w:val="0"/>
          <w:numId w:val="128"/>
        </w:numPr>
        <w:tabs>
          <w:tab w:pos="1617" w:val="left" w:leader="none"/>
          <w:tab w:pos="1618" w:val="left" w:leader="none"/>
        </w:tabs>
        <w:spacing w:line="240" w:lineRule="auto" w:before="184" w:after="0"/>
        <w:ind w:left="1182" w:right="0" w:hanging="208"/>
        <w:jc w:val="left"/>
        <w:rPr>
          <w:sz w:val="38"/>
        </w:rPr>
      </w:pPr>
      <w:r>
        <w:rPr>
          <w:sz w:val="38"/>
        </w:rPr>
        <w:t>Adenosin</w:t>
      </w:r>
    </w:p>
    <w:p>
      <w:pPr>
        <w:pStyle w:val="ListParagraph"/>
        <w:numPr>
          <w:ilvl w:val="0"/>
          <w:numId w:val="128"/>
        </w:numPr>
        <w:tabs>
          <w:tab w:pos="1617" w:val="left" w:leader="none"/>
          <w:tab w:pos="1618" w:val="left" w:leader="none"/>
        </w:tabs>
        <w:spacing w:line="240" w:lineRule="auto" w:before="184" w:after="0"/>
        <w:ind w:left="1182" w:right="0" w:hanging="208"/>
        <w:jc w:val="left"/>
        <w:rPr>
          <w:sz w:val="38"/>
        </w:rPr>
      </w:pPr>
      <w:r>
        <w:rPr>
          <w:sz w:val="38"/>
        </w:rPr>
        <w:t>Lectins</w:t>
      </w:r>
    </w:p>
    <w:p>
      <w:pPr>
        <w:pStyle w:val="ListParagraph"/>
        <w:numPr>
          <w:ilvl w:val="0"/>
          <w:numId w:val="128"/>
        </w:numPr>
        <w:tabs>
          <w:tab w:pos="1617" w:val="left" w:leader="none"/>
          <w:tab w:pos="1618" w:val="left" w:leader="none"/>
        </w:tabs>
        <w:spacing w:line="240" w:lineRule="auto" w:before="184" w:after="0"/>
        <w:ind w:left="1182" w:right="0" w:hanging="208"/>
        <w:jc w:val="left"/>
        <w:rPr>
          <w:sz w:val="38"/>
        </w:rPr>
      </w:pPr>
      <w:r>
        <w:rPr>
          <w:sz w:val="38"/>
        </w:rPr>
        <w:t>Organic</w:t>
      </w:r>
      <w:r>
        <w:rPr>
          <w:spacing w:val="-2"/>
          <w:sz w:val="38"/>
        </w:rPr>
        <w:t> </w:t>
      </w:r>
      <w:r>
        <w:rPr>
          <w:sz w:val="38"/>
        </w:rPr>
        <w:t>germanium</w:t>
      </w:r>
    </w:p>
    <w:p>
      <w:pPr>
        <w:pStyle w:val="ListParagraph"/>
        <w:numPr>
          <w:ilvl w:val="0"/>
          <w:numId w:val="128"/>
        </w:numPr>
        <w:tabs>
          <w:tab w:pos="1617" w:val="left" w:leader="none"/>
          <w:tab w:pos="1618" w:val="left" w:leader="none"/>
        </w:tabs>
        <w:spacing w:line="240" w:lineRule="auto" w:before="183" w:after="0"/>
        <w:ind w:left="1182" w:right="0" w:hanging="208"/>
        <w:jc w:val="left"/>
        <w:rPr>
          <w:sz w:val="38"/>
        </w:rPr>
      </w:pPr>
      <w:r>
        <w:rPr>
          <w:sz w:val="38"/>
        </w:rPr>
        <w:t>Vanadium and other directly active antibiotic</w:t>
      </w:r>
      <w:r>
        <w:rPr>
          <w:spacing w:val="-4"/>
          <w:sz w:val="38"/>
        </w:rPr>
        <w:t> </w:t>
      </w:r>
      <w:r>
        <w:rPr>
          <w:sz w:val="38"/>
        </w:rPr>
        <w:t>substances.</w:t>
      </w:r>
    </w:p>
    <w:p>
      <w:pPr>
        <w:pStyle w:val="Heading1"/>
        <w:spacing w:line="261" w:lineRule="auto" w:before="288"/>
        <w:ind w:left="616" w:right="135"/>
      </w:pPr>
      <w:r>
        <w:rPr/>
        <w:t>The</w:t>
      </w:r>
      <w:r>
        <w:rPr>
          <w:spacing w:val="-66"/>
        </w:rPr>
        <w:t> </w:t>
      </w:r>
      <w:r>
        <w:rPr/>
        <w:t>general</w:t>
      </w:r>
      <w:r>
        <w:rPr>
          <w:spacing w:val="-65"/>
        </w:rPr>
        <w:t> </w:t>
      </w:r>
      <w:r>
        <w:rPr/>
        <w:t>medically</w:t>
      </w:r>
      <w:r>
        <w:rPr>
          <w:spacing w:val="-66"/>
        </w:rPr>
        <w:t> </w:t>
      </w:r>
      <w:r>
        <w:rPr/>
        <w:t>significant</w:t>
      </w:r>
      <w:r>
        <w:rPr>
          <w:spacing w:val="-66"/>
        </w:rPr>
        <w:t> </w:t>
      </w:r>
      <w:r>
        <w:rPr/>
        <w:t>effect</w:t>
      </w:r>
      <w:r>
        <w:rPr>
          <w:spacing w:val="-65"/>
        </w:rPr>
        <w:t> </w:t>
      </w:r>
      <w:r>
        <w:rPr/>
        <w:t>of</w:t>
      </w:r>
      <w:r>
        <w:rPr>
          <w:spacing w:val="-66"/>
        </w:rPr>
        <w:t> </w:t>
      </w:r>
      <w:r>
        <w:rPr/>
        <w:t>medicinal</w:t>
      </w:r>
      <w:r>
        <w:rPr>
          <w:spacing w:val="-65"/>
        </w:rPr>
        <w:t> </w:t>
      </w:r>
      <w:r>
        <w:rPr/>
        <w:t>mushrooms</w:t>
      </w:r>
      <w:r>
        <w:rPr>
          <w:spacing w:val="-66"/>
        </w:rPr>
        <w:t> </w:t>
      </w:r>
      <w:r>
        <w:rPr/>
        <w:t>is</w:t>
      </w:r>
      <w:r>
        <w:rPr>
          <w:spacing w:val="-65"/>
        </w:rPr>
        <w:t> </w:t>
      </w:r>
      <w:r>
        <w:rPr/>
        <w:t>de- scribed as</w:t>
      </w:r>
    </w:p>
    <w:p>
      <w:pPr>
        <w:pStyle w:val="ListParagraph"/>
        <w:numPr>
          <w:ilvl w:val="0"/>
          <w:numId w:val="128"/>
        </w:numPr>
        <w:tabs>
          <w:tab w:pos="1617" w:val="left" w:leader="none"/>
          <w:tab w:pos="1618" w:val="left" w:leader="none"/>
        </w:tabs>
        <w:spacing w:line="240" w:lineRule="auto" w:before="221" w:after="0"/>
        <w:ind w:left="1182" w:right="0" w:hanging="208"/>
        <w:jc w:val="left"/>
        <w:rPr>
          <w:sz w:val="38"/>
        </w:rPr>
      </w:pPr>
      <w:r>
        <w:rPr>
          <w:sz w:val="38"/>
        </w:rPr>
        <w:t>anti-inflammatory</w:t>
      </w:r>
    </w:p>
    <w:p>
      <w:pPr>
        <w:pStyle w:val="ListParagraph"/>
        <w:numPr>
          <w:ilvl w:val="0"/>
          <w:numId w:val="128"/>
        </w:numPr>
        <w:tabs>
          <w:tab w:pos="1617" w:val="left" w:leader="none"/>
          <w:tab w:pos="1618" w:val="left" w:leader="none"/>
        </w:tabs>
        <w:spacing w:line="240" w:lineRule="auto" w:before="184" w:after="0"/>
        <w:ind w:left="1182" w:right="0" w:hanging="208"/>
        <w:jc w:val="left"/>
        <w:rPr>
          <w:sz w:val="38"/>
        </w:rPr>
      </w:pPr>
      <w:r>
        <w:rPr>
          <w:sz w:val="38"/>
        </w:rPr>
        <w:t>an</w:t>
      </w:r>
      <w:r>
        <w:rPr>
          <w:spacing w:val="-3"/>
          <w:sz w:val="38"/>
        </w:rPr>
        <w:t> </w:t>
      </w:r>
      <w:r>
        <w:rPr>
          <w:sz w:val="38"/>
        </w:rPr>
        <w:t>antioxidant</w:t>
      </w:r>
    </w:p>
    <w:p>
      <w:pPr>
        <w:pStyle w:val="ListParagraph"/>
        <w:numPr>
          <w:ilvl w:val="0"/>
          <w:numId w:val="128"/>
        </w:numPr>
        <w:tabs>
          <w:tab w:pos="1617" w:val="left" w:leader="none"/>
          <w:tab w:pos="1618" w:val="left" w:leader="none"/>
        </w:tabs>
        <w:spacing w:line="240" w:lineRule="auto" w:before="183" w:after="0"/>
        <w:ind w:left="1182" w:right="0" w:hanging="208"/>
        <w:jc w:val="left"/>
        <w:rPr>
          <w:sz w:val="38"/>
        </w:rPr>
      </w:pPr>
      <w:r>
        <w:rPr>
          <w:sz w:val="38"/>
        </w:rPr>
        <w:t>anti-hypertensive</w:t>
      </w:r>
    </w:p>
    <w:p>
      <w:pPr>
        <w:spacing w:after="0" w:line="240" w:lineRule="auto"/>
        <w:jc w:val="left"/>
        <w:rPr>
          <w:sz w:val="38"/>
        </w:rPr>
        <w:sectPr>
          <w:pgSz w:w="14270" w:h="16850"/>
          <w:pgMar w:header="0" w:footer="1891" w:top="1340" w:bottom="2080" w:left="800" w:right="1280"/>
        </w:sectPr>
      </w:pPr>
    </w:p>
    <w:p>
      <w:pPr>
        <w:pStyle w:val="ListParagraph"/>
        <w:numPr>
          <w:ilvl w:val="0"/>
          <w:numId w:val="128"/>
        </w:numPr>
        <w:tabs>
          <w:tab w:pos="1617" w:val="left" w:leader="none"/>
          <w:tab w:pos="1618" w:val="left" w:leader="none"/>
        </w:tabs>
        <w:spacing w:line="240" w:lineRule="auto" w:before="53" w:after="0"/>
        <w:ind w:left="1182" w:right="0" w:hanging="208"/>
        <w:jc w:val="left"/>
        <w:rPr>
          <w:sz w:val="38"/>
        </w:rPr>
      </w:pPr>
      <w:r>
        <w:rPr>
          <w:sz w:val="38"/>
        </w:rPr>
        <w:t>vasodilatory</w:t>
      </w:r>
    </w:p>
    <w:p>
      <w:pPr>
        <w:pStyle w:val="ListParagraph"/>
        <w:numPr>
          <w:ilvl w:val="0"/>
          <w:numId w:val="128"/>
        </w:numPr>
        <w:tabs>
          <w:tab w:pos="1617" w:val="left" w:leader="none"/>
          <w:tab w:pos="1618" w:val="left" w:leader="none"/>
        </w:tabs>
        <w:spacing w:line="240" w:lineRule="auto" w:before="186" w:after="0"/>
        <w:ind w:left="1182" w:right="0" w:hanging="208"/>
        <w:jc w:val="left"/>
        <w:rPr>
          <w:sz w:val="38"/>
        </w:rPr>
      </w:pPr>
      <w:r>
        <w:rPr>
          <w:sz w:val="38"/>
        </w:rPr>
        <w:t>diuretic</w:t>
      </w:r>
    </w:p>
    <w:p>
      <w:pPr>
        <w:pStyle w:val="ListParagraph"/>
        <w:numPr>
          <w:ilvl w:val="0"/>
          <w:numId w:val="128"/>
        </w:numPr>
        <w:tabs>
          <w:tab w:pos="1617" w:val="left" w:leader="none"/>
          <w:tab w:pos="1618" w:val="left" w:leader="none"/>
        </w:tabs>
        <w:spacing w:line="240" w:lineRule="auto" w:before="184" w:after="0"/>
        <w:ind w:left="1182" w:right="0" w:hanging="208"/>
        <w:jc w:val="left"/>
        <w:rPr>
          <w:sz w:val="38"/>
        </w:rPr>
      </w:pPr>
      <w:r>
        <w:rPr>
          <w:sz w:val="38"/>
        </w:rPr>
        <w:t>platelet aggregation</w:t>
      </w:r>
      <w:r>
        <w:rPr>
          <w:spacing w:val="-1"/>
          <w:sz w:val="38"/>
        </w:rPr>
        <w:t> </w:t>
      </w:r>
      <w:r>
        <w:rPr>
          <w:sz w:val="38"/>
        </w:rPr>
        <w:t>inhibiting</w:t>
      </w:r>
    </w:p>
    <w:p>
      <w:pPr>
        <w:pStyle w:val="ListParagraph"/>
        <w:numPr>
          <w:ilvl w:val="0"/>
          <w:numId w:val="128"/>
        </w:numPr>
        <w:tabs>
          <w:tab w:pos="1617" w:val="left" w:leader="none"/>
          <w:tab w:pos="1618" w:val="left" w:leader="none"/>
        </w:tabs>
        <w:spacing w:line="240" w:lineRule="auto" w:before="184" w:after="0"/>
        <w:ind w:left="1182" w:right="0" w:hanging="208"/>
        <w:jc w:val="left"/>
        <w:rPr>
          <w:sz w:val="38"/>
        </w:rPr>
      </w:pPr>
      <w:r>
        <w:rPr>
          <w:sz w:val="38"/>
        </w:rPr>
        <w:t>thrombin inhibiting</w:t>
      </w:r>
    </w:p>
    <w:p>
      <w:pPr>
        <w:pStyle w:val="ListParagraph"/>
        <w:numPr>
          <w:ilvl w:val="0"/>
          <w:numId w:val="128"/>
        </w:numPr>
        <w:tabs>
          <w:tab w:pos="1617" w:val="left" w:leader="none"/>
          <w:tab w:pos="1618" w:val="left" w:leader="none"/>
        </w:tabs>
        <w:spacing w:line="240" w:lineRule="auto" w:before="183" w:after="0"/>
        <w:ind w:left="1182" w:right="0" w:hanging="208"/>
        <w:jc w:val="left"/>
        <w:rPr>
          <w:sz w:val="38"/>
        </w:rPr>
      </w:pPr>
      <w:r>
        <w:rPr>
          <w:sz w:val="38"/>
        </w:rPr>
        <w:t>anti-diabetic</w:t>
      </w:r>
    </w:p>
    <w:p>
      <w:pPr>
        <w:pStyle w:val="ListParagraph"/>
        <w:numPr>
          <w:ilvl w:val="0"/>
          <w:numId w:val="128"/>
        </w:numPr>
        <w:tabs>
          <w:tab w:pos="1617" w:val="left" w:leader="none"/>
          <w:tab w:pos="1618" w:val="left" w:leader="none"/>
        </w:tabs>
        <w:spacing w:line="240" w:lineRule="auto" w:before="184" w:after="0"/>
        <w:ind w:left="1182" w:right="0" w:hanging="208"/>
        <w:jc w:val="left"/>
        <w:rPr>
          <w:sz w:val="38"/>
        </w:rPr>
      </w:pPr>
      <w:r>
        <w:rPr>
          <w:sz w:val="38"/>
        </w:rPr>
        <w:t>lipid-lowering</w:t>
      </w:r>
    </w:p>
    <w:p>
      <w:pPr>
        <w:pStyle w:val="ListParagraph"/>
        <w:numPr>
          <w:ilvl w:val="0"/>
          <w:numId w:val="128"/>
        </w:numPr>
        <w:tabs>
          <w:tab w:pos="1617" w:val="left" w:leader="none"/>
          <w:tab w:pos="1618" w:val="left" w:leader="none"/>
        </w:tabs>
        <w:spacing w:line="240" w:lineRule="auto" w:before="186" w:after="0"/>
        <w:ind w:left="1182" w:right="0" w:hanging="208"/>
        <w:jc w:val="left"/>
        <w:rPr>
          <w:sz w:val="38"/>
        </w:rPr>
      </w:pPr>
      <w:r>
        <w:rPr>
          <w:sz w:val="38"/>
        </w:rPr>
        <w:t>arteriosclerosis inhibiting</w:t>
      </w:r>
    </w:p>
    <w:p>
      <w:pPr>
        <w:pStyle w:val="ListParagraph"/>
        <w:numPr>
          <w:ilvl w:val="0"/>
          <w:numId w:val="128"/>
        </w:numPr>
        <w:tabs>
          <w:tab w:pos="1617" w:val="left" w:leader="none"/>
          <w:tab w:pos="1618" w:val="left" w:leader="none"/>
        </w:tabs>
        <w:spacing w:line="240" w:lineRule="auto" w:before="184" w:after="0"/>
        <w:ind w:left="1182" w:right="0" w:hanging="208"/>
        <w:jc w:val="left"/>
        <w:rPr>
          <w:sz w:val="38"/>
        </w:rPr>
      </w:pPr>
      <w:r>
        <w:rPr>
          <w:sz w:val="38"/>
        </w:rPr>
        <w:t>liver</w:t>
      </w:r>
      <w:r>
        <w:rPr>
          <w:spacing w:val="-1"/>
          <w:sz w:val="38"/>
        </w:rPr>
        <w:t> </w:t>
      </w:r>
      <w:r>
        <w:rPr>
          <w:sz w:val="38"/>
        </w:rPr>
        <w:t>protective</w:t>
      </w:r>
    </w:p>
    <w:p>
      <w:pPr>
        <w:pStyle w:val="ListParagraph"/>
        <w:numPr>
          <w:ilvl w:val="0"/>
          <w:numId w:val="128"/>
        </w:numPr>
        <w:tabs>
          <w:tab w:pos="1617" w:val="left" w:leader="none"/>
          <w:tab w:pos="1618" w:val="left" w:leader="none"/>
        </w:tabs>
        <w:spacing w:line="240" w:lineRule="auto" w:before="184" w:after="0"/>
        <w:ind w:left="1182" w:right="0" w:hanging="208"/>
        <w:jc w:val="left"/>
        <w:rPr>
          <w:sz w:val="38"/>
        </w:rPr>
      </w:pPr>
      <w:r>
        <w:rPr>
          <w:sz w:val="38"/>
        </w:rPr>
        <w:t>immunomodulatory</w:t>
      </w:r>
    </w:p>
    <w:p>
      <w:pPr>
        <w:pStyle w:val="ListParagraph"/>
        <w:numPr>
          <w:ilvl w:val="0"/>
          <w:numId w:val="128"/>
        </w:numPr>
        <w:tabs>
          <w:tab w:pos="1617" w:val="left" w:leader="none"/>
          <w:tab w:pos="1618" w:val="left" w:leader="none"/>
        </w:tabs>
        <w:spacing w:line="240" w:lineRule="auto" w:before="183" w:after="0"/>
        <w:ind w:left="1182" w:right="0" w:hanging="208"/>
        <w:jc w:val="left"/>
        <w:rPr>
          <w:sz w:val="38"/>
        </w:rPr>
      </w:pPr>
      <w:r>
        <w:rPr>
          <w:sz w:val="38"/>
        </w:rPr>
        <w:t>antiviral</w:t>
      </w:r>
    </w:p>
    <w:p>
      <w:pPr>
        <w:pStyle w:val="ListParagraph"/>
        <w:numPr>
          <w:ilvl w:val="0"/>
          <w:numId w:val="128"/>
        </w:numPr>
        <w:tabs>
          <w:tab w:pos="1617" w:val="left" w:leader="none"/>
          <w:tab w:pos="1618" w:val="left" w:leader="none"/>
        </w:tabs>
        <w:spacing w:line="240" w:lineRule="auto" w:before="186" w:after="0"/>
        <w:ind w:left="1182" w:right="0" w:hanging="208"/>
        <w:jc w:val="left"/>
        <w:rPr>
          <w:sz w:val="38"/>
        </w:rPr>
      </w:pPr>
      <w:r>
        <w:rPr>
          <w:sz w:val="38"/>
        </w:rPr>
        <w:t>antibacterial</w:t>
      </w:r>
    </w:p>
    <w:p>
      <w:pPr>
        <w:pStyle w:val="ListParagraph"/>
        <w:numPr>
          <w:ilvl w:val="0"/>
          <w:numId w:val="128"/>
        </w:numPr>
        <w:tabs>
          <w:tab w:pos="1617" w:val="left" w:leader="none"/>
          <w:tab w:pos="1618" w:val="left" w:leader="none"/>
        </w:tabs>
        <w:spacing w:line="240" w:lineRule="auto" w:before="184" w:after="0"/>
        <w:ind w:left="1182" w:right="0" w:hanging="208"/>
        <w:jc w:val="left"/>
        <w:rPr>
          <w:sz w:val="38"/>
        </w:rPr>
      </w:pPr>
      <w:r>
        <w:rPr>
          <w:sz w:val="38"/>
        </w:rPr>
        <w:t>antifungal</w:t>
      </w:r>
    </w:p>
    <w:p>
      <w:pPr>
        <w:pStyle w:val="ListParagraph"/>
        <w:numPr>
          <w:ilvl w:val="0"/>
          <w:numId w:val="128"/>
        </w:numPr>
        <w:tabs>
          <w:tab w:pos="1617" w:val="left" w:leader="none"/>
          <w:tab w:pos="1618" w:val="left" w:leader="none"/>
        </w:tabs>
        <w:spacing w:line="240" w:lineRule="auto" w:before="184" w:after="0"/>
        <w:ind w:left="1182" w:right="0" w:hanging="208"/>
        <w:jc w:val="left"/>
        <w:rPr>
          <w:sz w:val="38"/>
        </w:rPr>
      </w:pPr>
      <w:r>
        <w:rPr>
          <w:sz w:val="38"/>
        </w:rPr>
        <w:t>re-differentiating</w:t>
      </w:r>
    </w:p>
    <w:p>
      <w:pPr>
        <w:pStyle w:val="ListParagraph"/>
        <w:numPr>
          <w:ilvl w:val="0"/>
          <w:numId w:val="128"/>
        </w:numPr>
        <w:tabs>
          <w:tab w:pos="1617" w:val="left" w:leader="none"/>
          <w:tab w:pos="1618" w:val="left" w:leader="none"/>
        </w:tabs>
        <w:spacing w:line="240" w:lineRule="auto" w:before="184" w:after="0"/>
        <w:ind w:left="1182" w:right="0" w:hanging="208"/>
        <w:jc w:val="left"/>
        <w:rPr>
          <w:sz w:val="38"/>
        </w:rPr>
      </w:pPr>
      <w:r>
        <w:rPr>
          <w:sz w:val="38"/>
        </w:rPr>
        <w:t>antitumoural</w:t>
      </w:r>
    </w:p>
    <w:p>
      <w:pPr>
        <w:pStyle w:val="ListParagraph"/>
        <w:numPr>
          <w:ilvl w:val="0"/>
          <w:numId w:val="128"/>
        </w:numPr>
        <w:tabs>
          <w:tab w:pos="1617" w:val="left" w:leader="none"/>
          <w:tab w:pos="1618" w:val="left" w:leader="none"/>
        </w:tabs>
        <w:spacing w:line="240" w:lineRule="auto" w:before="183" w:after="0"/>
        <w:ind w:left="1182" w:right="0" w:hanging="208"/>
        <w:jc w:val="left"/>
        <w:rPr>
          <w:sz w:val="38"/>
        </w:rPr>
      </w:pPr>
      <w:r>
        <w:rPr>
          <w:sz w:val="38"/>
        </w:rPr>
        <w:t>antiangiogenic</w:t>
      </w:r>
    </w:p>
    <w:p>
      <w:pPr>
        <w:pStyle w:val="ListParagraph"/>
        <w:numPr>
          <w:ilvl w:val="0"/>
          <w:numId w:val="128"/>
        </w:numPr>
        <w:tabs>
          <w:tab w:pos="1617" w:val="left" w:leader="none"/>
          <w:tab w:pos="1618" w:val="left" w:leader="none"/>
        </w:tabs>
        <w:spacing w:line="240" w:lineRule="auto" w:before="186" w:after="0"/>
        <w:ind w:left="1182" w:right="0" w:hanging="208"/>
        <w:jc w:val="left"/>
        <w:rPr>
          <w:sz w:val="38"/>
        </w:rPr>
      </w:pPr>
      <w:r>
        <w:rPr>
          <w:sz w:val="38"/>
        </w:rPr>
        <w:t>anti-metastatic</w:t>
      </w:r>
    </w:p>
    <w:p>
      <w:pPr>
        <w:pStyle w:val="ListParagraph"/>
        <w:numPr>
          <w:ilvl w:val="0"/>
          <w:numId w:val="128"/>
        </w:numPr>
        <w:tabs>
          <w:tab w:pos="1617" w:val="left" w:leader="none"/>
          <w:tab w:pos="1618" w:val="left" w:leader="none"/>
        </w:tabs>
        <w:spacing w:line="240" w:lineRule="auto" w:before="184" w:after="0"/>
        <w:ind w:left="1182" w:right="0" w:hanging="208"/>
        <w:jc w:val="left"/>
        <w:rPr>
          <w:sz w:val="38"/>
        </w:rPr>
      </w:pPr>
      <w:r>
        <w:rPr>
          <w:sz w:val="38"/>
        </w:rPr>
        <w:t>anticholinergic</w:t>
      </w:r>
    </w:p>
    <w:p>
      <w:pPr>
        <w:spacing w:after="0" w:line="240" w:lineRule="auto"/>
        <w:jc w:val="left"/>
        <w:rPr>
          <w:sz w:val="38"/>
        </w:rPr>
        <w:sectPr>
          <w:pgSz w:w="14270" w:h="16850"/>
          <w:pgMar w:header="0" w:footer="1891" w:top="1360" w:bottom="2080" w:left="800" w:right="1280"/>
        </w:sectPr>
      </w:pPr>
    </w:p>
    <w:p>
      <w:pPr>
        <w:pStyle w:val="ListParagraph"/>
        <w:numPr>
          <w:ilvl w:val="0"/>
          <w:numId w:val="128"/>
        </w:numPr>
        <w:tabs>
          <w:tab w:pos="1617" w:val="left" w:leader="none"/>
          <w:tab w:pos="1618" w:val="left" w:leader="none"/>
        </w:tabs>
        <w:spacing w:line="240" w:lineRule="auto" w:before="53" w:after="0"/>
        <w:ind w:left="1182" w:right="0" w:hanging="208"/>
        <w:jc w:val="left"/>
        <w:rPr>
          <w:sz w:val="25"/>
        </w:rPr>
      </w:pPr>
      <w:r>
        <w:rPr>
          <w:sz w:val="38"/>
        </w:rPr>
        <w:t>and adaptogenic.</w:t>
      </w:r>
      <w:r>
        <w:rPr>
          <w:position w:val="9"/>
          <w:sz w:val="25"/>
        </w:rPr>
        <w:t>907</w:t>
      </w:r>
    </w:p>
    <w:p>
      <w:pPr>
        <w:pStyle w:val="BodyText"/>
        <w:rPr>
          <w:sz w:val="44"/>
        </w:rPr>
      </w:pPr>
    </w:p>
    <w:p>
      <w:pPr>
        <w:pStyle w:val="BodyText"/>
        <w:rPr>
          <w:sz w:val="44"/>
        </w:rPr>
      </w:pPr>
    </w:p>
    <w:p>
      <w:pPr>
        <w:pStyle w:val="BodyText"/>
        <w:spacing w:before="3"/>
        <w:rPr>
          <w:sz w:val="44"/>
        </w:rPr>
      </w:pPr>
    </w:p>
    <w:p>
      <w:pPr>
        <w:pStyle w:val="Heading2"/>
        <w:ind w:left="616"/>
      </w:pPr>
      <w:r>
        <w:rPr/>
        <w:t>The use and consumption of edible and medicinal mushrooms</w:t>
      </w:r>
    </w:p>
    <w:p>
      <w:pPr>
        <w:pStyle w:val="BodyText"/>
        <w:spacing w:line="276" w:lineRule="auto" w:before="305"/>
        <w:ind w:left="616" w:right="134"/>
        <w:jc w:val="both"/>
      </w:pPr>
      <w:r>
        <w:rPr/>
        <w:t>As you will find out in the following points regarding individual edible and medicinal mushrooms, all of the six medicinal mushrooms has its own focus where</w:t>
      </w:r>
      <w:r>
        <w:rPr>
          <w:spacing w:val="-12"/>
        </w:rPr>
        <w:t> </w:t>
      </w:r>
      <w:r>
        <w:rPr/>
        <w:t>the</w:t>
      </w:r>
      <w:r>
        <w:rPr>
          <w:spacing w:val="-11"/>
        </w:rPr>
        <w:t> </w:t>
      </w:r>
      <w:r>
        <w:rPr/>
        <w:t>prevention</w:t>
      </w:r>
      <w:r>
        <w:rPr>
          <w:spacing w:val="-12"/>
        </w:rPr>
        <w:t> </w:t>
      </w:r>
      <w:r>
        <w:rPr/>
        <w:t>or</w:t>
      </w:r>
      <w:r>
        <w:rPr>
          <w:spacing w:val="-11"/>
        </w:rPr>
        <w:t> </w:t>
      </w:r>
      <w:r>
        <w:rPr/>
        <w:t>treatment</w:t>
      </w:r>
      <w:r>
        <w:rPr>
          <w:spacing w:val="-12"/>
        </w:rPr>
        <w:t> </w:t>
      </w:r>
      <w:r>
        <w:rPr/>
        <w:t>of</w:t>
      </w:r>
      <w:r>
        <w:rPr>
          <w:spacing w:val="-11"/>
        </w:rPr>
        <w:t> </w:t>
      </w:r>
      <w:r>
        <w:rPr/>
        <w:t>diseases</w:t>
      </w:r>
      <w:r>
        <w:rPr>
          <w:spacing w:val="-11"/>
        </w:rPr>
        <w:t> </w:t>
      </w:r>
      <w:r>
        <w:rPr/>
        <w:t>and</w:t>
      </w:r>
      <w:r>
        <w:rPr>
          <w:spacing w:val="-13"/>
        </w:rPr>
        <w:t> </w:t>
      </w:r>
      <w:r>
        <w:rPr/>
        <w:t>medical</w:t>
      </w:r>
      <w:r>
        <w:rPr>
          <w:spacing w:val="-12"/>
        </w:rPr>
        <w:t> </w:t>
      </w:r>
      <w:r>
        <w:rPr/>
        <w:t>conditions</w:t>
      </w:r>
      <w:r>
        <w:rPr>
          <w:spacing w:val="-12"/>
        </w:rPr>
        <w:t> </w:t>
      </w:r>
      <w:r>
        <w:rPr/>
        <w:t>are</w:t>
      </w:r>
      <w:r>
        <w:rPr>
          <w:spacing w:val="-11"/>
        </w:rPr>
        <w:t> </w:t>
      </w:r>
      <w:r>
        <w:rPr/>
        <w:t>con- cerned. Therefore, it is recommended in the event of disease that you select the mushroom which has proven itself where the respective disease is con- cerned</w:t>
      </w:r>
      <w:r>
        <w:rPr>
          <w:spacing w:val="-8"/>
        </w:rPr>
        <w:t> </w:t>
      </w:r>
      <w:r>
        <w:rPr/>
        <w:t>(you</w:t>
      </w:r>
      <w:r>
        <w:rPr>
          <w:spacing w:val="-7"/>
        </w:rPr>
        <w:t> </w:t>
      </w:r>
      <w:r>
        <w:rPr/>
        <w:t>can</w:t>
      </w:r>
      <w:r>
        <w:rPr>
          <w:spacing w:val="-6"/>
        </w:rPr>
        <w:t> </w:t>
      </w:r>
      <w:r>
        <w:rPr/>
        <w:t>find</w:t>
      </w:r>
      <w:r>
        <w:rPr>
          <w:spacing w:val="-7"/>
        </w:rPr>
        <w:t> </w:t>
      </w:r>
      <w:r>
        <w:rPr/>
        <w:t>the</w:t>
      </w:r>
      <w:r>
        <w:rPr>
          <w:spacing w:val="-6"/>
        </w:rPr>
        <w:t> </w:t>
      </w:r>
      <w:r>
        <w:rPr/>
        <w:t>relevant</w:t>
      </w:r>
      <w:r>
        <w:rPr>
          <w:spacing w:val="-8"/>
        </w:rPr>
        <w:t> </w:t>
      </w:r>
      <w:r>
        <w:rPr/>
        <w:t>studies</w:t>
      </w:r>
      <w:r>
        <w:rPr>
          <w:spacing w:val="-7"/>
        </w:rPr>
        <w:t> </w:t>
      </w:r>
      <w:r>
        <w:rPr/>
        <w:t>on</w:t>
      </w:r>
      <w:r>
        <w:rPr>
          <w:spacing w:val="-6"/>
        </w:rPr>
        <w:t> </w:t>
      </w:r>
      <w:r>
        <w:rPr/>
        <w:t>the</w:t>
      </w:r>
      <w:r>
        <w:rPr>
          <w:spacing w:val="-6"/>
        </w:rPr>
        <w:t> </w:t>
      </w:r>
      <w:r>
        <w:rPr/>
        <w:t>following</w:t>
      </w:r>
      <w:r>
        <w:rPr>
          <w:spacing w:val="-6"/>
        </w:rPr>
        <w:t> </w:t>
      </w:r>
      <w:r>
        <w:rPr/>
        <w:t>pages).</w:t>
      </w:r>
      <w:r>
        <w:rPr>
          <w:spacing w:val="-7"/>
        </w:rPr>
        <w:t> </w:t>
      </w:r>
      <w:r>
        <w:rPr/>
        <w:t>For</w:t>
      </w:r>
      <w:r>
        <w:rPr>
          <w:spacing w:val="-5"/>
        </w:rPr>
        <w:t> </w:t>
      </w:r>
      <w:r>
        <w:rPr/>
        <w:t>prophy- laxis and disease prevention, a combination of the six mushrooms is ideal,</w:t>
      </w:r>
      <w:r>
        <w:rPr>
          <w:spacing w:val="-61"/>
        </w:rPr>
        <w:t> </w:t>
      </w:r>
      <w:r>
        <w:rPr/>
        <w:t>un- less they prevent a disease you have already overcome and which you wish to prevent</w:t>
      </w:r>
      <w:r>
        <w:rPr>
          <w:spacing w:val="-19"/>
        </w:rPr>
        <w:t> </w:t>
      </w:r>
      <w:r>
        <w:rPr/>
        <w:t>from</w:t>
      </w:r>
      <w:r>
        <w:rPr>
          <w:spacing w:val="-19"/>
        </w:rPr>
        <w:t> </w:t>
      </w:r>
      <w:r>
        <w:rPr/>
        <w:t>recurring</w:t>
      </w:r>
      <w:r>
        <w:rPr>
          <w:spacing w:val="-19"/>
        </w:rPr>
        <w:t> </w:t>
      </w:r>
      <w:r>
        <w:rPr/>
        <w:t>with</w:t>
      </w:r>
      <w:r>
        <w:rPr>
          <w:spacing w:val="-17"/>
        </w:rPr>
        <w:t> </w:t>
      </w:r>
      <w:r>
        <w:rPr/>
        <w:t>medicinal</w:t>
      </w:r>
      <w:r>
        <w:rPr>
          <w:spacing w:val="-19"/>
        </w:rPr>
        <w:t> </w:t>
      </w:r>
      <w:r>
        <w:rPr/>
        <w:t>mushrooms.</w:t>
      </w:r>
      <w:r>
        <w:rPr>
          <w:spacing w:val="-18"/>
        </w:rPr>
        <w:t> </w:t>
      </w:r>
      <w:r>
        <w:rPr/>
        <w:t>In</w:t>
      </w:r>
      <w:r>
        <w:rPr>
          <w:spacing w:val="-18"/>
        </w:rPr>
        <w:t> </w:t>
      </w:r>
      <w:r>
        <w:rPr/>
        <w:t>this</w:t>
      </w:r>
      <w:r>
        <w:rPr>
          <w:spacing w:val="-20"/>
        </w:rPr>
        <w:t> </w:t>
      </w:r>
      <w:r>
        <w:rPr/>
        <w:t>case</w:t>
      </w:r>
      <w:r>
        <w:rPr>
          <w:spacing w:val="-18"/>
        </w:rPr>
        <w:t> </w:t>
      </w:r>
      <w:r>
        <w:rPr/>
        <w:t>you</w:t>
      </w:r>
      <w:r>
        <w:rPr>
          <w:spacing w:val="-19"/>
        </w:rPr>
        <w:t> </w:t>
      </w:r>
      <w:r>
        <w:rPr/>
        <w:t>should</w:t>
      </w:r>
      <w:r>
        <w:rPr>
          <w:spacing w:val="-19"/>
        </w:rPr>
        <w:t> </w:t>
      </w:r>
      <w:r>
        <w:rPr/>
        <w:t>use the medicinal mushroom proven in studies to have an effect on the</w:t>
      </w:r>
      <w:r>
        <w:rPr>
          <w:spacing w:val="-51"/>
        </w:rPr>
        <w:t> </w:t>
      </w:r>
      <w:r>
        <w:rPr/>
        <w:t>respective disease.</w:t>
      </w:r>
    </w:p>
    <w:p>
      <w:pPr>
        <w:pStyle w:val="Heading1"/>
        <w:spacing w:before="223"/>
        <w:ind w:left="616"/>
      </w:pPr>
      <w:r>
        <w:rPr/>
        <w:t>Mushroom powder or mushroom extract?</w:t>
      </w:r>
    </w:p>
    <w:p>
      <w:pPr>
        <w:pStyle w:val="BodyText"/>
        <w:spacing w:line="276" w:lineRule="auto" w:before="299"/>
        <w:ind w:left="616"/>
      </w:pPr>
      <w:r>
        <w:rPr/>
        <w:t>As mushrooms are not only available in their whole form but also as powders and extracts, it seems pertinent to clarify this question next.</w:t>
      </w:r>
    </w:p>
    <w:p>
      <w:pPr>
        <w:pStyle w:val="BodyText"/>
        <w:rPr>
          <w:sz w:val="20"/>
        </w:rPr>
      </w:pPr>
    </w:p>
    <w:p>
      <w:pPr>
        <w:pStyle w:val="BodyText"/>
        <w:spacing w:before="5"/>
        <w:rPr>
          <w:sz w:val="28"/>
        </w:rPr>
      </w:pPr>
      <w:r>
        <w:rPr/>
        <w:pict>
          <v:line style="position:absolute;mso-position-horizontal-relative:page;mso-position-vertical-relative:paragraph;z-index:12752;mso-wrap-distance-left:0;mso-wrap-distance-right:0" from="70.823997pt,18.369995pt" to="214.843997pt,18.369995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907 </w:t>
      </w:r>
      <w:hyperlink r:id="rId433">
        <w:r>
          <w:rPr>
            <w:sz w:val="20"/>
          </w:rPr>
          <w:t>www.vitalpilze.de/lang/de/downloads/informationsschreiben_fuer_aerzte.pdf</w:t>
        </w:r>
      </w:hyperlink>
    </w:p>
    <w:p>
      <w:pPr>
        <w:spacing w:after="0"/>
        <w:jc w:val="left"/>
        <w:rPr>
          <w:sz w:val="20"/>
        </w:rPr>
        <w:sectPr>
          <w:pgSz w:w="14270" w:h="16850"/>
          <w:pgMar w:header="0" w:footer="1891" w:top="1360" w:bottom="2080" w:left="800" w:right="1280"/>
        </w:sectPr>
      </w:pPr>
    </w:p>
    <w:p>
      <w:pPr>
        <w:pStyle w:val="Heading1"/>
        <w:spacing w:before="77"/>
        <w:ind w:left="616"/>
      </w:pPr>
      <w:r>
        <w:rPr/>
        <w:t>Mushroom powder:</w:t>
      </w:r>
    </w:p>
    <w:p>
      <w:pPr>
        <w:pStyle w:val="BodyText"/>
        <w:spacing w:line="276" w:lineRule="auto" w:before="299"/>
        <w:ind w:left="616" w:right="138"/>
        <w:jc w:val="both"/>
      </w:pPr>
      <w:r>
        <w:rPr/>
        <w:t>Whether loose or in a capsule, mushroom powder contains the entire dried mushroom</w:t>
      </w:r>
      <w:r>
        <w:rPr>
          <w:spacing w:val="-13"/>
        </w:rPr>
        <w:t> </w:t>
      </w:r>
      <w:r>
        <w:rPr/>
        <w:t>in</w:t>
      </w:r>
      <w:r>
        <w:rPr>
          <w:spacing w:val="-14"/>
        </w:rPr>
        <w:t> </w:t>
      </w:r>
      <w:r>
        <w:rPr/>
        <w:t>powder</w:t>
      </w:r>
      <w:r>
        <w:rPr>
          <w:spacing w:val="-13"/>
        </w:rPr>
        <w:t> </w:t>
      </w:r>
      <w:r>
        <w:rPr/>
        <w:t>form.</w:t>
      </w:r>
      <w:r>
        <w:rPr>
          <w:spacing w:val="-13"/>
        </w:rPr>
        <w:t> </w:t>
      </w:r>
      <w:r>
        <w:rPr/>
        <w:t>All</w:t>
      </w:r>
      <w:r>
        <w:rPr>
          <w:spacing w:val="-16"/>
        </w:rPr>
        <w:t> </w:t>
      </w:r>
      <w:r>
        <w:rPr/>
        <w:t>the</w:t>
      </w:r>
      <w:r>
        <w:rPr>
          <w:spacing w:val="-13"/>
        </w:rPr>
        <w:t> </w:t>
      </w:r>
      <w:r>
        <w:rPr/>
        <w:t>components</w:t>
      </w:r>
      <w:r>
        <w:rPr>
          <w:spacing w:val="-19"/>
        </w:rPr>
        <w:t> </w:t>
      </w:r>
      <w:r>
        <w:rPr/>
        <w:t>and</w:t>
      </w:r>
      <w:r>
        <w:rPr>
          <w:spacing w:val="-13"/>
        </w:rPr>
        <w:t> </w:t>
      </w:r>
      <w:r>
        <w:rPr/>
        <w:t>active</w:t>
      </w:r>
      <w:r>
        <w:rPr>
          <w:spacing w:val="-16"/>
        </w:rPr>
        <w:t> </w:t>
      </w:r>
      <w:r>
        <w:rPr/>
        <w:t>agents</w:t>
      </w:r>
      <w:r>
        <w:rPr>
          <w:spacing w:val="-13"/>
        </w:rPr>
        <w:t> </w:t>
      </w:r>
      <w:r>
        <w:rPr/>
        <w:t>are</w:t>
      </w:r>
      <w:r>
        <w:rPr>
          <w:spacing w:val="-13"/>
        </w:rPr>
        <w:t> </w:t>
      </w:r>
      <w:r>
        <w:rPr/>
        <w:t>in</w:t>
      </w:r>
      <w:r>
        <w:rPr>
          <w:spacing w:val="-14"/>
        </w:rPr>
        <w:t> </w:t>
      </w:r>
      <w:r>
        <w:rPr/>
        <w:t>effect here,</w:t>
      </w:r>
      <w:r>
        <w:rPr>
          <w:spacing w:val="-23"/>
        </w:rPr>
        <w:t> </w:t>
      </w:r>
      <w:r>
        <w:rPr/>
        <w:t>just</w:t>
      </w:r>
      <w:r>
        <w:rPr>
          <w:spacing w:val="-24"/>
        </w:rPr>
        <w:t> </w:t>
      </w:r>
      <w:r>
        <w:rPr/>
        <w:t>as</w:t>
      </w:r>
      <w:r>
        <w:rPr>
          <w:spacing w:val="-23"/>
        </w:rPr>
        <w:t> </w:t>
      </w:r>
      <w:r>
        <w:rPr/>
        <w:t>with</w:t>
      </w:r>
      <w:r>
        <w:rPr>
          <w:spacing w:val="-21"/>
        </w:rPr>
        <w:t> </w:t>
      </w:r>
      <w:r>
        <w:rPr/>
        <w:t>the</w:t>
      </w:r>
      <w:r>
        <w:rPr>
          <w:spacing w:val="-22"/>
        </w:rPr>
        <w:t> </w:t>
      </w:r>
      <w:r>
        <w:rPr/>
        <w:t>entire</w:t>
      </w:r>
      <w:r>
        <w:rPr>
          <w:spacing w:val="-23"/>
        </w:rPr>
        <w:t> </w:t>
      </w:r>
      <w:r>
        <w:rPr/>
        <w:t>mushroom.</w:t>
      </w:r>
      <w:r>
        <w:rPr>
          <w:spacing w:val="49"/>
        </w:rPr>
        <w:t> </w:t>
      </w:r>
      <w:r>
        <w:rPr/>
        <w:t>Many</w:t>
      </w:r>
      <w:r>
        <w:rPr>
          <w:spacing w:val="-23"/>
        </w:rPr>
        <w:t> </w:t>
      </w:r>
      <w:r>
        <w:rPr/>
        <w:t>providers</w:t>
      </w:r>
      <w:r>
        <w:rPr>
          <w:spacing w:val="-22"/>
        </w:rPr>
        <w:t> </w:t>
      </w:r>
      <w:r>
        <w:rPr/>
        <w:t>also</w:t>
      </w:r>
      <w:r>
        <w:rPr>
          <w:spacing w:val="-23"/>
        </w:rPr>
        <w:t> </w:t>
      </w:r>
      <w:r>
        <w:rPr/>
        <w:t>mix</w:t>
      </w:r>
      <w:r>
        <w:rPr>
          <w:spacing w:val="-25"/>
        </w:rPr>
        <w:t> </w:t>
      </w:r>
      <w:r>
        <w:rPr/>
        <w:t>several</w:t>
      </w:r>
      <w:r>
        <w:rPr>
          <w:spacing w:val="-24"/>
        </w:rPr>
        <w:t> </w:t>
      </w:r>
      <w:r>
        <w:rPr/>
        <w:t>mush- rooms together into a</w:t>
      </w:r>
      <w:r>
        <w:rPr>
          <w:spacing w:val="2"/>
        </w:rPr>
        <w:t> </w:t>
      </w:r>
      <w:r>
        <w:rPr/>
        <w:t>powder.</w:t>
      </w:r>
    </w:p>
    <w:p>
      <w:pPr>
        <w:pStyle w:val="BodyText"/>
        <w:rPr>
          <w:sz w:val="42"/>
        </w:rPr>
      </w:pPr>
    </w:p>
    <w:p>
      <w:pPr>
        <w:pStyle w:val="BodyText"/>
        <w:spacing w:before="4"/>
        <w:rPr>
          <w:sz w:val="44"/>
        </w:rPr>
      </w:pPr>
    </w:p>
    <w:p>
      <w:pPr>
        <w:pStyle w:val="Heading2"/>
        <w:ind w:left="616"/>
      </w:pPr>
      <w:r>
        <w:rPr/>
        <w:t>Mushroom extract:</w:t>
      </w:r>
    </w:p>
    <w:p>
      <w:pPr>
        <w:pStyle w:val="BodyText"/>
        <w:spacing w:line="276" w:lineRule="auto" w:before="305"/>
        <w:ind w:left="616" w:right="133"/>
        <w:jc w:val="both"/>
      </w:pPr>
      <w:r>
        <w:rPr/>
        <w:t>Mushroom extract is manufactured using expensive extraction techniques; all the</w:t>
      </w:r>
      <w:r>
        <w:rPr>
          <w:spacing w:val="-15"/>
        </w:rPr>
        <w:t> </w:t>
      </w:r>
      <w:r>
        <w:rPr/>
        <w:t>non-water</w:t>
      </w:r>
      <w:r>
        <w:rPr>
          <w:spacing w:val="-16"/>
        </w:rPr>
        <w:t> </w:t>
      </w:r>
      <w:r>
        <w:rPr/>
        <w:t>soluble</w:t>
      </w:r>
      <w:r>
        <w:rPr>
          <w:spacing w:val="-15"/>
        </w:rPr>
        <w:t> </w:t>
      </w:r>
      <w:r>
        <w:rPr/>
        <w:t>components</w:t>
      </w:r>
      <w:r>
        <w:rPr>
          <w:spacing w:val="-16"/>
        </w:rPr>
        <w:t> </w:t>
      </w:r>
      <w:r>
        <w:rPr/>
        <w:t>are</w:t>
      </w:r>
      <w:r>
        <w:rPr>
          <w:spacing w:val="-16"/>
        </w:rPr>
        <w:t> </w:t>
      </w:r>
      <w:r>
        <w:rPr/>
        <w:t>washed</w:t>
      </w:r>
      <w:r>
        <w:rPr>
          <w:spacing w:val="-15"/>
        </w:rPr>
        <w:t> </w:t>
      </w:r>
      <w:r>
        <w:rPr/>
        <w:t>out</w:t>
      </w:r>
      <w:r>
        <w:rPr>
          <w:spacing w:val="-18"/>
        </w:rPr>
        <w:t> </w:t>
      </w:r>
      <w:r>
        <w:rPr/>
        <w:t>during</w:t>
      </w:r>
      <w:r>
        <w:rPr>
          <w:spacing w:val="-15"/>
        </w:rPr>
        <w:t> </w:t>
      </w:r>
      <w:r>
        <w:rPr/>
        <w:t>this</w:t>
      </w:r>
      <w:r>
        <w:rPr>
          <w:spacing w:val="-15"/>
        </w:rPr>
        <w:t> </w:t>
      </w:r>
      <w:r>
        <w:rPr/>
        <w:t>process</w:t>
      </w:r>
      <w:r>
        <w:rPr>
          <w:spacing w:val="-15"/>
        </w:rPr>
        <w:t> </w:t>
      </w:r>
      <w:r>
        <w:rPr/>
        <w:t>in</w:t>
      </w:r>
      <w:r>
        <w:rPr>
          <w:spacing w:val="-15"/>
        </w:rPr>
        <w:t> </w:t>
      </w:r>
      <w:r>
        <w:rPr/>
        <w:t>order to retain the effective polysaccharides in a highly concentrated form. Approx- imately 20 times the concentration of these active substances can be obtained in comparison to the entire mushroom or the powder. Accordingly, these ex- tracts are more expensive but generally more effective.</w:t>
      </w:r>
    </w:p>
    <w:p>
      <w:pPr>
        <w:pStyle w:val="BodyText"/>
        <w:spacing w:line="276" w:lineRule="auto" w:before="240"/>
        <w:ind w:left="616" w:right="138"/>
        <w:jc w:val="both"/>
      </w:pPr>
      <w:r>
        <w:rPr/>
        <w:t>In general, we can say that powder can be taken for preventative purposes, however, in order to combat a disease or a malicious disease it makes a lot of sense to choose mushroom extract, possibly in combination with mushroom powder.</w:t>
      </w:r>
    </w:p>
    <w:p>
      <w:pPr>
        <w:pStyle w:val="Heading1"/>
        <w:spacing w:before="222"/>
        <w:ind w:left="616"/>
      </w:pPr>
      <w:r>
        <w:rPr/>
        <w:t>Medicinal mushroom treatments</w:t>
      </w:r>
    </w:p>
    <w:p>
      <w:pPr>
        <w:pStyle w:val="BodyText"/>
        <w:spacing w:line="276" w:lineRule="auto" w:before="300"/>
        <w:ind w:left="616" w:right="134"/>
        <w:jc w:val="both"/>
      </w:pPr>
      <w:r>
        <w:rPr/>
        <w:t>Regular treatments with medical mushrooms can strengthen the immune sys- tem, prevent diseases, detoxify and promote energy and well-being. All of the medicinal or edible mushrooms discussed hereafter are extremely well suited</w:t>
      </w:r>
    </w:p>
    <w:p>
      <w:pPr>
        <w:spacing w:after="0" w:line="276" w:lineRule="auto"/>
        <w:jc w:val="both"/>
        <w:sectPr>
          <w:pgSz w:w="14270" w:h="16850"/>
          <w:pgMar w:header="0" w:footer="1891" w:top="1320" w:bottom="2080" w:left="800" w:right="1280"/>
        </w:sectPr>
      </w:pPr>
    </w:p>
    <w:p>
      <w:pPr>
        <w:pStyle w:val="BodyText"/>
        <w:spacing w:before="74"/>
        <w:ind w:left="616"/>
      </w:pPr>
      <w:r>
        <w:rPr/>
        <w:t>to being combined for this purpose!</w:t>
      </w:r>
    </w:p>
    <w:p>
      <w:pPr>
        <w:pStyle w:val="BodyText"/>
        <w:spacing w:line="276" w:lineRule="auto" w:before="305"/>
        <w:ind w:left="616" w:right="130"/>
        <w:jc w:val="both"/>
      </w:pPr>
      <w:r>
        <w:rPr/>
        <w:t>Dr. Jürgen Weihofen, author of the book ‘Heilpilze – Ling Zhi, Shiitake</w:t>
      </w:r>
      <w:r>
        <w:rPr>
          <w:spacing w:val="-68"/>
        </w:rPr>
        <w:t> </w:t>
      </w:r>
      <w:r>
        <w:rPr/>
        <w:t>&amp; Co schützen</w:t>
      </w:r>
      <w:r>
        <w:rPr>
          <w:spacing w:val="-8"/>
        </w:rPr>
        <w:t> </w:t>
      </w:r>
      <w:r>
        <w:rPr/>
        <w:t>das</w:t>
      </w:r>
      <w:r>
        <w:rPr>
          <w:spacing w:val="-9"/>
        </w:rPr>
        <w:t> </w:t>
      </w:r>
      <w:r>
        <w:rPr/>
        <w:t>Immunsystem’</w:t>
      </w:r>
      <w:r>
        <w:rPr>
          <w:spacing w:val="-7"/>
        </w:rPr>
        <w:t> </w:t>
      </w:r>
      <w:r>
        <w:rPr/>
        <w:t>(‘Medicinal</w:t>
      </w:r>
      <w:r>
        <w:rPr>
          <w:spacing w:val="-8"/>
        </w:rPr>
        <w:t> </w:t>
      </w:r>
      <w:r>
        <w:rPr/>
        <w:t>Mushrooms</w:t>
      </w:r>
      <w:r>
        <w:rPr>
          <w:spacing w:val="-4"/>
        </w:rPr>
        <w:t> </w:t>
      </w:r>
      <w:r>
        <w:rPr/>
        <w:t>–</w:t>
      </w:r>
      <w:r>
        <w:rPr>
          <w:spacing w:val="-10"/>
        </w:rPr>
        <w:t> </w:t>
      </w:r>
      <w:r>
        <w:rPr/>
        <w:t>Lingzhi,</w:t>
      </w:r>
      <w:r>
        <w:rPr>
          <w:spacing w:val="-12"/>
        </w:rPr>
        <w:t> </w:t>
      </w:r>
      <w:r>
        <w:rPr/>
        <w:t>Shiitake</w:t>
      </w:r>
      <w:r>
        <w:rPr>
          <w:spacing w:val="-9"/>
        </w:rPr>
        <w:t> </w:t>
      </w:r>
      <w:r>
        <w:rPr/>
        <w:t>&amp;</w:t>
      </w:r>
      <w:r>
        <w:rPr>
          <w:spacing w:val="-9"/>
        </w:rPr>
        <w:t> </w:t>
      </w:r>
      <w:r>
        <w:rPr/>
        <w:t>Co Protect the Immune System’) recommends, for example, starting every day with</w:t>
      </w:r>
      <w:r>
        <w:rPr>
          <w:spacing w:val="-18"/>
        </w:rPr>
        <w:t> </w:t>
      </w:r>
      <w:r>
        <w:rPr/>
        <w:t>a</w:t>
      </w:r>
      <w:r>
        <w:rPr>
          <w:spacing w:val="-20"/>
        </w:rPr>
        <w:t> </w:t>
      </w:r>
      <w:r>
        <w:rPr/>
        <w:t>level</w:t>
      </w:r>
      <w:r>
        <w:rPr>
          <w:spacing w:val="-19"/>
        </w:rPr>
        <w:t> </w:t>
      </w:r>
      <w:r>
        <w:rPr/>
        <w:t>teaspoon</w:t>
      </w:r>
      <w:r>
        <w:rPr>
          <w:spacing w:val="-19"/>
        </w:rPr>
        <w:t> </w:t>
      </w:r>
      <w:r>
        <w:rPr/>
        <w:t>of</w:t>
      </w:r>
      <w:r>
        <w:rPr>
          <w:spacing w:val="-21"/>
        </w:rPr>
        <w:t> </w:t>
      </w:r>
      <w:r>
        <w:rPr/>
        <w:t>Reishi</w:t>
      </w:r>
      <w:r>
        <w:rPr>
          <w:spacing w:val="-18"/>
        </w:rPr>
        <w:t> </w:t>
      </w:r>
      <w:r>
        <w:rPr/>
        <w:t>mushroom</w:t>
      </w:r>
      <w:r>
        <w:rPr>
          <w:spacing w:val="-19"/>
        </w:rPr>
        <w:t> </w:t>
      </w:r>
      <w:r>
        <w:rPr/>
        <w:t>meal,</w:t>
      </w:r>
      <w:r>
        <w:rPr>
          <w:spacing w:val="-21"/>
        </w:rPr>
        <w:t> </w:t>
      </w:r>
      <w:r>
        <w:rPr/>
        <w:t>regularly</w:t>
      </w:r>
      <w:r>
        <w:rPr>
          <w:spacing w:val="-18"/>
        </w:rPr>
        <w:t> </w:t>
      </w:r>
      <w:r>
        <w:rPr/>
        <w:t>seasoning</w:t>
      </w:r>
      <w:r>
        <w:rPr>
          <w:spacing w:val="-18"/>
        </w:rPr>
        <w:t> </w:t>
      </w:r>
      <w:r>
        <w:rPr/>
        <w:t>meals</w:t>
      </w:r>
      <w:r>
        <w:rPr>
          <w:spacing w:val="-21"/>
        </w:rPr>
        <w:t> </w:t>
      </w:r>
      <w:r>
        <w:rPr/>
        <w:t>with Shiitake or adding them to the meal plan and ending the day with a capsule of Maitake and/or bearded tooth mushrooms. In addition to this, a one to six week intensive treatment is ideal during spring and</w:t>
      </w:r>
      <w:r>
        <w:rPr>
          <w:spacing w:val="-4"/>
        </w:rPr>
        <w:t> </w:t>
      </w:r>
      <w:r>
        <w:rPr/>
        <w:t>autumn.</w:t>
      </w:r>
    </w:p>
    <w:p>
      <w:pPr>
        <w:pStyle w:val="Heading2"/>
        <w:spacing w:before="241"/>
        <w:ind w:left="616"/>
      </w:pPr>
      <w:r>
        <w:rPr/>
        <w:t>Reishi-Lingzhi, Ganoderma lucidum, Lingzhi mushroom</w:t>
      </w:r>
    </w:p>
    <w:p>
      <w:pPr>
        <w:spacing w:before="284"/>
        <w:ind w:left="616" w:right="0" w:firstLine="0"/>
        <w:jc w:val="left"/>
        <w:rPr>
          <w:b/>
          <w:i/>
          <w:sz w:val="40"/>
        </w:rPr>
      </w:pPr>
      <w:r>
        <w:rPr>
          <w:b/>
          <w:i/>
          <w:sz w:val="40"/>
        </w:rPr>
        <w:t>Name, origin, tradition</w:t>
      </w:r>
    </w:p>
    <w:p>
      <w:pPr>
        <w:pStyle w:val="BodyText"/>
        <w:spacing w:line="276" w:lineRule="auto" w:before="300"/>
        <w:ind w:left="616" w:right="130"/>
        <w:jc w:val="both"/>
      </w:pPr>
      <w:r>
        <w:rPr/>
        <w:t>Reishi-Lingzhi, traditionally shortened to ‘Reishi’, is not one of the most pop- ular edible mushrooms in traditional Chinese medicine (TCM), yet it is also one</w:t>
      </w:r>
      <w:r>
        <w:rPr>
          <w:spacing w:val="-11"/>
        </w:rPr>
        <w:t> </w:t>
      </w:r>
      <w:r>
        <w:rPr/>
        <w:t>of</w:t>
      </w:r>
      <w:r>
        <w:rPr>
          <w:spacing w:val="-13"/>
        </w:rPr>
        <w:t> </w:t>
      </w:r>
      <w:r>
        <w:rPr/>
        <w:t>the</w:t>
      </w:r>
      <w:r>
        <w:rPr>
          <w:spacing w:val="-11"/>
        </w:rPr>
        <w:t> </w:t>
      </w:r>
      <w:r>
        <w:rPr/>
        <w:t>most</w:t>
      </w:r>
      <w:r>
        <w:rPr>
          <w:spacing w:val="-13"/>
        </w:rPr>
        <w:t> </w:t>
      </w:r>
      <w:r>
        <w:rPr/>
        <w:t>important</w:t>
      </w:r>
      <w:r>
        <w:rPr>
          <w:spacing w:val="-12"/>
        </w:rPr>
        <w:t> </w:t>
      </w:r>
      <w:r>
        <w:rPr/>
        <w:t>medicinal</w:t>
      </w:r>
      <w:r>
        <w:rPr>
          <w:spacing w:val="-11"/>
        </w:rPr>
        <w:t> </w:t>
      </w:r>
      <w:r>
        <w:rPr/>
        <w:t>mushrooms!</w:t>
      </w:r>
      <w:r>
        <w:rPr>
          <w:spacing w:val="-13"/>
        </w:rPr>
        <w:t> </w:t>
      </w:r>
      <w:r>
        <w:rPr/>
        <w:t>In</w:t>
      </w:r>
      <w:r>
        <w:rPr>
          <w:spacing w:val="-13"/>
        </w:rPr>
        <w:t> </w:t>
      </w:r>
      <w:r>
        <w:rPr/>
        <w:t>old</w:t>
      </w:r>
      <w:r>
        <w:rPr>
          <w:spacing w:val="-12"/>
        </w:rPr>
        <w:t> </w:t>
      </w:r>
      <w:r>
        <w:rPr/>
        <w:t>herbal</w:t>
      </w:r>
      <w:r>
        <w:rPr>
          <w:spacing w:val="-15"/>
        </w:rPr>
        <w:t> </w:t>
      </w:r>
      <w:r>
        <w:rPr/>
        <w:t>books,</w:t>
      </w:r>
      <w:r>
        <w:rPr>
          <w:spacing w:val="-10"/>
        </w:rPr>
        <w:t> </w:t>
      </w:r>
      <w:r>
        <w:rPr/>
        <w:t>Reishi- Lingzhi is the uncontested number 1 among the 120 most popular medicinal herbs, even ahead of</w:t>
      </w:r>
      <w:r>
        <w:rPr>
          <w:spacing w:val="2"/>
        </w:rPr>
        <w:t> </w:t>
      </w:r>
      <w:r>
        <w:rPr/>
        <w:t>Ginseng.</w:t>
      </w:r>
    </w:p>
    <w:p>
      <w:pPr>
        <w:pStyle w:val="BodyText"/>
        <w:spacing w:line="278" w:lineRule="auto" w:before="240"/>
        <w:ind w:left="616" w:right="138"/>
        <w:jc w:val="both"/>
      </w:pPr>
      <w:r>
        <w:rPr/>
        <w:t>It is not without reason that Reishi-Lingzhi is called the ‘God of medicinal mushrooms’ in China.</w:t>
      </w:r>
    </w:p>
    <w:p>
      <w:pPr>
        <w:pStyle w:val="BodyText"/>
        <w:spacing w:line="276" w:lineRule="auto" w:before="232"/>
        <w:ind w:left="616" w:right="136"/>
        <w:jc w:val="both"/>
      </w:pPr>
      <w:r>
        <w:rPr/>
        <w:t>The word ‘Lingzhi’ translated means ‘divine mushroom of immortality’, ‘holy mushroom’, ‘herb with spiritual power’, ‘spiritual plant’. This alone indicates the high esteem Asians place on this medicinal mushroom. It concerns a very rare mushroom in nature which was even more expensive than gold until it</w:t>
      </w:r>
    </w:p>
    <w:p>
      <w:pPr>
        <w:spacing w:after="0" w:line="276" w:lineRule="auto"/>
        <w:jc w:val="both"/>
        <w:sectPr>
          <w:pgSz w:w="14270" w:h="16850"/>
          <w:pgMar w:header="0" w:footer="1891" w:top="1340" w:bottom="2080" w:left="800" w:right="1280"/>
        </w:sectPr>
      </w:pPr>
    </w:p>
    <w:p>
      <w:pPr>
        <w:pStyle w:val="BodyText"/>
        <w:spacing w:line="276" w:lineRule="auto" w:before="72"/>
        <w:ind w:left="616" w:right="137"/>
        <w:jc w:val="both"/>
        <w:rPr>
          <w:sz w:val="25"/>
        </w:rPr>
      </w:pPr>
      <w:r>
        <w:rPr/>
        <w:t>was</w:t>
      </w:r>
      <w:r>
        <w:rPr>
          <w:spacing w:val="-24"/>
        </w:rPr>
        <w:t> </w:t>
      </w:r>
      <w:r>
        <w:rPr/>
        <w:t>cultivated</w:t>
      </w:r>
      <w:r>
        <w:rPr>
          <w:spacing w:val="-24"/>
        </w:rPr>
        <w:t> </w:t>
      </w:r>
      <w:r>
        <w:rPr/>
        <w:t>in</w:t>
      </w:r>
      <w:r>
        <w:rPr>
          <w:spacing w:val="-22"/>
        </w:rPr>
        <w:t> </w:t>
      </w:r>
      <w:r>
        <w:rPr/>
        <w:t>laboratories.</w:t>
      </w:r>
      <w:r>
        <w:rPr>
          <w:spacing w:val="-24"/>
        </w:rPr>
        <w:t> </w:t>
      </w:r>
      <w:r>
        <w:rPr/>
        <w:t>Thus,</w:t>
      </w:r>
      <w:r>
        <w:rPr>
          <w:spacing w:val="-23"/>
        </w:rPr>
        <w:t> </w:t>
      </w:r>
      <w:r>
        <w:rPr/>
        <w:t>a</w:t>
      </w:r>
      <w:r>
        <w:rPr>
          <w:spacing w:val="-25"/>
        </w:rPr>
        <w:t> </w:t>
      </w:r>
      <w:r>
        <w:rPr/>
        <w:t>Reishi</w:t>
      </w:r>
      <w:r>
        <w:rPr>
          <w:spacing w:val="-25"/>
        </w:rPr>
        <w:t> </w:t>
      </w:r>
      <w:r>
        <w:rPr/>
        <w:t>mushroom</w:t>
      </w:r>
      <w:r>
        <w:rPr>
          <w:spacing w:val="-24"/>
        </w:rPr>
        <w:t> </w:t>
      </w:r>
      <w:r>
        <w:rPr/>
        <w:t>in</w:t>
      </w:r>
      <w:r>
        <w:rPr>
          <w:spacing w:val="-23"/>
        </w:rPr>
        <w:t> </w:t>
      </w:r>
      <w:r>
        <w:rPr/>
        <w:t>a</w:t>
      </w:r>
      <w:r>
        <w:rPr>
          <w:spacing w:val="-25"/>
        </w:rPr>
        <w:t> </w:t>
      </w:r>
      <w:r>
        <w:rPr/>
        <w:t>Chinese</w:t>
      </w:r>
      <w:r>
        <w:rPr>
          <w:spacing w:val="-24"/>
        </w:rPr>
        <w:t> </w:t>
      </w:r>
      <w:r>
        <w:rPr/>
        <w:t>pharmacy costs approx. 10 Yuan, while a Chinese citizen earns just 60-80 Yuan a month!</w:t>
      </w:r>
      <w:r>
        <w:rPr>
          <w:position w:val="9"/>
          <w:sz w:val="25"/>
        </w:rPr>
        <w:t>908</w:t>
      </w:r>
    </w:p>
    <w:p>
      <w:pPr>
        <w:pStyle w:val="BodyText"/>
        <w:spacing w:line="278" w:lineRule="auto" w:before="241"/>
        <w:ind w:left="616" w:right="141"/>
        <w:jc w:val="both"/>
      </w:pPr>
      <w:r>
        <w:rPr/>
        <w:t>Reishi</w:t>
      </w:r>
      <w:r>
        <w:rPr>
          <w:spacing w:val="-8"/>
        </w:rPr>
        <w:t> </w:t>
      </w:r>
      <w:r>
        <w:rPr/>
        <w:t>enjoys</w:t>
      </w:r>
      <w:r>
        <w:rPr>
          <w:spacing w:val="-6"/>
        </w:rPr>
        <w:t> </w:t>
      </w:r>
      <w:r>
        <w:rPr/>
        <w:t>a</w:t>
      </w:r>
      <w:r>
        <w:rPr>
          <w:spacing w:val="-8"/>
        </w:rPr>
        <w:t> </w:t>
      </w:r>
      <w:r>
        <w:rPr/>
        <w:t>very</w:t>
      </w:r>
      <w:r>
        <w:rPr>
          <w:spacing w:val="-7"/>
        </w:rPr>
        <w:t> </w:t>
      </w:r>
      <w:r>
        <w:rPr/>
        <w:t>long</w:t>
      </w:r>
      <w:r>
        <w:rPr>
          <w:spacing w:val="-8"/>
        </w:rPr>
        <w:t> </w:t>
      </w:r>
      <w:r>
        <w:rPr/>
        <w:t>tradition</w:t>
      </w:r>
      <w:r>
        <w:rPr>
          <w:spacing w:val="-6"/>
        </w:rPr>
        <w:t> </w:t>
      </w:r>
      <w:r>
        <w:rPr/>
        <w:t>in</w:t>
      </w:r>
      <w:r>
        <w:rPr>
          <w:spacing w:val="-7"/>
        </w:rPr>
        <w:t> </w:t>
      </w:r>
      <w:r>
        <w:rPr/>
        <w:t>Chinese</w:t>
      </w:r>
      <w:r>
        <w:rPr>
          <w:spacing w:val="-7"/>
        </w:rPr>
        <w:t> </w:t>
      </w:r>
      <w:r>
        <w:rPr/>
        <w:t>medicine</w:t>
      </w:r>
      <w:r>
        <w:rPr>
          <w:spacing w:val="-8"/>
        </w:rPr>
        <w:t> </w:t>
      </w:r>
      <w:r>
        <w:rPr/>
        <w:t>and</w:t>
      </w:r>
      <w:r>
        <w:rPr>
          <w:spacing w:val="-7"/>
        </w:rPr>
        <w:t> </w:t>
      </w:r>
      <w:r>
        <w:rPr/>
        <w:t>Japanese</w:t>
      </w:r>
      <w:r>
        <w:rPr>
          <w:spacing w:val="-7"/>
        </w:rPr>
        <w:t> </w:t>
      </w:r>
      <w:r>
        <w:rPr/>
        <w:t>medicine and has been successfully cultivated there for more than 4000</w:t>
      </w:r>
      <w:r>
        <w:rPr>
          <w:spacing w:val="-5"/>
        </w:rPr>
        <w:t> </w:t>
      </w:r>
      <w:r>
        <w:rPr/>
        <w:t>years.</w:t>
      </w:r>
    </w:p>
    <w:p>
      <w:pPr>
        <w:pStyle w:val="BodyText"/>
        <w:spacing w:line="276" w:lineRule="auto" w:before="232"/>
        <w:ind w:left="616" w:right="135"/>
        <w:jc w:val="both"/>
      </w:pPr>
      <w:r>
        <w:rPr/>
        <w:t>Honoured</w:t>
      </w:r>
      <w:r>
        <w:rPr>
          <w:spacing w:val="-16"/>
        </w:rPr>
        <w:t> </w:t>
      </w:r>
      <w:r>
        <w:rPr/>
        <w:t>as</w:t>
      </w:r>
      <w:r>
        <w:rPr>
          <w:spacing w:val="-15"/>
        </w:rPr>
        <w:t> </w:t>
      </w:r>
      <w:r>
        <w:rPr/>
        <w:t>‘mushroom</w:t>
      </w:r>
      <w:r>
        <w:rPr>
          <w:spacing w:val="-15"/>
        </w:rPr>
        <w:t> </w:t>
      </w:r>
      <w:r>
        <w:rPr/>
        <w:t>of</w:t>
      </w:r>
      <w:r>
        <w:rPr>
          <w:spacing w:val="-17"/>
        </w:rPr>
        <w:t> </w:t>
      </w:r>
      <w:r>
        <w:rPr/>
        <w:t>immortality’,</w:t>
      </w:r>
      <w:r>
        <w:rPr>
          <w:spacing w:val="-15"/>
        </w:rPr>
        <w:t> </w:t>
      </w:r>
      <w:r>
        <w:rPr/>
        <w:t>‘fountain</w:t>
      </w:r>
      <w:r>
        <w:rPr>
          <w:spacing w:val="-16"/>
        </w:rPr>
        <w:t> </w:t>
      </w:r>
      <w:r>
        <w:rPr/>
        <w:t>of</w:t>
      </w:r>
      <w:r>
        <w:rPr>
          <w:spacing w:val="-15"/>
        </w:rPr>
        <w:t> </w:t>
      </w:r>
      <w:r>
        <w:rPr/>
        <w:t>youth’</w:t>
      </w:r>
      <w:r>
        <w:rPr>
          <w:spacing w:val="-15"/>
        </w:rPr>
        <w:t> </w:t>
      </w:r>
      <w:r>
        <w:rPr/>
        <w:t>and</w:t>
      </w:r>
      <w:r>
        <w:rPr>
          <w:spacing w:val="-15"/>
        </w:rPr>
        <w:t> </w:t>
      </w:r>
      <w:r>
        <w:rPr/>
        <w:t>‘lucky</w:t>
      </w:r>
      <w:r>
        <w:rPr>
          <w:spacing w:val="-15"/>
        </w:rPr>
        <w:t> </w:t>
      </w:r>
      <w:r>
        <w:rPr/>
        <w:t>mush- room’,</w:t>
      </w:r>
      <w:r>
        <w:rPr>
          <w:spacing w:val="-16"/>
        </w:rPr>
        <w:t> </w:t>
      </w:r>
      <w:r>
        <w:rPr/>
        <w:t>Reishi</w:t>
      </w:r>
      <w:r>
        <w:rPr>
          <w:spacing w:val="-15"/>
        </w:rPr>
        <w:t> </w:t>
      </w:r>
      <w:r>
        <w:rPr/>
        <w:t>was</w:t>
      </w:r>
      <w:r>
        <w:rPr>
          <w:spacing w:val="-14"/>
        </w:rPr>
        <w:t> </w:t>
      </w:r>
      <w:r>
        <w:rPr/>
        <w:t>to</w:t>
      </w:r>
      <w:r>
        <w:rPr>
          <w:spacing w:val="-16"/>
        </w:rPr>
        <w:t> </w:t>
      </w:r>
      <w:r>
        <w:rPr/>
        <w:t>travel</w:t>
      </w:r>
      <w:r>
        <w:rPr>
          <w:spacing w:val="-14"/>
        </w:rPr>
        <w:t> </w:t>
      </w:r>
      <w:r>
        <w:rPr/>
        <w:t>beyond</w:t>
      </w:r>
      <w:r>
        <w:rPr>
          <w:spacing w:val="-15"/>
        </w:rPr>
        <w:t> </w:t>
      </w:r>
      <w:r>
        <w:rPr/>
        <w:t>Asia</w:t>
      </w:r>
      <w:r>
        <w:rPr>
          <w:spacing w:val="-14"/>
        </w:rPr>
        <w:t> </w:t>
      </w:r>
      <w:r>
        <w:rPr/>
        <w:t>in</w:t>
      </w:r>
      <w:r>
        <w:rPr>
          <w:spacing w:val="-14"/>
        </w:rPr>
        <w:t> </w:t>
      </w:r>
      <w:r>
        <w:rPr/>
        <w:t>the</w:t>
      </w:r>
      <w:r>
        <w:rPr>
          <w:spacing w:val="-14"/>
        </w:rPr>
        <w:t> </w:t>
      </w:r>
      <w:r>
        <w:rPr/>
        <w:t>past</w:t>
      </w:r>
      <w:r>
        <w:rPr>
          <w:spacing w:val="-16"/>
        </w:rPr>
        <w:t> </w:t>
      </w:r>
      <w:r>
        <w:rPr/>
        <w:t>decades,</w:t>
      </w:r>
      <w:r>
        <w:rPr>
          <w:spacing w:val="-13"/>
        </w:rPr>
        <w:t> </w:t>
      </w:r>
      <w:r>
        <w:rPr/>
        <w:t>conquer</w:t>
      </w:r>
      <w:r>
        <w:rPr>
          <w:spacing w:val="-13"/>
        </w:rPr>
        <w:t> </w:t>
      </w:r>
      <w:r>
        <w:rPr/>
        <w:t>the</w:t>
      </w:r>
      <w:r>
        <w:rPr>
          <w:spacing w:val="-16"/>
        </w:rPr>
        <w:t> </w:t>
      </w:r>
      <w:r>
        <w:rPr/>
        <w:t>world and make a name for itself on our</w:t>
      </w:r>
      <w:r>
        <w:rPr>
          <w:spacing w:val="-3"/>
        </w:rPr>
        <w:t> </w:t>
      </w:r>
      <w:r>
        <w:rPr/>
        <w:t>latitude.</w:t>
      </w:r>
    </w:p>
    <w:p>
      <w:pPr>
        <w:pStyle w:val="BodyText"/>
        <w:spacing w:line="276" w:lineRule="auto" w:before="242"/>
        <w:ind w:left="616" w:right="141"/>
        <w:jc w:val="both"/>
      </w:pPr>
      <w:r>
        <w:rPr/>
        <w:t>With its unusual property of resisting decay and retaining its shape even when dried, Reishi does justice to its designation as ‘mushroom of immortality’, and it</w:t>
      </w:r>
      <w:r>
        <w:rPr>
          <w:spacing w:val="-14"/>
        </w:rPr>
        <w:t> </w:t>
      </w:r>
      <w:r>
        <w:rPr/>
        <w:t>transfers</w:t>
      </w:r>
      <w:r>
        <w:rPr>
          <w:spacing w:val="-12"/>
        </w:rPr>
        <w:t> </w:t>
      </w:r>
      <w:r>
        <w:rPr/>
        <w:t>its</w:t>
      </w:r>
      <w:r>
        <w:rPr>
          <w:spacing w:val="-13"/>
        </w:rPr>
        <w:t> </w:t>
      </w:r>
      <w:r>
        <w:rPr/>
        <w:t>vitalising</w:t>
      </w:r>
      <w:r>
        <w:rPr>
          <w:spacing w:val="-12"/>
        </w:rPr>
        <w:t> </w:t>
      </w:r>
      <w:r>
        <w:rPr/>
        <w:t>and</w:t>
      </w:r>
      <w:r>
        <w:rPr>
          <w:spacing w:val="-12"/>
        </w:rPr>
        <w:t> </w:t>
      </w:r>
      <w:r>
        <w:rPr/>
        <w:t>healing</w:t>
      </w:r>
      <w:r>
        <w:rPr>
          <w:spacing w:val="-12"/>
        </w:rPr>
        <w:t> </w:t>
      </w:r>
      <w:r>
        <w:rPr/>
        <w:t>properties</w:t>
      </w:r>
      <w:r>
        <w:rPr>
          <w:spacing w:val="-12"/>
        </w:rPr>
        <w:t> </w:t>
      </w:r>
      <w:r>
        <w:rPr/>
        <w:t>to</w:t>
      </w:r>
      <w:r>
        <w:rPr>
          <w:spacing w:val="-17"/>
        </w:rPr>
        <w:t> </w:t>
      </w:r>
      <w:r>
        <w:rPr/>
        <w:t>those</w:t>
      </w:r>
      <w:r>
        <w:rPr>
          <w:spacing w:val="-12"/>
        </w:rPr>
        <w:t> </w:t>
      </w:r>
      <w:r>
        <w:rPr/>
        <w:t>who</w:t>
      </w:r>
      <w:r>
        <w:rPr>
          <w:spacing w:val="-14"/>
        </w:rPr>
        <w:t> </w:t>
      </w:r>
      <w:r>
        <w:rPr/>
        <w:t>regularly</w:t>
      </w:r>
      <w:r>
        <w:rPr>
          <w:spacing w:val="-13"/>
        </w:rPr>
        <w:t> </w:t>
      </w:r>
      <w:r>
        <w:rPr/>
        <w:t>consume its</w:t>
      </w:r>
      <w:r>
        <w:rPr>
          <w:spacing w:val="-1"/>
        </w:rPr>
        <w:t> </w:t>
      </w:r>
      <w:r>
        <w:rPr/>
        <w:t>extract.</w:t>
      </w:r>
    </w:p>
    <w:p>
      <w:pPr>
        <w:pStyle w:val="Heading1"/>
        <w:spacing w:before="222"/>
        <w:ind w:left="616"/>
        <w:jc w:val="both"/>
      </w:pPr>
      <w:r>
        <w:rPr/>
        <w:t>Appearance and taste</w:t>
      </w:r>
    </w:p>
    <w:p>
      <w:pPr>
        <w:pStyle w:val="BodyText"/>
        <w:spacing w:line="276" w:lineRule="auto" w:before="299"/>
        <w:ind w:left="616" w:right="135"/>
        <w:jc w:val="both"/>
      </w:pPr>
      <w:r>
        <w:rPr/>
        <w:t>From</w:t>
      </w:r>
      <w:r>
        <w:rPr>
          <w:spacing w:val="-7"/>
        </w:rPr>
        <w:t> </w:t>
      </w:r>
      <w:r>
        <w:rPr/>
        <w:t>above,</w:t>
      </w:r>
      <w:r>
        <w:rPr>
          <w:spacing w:val="-8"/>
        </w:rPr>
        <w:t> </w:t>
      </w:r>
      <w:r>
        <w:rPr/>
        <w:t>Reishi</w:t>
      </w:r>
      <w:r>
        <w:rPr>
          <w:spacing w:val="-7"/>
        </w:rPr>
        <w:t> </w:t>
      </w:r>
      <w:r>
        <w:rPr/>
        <w:t>is</w:t>
      </w:r>
      <w:r>
        <w:rPr>
          <w:spacing w:val="-9"/>
        </w:rPr>
        <w:t> </w:t>
      </w:r>
      <w:r>
        <w:rPr/>
        <w:t>reminiscent</w:t>
      </w:r>
      <w:r>
        <w:rPr>
          <w:spacing w:val="-7"/>
        </w:rPr>
        <w:t> </w:t>
      </w:r>
      <w:r>
        <w:rPr/>
        <w:t>of</w:t>
      </w:r>
      <w:r>
        <w:rPr>
          <w:spacing w:val="-8"/>
        </w:rPr>
        <w:t> </w:t>
      </w:r>
      <w:r>
        <w:rPr/>
        <w:t>a</w:t>
      </w:r>
      <w:r>
        <w:rPr>
          <w:spacing w:val="-7"/>
        </w:rPr>
        <w:t> </w:t>
      </w:r>
      <w:r>
        <w:rPr/>
        <w:t>kidney;</w:t>
      </w:r>
      <w:r>
        <w:rPr>
          <w:spacing w:val="-8"/>
        </w:rPr>
        <w:t> </w:t>
      </w:r>
      <w:r>
        <w:rPr/>
        <w:t>it</w:t>
      </w:r>
      <w:r>
        <w:rPr>
          <w:spacing w:val="-7"/>
        </w:rPr>
        <w:t> </w:t>
      </w:r>
      <w:r>
        <w:rPr/>
        <w:t>is</w:t>
      </w:r>
      <w:r>
        <w:rPr>
          <w:spacing w:val="-5"/>
        </w:rPr>
        <w:t> </w:t>
      </w:r>
      <w:r>
        <w:rPr/>
        <w:t>dark</w:t>
      </w:r>
      <w:r>
        <w:rPr>
          <w:spacing w:val="-9"/>
        </w:rPr>
        <w:t> </w:t>
      </w:r>
      <w:r>
        <w:rPr/>
        <w:t>red</w:t>
      </w:r>
      <w:r>
        <w:rPr>
          <w:spacing w:val="-6"/>
        </w:rPr>
        <w:t> </w:t>
      </w:r>
      <w:r>
        <w:rPr/>
        <w:t>and</w:t>
      </w:r>
      <w:r>
        <w:rPr>
          <w:spacing w:val="-8"/>
        </w:rPr>
        <w:t> </w:t>
      </w:r>
      <w:r>
        <w:rPr/>
        <w:t>very</w:t>
      </w:r>
      <w:r>
        <w:rPr>
          <w:spacing w:val="-7"/>
        </w:rPr>
        <w:t> </w:t>
      </w:r>
      <w:r>
        <w:rPr/>
        <w:t>shiny.</w:t>
      </w:r>
      <w:r>
        <w:rPr>
          <w:spacing w:val="-7"/>
        </w:rPr>
        <w:t> </w:t>
      </w:r>
      <w:r>
        <w:rPr/>
        <w:t>Its stem reaches a length of approx. 15 cm. Reishi is rarely eaten </w:t>
      </w:r>
      <w:r>
        <w:rPr>
          <w:spacing w:val="4"/>
        </w:rPr>
        <w:t>in </w:t>
      </w:r>
      <w:r>
        <w:rPr/>
        <w:t>a meal due to its tough, hard consistency.</w:t>
      </w:r>
    </w:p>
    <w:p>
      <w:pPr>
        <w:pStyle w:val="Heading1"/>
        <w:spacing w:before="222"/>
        <w:ind w:left="616"/>
        <w:jc w:val="both"/>
      </w:pPr>
      <w:r>
        <w:rPr/>
        <w:t>Occurrence and cultivation</w:t>
      </w:r>
    </w:p>
    <w:p>
      <w:pPr>
        <w:pStyle w:val="BodyText"/>
        <w:spacing w:line="276" w:lineRule="auto" w:before="299"/>
        <w:ind w:left="616" w:right="137"/>
        <w:jc w:val="both"/>
      </w:pPr>
      <w:r>
        <w:rPr/>
        <w:t>Very few people know that Reishi-Lingzhi is not exclusively limited to Asia, rather</w:t>
      </w:r>
      <w:r>
        <w:rPr>
          <w:spacing w:val="-12"/>
        </w:rPr>
        <w:t> </w:t>
      </w:r>
      <w:r>
        <w:rPr/>
        <w:t>it</w:t>
      </w:r>
      <w:r>
        <w:rPr>
          <w:spacing w:val="-13"/>
        </w:rPr>
        <w:t> </w:t>
      </w:r>
      <w:r>
        <w:rPr/>
        <w:t>also</w:t>
      </w:r>
      <w:r>
        <w:rPr>
          <w:spacing w:val="-14"/>
        </w:rPr>
        <w:t> </w:t>
      </w:r>
      <w:r>
        <w:rPr/>
        <w:t>grows</w:t>
      </w:r>
      <w:r>
        <w:rPr>
          <w:spacing w:val="-12"/>
        </w:rPr>
        <w:t> </w:t>
      </w:r>
      <w:r>
        <w:rPr/>
        <w:t>on</w:t>
      </w:r>
      <w:r>
        <w:rPr>
          <w:spacing w:val="-13"/>
        </w:rPr>
        <w:t> </w:t>
      </w:r>
      <w:r>
        <w:rPr/>
        <w:t>our</w:t>
      </w:r>
      <w:r>
        <w:rPr>
          <w:spacing w:val="-11"/>
        </w:rPr>
        <w:t> </w:t>
      </w:r>
      <w:r>
        <w:rPr/>
        <w:t>latitude,</w:t>
      </w:r>
      <w:r>
        <w:rPr>
          <w:spacing w:val="-11"/>
        </w:rPr>
        <w:t> </w:t>
      </w:r>
      <w:r>
        <w:rPr/>
        <w:t>if</w:t>
      </w:r>
      <w:r>
        <w:rPr>
          <w:spacing w:val="-13"/>
        </w:rPr>
        <w:t> </w:t>
      </w:r>
      <w:r>
        <w:rPr/>
        <w:t>very</w:t>
      </w:r>
      <w:r>
        <w:rPr>
          <w:spacing w:val="-13"/>
        </w:rPr>
        <w:t> </w:t>
      </w:r>
      <w:r>
        <w:rPr/>
        <w:t>rarely.</w:t>
      </w:r>
      <w:r>
        <w:rPr>
          <w:spacing w:val="-13"/>
        </w:rPr>
        <w:t> </w:t>
      </w:r>
      <w:r>
        <w:rPr/>
        <w:t>Thus,</w:t>
      </w:r>
      <w:r>
        <w:rPr>
          <w:spacing w:val="-12"/>
        </w:rPr>
        <w:t> </w:t>
      </w:r>
      <w:r>
        <w:rPr/>
        <w:t>Reishi</w:t>
      </w:r>
      <w:r>
        <w:rPr>
          <w:spacing w:val="-14"/>
        </w:rPr>
        <w:t> </w:t>
      </w:r>
      <w:r>
        <w:rPr/>
        <w:t>can</w:t>
      </w:r>
      <w:r>
        <w:rPr>
          <w:spacing w:val="-11"/>
        </w:rPr>
        <w:t> </w:t>
      </w:r>
      <w:r>
        <w:rPr/>
        <w:t>occasionally</w:t>
      </w:r>
    </w:p>
    <w:p>
      <w:pPr>
        <w:pStyle w:val="BodyText"/>
        <w:rPr>
          <w:sz w:val="20"/>
        </w:rPr>
      </w:pPr>
    </w:p>
    <w:p>
      <w:pPr>
        <w:pStyle w:val="BodyText"/>
        <w:rPr>
          <w:sz w:val="20"/>
        </w:rPr>
      </w:pPr>
    </w:p>
    <w:p>
      <w:pPr>
        <w:pStyle w:val="BodyText"/>
        <w:spacing w:before="7"/>
        <w:rPr>
          <w:sz w:val="22"/>
        </w:rPr>
      </w:pPr>
      <w:r>
        <w:rPr/>
        <w:pict>
          <v:line style="position:absolute;mso-position-horizontal-relative:page;mso-position-vertical-relative:paragraph;z-index:12776;mso-wrap-distance-left:0;mso-wrap-distance-right:0" from="70.823997pt,15.081235pt" to="214.843997pt,15.081235pt" stroked="true" strokeweight=".72003pt" strokecolor="#000000">
            <v:stroke dashstyle="solid"/>
            <w10:wrap type="topAndBottom"/>
          </v:line>
        </w:pict>
      </w:r>
    </w:p>
    <w:p>
      <w:pPr>
        <w:pStyle w:val="BodyText"/>
        <w:spacing w:before="7"/>
        <w:rPr>
          <w:sz w:val="18"/>
        </w:rPr>
      </w:pPr>
    </w:p>
    <w:p>
      <w:pPr>
        <w:spacing w:line="276" w:lineRule="auto" w:before="99"/>
        <w:ind w:left="616" w:right="0" w:firstLine="0"/>
        <w:jc w:val="left"/>
        <w:rPr>
          <w:sz w:val="20"/>
        </w:rPr>
      </w:pPr>
      <w:r>
        <w:rPr>
          <w:position w:val="5"/>
          <w:sz w:val="13"/>
        </w:rPr>
        <w:t>908 </w:t>
      </w:r>
      <w:r>
        <w:rPr>
          <w:sz w:val="20"/>
        </w:rPr>
        <w:t>Dr. Jürgen Weihofen: Heilpilze Ling Zhi, Shiitake &amp; Co. schützen das Immunsystem, 2001 (‘Medicinal Mushrooms – Lingzhi, Shiitake &amp; Co Protect the Immune System’), p. 26</w:t>
      </w:r>
    </w:p>
    <w:p>
      <w:pPr>
        <w:spacing w:after="0" w:line="276" w:lineRule="auto"/>
        <w:jc w:val="left"/>
        <w:rPr>
          <w:sz w:val="20"/>
        </w:rPr>
        <w:sectPr>
          <w:pgSz w:w="14270" w:h="16850"/>
          <w:pgMar w:header="0" w:footer="1891" w:top="1340" w:bottom="2080" w:left="800" w:right="1280"/>
        </w:sectPr>
      </w:pPr>
    </w:p>
    <w:p>
      <w:pPr>
        <w:pStyle w:val="BodyText"/>
        <w:spacing w:before="74"/>
        <w:ind w:left="616"/>
      </w:pPr>
      <w:r>
        <w:rPr/>
        <w:t>be found on beech, oak and alder as well as other native trees.</w:t>
      </w:r>
    </w:p>
    <w:p>
      <w:pPr>
        <w:pStyle w:val="BodyText"/>
        <w:spacing w:line="276" w:lineRule="auto" w:before="305"/>
        <w:ind w:left="616" w:right="128"/>
        <w:jc w:val="both"/>
      </w:pPr>
      <w:r>
        <w:rPr/>
        <w:t>Its high demands on external conditions make germination difficult, even in Asia,</w:t>
      </w:r>
      <w:r>
        <w:rPr>
          <w:spacing w:val="-11"/>
        </w:rPr>
        <w:t> </w:t>
      </w:r>
      <w:r>
        <w:rPr/>
        <w:t>and</w:t>
      </w:r>
      <w:r>
        <w:rPr>
          <w:spacing w:val="-11"/>
        </w:rPr>
        <w:t> </w:t>
      </w:r>
      <w:r>
        <w:rPr/>
        <w:t>therefore</w:t>
      </w:r>
      <w:r>
        <w:rPr>
          <w:spacing w:val="-11"/>
        </w:rPr>
        <w:t> </w:t>
      </w:r>
      <w:r>
        <w:rPr/>
        <w:t>Reishi</w:t>
      </w:r>
      <w:r>
        <w:rPr>
          <w:spacing w:val="-12"/>
        </w:rPr>
        <w:t> </w:t>
      </w:r>
      <w:r>
        <w:rPr/>
        <w:t>extract</w:t>
      </w:r>
      <w:r>
        <w:rPr>
          <w:spacing w:val="-12"/>
        </w:rPr>
        <w:t> </w:t>
      </w:r>
      <w:r>
        <w:rPr/>
        <w:t>was</w:t>
      </w:r>
      <w:r>
        <w:rPr>
          <w:spacing w:val="-11"/>
        </w:rPr>
        <w:t> </w:t>
      </w:r>
      <w:r>
        <w:rPr/>
        <w:t>still</w:t>
      </w:r>
      <w:r>
        <w:rPr>
          <w:spacing w:val="-13"/>
        </w:rPr>
        <w:t> </w:t>
      </w:r>
      <w:r>
        <w:rPr/>
        <w:t>one</w:t>
      </w:r>
      <w:r>
        <w:rPr>
          <w:spacing w:val="-15"/>
        </w:rPr>
        <w:t> </w:t>
      </w:r>
      <w:r>
        <w:rPr/>
        <w:t>of</w:t>
      </w:r>
      <w:r>
        <w:rPr>
          <w:spacing w:val="-14"/>
        </w:rPr>
        <w:t> </w:t>
      </w:r>
      <w:r>
        <w:rPr/>
        <w:t>the</w:t>
      </w:r>
      <w:r>
        <w:rPr>
          <w:spacing w:val="-11"/>
        </w:rPr>
        <w:t> </w:t>
      </w:r>
      <w:r>
        <w:rPr/>
        <w:t>exquisite</w:t>
      </w:r>
      <w:r>
        <w:rPr>
          <w:spacing w:val="-11"/>
        </w:rPr>
        <w:t> </w:t>
      </w:r>
      <w:r>
        <w:rPr/>
        <w:t>delicacies</w:t>
      </w:r>
      <w:r>
        <w:rPr>
          <w:spacing w:val="-11"/>
        </w:rPr>
        <w:t> </w:t>
      </w:r>
      <w:r>
        <w:rPr/>
        <w:t>of</w:t>
      </w:r>
      <w:r>
        <w:rPr>
          <w:spacing w:val="-14"/>
        </w:rPr>
        <w:t> </w:t>
      </w:r>
      <w:r>
        <w:rPr/>
        <w:t>the elite</w:t>
      </w:r>
      <w:r>
        <w:rPr>
          <w:spacing w:val="-22"/>
        </w:rPr>
        <w:t> </w:t>
      </w:r>
      <w:r>
        <w:rPr/>
        <w:t>population</w:t>
      </w:r>
      <w:r>
        <w:rPr>
          <w:spacing w:val="-19"/>
        </w:rPr>
        <w:t> </w:t>
      </w:r>
      <w:r>
        <w:rPr/>
        <w:t>of</w:t>
      </w:r>
      <w:r>
        <w:rPr>
          <w:spacing w:val="-20"/>
        </w:rPr>
        <w:t> </w:t>
      </w:r>
      <w:r>
        <w:rPr/>
        <w:t>China</w:t>
      </w:r>
      <w:r>
        <w:rPr>
          <w:spacing w:val="-20"/>
        </w:rPr>
        <w:t> </w:t>
      </w:r>
      <w:r>
        <w:rPr/>
        <w:t>in</w:t>
      </w:r>
      <w:r>
        <w:rPr>
          <w:spacing w:val="-21"/>
        </w:rPr>
        <w:t> </w:t>
      </w:r>
      <w:r>
        <w:rPr/>
        <w:t>the</w:t>
      </w:r>
      <w:r>
        <w:rPr>
          <w:spacing w:val="-19"/>
        </w:rPr>
        <w:t> </w:t>
      </w:r>
      <w:r>
        <w:rPr/>
        <w:t>70s.</w:t>
      </w:r>
      <w:r>
        <w:rPr>
          <w:spacing w:val="-19"/>
        </w:rPr>
        <w:t> </w:t>
      </w:r>
      <w:r>
        <w:rPr/>
        <w:t>Yet,</w:t>
      </w:r>
      <w:r>
        <w:rPr>
          <w:spacing w:val="-19"/>
        </w:rPr>
        <w:t> </w:t>
      </w:r>
      <w:r>
        <w:rPr/>
        <w:t>Reishi</w:t>
      </w:r>
      <w:r>
        <w:rPr>
          <w:spacing w:val="-20"/>
        </w:rPr>
        <w:t> </w:t>
      </w:r>
      <w:r>
        <w:rPr/>
        <w:t>is</w:t>
      </w:r>
      <w:r>
        <w:rPr>
          <w:spacing w:val="-20"/>
        </w:rPr>
        <w:t> </w:t>
      </w:r>
      <w:r>
        <w:rPr/>
        <w:t>less</w:t>
      </w:r>
      <w:r>
        <w:rPr>
          <w:spacing w:val="-19"/>
        </w:rPr>
        <w:t> </w:t>
      </w:r>
      <w:r>
        <w:rPr/>
        <w:t>suited</w:t>
      </w:r>
      <w:r>
        <w:rPr>
          <w:spacing w:val="-21"/>
        </w:rPr>
        <w:t> </w:t>
      </w:r>
      <w:r>
        <w:rPr/>
        <w:t>as</w:t>
      </w:r>
      <w:r>
        <w:rPr>
          <w:spacing w:val="-20"/>
        </w:rPr>
        <w:t> </w:t>
      </w:r>
      <w:r>
        <w:rPr/>
        <w:t>an</w:t>
      </w:r>
      <w:r>
        <w:rPr>
          <w:spacing w:val="-19"/>
        </w:rPr>
        <w:t> </w:t>
      </w:r>
      <w:r>
        <w:rPr/>
        <w:t>edible</w:t>
      </w:r>
      <w:r>
        <w:rPr>
          <w:spacing w:val="-20"/>
        </w:rPr>
        <w:t> </w:t>
      </w:r>
      <w:r>
        <w:rPr/>
        <w:t>mush- room due to its hard and tough consistency. Since then, Reishi has been culti- vated under the best conditions in laboratories and is available today in</w:t>
      </w:r>
      <w:r>
        <w:rPr>
          <w:spacing w:val="-61"/>
        </w:rPr>
        <w:t> </w:t>
      </w:r>
      <w:r>
        <w:rPr/>
        <w:t>practi- cally every form: extract, tablet, capsule or</w:t>
      </w:r>
      <w:r>
        <w:rPr>
          <w:spacing w:val="1"/>
        </w:rPr>
        <w:t> </w:t>
      </w:r>
      <w:r>
        <w:rPr/>
        <w:t>powder.</w:t>
      </w:r>
    </w:p>
    <w:p>
      <w:pPr>
        <w:pStyle w:val="Heading1"/>
        <w:spacing w:before="223"/>
        <w:ind w:left="616"/>
      </w:pPr>
      <w:r>
        <w:rPr/>
        <w:t>Active agent and effect</w:t>
      </w:r>
    </w:p>
    <w:p>
      <w:pPr>
        <w:pStyle w:val="BodyText"/>
        <w:spacing w:line="276" w:lineRule="auto" w:before="299"/>
        <w:ind w:left="616"/>
      </w:pPr>
      <w:r>
        <w:rPr/>
        <w:t>Reishi</w:t>
      </w:r>
      <w:r>
        <w:rPr>
          <w:spacing w:val="-9"/>
        </w:rPr>
        <w:t> </w:t>
      </w:r>
      <w:r>
        <w:rPr/>
        <w:t>is</w:t>
      </w:r>
      <w:r>
        <w:rPr>
          <w:spacing w:val="-8"/>
        </w:rPr>
        <w:t> </w:t>
      </w:r>
      <w:r>
        <w:rPr/>
        <w:t>characterised</w:t>
      </w:r>
      <w:r>
        <w:rPr>
          <w:spacing w:val="-8"/>
        </w:rPr>
        <w:t> </w:t>
      </w:r>
      <w:r>
        <w:rPr/>
        <w:t>by</w:t>
      </w:r>
      <w:r>
        <w:rPr>
          <w:spacing w:val="-7"/>
        </w:rPr>
        <w:t> </w:t>
      </w:r>
      <w:r>
        <w:rPr/>
        <w:t>an</w:t>
      </w:r>
      <w:r>
        <w:rPr>
          <w:spacing w:val="-9"/>
        </w:rPr>
        <w:t> </w:t>
      </w:r>
      <w:r>
        <w:rPr/>
        <w:t>astounding</w:t>
      </w:r>
      <w:r>
        <w:rPr>
          <w:spacing w:val="-8"/>
        </w:rPr>
        <w:t> </w:t>
      </w:r>
      <w:r>
        <w:rPr/>
        <w:t>number</w:t>
      </w:r>
      <w:r>
        <w:rPr>
          <w:spacing w:val="-7"/>
        </w:rPr>
        <w:t> </w:t>
      </w:r>
      <w:r>
        <w:rPr/>
        <w:t>of</w:t>
      </w:r>
      <w:r>
        <w:rPr>
          <w:spacing w:val="-8"/>
        </w:rPr>
        <w:t> </w:t>
      </w:r>
      <w:r>
        <w:rPr/>
        <w:t>vital</w:t>
      </w:r>
      <w:r>
        <w:rPr>
          <w:spacing w:val="-9"/>
        </w:rPr>
        <w:t> </w:t>
      </w:r>
      <w:r>
        <w:rPr/>
        <w:t>ingredients</w:t>
      </w:r>
      <w:r>
        <w:rPr>
          <w:spacing w:val="-8"/>
        </w:rPr>
        <w:t> </w:t>
      </w:r>
      <w:r>
        <w:rPr/>
        <w:t>and</w:t>
      </w:r>
      <w:r>
        <w:rPr>
          <w:spacing w:val="-8"/>
        </w:rPr>
        <w:t> </w:t>
      </w:r>
      <w:r>
        <w:rPr/>
        <w:t>nutri- ents</w:t>
      </w:r>
      <w:r>
        <w:rPr>
          <w:spacing w:val="-17"/>
        </w:rPr>
        <w:t> </w:t>
      </w:r>
      <w:r>
        <w:rPr/>
        <w:t>such</w:t>
      </w:r>
      <w:r>
        <w:rPr>
          <w:spacing w:val="-19"/>
        </w:rPr>
        <w:t> </w:t>
      </w:r>
      <w:r>
        <w:rPr/>
        <w:t>as</w:t>
      </w:r>
      <w:r>
        <w:rPr>
          <w:spacing w:val="-19"/>
        </w:rPr>
        <w:t> </w:t>
      </w:r>
      <w:r>
        <w:rPr/>
        <w:t>vitamins,</w:t>
      </w:r>
      <w:r>
        <w:rPr>
          <w:spacing w:val="-17"/>
        </w:rPr>
        <w:t> </w:t>
      </w:r>
      <w:r>
        <w:rPr/>
        <w:t>minerals,</w:t>
      </w:r>
      <w:r>
        <w:rPr>
          <w:spacing w:val="-19"/>
        </w:rPr>
        <w:t> </w:t>
      </w:r>
      <w:r>
        <w:rPr/>
        <w:t>trace</w:t>
      </w:r>
      <w:r>
        <w:rPr>
          <w:spacing w:val="-17"/>
        </w:rPr>
        <w:t> </w:t>
      </w:r>
      <w:r>
        <w:rPr/>
        <w:t>elements</w:t>
      </w:r>
      <w:r>
        <w:rPr>
          <w:spacing w:val="-19"/>
        </w:rPr>
        <w:t> </w:t>
      </w:r>
      <w:r>
        <w:rPr/>
        <w:t>and</w:t>
      </w:r>
      <w:r>
        <w:rPr>
          <w:spacing w:val="-18"/>
        </w:rPr>
        <w:t> </w:t>
      </w:r>
      <w:r>
        <w:rPr/>
        <w:t>secondary</w:t>
      </w:r>
      <w:r>
        <w:rPr>
          <w:spacing w:val="-19"/>
        </w:rPr>
        <w:t> </w:t>
      </w:r>
      <w:r>
        <w:rPr/>
        <w:t>plant</w:t>
      </w:r>
      <w:r>
        <w:rPr>
          <w:spacing w:val="-17"/>
        </w:rPr>
        <w:t> </w:t>
      </w:r>
      <w:r>
        <w:rPr/>
        <w:t>substances.</w:t>
      </w:r>
    </w:p>
    <w:p>
      <w:pPr>
        <w:pStyle w:val="Heading1"/>
        <w:spacing w:before="221"/>
        <w:ind w:left="616"/>
        <w:jc w:val="both"/>
      </w:pPr>
      <w:r>
        <w:rPr/>
        <w:t>The active ingredient groups</w:t>
      </w:r>
    </w:p>
    <w:p>
      <w:pPr>
        <w:pStyle w:val="ListParagraph"/>
        <w:numPr>
          <w:ilvl w:val="0"/>
          <w:numId w:val="128"/>
        </w:numPr>
        <w:tabs>
          <w:tab w:pos="1617" w:val="left" w:leader="none"/>
          <w:tab w:pos="1618" w:val="left" w:leader="none"/>
        </w:tabs>
        <w:spacing w:line="240" w:lineRule="auto" w:before="260" w:after="0"/>
        <w:ind w:left="1182" w:right="0" w:hanging="208"/>
        <w:jc w:val="left"/>
        <w:rPr>
          <w:sz w:val="38"/>
        </w:rPr>
      </w:pPr>
      <w:r>
        <w:rPr>
          <w:sz w:val="38"/>
        </w:rPr>
        <w:t>Vitamins</w:t>
      </w:r>
    </w:p>
    <w:p>
      <w:pPr>
        <w:pStyle w:val="ListParagraph"/>
        <w:numPr>
          <w:ilvl w:val="0"/>
          <w:numId w:val="128"/>
        </w:numPr>
        <w:tabs>
          <w:tab w:pos="1617" w:val="left" w:leader="none"/>
          <w:tab w:pos="1618" w:val="left" w:leader="none"/>
        </w:tabs>
        <w:spacing w:line="240" w:lineRule="auto" w:before="184" w:after="0"/>
        <w:ind w:left="1182" w:right="0" w:hanging="208"/>
        <w:jc w:val="left"/>
        <w:rPr>
          <w:sz w:val="38"/>
        </w:rPr>
      </w:pPr>
      <w:r>
        <w:rPr>
          <w:sz w:val="38"/>
        </w:rPr>
        <w:t>Minerals</w:t>
      </w:r>
    </w:p>
    <w:p>
      <w:pPr>
        <w:pStyle w:val="ListParagraph"/>
        <w:numPr>
          <w:ilvl w:val="0"/>
          <w:numId w:val="128"/>
        </w:numPr>
        <w:tabs>
          <w:tab w:pos="1617" w:val="left" w:leader="none"/>
          <w:tab w:pos="1618" w:val="left" w:leader="none"/>
        </w:tabs>
        <w:spacing w:line="240" w:lineRule="auto" w:before="184" w:after="0"/>
        <w:ind w:left="1182" w:right="0" w:hanging="208"/>
        <w:jc w:val="left"/>
        <w:rPr>
          <w:sz w:val="38"/>
        </w:rPr>
      </w:pPr>
      <w:r>
        <w:rPr>
          <w:sz w:val="38"/>
        </w:rPr>
        <w:t>Trace elements</w:t>
      </w:r>
    </w:p>
    <w:p>
      <w:pPr>
        <w:pStyle w:val="ListParagraph"/>
        <w:numPr>
          <w:ilvl w:val="0"/>
          <w:numId w:val="128"/>
        </w:numPr>
        <w:tabs>
          <w:tab w:pos="1617" w:val="left" w:leader="none"/>
          <w:tab w:pos="1618" w:val="left" w:leader="none"/>
        </w:tabs>
        <w:spacing w:line="240" w:lineRule="auto" w:before="186" w:after="0"/>
        <w:ind w:left="1182" w:right="0" w:hanging="208"/>
        <w:jc w:val="left"/>
        <w:rPr>
          <w:sz w:val="38"/>
        </w:rPr>
      </w:pPr>
      <w:r>
        <w:rPr>
          <w:sz w:val="38"/>
        </w:rPr>
        <w:t>Secondary plant</w:t>
      </w:r>
      <w:r>
        <w:rPr>
          <w:spacing w:val="1"/>
          <w:sz w:val="38"/>
        </w:rPr>
        <w:t> </w:t>
      </w:r>
      <w:r>
        <w:rPr>
          <w:sz w:val="38"/>
        </w:rPr>
        <w:t>substances</w:t>
      </w:r>
    </w:p>
    <w:p>
      <w:pPr>
        <w:pStyle w:val="ListParagraph"/>
        <w:numPr>
          <w:ilvl w:val="0"/>
          <w:numId w:val="128"/>
        </w:numPr>
        <w:tabs>
          <w:tab w:pos="1617" w:val="left" w:leader="none"/>
          <w:tab w:pos="1618" w:val="left" w:leader="none"/>
        </w:tabs>
        <w:spacing w:line="240" w:lineRule="auto" w:before="184" w:after="0"/>
        <w:ind w:left="1182" w:right="0" w:hanging="208"/>
        <w:jc w:val="left"/>
        <w:rPr>
          <w:sz w:val="38"/>
        </w:rPr>
      </w:pPr>
      <w:r>
        <w:rPr>
          <w:sz w:val="38"/>
        </w:rPr>
        <w:t>Unsaturated fatty</w:t>
      </w:r>
      <w:r>
        <w:rPr>
          <w:spacing w:val="-1"/>
          <w:sz w:val="38"/>
        </w:rPr>
        <w:t> </w:t>
      </w:r>
      <w:r>
        <w:rPr>
          <w:sz w:val="38"/>
        </w:rPr>
        <w:t>acids</w:t>
      </w:r>
    </w:p>
    <w:p>
      <w:pPr>
        <w:pStyle w:val="ListParagraph"/>
        <w:numPr>
          <w:ilvl w:val="0"/>
          <w:numId w:val="128"/>
        </w:numPr>
        <w:tabs>
          <w:tab w:pos="1617" w:val="left" w:leader="none"/>
          <w:tab w:pos="1618" w:val="left" w:leader="none"/>
        </w:tabs>
        <w:spacing w:line="240" w:lineRule="auto" w:before="183" w:after="0"/>
        <w:ind w:left="1182" w:right="0" w:hanging="208"/>
        <w:jc w:val="left"/>
        <w:rPr>
          <w:sz w:val="38"/>
        </w:rPr>
      </w:pPr>
      <w:r>
        <w:rPr>
          <w:sz w:val="38"/>
        </w:rPr>
        <w:t>Alkaloids</w:t>
      </w:r>
    </w:p>
    <w:p>
      <w:pPr>
        <w:pStyle w:val="ListParagraph"/>
        <w:numPr>
          <w:ilvl w:val="0"/>
          <w:numId w:val="128"/>
        </w:numPr>
        <w:tabs>
          <w:tab w:pos="1617" w:val="left" w:leader="none"/>
          <w:tab w:pos="1618" w:val="left" w:leader="none"/>
        </w:tabs>
        <w:spacing w:line="240" w:lineRule="auto" w:before="184" w:after="0"/>
        <w:ind w:left="1182" w:right="0" w:hanging="208"/>
        <w:jc w:val="left"/>
        <w:rPr>
          <w:sz w:val="38"/>
        </w:rPr>
      </w:pPr>
      <w:r>
        <w:rPr>
          <w:sz w:val="38"/>
        </w:rPr>
        <w:t>Glycoproteins</w:t>
      </w:r>
    </w:p>
    <w:p>
      <w:pPr>
        <w:pStyle w:val="ListParagraph"/>
        <w:numPr>
          <w:ilvl w:val="0"/>
          <w:numId w:val="128"/>
        </w:numPr>
        <w:tabs>
          <w:tab w:pos="1617" w:val="left" w:leader="none"/>
          <w:tab w:pos="1618" w:val="left" w:leader="none"/>
        </w:tabs>
        <w:spacing w:line="240" w:lineRule="auto" w:before="184" w:after="0"/>
        <w:ind w:left="1182" w:right="0" w:hanging="208"/>
        <w:jc w:val="left"/>
        <w:rPr>
          <w:sz w:val="38"/>
        </w:rPr>
      </w:pPr>
      <w:r>
        <w:rPr>
          <w:sz w:val="38"/>
        </w:rPr>
        <w:t>Sterine</w:t>
      </w:r>
    </w:p>
    <w:p>
      <w:pPr>
        <w:spacing w:after="0" w:line="240" w:lineRule="auto"/>
        <w:jc w:val="left"/>
        <w:rPr>
          <w:sz w:val="38"/>
        </w:rPr>
        <w:sectPr>
          <w:pgSz w:w="14270" w:h="16850"/>
          <w:pgMar w:header="0" w:footer="1891" w:top="1340" w:bottom="2080" w:left="800" w:right="1280"/>
        </w:sectPr>
      </w:pPr>
    </w:p>
    <w:p>
      <w:pPr>
        <w:pStyle w:val="ListParagraph"/>
        <w:numPr>
          <w:ilvl w:val="0"/>
          <w:numId w:val="128"/>
        </w:numPr>
        <w:tabs>
          <w:tab w:pos="1617" w:val="left" w:leader="none"/>
          <w:tab w:pos="1618" w:val="left" w:leader="none"/>
        </w:tabs>
        <w:spacing w:line="240" w:lineRule="auto" w:before="53" w:after="0"/>
        <w:ind w:left="1182" w:right="0" w:hanging="208"/>
        <w:jc w:val="left"/>
        <w:rPr>
          <w:sz w:val="38"/>
        </w:rPr>
      </w:pPr>
      <w:r>
        <w:rPr>
          <w:sz w:val="38"/>
        </w:rPr>
        <w:t>Lactone</w:t>
      </w:r>
    </w:p>
    <w:p>
      <w:pPr>
        <w:pStyle w:val="ListParagraph"/>
        <w:numPr>
          <w:ilvl w:val="0"/>
          <w:numId w:val="128"/>
        </w:numPr>
        <w:tabs>
          <w:tab w:pos="1617" w:val="left" w:leader="none"/>
          <w:tab w:pos="1618" w:val="left" w:leader="none"/>
        </w:tabs>
        <w:spacing w:line="240" w:lineRule="auto" w:before="186" w:after="0"/>
        <w:ind w:left="1182" w:right="0" w:hanging="208"/>
        <w:jc w:val="left"/>
        <w:rPr>
          <w:sz w:val="38"/>
        </w:rPr>
      </w:pPr>
      <w:r>
        <w:rPr>
          <w:sz w:val="38"/>
        </w:rPr>
        <w:t>Amino</w:t>
      </w:r>
      <w:r>
        <w:rPr>
          <w:spacing w:val="1"/>
          <w:sz w:val="38"/>
        </w:rPr>
        <w:t> </w:t>
      </w:r>
      <w:r>
        <w:rPr>
          <w:sz w:val="38"/>
        </w:rPr>
        <w:t>acids</w:t>
      </w:r>
    </w:p>
    <w:p>
      <w:pPr>
        <w:pStyle w:val="ListParagraph"/>
        <w:numPr>
          <w:ilvl w:val="0"/>
          <w:numId w:val="128"/>
        </w:numPr>
        <w:tabs>
          <w:tab w:pos="1617" w:val="left" w:leader="none"/>
          <w:tab w:pos="1618" w:val="left" w:leader="none"/>
        </w:tabs>
        <w:spacing w:line="240" w:lineRule="auto" w:before="184" w:after="0"/>
        <w:ind w:left="1182" w:right="0" w:hanging="208"/>
        <w:jc w:val="left"/>
        <w:rPr>
          <w:sz w:val="38"/>
        </w:rPr>
      </w:pPr>
      <w:r>
        <w:rPr>
          <w:sz w:val="38"/>
        </w:rPr>
        <w:t>Carbohydrates</w:t>
      </w:r>
    </w:p>
    <w:p>
      <w:pPr>
        <w:pStyle w:val="ListParagraph"/>
        <w:numPr>
          <w:ilvl w:val="0"/>
          <w:numId w:val="128"/>
        </w:numPr>
        <w:tabs>
          <w:tab w:pos="1617" w:val="left" w:leader="none"/>
          <w:tab w:pos="1618" w:val="left" w:leader="none"/>
        </w:tabs>
        <w:spacing w:line="240" w:lineRule="auto" w:before="184" w:after="0"/>
        <w:ind w:left="1182" w:right="0" w:hanging="208"/>
        <w:jc w:val="left"/>
        <w:rPr>
          <w:sz w:val="38"/>
        </w:rPr>
      </w:pPr>
      <w:r>
        <w:rPr>
          <w:sz w:val="38"/>
        </w:rPr>
        <w:t>Fats</w:t>
      </w:r>
    </w:p>
    <w:p>
      <w:pPr>
        <w:pStyle w:val="ListParagraph"/>
        <w:numPr>
          <w:ilvl w:val="0"/>
          <w:numId w:val="128"/>
        </w:numPr>
        <w:tabs>
          <w:tab w:pos="1617" w:val="left" w:leader="none"/>
          <w:tab w:pos="1618" w:val="left" w:leader="none"/>
        </w:tabs>
        <w:spacing w:line="240" w:lineRule="auto" w:before="183" w:after="0"/>
        <w:ind w:left="1182" w:right="0" w:hanging="208"/>
        <w:jc w:val="left"/>
        <w:rPr>
          <w:sz w:val="38"/>
        </w:rPr>
      </w:pPr>
      <w:r>
        <w:rPr>
          <w:sz w:val="38"/>
        </w:rPr>
        <w:t>Fibre</w:t>
      </w:r>
    </w:p>
    <w:p>
      <w:pPr>
        <w:pStyle w:val="ListParagraph"/>
        <w:numPr>
          <w:ilvl w:val="0"/>
          <w:numId w:val="128"/>
        </w:numPr>
        <w:tabs>
          <w:tab w:pos="1617" w:val="left" w:leader="none"/>
          <w:tab w:pos="1618" w:val="left" w:leader="none"/>
        </w:tabs>
        <w:spacing w:line="240" w:lineRule="auto" w:before="184" w:after="0"/>
        <w:ind w:left="1182" w:right="0" w:hanging="208"/>
        <w:jc w:val="left"/>
        <w:rPr>
          <w:sz w:val="38"/>
        </w:rPr>
      </w:pPr>
      <w:r>
        <w:rPr>
          <w:sz w:val="38"/>
        </w:rPr>
        <w:t>Polysaccharides</w:t>
      </w:r>
    </w:p>
    <w:p>
      <w:pPr>
        <w:pStyle w:val="ListParagraph"/>
        <w:numPr>
          <w:ilvl w:val="0"/>
          <w:numId w:val="128"/>
        </w:numPr>
        <w:tabs>
          <w:tab w:pos="1617" w:val="left" w:leader="none"/>
          <w:tab w:pos="1618" w:val="left" w:leader="none"/>
        </w:tabs>
        <w:spacing w:line="240" w:lineRule="auto" w:before="186" w:after="0"/>
        <w:ind w:left="1182" w:right="0" w:hanging="208"/>
        <w:jc w:val="left"/>
        <w:rPr>
          <w:sz w:val="38"/>
        </w:rPr>
      </w:pPr>
      <w:r>
        <w:rPr>
          <w:sz w:val="38"/>
        </w:rPr>
        <w:t>Triterpenes</w:t>
      </w:r>
    </w:p>
    <w:p>
      <w:pPr>
        <w:pStyle w:val="ListParagraph"/>
        <w:numPr>
          <w:ilvl w:val="0"/>
          <w:numId w:val="128"/>
        </w:numPr>
        <w:tabs>
          <w:tab w:pos="1617" w:val="left" w:leader="none"/>
          <w:tab w:pos="1618" w:val="left" w:leader="none"/>
        </w:tabs>
        <w:spacing w:line="240" w:lineRule="auto" w:before="184" w:after="0"/>
        <w:ind w:left="1182" w:right="0" w:hanging="208"/>
        <w:jc w:val="left"/>
        <w:rPr>
          <w:sz w:val="38"/>
        </w:rPr>
      </w:pPr>
      <w:r>
        <w:rPr>
          <w:sz w:val="38"/>
        </w:rPr>
        <w:t>Nucleotides</w:t>
      </w:r>
    </w:p>
    <w:p>
      <w:pPr>
        <w:pStyle w:val="ListParagraph"/>
        <w:numPr>
          <w:ilvl w:val="0"/>
          <w:numId w:val="128"/>
        </w:numPr>
        <w:tabs>
          <w:tab w:pos="1617" w:val="left" w:leader="none"/>
          <w:tab w:pos="1618" w:val="left" w:leader="none"/>
        </w:tabs>
        <w:spacing w:line="240" w:lineRule="auto" w:before="184" w:after="0"/>
        <w:ind w:left="1182" w:right="0" w:hanging="208"/>
        <w:jc w:val="left"/>
        <w:rPr>
          <w:sz w:val="38"/>
        </w:rPr>
      </w:pPr>
      <w:r>
        <w:rPr>
          <w:sz w:val="38"/>
        </w:rPr>
        <w:t>Nucleosides</w:t>
      </w:r>
    </w:p>
    <w:p>
      <w:pPr>
        <w:pStyle w:val="ListParagraph"/>
        <w:numPr>
          <w:ilvl w:val="0"/>
          <w:numId w:val="128"/>
        </w:numPr>
        <w:tabs>
          <w:tab w:pos="1617" w:val="left" w:leader="none"/>
          <w:tab w:pos="1618" w:val="left" w:leader="none"/>
        </w:tabs>
        <w:spacing w:line="240" w:lineRule="auto" w:before="183" w:after="0"/>
        <w:ind w:left="1182" w:right="0" w:hanging="208"/>
        <w:jc w:val="left"/>
        <w:rPr>
          <w:sz w:val="38"/>
        </w:rPr>
      </w:pPr>
      <w:r>
        <w:rPr>
          <w:sz w:val="38"/>
        </w:rPr>
        <w:t>Cycloocta</w:t>
      </w:r>
      <w:r>
        <w:rPr>
          <w:spacing w:val="-1"/>
          <w:sz w:val="38"/>
        </w:rPr>
        <w:t> </w:t>
      </w:r>
      <w:r>
        <w:rPr>
          <w:sz w:val="38"/>
        </w:rPr>
        <w:t>sulphur</w:t>
      </w:r>
    </w:p>
    <w:p>
      <w:pPr>
        <w:pStyle w:val="ListParagraph"/>
        <w:numPr>
          <w:ilvl w:val="0"/>
          <w:numId w:val="128"/>
        </w:numPr>
        <w:tabs>
          <w:tab w:pos="1617" w:val="left" w:leader="none"/>
          <w:tab w:pos="1618" w:val="left" w:leader="none"/>
        </w:tabs>
        <w:spacing w:line="240" w:lineRule="auto" w:before="186" w:after="0"/>
        <w:ind w:left="1182" w:right="0" w:hanging="208"/>
        <w:jc w:val="left"/>
        <w:rPr>
          <w:sz w:val="38"/>
        </w:rPr>
      </w:pPr>
      <w:r>
        <w:rPr>
          <w:sz w:val="38"/>
        </w:rPr>
        <w:t>Steroids</w:t>
      </w:r>
    </w:p>
    <w:p>
      <w:pPr>
        <w:pStyle w:val="BodyText"/>
        <w:spacing w:before="305"/>
        <w:ind w:left="616"/>
      </w:pPr>
      <w:r>
        <w:rPr/>
        <w:t>These are further subdivided into:</w:t>
      </w:r>
    </w:p>
    <w:p>
      <w:pPr>
        <w:pStyle w:val="ListParagraph"/>
        <w:numPr>
          <w:ilvl w:val="0"/>
          <w:numId w:val="128"/>
        </w:numPr>
        <w:tabs>
          <w:tab w:pos="1374" w:val="left" w:leader="none"/>
          <w:tab w:pos="1375" w:val="left" w:leader="none"/>
        </w:tabs>
        <w:spacing w:line="240" w:lineRule="auto" w:before="263" w:after="0"/>
        <w:ind w:left="1374" w:right="0" w:hanging="333"/>
        <w:jc w:val="left"/>
        <w:rPr>
          <w:sz w:val="38"/>
        </w:rPr>
      </w:pPr>
      <w:r>
        <w:rPr>
          <w:sz w:val="38"/>
        </w:rPr>
        <w:t>Vitamins: A, B2, B3, B6, C, Biotin, folic</w:t>
      </w:r>
      <w:r>
        <w:rPr>
          <w:spacing w:val="1"/>
          <w:sz w:val="38"/>
        </w:rPr>
        <w:t> </w:t>
      </w:r>
      <w:r>
        <w:rPr>
          <w:sz w:val="38"/>
        </w:rPr>
        <w:t>acid</w:t>
      </w:r>
    </w:p>
    <w:p>
      <w:pPr>
        <w:pStyle w:val="ListParagraph"/>
        <w:numPr>
          <w:ilvl w:val="0"/>
          <w:numId w:val="128"/>
        </w:numPr>
        <w:tabs>
          <w:tab w:pos="1374" w:val="left" w:leader="none"/>
          <w:tab w:pos="1375" w:val="left" w:leader="none"/>
        </w:tabs>
        <w:spacing w:line="273" w:lineRule="auto" w:before="184" w:after="0"/>
        <w:ind w:left="1182" w:right="142" w:hanging="141"/>
        <w:jc w:val="left"/>
        <w:rPr>
          <w:sz w:val="38"/>
        </w:rPr>
      </w:pPr>
      <w:r>
        <w:rPr>
          <w:sz w:val="38"/>
        </w:rPr>
        <w:t>Minerals: Magnesium, calcium, iron, zinc, copper, manganese, germa- nium</w:t>
      </w:r>
    </w:p>
    <w:p>
      <w:pPr>
        <w:pStyle w:val="ListParagraph"/>
        <w:numPr>
          <w:ilvl w:val="0"/>
          <w:numId w:val="128"/>
        </w:numPr>
        <w:tabs>
          <w:tab w:pos="1374" w:val="left" w:leader="none"/>
          <w:tab w:pos="1375" w:val="left" w:leader="none"/>
          <w:tab w:pos="3991" w:val="left" w:leader="none"/>
          <w:tab w:pos="5282" w:val="left" w:leader="none"/>
          <w:tab w:pos="6538" w:val="left" w:leader="none"/>
          <w:tab w:pos="7829" w:val="left" w:leader="none"/>
          <w:tab w:pos="9003" w:val="left" w:leader="none"/>
          <w:tab w:pos="9779" w:val="left" w:leader="none"/>
          <w:tab w:pos="10554" w:val="left" w:leader="none"/>
          <w:tab w:pos="11209" w:val="left" w:leader="none"/>
        </w:tabs>
        <w:spacing w:line="273" w:lineRule="auto" w:before="127" w:after="0"/>
        <w:ind w:left="1182" w:right="133" w:hanging="141"/>
        <w:jc w:val="left"/>
        <w:rPr>
          <w:sz w:val="38"/>
        </w:rPr>
      </w:pPr>
      <w:r>
        <w:rPr>
          <w:sz w:val="38"/>
        </w:rPr>
        <w:t>Polysaccharides:</w:t>
        <w:tab/>
        <w:t>Beta-D</w:t>
        <w:tab/>
        <w:t>glucan,</w:t>
        <w:tab/>
        <w:t>Beta-D</w:t>
        <w:tab/>
        <w:t>glucan</w:t>
        <w:tab/>
        <w:t>D6,</w:t>
        <w:tab/>
        <w:t>FA,</w:t>
        <w:tab/>
        <w:t>FI,</w:t>
        <w:tab/>
        <w:t>Fi-1a, Ganoderans A, B, C,</w:t>
      </w:r>
    </w:p>
    <w:p>
      <w:pPr>
        <w:pStyle w:val="ListParagraph"/>
        <w:numPr>
          <w:ilvl w:val="0"/>
          <w:numId w:val="128"/>
        </w:numPr>
        <w:tabs>
          <w:tab w:pos="1374" w:val="left" w:leader="none"/>
          <w:tab w:pos="1375" w:val="left" w:leader="none"/>
        </w:tabs>
        <w:spacing w:line="240" w:lineRule="auto" w:before="128" w:after="0"/>
        <w:ind w:left="1374" w:right="0" w:hanging="333"/>
        <w:jc w:val="left"/>
        <w:rPr>
          <w:sz w:val="38"/>
        </w:rPr>
      </w:pPr>
      <w:r>
        <w:rPr>
          <w:sz w:val="38"/>
        </w:rPr>
        <w:t>Nucleotides Adenosin</w:t>
      </w:r>
    </w:p>
    <w:p>
      <w:pPr>
        <w:pStyle w:val="ListParagraph"/>
        <w:numPr>
          <w:ilvl w:val="0"/>
          <w:numId w:val="128"/>
        </w:numPr>
        <w:tabs>
          <w:tab w:pos="1374" w:val="left" w:leader="none"/>
          <w:tab w:pos="1375" w:val="left" w:leader="none"/>
        </w:tabs>
        <w:spacing w:line="240" w:lineRule="auto" w:before="183" w:after="0"/>
        <w:ind w:left="1374" w:right="0" w:hanging="333"/>
        <w:jc w:val="left"/>
        <w:rPr>
          <w:sz w:val="38"/>
        </w:rPr>
      </w:pPr>
      <w:r>
        <w:rPr>
          <w:sz w:val="38"/>
        </w:rPr>
        <w:t>Triterpenes</w:t>
      </w:r>
      <w:r>
        <w:rPr>
          <w:spacing w:val="73"/>
          <w:sz w:val="38"/>
        </w:rPr>
        <w:t> </w:t>
      </w:r>
      <w:r>
        <w:rPr>
          <w:sz w:val="38"/>
        </w:rPr>
        <w:t>A,</w:t>
      </w:r>
      <w:r>
        <w:rPr>
          <w:spacing w:val="71"/>
          <w:sz w:val="38"/>
        </w:rPr>
        <w:t> </w:t>
      </w:r>
      <w:r>
        <w:rPr>
          <w:sz w:val="38"/>
        </w:rPr>
        <w:t>B,</w:t>
      </w:r>
      <w:r>
        <w:rPr>
          <w:spacing w:val="72"/>
          <w:sz w:val="38"/>
        </w:rPr>
        <w:t> </w:t>
      </w:r>
      <w:r>
        <w:rPr>
          <w:sz w:val="38"/>
        </w:rPr>
        <w:t>C,</w:t>
      </w:r>
      <w:r>
        <w:rPr>
          <w:spacing w:val="73"/>
          <w:sz w:val="38"/>
        </w:rPr>
        <w:t> </w:t>
      </w:r>
      <w:r>
        <w:rPr>
          <w:sz w:val="38"/>
        </w:rPr>
        <w:t>D,</w:t>
      </w:r>
      <w:r>
        <w:rPr>
          <w:spacing w:val="74"/>
          <w:sz w:val="38"/>
        </w:rPr>
        <w:t> </w:t>
      </w:r>
      <w:r>
        <w:rPr>
          <w:sz w:val="38"/>
        </w:rPr>
        <w:t>F,</w:t>
      </w:r>
      <w:r>
        <w:rPr>
          <w:spacing w:val="73"/>
          <w:sz w:val="38"/>
        </w:rPr>
        <w:t> </w:t>
      </w:r>
      <w:r>
        <w:rPr>
          <w:sz w:val="38"/>
        </w:rPr>
        <w:t>H,</w:t>
      </w:r>
      <w:r>
        <w:rPr>
          <w:spacing w:val="74"/>
          <w:sz w:val="38"/>
        </w:rPr>
        <w:t> </w:t>
      </w:r>
      <w:r>
        <w:rPr>
          <w:sz w:val="38"/>
        </w:rPr>
        <w:t>K,</w:t>
      </w:r>
      <w:r>
        <w:rPr>
          <w:spacing w:val="73"/>
          <w:sz w:val="38"/>
        </w:rPr>
        <w:t> </w:t>
      </w:r>
      <w:r>
        <w:rPr>
          <w:sz w:val="38"/>
        </w:rPr>
        <w:t>R,</w:t>
      </w:r>
      <w:r>
        <w:rPr>
          <w:spacing w:val="70"/>
          <w:sz w:val="38"/>
        </w:rPr>
        <w:t> </w:t>
      </w:r>
      <w:r>
        <w:rPr>
          <w:sz w:val="38"/>
        </w:rPr>
        <w:t>S,</w:t>
      </w:r>
      <w:r>
        <w:rPr>
          <w:spacing w:val="74"/>
          <w:sz w:val="38"/>
        </w:rPr>
        <w:t> </w:t>
      </w:r>
      <w:r>
        <w:rPr>
          <w:sz w:val="38"/>
        </w:rPr>
        <w:t>Y,</w:t>
      </w:r>
      <w:r>
        <w:rPr>
          <w:spacing w:val="74"/>
          <w:sz w:val="38"/>
        </w:rPr>
        <w:t> </w:t>
      </w:r>
      <w:r>
        <w:rPr>
          <w:sz w:val="38"/>
        </w:rPr>
        <w:t>ganodermic</w:t>
      </w:r>
      <w:r>
        <w:rPr>
          <w:spacing w:val="72"/>
          <w:sz w:val="38"/>
        </w:rPr>
        <w:t> </w:t>
      </w:r>
      <w:r>
        <w:rPr>
          <w:sz w:val="38"/>
        </w:rPr>
        <w:t>acids</w:t>
      </w:r>
      <w:r>
        <w:rPr>
          <w:spacing w:val="73"/>
          <w:sz w:val="38"/>
        </w:rPr>
        <w:t> </w:t>
      </w:r>
      <w:r>
        <w:rPr>
          <w:sz w:val="38"/>
        </w:rPr>
        <w:t>B,</w:t>
      </w:r>
      <w:r>
        <w:rPr>
          <w:spacing w:val="73"/>
          <w:sz w:val="38"/>
        </w:rPr>
        <w:t> </w:t>
      </w:r>
      <w:r>
        <w:rPr>
          <w:sz w:val="38"/>
        </w:rPr>
        <w:t>Mf,</w:t>
      </w:r>
    </w:p>
    <w:p>
      <w:pPr>
        <w:spacing w:after="0" w:line="240" w:lineRule="auto"/>
        <w:jc w:val="left"/>
        <w:rPr>
          <w:sz w:val="38"/>
        </w:rPr>
        <w:sectPr>
          <w:pgSz w:w="14270" w:h="16850"/>
          <w:pgMar w:header="0" w:footer="1891" w:top="1360" w:bottom="2080" w:left="800" w:right="1280"/>
        </w:sectPr>
      </w:pPr>
    </w:p>
    <w:p>
      <w:pPr>
        <w:pStyle w:val="BodyText"/>
        <w:spacing w:before="72"/>
        <w:ind w:left="1182"/>
      </w:pPr>
      <w:r>
        <w:rPr/>
        <w:t>Ganodermadiol</w:t>
      </w:r>
    </w:p>
    <w:p>
      <w:pPr>
        <w:pStyle w:val="BodyText"/>
        <w:rPr>
          <w:sz w:val="42"/>
        </w:rPr>
      </w:pPr>
    </w:p>
    <w:p>
      <w:pPr>
        <w:pStyle w:val="BodyText"/>
        <w:rPr>
          <w:sz w:val="42"/>
        </w:rPr>
      </w:pPr>
    </w:p>
    <w:p>
      <w:pPr>
        <w:pStyle w:val="BodyText"/>
        <w:rPr>
          <w:sz w:val="45"/>
        </w:rPr>
      </w:pPr>
    </w:p>
    <w:p>
      <w:pPr>
        <w:pStyle w:val="Heading2"/>
        <w:ind w:left="616"/>
      </w:pPr>
      <w:r>
        <w:rPr/>
        <w:t>The effect of Reishi-Lingzhi active ingredients</w:t>
      </w:r>
    </w:p>
    <w:p>
      <w:pPr>
        <w:spacing w:before="285"/>
        <w:ind w:left="616" w:right="0" w:firstLine="0"/>
        <w:jc w:val="left"/>
        <w:rPr>
          <w:b/>
          <w:i/>
          <w:sz w:val="40"/>
        </w:rPr>
      </w:pPr>
      <w:r>
        <w:rPr>
          <w:b/>
          <w:i/>
          <w:sz w:val="40"/>
        </w:rPr>
        <w:t>Polysaccharides</w:t>
      </w:r>
    </w:p>
    <w:p>
      <w:pPr>
        <w:pStyle w:val="BodyText"/>
        <w:spacing w:line="276" w:lineRule="auto" w:before="299"/>
        <w:ind w:left="616" w:right="132"/>
        <w:jc w:val="both"/>
      </w:pPr>
      <w:r>
        <w:rPr/>
        <w:t>Specific effects of Reishi-Lingzhi include the stimulation of the immune sys- tem</w:t>
      </w:r>
      <w:r>
        <w:rPr>
          <w:spacing w:val="-6"/>
        </w:rPr>
        <w:t> </w:t>
      </w:r>
      <w:r>
        <w:rPr/>
        <w:t>as</w:t>
      </w:r>
      <w:r>
        <w:rPr>
          <w:spacing w:val="-8"/>
        </w:rPr>
        <w:t> </w:t>
      </w:r>
      <w:r>
        <w:rPr/>
        <w:t>well</w:t>
      </w:r>
      <w:r>
        <w:rPr>
          <w:spacing w:val="-8"/>
        </w:rPr>
        <w:t> </w:t>
      </w:r>
      <w:r>
        <w:rPr/>
        <w:t>as</w:t>
      </w:r>
      <w:r>
        <w:rPr>
          <w:spacing w:val="-7"/>
        </w:rPr>
        <w:t> </w:t>
      </w:r>
      <w:r>
        <w:rPr/>
        <w:t>tumour</w:t>
      </w:r>
      <w:r>
        <w:rPr>
          <w:spacing w:val="-6"/>
        </w:rPr>
        <w:t> </w:t>
      </w:r>
      <w:r>
        <w:rPr/>
        <w:t>inhibiting</w:t>
      </w:r>
      <w:r>
        <w:rPr>
          <w:spacing w:val="-6"/>
        </w:rPr>
        <w:t> </w:t>
      </w:r>
      <w:r>
        <w:rPr/>
        <w:t>activities</w:t>
      </w:r>
      <w:r>
        <w:rPr>
          <w:spacing w:val="-7"/>
        </w:rPr>
        <w:t> </w:t>
      </w:r>
      <w:r>
        <w:rPr/>
        <w:t>which</w:t>
      </w:r>
      <w:r>
        <w:rPr>
          <w:spacing w:val="-6"/>
        </w:rPr>
        <w:t> </w:t>
      </w:r>
      <w:r>
        <w:rPr/>
        <w:t>can</w:t>
      </w:r>
      <w:r>
        <w:rPr>
          <w:spacing w:val="-6"/>
        </w:rPr>
        <w:t> </w:t>
      </w:r>
      <w:r>
        <w:rPr/>
        <w:t>be</w:t>
      </w:r>
      <w:r>
        <w:rPr>
          <w:spacing w:val="-5"/>
        </w:rPr>
        <w:t> </w:t>
      </w:r>
      <w:r>
        <w:rPr/>
        <w:t>attributed</w:t>
      </w:r>
      <w:r>
        <w:rPr>
          <w:spacing w:val="-7"/>
        </w:rPr>
        <w:t> </w:t>
      </w:r>
      <w:r>
        <w:rPr/>
        <w:t>to</w:t>
      </w:r>
      <w:r>
        <w:rPr>
          <w:spacing w:val="-6"/>
        </w:rPr>
        <w:t> </w:t>
      </w:r>
      <w:r>
        <w:rPr/>
        <w:t>the</w:t>
      </w:r>
      <w:r>
        <w:rPr>
          <w:spacing w:val="-6"/>
        </w:rPr>
        <w:t> </w:t>
      </w:r>
      <w:r>
        <w:rPr/>
        <w:t>many polysaccharides. Beta-D glucan has an effect against sarcomere (soft-tissue</w:t>
      </w:r>
      <w:r>
        <w:rPr>
          <w:spacing w:val="-59"/>
        </w:rPr>
        <w:t> </w:t>
      </w:r>
      <w:r>
        <w:rPr/>
        <w:t>tu- mours)</w:t>
      </w:r>
      <w:r>
        <w:rPr>
          <w:spacing w:val="-9"/>
        </w:rPr>
        <w:t> </w:t>
      </w:r>
      <w:r>
        <w:rPr/>
        <w:t>which</w:t>
      </w:r>
      <w:r>
        <w:rPr>
          <w:spacing w:val="-8"/>
        </w:rPr>
        <w:t> </w:t>
      </w:r>
      <w:r>
        <w:rPr/>
        <w:t>are</w:t>
      </w:r>
      <w:r>
        <w:rPr>
          <w:spacing w:val="-9"/>
        </w:rPr>
        <w:t> </w:t>
      </w:r>
      <w:r>
        <w:rPr/>
        <w:t>stimulated</w:t>
      </w:r>
      <w:r>
        <w:rPr>
          <w:spacing w:val="-8"/>
        </w:rPr>
        <w:t> </w:t>
      </w:r>
      <w:r>
        <w:rPr/>
        <w:t>by</w:t>
      </w:r>
      <w:r>
        <w:rPr>
          <w:spacing w:val="-6"/>
        </w:rPr>
        <w:t> </w:t>
      </w:r>
      <w:r>
        <w:rPr/>
        <w:t>macrophages</w:t>
      </w:r>
      <w:r>
        <w:rPr>
          <w:spacing w:val="-7"/>
        </w:rPr>
        <w:t> </w:t>
      </w:r>
      <w:r>
        <w:rPr/>
        <w:t>to</w:t>
      </w:r>
      <w:r>
        <w:rPr>
          <w:spacing w:val="-9"/>
        </w:rPr>
        <w:t> </w:t>
      </w:r>
      <w:r>
        <w:rPr/>
        <w:t>produce</w:t>
      </w:r>
      <w:r>
        <w:rPr>
          <w:spacing w:val="-9"/>
        </w:rPr>
        <w:t> </w:t>
      </w:r>
      <w:r>
        <w:rPr/>
        <w:t>tumour</w:t>
      </w:r>
      <w:r>
        <w:rPr>
          <w:spacing w:val="-8"/>
        </w:rPr>
        <w:t> </w:t>
      </w:r>
      <w:r>
        <w:rPr/>
        <w:t>necrosis</w:t>
      </w:r>
      <w:r>
        <w:rPr>
          <w:spacing w:val="-9"/>
        </w:rPr>
        <w:t> </w:t>
      </w:r>
      <w:r>
        <w:rPr/>
        <w:t>fac- tors (TNF), and it speeds up cell metabolism and promotes protein</w:t>
      </w:r>
      <w:r>
        <w:rPr>
          <w:spacing w:val="-23"/>
        </w:rPr>
        <w:t> </w:t>
      </w:r>
      <w:r>
        <w:rPr/>
        <w:t>synthesis.</w:t>
      </w:r>
    </w:p>
    <w:p>
      <w:pPr>
        <w:pStyle w:val="BodyText"/>
        <w:spacing w:line="276" w:lineRule="auto" w:before="240"/>
        <w:ind w:left="616" w:right="135"/>
        <w:jc w:val="both"/>
      </w:pPr>
      <w:r>
        <w:rPr/>
        <w:t>The GL-1 has an anti-tumour effect and strengthens the immune system. Ganoderans A, B and C have a regulatory effect on blood pressure. Polysac- charides also have the extraordinary capacity to increase DNA and RNA syn- thesis.</w:t>
      </w:r>
    </w:p>
    <w:p>
      <w:pPr>
        <w:pStyle w:val="Heading1"/>
        <w:spacing w:before="223"/>
        <w:ind w:left="616"/>
      </w:pPr>
      <w:r>
        <w:rPr/>
        <w:t>Triterpenes</w:t>
      </w:r>
    </w:p>
    <w:p>
      <w:pPr>
        <w:pStyle w:val="BodyText"/>
        <w:spacing w:line="276" w:lineRule="auto" w:before="299"/>
        <w:ind w:left="616" w:right="135"/>
        <w:jc w:val="both"/>
      </w:pPr>
      <w:r>
        <w:rPr/>
        <w:t>Triterpenes</w:t>
      </w:r>
      <w:r>
        <w:rPr>
          <w:spacing w:val="-15"/>
        </w:rPr>
        <w:t> </w:t>
      </w:r>
      <w:r>
        <w:rPr/>
        <w:t>possess</w:t>
      </w:r>
      <w:r>
        <w:rPr>
          <w:spacing w:val="-14"/>
        </w:rPr>
        <w:t> </w:t>
      </w:r>
      <w:r>
        <w:rPr/>
        <w:t>the</w:t>
      </w:r>
      <w:r>
        <w:rPr>
          <w:spacing w:val="-14"/>
        </w:rPr>
        <w:t> </w:t>
      </w:r>
      <w:r>
        <w:rPr/>
        <w:t>property</w:t>
      </w:r>
      <w:r>
        <w:rPr>
          <w:spacing w:val="-18"/>
        </w:rPr>
        <w:t> </w:t>
      </w:r>
      <w:r>
        <w:rPr/>
        <w:t>of</w:t>
      </w:r>
      <w:r>
        <w:rPr>
          <w:spacing w:val="-15"/>
        </w:rPr>
        <w:t> </w:t>
      </w:r>
      <w:r>
        <w:rPr/>
        <w:t>reducing</w:t>
      </w:r>
      <w:r>
        <w:rPr>
          <w:spacing w:val="-14"/>
        </w:rPr>
        <w:t> </w:t>
      </w:r>
      <w:r>
        <w:rPr/>
        <w:t>high</w:t>
      </w:r>
      <w:r>
        <w:rPr>
          <w:spacing w:val="-14"/>
        </w:rPr>
        <w:t> </w:t>
      </w:r>
      <w:r>
        <w:rPr/>
        <w:t>blood</w:t>
      </w:r>
      <w:r>
        <w:rPr>
          <w:spacing w:val="-11"/>
        </w:rPr>
        <w:t> </w:t>
      </w:r>
      <w:r>
        <w:rPr/>
        <w:t>pressure</w:t>
      </w:r>
      <w:r>
        <w:rPr>
          <w:spacing w:val="-15"/>
        </w:rPr>
        <w:t> </w:t>
      </w:r>
      <w:r>
        <w:rPr/>
        <w:t>and</w:t>
      </w:r>
      <w:r>
        <w:rPr>
          <w:spacing w:val="-15"/>
        </w:rPr>
        <w:t> </w:t>
      </w:r>
      <w:r>
        <w:rPr/>
        <w:t>combat- ting allergies. They have an anti-inflammatory and antiviral effect, reduce the cholesterol level and protect the</w:t>
      </w:r>
      <w:r>
        <w:rPr>
          <w:spacing w:val="-6"/>
        </w:rPr>
        <w:t> </w:t>
      </w:r>
      <w:r>
        <w:rPr/>
        <w:t>liver.</w:t>
      </w:r>
    </w:p>
    <w:p>
      <w:pPr>
        <w:pStyle w:val="BodyText"/>
        <w:spacing w:line="276" w:lineRule="auto" w:before="242"/>
        <w:ind w:left="616" w:right="136"/>
        <w:jc w:val="both"/>
      </w:pPr>
      <w:r>
        <w:rPr/>
        <w:t>Triterpenes</w:t>
      </w:r>
      <w:r>
        <w:rPr>
          <w:spacing w:val="-13"/>
        </w:rPr>
        <w:t> </w:t>
      </w:r>
      <w:r>
        <w:rPr/>
        <w:t>can</w:t>
      </w:r>
      <w:r>
        <w:rPr>
          <w:spacing w:val="-15"/>
        </w:rPr>
        <w:t> </w:t>
      </w:r>
      <w:r>
        <w:rPr/>
        <w:t>reduce</w:t>
      </w:r>
      <w:r>
        <w:rPr>
          <w:spacing w:val="-15"/>
        </w:rPr>
        <w:t> </w:t>
      </w:r>
      <w:r>
        <w:rPr/>
        <w:t>the</w:t>
      </w:r>
      <w:r>
        <w:rPr>
          <w:spacing w:val="-13"/>
        </w:rPr>
        <w:t> </w:t>
      </w:r>
      <w:r>
        <w:rPr/>
        <w:t>risk</w:t>
      </w:r>
      <w:r>
        <w:rPr>
          <w:spacing w:val="-14"/>
        </w:rPr>
        <w:t> </w:t>
      </w:r>
      <w:r>
        <w:rPr/>
        <w:t>of</w:t>
      </w:r>
      <w:r>
        <w:rPr>
          <w:spacing w:val="-15"/>
        </w:rPr>
        <w:t> </w:t>
      </w:r>
      <w:r>
        <w:rPr/>
        <w:t>thrombosis</w:t>
      </w:r>
      <w:r>
        <w:rPr>
          <w:spacing w:val="-13"/>
        </w:rPr>
        <w:t> </w:t>
      </w:r>
      <w:r>
        <w:rPr/>
        <w:t>and</w:t>
      </w:r>
      <w:r>
        <w:rPr>
          <w:spacing w:val="-14"/>
        </w:rPr>
        <w:t> </w:t>
      </w:r>
      <w:r>
        <w:rPr/>
        <w:t>prevent</w:t>
      </w:r>
      <w:r>
        <w:rPr>
          <w:spacing w:val="-14"/>
        </w:rPr>
        <w:t> </w:t>
      </w:r>
      <w:r>
        <w:rPr/>
        <w:t>cytotoxic</w:t>
      </w:r>
      <w:r>
        <w:rPr>
          <w:spacing w:val="-13"/>
        </w:rPr>
        <w:t> </w:t>
      </w:r>
      <w:r>
        <w:rPr/>
        <w:t>cancer</w:t>
      </w:r>
      <w:r>
        <w:rPr>
          <w:spacing w:val="-11"/>
        </w:rPr>
        <w:t> </w:t>
      </w:r>
      <w:r>
        <w:rPr/>
        <w:t>(as a natural chemotherapy) or support healing and anti-angiogenetically inhibit the formation of new vascular structures in the tumour.</w:t>
      </w:r>
    </w:p>
    <w:p>
      <w:pPr>
        <w:spacing w:after="0" w:line="276" w:lineRule="auto"/>
        <w:jc w:val="both"/>
        <w:sectPr>
          <w:pgSz w:w="14270" w:h="16850"/>
          <w:pgMar w:header="0" w:footer="1891" w:top="1340" w:bottom="2080" w:left="800" w:right="1280"/>
        </w:sectPr>
      </w:pPr>
    </w:p>
    <w:p>
      <w:pPr>
        <w:pStyle w:val="Heading1"/>
        <w:spacing w:before="77"/>
        <w:ind w:left="616"/>
        <w:jc w:val="both"/>
      </w:pPr>
      <w:r>
        <w:rPr/>
        <w:t>Sterols</w:t>
      </w:r>
    </w:p>
    <w:p>
      <w:pPr>
        <w:pStyle w:val="BodyText"/>
        <w:spacing w:before="299"/>
        <w:ind w:left="616"/>
        <w:jc w:val="both"/>
      </w:pPr>
      <w:r>
        <w:rPr/>
        <w:t>Sterols are the precursor for many hormones.</w:t>
      </w:r>
    </w:p>
    <w:p>
      <w:pPr>
        <w:pStyle w:val="Heading1"/>
        <w:spacing w:before="285"/>
        <w:ind w:left="616"/>
        <w:jc w:val="both"/>
      </w:pPr>
      <w:r>
        <w:rPr/>
        <w:t>Alkaloids</w:t>
      </w:r>
    </w:p>
    <w:p>
      <w:pPr>
        <w:pStyle w:val="BodyText"/>
        <w:spacing w:before="299"/>
        <w:ind w:left="616"/>
        <w:jc w:val="both"/>
      </w:pPr>
      <w:r>
        <w:rPr/>
        <w:t>The alkaloids in Reishi have a strong effect on our cardiovascular system.</w:t>
      </w:r>
    </w:p>
    <w:p>
      <w:pPr>
        <w:pStyle w:val="Heading1"/>
        <w:spacing w:before="288"/>
        <w:ind w:left="616"/>
        <w:jc w:val="both"/>
      </w:pPr>
      <w:r>
        <w:rPr/>
        <w:t>Ganoderic acids</w:t>
      </w:r>
    </w:p>
    <w:p>
      <w:pPr>
        <w:pStyle w:val="BodyText"/>
        <w:spacing w:line="276" w:lineRule="auto" w:before="299"/>
        <w:ind w:left="616" w:right="133"/>
        <w:jc w:val="both"/>
      </w:pPr>
      <w:r>
        <w:rPr/>
        <w:t>The prolific ganoderic acids in Reishi reduce blood pressure, are significantly anti-allergenic</w:t>
      </w:r>
      <w:r>
        <w:rPr>
          <w:spacing w:val="-16"/>
        </w:rPr>
        <w:t> </w:t>
      </w:r>
      <w:r>
        <w:rPr/>
        <w:t>and</w:t>
      </w:r>
      <w:r>
        <w:rPr>
          <w:spacing w:val="-14"/>
        </w:rPr>
        <w:t> </w:t>
      </w:r>
      <w:r>
        <w:rPr/>
        <w:t>have</w:t>
      </w:r>
      <w:r>
        <w:rPr>
          <w:spacing w:val="-14"/>
        </w:rPr>
        <w:t> </w:t>
      </w:r>
      <w:r>
        <w:rPr/>
        <w:t>an</w:t>
      </w:r>
      <w:r>
        <w:rPr>
          <w:spacing w:val="-16"/>
        </w:rPr>
        <w:t> </w:t>
      </w:r>
      <w:r>
        <w:rPr/>
        <w:t>anti-inflammatory</w:t>
      </w:r>
      <w:r>
        <w:rPr>
          <w:spacing w:val="-15"/>
        </w:rPr>
        <w:t> </w:t>
      </w:r>
      <w:r>
        <w:rPr/>
        <w:t>effect</w:t>
      </w:r>
      <w:r>
        <w:rPr>
          <w:spacing w:val="-14"/>
        </w:rPr>
        <w:t> </w:t>
      </w:r>
      <w:r>
        <w:rPr/>
        <w:t>by</w:t>
      </w:r>
      <w:r>
        <w:rPr>
          <w:spacing w:val="-16"/>
        </w:rPr>
        <w:t> </w:t>
      </w:r>
      <w:r>
        <w:rPr/>
        <w:t>inhibiting</w:t>
      </w:r>
      <w:r>
        <w:rPr>
          <w:spacing w:val="-16"/>
        </w:rPr>
        <w:t> </w:t>
      </w:r>
      <w:r>
        <w:rPr/>
        <w:t>the</w:t>
      </w:r>
      <w:r>
        <w:rPr>
          <w:spacing w:val="-13"/>
        </w:rPr>
        <w:t> </w:t>
      </w:r>
      <w:r>
        <w:rPr/>
        <w:t>release</w:t>
      </w:r>
      <w:r>
        <w:rPr>
          <w:spacing w:val="-16"/>
        </w:rPr>
        <w:t> </w:t>
      </w:r>
      <w:r>
        <w:rPr/>
        <w:t>of histamines.</w:t>
      </w:r>
    </w:p>
    <w:p>
      <w:pPr>
        <w:pStyle w:val="Heading1"/>
        <w:ind w:left="616"/>
      </w:pPr>
      <w:r>
        <w:rPr/>
        <w:t>Unsaturated fatty acids</w:t>
      </w:r>
    </w:p>
    <w:p>
      <w:pPr>
        <w:pStyle w:val="BodyText"/>
        <w:spacing w:line="278" w:lineRule="auto" w:before="297"/>
        <w:ind w:left="616"/>
      </w:pPr>
      <w:r>
        <w:rPr/>
        <w:t>The</w:t>
      </w:r>
      <w:r>
        <w:rPr>
          <w:spacing w:val="-14"/>
        </w:rPr>
        <w:t> </w:t>
      </w:r>
      <w:r>
        <w:rPr/>
        <w:t>unsaturated</w:t>
      </w:r>
      <w:r>
        <w:rPr>
          <w:spacing w:val="-13"/>
        </w:rPr>
        <w:t> </w:t>
      </w:r>
      <w:r>
        <w:rPr/>
        <w:t>fatty</w:t>
      </w:r>
      <w:r>
        <w:rPr>
          <w:spacing w:val="-15"/>
        </w:rPr>
        <w:t> </w:t>
      </w:r>
      <w:r>
        <w:rPr/>
        <w:t>acids</w:t>
      </w:r>
      <w:r>
        <w:rPr>
          <w:spacing w:val="-14"/>
        </w:rPr>
        <w:t> </w:t>
      </w:r>
      <w:r>
        <w:rPr/>
        <w:t>in</w:t>
      </w:r>
      <w:r>
        <w:rPr>
          <w:spacing w:val="-14"/>
        </w:rPr>
        <w:t> </w:t>
      </w:r>
      <w:r>
        <w:rPr/>
        <w:t>Reishi</w:t>
      </w:r>
      <w:r>
        <w:rPr>
          <w:spacing w:val="-14"/>
        </w:rPr>
        <w:t> </w:t>
      </w:r>
      <w:r>
        <w:rPr/>
        <w:t>mushrooms</w:t>
      </w:r>
      <w:r>
        <w:rPr>
          <w:spacing w:val="-16"/>
        </w:rPr>
        <w:t> </w:t>
      </w:r>
      <w:r>
        <w:rPr/>
        <w:t>support</w:t>
      </w:r>
      <w:r>
        <w:rPr>
          <w:spacing w:val="-14"/>
        </w:rPr>
        <w:t> </w:t>
      </w:r>
      <w:r>
        <w:rPr/>
        <w:t>the</w:t>
      </w:r>
      <w:r>
        <w:rPr>
          <w:spacing w:val="-13"/>
        </w:rPr>
        <w:t> </w:t>
      </w:r>
      <w:r>
        <w:rPr/>
        <w:t>inhibition</w:t>
      </w:r>
      <w:r>
        <w:rPr>
          <w:spacing w:val="-13"/>
        </w:rPr>
        <w:t> </w:t>
      </w:r>
      <w:r>
        <w:rPr/>
        <w:t>of</w:t>
      </w:r>
      <w:r>
        <w:rPr>
          <w:spacing w:val="-14"/>
        </w:rPr>
        <w:t> </w:t>
      </w:r>
      <w:r>
        <w:rPr/>
        <w:t>his- tamine production and therefore are</w:t>
      </w:r>
      <w:r>
        <w:rPr>
          <w:spacing w:val="3"/>
        </w:rPr>
        <w:t> </w:t>
      </w:r>
      <w:r>
        <w:rPr/>
        <w:t>antiallergic.</w:t>
      </w:r>
    </w:p>
    <w:p>
      <w:pPr>
        <w:pStyle w:val="Heading1"/>
        <w:spacing w:before="215"/>
        <w:ind w:left="616"/>
      </w:pPr>
      <w:r>
        <w:rPr/>
        <w:t>Nucleotides</w:t>
      </w:r>
    </w:p>
    <w:p>
      <w:pPr>
        <w:pStyle w:val="BodyText"/>
        <w:spacing w:line="276" w:lineRule="auto" w:before="300"/>
        <w:ind w:left="616"/>
      </w:pPr>
      <w:r>
        <w:rPr/>
        <w:t>Adenosin has a relaxing effect on our muscle structure and prevents throm- bosis by fighting blood platelet clotting.</w:t>
      </w:r>
    </w:p>
    <w:p>
      <w:pPr>
        <w:pStyle w:val="Heading1"/>
        <w:spacing w:before="223"/>
        <w:ind w:left="616"/>
        <w:jc w:val="both"/>
      </w:pPr>
      <w:r>
        <w:rPr/>
        <w:t>Proteins</w:t>
      </w:r>
    </w:p>
    <w:p>
      <w:pPr>
        <w:pStyle w:val="BodyText"/>
        <w:spacing w:before="297"/>
        <w:ind w:left="616"/>
        <w:jc w:val="both"/>
      </w:pPr>
      <w:r>
        <w:rPr/>
        <w:t>Ling Zhi-8 regulates the immune system and has an antiallergic effect.</w:t>
      </w:r>
    </w:p>
    <w:p>
      <w:pPr>
        <w:spacing w:after="0"/>
        <w:jc w:val="both"/>
        <w:sectPr>
          <w:footerReference w:type="default" r:id="rId434"/>
          <w:pgSz w:w="14270" w:h="16850"/>
          <w:pgMar w:footer="1891" w:header="0" w:top="1320" w:bottom="2080" w:left="800" w:right="1280"/>
          <w:pgNumType w:start="1670"/>
        </w:sectPr>
      </w:pPr>
    </w:p>
    <w:p>
      <w:pPr>
        <w:pStyle w:val="Heading1"/>
        <w:spacing w:before="77"/>
        <w:ind w:left="616"/>
      </w:pPr>
      <w:r>
        <w:rPr/>
        <w:t>General effects of Reishi-Lingzhi</w:t>
      </w:r>
    </w:p>
    <w:p>
      <w:pPr>
        <w:pStyle w:val="BodyText"/>
        <w:spacing w:before="299"/>
        <w:ind w:left="616"/>
      </w:pPr>
      <w:r>
        <w:rPr/>
        <w:t>The</w:t>
      </w:r>
      <w:r>
        <w:rPr>
          <w:spacing w:val="-23"/>
        </w:rPr>
        <w:t> </w:t>
      </w:r>
      <w:r>
        <w:rPr/>
        <w:t>general</w:t>
      </w:r>
      <w:r>
        <w:rPr>
          <w:spacing w:val="-24"/>
        </w:rPr>
        <w:t> </w:t>
      </w:r>
      <w:r>
        <w:rPr/>
        <w:t>effects</w:t>
      </w:r>
      <w:r>
        <w:rPr>
          <w:spacing w:val="-22"/>
        </w:rPr>
        <w:t> </w:t>
      </w:r>
      <w:r>
        <w:rPr/>
        <w:t>of</w:t>
      </w:r>
      <w:r>
        <w:rPr>
          <w:spacing w:val="-22"/>
        </w:rPr>
        <w:t> </w:t>
      </w:r>
      <w:r>
        <w:rPr/>
        <w:t>the</w:t>
      </w:r>
      <w:r>
        <w:rPr>
          <w:spacing w:val="-22"/>
        </w:rPr>
        <w:t> </w:t>
      </w:r>
      <w:r>
        <w:rPr/>
        <w:t>Reishi</w:t>
      </w:r>
      <w:r>
        <w:rPr>
          <w:spacing w:val="-23"/>
        </w:rPr>
        <w:t> </w:t>
      </w:r>
      <w:r>
        <w:rPr/>
        <w:t>mushroom</w:t>
      </w:r>
      <w:r>
        <w:rPr>
          <w:spacing w:val="-22"/>
        </w:rPr>
        <w:t> </w:t>
      </w:r>
      <w:r>
        <w:rPr/>
        <w:t>can</w:t>
      </w:r>
      <w:r>
        <w:rPr>
          <w:spacing w:val="-22"/>
        </w:rPr>
        <w:t> </w:t>
      </w:r>
      <w:r>
        <w:rPr/>
        <w:t>be</w:t>
      </w:r>
      <w:r>
        <w:rPr>
          <w:spacing w:val="-23"/>
        </w:rPr>
        <w:t> </w:t>
      </w:r>
      <w:r>
        <w:rPr/>
        <w:t>sub-divided</w:t>
      </w:r>
      <w:r>
        <w:rPr>
          <w:spacing w:val="-23"/>
        </w:rPr>
        <w:t> </w:t>
      </w:r>
      <w:r>
        <w:rPr/>
        <w:t>into</w:t>
      </w:r>
      <w:r>
        <w:rPr>
          <w:spacing w:val="-22"/>
        </w:rPr>
        <w:t> </w:t>
      </w:r>
      <w:r>
        <w:rPr/>
        <w:t>categories:</w:t>
      </w:r>
    </w:p>
    <w:p>
      <w:pPr>
        <w:pStyle w:val="ListParagraph"/>
        <w:numPr>
          <w:ilvl w:val="1"/>
          <w:numId w:val="128"/>
        </w:numPr>
        <w:tabs>
          <w:tab w:pos="1693" w:val="left" w:leader="none"/>
          <w:tab w:pos="1694" w:val="left" w:leader="none"/>
        </w:tabs>
        <w:spacing w:line="240" w:lineRule="auto" w:before="263" w:after="0"/>
        <w:ind w:left="1694" w:right="0" w:hanging="360"/>
        <w:jc w:val="left"/>
        <w:rPr>
          <w:sz w:val="38"/>
        </w:rPr>
      </w:pPr>
      <w:r>
        <w:rPr>
          <w:sz w:val="38"/>
        </w:rPr>
        <w:t>antiallergic</w:t>
      </w:r>
    </w:p>
    <w:p>
      <w:pPr>
        <w:pStyle w:val="ListParagraph"/>
        <w:numPr>
          <w:ilvl w:val="1"/>
          <w:numId w:val="128"/>
        </w:numPr>
        <w:tabs>
          <w:tab w:pos="1693" w:val="left" w:leader="none"/>
          <w:tab w:pos="1694" w:val="left" w:leader="none"/>
        </w:tabs>
        <w:spacing w:line="240" w:lineRule="auto" w:before="186" w:after="0"/>
        <w:ind w:left="1694" w:right="0" w:hanging="360"/>
        <w:jc w:val="left"/>
        <w:rPr>
          <w:sz w:val="38"/>
        </w:rPr>
      </w:pPr>
      <w:r>
        <w:rPr>
          <w:sz w:val="38"/>
        </w:rPr>
        <w:t>analgesic</w:t>
      </w:r>
    </w:p>
    <w:p>
      <w:pPr>
        <w:pStyle w:val="ListParagraph"/>
        <w:numPr>
          <w:ilvl w:val="1"/>
          <w:numId w:val="128"/>
        </w:numPr>
        <w:tabs>
          <w:tab w:pos="1693" w:val="left" w:leader="none"/>
          <w:tab w:pos="1694" w:val="left" w:leader="none"/>
        </w:tabs>
        <w:spacing w:line="240" w:lineRule="auto" w:before="184" w:after="0"/>
        <w:ind w:left="1694" w:right="0" w:hanging="360"/>
        <w:jc w:val="left"/>
        <w:rPr>
          <w:sz w:val="38"/>
        </w:rPr>
      </w:pPr>
      <w:r>
        <w:rPr>
          <w:sz w:val="38"/>
        </w:rPr>
        <w:t>an antioxidant</w:t>
      </w:r>
    </w:p>
    <w:p>
      <w:pPr>
        <w:pStyle w:val="ListParagraph"/>
        <w:numPr>
          <w:ilvl w:val="1"/>
          <w:numId w:val="128"/>
        </w:numPr>
        <w:tabs>
          <w:tab w:pos="1693" w:val="left" w:leader="none"/>
          <w:tab w:pos="1694" w:val="left" w:leader="none"/>
        </w:tabs>
        <w:spacing w:line="240" w:lineRule="auto" w:before="183" w:after="0"/>
        <w:ind w:left="1694" w:right="0" w:hanging="360"/>
        <w:jc w:val="left"/>
        <w:rPr>
          <w:sz w:val="38"/>
        </w:rPr>
      </w:pPr>
      <w:r>
        <w:rPr>
          <w:sz w:val="38"/>
        </w:rPr>
        <w:t>antibacterial</w:t>
      </w:r>
    </w:p>
    <w:p>
      <w:pPr>
        <w:pStyle w:val="ListParagraph"/>
        <w:numPr>
          <w:ilvl w:val="1"/>
          <w:numId w:val="128"/>
        </w:numPr>
        <w:tabs>
          <w:tab w:pos="1693" w:val="left" w:leader="none"/>
          <w:tab w:pos="1694" w:val="left" w:leader="none"/>
        </w:tabs>
        <w:spacing w:line="240" w:lineRule="auto" w:before="185" w:after="0"/>
        <w:ind w:left="1694" w:right="0" w:hanging="360"/>
        <w:jc w:val="left"/>
        <w:rPr>
          <w:sz w:val="38"/>
        </w:rPr>
      </w:pPr>
      <w:r>
        <w:rPr>
          <w:sz w:val="38"/>
        </w:rPr>
        <w:t>immune system</w:t>
      </w:r>
      <w:r>
        <w:rPr>
          <w:spacing w:val="1"/>
          <w:sz w:val="38"/>
        </w:rPr>
        <w:t> </w:t>
      </w:r>
      <w:r>
        <w:rPr>
          <w:sz w:val="38"/>
        </w:rPr>
        <w:t>strengthening</w:t>
      </w:r>
    </w:p>
    <w:p>
      <w:pPr>
        <w:pStyle w:val="ListParagraph"/>
        <w:numPr>
          <w:ilvl w:val="1"/>
          <w:numId w:val="128"/>
        </w:numPr>
        <w:tabs>
          <w:tab w:pos="1693" w:val="left" w:leader="none"/>
          <w:tab w:pos="1694" w:val="left" w:leader="none"/>
        </w:tabs>
        <w:spacing w:line="240" w:lineRule="auto" w:before="183" w:after="0"/>
        <w:ind w:left="1694" w:right="0" w:hanging="360"/>
        <w:jc w:val="left"/>
        <w:rPr>
          <w:sz w:val="38"/>
        </w:rPr>
      </w:pPr>
      <w:r>
        <w:rPr>
          <w:sz w:val="38"/>
        </w:rPr>
        <w:t>anti-inflammatory</w:t>
      </w:r>
    </w:p>
    <w:p>
      <w:pPr>
        <w:pStyle w:val="ListParagraph"/>
        <w:numPr>
          <w:ilvl w:val="1"/>
          <w:numId w:val="128"/>
        </w:numPr>
        <w:tabs>
          <w:tab w:pos="1693" w:val="left" w:leader="none"/>
          <w:tab w:pos="1694" w:val="left" w:leader="none"/>
        </w:tabs>
        <w:spacing w:line="240" w:lineRule="auto" w:before="186" w:after="0"/>
        <w:ind w:left="1694" w:right="0" w:hanging="360"/>
        <w:jc w:val="left"/>
        <w:rPr>
          <w:sz w:val="38"/>
        </w:rPr>
      </w:pPr>
      <w:r>
        <w:rPr>
          <w:sz w:val="38"/>
        </w:rPr>
        <w:t>cardiovascular system</w:t>
      </w:r>
      <w:r>
        <w:rPr>
          <w:spacing w:val="1"/>
          <w:sz w:val="38"/>
        </w:rPr>
        <w:t> </w:t>
      </w:r>
      <w:r>
        <w:rPr>
          <w:sz w:val="38"/>
        </w:rPr>
        <w:t>strengthening</w:t>
      </w:r>
    </w:p>
    <w:p>
      <w:pPr>
        <w:pStyle w:val="ListParagraph"/>
        <w:numPr>
          <w:ilvl w:val="1"/>
          <w:numId w:val="128"/>
        </w:numPr>
        <w:tabs>
          <w:tab w:pos="1693" w:val="left" w:leader="none"/>
          <w:tab w:pos="1694" w:val="left" w:leader="none"/>
        </w:tabs>
        <w:spacing w:line="240" w:lineRule="auto" w:before="184" w:after="0"/>
        <w:ind w:left="1694" w:right="0" w:hanging="360"/>
        <w:jc w:val="left"/>
        <w:rPr>
          <w:sz w:val="38"/>
        </w:rPr>
      </w:pPr>
      <w:r>
        <w:rPr>
          <w:sz w:val="38"/>
        </w:rPr>
        <w:t>heart and brain blood circulation</w:t>
      </w:r>
      <w:r>
        <w:rPr>
          <w:spacing w:val="-2"/>
          <w:sz w:val="38"/>
        </w:rPr>
        <w:t> </w:t>
      </w:r>
      <w:r>
        <w:rPr>
          <w:sz w:val="38"/>
        </w:rPr>
        <w:t>promoting</w:t>
      </w:r>
    </w:p>
    <w:p>
      <w:pPr>
        <w:pStyle w:val="ListParagraph"/>
        <w:numPr>
          <w:ilvl w:val="1"/>
          <w:numId w:val="128"/>
        </w:numPr>
        <w:tabs>
          <w:tab w:pos="1693" w:val="left" w:leader="none"/>
          <w:tab w:pos="1694" w:val="left" w:leader="none"/>
        </w:tabs>
        <w:spacing w:line="240" w:lineRule="auto" w:before="183" w:after="0"/>
        <w:ind w:left="1694" w:right="0" w:hanging="360"/>
        <w:jc w:val="left"/>
        <w:rPr>
          <w:sz w:val="38"/>
        </w:rPr>
      </w:pPr>
      <w:r>
        <w:rPr>
          <w:sz w:val="38"/>
        </w:rPr>
        <w:t>blood pressure</w:t>
      </w:r>
      <w:r>
        <w:rPr>
          <w:spacing w:val="1"/>
          <w:sz w:val="38"/>
        </w:rPr>
        <w:t> </w:t>
      </w:r>
      <w:r>
        <w:rPr>
          <w:sz w:val="38"/>
        </w:rPr>
        <w:t>regulating,</w:t>
      </w:r>
    </w:p>
    <w:p>
      <w:pPr>
        <w:pStyle w:val="ListParagraph"/>
        <w:numPr>
          <w:ilvl w:val="1"/>
          <w:numId w:val="128"/>
        </w:numPr>
        <w:tabs>
          <w:tab w:pos="1693" w:val="left" w:leader="none"/>
          <w:tab w:pos="1694" w:val="left" w:leader="none"/>
        </w:tabs>
        <w:spacing w:line="240" w:lineRule="auto" w:before="184" w:after="0"/>
        <w:ind w:left="1694" w:right="0" w:hanging="360"/>
        <w:jc w:val="left"/>
        <w:rPr>
          <w:sz w:val="38"/>
        </w:rPr>
      </w:pPr>
      <w:r>
        <w:rPr>
          <w:sz w:val="38"/>
        </w:rPr>
        <w:t>fatigue</w:t>
      </w:r>
      <w:r>
        <w:rPr>
          <w:spacing w:val="-2"/>
          <w:sz w:val="38"/>
        </w:rPr>
        <w:t> </w:t>
      </w:r>
      <w:r>
        <w:rPr>
          <w:sz w:val="38"/>
        </w:rPr>
        <w:t>inhibiting</w:t>
      </w:r>
    </w:p>
    <w:p>
      <w:pPr>
        <w:pStyle w:val="ListParagraph"/>
        <w:numPr>
          <w:ilvl w:val="1"/>
          <w:numId w:val="128"/>
        </w:numPr>
        <w:tabs>
          <w:tab w:pos="1693" w:val="left" w:leader="none"/>
          <w:tab w:pos="1694" w:val="left" w:leader="none"/>
        </w:tabs>
        <w:spacing w:line="240" w:lineRule="auto" w:before="186" w:after="0"/>
        <w:ind w:left="1694" w:right="0" w:hanging="360"/>
        <w:jc w:val="left"/>
        <w:rPr>
          <w:sz w:val="38"/>
        </w:rPr>
      </w:pPr>
      <w:r>
        <w:rPr>
          <w:sz w:val="38"/>
        </w:rPr>
        <w:t>antiviral</w:t>
      </w:r>
    </w:p>
    <w:p>
      <w:pPr>
        <w:pStyle w:val="ListParagraph"/>
        <w:numPr>
          <w:ilvl w:val="1"/>
          <w:numId w:val="128"/>
        </w:numPr>
        <w:tabs>
          <w:tab w:pos="1693" w:val="left" w:leader="none"/>
          <w:tab w:pos="1694" w:val="left" w:leader="none"/>
        </w:tabs>
        <w:spacing w:line="240" w:lineRule="auto" w:before="184" w:after="0"/>
        <w:ind w:left="1694" w:right="0" w:hanging="360"/>
        <w:jc w:val="left"/>
        <w:rPr>
          <w:sz w:val="38"/>
        </w:rPr>
      </w:pPr>
      <w:r>
        <w:rPr>
          <w:sz w:val="38"/>
        </w:rPr>
        <w:t>anti-tumorous (anti-cancerous)</w:t>
      </w:r>
    </w:p>
    <w:p>
      <w:pPr>
        <w:pStyle w:val="ListParagraph"/>
        <w:numPr>
          <w:ilvl w:val="1"/>
          <w:numId w:val="128"/>
        </w:numPr>
        <w:tabs>
          <w:tab w:pos="1693" w:val="left" w:leader="none"/>
          <w:tab w:pos="1694" w:val="left" w:leader="none"/>
        </w:tabs>
        <w:spacing w:line="240" w:lineRule="auto" w:before="184" w:after="0"/>
        <w:ind w:left="1694" w:right="0" w:hanging="360"/>
        <w:jc w:val="left"/>
        <w:rPr>
          <w:sz w:val="38"/>
        </w:rPr>
      </w:pPr>
      <w:r>
        <w:rPr>
          <w:sz w:val="38"/>
        </w:rPr>
        <w:t>effective against rheumatism and joint</w:t>
      </w:r>
      <w:r>
        <w:rPr>
          <w:spacing w:val="1"/>
          <w:sz w:val="38"/>
        </w:rPr>
        <w:t> </w:t>
      </w:r>
      <w:r>
        <w:rPr>
          <w:sz w:val="38"/>
        </w:rPr>
        <w:t>inflammation</w:t>
      </w:r>
    </w:p>
    <w:p>
      <w:pPr>
        <w:pStyle w:val="ListParagraph"/>
        <w:numPr>
          <w:ilvl w:val="1"/>
          <w:numId w:val="128"/>
        </w:numPr>
        <w:tabs>
          <w:tab w:pos="1693" w:val="left" w:leader="none"/>
          <w:tab w:pos="1694" w:val="left" w:leader="none"/>
        </w:tabs>
        <w:spacing w:line="240" w:lineRule="auto" w:before="183" w:after="0"/>
        <w:ind w:left="1694" w:right="0" w:hanging="360"/>
        <w:jc w:val="left"/>
        <w:rPr>
          <w:sz w:val="38"/>
        </w:rPr>
      </w:pPr>
      <w:r>
        <w:rPr>
          <w:sz w:val="38"/>
        </w:rPr>
        <w:t>relaxing</w:t>
      </w:r>
    </w:p>
    <w:p>
      <w:pPr>
        <w:pStyle w:val="ListParagraph"/>
        <w:numPr>
          <w:ilvl w:val="1"/>
          <w:numId w:val="128"/>
        </w:numPr>
        <w:tabs>
          <w:tab w:pos="1693" w:val="left" w:leader="none"/>
          <w:tab w:pos="1694" w:val="left" w:leader="none"/>
        </w:tabs>
        <w:spacing w:line="240" w:lineRule="auto" w:before="185" w:after="0"/>
        <w:ind w:left="1694" w:right="0" w:hanging="360"/>
        <w:jc w:val="left"/>
        <w:rPr>
          <w:sz w:val="38"/>
        </w:rPr>
      </w:pPr>
      <w:r>
        <w:rPr>
          <w:sz w:val="38"/>
        </w:rPr>
        <w:t>calming</w:t>
      </w:r>
    </w:p>
    <w:p>
      <w:pPr>
        <w:pStyle w:val="ListParagraph"/>
        <w:numPr>
          <w:ilvl w:val="1"/>
          <w:numId w:val="128"/>
        </w:numPr>
        <w:tabs>
          <w:tab w:pos="1693" w:val="left" w:leader="none"/>
          <w:tab w:pos="1694" w:val="left" w:leader="none"/>
        </w:tabs>
        <w:spacing w:line="240" w:lineRule="auto" w:before="186" w:after="0"/>
        <w:ind w:left="1694" w:right="0" w:hanging="360"/>
        <w:jc w:val="left"/>
        <w:rPr>
          <w:sz w:val="38"/>
        </w:rPr>
      </w:pPr>
      <w:r>
        <w:rPr>
          <w:sz w:val="38"/>
        </w:rPr>
        <w:t>ageing preventative</w:t>
      </w:r>
      <w:r>
        <w:rPr>
          <w:spacing w:val="-1"/>
          <w:sz w:val="38"/>
        </w:rPr>
        <w:t> </w:t>
      </w:r>
      <w:r>
        <w:rPr>
          <w:sz w:val="38"/>
        </w:rPr>
        <w:t>(anti-ageing)</w:t>
      </w:r>
    </w:p>
    <w:p>
      <w:pPr>
        <w:pStyle w:val="ListParagraph"/>
        <w:numPr>
          <w:ilvl w:val="1"/>
          <w:numId w:val="128"/>
        </w:numPr>
        <w:tabs>
          <w:tab w:pos="1693" w:val="left" w:leader="none"/>
          <w:tab w:pos="1694" w:val="left" w:leader="none"/>
        </w:tabs>
        <w:spacing w:line="240" w:lineRule="auto" w:before="183" w:after="0"/>
        <w:ind w:left="1694" w:right="0" w:hanging="360"/>
        <w:jc w:val="left"/>
        <w:rPr>
          <w:sz w:val="38"/>
        </w:rPr>
      </w:pPr>
      <w:r>
        <w:rPr>
          <w:sz w:val="38"/>
        </w:rPr>
        <w:t>detoxifying</w:t>
      </w:r>
    </w:p>
    <w:p>
      <w:pPr>
        <w:spacing w:after="0" w:line="240" w:lineRule="auto"/>
        <w:jc w:val="left"/>
        <w:rPr>
          <w:sz w:val="38"/>
        </w:rPr>
        <w:sectPr>
          <w:pgSz w:w="14270" w:h="16850"/>
          <w:pgMar w:header="0" w:footer="1891" w:top="1320" w:bottom="2080" w:left="800" w:right="1280"/>
        </w:sectPr>
      </w:pPr>
    </w:p>
    <w:p>
      <w:pPr>
        <w:pStyle w:val="ListParagraph"/>
        <w:numPr>
          <w:ilvl w:val="1"/>
          <w:numId w:val="128"/>
        </w:numPr>
        <w:tabs>
          <w:tab w:pos="1693" w:val="left" w:leader="none"/>
          <w:tab w:pos="1694" w:val="left" w:leader="none"/>
        </w:tabs>
        <w:spacing w:line="240" w:lineRule="auto" w:before="53" w:after="0"/>
        <w:ind w:left="1694" w:right="0" w:hanging="360"/>
        <w:jc w:val="left"/>
        <w:rPr>
          <w:sz w:val="38"/>
        </w:rPr>
      </w:pPr>
      <w:r>
        <w:rPr>
          <w:sz w:val="38"/>
        </w:rPr>
        <w:t>liver-protecting</w:t>
      </w:r>
    </w:p>
    <w:p>
      <w:pPr>
        <w:pStyle w:val="ListParagraph"/>
        <w:numPr>
          <w:ilvl w:val="1"/>
          <w:numId w:val="128"/>
        </w:numPr>
        <w:tabs>
          <w:tab w:pos="1693" w:val="left" w:leader="none"/>
          <w:tab w:pos="1694" w:val="left" w:leader="none"/>
        </w:tabs>
        <w:spacing w:line="240" w:lineRule="auto" w:before="186" w:after="0"/>
        <w:ind w:left="1694" w:right="0" w:hanging="360"/>
        <w:jc w:val="left"/>
        <w:rPr>
          <w:sz w:val="38"/>
        </w:rPr>
      </w:pPr>
      <w:r>
        <w:rPr>
          <w:sz w:val="38"/>
        </w:rPr>
        <w:t>liver-strengthening</w:t>
      </w:r>
    </w:p>
    <w:p>
      <w:pPr>
        <w:pStyle w:val="ListParagraph"/>
        <w:numPr>
          <w:ilvl w:val="1"/>
          <w:numId w:val="128"/>
        </w:numPr>
        <w:tabs>
          <w:tab w:pos="1693" w:val="left" w:leader="none"/>
          <w:tab w:pos="1694" w:val="left" w:leader="none"/>
        </w:tabs>
        <w:spacing w:line="240" w:lineRule="auto" w:before="184" w:after="0"/>
        <w:ind w:left="1694" w:right="0" w:hanging="360"/>
        <w:jc w:val="left"/>
        <w:rPr>
          <w:sz w:val="38"/>
        </w:rPr>
      </w:pPr>
      <w:r>
        <w:rPr>
          <w:sz w:val="38"/>
        </w:rPr>
        <w:t>radiation protective (x-rays, UV rays)</w:t>
      </w:r>
    </w:p>
    <w:p>
      <w:pPr>
        <w:pStyle w:val="ListParagraph"/>
        <w:numPr>
          <w:ilvl w:val="1"/>
          <w:numId w:val="128"/>
        </w:numPr>
        <w:tabs>
          <w:tab w:pos="1693" w:val="left" w:leader="none"/>
          <w:tab w:pos="1694" w:val="left" w:leader="none"/>
        </w:tabs>
        <w:spacing w:line="240" w:lineRule="auto" w:before="184" w:after="0"/>
        <w:ind w:left="1694" w:right="0" w:hanging="360"/>
        <w:jc w:val="left"/>
        <w:rPr>
          <w:sz w:val="38"/>
        </w:rPr>
      </w:pPr>
      <w:r>
        <w:rPr>
          <w:sz w:val="38"/>
        </w:rPr>
        <w:t>anti-hypertension (combats high blood</w:t>
      </w:r>
      <w:r>
        <w:rPr>
          <w:spacing w:val="-1"/>
          <w:sz w:val="38"/>
        </w:rPr>
        <w:t> </w:t>
      </w:r>
      <w:r>
        <w:rPr>
          <w:sz w:val="38"/>
        </w:rPr>
        <w:t>pressure)</w:t>
      </w:r>
    </w:p>
    <w:p>
      <w:pPr>
        <w:pStyle w:val="ListParagraph"/>
        <w:numPr>
          <w:ilvl w:val="1"/>
          <w:numId w:val="128"/>
        </w:numPr>
        <w:tabs>
          <w:tab w:pos="1693" w:val="left" w:leader="none"/>
          <w:tab w:pos="1694" w:val="left" w:leader="none"/>
        </w:tabs>
        <w:spacing w:line="240" w:lineRule="auto" w:before="183" w:after="0"/>
        <w:ind w:left="1694" w:right="0" w:hanging="360"/>
        <w:jc w:val="left"/>
        <w:rPr>
          <w:sz w:val="38"/>
        </w:rPr>
      </w:pPr>
      <w:r>
        <w:rPr>
          <w:sz w:val="38"/>
        </w:rPr>
        <w:t>potency enhancing</w:t>
      </w:r>
    </w:p>
    <w:p>
      <w:pPr>
        <w:pStyle w:val="ListParagraph"/>
        <w:numPr>
          <w:ilvl w:val="1"/>
          <w:numId w:val="128"/>
        </w:numPr>
        <w:tabs>
          <w:tab w:pos="1693" w:val="left" w:leader="none"/>
          <w:tab w:pos="1694" w:val="left" w:leader="none"/>
        </w:tabs>
        <w:spacing w:line="240" w:lineRule="auto" w:before="184" w:after="0"/>
        <w:ind w:left="1694" w:right="0" w:hanging="360"/>
        <w:jc w:val="left"/>
        <w:rPr>
          <w:sz w:val="38"/>
        </w:rPr>
      </w:pPr>
      <w:r>
        <w:rPr>
          <w:sz w:val="38"/>
        </w:rPr>
        <w:t>male and female aphrodisiac</w:t>
      </w:r>
    </w:p>
    <w:p>
      <w:pPr>
        <w:pStyle w:val="ListParagraph"/>
        <w:numPr>
          <w:ilvl w:val="1"/>
          <w:numId w:val="128"/>
        </w:numPr>
        <w:tabs>
          <w:tab w:pos="1693" w:val="left" w:leader="none"/>
          <w:tab w:pos="1694" w:val="left" w:leader="none"/>
        </w:tabs>
        <w:spacing w:line="240" w:lineRule="auto" w:before="186" w:after="0"/>
        <w:ind w:left="1694" w:right="0" w:hanging="360"/>
        <w:jc w:val="left"/>
        <w:rPr>
          <w:sz w:val="38"/>
        </w:rPr>
      </w:pPr>
      <w:r>
        <w:rPr>
          <w:sz w:val="38"/>
        </w:rPr>
        <w:t>expectorant</w:t>
      </w:r>
    </w:p>
    <w:p>
      <w:pPr>
        <w:pStyle w:val="ListParagraph"/>
        <w:numPr>
          <w:ilvl w:val="1"/>
          <w:numId w:val="128"/>
        </w:numPr>
        <w:tabs>
          <w:tab w:pos="1693" w:val="left" w:leader="none"/>
          <w:tab w:pos="1694" w:val="left" w:leader="none"/>
        </w:tabs>
        <w:spacing w:line="240" w:lineRule="auto" w:before="184" w:after="0"/>
        <w:ind w:left="1694" w:right="0" w:hanging="360"/>
        <w:jc w:val="left"/>
        <w:rPr>
          <w:sz w:val="38"/>
        </w:rPr>
      </w:pPr>
      <w:r>
        <w:rPr>
          <w:sz w:val="38"/>
        </w:rPr>
        <w:t>fights insomnia</w:t>
      </w:r>
    </w:p>
    <w:p>
      <w:pPr>
        <w:pStyle w:val="ListParagraph"/>
        <w:numPr>
          <w:ilvl w:val="1"/>
          <w:numId w:val="128"/>
        </w:numPr>
        <w:tabs>
          <w:tab w:pos="1693" w:val="left" w:leader="none"/>
          <w:tab w:pos="1694" w:val="left" w:leader="none"/>
        </w:tabs>
        <w:spacing w:line="240" w:lineRule="auto" w:before="184" w:after="0"/>
        <w:ind w:left="1694" w:right="0" w:hanging="360"/>
        <w:jc w:val="left"/>
        <w:rPr>
          <w:sz w:val="38"/>
        </w:rPr>
      </w:pPr>
      <w:r>
        <w:rPr>
          <w:sz w:val="38"/>
        </w:rPr>
        <w:t>fights anxiety</w:t>
      </w:r>
    </w:p>
    <w:p>
      <w:pPr>
        <w:pStyle w:val="ListParagraph"/>
        <w:numPr>
          <w:ilvl w:val="1"/>
          <w:numId w:val="128"/>
        </w:numPr>
        <w:tabs>
          <w:tab w:pos="1693" w:val="left" w:leader="none"/>
          <w:tab w:pos="1694" w:val="left" w:leader="none"/>
        </w:tabs>
        <w:spacing w:line="240" w:lineRule="auto" w:before="183" w:after="0"/>
        <w:ind w:left="1694" w:right="0" w:hanging="360"/>
        <w:jc w:val="left"/>
        <w:rPr>
          <w:sz w:val="38"/>
        </w:rPr>
      </w:pPr>
      <w:r>
        <w:rPr>
          <w:sz w:val="38"/>
        </w:rPr>
        <w:t>fights exhaustion</w:t>
      </w:r>
    </w:p>
    <w:p>
      <w:pPr>
        <w:pStyle w:val="ListParagraph"/>
        <w:numPr>
          <w:ilvl w:val="1"/>
          <w:numId w:val="128"/>
        </w:numPr>
        <w:tabs>
          <w:tab w:pos="1693" w:val="left" w:leader="none"/>
          <w:tab w:pos="1694" w:val="left" w:leader="none"/>
        </w:tabs>
        <w:spacing w:line="240" w:lineRule="auto" w:before="186" w:after="0"/>
        <w:ind w:left="1694" w:right="0" w:hanging="360"/>
        <w:jc w:val="left"/>
        <w:rPr>
          <w:sz w:val="38"/>
        </w:rPr>
      </w:pPr>
      <w:r>
        <w:rPr>
          <w:sz w:val="38"/>
        </w:rPr>
        <w:t>fights auto-aggression</w:t>
      </w:r>
      <w:r>
        <w:rPr>
          <w:spacing w:val="1"/>
          <w:sz w:val="38"/>
        </w:rPr>
        <w:t> </w:t>
      </w:r>
      <w:r>
        <w:rPr>
          <w:sz w:val="38"/>
        </w:rPr>
        <w:t>diseases</w:t>
      </w:r>
    </w:p>
    <w:p>
      <w:pPr>
        <w:pStyle w:val="ListParagraph"/>
        <w:numPr>
          <w:ilvl w:val="1"/>
          <w:numId w:val="128"/>
        </w:numPr>
        <w:tabs>
          <w:tab w:pos="1693" w:val="left" w:leader="none"/>
          <w:tab w:pos="1694" w:val="left" w:leader="none"/>
        </w:tabs>
        <w:spacing w:line="240" w:lineRule="auto" w:before="184" w:after="0"/>
        <w:ind w:left="1694" w:right="0" w:hanging="360"/>
        <w:jc w:val="left"/>
        <w:rPr>
          <w:sz w:val="38"/>
        </w:rPr>
      </w:pPr>
      <w:r>
        <w:rPr>
          <w:sz w:val="38"/>
        </w:rPr>
        <w:t>increases performance (for example, in</w:t>
      </w:r>
      <w:r>
        <w:rPr>
          <w:spacing w:val="4"/>
          <w:sz w:val="38"/>
        </w:rPr>
        <w:t> </w:t>
      </w:r>
      <w:r>
        <w:rPr>
          <w:sz w:val="38"/>
        </w:rPr>
        <w:t>sport)</w:t>
      </w:r>
    </w:p>
    <w:p>
      <w:pPr>
        <w:pStyle w:val="ListParagraph"/>
        <w:numPr>
          <w:ilvl w:val="1"/>
          <w:numId w:val="128"/>
        </w:numPr>
        <w:tabs>
          <w:tab w:pos="1693" w:val="left" w:leader="none"/>
          <w:tab w:pos="1694" w:val="left" w:leader="none"/>
        </w:tabs>
        <w:spacing w:line="240" w:lineRule="auto" w:before="184" w:after="0"/>
        <w:ind w:left="1694" w:right="0" w:hanging="360"/>
        <w:jc w:val="left"/>
        <w:rPr>
          <w:sz w:val="38"/>
        </w:rPr>
      </w:pPr>
      <w:r>
        <w:rPr>
          <w:sz w:val="38"/>
        </w:rPr>
        <w:t>improves wound healing</w:t>
      </w:r>
    </w:p>
    <w:p>
      <w:pPr>
        <w:pStyle w:val="ListParagraph"/>
        <w:numPr>
          <w:ilvl w:val="1"/>
          <w:numId w:val="128"/>
        </w:numPr>
        <w:tabs>
          <w:tab w:pos="1693" w:val="left" w:leader="none"/>
          <w:tab w:pos="1694" w:val="left" w:leader="none"/>
        </w:tabs>
        <w:spacing w:line="240" w:lineRule="auto" w:before="184" w:after="0"/>
        <w:ind w:left="1694" w:right="0" w:hanging="360"/>
        <w:jc w:val="left"/>
        <w:rPr>
          <w:sz w:val="38"/>
        </w:rPr>
      </w:pPr>
      <w:r>
        <w:rPr>
          <w:sz w:val="38"/>
        </w:rPr>
        <w:t>inhibits pain</w:t>
      </w:r>
    </w:p>
    <w:p>
      <w:pPr>
        <w:pStyle w:val="ListParagraph"/>
        <w:numPr>
          <w:ilvl w:val="1"/>
          <w:numId w:val="128"/>
        </w:numPr>
        <w:tabs>
          <w:tab w:pos="1693" w:val="left" w:leader="none"/>
          <w:tab w:pos="1694" w:val="left" w:leader="none"/>
        </w:tabs>
        <w:spacing w:line="240" w:lineRule="auto" w:before="183" w:after="0"/>
        <w:ind w:left="1694" w:right="0" w:hanging="360"/>
        <w:jc w:val="left"/>
        <w:rPr>
          <w:sz w:val="38"/>
        </w:rPr>
      </w:pPr>
      <w:r>
        <w:rPr>
          <w:sz w:val="38"/>
        </w:rPr>
        <w:t>reduces cholesterol and</w:t>
      </w:r>
      <w:r>
        <w:rPr>
          <w:spacing w:val="-2"/>
          <w:sz w:val="38"/>
        </w:rPr>
        <w:t> </w:t>
      </w:r>
      <w:r>
        <w:rPr>
          <w:sz w:val="38"/>
        </w:rPr>
        <w:t>triglyceride</w:t>
      </w:r>
    </w:p>
    <w:p>
      <w:pPr>
        <w:pStyle w:val="ListParagraph"/>
        <w:numPr>
          <w:ilvl w:val="1"/>
          <w:numId w:val="128"/>
        </w:numPr>
        <w:tabs>
          <w:tab w:pos="1693" w:val="left" w:leader="none"/>
          <w:tab w:pos="1694" w:val="left" w:leader="none"/>
        </w:tabs>
        <w:spacing w:line="240" w:lineRule="auto" w:before="186" w:after="0"/>
        <w:ind w:left="1694" w:right="0" w:hanging="360"/>
        <w:jc w:val="left"/>
        <w:rPr>
          <w:sz w:val="38"/>
        </w:rPr>
      </w:pPr>
      <w:r>
        <w:rPr>
          <w:sz w:val="38"/>
        </w:rPr>
        <w:t>anti-aggregative (fights formation of</w:t>
      </w:r>
      <w:r>
        <w:rPr>
          <w:spacing w:val="1"/>
          <w:sz w:val="38"/>
        </w:rPr>
        <w:t> </w:t>
      </w:r>
      <w:r>
        <w:rPr>
          <w:sz w:val="38"/>
        </w:rPr>
        <w:t>thrombosis)</w:t>
      </w:r>
    </w:p>
    <w:p>
      <w:pPr>
        <w:spacing w:after="0" w:line="240" w:lineRule="auto"/>
        <w:jc w:val="left"/>
        <w:rPr>
          <w:sz w:val="38"/>
        </w:rPr>
        <w:sectPr>
          <w:pgSz w:w="14270" w:h="16850"/>
          <w:pgMar w:header="0" w:footer="1891" w:top="1360" w:bottom="2080" w:left="800" w:right="1280"/>
        </w:sectPr>
      </w:pPr>
    </w:p>
    <w:p>
      <w:pPr>
        <w:pStyle w:val="Heading1"/>
        <w:spacing w:before="77"/>
        <w:ind w:left="616"/>
      </w:pPr>
      <w:r>
        <w:rPr/>
        <w:t>Specific effects of Reishi on diseases</w:t>
      </w:r>
    </w:p>
    <w:p>
      <w:pPr>
        <w:pStyle w:val="BodyText"/>
        <w:spacing w:before="299"/>
        <w:ind w:left="616"/>
      </w:pPr>
      <w:r>
        <w:rPr/>
        <w:t>Reishi is traditionally used for the following diseases and medical conditions:</w:t>
      </w:r>
    </w:p>
    <w:p>
      <w:pPr>
        <w:pStyle w:val="ListParagraph"/>
        <w:numPr>
          <w:ilvl w:val="0"/>
          <w:numId w:val="128"/>
        </w:numPr>
        <w:tabs>
          <w:tab w:pos="1336" w:val="left" w:leader="none"/>
          <w:tab w:pos="1337" w:val="left" w:leader="none"/>
        </w:tabs>
        <w:spacing w:line="240" w:lineRule="auto" w:before="301" w:after="0"/>
        <w:ind w:left="1336" w:right="0" w:hanging="360"/>
        <w:jc w:val="left"/>
        <w:rPr>
          <w:sz w:val="38"/>
        </w:rPr>
      </w:pPr>
      <w:r>
        <w:rPr>
          <w:sz w:val="38"/>
        </w:rPr>
        <w:t>Cardiovascular</w:t>
      </w:r>
      <w:r>
        <w:rPr>
          <w:spacing w:val="1"/>
          <w:sz w:val="38"/>
        </w:rPr>
        <w:t> </w:t>
      </w:r>
      <w:r>
        <w:rPr>
          <w:sz w:val="38"/>
        </w:rPr>
        <w:t>diseases</w:t>
      </w:r>
    </w:p>
    <w:p>
      <w:pPr>
        <w:pStyle w:val="ListParagraph"/>
        <w:numPr>
          <w:ilvl w:val="0"/>
          <w:numId w:val="128"/>
        </w:numPr>
        <w:tabs>
          <w:tab w:pos="1336" w:val="left" w:leader="none"/>
          <w:tab w:pos="1337" w:val="left" w:leader="none"/>
        </w:tabs>
        <w:spacing w:line="240" w:lineRule="auto" w:before="306" w:after="0"/>
        <w:ind w:left="1336" w:right="0" w:hanging="360"/>
        <w:jc w:val="left"/>
        <w:rPr>
          <w:sz w:val="38"/>
        </w:rPr>
      </w:pPr>
      <w:r>
        <w:rPr>
          <w:sz w:val="38"/>
        </w:rPr>
        <w:t>Arrhythmia</w:t>
      </w:r>
    </w:p>
    <w:p>
      <w:pPr>
        <w:pStyle w:val="ListParagraph"/>
        <w:numPr>
          <w:ilvl w:val="0"/>
          <w:numId w:val="128"/>
        </w:numPr>
        <w:tabs>
          <w:tab w:pos="1336" w:val="left" w:leader="none"/>
          <w:tab w:pos="1337" w:val="left" w:leader="none"/>
        </w:tabs>
        <w:spacing w:line="240" w:lineRule="auto" w:before="306" w:after="0"/>
        <w:ind w:left="1336" w:right="0" w:hanging="360"/>
        <w:jc w:val="left"/>
        <w:rPr>
          <w:sz w:val="38"/>
        </w:rPr>
      </w:pPr>
      <w:r>
        <w:rPr>
          <w:sz w:val="38"/>
        </w:rPr>
        <w:t>Cancer/malignant tumours (liver, lungs, stomach, skin, kidneys,</w:t>
      </w:r>
      <w:r>
        <w:rPr>
          <w:spacing w:val="-8"/>
          <w:sz w:val="38"/>
        </w:rPr>
        <w:t> </w:t>
      </w:r>
      <w:r>
        <w:rPr>
          <w:sz w:val="38"/>
        </w:rPr>
        <w:t>brain)</w:t>
      </w:r>
    </w:p>
    <w:p>
      <w:pPr>
        <w:pStyle w:val="ListParagraph"/>
        <w:numPr>
          <w:ilvl w:val="0"/>
          <w:numId w:val="128"/>
        </w:numPr>
        <w:tabs>
          <w:tab w:pos="1336" w:val="left" w:leader="none"/>
          <w:tab w:pos="1337" w:val="left" w:leader="none"/>
        </w:tabs>
        <w:spacing w:line="240" w:lineRule="auto" w:before="305" w:after="0"/>
        <w:ind w:left="1336" w:right="0" w:hanging="360"/>
        <w:jc w:val="left"/>
        <w:rPr>
          <w:sz w:val="38"/>
        </w:rPr>
      </w:pPr>
      <w:r>
        <w:rPr>
          <w:sz w:val="38"/>
        </w:rPr>
        <w:t>Rheumatism</w:t>
      </w:r>
    </w:p>
    <w:p>
      <w:pPr>
        <w:pStyle w:val="ListParagraph"/>
        <w:numPr>
          <w:ilvl w:val="0"/>
          <w:numId w:val="128"/>
        </w:numPr>
        <w:tabs>
          <w:tab w:pos="1336" w:val="left" w:leader="none"/>
          <w:tab w:pos="1337" w:val="left" w:leader="none"/>
        </w:tabs>
        <w:spacing w:line="240" w:lineRule="auto" w:before="303" w:after="0"/>
        <w:ind w:left="1336" w:right="0" w:hanging="360"/>
        <w:jc w:val="left"/>
        <w:rPr>
          <w:sz w:val="38"/>
        </w:rPr>
      </w:pPr>
      <w:r>
        <w:rPr>
          <w:sz w:val="38"/>
        </w:rPr>
        <w:t>High blood</w:t>
      </w:r>
      <w:r>
        <w:rPr>
          <w:spacing w:val="1"/>
          <w:sz w:val="38"/>
        </w:rPr>
        <w:t> </w:t>
      </w:r>
      <w:r>
        <w:rPr>
          <w:sz w:val="38"/>
        </w:rPr>
        <w:t>pressure</w:t>
      </w:r>
    </w:p>
    <w:p>
      <w:pPr>
        <w:pStyle w:val="ListParagraph"/>
        <w:numPr>
          <w:ilvl w:val="0"/>
          <w:numId w:val="128"/>
        </w:numPr>
        <w:tabs>
          <w:tab w:pos="1336" w:val="left" w:leader="none"/>
          <w:tab w:pos="1337" w:val="left" w:leader="none"/>
        </w:tabs>
        <w:spacing w:line="240" w:lineRule="auto" w:before="304" w:after="0"/>
        <w:ind w:left="1336" w:right="0" w:hanging="360"/>
        <w:jc w:val="left"/>
        <w:rPr>
          <w:sz w:val="38"/>
        </w:rPr>
      </w:pPr>
      <w:r>
        <w:rPr>
          <w:sz w:val="38"/>
        </w:rPr>
        <w:t>High</w:t>
      </w:r>
      <w:r>
        <w:rPr>
          <w:spacing w:val="-8"/>
          <w:sz w:val="38"/>
        </w:rPr>
        <w:t> </w:t>
      </w:r>
      <w:r>
        <w:rPr>
          <w:sz w:val="38"/>
        </w:rPr>
        <w:t>cholesterol</w:t>
      </w:r>
    </w:p>
    <w:p>
      <w:pPr>
        <w:pStyle w:val="ListParagraph"/>
        <w:numPr>
          <w:ilvl w:val="0"/>
          <w:numId w:val="128"/>
        </w:numPr>
        <w:tabs>
          <w:tab w:pos="1336" w:val="left" w:leader="none"/>
          <w:tab w:pos="1337" w:val="left" w:leader="none"/>
        </w:tabs>
        <w:spacing w:line="240" w:lineRule="auto" w:before="304" w:after="0"/>
        <w:ind w:left="1336" w:right="0" w:hanging="360"/>
        <w:jc w:val="left"/>
        <w:rPr>
          <w:sz w:val="38"/>
        </w:rPr>
      </w:pPr>
      <w:r>
        <w:rPr>
          <w:sz w:val="38"/>
        </w:rPr>
        <w:t>High</w:t>
      </w:r>
      <w:r>
        <w:rPr>
          <w:spacing w:val="-6"/>
          <w:sz w:val="38"/>
        </w:rPr>
        <w:t> </w:t>
      </w:r>
      <w:r>
        <w:rPr>
          <w:sz w:val="38"/>
        </w:rPr>
        <w:t>triglyceride</w:t>
      </w:r>
    </w:p>
    <w:p>
      <w:pPr>
        <w:pStyle w:val="ListParagraph"/>
        <w:numPr>
          <w:ilvl w:val="0"/>
          <w:numId w:val="128"/>
        </w:numPr>
        <w:tabs>
          <w:tab w:pos="1336" w:val="left" w:leader="none"/>
          <w:tab w:pos="1337" w:val="left" w:leader="none"/>
        </w:tabs>
        <w:spacing w:line="240" w:lineRule="auto" w:before="306" w:after="0"/>
        <w:ind w:left="1336" w:right="0" w:hanging="360"/>
        <w:jc w:val="left"/>
        <w:rPr>
          <w:sz w:val="38"/>
        </w:rPr>
      </w:pPr>
      <w:r>
        <w:rPr>
          <w:sz w:val="38"/>
        </w:rPr>
        <w:t>Infections</w:t>
      </w:r>
    </w:p>
    <w:p>
      <w:pPr>
        <w:pStyle w:val="ListParagraph"/>
        <w:numPr>
          <w:ilvl w:val="0"/>
          <w:numId w:val="128"/>
        </w:numPr>
        <w:tabs>
          <w:tab w:pos="1336" w:val="left" w:leader="none"/>
          <w:tab w:pos="1337" w:val="left" w:leader="none"/>
        </w:tabs>
        <w:spacing w:line="240" w:lineRule="auto" w:before="304" w:after="0"/>
        <w:ind w:left="1336" w:right="0" w:hanging="360"/>
        <w:jc w:val="left"/>
        <w:rPr>
          <w:sz w:val="38"/>
        </w:rPr>
      </w:pPr>
      <w:r>
        <w:rPr>
          <w:sz w:val="38"/>
        </w:rPr>
        <w:t>Influenza (type</w:t>
      </w:r>
      <w:r>
        <w:rPr>
          <w:spacing w:val="-1"/>
          <w:sz w:val="38"/>
        </w:rPr>
        <w:t> </w:t>
      </w:r>
      <w:r>
        <w:rPr>
          <w:sz w:val="38"/>
        </w:rPr>
        <w:t>A)</w:t>
      </w:r>
    </w:p>
    <w:p>
      <w:pPr>
        <w:pStyle w:val="ListParagraph"/>
        <w:numPr>
          <w:ilvl w:val="0"/>
          <w:numId w:val="128"/>
        </w:numPr>
        <w:tabs>
          <w:tab w:pos="1336" w:val="left" w:leader="none"/>
          <w:tab w:pos="1337" w:val="left" w:leader="none"/>
        </w:tabs>
        <w:spacing w:line="240" w:lineRule="auto" w:before="303" w:after="0"/>
        <w:ind w:left="1336" w:right="0" w:hanging="360"/>
        <w:jc w:val="left"/>
        <w:rPr>
          <w:sz w:val="38"/>
        </w:rPr>
      </w:pPr>
      <w:r>
        <w:rPr>
          <w:sz w:val="38"/>
        </w:rPr>
        <w:t>HIV</w:t>
      </w:r>
    </w:p>
    <w:p>
      <w:pPr>
        <w:pStyle w:val="ListParagraph"/>
        <w:numPr>
          <w:ilvl w:val="0"/>
          <w:numId w:val="128"/>
        </w:numPr>
        <w:tabs>
          <w:tab w:pos="1336" w:val="left" w:leader="none"/>
          <w:tab w:pos="1337" w:val="left" w:leader="none"/>
        </w:tabs>
        <w:spacing w:line="240" w:lineRule="auto" w:before="304" w:after="0"/>
        <w:ind w:left="1336" w:right="0" w:hanging="360"/>
        <w:jc w:val="left"/>
        <w:rPr>
          <w:sz w:val="38"/>
        </w:rPr>
      </w:pPr>
      <w:r>
        <w:rPr>
          <w:sz w:val="38"/>
        </w:rPr>
        <w:t>Hepatitis</w:t>
      </w:r>
    </w:p>
    <w:p>
      <w:pPr>
        <w:pStyle w:val="ListParagraph"/>
        <w:numPr>
          <w:ilvl w:val="0"/>
          <w:numId w:val="128"/>
        </w:numPr>
        <w:tabs>
          <w:tab w:pos="1336" w:val="left" w:leader="none"/>
          <w:tab w:pos="1337" w:val="left" w:leader="none"/>
        </w:tabs>
        <w:spacing w:line="240" w:lineRule="auto" w:before="304" w:after="0"/>
        <w:ind w:left="1336" w:right="0" w:hanging="360"/>
        <w:jc w:val="left"/>
        <w:rPr>
          <w:sz w:val="38"/>
        </w:rPr>
      </w:pPr>
      <w:r>
        <w:rPr>
          <w:sz w:val="38"/>
        </w:rPr>
        <w:t>Herpes</w:t>
      </w:r>
      <w:r>
        <w:rPr>
          <w:spacing w:val="1"/>
          <w:sz w:val="38"/>
        </w:rPr>
        <w:t> </w:t>
      </w:r>
      <w:r>
        <w:rPr>
          <w:sz w:val="38"/>
        </w:rPr>
        <w:t>simplex</w:t>
      </w:r>
    </w:p>
    <w:p>
      <w:pPr>
        <w:pStyle w:val="ListParagraph"/>
        <w:numPr>
          <w:ilvl w:val="0"/>
          <w:numId w:val="128"/>
        </w:numPr>
        <w:tabs>
          <w:tab w:pos="1336" w:val="left" w:leader="none"/>
          <w:tab w:pos="1337" w:val="left" w:leader="none"/>
        </w:tabs>
        <w:spacing w:line="240" w:lineRule="auto" w:before="306" w:after="0"/>
        <w:ind w:left="1336" w:right="0" w:hanging="360"/>
        <w:jc w:val="left"/>
        <w:rPr>
          <w:sz w:val="38"/>
        </w:rPr>
      </w:pPr>
      <w:r>
        <w:rPr>
          <w:sz w:val="38"/>
        </w:rPr>
        <w:t>Diabetes</w:t>
      </w:r>
    </w:p>
    <w:p>
      <w:pPr>
        <w:pStyle w:val="ListParagraph"/>
        <w:numPr>
          <w:ilvl w:val="0"/>
          <w:numId w:val="128"/>
        </w:numPr>
        <w:tabs>
          <w:tab w:pos="1336" w:val="left" w:leader="none"/>
          <w:tab w:pos="1337" w:val="left" w:leader="none"/>
        </w:tabs>
        <w:spacing w:line="240" w:lineRule="auto" w:before="304" w:after="0"/>
        <w:ind w:left="1336" w:right="0" w:hanging="360"/>
        <w:jc w:val="left"/>
        <w:rPr>
          <w:sz w:val="38"/>
        </w:rPr>
      </w:pPr>
      <w:r>
        <w:rPr>
          <w:sz w:val="38"/>
        </w:rPr>
        <w:t>Bronchitis</w:t>
      </w:r>
    </w:p>
    <w:p>
      <w:pPr>
        <w:spacing w:after="0" w:line="240" w:lineRule="auto"/>
        <w:jc w:val="left"/>
        <w:rPr>
          <w:sz w:val="38"/>
        </w:rPr>
        <w:sectPr>
          <w:pgSz w:w="14270" w:h="16850"/>
          <w:pgMar w:header="0" w:footer="1891" w:top="1320" w:bottom="2080" w:left="800" w:right="1280"/>
        </w:sectPr>
      </w:pPr>
    </w:p>
    <w:p>
      <w:pPr>
        <w:pStyle w:val="ListParagraph"/>
        <w:numPr>
          <w:ilvl w:val="0"/>
          <w:numId w:val="128"/>
        </w:numPr>
        <w:tabs>
          <w:tab w:pos="1336" w:val="left" w:leader="none"/>
          <w:tab w:pos="1337" w:val="left" w:leader="none"/>
        </w:tabs>
        <w:spacing w:line="240" w:lineRule="auto" w:before="53" w:after="0"/>
        <w:ind w:left="1336" w:right="0" w:hanging="360"/>
        <w:jc w:val="left"/>
        <w:rPr>
          <w:sz w:val="38"/>
        </w:rPr>
      </w:pPr>
      <w:r>
        <w:rPr>
          <w:sz w:val="38"/>
        </w:rPr>
        <w:t>Headaches</w:t>
      </w:r>
    </w:p>
    <w:p>
      <w:pPr>
        <w:pStyle w:val="ListParagraph"/>
        <w:numPr>
          <w:ilvl w:val="0"/>
          <w:numId w:val="128"/>
        </w:numPr>
        <w:tabs>
          <w:tab w:pos="1336" w:val="left" w:leader="none"/>
          <w:tab w:pos="1337" w:val="left" w:leader="none"/>
        </w:tabs>
        <w:spacing w:line="240" w:lineRule="auto" w:before="306" w:after="0"/>
        <w:ind w:left="1336" w:right="0" w:hanging="360"/>
        <w:jc w:val="left"/>
        <w:rPr>
          <w:sz w:val="38"/>
        </w:rPr>
      </w:pPr>
      <w:r>
        <w:rPr>
          <w:sz w:val="38"/>
        </w:rPr>
        <w:t>Insomnia</w:t>
      </w:r>
    </w:p>
    <w:p>
      <w:pPr>
        <w:pStyle w:val="ListParagraph"/>
        <w:numPr>
          <w:ilvl w:val="0"/>
          <w:numId w:val="128"/>
        </w:numPr>
        <w:tabs>
          <w:tab w:pos="1336" w:val="left" w:leader="none"/>
          <w:tab w:pos="1337" w:val="left" w:leader="none"/>
        </w:tabs>
        <w:spacing w:line="240" w:lineRule="auto" w:before="304" w:after="0"/>
        <w:ind w:left="1336" w:right="0" w:hanging="360"/>
        <w:jc w:val="left"/>
        <w:rPr>
          <w:sz w:val="38"/>
        </w:rPr>
      </w:pPr>
      <w:r>
        <w:rPr>
          <w:sz w:val="38"/>
        </w:rPr>
        <w:t>Nervousness</w:t>
      </w:r>
    </w:p>
    <w:p>
      <w:pPr>
        <w:pStyle w:val="ListParagraph"/>
        <w:numPr>
          <w:ilvl w:val="0"/>
          <w:numId w:val="128"/>
        </w:numPr>
        <w:tabs>
          <w:tab w:pos="1336" w:val="left" w:leader="none"/>
          <w:tab w:pos="1337" w:val="left" w:leader="none"/>
        </w:tabs>
        <w:spacing w:line="240" w:lineRule="auto" w:before="304" w:after="0"/>
        <w:ind w:left="1336" w:right="0" w:hanging="360"/>
        <w:jc w:val="left"/>
        <w:rPr>
          <w:sz w:val="38"/>
        </w:rPr>
      </w:pPr>
      <w:r>
        <w:rPr>
          <w:sz w:val="38"/>
        </w:rPr>
        <w:t>Chronic</w:t>
      </w:r>
      <w:r>
        <w:rPr>
          <w:spacing w:val="-2"/>
          <w:sz w:val="38"/>
        </w:rPr>
        <w:t> </w:t>
      </w:r>
      <w:r>
        <w:rPr>
          <w:sz w:val="38"/>
        </w:rPr>
        <w:t>exhaustion</w:t>
      </w:r>
    </w:p>
    <w:p>
      <w:pPr>
        <w:pStyle w:val="ListParagraph"/>
        <w:numPr>
          <w:ilvl w:val="0"/>
          <w:numId w:val="128"/>
        </w:numPr>
        <w:tabs>
          <w:tab w:pos="1336" w:val="left" w:leader="none"/>
          <w:tab w:pos="1337" w:val="left" w:leader="none"/>
        </w:tabs>
        <w:spacing w:line="240" w:lineRule="auto" w:before="303" w:after="0"/>
        <w:ind w:left="1336" w:right="0" w:hanging="360"/>
        <w:jc w:val="left"/>
        <w:rPr>
          <w:sz w:val="38"/>
        </w:rPr>
      </w:pPr>
      <w:r>
        <w:rPr>
          <w:sz w:val="38"/>
        </w:rPr>
        <w:t>Neurasthenia</w:t>
      </w:r>
    </w:p>
    <w:p>
      <w:pPr>
        <w:pStyle w:val="ListParagraph"/>
        <w:numPr>
          <w:ilvl w:val="0"/>
          <w:numId w:val="128"/>
        </w:numPr>
        <w:tabs>
          <w:tab w:pos="1336" w:val="left" w:leader="none"/>
          <w:tab w:pos="1337" w:val="left" w:leader="none"/>
        </w:tabs>
        <w:spacing w:line="240" w:lineRule="auto" w:before="304" w:after="0"/>
        <w:ind w:left="1336" w:right="0" w:hanging="360"/>
        <w:jc w:val="left"/>
        <w:rPr>
          <w:sz w:val="38"/>
        </w:rPr>
      </w:pPr>
      <w:r>
        <w:rPr>
          <w:sz w:val="38"/>
        </w:rPr>
        <w:t>Migraines</w:t>
      </w:r>
    </w:p>
    <w:p>
      <w:pPr>
        <w:pStyle w:val="ListParagraph"/>
        <w:numPr>
          <w:ilvl w:val="0"/>
          <w:numId w:val="128"/>
        </w:numPr>
        <w:tabs>
          <w:tab w:pos="1336" w:val="left" w:leader="none"/>
          <w:tab w:pos="1337" w:val="left" w:leader="none"/>
        </w:tabs>
        <w:spacing w:line="240" w:lineRule="auto" w:before="306" w:after="0"/>
        <w:ind w:left="1336" w:right="0" w:hanging="360"/>
        <w:jc w:val="left"/>
        <w:rPr>
          <w:sz w:val="38"/>
        </w:rPr>
      </w:pPr>
      <w:r>
        <w:rPr>
          <w:sz w:val="38"/>
        </w:rPr>
        <w:t>Constipation</w:t>
      </w:r>
    </w:p>
    <w:p>
      <w:pPr>
        <w:pStyle w:val="ListParagraph"/>
        <w:numPr>
          <w:ilvl w:val="0"/>
          <w:numId w:val="128"/>
        </w:numPr>
        <w:tabs>
          <w:tab w:pos="1336" w:val="left" w:leader="none"/>
          <w:tab w:pos="1337" w:val="left" w:leader="none"/>
        </w:tabs>
        <w:spacing w:line="240" w:lineRule="auto" w:before="304" w:after="0"/>
        <w:ind w:left="1336" w:right="0" w:hanging="360"/>
        <w:jc w:val="left"/>
        <w:rPr>
          <w:sz w:val="38"/>
        </w:rPr>
      </w:pPr>
      <w:r>
        <w:rPr>
          <w:sz w:val="38"/>
        </w:rPr>
        <w:t>Menstrual</w:t>
      </w:r>
      <w:r>
        <w:rPr>
          <w:spacing w:val="-2"/>
          <w:sz w:val="38"/>
        </w:rPr>
        <w:t> </w:t>
      </w:r>
      <w:r>
        <w:rPr>
          <w:sz w:val="38"/>
        </w:rPr>
        <w:t>disorders</w:t>
      </w:r>
    </w:p>
    <w:p>
      <w:pPr>
        <w:pStyle w:val="ListParagraph"/>
        <w:numPr>
          <w:ilvl w:val="0"/>
          <w:numId w:val="128"/>
        </w:numPr>
        <w:tabs>
          <w:tab w:pos="1336" w:val="left" w:leader="none"/>
          <w:tab w:pos="1337" w:val="left" w:leader="none"/>
        </w:tabs>
        <w:spacing w:line="240" w:lineRule="auto" w:before="304" w:after="0"/>
        <w:ind w:left="1336" w:right="0" w:hanging="360"/>
        <w:jc w:val="left"/>
        <w:rPr>
          <w:sz w:val="38"/>
        </w:rPr>
      </w:pPr>
      <w:r>
        <w:rPr>
          <w:sz w:val="38"/>
        </w:rPr>
        <w:t>Mental</w:t>
      </w:r>
      <w:r>
        <w:rPr>
          <w:spacing w:val="-2"/>
          <w:sz w:val="38"/>
        </w:rPr>
        <w:t> </w:t>
      </w:r>
      <w:r>
        <w:rPr>
          <w:sz w:val="38"/>
        </w:rPr>
        <w:t>illnesses</w:t>
      </w:r>
    </w:p>
    <w:p>
      <w:pPr>
        <w:pStyle w:val="ListParagraph"/>
        <w:numPr>
          <w:ilvl w:val="0"/>
          <w:numId w:val="128"/>
        </w:numPr>
        <w:tabs>
          <w:tab w:pos="1336" w:val="left" w:leader="none"/>
          <w:tab w:pos="1337" w:val="left" w:leader="none"/>
        </w:tabs>
        <w:spacing w:line="240" w:lineRule="auto" w:before="303" w:after="0"/>
        <w:ind w:left="1336" w:right="0" w:hanging="360"/>
        <w:jc w:val="left"/>
        <w:rPr>
          <w:sz w:val="38"/>
        </w:rPr>
      </w:pPr>
      <w:r>
        <w:rPr>
          <w:sz w:val="38"/>
        </w:rPr>
        <w:t>Alzheimer’s</w:t>
      </w:r>
    </w:p>
    <w:p>
      <w:pPr>
        <w:pStyle w:val="ListParagraph"/>
        <w:numPr>
          <w:ilvl w:val="0"/>
          <w:numId w:val="128"/>
        </w:numPr>
        <w:tabs>
          <w:tab w:pos="1336" w:val="left" w:leader="none"/>
          <w:tab w:pos="1337" w:val="left" w:leader="none"/>
        </w:tabs>
        <w:spacing w:line="240" w:lineRule="auto" w:before="307" w:after="0"/>
        <w:ind w:left="1336" w:right="0" w:hanging="360"/>
        <w:jc w:val="left"/>
        <w:rPr>
          <w:sz w:val="38"/>
        </w:rPr>
      </w:pPr>
      <w:r>
        <w:rPr>
          <w:sz w:val="38"/>
        </w:rPr>
        <w:t>Depression</w:t>
      </w:r>
    </w:p>
    <w:p>
      <w:pPr>
        <w:pStyle w:val="ListParagraph"/>
        <w:numPr>
          <w:ilvl w:val="0"/>
          <w:numId w:val="128"/>
        </w:numPr>
        <w:tabs>
          <w:tab w:pos="1336" w:val="left" w:leader="none"/>
          <w:tab w:pos="1337" w:val="left" w:leader="none"/>
        </w:tabs>
        <w:spacing w:line="240" w:lineRule="auto" w:before="303" w:after="0"/>
        <w:ind w:left="1336" w:right="0" w:hanging="360"/>
        <w:jc w:val="left"/>
        <w:rPr>
          <w:sz w:val="38"/>
        </w:rPr>
      </w:pPr>
      <w:r>
        <w:rPr>
          <w:sz w:val="38"/>
        </w:rPr>
        <w:t>Rhinitis</w:t>
      </w:r>
    </w:p>
    <w:p>
      <w:pPr>
        <w:pStyle w:val="ListParagraph"/>
        <w:numPr>
          <w:ilvl w:val="0"/>
          <w:numId w:val="128"/>
        </w:numPr>
        <w:tabs>
          <w:tab w:pos="1336" w:val="left" w:leader="none"/>
          <w:tab w:pos="1337" w:val="left" w:leader="none"/>
        </w:tabs>
        <w:spacing w:line="240" w:lineRule="auto" w:before="304" w:after="0"/>
        <w:ind w:left="1336" w:right="0" w:hanging="360"/>
        <w:jc w:val="left"/>
        <w:rPr>
          <w:sz w:val="38"/>
        </w:rPr>
      </w:pPr>
      <w:r>
        <w:rPr>
          <w:sz w:val="38"/>
        </w:rPr>
        <w:t>Butterfly Rash</w:t>
      </w:r>
    </w:p>
    <w:p>
      <w:pPr>
        <w:pStyle w:val="ListParagraph"/>
        <w:numPr>
          <w:ilvl w:val="0"/>
          <w:numId w:val="128"/>
        </w:numPr>
        <w:tabs>
          <w:tab w:pos="1336" w:val="left" w:leader="none"/>
          <w:tab w:pos="1337" w:val="left" w:leader="none"/>
        </w:tabs>
        <w:spacing w:line="240" w:lineRule="auto" w:before="304" w:after="0"/>
        <w:ind w:left="1336" w:right="0" w:hanging="360"/>
        <w:jc w:val="left"/>
        <w:rPr>
          <w:sz w:val="38"/>
        </w:rPr>
      </w:pPr>
      <w:r>
        <w:rPr>
          <w:sz w:val="38"/>
        </w:rPr>
        <w:t>Eczema</w:t>
      </w:r>
    </w:p>
    <w:p>
      <w:pPr>
        <w:pStyle w:val="ListParagraph"/>
        <w:numPr>
          <w:ilvl w:val="0"/>
          <w:numId w:val="128"/>
        </w:numPr>
        <w:tabs>
          <w:tab w:pos="1336" w:val="left" w:leader="none"/>
          <w:tab w:pos="1337" w:val="left" w:leader="none"/>
        </w:tabs>
        <w:spacing w:line="240" w:lineRule="auto" w:before="304" w:after="0"/>
        <w:ind w:left="1336" w:right="0" w:hanging="360"/>
        <w:jc w:val="left"/>
        <w:rPr>
          <w:sz w:val="38"/>
        </w:rPr>
      </w:pPr>
      <w:r>
        <w:rPr>
          <w:sz w:val="38"/>
        </w:rPr>
        <w:t>Duodenalulcera</w:t>
      </w:r>
    </w:p>
    <w:p>
      <w:pPr>
        <w:pStyle w:val="ListParagraph"/>
        <w:numPr>
          <w:ilvl w:val="0"/>
          <w:numId w:val="128"/>
        </w:numPr>
        <w:tabs>
          <w:tab w:pos="1336" w:val="left" w:leader="none"/>
          <w:tab w:pos="1337" w:val="left" w:leader="none"/>
        </w:tabs>
        <w:spacing w:line="240" w:lineRule="auto" w:before="306" w:after="0"/>
        <w:ind w:left="1336" w:right="0" w:hanging="360"/>
        <w:jc w:val="left"/>
        <w:rPr>
          <w:sz w:val="38"/>
        </w:rPr>
      </w:pPr>
      <w:r>
        <w:rPr>
          <w:sz w:val="38"/>
        </w:rPr>
        <w:t>Hepatodynia</w:t>
      </w:r>
    </w:p>
    <w:p>
      <w:pPr>
        <w:spacing w:after="0" w:line="240" w:lineRule="auto"/>
        <w:jc w:val="left"/>
        <w:rPr>
          <w:sz w:val="38"/>
        </w:rPr>
        <w:sectPr>
          <w:pgSz w:w="14270" w:h="16850"/>
          <w:pgMar w:header="0" w:footer="1891" w:top="1360" w:bottom="2080" w:left="800" w:right="1280"/>
        </w:sectPr>
      </w:pPr>
    </w:p>
    <w:p>
      <w:pPr>
        <w:pStyle w:val="ListParagraph"/>
        <w:numPr>
          <w:ilvl w:val="0"/>
          <w:numId w:val="128"/>
        </w:numPr>
        <w:tabs>
          <w:tab w:pos="1336" w:val="left" w:leader="none"/>
          <w:tab w:pos="1337" w:val="left" w:leader="none"/>
        </w:tabs>
        <w:spacing w:line="240" w:lineRule="auto" w:before="53" w:after="0"/>
        <w:ind w:left="1336" w:right="0" w:hanging="360"/>
        <w:jc w:val="left"/>
        <w:rPr>
          <w:sz w:val="38"/>
        </w:rPr>
      </w:pPr>
      <w:r>
        <w:rPr>
          <w:sz w:val="38"/>
        </w:rPr>
        <w:t>Dizziness</w:t>
      </w:r>
    </w:p>
    <w:p>
      <w:pPr>
        <w:pStyle w:val="ListParagraph"/>
        <w:numPr>
          <w:ilvl w:val="0"/>
          <w:numId w:val="128"/>
        </w:numPr>
        <w:tabs>
          <w:tab w:pos="1336" w:val="left" w:leader="none"/>
          <w:tab w:pos="1337" w:val="left" w:leader="none"/>
        </w:tabs>
        <w:spacing w:line="240" w:lineRule="auto" w:before="306" w:after="0"/>
        <w:ind w:left="1336" w:right="0" w:hanging="360"/>
        <w:jc w:val="left"/>
        <w:rPr>
          <w:sz w:val="38"/>
        </w:rPr>
      </w:pPr>
      <w:r>
        <w:rPr>
          <w:sz w:val="38"/>
        </w:rPr>
        <w:t>Stomach and duodenal ulcers</w:t>
      </w:r>
    </w:p>
    <w:p>
      <w:pPr>
        <w:pStyle w:val="ListParagraph"/>
        <w:numPr>
          <w:ilvl w:val="0"/>
          <w:numId w:val="128"/>
        </w:numPr>
        <w:tabs>
          <w:tab w:pos="1336" w:val="left" w:leader="none"/>
          <w:tab w:pos="1337" w:val="left" w:leader="none"/>
        </w:tabs>
        <w:spacing w:line="240" w:lineRule="auto" w:before="304" w:after="0"/>
        <w:ind w:left="1336" w:right="0" w:hanging="360"/>
        <w:jc w:val="left"/>
        <w:rPr>
          <w:sz w:val="38"/>
        </w:rPr>
      </w:pPr>
      <w:r>
        <w:rPr>
          <w:sz w:val="38"/>
        </w:rPr>
        <w:t>Atrophic</w:t>
      </w:r>
      <w:r>
        <w:rPr>
          <w:spacing w:val="-2"/>
          <w:sz w:val="38"/>
        </w:rPr>
        <w:t> </w:t>
      </w:r>
      <w:r>
        <w:rPr>
          <w:sz w:val="38"/>
        </w:rPr>
        <w:t>myotonia</w:t>
      </w:r>
    </w:p>
    <w:p>
      <w:pPr>
        <w:pStyle w:val="ListParagraph"/>
        <w:numPr>
          <w:ilvl w:val="0"/>
          <w:numId w:val="128"/>
        </w:numPr>
        <w:tabs>
          <w:tab w:pos="1336" w:val="left" w:leader="none"/>
          <w:tab w:pos="1337" w:val="left" w:leader="none"/>
        </w:tabs>
        <w:spacing w:line="240" w:lineRule="auto" w:before="304" w:after="0"/>
        <w:ind w:left="1336" w:right="0" w:hanging="360"/>
        <w:jc w:val="left"/>
        <w:rPr>
          <w:sz w:val="38"/>
        </w:rPr>
      </w:pPr>
      <w:r>
        <w:rPr>
          <w:sz w:val="38"/>
        </w:rPr>
        <w:t>Osteogenic</w:t>
      </w:r>
      <w:r>
        <w:rPr>
          <w:spacing w:val="-2"/>
          <w:sz w:val="38"/>
        </w:rPr>
        <w:t> </w:t>
      </w:r>
      <w:r>
        <w:rPr>
          <w:sz w:val="38"/>
        </w:rPr>
        <w:t>hyperplasia</w:t>
      </w:r>
    </w:p>
    <w:p>
      <w:pPr>
        <w:pStyle w:val="ListParagraph"/>
        <w:numPr>
          <w:ilvl w:val="0"/>
          <w:numId w:val="128"/>
        </w:numPr>
        <w:tabs>
          <w:tab w:pos="1336" w:val="left" w:leader="none"/>
          <w:tab w:pos="1337" w:val="left" w:leader="none"/>
        </w:tabs>
        <w:spacing w:line="240" w:lineRule="auto" w:before="303" w:after="0"/>
        <w:ind w:left="1336" w:right="0" w:hanging="360"/>
        <w:jc w:val="left"/>
        <w:rPr>
          <w:sz w:val="38"/>
        </w:rPr>
      </w:pPr>
      <w:r>
        <w:rPr>
          <w:sz w:val="38"/>
        </w:rPr>
        <w:t>Joint</w:t>
      </w:r>
      <w:r>
        <w:rPr>
          <w:spacing w:val="-1"/>
          <w:sz w:val="38"/>
        </w:rPr>
        <w:t> </w:t>
      </w:r>
      <w:r>
        <w:rPr>
          <w:sz w:val="38"/>
        </w:rPr>
        <w:t>inflammation</w:t>
      </w:r>
    </w:p>
    <w:p>
      <w:pPr>
        <w:pStyle w:val="ListParagraph"/>
        <w:numPr>
          <w:ilvl w:val="0"/>
          <w:numId w:val="128"/>
        </w:numPr>
        <w:tabs>
          <w:tab w:pos="1336" w:val="left" w:leader="none"/>
          <w:tab w:pos="1337" w:val="left" w:leader="none"/>
        </w:tabs>
        <w:spacing w:line="240" w:lineRule="auto" w:before="304" w:after="0"/>
        <w:ind w:left="1336" w:right="0" w:hanging="360"/>
        <w:jc w:val="left"/>
        <w:rPr>
          <w:sz w:val="38"/>
        </w:rPr>
      </w:pPr>
      <w:r>
        <w:rPr>
          <w:sz w:val="38"/>
        </w:rPr>
        <w:t>Asthma</w:t>
      </w:r>
    </w:p>
    <w:p>
      <w:pPr>
        <w:pStyle w:val="ListParagraph"/>
        <w:numPr>
          <w:ilvl w:val="0"/>
          <w:numId w:val="128"/>
        </w:numPr>
        <w:tabs>
          <w:tab w:pos="1336" w:val="left" w:leader="none"/>
          <w:tab w:pos="1337" w:val="left" w:leader="none"/>
        </w:tabs>
        <w:spacing w:line="240" w:lineRule="auto" w:before="306" w:after="0"/>
        <w:ind w:left="1336" w:right="0" w:hanging="360"/>
        <w:jc w:val="left"/>
        <w:rPr>
          <w:sz w:val="38"/>
        </w:rPr>
      </w:pPr>
      <w:r>
        <w:rPr>
          <w:sz w:val="38"/>
        </w:rPr>
        <w:t>Joint problems and</w:t>
      </w:r>
      <w:r>
        <w:rPr>
          <w:spacing w:val="-1"/>
          <w:sz w:val="38"/>
        </w:rPr>
        <w:t> </w:t>
      </w:r>
      <w:r>
        <w:rPr>
          <w:sz w:val="38"/>
        </w:rPr>
        <w:t>arthritis</w:t>
      </w:r>
    </w:p>
    <w:p>
      <w:pPr>
        <w:pStyle w:val="ListParagraph"/>
        <w:numPr>
          <w:ilvl w:val="0"/>
          <w:numId w:val="128"/>
        </w:numPr>
        <w:tabs>
          <w:tab w:pos="1336" w:val="left" w:leader="none"/>
          <w:tab w:pos="1337" w:val="left" w:leader="none"/>
        </w:tabs>
        <w:spacing w:line="240" w:lineRule="auto" w:before="304" w:after="0"/>
        <w:ind w:left="1336" w:right="0" w:hanging="360"/>
        <w:jc w:val="left"/>
        <w:rPr>
          <w:sz w:val="38"/>
        </w:rPr>
      </w:pPr>
      <w:r>
        <w:rPr>
          <w:sz w:val="38"/>
        </w:rPr>
        <w:t>Ulcers</w:t>
      </w:r>
    </w:p>
    <w:p>
      <w:pPr>
        <w:pStyle w:val="ListParagraph"/>
        <w:numPr>
          <w:ilvl w:val="0"/>
          <w:numId w:val="128"/>
        </w:numPr>
        <w:tabs>
          <w:tab w:pos="1336" w:val="left" w:leader="none"/>
          <w:tab w:pos="1337" w:val="left" w:leader="none"/>
        </w:tabs>
        <w:spacing w:line="240" w:lineRule="auto" w:before="304" w:after="0"/>
        <w:ind w:left="1336" w:right="0" w:hanging="360"/>
        <w:jc w:val="left"/>
        <w:rPr>
          <w:sz w:val="38"/>
        </w:rPr>
      </w:pPr>
      <w:r>
        <w:rPr>
          <w:sz w:val="38"/>
        </w:rPr>
        <w:t>Side-effects after radiation</w:t>
      </w:r>
      <w:r>
        <w:rPr>
          <w:spacing w:val="2"/>
          <w:sz w:val="38"/>
        </w:rPr>
        <w:t> </w:t>
      </w:r>
      <w:r>
        <w:rPr>
          <w:sz w:val="38"/>
        </w:rPr>
        <w:t>treatment</w:t>
      </w:r>
    </w:p>
    <w:p>
      <w:pPr>
        <w:pStyle w:val="ListParagraph"/>
        <w:numPr>
          <w:ilvl w:val="0"/>
          <w:numId w:val="128"/>
        </w:numPr>
        <w:tabs>
          <w:tab w:pos="1336" w:val="left" w:leader="none"/>
          <w:tab w:pos="1337" w:val="left" w:leader="none"/>
        </w:tabs>
        <w:spacing w:line="240" w:lineRule="auto" w:before="303" w:after="0"/>
        <w:ind w:left="1336" w:right="0" w:hanging="360"/>
        <w:jc w:val="left"/>
        <w:rPr>
          <w:sz w:val="38"/>
        </w:rPr>
      </w:pPr>
      <w:r>
        <w:rPr>
          <w:sz w:val="38"/>
        </w:rPr>
        <w:t>Reduction of toxicity following</w:t>
      </w:r>
      <w:r>
        <w:rPr>
          <w:spacing w:val="1"/>
          <w:sz w:val="38"/>
        </w:rPr>
        <w:t> </w:t>
      </w:r>
      <w:r>
        <w:rPr>
          <w:sz w:val="38"/>
        </w:rPr>
        <w:t>chemotherapy</w:t>
      </w:r>
    </w:p>
    <w:p>
      <w:pPr>
        <w:pStyle w:val="ListParagraph"/>
        <w:numPr>
          <w:ilvl w:val="0"/>
          <w:numId w:val="128"/>
        </w:numPr>
        <w:tabs>
          <w:tab w:pos="1336" w:val="left" w:leader="none"/>
          <w:tab w:pos="1337" w:val="left" w:leader="none"/>
        </w:tabs>
        <w:spacing w:line="240" w:lineRule="auto" w:before="307" w:after="0"/>
        <w:ind w:left="1336" w:right="0" w:hanging="360"/>
        <w:jc w:val="left"/>
        <w:rPr>
          <w:sz w:val="38"/>
        </w:rPr>
      </w:pPr>
      <w:r>
        <w:rPr>
          <w:sz w:val="38"/>
        </w:rPr>
        <w:t>Complaints during</w:t>
      </w:r>
      <w:r>
        <w:rPr>
          <w:spacing w:val="1"/>
          <w:sz w:val="38"/>
        </w:rPr>
        <w:t> </w:t>
      </w:r>
      <w:r>
        <w:rPr>
          <w:sz w:val="38"/>
        </w:rPr>
        <w:t>menopause</w:t>
      </w:r>
    </w:p>
    <w:p>
      <w:pPr>
        <w:pStyle w:val="ListParagraph"/>
        <w:numPr>
          <w:ilvl w:val="0"/>
          <w:numId w:val="128"/>
        </w:numPr>
        <w:tabs>
          <w:tab w:pos="1336" w:val="left" w:leader="none"/>
          <w:tab w:pos="1337" w:val="left" w:leader="none"/>
        </w:tabs>
        <w:spacing w:line="240" w:lineRule="auto" w:before="303" w:after="0"/>
        <w:ind w:left="1336" w:right="0" w:hanging="360"/>
        <w:jc w:val="left"/>
        <w:rPr>
          <w:sz w:val="38"/>
        </w:rPr>
      </w:pPr>
      <w:r>
        <w:rPr>
          <w:sz w:val="38"/>
        </w:rPr>
        <w:t>Acne and</w:t>
      </w:r>
      <w:r>
        <w:rPr>
          <w:spacing w:val="1"/>
          <w:sz w:val="38"/>
        </w:rPr>
        <w:t> </w:t>
      </w:r>
      <w:r>
        <w:rPr>
          <w:sz w:val="38"/>
        </w:rPr>
        <w:t>ulcers</w:t>
      </w:r>
    </w:p>
    <w:p>
      <w:pPr>
        <w:pStyle w:val="ListParagraph"/>
        <w:numPr>
          <w:ilvl w:val="0"/>
          <w:numId w:val="128"/>
        </w:numPr>
        <w:tabs>
          <w:tab w:pos="1336" w:val="left" w:leader="none"/>
          <w:tab w:pos="1337" w:val="left" w:leader="none"/>
        </w:tabs>
        <w:spacing w:line="240" w:lineRule="auto" w:before="304" w:after="0"/>
        <w:ind w:left="1336" w:right="0" w:hanging="360"/>
        <w:jc w:val="left"/>
        <w:rPr>
          <w:sz w:val="38"/>
        </w:rPr>
      </w:pPr>
      <w:r>
        <w:rPr>
          <w:sz w:val="38"/>
        </w:rPr>
        <w:t>Liver inflammations and fatty</w:t>
      </w:r>
      <w:r>
        <w:rPr>
          <w:spacing w:val="1"/>
          <w:sz w:val="38"/>
        </w:rPr>
        <w:t> </w:t>
      </w:r>
      <w:r>
        <w:rPr>
          <w:sz w:val="38"/>
        </w:rPr>
        <w:t>liver</w:t>
      </w:r>
    </w:p>
    <w:p>
      <w:pPr>
        <w:pStyle w:val="ListParagraph"/>
        <w:numPr>
          <w:ilvl w:val="0"/>
          <w:numId w:val="128"/>
        </w:numPr>
        <w:tabs>
          <w:tab w:pos="1336" w:val="left" w:leader="none"/>
          <w:tab w:pos="1337" w:val="left" w:leader="none"/>
        </w:tabs>
        <w:spacing w:line="240" w:lineRule="auto" w:before="304" w:after="0"/>
        <w:ind w:left="1336" w:right="0" w:hanging="360"/>
        <w:jc w:val="left"/>
        <w:rPr>
          <w:sz w:val="38"/>
        </w:rPr>
      </w:pPr>
      <w:r>
        <w:rPr>
          <w:sz w:val="38"/>
        </w:rPr>
        <w:t>Bronchial</w:t>
      </w:r>
      <w:r>
        <w:rPr>
          <w:spacing w:val="-2"/>
          <w:sz w:val="38"/>
        </w:rPr>
        <w:t> </w:t>
      </w:r>
      <w:r>
        <w:rPr>
          <w:sz w:val="38"/>
        </w:rPr>
        <w:t>asthma</w:t>
      </w:r>
    </w:p>
    <w:p>
      <w:pPr>
        <w:pStyle w:val="ListParagraph"/>
        <w:numPr>
          <w:ilvl w:val="0"/>
          <w:numId w:val="128"/>
        </w:numPr>
        <w:tabs>
          <w:tab w:pos="1336" w:val="left" w:leader="none"/>
          <w:tab w:pos="1337" w:val="left" w:leader="none"/>
        </w:tabs>
        <w:spacing w:line="240" w:lineRule="auto" w:before="304" w:after="0"/>
        <w:ind w:left="1336" w:right="0" w:hanging="360"/>
        <w:jc w:val="left"/>
        <w:rPr>
          <w:sz w:val="38"/>
        </w:rPr>
      </w:pPr>
      <w:r>
        <w:rPr>
          <w:sz w:val="38"/>
        </w:rPr>
        <w:t>Chronic obstructive pulmonary disease</w:t>
      </w:r>
      <w:r>
        <w:rPr>
          <w:spacing w:val="-1"/>
          <w:sz w:val="38"/>
        </w:rPr>
        <w:t> </w:t>
      </w:r>
      <w:r>
        <w:rPr>
          <w:sz w:val="38"/>
        </w:rPr>
        <w:t>(COPD)</w:t>
      </w:r>
    </w:p>
    <w:p>
      <w:pPr>
        <w:pStyle w:val="ListParagraph"/>
        <w:numPr>
          <w:ilvl w:val="0"/>
          <w:numId w:val="128"/>
        </w:numPr>
        <w:tabs>
          <w:tab w:pos="1336" w:val="left" w:leader="none"/>
          <w:tab w:pos="1337" w:val="left" w:leader="none"/>
        </w:tabs>
        <w:spacing w:line="240" w:lineRule="auto" w:before="306" w:after="0"/>
        <w:ind w:left="1336" w:right="0" w:hanging="360"/>
        <w:jc w:val="left"/>
        <w:rPr>
          <w:sz w:val="38"/>
        </w:rPr>
      </w:pPr>
      <w:r>
        <w:rPr>
          <w:sz w:val="38"/>
        </w:rPr>
        <w:t>Hepatodynia</w:t>
      </w:r>
    </w:p>
    <w:p>
      <w:pPr>
        <w:spacing w:after="0" w:line="240" w:lineRule="auto"/>
        <w:jc w:val="left"/>
        <w:rPr>
          <w:sz w:val="38"/>
        </w:rPr>
        <w:sectPr>
          <w:pgSz w:w="14270" w:h="16850"/>
          <w:pgMar w:header="0" w:footer="1891" w:top="1360" w:bottom="2080" w:left="800" w:right="1280"/>
        </w:sectPr>
      </w:pPr>
    </w:p>
    <w:p>
      <w:pPr>
        <w:pStyle w:val="ListParagraph"/>
        <w:numPr>
          <w:ilvl w:val="0"/>
          <w:numId w:val="128"/>
        </w:numPr>
        <w:tabs>
          <w:tab w:pos="1336" w:val="left" w:leader="none"/>
          <w:tab w:pos="1337" w:val="left" w:leader="none"/>
        </w:tabs>
        <w:spacing w:line="240" w:lineRule="auto" w:before="53" w:after="0"/>
        <w:ind w:left="1336" w:right="0" w:hanging="360"/>
        <w:jc w:val="left"/>
        <w:rPr>
          <w:sz w:val="38"/>
        </w:rPr>
      </w:pPr>
      <w:r>
        <w:rPr>
          <w:sz w:val="38"/>
        </w:rPr>
        <w:t>Inflammation of the</w:t>
      </w:r>
      <w:r>
        <w:rPr>
          <w:spacing w:val="5"/>
          <w:sz w:val="38"/>
        </w:rPr>
        <w:t> </w:t>
      </w:r>
      <w:r>
        <w:rPr>
          <w:sz w:val="38"/>
        </w:rPr>
        <w:t>pancreas</w:t>
      </w:r>
    </w:p>
    <w:p>
      <w:pPr>
        <w:pStyle w:val="ListParagraph"/>
        <w:numPr>
          <w:ilvl w:val="0"/>
          <w:numId w:val="128"/>
        </w:numPr>
        <w:tabs>
          <w:tab w:pos="1336" w:val="left" w:leader="none"/>
          <w:tab w:pos="1337" w:val="left" w:leader="none"/>
        </w:tabs>
        <w:spacing w:line="240" w:lineRule="auto" w:before="306" w:after="0"/>
        <w:ind w:left="1336" w:right="0" w:hanging="360"/>
        <w:jc w:val="left"/>
        <w:rPr>
          <w:sz w:val="38"/>
        </w:rPr>
      </w:pPr>
      <w:r>
        <w:rPr>
          <w:sz w:val="38"/>
        </w:rPr>
        <w:t>Tinnitus</w:t>
      </w:r>
    </w:p>
    <w:p>
      <w:pPr>
        <w:pStyle w:val="ListParagraph"/>
        <w:numPr>
          <w:ilvl w:val="0"/>
          <w:numId w:val="128"/>
        </w:numPr>
        <w:tabs>
          <w:tab w:pos="1336" w:val="left" w:leader="none"/>
          <w:tab w:pos="1337" w:val="left" w:leader="none"/>
        </w:tabs>
        <w:spacing w:line="240" w:lineRule="auto" w:before="304" w:after="0"/>
        <w:ind w:left="1336" w:right="0" w:hanging="360"/>
        <w:jc w:val="left"/>
        <w:rPr>
          <w:sz w:val="38"/>
        </w:rPr>
      </w:pPr>
      <w:r>
        <w:rPr>
          <w:sz w:val="38"/>
        </w:rPr>
        <w:t>Alzheimer’s</w:t>
      </w:r>
    </w:p>
    <w:p>
      <w:pPr>
        <w:pStyle w:val="ListParagraph"/>
        <w:numPr>
          <w:ilvl w:val="0"/>
          <w:numId w:val="128"/>
        </w:numPr>
        <w:tabs>
          <w:tab w:pos="1336" w:val="left" w:leader="none"/>
          <w:tab w:pos="1337" w:val="left" w:leader="none"/>
        </w:tabs>
        <w:spacing w:line="240" w:lineRule="auto" w:before="304" w:after="0"/>
        <w:ind w:left="1336" w:right="0" w:hanging="360"/>
        <w:jc w:val="left"/>
        <w:rPr>
          <w:sz w:val="38"/>
        </w:rPr>
      </w:pPr>
      <w:r>
        <w:rPr>
          <w:sz w:val="38"/>
        </w:rPr>
        <w:t>Liver disease</w:t>
      </w:r>
    </w:p>
    <w:p>
      <w:pPr>
        <w:pStyle w:val="ListParagraph"/>
        <w:numPr>
          <w:ilvl w:val="0"/>
          <w:numId w:val="128"/>
        </w:numPr>
        <w:tabs>
          <w:tab w:pos="1336" w:val="left" w:leader="none"/>
          <w:tab w:pos="1337" w:val="left" w:leader="none"/>
        </w:tabs>
        <w:spacing w:line="240" w:lineRule="auto" w:before="303" w:after="0"/>
        <w:ind w:left="1336" w:right="0" w:hanging="360"/>
        <w:jc w:val="left"/>
        <w:rPr>
          <w:sz w:val="38"/>
        </w:rPr>
      </w:pPr>
      <w:r>
        <w:rPr>
          <w:sz w:val="38"/>
        </w:rPr>
        <w:t>Food</w:t>
      </w:r>
      <w:r>
        <w:rPr>
          <w:spacing w:val="-1"/>
          <w:sz w:val="38"/>
        </w:rPr>
        <w:t> </w:t>
      </w:r>
      <w:r>
        <w:rPr>
          <w:sz w:val="38"/>
        </w:rPr>
        <w:t>intolerances</w:t>
      </w:r>
    </w:p>
    <w:p>
      <w:pPr>
        <w:pStyle w:val="ListParagraph"/>
        <w:numPr>
          <w:ilvl w:val="0"/>
          <w:numId w:val="128"/>
        </w:numPr>
        <w:tabs>
          <w:tab w:pos="1336" w:val="left" w:leader="none"/>
          <w:tab w:pos="1337" w:val="left" w:leader="none"/>
        </w:tabs>
        <w:spacing w:line="240" w:lineRule="auto" w:before="304" w:after="0"/>
        <w:ind w:left="1336" w:right="0" w:hanging="360"/>
        <w:jc w:val="left"/>
        <w:rPr>
          <w:sz w:val="38"/>
        </w:rPr>
      </w:pPr>
      <w:r>
        <w:rPr>
          <w:sz w:val="38"/>
        </w:rPr>
        <w:t>Nervousness</w:t>
      </w:r>
    </w:p>
    <w:p>
      <w:pPr>
        <w:pStyle w:val="ListParagraph"/>
        <w:numPr>
          <w:ilvl w:val="0"/>
          <w:numId w:val="128"/>
        </w:numPr>
        <w:tabs>
          <w:tab w:pos="1336" w:val="left" w:leader="none"/>
          <w:tab w:pos="1337" w:val="left" w:leader="none"/>
        </w:tabs>
        <w:spacing w:line="240" w:lineRule="auto" w:before="306" w:after="0"/>
        <w:ind w:left="1336" w:right="0" w:hanging="360"/>
        <w:jc w:val="left"/>
        <w:rPr>
          <w:sz w:val="38"/>
        </w:rPr>
      </w:pPr>
      <w:r>
        <w:rPr>
          <w:sz w:val="38"/>
        </w:rPr>
        <w:t>Stomach disease</w:t>
      </w:r>
    </w:p>
    <w:p>
      <w:pPr>
        <w:pStyle w:val="ListParagraph"/>
        <w:numPr>
          <w:ilvl w:val="0"/>
          <w:numId w:val="128"/>
        </w:numPr>
        <w:tabs>
          <w:tab w:pos="1336" w:val="left" w:leader="none"/>
          <w:tab w:pos="1337" w:val="left" w:leader="none"/>
        </w:tabs>
        <w:spacing w:line="240" w:lineRule="auto" w:before="304" w:after="0"/>
        <w:ind w:left="1336" w:right="0" w:hanging="360"/>
        <w:jc w:val="left"/>
        <w:rPr>
          <w:sz w:val="38"/>
        </w:rPr>
      </w:pPr>
      <w:r>
        <w:rPr>
          <w:sz w:val="38"/>
        </w:rPr>
        <w:t>Diabetes</w:t>
      </w:r>
    </w:p>
    <w:p>
      <w:pPr>
        <w:pStyle w:val="ListParagraph"/>
        <w:numPr>
          <w:ilvl w:val="0"/>
          <w:numId w:val="128"/>
        </w:numPr>
        <w:tabs>
          <w:tab w:pos="1336" w:val="left" w:leader="none"/>
          <w:tab w:pos="1337" w:val="left" w:leader="none"/>
        </w:tabs>
        <w:spacing w:line="240" w:lineRule="auto" w:before="304" w:after="0"/>
        <w:ind w:left="1336" w:right="0" w:hanging="360"/>
        <w:jc w:val="left"/>
        <w:rPr>
          <w:sz w:val="38"/>
        </w:rPr>
      </w:pPr>
      <w:r>
        <w:rPr>
          <w:sz w:val="38"/>
        </w:rPr>
        <w:t>Vasospasms</w:t>
      </w:r>
    </w:p>
    <w:p>
      <w:pPr>
        <w:pStyle w:val="ListParagraph"/>
        <w:numPr>
          <w:ilvl w:val="0"/>
          <w:numId w:val="128"/>
        </w:numPr>
        <w:tabs>
          <w:tab w:pos="1336" w:val="left" w:leader="none"/>
          <w:tab w:pos="1337" w:val="left" w:leader="none"/>
        </w:tabs>
        <w:spacing w:line="240" w:lineRule="auto" w:before="303" w:after="0"/>
        <w:ind w:left="1336" w:right="0" w:hanging="360"/>
        <w:jc w:val="left"/>
        <w:rPr>
          <w:sz w:val="38"/>
        </w:rPr>
      </w:pPr>
      <w:r>
        <w:rPr>
          <w:sz w:val="38"/>
        </w:rPr>
        <w:t>Hyperlipidaemia</w:t>
      </w:r>
    </w:p>
    <w:p>
      <w:pPr>
        <w:pStyle w:val="ListParagraph"/>
        <w:numPr>
          <w:ilvl w:val="0"/>
          <w:numId w:val="128"/>
        </w:numPr>
        <w:tabs>
          <w:tab w:pos="1336" w:val="left" w:leader="none"/>
          <w:tab w:pos="1337" w:val="left" w:leader="none"/>
        </w:tabs>
        <w:spacing w:line="240" w:lineRule="auto" w:before="307" w:after="0"/>
        <w:ind w:left="1336" w:right="0" w:hanging="360"/>
        <w:jc w:val="left"/>
        <w:rPr>
          <w:sz w:val="38"/>
        </w:rPr>
      </w:pPr>
      <w:r>
        <w:rPr>
          <w:sz w:val="38"/>
        </w:rPr>
        <w:t>Skin diseases</w:t>
      </w:r>
    </w:p>
    <w:p>
      <w:pPr>
        <w:pStyle w:val="ListParagraph"/>
        <w:numPr>
          <w:ilvl w:val="0"/>
          <w:numId w:val="128"/>
        </w:numPr>
        <w:tabs>
          <w:tab w:pos="1336" w:val="left" w:leader="none"/>
          <w:tab w:pos="1337" w:val="left" w:leader="none"/>
        </w:tabs>
        <w:spacing w:line="240" w:lineRule="auto" w:before="303" w:after="0"/>
        <w:ind w:left="1336" w:right="0" w:hanging="360"/>
        <w:jc w:val="left"/>
        <w:rPr>
          <w:sz w:val="38"/>
        </w:rPr>
      </w:pPr>
      <w:r>
        <w:rPr>
          <w:sz w:val="38"/>
        </w:rPr>
        <w:t>Altitude</w:t>
      </w:r>
      <w:r>
        <w:rPr>
          <w:spacing w:val="-1"/>
          <w:sz w:val="38"/>
        </w:rPr>
        <w:t> </w:t>
      </w:r>
      <w:r>
        <w:rPr>
          <w:sz w:val="38"/>
        </w:rPr>
        <w:t>sickness</w:t>
      </w:r>
    </w:p>
    <w:p>
      <w:pPr>
        <w:pStyle w:val="ListParagraph"/>
        <w:numPr>
          <w:ilvl w:val="0"/>
          <w:numId w:val="128"/>
        </w:numPr>
        <w:tabs>
          <w:tab w:pos="1336" w:val="left" w:leader="none"/>
          <w:tab w:pos="1337" w:val="left" w:leader="none"/>
        </w:tabs>
        <w:spacing w:line="240" w:lineRule="auto" w:before="304" w:after="0"/>
        <w:ind w:left="1336" w:right="0" w:hanging="360"/>
        <w:jc w:val="left"/>
        <w:rPr>
          <w:sz w:val="38"/>
        </w:rPr>
      </w:pPr>
      <w:r>
        <w:rPr>
          <w:sz w:val="38"/>
        </w:rPr>
        <w:t>Improved and sustained physical and physiological</w:t>
      </w:r>
      <w:r>
        <w:rPr>
          <w:spacing w:val="-5"/>
          <w:sz w:val="38"/>
        </w:rPr>
        <w:t> </w:t>
      </w:r>
      <w:r>
        <w:rPr>
          <w:sz w:val="38"/>
        </w:rPr>
        <w:t>performance</w:t>
      </w:r>
    </w:p>
    <w:p>
      <w:pPr>
        <w:pStyle w:val="ListParagraph"/>
        <w:numPr>
          <w:ilvl w:val="0"/>
          <w:numId w:val="128"/>
        </w:numPr>
        <w:tabs>
          <w:tab w:pos="1336" w:val="left" w:leader="none"/>
          <w:tab w:pos="1337" w:val="left" w:leader="none"/>
        </w:tabs>
        <w:spacing w:line="240" w:lineRule="auto" w:before="304" w:after="0"/>
        <w:ind w:left="1336" w:right="0" w:hanging="360"/>
        <w:jc w:val="left"/>
        <w:rPr>
          <w:sz w:val="38"/>
        </w:rPr>
      </w:pPr>
      <w:r>
        <w:rPr>
          <w:sz w:val="38"/>
        </w:rPr>
        <w:t>Prostate</w:t>
      </w:r>
      <w:r>
        <w:rPr>
          <w:spacing w:val="-1"/>
          <w:sz w:val="38"/>
        </w:rPr>
        <w:t> </w:t>
      </w:r>
      <w:r>
        <w:rPr>
          <w:sz w:val="38"/>
        </w:rPr>
        <w:t>growth</w:t>
      </w:r>
    </w:p>
    <w:p>
      <w:pPr>
        <w:pStyle w:val="ListParagraph"/>
        <w:numPr>
          <w:ilvl w:val="0"/>
          <w:numId w:val="128"/>
        </w:numPr>
        <w:tabs>
          <w:tab w:pos="1336" w:val="left" w:leader="none"/>
          <w:tab w:pos="1337" w:val="left" w:leader="none"/>
        </w:tabs>
        <w:spacing w:line="240" w:lineRule="auto" w:before="304" w:after="0"/>
        <w:ind w:left="1336" w:right="0" w:hanging="360"/>
        <w:jc w:val="left"/>
        <w:rPr>
          <w:sz w:val="38"/>
        </w:rPr>
      </w:pPr>
      <w:r>
        <w:rPr>
          <w:sz w:val="38"/>
        </w:rPr>
        <w:t>Bladder problems</w:t>
      </w:r>
    </w:p>
    <w:p>
      <w:pPr>
        <w:spacing w:after="0" w:line="240" w:lineRule="auto"/>
        <w:jc w:val="left"/>
        <w:rPr>
          <w:sz w:val="38"/>
        </w:rPr>
        <w:sectPr>
          <w:pgSz w:w="14270" w:h="16850"/>
          <w:pgMar w:header="0" w:footer="1891" w:top="1360" w:bottom="2080" w:left="800" w:right="1280"/>
        </w:sectPr>
      </w:pPr>
    </w:p>
    <w:p>
      <w:pPr>
        <w:pStyle w:val="Heading1"/>
        <w:spacing w:before="77"/>
        <w:ind w:left="616"/>
      </w:pPr>
      <w:r>
        <w:rPr/>
        <w:t>Effect of Reishi on cancer/tumours</w:t>
      </w:r>
    </w:p>
    <w:p>
      <w:pPr>
        <w:pStyle w:val="BodyText"/>
        <w:spacing w:line="276" w:lineRule="auto" w:before="299"/>
        <w:ind w:left="616" w:right="133"/>
        <w:jc w:val="both"/>
        <w:rPr>
          <w:sz w:val="25"/>
        </w:rPr>
      </w:pPr>
      <w:r>
        <w:rPr/>
        <w:t>Reishi-Lingzhi has demonstrated an anti-tumour effect in the following types of cancer:</w:t>
      </w:r>
      <w:r>
        <w:rPr>
          <w:position w:val="9"/>
          <w:sz w:val="25"/>
        </w:rPr>
        <w:t>909</w:t>
      </w:r>
    </w:p>
    <w:p>
      <w:pPr>
        <w:pStyle w:val="ListParagraph"/>
        <w:numPr>
          <w:ilvl w:val="1"/>
          <w:numId w:val="128"/>
        </w:numPr>
        <w:tabs>
          <w:tab w:pos="1477" w:val="left" w:leader="none"/>
          <w:tab w:pos="1478" w:val="left" w:leader="none"/>
        </w:tabs>
        <w:spacing w:line="240" w:lineRule="auto" w:before="199" w:after="0"/>
        <w:ind w:left="1478" w:right="0" w:hanging="358"/>
        <w:jc w:val="left"/>
        <w:rPr>
          <w:sz w:val="38"/>
        </w:rPr>
      </w:pPr>
      <w:r>
        <w:rPr>
          <w:sz w:val="38"/>
        </w:rPr>
        <w:t>Breast cancer (mammary</w:t>
      </w:r>
      <w:r>
        <w:rPr>
          <w:spacing w:val="1"/>
          <w:sz w:val="38"/>
        </w:rPr>
        <w:t> </w:t>
      </w:r>
      <w:r>
        <w:rPr>
          <w:sz w:val="38"/>
        </w:rPr>
        <w:t>carcinoma)</w:t>
      </w:r>
    </w:p>
    <w:p>
      <w:pPr>
        <w:pStyle w:val="ListParagraph"/>
        <w:numPr>
          <w:ilvl w:val="1"/>
          <w:numId w:val="128"/>
        </w:numPr>
        <w:tabs>
          <w:tab w:pos="1477" w:val="left" w:leader="none"/>
          <w:tab w:pos="1478" w:val="left" w:leader="none"/>
        </w:tabs>
        <w:spacing w:line="240" w:lineRule="auto" w:before="64" w:after="0"/>
        <w:ind w:left="1478" w:right="0" w:hanging="358"/>
        <w:jc w:val="left"/>
        <w:rPr>
          <w:sz w:val="38"/>
        </w:rPr>
      </w:pPr>
      <w:r>
        <w:rPr>
          <w:sz w:val="38"/>
        </w:rPr>
        <w:t>Leukaemia</w:t>
      </w:r>
    </w:p>
    <w:p>
      <w:pPr>
        <w:pStyle w:val="ListParagraph"/>
        <w:numPr>
          <w:ilvl w:val="1"/>
          <w:numId w:val="128"/>
        </w:numPr>
        <w:tabs>
          <w:tab w:pos="1477" w:val="left" w:leader="none"/>
          <w:tab w:pos="1478" w:val="left" w:leader="none"/>
        </w:tabs>
        <w:spacing w:line="240" w:lineRule="auto" w:before="66" w:after="0"/>
        <w:ind w:left="1478" w:right="0" w:hanging="358"/>
        <w:jc w:val="left"/>
        <w:rPr>
          <w:sz w:val="38"/>
        </w:rPr>
      </w:pPr>
      <w:r>
        <w:rPr>
          <w:sz w:val="38"/>
        </w:rPr>
        <w:t>Liver tumours/liver</w:t>
      </w:r>
      <w:r>
        <w:rPr>
          <w:spacing w:val="1"/>
          <w:sz w:val="38"/>
        </w:rPr>
        <w:t> </w:t>
      </w:r>
      <w:r>
        <w:rPr>
          <w:sz w:val="38"/>
        </w:rPr>
        <w:t>cancer</w:t>
      </w:r>
    </w:p>
    <w:p>
      <w:pPr>
        <w:pStyle w:val="ListParagraph"/>
        <w:numPr>
          <w:ilvl w:val="1"/>
          <w:numId w:val="128"/>
        </w:numPr>
        <w:tabs>
          <w:tab w:pos="1477" w:val="left" w:leader="none"/>
          <w:tab w:pos="1478" w:val="left" w:leader="none"/>
        </w:tabs>
        <w:spacing w:line="240" w:lineRule="auto" w:before="64" w:after="0"/>
        <w:ind w:left="1478" w:right="0" w:hanging="358"/>
        <w:jc w:val="left"/>
        <w:rPr>
          <w:sz w:val="38"/>
        </w:rPr>
      </w:pPr>
      <w:r>
        <w:rPr>
          <w:sz w:val="38"/>
        </w:rPr>
        <w:t>Lung cancer</w:t>
      </w:r>
    </w:p>
    <w:p>
      <w:pPr>
        <w:pStyle w:val="ListParagraph"/>
        <w:numPr>
          <w:ilvl w:val="1"/>
          <w:numId w:val="128"/>
        </w:numPr>
        <w:tabs>
          <w:tab w:pos="1477" w:val="left" w:leader="none"/>
          <w:tab w:pos="1478" w:val="left" w:leader="none"/>
        </w:tabs>
        <w:spacing w:line="240" w:lineRule="auto" w:before="64" w:after="0"/>
        <w:ind w:left="1478" w:right="0" w:hanging="358"/>
        <w:jc w:val="left"/>
        <w:rPr>
          <w:sz w:val="38"/>
        </w:rPr>
      </w:pPr>
      <w:r>
        <w:rPr>
          <w:sz w:val="38"/>
        </w:rPr>
        <w:t>Prostate</w:t>
      </w:r>
      <w:r>
        <w:rPr>
          <w:spacing w:val="-1"/>
          <w:sz w:val="38"/>
        </w:rPr>
        <w:t> </w:t>
      </w:r>
      <w:r>
        <w:rPr>
          <w:sz w:val="38"/>
        </w:rPr>
        <w:t>cancer</w:t>
      </w:r>
    </w:p>
    <w:p>
      <w:pPr>
        <w:pStyle w:val="ListParagraph"/>
        <w:numPr>
          <w:ilvl w:val="1"/>
          <w:numId w:val="128"/>
        </w:numPr>
        <w:tabs>
          <w:tab w:pos="1477" w:val="left" w:leader="none"/>
          <w:tab w:pos="1478" w:val="left" w:leader="none"/>
        </w:tabs>
        <w:spacing w:line="240" w:lineRule="auto" w:before="63" w:after="0"/>
        <w:ind w:left="1478" w:right="0" w:hanging="358"/>
        <w:jc w:val="left"/>
        <w:rPr>
          <w:sz w:val="38"/>
        </w:rPr>
      </w:pPr>
      <w:r>
        <w:rPr>
          <w:sz w:val="38"/>
        </w:rPr>
        <w:t>Melanoma</w:t>
      </w:r>
    </w:p>
    <w:p>
      <w:pPr>
        <w:pStyle w:val="ListParagraph"/>
        <w:numPr>
          <w:ilvl w:val="1"/>
          <w:numId w:val="128"/>
        </w:numPr>
        <w:tabs>
          <w:tab w:pos="1477" w:val="left" w:leader="none"/>
          <w:tab w:pos="1478" w:val="left" w:leader="none"/>
        </w:tabs>
        <w:spacing w:line="240" w:lineRule="auto" w:before="66" w:after="0"/>
        <w:ind w:left="1478" w:right="0" w:hanging="358"/>
        <w:jc w:val="left"/>
        <w:rPr>
          <w:sz w:val="38"/>
        </w:rPr>
      </w:pPr>
      <w:r>
        <w:rPr>
          <w:sz w:val="38"/>
        </w:rPr>
        <w:t>Sarcoma</w:t>
      </w:r>
    </w:p>
    <w:p>
      <w:pPr>
        <w:pStyle w:val="BodyText"/>
        <w:spacing w:line="276" w:lineRule="auto" w:before="303"/>
        <w:ind w:left="616" w:right="132"/>
        <w:jc w:val="both"/>
      </w:pPr>
      <w:r>
        <w:rPr/>
        <w:t>In</w:t>
      </w:r>
      <w:r>
        <w:rPr>
          <w:spacing w:val="-17"/>
        </w:rPr>
        <w:t> </w:t>
      </w:r>
      <w:r>
        <w:rPr/>
        <w:t>industrialised</w:t>
      </w:r>
      <w:r>
        <w:rPr>
          <w:spacing w:val="-17"/>
        </w:rPr>
        <w:t> </w:t>
      </w:r>
      <w:r>
        <w:rPr/>
        <w:t>countries,</w:t>
      </w:r>
      <w:r>
        <w:rPr>
          <w:spacing w:val="-17"/>
        </w:rPr>
        <w:t> </w:t>
      </w:r>
      <w:r>
        <w:rPr/>
        <w:t>one</w:t>
      </w:r>
      <w:r>
        <w:rPr>
          <w:spacing w:val="-19"/>
        </w:rPr>
        <w:t> </w:t>
      </w:r>
      <w:r>
        <w:rPr/>
        <w:t>in</w:t>
      </w:r>
      <w:r>
        <w:rPr>
          <w:spacing w:val="-19"/>
        </w:rPr>
        <w:t> </w:t>
      </w:r>
      <w:r>
        <w:rPr/>
        <w:t>two</w:t>
      </w:r>
      <w:r>
        <w:rPr>
          <w:spacing w:val="-17"/>
        </w:rPr>
        <w:t> </w:t>
      </w:r>
      <w:r>
        <w:rPr/>
        <w:t>people</w:t>
      </w:r>
      <w:r>
        <w:rPr>
          <w:spacing w:val="-16"/>
        </w:rPr>
        <w:t> </w:t>
      </w:r>
      <w:r>
        <w:rPr/>
        <w:t>will</w:t>
      </w:r>
      <w:r>
        <w:rPr>
          <w:spacing w:val="-18"/>
        </w:rPr>
        <w:t> </w:t>
      </w:r>
      <w:r>
        <w:rPr/>
        <w:t>now</w:t>
      </w:r>
      <w:r>
        <w:rPr>
          <w:spacing w:val="-18"/>
        </w:rPr>
        <w:t> </w:t>
      </w:r>
      <w:r>
        <w:rPr/>
        <w:t>contract</w:t>
      </w:r>
      <w:r>
        <w:rPr>
          <w:spacing w:val="-18"/>
        </w:rPr>
        <w:t> </w:t>
      </w:r>
      <w:r>
        <w:rPr/>
        <w:t>cancer</w:t>
      </w:r>
      <w:r>
        <w:rPr>
          <w:spacing w:val="-9"/>
        </w:rPr>
        <w:t> </w:t>
      </w:r>
      <w:r>
        <w:rPr/>
        <w:t>and</w:t>
      </w:r>
      <w:r>
        <w:rPr>
          <w:spacing w:val="-19"/>
        </w:rPr>
        <w:t> </w:t>
      </w:r>
      <w:r>
        <w:rPr/>
        <w:t>one in four will die from it. Prevention is therefore of the utmost importance and, in this context, it is worth referring to the statement from oncologist and sur- geon Dr.</w:t>
      </w:r>
      <w:r>
        <w:rPr>
          <w:spacing w:val="-1"/>
        </w:rPr>
        <w:t> </w:t>
      </w:r>
      <w:r>
        <w:rPr/>
        <w:t>Morishige:</w:t>
      </w:r>
    </w:p>
    <w:p>
      <w:pPr>
        <w:spacing w:line="276" w:lineRule="auto" w:before="239"/>
        <w:ind w:left="616" w:right="131" w:firstLine="0"/>
        <w:jc w:val="both"/>
        <w:rPr>
          <w:i/>
          <w:sz w:val="38"/>
        </w:rPr>
      </w:pPr>
      <w:r>
        <w:rPr>
          <w:i/>
          <w:sz w:val="38"/>
        </w:rPr>
        <w:t>‘As</w:t>
      </w:r>
      <w:r>
        <w:rPr>
          <w:i/>
          <w:spacing w:val="-6"/>
          <w:sz w:val="38"/>
        </w:rPr>
        <w:t> </w:t>
      </w:r>
      <w:r>
        <w:rPr>
          <w:i/>
          <w:sz w:val="38"/>
        </w:rPr>
        <w:t>a</w:t>
      </w:r>
      <w:r>
        <w:rPr>
          <w:i/>
          <w:spacing w:val="-7"/>
          <w:sz w:val="38"/>
        </w:rPr>
        <w:t> </w:t>
      </w:r>
      <w:r>
        <w:rPr>
          <w:i/>
          <w:sz w:val="38"/>
        </w:rPr>
        <w:t>surgeon,</w:t>
      </w:r>
      <w:r>
        <w:rPr>
          <w:i/>
          <w:spacing w:val="-6"/>
          <w:sz w:val="38"/>
        </w:rPr>
        <w:t> </w:t>
      </w:r>
      <w:r>
        <w:rPr>
          <w:i/>
          <w:sz w:val="38"/>
        </w:rPr>
        <w:t>one</w:t>
      </w:r>
      <w:r>
        <w:rPr>
          <w:i/>
          <w:spacing w:val="-9"/>
          <w:sz w:val="38"/>
        </w:rPr>
        <w:t> </w:t>
      </w:r>
      <w:r>
        <w:rPr>
          <w:i/>
          <w:sz w:val="38"/>
        </w:rPr>
        <w:t>is</w:t>
      </w:r>
      <w:r>
        <w:rPr>
          <w:i/>
          <w:spacing w:val="-7"/>
          <w:sz w:val="38"/>
        </w:rPr>
        <w:t> </w:t>
      </w:r>
      <w:r>
        <w:rPr>
          <w:i/>
          <w:sz w:val="38"/>
        </w:rPr>
        <w:t>constantly</w:t>
      </w:r>
      <w:r>
        <w:rPr>
          <w:i/>
          <w:spacing w:val="-5"/>
          <w:sz w:val="38"/>
        </w:rPr>
        <w:t> </w:t>
      </w:r>
      <w:r>
        <w:rPr>
          <w:i/>
          <w:sz w:val="38"/>
        </w:rPr>
        <w:t>confronted</w:t>
      </w:r>
      <w:r>
        <w:rPr>
          <w:i/>
          <w:spacing w:val="-6"/>
          <w:sz w:val="38"/>
        </w:rPr>
        <w:t> </w:t>
      </w:r>
      <w:r>
        <w:rPr>
          <w:i/>
          <w:sz w:val="38"/>
        </w:rPr>
        <w:t>with</w:t>
      </w:r>
      <w:r>
        <w:rPr>
          <w:i/>
          <w:spacing w:val="-5"/>
          <w:sz w:val="38"/>
        </w:rPr>
        <w:t> </w:t>
      </w:r>
      <w:r>
        <w:rPr>
          <w:i/>
          <w:sz w:val="38"/>
        </w:rPr>
        <w:t>cancer.</w:t>
      </w:r>
      <w:r>
        <w:rPr>
          <w:i/>
          <w:spacing w:val="-4"/>
          <w:sz w:val="38"/>
        </w:rPr>
        <w:t> </w:t>
      </w:r>
      <w:r>
        <w:rPr>
          <w:i/>
          <w:sz w:val="38"/>
        </w:rPr>
        <w:t>The</w:t>
      </w:r>
      <w:r>
        <w:rPr>
          <w:i/>
          <w:spacing w:val="-6"/>
          <w:sz w:val="38"/>
        </w:rPr>
        <w:t> </w:t>
      </w:r>
      <w:r>
        <w:rPr>
          <w:i/>
          <w:sz w:val="38"/>
        </w:rPr>
        <w:t>key</w:t>
      </w:r>
      <w:r>
        <w:rPr>
          <w:i/>
          <w:spacing w:val="-6"/>
          <w:sz w:val="38"/>
        </w:rPr>
        <w:t> </w:t>
      </w:r>
      <w:r>
        <w:rPr>
          <w:i/>
          <w:sz w:val="38"/>
        </w:rPr>
        <w:t>to</w:t>
      </w:r>
      <w:r>
        <w:rPr>
          <w:i/>
          <w:spacing w:val="-4"/>
          <w:sz w:val="38"/>
        </w:rPr>
        <w:t> </w:t>
      </w:r>
      <w:r>
        <w:rPr>
          <w:i/>
          <w:sz w:val="38"/>
        </w:rPr>
        <w:t>controlling</w:t>
      </w:r>
      <w:r>
        <w:rPr>
          <w:i/>
          <w:spacing w:val="-7"/>
          <w:sz w:val="38"/>
        </w:rPr>
        <w:t> </w:t>
      </w:r>
      <w:r>
        <w:rPr>
          <w:i/>
          <w:sz w:val="38"/>
        </w:rPr>
        <w:t>cancer</w:t>
      </w:r>
      <w:r>
        <w:rPr>
          <w:i/>
          <w:spacing w:val="-5"/>
          <w:sz w:val="38"/>
        </w:rPr>
        <w:t> </w:t>
      </w:r>
      <w:r>
        <w:rPr>
          <w:i/>
          <w:sz w:val="38"/>
        </w:rPr>
        <w:t>is</w:t>
      </w:r>
      <w:r>
        <w:rPr>
          <w:i/>
          <w:spacing w:val="-6"/>
          <w:sz w:val="38"/>
        </w:rPr>
        <w:t> </w:t>
      </w:r>
      <w:r>
        <w:rPr>
          <w:i/>
          <w:sz w:val="38"/>
        </w:rPr>
        <w:t>early </w:t>
      </w:r>
      <w:r>
        <w:rPr>
          <w:i/>
          <w:sz w:val="38"/>
        </w:rPr>
        <w:t>recognition.</w:t>
      </w:r>
      <w:r>
        <w:rPr>
          <w:i/>
          <w:spacing w:val="-10"/>
          <w:sz w:val="38"/>
        </w:rPr>
        <w:t> </w:t>
      </w:r>
      <w:r>
        <w:rPr>
          <w:i/>
          <w:sz w:val="38"/>
        </w:rPr>
        <w:t>Naturally,</w:t>
      </w:r>
      <w:r>
        <w:rPr>
          <w:i/>
          <w:spacing w:val="-9"/>
          <w:sz w:val="38"/>
        </w:rPr>
        <w:t> </w:t>
      </w:r>
      <w:r>
        <w:rPr>
          <w:i/>
          <w:sz w:val="38"/>
        </w:rPr>
        <w:t>it</w:t>
      </w:r>
      <w:r>
        <w:rPr>
          <w:i/>
          <w:spacing w:val="-12"/>
          <w:sz w:val="38"/>
        </w:rPr>
        <w:t> </w:t>
      </w:r>
      <w:r>
        <w:rPr>
          <w:i/>
          <w:sz w:val="38"/>
        </w:rPr>
        <w:t>is</w:t>
      </w:r>
      <w:r>
        <w:rPr>
          <w:i/>
          <w:spacing w:val="-12"/>
          <w:sz w:val="38"/>
        </w:rPr>
        <w:t> </w:t>
      </w:r>
      <w:r>
        <w:rPr>
          <w:i/>
          <w:sz w:val="38"/>
        </w:rPr>
        <w:t>even</w:t>
      </w:r>
      <w:r>
        <w:rPr>
          <w:i/>
          <w:spacing w:val="-10"/>
          <w:sz w:val="38"/>
        </w:rPr>
        <w:t> </w:t>
      </w:r>
      <w:r>
        <w:rPr>
          <w:i/>
          <w:sz w:val="38"/>
        </w:rPr>
        <w:t>better</w:t>
      </w:r>
      <w:r>
        <w:rPr>
          <w:i/>
          <w:spacing w:val="-10"/>
          <w:sz w:val="38"/>
        </w:rPr>
        <w:t> </w:t>
      </w:r>
      <w:r>
        <w:rPr>
          <w:i/>
          <w:sz w:val="38"/>
        </w:rPr>
        <w:t>to</w:t>
      </w:r>
      <w:r>
        <w:rPr>
          <w:i/>
          <w:spacing w:val="-13"/>
          <w:sz w:val="38"/>
        </w:rPr>
        <w:t> </w:t>
      </w:r>
      <w:r>
        <w:rPr>
          <w:i/>
          <w:sz w:val="38"/>
        </w:rPr>
        <w:t>take</w:t>
      </w:r>
      <w:r>
        <w:rPr>
          <w:i/>
          <w:spacing w:val="-12"/>
          <w:sz w:val="38"/>
        </w:rPr>
        <w:t> </w:t>
      </w:r>
      <w:r>
        <w:rPr>
          <w:i/>
          <w:sz w:val="38"/>
        </w:rPr>
        <w:t>preventative</w:t>
      </w:r>
      <w:r>
        <w:rPr>
          <w:i/>
          <w:spacing w:val="-12"/>
          <w:sz w:val="38"/>
        </w:rPr>
        <w:t> </w:t>
      </w:r>
      <w:r>
        <w:rPr>
          <w:i/>
          <w:sz w:val="38"/>
        </w:rPr>
        <w:t>measures,</w:t>
      </w:r>
      <w:r>
        <w:rPr>
          <w:i/>
          <w:spacing w:val="-11"/>
          <w:sz w:val="38"/>
        </w:rPr>
        <w:t> </w:t>
      </w:r>
      <w:r>
        <w:rPr>
          <w:i/>
          <w:sz w:val="38"/>
        </w:rPr>
        <w:t>although</w:t>
      </w:r>
      <w:r>
        <w:rPr>
          <w:i/>
          <w:spacing w:val="-11"/>
          <w:sz w:val="38"/>
        </w:rPr>
        <w:t> </w:t>
      </w:r>
      <w:r>
        <w:rPr>
          <w:i/>
          <w:sz w:val="38"/>
        </w:rPr>
        <w:t>no</w:t>
      </w:r>
      <w:r>
        <w:rPr>
          <w:i/>
          <w:spacing w:val="-10"/>
          <w:sz w:val="38"/>
        </w:rPr>
        <w:t> </w:t>
      </w:r>
      <w:r>
        <w:rPr>
          <w:i/>
          <w:sz w:val="38"/>
        </w:rPr>
        <w:t>completely sure method has been found</w:t>
      </w:r>
      <w:r>
        <w:rPr>
          <w:i/>
          <w:spacing w:val="-3"/>
          <w:sz w:val="38"/>
        </w:rPr>
        <w:t> </w:t>
      </w:r>
      <w:r>
        <w:rPr>
          <w:i/>
          <w:sz w:val="38"/>
        </w:rPr>
        <w:t>here.</w:t>
      </w:r>
    </w:p>
    <w:p>
      <w:pPr>
        <w:spacing w:line="276" w:lineRule="auto" w:before="241"/>
        <w:ind w:left="616" w:right="143" w:firstLine="0"/>
        <w:jc w:val="both"/>
        <w:rPr>
          <w:i/>
          <w:sz w:val="25"/>
        </w:rPr>
      </w:pPr>
      <w:r>
        <w:rPr>
          <w:i/>
          <w:sz w:val="38"/>
        </w:rPr>
        <w:t>Some try healthy eating, yet here, too, there is no prescribed nutrition which can offer certain </w:t>
      </w:r>
      <w:r>
        <w:rPr>
          <w:i/>
          <w:sz w:val="38"/>
        </w:rPr>
        <w:t>protection.</w:t>
      </w:r>
      <w:r>
        <w:rPr>
          <w:i/>
          <w:spacing w:val="-13"/>
          <w:sz w:val="38"/>
        </w:rPr>
        <w:t> </w:t>
      </w:r>
      <w:r>
        <w:rPr>
          <w:i/>
          <w:sz w:val="38"/>
        </w:rPr>
        <w:t>In</w:t>
      </w:r>
      <w:r>
        <w:rPr>
          <w:i/>
          <w:spacing w:val="-13"/>
          <w:sz w:val="38"/>
        </w:rPr>
        <w:t> </w:t>
      </w:r>
      <w:r>
        <w:rPr>
          <w:i/>
          <w:sz w:val="38"/>
        </w:rPr>
        <w:t>my</w:t>
      </w:r>
      <w:r>
        <w:rPr>
          <w:i/>
          <w:spacing w:val="-14"/>
          <w:sz w:val="38"/>
        </w:rPr>
        <w:t> </w:t>
      </w:r>
      <w:r>
        <w:rPr>
          <w:i/>
          <w:sz w:val="38"/>
        </w:rPr>
        <w:t>opinion,</w:t>
      </w:r>
      <w:r>
        <w:rPr>
          <w:i/>
          <w:spacing w:val="-13"/>
          <w:sz w:val="38"/>
        </w:rPr>
        <w:t> </w:t>
      </w:r>
      <w:r>
        <w:rPr>
          <w:i/>
          <w:sz w:val="38"/>
        </w:rPr>
        <w:t>the</w:t>
      </w:r>
      <w:r>
        <w:rPr>
          <w:i/>
          <w:spacing w:val="-13"/>
          <w:sz w:val="38"/>
        </w:rPr>
        <w:t> </w:t>
      </w:r>
      <w:r>
        <w:rPr>
          <w:i/>
          <w:sz w:val="38"/>
        </w:rPr>
        <w:t>best</w:t>
      </w:r>
      <w:r>
        <w:rPr>
          <w:i/>
          <w:spacing w:val="-16"/>
          <w:sz w:val="38"/>
        </w:rPr>
        <w:t> </w:t>
      </w:r>
      <w:r>
        <w:rPr>
          <w:i/>
          <w:sz w:val="38"/>
        </w:rPr>
        <w:t>preventative</w:t>
      </w:r>
      <w:r>
        <w:rPr>
          <w:i/>
          <w:spacing w:val="-14"/>
          <w:sz w:val="38"/>
        </w:rPr>
        <w:t> </w:t>
      </w:r>
      <w:r>
        <w:rPr>
          <w:i/>
          <w:sz w:val="38"/>
        </w:rPr>
        <w:t>method</w:t>
      </w:r>
      <w:r>
        <w:rPr>
          <w:i/>
          <w:spacing w:val="-14"/>
          <w:sz w:val="38"/>
        </w:rPr>
        <w:t> </w:t>
      </w:r>
      <w:r>
        <w:rPr>
          <w:i/>
          <w:sz w:val="38"/>
        </w:rPr>
        <w:t>currently</w:t>
      </w:r>
      <w:r>
        <w:rPr>
          <w:i/>
          <w:spacing w:val="-14"/>
          <w:sz w:val="38"/>
        </w:rPr>
        <w:t> </w:t>
      </w:r>
      <w:r>
        <w:rPr>
          <w:i/>
          <w:sz w:val="38"/>
        </w:rPr>
        <w:t>available</w:t>
      </w:r>
      <w:r>
        <w:rPr>
          <w:i/>
          <w:spacing w:val="-13"/>
          <w:sz w:val="38"/>
        </w:rPr>
        <w:t> </w:t>
      </w:r>
      <w:r>
        <w:rPr>
          <w:i/>
          <w:sz w:val="38"/>
        </w:rPr>
        <w:t>is</w:t>
      </w:r>
      <w:r>
        <w:rPr>
          <w:i/>
          <w:spacing w:val="-15"/>
          <w:sz w:val="38"/>
        </w:rPr>
        <w:t> </w:t>
      </w:r>
      <w:r>
        <w:rPr>
          <w:i/>
          <w:sz w:val="38"/>
        </w:rPr>
        <w:t>the</w:t>
      </w:r>
      <w:r>
        <w:rPr>
          <w:i/>
          <w:spacing w:val="-13"/>
          <w:sz w:val="38"/>
        </w:rPr>
        <w:t> </w:t>
      </w:r>
      <w:r>
        <w:rPr>
          <w:i/>
          <w:sz w:val="38"/>
        </w:rPr>
        <w:t>consumption of Reishi-Lingzhi.’</w:t>
      </w:r>
      <w:r>
        <w:rPr>
          <w:i/>
          <w:position w:val="9"/>
          <w:sz w:val="25"/>
        </w:rPr>
        <w:t>910</w:t>
      </w:r>
    </w:p>
    <w:p>
      <w:pPr>
        <w:pStyle w:val="BodyText"/>
        <w:rPr>
          <w:i/>
          <w:sz w:val="20"/>
        </w:rPr>
      </w:pPr>
    </w:p>
    <w:p>
      <w:pPr>
        <w:pStyle w:val="BodyText"/>
        <w:spacing w:before="7"/>
        <w:rPr>
          <w:i/>
          <w:sz w:val="13"/>
        </w:rPr>
      </w:pPr>
      <w:r>
        <w:rPr/>
        <w:pict>
          <v:line style="position:absolute;mso-position-horizontal-relative:page;mso-position-vertical-relative:paragraph;z-index:12800;mso-wrap-distance-left:0;mso-wrap-distance-right:0" from="70.823997pt,10.033628pt" to="214.843997pt,10.033628pt" stroked="true" strokeweight=".71997pt" strokecolor="#000000">
            <v:stroke dashstyle="solid"/>
            <w10:wrap type="topAndBottom"/>
          </v:line>
        </w:pict>
      </w:r>
    </w:p>
    <w:p>
      <w:pPr>
        <w:pStyle w:val="BodyText"/>
        <w:spacing w:before="7"/>
        <w:rPr>
          <w:i/>
          <w:sz w:val="18"/>
        </w:rPr>
      </w:pPr>
    </w:p>
    <w:p>
      <w:pPr>
        <w:spacing w:before="99"/>
        <w:ind w:left="616" w:right="0" w:firstLine="0"/>
        <w:jc w:val="left"/>
        <w:rPr>
          <w:sz w:val="20"/>
        </w:rPr>
      </w:pPr>
      <w:r>
        <w:rPr>
          <w:position w:val="5"/>
          <w:sz w:val="13"/>
        </w:rPr>
        <w:t>909 </w:t>
      </w:r>
      <w:hyperlink r:id="rId433">
        <w:r>
          <w:rPr>
            <w:sz w:val="20"/>
          </w:rPr>
          <w:t>www.vitalpilze.de/lang/de/downloads/informationsschreiben_fuer_aerzte.pdf</w:t>
        </w:r>
      </w:hyperlink>
    </w:p>
    <w:p>
      <w:pPr>
        <w:spacing w:before="92"/>
        <w:ind w:left="616" w:right="0" w:firstLine="0"/>
        <w:jc w:val="left"/>
        <w:rPr>
          <w:rFonts w:ascii="Calibri" w:hAnsi="Calibri"/>
          <w:sz w:val="20"/>
        </w:rPr>
      </w:pPr>
      <w:r>
        <w:rPr>
          <w:rFonts w:ascii="Calibri" w:hAnsi="Calibri"/>
          <w:position w:val="7"/>
          <w:sz w:val="13"/>
        </w:rPr>
        <w:t>910 </w:t>
      </w:r>
      <w:r>
        <w:rPr>
          <w:rFonts w:ascii="Calibri" w:hAnsi="Calibri"/>
          <w:sz w:val="20"/>
        </w:rPr>
        <w:t>Werner Goller: Was verschweigt die Schulmedizin? (‘What Does Conventional Medicine Conceal?’), 2009, p. 146</w:t>
      </w:r>
    </w:p>
    <w:p>
      <w:pPr>
        <w:spacing w:after="0"/>
        <w:jc w:val="left"/>
        <w:rPr>
          <w:rFonts w:ascii="Calibri" w:hAnsi="Calibri"/>
          <w:sz w:val="20"/>
        </w:rPr>
        <w:sectPr>
          <w:pgSz w:w="14270" w:h="16850"/>
          <w:pgMar w:header="0" w:footer="1891" w:top="1320" w:bottom="2080" w:left="800" w:right="1280"/>
        </w:sectPr>
      </w:pPr>
    </w:p>
    <w:p>
      <w:pPr>
        <w:pStyle w:val="Heading2"/>
        <w:spacing w:before="74"/>
        <w:ind w:left="616"/>
      </w:pPr>
      <w:r>
        <w:rPr/>
        <w:t>Scientific study regarding the effects of Reishi-Lingzhi</w:t>
      </w:r>
    </w:p>
    <w:p>
      <w:pPr>
        <w:spacing w:line="261" w:lineRule="auto" w:before="287"/>
        <w:ind w:left="616" w:right="137" w:firstLine="0"/>
        <w:jc w:val="left"/>
        <w:rPr>
          <w:b/>
          <w:i/>
          <w:sz w:val="40"/>
        </w:rPr>
      </w:pPr>
      <w:r>
        <w:rPr>
          <w:b/>
          <w:i/>
          <w:sz w:val="40"/>
        </w:rPr>
        <w:t>Study</w:t>
      </w:r>
      <w:r>
        <w:rPr>
          <w:b/>
          <w:i/>
          <w:spacing w:val="-66"/>
          <w:sz w:val="40"/>
        </w:rPr>
        <w:t> </w:t>
      </w:r>
      <w:r>
        <w:rPr>
          <w:b/>
          <w:i/>
          <w:sz w:val="40"/>
        </w:rPr>
        <w:t>regarding</w:t>
      </w:r>
      <w:r>
        <w:rPr>
          <w:b/>
          <w:i/>
          <w:spacing w:val="-65"/>
          <w:sz w:val="40"/>
        </w:rPr>
        <w:t> </w:t>
      </w:r>
      <w:r>
        <w:rPr>
          <w:b/>
          <w:i/>
          <w:sz w:val="40"/>
        </w:rPr>
        <w:t>the</w:t>
      </w:r>
      <w:r>
        <w:rPr>
          <w:b/>
          <w:i/>
          <w:spacing w:val="-66"/>
          <w:sz w:val="40"/>
        </w:rPr>
        <w:t> </w:t>
      </w:r>
      <w:r>
        <w:rPr>
          <w:b/>
          <w:i/>
          <w:sz w:val="40"/>
        </w:rPr>
        <w:t>strengthening</w:t>
      </w:r>
      <w:r>
        <w:rPr>
          <w:b/>
          <w:i/>
          <w:spacing w:val="-65"/>
          <w:sz w:val="40"/>
        </w:rPr>
        <w:t> </w:t>
      </w:r>
      <w:r>
        <w:rPr>
          <w:b/>
          <w:i/>
          <w:sz w:val="40"/>
        </w:rPr>
        <w:t>of</w:t>
      </w:r>
      <w:r>
        <w:rPr>
          <w:b/>
          <w:i/>
          <w:spacing w:val="-66"/>
          <w:sz w:val="40"/>
        </w:rPr>
        <w:t> </w:t>
      </w:r>
      <w:r>
        <w:rPr>
          <w:b/>
          <w:i/>
          <w:sz w:val="40"/>
        </w:rPr>
        <w:t>the</w:t>
      </w:r>
      <w:r>
        <w:rPr>
          <w:b/>
          <w:i/>
          <w:spacing w:val="-65"/>
          <w:sz w:val="40"/>
        </w:rPr>
        <w:t> </w:t>
      </w:r>
      <w:r>
        <w:rPr>
          <w:b/>
          <w:i/>
          <w:sz w:val="40"/>
        </w:rPr>
        <w:t>immune</w:t>
      </w:r>
      <w:r>
        <w:rPr>
          <w:b/>
          <w:i/>
          <w:spacing w:val="-66"/>
          <w:sz w:val="40"/>
        </w:rPr>
        <w:t> </w:t>
      </w:r>
      <w:r>
        <w:rPr>
          <w:b/>
          <w:i/>
          <w:sz w:val="40"/>
        </w:rPr>
        <w:t>system</w:t>
      </w:r>
      <w:r>
        <w:rPr>
          <w:b/>
          <w:i/>
          <w:spacing w:val="-65"/>
          <w:sz w:val="40"/>
        </w:rPr>
        <w:t> </w:t>
      </w:r>
      <w:r>
        <w:rPr>
          <w:b/>
          <w:i/>
          <w:sz w:val="40"/>
        </w:rPr>
        <w:t>with</w:t>
      </w:r>
      <w:r>
        <w:rPr>
          <w:b/>
          <w:i/>
          <w:spacing w:val="-66"/>
          <w:sz w:val="40"/>
        </w:rPr>
        <w:t> </w:t>
      </w:r>
      <w:r>
        <w:rPr>
          <w:b/>
          <w:i/>
          <w:sz w:val="40"/>
        </w:rPr>
        <w:t>the</w:t>
      </w:r>
      <w:r>
        <w:rPr>
          <w:b/>
          <w:i/>
          <w:spacing w:val="-65"/>
          <w:sz w:val="40"/>
        </w:rPr>
        <w:t> </w:t>
      </w:r>
      <w:r>
        <w:rPr>
          <w:b/>
          <w:i/>
          <w:sz w:val="40"/>
        </w:rPr>
        <w:t>poly- saccharides found in Reishi</w:t>
      </w:r>
    </w:p>
    <w:p>
      <w:pPr>
        <w:pStyle w:val="BodyText"/>
        <w:spacing w:line="278" w:lineRule="auto" w:before="258"/>
        <w:ind w:left="616"/>
        <w:rPr>
          <w:sz w:val="25"/>
        </w:rPr>
      </w:pPr>
      <w:r>
        <w:rPr/>
        <w:t>The prophylactic and therapeutic effects of Reishi-Lingzhi have been well proven in many studies.</w:t>
      </w:r>
      <w:r>
        <w:rPr>
          <w:position w:val="9"/>
          <w:sz w:val="25"/>
        </w:rPr>
        <w:t>911</w:t>
      </w:r>
    </w:p>
    <w:p>
      <w:pPr>
        <w:pStyle w:val="Heading1"/>
        <w:spacing w:before="215"/>
        <w:ind w:left="616"/>
      </w:pPr>
      <w:r>
        <w:rPr/>
        <w:t>Study regarding the effect of Reishi-Lingzhi against cancer</w:t>
      </w:r>
    </w:p>
    <w:p>
      <w:pPr>
        <w:pStyle w:val="BodyText"/>
        <w:spacing w:line="276" w:lineRule="auto" w:before="300"/>
        <w:ind w:left="616" w:right="132"/>
        <w:jc w:val="both"/>
        <w:rPr>
          <w:sz w:val="25"/>
        </w:rPr>
      </w:pPr>
      <w:r>
        <w:rPr/>
        <w:t>Ganopoly,</w:t>
      </w:r>
      <w:r>
        <w:rPr>
          <w:spacing w:val="-17"/>
        </w:rPr>
        <w:t> </w:t>
      </w:r>
      <w:r>
        <w:rPr/>
        <w:t>one</w:t>
      </w:r>
      <w:r>
        <w:rPr>
          <w:spacing w:val="-17"/>
        </w:rPr>
        <w:t> </w:t>
      </w:r>
      <w:r>
        <w:rPr/>
        <w:t>of</w:t>
      </w:r>
      <w:r>
        <w:rPr>
          <w:spacing w:val="-15"/>
        </w:rPr>
        <w:t> </w:t>
      </w:r>
      <w:r>
        <w:rPr/>
        <w:t>the</w:t>
      </w:r>
      <w:r>
        <w:rPr>
          <w:spacing w:val="-14"/>
        </w:rPr>
        <w:t> </w:t>
      </w:r>
      <w:r>
        <w:rPr/>
        <w:t>many</w:t>
      </w:r>
      <w:r>
        <w:rPr>
          <w:spacing w:val="-16"/>
        </w:rPr>
        <w:t> </w:t>
      </w:r>
      <w:r>
        <w:rPr/>
        <w:t>polysaccharides</w:t>
      </w:r>
      <w:r>
        <w:rPr>
          <w:spacing w:val="-14"/>
        </w:rPr>
        <w:t> </w:t>
      </w:r>
      <w:r>
        <w:rPr/>
        <w:t>in</w:t>
      </w:r>
      <w:r>
        <w:rPr>
          <w:spacing w:val="-15"/>
        </w:rPr>
        <w:t> </w:t>
      </w:r>
      <w:r>
        <w:rPr/>
        <w:t>Reishi,</w:t>
      </w:r>
      <w:r>
        <w:rPr>
          <w:spacing w:val="-15"/>
        </w:rPr>
        <w:t> </w:t>
      </w:r>
      <w:r>
        <w:rPr/>
        <w:t>has</w:t>
      </w:r>
      <w:r>
        <w:rPr>
          <w:spacing w:val="-16"/>
        </w:rPr>
        <w:t> </w:t>
      </w:r>
      <w:r>
        <w:rPr/>
        <w:t>a</w:t>
      </w:r>
      <w:r>
        <w:rPr>
          <w:spacing w:val="-13"/>
        </w:rPr>
        <w:t> </w:t>
      </w:r>
      <w:r>
        <w:rPr/>
        <w:t>cytotoxic</w:t>
      </w:r>
      <w:r>
        <w:rPr>
          <w:spacing w:val="-15"/>
        </w:rPr>
        <w:t> </w:t>
      </w:r>
      <w:r>
        <w:rPr/>
        <w:t>effect</w:t>
      </w:r>
      <w:r>
        <w:rPr>
          <w:spacing w:val="-15"/>
        </w:rPr>
        <w:t> </w:t>
      </w:r>
      <w:r>
        <w:rPr/>
        <w:t>on cancer cells (poisonous in the sense of a natural chemotherapy which is not harmful to humans). Furthermore, it improves macrophage proliferation and activates macrophages which take up the fight against tumour cells.</w:t>
      </w:r>
      <w:r>
        <w:rPr>
          <w:position w:val="9"/>
          <w:sz w:val="25"/>
        </w:rPr>
        <w:t>912 </w:t>
      </w:r>
      <w:r>
        <w:rPr/>
        <w:t>The ganodermic acids in Reishi increase the distribution of interleukin and inter- feron and lead to the programmed cell death of cancer cells by acting within the mitochondrial functions.</w:t>
      </w:r>
      <w:r>
        <w:rPr>
          <w:spacing w:val="3"/>
        </w:rPr>
        <w:t> </w:t>
      </w:r>
      <w:r>
        <w:rPr>
          <w:position w:val="9"/>
          <w:sz w:val="25"/>
        </w:rPr>
        <w:t>913</w:t>
      </w:r>
    </w:p>
    <w:p>
      <w:pPr>
        <w:pStyle w:val="BodyText"/>
        <w:spacing w:before="241"/>
        <w:ind w:left="616"/>
        <w:jc w:val="both"/>
      </w:pPr>
      <w:r>
        <w:rPr/>
        <w:t>The genodermic acids restrict the reproduction of tumorous cells by inhibiting</w:t>
      </w:r>
    </w:p>
    <w:p>
      <w:pPr>
        <w:pStyle w:val="BodyText"/>
        <w:rPr>
          <w:sz w:val="20"/>
        </w:rPr>
      </w:pPr>
    </w:p>
    <w:p>
      <w:pPr>
        <w:pStyle w:val="BodyText"/>
        <w:rPr>
          <w:sz w:val="20"/>
        </w:rPr>
      </w:pPr>
    </w:p>
    <w:p>
      <w:pPr>
        <w:pStyle w:val="BodyText"/>
        <w:rPr>
          <w:sz w:val="20"/>
        </w:rPr>
      </w:pPr>
    </w:p>
    <w:p>
      <w:pPr>
        <w:pStyle w:val="BodyText"/>
        <w:spacing w:before="11"/>
        <w:rPr>
          <w:sz w:val="10"/>
        </w:rPr>
      </w:pPr>
      <w:r>
        <w:rPr/>
        <w:pict>
          <v:line style="position:absolute;mso-position-horizontal-relative:page;mso-position-vertical-relative:paragraph;z-index:12824;mso-wrap-distance-left:0;mso-wrap-distance-right:0" from="70.823997pt,8.531235pt" to="214.843997pt,8.531235pt" stroked="true" strokeweight=".72003pt" strokecolor="#000000">
            <v:stroke dashstyle="solid"/>
            <w10:wrap type="topAndBottom"/>
          </v:line>
        </w:pict>
      </w:r>
    </w:p>
    <w:p>
      <w:pPr>
        <w:pStyle w:val="BodyText"/>
        <w:spacing w:before="7"/>
        <w:rPr>
          <w:sz w:val="18"/>
        </w:rPr>
      </w:pPr>
    </w:p>
    <w:p>
      <w:pPr>
        <w:spacing w:line="276" w:lineRule="auto" w:before="99"/>
        <w:ind w:left="616" w:right="0" w:firstLine="0"/>
        <w:jc w:val="left"/>
        <w:rPr>
          <w:sz w:val="20"/>
        </w:rPr>
      </w:pPr>
      <w:r>
        <w:rPr>
          <w:position w:val="5"/>
          <w:sz w:val="13"/>
        </w:rPr>
        <w:t>911 </w:t>
      </w:r>
      <w:r>
        <w:rPr>
          <w:sz w:val="20"/>
        </w:rPr>
        <w:t>Zhang J. et al.: Activation of B lymphocytes by GLIS, a bioactive proteoglycan from Ganoderma lucidum. Life Sci. 2002 Jun 28, 71 (6), pp. 623- 638.</w:t>
      </w:r>
    </w:p>
    <w:p>
      <w:pPr>
        <w:spacing w:line="276" w:lineRule="auto" w:before="61"/>
        <w:ind w:left="616" w:right="0" w:firstLine="0"/>
        <w:jc w:val="left"/>
        <w:rPr>
          <w:sz w:val="20"/>
        </w:rPr>
      </w:pPr>
      <w:r>
        <w:rPr>
          <w:sz w:val="20"/>
        </w:rPr>
        <w:t>Ji Z. et al.: Immunomodulation of RAW264.7 macrophages by GLIS, a proteopolysaccharide from Ganoderma lucidum. J Ethnopharmacol. 2007, 112 (3), pp. 445-450.</w:t>
      </w:r>
    </w:p>
    <w:p>
      <w:pPr>
        <w:spacing w:line="276" w:lineRule="auto" w:before="59"/>
        <w:ind w:left="616" w:right="57" w:firstLine="0"/>
        <w:jc w:val="left"/>
        <w:rPr>
          <w:sz w:val="20"/>
        </w:rPr>
      </w:pPr>
      <w:r>
        <w:rPr>
          <w:sz w:val="20"/>
        </w:rPr>
        <w:t>Bao X. F. et al.: Structural features of immunologically active polysaccharides from Ganoderma lucidum. Phytochemistry. 2002 Jan, 59 (2), pp. 175- 81</w:t>
      </w:r>
    </w:p>
    <w:p>
      <w:pPr>
        <w:spacing w:line="276" w:lineRule="auto" w:before="61"/>
        <w:ind w:left="616" w:right="63" w:firstLine="0"/>
        <w:jc w:val="left"/>
        <w:rPr>
          <w:sz w:val="20"/>
        </w:rPr>
      </w:pPr>
      <w:r>
        <w:rPr>
          <w:sz w:val="20"/>
        </w:rPr>
        <w:t>Hua K. F. et al.: Ganoderma lucidum polysaccharides enhance CD14 endocytosis of LPS and promote TLR4 signal transduction of cytokine expres- sion. J Cell Physiol. 2007, 212 (2), pp. 537-550.</w:t>
      </w:r>
    </w:p>
    <w:p>
      <w:pPr>
        <w:spacing w:line="273" w:lineRule="auto" w:before="61"/>
        <w:ind w:left="616" w:right="0" w:firstLine="0"/>
        <w:jc w:val="left"/>
        <w:rPr>
          <w:sz w:val="20"/>
        </w:rPr>
      </w:pPr>
      <w:r>
        <w:rPr>
          <w:sz w:val="20"/>
        </w:rPr>
        <w:t>Kuo M. C. et al.: Ganoderma lucidum mycelia enhance innate immunity by activating NF-kappaB. J Ethnopharmacol. 2006 Jan 16, 103 (2), pp. 217- 222.</w:t>
      </w:r>
    </w:p>
    <w:p>
      <w:pPr>
        <w:spacing w:line="276" w:lineRule="auto" w:before="63"/>
        <w:ind w:left="616" w:right="244" w:firstLine="0"/>
        <w:jc w:val="left"/>
        <w:rPr>
          <w:sz w:val="20"/>
        </w:rPr>
      </w:pPr>
      <w:r>
        <w:rPr>
          <w:position w:val="5"/>
          <w:sz w:val="13"/>
        </w:rPr>
        <w:t>912 </w:t>
      </w:r>
      <w:r>
        <w:rPr>
          <w:sz w:val="20"/>
        </w:rPr>
        <w:t>Gao Y. et al.: Antitumor activity and underlying mechanisms of ganopoly, the refined polysaccharides extracted from Ganoderma lucidum, in mice. Immunol Invest. 2005, 34 (2), pp. 171-198.</w:t>
      </w:r>
    </w:p>
    <w:p>
      <w:pPr>
        <w:spacing w:line="276" w:lineRule="auto" w:before="61"/>
        <w:ind w:left="616" w:right="0" w:firstLine="0"/>
        <w:jc w:val="left"/>
        <w:rPr>
          <w:sz w:val="20"/>
        </w:rPr>
      </w:pPr>
      <w:r>
        <w:rPr>
          <w:position w:val="5"/>
          <w:sz w:val="13"/>
        </w:rPr>
        <w:t>913 </w:t>
      </w:r>
      <w:r>
        <w:rPr>
          <w:sz w:val="20"/>
        </w:rPr>
        <w:t>Wang G. et al.: Enhancement of IL-2 and IFN-gamma expression and NK cells activity involved in the anti-tumor effect of ganoderic acid Me in vivo. Int Immunopharmacol. 2007 Jun, 7 (6), pp. 864-870.</w:t>
      </w:r>
    </w:p>
    <w:p>
      <w:pPr>
        <w:spacing w:after="0" w:line="276" w:lineRule="auto"/>
        <w:jc w:val="left"/>
        <w:rPr>
          <w:sz w:val="20"/>
        </w:rPr>
        <w:sectPr>
          <w:footerReference w:type="default" r:id="rId435"/>
          <w:pgSz w:w="14270" w:h="16850"/>
          <w:pgMar w:footer="1984" w:header="0" w:top="1340" w:bottom="2180" w:left="800" w:right="1280"/>
          <w:pgNumType w:start="1678"/>
        </w:sectPr>
      </w:pPr>
    </w:p>
    <w:p>
      <w:pPr>
        <w:pStyle w:val="BodyText"/>
        <w:spacing w:before="74"/>
        <w:ind w:left="616"/>
        <w:rPr>
          <w:sz w:val="25"/>
        </w:rPr>
      </w:pPr>
      <w:r>
        <w:rPr/>
        <w:t>the formation of DNA and RNA.</w:t>
      </w:r>
      <w:r>
        <w:rPr>
          <w:position w:val="9"/>
          <w:sz w:val="25"/>
        </w:rPr>
        <w:t>914</w:t>
      </w:r>
    </w:p>
    <w:p>
      <w:pPr>
        <w:pStyle w:val="BodyText"/>
        <w:spacing w:line="276" w:lineRule="auto" w:before="305"/>
        <w:ind w:left="616"/>
        <w:rPr>
          <w:sz w:val="25"/>
        </w:rPr>
      </w:pPr>
      <w:r>
        <w:rPr/>
        <w:t>The ingredient ganderol B could offer an explanation for the successful use of Reishi in prostate cancer and Benigner Prostata Hyperplasie.</w:t>
      </w:r>
      <w:r>
        <w:rPr>
          <w:position w:val="9"/>
          <w:sz w:val="25"/>
        </w:rPr>
        <w:t>915</w:t>
      </w:r>
    </w:p>
    <w:p>
      <w:pPr>
        <w:pStyle w:val="Heading1"/>
        <w:spacing w:before="221"/>
        <w:ind w:left="616"/>
      </w:pPr>
      <w:r>
        <w:rPr/>
        <w:t>Immune functions could be improved in cancer patients</w:t>
      </w:r>
    </w:p>
    <w:p>
      <w:pPr>
        <w:pStyle w:val="BodyText"/>
        <w:spacing w:line="276" w:lineRule="auto" w:before="299"/>
        <w:ind w:left="616" w:right="134"/>
        <w:jc w:val="both"/>
        <w:rPr>
          <w:sz w:val="25"/>
        </w:rPr>
      </w:pPr>
      <w:r>
        <w:rPr/>
        <w:t>The immunological parameters of tumour patients could be significantly im- proved</w:t>
      </w:r>
      <w:r>
        <w:rPr>
          <w:spacing w:val="-16"/>
        </w:rPr>
        <w:t> </w:t>
      </w:r>
      <w:r>
        <w:rPr/>
        <w:t>during</w:t>
      </w:r>
      <w:r>
        <w:rPr>
          <w:spacing w:val="-15"/>
        </w:rPr>
        <w:t> </w:t>
      </w:r>
      <w:r>
        <w:rPr/>
        <w:t>a</w:t>
      </w:r>
      <w:r>
        <w:rPr>
          <w:spacing w:val="-18"/>
        </w:rPr>
        <w:t> </w:t>
      </w:r>
      <w:r>
        <w:rPr/>
        <w:t>twelve</w:t>
      </w:r>
      <w:r>
        <w:rPr>
          <w:spacing w:val="-15"/>
        </w:rPr>
        <w:t> </w:t>
      </w:r>
      <w:r>
        <w:rPr/>
        <w:t>week</w:t>
      </w:r>
      <w:r>
        <w:rPr>
          <w:spacing w:val="-16"/>
        </w:rPr>
        <w:t> </w:t>
      </w:r>
      <w:r>
        <w:rPr/>
        <w:t>treatment</w:t>
      </w:r>
      <w:r>
        <w:rPr>
          <w:spacing w:val="-16"/>
        </w:rPr>
        <w:t> </w:t>
      </w:r>
      <w:r>
        <w:rPr/>
        <w:t>with</w:t>
      </w:r>
      <w:r>
        <w:rPr>
          <w:spacing w:val="-15"/>
        </w:rPr>
        <w:t> </w:t>
      </w:r>
      <w:r>
        <w:rPr/>
        <w:t>the</w:t>
      </w:r>
      <w:r>
        <w:rPr>
          <w:spacing w:val="-14"/>
        </w:rPr>
        <w:t> </w:t>
      </w:r>
      <w:r>
        <w:rPr/>
        <w:t>polysaccharide</w:t>
      </w:r>
      <w:r>
        <w:rPr>
          <w:spacing w:val="-15"/>
        </w:rPr>
        <w:t> </w:t>
      </w:r>
      <w:r>
        <w:rPr/>
        <w:t>ganopoly</w:t>
      </w:r>
      <w:r>
        <w:rPr>
          <w:spacing w:val="-15"/>
        </w:rPr>
        <w:t> </w:t>
      </w:r>
      <w:r>
        <w:rPr/>
        <w:t>from Reishi mushrooms.</w:t>
      </w:r>
      <w:r>
        <w:rPr>
          <w:position w:val="9"/>
          <w:sz w:val="25"/>
        </w:rPr>
        <w:t>916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r>
        <w:rPr/>
        <w:pict>
          <v:line style="position:absolute;mso-position-horizontal-relative:page;mso-position-vertical-relative:paragraph;z-index:12848;mso-wrap-distance-left:0;mso-wrap-distance-right:0" from="70.823997pt,13.348735pt" to="214.843997pt,13.348735pt" stroked="true" strokeweight=".72003pt" strokecolor="#000000">
            <v:stroke dashstyle="solid"/>
            <w10:wrap type="topAndBottom"/>
          </v:line>
        </w:pict>
      </w:r>
    </w:p>
    <w:p>
      <w:pPr>
        <w:pStyle w:val="BodyText"/>
        <w:spacing w:before="7"/>
        <w:rPr>
          <w:sz w:val="18"/>
        </w:rPr>
      </w:pPr>
    </w:p>
    <w:p>
      <w:pPr>
        <w:spacing w:line="273" w:lineRule="auto" w:before="99"/>
        <w:ind w:left="616" w:right="244" w:firstLine="0"/>
        <w:jc w:val="left"/>
        <w:rPr>
          <w:sz w:val="20"/>
        </w:rPr>
      </w:pPr>
      <w:r>
        <w:rPr>
          <w:position w:val="5"/>
          <w:sz w:val="13"/>
        </w:rPr>
        <w:t>914 </w:t>
      </w:r>
      <w:r>
        <w:rPr>
          <w:sz w:val="20"/>
        </w:rPr>
        <w:t>Li J. J. et al.: Effect of Ganoderma lucidum polysaccharides on tumor cell nucleotide content and cell cycle in S180 ascitic tumor-bearing mice: Nan Fang Yi Ke Da Xue Xue Bao. 2007 Jul, 27 (7), pp. 1003-1005</w:t>
      </w:r>
    </w:p>
    <w:p>
      <w:pPr>
        <w:spacing w:line="276" w:lineRule="auto" w:before="63"/>
        <w:ind w:left="616" w:right="0" w:firstLine="0"/>
        <w:jc w:val="left"/>
        <w:rPr>
          <w:sz w:val="20"/>
        </w:rPr>
      </w:pPr>
      <w:r>
        <w:rPr>
          <w:position w:val="5"/>
          <w:sz w:val="13"/>
        </w:rPr>
        <w:t>915 </w:t>
      </w:r>
      <w:r>
        <w:rPr>
          <w:sz w:val="20"/>
        </w:rPr>
        <w:t>Liu J. et al.: The anti-androgen effect of ganoderol B isolated from the fruiting body of Ganoderma lucidum Bioorg Med Chem. 2007 Jul 15, 15 (14), pp. 4966-4972.</w:t>
      </w:r>
    </w:p>
    <w:p>
      <w:pPr>
        <w:spacing w:line="276" w:lineRule="auto" w:before="61"/>
        <w:ind w:left="616" w:right="323" w:firstLine="0"/>
        <w:jc w:val="left"/>
        <w:rPr>
          <w:sz w:val="20"/>
        </w:rPr>
      </w:pPr>
      <w:r>
        <w:rPr>
          <w:position w:val="5"/>
          <w:sz w:val="13"/>
        </w:rPr>
        <w:t>916 </w:t>
      </w:r>
      <w:r>
        <w:rPr>
          <w:sz w:val="20"/>
        </w:rPr>
        <w:t>Zhu X. L. et al.: Ganoderma lucidum polysaccharides enhance the function of immunological effector cells in immunosuppressed mice. J Eth- nopharmacol. 2007 May 4, 111 (2), pp. 219-26.</w:t>
      </w:r>
    </w:p>
    <w:p>
      <w:pPr>
        <w:spacing w:after="0" w:line="276" w:lineRule="auto"/>
        <w:jc w:val="left"/>
        <w:rPr>
          <w:sz w:val="20"/>
        </w:rPr>
        <w:sectPr>
          <w:pgSz w:w="14270" w:h="16850"/>
          <w:pgMar w:header="0" w:footer="1984" w:top="1340" w:bottom="2180" w:left="800" w:right="1280"/>
        </w:sectPr>
      </w:pPr>
    </w:p>
    <w:p>
      <w:pPr>
        <w:pStyle w:val="Heading1"/>
        <w:spacing w:before="77"/>
        <w:ind w:left="616"/>
        <w:jc w:val="both"/>
      </w:pPr>
      <w:r>
        <w:rPr/>
        <w:t>Beta-glucane decreases frequency of infections in studies.</w:t>
      </w:r>
    </w:p>
    <w:p>
      <w:pPr>
        <w:pStyle w:val="BodyText"/>
        <w:spacing w:line="276" w:lineRule="auto" w:before="299"/>
        <w:ind w:left="616" w:right="133"/>
        <w:jc w:val="both"/>
      </w:pPr>
      <w:r>
        <w:rPr/>
        <w:t>In a study in Sao Paulo/Brazil, patients with serious injuries (burns, head</w:t>
      </w:r>
      <w:r>
        <w:rPr>
          <w:spacing w:val="-60"/>
        </w:rPr>
        <w:t> </w:t>
      </w:r>
      <w:r>
        <w:rPr/>
        <w:t>inju- ries)</w:t>
      </w:r>
      <w:r>
        <w:rPr>
          <w:spacing w:val="-8"/>
        </w:rPr>
        <w:t> </w:t>
      </w:r>
      <w:r>
        <w:rPr/>
        <w:t>were</w:t>
      </w:r>
      <w:r>
        <w:rPr>
          <w:spacing w:val="-10"/>
        </w:rPr>
        <w:t> </w:t>
      </w:r>
      <w:r>
        <w:rPr/>
        <w:t>treated</w:t>
      </w:r>
      <w:r>
        <w:rPr>
          <w:spacing w:val="-7"/>
        </w:rPr>
        <w:t> </w:t>
      </w:r>
      <w:r>
        <w:rPr/>
        <w:t>with</w:t>
      </w:r>
      <w:r>
        <w:rPr>
          <w:spacing w:val="-7"/>
        </w:rPr>
        <w:t> </w:t>
      </w:r>
      <w:r>
        <w:rPr/>
        <w:t>beta-glucane</w:t>
      </w:r>
      <w:r>
        <w:rPr>
          <w:spacing w:val="-8"/>
        </w:rPr>
        <w:t> </w:t>
      </w:r>
      <w:r>
        <w:rPr/>
        <w:t>from</w:t>
      </w:r>
      <w:r>
        <w:rPr>
          <w:spacing w:val="-10"/>
        </w:rPr>
        <w:t> </w:t>
      </w:r>
      <w:r>
        <w:rPr/>
        <w:t>Reishi.</w:t>
      </w:r>
      <w:r>
        <w:rPr>
          <w:spacing w:val="-9"/>
        </w:rPr>
        <w:t> </w:t>
      </w:r>
      <w:r>
        <w:rPr/>
        <w:t>The</w:t>
      </w:r>
      <w:r>
        <w:rPr>
          <w:spacing w:val="-10"/>
        </w:rPr>
        <w:t> </w:t>
      </w:r>
      <w:r>
        <w:rPr/>
        <w:t>occurrences</w:t>
      </w:r>
      <w:r>
        <w:rPr>
          <w:spacing w:val="-7"/>
        </w:rPr>
        <w:t> </w:t>
      </w:r>
      <w:r>
        <w:rPr/>
        <w:t>of</w:t>
      </w:r>
      <w:r>
        <w:rPr>
          <w:spacing w:val="-10"/>
        </w:rPr>
        <w:t> </w:t>
      </w:r>
      <w:r>
        <w:rPr/>
        <w:t>pneumo- nia and suppuration were reduced from 65 % to 14.3 %. The number of</w:t>
      </w:r>
      <w:r>
        <w:rPr>
          <w:spacing w:val="-60"/>
        </w:rPr>
        <w:t> </w:t>
      </w:r>
      <w:r>
        <w:rPr/>
        <w:t>cases of pneumonia fell from 55 % to 9.5 % and suppuration from 35 % to 9.5</w:t>
      </w:r>
      <w:r>
        <w:rPr>
          <w:spacing w:val="-24"/>
        </w:rPr>
        <w:t> </w:t>
      </w:r>
      <w:r>
        <w:rPr/>
        <w:t>%.</w:t>
      </w:r>
    </w:p>
    <w:p>
      <w:pPr>
        <w:pStyle w:val="BodyText"/>
        <w:spacing w:line="276" w:lineRule="auto" w:before="239"/>
        <w:ind w:left="616" w:right="146"/>
        <w:jc w:val="both"/>
        <w:rPr>
          <w:sz w:val="25"/>
        </w:rPr>
      </w:pPr>
      <w:r>
        <w:rPr/>
        <w:t>The mortality rate was reducing from 30 % to just 4.8 %, the hospitalisation period was also significantly shortened. There were no side effects.</w:t>
      </w:r>
      <w:r>
        <w:rPr>
          <w:position w:val="9"/>
          <w:sz w:val="25"/>
        </w:rPr>
        <w:t>917</w:t>
      </w:r>
    </w:p>
    <w:p>
      <w:pPr>
        <w:pStyle w:val="BodyText"/>
        <w:spacing w:line="276" w:lineRule="auto" w:before="242"/>
        <w:ind w:left="616" w:right="134"/>
        <w:jc w:val="both"/>
        <w:rPr>
          <w:sz w:val="25"/>
        </w:rPr>
      </w:pPr>
      <w:r>
        <w:rPr/>
        <w:t>A</w:t>
      </w:r>
      <w:r>
        <w:rPr>
          <w:spacing w:val="-11"/>
        </w:rPr>
        <w:t> </w:t>
      </w:r>
      <w:r>
        <w:rPr/>
        <w:t>further</w:t>
      </w:r>
      <w:r>
        <w:rPr>
          <w:spacing w:val="-8"/>
        </w:rPr>
        <w:t> </w:t>
      </w:r>
      <w:r>
        <w:rPr/>
        <w:t>study</w:t>
      </w:r>
      <w:r>
        <w:rPr>
          <w:spacing w:val="-10"/>
        </w:rPr>
        <w:t> </w:t>
      </w:r>
      <w:r>
        <w:rPr/>
        <w:t>on</w:t>
      </w:r>
      <w:r>
        <w:rPr>
          <w:spacing w:val="-8"/>
        </w:rPr>
        <w:t> </w:t>
      </w:r>
      <w:r>
        <w:rPr/>
        <w:t>diabetics</w:t>
      </w:r>
      <w:r>
        <w:rPr>
          <w:spacing w:val="-9"/>
        </w:rPr>
        <w:t> </w:t>
      </w:r>
      <w:r>
        <w:rPr/>
        <w:t>who</w:t>
      </w:r>
      <w:r>
        <w:rPr>
          <w:spacing w:val="-8"/>
        </w:rPr>
        <w:t> </w:t>
      </w:r>
      <w:r>
        <w:rPr/>
        <w:t>had</w:t>
      </w:r>
      <w:r>
        <w:rPr>
          <w:spacing w:val="-9"/>
        </w:rPr>
        <w:t> </w:t>
      </w:r>
      <w:r>
        <w:rPr/>
        <w:t>undergone</w:t>
      </w:r>
      <w:r>
        <w:rPr>
          <w:spacing w:val="-9"/>
        </w:rPr>
        <w:t> </w:t>
      </w:r>
      <w:r>
        <w:rPr/>
        <w:t>operations</w:t>
      </w:r>
      <w:r>
        <w:rPr>
          <w:spacing w:val="-9"/>
        </w:rPr>
        <w:t> </w:t>
      </w:r>
      <w:r>
        <w:rPr/>
        <w:t>making</w:t>
      </w:r>
      <w:r>
        <w:rPr>
          <w:spacing w:val="-9"/>
        </w:rPr>
        <w:t> </w:t>
      </w:r>
      <w:r>
        <w:rPr/>
        <w:t>them</w:t>
      </w:r>
      <w:r>
        <w:rPr>
          <w:spacing w:val="-8"/>
        </w:rPr>
        <w:t> </w:t>
      </w:r>
      <w:r>
        <w:rPr/>
        <w:t>par- ticularly susceptible to infections, showed that the consumption of beta-glu- cane reduced the infection rate from 80 % to 25</w:t>
      </w:r>
      <w:r>
        <w:rPr>
          <w:spacing w:val="-2"/>
        </w:rPr>
        <w:t> </w:t>
      </w:r>
      <w:r>
        <w:rPr/>
        <w:t>%.</w:t>
      </w:r>
      <w:r>
        <w:rPr>
          <w:position w:val="9"/>
          <w:sz w:val="25"/>
        </w:rPr>
        <w:t>918</w:t>
      </w:r>
    </w:p>
    <w:p>
      <w:pPr>
        <w:pStyle w:val="Heading1"/>
        <w:spacing w:line="264" w:lineRule="auto" w:before="221"/>
        <w:ind w:left="616" w:right="145"/>
        <w:jc w:val="both"/>
      </w:pPr>
      <w:r>
        <w:rPr/>
        <w:t>Immune system strengthening effect in cancer patients undergoing chemotherapy and radiotherapy</w:t>
      </w:r>
    </w:p>
    <w:p>
      <w:pPr>
        <w:pStyle w:val="BodyText"/>
        <w:spacing w:line="276" w:lineRule="auto" w:before="252"/>
        <w:ind w:left="616" w:right="135"/>
        <w:jc w:val="both"/>
        <w:rPr>
          <w:sz w:val="25"/>
        </w:rPr>
      </w:pPr>
      <w:r>
        <w:rPr/>
        <w:t>The immune system is particularly oppressed during chemotherapy and</w:t>
      </w:r>
      <w:r>
        <w:rPr>
          <w:spacing w:val="-50"/>
        </w:rPr>
        <w:t> </w:t>
      </w:r>
      <w:r>
        <w:rPr/>
        <w:t>radio- therapy. Studies have shown that Reishi can successfully counteract this and strengthen the immune system.</w:t>
      </w:r>
      <w:r>
        <w:rPr>
          <w:position w:val="9"/>
          <w:sz w:val="25"/>
        </w:rPr>
        <w:t>919</w:t>
      </w:r>
    </w:p>
    <w:p>
      <w:pPr>
        <w:pStyle w:val="Heading1"/>
        <w:spacing w:before="221"/>
        <w:ind w:left="616"/>
        <w:jc w:val="both"/>
      </w:pPr>
      <w:r>
        <w:rPr/>
        <w:t>Study regarding the effect of Reishi-Lingzhi in heart disease</w:t>
      </w:r>
    </w:p>
    <w:p>
      <w:pPr>
        <w:pStyle w:val="BodyText"/>
        <w:spacing w:line="276" w:lineRule="auto" w:before="300"/>
        <w:ind w:left="616" w:right="132"/>
        <w:jc w:val="both"/>
      </w:pPr>
      <w:r>
        <w:rPr/>
        <w:t>Studies in China have successfully proven that the use of Reishi-Lingzhi com- bats heart disease and the symptoms associated with it. Heart pains, palpita- tions, shortness of breath and oedema as well as cardiac arrhythmia and brain</w:t>
      </w:r>
    </w:p>
    <w:p>
      <w:pPr>
        <w:pStyle w:val="BodyText"/>
        <w:rPr>
          <w:sz w:val="20"/>
        </w:rPr>
      </w:pPr>
    </w:p>
    <w:p>
      <w:pPr>
        <w:pStyle w:val="BodyText"/>
        <w:rPr>
          <w:sz w:val="20"/>
        </w:rPr>
      </w:pPr>
    </w:p>
    <w:p>
      <w:pPr>
        <w:pStyle w:val="BodyText"/>
        <w:spacing w:before="6"/>
        <w:rPr>
          <w:sz w:val="15"/>
        </w:rPr>
      </w:pPr>
      <w:r>
        <w:rPr/>
        <w:pict>
          <v:line style="position:absolute;mso-position-horizontal-relative:page;mso-position-vertical-relative:paragraph;z-index:12872;mso-wrap-distance-left:0;mso-wrap-distance-right:0" from="70.823997pt,11.111265pt" to="214.843997pt,11.111265pt" stroked="true" strokeweight=".71997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917 </w:t>
      </w:r>
      <w:r>
        <w:rPr>
          <w:sz w:val="20"/>
        </w:rPr>
        <w:t>Fuchs et al. 1998, p. 15</w:t>
      </w:r>
    </w:p>
    <w:p>
      <w:pPr>
        <w:spacing w:before="94"/>
        <w:ind w:left="616" w:right="0" w:firstLine="0"/>
        <w:jc w:val="left"/>
        <w:rPr>
          <w:sz w:val="20"/>
        </w:rPr>
      </w:pPr>
      <w:r>
        <w:rPr>
          <w:position w:val="5"/>
          <w:sz w:val="13"/>
        </w:rPr>
        <w:t>918 </w:t>
      </w:r>
      <w:r>
        <w:rPr>
          <w:sz w:val="20"/>
        </w:rPr>
        <w:t>Fuchs as cited, p. 19</w:t>
      </w:r>
    </w:p>
    <w:p>
      <w:pPr>
        <w:spacing w:line="276" w:lineRule="auto" w:before="95"/>
        <w:ind w:left="616" w:right="244" w:firstLine="0"/>
        <w:jc w:val="left"/>
        <w:rPr>
          <w:sz w:val="20"/>
        </w:rPr>
      </w:pPr>
      <w:r>
        <w:rPr>
          <w:position w:val="5"/>
          <w:sz w:val="13"/>
        </w:rPr>
        <w:t>919 </w:t>
      </w:r>
      <w:r>
        <w:rPr>
          <w:sz w:val="20"/>
        </w:rPr>
        <w:t>Gao Y. et al.: Effects of water-soluble Ganoderma lucidum polysaccharides on the immune functions of patients with advanced lung cancer. J Med Food. 2005 Summer, 8 (2), pp. 159-68</w:t>
      </w:r>
    </w:p>
    <w:p>
      <w:pPr>
        <w:spacing w:after="0" w:line="276" w:lineRule="auto"/>
        <w:jc w:val="left"/>
        <w:rPr>
          <w:sz w:val="20"/>
        </w:rPr>
        <w:sectPr>
          <w:footerReference w:type="default" r:id="rId436"/>
          <w:pgSz w:w="14270" w:h="16850"/>
          <w:pgMar w:footer="1984" w:header="0" w:top="1320" w:bottom="2180" w:left="800" w:right="1280"/>
          <w:pgNumType w:start="1680"/>
        </w:sectPr>
      </w:pPr>
    </w:p>
    <w:p>
      <w:pPr>
        <w:pStyle w:val="BodyText"/>
        <w:spacing w:before="74"/>
        <w:ind w:left="616"/>
        <w:rPr>
          <w:sz w:val="25"/>
        </w:rPr>
      </w:pPr>
      <w:r>
        <w:rPr/>
        <w:t>and heart circulation could all be improved.</w:t>
      </w:r>
      <w:r>
        <w:rPr>
          <w:position w:val="9"/>
          <w:sz w:val="25"/>
        </w:rPr>
        <w:t>920</w:t>
      </w:r>
    </w:p>
    <w:p>
      <w:pPr>
        <w:pStyle w:val="BodyText"/>
        <w:spacing w:line="276" w:lineRule="auto" w:before="305"/>
        <w:ind w:left="616" w:right="140"/>
        <w:jc w:val="both"/>
        <w:rPr>
          <w:sz w:val="25"/>
        </w:rPr>
      </w:pPr>
      <w:r>
        <w:rPr/>
        <w:t>Schmaus</w:t>
      </w:r>
      <w:r>
        <w:rPr>
          <w:spacing w:val="-23"/>
        </w:rPr>
        <w:t> </w:t>
      </w:r>
      <w:r>
        <w:rPr/>
        <w:t>et</w:t>
      </w:r>
      <w:r>
        <w:rPr>
          <w:spacing w:val="-22"/>
        </w:rPr>
        <w:t> </w:t>
      </w:r>
      <w:r>
        <w:rPr/>
        <w:t>al.</w:t>
      </w:r>
      <w:r>
        <w:rPr>
          <w:spacing w:val="-23"/>
        </w:rPr>
        <w:t> </w:t>
      </w:r>
      <w:r>
        <w:rPr/>
        <w:t>were</w:t>
      </w:r>
      <w:r>
        <w:rPr>
          <w:spacing w:val="-21"/>
        </w:rPr>
        <w:t> </w:t>
      </w:r>
      <w:r>
        <w:rPr/>
        <w:t>able</w:t>
      </w:r>
      <w:r>
        <w:rPr>
          <w:spacing w:val="-22"/>
        </w:rPr>
        <w:t> </w:t>
      </w:r>
      <w:r>
        <w:rPr/>
        <w:t>to</w:t>
      </w:r>
      <w:r>
        <w:rPr>
          <w:spacing w:val="-22"/>
        </w:rPr>
        <w:t> </w:t>
      </w:r>
      <w:r>
        <w:rPr/>
        <w:t>prove</w:t>
      </w:r>
      <w:r>
        <w:rPr>
          <w:spacing w:val="-23"/>
        </w:rPr>
        <w:t> </w:t>
      </w:r>
      <w:r>
        <w:rPr/>
        <w:t>that</w:t>
      </w:r>
      <w:r>
        <w:rPr>
          <w:spacing w:val="-22"/>
        </w:rPr>
        <w:t> </w:t>
      </w:r>
      <w:r>
        <w:rPr/>
        <w:t>the</w:t>
      </w:r>
      <w:r>
        <w:rPr>
          <w:spacing w:val="-20"/>
        </w:rPr>
        <w:t> </w:t>
      </w:r>
      <w:r>
        <w:rPr/>
        <w:t>Reishi</w:t>
      </w:r>
      <w:r>
        <w:rPr>
          <w:spacing w:val="-22"/>
        </w:rPr>
        <w:t> </w:t>
      </w:r>
      <w:r>
        <w:rPr/>
        <w:t>extract</w:t>
      </w:r>
      <w:r>
        <w:rPr>
          <w:spacing w:val="-22"/>
        </w:rPr>
        <w:t> </w:t>
      </w:r>
      <w:r>
        <w:rPr/>
        <w:t>contains</w:t>
      </w:r>
      <w:r>
        <w:rPr>
          <w:spacing w:val="-21"/>
        </w:rPr>
        <w:t> </w:t>
      </w:r>
      <w:r>
        <w:rPr/>
        <w:t>an</w:t>
      </w:r>
      <w:r>
        <w:rPr>
          <w:spacing w:val="-21"/>
        </w:rPr>
        <w:t> </w:t>
      </w:r>
      <w:r>
        <w:rPr/>
        <w:t>abundance of the biological ingredients which are required by the heart, such as vitamins and enzymes.</w:t>
      </w:r>
      <w:r>
        <w:rPr>
          <w:position w:val="9"/>
          <w:sz w:val="25"/>
        </w:rPr>
        <w:t>921</w:t>
      </w:r>
    </w:p>
    <w:p>
      <w:pPr>
        <w:pStyle w:val="Heading1"/>
        <w:spacing w:before="221"/>
        <w:ind w:left="616"/>
      </w:pPr>
      <w:r>
        <w:rPr/>
        <w:t>Studies regarding the reduction of lipids and cholesterol</w:t>
      </w:r>
    </w:p>
    <w:p>
      <w:pPr>
        <w:pStyle w:val="BodyText"/>
        <w:spacing w:line="276" w:lineRule="auto" w:before="299"/>
        <w:ind w:left="616" w:right="141"/>
        <w:jc w:val="both"/>
        <w:rPr>
          <w:sz w:val="25"/>
        </w:rPr>
      </w:pPr>
      <w:r>
        <w:rPr/>
        <w:t>The oxygenosterols in Reishi inhibit interaction with mevalonic acids which represent</w:t>
      </w:r>
      <w:r>
        <w:rPr>
          <w:spacing w:val="-18"/>
        </w:rPr>
        <w:t> </w:t>
      </w:r>
      <w:r>
        <w:rPr/>
        <w:t>the</w:t>
      </w:r>
      <w:r>
        <w:rPr>
          <w:spacing w:val="-17"/>
        </w:rPr>
        <w:t> </w:t>
      </w:r>
      <w:r>
        <w:rPr/>
        <w:t>preliminary</w:t>
      </w:r>
      <w:r>
        <w:rPr>
          <w:spacing w:val="-16"/>
        </w:rPr>
        <w:t> </w:t>
      </w:r>
      <w:r>
        <w:rPr/>
        <w:t>stages</w:t>
      </w:r>
      <w:r>
        <w:rPr>
          <w:spacing w:val="-18"/>
        </w:rPr>
        <w:t> </w:t>
      </w:r>
      <w:r>
        <w:rPr/>
        <w:t>of</w:t>
      </w:r>
      <w:r>
        <w:rPr>
          <w:spacing w:val="-16"/>
        </w:rPr>
        <w:t> </w:t>
      </w:r>
      <w:r>
        <w:rPr/>
        <w:t>cholesterol,</w:t>
      </w:r>
      <w:r>
        <w:rPr>
          <w:spacing w:val="-15"/>
        </w:rPr>
        <w:t> </w:t>
      </w:r>
      <w:r>
        <w:rPr/>
        <w:t>the</w:t>
      </w:r>
      <w:r>
        <w:rPr>
          <w:spacing w:val="-15"/>
        </w:rPr>
        <w:t> </w:t>
      </w:r>
      <w:r>
        <w:rPr/>
        <w:t>body’s</w:t>
      </w:r>
      <w:r>
        <w:rPr>
          <w:spacing w:val="-17"/>
        </w:rPr>
        <w:t> </w:t>
      </w:r>
      <w:r>
        <w:rPr/>
        <w:t>own</w:t>
      </w:r>
      <w:r>
        <w:rPr>
          <w:spacing w:val="-16"/>
        </w:rPr>
        <w:t> </w:t>
      </w:r>
      <w:r>
        <w:rPr/>
        <w:t>cholesterol</w:t>
      </w:r>
      <w:r>
        <w:rPr>
          <w:spacing w:val="-16"/>
        </w:rPr>
        <w:t> </w:t>
      </w:r>
      <w:r>
        <w:rPr/>
        <w:t>for- mation.</w:t>
      </w:r>
      <w:r>
        <w:rPr>
          <w:position w:val="9"/>
          <w:sz w:val="25"/>
        </w:rPr>
        <w:t>922</w:t>
      </w:r>
    </w:p>
    <w:p>
      <w:pPr>
        <w:pStyle w:val="BodyText"/>
        <w:rPr>
          <w:sz w:val="42"/>
        </w:rPr>
      </w:pPr>
    </w:p>
    <w:p>
      <w:pPr>
        <w:pStyle w:val="BodyText"/>
        <w:spacing w:before="9"/>
        <w:rPr>
          <w:sz w:val="42"/>
        </w:rPr>
      </w:pPr>
    </w:p>
    <w:p>
      <w:pPr>
        <w:pStyle w:val="Heading1"/>
        <w:spacing w:line="264" w:lineRule="auto" w:before="1"/>
        <w:ind w:left="616" w:right="146"/>
        <w:jc w:val="both"/>
        <w:rPr>
          <w:b w:val="0"/>
          <w:i w:val="0"/>
          <w:sz w:val="25"/>
        </w:rPr>
      </w:pPr>
      <w:r>
        <w:rPr/>
        <w:t>The</w:t>
      </w:r>
      <w:r>
        <w:rPr>
          <w:spacing w:val="-32"/>
        </w:rPr>
        <w:t> </w:t>
      </w:r>
      <w:r>
        <w:rPr/>
        <w:t>polysaccharides</w:t>
      </w:r>
      <w:r>
        <w:rPr>
          <w:spacing w:val="-32"/>
        </w:rPr>
        <w:t> </w:t>
      </w:r>
      <w:r>
        <w:rPr/>
        <w:t>in</w:t>
      </w:r>
      <w:r>
        <w:rPr>
          <w:spacing w:val="-32"/>
        </w:rPr>
        <w:t> </w:t>
      </w:r>
      <w:r>
        <w:rPr/>
        <w:t>Reishi</w:t>
      </w:r>
      <w:r>
        <w:rPr>
          <w:spacing w:val="-33"/>
        </w:rPr>
        <w:t> </w:t>
      </w:r>
      <w:r>
        <w:rPr/>
        <w:t>prevent</w:t>
      </w:r>
      <w:r>
        <w:rPr>
          <w:spacing w:val="-33"/>
        </w:rPr>
        <w:t> </w:t>
      </w:r>
      <w:r>
        <w:rPr/>
        <w:t>lipid</w:t>
      </w:r>
      <w:r>
        <w:rPr>
          <w:spacing w:val="-32"/>
        </w:rPr>
        <w:t> </w:t>
      </w:r>
      <w:r>
        <w:rPr/>
        <w:t>peroxidation</w:t>
      </w:r>
      <w:r>
        <w:rPr>
          <w:spacing w:val="-31"/>
        </w:rPr>
        <w:t> </w:t>
      </w:r>
      <w:r>
        <w:rPr/>
        <w:t>of</w:t>
      </w:r>
      <w:r>
        <w:rPr>
          <w:spacing w:val="-31"/>
        </w:rPr>
        <w:t> </w:t>
      </w:r>
      <w:r>
        <w:rPr/>
        <w:t>the</w:t>
      </w:r>
      <w:r>
        <w:rPr>
          <w:spacing w:val="-32"/>
        </w:rPr>
        <w:t> </w:t>
      </w:r>
      <w:r>
        <w:rPr/>
        <w:t>blood lipids</w:t>
      </w:r>
      <w:r>
        <w:rPr>
          <w:spacing w:val="-18"/>
        </w:rPr>
        <w:t> </w:t>
      </w:r>
      <w:r>
        <w:rPr/>
        <w:t>and</w:t>
      </w:r>
      <w:r>
        <w:rPr>
          <w:spacing w:val="-17"/>
        </w:rPr>
        <w:t> </w:t>
      </w:r>
      <w:r>
        <w:rPr/>
        <w:t>in</w:t>
      </w:r>
      <w:r>
        <w:rPr>
          <w:spacing w:val="-20"/>
        </w:rPr>
        <w:t> </w:t>
      </w:r>
      <w:r>
        <w:rPr/>
        <w:t>this</w:t>
      </w:r>
      <w:r>
        <w:rPr>
          <w:spacing w:val="-20"/>
        </w:rPr>
        <w:t> </w:t>
      </w:r>
      <w:r>
        <w:rPr/>
        <w:t>way</w:t>
      </w:r>
      <w:r>
        <w:rPr>
          <w:spacing w:val="-19"/>
        </w:rPr>
        <w:t> </w:t>
      </w:r>
      <w:r>
        <w:rPr/>
        <w:t>can</w:t>
      </w:r>
      <w:r>
        <w:rPr>
          <w:spacing w:val="-20"/>
        </w:rPr>
        <w:t> </w:t>
      </w:r>
      <w:r>
        <w:rPr/>
        <w:t>regulate</w:t>
      </w:r>
      <w:r>
        <w:rPr>
          <w:spacing w:val="-19"/>
        </w:rPr>
        <w:t> </w:t>
      </w:r>
      <w:r>
        <w:rPr/>
        <w:t>the</w:t>
      </w:r>
      <w:r>
        <w:rPr>
          <w:spacing w:val="-19"/>
        </w:rPr>
        <w:t> </w:t>
      </w:r>
      <w:r>
        <w:rPr/>
        <w:t>lipometabolism.</w:t>
      </w:r>
      <w:r>
        <w:rPr>
          <w:b w:val="0"/>
          <w:i w:val="0"/>
          <w:position w:val="9"/>
          <w:sz w:val="25"/>
        </w:rPr>
        <w:t>923</w:t>
      </w:r>
    </w:p>
    <w:p>
      <w:pPr>
        <w:pStyle w:val="BodyText"/>
        <w:spacing w:line="276" w:lineRule="auto" w:before="251"/>
        <w:ind w:left="616" w:right="134"/>
        <w:jc w:val="both"/>
        <w:rPr>
          <w:sz w:val="25"/>
        </w:rPr>
      </w:pPr>
      <w:r>
        <w:rPr/>
        <w:t>In a large study in 1988 at the Cardiological Research Centre and the Nutri- tional</w:t>
      </w:r>
      <w:r>
        <w:rPr>
          <w:spacing w:val="-23"/>
        </w:rPr>
        <w:t> </w:t>
      </w:r>
      <w:r>
        <w:rPr/>
        <w:t>Institute</w:t>
      </w:r>
      <w:r>
        <w:rPr>
          <w:spacing w:val="-22"/>
        </w:rPr>
        <w:t> </w:t>
      </w:r>
      <w:r>
        <w:rPr/>
        <w:t>of</w:t>
      </w:r>
      <w:r>
        <w:rPr>
          <w:spacing w:val="-21"/>
        </w:rPr>
        <w:t> </w:t>
      </w:r>
      <w:r>
        <w:rPr/>
        <w:t>the</w:t>
      </w:r>
      <w:r>
        <w:rPr>
          <w:spacing w:val="-20"/>
        </w:rPr>
        <w:t> </w:t>
      </w:r>
      <w:r>
        <w:rPr/>
        <w:t>Academy</w:t>
      </w:r>
      <w:r>
        <w:rPr>
          <w:spacing w:val="-20"/>
        </w:rPr>
        <w:t> </w:t>
      </w:r>
      <w:r>
        <w:rPr/>
        <w:t>of</w:t>
      </w:r>
      <w:r>
        <w:rPr>
          <w:spacing w:val="-22"/>
        </w:rPr>
        <w:t> </w:t>
      </w:r>
      <w:r>
        <w:rPr/>
        <w:t>Medical</w:t>
      </w:r>
      <w:r>
        <w:rPr>
          <w:spacing w:val="-22"/>
        </w:rPr>
        <w:t> </w:t>
      </w:r>
      <w:r>
        <w:rPr/>
        <w:t>Science</w:t>
      </w:r>
      <w:r>
        <w:rPr>
          <w:spacing w:val="-17"/>
        </w:rPr>
        <w:t> </w:t>
      </w:r>
      <w:r>
        <w:rPr/>
        <w:t>in</w:t>
      </w:r>
      <w:r>
        <w:rPr>
          <w:spacing w:val="-21"/>
        </w:rPr>
        <w:t> </w:t>
      </w:r>
      <w:r>
        <w:rPr/>
        <w:t>Moscow,</w:t>
      </w:r>
      <w:r>
        <w:rPr>
          <w:spacing w:val="-23"/>
        </w:rPr>
        <w:t> </w:t>
      </w:r>
      <w:r>
        <w:rPr/>
        <w:t>different</w:t>
      </w:r>
      <w:r>
        <w:rPr>
          <w:spacing w:val="-22"/>
        </w:rPr>
        <w:t> </w:t>
      </w:r>
      <w:r>
        <w:rPr/>
        <w:t>mush- rooms were intensively investigated for their effect on the cardiovascular sys- tem. Reishi-Lingzhi returned by far the best results, reducing the tendency of cholesterol clot formation, which is harmful to the heart, by 41 % after just five</w:t>
      </w:r>
      <w:r>
        <w:rPr>
          <w:spacing w:val="-2"/>
        </w:rPr>
        <w:t> </w:t>
      </w:r>
      <w:r>
        <w:rPr/>
        <w:t>hours.</w:t>
      </w:r>
      <w:r>
        <w:rPr>
          <w:position w:val="9"/>
          <w:sz w:val="25"/>
        </w:rPr>
        <w:t>924</w:t>
      </w:r>
    </w:p>
    <w:p>
      <w:pPr>
        <w:pStyle w:val="BodyText"/>
        <w:rPr>
          <w:sz w:val="20"/>
        </w:rPr>
      </w:pPr>
    </w:p>
    <w:p>
      <w:pPr>
        <w:pStyle w:val="BodyText"/>
        <w:rPr>
          <w:sz w:val="20"/>
        </w:rPr>
      </w:pPr>
    </w:p>
    <w:p>
      <w:pPr>
        <w:pStyle w:val="BodyText"/>
        <w:rPr>
          <w:sz w:val="20"/>
        </w:rPr>
      </w:pPr>
    </w:p>
    <w:p>
      <w:pPr>
        <w:pStyle w:val="BodyText"/>
        <w:spacing w:before="8"/>
        <w:rPr>
          <w:sz w:val="24"/>
        </w:rPr>
      </w:pPr>
      <w:r>
        <w:rPr/>
        <w:pict>
          <v:line style="position:absolute;mso-position-horizontal-relative:page;mso-position-vertical-relative:paragraph;z-index:12896;mso-wrap-distance-left:0;mso-wrap-distance-right:0" from="70.823997pt,16.270016pt" to="214.843997pt,16.270016pt" stroked="true" strokeweight=".71997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920  </w:t>
      </w:r>
      <w:r>
        <w:rPr>
          <w:sz w:val="20"/>
        </w:rPr>
        <w:t>Hobbs 1995, p. 101</w:t>
      </w:r>
      <w:r>
        <w:rPr>
          <w:spacing w:val="-29"/>
          <w:sz w:val="20"/>
        </w:rPr>
        <w:t> </w:t>
      </w:r>
      <w:r>
        <w:rPr>
          <w:sz w:val="20"/>
        </w:rPr>
        <w:t>ff.</w:t>
      </w:r>
    </w:p>
    <w:p>
      <w:pPr>
        <w:spacing w:before="94"/>
        <w:ind w:left="616" w:right="0" w:firstLine="0"/>
        <w:jc w:val="left"/>
        <w:rPr>
          <w:sz w:val="20"/>
        </w:rPr>
      </w:pPr>
      <w:r>
        <w:rPr>
          <w:position w:val="5"/>
          <w:sz w:val="13"/>
        </w:rPr>
        <w:t>921 </w:t>
      </w:r>
      <w:r>
        <w:rPr>
          <w:sz w:val="20"/>
        </w:rPr>
        <w:t>Schmaus et al., n.d.</w:t>
      </w:r>
    </w:p>
    <w:p>
      <w:pPr>
        <w:spacing w:line="276" w:lineRule="auto" w:before="92"/>
        <w:ind w:left="616" w:right="0" w:firstLine="0"/>
        <w:jc w:val="left"/>
        <w:rPr>
          <w:sz w:val="20"/>
        </w:rPr>
      </w:pPr>
      <w:r>
        <w:rPr>
          <w:position w:val="5"/>
          <w:sz w:val="13"/>
        </w:rPr>
        <w:t>922 </w:t>
      </w:r>
      <w:r>
        <w:rPr>
          <w:sz w:val="20"/>
        </w:rPr>
        <w:t>Hajjaj H. et al.: Effect of 26-oxygenosterols from Ganoderma lucidum and their activity as cholesterol synthesis inhibitors. Appl Environ Mi- crobiol. 2005 Jul, 71 (7), pp. 3653-3658.</w:t>
      </w:r>
    </w:p>
    <w:p>
      <w:pPr>
        <w:spacing w:line="276" w:lineRule="auto" w:before="61"/>
        <w:ind w:left="616" w:right="275" w:firstLine="0"/>
        <w:jc w:val="left"/>
        <w:rPr>
          <w:sz w:val="20"/>
        </w:rPr>
      </w:pPr>
      <w:r>
        <w:rPr>
          <w:position w:val="5"/>
          <w:sz w:val="13"/>
        </w:rPr>
        <w:t>923 </w:t>
      </w:r>
      <w:r>
        <w:rPr>
          <w:sz w:val="20"/>
        </w:rPr>
        <w:t>Chen W. Q. et al.: Effects of ganoderma lucidum polysaccharides on serum lipids and lipoperoxidation in trialal hyperlipidemic rats. Zhongguo Zhong Yao Za Zhi. 2005 Sep, 30 (17), pp. 1358-1360.</w:t>
      </w:r>
    </w:p>
    <w:p>
      <w:pPr>
        <w:spacing w:before="61"/>
        <w:ind w:left="616" w:right="0" w:firstLine="0"/>
        <w:jc w:val="left"/>
        <w:rPr>
          <w:sz w:val="20"/>
        </w:rPr>
      </w:pPr>
      <w:r>
        <w:rPr>
          <w:position w:val="5"/>
          <w:sz w:val="13"/>
        </w:rPr>
        <w:t>924 </w:t>
      </w:r>
      <w:r>
        <w:rPr>
          <w:sz w:val="20"/>
        </w:rPr>
        <w:t>Jones 1995, p. 25 ff.</w:t>
      </w:r>
    </w:p>
    <w:p>
      <w:pPr>
        <w:spacing w:after="0"/>
        <w:jc w:val="left"/>
        <w:rPr>
          <w:sz w:val="20"/>
        </w:rPr>
        <w:sectPr>
          <w:pgSz w:w="14270" w:h="16850"/>
          <w:pgMar w:header="0" w:footer="1984" w:top="1340" w:bottom="2180" w:left="800" w:right="1280"/>
        </w:sectPr>
      </w:pPr>
    </w:p>
    <w:p>
      <w:pPr>
        <w:pStyle w:val="Heading1"/>
        <w:spacing w:before="77"/>
        <w:ind w:left="616"/>
      </w:pPr>
      <w:r>
        <w:rPr/>
        <w:t>Reishi studies regarding the prevention of cardiovascular disease.</w:t>
      </w:r>
    </w:p>
    <w:p>
      <w:pPr>
        <w:pStyle w:val="BodyText"/>
        <w:spacing w:line="276" w:lineRule="auto" w:before="299"/>
        <w:ind w:left="616"/>
        <w:rPr>
          <w:sz w:val="25"/>
        </w:rPr>
      </w:pPr>
      <w:r>
        <w:rPr/>
        <w:t>The parameters for cardiovascular risk and the antioxidative status was im- proved in a study of healthy volunteers.</w:t>
      </w:r>
      <w:r>
        <w:rPr>
          <w:position w:val="9"/>
          <w:sz w:val="25"/>
        </w:rPr>
        <w:t>925</w:t>
      </w:r>
    </w:p>
    <w:p>
      <w:pPr>
        <w:pStyle w:val="Heading1"/>
        <w:spacing w:before="221"/>
        <w:ind w:left="616"/>
      </w:pPr>
      <w:r>
        <w:rPr/>
        <w:t>Studies using Reishi for the prevention of atherosclerosis</w:t>
      </w:r>
    </w:p>
    <w:p>
      <w:pPr>
        <w:pStyle w:val="BodyText"/>
        <w:spacing w:line="276" w:lineRule="auto" w:before="300"/>
        <w:ind w:left="616" w:right="132"/>
        <w:jc w:val="both"/>
        <w:rPr>
          <w:sz w:val="25"/>
        </w:rPr>
      </w:pPr>
      <w:r>
        <w:rPr/>
        <w:t>Atherosclerosis</w:t>
      </w:r>
      <w:r>
        <w:rPr>
          <w:spacing w:val="-23"/>
        </w:rPr>
        <w:t> </w:t>
      </w:r>
      <w:r>
        <w:rPr/>
        <w:t>is</w:t>
      </w:r>
      <w:r>
        <w:rPr>
          <w:spacing w:val="-23"/>
        </w:rPr>
        <w:t> </w:t>
      </w:r>
      <w:r>
        <w:rPr/>
        <w:t>still</w:t>
      </w:r>
      <w:r>
        <w:rPr>
          <w:spacing w:val="-25"/>
        </w:rPr>
        <w:t> </w:t>
      </w:r>
      <w:r>
        <w:rPr/>
        <w:t>considered</w:t>
      </w:r>
      <w:r>
        <w:rPr>
          <w:spacing w:val="-24"/>
        </w:rPr>
        <w:t> </w:t>
      </w:r>
      <w:r>
        <w:rPr/>
        <w:t>the</w:t>
      </w:r>
      <w:r>
        <w:rPr>
          <w:spacing w:val="-23"/>
        </w:rPr>
        <w:t> </w:t>
      </w:r>
      <w:r>
        <w:rPr/>
        <w:t>main</w:t>
      </w:r>
      <w:r>
        <w:rPr>
          <w:spacing w:val="-23"/>
        </w:rPr>
        <w:t> </w:t>
      </w:r>
      <w:r>
        <w:rPr/>
        <w:t>reason</w:t>
      </w:r>
      <w:r>
        <w:rPr>
          <w:spacing w:val="-26"/>
        </w:rPr>
        <w:t> </w:t>
      </w:r>
      <w:r>
        <w:rPr/>
        <w:t>for</w:t>
      </w:r>
      <w:r>
        <w:rPr>
          <w:spacing w:val="-23"/>
        </w:rPr>
        <w:t> </w:t>
      </w:r>
      <w:r>
        <w:rPr/>
        <w:t>heart</w:t>
      </w:r>
      <w:r>
        <w:rPr>
          <w:spacing w:val="-24"/>
        </w:rPr>
        <w:t> </w:t>
      </w:r>
      <w:r>
        <w:rPr/>
        <w:t>attacks</w:t>
      </w:r>
      <w:r>
        <w:rPr>
          <w:spacing w:val="-24"/>
        </w:rPr>
        <w:t> </w:t>
      </w:r>
      <w:r>
        <w:rPr/>
        <w:t>and</w:t>
      </w:r>
      <w:r>
        <w:rPr>
          <w:spacing w:val="-24"/>
        </w:rPr>
        <w:t> </w:t>
      </w:r>
      <w:r>
        <w:rPr/>
        <w:t>strokes, which</w:t>
      </w:r>
      <w:r>
        <w:rPr>
          <w:spacing w:val="-18"/>
        </w:rPr>
        <w:t> </w:t>
      </w:r>
      <w:r>
        <w:rPr/>
        <w:t>account</w:t>
      </w:r>
      <w:r>
        <w:rPr>
          <w:spacing w:val="-18"/>
        </w:rPr>
        <w:t> </w:t>
      </w:r>
      <w:r>
        <w:rPr/>
        <w:t>for</w:t>
      </w:r>
      <w:r>
        <w:rPr>
          <w:spacing w:val="-17"/>
        </w:rPr>
        <w:t> </w:t>
      </w:r>
      <w:r>
        <w:rPr/>
        <w:t>50</w:t>
      </w:r>
      <w:r>
        <w:rPr>
          <w:spacing w:val="-19"/>
        </w:rPr>
        <w:t> </w:t>
      </w:r>
      <w:r>
        <w:rPr/>
        <w:t>%</w:t>
      </w:r>
      <w:r>
        <w:rPr>
          <w:spacing w:val="-18"/>
        </w:rPr>
        <w:t> </w:t>
      </w:r>
      <w:r>
        <w:rPr/>
        <w:t>of</w:t>
      </w:r>
      <w:r>
        <w:rPr>
          <w:spacing w:val="-18"/>
        </w:rPr>
        <w:t> </w:t>
      </w:r>
      <w:r>
        <w:rPr/>
        <w:t>the</w:t>
      </w:r>
      <w:r>
        <w:rPr>
          <w:spacing w:val="-20"/>
        </w:rPr>
        <w:t> </w:t>
      </w:r>
      <w:r>
        <w:rPr/>
        <w:t>death</w:t>
      </w:r>
      <w:r>
        <w:rPr>
          <w:spacing w:val="-18"/>
        </w:rPr>
        <w:t> </w:t>
      </w:r>
      <w:r>
        <w:rPr/>
        <w:t>statistics</w:t>
      </w:r>
      <w:r>
        <w:rPr>
          <w:spacing w:val="-18"/>
        </w:rPr>
        <w:t> </w:t>
      </w:r>
      <w:r>
        <w:rPr/>
        <w:t>in</w:t>
      </w:r>
      <w:r>
        <w:rPr>
          <w:spacing w:val="-18"/>
        </w:rPr>
        <w:t> </w:t>
      </w:r>
      <w:r>
        <w:rPr/>
        <w:t>industrial</w:t>
      </w:r>
      <w:r>
        <w:rPr>
          <w:spacing w:val="-19"/>
        </w:rPr>
        <w:t> </w:t>
      </w:r>
      <w:r>
        <w:rPr/>
        <w:t>countries.</w:t>
      </w:r>
      <w:r>
        <w:rPr>
          <w:spacing w:val="-18"/>
        </w:rPr>
        <w:t> </w:t>
      </w:r>
      <w:r>
        <w:rPr/>
        <w:t>Medicinal mushrooms such as Reishi demonstrated a positive effect against atheroscle- rosis in</w:t>
      </w:r>
      <w:r>
        <w:rPr>
          <w:spacing w:val="-1"/>
        </w:rPr>
        <w:t> </w:t>
      </w:r>
      <w:r>
        <w:rPr/>
        <w:t>studies.</w:t>
      </w:r>
      <w:r>
        <w:rPr>
          <w:position w:val="9"/>
          <w:sz w:val="25"/>
        </w:rPr>
        <w:t>926</w:t>
      </w:r>
    </w:p>
    <w:p>
      <w:pPr>
        <w:pStyle w:val="Heading1"/>
        <w:spacing w:line="261" w:lineRule="auto"/>
        <w:ind w:left="616" w:right="138"/>
      </w:pPr>
      <w:r>
        <w:rPr/>
        <w:t>Study</w:t>
      </w:r>
      <w:r>
        <w:rPr>
          <w:spacing w:val="-50"/>
        </w:rPr>
        <w:t> </w:t>
      </w:r>
      <w:r>
        <w:rPr/>
        <w:t>regarding</w:t>
      </w:r>
      <w:r>
        <w:rPr>
          <w:spacing w:val="-50"/>
        </w:rPr>
        <w:t> </w:t>
      </w:r>
      <w:r>
        <w:rPr/>
        <w:t>the</w:t>
      </w:r>
      <w:r>
        <w:rPr>
          <w:spacing w:val="-50"/>
        </w:rPr>
        <w:t> </w:t>
      </w:r>
      <w:r>
        <w:rPr/>
        <w:t>effect</w:t>
      </w:r>
      <w:r>
        <w:rPr>
          <w:spacing w:val="-51"/>
        </w:rPr>
        <w:t> </w:t>
      </w:r>
      <w:r>
        <w:rPr/>
        <w:t>of</w:t>
      </w:r>
      <w:r>
        <w:rPr>
          <w:spacing w:val="-49"/>
        </w:rPr>
        <w:t> </w:t>
      </w:r>
      <w:r>
        <w:rPr/>
        <w:t>Reishi-Lingzhi</w:t>
      </w:r>
      <w:r>
        <w:rPr>
          <w:spacing w:val="-50"/>
        </w:rPr>
        <w:t> </w:t>
      </w:r>
      <w:r>
        <w:rPr/>
        <w:t>in</w:t>
      </w:r>
      <w:r>
        <w:rPr>
          <w:spacing w:val="-51"/>
        </w:rPr>
        <w:t> </w:t>
      </w:r>
      <w:r>
        <w:rPr/>
        <w:t>liver</w:t>
      </w:r>
      <w:r>
        <w:rPr>
          <w:spacing w:val="-51"/>
        </w:rPr>
        <w:t> </w:t>
      </w:r>
      <w:r>
        <w:rPr/>
        <w:t>damage</w:t>
      </w:r>
      <w:r>
        <w:rPr>
          <w:spacing w:val="-50"/>
        </w:rPr>
        <w:t> </w:t>
      </w:r>
      <w:r>
        <w:rPr/>
        <w:t>caused</w:t>
      </w:r>
      <w:r>
        <w:rPr>
          <w:spacing w:val="-49"/>
        </w:rPr>
        <w:t> </w:t>
      </w:r>
      <w:r>
        <w:rPr/>
        <w:t>by harmful</w:t>
      </w:r>
      <w:r>
        <w:rPr>
          <w:spacing w:val="-8"/>
        </w:rPr>
        <w:t> </w:t>
      </w:r>
      <w:r>
        <w:rPr/>
        <w:t>substances</w:t>
      </w:r>
    </w:p>
    <w:p>
      <w:pPr>
        <w:pStyle w:val="BodyText"/>
        <w:spacing w:line="278" w:lineRule="auto" w:before="258"/>
        <w:ind w:left="616"/>
        <w:rPr>
          <w:sz w:val="25"/>
        </w:rPr>
      </w:pPr>
      <w:r>
        <w:rPr/>
        <w:t>In a series of tests conducted in China, Reishi-Lingzhi achieved a healing rate of 90 % in cases of liver inflammation caused by toxic substances.</w:t>
      </w:r>
      <w:r>
        <w:rPr>
          <w:position w:val="9"/>
          <w:sz w:val="25"/>
        </w:rPr>
        <w:t>927</w:t>
      </w:r>
    </w:p>
    <w:p>
      <w:pPr>
        <w:pStyle w:val="Heading1"/>
        <w:spacing w:before="216"/>
        <w:ind w:left="616"/>
      </w:pPr>
      <w:r>
        <w:rPr/>
        <w:t>Study regarding successful detoxification with Reishi-Lingzhi</w:t>
      </w:r>
    </w:p>
    <w:p>
      <w:pPr>
        <w:pStyle w:val="BodyText"/>
        <w:spacing w:line="276" w:lineRule="auto" w:before="299"/>
        <w:ind w:left="616" w:right="140"/>
        <w:rPr>
          <w:sz w:val="25"/>
        </w:rPr>
      </w:pPr>
      <w:r>
        <w:rPr/>
        <w:t>Liver function tests reduce significantly after successful administration of Reishi-Lingzhi.</w:t>
      </w:r>
      <w:r>
        <w:rPr>
          <w:position w:val="9"/>
          <w:sz w:val="25"/>
        </w:rPr>
        <w:t>928</w:t>
      </w:r>
    </w:p>
    <w:p>
      <w:pPr>
        <w:pStyle w:val="Heading1"/>
        <w:spacing w:line="264" w:lineRule="auto" w:before="221"/>
        <w:ind w:left="616"/>
      </w:pPr>
      <w:r>
        <w:rPr>
          <w:w w:val="95"/>
        </w:rPr>
        <w:t>Study regarding successful detoxification and liver therapy with Reishi- </w:t>
      </w:r>
      <w:r>
        <w:rPr/>
        <w:t>Lingzhi</w:t>
      </w:r>
    </w:p>
    <w:p>
      <w:pPr>
        <w:pStyle w:val="BodyText"/>
        <w:rPr>
          <w:b/>
          <w:i/>
          <w:sz w:val="20"/>
        </w:rPr>
      </w:pPr>
    </w:p>
    <w:p>
      <w:pPr>
        <w:pStyle w:val="BodyText"/>
        <w:rPr>
          <w:b/>
          <w:i/>
          <w:sz w:val="20"/>
        </w:rPr>
      </w:pPr>
    </w:p>
    <w:p>
      <w:pPr>
        <w:pStyle w:val="BodyText"/>
        <w:rPr>
          <w:b/>
          <w:i/>
          <w:sz w:val="20"/>
        </w:rPr>
      </w:pPr>
    </w:p>
    <w:p>
      <w:pPr>
        <w:pStyle w:val="BodyText"/>
        <w:spacing w:before="5"/>
        <w:rPr>
          <w:b/>
          <w:i/>
          <w:sz w:val="11"/>
        </w:rPr>
      </w:pPr>
      <w:r>
        <w:rPr/>
        <w:pict>
          <v:line style="position:absolute;mso-position-horizontal-relative:page;mso-position-vertical-relative:paragraph;z-index:12920;mso-wrap-distance-left:0;mso-wrap-distance-right:0" from="70.823997pt,8.789985pt" to="214.843997pt,8.789985pt" stroked="true" strokeweight=".72003pt" strokecolor="#000000">
            <v:stroke dashstyle="solid"/>
            <w10:wrap type="topAndBottom"/>
          </v:line>
        </w:pict>
      </w:r>
    </w:p>
    <w:p>
      <w:pPr>
        <w:pStyle w:val="BodyText"/>
        <w:spacing w:before="7"/>
        <w:rPr>
          <w:b/>
          <w:i/>
          <w:sz w:val="18"/>
        </w:rPr>
      </w:pPr>
    </w:p>
    <w:p>
      <w:pPr>
        <w:spacing w:line="273" w:lineRule="auto" w:before="99"/>
        <w:ind w:left="616" w:right="454" w:firstLine="0"/>
        <w:jc w:val="left"/>
        <w:rPr>
          <w:sz w:val="20"/>
        </w:rPr>
      </w:pPr>
      <w:r>
        <w:rPr>
          <w:position w:val="5"/>
          <w:sz w:val="13"/>
        </w:rPr>
        <w:t>925 </w:t>
      </w:r>
      <w:r>
        <w:rPr>
          <w:sz w:val="20"/>
        </w:rPr>
        <w:t>Wachtel-Galor S. et al.: Ganoderma lucidum (‘Lingzhi’), a Chinese medicinal mushroom: biomarker responses in a controlled human supple- mentation study. Br J Nutr. 2004 Feb, 91 (2) , pp. 263-269.</w:t>
      </w:r>
    </w:p>
    <w:p>
      <w:pPr>
        <w:spacing w:line="276" w:lineRule="auto" w:before="63"/>
        <w:ind w:left="616" w:right="146" w:firstLine="0"/>
        <w:jc w:val="left"/>
        <w:rPr>
          <w:sz w:val="20"/>
        </w:rPr>
      </w:pPr>
      <w:r>
        <w:rPr>
          <w:position w:val="5"/>
          <w:sz w:val="13"/>
        </w:rPr>
        <w:t>926 </w:t>
      </w:r>
      <w:r>
        <w:rPr>
          <w:sz w:val="20"/>
        </w:rPr>
        <w:t>Li Khva Ren et al.: Anti-atherosclerotic properties of higher mushrooms (a clinico-experimental investigation) Vopr Pitan. 1989 Jan-Feb, (1), pp. 16-19.</w:t>
      </w:r>
    </w:p>
    <w:p>
      <w:pPr>
        <w:spacing w:before="61"/>
        <w:ind w:left="616" w:right="0" w:firstLine="0"/>
        <w:jc w:val="left"/>
        <w:rPr>
          <w:sz w:val="20"/>
        </w:rPr>
      </w:pPr>
      <w:r>
        <w:rPr>
          <w:position w:val="5"/>
          <w:sz w:val="13"/>
        </w:rPr>
        <w:t>927 </w:t>
      </w:r>
      <w:r>
        <w:rPr>
          <w:sz w:val="20"/>
        </w:rPr>
        <w:t>Hobbs 1995, p. 103</w:t>
      </w:r>
    </w:p>
    <w:p>
      <w:pPr>
        <w:spacing w:before="94"/>
        <w:ind w:left="616" w:right="0" w:firstLine="0"/>
        <w:jc w:val="left"/>
        <w:rPr>
          <w:sz w:val="20"/>
        </w:rPr>
      </w:pPr>
      <w:r>
        <w:rPr>
          <w:position w:val="5"/>
          <w:sz w:val="13"/>
        </w:rPr>
        <w:t>928 </w:t>
      </w:r>
      <w:r>
        <w:rPr>
          <w:sz w:val="20"/>
        </w:rPr>
        <w:t>Schulten 1999, p. 63</w:t>
      </w:r>
    </w:p>
    <w:p>
      <w:pPr>
        <w:spacing w:after="0"/>
        <w:jc w:val="left"/>
        <w:rPr>
          <w:sz w:val="20"/>
        </w:rPr>
        <w:sectPr>
          <w:footerReference w:type="default" r:id="rId437"/>
          <w:pgSz w:w="14270" w:h="16850"/>
          <w:pgMar w:footer="1984" w:header="0" w:top="1320" w:bottom="2180" w:left="800" w:right="1280"/>
          <w:pgNumType w:start="1682"/>
        </w:sectPr>
      </w:pPr>
    </w:p>
    <w:p>
      <w:pPr>
        <w:pStyle w:val="BodyText"/>
        <w:spacing w:line="276" w:lineRule="auto" w:before="74"/>
        <w:ind w:left="616" w:right="139"/>
        <w:rPr>
          <w:sz w:val="25"/>
        </w:rPr>
      </w:pPr>
      <w:r>
        <w:rPr/>
        <w:t>A clinical report from China attested to a success rate of 90 % in the use of Reishi-Lingzhi for toxic hepatitis in a study of 70,000 patients.</w:t>
      </w:r>
      <w:r>
        <w:rPr>
          <w:position w:val="9"/>
          <w:sz w:val="25"/>
        </w:rPr>
        <w:t>929</w:t>
      </w:r>
    </w:p>
    <w:p>
      <w:pPr>
        <w:pStyle w:val="Heading1"/>
        <w:spacing w:before="221"/>
        <w:ind w:left="616"/>
      </w:pPr>
      <w:r>
        <w:rPr/>
        <w:t>Study into the use of Reishi in hepatitis B</w:t>
      </w:r>
    </w:p>
    <w:p>
      <w:pPr>
        <w:pStyle w:val="BodyText"/>
        <w:spacing w:line="278" w:lineRule="auto" w:before="300"/>
        <w:ind w:left="616"/>
        <w:rPr>
          <w:sz w:val="25"/>
        </w:rPr>
      </w:pPr>
      <w:r>
        <w:rPr/>
        <w:t>355 patients with chronic hepatitis were treated with Reishi in China. There was a positive reaction in 92.4 % of patients after just a short period.</w:t>
      </w:r>
      <w:r>
        <w:rPr>
          <w:position w:val="9"/>
          <w:sz w:val="25"/>
        </w:rPr>
        <w:t>930</w:t>
      </w:r>
    </w:p>
    <w:p>
      <w:pPr>
        <w:pStyle w:val="Heading1"/>
        <w:spacing w:before="215"/>
        <w:ind w:left="616"/>
      </w:pPr>
      <w:r>
        <w:rPr/>
        <w:t>Studies into the use of Reishi for arthritis</w:t>
      </w:r>
    </w:p>
    <w:p>
      <w:pPr>
        <w:pStyle w:val="BodyText"/>
        <w:spacing w:line="276" w:lineRule="auto" w:before="299"/>
        <w:ind w:left="616" w:right="52"/>
        <w:rPr>
          <w:sz w:val="25"/>
        </w:rPr>
      </w:pPr>
      <w:r>
        <w:rPr/>
        <w:t>In studies of arthritis patients, the inflammatory markers could be significantly reduced in comparison to the control group.</w:t>
      </w:r>
      <w:r>
        <w:rPr>
          <w:position w:val="9"/>
          <w:sz w:val="25"/>
        </w:rPr>
        <w:t>931</w:t>
      </w:r>
    </w:p>
    <w:p>
      <w:pPr>
        <w:pStyle w:val="Heading1"/>
        <w:ind w:left="616"/>
      </w:pPr>
      <w:r>
        <w:rPr/>
        <w:t>Damage caused by smoking lowered by 25 % in studies.</w:t>
      </w:r>
    </w:p>
    <w:p>
      <w:pPr>
        <w:pStyle w:val="BodyText"/>
        <w:spacing w:line="278" w:lineRule="auto" w:before="297"/>
        <w:ind w:left="616"/>
        <w:rPr>
          <w:sz w:val="25"/>
        </w:rPr>
      </w:pPr>
      <w:r>
        <w:rPr/>
        <w:t>Studies showed the Reishi mushroom could reduce symptoms of disease caused by nicotine by up to 25 %.</w:t>
      </w:r>
      <w:r>
        <w:rPr>
          <w:position w:val="9"/>
          <w:sz w:val="25"/>
        </w:rPr>
        <w:t>932</w:t>
      </w:r>
    </w:p>
    <w:p>
      <w:pPr>
        <w:pStyle w:val="Heading1"/>
        <w:spacing w:line="264" w:lineRule="auto" w:before="215"/>
        <w:ind w:left="616" w:right="62"/>
      </w:pPr>
      <w:r>
        <w:rPr/>
        <w:t>Reishi-Lingzhi tested as safe and free from side effects in studies on humans</w:t>
      </w:r>
    </w:p>
    <w:p>
      <w:pPr>
        <w:pStyle w:val="BodyText"/>
        <w:spacing w:line="276" w:lineRule="auto" w:before="251"/>
        <w:ind w:left="616"/>
        <w:rPr>
          <w:sz w:val="25"/>
        </w:rPr>
      </w:pPr>
      <w:r>
        <w:rPr/>
        <w:t>Clinical studies on humans were able to prove that the ingestion of Reishi is harmless to health and free from side effects.</w:t>
      </w:r>
      <w:r>
        <w:rPr>
          <w:position w:val="9"/>
          <w:sz w:val="25"/>
        </w:rPr>
        <w:t>933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2"/>
        </w:rPr>
      </w:pPr>
      <w:r>
        <w:rPr/>
        <w:pict>
          <v:line style="position:absolute;mso-position-horizontal-relative:page;mso-position-vertical-relative:paragraph;z-index:12944;mso-wrap-distance-left:0;mso-wrap-distance-right:0" from="70.823997pt,9.332515pt" to="214.843997pt,9.332515pt" stroked="true" strokeweight=".71997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929 </w:t>
      </w:r>
      <w:r>
        <w:rPr>
          <w:sz w:val="20"/>
        </w:rPr>
        <w:t>Werner Goller: Was verschweigt die Schulmedizin? (‘What Does Conventional Medicine Conceal?’), 2009, p. 145</w:t>
      </w:r>
    </w:p>
    <w:p>
      <w:pPr>
        <w:spacing w:before="94"/>
        <w:ind w:left="616" w:right="0" w:firstLine="0"/>
        <w:jc w:val="left"/>
        <w:rPr>
          <w:sz w:val="20"/>
        </w:rPr>
      </w:pPr>
      <w:r>
        <w:rPr>
          <w:position w:val="5"/>
          <w:sz w:val="13"/>
        </w:rPr>
        <w:t>930 </w:t>
      </w:r>
      <w:r>
        <w:rPr>
          <w:sz w:val="20"/>
        </w:rPr>
        <w:t>Gesellschaft für Vitalpilzkunde e.V.</w:t>
      </w:r>
    </w:p>
    <w:p>
      <w:pPr>
        <w:spacing w:line="273" w:lineRule="auto" w:before="95"/>
        <w:ind w:left="616" w:right="0" w:firstLine="0"/>
        <w:jc w:val="left"/>
        <w:rPr>
          <w:sz w:val="20"/>
        </w:rPr>
      </w:pPr>
      <w:r>
        <w:rPr>
          <w:position w:val="5"/>
          <w:sz w:val="13"/>
        </w:rPr>
        <w:t>931 </w:t>
      </w:r>
      <w:r>
        <w:rPr>
          <w:sz w:val="20"/>
        </w:rPr>
        <w:t>Xi Bao Y. et al.: Immunomodulatory effects of lingzhi and san-miao-san supplementation on patients with rheumatoid arthritis. Immunophar- macol Immunotoxicol. 2006, 28 (2), pp. 197-200.</w:t>
      </w:r>
    </w:p>
    <w:p>
      <w:pPr>
        <w:spacing w:before="63"/>
        <w:ind w:left="616" w:right="0" w:firstLine="0"/>
        <w:jc w:val="left"/>
        <w:rPr>
          <w:rFonts w:ascii="Calibri"/>
          <w:sz w:val="16"/>
        </w:rPr>
      </w:pPr>
      <w:r>
        <w:rPr>
          <w:rFonts w:ascii="Calibri"/>
          <w:position w:val="5"/>
          <w:sz w:val="10"/>
        </w:rPr>
        <w:t>932 </w:t>
      </w:r>
      <w:r>
        <w:rPr>
          <w:rFonts w:ascii="Calibri"/>
          <w:sz w:val="16"/>
        </w:rPr>
        <w:t>Schmaus et al. n.d.</w:t>
      </w:r>
    </w:p>
    <w:p>
      <w:pPr>
        <w:spacing w:line="276" w:lineRule="auto" w:before="90"/>
        <w:ind w:left="616" w:right="244" w:firstLine="0"/>
        <w:jc w:val="left"/>
        <w:rPr>
          <w:sz w:val="20"/>
        </w:rPr>
      </w:pPr>
      <w:r>
        <w:rPr>
          <w:position w:val="5"/>
          <w:sz w:val="13"/>
        </w:rPr>
        <w:t>933 </w:t>
      </w:r>
      <w:r>
        <w:rPr>
          <w:sz w:val="20"/>
        </w:rPr>
        <w:t>Wicks S. M. et al.: Safety and tolerability of Ganoderma lucidum in healthy subjects: a double-blind randomized placebo-controlled trial. Am J Chin Med. 2007, 35 (3), pp. 407-414</w:t>
      </w:r>
    </w:p>
    <w:p>
      <w:pPr>
        <w:spacing w:after="0" w:line="276" w:lineRule="auto"/>
        <w:jc w:val="left"/>
        <w:rPr>
          <w:sz w:val="20"/>
        </w:rPr>
        <w:sectPr>
          <w:pgSz w:w="14270" w:h="16850"/>
          <w:pgMar w:header="0" w:footer="1984" w:top="1340" w:bottom="2180" w:left="800" w:right="1280"/>
        </w:sectPr>
      </w:pPr>
    </w:p>
    <w:p>
      <w:pPr>
        <w:pStyle w:val="BodyText"/>
        <w:rPr>
          <w:sz w:val="20"/>
        </w:rPr>
      </w:pPr>
    </w:p>
    <w:p>
      <w:pPr>
        <w:pStyle w:val="BodyText"/>
        <w:spacing w:before="3"/>
        <w:rPr>
          <w:sz w:val="16"/>
        </w:rPr>
      </w:pPr>
    </w:p>
    <w:p>
      <w:pPr>
        <w:pStyle w:val="Heading2"/>
        <w:spacing w:before="100"/>
        <w:ind w:left="616"/>
      </w:pPr>
      <w:r>
        <w:rPr/>
        <w:t>Application and ingestion of Reishi-Lingzhi</w:t>
      </w:r>
    </w:p>
    <w:p>
      <w:pPr>
        <w:pStyle w:val="BodyText"/>
        <w:spacing w:line="276" w:lineRule="auto" w:before="302"/>
        <w:ind w:left="616" w:right="139"/>
        <w:jc w:val="both"/>
      </w:pPr>
      <w:r>
        <w:rPr/>
        <w:t>As previously mentioned, Reishi is rarely used as a mushroom in cooking due to its tough or hard consistency; this is why Reishi is largely administered as a Reishi powder (made from dried Reishi mushroom) and as Reishi extracts.</w:t>
      </w:r>
    </w:p>
    <w:p>
      <w:pPr>
        <w:pStyle w:val="BodyText"/>
        <w:spacing w:line="276" w:lineRule="auto" w:before="239"/>
        <w:ind w:left="616" w:right="135"/>
        <w:jc w:val="both"/>
      </w:pPr>
      <w:r>
        <w:rPr/>
        <w:t>Both have their advantages and disadvantages: While the powder provides</w:t>
      </w:r>
      <w:r>
        <w:rPr>
          <w:spacing w:val="-64"/>
        </w:rPr>
        <w:t> </w:t>
      </w:r>
      <w:r>
        <w:rPr/>
        <w:t>the complete, natural ‘composition’ which Reishi also provides in the correct</w:t>
      </w:r>
      <w:r>
        <w:rPr>
          <w:spacing w:val="-60"/>
        </w:rPr>
        <w:t> </w:t>
      </w:r>
      <w:r>
        <w:rPr/>
        <w:t>pro- portions</w:t>
      </w:r>
      <w:r>
        <w:rPr>
          <w:spacing w:val="-15"/>
        </w:rPr>
        <w:t> </w:t>
      </w:r>
      <w:r>
        <w:rPr/>
        <w:t>with</w:t>
      </w:r>
      <w:r>
        <w:rPr>
          <w:spacing w:val="-15"/>
        </w:rPr>
        <w:t> </w:t>
      </w:r>
      <w:r>
        <w:rPr/>
        <w:t>all</w:t>
      </w:r>
      <w:r>
        <w:rPr>
          <w:spacing w:val="-16"/>
        </w:rPr>
        <w:t> </w:t>
      </w:r>
      <w:r>
        <w:rPr/>
        <w:t>its</w:t>
      </w:r>
      <w:r>
        <w:rPr>
          <w:spacing w:val="-15"/>
        </w:rPr>
        <w:t> </w:t>
      </w:r>
      <w:r>
        <w:rPr/>
        <w:t>components,</w:t>
      </w:r>
      <w:r>
        <w:rPr>
          <w:spacing w:val="-17"/>
        </w:rPr>
        <w:t> </w:t>
      </w:r>
      <w:r>
        <w:rPr/>
        <w:t>extracts</w:t>
      </w:r>
      <w:r>
        <w:rPr>
          <w:spacing w:val="-15"/>
        </w:rPr>
        <w:t> </w:t>
      </w:r>
      <w:r>
        <w:rPr/>
        <w:t>are</w:t>
      </w:r>
      <w:r>
        <w:rPr>
          <w:spacing w:val="-15"/>
        </w:rPr>
        <w:t> </w:t>
      </w:r>
      <w:r>
        <w:rPr/>
        <w:t>able</w:t>
      </w:r>
      <w:r>
        <w:rPr>
          <w:spacing w:val="-15"/>
        </w:rPr>
        <w:t> </w:t>
      </w:r>
      <w:r>
        <w:rPr/>
        <w:t>to</w:t>
      </w:r>
      <w:r>
        <w:rPr>
          <w:spacing w:val="-15"/>
        </w:rPr>
        <w:t> </w:t>
      </w:r>
      <w:r>
        <w:rPr/>
        <w:t>provide</w:t>
      </w:r>
      <w:r>
        <w:rPr>
          <w:spacing w:val="-15"/>
        </w:rPr>
        <w:t> </w:t>
      </w:r>
      <w:r>
        <w:rPr/>
        <w:t>certain</w:t>
      </w:r>
      <w:r>
        <w:rPr>
          <w:spacing w:val="-15"/>
        </w:rPr>
        <w:t> </w:t>
      </w:r>
      <w:r>
        <w:rPr/>
        <w:t>important ingredients</w:t>
      </w:r>
      <w:r>
        <w:rPr>
          <w:spacing w:val="-21"/>
        </w:rPr>
        <w:t> </w:t>
      </w:r>
      <w:r>
        <w:rPr/>
        <w:t>with</w:t>
      </w:r>
      <w:r>
        <w:rPr>
          <w:spacing w:val="-21"/>
        </w:rPr>
        <w:t> </w:t>
      </w:r>
      <w:r>
        <w:rPr/>
        <w:t>greater</w:t>
      </w:r>
      <w:r>
        <w:rPr>
          <w:spacing w:val="-20"/>
        </w:rPr>
        <w:t> </w:t>
      </w:r>
      <w:r>
        <w:rPr/>
        <w:t>intensity.</w:t>
      </w:r>
      <w:r>
        <w:rPr>
          <w:spacing w:val="-23"/>
        </w:rPr>
        <w:t> </w:t>
      </w:r>
      <w:r>
        <w:rPr/>
        <w:t>Reishi</w:t>
      </w:r>
      <w:r>
        <w:rPr>
          <w:spacing w:val="-21"/>
        </w:rPr>
        <w:t> </w:t>
      </w:r>
      <w:r>
        <w:rPr/>
        <w:t>powder</w:t>
      </w:r>
      <w:r>
        <w:rPr>
          <w:spacing w:val="-21"/>
        </w:rPr>
        <w:t> </w:t>
      </w:r>
      <w:r>
        <w:rPr/>
        <w:t>and</w:t>
      </w:r>
      <w:r>
        <w:rPr>
          <w:spacing w:val="-21"/>
        </w:rPr>
        <w:t> </w:t>
      </w:r>
      <w:r>
        <w:rPr/>
        <w:t>capsules</w:t>
      </w:r>
      <w:r>
        <w:rPr>
          <w:spacing w:val="-20"/>
        </w:rPr>
        <w:t> </w:t>
      </w:r>
      <w:r>
        <w:rPr/>
        <w:t>with</w:t>
      </w:r>
      <w:r>
        <w:rPr>
          <w:spacing w:val="-21"/>
        </w:rPr>
        <w:t> </w:t>
      </w:r>
      <w:r>
        <w:rPr/>
        <w:t>Reishi</w:t>
      </w:r>
      <w:r>
        <w:rPr>
          <w:spacing w:val="-21"/>
        </w:rPr>
        <w:t> </w:t>
      </w:r>
      <w:r>
        <w:rPr/>
        <w:t>pow- der are extremely suitable for prophylaxis (prevention of disease), however in the event of disease, a combination of both makes much more</w:t>
      </w:r>
      <w:r>
        <w:rPr>
          <w:spacing w:val="-8"/>
        </w:rPr>
        <w:t> </w:t>
      </w:r>
      <w:r>
        <w:rPr/>
        <w:t>sense!</w:t>
      </w:r>
    </w:p>
    <w:p>
      <w:pPr>
        <w:spacing w:after="0" w:line="276" w:lineRule="auto"/>
        <w:jc w:val="both"/>
        <w:sectPr>
          <w:footerReference w:type="default" r:id="rId438"/>
          <w:pgSz w:w="14270" w:h="16850"/>
          <w:pgMar w:footer="1891" w:header="0" w:top="1600" w:bottom="2080" w:left="800" w:right="1280"/>
          <w:pgNumType w:start="1684"/>
        </w:sectPr>
      </w:pPr>
    </w:p>
    <w:p>
      <w:pPr>
        <w:pStyle w:val="Heading2"/>
        <w:spacing w:before="74"/>
        <w:ind w:left="616"/>
        <w:jc w:val="both"/>
      </w:pPr>
      <w:r>
        <w:rPr/>
        <w:t>Shiitake, Shii-take mushroom, Lentinula edodes</w:t>
      </w:r>
    </w:p>
    <w:p>
      <w:pPr>
        <w:pStyle w:val="BodyText"/>
        <w:spacing w:line="276" w:lineRule="auto" w:before="305"/>
        <w:ind w:left="616" w:right="132"/>
        <w:jc w:val="both"/>
      </w:pPr>
      <w:r>
        <w:rPr/>
        <w:t>Whereas Reishi mushrooms are used almost exclusively in the form of con- centrations, Shiitake has always been used as both an edible and medicinal mushroom.</w:t>
      </w:r>
    </w:p>
    <w:p>
      <w:pPr>
        <w:pStyle w:val="BodyText"/>
        <w:spacing w:line="276" w:lineRule="auto" w:before="238"/>
        <w:ind w:left="616" w:right="132"/>
        <w:jc w:val="both"/>
      </w:pPr>
      <w:r>
        <w:rPr/>
        <w:t>Thus,</w:t>
      </w:r>
      <w:r>
        <w:rPr>
          <w:spacing w:val="-18"/>
        </w:rPr>
        <w:t> </w:t>
      </w:r>
      <w:r>
        <w:rPr/>
        <w:t>medicinal</w:t>
      </w:r>
      <w:r>
        <w:rPr>
          <w:spacing w:val="-16"/>
        </w:rPr>
        <w:t> </w:t>
      </w:r>
      <w:r>
        <w:rPr/>
        <w:t>mushroom</w:t>
      </w:r>
      <w:r>
        <w:rPr>
          <w:spacing w:val="-18"/>
        </w:rPr>
        <w:t> </w:t>
      </w:r>
      <w:r>
        <w:rPr/>
        <w:t>researcher</w:t>
      </w:r>
      <w:r>
        <w:rPr>
          <w:spacing w:val="-17"/>
        </w:rPr>
        <w:t> </w:t>
      </w:r>
      <w:r>
        <w:rPr/>
        <w:t>Dr.</w:t>
      </w:r>
      <w:r>
        <w:rPr>
          <w:spacing w:val="-18"/>
        </w:rPr>
        <w:t> </w:t>
      </w:r>
      <w:r>
        <w:rPr/>
        <w:t>Jürgen</w:t>
      </w:r>
      <w:r>
        <w:rPr>
          <w:spacing w:val="-20"/>
        </w:rPr>
        <w:t> </w:t>
      </w:r>
      <w:r>
        <w:rPr/>
        <w:t>Weihofen</w:t>
      </w:r>
      <w:r>
        <w:rPr>
          <w:spacing w:val="-17"/>
        </w:rPr>
        <w:t> </w:t>
      </w:r>
      <w:r>
        <w:rPr/>
        <w:t>describes</w:t>
      </w:r>
      <w:r>
        <w:rPr>
          <w:spacing w:val="-18"/>
        </w:rPr>
        <w:t> </w:t>
      </w:r>
      <w:r>
        <w:rPr/>
        <w:t>Shiitake as the Reishi mushroom’s ‘little brother’</w:t>
      </w:r>
      <w:r>
        <w:rPr>
          <w:position w:val="9"/>
          <w:sz w:val="25"/>
        </w:rPr>
        <w:t>934</w:t>
      </w:r>
      <w:r>
        <w:rPr/>
        <w:t>, not because of the close botanical relationship, but because of the equally impressive effects on our well-being and health.</w:t>
      </w:r>
    </w:p>
    <w:p>
      <w:pPr>
        <w:pStyle w:val="BodyText"/>
        <w:spacing w:line="276" w:lineRule="auto" w:before="243"/>
        <w:ind w:left="616" w:right="138"/>
        <w:jc w:val="both"/>
      </w:pPr>
      <w:r>
        <w:rPr/>
        <w:t>While Shiitake cannot replace Reishi in terms of its health properties, its culi- nary qualities have ensured that Reishi cannot hold a candle to the popularity of this mushroom.</w:t>
      </w:r>
    </w:p>
    <w:p>
      <w:pPr>
        <w:pStyle w:val="BodyText"/>
        <w:spacing w:line="278" w:lineRule="auto" w:before="238"/>
        <w:ind w:left="616" w:right="143"/>
        <w:jc w:val="both"/>
      </w:pPr>
      <w:r>
        <w:rPr/>
        <w:t>As an edible mushroom, Shiitake takes second place among the most popular mushrooms and its global campaign is unfaltering to date.</w:t>
      </w:r>
    </w:p>
    <w:p>
      <w:pPr>
        <w:pStyle w:val="BodyText"/>
        <w:spacing w:line="276" w:lineRule="auto" w:before="233"/>
        <w:ind w:left="616" w:right="134"/>
        <w:jc w:val="both"/>
      </w:pPr>
      <w:r>
        <w:rPr/>
        <w:t>One might think it is also a good thing that Shiitake has similar disease pre- venting and healing effects to Reishi and that humans increasingly have scourges to fight which the pharmaceutical industry has no idea how to con- trol.</w:t>
      </w:r>
    </w:p>
    <w:p>
      <w:pPr>
        <w:pStyle w:val="BodyText"/>
        <w:spacing w:line="278" w:lineRule="auto" w:before="239"/>
        <w:ind w:left="616" w:right="139"/>
        <w:jc w:val="both"/>
      </w:pPr>
      <w:r>
        <w:rPr/>
        <w:t>Therefore,</w:t>
      </w:r>
      <w:r>
        <w:rPr>
          <w:spacing w:val="-11"/>
        </w:rPr>
        <w:t> </w:t>
      </w:r>
      <w:r>
        <w:rPr/>
        <w:t>the</w:t>
      </w:r>
      <w:r>
        <w:rPr>
          <w:spacing w:val="-13"/>
        </w:rPr>
        <w:t> </w:t>
      </w:r>
      <w:r>
        <w:rPr/>
        <w:t>Shiitake</w:t>
      </w:r>
      <w:r>
        <w:rPr>
          <w:spacing w:val="-13"/>
        </w:rPr>
        <w:t> </w:t>
      </w:r>
      <w:r>
        <w:rPr/>
        <w:t>mushroom</w:t>
      </w:r>
      <w:r>
        <w:rPr>
          <w:spacing w:val="-11"/>
        </w:rPr>
        <w:t> </w:t>
      </w:r>
      <w:r>
        <w:rPr/>
        <w:t>is</w:t>
      </w:r>
      <w:r>
        <w:rPr>
          <w:spacing w:val="-11"/>
        </w:rPr>
        <w:t> </w:t>
      </w:r>
      <w:r>
        <w:rPr/>
        <w:t>not</w:t>
      </w:r>
      <w:r>
        <w:rPr>
          <w:spacing w:val="-12"/>
        </w:rPr>
        <w:t> </w:t>
      </w:r>
      <w:r>
        <w:rPr/>
        <w:t>only</w:t>
      </w:r>
      <w:r>
        <w:rPr>
          <w:spacing w:val="-12"/>
        </w:rPr>
        <w:t> </w:t>
      </w:r>
      <w:r>
        <w:rPr/>
        <w:t>a</w:t>
      </w:r>
      <w:r>
        <w:rPr>
          <w:spacing w:val="-13"/>
        </w:rPr>
        <w:t> </w:t>
      </w:r>
      <w:r>
        <w:rPr/>
        <w:t>culinary</w:t>
      </w:r>
      <w:r>
        <w:rPr>
          <w:spacing w:val="-11"/>
        </w:rPr>
        <w:t> </w:t>
      </w:r>
      <w:r>
        <w:rPr/>
        <w:t>experience,</w:t>
      </w:r>
      <w:r>
        <w:rPr>
          <w:spacing w:val="-11"/>
        </w:rPr>
        <w:t> </w:t>
      </w:r>
      <w:r>
        <w:rPr/>
        <w:t>rather</w:t>
      </w:r>
      <w:r>
        <w:rPr>
          <w:spacing w:val="-10"/>
        </w:rPr>
        <w:t> </w:t>
      </w:r>
      <w:r>
        <w:rPr/>
        <w:t>it</w:t>
      </w:r>
      <w:r>
        <w:rPr>
          <w:spacing w:val="-13"/>
        </w:rPr>
        <w:t> </w:t>
      </w:r>
      <w:r>
        <w:rPr/>
        <w:t>is an à la carte health</w:t>
      </w:r>
      <w:r>
        <w:rPr>
          <w:spacing w:val="-1"/>
        </w:rPr>
        <w:t> </w:t>
      </w:r>
      <w:r>
        <w:rPr/>
        <w:t>source.</w:t>
      </w:r>
    </w:p>
    <w:p>
      <w:pPr>
        <w:pStyle w:val="BodyText"/>
        <w:rPr>
          <w:sz w:val="20"/>
        </w:rPr>
      </w:pPr>
    </w:p>
    <w:p>
      <w:pPr>
        <w:pStyle w:val="BodyText"/>
        <w:rPr>
          <w:sz w:val="20"/>
        </w:rPr>
      </w:pPr>
    </w:p>
    <w:p>
      <w:pPr>
        <w:pStyle w:val="BodyText"/>
        <w:rPr>
          <w:sz w:val="20"/>
        </w:rPr>
      </w:pPr>
    </w:p>
    <w:p>
      <w:pPr>
        <w:pStyle w:val="BodyText"/>
        <w:spacing w:before="2"/>
        <w:rPr>
          <w:sz w:val="23"/>
        </w:rPr>
      </w:pPr>
      <w:r>
        <w:rPr/>
        <w:pict>
          <v:line style="position:absolute;mso-position-horizontal-relative:page;mso-position-vertical-relative:paragraph;z-index:12968;mso-wrap-distance-left:0;mso-wrap-distance-right:0" from="70.823997pt,15.397485pt" to="214.843997pt,15.397485pt" stroked="true" strokeweight=".72003pt" strokecolor="#000000">
            <v:stroke dashstyle="solid"/>
            <w10:wrap type="topAndBottom"/>
          </v:line>
        </w:pict>
      </w:r>
    </w:p>
    <w:p>
      <w:pPr>
        <w:pStyle w:val="BodyText"/>
        <w:spacing w:before="7"/>
        <w:rPr>
          <w:sz w:val="18"/>
        </w:rPr>
      </w:pPr>
    </w:p>
    <w:p>
      <w:pPr>
        <w:spacing w:line="276" w:lineRule="auto" w:before="99"/>
        <w:ind w:left="616" w:right="0" w:firstLine="0"/>
        <w:jc w:val="left"/>
        <w:rPr>
          <w:sz w:val="20"/>
        </w:rPr>
      </w:pPr>
      <w:r>
        <w:rPr>
          <w:position w:val="5"/>
          <w:sz w:val="13"/>
        </w:rPr>
        <w:t>934 </w:t>
      </w:r>
      <w:r>
        <w:rPr>
          <w:sz w:val="20"/>
        </w:rPr>
        <w:t>Dr. Jürgen Weihofen: Heilpilze Ling Zhi, Shiitake &amp; Co. schützen das Immunsystem (‘Medicinal Mushrooms Lingzhi, Shiitake &amp; Co Protect the Immune System’), 2001, p. 50</w:t>
      </w:r>
    </w:p>
    <w:p>
      <w:pPr>
        <w:spacing w:after="0" w:line="276" w:lineRule="auto"/>
        <w:jc w:val="left"/>
        <w:rPr>
          <w:sz w:val="20"/>
        </w:rPr>
        <w:sectPr>
          <w:pgSz w:w="14270" w:h="16850"/>
          <w:pgMar w:header="0" w:footer="1891" w:top="1340" w:bottom="2080" w:left="800" w:right="1280"/>
        </w:sectPr>
      </w:pPr>
    </w:p>
    <w:p>
      <w:pPr>
        <w:pStyle w:val="Heading1"/>
        <w:spacing w:before="77"/>
        <w:ind w:left="616"/>
        <w:jc w:val="both"/>
      </w:pPr>
      <w:r>
        <w:rPr/>
        <w:t>Name, origin, tradition</w:t>
      </w:r>
    </w:p>
    <w:p>
      <w:pPr>
        <w:pStyle w:val="BodyText"/>
        <w:spacing w:line="276" w:lineRule="auto" w:before="299"/>
        <w:ind w:left="616" w:right="139"/>
        <w:jc w:val="both"/>
      </w:pPr>
      <w:r>
        <w:rPr/>
        <w:t>The</w:t>
      </w:r>
      <w:r>
        <w:rPr>
          <w:spacing w:val="-13"/>
        </w:rPr>
        <w:t> </w:t>
      </w:r>
      <w:r>
        <w:rPr/>
        <w:t>Shiitake</w:t>
      </w:r>
      <w:r>
        <w:rPr>
          <w:spacing w:val="-15"/>
        </w:rPr>
        <w:t> </w:t>
      </w:r>
      <w:r>
        <w:rPr/>
        <w:t>mushroom</w:t>
      </w:r>
      <w:r>
        <w:rPr>
          <w:spacing w:val="-13"/>
        </w:rPr>
        <w:t> </w:t>
      </w:r>
      <w:r>
        <w:rPr/>
        <w:t>has</w:t>
      </w:r>
      <w:r>
        <w:rPr>
          <w:spacing w:val="-13"/>
        </w:rPr>
        <w:t> </w:t>
      </w:r>
      <w:r>
        <w:rPr/>
        <w:t>been</w:t>
      </w:r>
      <w:r>
        <w:rPr>
          <w:spacing w:val="-14"/>
        </w:rPr>
        <w:t> </w:t>
      </w:r>
      <w:r>
        <w:rPr/>
        <w:t>honoured</w:t>
      </w:r>
      <w:r>
        <w:rPr>
          <w:spacing w:val="-14"/>
        </w:rPr>
        <w:t> </w:t>
      </w:r>
      <w:r>
        <w:rPr/>
        <w:t>in</w:t>
      </w:r>
      <w:r>
        <w:rPr>
          <w:spacing w:val="-14"/>
        </w:rPr>
        <w:t> </w:t>
      </w:r>
      <w:r>
        <w:rPr/>
        <w:t>Asia</w:t>
      </w:r>
      <w:r>
        <w:rPr>
          <w:spacing w:val="-14"/>
        </w:rPr>
        <w:t> </w:t>
      </w:r>
      <w:r>
        <w:rPr/>
        <w:t>(Japan,</w:t>
      </w:r>
      <w:r>
        <w:rPr>
          <w:spacing w:val="-13"/>
        </w:rPr>
        <w:t> </w:t>
      </w:r>
      <w:r>
        <w:rPr/>
        <w:t>China)</w:t>
      </w:r>
      <w:r>
        <w:rPr>
          <w:spacing w:val="-14"/>
        </w:rPr>
        <w:t> </w:t>
      </w:r>
      <w:r>
        <w:rPr/>
        <w:t>as</w:t>
      </w:r>
      <w:r>
        <w:rPr>
          <w:spacing w:val="-14"/>
        </w:rPr>
        <w:t> </w:t>
      </w:r>
      <w:r>
        <w:rPr/>
        <w:t>an</w:t>
      </w:r>
      <w:r>
        <w:rPr>
          <w:spacing w:val="-14"/>
        </w:rPr>
        <w:t> </w:t>
      </w:r>
      <w:r>
        <w:rPr/>
        <w:t>edible and medicinal mushroom for thousands of years; the earliest medical records can be found between 1368 and</w:t>
      </w:r>
      <w:r>
        <w:rPr>
          <w:spacing w:val="3"/>
        </w:rPr>
        <w:t> </w:t>
      </w:r>
      <w:r>
        <w:rPr/>
        <w:t>1644.</w:t>
      </w:r>
    </w:p>
    <w:p>
      <w:pPr>
        <w:pStyle w:val="BodyText"/>
        <w:spacing w:line="276" w:lineRule="auto" w:before="239"/>
        <w:ind w:left="616" w:right="136"/>
        <w:jc w:val="both"/>
      </w:pPr>
      <w:r>
        <w:rPr/>
        <w:t>The</w:t>
      </w:r>
      <w:r>
        <w:rPr>
          <w:spacing w:val="-22"/>
        </w:rPr>
        <w:t> </w:t>
      </w:r>
      <w:r>
        <w:rPr/>
        <w:t>name</w:t>
      </w:r>
      <w:r>
        <w:rPr>
          <w:spacing w:val="-20"/>
        </w:rPr>
        <w:t> </w:t>
      </w:r>
      <w:r>
        <w:rPr/>
        <w:t>‘Shiitake’</w:t>
      </w:r>
      <w:r>
        <w:rPr>
          <w:spacing w:val="-21"/>
        </w:rPr>
        <w:t> </w:t>
      </w:r>
      <w:r>
        <w:rPr/>
        <w:t>is</w:t>
      </w:r>
      <w:r>
        <w:rPr>
          <w:spacing w:val="-22"/>
        </w:rPr>
        <w:t> </w:t>
      </w:r>
      <w:r>
        <w:rPr/>
        <w:t>composed</w:t>
      </w:r>
      <w:r>
        <w:rPr>
          <w:spacing w:val="-22"/>
        </w:rPr>
        <w:t> </w:t>
      </w:r>
      <w:r>
        <w:rPr/>
        <w:t>of</w:t>
      </w:r>
      <w:r>
        <w:rPr>
          <w:spacing w:val="-22"/>
        </w:rPr>
        <w:t> </w:t>
      </w:r>
      <w:r>
        <w:rPr/>
        <w:t>the</w:t>
      </w:r>
      <w:r>
        <w:rPr>
          <w:spacing w:val="-20"/>
        </w:rPr>
        <w:t> </w:t>
      </w:r>
      <w:r>
        <w:rPr/>
        <w:t>two</w:t>
      </w:r>
      <w:r>
        <w:rPr>
          <w:spacing w:val="-21"/>
        </w:rPr>
        <w:t> </w:t>
      </w:r>
      <w:r>
        <w:rPr/>
        <w:t>words</w:t>
      </w:r>
      <w:r>
        <w:rPr>
          <w:spacing w:val="-20"/>
        </w:rPr>
        <w:t> </w:t>
      </w:r>
      <w:r>
        <w:rPr/>
        <w:t>‘Shii’,</w:t>
      </w:r>
      <w:r>
        <w:rPr>
          <w:spacing w:val="-20"/>
        </w:rPr>
        <w:t> </w:t>
      </w:r>
      <w:r>
        <w:rPr/>
        <w:t>which</w:t>
      </w:r>
      <w:r>
        <w:rPr>
          <w:spacing w:val="-20"/>
        </w:rPr>
        <w:t> </w:t>
      </w:r>
      <w:r>
        <w:rPr/>
        <w:t>is</w:t>
      </w:r>
      <w:r>
        <w:rPr>
          <w:spacing w:val="-24"/>
        </w:rPr>
        <w:t> </w:t>
      </w:r>
      <w:r>
        <w:rPr/>
        <w:t>a</w:t>
      </w:r>
      <w:r>
        <w:rPr>
          <w:spacing w:val="-22"/>
        </w:rPr>
        <w:t> </w:t>
      </w:r>
      <w:r>
        <w:rPr/>
        <w:t>designation of</w:t>
      </w:r>
      <w:r>
        <w:rPr>
          <w:spacing w:val="-19"/>
        </w:rPr>
        <w:t> </w:t>
      </w:r>
      <w:r>
        <w:rPr/>
        <w:t>a</w:t>
      </w:r>
      <w:r>
        <w:rPr>
          <w:spacing w:val="-20"/>
        </w:rPr>
        <w:t> </w:t>
      </w:r>
      <w:r>
        <w:rPr/>
        <w:t>Japanese</w:t>
      </w:r>
      <w:r>
        <w:rPr>
          <w:spacing w:val="-20"/>
        </w:rPr>
        <w:t> </w:t>
      </w:r>
      <w:r>
        <w:rPr/>
        <w:t>sweet</w:t>
      </w:r>
      <w:r>
        <w:rPr>
          <w:spacing w:val="-19"/>
        </w:rPr>
        <w:t> </w:t>
      </w:r>
      <w:r>
        <w:rPr/>
        <w:t>chestnut</w:t>
      </w:r>
      <w:r>
        <w:rPr>
          <w:spacing w:val="-21"/>
        </w:rPr>
        <w:t> </w:t>
      </w:r>
      <w:r>
        <w:rPr/>
        <w:t>and</w:t>
      </w:r>
      <w:r>
        <w:rPr>
          <w:spacing w:val="-20"/>
        </w:rPr>
        <w:t> </w:t>
      </w:r>
      <w:r>
        <w:rPr/>
        <w:t>‘Take’</w:t>
      </w:r>
      <w:r>
        <w:rPr>
          <w:spacing w:val="-18"/>
        </w:rPr>
        <w:t> </w:t>
      </w:r>
      <w:r>
        <w:rPr/>
        <w:t>which</w:t>
      </w:r>
      <w:r>
        <w:rPr>
          <w:spacing w:val="-18"/>
        </w:rPr>
        <w:t> </w:t>
      </w:r>
      <w:r>
        <w:rPr/>
        <w:t>simply</w:t>
      </w:r>
      <w:r>
        <w:rPr>
          <w:spacing w:val="-19"/>
        </w:rPr>
        <w:t> </w:t>
      </w:r>
      <w:r>
        <w:rPr/>
        <w:t>means</w:t>
      </w:r>
      <w:r>
        <w:rPr>
          <w:spacing w:val="-18"/>
        </w:rPr>
        <w:t> </w:t>
      </w:r>
      <w:r>
        <w:rPr/>
        <w:t>mushroom.</w:t>
      </w:r>
      <w:r>
        <w:rPr>
          <w:spacing w:val="-18"/>
        </w:rPr>
        <w:t> </w:t>
      </w:r>
      <w:r>
        <w:rPr/>
        <w:t>Thus, Shiitake is the mushroom which grows on the trunk of the Japanese sweet chestnut; not infrequently bestowed the name ‘chestnut</w:t>
      </w:r>
      <w:r>
        <w:rPr>
          <w:spacing w:val="-7"/>
        </w:rPr>
        <w:t> </w:t>
      </w:r>
      <w:r>
        <w:rPr/>
        <w:t>mushroom’.</w:t>
      </w:r>
    </w:p>
    <w:p>
      <w:pPr>
        <w:pStyle w:val="Heading1"/>
        <w:spacing w:before="225"/>
        <w:ind w:left="616"/>
        <w:jc w:val="both"/>
      </w:pPr>
      <w:r>
        <w:rPr/>
        <w:t>Appearance and taste</w:t>
      </w:r>
    </w:p>
    <w:p>
      <w:pPr>
        <w:pStyle w:val="BodyText"/>
        <w:spacing w:line="276" w:lineRule="auto" w:before="297"/>
        <w:ind w:left="616" w:right="131"/>
        <w:jc w:val="both"/>
      </w:pPr>
      <w:r>
        <w:rPr/>
        <w:t>Shiitake has a classic mushroom shape, similar to button mushrooms. It is slightly brownish, has a stem and a light to dark brown cap with a diameter of 5-12</w:t>
      </w:r>
      <w:r>
        <w:rPr>
          <w:spacing w:val="-10"/>
        </w:rPr>
        <w:t> </w:t>
      </w:r>
      <w:r>
        <w:rPr/>
        <w:t>cm.</w:t>
      </w:r>
      <w:r>
        <w:rPr>
          <w:spacing w:val="-8"/>
        </w:rPr>
        <w:t> </w:t>
      </w:r>
      <w:r>
        <w:rPr/>
        <w:t>The</w:t>
      </w:r>
      <w:r>
        <w:rPr>
          <w:spacing w:val="-9"/>
        </w:rPr>
        <w:t> </w:t>
      </w:r>
      <w:r>
        <w:rPr/>
        <w:t>skin</w:t>
      </w:r>
      <w:r>
        <w:rPr>
          <w:spacing w:val="-8"/>
        </w:rPr>
        <w:t> </w:t>
      </w:r>
      <w:r>
        <w:rPr/>
        <w:t>of</w:t>
      </w:r>
      <w:r>
        <w:rPr>
          <w:spacing w:val="-11"/>
        </w:rPr>
        <w:t> </w:t>
      </w:r>
      <w:r>
        <w:rPr/>
        <w:t>the</w:t>
      </w:r>
      <w:r>
        <w:rPr>
          <w:spacing w:val="-11"/>
        </w:rPr>
        <w:t> </w:t>
      </w:r>
      <w:r>
        <w:rPr/>
        <w:t>cap</w:t>
      </w:r>
      <w:r>
        <w:rPr>
          <w:spacing w:val="-7"/>
        </w:rPr>
        <w:t> </w:t>
      </w:r>
      <w:r>
        <w:rPr/>
        <w:t>is</w:t>
      </w:r>
      <w:r>
        <w:rPr>
          <w:spacing w:val="-12"/>
        </w:rPr>
        <w:t> </w:t>
      </w:r>
      <w:r>
        <w:rPr/>
        <w:t>usually</w:t>
      </w:r>
      <w:r>
        <w:rPr>
          <w:spacing w:val="-9"/>
        </w:rPr>
        <w:t> </w:t>
      </w:r>
      <w:r>
        <w:rPr/>
        <w:t>covered</w:t>
      </w:r>
      <w:r>
        <w:rPr>
          <w:spacing w:val="-9"/>
        </w:rPr>
        <w:t> </w:t>
      </w:r>
      <w:r>
        <w:rPr/>
        <w:t>with</w:t>
      </w:r>
      <w:r>
        <w:rPr>
          <w:spacing w:val="-9"/>
        </w:rPr>
        <w:t> </w:t>
      </w:r>
      <w:r>
        <w:rPr/>
        <w:t>white</w:t>
      </w:r>
      <w:r>
        <w:rPr>
          <w:spacing w:val="-10"/>
        </w:rPr>
        <w:t> </w:t>
      </w:r>
      <w:r>
        <w:rPr/>
        <w:t>flecks,</w:t>
      </w:r>
      <w:r>
        <w:rPr>
          <w:spacing w:val="-10"/>
        </w:rPr>
        <w:t> </w:t>
      </w:r>
      <w:r>
        <w:rPr/>
        <w:t>and</w:t>
      </w:r>
      <w:r>
        <w:rPr>
          <w:spacing w:val="-9"/>
        </w:rPr>
        <w:t> </w:t>
      </w:r>
      <w:r>
        <w:rPr/>
        <w:t>the</w:t>
      </w:r>
      <w:r>
        <w:rPr>
          <w:spacing w:val="-8"/>
        </w:rPr>
        <w:t> </w:t>
      </w:r>
      <w:r>
        <w:rPr/>
        <w:t>stem is central or to the side of the</w:t>
      </w:r>
      <w:r>
        <w:rPr>
          <w:spacing w:val="1"/>
        </w:rPr>
        <w:t> </w:t>
      </w:r>
      <w:r>
        <w:rPr/>
        <w:t>cap.</w:t>
      </w:r>
    </w:p>
    <w:p>
      <w:pPr>
        <w:pStyle w:val="BodyText"/>
        <w:spacing w:line="278" w:lineRule="auto" w:before="239"/>
        <w:ind w:left="616" w:right="140"/>
        <w:jc w:val="both"/>
      </w:pPr>
      <w:r>
        <w:rPr/>
        <w:t>It tastes spicy or similar to a leek, and the Shiitake flesh is somewhat firmer than that of button mushrooms.</w:t>
      </w:r>
    </w:p>
    <w:p>
      <w:pPr>
        <w:pStyle w:val="BodyText"/>
        <w:spacing w:line="276" w:lineRule="auto" w:before="232"/>
        <w:ind w:left="616" w:right="133"/>
        <w:jc w:val="both"/>
      </w:pPr>
      <w:r>
        <w:rPr/>
        <w:t>There are two types of Shiitake: the Koshin, which has a wide opened mush- room cap and thin flesh, and the Donko, which has thicker flesh but a barely opened cap.</w:t>
      </w:r>
    </w:p>
    <w:p>
      <w:pPr>
        <w:spacing w:after="0" w:line="276" w:lineRule="auto"/>
        <w:jc w:val="both"/>
        <w:sectPr>
          <w:pgSz w:w="14270" w:h="16850"/>
          <w:pgMar w:header="0" w:footer="1891" w:top="1320" w:bottom="2080" w:left="800" w:right="1280"/>
        </w:sectPr>
      </w:pPr>
    </w:p>
    <w:p>
      <w:pPr>
        <w:pStyle w:val="Heading1"/>
        <w:spacing w:before="77"/>
        <w:ind w:left="616"/>
      </w:pPr>
      <w:r>
        <w:rPr/>
        <w:t>Occurrence and cultivation</w:t>
      </w:r>
    </w:p>
    <w:p>
      <w:pPr>
        <w:pStyle w:val="BodyText"/>
        <w:spacing w:line="276" w:lineRule="auto" w:before="299"/>
        <w:ind w:left="616" w:right="136"/>
        <w:jc w:val="both"/>
      </w:pPr>
      <w:r>
        <w:rPr/>
        <w:t>The Shiitake is native to Japan and China; this mushroom cannot grow at our latitude. Shiitake has been specifically cultivated in Asia for around one thou- sand years. In addition to chestnuts, oak trees, beech, walnut trees and acorn trees are also used.</w:t>
      </w:r>
    </w:p>
    <w:p>
      <w:pPr>
        <w:pStyle w:val="BodyText"/>
        <w:spacing w:line="276" w:lineRule="auto" w:before="239"/>
        <w:ind w:left="616" w:right="136"/>
        <w:jc w:val="both"/>
      </w:pPr>
      <w:r>
        <w:rPr/>
        <w:t>Today,</w:t>
      </w:r>
      <w:r>
        <w:rPr>
          <w:spacing w:val="-17"/>
        </w:rPr>
        <w:t> </w:t>
      </w:r>
      <w:r>
        <w:rPr/>
        <w:t>cultivation</w:t>
      </w:r>
      <w:r>
        <w:rPr>
          <w:spacing w:val="-17"/>
        </w:rPr>
        <w:t> </w:t>
      </w:r>
      <w:r>
        <w:rPr/>
        <w:t>takes</w:t>
      </w:r>
      <w:r>
        <w:rPr>
          <w:spacing w:val="-17"/>
        </w:rPr>
        <w:t> </w:t>
      </w:r>
      <w:r>
        <w:rPr/>
        <w:t>place</w:t>
      </w:r>
      <w:r>
        <w:rPr>
          <w:spacing w:val="-17"/>
        </w:rPr>
        <w:t> </w:t>
      </w:r>
      <w:r>
        <w:rPr/>
        <w:t>in</w:t>
      </w:r>
      <w:r>
        <w:rPr>
          <w:spacing w:val="-19"/>
        </w:rPr>
        <w:t> </w:t>
      </w:r>
      <w:r>
        <w:rPr/>
        <w:t>huge,</w:t>
      </w:r>
      <w:r>
        <w:rPr>
          <w:spacing w:val="-17"/>
        </w:rPr>
        <w:t> </w:t>
      </w:r>
      <w:r>
        <w:rPr/>
        <w:t>professional</w:t>
      </w:r>
      <w:r>
        <w:rPr>
          <w:spacing w:val="-19"/>
        </w:rPr>
        <w:t> </w:t>
      </w:r>
      <w:r>
        <w:rPr/>
        <w:t>nurseries</w:t>
      </w:r>
      <w:r>
        <w:rPr>
          <w:spacing w:val="-16"/>
        </w:rPr>
        <w:t> </w:t>
      </w:r>
      <w:r>
        <w:rPr/>
        <w:t>which</w:t>
      </w:r>
      <w:r>
        <w:rPr>
          <w:spacing w:val="-16"/>
        </w:rPr>
        <w:t> </w:t>
      </w:r>
      <w:r>
        <w:rPr/>
        <w:t>makes</w:t>
      </w:r>
      <w:r>
        <w:rPr>
          <w:spacing w:val="-17"/>
        </w:rPr>
        <w:t> </w:t>
      </w:r>
      <w:r>
        <w:rPr/>
        <w:t>Shi- itake much less expensive than has been the case in the</w:t>
      </w:r>
      <w:r>
        <w:rPr>
          <w:spacing w:val="2"/>
        </w:rPr>
        <w:t> </w:t>
      </w:r>
      <w:r>
        <w:rPr/>
        <w:t>past.</w:t>
      </w:r>
    </w:p>
    <w:p>
      <w:pPr>
        <w:pStyle w:val="Heading2"/>
        <w:spacing w:before="242"/>
        <w:ind w:left="616"/>
      </w:pPr>
      <w:r>
        <w:rPr/>
        <w:t>The ingredients and active agents in Shiitake</w:t>
      </w:r>
    </w:p>
    <w:p>
      <w:pPr>
        <w:pStyle w:val="BodyText"/>
        <w:spacing w:line="276" w:lineRule="auto" w:before="304"/>
        <w:ind w:left="616" w:right="141"/>
        <w:jc w:val="both"/>
      </w:pPr>
      <w:r>
        <w:rPr/>
        <w:t>Shiitake is a mushroom extremely rich in vital nutrients which contains a par- ticularly large amount of minerals and vitamins, in particular from the vitamin B group.</w:t>
      </w:r>
    </w:p>
    <w:p>
      <w:pPr>
        <w:pStyle w:val="BodyText"/>
        <w:spacing w:line="276" w:lineRule="auto" w:before="239"/>
        <w:ind w:left="616" w:right="133"/>
        <w:jc w:val="both"/>
      </w:pPr>
      <w:r>
        <w:rPr/>
        <w:t>However, it is the pharmaceutically effective components which are of the greatest interest for medicine, the lentinan, LEM, thioproline and eritadenine, which can even successfully take on diseases such as cancer and diabetes and make advances to the objectives of intensive research.</w:t>
      </w:r>
    </w:p>
    <w:p>
      <w:pPr>
        <w:pStyle w:val="Heading1"/>
        <w:spacing w:before="222"/>
        <w:ind w:left="616"/>
        <w:jc w:val="both"/>
      </w:pPr>
      <w:r>
        <w:rPr/>
        <w:t>Shiitake – the active ingredients</w:t>
      </w:r>
    </w:p>
    <w:p>
      <w:pPr>
        <w:pStyle w:val="ListParagraph"/>
        <w:numPr>
          <w:ilvl w:val="0"/>
          <w:numId w:val="120"/>
        </w:numPr>
        <w:tabs>
          <w:tab w:pos="1032" w:val="left" w:leader="none"/>
        </w:tabs>
        <w:spacing w:line="240" w:lineRule="auto" w:before="260" w:after="0"/>
        <w:ind w:left="899" w:right="0" w:hanging="283"/>
        <w:jc w:val="both"/>
        <w:rPr>
          <w:sz w:val="38"/>
        </w:rPr>
      </w:pPr>
      <w:r>
        <w:rPr>
          <w:sz w:val="38"/>
        </w:rPr>
        <w:t>Vitamin B (thiamine, niacine, riboflavin)</w:t>
      </w:r>
    </w:p>
    <w:p>
      <w:pPr>
        <w:pStyle w:val="ListParagraph"/>
        <w:numPr>
          <w:ilvl w:val="0"/>
          <w:numId w:val="120"/>
        </w:numPr>
        <w:tabs>
          <w:tab w:pos="1032" w:val="left" w:leader="none"/>
        </w:tabs>
        <w:spacing w:line="240" w:lineRule="auto" w:before="184" w:after="0"/>
        <w:ind w:left="899" w:right="0" w:hanging="283"/>
        <w:jc w:val="both"/>
        <w:rPr>
          <w:sz w:val="38"/>
        </w:rPr>
      </w:pPr>
      <w:r>
        <w:rPr>
          <w:sz w:val="38"/>
        </w:rPr>
        <w:t>Pro-vitamin D</w:t>
      </w:r>
    </w:p>
    <w:p>
      <w:pPr>
        <w:pStyle w:val="ListParagraph"/>
        <w:numPr>
          <w:ilvl w:val="0"/>
          <w:numId w:val="120"/>
        </w:numPr>
        <w:tabs>
          <w:tab w:pos="1032" w:val="left" w:leader="none"/>
        </w:tabs>
        <w:spacing w:line="240" w:lineRule="auto" w:before="186" w:after="0"/>
        <w:ind w:left="899" w:right="0" w:hanging="283"/>
        <w:jc w:val="both"/>
        <w:rPr>
          <w:sz w:val="38"/>
        </w:rPr>
      </w:pPr>
      <w:r>
        <w:rPr>
          <w:sz w:val="38"/>
        </w:rPr>
        <w:t>Minerals (calcium, iron, calcium,</w:t>
      </w:r>
      <w:r>
        <w:rPr>
          <w:spacing w:val="-1"/>
          <w:sz w:val="38"/>
        </w:rPr>
        <w:t> </w:t>
      </w:r>
      <w:r>
        <w:rPr>
          <w:sz w:val="38"/>
        </w:rPr>
        <w:t>zinc)</w:t>
      </w:r>
    </w:p>
    <w:p>
      <w:pPr>
        <w:pStyle w:val="ListParagraph"/>
        <w:numPr>
          <w:ilvl w:val="0"/>
          <w:numId w:val="120"/>
        </w:numPr>
        <w:tabs>
          <w:tab w:pos="1032" w:val="left" w:leader="none"/>
        </w:tabs>
        <w:spacing w:line="240" w:lineRule="auto" w:before="184" w:after="0"/>
        <w:ind w:left="899" w:right="0" w:hanging="283"/>
        <w:jc w:val="both"/>
        <w:rPr>
          <w:sz w:val="38"/>
        </w:rPr>
      </w:pPr>
      <w:r>
        <w:rPr>
          <w:sz w:val="38"/>
        </w:rPr>
        <w:t>Trace elements</w:t>
      </w:r>
    </w:p>
    <w:p>
      <w:pPr>
        <w:spacing w:after="0" w:line="240" w:lineRule="auto"/>
        <w:jc w:val="both"/>
        <w:rPr>
          <w:sz w:val="38"/>
        </w:rPr>
        <w:sectPr>
          <w:pgSz w:w="14270" w:h="16850"/>
          <w:pgMar w:header="0" w:footer="1891" w:top="1320" w:bottom="2080" w:left="800" w:right="1280"/>
        </w:sectPr>
      </w:pPr>
    </w:p>
    <w:p>
      <w:pPr>
        <w:pStyle w:val="ListParagraph"/>
        <w:numPr>
          <w:ilvl w:val="0"/>
          <w:numId w:val="120"/>
        </w:numPr>
        <w:tabs>
          <w:tab w:pos="1032" w:val="left" w:leader="none"/>
        </w:tabs>
        <w:spacing w:line="240" w:lineRule="auto" w:before="53" w:after="0"/>
        <w:ind w:left="899" w:right="0" w:hanging="283"/>
        <w:jc w:val="both"/>
        <w:rPr>
          <w:sz w:val="38"/>
        </w:rPr>
      </w:pPr>
      <w:r>
        <w:rPr>
          <w:sz w:val="38"/>
        </w:rPr>
        <w:t>Amino</w:t>
      </w:r>
      <w:r>
        <w:rPr>
          <w:spacing w:val="1"/>
          <w:sz w:val="38"/>
        </w:rPr>
        <w:t> </w:t>
      </w:r>
      <w:r>
        <w:rPr>
          <w:sz w:val="38"/>
        </w:rPr>
        <w:t>acids</w:t>
      </w:r>
    </w:p>
    <w:p>
      <w:pPr>
        <w:pStyle w:val="ListParagraph"/>
        <w:numPr>
          <w:ilvl w:val="0"/>
          <w:numId w:val="120"/>
        </w:numPr>
        <w:tabs>
          <w:tab w:pos="1032" w:val="left" w:leader="none"/>
        </w:tabs>
        <w:spacing w:line="240" w:lineRule="auto" w:before="186" w:after="0"/>
        <w:ind w:left="899" w:right="0" w:hanging="283"/>
        <w:jc w:val="both"/>
        <w:rPr>
          <w:sz w:val="38"/>
        </w:rPr>
      </w:pPr>
      <w:r>
        <w:rPr>
          <w:sz w:val="38"/>
        </w:rPr>
        <w:t>Polysaccharides</w:t>
      </w:r>
    </w:p>
    <w:p>
      <w:pPr>
        <w:pStyle w:val="ListParagraph"/>
        <w:numPr>
          <w:ilvl w:val="0"/>
          <w:numId w:val="120"/>
        </w:numPr>
        <w:tabs>
          <w:tab w:pos="1032" w:val="left" w:leader="none"/>
        </w:tabs>
        <w:spacing w:line="240" w:lineRule="auto" w:before="184" w:after="0"/>
        <w:ind w:left="899" w:right="0" w:hanging="283"/>
        <w:jc w:val="both"/>
        <w:rPr>
          <w:sz w:val="38"/>
        </w:rPr>
      </w:pPr>
      <w:r>
        <w:rPr>
          <w:sz w:val="38"/>
        </w:rPr>
        <w:t>Fibre</w:t>
      </w:r>
    </w:p>
    <w:p>
      <w:pPr>
        <w:pStyle w:val="ListParagraph"/>
        <w:numPr>
          <w:ilvl w:val="0"/>
          <w:numId w:val="120"/>
        </w:numPr>
        <w:tabs>
          <w:tab w:pos="1032" w:val="left" w:leader="none"/>
        </w:tabs>
        <w:spacing w:line="240" w:lineRule="auto" w:before="184" w:after="0"/>
        <w:ind w:left="899" w:right="0" w:hanging="283"/>
        <w:jc w:val="both"/>
        <w:rPr>
          <w:sz w:val="38"/>
        </w:rPr>
      </w:pPr>
      <w:r>
        <w:rPr>
          <w:sz w:val="38"/>
        </w:rPr>
        <w:t>Lentinan</w:t>
      </w:r>
    </w:p>
    <w:p>
      <w:pPr>
        <w:pStyle w:val="ListParagraph"/>
        <w:numPr>
          <w:ilvl w:val="0"/>
          <w:numId w:val="120"/>
        </w:numPr>
        <w:tabs>
          <w:tab w:pos="1032" w:val="left" w:leader="none"/>
        </w:tabs>
        <w:spacing w:line="240" w:lineRule="auto" w:before="183" w:after="0"/>
        <w:ind w:left="899" w:right="0" w:hanging="283"/>
        <w:jc w:val="both"/>
        <w:rPr>
          <w:sz w:val="38"/>
        </w:rPr>
      </w:pPr>
      <w:r>
        <w:rPr>
          <w:sz w:val="38"/>
        </w:rPr>
        <w:t>LEM</w:t>
      </w:r>
    </w:p>
    <w:p>
      <w:pPr>
        <w:pStyle w:val="ListParagraph"/>
        <w:numPr>
          <w:ilvl w:val="0"/>
          <w:numId w:val="120"/>
        </w:numPr>
        <w:tabs>
          <w:tab w:pos="1032" w:val="left" w:leader="none"/>
        </w:tabs>
        <w:spacing w:line="240" w:lineRule="auto" w:before="184" w:after="0"/>
        <w:ind w:left="899" w:right="0" w:hanging="283"/>
        <w:jc w:val="both"/>
        <w:rPr>
          <w:sz w:val="38"/>
        </w:rPr>
      </w:pPr>
      <w:r>
        <w:rPr>
          <w:sz w:val="38"/>
        </w:rPr>
        <w:t>Thioproline</w:t>
      </w:r>
    </w:p>
    <w:p>
      <w:pPr>
        <w:pStyle w:val="ListParagraph"/>
        <w:numPr>
          <w:ilvl w:val="0"/>
          <w:numId w:val="120"/>
        </w:numPr>
        <w:tabs>
          <w:tab w:pos="1032" w:val="left" w:leader="none"/>
        </w:tabs>
        <w:spacing w:line="240" w:lineRule="auto" w:before="186" w:after="0"/>
        <w:ind w:left="899" w:right="0" w:hanging="283"/>
        <w:jc w:val="both"/>
        <w:rPr>
          <w:sz w:val="38"/>
        </w:rPr>
      </w:pPr>
      <w:r>
        <w:rPr>
          <w:sz w:val="38"/>
        </w:rPr>
        <w:t>Eritadenin</w:t>
      </w:r>
    </w:p>
    <w:p>
      <w:pPr>
        <w:pStyle w:val="Heading1"/>
        <w:spacing w:line="388" w:lineRule="auto" w:before="288"/>
        <w:ind w:left="616" w:right="5837"/>
      </w:pPr>
      <w:r>
        <w:rPr>
          <w:w w:val="95"/>
        </w:rPr>
        <w:t>Effect of Shiitake active ingredients </w:t>
      </w:r>
      <w:r>
        <w:rPr/>
        <w:t>Polysaccharides</w:t>
      </w:r>
    </w:p>
    <w:p>
      <w:pPr>
        <w:pStyle w:val="Heading2"/>
        <w:spacing w:before="21"/>
        <w:ind w:left="616"/>
      </w:pPr>
      <w:r>
        <w:rPr/>
        <w:t>Glucan</w:t>
      </w:r>
    </w:p>
    <w:p>
      <w:pPr>
        <w:pStyle w:val="BodyText"/>
        <w:spacing w:line="276" w:lineRule="auto" w:before="304"/>
        <w:ind w:left="616"/>
      </w:pPr>
      <w:r>
        <w:rPr/>
        <w:t>Just</w:t>
      </w:r>
      <w:r>
        <w:rPr>
          <w:spacing w:val="-23"/>
        </w:rPr>
        <w:t> </w:t>
      </w:r>
      <w:r>
        <w:rPr/>
        <w:t>like</w:t>
      </w:r>
      <w:r>
        <w:rPr>
          <w:spacing w:val="-23"/>
        </w:rPr>
        <w:t> </w:t>
      </w:r>
      <w:r>
        <w:rPr/>
        <w:t>Reishi,</w:t>
      </w:r>
      <w:r>
        <w:rPr>
          <w:spacing w:val="-20"/>
        </w:rPr>
        <w:t> </w:t>
      </w:r>
      <w:r>
        <w:rPr/>
        <w:t>Shiitake</w:t>
      </w:r>
      <w:r>
        <w:rPr>
          <w:spacing w:val="-23"/>
        </w:rPr>
        <w:t> </w:t>
      </w:r>
      <w:r>
        <w:rPr/>
        <w:t>also</w:t>
      </w:r>
      <w:r>
        <w:rPr>
          <w:spacing w:val="-21"/>
        </w:rPr>
        <w:t> </w:t>
      </w:r>
      <w:r>
        <w:rPr/>
        <w:t>has</w:t>
      </w:r>
      <w:r>
        <w:rPr>
          <w:spacing w:val="-18"/>
        </w:rPr>
        <w:t> </w:t>
      </w:r>
      <w:r>
        <w:rPr/>
        <w:t>polysaccharides</w:t>
      </w:r>
      <w:r>
        <w:rPr>
          <w:spacing w:val="-22"/>
        </w:rPr>
        <w:t> </w:t>
      </w:r>
      <w:r>
        <w:rPr/>
        <w:t>from</w:t>
      </w:r>
      <w:r>
        <w:rPr>
          <w:spacing w:val="-21"/>
        </w:rPr>
        <w:t> </w:t>
      </w:r>
      <w:r>
        <w:rPr/>
        <w:t>the</w:t>
      </w:r>
      <w:r>
        <w:rPr>
          <w:spacing w:val="-20"/>
        </w:rPr>
        <w:t> </w:t>
      </w:r>
      <w:r>
        <w:rPr/>
        <w:t>glucan</w:t>
      </w:r>
      <w:r>
        <w:rPr>
          <w:spacing w:val="-22"/>
        </w:rPr>
        <w:t> </w:t>
      </w:r>
      <w:r>
        <w:rPr/>
        <w:t>family,</w:t>
      </w:r>
      <w:r>
        <w:rPr>
          <w:spacing w:val="-21"/>
        </w:rPr>
        <w:t> </w:t>
      </w:r>
      <w:r>
        <w:rPr/>
        <w:t>which have immune stimulating and tumour inhibiting</w:t>
      </w:r>
      <w:r>
        <w:rPr>
          <w:spacing w:val="3"/>
        </w:rPr>
        <w:t> </w:t>
      </w:r>
      <w:r>
        <w:rPr/>
        <w:t>properties.</w:t>
      </w:r>
    </w:p>
    <w:p>
      <w:pPr>
        <w:pStyle w:val="Heading2"/>
        <w:spacing w:before="239"/>
        <w:ind w:left="616"/>
      </w:pPr>
      <w:r>
        <w:rPr/>
        <w:t>Lentinan</w:t>
      </w:r>
    </w:p>
    <w:p>
      <w:pPr>
        <w:pStyle w:val="BodyText"/>
        <w:spacing w:line="276" w:lineRule="auto" w:before="304"/>
        <w:ind w:left="616" w:right="134"/>
        <w:jc w:val="both"/>
      </w:pPr>
      <w:r>
        <w:rPr/>
        <w:t>The highly effective nature of this ingredient from the beta-glucan family has been reinforced since it has been officially approved as a cancer medication in Japan, China and, more recently, the USA. As it is largely destroyed by the digestive juices, lentinan is injected for this purpose.</w:t>
      </w:r>
    </w:p>
    <w:p>
      <w:pPr>
        <w:pStyle w:val="BodyText"/>
        <w:spacing w:line="276" w:lineRule="auto" w:before="242"/>
        <w:ind w:left="616"/>
      </w:pPr>
      <w:r>
        <w:rPr/>
        <w:t>Furthermore,</w:t>
      </w:r>
      <w:r>
        <w:rPr>
          <w:spacing w:val="-24"/>
        </w:rPr>
        <w:t> </w:t>
      </w:r>
      <w:r>
        <w:rPr/>
        <w:t>lentinan</w:t>
      </w:r>
      <w:r>
        <w:rPr>
          <w:spacing w:val="-24"/>
        </w:rPr>
        <w:t> </w:t>
      </w:r>
      <w:r>
        <w:rPr/>
        <w:t>stimulates</w:t>
      </w:r>
      <w:r>
        <w:rPr>
          <w:spacing w:val="-24"/>
        </w:rPr>
        <w:t> </w:t>
      </w:r>
      <w:r>
        <w:rPr/>
        <w:t>the</w:t>
      </w:r>
      <w:r>
        <w:rPr>
          <w:spacing w:val="-25"/>
        </w:rPr>
        <w:t> </w:t>
      </w:r>
      <w:r>
        <w:rPr/>
        <w:t>distribution</w:t>
      </w:r>
      <w:r>
        <w:rPr>
          <w:spacing w:val="-24"/>
        </w:rPr>
        <w:t> </w:t>
      </w:r>
      <w:r>
        <w:rPr/>
        <w:t>of</w:t>
      </w:r>
      <w:r>
        <w:rPr>
          <w:spacing w:val="-26"/>
        </w:rPr>
        <w:t> </w:t>
      </w:r>
      <w:r>
        <w:rPr/>
        <w:t>the</w:t>
      </w:r>
      <w:r>
        <w:rPr>
          <w:spacing w:val="-26"/>
        </w:rPr>
        <w:t> </w:t>
      </w:r>
      <w:r>
        <w:rPr/>
        <w:t>body’s</w:t>
      </w:r>
      <w:r>
        <w:rPr>
          <w:spacing w:val="-26"/>
        </w:rPr>
        <w:t> </w:t>
      </w:r>
      <w:r>
        <w:rPr/>
        <w:t>own</w:t>
      </w:r>
      <w:r>
        <w:rPr>
          <w:spacing w:val="-25"/>
        </w:rPr>
        <w:t> </w:t>
      </w:r>
      <w:r>
        <w:rPr/>
        <w:t>interferons which can destroy both cancer cells and</w:t>
      </w:r>
      <w:r>
        <w:rPr>
          <w:spacing w:val="3"/>
        </w:rPr>
        <w:t> </w:t>
      </w:r>
      <w:r>
        <w:rPr/>
        <w:t>viruses.</w:t>
      </w:r>
    </w:p>
    <w:p>
      <w:pPr>
        <w:spacing w:after="0" w:line="276" w:lineRule="auto"/>
        <w:sectPr>
          <w:pgSz w:w="14270" w:h="16850"/>
          <w:pgMar w:header="0" w:footer="1891" w:top="1360" w:bottom="2080" w:left="800" w:right="1280"/>
        </w:sectPr>
      </w:pPr>
    </w:p>
    <w:p>
      <w:pPr>
        <w:pStyle w:val="BodyText"/>
        <w:rPr>
          <w:sz w:val="20"/>
        </w:rPr>
      </w:pPr>
    </w:p>
    <w:p>
      <w:pPr>
        <w:pStyle w:val="BodyText"/>
        <w:spacing w:before="2"/>
        <w:rPr>
          <w:sz w:val="18"/>
        </w:rPr>
      </w:pPr>
    </w:p>
    <w:p>
      <w:pPr>
        <w:pStyle w:val="Heading1"/>
        <w:spacing w:before="99"/>
        <w:ind w:left="616"/>
      </w:pPr>
      <w:r>
        <w:rPr/>
        <w:t>LEM</w:t>
      </w:r>
    </w:p>
    <w:p>
      <w:pPr>
        <w:pStyle w:val="BodyText"/>
        <w:spacing w:line="276" w:lineRule="auto" w:before="297"/>
        <w:ind w:left="616" w:right="134"/>
        <w:jc w:val="both"/>
      </w:pPr>
      <w:r>
        <w:rPr/>
        <w:t>Lentinula</w:t>
      </w:r>
      <w:r>
        <w:rPr>
          <w:spacing w:val="-16"/>
        </w:rPr>
        <w:t> </w:t>
      </w:r>
      <w:r>
        <w:rPr/>
        <w:t>edodes</w:t>
      </w:r>
      <w:r>
        <w:rPr>
          <w:spacing w:val="-13"/>
        </w:rPr>
        <w:t> </w:t>
      </w:r>
      <w:r>
        <w:rPr/>
        <w:t>mycelium,</w:t>
      </w:r>
      <w:r>
        <w:rPr>
          <w:spacing w:val="-13"/>
        </w:rPr>
        <w:t> </w:t>
      </w:r>
      <w:r>
        <w:rPr/>
        <w:t>or</w:t>
      </w:r>
      <w:r>
        <w:rPr>
          <w:spacing w:val="-16"/>
        </w:rPr>
        <w:t> </w:t>
      </w:r>
      <w:r>
        <w:rPr/>
        <w:t>‘LEM’,</w:t>
      </w:r>
      <w:r>
        <w:rPr>
          <w:spacing w:val="-13"/>
        </w:rPr>
        <w:t> </w:t>
      </w:r>
      <w:r>
        <w:rPr/>
        <w:t>contains</w:t>
      </w:r>
      <w:r>
        <w:rPr>
          <w:spacing w:val="-17"/>
        </w:rPr>
        <w:t> </w:t>
      </w:r>
      <w:r>
        <w:rPr/>
        <w:t>heteroglycans</w:t>
      </w:r>
      <w:r>
        <w:rPr>
          <w:spacing w:val="-13"/>
        </w:rPr>
        <w:t> </w:t>
      </w:r>
      <w:r>
        <w:rPr/>
        <w:t>and</w:t>
      </w:r>
      <w:r>
        <w:rPr>
          <w:spacing w:val="-15"/>
        </w:rPr>
        <w:t> </w:t>
      </w:r>
      <w:r>
        <w:rPr/>
        <w:t>nucleic</w:t>
      </w:r>
      <w:r>
        <w:rPr>
          <w:spacing w:val="-7"/>
        </w:rPr>
        <w:t> </w:t>
      </w:r>
      <w:r>
        <w:rPr/>
        <w:t>acid derivatives such as ergosterol and eritadenin, which are particularly effective against cholesterol values and even have a positive effect against hepatitis and liver tumours (in animal</w:t>
      </w:r>
      <w:r>
        <w:rPr>
          <w:spacing w:val="2"/>
        </w:rPr>
        <w:t> </w:t>
      </w:r>
      <w:r>
        <w:rPr/>
        <w:t>studies).</w:t>
      </w:r>
    </w:p>
    <w:p>
      <w:pPr>
        <w:pStyle w:val="Heading1"/>
        <w:spacing w:before="225"/>
        <w:ind w:left="616"/>
      </w:pPr>
      <w:r>
        <w:rPr/>
        <w:t>Thioprolin TCA</w:t>
      </w:r>
    </w:p>
    <w:p>
      <w:pPr>
        <w:pStyle w:val="BodyText"/>
        <w:spacing w:line="276" w:lineRule="auto" w:before="299"/>
        <w:ind w:left="616" w:right="139"/>
        <w:jc w:val="both"/>
      </w:pPr>
      <w:r>
        <w:rPr/>
        <w:t>Thioprolin is an amino acid which takes on the task of capturing nitrite in the body. Nitrite is a substance which forms cancer-inducing nitrosamine, largely in smoked meat goods but also in the body. Thioprolin can successfully inter- cept this production.</w:t>
      </w:r>
    </w:p>
    <w:p>
      <w:pPr>
        <w:pStyle w:val="Heading1"/>
        <w:spacing w:before="222"/>
        <w:ind w:left="616"/>
      </w:pPr>
      <w:r>
        <w:rPr/>
        <w:t>Eritadenine and other nucleic acids</w:t>
      </w:r>
    </w:p>
    <w:p>
      <w:pPr>
        <w:pStyle w:val="BodyText"/>
        <w:spacing w:line="276" w:lineRule="auto" w:before="300"/>
        <w:ind w:left="616" w:right="140"/>
        <w:jc w:val="both"/>
      </w:pPr>
      <w:r>
        <w:rPr/>
        <w:t>Eritadenine promotes the reduction of cholesterol through conversion and thereby breaks the cholesterol down. Eritadenine and other nucleic acid com- ponents combat blood clotting and are therefore superbly suited to fight thrombosis.</w:t>
      </w:r>
    </w:p>
    <w:p>
      <w:pPr>
        <w:pStyle w:val="BodyText"/>
        <w:spacing w:line="278" w:lineRule="auto" w:before="239"/>
        <w:ind w:left="616" w:right="140"/>
        <w:jc w:val="both"/>
      </w:pPr>
      <w:r>
        <w:rPr/>
        <w:t>Further,</w:t>
      </w:r>
      <w:r>
        <w:rPr>
          <w:spacing w:val="-19"/>
        </w:rPr>
        <w:t> </w:t>
      </w:r>
      <w:r>
        <w:rPr/>
        <w:t>this</w:t>
      </w:r>
      <w:r>
        <w:rPr>
          <w:spacing w:val="-18"/>
        </w:rPr>
        <w:t> </w:t>
      </w:r>
      <w:r>
        <w:rPr/>
        <w:t>fact</w:t>
      </w:r>
      <w:r>
        <w:rPr>
          <w:spacing w:val="-19"/>
        </w:rPr>
        <w:t> </w:t>
      </w:r>
      <w:r>
        <w:rPr/>
        <w:t>has</w:t>
      </w:r>
      <w:r>
        <w:rPr>
          <w:spacing w:val="-18"/>
        </w:rPr>
        <w:t> </w:t>
      </w:r>
      <w:r>
        <w:rPr/>
        <w:t>proven</w:t>
      </w:r>
      <w:r>
        <w:rPr>
          <w:spacing w:val="-18"/>
        </w:rPr>
        <w:t> </w:t>
      </w:r>
      <w:r>
        <w:rPr/>
        <w:t>very</w:t>
      </w:r>
      <w:r>
        <w:rPr>
          <w:spacing w:val="-20"/>
        </w:rPr>
        <w:t> </w:t>
      </w:r>
      <w:r>
        <w:rPr/>
        <w:t>helpful</w:t>
      </w:r>
      <w:r>
        <w:rPr>
          <w:spacing w:val="-20"/>
        </w:rPr>
        <w:t> </w:t>
      </w:r>
      <w:r>
        <w:rPr/>
        <w:t>in</w:t>
      </w:r>
      <w:r>
        <w:rPr>
          <w:spacing w:val="-19"/>
        </w:rPr>
        <w:t> </w:t>
      </w:r>
      <w:r>
        <w:rPr/>
        <w:t>the</w:t>
      </w:r>
      <w:r>
        <w:rPr>
          <w:spacing w:val="-18"/>
        </w:rPr>
        <w:t> </w:t>
      </w:r>
      <w:r>
        <w:rPr/>
        <w:t>prevention</w:t>
      </w:r>
      <w:r>
        <w:rPr>
          <w:spacing w:val="-18"/>
        </w:rPr>
        <w:t> </w:t>
      </w:r>
      <w:r>
        <w:rPr/>
        <w:t>of</w:t>
      </w:r>
      <w:r>
        <w:rPr>
          <w:spacing w:val="-20"/>
        </w:rPr>
        <w:t> </w:t>
      </w:r>
      <w:r>
        <w:rPr/>
        <w:t>heart</w:t>
      </w:r>
      <w:r>
        <w:rPr>
          <w:spacing w:val="-19"/>
        </w:rPr>
        <w:t> </w:t>
      </w:r>
      <w:r>
        <w:rPr/>
        <w:t>attacks</w:t>
      </w:r>
      <w:r>
        <w:rPr>
          <w:spacing w:val="-18"/>
        </w:rPr>
        <w:t> </w:t>
      </w:r>
      <w:r>
        <w:rPr/>
        <w:t>and strokes.</w:t>
      </w:r>
    </w:p>
    <w:p>
      <w:pPr>
        <w:pStyle w:val="Heading1"/>
        <w:spacing w:before="216"/>
        <w:ind w:left="616"/>
        <w:jc w:val="both"/>
      </w:pPr>
      <w:r>
        <w:rPr/>
        <w:t>Vitamin B2, riboflavin</w:t>
      </w:r>
    </w:p>
    <w:p>
      <w:pPr>
        <w:pStyle w:val="BodyText"/>
        <w:spacing w:before="299"/>
        <w:ind w:left="616"/>
        <w:jc w:val="both"/>
      </w:pPr>
      <w:r>
        <w:rPr/>
        <w:t>Riboflavin takes on a further detoxification role; it can help to deconstruct</w:t>
      </w:r>
    </w:p>
    <w:p>
      <w:pPr>
        <w:spacing w:after="0"/>
        <w:jc w:val="both"/>
        <w:sectPr>
          <w:pgSz w:w="14270" w:h="16850"/>
          <w:pgMar w:header="0" w:footer="1891" w:top="1600" w:bottom="2080" w:left="800" w:right="1280"/>
        </w:sectPr>
      </w:pPr>
    </w:p>
    <w:p>
      <w:pPr>
        <w:pStyle w:val="BodyText"/>
        <w:spacing w:before="74"/>
        <w:ind w:left="616"/>
      </w:pPr>
      <w:r>
        <w:rPr/>
        <w:t>chemical toxins and environmental pollutants.</w:t>
      </w:r>
    </w:p>
    <w:p>
      <w:pPr>
        <w:pStyle w:val="Heading1"/>
        <w:spacing w:before="287"/>
        <w:ind w:left="616"/>
      </w:pPr>
      <w:r>
        <w:rPr/>
        <w:t>Essential amino acids</w:t>
      </w:r>
    </w:p>
    <w:p>
      <w:pPr>
        <w:pStyle w:val="BodyText"/>
        <w:spacing w:line="276" w:lineRule="auto" w:before="297"/>
        <w:ind w:left="616" w:right="137"/>
        <w:jc w:val="both"/>
      </w:pPr>
      <w:r>
        <w:rPr/>
        <w:t>Shiitake contains a wide spectrum of amino acids. These protein components regulate our metabolism and the growth processes in our bodies. Essential amino</w:t>
      </w:r>
      <w:r>
        <w:rPr>
          <w:spacing w:val="-18"/>
        </w:rPr>
        <w:t> </w:t>
      </w:r>
      <w:r>
        <w:rPr/>
        <w:t>acids</w:t>
      </w:r>
      <w:r>
        <w:rPr>
          <w:spacing w:val="-19"/>
        </w:rPr>
        <w:t> </w:t>
      </w:r>
      <w:r>
        <w:rPr/>
        <w:t>are</w:t>
      </w:r>
      <w:r>
        <w:rPr>
          <w:spacing w:val="-23"/>
        </w:rPr>
        <w:t> </w:t>
      </w:r>
      <w:r>
        <w:rPr/>
        <w:t>necessary</w:t>
      </w:r>
      <w:r>
        <w:rPr>
          <w:spacing w:val="-20"/>
        </w:rPr>
        <w:t> </w:t>
      </w:r>
      <w:r>
        <w:rPr/>
        <w:t>for</w:t>
      </w:r>
      <w:r>
        <w:rPr>
          <w:spacing w:val="-20"/>
        </w:rPr>
        <w:t> </w:t>
      </w:r>
      <w:r>
        <w:rPr/>
        <w:t>life</w:t>
      </w:r>
      <w:r>
        <w:rPr>
          <w:spacing w:val="-20"/>
        </w:rPr>
        <w:t> </w:t>
      </w:r>
      <w:r>
        <w:rPr/>
        <w:t>and</w:t>
      </w:r>
      <w:r>
        <w:rPr>
          <w:spacing w:val="-18"/>
        </w:rPr>
        <w:t> </w:t>
      </w:r>
      <w:r>
        <w:rPr/>
        <w:t>must</w:t>
      </w:r>
      <w:r>
        <w:rPr>
          <w:spacing w:val="-22"/>
        </w:rPr>
        <w:t> </w:t>
      </w:r>
      <w:r>
        <w:rPr/>
        <w:t>be</w:t>
      </w:r>
      <w:r>
        <w:rPr>
          <w:spacing w:val="-20"/>
        </w:rPr>
        <w:t> </w:t>
      </w:r>
      <w:r>
        <w:rPr/>
        <w:t>continually</w:t>
      </w:r>
      <w:r>
        <w:rPr>
          <w:spacing w:val="-20"/>
        </w:rPr>
        <w:t> </w:t>
      </w:r>
      <w:r>
        <w:rPr/>
        <w:t>supplied</w:t>
      </w:r>
      <w:r>
        <w:rPr>
          <w:spacing w:val="-19"/>
        </w:rPr>
        <w:t> </w:t>
      </w:r>
      <w:r>
        <w:rPr/>
        <w:t>to</w:t>
      </w:r>
      <w:r>
        <w:rPr>
          <w:spacing w:val="-21"/>
        </w:rPr>
        <w:t> </w:t>
      </w:r>
      <w:r>
        <w:rPr/>
        <w:t>the</w:t>
      </w:r>
      <w:r>
        <w:rPr>
          <w:spacing w:val="-20"/>
        </w:rPr>
        <w:t> </w:t>
      </w:r>
      <w:r>
        <w:rPr/>
        <w:t>body.</w:t>
      </w:r>
    </w:p>
    <w:p>
      <w:pPr>
        <w:pStyle w:val="Heading2"/>
        <w:spacing w:before="241"/>
        <w:ind w:left="616"/>
        <w:jc w:val="both"/>
      </w:pPr>
      <w:r>
        <w:rPr/>
        <w:t>General effect of Shiitake (Lentinula Edodes)</w:t>
      </w:r>
    </w:p>
    <w:p>
      <w:pPr>
        <w:pStyle w:val="BodyText"/>
        <w:spacing w:before="306"/>
        <w:ind w:left="616"/>
        <w:jc w:val="both"/>
      </w:pPr>
      <w:r>
        <w:rPr/>
        <w:t>The general effect of Shiitake can be described as:</w:t>
      </w:r>
    </w:p>
    <w:p>
      <w:pPr>
        <w:pStyle w:val="ListParagraph"/>
        <w:numPr>
          <w:ilvl w:val="0"/>
          <w:numId w:val="120"/>
        </w:numPr>
        <w:tabs>
          <w:tab w:pos="1032" w:val="left" w:leader="none"/>
        </w:tabs>
        <w:spacing w:line="240" w:lineRule="auto" w:before="265" w:after="0"/>
        <w:ind w:left="899" w:right="0" w:hanging="283"/>
        <w:jc w:val="both"/>
        <w:rPr>
          <w:sz w:val="38"/>
        </w:rPr>
      </w:pPr>
      <w:r>
        <w:rPr>
          <w:sz w:val="38"/>
        </w:rPr>
        <w:t>antiviral</w:t>
      </w:r>
    </w:p>
    <w:p>
      <w:pPr>
        <w:pStyle w:val="ListParagraph"/>
        <w:numPr>
          <w:ilvl w:val="0"/>
          <w:numId w:val="120"/>
        </w:numPr>
        <w:tabs>
          <w:tab w:pos="1032" w:val="left" w:leader="none"/>
        </w:tabs>
        <w:spacing w:line="240" w:lineRule="auto" w:before="183" w:after="0"/>
        <w:ind w:left="899" w:right="0" w:hanging="283"/>
        <w:jc w:val="both"/>
        <w:rPr>
          <w:sz w:val="38"/>
        </w:rPr>
      </w:pPr>
      <w:r>
        <w:rPr>
          <w:sz w:val="38"/>
        </w:rPr>
        <w:t>antibacterial</w:t>
      </w:r>
    </w:p>
    <w:p>
      <w:pPr>
        <w:pStyle w:val="ListParagraph"/>
        <w:numPr>
          <w:ilvl w:val="0"/>
          <w:numId w:val="120"/>
        </w:numPr>
        <w:tabs>
          <w:tab w:pos="1032" w:val="left" w:leader="none"/>
        </w:tabs>
        <w:spacing w:line="240" w:lineRule="auto" w:before="184" w:after="0"/>
        <w:ind w:left="899" w:right="0" w:hanging="283"/>
        <w:jc w:val="both"/>
        <w:rPr>
          <w:sz w:val="38"/>
        </w:rPr>
      </w:pPr>
      <w:r>
        <w:rPr>
          <w:sz w:val="38"/>
        </w:rPr>
        <w:t>antifungal</w:t>
      </w:r>
    </w:p>
    <w:p>
      <w:pPr>
        <w:pStyle w:val="ListParagraph"/>
        <w:numPr>
          <w:ilvl w:val="0"/>
          <w:numId w:val="120"/>
        </w:numPr>
        <w:tabs>
          <w:tab w:pos="1032" w:val="left" w:leader="none"/>
        </w:tabs>
        <w:spacing w:line="240" w:lineRule="auto" w:before="184" w:after="0"/>
        <w:ind w:left="899" w:right="0" w:hanging="283"/>
        <w:jc w:val="both"/>
        <w:rPr>
          <w:sz w:val="38"/>
        </w:rPr>
      </w:pPr>
      <w:r>
        <w:rPr>
          <w:sz w:val="38"/>
        </w:rPr>
        <w:t>expectorant</w:t>
      </w:r>
    </w:p>
    <w:p>
      <w:pPr>
        <w:pStyle w:val="ListParagraph"/>
        <w:numPr>
          <w:ilvl w:val="0"/>
          <w:numId w:val="120"/>
        </w:numPr>
        <w:tabs>
          <w:tab w:pos="1032" w:val="left" w:leader="none"/>
        </w:tabs>
        <w:spacing w:line="240" w:lineRule="auto" w:before="184" w:after="0"/>
        <w:ind w:left="899" w:right="0" w:hanging="283"/>
        <w:jc w:val="both"/>
        <w:rPr>
          <w:sz w:val="38"/>
        </w:rPr>
      </w:pPr>
      <w:r>
        <w:rPr>
          <w:sz w:val="38"/>
        </w:rPr>
        <w:t>immune system stimulating</w:t>
      </w:r>
    </w:p>
    <w:p>
      <w:pPr>
        <w:pStyle w:val="ListParagraph"/>
        <w:numPr>
          <w:ilvl w:val="0"/>
          <w:numId w:val="120"/>
        </w:numPr>
        <w:tabs>
          <w:tab w:pos="1032" w:val="left" w:leader="none"/>
        </w:tabs>
        <w:spacing w:line="240" w:lineRule="auto" w:before="186" w:after="0"/>
        <w:ind w:left="899" w:right="0" w:hanging="283"/>
        <w:jc w:val="both"/>
        <w:rPr>
          <w:sz w:val="38"/>
        </w:rPr>
      </w:pPr>
      <w:r>
        <w:rPr>
          <w:sz w:val="38"/>
        </w:rPr>
        <w:t>cholesterol reducing</w:t>
      </w:r>
    </w:p>
    <w:p>
      <w:pPr>
        <w:pStyle w:val="ListParagraph"/>
        <w:numPr>
          <w:ilvl w:val="0"/>
          <w:numId w:val="120"/>
        </w:numPr>
        <w:tabs>
          <w:tab w:pos="1032" w:val="left" w:leader="none"/>
        </w:tabs>
        <w:spacing w:line="240" w:lineRule="auto" w:before="183" w:after="0"/>
        <w:ind w:left="899" w:right="0" w:hanging="283"/>
        <w:jc w:val="both"/>
        <w:rPr>
          <w:sz w:val="38"/>
        </w:rPr>
      </w:pPr>
      <w:r>
        <w:rPr>
          <w:sz w:val="38"/>
        </w:rPr>
        <w:t>blood pressure regulating,</w:t>
      </w:r>
    </w:p>
    <w:p>
      <w:pPr>
        <w:pStyle w:val="ListParagraph"/>
        <w:numPr>
          <w:ilvl w:val="0"/>
          <w:numId w:val="120"/>
        </w:numPr>
        <w:tabs>
          <w:tab w:pos="1032" w:val="left" w:leader="none"/>
        </w:tabs>
        <w:spacing w:line="240" w:lineRule="auto" w:before="184" w:after="0"/>
        <w:ind w:left="899" w:right="0" w:hanging="283"/>
        <w:jc w:val="both"/>
        <w:rPr>
          <w:sz w:val="38"/>
        </w:rPr>
      </w:pPr>
      <w:r>
        <w:rPr>
          <w:sz w:val="38"/>
        </w:rPr>
        <w:t>anti-tumorous</w:t>
      </w:r>
      <w:r>
        <w:rPr>
          <w:spacing w:val="-1"/>
          <w:sz w:val="38"/>
        </w:rPr>
        <w:t> </w:t>
      </w:r>
      <w:r>
        <w:rPr>
          <w:sz w:val="38"/>
        </w:rPr>
        <w:t>(anti-cancerous)</w:t>
      </w:r>
    </w:p>
    <w:p>
      <w:pPr>
        <w:pStyle w:val="ListParagraph"/>
        <w:numPr>
          <w:ilvl w:val="0"/>
          <w:numId w:val="120"/>
        </w:numPr>
        <w:tabs>
          <w:tab w:pos="1032" w:val="left" w:leader="none"/>
        </w:tabs>
        <w:spacing w:line="240" w:lineRule="auto" w:before="184" w:after="0"/>
        <w:ind w:left="899" w:right="0" w:hanging="283"/>
        <w:jc w:val="both"/>
        <w:rPr>
          <w:sz w:val="38"/>
        </w:rPr>
      </w:pPr>
      <w:r>
        <w:rPr>
          <w:sz w:val="38"/>
        </w:rPr>
        <w:t>detoxifying</w:t>
      </w:r>
    </w:p>
    <w:p>
      <w:pPr>
        <w:pStyle w:val="ListParagraph"/>
        <w:numPr>
          <w:ilvl w:val="0"/>
          <w:numId w:val="120"/>
        </w:numPr>
        <w:tabs>
          <w:tab w:pos="1032" w:val="left" w:leader="none"/>
        </w:tabs>
        <w:spacing w:line="240" w:lineRule="auto" w:before="186" w:after="0"/>
        <w:ind w:left="899" w:right="0" w:hanging="283"/>
        <w:jc w:val="both"/>
        <w:rPr>
          <w:sz w:val="38"/>
        </w:rPr>
      </w:pPr>
      <w:r>
        <w:rPr>
          <w:sz w:val="38"/>
        </w:rPr>
        <w:t>deacidifying</w:t>
      </w:r>
    </w:p>
    <w:p>
      <w:pPr>
        <w:pStyle w:val="ListParagraph"/>
        <w:numPr>
          <w:ilvl w:val="0"/>
          <w:numId w:val="120"/>
        </w:numPr>
        <w:tabs>
          <w:tab w:pos="1032" w:val="left" w:leader="none"/>
        </w:tabs>
        <w:spacing w:line="240" w:lineRule="auto" w:before="184" w:after="0"/>
        <w:ind w:left="899" w:right="0" w:hanging="283"/>
        <w:jc w:val="both"/>
        <w:rPr>
          <w:sz w:val="38"/>
        </w:rPr>
      </w:pPr>
      <w:r>
        <w:rPr>
          <w:sz w:val="38"/>
        </w:rPr>
        <w:t>anti-aggregative (fights formation of</w:t>
      </w:r>
      <w:r>
        <w:rPr>
          <w:spacing w:val="1"/>
          <w:sz w:val="38"/>
        </w:rPr>
        <w:t> </w:t>
      </w:r>
      <w:r>
        <w:rPr>
          <w:sz w:val="38"/>
        </w:rPr>
        <w:t>thrombosis)</w:t>
      </w:r>
    </w:p>
    <w:p>
      <w:pPr>
        <w:spacing w:after="0" w:line="240" w:lineRule="auto"/>
        <w:jc w:val="both"/>
        <w:rPr>
          <w:sz w:val="38"/>
        </w:rPr>
        <w:sectPr>
          <w:footerReference w:type="default" r:id="rId439"/>
          <w:pgSz w:w="14270" w:h="16850"/>
          <w:pgMar w:footer="1891" w:header="0" w:top="1340" w:bottom="2080" w:left="800" w:right="1280"/>
          <w:pgNumType w:start="1690"/>
        </w:sectPr>
      </w:pPr>
    </w:p>
    <w:p>
      <w:pPr>
        <w:pStyle w:val="Heading1"/>
        <w:spacing w:before="77"/>
        <w:ind w:left="616"/>
      </w:pPr>
      <w:r>
        <w:rPr/>
        <w:t>Specific effect of the Shiitake mushroom on diseases</w:t>
      </w:r>
    </w:p>
    <w:p>
      <w:pPr>
        <w:pStyle w:val="BodyText"/>
        <w:spacing w:before="299"/>
        <w:ind w:left="616"/>
      </w:pPr>
      <w:r>
        <w:rPr/>
        <w:t>Shiitake is traditionally used for the following diseases and medical conditions:</w:t>
      </w:r>
    </w:p>
    <w:p>
      <w:pPr>
        <w:pStyle w:val="ListParagraph"/>
        <w:numPr>
          <w:ilvl w:val="0"/>
          <w:numId w:val="120"/>
        </w:numPr>
        <w:tabs>
          <w:tab w:pos="1031" w:val="left" w:leader="none"/>
          <w:tab w:pos="1032" w:val="left" w:leader="none"/>
        </w:tabs>
        <w:spacing w:line="240" w:lineRule="auto" w:before="263" w:after="0"/>
        <w:ind w:left="899" w:right="0" w:hanging="283"/>
        <w:jc w:val="left"/>
        <w:rPr>
          <w:sz w:val="38"/>
        </w:rPr>
      </w:pPr>
      <w:r>
        <w:rPr>
          <w:sz w:val="38"/>
        </w:rPr>
        <w:t>Cardiovascular</w:t>
      </w:r>
      <w:r>
        <w:rPr>
          <w:spacing w:val="1"/>
          <w:sz w:val="38"/>
        </w:rPr>
        <w:t> </w:t>
      </w:r>
      <w:r>
        <w:rPr>
          <w:sz w:val="38"/>
        </w:rPr>
        <w:t>diseases</w:t>
      </w:r>
    </w:p>
    <w:p>
      <w:pPr>
        <w:pStyle w:val="ListParagraph"/>
        <w:numPr>
          <w:ilvl w:val="0"/>
          <w:numId w:val="120"/>
        </w:numPr>
        <w:tabs>
          <w:tab w:pos="1031" w:val="left" w:leader="none"/>
          <w:tab w:pos="1032" w:val="left" w:leader="none"/>
        </w:tabs>
        <w:spacing w:line="240" w:lineRule="auto" w:before="186" w:after="0"/>
        <w:ind w:left="899" w:right="0" w:hanging="283"/>
        <w:jc w:val="left"/>
        <w:rPr>
          <w:sz w:val="38"/>
        </w:rPr>
      </w:pPr>
      <w:r>
        <w:rPr>
          <w:sz w:val="38"/>
        </w:rPr>
        <w:t>Cancer/malignant</w:t>
      </w:r>
      <w:r>
        <w:rPr>
          <w:spacing w:val="-1"/>
          <w:sz w:val="38"/>
        </w:rPr>
        <w:t> </w:t>
      </w:r>
      <w:r>
        <w:rPr>
          <w:sz w:val="38"/>
        </w:rPr>
        <w:t>tumours</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Rheumatism</w:t>
      </w:r>
    </w:p>
    <w:p>
      <w:pPr>
        <w:pStyle w:val="ListParagraph"/>
        <w:numPr>
          <w:ilvl w:val="0"/>
          <w:numId w:val="120"/>
        </w:numPr>
        <w:tabs>
          <w:tab w:pos="1031" w:val="left" w:leader="none"/>
          <w:tab w:pos="1032" w:val="left" w:leader="none"/>
        </w:tabs>
        <w:spacing w:line="240" w:lineRule="auto" w:before="183" w:after="0"/>
        <w:ind w:left="899" w:right="0" w:hanging="283"/>
        <w:jc w:val="left"/>
        <w:rPr>
          <w:sz w:val="38"/>
        </w:rPr>
      </w:pPr>
      <w:r>
        <w:rPr>
          <w:sz w:val="38"/>
        </w:rPr>
        <w:t>High blood</w:t>
      </w:r>
      <w:r>
        <w:rPr>
          <w:spacing w:val="-1"/>
          <w:sz w:val="38"/>
        </w:rPr>
        <w:t> </w:t>
      </w:r>
      <w:r>
        <w:rPr>
          <w:sz w:val="38"/>
        </w:rPr>
        <w:t>pressure</w:t>
      </w:r>
    </w:p>
    <w:p>
      <w:pPr>
        <w:pStyle w:val="ListParagraph"/>
        <w:numPr>
          <w:ilvl w:val="0"/>
          <w:numId w:val="120"/>
        </w:numPr>
        <w:tabs>
          <w:tab w:pos="1031" w:val="left" w:leader="none"/>
          <w:tab w:pos="1032" w:val="left" w:leader="none"/>
        </w:tabs>
        <w:spacing w:line="240" w:lineRule="auto" w:before="185" w:after="0"/>
        <w:ind w:left="899" w:right="0" w:hanging="283"/>
        <w:jc w:val="left"/>
        <w:rPr>
          <w:sz w:val="38"/>
        </w:rPr>
      </w:pPr>
      <w:r>
        <w:rPr>
          <w:sz w:val="38"/>
        </w:rPr>
        <w:t>High</w:t>
      </w:r>
      <w:r>
        <w:rPr>
          <w:spacing w:val="-10"/>
          <w:sz w:val="38"/>
        </w:rPr>
        <w:t> </w:t>
      </w:r>
      <w:r>
        <w:rPr>
          <w:sz w:val="38"/>
        </w:rPr>
        <w:t>cholesterol</w:t>
      </w:r>
    </w:p>
    <w:p>
      <w:pPr>
        <w:pStyle w:val="ListParagraph"/>
        <w:numPr>
          <w:ilvl w:val="0"/>
          <w:numId w:val="120"/>
        </w:numPr>
        <w:tabs>
          <w:tab w:pos="1031" w:val="left" w:leader="none"/>
          <w:tab w:pos="1032" w:val="left" w:leader="none"/>
        </w:tabs>
        <w:spacing w:line="240" w:lineRule="auto" w:before="183" w:after="0"/>
        <w:ind w:left="899" w:right="0" w:hanging="283"/>
        <w:jc w:val="left"/>
        <w:rPr>
          <w:sz w:val="38"/>
        </w:rPr>
      </w:pPr>
      <w:r>
        <w:rPr>
          <w:sz w:val="38"/>
        </w:rPr>
        <w:t>High</w:t>
      </w:r>
      <w:r>
        <w:rPr>
          <w:spacing w:val="-9"/>
          <w:sz w:val="38"/>
        </w:rPr>
        <w:t> </w:t>
      </w:r>
      <w:r>
        <w:rPr>
          <w:sz w:val="38"/>
        </w:rPr>
        <w:t>triglyceride</w:t>
      </w:r>
    </w:p>
    <w:p>
      <w:pPr>
        <w:pStyle w:val="ListParagraph"/>
        <w:numPr>
          <w:ilvl w:val="0"/>
          <w:numId w:val="120"/>
        </w:numPr>
        <w:tabs>
          <w:tab w:pos="1031" w:val="left" w:leader="none"/>
          <w:tab w:pos="1032" w:val="left" w:leader="none"/>
        </w:tabs>
        <w:spacing w:line="240" w:lineRule="auto" w:before="186" w:after="0"/>
        <w:ind w:left="899" w:right="0" w:hanging="283"/>
        <w:jc w:val="left"/>
        <w:rPr>
          <w:sz w:val="38"/>
        </w:rPr>
      </w:pPr>
      <w:r>
        <w:rPr>
          <w:sz w:val="38"/>
        </w:rPr>
        <w:t>Dyslipidemia</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Infections</w:t>
      </w:r>
    </w:p>
    <w:p>
      <w:pPr>
        <w:pStyle w:val="ListParagraph"/>
        <w:numPr>
          <w:ilvl w:val="0"/>
          <w:numId w:val="120"/>
        </w:numPr>
        <w:tabs>
          <w:tab w:pos="1031" w:val="left" w:leader="none"/>
          <w:tab w:pos="1032" w:val="left" w:leader="none"/>
        </w:tabs>
        <w:spacing w:line="240" w:lineRule="auto" w:before="183" w:after="0"/>
        <w:ind w:left="899" w:right="0" w:hanging="283"/>
        <w:jc w:val="left"/>
        <w:rPr>
          <w:sz w:val="38"/>
        </w:rPr>
      </w:pPr>
      <w:r>
        <w:rPr>
          <w:sz w:val="38"/>
        </w:rPr>
        <w:t>Osteoporosis</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Gout</w:t>
      </w:r>
    </w:p>
    <w:p>
      <w:pPr>
        <w:pStyle w:val="ListParagraph"/>
        <w:numPr>
          <w:ilvl w:val="0"/>
          <w:numId w:val="120"/>
        </w:numPr>
        <w:tabs>
          <w:tab w:pos="1031" w:val="left" w:leader="none"/>
          <w:tab w:pos="1032" w:val="left" w:leader="none"/>
        </w:tabs>
        <w:spacing w:line="240" w:lineRule="auto" w:before="186" w:after="0"/>
        <w:ind w:left="899" w:right="0" w:hanging="283"/>
        <w:jc w:val="left"/>
        <w:rPr>
          <w:sz w:val="38"/>
        </w:rPr>
      </w:pPr>
      <w:r>
        <w:rPr>
          <w:sz w:val="38"/>
        </w:rPr>
        <w:t>Bronchitis</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Chronic fatigue</w:t>
      </w:r>
      <w:r>
        <w:rPr>
          <w:spacing w:val="-3"/>
          <w:sz w:val="38"/>
        </w:rPr>
        <w:t> </w:t>
      </w:r>
      <w:r>
        <w:rPr>
          <w:sz w:val="38"/>
        </w:rPr>
        <w:t>syndrome</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Allergies, general</w:t>
      </w:r>
      <w:r>
        <w:rPr>
          <w:spacing w:val="-2"/>
          <w:sz w:val="38"/>
        </w:rPr>
        <w:t> </w:t>
      </w:r>
      <w:r>
        <w:rPr>
          <w:sz w:val="38"/>
        </w:rPr>
        <w:t>rheumatism</w:t>
      </w:r>
    </w:p>
    <w:p>
      <w:pPr>
        <w:pStyle w:val="ListParagraph"/>
        <w:numPr>
          <w:ilvl w:val="0"/>
          <w:numId w:val="120"/>
        </w:numPr>
        <w:tabs>
          <w:tab w:pos="1031" w:val="left" w:leader="none"/>
          <w:tab w:pos="1032" w:val="left" w:leader="none"/>
        </w:tabs>
        <w:spacing w:line="240" w:lineRule="auto" w:before="183" w:after="0"/>
        <w:ind w:left="899" w:right="0" w:hanging="283"/>
        <w:jc w:val="left"/>
        <w:rPr>
          <w:sz w:val="38"/>
        </w:rPr>
      </w:pPr>
      <w:r>
        <w:rPr>
          <w:sz w:val="38"/>
        </w:rPr>
        <w:t>Fibromyalgia</w:t>
      </w:r>
    </w:p>
    <w:p>
      <w:pPr>
        <w:pStyle w:val="ListParagraph"/>
        <w:numPr>
          <w:ilvl w:val="0"/>
          <w:numId w:val="120"/>
        </w:numPr>
        <w:tabs>
          <w:tab w:pos="1031" w:val="left" w:leader="none"/>
          <w:tab w:pos="1032" w:val="left" w:leader="none"/>
        </w:tabs>
        <w:spacing w:line="240" w:lineRule="auto" w:before="185" w:after="0"/>
        <w:ind w:left="899" w:right="0" w:hanging="283"/>
        <w:jc w:val="left"/>
        <w:rPr>
          <w:sz w:val="38"/>
        </w:rPr>
      </w:pPr>
      <w:r>
        <w:rPr>
          <w:sz w:val="38"/>
        </w:rPr>
        <w:t>Diabetes</w:t>
      </w:r>
    </w:p>
    <w:p>
      <w:pPr>
        <w:pStyle w:val="ListParagraph"/>
        <w:numPr>
          <w:ilvl w:val="0"/>
          <w:numId w:val="120"/>
        </w:numPr>
        <w:tabs>
          <w:tab w:pos="1031" w:val="left" w:leader="none"/>
          <w:tab w:pos="1032" w:val="left" w:leader="none"/>
        </w:tabs>
        <w:spacing w:line="240" w:lineRule="auto" w:before="186" w:after="0"/>
        <w:ind w:left="899" w:right="0" w:hanging="283"/>
        <w:jc w:val="left"/>
        <w:rPr>
          <w:sz w:val="38"/>
        </w:rPr>
      </w:pPr>
      <w:r>
        <w:rPr>
          <w:sz w:val="38"/>
        </w:rPr>
        <w:t>Migraines/headaches</w:t>
      </w:r>
    </w:p>
    <w:p>
      <w:pPr>
        <w:pStyle w:val="ListParagraph"/>
        <w:numPr>
          <w:ilvl w:val="0"/>
          <w:numId w:val="120"/>
        </w:numPr>
        <w:tabs>
          <w:tab w:pos="1031" w:val="left" w:leader="none"/>
          <w:tab w:pos="1032" w:val="left" w:leader="none"/>
        </w:tabs>
        <w:spacing w:line="240" w:lineRule="auto" w:before="183" w:after="0"/>
        <w:ind w:left="899" w:right="0" w:hanging="283"/>
        <w:jc w:val="left"/>
        <w:rPr>
          <w:sz w:val="38"/>
        </w:rPr>
      </w:pPr>
      <w:r>
        <w:rPr>
          <w:sz w:val="38"/>
        </w:rPr>
        <w:t>Arthritis</w:t>
      </w:r>
    </w:p>
    <w:p>
      <w:pPr>
        <w:spacing w:after="0" w:line="240" w:lineRule="auto"/>
        <w:jc w:val="left"/>
        <w:rPr>
          <w:sz w:val="38"/>
        </w:rPr>
        <w:sectPr>
          <w:pgSz w:w="14270" w:h="16850"/>
          <w:pgMar w:header="0" w:footer="1891" w:top="1320" w:bottom="2080" w:left="800" w:right="1280"/>
        </w:sectPr>
      </w:pPr>
    </w:p>
    <w:p>
      <w:pPr>
        <w:pStyle w:val="ListParagraph"/>
        <w:numPr>
          <w:ilvl w:val="0"/>
          <w:numId w:val="120"/>
        </w:numPr>
        <w:tabs>
          <w:tab w:pos="1031" w:val="left" w:leader="none"/>
          <w:tab w:pos="1032" w:val="left" w:leader="none"/>
        </w:tabs>
        <w:spacing w:line="240" w:lineRule="auto" w:before="53" w:after="0"/>
        <w:ind w:left="899" w:right="0" w:hanging="283"/>
        <w:jc w:val="left"/>
        <w:rPr>
          <w:sz w:val="38"/>
        </w:rPr>
      </w:pPr>
      <w:r>
        <w:rPr>
          <w:sz w:val="38"/>
        </w:rPr>
        <w:t>Hepatitis</w:t>
      </w:r>
      <w:r>
        <w:rPr>
          <w:spacing w:val="1"/>
          <w:sz w:val="38"/>
        </w:rPr>
        <w:t> </w:t>
      </w:r>
      <w:r>
        <w:rPr>
          <w:sz w:val="38"/>
        </w:rPr>
        <w:t>B</w:t>
      </w:r>
    </w:p>
    <w:p>
      <w:pPr>
        <w:pStyle w:val="ListParagraph"/>
        <w:numPr>
          <w:ilvl w:val="0"/>
          <w:numId w:val="120"/>
        </w:numPr>
        <w:tabs>
          <w:tab w:pos="1031" w:val="left" w:leader="none"/>
          <w:tab w:pos="1032" w:val="left" w:leader="none"/>
        </w:tabs>
        <w:spacing w:line="240" w:lineRule="auto" w:before="186" w:after="0"/>
        <w:ind w:left="899" w:right="0" w:hanging="283"/>
        <w:jc w:val="left"/>
        <w:rPr>
          <w:sz w:val="38"/>
        </w:rPr>
      </w:pPr>
      <w:r>
        <w:rPr>
          <w:sz w:val="38"/>
        </w:rPr>
        <w:t>Tinnitus</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Migraines</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HIV</w:t>
      </w:r>
    </w:p>
    <w:p>
      <w:pPr>
        <w:pStyle w:val="ListParagraph"/>
        <w:numPr>
          <w:ilvl w:val="0"/>
          <w:numId w:val="120"/>
        </w:numPr>
        <w:tabs>
          <w:tab w:pos="1031" w:val="left" w:leader="none"/>
          <w:tab w:pos="1032" w:val="left" w:leader="none"/>
        </w:tabs>
        <w:spacing w:line="240" w:lineRule="auto" w:before="183" w:after="0"/>
        <w:ind w:left="899" w:right="0" w:hanging="283"/>
        <w:jc w:val="left"/>
        <w:rPr>
          <w:sz w:val="38"/>
        </w:rPr>
      </w:pPr>
      <w:r>
        <w:rPr>
          <w:sz w:val="38"/>
        </w:rPr>
        <w:t>Measles</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Chickenpox</w:t>
      </w:r>
    </w:p>
    <w:p>
      <w:pPr>
        <w:pStyle w:val="ListParagraph"/>
        <w:numPr>
          <w:ilvl w:val="0"/>
          <w:numId w:val="120"/>
        </w:numPr>
        <w:tabs>
          <w:tab w:pos="1031" w:val="left" w:leader="none"/>
          <w:tab w:pos="1032" w:val="left" w:leader="none"/>
        </w:tabs>
        <w:spacing w:line="240" w:lineRule="auto" w:before="186" w:after="0"/>
        <w:ind w:left="899" w:right="0" w:hanging="283"/>
        <w:jc w:val="left"/>
        <w:rPr>
          <w:sz w:val="38"/>
        </w:rPr>
      </w:pPr>
      <w:r>
        <w:rPr>
          <w:sz w:val="38"/>
        </w:rPr>
        <w:t>Inflammation of the</w:t>
      </w:r>
      <w:r>
        <w:rPr>
          <w:spacing w:val="1"/>
          <w:sz w:val="38"/>
        </w:rPr>
        <w:t> </w:t>
      </w:r>
      <w:r>
        <w:rPr>
          <w:sz w:val="38"/>
        </w:rPr>
        <w:t>pancreas</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Intestinal flora</w:t>
      </w:r>
      <w:r>
        <w:rPr>
          <w:spacing w:val="-1"/>
          <w:sz w:val="38"/>
        </w:rPr>
        <w:t> </w:t>
      </w:r>
      <w:r>
        <w:rPr>
          <w:sz w:val="38"/>
        </w:rPr>
        <w:t>build-up</w:t>
      </w:r>
    </w:p>
    <w:p>
      <w:pPr>
        <w:pStyle w:val="Heading1"/>
        <w:spacing w:before="287"/>
        <w:ind w:left="616"/>
      </w:pPr>
      <w:r>
        <w:rPr/>
        <w:t>Effect on cancer/tumours</w:t>
      </w:r>
    </w:p>
    <w:p>
      <w:pPr>
        <w:pStyle w:val="BodyText"/>
        <w:spacing w:line="278" w:lineRule="auto" w:before="297"/>
        <w:ind w:left="616"/>
        <w:rPr>
          <w:sz w:val="25"/>
        </w:rPr>
      </w:pPr>
      <w:r>
        <w:rPr/>
        <w:t>Shiitake have demonstrated an anti-tumour effect in the following types of cancer:</w:t>
      </w:r>
      <w:r>
        <w:rPr>
          <w:position w:val="9"/>
          <w:sz w:val="25"/>
        </w:rPr>
        <w:t>935</w:t>
      </w:r>
    </w:p>
    <w:p>
      <w:pPr>
        <w:pStyle w:val="ListParagraph"/>
        <w:numPr>
          <w:ilvl w:val="0"/>
          <w:numId w:val="120"/>
        </w:numPr>
        <w:tabs>
          <w:tab w:pos="1031" w:val="left" w:leader="none"/>
          <w:tab w:pos="1032" w:val="left" w:leader="none"/>
        </w:tabs>
        <w:spacing w:line="240" w:lineRule="auto" w:before="194" w:after="0"/>
        <w:ind w:left="899" w:right="0" w:hanging="283"/>
        <w:jc w:val="left"/>
        <w:rPr>
          <w:sz w:val="38"/>
        </w:rPr>
      </w:pPr>
      <w:r>
        <w:rPr>
          <w:sz w:val="38"/>
        </w:rPr>
        <w:t>Liver cancer</w:t>
      </w:r>
    </w:p>
    <w:p>
      <w:pPr>
        <w:pStyle w:val="ListParagraph"/>
        <w:numPr>
          <w:ilvl w:val="0"/>
          <w:numId w:val="120"/>
        </w:numPr>
        <w:tabs>
          <w:tab w:pos="1031" w:val="left" w:leader="none"/>
          <w:tab w:pos="1032" w:val="left" w:leader="none"/>
        </w:tabs>
        <w:spacing w:line="240" w:lineRule="auto" w:before="183" w:after="0"/>
        <w:ind w:left="899" w:right="0" w:hanging="283"/>
        <w:jc w:val="left"/>
        <w:rPr>
          <w:sz w:val="38"/>
        </w:rPr>
      </w:pPr>
      <w:r>
        <w:rPr>
          <w:sz w:val="38"/>
        </w:rPr>
        <w:t>Stomach</w:t>
      </w:r>
      <w:r>
        <w:rPr>
          <w:spacing w:val="-2"/>
          <w:sz w:val="38"/>
        </w:rPr>
        <w:t> </w:t>
      </w:r>
      <w:r>
        <w:rPr>
          <w:sz w:val="38"/>
        </w:rPr>
        <w:t>cancer</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Pancreatic</w:t>
      </w:r>
      <w:r>
        <w:rPr>
          <w:spacing w:val="-1"/>
          <w:sz w:val="38"/>
        </w:rPr>
        <w:t> </w:t>
      </w:r>
      <w:r>
        <w:rPr>
          <w:sz w:val="38"/>
        </w:rPr>
        <w:t>cancer</w:t>
      </w:r>
    </w:p>
    <w:p>
      <w:pPr>
        <w:pStyle w:val="ListParagraph"/>
        <w:numPr>
          <w:ilvl w:val="0"/>
          <w:numId w:val="120"/>
        </w:numPr>
        <w:tabs>
          <w:tab w:pos="1031" w:val="left" w:leader="none"/>
          <w:tab w:pos="1032" w:val="left" w:leader="none"/>
        </w:tabs>
        <w:spacing w:line="240" w:lineRule="auto" w:before="186" w:after="0"/>
        <w:ind w:left="899" w:right="0" w:hanging="283"/>
        <w:jc w:val="left"/>
        <w:rPr>
          <w:sz w:val="38"/>
        </w:rPr>
      </w:pPr>
      <w:r>
        <w:rPr>
          <w:sz w:val="38"/>
        </w:rPr>
        <w:t>Breast</w:t>
      </w:r>
      <w:r>
        <w:rPr>
          <w:spacing w:val="-1"/>
          <w:sz w:val="38"/>
        </w:rPr>
        <w:t> </w:t>
      </w:r>
      <w:r>
        <w:rPr>
          <w:sz w:val="38"/>
        </w:rPr>
        <w:t>cancer</w:t>
      </w:r>
    </w:p>
    <w:p>
      <w:pPr>
        <w:pStyle w:val="ListParagraph"/>
        <w:numPr>
          <w:ilvl w:val="0"/>
          <w:numId w:val="120"/>
        </w:numPr>
        <w:tabs>
          <w:tab w:pos="1031" w:val="left" w:leader="none"/>
          <w:tab w:pos="1032" w:val="left" w:leader="none"/>
        </w:tabs>
        <w:spacing w:line="240" w:lineRule="auto" w:before="183" w:after="0"/>
        <w:ind w:left="899" w:right="0" w:hanging="283"/>
        <w:jc w:val="left"/>
        <w:rPr>
          <w:sz w:val="38"/>
        </w:rPr>
      </w:pPr>
      <w:r>
        <w:rPr>
          <w:sz w:val="38"/>
        </w:rPr>
        <w:t>Melanoma</w:t>
      </w:r>
    </w:p>
    <w:p>
      <w:pPr>
        <w:pStyle w:val="BodyText"/>
        <w:rPr>
          <w:sz w:val="20"/>
        </w:rPr>
      </w:pPr>
    </w:p>
    <w:p>
      <w:pPr>
        <w:pStyle w:val="BodyText"/>
        <w:spacing w:before="8"/>
        <w:rPr>
          <w:sz w:val="17"/>
        </w:rPr>
      </w:pPr>
      <w:r>
        <w:rPr/>
        <w:pict>
          <v:line style="position:absolute;mso-position-horizontal-relative:page;mso-position-vertical-relative:paragraph;z-index:12992;mso-wrap-distance-left:0;mso-wrap-distance-right:0" from="70.823997pt,12.346011pt" to="214.843997pt,12.346011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935 </w:t>
      </w:r>
      <w:hyperlink r:id="rId433">
        <w:r>
          <w:rPr>
            <w:sz w:val="20"/>
          </w:rPr>
          <w:t>www.vitalpilze.de/lang/de/downloads/informationsschreiben_fuer_aerzte.pdf </w:t>
        </w:r>
      </w:hyperlink>
      <w:r>
        <w:rPr>
          <w:sz w:val="20"/>
        </w:rPr>
        <w:t>+ Gesellschaft für Vitalpilzkunde e.V.: Vitalpilze, 2007, p. 61</w:t>
      </w:r>
    </w:p>
    <w:p>
      <w:pPr>
        <w:spacing w:after="0"/>
        <w:jc w:val="left"/>
        <w:rPr>
          <w:sz w:val="20"/>
        </w:rPr>
        <w:sectPr>
          <w:pgSz w:w="14270" w:h="16850"/>
          <w:pgMar w:header="0" w:footer="1891" w:top="1360" w:bottom="2080" w:left="800" w:right="1280"/>
        </w:sectPr>
      </w:pPr>
    </w:p>
    <w:p>
      <w:pPr>
        <w:pStyle w:val="ListParagraph"/>
        <w:numPr>
          <w:ilvl w:val="0"/>
          <w:numId w:val="120"/>
        </w:numPr>
        <w:tabs>
          <w:tab w:pos="1032" w:val="left" w:leader="none"/>
        </w:tabs>
        <w:spacing w:line="240" w:lineRule="auto" w:before="53" w:after="0"/>
        <w:ind w:left="899" w:right="0" w:hanging="283"/>
        <w:jc w:val="both"/>
        <w:rPr>
          <w:sz w:val="38"/>
        </w:rPr>
      </w:pPr>
      <w:r>
        <w:rPr>
          <w:sz w:val="38"/>
        </w:rPr>
        <w:t>Prostate</w:t>
      </w:r>
      <w:r>
        <w:rPr>
          <w:spacing w:val="-1"/>
          <w:sz w:val="38"/>
        </w:rPr>
        <w:t> </w:t>
      </w:r>
      <w:r>
        <w:rPr>
          <w:sz w:val="38"/>
        </w:rPr>
        <w:t>cancer</w:t>
      </w:r>
    </w:p>
    <w:p>
      <w:pPr>
        <w:pStyle w:val="ListParagraph"/>
        <w:numPr>
          <w:ilvl w:val="0"/>
          <w:numId w:val="120"/>
        </w:numPr>
        <w:tabs>
          <w:tab w:pos="1032" w:val="left" w:leader="none"/>
        </w:tabs>
        <w:spacing w:line="240" w:lineRule="auto" w:before="186" w:after="0"/>
        <w:ind w:left="899" w:right="0" w:hanging="283"/>
        <w:jc w:val="both"/>
        <w:rPr>
          <w:sz w:val="38"/>
        </w:rPr>
      </w:pPr>
      <w:r>
        <w:rPr>
          <w:sz w:val="38"/>
        </w:rPr>
        <w:t>Lung cancer</w:t>
      </w:r>
    </w:p>
    <w:p>
      <w:pPr>
        <w:pStyle w:val="ListParagraph"/>
        <w:numPr>
          <w:ilvl w:val="0"/>
          <w:numId w:val="120"/>
        </w:numPr>
        <w:tabs>
          <w:tab w:pos="1032" w:val="left" w:leader="none"/>
        </w:tabs>
        <w:spacing w:line="240" w:lineRule="auto" w:before="184" w:after="0"/>
        <w:ind w:left="899" w:right="0" w:hanging="283"/>
        <w:jc w:val="both"/>
        <w:rPr>
          <w:sz w:val="38"/>
        </w:rPr>
      </w:pPr>
      <w:r>
        <w:rPr>
          <w:sz w:val="38"/>
        </w:rPr>
        <w:t>Ovarian cancer</w:t>
      </w:r>
    </w:p>
    <w:p>
      <w:pPr>
        <w:pStyle w:val="ListParagraph"/>
        <w:numPr>
          <w:ilvl w:val="0"/>
          <w:numId w:val="120"/>
        </w:numPr>
        <w:tabs>
          <w:tab w:pos="1032" w:val="left" w:leader="none"/>
        </w:tabs>
        <w:spacing w:line="240" w:lineRule="auto" w:before="184" w:after="0"/>
        <w:ind w:left="899" w:right="0" w:hanging="283"/>
        <w:jc w:val="both"/>
        <w:rPr>
          <w:sz w:val="38"/>
        </w:rPr>
      </w:pPr>
      <w:r>
        <w:rPr>
          <w:sz w:val="38"/>
        </w:rPr>
        <w:t>Leukaemia</w:t>
      </w:r>
    </w:p>
    <w:p>
      <w:pPr>
        <w:pStyle w:val="BodyText"/>
        <w:rPr>
          <w:sz w:val="44"/>
        </w:rPr>
      </w:pPr>
    </w:p>
    <w:p>
      <w:pPr>
        <w:pStyle w:val="BodyText"/>
        <w:rPr>
          <w:sz w:val="44"/>
        </w:rPr>
      </w:pPr>
    </w:p>
    <w:p>
      <w:pPr>
        <w:pStyle w:val="BodyText"/>
        <w:rPr>
          <w:sz w:val="44"/>
        </w:rPr>
      </w:pPr>
    </w:p>
    <w:p>
      <w:pPr>
        <w:pStyle w:val="BodyText"/>
        <w:spacing w:before="2"/>
        <w:rPr>
          <w:sz w:val="60"/>
        </w:rPr>
      </w:pPr>
    </w:p>
    <w:p>
      <w:pPr>
        <w:pStyle w:val="Heading1"/>
        <w:spacing w:before="0"/>
        <w:ind w:left="616"/>
        <w:jc w:val="both"/>
      </w:pPr>
      <w:r>
        <w:rPr/>
        <w:t>Scientific study on the effects of</w:t>
      </w:r>
      <w:r>
        <w:rPr>
          <w:spacing w:val="-66"/>
        </w:rPr>
        <w:t> </w:t>
      </w:r>
      <w:r>
        <w:rPr/>
        <w:t>Shiitake</w:t>
      </w:r>
    </w:p>
    <w:p>
      <w:pPr>
        <w:spacing w:before="282"/>
        <w:ind w:left="616" w:right="0" w:firstLine="0"/>
        <w:jc w:val="both"/>
        <w:rPr>
          <w:b/>
          <w:i/>
          <w:sz w:val="40"/>
        </w:rPr>
      </w:pPr>
      <w:r>
        <w:rPr>
          <w:b/>
          <w:i/>
          <w:sz w:val="40"/>
        </w:rPr>
        <w:t>Beta-glucane decreases frequency of infections in studies.</w:t>
      </w:r>
    </w:p>
    <w:p>
      <w:pPr>
        <w:pStyle w:val="BodyText"/>
        <w:spacing w:line="276" w:lineRule="auto" w:before="297"/>
        <w:ind w:left="616" w:right="133"/>
        <w:jc w:val="both"/>
        <w:rPr>
          <w:sz w:val="25"/>
        </w:rPr>
      </w:pPr>
      <w:r>
        <w:rPr/>
        <w:t>As mentioned before, in a study in Sao Paulo/Brazil, patients with serious in- juries (burns, head injuries) were treated with beta-glucan also found in Shii- take. The instances of pneumonia and suppuration were reduced from 65 % to 14.3 %. The number of cases of pneumonia fell from 55 % to 9.5 % and suppuration from 35 % to 9.5 %. The mortality rate was reducing from 30 % to</w:t>
      </w:r>
      <w:r>
        <w:rPr>
          <w:spacing w:val="-11"/>
        </w:rPr>
        <w:t> </w:t>
      </w:r>
      <w:r>
        <w:rPr/>
        <w:t>just</w:t>
      </w:r>
      <w:r>
        <w:rPr>
          <w:spacing w:val="-12"/>
        </w:rPr>
        <w:t> </w:t>
      </w:r>
      <w:r>
        <w:rPr/>
        <w:t>4.8</w:t>
      </w:r>
      <w:r>
        <w:rPr>
          <w:spacing w:val="-11"/>
        </w:rPr>
        <w:t> </w:t>
      </w:r>
      <w:r>
        <w:rPr/>
        <w:t>%,</w:t>
      </w:r>
      <w:r>
        <w:rPr>
          <w:spacing w:val="-11"/>
        </w:rPr>
        <w:t> </w:t>
      </w:r>
      <w:r>
        <w:rPr/>
        <w:t>the</w:t>
      </w:r>
      <w:r>
        <w:rPr>
          <w:spacing w:val="-11"/>
        </w:rPr>
        <w:t> </w:t>
      </w:r>
      <w:r>
        <w:rPr/>
        <w:t>hospitalisation</w:t>
      </w:r>
      <w:r>
        <w:rPr>
          <w:spacing w:val="-10"/>
        </w:rPr>
        <w:t> </w:t>
      </w:r>
      <w:r>
        <w:rPr/>
        <w:t>period</w:t>
      </w:r>
      <w:r>
        <w:rPr>
          <w:spacing w:val="-12"/>
        </w:rPr>
        <w:t> </w:t>
      </w:r>
      <w:r>
        <w:rPr/>
        <w:t>was</w:t>
      </w:r>
      <w:r>
        <w:rPr>
          <w:spacing w:val="-11"/>
        </w:rPr>
        <w:t> </w:t>
      </w:r>
      <w:r>
        <w:rPr/>
        <w:t>also</w:t>
      </w:r>
      <w:r>
        <w:rPr>
          <w:spacing w:val="-14"/>
        </w:rPr>
        <w:t> </w:t>
      </w:r>
      <w:r>
        <w:rPr/>
        <w:t>significantly</w:t>
      </w:r>
      <w:r>
        <w:rPr>
          <w:spacing w:val="-13"/>
        </w:rPr>
        <w:t> </w:t>
      </w:r>
      <w:r>
        <w:rPr/>
        <w:t>shortened.</w:t>
      </w:r>
      <w:r>
        <w:rPr>
          <w:spacing w:val="-10"/>
        </w:rPr>
        <w:t> </w:t>
      </w:r>
      <w:r>
        <w:rPr/>
        <w:t>There were no side effects.</w:t>
      </w:r>
      <w:r>
        <w:rPr>
          <w:position w:val="9"/>
          <w:sz w:val="25"/>
        </w:rPr>
        <w:t>936 </w:t>
      </w:r>
      <w:r>
        <w:rPr/>
        <w:t>A further study on diabetics who had undergone</w:t>
      </w:r>
      <w:r>
        <w:rPr>
          <w:spacing w:val="-38"/>
        </w:rPr>
        <w:t> </w:t>
      </w:r>
      <w:r>
        <w:rPr/>
        <w:t>oper- ations making them particularly susceptible to infections, showed the con- sumption of beta-glucans reduced the infection rate from 80 % to 25</w:t>
      </w:r>
      <w:r>
        <w:rPr>
          <w:spacing w:val="-13"/>
        </w:rPr>
        <w:t> </w:t>
      </w:r>
      <w:r>
        <w:rPr/>
        <w:t>%</w:t>
      </w:r>
      <w:r>
        <w:rPr>
          <w:position w:val="9"/>
          <w:sz w:val="25"/>
        </w:rPr>
        <w:t>937</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r>
        <w:rPr/>
        <w:pict>
          <v:line style="position:absolute;mso-position-horizontal-relative:page;mso-position-vertical-relative:paragraph;z-index:13016;mso-wrap-distance-left:0;mso-wrap-distance-right:0" from="70.823997pt,15.753657pt" to="214.843997pt,15.753657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936 </w:t>
      </w:r>
      <w:r>
        <w:rPr>
          <w:sz w:val="20"/>
        </w:rPr>
        <w:t>Fuchs et al. 1998, p. 15</w:t>
      </w:r>
    </w:p>
    <w:p>
      <w:pPr>
        <w:spacing w:before="94"/>
        <w:ind w:left="616" w:right="0" w:firstLine="0"/>
        <w:jc w:val="left"/>
        <w:rPr>
          <w:sz w:val="20"/>
        </w:rPr>
      </w:pPr>
      <w:r>
        <w:rPr>
          <w:position w:val="5"/>
          <w:sz w:val="13"/>
        </w:rPr>
        <w:t>937 </w:t>
      </w:r>
      <w:r>
        <w:rPr>
          <w:sz w:val="20"/>
        </w:rPr>
        <w:t>Fuchs as cited, p. 19</w:t>
      </w:r>
    </w:p>
    <w:p>
      <w:pPr>
        <w:spacing w:after="0"/>
        <w:jc w:val="left"/>
        <w:rPr>
          <w:sz w:val="20"/>
        </w:rPr>
        <w:sectPr>
          <w:pgSz w:w="14270" w:h="16850"/>
          <w:pgMar w:header="0" w:footer="1891" w:top="1360" w:bottom="2080" w:left="800" w:right="1280"/>
        </w:sectPr>
      </w:pPr>
    </w:p>
    <w:p>
      <w:pPr>
        <w:pStyle w:val="Heading1"/>
        <w:spacing w:line="261" w:lineRule="auto" w:before="77"/>
        <w:ind w:left="616" w:right="137"/>
        <w:jc w:val="both"/>
      </w:pPr>
      <w:r>
        <w:rPr>
          <w:w w:val="95"/>
        </w:rPr>
        <w:t>Strengthening</w:t>
      </w:r>
      <w:r>
        <w:rPr>
          <w:spacing w:val="-22"/>
          <w:w w:val="95"/>
        </w:rPr>
        <w:t> </w:t>
      </w:r>
      <w:r>
        <w:rPr>
          <w:w w:val="95"/>
        </w:rPr>
        <w:t>the</w:t>
      </w:r>
      <w:r>
        <w:rPr>
          <w:spacing w:val="-23"/>
          <w:w w:val="95"/>
        </w:rPr>
        <w:t> </w:t>
      </w:r>
      <w:r>
        <w:rPr>
          <w:w w:val="95"/>
        </w:rPr>
        <w:t>immune</w:t>
      </w:r>
      <w:r>
        <w:rPr>
          <w:spacing w:val="-23"/>
          <w:w w:val="95"/>
        </w:rPr>
        <w:t> </w:t>
      </w:r>
      <w:r>
        <w:rPr>
          <w:w w:val="95"/>
        </w:rPr>
        <w:t>system</w:t>
      </w:r>
      <w:r>
        <w:rPr>
          <w:spacing w:val="-24"/>
          <w:w w:val="95"/>
        </w:rPr>
        <w:t> </w:t>
      </w:r>
      <w:r>
        <w:rPr>
          <w:w w:val="95"/>
        </w:rPr>
        <w:t>with</w:t>
      </w:r>
      <w:r>
        <w:rPr>
          <w:spacing w:val="-24"/>
          <w:w w:val="95"/>
        </w:rPr>
        <w:t> </w:t>
      </w:r>
      <w:r>
        <w:rPr>
          <w:w w:val="95"/>
        </w:rPr>
        <w:t>the</w:t>
      </w:r>
      <w:r>
        <w:rPr>
          <w:spacing w:val="-22"/>
          <w:w w:val="95"/>
        </w:rPr>
        <w:t> </w:t>
      </w:r>
      <w:r>
        <w:rPr>
          <w:w w:val="95"/>
        </w:rPr>
        <w:t>help</w:t>
      </w:r>
      <w:r>
        <w:rPr>
          <w:spacing w:val="-24"/>
          <w:w w:val="95"/>
        </w:rPr>
        <w:t> </w:t>
      </w:r>
      <w:r>
        <w:rPr>
          <w:w w:val="95"/>
        </w:rPr>
        <w:t>of</w:t>
      </w:r>
      <w:r>
        <w:rPr>
          <w:spacing w:val="-23"/>
          <w:w w:val="95"/>
        </w:rPr>
        <w:t> </w:t>
      </w:r>
      <w:r>
        <w:rPr>
          <w:w w:val="95"/>
        </w:rPr>
        <w:t>ingredients</w:t>
      </w:r>
      <w:r>
        <w:rPr>
          <w:spacing w:val="-22"/>
          <w:w w:val="95"/>
        </w:rPr>
        <w:t> </w:t>
      </w:r>
      <w:r>
        <w:rPr>
          <w:w w:val="95"/>
        </w:rPr>
        <w:t>from</w:t>
      </w:r>
      <w:r>
        <w:rPr>
          <w:spacing w:val="-23"/>
          <w:w w:val="95"/>
        </w:rPr>
        <w:t> </w:t>
      </w:r>
      <w:r>
        <w:rPr>
          <w:w w:val="95"/>
        </w:rPr>
        <w:t>Shi- </w:t>
      </w:r>
      <w:r>
        <w:rPr/>
        <w:t>itake</w:t>
      </w:r>
    </w:p>
    <w:p>
      <w:pPr>
        <w:pStyle w:val="BodyText"/>
        <w:spacing w:line="276" w:lineRule="auto" w:before="258"/>
        <w:ind w:left="616" w:right="132"/>
        <w:jc w:val="both"/>
        <w:rPr>
          <w:sz w:val="25"/>
        </w:rPr>
      </w:pPr>
      <w:r>
        <w:rPr/>
        <w:t>The</w:t>
      </w:r>
      <w:r>
        <w:rPr>
          <w:spacing w:val="-8"/>
        </w:rPr>
        <w:t> </w:t>
      </w:r>
      <w:r>
        <w:rPr/>
        <w:t>bioactive</w:t>
      </w:r>
      <w:r>
        <w:rPr>
          <w:spacing w:val="-9"/>
        </w:rPr>
        <w:t> </w:t>
      </w:r>
      <w:r>
        <w:rPr/>
        <w:t>ingredient</w:t>
      </w:r>
      <w:r>
        <w:rPr>
          <w:spacing w:val="-7"/>
        </w:rPr>
        <w:t> </w:t>
      </w:r>
      <w:r>
        <w:rPr/>
        <w:t>‘lentinan’</w:t>
      </w:r>
      <w:r>
        <w:rPr>
          <w:spacing w:val="-7"/>
        </w:rPr>
        <w:t> </w:t>
      </w:r>
      <w:r>
        <w:rPr/>
        <w:t>from</w:t>
      </w:r>
      <w:r>
        <w:rPr>
          <w:spacing w:val="-7"/>
        </w:rPr>
        <w:t> </w:t>
      </w:r>
      <w:r>
        <w:rPr/>
        <w:t>the</w:t>
      </w:r>
      <w:r>
        <w:rPr>
          <w:spacing w:val="-9"/>
        </w:rPr>
        <w:t> </w:t>
      </w:r>
      <w:r>
        <w:rPr/>
        <w:t>beta-glucan</w:t>
      </w:r>
      <w:r>
        <w:rPr>
          <w:spacing w:val="-8"/>
        </w:rPr>
        <w:t> </w:t>
      </w:r>
      <w:r>
        <w:rPr/>
        <w:t>fraction,</w:t>
      </w:r>
      <w:r>
        <w:rPr>
          <w:spacing w:val="-7"/>
        </w:rPr>
        <w:t> </w:t>
      </w:r>
      <w:r>
        <w:rPr/>
        <w:t>increases</w:t>
      </w:r>
      <w:r>
        <w:rPr>
          <w:spacing w:val="-8"/>
        </w:rPr>
        <w:t> </w:t>
      </w:r>
      <w:r>
        <w:rPr/>
        <w:t>the production</w:t>
      </w:r>
      <w:r>
        <w:rPr>
          <w:spacing w:val="-21"/>
        </w:rPr>
        <w:t> </w:t>
      </w:r>
      <w:r>
        <w:rPr/>
        <w:t>of</w:t>
      </w:r>
      <w:r>
        <w:rPr>
          <w:spacing w:val="-22"/>
        </w:rPr>
        <w:t> </w:t>
      </w:r>
      <w:r>
        <w:rPr/>
        <w:t>monocyte</w:t>
      </w:r>
      <w:r>
        <w:rPr>
          <w:spacing w:val="-21"/>
        </w:rPr>
        <w:t> </w:t>
      </w:r>
      <w:r>
        <w:rPr/>
        <w:t>T-cells,</w:t>
      </w:r>
      <w:r>
        <w:rPr>
          <w:spacing w:val="-24"/>
        </w:rPr>
        <w:t> </w:t>
      </w:r>
      <w:r>
        <w:rPr/>
        <w:t>immunoglobulin</w:t>
      </w:r>
      <w:r>
        <w:rPr>
          <w:spacing w:val="-20"/>
        </w:rPr>
        <w:t> </w:t>
      </w:r>
      <w:r>
        <w:rPr/>
        <w:t>igA</w:t>
      </w:r>
      <w:r>
        <w:rPr>
          <w:spacing w:val="-22"/>
        </w:rPr>
        <w:t> </w:t>
      </w:r>
      <w:r>
        <w:rPr/>
        <w:t>and</w:t>
      </w:r>
      <w:r>
        <w:rPr>
          <w:spacing w:val="-22"/>
        </w:rPr>
        <w:t> </w:t>
      </w:r>
      <w:r>
        <w:rPr/>
        <w:t>intensifies</w:t>
      </w:r>
      <w:r>
        <w:rPr>
          <w:spacing w:val="-22"/>
        </w:rPr>
        <w:t> </w:t>
      </w:r>
      <w:r>
        <w:rPr/>
        <w:t>the</w:t>
      </w:r>
      <w:r>
        <w:rPr>
          <w:spacing w:val="-20"/>
        </w:rPr>
        <w:t> </w:t>
      </w:r>
      <w:r>
        <w:rPr/>
        <w:t>effect of macrophages against viruses and</w:t>
      </w:r>
      <w:r>
        <w:rPr>
          <w:spacing w:val="1"/>
        </w:rPr>
        <w:t> </w:t>
      </w:r>
      <w:r>
        <w:rPr/>
        <w:t>bacteria.</w:t>
      </w:r>
      <w:r>
        <w:rPr>
          <w:position w:val="9"/>
          <w:sz w:val="25"/>
        </w:rPr>
        <w:t>938</w:t>
      </w:r>
    </w:p>
    <w:p>
      <w:pPr>
        <w:pStyle w:val="Heading1"/>
        <w:spacing w:line="261" w:lineRule="auto"/>
        <w:ind w:left="616" w:right="137"/>
        <w:jc w:val="both"/>
        <w:rPr>
          <w:b w:val="0"/>
          <w:i w:val="0"/>
          <w:sz w:val="25"/>
        </w:rPr>
      </w:pPr>
      <w:r>
        <w:rPr/>
        <w:t>Shiitake</w:t>
      </w:r>
      <w:r>
        <w:rPr>
          <w:spacing w:val="-26"/>
        </w:rPr>
        <w:t> </w:t>
      </w:r>
      <w:r>
        <w:rPr/>
        <w:t>leads</w:t>
      </w:r>
      <w:r>
        <w:rPr>
          <w:spacing w:val="-24"/>
        </w:rPr>
        <w:t> </w:t>
      </w:r>
      <w:r>
        <w:rPr/>
        <w:t>to</w:t>
      </w:r>
      <w:r>
        <w:rPr>
          <w:spacing w:val="-27"/>
        </w:rPr>
        <w:t> </w:t>
      </w:r>
      <w:r>
        <w:rPr/>
        <w:t>an</w:t>
      </w:r>
      <w:r>
        <w:rPr>
          <w:spacing w:val="-25"/>
        </w:rPr>
        <w:t> </w:t>
      </w:r>
      <w:r>
        <w:rPr/>
        <w:t>increased</w:t>
      </w:r>
      <w:r>
        <w:rPr>
          <w:spacing w:val="-26"/>
        </w:rPr>
        <w:t> </w:t>
      </w:r>
      <w:r>
        <w:rPr/>
        <w:t>formation</w:t>
      </w:r>
      <w:r>
        <w:rPr>
          <w:spacing w:val="-25"/>
        </w:rPr>
        <w:t> </w:t>
      </w:r>
      <w:r>
        <w:rPr/>
        <w:t>of</w:t>
      </w:r>
      <w:r>
        <w:rPr>
          <w:spacing w:val="-26"/>
        </w:rPr>
        <w:t> </w:t>
      </w:r>
      <w:r>
        <w:rPr/>
        <w:t>anti-bodies</w:t>
      </w:r>
      <w:r>
        <w:rPr>
          <w:spacing w:val="-25"/>
        </w:rPr>
        <w:t> </w:t>
      </w:r>
      <w:r>
        <w:rPr/>
        <w:t>IgF2</w:t>
      </w:r>
      <w:r>
        <w:rPr>
          <w:spacing w:val="-26"/>
        </w:rPr>
        <w:t> </w:t>
      </w:r>
      <w:r>
        <w:rPr/>
        <w:t>and</w:t>
      </w:r>
      <w:r>
        <w:rPr>
          <w:spacing w:val="-26"/>
        </w:rPr>
        <w:t> </w:t>
      </w:r>
      <w:r>
        <w:rPr/>
        <w:t>IgM which also strengthen the immune</w:t>
      </w:r>
      <w:r>
        <w:rPr>
          <w:spacing w:val="-65"/>
        </w:rPr>
        <w:t> </w:t>
      </w:r>
      <w:r>
        <w:rPr/>
        <w:t>system.</w:t>
      </w:r>
      <w:r>
        <w:rPr>
          <w:b w:val="0"/>
          <w:i w:val="0"/>
          <w:position w:val="9"/>
          <w:sz w:val="25"/>
        </w:rPr>
        <w:t>939</w:t>
      </w:r>
    </w:p>
    <w:p>
      <w:pPr>
        <w:spacing w:line="261" w:lineRule="auto" w:before="243"/>
        <w:ind w:left="616" w:right="141" w:firstLine="0"/>
        <w:jc w:val="both"/>
        <w:rPr>
          <w:b/>
          <w:i/>
          <w:sz w:val="40"/>
        </w:rPr>
      </w:pPr>
      <w:r>
        <w:rPr>
          <w:b/>
          <w:i/>
          <w:sz w:val="40"/>
        </w:rPr>
        <w:t>Study</w:t>
      </w:r>
      <w:r>
        <w:rPr>
          <w:b/>
          <w:i/>
          <w:spacing w:val="-60"/>
          <w:sz w:val="40"/>
        </w:rPr>
        <w:t> </w:t>
      </w:r>
      <w:r>
        <w:rPr>
          <w:b/>
          <w:i/>
          <w:sz w:val="40"/>
        </w:rPr>
        <w:t>regarding</w:t>
      </w:r>
      <w:r>
        <w:rPr>
          <w:b/>
          <w:i/>
          <w:spacing w:val="-57"/>
          <w:sz w:val="40"/>
        </w:rPr>
        <w:t> </w:t>
      </w:r>
      <w:r>
        <w:rPr>
          <w:b/>
          <w:i/>
          <w:sz w:val="40"/>
        </w:rPr>
        <w:t>the</w:t>
      </w:r>
      <w:r>
        <w:rPr>
          <w:b/>
          <w:i/>
          <w:spacing w:val="-59"/>
          <w:sz w:val="40"/>
        </w:rPr>
        <w:t> </w:t>
      </w:r>
      <w:r>
        <w:rPr>
          <w:b/>
          <w:i/>
          <w:sz w:val="40"/>
        </w:rPr>
        <w:t>reduction</w:t>
      </w:r>
      <w:r>
        <w:rPr>
          <w:b/>
          <w:i/>
          <w:spacing w:val="-58"/>
          <w:sz w:val="40"/>
        </w:rPr>
        <w:t> </w:t>
      </w:r>
      <w:r>
        <w:rPr>
          <w:b/>
          <w:i/>
          <w:sz w:val="40"/>
        </w:rPr>
        <w:t>of</w:t>
      </w:r>
      <w:r>
        <w:rPr>
          <w:b/>
          <w:i/>
          <w:spacing w:val="-59"/>
          <w:sz w:val="40"/>
        </w:rPr>
        <w:t> </w:t>
      </w:r>
      <w:r>
        <w:rPr>
          <w:b/>
          <w:i/>
          <w:sz w:val="40"/>
        </w:rPr>
        <w:t>cholesterol</w:t>
      </w:r>
      <w:r>
        <w:rPr>
          <w:b/>
          <w:i/>
          <w:spacing w:val="-58"/>
          <w:sz w:val="40"/>
        </w:rPr>
        <w:t> </w:t>
      </w:r>
      <w:r>
        <w:rPr>
          <w:b/>
          <w:i/>
          <w:sz w:val="40"/>
        </w:rPr>
        <w:t>with</w:t>
      </w:r>
      <w:r>
        <w:rPr>
          <w:b/>
          <w:i/>
          <w:spacing w:val="-59"/>
          <w:sz w:val="40"/>
        </w:rPr>
        <w:t> </w:t>
      </w:r>
      <w:r>
        <w:rPr>
          <w:b/>
          <w:i/>
          <w:sz w:val="40"/>
        </w:rPr>
        <w:t>the</w:t>
      </w:r>
      <w:r>
        <w:rPr>
          <w:b/>
          <w:i/>
          <w:spacing w:val="-58"/>
          <w:sz w:val="40"/>
        </w:rPr>
        <w:t> </w:t>
      </w:r>
      <w:r>
        <w:rPr>
          <w:b/>
          <w:i/>
          <w:sz w:val="40"/>
        </w:rPr>
        <w:t>substances</w:t>
      </w:r>
      <w:r>
        <w:rPr>
          <w:b/>
          <w:i/>
          <w:spacing w:val="-58"/>
          <w:sz w:val="40"/>
        </w:rPr>
        <w:t> </w:t>
      </w:r>
      <w:r>
        <w:rPr>
          <w:b/>
          <w:i/>
          <w:sz w:val="40"/>
        </w:rPr>
        <w:t>found in Shiitake</w:t>
      </w:r>
    </w:p>
    <w:p>
      <w:pPr>
        <w:pStyle w:val="BodyText"/>
        <w:spacing w:line="278" w:lineRule="auto" w:before="258"/>
        <w:ind w:left="616" w:right="132"/>
        <w:jc w:val="both"/>
        <w:rPr>
          <w:sz w:val="25"/>
        </w:rPr>
      </w:pPr>
      <w:r>
        <w:rPr/>
        <w:t>Eritadenine,</w:t>
      </w:r>
      <w:r>
        <w:rPr>
          <w:spacing w:val="-13"/>
        </w:rPr>
        <w:t> </w:t>
      </w:r>
      <w:r>
        <w:rPr/>
        <w:t>a</w:t>
      </w:r>
      <w:r>
        <w:rPr>
          <w:spacing w:val="-14"/>
        </w:rPr>
        <w:t> </w:t>
      </w:r>
      <w:r>
        <w:rPr/>
        <w:t>substance</w:t>
      </w:r>
      <w:r>
        <w:rPr>
          <w:spacing w:val="-12"/>
        </w:rPr>
        <w:t> </w:t>
      </w:r>
      <w:r>
        <w:rPr/>
        <w:t>found</w:t>
      </w:r>
      <w:r>
        <w:rPr>
          <w:spacing w:val="-13"/>
        </w:rPr>
        <w:t> </w:t>
      </w:r>
      <w:r>
        <w:rPr/>
        <w:t>in</w:t>
      </w:r>
      <w:r>
        <w:rPr>
          <w:spacing w:val="-15"/>
        </w:rPr>
        <w:t> </w:t>
      </w:r>
      <w:r>
        <w:rPr/>
        <w:t>Shiitake,</w:t>
      </w:r>
      <w:r>
        <w:rPr>
          <w:spacing w:val="-13"/>
        </w:rPr>
        <w:t> </w:t>
      </w:r>
      <w:r>
        <w:rPr/>
        <w:t>inhibits</w:t>
      </w:r>
      <w:r>
        <w:rPr>
          <w:spacing w:val="-14"/>
        </w:rPr>
        <w:t> </w:t>
      </w:r>
      <w:r>
        <w:rPr/>
        <w:t>the</w:t>
      </w:r>
      <w:r>
        <w:rPr>
          <w:spacing w:val="-12"/>
        </w:rPr>
        <w:t> </w:t>
      </w:r>
      <w:r>
        <w:rPr/>
        <w:t>influence</w:t>
      </w:r>
      <w:r>
        <w:rPr>
          <w:spacing w:val="-13"/>
        </w:rPr>
        <w:t> </w:t>
      </w:r>
      <w:r>
        <w:rPr/>
        <w:t>of</w:t>
      </w:r>
      <w:r>
        <w:rPr>
          <w:spacing w:val="-15"/>
        </w:rPr>
        <w:t> </w:t>
      </w:r>
      <w:r>
        <w:rPr/>
        <w:t>the</w:t>
      </w:r>
      <w:r>
        <w:rPr>
          <w:spacing w:val="-12"/>
        </w:rPr>
        <w:t> </w:t>
      </w:r>
      <w:r>
        <w:rPr/>
        <w:t>linoleic acid metabolism in liver cells and thus leads to a reduction in</w:t>
      </w:r>
      <w:r>
        <w:rPr>
          <w:spacing w:val="-13"/>
        </w:rPr>
        <w:t> </w:t>
      </w:r>
      <w:r>
        <w:rPr/>
        <w:t>cholesterol.</w:t>
      </w:r>
      <w:r>
        <w:rPr>
          <w:position w:val="9"/>
          <w:sz w:val="25"/>
        </w:rPr>
        <w:t>940</w:t>
      </w:r>
    </w:p>
    <w:p>
      <w:pPr>
        <w:pStyle w:val="Heading2"/>
        <w:spacing w:before="232"/>
        <w:ind w:left="616"/>
      </w:pPr>
      <w:r>
        <w:rPr/>
        <w:t>Studies show Shiitake combats arteriosclerosis</w:t>
      </w:r>
    </w:p>
    <w:p>
      <w:pPr>
        <w:pStyle w:val="BodyText"/>
        <w:spacing w:before="305"/>
        <w:ind w:left="616"/>
        <w:rPr>
          <w:sz w:val="25"/>
        </w:rPr>
      </w:pPr>
      <w:r>
        <w:rPr/>
        <w:t>An anti-atherogenic effect could be proven in Shiitake mushrooms.</w:t>
      </w:r>
      <w:r>
        <w:rPr>
          <w:position w:val="9"/>
          <w:sz w:val="25"/>
        </w:rPr>
        <w:t>941</w:t>
      </w:r>
    </w:p>
    <w:p>
      <w:pPr>
        <w:pStyle w:val="Heading1"/>
        <w:spacing w:line="261" w:lineRule="auto" w:before="287"/>
        <w:ind w:left="616" w:right="137"/>
        <w:jc w:val="both"/>
        <w:rPr>
          <w:b w:val="0"/>
          <w:i w:val="0"/>
          <w:sz w:val="25"/>
        </w:rPr>
      </w:pPr>
      <w:r>
        <w:rPr>
          <w:w w:val="95"/>
        </w:rPr>
        <w:t>Furthermore,</w:t>
      </w:r>
      <w:r>
        <w:rPr>
          <w:spacing w:val="-15"/>
          <w:w w:val="95"/>
        </w:rPr>
        <w:t> </w:t>
      </w:r>
      <w:r>
        <w:rPr>
          <w:w w:val="95"/>
        </w:rPr>
        <w:t>the</w:t>
      </w:r>
      <w:r>
        <w:rPr>
          <w:spacing w:val="-15"/>
          <w:w w:val="95"/>
        </w:rPr>
        <w:t> </w:t>
      </w:r>
      <w:r>
        <w:rPr>
          <w:w w:val="95"/>
        </w:rPr>
        <w:t>cholesterol-lowering</w:t>
      </w:r>
      <w:r>
        <w:rPr>
          <w:spacing w:val="-14"/>
          <w:w w:val="95"/>
        </w:rPr>
        <w:t> </w:t>
      </w:r>
      <w:r>
        <w:rPr>
          <w:w w:val="95"/>
        </w:rPr>
        <w:t>effect</w:t>
      </w:r>
      <w:r>
        <w:rPr>
          <w:spacing w:val="-15"/>
          <w:w w:val="95"/>
        </w:rPr>
        <w:t> </w:t>
      </w:r>
      <w:r>
        <w:rPr>
          <w:w w:val="95"/>
        </w:rPr>
        <w:t>of</w:t>
      </w:r>
      <w:r>
        <w:rPr>
          <w:spacing w:val="-15"/>
          <w:w w:val="95"/>
        </w:rPr>
        <w:t> </w:t>
      </w:r>
      <w:r>
        <w:rPr>
          <w:w w:val="95"/>
        </w:rPr>
        <w:t>eritadenine</w:t>
      </w:r>
      <w:r>
        <w:rPr>
          <w:spacing w:val="-13"/>
          <w:w w:val="95"/>
        </w:rPr>
        <w:t> </w:t>
      </w:r>
      <w:r>
        <w:rPr>
          <w:w w:val="95"/>
        </w:rPr>
        <w:t>is</w:t>
      </w:r>
      <w:r>
        <w:rPr>
          <w:spacing w:val="-14"/>
          <w:w w:val="95"/>
        </w:rPr>
        <w:t> </w:t>
      </w:r>
      <w:r>
        <w:rPr>
          <w:w w:val="95"/>
        </w:rPr>
        <w:t>connected to</w:t>
      </w:r>
      <w:r>
        <w:rPr>
          <w:spacing w:val="-17"/>
          <w:w w:val="95"/>
        </w:rPr>
        <w:t> </w:t>
      </w:r>
      <w:r>
        <w:rPr>
          <w:w w:val="95"/>
        </w:rPr>
        <w:t>the</w:t>
      </w:r>
      <w:r>
        <w:rPr>
          <w:spacing w:val="-15"/>
          <w:w w:val="95"/>
        </w:rPr>
        <w:t> </w:t>
      </w:r>
      <w:r>
        <w:rPr>
          <w:w w:val="95"/>
        </w:rPr>
        <w:t>relationship</w:t>
      </w:r>
      <w:r>
        <w:rPr>
          <w:spacing w:val="-16"/>
          <w:w w:val="95"/>
        </w:rPr>
        <w:t> </w:t>
      </w:r>
      <w:r>
        <w:rPr>
          <w:w w:val="95"/>
        </w:rPr>
        <w:t>of</w:t>
      </w:r>
      <w:r>
        <w:rPr>
          <w:spacing w:val="-15"/>
          <w:w w:val="95"/>
        </w:rPr>
        <w:t> </w:t>
      </w:r>
      <w:r>
        <w:rPr>
          <w:w w:val="95"/>
        </w:rPr>
        <w:t>phosphatidylcholine</w:t>
      </w:r>
      <w:r>
        <w:rPr>
          <w:spacing w:val="-13"/>
          <w:w w:val="95"/>
        </w:rPr>
        <w:t> </w:t>
      </w:r>
      <w:r>
        <w:rPr>
          <w:w w:val="95"/>
        </w:rPr>
        <w:t>to</w:t>
      </w:r>
      <w:r>
        <w:rPr>
          <w:spacing w:val="-14"/>
          <w:w w:val="95"/>
        </w:rPr>
        <w:t> </w:t>
      </w:r>
      <w:r>
        <w:rPr>
          <w:w w:val="95"/>
        </w:rPr>
        <w:t>phosphatidylethanolamine </w:t>
      </w:r>
      <w:r>
        <w:rPr/>
        <w:t>in the</w:t>
      </w:r>
      <w:r>
        <w:rPr>
          <w:spacing w:val="-13"/>
        </w:rPr>
        <w:t> </w:t>
      </w:r>
      <w:r>
        <w:rPr/>
        <w:t>liver.</w:t>
      </w:r>
      <w:r>
        <w:rPr>
          <w:b w:val="0"/>
          <w:i w:val="0"/>
          <w:position w:val="9"/>
          <w:sz w:val="25"/>
        </w:rPr>
        <w:t>942</w:t>
      </w:r>
    </w:p>
    <w:p>
      <w:pPr>
        <w:pStyle w:val="BodyText"/>
        <w:rPr>
          <w:sz w:val="20"/>
        </w:rPr>
      </w:pPr>
    </w:p>
    <w:p>
      <w:pPr>
        <w:pStyle w:val="BodyText"/>
        <w:spacing w:before="8"/>
        <w:rPr>
          <w:sz w:val="19"/>
        </w:rPr>
      </w:pPr>
      <w:r>
        <w:rPr/>
        <w:pict>
          <v:line style="position:absolute;mso-position-horizontal-relative:page;mso-position-vertical-relative:paragraph;z-index:13040;mso-wrap-distance-left:0;mso-wrap-distance-right:0" from="70.823997pt,13.451265pt" to="214.843997pt,13.451265pt" stroked="true" strokeweight=".71997pt" strokecolor="#000000">
            <v:stroke dashstyle="solid"/>
            <w10:wrap type="topAndBottom"/>
          </v:line>
        </w:pict>
      </w:r>
    </w:p>
    <w:p>
      <w:pPr>
        <w:pStyle w:val="BodyText"/>
        <w:spacing w:before="7"/>
        <w:rPr>
          <w:sz w:val="18"/>
        </w:rPr>
      </w:pPr>
    </w:p>
    <w:p>
      <w:pPr>
        <w:spacing w:line="276" w:lineRule="auto" w:before="99"/>
        <w:ind w:left="616" w:right="281" w:firstLine="0"/>
        <w:jc w:val="left"/>
        <w:rPr>
          <w:sz w:val="20"/>
        </w:rPr>
      </w:pPr>
      <w:r>
        <w:rPr>
          <w:position w:val="5"/>
          <w:sz w:val="13"/>
        </w:rPr>
        <w:t>938 </w:t>
      </w:r>
      <w:r>
        <w:rPr>
          <w:sz w:val="20"/>
        </w:rPr>
        <w:t>Kupfahl C. et al.: Lentinan has a stimulatory effect on innate and adaptive immunity against murine Listeria monocytogenes infection. Int. Im- muno-pharmacol. 2006 Apr; 6 (4), pp. 686-696.</w:t>
      </w:r>
    </w:p>
    <w:p>
      <w:pPr>
        <w:spacing w:line="276" w:lineRule="auto" w:before="62"/>
        <w:ind w:left="616" w:right="0" w:firstLine="0"/>
        <w:jc w:val="left"/>
        <w:rPr>
          <w:sz w:val="20"/>
        </w:rPr>
      </w:pPr>
      <w:r>
        <w:rPr>
          <w:position w:val="5"/>
          <w:sz w:val="13"/>
        </w:rPr>
        <w:t>939 </w:t>
      </w:r>
      <w:r>
        <w:rPr>
          <w:sz w:val="20"/>
        </w:rPr>
        <w:t>Jennemann R. et al.: Human heterophile antibodies recognizing distinct carbohydrate epitopes on basidiolipids from different mushrooms. Im- munol Invest. 2001 May, 30 (2), pp. 115-129.</w:t>
      </w:r>
    </w:p>
    <w:p>
      <w:pPr>
        <w:spacing w:line="273" w:lineRule="auto" w:before="61"/>
        <w:ind w:left="616" w:right="399" w:firstLine="0"/>
        <w:jc w:val="left"/>
        <w:rPr>
          <w:sz w:val="20"/>
        </w:rPr>
      </w:pPr>
      <w:r>
        <w:rPr>
          <w:position w:val="5"/>
          <w:sz w:val="13"/>
        </w:rPr>
        <w:t>940 </w:t>
      </w:r>
      <w:r>
        <w:rPr>
          <w:sz w:val="20"/>
        </w:rPr>
        <w:t>Sugiyama K. et al.: Correlation of suppressed linoleic acid metabolism with the hypocholesterolemic action of eritadenine in rats. Lipids. 1997 Aug, 32 (8), pp. 859-866.</w:t>
      </w:r>
    </w:p>
    <w:p>
      <w:pPr>
        <w:spacing w:line="276" w:lineRule="auto" w:before="63"/>
        <w:ind w:left="616" w:right="102" w:firstLine="0"/>
        <w:jc w:val="left"/>
        <w:rPr>
          <w:sz w:val="20"/>
        </w:rPr>
      </w:pPr>
      <w:r>
        <w:rPr>
          <w:position w:val="5"/>
          <w:sz w:val="13"/>
        </w:rPr>
        <w:t>941 </w:t>
      </w:r>
      <w:r>
        <w:rPr>
          <w:sz w:val="20"/>
        </w:rPr>
        <w:t>Yamada T. et al.: Effects of Lentinus edodes mycelia on dietary-induced atherosclerotic involvement in rabbit aorta. J Atheroscler Thromb. 2002, 9 (3), pp. 149-156</w:t>
      </w:r>
    </w:p>
    <w:p>
      <w:pPr>
        <w:spacing w:line="276" w:lineRule="auto" w:before="61"/>
        <w:ind w:left="616" w:right="0" w:firstLine="0"/>
        <w:jc w:val="left"/>
        <w:rPr>
          <w:sz w:val="20"/>
        </w:rPr>
      </w:pPr>
      <w:r>
        <w:rPr>
          <w:position w:val="5"/>
          <w:sz w:val="13"/>
        </w:rPr>
        <w:t>942 </w:t>
      </w:r>
      <w:r>
        <w:rPr>
          <w:sz w:val="20"/>
        </w:rPr>
        <w:t>Sugiyama K. und Yamakawa A.: Dietary eritadenine-induced alteration of molecular species composition of phospholipids in rats. Lipids. 1996 Apr, 31 (4) pp. 399-404</w:t>
      </w:r>
    </w:p>
    <w:p>
      <w:pPr>
        <w:spacing w:after="0" w:line="276" w:lineRule="auto"/>
        <w:jc w:val="left"/>
        <w:rPr>
          <w:sz w:val="20"/>
        </w:rPr>
        <w:sectPr>
          <w:footerReference w:type="default" r:id="rId440"/>
          <w:pgSz w:w="14270" w:h="16850"/>
          <w:pgMar w:footer="1984" w:header="0" w:top="1320" w:bottom="2180" w:left="800" w:right="1280"/>
          <w:pgNumType w:start="1694"/>
        </w:sectPr>
      </w:pPr>
    </w:p>
    <w:p>
      <w:pPr>
        <w:pStyle w:val="Heading1"/>
        <w:spacing w:before="77"/>
        <w:ind w:left="616"/>
      </w:pPr>
      <w:r>
        <w:rPr/>
        <w:t>Studies on the antibacterial and antifungal effect of Shiitake</w:t>
      </w:r>
    </w:p>
    <w:p>
      <w:pPr>
        <w:pStyle w:val="BodyText"/>
        <w:spacing w:line="276" w:lineRule="auto" w:before="299"/>
        <w:ind w:left="616" w:right="129"/>
        <w:jc w:val="both"/>
        <w:rPr>
          <w:sz w:val="25"/>
        </w:rPr>
      </w:pPr>
      <w:r>
        <w:rPr/>
        <w:t>A</w:t>
      </w:r>
      <w:r>
        <w:rPr>
          <w:spacing w:val="-20"/>
        </w:rPr>
        <w:t> </w:t>
      </w:r>
      <w:r>
        <w:rPr/>
        <w:t>heavily</w:t>
      </w:r>
      <w:r>
        <w:rPr>
          <w:spacing w:val="-19"/>
        </w:rPr>
        <w:t> </w:t>
      </w:r>
      <w:r>
        <w:rPr/>
        <w:t>reduced</w:t>
      </w:r>
      <w:r>
        <w:rPr>
          <w:spacing w:val="-19"/>
        </w:rPr>
        <w:t> </w:t>
      </w:r>
      <w:r>
        <w:rPr/>
        <w:t>amount</w:t>
      </w:r>
      <w:r>
        <w:rPr>
          <w:spacing w:val="-20"/>
        </w:rPr>
        <w:t> </w:t>
      </w:r>
      <w:r>
        <w:rPr/>
        <w:t>of</w:t>
      </w:r>
      <w:r>
        <w:rPr>
          <w:spacing w:val="-20"/>
        </w:rPr>
        <w:t> </w:t>
      </w:r>
      <w:r>
        <w:rPr/>
        <w:t>stomach</w:t>
      </w:r>
      <w:r>
        <w:rPr>
          <w:spacing w:val="-18"/>
        </w:rPr>
        <w:t> </w:t>
      </w:r>
      <w:r>
        <w:rPr/>
        <w:t>bacteria</w:t>
      </w:r>
      <w:r>
        <w:rPr>
          <w:spacing w:val="-21"/>
        </w:rPr>
        <w:t> </w:t>
      </w:r>
      <w:r>
        <w:rPr/>
        <w:t>was</w:t>
      </w:r>
      <w:r>
        <w:rPr>
          <w:spacing w:val="-19"/>
        </w:rPr>
        <w:t> </w:t>
      </w:r>
      <w:r>
        <w:rPr/>
        <w:t>observed</w:t>
      </w:r>
      <w:r>
        <w:rPr>
          <w:spacing w:val="-20"/>
        </w:rPr>
        <w:t> </w:t>
      </w:r>
      <w:r>
        <w:rPr/>
        <w:t>after</w:t>
      </w:r>
      <w:r>
        <w:rPr>
          <w:spacing w:val="-20"/>
        </w:rPr>
        <w:t> </w:t>
      </w:r>
      <w:r>
        <w:rPr/>
        <w:t>feeding</w:t>
      </w:r>
      <w:r>
        <w:rPr>
          <w:spacing w:val="-18"/>
        </w:rPr>
        <w:t> </w:t>
      </w:r>
      <w:r>
        <w:rPr/>
        <w:t>with lentinan</w:t>
      </w:r>
      <w:r>
        <w:rPr>
          <w:spacing w:val="-23"/>
        </w:rPr>
        <w:t> </w:t>
      </w:r>
      <w:r>
        <w:rPr/>
        <w:t>in</w:t>
      </w:r>
      <w:r>
        <w:rPr>
          <w:spacing w:val="-22"/>
        </w:rPr>
        <w:t> </w:t>
      </w:r>
      <w:r>
        <w:rPr/>
        <w:t>animal</w:t>
      </w:r>
      <w:r>
        <w:rPr>
          <w:spacing w:val="-25"/>
        </w:rPr>
        <w:t> </w:t>
      </w:r>
      <w:r>
        <w:rPr/>
        <w:t>trials</w:t>
      </w:r>
      <w:r>
        <w:rPr>
          <w:spacing w:val="-22"/>
        </w:rPr>
        <w:t> </w:t>
      </w:r>
      <w:r>
        <w:rPr/>
        <w:t>which</w:t>
      </w:r>
      <w:r>
        <w:rPr>
          <w:spacing w:val="-23"/>
        </w:rPr>
        <w:t> </w:t>
      </w:r>
      <w:r>
        <w:rPr/>
        <w:t>could</w:t>
      </w:r>
      <w:r>
        <w:rPr>
          <w:spacing w:val="-23"/>
        </w:rPr>
        <w:t> </w:t>
      </w:r>
      <w:r>
        <w:rPr/>
        <w:t>be</w:t>
      </w:r>
      <w:r>
        <w:rPr>
          <w:spacing w:val="-23"/>
        </w:rPr>
        <w:t> </w:t>
      </w:r>
      <w:r>
        <w:rPr/>
        <w:t>traced</w:t>
      </w:r>
      <w:r>
        <w:rPr>
          <w:spacing w:val="-23"/>
        </w:rPr>
        <w:t> </w:t>
      </w:r>
      <w:r>
        <w:rPr/>
        <w:t>back</w:t>
      </w:r>
      <w:r>
        <w:rPr>
          <w:spacing w:val="-23"/>
        </w:rPr>
        <w:t> </w:t>
      </w:r>
      <w:r>
        <w:rPr/>
        <w:t>to</w:t>
      </w:r>
      <w:r>
        <w:rPr>
          <w:spacing w:val="-23"/>
        </w:rPr>
        <w:t> </w:t>
      </w:r>
      <w:r>
        <w:rPr/>
        <w:t>the</w:t>
      </w:r>
      <w:r>
        <w:rPr>
          <w:spacing w:val="-22"/>
        </w:rPr>
        <w:t> </w:t>
      </w:r>
      <w:r>
        <w:rPr/>
        <w:t>effect</w:t>
      </w:r>
      <w:r>
        <w:rPr>
          <w:spacing w:val="-23"/>
        </w:rPr>
        <w:t> </w:t>
      </w:r>
      <w:r>
        <w:rPr/>
        <w:t>of</w:t>
      </w:r>
      <w:r>
        <w:rPr>
          <w:spacing w:val="-22"/>
        </w:rPr>
        <w:t> </w:t>
      </w:r>
      <w:r>
        <w:rPr/>
        <w:t>antibacterial ingredients such as lenthionine, polyphenols and terpenoids.</w:t>
      </w:r>
      <w:r>
        <w:rPr>
          <w:position w:val="9"/>
          <w:sz w:val="25"/>
        </w:rPr>
        <w:t>943 </w:t>
      </w:r>
      <w:r>
        <w:rPr/>
        <w:t>Trials on hu- mans</w:t>
      </w:r>
      <w:r>
        <w:rPr>
          <w:spacing w:val="-14"/>
        </w:rPr>
        <w:t> </w:t>
      </w:r>
      <w:r>
        <w:rPr/>
        <w:t>also</w:t>
      </w:r>
      <w:r>
        <w:rPr>
          <w:spacing w:val="-17"/>
        </w:rPr>
        <w:t> </w:t>
      </w:r>
      <w:r>
        <w:rPr/>
        <w:t>showed</w:t>
      </w:r>
      <w:r>
        <w:rPr>
          <w:spacing w:val="-15"/>
        </w:rPr>
        <w:t> </w:t>
      </w:r>
      <w:r>
        <w:rPr/>
        <w:t>the</w:t>
      </w:r>
      <w:r>
        <w:rPr>
          <w:spacing w:val="-16"/>
        </w:rPr>
        <w:t> </w:t>
      </w:r>
      <w:r>
        <w:rPr/>
        <w:t>significant</w:t>
      </w:r>
      <w:r>
        <w:rPr>
          <w:spacing w:val="-18"/>
        </w:rPr>
        <w:t> </w:t>
      </w:r>
      <w:r>
        <w:rPr/>
        <w:t>antibacterial</w:t>
      </w:r>
      <w:r>
        <w:rPr>
          <w:spacing w:val="-16"/>
        </w:rPr>
        <w:t> </w:t>
      </w:r>
      <w:r>
        <w:rPr/>
        <w:t>effect</w:t>
      </w:r>
      <w:r>
        <w:rPr>
          <w:spacing w:val="-15"/>
        </w:rPr>
        <w:t> </w:t>
      </w:r>
      <w:r>
        <w:rPr/>
        <w:t>of</w:t>
      </w:r>
      <w:r>
        <w:rPr>
          <w:spacing w:val="-16"/>
        </w:rPr>
        <w:t> </w:t>
      </w:r>
      <w:r>
        <w:rPr/>
        <w:t>the</w:t>
      </w:r>
      <w:r>
        <w:rPr>
          <w:spacing w:val="-17"/>
        </w:rPr>
        <w:t> </w:t>
      </w:r>
      <w:r>
        <w:rPr/>
        <w:t>Shiitake</w:t>
      </w:r>
      <w:r>
        <w:rPr>
          <w:spacing w:val="-16"/>
        </w:rPr>
        <w:t> </w:t>
      </w:r>
      <w:r>
        <w:rPr/>
        <w:t>mushroom against harmful bacteria in the intestine, while at the same time leaving the good, pro-biotic bacteria untouched.</w:t>
      </w:r>
      <w:r>
        <w:rPr>
          <w:position w:val="9"/>
          <w:sz w:val="25"/>
        </w:rPr>
        <w:t>944</w:t>
      </w:r>
    </w:p>
    <w:p>
      <w:pPr>
        <w:pStyle w:val="Heading1"/>
        <w:spacing w:before="223"/>
        <w:ind w:left="616"/>
      </w:pPr>
      <w:r>
        <w:rPr/>
        <w:t>Studies regarding the effect of Shiitake on cancer</w:t>
      </w:r>
    </w:p>
    <w:p>
      <w:pPr>
        <w:pStyle w:val="BodyText"/>
        <w:spacing w:line="276" w:lineRule="auto" w:before="300"/>
        <w:ind w:left="616" w:right="132"/>
        <w:jc w:val="both"/>
        <w:rPr>
          <w:sz w:val="25"/>
        </w:rPr>
      </w:pPr>
      <w:r>
        <w:rPr/>
        <w:t>In</w:t>
      </w:r>
      <w:r>
        <w:rPr>
          <w:spacing w:val="-22"/>
        </w:rPr>
        <w:t> </w:t>
      </w:r>
      <w:r>
        <w:rPr/>
        <w:t>studies,</w:t>
      </w:r>
      <w:r>
        <w:rPr>
          <w:spacing w:val="-21"/>
        </w:rPr>
        <w:t> </w:t>
      </w:r>
      <w:r>
        <w:rPr/>
        <w:t>the</w:t>
      </w:r>
      <w:r>
        <w:rPr>
          <w:spacing w:val="-20"/>
        </w:rPr>
        <w:t> </w:t>
      </w:r>
      <w:r>
        <w:rPr/>
        <w:t>polysaccharide</w:t>
      </w:r>
      <w:r>
        <w:rPr>
          <w:spacing w:val="-22"/>
        </w:rPr>
        <w:t> </w:t>
      </w:r>
      <w:r>
        <w:rPr/>
        <w:t>‘lentinan’</w:t>
      </w:r>
      <w:r>
        <w:rPr>
          <w:spacing w:val="-20"/>
        </w:rPr>
        <w:t> </w:t>
      </w:r>
      <w:r>
        <w:rPr/>
        <w:t>present</w:t>
      </w:r>
      <w:r>
        <w:rPr>
          <w:spacing w:val="-21"/>
        </w:rPr>
        <w:t> </w:t>
      </w:r>
      <w:r>
        <w:rPr/>
        <w:t>in</w:t>
      </w:r>
      <w:r>
        <w:rPr>
          <w:spacing w:val="-21"/>
        </w:rPr>
        <w:t> </w:t>
      </w:r>
      <w:r>
        <w:rPr/>
        <w:t>Shiitake,</w:t>
      </w:r>
      <w:r>
        <w:rPr>
          <w:spacing w:val="-22"/>
        </w:rPr>
        <w:t> </w:t>
      </w:r>
      <w:r>
        <w:rPr/>
        <w:t>reduced</w:t>
      </w:r>
      <w:r>
        <w:rPr>
          <w:spacing w:val="-21"/>
        </w:rPr>
        <w:t> </w:t>
      </w:r>
      <w:r>
        <w:rPr/>
        <w:t>the</w:t>
      </w:r>
      <w:r>
        <w:rPr>
          <w:spacing w:val="-20"/>
        </w:rPr>
        <w:t> </w:t>
      </w:r>
      <w:r>
        <w:rPr/>
        <w:t>growth of colonic carcinoma and other tumours.</w:t>
      </w:r>
      <w:r>
        <w:rPr>
          <w:position w:val="9"/>
          <w:sz w:val="25"/>
        </w:rPr>
        <w:t>945, 946 </w:t>
      </w:r>
      <w:r>
        <w:rPr/>
        <w:t>Furthermore, the Japanese sci- entist Tetsuro Ikewara from the </w:t>
      </w:r>
      <w:r>
        <w:rPr>
          <w:i/>
        </w:rPr>
        <w:t>National Cancer Research Institute </w:t>
      </w:r>
      <w:r>
        <w:rPr/>
        <w:t>in Tokyo was successful in fully healing six out of nine mice using</w:t>
      </w:r>
      <w:r>
        <w:rPr>
          <w:spacing w:val="-3"/>
        </w:rPr>
        <w:t> </w:t>
      </w:r>
      <w:r>
        <w:rPr/>
        <w:t>lentinan.</w:t>
      </w:r>
      <w:r>
        <w:rPr>
          <w:position w:val="9"/>
          <w:sz w:val="25"/>
        </w:rPr>
        <w:t>947</w:t>
      </w:r>
    </w:p>
    <w:p>
      <w:pPr>
        <w:pStyle w:val="BodyText"/>
        <w:spacing w:line="276" w:lineRule="auto" w:before="239"/>
        <w:ind w:left="616" w:right="134"/>
        <w:jc w:val="both"/>
      </w:pPr>
      <w:r>
        <w:rPr/>
        <w:t>In another study, lentinan in combination with chemotherapy was able to in- crease the survival rate of patients with stomach cancer by 19.5 %.</w:t>
      </w:r>
      <w:r>
        <w:rPr>
          <w:position w:val="9"/>
          <w:sz w:val="25"/>
        </w:rPr>
        <w:t>948 </w:t>
      </w:r>
      <w:r>
        <w:rPr/>
        <w:t>Shiitake powder was able to effect a reversal in 40 % of mice with a sarcoma-180 tu- mour.</w:t>
      </w:r>
      <w:r>
        <w:rPr>
          <w:position w:val="9"/>
          <w:sz w:val="25"/>
        </w:rPr>
        <w:t>949</w:t>
      </w:r>
      <w:r>
        <w:rPr>
          <w:spacing w:val="29"/>
          <w:position w:val="9"/>
          <w:sz w:val="25"/>
        </w:rPr>
        <w:t> </w:t>
      </w:r>
      <w:r>
        <w:rPr/>
        <w:t>The</w:t>
      </w:r>
      <w:r>
        <w:rPr>
          <w:spacing w:val="-14"/>
        </w:rPr>
        <w:t> </w:t>
      </w:r>
      <w:r>
        <w:rPr/>
        <w:t>increased</w:t>
      </w:r>
      <w:r>
        <w:rPr>
          <w:spacing w:val="-15"/>
        </w:rPr>
        <w:t> </w:t>
      </w:r>
      <w:r>
        <w:rPr/>
        <w:t>immune</w:t>
      </w:r>
      <w:r>
        <w:rPr>
          <w:spacing w:val="-15"/>
        </w:rPr>
        <w:t> </w:t>
      </w:r>
      <w:r>
        <w:rPr/>
        <w:t>activity</w:t>
      </w:r>
      <w:r>
        <w:rPr>
          <w:spacing w:val="-15"/>
        </w:rPr>
        <w:t> </w:t>
      </w:r>
      <w:r>
        <w:rPr/>
        <w:t>was</w:t>
      </w:r>
      <w:r>
        <w:rPr>
          <w:spacing w:val="-14"/>
        </w:rPr>
        <w:t> </w:t>
      </w:r>
      <w:r>
        <w:rPr/>
        <w:t>able</w:t>
      </w:r>
      <w:r>
        <w:rPr>
          <w:spacing w:val="-15"/>
        </w:rPr>
        <w:t> </w:t>
      </w:r>
      <w:r>
        <w:rPr/>
        <w:t>to</w:t>
      </w:r>
      <w:r>
        <w:rPr>
          <w:spacing w:val="-15"/>
        </w:rPr>
        <w:t> </w:t>
      </w:r>
      <w:r>
        <w:rPr/>
        <w:t>strengthen</w:t>
      </w:r>
      <w:r>
        <w:rPr>
          <w:spacing w:val="-14"/>
        </w:rPr>
        <w:t> </w:t>
      </w:r>
      <w:r>
        <w:rPr/>
        <w:t>the</w:t>
      </w:r>
      <w:r>
        <w:rPr>
          <w:spacing w:val="-15"/>
        </w:rPr>
        <w:t> </w:t>
      </w:r>
      <w:r>
        <w:rPr/>
        <w:t>body’s</w:t>
      </w:r>
      <w:r>
        <w:rPr>
          <w:spacing w:val="-14"/>
        </w:rPr>
        <w:t> </w:t>
      </w:r>
      <w:r>
        <w:rPr/>
        <w:t>own</w:t>
      </w:r>
    </w:p>
    <w:p>
      <w:pPr>
        <w:pStyle w:val="BodyText"/>
        <w:rPr>
          <w:sz w:val="20"/>
        </w:rPr>
      </w:pPr>
    </w:p>
    <w:p>
      <w:pPr>
        <w:pStyle w:val="BodyText"/>
        <w:rPr>
          <w:sz w:val="20"/>
        </w:rPr>
      </w:pPr>
    </w:p>
    <w:p>
      <w:pPr>
        <w:pStyle w:val="BodyText"/>
        <w:spacing w:before="2"/>
        <w:rPr>
          <w:sz w:val="28"/>
        </w:rPr>
      </w:pPr>
      <w:r>
        <w:rPr/>
        <w:pict>
          <v:line style="position:absolute;mso-position-horizontal-relative:page;mso-position-vertical-relative:paragraph;z-index:13064;mso-wrap-distance-left:0;mso-wrap-distance-right:0" from="70.823997pt,18.212515pt" to="214.843997pt,18.212515pt" stroked="true" strokeweight=".71997pt" strokecolor="#000000">
            <v:stroke dashstyle="solid"/>
            <w10:wrap type="topAndBottom"/>
          </v:line>
        </w:pict>
      </w:r>
    </w:p>
    <w:p>
      <w:pPr>
        <w:pStyle w:val="BodyText"/>
        <w:spacing w:before="9"/>
        <w:rPr>
          <w:sz w:val="18"/>
        </w:rPr>
      </w:pPr>
    </w:p>
    <w:p>
      <w:pPr>
        <w:spacing w:line="273" w:lineRule="auto" w:before="100"/>
        <w:ind w:left="616" w:right="332" w:firstLine="0"/>
        <w:jc w:val="left"/>
        <w:rPr>
          <w:sz w:val="20"/>
        </w:rPr>
      </w:pPr>
      <w:r>
        <w:rPr>
          <w:position w:val="5"/>
          <w:sz w:val="13"/>
        </w:rPr>
        <w:t>943 </w:t>
      </w:r>
      <w:r>
        <w:rPr>
          <w:sz w:val="20"/>
        </w:rPr>
        <w:t>van Nevel C. J. et al.: The influence of Lentinus edodes (Shiitake mushroom) preparations on bacteriological and morphological aspects of the small intestine in piglets. Arch Tierernahr. 2003 Dec, 57 (6), pp. 399-412</w:t>
      </w:r>
    </w:p>
    <w:p>
      <w:pPr>
        <w:spacing w:line="276" w:lineRule="auto" w:before="63"/>
        <w:ind w:left="616" w:right="244" w:firstLine="0"/>
        <w:jc w:val="left"/>
        <w:rPr>
          <w:sz w:val="20"/>
        </w:rPr>
      </w:pPr>
      <w:r>
        <w:rPr>
          <w:position w:val="5"/>
          <w:sz w:val="13"/>
        </w:rPr>
        <w:t>944 </w:t>
      </w:r>
      <w:r>
        <w:rPr>
          <w:sz w:val="20"/>
        </w:rPr>
        <w:t>Kuznetsov O. et al.: Antimicrobial action of Lentinus edodes juice on human microflora. Zh Mikrobiol Epidemiol Immunobiol. 2005 Jan-Feb, (1), p. 80 ff.</w:t>
      </w:r>
    </w:p>
    <w:p>
      <w:pPr>
        <w:spacing w:line="276" w:lineRule="auto" w:before="61"/>
        <w:ind w:left="616" w:right="0" w:firstLine="0"/>
        <w:jc w:val="left"/>
        <w:rPr>
          <w:sz w:val="20"/>
        </w:rPr>
      </w:pPr>
      <w:r>
        <w:rPr>
          <w:position w:val="5"/>
          <w:sz w:val="13"/>
        </w:rPr>
        <w:t>945 </w:t>
      </w:r>
      <w:r>
        <w:rPr>
          <w:sz w:val="20"/>
        </w:rPr>
        <w:t>Ng M. L. und Yap A. T.: Inhibition of human colon carcinoma development by lentinan from shiitake mushrooms (Lentinus edodes). J Altern Complement Med. 2002 Oct, 8 (5), pp. 581-589</w:t>
      </w:r>
    </w:p>
    <w:p>
      <w:pPr>
        <w:spacing w:line="276" w:lineRule="auto" w:before="59"/>
        <w:ind w:left="616" w:right="616" w:firstLine="0"/>
        <w:jc w:val="left"/>
        <w:rPr>
          <w:sz w:val="20"/>
        </w:rPr>
      </w:pPr>
      <w:r>
        <w:rPr>
          <w:position w:val="5"/>
          <w:sz w:val="13"/>
        </w:rPr>
        <w:t>946 </w:t>
      </w:r>
      <w:r>
        <w:rPr>
          <w:sz w:val="20"/>
        </w:rPr>
        <w:t>Maruyama S. et al.: Antitumor activities of lentinan and micellapist in tumor-bearing mice. Gan To Kagaku Ryoho. 2006 Nov, 33, (12), pp. 1726-1729</w:t>
      </w:r>
    </w:p>
    <w:p>
      <w:pPr>
        <w:spacing w:before="61"/>
        <w:ind w:left="616" w:right="0" w:firstLine="0"/>
        <w:jc w:val="left"/>
        <w:rPr>
          <w:sz w:val="20"/>
        </w:rPr>
      </w:pPr>
      <w:r>
        <w:rPr>
          <w:position w:val="5"/>
          <w:sz w:val="13"/>
        </w:rPr>
        <w:t>947 </w:t>
      </w:r>
      <w:r>
        <w:rPr>
          <w:sz w:val="20"/>
        </w:rPr>
        <w:t>Jones 1995, p. 35 ff.</w:t>
      </w:r>
    </w:p>
    <w:p>
      <w:pPr>
        <w:spacing w:before="94"/>
        <w:ind w:left="616" w:right="0" w:firstLine="0"/>
        <w:jc w:val="left"/>
        <w:rPr>
          <w:sz w:val="20"/>
        </w:rPr>
      </w:pPr>
      <w:r>
        <w:rPr>
          <w:position w:val="5"/>
          <w:sz w:val="13"/>
        </w:rPr>
        <w:t>948 </w:t>
      </w:r>
      <w:r>
        <w:rPr>
          <w:sz w:val="20"/>
        </w:rPr>
        <w:t>Chang et al. 1993, p. 264</w:t>
      </w:r>
    </w:p>
    <w:p>
      <w:pPr>
        <w:spacing w:before="94"/>
        <w:ind w:left="616" w:right="0" w:firstLine="0"/>
        <w:jc w:val="left"/>
        <w:rPr>
          <w:sz w:val="20"/>
        </w:rPr>
      </w:pPr>
      <w:r>
        <w:rPr>
          <w:position w:val="5"/>
          <w:sz w:val="13"/>
        </w:rPr>
        <w:t>949 </w:t>
      </w:r>
      <w:r>
        <w:rPr>
          <w:sz w:val="20"/>
        </w:rPr>
        <w:t>Hobbs 1995, p. 128</w:t>
      </w:r>
    </w:p>
    <w:p>
      <w:pPr>
        <w:spacing w:after="0"/>
        <w:jc w:val="left"/>
        <w:rPr>
          <w:sz w:val="20"/>
        </w:rPr>
        <w:sectPr>
          <w:pgSz w:w="14270" w:h="16850"/>
          <w:pgMar w:header="0" w:footer="1984" w:top="1320" w:bottom="2180" w:left="800" w:right="1280"/>
        </w:sectPr>
      </w:pPr>
    </w:p>
    <w:p>
      <w:pPr>
        <w:pStyle w:val="BodyText"/>
        <w:spacing w:line="278" w:lineRule="auto" w:before="72"/>
        <w:ind w:left="616" w:right="135"/>
        <w:jc w:val="both"/>
        <w:rPr>
          <w:sz w:val="25"/>
        </w:rPr>
      </w:pPr>
      <w:r>
        <w:rPr/>
        <w:t>tumour resistance in animal trials while at the same time proving it could con- tain tumour formation.</w:t>
      </w:r>
      <w:r>
        <w:rPr>
          <w:position w:val="9"/>
          <w:sz w:val="25"/>
        </w:rPr>
        <w:t>950</w:t>
      </w:r>
    </w:p>
    <w:p>
      <w:pPr>
        <w:pStyle w:val="Heading1"/>
        <w:spacing w:line="391" w:lineRule="auto" w:before="215"/>
        <w:ind w:left="616" w:right="2352"/>
      </w:pPr>
      <w:r>
        <w:rPr/>
        <w:t>Studies</w:t>
      </w:r>
      <w:r>
        <w:rPr>
          <w:spacing w:val="-66"/>
        </w:rPr>
        <w:t> </w:t>
      </w:r>
      <w:r>
        <w:rPr/>
        <w:t>show</w:t>
      </w:r>
      <w:r>
        <w:rPr>
          <w:spacing w:val="-66"/>
        </w:rPr>
        <w:t> </w:t>
      </w:r>
      <w:r>
        <w:rPr/>
        <w:t>that</w:t>
      </w:r>
      <w:r>
        <w:rPr>
          <w:spacing w:val="-67"/>
        </w:rPr>
        <w:t> </w:t>
      </w:r>
      <w:r>
        <w:rPr/>
        <w:t>Shiitake</w:t>
      </w:r>
      <w:r>
        <w:rPr>
          <w:spacing w:val="-64"/>
        </w:rPr>
        <w:t> </w:t>
      </w:r>
      <w:r>
        <w:rPr/>
        <w:t>reduces</w:t>
      </w:r>
      <w:r>
        <w:rPr>
          <w:spacing w:val="-67"/>
        </w:rPr>
        <w:t> </w:t>
      </w:r>
      <w:r>
        <w:rPr/>
        <w:t>high</w:t>
      </w:r>
      <w:r>
        <w:rPr>
          <w:spacing w:val="-66"/>
        </w:rPr>
        <w:t> </w:t>
      </w:r>
      <w:r>
        <w:rPr/>
        <w:t>blood</w:t>
      </w:r>
      <w:r>
        <w:rPr>
          <w:spacing w:val="-67"/>
        </w:rPr>
        <w:t> </w:t>
      </w:r>
      <w:r>
        <w:rPr/>
        <w:t>pressure</w:t>
      </w:r>
      <w:r>
        <w:rPr>
          <w:b w:val="0"/>
          <w:i w:val="0"/>
          <w:position w:val="9"/>
          <w:sz w:val="25"/>
        </w:rPr>
        <w:t>951 </w:t>
      </w:r>
      <w:r>
        <w:rPr/>
        <w:t>Studies on the effect of Shiitake on HIV/AIDS</w:t>
      </w:r>
    </w:p>
    <w:p>
      <w:pPr>
        <w:pStyle w:val="BodyText"/>
        <w:spacing w:line="276" w:lineRule="auto" w:before="14"/>
        <w:ind w:left="616" w:right="136"/>
        <w:jc w:val="both"/>
        <w:rPr>
          <w:sz w:val="25"/>
        </w:rPr>
      </w:pPr>
      <w:r>
        <w:rPr/>
        <w:t>Studies</w:t>
      </w:r>
      <w:r>
        <w:rPr>
          <w:spacing w:val="-25"/>
        </w:rPr>
        <w:t> </w:t>
      </w:r>
      <w:r>
        <w:rPr/>
        <w:t>showed</w:t>
      </w:r>
      <w:r>
        <w:rPr>
          <w:spacing w:val="-24"/>
        </w:rPr>
        <w:t> </w:t>
      </w:r>
      <w:r>
        <w:rPr/>
        <w:t>that</w:t>
      </w:r>
      <w:r>
        <w:rPr>
          <w:spacing w:val="-25"/>
        </w:rPr>
        <w:t> </w:t>
      </w:r>
      <w:r>
        <w:rPr/>
        <w:t>substances</w:t>
      </w:r>
      <w:r>
        <w:rPr>
          <w:spacing w:val="-25"/>
        </w:rPr>
        <w:t> </w:t>
      </w:r>
      <w:r>
        <w:rPr/>
        <w:t>in</w:t>
      </w:r>
      <w:r>
        <w:rPr>
          <w:spacing w:val="-26"/>
        </w:rPr>
        <w:t> </w:t>
      </w:r>
      <w:r>
        <w:rPr/>
        <w:t>Shiitake</w:t>
      </w:r>
      <w:r>
        <w:rPr>
          <w:spacing w:val="-25"/>
        </w:rPr>
        <w:t> </w:t>
      </w:r>
      <w:r>
        <w:rPr/>
        <w:t>mushrooms</w:t>
      </w:r>
      <w:r>
        <w:rPr>
          <w:spacing w:val="-24"/>
        </w:rPr>
        <w:t> </w:t>
      </w:r>
      <w:r>
        <w:rPr/>
        <w:t>were</w:t>
      </w:r>
      <w:r>
        <w:rPr>
          <w:spacing w:val="-26"/>
        </w:rPr>
        <w:t> </w:t>
      </w:r>
      <w:r>
        <w:rPr/>
        <w:t>able</w:t>
      </w:r>
      <w:r>
        <w:rPr>
          <w:spacing w:val="-25"/>
        </w:rPr>
        <w:t> </w:t>
      </w:r>
      <w:r>
        <w:rPr/>
        <w:t>to</w:t>
      </w:r>
      <w:r>
        <w:rPr>
          <w:spacing w:val="-26"/>
        </w:rPr>
        <w:t> </w:t>
      </w:r>
      <w:r>
        <w:rPr/>
        <w:t>effect</w:t>
      </w:r>
      <w:r>
        <w:rPr>
          <w:spacing w:val="-26"/>
        </w:rPr>
        <w:t> </w:t>
      </w:r>
      <w:r>
        <w:rPr/>
        <w:t>both a reduction in the production of leukaemia cells as well as an inhibitory effect on the activity of the HI virus.</w:t>
      </w:r>
      <w:r>
        <w:rPr>
          <w:position w:val="9"/>
          <w:sz w:val="25"/>
        </w:rPr>
        <w:t>952 </w:t>
      </w:r>
      <w:r>
        <w:rPr/>
        <w:t>Furthermore, the immunological parameters in HIV patients were improved in a</w:t>
      </w:r>
      <w:r>
        <w:rPr>
          <w:spacing w:val="2"/>
        </w:rPr>
        <w:t> </w:t>
      </w:r>
      <w:r>
        <w:rPr/>
        <w:t>study.</w:t>
      </w:r>
      <w:r>
        <w:rPr>
          <w:position w:val="9"/>
          <w:sz w:val="25"/>
        </w:rPr>
        <w:t>953</w:t>
      </w:r>
    </w:p>
    <w:p>
      <w:pPr>
        <w:pStyle w:val="Heading2"/>
        <w:spacing w:before="242"/>
        <w:ind w:left="616"/>
      </w:pPr>
      <w:r>
        <w:rPr/>
        <w:t>Side-effects of Shiitake mushrooms and mushroom extracts</w:t>
      </w:r>
    </w:p>
    <w:p>
      <w:pPr>
        <w:pStyle w:val="BodyText"/>
        <w:spacing w:line="276" w:lineRule="auto" w:before="302"/>
        <w:ind w:left="616" w:right="132"/>
        <w:jc w:val="both"/>
        <w:rPr>
          <w:sz w:val="25"/>
        </w:rPr>
      </w:pPr>
      <w:r>
        <w:rPr/>
        <w:t>The consumption of Shiitake mushrooms and Shiitake powder and extracts can occasionally lead to allergic reactions. These mostly take the form of skin irritations, also known as ‘Shiitake dermatitis’. However, to the scarceness of this</w:t>
      </w:r>
      <w:r>
        <w:rPr>
          <w:spacing w:val="-11"/>
        </w:rPr>
        <w:t> </w:t>
      </w:r>
      <w:r>
        <w:rPr/>
        <w:t>occurrence,</w:t>
      </w:r>
      <w:r>
        <w:rPr>
          <w:spacing w:val="-13"/>
        </w:rPr>
        <w:t> </w:t>
      </w:r>
      <w:r>
        <w:rPr/>
        <w:t>the</w:t>
      </w:r>
      <w:r>
        <w:rPr>
          <w:spacing w:val="-11"/>
        </w:rPr>
        <w:t> </w:t>
      </w:r>
      <w:r>
        <w:rPr/>
        <w:t>German</w:t>
      </w:r>
      <w:r>
        <w:rPr>
          <w:spacing w:val="-11"/>
        </w:rPr>
        <w:t> </w:t>
      </w:r>
      <w:r>
        <w:rPr/>
        <w:t>Federal</w:t>
      </w:r>
      <w:r>
        <w:rPr>
          <w:spacing w:val="-12"/>
        </w:rPr>
        <w:t> </w:t>
      </w:r>
      <w:r>
        <w:rPr/>
        <w:t>Office</w:t>
      </w:r>
      <w:r>
        <w:rPr>
          <w:spacing w:val="-11"/>
        </w:rPr>
        <w:t> </w:t>
      </w:r>
      <w:r>
        <w:rPr/>
        <w:t>for</w:t>
      </w:r>
      <w:r>
        <w:rPr>
          <w:spacing w:val="-10"/>
        </w:rPr>
        <w:t> </w:t>
      </w:r>
      <w:r>
        <w:rPr/>
        <w:t>Risk</w:t>
      </w:r>
      <w:r>
        <w:rPr>
          <w:spacing w:val="-11"/>
        </w:rPr>
        <w:t> </w:t>
      </w:r>
      <w:r>
        <w:rPr/>
        <w:t>Assessment</w:t>
      </w:r>
      <w:r>
        <w:rPr>
          <w:spacing w:val="-12"/>
        </w:rPr>
        <w:t> </w:t>
      </w:r>
      <w:r>
        <w:rPr/>
        <w:t>has</w:t>
      </w:r>
      <w:r>
        <w:rPr>
          <w:spacing w:val="-11"/>
        </w:rPr>
        <w:t> </w:t>
      </w:r>
      <w:r>
        <w:rPr/>
        <w:t>classified Shiitake as equivalent to natural food</w:t>
      </w:r>
      <w:r>
        <w:rPr>
          <w:spacing w:val="-4"/>
        </w:rPr>
        <w:t> </w:t>
      </w:r>
      <w:r>
        <w:rPr/>
        <w:t>components.</w:t>
      </w:r>
      <w:r>
        <w:rPr>
          <w:position w:val="9"/>
          <w:sz w:val="25"/>
        </w:rPr>
        <w:t>954</w:t>
      </w:r>
    </w:p>
    <w:p>
      <w:pPr>
        <w:pStyle w:val="Heading2"/>
        <w:spacing w:before="242"/>
        <w:ind w:left="616"/>
      </w:pPr>
      <w:r>
        <w:rPr/>
        <w:t>Application and consumption of Shiitake</w:t>
      </w:r>
    </w:p>
    <w:p>
      <w:pPr>
        <w:pStyle w:val="BodyText"/>
        <w:spacing w:line="276" w:lineRule="auto" w:before="303"/>
        <w:ind w:left="616" w:right="134"/>
        <w:jc w:val="both"/>
      </w:pPr>
      <w:r>
        <w:rPr/>
        <w:t>Shiitake</w:t>
      </w:r>
      <w:r>
        <w:rPr>
          <w:spacing w:val="-13"/>
        </w:rPr>
        <w:t> </w:t>
      </w:r>
      <w:r>
        <w:rPr/>
        <w:t>is</w:t>
      </w:r>
      <w:r>
        <w:rPr>
          <w:spacing w:val="-11"/>
        </w:rPr>
        <w:t> </w:t>
      </w:r>
      <w:r>
        <w:rPr/>
        <w:t>an</w:t>
      </w:r>
      <w:r>
        <w:rPr>
          <w:spacing w:val="-11"/>
        </w:rPr>
        <w:t> </w:t>
      </w:r>
      <w:r>
        <w:rPr/>
        <w:t>excellent</w:t>
      </w:r>
      <w:r>
        <w:rPr>
          <w:spacing w:val="-11"/>
        </w:rPr>
        <w:t> </w:t>
      </w:r>
      <w:r>
        <w:rPr/>
        <w:t>edible</w:t>
      </w:r>
      <w:r>
        <w:rPr>
          <w:spacing w:val="-11"/>
        </w:rPr>
        <w:t> </w:t>
      </w:r>
      <w:r>
        <w:rPr/>
        <w:t>mushroom</w:t>
      </w:r>
      <w:r>
        <w:rPr>
          <w:spacing w:val="-10"/>
        </w:rPr>
        <w:t> </w:t>
      </w:r>
      <w:r>
        <w:rPr/>
        <w:t>which</w:t>
      </w:r>
      <w:r>
        <w:rPr>
          <w:spacing w:val="-13"/>
        </w:rPr>
        <w:t> </w:t>
      </w:r>
      <w:r>
        <w:rPr/>
        <w:t>it</w:t>
      </w:r>
      <w:r>
        <w:rPr>
          <w:spacing w:val="-12"/>
        </w:rPr>
        <w:t> </w:t>
      </w:r>
      <w:r>
        <w:rPr/>
        <w:t>is</w:t>
      </w:r>
      <w:r>
        <w:rPr>
          <w:spacing w:val="-11"/>
        </w:rPr>
        <w:t> </w:t>
      </w:r>
      <w:r>
        <w:rPr/>
        <w:t>best</w:t>
      </w:r>
      <w:r>
        <w:rPr>
          <w:spacing w:val="-11"/>
        </w:rPr>
        <w:t> </w:t>
      </w:r>
      <w:r>
        <w:rPr/>
        <w:t>to</w:t>
      </w:r>
      <w:r>
        <w:rPr>
          <w:spacing w:val="-13"/>
        </w:rPr>
        <w:t> </w:t>
      </w:r>
      <w:r>
        <w:rPr/>
        <w:t>regularly</w:t>
      </w:r>
      <w:r>
        <w:rPr>
          <w:spacing w:val="-12"/>
        </w:rPr>
        <w:t> </w:t>
      </w:r>
      <w:r>
        <w:rPr/>
        <w:t>include</w:t>
      </w:r>
      <w:r>
        <w:rPr>
          <w:spacing w:val="-11"/>
        </w:rPr>
        <w:t> </w:t>
      </w:r>
      <w:r>
        <w:rPr/>
        <w:t>in healthy</w:t>
      </w:r>
      <w:r>
        <w:rPr>
          <w:spacing w:val="-19"/>
        </w:rPr>
        <w:t> </w:t>
      </w:r>
      <w:r>
        <w:rPr/>
        <w:t>meal</w:t>
      </w:r>
      <w:r>
        <w:rPr>
          <w:spacing w:val="-19"/>
        </w:rPr>
        <w:t> </w:t>
      </w:r>
      <w:r>
        <w:rPr/>
        <w:t>plans.</w:t>
      </w:r>
      <w:r>
        <w:rPr>
          <w:spacing w:val="59"/>
        </w:rPr>
        <w:t> </w:t>
      </w:r>
      <w:r>
        <w:rPr/>
        <w:t>Even</w:t>
      </w:r>
      <w:r>
        <w:rPr>
          <w:spacing w:val="-18"/>
        </w:rPr>
        <w:t> </w:t>
      </w:r>
      <w:r>
        <w:rPr/>
        <w:t>when</w:t>
      </w:r>
      <w:r>
        <w:rPr>
          <w:spacing w:val="-21"/>
        </w:rPr>
        <w:t> </w:t>
      </w:r>
      <w:r>
        <w:rPr/>
        <w:t>dried,</w:t>
      </w:r>
      <w:r>
        <w:rPr>
          <w:spacing w:val="-17"/>
        </w:rPr>
        <w:t> </w:t>
      </w:r>
      <w:r>
        <w:rPr/>
        <w:t>Shiitake</w:t>
      </w:r>
      <w:r>
        <w:rPr>
          <w:spacing w:val="-20"/>
        </w:rPr>
        <w:t> </w:t>
      </w:r>
      <w:r>
        <w:rPr/>
        <w:t>does</w:t>
      </w:r>
      <w:r>
        <w:rPr>
          <w:spacing w:val="-18"/>
        </w:rPr>
        <w:t> </w:t>
      </w:r>
      <w:r>
        <w:rPr/>
        <w:t>not</w:t>
      </w:r>
      <w:r>
        <w:rPr>
          <w:spacing w:val="-19"/>
        </w:rPr>
        <w:t> </w:t>
      </w:r>
      <w:r>
        <w:rPr/>
        <w:t>lose</w:t>
      </w:r>
      <w:r>
        <w:rPr>
          <w:spacing w:val="-17"/>
        </w:rPr>
        <w:t> </w:t>
      </w:r>
      <w:r>
        <w:rPr/>
        <w:t>its</w:t>
      </w:r>
      <w:r>
        <w:rPr>
          <w:spacing w:val="-19"/>
        </w:rPr>
        <w:t> </w:t>
      </w:r>
      <w:r>
        <w:rPr/>
        <w:t>taste</w:t>
      </w:r>
      <w:r>
        <w:rPr>
          <w:spacing w:val="-19"/>
        </w:rPr>
        <w:t> </w:t>
      </w:r>
      <w:r>
        <w:rPr/>
        <w:t>and</w:t>
      </w:r>
      <w:r>
        <w:rPr>
          <w:spacing w:val="-18"/>
        </w:rPr>
        <w:t> </w:t>
      </w:r>
      <w:r>
        <w:rPr/>
        <w:t>active</w:t>
      </w:r>
    </w:p>
    <w:p>
      <w:pPr>
        <w:pStyle w:val="BodyText"/>
        <w:spacing w:before="3"/>
        <w:rPr>
          <w:sz w:val="17"/>
        </w:rPr>
      </w:pPr>
      <w:r>
        <w:rPr/>
        <w:pict>
          <v:line style="position:absolute;mso-position-horizontal-relative:page;mso-position-vertical-relative:paragraph;z-index:13088;mso-wrap-distance-left:0;mso-wrap-distance-right:0" from="70.823997pt,12.086235pt" to="214.843997pt,12.086235pt" stroked="true" strokeweight=".72003pt" strokecolor="#000000">
            <v:stroke dashstyle="solid"/>
            <w10:wrap type="topAndBottom"/>
          </v:line>
        </w:pict>
      </w:r>
    </w:p>
    <w:p>
      <w:pPr>
        <w:pStyle w:val="BodyText"/>
        <w:spacing w:before="7"/>
        <w:rPr>
          <w:sz w:val="18"/>
        </w:rPr>
      </w:pPr>
    </w:p>
    <w:p>
      <w:pPr>
        <w:spacing w:line="276" w:lineRule="auto" w:before="100"/>
        <w:ind w:left="616" w:right="244" w:firstLine="0"/>
        <w:jc w:val="left"/>
        <w:rPr>
          <w:sz w:val="20"/>
        </w:rPr>
      </w:pPr>
      <w:r>
        <w:rPr>
          <w:position w:val="5"/>
          <w:sz w:val="13"/>
        </w:rPr>
        <w:t>950 </w:t>
      </w:r>
      <w:r>
        <w:rPr>
          <w:sz w:val="20"/>
        </w:rPr>
        <w:t>Zheng R. et al.: Characterization and immunomodulating activities of polysaccharide from Lentinus edodes. Int Immunopharmacol. 2005 May, 5 (5), pp. 811-820.</w:t>
      </w:r>
    </w:p>
    <w:p>
      <w:pPr>
        <w:spacing w:line="276" w:lineRule="auto" w:before="61"/>
        <w:ind w:left="616" w:right="285" w:firstLine="0"/>
        <w:jc w:val="left"/>
        <w:rPr>
          <w:sz w:val="20"/>
        </w:rPr>
      </w:pPr>
      <w:r>
        <w:rPr>
          <w:position w:val="5"/>
          <w:sz w:val="13"/>
        </w:rPr>
        <w:t>951 </w:t>
      </w:r>
      <w:r>
        <w:rPr>
          <w:sz w:val="20"/>
        </w:rPr>
        <w:t>Kabir Y. et al.: Effect of shiitake (Lentinus edodes) and maitake (Grifola frondosa) mushrooms on blood pressure and plasma lipids of sponta- neously hypertensive rats. J Nutr Sci Vitaminol (Tokyo). 1987 Oct, 33 (5), pp. 341-346</w:t>
      </w:r>
    </w:p>
    <w:p>
      <w:pPr>
        <w:spacing w:line="276" w:lineRule="auto" w:before="58"/>
        <w:ind w:left="616" w:right="530" w:firstLine="0"/>
        <w:jc w:val="left"/>
        <w:rPr>
          <w:sz w:val="20"/>
        </w:rPr>
      </w:pPr>
      <w:r>
        <w:rPr>
          <w:position w:val="5"/>
          <w:sz w:val="13"/>
        </w:rPr>
        <w:t>952 </w:t>
      </w:r>
      <w:r>
        <w:rPr>
          <w:sz w:val="20"/>
        </w:rPr>
        <w:t>Ngai P. H. und Ng T. B.: Lentin, a novel and potent antifungal protein from shitake mushroom with inhibitory effects on activity of human immunodeficiency virus-1 reverse transcriptase and proliferation of leukemia cells. Life Sci. 2003 Nov 14, 73 (26), pp. 3363-3374</w:t>
      </w:r>
    </w:p>
    <w:p>
      <w:pPr>
        <w:spacing w:line="276" w:lineRule="auto" w:before="61"/>
        <w:ind w:left="616" w:right="244" w:firstLine="0"/>
        <w:jc w:val="left"/>
        <w:rPr>
          <w:sz w:val="20"/>
        </w:rPr>
      </w:pPr>
      <w:r>
        <w:rPr/>
        <w:pict>
          <v:group style="position:absolute;margin-left:70.823997pt;margin-top:22.488169pt;width:509.15pt;height:71.05pt;mso-position-horizontal-relative:page;mso-position-vertical-relative:paragraph;z-index:-1254544" coordorigin="1416,450" coordsize="10183,1421">
            <v:shape style="position:absolute;left:1552;top:449;width:10047;height:1421" type="#_x0000_t75" stroked="false">
              <v:imagedata r:id="rId21" o:title=""/>
            </v:shape>
            <v:shape style="position:absolute;left:1416;top:449;width:10183;height:1421" type="#_x0000_t202" filled="false" stroked="false">
              <v:textbox inset="0,0,0,0">
                <w:txbxContent>
                  <w:p>
                    <w:pPr>
                      <w:spacing w:before="189"/>
                      <w:ind w:left="0" w:right="0" w:firstLine="0"/>
                      <w:jc w:val="left"/>
                      <w:rPr>
                        <w:sz w:val="20"/>
                      </w:rPr>
                    </w:pPr>
                    <w:r>
                      <w:rPr>
                        <w:position w:val="5"/>
                        <w:sz w:val="13"/>
                      </w:rPr>
                      <w:t>954 </w:t>
                    </w:r>
                    <w:r>
                      <w:rPr>
                        <w:color w:val="45433A"/>
                        <w:sz w:val="20"/>
                      </w:rPr>
                      <w:t>Position of the German Federal Office for Risk Assessment from 23rd June 2004: Health risks from Shiitake mushrooms.</w:t>
                    </w:r>
                  </w:p>
                </w:txbxContent>
              </v:textbox>
              <w10:wrap type="none"/>
            </v:shape>
            <w10:wrap type="none"/>
          </v:group>
        </w:pict>
      </w:r>
      <w:r>
        <w:rPr>
          <w:position w:val="5"/>
          <w:sz w:val="13"/>
        </w:rPr>
        <w:t>953 </w:t>
      </w:r>
      <w:r>
        <w:rPr>
          <w:sz w:val="20"/>
        </w:rPr>
        <w:t>Gordon M. et al.: A placebo-controlled trial of the immune modulator, lentinan, in HIV-positive patients: a phase I/II trial. J Med. 1998; 29 (5- 6), pp. 305-330.</w:t>
      </w:r>
    </w:p>
    <w:p>
      <w:pPr>
        <w:spacing w:after="0" w:line="276" w:lineRule="auto"/>
        <w:jc w:val="left"/>
        <w:rPr>
          <w:sz w:val="20"/>
        </w:rPr>
        <w:sectPr>
          <w:footerReference w:type="default" r:id="rId441"/>
          <w:pgSz w:w="14270" w:h="16850"/>
          <w:pgMar w:footer="527" w:header="0" w:top="1340" w:bottom="720" w:left="800" w:right="1280"/>
          <w:pgNumType w:start="1696"/>
        </w:sectPr>
      </w:pPr>
    </w:p>
    <w:p>
      <w:pPr>
        <w:pStyle w:val="BodyText"/>
        <w:spacing w:line="278" w:lineRule="auto" w:before="72"/>
        <w:ind w:left="616" w:right="141"/>
        <w:jc w:val="both"/>
      </w:pPr>
      <w:r>
        <w:rPr/>
        <w:t>ingredients, meaning you can regularly garnish meals with Shiitake without having to consume a Shiitake-heavy meal every day.</w:t>
      </w:r>
    </w:p>
    <w:p>
      <w:pPr>
        <w:pStyle w:val="BodyText"/>
        <w:spacing w:line="276" w:lineRule="auto" w:before="232"/>
        <w:ind w:left="616" w:right="134"/>
        <w:jc w:val="both"/>
      </w:pPr>
      <w:r>
        <w:rPr/>
        <w:t>If you do not like mushrooms or dread preparing them, you can get Shiitake extract</w:t>
      </w:r>
      <w:r>
        <w:rPr>
          <w:spacing w:val="-12"/>
        </w:rPr>
        <w:t> </w:t>
      </w:r>
      <w:r>
        <w:rPr/>
        <w:t>in</w:t>
      </w:r>
      <w:r>
        <w:rPr>
          <w:spacing w:val="-11"/>
        </w:rPr>
        <w:t> </w:t>
      </w:r>
      <w:r>
        <w:rPr/>
        <w:t>capsules</w:t>
      </w:r>
      <w:r>
        <w:rPr>
          <w:spacing w:val="-10"/>
        </w:rPr>
        <w:t> </w:t>
      </w:r>
      <w:r>
        <w:rPr/>
        <w:t>from</w:t>
      </w:r>
      <w:r>
        <w:rPr>
          <w:spacing w:val="-11"/>
        </w:rPr>
        <w:t> </w:t>
      </w:r>
      <w:r>
        <w:rPr/>
        <w:t>good</w:t>
      </w:r>
      <w:r>
        <w:rPr>
          <w:spacing w:val="-13"/>
        </w:rPr>
        <w:t> </w:t>
      </w:r>
      <w:r>
        <w:rPr/>
        <w:t>health</w:t>
      </w:r>
      <w:r>
        <w:rPr>
          <w:spacing w:val="-11"/>
        </w:rPr>
        <w:t> </w:t>
      </w:r>
      <w:r>
        <w:rPr/>
        <w:t>food</w:t>
      </w:r>
      <w:r>
        <w:rPr>
          <w:spacing w:val="-11"/>
        </w:rPr>
        <w:t> </w:t>
      </w:r>
      <w:r>
        <w:rPr/>
        <w:t>shops</w:t>
      </w:r>
      <w:r>
        <w:rPr>
          <w:spacing w:val="-12"/>
        </w:rPr>
        <w:t> </w:t>
      </w:r>
      <w:r>
        <w:rPr/>
        <w:t>or</w:t>
      </w:r>
      <w:r>
        <w:rPr>
          <w:spacing w:val="-10"/>
        </w:rPr>
        <w:t> </w:t>
      </w:r>
      <w:r>
        <w:rPr/>
        <w:t>on</w:t>
      </w:r>
      <w:r>
        <w:rPr>
          <w:spacing w:val="-10"/>
        </w:rPr>
        <w:t> </w:t>
      </w:r>
      <w:r>
        <w:rPr/>
        <w:t>the</w:t>
      </w:r>
      <w:r>
        <w:rPr>
          <w:spacing w:val="-12"/>
        </w:rPr>
        <w:t> </w:t>
      </w:r>
      <w:r>
        <w:rPr/>
        <w:t>internet,</w:t>
      </w:r>
      <w:r>
        <w:rPr>
          <w:spacing w:val="-10"/>
        </w:rPr>
        <w:t> </w:t>
      </w:r>
      <w:r>
        <w:rPr/>
        <w:t>which</w:t>
      </w:r>
      <w:r>
        <w:rPr>
          <w:spacing w:val="-10"/>
        </w:rPr>
        <w:t> </w:t>
      </w:r>
      <w:r>
        <w:rPr/>
        <w:t>rep- resent a good and fully functional alternative to the consumption of mush- rooms.</w:t>
      </w:r>
    </w:p>
    <w:p>
      <w:pPr>
        <w:pStyle w:val="BodyText"/>
        <w:rPr>
          <w:sz w:val="42"/>
        </w:rPr>
      </w:pPr>
    </w:p>
    <w:p>
      <w:pPr>
        <w:pStyle w:val="BodyText"/>
        <w:spacing w:before="6"/>
        <w:rPr>
          <w:sz w:val="44"/>
        </w:rPr>
      </w:pPr>
    </w:p>
    <w:p>
      <w:pPr>
        <w:pStyle w:val="Heading2"/>
        <w:spacing w:before="1"/>
        <w:ind w:left="616"/>
      </w:pPr>
      <w:r>
        <w:rPr/>
        <w:t>Maitake</w:t>
      </w:r>
    </w:p>
    <w:p>
      <w:pPr>
        <w:spacing w:line="276" w:lineRule="auto" w:before="304"/>
        <w:ind w:left="616" w:right="138" w:firstLine="0"/>
        <w:jc w:val="both"/>
        <w:rPr>
          <w:b/>
          <w:sz w:val="38"/>
        </w:rPr>
      </w:pPr>
      <w:r>
        <w:rPr>
          <w:b/>
          <w:sz w:val="38"/>
        </w:rPr>
        <w:t>Maitake, Grifola frondosa, hen of the woods, hen-of-the-woods, ram's head, sheep's head</w:t>
      </w:r>
    </w:p>
    <w:p>
      <w:pPr>
        <w:spacing w:before="238"/>
        <w:ind w:left="616" w:right="0" w:firstLine="0"/>
        <w:jc w:val="left"/>
        <w:rPr>
          <w:b/>
          <w:sz w:val="38"/>
        </w:rPr>
      </w:pPr>
      <w:r>
        <w:rPr>
          <w:b/>
          <w:sz w:val="38"/>
        </w:rPr>
        <w:t>Name, origin, tradition</w:t>
      </w:r>
    </w:p>
    <w:p>
      <w:pPr>
        <w:pStyle w:val="BodyText"/>
        <w:spacing w:line="276" w:lineRule="auto" w:before="305"/>
        <w:ind w:left="616" w:right="133"/>
        <w:jc w:val="both"/>
      </w:pPr>
      <w:r>
        <w:rPr/>
        <w:t>The translation of Maitake from Japanese equates to ‘dancing mushroom’;</w:t>
      </w:r>
      <w:r>
        <w:rPr>
          <w:spacing w:val="-57"/>
        </w:rPr>
        <w:t> </w:t>
      </w:r>
      <w:r>
        <w:rPr/>
        <w:t>the Latin</w:t>
      </w:r>
      <w:r>
        <w:rPr>
          <w:spacing w:val="-17"/>
        </w:rPr>
        <w:t> </w:t>
      </w:r>
      <w:r>
        <w:rPr/>
        <w:t>term</w:t>
      </w:r>
      <w:r>
        <w:rPr>
          <w:spacing w:val="-16"/>
        </w:rPr>
        <w:t> </w:t>
      </w:r>
      <w:r>
        <w:rPr/>
        <w:t>is</w:t>
      </w:r>
      <w:r>
        <w:rPr>
          <w:spacing w:val="-17"/>
        </w:rPr>
        <w:t> </w:t>
      </w:r>
      <w:r>
        <w:rPr/>
        <w:t>‘Grifola</w:t>
      </w:r>
      <w:r>
        <w:rPr>
          <w:spacing w:val="-18"/>
        </w:rPr>
        <w:t> </w:t>
      </w:r>
      <w:r>
        <w:rPr/>
        <w:t>Frondosa’.</w:t>
      </w:r>
      <w:r>
        <w:rPr>
          <w:spacing w:val="-18"/>
        </w:rPr>
        <w:t> </w:t>
      </w:r>
      <w:r>
        <w:rPr/>
        <w:t>Maitake</w:t>
      </w:r>
      <w:r>
        <w:rPr>
          <w:spacing w:val="-18"/>
        </w:rPr>
        <w:t> </w:t>
      </w:r>
      <w:r>
        <w:rPr/>
        <w:t>is</w:t>
      </w:r>
      <w:r>
        <w:rPr>
          <w:spacing w:val="-17"/>
        </w:rPr>
        <w:t> </w:t>
      </w:r>
      <w:r>
        <w:rPr/>
        <w:t>among</w:t>
      </w:r>
      <w:r>
        <w:rPr>
          <w:spacing w:val="-16"/>
        </w:rPr>
        <w:t> </w:t>
      </w:r>
      <w:r>
        <w:rPr/>
        <w:t>the</w:t>
      </w:r>
      <w:r>
        <w:rPr>
          <w:spacing w:val="-15"/>
        </w:rPr>
        <w:t> </w:t>
      </w:r>
      <w:r>
        <w:rPr/>
        <w:t>most</w:t>
      </w:r>
      <w:r>
        <w:rPr>
          <w:spacing w:val="-16"/>
        </w:rPr>
        <w:t> </w:t>
      </w:r>
      <w:r>
        <w:rPr/>
        <w:t>popular</w:t>
      </w:r>
      <w:r>
        <w:rPr>
          <w:spacing w:val="-17"/>
        </w:rPr>
        <w:t> </w:t>
      </w:r>
      <w:r>
        <w:rPr/>
        <w:t>medicinal and edible mushrooms. According to folk lore, the Maitake should retain the name ‘dancing mushroom’ as mushroom pickers really danced for joy when they found the rare mushroom which, at that time, was worth more than its weight in silver. Locations were then kept secret and this knowledge was in- herited through family generations. In medieval times, Maitake was</w:t>
      </w:r>
      <w:r>
        <w:rPr>
          <w:spacing w:val="-48"/>
        </w:rPr>
        <w:t> </w:t>
      </w:r>
      <w:r>
        <w:rPr/>
        <w:t>reportedly even</w:t>
      </w:r>
      <w:r>
        <w:rPr>
          <w:spacing w:val="-10"/>
        </w:rPr>
        <w:t> </w:t>
      </w:r>
      <w:r>
        <w:rPr/>
        <w:t>weighed</w:t>
      </w:r>
      <w:r>
        <w:rPr>
          <w:spacing w:val="-9"/>
        </w:rPr>
        <w:t> </w:t>
      </w:r>
      <w:r>
        <w:rPr/>
        <w:t>against</w:t>
      </w:r>
      <w:r>
        <w:rPr>
          <w:spacing w:val="-11"/>
        </w:rPr>
        <w:t> </w:t>
      </w:r>
      <w:r>
        <w:rPr/>
        <w:t>gold.</w:t>
      </w:r>
      <w:r>
        <w:rPr>
          <w:spacing w:val="-9"/>
        </w:rPr>
        <w:t> </w:t>
      </w:r>
      <w:r>
        <w:rPr/>
        <w:t>The</w:t>
      </w:r>
      <w:r>
        <w:rPr>
          <w:spacing w:val="-12"/>
        </w:rPr>
        <w:t> </w:t>
      </w:r>
      <w:r>
        <w:rPr/>
        <w:t>English</w:t>
      </w:r>
      <w:r>
        <w:rPr>
          <w:spacing w:val="-9"/>
        </w:rPr>
        <w:t> </w:t>
      </w:r>
      <w:r>
        <w:rPr/>
        <w:t>designation</w:t>
      </w:r>
      <w:r>
        <w:rPr>
          <w:spacing w:val="-10"/>
        </w:rPr>
        <w:t> </w:t>
      </w:r>
      <w:r>
        <w:rPr/>
        <w:t>of</w:t>
      </w:r>
      <w:r>
        <w:rPr>
          <w:spacing w:val="-9"/>
        </w:rPr>
        <w:t> </w:t>
      </w:r>
      <w:r>
        <w:rPr/>
        <w:t>Maitake</w:t>
      </w:r>
      <w:r>
        <w:rPr>
          <w:spacing w:val="-12"/>
        </w:rPr>
        <w:t> </w:t>
      </w:r>
      <w:r>
        <w:rPr/>
        <w:t>as</w:t>
      </w:r>
      <w:r>
        <w:rPr>
          <w:spacing w:val="-10"/>
        </w:rPr>
        <w:t> </w:t>
      </w:r>
      <w:r>
        <w:rPr/>
        <w:t>‘hen-of-the- woods’ or ‘ram’s head’ can probably be traced back to its</w:t>
      </w:r>
      <w:r>
        <w:rPr>
          <w:spacing w:val="-6"/>
        </w:rPr>
        <w:t> </w:t>
      </w:r>
      <w:r>
        <w:rPr/>
        <w:t>shape.</w:t>
      </w:r>
    </w:p>
    <w:p>
      <w:pPr>
        <w:pStyle w:val="Heading1"/>
        <w:spacing w:before="225"/>
        <w:ind w:left="616"/>
        <w:jc w:val="both"/>
      </w:pPr>
      <w:r>
        <w:rPr/>
        <w:t>Appearance and taste</w:t>
      </w:r>
    </w:p>
    <w:p>
      <w:pPr>
        <w:spacing w:after="0"/>
        <w:jc w:val="both"/>
        <w:sectPr>
          <w:footerReference w:type="default" r:id="rId442"/>
          <w:pgSz w:w="14270" w:h="16850"/>
          <w:pgMar w:footer="1891" w:header="0" w:top="1340" w:bottom="2080" w:left="800" w:right="1280"/>
          <w:pgNumType w:start="1697"/>
        </w:sectPr>
      </w:pPr>
    </w:p>
    <w:p>
      <w:pPr>
        <w:pStyle w:val="BodyText"/>
        <w:spacing w:line="276" w:lineRule="auto" w:before="74"/>
        <w:ind w:left="616" w:right="134"/>
        <w:jc w:val="both"/>
      </w:pPr>
      <w:r>
        <w:rPr/>
        <w:t>Maitake is grey-brown with a nut-like colour, it has a somewhat rugged shape. Its colour and shape give it an almost unbeatable camouflage which makes discovering</w:t>
      </w:r>
      <w:r>
        <w:rPr>
          <w:spacing w:val="-7"/>
        </w:rPr>
        <w:t> </w:t>
      </w:r>
      <w:r>
        <w:rPr/>
        <w:t>this</w:t>
      </w:r>
      <w:r>
        <w:rPr>
          <w:spacing w:val="-8"/>
        </w:rPr>
        <w:t> </w:t>
      </w:r>
      <w:r>
        <w:rPr/>
        <w:t>mushroom,</w:t>
      </w:r>
      <w:r>
        <w:rPr>
          <w:spacing w:val="-6"/>
        </w:rPr>
        <w:t> </w:t>
      </w:r>
      <w:r>
        <w:rPr/>
        <w:t>which</w:t>
      </w:r>
      <w:r>
        <w:rPr>
          <w:spacing w:val="-6"/>
        </w:rPr>
        <w:t> </w:t>
      </w:r>
      <w:r>
        <w:rPr/>
        <w:t>grows</w:t>
      </w:r>
      <w:r>
        <w:rPr>
          <w:spacing w:val="-9"/>
        </w:rPr>
        <w:t> </w:t>
      </w:r>
      <w:r>
        <w:rPr/>
        <w:t>at</w:t>
      </w:r>
      <w:r>
        <w:rPr>
          <w:spacing w:val="-8"/>
        </w:rPr>
        <w:t> </w:t>
      </w:r>
      <w:r>
        <w:rPr/>
        <w:t>the</w:t>
      </w:r>
      <w:r>
        <w:rPr>
          <w:spacing w:val="-6"/>
        </w:rPr>
        <w:t> </w:t>
      </w:r>
      <w:r>
        <w:rPr/>
        <w:t>foot</w:t>
      </w:r>
      <w:r>
        <w:rPr>
          <w:spacing w:val="-7"/>
        </w:rPr>
        <w:t> </w:t>
      </w:r>
      <w:r>
        <w:rPr/>
        <w:t>of</w:t>
      </w:r>
      <w:r>
        <w:rPr>
          <w:spacing w:val="-8"/>
        </w:rPr>
        <w:t> </w:t>
      </w:r>
      <w:r>
        <w:rPr/>
        <w:t>beeches,</w:t>
      </w:r>
      <w:r>
        <w:rPr>
          <w:spacing w:val="-8"/>
        </w:rPr>
        <w:t> </w:t>
      </w:r>
      <w:r>
        <w:rPr/>
        <w:t>oak</w:t>
      </w:r>
      <w:r>
        <w:rPr>
          <w:spacing w:val="-7"/>
        </w:rPr>
        <w:t> </w:t>
      </w:r>
      <w:r>
        <w:rPr/>
        <w:t>trees</w:t>
      </w:r>
      <w:r>
        <w:rPr>
          <w:spacing w:val="-6"/>
        </w:rPr>
        <w:t> </w:t>
      </w:r>
      <w:r>
        <w:rPr/>
        <w:t>and sweet chestnuts, very difficult, even given its impressive size and weight of up to 15 kg. The taste of Maitake is exquisite and aromatic meaning it is hardly surprising</w:t>
      </w:r>
      <w:r>
        <w:rPr>
          <w:spacing w:val="-15"/>
        </w:rPr>
        <w:t> </w:t>
      </w:r>
      <w:r>
        <w:rPr/>
        <w:t>that</w:t>
      </w:r>
      <w:r>
        <w:rPr>
          <w:spacing w:val="-14"/>
        </w:rPr>
        <w:t> </w:t>
      </w:r>
      <w:r>
        <w:rPr/>
        <w:t>Maitake</w:t>
      </w:r>
      <w:r>
        <w:rPr>
          <w:spacing w:val="-15"/>
        </w:rPr>
        <w:t> </w:t>
      </w:r>
      <w:r>
        <w:rPr/>
        <w:t>is</w:t>
      </w:r>
      <w:r>
        <w:rPr>
          <w:spacing w:val="-14"/>
        </w:rPr>
        <w:t> </w:t>
      </w:r>
      <w:r>
        <w:rPr/>
        <w:t>one</w:t>
      </w:r>
      <w:r>
        <w:rPr>
          <w:spacing w:val="-14"/>
        </w:rPr>
        <w:t> </w:t>
      </w:r>
      <w:r>
        <w:rPr/>
        <w:t>of</w:t>
      </w:r>
      <w:r>
        <w:rPr>
          <w:spacing w:val="-14"/>
        </w:rPr>
        <w:t> </w:t>
      </w:r>
      <w:r>
        <w:rPr/>
        <w:t>the</w:t>
      </w:r>
      <w:r>
        <w:rPr>
          <w:spacing w:val="-13"/>
        </w:rPr>
        <w:t> </w:t>
      </w:r>
      <w:r>
        <w:rPr/>
        <w:t>most</w:t>
      </w:r>
      <w:r>
        <w:rPr>
          <w:spacing w:val="-14"/>
        </w:rPr>
        <w:t> </w:t>
      </w:r>
      <w:r>
        <w:rPr/>
        <w:t>popular</w:t>
      </w:r>
      <w:r>
        <w:rPr>
          <w:spacing w:val="-15"/>
        </w:rPr>
        <w:t> </w:t>
      </w:r>
      <w:r>
        <w:rPr/>
        <w:t>edible</w:t>
      </w:r>
      <w:r>
        <w:rPr>
          <w:spacing w:val="-14"/>
        </w:rPr>
        <w:t> </w:t>
      </w:r>
      <w:r>
        <w:rPr/>
        <w:t>mushrooms</w:t>
      </w:r>
      <w:r>
        <w:rPr>
          <w:spacing w:val="-13"/>
        </w:rPr>
        <w:t> </w:t>
      </w:r>
      <w:r>
        <w:rPr/>
        <w:t>in</w:t>
      </w:r>
      <w:r>
        <w:rPr>
          <w:spacing w:val="-14"/>
        </w:rPr>
        <w:t> </w:t>
      </w:r>
      <w:r>
        <w:rPr/>
        <w:t>Japan.</w:t>
      </w:r>
    </w:p>
    <w:p>
      <w:pPr>
        <w:pStyle w:val="BodyText"/>
        <w:rPr>
          <w:sz w:val="42"/>
        </w:rPr>
      </w:pPr>
    </w:p>
    <w:p>
      <w:pPr>
        <w:pStyle w:val="BodyText"/>
        <w:spacing w:before="5"/>
        <w:rPr>
          <w:sz w:val="44"/>
        </w:rPr>
      </w:pPr>
    </w:p>
    <w:p>
      <w:pPr>
        <w:pStyle w:val="Heading2"/>
        <w:ind w:left="616"/>
      </w:pPr>
      <w:r>
        <w:rPr/>
        <w:t>Occurrence and cultivation</w:t>
      </w:r>
    </w:p>
    <w:p>
      <w:pPr>
        <w:pStyle w:val="BodyText"/>
        <w:spacing w:line="276" w:lineRule="auto" w:before="305"/>
        <w:ind w:left="616" w:right="144"/>
        <w:jc w:val="both"/>
      </w:pPr>
      <w:r>
        <w:rPr/>
        <w:t>Today, Maitake is largely cultivated in laboratories making it very affordable and accessible to the wider masses.</w:t>
      </w:r>
    </w:p>
    <w:p>
      <w:pPr>
        <w:pStyle w:val="BodyText"/>
        <w:spacing w:line="278" w:lineRule="auto" w:before="238"/>
        <w:ind w:left="616" w:right="135"/>
        <w:jc w:val="both"/>
        <w:rPr>
          <w:sz w:val="25"/>
        </w:rPr>
      </w:pPr>
      <w:r>
        <w:rPr/>
        <w:t>Japan is the main producer of Maitake; annual production in the year 1986 grew from 2.2 to 7.9 tonnes in 1991 and to an imposing 9.6 tonnes in</w:t>
      </w:r>
      <w:r>
        <w:rPr>
          <w:spacing w:val="-37"/>
        </w:rPr>
        <w:t> </w:t>
      </w:r>
      <w:r>
        <w:rPr/>
        <w:t>1993.</w:t>
      </w:r>
      <w:r>
        <w:rPr>
          <w:position w:val="9"/>
          <w:sz w:val="25"/>
        </w:rPr>
        <w:t>955</w:t>
      </w:r>
    </w:p>
    <w:p>
      <w:pPr>
        <w:pStyle w:val="Heading2"/>
        <w:spacing w:before="233"/>
        <w:ind w:left="616"/>
      </w:pPr>
      <w:r>
        <w:rPr/>
        <w:t>Maitake active ingredients</w:t>
      </w:r>
    </w:p>
    <w:p>
      <w:pPr>
        <w:pStyle w:val="BodyText"/>
        <w:spacing w:line="276" w:lineRule="auto" w:before="304"/>
        <w:ind w:left="616" w:right="137"/>
        <w:jc w:val="both"/>
      </w:pPr>
      <w:r>
        <w:rPr/>
        <w:t>Maitake</w:t>
      </w:r>
      <w:r>
        <w:rPr>
          <w:spacing w:val="-21"/>
        </w:rPr>
        <w:t> </w:t>
      </w:r>
      <w:r>
        <w:rPr/>
        <w:t>contains</w:t>
      </w:r>
      <w:r>
        <w:rPr>
          <w:spacing w:val="-18"/>
        </w:rPr>
        <w:t> </w:t>
      </w:r>
      <w:r>
        <w:rPr/>
        <w:t>a</w:t>
      </w:r>
      <w:r>
        <w:rPr>
          <w:spacing w:val="-20"/>
        </w:rPr>
        <w:t> </w:t>
      </w:r>
      <w:r>
        <w:rPr/>
        <w:t>series</w:t>
      </w:r>
      <w:r>
        <w:rPr>
          <w:spacing w:val="-18"/>
        </w:rPr>
        <w:t> </w:t>
      </w:r>
      <w:r>
        <w:rPr/>
        <w:t>of</w:t>
      </w:r>
      <w:r>
        <w:rPr>
          <w:spacing w:val="-20"/>
        </w:rPr>
        <w:t> </w:t>
      </w:r>
      <w:r>
        <w:rPr/>
        <w:t>highly-efficient</w:t>
      </w:r>
      <w:r>
        <w:rPr>
          <w:spacing w:val="-16"/>
        </w:rPr>
        <w:t> </w:t>
      </w:r>
      <w:r>
        <w:rPr/>
        <w:t>active</w:t>
      </w:r>
      <w:r>
        <w:rPr>
          <w:spacing w:val="-18"/>
        </w:rPr>
        <w:t> </w:t>
      </w:r>
      <w:r>
        <w:rPr/>
        <w:t>ingredients</w:t>
      </w:r>
      <w:r>
        <w:rPr>
          <w:spacing w:val="-19"/>
        </w:rPr>
        <w:t> </w:t>
      </w:r>
      <w:r>
        <w:rPr/>
        <w:t>such</w:t>
      </w:r>
      <w:r>
        <w:rPr>
          <w:spacing w:val="-18"/>
        </w:rPr>
        <w:t> </w:t>
      </w:r>
      <w:r>
        <w:rPr/>
        <w:t>as</w:t>
      </w:r>
      <w:r>
        <w:rPr>
          <w:spacing w:val="-19"/>
        </w:rPr>
        <w:t> </w:t>
      </w:r>
      <w:r>
        <w:rPr/>
        <w:t>vitamins, minerals, trace elements and secondary plant substances, as well as immuno- modulators.</w:t>
      </w:r>
    </w:p>
    <w:p>
      <w:pPr>
        <w:pStyle w:val="BodyText"/>
        <w:spacing w:line="278" w:lineRule="auto" w:before="239"/>
        <w:ind w:left="616" w:right="136"/>
        <w:jc w:val="both"/>
      </w:pPr>
      <w:r>
        <w:rPr/>
        <w:t>The astounding effect of Maitake, even in diseases such as cancer, is largely due to the polysaccharides; in particular grifolin and grifolan.</w:t>
      </w:r>
    </w:p>
    <w:p>
      <w:pPr>
        <w:pStyle w:val="BodyText"/>
        <w:spacing w:before="233"/>
        <w:ind w:left="616"/>
        <w:jc w:val="both"/>
      </w:pPr>
      <w:r>
        <w:rPr/>
        <w:t>However, its nucleotides, guanylic acids, proteins and lectins and ergosterol</w:t>
      </w:r>
      <w:r>
        <w:rPr>
          <w:spacing w:val="-60"/>
        </w:rPr>
        <w:t> </w:t>
      </w:r>
      <w:r>
        <w:rPr/>
        <w:t>as</w:t>
      </w:r>
    </w:p>
    <w:p>
      <w:pPr>
        <w:pStyle w:val="BodyText"/>
        <w:rPr>
          <w:sz w:val="20"/>
        </w:rPr>
      </w:pPr>
    </w:p>
    <w:p>
      <w:pPr>
        <w:pStyle w:val="BodyText"/>
        <w:spacing w:before="2"/>
        <w:rPr>
          <w:sz w:val="16"/>
        </w:rPr>
      </w:pPr>
      <w:r>
        <w:rPr/>
        <w:pict>
          <v:line style="position:absolute;mso-position-horizontal-relative:page;mso-position-vertical-relative:paragraph;z-index:13160;mso-wrap-distance-left:0;mso-wrap-distance-right:0" from="70.823997pt,11.466235pt" to="214.843997pt,11.466235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955 </w:t>
      </w:r>
      <w:r>
        <w:rPr>
          <w:sz w:val="20"/>
        </w:rPr>
        <w:t>Jong, S. C. and J. M. Birmingham, Der medizinische Wert des Pilzes Grifola. Microbiol. der Welt J. und Biotech. 1990, 6, pp. 227–235</w:t>
      </w:r>
    </w:p>
    <w:p>
      <w:pPr>
        <w:spacing w:after="0"/>
        <w:jc w:val="left"/>
        <w:rPr>
          <w:sz w:val="20"/>
        </w:rPr>
        <w:sectPr>
          <w:pgSz w:w="14270" w:h="16850"/>
          <w:pgMar w:header="0" w:footer="1891" w:top="1340" w:bottom="2080" w:left="800" w:right="1280"/>
        </w:sectPr>
      </w:pPr>
    </w:p>
    <w:p>
      <w:pPr>
        <w:pStyle w:val="BodyText"/>
        <w:spacing w:line="276" w:lineRule="auto" w:before="72"/>
        <w:ind w:left="616" w:right="133"/>
        <w:jc w:val="both"/>
      </w:pPr>
      <w:r>
        <w:rPr/>
        <w:t>a precursor of vitamin D upgrade this medicinal mushroom to such an extent that it can even take on AIDS. You can read more about this further down under ‘Studies’.</w:t>
      </w:r>
    </w:p>
    <w:p>
      <w:pPr>
        <w:pStyle w:val="BodyText"/>
        <w:rPr>
          <w:sz w:val="42"/>
        </w:rPr>
      </w:pPr>
    </w:p>
    <w:p>
      <w:pPr>
        <w:pStyle w:val="BodyText"/>
        <w:spacing w:before="11"/>
        <w:rPr>
          <w:sz w:val="42"/>
        </w:rPr>
      </w:pPr>
    </w:p>
    <w:p>
      <w:pPr>
        <w:pStyle w:val="Heading1"/>
        <w:spacing w:before="0"/>
        <w:ind w:left="616"/>
        <w:jc w:val="both"/>
      </w:pPr>
      <w:r>
        <w:rPr/>
        <w:t>Maitake – the active ingredient</w:t>
      </w:r>
      <w:r>
        <w:rPr>
          <w:spacing w:val="-54"/>
        </w:rPr>
        <w:t> </w:t>
      </w:r>
      <w:r>
        <w:rPr/>
        <w:t>groups</w:t>
      </w:r>
    </w:p>
    <w:p>
      <w:pPr>
        <w:pStyle w:val="ListParagraph"/>
        <w:numPr>
          <w:ilvl w:val="0"/>
          <w:numId w:val="120"/>
        </w:numPr>
        <w:tabs>
          <w:tab w:pos="1032" w:val="left" w:leader="none"/>
        </w:tabs>
        <w:spacing w:line="240" w:lineRule="auto" w:before="260" w:after="0"/>
        <w:ind w:left="899" w:right="0" w:hanging="283"/>
        <w:jc w:val="both"/>
        <w:rPr>
          <w:sz w:val="38"/>
        </w:rPr>
      </w:pPr>
      <w:r>
        <w:rPr>
          <w:sz w:val="38"/>
        </w:rPr>
        <w:t>Vitamins</w:t>
      </w:r>
    </w:p>
    <w:p>
      <w:pPr>
        <w:pStyle w:val="ListParagraph"/>
        <w:numPr>
          <w:ilvl w:val="0"/>
          <w:numId w:val="120"/>
        </w:numPr>
        <w:tabs>
          <w:tab w:pos="1032" w:val="left" w:leader="none"/>
        </w:tabs>
        <w:spacing w:line="240" w:lineRule="auto" w:before="184" w:after="0"/>
        <w:ind w:left="899" w:right="0" w:hanging="283"/>
        <w:jc w:val="both"/>
        <w:rPr>
          <w:sz w:val="38"/>
        </w:rPr>
      </w:pPr>
      <w:r>
        <w:rPr>
          <w:sz w:val="38"/>
        </w:rPr>
        <w:t>Minerals</w:t>
      </w:r>
    </w:p>
    <w:p>
      <w:pPr>
        <w:pStyle w:val="ListParagraph"/>
        <w:numPr>
          <w:ilvl w:val="0"/>
          <w:numId w:val="120"/>
        </w:numPr>
        <w:tabs>
          <w:tab w:pos="1032" w:val="left" w:leader="none"/>
        </w:tabs>
        <w:spacing w:line="240" w:lineRule="auto" w:before="184" w:after="0"/>
        <w:ind w:left="899" w:right="0" w:hanging="283"/>
        <w:jc w:val="both"/>
        <w:rPr>
          <w:sz w:val="38"/>
        </w:rPr>
      </w:pPr>
      <w:r>
        <w:rPr>
          <w:sz w:val="38"/>
        </w:rPr>
        <w:t>Trace elements</w:t>
      </w:r>
    </w:p>
    <w:p>
      <w:pPr>
        <w:pStyle w:val="ListParagraph"/>
        <w:numPr>
          <w:ilvl w:val="0"/>
          <w:numId w:val="120"/>
        </w:numPr>
        <w:tabs>
          <w:tab w:pos="1032" w:val="left" w:leader="none"/>
        </w:tabs>
        <w:spacing w:line="240" w:lineRule="auto" w:before="186" w:after="0"/>
        <w:ind w:left="899" w:right="0" w:hanging="283"/>
        <w:jc w:val="both"/>
        <w:rPr>
          <w:sz w:val="38"/>
        </w:rPr>
      </w:pPr>
      <w:r>
        <w:rPr>
          <w:sz w:val="38"/>
        </w:rPr>
        <w:t>Secondary plant</w:t>
      </w:r>
      <w:r>
        <w:rPr>
          <w:spacing w:val="1"/>
          <w:sz w:val="38"/>
        </w:rPr>
        <w:t> </w:t>
      </w:r>
      <w:r>
        <w:rPr>
          <w:sz w:val="38"/>
        </w:rPr>
        <w:t>substances</w:t>
      </w:r>
    </w:p>
    <w:p>
      <w:pPr>
        <w:pStyle w:val="ListParagraph"/>
        <w:numPr>
          <w:ilvl w:val="0"/>
          <w:numId w:val="120"/>
        </w:numPr>
        <w:tabs>
          <w:tab w:pos="1032" w:val="left" w:leader="none"/>
        </w:tabs>
        <w:spacing w:line="240" w:lineRule="auto" w:before="183" w:after="0"/>
        <w:ind w:left="899" w:right="0" w:hanging="283"/>
        <w:jc w:val="both"/>
        <w:rPr>
          <w:sz w:val="38"/>
        </w:rPr>
      </w:pPr>
      <w:r>
        <w:rPr>
          <w:sz w:val="38"/>
        </w:rPr>
        <w:t>Unsaturated fatty</w:t>
      </w:r>
      <w:r>
        <w:rPr>
          <w:spacing w:val="-1"/>
          <w:sz w:val="38"/>
        </w:rPr>
        <w:t> </w:t>
      </w:r>
      <w:r>
        <w:rPr>
          <w:sz w:val="38"/>
        </w:rPr>
        <w:t>acids</w:t>
      </w:r>
    </w:p>
    <w:p>
      <w:pPr>
        <w:pStyle w:val="ListParagraph"/>
        <w:numPr>
          <w:ilvl w:val="0"/>
          <w:numId w:val="120"/>
        </w:numPr>
        <w:tabs>
          <w:tab w:pos="1032" w:val="left" w:leader="none"/>
        </w:tabs>
        <w:spacing w:line="240" w:lineRule="auto" w:before="184" w:after="0"/>
        <w:ind w:left="899" w:right="0" w:hanging="283"/>
        <w:jc w:val="both"/>
        <w:rPr>
          <w:sz w:val="38"/>
        </w:rPr>
      </w:pPr>
      <w:r>
        <w:rPr>
          <w:sz w:val="38"/>
        </w:rPr>
        <w:t>Polysaccharides</w:t>
      </w:r>
    </w:p>
    <w:p>
      <w:pPr>
        <w:pStyle w:val="ListParagraph"/>
        <w:numPr>
          <w:ilvl w:val="0"/>
          <w:numId w:val="120"/>
        </w:numPr>
        <w:tabs>
          <w:tab w:pos="1032" w:val="left" w:leader="none"/>
        </w:tabs>
        <w:spacing w:line="240" w:lineRule="auto" w:before="184" w:after="0"/>
        <w:ind w:left="899" w:right="0" w:hanging="283"/>
        <w:jc w:val="both"/>
        <w:rPr>
          <w:sz w:val="38"/>
        </w:rPr>
      </w:pPr>
      <w:r>
        <w:rPr>
          <w:sz w:val="38"/>
        </w:rPr>
        <w:t>Nucleotides</w:t>
      </w:r>
    </w:p>
    <w:p>
      <w:pPr>
        <w:pStyle w:val="ListParagraph"/>
        <w:numPr>
          <w:ilvl w:val="0"/>
          <w:numId w:val="120"/>
        </w:numPr>
        <w:tabs>
          <w:tab w:pos="1032" w:val="left" w:leader="none"/>
        </w:tabs>
        <w:spacing w:line="240" w:lineRule="auto" w:before="183" w:after="0"/>
        <w:ind w:left="899" w:right="0" w:hanging="283"/>
        <w:jc w:val="both"/>
        <w:rPr>
          <w:sz w:val="38"/>
        </w:rPr>
      </w:pPr>
      <w:r>
        <w:rPr>
          <w:sz w:val="38"/>
        </w:rPr>
        <w:t>D-fraction</w:t>
      </w:r>
    </w:p>
    <w:p>
      <w:pPr>
        <w:pStyle w:val="ListParagraph"/>
        <w:numPr>
          <w:ilvl w:val="0"/>
          <w:numId w:val="120"/>
        </w:numPr>
        <w:tabs>
          <w:tab w:pos="1032" w:val="left" w:leader="none"/>
        </w:tabs>
        <w:spacing w:line="240" w:lineRule="auto" w:before="186" w:after="0"/>
        <w:ind w:left="899" w:right="0" w:hanging="283"/>
        <w:jc w:val="both"/>
        <w:rPr>
          <w:sz w:val="38"/>
        </w:rPr>
      </w:pPr>
      <w:r>
        <w:rPr>
          <w:sz w:val="38"/>
        </w:rPr>
        <w:t>MD-fraction</w:t>
      </w:r>
    </w:p>
    <w:p>
      <w:pPr>
        <w:pStyle w:val="ListParagraph"/>
        <w:numPr>
          <w:ilvl w:val="0"/>
          <w:numId w:val="120"/>
        </w:numPr>
        <w:tabs>
          <w:tab w:pos="1032" w:val="left" w:leader="none"/>
        </w:tabs>
        <w:spacing w:line="240" w:lineRule="auto" w:before="184" w:after="0"/>
        <w:ind w:left="899" w:right="0" w:hanging="283"/>
        <w:jc w:val="both"/>
        <w:rPr>
          <w:sz w:val="38"/>
        </w:rPr>
      </w:pPr>
      <w:r>
        <w:rPr>
          <w:sz w:val="38"/>
        </w:rPr>
        <w:t>SX-fraction</w:t>
      </w:r>
    </w:p>
    <w:p>
      <w:pPr>
        <w:pStyle w:val="ListParagraph"/>
        <w:numPr>
          <w:ilvl w:val="0"/>
          <w:numId w:val="120"/>
        </w:numPr>
        <w:tabs>
          <w:tab w:pos="1032" w:val="left" w:leader="none"/>
        </w:tabs>
        <w:spacing w:line="240" w:lineRule="auto" w:before="184" w:after="0"/>
        <w:ind w:left="899" w:right="0" w:hanging="283"/>
        <w:jc w:val="both"/>
        <w:rPr>
          <w:sz w:val="38"/>
        </w:rPr>
      </w:pPr>
      <w:r>
        <w:rPr>
          <w:sz w:val="38"/>
        </w:rPr>
        <w:t>Guanylic</w:t>
      </w:r>
      <w:r>
        <w:rPr>
          <w:spacing w:val="-2"/>
          <w:sz w:val="38"/>
        </w:rPr>
        <w:t> </w:t>
      </w:r>
      <w:r>
        <w:rPr>
          <w:sz w:val="38"/>
        </w:rPr>
        <w:t>acids</w:t>
      </w:r>
    </w:p>
    <w:p>
      <w:pPr>
        <w:pStyle w:val="ListParagraph"/>
        <w:numPr>
          <w:ilvl w:val="0"/>
          <w:numId w:val="120"/>
        </w:numPr>
        <w:tabs>
          <w:tab w:pos="1032" w:val="left" w:leader="none"/>
        </w:tabs>
        <w:spacing w:line="240" w:lineRule="auto" w:before="183" w:after="0"/>
        <w:ind w:left="899" w:right="0" w:hanging="283"/>
        <w:jc w:val="both"/>
        <w:rPr>
          <w:sz w:val="38"/>
        </w:rPr>
      </w:pPr>
      <w:r>
        <w:rPr>
          <w:sz w:val="38"/>
        </w:rPr>
        <w:t>Lectins</w:t>
      </w:r>
    </w:p>
    <w:p>
      <w:pPr>
        <w:pStyle w:val="ListParagraph"/>
        <w:numPr>
          <w:ilvl w:val="0"/>
          <w:numId w:val="120"/>
        </w:numPr>
        <w:tabs>
          <w:tab w:pos="1032" w:val="left" w:leader="none"/>
        </w:tabs>
        <w:spacing w:line="240" w:lineRule="auto" w:before="185" w:after="0"/>
        <w:ind w:left="899" w:right="0" w:hanging="283"/>
        <w:jc w:val="both"/>
        <w:rPr>
          <w:sz w:val="38"/>
        </w:rPr>
      </w:pPr>
      <w:r>
        <w:rPr>
          <w:sz w:val="38"/>
        </w:rPr>
        <w:t>Ergosterol</w:t>
      </w:r>
    </w:p>
    <w:p>
      <w:pPr>
        <w:pStyle w:val="ListParagraph"/>
        <w:numPr>
          <w:ilvl w:val="0"/>
          <w:numId w:val="120"/>
        </w:numPr>
        <w:tabs>
          <w:tab w:pos="1032" w:val="left" w:leader="none"/>
        </w:tabs>
        <w:spacing w:line="240" w:lineRule="auto" w:before="186" w:after="0"/>
        <w:ind w:left="899" w:right="0" w:hanging="283"/>
        <w:jc w:val="both"/>
        <w:rPr>
          <w:sz w:val="38"/>
        </w:rPr>
      </w:pPr>
      <w:r>
        <w:rPr>
          <w:sz w:val="38"/>
        </w:rPr>
        <w:t>Amino</w:t>
      </w:r>
      <w:r>
        <w:rPr>
          <w:spacing w:val="1"/>
          <w:sz w:val="38"/>
        </w:rPr>
        <w:t> </w:t>
      </w:r>
      <w:r>
        <w:rPr>
          <w:sz w:val="38"/>
        </w:rPr>
        <w:t>acids</w:t>
      </w:r>
    </w:p>
    <w:p>
      <w:pPr>
        <w:spacing w:after="0" w:line="240" w:lineRule="auto"/>
        <w:jc w:val="both"/>
        <w:rPr>
          <w:sz w:val="38"/>
        </w:rPr>
        <w:sectPr>
          <w:pgSz w:w="14270" w:h="16850"/>
          <w:pgMar w:header="0" w:footer="1891" w:top="1340" w:bottom="2080" w:left="800" w:right="1280"/>
        </w:sectPr>
      </w:pPr>
    </w:p>
    <w:p>
      <w:pPr>
        <w:pStyle w:val="ListParagraph"/>
        <w:numPr>
          <w:ilvl w:val="0"/>
          <w:numId w:val="120"/>
        </w:numPr>
        <w:tabs>
          <w:tab w:pos="1031" w:val="left" w:leader="none"/>
          <w:tab w:pos="1032" w:val="left" w:leader="none"/>
        </w:tabs>
        <w:spacing w:line="240" w:lineRule="auto" w:before="53" w:after="0"/>
        <w:ind w:left="899" w:right="0" w:hanging="283"/>
        <w:jc w:val="left"/>
        <w:rPr>
          <w:sz w:val="38"/>
        </w:rPr>
      </w:pPr>
      <w:r>
        <w:rPr>
          <w:sz w:val="38"/>
        </w:rPr>
        <w:t>Carbohydrates</w:t>
      </w:r>
    </w:p>
    <w:p>
      <w:pPr>
        <w:pStyle w:val="ListParagraph"/>
        <w:numPr>
          <w:ilvl w:val="0"/>
          <w:numId w:val="120"/>
        </w:numPr>
        <w:tabs>
          <w:tab w:pos="1031" w:val="left" w:leader="none"/>
          <w:tab w:pos="1032" w:val="left" w:leader="none"/>
        </w:tabs>
        <w:spacing w:line="240" w:lineRule="auto" w:before="306" w:after="0"/>
        <w:ind w:left="899" w:right="0" w:hanging="283"/>
        <w:jc w:val="left"/>
        <w:rPr>
          <w:sz w:val="38"/>
        </w:rPr>
      </w:pPr>
      <w:r>
        <w:rPr>
          <w:sz w:val="38"/>
        </w:rPr>
        <w:t>Fats</w:t>
      </w:r>
    </w:p>
    <w:p>
      <w:pPr>
        <w:pStyle w:val="BodyText"/>
        <w:spacing w:before="304"/>
        <w:ind w:left="616"/>
        <w:rPr>
          <w:rFonts w:ascii="Times New Roman"/>
        </w:rPr>
      </w:pPr>
      <w:r>
        <w:rPr>
          <w:rFonts w:ascii="Times New Roman"/>
          <w:w w:val="99"/>
        </w:rPr>
        <w:t>-</w:t>
      </w:r>
    </w:p>
    <w:p>
      <w:pPr>
        <w:pStyle w:val="Heading2"/>
        <w:spacing w:before="326"/>
        <w:ind w:left="616"/>
      </w:pPr>
      <w:r>
        <w:rPr>
          <w:rFonts w:ascii="Times New Roman"/>
          <w:b w:val="0"/>
        </w:rPr>
        <w:t>-</w:t>
      </w:r>
      <w:r>
        <w:rPr/>
        <w:t>General effect of Maitake mushrooms</w:t>
      </w:r>
    </w:p>
    <w:p>
      <w:pPr>
        <w:pStyle w:val="BodyText"/>
        <w:spacing w:before="305"/>
        <w:ind w:left="616"/>
      </w:pPr>
      <w:r>
        <w:rPr/>
        <w:t>The general effects of Maitake can be described as:</w:t>
      </w:r>
    </w:p>
    <w:p>
      <w:pPr>
        <w:pStyle w:val="ListParagraph"/>
        <w:numPr>
          <w:ilvl w:val="0"/>
          <w:numId w:val="120"/>
        </w:numPr>
        <w:tabs>
          <w:tab w:pos="1031" w:val="left" w:leader="none"/>
          <w:tab w:pos="1032" w:val="left" w:leader="none"/>
        </w:tabs>
        <w:spacing w:line="240" w:lineRule="auto" w:before="263" w:after="0"/>
        <w:ind w:left="899" w:right="0" w:hanging="283"/>
        <w:jc w:val="left"/>
        <w:rPr>
          <w:sz w:val="38"/>
        </w:rPr>
      </w:pPr>
      <w:r>
        <w:rPr>
          <w:sz w:val="38"/>
        </w:rPr>
        <w:t>an</w:t>
      </w:r>
      <w:r>
        <w:rPr>
          <w:spacing w:val="-3"/>
          <w:sz w:val="38"/>
        </w:rPr>
        <w:t> </w:t>
      </w:r>
      <w:r>
        <w:rPr>
          <w:sz w:val="38"/>
        </w:rPr>
        <w:t>antioxidant</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antibacterial</w:t>
      </w:r>
    </w:p>
    <w:p>
      <w:pPr>
        <w:pStyle w:val="ListParagraph"/>
        <w:numPr>
          <w:ilvl w:val="0"/>
          <w:numId w:val="120"/>
        </w:numPr>
        <w:tabs>
          <w:tab w:pos="1031" w:val="left" w:leader="none"/>
          <w:tab w:pos="1032" w:val="left" w:leader="none"/>
        </w:tabs>
        <w:spacing w:line="240" w:lineRule="auto" w:before="186" w:after="0"/>
        <w:ind w:left="899" w:right="0" w:hanging="283"/>
        <w:jc w:val="left"/>
        <w:rPr>
          <w:sz w:val="38"/>
        </w:rPr>
      </w:pPr>
      <w:r>
        <w:rPr>
          <w:sz w:val="38"/>
        </w:rPr>
        <w:t>immune system strengthening</w:t>
      </w:r>
    </w:p>
    <w:p>
      <w:pPr>
        <w:pStyle w:val="ListParagraph"/>
        <w:numPr>
          <w:ilvl w:val="0"/>
          <w:numId w:val="120"/>
        </w:numPr>
        <w:tabs>
          <w:tab w:pos="1031" w:val="left" w:leader="none"/>
          <w:tab w:pos="1032" w:val="left" w:leader="none"/>
        </w:tabs>
        <w:spacing w:line="240" w:lineRule="auto" w:before="183" w:after="0"/>
        <w:ind w:left="899" w:right="0" w:hanging="283"/>
        <w:jc w:val="left"/>
        <w:rPr>
          <w:sz w:val="38"/>
        </w:rPr>
      </w:pPr>
      <w:r>
        <w:rPr>
          <w:sz w:val="38"/>
        </w:rPr>
        <w:t>cardiovascular system</w:t>
      </w:r>
      <w:r>
        <w:rPr>
          <w:spacing w:val="1"/>
          <w:sz w:val="38"/>
        </w:rPr>
        <w:t> </w:t>
      </w:r>
      <w:r>
        <w:rPr>
          <w:sz w:val="38"/>
        </w:rPr>
        <w:t>strengthening</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blood pressure regulating,</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blood-sugar level</w:t>
      </w:r>
      <w:r>
        <w:rPr>
          <w:spacing w:val="-1"/>
          <w:sz w:val="38"/>
        </w:rPr>
        <w:t> </w:t>
      </w:r>
      <w:r>
        <w:rPr>
          <w:sz w:val="38"/>
        </w:rPr>
        <w:t>lowering</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antiviral</w:t>
      </w:r>
    </w:p>
    <w:p>
      <w:pPr>
        <w:pStyle w:val="ListParagraph"/>
        <w:numPr>
          <w:ilvl w:val="0"/>
          <w:numId w:val="120"/>
        </w:numPr>
        <w:tabs>
          <w:tab w:pos="1031" w:val="left" w:leader="none"/>
          <w:tab w:pos="1032" w:val="left" w:leader="none"/>
        </w:tabs>
        <w:spacing w:line="240" w:lineRule="auto" w:before="186" w:after="0"/>
        <w:ind w:left="899" w:right="0" w:hanging="283"/>
        <w:jc w:val="left"/>
        <w:rPr>
          <w:sz w:val="38"/>
        </w:rPr>
      </w:pPr>
      <w:r>
        <w:rPr>
          <w:sz w:val="38"/>
        </w:rPr>
        <w:t>anti-tumorous</w:t>
      </w:r>
      <w:r>
        <w:rPr>
          <w:spacing w:val="-1"/>
          <w:sz w:val="38"/>
        </w:rPr>
        <w:t> </w:t>
      </w:r>
      <w:r>
        <w:rPr>
          <w:sz w:val="38"/>
        </w:rPr>
        <w:t>(anti-cancerous)</w:t>
      </w:r>
    </w:p>
    <w:p>
      <w:pPr>
        <w:pStyle w:val="ListParagraph"/>
        <w:numPr>
          <w:ilvl w:val="0"/>
          <w:numId w:val="120"/>
        </w:numPr>
        <w:tabs>
          <w:tab w:pos="1031" w:val="left" w:leader="none"/>
          <w:tab w:pos="1032" w:val="left" w:leader="none"/>
        </w:tabs>
        <w:spacing w:line="240" w:lineRule="auto" w:before="183" w:after="0"/>
        <w:ind w:left="899" w:right="0" w:hanging="283"/>
        <w:jc w:val="left"/>
        <w:rPr>
          <w:sz w:val="38"/>
        </w:rPr>
      </w:pPr>
      <w:r>
        <w:rPr>
          <w:sz w:val="38"/>
        </w:rPr>
        <w:t>detoxifying</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liver-protecting</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liver-strengthening</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reduces cholesterol and</w:t>
      </w:r>
      <w:r>
        <w:rPr>
          <w:spacing w:val="-1"/>
          <w:sz w:val="38"/>
        </w:rPr>
        <w:t> </w:t>
      </w:r>
      <w:r>
        <w:rPr>
          <w:sz w:val="38"/>
        </w:rPr>
        <w:t>triglyceride</w:t>
      </w:r>
    </w:p>
    <w:p>
      <w:pPr>
        <w:spacing w:after="0" w:line="240" w:lineRule="auto"/>
        <w:jc w:val="left"/>
        <w:rPr>
          <w:sz w:val="38"/>
        </w:rPr>
        <w:sectPr>
          <w:footerReference w:type="default" r:id="rId443"/>
          <w:pgSz w:w="14270" w:h="16850"/>
          <w:pgMar w:footer="1891" w:header="0" w:top="1360" w:bottom="2080" w:left="800" w:right="1280"/>
          <w:pgNumType w:start="1700"/>
        </w:sectPr>
      </w:pPr>
    </w:p>
    <w:p>
      <w:pPr>
        <w:pStyle w:val="Heading1"/>
        <w:spacing w:before="77"/>
        <w:ind w:left="616"/>
      </w:pPr>
      <w:r>
        <w:rPr/>
        <w:t>Areas of application for Maitake in</w:t>
      </w:r>
      <w:r>
        <w:rPr>
          <w:spacing w:val="-73"/>
        </w:rPr>
        <w:t> </w:t>
      </w:r>
      <w:r>
        <w:rPr/>
        <w:t>diseases</w:t>
      </w:r>
    </w:p>
    <w:p>
      <w:pPr>
        <w:pStyle w:val="BodyText"/>
        <w:spacing w:before="299"/>
        <w:ind w:left="616"/>
      </w:pPr>
      <w:r>
        <w:rPr/>
        <w:t>Maitake is used for the following diseases:</w:t>
      </w:r>
    </w:p>
    <w:p>
      <w:pPr>
        <w:pStyle w:val="ListParagraph"/>
        <w:numPr>
          <w:ilvl w:val="0"/>
          <w:numId w:val="120"/>
        </w:numPr>
        <w:tabs>
          <w:tab w:pos="1031" w:val="left" w:leader="none"/>
          <w:tab w:pos="1032" w:val="left" w:leader="none"/>
        </w:tabs>
        <w:spacing w:line="240" w:lineRule="auto" w:before="263" w:after="0"/>
        <w:ind w:left="899" w:right="0" w:hanging="283"/>
        <w:jc w:val="left"/>
        <w:rPr>
          <w:sz w:val="38"/>
        </w:rPr>
      </w:pPr>
      <w:r>
        <w:rPr>
          <w:sz w:val="38"/>
        </w:rPr>
        <w:t>Cardiovascular</w:t>
      </w:r>
      <w:r>
        <w:rPr>
          <w:spacing w:val="1"/>
          <w:sz w:val="38"/>
        </w:rPr>
        <w:t> </w:t>
      </w:r>
      <w:r>
        <w:rPr>
          <w:sz w:val="38"/>
        </w:rPr>
        <w:t>diseases</w:t>
      </w:r>
    </w:p>
    <w:p>
      <w:pPr>
        <w:pStyle w:val="ListParagraph"/>
        <w:numPr>
          <w:ilvl w:val="0"/>
          <w:numId w:val="120"/>
        </w:numPr>
        <w:tabs>
          <w:tab w:pos="1031" w:val="left" w:leader="none"/>
          <w:tab w:pos="1032" w:val="left" w:leader="none"/>
        </w:tabs>
        <w:spacing w:line="240" w:lineRule="auto" w:before="186" w:after="0"/>
        <w:ind w:left="899" w:right="0" w:hanging="283"/>
        <w:jc w:val="left"/>
        <w:rPr>
          <w:sz w:val="38"/>
        </w:rPr>
      </w:pPr>
      <w:r>
        <w:rPr>
          <w:sz w:val="38"/>
        </w:rPr>
        <w:t>Arrhythmia</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High blood</w:t>
      </w:r>
      <w:r>
        <w:rPr>
          <w:spacing w:val="-1"/>
          <w:sz w:val="38"/>
        </w:rPr>
        <w:t> </w:t>
      </w:r>
      <w:r>
        <w:rPr>
          <w:sz w:val="38"/>
        </w:rPr>
        <w:t>pressure</w:t>
      </w:r>
    </w:p>
    <w:p>
      <w:pPr>
        <w:pStyle w:val="ListParagraph"/>
        <w:numPr>
          <w:ilvl w:val="0"/>
          <w:numId w:val="120"/>
        </w:numPr>
        <w:tabs>
          <w:tab w:pos="1031" w:val="left" w:leader="none"/>
          <w:tab w:pos="1032" w:val="left" w:leader="none"/>
        </w:tabs>
        <w:spacing w:line="240" w:lineRule="auto" w:before="183" w:after="0"/>
        <w:ind w:left="899" w:right="0" w:hanging="283"/>
        <w:jc w:val="left"/>
        <w:rPr>
          <w:sz w:val="38"/>
        </w:rPr>
      </w:pPr>
      <w:r>
        <w:rPr>
          <w:sz w:val="38"/>
        </w:rPr>
        <w:t>Cancer/malignant</w:t>
      </w:r>
      <w:r>
        <w:rPr>
          <w:spacing w:val="-1"/>
          <w:sz w:val="38"/>
        </w:rPr>
        <w:t> </w:t>
      </w:r>
      <w:r>
        <w:rPr>
          <w:sz w:val="38"/>
        </w:rPr>
        <w:t>tumours</w:t>
      </w:r>
    </w:p>
    <w:p>
      <w:pPr>
        <w:pStyle w:val="ListParagraph"/>
        <w:numPr>
          <w:ilvl w:val="0"/>
          <w:numId w:val="120"/>
        </w:numPr>
        <w:tabs>
          <w:tab w:pos="1031" w:val="left" w:leader="none"/>
          <w:tab w:pos="1032" w:val="left" w:leader="none"/>
        </w:tabs>
        <w:spacing w:line="240" w:lineRule="auto" w:before="185" w:after="0"/>
        <w:ind w:left="899" w:right="0" w:hanging="283"/>
        <w:jc w:val="left"/>
        <w:rPr>
          <w:sz w:val="38"/>
        </w:rPr>
      </w:pPr>
      <w:r>
        <w:rPr>
          <w:sz w:val="38"/>
        </w:rPr>
        <w:t>Type II</w:t>
      </w:r>
      <w:r>
        <w:rPr>
          <w:spacing w:val="-2"/>
          <w:sz w:val="38"/>
        </w:rPr>
        <w:t> </w:t>
      </w:r>
      <w:r>
        <w:rPr>
          <w:sz w:val="38"/>
        </w:rPr>
        <w:t>diabetes</w:t>
      </w:r>
    </w:p>
    <w:p>
      <w:pPr>
        <w:pStyle w:val="ListParagraph"/>
        <w:numPr>
          <w:ilvl w:val="0"/>
          <w:numId w:val="120"/>
        </w:numPr>
        <w:tabs>
          <w:tab w:pos="1031" w:val="left" w:leader="none"/>
          <w:tab w:pos="1032" w:val="left" w:leader="none"/>
        </w:tabs>
        <w:spacing w:line="240" w:lineRule="auto" w:before="183" w:after="0"/>
        <w:ind w:left="899" w:right="0" w:hanging="283"/>
        <w:jc w:val="left"/>
        <w:rPr>
          <w:sz w:val="38"/>
        </w:rPr>
      </w:pPr>
      <w:r>
        <w:rPr>
          <w:sz w:val="38"/>
        </w:rPr>
        <w:t>Osteoporosis</w:t>
      </w:r>
    </w:p>
    <w:p>
      <w:pPr>
        <w:pStyle w:val="ListParagraph"/>
        <w:numPr>
          <w:ilvl w:val="0"/>
          <w:numId w:val="120"/>
        </w:numPr>
        <w:tabs>
          <w:tab w:pos="1031" w:val="left" w:leader="none"/>
          <w:tab w:pos="1032" w:val="left" w:leader="none"/>
        </w:tabs>
        <w:spacing w:line="240" w:lineRule="auto" w:before="186" w:after="0"/>
        <w:ind w:left="899" w:right="0" w:hanging="283"/>
        <w:jc w:val="left"/>
        <w:rPr>
          <w:sz w:val="38"/>
        </w:rPr>
      </w:pPr>
      <w:r>
        <w:rPr>
          <w:sz w:val="38"/>
        </w:rPr>
        <w:t>HIV/AIDS</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Liver diseases such as hepatitis</w:t>
      </w:r>
    </w:p>
    <w:p>
      <w:pPr>
        <w:pStyle w:val="ListParagraph"/>
        <w:numPr>
          <w:ilvl w:val="0"/>
          <w:numId w:val="120"/>
        </w:numPr>
        <w:tabs>
          <w:tab w:pos="1031" w:val="left" w:leader="none"/>
          <w:tab w:pos="1032" w:val="left" w:leader="none"/>
        </w:tabs>
        <w:spacing w:line="240" w:lineRule="auto" w:before="183" w:after="0"/>
        <w:ind w:left="899" w:right="0" w:hanging="283"/>
        <w:jc w:val="left"/>
        <w:rPr>
          <w:sz w:val="38"/>
        </w:rPr>
      </w:pPr>
      <w:r>
        <w:rPr>
          <w:sz w:val="38"/>
        </w:rPr>
        <w:t>Irritable</w:t>
      </w:r>
      <w:r>
        <w:rPr>
          <w:spacing w:val="-1"/>
          <w:sz w:val="38"/>
        </w:rPr>
        <w:t> </w:t>
      </w:r>
      <w:r>
        <w:rPr>
          <w:sz w:val="38"/>
        </w:rPr>
        <w:t>colon</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Infections</w:t>
      </w:r>
    </w:p>
    <w:p>
      <w:pPr>
        <w:pStyle w:val="ListParagraph"/>
        <w:numPr>
          <w:ilvl w:val="0"/>
          <w:numId w:val="120"/>
        </w:numPr>
        <w:tabs>
          <w:tab w:pos="1031" w:val="left" w:leader="none"/>
          <w:tab w:pos="1032" w:val="left" w:leader="none"/>
        </w:tabs>
        <w:spacing w:line="240" w:lineRule="auto" w:before="186" w:after="0"/>
        <w:ind w:left="899" w:right="0" w:hanging="283"/>
        <w:jc w:val="left"/>
        <w:rPr>
          <w:sz w:val="38"/>
        </w:rPr>
      </w:pPr>
      <w:r>
        <w:rPr>
          <w:sz w:val="38"/>
        </w:rPr>
        <w:t>Weak immune system</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Excess</w:t>
      </w:r>
      <w:r>
        <w:rPr>
          <w:spacing w:val="-2"/>
          <w:sz w:val="38"/>
        </w:rPr>
        <w:t> </w:t>
      </w:r>
      <w:r>
        <w:rPr>
          <w:sz w:val="38"/>
        </w:rPr>
        <w:t>weight</w:t>
      </w:r>
    </w:p>
    <w:p>
      <w:pPr>
        <w:spacing w:after="0" w:line="240" w:lineRule="auto"/>
        <w:jc w:val="left"/>
        <w:rPr>
          <w:sz w:val="38"/>
        </w:rPr>
        <w:sectPr>
          <w:pgSz w:w="14270" w:h="16850"/>
          <w:pgMar w:header="0" w:footer="1891" w:top="1320" w:bottom="2080" w:left="800" w:right="1280"/>
        </w:sectPr>
      </w:pPr>
    </w:p>
    <w:p>
      <w:pPr>
        <w:pStyle w:val="Heading1"/>
        <w:spacing w:before="77"/>
        <w:ind w:left="616"/>
      </w:pPr>
      <w:r>
        <w:rPr/>
        <w:t>Effect of Maitake against cancer/tumours</w:t>
      </w:r>
    </w:p>
    <w:p>
      <w:pPr>
        <w:pStyle w:val="BodyText"/>
        <w:spacing w:line="276" w:lineRule="auto" w:before="299"/>
        <w:ind w:left="616" w:right="69"/>
        <w:rPr>
          <w:sz w:val="25"/>
        </w:rPr>
      </w:pPr>
      <w:r>
        <w:rPr/>
        <w:t>Maitake has demonstrated an anti-tumour effect in the following types of can- cer:</w:t>
      </w:r>
      <w:r>
        <w:rPr>
          <w:position w:val="9"/>
          <w:sz w:val="25"/>
        </w:rPr>
        <w:t>956</w:t>
      </w:r>
    </w:p>
    <w:p>
      <w:pPr>
        <w:pStyle w:val="ListParagraph"/>
        <w:numPr>
          <w:ilvl w:val="0"/>
          <w:numId w:val="120"/>
        </w:numPr>
        <w:tabs>
          <w:tab w:pos="1031" w:val="left" w:leader="none"/>
          <w:tab w:pos="1032" w:val="left" w:leader="none"/>
        </w:tabs>
        <w:spacing w:line="240" w:lineRule="auto" w:before="199" w:after="0"/>
        <w:ind w:left="899" w:right="0" w:hanging="283"/>
        <w:jc w:val="left"/>
        <w:rPr>
          <w:sz w:val="38"/>
        </w:rPr>
      </w:pPr>
      <w:r>
        <w:rPr>
          <w:sz w:val="38"/>
        </w:rPr>
        <w:t>Breast cancer (mammary</w:t>
      </w:r>
      <w:r>
        <w:rPr>
          <w:spacing w:val="-1"/>
          <w:sz w:val="38"/>
        </w:rPr>
        <w:t> </w:t>
      </w:r>
      <w:r>
        <w:rPr>
          <w:sz w:val="38"/>
        </w:rPr>
        <w:t>carcinoma)</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Pancreatic</w:t>
      </w:r>
      <w:r>
        <w:rPr>
          <w:spacing w:val="-1"/>
          <w:sz w:val="38"/>
        </w:rPr>
        <w:t> </w:t>
      </w:r>
      <w:r>
        <w:rPr>
          <w:sz w:val="38"/>
        </w:rPr>
        <w:t>cancer</w:t>
      </w:r>
    </w:p>
    <w:p>
      <w:pPr>
        <w:pStyle w:val="ListParagraph"/>
        <w:numPr>
          <w:ilvl w:val="0"/>
          <w:numId w:val="120"/>
        </w:numPr>
        <w:tabs>
          <w:tab w:pos="1031" w:val="left" w:leader="none"/>
          <w:tab w:pos="1032" w:val="left" w:leader="none"/>
        </w:tabs>
        <w:spacing w:line="240" w:lineRule="auto" w:before="186" w:after="0"/>
        <w:ind w:left="899" w:right="0" w:hanging="283"/>
        <w:jc w:val="left"/>
        <w:rPr>
          <w:sz w:val="38"/>
        </w:rPr>
      </w:pPr>
      <w:r>
        <w:rPr>
          <w:sz w:val="38"/>
        </w:rPr>
        <w:t>Colon cancer</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Liver tumours/liver</w:t>
      </w:r>
      <w:r>
        <w:rPr>
          <w:spacing w:val="1"/>
          <w:sz w:val="38"/>
        </w:rPr>
        <w:t> </w:t>
      </w:r>
      <w:r>
        <w:rPr>
          <w:sz w:val="38"/>
        </w:rPr>
        <w:t>cancer</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Lung cancer</w:t>
      </w:r>
    </w:p>
    <w:p>
      <w:pPr>
        <w:pStyle w:val="ListParagraph"/>
        <w:numPr>
          <w:ilvl w:val="0"/>
          <w:numId w:val="120"/>
        </w:numPr>
        <w:tabs>
          <w:tab w:pos="1031" w:val="left" w:leader="none"/>
          <w:tab w:pos="1032" w:val="left" w:leader="none"/>
        </w:tabs>
        <w:spacing w:line="240" w:lineRule="auto" w:before="183" w:after="0"/>
        <w:ind w:left="899" w:right="0" w:hanging="283"/>
        <w:jc w:val="left"/>
        <w:rPr>
          <w:sz w:val="38"/>
        </w:rPr>
      </w:pPr>
      <w:r>
        <w:rPr>
          <w:sz w:val="38"/>
        </w:rPr>
        <w:t>Prostate</w:t>
      </w:r>
      <w:r>
        <w:rPr>
          <w:spacing w:val="-1"/>
          <w:sz w:val="38"/>
        </w:rPr>
        <w:t> </w:t>
      </w:r>
      <w:r>
        <w:rPr>
          <w:sz w:val="38"/>
        </w:rPr>
        <w:t>cancer</w:t>
      </w:r>
    </w:p>
    <w:p>
      <w:pPr>
        <w:pStyle w:val="ListParagraph"/>
        <w:numPr>
          <w:ilvl w:val="0"/>
          <w:numId w:val="120"/>
        </w:numPr>
        <w:tabs>
          <w:tab w:pos="1031" w:val="left" w:leader="none"/>
          <w:tab w:pos="1032" w:val="left" w:leader="none"/>
        </w:tabs>
        <w:spacing w:line="240" w:lineRule="auto" w:before="186" w:after="0"/>
        <w:ind w:left="899" w:right="0" w:hanging="283"/>
        <w:jc w:val="left"/>
        <w:rPr>
          <w:sz w:val="38"/>
        </w:rPr>
      </w:pPr>
      <w:r>
        <w:rPr>
          <w:sz w:val="38"/>
        </w:rPr>
        <w:t>Leukaemia</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Stomach</w:t>
      </w:r>
      <w:r>
        <w:rPr>
          <w:spacing w:val="-2"/>
          <w:sz w:val="38"/>
        </w:rPr>
        <w:t> </w:t>
      </w:r>
      <w:r>
        <w:rPr>
          <w:sz w:val="38"/>
        </w:rPr>
        <w:t>cancer</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Ovarian cancer</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Skin</w:t>
      </w:r>
      <w:r>
        <w:rPr>
          <w:spacing w:val="-2"/>
          <w:sz w:val="38"/>
        </w:rPr>
        <w:t> </w:t>
      </w:r>
      <w:r>
        <w:rPr>
          <w:sz w:val="38"/>
        </w:rPr>
        <w:t>cancer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r>
        <w:rPr/>
        <w:pict>
          <v:line style="position:absolute;mso-position-horizontal-relative:page;mso-position-vertical-relative:paragraph;z-index:13184;mso-wrap-distance-left:0;mso-wrap-distance-right:0" from="70.823997pt,19.08979pt" to="214.843997pt,19.08979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956 </w:t>
      </w:r>
      <w:hyperlink r:id="rId433">
        <w:r>
          <w:rPr>
            <w:sz w:val="20"/>
          </w:rPr>
          <w:t>www.vitalpilze.de/lang/de/downloads/informationsschreiben_fuer_aerzte.pdf </w:t>
        </w:r>
      </w:hyperlink>
      <w:r>
        <w:rPr>
          <w:sz w:val="20"/>
        </w:rPr>
        <w:t>+ Gesellschaft für Vitalpilzkunde e.V., Vitalpilze, 2007, p. 73</w:t>
      </w:r>
    </w:p>
    <w:p>
      <w:pPr>
        <w:spacing w:after="0"/>
        <w:jc w:val="left"/>
        <w:rPr>
          <w:sz w:val="20"/>
        </w:rPr>
        <w:sectPr>
          <w:pgSz w:w="14270" w:h="16850"/>
          <w:pgMar w:header="0" w:footer="1891" w:top="1320" w:bottom="2080" w:left="800" w:right="1280"/>
        </w:sectPr>
      </w:pPr>
    </w:p>
    <w:p>
      <w:pPr>
        <w:pStyle w:val="Heading1"/>
        <w:spacing w:before="77"/>
        <w:ind w:left="616"/>
      </w:pPr>
      <w:r>
        <w:rPr/>
        <w:t>Maitake helps with weight loss</w:t>
      </w:r>
    </w:p>
    <w:p>
      <w:pPr>
        <w:pStyle w:val="BodyText"/>
        <w:spacing w:before="299"/>
        <w:ind w:left="616"/>
      </w:pPr>
      <w:r>
        <w:rPr/>
        <w:t>Maitake reduces fat storage in tissues and is therefore a very good diet partner.</w:t>
      </w:r>
    </w:p>
    <w:p>
      <w:pPr>
        <w:pStyle w:val="Heading2"/>
        <w:spacing w:before="302"/>
        <w:ind w:left="616"/>
      </w:pPr>
      <w:r>
        <w:rPr/>
        <w:t>Scientific studies regarding the effects of Maitake</w:t>
      </w:r>
    </w:p>
    <w:p>
      <w:pPr>
        <w:pStyle w:val="BodyText"/>
        <w:spacing w:line="278" w:lineRule="auto" w:before="305"/>
        <w:ind w:left="616"/>
      </w:pPr>
      <w:r>
        <w:rPr/>
        <w:t>There are also many representative studies on Maitake in regard to its prophy- lactic and therapeutic effect:</w:t>
      </w:r>
    </w:p>
    <w:p>
      <w:pPr>
        <w:pStyle w:val="Heading1"/>
        <w:spacing w:before="215"/>
        <w:ind w:left="616"/>
      </w:pPr>
      <w:r>
        <w:rPr/>
        <w:t>General studies regarding the therapeutic effect of Maitake extracts</w:t>
      </w:r>
    </w:p>
    <w:p>
      <w:pPr>
        <w:pStyle w:val="BodyText"/>
        <w:spacing w:line="276" w:lineRule="auto" w:before="300"/>
        <w:ind w:left="616"/>
        <w:rPr>
          <w:sz w:val="25"/>
        </w:rPr>
      </w:pPr>
      <w:r>
        <w:rPr/>
        <w:t>A study was able to generally prove the therapeutic effectiveness of Maitake extracts.</w:t>
      </w:r>
      <w:r>
        <w:rPr>
          <w:position w:val="9"/>
          <w:sz w:val="25"/>
        </w:rPr>
        <w:t>957</w:t>
      </w:r>
    </w:p>
    <w:p>
      <w:pPr>
        <w:pStyle w:val="Heading1"/>
        <w:spacing w:before="223"/>
        <w:ind w:left="616"/>
      </w:pPr>
      <w:r>
        <w:rPr/>
        <w:t>Studies regarding the blood-sugar reducing effect in diabetes</w:t>
      </w:r>
    </w:p>
    <w:p>
      <w:pPr>
        <w:pStyle w:val="BodyText"/>
        <w:spacing w:line="278" w:lineRule="auto" w:before="297"/>
        <w:ind w:left="616"/>
        <w:rPr>
          <w:sz w:val="25"/>
        </w:rPr>
      </w:pPr>
      <w:r>
        <w:rPr/>
        <w:t>The water-soluble Maitake extract demonstrated a sugar-reducing effect in a study.</w:t>
      </w:r>
      <w:r>
        <w:rPr>
          <w:position w:val="9"/>
          <w:sz w:val="25"/>
        </w:rPr>
        <w:t>958</w:t>
      </w:r>
    </w:p>
    <w:p>
      <w:pPr>
        <w:pStyle w:val="BodyText"/>
        <w:spacing w:line="278" w:lineRule="auto" w:before="233"/>
        <w:ind w:left="616"/>
        <w:rPr>
          <w:sz w:val="25"/>
        </w:rPr>
      </w:pPr>
      <w:r>
        <w:rPr/>
        <w:t>The SX fraction, a component of the Maitake mushroom, increased glucose tolerance</w:t>
      </w:r>
      <w:r>
        <w:rPr>
          <w:spacing w:val="-15"/>
        </w:rPr>
        <w:t> </w:t>
      </w:r>
      <w:r>
        <w:rPr/>
        <w:t>in</w:t>
      </w:r>
      <w:r>
        <w:rPr>
          <w:spacing w:val="-17"/>
        </w:rPr>
        <w:t> </w:t>
      </w:r>
      <w:r>
        <w:rPr/>
        <w:t>animal</w:t>
      </w:r>
      <w:r>
        <w:rPr>
          <w:spacing w:val="-16"/>
        </w:rPr>
        <w:t> </w:t>
      </w:r>
      <w:r>
        <w:rPr/>
        <w:t>trials</w:t>
      </w:r>
      <w:r>
        <w:rPr>
          <w:spacing w:val="-14"/>
        </w:rPr>
        <w:t> </w:t>
      </w:r>
      <w:r>
        <w:rPr/>
        <w:t>without</w:t>
      </w:r>
      <w:r>
        <w:rPr>
          <w:spacing w:val="-15"/>
        </w:rPr>
        <w:t> </w:t>
      </w:r>
      <w:r>
        <w:rPr/>
        <w:t>having</w:t>
      </w:r>
      <w:r>
        <w:rPr>
          <w:spacing w:val="-14"/>
        </w:rPr>
        <w:t> </w:t>
      </w:r>
      <w:r>
        <w:rPr/>
        <w:t>an</w:t>
      </w:r>
      <w:r>
        <w:rPr>
          <w:spacing w:val="-17"/>
        </w:rPr>
        <w:t> </w:t>
      </w:r>
      <w:r>
        <w:rPr/>
        <w:t>influence</w:t>
      </w:r>
      <w:r>
        <w:rPr>
          <w:spacing w:val="-14"/>
        </w:rPr>
        <w:t> </w:t>
      </w:r>
      <w:r>
        <w:rPr/>
        <w:t>on</w:t>
      </w:r>
      <w:r>
        <w:rPr>
          <w:spacing w:val="-15"/>
        </w:rPr>
        <w:t> </w:t>
      </w:r>
      <w:r>
        <w:rPr/>
        <w:t>insulin</w:t>
      </w:r>
      <w:r>
        <w:rPr>
          <w:spacing w:val="-15"/>
        </w:rPr>
        <w:t> </w:t>
      </w:r>
      <w:r>
        <w:rPr/>
        <w:t>distribution.</w:t>
      </w:r>
      <w:r>
        <w:rPr>
          <w:position w:val="9"/>
          <w:sz w:val="25"/>
        </w:rPr>
        <w:t>959</w:t>
      </w:r>
    </w:p>
    <w:p>
      <w:pPr>
        <w:pStyle w:val="Heading1"/>
        <w:spacing w:line="261" w:lineRule="auto" w:before="215"/>
        <w:ind w:left="616"/>
      </w:pPr>
      <w:r>
        <w:rPr>
          <w:w w:val="95"/>
        </w:rPr>
        <w:t>Maitake helps fight metabolic syndrome, particularly in those suffering </w:t>
      </w:r>
      <w:r>
        <w:rPr/>
        <w:t>from diabetes</w:t>
      </w:r>
    </w:p>
    <w:p>
      <w:pPr>
        <w:pStyle w:val="BodyText"/>
        <w:spacing w:line="276" w:lineRule="auto" w:before="257"/>
        <w:ind w:left="616" w:right="137"/>
        <w:jc w:val="both"/>
      </w:pPr>
      <w:r>
        <w:rPr/>
        <w:t>It appears Maitake can have a positive influence on metabolic syndrome, in particular in the case of Diabetes mellitus Type 2. Insulin sensitivity and the concentration</w:t>
      </w:r>
      <w:r>
        <w:rPr>
          <w:spacing w:val="-19"/>
        </w:rPr>
        <w:t> </w:t>
      </w:r>
      <w:r>
        <w:rPr/>
        <w:t>of</w:t>
      </w:r>
      <w:r>
        <w:rPr>
          <w:spacing w:val="-21"/>
        </w:rPr>
        <w:t> </w:t>
      </w:r>
      <w:r>
        <w:rPr/>
        <w:t>glycolised</w:t>
      </w:r>
      <w:r>
        <w:rPr>
          <w:spacing w:val="-19"/>
        </w:rPr>
        <w:t> </w:t>
      </w:r>
      <w:r>
        <w:rPr/>
        <w:t>proteins</w:t>
      </w:r>
      <w:r>
        <w:rPr>
          <w:spacing w:val="-19"/>
        </w:rPr>
        <w:t> </w:t>
      </w:r>
      <w:r>
        <w:rPr/>
        <w:t>could</w:t>
      </w:r>
      <w:r>
        <w:rPr>
          <w:spacing w:val="-19"/>
        </w:rPr>
        <w:t> </w:t>
      </w:r>
      <w:r>
        <w:rPr/>
        <w:t>be</w:t>
      </w:r>
      <w:r>
        <w:rPr>
          <w:spacing w:val="-20"/>
        </w:rPr>
        <w:t> </w:t>
      </w:r>
      <w:r>
        <w:rPr/>
        <w:t>reduced</w:t>
      </w:r>
      <w:r>
        <w:rPr>
          <w:spacing w:val="-20"/>
        </w:rPr>
        <w:t> </w:t>
      </w:r>
      <w:r>
        <w:rPr/>
        <w:t>and</w:t>
      </w:r>
      <w:r>
        <w:rPr>
          <w:spacing w:val="-19"/>
        </w:rPr>
        <w:t> </w:t>
      </w:r>
      <w:r>
        <w:rPr/>
        <w:t>thereby</w:t>
      </w:r>
      <w:r>
        <w:rPr>
          <w:spacing w:val="-19"/>
        </w:rPr>
        <w:t> </w:t>
      </w:r>
      <w:r>
        <w:rPr/>
        <w:t>also</w:t>
      </w:r>
      <w:r>
        <w:rPr>
          <w:spacing w:val="-18"/>
        </w:rPr>
        <w:t> </w:t>
      </w:r>
      <w:r>
        <w:rPr/>
        <w:t>combat</w:t>
      </w:r>
    </w:p>
    <w:p>
      <w:pPr>
        <w:pStyle w:val="BodyText"/>
        <w:spacing w:before="3"/>
        <w:rPr>
          <w:sz w:val="12"/>
        </w:rPr>
      </w:pPr>
      <w:r>
        <w:rPr/>
        <w:pict>
          <v:line style="position:absolute;mso-position-horizontal-relative:page;mso-position-vertical-relative:paragraph;z-index:13208;mso-wrap-distance-left:0;mso-wrap-distance-right:0" from="70.823997pt,9.293765pt" to="214.843997pt,9.293765pt" stroked="true" strokeweight=".71997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957 </w:t>
      </w:r>
      <w:r>
        <w:rPr>
          <w:sz w:val="20"/>
        </w:rPr>
        <w:t>Mayell M.: Maitake extracts and their therapeutic potential. Altern Med Rev. 2001 Feb 6 (1), pp. 48-60</w:t>
      </w:r>
    </w:p>
    <w:p>
      <w:pPr>
        <w:spacing w:line="276" w:lineRule="auto" w:before="94"/>
        <w:ind w:left="616" w:right="300" w:firstLine="0"/>
        <w:jc w:val="left"/>
        <w:rPr>
          <w:sz w:val="20"/>
        </w:rPr>
      </w:pPr>
      <w:r>
        <w:rPr>
          <w:position w:val="5"/>
          <w:sz w:val="13"/>
        </w:rPr>
        <w:t>958 </w:t>
      </w:r>
      <w:r>
        <w:rPr>
          <w:sz w:val="20"/>
        </w:rPr>
        <w:t>Manohar V. et al.: Effects of a water-soluble extract of maitake mushroom on circulating glucose/insulin concentrations in KK mice. Diabetes Obes Metab. 2002 Jan, 4 (1), pp. 43-48.</w:t>
      </w:r>
    </w:p>
    <w:p>
      <w:pPr>
        <w:spacing w:line="276" w:lineRule="auto" w:before="61"/>
        <w:ind w:left="616" w:right="244" w:firstLine="0"/>
        <w:jc w:val="left"/>
        <w:rPr>
          <w:sz w:val="20"/>
        </w:rPr>
      </w:pPr>
      <w:r>
        <w:rPr>
          <w:position w:val="5"/>
          <w:sz w:val="13"/>
        </w:rPr>
        <w:t>959 </w:t>
      </w:r>
      <w:r>
        <w:rPr>
          <w:sz w:val="20"/>
        </w:rPr>
        <w:t>Preuss H. G. et al.: Enhanced insulin-hypoglycemic activity in rats consuming a specific glycoprotein extracted from maitake mushroom. Mol Cell Biochem. 2007 Aug 1, Epub ahead of print</w:t>
      </w:r>
    </w:p>
    <w:p>
      <w:pPr>
        <w:spacing w:after="0" w:line="276" w:lineRule="auto"/>
        <w:jc w:val="left"/>
        <w:rPr>
          <w:sz w:val="20"/>
        </w:rPr>
        <w:sectPr>
          <w:footerReference w:type="default" r:id="rId444"/>
          <w:pgSz w:w="14270" w:h="16850"/>
          <w:pgMar w:footer="1984" w:header="0" w:top="1320" w:bottom="2180" w:left="800" w:right="1280"/>
          <w:pgNumType w:start="1703"/>
        </w:sectPr>
      </w:pPr>
    </w:p>
    <w:p>
      <w:pPr>
        <w:pStyle w:val="BodyText"/>
        <w:spacing w:before="74"/>
        <w:ind w:left="616"/>
        <w:rPr>
          <w:sz w:val="25"/>
        </w:rPr>
      </w:pPr>
      <w:r>
        <w:rPr/>
        <w:t>concerning macroangiopathy.</w:t>
      </w:r>
      <w:r>
        <w:rPr>
          <w:position w:val="9"/>
          <w:sz w:val="25"/>
        </w:rPr>
        <w:t>960</w:t>
      </w:r>
    </w:p>
    <w:p>
      <w:pPr>
        <w:pStyle w:val="Heading1"/>
        <w:spacing w:before="287"/>
        <w:ind w:left="616"/>
      </w:pPr>
      <w:r>
        <w:rPr/>
        <w:t>Studies regarding the reduction of high blood pressure with Maitake</w:t>
      </w:r>
    </w:p>
    <w:p>
      <w:pPr>
        <w:pStyle w:val="BodyText"/>
        <w:spacing w:line="276" w:lineRule="auto" w:before="297"/>
        <w:ind w:left="616" w:right="131"/>
        <w:jc w:val="both"/>
        <w:rPr>
          <w:sz w:val="25"/>
        </w:rPr>
      </w:pPr>
      <w:r>
        <w:rPr/>
        <w:t>Consumption</w:t>
      </w:r>
      <w:r>
        <w:rPr>
          <w:spacing w:val="-25"/>
        </w:rPr>
        <w:t> </w:t>
      </w:r>
      <w:r>
        <w:rPr/>
        <w:t>of</w:t>
      </w:r>
      <w:r>
        <w:rPr>
          <w:spacing w:val="-25"/>
        </w:rPr>
        <w:t> </w:t>
      </w:r>
      <w:r>
        <w:rPr/>
        <w:t>whole</w:t>
      </w:r>
      <w:r>
        <w:rPr>
          <w:spacing w:val="-24"/>
        </w:rPr>
        <w:t> </w:t>
      </w:r>
      <w:r>
        <w:rPr/>
        <w:t>Maitake</w:t>
      </w:r>
      <w:r>
        <w:rPr>
          <w:spacing w:val="-25"/>
        </w:rPr>
        <w:t> </w:t>
      </w:r>
      <w:r>
        <w:rPr/>
        <w:t>(instead</w:t>
      </w:r>
      <w:r>
        <w:rPr>
          <w:spacing w:val="-25"/>
        </w:rPr>
        <w:t> </w:t>
      </w:r>
      <w:r>
        <w:rPr/>
        <w:t>of</w:t>
      </w:r>
      <w:r>
        <w:rPr>
          <w:spacing w:val="-25"/>
        </w:rPr>
        <w:t> </w:t>
      </w:r>
      <w:r>
        <w:rPr/>
        <w:t>in</w:t>
      </w:r>
      <w:r>
        <w:rPr>
          <w:spacing w:val="-25"/>
        </w:rPr>
        <w:t> </w:t>
      </w:r>
      <w:r>
        <w:rPr/>
        <w:t>extract</w:t>
      </w:r>
      <w:r>
        <w:rPr>
          <w:spacing w:val="-26"/>
        </w:rPr>
        <w:t> </w:t>
      </w:r>
      <w:r>
        <w:rPr/>
        <w:t>form)</w:t>
      </w:r>
      <w:r>
        <w:rPr>
          <w:spacing w:val="-25"/>
        </w:rPr>
        <w:t> </w:t>
      </w:r>
      <w:r>
        <w:rPr/>
        <w:t>has</w:t>
      </w:r>
      <w:r>
        <w:rPr>
          <w:spacing w:val="-24"/>
        </w:rPr>
        <w:t> </w:t>
      </w:r>
      <w:r>
        <w:rPr/>
        <w:t>shown</w:t>
      </w:r>
      <w:r>
        <w:rPr>
          <w:spacing w:val="-25"/>
        </w:rPr>
        <w:t> </w:t>
      </w:r>
      <w:r>
        <w:rPr/>
        <w:t>a</w:t>
      </w:r>
      <w:r>
        <w:rPr>
          <w:spacing w:val="-26"/>
        </w:rPr>
        <w:t> </w:t>
      </w:r>
      <w:r>
        <w:rPr/>
        <w:t>blood- pressure</w:t>
      </w:r>
      <w:r>
        <w:rPr>
          <w:spacing w:val="-21"/>
        </w:rPr>
        <w:t> </w:t>
      </w:r>
      <w:r>
        <w:rPr/>
        <w:t>lowering</w:t>
      </w:r>
      <w:r>
        <w:rPr>
          <w:spacing w:val="-22"/>
        </w:rPr>
        <w:t> </w:t>
      </w:r>
      <w:r>
        <w:rPr/>
        <w:t>effect</w:t>
      </w:r>
      <w:r>
        <w:rPr>
          <w:spacing w:val="-20"/>
        </w:rPr>
        <w:t> </w:t>
      </w:r>
      <w:r>
        <w:rPr/>
        <w:t>in</w:t>
      </w:r>
      <w:r>
        <w:rPr>
          <w:spacing w:val="-23"/>
        </w:rPr>
        <w:t> </w:t>
      </w:r>
      <w:r>
        <w:rPr/>
        <w:t>studies</w:t>
      </w:r>
      <w:r>
        <w:rPr>
          <w:spacing w:val="-20"/>
        </w:rPr>
        <w:t> </w:t>
      </w:r>
      <w:r>
        <w:rPr/>
        <w:t>via</w:t>
      </w:r>
      <w:r>
        <w:rPr>
          <w:spacing w:val="-22"/>
        </w:rPr>
        <w:t> </w:t>
      </w:r>
      <w:r>
        <w:rPr/>
        <w:t>the</w:t>
      </w:r>
      <w:r>
        <w:rPr>
          <w:spacing w:val="-19"/>
        </w:rPr>
        <w:t> </w:t>
      </w:r>
      <w:r>
        <w:rPr/>
        <w:t>effect</w:t>
      </w:r>
      <w:r>
        <w:rPr>
          <w:spacing w:val="-21"/>
        </w:rPr>
        <w:t> </w:t>
      </w:r>
      <w:r>
        <w:rPr/>
        <w:t>of</w:t>
      </w:r>
      <w:r>
        <w:rPr>
          <w:spacing w:val="-22"/>
        </w:rPr>
        <w:t> </w:t>
      </w:r>
      <w:r>
        <w:rPr/>
        <w:t>the</w:t>
      </w:r>
      <w:r>
        <w:rPr>
          <w:spacing w:val="-19"/>
        </w:rPr>
        <w:t> </w:t>
      </w:r>
      <w:r>
        <w:rPr/>
        <w:t>renin-angiotensin</w:t>
      </w:r>
      <w:r>
        <w:rPr>
          <w:spacing w:val="-20"/>
        </w:rPr>
        <w:t> </w:t>
      </w:r>
      <w:r>
        <w:rPr/>
        <w:t>mech- anism.</w:t>
      </w:r>
      <w:r>
        <w:rPr>
          <w:position w:val="9"/>
          <w:sz w:val="25"/>
        </w:rPr>
        <w:t>961</w:t>
      </w:r>
    </w:p>
    <w:p>
      <w:pPr>
        <w:pStyle w:val="Heading1"/>
        <w:ind w:left="616"/>
      </w:pPr>
      <w:r>
        <w:rPr/>
        <w:t>Maitake prevents the formation and propagation of cancer cells</w:t>
      </w:r>
    </w:p>
    <w:p>
      <w:pPr>
        <w:pStyle w:val="BodyText"/>
        <w:spacing w:line="276" w:lineRule="auto" w:before="300"/>
        <w:ind w:left="616"/>
        <w:rPr>
          <w:sz w:val="25"/>
        </w:rPr>
      </w:pPr>
      <w:r>
        <w:rPr/>
        <w:t>The</w:t>
      </w:r>
      <w:r>
        <w:rPr>
          <w:spacing w:val="-16"/>
        </w:rPr>
        <w:t> </w:t>
      </w:r>
      <w:r>
        <w:rPr/>
        <w:t>polysaccharide</w:t>
      </w:r>
      <w:r>
        <w:rPr>
          <w:spacing w:val="-17"/>
        </w:rPr>
        <w:t> </w:t>
      </w:r>
      <w:r>
        <w:rPr/>
        <w:t>GFPS1b</w:t>
      </w:r>
      <w:r>
        <w:rPr>
          <w:spacing w:val="-15"/>
        </w:rPr>
        <w:t> </w:t>
      </w:r>
      <w:r>
        <w:rPr/>
        <w:t>in</w:t>
      </w:r>
      <w:r>
        <w:rPr>
          <w:spacing w:val="-16"/>
        </w:rPr>
        <w:t> </w:t>
      </w:r>
      <w:r>
        <w:rPr/>
        <w:t>Maitake</w:t>
      </w:r>
      <w:r>
        <w:rPr>
          <w:spacing w:val="-18"/>
        </w:rPr>
        <w:t> </w:t>
      </w:r>
      <w:r>
        <w:rPr/>
        <w:t>is</w:t>
      </w:r>
      <w:r>
        <w:rPr>
          <w:spacing w:val="-16"/>
        </w:rPr>
        <w:t> </w:t>
      </w:r>
      <w:r>
        <w:rPr/>
        <w:t>extremely</w:t>
      </w:r>
      <w:r>
        <w:rPr>
          <w:spacing w:val="-16"/>
        </w:rPr>
        <w:t> </w:t>
      </w:r>
      <w:r>
        <w:rPr/>
        <w:t>efficient</w:t>
      </w:r>
      <w:r>
        <w:rPr>
          <w:spacing w:val="-16"/>
        </w:rPr>
        <w:t> </w:t>
      </w:r>
      <w:r>
        <w:rPr/>
        <w:t>in</w:t>
      </w:r>
      <w:r>
        <w:rPr>
          <w:spacing w:val="-15"/>
        </w:rPr>
        <w:t> </w:t>
      </w:r>
      <w:r>
        <w:rPr/>
        <w:t>preventing</w:t>
      </w:r>
      <w:r>
        <w:rPr>
          <w:spacing w:val="-16"/>
        </w:rPr>
        <w:t> </w:t>
      </w:r>
      <w:r>
        <w:rPr/>
        <w:t>the formation and propagation of</w:t>
      </w:r>
      <w:r>
        <w:rPr>
          <w:spacing w:val="2"/>
        </w:rPr>
        <w:t> </w:t>
      </w:r>
      <w:r>
        <w:rPr/>
        <w:t>tumours.</w:t>
      </w:r>
      <w:r>
        <w:rPr>
          <w:position w:val="9"/>
          <w:sz w:val="25"/>
        </w:rPr>
        <w:t>962</w:t>
      </w:r>
    </w:p>
    <w:p>
      <w:pPr>
        <w:pStyle w:val="BodyText"/>
        <w:rPr>
          <w:sz w:val="42"/>
        </w:rPr>
      </w:pPr>
    </w:p>
    <w:p>
      <w:pPr>
        <w:pStyle w:val="BodyText"/>
        <w:spacing w:before="8"/>
        <w:rPr>
          <w:sz w:val="42"/>
        </w:rPr>
      </w:pPr>
    </w:p>
    <w:p>
      <w:pPr>
        <w:pStyle w:val="Heading1"/>
        <w:spacing w:line="264" w:lineRule="auto" w:before="0"/>
        <w:ind w:left="616"/>
      </w:pPr>
      <w:r>
        <w:rPr/>
        <w:t>Maitake activates cancer-killing cells and improves the immune re- sponse</w:t>
      </w:r>
    </w:p>
    <w:p>
      <w:pPr>
        <w:pStyle w:val="BodyText"/>
        <w:spacing w:line="278" w:lineRule="auto" w:before="252"/>
        <w:ind w:left="616"/>
        <w:rPr>
          <w:sz w:val="25"/>
        </w:rPr>
      </w:pPr>
      <w:r>
        <w:rPr/>
        <w:t>The D-fraction present in Maitake activates the macrophages and T-cells and improves the body’s own defence against cancer.</w:t>
      </w:r>
      <w:r>
        <w:rPr>
          <w:position w:val="9"/>
          <w:sz w:val="25"/>
        </w:rPr>
        <w:t>963</w:t>
      </w:r>
    </w:p>
    <w:p>
      <w:pPr>
        <w:pStyle w:val="Heading1"/>
        <w:spacing w:before="215"/>
        <w:ind w:left="616"/>
      </w:pPr>
      <w:r>
        <w:rPr/>
        <w:t>Maitake leads to a regression of cancer in advanced years</w:t>
      </w:r>
    </w:p>
    <w:p>
      <w:pPr>
        <w:pStyle w:val="BodyText"/>
        <w:spacing w:line="276" w:lineRule="auto" w:before="299"/>
        <w:ind w:left="616"/>
      </w:pPr>
      <w:r>
        <w:rPr/>
        <w:t>A clinical study of 165 patients between the ages of 26-65 with various forms of</w:t>
      </w:r>
      <w:r>
        <w:rPr>
          <w:spacing w:val="-21"/>
        </w:rPr>
        <w:t> </w:t>
      </w:r>
      <w:r>
        <w:rPr/>
        <w:t>cancer</w:t>
      </w:r>
      <w:r>
        <w:rPr>
          <w:spacing w:val="-21"/>
        </w:rPr>
        <w:t> </w:t>
      </w:r>
      <w:r>
        <w:rPr/>
        <w:t>in</w:t>
      </w:r>
      <w:r>
        <w:rPr>
          <w:spacing w:val="-21"/>
        </w:rPr>
        <w:t> </w:t>
      </w:r>
      <w:r>
        <w:rPr/>
        <w:t>advanced</w:t>
      </w:r>
      <w:r>
        <w:rPr>
          <w:spacing w:val="-21"/>
        </w:rPr>
        <w:t> </w:t>
      </w:r>
      <w:r>
        <w:rPr/>
        <w:t>stages</w:t>
      </w:r>
      <w:r>
        <w:rPr>
          <w:spacing w:val="-20"/>
        </w:rPr>
        <w:t> </w:t>
      </w:r>
      <w:r>
        <w:rPr/>
        <w:t>proved</w:t>
      </w:r>
      <w:r>
        <w:rPr>
          <w:spacing w:val="-21"/>
        </w:rPr>
        <w:t> </w:t>
      </w:r>
      <w:r>
        <w:rPr/>
        <w:t>that</w:t>
      </w:r>
      <w:r>
        <w:rPr>
          <w:spacing w:val="-21"/>
        </w:rPr>
        <w:t> </w:t>
      </w:r>
      <w:r>
        <w:rPr/>
        <w:t>Maitake</w:t>
      </w:r>
      <w:r>
        <w:rPr>
          <w:spacing w:val="-20"/>
        </w:rPr>
        <w:t> </w:t>
      </w:r>
      <w:r>
        <w:rPr/>
        <w:t>D-fraction</w:t>
      </w:r>
      <w:r>
        <w:rPr>
          <w:spacing w:val="-20"/>
        </w:rPr>
        <w:t> </w:t>
      </w:r>
      <w:r>
        <w:rPr/>
        <w:t>led</w:t>
      </w:r>
      <w:r>
        <w:rPr>
          <w:spacing w:val="-22"/>
        </w:rPr>
        <w:t> </w:t>
      </w:r>
      <w:r>
        <w:rPr/>
        <w:t>to</w:t>
      </w:r>
      <w:r>
        <w:rPr>
          <w:spacing w:val="-19"/>
        </w:rPr>
        <w:t> </w:t>
      </w:r>
      <w:r>
        <w:rPr/>
        <w:t>a</w:t>
      </w:r>
      <w:r>
        <w:rPr>
          <w:spacing w:val="-22"/>
        </w:rPr>
        <w:t> </w:t>
      </w:r>
      <w:r>
        <w:rPr/>
        <w:t>regression</w:t>
      </w:r>
    </w:p>
    <w:p>
      <w:pPr>
        <w:pStyle w:val="BodyText"/>
        <w:rPr>
          <w:sz w:val="20"/>
        </w:rPr>
      </w:pPr>
    </w:p>
    <w:p>
      <w:pPr>
        <w:pStyle w:val="BodyText"/>
        <w:spacing w:before="6"/>
        <w:rPr>
          <w:sz w:val="26"/>
        </w:rPr>
      </w:pPr>
      <w:r>
        <w:rPr/>
        <w:pict>
          <v:line style="position:absolute;mso-position-horizontal-relative:page;mso-position-vertical-relative:paragraph;z-index:13232;mso-wrap-distance-left:0;mso-wrap-distance-right:0" from="70.823997pt,17.296265pt" to="214.843997pt,17.296265pt" stroked="true" strokeweight=".71997pt" strokecolor="#000000">
            <v:stroke dashstyle="solid"/>
            <w10:wrap type="topAndBottom"/>
          </v:line>
        </w:pict>
      </w:r>
    </w:p>
    <w:p>
      <w:pPr>
        <w:pStyle w:val="BodyText"/>
        <w:spacing w:before="7"/>
        <w:rPr>
          <w:sz w:val="18"/>
        </w:rPr>
      </w:pPr>
    </w:p>
    <w:p>
      <w:pPr>
        <w:spacing w:line="276" w:lineRule="auto" w:before="100"/>
        <w:ind w:left="616" w:right="0" w:firstLine="0"/>
        <w:jc w:val="left"/>
        <w:rPr>
          <w:sz w:val="20"/>
        </w:rPr>
      </w:pPr>
      <w:r>
        <w:rPr>
          <w:position w:val="5"/>
          <w:sz w:val="13"/>
        </w:rPr>
        <w:t>960 </w:t>
      </w:r>
      <w:r>
        <w:rPr>
          <w:sz w:val="20"/>
        </w:rPr>
        <w:t>Hong L. et al.: Anti-diabetic effect of an alpha-glucan from fruit body of maitake (Grifola frondosa) on KK-Ay mice. J Pharm Pharmacol. 2007 Apr; 59 (4), pp. 575-582</w:t>
      </w:r>
    </w:p>
    <w:p>
      <w:pPr>
        <w:spacing w:line="273" w:lineRule="auto" w:before="61"/>
        <w:ind w:left="616" w:right="0" w:firstLine="0"/>
        <w:jc w:val="left"/>
        <w:rPr>
          <w:sz w:val="20"/>
        </w:rPr>
      </w:pPr>
      <w:r>
        <w:rPr>
          <w:position w:val="5"/>
          <w:sz w:val="13"/>
        </w:rPr>
        <w:t>961 </w:t>
      </w:r>
      <w:r>
        <w:rPr>
          <w:sz w:val="20"/>
        </w:rPr>
        <w:t>Talpur N. A. et al.: Antihypertensive and metabolic effects of whole Maitake mushroom powder and its fractions in two rat strains. Mol Cell Biochem. 2002 Aug, 237 (1-2), pp. 129-136.</w:t>
      </w:r>
    </w:p>
    <w:p>
      <w:pPr>
        <w:spacing w:line="276" w:lineRule="auto" w:before="63"/>
        <w:ind w:left="616" w:right="0" w:firstLine="0"/>
        <w:jc w:val="left"/>
        <w:rPr>
          <w:sz w:val="20"/>
        </w:rPr>
      </w:pPr>
      <w:r>
        <w:rPr>
          <w:position w:val="5"/>
          <w:sz w:val="13"/>
        </w:rPr>
        <w:t>962 </w:t>
      </w:r>
      <w:r>
        <w:rPr>
          <w:sz w:val="20"/>
        </w:rPr>
        <w:t>Cui F. J. et al.: Structural analysis of anti-tumor heteropolysaccharide GFPS1b from the cultured mycelia of Grifola frondosa GF9801. Bioresour Technol. 2007 Jan, 98 (2), pp. 395-401</w:t>
      </w:r>
    </w:p>
    <w:p>
      <w:pPr>
        <w:spacing w:line="276" w:lineRule="auto" w:before="61"/>
        <w:ind w:left="616" w:right="244" w:firstLine="0"/>
        <w:jc w:val="left"/>
        <w:rPr>
          <w:sz w:val="20"/>
        </w:rPr>
      </w:pPr>
      <w:r>
        <w:rPr>
          <w:position w:val="5"/>
          <w:sz w:val="13"/>
        </w:rPr>
        <w:t>963 </w:t>
      </w:r>
      <w:r>
        <w:rPr>
          <w:sz w:val="20"/>
        </w:rPr>
        <w:t>Kodama N. et all: Enhancement of cytotoxicity of NK cells by D-Fraction, a polysaccharide from Grifola frondosa. Oncol Rep. 2005 Mar; 13 (3), pp. 497-502</w:t>
      </w:r>
    </w:p>
    <w:p>
      <w:pPr>
        <w:spacing w:after="0" w:line="276" w:lineRule="auto"/>
        <w:jc w:val="left"/>
        <w:rPr>
          <w:sz w:val="20"/>
        </w:rPr>
        <w:sectPr>
          <w:pgSz w:w="14270" w:h="16850"/>
          <w:pgMar w:header="0" w:footer="1984" w:top="1340" w:bottom="2180" w:left="800" w:right="1280"/>
        </w:sectPr>
      </w:pPr>
    </w:p>
    <w:p>
      <w:pPr>
        <w:pStyle w:val="BodyText"/>
        <w:spacing w:before="72"/>
        <w:ind w:left="616"/>
      </w:pPr>
      <w:r>
        <w:rPr/>
        <w:t>of tumours or significant improvements in 73 % of breast cancer patients,</w:t>
      </w:r>
      <w:r>
        <w:rPr>
          <w:spacing w:val="74"/>
        </w:rPr>
        <w:t> </w:t>
      </w:r>
      <w:r>
        <w:rPr/>
        <w:t>67</w:t>
      </w:r>
    </w:p>
    <w:p>
      <w:pPr>
        <w:pStyle w:val="BodyText"/>
        <w:spacing w:line="276" w:lineRule="auto" w:before="64"/>
        <w:ind w:left="616" w:right="135"/>
        <w:jc w:val="both"/>
        <w:rPr>
          <w:sz w:val="25"/>
        </w:rPr>
      </w:pPr>
      <w:r>
        <w:rPr/>
        <w:t>% of lung cancer patients and 47 % of liver cancer patients. The Maitake </w:t>
      </w:r>
      <w:r>
        <w:rPr>
          <w:spacing w:val="3"/>
        </w:rPr>
        <w:t>D- </w:t>
      </w:r>
      <w:r>
        <w:rPr/>
        <w:t>fraction</w:t>
      </w:r>
      <w:r>
        <w:rPr>
          <w:spacing w:val="-19"/>
        </w:rPr>
        <w:t> </w:t>
      </w:r>
      <w:r>
        <w:rPr/>
        <w:t>demonstrates</w:t>
      </w:r>
      <w:r>
        <w:rPr>
          <w:spacing w:val="-20"/>
        </w:rPr>
        <w:t> </w:t>
      </w:r>
      <w:r>
        <w:rPr/>
        <w:t>a</w:t>
      </w:r>
      <w:r>
        <w:rPr>
          <w:spacing w:val="-21"/>
        </w:rPr>
        <w:t> </w:t>
      </w:r>
      <w:r>
        <w:rPr/>
        <w:t>significant</w:t>
      </w:r>
      <w:r>
        <w:rPr>
          <w:spacing w:val="-20"/>
        </w:rPr>
        <w:t> </w:t>
      </w:r>
      <w:r>
        <w:rPr/>
        <w:t>effect</w:t>
      </w:r>
      <w:r>
        <w:rPr>
          <w:spacing w:val="-19"/>
        </w:rPr>
        <w:t> </w:t>
      </w:r>
      <w:r>
        <w:rPr/>
        <w:t>in</w:t>
      </w:r>
      <w:r>
        <w:rPr>
          <w:spacing w:val="-22"/>
        </w:rPr>
        <w:t> </w:t>
      </w:r>
      <w:r>
        <w:rPr/>
        <w:t>particular</w:t>
      </w:r>
      <w:r>
        <w:rPr>
          <w:spacing w:val="-20"/>
        </w:rPr>
        <w:t> </w:t>
      </w:r>
      <w:r>
        <w:rPr/>
        <w:t>in</w:t>
      </w:r>
      <w:r>
        <w:rPr>
          <w:spacing w:val="-19"/>
        </w:rPr>
        <w:t> </w:t>
      </w:r>
      <w:r>
        <w:rPr/>
        <w:t>breast</w:t>
      </w:r>
      <w:r>
        <w:rPr>
          <w:spacing w:val="-22"/>
        </w:rPr>
        <w:t> </w:t>
      </w:r>
      <w:r>
        <w:rPr/>
        <w:t>cancer,</w:t>
      </w:r>
      <w:r>
        <w:rPr>
          <w:spacing w:val="-22"/>
        </w:rPr>
        <w:t> </w:t>
      </w:r>
      <w:r>
        <w:rPr/>
        <w:t>prostate cancer, liver cancer and lung</w:t>
      </w:r>
      <w:r>
        <w:rPr>
          <w:spacing w:val="2"/>
        </w:rPr>
        <w:t> </w:t>
      </w:r>
      <w:r>
        <w:rPr/>
        <w:t>cancer.</w:t>
      </w:r>
      <w:r>
        <w:rPr>
          <w:position w:val="9"/>
          <w:sz w:val="25"/>
        </w:rPr>
        <w:t>964</w:t>
      </w:r>
    </w:p>
    <w:p>
      <w:pPr>
        <w:pStyle w:val="Heading1"/>
        <w:ind w:left="616"/>
      </w:pPr>
      <w:r>
        <w:rPr/>
        <w:t>Maitake as a natural chemotherapy against cancer</w:t>
      </w:r>
    </w:p>
    <w:p>
      <w:pPr>
        <w:pStyle w:val="BodyText"/>
        <w:spacing w:line="276" w:lineRule="auto" w:before="299"/>
        <w:ind w:left="616"/>
        <w:rPr>
          <w:sz w:val="25"/>
        </w:rPr>
      </w:pPr>
      <w:r>
        <w:rPr/>
        <w:t>The O-orsellinaldehyde in Maitake has a cytotoxic effect on tumour cells and triggers their immediate death.</w:t>
      </w:r>
      <w:r>
        <w:rPr>
          <w:position w:val="9"/>
          <w:sz w:val="25"/>
        </w:rPr>
        <w:t>965</w:t>
      </w:r>
    </w:p>
    <w:p>
      <w:pPr>
        <w:pStyle w:val="Heading1"/>
        <w:spacing w:line="261" w:lineRule="auto" w:before="225"/>
        <w:ind w:left="616"/>
        <w:rPr>
          <w:sz w:val="26"/>
        </w:rPr>
      </w:pPr>
      <w:r>
        <w:rPr/>
        <w:t>Studies</w:t>
      </w:r>
      <w:r>
        <w:rPr>
          <w:spacing w:val="-22"/>
        </w:rPr>
        <w:t> </w:t>
      </w:r>
      <w:r>
        <w:rPr/>
        <w:t>show</w:t>
      </w:r>
      <w:r>
        <w:rPr>
          <w:spacing w:val="-20"/>
        </w:rPr>
        <w:t> </w:t>
      </w:r>
      <w:r>
        <w:rPr/>
        <w:t>Maitake</w:t>
      </w:r>
      <w:r>
        <w:rPr>
          <w:spacing w:val="-21"/>
        </w:rPr>
        <w:t> </w:t>
      </w:r>
      <w:r>
        <w:rPr/>
        <w:t>normalises</w:t>
      </w:r>
      <w:r>
        <w:rPr>
          <w:spacing w:val="-21"/>
        </w:rPr>
        <w:t> </w:t>
      </w:r>
      <w:r>
        <w:rPr/>
        <w:t>blood</w:t>
      </w:r>
      <w:r>
        <w:rPr>
          <w:spacing w:val="-21"/>
        </w:rPr>
        <w:t> </w:t>
      </w:r>
      <w:r>
        <w:rPr/>
        <w:t>pressure</w:t>
      </w:r>
      <w:r>
        <w:rPr>
          <w:spacing w:val="-21"/>
        </w:rPr>
        <w:t> </w:t>
      </w:r>
      <w:r>
        <w:rPr/>
        <w:t>and</w:t>
      </w:r>
      <w:r>
        <w:rPr>
          <w:spacing w:val="-22"/>
        </w:rPr>
        <w:t> </w:t>
      </w:r>
      <w:r>
        <w:rPr/>
        <w:t>blood</w:t>
      </w:r>
      <w:r>
        <w:rPr>
          <w:spacing w:val="-22"/>
        </w:rPr>
        <w:t> </w:t>
      </w:r>
      <w:r>
        <w:rPr/>
        <w:t>lipid</w:t>
      </w:r>
      <w:r>
        <w:rPr>
          <w:spacing w:val="-21"/>
        </w:rPr>
        <w:t> </w:t>
      </w:r>
      <w:r>
        <w:rPr/>
        <w:t>lev- els.</w:t>
      </w:r>
      <w:r>
        <w:rPr>
          <w:position w:val="9"/>
          <w:sz w:val="26"/>
        </w:rPr>
        <w:t>966</w:t>
      </w:r>
    </w:p>
    <w:p>
      <w:pPr>
        <w:spacing w:line="264" w:lineRule="auto" w:before="240"/>
        <w:ind w:left="616" w:right="42" w:firstLine="0"/>
        <w:jc w:val="left"/>
        <w:rPr>
          <w:b/>
          <w:i/>
          <w:sz w:val="40"/>
        </w:rPr>
      </w:pPr>
      <w:r>
        <w:rPr>
          <w:b/>
          <w:i/>
          <w:w w:val="95"/>
          <w:sz w:val="40"/>
        </w:rPr>
        <w:t>The US National Cancer Institute confirms the effectiveness of Maitake </w:t>
      </w:r>
      <w:r>
        <w:rPr>
          <w:b/>
          <w:i/>
          <w:sz w:val="40"/>
        </w:rPr>
        <w:t>against HIV/AIDS</w:t>
      </w:r>
    </w:p>
    <w:p>
      <w:pPr>
        <w:pStyle w:val="BodyText"/>
        <w:spacing w:line="278" w:lineRule="auto" w:before="251"/>
        <w:ind w:left="616"/>
        <w:rPr>
          <w:sz w:val="25"/>
        </w:rPr>
      </w:pPr>
      <w:r>
        <w:rPr/>
        <w:t>The</w:t>
      </w:r>
      <w:r>
        <w:rPr>
          <w:spacing w:val="-12"/>
        </w:rPr>
        <w:t> </w:t>
      </w:r>
      <w:r>
        <w:rPr/>
        <w:t>U.S.</w:t>
      </w:r>
      <w:r>
        <w:rPr>
          <w:spacing w:val="-14"/>
        </w:rPr>
        <w:t> </w:t>
      </w:r>
      <w:r>
        <w:rPr/>
        <w:t>National</w:t>
      </w:r>
      <w:r>
        <w:rPr>
          <w:spacing w:val="-14"/>
        </w:rPr>
        <w:t> </w:t>
      </w:r>
      <w:r>
        <w:rPr/>
        <w:t>Cancer</w:t>
      </w:r>
      <w:r>
        <w:rPr>
          <w:spacing w:val="-11"/>
        </w:rPr>
        <w:t> </w:t>
      </w:r>
      <w:r>
        <w:rPr/>
        <w:t>Institute</w:t>
      </w:r>
      <w:r>
        <w:rPr>
          <w:spacing w:val="-12"/>
        </w:rPr>
        <w:t> </w:t>
      </w:r>
      <w:r>
        <w:rPr/>
        <w:t>has</w:t>
      </w:r>
      <w:r>
        <w:rPr>
          <w:spacing w:val="-12"/>
        </w:rPr>
        <w:t> </w:t>
      </w:r>
      <w:r>
        <w:rPr/>
        <w:t>confirmed</w:t>
      </w:r>
      <w:r>
        <w:rPr>
          <w:spacing w:val="-12"/>
        </w:rPr>
        <w:t> </w:t>
      </w:r>
      <w:r>
        <w:rPr/>
        <w:t>the</w:t>
      </w:r>
      <w:r>
        <w:rPr>
          <w:spacing w:val="-11"/>
        </w:rPr>
        <w:t> </w:t>
      </w:r>
      <w:r>
        <w:rPr/>
        <w:t>effectiveness</w:t>
      </w:r>
      <w:r>
        <w:rPr>
          <w:spacing w:val="-12"/>
        </w:rPr>
        <w:t> </w:t>
      </w:r>
      <w:r>
        <w:rPr/>
        <w:t>of</w:t>
      </w:r>
      <w:r>
        <w:rPr>
          <w:spacing w:val="-12"/>
        </w:rPr>
        <w:t> </w:t>
      </w:r>
      <w:r>
        <w:rPr/>
        <w:t>Maitake against the HIV</w:t>
      </w:r>
      <w:r>
        <w:rPr>
          <w:spacing w:val="1"/>
        </w:rPr>
        <w:t> </w:t>
      </w:r>
      <w:r>
        <w:rPr/>
        <w:t>virus.</w:t>
      </w:r>
      <w:r>
        <w:rPr>
          <w:position w:val="9"/>
          <w:sz w:val="25"/>
        </w:rPr>
        <w:t>967</w:t>
      </w:r>
    </w:p>
    <w:p>
      <w:pPr>
        <w:pStyle w:val="Heading2"/>
        <w:spacing w:before="233"/>
        <w:ind w:left="616"/>
      </w:pPr>
      <w:r>
        <w:rPr/>
        <w:t>Maitake is highly effective against HIV</w:t>
      </w:r>
    </w:p>
    <w:p>
      <w:pPr>
        <w:pStyle w:val="BodyText"/>
        <w:spacing w:line="276" w:lineRule="auto" w:before="304"/>
        <w:ind w:left="616"/>
        <w:rPr>
          <w:sz w:val="25"/>
        </w:rPr>
      </w:pPr>
      <w:r>
        <w:rPr/>
        <w:t>In vitro studies in Japan have proven that Maitake D-fraction can prevent the destruction of T-helper cells by the HIV virus by up to 97 %.</w:t>
      </w:r>
      <w:r>
        <w:rPr>
          <w:position w:val="9"/>
          <w:sz w:val="25"/>
        </w:rPr>
        <w:t>968</w:t>
      </w:r>
    </w:p>
    <w:p>
      <w:pPr>
        <w:pStyle w:val="Heading1"/>
        <w:spacing w:before="222"/>
        <w:ind w:left="616"/>
      </w:pPr>
      <w:r>
        <w:rPr/>
        <w:t>Maitake inhibits the activity of the herpes virus</w:t>
      </w:r>
    </w:p>
    <w:p>
      <w:pPr>
        <w:pStyle w:val="BodyText"/>
        <w:rPr>
          <w:b/>
          <w:i/>
          <w:sz w:val="20"/>
        </w:rPr>
      </w:pPr>
    </w:p>
    <w:p>
      <w:pPr>
        <w:pStyle w:val="BodyText"/>
        <w:spacing w:before="3"/>
        <w:rPr>
          <w:b/>
          <w:i/>
          <w:sz w:val="27"/>
        </w:rPr>
      </w:pPr>
      <w:r>
        <w:rPr/>
        <w:pict>
          <v:line style="position:absolute;mso-position-horizontal-relative:page;mso-position-vertical-relative:paragraph;z-index:13256;mso-wrap-distance-left:0;mso-wrap-distance-right:0" from="70.823997pt,17.711266pt" to="214.843997pt,17.711266pt" stroked="true" strokeweight=".71997pt" strokecolor="#000000">
            <v:stroke dashstyle="solid"/>
            <w10:wrap type="topAndBottom"/>
          </v:line>
        </w:pict>
      </w:r>
    </w:p>
    <w:p>
      <w:pPr>
        <w:pStyle w:val="BodyText"/>
        <w:spacing w:before="7"/>
        <w:rPr>
          <w:b/>
          <w:i/>
          <w:sz w:val="18"/>
        </w:rPr>
      </w:pPr>
    </w:p>
    <w:p>
      <w:pPr>
        <w:spacing w:before="99"/>
        <w:ind w:left="616" w:right="0" w:firstLine="0"/>
        <w:jc w:val="left"/>
        <w:rPr>
          <w:sz w:val="20"/>
        </w:rPr>
      </w:pPr>
      <w:r>
        <w:rPr>
          <w:position w:val="5"/>
          <w:sz w:val="13"/>
        </w:rPr>
        <w:t>964 </w:t>
      </w:r>
      <w:r>
        <w:rPr>
          <w:sz w:val="20"/>
        </w:rPr>
        <w:t>Werner Goller: Was verschweigt die Schulmedizin? (‘What Does Conventional Medicine Conceal?’), 2009, p. 148</w:t>
      </w:r>
    </w:p>
    <w:p>
      <w:pPr>
        <w:spacing w:line="273" w:lineRule="auto" w:before="94"/>
        <w:ind w:left="616" w:right="0" w:firstLine="0"/>
        <w:jc w:val="left"/>
        <w:rPr>
          <w:sz w:val="20"/>
        </w:rPr>
      </w:pPr>
      <w:r>
        <w:rPr>
          <w:position w:val="5"/>
          <w:sz w:val="13"/>
        </w:rPr>
        <w:t>965 </w:t>
      </w:r>
      <w:r>
        <w:rPr>
          <w:sz w:val="20"/>
        </w:rPr>
        <w:t>Lin J. T. und Liu W. H.: o-Orsellinaldehyde from the submerged culture of the edible mushroom Grifola frondosa exhibits selective cytotoxic effect against Hep 3B cells through apoptosis. J Agric Food Chem. 2006 Oct 4, 54 (20), pp. 7564-7569</w:t>
      </w:r>
    </w:p>
    <w:p>
      <w:pPr>
        <w:spacing w:line="276" w:lineRule="auto" w:before="63"/>
        <w:ind w:left="616" w:right="207" w:firstLine="0"/>
        <w:jc w:val="left"/>
        <w:rPr>
          <w:sz w:val="20"/>
        </w:rPr>
      </w:pPr>
      <w:r>
        <w:rPr>
          <w:position w:val="5"/>
          <w:sz w:val="13"/>
        </w:rPr>
        <w:t>966 </w:t>
      </w:r>
      <w:r>
        <w:rPr>
          <w:sz w:val="20"/>
        </w:rPr>
        <w:t>Talpur N. et al.: Effects of Maitake mushroom fractions on blood pressure of Zucker fatty rats. Res Commun Mol Pathol Pharmacol. 2002, 112 (1-4), pp. 68-82</w:t>
      </w:r>
    </w:p>
    <w:p>
      <w:pPr>
        <w:spacing w:before="61"/>
        <w:ind w:left="616" w:right="0" w:firstLine="0"/>
        <w:jc w:val="left"/>
        <w:rPr>
          <w:sz w:val="20"/>
        </w:rPr>
      </w:pPr>
      <w:r>
        <w:rPr>
          <w:position w:val="5"/>
          <w:sz w:val="13"/>
        </w:rPr>
        <w:t>967 </w:t>
      </w:r>
      <w:r>
        <w:rPr>
          <w:sz w:val="20"/>
        </w:rPr>
        <w:t>Werner Goller: Was verschweigt die Schulmedizin? (‘What Does Conventional Medicine Conceal?’), 2009, p.</w:t>
      </w:r>
      <w:r>
        <w:rPr>
          <w:spacing w:val="-20"/>
          <w:sz w:val="20"/>
        </w:rPr>
        <w:t> </w:t>
      </w:r>
      <w:r>
        <w:rPr>
          <w:sz w:val="20"/>
        </w:rPr>
        <w:t>148</w:t>
      </w:r>
    </w:p>
    <w:p>
      <w:pPr>
        <w:spacing w:before="95"/>
        <w:ind w:left="616" w:right="0" w:firstLine="0"/>
        <w:jc w:val="left"/>
        <w:rPr>
          <w:sz w:val="20"/>
        </w:rPr>
      </w:pPr>
      <w:r>
        <w:rPr>
          <w:position w:val="5"/>
          <w:sz w:val="13"/>
        </w:rPr>
        <w:t>968 </w:t>
      </w:r>
      <w:r>
        <w:rPr>
          <w:sz w:val="20"/>
        </w:rPr>
        <w:t>Werner Goller: Was verschweigt die Schulmedizin? (‘What Does Conventional Medicine Conceal?’), 2009, p.</w:t>
      </w:r>
      <w:r>
        <w:rPr>
          <w:spacing w:val="-30"/>
          <w:sz w:val="20"/>
        </w:rPr>
        <w:t> </w:t>
      </w:r>
      <w:r>
        <w:rPr>
          <w:sz w:val="20"/>
        </w:rPr>
        <w:t>148</w:t>
      </w:r>
    </w:p>
    <w:p>
      <w:pPr>
        <w:spacing w:after="0"/>
        <w:jc w:val="left"/>
        <w:rPr>
          <w:sz w:val="20"/>
        </w:rPr>
        <w:sectPr>
          <w:pgSz w:w="14270" w:h="16850"/>
          <w:pgMar w:header="0" w:footer="1984" w:top="1340" w:bottom="2180" w:left="800" w:right="1280"/>
        </w:sectPr>
      </w:pPr>
    </w:p>
    <w:p>
      <w:pPr>
        <w:pStyle w:val="BodyText"/>
        <w:spacing w:before="74"/>
        <w:ind w:left="616"/>
        <w:rPr>
          <w:sz w:val="25"/>
        </w:rPr>
      </w:pPr>
      <w:r>
        <w:rPr/>
        <w:t>A protein in Maitake can deactivate the herpes virus.</w:t>
      </w:r>
      <w:r>
        <w:rPr>
          <w:position w:val="9"/>
          <w:sz w:val="25"/>
        </w:rPr>
        <w:t>969</w:t>
      </w:r>
    </w:p>
    <w:p>
      <w:pPr>
        <w:pStyle w:val="BodyText"/>
        <w:rPr>
          <w:sz w:val="42"/>
        </w:rPr>
      </w:pPr>
    </w:p>
    <w:p>
      <w:pPr>
        <w:pStyle w:val="BodyText"/>
        <w:rPr>
          <w:sz w:val="42"/>
        </w:rPr>
      </w:pPr>
    </w:p>
    <w:p>
      <w:pPr>
        <w:pStyle w:val="BodyText"/>
        <w:rPr>
          <w:sz w:val="42"/>
        </w:rPr>
      </w:pPr>
    </w:p>
    <w:p>
      <w:pPr>
        <w:pStyle w:val="Heading1"/>
        <w:spacing w:before="293"/>
        <w:ind w:left="616"/>
      </w:pPr>
      <w:r>
        <w:rPr/>
        <w:t>Maitake inhibits the propagation of the hepatitis B virus</w:t>
      </w:r>
    </w:p>
    <w:p>
      <w:pPr>
        <w:pStyle w:val="BodyText"/>
        <w:spacing w:line="278" w:lineRule="auto" w:before="297"/>
        <w:ind w:left="616"/>
        <w:rPr>
          <w:sz w:val="25"/>
        </w:rPr>
      </w:pPr>
      <w:r>
        <w:rPr/>
        <w:t>The D-fraction in Maitake in combination with interferon was able to reduce the propagation of the hepatitis B virus in infected patients.</w:t>
      </w:r>
      <w:r>
        <w:rPr>
          <w:position w:val="9"/>
          <w:sz w:val="25"/>
        </w:rPr>
        <w:t>970</w:t>
      </w:r>
    </w:p>
    <w:p>
      <w:pPr>
        <w:pStyle w:val="Heading2"/>
        <w:spacing w:before="233"/>
        <w:ind w:left="616"/>
      </w:pPr>
      <w:r>
        <w:rPr/>
        <w:t>Application and ingestion of Maitake</w:t>
      </w:r>
    </w:p>
    <w:p>
      <w:pPr>
        <w:pStyle w:val="BodyText"/>
        <w:spacing w:line="276" w:lineRule="auto" w:before="304"/>
        <w:ind w:left="616" w:right="136"/>
        <w:jc w:val="both"/>
        <w:rPr>
          <w:sz w:val="25"/>
        </w:rPr>
      </w:pPr>
      <w:r>
        <w:rPr/>
        <w:t>Japanese researchers recommend three portions of 3-7 g with beverages or soups</w:t>
      </w:r>
      <w:r>
        <w:rPr>
          <w:spacing w:val="-24"/>
        </w:rPr>
        <w:t> </w:t>
      </w:r>
      <w:r>
        <w:rPr/>
        <w:t>throughout</w:t>
      </w:r>
      <w:r>
        <w:rPr>
          <w:spacing w:val="-26"/>
        </w:rPr>
        <w:t> </w:t>
      </w:r>
      <w:r>
        <w:rPr/>
        <w:t>the</w:t>
      </w:r>
      <w:r>
        <w:rPr>
          <w:spacing w:val="-23"/>
        </w:rPr>
        <w:t> </w:t>
      </w:r>
      <w:r>
        <w:rPr/>
        <w:t>day.</w:t>
      </w:r>
      <w:r>
        <w:rPr>
          <w:spacing w:val="-23"/>
        </w:rPr>
        <w:t> </w:t>
      </w:r>
      <w:r>
        <w:rPr/>
        <w:t>Treatment</w:t>
      </w:r>
      <w:r>
        <w:rPr>
          <w:spacing w:val="-24"/>
        </w:rPr>
        <w:t> </w:t>
      </w:r>
      <w:r>
        <w:rPr/>
        <w:t>should</w:t>
      </w:r>
      <w:r>
        <w:rPr>
          <w:spacing w:val="-25"/>
        </w:rPr>
        <w:t> </w:t>
      </w:r>
      <w:r>
        <w:rPr/>
        <w:t>last</w:t>
      </w:r>
      <w:r>
        <w:rPr>
          <w:spacing w:val="-27"/>
        </w:rPr>
        <w:t> </w:t>
      </w:r>
      <w:r>
        <w:rPr/>
        <w:t>for</w:t>
      </w:r>
      <w:r>
        <w:rPr>
          <w:spacing w:val="-23"/>
        </w:rPr>
        <w:t> </w:t>
      </w:r>
      <w:r>
        <w:rPr/>
        <w:t>no</w:t>
      </w:r>
      <w:r>
        <w:rPr>
          <w:spacing w:val="-25"/>
        </w:rPr>
        <w:t> </w:t>
      </w:r>
      <w:r>
        <w:rPr/>
        <w:t>less</w:t>
      </w:r>
      <w:r>
        <w:rPr>
          <w:spacing w:val="-23"/>
        </w:rPr>
        <w:t> </w:t>
      </w:r>
      <w:r>
        <w:rPr/>
        <w:t>than</w:t>
      </w:r>
      <w:r>
        <w:rPr>
          <w:spacing w:val="-23"/>
        </w:rPr>
        <w:t> </w:t>
      </w:r>
      <w:r>
        <w:rPr/>
        <w:t>three</w:t>
      </w:r>
      <w:r>
        <w:rPr>
          <w:spacing w:val="-23"/>
        </w:rPr>
        <w:t> </w:t>
      </w:r>
      <w:r>
        <w:rPr/>
        <w:t>months, although permanent consumption is possible.</w:t>
      </w:r>
      <w:r>
        <w:rPr>
          <w:position w:val="9"/>
          <w:sz w:val="25"/>
        </w:rPr>
        <w:t>971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0"/>
        </w:rPr>
      </w:pPr>
      <w:r>
        <w:rPr/>
        <w:pict>
          <v:line style="position:absolute;mso-position-horizontal-relative:page;mso-position-vertical-relative:paragraph;z-index:13280;mso-wrap-distance-left:0;mso-wrap-distance-right:0" from="70.823997pt,8.411265pt" to="214.843997pt,8.411265pt" stroked="true" strokeweight=".71997pt" strokecolor="#000000">
            <v:stroke dashstyle="solid"/>
            <w10:wrap type="topAndBottom"/>
          </v:line>
        </w:pict>
      </w:r>
    </w:p>
    <w:p>
      <w:pPr>
        <w:pStyle w:val="BodyText"/>
        <w:spacing w:before="7"/>
        <w:rPr>
          <w:sz w:val="18"/>
        </w:rPr>
      </w:pPr>
    </w:p>
    <w:p>
      <w:pPr>
        <w:spacing w:line="276" w:lineRule="auto" w:before="99"/>
        <w:ind w:left="616" w:right="325" w:firstLine="0"/>
        <w:jc w:val="left"/>
        <w:rPr>
          <w:sz w:val="20"/>
        </w:rPr>
      </w:pPr>
      <w:r>
        <w:rPr>
          <w:position w:val="5"/>
          <w:sz w:val="13"/>
        </w:rPr>
        <w:t>969 </w:t>
      </w:r>
      <w:r>
        <w:rPr>
          <w:sz w:val="20"/>
        </w:rPr>
        <w:t>Gu C. Q. et al.: Isolation, identification and function of a novel anti-HSV-1 protein from Grifola frondosa. Antiviral Res. 2007 Sep; 75 (3), pp. 250-257.</w:t>
      </w:r>
    </w:p>
    <w:p>
      <w:pPr>
        <w:spacing w:line="276" w:lineRule="auto" w:before="61"/>
        <w:ind w:left="616" w:right="0" w:firstLine="0"/>
        <w:jc w:val="left"/>
        <w:rPr>
          <w:sz w:val="20"/>
        </w:rPr>
      </w:pPr>
      <w:r>
        <w:rPr/>
        <w:drawing>
          <wp:anchor distT="0" distB="0" distL="0" distR="0" allowOverlap="1" layoutInCell="1" locked="0" behindDoc="1" simplePos="0" relativeHeight="267181079">
            <wp:simplePos x="0" y="0"/>
            <wp:positionH relativeFrom="page">
              <wp:posOffset>985998</wp:posOffset>
            </wp:positionH>
            <wp:positionV relativeFrom="paragraph">
              <wp:posOffset>285599</wp:posOffset>
            </wp:positionV>
            <wp:extent cx="6379583" cy="902106"/>
            <wp:effectExtent l="0" t="0" r="0" b="0"/>
            <wp:wrapNone/>
            <wp:docPr id="637" name="image2.jpeg" descr=""/>
            <wp:cNvGraphicFramePr>
              <a:graphicFrameLocks noChangeAspect="1"/>
            </wp:cNvGraphicFramePr>
            <a:graphic>
              <a:graphicData uri="http://schemas.openxmlformats.org/drawingml/2006/picture">
                <pic:pic>
                  <pic:nvPicPr>
                    <pic:cNvPr id="638"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970 </w:t>
      </w:r>
      <w:r>
        <w:rPr>
          <w:sz w:val="20"/>
        </w:rPr>
        <w:t>Gu C. Q. et al.: Inhibition of hepatitis B virus by D-fraction from Grifola frondosa: synergistic effect of combination with interferon-alpha in HepG2 2.2.15. Antiviral Res. 2006 Nov; 72 (2), pp. 162-165</w:t>
      </w:r>
    </w:p>
    <w:p>
      <w:pPr>
        <w:spacing w:before="61"/>
        <w:ind w:left="616" w:right="0" w:firstLine="0"/>
        <w:jc w:val="left"/>
        <w:rPr>
          <w:sz w:val="20"/>
        </w:rPr>
      </w:pPr>
      <w:r>
        <w:rPr>
          <w:position w:val="5"/>
          <w:sz w:val="13"/>
        </w:rPr>
        <w:t>971 </w:t>
      </w:r>
      <w:r>
        <w:rPr>
          <w:sz w:val="20"/>
        </w:rPr>
        <w:t>Dr. Jürgen Weihofen: Heilpilze Ling Zhi, Shiitake &amp; Co. schützen das Immunsystem, 2001, p. 74</w:t>
      </w:r>
    </w:p>
    <w:p>
      <w:pPr>
        <w:spacing w:after="0"/>
        <w:jc w:val="left"/>
        <w:rPr>
          <w:sz w:val="20"/>
        </w:rPr>
        <w:sectPr>
          <w:footerReference w:type="default" r:id="rId445"/>
          <w:pgSz w:w="14270" w:h="16850"/>
          <w:pgMar w:footer="527" w:header="0" w:top="1340" w:bottom="720" w:left="800" w:right="1280"/>
          <w:pgNumType w:start="1706"/>
        </w:sectPr>
      </w:pPr>
    </w:p>
    <w:p>
      <w:pPr>
        <w:pStyle w:val="Heading2"/>
        <w:spacing w:before="74"/>
        <w:ind w:left="616"/>
      </w:pPr>
      <w:r>
        <w:rPr/>
        <w:t>Hericium/Pom-Pom</w:t>
      </w:r>
    </w:p>
    <w:p>
      <w:pPr>
        <w:spacing w:before="305"/>
        <w:ind w:left="616" w:right="0" w:firstLine="0"/>
        <w:jc w:val="left"/>
        <w:rPr>
          <w:b/>
          <w:sz w:val="38"/>
        </w:rPr>
      </w:pPr>
      <w:r>
        <w:rPr>
          <w:b/>
          <w:sz w:val="38"/>
        </w:rPr>
        <w:t>Hericium, Pom-Pom, monkey head, bearded tooth mushroom</w:t>
      </w:r>
    </w:p>
    <w:p>
      <w:pPr>
        <w:pStyle w:val="BodyText"/>
        <w:spacing w:line="278" w:lineRule="auto" w:before="302"/>
        <w:ind w:left="616" w:right="145"/>
        <w:jc w:val="both"/>
      </w:pPr>
      <w:r>
        <w:rPr/>
        <w:t>A further medicinal mushroom we would like to introduce here is Hericium erinaceus, also known as ‘monkey head’ or ‘bearded tooth’ mushroom.</w:t>
      </w:r>
    </w:p>
    <w:p>
      <w:pPr>
        <w:pStyle w:val="BodyText"/>
        <w:spacing w:line="276" w:lineRule="auto" w:before="232"/>
        <w:ind w:left="616" w:right="136"/>
        <w:jc w:val="both"/>
      </w:pPr>
      <w:r>
        <w:rPr/>
        <w:t>Monkey head mushrooms are wide-spread in both China and Japan and ex- tremely</w:t>
      </w:r>
      <w:r>
        <w:rPr>
          <w:spacing w:val="-18"/>
        </w:rPr>
        <w:t> </w:t>
      </w:r>
      <w:r>
        <w:rPr/>
        <w:t>popular</w:t>
      </w:r>
      <w:r>
        <w:rPr>
          <w:spacing w:val="-19"/>
        </w:rPr>
        <w:t> </w:t>
      </w:r>
      <w:r>
        <w:rPr/>
        <w:t>due</w:t>
      </w:r>
      <w:r>
        <w:rPr>
          <w:spacing w:val="-19"/>
        </w:rPr>
        <w:t> </w:t>
      </w:r>
      <w:r>
        <w:rPr/>
        <w:t>to</w:t>
      </w:r>
      <w:r>
        <w:rPr>
          <w:spacing w:val="-17"/>
        </w:rPr>
        <w:t> </w:t>
      </w:r>
      <w:r>
        <w:rPr/>
        <w:t>their</w:t>
      </w:r>
      <w:r>
        <w:rPr>
          <w:spacing w:val="-17"/>
        </w:rPr>
        <w:t> </w:t>
      </w:r>
      <w:r>
        <w:rPr/>
        <w:t>health</w:t>
      </w:r>
      <w:r>
        <w:rPr>
          <w:spacing w:val="-18"/>
        </w:rPr>
        <w:t> </w:t>
      </w:r>
      <w:r>
        <w:rPr/>
        <w:t>attributes.</w:t>
      </w:r>
      <w:r>
        <w:rPr>
          <w:spacing w:val="-16"/>
        </w:rPr>
        <w:t> </w:t>
      </w:r>
      <w:r>
        <w:rPr/>
        <w:t>One</w:t>
      </w:r>
      <w:r>
        <w:rPr>
          <w:spacing w:val="-18"/>
        </w:rPr>
        <w:t> </w:t>
      </w:r>
      <w:r>
        <w:rPr/>
        <w:t>more</w:t>
      </w:r>
      <w:r>
        <w:rPr>
          <w:spacing w:val="-19"/>
        </w:rPr>
        <w:t> </w:t>
      </w:r>
      <w:r>
        <w:rPr/>
        <w:t>reason</w:t>
      </w:r>
      <w:r>
        <w:rPr>
          <w:spacing w:val="-20"/>
        </w:rPr>
        <w:t> </w:t>
      </w:r>
      <w:r>
        <w:rPr/>
        <w:t>to</w:t>
      </w:r>
      <w:r>
        <w:rPr>
          <w:spacing w:val="-19"/>
        </w:rPr>
        <w:t> </w:t>
      </w:r>
      <w:r>
        <w:rPr/>
        <w:t>also</w:t>
      </w:r>
      <w:r>
        <w:rPr>
          <w:spacing w:val="-19"/>
        </w:rPr>
        <w:t> </w:t>
      </w:r>
      <w:r>
        <w:rPr/>
        <w:t>put</w:t>
      </w:r>
      <w:r>
        <w:rPr>
          <w:spacing w:val="-18"/>
        </w:rPr>
        <w:t> </w:t>
      </w:r>
      <w:r>
        <w:rPr/>
        <w:t>this mushroom under the</w:t>
      </w:r>
      <w:r>
        <w:rPr>
          <w:spacing w:val="3"/>
        </w:rPr>
        <w:t> </w:t>
      </w:r>
      <w:r>
        <w:rPr/>
        <w:t>microscope.</w:t>
      </w:r>
    </w:p>
    <w:p>
      <w:pPr>
        <w:pStyle w:val="Heading1"/>
        <w:ind w:left="616"/>
      </w:pPr>
      <w:r>
        <w:rPr/>
        <w:t>Appearance and taste</w:t>
      </w:r>
    </w:p>
    <w:p>
      <w:pPr>
        <w:pStyle w:val="BodyText"/>
        <w:spacing w:line="276" w:lineRule="auto" w:before="300"/>
        <w:ind w:left="616" w:right="140"/>
        <w:jc w:val="both"/>
      </w:pPr>
      <w:r>
        <w:rPr/>
        <w:t>The somewhat strange sounding name ‘monkey head’ already reveals some- thing about the appearance of this mushroom. The Hericium erinaceus really does resemble a Chinese monkey with thick head hair right over the face.</w:t>
      </w:r>
    </w:p>
    <w:p>
      <w:pPr>
        <w:pStyle w:val="BodyText"/>
        <w:spacing w:line="278" w:lineRule="auto" w:before="238"/>
        <w:ind w:left="616" w:right="147"/>
        <w:jc w:val="both"/>
      </w:pPr>
      <w:r>
        <w:rPr/>
        <w:t>The Hericium basically resembles a bulb with white spikes on it. This is what lends it its name ‘bearded tooth’ mushroom.</w:t>
      </w:r>
    </w:p>
    <w:p>
      <w:pPr>
        <w:pStyle w:val="BodyText"/>
        <w:spacing w:line="276" w:lineRule="auto" w:before="233"/>
        <w:ind w:left="616" w:right="133"/>
        <w:jc w:val="both"/>
      </w:pPr>
      <w:r>
        <w:rPr/>
        <w:t>Initially, Hericium is white but it changes colour with age and turns yellow- brown to reddish. It grows up to 30 cm.</w:t>
      </w:r>
    </w:p>
    <w:p>
      <w:pPr>
        <w:pStyle w:val="BodyText"/>
        <w:spacing w:line="278" w:lineRule="auto" w:before="238"/>
        <w:ind w:left="616" w:right="138"/>
        <w:jc w:val="both"/>
      </w:pPr>
      <w:r>
        <w:rPr/>
        <w:t>Hericium is an edible mushroom with a citrus-coconut like aroma. Moreover, it has an impressive 32 aromatic substances.</w:t>
      </w:r>
    </w:p>
    <w:p>
      <w:pPr>
        <w:spacing w:after="0" w:line="278" w:lineRule="auto"/>
        <w:jc w:val="both"/>
        <w:sectPr>
          <w:footerReference w:type="default" r:id="rId446"/>
          <w:pgSz w:w="14270" w:h="16850"/>
          <w:pgMar w:footer="1891" w:header="0" w:top="1340" w:bottom="2080" w:left="800" w:right="1280"/>
          <w:pgNumType w:start="1707"/>
        </w:sectPr>
      </w:pPr>
    </w:p>
    <w:p>
      <w:pPr>
        <w:pStyle w:val="Heading1"/>
        <w:spacing w:before="77"/>
        <w:ind w:left="616"/>
      </w:pPr>
      <w:r>
        <w:rPr/>
        <w:t>Occurrence and cultivation</w:t>
      </w:r>
    </w:p>
    <w:p>
      <w:pPr>
        <w:pStyle w:val="BodyText"/>
        <w:spacing w:line="276" w:lineRule="auto" w:before="299"/>
        <w:ind w:left="616" w:right="142"/>
        <w:jc w:val="both"/>
      </w:pPr>
      <w:r>
        <w:rPr/>
        <w:t>The Hericium was originally native to Japan and China, however, with a little due care it can also be cultivated in gardens or on balconies at our latitude.</w:t>
      </w:r>
    </w:p>
    <w:p>
      <w:pPr>
        <w:pStyle w:val="Heading2"/>
        <w:spacing w:before="239"/>
        <w:ind w:left="616"/>
      </w:pPr>
      <w:r>
        <w:rPr/>
        <w:t>Monkey head mushroom active ingredients</w:t>
      </w:r>
    </w:p>
    <w:p>
      <w:pPr>
        <w:pStyle w:val="BodyText"/>
        <w:spacing w:line="276" w:lineRule="auto" w:before="304"/>
        <w:ind w:left="616" w:right="135"/>
        <w:jc w:val="both"/>
      </w:pPr>
      <w:r>
        <w:rPr/>
        <w:t>Hericium has an imposing amount of highly valuable vital substances for our health. These include polysaccharides, polypeptides and phenols, however, a great healing effect is ascribed to hericenones and hericenes.</w:t>
      </w:r>
    </w:p>
    <w:p>
      <w:pPr>
        <w:pStyle w:val="BodyText"/>
        <w:spacing w:line="276" w:lineRule="auto" w:before="242"/>
        <w:ind w:left="616" w:right="142"/>
        <w:jc w:val="both"/>
      </w:pPr>
      <w:r>
        <w:rPr/>
        <w:t>Furthermore, the bearded tooth contains all the essential amino acids, trace elements such as iron, zinc, selenium and, in particular, the highly promising germanium, which combats tumours.</w:t>
      </w:r>
    </w:p>
    <w:p>
      <w:pPr>
        <w:pStyle w:val="Heading1"/>
        <w:spacing w:before="221"/>
        <w:ind w:left="616"/>
        <w:jc w:val="both"/>
      </w:pPr>
      <w:r>
        <w:rPr/>
        <w:t>Active ingredients</w:t>
      </w:r>
    </w:p>
    <w:p>
      <w:pPr>
        <w:pStyle w:val="ListParagraph"/>
        <w:numPr>
          <w:ilvl w:val="1"/>
          <w:numId w:val="120"/>
        </w:numPr>
        <w:tabs>
          <w:tab w:pos="1477" w:val="left" w:leader="none"/>
          <w:tab w:pos="1478" w:val="left" w:leader="none"/>
        </w:tabs>
        <w:spacing w:line="240" w:lineRule="auto" w:before="260" w:after="0"/>
        <w:ind w:left="1478" w:right="0" w:hanging="360"/>
        <w:jc w:val="left"/>
        <w:rPr>
          <w:sz w:val="38"/>
        </w:rPr>
      </w:pPr>
      <w:r>
        <w:rPr>
          <w:sz w:val="38"/>
        </w:rPr>
        <w:t>Polysaccharides</w:t>
      </w:r>
    </w:p>
    <w:p>
      <w:pPr>
        <w:pStyle w:val="ListParagraph"/>
        <w:numPr>
          <w:ilvl w:val="1"/>
          <w:numId w:val="120"/>
        </w:numPr>
        <w:tabs>
          <w:tab w:pos="1477" w:val="left" w:leader="none"/>
          <w:tab w:pos="1478" w:val="left" w:leader="none"/>
        </w:tabs>
        <w:spacing w:line="240" w:lineRule="auto" w:before="184" w:after="0"/>
        <w:ind w:left="1478" w:right="0" w:hanging="360"/>
        <w:jc w:val="left"/>
        <w:rPr>
          <w:sz w:val="38"/>
        </w:rPr>
      </w:pPr>
      <w:r>
        <w:rPr>
          <w:sz w:val="38"/>
        </w:rPr>
        <w:t>Polypeptides</w:t>
      </w:r>
    </w:p>
    <w:p>
      <w:pPr>
        <w:pStyle w:val="ListParagraph"/>
        <w:numPr>
          <w:ilvl w:val="1"/>
          <w:numId w:val="120"/>
        </w:numPr>
        <w:tabs>
          <w:tab w:pos="1477" w:val="left" w:leader="none"/>
          <w:tab w:pos="1478" w:val="left" w:leader="none"/>
        </w:tabs>
        <w:spacing w:line="240" w:lineRule="auto" w:before="184" w:after="0"/>
        <w:ind w:left="1478" w:right="0" w:hanging="360"/>
        <w:jc w:val="left"/>
        <w:rPr>
          <w:sz w:val="38"/>
        </w:rPr>
      </w:pPr>
      <w:r>
        <w:rPr>
          <w:sz w:val="38"/>
        </w:rPr>
        <w:t>Amino</w:t>
      </w:r>
      <w:r>
        <w:rPr>
          <w:spacing w:val="1"/>
          <w:sz w:val="38"/>
        </w:rPr>
        <w:t> </w:t>
      </w:r>
      <w:r>
        <w:rPr>
          <w:sz w:val="38"/>
        </w:rPr>
        <w:t>acids</w:t>
      </w:r>
    </w:p>
    <w:p>
      <w:pPr>
        <w:pStyle w:val="ListParagraph"/>
        <w:numPr>
          <w:ilvl w:val="1"/>
          <w:numId w:val="120"/>
        </w:numPr>
        <w:tabs>
          <w:tab w:pos="1477" w:val="left" w:leader="none"/>
          <w:tab w:pos="1478" w:val="left" w:leader="none"/>
        </w:tabs>
        <w:spacing w:line="240" w:lineRule="auto" w:before="186" w:after="0"/>
        <w:ind w:left="1478" w:right="0" w:hanging="360"/>
        <w:jc w:val="left"/>
        <w:rPr>
          <w:sz w:val="38"/>
        </w:rPr>
      </w:pPr>
      <w:r>
        <w:rPr>
          <w:sz w:val="38"/>
        </w:rPr>
        <w:t>Minerals (iron, zinc, potassium, selenium, phosphorus,</w:t>
      </w:r>
      <w:r>
        <w:rPr>
          <w:spacing w:val="-8"/>
          <w:sz w:val="38"/>
        </w:rPr>
        <w:t> </w:t>
      </w:r>
      <w:r>
        <w:rPr>
          <w:sz w:val="38"/>
        </w:rPr>
        <w:t>germanium)</w:t>
      </w:r>
    </w:p>
    <w:p>
      <w:pPr>
        <w:pStyle w:val="ListParagraph"/>
        <w:numPr>
          <w:ilvl w:val="1"/>
          <w:numId w:val="120"/>
        </w:numPr>
        <w:tabs>
          <w:tab w:pos="1477" w:val="left" w:leader="none"/>
          <w:tab w:pos="1478" w:val="left" w:leader="none"/>
        </w:tabs>
        <w:spacing w:line="240" w:lineRule="auto" w:before="184" w:after="0"/>
        <w:ind w:left="1478" w:right="0" w:hanging="360"/>
        <w:jc w:val="left"/>
        <w:rPr>
          <w:sz w:val="38"/>
        </w:rPr>
      </w:pPr>
      <w:r>
        <w:rPr>
          <w:sz w:val="38"/>
        </w:rPr>
        <w:t>Vitamin D (biotin, ergosterol, niacin,</w:t>
      </w:r>
      <w:r>
        <w:rPr>
          <w:spacing w:val="-5"/>
          <w:sz w:val="38"/>
        </w:rPr>
        <w:t> </w:t>
      </w:r>
      <w:r>
        <w:rPr>
          <w:sz w:val="38"/>
        </w:rPr>
        <w:t>riboflavin)</w:t>
      </w:r>
    </w:p>
    <w:p>
      <w:pPr>
        <w:pStyle w:val="ListParagraph"/>
        <w:numPr>
          <w:ilvl w:val="1"/>
          <w:numId w:val="120"/>
        </w:numPr>
        <w:tabs>
          <w:tab w:pos="1477" w:val="left" w:leader="none"/>
          <w:tab w:pos="1478" w:val="left" w:leader="none"/>
        </w:tabs>
        <w:spacing w:line="240" w:lineRule="auto" w:before="183" w:after="0"/>
        <w:ind w:left="1478" w:right="0" w:hanging="360"/>
        <w:jc w:val="left"/>
        <w:rPr>
          <w:sz w:val="38"/>
        </w:rPr>
      </w:pPr>
      <w:r>
        <w:rPr>
          <w:sz w:val="38"/>
        </w:rPr>
        <w:t>Erinacine</w:t>
      </w:r>
    </w:p>
    <w:p>
      <w:pPr>
        <w:pStyle w:val="ListParagraph"/>
        <w:numPr>
          <w:ilvl w:val="1"/>
          <w:numId w:val="120"/>
        </w:numPr>
        <w:tabs>
          <w:tab w:pos="1477" w:val="left" w:leader="none"/>
          <w:tab w:pos="1478" w:val="left" w:leader="none"/>
        </w:tabs>
        <w:spacing w:line="240" w:lineRule="auto" w:before="184" w:after="0"/>
        <w:ind w:left="1478" w:right="0" w:hanging="360"/>
        <w:jc w:val="left"/>
        <w:rPr>
          <w:sz w:val="38"/>
        </w:rPr>
      </w:pPr>
      <w:r>
        <w:rPr>
          <w:sz w:val="38"/>
        </w:rPr>
        <w:t>Trace elements</w:t>
      </w:r>
    </w:p>
    <w:p>
      <w:pPr>
        <w:spacing w:after="0" w:line="240" w:lineRule="auto"/>
        <w:jc w:val="left"/>
        <w:rPr>
          <w:sz w:val="38"/>
        </w:rPr>
        <w:sectPr>
          <w:pgSz w:w="14270" w:h="16850"/>
          <w:pgMar w:header="0" w:footer="1891" w:top="1320" w:bottom="2080" w:left="800" w:right="1280"/>
        </w:sectPr>
      </w:pPr>
    </w:p>
    <w:p>
      <w:pPr>
        <w:pStyle w:val="Heading1"/>
        <w:spacing w:before="77"/>
        <w:ind w:left="616"/>
      </w:pPr>
      <w:r>
        <w:rPr/>
        <w:t>Its effects</w:t>
      </w:r>
    </w:p>
    <w:p>
      <w:pPr>
        <w:pStyle w:val="BodyText"/>
        <w:spacing w:line="276" w:lineRule="auto" w:before="299"/>
        <w:ind w:left="616" w:right="133"/>
        <w:jc w:val="both"/>
      </w:pPr>
      <w:r>
        <w:rPr/>
        <w:t>Hericium is largely effective in the gastro-intestinal tract. According to TCM (traditional Chinese medicine), monkey head is particularly good for five or- gans:</w:t>
      </w:r>
    </w:p>
    <w:p>
      <w:pPr>
        <w:pStyle w:val="ListParagraph"/>
        <w:numPr>
          <w:ilvl w:val="0"/>
          <w:numId w:val="120"/>
        </w:numPr>
        <w:tabs>
          <w:tab w:pos="1032" w:val="left" w:leader="none"/>
        </w:tabs>
        <w:spacing w:line="240" w:lineRule="auto" w:before="200" w:after="0"/>
        <w:ind w:left="899" w:right="0" w:hanging="283"/>
        <w:jc w:val="both"/>
        <w:rPr>
          <w:sz w:val="38"/>
        </w:rPr>
      </w:pPr>
      <w:r>
        <w:rPr>
          <w:sz w:val="38"/>
        </w:rPr>
        <w:t>Liver</w:t>
      </w:r>
    </w:p>
    <w:p>
      <w:pPr>
        <w:pStyle w:val="ListParagraph"/>
        <w:numPr>
          <w:ilvl w:val="0"/>
          <w:numId w:val="120"/>
        </w:numPr>
        <w:tabs>
          <w:tab w:pos="1032" w:val="left" w:leader="none"/>
        </w:tabs>
        <w:spacing w:line="240" w:lineRule="auto" w:before="102" w:after="0"/>
        <w:ind w:left="899" w:right="0" w:hanging="283"/>
        <w:jc w:val="both"/>
        <w:rPr>
          <w:sz w:val="38"/>
        </w:rPr>
      </w:pPr>
      <w:r>
        <w:rPr>
          <w:sz w:val="38"/>
        </w:rPr>
        <w:t>Kidneys</w:t>
      </w:r>
    </w:p>
    <w:p>
      <w:pPr>
        <w:pStyle w:val="ListParagraph"/>
        <w:numPr>
          <w:ilvl w:val="0"/>
          <w:numId w:val="120"/>
        </w:numPr>
        <w:tabs>
          <w:tab w:pos="1032" w:val="left" w:leader="none"/>
        </w:tabs>
        <w:spacing w:line="240" w:lineRule="auto" w:before="105" w:after="0"/>
        <w:ind w:left="899" w:right="0" w:hanging="283"/>
        <w:jc w:val="both"/>
        <w:rPr>
          <w:sz w:val="38"/>
        </w:rPr>
      </w:pPr>
      <w:r>
        <w:rPr>
          <w:sz w:val="38"/>
        </w:rPr>
        <w:t>Spleen</w:t>
      </w:r>
    </w:p>
    <w:p>
      <w:pPr>
        <w:pStyle w:val="ListParagraph"/>
        <w:numPr>
          <w:ilvl w:val="0"/>
          <w:numId w:val="120"/>
        </w:numPr>
        <w:tabs>
          <w:tab w:pos="1032" w:val="left" w:leader="none"/>
        </w:tabs>
        <w:spacing w:line="240" w:lineRule="auto" w:before="104" w:after="0"/>
        <w:ind w:left="899" w:right="0" w:hanging="283"/>
        <w:jc w:val="both"/>
        <w:rPr>
          <w:sz w:val="38"/>
        </w:rPr>
      </w:pPr>
      <w:r>
        <w:rPr>
          <w:sz w:val="38"/>
        </w:rPr>
        <w:t>Stomach</w:t>
      </w:r>
    </w:p>
    <w:p>
      <w:pPr>
        <w:pStyle w:val="ListParagraph"/>
        <w:numPr>
          <w:ilvl w:val="0"/>
          <w:numId w:val="120"/>
        </w:numPr>
        <w:tabs>
          <w:tab w:pos="1032" w:val="left" w:leader="none"/>
        </w:tabs>
        <w:spacing w:line="240" w:lineRule="auto" w:before="105" w:after="0"/>
        <w:ind w:left="899" w:right="0" w:hanging="283"/>
        <w:jc w:val="both"/>
        <w:rPr>
          <w:sz w:val="38"/>
        </w:rPr>
      </w:pPr>
      <w:r>
        <w:rPr>
          <w:sz w:val="38"/>
        </w:rPr>
        <w:t>Heart</w:t>
      </w:r>
    </w:p>
    <w:p>
      <w:pPr>
        <w:pStyle w:val="BodyText"/>
        <w:spacing w:line="276" w:lineRule="auto" w:before="304"/>
        <w:ind w:left="616" w:right="135"/>
        <w:jc w:val="both"/>
      </w:pPr>
      <w:r>
        <w:rPr/>
        <w:t>Monkey head also has antimicrobial ingredients which inhibit helicobacter</w:t>
      </w:r>
      <w:r>
        <w:rPr>
          <w:spacing w:val="-55"/>
        </w:rPr>
        <w:t> </w:t>
      </w:r>
      <w:r>
        <w:rPr/>
        <w:t>py- lori,</w:t>
      </w:r>
      <w:r>
        <w:rPr>
          <w:spacing w:val="-21"/>
        </w:rPr>
        <w:t> </w:t>
      </w:r>
      <w:r>
        <w:rPr/>
        <w:t>for</w:t>
      </w:r>
      <w:r>
        <w:rPr>
          <w:spacing w:val="-19"/>
        </w:rPr>
        <w:t> </w:t>
      </w:r>
      <w:r>
        <w:rPr/>
        <w:t>example,</w:t>
      </w:r>
      <w:r>
        <w:rPr>
          <w:spacing w:val="-21"/>
        </w:rPr>
        <w:t> </w:t>
      </w:r>
      <w:r>
        <w:rPr/>
        <w:t>which</w:t>
      </w:r>
      <w:r>
        <w:rPr>
          <w:spacing w:val="-19"/>
        </w:rPr>
        <w:t> </w:t>
      </w:r>
      <w:r>
        <w:rPr/>
        <w:t>triggers</w:t>
      </w:r>
      <w:r>
        <w:rPr>
          <w:spacing w:val="-20"/>
        </w:rPr>
        <w:t> </w:t>
      </w:r>
      <w:r>
        <w:rPr/>
        <w:t>medical</w:t>
      </w:r>
      <w:r>
        <w:rPr>
          <w:spacing w:val="-22"/>
        </w:rPr>
        <w:t> </w:t>
      </w:r>
      <w:r>
        <w:rPr/>
        <w:t>conditions</w:t>
      </w:r>
      <w:r>
        <w:rPr>
          <w:spacing w:val="-19"/>
        </w:rPr>
        <w:t> </w:t>
      </w:r>
      <w:r>
        <w:rPr/>
        <w:t>such</w:t>
      </w:r>
      <w:r>
        <w:rPr>
          <w:spacing w:val="-21"/>
        </w:rPr>
        <w:t> </w:t>
      </w:r>
      <w:r>
        <w:rPr/>
        <w:t>as</w:t>
      </w:r>
      <w:r>
        <w:rPr>
          <w:spacing w:val="-20"/>
        </w:rPr>
        <w:t> </w:t>
      </w:r>
      <w:r>
        <w:rPr/>
        <w:t>stomach</w:t>
      </w:r>
      <w:r>
        <w:rPr>
          <w:spacing w:val="-19"/>
        </w:rPr>
        <w:t> </w:t>
      </w:r>
      <w:r>
        <w:rPr/>
        <w:t>ulcers</w:t>
      </w:r>
      <w:r>
        <w:rPr>
          <w:spacing w:val="-21"/>
        </w:rPr>
        <w:t> </w:t>
      </w:r>
      <w:r>
        <w:rPr/>
        <w:t>and diseases like stomach</w:t>
      </w:r>
      <w:r>
        <w:rPr>
          <w:spacing w:val="1"/>
        </w:rPr>
        <w:t> </w:t>
      </w:r>
      <w:r>
        <w:rPr/>
        <w:t>cancer.</w:t>
      </w:r>
    </w:p>
    <w:p>
      <w:pPr>
        <w:pStyle w:val="Heading1"/>
        <w:ind w:left="616"/>
        <w:jc w:val="both"/>
      </w:pPr>
      <w:r>
        <w:rPr/>
        <w:t>Specific effects of Hericum in</w:t>
      </w:r>
      <w:r>
        <w:rPr>
          <w:spacing w:val="-52"/>
        </w:rPr>
        <w:t> </w:t>
      </w:r>
      <w:r>
        <w:rPr/>
        <w:t>diseases</w:t>
      </w:r>
    </w:p>
    <w:p>
      <w:pPr>
        <w:pStyle w:val="BodyText"/>
        <w:spacing w:before="300"/>
        <w:ind w:left="616"/>
        <w:jc w:val="both"/>
      </w:pPr>
      <w:r>
        <w:rPr/>
        <w:t>Hericum is often applied in the following diseases and medical conditions:</w:t>
      </w:r>
    </w:p>
    <w:p>
      <w:pPr>
        <w:pStyle w:val="ListParagraph"/>
        <w:numPr>
          <w:ilvl w:val="0"/>
          <w:numId w:val="120"/>
        </w:numPr>
        <w:tabs>
          <w:tab w:pos="1032" w:val="left" w:leader="none"/>
        </w:tabs>
        <w:spacing w:line="240" w:lineRule="auto" w:before="262" w:after="0"/>
        <w:ind w:left="899" w:right="0" w:hanging="283"/>
        <w:jc w:val="both"/>
        <w:rPr>
          <w:sz w:val="38"/>
        </w:rPr>
      </w:pPr>
      <w:r>
        <w:rPr>
          <w:sz w:val="38"/>
        </w:rPr>
        <w:t>Stomach</w:t>
      </w:r>
      <w:r>
        <w:rPr>
          <w:spacing w:val="-2"/>
          <w:sz w:val="38"/>
        </w:rPr>
        <w:t> </w:t>
      </w:r>
      <w:r>
        <w:rPr>
          <w:sz w:val="38"/>
        </w:rPr>
        <w:t>ulcers</w:t>
      </w:r>
    </w:p>
    <w:p>
      <w:pPr>
        <w:pStyle w:val="ListParagraph"/>
        <w:numPr>
          <w:ilvl w:val="0"/>
          <w:numId w:val="120"/>
        </w:numPr>
        <w:tabs>
          <w:tab w:pos="1032" w:val="left" w:leader="none"/>
        </w:tabs>
        <w:spacing w:line="240" w:lineRule="auto" w:before="126" w:after="0"/>
        <w:ind w:left="899" w:right="0" w:hanging="283"/>
        <w:jc w:val="both"/>
        <w:rPr>
          <w:sz w:val="38"/>
        </w:rPr>
      </w:pPr>
      <w:r>
        <w:rPr>
          <w:sz w:val="38"/>
        </w:rPr>
        <w:t>Inflammation of the stomach lining</w:t>
      </w:r>
    </w:p>
    <w:p>
      <w:pPr>
        <w:pStyle w:val="ListParagraph"/>
        <w:numPr>
          <w:ilvl w:val="0"/>
          <w:numId w:val="120"/>
        </w:numPr>
        <w:tabs>
          <w:tab w:pos="1032" w:val="left" w:leader="none"/>
        </w:tabs>
        <w:spacing w:line="240" w:lineRule="auto" w:before="124" w:after="0"/>
        <w:ind w:left="899" w:right="0" w:hanging="283"/>
        <w:jc w:val="both"/>
        <w:rPr>
          <w:sz w:val="38"/>
        </w:rPr>
      </w:pPr>
      <w:r>
        <w:rPr>
          <w:sz w:val="38"/>
        </w:rPr>
        <w:t>Inflammation of the oesophagus mucosa</w:t>
      </w:r>
    </w:p>
    <w:p>
      <w:pPr>
        <w:pStyle w:val="ListParagraph"/>
        <w:numPr>
          <w:ilvl w:val="0"/>
          <w:numId w:val="120"/>
        </w:numPr>
        <w:tabs>
          <w:tab w:pos="1032" w:val="left" w:leader="none"/>
        </w:tabs>
        <w:spacing w:line="240" w:lineRule="auto" w:before="124" w:after="0"/>
        <w:ind w:left="899" w:right="0" w:hanging="283"/>
        <w:jc w:val="both"/>
        <w:rPr>
          <w:sz w:val="38"/>
        </w:rPr>
      </w:pPr>
      <w:r>
        <w:rPr>
          <w:sz w:val="38"/>
        </w:rPr>
        <w:t>Inflammation of the</w:t>
      </w:r>
      <w:r>
        <w:rPr>
          <w:spacing w:val="1"/>
          <w:sz w:val="38"/>
        </w:rPr>
        <w:t> </w:t>
      </w:r>
      <w:r>
        <w:rPr>
          <w:sz w:val="38"/>
        </w:rPr>
        <w:t>pancreas</w:t>
      </w:r>
    </w:p>
    <w:p>
      <w:pPr>
        <w:pStyle w:val="ListParagraph"/>
        <w:numPr>
          <w:ilvl w:val="0"/>
          <w:numId w:val="120"/>
        </w:numPr>
        <w:tabs>
          <w:tab w:pos="1032" w:val="left" w:leader="none"/>
        </w:tabs>
        <w:spacing w:line="240" w:lineRule="auto" w:before="124" w:after="0"/>
        <w:ind w:left="899" w:right="0" w:hanging="283"/>
        <w:jc w:val="both"/>
        <w:rPr>
          <w:sz w:val="38"/>
        </w:rPr>
      </w:pPr>
      <w:r>
        <w:rPr>
          <w:sz w:val="38"/>
        </w:rPr>
        <w:t>Reflux</w:t>
      </w:r>
    </w:p>
    <w:p>
      <w:pPr>
        <w:pStyle w:val="ListParagraph"/>
        <w:numPr>
          <w:ilvl w:val="0"/>
          <w:numId w:val="120"/>
        </w:numPr>
        <w:tabs>
          <w:tab w:pos="1032" w:val="left" w:leader="none"/>
        </w:tabs>
        <w:spacing w:line="240" w:lineRule="auto" w:before="124" w:after="0"/>
        <w:ind w:left="899" w:right="0" w:hanging="283"/>
        <w:jc w:val="both"/>
        <w:rPr>
          <w:sz w:val="38"/>
        </w:rPr>
      </w:pPr>
      <w:r>
        <w:rPr>
          <w:sz w:val="38"/>
        </w:rPr>
        <w:t>Heartburn</w:t>
      </w:r>
    </w:p>
    <w:p>
      <w:pPr>
        <w:spacing w:after="0" w:line="240" w:lineRule="auto"/>
        <w:jc w:val="both"/>
        <w:rPr>
          <w:sz w:val="38"/>
        </w:rPr>
        <w:sectPr>
          <w:pgSz w:w="14270" w:h="16850"/>
          <w:pgMar w:header="0" w:footer="1891" w:top="1320" w:bottom="2080" w:left="800" w:right="1280"/>
        </w:sectPr>
      </w:pPr>
    </w:p>
    <w:p>
      <w:pPr>
        <w:pStyle w:val="ListParagraph"/>
        <w:numPr>
          <w:ilvl w:val="0"/>
          <w:numId w:val="120"/>
        </w:numPr>
        <w:tabs>
          <w:tab w:pos="1031" w:val="left" w:leader="none"/>
          <w:tab w:pos="1032" w:val="left" w:leader="none"/>
        </w:tabs>
        <w:spacing w:line="240" w:lineRule="auto" w:before="53" w:after="0"/>
        <w:ind w:left="899" w:right="0" w:hanging="283"/>
        <w:jc w:val="left"/>
        <w:rPr>
          <w:sz w:val="38"/>
        </w:rPr>
      </w:pPr>
      <w:r>
        <w:rPr>
          <w:sz w:val="38"/>
        </w:rPr>
        <w:t>Indigestion</w:t>
      </w:r>
    </w:p>
    <w:p>
      <w:pPr>
        <w:pStyle w:val="ListParagraph"/>
        <w:numPr>
          <w:ilvl w:val="0"/>
          <w:numId w:val="120"/>
        </w:numPr>
        <w:tabs>
          <w:tab w:pos="1031" w:val="left" w:leader="none"/>
          <w:tab w:pos="1032" w:val="left" w:leader="none"/>
        </w:tabs>
        <w:spacing w:line="240" w:lineRule="auto" w:before="126" w:after="0"/>
        <w:ind w:left="899" w:right="0" w:hanging="283"/>
        <w:jc w:val="left"/>
        <w:rPr>
          <w:sz w:val="38"/>
        </w:rPr>
      </w:pPr>
      <w:r>
        <w:rPr>
          <w:sz w:val="38"/>
        </w:rPr>
        <w:t>Acidification</w:t>
      </w:r>
    </w:p>
    <w:p>
      <w:pPr>
        <w:pStyle w:val="ListParagraph"/>
        <w:numPr>
          <w:ilvl w:val="0"/>
          <w:numId w:val="120"/>
        </w:numPr>
        <w:tabs>
          <w:tab w:pos="1031" w:val="left" w:leader="none"/>
          <w:tab w:pos="1032" w:val="left" w:leader="none"/>
        </w:tabs>
        <w:spacing w:line="240" w:lineRule="auto" w:before="124" w:after="0"/>
        <w:ind w:left="899" w:right="0" w:hanging="283"/>
        <w:jc w:val="left"/>
        <w:rPr>
          <w:sz w:val="38"/>
        </w:rPr>
      </w:pPr>
      <w:r>
        <w:rPr>
          <w:sz w:val="38"/>
        </w:rPr>
        <w:t>Crohn's disease</w:t>
      </w:r>
    </w:p>
    <w:p>
      <w:pPr>
        <w:pStyle w:val="ListParagraph"/>
        <w:numPr>
          <w:ilvl w:val="0"/>
          <w:numId w:val="120"/>
        </w:numPr>
        <w:tabs>
          <w:tab w:pos="1031" w:val="left" w:leader="none"/>
          <w:tab w:pos="1032" w:val="left" w:leader="none"/>
        </w:tabs>
        <w:spacing w:line="240" w:lineRule="auto" w:before="124" w:after="0"/>
        <w:ind w:left="899" w:right="0" w:hanging="283"/>
        <w:jc w:val="left"/>
        <w:rPr>
          <w:sz w:val="38"/>
        </w:rPr>
      </w:pPr>
      <w:r>
        <w:rPr>
          <w:sz w:val="38"/>
        </w:rPr>
        <w:t>Cancer</w:t>
      </w:r>
    </w:p>
    <w:p>
      <w:pPr>
        <w:pStyle w:val="ListParagraph"/>
        <w:numPr>
          <w:ilvl w:val="0"/>
          <w:numId w:val="120"/>
        </w:numPr>
        <w:tabs>
          <w:tab w:pos="1031" w:val="left" w:leader="none"/>
          <w:tab w:pos="1032" w:val="left" w:leader="none"/>
        </w:tabs>
        <w:spacing w:line="240" w:lineRule="auto" w:before="123" w:after="0"/>
        <w:ind w:left="899" w:right="0" w:hanging="283"/>
        <w:jc w:val="left"/>
        <w:rPr>
          <w:sz w:val="38"/>
        </w:rPr>
      </w:pPr>
      <w:r>
        <w:rPr>
          <w:sz w:val="38"/>
        </w:rPr>
        <w:t>Reduces the side-effects of</w:t>
      </w:r>
      <w:r>
        <w:rPr>
          <w:spacing w:val="1"/>
          <w:sz w:val="38"/>
        </w:rPr>
        <w:t> </w:t>
      </w:r>
      <w:r>
        <w:rPr>
          <w:sz w:val="38"/>
        </w:rPr>
        <w:t>chemotherapy</w:t>
      </w:r>
    </w:p>
    <w:p>
      <w:pPr>
        <w:pStyle w:val="ListParagraph"/>
        <w:numPr>
          <w:ilvl w:val="0"/>
          <w:numId w:val="120"/>
        </w:numPr>
        <w:tabs>
          <w:tab w:pos="1031" w:val="left" w:leader="none"/>
          <w:tab w:pos="1032" w:val="left" w:leader="none"/>
        </w:tabs>
        <w:spacing w:line="240" w:lineRule="auto" w:before="124" w:after="0"/>
        <w:ind w:left="899" w:right="0" w:hanging="283"/>
        <w:jc w:val="left"/>
        <w:rPr>
          <w:sz w:val="38"/>
        </w:rPr>
      </w:pPr>
      <w:r>
        <w:rPr>
          <w:sz w:val="38"/>
        </w:rPr>
        <w:t>Menopausal</w:t>
      </w:r>
      <w:r>
        <w:rPr>
          <w:spacing w:val="-2"/>
          <w:sz w:val="38"/>
        </w:rPr>
        <w:t> </w:t>
      </w:r>
      <w:r>
        <w:rPr>
          <w:sz w:val="38"/>
        </w:rPr>
        <w:t>complaints</w:t>
      </w:r>
    </w:p>
    <w:p>
      <w:pPr>
        <w:pStyle w:val="ListParagraph"/>
        <w:numPr>
          <w:ilvl w:val="0"/>
          <w:numId w:val="120"/>
        </w:numPr>
        <w:tabs>
          <w:tab w:pos="1031" w:val="left" w:leader="none"/>
          <w:tab w:pos="1032" w:val="left" w:leader="none"/>
        </w:tabs>
        <w:spacing w:line="240" w:lineRule="auto" w:before="126" w:after="0"/>
        <w:ind w:left="899" w:right="0" w:hanging="283"/>
        <w:jc w:val="left"/>
        <w:rPr>
          <w:sz w:val="38"/>
        </w:rPr>
      </w:pPr>
      <w:r>
        <w:rPr>
          <w:sz w:val="38"/>
        </w:rPr>
        <w:t>Colitis</w:t>
      </w:r>
      <w:r>
        <w:rPr>
          <w:spacing w:val="1"/>
          <w:sz w:val="38"/>
        </w:rPr>
        <w:t> </w:t>
      </w:r>
      <w:r>
        <w:rPr>
          <w:sz w:val="38"/>
        </w:rPr>
        <w:t>ulcerosa</w:t>
      </w:r>
    </w:p>
    <w:p>
      <w:pPr>
        <w:pStyle w:val="ListParagraph"/>
        <w:numPr>
          <w:ilvl w:val="0"/>
          <w:numId w:val="120"/>
        </w:numPr>
        <w:tabs>
          <w:tab w:pos="1031" w:val="left" w:leader="none"/>
          <w:tab w:pos="1032" w:val="left" w:leader="none"/>
        </w:tabs>
        <w:spacing w:line="240" w:lineRule="auto" w:before="124" w:after="0"/>
        <w:ind w:left="899" w:right="0" w:hanging="283"/>
        <w:jc w:val="left"/>
        <w:rPr>
          <w:sz w:val="38"/>
        </w:rPr>
      </w:pPr>
      <w:r>
        <w:rPr>
          <w:sz w:val="38"/>
        </w:rPr>
        <w:t>Eczema</w:t>
      </w:r>
    </w:p>
    <w:p>
      <w:pPr>
        <w:pStyle w:val="ListParagraph"/>
        <w:numPr>
          <w:ilvl w:val="0"/>
          <w:numId w:val="120"/>
        </w:numPr>
        <w:tabs>
          <w:tab w:pos="1031" w:val="left" w:leader="none"/>
          <w:tab w:pos="1032" w:val="left" w:leader="none"/>
        </w:tabs>
        <w:spacing w:line="240" w:lineRule="auto" w:before="124" w:after="0"/>
        <w:ind w:left="899" w:right="0" w:hanging="283"/>
        <w:jc w:val="left"/>
        <w:rPr>
          <w:sz w:val="38"/>
        </w:rPr>
      </w:pPr>
      <w:r>
        <w:rPr>
          <w:sz w:val="38"/>
        </w:rPr>
        <w:t>Haemorrhoids</w:t>
      </w:r>
    </w:p>
    <w:p>
      <w:pPr>
        <w:pStyle w:val="ListParagraph"/>
        <w:numPr>
          <w:ilvl w:val="0"/>
          <w:numId w:val="120"/>
        </w:numPr>
        <w:tabs>
          <w:tab w:pos="1031" w:val="left" w:leader="none"/>
          <w:tab w:pos="1032" w:val="left" w:leader="none"/>
        </w:tabs>
        <w:spacing w:line="240" w:lineRule="auto" w:before="123" w:after="0"/>
        <w:ind w:left="899" w:right="0" w:hanging="283"/>
        <w:jc w:val="left"/>
        <w:rPr>
          <w:sz w:val="38"/>
        </w:rPr>
      </w:pPr>
      <w:r>
        <w:rPr>
          <w:sz w:val="38"/>
        </w:rPr>
        <w:t>Immunodeficiency</w:t>
      </w:r>
    </w:p>
    <w:p>
      <w:pPr>
        <w:pStyle w:val="ListParagraph"/>
        <w:numPr>
          <w:ilvl w:val="0"/>
          <w:numId w:val="120"/>
        </w:numPr>
        <w:tabs>
          <w:tab w:pos="1031" w:val="left" w:leader="none"/>
          <w:tab w:pos="1032" w:val="left" w:leader="none"/>
        </w:tabs>
        <w:spacing w:line="240" w:lineRule="auto" w:before="126" w:after="0"/>
        <w:ind w:left="899" w:right="0" w:hanging="283"/>
        <w:jc w:val="left"/>
        <w:rPr>
          <w:sz w:val="38"/>
        </w:rPr>
      </w:pPr>
      <w:r>
        <w:rPr>
          <w:sz w:val="38"/>
        </w:rPr>
        <w:t>Depressive states</w:t>
      </w:r>
    </w:p>
    <w:p>
      <w:pPr>
        <w:pStyle w:val="ListParagraph"/>
        <w:numPr>
          <w:ilvl w:val="0"/>
          <w:numId w:val="120"/>
        </w:numPr>
        <w:tabs>
          <w:tab w:pos="1031" w:val="left" w:leader="none"/>
          <w:tab w:pos="1032" w:val="left" w:leader="none"/>
        </w:tabs>
        <w:spacing w:line="240" w:lineRule="auto" w:before="124" w:after="0"/>
        <w:ind w:left="899" w:right="0" w:hanging="283"/>
        <w:jc w:val="left"/>
        <w:rPr>
          <w:sz w:val="38"/>
        </w:rPr>
      </w:pPr>
      <w:r>
        <w:rPr>
          <w:sz w:val="38"/>
        </w:rPr>
        <w:t>Depression</w:t>
      </w:r>
    </w:p>
    <w:p>
      <w:pPr>
        <w:pStyle w:val="ListParagraph"/>
        <w:numPr>
          <w:ilvl w:val="0"/>
          <w:numId w:val="120"/>
        </w:numPr>
        <w:tabs>
          <w:tab w:pos="1031" w:val="left" w:leader="none"/>
          <w:tab w:pos="1032" w:val="left" w:leader="none"/>
        </w:tabs>
        <w:spacing w:line="240" w:lineRule="auto" w:before="124" w:after="0"/>
        <w:ind w:left="899" w:right="0" w:hanging="283"/>
        <w:jc w:val="left"/>
        <w:rPr>
          <w:sz w:val="38"/>
        </w:rPr>
      </w:pPr>
      <w:r>
        <w:rPr>
          <w:sz w:val="38"/>
        </w:rPr>
        <w:t>Neurological</w:t>
      </w:r>
      <w:r>
        <w:rPr>
          <w:spacing w:val="-2"/>
          <w:sz w:val="38"/>
        </w:rPr>
        <w:t> </w:t>
      </w:r>
      <w:r>
        <w:rPr>
          <w:sz w:val="38"/>
        </w:rPr>
        <w:t>diseases</w:t>
      </w:r>
    </w:p>
    <w:p>
      <w:pPr>
        <w:pStyle w:val="ListParagraph"/>
        <w:numPr>
          <w:ilvl w:val="0"/>
          <w:numId w:val="120"/>
        </w:numPr>
        <w:tabs>
          <w:tab w:pos="1031" w:val="left" w:leader="none"/>
          <w:tab w:pos="1032" w:val="left" w:leader="none"/>
        </w:tabs>
        <w:spacing w:line="240" w:lineRule="auto" w:before="124" w:after="0"/>
        <w:ind w:left="899" w:right="0" w:hanging="283"/>
        <w:jc w:val="left"/>
        <w:rPr>
          <w:sz w:val="38"/>
        </w:rPr>
      </w:pPr>
      <w:r>
        <w:rPr>
          <w:sz w:val="38"/>
        </w:rPr>
        <w:t>Alzheimer’s</w:t>
      </w:r>
    </w:p>
    <w:p>
      <w:pPr>
        <w:pStyle w:val="ListParagraph"/>
        <w:numPr>
          <w:ilvl w:val="0"/>
          <w:numId w:val="120"/>
        </w:numPr>
        <w:tabs>
          <w:tab w:pos="1031" w:val="left" w:leader="none"/>
          <w:tab w:pos="1032" w:val="left" w:leader="none"/>
        </w:tabs>
        <w:spacing w:line="240" w:lineRule="auto" w:before="123" w:after="0"/>
        <w:ind w:left="899" w:right="0" w:hanging="283"/>
        <w:jc w:val="left"/>
        <w:rPr>
          <w:sz w:val="38"/>
        </w:rPr>
      </w:pPr>
      <w:r>
        <w:rPr>
          <w:sz w:val="38"/>
        </w:rPr>
        <w:t>Polyneuropathy</w:t>
      </w:r>
    </w:p>
    <w:p>
      <w:pPr>
        <w:pStyle w:val="ListParagraph"/>
        <w:numPr>
          <w:ilvl w:val="0"/>
          <w:numId w:val="120"/>
        </w:numPr>
        <w:tabs>
          <w:tab w:pos="1031" w:val="left" w:leader="none"/>
          <w:tab w:pos="1032" w:val="left" w:leader="none"/>
        </w:tabs>
        <w:spacing w:line="240" w:lineRule="auto" w:before="126" w:after="0"/>
        <w:ind w:left="899" w:right="0" w:hanging="283"/>
        <w:jc w:val="left"/>
        <w:rPr>
          <w:sz w:val="38"/>
        </w:rPr>
      </w:pPr>
      <w:r>
        <w:rPr>
          <w:sz w:val="38"/>
        </w:rPr>
        <w:t>Excess</w:t>
      </w:r>
      <w:r>
        <w:rPr>
          <w:spacing w:val="-2"/>
          <w:sz w:val="38"/>
        </w:rPr>
        <w:t> </w:t>
      </w:r>
      <w:r>
        <w:rPr>
          <w:sz w:val="38"/>
        </w:rPr>
        <w:t>weight</w:t>
      </w:r>
    </w:p>
    <w:p>
      <w:pPr>
        <w:pStyle w:val="ListParagraph"/>
        <w:numPr>
          <w:ilvl w:val="0"/>
          <w:numId w:val="120"/>
        </w:numPr>
        <w:tabs>
          <w:tab w:pos="1031" w:val="left" w:leader="none"/>
          <w:tab w:pos="1032" w:val="left" w:leader="none"/>
        </w:tabs>
        <w:spacing w:line="240" w:lineRule="auto" w:before="124" w:after="0"/>
        <w:ind w:left="899" w:right="0" w:hanging="283"/>
        <w:jc w:val="left"/>
        <w:rPr>
          <w:sz w:val="38"/>
        </w:rPr>
      </w:pPr>
      <w:r>
        <w:rPr>
          <w:sz w:val="38"/>
        </w:rPr>
        <w:t>Intestinal flora</w:t>
      </w:r>
      <w:r>
        <w:rPr>
          <w:spacing w:val="-1"/>
          <w:sz w:val="38"/>
        </w:rPr>
        <w:t> </w:t>
      </w:r>
      <w:r>
        <w:rPr>
          <w:sz w:val="38"/>
        </w:rPr>
        <w:t>disruption</w:t>
      </w:r>
    </w:p>
    <w:p>
      <w:pPr>
        <w:pStyle w:val="Heading1"/>
        <w:spacing w:before="287"/>
        <w:ind w:left="616"/>
      </w:pPr>
      <w:r>
        <w:rPr/>
        <w:t>Effect of Hericium on cancer/tumours</w:t>
      </w:r>
    </w:p>
    <w:p>
      <w:pPr>
        <w:pStyle w:val="BodyText"/>
        <w:spacing w:line="278" w:lineRule="auto" w:before="298"/>
        <w:ind w:left="616" w:right="244"/>
      </w:pPr>
      <w:r>
        <w:rPr/>
        <w:t>The monkey head demonstrated an anti-tumour effect in the following types of cancer:</w:t>
      </w:r>
    </w:p>
    <w:p>
      <w:pPr>
        <w:spacing w:after="0" w:line="278" w:lineRule="auto"/>
        <w:sectPr>
          <w:footerReference w:type="default" r:id="rId447"/>
          <w:pgSz w:w="14270" w:h="16850"/>
          <w:pgMar w:footer="1891" w:header="0" w:top="1360" w:bottom="2080" w:left="800" w:right="1280"/>
          <w:pgNumType w:start="1710"/>
        </w:sectPr>
      </w:pPr>
    </w:p>
    <w:p>
      <w:pPr>
        <w:pStyle w:val="ListParagraph"/>
        <w:numPr>
          <w:ilvl w:val="0"/>
          <w:numId w:val="120"/>
        </w:numPr>
        <w:tabs>
          <w:tab w:pos="1031" w:val="left" w:leader="none"/>
          <w:tab w:pos="1032" w:val="left" w:leader="none"/>
        </w:tabs>
        <w:spacing w:line="240" w:lineRule="auto" w:before="53" w:after="0"/>
        <w:ind w:left="899" w:right="0" w:hanging="283"/>
        <w:jc w:val="left"/>
        <w:rPr>
          <w:sz w:val="38"/>
        </w:rPr>
      </w:pPr>
      <w:r>
        <w:rPr>
          <w:sz w:val="38"/>
        </w:rPr>
        <w:t>Stomach</w:t>
      </w:r>
      <w:r>
        <w:rPr>
          <w:spacing w:val="-2"/>
          <w:sz w:val="38"/>
        </w:rPr>
        <w:t> </w:t>
      </w:r>
      <w:r>
        <w:rPr>
          <w:sz w:val="38"/>
        </w:rPr>
        <w:t>cancer</w:t>
      </w:r>
    </w:p>
    <w:p>
      <w:pPr>
        <w:pStyle w:val="ListParagraph"/>
        <w:numPr>
          <w:ilvl w:val="0"/>
          <w:numId w:val="120"/>
        </w:numPr>
        <w:tabs>
          <w:tab w:pos="1031" w:val="left" w:leader="none"/>
          <w:tab w:pos="1032" w:val="left" w:leader="none"/>
        </w:tabs>
        <w:spacing w:line="240" w:lineRule="auto" w:before="126" w:after="0"/>
        <w:ind w:left="899" w:right="0" w:hanging="283"/>
        <w:jc w:val="left"/>
        <w:rPr>
          <w:sz w:val="38"/>
        </w:rPr>
      </w:pPr>
      <w:r>
        <w:rPr>
          <w:sz w:val="38"/>
        </w:rPr>
        <w:t>Pancreatic</w:t>
      </w:r>
      <w:r>
        <w:rPr>
          <w:spacing w:val="-1"/>
          <w:sz w:val="38"/>
        </w:rPr>
        <w:t> </w:t>
      </w:r>
      <w:r>
        <w:rPr>
          <w:sz w:val="38"/>
        </w:rPr>
        <w:t>cancer</w:t>
      </w:r>
    </w:p>
    <w:p>
      <w:pPr>
        <w:pStyle w:val="ListParagraph"/>
        <w:numPr>
          <w:ilvl w:val="0"/>
          <w:numId w:val="120"/>
        </w:numPr>
        <w:tabs>
          <w:tab w:pos="1031" w:val="left" w:leader="none"/>
          <w:tab w:pos="1032" w:val="left" w:leader="none"/>
        </w:tabs>
        <w:spacing w:line="240" w:lineRule="auto" w:before="124" w:after="0"/>
        <w:ind w:left="899" w:right="0" w:hanging="283"/>
        <w:jc w:val="left"/>
        <w:rPr>
          <w:sz w:val="38"/>
        </w:rPr>
      </w:pPr>
      <w:r>
        <w:rPr>
          <w:sz w:val="38"/>
        </w:rPr>
        <w:t>Oesophagus</w:t>
      </w:r>
      <w:r>
        <w:rPr>
          <w:spacing w:val="-1"/>
          <w:sz w:val="38"/>
        </w:rPr>
        <w:t> </w:t>
      </w:r>
      <w:r>
        <w:rPr>
          <w:sz w:val="38"/>
        </w:rPr>
        <w:t>cancer</w:t>
      </w:r>
    </w:p>
    <w:p>
      <w:pPr>
        <w:pStyle w:val="ListParagraph"/>
        <w:numPr>
          <w:ilvl w:val="0"/>
          <w:numId w:val="120"/>
        </w:numPr>
        <w:tabs>
          <w:tab w:pos="1031" w:val="left" w:leader="none"/>
          <w:tab w:pos="1032" w:val="left" w:leader="none"/>
        </w:tabs>
        <w:spacing w:line="240" w:lineRule="auto" w:before="124" w:after="0"/>
        <w:ind w:left="899" w:right="0" w:hanging="283"/>
        <w:jc w:val="left"/>
        <w:rPr>
          <w:sz w:val="38"/>
        </w:rPr>
      </w:pPr>
      <w:r>
        <w:rPr>
          <w:sz w:val="38"/>
        </w:rPr>
        <w:t>Colon cancer</w:t>
      </w:r>
    </w:p>
    <w:p>
      <w:pPr>
        <w:pStyle w:val="ListParagraph"/>
        <w:numPr>
          <w:ilvl w:val="0"/>
          <w:numId w:val="120"/>
        </w:numPr>
        <w:tabs>
          <w:tab w:pos="1031" w:val="left" w:leader="none"/>
          <w:tab w:pos="1032" w:val="left" w:leader="none"/>
        </w:tabs>
        <w:spacing w:line="240" w:lineRule="auto" w:before="123" w:after="0"/>
        <w:ind w:left="899" w:right="0" w:hanging="283"/>
        <w:jc w:val="left"/>
        <w:rPr>
          <w:sz w:val="38"/>
        </w:rPr>
      </w:pPr>
      <w:r>
        <w:rPr>
          <w:sz w:val="38"/>
        </w:rPr>
        <w:t>Skin</w:t>
      </w:r>
      <w:r>
        <w:rPr>
          <w:spacing w:val="-2"/>
          <w:sz w:val="38"/>
        </w:rPr>
        <w:t> </w:t>
      </w:r>
      <w:r>
        <w:rPr>
          <w:sz w:val="38"/>
        </w:rPr>
        <w:t>cancer</w:t>
      </w:r>
    </w:p>
    <w:p>
      <w:pPr>
        <w:pStyle w:val="ListParagraph"/>
        <w:numPr>
          <w:ilvl w:val="0"/>
          <w:numId w:val="120"/>
        </w:numPr>
        <w:tabs>
          <w:tab w:pos="1031" w:val="left" w:leader="none"/>
          <w:tab w:pos="1032" w:val="left" w:leader="none"/>
        </w:tabs>
        <w:spacing w:line="240" w:lineRule="auto" w:before="124" w:after="0"/>
        <w:ind w:left="899" w:right="0" w:hanging="283"/>
        <w:jc w:val="left"/>
        <w:rPr>
          <w:sz w:val="38"/>
        </w:rPr>
      </w:pPr>
      <w:r>
        <w:rPr>
          <w:sz w:val="38"/>
        </w:rPr>
        <w:t>Sarcoma (malignant tumour</w:t>
      </w:r>
      <w:r>
        <w:rPr>
          <w:spacing w:val="-2"/>
          <w:sz w:val="38"/>
        </w:rPr>
        <w:t> </w:t>
      </w:r>
      <w:r>
        <w:rPr>
          <w:sz w:val="38"/>
        </w:rPr>
        <w:t>sarcoma-180)</w:t>
      </w:r>
    </w:p>
    <w:p>
      <w:pPr>
        <w:pStyle w:val="ListParagraph"/>
        <w:numPr>
          <w:ilvl w:val="0"/>
          <w:numId w:val="120"/>
        </w:numPr>
        <w:tabs>
          <w:tab w:pos="1031" w:val="left" w:leader="none"/>
          <w:tab w:pos="1032" w:val="left" w:leader="none"/>
        </w:tabs>
        <w:spacing w:line="240" w:lineRule="auto" w:before="126" w:after="0"/>
        <w:ind w:left="899" w:right="0" w:hanging="283"/>
        <w:jc w:val="left"/>
        <w:rPr>
          <w:sz w:val="38"/>
        </w:rPr>
      </w:pPr>
      <w:r>
        <w:rPr>
          <w:sz w:val="38"/>
        </w:rPr>
        <w:t>Malignant ascites carcinoma</w:t>
      </w:r>
    </w:p>
    <w:p>
      <w:pPr>
        <w:pStyle w:val="Heading2"/>
        <w:spacing w:before="305"/>
        <w:ind w:left="616"/>
      </w:pPr>
      <w:r>
        <w:rPr/>
        <w:t>Scientific studies regarding the effects of Hericium</w:t>
      </w:r>
    </w:p>
    <w:p>
      <w:pPr>
        <w:spacing w:before="285"/>
        <w:ind w:left="616" w:right="0" w:firstLine="0"/>
        <w:jc w:val="left"/>
        <w:rPr>
          <w:b/>
          <w:i/>
          <w:sz w:val="40"/>
        </w:rPr>
      </w:pPr>
      <w:r>
        <w:rPr>
          <w:b/>
          <w:i/>
          <w:sz w:val="40"/>
        </w:rPr>
        <w:t>Monkey head reduces cholesterol and triglyceride levels</w:t>
      </w:r>
    </w:p>
    <w:p>
      <w:pPr>
        <w:pStyle w:val="BodyText"/>
        <w:spacing w:line="276" w:lineRule="auto" w:before="299"/>
        <w:ind w:left="616"/>
        <w:rPr>
          <w:sz w:val="25"/>
        </w:rPr>
      </w:pPr>
      <w:r>
        <w:rPr/>
        <w:t>In a study, the consumption of monkey head significantly reduced the choles- terol and triglyceride levels.</w:t>
      </w:r>
      <w:r>
        <w:rPr>
          <w:position w:val="9"/>
          <w:sz w:val="25"/>
        </w:rPr>
        <w:t>972</w:t>
      </w:r>
    </w:p>
    <w:p>
      <w:pPr>
        <w:pStyle w:val="Heading1"/>
        <w:spacing w:line="261" w:lineRule="auto"/>
        <w:ind w:left="616" w:right="135"/>
      </w:pPr>
      <w:r>
        <w:rPr/>
        <w:t>Study</w:t>
      </w:r>
      <w:r>
        <w:rPr>
          <w:spacing w:val="-18"/>
        </w:rPr>
        <w:t> </w:t>
      </w:r>
      <w:r>
        <w:rPr/>
        <w:t>regarding</w:t>
      </w:r>
      <w:r>
        <w:rPr>
          <w:spacing w:val="-16"/>
        </w:rPr>
        <w:t> </w:t>
      </w:r>
      <w:r>
        <w:rPr/>
        <w:t>the</w:t>
      </w:r>
      <w:r>
        <w:rPr>
          <w:spacing w:val="-18"/>
        </w:rPr>
        <w:t> </w:t>
      </w:r>
      <w:r>
        <w:rPr/>
        <w:t>immune</w:t>
      </w:r>
      <w:r>
        <w:rPr>
          <w:spacing w:val="-16"/>
        </w:rPr>
        <w:t> </w:t>
      </w:r>
      <w:r>
        <w:rPr/>
        <w:t>system-strengthening</w:t>
      </w:r>
      <w:r>
        <w:rPr>
          <w:spacing w:val="-17"/>
        </w:rPr>
        <w:t> </w:t>
      </w:r>
      <w:r>
        <w:rPr/>
        <w:t>effect</w:t>
      </w:r>
      <w:r>
        <w:rPr>
          <w:spacing w:val="-17"/>
        </w:rPr>
        <w:t> </w:t>
      </w:r>
      <w:r>
        <w:rPr/>
        <w:t>of</w:t>
      </w:r>
      <w:r>
        <w:rPr>
          <w:spacing w:val="-18"/>
        </w:rPr>
        <w:t> </w:t>
      </w:r>
      <w:r>
        <w:rPr/>
        <w:t>bearded tooth</w:t>
      </w:r>
    </w:p>
    <w:p>
      <w:pPr>
        <w:pStyle w:val="BodyText"/>
        <w:spacing w:line="278" w:lineRule="auto" w:before="258"/>
        <w:ind w:left="616"/>
        <w:rPr>
          <w:sz w:val="25"/>
        </w:rPr>
      </w:pPr>
      <w:r>
        <w:rPr/>
        <w:t>The immune system is strengthened and the body’s own defence is increased due to the increase in the proliferation of T and B lymphocytes.</w:t>
      </w:r>
      <w:r>
        <w:rPr>
          <w:position w:val="9"/>
          <w:sz w:val="25"/>
        </w:rPr>
        <w:t>973</w:t>
      </w:r>
    </w:p>
    <w:p>
      <w:pPr>
        <w:pStyle w:val="Heading1"/>
        <w:spacing w:before="215"/>
        <w:ind w:left="616"/>
      </w:pPr>
      <w:r>
        <w:rPr/>
        <w:t>Anti-mutagenic effect of bearded tooth prevents cancer</w:t>
      </w:r>
    </w:p>
    <w:p>
      <w:pPr>
        <w:pStyle w:val="BodyText"/>
        <w:spacing w:before="299"/>
        <w:ind w:left="616"/>
      </w:pPr>
      <w:r>
        <w:rPr/>
        <w:t>In studies, bearded tooth extracts demonstrated an anti-mutagenic</w:t>
      </w:r>
      <w:r>
        <w:rPr>
          <w:spacing w:val="82"/>
        </w:rPr>
        <w:t> </w:t>
      </w:r>
      <w:r>
        <w:rPr/>
        <w:t>effect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4"/>
        </w:rPr>
      </w:pPr>
      <w:r>
        <w:rPr/>
        <w:pict>
          <v:line style="position:absolute;mso-position-horizontal-relative:page;mso-position-vertical-relative:paragraph;z-index:13328;mso-wrap-distance-left:0;mso-wrap-distance-right:0" from="70.823997pt,16.406128pt" to="214.843997pt,16.406128pt" stroked="true" strokeweight=".71997pt" strokecolor="#000000">
            <v:stroke dashstyle="solid"/>
            <w10:wrap type="topAndBottom"/>
          </v:line>
        </w:pict>
      </w:r>
    </w:p>
    <w:p>
      <w:pPr>
        <w:pStyle w:val="BodyText"/>
        <w:spacing w:before="7"/>
        <w:rPr>
          <w:sz w:val="18"/>
        </w:rPr>
      </w:pPr>
    </w:p>
    <w:p>
      <w:pPr>
        <w:spacing w:line="276" w:lineRule="auto" w:before="99"/>
        <w:ind w:left="616" w:right="0" w:firstLine="0"/>
        <w:jc w:val="left"/>
        <w:rPr>
          <w:sz w:val="20"/>
        </w:rPr>
      </w:pPr>
      <w:r>
        <w:rPr>
          <w:position w:val="5"/>
          <w:sz w:val="13"/>
        </w:rPr>
        <w:t>972 </w:t>
      </w:r>
      <w:r>
        <w:rPr>
          <w:sz w:val="20"/>
        </w:rPr>
        <w:t>Yang B. K. et al.: Hypolipidemic effect of an Exo-biopolymer produced from a submerged mycelial culture of Hericium erinaceus. Biosci Bio- technol Biochem. 2003 Jun; 67 (6), pp. 1292-1298</w:t>
      </w:r>
    </w:p>
    <w:p>
      <w:pPr>
        <w:spacing w:line="276" w:lineRule="auto" w:before="61"/>
        <w:ind w:left="616" w:right="244" w:firstLine="0"/>
        <w:jc w:val="left"/>
        <w:rPr>
          <w:sz w:val="20"/>
        </w:rPr>
      </w:pPr>
      <w:r>
        <w:rPr>
          <w:position w:val="5"/>
          <w:sz w:val="13"/>
        </w:rPr>
        <w:t>973 </w:t>
      </w:r>
      <w:r>
        <w:rPr>
          <w:sz w:val="20"/>
        </w:rPr>
        <w:t>Xu H. M. et al.: Immunomodulatory function of polysaccharide of Hericium erinaceus. Zhongguo Zhong Xi Yi Jie He Za Zhi. 1994 Jul; 14 (7), p. 427 f.</w:t>
      </w:r>
    </w:p>
    <w:p>
      <w:pPr>
        <w:spacing w:after="0" w:line="276" w:lineRule="auto"/>
        <w:jc w:val="left"/>
        <w:rPr>
          <w:sz w:val="20"/>
        </w:rPr>
        <w:sectPr>
          <w:footerReference w:type="default" r:id="rId448"/>
          <w:pgSz w:w="14270" w:h="16850"/>
          <w:pgMar w:footer="1984" w:header="0" w:top="1360" w:bottom="2180" w:left="800" w:right="1280"/>
          <w:pgNumType w:start="1711"/>
        </w:sectPr>
      </w:pPr>
    </w:p>
    <w:p>
      <w:pPr>
        <w:pStyle w:val="BodyText"/>
        <w:spacing w:before="74"/>
        <w:ind w:left="616"/>
        <w:rPr>
          <w:sz w:val="25"/>
        </w:rPr>
      </w:pPr>
      <w:r>
        <w:rPr/>
        <w:t>which prevents cancer formation.</w:t>
      </w:r>
      <w:r>
        <w:rPr>
          <w:position w:val="9"/>
          <w:sz w:val="25"/>
        </w:rPr>
        <w:t>974</w:t>
      </w:r>
    </w:p>
    <w:p>
      <w:pPr>
        <w:pStyle w:val="Heading1"/>
        <w:spacing w:before="287"/>
        <w:ind w:left="616"/>
      </w:pPr>
      <w:r>
        <w:rPr/>
        <w:t>Anti-tumorous and anti-metastatic effects</w:t>
      </w:r>
    </w:p>
    <w:p>
      <w:pPr>
        <w:pStyle w:val="BodyText"/>
        <w:spacing w:line="276" w:lineRule="auto" w:before="297"/>
        <w:ind w:left="616" w:right="142"/>
        <w:jc w:val="both"/>
        <w:rPr>
          <w:sz w:val="25"/>
        </w:rPr>
      </w:pPr>
      <w:r>
        <w:rPr/>
        <w:t>The polysaccharides contained in monkey head mushrooms increase macro- phage activity and other immune cell activity against tumour cells and had an anti-carcinogenic (anti-tumourous) and anti-metastatic effect in studies.</w:t>
      </w:r>
      <w:r>
        <w:rPr>
          <w:position w:val="9"/>
          <w:sz w:val="25"/>
        </w:rPr>
        <w:t>975</w:t>
      </w:r>
    </w:p>
    <w:p>
      <w:pPr>
        <w:pStyle w:val="Heading1"/>
        <w:ind w:left="616"/>
      </w:pPr>
      <w:r>
        <w:rPr/>
        <w:t>Monkey head has a positive effect on gastritis</w:t>
      </w:r>
    </w:p>
    <w:p>
      <w:pPr>
        <w:pStyle w:val="BodyText"/>
        <w:spacing w:line="276" w:lineRule="auto" w:before="300"/>
        <w:ind w:left="616" w:right="138"/>
        <w:jc w:val="both"/>
        <w:rPr>
          <w:sz w:val="25"/>
        </w:rPr>
      </w:pPr>
      <w:r>
        <w:rPr/>
        <w:t>In clinical studies of 140 patients suffering from gastritis an improvement</w:t>
      </w:r>
      <w:r>
        <w:rPr>
          <w:spacing w:val="-41"/>
        </w:rPr>
        <w:t> </w:t>
      </w:r>
      <w:r>
        <w:rPr/>
        <w:t>was achieved with the administration of Hericium in combination with conven- tional</w:t>
      </w:r>
      <w:r>
        <w:rPr>
          <w:spacing w:val="-2"/>
        </w:rPr>
        <w:t> </w:t>
      </w:r>
      <w:r>
        <w:rPr/>
        <w:t>medicines.</w:t>
      </w:r>
      <w:r>
        <w:rPr>
          <w:position w:val="9"/>
          <w:sz w:val="25"/>
        </w:rPr>
        <w:t>976</w:t>
      </w:r>
    </w:p>
    <w:p>
      <w:pPr>
        <w:pStyle w:val="BodyText"/>
        <w:spacing w:line="278" w:lineRule="auto" w:before="239"/>
        <w:ind w:left="616" w:right="134"/>
        <w:jc w:val="both"/>
        <w:rPr>
          <w:sz w:val="25"/>
        </w:rPr>
      </w:pPr>
      <w:r>
        <w:rPr/>
        <w:t>The</w:t>
      </w:r>
      <w:r>
        <w:rPr>
          <w:spacing w:val="-7"/>
        </w:rPr>
        <w:t> </w:t>
      </w:r>
      <w:r>
        <w:rPr/>
        <w:t>efficiency</w:t>
      </w:r>
      <w:r>
        <w:rPr>
          <w:spacing w:val="-6"/>
        </w:rPr>
        <w:t> </w:t>
      </w:r>
      <w:r>
        <w:rPr/>
        <w:t>of</w:t>
      </w:r>
      <w:r>
        <w:rPr>
          <w:spacing w:val="-7"/>
        </w:rPr>
        <w:t> </w:t>
      </w:r>
      <w:r>
        <w:rPr/>
        <w:t>monkey</w:t>
      </w:r>
      <w:r>
        <w:rPr>
          <w:spacing w:val="-6"/>
        </w:rPr>
        <w:t> </w:t>
      </w:r>
      <w:r>
        <w:rPr/>
        <w:t>head</w:t>
      </w:r>
      <w:r>
        <w:rPr>
          <w:spacing w:val="-10"/>
        </w:rPr>
        <w:t> </w:t>
      </w:r>
      <w:r>
        <w:rPr/>
        <w:t>mushrooms</w:t>
      </w:r>
      <w:r>
        <w:rPr>
          <w:spacing w:val="-4"/>
        </w:rPr>
        <w:t> </w:t>
      </w:r>
      <w:r>
        <w:rPr/>
        <w:t>in</w:t>
      </w:r>
      <w:r>
        <w:rPr>
          <w:spacing w:val="-9"/>
        </w:rPr>
        <w:t> </w:t>
      </w:r>
      <w:r>
        <w:rPr/>
        <w:t>chronic</w:t>
      </w:r>
      <w:r>
        <w:rPr>
          <w:spacing w:val="-7"/>
        </w:rPr>
        <w:t> </w:t>
      </w:r>
      <w:r>
        <w:rPr/>
        <w:t>gastritis</w:t>
      </w:r>
      <w:r>
        <w:rPr>
          <w:spacing w:val="-7"/>
        </w:rPr>
        <w:t> </w:t>
      </w:r>
      <w:r>
        <w:rPr/>
        <w:t>was</w:t>
      </w:r>
      <w:r>
        <w:rPr>
          <w:spacing w:val="-6"/>
        </w:rPr>
        <w:t> </w:t>
      </w:r>
      <w:r>
        <w:rPr/>
        <w:t>also</w:t>
      </w:r>
      <w:r>
        <w:rPr>
          <w:spacing w:val="-7"/>
        </w:rPr>
        <w:t> </w:t>
      </w:r>
      <w:r>
        <w:rPr/>
        <w:t>deter- mined in a double-blind</w:t>
      </w:r>
      <w:r>
        <w:rPr>
          <w:spacing w:val="-1"/>
        </w:rPr>
        <w:t> </w:t>
      </w:r>
      <w:r>
        <w:rPr/>
        <w:t>study.</w:t>
      </w:r>
      <w:r>
        <w:rPr>
          <w:position w:val="9"/>
          <w:sz w:val="25"/>
        </w:rPr>
        <w:t>977</w:t>
      </w:r>
    </w:p>
    <w:p>
      <w:pPr>
        <w:pStyle w:val="BodyText"/>
        <w:spacing w:line="276" w:lineRule="auto" w:before="232"/>
        <w:ind w:left="616" w:right="132"/>
        <w:jc w:val="both"/>
        <w:rPr>
          <w:sz w:val="25"/>
        </w:rPr>
      </w:pPr>
      <w:r>
        <w:rPr/>
        <w:t>In</w:t>
      </w:r>
      <w:r>
        <w:rPr>
          <w:spacing w:val="-11"/>
        </w:rPr>
        <w:t> </w:t>
      </w:r>
      <w:r>
        <w:rPr/>
        <w:t>a</w:t>
      </w:r>
      <w:r>
        <w:rPr>
          <w:spacing w:val="-13"/>
        </w:rPr>
        <w:t> </w:t>
      </w:r>
      <w:r>
        <w:rPr/>
        <w:t>further</w:t>
      </w:r>
      <w:r>
        <w:rPr>
          <w:spacing w:val="-9"/>
        </w:rPr>
        <w:t> </w:t>
      </w:r>
      <w:r>
        <w:rPr/>
        <w:t>study</w:t>
      </w:r>
      <w:r>
        <w:rPr>
          <w:spacing w:val="-12"/>
        </w:rPr>
        <w:t> </w:t>
      </w:r>
      <w:r>
        <w:rPr/>
        <w:t>of</w:t>
      </w:r>
      <w:r>
        <w:rPr>
          <w:spacing w:val="-10"/>
        </w:rPr>
        <w:t> </w:t>
      </w:r>
      <w:r>
        <w:rPr/>
        <w:t>gastritis</w:t>
      </w:r>
      <w:r>
        <w:rPr>
          <w:spacing w:val="-11"/>
        </w:rPr>
        <w:t> </w:t>
      </w:r>
      <w:r>
        <w:rPr/>
        <w:t>patients,</w:t>
      </w:r>
      <w:r>
        <w:rPr>
          <w:spacing w:val="-10"/>
        </w:rPr>
        <w:t> </w:t>
      </w:r>
      <w:r>
        <w:rPr/>
        <w:t>82</w:t>
      </w:r>
      <w:r>
        <w:rPr>
          <w:spacing w:val="-12"/>
        </w:rPr>
        <w:t> </w:t>
      </w:r>
      <w:r>
        <w:rPr/>
        <w:t>%</w:t>
      </w:r>
      <w:r>
        <w:rPr>
          <w:spacing w:val="-12"/>
        </w:rPr>
        <w:t> </w:t>
      </w:r>
      <w:r>
        <w:rPr/>
        <w:t>experienced</w:t>
      </w:r>
      <w:r>
        <w:rPr>
          <w:spacing w:val="-10"/>
        </w:rPr>
        <w:t> </w:t>
      </w:r>
      <w:r>
        <w:rPr/>
        <w:t>a</w:t>
      </w:r>
      <w:r>
        <w:rPr>
          <w:spacing w:val="-13"/>
        </w:rPr>
        <w:t> </w:t>
      </w:r>
      <w:r>
        <w:rPr/>
        <w:t>significant</w:t>
      </w:r>
      <w:r>
        <w:rPr>
          <w:spacing w:val="-11"/>
        </w:rPr>
        <w:t> </w:t>
      </w:r>
      <w:r>
        <w:rPr/>
        <w:t>improve- ment</w:t>
      </w:r>
      <w:r>
        <w:rPr>
          <w:spacing w:val="-25"/>
        </w:rPr>
        <w:t> </w:t>
      </w:r>
      <w:r>
        <w:rPr/>
        <w:t>in</w:t>
      </w:r>
      <w:r>
        <w:rPr>
          <w:spacing w:val="-25"/>
        </w:rPr>
        <w:t> </w:t>
      </w:r>
      <w:r>
        <w:rPr/>
        <w:t>symptoms,</w:t>
      </w:r>
      <w:r>
        <w:rPr>
          <w:spacing w:val="-24"/>
        </w:rPr>
        <w:t> </w:t>
      </w:r>
      <w:r>
        <w:rPr/>
        <w:t>while</w:t>
      </w:r>
      <w:r>
        <w:rPr>
          <w:spacing w:val="-25"/>
        </w:rPr>
        <w:t> </w:t>
      </w:r>
      <w:r>
        <w:rPr/>
        <w:t>in</w:t>
      </w:r>
      <w:r>
        <w:rPr>
          <w:spacing w:val="-24"/>
        </w:rPr>
        <w:t> </w:t>
      </w:r>
      <w:r>
        <w:rPr/>
        <w:t>58</w:t>
      </w:r>
      <w:r>
        <w:rPr>
          <w:spacing w:val="-23"/>
        </w:rPr>
        <w:t> </w:t>
      </w:r>
      <w:r>
        <w:rPr/>
        <w:t>%</w:t>
      </w:r>
      <w:r>
        <w:rPr>
          <w:spacing w:val="-25"/>
        </w:rPr>
        <w:t> </w:t>
      </w:r>
      <w:r>
        <w:rPr/>
        <w:t>of</w:t>
      </w:r>
      <w:r>
        <w:rPr>
          <w:spacing w:val="-25"/>
        </w:rPr>
        <w:t> </w:t>
      </w:r>
      <w:r>
        <w:rPr/>
        <w:t>cases</w:t>
      </w:r>
      <w:r>
        <w:rPr>
          <w:spacing w:val="-24"/>
        </w:rPr>
        <w:t> </w:t>
      </w:r>
      <w:r>
        <w:rPr/>
        <w:t>the</w:t>
      </w:r>
      <w:r>
        <w:rPr>
          <w:spacing w:val="-23"/>
        </w:rPr>
        <w:t> </w:t>
      </w:r>
      <w:r>
        <w:rPr/>
        <w:t>typical</w:t>
      </w:r>
      <w:r>
        <w:rPr>
          <w:spacing w:val="-25"/>
        </w:rPr>
        <w:t> </w:t>
      </w:r>
      <w:r>
        <w:rPr/>
        <w:t>inflammation</w:t>
      </w:r>
      <w:r>
        <w:rPr>
          <w:spacing w:val="-24"/>
        </w:rPr>
        <w:t> </w:t>
      </w:r>
      <w:r>
        <w:rPr/>
        <w:t>disappeared completely and the stomach lining could be sustainable</w:t>
      </w:r>
      <w:r>
        <w:rPr>
          <w:spacing w:val="-1"/>
        </w:rPr>
        <w:t> </w:t>
      </w:r>
      <w:r>
        <w:rPr/>
        <w:t>rebuilt.</w:t>
      </w:r>
      <w:r>
        <w:rPr>
          <w:position w:val="9"/>
          <w:sz w:val="25"/>
        </w:rPr>
        <w:t>978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4"/>
        </w:rPr>
      </w:pPr>
      <w:r>
        <w:rPr/>
        <w:pict>
          <v:line style="position:absolute;mso-position-horizontal-relative:page;mso-position-vertical-relative:paragraph;z-index:13352;mso-wrap-distance-left:0;mso-wrap-distance-right:0" from="70.823997pt,16.073734pt" to="214.843997pt,16.073734pt" stroked="true" strokeweight=".72003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974</w:t>
      </w:r>
      <w:r>
        <w:rPr>
          <w:spacing w:val="14"/>
          <w:position w:val="5"/>
          <w:sz w:val="13"/>
        </w:rPr>
        <w:t> </w:t>
      </w:r>
      <w:r>
        <w:rPr>
          <w:sz w:val="20"/>
        </w:rPr>
        <w:t>Wang</w:t>
      </w:r>
      <w:r>
        <w:rPr>
          <w:spacing w:val="-4"/>
          <w:sz w:val="20"/>
        </w:rPr>
        <w:t> </w:t>
      </w:r>
      <w:r>
        <w:rPr>
          <w:sz w:val="20"/>
        </w:rPr>
        <w:t>J.</w:t>
      </w:r>
      <w:r>
        <w:rPr>
          <w:spacing w:val="-3"/>
          <w:sz w:val="20"/>
        </w:rPr>
        <w:t> </w:t>
      </w:r>
      <w:r>
        <w:rPr>
          <w:sz w:val="20"/>
        </w:rPr>
        <w:t>C.</w:t>
      </w:r>
      <w:r>
        <w:rPr>
          <w:spacing w:val="-3"/>
          <w:sz w:val="20"/>
        </w:rPr>
        <w:t> </w:t>
      </w:r>
      <w:r>
        <w:rPr>
          <w:sz w:val="20"/>
        </w:rPr>
        <w:t>et</w:t>
      </w:r>
      <w:r>
        <w:rPr>
          <w:spacing w:val="-3"/>
          <w:sz w:val="20"/>
        </w:rPr>
        <w:t> </w:t>
      </w:r>
      <w:r>
        <w:rPr>
          <w:sz w:val="20"/>
        </w:rPr>
        <w:t>al.:</w:t>
      </w:r>
      <w:r>
        <w:rPr>
          <w:spacing w:val="-1"/>
          <w:sz w:val="20"/>
        </w:rPr>
        <w:t> </w:t>
      </w:r>
      <w:r>
        <w:rPr>
          <w:sz w:val="20"/>
        </w:rPr>
        <w:t>Antimutagenicity</w:t>
      </w:r>
      <w:r>
        <w:rPr>
          <w:spacing w:val="-2"/>
          <w:sz w:val="20"/>
        </w:rPr>
        <w:t> </w:t>
      </w:r>
      <w:r>
        <w:rPr>
          <w:sz w:val="20"/>
        </w:rPr>
        <w:t>of</w:t>
      </w:r>
      <w:r>
        <w:rPr>
          <w:spacing w:val="-3"/>
          <w:sz w:val="20"/>
        </w:rPr>
        <w:t> </w:t>
      </w:r>
      <w:r>
        <w:rPr>
          <w:sz w:val="20"/>
        </w:rPr>
        <w:t>extracts</w:t>
      </w:r>
      <w:r>
        <w:rPr>
          <w:spacing w:val="-3"/>
          <w:sz w:val="20"/>
        </w:rPr>
        <w:t> </w:t>
      </w:r>
      <w:r>
        <w:rPr>
          <w:sz w:val="20"/>
        </w:rPr>
        <w:t>of</w:t>
      </w:r>
      <w:r>
        <w:rPr>
          <w:spacing w:val="-2"/>
          <w:sz w:val="20"/>
        </w:rPr>
        <w:t> </w:t>
      </w:r>
      <w:r>
        <w:rPr>
          <w:sz w:val="20"/>
        </w:rPr>
        <w:t>Hericium</w:t>
      </w:r>
      <w:r>
        <w:rPr>
          <w:spacing w:val="-3"/>
          <w:sz w:val="20"/>
        </w:rPr>
        <w:t> </w:t>
      </w:r>
      <w:r>
        <w:rPr>
          <w:sz w:val="20"/>
        </w:rPr>
        <w:t>erinaceus.</w:t>
      </w:r>
      <w:r>
        <w:rPr>
          <w:spacing w:val="-3"/>
          <w:sz w:val="20"/>
        </w:rPr>
        <w:t> </w:t>
      </w:r>
      <w:r>
        <w:rPr>
          <w:sz w:val="20"/>
        </w:rPr>
        <w:t>Kaohsiung</w:t>
      </w:r>
      <w:r>
        <w:rPr>
          <w:spacing w:val="-3"/>
          <w:sz w:val="20"/>
        </w:rPr>
        <w:t> </w:t>
      </w:r>
      <w:r>
        <w:rPr>
          <w:sz w:val="20"/>
        </w:rPr>
        <w:t>J</w:t>
      </w:r>
      <w:r>
        <w:rPr>
          <w:spacing w:val="-3"/>
          <w:sz w:val="20"/>
        </w:rPr>
        <w:t> </w:t>
      </w:r>
      <w:r>
        <w:rPr>
          <w:sz w:val="20"/>
        </w:rPr>
        <w:t>Med</w:t>
      </w:r>
      <w:r>
        <w:rPr>
          <w:spacing w:val="-1"/>
          <w:sz w:val="20"/>
        </w:rPr>
        <w:t> </w:t>
      </w:r>
      <w:r>
        <w:rPr>
          <w:sz w:val="20"/>
        </w:rPr>
        <w:t>Sci.</w:t>
      </w:r>
      <w:r>
        <w:rPr>
          <w:spacing w:val="-4"/>
          <w:sz w:val="20"/>
        </w:rPr>
        <w:t> </w:t>
      </w:r>
      <w:r>
        <w:rPr>
          <w:sz w:val="20"/>
        </w:rPr>
        <w:t>2001</w:t>
      </w:r>
      <w:r>
        <w:rPr>
          <w:spacing w:val="-2"/>
          <w:sz w:val="20"/>
        </w:rPr>
        <w:t> </w:t>
      </w:r>
      <w:r>
        <w:rPr>
          <w:sz w:val="20"/>
        </w:rPr>
        <w:t>May;</w:t>
      </w:r>
      <w:r>
        <w:rPr>
          <w:spacing w:val="-3"/>
          <w:sz w:val="20"/>
        </w:rPr>
        <w:t> </w:t>
      </w:r>
      <w:r>
        <w:rPr>
          <w:sz w:val="20"/>
        </w:rPr>
        <w:t>17</w:t>
      </w:r>
      <w:r>
        <w:rPr>
          <w:spacing w:val="-3"/>
          <w:sz w:val="20"/>
        </w:rPr>
        <w:t> </w:t>
      </w:r>
      <w:r>
        <w:rPr>
          <w:spacing w:val="2"/>
          <w:sz w:val="20"/>
        </w:rPr>
        <w:t>(5),</w:t>
      </w:r>
      <w:r>
        <w:rPr>
          <w:spacing w:val="-3"/>
          <w:sz w:val="20"/>
        </w:rPr>
        <w:t> </w:t>
      </w:r>
      <w:r>
        <w:rPr>
          <w:sz w:val="20"/>
        </w:rPr>
        <w:t>pp.</w:t>
      </w:r>
      <w:r>
        <w:rPr>
          <w:spacing w:val="-3"/>
          <w:sz w:val="20"/>
        </w:rPr>
        <w:t> </w:t>
      </w:r>
      <w:r>
        <w:rPr>
          <w:sz w:val="20"/>
        </w:rPr>
        <w:t>230-238</w:t>
      </w:r>
    </w:p>
    <w:p>
      <w:pPr>
        <w:spacing w:line="276" w:lineRule="auto" w:before="94"/>
        <w:ind w:left="616" w:right="0" w:firstLine="0"/>
        <w:jc w:val="left"/>
        <w:rPr>
          <w:sz w:val="20"/>
        </w:rPr>
      </w:pPr>
      <w:r>
        <w:rPr>
          <w:position w:val="5"/>
          <w:sz w:val="13"/>
        </w:rPr>
        <w:t>975 </w:t>
      </w:r>
      <w:r>
        <w:rPr>
          <w:sz w:val="20"/>
        </w:rPr>
        <w:t>Wang J. C. et al.: Antitumor and immunoenhancing activities of polysaccharide from culture broth of Hericium spp. Kaohsiung J Med Sci. 2001 Sep; 17 (9), pp. 461-467</w:t>
      </w:r>
    </w:p>
    <w:p>
      <w:pPr>
        <w:spacing w:line="273" w:lineRule="auto" w:before="61"/>
        <w:ind w:left="616" w:right="156" w:firstLine="0"/>
        <w:jc w:val="left"/>
        <w:rPr>
          <w:sz w:val="20"/>
        </w:rPr>
      </w:pPr>
      <w:r>
        <w:rPr>
          <w:position w:val="5"/>
          <w:sz w:val="13"/>
        </w:rPr>
        <w:t>976 </w:t>
      </w:r>
      <w:r>
        <w:rPr>
          <w:sz w:val="20"/>
        </w:rPr>
        <w:t>Chen T. Q.: Combined traditional Chinese and western medicine for the treatment of atrophic gastritis: report of 140 cases. Zhong Xi Yi Jie He Za Zhi. 1983 Jul; 3 (4), p. 221 f.</w:t>
      </w:r>
    </w:p>
    <w:p>
      <w:pPr>
        <w:spacing w:line="276" w:lineRule="auto" w:before="63"/>
        <w:ind w:left="616" w:right="180" w:firstLine="0"/>
        <w:jc w:val="left"/>
        <w:rPr>
          <w:sz w:val="20"/>
        </w:rPr>
      </w:pPr>
      <w:r>
        <w:rPr>
          <w:position w:val="5"/>
          <w:sz w:val="13"/>
        </w:rPr>
        <w:t>977 </w:t>
      </w:r>
      <w:r>
        <w:rPr>
          <w:sz w:val="20"/>
        </w:rPr>
        <w:t>Xu C. P. et al.: A double-blind study of effectiveness of hericium erinaceus pers therapy on chronic atrophic gastritis. A preliminary report. Chin Med J (Engl). 1985 Jun; 98 (6), p. 455 f.</w:t>
      </w:r>
    </w:p>
    <w:p>
      <w:pPr>
        <w:spacing w:before="61"/>
        <w:ind w:left="616" w:right="0" w:firstLine="0"/>
        <w:jc w:val="left"/>
        <w:rPr>
          <w:sz w:val="20"/>
        </w:rPr>
      </w:pPr>
      <w:r>
        <w:rPr>
          <w:position w:val="5"/>
          <w:sz w:val="13"/>
        </w:rPr>
        <w:t>978 </w:t>
      </w:r>
      <w:r>
        <w:rPr>
          <w:sz w:val="20"/>
        </w:rPr>
        <w:t>Werner Goller: Was verschweigt die Schulmedizin? (‘What Does Conventional Medicine Conceal?’), 2009, p. 138</w:t>
      </w:r>
    </w:p>
    <w:p>
      <w:pPr>
        <w:spacing w:after="0"/>
        <w:jc w:val="left"/>
        <w:rPr>
          <w:sz w:val="20"/>
        </w:rPr>
        <w:sectPr>
          <w:pgSz w:w="14270" w:h="16850"/>
          <w:pgMar w:header="0" w:footer="1984" w:top="1340" w:bottom="2500" w:left="800" w:right="1280"/>
        </w:sectPr>
      </w:pPr>
    </w:p>
    <w:p>
      <w:pPr>
        <w:pStyle w:val="Heading2"/>
        <w:spacing w:before="74"/>
        <w:ind w:left="616"/>
      </w:pPr>
      <w:r>
        <w:rPr/>
        <w:t>Hericium/monkey head/bearded tooth – application</w:t>
      </w:r>
    </w:p>
    <w:p>
      <w:pPr>
        <w:pStyle w:val="BodyText"/>
        <w:spacing w:line="276" w:lineRule="auto" w:before="305"/>
        <w:ind w:left="616" w:right="133"/>
        <w:jc w:val="both"/>
      </w:pPr>
      <w:r>
        <w:rPr/>
        <w:t>Monkey head or bearded tooth is mostly taken in powder or capsule form. However, you can also find entire ready-made cultures for cultivation on your own balcony or in your cellar.</w:t>
      </w:r>
    </w:p>
    <w:p>
      <w:pPr>
        <w:pStyle w:val="BodyText"/>
        <w:rPr>
          <w:sz w:val="42"/>
        </w:rPr>
      </w:pPr>
    </w:p>
    <w:p>
      <w:pPr>
        <w:pStyle w:val="BodyText"/>
        <w:spacing w:before="7"/>
        <w:rPr>
          <w:sz w:val="40"/>
        </w:rPr>
      </w:pPr>
    </w:p>
    <w:p>
      <w:pPr>
        <w:pStyle w:val="Heading2"/>
        <w:ind w:left="616"/>
      </w:pPr>
      <w:r>
        <w:rPr/>
        <w:t>Polyporus umbellatus/lumpy bracket</w:t>
      </w:r>
    </w:p>
    <w:p>
      <w:pPr>
        <w:spacing w:before="288"/>
        <w:ind w:left="616" w:right="0" w:firstLine="0"/>
        <w:jc w:val="left"/>
        <w:rPr>
          <w:b/>
          <w:i/>
          <w:sz w:val="40"/>
        </w:rPr>
      </w:pPr>
      <w:r>
        <w:rPr>
          <w:b/>
          <w:i/>
          <w:sz w:val="40"/>
        </w:rPr>
        <w:t>Polyporus, lumpy bracket, Zhu Ling</w:t>
      </w:r>
    </w:p>
    <w:p>
      <w:pPr>
        <w:pStyle w:val="BodyText"/>
        <w:spacing w:line="276" w:lineRule="auto" w:before="299"/>
        <w:ind w:left="616" w:right="130"/>
        <w:jc w:val="both"/>
      </w:pPr>
      <w:r>
        <w:rPr/>
        <w:t>The Zhu Ling, Polyporus umbellatus or in English, ‘lumpy bracket’, can look back</w:t>
      </w:r>
      <w:r>
        <w:rPr>
          <w:spacing w:val="-24"/>
        </w:rPr>
        <w:t> </w:t>
      </w:r>
      <w:r>
        <w:rPr/>
        <w:t>on</w:t>
      </w:r>
      <w:r>
        <w:rPr>
          <w:spacing w:val="-22"/>
        </w:rPr>
        <w:t> </w:t>
      </w:r>
      <w:r>
        <w:rPr/>
        <w:t>a</w:t>
      </w:r>
      <w:r>
        <w:rPr>
          <w:spacing w:val="-25"/>
        </w:rPr>
        <w:t> </w:t>
      </w:r>
      <w:r>
        <w:rPr/>
        <w:t>proud</w:t>
      </w:r>
      <w:r>
        <w:rPr>
          <w:spacing w:val="-26"/>
        </w:rPr>
        <w:t> </w:t>
      </w:r>
      <w:r>
        <w:rPr/>
        <w:t>2000-year</w:t>
      </w:r>
      <w:r>
        <w:rPr>
          <w:spacing w:val="-24"/>
        </w:rPr>
        <w:t> </w:t>
      </w:r>
      <w:r>
        <w:rPr/>
        <w:t>tradition</w:t>
      </w:r>
      <w:r>
        <w:rPr>
          <w:spacing w:val="-22"/>
        </w:rPr>
        <w:t> </w:t>
      </w:r>
      <w:r>
        <w:rPr/>
        <w:t>as</w:t>
      </w:r>
      <w:r>
        <w:rPr>
          <w:spacing w:val="-24"/>
        </w:rPr>
        <w:t> </w:t>
      </w:r>
      <w:r>
        <w:rPr/>
        <w:t>a</w:t>
      </w:r>
      <w:r>
        <w:rPr>
          <w:spacing w:val="-24"/>
        </w:rPr>
        <w:t> </w:t>
      </w:r>
      <w:r>
        <w:rPr/>
        <w:t>medicinal</w:t>
      </w:r>
      <w:r>
        <w:rPr>
          <w:spacing w:val="-24"/>
        </w:rPr>
        <w:t> </w:t>
      </w:r>
      <w:r>
        <w:rPr/>
        <w:t>mushrooms</w:t>
      </w:r>
      <w:r>
        <w:rPr>
          <w:spacing w:val="-22"/>
        </w:rPr>
        <w:t> </w:t>
      </w:r>
      <w:r>
        <w:rPr/>
        <w:t>used</w:t>
      </w:r>
      <w:r>
        <w:rPr>
          <w:spacing w:val="-24"/>
        </w:rPr>
        <w:t> </w:t>
      </w:r>
      <w:r>
        <w:rPr/>
        <w:t>in</w:t>
      </w:r>
      <w:r>
        <w:rPr>
          <w:spacing w:val="-22"/>
        </w:rPr>
        <w:t> </w:t>
      </w:r>
      <w:r>
        <w:rPr/>
        <w:t>Chinese medicine.</w:t>
      </w:r>
      <w:r>
        <w:rPr>
          <w:spacing w:val="-14"/>
        </w:rPr>
        <w:t> </w:t>
      </w:r>
      <w:r>
        <w:rPr/>
        <w:t>The</w:t>
      </w:r>
      <w:r>
        <w:rPr>
          <w:spacing w:val="-13"/>
        </w:rPr>
        <w:t> </w:t>
      </w:r>
      <w:r>
        <w:rPr/>
        <w:t>medicinal</w:t>
      </w:r>
      <w:r>
        <w:rPr>
          <w:spacing w:val="-14"/>
        </w:rPr>
        <w:t> </w:t>
      </w:r>
      <w:r>
        <w:rPr/>
        <w:t>mushroom</w:t>
      </w:r>
      <w:r>
        <w:rPr>
          <w:spacing w:val="-13"/>
        </w:rPr>
        <w:t> </w:t>
      </w:r>
      <w:r>
        <w:rPr/>
        <w:t>which</w:t>
      </w:r>
      <w:r>
        <w:rPr>
          <w:spacing w:val="-13"/>
        </w:rPr>
        <w:t> </w:t>
      </w:r>
      <w:r>
        <w:rPr/>
        <w:t>also</w:t>
      </w:r>
      <w:r>
        <w:rPr>
          <w:spacing w:val="-16"/>
        </w:rPr>
        <w:t> </w:t>
      </w:r>
      <w:r>
        <w:rPr/>
        <w:t>occurs</w:t>
      </w:r>
      <w:r>
        <w:rPr>
          <w:spacing w:val="-13"/>
        </w:rPr>
        <w:t> </w:t>
      </w:r>
      <w:r>
        <w:rPr/>
        <w:t>rarely</w:t>
      </w:r>
      <w:r>
        <w:rPr>
          <w:spacing w:val="-14"/>
        </w:rPr>
        <w:t> </w:t>
      </w:r>
      <w:r>
        <w:rPr/>
        <w:t>in</w:t>
      </w:r>
      <w:r>
        <w:rPr>
          <w:spacing w:val="-16"/>
        </w:rPr>
        <w:t> </w:t>
      </w:r>
      <w:r>
        <w:rPr/>
        <w:t>our</w:t>
      </w:r>
      <w:r>
        <w:rPr>
          <w:spacing w:val="-14"/>
        </w:rPr>
        <w:t> </w:t>
      </w:r>
      <w:r>
        <w:rPr/>
        <w:t>forests</w:t>
      </w:r>
      <w:r>
        <w:rPr>
          <w:spacing w:val="-15"/>
        </w:rPr>
        <w:t> </w:t>
      </w:r>
      <w:r>
        <w:rPr/>
        <w:t>has a 2-5 cm wide, round cap and grows in clusters on the forest floor directly on beech and oak</w:t>
      </w:r>
      <w:r>
        <w:rPr>
          <w:spacing w:val="1"/>
        </w:rPr>
        <w:t> </w:t>
      </w:r>
      <w:r>
        <w:rPr/>
        <w:t>trees.</w:t>
      </w:r>
    </w:p>
    <w:p>
      <w:pPr>
        <w:pStyle w:val="Heading2"/>
        <w:spacing w:before="240"/>
        <w:ind w:left="616"/>
      </w:pPr>
      <w:r>
        <w:rPr/>
        <w:t>Polyporus active ingredients</w:t>
      </w:r>
    </w:p>
    <w:p>
      <w:pPr>
        <w:pStyle w:val="BodyText"/>
        <w:spacing w:line="276" w:lineRule="auto" w:before="305"/>
        <w:ind w:left="616" w:right="127"/>
        <w:jc w:val="both"/>
      </w:pPr>
      <w:r>
        <w:rPr/>
        <w:t>Polyporus has a large amount of polysaccharides as well as ergosterol, biotin and alpha hydroxy tetracosan acid, iron, calcium, potassium, manganese, cop- per and zinc.</w:t>
      </w:r>
    </w:p>
    <w:p>
      <w:pPr>
        <w:pStyle w:val="Heading2"/>
        <w:spacing w:before="241"/>
        <w:ind w:left="616"/>
      </w:pPr>
      <w:r>
        <w:rPr/>
        <w:t>Effect of Polyporus</w:t>
      </w:r>
    </w:p>
    <w:p>
      <w:pPr>
        <w:pStyle w:val="BodyText"/>
        <w:spacing w:line="278" w:lineRule="auto" w:before="302"/>
        <w:ind w:left="616"/>
      </w:pPr>
      <w:r>
        <w:rPr/>
        <w:t>Current studies are still revealing positive properties of Polyporus for our health which makes them ever more popular in TCM use.</w:t>
      </w:r>
    </w:p>
    <w:p>
      <w:pPr>
        <w:spacing w:after="0" w:line="278" w:lineRule="auto"/>
        <w:sectPr>
          <w:footerReference w:type="default" r:id="rId449"/>
          <w:pgSz w:w="14270" w:h="16850"/>
          <w:pgMar w:footer="1891" w:header="0" w:top="1340" w:bottom="2080" w:left="800" w:right="1280"/>
          <w:pgNumType w:start="1713"/>
        </w:sectPr>
      </w:pPr>
    </w:p>
    <w:p>
      <w:pPr>
        <w:pStyle w:val="BodyText"/>
        <w:spacing w:line="276" w:lineRule="auto" w:before="74"/>
        <w:ind w:left="616"/>
      </w:pPr>
      <w:r>
        <w:rPr/>
        <w:t>According to this medical tradition, Polyporus has an effect on the following organs:</w:t>
      </w:r>
    </w:p>
    <w:p>
      <w:pPr>
        <w:pStyle w:val="ListParagraph"/>
        <w:numPr>
          <w:ilvl w:val="0"/>
          <w:numId w:val="120"/>
        </w:numPr>
        <w:tabs>
          <w:tab w:pos="1032" w:val="left" w:leader="none"/>
        </w:tabs>
        <w:spacing w:line="240" w:lineRule="auto" w:before="199" w:after="0"/>
        <w:ind w:left="899" w:right="0" w:hanging="283"/>
        <w:jc w:val="both"/>
        <w:rPr>
          <w:sz w:val="38"/>
        </w:rPr>
      </w:pPr>
      <w:r>
        <w:rPr>
          <w:sz w:val="38"/>
        </w:rPr>
        <w:t>Spleen</w:t>
      </w:r>
    </w:p>
    <w:p>
      <w:pPr>
        <w:pStyle w:val="ListParagraph"/>
        <w:numPr>
          <w:ilvl w:val="0"/>
          <w:numId w:val="120"/>
        </w:numPr>
        <w:tabs>
          <w:tab w:pos="1032" w:val="left" w:leader="none"/>
        </w:tabs>
        <w:spacing w:line="240" w:lineRule="auto" w:before="186" w:after="0"/>
        <w:ind w:left="899" w:right="0" w:hanging="283"/>
        <w:jc w:val="both"/>
        <w:rPr>
          <w:sz w:val="38"/>
        </w:rPr>
      </w:pPr>
      <w:r>
        <w:rPr>
          <w:sz w:val="38"/>
        </w:rPr>
        <w:t>Kidneys</w:t>
      </w:r>
    </w:p>
    <w:p>
      <w:pPr>
        <w:pStyle w:val="ListParagraph"/>
        <w:numPr>
          <w:ilvl w:val="0"/>
          <w:numId w:val="120"/>
        </w:numPr>
        <w:tabs>
          <w:tab w:pos="1032" w:val="left" w:leader="none"/>
        </w:tabs>
        <w:spacing w:line="240" w:lineRule="auto" w:before="184" w:after="0"/>
        <w:ind w:left="899" w:right="0" w:hanging="283"/>
        <w:jc w:val="both"/>
        <w:rPr>
          <w:sz w:val="38"/>
        </w:rPr>
      </w:pPr>
      <w:r>
        <w:rPr>
          <w:sz w:val="38"/>
        </w:rPr>
        <w:t>Bladder</w:t>
      </w:r>
    </w:p>
    <w:p>
      <w:pPr>
        <w:pStyle w:val="BodyText"/>
        <w:rPr>
          <w:sz w:val="44"/>
        </w:rPr>
      </w:pPr>
    </w:p>
    <w:p>
      <w:pPr>
        <w:pStyle w:val="BodyText"/>
        <w:spacing w:before="5"/>
        <w:rPr>
          <w:sz w:val="46"/>
        </w:rPr>
      </w:pPr>
    </w:p>
    <w:p>
      <w:pPr>
        <w:pStyle w:val="Heading1"/>
        <w:spacing w:before="0"/>
        <w:ind w:left="616"/>
        <w:jc w:val="both"/>
      </w:pPr>
      <w:r>
        <w:rPr/>
        <w:t>Specific effects of Polyporus in</w:t>
      </w:r>
      <w:r>
        <w:rPr>
          <w:spacing w:val="-53"/>
        </w:rPr>
        <w:t> </w:t>
      </w:r>
      <w:r>
        <w:rPr/>
        <w:t>diseases</w:t>
      </w:r>
    </w:p>
    <w:p>
      <w:pPr>
        <w:pStyle w:val="BodyText"/>
        <w:spacing w:line="276" w:lineRule="auto" w:before="299"/>
        <w:ind w:left="616" w:right="134"/>
        <w:jc w:val="both"/>
      </w:pPr>
      <w:r>
        <w:rPr/>
        <w:t>The</w:t>
      </w:r>
      <w:r>
        <w:rPr>
          <w:spacing w:val="-21"/>
        </w:rPr>
        <w:t> </w:t>
      </w:r>
      <w:r>
        <w:rPr/>
        <w:t>effect</w:t>
      </w:r>
      <w:r>
        <w:rPr>
          <w:spacing w:val="-20"/>
        </w:rPr>
        <w:t> </w:t>
      </w:r>
      <w:r>
        <w:rPr/>
        <w:t>of</w:t>
      </w:r>
      <w:r>
        <w:rPr>
          <w:spacing w:val="-20"/>
        </w:rPr>
        <w:t> </w:t>
      </w:r>
      <w:r>
        <w:rPr/>
        <w:t>Polyporus</w:t>
      </w:r>
      <w:r>
        <w:rPr>
          <w:spacing w:val="-22"/>
        </w:rPr>
        <w:t> </w:t>
      </w:r>
      <w:r>
        <w:rPr/>
        <w:t>on</w:t>
      </w:r>
      <w:r>
        <w:rPr>
          <w:spacing w:val="-19"/>
        </w:rPr>
        <w:t> </w:t>
      </w:r>
      <w:r>
        <w:rPr/>
        <w:t>driving</w:t>
      </w:r>
      <w:r>
        <w:rPr>
          <w:spacing w:val="-19"/>
        </w:rPr>
        <w:t> </w:t>
      </w:r>
      <w:r>
        <w:rPr/>
        <w:t>urine</w:t>
      </w:r>
      <w:r>
        <w:rPr>
          <w:spacing w:val="-21"/>
        </w:rPr>
        <w:t> </w:t>
      </w:r>
      <w:r>
        <w:rPr/>
        <w:t>flow</w:t>
      </w:r>
      <w:r>
        <w:rPr>
          <w:spacing w:val="-21"/>
        </w:rPr>
        <w:t> </w:t>
      </w:r>
      <w:r>
        <w:rPr/>
        <w:t>and</w:t>
      </w:r>
      <w:r>
        <w:rPr>
          <w:spacing w:val="-21"/>
        </w:rPr>
        <w:t> </w:t>
      </w:r>
      <w:r>
        <w:rPr/>
        <w:t>therefore</w:t>
      </w:r>
      <w:r>
        <w:rPr>
          <w:spacing w:val="-21"/>
        </w:rPr>
        <w:t> </w:t>
      </w:r>
      <w:r>
        <w:rPr/>
        <w:t>on</w:t>
      </w:r>
      <w:r>
        <w:rPr>
          <w:spacing w:val="-19"/>
        </w:rPr>
        <w:t> </w:t>
      </w:r>
      <w:r>
        <w:rPr/>
        <w:t>draining,</w:t>
      </w:r>
      <w:r>
        <w:rPr>
          <w:spacing w:val="-19"/>
        </w:rPr>
        <w:t> </w:t>
      </w:r>
      <w:r>
        <w:rPr/>
        <w:t>which is</w:t>
      </w:r>
      <w:r>
        <w:rPr>
          <w:spacing w:val="-18"/>
        </w:rPr>
        <w:t> </w:t>
      </w:r>
      <w:r>
        <w:rPr/>
        <w:t>more</w:t>
      </w:r>
      <w:r>
        <w:rPr>
          <w:spacing w:val="-17"/>
        </w:rPr>
        <w:t> </w:t>
      </w:r>
      <w:r>
        <w:rPr/>
        <w:t>successful</w:t>
      </w:r>
      <w:r>
        <w:rPr>
          <w:spacing w:val="-19"/>
        </w:rPr>
        <w:t> </w:t>
      </w:r>
      <w:r>
        <w:rPr/>
        <w:t>than</w:t>
      </w:r>
      <w:r>
        <w:rPr>
          <w:spacing w:val="-16"/>
        </w:rPr>
        <w:t> </w:t>
      </w:r>
      <w:r>
        <w:rPr/>
        <w:t>conventional</w:t>
      </w:r>
      <w:r>
        <w:rPr>
          <w:spacing w:val="-19"/>
        </w:rPr>
        <w:t> </w:t>
      </w:r>
      <w:r>
        <w:rPr/>
        <w:t>medicines,</w:t>
      </w:r>
      <w:r>
        <w:rPr>
          <w:spacing w:val="-16"/>
        </w:rPr>
        <w:t> </w:t>
      </w:r>
      <w:r>
        <w:rPr/>
        <w:t>is</w:t>
      </w:r>
      <w:r>
        <w:rPr>
          <w:spacing w:val="-18"/>
        </w:rPr>
        <w:t> </w:t>
      </w:r>
      <w:r>
        <w:rPr/>
        <w:t>almost</w:t>
      </w:r>
      <w:r>
        <w:rPr>
          <w:spacing w:val="-17"/>
        </w:rPr>
        <w:t> </w:t>
      </w:r>
      <w:r>
        <w:rPr/>
        <w:t>legendary.</w:t>
      </w:r>
      <w:r>
        <w:rPr>
          <w:spacing w:val="-16"/>
        </w:rPr>
        <w:t> </w:t>
      </w:r>
      <w:r>
        <w:rPr/>
        <w:t>However, unlike conventional medicine, it does not result in the excretion of valuable potassium. Polyporus is extremely successful in preventing oedemas and joint swelling in a way conventional medicine cannot match, by regulating the lym- phatic system and with its detoxifying effect. Polyporus has shown itself to strengthen the heart by facilitating drainage without the excretion of valuable potassium.</w:t>
      </w:r>
      <w:r>
        <w:rPr>
          <w:spacing w:val="-13"/>
        </w:rPr>
        <w:t> </w:t>
      </w:r>
      <w:r>
        <w:rPr/>
        <w:t>Polyporus</w:t>
      </w:r>
      <w:r>
        <w:rPr>
          <w:spacing w:val="-14"/>
        </w:rPr>
        <w:t> </w:t>
      </w:r>
      <w:r>
        <w:rPr/>
        <w:t>also</w:t>
      </w:r>
      <w:r>
        <w:rPr>
          <w:spacing w:val="-15"/>
        </w:rPr>
        <w:t> </w:t>
      </w:r>
      <w:r>
        <w:rPr/>
        <w:t>demonstrated</w:t>
      </w:r>
      <w:r>
        <w:rPr>
          <w:spacing w:val="-15"/>
        </w:rPr>
        <w:t> </w:t>
      </w:r>
      <w:r>
        <w:rPr/>
        <w:t>astounding</w:t>
      </w:r>
      <w:r>
        <w:rPr>
          <w:spacing w:val="-13"/>
        </w:rPr>
        <w:t> </w:t>
      </w:r>
      <w:r>
        <w:rPr/>
        <w:t>ability</w:t>
      </w:r>
      <w:r>
        <w:rPr>
          <w:spacing w:val="-14"/>
        </w:rPr>
        <w:t> </w:t>
      </w:r>
      <w:r>
        <w:rPr/>
        <w:t>in</w:t>
      </w:r>
      <w:r>
        <w:rPr>
          <w:spacing w:val="-16"/>
        </w:rPr>
        <w:t> </w:t>
      </w:r>
      <w:r>
        <w:rPr/>
        <w:t>the</w:t>
      </w:r>
      <w:r>
        <w:rPr>
          <w:spacing w:val="-17"/>
        </w:rPr>
        <w:t> </w:t>
      </w:r>
      <w:r>
        <w:rPr/>
        <w:t>event</w:t>
      </w:r>
      <w:r>
        <w:rPr>
          <w:spacing w:val="-14"/>
        </w:rPr>
        <w:t> </w:t>
      </w:r>
      <w:r>
        <w:rPr/>
        <w:t>of</w:t>
      </w:r>
      <w:r>
        <w:rPr>
          <w:spacing w:val="-16"/>
        </w:rPr>
        <w:t> </w:t>
      </w:r>
      <w:r>
        <w:rPr/>
        <w:t>hair loss;</w:t>
      </w:r>
      <w:r>
        <w:rPr>
          <w:spacing w:val="-25"/>
        </w:rPr>
        <w:t> </w:t>
      </w:r>
      <w:r>
        <w:rPr/>
        <w:t>hair</w:t>
      </w:r>
      <w:r>
        <w:rPr>
          <w:spacing w:val="-25"/>
        </w:rPr>
        <w:t> </w:t>
      </w:r>
      <w:r>
        <w:rPr/>
        <w:t>loss</w:t>
      </w:r>
      <w:r>
        <w:rPr>
          <w:spacing w:val="-25"/>
        </w:rPr>
        <w:t> </w:t>
      </w:r>
      <w:r>
        <w:rPr/>
        <w:t>could</w:t>
      </w:r>
      <w:r>
        <w:rPr>
          <w:spacing w:val="-26"/>
        </w:rPr>
        <w:t> </w:t>
      </w:r>
      <w:r>
        <w:rPr/>
        <w:t>be</w:t>
      </w:r>
      <w:r>
        <w:rPr>
          <w:spacing w:val="-25"/>
        </w:rPr>
        <w:t> </w:t>
      </w:r>
      <w:r>
        <w:rPr/>
        <w:t>avoided</w:t>
      </w:r>
      <w:r>
        <w:rPr>
          <w:spacing w:val="-26"/>
        </w:rPr>
        <w:t> </w:t>
      </w:r>
      <w:r>
        <w:rPr/>
        <w:t>and,</w:t>
      </w:r>
      <w:r>
        <w:rPr>
          <w:spacing w:val="-24"/>
        </w:rPr>
        <w:t> </w:t>
      </w:r>
      <w:r>
        <w:rPr/>
        <w:t>even</w:t>
      </w:r>
      <w:r>
        <w:rPr>
          <w:spacing w:val="-24"/>
        </w:rPr>
        <w:t> </w:t>
      </w:r>
      <w:r>
        <w:rPr/>
        <w:t>better,</w:t>
      </w:r>
      <w:r>
        <w:rPr>
          <w:spacing w:val="-20"/>
        </w:rPr>
        <w:t> </w:t>
      </w:r>
      <w:r>
        <w:rPr/>
        <w:t>some</w:t>
      </w:r>
      <w:r>
        <w:rPr>
          <w:spacing w:val="-25"/>
        </w:rPr>
        <w:t> </w:t>
      </w:r>
      <w:r>
        <w:rPr/>
        <w:t>test</w:t>
      </w:r>
      <w:r>
        <w:rPr>
          <w:spacing w:val="-26"/>
        </w:rPr>
        <w:t> </w:t>
      </w:r>
      <w:r>
        <w:rPr/>
        <w:t>subjects</w:t>
      </w:r>
      <w:r>
        <w:rPr>
          <w:spacing w:val="-24"/>
        </w:rPr>
        <w:t> </w:t>
      </w:r>
      <w:r>
        <w:rPr/>
        <w:t>even</w:t>
      </w:r>
      <w:r>
        <w:rPr>
          <w:spacing w:val="-24"/>
        </w:rPr>
        <w:t> </w:t>
      </w:r>
      <w:r>
        <w:rPr/>
        <w:t>regrew hair</w:t>
      </w:r>
      <w:r>
        <w:rPr>
          <w:spacing w:val="-18"/>
        </w:rPr>
        <w:t> </w:t>
      </w:r>
      <w:r>
        <w:rPr/>
        <w:t>in</w:t>
      </w:r>
      <w:r>
        <w:rPr>
          <w:spacing w:val="-21"/>
        </w:rPr>
        <w:t> </w:t>
      </w:r>
      <w:r>
        <w:rPr/>
        <w:t>previously</w:t>
      </w:r>
      <w:r>
        <w:rPr>
          <w:spacing w:val="-17"/>
        </w:rPr>
        <w:t> </w:t>
      </w:r>
      <w:r>
        <w:rPr/>
        <w:t>bald</w:t>
      </w:r>
      <w:r>
        <w:rPr>
          <w:spacing w:val="-19"/>
        </w:rPr>
        <w:t> </w:t>
      </w:r>
      <w:r>
        <w:rPr/>
        <w:t>areas.</w:t>
      </w:r>
      <w:r>
        <w:rPr>
          <w:spacing w:val="-20"/>
        </w:rPr>
        <w:t> </w:t>
      </w:r>
      <w:r>
        <w:rPr/>
        <w:t>Users</w:t>
      </w:r>
      <w:r>
        <w:rPr>
          <w:spacing w:val="-18"/>
        </w:rPr>
        <w:t> </w:t>
      </w:r>
      <w:r>
        <w:rPr/>
        <w:t>also</w:t>
      </w:r>
      <w:r>
        <w:rPr>
          <w:spacing w:val="-21"/>
        </w:rPr>
        <w:t> </w:t>
      </w:r>
      <w:r>
        <w:rPr/>
        <w:t>reported</w:t>
      </w:r>
      <w:r>
        <w:rPr>
          <w:spacing w:val="-18"/>
        </w:rPr>
        <w:t> </w:t>
      </w:r>
      <w:r>
        <w:rPr/>
        <w:t>the</w:t>
      </w:r>
      <w:r>
        <w:rPr>
          <w:spacing w:val="-18"/>
        </w:rPr>
        <w:t> </w:t>
      </w:r>
      <w:r>
        <w:rPr/>
        <w:t>return</w:t>
      </w:r>
      <w:r>
        <w:rPr>
          <w:spacing w:val="-20"/>
        </w:rPr>
        <w:t> </w:t>
      </w:r>
      <w:r>
        <w:rPr/>
        <w:t>of</w:t>
      </w:r>
      <w:r>
        <w:rPr>
          <w:spacing w:val="-20"/>
        </w:rPr>
        <w:t> </w:t>
      </w:r>
      <w:r>
        <w:rPr/>
        <w:t>their</w:t>
      </w:r>
      <w:r>
        <w:rPr>
          <w:spacing w:val="-18"/>
        </w:rPr>
        <w:t> </w:t>
      </w:r>
      <w:r>
        <w:rPr/>
        <w:t>natural</w:t>
      </w:r>
      <w:r>
        <w:rPr>
          <w:spacing w:val="-20"/>
        </w:rPr>
        <w:t> </w:t>
      </w:r>
      <w:r>
        <w:rPr/>
        <w:t>hair colour in previously greying</w:t>
      </w:r>
      <w:r>
        <w:rPr>
          <w:spacing w:val="1"/>
        </w:rPr>
        <w:t> </w:t>
      </w:r>
      <w:r>
        <w:rPr/>
        <w:t>hair.</w:t>
      </w:r>
    </w:p>
    <w:p>
      <w:pPr>
        <w:pStyle w:val="Heading1"/>
        <w:spacing w:line="264" w:lineRule="auto" w:before="223"/>
        <w:ind w:left="616"/>
      </w:pPr>
      <w:r>
        <w:rPr/>
        <w:t>Polyporus</w:t>
      </w:r>
      <w:r>
        <w:rPr>
          <w:spacing w:val="-29"/>
        </w:rPr>
        <w:t> </w:t>
      </w:r>
      <w:r>
        <w:rPr/>
        <w:t>has</w:t>
      </w:r>
      <w:r>
        <w:rPr>
          <w:spacing w:val="-31"/>
        </w:rPr>
        <w:t> </w:t>
      </w:r>
      <w:r>
        <w:rPr/>
        <w:t>proven</w:t>
      </w:r>
      <w:r>
        <w:rPr>
          <w:spacing w:val="-31"/>
        </w:rPr>
        <w:t> </w:t>
      </w:r>
      <w:r>
        <w:rPr/>
        <w:t>itself</w:t>
      </w:r>
      <w:r>
        <w:rPr>
          <w:spacing w:val="-30"/>
        </w:rPr>
        <w:t> </w:t>
      </w:r>
      <w:r>
        <w:rPr/>
        <w:t>extremely</w:t>
      </w:r>
      <w:r>
        <w:rPr>
          <w:spacing w:val="-30"/>
        </w:rPr>
        <w:t> </w:t>
      </w:r>
      <w:r>
        <w:rPr/>
        <w:t>useful</w:t>
      </w:r>
      <w:r>
        <w:rPr>
          <w:spacing w:val="-30"/>
        </w:rPr>
        <w:t> </w:t>
      </w:r>
      <w:r>
        <w:rPr/>
        <w:t>in</w:t>
      </w:r>
      <w:r>
        <w:rPr>
          <w:spacing w:val="-30"/>
        </w:rPr>
        <w:t> </w:t>
      </w:r>
      <w:r>
        <w:rPr/>
        <w:t>the</w:t>
      </w:r>
      <w:r>
        <w:rPr>
          <w:spacing w:val="-30"/>
        </w:rPr>
        <w:t> </w:t>
      </w:r>
      <w:r>
        <w:rPr/>
        <w:t>following</w:t>
      </w:r>
      <w:r>
        <w:rPr>
          <w:spacing w:val="-31"/>
        </w:rPr>
        <w:t> </w:t>
      </w:r>
      <w:r>
        <w:rPr/>
        <w:t>diseases and medical</w:t>
      </w:r>
      <w:r>
        <w:rPr>
          <w:spacing w:val="-16"/>
        </w:rPr>
        <w:t> </w:t>
      </w:r>
      <w:r>
        <w:rPr/>
        <w:t>conditions:</w:t>
      </w:r>
    </w:p>
    <w:p>
      <w:pPr>
        <w:pStyle w:val="ListParagraph"/>
        <w:numPr>
          <w:ilvl w:val="0"/>
          <w:numId w:val="120"/>
        </w:numPr>
        <w:tabs>
          <w:tab w:pos="1032" w:val="left" w:leader="none"/>
        </w:tabs>
        <w:spacing w:line="240" w:lineRule="auto" w:before="212" w:after="0"/>
        <w:ind w:left="899" w:right="0" w:hanging="283"/>
        <w:jc w:val="both"/>
        <w:rPr>
          <w:sz w:val="38"/>
        </w:rPr>
      </w:pPr>
      <w:r>
        <w:rPr>
          <w:sz w:val="38"/>
        </w:rPr>
        <w:t>Bladder disfunction</w:t>
      </w:r>
    </w:p>
    <w:p>
      <w:pPr>
        <w:spacing w:after="0" w:line="240" w:lineRule="auto"/>
        <w:jc w:val="both"/>
        <w:rPr>
          <w:sz w:val="38"/>
        </w:rPr>
        <w:sectPr>
          <w:pgSz w:w="14270" w:h="16850"/>
          <w:pgMar w:header="0" w:footer="1891" w:top="1340" w:bottom="2080" w:left="800" w:right="1280"/>
        </w:sectPr>
      </w:pPr>
    </w:p>
    <w:p>
      <w:pPr>
        <w:pStyle w:val="ListParagraph"/>
        <w:numPr>
          <w:ilvl w:val="0"/>
          <w:numId w:val="120"/>
        </w:numPr>
        <w:tabs>
          <w:tab w:pos="1031" w:val="left" w:leader="none"/>
          <w:tab w:pos="1032" w:val="left" w:leader="none"/>
        </w:tabs>
        <w:spacing w:line="240" w:lineRule="auto" w:before="53" w:after="0"/>
        <w:ind w:left="899" w:right="0" w:hanging="283"/>
        <w:jc w:val="left"/>
        <w:rPr>
          <w:sz w:val="38"/>
        </w:rPr>
      </w:pPr>
      <w:r>
        <w:rPr>
          <w:sz w:val="38"/>
        </w:rPr>
        <w:t>Diarrhoea</w:t>
      </w:r>
    </w:p>
    <w:p>
      <w:pPr>
        <w:pStyle w:val="ListParagraph"/>
        <w:numPr>
          <w:ilvl w:val="0"/>
          <w:numId w:val="120"/>
        </w:numPr>
        <w:tabs>
          <w:tab w:pos="1031" w:val="left" w:leader="none"/>
          <w:tab w:pos="1032" w:val="left" w:leader="none"/>
        </w:tabs>
        <w:spacing w:line="240" w:lineRule="auto" w:before="186" w:after="0"/>
        <w:ind w:left="899" w:right="0" w:hanging="283"/>
        <w:jc w:val="left"/>
        <w:rPr>
          <w:sz w:val="38"/>
        </w:rPr>
      </w:pPr>
      <w:r>
        <w:rPr>
          <w:sz w:val="38"/>
        </w:rPr>
        <w:t>Oedema</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Fluor albus</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Nephritis</w:t>
      </w:r>
    </w:p>
    <w:p>
      <w:pPr>
        <w:pStyle w:val="ListParagraph"/>
        <w:numPr>
          <w:ilvl w:val="0"/>
          <w:numId w:val="120"/>
        </w:numPr>
        <w:tabs>
          <w:tab w:pos="1031" w:val="left" w:leader="none"/>
          <w:tab w:pos="1032" w:val="left" w:leader="none"/>
        </w:tabs>
        <w:spacing w:line="240" w:lineRule="auto" w:before="183" w:after="0"/>
        <w:ind w:left="899" w:right="0" w:hanging="283"/>
        <w:jc w:val="left"/>
        <w:rPr>
          <w:sz w:val="38"/>
        </w:rPr>
      </w:pPr>
      <w:r>
        <w:rPr>
          <w:sz w:val="38"/>
        </w:rPr>
        <w:t>Liver problems</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Skin problems</w:t>
      </w:r>
      <w:r>
        <w:rPr>
          <w:spacing w:val="-3"/>
          <w:sz w:val="38"/>
        </w:rPr>
        <w:t> </w:t>
      </w:r>
      <w:r>
        <w:rPr>
          <w:sz w:val="38"/>
        </w:rPr>
        <w:t>(acne)</w:t>
      </w:r>
    </w:p>
    <w:p>
      <w:pPr>
        <w:pStyle w:val="ListParagraph"/>
        <w:numPr>
          <w:ilvl w:val="0"/>
          <w:numId w:val="120"/>
        </w:numPr>
        <w:tabs>
          <w:tab w:pos="1031" w:val="left" w:leader="none"/>
          <w:tab w:pos="1032" w:val="left" w:leader="none"/>
        </w:tabs>
        <w:spacing w:line="240" w:lineRule="auto" w:before="186" w:after="0"/>
        <w:ind w:left="899" w:right="0" w:hanging="283"/>
        <w:jc w:val="left"/>
        <w:rPr>
          <w:sz w:val="38"/>
        </w:rPr>
      </w:pPr>
      <w:r>
        <w:rPr>
          <w:sz w:val="38"/>
        </w:rPr>
        <w:t>Hay</w:t>
      </w:r>
      <w:r>
        <w:rPr>
          <w:spacing w:val="-2"/>
          <w:sz w:val="38"/>
        </w:rPr>
        <w:t> </w:t>
      </w:r>
      <w:r>
        <w:rPr>
          <w:sz w:val="38"/>
        </w:rPr>
        <w:t>fever</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Hair</w:t>
      </w:r>
      <w:r>
        <w:rPr>
          <w:spacing w:val="-1"/>
          <w:sz w:val="38"/>
        </w:rPr>
        <w:t> </w:t>
      </w:r>
      <w:r>
        <w:rPr>
          <w:sz w:val="38"/>
        </w:rPr>
        <w:t>loss</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Grey</w:t>
      </w:r>
      <w:r>
        <w:rPr>
          <w:spacing w:val="-3"/>
          <w:sz w:val="38"/>
        </w:rPr>
        <w:t> </w:t>
      </w:r>
      <w:r>
        <w:rPr>
          <w:sz w:val="38"/>
        </w:rPr>
        <w:t>hair</w:t>
      </w:r>
    </w:p>
    <w:p>
      <w:pPr>
        <w:pStyle w:val="ListParagraph"/>
        <w:numPr>
          <w:ilvl w:val="0"/>
          <w:numId w:val="120"/>
        </w:numPr>
        <w:tabs>
          <w:tab w:pos="1031" w:val="left" w:leader="none"/>
          <w:tab w:pos="1032" w:val="left" w:leader="none"/>
        </w:tabs>
        <w:spacing w:line="240" w:lineRule="auto" w:before="183" w:after="0"/>
        <w:ind w:left="899" w:right="0" w:hanging="283"/>
        <w:jc w:val="left"/>
        <w:rPr>
          <w:sz w:val="38"/>
        </w:rPr>
      </w:pPr>
      <w:r>
        <w:rPr>
          <w:sz w:val="38"/>
        </w:rPr>
        <w:t>Cancer</w:t>
      </w:r>
    </w:p>
    <w:p>
      <w:pPr>
        <w:pStyle w:val="BodyText"/>
        <w:spacing w:line="276" w:lineRule="auto" w:before="305"/>
        <w:ind w:left="616"/>
      </w:pPr>
      <w:r>
        <w:rPr/>
        <w:t>Polyporus also demonstrates a distinct effect against Staphylococcus aureus and E. coli bacteria.</w:t>
      </w:r>
    </w:p>
    <w:p>
      <w:pPr>
        <w:pStyle w:val="Heading1"/>
        <w:ind w:left="616"/>
      </w:pPr>
      <w:r>
        <w:rPr/>
        <w:t>Effect of Polyporus on cancer</w:t>
      </w:r>
    </w:p>
    <w:p>
      <w:pPr>
        <w:pStyle w:val="BodyText"/>
        <w:spacing w:line="278" w:lineRule="auto" w:before="297"/>
        <w:ind w:left="616" w:right="244"/>
      </w:pPr>
      <w:r>
        <w:rPr/>
        <w:t>Polyporus has demonstrated an anti-tumourous effect in the following types of cancer:</w:t>
      </w:r>
    </w:p>
    <w:p>
      <w:pPr>
        <w:pStyle w:val="ListParagraph"/>
        <w:numPr>
          <w:ilvl w:val="0"/>
          <w:numId w:val="120"/>
        </w:numPr>
        <w:tabs>
          <w:tab w:pos="1031" w:val="left" w:leader="none"/>
          <w:tab w:pos="1032" w:val="left" w:leader="none"/>
        </w:tabs>
        <w:spacing w:line="240" w:lineRule="auto" w:before="193" w:after="0"/>
        <w:ind w:left="899" w:right="0" w:hanging="283"/>
        <w:jc w:val="left"/>
        <w:rPr>
          <w:sz w:val="25"/>
        </w:rPr>
      </w:pPr>
      <w:r>
        <w:rPr>
          <w:sz w:val="38"/>
        </w:rPr>
        <w:t>Liver cancer</w:t>
      </w:r>
      <w:r>
        <w:rPr>
          <w:position w:val="9"/>
          <w:sz w:val="25"/>
        </w:rPr>
        <w:t>979</w:t>
      </w:r>
    </w:p>
    <w:p>
      <w:pPr>
        <w:pStyle w:val="ListParagraph"/>
        <w:numPr>
          <w:ilvl w:val="0"/>
          <w:numId w:val="120"/>
        </w:numPr>
        <w:tabs>
          <w:tab w:pos="1031" w:val="left" w:leader="none"/>
          <w:tab w:pos="1032" w:val="left" w:leader="none"/>
        </w:tabs>
        <w:spacing w:line="240" w:lineRule="auto" w:before="183" w:after="0"/>
        <w:ind w:left="899" w:right="0" w:hanging="283"/>
        <w:jc w:val="left"/>
        <w:rPr>
          <w:sz w:val="38"/>
        </w:rPr>
      </w:pPr>
      <w:r>
        <w:rPr>
          <w:sz w:val="38"/>
        </w:rPr>
        <w:t>Lung cancer</w:t>
      </w:r>
    </w:p>
    <w:p>
      <w:pPr>
        <w:pStyle w:val="BodyText"/>
        <w:rPr>
          <w:sz w:val="20"/>
        </w:rPr>
      </w:pPr>
    </w:p>
    <w:p>
      <w:pPr>
        <w:pStyle w:val="BodyText"/>
        <w:rPr>
          <w:sz w:val="20"/>
        </w:rPr>
      </w:pPr>
    </w:p>
    <w:p>
      <w:pPr>
        <w:pStyle w:val="BodyText"/>
        <w:rPr>
          <w:sz w:val="20"/>
        </w:rPr>
      </w:pPr>
    </w:p>
    <w:p>
      <w:pPr>
        <w:pStyle w:val="BodyText"/>
        <w:spacing w:before="9"/>
        <w:rPr>
          <w:sz w:val="16"/>
        </w:rPr>
      </w:pPr>
      <w:r>
        <w:rPr/>
        <w:pict>
          <v:line style="position:absolute;mso-position-horizontal-relative:page;mso-position-vertical-relative:paragraph;z-index:13376;mso-wrap-distance-left:0;mso-wrap-distance-right:0" from="70.823997pt,11.82225pt" to="214.843997pt,11.82225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4"/>
          <w:sz w:val="10"/>
        </w:rPr>
        <w:t>979 </w:t>
      </w:r>
      <w:r>
        <w:rPr>
          <w:sz w:val="20"/>
        </w:rPr>
        <w:t>Am J Chin Med. 1994; 22 (1), pp. 19–28</w:t>
      </w:r>
    </w:p>
    <w:p>
      <w:pPr>
        <w:spacing w:after="0"/>
        <w:jc w:val="left"/>
        <w:rPr>
          <w:sz w:val="20"/>
        </w:rPr>
        <w:sectPr>
          <w:pgSz w:w="14270" w:h="16850"/>
          <w:pgMar w:header="0" w:footer="1891" w:top="1360" w:bottom="2080" w:left="800" w:right="1280"/>
        </w:sectPr>
      </w:pPr>
    </w:p>
    <w:p>
      <w:pPr>
        <w:pStyle w:val="ListParagraph"/>
        <w:numPr>
          <w:ilvl w:val="0"/>
          <w:numId w:val="120"/>
        </w:numPr>
        <w:tabs>
          <w:tab w:pos="1031" w:val="left" w:leader="none"/>
          <w:tab w:pos="1032" w:val="left" w:leader="none"/>
        </w:tabs>
        <w:spacing w:line="240" w:lineRule="auto" w:before="53" w:after="0"/>
        <w:ind w:left="899" w:right="0" w:hanging="283"/>
        <w:jc w:val="left"/>
        <w:rPr>
          <w:sz w:val="25"/>
        </w:rPr>
      </w:pPr>
      <w:r>
        <w:rPr>
          <w:sz w:val="38"/>
        </w:rPr>
        <w:t>Bladder cancer</w:t>
      </w:r>
      <w:r>
        <w:rPr>
          <w:position w:val="9"/>
          <w:sz w:val="25"/>
        </w:rPr>
        <w:t>980</w:t>
      </w:r>
    </w:p>
    <w:p>
      <w:pPr>
        <w:pStyle w:val="ListParagraph"/>
        <w:numPr>
          <w:ilvl w:val="0"/>
          <w:numId w:val="120"/>
        </w:numPr>
        <w:tabs>
          <w:tab w:pos="1031" w:val="left" w:leader="none"/>
          <w:tab w:pos="1032" w:val="left" w:leader="none"/>
        </w:tabs>
        <w:spacing w:line="240" w:lineRule="auto" w:before="186" w:after="0"/>
        <w:ind w:left="899" w:right="0" w:hanging="283"/>
        <w:jc w:val="left"/>
        <w:rPr>
          <w:sz w:val="25"/>
        </w:rPr>
      </w:pPr>
      <w:r>
        <w:rPr>
          <w:sz w:val="38"/>
        </w:rPr>
        <w:t>Leukaemia</w:t>
      </w:r>
      <w:r>
        <w:rPr>
          <w:position w:val="9"/>
          <w:sz w:val="25"/>
        </w:rPr>
        <w:t>981</w:t>
      </w:r>
    </w:p>
    <w:p>
      <w:pPr>
        <w:pStyle w:val="BodyText"/>
        <w:spacing w:line="278" w:lineRule="auto" w:before="302"/>
        <w:ind w:left="616" w:right="128"/>
        <w:jc w:val="both"/>
      </w:pPr>
      <w:r>
        <w:rPr/>
        <w:t>The Polyporus mechanism can be traced back to the prevention of DNA</w:t>
      </w:r>
      <w:r>
        <w:rPr>
          <w:spacing w:val="-52"/>
        </w:rPr>
        <w:t> </w:t>
      </w:r>
      <w:r>
        <w:rPr/>
        <w:t>syn- thesis in cancer cells which leads to an inhibition of tumour growth of 70 %.</w:t>
      </w:r>
    </w:p>
    <w:p>
      <w:pPr>
        <w:pStyle w:val="BodyText"/>
        <w:spacing w:line="276" w:lineRule="auto" w:before="233"/>
        <w:ind w:left="616" w:right="134"/>
        <w:jc w:val="both"/>
      </w:pPr>
      <w:r>
        <w:rPr/>
        <w:t>Polyporus also alleviates the side-effects of chemotherapy. A Chinese study showed that the feared results of chemotherapy could be alleviated by con- suming Polyporus (lumpy bracket); among other things, hair roots were pro- tected and hair loss thereby minimised.</w:t>
      </w:r>
    </w:p>
    <w:p>
      <w:pPr>
        <w:pStyle w:val="Heading2"/>
        <w:spacing w:before="239"/>
        <w:ind w:left="616"/>
      </w:pPr>
      <w:r>
        <w:rPr/>
        <w:t>Coriolus/turkey tail</w:t>
      </w:r>
    </w:p>
    <w:p>
      <w:pPr>
        <w:pStyle w:val="BodyText"/>
        <w:spacing w:line="276" w:lineRule="auto" w:before="305"/>
        <w:ind w:left="616" w:right="129"/>
        <w:jc w:val="both"/>
      </w:pPr>
      <w:r>
        <w:rPr/>
        <w:t>The Coriolus versicolor, also known as ‘turkey tail’ in English, has been used for all kinds of ailments within TCM (traditional Chinese medicine). Coriolus grows all year round in stacks on the tree trunks and stumps. It has an excep- tionally</w:t>
      </w:r>
      <w:r>
        <w:rPr>
          <w:spacing w:val="-8"/>
        </w:rPr>
        <w:t> </w:t>
      </w:r>
      <w:r>
        <w:rPr/>
        <w:t>strong</w:t>
      </w:r>
      <w:r>
        <w:rPr>
          <w:spacing w:val="-9"/>
        </w:rPr>
        <w:t> </w:t>
      </w:r>
      <w:r>
        <w:rPr/>
        <w:t>anti-viral</w:t>
      </w:r>
      <w:r>
        <w:rPr>
          <w:spacing w:val="-8"/>
        </w:rPr>
        <w:t> </w:t>
      </w:r>
      <w:r>
        <w:rPr/>
        <w:t>effect</w:t>
      </w:r>
      <w:r>
        <w:rPr>
          <w:spacing w:val="-7"/>
        </w:rPr>
        <w:t> </w:t>
      </w:r>
      <w:r>
        <w:rPr/>
        <w:t>and</w:t>
      </w:r>
      <w:r>
        <w:rPr>
          <w:spacing w:val="-7"/>
        </w:rPr>
        <w:t> </w:t>
      </w:r>
      <w:r>
        <w:rPr/>
        <w:t>is</w:t>
      </w:r>
      <w:r>
        <w:rPr>
          <w:spacing w:val="-9"/>
        </w:rPr>
        <w:t> </w:t>
      </w:r>
      <w:r>
        <w:rPr/>
        <w:t>a</w:t>
      </w:r>
      <w:r>
        <w:rPr>
          <w:spacing w:val="-8"/>
        </w:rPr>
        <w:t> </w:t>
      </w:r>
      <w:r>
        <w:rPr/>
        <w:t>shining</w:t>
      </w:r>
      <w:r>
        <w:rPr>
          <w:spacing w:val="-6"/>
        </w:rPr>
        <w:t> </w:t>
      </w:r>
      <w:r>
        <w:rPr/>
        <w:t>example</w:t>
      </w:r>
      <w:r>
        <w:rPr>
          <w:spacing w:val="-7"/>
        </w:rPr>
        <w:t> </w:t>
      </w:r>
      <w:r>
        <w:rPr/>
        <w:t>of</w:t>
      </w:r>
      <w:r>
        <w:rPr>
          <w:spacing w:val="-7"/>
        </w:rPr>
        <w:t> </w:t>
      </w:r>
      <w:r>
        <w:rPr/>
        <w:t>a</w:t>
      </w:r>
      <w:r>
        <w:rPr>
          <w:spacing w:val="-8"/>
        </w:rPr>
        <w:t> </w:t>
      </w:r>
      <w:r>
        <w:rPr/>
        <w:t>treatment</w:t>
      </w:r>
      <w:r>
        <w:rPr>
          <w:spacing w:val="-8"/>
        </w:rPr>
        <w:t> </w:t>
      </w:r>
      <w:r>
        <w:rPr/>
        <w:t>for</w:t>
      </w:r>
      <w:r>
        <w:rPr>
          <w:spacing w:val="-8"/>
        </w:rPr>
        <w:t> </w:t>
      </w:r>
      <w:r>
        <w:rPr/>
        <w:t>her- pes,</w:t>
      </w:r>
      <w:r>
        <w:rPr>
          <w:spacing w:val="-9"/>
        </w:rPr>
        <w:t> </w:t>
      </w:r>
      <w:r>
        <w:rPr/>
        <w:t>shingles</w:t>
      </w:r>
      <w:r>
        <w:rPr>
          <w:spacing w:val="-7"/>
        </w:rPr>
        <w:t> </w:t>
      </w:r>
      <w:r>
        <w:rPr/>
        <w:t>and</w:t>
      </w:r>
      <w:r>
        <w:rPr>
          <w:spacing w:val="-6"/>
        </w:rPr>
        <w:t> </w:t>
      </w:r>
      <w:r>
        <w:rPr/>
        <w:t>influenza</w:t>
      </w:r>
      <w:r>
        <w:rPr>
          <w:spacing w:val="-6"/>
        </w:rPr>
        <w:t> </w:t>
      </w:r>
      <w:r>
        <w:rPr/>
        <w:t>,</w:t>
      </w:r>
      <w:r>
        <w:rPr>
          <w:spacing w:val="-8"/>
        </w:rPr>
        <w:t> </w:t>
      </w:r>
      <w:r>
        <w:rPr/>
        <w:t>as</w:t>
      </w:r>
      <w:r>
        <w:rPr>
          <w:spacing w:val="-9"/>
        </w:rPr>
        <w:t> </w:t>
      </w:r>
      <w:r>
        <w:rPr/>
        <w:t>well</w:t>
      </w:r>
      <w:r>
        <w:rPr>
          <w:spacing w:val="-7"/>
        </w:rPr>
        <w:t> </w:t>
      </w:r>
      <w:r>
        <w:rPr/>
        <w:t>as</w:t>
      </w:r>
      <w:r>
        <w:rPr>
          <w:spacing w:val="-6"/>
        </w:rPr>
        <w:t> </w:t>
      </w:r>
      <w:r>
        <w:rPr/>
        <w:t>HIV.</w:t>
      </w:r>
      <w:r>
        <w:rPr>
          <w:spacing w:val="-5"/>
        </w:rPr>
        <w:t> </w:t>
      </w:r>
      <w:r>
        <w:rPr/>
        <w:t>Its</w:t>
      </w:r>
      <w:r>
        <w:rPr>
          <w:spacing w:val="-8"/>
        </w:rPr>
        <w:t> </w:t>
      </w:r>
      <w:r>
        <w:rPr/>
        <w:t>ingredient</w:t>
      </w:r>
      <w:r>
        <w:rPr>
          <w:spacing w:val="-5"/>
        </w:rPr>
        <w:t> </w:t>
      </w:r>
      <w:r>
        <w:rPr/>
        <w:t>PSK</w:t>
      </w:r>
      <w:r>
        <w:rPr>
          <w:spacing w:val="-5"/>
        </w:rPr>
        <w:t> </w:t>
      </w:r>
      <w:r>
        <w:rPr/>
        <w:t>(Krestin)</w:t>
      </w:r>
      <w:r>
        <w:rPr>
          <w:spacing w:val="-6"/>
        </w:rPr>
        <w:t> </w:t>
      </w:r>
      <w:r>
        <w:rPr/>
        <w:t>com- bats tumour growth and strengthens our immune system.</w:t>
      </w:r>
    </w:p>
    <w:p>
      <w:pPr>
        <w:pStyle w:val="Heading1"/>
        <w:spacing w:before="223"/>
        <w:ind w:left="616"/>
      </w:pPr>
      <w:r>
        <w:rPr/>
        <w:t>Active ingredients of Coriolus, turkey</w:t>
      </w:r>
      <w:r>
        <w:rPr>
          <w:spacing w:val="-52"/>
        </w:rPr>
        <w:t> </w:t>
      </w:r>
      <w:r>
        <w:rPr/>
        <w:t>tail</w:t>
      </w:r>
    </w:p>
    <w:p>
      <w:pPr>
        <w:pStyle w:val="BodyText"/>
        <w:spacing w:line="276" w:lineRule="auto" w:before="299"/>
        <w:ind w:left="616" w:right="129"/>
        <w:jc w:val="both"/>
      </w:pPr>
      <w:r>
        <w:rPr/>
        <w:t>Two</w:t>
      </w:r>
      <w:r>
        <w:rPr>
          <w:spacing w:val="-16"/>
        </w:rPr>
        <w:t> </w:t>
      </w:r>
      <w:r>
        <w:rPr/>
        <w:t>active</w:t>
      </w:r>
      <w:r>
        <w:rPr>
          <w:spacing w:val="-16"/>
        </w:rPr>
        <w:t> </w:t>
      </w:r>
      <w:r>
        <w:rPr/>
        <w:t>ingredients</w:t>
      </w:r>
      <w:r>
        <w:rPr>
          <w:spacing w:val="-16"/>
        </w:rPr>
        <w:t> </w:t>
      </w:r>
      <w:r>
        <w:rPr/>
        <w:t>in</w:t>
      </w:r>
      <w:r>
        <w:rPr>
          <w:spacing w:val="-15"/>
        </w:rPr>
        <w:t> </w:t>
      </w:r>
      <w:r>
        <w:rPr/>
        <w:t>particular</w:t>
      </w:r>
      <w:r>
        <w:rPr>
          <w:spacing w:val="-16"/>
        </w:rPr>
        <w:t> </w:t>
      </w:r>
      <w:r>
        <w:rPr/>
        <w:t>stand</w:t>
      </w:r>
      <w:r>
        <w:rPr>
          <w:spacing w:val="-15"/>
        </w:rPr>
        <w:t> </w:t>
      </w:r>
      <w:r>
        <w:rPr/>
        <w:t>out</w:t>
      </w:r>
      <w:r>
        <w:rPr>
          <w:spacing w:val="-18"/>
        </w:rPr>
        <w:t> </w:t>
      </w:r>
      <w:r>
        <w:rPr/>
        <w:t>above</w:t>
      </w:r>
      <w:r>
        <w:rPr>
          <w:spacing w:val="-16"/>
        </w:rPr>
        <w:t> </w:t>
      </w:r>
      <w:r>
        <w:rPr/>
        <w:t>the</w:t>
      </w:r>
      <w:r>
        <w:rPr>
          <w:spacing w:val="-15"/>
        </w:rPr>
        <w:t> </w:t>
      </w:r>
      <w:r>
        <w:rPr/>
        <w:t>rest</w:t>
      </w:r>
      <w:r>
        <w:rPr>
          <w:spacing w:val="-15"/>
        </w:rPr>
        <w:t> </w:t>
      </w:r>
      <w:r>
        <w:rPr/>
        <w:t>and</w:t>
      </w:r>
      <w:r>
        <w:rPr>
          <w:spacing w:val="-16"/>
        </w:rPr>
        <w:t> </w:t>
      </w:r>
      <w:r>
        <w:rPr/>
        <w:t>are</w:t>
      </w:r>
      <w:r>
        <w:rPr>
          <w:spacing w:val="-15"/>
        </w:rPr>
        <w:t> </w:t>
      </w:r>
      <w:r>
        <w:rPr/>
        <w:t>more</w:t>
      </w:r>
      <w:r>
        <w:rPr>
          <w:spacing w:val="-16"/>
        </w:rPr>
        <w:t> </w:t>
      </w:r>
      <w:r>
        <w:rPr/>
        <w:t>than worth</w:t>
      </w:r>
      <w:r>
        <w:rPr>
          <w:spacing w:val="-6"/>
        </w:rPr>
        <w:t> </w:t>
      </w:r>
      <w:r>
        <w:rPr/>
        <w:t>a</w:t>
      </w:r>
      <w:r>
        <w:rPr>
          <w:spacing w:val="-8"/>
        </w:rPr>
        <w:t> </w:t>
      </w:r>
      <w:r>
        <w:rPr/>
        <w:t>mention.</w:t>
      </w:r>
      <w:r>
        <w:rPr>
          <w:spacing w:val="-6"/>
        </w:rPr>
        <w:t> </w:t>
      </w:r>
      <w:r>
        <w:rPr/>
        <w:t>We</w:t>
      </w:r>
      <w:r>
        <w:rPr>
          <w:spacing w:val="-8"/>
        </w:rPr>
        <w:t> </w:t>
      </w:r>
      <w:r>
        <w:rPr/>
        <w:t>refer</w:t>
      </w:r>
      <w:r>
        <w:rPr>
          <w:spacing w:val="-8"/>
        </w:rPr>
        <w:t> </w:t>
      </w:r>
      <w:r>
        <w:rPr/>
        <w:t>here</w:t>
      </w:r>
      <w:r>
        <w:rPr>
          <w:spacing w:val="-8"/>
        </w:rPr>
        <w:t> </w:t>
      </w:r>
      <w:r>
        <w:rPr/>
        <w:t>to</w:t>
      </w:r>
      <w:r>
        <w:rPr>
          <w:spacing w:val="-7"/>
        </w:rPr>
        <w:t> </w:t>
      </w:r>
      <w:r>
        <w:rPr/>
        <w:t>PSP</w:t>
      </w:r>
      <w:r>
        <w:rPr>
          <w:spacing w:val="-7"/>
        </w:rPr>
        <w:t> </w:t>
      </w:r>
      <w:r>
        <w:rPr/>
        <w:t>and</w:t>
      </w:r>
      <w:r>
        <w:rPr>
          <w:spacing w:val="-7"/>
        </w:rPr>
        <w:t> </w:t>
      </w:r>
      <w:r>
        <w:rPr/>
        <w:t>PSK,</w:t>
      </w:r>
      <w:r>
        <w:rPr>
          <w:spacing w:val="-7"/>
        </w:rPr>
        <w:t> </w:t>
      </w:r>
      <w:r>
        <w:rPr/>
        <w:t>two</w:t>
      </w:r>
      <w:r>
        <w:rPr>
          <w:spacing w:val="-6"/>
        </w:rPr>
        <w:t> </w:t>
      </w:r>
      <w:r>
        <w:rPr/>
        <w:t>highly-efficient</w:t>
      </w:r>
      <w:r>
        <w:rPr>
          <w:spacing w:val="-6"/>
        </w:rPr>
        <w:t> </w:t>
      </w:r>
      <w:r>
        <w:rPr/>
        <w:t>polysac- charides which have proven effective in numerous types of</w:t>
      </w:r>
      <w:r>
        <w:rPr>
          <w:spacing w:val="-8"/>
        </w:rPr>
        <w:t> </w:t>
      </w:r>
      <w:r>
        <w:rPr/>
        <w:t>cancer.</w:t>
      </w:r>
    </w:p>
    <w:p>
      <w:pPr>
        <w:pStyle w:val="BodyText"/>
        <w:rPr>
          <w:sz w:val="20"/>
        </w:rPr>
      </w:pPr>
    </w:p>
    <w:p>
      <w:pPr>
        <w:pStyle w:val="BodyText"/>
        <w:rPr>
          <w:sz w:val="20"/>
        </w:rPr>
      </w:pPr>
    </w:p>
    <w:p>
      <w:pPr>
        <w:pStyle w:val="BodyText"/>
        <w:spacing w:before="8"/>
        <w:rPr>
          <w:sz w:val="17"/>
        </w:rPr>
      </w:pPr>
      <w:r>
        <w:rPr/>
        <w:pict>
          <v:line style="position:absolute;mso-position-horizontal-relative:page;mso-position-vertical-relative:paragraph;z-index:13400;mso-wrap-distance-left:0;mso-wrap-distance-right:0" from="70.823997pt,12.341196pt" to="214.843997pt,12.341196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980 </w:t>
      </w:r>
      <w:r>
        <w:rPr>
          <w:sz w:val="20"/>
        </w:rPr>
        <w:t>Am J Chin Med. 2011; 39 (1), pp. 135–144</w:t>
      </w:r>
    </w:p>
    <w:p>
      <w:pPr>
        <w:spacing w:before="94"/>
        <w:ind w:left="616" w:right="0" w:firstLine="0"/>
        <w:jc w:val="left"/>
        <w:rPr>
          <w:sz w:val="20"/>
        </w:rPr>
      </w:pPr>
      <w:r>
        <w:rPr>
          <w:position w:val="5"/>
          <w:sz w:val="13"/>
        </w:rPr>
        <w:t>981 </w:t>
      </w:r>
      <w:r>
        <w:rPr>
          <w:sz w:val="20"/>
        </w:rPr>
        <w:t>Zhongguo Zhong Xi Yi Jie He Za Zhi. 1996 Apr; 16 (4), pp. 224–226</w:t>
      </w:r>
    </w:p>
    <w:p>
      <w:pPr>
        <w:spacing w:after="0"/>
        <w:jc w:val="left"/>
        <w:rPr>
          <w:sz w:val="20"/>
        </w:rPr>
        <w:sectPr>
          <w:pgSz w:w="14270" w:h="16850"/>
          <w:pgMar w:header="0" w:footer="1891" w:top="1360" w:bottom="2080" w:left="800" w:right="1280"/>
        </w:sectPr>
      </w:pPr>
    </w:p>
    <w:p>
      <w:pPr>
        <w:pStyle w:val="Heading1"/>
        <w:spacing w:before="77"/>
        <w:ind w:left="616"/>
      </w:pPr>
      <w:r>
        <w:rPr/>
        <w:t>Effect of Coriolus, turkey tail</w:t>
      </w:r>
    </w:p>
    <w:p>
      <w:pPr>
        <w:pStyle w:val="BodyText"/>
        <w:spacing w:line="276" w:lineRule="auto" w:before="299"/>
        <w:ind w:left="616"/>
      </w:pPr>
      <w:r>
        <w:rPr/>
        <w:t>Coriolus versicolor has an antiviral, antibacterial, antifungal, detoxifying and tumour inhibiting effect while also stimulating the immune system.</w:t>
      </w:r>
    </w:p>
    <w:p>
      <w:pPr>
        <w:pStyle w:val="Heading1"/>
        <w:spacing w:before="221"/>
        <w:ind w:left="616"/>
      </w:pPr>
      <w:r>
        <w:rPr/>
        <w:t>Coriolus has a positive influence on the following organs:</w:t>
      </w:r>
    </w:p>
    <w:p>
      <w:pPr>
        <w:pStyle w:val="ListParagraph"/>
        <w:numPr>
          <w:ilvl w:val="0"/>
          <w:numId w:val="120"/>
        </w:numPr>
        <w:tabs>
          <w:tab w:pos="1031" w:val="left" w:leader="none"/>
          <w:tab w:pos="1032" w:val="left" w:leader="none"/>
        </w:tabs>
        <w:spacing w:line="240" w:lineRule="auto" w:before="260" w:after="0"/>
        <w:ind w:left="899" w:right="0" w:hanging="283"/>
        <w:jc w:val="left"/>
        <w:rPr>
          <w:sz w:val="38"/>
        </w:rPr>
      </w:pPr>
      <w:r>
        <w:rPr>
          <w:sz w:val="38"/>
        </w:rPr>
        <w:t>Heart</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Spleen</w:t>
      </w:r>
    </w:p>
    <w:p>
      <w:pPr>
        <w:pStyle w:val="ListParagraph"/>
        <w:numPr>
          <w:ilvl w:val="0"/>
          <w:numId w:val="120"/>
        </w:numPr>
        <w:tabs>
          <w:tab w:pos="1031" w:val="left" w:leader="none"/>
          <w:tab w:pos="1032" w:val="left" w:leader="none"/>
        </w:tabs>
        <w:spacing w:line="240" w:lineRule="auto" w:before="187" w:after="0"/>
        <w:ind w:left="899" w:right="0" w:hanging="283"/>
        <w:jc w:val="left"/>
        <w:rPr>
          <w:sz w:val="38"/>
        </w:rPr>
      </w:pPr>
      <w:r>
        <w:rPr>
          <w:sz w:val="38"/>
        </w:rPr>
        <w:t>Liver</w:t>
      </w:r>
    </w:p>
    <w:p>
      <w:pPr>
        <w:pStyle w:val="Heading1"/>
        <w:spacing w:line="264" w:lineRule="auto" w:before="284"/>
        <w:ind w:left="616"/>
      </w:pPr>
      <w:r>
        <w:rPr/>
        <w:t>Coriolus versicolor has more than proven itself in the following syn- dromes and complaints:</w:t>
      </w:r>
    </w:p>
    <w:p>
      <w:pPr>
        <w:pStyle w:val="ListParagraph"/>
        <w:numPr>
          <w:ilvl w:val="0"/>
          <w:numId w:val="120"/>
        </w:numPr>
        <w:tabs>
          <w:tab w:pos="1031" w:val="left" w:leader="none"/>
          <w:tab w:pos="1032" w:val="left" w:leader="none"/>
        </w:tabs>
        <w:spacing w:line="240" w:lineRule="auto" w:before="212" w:after="0"/>
        <w:ind w:left="899" w:right="0" w:hanging="283"/>
        <w:jc w:val="left"/>
        <w:rPr>
          <w:sz w:val="38"/>
        </w:rPr>
      </w:pPr>
      <w:r>
        <w:rPr>
          <w:sz w:val="38"/>
        </w:rPr>
        <w:t>Cardiovascular</w:t>
      </w:r>
      <w:r>
        <w:rPr>
          <w:spacing w:val="1"/>
          <w:sz w:val="38"/>
        </w:rPr>
        <w:t> </w:t>
      </w:r>
      <w:r>
        <w:rPr>
          <w:sz w:val="38"/>
        </w:rPr>
        <w:t>diseases</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Atherosclerosis</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High blood</w:t>
      </w:r>
      <w:r>
        <w:rPr>
          <w:spacing w:val="-1"/>
          <w:sz w:val="38"/>
        </w:rPr>
        <w:t> </w:t>
      </w:r>
      <w:r>
        <w:rPr>
          <w:sz w:val="38"/>
        </w:rPr>
        <w:t>pressure</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High cholesterol</w:t>
      </w:r>
    </w:p>
    <w:p>
      <w:pPr>
        <w:pStyle w:val="ListParagraph"/>
        <w:numPr>
          <w:ilvl w:val="0"/>
          <w:numId w:val="120"/>
        </w:numPr>
        <w:tabs>
          <w:tab w:pos="1031" w:val="left" w:leader="none"/>
          <w:tab w:pos="1032" w:val="left" w:leader="none"/>
        </w:tabs>
        <w:spacing w:line="240" w:lineRule="auto" w:before="186" w:after="0"/>
        <w:ind w:left="899" w:right="0" w:hanging="283"/>
        <w:jc w:val="left"/>
        <w:rPr>
          <w:sz w:val="38"/>
        </w:rPr>
      </w:pPr>
      <w:r>
        <w:rPr>
          <w:sz w:val="38"/>
        </w:rPr>
        <w:t>Rheumatism (arthritis)</w:t>
      </w:r>
    </w:p>
    <w:p>
      <w:pPr>
        <w:pStyle w:val="ListParagraph"/>
        <w:numPr>
          <w:ilvl w:val="0"/>
          <w:numId w:val="120"/>
        </w:numPr>
        <w:tabs>
          <w:tab w:pos="1031" w:val="left" w:leader="none"/>
          <w:tab w:pos="1032" w:val="left" w:leader="none"/>
        </w:tabs>
        <w:spacing w:line="240" w:lineRule="auto" w:before="183" w:after="0"/>
        <w:ind w:left="899" w:right="0" w:hanging="283"/>
        <w:jc w:val="left"/>
        <w:rPr>
          <w:sz w:val="38"/>
        </w:rPr>
      </w:pPr>
      <w:r>
        <w:rPr>
          <w:sz w:val="38"/>
        </w:rPr>
        <w:t>Liver disease</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Kidney inflammation</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expectorant</w:t>
      </w:r>
    </w:p>
    <w:p>
      <w:pPr>
        <w:pStyle w:val="ListParagraph"/>
        <w:numPr>
          <w:ilvl w:val="0"/>
          <w:numId w:val="120"/>
        </w:numPr>
        <w:tabs>
          <w:tab w:pos="1031" w:val="left" w:leader="none"/>
          <w:tab w:pos="1032" w:val="left" w:leader="none"/>
        </w:tabs>
        <w:spacing w:line="240" w:lineRule="auto" w:before="184" w:after="0"/>
        <w:ind w:left="899" w:right="0" w:hanging="283"/>
        <w:jc w:val="left"/>
        <w:rPr>
          <w:sz w:val="38"/>
        </w:rPr>
      </w:pPr>
      <w:r>
        <w:rPr>
          <w:sz w:val="38"/>
        </w:rPr>
        <w:t>Chronic fatigue</w:t>
      </w:r>
      <w:r>
        <w:rPr>
          <w:spacing w:val="-3"/>
          <w:sz w:val="38"/>
        </w:rPr>
        <w:t> </w:t>
      </w:r>
      <w:r>
        <w:rPr>
          <w:sz w:val="38"/>
        </w:rPr>
        <w:t>syndrome</w:t>
      </w:r>
    </w:p>
    <w:p>
      <w:pPr>
        <w:pStyle w:val="ListParagraph"/>
        <w:numPr>
          <w:ilvl w:val="0"/>
          <w:numId w:val="120"/>
        </w:numPr>
        <w:tabs>
          <w:tab w:pos="1031" w:val="left" w:leader="none"/>
          <w:tab w:pos="1032" w:val="left" w:leader="none"/>
        </w:tabs>
        <w:spacing w:line="240" w:lineRule="auto" w:before="186" w:after="0"/>
        <w:ind w:left="899" w:right="0" w:hanging="283"/>
        <w:jc w:val="left"/>
        <w:rPr>
          <w:sz w:val="38"/>
        </w:rPr>
      </w:pPr>
      <w:r>
        <w:rPr>
          <w:sz w:val="38"/>
        </w:rPr>
        <w:t>Infections</w:t>
      </w:r>
    </w:p>
    <w:p>
      <w:pPr>
        <w:spacing w:after="0" w:line="240" w:lineRule="auto"/>
        <w:jc w:val="left"/>
        <w:rPr>
          <w:sz w:val="38"/>
        </w:rPr>
        <w:sectPr>
          <w:pgSz w:w="14270" w:h="16850"/>
          <w:pgMar w:header="0" w:footer="1891" w:top="1320" w:bottom="2080" w:left="800" w:right="1280"/>
        </w:sectPr>
      </w:pPr>
    </w:p>
    <w:p>
      <w:pPr>
        <w:pStyle w:val="ListParagraph"/>
        <w:numPr>
          <w:ilvl w:val="0"/>
          <w:numId w:val="120"/>
        </w:numPr>
        <w:tabs>
          <w:tab w:pos="1032" w:val="left" w:leader="none"/>
        </w:tabs>
        <w:spacing w:line="240" w:lineRule="auto" w:before="53" w:after="0"/>
        <w:ind w:left="899" w:right="0" w:hanging="283"/>
        <w:jc w:val="both"/>
        <w:rPr>
          <w:sz w:val="38"/>
        </w:rPr>
      </w:pPr>
      <w:r>
        <w:rPr>
          <w:sz w:val="38"/>
        </w:rPr>
        <w:t>Influenza</w:t>
      </w:r>
    </w:p>
    <w:p>
      <w:pPr>
        <w:pStyle w:val="ListParagraph"/>
        <w:numPr>
          <w:ilvl w:val="0"/>
          <w:numId w:val="120"/>
        </w:numPr>
        <w:tabs>
          <w:tab w:pos="1032" w:val="left" w:leader="none"/>
        </w:tabs>
        <w:spacing w:line="240" w:lineRule="auto" w:before="186" w:after="0"/>
        <w:ind w:left="899" w:right="0" w:hanging="283"/>
        <w:jc w:val="both"/>
        <w:rPr>
          <w:sz w:val="38"/>
        </w:rPr>
      </w:pPr>
      <w:r>
        <w:rPr>
          <w:sz w:val="38"/>
        </w:rPr>
        <w:t>Shingles</w:t>
      </w:r>
    </w:p>
    <w:p>
      <w:pPr>
        <w:pStyle w:val="ListParagraph"/>
        <w:numPr>
          <w:ilvl w:val="0"/>
          <w:numId w:val="120"/>
        </w:numPr>
        <w:tabs>
          <w:tab w:pos="1032" w:val="left" w:leader="none"/>
        </w:tabs>
        <w:spacing w:line="240" w:lineRule="auto" w:before="184" w:after="0"/>
        <w:ind w:left="899" w:right="0" w:hanging="283"/>
        <w:jc w:val="both"/>
        <w:rPr>
          <w:sz w:val="38"/>
        </w:rPr>
      </w:pPr>
      <w:r>
        <w:rPr>
          <w:sz w:val="38"/>
        </w:rPr>
        <w:t>Cytomegaly</w:t>
      </w:r>
    </w:p>
    <w:p>
      <w:pPr>
        <w:pStyle w:val="ListParagraph"/>
        <w:numPr>
          <w:ilvl w:val="0"/>
          <w:numId w:val="120"/>
        </w:numPr>
        <w:tabs>
          <w:tab w:pos="1032" w:val="left" w:leader="none"/>
        </w:tabs>
        <w:spacing w:line="240" w:lineRule="auto" w:before="184" w:after="0"/>
        <w:ind w:left="899" w:right="0" w:hanging="283"/>
        <w:jc w:val="both"/>
        <w:rPr>
          <w:sz w:val="38"/>
        </w:rPr>
      </w:pPr>
      <w:r>
        <w:rPr>
          <w:sz w:val="38"/>
        </w:rPr>
        <w:t>Herpes</w:t>
      </w:r>
    </w:p>
    <w:p>
      <w:pPr>
        <w:pStyle w:val="ListParagraph"/>
        <w:numPr>
          <w:ilvl w:val="0"/>
          <w:numId w:val="120"/>
        </w:numPr>
        <w:tabs>
          <w:tab w:pos="1032" w:val="left" w:leader="none"/>
        </w:tabs>
        <w:spacing w:line="240" w:lineRule="auto" w:before="183" w:after="0"/>
        <w:ind w:left="899" w:right="0" w:hanging="283"/>
        <w:jc w:val="both"/>
        <w:rPr>
          <w:sz w:val="38"/>
        </w:rPr>
      </w:pPr>
      <w:r>
        <w:rPr>
          <w:sz w:val="38"/>
        </w:rPr>
        <w:t>Candida</w:t>
      </w:r>
    </w:p>
    <w:p>
      <w:pPr>
        <w:pStyle w:val="ListParagraph"/>
        <w:numPr>
          <w:ilvl w:val="0"/>
          <w:numId w:val="120"/>
        </w:numPr>
        <w:tabs>
          <w:tab w:pos="1032" w:val="left" w:leader="none"/>
        </w:tabs>
        <w:spacing w:line="240" w:lineRule="auto" w:before="184" w:after="0"/>
        <w:ind w:left="899" w:right="0" w:hanging="283"/>
        <w:jc w:val="both"/>
        <w:rPr>
          <w:sz w:val="38"/>
        </w:rPr>
      </w:pPr>
      <w:r>
        <w:rPr>
          <w:sz w:val="38"/>
        </w:rPr>
        <w:t>Hepatitis</w:t>
      </w:r>
    </w:p>
    <w:p>
      <w:pPr>
        <w:pStyle w:val="ListParagraph"/>
        <w:numPr>
          <w:ilvl w:val="0"/>
          <w:numId w:val="120"/>
        </w:numPr>
        <w:tabs>
          <w:tab w:pos="1032" w:val="left" w:leader="none"/>
        </w:tabs>
        <w:spacing w:line="240" w:lineRule="auto" w:before="186" w:after="0"/>
        <w:ind w:left="899" w:right="0" w:hanging="283"/>
        <w:jc w:val="both"/>
        <w:rPr>
          <w:sz w:val="38"/>
        </w:rPr>
      </w:pPr>
      <w:r>
        <w:rPr>
          <w:sz w:val="38"/>
        </w:rPr>
        <w:t>Cancer</w:t>
      </w:r>
    </w:p>
    <w:p>
      <w:pPr>
        <w:pStyle w:val="ListParagraph"/>
        <w:numPr>
          <w:ilvl w:val="0"/>
          <w:numId w:val="120"/>
        </w:numPr>
        <w:tabs>
          <w:tab w:pos="1032" w:val="left" w:leader="none"/>
        </w:tabs>
        <w:spacing w:line="240" w:lineRule="auto" w:before="184" w:after="0"/>
        <w:ind w:left="899" w:right="0" w:hanging="283"/>
        <w:jc w:val="both"/>
        <w:rPr>
          <w:sz w:val="38"/>
        </w:rPr>
      </w:pPr>
      <w:r>
        <w:rPr>
          <w:sz w:val="38"/>
        </w:rPr>
        <w:t>HIV</w:t>
      </w:r>
    </w:p>
    <w:p>
      <w:pPr>
        <w:pStyle w:val="BodyText"/>
        <w:rPr>
          <w:sz w:val="44"/>
        </w:rPr>
      </w:pPr>
    </w:p>
    <w:p>
      <w:pPr>
        <w:pStyle w:val="BodyText"/>
        <w:spacing w:before="4"/>
        <w:rPr>
          <w:sz w:val="46"/>
        </w:rPr>
      </w:pPr>
    </w:p>
    <w:p>
      <w:pPr>
        <w:pStyle w:val="Heading1"/>
        <w:spacing w:before="0"/>
        <w:ind w:left="616"/>
        <w:jc w:val="both"/>
      </w:pPr>
      <w:r>
        <w:rPr/>
        <w:t>Effect of Coriolus on cardiovascular</w:t>
      </w:r>
      <w:r>
        <w:rPr>
          <w:spacing w:val="-66"/>
        </w:rPr>
        <w:t> </w:t>
      </w:r>
      <w:r>
        <w:rPr/>
        <w:t>diseases</w:t>
      </w:r>
    </w:p>
    <w:p>
      <w:pPr>
        <w:pStyle w:val="BodyText"/>
        <w:spacing w:line="276" w:lineRule="auto" w:before="300"/>
        <w:ind w:left="616" w:right="136"/>
        <w:jc w:val="both"/>
      </w:pPr>
      <w:r>
        <w:rPr/>
        <w:t>Coriolus</w:t>
      </w:r>
      <w:r>
        <w:rPr>
          <w:spacing w:val="-27"/>
        </w:rPr>
        <w:t> </w:t>
      </w:r>
      <w:r>
        <w:rPr/>
        <w:t>versicolor</w:t>
      </w:r>
      <w:r>
        <w:rPr>
          <w:spacing w:val="-25"/>
        </w:rPr>
        <w:t> </w:t>
      </w:r>
      <w:r>
        <w:rPr/>
        <w:t>has</w:t>
      </w:r>
      <w:r>
        <w:rPr>
          <w:spacing w:val="-25"/>
        </w:rPr>
        <w:t> </w:t>
      </w:r>
      <w:r>
        <w:rPr/>
        <w:t>a</w:t>
      </w:r>
      <w:r>
        <w:rPr>
          <w:spacing w:val="-27"/>
        </w:rPr>
        <w:t> </w:t>
      </w:r>
      <w:r>
        <w:rPr/>
        <w:t>positive</w:t>
      </w:r>
      <w:r>
        <w:rPr>
          <w:spacing w:val="-29"/>
        </w:rPr>
        <w:t> </w:t>
      </w:r>
      <w:r>
        <w:rPr/>
        <w:t>effect</w:t>
      </w:r>
      <w:r>
        <w:rPr>
          <w:spacing w:val="-26"/>
        </w:rPr>
        <w:t> </w:t>
      </w:r>
      <w:r>
        <w:rPr/>
        <w:t>on</w:t>
      </w:r>
      <w:r>
        <w:rPr>
          <w:spacing w:val="-25"/>
        </w:rPr>
        <w:t> </w:t>
      </w:r>
      <w:r>
        <w:rPr/>
        <w:t>the</w:t>
      </w:r>
      <w:r>
        <w:rPr>
          <w:spacing w:val="-25"/>
        </w:rPr>
        <w:t> </w:t>
      </w:r>
      <w:r>
        <w:rPr/>
        <w:t>heart</w:t>
      </w:r>
      <w:r>
        <w:rPr>
          <w:spacing w:val="-26"/>
        </w:rPr>
        <w:t> </w:t>
      </w:r>
      <w:r>
        <w:rPr/>
        <w:t>by</w:t>
      </w:r>
      <w:r>
        <w:rPr>
          <w:spacing w:val="-27"/>
        </w:rPr>
        <w:t> </w:t>
      </w:r>
      <w:r>
        <w:rPr/>
        <w:t>strengthening</w:t>
      </w:r>
      <w:r>
        <w:rPr>
          <w:spacing w:val="-26"/>
        </w:rPr>
        <w:t> </w:t>
      </w:r>
      <w:r>
        <w:rPr/>
        <w:t>the</w:t>
      </w:r>
      <w:r>
        <w:rPr>
          <w:spacing w:val="-25"/>
        </w:rPr>
        <w:t> </w:t>
      </w:r>
      <w:r>
        <w:rPr/>
        <w:t>heart, regulating high blood pressure and cholesterol levels</w:t>
      </w:r>
      <w:r>
        <w:rPr>
          <w:position w:val="9"/>
          <w:sz w:val="25"/>
        </w:rPr>
        <w:t>982 </w:t>
      </w:r>
      <w:r>
        <w:rPr/>
        <w:t>and inhibiting arterio- sclerosis</w:t>
      </w:r>
      <w:r>
        <w:rPr>
          <w:position w:val="9"/>
          <w:sz w:val="25"/>
        </w:rPr>
        <w:t>983</w:t>
      </w:r>
      <w:r>
        <w:rPr/>
        <w:t>.</w:t>
      </w:r>
    </w:p>
    <w:p>
      <w:pPr>
        <w:pStyle w:val="Heading1"/>
        <w:ind w:left="616"/>
      </w:pPr>
      <w:r>
        <w:rPr/>
        <w:t>Effect of Coriolus on cancer</w:t>
      </w:r>
    </w:p>
    <w:p>
      <w:pPr>
        <w:pStyle w:val="BodyText"/>
        <w:spacing w:line="278" w:lineRule="auto" w:before="297"/>
        <w:ind w:left="616"/>
      </w:pPr>
      <w:r>
        <w:rPr/>
        <w:t>Coriolus has proven itself to be anti-cancerous and have a regressive effect</w:t>
      </w:r>
      <w:r>
        <w:rPr>
          <w:spacing w:val="-63"/>
        </w:rPr>
        <w:t> </w:t>
      </w:r>
      <w:r>
        <w:rPr/>
        <w:t>on the following types of cancer:</w:t>
      </w:r>
    </w:p>
    <w:p>
      <w:pPr>
        <w:pStyle w:val="ListParagraph"/>
        <w:numPr>
          <w:ilvl w:val="0"/>
          <w:numId w:val="120"/>
        </w:numPr>
        <w:tabs>
          <w:tab w:pos="1032" w:val="left" w:leader="none"/>
        </w:tabs>
        <w:spacing w:line="240" w:lineRule="auto" w:before="193" w:after="0"/>
        <w:ind w:left="899" w:right="0" w:hanging="283"/>
        <w:jc w:val="both"/>
        <w:rPr>
          <w:sz w:val="38"/>
        </w:rPr>
      </w:pPr>
      <w:r>
        <w:rPr>
          <w:sz w:val="38"/>
        </w:rPr>
        <w:t>Prostate</w:t>
      </w:r>
      <w:r>
        <w:rPr>
          <w:spacing w:val="-1"/>
          <w:sz w:val="38"/>
        </w:rPr>
        <w:t> </w:t>
      </w:r>
      <w:r>
        <w:rPr>
          <w:sz w:val="38"/>
        </w:rPr>
        <w:t>cancer</w:t>
      </w:r>
    </w:p>
    <w:p>
      <w:pPr>
        <w:pStyle w:val="ListParagraph"/>
        <w:numPr>
          <w:ilvl w:val="0"/>
          <w:numId w:val="120"/>
        </w:numPr>
        <w:tabs>
          <w:tab w:pos="1032" w:val="left" w:leader="none"/>
        </w:tabs>
        <w:spacing w:line="240" w:lineRule="auto" w:before="184" w:after="0"/>
        <w:ind w:left="899" w:right="0" w:hanging="283"/>
        <w:jc w:val="both"/>
        <w:rPr>
          <w:sz w:val="38"/>
        </w:rPr>
      </w:pPr>
      <w:r>
        <w:rPr>
          <w:sz w:val="38"/>
        </w:rPr>
        <w:t>Lung cancer</w:t>
      </w:r>
    </w:p>
    <w:p>
      <w:pPr>
        <w:pStyle w:val="BodyText"/>
        <w:spacing w:before="6"/>
        <w:rPr>
          <w:sz w:val="16"/>
        </w:rPr>
      </w:pPr>
      <w:r>
        <w:rPr/>
        <w:pict>
          <v:line style="position:absolute;mso-position-horizontal-relative:page;mso-position-vertical-relative:paragraph;z-index:13424;mso-wrap-distance-left:0;mso-wrap-distance-right:0" from="70.823997pt,11.69354pt" to="214.843997pt,11.69354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982  </w:t>
      </w:r>
      <w:r>
        <w:rPr>
          <w:sz w:val="20"/>
        </w:rPr>
        <w:t>Am J Chin Med. 2000; 28(2), pp.</w:t>
      </w:r>
      <w:r>
        <w:rPr>
          <w:spacing w:val="-30"/>
          <w:sz w:val="20"/>
        </w:rPr>
        <w:t> </w:t>
      </w:r>
      <w:r>
        <w:rPr>
          <w:sz w:val="20"/>
        </w:rPr>
        <w:t>239–249.</w:t>
      </w:r>
    </w:p>
    <w:p>
      <w:pPr>
        <w:spacing w:before="94"/>
        <w:ind w:left="616" w:right="0" w:firstLine="0"/>
        <w:jc w:val="left"/>
        <w:rPr>
          <w:sz w:val="20"/>
        </w:rPr>
      </w:pPr>
      <w:r>
        <w:rPr>
          <w:position w:val="5"/>
          <w:sz w:val="13"/>
        </w:rPr>
        <w:t>983  </w:t>
      </w:r>
      <w:r>
        <w:rPr>
          <w:sz w:val="20"/>
        </w:rPr>
        <w:t>Am J Chin Med. 2000; 28(2), pp.</w:t>
      </w:r>
      <w:r>
        <w:rPr>
          <w:spacing w:val="-30"/>
          <w:sz w:val="20"/>
        </w:rPr>
        <w:t> </w:t>
      </w:r>
      <w:r>
        <w:rPr>
          <w:sz w:val="20"/>
        </w:rPr>
        <w:t>239–249.</w:t>
      </w:r>
    </w:p>
    <w:p>
      <w:pPr>
        <w:spacing w:after="0"/>
        <w:jc w:val="left"/>
        <w:rPr>
          <w:sz w:val="20"/>
        </w:rPr>
        <w:sectPr>
          <w:pgSz w:w="14270" w:h="16850"/>
          <w:pgMar w:header="0" w:footer="1891" w:top="1360" w:bottom="2080" w:left="800" w:right="1280"/>
        </w:sectPr>
      </w:pPr>
    </w:p>
    <w:p>
      <w:pPr>
        <w:pStyle w:val="ListParagraph"/>
        <w:numPr>
          <w:ilvl w:val="0"/>
          <w:numId w:val="120"/>
        </w:numPr>
        <w:tabs>
          <w:tab w:pos="1032" w:val="left" w:leader="none"/>
        </w:tabs>
        <w:spacing w:line="240" w:lineRule="auto" w:before="53" w:after="0"/>
        <w:ind w:left="899" w:right="0" w:hanging="283"/>
        <w:jc w:val="both"/>
        <w:rPr>
          <w:sz w:val="38"/>
        </w:rPr>
      </w:pPr>
      <w:r>
        <w:rPr>
          <w:sz w:val="38"/>
        </w:rPr>
        <w:t>Bladder cancer</w:t>
      </w:r>
    </w:p>
    <w:p>
      <w:pPr>
        <w:pStyle w:val="ListParagraph"/>
        <w:numPr>
          <w:ilvl w:val="0"/>
          <w:numId w:val="120"/>
        </w:numPr>
        <w:tabs>
          <w:tab w:pos="1032" w:val="left" w:leader="none"/>
        </w:tabs>
        <w:spacing w:line="240" w:lineRule="auto" w:before="186" w:after="0"/>
        <w:ind w:left="899" w:right="0" w:hanging="283"/>
        <w:jc w:val="both"/>
        <w:rPr>
          <w:sz w:val="38"/>
        </w:rPr>
      </w:pPr>
      <w:r>
        <w:rPr>
          <w:sz w:val="38"/>
        </w:rPr>
        <w:t>Oesophagus</w:t>
      </w:r>
      <w:r>
        <w:rPr>
          <w:spacing w:val="-1"/>
          <w:sz w:val="38"/>
        </w:rPr>
        <w:t> </w:t>
      </w:r>
      <w:r>
        <w:rPr>
          <w:sz w:val="38"/>
        </w:rPr>
        <w:t>carcinoma</w:t>
      </w:r>
    </w:p>
    <w:p>
      <w:pPr>
        <w:pStyle w:val="ListParagraph"/>
        <w:numPr>
          <w:ilvl w:val="0"/>
          <w:numId w:val="120"/>
        </w:numPr>
        <w:tabs>
          <w:tab w:pos="1032" w:val="left" w:leader="none"/>
        </w:tabs>
        <w:spacing w:line="240" w:lineRule="auto" w:before="184" w:after="0"/>
        <w:ind w:left="899" w:right="0" w:hanging="283"/>
        <w:jc w:val="both"/>
        <w:rPr>
          <w:sz w:val="38"/>
        </w:rPr>
      </w:pPr>
      <w:r>
        <w:rPr>
          <w:sz w:val="38"/>
        </w:rPr>
        <w:t>Brain cancer</w:t>
      </w:r>
    </w:p>
    <w:p>
      <w:pPr>
        <w:pStyle w:val="ListParagraph"/>
        <w:numPr>
          <w:ilvl w:val="0"/>
          <w:numId w:val="120"/>
        </w:numPr>
        <w:tabs>
          <w:tab w:pos="1032" w:val="left" w:leader="none"/>
        </w:tabs>
        <w:spacing w:line="240" w:lineRule="auto" w:before="184" w:after="0"/>
        <w:ind w:left="899" w:right="0" w:hanging="283"/>
        <w:jc w:val="both"/>
        <w:rPr>
          <w:sz w:val="38"/>
        </w:rPr>
      </w:pPr>
      <w:r>
        <w:rPr>
          <w:sz w:val="38"/>
        </w:rPr>
        <w:t>Breast</w:t>
      </w:r>
      <w:r>
        <w:rPr>
          <w:spacing w:val="-1"/>
          <w:sz w:val="38"/>
        </w:rPr>
        <w:t> </w:t>
      </w:r>
      <w:r>
        <w:rPr>
          <w:sz w:val="38"/>
        </w:rPr>
        <w:t>cancer</w:t>
      </w:r>
    </w:p>
    <w:p>
      <w:pPr>
        <w:pStyle w:val="ListParagraph"/>
        <w:numPr>
          <w:ilvl w:val="0"/>
          <w:numId w:val="120"/>
        </w:numPr>
        <w:tabs>
          <w:tab w:pos="1032" w:val="left" w:leader="none"/>
        </w:tabs>
        <w:spacing w:line="240" w:lineRule="auto" w:before="183" w:after="0"/>
        <w:ind w:left="899" w:right="0" w:hanging="283"/>
        <w:jc w:val="both"/>
        <w:rPr>
          <w:sz w:val="38"/>
        </w:rPr>
      </w:pPr>
      <w:r>
        <w:rPr>
          <w:sz w:val="38"/>
        </w:rPr>
        <w:t>Stomach</w:t>
      </w:r>
      <w:r>
        <w:rPr>
          <w:spacing w:val="-2"/>
          <w:sz w:val="38"/>
        </w:rPr>
        <w:t> </w:t>
      </w:r>
      <w:r>
        <w:rPr>
          <w:sz w:val="38"/>
        </w:rPr>
        <w:t>cancer</w:t>
      </w:r>
    </w:p>
    <w:p>
      <w:pPr>
        <w:pStyle w:val="ListParagraph"/>
        <w:numPr>
          <w:ilvl w:val="0"/>
          <w:numId w:val="120"/>
        </w:numPr>
        <w:tabs>
          <w:tab w:pos="1032" w:val="left" w:leader="none"/>
        </w:tabs>
        <w:spacing w:line="240" w:lineRule="auto" w:before="184" w:after="0"/>
        <w:ind w:left="899" w:right="0" w:hanging="283"/>
        <w:jc w:val="both"/>
        <w:rPr>
          <w:sz w:val="38"/>
        </w:rPr>
      </w:pPr>
      <w:r>
        <w:rPr>
          <w:sz w:val="38"/>
        </w:rPr>
        <w:t>Lymphoma</w:t>
      </w:r>
    </w:p>
    <w:p>
      <w:pPr>
        <w:pStyle w:val="ListParagraph"/>
        <w:numPr>
          <w:ilvl w:val="0"/>
          <w:numId w:val="120"/>
        </w:numPr>
        <w:tabs>
          <w:tab w:pos="1032" w:val="left" w:leader="none"/>
        </w:tabs>
        <w:spacing w:line="240" w:lineRule="auto" w:before="186" w:after="0"/>
        <w:ind w:left="899" w:right="0" w:hanging="283"/>
        <w:jc w:val="both"/>
        <w:rPr>
          <w:sz w:val="38"/>
        </w:rPr>
      </w:pPr>
      <w:r>
        <w:rPr>
          <w:sz w:val="38"/>
        </w:rPr>
        <w:t>Colon cancer</w:t>
      </w:r>
    </w:p>
    <w:p>
      <w:pPr>
        <w:pStyle w:val="BodyText"/>
        <w:spacing w:line="276" w:lineRule="auto" w:before="303"/>
        <w:ind w:left="616" w:right="134"/>
        <w:jc w:val="both"/>
      </w:pPr>
      <w:r>
        <w:rPr/>
        <w:t>The effect of Coriolus on cancer can be traced back to its immune-strength- ening effect and the two polysaccharides PSP and PSK</w:t>
      </w:r>
      <w:r>
        <w:rPr>
          <w:position w:val="9"/>
          <w:sz w:val="25"/>
        </w:rPr>
        <w:t>984</w:t>
      </w:r>
      <w:r>
        <w:rPr/>
        <w:t>. Coriolus stimulates the immune system by activating bone marrow cells, lymphocytes, leucocytes, macrophages and monocytes as well as other killer cells, which directly attack cancer cells.</w:t>
      </w:r>
    </w:p>
    <w:p>
      <w:pPr>
        <w:pStyle w:val="Heading1"/>
        <w:spacing w:before="222"/>
        <w:ind w:left="616"/>
      </w:pPr>
      <w:r>
        <w:rPr/>
        <w:t>Coriolus extends the life expectancy of cancer patients</w:t>
      </w:r>
    </w:p>
    <w:p>
      <w:pPr>
        <w:pStyle w:val="BodyText"/>
        <w:spacing w:line="276" w:lineRule="auto" w:before="299"/>
        <w:ind w:left="616" w:right="134"/>
        <w:jc w:val="both"/>
        <w:rPr>
          <w:sz w:val="25"/>
        </w:rPr>
      </w:pPr>
      <w:r>
        <w:rPr/>
        <w:t>Patients suffering from breast cancer, stomach cancer and colorectal cancer who</w:t>
      </w:r>
      <w:r>
        <w:rPr>
          <w:spacing w:val="-19"/>
        </w:rPr>
        <w:t> </w:t>
      </w:r>
      <w:r>
        <w:rPr/>
        <w:t>were</w:t>
      </w:r>
      <w:r>
        <w:rPr>
          <w:spacing w:val="-18"/>
        </w:rPr>
        <w:t> </w:t>
      </w:r>
      <w:r>
        <w:rPr/>
        <w:t>treated</w:t>
      </w:r>
      <w:r>
        <w:rPr>
          <w:spacing w:val="-19"/>
        </w:rPr>
        <w:t> </w:t>
      </w:r>
      <w:r>
        <w:rPr/>
        <w:t>with</w:t>
      </w:r>
      <w:r>
        <w:rPr>
          <w:spacing w:val="-19"/>
        </w:rPr>
        <w:t> </w:t>
      </w:r>
      <w:r>
        <w:rPr/>
        <w:t>chemotherapy</w:t>
      </w:r>
      <w:r>
        <w:rPr>
          <w:spacing w:val="-18"/>
        </w:rPr>
        <w:t> </w:t>
      </w:r>
      <w:r>
        <w:rPr/>
        <w:t>together</w:t>
      </w:r>
      <w:r>
        <w:rPr>
          <w:spacing w:val="-21"/>
        </w:rPr>
        <w:t> </w:t>
      </w:r>
      <w:r>
        <w:rPr/>
        <w:t>with</w:t>
      </w:r>
      <w:r>
        <w:rPr>
          <w:spacing w:val="-19"/>
        </w:rPr>
        <w:t> </w:t>
      </w:r>
      <w:r>
        <w:rPr/>
        <w:t>Coriolus</w:t>
      </w:r>
      <w:r>
        <w:rPr>
          <w:spacing w:val="-19"/>
        </w:rPr>
        <w:t> </w:t>
      </w:r>
      <w:r>
        <w:rPr/>
        <w:t>had</w:t>
      </w:r>
      <w:r>
        <w:rPr>
          <w:spacing w:val="-21"/>
        </w:rPr>
        <w:t> </w:t>
      </w:r>
      <w:r>
        <w:rPr/>
        <w:t>a</w:t>
      </w:r>
      <w:r>
        <w:rPr>
          <w:spacing w:val="-20"/>
        </w:rPr>
        <w:t> </w:t>
      </w:r>
      <w:r>
        <w:rPr/>
        <w:t>significantly increased survival rate in comparison to those patients who only received chemotherapy.</w:t>
      </w:r>
      <w:r>
        <w:rPr>
          <w:position w:val="9"/>
          <w:sz w:val="25"/>
        </w:rPr>
        <w:t>985</w:t>
      </w:r>
    </w:p>
    <w:p>
      <w:pPr>
        <w:pStyle w:val="Heading1"/>
        <w:spacing w:before="225"/>
        <w:ind w:left="616"/>
        <w:jc w:val="both"/>
      </w:pPr>
      <w:r>
        <w:rPr/>
        <w:t>Coriolus</w:t>
      </w:r>
      <w:r>
        <w:rPr>
          <w:spacing w:val="-52"/>
        </w:rPr>
        <w:t> </w:t>
      </w:r>
      <w:r>
        <w:rPr/>
        <w:t>alleviates</w:t>
      </w:r>
      <w:r>
        <w:rPr>
          <w:spacing w:val="-51"/>
        </w:rPr>
        <w:t> </w:t>
      </w:r>
      <w:r>
        <w:rPr/>
        <w:t>the</w:t>
      </w:r>
      <w:r>
        <w:rPr>
          <w:spacing w:val="-51"/>
        </w:rPr>
        <w:t> </w:t>
      </w:r>
      <w:r>
        <w:rPr/>
        <w:t>side-effects</w:t>
      </w:r>
      <w:r>
        <w:rPr>
          <w:spacing w:val="-51"/>
        </w:rPr>
        <w:t> </w:t>
      </w:r>
      <w:r>
        <w:rPr/>
        <w:t>of</w:t>
      </w:r>
      <w:r>
        <w:rPr>
          <w:spacing w:val="-51"/>
        </w:rPr>
        <w:t> </w:t>
      </w:r>
      <w:r>
        <w:rPr/>
        <w:t>chemotherapy</w:t>
      </w:r>
      <w:r>
        <w:rPr>
          <w:spacing w:val="-51"/>
        </w:rPr>
        <w:t> </w:t>
      </w:r>
      <w:r>
        <w:rPr/>
        <w:t>and</w:t>
      </w:r>
      <w:r>
        <w:rPr>
          <w:spacing w:val="-51"/>
        </w:rPr>
        <w:t> </w:t>
      </w:r>
      <w:r>
        <w:rPr/>
        <w:t>radiotherapy</w:t>
      </w:r>
    </w:p>
    <w:p>
      <w:pPr>
        <w:pStyle w:val="BodyText"/>
        <w:rPr>
          <w:b/>
          <w:i/>
          <w:sz w:val="20"/>
        </w:rPr>
      </w:pPr>
    </w:p>
    <w:p>
      <w:pPr>
        <w:pStyle w:val="BodyText"/>
        <w:rPr>
          <w:b/>
          <w:i/>
          <w:sz w:val="20"/>
        </w:rPr>
      </w:pPr>
    </w:p>
    <w:p>
      <w:pPr>
        <w:pStyle w:val="BodyText"/>
        <w:spacing w:before="4"/>
        <w:rPr>
          <w:b/>
          <w:i/>
          <w:sz w:val="15"/>
        </w:rPr>
      </w:pPr>
      <w:r>
        <w:rPr/>
        <w:pict>
          <v:line style="position:absolute;mso-position-horizontal-relative:page;mso-position-vertical-relative:paragraph;z-index:13448;mso-wrap-distance-left:0;mso-wrap-distance-right:0" from="70.823997pt,11.027378pt" to="214.843997pt,11.027378pt" stroked="true" strokeweight=".71997pt" strokecolor="#000000">
            <v:stroke dashstyle="solid"/>
            <w10:wrap type="topAndBottom"/>
          </v:line>
        </w:pict>
      </w:r>
    </w:p>
    <w:p>
      <w:pPr>
        <w:pStyle w:val="BodyText"/>
        <w:spacing w:before="7"/>
        <w:rPr>
          <w:b/>
          <w:i/>
          <w:sz w:val="18"/>
        </w:rPr>
      </w:pPr>
    </w:p>
    <w:p>
      <w:pPr>
        <w:spacing w:before="99"/>
        <w:ind w:left="616" w:right="0" w:firstLine="0"/>
        <w:jc w:val="left"/>
        <w:rPr>
          <w:sz w:val="20"/>
        </w:rPr>
      </w:pPr>
      <w:r>
        <w:rPr>
          <w:position w:val="5"/>
          <w:sz w:val="13"/>
        </w:rPr>
        <w:t>984 </w:t>
      </w:r>
      <w:r>
        <w:rPr>
          <w:sz w:val="20"/>
        </w:rPr>
        <w:t>Anticancer Res. 2012 Jul; 32(7), pp. 2631–2637.</w:t>
      </w:r>
    </w:p>
    <w:p>
      <w:pPr>
        <w:spacing w:before="94"/>
        <w:ind w:left="616" w:right="0" w:firstLine="0"/>
        <w:jc w:val="left"/>
        <w:rPr>
          <w:sz w:val="20"/>
        </w:rPr>
      </w:pPr>
      <w:r>
        <w:rPr>
          <w:position w:val="5"/>
          <w:sz w:val="13"/>
        </w:rPr>
        <w:t>985 </w:t>
      </w:r>
      <w:r>
        <w:rPr>
          <w:sz w:val="20"/>
        </w:rPr>
        <w:t>2012 Jan; 6 (1), pp. 78–87</w:t>
      </w:r>
    </w:p>
    <w:p>
      <w:pPr>
        <w:spacing w:after="0"/>
        <w:jc w:val="left"/>
        <w:rPr>
          <w:sz w:val="20"/>
        </w:rPr>
        <w:sectPr>
          <w:pgSz w:w="14270" w:h="16850"/>
          <w:pgMar w:header="0" w:footer="1891" w:top="1360" w:bottom="2080" w:left="800" w:right="1280"/>
        </w:sectPr>
      </w:pPr>
    </w:p>
    <w:p>
      <w:pPr>
        <w:pStyle w:val="BodyText"/>
        <w:spacing w:line="276" w:lineRule="auto" w:before="74"/>
        <w:ind w:left="616" w:right="137"/>
        <w:jc w:val="both"/>
        <w:rPr>
          <w:sz w:val="25"/>
        </w:rPr>
      </w:pPr>
      <w:r>
        <w:rPr/>
        <w:t>Studies have shown that Coriolus reduces the damage from radiotherapy to healthy tissues and lessens the feared side-effects of chemotherapy.</w:t>
      </w:r>
      <w:r>
        <w:rPr>
          <w:position w:val="9"/>
          <w:sz w:val="25"/>
        </w:rPr>
        <w:t>986</w:t>
      </w:r>
    </w:p>
    <w:p>
      <w:pPr>
        <w:pStyle w:val="BodyText"/>
        <w:rPr>
          <w:sz w:val="42"/>
        </w:rPr>
      </w:pPr>
    </w:p>
    <w:p>
      <w:pPr>
        <w:pStyle w:val="BodyText"/>
        <w:rPr>
          <w:sz w:val="42"/>
        </w:rPr>
      </w:pPr>
    </w:p>
    <w:p>
      <w:pPr>
        <w:pStyle w:val="BodyText"/>
        <w:rPr>
          <w:sz w:val="42"/>
        </w:rPr>
      </w:pPr>
    </w:p>
    <w:p>
      <w:pPr>
        <w:pStyle w:val="BodyText"/>
        <w:spacing w:before="6"/>
        <w:rPr>
          <w:sz w:val="46"/>
        </w:rPr>
      </w:pPr>
    </w:p>
    <w:p>
      <w:pPr>
        <w:spacing w:before="1"/>
        <w:ind w:left="616" w:right="0" w:firstLine="0"/>
        <w:jc w:val="left"/>
        <w:rPr>
          <w:rFonts w:ascii="Cambria"/>
          <w:b/>
          <w:sz w:val="28"/>
        </w:rPr>
      </w:pPr>
      <w:r>
        <w:rPr>
          <w:rFonts w:ascii="Cambria"/>
          <w:b/>
          <w:color w:val="365F91"/>
          <w:sz w:val="28"/>
        </w:rPr>
        <w:t>VITAMIN C</w:t>
      </w:r>
    </w:p>
    <w:p>
      <w:pPr>
        <w:pStyle w:val="BodyText"/>
        <w:rPr>
          <w:rFonts w:ascii="Cambria"/>
          <w:b/>
          <w:sz w:val="32"/>
        </w:rPr>
      </w:pPr>
    </w:p>
    <w:p>
      <w:pPr>
        <w:pStyle w:val="BodyText"/>
        <w:rPr>
          <w:rFonts w:ascii="Cambria"/>
          <w:b/>
          <w:sz w:val="32"/>
        </w:rPr>
      </w:pPr>
    </w:p>
    <w:p>
      <w:pPr>
        <w:spacing w:line="276" w:lineRule="auto" w:before="231"/>
        <w:ind w:left="4824" w:right="219" w:hanging="4119"/>
        <w:jc w:val="left"/>
        <w:rPr>
          <w:i/>
          <w:sz w:val="38"/>
        </w:rPr>
      </w:pPr>
      <w:r>
        <w:rPr>
          <w:sz w:val="38"/>
        </w:rPr>
        <w:t>‘</w:t>
      </w:r>
      <w:r>
        <w:rPr>
          <w:i/>
          <w:sz w:val="38"/>
        </w:rPr>
        <w:t>A man who does</w:t>
      </w:r>
      <w:r>
        <w:rPr>
          <w:sz w:val="38"/>
        </w:rPr>
        <w:t>n't </w:t>
      </w:r>
      <w:r>
        <w:rPr>
          <w:i/>
          <w:sz w:val="38"/>
        </w:rPr>
        <w:t>know the truth is just an idiot. But a man who knows the truth and </w:t>
      </w:r>
      <w:r>
        <w:rPr>
          <w:i/>
          <w:sz w:val="38"/>
        </w:rPr>
        <w:t>calls it a lie, is a crook.’</w:t>
      </w:r>
    </w:p>
    <w:p>
      <w:pPr>
        <w:pStyle w:val="BodyText"/>
        <w:ind w:left="561" w:right="83"/>
        <w:jc w:val="center"/>
      </w:pPr>
      <w:r>
        <w:rPr/>
        <w:t>(Galileo Galilei)</w:t>
      </w:r>
    </w:p>
    <w:p>
      <w:pPr>
        <w:pStyle w:val="BodyText"/>
        <w:spacing w:before="5"/>
        <w:rPr>
          <w:sz w:val="49"/>
        </w:rPr>
      </w:pPr>
    </w:p>
    <w:p>
      <w:pPr>
        <w:pStyle w:val="BodyText"/>
        <w:spacing w:line="276" w:lineRule="auto" w:before="1"/>
        <w:ind w:left="616" w:right="142"/>
        <w:jc w:val="both"/>
      </w:pPr>
      <w:r>
        <w:rPr/>
        <w:t>You may well wonder at this point why on earth we came up with the idea of covering such a thing as vitamin C in a book such as the ‘</w:t>
      </w:r>
      <w:r>
        <w:rPr>
          <w:i/>
        </w:rPr>
        <w:t>Codex Humanus</w:t>
      </w:r>
      <w:r>
        <w:rPr/>
        <w:t>’.</w:t>
      </w:r>
    </w:p>
    <w:p>
      <w:pPr>
        <w:pStyle w:val="BodyText"/>
        <w:spacing w:line="276" w:lineRule="auto"/>
        <w:ind w:left="616" w:right="135"/>
        <w:jc w:val="both"/>
      </w:pPr>
      <w:r>
        <w:rPr/>
        <w:t>After all: what’s so exciting about vitamin C – don’t we already know all the facts? Most people know that vitamin C or ascorbic acid is not particularly spectacular, a dusty ‘utensil’ from the late 70s... We know that most of it is excreted in urine, and weren’t there also some studies which proved that vita- min C not only demonstrates very little effect but may even be harmful and can cause kidney stones, among other unpleasant problems...?</w:t>
      </w:r>
    </w:p>
    <w:p>
      <w:pPr>
        <w:pStyle w:val="BodyText"/>
        <w:rPr>
          <w:sz w:val="20"/>
        </w:rPr>
      </w:pPr>
    </w:p>
    <w:p>
      <w:pPr>
        <w:pStyle w:val="BodyText"/>
        <w:spacing w:before="8"/>
        <w:rPr>
          <w:sz w:val="19"/>
        </w:rPr>
      </w:pPr>
      <w:r>
        <w:rPr/>
        <w:pict>
          <v:line style="position:absolute;mso-position-horizontal-relative:page;mso-position-vertical-relative:paragraph;z-index:13472;mso-wrap-distance-left:0;mso-wrap-distance-right:0" from="70.823997pt,13.448804pt" to="214.843997pt,13.448804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986 </w:t>
      </w:r>
      <w:r>
        <w:rPr>
          <w:color w:val="660066"/>
          <w:sz w:val="20"/>
          <w:u w:val="single" w:color="660066"/>
        </w:rPr>
        <w:t>PLoS One.</w:t>
      </w:r>
      <w:r>
        <w:rPr>
          <w:color w:val="660066"/>
          <w:sz w:val="20"/>
        </w:rPr>
        <w:t> </w:t>
      </w:r>
      <w:r>
        <w:rPr>
          <w:sz w:val="20"/>
        </w:rPr>
        <w:t>2011;6(5):e19804. Epub 2011 May 16</w:t>
      </w:r>
    </w:p>
    <w:p>
      <w:pPr>
        <w:spacing w:after="0"/>
        <w:jc w:val="left"/>
        <w:rPr>
          <w:sz w:val="20"/>
        </w:rPr>
        <w:sectPr>
          <w:footerReference w:type="default" r:id="rId450"/>
          <w:pgSz w:w="14270" w:h="16850"/>
          <w:pgMar w:footer="1891" w:header="0" w:top="1340" w:bottom="2080" w:left="800" w:right="1280"/>
          <w:pgNumType w:start="1720"/>
        </w:sectPr>
      </w:pPr>
    </w:p>
    <w:p>
      <w:pPr>
        <w:pStyle w:val="Heading2"/>
        <w:spacing w:before="74"/>
        <w:ind w:left="616"/>
        <w:jc w:val="both"/>
      </w:pPr>
      <w:r>
        <w:rPr/>
        <w:t>Yet what if the case is different...?</w:t>
      </w:r>
    </w:p>
    <w:p>
      <w:pPr>
        <w:pStyle w:val="BodyText"/>
        <w:spacing w:line="276" w:lineRule="auto" w:before="305"/>
        <w:ind w:left="616" w:right="135"/>
        <w:jc w:val="both"/>
      </w:pPr>
      <w:r>
        <w:rPr/>
        <w:t>What if there is more to the supposedly stale vitamin than we are aware – much, much more...?</w:t>
      </w:r>
    </w:p>
    <w:p>
      <w:pPr>
        <w:pStyle w:val="BodyText"/>
        <w:spacing w:line="276" w:lineRule="auto" w:before="238"/>
        <w:ind w:left="616" w:right="141"/>
        <w:jc w:val="both"/>
      </w:pPr>
      <w:r>
        <w:rPr/>
        <w:t>What if this ultimately concerned an (until now very successful) attempt by a money-oriented, powerful industry to publicly disparage the most important vitamin in existence, even the basis of our very lives, right behind oxygen and water, to such an extent that the population do what is expected of them:</w:t>
      </w:r>
    </w:p>
    <w:p>
      <w:pPr>
        <w:pStyle w:val="BodyText"/>
        <w:spacing w:line="276" w:lineRule="auto" w:before="242"/>
        <w:ind w:left="616" w:right="132"/>
        <w:jc w:val="both"/>
      </w:pPr>
      <w:r>
        <w:rPr/>
        <w:t>forego supplementary vitamin C, age more quickly, become ill and therefore bestow</w:t>
      </w:r>
      <w:r>
        <w:rPr>
          <w:spacing w:val="-8"/>
        </w:rPr>
        <w:t> </w:t>
      </w:r>
      <w:r>
        <w:rPr/>
        <w:t>doctors</w:t>
      </w:r>
      <w:r>
        <w:rPr>
          <w:spacing w:val="-9"/>
        </w:rPr>
        <w:t> </w:t>
      </w:r>
      <w:r>
        <w:rPr/>
        <w:t>–</w:t>
      </w:r>
      <w:r>
        <w:rPr>
          <w:spacing w:val="-6"/>
        </w:rPr>
        <w:t> </w:t>
      </w:r>
      <w:r>
        <w:rPr/>
        <w:t>and</w:t>
      </w:r>
      <w:r>
        <w:rPr>
          <w:spacing w:val="-6"/>
        </w:rPr>
        <w:t> </w:t>
      </w:r>
      <w:r>
        <w:rPr/>
        <w:t>with</w:t>
      </w:r>
      <w:r>
        <w:rPr>
          <w:spacing w:val="-6"/>
        </w:rPr>
        <w:t> </w:t>
      </w:r>
      <w:r>
        <w:rPr/>
        <w:t>them</w:t>
      </w:r>
      <w:r>
        <w:rPr>
          <w:spacing w:val="-7"/>
        </w:rPr>
        <w:t> </w:t>
      </w:r>
      <w:r>
        <w:rPr/>
        <w:t>the</w:t>
      </w:r>
      <w:r>
        <w:rPr>
          <w:spacing w:val="-8"/>
        </w:rPr>
        <w:t> </w:t>
      </w:r>
      <w:r>
        <w:rPr/>
        <w:t>largest</w:t>
      </w:r>
      <w:r>
        <w:rPr>
          <w:spacing w:val="-6"/>
        </w:rPr>
        <w:t> </w:t>
      </w:r>
      <w:r>
        <w:rPr/>
        <w:t>industry</w:t>
      </w:r>
      <w:r>
        <w:rPr>
          <w:spacing w:val="-6"/>
        </w:rPr>
        <w:t> </w:t>
      </w:r>
      <w:r>
        <w:rPr/>
        <w:t>in</w:t>
      </w:r>
      <w:r>
        <w:rPr>
          <w:spacing w:val="-9"/>
        </w:rPr>
        <w:t> </w:t>
      </w:r>
      <w:r>
        <w:rPr/>
        <w:t>the</w:t>
      </w:r>
      <w:r>
        <w:rPr>
          <w:spacing w:val="-7"/>
        </w:rPr>
        <w:t> </w:t>
      </w:r>
      <w:r>
        <w:rPr/>
        <w:t>world,</w:t>
      </w:r>
      <w:r>
        <w:rPr>
          <w:spacing w:val="-5"/>
        </w:rPr>
        <w:t> </w:t>
      </w:r>
      <w:r>
        <w:rPr/>
        <w:t>the</w:t>
      </w:r>
      <w:r>
        <w:rPr>
          <w:spacing w:val="-7"/>
        </w:rPr>
        <w:t> </w:t>
      </w:r>
      <w:r>
        <w:rPr/>
        <w:t>pharma- ceutical industry – with billions and billions of euros for medicine and hospi- talisation...?!</w:t>
      </w:r>
    </w:p>
    <w:p>
      <w:pPr>
        <w:pStyle w:val="Heading2"/>
        <w:spacing w:before="239"/>
        <w:ind w:left="616"/>
        <w:jc w:val="both"/>
      </w:pPr>
      <w:r>
        <w:rPr/>
        <w:t>and</w:t>
      </w:r>
      <w:r>
        <w:rPr>
          <w:spacing w:val="-5"/>
        </w:rPr>
        <w:t> </w:t>
      </w:r>
      <w:r>
        <w:rPr/>
        <w:t>finally:</w:t>
      </w:r>
    </w:p>
    <w:p>
      <w:pPr>
        <w:pStyle w:val="BodyText"/>
        <w:spacing w:line="276" w:lineRule="auto" w:before="305"/>
        <w:ind w:left="616" w:right="137"/>
        <w:jc w:val="both"/>
      </w:pPr>
      <w:r>
        <w:rPr/>
        <w:t>what if humans could fully exploit their genetic potential and reach 120 years old in the best of health – if only we finally completely understood and</w:t>
      </w:r>
      <w:r>
        <w:rPr>
          <w:spacing w:val="-41"/>
        </w:rPr>
        <w:t> </w:t>
      </w:r>
      <w:r>
        <w:rPr/>
        <w:t>recog- nised how important vitamin C really is for</w:t>
      </w:r>
      <w:r>
        <w:rPr>
          <w:spacing w:val="1"/>
        </w:rPr>
        <w:t> </w:t>
      </w:r>
      <w:r>
        <w:rPr/>
        <w:t>us...?!</w:t>
      </w:r>
    </w:p>
    <w:p>
      <w:pPr>
        <w:pStyle w:val="BodyText"/>
        <w:spacing w:line="276" w:lineRule="auto" w:before="239"/>
        <w:ind w:left="616" w:right="132"/>
        <w:jc w:val="both"/>
      </w:pPr>
      <w:r>
        <w:rPr/>
        <w:t>You will be astonished at the unbelievable spectrum of activity of vitamin C and the undeniably well-founded scientific facts which we can draw on today</w:t>
      </w:r>
    </w:p>
    <w:p>
      <w:pPr>
        <w:pStyle w:val="BodyText"/>
        <w:spacing w:line="276" w:lineRule="auto" w:before="1"/>
        <w:ind w:left="616" w:right="134"/>
        <w:jc w:val="both"/>
      </w:pPr>
      <w:r>
        <w:rPr/>
        <w:t>– and this is precisely what we do in this Codex Humanus. After just a few minutes reading you will see vitamin C – and consciously consume it – in a new light, we promise!</w:t>
      </w:r>
    </w:p>
    <w:p>
      <w:pPr>
        <w:spacing w:after="0" w:line="276" w:lineRule="auto"/>
        <w:jc w:val="both"/>
        <w:sectPr>
          <w:pgSz w:w="14270" w:h="16850"/>
          <w:pgMar w:header="0" w:footer="1891" w:top="1340" w:bottom="2080" w:left="800" w:right="1280"/>
        </w:sectPr>
      </w:pPr>
    </w:p>
    <w:p>
      <w:pPr>
        <w:pStyle w:val="BodyText"/>
        <w:spacing w:line="276" w:lineRule="auto" w:before="74"/>
        <w:ind w:left="616" w:right="143"/>
        <w:jc w:val="both"/>
      </w:pPr>
      <w:r>
        <w:rPr/>
        <w:t>First we need to look at the basis and, in order to gain a better understanding of this, the question:</w:t>
      </w:r>
    </w:p>
    <w:p>
      <w:pPr>
        <w:pStyle w:val="Heading2"/>
        <w:spacing w:before="239"/>
        <w:ind w:left="616"/>
      </w:pPr>
      <w:r>
        <w:rPr/>
        <w:t>what actually are vitamins?</w:t>
      </w:r>
    </w:p>
    <w:p>
      <w:pPr>
        <w:pStyle w:val="BodyText"/>
        <w:spacing w:line="276" w:lineRule="auto" w:before="304"/>
        <w:ind w:left="616" w:right="134"/>
        <w:jc w:val="both"/>
      </w:pPr>
      <w:r>
        <w:rPr/>
        <w:t>Most people only have a vague, sometimes very abstract impression of vita- mins. People largely underestimate the effect of vitamins entirely; ultimately, we do not learn a lot about them if we visit the doctor when we are sick.</w:t>
      </w:r>
    </w:p>
    <w:p>
      <w:pPr>
        <w:pStyle w:val="BodyText"/>
        <w:spacing w:line="276" w:lineRule="auto" w:before="242"/>
        <w:ind w:left="616" w:right="134"/>
        <w:jc w:val="both"/>
      </w:pPr>
      <w:r>
        <w:rPr/>
        <w:t>However, did you know that the course of study to become a doctor does</w:t>
      </w:r>
      <w:r>
        <w:rPr>
          <w:spacing w:val="-55"/>
        </w:rPr>
        <w:t> </w:t>
      </w:r>
      <w:r>
        <w:rPr/>
        <w:t>not include nutritional science? According to a survey of 593 young German doc- tors, 74.5 % of those surveyed felt insufficiently trained in the field of nutri- tion.</w:t>
      </w:r>
      <w:r>
        <w:rPr>
          <w:position w:val="9"/>
          <w:sz w:val="25"/>
        </w:rPr>
        <w:t>987 </w:t>
      </w:r>
      <w:r>
        <w:rPr/>
        <w:t>A doctor will hold lectures on pharmacology for hours, yet when it comes to substances which really matter (if you don’t just want to treat but really cure), macro and micronutrients, vitamins, trace elements, enzymes, bi- oflavinoids etc. you won’t learn a lot from the lecturer – because that doctor was</w:t>
      </w:r>
      <w:r>
        <w:rPr>
          <w:spacing w:val="-3"/>
        </w:rPr>
        <w:t> </w:t>
      </w:r>
      <w:r>
        <w:rPr/>
        <w:t>also</w:t>
      </w:r>
      <w:r>
        <w:rPr>
          <w:spacing w:val="-3"/>
        </w:rPr>
        <w:t> </w:t>
      </w:r>
      <w:r>
        <w:rPr/>
        <w:t>not</w:t>
      </w:r>
      <w:r>
        <w:rPr>
          <w:spacing w:val="-7"/>
        </w:rPr>
        <w:t> </w:t>
      </w:r>
      <w:r>
        <w:rPr/>
        <w:t>exposed</w:t>
      </w:r>
      <w:r>
        <w:rPr>
          <w:spacing w:val="-3"/>
        </w:rPr>
        <w:t> </w:t>
      </w:r>
      <w:r>
        <w:rPr/>
        <w:t>to</w:t>
      </w:r>
      <w:r>
        <w:rPr>
          <w:spacing w:val="-6"/>
        </w:rPr>
        <w:t> </w:t>
      </w:r>
      <w:r>
        <w:rPr/>
        <w:t>these</w:t>
      </w:r>
      <w:r>
        <w:rPr>
          <w:spacing w:val="-6"/>
        </w:rPr>
        <w:t> </w:t>
      </w:r>
      <w:r>
        <w:rPr/>
        <w:t>topics</w:t>
      </w:r>
      <w:r>
        <w:rPr>
          <w:spacing w:val="-4"/>
        </w:rPr>
        <w:t> </w:t>
      </w:r>
      <w:r>
        <w:rPr/>
        <w:t>in</w:t>
      </w:r>
      <w:r>
        <w:rPr>
          <w:spacing w:val="-7"/>
        </w:rPr>
        <w:t> </w:t>
      </w:r>
      <w:r>
        <w:rPr/>
        <w:t>his</w:t>
      </w:r>
      <w:r>
        <w:rPr>
          <w:spacing w:val="-6"/>
        </w:rPr>
        <w:t> </w:t>
      </w:r>
      <w:r>
        <w:rPr/>
        <w:t>or</w:t>
      </w:r>
      <w:r>
        <w:rPr>
          <w:spacing w:val="-5"/>
        </w:rPr>
        <w:t> </w:t>
      </w:r>
      <w:r>
        <w:rPr/>
        <w:t>her</w:t>
      </w:r>
      <w:r>
        <w:rPr>
          <w:spacing w:val="-7"/>
        </w:rPr>
        <w:t> </w:t>
      </w:r>
      <w:r>
        <w:rPr/>
        <w:t>own</w:t>
      </w:r>
      <w:r>
        <w:rPr>
          <w:spacing w:val="-6"/>
        </w:rPr>
        <w:t> </w:t>
      </w:r>
      <w:r>
        <w:rPr/>
        <w:t>course</w:t>
      </w:r>
      <w:r>
        <w:rPr>
          <w:spacing w:val="-6"/>
        </w:rPr>
        <w:t> </w:t>
      </w:r>
      <w:r>
        <w:rPr/>
        <w:t>of</w:t>
      </w:r>
      <w:r>
        <w:rPr>
          <w:spacing w:val="-6"/>
        </w:rPr>
        <w:t> </w:t>
      </w:r>
      <w:r>
        <w:rPr/>
        <w:t>study!</w:t>
      </w:r>
      <w:r>
        <w:rPr>
          <w:spacing w:val="-3"/>
        </w:rPr>
        <w:t> </w:t>
      </w:r>
      <w:r>
        <w:rPr/>
        <w:t>Before we comprehensively shine a light on the ‘uber-vitamin’ vitamin C, here is a short explanation as to what vitamins actually are and what role they play in our bodies:</w:t>
      </w:r>
    </w:p>
    <w:p>
      <w:pPr>
        <w:pStyle w:val="Heading1"/>
        <w:spacing w:before="222"/>
        <w:ind w:left="616"/>
      </w:pPr>
      <w:r>
        <w:rPr/>
        <w:t>Vitamins – your body’s biochemical</w:t>
      </w:r>
      <w:r>
        <w:rPr>
          <w:spacing w:val="-52"/>
        </w:rPr>
        <w:t> </w:t>
      </w:r>
      <w:r>
        <w:rPr/>
        <w:t>tools</w:t>
      </w:r>
    </w:p>
    <w:p>
      <w:pPr>
        <w:pStyle w:val="BodyText"/>
        <w:spacing w:line="271" w:lineRule="auto" w:before="282"/>
        <w:ind w:left="616" w:right="133"/>
        <w:jc w:val="both"/>
      </w:pPr>
      <w:r>
        <w:rPr/>
        <w:t>Imagine</w:t>
      </w:r>
      <w:r>
        <w:rPr>
          <w:spacing w:val="-14"/>
        </w:rPr>
        <w:t> </w:t>
      </w:r>
      <w:r>
        <w:rPr/>
        <w:t>you</w:t>
      </w:r>
      <w:r>
        <w:rPr>
          <w:spacing w:val="-15"/>
        </w:rPr>
        <w:t> </w:t>
      </w:r>
      <w:r>
        <w:rPr/>
        <w:t>hammer</w:t>
      </w:r>
      <w:r>
        <w:rPr>
          <w:spacing w:val="-13"/>
        </w:rPr>
        <w:t> </w:t>
      </w:r>
      <w:r>
        <w:rPr/>
        <w:t>a</w:t>
      </w:r>
      <w:r>
        <w:rPr>
          <w:spacing w:val="-14"/>
        </w:rPr>
        <w:t> </w:t>
      </w:r>
      <w:r>
        <w:rPr/>
        <w:t>nail</w:t>
      </w:r>
      <w:r>
        <w:rPr>
          <w:spacing w:val="-15"/>
        </w:rPr>
        <w:t> </w:t>
      </w:r>
      <w:r>
        <w:rPr/>
        <w:t>into</w:t>
      </w:r>
      <w:r>
        <w:rPr>
          <w:spacing w:val="-15"/>
        </w:rPr>
        <w:t> </w:t>
      </w:r>
      <w:r>
        <w:rPr/>
        <w:t>a</w:t>
      </w:r>
      <w:r>
        <w:rPr>
          <w:spacing w:val="-14"/>
        </w:rPr>
        <w:t> </w:t>
      </w:r>
      <w:r>
        <w:rPr/>
        <w:t>wall</w:t>
      </w:r>
      <w:r>
        <w:rPr>
          <w:spacing w:val="-15"/>
        </w:rPr>
        <w:t> </w:t>
      </w:r>
      <w:r>
        <w:rPr/>
        <w:t>or</w:t>
      </w:r>
      <w:r>
        <w:rPr>
          <w:spacing w:val="-16"/>
        </w:rPr>
        <w:t> </w:t>
      </w:r>
      <w:r>
        <w:rPr/>
        <w:t>saw</w:t>
      </w:r>
      <w:r>
        <w:rPr>
          <w:spacing w:val="-14"/>
        </w:rPr>
        <w:t> </w:t>
      </w:r>
      <w:r>
        <w:rPr/>
        <w:t>a</w:t>
      </w:r>
      <w:r>
        <w:rPr>
          <w:spacing w:val="-15"/>
        </w:rPr>
        <w:t> </w:t>
      </w:r>
      <w:r>
        <w:rPr/>
        <w:t>piece</w:t>
      </w:r>
      <w:r>
        <w:rPr>
          <w:spacing w:val="-14"/>
        </w:rPr>
        <w:t> </w:t>
      </w:r>
      <w:r>
        <w:rPr/>
        <w:t>of</w:t>
      </w:r>
      <w:r>
        <w:rPr>
          <w:spacing w:val="-14"/>
        </w:rPr>
        <w:t> </w:t>
      </w:r>
      <w:r>
        <w:rPr/>
        <w:t>wood</w:t>
      </w:r>
      <w:r>
        <w:rPr>
          <w:spacing w:val="-12"/>
        </w:rPr>
        <w:t> </w:t>
      </w:r>
      <w:r>
        <w:rPr>
          <w:b/>
          <w:i/>
          <w:sz w:val="40"/>
        </w:rPr>
        <w:t>–</w:t>
      </w:r>
      <w:r>
        <w:rPr>
          <w:b/>
          <w:i/>
          <w:spacing w:val="-19"/>
          <w:sz w:val="40"/>
        </w:rPr>
        <w:t> </w:t>
      </w:r>
      <w:r>
        <w:rPr/>
        <w:t>you</w:t>
      </w:r>
      <w:r>
        <w:rPr>
          <w:spacing w:val="-15"/>
        </w:rPr>
        <w:t> </w:t>
      </w:r>
      <w:r>
        <w:rPr/>
        <w:t>need</w:t>
      </w:r>
      <w:r>
        <w:rPr>
          <w:spacing w:val="-14"/>
        </w:rPr>
        <w:t> </w:t>
      </w:r>
      <w:r>
        <w:rPr/>
        <w:t>tools for these jobs, in this case a hammer and</w:t>
      </w:r>
      <w:r>
        <w:rPr>
          <w:spacing w:val="1"/>
        </w:rPr>
        <w:t> </w:t>
      </w:r>
      <w:r>
        <w:rPr/>
        <w:t>saw.</w:t>
      </w:r>
    </w:p>
    <w:p>
      <w:pPr>
        <w:pStyle w:val="BodyText"/>
        <w:rPr>
          <w:sz w:val="20"/>
        </w:rPr>
      </w:pPr>
    </w:p>
    <w:p>
      <w:pPr>
        <w:pStyle w:val="BodyText"/>
        <w:rPr>
          <w:sz w:val="20"/>
        </w:rPr>
      </w:pPr>
    </w:p>
    <w:p>
      <w:pPr>
        <w:pStyle w:val="BodyText"/>
        <w:spacing w:before="7"/>
        <w:rPr>
          <w:sz w:val="11"/>
        </w:rPr>
      </w:pPr>
      <w:r>
        <w:rPr/>
        <w:pict>
          <v:line style="position:absolute;mso-position-horizontal-relative:page;mso-position-vertical-relative:paragraph;z-index:13496;mso-wrap-distance-left:0;mso-wrap-distance-right:0" from="70.823997pt,8.936235pt" to="214.843997pt,8.936235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987 </w:t>
      </w:r>
      <w:hyperlink r:id="rId451">
        <w:r>
          <w:rPr>
            <w:sz w:val="20"/>
          </w:rPr>
          <w:t>http://www.aerzteblatt.de/archiv/73243</w:t>
        </w:r>
      </w:hyperlink>
    </w:p>
    <w:p>
      <w:pPr>
        <w:spacing w:after="0"/>
        <w:jc w:val="left"/>
        <w:rPr>
          <w:sz w:val="20"/>
        </w:rPr>
        <w:sectPr>
          <w:pgSz w:w="14270" w:h="16850"/>
          <w:pgMar w:header="0" w:footer="1891" w:top="1340" w:bottom="2080" w:left="800" w:right="1280"/>
        </w:sectPr>
      </w:pPr>
    </w:p>
    <w:p>
      <w:pPr>
        <w:pStyle w:val="BodyText"/>
        <w:spacing w:line="273" w:lineRule="auto" w:before="72"/>
        <w:ind w:left="616" w:right="131"/>
        <w:jc w:val="both"/>
      </w:pPr>
      <w:r>
        <w:rPr/>
        <w:t>Our body also has to perform </w:t>
      </w:r>
      <w:r>
        <w:rPr>
          <w:u w:val="single"/>
        </w:rPr>
        <w:t>thousands</w:t>
      </w:r>
      <w:r>
        <w:rPr/>
        <w:t> of very important tasks </w:t>
      </w:r>
      <w:r>
        <w:rPr>
          <w:u w:val="single"/>
        </w:rPr>
        <w:t>simultane-</w:t>
      </w:r>
      <w:r>
        <w:rPr/>
        <w:t> </w:t>
      </w:r>
      <w:r>
        <w:rPr>
          <w:u w:val="single"/>
        </w:rPr>
        <w:t>ously</w:t>
      </w:r>
      <w:r>
        <w:rPr/>
        <w:t> every day. Whether muscular activity, neutralisation of poisons or main- taining blood vessels </w:t>
      </w:r>
      <w:r>
        <w:rPr>
          <w:b/>
          <w:i/>
          <w:sz w:val="40"/>
        </w:rPr>
        <w:t>– </w:t>
      </w:r>
      <w:r>
        <w:rPr/>
        <w:t>the body needs special tools for these activities. These tools are vitamins and enzymes. Thus, vitamins are nothing less than your or- ganism’s biochemical tools.</w:t>
      </w:r>
    </w:p>
    <w:p>
      <w:pPr>
        <w:pStyle w:val="BodyText"/>
        <w:spacing w:line="276" w:lineRule="auto" w:before="237"/>
        <w:ind w:left="616" w:right="141"/>
        <w:jc w:val="both"/>
      </w:pPr>
      <w:r>
        <w:rPr/>
        <w:t>The body can only complete these tasks unsatisfactorily, if at all, without vita- mins and both alternatives lead to serious diseases in the medium term.</w:t>
      </w:r>
    </w:p>
    <w:p>
      <w:pPr>
        <w:pStyle w:val="BodyText"/>
        <w:spacing w:line="276" w:lineRule="auto" w:before="239"/>
        <w:ind w:left="616" w:right="136"/>
        <w:jc w:val="both"/>
      </w:pPr>
      <w:r>
        <w:rPr/>
        <w:t>Vitamins, in particular vitamin C, have an influence on our entire existence; they largely decide how long we stay young and healthy and to what extent</w:t>
      </w:r>
      <w:r>
        <w:rPr>
          <w:spacing w:val="-62"/>
        </w:rPr>
        <w:t> </w:t>
      </w:r>
      <w:r>
        <w:rPr/>
        <w:t>we are afflicted or untouched by things from the harmless cold to dangerous dis- eases.</w:t>
      </w:r>
    </w:p>
    <w:p>
      <w:pPr>
        <w:pStyle w:val="Heading1"/>
        <w:spacing w:line="261" w:lineRule="auto" w:before="225"/>
        <w:ind w:left="616" w:right="138"/>
        <w:jc w:val="both"/>
      </w:pPr>
      <w:r>
        <w:rPr/>
        <w:t>Vitamin</w:t>
      </w:r>
      <w:r>
        <w:rPr>
          <w:spacing w:val="-64"/>
        </w:rPr>
        <w:t> </w:t>
      </w:r>
      <w:r>
        <w:rPr/>
        <w:t>C</w:t>
      </w:r>
      <w:r>
        <w:rPr>
          <w:spacing w:val="-63"/>
        </w:rPr>
        <w:t> </w:t>
      </w:r>
      <w:r>
        <w:rPr/>
        <w:t>–</w:t>
      </w:r>
      <w:r>
        <w:rPr>
          <w:spacing w:val="-63"/>
        </w:rPr>
        <w:t> </w:t>
      </w:r>
      <w:r>
        <w:rPr/>
        <w:t>the</w:t>
      </w:r>
      <w:r>
        <w:rPr>
          <w:spacing w:val="-63"/>
        </w:rPr>
        <w:t> </w:t>
      </w:r>
      <w:r>
        <w:rPr/>
        <w:t>most</w:t>
      </w:r>
      <w:r>
        <w:rPr>
          <w:spacing w:val="-63"/>
        </w:rPr>
        <w:t> </w:t>
      </w:r>
      <w:r>
        <w:rPr/>
        <w:t>important</w:t>
      </w:r>
      <w:r>
        <w:rPr>
          <w:spacing w:val="-63"/>
        </w:rPr>
        <w:t> </w:t>
      </w:r>
      <w:r>
        <w:rPr/>
        <w:t>substance</w:t>
      </w:r>
      <w:r>
        <w:rPr>
          <w:spacing w:val="-64"/>
        </w:rPr>
        <w:t> </w:t>
      </w:r>
      <w:r>
        <w:rPr/>
        <w:t>for</w:t>
      </w:r>
      <w:r>
        <w:rPr>
          <w:spacing w:val="-63"/>
        </w:rPr>
        <w:t> </w:t>
      </w:r>
      <w:r>
        <w:rPr/>
        <w:t>humans</w:t>
      </w:r>
      <w:r>
        <w:rPr>
          <w:spacing w:val="-63"/>
        </w:rPr>
        <w:t> </w:t>
      </w:r>
      <w:r>
        <w:rPr/>
        <w:t>after</w:t>
      </w:r>
      <w:r>
        <w:rPr>
          <w:spacing w:val="-63"/>
        </w:rPr>
        <w:t> </w:t>
      </w:r>
      <w:r>
        <w:rPr/>
        <w:t>oxygen</w:t>
      </w:r>
      <w:r>
        <w:rPr>
          <w:spacing w:val="-63"/>
        </w:rPr>
        <w:t> </w:t>
      </w:r>
      <w:r>
        <w:rPr/>
        <w:t>and water!</w:t>
      </w:r>
    </w:p>
    <w:p>
      <w:pPr>
        <w:pStyle w:val="BodyText"/>
        <w:spacing w:line="276" w:lineRule="auto" w:before="258"/>
        <w:ind w:left="616" w:right="136"/>
        <w:jc w:val="both"/>
      </w:pPr>
      <w:r>
        <w:rPr/>
        <w:t>Due</w:t>
      </w:r>
      <w:r>
        <w:rPr>
          <w:spacing w:val="-11"/>
        </w:rPr>
        <w:t> </w:t>
      </w:r>
      <w:r>
        <w:rPr/>
        <w:t>to</w:t>
      </w:r>
      <w:r>
        <w:rPr>
          <w:spacing w:val="-9"/>
        </w:rPr>
        <w:t> </w:t>
      </w:r>
      <w:r>
        <w:rPr/>
        <w:t>its</w:t>
      </w:r>
      <w:r>
        <w:rPr>
          <w:spacing w:val="-10"/>
        </w:rPr>
        <w:t> </w:t>
      </w:r>
      <w:r>
        <w:rPr/>
        <w:t>multifaceted</w:t>
      </w:r>
      <w:r>
        <w:rPr>
          <w:spacing w:val="-10"/>
        </w:rPr>
        <w:t> </w:t>
      </w:r>
      <w:r>
        <w:rPr/>
        <w:t>spectrum</w:t>
      </w:r>
      <w:r>
        <w:rPr>
          <w:spacing w:val="-10"/>
        </w:rPr>
        <w:t> </w:t>
      </w:r>
      <w:r>
        <w:rPr/>
        <w:t>of</w:t>
      </w:r>
      <w:r>
        <w:rPr>
          <w:spacing w:val="-11"/>
        </w:rPr>
        <w:t> </w:t>
      </w:r>
      <w:r>
        <w:rPr/>
        <w:t>activity</w:t>
      </w:r>
      <w:r>
        <w:rPr>
          <w:spacing w:val="-9"/>
        </w:rPr>
        <w:t> </w:t>
      </w:r>
      <w:r>
        <w:rPr/>
        <w:t>on</w:t>
      </w:r>
      <w:r>
        <w:rPr>
          <w:spacing w:val="-8"/>
        </w:rPr>
        <w:t> </w:t>
      </w:r>
      <w:r>
        <w:rPr/>
        <w:t>our</w:t>
      </w:r>
      <w:r>
        <w:rPr>
          <w:spacing w:val="-10"/>
        </w:rPr>
        <w:t> </w:t>
      </w:r>
      <w:r>
        <w:rPr/>
        <w:t>lives</w:t>
      </w:r>
      <w:r>
        <w:rPr>
          <w:spacing w:val="-10"/>
        </w:rPr>
        <w:t> </w:t>
      </w:r>
      <w:r>
        <w:rPr/>
        <w:t>and</w:t>
      </w:r>
      <w:r>
        <w:rPr>
          <w:spacing w:val="-9"/>
        </w:rPr>
        <w:t> </w:t>
      </w:r>
      <w:r>
        <w:rPr/>
        <w:t>bodies,</w:t>
      </w:r>
      <w:r>
        <w:rPr>
          <w:spacing w:val="-8"/>
        </w:rPr>
        <w:t> </w:t>
      </w:r>
      <w:r>
        <w:rPr/>
        <w:t>vitamin</w:t>
      </w:r>
      <w:r>
        <w:rPr>
          <w:spacing w:val="-9"/>
        </w:rPr>
        <w:t> </w:t>
      </w:r>
      <w:r>
        <w:rPr/>
        <w:t>C is THE most important substance for our bodies after water and oxygen. Vit- amin C is THE embodiment of vitamins and rightly a synonym for</w:t>
      </w:r>
      <w:r>
        <w:rPr>
          <w:spacing w:val="-22"/>
        </w:rPr>
        <w:t> </w:t>
      </w:r>
      <w:r>
        <w:rPr/>
        <w:t>them.</w:t>
      </w:r>
    </w:p>
    <w:p>
      <w:pPr>
        <w:pStyle w:val="BodyText"/>
        <w:spacing w:line="276" w:lineRule="auto" w:before="241"/>
        <w:ind w:left="616" w:right="135"/>
        <w:jc w:val="both"/>
      </w:pPr>
      <w:r>
        <w:rPr/>
        <w:t>If you consider that vitamin C has an influence on 95 % of our entire metab- olism</w:t>
      </w:r>
      <w:r>
        <w:rPr>
          <w:spacing w:val="-16"/>
        </w:rPr>
        <w:t> </w:t>
      </w:r>
      <w:r>
        <w:rPr/>
        <w:t>(that</w:t>
      </w:r>
      <w:r>
        <w:rPr>
          <w:spacing w:val="-17"/>
        </w:rPr>
        <w:t> </w:t>
      </w:r>
      <w:r>
        <w:rPr/>
        <w:t>is,</w:t>
      </w:r>
      <w:r>
        <w:rPr>
          <w:spacing w:val="-16"/>
        </w:rPr>
        <w:t> </w:t>
      </w:r>
      <w:r>
        <w:rPr/>
        <w:t>our</w:t>
      </w:r>
      <w:r>
        <w:rPr>
          <w:spacing w:val="-16"/>
        </w:rPr>
        <w:t> </w:t>
      </w:r>
      <w:r>
        <w:rPr/>
        <w:t>existence),</w:t>
      </w:r>
      <w:r>
        <w:rPr>
          <w:spacing w:val="-16"/>
        </w:rPr>
        <w:t> </w:t>
      </w:r>
      <w:r>
        <w:rPr/>
        <w:t>from</w:t>
      </w:r>
      <w:r>
        <w:rPr>
          <w:spacing w:val="-17"/>
        </w:rPr>
        <w:t> </w:t>
      </w:r>
      <w:r>
        <w:rPr/>
        <w:t>preventing</w:t>
      </w:r>
      <w:r>
        <w:rPr>
          <w:spacing w:val="-16"/>
        </w:rPr>
        <w:t> </w:t>
      </w:r>
      <w:r>
        <w:rPr/>
        <w:t>or</w:t>
      </w:r>
      <w:r>
        <w:rPr>
          <w:spacing w:val="-17"/>
        </w:rPr>
        <w:t> </w:t>
      </w:r>
      <w:r>
        <w:rPr/>
        <w:t>even</w:t>
      </w:r>
      <w:r>
        <w:rPr>
          <w:spacing w:val="-16"/>
        </w:rPr>
        <w:t> </w:t>
      </w:r>
      <w:r>
        <w:rPr/>
        <w:t>healing</w:t>
      </w:r>
      <w:r>
        <w:rPr>
          <w:spacing w:val="-16"/>
        </w:rPr>
        <w:t> </w:t>
      </w:r>
      <w:r>
        <w:rPr/>
        <w:t>the</w:t>
      </w:r>
      <w:r>
        <w:rPr>
          <w:spacing w:val="-15"/>
        </w:rPr>
        <w:t> </w:t>
      </w:r>
      <w:r>
        <w:rPr/>
        <w:t>smallest</w:t>
      </w:r>
      <w:r>
        <w:rPr>
          <w:spacing w:val="-16"/>
        </w:rPr>
        <w:t> </w:t>
      </w:r>
      <w:r>
        <w:rPr/>
        <w:t>cold to allergies and life-threatening heart disease or even cancer (see the full list including evidence from studies in table 1 further down in the text) you can become truly aware of how important this ‘uber-vitamin’ really is! This be- comes much clearer if you envisage:</w:t>
      </w:r>
    </w:p>
    <w:p>
      <w:pPr>
        <w:spacing w:after="0" w:line="276" w:lineRule="auto"/>
        <w:jc w:val="both"/>
        <w:sectPr>
          <w:pgSz w:w="14270" w:h="16850"/>
          <w:pgMar w:header="0" w:footer="1891" w:top="1340" w:bottom="2080" w:left="800" w:right="1280"/>
        </w:sectPr>
      </w:pPr>
    </w:p>
    <w:p>
      <w:pPr>
        <w:pStyle w:val="Heading2"/>
        <w:spacing w:before="72"/>
        <w:ind w:left="616"/>
      </w:pPr>
      <w:r>
        <w:rPr/>
        <w:t>humans without vitamin C would merely be a melting pot of cell broth!</w:t>
      </w:r>
    </w:p>
    <w:p>
      <w:pPr>
        <w:pStyle w:val="BodyText"/>
        <w:spacing w:line="278" w:lineRule="auto" w:before="304"/>
        <w:ind w:left="616" w:right="144"/>
        <w:jc w:val="both"/>
      </w:pPr>
      <w:r>
        <w:rPr/>
        <w:t>We would like to quote Dr. Rath, an expert in orthomolecular medicine, in regard to this important aspect:</w:t>
      </w:r>
    </w:p>
    <w:p>
      <w:pPr>
        <w:spacing w:line="276" w:lineRule="auto" w:before="233"/>
        <w:ind w:left="616" w:right="135" w:firstLine="96"/>
        <w:jc w:val="both"/>
        <w:rPr>
          <w:i/>
          <w:sz w:val="38"/>
        </w:rPr>
      </w:pPr>
      <w:r>
        <w:rPr>
          <w:i/>
          <w:sz w:val="38"/>
        </w:rPr>
        <w:t>‘Did you know that around a third of all proteins in our bodies are collagen molecules? </w:t>
      </w:r>
      <w:r>
        <w:rPr>
          <w:i/>
          <w:sz w:val="38"/>
        </w:rPr>
        <w:t>Collagen is the main component of connective tissue. Among other things, it helps to build blood</w:t>
      </w:r>
      <w:r>
        <w:rPr>
          <w:i/>
          <w:spacing w:val="-25"/>
          <w:sz w:val="38"/>
        </w:rPr>
        <w:t> </w:t>
      </w:r>
      <w:r>
        <w:rPr>
          <w:i/>
          <w:sz w:val="38"/>
        </w:rPr>
        <w:t>vessels,</w:t>
      </w:r>
      <w:r>
        <w:rPr>
          <w:i/>
          <w:spacing w:val="-23"/>
          <w:sz w:val="38"/>
        </w:rPr>
        <w:t> </w:t>
      </w:r>
      <w:r>
        <w:rPr>
          <w:i/>
          <w:sz w:val="38"/>
        </w:rPr>
        <w:t>cartilage,</w:t>
      </w:r>
      <w:r>
        <w:rPr>
          <w:i/>
          <w:spacing w:val="-24"/>
          <w:sz w:val="38"/>
        </w:rPr>
        <w:t> </w:t>
      </w:r>
      <w:r>
        <w:rPr>
          <w:i/>
          <w:sz w:val="38"/>
        </w:rPr>
        <w:t>bones,</w:t>
      </w:r>
      <w:r>
        <w:rPr>
          <w:i/>
          <w:spacing w:val="-25"/>
          <w:sz w:val="38"/>
        </w:rPr>
        <w:t> </w:t>
      </w:r>
      <w:r>
        <w:rPr>
          <w:i/>
          <w:sz w:val="38"/>
        </w:rPr>
        <w:t>teeth</w:t>
      </w:r>
      <w:r>
        <w:rPr>
          <w:i/>
          <w:spacing w:val="-24"/>
          <w:sz w:val="38"/>
        </w:rPr>
        <w:t> </w:t>
      </w:r>
      <w:r>
        <w:rPr>
          <w:i/>
          <w:sz w:val="38"/>
        </w:rPr>
        <w:t>and</w:t>
      </w:r>
      <w:r>
        <w:rPr>
          <w:i/>
          <w:spacing w:val="-28"/>
          <w:sz w:val="38"/>
        </w:rPr>
        <w:t> </w:t>
      </w:r>
      <w:r>
        <w:rPr>
          <w:i/>
          <w:sz w:val="38"/>
        </w:rPr>
        <w:t>our</w:t>
      </w:r>
      <w:r>
        <w:rPr>
          <w:i/>
          <w:spacing w:val="-25"/>
          <w:sz w:val="38"/>
        </w:rPr>
        <w:t> </w:t>
      </w:r>
      <w:r>
        <w:rPr>
          <w:i/>
          <w:sz w:val="38"/>
        </w:rPr>
        <w:t>skin.</w:t>
      </w:r>
      <w:r>
        <w:rPr>
          <w:i/>
          <w:spacing w:val="-23"/>
          <w:sz w:val="38"/>
        </w:rPr>
        <w:t> </w:t>
      </w:r>
      <w:r>
        <w:rPr>
          <w:i/>
          <w:sz w:val="38"/>
        </w:rPr>
        <w:t>Connective</w:t>
      </w:r>
      <w:r>
        <w:rPr>
          <w:i/>
          <w:spacing w:val="-25"/>
          <w:sz w:val="38"/>
        </w:rPr>
        <w:t> </w:t>
      </w:r>
      <w:r>
        <w:rPr>
          <w:i/>
          <w:sz w:val="38"/>
        </w:rPr>
        <w:t>tissue</w:t>
      </w:r>
      <w:r>
        <w:rPr>
          <w:i/>
          <w:spacing w:val="-24"/>
          <w:sz w:val="38"/>
        </w:rPr>
        <w:t> </w:t>
      </w:r>
      <w:r>
        <w:rPr>
          <w:i/>
          <w:sz w:val="38"/>
        </w:rPr>
        <w:t>forms</w:t>
      </w:r>
      <w:r>
        <w:rPr>
          <w:i/>
          <w:spacing w:val="-22"/>
          <w:sz w:val="38"/>
        </w:rPr>
        <w:t> </w:t>
      </w:r>
      <w:r>
        <w:rPr>
          <w:i/>
          <w:sz w:val="38"/>
        </w:rPr>
        <w:t>a</w:t>
      </w:r>
      <w:r>
        <w:rPr>
          <w:i/>
          <w:spacing w:val="-25"/>
          <w:sz w:val="38"/>
        </w:rPr>
        <w:t> </w:t>
      </w:r>
      <w:r>
        <w:rPr>
          <w:i/>
          <w:sz w:val="38"/>
        </w:rPr>
        <w:t>biological</w:t>
      </w:r>
      <w:r>
        <w:rPr>
          <w:i/>
          <w:spacing w:val="-23"/>
          <w:sz w:val="38"/>
        </w:rPr>
        <w:t> </w:t>
      </w:r>
      <w:r>
        <w:rPr>
          <w:i/>
          <w:sz w:val="38"/>
        </w:rPr>
        <w:t>network which strengthens our bodies and gives them</w:t>
      </w:r>
      <w:r>
        <w:rPr>
          <w:i/>
          <w:spacing w:val="-2"/>
          <w:sz w:val="38"/>
        </w:rPr>
        <w:t> </w:t>
      </w:r>
      <w:r>
        <w:rPr>
          <w:i/>
          <w:sz w:val="38"/>
        </w:rPr>
        <w:t>stability.</w:t>
      </w:r>
    </w:p>
    <w:p>
      <w:pPr>
        <w:spacing w:line="276" w:lineRule="auto" w:before="242"/>
        <w:ind w:left="616" w:right="134" w:firstLine="0"/>
        <w:jc w:val="both"/>
        <w:rPr>
          <w:i/>
          <w:sz w:val="38"/>
        </w:rPr>
      </w:pPr>
      <w:r>
        <w:rPr>
          <w:i/>
          <w:sz w:val="38"/>
        </w:rPr>
        <w:t>Collagen fibres have a similar stabilising function as reinforced concrete beams do for a sky- </w:t>
      </w:r>
      <w:r>
        <w:rPr>
          <w:i/>
          <w:sz w:val="38"/>
        </w:rPr>
        <w:t>scraper.</w:t>
      </w:r>
      <w:r>
        <w:rPr>
          <w:i/>
          <w:spacing w:val="-5"/>
          <w:sz w:val="38"/>
        </w:rPr>
        <w:t> </w:t>
      </w:r>
      <w:r>
        <w:rPr>
          <w:i/>
          <w:sz w:val="38"/>
        </w:rPr>
        <w:t>Millions</w:t>
      </w:r>
      <w:r>
        <w:rPr>
          <w:i/>
          <w:spacing w:val="-4"/>
          <w:sz w:val="38"/>
        </w:rPr>
        <w:t> </w:t>
      </w:r>
      <w:r>
        <w:rPr>
          <w:i/>
          <w:sz w:val="38"/>
        </w:rPr>
        <w:t>of</w:t>
      </w:r>
      <w:r>
        <w:rPr>
          <w:i/>
          <w:spacing w:val="-6"/>
          <w:sz w:val="38"/>
        </w:rPr>
        <w:t> </w:t>
      </w:r>
      <w:r>
        <w:rPr>
          <w:i/>
          <w:sz w:val="38"/>
        </w:rPr>
        <w:t>stabilising</w:t>
      </w:r>
      <w:r>
        <w:rPr>
          <w:i/>
          <w:spacing w:val="-3"/>
          <w:sz w:val="38"/>
        </w:rPr>
        <w:t> </w:t>
      </w:r>
      <w:r>
        <w:rPr>
          <w:i/>
          <w:sz w:val="38"/>
        </w:rPr>
        <w:t>molecules</w:t>
      </w:r>
      <w:r>
        <w:rPr>
          <w:i/>
          <w:spacing w:val="-5"/>
          <w:sz w:val="38"/>
        </w:rPr>
        <w:t> </w:t>
      </w:r>
      <w:r>
        <w:rPr>
          <w:i/>
          <w:sz w:val="38"/>
        </w:rPr>
        <w:t>form</w:t>
      </w:r>
      <w:r>
        <w:rPr>
          <w:i/>
          <w:spacing w:val="-7"/>
          <w:sz w:val="38"/>
        </w:rPr>
        <w:t> </w:t>
      </w:r>
      <w:r>
        <w:rPr>
          <w:i/>
          <w:sz w:val="38"/>
        </w:rPr>
        <w:t>the</w:t>
      </w:r>
      <w:r>
        <w:rPr>
          <w:i/>
          <w:spacing w:val="-7"/>
          <w:sz w:val="38"/>
        </w:rPr>
        <w:t> </w:t>
      </w:r>
      <w:r>
        <w:rPr>
          <w:i/>
          <w:sz w:val="38"/>
        </w:rPr>
        <w:t>connective</w:t>
      </w:r>
      <w:r>
        <w:rPr>
          <w:i/>
          <w:spacing w:val="-6"/>
          <w:sz w:val="38"/>
        </w:rPr>
        <w:t> </w:t>
      </w:r>
      <w:r>
        <w:rPr>
          <w:i/>
          <w:sz w:val="38"/>
        </w:rPr>
        <w:t>tissue</w:t>
      </w:r>
      <w:r>
        <w:rPr>
          <w:i/>
          <w:spacing w:val="-5"/>
          <w:sz w:val="38"/>
        </w:rPr>
        <w:t> </w:t>
      </w:r>
      <w:r>
        <w:rPr>
          <w:i/>
          <w:sz w:val="38"/>
        </w:rPr>
        <w:t>in</w:t>
      </w:r>
      <w:r>
        <w:rPr>
          <w:i/>
          <w:spacing w:val="-6"/>
          <w:sz w:val="38"/>
        </w:rPr>
        <w:t> </w:t>
      </w:r>
      <w:r>
        <w:rPr>
          <w:i/>
          <w:sz w:val="38"/>
        </w:rPr>
        <w:t>our</w:t>
      </w:r>
      <w:r>
        <w:rPr>
          <w:i/>
          <w:spacing w:val="-7"/>
          <w:sz w:val="38"/>
        </w:rPr>
        <w:t> </w:t>
      </w:r>
      <w:r>
        <w:rPr>
          <w:i/>
          <w:sz w:val="38"/>
        </w:rPr>
        <w:t>bodies,</w:t>
      </w:r>
      <w:r>
        <w:rPr>
          <w:i/>
          <w:spacing w:val="-6"/>
          <w:sz w:val="38"/>
        </w:rPr>
        <w:t> </w:t>
      </w:r>
      <w:r>
        <w:rPr>
          <w:i/>
          <w:sz w:val="38"/>
        </w:rPr>
        <w:t>bones,</w:t>
      </w:r>
      <w:r>
        <w:rPr>
          <w:i/>
          <w:spacing w:val="-4"/>
          <w:sz w:val="38"/>
        </w:rPr>
        <w:t> </w:t>
      </w:r>
      <w:r>
        <w:rPr>
          <w:i/>
          <w:sz w:val="38"/>
        </w:rPr>
        <w:t>skin and blood vessel walls. </w:t>
      </w:r>
      <w:r>
        <w:rPr>
          <w:i/>
          <w:sz w:val="38"/>
          <w:u w:val="single"/>
        </w:rPr>
        <w:t>Vitamin C</w:t>
      </w:r>
      <w:r>
        <w:rPr>
          <w:i/>
          <w:sz w:val="38"/>
        </w:rPr>
        <w:t> is necessary for the cells in our bodies to ensure they can produce a sufficient amount of functioning collagen</w:t>
      </w:r>
      <w:r>
        <w:rPr>
          <w:i/>
          <w:spacing w:val="-7"/>
          <w:sz w:val="38"/>
        </w:rPr>
        <w:t> </w:t>
      </w:r>
      <w:r>
        <w:rPr>
          <w:i/>
          <w:sz w:val="38"/>
        </w:rPr>
        <w:t>fibres.’</w:t>
      </w:r>
    </w:p>
    <w:p>
      <w:pPr>
        <w:pStyle w:val="BodyText"/>
        <w:spacing w:line="276" w:lineRule="auto" w:before="239"/>
        <w:ind w:left="616" w:right="139"/>
        <w:jc w:val="both"/>
      </w:pPr>
      <w:r>
        <w:rPr/>
        <w:t>It has been proven that vitamin C ensures that our entire connective tissue including our skin, bones, teeth, organs and blood vessels are made from firm material.</w:t>
      </w:r>
    </w:p>
    <w:p>
      <w:pPr>
        <w:pStyle w:val="Heading2"/>
        <w:spacing w:before="241"/>
        <w:ind w:left="616"/>
      </w:pPr>
      <w:r>
        <w:rPr/>
        <w:t>OR TO PUT IT IN A NUTSHELL:</w:t>
      </w:r>
    </w:p>
    <w:p>
      <w:pPr>
        <w:pStyle w:val="BodyText"/>
        <w:spacing w:line="278" w:lineRule="auto" w:before="302"/>
        <w:ind w:left="616" w:right="143" w:firstLine="96"/>
        <w:jc w:val="both"/>
      </w:pPr>
      <w:r>
        <w:rPr/>
        <w:t>without vitamin C we would be a melting pot of cell broth, without support or stability!</w:t>
      </w:r>
    </w:p>
    <w:p>
      <w:pPr>
        <w:spacing w:after="0" w:line="278" w:lineRule="auto"/>
        <w:jc w:val="both"/>
        <w:sectPr>
          <w:pgSz w:w="14270" w:h="16850"/>
          <w:pgMar w:header="0" w:footer="1891" w:top="1340" w:bottom="2080" w:left="800" w:right="1280"/>
        </w:sectPr>
      </w:pPr>
    </w:p>
    <w:p>
      <w:pPr>
        <w:pStyle w:val="BodyText"/>
        <w:spacing w:line="276" w:lineRule="auto" w:before="74"/>
        <w:ind w:left="616" w:right="140"/>
        <w:jc w:val="both"/>
      </w:pPr>
      <w:r>
        <w:rPr/>
        <w:t>When reading the following points, pause after each one for three to five sec- onds, internalise and briefly think what this means for you, your health and your life:</w:t>
      </w:r>
    </w:p>
    <w:p>
      <w:pPr>
        <w:pStyle w:val="BodyText"/>
        <w:rPr>
          <w:sz w:val="42"/>
        </w:rPr>
      </w:pPr>
    </w:p>
    <w:p>
      <w:pPr>
        <w:pStyle w:val="BodyText"/>
        <w:spacing w:before="3"/>
        <w:rPr>
          <w:sz w:val="44"/>
        </w:rPr>
      </w:pPr>
    </w:p>
    <w:p>
      <w:pPr>
        <w:pStyle w:val="Heading2"/>
        <w:ind w:left="616"/>
        <w:jc w:val="both"/>
      </w:pPr>
      <w:r>
        <w:rPr/>
        <w:t>Did you know that...</w:t>
      </w:r>
    </w:p>
    <w:p>
      <w:pPr>
        <w:pStyle w:val="ListParagraph"/>
        <w:numPr>
          <w:ilvl w:val="0"/>
          <w:numId w:val="124"/>
        </w:numPr>
        <w:tabs>
          <w:tab w:pos="876" w:val="left" w:leader="none"/>
        </w:tabs>
        <w:spacing w:line="273" w:lineRule="auto" w:before="186" w:after="0"/>
        <w:ind w:left="616" w:right="135" w:hanging="12"/>
        <w:jc w:val="both"/>
        <w:rPr>
          <w:rFonts w:ascii="Symbol"/>
          <w:sz w:val="38"/>
        </w:rPr>
      </w:pPr>
      <w:r>
        <w:rPr>
          <w:sz w:val="38"/>
        </w:rPr>
        <w:t>Vitamin C influences a total of 95 % of our metabolism and that therefore, there is hardly any disease on which vitamin C cannot have a significant and positive</w:t>
      </w:r>
      <w:r>
        <w:rPr>
          <w:spacing w:val="-1"/>
          <w:sz w:val="38"/>
        </w:rPr>
        <w:t> </w:t>
      </w:r>
      <w:r>
        <w:rPr>
          <w:sz w:val="38"/>
        </w:rPr>
        <w:t>influence?</w:t>
      </w:r>
    </w:p>
    <w:p>
      <w:pPr>
        <w:pStyle w:val="ListParagraph"/>
        <w:numPr>
          <w:ilvl w:val="0"/>
          <w:numId w:val="124"/>
        </w:numPr>
        <w:tabs>
          <w:tab w:pos="876" w:val="left" w:leader="none"/>
        </w:tabs>
        <w:spacing w:line="266" w:lineRule="auto" w:before="127" w:after="0"/>
        <w:ind w:left="616" w:right="134" w:hanging="12"/>
        <w:jc w:val="both"/>
        <w:rPr>
          <w:rFonts w:ascii="Symbol" w:hAnsi="Symbol"/>
          <w:sz w:val="38"/>
        </w:rPr>
      </w:pPr>
      <w:r>
        <w:rPr>
          <w:sz w:val="38"/>
        </w:rPr>
        <w:t>Our connective tissue is composed of up to 30 % collagen and ensures the firmness</w:t>
      </w:r>
      <w:r>
        <w:rPr>
          <w:spacing w:val="-14"/>
          <w:sz w:val="38"/>
        </w:rPr>
        <w:t> </w:t>
      </w:r>
      <w:r>
        <w:rPr>
          <w:sz w:val="38"/>
        </w:rPr>
        <w:t>of</w:t>
      </w:r>
      <w:r>
        <w:rPr>
          <w:spacing w:val="-16"/>
          <w:sz w:val="38"/>
        </w:rPr>
        <w:t> </w:t>
      </w:r>
      <w:r>
        <w:rPr>
          <w:sz w:val="38"/>
        </w:rPr>
        <w:t>our</w:t>
      </w:r>
      <w:r>
        <w:rPr>
          <w:spacing w:val="-17"/>
          <w:sz w:val="38"/>
        </w:rPr>
        <w:t> </w:t>
      </w:r>
      <w:r>
        <w:rPr>
          <w:sz w:val="38"/>
        </w:rPr>
        <w:t>bones,</w:t>
      </w:r>
      <w:r>
        <w:rPr>
          <w:spacing w:val="-15"/>
          <w:sz w:val="38"/>
        </w:rPr>
        <w:t> </w:t>
      </w:r>
      <w:r>
        <w:rPr>
          <w:sz w:val="38"/>
        </w:rPr>
        <w:t>teeth,</w:t>
      </w:r>
      <w:r>
        <w:rPr>
          <w:spacing w:val="-15"/>
          <w:sz w:val="38"/>
        </w:rPr>
        <w:t> </w:t>
      </w:r>
      <w:r>
        <w:rPr>
          <w:sz w:val="38"/>
        </w:rPr>
        <w:t>organs</w:t>
      </w:r>
      <w:r>
        <w:rPr>
          <w:spacing w:val="-14"/>
          <w:sz w:val="38"/>
        </w:rPr>
        <w:t> </w:t>
      </w:r>
      <w:r>
        <w:rPr>
          <w:sz w:val="38"/>
        </w:rPr>
        <w:t>and</w:t>
      </w:r>
      <w:r>
        <w:rPr>
          <w:spacing w:val="-14"/>
          <w:sz w:val="38"/>
        </w:rPr>
        <w:t> </w:t>
      </w:r>
      <w:r>
        <w:rPr>
          <w:sz w:val="38"/>
        </w:rPr>
        <w:t>skin</w:t>
      </w:r>
      <w:r>
        <w:rPr>
          <w:spacing w:val="-15"/>
          <w:sz w:val="38"/>
        </w:rPr>
        <w:t> </w:t>
      </w:r>
      <w:r>
        <w:rPr>
          <w:b/>
          <w:i/>
          <w:sz w:val="40"/>
        </w:rPr>
        <w:t>–</w:t>
      </w:r>
      <w:r>
        <w:rPr>
          <w:b/>
          <w:i/>
          <w:spacing w:val="-19"/>
          <w:sz w:val="40"/>
        </w:rPr>
        <w:t> </w:t>
      </w:r>
      <w:r>
        <w:rPr>
          <w:sz w:val="38"/>
        </w:rPr>
        <w:t>yet</w:t>
      </w:r>
      <w:r>
        <w:rPr>
          <w:spacing w:val="-15"/>
          <w:sz w:val="38"/>
        </w:rPr>
        <w:t> </w:t>
      </w:r>
      <w:r>
        <w:rPr>
          <w:sz w:val="38"/>
        </w:rPr>
        <w:t>vitamin</w:t>
      </w:r>
      <w:r>
        <w:rPr>
          <w:spacing w:val="-14"/>
          <w:sz w:val="38"/>
        </w:rPr>
        <w:t> </w:t>
      </w:r>
      <w:r>
        <w:rPr>
          <w:sz w:val="38"/>
        </w:rPr>
        <w:t>C</w:t>
      </w:r>
      <w:r>
        <w:rPr>
          <w:spacing w:val="-16"/>
          <w:sz w:val="38"/>
        </w:rPr>
        <w:t> </w:t>
      </w:r>
      <w:r>
        <w:rPr>
          <w:sz w:val="38"/>
        </w:rPr>
        <w:t>indispensable</w:t>
      </w:r>
      <w:r>
        <w:rPr>
          <w:spacing w:val="-16"/>
          <w:sz w:val="38"/>
        </w:rPr>
        <w:t> </w:t>
      </w:r>
      <w:r>
        <w:rPr>
          <w:sz w:val="38"/>
        </w:rPr>
        <w:t>for the production of</w:t>
      </w:r>
      <w:r>
        <w:rPr>
          <w:spacing w:val="1"/>
          <w:sz w:val="38"/>
        </w:rPr>
        <w:t> </w:t>
      </w:r>
      <w:r>
        <w:rPr>
          <w:sz w:val="38"/>
        </w:rPr>
        <w:t>collagen?</w:t>
      </w:r>
    </w:p>
    <w:p>
      <w:pPr>
        <w:pStyle w:val="ListParagraph"/>
        <w:numPr>
          <w:ilvl w:val="0"/>
          <w:numId w:val="124"/>
        </w:numPr>
        <w:tabs>
          <w:tab w:pos="876" w:val="left" w:leader="none"/>
        </w:tabs>
        <w:spacing w:line="271" w:lineRule="auto" w:before="142" w:after="0"/>
        <w:ind w:left="616" w:right="135" w:hanging="12"/>
        <w:jc w:val="both"/>
        <w:rPr>
          <w:rFonts w:ascii="Symbol"/>
          <w:sz w:val="38"/>
        </w:rPr>
      </w:pPr>
      <w:r>
        <w:rPr>
          <w:sz w:val="38"/>
        </w:rPr>
        <w:t>Vitamin</w:t>
      </w:r>
      <w:r>
        <w:rPr>
          <w:spacing w:val="-9"/>
          <w:sz w:val="38"/>
        </w:rPr>
        <w:t> </w:t>
      </w:r>
      <w:r>
        <w:rPr>
          <w:sz w:val="38"/>
        </w:rPr>
        <w:t>C</w:t>
      </w:r>
      <w:r>
        <w:rPr>
          <w:spacing w:val="-8"/>
          <w:sz w:val="38"/>
        </w:rPr>
        <w:t> </w:t>
      </w:r>
      <w:r>
        <w:rPr>
          <w:sz w:val="38"/>
        </w:rPr>
        <w:t>is</w:t>
      </w:r>
      <w:r>
        <w:rPr>
          <w:spacing w:val="-7"/>
          <w:sz w:val="38"/>
        </w:rPr>
        <w:t> </w:t>
      </w:r>
      <w:r>
        <w:rPr>
          <w:sz w:val="38"/>
        </w:rPr>
        <w:t>therefore</w:t>
      </w:r>
      <w:r>
        <w:rPr>
          <w:spacing w:val="-4"/>
          <w:sz w:val="38"/>
        </w:rPr>
        <w:t> </w:t>
      </w:r>
      <w:r>
        <w:rPr>
          <w:sz w:val="38"/>
          <w:u w:val="single"/>
        </w:rPr>
        <w:t>THE</w:t>
      </w:r>
      <w:r>
        <w:rPr>
          <w:spacing w:val="-7"/>
          <w:sz w:val="38"/>
        </w:rPr>
        <w:t> </w:t>
      </w:r>
      <w:r>
        <w:rPr>
          <w:sz w:val="38"/>
        </w:rPr>
        <w:t>most</w:t>
      </w:r>
      <w:r>
        <w:rPr>
          <w:spacing w:val="-8"/>
          <w:sz w:val="38"/>
        </w:rPr>
        <w:t> </w:t>
      </w:r>
      <w:r>
        <w:rPr>
          <w:sz w:val="38"/>
        </w:rPr>
        <w:t>important</w:t>
      </w:r>
      <w:r>
        <w:rPr>
          <w:spacing w:val="-7"/>
          <w:sz w:val="38"/>
        </w:rPr>
        <w:t> </w:t>
      </w:r>
      <w:r>
        <w:rPr>
          <w:sz w:val="38"/>
        </w:rPr>
        <w:t>substance</w:t>
      </w:r>
      <w:r>
        <w:rPr>
          <w:spacing w:val="-6"/>
          <w:sz w:val="38"/>
        </w:rPr>
        <w:t> </w:t>
      </w:r>
      <w:r>
        <w:rPr>
          <w:sz w:val="38"/>
        </w:rPr>
        <w:t>for</w:t>
      </w:r>
      <w:r>
        <w:rPr>
          <w:spacing w:val="-6"/>
          <w:sz w:val="38"/>
        </w:rPr>
        <w:t> </w:t>
      </w:r>
      <w:r>
        <w:rPr>
          <w:sz w:val="38"/>
        </w:rPr>
        <w:t>humans</w:t>
      </w:r>
      <w:r>
        <w:rPr>
          <w:spacing w:val="-6"/>
          <w:sz w:val="38"/>
        </w:rPr>
        <w:t> </w:t>
      </w:r>
      <w:r>
        <w:rPr>
          <w:sz w:val="38"/>
        </w:rPr>
        <w:t>after</w:t>
      </w:r>
      <w:r>
        <w:rPr>
          <w:spacing w:val="-7"/>
          <w:sz w:val="38"/>
        </w:rPr>
        <w:t> </w:t>
      </w:r>
      <w:r>
        <w:rPr>
          <w:sz w:val="38"/>
        </w:rPr>
        <w:t>ox- ygen and</w:t>
      </w:r>
      <w:r>
        <w:rPr>
          <w:spacing w:val="2"/>
          <w:sz w:val="38"/>
        </w:rPr>
        <w:t> </w:t>
      </w:r>
      <w:r>
        <w:rPr>
          <w:sz w:val="38"/>
        </w:rPr>
        <w:t>water?</w:t>
      </w:r>
    </w:p>
    <w:p>
      <w:pPr>
        <w:pStyle w:val="ListParagraph"/>
        <w:numPr>
          <w:ilvl w:val="0"/>
          <w:numId w:val="124"/>
        </w:numPr>
        <w:tabs>
          <w:tab w:pos="876" w:val="left" w:leader="none"/>
        </w:tabs>
        <w:spacing w:line="273" w:lineRule="auto" w:before="134" w:after="0"/>
        <w:ind w:left="616" w:right="132" w:hanging="12"/>
        <w:jc w:val="both"/>
        <w:rPr>
          <w:rFonts w:ascii="Symbol" w:hAnsi="Symbol"/>
          <w:sz w:val="38"/>
        </w:rPr>
      </w:pPr>
      <w:r>
        <w:rPr>
          <w:sz w:val="38"/>
        </w:rPr>
        <w:t>humans</w:t>
      </w:r>
      <w:r>
        <w:rPr>
          <w:spacing w:val="-13"/>
          <w:sz w:val="38"/>
        </w:rPr>
        <w:t> </w:t>
      </w:r>
      <w:r>
        <w:rPr>
          <w:sz w:val="38"/>
        </w:rPr>
        <w:t>can</w:t>
      </w:r>
      <w:r>
        <w:rPr>
          <w:spacing w:val="-13"/>
          <w:sz w:val="38"/>
        </w:rPr>
        <w:t> </w:t>
      </w:r>
      <w:r>
        <w:rPr>
          <w:sz w:val="38"/>
        </w:rPr>
        <w:t>only</w:t>
      </w:r>
      <w:r>
        <w:rPr>
          <w:spacing w:val="-14"/>
          <w:sz w:val="38"/>
        </w:rPr>
        <w:t> </w:t>
      </w:r>
      <w:r>
        <w:rPr>
          <w:sz w:val="38"/>
        </w:rPr>
        <w:t>survive</w:t>
      </w:r>
      <w:r>
        <w:rPr>
          <w:spacing w:val="-13"/>
          <w:sz w:val="38"/>
        </w:rPr>
        <w:t> </w:t>
      </w:r>
      <w:r>
        <w:rPr>
          <w:sz w:val="38"/>
        </w:rPr>
        <w:t>up</w:t>
      </w:r>
      <w:r>
        <w:rPr>
          <w:spacing w:val="-14"/>
          <w:sz w:val="38"/>
        </w:rPr>
        <w:t> </w:t>
      </w:r>
      <w:r>
        <w:rPr>
          <w:sz w:val="38"/>
        </w:rPr>
        <w:t>to</w:t>
      </w:r>
      <w:r>
        <w:rPr>
          <w:spacing w:val="-14"/>
          <w:sz w:val="38"/>
        </w:rPr>
        <w:t> </w:t>
      </w:r>
      <w:r>
        <w:rPr>
          <w:sz w:val="38"/>
        </w:rPr>
        <w:t>seven</w:t>
      </w:r>
      <w:r>
        <w:rPr>
          <w:spacing w:val="-12"/>
          <w:sz w:val="38"/>
        </w:rPr>
        <w:t> </w:t>
      </w:r>
      <w:r>
        <w:rPr>
          <w:sz w:val="38"/>
        </w:rPr>
        <w:t>to</w:t>
      </w:r>
      <w:r>
        <w:rPr>
          <w:spacing w:val="-14"/>
          <w:sz w:val="38"/>
        </w:rPr>
        <w:t> </w:t>
      </w:r>
      <w:r>
        <w:rPr>
          <w:sz w:val="38"/>
        </w:rPr>
        <w:t>eight</w:t>
      </w:r>
      <w:r>
        <w:rPr>
          <w:spacing w:val="-14"/>
          <w:sz w:val="38"/>
        </w:rPr>
        <w:t> </w:t>
      </w:r>
      <w:r>
        <w:rPr>
          <w:sz w:val="38"/>
        </w:rPr>
        <w:t>weeks</w:t>
      </w:r>
      <w:r>
        <w:rPr>
          <w:spacing w:val="-13"/>
          <w:sz w:val="38"/>
        </w:rPr>
        <w:t> </w:t>
      </w:r>
      <w:r>
        <w:rPr>
          <w:sz w:val="38"/>
        </w:rPr>
        <w:t>without</w:t>
      </w:r>
      <w:r>
        <w:rPr>
          <w:spacing w:val="-15"/>
          <w:sz w:val="38"/>
        </w:rPr>
        <w:t> </w:t>
      </w:r>
      <w:r>
        <w:rPr>
          <w:sz w:val="38"/>
        </w:rPr>
        <w:t>any</w:t>
      </w:r>
      <w:r>
        <w:rPr>
          <w:spacing w:val="-14"/>
          <w:sz w:val="38"/>
        </w:rPr>
        <w:t> </w:t>
      </w:r>
      <w:r>
        <w:rPr>
          <w:sz w:val="38"/>
        </w:rPr>
        <w:t>or</w:t>
      </w:r>
      <w:r>
        <w:rPr>
          <w:spacing w:val="-13"/>
          <w:sz w:val="38"/>
        </w:rPr>
        <w:t> </w:t>
      </w:r>
      <w:r>
        <w:rPr>
          <w:sz w:val="38"/>
        </w:rPr>
        <w:t>with</w:t>
      </w:r>
      <w:r>
        <w:rPr>
          <w:spacing w:val="-13"/>
          <w:sz w:val="38"/>
        </w:rPr>
        <w:t> </w:t>
      </w:r>
      <w:r>
        <w:rPr>
          <w:sz w:val="38"/>
        </w:rPr>
        <w:t>very little</w:t>
      </w:r>
      <w:r>
        <w:rPr>
          <w:spacing w:val="-21"/>
          <w:sz w:val="38"/>
        </w:rPr>
        <w:t> </w:t>
      </w:r>
      <w:r>
        <w:rPr>
          <w:sz w:val="38"/>
        </w:rPr>
        <w:t>vitamin</w:t>
      </w:r>
      <w:r>
        <w:rPr>
          <w:spacing w:val="-20"/>
          <w:sz w:val="38"/>
        </w:rPr>
        <w:t> </w:t>
      </w:r>
      <w:r>
        <w:rPr>
          <w:sz w:val="38"/>
        </w:rPr>
        <w:t>C</w:t>
      </w:r>
      <w:r>
        <w:rPr>
          <w:spacing w:val="-22"/>
          <w:sz w:val="38"/>
        </w:rPr>
        <w:t> </w:t>
      </w:r>
      <w:r>
        <w:rPr>
          <w:sz w:val="38"/>
        </w:rPr>
        <w:t>(&lt;10</w:t>
      </w:r>
      <w:r>
        <w:rPr>
          <w:spacing w:val="-20"/>
          <w:sz w:val="38"/>
        </w:rPr>
        <w:t> </w:t>
      </w:r>
      <w:r>
        <w:rPr>
          <w:sz w:val="38"/>
        </w:rPr>
        <w:t>mg/day)?</w:t>
      </w:r>
      <w:r>
        <w:rPr>
          <w:spacing w:val="-19"/>
          <w:sz w:val="38"/>
        </w:rPr>
        <w:t> </w:t>
      </w:r>
      <w:r>
        <w:rPr>
          <w:sz w:val="38"/>
        </w:rPr>
        <w:t>Afterwards,</w:t>
      </w:r>
      <w:r>
        <w:rPr>
          <w:spacing w:val="-20"/>
          <w:sz w:val="38"/>
        </w:rPr>
        <w:t> </w:t>
      </w:r>
      <w:r>
        <w:rPr>
          <w:sz w:val="38"/>
        </w:rPr>
        <w:t>there</w:t>
      </w:r>
      <w:r>
        <w:rPr>
          <w:spacing w:val="-19"/>
          <w:sz w:val="38"/>
        </w:rPr>
        <w:t> </w:t>
      </w:r>
      <w:r>
        <w:rPr>
          <w:sz w:val="38"/>
        </w:rPr>
        <w:t>is</w:t>
      </w:r>
      <w:r>
        <w:rPr>
          <w:spacing w:val="-20"/>
          <w:sz w:val="38"/>
        </w:rPr>
        <w:t> </w:t>
      </w:r>
      <w:r>
        <w:rPr>
          <w:sz w:val="38"/>
        </w:rPr>
        <w:t>internal</w:t>
      </w:r>
      <w:r>
        <w:rPr>
          <w:spacing w:val="-20"/>
          <w:sz w:val="38"/>
        </w:rPr>
        <w:t> </w:t>
      </w:r>
      <w:r>
        <w:rPr>
          <w:sz w:val="38"/>
        </w:rPr>
        <w:t>bleeding</w:t>
      </w:r>
      <w:r>
        <w:rPr>
          <w:spacing w:val="-19"/>
          <w:sz w:val="38"/>
        </w:rPr>
        <w:t> </w:t>
      </w:r>
      <w:r>
        <w:rPr>
          <w:sz w:val="38"/>
        </w:rPr>
        <w:t>(symptom of d:</w:t>
      </w:r>
      <w:r>
        <w:rPr>
          <w:spacing w:val="1"/>
          <w:sz w:val="38"/>
        </w:rPr>
        <w:t> </w:t>
      </w:r>
      <w:r>
        <w:rPr>
          <w:sz w:val="38"/>
        </w:rPr>
        <w:t>‘scurvy’).</w:t>
      </w:r>
    </w:p>
    <w:p>
      <w:pPr>
        <w:pStyle w:val="ListParagraph"/>
        <w:numPr>
          <w:ilvl w:val="0"/>
          <w:numId w:val="124"/>
        </w:numPr>
        <w:tabs>
          <w:tab w:pos="876" w:val="left" w:leader="none"/>
        </w:tabs>
        <w:spacing w:line="271" w:lineRule="auto" w:before="126" w:after="0"/>
        <w:ind w:left="616" w:right="139" w:hanging="12"/>
        <w:jc w:val="both"/>
        <w:rPr>
          <w:rFonts w:ascii="Symbol"/>
          <w:sz w:val="38"/>
        </w:rPr>
      </w:pPr>
      <w:r>
        <w:rPr>
          <w:sz w:val="38"/>
        </w:rPr>
        <w:t>Humans would age very slowly and hardly ever get ill if they had sufficient vitamin C?</w:t>
      </w:r>
    </w:p>
    <w:p>
      <w:pPr>
        <w:pStyle w:val="ListParagraph"/>
        <w:numPr>
          <w:ilvl w:val="0"/>
          <w:numId w:val="124"/>
        </w:numPr>
        <w:tabs>
          <w:tab w:pos="876" w:val="left" w:leader="none"/>
        </w:tabs>
        <w:spacing w:line="273" w:lineRule="auto" w:before="132" w:after="0"/>
        <w:ind w:left="616" w:right="137" w:hanging="12"/>
        <w:jc w:val="both"/>
        <w:rPr>
          <w:rFonts w:ascii="Symbol" w:hAnsi="Symbol"/>
          <w:sz w:val="38"/>
        </w:rPr>
      </w:pPr>
      <w:r>
        <w:rPr>
          <w:sz w:val="38"/>
        </w:rPr>
        <w:t>In the opinion of the ‘vitamin king’ and two-time Nobel prize winner Prof. Dr. Linus Pauling, vitamin C can increase your life expectancy by 20</w:t>
      </w:r>
      <w:r>
        <w:rPr>
          <w:spacing w:val="-14"/>
          <w:sz w:val="38"/>
        </w:rPr>
        <w:t> </w:t>
      </w:r>
      <w:r>
        <w:rPr>
          <w:sz w:val="38"/>
        </w:rPr>
        <w:t>years?</w:t>
      </w:r>
    </w:p>
    <w:p>
      <w:pPr>
        <w:pStyle w:val="BodyText"/>
        <w:spacing w:before="125"/>
        <w:ind w:left="604"/>
        <w:jc w:val="both"/>
      </w:pPr>
      <w:r>
        <w:rPr>
          <w:rFonts w:ascii="Times New Roman" w:hAnsi="Times New Roman"/>
          <w:spacing w:val="-95"/>
          <w:w w:val="99"/>
          <w:shd w:fill="FFFF00" w:color="auto" w:val="clear"/>
        </w:rPr>
        <w:t> </w:t>
      </w:r>
      <w:r>
        <w:rPr>
          <w:rFonts w:ascii="Symbol" w:hAnsi="Symbol"/>
          <w:shd w:fill="FFFF00" w:color="auto" w:val="clear"/>
        </w:rPr>
        <w:t></w:t>
      </w:r>
      <w:r>
        <w:rPr/>
        <w:t>You</w:t>
      </w:r>
      <w:r>
        <w:rPr>
          <w:spacing w:val="-14"/>
        </w:rPr>
        <w:t> </w:t>
      </w:r>
      <w:r>
        <w:rPr/>
        <w:t>would</w:t>
      </w:r>
      <w:r>
        <w:rPr>
          <w:spacing w:val="-12"/>
        </w:rPr>
        <w:t> </w:t>
      </w:r>
      <w:r>
        <w:rPr/>
        <w:t>need</w:t>
      </w:r>
      <w:r>
        <w:rPr>
          <w:spacing w:val="-13"/>
        </w:rPr>
        <w:t> </w:t>
      </w:r>
      <w:r>
        <w:rPr/>
        <w:t>to</w:t>
      </w:r>
      <w:r>
        <w:rPr>
          <w:spacing w:val="-13"/>
        </w:rPr>
        <w:t> </w:t>
      </w:r>
      <w:r>
        <w:rPr/>
        <w:t>eat</w:t>
      </w:r>
      <w:r>
        <w:rPr>
          <w:spacing w:val="-14"/>
        </w:rPr>
        <w:t> </w:t>
      </w:r>
      <w:r>
        <w:rPr/>
        <w:t>40</w:t>
      </w:r>
      <w:r>
        <w:rPr>
          <w:spacing w:val="-14"/>
        </w:rPr>
        <w:t> </w:t>
      </w:r>
      <w:r>
        <w:rPr/>
        <w:t>oranges</w:t>
      </w:r>
      <w:r>
        <w:rPr>
          <w:spacing w:val="-12"/>
        </w:rPr>
        <w:t> </w:t>
      </w:r>
      <w:r>
        <w:rPr/>
        <w:t>or</w:t>
      </w:r>
      <w:r>
        <w:rPr>
          <w:spacing w:val="-12"/>
        </w:rPr>
        <w:t> </w:t>
      </w:r>
      <w:r>
        <w:rPr/>
        <w:t>7</w:t>
      </w:r>
      <w:r>
        <w:rPr>
          <w:spacing w:val="-12"/>
        </w:rPr>
        <w:t> </w:t>
      </w:r>
      <w:r>
        <w:rPr/>
        <w:t>kg</w:t>
      </w:r>
      <w:r>
        <w:rPr>
          <w:spacing w:val="-13"/>
        </w:rPr>
        <w:t> </w:t>
      </w:r>
      <w:r>
        <w:rPr/>
        <w:t>of</w:t>
      </w:r>
      <w:r>
        <w:rPr>
          <w:spacing w:val="-13"/>
        </w:rPr>
        <w:t> </w:t>
      </w:r>
      <w:r>
        <w:rPr/>
        <w:t>pickled</w:t>
      </w:r>
      <w:r>
        <w:rPr>
          <w:spacing w:val="-13"/>
        </w:rPr>
        <w:t> </w:t>
      </w:r>
      <w:r>
        <w:rPr/>
        <w:t>cabbage</w:t>
      </w:r>
      <w:r>
        <w:rPr>
          <w:spacing w:val="-13"/>
        </w:rPr>
        <w:t> </w:t>
      </w:r>
      <w:r>
        <w:rPr/>
        <w:t>per</w:t>
      </w:r>
      <w:r>
        <w:rPr>
          <w:spacing w:val="-13"/>
        </w:rPr>
        <w:t> </w:t>
      </w:r>
      <w:r>
        <w:rPr/>
        <w:t>day</w:t>
      </w:r>
      <w:r>
        <w:rPr>
          <w:spacing w:val="-14"/>
        </w:rPr>
        <w:t> </w:t>
      </w:r>
      <w:r>
        <w:rPr/>
        <w:t>in</w:t>
      </w:r>
      <w:r>
        <w:rPr>
          <w:spacing w:val="-13"/>
        </w:rPr>
        <w:t> </w:t>
      </w:r>
      <w:r>
        <w:rPr/>
        <w:t>order</w:t>
      </w:r>
    </w:p>
    <w:p>
      <w:pPr>
        <w:spacing w:after="0"/>
        <w:jc w:val="both"/>
        <w:sectPr>
          <w:pgSz w:w="14270" w:h="16850"/>
          <w:pgMar w:header="0" w:footer="1891" w:top="1340" w:bottom="2080" w:left="800" w:right="1280"/>
        </w:sectPr>
      </w:pPr>
    </w:p>
    <w:p>
      <w:pPr>
        <w:pStyle w:val="BodyText"/>
        <w:spacing w:line="276" w:lineRule="auto" w:before="72"/>
        <w:ind w:left="616" w:right="148"/>
        <w:jc w:val="both"/>
      </w:pPr>
      <w:r>
        <w:rPr/>
        <w:t>to consume the amount of vitamin C through food according to natural doc- tors and molecular biologists?</w:t>
      </w:r>
    </w:p>
    <w:p>
      <w:pPr>
        <w:pStyle w:val="ListParagraph"/>
        <w:numPr>
          <w:ilvl w:val="0"/>
          <w:numId w:val="124"/>
        </w:numPr>
        <w:tabs>
          <w:tab w:pos="876" w:val="left" w:leader="none"/>
        </w:tabs>
        <w:spacing w:line="273" w:lineRule="auto" w:before="121" w:after="0"/>
        <w:ind w:left="616" w:right="134" w:hanging="12"/>
        <w:jc w:val="both"/>
        <w:rPr>
          <w:rFonts w:ascii="Symbol"/>
          <w:sz w:val="38"/>
        </w:rPr>
      </w:pPr>
      <w:r>
        <w:rPr>
          <w:sz w:val="38"/>
        </w:rPr>
        <w:t>The requirement for vitamin C increases multiple times in the event of a disease as the body quickly depletes its store of vitamin C in order to fight the disease with this highly potent</w:t>
      </w:r>
      <w:r>
        <w:rPr>
          <w:spacing w:val="-1"/>
          <w:sz w:val="38"/>
        </w:rPr>
        <w:t> </w:t>
      </w:r>
      <w:r>
        <w:rPr>
          <w:sz w:val="38"/>
        </w:rPr>
        <w:t>weapon?</w:t>
      </w:r>
    </w:p>
    <w:p>
      <w:pPr>
        <w:pStyle w:val="ListParagraph"/>
        <w:numPr>
          <w:ilvl w:val="0"/>
          <w:numId w:val="124"/>
        </w:numPr>
        <w:tabs>
          <w:tab w:pos="876" w:val="left" w:leader="none"/>
        </w:tabs>
        <w:spacing w:line="271" w:lineRule="auto" w:before="127" w:after="0"/>
        <w:ind w:left="616" w:right="140" w:hanging="12"/>
        <w:jc w:val="both"/>
        <w:rPr>
          <w:rFonts w:ascii="Symbol"/>
          <w:sz w:val="38"/>
        </w:rPr>
      </w:pPr>
      <w:r>
        <w:rPr>
          <w:sz w:val="38"/>
        </w:rPr>
        <w:t>That you can test your perfect, personal vitamin C requirement yourself? (The test description is further on in the</w:t>
      </w:r>
      <w:r>
        <w:rPr>
          <w:spacing w:val="-2"/>
          <w:sz w:val="38"/>
        </w:rPr>
        <w:t> </w:t>
      </w:r>
      <w:r>
        <w:rPr>
          <w:sz w:val="38"/>
        </w:rPr>
        <w:t>book!)</w:t>
      </w:r>
    </w:p>
    <w:p>
      <w:pPr>
        <w:pStyle w:val="ListParagraph"/>
        <w:numPr>
          <w:ilvl w:val="0"/>
          <w:numId w:val="124"/>
        </w:numPr>
        <w:tabs>
          <w:tab w:pos="876" w:val="left" w:leader="none"/>
        </w:tabs>
        <w:spacing w:line="271" w:lineRule="auto" w:before="134" w:after="0"/>
        <w:ind w:left="616" w:right="136" w:hanging="12"/>
        <w:jc w:val="both"/>
        <w:rPr>
          <w:rFonts w:ascii="Symbol"/>
          <w:sz w:val="38"/>
        </w:rPr>
      </w:pPr>
      <w:r>
        <w:rPr>
          <w:sz w:val="38"/>
        </w:rPr>
        <w:t>That</w:t>
      </w:r>
      <w:r>
        <w:rPr>
          <w:spacing w:val="-23"/>
          <w:sz w:val="38"/>
        </w:rPr>
        <w:t> </w:t>
      </w:r>
      <w:r>
        <w:rPr>
          <w:sz w:val="38"/>
        </w:rPr>
        <w:t>humans,</w:t>
      </w:r>
      <w:r>
        <w:rPr>
          <w:spacing w:val="-24"/>
          <w:sz w:val="38"/>
        </w:rPr>
        <w:t> </w:t>
      </w:r>
      <w:r>
        <w:rPr>
          <w:sz w:val="38"/>
        </w:rPr>
        <w:t>primates,</w:t>
      </w:r>
      <w:r>
        <w:rPr>
          <w:spacing w:val="-22"/>
          <w:sz w:val="38"/>
        </w:rPr>
        <w:t> </w:t>
      </w:r>
      <w:r>
        <w:rPr>
          <w:sz w:val="38"/>
        </w:rPr>
        <w:t>guinea</w:t>
      </w:r>
      <w:r>
        <w:rPr>
          <w:spacing w:val="-22"/>
          <w:sz w:val="38"/>
        </w:rPr>
        <w:t> </w:t>
      </w:r>
      <w:r>
        <w:rPr>
          <w:sz w:val="38"/>
        </w:rPr>
        <w:t>pigs,</w:t>
      </w:r>
      <w:r>
        <w:rPr>
          <w:spacing w:val="-21"/>
          <w:sz w:val="38"/>
        </w:rPr>
        <w:t> </w:t>
      </w:r>
      <w:r>
        <w:rPr>
          <w:sz w:val="38"/>
        </w:rPr>
        <w:t>domestic</w:t>
      </w:r>
      <w:r>
        <w:rPr>
          <w:spacing w:val="-21"/>
          <w:sz w:val="38"/>
        </w:rPr>
        <w:t> </w:t>
      </w:r>
      <w:r>
        <w:rPr>
          <w:sz w:val="38"/>
        </w:rPr>
        <w:t>pigs</w:t>
      </w:r>
      <w:r>
        <w:rPr>
          <w:spacing w:val="-22"/>
          <w:sz w:val="38"/>
        </w:rPr>
        <w:t> </w:t>
      </w:r>
      <w:r>
        <w:rPr>
          <w:sz w:val="38"/>
        </w:rPr>
        <w:t>and</w:t>
      </w:r>
      <w:r>
        <w:rPr>
          <w:spacing w:val="-25"/>
          <w:sz w:val="38"/>
        </w:rPr>
        <w:t> </w:t>
      </w:r>
      <w:r>
        <w:rPr>
          <w:sz w:val="38"/>
        </w:rPr>
        <w:t>field</w:t>
      </w:r>
      <w:r>
        <w:rPr>
          <w:spacing w:val="-23"/>
          <w:sz w:val="38"/>
        </w:rPr>
        <w:t> </w:t>
      </w:r>
      <w:r>
        <w:rPr>
          <w:sz w:val="38"/>
        </w:rPr>
        <w:t>mice</w:t>
      </w:r>
      <w:r>
        <w:rPr>
          <w:spacing w:val="-23"/>
          <w:sz w:val="38"/>
        </w:rPr>
        <w:t> </w:t>
      </w:r>
      <w:r>
        <w:rPr>
          <w:sz w:val="38"/>
        </w:rPr>
        <w:t>do</w:t>
      </w:r>
      <w:r>
        <w:rPr>
          <w:spacing w:val="-22"/>
          <w:sz w:val="38"/>
        </w:rPr>
        <w:t> </w:t>
      </w:r>
      <w:r>
        <w:rPr>
          <w:sz w:val="38"/>
        </w:rPr>
        <w:t>not</w:t>
      </w:r>
      <w:r>
        <w:rPr>
          <w:spacing w:val="-25"/>
          <w:sz w:val="38"/>
        </w:rPr>
        <w:t> </w:t>
      </w:r>
      <w:r>
        <w:rPr>
          <w:sz w:val="38"/>
        </w:rPr>
        <w:t>have the ability to create vitamin C</w:t>
      </w:r>
      <w:r>
        <w:rPr>
          <w:spacing w:val="-1"/>
          <w:sz w:val="38"/>
        </w:rPr>
        <w:t> </w:t>
      </w:r>
      <w:r>
        <w:rPr>
          <w:sz w:val="38"/>
        </w:rPr>
        <w:t>themselves?</w:t>
      </w:r>
    </w:p>
    <w:p>
      <w:pPr>
        <w:pStyle w:val="ListParagraph"/>
        <w:numPr>
          <w:ilvl w:val="0"/>
          <w:numId w:val="124"/>
        </w:numPr>
        <w:tabs>
          <w:tab w:pos="876" w:val="left" w:leader="none"/>
        </w:tabs>
        <w:spacing w:line="271" w:lineRule="auto" w:before="131" w:after="0"/>
        <w:ind w:left="616" w:right="133" w:hanging="12"/>
        <w:jc w:val="both"/>
        <w:rPr>
          <w:rFonts w:ascii="Symbol"/>
          <w:b/>
          <w:sz w:val="38"/>
        </w:rPr>
      </w:pPr>
      <w:r>
        <w:rPr>
          <w:sz w:val="38"/>
        </w:rPr>
        <w:t>However, a dog can create up to </w:t>
      </w:r>
      <w:r>
        <w:rPr>
          <w:b/>
          <w:sz w:val="38"/>
          <w:u w:val="single"/>
        </w:rPr>
        <w:t>5000 mg</w:t>
      </w:r>
      <w:r>
        <w:rPr>
          <w:sz w:val="38"/>
        </w:rPr>
        <w:t>, a cat up to </w:t>
      </w:r>
      <w:r>
        <w:rPr>
          <w:b/>
          <w:sz w:val="38"/>
          <w:u w:val="single"/>
        </w:rPr>
        <w:t>1000 mg</w:t>
      </w:r>
      <w:r>
        <w:rPr>
          <w:b/>
          <w:sz w:val="38"/>
        </w:rPr>
        <w:t> </w:t>
      </w:r>
      <w:r>
        <w:rPr>
          <w:sz w:val="38"/>
        </w:rPr>
        <w:t>and a goat up to </w:t>
      </w:r>
      <w:r>
        <w:rPr>
          <w:b/>
          <w:sz w:val="38"/>
          <w:u w:val="single"/>
        </w:rPr>
        <w:t>12,000 mg per day?</w:t>
      </w:r>
    </w:p>
    <w:p>
      <w:pPr>
        <w:pStyle w:val="ListParagraph"/>
        <w:numPr>
          <w:ilvl w:val="0"/>
          <w:numId w:val="124"/>
        </w:numPr>
        <w:tabs>
          <w:tab w:pos="876" w:val="left" w:leader="none"/>
        </w:tabs>
        <w:spacing w:line="273" w:lineRule="auto" w:before="134" w:after="0"/>
        <w:ind w:left="616" w:right="137" w:hanging="12"/>
        <w:jc w:val="both"/>
        <w:rPr>
          <w:rFonts w:ascii="Symbol"/>
          <w:sz w:val="38"/>
        </w:rPr>
      </w:pPr>
      <w:r>
        <w:rPr>
          <w:sz w:val="38"/>
        </w:rPr>
        <w:t>That</w:t>
      </w:r>
      <w:r>
        <w:rPr>
          <w:spacing w:val="-11"/>
          <w:sz w:val="38"/>
        </w:rPr>
        <w:t> </w:t>
      </w:r>
      <w:r>
        <w:rPr>
          <w:sz w:val="38"/>
        </w:rPr>
        <w:t>nature</w:t>
      </w:r>
      <w:r>
        <w:rPr>
          <w:spacing w:val="-9"/>
          <w:sz w:val="38"/>
        </w:rPr>
        <w:t> </w:t>
      </w:r>
      <w:r>
        <w:rPr>
          <w:sz w:val="38"/>
        </w:rPr>
        <w:t>never</w:t>
      </w:r>
      <w:r>
        <w:rPr>
          <w:spacing w:val="-9"/>
          <w:sz w:val="38"/>
        </w:rPr>
        <w:t> </w:t>
      </w:r>
      <w:r>
        <w:rPr>
          <w:sz w:val="38"/>
        </w:rPr>
        <w:t>creates</w:t>
      </w:r>
      <w:r>
        <w:rPr>
          <w:spacing w:val="-11"/>
          <w:sz w:val="38"/>
        </w:rPr>
        <w:t> </w:t>
      </w:r>
      <w:r>
        <w:rPr>
          <w:sz w:val="38"/>
        </w:rPr>
        <w:t>an</w:t>
      </w:r>
      <w:r>
        <w:rPr>
          <w:spacing w:val="-10"/>
          <w:sz w:val="38"/>
        </w:rPr>
        <w:t> </w:t>
      </w:r>
      <w:r>
        <w:rPr>
          <w:sz w:val="38"/>
        </w:rPr>
        <w:t>excess</w:t>
      </w:r>
      <w:r>
        <w:rPr>
          <w:spacing w:val="-9"/>
          <w:sz w:val="38"/>
        </w:rPr>
        <w:t> </w:t>
      </w:r>
      <w:r>
        <w:rPr>
          <w:sz w:val="38"/>
        </w:rPr>
        <w:t>of</w:t>
      </w:r>
      <w:r>
        <w:rPr>
          <w:spacing w:val="-11"/>
          <w:sz w:val="38"/>
        </w:rPr>
        <w:t> </w:t>
      </w:r>
      <w:r>
        <w:rPr>
          <w:sz w:val="38"/>
        </w:rPr>
        <w:t>anything</w:t>
      </w:r>
      <w:r>
        <w:rPr>
          <w:spacing w:val="-11"/>
          <w:sz w:val="38"/>
        </w:rPr>
        <w:t> </w:t>
      </w:r>
      <w:r>
        <w:rPr>
          <w:sz w:val="38"/>
        </w:rPr>
        <w:t>and</w:t>
      </w:r>
      <w:r>
        <w:rPr>
          <w:spacing w:val="-10"/>
          <w:sz w:val="38"/>
        </w:rPr>
        <w:t> </w:t>
      </w:r>
      <w:r>
        <w:rPr>
          <w:sz w:val="38"/>
        </w:rPr>
        <w:t>that</w:t>
      </w:r>
      <w:r>
        <w:rPr>
          <w:spacing w:val="-9"/>
          <w:sz w:val="38"/>
        </w:rPr>
        <w:t> </w:t>
      </w:r>
      <w:r>
        <w:rPr>
          <w:sz w:val="38"/>
        </w:rPr>
        <w:t>none</w:t>
      </w:r>
      <w:r>
        <w:rPr>
          <w:spacing w:val="-10"/>
          <w:sz w:val="38"/>
        </w:rPr>
        <w:t> </w:t>
      </w:r>
      <w:r>
        <w:rPr>
          <w:sz w:val="38"/>
        </w:rPr>
        <w:t>of</w:t>
      </w:r>
      <w:r>
        <w:rPr>
          <w:spacing w:val="-14"/>
          <w:sz w:val="38"/>
        </w:rPr>
        <w:t> </w:t>
      </w:r>
      <w:r>
        <w:rPr>
          <w:sz w:val="38"/>
        </w:rPr>
        <w:t>the</w:t>
      </w:r>
      <w:r>
        <w:rPr>
          <w:spacing w:val="-9"/>
          <w:sz w:val="38"/>
        </w:rPr>
        <w:t> </w:t>
      </w:r>
      <w:r>
        <w:rPr>
          <w:sz w:val="38"/>
        </w:rPr>
        <w:t>animals mentioned die from heart disease (or cancer) in the wild, while 50 % of all humans die from these</w:t>
      </w:r>
      <w:r>
        <w:rPr>
          <w:spacing w:val="1"/>
          <w:sz w:val="38"/>
        </w:rPr>
        <w:t> </w:t>
      </w:r>
      <w:r>
        <w:rPr>
          <w:sz w:val="38"/>
        </w:rPr>
        <w:t>things?</w:t>
      </w:r>
    </w:p>
    <w:p>
      <w:pPr>
        <w:pStyle w:val="ListParagraph"/>
        <w:numPr>
          <w:ilvl w:val="0"/>
          <w:numId w:val="124"/>
        </w:numPr>
        <w:tabs>
          <w:tab w:pos="876" w:val="left" w:leader="none"/>
        </w:tabs>
        <w:spacing w:line="271" w:lineRule="auto" w:before="127" w:after="0"/>
        <w:ind w:left="616" w:right="137" w:hanging="12"/>
        <w:jc w:val="both"/>
        <w:rPr>
          <w:rFonts w:ascii="Symbol"/>
          <w:sz w:val="38"/>
        </w:rPr>
      </w:pPr>
      <w:r>
        <w:rPr>
          <w:sz w:val="38"/>
        </w:rPr>
        <w:t>In</w:t>
      </w:r>
      <w:r>
        <w:rPr>
          <w:spacing w:val="-23"/>
          <w:sz w:val="38"/>
        </w:rPr>
        <w:t> </w:t>
      </w:r>
      <w:r>
        <w:rPr>
          <w:sz w:val="38"/>
        </w:rPr>
        <w:t>stressful</w:t>
      </w:r>
      <w:r>
        <w:rPr>
          <w:spacing w:val="-26"/>
          <w:sz w:val="38"/>
        </w:rPr>
        <w:t> </w:t>
      </w:r>
      <w:r>
        <w:rPr>
          <w:sz w:val="38"/>
        </w:rPr>
        <w:t>situations,</w:t>
      </w:r>
      <w:r>
        <w:rPr>
          <w:spacing w:val="-23"/>
          <w:sz w:val="38"/>
        </w:rPr>
        <w:t> </w:t>
      </w:r>
      <w:r>
        <w:rPr>
          <w:sz w:val="38"/>
        </w:rPr>
        <w:t>animals</w:t>
      </w:r>
      <w:r>
        <w:rPr>
          <w:spacing w:val="-23"/>
          <w:sz w:val="38"/>
        </w:rPr>
        <w:t> </w:t>
      </w:r>
      <w:r>
        <w:rPr>
          <w:sz w:val="38"/>
        </w:rPr>
        <w:t>increase</w:t>
      </w:r>
      <w:r>
        <w:rPr>
          <w:spacing w:val="-23"/>
          <w:sz w:val="38"/>
        </w:rPr>
        <w:t> </w:t>
      </w:r>
      <w:r>
        <w:rPr>
          <w:sz w:val="38"/>
        </w:rPr>
        <w:t>their</w:t>
      </w:r>
      <w:r>
        <w:rPr>
          <w:spacing w:val="-23"/>
          <w:sz w:val="38"/>
        </w:rPr>
        <w:t> </w:t>
      </w:r>
      <w:r>
        <w:rPr>
          <w:sz w:val="38"/>
        </w:rPr>
        <w:t>vitamin</w:t>
      </w:r>
      <w:r>
        <w:rPr>
          <w:spacing w:val="-23"/>
          <w:sz w:val="38"/>
        </w:rPr>
        <w:t> </w:t>
      </w:r>
      <w:r>
        <w:rPr>
          <w:sz w:val="38"/>
        </w:rPr>
        <w:t>C</w:t>
      </w:r>
      <w:r>
        <w:rPr>
          <w:spacing w:val="-25"/>
          <w:sz w:val="38"/>
        </w:rPr>
        <w:t> </w:t>
      </w:r>
      <w:r>
        <w:rPr>
          <w:sz w:val="38"/>
        </w:rPr>
        <w:t>synthesis</w:t>
      </w:r>
      <w:r>
        <w:rPr>
          <w:spacing w:val="-23"/>
          <w:sz w:val="38"/>
        </w:rPr>
        <w:t> </w:t>
      </w:r>
      <w:r>
        <w:rPr>
          <w:sz w:val="38"/>
        </w:rPr>
        <w:t>(production) by up to 4-5 times?</w:t>
      </w:r>
    </w:p>
    <w:p>
      <w:pPr>
        <w:pStyle w:val="ListParagraph"/>
        <w:numPr>
          <w:ilvl w:val="0"/>
          <w:numId w:val="124"/>
        </w:numPr>
        <w:tabs>
          <w:tab w:pos="876" w:val="left" w:leader="none"/>
        </w:tabs>
        <w:spacing w:line="276" w:lineRule="auto" w:before="131" w:after="0"/>
        <w:ind w:left="616" w:right="133" w:hanging="12"/>
        <w:jc w:val="both"/>
        <w:rPr>
          <w:rFonts w:ascii="Symbol"/>
          <w:sz w:val="38"/>
        </w:rPr>
      </w:pPr>
      <w:r>
        <w:rPr>
          <w:sz w:val="38"/>
        </w:rPr>
        <w:t>That the majority of molecular researchers and vitamin experts around the world agree that humans require 30-50mg of vitamin C per kg of their body weight? For an adult weighing 75 kg this means approx. </w:t>
      </w:r>
      <w:r>
        <w:rPr>
          <w:b/>
          <w:sz w:val="38"/>
          <w:u w:val="single"/>
        </w:rPr>
        <w:t>2000-3500 mg</w:t>
      </w:r>
      <w:r>
        <w:rPr>
          <w:b/>
          <w:sz w:val="38"/>
        </w:rPr>
        <w:t> </w:t>
      </w:r>
      <w:r>
        <w:rPr>
          <w:sz w:val="38"/>
        </w:rPr>
        <w:t>of</w:t>
      </w:r>
      <w:r>
        <w:rPr>
          <w:spacing w:val="-51"/>
          <w:sz w:val="38"/>
        </w:rPr>
        <w:t> </w:t>
      </w:r>
      <w:r>
        <w:rPr>
          <w:sz w:val="38"/>
        </w:rPr>
        <w:t>vit- amin C each day?</w:t>
      </w:r>
    </w:p>
    <w:p>
      <w:pPr>
        <w:pStyle w:val="ListParagraph"/>
        <w:numPr>
          <w:ilvl w:val="0"/>
          <w:numId w:val="124"/>
        </w:numPr>
        <w:tabs>
          <w:tab w:pos="876" w:val="left" w:leader="none"/>
        </w:tabs>
        <w:spacing w:line="240" w:lineRule="auto" w:before="115" w:after="0"/>
        <w:ind w:left="875" w:right="0" w:hanging="271"/>
        <w:jc w:val="both"/>
        <w:rPr>
          <w:rFonts w:ascii="Symbol"/>
          <w:sz w:val="38"/>
        </w:rPr>
      </w:pPr>
      <w:r>
        <w:rPr>
          <w:sz w:val="38"/>
        </w:rPr>
        <w:t>Yet,</w:t>
      </w:r>
      <w:r>
        <w:rPr>
          <w:spacing w:val="13"/>
          <w:sz w:val="38"/>
        </w:rPr>
        <w:t> </w:t>
      </w:r>
      <w:r>
        <w:rPr>
          <w:sz w:val="38"/>
        </w:rPr>
        <w:t>the</w:t>
      </w:r>
      <w:r>
        <w:rPr>
          <w:spacing w:val="11"/>
          <w:sz w:val="38"/>
        </w:rPr>
        <w:t> </w:t>
      </w:r>
      <w:r>
        <w:rPr>
          <w:sz w:val="38"/>
        </w:rPr>
        <w:t>official</w:t>
      </w:r>
      <w:r>
        <w:rPr>
          <w:spacing w:val="11"/>
          <w:sz w:val="38"/>
        </w:rPr>
        <w:t> </w:t>
      </w:r>
      <w:r>
        <w:rPr>
          <w:sz w:val="38"/>
        </w:rPr>
        <w:t>recommendation</w:t>
      </w:r>
      <w:r>
        <w:rPr>
          <w:spacing w:val="13"/>
          <w:sz w:val="38"/>
        </w:rPr>
        <w:t> </w:t>
      </w:r>
      <w:r>
        <w:rPr>
          <w:sz w:val="38"/>
        </w:rPr>
        <w:t>for</w:t>
      </w:r>
      <w:r>
        <w:rPr>
          <w:spacing w:val="14"/>
          <w:sz w:val="38"/>
        </w:rPr>
        <w:t> </w:t>
      </w:r>
      <w:r>
        <w:rPr>
          <w:sz w:val="38"/>
        </w:rPr>
        <w:t>adult</w:t>
      </w:r>
      <w:r>
        <w:rPr>
          <w:spacing w:val="11"/>
          <w:sz w:val="38"/>
        </w:rPr>
        <w:t> </w:t>
      </w:r>
      <w:r>
        <w:rPr>
          <w:sz w:val="38"/>
        </w:rPr>
        <w:t>humans</w:t>
      </w:r>
      <w:r>
        <w:rPr>
          <w:spacing w:val="14"/>
          <w:sz w:val="38"/>
        </w:rPr>
        <w:t> </w:t>
      </w:r>
      <w:r>
        <w:rPr>
          <w:sz w:val="38"/>
        </w:rPr>
        <w:t>according</w:t>
      </w:r>
      <w:r>
        <w:rPr>
          <w:spacing w:val="13"/>
          <w:sz w:val="38"/>
        </w:rPr>
        <w:t> </w:t>
      </w:r>
      <w:r>
        <w:rPr>
          <w:sz w:val="38"/>
        </w:rPr>
        <w:t>to</w:t>
      </w:r>
      <w:r>
        <w:rPr>
          <w:spacing w:val="11"/>
          <w:sz w:val="38"/>
        </w:rPr>
        <w:t> </w:t>
      </w:r>
      <w:r>
        <w:rPr>
          <w:sz w:val="38"/>
        </w:rPr>
        <w:t>the</w:t>
      </w:r>
      <w:r>
        <w:rPr>
          <w:spacing w:val="13"/>
          <w:sz w:val="38"/>
        </w:rPr>
        <w:t> </w:t>
      </w:r>
      <w:r>
        <w:rPr>
          <w:sz w:val="38"/>
        </w:rPr>
        <w:t>World</w:t>
      </w:r>
    </w:p>
    <w:p>
      <w:pPr>
        <w:spacing w:after="0" w:line="240" w:lineRule="auto"/>
        <w:jc w:val="both"/>
        <w:rPr>
          <w:rFonts w:ascii="Symbol"/>
          <w:sz w:val="38"/>
        </w:rPr>
        <w:sectPr>
          <w:pgSz w:w="14270" w:h="16850"/>
          <w:pgMar w:header="0" w:footer="1891" w:top="1340" w:bottom="2080" w:left="800" w:right="1280"/>
        </w:sectPr>
      </w:pPr>
    </w:p>
    <w:p>
      <w:pPr>
        <w:spacing w:line="276" w:lineRule="auto" w:before="72"/>
        <w:ind w:left="616" w:right="131" w:firstLine="0"/>
        <w:jc w:val="both"/>
        <w:rPr>
          <w:sz w:val="25"/>
        </w:rPr>
      </w:pPr>
      <w:r>
        <w:rPr>
          <w:sz w:val="38"/>
        </w:rPr>
        <w:t>Health</w:t>
      </w:r>
      <w:r>
        <w:rPr>
          <w:spacing w:val="-11"/>
          <w:sz w:val="38"/>
        </w:rPr>
        <w:t> </w:t>
      </w:r>
      <w:r>
        <w:rPr>
          <w:sz w:val="38"/>
        </w:rPr>
        <w:t>Organisation</w:t>
      </w:r>
      <w:r>
        <w:rPr>
          <w:spacing w:val="-10"/>
          <w:sz w:val="38"/>
        </w:rPr>
        <w:t> </w:t>
      </w:r>
      <w:r>
        <w:rPr>
          <w:sz w:val="38"/>
        </w:rPr>
        <w:t>(WHO)</w:t>
      </w:r>
      <w:r>
        <w:rPr>
          <w:spacing w:val="-12"/>
          <w:sz w:val="38"/>
        </w:rPr>
        <w:t> </w:t>
      </w:r>
      <w:r>
        <w:rPr>
          <w:sz w:val="38"/>
        </w:rPr>
        <w:t>and</w:t>
      </w:r>
      <w:r>
        <w:rPr>
          <w:spacing w:val="-7"/>
          <w:sz w:val="38"/>
        </w:rPr>
        <w:t> </w:t>
      </w:r>
      <w:r>
        <w:rPr>
          <w:sz w:val="38"/>
        </w:rPr>
        <w:t>the</w:t>
      </w:r>
      <w:r>
        <w:rPr>
          <w:spacing w:val="-7"/>
          <w:sz w:val="38"/>
        </w:rPr>
        <w:t> </w:t>
      </w:r>
      <w:r>
        <w:rPr>
          <w:i/>
          <w:sz w:val="38"/>
        </w:rPr>
        <w:t>Deutschen</w:t>
      </w:r>
      <w:r>
        <w:rPr>
          <w:i/>
          <w:spacing w:val="-10"/>
          <w:sz w:val="38"/>
        </w:rPr>
        <w:t> </w:t>
      </w:r>
      <w:r>
        <w:rPr>
          <w:i/>
          <w:sz w:val="38"/>
        </w:rPr>
        <w:t>Gesellschaft</w:t>
      </w:r>
      <w:r>
        <w:rPr>
          <w:i/>
          <w:spacing w:val="-11"/>
          <w:sz w:val="38"/>
        </w:rPr>
        <w:t> </w:t>
      </w:r>
      <w:r>
        <w:rPr>
          <w:i/>
          <w:sz w:val="38"/>
        </w:rPr>
        <w:t>für</w:t>
      </w:r>
      <w:r>
        <w:rPr>
          <w:i/>
          <w:spacing w:val="-12"/>
          <w:sz w:val="38"/>
        </w:rPr>
        <w:t> </w:t>
      </w:r>
      <w:r>
        <w:rPr>
          <w:i/>
          <w:sz w:val="38"/>
        </w:rPr>
        <w:t>Ernährung</w:t>
      </w:r>
      <w:r>
        <w:rPr>
          <w:i/>
          <w:spacing w:val="-8"/>
          <w:sz w:val="38"/>
        </w:rPr>
        <w:t> </w:t>
      </w:r>
      <w:r>
        <w:rPr>
          <w:sz w:val="38"/>
        </w:rPr>
        <w:t>(DGE) is INSTEAD a scandalous </w:t>
      </w:r>
      <w:r>
        <w:rPr>
          <w:b/>
          <w:sz w:val="38"/>
          <w:u w:val="single"/>
        </w:rPr>
        <w:t>60-100 mg per day</w:t>
      </w:r>
      <w:r>
        <w:rPr>
          <w:sz w:val="38"/>
        </w:rPr>
        <w:t>? (in comparison, the official recommendation</w:t>
      </w:r>
      <w:r>
        <w:rPr>
          <w:spacing w:val="-6"/>
          <w:sz w:val="38"/>
        </w:rPr>
        <w:t> </w:t>
      </w:r>
      <w:r>
        <w:rPr>
          <w:sz w:val="38"/>
        </w:rPr>
        <w:t>for</w:t>
      </w:r>
      <w:r>
        <w:rPr>
          <w:spacing w:val="-4"/>
          <w:sz w:val="38"/>
        </w:rPr>
        <w:t> </w:t>
      </w:r>
      <w:r>
        <w:rPr>
          <w:sz w:val="38"/>
        </w:rPr>
        <w:t>guinea</w:t>
      </w:r>
      <w:r>
        <w:rPr>
          <w:spacing w:val="-6"/>
          <w:sz w:val="38"/>
        </w:rPr>
        <w:t> </w:t>
      </w:r>
      <w:r>
        <w:rPr>
          <w:sz w:val="38"/>
        </w:rPr>
        <w:t>pigs</w:t>
      </w:r>
      <w:r>
        <w:rPr>
          <w:spacing w:val="-7"/>
          <w:sz w:val="38"/>
        </w:rPr>
        <w:t> </w:t>
      </w:r>
      <w:r>
        <w:rPr>
          <w:sz w:val="38"/>
        </w:rPr>
        <w:t>with</w:t>
      </w:r>
      <w:r>
        <w:rPr>
          <w:spacing w:val="-5"/>
          <w:sz w:val="38"/>
        </w:rPr>
        <w:t> </w:t>
      </w:r>
      <w:r>
        <w:rPr>
          <w:sz w:val="38"/>
        </w:rPr>
        <w:t>a</w:t>
      </w:r>
      <w:r>
        <w:rPr>
          <w:spacing w:val="-7"/>
          <w:sz w:val="38"/>
        </w:rPr>
        <w:t> </w:t>
      </w:r>
      <w:r>
        <w:rPr>
          <w:sz w:val="38"/>
        </w:rPr>
        <w:t>body</w:t>
      </w:r>
      <w:r>
        <w:rPr>
          <w:spacing w:val="-7"/>
          <w:sz w:val="38"/>
        </w:rPr>
        <w:t> </w:t>
      </w:r>
      <w:r>
        <w:rPr>
          <w:sz w:val="38"/>
        </w:rPr>
        <w:t>weight</w:t>
      </w:r>
      <w:r>
        <w:rPr>
          <w:spacing w:val="-3"/>
          <w:sz w:val="38"/>
        </w:rPr>
        <w:t> </w:t>
      </w:r>
      <w:r>
        <w:rPr>
          <w:sz w:val="38"/>
        </w:rPr>
        <w:t>of</w:t>
      </w:r>
      <w:r>
        <w:rPr>
          <w:spacing w:val="-6"/>
          <w:sz w:val="38"/>
        </w:rPr>
        <w:t> </w:t>
      </w:r>
      <w:r>
        <w:rPr>
          <w:sz w:val="38"/>
        </w:rPr>
        <w:t>0.5</w:t>
      </w:r>
      <w:r>
        <w:rPr>
          <w:spacing w:val="-6"/>
          <w:sz w:val="38"/>
        </w:rPr>
        <w:t> </w:t>
      </w:r>
      <w:r>
        <w:rPr>
          <w:sz w:val="38"/>
        </w:rPr>
        <w:t>kg</w:t>
      </w:r>
      <w:r>
        <w:rPr>
          <w:spacing w:val="-5"/>
          <w:sz w:val="38"/>
        </w:rPr>
        <w:t> </w:t>
      </w:r>
      <w:r>
        <w:rPr>
          <w:sz w:val="38"/>
        </w:rPr>
        <w:t>-</w:t>
      </w:r>
      <w:r>
        <w:rPr>
          <w:spacing w:val="-7"/>
          <w:sz w:val="38"/>
        </w:rPr>
        <w:t> </w:t>
      </w:r>
      <w:r>
        <w:rPr>
          <w:sz w:val="38"/>
        </w:rPr>
        <w:t>1.5</w:t>
      </w:r>
      <w:r>
        <w:rPr>
          <w:spacing w:val="-6"/>
          <w:sz w:val="38"/>
        </w:rPr>
        <w:t> </w:t>
      </w:r>
      <w:r>
        <w:rPr>
          <w:sz w:val="38"/>
        </w:rPr>
        <w:t>kg</w:t>
      </w:r>
      <w:r>
        <w:rPr>
          <w:spacing w:val="-7"/>
          <w:sz w:val="38"/>
        </w:rPr>
        <w:t> </w:t>
      </w:r>
      <w:r>
        <w:rPr>
          <w:sz w:val="38"/>
        </w:rPr>
        <w:t>is</w:t>
      </w:r>
      <w:r>
        <w:rPr>
          <w:spacing w:val="-6"/>
          <w:sz w:val="38"/>
        </w:rPr>
        <w:t> </w:t>
      </w:r>
      <w:r>
        <w:rPr>
          <w:sz w:val="38"/>
        </w:rPr>
        <w:t>10-30 mg!)</w:t>
      </w:r>
      <w:r>
        <w:rPr>
          <w:position w:val="9"/>
          <w:sz w:val="25"/>
        </w:rPr>
        <w:t>988</w:t>
      </w:r>
    </w:p>
    <w:p>
      <w:pPr>
        <w:pStyle w:val="Heading2"/>
        <w:spacing w:before="241"/>
        <w:ind w:left="616"/>
      </w:pPr>
      <w:r>
        <w:rPr/>
        <w:t>In the following chapter you can find out about:</w:t>
      </w:r>
    </w:p>
    <w:p>
      <w:pPr>
        <w:pStyle w:val="ListParagraph"/>
        <w:numPr>
          <w:ilvl w:val="0"/>
          <w:numId w:val="129"/>
        </w:numPr>
        <w:tabs>
          <w:tab w:pos="747" w:val="left" w:leader="none"/>
        </w:tabs>
        <w:spacing w:line="273" w:lineRule="auto" w:before="185" w:after="0"/>
        <w:ind w:left="474" w:right="136" w:firstLine="0"/>
        <w:jc w:val="both"/>
        <w:rPr>
          <w:sz w:val="38"/>
        </w:rPr>
      </w:pPr>
      <w:r>
        <w:rPr>
          <w:sz w:val="38"/>
        </w:rPr>
        <w:t>The difference between artificially created vitamin C and the real, natural vit- amin C, which can be found in large amounts in the camu camu fruit or the Acerola, for example, what vitamin C actually is and why it is invaluable for humans.</w:t>
      </w:r>
    </w:p>
    <w:p>
      <w:pPr>
        <w:pStyle w:val="ListParagraph"/>
        <w:numPr>
          <w:ilvl w:val="0"/>
          <w:numId w:val="129"/>
        </w:numPr>
        <w:tabs>
          <w:tab w:pos="747" w:val="left" w:leader="none"/>
        </w:tabs>
        <w:spacing w:line="271" w:lineRule="auto" w:before="133" w:after="0"/>
        <w:ind w:left="474" w:right="140" w:firstLine="0"/>
        <w:jc w:val="left"/>
        <w:rPr>
          <w:sz w:val="38"/>
        </w:rPr>
      </w:pPr>
      <w:r>
        <w:rPr>
          <w:sz w:val="38"/>
        </w:rPr>
        <w:t>The diseases and prerequisites where vitamin C can have an indirect positive influence – supported by solid, representative</w:t>
      </w:r>
      <w:r>
        <w:rPr>
          <w:spacing w:val="1"/>
          <w:sz w:val="38"/>
        </w:rPr>
        <w:t> </w:t>
      </w:r>
      <w:r>
        <w:rPr>
          <w:sz w:val="38"/>
        </w:rPr>
        <w:t>studies.</w:t>
      </w:r>
    </w:p>
    <w:p>
      <w:pPr>
        <w:pStyle w:val="ListParagraph"/>
        <w:numPr>
          <w:ilvl w:val="0"/>
          <w:numId w:val="129"/>
        </w:numPr>
        <w:tabs>
          <w:tab w:pos="747" w:val="left" w:leader="none"/>
        </w:tabs>
        <w:spacing w:line="271" w:lineRule="auto" w:before="131" w:after="0"/>
        <w:ind w:left="474" w:right="137" w:firstLine="0"/>
        <w:jc w:val="left"/>
        <w:rPr>
          <w:sz w:val="38"/>
        </w:rPr>
      </w:pPr>
      <w:r>
        <w:rPr>
          <w:sz w:val="38"/>
        </w:rPr>
        <w:t>How you can protect yourself, how you can prevent diseases with the appro- priate dose of vitamin C and even reverse the course of a serious</w:t>
      </w:r>
      <w:r>
        <w:rPr>
          <w:spacing w:val="-14"/>
          <w:sz w:val="38"/>
        </w:rPr>
        <w:t> </w:t>
      </w:r>
      <w:r>
        <w:rPr>
          <w:sz w:val="38"/>
        </w:rPr>
        <w:t>disease.</w:t>
      </w:r>
    </w:p>
    <w:p>
      <w:pPr>
        <w:pStyle w:val="ListParagraph"/>
        <w:numPr>
          <w:ilvl w:val="0"/>
          <w:numId w:val="129"/>
        </w:numPr>
        <w:tabs>
          <w:tab w:pos="747" w:val="left" w:leader="none"/>
        </w:tabs>
        <w:spacing w:line="240" w:lineRule="auto" w:before="134" w:after="0"/>
        <w:ind w:left="474" w:right="0" w:firstLine="0"/>
        <w:jc w:val="left"/>
        <w:rPr>
          <w:sz w:val="38"/>
        </w:rPr>
      </w:pPr>
      <w:r>
        <w:rPr>
          <w:sz w:val="38"/>
        </w:rPr>
        <w:t>How you can prevent a cold from starting naturally with vitamin</w:t>
      </w:r>
      <w:r>
        <w:rPr>
          <w:spacing w:val="-11"/>
          <w:sz w:val="38"/>
        </w:rPr>
        <w:t> </w:t>
      </w:r>
      <w:r>
        <w:rPr>
          <w:sz w:val="38"/>
        </w:rPr>
        <w:t>C.</w:t>
      </w:r>
    </w:p>
    <w:p>
      <w:pPr>
        <w:pStyle w:val="ListParagraph"/>
        <w:numPr>
          <w:ilvl w:val="0"/>
          <w:numId w:val="129"/>
        </w:numPr>
        <w:tabs>
          <w:tab w:pos="747" w:val="left" w:leader="none"/>
        </w:tabs>
        <w:spacing w:line="271" w:lineRule="auto" w:before="182" w:after="0"/>
        <w:ind w:left="474" w:right="137" w:firstLine="0"/>
        <w:jc w:val="left"/>
        <w:rPr>
          <w:sz w:val="38"/>
        </w:rPr>
      </w:pPr>
      <w:r>
        <w:rPr>
          <w:sz w:val="38"/>
        </w:rPr>
        <w:t>How</w:t>
      </w:r>
      <w:r>
        <w:rPr>
          <w:spacing w:val="-10"/>
          <w:sz w:val="38"/>
        </w:rPr>
        <w:t> </w:t>
      </w:r>
      <w:r>
        <w:rPr>
          <w:sz w:val="38"/>
        </w:rPr>
        <w:t>you</w:t>
      </w:r>
      <w:r>
        <w:rPr>
          <w:spacing w:val="-9"/>
          <w:sz w:val="38"/>
        </w:rPr>
        <w:t> </w:t>
      </w:r>
      <w:r>
        <w:rPr>
          <w:sz w:val="38"/>
        </w:rPr>
        <w:t>can</w:t>
      </w:r>
      <w:r>
        <w:rPr>
          <w:spacing w:val="-8"/>
          <w:sz w:val="38"/>
        </w:rPr>
        <w:t> </w:t>
      </w:r>
      <w:r>
        <w:rPr>
          <w:sz w:val="38"/>
        </w:rPr>
        <w:t>significantly</w:t>
      </w:r>
      <w:r>
        <w:rPr>
          <w:spacing w:val="-9"/>
          <w:sz w:val="38"/>
        </w:rPr>
        <w:t> </w:t>
      </w:r>
      <w:r>
        <w:rPr>
          <w:sz w:val="38"/>
        </w:rPr>
        <w:t>delay</w:t>
      </w:r>
      <w:r>
        <w:rPr>
          <w:spacing w:val="-7"/>
          <w:sz w:val="38"/>
        </w:rPr>
        <w:t> </w:t>
      </w:r>
      <w:r>
        <w:rPr>
          <w:sz w:val="38"/>
        </w:rPr>
        <w:t>the</w:t>
      </w:r>
      <w:r>
        <w:rPr>
          <w:spacing w:val="-8"/>
          <w:sz w:val="38"/>
        </w:rPr>
        <w:t> </w:t>
      </w:r>
      <w:r>
        <w:rPr>
          <w:sz w:val="38"/>
        </w:rPr>
        <w:t>physiological</w:t>
      </w:r>
      <w:r>
        <w:rPr>
          <w:spacing w:val="-8"/>
          <w:sz w:val="38"/>
        </w:rPr>
        <w:t> </w:t>
      </w:r>
      <w:r>
        <w:rPr>
          <w:sz w:val="38"/>
        </w:rPr>
        <w:t>ageing</w:t>
      </w:r>
      <w:r>
        <w:rPr>
          <w:spacing w:val="-8"/>
          <w:sz w:val="38"/>
        </w:rPr>
        <w:t> </w:t>
      </w:r>
      <w:r>
        <w:rPr>
          <w:sz w:val="38"/>
        </w:rPr>
        <w:t>process</w:t>
      </w:r>
      <w:r>
        <w:rPr>
          <w:spacing w:val="-10"/>
          <w:sz w:val="38"/>
        </w:rPr>
        <w:t> </w:t>
      </w:r>
      <w:r>
        <w:rPr>
          <w:sz w:val="38"/>
        </w:rPr>
        <w:t>and</w:t>
      </w:r>
      <w:r>
        <w:rPr>
          <w:spacing w:val="-8"/>
          <w:sz w:val="38"/>
        </w:rPr>
        <w:t> </w:t>
      </w:r>
      <w:r>
        <w:rPr>
          <w:sz w:val="38"/>
        </w:rPr>
        <w:t>even</w:t>
      </w:r>
      <w:r>
        <w:rPr>
          <w:spacing w:val="-8"/>
          <w:sz w:val="38"/>
        </w:rPr>
        <w:t> </w:t>
      </w:r>
      <w:r>
        <w:rPr>
          <w:sz w:val="38"/>
        </w:rPr>
        <w:t>set the rejuvenation process in</w:t>
      </w:r>
      <w:r>
        <w:rPr>
          <w:spacing w:val="4"/>
          <w:sz w:val="38"/>
        </w:rPr>
        <w:t> </w:t>
      </w:r>
      <w:r>
        <w:rPr>
          <w:sz w:val="38"/>
        </w:rPr>
        <w:t>motion.</w:t>
      </w:r>
    </w:p>
    <w:p>
      <w:pPr>
        <w:pStyle w:val="ListParagraph"/>
        <w:numPr>
          <w:ilvl w:val="0"/>
          <w:numId w:val="129"/>
        </w:numPr>
        <w:tabs>
          <w:tab w:pos="747" w:val="left" w:leader="none"/>
        </w:tabs>
        <w:spacing w:line="240" w:lineRule="auto" w:before="134" w:after="0"/>
        <w:ind w:left="474" w:right="0" w:firstLine="0"/>
        <w:jc w:val="both"/>
        <w:rPr>
          <w:sz w:val="38"/>
        </w:rPr>
      </w:pPr>
      <w:r>
        <w:rPr>
          <w:sz w:val="38"/>
        </w:rPr>
        <w:t>Which groups of people have increased vitamin C</w:t>
      </w:r>
      <w:r>
        <w:rPr>
          <w:spacing w:val="-8"/>
          <w:sz w:val="38"/>
        </w:rPr>
        <w:t> </w:t>
      </w:r>
      <w:r>
        <w:rPr>
          <w:sz w:val="38"/>
        </w:rPr>
        <w:t>requirements.</w:t>
      </w:r>
    </w:p>
    <w:p>
      <w:pPr>
        <w:pStyle w:val="ListParagraph"/>
        <w:numPr>
          <w:ilvl w:val="0"/>
          <w:numId w:val="129"/>
        </w:numPr>
        <w:tabs>
          <w:tab w:pos="747" w:val="left" w:leader="none"/>
        </w:tabs>
        <w:spacing w:line="240" w:lineRule="auto" w:before="183" w:after="0"/>
        <w:ind w:left="474" w:right="0" w:firstLine="0"/>
        <w:jc w:val="both"/>
        <w:rPr>
          <w:sz w:val="38"/>
        </w:rPr>
      </w:pPr>
      <w:r>
        <w:rPr>
          <w:sz w:val="38"/>
        </w:rPr>
        <w:t>Whether vitamin C can have side effects and if so, what they</w:t>
      </w:r>
      <w:r>
        <w:rPr>
          <w:spacing w:val="-4"/>
          <w:sz w:val="38"/>
        </w:rPr>
        <w:t> </w:t>
      </w:r>
      <w:r>
        <w:rPr>
          <w:sz w:val="38"/>
        </w:rPr>
        <w:t>are.</w:t>
      </w:r>
    </w:p>
    <w:p>
      <w:pPr>
        <w:pStyle w:val="BodyText"/>
        <w:spacing w:before="9"/>
        <w:rPr>
          <w:sz w:val="29"/>
        </w:rPr>
      </w:pPr>
      <w:r>
        <w:rPr/>
        <w:pict>
          <v:line style="position:absolute;mso-position-horizontal-relative:page;mso-position-vertical-relative:paragraph;z-index:13520;mso-wrap-distance-left:0;mso-wrap-distance-right:0" from="70.823997pt,19.121758pt" to="214.843997pt,19.121758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4"/>
          <w:sz w:val="12"/>
        </w:rPr>
        <w:t>988 </w:t>
      </w:r>
      <w:r>
        <w:rPr>
          <w:sz w:val="20"/>
        </w:rPr>
        <w:t>https://en.wikipedia.org/wiki/Vitamin_C</w:t>
      </w:r>
    </w:p>
    <w:p>
      <w:pPr>
        <w:spacing w:after="0"/>
        <w:jc w:val="left"/>
        <w:rPr>
          <w:sz w:val="20"/>
        </w:rPr>
        <w:sectPr>
          <w:pgSz w:w="14270" w:h="16850"/>
          <w:pgMar w:header="0" w:footer="1891" w:top="1340" w:bottom="2080" w:left="800" w:right="1280"/>
        </w:sectPr>
      </w:pPr>
    </w:p>
    <w:p>
      <w:pPr>
        <w:pStyle w:val="ListParagraph"/>
        <w:numPr>
          <w:ilvl w:val="0"/>
          <w:numId w:val="129"/>
        </w:numPr>
        <w:tabs>
          <w:tab w:pos="747" w:val="left" w:leader="none"/>
        </w:tabs>
        <w:spacing w:line="273" w:lineRule="auto" w:before="72" w:after="0"/>
        <w:ind w:left="474" w:right="135" w:firstLine="0"/>
        <w:jc w:val="both"/>
        <w:rPr>
          <w:sz w:val="38"/>
        </w:rPr>
      </w:pPr>
      <w:r>
        <w:rPr>
          <w:sz w:val="38"/>
        </w:rPr>
        <w:t>How you can easily test your personal, individual vitamin requirement when healthy</w:t>
      </w:r>
      <w:r>
        <w:rPr>
          <w:spacing w:val="-19"/>
          <w:sz w:val="38"/>
        </w:rPr>
        <w:t> </w:t>
      </w:r>
      <w:r>
        <w:rPr>
          <w:sz w:val="38"/>
        </w:rPr>
        <w:t>and</w:t>
      </w:r>
      <w:r>
        <w:rPr>
          <w:spacing w:val="-19"/>
          <w:sz w:val="38"/>
        </w:rPr>
        <w:t> </w:t>
      </w:r>
      <w:r>
        <w:rPr>
          <w:sz w:val="38"/>
        </w:rPr>
        <w:t>also</w:t>
      </w:r>
      <w:r>
        <w:rPr>
          <w:spacing w:val="-18"/>
          <w:sz w:val="38"/>
        </w:rPr>
        <w:t> </w:t>
      </w:r>
      <w:r>
        <w:rPr>
          <w:sz w:val="38"/>
        </w:rPr>
        <w:t>during</w:t>
      </w:r>
      <w:r>
        <w:rPr>
          <w:spacing w:val="-18"/>
          <w:sz w:val="38"/>
        </w:rPr>
        <w:t> </w:t>
      </w:r>
      <w:r>
        <w:rPr>
          <w:sz w:val="38"/>
        </w:rPr>
        <w:t>an</w:t>
      </w:r>
      <w:r>
        <w:rPr>
          <w:spacing w:val="-19"/>
          <w:sz w:val="38"/>
        </w:rPr>
        <w:t> </w:t>
      </w:r>
      <w:r>
        <w:rPr>
          <w:sz w:val="38"/>
        </w:rPr>
        <w:t>illness</w:t>
      </w:r>
      <w:r>
        <w:rPr>
          <w:spacing w:val="-17"/>
          <w:sz w:val="38"/>
        </w:rPr>
        <w:t> </w:t>
      </w:r>
      <w:r>
        <w:rPr>
          <w:sz w:val="38"/>
        </w:rPr>
        <w:t>in</w:t>
      </w:r>
      <w:r>
        <w:rPr>
          <w:spacing w:val="-19"/>
          <w:sz w:val="38"/>
        </w:rPr>
        <w:t> </w:t>
      </w:r>
      <w:r>
        <w:rPr>
          <w:sz w:val="38"/>
        </w:rPr>
        <w:t>order</w:t>
      </w:r>
      <w:r>
        <w:rPr>
          <w:spacing w:val="-18"/>
          <w:sz w:val="38"/>
        </w:rPr>
        <w:t> </w:t>
      </w:r>
      <w:r>
        <w:rPr>
          <w:sz w:val="38"/>
        </w:rPr>
        <w:t>to</w:t>
      </w:r>
      <w:r>
        <w:rPr>
          <w:spacing w:val="-18"/>
          <w:sz w:val="38"/>
        </w:rPr>
        <w:t> </w:t>
      </w:r>
      <w:r>
        <w:rPr>
          <w:sz w:val="38"/>
        </w:rPr>
        <w:t>extract</w:t>
      </w:r>
      <w:r>
        <w:rPr>
          <w:spacing w:val="-19"/>
          <w:sz w:val="38"/>
        </w:rPr>
        <w:t> </w:t>
      </w:r>
      <w:r>
        <w:rPr>
          <w:sz w:val="38"/>
        </w:rPr>
        <w:t>the</w:t>
      </w:r>
      <w:r>
        <w:rPr>
          <w:spacing w:val="-18"/>
          <w:sz w:val="38"/>
        </w:rPr>
        <w:t> </w:t>
      </w:r>
      <w:r>
        <w:rPr>
          <w:sz w:val="38"/>
        </w:rPr>
        <w:t>greatest</w:t>
      </w:r>
      <w:r>
        <w:rPr>
          <w:spacing w:val="-17"/>
          <w:sz w:val="38"/>
        </w:rPr>
        <w:t> </w:t>
      </w:r>
      <w:r>
        <w:rPr>
          <w:sz w:val="38"/>
        </w:rPr>
        <w:t>possible</w:t>
      </w:r>
      <w:r>
        <w:rPr>
          <w:spacing w:val="-20"/>
          <w:sz w:val="38"/>
        </w:rPr>
        <w:t> </w:t>
      </w:r>
      <w:r>
        <w:rPr>
          <w:sz w:val="38"/>
        </w:rPr>
        <w:t>benefit from your vitamin C.</w:t>
      </w:r>
    </w:p>
    <w:p>
      <w:pPr>
        <w:pStyle w:val="ListParagraph"/>
        <w:numPr>
          <w:ilvl w:val="0"/>
          <w:numId w:val="129"/>
        </w:numPr>
        <w:tabs>
          <w:tab w:pos="747" w:val="left" w:leader="none"/>
        </w:tabs>
        <w:spacing w:line="271" w:lineRule="auto" w:before="130" w:after="0"/>
        <w:ind w:left="474" w:right="144" w:firstLine="0"/>
        <w:jc w:val="both"/>
        <w:rPr>
          <w:sz w:val="38"/>
        </w:rPr>
      </w:pPr>
      <w:r>
        <w:rPr>
          <w:sz w:val="38"/>
        </w:rPr>
        <w:t>What you need to watch out for when buying foodstuffs and how you can prevent significant loss of vitamin C in your meal</w:t>
      </w:r>
      <w:r>
        <w:rPr>
          <w:spacing w:val="1"/>
          <w:sz w:val="38"/>
        </w:rPr>
        <w:t> </w:t>
      </w:r>
      <w:r>
        <w:rPr>
          <w:sz w:val="38"/>
        </w:rPr>
        <w:t>preparation.</w:t>
      </w:r>
    </w:p>
    <w:p>
      <w:pPr>
        <w:pStyle w:val="ListParagraph"/>
        <w:numPr>
          <w:ilvl w:val="0"/>
          <w:numId w:val="129"/>
        </w:numPr>
        <w:tabs>
          <w:tab w:pos="747" w:val="left" w:leader="none"/>
        </w:tabs>
        <w:spacing w:line="271" w:lineRule="auto" w:before="131" w:after="0"/>
        <w:ind w:left="474" w:right="141" w:firstLine="0"/>
        <w:jc w:val="both"/>
        <w:rPr>
          <w:sz w:val="38"/>
        </w:rPr>
      </w:pPr>
      <w:r>
        <w:rPr>
          <w:sz w:val="38"/>
        </w:rPr>
        <w:t>Why vitamin C is rarely complete vitamin C and where you can acquire com- plete vitamin C (for example, from camu camu or Acerola</w:t>
      </w:r>
      <w:r>
        <w:rPr>
          <w:spacing w:val="-6"/>
          <w:sz w:val="38"/>
        </w:rPr>
        <w:t> </w:t>
      </w:r>
      <w:r>
        <w:rPr>
          <w:sz w:val="38"/>
        </w:rPr>
        <w:t>fruit).</w:t>
      </w:r>
    </w:p>
    <w:p>
      <w:pPr>
        <w:pStyle w:val="Heading1"/>
        <w:spacing w:before="236"/>
        <w:ind w:left="474"/>
      </w:pPr>
      <w:r>
        <w:rPr/>
        <w:t>Vitamin C functions</w:t>
      </w:r>
    </w:p>
    <w:p>
      <w:pPr>
        <w:pStyle w:val="BodyText"/>
        <w:spacing w:line="276" w:lineRule="auto" w:before="297"/>
        <w:ind w:left="474" w:right="132"/>
        <w:jc w:val="both"/>
      </w:pPr>
      <w:r>
        <w:rPr/>
        <w:t>Vitamin C takes on so many different functions in our body that covering the topic</w:t>
      </w:r>
      <w:r>
        <w:rPr>
          <w:spacing w:val="-7"/>
        </w:rPr>
        <w:t> </w:t>
      </w:r>
      <w:r>
        <w:rPr/>
        <w:t>completely</w:t>
      </w:r>
      <w:r>
        <w:rPr>
          <w:spacing w:val="-9"/>
        </w:rPr>
        <w:t> </w:t>
      </w:r>
      <w:r>
        <w:rPr/>
        <w:t>would</w:t>
      </w:r>
      <w:r>
        <w:rPr>
          <w:spacing w:val="-6"/>
        </w:rPr>
        <w:t> </w:t>
      </w:r>
      <w:r>
        <w:rPr/>
        <w:t>fill</w:t>
      </w:r>
      <w:r>
        <w:rPr>
          <w:spacing w:val="-8"/>
        </w:rPr>
        <w:t> </w:t>
      </w:r>
      <w:r>
        <w:rPr/>
        <w:t>an</w:t>
      </w:r>
      <w:r>
        <w:rPr>
          <w:spacing w:val="-6"/>
        </w:rPr>
        <w:t> </w:t>
      </w:r>
      <w:r>
        <w:rPr/>
        <w:t>entire</w:t>
      </w:r>
      <w:r>
        <w:rPr>
          <w:spacing w:val="-5"/>
        </w:rPr>
        <w:t> </w:t>
      </w:r>
      <w:r>
        <w:rPr/>
        <w:t>library.</w:t>
      </w:r>
      <w:r>
        <w:rPr>
          <w:spacing w:val="-7"/>
        </w:rPr>
        <w:t> </w:t>
      </w:r>
      <w:r>
        <w:rPr/>
        <w:t>In</w:t>
      </w:r>
      <w:r>
        <w:rPr>
          <w:spacing w:val="-7"/>
        </w:rPr>
        <w:t> </w:t>
      </w:r>
      <w:r>
        <w:rPr/>
        <w:t>summary,</w:t>
      </w:r>
      <w:r>
        <w:rPr>
          <w:spacing w:val="-5"/>
        </w:rPr>
        <w:t> </w:t>
      </w:r>
      <w:r>
        <w:rPr/>
        <w:t>vitamin</w:t>
      </w:r>
      <w:r>
        <w:rPr>
          <w:spacing w:val="-8"/>
        </w:rPr>
        <w:t> </w:t>
      </w:r>
      <w:r>
        <w:rPr/>
        <w:t>C</w:t>
      </w:r>
      <w:r>
        <w:rPr>
          <w:spacing w:val="-7"/>
        </w:rPr>
        <w:t> </w:t>
      </w:r>
      <w:r>
        <w:rPr/>
        <w:t>can</w:t>
      </w:r>
      <w:r>
        <w:rPr>
          <w:spacing w:val="-5"/>
        </w:rPr>
        <w:t> </w:t>
      </w:r>
      <w:r>
        <w:rPr/>
        <w:t>be</w:t>
      </w:r>
      <w:r>
        <w:rPr>
          <w:spacing w:val="-7"/>
        </w:rPr>
        <w:t> </w:t>
      </w:r>
      <w:r>
        <w:rPr/>
        <w:t>des- ignated as an </w:t>
      </w:r>
      <w:r>
        <w:rPr>
          <w:i/>
        </w:rPr>
        <w:t>activator, regulator, stimulator </w:t>
      </w:r>
      <w:r>
        <w:rPr/>
        <w:t>and </w:t>
      </w:r>
      <w:r>
        <w:rPr>
          <w:i/>
        </w:rPr>
        <w:t>organiser </w:t>
      </w:r>
      <w:r>
        <w:rPr/>
        <w:t>for our health.</w:t>
      </w:r>
    </w:p>
    <w:p>
      <w:pPr>
        <w:pStyle w:val="Heading1"/>
        <w:spacing w:line="264" w:lineRule="auto"/>
        <w:ind w:left="474" w:right="141"/>
        <w:jc w:val="both"/>
      </w:pPr>
      <w:r>
        <w:rPr/>
        <w:t>Here</w:t>
      </w:r>
      <w:r>
        <w:rPr>
          <w:spacing w:val="-58"/>
        </w:rPr>
        <w:t> </w:t>
      </w:r>
      <w:r>
        <w:rPr/>
        <w:t>is</w:t>
      </w:r>
      <w:r>
        <w:rPr>
          <w:spacing w:val="-58"/>
        </w:rPr>
        <w:t> </w:t>
      </w:r>
      <w:r>
        <w:rPr/>
        <w:t>a</w:t>
      </w:r>
      <w:r>
        <w:rPr>
          <w:spacing w:val="-56"/>
        </w:rPr>
        <w:t> </w:t>
      </w:r>
      <w:r>
        <w:rPr/>
        <w:t>detailed</w:t>
      </w:r>
      <w:r>
        <w:rPr>
          <w:spacing w:val="-58"/>
        </w:rPr>
        <w:t> </w:t>
      </w:r>
      <w:r>
        <w:rPr/>
        <w:t>look</w:t>
      </w:r>
      <w:r>
        <w:rPr>
          <w:spacing w:val="-57"/>
        </w:rPr>
        <w:t> </w:t>
      </w:r>
      <w:r>
        <w:rPr/>
        <w:t>at</w:t>
      </w:r>
      <w:r>
        <w:rPr>
          <w:spacing w:val="-57"/>
        </w:rPr>
        <w:t> </w:t>
      </w:r>
      <w:r>
        <w:rPr/>
        <w:t>how</w:t>
      </w:r>
      <w:r>
        <w:rPr>
          <w:spacing w:val="-58"/>
        </w:rPr>
        <w:t> </w:t>
      </w:r>
      <w:r>
        <w:rPr/>
        <w:t>vitamin</w:t>
      </w:r>
      <w:r>
        <w:rPr>
          <w:spacing w:val="-58"/>
        </w:rPr>
        <w:t> </w:t>
      </w:r>
      <w:r>
        <w:rPr/>
        <w:t>C</w:t>
      </w:r>
      <w:r>
        <w:rPr>
          <w:spacing w:val="-57"/>
        </w:rPr>
        <w:t> </w:t>
      </w:r>
      <w:r>
        <w:rPr/>
        <w:t>satisfies</w:t>
      </w:r>
      <w:r>
        <w:rPr>
          <w:spacing w:val="-57"/>
        </w:rPr>
        <w:t> </w:t>
      </w:r>
      <w:r>
        <w:rPr/>
        <w:t>the</w:t>
      </w:r>
      <w:r>
        <w:rPr>
          <w:spacing w:val="-57"/>
        </w:rPr>
        <w:t> </w:t>
      </w:r>
      <w:r>
        <w:rPr/>
        <w:t>following</w:t>
      </w:r>
      <w:r>
        <w:rPr>
          <w:spacing w:val="-57"/>
        </w:rPr>
        <w:t> </w:t>
      </w:r>
      <w:r>
        <w:rPr/>
        <w:t>functions in our organism</w:t>
      </w:r>
    </w:p>
    <w:p>
      <w:pPr>
        <w:pStyle w:val="ListParagraph"/>
        <w:numPr>
          <w:ilvl w:val="0"/>
          <w:numId w:val="129"/>
        </w:numPr>
        <w:tabs>
          <w:tab w:pos="747" w:val="left" w:leader="none"/>
        </w:tabs>
        <w:spacing w:line="240" w:lineRule="auto" w:before="211" w:after="0"/>
        <w:ind w:left="474" w:right="0" w:firstLine="0"/>
        <w:jc w:val="left"/>
        <w:rPr>
          <w:sz w:val="38"/>
        </w:rPr>
      </w:pPr>
      <w:r>
        <w:rPr>
          <w:sz w:val="38"/>
        </w:rPr>
        <w:t>Immune system activator and</w:t>
      </w:r>
      <w:r>
        <w:rPr>
          <w:spacing w:val="-1"/>
          <w:sz w:val="38"/>
        </w:rPr>
        <w:t> </w:t>
      </w:r>
      <w:r>
        <w:rPr>
          <w:sz w:val="38"/>
        </w:rPr>
        <w:t>stimulator</w:t>
      </w:r>
    </w:p>
    <w:p>
      <w:pPr>
        <w:pStyle w:val="ListParagraph"/>
        <w:numPr>
          <w:ilvl w:val="0"/>
          <w:numId w:val="129"/>
        </w:numPr>
        <w:tabs>
          <w:tab w:pos="747" w:val="left" w:leader="none"/>
        </w:tabs>
        <w:spacing w:line="240" w:lineRule="auto" w:before="183" w:after="0"/>
        <w:ind w:left="474" w:right="0" w:firstLine="0"/>
        <w:jc w:val="left"/>
        <w:rPr>
          <w:sz w:val="38"/>
        </w:rPr>
      </w:pPr>
      <w:r>
        <w:rPr>
          <w:sz w:val="38"/>
        </w:rPr>
        <w:t>Nervous system stimulator</w:t>
      </w:r>
    </w:p>
    <w:p>
      <w:pPr>
        <w:pStyle w:val="ListParagraph"/>
        <w:numPr>
          <w:ilvl w:val="0"/>
          <w:numId w:val="129"/>
        </w:numPr>
        <w:tabs>
          <w:tab w:pos="747" w:val="left" w:leader="none"/>
        </w:tabs>
        <w:spacing w:line="273" w:lineRule="auto" w:before="185" w:after="0"/>
        <w:ind w:left="474" w:right="139" w:firstLine="0"/>
        <w:jc w:val="both"/>
        <w:rPr>
          <w:sz w:val="38"/>
        </w:rPr>
      </w:pPr>
      <w:r>
        <w:rPr>
          <w:sz w:val="38"/>
        </w:rPr>
        <w:t>An organiser of vital processes such as hormone formation, biosynthesis of proteins, lowering histamine formation, deconstructing cyclic amino acids, in- troducing</w:t>
      </w:r>
      <w:r>
        <w:rPr>
          <w:spacing w:val="-26"/>
          <w:sz w:val="38"/>
        </w:rPr>
        <w:t> </w:t>
      </w:r>
      <w:r>
        <w:rPr>
          <w:sz w:val="38"/>
        </w:rPr>
        <w:t>detoxification</w:t>
      </w:r>
      <w:r>
        <w:rPr>
          <w:spacing w:val="-25"/>
          <w:sz w:val="38"/>
        </w:rPr>
        <w:t> </w:t>
      </w:r>
      <w:r>
        <w:rPr>
          <w:sz w:val="38"/>
        </w:rPr>
        <w:t>processes,</w:t>
      </w:r>
      <w:r>
        <w:rPr>
          <w:spacing w:val="-20"/>
          <w:sz w:val="38"/>
        </w:rPr>
        <w:t> </w:t>
      </w:r>
      <w:r>
        <w:rPr>
          <w:sz w:val="38"/>
        </w:rPr>
        <w:t>iron</w:t>
      </w:r>
      <w:r>
        <w:rPr>
          <w:spacing w:val="-26"/>
          <w:sz w:val="38"/>
        </w:rPr>
        <w:t> </w:t>
      </w:r>
      <w:r>
        <w:rPr>
          <w:sz w:val="38"/>
        </w:rPr>
        <w:t>absorption</w:t>
      </w:r>
      <w:r>
        <w:rPr>
          <w:spacing w:val="-25"/>
          <w:sz w:val="38"/>
        </w:rPr>
        <w:t> </w:t>
      </w:r>
      <w:r>
        <w:rPr>
          <w:sz w:val="38"/>
        </w:rPr>
        <w:t>and</w:t>
      </w:r>
      <w:r>
        <w:rPr>
          <w:spacing w:val="-26"/>
          <w:sz w:val="38"/>
        </w:rPr>
        <w:t> </w:t>
      </w:r>
      <w:r>
        <w:rPr>
          <w:sz w:val="38"/>
        </w:rPr>
        <w:t>the</w:t>
      </w:r>
      <w:r>
        <w:rPr>
          <w:spacing w:val="-25"/>
          <w:sz w:val="38"/>
        </w:rPr>
        <w:t> </w:t>
      </w:r>
      <w:r>
        <w:rPr>
          <w:sz w:val="38"/>
        </w:rPr>
        <w:t>reduction</w:t>
      </w:r>
      <w:r>
        <w:rPr>
          <w:spacing w:val="-25"/>
          <w:sz w:val="38"/>
        </w:rPr>
        <w:t> </w:t>
      </w:r>
      <w:r>
        <w:rPr>
          <w:sz w:val="38"/>
        </w:rPr>
        <w:t>of</w:t>
      </w:r>
      <w:r>
        <w:rPr>
          <w:spacing w:val="-25"/>
          <w:sz w:val="38"/>
        </w:rPr>
        <w:t> </w:t>
      </w:r>
      <w:r>
        <w:rPr>
          <w:sz w:val="38"/>
        </w:rPr>
        <w:t>protein glycosylation.</w:t>
      </w:r>
    </w:p>
    <w:p>
      <w:pPr>
        <w:pStyle w:val="ListParagraph"/>
        <w:numPr>
          <w:ilvl w:val="0"/>
          <w:numId w:val="129"/>
        </w:numPr>
        <w:tabs>
          <w:tab w:pos="747" w:val="left" w:leader="none"/>
        </w:tabs>
        <w:spacing w:line="240" w:lineRule="auto" w:before="132" w:after="0"/>
        <w:ind w:left="474" w:right="0" w:firstLine="0"/>
        <w:jc w:val="both"/>
        <w:rPr>
          <w:sz w:val="38"/>
        </w:rPr>
      </w:pPr>
      <w:r>
        <w:rPr>
          <w:sz w:val="38"/>
        </w:rPr>
        <w:t>The most important water-soluble antioxidant (free-radical</w:t>
      </w:r>
      <w:r>
        <w:rPr>
          <w:spacing w:val="-5"/>
          <w:sz w:val="38"/>
        </w:rPr>
        <w:t> </w:t>
      </w:r>
      <w:r>
        <w:rPr>
          <w:sz w:val="38"/>
        </w:rPr>
        <w:t>catcher)</w:t>
      </w:r>
    </w:p>
    <w:p>
      <w:pPr>
        <w:spacing w:after="0" w:line="240" w:lineRule="auto"/>
        <w:jc w:val="both"/>
        <w:rPr>
          <w:sz w:val="38"/>
        </w:rPr>
        <w:sectPr>
          <w:pgSz w:w="14270" w:h="16850"/>
          <w:pgMar w:header="0" w:footer="1891" w:top="1340" w:bottom="2080" w:left="800" w:right="1280"/>
        </w:sectPr>
      </w:pPr>
    </w:p>
    <w:p>
      <w:pPr>
        <w:pStyle w:val="BodyText"/>
        <w:spacing w:before="2"/>
        <w:rPr>
          <w:sz w:val="18"/>
        </w:rPr>
      </w:pPr>
    </w:p>
    <w:p>
      <w:pPr>
        <w:pStyle w:val="Heading2"/>
        <w:spacing w:before="99"/>
        <w:ind w:left="616"/>
      </w:pPr>
      <w:r>
        <w:rPr/>
        <w:t>The role of vitamin C as an antioxidant</w:t>
      </w:r>
    </w:p>
    <w:p>
      <w:pPr>
        <w:pStyle w:val="BodyText"/>
        <w:spacing w:before="5"/>
        <w:rPr>
          <w:b/>
          <w:sz w:val="49"/>
        </w:rPr>
      </w:pPr>
    </w:p>
    <w:p>
      <w:pPr>
        <w:pStyle w:val="BodyText"/>
        <w:spacing w:line="276" w:lineRule="auto" w:before="1"/>
        <w:ind w:left="616"/>
      </w:pPr>
      <w:r>
        <w:rPr/>
        <w:t>Vitamin C is not only essential for our collagen, nervous system and immune system – it is also the most important water-soluble anti-oxidant!</w:t>
      </w:r>
    </w:p>
    <w:p>
      <w:pPr>
        <w:pStyle w:val="BodyText"/>
        <w:rPr>
          <w:sz w:val="42"/>
        </w:rPr>
      </w:pPr>
    </w:p>
    <w:p>
      <w:pPr>
        <w:pStyle w:val="Heading1"/>
        <w:spacing w:before="0"/>
        <w:ind w:left="616"/>
      </w:pPr>
      <w:r>
        <w:rPr/>
        <w:t>What exactly is an antioxidant?</w:t>
      </w:r>
    </w:p>
    <w:p>
      <w:pPr>
        <w:pStyle w:val="BodyText"/>
        <w:spacing w:before="1"/>
        <w:rPr>
          <w:b/>
          <w:i/>
          <w:sz w:val="49"/>
        </w:rPr>
      </w:pPr>
    </w:p>
    <w:p>
      <w:pPr>
        <w:pStyle w:val="BodyText"/>
        <w:spacing w:line="276" w:lineRule="auto"/>
        <w:ind w:left="616"/>
      </w:pPr>
      <w:r>
        <w:rPr/>
        <w:t>Around 80 % of all diseases, including premature ageing, are attributed to cell destruction by free radicals.</w:t>
      </w:r>
    </w:p>
    <w:p>
      <w:pPr>
        <w:pStyle w:val="BodyText"/>
        <w:spacing w:line="276" w:lineRule="auto" w:before="41"/>
        <w:ind w:left="616"/>
      </w:pPr>
      <w:r>
        <w:rPr/>
        <w:t>Every</w:t>
      </w:r>
      <w:r>
        <w:rPr>
          <w:spacing w:val="-15"/>
        </w:rPr>
        <w:t> </w:t>
      </w:r>
      <w:r>
        <w:rPr/>
        <w:t>day,</w:t>
      </w:r>
      <w:r>
        <w:rPr>
          <w:spacing w:val="-14"/>
        </w:rPr>
        <w:t> </w:t>
      </w:r>
      <w:r>
        <w:rPr/>
        <w:t>our</w:t>
      </w:r>
      <w:r>
        <w:rPr>
          <w:spacing w:val="-14"/>
        </w:rPr>
        <w:t> </w:t>
      </w:r>
      <w:r>
        <w:rPr/>
        <w:t>approximately</w:t>
      </w:r>
      <w:r>
        <w:rPr>
          <w:spacing w:val="-12"/>
        </w:rPr>
        <w:t> </w:t>
      </w:r>
      <w:r>
        <w:rPr/>
        <w:t>37,2</w:t>
      </w:r>
      <w:r>
        <w:rPr>
          <w:spacing w:val="-15"/>
        </w:rPr>
        <w:t> </w:t>
      </w:r>
      <w:r>
        <w:rPr/>
        <w:t>trillion</w:t>
      </w:r>
      <w:r>
        <w:rPr>
          <w:spacing w:val="-13"/>
        </w:rPr>
        <w:t> </w:t>
      </w:r>
      <w:r>
        <w:rPr/>
        <w:t>cells</w:t>
      </w:r>
      <w:r>
        <w:rPr>
          <w:spacing w:val="-14"/>
        </w:rPr>
        <w:t> </w:t>
      </w:r>
      <w:r>
        <w:rPr/>
        <w:t>are</w:t>
      </w:r>
      <w:r>
        <w:rPr>
          <w:spacing w:val="-14"/>
        </w:rPr>
        <w:t> </w:t>
      </w:r>
      <w:r>
        <w:rPr/>
        <w:t>exposed</w:t>
      </w:r>
      <w:r>
        <w:rPr>
          <w:spacing w:val="-14"/>
        </w:rPr>
        <w:t> </w:t>
      </w:r>
      <w:r>
        <w:rPr/>
        <w:t>to</w:t>
      </w:r>
      <w:r>
        <w:rPr>
          <w:spacing w:val="-14"/>
        </w:rPr>
        <w:t> </w:t>
      </w:r>
      <w:r>
        <w:rPr/>
        <w:t>about</w:t>
      </w:r>
      <w:r>
        <w:rPr>
          <w:spacing w:val="-15"/>
        </w:rPr>
        <w:t> </w:t>
      </w:r>
      <w:r>
        <w:rPr/>
        <w:t>10-80,000 free radical</w:t>
      </w:r>
      <w:r>
        <w:rPr>
          <w:spacing w:val="-1"/>
        </w:rPr>
        <w:t> </w:t>
      </w:r>
      <w:r>
        <w:rPr/>
        <w:t>attacks.</w:t>
      </w:r>
    </w:p>
    <w:p>
      <w:pPr>
        <w:pStyle w:val="Heading1"/>
        <w:ind w:left="616"/>
      </w:pPr>
      <w:r>
        <w:rPr/>
        <w:t>What are free radicals?</w:t>
      </w:r>
    </w:p>
    <w:p>
      <w:pPr>
        <w:pStyle w:val="BodyText"/>
        <w:spacing w:line="276" w:lineRule="auto" w:before="297"/>
        <w:ind w:left="616" w:right="132"/>
        <w:jc w:val="both"/>
      </w:pPr>
      <w:r>
        <w:rPr/>
        <w:t>Free</w:t>
      </w:r>
      <w:r>
        <w:rPr>
          <w:spacing w:val="-17"/>
        </w:rPr>
        <w:t> </w:t>
      </w:r>
      <w:r>
        <w:rPr/>
        <w:t>radicals</w:t>
      </w:r>
      <w:r>
        <w:rPr>
          <w:spacing w:val="-17"/>
        </w:rPr>
        <w:t> </w:t>
      </w:r>
      <w:r>
        <w:rPr/>
        <w:t>are</w:t>
      </w:r>
      <w:r>
        <w:rPr>
          <w:spacing w:val="-16"/>
        </w:rPr>
        <w:t> </w:t>
      </w:r>
      <w:r>
        <w:rPr/>
        <w:t>aggressive</w:t>
      </w:r>
      <w:r>
        <w:rPr>
          <w:spacing w:val="-17"/>
        </w:rPr>
        <w:t> </w:t>
      </w:r>
      <w:r>
        <w:rPr/>
        <w:t>molecules</w:t>
      </w:r>
      <w:r>
        <w:rPr>
          <w:spacing w:val="-15"/>
        </w:rPr>
        <w:t> </w:t>
      </w:r>
      <w:r>
        <w:rPr/>
        <w:t>which</w:t>
      </w:r>
      <w:r>
        <w:rPr>
          <w:spacing w:val="-15"/>
        </w:rPr>
        <w:t> </w:t>
      </w:r>
      <w:r>
        <w:rPr/>
        <w:t>are</w:t>
      </w:r>
      <w:r>
        <w:rPr>
          <w:spacing w:val="-16"/>
        </w:rPr>
        <w:t> </w:t>
      </w:r>
      <w:r>
        <w:rPr/>
        <w:t>constantly</w:t>
      </w:r>
      <w:r>
        <w:rPr>
          <w:spacing w:val="-17"/>
        </w:rPr>
        <w:t> </w:t>
      </w:r>
      <w:r>
        <w:rPr/>
        <w:t>looking</w:t>
      </w:r>
      <w:r>
        <w:rPr>
          <w:spacing w:val="-16"/>
        </w:rPr>
        <w:t> </w:t>
      </w:r>
      <w:r>
        <w:rPr/>
        <w:t>for</w:t>
      </w:r>
      <w:r>
        <w:rPr>
          <w:spacing w:val="-15"/>
        </w:rPr>
        <w:t> </w:t>
      </w:r>
      <w:r>
        <w:rPr/>
        <w:t>an</w:t>
      </w:r>
      <w:r>
        <w:rPr>
          <w:spacing w:val="-16"/>
        </w:rPr>
        <w:t> </w:t>
      </w:r>
      <w:r>
        <w:rPr/>
        <w:t>elec- tron</w:t>
      </w:r>
      <w:r>
        <w:rPr>
          <w:spacing w:val="-11"/>
        </w:rPr>
        <w:t> </w:t>
      </w:r>
      <w:r>
        <w:rPr/>
        <w:t>they</w:t>
      </w:r>
      <w:r>
        <w:rPr>
          <w:spacing w:val="-11"/>
        </w:rPr>
        <w:t> </w:t>
      </w:r>
      <w:r>
        <w:rPr/>
        <w:t>are</w:t>
      </w:r>
      <w:r>
        <w:rPr>
          <w:spacing w:val="-10"/>
        </w:rPr>
        <w:t> </w:t>
      </w:r>
      <w:r>
        <w:rPr/>
        <w:t>missing</w:t>
      </w:r>
      <w:r>
        <w:rPr>
          <w:spacing w:val="-11"/>
        </w:rPr>
        <w:t> </w:t>
      </w:r>
      <w:r>
        <w:rPr/>
        <w:t>for</w:t>
      </w:r>
      <w:r>
        <w:rPr>
          <w:spacing w:val="-9"/>
        </w:rPr>
        <w:t> </w:t>
      </w:r>
      <w:r>
        <w:rPr/>
        <w:t>pairing</w:t>
      </w:r>
      <w:r>
        <w:rPr>
          <w:spacing w:val="-14"/>
        </w:rPr>
        <w:t> </w:t>
      </w:r>
      <w:r>
        <w:rPr/>
        <w:t>and</w:t>
      </w:r>
      <w:r>
        <w:rPr>
          <w:spacing w:val="-10"/>
        </w:rPr>
        <w:t> </w:t>
      </w:r>
      <w:r>
        <w:rPr/>
        <w:t>which</w:t>
      </w:r>
      <w:r>
        <w:rPr>
          <w:spacing w:val="-11"/>
        </w:rPr>
        <w:t> </w:t>
      </w:r>
      <w:r>
        <w:rPr/>
        <w:t>they</w:t>
      </w:r>
      <w:r>
        <w:rPr>
          <w:spacing w:val="-11"/>
        </w:rPr>
        <w:t> </w:t>
      </w:r>
      <w:r>
        <w:rPr/>
        <w:t>brutally</w:t>
      </w:r>
      <w:r>
        <w:rPr>
          <w:spacing w:val="-10"/>
        </w:rPr>
        <w:t> </w:t>
      </w:r>
      <w:r>
        <w:rPr/>
        <w:t>snatch</w:t>
      </w:r>
      <w:r>
        <w:rPr>
          <w:spacing w:val="-12"/>
        </w:rPr>
        <w:t> </w:t>
      </w:r>
      <w:r>
        <w:rPr/>
        <w:t>from</w:t>
      </w:r>
      <w:r>
        <w:rPr>
          <w:spacing w:val="-11"/>
        </w:rPr>
        <w:t> </w:t>
      </w:r>
      <w:r>
        <w:rPr/>
        <w:t>our</w:t>
      </w:r>
      <w:r>
        <w:rPr>
          <w:spacing w:val="-11"/>
        </w:rPr>
        <w:t> </w:t>
      </w:r>
      <w:r>
        <w:rPr/>
        <w:t>cells. Free radicals are produced by ozone, UV radiation, nicotine, drugs and </w:t>
      </w:r>
      <w:r>
        <w:rPr>
          <w:spacing w:val="2"/>
        </w:rPr>
        <w:t>stress, </w:t>
      </w:r>
      <w:r>
        <w:rPr/>
        <w:t>but they are also produced naturally by various metabolic processes in our body. The car rusts, the apple rots and skin becomes flaccid – all these things can be attributed to free radicals and human cells are no exception</w:t>
      </w:r>
      <w:r>
        <w:rPr>
          <w:spacing w:val="-20"/>
        </w:rPr>
        <w:t> </w:t>
      </w:r>
      <w:r>
        <w:rPr/>
        <w:t>here.</w:t>
      </w:r>
    </w:p>
    <w:p>
      <w:pPr>
        <w:pStyle w:val="BodyText"/>
        <w:rPr>
          <w:sz w:val="42"/>
        </w:rPr>
      </w:pPr>
    </w:p>
    <w:p>
      <w:pPr>
        <w:pStyle w:val="BodyText"/>
        <w:spacing w:before="10"/>
        <w:rPr>
          <w:sz w:val="42"/>
        </w:rPr>
      </w:pPr>
    </w:p>
    <w:p>
      <w:pPr>
        <w:pStyle w:val="Heading1"/>
        <w:spacing w:before="0"/>
        <w:ind w:left="616"/>
      </w:pPr>
      <w:r>
        <w:rPr/>
        <w:t>What does free radical oxidation mean for the human body?</w:t>
      </w:r>
    </w:p>
    <w:p>
      <w:pPr>
        <w:pStyle w:val="BodyText"/>
        <w:spacing w:before="300"/>
        <w:ind w:left="616"/>
      </w:pPr>
      <w:r>
        <w:rPr/>
        <w:t>To put Prof. Kulkinsky’s words simply:</w:t>
      </w:r>
    </w:p>
    <w:p>
      <w:pPr>
        <w:spacing w:after="0"/>
        <w:sectPr>
          <w:pgSz w:w="14270" w:h="16850"/>
          <w:pgMar w:header="0" w:footer="1891" w:top="1600" w:bottom="2080" w:left="800" w:right="1280"/>
        </w:sectPr>
      </w:pPr>
    </w:p>
    <w:p>
      <w:pPr>
        <w:spacing w:line="276" w:lineRule="auto" w:before="74"/>
        <w:ind w:left="616" w:right="136" w:firstLine="0"/>
        <w:jc w:val="both"/>
        <w:rPr>
          <w:i/>
          <w:sz w:val="38"/>
        </w:rPr>
      </w:pPr>
      <w:r>
        <w:rPr>
          <w:i/>
          <w:sz w:val="38"/>
        </w:rPr>
        <w:t>‘They swim like great white sharks in the biochemical sea of our small organic farms, they </w:t>
      </w:r>
      <w:r>
        <w:rPr>
          <w:i/>
          <w:sz w:val="38"/>
        </w:rPr>
        <w:t>enter</w:t>
      </w:r>
      <w:r>
        <w:rPr>
          <w:i/>
          <w:spacing w:val="-12"/>
          <w:sz w:val="38"/>
        </w:rPr>
        <w:t> </w:t>
      </w:r>
      <w:r>
        <w:rPr>
          <w:i/>
          <w:sz w:val="38"/>
        </w:rPr>
        <w:t>lightning-fast</w:t>
      </w:r>
      <w:r>
        <w:rPr>
          <w:i/>
          <w:spacing w:val="-14"/>
          <w:sz w:val="38"/>
        </w:rPr>
        <w:t> </w:t>
      </w:r>
      <w:r>
        <w:rPr>
          <w:i/>
          <w:sz w:val="38"/>
        </w:rPr>
        <w:t>irreversible</w:t>
      </w:r>
      <w:r>
        <w:rPr>
          <w:i/>
          <w:spacing w:val="-11"/>
          <w:sz w:val="38"/>
        </w:rPr>
        <w:t> </w:t>
      </w:r>
      <w:r>
        <w:rPr>
          <w:i/>
          <w:sz w:val="38"/>
        </w:rPr>
        <w:t>compounds,</w:t>
      </w:r>
      <w:r>
        <w:rPr>
          <w:i/>
          <w:spacing w:val="-11"/>
          <w:sz w:val="38"/>
        </w:rPr>
        <w:t> </w:t>
      </w:r>
      <w:r>
        <w:rPr>
          <w:i/>
          <w:sz w:val="38"/>
        </w:rPr>
        <w:t>attack</w:t>
      </w:r>
      <w:r>
        <w:rPr>
          <w:i/>
          <w:spacing w:val="-12"/>
          <w:sz w:val="38"/>
        </w:rPr>
        <w:t> </w:t>
      </w:r>
      <w:r>
        <w:rPr>
          <w:i/>
          <w:sz w:val="38"/>
        </w:rPr>
        <w:t>sensitive</w:t>
      </w:r>
      <w:r>
        <w:rPr>
          <w:i/>
          <w:spacing w:val="-12"/>
          <w:sz w:val="38"/>
        </w:rPr>
        <w:t> </w:t>
      </w:r>
      <w:r>
        <w:rPr>
          <w:i/>
          <w:sz w:val="38"/>
        </w:rPr>
        <w:t>amino</w:t>
      </w:r>
      <w:r>
        <w:rPr>
          <w:i/>
          <w:spacing w:val="-10"/>
          <w:sz w:val="38"/>
        </w:rPr>
        <w:t> </w:t>
      </w:r>
      <w:r>
        <w:rPr>
          <w:i/>
          <w:sz w:val="38"/>
        </w:rPr>
        <w:t>acids,</w:t>
      </w:r>
      <w:r>
        <w:rPr>
          <w:i/>
          <w:spacing w:val="-13"/>
          <w:sz w:val="38"/>
        </w:rPr>
        <w:t> </w:t>
      </w:r>
      <w:r>
        <w:rPr>
          <w:i/>
          <w:sz w:val="38"/>
        </w:rPr>
        <w:t>fats,</w:t>
      </w:r>
      <w:r>
        <w:rPr>
          <w:i/>
          <w:spacing w:val="-15"/>
          <w:sz w:val="38"/>
        </w:rPr>
        <w:t> </w:t>
      </w:r>
      <w:r>
        <w:rPr>
          <w:i/>
          <w:sz w:val="38"/>
        </w:rPr>
        <w:t>cell</w:t>
      </w:r>
      <w:r>
        <w:rPr>
          <w:i/>
          <w:spacing w:val="-9"/>
          <w:sz w:val="38"/>
        </w:rPr>
        <w:t> </w:t>
      </w:r>
      <w:r>
        <w:rPr>
          <w:i/>
          <w:sz w:val="38"/>
        </w:rPr>
        <w:t>membranes and do not stop at the genetic</w:t>
      </w:r>
      <w:r>
        <w:rPr>
          <w:i/>
          <w:spacing w:val="-2"/>
          <w:sz w:val="38"/>
        </w:rPr>
        <w:t> </w:t>
      </w:r>
      <w:r>
        <w:rPr>
          <w:i/>
          <w:sz w:val="38"/>
        </w:rPr>
        <w:t>material.</w:t>
      </w:r>
    </w:p>
    <w:p>
      <w:pPr>
        <w:spacing w:line="276" w:lineRule="auto" w:before="239"/>
        <w:ind w:left="616" w:right="137" w:firstLine="0"/>
        <w:jc w:val="both"/>
        <w:rPr>
          <w:i/>
          <w:sz w:val="38"/>
        </w:rPr>
      </w:pPr>
      <w:r>
        <w:rPr>
          <w:i/>
          <w:sz w:val="38"/>
        </w:rPr>
        <w:t>They provoke chain reactions and form intermediate and degradation products as well as </w:t>
      </w:r>
      <w:r>
        <w:rPr>
          <w:i/>
          <w:sz w:val="38"/>
        </w:rPr>
        <w:t>‘molecular mixtures’ that have no biological benefit. At the end of such reactions, substances remain which the body does not know what to do with, or even completely destroyed cells. Gradually they fill the landfills in our body and hinder its functions until, one day, nothing works’.</w:t>
      </w:r>
    </w:p>
    <w:p>
      <w:pPr>
        <w:pStyle w:val="BodyText"/>
        <w:rPr>
          <w:i/>
          <w:sz w:val="42"/>
        </w:rPr>
      </w:pPr>
    </w:p>
    <w:p>
      <w:pPr>
        <w:pStyle w:val="BodyText"/>
        <w:spacing w:before="3"/>
        <w:rPr>
          <w:i/>
          <w:sz w:val="39"/>
        </w:rPr>
      </w:pPr>
    </w:p>
    <w:p>
      <w:pPr>
        <w:spacing w:line="273" w:lineRule="auto" w:before="0"/>
        <w:ind w:left="616" w:right="134" w:firstLine="0"/>
        <w:jc w:val="both"/>
        <w:rPr>
          <w:sz w:val="38"/>
        </w:rPr>
      </w:pPr>
      <w:r>
        <w:rPr>
          <w:b/>
          <w:i/>
          <w:sz w:val="40"/>
        </w:rPr>
        <w:t>Free      radicals       –       why       do       our       cells       ‘rust’? </w:t>
      </w:r>
      <w:r>
        <w:rPr>
          <w:sz w:val="38"/>
        </w:rPr>
        <w:t>There is hardly anything so paradoxical as the situation with required oxygen and</w:t>
      </w:r>
      <w:r>
        <w:rPr>
          <w:spacing w:val="-10"/>
          <w:sz w:val="38"/>
        </w:rPr>
        <w:t> </w:t>
      </w:r>
      <w:r>
        <w:rPr>
          <w:sz w:val="38"/>
        </w:rPr>
        <w:t>free</w:t>
      </w:r>
      <w:r>
        <w:rPr>
          <w:spacing w:val="-9"/>
          <w:sz w:val="38"/>
        </w:rPr>
        <w:t> </w:t>
      </w:r>
      <w:r>
        <w:rPr>
          <w:sz w:val="38"/>
        </w:rPr>
        <w:t>radicals.</w:t>
      </w:r>
      <w:r>
        <w:rPr>
          <w:spacing w:val="-9"/>
          <w:sz w:val="38"/>
        </w:rPr>
        <w:t> </w:t>
      </w:r>
      <w:r>
        <w:rPr>
          <w:sz w:val="38"/>
        </w:rPr>
        <w:t>As,</w:t>
      </w:r>
      <w:r>
        <w:rPr>
          <w:spacing w:val="-10"/>
          <w:sz w:val="38"/>
        </w:rPr>
        <w:t> </w:t>
      </w:r>
      <w:r>
        <w:rPr>
          <w:sz w:val="38"/>
        </w:rPr>
        <w:t>on</w:t>
      </w:r>
      <w:r>
        <w:rPr>
          <w:spacing w:val="-11"/>
          <w:sz w:val="38"/>
        </w:rPr>
        <w:t> </w:t>
      </w:r>
      <w:r>
        <w:rPr>
          <w:sz w:val="38"/>
        </w:rPr>
        <w:t>one</w:t>
      </w:r>
      <w:r>
        <w:rPr>
          <w:spacing w:val="-12"/>
          <w:sz w:val="38"/>
        </w:rPr>
        <w:t> </w:t>
      </w:r>
      <w:r>
        <w:rPr>
          <w:sz w:val="38"/>
        </w:rPr>
        <w:t>hand</w:t>
      </w:r>
      <w:r>
        <w:rPr>
          <w:spacing w:val="-11"/>
          <w:sz w:val="38"/>
        </w:rPr>
        <w:t> </w:t>
      </w:r>
      <w:r>
        <w:rPr>
          <w:sz w:val="38"/>
        </w:rPr>
        <w:t>we</w:t>
      </w:r>
      <w:r>
        <w:rPr>
          <w:spacing w:val="-10"/>
          <w:sz w:val="38"/>
        </w:rPr>
        <w:t> </w:t>
      </w:r>
      <w:r>
        <w:rPr>
          <w:sz w:val="38"/>
        </w:rPr>
        <w:t>need</w:t>
      </w:r>
      <w:r>
        <w:rPr>
          <w:spacing w:val="-3"/>
          <w:sz w:val="38"/>
        </w:rPr>
        <w:t> </w:t>
      </w:r>
      <w:r>
        <w:rPr>
          <w:sz w:val="38"/>
        </w:rPr>
        <w:t>air</w:t>
      </w:r>
      <w:r>
        <w:rPr>
          <w:spacing w:val="-11"/>
          <w:sz w:val="38"/>
        </w:rPr>
        <w:t> </w:t>
      </w:r>
      <w:r>
        <w:rPr>
          <w:sz w:val="38"/>
        </w:rPr>
        <w:t>to</w:t>
      </w:r>
      <w:r>
        <w:rPr>
          <w:spacing w:val="-11"/>
          <w:sz w:val="38"/>
        </w:rPr>
        <w:t> </w:t>
      </w:r>
      <w:r>
        <w:rPr>
          <w:sz w:val="38"/>
        </w:rPr>
        <w:t>live</w:t>
      </w:r>
      <w:r>
        <w:rPr>
          <w:spacing w:val="-11"/>
          <w:sz w:val="38"/>
        </w:rPr>
        <w:t> </w:t>
      </w:r>
      <w:r>
        <w:rPr>
          <w:sz w:val="38"/>
        </w:rPr>
        <w:t>and</w:t>
      </w:r>
      <w:r>
        <w:rPr>
          <w:spacing w:val="-9"/>
          <w:sz w:val="38"/>
        </w:rPr>
        <w:t> </w:t>
      </w:r>
      <w:r>
        <w:rPr>
          <w:sz w:val="38"/>
        </w:rPr>
        <w:t>on</w:t>
      </w:r>
      <w:r>
        <w:rPr>
          <w:spacing w:val="-8"/>
          <w:sz w:val="38"/>
        </w:rPr>
        <w:t> </w:t>
      </w:r>
      <w:r>
        <w:rPr>
          <w:sz w:val="38"/>
        </w:rPr>
        <w:t>the</w:t>
      </w:r>
      <w:r>
        <w:rPr>
          <w:spacing w:val="-12"/>
          <w:sz w:val="38"/>
        </w:rPr>
        <w:t> </w:t>
      </w:r>
      <w:r>
        <w:rPr>
          <w:sz w:val="38"/>
        </w:rPr>
        <w:t>other,</w:t>
      </w:r>
      <w:r>
        <w:rPr>
          <w:spacing w:val="-8"/>
          <w:sz w:val="38"/>
        </w:rPr>
        <w:t> </w:t>
      </w:r>
      <w:r>
        <w:rPr>
          <w:sz w:val="38"/>
        </w:rPr>
        <w:t>oxygen in the air causes our body cells and therefore organs to</w:t>
      </w:r>
      <w:r>
        <w:rPr>
          <w:spacing w:val="-5"/>
          <w:sz w:val="38"/>
        </w:rPr>
        <w:t> </w:t>
      </w:r>
      <w:r>
        <w:rPr>
          <w:sz w:val="38"/>
        </w:rPr>
        <w:t>‘rust’.</w:t>
      </w:r>
    </w:p>
    <w:p>
      <w:pPr>
        <w:pStyle w:val="BodyText"/>
        <w:spacing w:before="7"/>
        <w:rPr>
          <w:sz w:val="44"/>
        </w:rPr>
      </w:pPr>
    </w:p>
    <w:p>
      <w:pPr>
        <w:pStyle w:val="BodyText"/>
        <w:spacing w:line="276" w:lineRule="auto"/>
        <w:ind w:left="616" w:right="132"/>
        <w:jc w:val="both"/>
      </w:pPr>
      <w:r>
        <w:rPr/>
        <w:t>Similarly to unprotected iron or an apple which turns brown in the air when cut, the cells ‘oxidise’ if they come into contact with certain types of oxygen. These aggressive oxygen particles which cause the skin to sag and humans to age are called free radicals or oxidants.</w:t>
      </w:r>
    </w:p>
    <w:p>
      <w:pPr>
        <w:spacing w:after="0" w:line="276" w:lineRule="auto"/>
        <w:jc w:val="both"/>
        <w:sectPr>
          <w:footerReference w:type="default" r:id="rId452"/>
          <w:pgSz w:w="14270" w:h="16850"/>
          <w:pgMar w:footer="1891" w:header="0" w:top="1340" w:bottom="2080" w:left="800" w:right="1280"/>
          <w:pgNumType w:start="1730"/>
        </w:sectPr>
      </w:pPr>
    </w:p>
    <w:p>
      <w:pPr>
        <w:pStyle w:val="Heading2"/>
        <w:spacing w:line="276" w:lineRule="auto" w:before="72"/>
        <w:ind w:left="616" w:right="135"/>
        <w:jc w:val="both"/>
      </w:pPr>
      <w:r>
        <w:rPr/>
        <w:t>Protection against free radicals using the antioxidant vitamin C – our experiment</w:t>
      </w:r>
    </w:p>
    <w:p>
      <w:pPr>
        <w:pStyle w:val="BodyText"/>
        <w:spacing w:before="9"/>
        <w:rPr>
          <w:b/>
          <w:sz w:val="43"/>
        </w:rPr>
      </w:pPr>
    </w:p>
    <w:p>
      <w:pPr>
        <w:pStyle w:val="BodyText"/>
        <w:spacing w:line="276" w:lineRule="auto"/>
        <w:ind w:left="616" w:right="132"/>
        <w:jc w:val="both"/>
      </w:pPr>
      <w:r>
        <w:rPr/>
        <w:t>While</w:t>
      </w:r>
      <w:r>
        <w:rPr>
          <w:spacing w:val="-21"/>
        </w:rPr>
        <w:t> </w:t>
      </w:r>
      <w:r>
        <w:rPr/>
        <w:t>conventional</w:t>
      </w:r>
      <w:r>
        <w:rPr>
          <w:spacing w:val="-21"/>
        </w:rPr>
        <w:t> </w:t>
      </w:r>
      <w:r>
        <w:rPr/>
        <w:t>medicine</w:t>
      </w:r>
      <w:r>
        <w:rPr>
          <w:spacing w:val="-19"/>
        </w:rPr>
        <w:t> </w:t>
      </w:r>
      <w:r>
        <w:rPr/>
        <w:t>continues</w:t>
      </w:r>
      <w:r>
        <w:rPr>
          <w:spacing w:val="-19"/>
        </w:rPr>
        <w:t> </w:t>
      </w:r>
      <w:r>
        <w:rPr/>
        <w:t>to</w:t>
      </w:r>
      <w:r>
        <w:rPr>
          <w:spacing w:val="-19"/>
        </w:rPr>
        <w:t> </w:t>
      </w:r>
      <w:r>
        <w:rPr/>
        <w:t>propagate</w:t>
      </w:r>
      <w:r>
        <w:rPr>
          <w:spacing w:val="-20"/>
        </w:rPr>
        <w:t> </w:t>
      </w:r>
      <w:r>
        <w:rPr/>
        <w:t>the</w:t>
      </w:r>
      <w:r>
        <w:rPr>
          <w:spacing w:val="-18"/>
        </w:rPr>
        <w:t> </w:t>
      </w:r>
      <w:r>
        <w:rPr/>
        <w:t>long-outdated</w:t>
      </w:r>
      <w:r>
        <w:rPr>
          <w:spacing w:val="-21"/>
        </w:rPr>
        <w:t> </w:t>
      </w:r>
      <w:r>
        <w:rPr/>
        <w:t>dogma that disease ages us, a less corrupted gerontology (ageing science) has often proven over the last years that it is not</w:t>
      </w:r>
      <w:r>
        <w:rPr>
          <w:spacing w:val="-69"/>
        </w:rPr>
        <w:t> </w:t>
      </w:r>
      <w:r>
        <w:rPr/>
        <w:t>the disease which ages; quite the oppo- site:</w:t>
      </w:r>
    </w:p>
    <w:p>
      <w:pPr>
        <w:pStyle w:val="BodyText"/>
        <w:spacing w:before="8"/>
        <w:rPr>
          <w:sz w:val="43"/>
        </w:rPr>
      </w:pPr>
    </w:p>
    <w:p>
      <w:pPr>
        <w:pStyle w:val="BodyText"/>
        <w:spacing w:line="276" w:lineRule="auto"/>
        <w:ind w:left="616" w:right="138"/>
        <w:jc w:val="both"/>
      </w:pPr>
      <w:r>
        <w:rPr/>
        <w:t>biological</w:t>
      </w:r>
      <w:r>
        <w:rPr>
          <w:spacing w:val="-7"/>
        </w:rPr>
        <w:t> </w:t>
      </w:r>
      <w:r>
        <w:rPr/>
        <w:t>ageing</w:t>
      </w:r>
      <w:r>
        <w:rPr>
          <w:spacing w:val="-4"/>
        </w:rPr>
        <w:t> </w:t>
      </w:r>
      <w:r>
        <w:rPr/>
        <w:t>leads</w:t>
      </w:r>
      <w:r>
        <w:rPr>
          <w:spacing w:val="-7"/>
        </w:rPr>
        <w:t> </w:t>
      </w:r>
      <w:r>
        <w:rPr/>
        <w:t>to</w:t>
      </w:r>
      <w:r>
        <w:rPr>
          <w:spacing w:val="-5"/>
        </w:rPr>
        <w:t> </w:t>
      </w:r>
      <w:r>
        <w:rPr/>
        <w:t>reduced</w:t>
      </w:r>
      <w:r>
        <w:rPr>
          <w:spacing w:val="-8"/>
        </w:rPr>
        <w:t> </w:t>
      </w:r>
      <w:r>
        <w:rPr/>
        <w:t>cell</w:t>
      </w:r>
      <w:r>
        <w:rPr>
          <w:spacing w:val="-7"/>
        </w:rPr>
        <w:t> </w:t>
      </w:r>
      <w:r>
        <w:rPr/>
        <w:t>functionality</w:t>
      </w:r>
      <w:r>
        <w:rPr>
          <w:spacing w:val="-7"/>
        </w:rPr>
        <w:t> </w:t>
      </w:r>
      <w:r>
        <w:rPr/>
        <w:t>(caused</w:t>
      </w:r>
      <w:r>
        <w:rPr>
          <w:spacing w:val="-5"/>
        </w:rPr>
        <w:t> </w:t>
      </w:r>
      <w:r>
        <w:rPr/>
        <w:t>by</w:t>
      </w:r>
      <w:r>
        <w:rPr>
          <w:spacing w:val="-6"/>
        </w:rPr>
        <w:t> </w:t>
      </w:r>
      <w:r>
        <w:rPr/>
        <w:t>ageing)</w:t>
      </w:r>
      <w:r>
        <w:rPr>
          <w:spacing w:val="-7"/>
        </w:rPr>
        <w:t> </w:t>
      </w:r>
      <w:r>
        <w:rPr/>
        <w:t>and</w:t>
      </w:r>
      <w:r>
        <w:rPr>
          <w:spacing w:val="-7"/>
        </w:rPr>
        <w:t> </w:t>
      </w:r>
      <w:r>
        <w:rPr/>
        <w:t>it</w:t>
      </w:r>
      <w:r>
        <w:rPr>
          <w:spacing w:val="-7"/>
        </w:rPr>
        <w:t> </w:t>
      </w:r>
      <w:r>
        <w:rPr/>
        <w:t>is precisely this which leads to numerous diseases! If you think about this for a moment it seems a very logical</w:t>
      </w:r>
      <w:r>
        <w:rPr>
          <w:spacing w:val="-1"/>
        </w:rPr>
        <w:t> </w:t>
      </w:r>
      <w:r>
        <w:rPr/>
        <w:t>approach!</w:t>
      </w:r>
    </w:p>
    <w:p>
      <w:pPr>
        <w:pStyle w:val="BodyText"/>
        <w:spacing w:before="9"/>
        <w:rPr>
          <w:sz w:val="43"/>
        </w:rPr>
      </w:pPr>
    </w:p>
    <w:p>
      <w:pPr>
        <w:pStyle w:val="BodyText"/>
        <w:spacing w:line="276" w:lineRule="auto"/>
        <w:ind w:left="616" w:right="133"/>
        <w:jc w:val="both"/>
      </w:pPr>
      <w:r>
        <w:rPr/>
        <w:t>Our small experiment below (which we also enthusiastically recommend our- selves)</w:t>
      </w:r>
      <w:r>
        <w:rPr>
          <w:spacing w:val="-25"/>
        </w:rPr>
        <w:t> </w:t>
      </w:r>
      <w:r>
        <w:rPr/>
        <w:t>shows</w:t>
      </w:r>
      <w:r>
        <w:rPr>
          <w:spacing w:val="-26"/>
        </w:rPr>
        <w:t> </w:t>
      </w:r>
      <w:r>
        <w:rPr/>
        <w:t>what</w:t>
      </w:r>
      <w:r>
        <w:rPr>
          <w:spacing w:val="-25"/>
        </w:rPr>
        <w:t> </w:t>
      </w:r>
      <w:r>
        <w:rPr/>
        <w:t>vitamin</w:t>
      </w:r>
      <w:r>
        <w:rPr>
          <w:spacing w:val="-23"/>
        </w:rPr>
        <w:t> </w:t>
      </w:r>
      <w:r>
        <w:rPr/>
        <w:t>C</w:t>
      </w:r>
      <w:r>
        <w:rPr>
          <w:spacing w:val="-25"/>
        </w:rPr>
        <w:t> </w:t>
      </w:r>
      <w:r>
        <w:rPr/>
        <w:t>can</w:t>
      </w:r>
      <w:r>
        <w:rPr>
          <w:spacing w:val="-24"/>
        </w:rPr>
        <w:t> </w:t>
      </w:r>
      <w:r>
        <w:rPr/>
        <w:t>do</w:t>
      </w:r>
      <w:r>
        <w:rPr>
          <w:spacing w:val="-26"/>
        </w:rPr>
        <w:t> </w:t>
      </w:r>
      <w:r>
        <w:rPr/>
        <w:t>to</w:t>
      </w:r>
      <w:r>
        <w:rPr>
          <w:spacing w:val="-26"/>
        </w:rPr>
        <w:t> </w:t>
      </w:r>
      <w:r>
        <w:rPr/>
        <w:t>prevent</w:t>
      </w:r>
      <w:r>
        <w:rPr>
          <w:spacing w:val="-28"/>
        </w:rPr>
        <w:t> </w:t>
      </w:r>
      <w:r>
        <w:rPr/>
        <w:t>ageing</w:t>
      </w:r>
      <w:r>
        <w:rPr>
          <w:spacing w:val="-21"/>
        </w:rPr>
        <w:t> </w:t>
      </w:r>
      <w:r>
        <w:rPr/>
        <w:t>and</w:t>
      </w:r>
      <w:r>
        <w:rPr>
          <w:spacing w:val="-26"/>
        </w:rPr>
        <w:t> </w:t>
      </w:r>
      <w:r>
        <w:rPr/>
        <w:t>therefore</w:t>
      </w:r>
      <w:r>
        <w:rPr>
          <w:spacing w:val="-27"/>
        </w:rPr>
        <w:t> </w:t>
      </w:r>
      <w:r>
        <w:rPr/>
        <w:t>numerous diseases,</w:t>
      </w:r>
      <w:r>
        <w:rPr>
          <w:spacing w:val="-15"/>
        </w:rPr>
        <w:t> </w:t>
      </w:r>
      <w:r>
        <w:rPr/>
        <w:t>simply</w:t>
      </w:r>
      <w:r>
        <w:rPr>
          <w:spacing w:val="-18"/>
        </w:rPr>
        <w:t> </w:t>
      </w:r>
      <w:r>
        <w:rPr/>
        <w:t>due</w:t>
      </w:r>
      <w:r>
        <w:rPr>
          <w:spacing w:val="-16"/>
        </w:rPr>
        <w:t> </w:t>
      </w:r>
      <w:r>
        <w:rPr/>
        <w:t>to</w:t>
      </w:r>
      <w:r>
        <w:rPr>
          <w:spacing w:val="-15"/>
        </w:rPr>
        <w:t> </w:t>
      </w:r>
      <w:r>
        <w:rPr/>
        <w:t>its</w:t>
      </w:r>
      <w:r>
        <w:rPr>
          <w:spacing w:val="-15"/>
        </w:rPr>
        <w:t> </w:t>
      </w:r>
      <w:r>
        <w:rPr/>
        <w:t>antioxidative</w:t>
      </w:r>
      <w:r>
        <w:rPr>
          <w:spacing w:val="-15"/>
        </w:rPr>
        <w:t> </w:t>
      </w:r>
      <w:r>
        <w:rPr/>
        <w:t>effect</w:t>
      </w:r>
      <w:r>
        <w:rPr>
          <w:spacing w:val="-16"/>
        </w:rPr>
        <w:t> </w:t>
      </w:r>
      <w:r>
        <w:rPr/>
        <w:t>(protection</w:t>
      </w:r>
      <w:r>
        <w:rPr>
          <w:spacing w:val="-14"/>
        </w:rPr>
        <w:t> </w:t>
      </w:r>
      <w:r>
        <w:rPr/>
        <w:t>against</w:t>
      </w:r>
      <w:r>
        <w:rPr>
          <w:spacing w:val="-15"/>
        </w:rPr>
        <w:t> </w:t>
      </w:r>
      <w:r>
        <w:rPr/>
        <w:t>free</w:t>
      </w:r>
      <w:r>
        <w:rPr>
          <w:spacing w:val="-14"/>
        </w:rPr>
        <w:t> </w:t>
      </w:r>
      <w:r>
        <w:rPr/>
        <w:t>radicals). For this, we cut a very normal apple into two halves. We then sprinkled one half with a thin layer of vitamin C powder (ascorbic acid) and left the other half</w:t>
      </w:r>
      <w:r>
        <w:rPr>
          <w:spacing w:val="-1"/>
        </w:rPr>
        <w:t> </w:t>
      </w:r>
      <w:r>
        <w:rPr/>
        <w:t>untouched:</w:t>
      </w:r>
    </w:p>
    <w:p>
      <w:pPr>
        <w:spacing w:after="0" w:line="276" w:lineRule="auto"/>
        <w:jc w:val="both"/>
        <w:sectPr>
          <w:pgSz w:w="14270" w:h="16850"/>
          <w:pgMar w:header="0" w:footer="1891" w:top="1340" w:bottom="2080" w:left="800" w:right="1280"/>
        </w:sectPr>
      </w:pPr>
    </w:p>
    <w:p>
      <w:pPr>
        <w:pStyle w:val="BodyText"/>
        <w:ind w:left="505"/>
        <w:rPr>
          <w:sz w:val="20"/>
        </w:rPr>
      </w:pPr>
      <w:r>
        <w:rPr>
          <w:sz w:val="20"/>
        </w:rPr>
        <w:drawing>
          <wp:inline distT="0" distB="0" distL="0" distR="0">
            <wp:extent cx="3321191" cy="2266664"/>
            <wp:effectExtent l="0" t="0" r="0" b="0"/>
            <wp:docPr id="651" name="image10.jpeg" descr=""/>
            <wp:cNvGraphicFramePr>
              <a:graphicFrameLocks noChangeAspect="1"/>
            </wp:cNvGraphicFramePr>
            <a:graphic>
              <a:graphicData uri="http://schemas.openxmlformats.org/drawingml/2006/picture">
                <pic:pic>
                  <pic:nvPicPr>
                    <pic:cNvPr id="652" name="image10.jpeg"/>
                    <pic:cNvPicPr/>
                  </pic:nvPicPr>
                  <pic:blipFill>
                    <a:blip r:embed="rId453" cstate="print"/>
                    <a:stretch>
                      <a:fillRect/>
                    </a:stretch>
                  </pic:blipFill>
                  <pic:spPr>
                    <a:xfrm>
                      <a:off x="0" y="0"/>
                      <a:ext cx="3321191" cy="2266664"/>
                    </a:xfrm>
                    <a:prstGeom prst="rect">
                      <a:avLst/>
                    </a:prstGeom>
                  </pic:spPr>
                </pic:pic>
              </a:graphicData>
            </a:graphic>
          </wp:inline>
        </w:drawing>
      </w:r>
      <w:r>
        <w:rPr>
          <w:sz w:val="20"/>
        </w:rPr>
      </w:r>
    </w:p>
    <w:p>
      <w:pPr>
        <w:pStyle w:val="BodyText"/>
        <w:spacing w:before="2"/>
        <w:rPr>
          <w:sz w:val="17"/>
        </w:rPr>
      </w:pPr>
    </w:p>
    <w:p>
      <w:pPr>
        <w:pStyle w:val="BodyText"/>
        <w:spacing w:line="271" w:lineRule="auto" w:before="100"/>
        <w:ind w:left="474" w:right="992"/>
      </w:pPr>
      <w:r>
        <w:rPr>
          <w:b/>
          <w:i/>
          <w:sz w:val="40"/>
        </w:rPr>
        <w:t>Above</w:t>
      </w:r>
      <w:r>
        <w:rPr/>
        <w:t>: after 1 week - apple with vitamin C (left) and the same apple un- touched (right)</w:t>
      </w:r>
    </w:p>
    <w:p>
      <w:pPr>
        <w:pStyle w:val="BodyText"/>
        <w:rPr>
          <w:sz w:val="42"/>
        </w:rPr>
      </w:pPr>
    </w:p>
    <w:p>
      <w:pPr>
        <w:pStyle w:val="BodyText"/>
        <w:spacing w:before="2"/>
        <w:rPr>
          <w:sz w:val="45"/>
        </w:rPr>
      </w:pPr>
    </w:p>
    <w:p>
      <w:pPr>
        <w:spacing w:line="244" w:lineRule="auto" w:before="0"/>
        <w:ind w:left="332" w:right="0" w:firstLine="30"/>
        <w:jc w:val="left"/>
        <w:rPr>
          <w:sz w:val="38"/>
        </w:rPr>
      </w:pPr>
      <w:r>
        <w:rPr/>
        <w:drawing>
          <wp:inline distT="0" distB="0" distL="0" distR="0">
            <wp:extent cx="3418840" cy="2170430"/>
            <wp:effectExtent l="0" t="0" r="0" b="0"/>
            <wp:docPr id="653" name="image11.jpeg" descr=""/>
            <wp:cNvGraphicFramePr>
              <a:graphicFrameLocks noChangeAspect="1"/>
            </wp:cNvGraphicFramePr>
            <a:graphic>
              <a:graphicData uri="http://schemas.openxmlformats.org/drawingml/2006/picture">
                <pic:pic>
                  <pic:nvPicPr>
                    <pic:cNvPr id="654" name="image11.jpeg"/>
                    <pic:cNvPicPr/>
                  </pic:nvPicPr>
                  <pic:blipFill>
                    <a:blip r:embed="rId454" cstate="print"/>
                    <a:stretch>
                      <a:fillRect/>
                    </a:stretch>
                  </pic:blipFill>
                  <pic:spPr>
                    <a:xfrm>
                      <a:off x="0" y="0"/>
                      <a:ext cx="3418840" cy="2170430"/>
                    </a:xfrm>
                    <a:prstGeom prst="rect">
                      <a:avLst/>
                    </a:prstGeom>
                  </pic:spPr>
                </pic:pic>
              </a:graphicData>
            </a:graphic>
          </wp:inline>
        </w:drawing>
      </w:r>
      <w:r>
        <w:rPr/>
      </w:r>
      <w:r>
        <w:rPr>
          <w:rFonts w:ascii="Times New Roman"/>
          <w:sz w:val="20"/>
        </w:rPr>
        <w:t>                  </w:t>
      </w:r>
      <w:r>
        <w:rPr>
          <w:rFonts w:ascii="Times New Roman"/>
          <w:spacing w:val="2"/>
          <w:sz w:val="20"/>
        </w:rPr>
        <w:t> </w:t>
      </w:r>
      <w:r>
        <w:rPr>
          <w:b/>
          <w:i/>
          <w:sz w:val="40"/>
        </w:rPr>
        <w:t>Above:</w:t>
      </w:r>
      <w:r>
        <w:rPr>
          <w:b/>
          <w:i/>
          <w:spacing w:val="-75"/>
          <w:sz w:val="40"/>
        </w:rPr>
        <w:t> </w:t>
      </w:r>
      <w:r>
        <w:rPr>
          <w:sz w:val="38"/>
        </w:rPr>
        <w:t>after 3 weeks - apple with vitamin C (left) and the same apple untouched (right)</w:t>
      </w:r>
    </w:p>
    <w:p>
      <w:pPr>
        <w:pStyle w:val="Heading2"/>
        <w:spacing w:before="284"/>
        <w:ind w:left="332"/>
      </w:pPr>
      <w:r>
        <w:rPr>
          <w:u w:val="single"/>
        </w:rPr>
        <w:t>The good news:</w:t>
      </w:r>
    </w:p>
    <w:p>
      <w:pPr>
        <w:pStyle w:val="BodyText"/>
        <w:spacing w:line="276" w:lineRule="auto" w:before="305"/>
        <w:ind w:left="332"/>
      </w:pPr>
      <w:r>
        <w:rPr/>
        <w:t>as</w:t>
      </w:r>
      <w:r>
        <w:rPr>
          <w:spacing w:val="-26"/>
        </w:rPr>
        <w:t> </w:t>
      </w:r>
      <w:r>
        <w:rPr/>
        <w:t>with</w:t>
      </w:r>
      <w:r>
        <w:rPr>
          <w:spacing w:val="-25"/>
        </w:rPr>
        <w:t> </w:t>
      </w:r>
      <w:r>
        <w:rPr/>
        <w:t>the</w:t>
      </w:r>
      <w:r>
        <w:rPr>
          <w:spacing w:val="-24"/>
        </w:rPr>
        <w:t> </w:t>
      </w:r>
      <w:r>
        <w:rPr/>
        <w:t>left</w:t>
      </w:r>
      <w:r>
        <w:rPr>
          <w:spacing w:val="-27"/>
        </w:rPr>
        <w:t> </w:t>
      </w:r>
      <w:r>
        <w:rPr/>
        <w:t>half</w:t>
      </w:r>
      <w:r>
        <w:rPr>
          <w:spacing w:val="-26"/>
        </w:rPr>
        <w:t> </w:t>
      </w:r>
      <w:r>
        <w:rPr/>
        <w:t>of</w:t>
      </w:r>
      <w:r>
        <w:rPr>
          <w:spacing w:val="-26"/>
        </w:rPr>
        <w:t> </w:t>
      </w:r>
      <w:r>
        <w:rPr/>
        <w:t>the</w:t>
      </w:r>
      <w:r>
        <w:rPr>
          <w:spacing w:val="-24"/>
        </w:rPr>
        <w:t> </w:t>
      </w:r>
      <w:r>
        <w:rPr/>
        <w:t>apple</w:t>
      </w:r>
      <w:r>
        <w:rPr>
          <w:spacing w:val="-27"/>
        </w:rPr>
        <w:t> </w:t>
      </w:r>
      <w:r>
        <w:rPr/>
        <w:t>in</w:t>
      </w:r>
      <w:r>
        <w:rPr>
          <w:spacing w:val="-24"/>
        </w:rPr>
        <w:t> </w:t>
      </w:r>
      <w:r>
        <w:rPr/>
        <w:t>the</w:t>
      </w:r>
      <w:r>
        <w:rPr>
          <w:spacing w:val="-25"/>
        </w:rPr>
        <w:t> </w:t>
      </w:r>
      <w:r>
        <w:rPr/>
        <w:t>pictures</w:t>
      </w:r>
      <w:r>
        <w:rPr>
          <w:spacing w:val="-24"/>
        </w:rPr>
        <w:t> </w:t>
      </w:r>
      <w:r>
        <w:rPr/>
        <w:t>above,</w:t>
      </w:r>
      <w:r>
        <w:rPr>
          <w:spacing w:val="-25"/>
        </w:rPr>
        <w:t> </w:t>
      </w:r>
      <w:r>
        <w:rPr/>
        <w:t>which</w:t>
      </w:r>
      <w:r>
        <w:rPr>
          <w:spacing w:val="-24"/>
        </w:rPr>
        <w:t> </w:t>
      </w:r>
      <w:r>
        <w:rPr/>
        <w:t>was</w:t>
      </w:r>
      <w:r>
        <w:rPr>
          <w:spacing w:val="-25"/>
        </w:rPr>
        <w:t> </w:t>
      </w:r>
      <w:r>
        <w:rPr/>
        <w:t>visibly</w:t>
      </w:r>
      <w:r>
        <w:rPr>
          <w:spacing w:val="-25"/>
        </w:rPr>
        <w:t> </w:t>
      </w:r>
      <w:r>
        <w:rPr/>
        <w:t>protected by vitamin C from the greedy free radicals, we can also preserve ourselves</w:t>
      </w:r>
      <w:r>
        <w:rPr>
          <w:spacing w:val="11"/>
        </w:rPr>
        <w:t> </w:t>
      </w:r>
      <w:r>
        <w:rPr/>
        <w:t>from</w:t>
      </w:r>
    </w:p>
    <w:p>
      <w:pPr>
        <w:spacing w:after="0" w:line="276" w:lineRule="auto"/>
        <w:sectPr>
          <w:pgSz w:w="14270" w:h="16850"/>
          <w:pgMar w:header="0" w:footer="1891" w:top="1420" w:bottom="2080" w:left="800" w:right="1280"/>
        </w:sectPr>
      </w:pPr>
    </w:p>
    <w:p>
      <w:pPr>
        <w:pStyle w:val="BodyText"/>
        <w:spacing w:line="276" w:lineRule="auto" w:before="72"/>
        <w:ind w:left="332" w:right="131"/>
        <w:jc w:val="both"/>
      </w:pPr>
      <w:r>
        <w:rPr/>
        <w:t>the inside out by consuming sufficient antioxidants such as vitamin C, OPC, Q10, selenium or vitamin E and efficiently protect ourselves against ageing and disease!</w:t>
      </w:r>
    </w:p>
    <w:p>
      <w:pPr>
        <w:pStyle w:val="BodyText"/>
        <w:spacing w:line="276" w:lineRule="auto" w:before="241"/>
        <w:ind w:left="332" w:right="130"/>
        <w:jc w:val="both"/>
      </w:pPr>
      <w:r>
        <w:rPr>
          <w:b/>
          <w:u w:val="single"/>
        </w:rPr>
        <w:t>HOWEVER:</w:t>
      </w:r>
      <w:r>
        <w:rPr>
          <w:b/>
        </w:rPr>
        <w:t> </w:t>
      </w:r>
      <w:r>
        <w:rPr/>
        <w:t>this can in no way be ensured by the insufficient recommenda- tions</w:t>
      </w:r>
      <w:r>
        <w:rPr>
          <w:spacing w:val="-12"/>
        </w:rPr>
        <w:t> </w:t>
      </w:r>
      <w:r>
        <w:rPr/>
        <w:t>of</w:t>
      </w:r>
      <w:r>
        <w:rPr>
          <w:spacing w:val="-14"/>
        </w:rPr>
        <w:t> </w:t>
      </w:r>
      <w:r>
        <w:rPr/>
        <w:t>the</w:t>
      </w:r>
      <w:r>
        <w:rPr>
          <w:spacing w:val="-11"/>
        </w:rPr>
        <w:t> </w:t>
      </w:r>
      <w:r>
        <w:rPr/>
        <w:t>official</w:t>
      </w:r>
      <w:r>
        <w:rPr>
          <w:spacing w:val="-13"/>
        </w:rPr>
        <w:t> </w:t>
      </w:r>
      <w:r>
        <w:rPr/>
        <w:t>state</w:t>
      </w:r>
      <w:r>
        <w:rPr>
          <w:spacing w:val="-12"/>
        </w:rPr>
        <w:t> </w:t>
      </w:r>
      <w:r>
        <w:rPr/>
        <w:t>authorities</w:t>
      </w:r>
      <w:r>
        <w:rPr>
          <w:spacing w:val="-11"/>
        </w:rPr>
        <w:t> </w:t>
      </w:r>
      <w:r>
        <w:rPr/>
        <w:t>or</w:t>
      </w:r>
      <w:r>
        <w:rPr>
          <w:spacing w:val="-13"/>
        </w:rPr>
        <w:t> </w:t>
      </w:r>
      <w:r>
        <w:rPr/>
        <w:t>conventional</w:t>
      </w:r>
      <w:r>
        <w:rPr>
          <w:spacing w:val="-13"/>
        </w:rPr>
        <w:t> </w:t>
      </w:r>
      <w:r>
        <w:rPr/>
        <w:t>medicine</w:t>
      </w:r>
      <w:r>
        <w:rPr>
          <w:spacing w:val="-8"/>
        </w:rPr>
        <w:t> </w:t>
      </w:r>
      <w:r>
        <w:rPr/>
        <w:t>–</w:t>
      </w:r>
      <w:r>
        <w:rPr>
          <w:spacing w:val="-12"/>
        </w:rPr>
        <w:t> </w:t>
      </w:r>
      <w:r>
        <w:rPr/>
        <w:t>you</w:t>
      </w:r>
      <w:r>
        <w:rPr>
          <w:spacing w:val="-14"/>
        </w:rPr>
        <w:t> </w:t>
      </w:r>
      <w:r>
        <w:rPr/>
        <w:t>can</w:t>
      </w:r>
      <w:r>
        <w:rPr>
          <w:spacing w:val="-11"/>
        </w:rPr>
        <w:t> </w:t>
      </w:r>
      <w:r>
        <w:rPr/>
        <w:t>find</w:t>
      </w:r>
      <w:r>
        <w:rPr>
          <w:spacing w:val="-11"/>
        </w:rPr>
        <w:t> </w:t>
      </w:r>
      <w:r>
        <w:rPr/>
        <w:t>out what humans actually require for this protective effect in the corresponding chapter regarding the substances referenced in this book... For now, let’s return to the protective effect of vitamin C against free radicals. If you consider that it is precisely the free radicals which modern, uncorrupted science attributes with being the largest cause of bodily ageing and numerous diseases, it is more than scandalous</w:t>
      </w:r>
      <w:r>
        <w:rPr>
          <w:spacing w:val="-17"/>
        </w:rPr>
        <w:t> </w:t>
      </w:r>
      <w:r>
        <w:rPr/>
        <w:t>that</w:t>
      </w:r>
      <w:r>
        <w:rPr>
          <w:spacing w:val="-17"/>
        </w:rPr>
        <w:t> </w:t>
      </w:r>
      <w:r>
        <w:rPr/>
        <w:t>people</w:t>
      </w:r>
      <w:r>
        <w:rPr>
          <w:spacing w:val="-17"/>
        </w:rPr>
        <w:t> </w:t>
      </w:r>
      <w:r>
        <w:rPr/>
        <w:t>know</w:t>
      </w:r>
      <w:r>
        <w:rPr>
          <w:spacing w:val="-17"/>
        </w:rPr>
        <w:t> </w:t>
      </w:r>
      <w:r>
        <w:rPr/>
        <w:t>so</w:t>
      </w:r>
      <w:r>
        <w:rPr>
          <w:spacing w:val="-20"/>
        </w:rPr>
        <w:t> </w:t>
      </w:r>
      <w:r>
        <w:rPr/>
        <w:t>little</w:t>
      </w:r>
      <w:r>
        <w:rPr>
          <w:spacing w:val="-17"/>
        </w:rPr>
        <w:t> </w:t>
      </w:r>
      <w:r>
        <w:rPr/>
        <w:t>about</w:t>
      </w:r>
      <w:r>
        <w:rPr>
          <w:spacing w:val="-18"/>
        </w:rPr>
        <w:t> </w:t>
      </w:r>
      <w:r>
        <w:rPr/>
        <w:t>them</w:t>
      </w:r>
      <w:r>
        <w:rPr>
          <w:spacing w:val="-13"/>
        </w:rPr>
        <w:t> </w:t>
      </w:r>
      <w:r>
        <w:rPr/>
        <w:t>and</w:t>
      </w:r>
      <w:r>
        <w:rPr>
          <w:spacing w:val="-16"/>
        </w:rPr>
        <w:t> </w:t>
      </w:r>
      <w:r>
        <w:rPr/>
        <w:t>that</w:t>
      </w:r>
      <w:r>
        <w:rPr>
          <w:spacing w:val="-17"/>
        </w:rPr>
        <w:t> </w:t>
      </w:r>
      <w:r>
        <w:rPr/>
        <w:t>even</w:t>
      </w:r>
      <w:r>
        <w:rPr>
          <w:spacing w:val="-16"/>
        </w:rPr>
        <w:t> </w:t>
      </w:r>
      <w:r>
        <w:rPr/>
        <w:t>doctors</w:t>
      </w:r>
      <w:r>
        <w:rPr>
          <w:spacing w:val="-16"/>
        </w:rPr>
        <w:t> </w:t>
      </w:r>
      <w:r>
        <w:rPr/>
        <w:t>generally have no</w:t>
      </w:r>
      <w:r>
        <w:rPr>
          <w:spacing w:val="1"/>
        </w:rPr>
        <w:t> </w:t>
      </w:r>
      <w:r>
        <w:rPr/>
        <w:t>idea.</w:t>
      </w:r>
    </w:p>
    <w:p>
      <w:pPr>
        <w:pStyle w:val="BodyText"/>
        <w:spacing w:line="276" w:lineRule="auto" w:before="242"/>
        <w:ind w:left="332" w:right="131"/>
        <w:jc w:val="both"/>
      </w:pPr>
      <w:r>
        <w:rPr/>
        <w:t>Insufficient knowledge and explanation to the population regarding the</w:t>
      </w:r>
      <w:r>
        <w:rPr>
          <w:spacing w:val="-67"/>
        </w:rPr>
        <w:t> </w:t>
      </w:r>
      <w:r>
        <w:rPr/>
        <w:t>connec- tions between the cell-destroying effect of free radicals and the occurrence of numerous diseases of civilisation (as well as ageing) moved scientists from dif- ferent</w:t>
      </w:r>
      <w:r>
        <w:rPr>
          <w:spacing w:val="-7"/>
        </w:rPr>
        <w:t> </w:t>
      </w:r>
      <w:r>
        <w:rPr/>
        <w:t>medical</w:t>
      </w:r>
      <w:r>
        <w:rPr>
          <w:spacing w:val="-7"/>
        </w:rPr>
        <w:t> </w:t>
      </w:r>
      <w:r>
        <w:rPr/>
        <w:t>specialisations</w:t>
      </w:r>
      <w:r>
        <w:rPr>
          <w:spacing w:val="-6"/>
        </w:rPr>
        <w:t> </w:t>
      </w:r>
      <w:r>
        <w:rPr/>
        <w:t>to</w:t>
      </w:r>
      <w:r>
        <w:rPr>
          <w:spacing w:val="-6"/>
        </w:rPr>
        <w:t> </w:t>
      </w:r>
      <w:r>
        <w:rPr/>
        <w:t>go</w:t>
      </w:r>
      <w:r>
        <w:rPr>
          <w:spacing w:val="-6"/>
        </w:rPr>
        <w:t> </w:t>
      </w:r>
      <w:r>
        <w:rPr/>
        <w:t>public</w:t>
      </w:r>
      <w:r>
        <w:rPr>
          <w:spacing w:val="-7"/>
        </w:rPr>
        <w:t> </w:t>
      </w:r>
      <w:r>
        <w:rPr/>
        <w:t>with</w:t>
      </w:r>
      <w:r>
        <w:rPr>
          <w:spacing w:val="-6"/>
        </w:rPr>
        <w:t> </w:t>
      </w:r>
      <w:r>
        <w:rPr/>
        <w:t>a</w:t>
      </w:r>
      <w:r>
        <w:rPr>
          <w:spacing w:val="-8"/>
        </w:rPr>
        <w:t> </w:t>
      </w:r>
      <w:r>
        <w:rPr/>
        <w:t>declaration</w:t>
      </w:r>
      <w:r>
        <w:rPr>
          <w:spacing w:val="-6"/>
        </w:rPr>
        <w:t> </w:t>
      </w:r>
      <w:r>
        <w:rPr/>
        <w:t>as</w:t>
      </w:r>
      <w:r>
        <w:rPr>
          <w:spacing w:val="-7"/>
        </w:rPr>
        <w:t> </w:t>
      </w:r>
      <w:r>
        <w:rPr/>
        <w:t>far</w:t>
      </w:r>
      <w:r>
        <w:rPr>
          <w:spacing w:val="-7"/>
        </w:rPr>
        <w:t> </w:t>
      </w:r>
      <w:r>
        <w:rPr/>
        <w:t>back</w:t>
      </w:r>
      <w:r>
        <w:rPr>
          <w:spacing w:val="-7"/>
        </w:rPr>
        <w:t> </w:t>
      </w:r>
      <w:r>
        <w:rPr/>
        <w:t>as</w:t>
      </w:r>
      <w:r>
        <w:rPr>
          <w:spacing w:val="-6"/>
        </w:rPr>
        <w:t> </w:t>
      </w:r>
      <w:r>
        <w:rPr/>
        <w:t>1992. Since</w:t>
      </w:r>
      <w:r>
        <w:rPr>
          <w:spacing w:val="-6"/>
        </w:rPr>
        <w:t> </w:t>
      </w:r>
      <w:r>
        <w:rPr/>
        <w:t>then,</w:t>
      </w:r>
      <w:r>
        <w:rPr>
          <w:spacing w:val="-8"/>
        </w:rPr>
        <w:t> </w:t>
      </w:r>
      <w:r>
        <w:rPr/>
        <w:t>many</w:t>
      </w:r>
      <w:r>
        <w:rPr>
          <w:spacing w:val="-7"/>
        </w:rPr>
        <w:t> </w:t>
      </w:r>
      <w:r>
        <w:rPr/>
        <w:t>more</w:t>
      </w:r>
      <w:r>
        <w:rPr>
          <w:spacing w:val="-7"/>
        </w:rPr>
        <w:t> </w:t>
      </w:r>
      <w:r>
        <w:rPr/>
        <w:t>than</w:t>
      </w:r>
      <w:r>
        <w:rPr>
          <w:spacing w:val="-5"/>
        </w:rPr>
        <w:t> </w:t>
      </w:r>
      <w:r>
        <w:rPr/>
        <w:t>200</w:t>
      </w:r>
      <w:r>
        <w:rPr>
          <w:spacing w:val="-10"/>
        </w:rPr>
        <w:t> </w:t>
      </w:r>
      <w:r>
        <w:rPr/>
        <w:t>renowned</w:t>
      </w:r>
      <w:r>
        <w:rPr>
          <w:spacing w:val="-8"/>
        </w:rPr>
        <w:t> </w:t>
      </w:r>
      <w:r>
        <w:rPr/>
        <w:t>experts</w:t>
      </w:r>
      <w:r>
        <w:rPr>
          <w:spacing w:val="-5"/>
        </w:rPr>
        <w:t> </w:t>
      </w:r>
      <w:r>
        <w:rPr/>
        <w:t>have</w:t>
      </w:r>
      <w:r>
        <w:rPr>
          <w:spacing w:val="-9"/>
        </w:rPr>
        <w:t> </w:t>
      </w:r>
      <w:r>
        <w:rPr/>
        <w:t>signed</w:t>
      </w:r>
      <w:r>
        <w:rPr>
          <w:spacing w:val="-6"/>
        </w:rPr>
        <w:t> </w:t>
      </w:r>
      <w:r>
        <w:rPr/>
        <w:t>this</w:t>
      </w:r>
      <w:r>
        <w:rPr>
          <w:spacing w:val="-6"/>
        </w:rPr>
        <w:t> </w:t>
      </w:r>
      <w:r>
        <w:rPr/>
        <w:t>document</w:t>
      </w:r>
      <w:r>
        <w:rPr>
          <w:spacing w:val="-5"/>
        </w:rPr>
        <w:t> </w:t>
      </w:r>
      <w:r>
        <w:rPr/>
        <w:t>– yet it has changed little within the public</w:t>
      </w:r>
      <w:r>
        <w:rPr>
          <w:spacing w:val="-1"/>
        </w:rPr>
        <w:t> </w:t>
      </w:r>
      <w:r>
        <w:rPr/>
        <w:t>consciousness!</w:t>
      </w:r>
    </w:p>
    <w:p>
      <w:pPr>
        <w:spacing w:before="223"/>
        <w:ind w:left="332" w:right="0" w:firstLine="0"/>
        <w:jc w:val="left"/>
        <w:rPr>
          <w:b/>
          <w:i/>
          <w:sz w:val="40"/>
        </w:rPr>
      </w:pPr>
      <w:r>
        <w:rPr>
          <w:b/>
          <w:sz w:val="38"/>
        </w:rPr>
        <w:t>You can read the original </w:t>
      </w:r>
      <w:r>
        <w:rPr>
          <w:b/>
          <w:i/>
          <w:sz w:val="40"/>
        </w:rPr>
        <w:t>Saas Fee Declaration </w:t>
      </w:r>
      <w:r>
        <w:rPr>
          <w:b/>
          <w:sz w:val="38"/>
        </w:rPr>
        <w:t>mentioned here</w:t>
      </w:r>
      <w:r>
        <w:rPr>
          <w:b/>
          <w:i/>
          <w:sz w:val="40"/>
        </w:rPr>
        <w:t>:</w:t>
      </w:r>
    </w:p>
    <w:p>
      <w:pPr>
        <w:pStyle w:val="ListParagraph"/>
        <w:numPr>
          <w:ilvl w:val="0"/>
          <w:numId w:val="130"/>
        </w:numPr>
        <w:tabs>
          <w:tab w:pos="679" w:val="left" w:leader="none"/>
        </w:tabs>
        <w:spacing w:line="276" w:lineRule="auto" w:before="299" w:after="0"/>
        <w:ind w:left="332" w:right="138" w:firstLine="0"/>
        <w:jc w:val="both"/>
        <w:rPr>
          <w:i/>
          <w:sz w:val="38"/>
        </w:rPr>
      </w:pPr>
      <w:r>
        <w:rPr>
          <w:i/>
          <w:sz w:val="38"/>
        </w:rPr>
        <w:t>Intensive</w:t>
      </w:r>
      <w:r>
        <w:rPr>
          <w:i/>
          <w:spacing w:val="-15"/>
          <w:sz w:val="38"/>
        </w:rPr>
        <w:t> </w:t>
      </w:r>
      <w:r>
        <w:rPr>
          <w:i/>
          <w:sz w:val="38"/>
        </w:rPr>
        <w:t>worldwide</w:t>
      </w:r>
      <w:r>
        <w:rPr>
          <w:i/>
          <w:spacing w:val="-15"/>
          <w:sz w:val="38"/>
        </w:rPr>
        <w:t> </w:t>
      </w:r>
      <w:r>
        <w:rPr>
          <w:i/>
          <w:sz w:val="38"/>
        </w:rPr>
        <w:t>research</w:t>
      </w:r>
      <w:r>
        <w:rPr>
          <w:i/>
          <w:spacing w:val="-14"/>
          <w:sz w:val="38"/>
        </w:rPr>
        <w:t> </w:t>
      </w:r>
      <w:r>
        <w:rPr>
          <w:i/>
          <w:sz w:val="38"/>
        </w:rPr>
        <w:t>into</w:t>
      </w:r>
      <w:r>
        <w:rPr>
          <w:i/>
          <w:spacing w:val="-14"/>
          <w:sz w:val="38"/>
        </w:rPr>
        <w:t> </w:t>
      </w:r>
      <w:r>
        <w:rPr>
          <w:i/>
          <w:sz w:val="38"/>
        </w:rPr>
        <w:t>the</w:t>
      </w:r>
      <w:r>
        <w:rPr>
          <w:i/>
          <w:spacing w:val="-16"/>
          <w:sz w:val="38"/>
        </w:rPr>
        <w:t> </w:t>
      </w:r>
      <w:r>
        <w:rPr>
          <w:i/>
          <w:sz w:val="38"/>
        </w:rPr>
        <w:t>topic</w:t>
      </w:r>
      <w:r>
        <w:rPr>
          <w:i/>
          <w:spacing w:val="-15"/>
          <w:sz w:val="38"/>
        </w:rPr>
        <w:t> </w:t>
      </w:r>
      <w:r>
        <w:rPr>
          <w:i/>
          <w:sz w:val="38"/>
        </w:rPr>
        <w:t>of</w:t>
      </w:r>
      <w:r>
        <w:rPr>
          <w:i/>
          <w:spacing w:val="-16"/>
          <w:sz w:val="38"/>
        </w:rPr>
        <w:t> </w:t>
      </w:r>
      <w:r>
        <w:rPr>
          <w:i/>
          <w:sz w:val="38"/>
        </w:rPr>
        <w:t>‘free</w:t>
      </w:r>
      <w:r>
        <w:rPr>
          <w:i/>
          <w:spacing w:val="-14"/>
          <w:sz w:val="38"/>
        </w:rPr>
        <w:t> </w:t>
      </w:r>
      <w:r>
        <w:rPr>
          <w:i/>
          <w:sz w:val="38"/>
        </w:rPr>
        <w:t>radicals’</w:t>
      </w:r>
      <w:r>
        <w:rPr>
          <w:i/>
          <w:spacing w:val="-14"/>
          <w:sz w:val="38"/>
        </w:rPr>
        <w:t> </w:t>
      </w:r>
      <w:r>
        <w:rPr>
          <w:i/>
          <w:sz w:val="38"/>
        </w:rPr>
        <w:t>over</w:t>
      </w:r>
      <w:r>
        <w:rPr>
          <w:i/>
          <w:spacing w:val="-15"/>
          <w:sz w:val="38"/>
        </w:rPr>
        <w:t> </w:t>
      </w:r>
      <w:r>
        <w:rPr>
          <w:i/>
          <w:sz w:val="38"/>
        </w:rPr>
        <w:t>the</w:t>
      </w:r>
      <w:r>
        <w:rPr>
          <w:i/>
          <w:spacing w:val="-16"/>
          <w:sz w:val="38"/>
        </w:rPr>
        <w:t> </w:t>
      </w:r>
      <w:r>
        <w:rPr>
          <w:i/>
          <w:sz w:val="38"/>
        </w:rPr>
        <w:t>last</w:t>
      </w:r>
      <w:r>
        <w:rPr>
          <w:i/>
          <w:spacing w:val="-13"/>
          <w:sz w:val="38"/>
        </w:rPr>
        <w:t> </w:t>
      </w:r>
      <w:r>
        <w:rPr>
          <w:i/>
          <w:sz w:val="38"/>
        </w:rPr>
        <w:t>15</w:t>
      </w:r>
      <w:r>
        <w:rPr>
          <w:i/>
          <w:spacing w:val="-17"/>
          <w:sz w:val="38"/>
        </w:rPr>
        <w:t> </w:t>
      </w:r>
      <w:r>
        <w:rPr>
          <w:i/>
          <w:sz w:val="38"/>
        </w:rPr>
        <w:t>years</w:t>
      </w:r>
      <w:r>
        <w:rPr>
          <w:i/>
          <w:spacing w:val="-14"/>
          <w:sz w:val="38"/>
        </w:rPr>
        <w:t> </w:t>
      </w:r>
      <w:r>
        <w:rPr>
          <w:i/>
          <w:sz w:val="38"/>
        </w:rPr>
        <w:t>has</w:t>
      </w:r>
      <w:r>
        <w:rPr>
          <w:i/>
          <w:spacing w:val="-15"/>
          <w:sz w:val="38"/>
        </w:rPr>
        <w:t> </w:t>
      </w:r>
      <w:r>
        <w:rPr>
          <w:i/>
          <w:sz w:val="38"/>
        </w:rPr>
        <w:t>enabled </w:t>
      </w:r>
      <w:r>
        <w:rPr>
          <w:i/>
          <w:sz w:val="38"/>
        </w:rPr>
        <w:t>us</w:t>
      </w:r>
      <w:r>
        <w:rPr>
          <w:i/>
          <w:spacing w:val="32"/>
          <w:sz w:val="38"/>
        </w:rPr>
        <w:t> </w:t>
      </w:r>
      <w:r>
        <w:rPr>
          <w:i/>
          <w:sz w:val="38"/>
        </w:rPr>
        <w:t>to</w:t>
      </w:r>
      <w:r>
        <w:rPr>
          <w:i/>
          <w:spacing w:val="31"/>
          <w:sz w:val="38"/>
        </w:rPr>
        <w:t> </w:t>
      </w:r>
      <w:r>
        <w:rPr>
          <w:i/>
          <w:sz w:val="38"/>
        </w:rPr>
        <w:t>determine,</w:t>
      </w:r>
      <w:r>
        <w:rPr>
          <w:i/>
          <w:spacing w:val="32"/>
          <w:sz w:val="38"/>
        </w:rPr>
        <w:t> </w:t>
      </w:r>
      <w:r>
        <w:rPr>
          <w:i/>
          <w:sz w:val="38"/>
        </w:rPr>
        <w:t>now</w:t>
      </w:r>
      <w:r>
        <w:rPr>
          <w:i/>
          <w:spacing w:val="31"/>
          <w:sz w:val="38"/>
        </w:rPr>
        <w:t> </w:t>
      </w:r>
      <w:r>
        <w:rPr>
          <w:i/>
          <w:sz w:val="38"/>
        </w:rPr>
        <w:t>in</w:t>
      </w:r>
      <w:r>
        <w:rPr>
          <w:i/>
          <w:spacing w:val="32"/>
          <w:sz w:val="38"/>
        </w:rPr>
        <w:t> </w:t>
      </w:r>
      <w:r>
        <w:rPr>
          <w:i/>
          <w:sz w:val="38"/>
        </w:rPr>
        <w:t>the</w:t>
      </w:r>
      <w:r>
        <w:rPr>
          <w:i/>
          <w:spacing w:val="33"/>
          <w:sz w:val="38"/>
        </w:rPr>
        <w:t> </w:t>
      </w:r>
      <w:r>
        <w:rPr>
          <w:i/>
          <w:sz w:val="38"/>
        </w:rPr>
        <w:t>year</w:t>
      </w:r>
      <w:r>
        <w:rPr>
          <w:i/>
          <w:spacing w:val="31"/>
          <w:sz w:val="38"/>
        </w:rPr>
        <w:t> </w:t>
      </w:r>
      <w:r>
        <w:rPr>
          <w:i/>
          <w:sz w:val="38"/>
        </w:rPr>
        <w:t>1992,</w:t>
      </w:r>
      <w:r>
        <w:rPr>
          <w:i/>
          <w:spacing w:val="39"/>
          <w:sz w:val="38"/>
        </w:rPr>
        <w:t> </w:t>
      </w:r>
      <w:r>
        <w:rPr>
          <w:i/>
          <w:sz w:val="38"/>
        </w:rPr>
        <w:t>that</w:t>
      </w:r>
      <w:r>
        <w:rPr>
          <w:i/>
          <w:spacing w:val="32"/>
          <w:sz w:val="38"/>
        </w:rPr>
        <w:t> </w:t>
      </w:r>
      <w:r>
        <w:rPr>
          <w:i/>
          <w:sz w:val="38"/>
        </w:rPr>
        <w:t>antioxidative</w:t>
      </w:r>
      <w:r>
        <w:rPr>
          <w:i/>
          <w:spacing w:val="33"/>
          <w:sz w:val="38"/>
        </w:rPr>
        <w:t> </w:t>
      </w:r>
      <w:r>
        <w:rPr>
          <w:i/>
          <w:sz w:val="38"/>
        </w:rPr>
        <w:t>micronutrients</w:t>
      </w:r>
      <w:r>
        <w:rPr>
          <w:i/>
          <w:spacing w:val="30"/>
          <w:sz w:val="38"/>
        </w:rPr>
        <w:t> </w:t>
      </w:r>
      <w:r>
        <w:rPr>
          <w:i/>
          <w:sz w:val="38"/>
        </w:rPr>
        <w:t>can</w:t>
      </w:r>
      <w:r>
        <w:rPr>
          <w:i/>
          <w:spacing w:val="34"/>
          <w:sz w:val="38"/>
        </w:rPr>
        <w:t> </w:t>
      </w:r>
      <w:r>
        <w:rPr>
          <w:i/>
          <w:sz w:val="38"/>
        </w:rPr>
        <w:t>be</w:t>
      </w:r>
      <w:r>
        <w:rPr>
          <w:i/>
          <w:spacing w:val="30"/>
          <w:sz w:val="38"/>
        </w:rPr>
        <w:t> </w:t>
      </w:r>
      <w:r>
        <w:rPr>
          <w:i/>
          <w:sz w:val="38"/>
        </w:rPr>
        <w:t>attributed</w:t>
      </w:r>
    </w:p>
    <w:p>
      <w:pPr>
        <w:spacing w:after="0" w:line="276" w:lineRule="auto"/>
        <w:jc w:val="both"/>
        <w:rPr>
          <w:sz w:val="38"/>
        </w:rPr>
        <w:sectPr>
          <w:pgSz w:w="14270" w:h="16850"/>
          <w:pgMar w:header="0" w:footer="1891" w:top="1340" w:bottom="2080" w:left="800" w:right="1280"/>
        </w:sectPr>
      </w:pPr>
    </w:p>
    <w:p>
      <w:pPr>
        <w:spacing w:line="276" w:lineRule="auto" w:before="72"/>
        <w:ind w:left="332" w:right="141" w:firstLine="0"/>
        <w:jc w:val="both"/>
        <w:rPr>
          <w:i/>
          <w:sz w:val="38"/>
        </w:rPr>
      </w:pPr>
      <w:r>
        <w:rPr>
          <w:i/>
          <w:sz w:val="38"/>
        </w:rPr>
        <w:t>significant importance in the prevention various diseases. These diseases include serious condi- </w:t>
      </w:r>
      <w:r>
        <w:rPr>
          <w:i/>
          <w:sz w:val="38"/>
        </w:rPr>
        <w:t>tions such as cardiovascular diseases, cerebrovascular defects, different types of cancer and other diseases which are more common with advanced years.</w:t>
      </w:r>
    </w:p>
    <w:p>
      <w:pPr>
        <w:pStyle w:val="ListParagraph"/>
        <w:numPr>
          <w:ilvl w:val="0"/>
          <w:numId w:val="130"/>
        </w:numPr>
        <w:tabs>
          <w:tab w:pos="707" w:val="left" w:leader="none"/>
        </w:tabs>
        <w:spacing w:line="276" w:lineRule="auto" w:before="241" w:after="0"/>
        <w:ind w:left="332" w:right="133" w:firstLine="0"/>
        <w:jc w:val="both"/>
        <w:rPr>
          <w:i/>
          <w:sz w:val="38"/>
        </w:rPr>
      </w:pPr>
      <w:r>
        <w:rPr>
          <w:i/>
          <w:sz w:val="38"/>
        </w:rPr>
        <w:t>There is a general concurrence today that more research is required both at a fundamental </w:t>
      </w:r>
      <w:r>
        <w:rPr>
          <w:i/>
          <w:sz w:val="38"/>
        </w:rPr>
        <w:t>research level and in large-scale epidemiological studies as well in clinical medicine in order to make more comprehensive information</w:t>
      </w:r>
      <w:r>
        <w:rPr>
          <w:i/>
          <w:spacing w:val="-2"/>
          <w:sz w:val="38"/>
        </w:rPr>
        <w:t> </w:t>
      </w:r>
      <w:r>
        <w:rPr>
          <w:i/>
          <w:sz w:val="38"/>
        </w:rPr>
        <w:t>available.</w:t>
      </w:r>
    </w:p>
    <w:p>
      <w:pPr>
        <w:pStyle w:val="ListParagraph"/>
        <w:numPr>
          <w:ilvl w:val="0"/>
          <w:numId w:val="130"/>
        </w:numPr>
        <w:tabs>
          <w:tab w:pos="691" w:val="left" w:leader="none"/>
        </w:tabs>
        <w:spacing w:line="276" w:lineRule="auto" w:before="242" w:after="0"/>
        <w:ind w:left="332" w:right="138" w:firstLine="0"/>
        <w:jc w:val="both"/>
        <w:rPr>
          <w:i/>
          <w:sz w:val="38"/>
        </w:rPr>
      </w:pPr>
      <w:r>
        <w:rPr>
          <w:i/>
          <w:sz w:val="38"/>
        </w:rPr>
        <w:t>A significant aim of these efforts is the prevention of diseases. The aim can be achieved with </w:t>
      </w:r>
      <w:r>
        <w:rPr>
          <w:i/>
          <w:sz w:val="38"/>
        </w:rPr>
        <w:t>the use of antioxidants which occur in nature and have physiological importance. It should be the guiding principle of the preventative medical approach to ensure an optimal supply of these antioxidative</w:t>
      </w:r>
      <w:r>
        <w:rPr>
          <w:i/>
          <w:spacing w:val="-1"/>
          <w:sz w:val="38"/>
        </w:rPr>
        <w:t> </w:t>
      </w:r>
      <w:r>
        <w:rPr>
          <w:i/>
          <w:sz w:val="38"/>
        </w:rPr>
        <w:t>micronutrients.</w:t>
      </w:r>
    </w:p>
    <w:p>
      <w:pPr>
        <w:pStyle w:val="ListParagraph"/>
        <w:numPr>
          <w:ilvl w:val="0"/>
          <w:numId w:val="130"/>
        </w:numPr>
        <w:tabs>
          <w:tab w:pos="669" w:val="left" w:leader="none"/>
        </w:tabs>
        <w:spacing w:line="266" w:lineRule="auto" w:before="239" w:after="0"/>
        <w:ind w:left="332" w:right="136" w:firstLine="0"/>
        <w:jc w:val="both"/>
        <w:rPr>
          <w:sz w:val="38"/>
        </w:rPr>
      </w:pPr>
      <w:r>
        <w:rPr>
          <w:i/>
          <w:sz w:val="38"/>
        </w:rPr>
        <w:t>Air</w:t>
      </w:r>
      <w:r>
        <w:rPr>
          <w:i/>
          <w:spacing w:val="-25"/>
          <w:sz w:val="38"/>
        </w:rPr>
        <w:t> </w:t>
      </w:r>
      <w:r>
        <w:rPr>
          <w:i/>
          <w:sz w:val="38"/>
        </w:rPr>
        <w:t>pollutants</w:t>
      </w:r>
      <w:r>
        <w:rPr>
          <w:i/>
          <w:spacing w:val="-25"/>
          <w:sz w:val="38"/>
        </w:rPr>
        <w:t> </w:t>
      </w:r>
      <w:r>
        <w:rPr>
          <w:i/>
          <w:sz w:val="38"/>
        </w:rPr>
        <w:t>such</w:t>
      </w:r>
      <w:r>
        <w:rPr>
          <w:i/>
          <w:spacing w:val="-24"/>
          <w:sz w:val="38"/>
        </w:rPr>
        <w:t> </w:t>
      </w:r>
      <w:r>
        <w:rPr>
          <w:i/>
          <w:sz w:val="38"/>
        </w:rPr>
        <w:t>as</w:t>
      </w:r>
      <w:r>
        <w:rPr>
          <w:i/>
          <w:spacing w:val="-25"/>
          <w:sz w:val="38"/>
        </w:rPr>
        <w:t> </w:t>
      </w:r>
      <w:r>
        <w:rPr>
          <w:i/>
          <w:sz w:val="38"/>
        </w:rPr>
        <w:t>smog,</w:t>
      </w:r>
      <w:r>
        <w:rPr>
          <w:i/>
          <w:spacing w:val="-24"/>
          <w:sz w:val="38"/>
        </w:rPr>
        <w:t> </w:t>
      </w:r>
      <w:r>
        <w:rPr>
          <w:i/>
          <w:sz w:val="38"/>
        </w:rPr>
        <w:t>ozone,</w:t>
      </w:r>
      <w:r>
        <w:rPr>
          <w:i/>
          <w:spacing w:val="-28"/>
          <w:sz w:val="38"/>
        </w:rPr>
        <w:t> </w:t>
      </w:r>
      <w:r>
        <w:rPr>
          <w:i/>
          <w:sz w:val="38"/>
        </w:rPr>
        <w:t>dust</w:t>
      </w:r>
      <w:r>
        <w:rPr>
          <w:i/>
          <w:spacing w:val="-24"/>
          <w:sz w:val="38"/>
        </w:rPr>
        <w:t> </w:t>
      </w:r>
      <w:r>
        <w:rPr>
          <w:i/>
          <w:sz w:val="38"/>
        </w:rPr>
        <w:t>etc.</w:t>
      </w:r>
      <w:r>
        <w:rPr>
          <w:i/>
          <w:spacing w:val="-27"/>
          <w:sz w:val="38"/>
        </w:rPr>
        <w:t> </w:t>
      </w:r>
      <w:r>
        <w:rPr>
          <w:i/>
          <w:sz w:val="38"/>
        </w:rPr>
        <w:t>as</w:t>
      </w:r>
      <w:r>
        <w:rPr>
          <w:i/>
          <w:spacing w:val="-25"/>
          <w:sz w:val="38"/>
        </w:rPr>
        <w:t> </w:t>
      </w:r>
      <w:r>
        <w:rPr>
          <w:i/>
          <w:sz w:val="38"/>
        </w:rPr>
        <w:t>well</w:t>
      </w:r>
      <w:r>
        <w:rPr>
          <w:i/>
          <w:spacing w:val="-24"/>
          <w:sz w:val="38"/>
        </w:rPr>
        <w:t> </w:t>
      </w:r>
      <w:r>
        <w:rPr>
          <w:i/>
          <w:sz w:val="38"/>
        </w:rPr>
        <w:t>as</w:t>
      </w:r>
      <w:r>
        <w:rPr>
          <w:i/>
          <w:spacing w:val="-26"/>
          <w:sz w:val="38"/>
        </w:rPr>
        <w:t> </w:t>
      </w:r>
      <w:r>
        <w:rPr>
          <w:i/>
          <w:sz w:val="38"/>
        </w:rPr>
        <w:t>sunlight</w:t>
      </w:r>
      <w:r>
        <w:rPr>
          <w:i/>
          <w:spacing w:val="-24"/>
          <w:sz w:val="38"/>
        </w:rPr>
        <w:t> </w:t>
      </w:r>
      <w:r>
        <w:rPr>
          <w:i/>
          <w:sz w:val="38"/>
        </w:rPr>
        <w:t>and</w:t>
      </w:r>
      <w:r>
        <w:rPr>
          <w:i/>
          <w:spacing w:val="-24"/>
          <w:sz w:val="38"/>
        </w:rPr>
        <w:t> </w:t>
      </w:r>
      <w:r>
        <w:rPr>
          <w:i/>
          <w:sz w:val="38"/>
        </w:rPr>
        <w:t>other</w:t>
      </w:r>
      <w:r>
        <w:rPr>
          <w:i/>
          <w:spacing w:val="-24"/>
          <w:sz w:val="38"/>
        </w:rPr>
        <w:t> </w:t>
      </w:r>
      <w:r>
        <w:rPr>
          <w:i/>
          <w:sz w:val="38"/>
        </w:rPr>
        <w:t>sources</w:t>
      </w:r>
      <w:r>
        <w:rPr>
          <w:i/>
          <w:spacing w:val="-25"/>
          <w:sz w:val="38"/>
        </w:rPr>
        <w:t> </w:t>
      </w:r>
      <w:r>
        <w:rPr>
          <w:i/>
          <w:sz w:val="38"/>
        </w:rPr>
        <w:t>of</w:t>
      </w:r>
      <w:r>
        <w:rPr>
          <w:i/>
          <w:spacing w:val="-23"/>
          <w:sz w:val="38"/>
        </w:rPr>
        <w:t> </w:t>
      </w:r>
      <w:r>
        <w:rPr>
          <w:i/>
          <w:sz w:val="38"/>
        </w:rPr>
        <w:t>radiation </w:t>
      </w:r>
      <w:r>
        <w:rPr>
          <w:i/>
          <w:sz w:val="38"/>
        </w:rPr>
        <w:t>are known to be environmental toxins. </w:t>
      </w:r>
      <w:r>
        <w:rPr>
          <w:b/>
          <w:i/>
          <w:sz w:val="40"/>
        </w:rPr>
        <w:t>An optimum supply of nutritive antioxi- dants </w:t>
      </w:r>
      <w:r>
        <w:rPr>
          <w:sz w:val="38"/>
        </w:rPr>
        <w:t>makes an important contribution to preventative protection against their harmful</w:t>
      </w:r>
      <w:r>
        <w:rPr>
          <w:spacing w:val="-2"/>
          <w:sz w:val="38"/>
        </w:rPr>
        <w:t> </w:t>
      </w:r>
      <w:r>
        <w:rPr>
          <w:sz w:val="38"/>
        </w:rPr>
        <w:t>effects.</w:t>
      </w:r>
    </w:p>
    <w:p>
      <w:pPr>
        <w:pStyle w:val="ListParagraph"/>
        <w:numPr>
          <w:ilvl w:val="0"/>
          <w:numId w:val="130"/>
        </w:numPr>
        <w:tabs>
          <w:tab w:pos="707" w:val="left" w:leader="none"/>
        </w:tabs>
        <w:spacing w:line="276" w:lineRule="auto" w:before="260" w:after="0"/>
        <w:ind w:left="332" w:right="135" w:firstLine="0"/>
        <w:jc w:val="both"/>
        <w:rPr>
          <w:i/>
          <w:sz w:val="38"/>
        </w:rPr>
      </w:pPr>
      <w:r>
        <w:rPr>
          <w:i/>
          <w:sz w:val="38"/>
        </w:rPr>
        <w:t>The preventative benefits of consuming antioxidative micronutrients should be more rigidly </w:t>
      </w:r>
      <w:r>
        <w:rPr>
          <w:i/>
          <w:sz w:val="38"/>
        </w:rPr>
        <w:t>anchored in the public consciousness. There are irrefutable confirmations of the safe use of</w:t>
      </w:r>
      <w:r>
        <w:rPr>
          <w:i/>
          <w:spacing w:val="-60"/>
          <w:sz w:val="38"/>
        </w:rPr>
        <w:t> </w:t>
      </w:r>
      <w:r>
        <w:rPr>
          <w:i/>
          <w:sz w:val="38"/>
        </w:rPr>
        <w:t>anti- oxidative</w:t>
      </w:r>
      <w:r>
        <w:rPr>
          <w:i/>
          <w:spacing w:val="-8"/>
          <w:sz w:val="38"/>
        </w:rPr>
        <w:t> </w:t>
      </w:r>
      <w:r>
        <w:rPr>
          <w:i/>
          <w:sz w:val="38"/>
        </w:rPr>
        <w:t>micronutrients</w:t>
      </w:r>
      <w:r>
        <w:rPr>
          <w:i/>
          <w:spacing w:val="-7"/>
          <w:sz w:val="38"/>
        </w:rPr>
        <w:t> </w:t>
      </w:r>
      <w:r>
        <w:rPr>
          <w:i/>
          <w:sz w:val="38"/>
        </w:rPr>
        <w:t>such</w:t>
      </w:r>
      <w:r>
        <w:rPr>
          <w:i/>
          <w:spacing w:val="-7"/>
          <w:sz w:val="38"/>
        </w:rPr>
        <w:t> </w:t>
      </w:r>
      <w:r>
        <w:rPr>
          <w:i/>
          <w:sz w:val="38"/>
        </w:rPr>
        <w:t>as</w:t>
      </w:r>
      <w:r>
        <w:rPr>
          <w:i/>
          <w:spacing w:val="-8"/>
          <w:sz w:val="38"/>
        </w:rPr>
        <w:t> </w:t>
      </w:r>
      <w:r>
        <w:rPr>
          <w:i/>
          <w:sz w:val="38"/>
        </w:rPr>
        <w:t>vitamin</w:t>
      </w:r>
      <w:r>
        <w:rPr>
          <w:i/>
          <w:spacing w:val="-7"/>
          <w:sz w:val="38"/>
        </w:rPr>
        <w:t> </w:t>
      </w:r>
      <w:r>
        <w:rPr>
          <w:i/>
          <w:sz w:val="38"/>
        </w:rPr>
        <w:t>E,</w:t>
      </w:r>
      <w:r>
        <w:rPr>
          <w:i/>
          <w:spacing w:val="-6"/>
          <w:sz w:val="38"/>
        </w:rPr>
        <w:t> </w:t>
      </w:r>
      <w:r>
        <w:rPr>
          <w:i/>
          <w:sz w:val="38"/>
        </w:rPr>
        <w:t>vitamin</w:t>
      </w:r>
      <w:r>
        <w:rPr>
          <w:i/>
          <w:spacing w:val="-7"/>
          <w:sz w:val="38"/>
        </w:rPr>
        <w:t> </w:t>
      </w:r>
      <w:r>
        <w:rPr>
          <w:i/>
          <w:sz w:val="38"/>
        </w:rPr>
        <w:t>C,</w:t>
      </w:r>
      <w:r>
        <w:rPr>
          <w:i/>
          <w:spacing w:val="-6"/>
          <w:sz w:val="38"/>
        </w:rPr>
        <w:t> </w:t>
      </w:r>
      <w:r>
        <w:rPr>
          <w:i/>
          <w:sz w:val="38"/>
        </w:rPr>
        <w:t>carotinoide,</w:t>
      </w:r>
      <w:r>
        <w:rPr>
          <w:i/>
          <w:spacing w:val="-6"/>
          <w:sz w:val="38"/>
        </w:rPr>
        <w:t> </w:t>
      </w:r>
      <w:r>
        <w:rPr>
          <w:i/>
          <w:sz w:val="38"/>
        </w:rPr>
        <w:t>alpha-lipoic</w:t>
      </w:r>
      <w:r>
        <w:rPr>
          <w:i/>
          <w:spacing w:val="-7"/>
          <w:sz w:val="38"/>
        </w:rPr>
        <w:t> </w:t>
      </w:r>
      <w:r>
        <w:rPr>
          <w:i/>
          <w:sz w:val="38"/>
        </w:rPr>
        <w:t>acid</w:t>
      </w:r>
      <w:r>
        <w:rPr>
          <w:i/>
          <w:spacing w:val="-8"/>
          <w:sz w:val="38"/>
        </w:rPr>
        <w:t> </w:t>
      </w:r>
      <w:r>
        <w:rPr>
          <w:i/>
          <w:sz w:val="38"/>
        </w:rPr>
        <w:t>and</w:t>
      </w:r>
      <w:r>
        <w:rPr>
          <w:i/>
          <w:spacing w:val="-7"/>
          <w:sz w:val="38"/>
        </w:rPr>
        <w:t> </w:t>
      </w:r>
      <w:r>
        <w:rPr>
          <w:i/>
          <w:sz w:val="38"/>
        </w:rPr>
        <w:t>oth- ers, even when administered in very high</w:t>
      </w:r>
      <w:r>
        <w:rPr>
          <w:i/>
          <w:spacing w:val="5"/>
          <w:sz w:val="38"/>
        </w:rPr>
        <w:t> </w:t>
      </w:r>
      <w:r>
        <w:rPr>
          <w:i/>
          <w:sz w:val="38"/>
        </w:rPr>
        <w:t>doses.</w:t>
      </w:r>
    </w:p>
    <w:p>
      <w:pPr>
        <w:pStyle w:val="ListParagraph"/>
        <w:numPr>
          <w:ilvl w:val="0"/>
          <w:numId w:val="130"/>
        </w:numPr>
        <w:tabs>
          <w:tab w:pos="724" w:val="left" w:leader="none"/>
        </w:tabs>
        <w:spacing w:line="276" w:lineRule="auto" w:before="239" w:after="0"/>
        <w:ind w:left="332" w:right="134" w:firstLine="0"/>
        <w:jc w:val="both"/>
        <w:rPr>
          <w:i/>
          <w:sz w:val="38"/>
        </w:rPr>
      </w:pPr>
      <w:r>
        <w:rPr>
          <w:i/>
          <w:sz w:val="38"/>
        </w:rPr>
        <w:t>There is now a deep consensus that government bodies, those associated with the medical </w:t>
      </w:r>
      <w:r>
        <w:rPr>
          <w:i/>
          <w:sz w:val="38"/>
        </w:rPr>
        <w:t>profession</w:t>
      </w:r>
      <w:r>
        <w:rPr>
          <w:i/>
          <w:spacing w:val="-7"/>
          <w:sz w:val="38"/>
        </w:rPr>
        <w:t> </w:t>
      </w:r>
      <w:r>
        <w:rPr>
          <w:i/>
          <w:sz w:val="38"/>
        </w:rPr>
        <w:t>and</w:t>
      </w:r>
      <w:r>
        <w:rPr>
          <w:i/>
          <w:spacing w:val="-7"/>
          <w:sz w:val="38"/>
        </w:rPr>
        <w:t> </w:t>
      </w:r>
      <w:r>
        <w:rPr>
          <w:i/>
          <w:sz w:val="38"/>
        </w:rPr>
        <w:t>the</w:t>
      </w:r>
      <w:r>
        <w:rPr>
          <w:i/>
          <w:spacing w:val="-9"/>
          <w:sz w:val="38"/>
        </w:rPr>
        <w:t> </w:t>
      </w:r>
      <w:r>
        <w:rPr>
          <w:i/>
          <w:sz w:val="38"/>
        </w:rPr>
        <w:t>media</w:t>
      </w:r>
      <w:r>
        <w:rPr>
          <w:i/>
          <w:spacing w:val="-8"/>
          <w:sz w:val="38"/>
        </w:rPr>
        <w:t> </w:t>
      </w:r>
      <w:r>
        <w:rPr>
          <w:i/>
          <w:sz w:val="38"/>
        </w:rPr>
        <w:t>should</w:t>
      </w:r>
      <w:r>
        <w:rPr>
          <w:i/>
          <w:spacing w:val="-7"/>
          <w:sz w:val="38"/>
        </w:rPr>
        <w:t> </w:t>
      </w:r>
      <w:r>
        <w:rPr>
          <w:i/>
          <w:sz w:val="38"/>
        </w:rPr>
        <w:t>play</w:t>
      </w:r>
      <w:r>
        <w:rPr>
          <w:i/>
          <w:spacing w:val="-6"/>
          <w:sz w:val="38"/>
        </w:rPr>
        <w:t> </w:t>
      </w:r>
      <w:r>
        <w:rPr>
          <w:i/>
          <w:sz w:val="38"/>
        </w:rPr>
        <w:t>an</w:t>
      </w:r>
      <w:r>
        <w:rPr>
          <w:i/>
          <w:spacing w:val="-7"/>
          <w:sz w:val="38"/>
        </w:rPr>
        <w:t> </w:t>
      </w:r>
      <w:r>
        <w:rPr>
          <w:i/>
          <w:sz w:val="38"/>
        </w:rPr>
        <w:t>active</w:t>
      </w:r>
      <w:r>
        <w:rPr>
          <w:i/>
          <w:spacing w:val="-7"/>
          <w:sz w:val="38"/>
        </w:rPr>
        <w:t> </w:t>
      </w:r>
      <w:r>
        <w:rPr>
          <w:i/>
          <w:sz w:val="38"/>
        </w:rPr>
        <w:t>role</w:t>
      </w:r>
      <w:r>
        <w:rPr>
          <w:i/>
          <w:spacing w:val="-7"/>
          <w:sz w:val="38"/>
        </w:rPr>
        <w:t> </w:t>
      </w:r>
      <w:r>
        <w:rPr>
          <w:i/>
          <w:sz w:val="38"/>
        </w:rPr>
        <w:t>in</w:t>
      </w:r>
      <w:r>
        <w:rPr>
          <w:i/>
          <w:spacing w:val="-7"/>
          <w:sz w:val="38"/>
        </w:rPr>
        <w:t> </w:t>
      </w:r>
      <w:r>
        <w:rPr>
          <w:i/>
          <w:sz w:val="38"/>
        </w:rPr>
        <w:t>spreading</w:t>
      </w:r>
      <w:r>
        <w:rPr>
          <w:i/>
          <w:spacing w:val="-7"/>
          <w:sz w:val="38"/>
        </w:rPr>
        <w:t> </w:t>
      </w:r>
      <w:r>
        <w:rPr>
          <w:i/>
          <w:sz w:val="38"/>
        </w:rPr>
        <w:t>the</w:t>
      </w:r>
      <w:r>
        <w:rPr>
          <w:i/>
          <w:spacing w:val="-7"/>
          <w:sz w:val="38"/>
        </w:rPr>
        <w:t> </w:t>
      </w:r>
      <w:r>
        <w:rPr>
          <w:i/>
          <w:sz w:val="38"/>
        </w:rPr>
        <w:t>concept</w:t>
      </w:r>
      <w:r>
        <w:rPr>
          <w:i/>
          <w:spacing w:val="-6"/>
          <w:sz w:val="38"/>
        </w:rPr>
        <w:t> </w:t>
      </w:r>
      <w:r>
        <w:rPr>
          <w:i/>
          <w:sz w:val="38"/>
        </w:rPr>
        <w:t>of</w:t>
      </w:r>
      <w:r>
        <w:rPr>
          <w:i/>
          <w:spacing w:val="-6"/>
          <w:sz w:val="38"/>
        </w:rPr>
        <w:t> </w:t>
      </w:r>
      <w:r>
        <w:rPr>
          <w:i/>
          <w:sz w:val="38"/>
        </w:rPr>
        <w:t>prevention</w:t>
      </w:r>
      <w:r>
        <w:rPr>
          <w:i/>
          <w:spacing w:val="-6"/>
          <w:sz w:val="38"/>
        </w:rPr>
        <w:t> </w:t>
      </w:r>
      <w:r>
        <w:rPr>
          <w:i/>
          <w:sz w:val="38"/>
        </w:rPr>
        <w:t>to</w:t>
      </w:r>
      <w:r>
        <w:rPr>
          <w:i/>
          <w:spacing w:val="-9"/>
          <w:sz w:val="38"/>
        </w:rPr>
        <w:t> </w:t>
      </w:r>
      <w:r>
        <w:rPr>
          <w:i/>
          <w:sz w:val="38"/>
        </w:rPr>
        <w:t>the wider public, in particular given the background of the great health benefits and the dramatic cost explosion in the healthcare</w:t>
      </w:r>
      <w:r>
        <w:rPr>
          <w:i/>
          <w:spacing w:val="2"/>
          <w:sz w:val="38"/>
        </w:rPr>
        <w:t> </w:t>
      </w:r>
      <w:r>
        <w:rPr>
          <w:i/>
          <w:sz w:val="38"/>
        </w:rPr>
        <w:t>sector.</w:t>
      </w:r>
    </w:p>
    <w:p>
      <w:pPr>
        <w:spacing w:after="0" w:line="276" w:lineRule="auto"/>
        <w:jc w:val="both"/>
        <w:rPr>
          <w:sz w:val="38"/>
        </w:rPr>
        <w:sectPr>
          <w:pgSz w:w="14270" w:h="16850"/>
          <w:pgMar w:header="0" w:footer="1891" w:top="1340" w:bottom="2080" w:left="800" w:right="1280"/>
        </w:sectPr>
      </w:pPr>
    </w:p>
    <w:p>
      <w:pPr>
        <w:spacing w:before="74"/>
        <w:ind w:left="332" w:right="0" w:firstLine="0"/>
        <w:jc w:val="left"/>
        <w:rPr>
          <w:i/>
          <w:sz w:val="38"/>
        </w:rPr>
      </w:pPr>
      <w:r>
        <w:rPr>
          <w:i/>
          <w:sz w:val="38"/>
        </w:rPr>
        <w:t>Saas Fee (Switzerland), 15th June 1992</w:t>
      </w:r>
    </w:p>
    <w:p>
      <w:pPr>
        <w:pStyle w:val="Heading2"/>
        <w:spacing w:before="305"/>
        <w:ind w:left="332"/>
      </w:pPr>
      <w:r>
        <w:rPr/>
        <w:t>signed, among others, by these renowned doctors and scientists:</w:t>
      </w:r>
    </w:p>
    <w:p>
      <w:pPr>
        <w:pStyle w:val="BodyText"/>
        <w:spacing w:line="276" w:lineRule="auto" w:before="302"/>
        <w:ind w:left="976" w:right="6495"/>
      </w:pPr>
      <w:r>
        <w:rPr/>
        <w:t>Prof. Dr. I. Afanas (Moscow) Prof. Dr. J. E. Buring (Harvard)</w:t>
      </w:r>
    </w:p>
    <w:p>
      <w:pPr>
        <w:pStyle w:val="BodyText"/>
        <w:spacing w:line="276" w:lineRule="auto" w:before="1"/>
        <w:ind w:left="976" w:right="5078"/>
      </w:pPr>
      <w:r>
        <w:rPr/>
        <w:t>Prof. Dr. Dr. A. T. Diplock (London) Prof. Dr. Dr. C. H. Hennekens (Harvard) PD Dr. B. Kuklinski (Rostock)</w:t>
      </w:r>
    </w:p>
    <w:p>
      <w:pPr>
        <w:pStyle w:val="BodyText"/>
        <w:spacing w:line="276" w:lineRule="auto"/>
        <w:ind w:left="976" w:right="6810"/>
      </w:pPr>
      <w:r>
        <w:rPr/>
        <w:t>Dr. M. Maiorino (Padua) Prof. Dr. L. Packer</w:t>
      </w:r>
      <w:r>
        <w:rPr>
          <w:spacing w:val="-9"/>
        </w:rPr>
        <w:t> </w:t>
      </w:r>
      <w:r>
        <w:rPr/>
        <w:t>(Berkeley)</w:t>
      </w:r>
    </w:p>
    <w:p>
      <w:pPr>
        <w:pStyle w:val="BodyText"/>
        <w:ind w:left="976"/>
      </w:pPr>
      <w:r>
        <w:rPr/>
        <w:t>Prof. Dr. M. S. Patel (Cleveland)</w:t>
      </w:r>
    </w:p>
    <w:p>
      <w:pPr>
        <w:pStyle w:val="BodyText"/>
        <w:spacing w:before="64"/>
        <w:ind w:left="976"/>
      </w:pPr>
      <w:r>
        <w:rPr/>
        <w:t>Prof. Dr. Dr. K. H. Schmidt (Tübingen)</w:t>
      </w:r>
    </w:p>
    <w:p>
      <w:pPr>
        <w:pStyle w:val="BodyText"/>
        <w:rPr>
          <w:sz w:val="42"/>
        </w:rPr>
      </w:pPr>
    </w:p>
    <w:p>
      <w:pPr>
        <w:pStyle w:val="BodyText"/>
        <w:spacing w:before="7"/>
        <w:rPr>
          <w:sz w:val="48"/>
        </w:rPr>
      </w:pPr>
    </w:p>
    <w:p>
      <w:pPr>
        <w:pStyle w:val="Heading1"/>
        <w:spacing w:before="0"/>
        <w:ind w:left="616"/>
      </w:pPr>
      <w:r>
        <w:rPr/>
        <w:t>The genetic defect of modern</w:t>
      </w:r>
      <w:r>
        <w:rPr>
          <w:spacing w:val="-52"/>
        </w:rPr>
        <w:t> </w:t>
      </w:r>
      <w:r>
        <w:rPr/>
        <w:t>humans</w:t>
      </w:r>
    </w:p>
    <w:p>
      <w:pPr>
        <w:pStyle w:val="BodyText"/>
        <w:spacing w:line="276" w:lineRule="auto" w:before="297"/>
        <w:ind w:left="616" w:right="133"/>
        <w:jc w:val="both"/>
      </w:pPr>
      <w:r>
        <w:rPr/>
        <w:t>While plants and most animals (with the exception of primates, guinea pigs, domestic pigs and bats) can create vitamin C themselves, humans carry a ge- netic defect which, in contrast to most other living beings, manifests itself as an inability of our organism to create vitamin C itself. This ability to develop vitamin C from blood sugar was lost in us over 25 million years ago.</w:t>
      </w:r>
      <w:r>
        <w:rPr>
          <w:spacing w:val="-67"/>
        </w:rPr>
        <w:t> </w:t>
      </w:r>
      <w:r>
        <w:rPr/>
        <w:t>Scientists assume that our body would create between 2000 and 20,000 mg</w:t>
      </w:r>
      <w:r>
        <w:rPr>
          <w:spacing w:val="-69"/>
        </w:rPr>
        <w:t> </w:t>
      </w:r>
      <w:r>
        <w:rPr/>
        <w:t>of vitamin C each day if it still could.</w:t>
      </w:r>
    </w:p>
    <w:p>
      <w:pPr>
        <w:spacing w:after="0" w:line="276" w:lineRule="auto"/>
        <w:jc w:val="both"/>
        <w:sectPr>
          <w:pgSz w:w="14270" w:h="16850"/>
          <w:pgMar w:header="0" w:footer="1891" w:top="1340" w:bottom="2080" w:left="800" w:right="1280"/>
        </w:sectPr>
      </w:pPr>
    </w:p>
    <w:p>
      <w:pPr>
        <w:pStyle w:val="Heading2"/>
        <w:spacing w:line="276" w:lineRule="auto" w:before="74"/>
        <w:ind w:left="616" w:right="143"/>
        <w:jc w:val="both"/>
      </w:pPr>
      <w:r>
        <w:rPr/>
        <w:t>What</w:t>
      </w:r>
      <w:r>
        <w:rPr>
          <w:spacing w:val="-22"/>
        </w:rPr>
        <w:t> </w:t>
      </w:r>
      <w:r>
        <w:rPr/>
        <w:t>does</w:t>
      </w:r>
      <w:r>
        <w:rPr>
          <w:spacing w:val="-21"/>
        </w:rPr>
        <w:t> </w:t>
      </w:r>
      <w:r>
        <w:rPr/>
        <w:t>this</w:t>
      </w:r>
      <w:r>
        <w:rPr>
          <w:spacing w:val="-20"/>
        </w:rPr>
        <w:t> </w:t>
      </w:r>
      <w:r>
        <w:rPr/>
        <w:t>vitamin</w:t>
      </w:r>
      <w:r>
        <w:rPr>
          <w:spacing w:val="-22"/>
        </w:rPr>
        <w:t> </w:t>
      </w:r>
      <w:r>
        <w:rPr/>
        <w:t>C</w:t>
      </w:r>
      <w:r>
        <w:rPr>
          <w:spacing w:val="-22"/>
        </w:rPr>
        <w:t> </w:t>
      </w:r>
      <w:r>
        <w:rPr/>
        <w:t>deficiency</w:t>
      </w:r>
      <w:r>
        <w:rPr>
          <w:spacing w:val="-22"/>
        </w:rPr>
        <w:t> </w:t>
      </w:r>
      <w:r>
        <w:rPr/>
        <w:t>mean?</w:t>
      </w:r>
      <w:r>
        <w:rPr>
          <w:spacing w:val="-22"/>
        </w:rPr>
        <w:t> </w:t>
      </w:r>
      <w:r>
        <w:rPr/>
        <w:t>What</w:t>
      </w:r>
      <w:r>
        <w:rPr>
          <w:spacing w:val="-22"/>
        </w:rPr>
        <w:t> </w:t>
      </w:r>
      <w:r>
        <w:rPr/>
        <w:t>advantages</w:t>
      </w:r>
      <w:r>
        <w:rPr>
          <w:spacing w:val="-20"/>
        </w:rPr>
        <w:t> </w:t>
      </w:r>
      <w:r>
        <w:rPr/>
        <w:t>do</w:t>
      </w:r>
      <w:r>
        <w:rPr>
          <w:spacing w:val="-23"/>
        </w:rPr>
        <w:t> </w:t>
      </w:r>
      <w:r>
        <w:rPr/>
        <w:t>the</w:t>
      </w:r>
      <w:r>
        <w:rPr>
          <w:spacing w:val="-22"/>
        </w:rPr>
        <w:t> </w:t>
      </w:r>
      <w:r>
        <w:rPr/>
        <w:t>pro- vision of sufficient vitamin C</w:t>
      </w:r>
      <w:r>
        <w:rPr>
          <w:spacing w:val="-5"/>
        </w:rPr>
        <w:t> </w:t>
      </w:r>
      <w:r>
        <w:rPr/>
        <w:t>offer?</w:t>
      </w:r>
    </w:p>
    <w:p>
      <w:pPr>
        <w:pStyle w:val="BodyText"/>
        <w:spacing w:line="276" w:lineRule="auto" w:before="239"/>
        <w:ind w:left="616" w:right="135"/>
        <w:jc w:val="both"/>
      </w:pPr>
      <w:r>
        <w:rPr/>
        <w:t>Vitamin C is involved as a co-factor in almost all life-sustaining processes, functional processes and chemical reactions. It protects us from free radicals and activates and regulates the body’s own defence.</w:t>
      </w:r>
    </w:p>
    <w:p>
      <w:pPr>
        <w:pStyle w:val="BodyText"/>
        <w:spacing w:line="276" w:lineRule="auto" w:before="241"/>
        <w:ind w:left="616" w:right="135"/>
        <w:jc w:val="both"/>
      </w:pPr>
      <w:r>
        <w:rPr/>
        <w:t>If we take too little vitamin C, we can develop stomach symptoms which im- pair cell function, weaken the immune system and give free radicals the upper hand,</w:t>
      </w:r>
      <w:r>
        <w:rPr>
          <w:spacing w:val="-11"/>
        </w:rPr>
        <w:t> </w:t>
      </w:r>
      <w:r>
        <w:rPr/>
        <w:t>which</w:t>
      </w:r>
      <w:r>
        <w:rPr>
          <w:spacing w:val="-11"/>
        </w:rPr>
        <w:t> </w:t>
      </w:r>
      <w:r>
        <w:rPr/>
        <w:t>leads</w:t>
      </w:r>
      <w:r>
        <w:rPr>
          <w:spacing w:val="-10"/>
        </w:rPr>
        <w:t> </w:t>
      </w:r>
      <w:r>
        <w:rPr/>
        <w:t>to</w:t>
      </w:r>
      <w:r>
        <w:rPr>
          <w:spacing w:val="-11"/>
        </w:rPr>
        <w:t> </w:t>
      </w:r>
      <w:r>
        <w:rPr/>
        <w:t>more</w:t>
      </w:r>
      <w:r>
        <w:rPr>
          <w:spacing w:val="-11"/>
        </w:rPr>
        <w:t> </w:t>
      </w:r>
      <w:r>
        <w:rPr/>
        <w:t>and</w:t>
      </w:r>
      <w:r>
        <w:rPr>
          <w:spacing w:val="-15"/>
        </w:rPr>
        <w:t> </w:t>
      </w:r>
      <w:r>
        <w:rPr/>
        <w:t>more</w:t>
      </w:r>
      <w:r>
        <w:rPr>
          <w:spacing w:val="-11"/>
        </w:rPr>
        <w:t> </w:t>
      </w:r>
      <w:r>
        <w:rPr/>
        <w:t>diseases</w:t>
      </w:r>
      <w:r>
        <w:rPr>
          <w:spacing w:val="-12"/>
        </w:rPr>
        <w:t> </w:t>
      </w:r>
      <w:r>
        <w:rPr/>
        <w:t>in</w:t>
      </w:r>
      <w:r>
        <w:rPr>
          <w:spacing w:val="-14"/>
        </w:rPr>
        <w:t> </w:t>
      </w:r>
      <w:r>
        <w:rPr/>
        <w:t>a</w:t>
      </w:r>
      <w:r>
        <w:rPr>
          <w:spacing w:val="-13"/>
        </w:rPr>
        <w:t> </w:t>
      </w:r>
      <w:r>
        <w:rPr/>
        <w:t>kind</w:t>
      </w:r>
      <w:r>
        <w:rPr>
          <w:spacing w:val="-10"/>
        </w:rPr>
        <w:t> </w:t>
      </w:r>
      <w:r>
        <w:rPr/>
        <w:t>of</w:t>
      </w:r>
      <w:r>
        <w:rPr>
          <w:spacing w:val="-14"/>
        </w:rPr>
        <w:t> </w:t>
      </w:r>
      <w:r>
        <w:rPr/>
        <w:t>chain</w:t>
      </w:r>
      <w:r>
        <w:rPr>
          <w:spacing w:val="-13"/>
        </w:rPr>
        <w:t> </w:t>
      </w:r>
      <w:r>
        <w:rPr/>
        <w:t>reaction</w:t>
      </w:r>
      <w:r>
        <w:rPr>
          <w:spacing w:val="-11"/>
        </w:rPr>
        <w:t> </w:t>
      </w:r>
      <w:r>
        <w:rPr/>
        <w:t>which can lead to a life of suffering, culminating in death.</w:t>
      </w:r>
    </w:p>
    <w:p>
      <w:pPr>
        <w:pStyle w:val="BodyText"/>
        <w:spacing w:line="276" w:lineRule="auto" w:before="239"/>
        <w:ind w:left="616" w:right="137"/>
        <w:jc w:val="both"/>
      </w:pPr>
      <w:r>
        <w:rPr/>
        <w:t>The advantages of the appropriate dose of vitamin C result from the elimina- tion of the disadvantages of having too little vitamin C. Below is a table with an overview of the most important health advantages of vitamin C.</w:t>
      </w:r>
    </w:p>
    <w:p>
      <w:pPr>
        <w:spacing w:after="0" w:line="276" w:lineRule="auto"/>
        <w:jc w:val="both"/>
        <w:sectPr>
          <w:pgSz w:w="14270" w:h="16850"/>
          <w:pgMar w:header="0" w:footer="1891" w:top="1340" w:bottom="2080" w:left="800" w:right="1280"/>
        </w:sectPr>
      </w:pPr>
    </w:p>
    <w:p>
      <w:pPr>
        <w:pStyle w:val="Heading2"/>
        <w:numPr>
          <w:ilvl w:val="1"/>
          <w:numId w:val="130"/>
        </w:numPr>
        <w:tabs>
          <w:tab w:pos="1058" w:val="left" w:leader="none"/>
        </w:tabs>
        <w:spacing w:line="276" w:lineRule="auto" w:before="74" w:after="0"/>
        <w:ind w:left="616" w:right="350" w:firstLine="96"/>
        <w:jc w:val="left"/>
      </w:pPr>
      <w:r>
        <w:rPr/>
        <w:t>Table with an overview of the preventative and therapeutic effect</w:t>
      </w:r>
      <w:r>
        <w:rPr>
          <w:spacing w:val="-41"/>
        </w:rPr>
        <w:t> </w:t>
      </w:r>
      <w:r>
        <w:rPr/>
        <w:t>of vitamin</w:t>
      </w:r>
      <w:r>
        <w:rPr>
          <w:spacing w:val="-3"/>
        </w:rPr>
        <w:t> </w:t>
      </w:r>
      <w:r>
        <w:rPr/>
        <w:t>C:</w:t>
      </w:r>
    </w:p>
    <w:p>
      <w:pPr>
        <w:pStyle w:val="BodyText"/>
        <w:rPr>
          <w:b/>
          <w:sz w:val="20"/>
        </w:rPr>
      </w:pPr>
    </w:p>
    <w:p>
      <w:pPr>
        <w:pStyle w:val="BodyText"/>
        <w:rPr>
          <w:b/>
          <w:sz w:val="20"/>
        </w:rPr>
      </w:pPr>
    </w:p>
    <w:p>
      <w:pPr>
        <w:pStyle w:val="BodyText"/>
        <w:rPr>
          <w:b/>
          <w:sz w:val="20"/>
        </w:rPr>
      </w:pPr>
    </w:p>
    <w:p>
      <w:pPr>
        <w:pStyle w:val="BodyText"/>
        <w:spacing w:before="11"/>
        <w:rPr>
          <w:b/>
          <w:sz w:val="22"/>
        </w:r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2"/>
        <w:gridCol w:w="8224"/>
      </w:tblGrid>
      <w:tr>
        <w:trPr>
          <w:trHeight w:val="1422" w:hRule="atLeast"/>
        </w:trPr>
        <w:tc>
          <w:tcPr>
            <w:tcW w:w="2972" w:type="dxa"/>
            <w:shd w:val="clear" w:color="auto" w:fill="8DB3E1"/>
          </w:tcPr>
          <w:p>
            <w:pPr>
              <w:pStyle w:val="TableParagraph"/>
              <w:spacing w:line="278" w:lineRule="auto" w:before="236"/>
              <w:ind w:left="98" w:firstLine="196"/>
              <w:rPr>
                <w:b/>
                <w:sz w:val="38"/>
              </w:rPr>
            </w:pPr>
            <w:r>
              <w:rPr>
                <w:b/>
                <w:sz w:val="38"/>
              </w:rPr>
              <w:t>Symptoms of a vitamin C deficit:</w:t>
            </w:r>
          </w:p>
        </w:tc>
        <w:tc>
          <w:tcPr>
            <w:tcW w:w="8224" w:type="dxa"/>
            <w:shd w:val="clear" w:color="auto" w:fill="8DB3E1"/>
          </w:tcPr>
          <w:p>
            <w:pPr>
              <w:pStyle w:val="TableParagraph"/>
              <w:spacing w:before="238"/>
              <w:ind w:left="378"/>
              <w:rPr>
                <w:b/>
                <w:sz w:val="38"/>
              </w:rPr>
            </w:pPr>
            <w:r>
              <w:rPr>
                <w:b/>
                <w:sz w:val="38"/>
              </w:rPr>
              <w:t>Advantages and effects of sufficient vitamin C:</w:t>
            </w:r>
          </w:p>
        </w:tc>
      </w:tr>
      <w:tr>
        <w:trPr>
          <w:trHeight w:val="1425" w:hRule="atLeast"/>
        </w:trPr>
        <w:tc>
          <w:tcPr>
            <w:tcW w:w="2972" w:type="dxa"/>
          </w:tcPr>
          <w:p>
            <w:pPr>
              <w:pStyle w:val="TableParagraph"/>
              <w:spacing w:line="276" w:lineRule="auto" w:before="239"/>
              <w:ind w:left="71" w:right="322"/>
              <w:rPr>
                <w:sz w:val="38"/>
              </w:rPr>
            </w:pPr>
            <w:r>
              <w:rPr>
                <w:sz w:val="38"/>
              </w:rPr>
              <w:t>&lt;10 mg/day bio- logical death</w:t>
            </w:r>
          </w:p>
        </w:tc>
        <w:tc>
          <w:tcPr>
            <w:tcW w:w="8224" w:type="dxa"/>
          </w:tcPr>
          <w:p>
            <w:pPr>
              <w:pStyle w:val="TableParagraph"/>
              <w:spacing w:before="241"/>
              <w:ind w:left="71"/>
              <w:rPr>
                <w:sz w:val="38"/>
              </w:rPr>
            </w:pPr>
            <w:r>
              <w:rPr>
                <w:sz w:val="38"/>
              </w:rPr>
              <w:t>30-50 mg/kg/day/body weight long, energetic life</w:t>
            </w:r>
          </w:p>
        </w:tc>
      </w:tr>
      <w:tr>
        <w:trPr>
          <w:trHeight w:val="1914" w:hRule="atLeast"/>
        </w:trPr>
        <w:tc>
          <w:tcPr>
            <w:tcW w:w="2972" w:type="dxa"/>
          </w:tcPr>
          <w:p>
            <w:pPr>
              <w:pStyle w:val="TableParagraph"/>
              <w:spacing w:before="238"/>
              <w:ind w:left="71"/>
              <w:rPr>
                <w:sz w:val="38"/>
              </w:rPr>
            </w:pPr>
            <w:r>
              <w:rPr>
                <w:sz w:val="38"/>
              </w:rPr>
              <w:t>Allergies</w:t>
            </w:r>
          </w:p>
        </w:tc>
        <w:tc>
          <w:tcPr>
            <w:tcW w:w="8224" w:type="dxa"/>
          </w:tcPr>
          <w:p>
            <w:pPr>
              <w:pStyle w:val="TableParagraph"/>
              <w:spacing w:line="276" w:lineRule="auto" w:before="236"/>
              <w:ind w:left="71"/>
              <w:rPr>
                <w:sz w:val="25"/>
              </w:rPr>
            </w:pPr>
            <w:r>
              <w:rPr>
                <w:sz w:val="38"/>
              </w:rPr>
              <w:t>Regulation of histamine and histidine production leads to fewer allergies and improves or prevents allergic symptoms.</w:t>
            </w:r>
            <w:r>
              <w:rPr>
                <w:position w:val="9"/>
                <w:sz w:val="25"/>
              </w:rPr>
              <w:t>989</w:t>
            </w:r>
          </w:p>
        </w:tc>
      </w:tr>
      <w:tr>
        <w:trPr>
          <w:trHeight w:val="1915" w:hRule="atLeast"/>
        </w:trPr>
        <w:tc>
          <w:tcPr>
            <w:tcW w:w="2972" w:type="dxa"/>
          </w:tcPr>
          <w:p>
            <w:pPr>
              <w:pStyle w:val="TableParagraph"/>
              <w:spacing w:before="239"/>
              <w:ind w:left="71"/>
              <w:rPr>
                <w:sz w:val="38"/>
              </w:rPr>
            </w:pPr>
            <w:r>
              <w:rPr>
                <w:sz w:val="38"/>
              </w:rPr>
              <w:t>Asthma</w:t>
            </w:r>
          </w:p>
        </w:tc>
        <w:tc>
          <w:tcPr>
            <w:tcW w:w="8224" w:type="dxa"/>
          </w:tcPr>
          <w:p>
            <w:pPr>
              <w:pStyle w:val="TableParagraph"/>
              <w:spacing w:line="276" w:lineRule="auto" w:before="236"/>
              <w:ind w:left="71" w:right="67"/>
              <w:rPr>
                <w:sz w:val="38"/>
              </w:rPr>
            </w:pPr>
            <w:r>
              <w:rPr>
                <w:sz w:val="38"/>
              </w:rPr>
              <w:t>Vitamin C has an anti-inflammatory and anti-asthmatic effect which significantly improves the progression of a disease or prevents</w:t>
            </w:r>
            <w:r>
              <w:rPr>
                <w:spacing w:val="1"/>
                <w:sz w:val="38"/>
              </w:rPr>
              <w:t> </w:t>
            </w:r>
            <w:r>
              <w:rPr>
                <w:sz w:val="38"/>
              </w:rPr>
              <w:t>disease.</w:t>
            </w:r>
          </w:p>
        </w:tc>
      </w:tr>
      <w:tr>
        <w:trPr>
          <w:trHeight w:val="1422" w:hRule="atLeast"/>
        </w:trPr>
        <w:tc>
          <w:tcPr>
            <w:tcW w:w="2972" w:type="dxa"/>
          </w:tcPr>
          <w:p>
            <w:pPr>
              <w:pStyle w:val="TableParagraph"/>
              <w:spacing w:before="238"/>
              <w:ind w:left="71"/>
              <w:rPr>
                <w:sz w:val="38"/>
              </w:rPr>
            </w:pPr>
            <w:r>
              <w:rPr>
                <w:sz w:val="38"/>
              </w:rPr>
              <w:t>Inflammation</w:t>
            </w:r>
          </w:p>
        </w:tc>
        <w:tc>
          <w:tcPr>
            <w:tcW w:w="8224" w:type="dxa"/>
          </w:tcPr>
          <w:p>
            <w:pPr>
              <w:pStyle w:val="TableParagraph"/>
              <w:spacing w:line="278" w:lineRule="auto" w:before="236"/>
              <w:ind w:left="71"/>
              <w:rPr>
                <w:sz w:val="38"/>
              </w:rPr>
            </w:pPr>
            <w:r>
              <w:rPr>
                <w:sz w:val="38"/>
              </w:rPr>
              <w:t>As highly-effective antioxidants, vitamin C and OPC successfully prevent the inflammation process.</w:t>
            </w:r>
          </w:p>
        </w:tc>
      </w:tr>
      <w:tr>
        <w:trPr>
          <w:trHeight w:val="732" w:hRule="atLeast"/>
        </w:trPr>
        <w:tc>
          <w:tcPr>
            <w:tcW w:w="2972" w:type="dxa"/>
          </w:tcPr>
          <w:p>
            <w:pPr>
              <w:pStyle w:val="TableParagraph"/>
              <w:spacing w:before="236"/>
              <w:ind w:left="71"/>
              <w:rPr>
                <w:sz w:val="38"/>
              </w:rPr>
            </w:pPr>
            <w:r>
              <w:rPr>
                <w:sz w:val="38"/>
              </w:rPr>
              <w:t>Colds, influenza,</w:t>
            </w:r>
          </w:p>
        </w:tc>
        <w:tc>
          <w:tcPr>
            <w:tcW w:w="8224" w:type="dxa"/>
          </w:tcPr>
          <w:p>
            <w:pPr>
              <w:pStyle w:val="TableParagraph"/>
              <w:spacing w:before="236"/>
              <w:ind w:left="71"/>
              <w:rPr>
                <w:sz w:val="38"/>
              </w:rPr>
            </w:pPr>
            <w:r>
              <w:rPr>
                <w:sz w:val="38"/>
              </w:rPr>
              <w:t>Vitamin C activates the body’s own defence system</w:t>
            </w:r>
          </w:p>
        </w:tc>
      </w:tr>
    </w:tbl>
    <w:p>
      <w:pPr>
        <w:pStyle w:val="BodyText"/>
        <w:rPr>
          <w:b/>
          <w:sz w:val="20"/>
        </w:rPr>
      </w:pPr>
    </w:p>
    <w:p>
      <w:pPr>
        <w:pStyle w:val="BodyText"/>
        <w:rPr>
          <w:b/>
          <w:sz w:val="20"/>
        </w:rPr>
      </w:pPr>
    </w:p>
    <w:p>
      <w:pPr>
        <w:pStyle w:val="BodyText"/>
        <w:rPr>
          <w:b/>
          <w:sz w:val="20"/>
        </w:rPr>
      </w:pPr>
    </w:p>
    <w:p>
      <w:pPr>
        <w:pStyle w:val="BodyText"/>
        <w:spacing w:before="7"/>
        <w:rPr>
          <w:b/>
          <w:sz w:val="10"/>
        </w:rPr>
      </w:pPr>
      <w:r>
        <w:rPr/>
        <w:pict>
          <v:line style="position:absolute;mso-position-horizontal-relative:page;mso-position-vertical-relative:paragraph;z-index:13544;mso-wrap-distance-left:0;mso-wrap-distance-right:0" from="70.823997pt,8.370015pt" to="214.843997pt,8.370015pt" stroked="true" strokeweight=".71997pt" strokecolor="#000000">
            <v:stroke dashstyle="solid"/>
            <w10:wrap type="topAndBottom"/>
          </v:line>
        </w:pict>
      </w:r>
    </w:p>
    <w:p>
      <w:pPr>
        <w:pStyle w:val="BodyText"/>
        <w:spacing w:before="3"/>
        <w:rPr>
          <w:b/>
          <w:sz w:val="20"/>
        </w:rPr>
      </w:pPr>
    </w:p>
    <w:p>
      <w:pPr>
        <w:spacing w:before="100"/>
        <w:ind w:left="616" w:right="0" w:firstLine="0"/>
        <w:jc w:val="left"/>
        <w:rPr>
          <w:sz w:val="20"/>
        </w:rPr>
      </w:pPr>
      <w:r>
        <w:rPr>
          <w:position w:val="5"/>
          <w:sz w:val="14"/>
        </w:rPr>
        <w:t>989 </w:t>
      </w:r>
      <w:r>
        <w:rPr>
          <w:sz w:val="20"/>
        </w:rPr>
        <w:t>Clemetson C. A. B.: Histamine and ascorbic acid in human blood. Journal of Nutrition 1980; 110, pp. 662–668</w:t>
      </w:r>
    </w:p>
    <w:p>
      <w:pPr>
        <w:spacing w:after="0"/>
        <w:jc w:val="left"/>
        <w:rPr>
          <w:sz w:val="20"/>
        </w:rPr>
        <w:sectPr>
          <w:pgSz w:w="14270" w:h="16850"/>
          <w:pgMar w:header="0" w:footer="1891" w:top="1340" w:bottom="2080" w:left="800" w:right="1280"/>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2"/>
        <w:gridCol w:w="8224"/>
      </w:tblGrid>
      <w:tr>
        <w:trPr>
          <w:trHeight w:val="1675" w:hRule="atLeast"/>
        </w:trPr>
        <w:tc>
          <w:tcPr>
            <w:tcW w:w="2972" w:type="dxa"/>
          </w:tcPr>
          <w:p>
            <w:pPr>
              <w:pStyle w:val="TableParagraph"/>
              <w:spacing w:line="276" w:lineRule="auto"/>
              <w:ind w:left="71" w:right="239"/>
              <w:rPr>
                <w:sz w:val="38"/>
              </w:rPr>
            </w:pPr>
            <w:r>
              <w:rPr>
                <w:sz w:val="38"/>
              </w:rPr>
              <w:t>head colds, tuber- culosis</w:t>
            </w:r>
          </w:p>
        </w:tc>
        <w:tc>
          <w:tcPr>
            <w:tcW w:w="8224" w:type="dxa"/>
          </w:tcPr>
          <w:p>
            <w:pPr>
              <w:pStyle w:val="TableParagraph"/>
              <w:spacing w:line="276" w:lineRule="auto"/>
              <w:ind w:left="71" w:right="204"/>
              <w:rPr>
                <w:sz w:val="25"/>
              </w:rPr>
            </w:pPr>
            <w:r>
              <w:rPr>
                <w:sz w:val="38"/>
              </w:rPr>
              <w:t>and reliably prevents and treats the symptoms men- tioned on the left. Vitamin C helps in the deactivation of many bacteria and viruses.</w:t>
            </w:r>
            <w:r>
              <w:rPr>
                <w:position w:val="9"/>
                <w:sz w:val="25"/>
              </w:rPr>
              <w:t>990</w:t>
            </w:r>
          </w:p>
        </w:tc>
      </w:tr>
      <w:tr>
        <w:trPr>
          <w:trHeight w:val="1914" w:hRule="atLeast"/>
        </w:trPr>
        <w:tc>
          <w:tcPr>
            <w:tcW w:w="2972" w:type="dxa"/>
          </w:tcPr>
          <w:p>
            <w:pPr>
              <w:pStyle w:val="TableParagraph"/>
              <w:spacing w:before="236"/>
              <w:ind w:left="71"/>
              <w:rPr>
                <w:sz w:val="38"/>
              </w:rPr>
            </w:pPr>
            <w:r>
              <w:rPr>
                <w:sz w:val="38"/>
              </w:rPr>
              <w:t>Depression</w:t>
            </w:r>
          </w:p>
        </w:tc>
        <w:tc>
          <w:tcPr>
            <w:tcW w:w="8224" w:type="dxa"/>
          </w:tcPr>
          <w:p>
            <w:pPr>
              <w:pStyle w:val="TableParagraph"/>
              <w:spacing w:line="276" w:lineRule="auto" w:before="234"/>
              <w:ind w:left="71" w:right="120"/>
              <w:rPr>
                <w:sz w:val="25"/>
              </w:rPr>
            </w:pPr>
            <w:r>
              <w:rPr>
                <w:sz w:val="38"/>
              </w:rPr>
              <w:t>Depression recedes or does not emerge at all due to the crossing of the blood-brain barrier and the optimi- sation of calcium conversion.</w:t>
            </w:r>
            <w:r>
              <w:rPr>
                <w:position w:val="9"/>
                <w:sz w:val="25"/>
              </w:rPr>
              <w:t>991</w:t>
            </w:r>
          </w:p>
        </w:tc>
      </w:tr>
      <w:tr>
        <w:trPr>
          <w:trHeight w:val="1425" w:hRule="atLeast"/>
        </w:trPr>
        <w:tc>
          <w:tcPr>
            <w:tcW w:w="2972" w:type="dxa"/>
          </w:tcPr>
          <w:p>
            <w:pPr>
              <w:pStyle w:val="TableParagraph"/>
              <w:spacing w:before="237"/>
              <w:ind w:left="71"/>
              <w:rPr>
                <w:sz w:val="38"/>
              </w:rPr>
            </w:pPr>
            <w:r>
              <w:rPr>
                <w:sz w:val="38"/>
              </w:rPr>
              <w:t>Hepatitis</w:t>
            </w:r>
          </w:p>
        </w:tc>
        <w:tc>
          <w:tcPr>
            <w:tcW w:w="8224" w:type="dxa"/>
          </w:tcPr>
          <w:p>
            <w:pPr>
              <w:pStyle w:val="TableParagraph"/>
              <w:spacing w:line="276" w:lineRule="auto" w:before="234"/>
              <w:ind w:left="71" w:right="275"/>
              <w:rPr>
                <w:sz w:val="25"/>
              </w:rPr>
            </w:pPr>
            <w:r>
              <w:rPr>
                <w:sz w:val="38"/>
              </w:rPr>
              <w:t>Studies showed hepatitis could be prevented by up to 93 %.</w:t>
            </w:r>
            <w:r>
              <w:rPr>
                <w:position w:val="9"/>
                <w:sz w:val="25"/>
              </w:rPr>
              <w:t>992</w:t>
            </w:r>
          </w:p>
        </w:tc>
      </w:tr>
      <w:tr>
        <w:trPr>
          <w:trHeight w:val="2407" w:hRule="atLeast"/>
        </w:trPr>
        <w:tc>
          <w:tcPr>
            <w:tcW w:w="2972" w:type="dxa"/>
          </w:tcPr>
          <w:p>
            <w:pPr>
              <w:pStyle w:val="TableParagraph"/>
              <w:spacing w:before="234"/>
              <w:ind w:left="71"/>
              <w:rPr>
                <w:sz w:val="38"/>
              </w:rPr>
            </w:pPr>
            <w:r>
              <w:rPr>
                <w:sz w:val="38"/>
              </w:rPr>
              <w:t>Stress</w:t>
            </w:r>
          </w:p>
        </w:tc>
        <w:tc>
          <w:tcPr>
            <w:tcW w:w="8224" w:type="dxa"/>
          </w:tcPr>
          <w:p>
            <w:pPr>
              <w:pStyle w:val="TableParagraph"/>
              <w:spacing w:line="276" w:lineRule="auto" w:before="231"/>
              <w:ind w:left="71" w:right="53"/>
              <w:rPr>
                <w:sz w:val="38"/>
              </w:rPr>
            </w:pPr>
            <w:r>
              <w:rPr>
                <w:sz w:val="38"/>
              </w:rPr>
              <w:t>Stress is mastered and nerves calmed by neurotrans- mitter synthesis and adrenaline and noradrenaline syn- thesis. The formation of adrenal gland hormones com- bats stress.</w:t>
            </w:r>
          </w:p>
        </w:tc>
      </w:tr>
      <w:tr>
        <w:trPr>
          <w:trHeight w:val="1422" w:hRule="atLeast"/>
        </w:trPr>
        <w:tc>
          <w:tcPr>
            <w:tcW w:w="2972" w:type="dxa"/>
          </w:tcPr>
          <w:p>
            <w:pPr>
              <w:pStyle w:val="TableParagraph"/>
              <w:spacing w:line="278" w:lineRule="auto" w:before="231"/>
              <w:ind w:left="71" w:right="96"/>
              <w:rPr>
                <w:sz w:val="38"/>
              </w:rPr>
            </w:pPr>
            <w:r>
              <w:rPr>
                <w:sz w:val="38"/>
              </w:rPr>
              <w:t>Liver cirrhosis and other liver diseases</w:t>
            </w:r>
          </w:p>
        </w:tc>
        <w:tc>
          <w:tcPr>
            <w:tcW w:w="8224" w:type="dxa"/>
          </w:tcPr>
          <w:p>
            <w:pPr>
              <w:pStyle w:val="TableParagraph"/>
              <w:spacing w:line="278" w:lineRule="auto" w:before="231"/>
              <w:ind w:left="71"/>
              <w:rPr>
                <w:sz w:val="38"/>
              </w:rPr>
            </w:pPr>
            <w:r>
              <w:rPr>
                <w:sz w:val="38"/>
              </w:rPr>
              <w:t>Toxic substances are neutralised, the liver is protected from viruses and bacteria.</w:t>
            </w:r>
          </w:p>
        </w:tc>
      </w:tr>
      <w:tr>
        <w:trPr>
          <w:trHeight w:val="1422" w:hRule="atLeast"/>
        </w:trPr>
        <w:tc>
          <w:tcPr>
            <w:tcW w:w="2972" w:type="dxa"/>
          </w:tcPr>
          <w:p>
            <w:pPr>
              <w:pStyle w:val="TableParagraph"/>
              <w:spacing w:before="234"/>
              <w:ind w:left="71"/>
              <w:rPr>
                <w:sz w:val="38"/>
              </w:rPr>
            </w:pPr>
            <w:r>
              <w:rPr>
                <w:sz w:val="38"/>
              </w:rPr>
              <w:t>Energy deficiency</w:t>
            </w:r>
          </w:p>
        </w:tc>
        <w:tc>
          <w:tcPr>
            <w:tcW w:w="8224" w:type="dxa"/>
          </w:tcPr>
          <w:p>
            <w:pPr>
              <w:pStyle w:val="TableParagraph"/>
              <w:spacing w:line="278" w:lineRule="auto" w:before="231"/>
              <w:ind w:left="71" w:right="207"/>
              <w:rPr>
                <w:sz w:val="38"/>
              </w:rPr>
            </w:pPr>
            <w:r>
              <w:rPr>
                <w:sz w:val="38"/>
              </w:rPr>
              <w:t>More energy is obtained largely from fats through op- timised carnitine synthesis.</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2"/>
        </w:rPr>
      </w:pPr>
      <w:r>
        <w:rPr/>
        <w:pict>
          <v:line style="position:absolute;mso-position-horizontal-relative:page;mso-position-vertical-relative:paragraph;z-index:13568;mso-wrap-distance-left:0;mso-wrap-distance-right:0" from="70.823997pt,9.510015pt" to="214.843997pt,9.510015pt" stroked="true" strokeweight=".71997pt" strokecolor="#000000">
            <v:stroke dashstyle="solid"/>
            <w10:wrap type="topAndBottom"/>
          </v:line>
        </w:pict>
      </w:r>
    </w:p>
    <w:p>
      <w:pPr>
        <w:pStyle w:val="BodyText"/>
        <w:spacing w:before="7"/>
        <w:rPr>
          <w:sz w:val="18"/>
        </w:rPr>
      </w:pPr>
    </w:p>
    <w:p>
      <w:pPr>
        <w:spacing w:line="276" w:lineRule="auto" w:before="99"/>
        <w:ind w:left="616" w:right="244" w:firstLine="0"/>
        <w:jc w:val="left"/>
        <w:rPr>
          <w:sz w:val="20"/>
        </w:rPr>
      </w:pPr>
      <w:r>
        <w:rPr>
          <w:position w:val="5"/>
          <w:sz w:val="13"/>
        </w:rPr>
        <w:t>990 </w:t>
      </w:r>
      <w:r>
        <w:rPr>
          <w:sz w:val="20"/>
        </w:rPr>
        <w:t>Ritzel G.: Kritische Beurteilung des Vitamin C als Prophylaktikum und Therapeutikum der Erkältungskrankheiten. Helv. Med. Acta 1961; 28, pp. 63–68</w:t>
      </w:r>
    </w:p>
    <w:p>
      <w:pPr>
        <w:spacing w:before="61"/>
        <w:ind w:left="616" w:right="0" w:firstLine="0"/>
        <w:jc w:val="left"/>
        <w:rPr>
          <w:sz w:val="20"/>
        </w:rPr>
      </w:pPr>
      <w:r>
        <w:rPr>
          <w:position w:val="5"/>
          <w:sz w:val="13"/>
        </w:rPr>
        <w:t>991 </w:t>
      </w:r>
      <w:r>
        <w:rPr>
          <w:sz w:val="20"/>
        </w:rPr>
        <w:t>Advanced impairment of mental abilities as a result of changes caused by disease in brain arteries in the case of long-term high blood pressure.</w:t>
      </w:r>
    </w:p>
    <w:p>
      <w:pPr>
        <w:spacing w:line="276" w:lineRule="auto" w:before="94"/>
        <w:ind w:left="616" w:right="0" w:firstLine="0"/>
        <w:jc w:val="left"/>
        <w:rPr>
          <w:sz w:val="20"/>
        </w:rPr>
      </w:pPr>
      <w:r>
        <w:rPr/>
        <w:drawing>
          <wp:anchor distT="0" distB="0" distL="0" distR="0" allowOverlap="1" layoutInCell="1" locked="0" behindDoc="1" simplePos="0" relativeHeight="267181367">
            <wp:simplePos x="0" y="0"/>
            <wp:positionH relativeFrom="page">
              <wp:posOffset>985998</wp:posOffset>
            </wp:positionH>
            <wp:positionV relativeFrom="paragraph">
              <wp:posOffset>103862</wp:posOffset>
            </wp:positionV>
            <wp:extent cx="6379583" cy="902106"/>
            <wp:effectExtent l="0" t="0" r="0" b="0"/>
            <wp:wrapNone/>
            <wp:docPr id="655" name="image2.jpeg" descr=""/>
            <wp:cNvGraphicFramePr>
              <a:graphicFrameLocks noChangeAspect="1"/>
            </wp:cNvGraphicFramePr>
            <a:graphic>
              <a:graphicData uri="http://schemas.openxmlformats.org/drawingml/2006/picture">
                <pic:pic>
                  <pic:nvPicPr>
                    <pic:cNvPr id="656"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992 </w:t>
      </w:r>
      <w:r>
        <w:rPr>
          <w:sz w:val="20"/>
        </w:rPr>
        <w:t>Morishige F. and Murata A.: Vitamin C for prophylaxis of viral hepatitis B in transfused patients. Journal of the International Academy of Pre- ventive Medicine 1978, 5, pp. 54–58</w:t>
      </w:r>
    </w:p>
    <w:p>
      <w:pPr>
        <w:spacing w:after="0" w:line="276" w:lineRule="auto"/>
        <w:jc w:val="left"/>
        <w:rPr>
          <w:sz w:val="20"/>
        </w:rPr>
        <w:sectPr>
          <w:footerReference w:type="default" r:id="rId455"/>
          <w:pgSz w:w="14270" w:h="16850"/>
          <w:pgMar w:footer="527" w:header="0" w:top="1420" w:bottom="720" w:left="800" w:right="1280"/>
          <w:pgNumType w:start="1738"/>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2"/>
        <w:gridCol w:w="8224"/>
      </w:tblGrid>
      <w:tr>
        <w:trPr>
          <w:trHeight w:val="2407" w:hRule="atLeast"/>
        </w:trPr>
        <w:tc>
          <w:tcPr>
            <w:tcW w:w="2972" w:type="dxa"/>
          </w:tcPr>
          <w:p>
            <w:pPr>
              <w:pStyle w:val="TableParagraph"/>
              <w:spacing w:line="276" w:lineRule="auto" w:before="234"/>
              <w:ind w:left="71" w:right="88"/>
              <w:rPr>
                <w:sz w:val="38"/>
              </w:rPr>
            </w:pPr>
            <w:r>
              <w:rPr>
                <w:sz w:val="38"/>
              </w:rPr>
              <w:t>Lack of concentra- tion/</w:t>
            </w:r>
          </w:p>
          <w:p>
            <w:pPr>
              <w:pStyle w:val="TableParagraph"/>
              <w:spacing w:before="241"/>
              <w:ind w:left="71"/>
              <w:rPr>
                <w:sz w:val="38"/>
              </w:rPr>
            </w:pPr>
            <w:r>
              <w:rPr>
                <w:sz w:val="38"/>
              </w:rPr>
              <w:t>intelligence</w:t>
            </w:r>
          </w:p>
        </w:tc>
        <w:tc>
          <w:tcPr>
            <w:tcW w:w="8224" w:type="dxa"/>
          </w:tcPr>
          <w:p>
            <w:pPr>
              <w:pStyle w:val="TableParagraph"/>
              <w:spacing w:line="276" w:lineRule="auto" w:before="234"/>
              <w:ind w:left="71" w:right="128"/>
              <w:rPr>
                <w:sz w:val="38"/>
              </w:rPr>
            </w:pPr>
            <w:r>
              <w:rPr>
                <w:sz w:val="38"/>
              </w:rPr>
              <w:t>Concentration and intelligence increase as the blood- brain barrier is overcome, as well as through the intro- duction of antioxidative processes and the improved circulation resulting from these.</w:t>
            </w:r>
          </w:p>
        </w:tc>
      </w:tr>
      <w:tr>
        <w:trPr>
          <w:trHeight w:val="1663" w:hRule="atLeast"/>
        </w:trPr>
        <w:tc>
          <w:tcPr>
            <w:tcW w:w="2972" w:type="dxa"/>
          </w:tcPr>
          <w:p>
            <w:pPr>
              <w:pStyle w:val="TableParagraph"/>
              <w:spacing w:before="234"/>
              <w:ind w:left="71"/>
              <w:rPr>
                <w:sz w:val="38"/>
              </w:rPr>
            </w:pPr>
            <w:r>
              <w:rPr>
                <w:sz w:val="38"/>
              </w:rPr>
              <w:t>Dementia</w:t>
            </w:r>
          </w:p>
        </w:tc>
        <w:tc>
          <w:tcPr>
            <w:tcW w:w="8224" w:type="dxa"/>
          </w:tcPr>
          <w:p>
            <w:pPr>
              <w:pStyle w:val="TableParagraph"/>
              <w:spacing w:line="278" w:lineRule="auto" w:before="231"/>
              <w:ind w:left="71" w:right="152"/>
              <w:rPr>
                <w:sz w:val="25"/>
              </w:rPr>
            </w:pPr>
            <w:r>
              <w:rPr>
                <w:sz w:val="38"/>
              </w:rPr>
              <w:t>In a study, vitamin C in connection with vitamin E re- duced the likelihood of dementia by 88 %.</w:t>
            </w:r>
            <w:r>
              <w:rPr>
                <w:position w:val="9"/>
                <w:sz w:val="25"/>
              </w:rPr>
              <w:t>993</w:t>
            </w:r>
          </w:p>
        </w:tc>
      </w:tr>
      <w:tr>
        <w:trPr>
          <w:trHeight w:val="1917" w:hRule="atLeast"/>
        </w:trPr>
        <w:tc>
          <w:tcPr>
            <w:tcW w:w="2972" w:type="dxa"/>
          </w:tcPr>
          <w:p>
            <w:pPr>
              <w:pStyle w:val="TableParagraph"/>
              <w:spacing w:before="236"/>
              <w:ind w:left="71"/>
              <w:rPr>
                <w:sz w:val="38"/>
              </w:rPr>
            </w:pPr>
            <w:r>
              <w:rPr>
                <w:sz w:val="38"/>
              </w:rPr>
              <w:t>Burns all types</w:t>
            </w:r>
          </w:p>
        </w:tc>
        <w:tc>
          <w:tcPr>
            <w:tcW w:w="8224" w:type="dxa"/>
          </w:tcPr>
          <w:p>
            <w:pPr>
              <w:pStyle w:val="TableParagraph"/>
              <w:spacing w:line="276" w:lineRule="auto" w:before="234"/>
              <w:ind w:left="71" w:right="204"/>
              <w:rPr>
                <w:sz w:val="38"/>
              </w:rPr>
            </w:pPr>
            <w:r>
              <w:rPr>
                <w:sz w:val="38"/>
              </w:rPr>
              <w:t>Accelerated collagen and elastin development as well as the regeneration of skin cells heal burns more quickly.</w:t>
            </w:r>
          </w:p>
        </w:tc>
      </w:tr>
      <w:tr>
        <w:trPr>
          <w:trHeight w:val="1915" w:hRule="atLeast"/>
        </w:trPr>
        <w:tc>
          <w:tcPr>
            <w:tcW w:w="2972" w:type="dxa"/>
          </w:tcPr>
          <w:p>
            <w:pPr>
              <w:pStyle w:val="TableParagraph"/>
              <w:spacing w:before="234"/>
              <w:ind w:left="71"/>
              <w:rPr>
                <w:sz w:val="38"/>
              </w:rPr>
            </w:pPr>
            <w:r>
              <w:rPr>
                <w:sz w:val="38"/>
              </w:rPr>
              <w:t>Excess weight</w:t>
            </w:r>
          </w:p>
        </w:tc>
        <w:tc>
          <w:tcPr>
            <w:tcW w:w="8224" w:type="dxa"/>
          </w:tcPr>
          <w:p>
            <w:pPr>
              <w:pStyle w:val="TableParagraph"/>
              <w:spacing w:line="276" w:lineRule="auto" w:before="231"/>
              <w:ind w:left="71" w:right="160"/>
              <w:jc w:val="both"/>
              <w:rPr>
                <w:sz w:val="25"/>
              </w:rPr>
            </w:pPr>
            <w:r>
              <w:rPr>
                <w:sz w:val="38"/>
              </w:rPr>
              <w:t>Regulation of the fat metabolism (mainly through car- nitine synthesis) normalises body weight or there is no undesired weight gain.</w:t>
            </w:r>
            <w:r>
              <w:rPr>
                <w:position w:val="9"/>
                <w:sz w:val="25"/>
              </w:rPr>
              <w:t>994</w:t>
            </w:r>
          </w:p>
        </w:tc>
      </w:tr>
      <w:tr>
        <w:trPr>
          <w:trHeight w:val="2646" w:hRule="atLeast"/>
        </w:trPr>
        <w:tc>
          <w:tcPr>
            <w:tcW w:w="2972" w:type="dxa"/>
          </w:tcPr>
          <w:p>
            <w:pPr>
              <w:pStyle w:val="TableParagraph"/>
              <w:spacing w:before="234"/>
              <w:ind w:left="71"/>
              <w:rPr>
                <w:sz w:val="38"/>
              </w:rPr>
            </w:pPr>
            <w:r>
              <w:rPr>
                <w:sz w:val="38"/>
              </w:rPr>
              <w:t>Diabetes mellitus</w:t>
            </w:r>
          </w:p>
        </w:tc>
        <w:tc>
          <w:tcPr>
            <w:tcW w:w="8224" w:type="dxa"/>
          </w:tcPr>
          <w:p>
            <w:pPr>
              <w:pStyle w:val="TableParagraph"/>
              <w:spacing w:line="278" w:lineRule="auto" w:before="231"/>
              <w:ind w:left="71"/>
              <w:rPr>
                <w:sz w:val="38"/>
              </w:rPr>
            </w:pPr>
            <w:r>
              <w:rPr>
                <w:sz w:val="38"/>
              </w:rPr>
              <w:t>Vitamin C significantly reduces the plasma insulin level resulting in a positive influence on the glucose level.</w:t>
            </w:r>
          </w:p>
          <w:p>
            <w:pPr>
              <w:pStyle w:val="TableParagraph"/>
              <w:spacing w:line="276" w:lineRule="auto" w:before="232"/>
              <w:ind w:left="71" w:right="350"/>
              <w:rPr>
                <w:sz w:val="38"/>
              </w:rPr>
            </w:pPr>
            <w:r>
              <w:rPr>
                <w:sz w:val="38"/>
              </w:rPr>
              <w:t>Vitamin C inhibits protein saccharification in arteries and protects against vascular deterioration.</w:t>
            </w:r>
          </w:p>
        </w:tc>
      </w:tr>
    </w:tbl>
    <w:p>
      <w:pPr>
        <w:pStyle w:val="BodyText"/>
        <w:rPr>
          <w:sz w:val="20"/>
        </w:rPr>
      </w:pPr>
    </w:p>
    <w:p>
      <w:pPr>
        <w:pStyle w:val="BodyText"/>
        <w:rPr>
          <w:sz w:val="20"/>
        </w:rPr>
      </w:pPr>
    </w:p>
    <w:p>
      <w:pPr>
        <w:pStyle w:val="BodyText"/>
        <w:rPr>
          <w:sz w:val="20"/>
        </w:rPr>
      </w:pPr>
    </w:p>
    <w:p>
      <w:pPr>
        <w:pStyle w:val="BodyText"/>
        <w:rPr>
          <w:sz w:val="28"/>
        </w:rPr>
      </w:pPr>
      <w:r>
        <w:rPr/>
        <w:pict>
          <v:line style="position:absolute;mso-position-horizontal-relative:page;mso-position-vertical-relative:paragraph;z-index:13616;mso-wrap-distance-left:0;mso-wrap-distance-right:0" from="70.823997pt,18.119986pt" to="214.843997pt,18.119986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993 </w:t>
      </w:r>
      <w:r>
        <w:rPr>
          <w:sz w:val="20"/>
        </w:rPr>
        <w:t>Dr. Kamal, H. Masaki</w:t>
      </w:r>
    </w:p>
    <w:p>
      <w:pPr>
        <w:spacing w:before="94"/>
        <w:ind w:left="616" w:right="0" w:firstLine="0"/>
        <w:jc w:val="left"/>
        <w:rPr>
          <w:sz w:val="20"/>
        </w:rPr>
      </w:pPr>
      <w:r>
        <w:rPr>
          <w:position w:val="5"/>
          <w:sz w:val="13"/>
        </w:rPr>
        <w:t>994 </w:t>
      </w:r>
      <w:r>
        <w:rPr>
          <w:sz w:val="20"/>
        </w:rPr>
        <w:t>Levine, 1996</w:t>
      </w:r>
    </w:p>
    <w:p>
      <w:pPr>
        <w:spacing w:after="0"/>
        <w:jc w:val="left"/>
        <w:rPr>
          <w:sz w:val="20"/>
        </w:rPr>
        <w:sectPr>
          <w:footerReference w:type="default" r:id="rId456"/>
          <w:pgSz w:w="14270" w:h="16850"/>
          <w:pgMar w:footer="1891" w:header="0" w:top="1420" w:bottom="2080" w:left="800" w:right="1280"/>
          <w:pgNumType w:start="173"/>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2"/>
        <w:gridCol w:w="8224"/>
      </w:tblGrid>
      <w:tr>
        <w:trPr>
          <w:trHeight w:val="933" w:hRule="atLeast"/>
        </w:trPr>
        <w:tc>
          <w:tcPr>
            <w:tcW w:w="2972" w:type="dxa"/>
          </w:tcPr>
          <w:p>
            <w:pPr>
              <w:pStyle w:val="TableParagraph"/>
              <w:spacing w:before="236"/>
              <w:ind w:left="71"/>
              <w:rPr>
                <w:sz w:val="38"/>
              </w:rPr>
            </w:pPr>
            <w:r>
              <w:rPr>
                <w:sz w:val="38"/>
              </w:rPr>
              <w:t>Impotence</w:t>
            </w:r>
          </w:p>
        </w:tc>
        <w:tc>
          <w:tcPr>
            <w:tcW w:w="8224" w:type="dxa"/>
          </w:tcPr>
          <w:p>
            <w:pPr>
              <w:pStyle w:val="TableParagraph"/>
              <w:spacing w:before="236"/>
              <w:ind w:left="71"/>
              <w:rPr>
                <w:sz w:val="38"/>
              </w:rPr>
            </w:pPr>
            <w:r>
              <w:rPr>
                <w:sz w:val="38"/>
              </w:rPr>
              <w:t>A lack of vitamin C leads to male impotence.</w:t>
            </w:r>
          </w:p>
        </w:tc>
      </w:tr>
      <w:tr>
        <w:trPr>
          <w:trHeight w:val="2406" w:hRule="atLeast"/>
        </w:trPr>
        <w:tc>
          <w:tcPr>
            <w:tcW w:w="2972" w:type="dxa"/>
          </w:tcPr>
          <w:p>
            <w:pPr>
              <w:pStyle w:val="TableParagraph"/>
              <w:spacing w:before="234"/>
              <w:ind w:left="71"/>
              <w:rPr>
                <w:sz w:val="38"/>
              </w:rPr>
            </w:pPr>
            <w:r>
              <w:rPr>
                <w:sz w:val="38"/>
              </w:rPr>
              <w:t>Fever</w:t>
            </w:r>
          </w:p>
        </w:tc>
        <w:tc>
          <w:tcPr>
            <w:tcW w:w="8224" w:type="dxa"/>
          </w:tcPr>
          <w:p>
            <w:pPr>
              <w:pStyle w:val="TableParagraph"/>
              <w:spacing w:line="276" w:lineRule="auto" w:before="231"/>
              <w:ind w:left="71"/>
              <w:rPr>
                <w:sz w:val="25"/>
              </w:rPr>
            </w:pPr>
            <w:r>
              <w:rPr>
                <w:sz w:val="38"/>
              </w:rPr>
              <w:t>Vitamin C can reduce fever, inflammatory processes and pain through the synthesis of PGE 1 (prostaglan- din) because of its influence on the regulation of the immune system.</w:t>
            </w:r>
            <w:r>
              <w:rPr>
                <w:position w:val="9"/>
                <w:sz w:val="25"/>
              </w:rPr>
              <w:t>995</w:t>
            </w:r>
          </w:p>
        </w:tc>
      </w:tr>
      <w:tr>
        <w:trPr>
          <w:trHeight w:val="1423" w:hRule="atLeast"/>
        </w:trPr>
        <w:tc>
          <w:tcPr>
            <w:tcW w:w="2972" w:type="dxa"/>
          </w:tcPr>
          <w:p>
            <w:pPr>
              <w:pStyle w:val="TableParagraph"/>
              <w:spacing w:line="278" w:lineRule="auto" w:before="232"/>
              <w:ind w:left="71" w:right="583"/>
              <w:rPr>
                <w:sz w:val="38"/>
              </w:rPr>
            </w:pPr>
            <w:r>
              <w:rPr>
                <w:sz w:val="38"/>
              </w:rPr>
              <w:t>Menstrual cycle disorder</w:t>
            </w:r>
          </w:p>
        </w:tc>
        <w:tc>
          <w:tcPr>
            <w:tcW w:w="8224" w:type="dxa"/>
          </w:tcPr>
          <w:p>
            <w:pPr>
              <w:pStyle w:val="TableParagraph"/>
              <w:spacing w:line="278" w:lineRule="auto" w:before="232"/>
              <w:ind w:left="71" w:right="96"/>
              <w:rPr>
                <w:sz w:val="38"/>
              </w:rPr>
            </w:pPr>
            <w:r>
              <w:rPr>
                <w:sz w:val="38"/>
              </w:rPr>
              <w:t>A lack of vitamin C leads to disorder and failure of the menstrual cycle in women.</w:t>
            </w:r>
          </w:p>
        </w:tc>
      </w:tr>
      <w:tr>
        <w:trPr>
          <w:trHeight w:val="1914" w:hRule="atLeast"/>
        </w:trPr>
        <w:tc>
          <w:tcPr>
            <w:tcW w:w="2972" w:type="dxa"/>
          </w:tcPr>
          <w:p>
            <w:pPr>
              <w:pStyle w:val="TableParagraph"/>
              <w:spacing w:before="234"/>
              <w:ind w:left="71"/>
              <w:rPr>
                <w:sz w:val="38"/>
              </w:rPr>
            </w:pPr>
            <w:r>
              <w:rPr>
                <w:sz w:val="38"/>
              </w:rPr>
              <w:t>Smoker’s leg</w:t>
            </w:r>
          </w:p>
        </w:tc>
        <w:tc>
          <w:tcPr>
            <w:tcW w:w="8224" w:type="dxa"/>
          </w:tcPr>
          <w:p>
            <w:pPr>
              <w:pStyle w:val="TableParagraph"/>
              <w:spacing w:line="276" w:lineRule="auto" w:before="231"/>
              <w:ind w:left="71"/>
              <w:rPr>
                <w:sz w:val="38"/>
              </w:rPr>
            </w:pPr>
            <w:r>
              <w:rPr>
                <w:sz w:val="38"/>
              </w:rPr>
              <w:t>As a reliable antioxidant, vitamin C protects blood vessels, improves blood circulation and prevents smoker’s leg.</w:t>
            </w:r>
          </w:p>
        </w:tc>
      </w:tr>
      <w:tr>
        <w:trPr>
          <w:trHeight w:val="1423" w:hRule="atLeast"/>
        </w:trPr>
        <w:tc>
          <w:tcPr>
            <w:tcW w:w="2972" w:type="dxa"/>
          </w:tcPr>
          <w:p>
            <w:pPr>
              <w:pStyle w:val="TableParagraph"/>
              <w:spacing w:before="234"/>
              <w:ind w:left="71"/>
              <w:rPr>
                <w:sz w:val="38"/>
              </w:rPr>
            </w:pPr>
            <w:r>
              <w:rPr>
                <w:sz w:val="38"/>
              </w:rPr>
              <w:t>Migraines</w:t>
            </w:r>
          </w:p>
        </w:tc>
        <w:tc>
          <w:tcPr>
            <w:tcW w:w="8224" w:type="dxa"/>
          </w:tcPr>
          <w:p>
            <w:pPr>
              <w:pStyle w:val="TableParagraph"/>
              <w:spacing w:line="278" w:lineRule="auto" w:before="232"/>
              <w:ind w:left="71"/>
              <w:rPr>
                <w:sz w:val="38"/>
              </w:rPr>
            </w:pPr>
            <w:r>
              <w:rPr>
                <w:sz w:val="38"/>
              </w:rPr>
              <w:t>Migraines are prevented through antioxidative pro- cesses and improved circulation in the brain.</w:t>
            </w:r>
          </w:p>
        </w:tc>
      </w:tr>
      <w:tr>
        <w:trPr>
          <w:trHeight w:val="1422" w:hRule="atLeast"/>
        </w:trPr>
        <w:tc>
          <w:tcPr>
            <w:tcW w:w="2972" w:type="dxa"/>
          </w:tcPr>
          <w:p>
            <w:pPr>
              <w:pStyle w:val="TableParagraph"/>
              <w:spacing w:before="234"/>
              <w:ind w:left="71"/>
              <w:rPr>
                <w:sz w:val="38"/>
              </w:rPr>
            </w:pPr>
            <w:r>
              <w:rPr>
                <w:sz w:val="38"/>
              </w:rPr>
              <w:t>Daytime fatigue</w:t>
            </w:r>
          </w:p>
        </w:tc>
        <w:tc>
          <w:tcPr>
            <w:tcW w:w="8224" w:type="dxa"/>
          </w:tcPr>
          <w:p>
            <w:pPr>
              <w:pStyle w:val="TableParagraph"/>
              <w:spacing w:line="278" w:lineRule="auto" w:before="231"/>
              <w:ind w:left="71"/>
              <w:rPr>
                <w:sz w:val="38"/>
              </w:rPr>
            </w:pPr>
            <w:r>
              <w:rPr>
                <w:sz w:val="38"/>
              </w:rPr>
              <w:t>According to studies, just 400 mg of vitamin C daily could halve levels of daytime fatigue.</w:t>
            </w:r>
          </w:p>
        </w:tc>
      </w:tr>
      <w:tr>
        <w:trPr>
          <w:trHeight w:val="1224" w:hRule="atLeast"/>
        </w:trPr>
        <w:tc>
          <w:tcPr>
            <w:tcW w:w="2972" w:type="dxa"/>
          </w:tcPr>
          <w:p>
            <w:pPr>
              <w:pStyle w:val="TableParagraph"/>
              <w:spacing w:line="490" w:lineRule="atLeast" w:before="169"/>
              <w:ind w:left="71" w:right="199"/>
              <w:rPr>
                <w:sz w:val="38"/>
              </w:rPr>
            </w:pPr>
            <w:r>
              <w:rPr>
                <w:sz w:val="38"/>
              </w:rPr>
              <w:t>All diseases which end in ‘-itis’ (neu-</w:t>
            </w:r>
          </w:p>
        </w:tc>
        <w:tc>
          <w:tcPr>
            <w:tcW w:w="8224" w:type="dxa"/>
          </w:tcPr>
          <w:p>
            <w:pPr>
              <w:pStyle w:val="TableParagraph"/>
              <w:spacing w:line="490" w:lineRule="atLeast" w:before="169"/>
              <w:ind w:left="71" w:right="184"/>
              <w:rPr>
                <w:sz w:val="38"/>
              </w:rPr>
            </w:pPr>
            <w:r>
              <w:rPr>
                <w:sz w:val="38"/>
              </w:rPr>
              <w:t>As vitamin C is one of the most efficient free radical catchers (antioxidants) and concurrently protects joint</w:t>
            </w:r>
          </w:p>
        </w:tc>
      </w:tr>
    </w:tbl>
    <w:p>
      <w:pPr>
        <w:pStyle w:val="BodyText"/>
        <w:rPr>
          <w:sz w:val="20"/>
        </w:rPr>
      </w:pPr>
    </w:p>
    <w:p>
      <w:pPr>
        <w:pStyle w:val="BodyText"/>
        <w:rPr>
          <w:sz w:val="20"/>
        </w:rPr>
      </w:pPr>
    </w:p>
    <w:p>
      <w:pPr>
        <w:pStyle w:val="BodyText"/>
        <w:rPr>
          <w:sz w:val="20"/>
        </w:rPr>
      </w:pPr>
    </w:p>
    <w:p>
      <w:pPr>
        <w:pStyle w:val="BodyText"/>
        <w:spacing w:before="2"/>
        <w:rPr>
          <w:sz w:val="19"/>
        </w:rPr>
      </w:pPr>
      <w:r>
        <w:rPr/>
        <w:pict>
          <v:line style="position:absolute;mso-position-horizontal-relative:page;mso-position-vertical-relative:paragraph;z-index:13640;mso-wrap-distance-left:0;mso-wrap-distance-right:0" from="70.823997pt,13.169985pt" to="214.843997pt,13.169985pt" stroked="true" strokeweight=".72003pt" strokecolor="#000000">
            <v:stroke dashstyle="solid"/>
            <w10:wrap type="topAndBottom"/>
          </v:line>
        </w:pict>
      </w:r>
    </w:p>
    <w:p>
      <w:pPr>
        <w:pStyle w:val="BodyText"/>
        <w:spacing w:before="7"/>
        <w:rPr>
          <w:sz w:val="18"/>
        </w:rPr>
      </w:pPr>
    </w:p>
    <w:p>
      <w:pPr>
        <w:spacing w:line="276" w:lineRule="auto" w:before="99"/>
        <w:ind w:left="616" w:right="244" w:firstLine="0"/>
        <w:jc w:val="left"/>
        <w:rPr>
          <w:sz w:val="20"/>
        </w:rPr>
      </w:pPr>
      <w:r>
        <w:rPr>
          <w:position w:val="5"/>
          <w:sz w:val="13"/>
        </w:rPr>
        <w:t>995 </w:t>
      </w:r>
      <w:r>
        <w:rPr>
          <w:sz w:val="20"/>
        </w:rPr>
        <w:t>Horrobin D. F. et al.: The regulation of prostaglandin E1 formation: A candidate for one of the fundamental mechanisms involved in the ac- tions of vitamin C. Medical Hypotheses 1979; 5, pp. 849–858</w:t>
      </w:r>
    </w:p>
    <w:p>
      <w:pPr>
        <w:spacing w:after="0" w:line="276" w:lineRule="auto"/>
        <w:jc w:val="left"/>
        <w:rPr>
          <w:sz w:val="20"/>
        </w:rPr>
        <w:sectPr>
          <w:footerReference w:type="default" r:id="rId457"/>
          <w:pgSz w:w="14270" w:h="16850"/>
          <w:pgMar w:footer="1891" w:header="0" w:top="1420" w:bottom="2080" w:left="800" w:right="1280"/>
          <w:pgNumType w:start="174"/>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2"/>
        <w:gridCol w:w="8224"/>
      </w:tblGrid>
      <w:tr>
        <w:trPr>
          <w:trHeight w:val="457" w:hRule="atLeast"/>
        </w:trPr>
        <w:tc>
          <w:tcPr>
            <w:tcW w:w="2972" w:type="dxa"/>
            <w:tcBorders>
              <w:bottom w:val="nil"/>
            </w:tcBorders>
          </w:tcPr>
          <w:p>
            <w:pPr>
              <w:pStyle w:val="TableParagraph"/>
              <w:spacing w:line="422" w:lineRule="exact"/>
              <w:ind w:left="71"/>
              <w:rPr>
                <w:sz w:val="38"/>
              </w:rPr>
            </w:pPr>
            <w:r>
              <w:rPr>
                <w:sz w:val="38"/>
              </w:rPr>
              <w:t>rodermatitis, gas-</w:t>
            </w:r>
          </w:p>
        </w:tc>
        <w:tc>
          <w:tcPr>
            <w:tcW w:w="8224" w:type="dxa"/>
            <w:tcBorders>
              <w:bottom w:val="nil"/>
            </w:tcBorders>
          </w:tcPr>
          <w:p>
            <w:pPr>
              <w:pStyle w:val="TableParagraph"/>
              <w:spacing w:line="422" w:lineRule="exact"/>
              <w:ind w:left="71"/>
              <w:rPr>
                <w:sz w:val="38"/>
              </w:rPr>
            </w:pPr>
            <w:r>
              <w:rPr>
                <w:sz w:val="38"/>
              </w:rPr>
              <w:t>cartilage through collagen synthesis, it successfully pre-</w:t>
            </w:r>
          </w:p>
        </w:tc>
      </w:tr>
      <w:tr>
        <w:trPr>
          <w:trHeight w:val="490" w:hRule="atLeast"/>
        </w:trPr>
        <w:tc>
          <w:tcPr>
            <w:tcW w:w="2972" w:type="dxa"/>
            <w:tcBorders>
              <w:top w:val="nil"/>
              <w:bottom w:val="nil"/>
            </w:tcBorders>
          </w:tcPr>
          <w:p>
            <w:pPr>
              <w:pStyle w:val="TableParagraph"/>
              <w:spacing w:before="26"/>
              <w:ind w:left="71"/>
              <w:rPr>
                <w:sz w:val="38"/>
              </w:rPr>
            </w:pPr>
            <w:r>
              <w:rPr>
                <w:sz w:val="38"/>
              </w:rPr>
              <w:t>tritis,</w:t>
            </w:r>
            <w:r>
              <w:rPr>
                <w:spacing w:val="94"/>
                <w:sz w:val="38"/>
              </w:rPr>
              <w:t> </w:t>
            </w:r>
            <w:r>
              <w:rPr>
                <w:sz w:val="38"/>
              </w:rPr>
              <w:t>meningitis,</w:t>
            </w:r>
          </w:p>
        </w:tc>
        <w:tc>
          <w:tcPr>
            <w:tcW w:w="8224" w:type="dxa"/>
            <w:tcBorders>
              <w:top w:val="nil"/>
              <w:bottom w:val="nil"/>
            </w:tcBorders>
          </w:tcPr>
          <w:p>
            <w:pPr>
              <w:pStyle w:val="TableParagraph"/>
              <w:spacing w:before="26"/>
              <w:ind w:left="71"/>
              <w:rPr>
                <w:sz w:val="38"/>
              </w:rPr>
            </w:pPr>
            <w:r>
              <w:rPr>
                <w:sz w:val="38"/>
              </w:rPr>
              <w:t>vents inflammatory processes and protects the carti-</w:t>
            </w:r>
          </w:p>
        </w:tc>
      </w:tr>
      <w:tr>
        <w:trPr>
          <w:trHeight w:val="494" w:hRule="atLeast"/>
        </w:trPr>
        <w:tc>
          <w:tcPr>
            <w:tcW w:w="2972" w:type="dxa"/>
            <w:tcBorders>
              <w:top w:val="nil"/>
              <w:bottom w:val="nil"/>
            </w:tcBorders>
          </w:tcPr>
          <w:p>
            <w:pPr>
              <w:pStyle w:val="TableParagraph"/>
              <w:spacing w:before="27"/>
              <w:ind w:left="71"/>
              <w:rPr>
                <w:sz w:val="38"/>
              </w:rPr>
            </w:pPr>
            <w:r>
              <w:rPr>
                <w:sz w:val="38"/>
              </w:rPr>
              <w:t>bronchitis, arthri-</w:t>
            </w:r>
          </w:p>
        </w:tc>
        <w:tc>
          <w:tcPr>
            <w:tcW w:w="8224" w:type="dxa"/>
            <w:tcBorders>
              <w:top w:val="nil"/>
              <w:bottom w:val="nil"/>
            </w:tcBorders>
          </w:tcPr>
          <w:p>
            <w:pPr>
              <w:pStyle w:val="TableParagraph"/>
              <w:spacing w:before="29"/>
              <w:ind w:left="71"/>
              <w:rPr>
                <w:sz w:val="38"/>
              </w:rPr>
            </w:pPr>
            <w:r>
              <w:rPr>
                <w:sz w:val="38"/>
              </w:rPr>
              <w:t>lage. It also prevents pain.</w:t>
            </w:r>
          </w:p>
        </w:tc>
      </w:tr>
      <w:tr>
        <w:trPr>
          <w:trHeight w:val="724" w:hRule="atLeast"/>
        </w:trPr>
        <w:tc>
          <w:tcPr>
            <w:tcW w:w="2972" w:type="dxa"/>
            <w:tcBorders>
              <w:top w:val="nil"/>
            </w:tcBorders>
          </w:tcPr>
          <w:p>
            <w:pPr>
              <w:pStyle w:val="TableParagraph"/>
              <w:spacing w:before="27"/>
              <w:ind w:left="71"/>
              <w:rPr>
                <w:sz w:val="38"/>
              </w:rPr>
            </w:pPr>
            <w:r>
              <w:rPr>
                <w:sz w:val="38"/>
              </w:rPr>
              <w:t>tis, rhinitis etc.)</w:t>
            </w:r>
          </w:p>
        </w:tc>
        <w:tc>
          <w:tcPr>
            <w:tcW w:w="8224" w:type="dxa"/>
            <w:tcBorders>
              <w:top w:val="nil"/>
            </w:tcBorders>
          </w:tcPr>
          <w:p>
            <w:pPr>
              <w:pStyle w:val="TableParagraph"/>
              <w:rPr>
                <w:rFonts w:ascii="Times New Roman"/>
                <w:sz w:val="34"/>
              </w:rPr>
            </w:pPr>
          </w:p>
        </w:tc>
      </w:tr>
      <w:tr>
        <w:trPr>
          <w:trHeight w:val="2407" w:hRule="atLeast"/>
        </w:trPr>
        <w:tc>
          <w:tcPr>
            <w:tcW w:w="2972" w:type="dxa"/>
          </w:tcPr>
          <w:p>
            <w:pPr>
              <w:pStyle w:val="TableParagraph"/>
              <w:spacing w:before="234"/>
              <w:ind w:left="71"/>
              <w:rPr>
                <w:sz w:val="38"/>
              </w:rPr>
            </w:pPr>
            <w:r>
              <w:rPr>
                <w:sz w:val="38"/>
              </w:rPr>
              <w:t>Arthritis/arthrosis</w:t>
            </w:r>
          </w:p>
        </w:tc>
        <w:tc>
          <w:tcPr>
            <w:tcW w:w="8224" w:type="dxa"/>
          </w:tcPr>
          <w:p>
            <w:pPr>
              <w:pStyle w:val="TableParagraph"/>
              <w:spacing w:line="276" w:lineRule="auto" w:before="231"/>
              <w:ind w:left="71" w:right="124"/>
              <w:rPr>
                <w:sz w:val="25"/>
              </w:rPr>
            </w:pPr>
            <w:r>
              <w:rPr>
                <w:sz w:val="38"/>
              </w:rPr>
              <w:t>As vitamin C and OPC belong to the most efficient free radical catchers (antioxidants), they successfully prevent inflammatory diseases while concurrently pro- tecting hyaline cartilage through collagen synthesis.</w:t>
            </w:r>
            <w:r>
              <w:rPr>
                <w:position w:val="9"/>
                <w:sz w:val="25"/>
              </w:rPr>
              <w:t>996</w:t>
            </w:r>
          </w:p>
        </w:tc>
      </w:tr>
      <w:tr>
        <w:trPr>
          <w:trHeight w:val="2899" w:hRule="atLeast"/>
        </w:trPr>
        <w:tc>
          <w:tcPr>
            <w:tcW w:w="2972" w:type="dxa"/>
          </w:tcPr>
          <w:p>
            <w:pPr>
              <w:pStyle w:val="TableParagraph"/>
              <w:spacing w:before="234"/>
              <w:ind w:left="71"/>
              <w:rPr>
                <w:sz w:val="38"/>
              </w:rPr>
            </w:pPr>
            <w:r>
              <w:rPr>
                <w:sz w:val="38"/>
              </w:rPr>
              <w:t>Gout</w:t>
            </w:r>
          </w:p>
        </w:tc>
        <w:tc>
          <w:tcPr>
            <w:tcW w:w="8224" w:type="dxa"/>
          </w:tcPr>
          <w:p>
            <w:pPr>
              <w:pStyle w:val="TableParagraph"/>
              <w:spacing w:line="276" w:lineRule="auto" w:before="231"/>
              <w:ind w:left="71" w:right="124"/>
              <w:rPr>
                <w:sz w:val="38"/>
              </w:rPr>
            </w:pPr>
            <w:r>
              <w:rPr>
                <w:sz w:val="38"/>
              </w:rPr>
              <w:t>As vitamin C and OPC belong to the most efficient free radical catchers (antioxidants), they successfully prevent inflammatory diseases while concurrently pro- tecting hyaline cartilage from gout through collagen synthesis.</w:t>
            </w:r>
          </w:p>
        </w:tc>
      </w:tr>
      <w:tr>
        <w:trPr>
          <w:trHeight w:val="1662" w:hRule="atLeast"/>
        </w:trPr>
        <w:tc>
          <w:tcPr>
            <w:tcW w:w="2972" w:type="dxa"/>
          </w:tcPr>
          <w:p>
            <w:pPr>
              <w:pStyle w:val="TableParagraph"/>
              <w:spacing w:before="234"/>
              <w:ind w:left="71"/>
              <w:rPr>
                <w:sz w:val="38"/>
              </w:rPr>
            </w:pPr>
            <w:r>
              <w:rPr>
                <w:sz w:val="38"/>
              </w:rPr>
              <w:t>Infertility</w:t>
            </w:r>
          </w:p>
        </w:tc>
        <w:tc>
          <w:tcPr>
            <w:tcW w:w="8224" w:type="dxa"/>
          </w:tcPr>
          <w:p>
            <w:pPr>
              <w:pStyle w:val="TableParagraph"/>
              <w:spacing w:line="278" w:lineRule="auto" w:before="231"/>
              <w:ind w:left="71"/>
              <w:rPr>
                <w:sz w:val="38"/>
              </w:rPr>
            </w:pPr>
            <w:r>
              <w:rPr>
                <w:sz w:val="38"/>
              </w:rPr>
              <w:t>Mitochondria and sperm are protected against antioxi- dants by vitamin C, significantly increasing fertility.</w:t>
            </w:r>
          </w:p>
        </w:tc>
      </w:tr>
      <w:tr>
        <w:trPr>
          <w:trHeight w:val="1422" w:hRule="atLeast"/>
        </w:trPr>
        <w:tc>
          <w:tcPr>
            <w:tcW w:w="2972" w:type="dxa"/>
          </w:tcPr>
          <w:p>
            <w:pPr>
              <w:pStyle w:val="TableParagraph"/>
              <w:spacing w:line="278" w:lineRule="auto" w:before="231"/>
              <w:ind w:left="71" w:right="378"/>
              <w:rPr>
                <w:sz w:val="38"/>
              </w:rPr>
            </w:pPr>
            <w:r>
              <w:rPr>
                <w:sz w:val="38"/>
              </w:rPr>
              <w:t>Infections (influ- enza, colds etc.)</w:t>
            </w:r>
          </w:p>
        </w:tc>
        <w:tc>
          <w:tcPr>
            <w:tcW w:w="8224" w:type="dxa"/>
          </w:tcPr>
          <w:p>
            <w:pPr>
              <w:pStyle w:val="TableParagraph"/>
              <w:spacing w:line="276" w:lineRule="auto" w:before="231"/>
              <w:ind w:left="71" w:right="536"/>
              <w:rPr>
                <w:sz w:val="38"/>
              </w:rPr>
            </w:pPr>
            <w:r>
              <w:rPr>
                <w:sz w:val="38"/>
              </w:rPr>
              <w:t>Active defence against viruses and bacteria through enrichment in leucocytes and activation of T-helper</w:t>
            </w:r>
          </w:p>
        </w:tc>
      </w:tr>
    </w:tbl>
    <w:p>
      <w:pPr>
        <w:pStyle w:val="BodyText"/>
        <w:rPr>
          <w:sz w:val="20"/>
        </w:rPr>
      </w:pPr>
    </w:p>
    <w:p>
      <w:pPr>
        <w:pStyle w:val="BodyText"/>
        <w:rPr>
          <w:sz w:val="20"/>
        </w:rPr>
      </w:pPr>
    </w:p>
    <w:p>
      <w:pPr>
        <w:pStyle w:val="BodyText"/>
        <w:spacing w:before="10"/>
        <w:rPr>
          <w:sz w:val="20"/>
        </w:rPr>
      </w:pPr>
      <w:r>
        <w:rPr/>
        <w:pict>
          <v:line style="position:absolute;mso-position-horizontal-relative:page;mso-position-vertical-relative:paragraph;z-index:13664;mso-wrap-distance-left:0;mso-wrap-distance-right:0" from="70.823997pt,14.129985pt" to="214.843997pt,14.129985pt" stroked="true" strokeweight=".72003pt" strokecolor="#000000">
            <v:stroke dashstyle="solid"/>
            <w10:wrap type="topAndBottom"/>
          </v:line>
        </w:pict>
      </w:r>
    </w:p>
    <w:p>
      <w:pPr>
        <w:pStyle w:val="BodyText"/>
        <w:spacing w:before="3"/>
        <w:rPr>
          <w:sz w:val="20"/>
        </w:rPr>
      </w:pPr>
    </w:p>
    <w:p>
      <w:pPr>
        <w:spacing w:line="280" w:lineRule="auto" w:before="82"/>
        <w:ind w:left="616" w:right="0" w:firstLine="0"/>
        <w:jc w:val="left"/>
        <w:rPr>
          <w:sz w:val="20"/>
        </w:rPr>
      </w:pPr>
      <w:r>
        <w:rPr>
          <w:position w:val="5"/>
          <w:sz w:val="14"/>
        </w:rPr>
        <w:t>996 </w:t>
      </w:r>
      <w:r>
        <w:rPr>
          <w:sz w:val="20"/>
        </w:rPr>
        <w:t>Lunec Blake, J.: The determination of dehydroascorbic acid and ascorbic acid in the serum and synovial fluid of patients with rheumatoid </w:t>
      </w:r>
      <w:r>
        <w:rPr>
          <w:rFonts w:ascii="Calibri" w:hAnsi="Calibri"/>
          <w:sz w:val="20"/>
        </w:rPr>
        <w:t>arthri- tis. </w:t>
      </w:r>
      <w:r>
        <w:rPr>
          <w:sz w:val="20"/>
        </w:rPr>
        <w:t>1985, Free Radical Research communications, Vol 1, No. 1, pp. 31–39</w:t>
      </w:r>
    </w:p>
    <w:p>
      <w:pPr>
        <w:spacing w:after="0" w:line="280" w:lineRule="auto"/>
        <w:jc w:val="left"/>
        <w:rPr>
          <w:sz w:val="20"/>
        </w:rPr>
        <w:sectPr>
          <w:footerReference w:type="default" r:id="rId458"/>
          <w:pgSz w:w="14270" w:h="16850"/>
          <w:pgMar w:footer="404" w:header="0" w:top="1420" w:bottom="600" w:left="800" w:right="1280"/>
          <w:pgNumType w:start="1741"/>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2"/>
        <w:gridCol w:w="8224"/>
      </w:tblGrid>
      <w:tr>
        <w:trPr>
          <w:trHeight w:val="693" w:hRule="atLeast"/>
        </w:trPr>
        <w:tc>
          <w:tcPr>
            <w:tcW w:w="2972" w:type="dxa"/>
          </w:tcPr>
          <w:p>
            <w:pPr>
              <w:pStyle w:val="TableParagraph"/>
              <w:rPr>
                <w:rFonts w:ascii="Times New Roman"/>
                <w:sz w:val="32"/>
              </w:rPr>
            </w:pPr>
          </w:p>
        </w:tc>
        <w:tc>
          <w:tcPr>
            <w:tcW w:w="8224" w:type="dxa"/>
          </w:tcPr>
          <w:p>
            <w:pPr>
              <w:pStyle w:val="TableParagraph"/>
              <w:spacing w:line="424" w:lineRule="exact"/>
              <w:ind w:left="71"/>
              <w:rPr>
                <w:sz w:val="25"/>
              </w:rPr>
            </w:pPr>
            <w:r>
              <w:rPr>
                <w:sz w:val="38"/>
              </w:rPr>
              <w:t>cells.</w:t>
            </w:r>
            <w:r>
              <w:rPr>
                <w:position w:val="9"/>
                <w:sz w:val="25"/>
              </w:rPr>
              <w:t>997</w:t>
            </w:r>
          </w:p>
        </w:tc>
      </w:tr>
      <w:tr>
        <w:trPr>
          <w:trHeight w:val="1914" w:hRule="atLeast"/>
        </w:trPr>
        <w:tc>
          <w:tcPr>
            <w:tcW w:w="2972" w:type="dxa"/>
          </w:tcPr>
          <w:p>
            <w:pPr>
              <w:pStyle w:val="TableParagraph"/>
              <w:spacing w:before="234"/>
              <w:ind w:left="71"/>
              <w:rPr>
                <w:sz w:val="38"/>
              </w:rPr>
            </w:pPr>
            <w:r>
              <w:rPr>
                <w:sz w:val="38"/>
              </w:rPr>
              <w:t>Gum bleeding</w:t>
            </w:r>
          </w:p>
        </w:tc>
        <w:tc>
          <w:tcPr>
            <w:tcW w:w="8224" w:type="dxa"/>
          </w:tcPr>
          <w:p>
            <w:pPr>
              <w:pStyle w:val="TableParagraph"/>
              <w:spacing w:line="276" w:lineRule="auto" w:before="231"/>
              <w:ind w:left="71"/>
              <w:rPr>
                <w:sz w:val="38"/>
              </w:rPr>
            </w:pPr>
            <w:r>
              <w:rPr>
                <w:sz w:val="38"/>
              </w:rPr>
              <w:t>Active collagen and elastin development make gums strong and elastic; the antiviral effects of vitamin C protect against periodontitis etc.</w:t>
            </w:r>
          </w:p>
        </w:tc>
      </w:tr>
      <w:tr>
        <w:trPr>
          <w:trHeight w:val="1423" w:hRule="atLeast"/>
        </w:trPr>
        <w:tc>
          <w:tcPr>
            <w:tcW w:w="2972" w:type="dxa"/>
          </w:tcPr>
          <w:p>
            <w:pPr>
              <w:pStyle w:val="TableParagraph"/>
              <w:spacing w:line="278" w:lineRule="auto" w:before="231"/>
              <w:ind w:left="71" w:right="148"/>
              <w:rPr>
                <w:sz w:val="38"/>
              </w:rPr>
            </w:pPr>
            <w:r>
              <w:rPr>
                <w:sz w:val="38"/>
              </w:rPr>
              <w:t>Loose teeth/tooth loss</w:t>
            </w:r>
          </w:p>
        </w:tc>
        <w:tc>
          <w:tcPr>
            <w:tcW w:w="8224" w:type="dxa"/>
          </w:tcPr>
          <w:p>
            <w:pPr>
              <w:pStyle w:val="TableParagraph"/>
              <w:spacing w:line="278" w:lineRule="auto" w:before="231"/>
              <w:ind w:left="71" w:right="152"/>
              <w:rPr>
                <w:sz w:val="38"/>
              </w:rPr>
            </w:pPr>
            <w:r>
              <w:rPr>
                <w:sz w:val="38"/>
              </w:rPr>
              <w:t>Gum tissue is strengthened by collagen and elastin de- velopment – teeth sit firm.</w:t>
            </w:r>
          </w:p>
        </w:tc>
      </w:tr>
      <w:tr>
        <w:trPr>
          <w:trHeight w:val="1662" w:hRule="atLeast"/>
        </w:trPr>
        <w:tc>
          <w:tcPr>
            <w:tcW w:w="2972" w:type="dxa"/>
          </w:tcPr>
          <w:p>
            <w:pPr>
              <w:pStyle w:val="TableParagraph"/>
              <w:spacing w:before="234"/>
              <w:ind w:left="71"/>
              <w:rPr>
                <w:sz w:val="38"/>
              </w:rPr>
            </w:pPr>
            <w:r>
              <w:rPr>
                <w:sz w:val="38"/>
              </w:rPr>
              <w:t>Hair loss</w:t>
            </w:r>
          </w:p>
        </w:tc>
        <w:tc>
          <w:tcPr>
            <w:tcW w:w="8224" w:type="dxa"/>
          </w:tcPr>
          <w:p>
            <w:pPr>
              <w:pStyle w:val="TableParagraph"/>
              <w:spacing w:line="278" w:lineRule="auto" w:before="231"/>
              <w:ind w:left="71" w:right="445"/>
              <w:rPr>
                <w:sz w:val="25"/>
              </w:rPr>
            </w:pPr>
            <w:r>
              <w:rPr>
                <w:sz w:val="38"/>
              </w:rPr>
              <w:t>Vitamin C reliably protects against heavy-metal con- tamination which can also lead to hair loss.</w:t>
            </w:r>
            <w:r>
              <w:rPr>
                <w:position w:val="9"/>
                <w:sz w:val="25"/>
              </w:rPr>
              <w:t>998</w:t>
            </w:r>
          </w:p>
        </w:tc>
      </w:tr>
      <w:tr>
        <w:trPr>
          <w:trHeight w:val="2407" w:hRule="atLeast"/>
        </w:trPr>
        <w:tc>
          <w:tcPr>
            <w:tcW w:w="2972" w:type="dxa"/>
          </w:tcPr>
          <w:p>
            <w:pPr>
              <w:pStyle w:val="TableParagraph"/>
              <w:spacing w:before="234"/>
              <w:ind w:left="71"/>
              <w:rPr>
                <w:sz w:val="38"/>
              </w:rPr>
            </w:pPr>
            <w:r>
              <w:rPr>
                <w:sz w:val="38"/>
              </w:rPr>
              <w:t>Periodontitis</w:t>
            </w:r>
          </w:p>
        </w:tc>
        <w:tc>
          <w:tcPr>
            <w:tcW w:w="8224" w:type="dxa"/>
          </w:tcPr>
          <w:p>
            <w:pPr>
              <w:pStyle w:val="TableParagraph"/>
              <w:spacing w:line="276" w:lineRule="auto" w:before="231"/>
              <w:ind w:left="71" w:right="378"/>
              <w:rPr>
                <w:sz w:val="38"/>
              </w:rPr>
            </w:pPr>
            <w:r>
              <w:rPr>
                <w:sz w:val="38"/>
              </w:rPr>
              <w:t>Vitamin C deficit leads to the demise of capillaries in gums, disturbing the blood supply. Gum tissue is strengthened by collagen and elastin development – teeth sit firm.</w:t>
            </w:r>
          </w:p>
        </w:tc>
      </w:tr>
      <w:tr>
        <w:trPr>
          <w:trHeight w:val="1914" w:hRule="atLeast"/>
        </w:trPr>
        <w:tc>
          <w:tcPr>
            <w:tcW w:w="2972" w:type="dxa"/>
          </w:tcPr>
          <w:p>
            <w:pPr>
              <w:pStyle w:val="TableParagraph"/>
              <w:spacing w:line="278" w:lineRule="auto" w:before="231"/>
              <w:ind w:left="71" w:right="270"/>
              <w:rPr>
                <w:sz w:val="38"/>
              </w:rPr>
            </w:pPr>
            <w:r>
              <w:rPr>
                <w:sz w:val="38"/>
              </w:rPr>
              <w:t>Lung and respira- tory disease</w:t>
            </w:r>
          </w:p>
        </w:tc>
        <w:tc>
          <w:tcPr>
            <w:tcW w:w="8224" w:type="dxa"/>
          </w:tcPr>
          <w:p>
            <w:pPr>
              <w:pStyle w:val="TableParagraph"/>
              <w:spacing w:line="276" w:lineRule="auto" w:before="231"/>
              <w:ind w:left="71" w:right="120"/>
              <w:rPr>
                <w:sz w:val="38"/>
              </w:rPr>
            </w:pPr>
            <w:r>
              <w:rPr>
                <w:sz w:val="38"/>
              </w:rPr>
              <w:t>The antioxidative effects of vitamin C protect the lungs and have an influence on lung function (particu- larly in athletes)</w:t>
            </w:r>
          </w:p>
        </w:tc>
      </w:tr>
    </w:tbl>
    <w:p>
      <w:pPr>
        <w:pStyle w:val="BodyText"/>
        <w:rPr>
          <w:sz w:val="20"/>
        </w:rPr>
      </w:pPr>
    </w:p>
    <w:p>
      <w:pPr>
        <w:pStyle w:val="BodyText"/>
        <w:rPr>
          <w:sz w:val="20"/>
        </w:rPr>
      </w:pPr>
    </w:p>
    <w:p>
      <w:pPr>
        <w:pStyle w:val="BodyText"/>
        <w:rPr>
          <w:sz w:val="20"/>
        </w:rPr>
      </w:pPr>
    </w:p>
    <w:p>
      <w:pPr>
        <w:pStyle w:val="BodyText"/>
        <w:spacing w:before="11"/>
        <w:rPr>
          <w:sz w:val="23"/>
        </w:rPr>
      </w:pPr>
      <w:r>
        <w:rPr/>
        <w:pict>
          <v:line style="position:absolute;mso-position-horizontal-relative:page;mso-position-vertical-relative:paragraph;z-index:13688;mso-wrap-distance-left:0;mso-wrap-distance-right:0" from="70.823997pt,15.839985pt" to="214.843997pt,15.839985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997 </w:t>
      </w:r>
      <w:r>
        <w:rPr>
          <w:sz w:val="20"/>
        </w:rPr>
        <w:t>Stone I.: The healing factor: Vitamin C against disease. 1972, Grosset and Dunlap, New York</w:t>
      </w:r>
    </w:p>
    <w:p>
      <w:pPr>
        <w:spacing w:line="283" w:lineRule="auto" w:before="114"/>
        <w:ind w:left="616" w:right="0" w:firstLine="0"/>
        <w:jc w:val="left"/>
        <w:rPr>
          <w:sz w:val="20"/>
        </w:rPr>
      </w:pPr>
      <w:r>
        <w:rPr>
          <w:position w:val="5"/>
          <w:sz w:val="14"/>
        </w:rPr>
        <w:t>998 </w:t>
      </w:r>
      <w:r>
        <w:rPr>
          <w:sz w:val="20"/>
        </w:rPr>
        <w:t>Ziemann B. and Enzmann F.: Vitamin C Ascorbinsäure, Ein lebensnotwendiger Schutzfaktor, ‘Vitamin C Ascorbic Acid, A Vital Protective Factor’, 1998, MSE Pharmaceutics</w:t>
      </w:r>
    </w:p>
    <w:p>
      <w:pPr>
        <w:spacing w:after="0" w:line="283" w:lineRule="auto"/>
        <w:jc w:val="left"/>
        <w:rPr>
          <w:sz w:val="20"/>
        </w:rPr>
        <w:sectPr>
          <w:pgSz w:w="14270" w:h="16850"/>
          <w:pgMar w:header="0" w:footer="404" w:top="1420" w:bottom="2080" w:left="800" w:right="1280"/>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2"/>
        <w:gridCol w:w="8224"/>
      </w:tblGrid>
      <w:tr>
        <w:trPr>
          <w:trHeight w:val="2407" w:hRule="atLeast"/>
        </w:trPr>
        <w:tc>
          <w:tcPr>
            <w:tcW w:w="2972" w:type="dxa"/>
          </w:tcPr>
          <w:p>
            <w:pPr>
              <w:pStyle w:val="TableParagraph"/>
              <w:spacing w:before="236"/>
              <w:ind w:left="71"/>
              <w:rPr>
                <w:sz w:val="38"/>
              </w:rPr>
            </w:pPr>
            <w:r>
              <w:rPr>
                <w:sz w:val="38"/>
              </w:rPr>
              <w:t>Slipped disc,</w:t>
            </w:r>
          </w:p>
          <w:p>
            <w:pPr>
              <w:pStyle w:val="TableParagraph"/>
              <w:spacing w:before="303"/>
              <w:ind w:left="71"/>
              <w:rPr>
                <w:sz w:val="38"/>
              </w:rPr>
            </w:pPr>
            <w:r>
              <w:rPr>
                <w:sz w:val="38"/>
              </w:rPr>
              <w:t>Disc degeneration</w:t>
            </w:r>
          </w:p>
        </w:tc>
        <w:tc>
          <w:tcPr>
            <w:tcW w:w="8224" w:type="dxa"/>
          </w:tcPr>
          <w:p>
            <w:pPr>
              <w:pStyle w:val="TableParagraph"/>
              <w:spacing w:line="276" w:lineRule="auto" w:before="234"/>
              <w:ind w:left="71" w:right="96"/>
              <w:rPr>
                <w:sz w:val="38"/>
              </w:rPr>
            </w:pPr>
            <w:r>
              <w:rPr>
                <w:sz w:val="38"/>
              </w:rPr>
              <w:t>The painful symptoms which result from the muscula- ture with slipped discs can be alleviated with high doses of vitamin C. Most slipped disc operations would be unnecessary with a supply of vitamin C.</w:t>
            </w:r>
          </w:p>
        </w:tc>
      </w:tr>
      <w:tr>
        <w:trPr>
          <w:trHeight w:val="1915" w:hRule="atLeast"/>
        </w:trPr>
        <w:tc>
          <w:tcPr>
            <w:tcW w:w="2972" w:type="dxa"/>
          </w:tcPr>
          <w:p>
            <w:pPr>
              <w:pStyle w:val="TableParagraph"/>
              <w:spacing w:before="234"/>
              <w:ind w:left="71"/>
              <w:rPr>
                <w:sz w:val="38"/>
              </w:rPr>
            </w:pPr>
            <w:r>
              <w:rPr>
                <w:sz w:val="38"/>
              </w:rPr>
              <w:t>Osteoporosis</w:t>
            </w:r>
          </w:p>
        </w:tc>
        <w:tc>
          <w:tcPr>
            <w:tcW w:w="8224" w:type="dxa"/>
          </w:tcPr>
          <w:p>
            <w:pPr>
              <w:pStyle w:val="TableParagraph"/>
              <w:spacing w:line="276" w:lineRule="auto" w:before="231"/>
              <w:ind w:left="71" w:right="67"/>
              <w:rPr>
                <w:sz w:val="38"/>
              </w:rPr>
            </w:pPr>
            <w:r>
              <w:rPr>
                <w:sz w:val="38"/>
              </w:rPr>
              <w:t>The formation of procollagen and collagen synthesis supports the bone matrix and can have a reliable coun- ter-effect on osteoporosis.</w:t>
            </w:r>
          </w:p>
        </w:tc>
      </w:tr>
      <w:tr>
        <w:trPr>
          <w:trHeight w:val="1914" w:hRule="atLeast"/>
        </w:trPr>
        <w:tc>
          <w:tcPr>
            <w:tcW w:w="2972" w:type="dxa"/>
          </w:tcPr>
          <w:p>
            <w:pPr>
              <w:pStyle w:val="TableParagraph"/>
              <w:spacing w:before="234"/>
              <w:ind w:left="71"/>
              <w:rPr>
                <w:sz w:val="38"/>
              </w:rPr>
            </w:pPr>
            <w:r>
              <w:rPr>
                <w:sz w:val="38"/>
              </w:rPr>
              <w:t>Bone fractures</w:t>
            </w:r>
          </w:p>
        </w:tc>
        <w:tc>
          <w:tcPr>
            <w:tcW w:w="8224" w:type="dxa"/>
          </w:tcPr>
          <w:p>
            <w:pPr>
              <w:pStyle w:val="TableParagraph"/>
              <w:spacing w:line="276" w:lineRule="auto" w:before="231"/>
              <w:ind w:left="71" w:right="124"/>
              <w:rPr>
                <w:sz w:val="38"/>
              </w:rPr>
            </w:pPr>
            <w:r>
              <w:rPr>
                <w:sz w:val="38"/>
              </w:rPr>
              <w:t>As a co-factor for hydroxylation, vitamin C supports collagen development and elastin synthesis which sup- ports the healing of bone fractures.</w:t>
            </w:r>
          </w:p>
        </w:tc>
      </w:tr>
      <w:tr>
        <w:trPr>
          <w:trHeight w:val="2155" w:hRule="atLeast"/>
        </w:trPr>
        <w:tc>
          <w:tcPr>
            <w:tcW w:w="2972" w:type="dxa"/>
          </w:tcPr>
          <w:p>
            <w:pPr>
              <w:pStyle w:val="TableParagraph"/>
              <w:spacing w:line="276" w:lineRule="auto" w:before="234"/>
              <w:ind w:left="71" w:right="227"/>
              <w:rPr>
                <w:sz w:val="38"/>
              </w:rPr>
            </w:pPr>
            <w:r>
              <w:rPr>
                <w:sz w:val="38"/>
              </w:rPr>
              <w:t>Miscarriages/in- fectious abortions</w:t>
            </w:r>
          </w:p>
        </w:tc>
        <w:tc>
          <w:tcPr>
            <w:tcW w:w="8224" w:type="dxa"/>
          </w:tcPr>
          <w:p>
            <w:pPr>
              <w:pStyle w:val="TableParagraph"/>
              <w:spacing w:line="276" w:lineRule="auto" w:before="234"/>
              <w:ind w:left="71" w:right="219"/>
              <w:jc w:val="both"/>
              <w:rPr>
                <w:sz w:val="25"/>
              </w:rPr>
            </w:pPr>
            <w:r>
              <w:rPr>
                <w:sz w:val="38"/>
              </w:rPr>
              <w:t>Vaginal pH undergoes a positive change which means the end of the line for viruses and bacteria which trig- ger miscarriages. </w:t>
            </w:r>
            <w:r>
              <w:rPr>
                <w:position w:val="9"/>
                <w:sz w:val="25"/>
              </w:rPr>
              <w:t>999</w:t>
            </w:r>
          </w:p>
        </w:tc>
      </w:tr>
      <w:tr>
        <w:trPr>
          <w:trHeight w:val="2407" w:hRule="atLeast"/>
        </w:trPr>
        <w:tc>
          <w:tcPr>
            <w:tcW w:w="2972" w:type="dxa"/>
          </w:tcPr>
          <w:p>
            <w:pPr>
              <w:pStyle w:val="TableParagraph"/>
              <w:spacing w:before="236"/>
              <w:ind w:left="71"/>
              <w:rPr>
                <w:sz w:val="38"/>
              </w:rPr>
            </w:pPr>
            <w:r>
              <w:rPr>
                <w:sz w:val="38"/>
              </w:rPr>
              <w:t>Varicose veins</w:t>
            </w:r>
          </w:p>
        </w:tc>
        <w:tc>
          <w:tcPr>
            <w:tcW w:w="8224" w:type="dxa"/>
          </w:tcPr>
          <w:p>
            <w:pPr>
              <w:pStyle w:val="TableParagraph"/>
              <w:spacing w:line="276" w:lineRule="auto" w:before="234"/>
              <w:ind w:left="71" w:right="143"/>
              <w:rPr>
                <w:sz w:val="38"/>
              </w:rPr>
            </w:pPr>
            <w:r>
              <w:rPr>
                <w:sz w:val="38"/>
              </w:rPr>
              <w:t>Repair processes on vascular walls, improved elasticity and the simultaneous reduction of deposits prevent the development of varicose veins and make existing ones disappear.</w:t>
            </w:r>
          </w:p>
        </w:tc>
      </w:tr>
    </w:tbl>
    <w:p>
      <w:pPr>
        <w:pStyle w:val="BodyText"/>
        <w:rPr>
          <w:sz w:val="20"/>
        </w:rPr>
      </w:pPr>
    </w:p>
    <w:p>
      <w:pPr>
        <w:pStyle w:val="BodyText"/>
        <w:rPr>
          <w:sz w:val="20"/>
        </w:rPr>
      </w:pPr>
    </w:p>
    <w:p>
      <w:pPr>
        <w:pStyle w:val="BodyText"/>
        <w:spacing w:before="8"/>
        <w:rPr>
          <w:sz w:val="25"/>
        </w:rPr>
      </w:pPr>
      <w:r>
        <w:rPr/>
        <w:pict>
          <v:line style="position:absolute;mso-position-horizontal-relative:page;mso-position-vertical-relative:paragraph;z-index:13712;mso-wrap-distance-left:0;mso-wrap-distance-right:0" from="70.823997pt,16.859985pt" to="214.843997pt,16.859985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999 </w:t>
      </w:r>
      <w:r>
        <w:rPr>
          <w:sz w:val="20"/>
        </w:rPr>
        <w:t>Professor Eiko Petersen from Freiburg, Gießener Gynäkologische Fortbildung 1999</w:t>
      </w:r>
    </w:p>
    <w:p>
      <w:pPr>
        <w:spacing w:after="0"/>
        <w:jc w:val="left"/>
        <w:rPr>
          <w:sz w:val="20"/>
        </w:rPr>
        <w:sectPr>
          <w:pgSz w:w="14270" w:h="16850"/>
          <w:pgMar w:header="0" w:footer="404" w:top="1420" w:bottom="2080" w:left="800" w:right="1280"/>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2"/>
        <w:gridCol w:w="8224"/>
      </w:tblGrid>
      <w:tr>
        <w:trPr>
          <w:trHeight w:val="2407" w:hRule="atLeast"/>
        </w:trPr>
        <w:tc>
          <w:tcPr>
            <w:tcW w:w="2972" w:type="dxa"/>
          </w:tcPr>
          <w:p>
            <w:pPr>
              <w:pStyle w:val="TableParagraph"/>
              <w:spacing w:before="236"/>
              <w:ind w:left="71"/>
              <w:rPr>
                <w:sz w:val="38"/>
              </w:rPr>
            </w:pPr>
            <w:r>
              <w:rPr>
                <w:sz w:val="38"/>
              </w:rPr>
              <w:t>Spider veins</w:t>
            </w:r>
          </w:p>
        </w:tc>
        <w:tc>
          <w:tcPr>
            <w:tcW w:w="8224" w:type="dxa"/>
          </w:tcPr>
          <w:p>
            <w:pPr>
              <w:pStyle w:val="TableParagraph"/>
              <w:spacing w:line="276" w:lineRule="auto" w:before="234"/>
              <w:ind w:left="71" w:right="143"/>
              <w:rPr>
                <w:sz w:val="38"/>
              </w:rPr>
            </w:pPr>
            <w:r>
              <w:rPr>
                <w:sz w:val="38"/>
              </w:rPr>
              <w:t>Repair processes on vascular walls, improved elasticity and the simultaneous reduction of deposits prevent the development of spider veins and make existing ones disappear.</w:t>
            </w:r>
          </w:p>
        </w:tc>
      </w:tr>
      <w:tr>
        <w:trPr>
          <w:trHeight w:val="2407" w:hRule="atLeast"/>
        </w:trPr>
        <w:tc>
          <w:tcPr>
            <w:tcW w:w="2972" w:type="dxa"/>
          </w:tcPr>
          <w:p>
            <w:pPr>
              <w:pStyle w:val="TableParagraph"/>
              <w:spacing w:line="278" w:lineRule="auto" w:before="231"/>
              <w:ind w:left="71" w:right="223"/>
              <w:rPr>
                <w:sz w:val="38"/>
              </w:rPr>
            </w:pPr>
            <w:r>
              <w:rPr>
                <w:sz w:val="38"/>
              </w:rPr>
              <w:t>Poor wound heal- ing</w:t>
            </w:r>
          </w:p>
        </w:tc>
        <w:tc>
          <w:tcPr>
            <w:tcW w:w="8224" w:type="dxa"/>
          </w:tcPr>
          <w:p>
            <w:pPr>
              <w:pStyle w:val="TableParagraph"/>
              <w:spacing w:line="276" w:lineRule="auto" w:before="231"/>
              <w:ind w:left="71" w:right="172"/>
              <w:rPr>
                <w:sz w:val="38"/>
              </w:rPr>
            </w:pPr>
            <w:r>
              <w:rPr>
                <w:sz w:val="38"/>
              </w:rPr>
              <w:t>As a co-factor for hydroxylation, vitamin C supports collagen development and elastin synthesis – both im- mensely accelerate wound healing. Collagen genera- tion increases 8-fold with vitamin C.</w:t>
            </w:r>
          </w:p>
        </w:tc>
      </w:tr>
      <w:tr>
        <w:trPr>
          <w:trHeight w:val="2407" w:hRule="atLeast"/>
        </w:trPr>
        <w:tc>
          <w:tcPr>
            <w:tcW w:w="2972" w:type="dxa"/>
          </w:tcPr>
          <w:p>
            <w:pPr>
              <w:pStyle w:val="TableParagraph"/>
              <w:spacing w:before="234"/>
              <w:ind w:left="71"/>
              <w:rPr>
                <w:sz w:val="38"/>
              </w:rPr>
            </w:pPr>
            <w:r>
              <w:rPr>
                <w:sz w:val="38"/>
              </w:rPr>
              <w:t>Pressure sores</w:t>
            </w:r>
          </w:p>
        </w:tc>
        <w:tc>
          <w:tcPr>
            <w:tcW w:w="8224" w:type="dxa"/>
          </w:tcPr>
          <w:p>
            <w:pPr>
              <w:pStyle w:val="TableParagraph"/>
              <w:spacing w:line="276" w:lineRule="auto" w:before="231"/>
              <w:ind w:left="71" w:right="116"/>
              <w:rPr>
                <w:sz w:val="38"/>
              </w:rPr>
            </w:pPr>
            <w:r>
              <w:rPr>
                <w:sz w:val="38"/>
              </w:rPr>
              <w:t>Even with just 1 g of vitamin C a day, in one study the reduction of pressure sores doubled (from 43 % to 84</w:t>
            </w:r>
          </w:p>
          <w:p>
            <w:pPr>
              <w:pStyle w:val="TableParagraph"/>
              <w:spacing w:line="278" w:lineRule="auto" w:before="1"/>
              <w:ind w:left="71" w:right="342"/>
              <w:rPr>
                <w:sz w:val="25"/>
              </w:rPr>
            </w:pPr>
            <w:r>
              <w:rPr>
                <w:sz w:val="38"/>
              </w:rPr>
              <w:t>%), which can be attributed to increased collagen de- velopment.</w:t>
            </w:r>
            <w:r>
              <w:rPr>
                <w:position w:val="9"/>
                <w:sz w:val="25"/>
              </w:rPr>
              <w:t>1000</w:t>
            </w:r>
          </w:p>
        </w:tc>
      </w:tr>
      <w:tr>
        <w:trPr>
          <w:trHeight w:val="2406" w:hRule="atLeast"/>
        </w:trPr>
        <w:tc>
          <w:tcPr>
            <w:tcW w:w="2972" w:type="dxa"/>
          </w:tcPr>
          <w:p>
            <w:pPr>
              <w:pStyle w:val="TableParagraph"/>
              <w:spacing w:line="410" w:lineRule="auto" w:before="234"/>
              <w:ind w:left="71" w:right="551"/>
              <w:rPr>
                <w:sz w:val="38"/>
              </w:rPr>
            </w:pPr>
            <w:r>
              <w:rPr>
                <w:sz w:val="38"/>
              </w:rPr>
              <w:t>Stomach ulcers, intestinal ulcers</w:t>
            </w:r>
          </w:p>
        </w:tc>
        <w:tc>
          <w:tcPr>
            <w:tcW w:w="8224" w:type="dxa"/>
          </w:tcPr>
          <w:p>
            <w:pPr>
              <w:pStyle w:val="TableParagraph"/>
              <w:spacing w:line="276" w:lineRule="auto" w:before="231"/>
              <w:ind w:left="71" w:right="374"/>
              <w:rPr>
                <w:sz w:val="38"/>
              </w:rPr>
            </w:pPr>
            <w:r>
              <w:rPr>
                <w:sz w:val="38"/>
              </w:rPr>
              <w:t>The inhibition of nitrosamine formation and urease activity, control of ascorbic radicals, reduction of the gastrin level and the regulation of the prostaglandin home prevent stomach ulcers and intestinal ulcers.</w:t>
            </w:r>
          </w:p>
        </w:tc>
      </w:tr>
    </w:tbl>
    <w:p>
      <w:pPr>
        <w:pStyle w:val="BodyText"/>
        <w:rPr>
          <w:sz w:val="20"/>
        </w:rPr>
      </w:pPr>
    </w:p>
    <w:p>
      <w:pPr>
        <w:pStyle w:val="BodyText"/>
        <w:rPr>
          <w:sz w:val="20"/>
        </w:rPr>
      </w:pPr>
    </w:p>
    <w:p>
      <w:pPr>
        <w:pStyle w:val="BodyText"/>
        <w:rPr>
          <w:sz w:val="20"/>
        </w:rPr>
      </w:pPr>
    </w:p>
    <w:p>
      <w:pPr>
        <w:pStyle w:val="BodyText"/>
        <w:spacing w:before="2"/>
        <w:rPr>
          <w:sz w:val="15"/>
        </w:rPr>
      </w:pPr>
      <w:r>
        <w:rPr/>
        <w:pict>
          <v:line style="position:absolute;mso-position-horizontal-relative:page;mso-position-vertical-relative:paragraph;z-index:13736;mso-wrap-distance-left:0;mso-wrap-distance-right:0" from="70.823997pt,10.889985pt" to="214.843997pt,10.889985pt" stroked="true" strokeweight=".72003pt" strokecolor="#000000">
            <v:stroke dashstyle="solid"/>
            <w10:wrap type="topAndBottom"/>
          </v:line>
        </w:pict>
      </w:r>
    </w:p>
    <w:p>
      <w:pPr>
        <w:pStyle w:val="BodyText"/>
        <w:spacing w:before="4"/>
        <w:rPr>
          <w:sz w:val="20"/>
        </w:rPr>
      </w:pPr>
    </w:p>
    <w:p>
      <w:pPr>
        <w:spacing w:before="100"/>
        <w:ind w:left="616" w:right="0" w:firstLine="0"/>
        <w:jc w:val="left"/>
        <w:rPr>
          <w:sz w:val="20"/>
        </w:rPr>
      </w:pPr>
      <w:r>
        <w:rPr>
          <w:position w:val="5"/>
          <w:sz w:val="14"/>
        </w:rPr>
        <w:t>1000 </w:t>
      </w:r>
      <w:r>
        <w:rPr>
          <w:sz w:val="20"/>
        </w:rPr>
        <w:t>Taylor A. et al.: Relations among aging, antioxidant status, and cataract. Am. J. Clin. Nutr. 1995; 62, 6 (Suppl), pp. 1439–1447</w:t>
      </w:r>
    </w:p>
    <w:p>
      <w:pPr>
        <w:spacing w:after="0"/>
        <w:jc w:val="left"/>
        <w:rPr>
          <w:sz w:val="20"/>
        </w:rPr>
        <w:sectPr>
          <w:pgSz w:w="14270" w:h="16850"/>
          <w:pgMar w:header="0" w:footer="404" w:top="1420" w:bottom="2080" w:left="800" w:right="1280"/>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2"/>
        <w:gridCol w:w="8224"/>
      </w:tblGrid>
      <w:tr>
        <w:trPr>
          <w:trHeight w:val="1425" w:hRule="atLeast"/>
        </w:trPr>
        <w:tc>
          <w:tcPr>
            <w:tcW w:w="2972" w:type="dxa"/>
          </w:tcPr>
          <w:p>
            <w:pPr>
              <w:pStyle w:val="TableParagraph"/>
              <w:spacing w:before="236"/>
              <w:ind w:left="71"/>
              <w:rPr>
                <w:sz w:val="38"/>
              </w:rPr>
            </w:pPr>
            <w:r>
              <w:rPr>
                <w:sz w:val="38"/>
              </w:rPr>
              <w:t>Haemorrhoids</w:t>
            </w:r>
          </w:p>
        </w:tc>
        <w:tc>
          <w:tcPr>
            <w:tcW w:w="8224" w:type="dxa"/>
          </w:tcPr>
          <w:p>
            <w:pPr>
              <w:pStyle w:val="TableParagraph"/>
              <w:spacing w:line="276" w:lineRule="auto" w:before="234"/>
              <w:ind w:left="71" w:right="334"/>
              <w:rPr>
                <w:sz w:val="38"/>
              </w:rPr>
            </w:pPr>
            <w:r>
              <w:rPr>
                <w:sz w:val="38"/>
              </w:rPr>
              <w:t>Improved elasticity and prevention of deposits in the vascular system prevent haemorrhoids.</w:t>
            </w:r>
          </w:p>
        </w:tc>
      </w:tr>
      <w:tr>
        <w:trPr>
          <w:trHeight w:val="5104" w:hRule="atLeast"/>
        </w:trPr>
        <w:tc>
          <w:tcPr>
            <w:tcW w:w="2972" w:type="dxa"/>
          </w:tcPr>
          <w:p>
            <w:pPr>
              <w:pStyle w:val="TableParagraph"/>
              <w:spacing w:before="234"/>
              <w:ind w:left="71"/>
              <w:rPr>
                <w:sz w:val="38"/>
              </w:rPr>
            </w:pPr>
            <w:r>
              <w:rPr>
                <w:sz w:val="38"/>
              </w:rPr>
              <w:t>High cholesterol,</w:t>
            </w:r>
          </w:p>
          <w:p>
            <w:pPr>
              <w:pStyle w:val="TableParagraph"/>
              <w:spacing w:line="276" w:lineRule="auto" w:before="302"/>
              <w:ind w:left="71" w:right="512"/>
              <w:rPr>
                <w:sz w:val="38"/>
              </w:rPr>
            </w:pPr>
            <w:r>
              <w:rPr>
                <w:sz w:val="38"/>
              </w:rPr>
              <w:t>high triglyceride levels</w:t>
            </w:r>
          </w:p>
        </w:tc>
        <w:tc>
          <w:tcPr>
            <w:tcW w:w="8224" w:type="dxa"/>
          </w:tcPr>
          <w:p>
            <w:pPr>
              <w:pStyle w:val="TableParagraph"/>
              <w:spacing w:line="276" w:lineRule="auto" w:before="231"/>
              <w:ind w:left="71" w:right="120"/>
              <w:rPr>
                <w:sz w:val="38"/>
              </w:rPr>
            </w:pPr>
            <w:r>
              <w:rPr>
                <w:sz w:val="38"/>
              </w:rPr>
              <w:t>Vitamin C is involved as a co-factor in the formation of HDL cholesterol (the ‘good cholesterol’) and, as an antioxidant, protects against LDL cholesterol (‘bad cholesterol’).</w:t>
            </w:r>
          </w:p>
          <w:p>
            <w:pPr>
              <w:pStyle w:val="TableParagraph"/>
              <w:spacing w:line="276" w:lineRule="auto" w:before="240"/>
              <w:ind w:left="71"/>
              <w:rPr>
                <w:sz w:val="25"/>
              </w:rPr>
            </w:pPr>
            <w:r>
              <w:rPr>
                <w:sz w:val="38"/>
              </w:rPr>
              <w:t>Vitamin C keeps blood vessels sealed through collagen and elastin synthesis and the brain does not report damage to the liver – as a result, no cholesterol is cre- ated to patch up damage (incidentally, nutritional cho- lesterol only makes up 5 % of overall cholesterol).</w:t>
            </w:r>
            <w:r>
              <w:rPr>
                <w:position w:val="9"/>
                <w:sz w:val="25"/>
              </w:rPr>
              <w:t>1001</w:t>
            </w:r>
          </w:p>
        </w:tc>
      </w:tr>
      <w:tr>
        <w:trPr>
          <w:trHeight w:val="4373" w:hRule="atLeast"/>
        </w:trPr>
        <w:tc>
          <w:tcPr>
            <w:tcW w:w="2972" w:type="dxa"/>
          </w:tcPr>
          <w:p>
            <w:pPr>
              <w:pStyle w:val="TableParagraph"/>
              <w:spacing w:line="276" w:lineRule="auto" w:before="231"/>
              <w:ind w:left="71" w:right="88"/>
              <w:rPr>
                <w:sz w:val="38"/>
              </w:rPr>
            </w:pPr>
            <w:r>
              <w:rPr>
                <w:sz w:val="38"/>
              </w:rPr>
              <w:t>Arteriosclerosis (blood vessel calci- fication), the re- sulting high blood pressure, to heart attack and cerebral apoplexy</w:t>
            </w:r>
          </w:p>
        </w:tc>
        <w:tc>
          <w:tcPr>
            <w:tcW w:w="8224" w:type="dxa"/>
          </w:tcPr>
          <w:p>
            <w:pPr>
              <w:pStyle w:val="TableParagraph"/>
              <w:spacing w:line="276" w:lineRule="auto" w:before="231"/>
              <w:ind w:left="71"/>
              <w:rPr>
                <w:sz w:val="25"/>
              </w:rPr>
            </w:pPr>
            <w:r>
              <w:rPr>
                <w:sz w:val="38"/>
              </w:rPr>
              <w:t>The intima (inner vascular wall) remains smooth and silky due to active collagen development, calcium and fat deposits find attachment points, atherosclerosis is prevented and existing atherosclerosis is broken down. Furthermore, smooth muscle cell tumours are pre- vented, vitamin C protects against fatty acids and de- velops fat deposits and represents an antioxidative protection against LDL cholesterol.</w:t>
            </w:r>
            <w:r>
              <w:rPr>
                <w:position w:val="9"/>
                <w:sz w:val="25"/>
              </w:rPr>
              <w:t>1002</w:t>
            </w:r>
          </w:p>
        </w:tc>
      </w:tr>
    </w:tbl>
    <w:p>
      <w:pPr>
        <w:pStyle w:val="BodyText"/>
        <w:rPr>
          <w:sz w:val="20"/>
        </w:rPr>
      </w:pPr>
    </w:p>
    <w:p>
      <w:pPr>
        <w:pStyle w:val="BodyText"/>
        <w:rPr>
          <w:sz w:val="20"/>
        </w:rPr>
      </w:pPr>
    </w:p>
    <w:p>
      <w:pPr>
        <w:pStyle w:val="BodyText"/>
        <w:spacing w:before="3"/>
        <w:rPr>
          <w:sz w:val="18"/>
        </w:rPr>
      </w:pPr>
      <w:r>
        <w:rPr/>
        <w:pict>
          <v:line style="position:absolute;mso-position-horizontal-relative:page;mso-position-vertical-relative:paragraph;z-index:13760;mso-wrap-distance-left:0;mso-wrap-distance-right:0" from="70.823997pt,12.659985pt" to="214.843997pt,12.659985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4"/>
          <w:sz w:val="10"/>
        </w:rPr>
        <w:t>1001 </w:t>
      </w:r>
      <w:r>
        <w:rPr>
          <w:sz w:val="20"/>
        </w:rPr>
        <w:t>Ginter E. et al.: Effect of ascorbic acid on plasma cholesterol in humans in a long-term experiment. Int. J. Vit. Nutr. Res. 1977; 47, pp. 123–134</w:t>
      </w:r>
    </w:p>
    <w:p>
      <w:pPr>
        <w:spacing w:before="94"/>
        <w:ind w:left="616" w:right="0" w:firstLine="0"/>
        <w:jc w:val="left"/>
        <w:rPr>
          <w:sz w:val="20"/>
        </w:rPr>
      </w:pPr>
      <w:r>
        <w:rPr>
          <w:position w:val="5"/>
          <w:sz w:val="13"/>
        </w:rPr>
        <w:t>1002 </w:t>
      </w:r>
      <w:r>
        <w:rPr>
          <w:sz w:val="20"/>
        </w:rPr>
        <w:t>M. R. et al.: Prevention of atherosclerosis. The potential role of antioxidants. Postgrad. Med. 1995; 98, 1, p. 175 f.</w:t>
      </w:r>
    </w:p>
    <w:p>
      <w:pPr>
        <w:spacing w:after="0"/>
        <w:jc w:val="left"/>
        <w:rPr>
          <w:sz w:val="20"/>
        </w:rPr>
        <w:sectPr>
          <w:pgSz w:w="14270" w:h="16850"/>
          <w:pgMar w:header="0" w:footer="404" w:top="1420" w:bottom="2080" w:left="800" w:right="1280"/>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2"/>
        <w:gridCol w:w="8224"/>
      </w:tblGrid>
      <w:tr>
        <w:trPr>
          <w:trHeight w:val="1425" w:hRule="atLeast"/>
        </w:trPr>
        <w:tc>
          <w:tcPr>
            <w:tcW w:w="2972" w:type="dxa"/>
          </w:tcPr>
          <w:p>
            <w:pPr>
              <w:pStyle w:val="TableParagraph"/>
              <w:spacing w:line="276" w:lineRule="auto" w:before="234"/>
              <w:ind w:left="71" w:right="266"/>
              <w:rPr>
                <w:sz w:val="38"/>
              </w:rPr>
            </w:pPr>
            <w:r>
              <w:rPr>
                <w:sz w:val="38"/>
              </w:rPr>
              <w:t>Eyes: macular de- generation</w:t>
            </w:r>
          </w:p>
        </w:tc>
        <w:tc>
          <w:tcPr>
            <w:tcW w:w="8224" w:type="dxa"/>
          </w:tcPr>
          <w:p>
            <w:pPr>
              <w:pStyle w:val="TableParagraph"/>
              <w:spacing w:line="276" w:lineRule="auto" w:before="234"/>
              <w:ind w:left="71"/>
              <w:rPr>
                <w:sz w:val="38"/>
              </w:rPr>
            </w:pPr>
            <w:r>
              <w:rPr>
                <w:sz w:val="38"/>
              </w:rPr>
              <w:t>Active collagen development prevents macular degen- eration.</w:t>
            </w:r>
          </w:p>
        </w:tc>
      </w:tr>
      <w:tr>
        <w:trPr>
          <w:trHeight w:val="1914" w:hRule="atLeast"/>
        </w:trPr>
        <w:tc>
          <w:tcPr>
            <w:tcW w:w="2972" w:type="dxa"/>
          </w:tcPr>
          <w:p>
            <w:pPr>
              <w:pStyle w:val="TableParagraph"/>
              <w:spacing w:before="234"/>
              <w:ind w:left="71"/>
              <w:rPr>
                <w:sz w:val="38"/>
              </w:rPr>
            </w:pPr>
            <w:r>
              <w:rPr>
                <w:sz w:val="38"/>
              </w:rPr>
              <w:t>Eyes: Cataracts</w:t>
            </w:r>
          </w:p>
        </w:tc>
        <w:tc>
          <w:tcPr>
            <w:tcW w:w="8224" w:type="dxa"/>
          </w:tcPr>
          <w:p>
            <w:pPr>
              <w:pStyle w:val="TableParagraph"/>
              <w:spacing w:line="276" w:lineRule="auto" w:before="231"/>
              <w:ind w:left="71" w:right="204"/>
              <w:rPr>
                <w:sz w:val="25"/>
              </w:rPr>
            </w:pPr>
            <w:r>
              <w:rPr>
                <w:sz w:val="38"/>
              </w:rPr>
              <w:t>As a reliable antioxidant, vitamin C prevents damage by free radicals (especially from light and oxygen) which can lead to cataracts.</w:t>
            </w:r>
            <w:r>
              <w:rPr>
                <w:position w:val="9"/>
                <w:sz w:val="25"/>
              </w:rPr>
              <w:t>1003</w:t>
            </w:r>
          </w:p>
        </w:tc>
      </w:tr>
      <w:tr>
        <w:trPr>
          <w:trHeight w:val="1221" w:hRule="atLeast"/>
        </w:trPr>
        <w:tc>
          <w:tcPr>
            <w:tcW w:w="2972" w:type="dxa"/>
          </w:tcPr>
          <w:p>
            <w:pPr>
              <w:pStyle w:val="TableParagraph"/>
              <w:spacing w:before="234"/>
              <w:ind w:left="71"/>
              <w:rPr>
                <w:sz w:val="38"/>
              </w:rPr>
            </w:pPr>
            <w:r>
              <w:rPr>
                <w:sz w:val="38"/>
              </w:rPr>
              <w:t>Eyes: Glaucoma</w:t>
            </w:r>
          </w:p>
        </w:tc>
        <w:tc>
          <w:tcPr>
            <w:tcW w:w="8224" w:type="dxa"/>
          </w:tcPr>
          <w:p>
            <w:pPr>
              <w:pStyle w:val="TableParagraph"/>
              <w:spacing w:line="490" w:lineRule="atLeast" w:before="169"/>
              <w:ind w:left="71"/>
              <w:rPr>
                <w:sz w:val="38"/>
              </w:rPr>
            </w:pPr>
            <w:r>
              <w:rPr>
                <w:sz w:val="38"/>
              </w:rPr>
              <w:t>Vitamin C effectively combats destructive, increased intraocular pressure in the eyes.</w:t>
            </w:r>
          </w:p>
        </w:tc>
      </w:tr>
      <w:tr>
        <w:trPr>
          <w:trHeight w:val="1665" w:hRule="atLeast"/>
        </w:trPr>
        <w:tc>
          <w:tcPr>
            <w:tcW w:w="2972" w:type="dxa"/>
          </w:tcPr>
          <w:p>
            <w:pPr>
              <w:pStyle w:val="TableParagraph"/>
              <w:spacing w:before="236"/>
              <w:ind w:left="71"/>
              <w:rPr>
                <w:sz w:val="38"/>
              </w:rPr>
            </w:pPr>
            <w:r>
              <w:rPr>
                <w:sz w:val="38"/>
              </w:rPr>
              <w:t>Conjunctivitis</w:t>
            </w:r>
          </w:p>
        </w:tc>
        <w:tc>
          <w:tcPr>
            <w:tcW w:w="8224" w:type="dxa"/>
          </w:tcPr>
          <w:p>
            <w:pPr>
              <w:pStyle w:val="TableParagraph"/>
              <w:spacing w:line="276" w:lineRule="auto" w:before="234"/>
              <w:ind w:left="71"/>
              <w:rPr>
                <w:sz w:val="38"/>
              </w:rPr>
            </w:pPr>
            <w:r>
              <w:rPr>
                <w:sz w:val="38"/>
              </w:rPr>
              <w:t>An eye solution consisting partly of vitamin C can heal conjunctivitis.</w:t>
            </w:r>
          </w:p>
        </w:tc>
      </w:tr>
      <w:tr>
        <w:trPr>
          <w:trHeight w:val="1224" w:hRule="atLeast"/>
        </w:trPr>
        <w:tc>
          <w:tcPr>
            <w:tcW w:w="2972" w:type="dxa"/>
          </w:tcPr>
          <w:p>
            <w:pPr>
              <w:pStyle w:val="TableParagraph"/>
              <w:spacing w:before="234"/>
              <w:ind w:left="71"/>
              <w:rPr>
                <w:sz w:val="38"/>
              </w:rPr>
            </w:pPr>
            <w:r>
              <w:rPr>
                <w:sz w:val="38"/>
              </w:rPr>
              <w:t>Inner eye bleeding</w:t>
            </w:r>
          </w:p>
        </w:tc>
        <w:tc>
          <w:tcPr>
            <w:tcW w:w="8224" w:type="dxa"/>
          </w:tcPr>
          <w:p>
            <w:pPr>
              <w:pStyle w:val="TableParagraph"/>
              <w:spacing w:line="490" w:lineRule="atLeast" w:before="169"/>
              <w:ind w:left="71" w:right="1200"/>
              <w:rPr>
                <w:sz w:val="38"/>
              </w:rPr>
            </w:pPr>
            <w:r>
              <w:rPr>
                <w:sz w:val="38"/>
              </w:rPr>
              <w:t>Eye vessels are strengthened and remain elastic through collagen and elastin development.</w:t>
            </w:r>
          </w:p>
        </w:tc>
      </w:tr>
      <w:tr>
        <w:trPr>
          <w:trHeight w:val="1914" w:hRule="atLeast"/>
        </w:trPr>
        <w:tc>
          <w:tcPr>
            <w:tcW w:w="2972" w:type="dxa"/>
          </w:tcPr>
          <w:p>
            <w:pPr>
              <w:pStyle w:val="TableParagraph"/>
              <w:spacing w:before="234"/>
              <w:ind w:left="71"/>
              <w:rPr>
                <w:sz w:val="38"/>
              </w:rPr>
            </w:pPr>
            <w:r>
              <w:rPr>
                <w:sz w:val="38"/>
              </w:rPr>
              <w:t>Heavy legs (calves)</w:t>
            </w:r>
          </w:p>
        </w:tc>
        <w:tc>
          <w:tcPr>
            <w:tcW w:w="8224" w:type="dxa"/>
          </w:tcPr>
          <w:p>
            <w:pPr>
              <w:pStyle w:val="TableParagraph"/>
              <w:spacing w:line="276" w:lineRule="auto" w:before="231"/>
              <w:ind w:left="71" w:right="500"/>
              <w:rPr>
                <w:sz w:val="38"/>
              </w:rPr>
            </w:pPr>
            <w:r>
              <w:rPr>
                <w:sz w:val="38"/>
              </w:rPr>
              <w:t>Blood can flow more easily with antioxidative pro- cesses and improved circulation, thereby preventing heavy legs.</w:t>
            </w:r>
          </w:p>
        </w:tc>
      </w:tr>
      <w:tr>
        <w:trPr>
          <w:trHeight w:val="930" w:hRule="atLeast"/>
        </w:trPr>
        <w:tc>
          <w:tcPr>
            <w:tcW w:w="2972" w:type="dxa"/>
          </w:tcPr>
          <w:p>
            <w:pPr>
              <w:pStyle w:val="TableParagraph"/>
              <w:spacing w:before="234"/>
              <w:ind w:left="71"/>
              <w:rPr>
                <w:sz w:val="38"/>
              </w:rPr>
            </w:pPr>
            <w:r>
              <w:rPr>
                <w:sz w:val="38"/>
              </w:rPr>
              <w:t>Dry skin</w:t>
            </w:r>
          </w:p>
        </w:tc>
        <w:tc>
          <w:tcPr>
            <w:tcW w:w="8224" w:type="dxa"/>
          </w:tcPr>
          <w:p>
            <w:pPr>
              <w:pStyle w:val="TableParagraph"/>
              <w:spacing w:before="231"/>
              <w:ind w:left="71"/>
              <w:rPr>
                <w:sz w:val="38"/>
              </w:rPr>
            </w:pPr>
            <w:r>
              <w:rPr>
                <w:sz w:val="38"/>
              </w:rPr>
              <w:t>Collagen and elastin development and regeneration</w:t>
            </w:r>
          </w:p>
        </w:tc>
      </w:tr>
    </w:tbl>
    <w:p>
      <w:pPr>
        <w:pStyle w:val="BodyText"/>
        <w:spacing w:before="8"/>
        <w:rPr>
          <w:sz w:val="17"/>
        </w:rPr>
      </w:pPr>
      <w:r>
        <w:rPr/>
        <w:pict>
          <v:line style="position:absolute;mso-position-horizontal-relative:page;mso-position-vertical-relative:paragraph;z-index:13784;mso-wrap-distance-left:0;mso-wrap-distance-right:0" from="70.823997pt,12.360015pt" to="214.843997pt,12.360015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1003 </w:t>
      </w:r>
      <w:r>
        <w:rPr>
          <w:sz w:val="20"/>
        </w:rPr>
        <w:t>Heseker H.: Antioxidative vitamins and cataracts in old age. Zeitschrift für Ernährungswissenschaft 1995; 34, 3, pp. 167–176</w:t>
      </w:r>
    </w:p>
    <w:p>
      <w:pPr>
        <w:spacing w:after="0"/>
        <w:jc w:val="left"/>
        <w:rPr>
          <w:sz w:val="20"/>
        </w:rPr>
        <w:sectPr>
          <w:pgSz w:w="14270" w:h="16850"/>
          <w:pgMar w:header="0" w:footer="404" w:top="1420" w:bottom="2080" w:left="800" w:right="1280"/>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2"/>
        <w:gridCol w:w="8224"/>
      </w:tblGrid>
      <w:tr>
        <w:trPr>
          <w:trHeight w:val="693" w:hRule="atLeast"/>
        </w:trPr>
        <w:tc>
          <w:tcPr>
            <w:tcW w:w="2972" w:type="dxa"/>
          </w:tcPr>
          <w:p>
            <w:pPr>
              <w:pStyle w:val="TableParagraph"/>
              <w:rPr>
                <w:rFonts w:ascii="Times New Roman"/>
                <w:sz w:val="36"/>
              </w:rPr>
            </w:pPr>
          </w:p>
        </w:tc>
        <w:tc>
          <w:tcPr>
            <w:tcW w:w="8224" w:type="dxa"/>
          </w:tcPr>
          <w:p>
            <w:pPr>
              <w:pStyle w:val="TableParagraph"/>
              <w:spacing w:line="424" w:lineRule="exact"/>
              <w:ind w:left="71"/>
              <w:rPr>
                <w:sz w:val="38"/>
              </w:rPr>
            </w:pPr>
            <w:r>
              <w:rPr>
                <w:sz w:val="38"/>
              </w:rPr>
              <w:t>prevents dry skin and makes it smooth again.</w:t>
            </w:r>
          </w:p>
        </w:tc>
      </w:tr>
      <w:tr>
        <w:trPr>
          <w:trHeight w:val="1914" w:hRule="atLeast"/>
        </w:trPr>
        <w:tc>
          <w:tcPr>
            <w:tcW w:w="2972" w:type="dxa"/>
          </w:tcPr>
          <w:p>
            <w:pPr>
              <w:pStyle w:val="TableParagraph"/>
              <w:spacing w:before="234"/>
              <w:ind w:left="71"/>
              <w:rPr>
                <w:sz w:val="38"/>
              </w:rPr>
            </w:pPr>
            <w:r>
              <w:rPr>
                <w:sz w:val="38"/>
              </w:rPr>
              <w:t>Acne/spots</w:t>
            </w:r>
          </w:p>
        </w:tc>
        <w:tc>
          <w:tcPr>
            <w:tcW w:w="8224" w:type="dxa"/>
          </w:tcPr>
          <w:p>
            <w:pPr>
              <w:pStyle w:val="TableParagraph"/>
              <w:spacing w:line="276" w:lineRule="auto" w:before="231"/>
              <w:ind w:left="71" w:right="92"/>
              <w:rPr>
                <w:sz w:val="38"/>
              </w:rPr>
            </w:pPr>
            <w:r>
              <w:rPr>
                <w:sz w:val="38"/>
              </w:rPr>
              <w:t>Hormonal influences and accelerated collagen and elastin development prevents acne and spots and elim- inates existing ones.</w:t>
            </w:r>
          </w:p>
        </w:tc>
      </w:tr>
      <w:tr>
        <w:trPr>
          <w:trHeight w:val="1663" w:hRule="atLeast"/>
        </w:trPr>
        <w:tc>
          <w:tcPr>
            <w:tcW w:w="2972" w:type="dxa"/>
          </w:tcPr>
          <w:p>
            <w:pPr>
              <w:pStyle w:val="TableParagraph"/>
              <w:spacing w:before="234"/>
              <w:ind w:left="71"/>
              <w:rPr>
                <w:sz w:val="38"/>
              </w:rPr>
            </w:pPr>
            <w:r>
              <w:rPr>
                <w:sz w:val="38"/>
              </w:rPr>
              <w:t>Stretch marks</w:t>
            </w:r>
          </w:p>
        </w:tc>
        <w:tc>
          <w:tcPr>
            <w:tcW w:w="8224" w:type="dxa"/>
          </w:tcPr>
          <w:p>
            <w:pPr>
              <w:pStyle w:val="TableParagraph"/>
              <w:spacing w:line="278" w:lineRule="auto" w:before="231"/>
              <w:ind w:left="71" w:right="85"/>
              <w:rPr>
                <w:sz w:val="38"/>
              </w:rPr>
            </w:pPr>
            <w:r>
              <w:rPr>
                <w:sz w:val="38"/>
              </w:rPr>
              <w:t>Accelerated collagen and elastin development prevents stretch marks and counteracts existing ones.</w:t>
            </w:r>
          </w:p>
        </w:tc>
      </w:tr>
      <w:tr>
        <w:trPr>
          <w:trHeight w:val="2394" w:hRule="atLeast"/>
        </w:trPr>
        <w:tc>
          <w:tcPr>
            <w:tcW w:w="2972" w:type="dxa"/>
          </w:tcPr>
          <w:p>
            <w:pPr>
              <w:pStyle w:val="TableParagraph"/>
              <w:spacing w:before="234"/>
              <w:ind w:left="71"/>
              <w:rPr>
                <w:sz w:val="38"/>
              </w:rPr>
            </w:pPr>
            <w:r>
              <w:rPr>
                <w:sz w:val="38"/>
              </w:rPr>
              <w:t>Skin eczema</w:t>
            </w:r>
          </w:p>
        </w:tc>
        <w:tc>
          <w:tcPr>
            <w:tcW w:w="8224" w:type="dxa"/>
          </w:tcPr>
          <w:p>
            <w:pPr>
              <w:pStyle w:val="TableParagraph"/>
              <w:spacing w:line="278" w:lineRule="auto" w:before="231"/>
              <w:ind w:left="71" w:right="85"/>
              <w:rPr>
                <w:sz w:val="38"/>
              </w:rPr>
            </w:pPr>
            <w:r>
              <w:rPr>
                <w:sz w:val="38"/>
              </w:rPr>
              <w:t>Accelerated collagen and elastin development prevents eczema and counteracts existing conditions.</w:t>
            </w:r>
          </w:p>
        </w:tc>
      </w:tr>
      <w:tr>
        <w:trPr>
          <w:trHeight w:val="2407" w:hRule="atLeast"/>
        </w:trPr>
        <w:tc>
          <w:tcPr>
            <w:tcW w:w="2972" w:type="dxa"/>
          </w:tcPr>
          <w:p>
            <w:pPr>
              <w:pStyle w:val="TableParagraph"/>
              <w:spacing w:before="234"/>
              <w:ind w:left="71"/>
              <w:rPr>
                <w:sz w:val="38"/>
              </w:rPr>
            </w:pPr>
            <w:r>
              <w:rPr>
                <w:sz w:val="38"/>
              </w:rPr>
              <w:t>Wrinkles</w:t>
            </w:r>
          </w:p>
        </w:tc>
        <w:tc>
          <w:tcPr>
            <w:tcW w:w="8224" w:type="dxa"/>
          </w:tcPr>
          <w:p>
            <w:pPr>
              <w:pStyle w:val="TableParagraph"/>
              <w:spacing w:line="276" w:lineRule="auto" w:before="232"/>
              <w:ind w:left="71" w:right="132"/>
              <w:rPr>
                <w:sz w:val="38"/>
              </w:rPr>
            </w:pPr>
            <w:r>
              <w:rPr>
                <w:sz w:val="38"/>
              </w:rPr>
              <w:t>Collagen and elastin development as well as the regen- eration of skin cells prevents wrinkles and minimises existing wrinkles. The antioxidative effect protects cells from destruction (ageing).</w:t>
            </w:r>
          </w:p>
        </w:tc>
      </w:tr>
      <w:tr>
        <w:trPr>
          <w:trHeight w:val="2887" w:hRule="atLeast"/>
        </w:trPr>
        <w:tc>
          <w:tcPr>
            <w:tcW w:w="2972" w:type="dxa"/>
          </w:tcPr>
          <w:p>
            <w:pPr>
              <w:pStyle w:val="TableParagraph"/>
              <w:spacing w:line="278" w:lineRule="auto" w:before="231"/>
              <w:ind w:left="71" w:right="880"/>
              <w:rPr>
                <w:sz w:val="38"/>
              </w:rPr>
            </w:pPr>
            <w:r>
              <w:rPr>
                <w:sz w:val="38"/>
              </w:rPr>
              <w:t>Cold feet and hands</w:t>
            </w:r>
          </w:p>
        </w:tc>
        <w:tc>
          <w:tcPr>
            <w:tcW w:w="8224" w:type="dxa"/>
          </w:tcPr>
          <w:p>
            <w:pPr>
              <w:pStyle w:val="TableParagraph"/>
              <w:spacing w:line="276" w:lineRule="auto" w:before="231"/>
              <w:ind w:left="71" w:right="104"/>
              <w:rPr>
                <w:sz w:val="38"/>
              </w:rPr>
            </w:pPr>
            <w:r>
              <w:rPr>
                <w:sz w:val="38"/>
              </w:rPr>
              <w:t>The antioxidative process and improved circulation mean blood can reach the extremities more easily, pre- venting cold feet and hands.</w:t>
            </w:r>
          </w:p>
        </w:tc>
      </w:tr>
    </w:tbl>
    <w:p>
      <w:pPr>
        <w:spacing w:after="0" w:line="276" w:lineRule="auto"/>
        <w:rPr>
          <w:sz w:val="38"/>
        </w:rPr>
        <w:sectPr>
          <w:pgSz w:w="14270" w:h="16850"/>
          <w:pgMar w:header="0" w:footer="404" w:top="1420" w:bottom="600" w:left="800" w:right="1280"/>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2"/>
        <w:gridCol w:w="8224"/>
      </w:tblGrid>
      <w:tr>
        <w:trPr>
          <w:trHeight w:val="2395" w:hRule="atLeast"/>
        </w:trPr>
        <w:tc>
          <w:tcPr>
            <w:tcW w:w="2972" w:type="dxa"/>
          </w:tcPr>
          <w:p>
            <w:pPr>
              <w:pStyle w:val="TableParagraph"/>
              <w:spacing w:before="236"/>
              <w:ind w:left="71"/>
              <w:rPr>
                <w:sz w:val="38"/>
              </w:rPr>
            </w:pPr>
            <w:r>
              <w:rPr>
                <w:sz w:val="38"/>
              </w:rPr>
              <w:t>Weather sensitivity</w:t>
            </w:r>
          </w:p>
        </w:tc>
        <w:tc>
          <w:tcPr>
            <w:tcW w:w="8224" w:type="dxa"/>
          </w:tcPr>
          <w:p>
            <w:pPr>
              <w:pStyle w:val="TableParagraph"/>
              <w:spacing w:line="276" w:lineRule="auto" w:before="234"/>
              <w:ind w:left="71" w:right="132"/>
              <w:rPr>
                <w:sz w:val="38"/>
              </w:rPr>
            </w:pPr>
            <w:r>
              <w:rPr>
                <w:sz w:val="38"/>
              </w:rPr>
              <w:t>The antioxidative process and improved circulation mean blood can reach the extremities more easily, eas- ing weather sensitivity.</w:t>
            </w:r>
          </w:p>
        </w:tc>
      </w:tr>
      <w:tr>
        <w:trPr>
          <w:trHeight w:val="2155" w:hRule="atLeast"/>
        </w:trPr>
        <w:tc>
          <w:tcPr>
            <w:tcW w:w="2972" w:type="dxa"/>
          </w:tcPr>
          <w:p>
            <w:pPr>
              <w:pStyle w:val="TableParagraph"/>
              <w:spacing w:line="276" w:lineRule="auto" w:before="234"/>
              <w:ind w:left="71" w:right="619"/>
              <w:rPr>
                <w:sz w:val="38"/>
              </w:rPr>
            </w:pPr>
            <w:r>
              <w:rPr>
                <w:sz w:val="38"/>
              </w:rPr>
              <w:t>Arthrosis (joint wear)</w:t>
            </w:r>
          </w:p>
        </w:tc>
        <w:tc>
          <w:tcPr>
            <w:tcW w:w="8224" w:type="dxa"/>
          </w:tcPr>
          <w:p>
            <w:pPr>
              <w:pStyle w:val="TableParagraph"/>
              <w:spacing w:line="276" w:lineRule="auto" w:before="234"/>
              <w:ind w:left="71" w:right="928"/>
              <w:rPr>
                <w:sz w:val="38"/>
              </w:rPr>
            </w:pPr>
            <w:r>
              <w:rPr>
                <w:sz w:val="38"/>
              </w:rPr>
              <w:t>The hyaline cartilage is regenerated thanks to im- proved collagen and elastin synthesis.</w:t>
            </w:r>
          </w:p>
        </w:tc>
      </w:tr>
      <w:tr>
        <w:trPr>
          <w:trHeight w:val="2406" w:hRule="atLeast"/>
        </w:trPr>
        <w:tc>
          <w:tcPr>
            <w:tcW w:w="2972" w:type="dxa"/>
          </w:tcPr>
          <w:p>
            <w:pPr>
              <w:pStyle w:val="TableParagraph"/>
              <w:spacing w:line="276" w:lineRule="auto" w:before="234"/>
              <w:ind w:left="71" w:right="203"/>
              <w:rPr>
                <w:sz w:val="38"/>
              </w:rPr>
            </w:pPr>
            <w:r>
              <w:rPr>
                <w:sz w:val="38"/>
              </w:rPr>
              <w:t>Poisoning from heavy metals, pes- ticides and other sources</w:t>
            </w:r>
          </w:p>
        </w:tc>
        <w:tc>
          <w:tcPr>
            <w:tcW w:w="8224" w:type="dxa"/>
          </w:tcPr>
          <w:p>
            <w:pPr>
              <w:pStyle w:val="TableParagraph"/>
              <w:spacing w:line="276" w:lineRule="auto" w:before="234"/>
              <w:ind w:left="71" w:right="583"/>
              <w:rPr>
                <w:sz w:val="38"/>
              </w:rPr>
            </w:pPr>
            <w:r>
              <w:rPr>
                <w:sz w:val="38"/>
              </w:rPr>
              <w:t>As a catalyser, vitamin C deconstructs heavy metals and other poisonous substances in our bodies.</w:t>
            </w:r>
          </w:p>
        </w:tc>
      </w:tr>
      <w:tr>
        <w:trPr>
          <w:trHeight w:val="1915" w:hRule="atLeast"/>
        </w:trPr>
        <w:tc>
          <w:tcPr>
            <w:tcW w:w="2972" w:type="dxa"/>
          </w:tcPr>
          <w:p>
            <w:pPr>
              <w:pStyle w:val="TableParagraph"/>
              <w:spacing w:before="236"/>
              <w:ind w:left="71"/>
              <w:rPr>
                <w:sz w:val="38"/>
              </w:rPr>
            </w:pPr>
            <w:r>
              <w:rPr>
                <w:sz w:val="38"/>
              </w:rPr>
              <w:t>Sleep disorders</w:t>
            </w:r>
          </w:p>
        </w:tc>
        <w:tc>
          <w:tcPr>
            <w:tcW w:w="8224" w:type="dxa"/>
          </w:tcPr>
          <w:p>
            <w:pPr>
              <w:pStyle w:val="TableParagraph"/>
              <w:spacing w:line="276" w:lineRule="auto" w:before="234"/>
              <w:ind w:left="71" w:right="97"/>
              <w:rPr>
                <w:sz w:val="38"/>
              </w:rPr>
            </w:pPr>
            <w:r>
              <w:rPr>
                <w:sz w:val="38"/>
              </w:rPr>
              <w:t>The influence on the endocrine system (including mel- atonin) improves the day and night rhythm and pre- vents sleep disorders.</w:t>
            </w:r>
          </w:p>
        </w:tc>
      </w:tr>
      <w:tr>
        <w:trPr>
          <w:trHeight w:val="2208" w:hRule="atLeast"/>
        </w:trPr>
        <w:tc>
          <w:tcPr>
            <w:tcW w:w="2972" w:type="dxa"/>
          </w:tcPr>
          <w:p>
            <w:pPr>
              <w:pStyle w:val="TableParagraph"/>
              <w:spacing w:line="276" w:lineRule="auto" w:before="234"/>
              <w:ind w:left="71"/>
              <w:rPr>
                <w:sz w:val="38"/>
              </w:rPr>
            </w:pPr>
            <w:r>
              <w:rPr>
                <w:w w:val="95"/>
                <w:sz w:val="38"/>
              </w:rPr>
              <w:t>Stroke/cerebral </w:t>
            </w:r>
            <w:r>
              <w:rPr>
                <w:sz w:val="38"/>
              </w:rPr>
              <w:t>apoplexy</w:t>
            </w:r>
          </w:p>
        </w:tc>
        <w:tc>
          <w:tcPr>
            <w:tcW w:w="8224" w:type="dxa"/>
          </w:tcPr>
          <w:p>
            <w:pPr>
              <w:pStyle w:val="TableParagraph"/>
              <w:spacing w:line="276" w:lineRule="auto" w:before="234"/>
              <w:ind w:left="71" w:right="385"/>
              <w:rPr>
                <w:sz w:val="38"/>
              </w:rPr>
            </w:pPr>
            <w:r>
              <w:rPr>
                <w:sz w:val="38"/>
              </w:rPr>
              <w:t>The intima (inner vascular wall) remains smooth and supple due to active collagen development, calcium and fat deposits cannot attach, atherosclerosis, the</w:t>
            </w:r>
          </w:p>
          <w:p>
            <w:pPr>
              <w:pStyle w:val="TableParagraph"/>
              <w:spacing w:line="427" w:lineRule="exact"/>
              <w:ind w:left="71"/>
              <w:rPr>
                <w:sz w:val="38"/>
              </w:rPr>
            </w:pPr>
            <w:r>
              <w:rPr>
                <w:sz w:val="38"/>
              </w:rPr>
              <w:t>main cause of strokes, is prevented and existing ather-</w:t>
            </w:r>
          </w:p>
        </w:tc>
      </w:tr>
    </w:tbl>
    <w:p>
      <w:pPr>
        <w:spacing w:after="0" w:line="427" w:lineRule="exact"/>
        <w:rPr>
          <w:sz w:val="38"/>
        </w:rPr>
        <w:sectPr>
          <w:pgSz w:w="14270" w:h="16850"/>
          <w:pgMar w:header="0" w:footer="404" w:top="1420" w:bottom="600" w:left="800" w:right="1280"/>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2"/>
        <w:gridCol w:w="8224"/>
      </w:tblGrid>
      <w:tr>
        <w:trPr>
          <w:trHeight w:val="2659" w:hRule="atLeast"/>
        </w:trPr>
        <w:tc>
          <w:tcPr>
            <w:tcW w:w="2972" w:type="dxa"/>
          </w:tcPr>
          <w:p>
            <w:pPr>
              <w:pStyle w:val="TableParagraph"/>
              <w:rPr>
                <w:rFonts w:ascii="Times New Roman"/>
                <w:sz w:val="34"/>
              </w:rPr>
            </w:pPr>
          </w:p>
        </w:tc>
        <w:tc>
          <w:tcPr>
            <w:tcW w:w="8224" w:type="dxa"/>
          </w:tcPr>
          <w:p>
            <w:pPr>
              <w:pStyle w:val="TableParagraph"/>
              <w:spacing w:line="276" w:lineRule="auto"/>
              <w:ind w:left="71"/>
              <w:rPr>
                <w:sz w:val="38"/>
              </w:rPr>
            </w:pPr>
            <w:r>
              <w:rPr>
                <w:sz w:val="38"/>
              </w:rPr>
              <w:t>osclerosis is broken down. Smooth muscle cell tu- mours are also prevented. Vitamin C protects against fatty acids and deconstructs fatty deposits and there- fore represents an antioxidative protection for LDL cholesterol.</w:t>
            </w:r>
          </w:p>
        </w:tc>
      </w:tr>
      <w:tr>
        <w:trPr>
          <w:trHeight w:val="4865" w:hRule="atLeast"/>
        </w:trPr>
        <w:tc>
          <w:tcPr>
            <w:tcW w:w="2972" w:type="dxa"/>
          </w:tcPr>
          <w:p>
            <w:pPr>
              <w:pStyle w:val="TableParagraph"/>
              <w:spacing w:before="234"/>
              <w:ind w:left="71"/>
              <w:rPr>
                <w:sz w:val="38"/>
              </w:rPr>
            </w:pPr>
            <w:r>
              <w:rPr>
                <w:sz w:val="38"/>
              </w:rPr>
              <w:t>Heart attack</w:t>
            </w:r>
          </w:p>
        </w:tc>
        <w:tc>
          <w:tcPr>
            <w:tcW w:w="8224" w:type="dxa"/>
          </w:tcPr>
          <w:p>
            <w:pPr>
              <w:pStyle w:val="TableParagraph"/>
              <w:spacing w:line="276" w:lineRule="auto" w:before="231"/>
              <w:ind w:left="71" w:right="204"/>
              <w:rPr>
                <w:sz w:val="25"/>
              </w:rPr>
            </w:pPr>
            <w:r>
              <w:rPr>
                <w:sz w:val="38"/>
              </w:rPr>
              <w:t>Through active collagen construction, the intima (in- ner vessel wall) is kept smooth and supple, calcium and fat deposits cannot attach, atherosclerosis, the main cause of heart attacks, is prevented and existing atherosclerosis is reduced. Smooth muscle cell tu- mours are also prevented. Vitamin C protects against fatty acids and deconstructs fatty deposits and there- fore represents an antioxidative protection for LDL cholesterol.</w:t>
            </w:r>
            <w:r>
              <w:rPr>
                <w:position w:val="9"/>
                <w:sz w:val="25"/>
              </w:rPr>
              <w:t>1004</w:t>
            </w:r>
          </w:p>
        </w:tc>
      </w:tr>
      <w:tr>
        <w:trPr>
          <w:trHeight w:val="3192" w:hRule="atLeast"/>
        </w:trPr>
        <w:tc>
          <w:tcPr>
            <w:tcW w:w="2972" w:type="dxa"/>
          </w:tcPr>
          <w:p>
            <w:pPr>
              <w:pStyle w:val="TableParagraph"/>
              <w:spacing w:before="234"/>
              <w:ind w:left="71"/>
              <w:rPr>
                <w:sz w:val="38"/>
              </w:rPr>
            </w:pPr>
            <w:r>
              <w:rPr>
                <w:sz w:val="38"/>
              </w:rPr>
              <w:t>Thrombosis</w:t>
            </w:r>
          </w:p>
        </w:tc>
        <w:tc>
          <w:tcPr>
            <w:tcW w:w="8224" w:type="dxa"/>
          </w:tcPr>
          <w:p>
            <w:pPr>
              <w:pStyle w:val="TableParagraph"/>
              <w:spacing w:line="490" w:lineRule="atLeast" w:before="169"/>
              <w:ind w:left="71" w:right="286"/>
              <w:rPr>
                <w:sz w:val="38"/>
              </w:rPr>
            </w:pPr>
            <w:r>
              <w:rPr>
                <w:sz w:val="38"/>
              </w:rPr>
              <w:t>Collagen development protects the inner vessel wall from damage and keeps it smooth and supple. Cal- cium and fat deposits cannot attach, atherosclerosis, the main cause of thrombosis, is prevented and exist- ing atherosclerosis is reduced. Furthermore, smooth muscle tumours are prevented, vitamin C protects</w:t>
            </w:r>
          </w:p>
        </w:tc>
      </w:tr>
    </w:tbl>
    <w:p>
      <w:pPr>
        <w:pStyle w:val="BodyText"/>
        <w:spacing w:before="4"/>
        <w:rPr>
          <w:sz w:val="24"/>
        </w:rPr>
      </w:pPr>
      <w:r>
        <w:rPr/>
        <w:pict>
          <v:line style="position:absolute;mso-position-horizontal-relative:page;mso-position-vertical-relative:paragraph;z-index:13808;mso-wrap-distance-left:0;mso-wrap-distance-right:0" from="70.823997pt,16.079985pt" to="214.843997pt,16.079985pt" stroked="true" strokeweight=".72003pt" strokecolor="#000000">
            <v:stroke dashstyle="solid"/>
            <w10:wrap type="topAndBottom"/>
          </v:line>
        </w:pict>
      </w:r>
    </w:p>
    <w:p>
      <w:pPr>
        <w:pStyle w:val="BodyText"/>
        <w:spacing w:before="3"/>
        <w:rPr>
          <w:sz w:val="20"/>
        </w:rPr>
      </w:pPr>
    </w:p>
    <w:p>
      <w:pPr>
        <w:spacing w:line="283" w:lineRule="auto" w:before="100"/>
        <w:ind w:left="616" w:right="559" w:firstLine="0"/>
        <w:jc w:val="left"/>
        <w:rPr>
          <w:sz w:val="20"/>
        </w:rPr>
      </w:pPr>
      <w:r>
        <w:rPr>
          <w:position w:val="5"/>
          <w:sz w:val="14"/>
        </w:rPr>
        <w:t>1004 </w:t>
      </w:r>
      <w:r>
        <w:rPr>
          <w:sz w:val="20"/>
        </w:rPr>
        <w:t>Gale L. R. et al.: Vitamin C and risk of death from stroke and coronary heart disease in cohort of elderly people. Br. J. Med. 1995; 310, pp. 1563–1566</w:t>
      </w:r>
    </w:p>
    <w:p>
      <w:pPr>
        <w:spacing w:after="0" w:line="283" w:lineRule="auto"/>
        <w:jc w:val="left"/>
        <w:rPr>
          <w:sz w:val="20"/>
        </w:rPr>
        <w:sectPr>
          <w:pgSz w:w="14270" w:h="16850"/>
          <w:pgMar w:header="0" w:footer="404" w:top="1420" w:bottom="600" w:left="800" w:right="1280"/>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2"/>
        <w:gridCol w:w="8224"/>
      </w:tblGrid>
      <w:tr>
        <w:trPr>
          <w:trHeight w:val="1675" w:hRule="atLeast"/>
        </w:trPr>
        <w:tc>
          <w:tcPr>
            <w:tcW w:w="2972" w:type="dxa"/>
          </w:tcPr>
          <w:p>
            <w:pPr>
              <w:pStyle w:val="TableParagraph"/>
              <w:rPr>
                <w:rFonts w:ascii="Times New Roman"/>
                <w:sz w:val="36"/>
              </w:rPr>
            </w:pPr>
          </w:p>
        </w:tc>
        <w:tc>
          <w:tcPr>
            <w:tcW w:w="8224" w:type="dxa"/>
          </w:tcPr>
          <w:p>
            <w:pPr>
              <w:pStyle w:val="TableParagraph"/>
              <w:spacing w:line="276" w:lineRule="auto"/>
              <w:ind w:left="71"/>
              <w:rPr>
                <w:sz w:val="38"/>
              </w:rPr>
            </w:pPr>
            <w:r>
              <w:rPr>
                <w:sz w:val="38"/>
              </w:rPr>
              <w:t>against fatty acids, deconstructs fatty deposits and rep- resents an antioxidative protection for LDL choles- terol.</w:t>
            </w:r>
          </w:p>
        </w:tc>
      </w:tr>
      <w:tr>
        <w:trPr>
          <w:trHeight w:val="3391" w:hRule="atLeast"/>
        </w:trPr>
        <w:tc>
          <w:tcPr>
            <w:tcW w:w="2972" w:type="dxa"/>
          </w:tcPr>
          <w:p>
            <w:pPr>
              <w:pStyle w:val="TableParagraph"/>
              <w:spacing w:line="276" w:lineRule="auto" w:before="234"/>
              <w:ind w:left="71" w:right="346"/>
              <w:rPr>
                <w:sz w:val="38"/>
              </w:rPr>
            </w:pPr>
            <w:r>
              <w:rPr>
                <w:sz w:val="38"/>
              </w:rPr>
              <w:t>High blood pres- sure</w:t>
            </w:r>
          </w:p>
        </w:tc>
        <w:tc>
          <w:tcPr>
            <w:tcW w:w="8224" w:type="dxa"/>
          </w:tcPr>
          <w:p>
            <w:pPr>
              <w:pStyle w:val="TableParagraph"/>
              <w:spacing w:line="276" w:lineRule="auto" w:before="234"/>
              <w:ind w:left="71" w:right="49"/>
              <w:rPr>
                <w:sz w:val="38"/>
              </w:rPr>
            </w:pPr>
            <w:r>
              <w:rPr>
                <w:sz w:val="38"/>
              </w:rPr>
              <w:t>Vitamin C deficit has a direct correlation with high blood pressure. Vitamin C supply significantly reduces high blood pressure due, among other things, to im- proved collagen and elastin synthesis and thereby ef- fects regeneration and increased elasticity in blood ves- sels.</w:t>
            </w:r>
          </w:p>
        </w:tc>
      </w:tr>
      <w:tr>
        <w:trPr>
          <w:trHeight w:val="1914" w:hRule="atLeast"/>
        </w:trPr>
        <w:tc>
          <w:tcPr>
            <w:tcW w:w="2972" w:type="dxa"/>
          </w:tcPr>
          <w:p>
            <w:pPr>
              <w:pStyle w:val="TableParagraph"/>
              <w:spacing w:line="276" w:lineRule="auto" w:before="231"/>
              <w:ind w:left="71" w:right="199"/>
              <w:rPr>
                <w:sz w:val="38"/>
              </w:rPr>
            </w:pPr>
            <w:r>
              <w:rPr>
                <w:sz w:val="38"/>
              </w:rPr>
              <w:t>Connective tissue: sagging skin and cellulite</w:t>
            </w:r>
          </w:p>
        </w:tc>
        <w:tc>
          <w:tcPr>
            <w:tcW w:w="8224" w:type="dxa"/>
          </w:tcPr>
          <w:p>
            <w:pPr>
              <w:pStyle w:val="TableParagraph"/>
              <w:spacing w:line="278" w:lineRule="auto" w:before="231"/>
              <w:ind w:left="71"/>
              <w:rPr>
                <w:sz w:val="38"/>
              </w:rPr>
            </w:pPr>
            <w:r>
              <w:rPr>
                <w:sz w:val="38"/>
              </w:rPr>
              <w:t>The active construction and renewal of collagen and elastin prevent sagging skin and cellulite.</w:t>
            </w:r>
          </w:p>
        </w:tc>
      </w:tr>
      <w:tr>
        <w:trPr>
          <w:trHeight w:val="2155" w:hRule="atLeast"/>
        </w:trPr>
        <w:tc>
          <w:tcPr>
            <w:tcW w:w="2972" w:type="dxa"/>
          </w:tcPr>
          <w:p>
            <w:pPr>
              <w:pStyle w:val="TableParagraph"/>
              <w:spacing w:line="278" w:lineRule="auto" w:before="232"/>
              <w:ind w:left="71"/>
              <w:rPr>
                <w:sz w:val="38"/>
              </w:rPr>
            </w:pPr>
            <w:r>
              <w:rPr>
                <w:w w:val="95"/>
                <w:sz w:val="38"/>
              </w:rPr>
              <w:t>Post-traumatic </w:t>
            </w:r>
            <w:r>
              <w:rPr>
                <w:sz w:val="38"/>
              </w:rPr>
              <w:t>dystrophy</w:t>
            </w:r>
          </w:p>
          <w:p>
            <w:pPr>
              <w:pStyle w:val="TableParagraph"/>
              <w:spacing w:before="232"/>
              <w:ind w:left="71"/>
              <w:rPr>
                <w:sz w:val="38"/>
              </w:rPr>
            </w:pPr>
            <w:r>
              <w:rPr>
                <w:sz w:val="38"/>
              </w:rPr>
              <w:t>(Sudeck syndrome)</w:t>
            </w:r>
          </w:p>
        </w:tc>
        <w:tc>
          <w:tcPr>
            <w:tcW w:w="8224" w:type="dxa"/>
          </w:tcPr>
          <w:p>
            <w:pPr>
              <w:pStyle w:val="TableParagraph"/>
              <w:spacing w:line="278" w:lineRule="auto" w:before="232"/>
              <w:ind w:left="71" w:right="488"/>
              <w:rPr>
                <w:sz w:val="38"/>
              </w:rPr>
            </w:pPr>
            <w:r>
              <w:rPr>
                <w:sz w:val="38"/>
              </w:rPr>
              <w:t>The consumption of just 500 mg of vitamin C a day can protect against Sudeck syndrome.</w:t>
            </w:r>
          </w:p>
        </w:tc>
      </w:tr>
      <w:tr>
        <w:trPr>
          <w:trHeight w:val="2208" w:hRule="atLeast"/>
        </w:trPr>
        <w:tc>
          <w:tcPr>
            <w:tcW w:w="2972" w:type="dxa"/>
          </w:tcPr>
          <w:p>
            <w:pPr>
              <w:pStyle w:val="TableParagraph"/>
              <w:spacing w:before="234"/>
              <w:ind w:left="71"/>
              <w:rPr>
                <w:sz w:val="38"/>
              </w:rPr>
            </w:pPr>
            <w:r>
              <w:rPr>
                <w:sz w:val="38"/>
              </w:rPr>
              <w:t>Cancer</w:t>
            </w:r>
          </w:p>
        </w:tc>
        <w:tc>
          <w:tcPr>
            <w:tcW w:w="8224" w:type="dxa"/>
          </w:tcPr>
          <w:p>
            <w:pPr>
              <w:pStyle w:val="TableParagraph"/>
              <w:spacing w:line="276" w:lineRule="auto" w:before="231"/>
              <w:ind w:left="71"/>
              <w:rPr>
                <w:sz w:val="38"/>
              </w:rPr>
            </w:pPr>
            <w:r>
              <w:rPr>
                <w:sz w:val="38"/>
              </w:rPr>
              <w:t>Is prevented or combatted by support of the immune system and build-up of collagen and elastin. Vitamin C inhibits the formation of nitrosamines, increases iron</w:t>
            </w:r>
          </w:p>
          <w:p>
            <w:pPr>
              <w:pStyle w:val="TableParagraph"/>
              <w:spacing w:before="2"/>
              <w:ind w:left="71"/>
              <w:rPr>
                <w:sz w:val="38"/>
              </w:rPr>
            </w:pPr>
            <w:r>
              <w:rPr>
                <w:sz w:val="38"/>
              </w:rPr>
              <w:t>absorption and reduces heavy metal pollution. Epide-</w:t>
            </w:r>
          </w:p>
        </w:tc>
      </w:tr>
    </w:tbl>
    <w:p>
      <w:pPr>
        <w:spacing w:after="0"/>
        <w:rPr>
          <w:sz w:val="38"/>
        </w:rPr>
        <w:sectPr>
          <w:footerReference w:type="default" r:id="rId459"/>
          <w:pgSz w:w="14270" w:h="16850"/>
          <w:pgMar w:footer="404" w:header="0" w:top="1420" w:bottom="600" w:left="800" w:right="1280"/>
          <w:pgNumType w:start="1750"/>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2"/>
        <w:gridCol w:w="8224"/>
      </w:tblGrid>
      <w:tr>
        <w:trPr>
          <w:trHeight w:val="1185" w:hRule="atLeast"/>
        </w:trPr>
        <w:tc>
          <w:tcPr>
            <w:tcW w:w="2972" w:type="dxa"/>
          </w:tcPr>
          <w:p>
            <w:pPr>
              <w:pStyle w:val="TableParagraph"/>
              <w:rPr>
                <w:rFonts w:ascii="Times New Roman"/>
                <w:sz w:val="32"/>
              </w:rPr>
            </w:pPr>
          </w:p>
        </w:tc>
        <w:tc>
          <w:tcPr>
            <w:tcW w:w="8224" w:type="dxa"/>
          </w:tcPr>
          <w:p>
            <w:pPr>
              <w:pStyle w:val="TableParagraph"/>
              <w:spacing w:line="276" w:lineRule="auto"/>
              <w:ind w:left="71"/>
              <w:rPr>
                <w:sz w:val="25"/>
              </w:rPr>
            </w:pPr>
            <w:r>
              <w:rPr>
                <w:sz w:val="38"/>
              </w:rPr>
              <w:t>miological studies prove vitamin C is a protective fac- </w:t>
            </w:r>
            <w:r>
              <w:rPr>
                <w:position w:val="-8"/>
                <w:sz w:val="38"/>
              </w:rPr>
              <w:t>tor.</w:t>
            </w:r>
            <w:r>
              <w:rPr>
                <w:sz w:val="25"/>
              </w:rPr>
              <w:t>1005</w:t>
            </w:r>
          </w:p>
        </w:tc>
      </w:tr>
      <w:tr>
        <w:trPr>
          <w:trHeight w:val="2404" w:hRule="atLeast"/>
        </w:trPr>
        <w:tc>
          <w:tcPr>
            <w:tcW w:w="2972" w:type="dxa"/>
          </w:tcPr>
          <w:p>
            <w:pPr>
              <w:pStyle w:val="TableParagraph"/>
              <w:spacing w:before="234"/>
              <w:ind w:left="71"/>
              <w:rPr>
                <w:sz w:val="38"/>
              </w:rPr>
            </w:pPr>
            <w:r>
              <w:rPr>
                <w:sz w:val="38"/>
              </w:rPr>
              <w:t>Alzheimer’s</w:t>
            </w:r>
          </w:p>
        </w:tc>
        <w:tc>
          <w:tcPr>
            <w:tcW w:w="8224" w:type="dxa"/>
          </w:tcPr>
          <w:p>
            <w:pPr>
              <w:pStyle w:val="TableParagraph"/>
              <w:spacing w:line="276" w:lineRule="auto" w:before="231"/>
              <w:ind w:left="71" w:right="57"/>
              <w:jc w:val="both"/>
              <w:rPr>
                <w:sz w:val="38"/>
              </w:rPr>
            </w:pPr>
            <w:r>
              <w:rPr>
                <w:sz w:val="38"/>
              </w:rPr>
              <w:t>The</w:t>
            </w:r>
            <w:r>
              <w:rPr>
                <w:spacing w:val="-12"/>
                <w:sz w:val="38"/>
              </w:rPr>
              <w:t> </w:t>
            </w:r>
            <w:r>
              <w:rPr>
                <w:sz w:val="38"/>
              </w:rPr>
              <w:t>prevention</w:t>
            </w:r>
            <w:r>
              <w:rPr>
                <w:spacing w:val="-15"/>
                <w:sz w:val="38"/>
              </w:rPr>
              <w:t> </w:t>
            </w:r>
            <w:r>
              <w:rPr>
                <w:sz w:val="38"/>
              </w:rPr>
              <w:t>of</w:t>
            </w:r>
            <w:r>
              <w:rPr>
                <w:spacing w:val="-12"/>
                <w:sz w:val="38"/>
              </w:rPr>
              <w:t> </w:t>
            </w:r>
            <w:r>
              <w:rPr>
                <w:sz w:val="38"/>
              </w:rPr>
              <w:t>cell</w:t>
            </w:r>
            <w:r>
              <w:rPr>
                <w:spacing w:val="-12"/>
                <w:sz w:val="38"/>
              </w:rPr>
              <w:t> </w:t>
            </w:r>
            <w:r>
              <w:rPr>
                <w:sz w:val="38"/>
              </w:rPr>
              <w:t>destruction</w:t>
            </w:r>
            <w:r>
              <w:rPr>
                <w:spacing w:val="-12"/>
                <w:sz w:val="38"/>
              </w:rPr>
              <w:t> </w:t>
            </w:r>
            <w:r>
              <w:rPr>
                <w:sz w:val="38"/>
              </w:rPr>
              <w:t>due</w:t>
            </w:r>
            <w:r>
              <w:rPr>
                <w:spacing w:val="-13"/>
                <w:sz w:val="38"/>
              </w:rPr>
              <w:t> </w:t>
            </w:r>
            <w:r>
              <w:rPr>
                <w:sz w:val="38"/>
              </w:rPr>
              <w:t>to</w:t>
            </w:r>
            <w:r>
              <w:rPr>
                <w:spacing w:val="-15"/>
                <w:sz w:val="38"/>
              </w:rPr>
              <w:t> </w:t>
            </w:r>
            <w:r>
              <w:rPr>
                <w:sz w:val="38"/>
              </w:rPr>
              <w:t>oxidation</w:t>
            </w:r>
            <w:r>
              <w:rPr>
                <w:spacing w:val="-11"/>
                <w:sz w:val="38"/>
              </w:rPr>
              <w:t> </w:t>
            </w:r>
            <w:r>
              <w:rPr>
                <w:sz w:val="38"/>
              </w:rPr>
              <w:t>and the simultaneous production of the hormones dopa- mine, melatonin etc. prevents Alzheimer’s or improves the patient’s</w:t>
            </w:r>
            <w:r>
              <w:rPr>
                <w:spacing w:val="2"/>
                <w:sz w:val="38"/>
              </w:rPr>
              <w:t> </w:t>
            </w:r>
            <w:r>
              <w:rPr>
                <w:sz w:val="38"/>
              </w:rPr>
              <w:t>condition.</w:t>
            </w:r>
          </w:p>
        </w:tc>
      </w:tr>
      <w:tr>
        <w:trPr>
          <w:trHeight w:val="2407" w:hRule="atLeast"/>
        </w:trPr>
        <w:tc>
          <w:tcPr>
            <w:tcW w:w="2972" w:type="dxa"/>
          </w:tcPr>
          <w:p>
            <w:pPr>
              <w:pStyle w:val="TableParagraph"/>
              <w:spacing w:before="237"/>
              <w:ind w:left="71"/>
              <w:rPr>
                <w:sz w:val="38"/>
              </w:rPr>
            </w:pPr>
            <w:r>
              <w:rPr>
                <w:sz w:val="38"/>
              </w:rPr>
              <w:t>Parkinson’s</w:t>
            </w:r>
          </w:p>
        </w:tc>
        <w:tc>
          <w:tcPr>
            <w:tcW w:w="8224" w:type="dxa"/>
          </w:tcPr>
          <w:p>
            <w:pPr>
              <w:pStyle w:val="TableParagraph"/>
              <w:spacing w:line="276" w:lineRule="auto" w:before="234"/>
              <w:ind w:left="71" w:right="57"/>
              <w:jc w:val="both"/>
              <w:rPr>
                <w:sz w:val="38"/>
              </w:rPr>
            </w:pPr>
            <w:r>
              <w:rPr>
                <w:sz w:val="38"/>
              </w:rPr>
              <w:t>The</w:t>
            </w:r>
            <w:r>
              <w:rPr>
                <w:spacing w:val="-12"/>
                <w:sz w:val="38"/>
              </w:rPr>
              <w:t> </w:t>
            </w:r>
            <w:r>
              <w:rPr>
                <w:sz w:val="38"/>
              </w:rPr>
              <w:t>prevention</w:t>
            </w:r>
            <w:r>
              <w:rPr>
                <w:spacing w:val="-15"/>
                <w:sz w:val="38"/>
              </w:rPr>
              <w:t> </w:t>
            </w:r>
            <w:r>
              <w:rPr>
                <w:sz w:val="38"/>
              </w:rPr>
              <w:t>of</w:t>
            </w:r>
            <w:r>
              <w:rPr>
                <w:spacing w:val="-12"/>
                <w:sz w:val="38"/>
              </w:rPr>
              <w:t> </w:t>
            </w:r>
            <w:r>
              <w:rPr>
                <w:sz w:val="38"/>
              </w:rPr>
              <w:t>cell</w:t>
            </w:r>
            <w:r>
              <w:rPr>
                <w:spacing w:val="-12"/>
                <w:sz w:val="38"/>
              </w:rPr>
              <w:t> </w:t>
            </w:r>
            <w:r>
              <w:rPr>
                <w:sz w:val="38"/>
              </w:rPr>
              <w:t>destruction</w:t>
            </w:r>
            <w:r>
              <w:rPr>
                <w:spacing w:val="-12"/>
                <w:sz w:val="38"/>
              </w:rPr>
              <w:t> </w:t>
            </w:r>
            <w:r>
              <w:rPr>
                <w:sz w:val="38"/>
              </w:rPr>
              <w:t>due</w:t>
            </w:r>
            <w:r>
              <w:rPr>
                <w:spacing w:val="-13"/>
                <w:sz w:val="38"/>
              </w:rPr>
              <w:t> </w:t>
            </w:r>
            <w:r>
              <w:rPr>
                <w:sz w:val="38"/>
              </w:rPr>
              <w:t>to</w:t>
            </w:r>
            <w:r>
              <w:rPr>
                <w:spacing w:val="-15"/>
                <w:sz w:val="38"/>
              </w:rPr>
              <w:t> </w:t>
            </w:r>
            <w:r>
              <w:rPr>
                <w:sz w:val="38"/>
              </w:rPr>
              <w:t>oxidation</w:t>
            </w:r>
            <w:r>
              <w:rPr>
                <w:spacing w:val="-11"/>
                <w:sz w:val="38"/>
              </w:rPr>
              <w:t> </w:t>
            </w:r>
            <w:r>
              <w:rPr>
                <w:sz w:val="38"/>
              </w:rPr>
              <w:t>and the simultaneous production of the hormones dopa- mine, melatonin etc. prevents Parkinson’s or improves the patient’s</w:t>
            </w:r>
            <w:r>
              <w:rPr>
                <w:spacing w:val="2"/>
                <w:sz w:val="38"/>
              </w:rPr>
              <w:t> </w:t>
            </w:r>
            <w:r>
              <w:rPr>
                <w:sz w:val="38"/>
              </w:rPr>
              <w:t>condition.</w:t>
            </w:r>
          </w:p>
        </w:tc>
      </w:tr>
      <w:tr>
        <w:trPr>
          <w:trHeight w:val="1665" w:hRule="atLeast"/>
        </w:trPr>
        <w:tc>
          <w:tcPr>
            <w:tcW w:w="2972" w:type="dxa"/>
          </w:tcPr>
          <w:p>
            <w:pPr>
              <w:pStyle w:val="TableParagraph"/>
              <w:spacing w:before="236"/>
              <w:ind w:left="71"/>
              <w:rPr>
                <w:sz w:val="38"/>
              </w:rPr>
            </w:pPr>
            <w:r>
              <w:rPr>
                <w:sz w:val="38"/>
              </w:rPr>
              <w:t>Herpes</w:t>
            </w:r>
          </w:p>
        </w:tc>
        <w:tc>
          <w:tcPr>
            <w:tcW w:w="8224" w:type="dxa"/>
          </w:tcPr>
          <w:p>
            <w:pPr>
              <w:pStyle w:val="TableParagraph"/>
              <w:spacing w:line="276" w:lineRule="auto" w:before="234"/>
              <w:ind w:left="71"/>
              <w:rPr>
                <w:sz w:val="38"/>
              </w:rPr>
            </w:pPr>
            <w:r>
              <w:rPr>
                <w:sz w:val="38"/>
              </w:rPr>
              <w:t>Vitamin C has an antiviral effect. Just 1500 mg of vita- min C could quickly dry and heal herpes blisters.</w:t>
            </w:r>
          </w:p>
        </w:tc>
      </w:tr>
      <w:tr>
        <w:trPr>
          <w:trHeight w:val="2404" w:hRule="atLeast"/>
        </w:trPr>
        <w:tc>
          <w:tcPr>
            <w:tcW w:w="2972" w:type="dxa"/>
          </w:tcPr>
          <w:p>
            <w:pPr>
              <w:pStyle w:val="TableParagraph"/>
              <w:spacing w:before="234"/>
              <w:ind w:left="71"/>
              <w:rPr>
                <w:sz w:val="38"/>
              </w:rPr>
            </w:pPr>
            <w:r>
              <w:rPr>
                <w:sz w:val="38"/>
              </w:rPr>
              <w:t>Ageing</w:t>
            </w:r>
          </w:p>
        </w:tc>
        <w:tc>
          <w:tcPr>
            <w:tcW w:w="8224" w:type="dxa"/>
          </w:tcPr>
          <w:p>
            <w:pPr>
              <w:pStyle w:val="TableParagraph"/>
              <w:spacing w:line="276" w:lineRule="auto" w:before="231"/>
              <w:ind w:left="71" w:right="58"/>
              <w:jc w:val="both"/>
              <w:rPr>
                <w:sz w:val="25"/>
              </w:rPr>
            </w:pPr>
            <w:r>
              <w:rPr>
                <w:sz w:val="38"/>
              </w:rPr>
              <w:t>As an important antioxidant, vitamin C successfully combats oxidation and with it the body cell</w:t>
            </w:r>
            <w:r>
              <w:rPr>
                <w:spacing w:val="-58"/>
                <w:sz w:val="38"/>
              </w:rPr>
              <w:t> </w:t>
            </w:r>
            <w:r>
              <w:rPr>
                <w:sz w:val="38"/>
              </w:rPr>
              <w:t>destruction (ageing) while at the same time reducing cell-mediated immunity.</w:t>
            </w:r>
            <w:r>
              <w:rPr>
                <w:position w:val="9"/>
                <w:sz w:val="25"/>
              </w:rPr>
              <w:t>1006</w:t>
            </w:r>
          </w:p>
        </w:tc>
      </w:tr>
      <w:tr>
        <w:trPr>
          <w:trHeight w:val="1224" w:hRule="atLeast"/>
        </w:trPr>
        <w:tc>
          <w:tcPr>
            <w:tcW w:w="2972" w:type="dxa"/>
          </w:tcPr>
          <w:p>
            <w:pPr>
              <w:pStyle w:val="TableParagraph"/>
              <w:spacing w:before="236"/>
              <w:ind w:left="71"/>
              <w:rPr>
                <w:sz w:val="38"/>
              </w:rPr>
            </w:pPr>
            <w:r>
              <w:rPr>
                <w:sz w:val="38"/>
              </w:rPr>
              <w:t>Detoxification</w:t>
            </w:r>
          </w:p>
        </w:tc>
        <w:tc>
          <w:tcPr>
            <w:tcW w:w="8224" w:type="dxa"/>
          </w:tcPr>
          <w:p>
            <w:pPr>
              <w:pStyle w:val="TableParagraph"/>
              <w:spacing w:line="490" w:lineRule="atLeast" w:before="171"/>
              <w:ind w:left="71"/>
              <w:rPr>
                <w:sz w:val="38"/>
              </w:rPr>
            </w:pPr>
            <w:r>
              <w:rPr>
                <w:sz w:val="38"/>
              </w:rPr>
              <w:t>Vitamin C promotes the decrease of oxidases by up to 50 % and helps the liver break down toxins and other</w:t>
            </w:r>
          </w:p>
        </w:tc>
      </w:tr>
    </w:tbl>
    <w:p>
      <w:pPr>
        <w:pStyle w:val="BodyText"/>
        <w:spacing w:before="5"/>
        <w:rPr>
          <w:sz w:val="22"/>
        </w:rPr>
      </w:pPr>
      <w:r>
        <w:rPr/>
        <w:pict>
          <v:line style="position:absolute;mso-position-horizontal-relative:page;mso-position-vertical-relative:paragraph;z-index:13832;mso-wrap-distance-left:0;mso-wrap-distance-right:0" from="70.823997pt,15.000015pt" to="214.843997pt,15.000015pt" stroked="true" strokeweight=".71997pt" strokecolor="#000000">
            <v:stroke dashstyle="solid"/>
            <w10:wrap type="topAndBottom"/>
          </v:line>
        </w:pict>
      </w:r>
    </w:p>
    <w:p>
      <w:pPr>
        <w:pStyle w:val="BodyText"/>
        <w:spacing w:before="3"/>
        <w:rPr>
          <w:sz w:val="20"/>
        </w:rPr>
      </w:pPr>
    </w:p>
    <w:p>
      <w:pPr>
        <w:spacing w:line="283" w:lineRule="auto" w:before="100"/>
        <w:ind w:left="616" w:right="244" w:firstLine="0"/>
        <w:jc w:val="left"/>
        <w:rPr>
          <w:sz w:val="20"/>
        </w:rPr>
      </w:pPr>
      <w:r>
        <w:rPr>
          <w:position w:val="5"/>
          <w:sz w:val="14"/>
        </w:rPr>
        <w:t>1005 </w:t>
      </w:r>
      <w:r>
        <w:rPr>
          <w:sz w:val="20"/>
        </w:rPr>
        <w:t>Gorozhanskaia E. G. et al.: The role of ascorbic acid in the combined preoperative preparation of cancer patients. 1989, Vopr Onkol., 35 (4), pp. 436–441</w:t>
      </w:r>
    </w:p>
    <w:p>
      <w:pPr>
        <w:spacing w:before="55"/>
        <w:ind w:left="616" w:right="0" w:firstLine="0"/>
        <w:jc w:val="left"/>
        <w:rPr>
          <w:sz w:val="20"/>
        </w:rPr>
      </w:pPr>
      <w:r>
        <w:rPr/>
        <w:drawing>
          <wp:anchor distT="0" distB="0" distL="0" distR="0" allowOverlap="1" layoutInCell="1" locked="0" behindDoc="1" simplePos="0" relativeHeight="267181631">
            <wp:simplePos x="0" y="0"/>
            <wp:positionH relativeFrom="page">
              <wp:posOffset>985998</wp:posOffset>
            </wp:positionH>
            <wp:positionV relativeFrom="paragraph">
              <wp:posOffset>117197</wp:posOffset>
            </wp:positionV>
            <wp:extent cx="6379583" cy="902106"/>
            <wp:effectExtent l="0" t="0" r="0" b="0"/>
            <wp:wrapNone/>
            <wp:docPr id="665" name="image2.jpeg" descr=""/>
            <wp:cNvGraphicFramePr>
              <a:graphicFrameLocks noChangeAspect="1"/>
            </wp:cNvGraphicFramePr>
            <a:graphic>
              <a:graphicData uri="http://schemas.openxmlformats.org/drawingml/2006/picture">
                <pic:pic>
                  <pic:nvPicPr>
                    <pic:cNvPr id="666"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1006 </w:t>
      </w:r>
      <w:r>
        <w:rPr>
          <w:sz w:val="20"/>
        </w:rPr>
        <w:t>Sokoloff B. et al.: Aging, atherosclerosis and ascorbic acid metabolism. Journal of the American Gerontology Society 1966; 14, pp. 1239–1260</w:t>
      </w:r>
    </w:p>
    <w:p>
      <w:pPr>
        <w:spacing w:after="0"/>
        <w:jc w:val="left"/>
        <w:rPr>
          <w:sz w:val="20"/>
        </w:rPr>
        <w:sectPr>
          <w:footerReference w:type="default" r:id="rId460"/>
          <w:pgSz w:w="14270" w:h="16850"/>
          <w:pgMar w:footer="404" w:header="0" w:top="1420" w:bottom="600" w:left="800" w:right="1280"/>
          <w:pgNumType w:start="1751"/>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2"/>
        <w:gridCol w:w="8224"/>
      </w:tblGrid>
      <w:tr>
        <w:trPr>
          <w:trHeight w:val="693" w:hRule="atLeast"/>
        </w:trPr>
        <w:tc>
          <w:tcPr>
            <w:tcW w:w="2972" w:type="dxa"/>
          </w:tcPr>
          <w:p>
            <w:pPr>
              <w:pStyle w:val="TableParagraph"/>
              <w:rPr>
                <w:rFonts w:ascii="Times New Roman"/>
                <w:sz w:val="36"/>
              </w:rPr>
            </w:pPr>
          </w:p>
        </w:tc>
        <w:tc>
          <w:tcPr>
            <w:tcW w:w="8224" w:type="dxa"/>
          </w:tcPr>
          <w:p>
            <w:pPr>
              <w:pStyle w:val="TableParagraph"/>
              <w:spacing w:line="424" w:lineRule="exact"/>
              <w:ind w:left="71"/>
              <w:rPr>
                <w:sz w:val="38"/>
              </w:rPr>
            </w:pPr>
            <w:r>
              <w:rPr>
                <w:sz w:val="38"/>
              </w:rPr>
              <w:t>toxic substances.</w:t>
            </w:r>
          </w:p>
        </w:tc>
      </w:tr>
      <w:tr>
        <w:trPr>
          <w:trHeight w:val="1713" w:hRule="atLeast"/>
        </w:trPr>
        <w:tc>
          <w:tcPr>
            <w:tcW w:w="2972" w:type="dxa"/>
          </w:tcPr>
          <w:p>
            <w:pPr>
              <w:pStyle w:val="TableParagraph"/>
              <w:spacing w:line="278" w:lineRule="auto" w:before="231"/>
              <w:ind w:left="71" w:right="441"/>
              <w:rPr>
                <w:sz w:val="38"/>
              </w:rPr>
            </w:pPr>
            <w:r>
              <w:rPr>
                <w:sz w:val="38"/>
              </w:rPr>
              <w:t>Methaemoglobi- naemia</w:t>
            </w:r>
          </w:p>
        </w:tc>
        <w:tc>
          <w:tcPr>
            <w:tcW w:w="8224" w:type="dxa"/>
          </w:tcPr>
          <w:p>
            <w:pPr>
              <w:pStyle w:val="TableParagraph"/>
              <w:spacing w:line="490" w:lineRule="atLeast" w:before="169"/>
              <w:ind w:left="71" w:right="59"/>
              <w:jc w:val="both"/>
              <w:rPr>
                <w:sz w:val="38"/>
              </w:rPr>
            </w:pPr>
            <w:r>
              <w:rPr>
                <w:sz w:val="38"/>
              </w:rPr>
              <w:t>The cause of this disease is haemoglobin oxidation. In this case, the powerful antioxidant vitamin C promises improvement at just 500-1000 mg/day.</w:t>
            </w:r>
          </w:p>
        </w:tc>
      </w:tr>
      <w:tr>
        <w:trPr>
          <w:trHeight w:val="1425" w:hRule="atLeast"/>
        </w:trPr>
        <w:tc>
          <w:tcPr>
            <w:tcW w:w="2972" w:type="dxa"/>
          </w:tcPr>
          <w:p>
            <w:pPr>
              <w:pStyle w:val="TableParagraph"/>
              <w:spacing w:before="236"/>
              <w:ind w:left="71"/>
              <w:rPr>
                <w:sz w:val="38"/>
              </w:rPr>
            </w:pPr>
            <w:r>
              <w:rPr>
                <w:sz w:val="38"/>
              </w:rPr>
              <w:t>Cysterin</w:t>
            </w:r>
          </w:p>
        </w:tc>
        <w:tc>
          <w:tcPr>
            <w:tcW w:w="8224" w:type="dxa"/>
          </w:tcPr>
          <w:p>
            <w:pPr>
              <w:pStyle w:val="TableParagraph"/>
              <w:spacing w:line="276" w:lineRule="auto" w:before="234"/>
              <w:ind w:left="71"/>
              <w:rPr>
                <w:sz w:val="38"/>
              </w:rPr>
            </w:pPr>
            <w:r>
              <w:rPr>
                <w:sz w:val="38"/>
              </w:rPr>
              <w:t>Administering 5000 mg of vitamin C daily could half the cysterin content in urine.</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6"/>
        </w:rPr>
      </w:pPr>
    </w:p>
    <w:p>
      <w:pPr>
        <w:pStyle w:val="Heading2"/>
        <w:numPr>
          <w:ilvl w:val="1"/>
          <w:numId w:val="130"/>
        </w:numPr>
        <w:tabs>
          <w:tab w:pos="1103" w:val="left" w:leader="none"/>
        </w:tabs>
        <w:spacing w:line="276" w:lineRule="auto" w:before="100" w:after="0"/>
        <w:ind w:left="616" w:right="136" w:firstLine="0"/>
        <w:jc w:val="both"/>
      </w:pPr>
      <w:r>
        <w:rPr/>
        <w:t>Detailed</w:t>
      </w:r>
      <w:r>
        <w:rPr>
          <w:spacing w:val="-14"/>
        </w:rPr>
        <w:t> </w:t>
      </w:r>
      <w:r>
        <w:rPr/>
        <w:t>explanation</w:t>
      </w:r>
      <w:r>
        <w:rPr>
          <w:spacing w:val="-13"/>
        </w:rPr>
        <w:t> </w:t>
      </w:r>
      <w:r>
        <w:rPr/>
        <w:t>of</w:t>
      </w:r>
      <w:r>
        <w:rPr>
          <w:spacing w:val="-12"/>
        </w:rPr>
        <w:t> </w:t>
      </w:r>
      <w:r>
        <w:rPr/>
        <w:t>the</w:t>
      </w:r>
      <w:r>
        <w:rPr>
          <w:spacing w:val="-12"/>
        </w:rPr>
        <w:t> </w:t>
      </w:r>
      <w:r>
        <w:rPr/>
        <w:t>preventative</w:t>
      </w:r>
      <w:r>
        <w:rPr>
          <w:spacing w:val="-12"/>
        </w:rPr>
        <w:t> </w:t>
      </w:r>
      <w:r>
        <w:rPr/>
        <w:t>and</w:t>
      </w:r>
      <w:r>
        <w:rPr>
          <w:spacing w:val="-13"/>
        </w:rPr>
        <w:t> </w:t>
      </w:r>
      <w:r>
        <w:rPr/>
        <w:t>therapeutic</w:t>
      </w:r>
      <w:r>
        <w:rPr>
          <w:spacing w:val="-12"/>
        </w:rPr>
        <w:t> </w:t>
      </w:r>
      <w:r>
        <w:rPr/>
        <w:t>effect</w:t>
      </w:r>
      <w:r>
        <w:rPr>
          <w:spacing w:val="-13"/>
        </w:rPr>
        <w:t> </w:t>
      </w:r>
      <w:r>
        <w:rPr/>
        <w:t>of</w:t>
      </w:r>
      <w:r>
        <w:rPr>
          <w:spacing w:val="-13"/>
        </w:rPr>
        <w:t> </w:t>
      </w:r>
      <w:r>
        <w:rPr/>
        <w:t>vit- amin</w:t>
      </w:r>
      <w:r>
        <w:rPr>
          <w:spacing w:val="-2"/>
        </w:rPr>
        <w:t> </w:t>
      </w:r>
      <w:r>
        <w:rPr/>
        <w:t>C</w:t>
      </w:r>
    </w:p>
    <w:p>
      <w:pPr>
        <w:spacing w:line="264" w:lineRule="auto" w:before="221"/>
        <w:ind w:left="616" w:right="137" w:firstLine="0"/>
        <w:jc w:val="both"/>
        <w:rPr>
          <w:b/>
          <w:i/>
          <w:sz w:val="40"/>
        </w:rPr>
      </w:pPr>
      <w:r>
        <w:rPr>
          <w:b/>
          <w:i/>
          <w:sz w:val="40"/>
        </w:rPr>
        <w:t>ARTERIOSCLEROSIS: Heart attack, stroke, pulmonary</w:t>
      </w:r>
      <w:r>
        <w:rPr>
          <w:b/>
          <w:i/>
          <w:spacing w:val="-50"/>
          <w:sz w:val="40"/>
        </w:rPr>
        <w:t> </w:t>
      </w:r>
      <w:r>
        <w:rPr>
          <w:b/>
          <w:i/>
          <w:sz w:val="40"/>
        </w:rPr>
        <w:t>infarction, thrombosis</w:t>
      </w:r>
    </w:p>
    <w:p>
      <w:pPr>
        <w:pStyle w:val="BodyText"/>
        <w:spacing w:line="276" w:lineRule="auto" w:before="252"/>
        <w:ind w:left="616" w:right="132"/>
        <w:jc w:val="both"/>
      </w:pPr>
      <w:r>
        <w:rPr/>
        <w:t>Atherosclerosis (popular synonym: ‘calcification of veins') refers to the depo- sition</w:t>
      </w:r>
      <w:r>
        <w:rPr>
          <w:spacing w:val="-6"/>
        </w:rPr>
        <w:t> </w:t>
      </w:r>
      <w:r>
        <w:rPr/>
        <w:t>of</w:t>
      </w:r>
      <w:r>
        <w:rPr>
          <w:spacing w:val="-7"/>
        </w:rPr>
        <w:t> </w:t>
      </w:r>
      <w:r>
        <w:rPr/>
        <w:t>blood</w:t>
      </w:r>
      <w:r>
        <w:rPr>
          <w:spacing w:val="-8"/>
        </w:rPr>
        <w:t> </w:t>
      </w:r>
      <w:r>
        <w:rPr/>
        <w:t>lipids</w:t>
      </w:r>
      <w:r>
        <w:rPr>
          <w:spacing w:val="-7"/>
        </w:rPr>
        <w:t> </w:t>
      </w:r>
      <w:r>
        <w:rPr/>
        <w:t>and</w:t>
      </w:r>
      <w:r>
        <w:rPr>
          <w:spacing w:val="-7"/>
        </w:rPr>
        <w:t> </w:t>
      </w:r>
      <w:r>
        <w:rPr/>
        <w:t>calcium</w:t>
      </w:r>
      <w:r>
        <w:rPr>
          <w:spacing w:val="-4"/>
        </w:rPr>
        <w:t> </w:t>
      </w:r>
      <w:r>
        <w:rPr/>
        <w:t>on</w:t>
      </w:r>
      <w:r>
        <w:rPr>
          <w:spacing w:val="-6"/>
        </w:rPr>
        <w:t> </w:t>
      </w:r>
      <w:r>
        <w:rPr/>
        <w:t>the</w:t>
      </w:r>
      <w:r>
        <w:rPr>
          <w:spacing w:val="-7"/>
        </w:rPr>
        <w:t> </w:t>
      </w:r>
      <w:r>
        <w:rPr/>
        <w:t>inner</w:t>
      </w:r>
      <w:r>
        <w:rPr>
          <w:spacing w:val="-7"/>
        </w:rPr>
        <w:t> </w:t>
      </w:r>
      <w:r>
        <w:rPr/>
        <w:t>wall</w:t>
      </w:r>
      <w:r>
        <w:rPr>
          <w:spacing w:val="-8"/>
        </w:rPr>
        <w:t> </w:t>
      </w:r>
      <w:r>
        <w:rPr/>
        <w:t>of</w:t>
      </w:r>
      <w:r>
        <w:rPr>
          <w:spacing w:val="-7"/>
        </w:rPr>
        <w:t> </w:t>
      </w:r>
      <w:r>
        <w:rPr/>
        <w:t>the</w:t>
      </w:r>
      <w:r>
        <w:rPr>
          <w:spacing w:val="-5"/>
        </w:rPr>
        <w:t> </w:t>
      </w:r>
      <w:r>
        <w:rPr/>
        <w:t>blood</w:t>
      </w:r>
      <w:r>
        <w:rPr>
          <w:spacing w:val="-7"/>
        </w:rPr>
        <w:t> </w:t>
      </w:r>
      <w:r>
        <w:rPr/>
        <w:t>vessels</w:t>
      </w:r>
      <w:r>
        <w:rPr>
          <w:spacing w:val="-6"/>
        </w:rPr>
        <w:t> </w:t>
      </w:r>
      <w:r>
        <w:rPr/>
        <w:t>(arter- ies). These deposits lead to clogging in blood vessels, meaning the oxygen en- riched blood cannot flow properly.</w:t>
      </w:r>
    </w:p>
    <w:p>
      <w:pPr>
        <w:pStyle w:val="BodyText"/>
        <w:spacing w:line="278" w:lineRule="auto" w:before="239"/>
        <w:ind w:left="616" w:right="138"/>
        <w:jc w:val="both"/>
      </w:pPr>
      <w:r>
        <w:rPr/>
        <w:t>If the clogging of the artery is so large that the blood does not reach the heart sufficiently, it will not receive oxygen, leading to a heart attack.</w:t>
      </w:r>
    </w:p>
    <w:p>
      <w:pPr>
        <w:spacing w:after="0" w:line="278" w:lineRule="auto"/>
        <w:jc w:val="both"/>
        <w:sectPr>
          <w:footerReference w:type="default" r:id="rId461"/>
          <w:pgSz w:w="14270" w:h="16850"/>
          <w:pgMar w:footer="1891" w:header="0" w:top="1420" w:bottom="2080" w:left="800" w:right="1280"/>
          <w:pgNumType w:start="1752"/>
        </w:sectPr>
      </w:pPr>
    </w:p>
    <w:p>
      <w:pPr>
        <w:pStyle w:val="BodyText"/>
        <w:spacing w:line="276" w:lineRule="auto" w:before="74"/>
        <w:ind w:left="616" w:right="134"/>
        <w:jc w:val="both"/>
      </w:pPr>
      <w:r>
        <w:rPr/>
        <w:t>If</w:t>
      </w:r>
      <w:r>
        <w:rPr>
          <w:spacing w:val="-7"/>
        </w:rPr>
        <w:t> </w:t>
      </w:r>
      <w:r>
        <w:rPr/>
        <w:t>supply</w:t>
      </w:r>
      <w:r>
        <w:rPr>
          <w:spacing w:val="-6"/>
        </w:rPr>
        <w:t> </w:t>
      </w:r>
      <w:r>
        <w:rPr/>
        <w:t>to</w:t>
      </w:r>
      <w:r>
        <w:rPr>
          <w:spacing w:val="-8"/>
        </w:rPr>
        <w:t> </w:t>
      </w:r>
      <w:r>
        <w:rPr/>
        <w:t>the</w:t>
      </w:r>
      <w:r>
        <w:rPr>
          <w:spacing w:val="-10"/>
        </w:rPr>
        <w:t> </w:t>
      </w:r>
      <w:r>
        <w:rPr/>
        <w:t>brain</w:t>
      </w:r>
      <w:r>
        <w:rPr>
          <w:spacing w:val="-7"/>
        </w:rPr>
        <w:t> </w:t>
      </w:r>
      <w:r>
        <w:rPr/>
        <w:t>is</w:t>
      </w:r>
      <w:r>
        <w:rPr>
          <w:spacing w:val="-8"/>
        </w:rPr>
        <w:t> </w:t>
      </w:r>
      <w:r>
        <w:rPr/>
        <w:t>prevented</w:t>
      </w:r>
      <w:r>
        <w:rPr>
          <w:spacing w:val="-6"/>
        </w:rPr>
        <w:t> </w:t>
      </w:r>
      <w:r>
        <w:rPr/>
        <w:t>by</w:t>
      </w:r>
      <w:r>
        <w:rPr>
          <w:spacing w:val="-7"/>
        </w:rPr>
        <w:t> </w:t>
      </w:r>
      <w:r>
        <w:rPr/>
        <w:t>clogging</w:t>
      </w:r>
      <w:r>
        <w:rPr>
          <w:spacing w:val="-7"/>
        </w:rPr>
        <w:t> </w:t>
      </w:r>
      <w:r>
        <w:rPr/>
        <w:t>in</w:t>
      </w:r>
      <w:r>
        <w:rPr>
          <w:spacing w:val="-8"/>
        </w:rPr>
        <w:t> </w:t>
      </w:r>
      <w:r>
        <w:rPr/>
        <w:t>the</w:t>
      </w:r>
      <w:r>
        <w:rPr>
          <w:spacing w:val="-5"/>
        </w:rPr>
        <w:t> </w:t>
      </w:r>
      <w:r>
        <w:rPr/>
        <w:t>blood</w:t>
      </w:r>
      <w:r>
        <w:rPr>
          <w:spacing w:val="-9"/>
        </w:rPr>
        <w:t> </w:t>
      </w:r>
      <w:r>
        <w:rPr/>
        <w:t>vessels,</w:t>
      </w:r>
      <w:r>
        <w:rPr>
          <w:spacing w:val="-4"/>
        </w:rPr>
        <w:t> </w:t>
      </w:r>
      <w:r>
        <w:rPr/>
        <w:t>this</w:t>
      </w:r>
      <w:r>
        <w:rPr>
          <w:spacing w:val="-7"/>
        </w:rPr>
        <w:t> </w:t>
      </w:r>
      <w:r>
        <w:rPr/>
        <w:t>results in cerebral apoplexy. Pulmonary infarctions are based on the same principle, thrombosis is also a result of arteriosclerosis. This is the explanation in con- ventional</w:t>
      </w:r>
      <w:r>
        <w:rPr>
          <w:spacing w:val="-1"/>
        </w:rPr>
        <w:t> </w:t>
      </w:r>
      <w:r>
        <w:rPr/>
        <w:t>medicine...</w:t>
      </w:r>
    </w:p>
    <w:p>
      <w:pPr>
        <w:pStyle w:val="Heading1"/>
        <w:spacing w:before="222"/>
        <w:ind w:left="616"/>
        <w:jc w:val="both"/>
      </w:pPr>
      <w:r>
        <w:rPr/>
        <w:t>Why is it so important to know</w:t>
      </w:r>
      <w:r>
        <w:rPr>
          <w:spacing w:val="-70"/>
        </w:rPr>
        <w:t> </w:t>
      </w:r>
      <w:r>
        <w:rPr/>
        <w:t>this?</w:t>
      </w:r>
    </w:p>
    <w:p>
      <w:pPr>
        <w:pStyle w:val="Heading2"/>
        <w:spacing w:before="299"/>
        <w:ind w:left="616"/>
        <w:jc w:val="both"/>
      </w:pPr>
      <w:r>
        <w:rPr/>
        <w:t>HERE’S WHY:</w:t>
      </w:r>
    </w:p>
    <w:p>
      <w:pPr>
        <w:pStyle w:val="BodyText"/>
        <w:spacing w:line="276" w:lineRule="auto" w:before="305"/>
        <w:ind w:left="616" w:right="137"/>
        <w:jc w:val="both"/>
      </w:pPr>
      <w:r>
        <w:rPr/>
        <w:t>Because approx. </w:t>
      </w:r>
      <w:r>
        <w:rPr>
          <w:u w:val="single"/>
        </w:rPr>
        <w:t>50 %</w:t>
      </w:r>
      <w:r>
        <w:rPr/>
        <w:t> of all central Europeans (including British people) die from precisely this mechanism according to current conventional medical opinion AND this mechanism can be stopped and, to some extent, even re- versed!</w:t>
      </w:r>
    </w:p>
    <w:p>
      <w:pPr>
        <w:pStyle w:val="BodyText"/>
        <w:spacing w:line="276" w:lineRule="auto" w:before="240"/>
        <w:ind w:left="616" w:right="132"/>
        <w:jc w:val="both"/>
      </w:pPr>
      <w:r>
        <w:rPr/>
        <w:t>The absolute prerequisite for blood fat deposits (cholesterol) and calcium and therefore for the development of arteriosclerosis, however, is a ‘brittle’ intima (inner wall of the blood vessels). It is only when there are tiny tears known as ‘micro-lesions’ that the blood fats and calcium in flowing blood can fix itself to the inner wall.</w:t>
      </w:r>
    </w:p>
    <w:p>
      <w:pPr>
        <w:pStyle w:val="BodyText"/>
        <w:spacing w:line="278" w:lineRule="auto" w:before="239"/>
        <w:ind w:left="616" w:right="145"/>
        <w:jc w:val="both"/>
      </w:pPr>
      <w:r>
        <w:rPr/>
        <w:t>When the inner wall of blood vessels is smooth, blood fat and calcium slide over it as if on a mirror and do not form arteriosclerosis.</w:t>
      </w:r>
    </w:p>
    <w:p>
      <w:pPr>
        <w:pStyle w:val="BodyText"/>
        <w:spacing w:line="276" w:lineRule="auto" w:before="233"/>
        <w:ind w:left="616" w:right="133"/>
        <w:jc w:val="both"/>
      </w:pPr>
      <w:r>
        <w:rPr/>
        <w:t>While</w:t>
      </w:r>
      <w:r>
        <w:rPr>
          <w:spacing w:val="-9"/>
        </w:rPr>
        <w:t> </w:t>
      </w:r>
      <w:r>
        <w:rPr/>
        <w:t>it</w:t>
      </w:r>
      <w:r>
        <w:rPr>
          <w:spacing w:val="-8"/>
        </w:rPr>
        <w:t> </w:t>
      </w:r>
      <w:r>
        <w:rPr/>
        <w:t>is</w:t>
      </w:r>
      <w:r>
        <w:rPr>
          <w:spacing w:val="-7"/>
        </w:rPr>
        <w:t> </w:t>
      </w:r>
      <w:r>
        <w:rPr/>
        <w:t>still</w:t>
      </w:r>
      <w:r>
        <w:rPr>
          <w:spacing w:val="-9"/>
        </w:rPr>
        <w:t> </w:t>
      </w:r>
      <w:r>
        <w:rPr/>
        <w:t>erroneously</w:t>
      </w:r>
      <w:r>
        <w:rPr>
          <w:spacing w:val="-7"/>
        </w:rPr>
        <w:t> </w:t>
      </w:r>
      <w:r>
        <w:rPr/>
        <w:t>foodstuffs</w:t>
      </w:r>
      <w:r>
        <w:rPr>
          <w:spacing w:val="-7"/>
        </w:rPr>
        <w:t> </w:t>
      </w:r>
      <w:r>
        <w:rPr/>
        <w:t>which</w:t>
      </w:r>
      <w:r>
        <w:rPr>
          <w:spacing w:val="-6"/>
        </w:rPr>
        <w:t> </w:t>
      </w:r>
      <w:r>
        <w:rPr/>
        <w:t>are</w:t>
      </w:r>
      <w:r>
        <w:rPr>
          <w:spacing w:val="-8"/>
        </w:rPr>
        <w:t> </w:t>
      </w:r>
      <w:r>
        <w:rPr/>
        <w:t>given</w:t>
      </w:r>
      <w:r>
        <w:rPr>
          <w:spacing w:val="-6"/>
        </w:rPr>
        <w:t> </w:t>
      </w:r>
      <w:r>
        <w:rPr/>
        <w:t>the</w:t>
      </w:r>
      <w:r>
        <w:rPr>
          <w:spacing w:val="-6"/>
        </w:rPr>
        <w:t> </w:t>
      </w:r>
      <w:r>
        <w:rPr/>
        <w:t>blame</w:t>
      </w:r>
      <w:r>
        <w:rPr>
          <w:spacing w:val="-8"/>
        </w:rPr>
        <w:t> </w:t>
      </w:r>
      <w:r>
        <w:rPr/>
        <w:t>for</w:t>
      </w:r>
      <w:r>
        <w:rPr>
          <w:spacing w:val="-6"/>
        </w:rPr>
        <w:t> </w:t>
      </w:r>
      <w:r>
        <w:rPr/>
        <w:t>high</w:t>
      </w:r>
      <w:r>
        <w:rPr>
          <w:spacing w:val="-8"/>
        </w:rPr>
        <w:t> </w:t>
      </w:r>
      <w:r>
        <w:rPr/>
        <w:t>cho- lesterol (see the section ‘Cholesterol lies’), it has been sufficiently researched and proven that diet only makes up 5 % of the entire cholesterol – 95 % of cholesterol is created by the liver as a ‘sealant’, namely when the brain</w:t>
      </w:r>
      <w:r>
        <w:rPr>
          <w:spacing w:val="10"/>
        </w:rPr>
        <w:t> </w:t>
      </w:r>
      <w:r>
        <w:rPr/>
        <w:t>reports</w:t>
      </w:r>
    </w:p>
    <w:p>
      <w:pPr>
        <w:spacing w:after="0" w:line="276" w:lineRule="auto"/>
        <w:jc w:val="both"/>
        <w:sectPr>
          <w:pgSz w:w="14270" w:h="16850"/>
          <w:pgMar w:header="0" w:footer="1891" w:top="1340" w:bottom="2080" w:left="800" w:right="1280"/>
        </w:sectPr>
      </w:pPr>
    </w:p>
    <w:p>
      <w:pPr>
        <w:pStyle w:val="BodyText"/>
        <w:spacing w:before="74"/>
        <w:ind w:left="616"/>
        <w:jc w:val="both"/>
      </w:pPr>
      <w:r>
        <w:rPr/>
        <w:t>that there are lesions (breaks) in the vessel wall.</w:t>
      </w:r>
    </w:p>
    <w:p>
      <w:pPr>
        <w:pStyle w:val="BodyText"/>
        <w:spacing w:line="276" w:lineRule="auto" w:before="305"/>
        <w:ind w:left="616" w:right="133"/>
        <w:jc w:val="both"/>
      </w:pPr>
      <w:r>
        <w:rPr/>
        <w:t>Statins are already the United Kingdom’s most commonly prescribed medi- cines – roughly 6 million Brits take the drugs on a regular basis to lower the risk of a cardiovascular incident, in line with US practice.</w:t>
      </w:r>
      <w:r>
        <w:rPr>
          <w:position w:val="9"/>
          <w:sz w:val="25"/>
        </w:rPr>
        <w:t>1007 </w:t>
      </w:r>
      <w:r>
        <w:rPr/>
        <w:t>The margarine industry also profits immensely from this lie. There seem to be sufficient grounds to maintain this lie.</w:t>
      </w:r>
    </w:p>
    <w:p>
      <w:pPr>
        <w:pStyle w:val="BodyText"/>
        <w:spacing w:line="276" w:lineRule="auto" w:before="240"/>
        <w:ind w:left="616" w:right="131"/>
        <w:jc w:val="both"/>
        <w:rPr>
          <w:sz w:val="25"/>
        </w:rPr>
      </w:pPr>
      <w:r>
        <w:rPr/>
        <w:t>An eight year study in the USA on 50,000 older women of whom half (25,000 women) ate a low-fat and the other half (25,000 women) ate a high-fat diet showed that after these eight years there were NO health</w:t>
      </w:r>
      <w:r>
        <w:rPr>
          <w:spacing w:val="-14"/>
        </w:rPr>
        <w:t> </w:t>
      </w:r>
      <w:r>
        <w:rPr/>
        <w:t>differences.</w:t>
      </w:r>
      <w:r>
        <w:rPr>
          <w:position w:val="9"/>
          <w:sz w:val="25"/>
        </w:rPr>
        <w:t>1008</w:t>
      </w:r>
    </w:p>
    <w:p>
      <w:pPr>
        <w:pStyle w:val="BodyText"/>
        <w:spacing w:line="276" w:lineRule="auto" w:before="239"/>
        <w:ind w:left="616" w:right="131"/>
        <w:jc w:val="both"/>
      </w:pPr>
      <w:r>
        <w:rPr/>
        <w:t>As the structure of our blood vessels mainly consists of the two proteins col- lagen and elastin and, as extensively reported, vitamin C and OPC are among the most important substances which can keep the collagen-elastin tissue new and repair it, sufficient vitamin C and OPC can prevent micro-traumas (tears) in the vessel wall – successfully inhibiting the process of</w:t>
      </w:r>
      <w:r>
        <w:rPr>
          <w:spacing w:val="-8"/>
        </w:rPr>
        <w:t> </w:t>
      </w:r>
      <w:r>
        <w:rPr/>
        <w:t>arteriosclerosis.</w:t>
      </w:r>
    </w:p>
    <w:p>
      <w:pPr>
        <w:spacing w:line="276" w:lineRule="auto" w:before="242"/>
        <w:ind w:left="616" w:right="138" w:firstLine="0"/>
        <w:jc w:val="both"/>
        <w:rPr>
          <w:b/>
          <w:sz w:val="38"/>
        </w:rPr>
      </w:pPr>
      <w:r>
        <w:rPr>
          <w:sz w:val="38"/>
        </w:rPr>
        <w:t>OR,</w:t>
      </w:r>
      <w:r>
        <w:rPr>
          <w:spacing w:val="-13"/>
          <w:sz w:val="38"/>
        </w:rPr>
        <w:t> </w:t>
      </w:r>
      <w:r>
        <w:rPr>
          <w:sz w:val="38"/>
        </w:rPr>
        <w:t>TO</w:t>
      </w:r>
      <w:r>
        <w:rPr>
          <w:spacing w:val="-13"/>
          <w:sz w:val="38"/>
        </w:rPr>
        <w:t> </w:t>
      </w:r>
      <w:r>
        <w:rPr>
          <w:sz w:val="38"/>
        </w:rPr>
        <w:t>PUT</w:t>
      </w:r>
      <w:r>
        <w:rPr>
          <w:spacing w:val="-13"/>
          <w:sz w:val="38"/>
        </w:rPr>
        <w:t> </w:t>
      </w:r>
      <w:r>
        <w:rPr>
          <w:sz w:val="38"/>
        </w:rPr>
        <w:t>IT</w:t>
      </w:r>
      <w:r>
        <w:rPr>
          <w:spacing w:val="-12"/>
          <w:sz w:val="38"/>
        </w:rPr>
        <w:t> </w:t>
      </w:r>
      <w:r>
        <w:rPr>
          <w:sz w:val="38"/>
        </w:rPr>
        <w:t>ANOTHER</w:t>
      </w:r>
      <w:r>
        <w:rPr>
          <w:spacing w:val="-10"/>
          <w:sz w:val="38"/>
        </w:rPr>
        <w:t> </w:t>
      </w:r>
      <w:r>
        <w:rPr>
          <w:sz w:val="38"/>
        </w:rPr>
        <w:t>WAY:</w:t>
      </w:r>
      <w:r>
        <w:rPr>
          <w:spacing w:val="-9"/>
          <w:sz w:val="38"/>
        </w:rPr>
        <w:t> </w:t>
      </w:r>
      <w:r>
        <w:rPr>
          <w:b/>
          <w:sz w:val="38"/>
        </w:rPr>
        <w:t>Arteriosclerosis</w:t>
      </w:r>
      <w:r>
        <w:rPr>
          <w:b/>
          <w:spacing w:val="-11"/>
          <w:sz w:val="38"/>
        </w:rPr>
        <w:t> </w:t>
      </w:r>
      <w:r>
        <w:rPr>
          <w:b/>
          <w:sz w:val="38"/>
        </w:rPr>
        <w:t>is</w:t>
      </w:r>
      <w:r>
        <w:rPr>
          <w:b/>
          <w:spacing w:val="-11"/>
          <w:sz w:val="38"/>
        </w:rPr>
        <w:t> </w:t>
      </w:r>
      <w:r>
        <w:rPr>
          <w:b/>
          <w:sz w:val="38"/>
        </w:rPr>
        <w:t>nothing</w:t>
      </w:r>
      <w:r>
        <w:rPr>
          <w:b/>
          <w:spacing w:val="-12"/>
          <w:sz w:val="38"/>
        </w:rPr>
        <w:t> </w:t>
      </w:r>
      <w:r>
        <w:rPr>
          <w:b/>
          <w:sz w:val="38"/>
        </w:rPr>
        <w:t>more</w:t>
      </w:r>
      <w:r>
        <w:rPr>
          <w:b/>
          <w:spacing w:val="-10"/>
          <w:sz w:val="38"/>
        </w:rPr>
        <w:t> </w:t>
      </w:r>
      <w:r>
        <w:rPr>
          <w:b/>
          <w:sz w:val="38"/>
        </w:rPr>
        <w:t>than a preliminary stage of</w:t>
      </w:r>
      <w:r>
        <w:rPr>
          <w:b/>
          <w:spacing w:val="-1"/>
          <w:sz w:val="38"/>
        </w:rPr>
        <w:t> </w:t>
      </w:r>
      <w:r>
        <w:rPr>
          <w:b/>
          <w:sz w:val="38"/>
        </w:rPr>
        <w:t>scurvy.</w:t>
      </w:r>
    </w:p>
    <w:p>
      <w:pPr>
        <w:pStyle w:val="BodyText"/>
        <w:spacing w:line="276" w:lineRule="auto" w:before="238"/>
        <w:ind w:left="616" w:right="135"/>
        <w:jc w:val="both"/>
      </w:pPr>
      <w:r>
        <w:rPr/>
        <w:t>While the complete bursting of vessels (=scurvy) can be prevented with very little vitamin C (&gt;10 mg/day), the officially recommended dose of 60-100 mg can</w:t>
      </w:r>
      <w:r>
        <w:rPr>
          <w:spacing w:val="-7"/>
        </w:rPr>
        <w:t> </w:t>
      </w:r>
      <w:r>
        <w:rPr/>
        <w:t>reliably</w:t>
      </w:r>
      <w:r>
        <w:rPr>
          <w:spacing w:val="-7"/>
        </w:rPr>
        <w:t> </w:t>
      </w:r>
      <w:r>
        <w:rPr/>
        <w:t>prevent</w:t>
      </w:r>
      <w:r>
        <w:rPr>
          <w:spacing w:val="-7"/>
        </w:rPr>
        <w:t> </w:t>
      </w:r>
      <w:r>
        <w:rPr/>
        <w:t>scurvy,</w:t>
      </w:r>
      <w:r>
        <w:rPr>
          <w:spacing w:val="-6"/>
        </w:rPr>
        <w:t> </w:t>
      </w:r>
      <w:r>
        <w:rPr/>
        <w:t>it</w:t>
      </w:r>
      <w:r>
        <w:rPr>
          <w:spacing w:val="-8"/>
        </w:rPr>
        <w:t> </w:t>
      </w:r>
      <w:r>
        <w:rPr/>
        <w:t>can</w:t>
      </w:r>
      <w:r>
        <w:rPr>
          <w:spacing w:val="-6"/>
        </w:rPr>
        <w:t> </w:t>
      </w:r>
      <w:r>
        <w:rPr/>
        <w:t>at</w:t>
      </w:r>
      <w:r>
        <w:rPr>
          <w:spacing w:val="-8"/>
        </w:rPr>
        <w:t> </w:t>
      </w:r>
      <w:r>
        <w:rPr/>
        <w:t>the</w:t>
      </w:r>
      <w:r>
        <w:rPr>
          <w:spacing w:val="-7"/>
        </w:rPr>
        <w:t> </w:t>
      </w:r>
      <w:r>
        <w:rPr/>
        <w:t>same</w:t>
      </w:r>
      <w:r>
        <w:rPr>
          <w:spacing w:val="-6"/>
        </w:rPr>
        <w:t> </w:t>
      </w:r>
      <w:r>
        <w:rPr/>
        <w:t>time</w:t>
      </w:r>
      <w:r>
        <w:rPr>
          <w:spacing w:val="-7"/>
        </w:rPr>
        <w:t> </w:t>
      </w:r>
      <w:r>
        <w:rPr/>
        <w:t>intentionally</w:t>
      </w:r>
      <w:r>
        <w:rPr>
          <w:spacing w:val="-8"/>
        </w:rPr>
        <w:t> </w:t>
      </w:r>
      <w:r>
        <w:rPr/>
        <w:t>enable</w:t>
      </w:r>
      <w:r>
        <w:rPr>
          <w:spacing w:val="-7"/>
        </w:rPr>
        <w:t> </w:t>
      </w:r>
      <w:r>
        <w:rPr/>
        <w:t>smaller bursts</w:t>
      </w:r>
      <w:r>
        <w:rPr>
          <w:spacing w:val="-10"/>
        </w:rPr>
        <w:t> </w:t>
      </w:r>
      <w:r>
        <w:rPr/>
        <w:t>where</w:t>
      </w:r>
      <w:r>
        <w:rPr>
          <w:spacing w:val="-13"/>
        </w:rPr>
        <w:t> </w:t>
      </w:r>
      <w:r>
        <w:rPr/>
        <w:t>deposits</w:t>
      </w:r>
      <w:r>
        <w:rPr>
          <w:spacing w:val="-10"/>
        </w:rPr>
        <w:t> </w:t>
      </w:r>
      <w:r>
        <w:rPr/>
        <w:t>can</w:t>
      </w:r>
      <w:r>
        <w:rPr>
          <w:spacing w:val="-12"/>
        </w:rPr>
        <w:t> </w:t>
      </w:r>
      <w:r>
        <w:rPr/>
        <w:t>collect</w:t>
      </w:r>
      <w:r>
        <w:rPr>
          <w:spacing w:val="-10"/>
        </w:rPr>
        <w:t> </w:t>
      </w:r>
      <w:r>
        <w:rPr/>
        <w:t>which</w:t>
      </w:r>
      <w:r>
        <w:rPr>
          <w:spacing w:val="-9"/>
        </w:rPr>
        <w:t> </w:t>
      </w:r>
      <w:r>
        <w:rPr/>
        <w:t>is</w:t>
      </w:r>
      <w:r>
        <w:rPr>
          <w:spacing w:val="-12"/>
        </w:rPr>
        <w:t> </w:t>
      </w:r>
      <w:r>
        <w:rPr/>
        <w:t>the</w:t>
      </w:r>
      <w:r>
        <w:rPr>
          <w:spacing w:val="-12"/>
        </w:rPr>
        <w:t> </w:t>
      </w:r>
      <w:r>
        <w:rPr/>
        <w:t>precursor</w:t>
      </w:r>
      <w:r>
        <w:rPr>
          <w:spacing w:val="-10"/>
        </w:rPr>
        <w:t> </w:t>
      </w:r>
      <w:r>
        <w:rPr/>
        <w:t>to</w:t>
      </w:r>
      <w:r>
        <w:rPr>
          <w:spacing w:val="-11"/>
        </w:rPr>
        <w:t> </w:t>
      </w:r>
      <w:r>
        <w:rPr/>
        <w:t>arteriosclerosis</w:t>
      </w:r>
      <w:r>
        <w:rPr>
          <w:spacing w:val="-9"/>
        </w:rPr>
        <w:t> </w:t>
      </w:r>
      <w:r>
        <w:rPr/>
        <w:t>and</w:t>
      </w:r>
    </w:p>
    <w:p>
      <w:pPr>
        <w:pStyle w:val="BodyText"/>
        <w:rPr>
          <w:sz w:val="20"/>
        </w:rPr>
      </w:pPr>
    </w:p>
    <w:p>
      <w:pPr>
        <w:pStyle w:val="BodyText"/>
        <w:rPr>
          <w:sz w:val="20"/>
        </w:rPr>
      </w:pPr>
    </w:p>
    <w:p>
      <w:pPr>
        <w:pStyle w:val="BodyText"/>
        <w:spacing w:before="10"/>
        <w:rPr>
          <w:sz w:val="10"/>
        </w:rPr>
      </w:pPr>
      <w:r>
        <w:rPr/>
        <w:pict>
          <v:line style="position:absolute;mso-position-horizontal-relative:page;mso-position-vertical-relative:paragraph;z-index:13880;mso-wrap-distance-left:0;mso-wrap-distance-right:0" from="70.823997pt,8.521235pt" to="214.843997pt,8.521235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1007 </w:t>
      </w:r>
      <w:r>
        <w:rPr>
          <w:sz w:val="20"/>
        </w:rPr>
        <w:t>https://</w:t>
      </w:r>
      <w:hyperlink r:id="rId462">
        <w:r>
          <w:rPr>
            <w:sz w:val="20"/>
          </w:rPr>
          <w:t>www.euractiv.com/section/health-consumers/news/uk-and-us-at-odds-with-europe-over-statin-use/</w:t>
        </w:r>
      </w:hyperlink>
    </w:p>
    <w:p>
      <w:pPr>
        <w:spacing w:before="94"/>
        <w:ind w:left="616" w:right="0" w:firstLine="0"/>
        <w:jc w:val="left"/>
        <w:rPr>
          <w:sz w:val="20"/>
        </w:rPr>
      </w:pPr>
      <w:r>
        <w:rPr>
          <w:position w:val="5"/>
          <w:sz w:val="13"/>
        </w:rPr>
        <w:t>1008 </w:t>
      </w:r>
      <w:r>
        <w:rPr>
          <w:sz w:val="20"/>
        </w:rPr>
        <w:t>ARD W wie Wissen (German infotainment programme)</w:t>
      </w:r>
    </w:p>
    <w:p>
      <w:pPr>
        <w:spacing w:after="0"/>
        <w:jc w:val="left"/>
        <w:rPr>
          <w:sz w:val="20"/>
        </w:rPr>
        <w:sectPr>
          <w:pgSz w:w="14270" w:h="16850"/>
          <w:pgMar w:header="0" w:footer="1891" w:top="1340" w:bottom="2080" w:left="800" w:right="1280"/>
        </w:sectPr>
      </w:pPr>
    </w:p>
    <w:p>
      <w:pPr>
        <w:pStyle w:val="BodyText"/>
        <w:spacing w:before="74"/>
        <w:ind w:left="616"/>
        <w:jc w:val="both"/>
      </w:pPr>
      <w:r>
        <w:rPr/>
        <w:t>its awful consequences (heart attack/cerebral apoplexy).</w:t>
      </w:r>
    </w:p>
    <w:p>
      <w:pPr>
        <w:pStyle w:val="Heading2"/>
        <w:spacing w:before="305"/>
        <w:ind w:left="616"/>
        <w:jc w:val="both"/>
      </w:pPr>
      <w:r>
        <w:rPr/>
        <w:t>Studies into the prevention of arteriosclerosis with vitamin C:</w:t>
      </w:r>
    </w:p>
    <w:p>
      <w:pPr>
        <w:pStyle w:val="BodyText"/>
        <w:spacing w:line="276" w:lineRule="auto" w:before="302"/>
        <w:ind w:left="616" w:right="130"/>
        <w:jc w:val="both"/>
        <w:rPr>
          <w:sz w:val="25"/>
        </w:rPr>
      </w:pPr>
      <w:r>
        <w:rPr/>
        <w:t>While conventional medicine puts forward all kinds of reasons for arterioscle- rosis and thereby presents the public on the street with the most abstract bio- chemical hypotheses (which they are not meant to understand), in order dis- tract them from the simplicity of preventing and rehabilitating cardiovascular diseases, there are ample representative studies which testify that vitamin C is a reliable protective factor for our blood vessels and therefore a protective factor against fatal arteriosclerosis.</w:t>
      </w:r>
      <w:r>
        <w:rPr>
          <w:position w:val="9"/>
          <w:sz w:val="25"/>
        </w:rPr>
        <w:t>1009</w:t>
      </w:r>
    </w:p>
    <w:p>
      <w:pPr>
        <w:pStyle w:val="Heading1"/>
        <w:spacing w:line="261" w:lineRule="auto" w:before="223"/>
        <w:ind w:left="616" w:right="135"/>
        <w:jc w:val="both"/>
      </w:pPr>
      <w:r>
        <w:rPr/>
        <w:t>Vitamin</w:t>
      </w:r>
      <w:r>
        <w:rPr>
          <w:spacing w:val="-54"/>
        </w:rPr>
        <w:t> </w:t>
      </w:r>
      <w:r>
        <w:rPr/>
        <w:t>C</w:t>
      </w:r>
      <w:r>
        <w:rPr>
          <w:spacing w:val="-53"/>
        </w:rPr>
        <w:t> </w:t>
      </w:r>
      <w:r>
        <w:rPr/>
        <w:t>from</w:t>
      </w:r>
      <w:r>
        <w:rPr>
          <w:spacing w:val="-53"/>
        </w:rPr>
        <w:t> </w:t>
      </w:r>
      <w:r>
        <w:rPr/>
        <w:t>the</w:t>
      </w:r>
      <w:r>
        <w:rPr>
          <w:spacing w:val="-52"/>
        </w:rPr>
        <w:t> </w:t>
      </w:r>
      <w:r>
        <w:rPr/>
        <w:t>camu</w:t>
      </w:r>
      <w:r>
        <w:rPr>
          <w:spacing w:val="-53"/>
        </w:rPr>
        <w:t> </w:t>
      </w:r>
      <w:r>
        <w:rPr/>
        <w:t>camu</w:t>
      </w:r>
      <w:r>
        <w:rPr>
          <w:spacing w:val="-53"/>
        </w:rPr>
        <w:t> </w:t>
      </w:r>
      <w:r>
        <w:rPr/>
        <w:t>fruit</w:t>
      </w:r>
      <w:r>
        <w:rPr>
          <w:spacing w:val="-54"/>
        </w:rPr>
        <w:t> </w:t>
      </w:r>
      <w:r>
        <w:rPr/>
        <w:t>in</w:t>
      </w:r>
      <w:r>
        <w:rPr>
          <w:spacing w:val="-54"/>
        </w:rPr>
        <w:t> </w:t>
      </w:r>
      <w:r>
        <w:rPr/>
        <w:t>comparison</w:t>
      </w:r>
      <w:r>
        <w:rPr>
          <w:spacing w:val="-52"/>
        </w:rPr>
        <w:t> </w:t>
      </w:r>
      <w:r>
        <w:rPr/>
        <w:t>to</w:t>
      </w:r>
      <w:r>
        <w:rPr>
          <w:spacing w:val="-54"/>
        </w:rPr>
        <w:t> </w:t>
      </w:r>
      <w:r>
        <w:rPr/>
        <w:t>artificial</w:t>
      </w:r>
      <w:r>
        <w:rPr>
          <w:spacing w:val="-52"/>
        </w:rPr>
        <w:t> </w:t>
      </w:r>
      <w:r>
        <w:rPr/>
        <w:t>vitamin C (ascorbic acid):</w:t>
      </w:r>
    </w:p>
    <w:p>
      <w:pPr>
        <w:pStyle w:val="BodyText"/>
        <w:spacing w:line="276" w:lineRule="auto" w:before="261"/>
        <w:ind w:left="616" w:right="137"/>
        <w:jc w:val="both"/>
      </w:pPr>
      <w:r>
        <w:rPr/>
        <w:t>A recent study was carried out at the medical university in Saga, Japan which impressively</w:t>
      </w:r>
      <w:r>
        <w:rPr>
          <w:spacing w:val="-10"/>
        </w:rPr>
        <w:t> </w:t>
      </w:r>
      <w:r>
        <w:rPr/>
        <w:t>proved</w:t>
      </w:r>
      <w:r>
        <w:rPr>
          <w:spacing w:val="-9"/>
        </w:rPr>
        <w:t> </w:t>
      </w:r>
      <w:r>
        <w:rPr/>
        <w:t>the</w:t>
      </w:r>
      <w:r>
        <w:rPr>
          <w:spacing w:val="-7"/>
        </w:rPr>
        <w:t> </w:t>
      </w:r>
      <w:r>
        <w:rPr/>
        <w:t>effect</w:t>
      </w:r>
      <w:r>
        <w:rPr>
          <w:spacing w:val="-8"/>
        </w:rPr>
        <w:t> </w:t>
      </w:r>
      <w:r>
        <w:rPr/>
        <w:t>of</w:t>
      </w:r>
      <w:r>
        <w:rPr>
          <w:spacing w:val="-9"/>
        </w:rPr>
        <w:t> </w:t>
      </w:r>
      <w:r>
        <w:rPr/>
        <w:t>vitamin</w:t>
      </w:r>
      <w:r>
        <w:rPr>
          <w:spacing w:val="-5"/>
        </w:rPr>
        <w:t> </w:t>
      </w:r>
      <w:r>
        <w:rPr/>
        <w:t>C</w:t>
      </w:r>
      <w:r>
        <w:rPr>
          <w:spacing w:val="-10"/>
        </w:rPr>
        <w:t> </w:t>
      </w:r>
      <w:r>
        <w:rPr/>
        <w:t>from</w:t>
      </w:r>
      <w:r>
        <w:rPr>
          <w:spacing w:val="-8"/>
        </w:rPr>
        <w:t> </w:t>
      </w:r>
      <w:r>
        <w:rPr/>
        <w:t>the</w:t>
      </w:r>
      <w:r>
        <w:rPr>
          <w:spacing w:val="-7"/>
        </w:rPr>
        <w:t> </w:t>
      </w:r>
      <w:r>
        <w:rPr/>
        <w:t>camu</w:t>
      </w:r>
      <w:r>
        <w:rPr>
          <w:spacing w:val="-10"/>
        </w:rPr>
        <w:t> </w:t>
      </w:r>
      <w:r>
        <w:rPr/>
        <w:t>camu</w:t>
      </w:r>
      <w:r>
        <w:rPr>
          <w:spacing w:val="-9"/>
        </w:rPr>
        <w:t> </w:t>
      </w:r>
      <w:r>
        <w:rPr/>
        <w:t>fruit</w:t>
      </w:r>
      <w:r>
        <w:rPr>
          <w:spacing w:val="-10"/>
        </w:rPr>
        <w:t> </w:t>
      </w:r>
      <w:r>
        <w:rPr/>
        <w:t>on</w:t>
      </w:r>
      <w:r>
        <w:rPr>
          <w:spacing w:val="-7"/>
        </w:rPr>
        <w:t> </w:t>
      </w:r>
      <w:r>
        <w:rPr/>
        <w:t>arte- riosclerosis.</w:t>
      </w:r>
    </w:p>
    <w:p>
      <w:pPr>
        <w:pStyle w:val="BodyText"/>
        <w:spacing w:line="276" w:lineRule="auto" w:before="241"/>
        <w:ind w:left="616" w:right="137"/>
        <w:jc w:val="both"/>
      </w:pPr>
      <w:r>
        <w:rPr/>
        <w:t>Twenty male smokers were divided into two groups, ten were given 1050 mg of artificial vitamin C and the other ten were given 70 ml of pure camu camu juice, which is also equivalent to 1050 mg of vitamin C.</w:t>
      </w:r>
    </w:p>
    <w:p>
      <w:pPr>
        <w:pStyle w:val="BodyText"/>
        <w:spacing w:line="276" w:lineRule="auto" w:before="239"/>
        <w:ind w:left="616" w:right="134"/>
        <w:jc w:val="both"/>
      </w:pPr>
      <w:r>
        <w:rPr/>
        <w:t>After</w:t>
      </w:r>
      <w:r>
        <w:rPr>
          <w:spacing w:val="-16"/>
        </w:rPr>
        <w:t> </w:t>
      </w:r>
      <w:r>
        <w:rPr/>
        <w:t>just</w:t>
      </w:r>
      <w:r>
        <w:rPr>
          <w:spacing w:val="-16"/>
        </w:rPr>
        <w:t> </w:t>
      </w:r>
      <w:r>
        <w:rPr/>
        <w:t>one</w:t>
      </w:r>
      <w:r>
        <w:rPr>
          <w:spacing w:val="-19"/>
        </w:rPr>
        <w:t> </w:t>
      </w:r>
      <w:r>
        <w:rPr/>
        <w:t>week,</w:t>
      </w:r>
      <w:r>
        <w:rPr>
          <w:spacing w:val="-16"/>
        </w:rPr>
        <w:t> </w:t>
      </w:r>
      <w:r>
        <w:rPr/>
        <w:t>the</w:t>
      </w:r>
      <w:r>
        <w:rPr>
          <w:spacing w:val="-18"/>
        </w:rPr>
        <w:t> </w:t>
      </w:r>
      <w:r>
        <w:rPr/>
        <w:t>inflammation</w:t>
      </w:r>
      <w:r>
        <w:rPr>
          <w:spacing w:val="-16"/>
        </w:rPr>
        <w:t> </w:t>
      </w:r>
      <w:r>
        <w:rPr/>
        <w:t>levels</w:t>
      </w:r>
      <w:r>
        <w:rPr>
          <w:spacing w:val="-17"/>
        </w:rPr>
        <w:t> </w:t>
      </w:r>
      <w:r>
        <w:rPr/>
        <w:t>and</w:t>
      </w:r>
      <w:r>
        <w:rPr>
          <w:spacing w:val="-16"/>
        </w:rPr>
        <w:t> </w:t>
      </w:r>
      <w:r>
        <w:rPr/>
        <w:t>oxidative</w:t>
      </w:r>
      <w:r>
        <w:rPr>
          <w:spacing w:val="-17"/>
        </w:rPr>
        <w:t> </w:t>
      </w:r>
      <w:r>
        <w:rPr/>
        <w:t>stresses</w:t>
      </w:r>
      <w:r>
        <w:rPr>
          <w:spacing w:val="-16"/>
        </w:rPr>
        <w:t> </w:t>
      </w:r>
      <w:r>
        <w:rPr/>
        <w:t>of</w:t>
      </w:r>
      <w:r>
        <w:rPr>
          <w:spacing w:val="-18"/>
        </w:rPr>
        <w:t> </w:t>
      </w:r>
      <w:r>
        <w:rPr/>
        <w:t>the</w:t>
      </w:r>
      <w:r>
        <w:rPr>
          <w:spacing w:val="-18"/>
        </w:rPr>
        <w:t> </w:t>
      </w:r>
      <w:r>
        <w:rPr/>
        <w:t>camu camu group receded significantly, while the group taking the artificial vitamin noticed no difference from the initial</w:t>
      </w:r>
      <w:r>
        <w:rPr>
          <w:spacing w:val="-3"/>
        </w:rPr>
        <w:t> </w:t>
      </w:r>
      <w:r>
        <w:rPr/>
        <w:t>situation!</w:t>
      </w:r>
    </w:p>
    <w:p>
      <w:pPr>
        <w:pStyle w:val="BodyText"/>
        <w:rPr>
          <w:sz w:val="20"/>
        </w:rPr>
      </w:pPr>
    </w:p>
    <w:p>
      <w:pPr>
        <w:pStyle w:val="BodyText"/>
        <w:spacing w:before="2"/>
        <w:rPr>
          <w:sz w:val="20"/>
        </w:rPr>
      </w:pPr>
      <w:r>
        <w:rPr/>
        <w:pict>
          <v:line style="position:absolute;mso-position-horizontal-relative:page;mso-position-vertical-relative:paragraph;z-index:13904;mso-wrap-distance-left:0;mso-wrap-distance-right:0" from="70.823997pt,13.739985pt" to="214.843997pt,13.739985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1009 </w:t>
      </w:r>
      <w:r>
        <w:rPr>
          <w:sz w:val="20"/>
        </w:rPr>
        <w:t>Study by C. H., Gaziano J. M., Manson J. E., Buring J. E., study by Gey K. F., Moser U. K., Jordan P., Staehelin H. B., Eichholzer M., Luedin</w:t>
      </w:r>
    </w:p>
    <w:p>
      <w:pPr>
        <w:spacing w:before="34"/>
        <w:ind w:left="616" w:right="0" w:firstLine="0"/>
        <w:jc w:val="left"/>
        <w:rPr>
          <w:sz w:val="20"/>
        </w:rPr>
      </w:pPr>
      <w:r>
        <w:rPr>
          <w:sz w:val="20"/>
        </w:rPr>
        <w:t>E. , study by Jialal I., Fuller C. J., Mehra M. R., Lavie C. J., Ventura H. O., Milani R. V. and study by Biesalski H. K. and Frank J.</w:t>
      </w:r>
    </w:p>
    <w:p>
      <w:pPr>
        <w:spacing w:after="0"/>
        <w:jc w:val="left"/>
        <w:rPr>
          <w:sz w:val="20"/>
        </w:rPr>
        <w:sectPr>
          <w:pgSz w:w="14270" w:h="16850"/>
          <w:pgMar w:header="0" w:footer="1891" w:top="1340" w:bottom="2080" w:left="800" w:right="1280"/>
        </w:sectPr>
      </w:pPr>
    </w:p>
    <w:p>
      <w:pPr>
        <w:pStyle w:val="BodyText"/>
        <w:spacing w:line="276" w:lineRule="auto" w:before="74"/>
        <w:ind w:left="616" w:right="136"/>
        <w:jc w:val="both"/>
      </w:pPr>
      <w:r>
        <w:rPr/>
        <w:t>The</w:t>
      </w:r>
      <w:r>
        <w:rPr>
          <w:spacing w:val="-24"/>
        </w:rPr>
        <w:t> </w:t>
      </w:r>
      <w:r>
        <w:rPr/>
        <w:t>study</w:t>
      </w:r>
      <w:r>
        <w:rPr>
          <w:spacing w:val="-24"/>
        </w:rPr>
        <w:t> </w:t>
      </w:r>
      <w:r>
        <w:rPr/>
        <w:t>leaders</w:t>
      </w:r>
      <w:r>
        <w:rPr>
          <w:spacing w:val="-23"/>
        </w:rPr>
        <w:t> </w:t>
      </w:r>
      <w:r>
        <w:rPr/>
        <w:t>concluded</w:t>
      </w:r>
      <w:r>
        <w:rPr>
          <w:spacing w:val="-24"/>
        </w:rPr>
        <w:t> </w:t>
      </w:r>
      <w:r>
        <w:rPr/>
        <w:t>from</w:t>
      </w:r>
      <w:r>
        <w:rPr>
          <w:spacing w:val="-24"/>
        </w:rPr>
        <w:t> </w:t>
      </w:r>
      <w:r>
        <w:rPr/>
        <w:t>this</w:t>
      </w:r>
      <w:r>
        <w:rPr>
          <w:spacing w:val="-23"/>
        </w:rPr>
        <w:t> </w:t>
      </w:r>
      <w:r>
        <w:rPr/>
        <w:t>that</w:t>
      </w:r>
      <w:r>
        <w:rPr>
          <w:spacing w:val="-24"/>
        </w:rPr>
        <w:t> </w:t>
      </w:r>
      <w:r>
        <w:rPr/>
        <w:t>camu</w:t>
      </w:r>
      <w:r>
        <w:rPr>
          <w:spacing w:val="-25"/>
        </w:rPr>
        <w:t> </w:t>
      </w:r>
      <w:r>
        <w:rPr/>
        <w:t>camu</w:t>
      </w:r>
      <w:r>
        <w:rPr>
          <w:spacing w:val="-25"/>
        </w:rPr>
        <w:t> </w:t>
      </w:r>
      <w:r>
        <w:rPr/>
        <w:t>has</w:t>
      </w:r>
      <w:r>
        <w:rPr>
          <w:spacing w:val="-23"/>
        </w:rPr>
        <w:t> </w:t>
      </w:r>
      <w:r>
        <w:rPr/>
        <w:t>strong</w:t>
      </w:r>
      <w:r>
        <w:rPr>
          <w:spacing w:val="-26"/>
        </w:rPr>
        <w:t> </w:t>
      </w:r>
      <w:r>
        <w:rPr/>
        <w:t>antioxidative and inflammation inhibiting properties, however in contrast, the artificial</w:t>
      </w:r>
      <w:r>
        <w:rPr>
          <w:spacing w:val="-50"/>
        </w:rPr>
        <w:t> </w:t>
      </w:r>
      <w:r>
        <w:rPr/>
        <w:t>vita- min C did not proffer any benefits. Therefore, the assumption is that the co- operation of all the natural components of camu camu led to this positive re- sult.</w:t>
      </w:r>
    </w:p>
    <w:p>
      <w:pPr>
        <w:pStyle w:val="BodyText"/>
        <w:rPr>
          <w:sz w:val="42"/>
        </w:rPr>
      </w:pPr>
    </w:p>
    <w:p>
      <w:pPr>
        <w:pStyle w:val="BodyText"/>
        <w:spacing w:before="5"/>
        <w:rPr>
          <w:sz w:val="44"/>
        </w:rPr>
      </w:pPr>
    </w:p>
    <w:p>
      <w:pPr>
        <w:pStyle w:val="Heading2"/>
        <w:ind w:left="616"/>
      </w:pPr>
      <w:r>
        <w:rPr/>
        <w:t>ARTERIOSCLEROSIS IS REVERSIBLE!</w:t>
      </w:r>
    </w:p>
    <w:p>
      <w:pPr>
        <w:pStyle w:val="BodyText"/>
        <w:spacing w:line="276" w:lineRule="auto" w:before="304"/>
        <w:ind w:left="616" w:right="134"/>
        <w:jc w:val="both"/>
      </w:pPr>
      <w:r>
        <w:rPr/>
        <w:t>While conventional medicine rigorously announces that existing arteriosclero- sis</w:t>
      </w:r>
      <w:r>
        <w:rPr>
          <w:spacing w:val="-19"/>
        </w:rPr>
        <w:t> </w:t>
      </w:r>
      <w:r>
        <w:rPr/>
        <w:t>cannot</w:t>
      </w:r>
      <w:r>
        <w:rPr>
          <w:spacing w:val="-22"/>
        </w:rPr>
        <w:t> </w:t>
      </w:r>
      <w:r>
        <w:rPr/>
        <w:t>be</w:t>
      </w:r>
      <w:r>
        <w:rPr>
          <w:spacing w:val="-19"/>
        </w:rPr>
        <w:t> </w:t>
      </w:r>
      <w:r>
        <w:rPr/>
        <w:t>reversed,</w:t>
      </w:r>
      <w:r>
        <w:rPr>
          <w:spacing w:val="-19"/>
        </w:rPr>
        <w:t> </w:t>
      </w:r>
      <w:r>
        <w:rPr/>
        <w:t>it</w:t>
      </w:r>
      <w:r>
        <w:rPr>
          <w:spacing w:val="-23"/>
        </w:rPr>
        <w:t> </w:t>
      </w:r>
      <w:r>
        <w:rPr/>
        <w:t>scandalously</w:t>
      </w:r>
      <w:r>
        <w:rPr>
          <w:spacing w:val="-20"/>
        </w:rPr>
        <w:t> </w:t>
      </w:r>
      <w:r>
        <w:rPr/>
        <w:t>hides</w:t>
      </w:r>
      <w:r>
        <w:rPr>
          <w:spacing w:val="-19"/>
        </w:rPr>
        <w:t> </w:t>
      </w:r>
      <w:r>
        <w:rPr/>
        <w:t>representative</w:t>
      </w:r>
      <w:r>
        <w:rPr>
          <w:spacing w:val="-20"/>
        </w:rPr>
        <w:t> </w:t>
      </w:r>
      <w:r>
        <w:rPr/>
        <w:t>studies</w:t>
      </w:r>
      <w:r>
        <w:rPr>
          <w:spacing w:val="-19"/>
        </w:rPr>
        <w:t> </w:t>
      </w:r>
      <w:r>
        <w:rPr/>
        <w:t>which</w:t>
      </w:r>
      <w:r>
        <w:rPr>
          <w:spacing w:val="-19"/>
        </w:rPr>
        <w:t> </w:t>
      </w:r>
      <w:r>
        <w:rPr/>
        <w:t>prove that arteriosclerosis is easily REVERSIBLE – with natural vitamin</w:t>
      </w:r>
      <w:r>
        <w:rPr>
          <w:spacing w:val="-7"/>
        </w:rPr>
        <w:t> </w:t>
      </w:r>
      <w:r>
        <w:rPr/>
        <w:t>C.</w:t>
      </w:r>
    </w:p>
    <w:p>
      <w:pPr>
        <w:pStyle w:val="Heading1"/>
        <w:ind w:left="616"/>
      </w:pPr>
      <w:r>
        <w:rPr/>
        <w:t>Evidential studies for the reversal of arteriosclerosis with vitamin C</w:t>
      </w:r>
    </w:p>
    <w:p>
      <w:pPr>
        <w:pStyle w:val="BodyText"/>
        <w:spacing w:line="276" w:lineRule="auto" w:before="297"/>
        <w:ind w:left="616" w:right="132"/>
        <w:jc w:val="both"/>
      </w:pPr>
      <w:r>
        <w:rPr/>
        <w:t>Thus, Canadian Dr. G. C. Willis was able to show that arteriosclerosis in leg arteries could be relieved naturally. To this end, arteriosclerotic deposits were first determined with the help of a contrast medium examination (angi- ography).</w:t>
      </w:r>
    </w:p>
    <w:p>
      <w:pPr>
        <w:pStyle w:val="BodyText"/>
        <w:spacing w:line="278" w:lineRule="auto" w:before="240"/>
        <w:ind w:left="616" w:right="141"/>
        <w:jc w:val="both"/>
      </w:pPr>
      <w:r>
        <w:rPr/>
        <w:t>According to this, a test group of patients received 1.5 g of vitamin C per day and the other control group were not given any additional vitamin C.</w:t>
      </w:r>
    </w:p>
    <w:p>
      <w:pPr>
        <w:pStyle w:val="BodyText"/>
        <w:spacing w:line="276" w:lineRule="auto" w:before="232"/>
        <w:ind w:left="616" w:right="139"/>
        <w:jc w:val="both"/>
      </w:pPr>
      <w:r>
        <w:rPr/>
        <w:t>In 30 % of the cases in the control examinations, arteriosclerotic deposits re- ceded after one year in patients who received 1500 mg of vitamin C per day.</w:t>
      </w:r>
    </w:p>
    <w:p>
      <w:pPr>
        <w:spacing w:after="0" w:line="276" w:lineRule="auto"/>
        <w:jc w:val="both"/>
        <w:sectPr>
          <w:pgSz w:w="14270" w:h="16850"/>
          <w:pgMar w:header="0" w:footer="1891" w:top="1340" w:bottom="2080" w:left="800" w:right="1280"/>
        </w:sectPr>
      </w:pPr>
    </w:p>
    <w:p>
      <w:pPr>
        <w:pStyle w:val="BodyText"/>
        <w:spacing w:line="278" w:lineRule="auto" w:before="72"/>
        <w:ind w:left="616" w:right="135"/>
        <w:jc w:val="both"/>
        <w:rPr>
          <w:sz w:val="25"/>
        </w:rPr>
      </w:pPr>
      <w:r>
        <w:rPr/>
        <w:t>In contrast, patients who did not consume additional vitamin C</w:t>
      </w:r>
      <w:r>
        <w:rPr>
          <w:spacing w:val="-40"/>
        </w:rPr>
        <w:t> </w:t>
      </w:r>
      <w:r>
        <w:rPr/>
        <w:t>demonstrated no</w:t>
      </w:r>
      <w:r>
        <w:rPr>
          <w:spacing w:val="-13"/>
        </w:rPr>
        <w:t> </w:t>
      </w:r>
      <w:r>
        <w:rPr/>
        <w:t>reduction</w:t>
      </w:r>
      <w:r>
        <w:rPr>
          <w:spacing w:val="-12"/>
        </w:rPr>
        <w:t> </w:t>
      </w:r>
      <w:r>
        <w:rPr/>
        <w:t>in</w:t>
      </w:r>
      <w:r>
        <w:rPr>
          <w:spacing w:val="-13"/>
        </w:rPr>
        <w:t> </w:t>
      </w:r>
      <w:r>
        <w:rPr/>
        <w:t>arteriosclerotic</w:t>
      </w:r>
      <w:r>
        <w:rPr>
          <w:spacing w:val="-14"/>
        </w:rPr>
        <w:t> </w:t>
      </w:r>
      <w:r>
        <w:rPr/>
        <w:t>deposits,</w:t>
      </w:r>
      <w:r>
        <w:rPr>
          <w:spacing w:val="-13"/>
        </w:rPr>
        <w:t> </w:t>
      </w:r>
      <w:r>
        <w:rPr/>
        <w:t>in</w:t>
      </w:r>
      <w:r>
        <w:rPr>
          <w:spacing w:val="-13"/>
        </w:rPr>
        <w:t> </w:t>
      </w:r>
      <w:r>
        <w:rPr/>
        <w:t>some</w:t>
      </w:r>
      <w:r>
        <w:rPr>
          <w:spacing w:val="-15"/>
        </w:rPr>
        <w:t> </w:t>
      </w:r>
      <w:r>
        <w:rPr/>
        <w:t>cases</w:t>
      </w:r>
      <w:r>
        <w:rPr>
          <w:spacing w:val="-12"/>
        </w:rPr>
        <w:t> </w:t>
      </w:r>
      <w:r>
        <w:rPr/>
        <w:t>they</w:t>
      </w:r>
      <w:r>
        <w:rPr>
          <w:spacing w:val="-13"/>
        </w:rPr>
        <w:t> </w:t>
      </w:r>
      <w:r>
        <w:rPr/>
        <w:t>even</w:t>
      </w:r>
      <w:r>
        <w:rPr>
          <w:spacing w:val="-12"/>
        </w:rPr>
        <w:t> </w:t>
      </w:r>
      <w:r>
        <w:rPr/>
        <w:t>increased.</w:t>
      </w:r>
      <w:r>
        <w:rPr>
          <w:position w:val="9"/>
          <w:sz w:val="25"/>
        </w:rPr>
        <w:t>1010</w:t>
      </w:r>
    </w:p>
    <w:p>
      <w:pPr>
        <w:pStyle w:val="BodyText"/>
        <w:spacing w:line="276" w:lineRule="auto" w:before="232"/>
        <w:ind w:left="616" w:right="131"/>
        <w:jc w:val="both"/>
        <w:rPr>
          <w:sz w:val="25"/>
        </w:rPr>
      </w:pPr>
      <w:r>
        <w:rPr/>
        <w:t>A further study examined the therapeutic benefits of vitamin C in 12,000</w:t>
      </w:r>
      <w:r>
        <w:rPr>
          <w:spacing w:val="-60"/>
        </w:rPr>
        <w:t> </w:t>
      </w:r>
      <w:r>
        <w:rPr/>
        <w:t>peo- ple. Half (6,000 test subjects) were given the normal dose of vitamin C as we consume</w:t>
      </w:r>
      <w:r>
        <w:rPr>
          <w:spacing w:val="-16"/>
        </w:rPr>
        <w:t> </w:t>
      </w:r>
      <w:r>
        <w:rPr/>
        <w:t>in</w:t>
      </w:r>
      <w:r>
        <w:rPr>
          <w:spacing w:val="-15"/>
        </w:rPr>
        <w:t> </w:t>
      </w:r>
      <w:r>
        <w:rPr/>
        <w:t>our</w:t>
      </w:r>
      <w:r>
        <w:rPr>
          <w:spacing w:val="-18"/>
        </w:rPr>
        <w:t> </w:t>
      </w:r>
      <w:r>
        <w:rPr/>
        <w:t>daily</w:t>
      </w:r>
      <w:r>
        <w:rPr>
          <w:spacing w:val="-15"/>
        </w:rPr>
        <w:t> </w:t>
      </w:r>
      <w:r>
        <w:rPr/>
        <w:t>diet,</w:t>
      </w:r>
      <w:r>
        <w:rPr>
          <w:spacing w:val="-16"/>
        </w:rPr>
        <w:t> </w:t>
      </w:r>
      <w:r>
        <w:rPr/>
        <w:t>namely</w:t>
      </w:r>
      <w:r>
        <w:rPr>
          <w:spacing w:val="-15"/>
        </w:rPr>
        <w:t> </w:t>
      </w:r>
      <w:r>
        <w:rPr/>
        <w:t>60</w:t>
      </w:r>
      <w:r>
        <w:rPr>
          <w:spacing w:val="-16"/>
        </w:rPr>
        <w:t> </w:t>
      </w:r>
      <w:r>
        <w:rPr/>
        <w:t>mg</w:t>
      </w:r>
      <w:r>
        <w:rPr>
          <w:spacing w:val="-15"/>
        </w:rPr>
        <w:t> </w:t>
      </w:r>
      <w:r>
        <w:rPr/>
        <w:t>per</w:t>
      </w:r>
      <w:r>
        <w:rPr>
          <w:spacing w:val="-18"/>
        </w:rPr>
        <w:t> </w:t>
      </w:r>
      <w:r>
        <w:rPr/>
        <w:t>day.</w:t>
      </w:r>
      <w:r>
        <w:rPr>
          <w:spacing w:val="-17"/>
        </w:rPr>
        <w:t> </w:t>
      </w:r>
      <w:r>
        <w:rPr/>
        <w:t>The</w:t>
      </w:r>
      <w:r>
        <w:rPr>
          <w:spacing w:val="-14"/>
        </w:rPr>
        <w:t> </w:t>
      </w:r>
      <w:r>
        <w:rPr/>
        <w:t>other</w:t>
      </w:r>
      <w:r>
        <w:rPr>
          <w:spacing w:val="-15"/>
        </w:rPr>
        <w:t> </w:t>
      </w:r>
      <w:r>
        <w:rPr/>
        <w:t>group</w:t>
      </w:r>
      <w:r>
        <w:rPr>
          <w:spacing w:val="-16"/>
        </w:rPr>
        <w:t> </w:t>
      </w:r>
      <w:r>
        <w:rPr/>
        <w:t>of</w:t>
      </w:r>
      <w:r>
        <w:rPr>
          <w:spacing w:val="-15"/>
        </w:rPr>
        <w:t> </w:t>
      </w:r>
      <w:r>
        <w:rPr/>
        <w:t>6,000</w:t>
      </w:r>
      <w:r>
        <w:rPr>
          <w:spacing w:val="-16"/>
        </w:rPr>
        <w:t> </w:t>
      </w:r>
      <w:r>
        <w:rPr/>
        <w:t>test subjects</w:t>
      </w:r>
      <w:r>
        <w:rPr>
          <w:spacing w:val="-9"/>
        </w:rPr>
        <w:t> </w:t>
      </w:r>
      <w:r>
        <w:rPr/>
        <w:t>were</w:t>
      </w:r>
      <w:r>
        <w:rPr>
          <w:spacing w:val="-8"/>
        </w:rPr>
        <w:t> </w:t>
      </w:r>
      <w:r>
        <w:rPr/>
        <w:t>given</w:t>
      </w:r>
      <w:r>
        <w:rPr>
          <w:spacing w:val="-8"/>
        </w:rPr>
        <w:t> </w:t>
      </w:r>
      <w:r>
        <w:rPr/>
        <w:t>300</w:t>
      </w:r>
      <w:r>
        <w:rPr>
          <w:spacing w:val="-9"/>
        </w:rPr>
        <w:t> </w:t>
      </w:r>
      <w:r>
        <w:rPr/>
        <w:t>mg</w:t>
      </w:r>
      <w:r>
        <w:rPr>
          <w:spacing w:val="-11"/>
        </w:rPr>
        <w:t> </w:t>
      </w:r>
      <w:r>
        <w:rPr/>
        <w:t>of</w:t>
      </w:r>
      <w:r>
        <w:rPr>
          <w:spacing w:val="-8"/>
        </w:rPr>
        <w:t> </w:t>
      </w:r>
      <w:r>
        <w:rPr/>
        <w:t>vitamin</w:t>
      </w:r>
      <w:r>
        <w:rPr>
          <w:spacing w:val="-10"/>
        </w:rPr>
        <w:t> </w:t>
      </w:r>
      <w:r>
        <w:rPr/>
        <w:t>C</w:t>
      </w:r>
      <w:r>
        <w:rPr>
          <w:spacing w:val="-10"/>
        </w:rPr>
        <w:t> </w:t>
      </w:r>
      <w:r>
        <w:rPr/>
        <w:t>daily.</w:t>
      </w:r>
      <w:r>
        <w:rPr>
          <w:spacing w:val="-9"/>
        </w:rPr>
        <w:t> </w:t>
      </w:r>
      <w:r>
        <w:rPr/>
        <w:t>Within</w:t>
      </w:r>
      <w:r>
        <w:rPr>
          <w:spacing w:val="-8"/>
        </w:rPr>
        <w:t> </w:t>
      </w:r>
      <w:r>
        <w:rPr/>
        <w:t>this</w:t>
      </w:r>
      <w:r>
        <w:rPr>
          <w:spacing w:val="-8"/>
        </w:rPr>
        <w:t> </w:t>
      </w:r>
      <w:r>
        <w:rPr/>
        <w:t>study</w:t>
      </w:r>
      <w:r>
        <w:rPr>
          <w:spacing w:val="-9"/>
        </w:rPr>
        <w:t> </w:t>
      </w:r>
      <w:r>
        <w:rPr/>
        <w:t>it</w:t>
      </w:r>
      <w:r>
        <w:rPr>
          <w:spacing w:val="-11"/>
        </w:rPr>
        <w:t> </w:t>
      </w:r>
      <w:r>
        <w:rPr/>
        <w:t>was</w:t>
      </w:r>
      <w:r>
        <w:rPr>
          <w:spacing w:val="-8"/>
        </w:rPr>
        <w:t> </w:t>
      </w:r>
      <w:r>
        <w:rPr/>
        <w:t>discov- ered that the consumption of these 300 mg of vitamin C had already halved the rate of heart</w:t>
      </w:r>
      <w:r>
        <w:rPr>
          <w:spacing w:val="-1"/>
        </w:rPr>
        <w:t> </w:t>
      </w:r>
      <w:r>
        <w:rPr/>
        <w:t>attacks.</w:t>
      </w:r>
      <w:r>
        <w:rPr>
          <w:position w:val="9"/>
          <w:sz w:val="25"/>
        </w:rPr>
        <w:t>1011</w:t>
      </w:r>
    </w:p>
    <w:p>
      <w:pPr>
        <w:pStyle w:val="BodyText"/>
        <w:spacing w:line="276" w:lineRule="auto" w:before="243"/>
        <w:ind w:left="616" w:right="139"/>
        <w:jc w:val="both"/>
      </w:pPr>
      <w:r>
        <w:rPr/>
        <w:t>We are talking here about just 300 mg – imagine how this study would have turned out with 1000, 2000 or even 3000 mg!</w:t>
      </w:r>
    </w:p>
    <w:p>
      <w:pPr>
        <w:pStyle w:val="BodyText"/>
        <w:spacing w:line="276" w:lineRule="auto" w:before="238"/>
        <w:ind w:left="616" w:right="142"/>
        <w:jc w:val="both"/>
      </w:pPr>
      <w:r>
        <w:rPr/>
        <w:t>Half</w:t>
      </w:r>
      <w:r>
        <w:rPr>
          <w:spacing w:val="-14"/>
        </w:rPr>
        <w:t> </w:t>
      </w:r>
      <w:r>
        <w:rPr/>
        <w:t>of</w:t>
      </w:r>
      <w:r>
        <w:rPr>
          <w:spacing w:val="-11"/>
        </w:rPr>
        <w:t> </w:t>
      </w:r>
      <w:r>
        <w:rPr/>
        <w:t>all</w:t>
      </w:r>
      <w:r>
        <w:rPr>
          <w:spacing w:val="-13"/>
        </w:rPr>
        <w:t> </w:t>
      </w:r>
      <w:r>
        <w:rPr/>
        <w:t>central</w:t>
      </w:r>
      <w:r>
        <w:rPr>
          <w:spacing w:val="-12"/>
        </w:rPr>
        <w:t> </w:t>
      </w:r>
      <w:r>
        <w:rPr/>
        <w:t>Europeans</w:t>
      </w:r>
      <w:r>
        <w:rPr>
          <w:spacing w:val="-12"/>
        </w:rPr>
        <w:t> </w:t>
      </w:r>
      <w:r>
        <w:rPr/>
        <w:t>and</w:t>
      </w:r>
      <w:r>
        <w:rPr>
          <w:spacing w:val="-12"/>
        </w:rPr>
        <w:t> </w:t>
      </w:r>
      <w:r>
        <w:rPr/>
        <w:t>Americans</w:t>
      </w:r>
      <w:r>
        <w:rPr>
          <w:spacing w:val="-11"/>
        </w:rPr>
        <w:t> </w:t>
      </w:r>
      <w:r>
        <w:rPr/>
        <w:t>die</w:t>
      </w:r>
      <w:r>
        <w:rPr>
          <w:spacing w:val="-13"/>
        </w:rPr>
        <w:t> </w:t>
      </w:r>
      <w:r>
        <w:rPr/>
        <w:t>from</w:t>
      </w:r>
      <w:r>
        <w:rPr>
          <w:spacing w:val="-12"/>
        </w:rPr>
        <w:t> </w:t>
      </w:r>
      <w:r>
        <w:rPr/>
        <w:t>heart</w:t>
      </w:r>
      <w:r>
        <w:rPr>
          <w:spacing w:val="-13"/>
        </w:rPr>
        <w:t> </w:t>
      </w:r>
      <w:r>
        <w:rPr/>
        <w:t>attacks</w:t>
      </w:r>
      <w:r>
        <w:rPr>
          <w:spacing w:val="-11"/>
        </w:rPr>
        <w:t> </w:t>
      </w:r>
      <w:r>
        <w:rPr/>
        <w:t>or</w:t>
      </w:r>
      <w:r>
        <w:rPr>
          <w:spacing w:val="-12"/>
        </w:rPr>
        <w:t> </w:t>
      </w:r>
      <w:r>
        <w:rPr/>
        <w:t>cerebral apoplexy – yet even with a relatively small dose of just 300 mg of vitamin C rather than the usual 60 mg we consume daily we could half this enormous death rate – an unprecedented</w:t>
      </w:r>
      <w:r>
        <w:rPr>
          <w:spacing w:val="2"/>
        </w:rPr>
        <w:t> </w:t>
      </w:r>
      <w:r>
        <w:rPr/>
        <w:t>scandal!</w:t>
      </w:r>
    </w:p>
    <w:p>
      <w:pPr>
        <w:pStyle w:val="Heading2"/>
        <w:spacing w:before="242"/>
        <w:ind w:left="616"/>
      </w:pPr>
      <w:r>
        <w:rPr/>
        <w:t>CANCER</w:t>
      </w:r>
    </w:p>
    <w:p>
      <w:pPr>
        <w:pStyle w:val="BodyText"/>
        <w:spacing w:line="278" w:lineRule="auto" w:before="302"/>
        <w:ind w:left="616" w:right="135"/>
        <w:jc w:val="both"/>
      </w:pPr>
      <w:r>
        <w:rPr/>
        <w:t>Vitamin C also combats cancer (a cause of death for over 25 % of all central Europeans and US Americans) with various mechanisms,</w:t>
      </w:r>
    </w:p>
    <w:p>
      <w:pPr>
        <w:pStyle w:val="Heading1"/>
        <w:spacing w:before="215"/>
        <w:ind w:left="616"/>
      </w:pPr>
      <w:r>
        <w:rPr/>
        <w:t>Vitamin C:</w:t>
      </w:r>
    </w:p>
    <w:p>
      <w:pPr>
        <w:pStyle w:val="BodyText"/>
        <w:tabs>
          <w:tab w:pos="1324" w:val="left" w:leader="none"/>
          <w:tab w:pos="1753" w:val="left" w:leader="none"/>
          <w:tab w:pos="2578" w:val="left" w:leader="none"/>
          <w:tab w:pos="3831" w:val="left" w:leader="none"/>
          <w:tab w:pos="4298" w:val="left" w:leader="none"/>
          <w:tab w:pos="6148" w:val="left" w:leader="none"/>
          <w:tab w:pos="6857" w:val="left" w:leader="none"/>
          <w:tab w:pos="8416" w:val="left" w:leader="none"/>
          <w:tab w:pos="9357" w:val="left" w:leader="none"/>
          <w:tab w:pos="11398" w:val="left" w:leader="none"/>
        </w:tabs>
        <w:spacing w:line="273" w:lineRule="auto" w:before="261"/>
        <w:ind w:left="1324" w:right="143" w:hanging="708"/>
        <w:rPr>
          <w:sz w:val="25"/>
        </w:rPr>
      </w:pPr>
      <w:r>
        <w:rPr>
          <w:rFonts w:ascii="Times New Roman"/>
        </w:rPr>
        <w:t>-</w:t>
        <w:tab/>
      </w:r>
      <w:r>
        <w:rPr/>
        <w:t>is</w:t>
        <w:tab/>
        <w:t>very</w:t>
        <w:tab/>
        <w:t>reliable</w:t>
        <w:tab/>
        <w:t>at</w:t>
        <w:tab/>
        <w:t>detoxifying</w:t>
        <w:tab/>
        <w:t>our</w:t>
        <w:tab/>
        <w:t>organism</w:t>
        <w:tab/>
        <w:t>from</w:t>
        <w:tab/>
        <w:t>carcinogenic</w:t>
        <w:tab/>
        <w:t>sub- stances,</w:t>
      </w:r>
      <w:r>
        <w:rPr>
          <w:position w:val="9"/>
          <w:sz w:val="25"/>
        </w:rPr>
        <w:t>1012</w:t>
      </w:r>
    </w:p>
    <w:p>
      <w:pPr>
        <w:pStyle w:val="BodyText"/>
        <w:rPr>
          <w:sz w:val="20"/>
        </w:rPr>
      </w:pPr>
    </w:p>
    <w:p>
      <w:pPr>
        <w:pStyle w:val="BodyText"/>
        <w:spacing w:before="5"/>
        <w:rPr>
          <w:sz w:val="16"/>
        </w:rPr>
      </w:pPr>
      <w:r>
        <w:rPr/>
        <w:pict>
          <v:line style="position:absolute;mso-position-horizontal-relative:page;mso-position-vertical-relative:paragraph;z-index:13928;mso-wrap-distance-left:0;mso-wrap-distance-right:0" from="70.823997pt,11.644976pt" to="214.843997pt,11.644976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1010 </w:t>
      </w:r>
      <w:r>
        <w:rPr>
          <w:sz w:val="20"/>
        </w:rPr>
        <w:t>Dr. med. Matthias Rath, Warum kennen Tiere keinen Herzinfarkt - aber wir Menschen, 1989</w:t>
      </w:r>
    </w:p>
    <w:p>
      <w:pPr>
        <w:spacing w:before="94"/>
        <w:ind w:left="616" w:right="0" w:firstLine="0"/>
        <w:jc w:val="left"/>
        <w:rPr>
          <w:sz w:val="20"/>
        </w:rPr>
      </w:pPr>
      <w:r>
        <w:rPr/>
        <w:drawing>
          <wp:anchor distT="0" distB="0" distL="0" distR="0" allowOverlap="1" layoutInCell="1" locked="0" behindDoc="1" simplePos="0" relativeHeight="267181727">
            <wp:simplePos x="0" y="0"/>
            <wp:positionH relativeFrom="page">
              <wp:posOffset>985998</wp:posOffset>
            </wp:positionH>
            <wp:positionV relativeFrom="paragraph">
              <wp:posOffset>141962</wp:posOffset>
            </wp:positionV>
            <wp:extent cx="6379583" cy="902106"/>
            <wp:effectExtent l="0" t="0" r="0" b="0"/>
            <wp:wrapNone/>
            <wp:docPr id="669" name="image2.jpeg" descr=""/>
            <wp:cNvGraphicFramePr>
              <a:graphicFrameLocks noChangeAspect="1"/>
            </wp:cNvGraphicFramePr>
            <a:graphic>
              <a:graphicData uri="http://schemas.openxmlformats.org/drawingml/2006/picture">
                <pic:pic>
                  <pic:nvPicPr>
                    <pic:cNvPr id="670"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1011 </w:t>
      </w:r>
      <w:r>
        <w:rPr>
          <w:sz w:val="20"/>
        </w:rPr>
        <w:t>Dr. Gottfried Lange in the film for ‘Codex Alimentarius’</w:t>
      </w:r>
    </w:p>
    <w:p>
      <w:pPr>
        <w:spacing w:before="95"/>
        <w:ind w:left="616" w:right="0" w:firstLine="0"/>
        <w:jc w:val="left"/>
        <w:rPr>
          <w:sz w:val="20"/>
        </w:rPr>
      </w:pPr>
      <w:r>
        <w:rPr>
          <w:position w:val="4"/>
          <w:sz w:val="10"/>
        </w:rPr>
        <w:t>1012 </w:t>
      </w:r>
      <w:r>
        <w:rPr>
          <w:sz w:val="20"/>
        </w:rPr>
        <w:t>Mirvish S. S.: Letters to the editor: Vitamin C inhibition of N-Nitroso compound formation. 1993, Amer. J. Clin. Nutr. 57, pp. 598–599</w:t>
      </w:r>
    </w:p>
    <w:p>
      <w:pPr>
        <w:spacing w:after="0"/>
        <w:jc w:val="left"/>
        <w:rPr>
          <w:sz w:val="20"/>
        </w:rPr>
        <w:sectPr>
          <w:footerReference w:type="default" r:id="rId463"/>
          <w:pgSz w:w="14270" w:h="16850"/>
          <w:pgMar w:footer="527" w:header="0" w:top="1340" w:bottom="720" w:left="800" w:right="1280"/>
        </w:sectPr>
      </w:pPr>
    </w:p>
    <w:p>
      <w:pPr>
        <w:pStyle w:val="ListParagraph"/>
        <w:numPr>
          <w:ilvl w:val="0"/>
          <w:numId w:val="131"/>
        </w:numPr>
        <w:tabs>
          <w:tab w:pos="1336" w:val="left" w:leader="none"/>
          <w:tab w:pos="1337" w:val="left" w:leader="none"/>
        </w:tabs>
        <w:spacing w:line="240" w:lineRule="auto" w:before="53" w:after="0"/>
        <w:ind w:left="1324" w:right="0" w:hanging="708"/>
        <w:jc w:val="left"/>
        <w:rPr>
          <w:sz w:val="25"/>
        </w:rPr>
      </w:pPr>
      <w:r>
        <w:rPr>
          <w:sz w:val="38"/>
        </w:rPr>
        <w:t>reduces heavy metal</w:t>
      </w:r>
      <w:r>
        <w:rPr>
          <w:spacing w:val="-2"/>
          <w:sz w:val="38"/>
        </w:rPr>
        <w:t> </w:t>
      </w:r>
      <w:r>
        <w:rPr>
          <w:sz w:val="38"/>
        </w:rPr>
        <w:t>poisoning,</w:t>
      </w:r>
      <w:r>
        <w:rPr>
          <w:position w:val="9"/>
          <w:sz w:val="25"/>
        </w:rPr>
        <w:t>1013</w:t>
      </w:r>
    </w:p>
    <w:p>
      <w:pPr>
        <w:pStyle w:val="ListParagraph"/>
        <w:numPr>
          <w:ilvl w:val="0"/>
          <w:numId w:val="131"/>
        </w:numPr>
        <w:tabs>
          <w:tab w:pos="1324" w:val="left" w:leader="none"/>
          <w:tab w:pos="1325" w:val="left" w:leader="none"/>
        </w:tabs>
        <w:spacing w:line="240" w:lineRule="auto" w:before="186" w:after="0"/>
        <w:ind w:left="1324" w:right="0" w:hanging="708"/>
        <w:jc w:val="left"/>
        <w:rPr>
          <w:sz w:val="25"/>
        </w:rPr>
      </w:pPr>
      <w:r>
        <w:rPr>
          <w:sz w:val="38"/>
        </w:rPr>
        <w:t>increases iron absorption (protects against</w:t>
      </w:r>
      <w:r>
        <w:rPr>
          <w:spacing w:val="-2"/>
          <w:sz w:val="38"/>
        </w:rPr>
        <w:t> </w:t>
      </w:r>
      <w:r>
        <w:rPr>
          <w:sz w:val="38"/>
        </w:rPr>
        <w:t>anaemia),</w:t>
      </w:r>
      <w:r>
        <w:rPr>
          <w:position w:val="9"/>
          <w:sz w:val="25"/>
        </w:rPr>
        <w:t>1014</w:t>
      </w:r>
    </w:p>
    <w:p>
      <w:pPr>
        <w:pStyle w:val="ListParagraph"/>
        <w:numPr>
          <w:ilvl w:val="0"/>
          <w:numId w:val="131"/>
        </w:numPr>
        <w:tabs>
          <w:tab w:pos="1324" w:val="left" w:leader="none"/>
          <w:tab w:pos="1325" w:val="left" w:leader="none"/>
        </w:tabs>
        <w:spacing w:line="273" w:lineRule="auto" w:before="184" w:after="0"/>
        <w:ind w:left="1324" w:right="134" w:hanging="708"/>
        <w:jc w:val="left"/>
        <w:rPr>
          <w:sz w:val="38"/>
        </w:rPr>
      </w:pPr>
      <w:r>
        <w:rPr>
          <w:sz w:val="38"/>
        </w:rPr>
        <w:t>activates</w:t>
      </w:r>
      <w:r>
        <w:rPr>
          <w:spacing w:val="-22"/>
          <w:sz w:val="38"/>
        </w:rPr>
        <w:t> </w:t>
      </w:r>
      <w:r>
        <w:rPr>
          <w:sz w:val="38"/>
        </w:rPr>
        <w:t>the</w:t>
      </w:r>
      <w:r>
        <w:rPr>
          <w:spacing w:val="-20"/>
          <w:sz w:val="38"/>
        </w:rPr>
        <w:t> </w:t>
      </w:r>
      <w:r>
        <w:rPr>
          <w:sz w:val="38"/>
        </w:rPr>
        <w:t>immune</w:t>
      </w:r>
      <w:r>
        <w:rPr>
          <w:spacing w:val="-21"/>
          <w:sz w:val="38"/>
        </w:rPr>
        <w:t> </w:t>
      </w:r>
      <w:r>
        <w:rPr>
          <w:sz w:val="38"/>
        </w:rPr>
        <w:t>system</w:t>
      </w:r>
      <w:r>
        <w:rPr>
          <w:spacing w:val="-21"/>
          <w:sz w:val="38"/>
        </w:rPr>
        <w:t> </w:t>
      </w:r>
      <w:r>
        <w:rPr>
          <w:sz w:val="38"/>
        </w:rPr>
        <w:t>and</w:t>
      </w:r>
      <w:r>
        <w:rPr>
          <w:spacing w:val="-22"/>
          <w:sz w:val="38"/>
        </w:rPr>
        <w:t> </w:t>
      </w:r>
      <w:r>
        <w:rPr>
          <w:sz w:val="38"/>
        </w:rPr>
        <w:t>protects</w:t>
      </w:r>
      <w:r>
        <w:rPr>
          <w:spacing w:val="-21"/>
          <w:sz w:val="38"/>
        </w:rPr>
        <w:t> </w:t>
      </w:r>
      <w:r>
        <w:rPr>
          <w:sz w:val="38"/>
        </w:rPr>
        <w:t>human</w:t>
      </w:r>
      <w:r>
        <w:rPr>
          <w:spacing w:val="-21"/>
          <w:sz w:val="38"/>
        </w:rPr>
        <w:t> </w:t>
      </w:r>
      <w:r>
        <w:rPr>
          <w:sz w:val="38"/>
        </w:rPr>
        <w:t>tissues</w:t>
      </w:r>
      <w:r>
        <w:rPr>
          <w:spacing w:val="-20"/>
          <w:sz w:val="38"/>
        </w:rPr>
        <w:t> </w:t>
      </w:r>
      <w:r>
        <w:rPr>
          <w:sz w:val="38"/>
        </w:rPr>
        <w:t>from</w:t>
      </w:r>
      <w:r>
        <w:rPr>
          <w:spacing w:val="-22"/>
          <w:sz w:val="38"/>
        </w:rPr>
        <w:t> </w:t>
      </w:r>
      <w:r>
        <w:rPr>
          <w:sz w:val="38"/>
        </w:rPr>
        <w:t>greedy</w:t>
      </w:r>
      <w:r>
        <w:rPr>
          <w:spacing w:val="-22"/>
          <w:sz w:val="38"/>
        </w:rPr>
        <w:t> </w:t>
      </w:r>
      <w:r>
        <w:rPr>
          <w:sz w:val="38"/>
        </w:rPr>
        <w:t>can- cer cells through collagen</w:t>
      </w:r>
      <w:r>
        <w:rPr>
          <w:spacing w:val="2"/>
          <w:sz w:val="38"/>
        </w:rPr>
        <w:t> </w:t>
      </w:r>
      <w:r>
        <w:rPr>
          <w:sz w:val="38"/>
        </w:rPr>
        <w:t>synthesis.</w:t>
      </w:r>
    </w:p>
    <w:p>
      <w:pPr>
        <w:pStyle w:val="BodyText"/>
        <w:spacing w:line="278" w:lineRule="auto" w:before="246"/>
        <w:ind w:left="616"/>
      </w:pPr>
      <w:r>
        <w:rPr/>
        <w:t>Given the fact that every third person is afflicted by cancer (and that one in four of these people dies!), prevention is absolutely necessary.</w:t>
      </w:r>
    </w:p>
    <w:p>
      <w:pPr>
        <w:pStyle w:val="BodyText"/>
        <w:rPr>
          <w:sz w:val="42"/>
        </w:rPr>
      </w:pPr>
    </w:p>
    <w:p>
      <w:pPr>
        <w:pStyle w:val="BodyText"/>
        <w:spacing w:before="1"/>
        <w:rPr>
          <w:sz w:val="40"/>
        </w:rPr>
      </w:pPr>
    </w:p>
    <w:p>
      <w:pPr>
        <w:pStyle w:val="Heading2"/>
        <w:ind w:left="616"/>
      </w:pPr>
      <w:r>
        <w:rPr/>
        <w:t>The therapeutic benefits of vitamin C in cancer</w:t>
      </w:r>
    </w:p>
    <w:p>
      <w:pPr>
        <w:pStyle w:val="BodyText"/>
        <w:spacing w:line="276" w:lineRule="auto" w:before="305"/>
        <w:ind w:left="616" w:right="133"/>
        <w:jc w:val="both"/>
        <w:rPr>
          <w:sz w:val="25"/>
        </w:rPr>
      </w:pPr>
      <w:r>
        <w:rPr/>
        <w:t>Natural vitamin C has also proven itself highly efficient in the fight against cancer. You probably haven’t heard about a study by the research team at the </w:t>
      </w:r>
      <w:r>
        <w:rPr>
          <w:i/>
        </w:rPr>
        <w:t>National Institutes of Health </w:t>
      </w:r>
      <w:r>
        <w:rPr/>
        <w:t>in Bethesda. Scientists were given the task of re- searching</w:t>
      </w:r>
      <w:r>
        <w:rPr>
          <w:spacing w:val="-6"/>
        </w:rPr>
        <w:t> </w:t>
      </w:r>
      <w:r>
        <w:rPr/>
        <w:t>the</w:t>
      </w:r>
      <w:r>
        <w:rPr>
          <w:spacing w:val="-7"/>
        </w:rPr>
        <w:t> </w:t>
      </w:r>
      <w:r>
        <w:rPr/>
        <w:t>effect</w:t>
      </w:r>
      <w:r>
        <w:rPr>
          <w:spacing w:val="-6"/>
        </w:rPr>
        <w:t> </w:t>
      </w:r>
      <w:r>
        <w:rPr/>
        <w:t>of</w:t>
      </w:r>
      <w:r>
        <w:rPr>
          <w:spacing w:val="-7"/>
        </w:rPr>
        <w:t> </w:t>
      </w:r>
      <w:r>
        <w:rPr/>
        <w:t>high</w:t>
      </w:r>
      <w:r>
        <w:rPr>
          <w:spacing w:val="-7"/>
        </w:rPr>
        <w:t> </w:t>
      </w:r>
      <w:r>
        <w:rPr/>
        <w:t>doses</w:t>
      </w:r>
      <w:r>
        <w:rPr>
          <w:spacing w:val="-5"/>
        </w:rPr>
        <w:t> </w:t>
      </w:r>
      <w:r>
        <w:rPr/>
        <w:t>of</w:t>
      </w:r>
      <w:r>
        <w:rPr>
          <w:spacing w:val="-7"/>
        </w:rPr>
        <w:t> </w:t>
      </w:r>
      <w:r>
        <w:rPr/>
        <w:t>vitamin</w:t>
      </w:r>
      <w:r>
        <w:rPr>
          <w:spacing w:val="-5"/>
        </w:rPr>
        <w:t> </w:t>
      </w:r>
      <w:r>
        <w:rPr/>
        <w:t>C</w:t>
      </w:r>
      <w:r>
        <w:rPr>
          <w:spacing w:val="-7"/>
        </w:rPr>
        <w:t> </w:t>
      </w:r>
      <w:r>
        <w:rPr/>
        <w:t>in</w:t>
      </w:r>
      <w:r>
        <w:rPr>
          <w:spacing w:val="-9"/>
        </w:rPr>
        <w:t> </w:t>
      </w:r>
      <w:r>
        <w:rPr/>
        <w:t>the</w:t>
      </w:r>
      <w:r>
        <w:rPr>
          <w:spacing w:val="-5"/>
        </w:rPr>
        <w:t> </w:t>
      </w:r>
      <w:r>
        <w:rPr/>
        <w:t>blood</w:t>
      </w:r>
      <w:r>
        <w:rPr>
          <w:spacing w:val="-8"/>
        </w:rPr>
        <w:t> </w:t>
      </w:r>
      <w:r>
        <w:rPr/>
        <w:t>on</w:t>
      </w:r>
      <w:r>
        <w:rPr>
          <w:spacing w:val="-8"/>
        </w:rPr>
        <w:t> </w:t>
      </w:r>
      <w:r>
        <w:rPr/>
        <w:t>tumorous</w:t>
      </w:r>
      <w:r>
        <w:rPr>
          <w:spacing w:val="-6"/>
        </w:rPr>
        <w:t> </w:t>
      </w:r>
      <w:r>
        <w:rPr/>
        <w:t>cells and healthy cells in the human body. The result: Vitamin C destroys cancer cells, while healthy cells remain completely</w:t>
      </w:r>
      <w:r>
        <w:rPr>
          <w:spacing w:val="1"/>
        </w:rPr>
        <w:t> </w:t>
      </w:r>
      <w:r>
        <w:rPr/>
        <w:t>undamaged.</w:t>
      </w:r>
      <w:r>
        <w:rPr>
          <w:position w:val="9"/>
          <w:sz w:val="25"/>
        </w:rPr>
        <w:t>1015</w:t>
      </w:r>
    </w:p>
    <w:p>
      <w:pPr>
        <w:pStyle w:val="BodyText"/>
        <w:spacing w:line="276" w:lineRule="auto" w:before="240"/>
        <w:ind w:left="616" w:right="135"/>
        <w:jc w:val="both"/>
      </w:pPr>
      <w:r>
        <w:rPr/>
        <w:t>FOCUSonline reported about three case studies on people with cancer which was</w:t>
      </w:r>
      <w:r>
        <w:rPr>
          <w:spacing w:val="-15"/>
        </w:rPr>
        <w:t> </w:t>
      </w:r>
      <w:r>
        <w:rPr/>
        <w:t>published</w:t>
      </w:r>
      <w:r>
        <w:rPr>
          <w:spacing w:val="-15"/>
        </w:rPr>
        <w:t> </w:t>
      </w:r>
      <w:r>
        <w:rPr/>
        <w:t>in</w:t>
      </w:r>
      <w:r>
        <w:rPr>
          <w:spacing w:val="-13"/>
        </w:rPr>
        <w:t> </w:t>
      </w:r>
      <w:r>
        <w:rPr/>
        <w:t>the</w:t>
      </w:r>
      <w:r>
        <w:rPr>
          <w:spacing w:val="-15"/>
        </w:rPr>
        <w:t> </w:t>
      </w:r>
      <w:r>
        <w:rPr/>
        <w:t>renowned</w:t>
      </w:r>
      <w:r>
        <w:rPr>
          <w:spacing w:val="-15"/>
        </w:rPr>
        <w:t> </w:t>
      </w:r>
      <w:r>
        <w:rPr/>
        <w:t>Canadian</w:t>
      </w:r>
      <w:r>
        <w:rPr>
          <w:spacing w:val="-15"/>
        </w:rPr>
        <w:t> </w:t>
      </w:r>
      <w:r>
        <w:rPr/>
        <w:t>Medical</w:t>
      </w:r>
      <w:r>
        <w:rPr>
          <w:spacing w:val="-14"/>
        </w:rPr>
        <w:t> </w:t>
      </w:r>
      <w:r>
        <w:rPr/>
        <w:t>Association</w:t>
      </w:r>
      <w:r>
        <w:rPr>
          <w:spacing w:val="-15"/>
        </w:rPr>
        <w:t> </w:t>
      </w:r>
      <w:r>
        <w:rPr/>
        <w:t>Journal</w:t>
      </w:r>
      <w:r>
        <w:rPr>
          <w:spacing w:val="-15"/>
        </w:rPr>
        <w:t> </w:t>
      </w:r>
      <w:r>
        <w:rPr/>
        <w:t>and</w:t>
      </w:r>
      <w:r>
        <w:rPr>
          <w:spacing w:val="-15"/>
        </w:rPr>
        <w:t> </w:t>
      </w:r>
      <w:r>
        <w:rPr/>
        <w:t>car- ried</w:t>
      </w:r>
      <w:r>
        <w:rPr>
          <w:spacing w:val="-12"/>
        </w:rPr>
        <w:t> </w:t>
      </w:r>
      <w:r>
        <w:rPr/>
        <w:t>out</w:t>
      </w:r>
      <w:r>
        <w:rPr>
          <w:spacing w:val="-13"/>
        </w:rPr>
        <w:t> </w:t>
      </w:r>
      <w:r>
        <w:rPr/>
        <w:t>at</w:t>
      </w:r>
      <w:r>
        <w:rPr>
          <w:spacing w:val="-10"/>
        </w:rPr>
        <w:t> </w:t>
      </w:r>
      <w:r>
        <w:rPr/>
        <w:t>the</w:t>
      </w:r>
      <w:r>
        <w:rPr>
          <w:spacing w:val="-12"/>
        </w:rPr>
        <w:t> </w:t>
      </w:r>
      <w:r>
        <w:rPr/>
        <w:t>National</w:t>
      </w:r>
      <w:r>
        <w:rPr>
          <w:spacing w:val="-13"/>
        </w:rPr>
        <w:t> </w:t>
      </w:r>
      <w:r>
        <w:rPr/>
        <w:t>Institute</w:t>
      </w:r>
      <w:r>
        <w:rPr>
          <w:spacing w:val="-12"/>
        </w:rPr>
        <w:t> </w:t>
      </w:r>
      <w:r>
        <w:rPr/>
        <w:t>of</w:t>
      </w:r>
      <w:r>
        <w:rPr>
          <w:spacing w:val="-11"/>
        </w:rPr>
        <w:t> </w:t>
      </w:r>
      <w:r>
        <w:rPr/>
        <w:t>Health</w:t>
      </w:r>
      <w:r>
        <w:rPr>
          <w:spacing w:val="-11"/>
        </w:rPr>
        <w:t> </w:t>
      </w:r>
      <w:r>
        <w:rPr/>
        <w:t>in</w:t>
      </w:r>
      <w:r>
        <w:rPr>
          <w:spacing w:val="-12"/>
        </w:rPr>
        <w:t> </w:t>
      </w:r>
      <w:r>
        <w:rPr/>
        <w:t>the</w:t>
      </w:r>
      <w:r>
        <w:rPr>
          <w:spacing w:val="-16"/>
        </w:rPr>
        <w:t> </w:t>
      </w:r>
      <w:r>
        <w:rPr/>
        <w:t>USA.</w:t>
      </w:r>
      <w:r>
        <w:rPr>
          <w:spacing w:val="-11"/>
        </w:rPr>
        <w:t> </w:t>
      </w:r>
      <w:r>
        <w:rPr/>
        <w:t>As</w:t>
      </w:r>
      <w:r>
        <w:rPr>
          <w:spacing w:val="-13"/>
        </w:rPr>
        <w:t> </w:t>
      </w:r>
      <w:r>
        <w:rPr/>
        <w:t>study</w:t>
      </w:r>
      <w:r>
        <w:rPr>
          <w:spacing w:val="-12"/>
        </w:rPr>
        <w:t> </w:t>
      </w:r>
      <w:r>
        <w:rPr/>
        <w:t>director</w:t>
      </w:r>
      <w:r>
        <w:rPr>
          <w:spacing w:val="-12"/>
        </w:rPr>
        <w:t> </w:t>
      </w:r>
      <w:r>
        <w:rPr/>
        <w:t>Mark Levine</w:t>
      </w:r>
      <w:r>
        <w:rPr>
          <w:spacing w:val="-10"/>
        </w:rPr>
        <w:t> </w:t>
      </w:r>
      <w:r>
        <w:rPr/>
        <w:t>reported,</w:t>
      </w:r>
      <w:r>
        <w:rPr>
          <w:spacing w:val="-11"/>
        </w:rPr>
        <w:t> </w:t>
      </w:r>
      <w:r>
        <w:rPr/>
        <w:t>all</w:t>
      </w:r>
      <w:r>
        <w:rPr>
          <w:spacing w:val="-12"/>
        </w:rPr>
        <w:t> </w:t>
      </w:r>
      <w:r>
        <w:rPr/>
        <w:t>three</w:t>
      </w:r>
      <w:r>
        <w:rPr>
          <w:spacing w:val="-11"/>
        </w:rPr>
        <w:t> </w:t>
      </w:r>
      <w:r>
        <w:rPr/>
        <w:t>of</w:t>
      </w:r>
      <w:r>
        <w:rPr>
          <w:spacing w:val="-10"/>
        </w:rPr>
        <w:t> </w:t>
      </w:r>
      <w:r>
        <w:rPr/>
        <w:t>the</w:t>
      </w:r>
      <w:r>
        <w:rPr>
          <w:spacing w:val="-11"/>
        </w:rPr>
        <w:t> </w:t>
      </w:r>
      <w:r>
        <w:rPr/>
        <w:t>affected</w:t>
      </w:r>
      <w:r>
        <w:rPr>
          <w:spacing w:val="-10"/>
        </w:rPr>
        <w:t> </w:t>
      </w:r>
      <w:r>
        <w:rPr/>
        <w:t>people</w:t>
      </w:r>
      <w:r>
        <w:rPr>
          <w:spacing w:val="-12"/>
        </w:rPr>
        <w:t> </w:t>
      </w:r>
      <w:r>
        <w:rPr/>
        <w:t>had</w:t>
      </w:r>
      <w:r>
        <w:rPr>
          <w:spacing w:val="-11"/>
        </w:rPr>
        <w:t> </w:t>
      </w:r>
      <w:r>
        <w:rPr/>
        <w:t>already</w:t>
      </w:r>
      <w:r>
        <w:rPr>
          <w:spacing w:val="-10"/>
        </w:rPr>
        <w:t> </w:t>
      </w:r>
      <w:r>
        <w:rPr/>
        <w:t>been</w:t>
      </w:r>
      <w:r>
        <w:rPr>
          <w:spacing w:val="-12"/>
        </w:rPr>
        <w:t> </w:t>
      </w:r>
      <w:r>
        <w:rPr/>
        <w:t>diagnosed</w:t>
      </w:r>
      <w:r>
        <w:rPr>
          <w:spacing w:val="-8"/>
        </w:rPr>
        <w:t> </w:t>
      </w:r>
      <w:r>
        <w:rPr/>
        <w:t>in 1996.</w:t>
      </w:r>
      <w:r>
        <w:rPr>
          <w:spacing w:val="-10"/>
        </w:rPr>
        <w:t> </w:t>
      </w:r>
      <w:r>
        <w:rPr/>
        <w:t>The</w:t>
      </w:r>
      <w:r>
        <w:rPr>
          <w:spacing w:val="-9"/>
        </w:rPr>
        <w:t> </w:t>
      </w:r>
      <w:r>
        <w:rPr/>
        <w:t>first</w:t>
      </w:r>
      <w:r>
        <w:rPr>
          <w:spacing w:val="-10"/>
        </w:rPr>
        <w:t> </w:t>
      </w:r>
      <w:r>
        <w:rPr/>
        <w:t>patient</w:t>
      </w:r>
      <w:r>
        <w:rPr>
          <w:spacing w:val="-9"/>
        </w:rPr>
        <w:t> </w:t>
      </w:r>
      <w:r>
        <w:rPr/>
        <w:t>suffered</w:t>
      </w:r>
      <w:r>
        <w:rPr>
          <w:spacing w:val="-8"/>
        </w:rPr>
        <w:t> </w:t>
      </w:r>
      <w:r>
        <w:rPr/>
        <w:t>a</w:t>
      </w:r>
      <w:r>
        <w:rPr>
          <w:spacing w:val="-10"/>
        </w:rPr>
        <w:t> </w:t>
      </w:r>
      <w:r>
        <w:rPr/>
        <w:t>kidney</w:t>
      </w:r>
      <w:r>
        <w:rPr>
          <w:spacing w:val="-9"/>
        </w:rPr>
        <w:t> </w:t>
      </w:r>
      <w:r>
        <w:rPr/>
        <w:t>tumour</w:t>
      </w:r>
      <w:r>
        <w:rPr>
          <w:spacing w:val="-9"/>
        </w:rPr>
        <w:t> </w:t>
      </w:r>
      <w:r>
        <w:rPr/>
        <w:t>which</w:t>
      </w:r>
      <w:r>
        <w:rPr>
          <w:spacing w:val="-8"/>
        </w:rPr>
        <w:t> </w:t>
      </w:r>
      <w:r>
        <w:rPr/>
        <w:t>had</w:t>
      </w:r>
      <w:r>
        <w:rPr>
          <w:spacing w:val="-9"/>
        </w:rPr>
        <w:t> </w:t>
      </w:r>
      <w:r>
        <w:rPr/>
        <w:t>formed</w:t>
      </w:r>
      <w:r>
        <w:rPr>
          <w:spacing w:val="-9"/>
        </w:rPr>
        <w:t> </w:t>
      </w:r>
      <w:r>
        <w:rPr/>
        <w:t>metastases</w:t>
      </w:r>
    </w:p>
    <w:p>
      <w:pPr>
        <w:pStyle w:val="BodyText"/>
        <w:rPr>
          <w:sz w:val="20"/>
        </w:rPr>
      </w:pPr>
    </w:p>
    <w:p>
      <w:pPr>
        <w:pStyle w:val="BodyText"/>
        <w:rPr>
          <w:sz w:val="20"/>
        </w:rPr>
      </w:pPr>
    </w:p>
    <w:p>
      <w:pPr>
        <w:pStyle w:val="BodyText"/>
        <w:rPr>
          <w:sz w:val="20"/>
        </w:rPr>
      </w:pPr>
    </w:p>
    <w:p>
      <w:pPr>
        <w:pStyle w:val="BodyText"/>
        <w:spacing w:before="1"/>
        <w:rPr>
          <w:sz w:val="13"/>
        </w:rPr>
      </w:pPr>
      <w:r>
        <w:rPr/>
        <w:pict>
          <v:line style="position:absolute;mso-position-horizontal-relative:page;mso-position-vertical-relative:paragraph;z-index:13976;mso-wrap-distance-left:0;mso-wrap-distance-right:0" from="70.823997pt,9.753716pt" to="214.843997pt,9.753716pt" stroked="true" strokeweight=".71997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1013 </w:t>
      </w:r>
      <w:r>
        <w:rPr>
          <w:sz w:val="20"/>
        </w:rPr>
        <w:t>Pauling L.: How to live longer and feel better. 1986</w:t>
      </w:r>
    </w:p>
    <w:p>
      <w:pPr>
        <w:spacing w:line="276" w:lineRule="auto" w:before="94"/>
        <w:ind w:left="616" w:right="0" w:firstLine="0"/>
        <w:jc w:val="left"/>
        <w:rPr>
          <w:sz w:val="20"/>
        </w:rPr>
      </w:pPr>
      <w:r>
        <w:rPr/>
        <w:drawing>
          <wp:anchor distT="0" distB="0" distL="0" distR="0" allowOverlap="1" layoutInCell="1" locked="0" behindDoc="1" simplePos="0" relativeHeight="267181775">
            <wp:simplePos x="0" y="0"/>
            <wp:positionH relativeFrom="page">
              <wp:posOffset>985998</wp:posOffset>
            </wp:positionH>
            <wp:positionV relativeFrom="paragraph">
              <wp:posOffset>306554</wp:posOffset>
            </wp:positionV>
            <wp:extent cx="6379583" cy="902106"/>
            <wp:effectExtent l="0" t="0" r="0" b="0"/>
            <wp:wrapNone/>
            <wp:docPr id="671" name="image2.jpeg" descr=""/>
            <wp:cNvGraphicFramePr>
              <a:graphicFrameLocks noChangeAspect="1"/>
            </wp:cNvGraphicFramePr>
            <a:graphic>
              <a:graphicData uri="http://schemas.openxmlformats.org/drawingml/2006/picture">
                <pic:pic>
                  <pic:nvPicPr>
                    <pic:cNvPr id="672"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1014 </w:t>
      </w:r>
      <w:r>
        <w:rPr>
          <w:sz w:val="20"/>
        </w:rPr>
        <w:t>Hallberg L.: Effect of vitamin C on the bioavailability of iron from food. In: Counsell J. N. und Hornig D. H.: Vitamin C (Ascorbic Acid) 1981; Applied Science, London</w:t>
      </w:r>
    </w:p>
    <w:p>
      <w:pPr>
        <w:spacing w:before="61"/>
        <w:ind w:left="616" w:right="0" w:firstLine="0"/>
        <w:jc w:val="left"/>
        <w:rPr>
          <w:sz w:val="20"/>
        </w:rPr>
      </w:pPr>
      <w:r>
        <w:rPr>
          <w:position w:val="5"/>
          <w:sz w:val="13"/>
        </w:rPr>
        <w:t>1015 </w:t>
      </w:r>
      <w:r>
        <w:rPr>
          <w:sz w:val="20"/>
        </w:rPr>
        <w:t>H. Lange: Mit Linus Paulings Forschungsergebnissen gesund werden - gesund bleiben, p.18</w:t>
      </w:r>
    </w:p>
    <w:p>
      <w:pPr>
        <w:spacing w:after="0"/>
        <w:jc w:val="left"/>
        <w:rPr>
          <w:sz w:val="20"/>
        </w:rPr>
        <w:sectPr>
          <w:footerReference w:type="default" r:id="rId464"/>
          <w:pgSz w:w="14270" w:h="16850"/>
          <w:pgMar w:footer="527" w:header="0" w:top="1360" w:bottom="720" w:left="800" w:right="1280"/>
          <w:pgNumType w:start="1758"/>
        </w:sectPr>
      </w:pPr>
    </w:p>
    <w:p>
      <w:pPr>
        <w:pStyle w:val="BodyText"/>
        <w:spacing w:line="276" w:lineRule="auto" w:before="72"/>
        <w:ind w:left="616" w:right="132"/>
        <w:jc w:val="both"/>
      </w:pPr>
      <w:r>
        <w:rPr/>
        <w:t>in the lungs. The tumour had been cut out, but the patient declined the rec- ommended chemotherapy against metastases. These metastases shrank</w:t>
      </w:r>
      <w:r>
        <w:rPr>
          <w:spacing w:val="-54"/>
        </w:rPr>
        <w:t> </w:t>
      </w:r>
      <w:r>
        <w:rPr/>
        <w:t>during the treatment with vitamin C. The two other cancer patients suffered from an advanced bladder tumour and an aggressive blood cancer. These patients also declined the prescribed chemotherapy in favour of vitamin C. Today – ten years later – both patients are still alive and, according to the author, enjoying the best of health.</w:t>
      </w:r>
    </w:p>
    <w:p>
      <w:pPr>
        <w:pStyle w:val="BodyText"/>
        <w:spacing w:line="276" w:lineRule="auto" w:before="243"/>
        <w:ind w:left="616" w:right="135"/>
        <w:jc w:val="both"/>
      </w:pPr>
      <w:r>
        <w:rPr/>
        <w:t>The impressive result was traced back by the author to the form of dosage. Unlike in other studies to date, patients did not swallow vitamin C, rather it was directly injected into their veins.</w:t>
      </w:r>
    </w:p>
    <w:p>
      <w:pPr>
        <w:pStyle w:val="BodyText"/>
        <w:spacing w:line="276" w:lineRule="auto" w:before="239"/>
        <w:ind w:left="616" w:right="132"/>
        <w:jc w:val="both"/>
      </w:pPr>
      <w:r>
        <w:rPr/>
        <w:t>Thus, Levine was subsequently able to achieve 25 times the concentration in the</w:t>
      </w:r>
      <w:r>
        <w:rPr>
          <w:spacing w:val="-15"/>
        </w:rPr>
        <w:t> </w:t>
      </w:r>
      <w:r>
        <w:rPr/>
        <w:t>blood.</w:t>
      </w:r>
      <w:r>
        <w:rPr>
          <w:spacing w:val="-15"/>
        </w:rPr>
        <w:t> </w:t>
      </w:r>
      <w:r>
        <w:rPr/>
        <w:t>This</w:t>
      </w:r>
      <w:r>
        <w:rPr>
          <w:spacing w:val="-15"/>
        </w:rPr>
        <w:t> </w:t>
      </w:r>
      <w:r>
        <w:rPr/>
        <w:t>dose</w:t>
      </w:r>
      <w:r>
        <w:rPr>
          <w:spacing w:val="-15"/>
        </w:rPr>
        <w:t> </w:t>
      </w:r>
      <w:r>
        <w:rPr/>
        <w:t>is</w:t>
      </w:r>
      <w:r>
        <w:rPr>
          <w:spacing w:val="-16"/>
        </w:rPr>
        <w:t> </w:t>
      </w:r>
      <w:r>
        <w:rPr/>
        <w:t>deadly</w:t>
      </w:r>
      <w:r>
        <w:rPr>
          <w:spacing w:val="-16"/>
        </w:rPr>
        <w:t> </w:t>
      </w:r>
      <w:r>
        <w:rPr/>
        <w:t>for</w:t>
      </w:r>
      <w:r>
        <w:rPr>
          <w:spacing w:val="-15"/>
        </w:rPr>
        <w:t> </w:t>
      </w:r>
      <w:r>
        <w:rPr/>
        <w:t>cancer</w:t>
      </w:r>
      <w:r>
        <w:rPr>
          <w:spacing w:val="-15"/>
        </w:rPr>
        <w:t> </w:t>
      </w:r>
      <w:r>
        <w:rPr/>
        <w:t>cells!</w:t>
      </w:r>
      <w:r>
        <w:rPr>
          <w:position w:val="9"/>
          <w:sz w:val="25"/>
        </w:rPr>
        <w:t>1016</w:t>
      </w:r>
      <w:r>
        <w:rPr>
          <w:spacing w:val="31"/>
          <w:position w:val="9"/>
          <w:sz w:val="25"/>
        </w:rPr>
        <w:t> </w:t>
      </w:r>
      <w:r>
        <w:rPr/>
        <w:t>In</w:t>
      </w:r>
      <w:r>
        <w:rPr>
          <w:spacing w:val="-15"/>
        </w:rPr>
        <w:t> </w:t>
      </w:r>
      <w:r>
        <w:rPr/>
        <w:t>1974,</w:t>
      </w:r>
      <w:r>
        <w:rPr>
          <w:spacing w:val="-16"/>
        </w:rPr>
        <w:t> </w:t>
      </w:r>
      <w:r>
        <w:rPr/>
        <w:t>Ewan</w:t>
      </w:r>
      <w:r>
        <w:rPr>
          <w:spacing w:val="-13"/>
        </w:rPr>
        <w:t> </w:t>
      </w:r>
      <w:r>
        <w:rPr/>
        <w:t>Cameron</w:t>
      </w:r>
      <w:r>
        <w:rPr>
          <w:spacing w:val="-16"/>
        </w:rPr>
        <w:t> </w:t>
      </w:r>
      <w:r>
        <w:rPr/>
        <w:t>and Linus Pauling were able to prove that high doses of vitamin C increase the effectiveness of lymphocytes (the most important phagocytes in our defence system in the fight against cancer) to defend against cancer. Yonemoto et al. successfully proved that the amount of lymphocytes can be doubled after just a few days taking 5 g of vitamin C daily and even tripled with 10 mg on three successive days. A dose of 18 g even quadrupled this</w:t>
      </w:r>
      <w:r>
        <w:rPr>
          <w:spacing w:val="-5"/>
        </w:rPr>
        <w:t> </w:t>
      </w:r>
      <w:r>
        <w:rPr/>
        <w:t>value!</w:t>
      </w:r>
    </w:p>
    <w:p>
      <w:pPr>
        <w:pStyle w:val="Heading2"/>
        <w:spacing w:before="241"/>
        <w:ind w:left="616"/>
        <w:jc w:val="both"/>
      </w:pPr>
      <w:r>
        <w:rPr/>
        <w:t>Vitamin C prevents cancer in studies</w:t>
      </w:r>
    </w:p>
    <w:p>
      <w:pPr>
        <w:pStyle w:val="BodyText"/>
        <w:rPr>
          <w:b/>
          <w:sz w:val="20"/>
        </w:rPr>
      </w:pPr>
    </w:p>
    <w:p>
      <w:pPr>
        <w:pStyle w:val="BodyText"/>
        <w:rPr>
          <w:b/>
          <w:sz w:val="20"/>
        </w:rPr>
      </w:pPr>
    </w:p>
    <w:p>
      <w:pPr>
        <w:pStyle w:val="BodyText"/>
        <w:rPr>
          <w:b/>
          <w:sz w:val="12"/>
        </w:rPr>
      </w:pPr>
      <w:r>
        <w:rPr/>
        <w:pict>
          <v:line style="position:absolute;mso-position-horizontal-relative:page;mso-position-vertical-relative:paragraph;z-index:14024;mso-wrap-distance-left:0;mso-wrap-distance-right:0" from="70.823997pt,9.102515pt" to="214.843997pt,9.102515pt" stroked="true" strokeweight=".71997pt" strokecolor="#000000">
            <v:stroke dashstyle="solid"/>
            <w10:wrap type="topAndBottom"/>
          </v:line>
        </w:pict>
      </w:r>
    </w:p>
    <w:p>
      <w:pPr>
        <w:pStyle w:val="BodyText"/>
        <w:spacing w:before="7"/>
        <w:rPr>
          <w:b/>
          <w:sz w:val="18"/>
        </w:rPr>
      </w:pPr>
    </w:p>
    <w:p>
      <w:pPr>
        <w:spacing w:before="100"/>
        <w:ind w:left="616" w:right="0" w:firstLine="0"/>
        <w:jc w:val="left"/>
        <w:rPr>
          <w:sz w:val="20"/>
        </w:rPr>
      </w:pPr>
      <w:r>
        <w:rPr>
          <w:position w:val="5"/>
          <w:sz w:val="13"/>
        </w:rPr>
        <w:t>1016 </w:t>
      </w:r>
      <w:hyperlink r:id="rId466">
        <w:r>
          <w:rPr>
            <w:sz w:val="20"/>
          </w:rPr>
          <w:t>www.focus.de/gesundheit/news/vitamin-c_aid_106795.html</w:t>
        </w:r>
      </w:hyperlink>
    </w:p>
    <w:p>
      <w:pPr>
        <w:spacing w:after="0"/>
        <w:jc w:val="left"/>
        <w:rPr>
          <w:sz w:val="20"/>
        </w:rPr>
        <w:sectPr>
          <w:footerReference w:type="default" r:id="rId465"/>
          <w:pgSz w:w="14270" w:h="16850"/>
          <w:pgMar w:footer="1891" w:header="0" w:top="1340" w:bottom="2080" w:left="800" w:right="1280"/>
          <w:pgNumType w:start="175"/>
        </w:sectPr>
      </w:pPr>
    </w:p>
    <w:p>
      <w:pPr>
        <w:pStyle w:val="BodyText"/>
        <w:spacing w:line="276" w:lineRule="auto" w:before="74"/>
        <w:ind w:left="616" w:right="139"/>
        <w:jc w:val="both"/>
      </w:pPr>
      <w:r>
        <w:rPr/>
        <w:t>Scientists</w:t>
      </w:r>
      <w:r>
        <w:rPr>
          <w:spacing w:val="-9"/>
        </w:rPr>
        <w:t> </w:t>
      </w:r>
      <w:r>
        <w:rPr/>
        <w:t>at</w:t>
      </w:r>
      <w:r>
        <w:rPr>
          <w:spacing w:val="-11"/>
        </w:rPr>
        <w:t> </w:t>
      </w:r>
      <w:r>
        <w:rPr/>
        <w:t>the</w:t>
      </w:r>
      <w:r>
        <w:rPr>
          <w:spacing w:val="-8"/>
        </w:rPr>
        <w:t> </w:t>
      </w:r>
      <w:r>
        <w:rPr/>
        <w:t>University</w:t>
      </w:r>
      <w:r>
        <w:rPr>
          <w:spacing w:val="-9"/>
        </w:rPr>
        <w:t> </w:t>
      </w:r>
      <w:r>
        <w:rPr/>
        <w:t>of</w:t>
      </w:r>
      <w:r>
        <w:rPr>
          <w:spacing w:val="-9"/>
        </w:rPr>
        <w:t> </w:t>
      </w:r>
      <w:r>
        <w:rPr/>
        <w:t>Otago</w:t>
      </w:r>
      <w:r>
        <w:rPr>
          <w:spacing w:val="-9"/>
        </w:rPr>
        <w:t> </w:t>
      </w:r>
      <w:r>
        <w:rPr/>
        <w:t>(New</w:t>
      </w:r>
      <w:r>
        <w:rPr>
          <w:spacing w:val="-9"/>
        </w:rPr>
        <w:t> </w:t>
      </w:r>
      <w:r>
        <w:rPr/>
        <w:t>Zealand)</w:t>
      </w:r>
      <w:r>
        <w:rPr>
          <w:spacing w:val="-9"/>
        </w:rPr>
        <w:t> </w:t>
      </w:r>
      <w:r>
        <w:rPr/>
        <w:t>succeeded</w:t>
      </w:r>
      <w:r>
        <w:rPr>
          <w:spacing w:val="-10"/>
        </w:rPr>
        <w:t> </w:t>
      </w:r>
      <w:r>
        <w:rPr/>
        <w:t>in</w:t>
      </w:r>
      <w:r>
        <w:rPr>
          <w:spacing w:val="-7"/>
        </w:rPr>
        <w:t> </w:t>
      </w:r>
      <w:r>
        <w:rPr/>
        <w:t>proving</w:t>
      </w:r>
      <w:r>
        <w:rPr>
          <w:spacing w:val="-8"/>
        </w:rPr>
        <w:t> </w:t>
      </w:r>
      <w:r>
        <w:rPr/>
        <w:t>that tumour sizes and cancerous activity depends on vitamin C content. The tran- scription factors (cancer genes) HIF-1-alpha and GLUT-1, BNIP3 as well as VEGF were defined for</w:t>
      </w:r>
      <w:r>
        <w:rPr>
          <w:spacing w:val="4"/>
        </w:rPr>
        <w:t> </w:t>
      </w:r>
      <w:r>
        <w:rPr/>
        <w:t>this.</w:t>
      </w:r>
    </w:p>
    <w:p>
      <w:pPr>
        <w:pStyle w:val="BodyText"/>
        <w:spacing w:line="278" w:lineRule="auto" w:before="239"/>
        <w:ind w:left="616" w:right="140"/>
        <w:jc w:val="both"/>
      </w:pPr>
      <w:r>
        <w:rPr/>
        <w:t>The higher the vitamin C content, the smaller the tumour and the less active its harmful factors!</w:t>
      </w:r>
    </w:p>
    <w:p>
      <w:pPr>
        <w:pStyle w:val="Heading2"/>
        <w:spacing w:before="233"/>
        <w:ind w:left="616"/>
      </w:pPr>
      <w:r>
        <w:rPr/>
        <w:t>Vitamin C is more efficient than 30 popular chemotherapy treatments</w:t>
      </w:r>
    </w:p>
    <w:p>
      <w:pPr>
        <w:pStyle w:val="BodyText"/>
        <w:spacing w:line="276" w:lineRule="auto" w:before="305"/>
        <w:ind w:left="616" w:right="131"/>
        <w:jc w:val="both"/>
      </w:pPr>
      <w:r>
        <w:rPr/>
        <w:t>In</w:t>
      </w:r>
      <w:r>
        <w:rPr>
          <w:spacing w:val="-16"/>
        </w:rPr>
        <w:t> </w:t>
      </w:r>
      <w:r>
        <w:rPr/>
        <w:t>2005,</w:t>
      </w:r>
      <w:r>
        <w:rPr>
          <w:spacing w:val="-16"/>
        </w:rPr>
        <w:t> </w:t>
      </w:r>
      <w:r>
        <w:rPr/>
        <w:t>Dr.</w:t>
      </w:r>
      <w:r>
        <w:rPr>
          <w:spacing w:val="-16"/>
        </w:rPr>
        <w:t> </w:t>
      </w:r>
      <w:r>
        <w:rPr/>
        <w:t>Chen</w:t>
      </w:r>
      <w:r>
        <w:rPr>
          <w:spacing w:val="-16"/>
        </w:rPr>
        <w:t> </w:t>
      </w:r>
      <w:r>
        <w:rPr/>
        <w:t>showed</w:t>
      </w:r>
      <w:r>
        <w:rPr>
          <w:spacing w:val="-16"/>
        </w:rPr>
        <w:t> </w:t>
      </w:r>
      <w:r>
        <w:rPr/>
        <w:t>that</w:t>
      </w:r>
      <w:r>
        <w:rPr>
          <w:spacing w:val="-18"/>
        </w:rPr>
        <w:t> </w:t>
      </w:r>
      <w:r>
        <w:rPr/>
        <w:t>with</w:t>
      </w:r>
      <w:r>
        <w:rPr>
          <w:spacing w:val="-16"/>
        </w:rPr>
        <w:t> </w:t>
      </w:r>
      <w:r>
        <w:rPr/>
        <w:t>administration</w:t>
      </w:r>
      <w:r>
        <w:rPr>
          <w:spacing w:val="-15"/>
        </w:rPr>
        <w:t> </w:t>
      </w:r>
      <w:r>
        <w:rPr/>
        <w:t>of</w:t>
      </w:r>
      <w:r>
        <w:rPr>
          <w:spacing w:val="-16"/>
        </w:rPr>
        <w:t> </w:t>
      </w:r>
      <w:r>
        <w:rPr/>
        <w:t>vitamin</w:t>
      </w:r>
      <w:r>
        <w:rPr>
          <w:spacing w:val="-16"/>
        </w:rPr>
        <w:t> </w:t>
      </w:r>
      <w:r>
        <w:rPr/>
        <w:t>C</w:t>
      </w:r>
      <w:r>
        <w:rPr>
          <w:spacing w:val="-15"/>
        </w:rPr>
        <w:t> </w:t>
      </w:r>
      <w:r>
        <w:rPr/>
        <w:t>in</w:t>
      </w:r>
      <w:r>
        <w:rPr>
          <w:spacing w:val="-16"/>
        </w:rPr>
        <w:t> </w:t>
      </w:r>
      <w:r>
        <w:rPr/>
        <w:t>an</w:t>
      </w:r>
      <w:r>
        <w:rPr>
          <w:spacing w:val="-15"/>
        </w:rPr>
        <w:t> </w:t>
      </w:r>
      <w:r>
        <w:rPr/>
        <w:t>infusion fought cancer cells more efficiently than the 30 most popular chemotherapy treatments which are currently used! In contrast to the cytotoxins which con- ventional</w:t>
      </w:r>
      <w:r>
        <w:rPr>
          <w:spacing w:val="-23"/>
        </w:rPr>
        <w:t> </w:t>
      </w:r>
      <w:r>
        <w:rPr/>
        <w:t>medicine</w:t>
      </w:r>
      <w:r>
        <w:rPr>
          <w:spacing w:val="-20"/>
        </w:rPr>
        <w:t> </w:t>
      </w:r>
      <w:r>
        <w:rPr/>
        <w:t>uses</w:t>
      </w:r>
      <w:r>
        <w:rPr>
          <w:spacing w:val="-23"/>
        </w:rPr>
        <w:t> </w:t>
      </w:r>
      <w:r>
        <w:rPr/>
        <w:t>(cytostatic</w:t>
      </w:r>
      <w:r>
        <w:rPr>
          <w:spacing w:val="-21"/>
        </w:rPr>
        <w:t> </w:t>
      </w:r>
      <w:r>
        <w:rPr/>
        <w:t>drugs),</w:t>
      </w:r>
      <w:r>
        <w:rPr>
          <w:spacing w:val="-21"/>
        </w:rPr>
        <w:t> </w:t>
      </w:r>
      <w:r>
        <w:rPr/>
        <w:t>vitamin</w:t>
      </w:r>
      <w:r>
        <w:rPr>
          <w:spacing w:val="-21"/>
        </w:rPr>
        <w:t> </w:t>
      </w:r>
      <w:r>
        <w:rPr/>
        <w:t>C</w:t>
      </w:r>
      <w:r>
        <w:rPr>
          <w:spacing w:val="-23"/>
        </w:rPr>
        <w:t> </w:t>
      </w:r>
      <w:r>
        <w:rPr/>
        <w:t>works</w:t>
      </w:r>
      <w:r>
        <w:rPr>
          <w:spacing w:val="-22"/>
        </w:rPr>
        <w:t> </w:t>
      </w:r>
      <w:r>
        <w:rPr/>
        <w:t>very</w:t>
      </w:r>
      <w:r>
        <w:rPr>
          <w:spacing w:val="-23"/>
        </w:rPr>
        <w:t> </w:t>
      </w:r>
      <w:r>
        <w:rPr/>
        <w:t>selectively</w:t>
      </w:r>
      <w:r>
        <w:rPr>
          <w:spacing w:val="-23"/>
        </w:rPr>
        <w:t> </w:t>
      </w:r>
      <w:r>
        <w:rPr/>
        <w:t>and leaves healthy cells untouched while destroying cancer cells. Amazing results, don’t you think?</w:t>
      </w:r>
    </w:p>
    <w:p>
      <w:pPr>
        <w:pStyle w:val="BodyText"/>
        <w:spacing w:line="276" w:lineRule="auto" w:before="240"/>
        <w:ind w:left="616" w:right="134"/>
        <w:jc w:val="both"/>
      </w:pPr>
      <w:r>
        <w:rPr/>
        <w:t>Yet,</w:t>
      </w:r>
      <w:r>
        <w:rPr>
          <w:spacing w:val="-16"/>
        </w:rPr>
        <w:t> </w:t>
      </w:r>
      <w:r>
        <w:rPr/>
        <w:t>at</w:t>
      </w:r>
      <w:r>
        <w:rPr>
          <w:spacing w:val="-17"/>
        </w:rPr>
        <w:t> </w:t>
      </w:r>
      <w:r>
        <w:rPr/>
        <w:t>the</w:t>
      </w:r>
      <w:r>
        <w:rPr>
          <w:spacing w:val="-17"/>
        </w:rPr>
        <w:t> </w:t>
      </w:r>
      <w:r>
        <w:rPr/>
        <w:t>same</w:t>
      </w:r>
      <w:r>
        <w:rPr>
          <w:spacing w:val="-17"/>
        </w:rPr>
        <w:t> </w:t>
      </w:r>
      <w:r>
        <w:rPr/>
        <w:t>time,</w:t>
      </w:r>
      <w:r>
        <w:rPr>
          <w:spacing w:val="-15"/>
        </w:rPr>
        <w:t> </w:t>
      </w:r>
      <w:r>
        <w:rPr/>
        <w:t>it</w:t>
      </w:r>
      <w:r>
        <w:rPr>
          <w:spacing w:val="-17"/>
        </w:rPr>
        <w:t> </w:t>
      </w:r>
      <w:r>
        <w:rPr/>
        <w:t>is</w:t>
      </w:r>
      <w:r>
        <w:rPr>
          <w:spacing w:val="-16"/>
        </w:rPr>
        <w:t> </w:t>
      </w:r>
      <w:r>
        <w:rPr/>
        <w:t>an</w:t>
      </w:r>
      <w:r>
        <w:rPr>
          <w:spacing w:val="-18"/>
        </w:rPr>
        <w:t> </w:t>
      </w:r>
      <w:r>
        <w:rPr/>
        <w:t>unprecedented</w:t>
      </w:r>
      <w:r>
        <w:rPr>
          <w:spacing w:val="-16"/>
        </w:rPr>
        <w:t> </w:t>
      </w:r>
      <w:r>
        <w:rPr/>
        <w:t>scandal</w:t>
      </w:r>
      <w:r>
        <w:rPr>
          <w:spacing w:val="-17"/>
        </w:rPr>
        <w:t> </w:t>
      </w:r>
      <w:r>
        <w:rPr/>
        <w:t>that</w:t>
      </w:r>
      <w:r>
        <w:rPr>
          <w:spacing w:val="-17"/>
        </w:rPr>
        <w:t> </w:t>
      </w:r>
      <w:r>
        <w:rPr/>
        <w:t>research</w:t>
      </w:r>
      <w:r>
        <w:rPr>
          <w:spacing w:val="-17"/>
        </w:rPr>
        <w:t> </w:t>
      </w:r>
      <w:r>
        <w:rPr/>
        <w:t>has</w:t>
      </w:r>
      <w:r>
        <w:rPr>
          <w:spacing w:val="-17"/>
        </w:rPr>
        <w:t> </w:t>
      </w:r>
      <w:r>
        <w:rPr/>
        <w:t>not</w:t>
      </w:r>
      <w:r>
        <w:rPr>
          <w:spacing w:val="-18"/>
        </w:rPr>
        <w:t> </w:t>
      </w:r>
      <w:r>
        <w:rPr/>
        <w:t>been appropriately</w:t>
      </w:r>
      <w:r>
        <w:rPr>
          <w:spacing w:val="-16"/>
        </w:rPr>
        <w:t> </w:t>
      </w:r>
      <w:r>
        <w:rPr/>
        <w:t>explored</w:t>
      </w:r>
      <w:r>
        <w:rPr>
          <w:spacing w:val="-16"/>
        </w:rPr>
        <w:t> </w:t>
      </w:r>
      <w:r>
        <w:rPr/>
        <w:t>and</w:t>
      </w:r>
      <w:r>
        <w:rPr>
          <w:spacing w:val="-16"/>
        </w:rPr>
        <w:t> </w:t>
      </w:r>
      <w:r>
        <w:rPr/>
        <w:t>the</w:t>
      </w:r>
      <w:r>
        <w:rPr>
          <w:spacing w:val="-17"/>
        </w:rPr>
        <w:t> </w:t>
      </w:r>
      <w:r>
        <w:rPr/>
        <w:t>population</w:t>
      </w:r>
      <w:r>
        <w:rPr>
          <w:spacing w:val="-16"/>
        </w:rPr>
        <w:t> </w:t>
      </w:r>
      <w:r>
        <w:rPr/>
        <w:t>only</w:t>
      </w:r>
      <w:r>
        <w:rPr>
          <w:spacing w:val="-17"/>
        </w:rPr>
        <w:t> </w:t>
      </w:r>
      <w:r>
        <w:rPr/>
        <w:t>find</w:t>
      </w:r>
      <w:r>
        <w:rPr>
          <w:spacing w:val="-16"/>
        </w:rPr>
        <w:t> </w:t>
      </w:r>
      <w:r>
        <w:rPr/>
        <w:t>out</w:t>
      </w:r>
      <w:r>
        <w:rPr>
          <w:spacing w:val="-16"/>
        </w:rPr>
        <w:t> </w:t>
      </w:r>
      <w:r>
        <w:rPr/>
        <w:t>coincidentally,</w:t>
      </w:r>
      <w:r>
        <w:rPr>
          <w:spacing w:val="-16"/>
        </w:rPr>
        <w:t> </w:t>
      </w:r>
      <w:r>
        <w:rPr/>
        <w:t>if</w:t>
      </w:r>
      <w:r>
        <w:rPr>
          <w:spacing w:val="-17"/>
        </w:rPr>
        <w:t> </w:t>
      </w:r>
      <w:r>
        <w:rPr/>
        <w:t>at</w:t>
      </w:r>
      <w:r>
        <w:rPr>
          <w:spacing w:val="-17"/>
        </w:rPr>
        <w:t> </w:t>
      </w:r>
      <w:r>
        <w:rPr/>
        <w:t>all, that the appropriate dose of vitamin C can preventatively protect against can- cer. In the case of cancer, however, you shouldn’t just rely on a single</w:t>
      </w:r>
      <w:r>
        <w:rPr>
          <w:spacing w:val="11"/>
        </w:rPr>
        <w:t> </w:t>
      </w:r>
      <w:r>
        <w:rPr/>
        <w:t>remedy</w:t>
      </w:r>
    </w:p>
    <w:p>
      <w:pPr>
        <w:pStyle w:val="BodyText"/>
        <w:spacing w:line="278" w:lineRule="auto"/>
        <w:ind w:left="616" w:right="140"/>
        <w:jc w:val="both"/>
      </w:pPr>
      <w:r>
        <w:rPr/>
        <w:t>– rather it is the ‘composition’ of natural substances cooperating together which are most effective in fighting cancer!</w:t>
      </w:r>
    </w:p>
    <w:p>
      <w:pPr>
        <w:pStyle w:val="Heading2"/>
        <w:spacing w:before="232"/>
        <w:ind w:left="616"/>
        <w:jc w:val="both"/>
      </w:pPr>
      <w:r>
        <w:rPr/>
        <w:t>ALLRGIES AND VITAMIN C</w:t>
      </w:r>
    </w:p>
    <w:p>
      <w:pPr>
        <w:pStyle w:val="BodyText"/>
        <w:spacing w:before="304"/>
        <w:ind w:left="616"/>
        <w:jc w:val="both"/>
      </w:pPr>
      <w:r>
        <w:rPr/>
        <w:t>Polluted</w:t>
      </w:r>
      <w:r>
        <w:rPr>
          <w:spacing w:val="65"/>
        </w:rPr>
        <w:t> </w:t>
      </w:r>
      <w:r>
        <w:rPr/>
        <w:t>environmental</w:t>
      </w:r>
      <w:r>
        <w:rPr>
          <w:spacing w:val="65"/>
        </w:rPr>
        <w:t> </w:t>
      </w:r>
      <w:r>
        <w:rPr/>
        <w:t>conditions,</w:t>
      </w:r>
      <w:r>
        <w:rPr>
          <w:spacing w:val="65"/>
        </w:rPr>
        <w:t> </w:t>
      </w:r>
      <w:r>
        <w:rPr/>
        <w:t>smog,</w:t>
      </w:r>
      <w:r>
        <w:rPr>
          <w:spacing w:val="66"/>
        </w:rPr>
        <w:t> </w:t>
      </w:r>
      <w:r>
        <w:rPr/>
        <w:t>radiation,</w:t>
      </w:r>
      <w:r>
        <w:rPr>
          <w:spacing w:val="67"/>
        </w:rPr>
        <w:t> </w:t>
      </w:r>
      <w:r>
        <w:rPr/>
        <w:t>artificially</w:t>
      </w:r>
      <w:r>
        <w:rPr>
          <w:spacing w:val="68"/>
        </w:rPr>
        <w:t> </w:t>
      </w:r>
      <w:r>
        <w:rPr/>
        <w:t>created</w:t>
      </w:r>
      <w:r>
        <w:rPr>
          <w:spacing w:val="65"/>
        </w:rPr>
        <w:t> </w:t>
      </w:r>
      <w:r>
        <w:rPr/>
        <w:t>and</w:t>
      </w:r>
    </w:p>
    <w:p>
      <w:pPr>
        <w:spacing w:after="0"/>
        <w:jc w:val="both"/>
        <w:sectPr>
          <w:footerReference w:type="default" r:id="rId467"/>
          <w:pgSz w:w="14270" w:h="16850"/>
          <w:pgMar w:footer="1891" w:header="0" w:top="1340" w:bottom="2080" w:left="800" w:right="1280"/>
          <w:pgNumType w:start="176"/>
        </w:sectPr>
      </w:pPr>
    </w:p>
    <w:p>
      <w:pPr>
        <w:pStyle w:val="BodyText"/>
        <w:spacing w:line="276" w:lineRule="auto" w:before="72"/>
        <w:ind w:left="616" w:right="132"/>
        <w:jc w:val="both"/>
        <w:rPr>
          <w:sz w:val="25"/>
        </w:rPr>
      </w:pPr>
      <w:r>
        <w:rPr/>
        <w:t>processed</w:t>
      </w:r>
      <w:r>
        <w:rPr>
          <w:spacing w:val="-27"/>
        </w:rPr>
        <w:t> </w:t>
      </w:r>
      <w:r>
        <w:rPr/>
        <w:t>foodstuffs</w:t>
      </w:r>
      <w:r>
        <w:rPr>
          <w:spacing w:val="-23"/>
        </w:rPr>
        <w:t> </w:t>
      </w:r>
      <w:r>
        <w:rPr/>
        <w:t>and</w:t>
      </w:r>
      <w:r>
        <w:rPr>
          <w:spacing w:val="-24"/>
        </w:rPr>
        <w:t> </w:t>
      </w:r>
      <w:r>
        <w:rPr/>
        <w:t>much,</w:t>
      </w:r>
      <w:r>
        <w:rPr>
          <w:spacing w:val="-28"/>
        </w:rPr>
        <w:t> </w:t>
      </w:r>
      <w:r>
        <w:rPr/>
        <w:t>much</w:t>
      </w:r>
      <w:r>
        <w:rPr>
          <w:spacing w:val="-23"/>
        </w:rPr>
        <w:t> </w:t>
      </w:r>
      <w:r>
        <w:rPr/>
        <w:t>more</w:t>
      </w:r>
      <w:r>
        <w:rPr>
          <w:spacing w:val="-25"/>
        </w:rPr>
        <w:t> </w:t>
      </w:r>
      <w:r>
        <w:rPr/>
        <w:t>ensure</w:t>
      </w:r>
      <w:r>
        <w:rPr>
          <w:spacing w:val="-25"/>
        </w:rPr>
        <w:t> </w:t>
      </w:r>
      <w:r>
        <w:rPr/>
        <w:t>that</w:t>
      </w:r>
      <w:r>
        <w:rPr>
          <w:spacing w:val="-26"/>
        </w:rPr>
        <w:t> </w:t>
      </w:r>
      <w:r>
        <w:rPr/>
        <w:t>more</w:t>
      </w:r>
      <w:r>
        <w:rPr>
          <w:spacing w:val="-25"/>
        </w:rPr>
        <w:t> </w:t>
      </w:r>
      <w:r>
        <w:rPr/>
        <w:t>and</w:t>
      </w:r>
      <w:r>
        <w:rPr>
          <w:spacing w:val="-27"/>
        </w:rPr>
        <w:t> </w:t>
      </w:r>
      <w:r>
        <w:rPr/>
        <w:t>more</w:t>
      </w:r>
      <w:r>
        <w:rPr>
          <w:spacing w:val="-24"/>
        </w:rPr>
        <w:t> </w:t>
      </w:r>
      <w:r>
        <w:rPr/>
        <w:t>people are</w:t>
      </w:r>
      <w:r>
        <w:rPr>
          <w:spacing w:val="-16"/>
        </w:rPr>
        <w:t> </w:t>
      </w:r>
      <w:r>
        <w:rPr/>
        <w:t>becoming</w:t>
      </w:r>
      <w:r>
        <w:rPr>
          <w:spacing w:val="-16"/>
        </w:rPr>
        <w:t> </w:t>
      </w:r>
      <w:r>
        <w:rPr/>
        <w:t>prone</w:t>
      </w:r>
      <w:r>
        <w:rPr>
          <w:spacing w:val="-16"/>
        </w:rPr>
        <w:t> </w:t>
      </w:r>
      <w:r>
        <w:rPr/>
        <w:t>to</w:t>
      </w:r>
      <w:r>
        <w:rPr>
          <w:spacing w:val="-16"/>
        </w:rPr>
        <w:t> </w:t>
      </w:r>
      <w:r>
        <w:rPr/>
        <w:t>allergies,</w:t>
      </w:r>
      <w:r>
        <w:rPr>
          <w:spacing w:val="-17"/>
        </w:rPr>
        <w:t> </w:t>
      </w:r>
      <w:r>
        <w:rPr/>
        <w:t>starting</w:t>
      </w:r>
      <w:r>
        <w:rPr>
          <w:spacing w:val="-16"/>
        </w:rPr>
        <w:t> </w:t>
      </w:r>
      <w:r>
        <w:rPr/>
        <w:t>with</w:t>
      </w:r>
      <w:r>
        <w:rPr>
          <w:spacing w:val="-16"/>
        </w:rPr>
        <w:t> </w:t>
      </w:r>
      <w:r>
        <w:rPr/>
        <w:t>asthma,</w:t>
      </w:r>
      <w:r>
        <w:rPr>
          <w:spacing w:val="-16"/>
        </w:rPr>
        <w:t> </w:t>
      </w:r>
      <w:r>
        <w:rPr/>
        <w:t>hay</w:t>
      </w:r>
      <w:r>
        <w:rPr>
          <w:spacing w:val="-16"/>
        </w:rPr>
        <w:t> </w:t>
      </w:r>
      <w:r>
        <w:rPr/>
        <w:t>fever</w:t>
      </w:r>
      <w:r>
        <w:rPr>
          <w:spacing w:val="-15"/>
        </w:rPr>
        <w:t> </w:t>
      </w:r>
      <w:r>
        <w:rPr/>
        <w:t>and</w:t>
      </w:r>
      <w:r>
        <w:rPr>
          <w:spacing w:val="-16"/>
        </w:rPr>
        <w:t> </w:t>
      </w:r>
      <w:r>
        <w:rPr/>
        <w:t>bronchitis, down to rhinitis, food allergies, house dust etc. Here, too, studies prove that an increased supply of vitamin C can offer a remedy, namely through the reg- ulation of histamine and histidine production, which play the leading role in allergies.</w:t>
      </w:r>
      <w:r>
        <w:rPr>
          <w:position w:val="9"/>
          <w:sz w:val="25"/>
        </w:rPr>
        <w:t>1017</w:t>
      </w:r>
    </w:p>
    <w:p>
      <w:pPr>
        <w:pStyle w:val="BodyText"/>
        <w:spacing w:line="276" w:lineRule="auto" w:before="242"/>
        <w:ind w:left="616" w:right="135"/>
        <w:jc w:val="both"/>
        <w:rPr>
          <w:sz w:val="25"/>
        </w:rPr>
      </w:pPr>
      <w:r>
        <w:rPr/>
        <w:t>The answer from conventional medicine cannot mean the end of the story as medicines</w:t>
      </w:r>
      <w:r>
        <w:rPr>
          <w:spacing w:val="-8"/>
        </w:rPr>
        <w:t> </w:t>
      </w:r>
      <w:r>
        <w:rPr/>
        <w:t>in</w:t>
      </w:r>
      <w:r>
        <w:rPr>
          <w:spacing w:val="-8"/>
        </w:rPr>
        <w:t> </w:t>
      </w:r>
      <w:r>
        <w:rPr/>
        <w:t>the</w:t>
      </w:r>
      <w:r>
        <w:rPr>
          <w:spacing w:val="-9"/>
        </w:rPr>
        <w:t> </w:t>
      </w:r>
      <w:r>
        <w:rPr/>
        <w:t>pharmaceutical</w:t>
      </w:r>
      <w:r>
        <w:rPr>
          <w:spacing w:val="-9"/>
        </w:rPr>
        <w:t> </w:t>
      </w:r>
      <w:r>
        <w:rPr/>
        <w:t>industry,</w:t>
      </w:r>
      <w:r>
        <w:rPr>
          <w:spacing w:val="-7"/>
        </w:rPr>
        <w:t> </w:t>
      </w:r>
      <w:r>
        <w:rPr/>
        <w:t>known</w:t>
      </w:r>
      <w:r>
        <w:rPr>
          <w:spacing w:val="-8"/>
        </w:rPr>
        <w:t> </w:t>
      </w:r>
      <w:r>
        <w:rPr/>
        <w:t>as</w:t>
      </w:r>
      <w:r>
        <w:rPr>
          <w:spacing w:val="-8"/>
        </w:rPr>
        <w:t> </w:t>
      </w:r>
      <w:r>
        <w:rPr/>
        <w:t>antihistamines,</w:t>
      </w:r>
      <w:r>
        <w:rPr>
          <w:spacing w:val="-7"/>
        </w:rPr>
        <w:t> </w:t>
      </w:r>
      <w:r>
        <w:rPr/>
        <w:t>are</w:t>
      </w:r>
      <w:r>
        <w:rPr>
          <w:spacing w:val="-10"/>
        </w:rPr>
        <w:t> </w:t>
      </w:r>
      <w:r>
        <w:rPr/>
        <w:t>associ- ated with some unpleasant side effects, from fatigue to nausea, headaches and dizziness</w:t>
      </w:r>
      <w:r>
        <w:rPr>
          <w:spacing w:val="-10"/>
        </w:rPr>
        <w:t> </w:t>
      </w:r>
      <w:r>
        <w:rPr/>
        <w:t>etc.</w:t>
      </w:r>
      <w:r>
        <w:rPr>
          <w:spacing w:val="-8"/>
        </w:rPr>
        <w:t> </w:t>
      </w:r>
      <w:r>
        <w:rPr/>
        <w:t>Prof.</w:t>
      </w:r>
      <w:r>
        <w:rPr>
          <w:spacing w:val="-8"/>
        </w:rPr>
        <w:t> </w:t>
      </w:r>
      <w:r>
        <w:rPr/>
        <w:t>Dr.</w:t>
      </w:r>
      <w:r>
        <w:rPr>
          <w:spacing w:val="-11"/>
        </w:rPr>
        <w:t> </w:t>
      </w:r>
      <w:r>
        <w:rPr/>
        <w:t>Clemetson</w:t>
      </w:r>
      <w:r>
        <w:rPr>
          <w:spacing w:val="-8"/>
        </w:rPr>
        <w:t> </w:t>
      </w:r>
      <w:r>
        <w:rPr/>
        <w:t>was</w:t>
      </w:r>
      <w:r>
        <w:rPr>
          <w:spacing w:val="-9"/>
        </w:rPr>
        <w:t> </w:t>
      </w:r>
      <w:r>
        <w:rPr/>
        <w:t>able</w:t>
      </w:r>
      <w:r>
        <w:rPr>
          <w:spacing w:val="-10"/>
        </w:rPr>
        <w:t> </w:t>
      </w:r>
      <w:r>
        <w:rPr/>
        <w:t>to</w:t>
      </w:r>
      <w:r>
        <w:rPr>
          <w:spacing w:val="-11"/>
        </w:rPr>
        <w:t> </w:t>
      </w:r>
      <w:r>
        <w:rPr/>
        <w:t>prove</w:t>
      </w:r>
      <w:r>
        <w:rPr>
          <w:spacing w:val="-10"/>
        </w:rPr>
        <w:t> </w:t>
      </w:r>
      <w:r>
        <w:rPr/>
        <w:t>in</w:t>
      </w:r>
      <w:r>
        <w:rPr>
          <w:spacing w:val="-9"/>
        </w:rPr>
        <w:t> </w:t>
      </w:r>
      <w:r>
        <w:rPr/>
        <w:t>a</w:t>
      </w:r>
      <w:r>
        <w:rPr>
          <w:spacing w:val="-10"/>
        </w:rPr>
        <w:t> </w:t>
      </w:r>
      <w:r>
        <w:rPr/>
        <w:t>study</w:t>
      </w:r>
      <w:r>
        <w:rPr>
          <w:spacing w:val="-10"/>
        </w:rPr>
        <w:t> </w:t>
      </w:r>
      <w:r>
        <w:rPr/>
        <w:t>that</w:t>
      </w:r>
      <w:r>
        <w:rPr>
          <w:spacing w:val="-10"/>
        </w:rPr>
        <w:t> </w:t>
      </w:r>
      <w:r>
        <w:rPr/>
        <w:t>histamines in the blood are always associated with a lack of vitamin C and the lower the vitamin C level drops, the greater the increase in the level of histamines.</w:t>
      </w:r>
      <w:r>
        <w:rPr>
          <w:position w:val="9"/>
          <w:sz w:val="25"/>
        </w:rPr>
        <w:t>1018 </w:t>
      </w:r>
      <w:r>
        <w:rPr/>
        <w:t>Vitamin C most probably works as a serious co-factor in the degradation and excretion of histamines, reducing the histamine level and preventing allergies or making natural healing</w:t>
      </w:r>
      <w:r>
        <w:rPr>
          <w:spacing w:val="1"/>
        </w:rPr>
        <w:t> </w:t>
      </w:r>
      <w:r>
        <w:rPr/>
        <w:t>possible.</w:t>
      </w:r>
      <w:r>
        <w:rPr>
          <w:position w:val="9"/>
          <w:sz w:val="25"/>
        </w:rPr>
        <w:t>1019</w:t>
      </w:r>
    </w:p>
    <w:p>
      <w:pPr>
        <w:pStyle w:val="Heading2"/>
        <w:spacing w:before="240"/>
        <w:ind w:left="616"/>
      </w:pPr>
      <w:r>
        <w:rPr/>
        <w:t>ALZHEIMER’S/PARKINSON’S AND VITAMIN C</w:t>
      </w:r>
    </w:p>
    <w:p>
      <w:pPr>
        <w:pStyle w:val="BodyText"/>
        <w:spacing w:line="276" w:lineRule="auto" w:before="304"/>
        <w:ind w:left="616" w:right="133"/>
        <w:jc w:val="both"/>
      </w:pPr>
      <w:r>
        <w:rPr/>
        <w:t>Recent studies have proven that oxidation and destruction of cells is also re- sponsible</w:t>
      </w:r>
      <w:r>
        <w:rPr>
          <w:spacing w:val="-15"/>
        </w:rPr>
        <w:t> </w:t>
      </w:r>
      <w:r>
        <w:rPr/>
        <w:t>for</w:t>
      </w:r>
      <w:r>
        <w:rPr>
          <w:spacing w:val="-12"/>
        </w:rPr>
        <w:t> </w:t>
      </w:r>
      <w:r>
        <w:rPr/>
        <w:t>these</w:t>
      </w:r>
      <w:r>
        <w:rPr>
          <w:spacing w:val="-12"/>
        </w:rPr>
        <w:t> </w:t>
      </w:r>
      <w:r>
        <w:rPr/>
        <w:t>diseases.</w:t>
      </w:r>
      <w:r>
        <w:rPr>
          <w:spacing w:val="-12"/>
        </w:rPr>
        <w:t> </w:t>
      </w:r>
      <w:r>
        <w:rPr/>
        <w:t>We</w:t>
      </w:r>
      <w:r>
        <w:rPr>
          <w:spacing w:val="-15"/>
        </w:rPr>
        <w:t> </w:t>
      </w:r>
      <w:r>
        <w:rPr/>
        <w:t>have</w:t>
      </w:r>
      <w:r>
        <w:rPr>
          <w:spacing w:val="-13"/>
        </w:rPr>
        <w:t> </w:t>
      </w:r>
      <w:r>
        <w:rPr/>
        <w:t>learnt</w:t>
      </w:r>
      <w:r>
        <w:rPr>
          <w:spacing w:val="-13"/>
        </w:rPr>
        <w:t> </w:t>
      </w:r>
      <w:r>
        <w:rPr/>
        <w:t>that</w:t>
      </w:r>
      <w:r>
        <w:rPr>
          <w:spacing w:val="-12"/>
        </w:rPr>
        <w:t> </w:t>
      </w:r>
      <w:r>
        <w:rPr/>
        <w:t>natural</w:t>
      </w:r>
      <w:r>
        <w:rPr>
          <w:spacing w:val="-14"/>
        </w:rPr>
        <w:t> </w:t>
      </w:r>
      <w:r>
        <w:rPr/>
        <w:t>vitamin</w:t>
      </w:r>
      <w:r>
        <w:rPr>
          <w:spacing w:val="-13"/>
        </w:rPr>
        <w:t> </w:t>
      </w:r>
      <w:r>
        <w:rPr/>
        <w:t>C,</w:t>
      </w:r>
      <w:r>
        <w:rPr>
          <w:spacing w:val="-14"/>
        </w:rPr>
        <w:t> </w:t>
      </w:r>
      <w:r>
        <w:rPr/>
        <w:t>such</w:t>
      </w:r>
      <w:r>
        <w:rPr>
          <w:spacing w:val="-12"/>
        </w:rPr>
        <w:t> </w:t>
      </w:r>
      <w:r>
        <w:rPr/>
        <w:t>as</w:t>
      </w:r>
      <w:r>
        <w:rPr>
          <w:spacing w:val="-13"/>
        </w:rPr>
        <w:t> </w:t>
      </w:r>
      <w:r>
        <w:rPr/>
        <w:t>can be found in camu camu capsules of the highest quality, is an efficient antioxi- dant and that vitamin C also improves hormone production (including of</w:t>
      </w:r>
      <w:r>
        <w:rPr>
          <w:spacing w:val="25"/>
        </w:rPr>
        <w:t> </w:t>
      </w:r>
      <w:r>
        <w:rPr/>
        <w:t>do-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r>
        <w:rPr/>
        <w:pict>
          <v:line style="position:absolute;mso-position-horizontal-relative:page;mso-position-vertical-relative:paragraph;z-index:14048;mso-wrap-distance-left:0;mso-wrap-distance-right:0" from="70.823997pt,12.061265pt" to="214.843997pt,12.061265pt" stroked="true" strokeweight=".71997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1017 </w:t>
      </w:r>
      <w:r>
        <w:rPr>
          <w:sz w:val="20"/>
        </w:rPr>
        <w:t>Werner Goller: Was verschweigt die Schulmedizin? (‘What Does Conventional Medicine Conceal?’), 2009, p. 17</w:t>
      </w:r>
    </w:p>
    <w:p>
      <w:pPr>
        <w:spacing w:before="94"/>
        <w:ind w:left="616" w:right="0" w:firstLine="0"/>
        <w:jc w:val="left"/>
        <w:rPr>
          <w:sz w:val="20"/>
        </w:rPr>
      </w:pPr>
      <w:r>
        <w:rPr>
          <w:position w:val="5"/>
          <w:sz w:val="13"/>
        </w:rPr>
        <w:t>1018 </w:t>
      </w:r>
      <w:r>
        <w:rPr>
          <w:sz w:val="20"/>
        </w:rPr>
        <w:t>Clemetson C. A. B.: Histamine and ascorbic acid in human blood. Journal of Nutrition 1980, 110, pp. 662–668</w:t>
      </w:r>
    </w:p>
    <w:p>
      <w:pPr>
        <w:spacing w:line="276" w:lineRule="auto" w:before="95"/>
        <w:ind w:left="616" w:right="0" w:firstLine="0"/>
        <w:jc w:val="left"/>
        <w:rPr>
          <w:sz w:val="20"/>
        </w:rPr>
      </w:pPr>
      <w:r>
        <w:rPr/>
        <w:drawing>
          <wp:anchor distT="0" distB="0" distL="0" distR="0" allowOverlap="1" layoutInCell="1" locked="0" behindDoc="1" simplePos="0" relativeHeight="267181847">
            <wp:simplePos x="0" y="0"/>
            <wp:positionH relativeFrom="page">
              <wp:posOffset>985998</wp:posOffset>
            </wp:positionH>
            <wp:positionV relativeFrom="paragraph">
              <wp:posOffset>104497</wp:posOffset>
            </wp:positionV>
            <wp:extent cx="6379583" cy="902106"/>
            <wp:effectExtent l="0" t="0" r="0" b="0"/>
            <wp:wrapNone/>
            <wp:docPr id="677" name="image2.jpeg" descr=""/>
            <wp:cNvGraphicFramePr>
              <a:graphicFrameLocks noChangeAspect="1"/>
            </wp:cNvGraphicFramePr>
            <a:graphic>
              <a:graphicData uri="http://schemas.openxmlformats.org/drawingml/2006/picture">
                <pic:pic>
                  <pic:nvPicPr>
                    <pic:cNvPr id="678"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1019 </w:t>
      </w:r>
      <w:r>
        <w:rPr>
          <w:sz w:val="20"/>
        </w:rPr>
        <w:t>Ziemann B. and Enzmann F.: Vitamin C Ascorbinsäure, Ein lebensnotwendiger Schutzfaktor, ‘Vitamin C Ascorbic Acid, A Vital Protective Factor’, 1998, MSE Pharmaceutics</w:t>
      </w:r>
    </w:p>
    <w:p>
      <w:pPr>
        <w:spacing w:after="0" w:line="276" w:lineRule="auto"/>
        <w:jc w:val="left"/>
        <w:rPr>
          <w:sz w:val="20"/>
        </w:rPr>
        <w:sectPr>
          <w:footerReference w:type="default" r:id="rId468"/>
          <w:pgSz w:w="14270" w:h="16850"/>
          <w:pgMar w:footer="527" w:header="0" w:top="1340" w:bottom="720" w:left="800" w:right="1280"/>
          <w:pgNumType w:start="1761"/>
        </w:sectPr>
      </w:pPr>
    </w:p>
    <w:p>
      <w:pPr>
        <w:pStyle w:val="BodyText"/>
        <w:spacing w:line="276" w:lineRule="auto" w:before="72"/>
        <w:ind w:left="616" w:right="131"/>
        <w:jc w:val="both"/>
      </w:pPr>
      <w:r>
        <w:rPr/>
        <w:t>pamine and melatonin) and neurotransmitters in the brain (messenger sub- stances).</w:t>
      </w:r>
      <w:r>
        <w:rPr>
          <w:spacing w:val="-9"/>
        </w:rPr>
        <w:t> </w:t>
      </w:r>
      <w:r>
        <w:rPr/>
        <w:t>The</w:t>
      </w:r>
      <w:r>
        <w:rPr>
          <w:spacing w:val="-9"/>
        </w:rPr>
        <w:t> </w:t>
      </w:r>
      <w:r>
        <w:rPr/>
        <w:t>activation</w:t>
      </w:r>
      <w:r>
        <w:rPr>
          <w:spacing w:val="-8"/>
        </w:rPr>
        <w:t> </w:t>
      </w:r>
      <w:r>
        <w:rPr/>
        <w:t>of</w:t>
      </w:r>
      <w:r>
        <w:rPr>
          <w:spacing w:val="-10"/>
        </w:rPr>
        <w:t> </w:t>
      </w:r>
      <w:r>
        <w:rPr/>
        <w:t>neurotransmitters</w:t>
      </w:r>
      <w:r>
        <w:rPr>
          <w:spacing w:val="-8"/>
        </w:rPr>
        <w:t> </w:t>
      </w:r>
      <w:r>
        <w:rPr/>
        <w:t>also</w:t>
      </w:r>
      <w:r>
        <w:rPr>
          <w:spacing w:val="-10"/>
        </w:rPr>
        <w:t> </w:t>
      </w:r>
      <w:r>
        <w:rPr/>
        <w:t>improves</w:t>
      </w:r>
      <w:r>
        <w:rPr>
          <w:spacing w:val="-8"/>
        </w:rPr>
        <w:t> </w:t>
      </w:r>
      <w:r>
        <w:rPr/>
        <w:t>concentration</w:t>
      </w:r>
      <w:r>
        <w:rPr>
          <w:spacing w:val="-10"/>
        </w:rPr>
        <w:t> </w:t>
      </w:r>
      <w:r>
        <w:rPr/>
        <w:t>and memory performance and improves reactions. </w:t>
      </w:r>
      <w:r>
        <w:rPr>
          <w:position w:val="9"/>
          <w:sz w:val="25"/>
        </w:rPr>
        <w:t>1020 </w:t>
      </w:r>
      <w:r>
        <w:rPr/>
        <w:t>Thus, scientists at John Hopkins University were able to prove that, in 4740 people aged 65 or older, that the consumption of vitamin C (with vitamin E) can reduce Alzheimer’s disease.</w:t>
      </w:r>
      <w:r>
        <w:rPr>
          <w:spacing w:val="-18"/>
        </w:rPr>
        <w:t> </w:t>
      </w:r>
      <w:r>
        <w:rPr/>
        <w:t>Those</w:t>
      </w:r>
      <w:r>
        <w:rPr>
          <w:spacing w:val="-17"/>
        </w:rPr>
        <w:t> </w:t>
      </w:r>
      <w:r>
        <w:rPr/>
        <w:t>participants</w:t>
      </w:r>
      <w:r>
        <w:rPr>
          <w:spacing w:val="-17"/>
        </w:rPr>
        <w:t> </w:t>
      </w:r>
      <w:r>
        <w:rPr/>
        <w:t>in</w:t>
      </w:r>
      <w:r>
        <w:rPr>
          <w:spacing w:val="-19"/>
        </w:rPr>
        <w:t> </w:t>
      </w:r>
      <w:r>
        <w:rPr/>
        <w:t>the</w:t>
      </w:r>
      <w:r>
        <w:rPr>
          <w:spacing w:val="-16"/>
        </w:rPr>
        <w:t> </w:t>
      </w:r>
      <w:r>
        <w:rPr/>
        <w:t>study</w:t>
      </w:r>
      <w:r>
        <w:rPr>
          <w:spacing w:val="-18"/>
        </w:rPr>
        <w:t> </w:t>
      </w:r>
      <w:r>
        <w:rPr/>
        <w:t>who</w:t>
      </w:r>
      <w:r>
        <w:rPr>
          <w:spacing w:val="-18"/>
        </w:rPr>
        <w:t> </w:t>
      </w:r>
      <w:r>
        <w:rPr/>
        <w:t>took</w:t>
      </w:r>
      <w:r>
        <w:rPr>
          <w:spacing w:val="-18"/>
        </w:rPr>
        <w:t> </w:t>
      </w:r>
      <w:r>
        <w:rPr/>
        <w:t>both</w:t>
      </w:r>
      <w:r>
        <w:rPr>
          <w:spacing w:val="-17"/>
        </w:rPr>
        <w:t> </w:t>
      </w:r>
      <w:r>
        <w:rPr/>
        <w:t>vitamins</w:t>
      </w:r>
      <w:r>
        <w:rPr>
          <w:spacing w:val="-18"/>
        </w:rPr>
        <w:t> </w:t>
      </w:r>
      <w:r>
        <w:rPr/>
        <w:t>were</w:t>
      </w:r>
      <w:r>
        <w:rPr>
          <w:spacing w:val="-17"/>
        </w:rPr>
        <w:t> </w:t>
      </w:r>
      <w:r>
        <w:rPr/>
        <w:t>78</w:t>
      </w:r>
      <w:r>
        <w:rPr>
          <w:spacing w:val="-18"/>
        </w:rPr>
        <w:t> </w:t>
      </w:r>
      <w:r>
        <w:rPr/>
        <w:t>%</w:t>
      </w:r>
      <w:r>
        <w:rPr>
          <w:spacing w:val="-18"/>
        </w:rPr>
        <w:t> </w:t>
      </w:r>
      <w:r>
        <w:rPr/>
        <w:t>less at</w:t>
      </w:r>
      <w:r>
        <w:rPr>
          <w:spacing w:val="-23"/>
        </w:rPr>
        <w:t> </w:t>
      </w:r>
      <w:r>
        <w:rPr/>
        <w:t>risk</w:t>
      </w:r>
      <w:r>
        <w:rPr>
          <w:spacing w:val="-23"/>
        </w:rPr>
        <w:t> </w:t>
      </w:r>
      <w:r>
        <w:rPr/>
        <w:t>from</w:t>
      </w:r>
      <w:r>
        <w:rPr>
          <w:spacing w:val="-22"/>
        </w:rPr>
        <w:t> </w:t>
      </w:r>
      <w:r>
        <w:rPr/>
        <w:t>Alzheimer’s.</w:t>
      </w:r>
      <w:r>
        <w:rPr>
          <w:spacing w:val="-21"/>
        </w:rPr>
        <w:t> </w:t>
      </w:r>
      <w:r>
        <w:rPr/>
        <w:t>Protection</w:t>
      </w:r>
      <w:r>
        <w:rPr>
          <w:spacing w:val="-22"/>
        </w:rPr>
        <w:t> </w:t>
      </w:r>
      <w:r>
        <w:rPr/>
        <w:t>against</w:t>
      </w:r>
      <w:r>
        <w:rPr>
          <w:spacing w:val="-23"/>
        </w:rPr>
        <w:t> </w:t>
      </w:r>
      <w:r>
        <w:rPr/>
        <w:t>free</w:t>
      </w:r>
      <w:r>
        <w:rPr>
          <w:spacing w:val="-23"/>
        </w:rPr>
        <w:t> </w:t>
      </w:r>
      <w:r>
        <w:rPr/>
        <w:t>radicals</w:t>
      </w:r>
      <w:r>
        <w:rPr>
          <w:spacing w:val="-23"/>
        </w:rPr>
        <w:t> </w:t>
      </w:r>
      <w:r>
        <w:rPr/>
        <w:t>is</w:t>
      </w:r>
      <w:r>
        <w:rPr>
          <w:spacing w:val="-23"/>
        </w:rPr>
        <w:t> </w:t>
      </w:r>
      <w:r>
        <w:rPr/>
        <w:t>considered</w:t>
      </w:r>
      <w:r>
        <w:rPr>
          <w:spacing w:val="-21"/>
        </w:rPr>
        <w:t> </w:t>
      </w:r>
      <w:r>
        <w:rPr/>
        <w:t>the</w:t>
      </w:r>
      <w:r>
        <w:rPr>
          <w:spacing w:val="-21"/>
        </w:rPr>
        <w:t> </w:t>
      </w:r>
      <w:r>
        <w:rPr/>
        <w:t>main reason for this effect</w:t>
      </w:r>
      <w:r>
        <w:rPr>
          <w:spacing w:val="-1"/>
        </w:rPr>
        <w:t> </w:t>
      </w:r>
      <w:r>
        <w:rPr/>
        <w:t>here.</w:t>
      </w:r>
    </w:p>
    <w:p>
      <w:pPr>
        <w:pStyle w:val="Heading2"/>
        <w:spacing w:before="243"/>
        <w:ind w:left="616"/>
      </w:pPr>
      <w:r>
        <w:rPr/>
        <w:t>VITAMIN C FIGHTS WRINKLES (skin ageing)</w:t>
      </w:r>
    </w:p>
    <w:p>
      <w:pPr>
        <w:pStyle w:val="BodyText"/>
        <w:spacing w:line="276" w:lineRule="auto" w:before="303"/>
        <w:ind w:left="616" w:right="132"/>
        <w:jc w:val="both"/>
      </w:pPr>
      <w:r>
        <w:rPr/>
        <w:t>As</w:t>
      </w:r>
      <w:r>
        <w:rPr>
          <w:spacing w:val="-17"/>
        </w:rPr>
        <w:t> </w:t>
      </w:r>
      <w:r>
        <w:rPr/>
        <w:t>the</w:t>
      </w:r>
      <w:r>
        <w:rPr>
          <w:spacing w:val="-15"/>
        </w:rPr>
        <w:t> </w:t>
      </w:r>
      <w:r>
        <w:rPr/>
        <w:t>skin</w:t>
      </w:r>
      <w:r>
        <w:rPr>
          <w:spacing w:val="-16"/>
        </w:rPr>
        <w:t> </w:t>
      </w:r>
      <w:r>
        <w:rPr/>
        <w:t>structure</w:t>
      </w:r>
      <w:r>
        <w:rPr>
          <w:spacing w:val="-17"/>
        </w:rPr>
        <w:t> </w:t>
      </w:r>
      <w:r>
        <w:rPr/>
        <w:t>also</w:t>
      </w:r>
      <w:r>
        <w:rPr>
          <w:spacing w:val="-16"/>
        </w:rPr>
        <w:t> </w:t>
      </w:r>
      <w:r>
        <w:rPr/>
        <w:t>largely</w:t>
      </w:r>
      <w:r>
        <w:rPr>
          <w:spacing w:val="-16"/>
        </w:rPr>
        <w:t> </w:t>
      </w:r>
      <w:r>
        <w:rPr/>
        <w:t>consists</w:t>
      </w:r>
      <w:r>
        <w:rPr>
          <w:spacing w:val="-17"/>
        </w:rPr>
        <w:t> </w:t>
      </w:r>
      <w:r>
        <w:rPr/>
        <w:t>of</w:t>
      </w:r>
      <w:r>
        <w:rPr>
          <w:spacing w:val="-16"/>
        </w:rPr>
        <w:t> </w:t>
      </w:r>
      <w:r>
        <w:rPr/>
        <w:t>the</w:t>
      </w:r>
      <w:r>
        <w:rPr>
          <w:spacing w:val="-18"/>
        </w:rPr>
        <w:t> </w:t>
      </w:r>
      <w:r>
        <w:rPr/>
        <w:t>two</w:t>
      </w:r>
      <w:r>
        <w:rPr>
          <w:spacing w:val="-17"/>
        </w:rPr>
        <w:t> </w:t>
      </w:r>
      <w:r>
        <w:rPr/>
        <w:t>proteins</w:t>
      </w:r>
      <w:r>
        <w:rPr>
          <w:spacing w:val="-17"/>
        </w:rPr>
        <w:t> </w:t>
      </w:r>
      <w:r>
        <w:rPr/>
        <w:t>collagen</w:t>
      </w:r>
      <w:r>
        <w:rPr>
          <w:spacing w:val="-16"/>
        </w:rPr>
        <w:t> </w:t>
      </w:r>
      <w:r>
        <w:rPr/>
        <w:t>and</w:t>
      </w:r>
      <w:r>
        <w:rPr>
          <w:spacing w:val="-16"/>
        </w:rPr>
        <w:t> </w:t>
      </w:r>
      <w:r>
        <w:rPr/>
        <w:t>elas- tin,</w:t>
      </w:r>
      <w:r>
        <w:rPr>
          <w:spacing w:val="-14"/>
        </w:rPr>
        <w:t> </w:t>
      </w:r>
      <w:r>
        <w:rPr/>
        <w:t>collagen</w:t>
      </w:r>
      <w:r>
        <w:rPr>
          <w:spacing w:val="-13"/>
        </w:rPr>
        <w:t> </w:t>
      </w:r>
      <w:r>
        <w:rPr/>
        <w:t>and</w:t>
      </w:r>
      <w:r>
        <w:rPr>
          <w:spacing w:val="-16"/>
        </w:rPr>
        <w:t> </w:t>
      </w:r>
      <w:r>
        <w:rPr/>
        <w:t>elastin</w:t>
      </w:r>
      <w:r>
        <w:rPr>
          <w:spacing w:val="-14"/>
        </w:rPr>
        <w:t> </w:t>
      </w:r>
      <w:r>
        <w:rPr/>
        <w:t>synthesis</w:t>
      </w:r>
      <w:r>
        <w:rPr>
          <w:spacing w:val="-17"/>
        </w:rPr>
        <w:t> </w:t>
      </w:r>
      <w:r>
        <w:rPr/>
        <w:t>(reconstruction</w:t>
      </w:r>
      <w:r>
        <w:rPr>
          <w:spacing w:val="-16"/>
        </w:rPr>
        <w:t> </w:t>
      </w:r>
      <w:r>
        <w:rPr/>
        <w:t>and</w:t>
      </w:r>
      <w:r>
        <w:rPr>
          <w:spacing w:val="-14"/>
        </w:rPr>
        <w:t> </w:t>
      </w:r>
      <w:r>
        <w:rPr/>
        <w:t>maintenance),</w:t>
      </w:r>
      <w:r>
        <w:rPr>
          <w:spacing w:val="-14"/>
        </w:rPr>
        <w:t> </w:t>
      </w:r>
      <w:r>
        <w:rPr/>
        <w:t>which</w:t>
      </w:r>
      <w:r>
        <w:rPr>
          <w:spacing w:val="-14"/>
        </w:rPr>
        <w:t> </w:t>
      </w:r>
      <w:r>
        <w:rPr/>
        <w:t>vit- amin</w:t>
      </w:r>
      <w:r>
        <w:rPr>
          <w:spacing w:val="-20"/>
        </w:rPr>
        <w:t> </w:t>
      </w:r>
      <w:r>
        <w:rPr/>
        <w:t>C</w:t>
      </w:r>
      <w:r>
        <w:rPr>
          <w:spacing w:val="-21"/>
        </w:rPr>
        <w:t> </w:t>
      </w:r>
      <w:r>
        <w:rPr/>
        <w:t>and</w:t>
      </w:r>
      <w:r>
        <w:rPr>
          <w:spacing w:val="-19"/>
        </w:rPr>
        <w:t> </w:t>
      </w:r>
      <w:r>
        <w:rPr/>
        <w:t>OPC</w:t>
      </w:r>
      <w:r>
        <w:rPr>
          <w:spacing w:val="-21"/>
        </w:rPr>
        <w:t> </w:t>
      </w:r>
      <w:r>
        <w:rPr/>
        <w:t>manage</w:t>
      </w:r>
      <w:r>
        <w:rPr>
          <w:spacing w:val="-19"/>
        </w:rPr>
        <w:t> </w:t>
      </w:r>
      <w:r>
        <w:rPr/>
        <w:t>perfectly,</w:t>
      </w:r>
      <w:r>
        <w:rPr>
          <w:spacing w:val="-18"/>
        </w:rPr>
        <w:t> </w:t>
      </w:r>
      <w:r>
        <w:rPr/>
        <w:t>play</w:t>
      </w:r>
      <w:r>
        <w:rPr>
          <w:spacing w:val="-20"/>
        </w:rPr>
        <w:t> </w:t>
      </w:r>
      <w:r>
        <w:rPr/>
        <w:t>a</w:t>
      </w:r>
      <w:r>
        <w:rPr>
          <w:spacing w:val="-22"/>
        </w:rPr>
        <w:t> </w:t>
      </w:r>
      <w:r>
        <w:rPr/>
        <w:t>decisive</w:t>
      </w:r>
      <w:r>
        <w:rPr>
          <w:spacing w:val="-20"/>
        </w:rPr>
        <w:t> </w:t>
      </w:r>
      <w:r>
        <w:rPr/>
        <w:t>key</w:t>
      </w:r>
      <w:r>
        <w:rPr>
          <w:spacing w:val="-22"/>
        </w:rPr>
        <w:t> </w:t>
      </w:r>
      <w:r>
        <w:rPr/>
        <w:t>role.</w:t>
      </w:r>
      <w:r>
        <w:rPr>
          <w:spacing w:val="-21"/>
        </w:rPr>
        <w:t> </w:t>
      </w:r>
      <w:r>
        <w:rPr/>
        <w:t>OPC</w:t>
      </w:r>
      <w:r>
        <w:rPr>
          <w:spacing w:val="-24"/>
        </w:rPr>
        <w:t> </w:t>
      </w:r>
      <w:r>
        <w:rPr/>
        <w:t>attaches</w:t>
      </w:r>
      <w:r>
        <w:rPr>
          <w:spacing w:val="-18"/>
        </w:rPr>
        <w:t> </w:t>
      </w:r>
      <w:r>
        <w:rPr/>
        <w:t>itself directly</w:t>
      </w:r>
      <w:r>
        <w:rPr>
          <w:spacing w:val="-17"/>
        </w:rPr>
        <w:t> </w:t>
      </w:r>
      <w:r>
        <w:rPr/>
        <w:t>to</w:t>
      </w:r>
      <w:r>
        <w:rPr>
          <w:spacing w:val="-17"/>
        </w:rPr>
        <w:t> </w:t>
      </w:r>
      <w:r>
        <w:rPr/>
        <w:t>collagen</w:t>
      </w:r>
      <w:r>
        <w:rPr>
          <w:spacing w:val="-15"/>
        </w:rPr>
        <w:t> </w:t>
      </w:r>
      <w:r>
        <w:rPr/>
        <w:t>and</w:t>
      </w:r>
      <w:r>
        <w:rPr>
          <w:spacing w:val="-17"/>
        </w:rPr>
        <w:t> </w:t>
      </w:r>
      <w:r>
        <w:rPr/>
        <w:t>elastin,</w:t>
      </w:r>
      <w:r>
        <w:rPr>
          <w:spacing w:val="-17"/>
        </w:rPr>
        <w:t> </w:t>
      </w:r>
      <w:r>
        <w:rPr/>
        <w:t>reconstructs</w:t>
      </w:r>
      <w:r>
        <w:rPr>
          <w:spacing w:val="-16"/>
        </w:rPr>
        <w:t> </w:t>
      </w:r>
      <w:r>
        <w:rPr/>
        <w:t>and</w:t>
      </w:r>
      <w:r>
        <w:rPr>
          <w:spacing w:val="-17"/>
        </w:rPr>
        <w:t> </w:t>
      </w:r>
      <w:r>
        <w:rPr/>
        <w:t>regenerates</w:t>
      </w:r>
      <w:r>
        <w:rPr>
          <w:spacing w:val="-18"/>
        </w:rPr>
        <w:t> </w:t>
      </w:r>
      <w:r>
        <w:rPr/>
        <w:t>these</w:t>
      </w:r>
      <w:r>
        <w:rPr>
          <w:spacing w:val="-21"/>
        </w:rPr>
        <w:t> </w:t>
      </w:r>
      <w:r>
        <w:rPr/>
        <w:t>and</w:t>
      </w:r>
      <w:r>
        <w:rPr>
          <w:spacing w:val="-17"/>
        </w:rPr>
        <w:t> </w:t>
      </w:r>
      <w:r>
        <w:rPr/>
        <w:t>protects them from free radicals. In the correct dosage, the formation of wrinkles is decelerated,</w:t>
      </w:r>
      <w:r>
        <w:rPr>
          <w:spacing w:val="-13"/>
        </w:rPr>
        <w:t> </w:t>
      </w:r>
      <w:r>
        <w:rPr/>
        <w:t>existing</w:t>
      </w:r>
      <w:r>
        <w:rPr>
          <w:spacing w:val="-12"/>
        </w:rPr>
        <w:t> </w:t>
      </w:r>
      <w:r>
        <w:rPr/>
        <w:t>wrinkles</w:t>
      </w:r>
      <w:r>
        <w:rPr>
          <w:spacing w:val="-12"/>
        </w:rPr>
        <w:t> </w:t>
      </w:r>
      <w:r>
        <w:rPr/>
        <w:t>are</w:t>
      </w:r>
      <w:r>
        <w:rPr>
          <w:spacing w:val="-15"/>
        </w:rPr>
        <w:t> </w:t>
      </w:r>
      <w:r>
        <w:rPr/>
        <w:t>smoothed</w:t>
      </w:r>
      <w:r>
        <w:rPr>
          <w:spacing w:val="-12"/>
        </w:rPr>
        <w:t> </w:t>
      </w:r>
      <w:r>
        <w:rPr/>
        <w:t>and</w:t>
      </w:r>
      <w:r>
        <w:rPr>
          <w:spacing w:val="-14"/>
        </w:rPr>
        <w:t> </w:t>
      </w:r>
      <w:r>
        <w:rPr/>
        <w:t>as</w:t>
      </w:r>
      <w:r>
        <w:rPr>
          <w:spacing w:val="-12"/>
        </w:rPr>
        <w:t> </w:t>
      </w:r>
      <w:r>
        <w:rPr/>
        <w:t>a</w:t>
      </w:r>
      <w:r>
        <w:rPr>
          <w:spacing w:val="-15"/>
        </w:rPr>
        <w:t> </w:t>
      </w:r>
      <w:r>
        <w:rPr/>
        <w:t>side</w:t>
      </w:r>
      <w:r>
        <w:rPr>
          <w:spacing w:val="-15"/>
        </w:rPr>
        <w:t> </w:t>
      </w:r>
      <w:r>
        <w:rPr/>
        <w:t>effect,</w:t>
      </w:r>
      <w:r>
        <w:rPr>
          <w:spacing w:val="-13"/>
        </w:rPr>
        <w:t> </w:t>
      </w:r>
      <w:r>
        <w:rPr/>
        <w:t>the</w:t>
      </w:r>
      <w:r>
        <w:rPr>
          <w:spacing w:val="-12"/>
        </w:rPr>
        <w:t> </w:t>
      </w:r>
      <w:r>
        <w:rPr/>
        <w:t>emergence of new wrinkles is reliably</w:t>
      </w:r>
      <w:r>
        <w:rPr>
          <w:spacing w:val="1"/>
        </w:rPr>
        <w:t> </w:t>
      </w:r>
      <w:r>
        <w:rPr/>
        <w:t>prevented.</w:t>
      </w:r>
    </w:p>
    <w:p>
      <w:pPr>
        <w:pStyle w:val="Heading1"/>
        <w:spacing w:before="223"/>
        <w:ind w:left="616"/>
      </w:pPr>
      <w:r>
        <w:rPr/>
        <w:t>Study of 4,000 women</w:t>
      </w:r>
    </w:p>
    <w:p>
      <w:pPr>
        <w:pStyle w:val="BodyText"/>
        <w:spacing w:line="276" w:lineRule="auto" w:before="299"/>
        <w:ind w:left="616" w:right="133"/>
        <w:jc w:val="both"/>
      </w:pPr>
      <w:r>
        <w:rPr/>
        <w:t>Scientists at the Unilever Research Institute in Bedford, Great Britain, have succeeded in discovering the substance which keeps skin young and healthy for as long as possible. 4,000 women over 40 years old were asked about their eating habits and then observed for a further 30 years. Those who consumed increased</w:t>
      </w:r>
      <w:r>
        <w:rPr>
          <w:spacing w:val="-18"/>
        </w:rPr>
        <w:t> </w:t>
      </w:r>
      <w:r>
        <w:rPr/>
        <w:t>levels</w:t>
      </w:r>
      <w:r>
        <w:rPr>
          <w:spacing w:val="-21"/>
        </w:rPr>
        <w:t> </w:t>
      </w:r>
      <w:r>
        <w:rPr/>
        <w:t>of</w:t>
      </w:r>
      <w:r>
        <w:rPr>
          <w:spacing w:val="-18"/>
        </w:rPr>
        <w:t> </w:t>
      </w:r>
      <w:r>
        <w:rPr/>
        <w:t>vitamin</w:t>
      </w:r>
      <w:r>
        <w:rPr>
          <w:spacing w:val="-17"/>
        </w:rPr>
        <w:t> </w:t>
      </w:r>
      <w:r>
        <w:rPr/>
        <w:t>C</w:t>
      </w:r>
      <w:r>
        <w:rPr>
          <w:spacing w:val="-19"/>
        </w:rPr>
        <w:t> </w:t>
      </w:r>
      <w:r>
        <w:rPr/>
        <w:t>had</w:t>
      </w:r>
      <w:r>
        <w:rPr>
          <w:spacing w:val="-20"/>
        </w:rPr>
        <w:t> </w:t>
      </w:r>
      <w:r>
        <w:rPr/>
        <w:t>fewer</w:t>
      </w:r>
      <w:r>
        <w:rPr>
          <w:spacing w:val="-19"/>
        </w:rPr>
        <w:t> </w:t>
      </w:r>
      <w:r>
        <w:rPr/>
        <w:t>wrinkles</w:t>
      </w:r>
      <w:r>
        <w:rPr>
          <w:spacing w:val="-23"/>
        </w:rPr>
        <w:t> </w:t>
      </w:r>
      <w:r>
        <w:rPr/>
        <w:t>–</w:t>
      </w:r>
      <w:r>
        <w:rPr>
          <w:spacing w:val="-18"/>
        </w:rPr>
        <w:t> </w:t>
      </w:r>
      <w:r>
        <w:rPr/>
        <w:t>and</w:t>
      </w:r>
      <w:r>
        <w:rPr>
          <w:spacing w:val="-18"/>
        </w:rPr>
        <w:t> </w:t>
      </w:r>
      <w:r>
        <w:rPr/>
        <w:t>the</w:t>
      </w:r>
      <w:r>
        <w:rPr>
          <w:spacing w:val="-20"/>
        </w:rPr>
        <w:t> </w:t>
      </w:r>
      <w:r>
        <w:rPr/>
        <w:t>more</w:t>
      </w:r>
      <w:r>
        <w:rPr>
          <w:spacing w:val="-20"/>
        </w:rPr>
        <w:t> </w:t>
      </w:r>
      <w:r>
        <w:rPr/>
        <w:t>vitamin</w:t>
      </w:r>
      <w:r>
        <w:rPr>
          <w:spacing w:val="-18"/>
        </w:rPr>
        <w:t> </w:t>
      </w:r>
      <w:r>
        <w:rPr/>
        <w:t>C</w:t>
      </w:r>
      <w:r>
        <w:rPr>
          <w:spacing w:val="-19"/>
        </w:rPr>
        <w:t> </w:t>
      </w:r>
      <w:r>
        <w:rPr/>
        <w:t>they</w:t>
      </w:r>
    </w:p>
    <w:p>
      <w:pPr>
        <w:pStyle w:val="BodyText"/>
        <w:spacing w:before="2"/>
        <w:rPr>
          <w:sz w:val="13"/>
        </w:rPr>
      </w:pPr>
      <w:r>
        <w:rPr/>
        <w:pict>
          <v:line style="position:absolute;mso-position-horizontal-relative:page;mso-position-vertical-relative:paragraph;z-index:14096;mso-wrap-distance-left:0;mso-wrap-distance-right:0" from="70.823997pt,9.800015pt" to="214.843997pt,9.800015pt" stroked="true" strokeweight=".71997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1020 </w:t>
      </w:r>
      <w:r>
        <w:rPr>
          <w:sz w:val="20"/>
        </w:rPr>
        <w:t>Werner Goller: Was verschweigt die Schulmedizin? (‘What Does Conventional Medicine Conceal?’), 2009, p. 17</w:t>
      </w:r>
    </w:p>
    <w:p>
      <w:pPr>
        <w:pStyle w:val="BodyText"/>
        <w:rPr>
          <w:sz w:val="20"/>
        </w:rPr>
      </w:pPr>
    </w:p>
    <w:p>
      <w:pPr>
        <w:pStyle w:val="BodyText"/>
        <w:rPr>
          <w:sz w:val="20"/>
        </w:rPr>
      </w:pPr>
    </w:p>
    <w:p>
      <w:pPr>
        <w:pStyle w:val="BodyText"/>
        <w:spacing w:before="9"/>
        <w:rPr>
          <w:sz w:val="19"/>
        </w:rPr>
      </w:pPr>
      <w:r>
        <w:rPr/>
        <w:drawing>
          <wp:anchor distT="0" distB="0" distL="0" distR="0" allowOverlap="1" layoutInCell="1" locked="0" behindDoc="0" simplePos="0" relativeHeight="14120">
            <wp:simplePos x="0" y="0"/>
            <wp:positionH relativeFrom="page">
              <wp:posOffset>985998</wp:posOffset>
            </wp:positionH>
            <wp:positionV relativeFrom="paragraph">
              <wp:posOffset>166738</wp:posOffset>
            </wp:positionV>
            <wp:extent cx="6340974" cy="896874"/>
            <wp:effectExtent l="0" t="0" r="0" b="0"/>
            <wp:wrapTopAndBottom/>
            <wp:docPr id="679" name="image2.jpeg" descr=""/>
            <wp:cNvGraphicFramePr>
              <a:graphicFrameLocks noChangeAspect="1"/>
            </wp:cNvGraphicFramePr>
            <a:graphic>
              <a:graphicData uri="http://schemas.openxmlformats.org/drawingml/2006/picture">
                <pic:pic>
                  <pic:nvPicPr>
                    <pic:cNvPr id="680" name="image2.jpeg"/>
                    <pic:cNvPicPr/>
                  </pic:nvPicPr>
                  <pic:blipFill>
                    <a:blip r:embed="rId21" cstate="print"/>
                    <a:stretch>
                      <a:fillRect/>
                    </a:stretch>
                  </pic:blipFill>
                  <pic:spPr>
                    <a:xfrm>
                      <a:off x="0" y="0"/>
                      <a:ext cx="6340974" cy="896874"/>
                    </a:xfrm>
                    <a:prstGeom prst="rect">
                      <a:avLst/>
                    </a:prstGeom>
                  </pic:spPr>
                </pic:pic>
              </a:graphicData>
            </a:graphic>
          </wp:anchor>
        </w:drawing>
      </w:r>
    </w:p>
    <w:p>
      <w:pPr>
        <w:spacing w:after="0"/>
        <w:rPr>
          <w:sz w:val="19"/>
        </w:rPr>
        <w:sectPr>
          <w:pgSz w:w="14270" w:h="16850"/>
          <w:pgMar w:header="0" w:footer="527" w:top="1340" w:bottom="720" w:left="800" w:right="1280"/>
        </w:sectPr>
      </w:pPr>
    </w:p>
    <w:p>
      <w:pPr>
        <w:pStyle w:val="BodyText"/>
        <w:spacing w:before="72"/>
        <w:ind w:left="616"/>
        <w:rPr>
          <w:sz w:val="25"/>
        </w:rPr>
      </w:pPr>
      <w:r>
        <w:rPr/>
        <w:t>consumed, the fewer wrinkles they had.</w:t>
      </w:r>
      <w:r>
        <w:rPr>
          <w:position w:val="9"/>
          <w:sz w:val="25"/>
        </w:rPr>
        <w:t>1021</w:t>
      </w:r>
    </w:p>
    <w:p>
      <w:pPr>
        <w:pStyle w:val="Heading2"/>
        <w:spacing w:before="307"/>
        <w:ind w:left="616"/>
      </w:pPr>
      <w:r>
        <w:rPr/>
        <w:t>VITAMIN C AGAINST DEPRESSION</w:t>
      </w:r>
    </w:p>
    <w:p>
      <w:pPr>
        <w:pStyle w:val="BodyText"/>
        <w:spacing w:line="276" w:lineRule="auto" w:before="302"/>
        <w:ind w:left="616" w:right="132"/>
        <w:jc w:val="both"/>
        <w:rPr>
          <w:sz w:val="25"/>
        </w:rPr>
      </w:pPr>
      <w:r>
        <w:rPr/>
        <w:t>Due to its molecular structure, vitamin C is able to overcome the blood-brain barrier</w:t>
      </w:r>
      <w:r>
        <w:rPr>
          <w:spacing w:val="-19"/>
        </w:rPr>
        <w:t> </w:t>
      </w:r>
      <w:r>
        <w:rPr/>
        <w:t>and</w:t>
      </w:r>
      <w:r>
        <w:rPr>
          <w:spacing w:val="-19"/>
        </w:rPr>
        <w:t> </w:t>
      </w:r>
      <w:r>
        <w:rPr/>
        <w:t>prevent</w:t>
      </w:r>
      <w:r>
        <w:rPr>
          <w:spacing w:val="-19"/>
        </w:rPr>
        <w:t> </w:t>
      </w:r>
      <w:r>
        <w:rPr/>
        <w:t>depression</w:t>
      </w:r>
      <w:r>
        <w:rPr>
          <w:spacing w:val="-16"/>
        </w:rPr>
        <w:t> </w:t>
      </w:r>
      <w:r>
        <w:rPr/>
        <w:t>through</w:t>
      </w:r>
      <w:r>
        <w:rPr>
          <w:spacing w:val="-19"/>
        </w:rPr>
        <w:t> </w:t>
      </w:r>
      <w:r>
        <w:rPr/>
        <w:t>optimum</w:t>
      </w:r>
      <w:r>
        <w:rPr>
          <w:spacing w:val="-19"/>
        </w:rPr>
        <w:t> </w:t>
      </w:r>
      <w:r>
        <w:rPr/>
        <w:t>calcium</w:t>
      </w:r>
      <w:r>
        <w:rPr>
          <w:spacing w:val="-20"/>
        </w:rPr>
        <w:t> </w:t>
      </w:r>
      <w:r>
        <w:rPr/>
        <w:t>conversion.</w:t>
      </w:r>
      <w:r>
        <w:rPr>
          <w:spacing w:val="-19"/>
        </w:rPr>
        <w:t> </w:t>
      </w:r>
      <w:r>
        <w:rPr/>
        <w:t>Calcium in turn has a direct influence on neurotransmitters (messenger</w:t>
      </w:r>
      <w:r>
        <w:rPr>
          <w:spacing w:val="-47"/>
        </w:rPr>
        <w:t> </w:t>
      </w:r>
      <w:r>
        <w:rPr/>
        <w:t>substances).</w:t>
      </w:r>
      <w:r>
        <w:rPr>
          <w:position w:val="9"/>
          <w:sz w:val="25"/>
        </w:rPr>
        <w:t>1022</w:t>
      </w:r>
    </w:p>
    <w:p>
      <w:pPr>
        <w:pStyle w:val="BodyText"/>
        <w:spacing w:line="276" w:lineRule="auto" w:before="241"/>
        <w:ind w:left="616" w:right="132"/>
        <w:jc w:val="both"/>
        <w:rPr>
          <w:sz w:val="25"/>
        </w:rPr>
      </w:pPr>
      <w:r>
        <w:rPr/>
        <w:t>Conversely, even a slight vitamin C deficiency can cause chronic depression, irritability and fatigue.</w:t>
      </w:r>
      <w:r>
        <w:rPr>
          <w:position w:val="9"/>
          <w:sz w:val="25"/>
        </w:rPr>
        <w:t>1023</w:t>
      </w:r>
    </w:p>
    <w:p>
      <w:pPr>
        <w:pStyle w:val="Heading2"/>
        <w:spacing w:line="276" w:lineRule="auto" w:before="241"/>
        <w:ind w:left="616" w:right="135"/>
        <w:jc w:val="both"/>
      </w:pPr>
      <w:r>
        <w:rPr/>
        <w:t>VITAMIN C AGIANST INFLAMMATION (arthritis, bronchitis, neu- rodermitis, periodontitis, meningitis)</w:t>
      </w:r>
    </w:p>
    <w:p>
      <w:pPr>
        <w:pStyle w:val="BodyText"/>
        <w:spacing w:line="276" w:lineRule="auto" w:before="239"/>
        <w:ind w:left="616" w:right="128"/>
        <w:jc w:val="both"/>
      </w:pPr>
      <w:r>
        <w:rPr/>
        <w:t>Oxidation (free radicals) play the decisive role in all inflammations which end in ‘itis’ or ‘is’. As vitamin C (and OPC) are some of the most effective free radical</w:t>
      </w:r>
      <w:r>
        <w:rPr>
          <w:spacing w:val="-15"/>
        </w:rPr>
        <w:t> </w:t>
      </w:r>
      <w:r>
        <w:rPr/>
        <w:t>catchers</w:t>
      </w:r>
      <w:r>
        <w:rPr>
          <w:spacing w:val="-12"/>
        </w:rPr>
        <w:t> </w:t>
      </w:r>
      <w:r>
        <w:rPr/>
        <w:t>(antioxidants),</w:t>
      </w:r>
      <w:r>
        <w:rPr>
          <w:spacing w:val="-12"/>
        </w:rPr>
        <w:t> </w:t>
      </w:r>
      <w:r>
        <w:rPr/>
        <w:t>it</w:t>
      </w:r>
      <w:r>
        <w:rPr>
          <w:spacing w:val="-14"/>
        </w:rPr>
        <w:t> </w:t>
      </w:r>
      <w:r>
        <w:rPr/>
        <w:t>is</w:t>
      </w:r>
      <w:r>
        <w:rPr>
          <w:spacing w:val="-13"/>
        </w:rPr>
        <w:t> </w:t>
      </w:r>
      <w:r>
        <w:rPr/>
        <w:t>no</w:t>
      </w:r>
      <w:r>
        <w:rPr>
          <w:spacing w:val="-16"/>
        </w:rPr>
        <w:t> </w:t>
      </w:r>
      <w:r>
        <w:rPr/>
        <w:t>surprise</w:t>
      </w:r>
      <w:r>
        <w:rPr>
          <w:spacing w:val="-12"/>
        </w:rPr>
        <w:t> </w:t>
      </w:r>
      <w:r>
        <w:rPr/>
        <w:t>that</w:t>
      </w:r>
      <w:r>
        <w:rPr>
          <w:spacing w:val="-13"/>
        </w:rPr>
        <w:t> </w:t>
      </w:r>
      <w:r>
        <w:rPr/>
        <w:t>they</w:t>
      </w:r>
      <w:r>
        <w:rPr>
          <w:spacing w:val="-14"/>
        </w:rPr>
        <w:t> </w:t>
      </w:r>
      <w:r>
        <w:rPr/>
        <w:t>are</w:t>
      </w:r>
      <w:r>
        <w:rPr>
          <w:spacing w:val="-13"/>
        </w:rPr>
        <w:t> </w:t>
      </w:r>
      <w:r>
        <w:rPr/>
        <w:t>able</w:t>
      </w:r>
      <w:r>
        <w:rPr>
          <w:spacing w:val="-15"/>
        </w:rPr>
        <w:t> </w:t>
      </w:r>
      <w:r>
        <w:rPr/>
        <w:t>to</w:t>
      </w:r>
      <w:r>
        <w:rPr>
          <w:spacing w:val="-15"/>
        </w:rPr>
        <w:t> </w:t>
      </w:r>
      <w:r>
        <w:rPr/>
        <w:t>prevent</w:t>
      </w:r>
      <w:r>
        <w:rPr>
          <w:spacing w:val="-15"/>
        </w:rPr>
        <w:t> </w:t>
      </w:r>
      <w:r>
        <w:rPr/>
        <w:t>the occurrence of inflammatory diseases in the appropriate</w:t>
      </w:r>
      <w:r>
        <w:rPr>
          <w:spacing w:val="-3"/>
        </w:rPr>
        <w:t> </w:t>
      </w:r>
      <w:r>
        <w:rPr/>
        <w:t>amounts.</w:t>
      </w:r>
    </w:p>
    <w:p>
      <w:pPr>
        <w:pStyle w:val="BodyText"/>
        <w:spacing w:line="276" w:lineRule="auto" w:before="239"/>
        <w:ind w:left="616" w:right="134"/>
        <w:jc w:val="both"/>
        <w:rPr>
          <w:sz w:val="25"/>
        </w:rPr>
      </w:pPr>
      <w:r>
        <w:rPr/>
        <w:t>Vitamin C can reduce inflammation, fever and pain through the synthesis of PGE</w:t>
      </w:r>
      <w:r>
        <w:rPr>
          <w:spacing w:val="-20"/>
        </w:rPr>
        <w:t> </w:t>
      </w:r>
      <w:r>
        <w:rPr/>
        <w:t>1</w:t>
      </w:r>
      <w:r>
        <w:rPr>
          <w:spacing w:val="-22"/>
        </w:rPr>
        <w:t> </w:t>
      </w:r>
      <w:r>
        <w:rPr/>
        <w:t>(prostaglandin)</w:t>
      </w:r>
      <w:r>
        <w:rPr>
          <w:spacing w:val="-21"/>
        </w:rPr>
        <w:t> </w:t>
      </w:r>
      <w:r>
        <w:rPr/>
        <w:t>which</w:t>
      </w:r>
      <w:r>
        <w:rPr>
          <w:spacing w:val="-20"/>
        </w:rPr>
        <w:t> </w:t>
      </w:r>
      <w:r>
        <w:rPr/>
        <w:t>has</w:t>
      </w:r>
      <w:r>
        <w:rPr>
          <w:spacing w:val="-22"/>
        </w:rPr>
        <w:t> </w:t>
      </w:r>
      <w:r>
        <w:rPr/>
        <w:t>an</w:t>
      </w:r>
      <w:r>
        <w:rPr>
          <w:spacing w:val="-21"/>
        </w:rPr>
        <w:t> </w:t>
      </w:r>
      <w:r>
        <w:rPr/>
        <w:t>influence</w:t>
      </w:r>
      <w:r>
        <w:rPr>
          <w:spacing w:val="-22"/>
        </w:rPr>
        <w:t> </w:t>
      </w:r>
      <w:r>
        <w:rPr/>
        <w:t>on</w:t>
      </w:r>
      <w:r>
        <w:rPr>
          <w:spacing w:val="-25"/>
        </w:rPr>
        <w:t> </w:t>
      </w:r>
      <w:r>
        <w:rPr/>
        <w:t>the</w:t>
      </w:r>
      <w:r>
        <w:rPr>
          <w:spacing w:val="-19"/>
        </w:rPr>
        <w:t> </w:t>
      </w:r>
      <w:r>
        <w:rPr/>
        <w:t>regulation</w:t>
      </w:r>
      <w:r>
        <w:rPr>
          <w:spacing w:val="-21"/>
        </w:rPr>
        <w:t> </w:t>
      </w:r>
      <w:r>
        <w:rPr/>
        <w:t>of</w:t>
      </w:r>
      <w:r>
        <w:rPr>
          <w:spacing w:val="-22"/>
        </w:rPr>
        <w:t> </w:t>
      </w:r>
      <w:r>
        <w:rPr/>
        <w:t>the</w:t>
      </w:r>
      <w:r>
        <w:rPr>
          <w:spacing w:val="-23"/>
        </w:rPr>
        <w:t> </w:t>
      </w:r>
      <w:r>
        <w:rPr/>
        <w:t>immune system.</w:t>
      </w:r>
      <w:r>
        <w:rPr>
          <w:position w:val="9"/>
          <w:sz w:val="25"/>
        </w:rPr>
        <w:t>1024</w:t>
      </w:r>
    </w:p>
    <w:p>
      <w:pPr>
        <w:pStyle w:val="Heading2"/>
        <w:spacing w:before="241"/>
        <w:ind w:left="616"/>
        <w:jc w:val="both"/>
      </w:pPr>
      <w:r>
        <w:rPr/>
        <w:t>VITAMIN C FOR COLDS:</w:t>
      </w:r>
    </w:p>
    <w:p>
      <w:pPr>
        <w:pStyle w:val="BodyText"/>
        <w:spacing w:before="305"/>
        <w:ind w:left="616"/>
        <w:jc w:val="both"/>
      </w:pPr>
      <w:r>
        <w:rPr/>
        <w:t>In a double-blind study of 279 participants at a ski resort, it was determined</w:t>
      </w:r>
    </w:p>
    <w:p>
      <w:pPr>
        <w:pStyle w:val="BodyText"/>
        <w:rPr>
          <w:sz w:val="20"/>
        </w:rPr>
      </w:pPr>
    </w:p>
    <w:p>
      <w:pPr>
        <w:pStyle w:val="BodyText"/>
        <w:rPr>
          <w:sz w:val="20"/>
        </w:rPr>
      </w:pPr>
    </w:p>
    <w:p>
      <w:pPr>
        <w:pStyle w:val="BodyText"/>
        <w:spacing w:before="2"/>
        <w:rPr>
          <w:sz w:val="15"/>
        </w:rPr>
      </w:pPr>
      <w:r>
        <w:rPr/>
        <w:pict>
          <v:line style="position:absolute;mso-position-horizontal-relative:page;mso-position-vertical-relative:paragraph;z-index:14144;mso-wrap-distance-left:0;mso-wrap-distance-right:0" from="70.823997pt,10.932515pt" to="214.843997pt,10.932515pt" stroked="true" strokeweight=".71997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1021 </w:t>
      </w:r>
      <w:r>
        <w:rPr>
          <w:sz w:val="20"/>
        </w:rPr>
        <w:t>Source: Natur&amp;Gesund</w:t>
      </w:r>
    </w:p>
    <w:p>
      <w:pPr>
        <w:spacing w:before="94"/>
        <w:ind w:left="616" w:right="0" w:firstLine="0"/>
        <w:jc w:val="left"/>
        <w:rPr>
          <w:sz w:val="20"/>
        </w:rPr>
      </w:pPr>
      <w:r>
        <w:rPr>
          <w:position w:val="5"/>
          <w:sz w:val="13"/>
        </w:rPr>
        <w:t>1022 </w:t>
      </w:r>
      <w:r>
        <w:rPr>
          <w:sz w:val="20"/>
        </w:rPr>
        <w:t>Werner Goller: Was verschweigt die Schulmedizin? (‘What Does Conventional Medicine Conceal?’), 2009, p. 18</w:t>
      </w:r>
    </w:p>
    <w:p>
      <w:pPr>
        <w:spacing w:before="95"/>
        <w:ind w:left="616" w:right="0" w:firstLine="0"/>
        <w:jc w:val="left"/>
        <w:rPr>
          <w:sz w:val="20"/>
        </w:rPr>
      </w:pPr>
      <w:r>
        <w:rPr>
          <w:position w:val="5"/>
          <w:sz w:val="13"/>
        </w:rPr>
        <w:t>1023 </w:t>
      </w:r>
      <w:hyperlink r:id="rId275">
        <w:r>
          <w:rPr>
            <w:sz w:val="20"/>
          </w:rPr>
          <w:t>http://focus-blog.pharmxplorer.at/2009/08/orthomolekulare-medizin-zusammenhange-zwischen-mikronahrstoffen-und-depression/</w:t>
        </w:r>
      </w:hyperlink>
    </w:p>
    <w:p>
      <w:pPr>
        <w:spacing w:line="276" w:lineRule="auto" w:before="94"/>
        <w:ind w:left="616" w:right="244" w:firstLine="0"/>
        <w:jc w:val="left"/>
        <w:rPr>
          <w:sz w:val="20"/>
        </w:rPr>
      </w:pPr>
      <w:r>
        <w:rPr>
          <w:position w:val="5"/>
          <w:sz w:val="13"/>
        </w:rPr>
        <w:t>1024 </w:t>
      </w:r>
      <w:r>
        <w:rPr>
          <w:sz w:val="20"/>
        </w:rPr>
        <w:t>Horrobin D. F. et al.: The regulation of prostaglandin E1 formation: A candidate for one of the fundamental mechanisms involved in the ac- tions of vitamin C. Medical Hypotheses 1979; 5, pp. 849–858</w:t>
      </w:r>
    </w:p>
    <w:p>
      <w:pPr>
        <w:spacing w:after="0" w:line="276" w:lineRule="auto"/>
        <w:jc w:val="left"/>
        <w:rPr>
          <w:sz w:val="20"/>
        </w:rPr>
        <w:sectPr>
          <w:footerReference w:type="default" r:id="rId469"/>
          <w:pgSz w:w="14270" w:h="16850"/>
          <w:pgMar w:footer="1984" w:header="0" w:top="1340" w:bottom="2180" w:left="800" w:right="1280"/>
          <w:pgNumType w:start="1763"/>
        </w:sectPr>
      </w:pPr>
    </w:p>
    <w:p>
      <w:pPr>
        <w:pStyle w:val="BodyText"/>
        <w:spacing w:line="276" w:lineRule="auto" w:before="72"/>
        <w:ind w:left="616" w:right="133"/>
        <w:jc w:val="both"/>
        <w:rPr>
          <w:sz w:val="25"/>
        </w:rPr>
      </w:pPr>
      <w:r>
        <w:rPr/>
        <w:t>that</w:t>
      </w:r>
      <w:r>
        <w:rPr>
          <w:spacing w:val="-11"/>
        </w:rPr>
        <w:t> </w:t>
      </w:r>
      <w:r>
        <w:rPr/>
        <w:t>1</w:t>
      </w:r>
      <w:r>
        <w:rPr>
          <w:spacing w:val="-11"/>
        </w:rPr>
        <w:t> </w:t>
      </w:r>
      <w:r>
        <w:rPr/>
        <w:t>g</w:t>
      </w:r>
      <w:r>
        <w:rPr>
          <w:spacing w:val="-10"/>
        </w:rPr>
        <w:t> </w:t>
      </w:r>
      <w:r>
        <w:rPr/>
        <w:t>of</w:t>
      </w:r>
      <w:r>
        <w:rPr>
          <w:spacing w:val="-10"/>
        </w:rPr>
        <w:t> </w:t>
      </w:r>
      <w:r>
        <w:rPr/>
        <w:t>vitamin</w:t>
      </w:r>
      <w:r>
        <w:rPr>
          <w:spacing w:val="-10"/>
        </w:rPr>
        <w:t> </w:t>
      </w:r>
      <w:r>
        <w:rPr/>
        <w:t>C</w:t>
      </w:r>
      <w:r>
        <w:rPr>
          <w:spacing w:val="-12"/>
        </w:rPr>
        <w:t> </w:t>
      </w:r>
      <w:r>
        <w:rPr/>
        <w:t>per</w:t>
      </w:r>
      <w:r>
        <w:rPr>
          <w:spacing w:val="-11"/>
        </w:rPr>
        <w:t> </w:t>
      </w:r>
      <w:r>
        <w:rPr/>
        <w:t>day</w:t>
      </w:r>
      <w:r>
        <w:rPr>
          <w:spacing w:val="-11"/>
        </w:rPr>
        <w:t> </w:t>
      </w:r>
      <w:r>
        <w:rPr/>
        <w:t>led</w:t>
      </w:r>
      <w:r>
        <w:rPr>
          <w:spacing w:val="-13"/>
        </w:rPr>
        <w:t> </w:t>
      </w:r>
      <w:r>
        <w:rPr/>
        <w:t>to</w:t>
      </w:r>
      <w:r>
        <w:rPr>
          <w:spacing w:val="-10"/>
        </w:rPr>
        <w:t> </w:t>
      </w:r>
      <w:r>
        <w:rPr/>
        <w:t>30</w:t>
      </w:r>
      <w:r>
        <w:rPr>
          <w:spacing w:val="-11"/>
        </w:rPr>
        <w:t> </w:t>
      </w:r>
      <w:r>
        <w:rPr/>
        <w:t>%</w:t>
      </w:r>
      <w:r>
        <w:rPr>
          <w:spacing w:val="-11"/>
        </w:rPr>
        <w:t> </w:t>
      </w:r>
      <w:r>
        <w:rPr/>
        <w:t>fewer</w:t>
      </w:r>
      <w:r>
        <w:rPr>
          <w:spacing w:val="-10"/>
        </w:rPr>
        <w:t> </w:t>
      </w:r>
      <w:r>
        <w:rPr/>
        <w:t>colds</w:t>
      </w:r>
      <w:r>
        <w:rPr>
          <w:spacing w:val="-10"/>
        </w:rPr>
        <w:t> </w:t>
      </w:r>
      <w:r>
        <w:rPr/>
        <w:t>than</w:t>
      </w:r>
      <w:r>
        <w:rPr>
          <w:spacing w:val="-10"/>
        </w:rPr>
        <w:t> </w:t>
      </w:r>
      <w:r>
        <w:rPr/>
        <w:t>in</w:t>
      </w:r>
      <w:r>
        <w:rPr>
          <w:spacing w:val="-11"/>
        </w:rPr>
        <w:t> </w:t>
      </w:r>
      <w:r>
        <w:rPr/>
        <w:t>the</w:t>
      </w:r>
      <w:r>
        <w:rPr>
          <w:spacing w:val="-15"/>
        </w:rPr>
        <w:t> </w:t>
      </w:r>
      <w:r>
        <w:rPr/>
        <w:t>control</w:t>
      </w:r>
      <w:r>
        <w:rPr>
          <w:spacing w:val="-10"/>
        </w:rPr>
        <w:t> </w:t>
      </w:r>
      <w:r>
        <w:rPr/>
        <w:t>group without vitamin C.</w:t>
      </w:r>
      <w:r>
        <w:rPr>
          <w:position w:val="9"/>
          <w:sz w:val="25"/>
        </w:rPr>
        <w:t>1025 </w:t>
      </w:r>
      <w:r>
        <w:rPr/>
        <w:t>Studies have shown that the vitamin C concentration falls</w:t>
      </w:r>
      <w:r>
        <w:rPr>
          <w:spacing w:val="-6"/>
        </w:rPr>
        <w:t> </w:t>
      </w:r>
      <w:r>
        <w:rPr/>
        <w:t>by</w:t>
      </w:r>
      <w:r>
        <w:rPr>
          <w:spacing w:val="-4"/>
        </w:rPr>
        <w:t> </w:t>
      </w:r>
      <w:r>
        <w:rPr/>
        <w:t>up</w:t>
      </w:r>
      <w:r>
        <w:rPr>
          <w:spacing w:val="-6"/>
        </w:rPr>
        <w:t> </w:t>
      </w:r>
      <w:r>
        <w:rPr/>
        <w:t>to</w:t>
      </w:r>
      <w:r>
        <w:rPr>
          <w:spacing w:val="-4"/>
        </w:rPr>
        <w:t> </w:t>
      </w:r>
      <w:r>
        <w:rPr/>
        <w:t>50</w:t>
      </w:r>
      <w:r>
        <w:rPr>
          <w:spacing w:val="-3"/>
        </w:rPr>
        <w:t> </w:t>
      </w:r>
      <w:r>
        <w:rPr/>
        <w:t>%</w:t>
      </w:r>
      <w:r>
        <w:rPr>
          <w:spacing w:val="-6"/>
        </w:rPr>
        <w:t> </w:t>
      </w:r>
      <w:r>
        <w:rPr/>
        <w:t>during</w:t>
      </w:r>
      <w:r>
        <w:rPr>
          <w:spacing w:val="-4"/>
        </w:rPr>
        <w:t> </w:t>
      </w:r>
      <w:r>
        <w:rPr/>
        <w:t>the</w:t>
      </w:r>
      <w:r>
        <w:rPr>
          <w:spacing w:val="-4"/>
        </w:rPr>
        <w:t> </w:t>
      </w:r>
      <w:r>
        <w:rPr/>
        <w:t>first</w:t>
      </w:r>
      <w:r>
        <w:rPr>
          <w:spacing w:val="-6"/>
        </w:rPr>
        <w:t> </w:t>
      </w:r>
      <w:r>
        <w:rPr/>
        <w:t>two</w:t>
      </w:r>
      <w:r>
        <w:rPr>
          <w:spacing w:val="-5"/>
        </w:rPr>
        <w:t> </w:t>
      </w:r>
      <w:r>
        <w:rPr/>
        <w:t>days</w:t>
      </w:r>
      <w:r>
        <w:rPr>
          <w:spacing w:val="-5"/>
        </w:rPr>
        <w:t> </w:t>
      </w:r>
      <w:r>
        <w:rPr/>
        <w:t>of</w:t>
      </w:r>
      <w:r>
        <w:rPr>
          <w:spacing w:val="-6"/>
        </w:rPr>
        <w:t> </w:t>
      </w:r>
      <w:r>
        <w:rPr/>
        <w:t>a</w:t>
      </w:r>
      <w:r>
        <w:rPr>
          <w:spacing w:val="-3"/>
        </w:rPr>
        <w:t> </w:t>
      </w:r>
      <w:r>
        <w:rPr/>
        <w:t>cold</w:t>
      </w:r>
      <w:r>
        <w:rPr>
          <w:spacing w:val="-6"/>
        </w:rPr>
        <w:t> </w:t>
      </w:r>
      <w:r>
        <w:rPr/>
        <w:t>–</w:t>
      </w:r>
      <w:r>
        <w:rPr>
          <w:spacing w:val="-5"/>
        </w:rPr>
        <w:t> </w:t>
      </w:r>
      <w:r>
        <w:rPr/>
        <w:t>a</w:t>
      </w:r>
      <w:r>
        <w:rPr>
          <w:spacing w:val="-6"/>
        </w:rPr>
        <w:t> </w:t>
      </w:r>
      <w:r>
        <w:rPr/>
        <w:t>status</w:t>
      </w:r>
      <w:r>
        <w:rPr>
          <w:spacing w:val="-6"/>
        </w:rPr>
        <w:t> </w:t>
      </w:r>
      <w:r>
        <w:rPr/>
        <w:t>that</w:t>
      </w:r>
      <w:r>
        <w:rPr>
          <w:spacing w:val="-5"/>
        </w:rPr>
        <w:t> </w:t>
      </w:r>
      <w:r>
        <w:rPr/>
        <w:t>should</w:t>
      </w:r>
      <w:r>
        <w:rPr>
          <w:spacing w:val="-6"/>
        </w:rPr>
        <w:t> </w:t>
      </w:r>
      <w:r>
        <w:rPr/>
        <w:t>be addressed as quickly as possible with a high dose of vitamins! A study of 112 soldiers showed that the number of colds fell by 68 % with the</w:t>
      </w:r>
      <w:r>
        <w:rPr>
          <w:spacing w:val="-64"/>
        </w:rPr>
        <w:t> </w:t>
      </w:r>
      <w:r>
        <w:rPr/>
        <w:t>administration of</w:t>
      </w:r>
      <w:r>
        <w:rPr>
          <w:spacing w:val="-22"/>
        </w:rPr>
        <w:t> </w:t>
      </w:r>
      <w:r>
        <w:rPr/>
        <w:t>1</w:t>
      </w:r>
      <w:r>
        <w:rPr>
          <w:spacing w:val="-23"/>
        </w:rPr>
        <w:t> </w:t>
      </w:r>
      <w:r>
        <w:rPr/>
        <w:t>g</w:t>
      </w:r>
      <w:r>
        <w:rPr>
          <w:spacing w:val="-21"/>
        </w:rPr>
        <w:t> </w:t>
      </w:r>
      <w:r>
        <w:rPr/>
        <w:t>of</w:t>
      </w:r>
      <w:r>
        <w:rPr>
          <w:spacing w:val="-22"/>
        </w:rPr>
        <w:t> </w:t>
      </w:r>
      <w:r>
        <w:rPr/>
        <w:t>vitamin</w:t>
      </w:r>
      <w:r>
        <w:rPr>
          <w:spacing w:val="-21"/>
        </w:rPr>
        <w:t> </w:t>
      </w:r>
      <w:r>
        <w:rPr/>
        <w:t>C</w:t>
      </w:r>
      <w:r>
        <w:rPr>
          <w:spacing w:val="-24"/>
        </w:rPr>
        <w:t> </w:t>
      </w:r>
      <w:r>
        <w:rPr/>
        <w:t>per</w:t>
      </w:r>
      <w:r>
        <w:rPr>
          <w:spacing w:val="-21"/>
        </w:rPr>
        <w:t> </w:t>
      </w:r>
      <w:r>
        <w:rPr/>
        <w:t>day.</w:t>
      </w:r>
      <w:r>
        <w:rPr>
          <w:position w:val="9"/>
          <w:sz w:val="25"/>
        </w:rPr>
        <w:t>1026</w:t>
      </w:r>
      <w:r>
        <w:rPr>
          <w:spacing w:val="31"/>
          <w:position w:val="9"/>
          <w:sz w:val="25"/>
        </w:rPr>
        <w:t> </w:t>
      </w:r>
      <w:r>
        <w:rPr/>
        <w:t>A</w:t>
      </w:r>
      <w:r>
        <w:rPr>
          <w:spacing w:val="-22"/>
        </w:rPr>
        <w:t> </w:t>
      </w:r>
      <w:r>
        <w:rPr/>
        <w:t>further</w:t>
      </w:r>
      <w:r>
        <w:rPr>
          <w:spacing w:val="-21"/>
        </w:rPr>
        <w:t> </w:t>
      </w:r>
      <w:r>
        <w:rPr/>
        <w:t>study</w:t>
      </w:r>
      <w:r>
        <w:rPr>
          <w:spacing w:val="-23"/>
        </w:rPr>
        <w:t> </w:t>
      </w:r>
      <w:r>
        <w:rPr/>
        <w:t>proved</w:t>
      </w:r>
      <w:r>
        <w:rPr>
          <w:spacing w:val="-21"/>
        </w:rPr>
        <w:t> </w:t>
      </w:r>
      <w:r>
        <w:rPr/>
        <w:t>that</w:t>
      </w:r>
      <w:r>
        <w:rPr>
          <w:spacing w:val="-23"/>
        </w:rPr>
        <w:t> </w:t>
      </w:r>
      <w:r>
        <w:rPr/>
        <w:t>vitamin</w:t>
      </w:r>
      <w:r>
        <w:rPr>
          <w:spacing w:val="-19"/>
        </w:rPr>
        <w:t> </w:t>
      </w:r>
      <w:r>
        <w:rPr/>
        <w:t>C</w:t>
      </w:r>
      <w:r>
        <w:rPr>
          <w:spacing w:val="-22"/>
        </w:rPr>
        <w:t> </w:t>
      </w:r>
      <w:r>
        <w:rPr/>
        <w:t>in</w:t>
      </w:r>
      <w:r>
        <w:rPr>
          <w:spacing w:val="-22"/>
        </w:rPr>
        <w:t> </w:t>
      </w:r>
      <w:r>
        <w:rPr/>
        <w:t>general reduced the frequency of infection by 50</w:t>
      </w:r>
      <w:r>
        <w:rPr>
          <w:spacing w:val="1"/>
        </w:rPr>
        <w:t> </w:t>
      </w:r>
      <w:r>
        <w:rPr/>
        <w:t>%.</w:t>
      </w:r>
      <w:r>
        <w:rPr>
          <w:position w:val="9"/>
          <w:sz w:val="25"/>
        </w:rPr>
        <w:t>1027</w:t>
      </w:r>
    </w:p>
    <w:p>
      <w:pPr>
        <w:pStyle w:val="Heading1"/>
        <w:spacing w:line="261" w:lineRule="auto" w:before="226"/>
        <w:ind w:left="616" w:right="145"/>
        <w:jc w:val="both"/>
      </w:pPr>
      <w:r>
        <w:rPr/>
        <w:t>How</w:t>
      </w:r>
      <w:r>
        <w:rPr>
          <w:spacing w:val="-39"/>
        </w:rPr>
        <w:t> </w:t>
      </w:r>
      <w:r>
        <w:rPr/>
        <w:t>can</w:t>
      </w:r>
      <w:r>
        <w:rPr>
          <w:spacing w:val="-40"/>
        </w:rPr>
        <w:t> </w:t>
      </w:r>
      <w:r>
        <w:rPr/>
        <w:t>vitamin</w:t>
      </w:r>
      <w:r>
        <w:rPr>
          <w:spacing w:val="-39"/>
        </w:rPr>
        <w:t> </w:t>
      </w:r>
      <w:r>
        <w:rPr/>
        <w:t>C</w:t>
      </w:r>
      <w:r>
        <w:rPr>
          <w:spacing w:val="-40"/>
        </w:rPr>
        <w:t> </w:t>
      </w:r>
      <w:r>
        <w:rPr/>
        <w:t>be</w:t>
      </w:r>
      <w:r>
        <w:rPr>
          <w:spacing w:val="-40"/>
        </w:rPr>
        <w:t> </w:t>
      </w:r>
      <w:r>
        <w:rPr/>
        <w:t>used</w:t>
      </w:r>
      <w:r>
        <w:rPr>
          <w:spacing w:val="-38"/>
        </w:rPr>
        <w:t> </w:t>
      </w:r>
      <w:r>
        <w:rPr/>
        <w:t>to</w:t>
      </w:r>
      <w:r>
        <w:rPr>
          <w:spacing w:val="-40"/>
        </w:rPr>
        <w:t> </w:t>
      </w:r>
      <w:r>
        <w:rPr/>
        <w:t>stifle</w:t>
      </w:r>
      <w:r>
        <w:rPr>
          <w:spacing w:val="-41"/>
        </w:rPr>
        <w:t> </w:t>
      </w:r>
      <w:r>
        <w:rPr/>
        <w:t>an</w:t>
      </w:r>
      <w:r>
        <w:rPr>
          <w:spacing w:val="-38"/>
        </w:rPr>
        <w:t> </w:t>
      </w:r>
      <w:r>
        <w:rPr/>
        <w:t>emerging</w:t>
      </w:r>
      <w:r>
        <w:rPr>
          <w:spacing w:val="-40"/>
        </w:rPr>
        <w:t> </w:t>
      </w:r>
      <w:r>
        <w:rPr/>
        <w:t>cold</w:t>
      </w:r>
      <w:r>
        <w:rPr>
          <w:spacing w:val="-40"/>
        </w:rPr>
        <w:t> </w:t>
      </w:r>
      <w:r>
        <w:rPr/>
        <w:t>which</w:t>
      </w:r>
      <w:r>
        <w:rPr>
          <w:spacing w:val="-38"/>
        </w:rPr>
        <w:t> </w:t>
      </w:r>
      <w:r>
        <w:rPr/>
        <w:t>is</w:t>
      </w:r>
      <w:r>
        <w:rPr>
          <w:spacing w:val="-41"/>
        </w:rPr>
        <w:t> </w:t>
      </w:r>
      <w:r>
        <w:rPr/>
        <w:t>already taking</w:t>
      </w:r>
      <w:r>
        <w:rPr>
          <w:spacing w:val="-6"/>
        </w:rPr>
        <w:t> </w:t>
      </w:r>
      <w:r>
        <w:rPr/>
        <w:t>hold?</w:t>
      </w:r>
    </w:p>
    <w:p>
      <w:pPr>
        <w:pStyle w:val="BodyText"/>
        <w:spacing w:line="276" w:lineRule="auto" w:before="258"/>
        <w:ind w:left="616" w:right="133"/>
        <w:jc w:val="both"/>
        <w:rPr>
          <w:sz w:val="25"/>
        </w:rPr>
      </w:pPr>
      <w:r>
        <w:rPr/>
        <w:t>According to Dr. Stone, you should take 1.5 to 2 g of vitamin C orally at the first</w:t>
      </w:r>
      <w:r>
        <w:rPr>
          <w:spacing w:val="-12"/>
        </w:rPr>
        <w:t> </w:t>
      </w:r>
      <w:r>
        <w:rPr/>
        <w:t>signs</w:t>
      </w:r>
      <w:r>
        <w:rPr>
          <w:spacing w:val="-12"/>
        </w:rPr>
        <w:t> </w:t>
      </w:r>
      <w:r>
        <w:rPr/>
        <w:t>of</w:t>
      </w:r>
      <w:r>
        <w:rPr>
          <w:spacing w:val="-11"/>
        </w:rPr>
        <w:t> </w:t>
      </w:r>
      <w:r>
        <w:rPr/>
        <w:t>a</w:t>
      </w:r>
      <w:r>
        <w:rPr>
          <w:spacing w:val="-12"/>
        </w:rPr>
        <w:t> </w:t>
      </w:r>
      <w:r>
        <w:rPr/>
        <w:t>cold</w:t>
      </w:r>
      <w:r>
        <w:rPr>
          <w:spacing w:val="-11"/>
        </w:rPr>
        <w:t> </w:t>
      </w:r>
      <w:r>
        <w:rPr/>
        <w:t>and</w:t>
      </w:r>
      <w:r>
        <w:rPr>
          <w:spacing w:val="-11"/>
        </w:rPr>
        <w:t> </w:t>
      </w:r>
      <w:r>
        <w:rPr/>
        <w:t>repeat</w:t>
      </w:r>
      <w:r>
        <w:rPr>
          <w:spacing w:val="-12"/>
        </w:rPr>
        <w:t> </w:t>
      </w:r>
      <w:r>
        <w:rPr/>
        <w:t>this</w:t>
      </w:r>
      <w:r>
        <w:rPr>
          <w:spacing w:val="-11"/>
        </w:rPr>
        <w:t> </w:t>
      </w:r>
      <w:r>
        <w:rPr/>
        <w:t>dose</w:t>
      </w:r>
      <w:r>
        <w:rPr>
          <w:spacing w:val="-10"/>
        </w:rPr>
        <w:t> </w:t>
      </w:r>
      <w:r>
        <w:rPr/>
        <w:t>every</w:t>
      </w:r>
      <w:r>
        <w:rPr>
          <w:spacing w:val="-13"/>
        </w:rPr>
        <w:t> </w:t>
      </w:r>
      <w:r>
        <w:rPr/>
        <w:t>20</w:t>
      </w:r>
      <w:r>
        <w:rPr>
          <w:spacing w:val="-12"/>
        </w:rPr>
        <w:t> </w:t>
      </w:r>
      <w:r>
        <w:rPr/>
        <w:t>to</w:t>
      </w:r>
      <w:r>
        <w:rPr>
          <w:spacing w:val="-10"/>
        </w:rPr>
        <w:t> </w:t>
      </w:r>
      <w:r>
        <w:rPr/>
        <w:t>30</w:t>
      </w:r>
      <w:r>
        <w:rPr>
          <w:spacing w:val="-11"/>
        </w:rPr>
        <w:t> </w:t>
      </w:r>
      <w:r>
        <w:rPr/>
        <w:t>minutes</w:t>
      </w:r>
      <w:r>
        <w:rPr>
          <w:spacing w:val="-14"/>
        </w:rPr>
        <w:t> </w:t>
      </w:r>
      <w:r>
        <w:rPr/>
        <w:t>until</w:t>
      </w:r>
      <w:r>
        <w:rPr>
          <w:spacing w:val="-12"/>
        </w:rPr>
        <w:t> </w:t>
      </w:r>
      <w:r>
        <w:rPr/>
        <w:t>the</w:t>
      </w:r>
      <w:r>
        <w:rPr>
          <w:spacing w:val="-10"/>
        </w:rPr>
        <w:t> </w:t>
      </w:r>
      <w:r>
        <w:rPr/>
        <w:t>symp- toms have disappeared, usually by the third</w:t>
      </w:r>
      <w:r>
        <w:rPr>
          <w:spacing w:val="5"/>
        </w:rPr>
        <w:t> </w:t>
      </w:r>
      <w:r>
        <w:rPr/>
        <w:t>dose.</w:t>
      </w:r>
      <w:r>
        <w:rPr>
          <w:position w:val="9"/>
          <w:sz w:val="25"/>
        </w:rPr>
        <w:t>1028</w:t>
      </w:r>
    </w:p>
    <w:p>
      <w:pPr>
        <w:pStyle w:val="Heading2"/>
        <w:spacing w:before="241"/>
        <w:ind w:left="616"/>
      </w:pPr>
      <w:r>
        <w:rPr/>
        <w:t>HEALING WOUNDS WITH VITAMIN C</w:t>
      </w:r>
    </w:p>
    <w:p>
      <w:pPr>
        <w:pStyle w:val="BodyText"/>
        <w:spacing w:line="276" w:lineRule="auto" w:before="302"/>
        <w:ind w:left="616" w:right="132"/>
        <w:jc w:val="both"/>
        <w:rPr>
          <w:sz w:val="25"/>
        </w:rPr>
      </w:pPr>
      <w:r>
        <w:rPr/>
        <w:t>The</w:t>
      </w:r>
      <w:r>
        <w:rPr>
          <w:spacing w:val="-18"/>
        </w:rPr>
        <w:t> </w:t>
      </w:r>
      <w:r>
        <w:rPr/>
        <w:t>prerequisites</w:t>
      </w:r>
      <w:r>
        <w:rPr>
          <w:spacing w:val="-18"/>
        </w:rPr>
        <w:t> </w:t>
      </w:r>
      <w:r>
        <w:rPr/>
        <w:t>for</w:t>
      </w:r>
      <w:r>
        <w:rPr>
          <w:spacing w:val="-18"/>
        </w:rPr>
        <w:t> </w:t>
      </w:r>
      <w:r>
        <w:rPr/>
        <w:t>fast</w:t>
      </w:r>
      <w:r>
        <w:rPr>
          <w:spacing w:val="-19"/>
        </w:rPr>
        <w:t> </w:t>
      </w:r>
      <w:r>
        <w:rPr/>
        <w:t>wound</w:t>
      </w:r>
      <w:r>
        <w:rPr>
          <w:spacing w:val="-19"/>
        </w:rPr>
        <w:t> </w:t>
      </w:r>
      <w:r>
        <w:rPr/>
        <w:t>healing</w:t>
      </w:r>
      <w:r>
        <w:rPr>
          <w:spacing w:val="-18"/>
        </w:rPr>
        <w:t> </w:t>
      </w:r>
      <w:r>
        <w:rPr/>
        <w:t>are</w:t>
      </w:r>
      <w:r>
        <w:rPr>
          <w:spacing w:val="-19"/>
        </w:rPr>
        <w:t> </w:t>
      </w:r>
      <w:r>
        <w:rPr/>
        <w:t>sufficient</w:t>
      </w:r>
      <w:r>
        <w:rPr>
          <w:spacing w:val="-18"/>
        </w:rPr>
        <w:t> </w:t>
      </w:r>
      <w:r>
        <w:rPr/>
        <w:t>collagen</w:t>
      </w:r>
      <w:r>
        <w:rPr>
          <w:spacing w:val="-18"/>
        </w:rPr>
        <w:t> </w:t>
      </w:r>
      <w:r>
        <w:rPr/>
        <w:t>and</w:t>
      </w:r>
      <w:r>
        <w:rPr>
          <w:spacing w:val="-18"/>
        </w:rPr>
        <w:t> </w:t>
      </w:r>
      <w:r>
        <w:rPr/>
        <w:t>elastin</w:t>
      </w:r>
      <w:r>
        <w:rPr>
          <w:spacing w:val="-18"/>
        </w:rPr>
        <w:t> </w:t>
      </w:r>
      <w:r>
        <w:rPr/>
        <w:t>syn- thesis. As vitamin C (and OPC) are known to be very successful; wounds heal considerably more quickly in connection with vitamin C.</w:t>
      </w:r>
      <w:r>
        <w:rPr>
          <w:position w:val="9"/>
          <w:sz w:val="25"/>
        </w:rPr>
        <w:t>1029</w:t>
      </w:r>
    </w:p>
    <w:p>
      <w:pPr>
        <w:pStyle w:val="Heading2"/>
        <w:spacing w:before="244"/>
        <w:ind w:left="616"/>
        <w:jc w:val="both"/>
      </w:pPr>
      <w:r>
        <w:rPr/>
        <w:t>DIABETES MELLITUS AND VITAMIN C</w:t>
      </w:r>
    </w:p>
    <w:p>
      <w:pPr>
        <w:pStyle w:val="BodyText"/>
        <w:spacing w:before="302"/>
        <w:ind w:left="616"/>
        <w:jc w:val="both"/>
      </w:pPr>
      <w:r>
        <w:rPr/>
        <w:t>As an extremely potent free radical catcher, vitamin C protects the body</w:t>
      </w:r>
      <w:r>
        <w:rPr>
          <w:spacing w:val="94"/>
        </w:rPr>
        <w:t> </w:t>
      </w:r>
      <w:r>
        <w:rPr/>
        <w:t>cells</w:t>
      </w:r>
    </w:p>
    <w:p>
      <w:pPr>
        <w:pStyle w:val="BodyText"/>
        <w:spacing w:before="7"/>
        <w:rPr>
          <w:sz w:val="23"/>
        </w:rPr>
      </w:pPr>
      <w:r>
        <w:rPr/>
        <w:pict>
          <v:line style="position:absolute;mso-position-horizontal-relative:page;mso-position-vertical-relative:paragraph;z-index:14168;mso-wrap-distance-left:0;mso-wrap-distance-right:0" from="70.823997pt,15.648765pt" to="214.843997pt,15.648765pt" stroked="true" strokeweight=".71997pt" strokecolor="#000000">
            <v:stroke dashstyle="solid"/>
            <w10:wrap type="topAndBottom"/>
          </v:line>
        </w:pict>
      </w:r>
    </w:p>
    <w:p>
      <w:pPr>
        <w:pStyle w:val="BodyText"/>
        <w:spacing w:before="7"/>
        <w:rPr>
          <w:sz w:val="18"/>
        </w:rPr>
      </w:pPr>
    </w:p>
    <w:p>
      <w:pPr>
        <w:spacing w:line="276" w:lineRule="auto" w:before="100"/>
        <w:ind w:left="616" w:right="244" w:firstLine="0"/>
        <w:jc w:val="left"/>
        <w:rPr>
          <w:sz w:val="20"/>
        </w:rPr>
      </w:pPr>
      <w:r>
        <w:rPr>
          <w:position w:val="5"/>
          <w:sz w:val="13"/>
        </w:rPr>
        <w:t>1025 </w:t>
      </w:r>
      <w:r>
        <w:rPr>
          <w:sz w:val="20"/>
        </w:rPr>
        <w:t>Ritzel G.: Kritische Beurteilung des Vitamin C als Prophylaktikum und Therapeutikum der Erkältungskrankheiten. Helv. Med. Acta 1961; 28, pp. 63–68</w:t>
      </w:r>
    </w:p>
    <w:p>
      <w:pPr>
        <w:spacing w:line="273" w:lineRule="auto" w:before="61"/>
        <w:ind w:left="616" w:right="0" w:firstLine="0"/>
        <w:jc w:val="left"/>
        <w:rPr>
          <w:sz w:val="20"/>
        </w:rPr>
      </w:pPr>
      <w:r>
        <w:rPr>
          <w:position w:val="5"/>
          <w:sz w:val="13"/>
        </w:rPr>
        <w:t>1026 </w:t>
      </w:r>
      <w:r>
        <w:rPr>
          <w:sz w:val="20"/>
        </w:rPr>
        <w:t>Sabiston B. H. and Radomski N. W.: Health problems and vitamin C in Canadian northern military operations. Defence and Civil Institute of Environmental Medicine Report 1974; 74, p.</w:t>
      </w:r>
      <w:r>
        <w:rPr>
          <w:spacing w:val="-2"/>
          <w:sz w:val="20"/>
        </w:rPr>
        <w:t> </w:t>
      </w:r>
      <w:r>
        <w:rPr>
          <w:sz w:val="20"/>
        </w:rPr>
        <w:t>1021</w:t>
      </w:r>
    </w:p>
    <w:p>
      <w:pPr>
        <w:spacing w:line="276" w:lineRule="auto" w:before="63"/>
        <w:ind w:left="616" w:right="337" w:firstLine="0"/>
        <w:jc w:val="left"/>
        <w:rPr>
          <w:sz w:val="20"/>
        </w:rPr>
      </w:pPr>
      <w:r>
        <w:rPr>
          <w:position w:val="5"/>
          <w:sz w:val="13"/>
        </w:rPr>
        <w:t>1027 </w:t>
      </w:r>
      <w:r>
        <w:rPr>
          <w:sz w:val="20"/>
        </w:rPr>
        <w:t>Sabiston B. H. and Radomski N. W.: Health problems and vitamin C in Canadian northern military operations. Defence and Civil Institute of Environmental Medicine Report 1974; 74, p.</w:t>
      </w:r>
      <w:r>
        <w:rPr>
          <w:spacing w:val="-2"/>
          <w:sz w:val="20"/>
        </w:rPr>
        <w:t> </w:t>
      </w:r>
      <w:r>
        <w:rPr>
          <w:sz w:val="20"/>
        </w:rPr>
        <w:t>1021</w:t>
      </w:r>
    </w:p>
    <w:p>
      <w:pPr>
        <w:spacing w:before="61"/>
        <w:ind w:left="616" w:right="0" w:firstLine="0"/>
        <w:jc w:val="left"/>
        <w:rPr>
          <w:sz w:val="20"/>
        </w:rPr>
      </w:pPr>
      <w:r>
        <w:rPr>
          <w:b/>
          <w:position w:val="5"/>
          <w:sz w:val="13"/>
        </w:rPr>
        <w:t>1028 </w:t>
      </w:r>
      <w:r>
        <w:rPr>
          <w:sz w:val="20"/>
        </w:rPr>
        <w:t>Stone I.: The healing factor: Vitamin C against disease. 1972, Grosset and Dunlap, New York</w:t>
      </w:r>
    </w:p>
    <w:p>
      <w:pPr>
        <w:spacing w:before="94"/>
        <w:ind w:left="616" w:right="0" w:firstLine="0"/>
        <w:jc w:val="left"/>
        <w:rPr>
          <w:sz w:val="20"/>
        </w:rPr>
      </w:pPr>
      <w:r>
        <w:rPr>
          <w:b/>
          <w:position w:val="5"/>
          <w:sz w:val="13"/>
        </w:rPr>
        <w:t>1029 </w:t>
      </w:r>
      <w:r>
        <w:rPr>
          <w:sz w:val="20"/>
        </w:rPr>
        <w:t>Burr R. G. and Rajan K. T.: Leukocyte ascorbic acid and pressure sores in paraplegia. 1972, British Journal of Nutrition 28, pp. 275–281</w:t>
      </w:r>
    </w:p>
    <w:p>
      <w:pPr>
        <w:spacing w:after="0"/>
        <w:jc w:val="left"/>
        <w:rPr>
          <w:sz w:val="20"/>
        </w:rPr>
        <w:sectPr>
          <w:pgSz w:w="14270" w:h="16850"/>
          <w:pgMar w:header="0" w:footer="1984" w:top="1340" w:bottom="2180" w:left="800" w:right="1280"/>
        </w:sectPr>
      </w:pPr>
    </w:p>
    <w:p>
      <w:pPr>
        <w:pStyle w:val="BodyText"/>
        <w:spacing w:line="276" w:lineRule="auto" w:before="72"/>
        <w:ind w:left="616" w:right="135"/>
        <w:jc w:val="both"/>
        <w:rPr>
          <w:sz w:val="25"/>
        </w:rPr>
      </w:pPr>
      <w:r>
        <w:rPr/>
        <w:t>of a diabetic, which are sought out more readily by free radicals. In Diabetes mellitus, the consumption of an appropriate dose of natural vitamin C is</w:t>
      </w:r>
      <w:r>
        <w:rPr>
          <w:spacing w:val="-48"/>
        </w:rPr>
        <w:t> </w:t>
      </w:r>
      <w:r>
        <w:rPr/>
        <w:t>posi- tive in two respects: On one hand, vitamin C considerably reduces the plasma insulin level, reducing the glucose level by 2 x 500 mg a day;</w:t>
      </w:r>
      <w:r>
        <w:rPr>
          <w:position w:val="9"/>
          <w:sz w:val="25"/>
        </w:rPr>
        <w:t>1030 </w:t>
      </w:r>
      <w:r>
        <w:rPr/>
        <w:t>on the other hand, it inhibits the protein saccharification in arteries which leads to vessel destruction in diabetes.</w:t>
      </w:r>
      <w:r>
        <w:rPr>
          <w:position w:val="9"/>
          <w:sz w:val="25"/>
        </w:rPr>
        <w:t>1031 </w:t>
      </w:r>
      <w:r>
        <w:rPr/>
        <w:t>Studies show that vitamin C was also able to coun- teract the eye problems and skin irritation observed in advanced diabetes.</w:t>
      </w:r>
      <w:r>
        <w:rPr>
          <w:spacing w:val="-57"/>
        </w:rPr>
        <w:t> </w:t>
      </w:r>
      <w:r>
        <w:rPr/>
        <w:t>The consumption of 1000 mg per day improves the condition of eyes and skin for as long as consumption continues. If patients stop taking vitamin C then the condition deteriorates again, step by step.</w:t>
      </w:r>
      <w:r>
        <w:rPr>
          <w:position w:val="9"/>
          <w:sz w:val="25"/>
        </w:rPr>
        <w:t>1032</w:t>
      </w:r>
    </w:p>
    <w:p>
      <w:pPr>
        <w:pStyle w:val="Heading2"/>
        <w:spacing w:before="242"/>
        <w:ind w:left="616"/>
      </w:pPr>
      <w:r>
        <w:rPr/>
        <w:t>VITAMIN C FOR RESPIRATORY DISEASES</w:t>
      </w:r>
    </w:p>
    <w:p>
      <w:pPr>
        <w:pStyle w:val="BodyText"/>
        <w:spacing w:line="276" w:lineRule="auto" w:before="304"/>
        <w:ind w:left="616" w:right="139"/>
        <w:jc w:val="both"/>
      </w:pPr>
      <w:r>
        <w:rPr/>
        <w:t>Clinical studies attest to the clearly positive influence of vitamin C on all lung function parameters. According to Dr. Reza Schirmohammadi, a doctor of natural medicine, vitamin C plays a very important role as one of the most important antioxidants in bronchial secretion and lung fluids. As asthmatics demonstrate a very low vitamin C plasma level (0.54 in comparison to 0.84 mg/dl in healthy people), he treats his patients with vitamin C infusions, with great success.</w:t>
      </w:r>
    </w:p>
    <w:p>
      <w:pPr>
        <w:pStyle w:val="BodyText"/>
        <w:spacing w:line="276" w:lineRule="auto" w:before="241"/>
        <w:ind w:left="616" w:right="140"/>
        <w:jc w:val="both"/>
      </w:pPr>
      <w:r>
        <w:rPr/>
        <w:t>It’s not hard to see that vitamin C is able to almost miraculously prevent and even heal the entire array of diseases. This is the good news. As you can see, vitamin C plays a very decisive role in whether and to what extent you remain</w:t>
      </w:r>
    </w:p>
    <w:p>
      <w:pPr>
        <w:pStyle w:val="BodyText"/>
        <w:rPr>
          <w:sz w:val="20"/>
        </w:rPr>
      </w:pPr>
    </w:p>
    <w:p>
      <w:pPr>
        <w:pStyle w:val="BodyText"/>
        <w:rPr>
          <w:sz w:val="20"/>
        </w:rPr>
      </w:pPr>
    </w:p>
    <w:p>
      <w:pPr>
        <w:pStyle w:val="BodyText"/>
        <w:spacing w:before="5"/>
        <w:rPr>
          <w:sz w:val="13"/>
        </w:rPr>
      </w:pPr>
      <w:r>
        <w:rPr/>
        <w:pict>
          <v:line style="position:absolute;mso-position-horizontal-relative:page;mso-position-vertical-relative:paragraph;z-index:14192;mso-wrap-distance-left:0;mso-wrap-distance-right:0" from="70.823997pt,9.930015pt" to="214.843997pt,9.930015pt" stroked="true" strokeweight=".71997pt" strokecolor="#000000">
            <v:stroke dashstyle="solid"/>
            <w10:wrap type="topAndBottom"/>
          </v:line>
        </w:pict>
      </w:r>
    </w:p>
    <w:p>
      <w:pPr>
        <w:pStyle w:val="BodyText"/>
        <w:spacing w:before="7"/>
        <w:rPr>
          <w:sz w:val="18"/>
        </w:rPr>
      </w:pPr>
    </w:p>
    <w:p>
      <w:pPr>
        <w:spacing w:before="99"/>
        <w:ind w:left="616" w:right="0" w:firstLine="0"/>
        <w:jc w:val="left"/>
        <w:rPr>
          <w:sz w:val="20"/>
        </w:rPr>
      </w:pPr>
      <w:r>
        <w:rPr>
          <w:b/>
          <w:position w:val="5"/>
          <w:sz w:val="13"/>
        </w:rPr>
        <w:t>1030 </w:t>
      </w:r>
      <w:r>
        <w:rPr>
          <w:sz w:val="20"/>
        </w:rPr>
        <w:t>Davie S. E. et al.: Effect of vitamin C glycosilation of proteins. 1992, Diabetes 41, pp. 167–173</w:t>
      </w:r>
    </w:p>
    <w:p>
      <w:pPr>
        <w:spacing w:before="94"/>
        <w:ind w:left="616" w:right="0" w:firstLine="0"/>
        <w:jc w:val="left"/>
        <w:rPr>
          <w:sz w:val="20"/>
        </w:rPr>
      </w:pPr>
      <w:r>
        <w:rPr>
          <w:position w:val="5"/>
          <w:sz w:val="13"/>
        </w:rPr>
        <w:t>1031 </w:t>
      </w:r>
      <w:r>
        <w:rPr>
          <w:sz w:val="20"/>
        </w:rPr>
        <w:t>Gembal M. et al.: The effect of ascorbic acid on protein glycation in streptozotocin-diabetic rats.</w:t>
      </w:r>
    </w:p>
    <w:p>
      <w:pPr>
        <w:spacing w:line="276" w:lineRule="auto" w:before="95"/>
        <w:ind w:left="616" w:right="0" w:firstLine="0"/>
        <w:jc w:val="left"/>
        <w:rPr>
          <w:sz w:val="20"/>
        </w:rPr>
      </w:pPr>
      <w:r>
        <w:rPr>
          <w:position w:val="5"/>
          <w:sz w:val="13"/>
        </w:rPr>
        <w:t>1032 </w:t>
      </w:r>
      <w:r>
        <w:rPr>
          <w:sz w:val="20"/>
        </w:rPr>
        <w:t>Cox B. D. and Butterfield W. J .H.: Vitamin C supplements and diabetic cutaneous capillary fragility. 1975, British Medical Journal 3:#5977, pp. 205–207</w:t>
      </w:r>
    </w:p>
    <w:p>
      <w:pPr>
        <w:spacing w:after="0" w:line="276" w:lineRule="auto"/>
        <w:jc w:val="left"/>
        <w:rPr>
          <w:sz w:val="20"/>
        </w:rPr>
        <w:sectPr>
          <w:pgSz w:w="14270" w:h="16850"/>
          <w:pgMar w:header="0" w:footer="1984" w:top="1340" w:bottom="2180" w:left="800" w:right="1280"/>
        </w:sectPr>
      </w:pPr>
    </w:p>
    <w:p>
      <w:pPr>
        <w:pStyle w:val="BodyText"/>
        <w:spacing w:line="276" w:lineRule="auto" w:before="72"/>
        <w:ind w:left="616" w:right="136"/>
        <w:jc w:val="both"/>
      </w:pPr>
      <w:r>
        <w:rPr/>
        <w:t>healthy,</w:t>
      </w:r>
      <w:r>
        <w:rPr>
          <w:spacing w:val="-12"/>
        </w:rPr>
        <w:t> </w:t>
      </w:r>
      <w:r>
        <w:rPr/>
        <w:t>how</w:t>
      </w:r>
      <w:r>
        <w:rPr>
          <w:spacing w:val="-13"/>
        </w:rPr>
        <w:t> </w:t>
      </w:r>
      <w:r>
        <w:rPr/>
        <w:t>quickly</w:t>
      </w:r>
      <w:r>
        <w:rPr>
          <w:spacing w:val="-13"/>
        </w:rPr>
        <w:t> </w:t>
      </w:r>
      <w:r>
        <w:rPr/>
        <w:t>you</w:t>
      </w:r>
      <w:r>
        <w:rPr>
          <w:spacing w:val="-13"/>
        </w:rPr>
        <w:t> </w:t>
      </w:r>
      <w:r>
        <w:rPr/>
        <w:t>age</w:t>
      </w:r>
      <w:r>
        <w:rPr>
          <w:spacing w:val="-12"/>
        </w:rPr>
        <w:t> </w:t>
      </w:r>
      <w:r>
        <w:rPr/>
        <w:t>and</w:t>
      </w:r>
      <w:r>
        <w:rPr>
          <w:spacing w:val="-14"/>
        </w:rPr>
        <w:t> </w:t>
      </w:r>
      <w:r>
        <w:rPr/>
        <w:t>when</w:t>
      </w:r>
      <w:r>
        <w:rPr>
          <w:spacing w:val="-11"/>
        </w:rPr>
        <w:t> </w:t>
      </w:r>
      <w:r>
        <w:rPr/>
        <w:t>you</w:t>
      </w:r>
      <w:r>
        <w:rPr>
          <w:spacing w:val="-13"/>
        </w:rPr>
        <w:t> </w:t>
      </w:r>
      <w:r>
        <w:rPr/>
        <w:t>die.</w:t>
      </w:r>
      <w:r>
        <w:rPr>
          <w:spacing w:val="-14"/>
        </w:rPr>
        <w:t> </w:t>
      </w:r>
      <w:r>
        <w:rPr/>
        <w:t>This</w:t>
      </w:r>
      <w:r>
        <w:rPr>
          <w:spacing w:val="-11"/>
        </w:rPr>
        <w:t> </w:t>
      </w:r>
      <w:r>
        <w:rPr/>
        <w:t>is</w:t>
      </w:r>
      <w:r>
        <w:rPr>
          <w:spacing w:val="-12"/>
        </w:rPr>
        <w:t> </w:t>
      </w:r>
      <w:r>
        <w:rPr/>
        <w:t>directly</w:t>
      </w:r>
      <w:r>
        <w:rPr>
          <w:spacing w:val="-12"/>
        </w:rPr>
        <w:t> </w:t>
      </w:r>
      <w:r>
        <w:rPr/>
        <w:t>associated</w:t>
      </w:r>
      <w:r>
        <w:rPr>
          <w:spacing w:val="-13"/>
        </w:rPr>
        <w:t> </w:t>
      </w:r>
      <w:r>
        <w:rPr/>
        <w:t>with the biochemical processes which activate and support the natural vitamin C</w:t>
      </w:r>
      <w:r>
        <w:rPr>
          <w:spacing w:val="-65"/>
        </w:rPr>
        <w:t> </w:t>
      </w:r>
      <w:r>
        <w:rPr/>
        <w:t>in our bodies.</w:t>
      </w:r>
    </w:p>
    <w:p>
      <w:pPr>
        <w:pStyle w:val="BodyText"/>
        <w:spacing w:line="276" w:lineRule="auto" w:before="241"/>
        <w:ind w:left="616" w:right="137"/>
        <w:jc w:val="both"/>
      </w:pPr>
      <w:r>
        <w:rPr/>
        <w:t>Thus, vitamin C demonstrates its effect on several fronts: hormonal, antivi- ral/antibacterial, antioxidative, as a catalyst for cleaning and in the develop- ment of collagen and elastin.</w:t>
      </w:r>
    </w:p>
    <w:p>
      <w:pPr>
        <w:pStyle w:val="BodyText"/>
        <w:spacing w:line="276" w:lineRule="auto" w:before="242"/>
        <w:ind w:left="616" w:right="138"/>
        <w:jc w:val="both"/>
      </w:pPr>
      <w:r>
        <w:rPr/>
        <w:t>As you can see in the description above of the effects on individual diseases, the antioxidative effect and influence on collagen and elastin development are of the greatest importance here!</w:t>
      </w:r>
    </w:p>
    <w:p>
      <w:pPr>
        <w:pStyle w:val="BodyText"/>
        <w:rPr>
          <w:sz w:val="42"/>
        </w:rPr>
      </w:pPr>
    </w:p>
    <w:p>
      <w:pPr>
        <w:pStyle w:val="BodyText"/>
        <w:spacing w:before="3"/>
        <w:rPr>
          <w:sz w:val="44"/>
        </w:rPr>
      </w:pPr>
    </w:p>
    <w:p>
      <w:pPr>
        <w:pStyle w:val="Heading2"/>
        <w:ind w:left="616"/>
        <w:jc w:val="both"/>
      </w:pPr>
      <w:r>
        <w:rPr/>
        <w:t>OXIDATION = DEGENERATION-DISEASE-AGEING</w:t>
      </w:r>
    </w:p>
    <w:p>
      <w:pPr>
        <w:pStyle w:val="BodyText"/>
        <w:spacing w:line="276" w:lineRule="auto" w:before="304"/>
        <w:ind w:left="616" w:right="134"/>
        <w:jc w:val="both"/>
      </w:pPr>
      <w:r>
        <w:rPr/>
        <w:t>While the medical profession does not have any real advice for fatal diseases such as cancer, heart conditions, cerebral apoplexy and many more, all</w:t>
      </w:r>
      <w:r>
        <w:rPr>
          <w:spacing w:val="-50"/>
        </w:rPr>
        <w:t> </w:t>
      </w:r>
      <w:r>
        <w:rPr/>
        <w:t>serious scientists agree on one thing: All ageing processes and most diseases are pri- marily associated with the oxidation of our body</w:t>
      </w:r>
      <w:r>
        <w:rPr>
          <w:spacing w:val="1"/>
        </w:rPr>
        <w:t> </w:t>
      </w:r>
      <w:r>
        <w:rPr/>
        <w:t>cells!</w:t>
      </w:r>
    </w:p>
    <w:p>
      <w:pPr>
        <w:pStyle w:val="Heading1"/>
        <w:spacing w:before="223"/>
        <w:ind w:left="616"/>
        <w:jc w:val="both"/>
      </w:pPr>
      <w:r>
        <w:rPr/>
        <w:t>Oxidation – what does it mean?</w:t>
      </w:r>
    </w:p>
    <w:p>
      <w:pPr>
        <w:pStyle w:val="BodyText"/>
        <w:spacing w:line="276" w:lineRule="auto" w:before="299"/>
        <w:ind w:left="616" w:right="132"/>
        <w:jc w:val="both"/>
      </w:pPr>
      <w:r>
        <w:rPr/>
        <w:t>Oxidation results from ‘free radicals’ in connection with oxygen which attack and destroy our body cells (similarly to rust eating away at a car body). It is precisely this destruction by free radicals (oxidants) which afflict us with dis- eases and cause us to age.</w:t>
      </w:r>
    </w:p>
    <w:p>
      <w:pPr>
        <w:spacing w:after="0" w:line="276" w:lineRule="auto"/>
        <w:jc w:val="both"/>
        <w:sectPr>
          <w:footerReference w:type="default" r:id="rId470"/>
          <w:pgSz w:w="14270" w:h="16850"/>
          <w:pgMar w:footer="1891" w:header="0" w:top="1340" w:bottom="2080" w:left="800" w:right="1280"/>
          <w:pgNumType w:start="1766"/>
        </w:sectPr>
      </w:pPr>
    </w:p>
    <w:p>
      <w:pPr>
        <w:pStyle w:val="ListParagraph"/>
        <w:numPr>
          <w:ilvl w:val="0"/>
          <w:numId w:val="132"/>
        </w:numPr>
        <w:tabs>
          <w:tab w:pos="1036" w:val="left" w:leader="none"/>
          <w:tab w:pos="1037" w:val="left" w:leader="none"/>
        </w:tabs>
        <w:spacing w:line="273" w:lineRule="auto" w:before="53" w:after="0"/>
        <w:ind w:left="1036" w:right="135" w:hanging="358"/>
        <w:jc w:val="left"/>
        <w:rPr>
          <w:sz w:val="38"/>
        </w:rPr>
      </w:pPr>
      <w:r>
        <w:rPr>
          <w:sz w:val="38"/>
        </w:rPr>
        <w:t>Free radicals damage our cell membranes, our cells, our genes, our DNA, our protein and our fats.</w:t>
      </w:r>
    </w:p>
    <w:p>
      <w:pPr>
        <w:pStyle w:val="ListParagraph"/>
        <w:numPr>
          <w:ilvl w:val="0"/>
          <w:numId w:val="132"/>
        </w:numPr>
        <w:tabs>
          <w:tab w:pos="1036" w:val="left" w:leader="none"/>
          <w:tab w:pos="1037" w:val="left" w:leader="none"/>
        </w:tabs>
        <w:spacing w:line="240" w:lineRule="auto" w:before="127" w:after="0"/>
        <w:ind w:left="1036" w:right="0" w:hanging="358"/>
        <w:jc w:val="left"/>
        <w:rPr>
          <w:sz w:val="38"/>
        </w:rPr>
      </w:pPr>
      <w:r>
        <w:rPr>
          <w:sz w:val="38"/>
        </w:rPr>
        <w:t>Free radicals accelerate tissue deterioration or bodily</w:t>
      </w:r>
      <w:r>
        <w:rPr>
          <w:spacing w:val="-8"/>
          <w:sz w:val="38"/>
        </w:rPr>
        <w:t> </w:t>
      </w:r>
      <w:r>
        <w:rPr>
          <w:sz w:val="38"/>
        </w:rPr>
        <w:t>ageing.</w:t>
      </w:r>
    </w:p>
    <w:p>
      <w:pPr>
        <w:pStyle w:val="ListParagraph"/>
        <w:numPr>
          <w:ilvl w:val="0"/>
          <w:numId w:val="132"/>
        </w:numPr>
        <w:tabs>
          <w:tab w:pos="1036" w:val="left" w:leader="none"/>
          <w:tab w:pos="1037" w:val="left" w:leader="none"/>
        </w:tabs>
        <w:spacing w:line="273" w:lineRule="auto" w:before="186" w:after="0"/>
        <w:ind w:left="1036" w:right="130" w:hanging="358"/>
        <w:jc w:val="left"/>
        <w:rPr>
          <w:sz w:val="38"/>
        </w:rPr>
      </w:pPr>
      <w:r>
        <w:rPr>
          <w:sz w:val="38"/>
        </w:rPr>
        <w:t>Free radicals cause or accelerate many so-called civilisation diseases, for</w:t>
      </w:r>
      <w:r>
        <w:rPr>
          <w:spacing w:val="-49"/>
          <w:sz w:val="38"/>
        </w:rPr>
        <w:t> </w:t>
      </w:r>
      <w:r>
        <w:rPr>
          <w:sz w:val="38"/>
        </w:rPr>
        <w:t>ex- ample:</w:t>
      </w:r>
    </w:p>
    <w:p>
      <w:pPr>
        <w:pStyle w:val="ListParagraph"/>
        <w:numPr>
          <w:ilvl w:val="0"/>
          <w:numId w:val="132"/>
        </w:numPr>
        <w:tabs>
          <w:tab w:pos="1036" w:val="left" w:leader="none"/>
          <w:tab w:pos="1037" w:val="left" w:leader="none"/>
        </w:tabs>
        <w:spacing w:line="240" w:lineRule="auto" w:before="128" w:after="0"/>
        <w:ind w:left="1036" w:right="0" w:hanging="358"/>
        <w:jc w:val="left"/>
        <w:rPr>
          <w:sz w:val="38"/>
        </w:rPr>
      </w:pPr>
      <w:r>
        <w:rPr>
          <w:sz w:val="38"/>
        </w:rPr>
        <w:t>Atherosclerosis</w:t>
      </w:r>
    </w:p>
    <w:p>
      <w:pPr>
        <w:pStyle w:val="ListParagraph"/>
        <w:numPr>
          <w:ilvl w:val="0"/>
          <w:numId w:val="132"/>
        </w:numPr>
        <w:tabs>
          <w:tab w:pos="1036" w:val="left" w:leader="none"/>
          <w:tab w:pos="1037" w:val="left" w:leader="none"/>
        </w:tabs>
        <w:spacing w:line="240" w:lineRule="auto" w:before="184" w:after="0"/>
        <w:ind w:left="1036" w:right="0" w:hanging="358"/>
        <w:jc w:val="left"/>
        <w:rPr>
          <w:sz w:val="38"/>
        </w:rPr>
      </w:pPr>
      <w:r>
        <w:rPr>
          <w:sz w:val="38"/>
        </w:rPr>
        <w:t>Respiratory diseases</w:t>
      </w:r>
    </w:p>
    <w:p>
      <w:pPr>
        <w:pStyle w:val="ListParagraph"/>
        <w:numPr>
          <w:ilvl w:val="0"/>
          <w:numId w:val="132"/>
        </w:numPr>
        <w:tabs>
          <w:tab w:pos="1036" w:val="left" w:leader="none"/>
          <w:tab w:pos="1037" w:val="left" w:leader="none"/>
        </w:tabs>
        <w:spacing w:line="240" w:lineRule="auto" w:before="183" w:after="0"/>
        <w:ind w:left="1036" w:right="0" w:hanging="358"/>
        <w:jc w:val="left"/>
        <w:rPr>
          <w:sz w:val="38"/>
        </w:rPr>
      </w:pPr>
      <w:r>
        <w:rPr>
          <w:sz w:val="38"/>
        </w:rPr>
        <w:t>Blood vessel</w:t>
      </w:r>
      <w:r>
        <w:rPr>
          <w:spacing w:val="-1"/>
          <w:sz w:val="38"/>
        </w:rPr>
        <w:t> </w:t>
      </w:r>
      <w:r>
        <w:rPr>
          <w:sz w:val="38"/>
        </w:rPr>
        <w:t>diseases</w:t>
      </w:r>
    </w:p>
    <w:p>
      <w:pPr>
        <w:pStyle w:val="ListParagraph"/>
        <w:numPr>
          <w:ilvl w:val="0"/>
          <w:numId w:val="132"/>
        </w:numPr>
        <w:tabs>
          <w:tab w:pos="1036" w:val="left" w:leader="none"/>
          <w:tab w:pos="1037" w:val="left" w:leader="none"/>
        </w:tabs>
        <w:spacing w:line="240" w:lineRule="auto" w:before="184" w:after="0"/>
        <w:ind w:left="1036" w:right="0" w:hanging="358"/>
        <w:jc w:val="left"/>
        <w:rPr>
          <w:sz w:val="38"/>
        </w:rPr>
      </w:pPr>
      <w:r>
        <w:rPr>
          <w:sz w:val="38"/>
        </w:rPr>
        <w:t>Cancer</w:t>
      </w:r>
    </w:p>
    <w:p>
      <w:pPr>
        <w:pStyle w:val="ListParagraph"/>
        <w:numPr>
          <w:ilvl w:val="0"/>
          <w:numId w:val="132"/>
        </w:numPr>
        <w:tabs>
          <w:tab w:pos="1036" w:val="left" w:leader="none"/>
          <w:tab w:pos="1037" w:val="left" w:leader="none"/>
        </w:tabs>
        <w:spacing w:line="240" w:lineRule="auto" w:before="186" w:after="0"/>
        <w:ind w:left="1036" w:right="0" w:hanging="358"/>
        <w:jc w:val="left"/>
        <w:rPr>
          <w:sz w:val="38"/>
        </w:rPr>
      </w:pPr>
      <w:r>
        <w:rPr>
          <w:sz w:val="38"/>
        </w:rPr>
        <w:t>Diabetes</w:t>
      </w:r>
    </w:p>
    <w:p>
      <w:pPr>
        <w:pStyle w:val="ListParagraph"/>
        <w:numPr>
          <w:ilvl w:val="0"/>
          <w:numId w:val="132"/>
        </w:numPr>
        <w:tabs>
          <w:tab w:pos="1036" w:val="left" w:leader="none"/>
          <w:tab w:pos="1037" w:val="left" w:leader="none"/>
        </w:tabs>
        <w:spacing w:line="240" w:lineRule="auto" w:before="184" w:after="0"/>
        <w:ind w:left="1036" w:right="0" w:hanging="358"/>
        <w:jc w:val="left"/>
        <w:rPr>
          <w:sz w:val="38"/>
        </w:rPr>
      </w:pPr>
      <w:r>
        <w:rPr>
          <w:sz w:val="38"/>
        </w:rPr>
        <w:t>Cystic</w:t>
      </w:r>
      <w:r>
        <w:rPr>
          <w:spacing w:val="-2"/>
          <w:sz w:val="38"/>
        </w:rPr>
        <w:t> </w:t>
      </w:r>
      <w:r>
        <w:rPr>
          <w:sz w:val="38"/>
        </w:rPr>
        <w:t>fibrosis</w:t>
      </w:r>
    </w:p>
    <w:p>
      <w:pPr>
        <w:pStyle w:val="ListParagraph"/>
        <w:numPr>
          <w:ilvl w:val="0"/>
          <w:numId w:val="132"/>
        </w:numPr>
        <w:tabs>
          <w:tab w:pos="1036" w:val="left" w:leader="none"/>
          <w:tab w:pos="1037" w:val="left" w:leader="none"/>
        </w:tabs>
        <w:spacing w:line="240" w:lineRule="auto" w:before="183" w:after="0"/>
        <w:ind w:left="1036" w:right="0" w:hanging="358"/>
        <w:jc w:val="left"/>
        <w:rPr>
          <w:sz w:val="38"/>
        </w:rPr>
      </w:pPr>
      <w:r>
        <w:rPr>
          <w:sz w:val="38"/>
        </w:rPr>
        <w:t>Inflammation</w:t>
      </w:r>
    </w:p>
    <w:p>
      <w:pPr>
        <w:pStyle w:val="ListParagraph"/>
        <w:numPr>
          <w:ilvl w:val="0"/>
          <w:numId w:val="132"/>
        </w:numPr>
        <w:tabs>
          <w:tab w:pos="1036" w:val="left" w:leader="none"/>
          <w:tab w:pos="1037" w:val="left" w:leader="none"/>
        </w:tabs>
        <w:spacing w:line="240" w:lineRule="auto" w:before="184" w:after="0"/>
        <w:ind w:left="1036" w:right="0" w:hanging="358"/>
        <w:jc w:val="left"/>
        <w:rPr>
          <w:sz w:val="38"/>
        </w:rPr>
      </w:pPr>
      <w:r>
        <w:rPr>
          <w:sz w:val="38"/>
        </w:rPr>
        <w:t>Hepatitis</w:t>
      </w:r>
    </w:p>
    <w:p>
      <w:pPr>
        <w:pStyle w:val="ListParagraph"/>
        <w:numPr>
          <w:ilvl w:val="0"/>
          <w:numId w:val="132"/>
        </w:numPr>
        <w:tabs>
          <w:tab w:pos="1036" w:val="left" w:leader="none"/>
          <w:tab w:pos="1037" w:val="left" w:leader="none"/>
        </w:tabs>
        <w:spacing w:line="240" w:lineRule="auto" w:before="184" w:after="0"/>
        <w:ind w:left="1036" w:right="0" w:hanging="358"/>
        <w:jc w:val="left"/>
        <w:rPr>
          <w:sz w:val="38"/>
        </w:rPr>
      </w:pPr>
      <w:r>
        <w:rPr>
          <w:sz w:val="38"/>
        </w:rPr>
        <w:t>Parkinson’s</w:t>
      </w:r>
    </w:p>
    <w:p>
      <w:pPr>
        <w:pStyle w:val="ListParagraph"/>
        <w:numPr>
          <w:ilvl w:val="0"/>
          <w:numId w:val="132"/>
        </w:numPr>
        <w:tabs>
          <w:tab w:pos="1036" w:val="left" w:leader="none"/>
          <w:tab w:pos="1037" w:val="left" w:leader="none"/>
        </w:tabs>
        <w:spacing w:line="240" w:lineRule="auto" w:before="186" w:after="0"/>
        <w:ind w:left="1036" w:right="0" w:hanging="358"/>
        <w:jc w:val="left"/>
        <w:rPr>
          <w:sz w:val="38"/>
        </w:rPr>
      </w:pPr>
      <w:r>
        <w:rPr>
          <w:sz w:val="38"/>
        </w:rPr>
        <w:t>Alzheimer’s</w:t>
      </w:r>
    </w:p>
    <w:p>
      <w:pPr>
        <w:pStyle w:val="ListParagraph"/>
        <w:numPr>
          <w:ilvl w:val="0"/>
          <w:numId w:val="132"/>
        </w:numPr>
        <w:tabs>
          <w:tab w:pos="1036" w:val="left" w:leader="none"/>
          <w:tab w:pos="1037" w:val="left" w:leader="none"/>
        </w:tabs>
        <w:spacing w:line="240" w:lineRule="auto" w:before="184" w:after="0"/>
        <w:ind w:left="1036" w:right="0" w:hanging="358"/>
        <w:jc w:val="left"/>
        <w:rPr>
          <w:sz w:val="38"/>
        </w:rPr>
      </w:pPr>
      <w:r>
        <w:rPr>
          <w:sz w:val="38"/>
        </w:rPr>
        <w:t>Arthritis</w:t>
      </w:r>
    </w:p>
    <w:p>
      <w:pPr>
        <w:pStyle w:val="ListParagraph"/>
        <w:numPr>
          <w:ilvl w:val="0"/>
          <w:numId w:val="132"/>
        </w:numPr>
        <w:tabs>
          <w:tab w:pos="1036" w:val="left" w:leader="none"/>
          <w:tab w:pos="1037" w:val="left" w:leader="none"/>
        </w:tabs>
        <w:spacing w:line="240" w:lineRule="auto" w:before="183" w:after="0"/>
        <w:ind w:left="1036" w:right="0" w:hanging="358"/>
        <w:jc w:val="left"/>
        <w:rPr>
          <w:sz w:val="38"/>
        </w:rPr>
      </w:pPr>
      <w:r>
        <w:rPr>
          <w:sz w:val="38"/>
        </w:rPr>
        <w:t>Down’s</w:t>
      </w:r>
      <w:r>
        <w:rPr>
          <w:spacing w:val="-6"/>
          <w:sz w:val="38"/>
        </w:rPr>
        <w:t> </w:t>
      </w:r>
      <w:r>
        <w:rPr>
          <w:sz w:val="38"/>
        </w:rPr>
        <w:t>syndrome</w:t>
      </w:r>
    </w:p>
    <w:p>
      <w:pPr>
        <w:pStyle w:val="Heading2"/>
        <w:tabs>
          <w:tab w:pos="4387" w:val="left" w:leader="none"/>
          <w:tab w:pos="5138" w:val="left" w:leader="none"/>
          <w:tab w:pos="8857" w:val="left" w:leader="none"/>
          <w:tab w:pos="9545" w:val="left" w:leader="none"/>
        </w:tabs>
        <w:spacing w:line="276" w:lineRule="auto" w:before="303"/>
        <w:ind w:left="616" w:right="136"/>
      </w:pPr>
      <w:r>
        <w:rPr/>
        <w:t>ANTIOXIDATION</w:t>
        <w:tab/>
        <w:t>=</w:t>
        <w:tab/>
        <w:t>REGENERATION</w:t>
        <w:tab/>
        <w:t>–</w:t>
        <w:tab/>
        <w:t>PRESERVING HEALTH AND</w:t>
      </w:r>
      <w:r>
        <w:rPr>
          <w:spacing w:val="-1"/>
        </w:rPr>
        <w:t> </w:t>
      </w:r>
      <w:r>
        <w:rPr/>
        <w:t>YOUTH</w:t>
      </w:r>
    </w:p>
    <w:p>
      <w:pPr>
        <w:spacing w:after="0" w:line="276" w:lineRule="auto"/>
        <w:sectPr>
          <w:pgSz w:w="14270" w:h="16850"/>
          <w:pgMar w:header="0" w:footer="1891" w:top="1360" w:bottom="2080" w:left="800" w:right="1280"/>
        </w:sectPr>
      </w:pPr>
    </w:p>
    <w:p>
      <w:pPr>
        <w:pStyle w:val="BodyText"/>
        <w:spacing w:line="276" w:lineRule="auto" w:before="72"/>
        <w:ind w:left="616" w:right="137"/>
        <w:jc w:val="both"/>
      </w:pPr>
      <w:r>
        <w:rPr/>
        <w:t>Therefore, the inversion of the argument means that we remain untouched</w:t>
      </w:r>
      <w:r>
        <w:rPr>
          <w:spacing w:val="-49"/>
        </w:rPr>
        <w:t> </w:t>
      </w:r>
      <w:r>
        <w:rPr/>
        <w:t>by most diseases and, after we have finished growing, we will NOT age biologi- cally if the body could neutralise all free radicals</w:t>
      </w:r>
      <w:r>
        <w:rPr>
          <w:spacing w:val="-6"/>
        </w:rPr>
        <w:t> </w:t>
      </w:r>
      <w:r>
        <w:rPr/>
        <w:t>(oxidants).</w:t>
      </w:r>
    </w:p>
    <w:p>
      <w:pPr>
        <w:pStyle w:val="Heading1"/>
        <w:ind w:left="616"/>
        <w:jc w:val="both"/>
      </w:pPr>
      <w:r>
        <w:rPr/>
        <w:t>COLLAGEN FORMATION WITH VITAMIN</w:t>
      </w:r>
      <w:r>
        <w:rPr>
          <w:spacing w:val="-60"/>
        </w:rPr>
        <w:t> </w:t>
      </w:r>
      <w:r>
        <w:rPr/>
        <w:t>C</w:t>
      </w:r>
    </w:p>
    <w:p>
      <w:pPr>
        <w:pStyle w:val="BodyText"/>
        <w:spacing w:line="276" w:lineRule="auto" w:before="299"/>
        <w:ind w:left="616" w:right="137"/>
        <w:jc w:val="both"/>
      </w:pPr>
      <w:r>
        <w:rPr/>
        <w:t>Roughly speaking, the most important tissue forms of humans, which deter- mine lifespan, age, youthfulness and health (skin, blood vessels, nerve tracts, joints, organs, bones, etc.) consist mainly of the two protein building blocks (amino acids) ‘elastin’ and ‘collagen’.</w:t>
      </w:r>
    </w:p>
    <w:p>
      <w:pPr>
        <w:pStyle w:val="BodyText"/>
        <w:spacing w:line="276" w:lineRule="auto" w:before="242"/>
        <w:ind w:left="616" w:right="139"/>
        <w:jc w:val="both"/>
      </w:pPr>
      <w:r>
        <w:rPr/>
        <w:t>As reported in detail in the previous chapters, the current recommended amount of vitamin C worldwide (between 60 and 100 mg/day) only prevents scurvy, or the final stage of vitamin C deficit which leads to death. On the other hand, it is so low that it allows most diseases in.</w:t>
      </w:r>
    </w:p>
    <w:p>
      <w:pPr>
        <w:pStyle w:val="BodyText"/>
        <w:spacing w:line="273" w:lineRule="auto" w:before="239"/>
        <w:ind w:left="616" w:right="131"/>
        <w:jc w:val="both"/>
      </w:pPr>
      <w:r>
        <w:rPr/>
        <w:t>The</w:t>
      </w:r>
      <w:r>
        <w:rPr>
          <w:spacing w:val="-22"/>
        </w:rPr>
        <w:t> </w:t>
      </w:r>
      <w:r>
        <w:rPr/>
        <w:t>reason</w:t>
      </w:r>
      <w:r>
        <w:rPr>
          <w:spacing w:val="-23"/>
        </w:rPr>
        <w:t> </w:t>
      </w:r>
      <w:r>
        <w:rPr/>
        <w:t>for</w:t>
      </w:r>
      <w:r>
        <w:rPr>
          <w:spacing w:val="-22"/>
        </w:rPr>
        <w:t> </w:t>
      </w:r>
      <w:r>
        <w:rPr/>
        <w:t>this</w:t>
      </w:r>
      <w:r>
        <w:rPr>
          <w:spacing w:val="-20"/>
        </w:rPr>
        <w:t> </w:t>
      </w:r>
      <w:r>
        <w:rPr/>
        <w:t>is</w:t>
      </w:r>
      <w:r>
        <w:rPr>
          <w:spacing w:val="-23"/>
        </w:rPr>
        <w:t> </w:t>
      </w:r>
      <w:r>
        <w:rPr/>
        <w:t>simple:</w:t>
      </w:r>
      <w:r>
        <w:rPr>
          <w:spacing w:val="-23"/>
        </w:rPr>
        <w:t> </w:t>
      </w:r>
      <w:r>
        <w:rPr/>
        <w:t>if</w:t>
      </w:r>
      <w:r>
        <w:rPr>
          <w:spacing w:val="-22"/>
        </w:rPr>
        <w:t> </w:t>
      </w:r>
      <w:r>
        <w:rPr/>
        <w:t>people</w:t>
      </w:r>
      <w:r>
        <w:rPr>
          <w:spacing w:val="-21"/>
        </w:rPr>
        <w:t> </w:t>
      </w:r>
      <w:r>
        <w:rPr/>
        <w:t>consumed</w:t>
      </w:r>
      <w:r>
        <w:rPr>
          <w:spacing w:val="-23"/>
        </w:rPr>
        <w:t> </w:t>
      </w:r>
      <w:r>
        <w:rPr/>
        <w:t>enough</w:t>
      </w:r>
      <w:r>
        <w:rPr>
          <w:spacing w:val="-20"/>
        </w:rPr>
        <w:t> </w:t>
      </w:r>
      <w:r>
        <w:rPr/>
        <w:t>vitamin</w:t>
      </w:r>
      <w:r>
        <w:rPr>
          <w:spacing w:val="-23"/>
        </w:rPr>
        <w:t> </w:t>
      </w:r>
      <w:r>
        <w:rPr/>
        <w:t>C</w:t>
      </w:r>
      <w:r>
        <w:rPr>
          <w:spacing w:val="-23"/>
        </w:rPr>
        <w:t> </w:t>
      </w:r>
      <w:r>
        <w:rPr/>
        <w:t>and</w:t>
      </w:r>
      <w:r>
        <w:rPr>
          <w:spacing w:val="-21"/>
        </w:rPr>
        <w:t> </w:t>
      </w:r>
      <w:r>
        <w:rPr/>
        <w:t>similar natural</w:t>
      </w:r>
      <w:r>
        <w:rPr>
          <w:spacing w:val="-23"/>
        </w:rPr>
        <w:t> </w:t>
      </w:r>
      <w:r>
        <w:rPr/>
        <w:t>substances</w:t>
      </w:r>
      <w:r>
        <w:rPr>
          <w:spacing w:val="-21"/>
        </w:rPr>
        <w:t> </w:t>
      </w:r>
      <w:r>
        <w:rPr/>
        <w:t>they</w:t>
      </w:r>
      <w:r>
        <w:rPr>
          <w:spacing w:val="-21"/>
        </w:rPr>
        <w:t> </w:t>
      </w:r>
      <w:r>
        <w:rPr/>
        <w:t>would</w:t>
      </w:r>
      <w:r>
        <w:rPr>
          <w:spacing w:val="-23"/>
        </w:rPr>
        <w:t> </w:t>
      </w:r>
      <w:r>
        <w:rPr/>
        <w:t>probably</w:t>
      </w:r>
      <w:r>
        <w:rPr>
          <w:spacing w:val="-22"/>
        </w:rPr>
        <w:t> </w:t>
      </w:r>
      <w:r>
        <w:rPr/>
        <w:t>only</w:t>
      </w:r>
      <w:r>
        <w:rPr>
          <w:spacing w:val="-22"/>
        </w:rPr>
        <w:t> </w:t>
      </w:r>
      <w:r>
        <w:rPr/>
        <w:t>rarely</w:t>
      </w:r>
      <w:r>
        <w:rPr>
          <w:spacing w:val="-22"/>
        </w:rPr>
        <w:t> </w:t>
      </w:r>
      <w:r>
        <w:rPr/>
        <w:t>contract</w:t>
      </w:r>
      <w:r>
        <w:rPr>
          <w:spacing w:val="-22"/>
        </w:rPr>
        <w:t> </w:t>
      </w:r>
      <w:r>
        <w:rPr/>
        <w:t>illnesses</w:t>
      </w:r>
      <w:r>
        <w:rPr>
          <w:spacing w:val="-21"/>
        </w:rPr>
        <w:t> </w:t>
      </w:r>
      <w:r>
        <w:rPr/>
        <w:t>and</w:t>
      </w:r>
      <w:r>
        <w:rPr>
          <w:spacing w:val="-22"/>
        </w:rPr>
        <w:t> </w:t>
      </w:r>
      <w:r>
        <w:rPr/>
        <w:t>there- fore</w:t>
      </w:r>
      <w:r>
        <w:rPr>
          <w:spacing w:val="-18"/>
        </w:rPr>
        <w:t> </w:t>
      </w:r>
      <w:r>
        <w:rPr/>
        <w:t>bring</w:t>
      </w:r>
      <w:r>
        <w:rPr>
          <w:spacing w:val="-19"/>
        </w:rPr>
        <w:t> </w:t>
      </w:r>
      <w:r>
        <w:rPr/>
        <w:t>in</w:t>
      </w:r>
      <w:r>
        <w:rPr>
          <w:spacing w:val="-21"/>
        </w:rPr>
        <w:t> </w:t>
      </w:r>
      <w:r>
        <w:rPr/>
        <w:t>much</w:t>
      </w:r>
      <w:r>
        <w:rPr>
          <w:spacing w:val="-18"/>
        </w:rPr>
        <w:t> </w:t>
      </w:r>
      <w:r>
        <w:rPr/>
        <w:t>less</w:t>
      </w:r>
      <w:r>
        <w:rPr>
          <w:spacing w:val="-20"/>
        </w:rPr>
        <w:t> </w:t>
      </w:r>
      <w:r>
        <w:rPr/>
        <w:t>income</w:t>
      </w:r>
      <w:r>
        <w:rPr>
          <w:spacing w:val="-21"/>
        </w:rPr>
        <w:t> </w:t>
      </w:r>
      <w:r>
        <w:rPr/>
        <w:t>to</w:t>
      </w:r>
      <w:r>
        <w:rPr>
          <w:spacing w:val="-18"/>
        </w:rPr>
        <w:t> </w:t>
      </w:r>
      <w:r>
        <w:rPr/>
        <w:t>‘Big</w:t>
      </w:r>
      <w:r>
        <w:rPr>
          <w:spacing w:val="-21"/>
        </w:rPr>
        <w:t> </w:t>
      </w:r>
      <w:r>
        <w:rPr/>
        <w:t>Pharma’</w:t>
      </w:r>
      <w:r>
        <w:rPr>
          <w:spacing w:val="-18"/>
        </w:rPr>
        <w:t> </w:t>
      </w:r>
      <w:r>
        <w:rPr/>
        <w:t>for</w:t>
      </w:r>
      <w:r>
        <w:rPr>
          <w:spacing w:val="-18"/>
        </w:rPr>
        <w:t> </w:t>
      </w:r>
      <w:r>
        <w:rPr/>
        <w:t>expensive</w:t>
      </w:r>
      <w:r>
        <w:rPr>
          <w:spacing w:val="-22"/>
        </w:rPr>
        <w:t> </w:t>
      </w:r>
      <w:r>
        <w:rPr/>
        <w:t>medicines</w:t>
      </w:r>
      <w:r>
        <w:rPr>
          <w:spacing w:val="-17"/>
        </w:rPr>
        <w:t> </w:t>
      </w:r>
      <w:r>
        <w:rPr>
          <w:b/>
          <w:i/>
          <w:sz w:val="40"/>
        </w:rPr>
        <w:t>–</w:t>
      </w:r>
      <w:r>
        <w:rPr>
          <w:b/>
          <w:i/>
          <w:spacing w:val="-23"/>
          <w:sz w:val="40"/>
        </w:rPr>
        <w:t> </w:t>
      </w:r>
      <w:r>
        <w:rPr/>
        <w:t>dead people, on the other hand, do not generate any income, except for the under- taker...</w:t>
      </w:r>
    </w:p>
    <w:p>
      <w:pPr>
        <w:pStyle w:val="BodyText"/>
        <w:rPr>
          <w:sz w:val="42"/>
        </w:rPr>
      </w:pPr>
    </w:p>
    <w:p>
      <w:pPr>
        <w:pStyle w:val="BodyText"/>
        <w:rPr>
          <w:sz w:val="44"/>
        </w:rPr>
      </w:pPr>
    </w:p>
    <w:p>
      <w:pPr>
        <w:pStyle w:val="BodyText"/>
        <w:ind w:left="616"/>
        <w:jc w:val="both"/>
      </w:pPr>
      <w:r>
        <w:rPr/>
        <w:t>VITAMIN C AND SIDE EFFECTS</w:t>
      </w:r>
    </w:p>
    <w:p>
      <w:pPr>
        <w:pStyle w:val="Heading2"/>
        <w:spacing w:before="303"/>
        <w:ind w:left="616"/>
        <w:jc w:val="both"/>
      </w:pPr>
      <w:r>
        <w:rPr/>
        <w:t>Does vitamin C have side effects and if so, what are they?</w:t>
      </w:r>
    </w:p>
    <w:p>
      <w:pPr>
        <w:spacing w:after="0"/>
        <w:jc w:val="both"/>
        <w:sectPr>
          <w:pgSz w:w="14270" w:h="16850"/>
          <w:pgMar w:header="0" w:footer="1891" w:top="1340" w:bottom="2080" w:left="800" w:right="1280"/>
        </w:sectPr>
      </w:pPr>
    </w:p>
    <w:p>
      <w:pPr>
        <w:pStyle w:val="BodyText"/>
        <w:spacing w:line="278" w:lineRule="auto" w:before="72"/>
        <w:ind w:left="616" w:right="136"/>
        <w:jc w:val="both"/>
      </w:pPr>
      <w:r>
        <w:rPr/>
        <w:t>With</w:t>
      </w:r>
      <w:r>
        <w:rPr>
          <w:spacing w:val="-14"/>
        </w:rPr>
        <w:t> </w:t>
      </w:r>
      <w:r>
        <w:rPr/>
        <w:t>all</w:t>
      </w:r>
      <w:r>
        <w:rPr>
          <w:spacing w:val="-16"/>
        </w:rPr>
        <w:t> </w:t>
      </w:r>
      <w:r>
        <w:rPr/>
        <w:t>the</w:t>
      </w:r>
      <w:r>
        <w:rPr>
          <w:spacing w:val="-13"/>
        </w:rPr>
        <w:t> </w:t>
      </w:r>
      <w:r>
        <w:rPr/>
        <w:t>countless</w:t>
      </w:r>
      <w:r>
        <w:rPr>
          <w:spacing w:val="-13"/>
        </w:rPr>
        <w:t> </w:t>
      </w:r>
      <w:r>
        <w:rPr/>
        <w:t>benefits</w:t>
      </w:r>
      <w:r>
        <w:rPr>
          <w:spacing w:val="-16"/>
        </w:rPr>
        <w:t> </w:t>
      </w:r>
      <w:r>
        <w:rPr/>
        <w:t>of</w:t>
      </w:r>
      <w:r>
        <w:rPr>
          <w:spacing w:val="-15"/>
        </w:rPr>
        <w:t> </w:t>
      </w:r>
      <w:r>
        <w:rPr/>
        <w:t>vitamin</w:t>
      </w:r>
      <w:r>
        <w:rPr>
          <w:spacing w:val="-14"/>
        </w:rPr>
        <w:t> </w:t>
      </w:r>
      <w:r>
        <w:rPr/>
        <w:t>C</w:t>
      </w:r>
      <w:r>
        <w:rPr>
          <w:spacing w:val="-16"/>
        </w:rPr>
        <w:t> </w:t>
      </w:r>
      <w:r>
        <w:rPr/>
        <w:t>for</w:t>
      </w:r>
      <w:r>
        <w:rPr>
          <w:spacing w:val="-13"/>
        </w:rPr>
        <w:t> </w:t>
      </w:r>
      <w:r>
        <w:rPr/>
        <w:t>our</w:t>
      </w:r>
      <w:r>
        <w:rPr>
          <w:spacing w:val="-14"/>
        </w:rPr>
        <w:t> </w:t>
      </w:r>
      <w:r>
        <w:rPr/>
        <w:t>health</w:t>
      </w:r>
      <w:r>
        <w:rPr>
          <w:spacing w:val="-15"/>
        </w:rPr>
        <w:t> </w:t>
      </w:r>
      <w:r>
        <w:rPr/>
        <w:t>and</w:t>
      </w:r>
      <w:r>
        <w:rPr>
          <w:spacing w:val="-14"/>
        </w:rPr>
        <w:t> </w:t>
      </w:r>
      <w:r>
        <w:rPr/>
        <w:t>life</w:t>
      </w:r>
      <w:r>
        <w:rPr>
          <w:spacing w:val="-15"/>
        </w:rPr>
        <w:t> </w:t>
      </w:r>
      <w:r>
        <w:rPr/>
        <w:t>the</w:t>
      </w:r>
      <w:r>
        <w:rPr>
          <w:spacing w:val="-13"/>
        </w:rPr>
        <w:t> </w:t>
      </w:r>
      <w:r>
        <w:rPr/>
        <w:t>question quite rightly arises as to the possible side</w:t>
      </w:r>
      <w:r>
        <w:rPr>
          <w:spacing w:val="-1"/>
        </w:rPr>
        <w:t> </w:t>
      </w:r>
      <w:r>
        <w:rPr/>
        <w:t>effects.</w:t>
      </w:r>
    </w:p>
    <w:p>
      <w:pPr>
        <w:pStyle w:val="BodyText"/>
        <w:spacing w:line="278" w:lineRule="auto" w:before="232"/>
        <w:ind w:left="616" w:right="141"/>
        <w:jc w:val="both"/>
      </w:pPr>
      <w:r>
        <w:rPr/>
        <w:t>Not a single case has been recorded to date of a patient becoming seriously ill due to an overdose of natural vitamin C!</w:t>
      </w:r>
    </w:p>
    <w:p>
      <w:pPr>
        <w:pStyle w:val="BodyText"/>
        <w:spacing w:line="276" w:lineRule="auto" w:before="232"/>
        <w:ind w:left="616" w:right="142"/>
        <w:jc w:val="both"/>
      </w:pPr>
      <w:r>
        <w:rPr/>
        <w:t>Vitamin C preparations made from pure camu camu or even Acerola powder are harmless even in the highest doses and exceptions are automatically con- trolled by the body.</w:t>
      </w:r>
    </w:p>
    <w:p>
      <w:pPr>
        <w:pStyle w:val="BodyText"/>
        <w:spacing w:line="276" w:lineRule="auto" w:before="242"/>
        <w:ind w:left="616" w:right="134"/>
        <w:jc w:val="both"/>
      </w:pPr>
      <w:r>
        <w:rPr/>
        <w:t>Studies</w:t>
      </w:r>
      <w:r>
        <w:rPr>
          <w:spacing w:val="-22"/>
        </w:rPr>
        <w:t> </w:t>
      </w:r>
      <w:r>
        <w:rPr/>
        <w:t>attest</w:t>
      </w:r>
      <w:r>
        <w:rPr>
          <w:spacing w:val="-21"/>
        </w:rPr>
        <w:t> </w:t>
      </w:r>
      <w:r>
        <w:rPr/>
        <w:t>that</w:t>
      </w:r>
      <w:r>
        <w:rPr>
          <w:spacing w:val="-21"/>
        </w:rPr>
        <w:t> </w:t>
      </w:r>
      <w:r>
        <w:rPr/>
        <w:t>no</w:t>
      </w:r>
      <w:r>
        <w:rPr>
          <w:spacing w:val="-20"/>
        </w:rPr>
        <w:t> </w:t>
      </w:r>
      <w:r>
        <w:rPr/>
        <w:t>serious</w:t>
      </w:r>
      <w:r>
        <w:rPr>
          <w:spacing w:val="-21"/>
        </w:rPr>
        <w:t> </w:t>
      </w:r>
      <w:r>
        <w:rPr/>
        <w:t>side</w:t>
      </w:r>
      <w:r>
        <w:rPr>
          <w:spacing w:val="-22"/>
        </w:rPr>
        <w:t> </w:t>
      </w:r>
      <w:r>
        <w:rPr/>
        <w:t>effects</w:t>
      </w:r>
      <w:r>
        <w:rPr>
          <w:spacing w:val="-20"/>
        </w:rPr>
        <w:t> </w:t>
      </w:r>
      <w:r>
        <w:rPr/>
        <w:t>occur</w:t>
      </w:r>
      <w:r>
        <w:rPr>
          <w:spacing w:val="-20"/>
        </w:rPr>
        <w:t> </w:t>
      </w:r>
      <w:r>
        <w:rPr/>
        <w:t>even</w:t>
      </w:r>
      <w:r>
        <w:rPr>
          <w:spacing w:val="-20"/>
        </w:rPr>
        <w:t> </w:t>
      </w:r>
      <w:r>
        <w:rPr/>
        <w:t>after</w:t>
      </w:r>
      <w:r>
        <w:rPr>
          <w:spacing w:val="-20"/>
        </w:rPr>
        <w:t> </w:t>
      </w:r>
      <w:r>
        <w:rPr/>
        <w:t>25</w:t>
      </w:r>
      <w:r>
        <w:rPr>
          <w:spacing w:val="-22"/>
        </w:rPr>
        <w:t> </w:t>
      </w:r>
      <w:r>
        <w:rPr/>
        <w:t>years</w:t>
      </w:r>
      <w:r>
        <w:rPr>
          <w:spacing w:val="-21"/>
        </w:rPr>
        <w:t> </w:t>
      </w:r>
      <w:r>
        <w:rPr/>
        <w:t>of</w:t>
      </w:r>
      <w:r>
        <w:rPr>
          <w:spacing w:val="-20"/>
        </w:rPr>
        <w:t> </w:t>
      </w:r>
      <w:r>
        <w:rPr/>
        <w:t>consump- tion of vitamin C in high doses of 10-20,000 mg</w:t>
      </w:r>
      <w:r>
        <w:rPr>
          <w:spacing w:val="-1"/>
        </w:rPr>
        <w:t> </w:t>
      </w:r>
      <w:r>
        <w:rPr/>
        <w:t>(grammes)!</w:t>
      </w:r>
    </w:p>
    <w:p>
      <w:pPr>
        <w:pStyle w:val="BodyText"/>
        <w:spacing w:line="276" w:lineRule="auto" w:before="238"/>
        <w:ind w:left="616" w:right="136"/>
        <w:jc w:val="both"/>
        <w:rPr>
          <w:sz w:val="25"/>
        </w:rPr>
      </w:pPr>
      <w:r>
        <w:rPr/>
        <w:t>The</w:t>
      </w:r>
      <w:r>
        <w:rPr>
          <w:spacing w:val="-10"/>
        </w:rPr>
        <w:t> </w:t>
      </w:r>
      <w:r>
        <w:rPr/>
        <w:t>only</w:t>
      </w:r>
      <w:r>
        <w:rPr>
          <w:spacing w:val="-11"/>
        </w:rPr>
        <w:t> </w:t>
      </w:r>
      <w:r>
        <w:rPr/>
        <w:t>side</w:t>
      </w:r>
      <w:r>
        <w:rPr>
          <w:spacing w:val="-10"/>
        </w:rPr>
        <w:t> </w:t>
      </w:r>
      <w:r>
        <w:rPr/>
        <w:t>effect</w:t>
      </w:r>
      <w:r>
        <w:rPr>
          <w:spacing w:val="-10"/>
        </w:rPr>
        <w:t> </w:t>
      </w:r>
      <w:r>
        <w:rPr/>
        <w:t>is</w:t>
      </w:r>
      <w:r>
        <w:rPr>
          <w:spacing w:val="-11"/>
        </w:rPr>
        <w:t> </w:t>
      </w:r>
      <w:r>
        <w:rPr/>
        <w:t>diarrhoea</w:t>
      </w:r>
      <w:r>
        <w:rPr>
          <w:spacing w:val="-12"/>
        </w:rPr>
        <w:t> </w:t>
      </w:r>
      <w:r>
        <w:rPr/>
        <w:t>which</w:t>
      </w:r>
      <w:r>
        <w:rPr>
          <w:spacing w:val="-10"/>
        </w:rPr>
        <w:t> </w:t>
      </w:r>
      <w:r>
        <w:rPr/>
        <w:t>can</w:t>
      </w:r>
      <w:r>
        <w:rPr>
          <w:spacing w:val="-10"/>
        </w:rPr>
        <w:t> </w:t>
      </w:r>
      <w:r>
        <w:rPr/>
        <w:t>occur</w:t>
      </w:r>
      <w:r>
        <w:rPr>
          <w:spacing w:val="-9"/>
        </w:rPr>
        <w:t> </w:t>
      </w:r>
      <w:r>
        <w:rPr/>
        <w:t>if</w:t>
      </w:r>
      <w:r>
        <w:rPr>
          <w:spacing w:val="-12"/>
        </w:rPr>
        <w:t> </w:t>
      </w:r>
      <w:r>
        <w:rPr/>
        <w:t>more</w:t>
      </w:r>
      <w:r>
        <w:rPr>
          <w:spacing w:val="-10"/>
        </w:rPr>
        <w:t> </w:t>
      </w:r>
      <w:r>
        <w:rPr/>
        <w:t>than</w:t>
      </w:r>
      <w:r>
        <w:rPr>
          <w:spacing w:val="-10"/>
        </w:rPr>
        <w:t> </w:t>
      </w:r>
      <w:r>
        <w:rPr/>
        <w:t>10</w:t>
      </w:r>
      <w:r>
        <w:rPr>
          <w:spacing w:val="-9"/>
        </w:rPr>
        <w:t> </w:t>
      </w:r>
      <w:r>
        <w:rPr/>
        <w:t>grammes</w:t>
      </w:r>
      <w:r>
        <w:rPr>
          <w:spacing w:val="-10"/>
        </w:rPr>
        <w:t> </w:t>
      </w:r>
      <w:r>
        <w:rPr/>
        <w:t>are </w:t>
      </w:r>
      <w:r>
        <w:rPr>
          <w:position w:val="-8"/>
        </w:rPr>
        <w:t>consumed.</w:t>
      </w:r>
      <w:r>
        <w:rPr>
          <w:sz w:val="25"/>
        </w:rPr>
        <w:t>1033,</w:t>
      </w:r>
      <w:r>
        <w:rPr>
          <w:spacing w:val="31"/>
          <w:sz w:val="25"/>
        </w:rPr>
        <w:t> </w:t>
      </w:r>
      <w:r>
        <w:rPr>
          <w:sz w:val="25"/>
        </w:rPr>
        <w:t>1034</w:t>
      </w:r>
    </w:p>
    <w:p>
      <w:pPr>
        <w:pStyle w:val="Heading2"/>
        <w:spacing w:line="276" w:lineRule="auto" w:before="241"/>
        <w:ind w:left="616" w:right="142"/>
        <w:jc w:val="both"/>
      </w:pPr>
      <w:r>
        <w:rPr/>
        <w:t>GROUPS OF PEOPLE WITH HIGHER VITAMIN C REQUIRE- MENTS</w:t>
      </w:r>
    </w:p>
    <w:p>
      <w:pPr>
        <w:pStyle w:val="BodyText"/>
        <w:spacing w:line="276" w:lineRule="auto" w:before="239"/>
        <w:ind w:left="616" w:right="133"/>
        <w:jc w:val="both"/>
      </w:pPr>
      <w:r>
        <w:rPr/>
        <w:t>In</w:t>
      </w:r>
      <w:r>
        <w:rPr>
          <w:spacing w:val="-15"/>
        </w:rPr>
        <w:t> </w:t>
      </w:r>
      <w:r>
        <w:rPr/>
        <w:t>the</w:t>
      </w:r>
      <w:r>
        <w:rPr>
          <w:spacing w:val="-13"/>
        </w:rPr>
        <w:t> </w:t>
      </w:r>
      <w:r>
        <w:rPr/>
        <w:t>patients</w:t>
      </w:r>
      <w:r>
        <w:rPr>
          <w:spacing w:val="-14"/>
        </w:rPr>
        <w:t> </w:t>
      </w:r>
      <w:r>
        <w:rPr/>
        <w:t>treated</w:t>
      </w:r>
      <w:r>
        <w:rPr>
          <w:spacing w:val="-14"/>
        </w:rPr>
        <w:t> </w:t>
      </w:r>
      <w:r>
        <w:rPr/>
        <w:t>in</w:t>
      </w:r>
      <w:r>
        <w:rPr>
          <w:spacing w:val="-14"/>
        </w:rPr>
        <w:t> </w:t>
      </w:r>
      <w:r>
        <w:rPr/>
        <w:t>detail</w:t>
      </w:r>
      <w:r>
        <w:rPr>
          <w:spacing w:val="-15"/>
        </w:rPr>
        <w:t> </w:t>
      </w:r>
      <w:r>
        <w:rPr/>
        <w:t>above,</w:t>
      </w:r>
      <w:r>
        <w:rPr>
          <w:spacing w:val="-14"/>
        </w:rPr>
        <w:t> </w:t>
      </w:r>
      <w:r>
        <w:rPr/>
        <w:t>researchers</w:t>
      </w:r>
      <w:r>
        <w:rPr>
          <w:spacing w:val="-16"/>
        </w:rPr>
        <w:t> </w:t>
      </w:r>
      <w:r>
        <w:rPr/>
        <w:t>found</w:t>
      </w:r>
      <w:r>
        <w:rPr>
          <w:spacing w:val="-13"/>
        </w:rPr>
        <w:t> </w:t>
      </w:r>
      <w:r>
        <w:rPr/>
        <w:t>a</w:t>
      </w:r>
      <w:r>
        <w:rPr>
          <w:spacing w:val="-15"/>
        </w:rPr>
        <w:t> </w:t>
      </w:r>
      <w:r>
        <w:rPr/>
        <w:t>lower</w:t>
      </w:r>
      <w:r>
        <w:rPr>
          <w:spacing w:val="-14"/>
        </w:rPr>
        <w:t> </w:t>
      </w:r>
      <w:r>
        <w:rPr/>
        <w:t>concentration of vitamin C was present in the body than in healthy individuals. This in itself is</w:t>
      </w:r>
      <w:r>
        <w:rPr>
          <w:spacing w:val="-23"/>
        </w:rPr>
        <w:t> </w:t>
      </w:r>
      <w:r>
        <w:rPr/>
        <w:t>a</w:t>
      </w:r>
      <w:r>
        <w:rPr>
          <w:spacing w:val="-24"/>
        </w:rPr>
        <w:t> </w:t>
      </w:r>
      <w:r>
        <w:rPr/>
        <w:t>clear</w:t>
      </w:r>
      <w:r>
        <w:rPr>
          <w:spacing w:val="-21"/>
        </w:rPr>
        <w:t> </w:t>
      </w:r>
      <w:r>
        <w:rPr/>
        <w:t>indication</w:t>
      </w:r>
      <w:r>
        <w:rPr>
          <w:spacing w:val="-22"/>
        </w:rPr>
        <w:t> </w:t>
      </w:r>
      <w:r>
        <w:rPr/>
        <w:t>that</w:t>
      </w:r>
      <w:r>
        <w:rPr>
          <w:spacing w:val="-23"/>
        </w:rPr>
        <w:t> </w:t>
      </w:r>
      <w:r>
        <w:rPr/>
        <w:t>the</w:t>
      </w:r>
      <w:r>
        <w:rPr>
          <w:spacing w:val="-21"/>
        </w:rPr>
        <w:t> </w:t>
      </w:r>
      <w:r>
        <w:rPr/>
        <w:t>body</w:t>
      </w:r>
      <w:r>
        <w:rPr>
          <w:spacing w:val="-25"/>
        </w:rPr>
        <w:t> </w:t>
      </w:r>
      <w:r>
        <w:rPr/>
        <w:t>uses</w:t>
      </w:r>
      <w:r>
        <w:rPr>
          <w:spacing w:val="-22"/>
        </w:rPr>
        <w:t> </w:t>
      </w:r>
      <w:r>
        <w:rPr/>
        <w:t>its</w:t>
      </w:r>
      <w:r>
        <w:rPr>
          <w:spacing w:val="-22"/>
        </w:rPr>
        <w:t> </w:t>
      </w:r>
      <w:r>
        <w:rPr/>
        <w:t>vitamin</w:t>
      </w:r>
      <w:r>
        <w:rPr>
          <w:spacing w:val="-20"/>
        </w:rPr>
        <w:t> </w:t>
      </w:r>
      <w:r>
        <w:rPr/>
        <w:t>C</w:t>
      </w:r>
      <w:r>
        <w:rPr>
          <w:spacing w:val="-24"/>
        </w:rPr>
        <w:t> </w:t>
      </w:r>
      <w:r>
        <w:rPr/>
        <w:t>reserves</w:t>
      </w:r>
      <w:r>
        <w:rPr>
          <w:spacing w:val="-21"/>
        </w:rPr>
        <w:t> </w:t>
      </w:r>
      <w:r>
        <w:rPr/>
        <w:t>to</w:t>
      </w:r>
      <w:r>
        <w:rPr>
          <w:spacing w:val="-22"/>
        </w:rPr>
        <w:t> </w:t>
      </w:r>
      <w:r>
        <w:rPr/>
        <w:t>deal</w:t>
      </w:r>
      <w:r>
        <w:rPr>
          <w:spacing w:val="-24"/>
        </w:rPr>
        <w:t> </w:t>
      </w:r>
      <w:r>
        <w:rPr/>
        <w:t>with</w:t>
      </w:r>
      <w:r>
        <w:rPr>
          <w:spacing w:val="-21"/>
        </w:rPr>
        <w:t> </w:t>
      </w:r>
      <w:r>
        <w:rPr/>
        <w:t>getting ill.</w:t>
      </w:r>
    </w:p>
    <w:p>
      <w:pPr>
        <w:pStyle w:val="BodyText"/>
        <w:spacing w:before="241"/>
        <w:ind w:left="616"/>
        <w:jc w:val="both"/>
      </w:pPr>
      <w:r>
        <w:rPr/>
        <w:t>However, as a normal diet can include 100 mg of vitamin C per day at most,</w:t>
      </w:r>
    </w:p>
    <w:p>
      <w:pPr>
        <w:pStyle w:val="BodyText"/>
        <w:rPr>
          <w:sz w:val="20"/>
        </w:rPr>
      </w:pPr>
    </w:p>
    <w:p>
      <w:pPr>
        <w:pStyle w:val="BodyText"/>
        <w:rPr>
          <w:sz w:val="20"/>
        </w:rPr>
      </w:pPr>
    </w:p>
    <w:p>
      <w:pPr>
        <w:pStyle w:val="BodyText"/>
        <w:rPr>
          <w:sz w:val="20"/>
        </w:rPr>
      </w:pPr>
    </w:p>
    <w:p>
      <w:pPr>
        <w:pStyle w:val="BodyText"/>
        <w:spacing w:before="3"/>
        <w:rPr>
          <w:sz w:val="27"/>
        </w:rPr>
      </w:pPr>
      <w:r>
        <w:rPr/>
        <w:pict>
          <v:line style="position:absolute;mso-position-horizontal-relative:page;mso-position-vertical-relative:paragraph;z-index:14216;mso-wrap-distance-left:0;mso-wrap-distance-right:0" from="70.823997pt,17.708765pt" to="214.843997pt,17.708765pt" stroked="true" strokeweight=".71997pt" strokecolor="#000000">
            <v:stroke dashstyle="solid"/>
            <w10:wrap type="topAndBottom"/>
          </v:line>
        </w:pict>
      </w:r>
    </w:p>
    <w:p>
      <w:pPr>
        <w:pStyle w:val="BodyText"/>
        <w:spacing w:before="7"/>
        <w:rPr>
          <w:sz w:val="18"/>
        </w:rPr>
      </w:pPr>
    </w:p>
    <w:p>
      <w:pPr>
        <w:spacing w:line="276" w:lineRule="auto" w:before="99"/>
        <w:ind w:left="616" w:right="244" w:firstLine="0"/>
        <w:jc w:val="left"/>
        <w:rPr>
          <w:sz w:val="20"/>
        </w:rPr>
      </w:pPr>
      <w:r>
        <w:rPr>
          <w:position w:val="5"/>
          <w:sz w:val="13"/>
        </w:rPr>
        <w:t>1033 </w:t>
      </w:r>
      <w:r>
        <w:rPr>
          <w:sz w:val="20"/>
        </w:rPr>
        <w:t>Klenner F. R.: Observations on the dose and administration of ascorbic acid when employed beyond the range of a vitamin in human pathol- ogy. J. Appl. Nutr. 1971; 23, pp. 61–88</w:t>
      </w:r>
    </w:p>
    <w:p>
      <w:pPr>
        <w:spacing w:line="276" w:lineRule="auto" w:before="61"/>
        <w:ind w:left="616" w:right="200" w:firstLine="0"/>
        <w:jc w:val="left"/>
        <w:rPr>
          <w:sz w:val="20"/>
        </w:rPr>
      </w:pPr>
      <w:r>
        <w:rPr/>
        <w:drawing>
          <wp:anchor distT="0" distB="0" distL="0" distR="0" allowOverlap="1" layoutInCell="1" locked="0" behindDoc="1" simplePos="0" relativeHeight="267182015">
            <wp:simplePos x="0" y="0"/>
            <wp:positionH relativeFrom="page">
              <wp:posOffset>985998</wp:posOffset>
            </wp:positionH>
            <wp:positionV relativeFrom="paragraph">
              <wp:posOffset>247499</wp:posOffset>
            </wp:positionV>
            <wp:extent cx="6379583" cy="902106"/>
            <wp:effectExtent l="0" t="0" r="0" b="0"/>
            <wp:wrapNone/>
            <wp:docPr id="685" name="image2.jpeg" descr=""/>
            <wp:cNvGraphicFramePr>
              <a:graphicFrameLocks noChangeAspect="1"/>
            </wp:cNvGraphicFramePr>
            <a:graphic>
              <a:graphicData uri="http://schemas.openxmlformats.org/drawingml/2006/picture">
                <pic:pic>
                  <pic:nvPicPr>
                    <pic:cNvPr id="686" name="image2.jpeg"/>
                    <pic:cNvPicPr/>
                  </pic:nvPicPr>
                  <pic:blipFill>
                    <a:blip r:embed="rId21" cstate="print"/>
                    <a:stretch>
                      <a:fillRect/>
                    </a:stretch>
                  </pic:blipFill>
                  <pic:spPr>
                    <a:xfrm>
                      <a:off x="0" y="0"/>
                      <a:ext cx="6379583" cy="902106"/>
                    </a:xfrm>
                    <a:prstGeom prst="rect">
                      <a:avLst/>
                    </a:prstGeom>
                  </pic:spPr>
                </pic:pic>
              </a:graphicData>
            </a:graphic>
          </wp:anchor>
        </w:drawing>
      </w:r>
      <w:r>
        <w:rPr>
          <w:position w:val="5"/>
          <w:sz w:val="13"/>
        </w:rPr>
        <w:t>1034 </w:t>
      </w:r>
      <w:r>
        <w:rPr>
          <w:sz w:val="20"/>
        </w:rPr>
        <w:t>Klenner F. R.: Virus pneumonia and its treatment with vitamin C. Journal of Southern Medicine and Surgery 1948, 110, pp. 60–63; Klenner F. R.: Observations on the dose and administration of ascorbic acid when employed beyond the range of a vitamin in human pathology. Journal of Applied Nutrition 1971, 23, pp. 61–88; McCormick W. J.: Ascorbic acid as a chemotherapeutic agent. Archives of Pediatrics 1952, 69, pp. 151–155</w:t>
      </w:r>
    </w:p>
    <w:p>
      <w:pPr>
        <w:spacing w:after="0" w:line="276" w:lineRule="auto"/>
        <w:jc w:val="left"/>
        <w:rPr>
          <w:sz w:val="20"/>
        </w:rPr>
        <w:sectPr>
          <w:footerReference w:type="default" r:id="rId471"/>
          <w:pgSz w:w="14270" w:h="16850"/>
          <w:pgMar w:footer="527" w:header="0" w:top="1340" w:bottom="720" w:left="800" w:right="1280"/>
        </w:sectPr>
      </w:pPr>
    </w:p>
    <w:p>
      <w:pPr>
        <w:pStyle w:val="BodyText"/>
        <w:spacing w:line="276" w:lineRule="auto" w:before="72"/>
        <w:ind w:left="616" w:right="138"/>
        <w:jc w:val="both"/>
      </w:pPr>
      <w:r>
        <w:rPr/>
        <w:t>an</w:t>
      </w:r>
      <w:r>
        <w:rPr>
          <w:spacing w:val="-8"/>
        </w:rPr>
        <w:t> </w:t>
      </w:r>
      <w:r>
        <w:rPr/>
        <w:t>additional</w:t>
      </w:r>
      <w:r>
        <w:rPr>
          <w:spacing w:val="-8"/>
        </w:rPr>
        <w:t> </w:t>
      </w:r>
      <w:r>
        <w:rPr/>
        <w:t>nutritional</w:t>
      </w:r>
      <w:r>
        <w:rPr>
          <w:spacing w:val="-9"/>
        </w:rPr>
        <w:t> </w:t>
      </w:r>
      <w:r>
        <w:rPr/>
        <w:t>supplement</w:t>
      </w:r>
      <w:r>
        <w:rPr>
          <w:spacing w:val="-7"/>
        </w:rPr>
        <w:t> </w:t>
      </w:r>
      <w:r>
        <w:rPr/>
        <w:t>with</w:t>
      </w:r>
      <w:r>
        <w:rPr>
          <w:spacing w:val="-6"/>
        </w:rPr>
        <w:t> </w:t>
      </w:r>
      <w:r>
        <w:rPr/>
        <w:t>natural</w:t>
      </w:r>
      <w:r>
        <w:rPr>
          <w:spacing w:val="-9"/>
        </w:rPr>
        <w:t> </w:t>
      </w:r>
      <w:r>
        <w:rPr/>
        <w:t>vitamin</w:t>
      </w:r>
      <w:r>
        <w:rPr>
          <w:spacing w:val="-7"/>
        </w:rPr>
        <w:t> </w:t>
      </w:r>
      <w:r>
        <w:rPr/>
        <w:t>C</w:t>
      </w:r>
      <w:r>
        <w:rPr>
          <w:spacing w:val="-8"/>
        </w:rPr>
        <w:t> </w:t>
      </w:r>
      <w:r>
        <w:rPr/>
        <w:t>preparations</w:t>
      </w:r>
      <w:r>
        <w:rPr>
          <w:spacing w:val="-7"/>
        </w:rPr>
        <w:t> </w:t>
      </w:r>
      <w:r>
        <w:rPr/>
        <w:t>is</w:t>
      </w:r>
      <w:r>
        <w:rPr>
          <w:spacing w:val="-7"/>
        </w:rPr>
        <w:t> </w:t>
      </w:r>
      <w:r>
        <w:rPr/>
        <w:t>es- sential.</w:t>
      </w:r>
    </w:p>
    <w:p>
      <w:pPr>
        <w:pStyle w:val="BodyText"/>
        <w:spacing w:line="261" w:lineRule="auto" w:before="223"/>
        <w:ind w:left="1182" w:hanging="142"/>
      </w:pPr>
      <w:r>
        <w:rPr/>
        <w:t>People who require increased levels of vitamin C </w:t>
      </w:r>
      <w:r>
        <w:rPr>
          <w:b/>
          <w:i/>
          <w:sz w:val="40"/>
        </w:rPr>
        <w:t>– </w:t>
      </w:r>
      <w:r>
        <w:rPr/>
        <w:t>other than people suf- fering from a disease </w:t>
      </w:r>
      <w:r>
        <w:rPr>
          <w:b/>
          <w:i/>
          <w:sz w:val="40"/>
        </w:rPr>
        <w:t>– </w:t>
      </w:r>
      <w:r>
        <w:rPr/>
        <w:t>include:</w:t>
      </w:r>
    </w:p>
    <w:p>
      <w:pPr>
        <w:pStyle w:val="ListParagraph"/>
        <w:numPr>
          <w:ilvl w:val="1"/>
          <w:numId w:val="132"/>
        </w:numPr>
        <w:tabs>
          <w:tab w:pos="1761" w:val="left" w:leader="none"/>
          <w:tab w:pos="1762" w:val="left" w:leader="none"/>
        </w:tabs>
        <w:spacing w:line="240" w:lineRule="auto" w:before="142" w:after="0"/>
        <w:ind w:left="1761" w:right="0" w:hanging="360"/>
        <w:jc w:val="left"/>
        <w:rPr>
          <w:sz w:val="38"/>
        </w:rPr>
      </w:pPr>
      <w:r>
        <w:rPr>
          <w:sz w:val="38"/>
        </w:rPr>
        <w:t>Pregnant women and breast-feeding</w:t>
      </w:r>
      <w:r>
        <w:rPr>
          <w:spacing w:val="2"/>
          <w:sz w:val="38"/>
        </w:rPr>
        <w:t> </w:t>
      </w:r>
      <w:r>
        <w:rPr>
          <w:sz w:val="38"/>
        </w:rPr>
        <w:t>mothers,</w:t>
      </w:r>
    </w:p>
    <w:p>
      <w:pPr>
        <w:pStyle w:val="ListParagraph"/>
        <w:numPr>
          <w:ilvl w:val="1"/>
          <w:numId w:val="132"/>
        </w:numPr>
        <w:tabs>
          <w:tab w:pos="1761" w:val="left" w:leader="none"/>
          <w:tab w:pos="1762" w:val="left" w:leader="none"/>
        </w:tabs>
        <w:spacing w:line="240" w:lineRule="auto" w:before="184" w:after="0"/>
        <w:ind w:left="1761" w:right="0" w:hanging="360"/>
        <w:jc w:val="left"/>
        <w:rPr>
          <w:sz w:val="38"/>
        </w:rPr>
      </w:pPr>
      <w:r>
        <w:rPr>
          <w:sz w:val="38"/>
        </w:rPr>
        <w:t>Smokers,</w:t>
      </w:r>
    </w:p>
    <w:p>
      <w:pPr>
        <w:pStyle w:val="ListParagraph"/>
        <w:numPr>
          <w:ilvl w:val="1"/>
          <w:numId w:val="132"/>
        </w:numPr>
        <w:tabs>
          <w:tab w:pos="1761" w:val="left" w:leader="none"/>
          <w:tab w:pos="1762" w:val="left" w:leader="none"/>
        </w:tabs>
        <w:spacing w:line="240" w:lineRule="auto" w:before="184" w:after="0"/>
        <w:ind w:left="1761" w:right="0" w:hanging="360"/>
        <w:jc w:val="left"/>
        <w:rPr>
          <w:sz w:val="38"/>
        </w:rPr>
      </w:pPr>
      <w:r>
        <w:rPr>
          <w:sz w:val="38"/>
        </w:rPr>
        <w:t>People who are subject to increased environmental</w:t>
      </w:r>
      <w:r>
        <w:rPr>
          <w:spacing w:val="-4"/>
          <w:sz w:val="38"/>
        </w:rPr>
        <w:t> </w:t>
      </w:r>
      <w:r>
        <w:rPr>
          <w:sz w:val="38"/>
        </w:rPr>
        <w:t>pollution,</w:t>
      </w:r>
    </w:p>
    <w:p>
      <w:pPr>
        <w:pStyle w:val="ListParagraph"/>
        <w:numPr>
          <w:ilvl w:val="1"/>
          <w:numId w:val="132"/>
        </w:numPr>
        <w:tabs>
          <w:tab w:pos="1761" w:val="left" w:leader="none"/>
          <w:tab w:pos="1762" w:val="left" w:leader="none"/>
        </w:tabs>
        <w:spacing w:line="273" w:lineRule="auto" w:before="184" w:after="0"/>
        <w:ind w:left="1761" w:right="138" w:hanging="360"/>
        <w:jc w:val="left"/>
        <w:rPr>
          <w:sz w:val="38"/>
        </w:rPr>
      </w:pPr>
      <w:r>
        <w:rPr>
          <w:sz w:val="38"/>
        </w:rPr>
        <w:t>Groups of people who are exposed to increased physical and physio- logical stress,</w:t>
      </w:r>
    </w:p>
    <w:p>
      <w:pPr>
        <w:pStyle w:val="ListParagraph"/>
        <w:numPr>
          <w:ilvl w:val="1"/>
          <w:numId w:val="132"/>
        </w:numPr>
        <w:tabs>
          <w:tab w:pos="1761" w:val="left" w:leader="none"/>
          <w:tab w:pos="1762" w:val="left" w:leader="none"/>
        </w:tabs>
        <w:spacing w:line="240" w:lineRule="auto" w:before="127" w:after="0"/>
        <w:ind w:left="1761" w:right="0" w:hanging="360"/>
        <w:jc w:val="left"/>
        <w:rPr>
          <w:sz w:val="38"/>
        </w:rPr>
      </w:pPr>
      <w:r>
        <w:rPr>
          <w:sz w:val="38"/>
        </w:rPr>
        <w:t>Athletes (in particular endurance</w:t>
      </w:r>
      <w:r>
        <w:rPr>
          <w:spacing w:val="6"/>
          <w:sz w:val="38"/>
        </w:rPr>
        <w:t> </w:t>
      </w:r>
      <w:r>
        <w:rPr>
          <w:sz w:val="38"/>
        </w:rPr>
        <w:t>athletes),</w:t>
      </w:r>
    </w:p>
    <w:p>
      <w:pPr>
        <w:pStyle w:val="ListParagraph"/>
        <w:numPr>
          <w:ilvl w:val="1"/>
          <w:numId w:val="132"/>
        </w:numPr>
        <w:tabs>
          <w:tab w:pos="1761" w:val="left" w:leader="none"/>
          <w:tab w:pos="1762" w:val="left" w:leader="none"/>
        </w:tabs>
        <w:spacing w:line="240" w:lineRule="auto" w:before="186" w:after="0"/>
        <w:ind w:left="1761" w:right="0" w:hanging="360"/>
        <w:jc w:val="left"/>
        <w:rPr>
          <w:sz w:val="38"/>
        </w:rPr>
      </w:pPr>
      <w:r>
        <w:rPr>
          <w:sz w:val="38"/>
        </w:rPr>
        <w:t>People who drink lots of</w:t>
      </w:r>
      <w:r>
        <w:rPr>
          <w:spacing w:val="2"/>
          <w:sz w:val="38"/>
        </w:rPr>
        <w:t> </w:t>
      </w:r>
      <w:r>
        <w:rPr>
          <w:sz w:val="38"/>
        </w:rPr>
        <w:t>alcohol,</w:t>
      </w:r>
    </w:p>
    <w:p>
      <w:pPr>
        <w:pStyle w:val="ListParagraph"/>
        <w:numPr>
          <w:ilvl w:val="1"/>
          <w:numId w:val="132"/>
        </w:numPr>
        <w:tabs>
          <w:tab w:pos="1761" w:val="left" w:leader="none"/>
          <w:tab w:pos="1762" w:val="left" w:leader="none"/>
        </w:tabs>
        <w:spacing w:line="240" w:lineRule="auto" w:before="183" w:after="0"/>
        <w:ind w:left="1761" w:right="0" w:hanging="360"/>
        <w:jc w:val="left"/>
        <w:rPr>
          <w:sz w:val="38"/>
        </w:rPr>
      </w:pPr>
      <w:r>
        <w:rPr>
          <w:sz w:val="38"/>
        </w:rPr>
        <w:t>People who are taking hormones (contraceptive</w:t>
      </w:r>
      <w:r>
        <w:rPr>
          <w:spacing w:val="-3"/>
          <w:sz w:val="38"/>
        </w:rPr>
        <w:t> </w:t>
      </w:r>
      <w:r>
        <w:rPr>
          <w:sz w:val="38"/>
        </w:rPr>
        <w:t>pills,</w:t>
      </w:r>
    </w:p>
    <w:p>
      <w:pPr>
        <w:pStyle w:val="ListParagraph"/>
        <w:numPr>
          <w:ilvl w:val="1"/>
          <w:numId w:val="132"/>
        </w:numPr>
        <w:tabs>
          <w:tab w:pos="1761" w:val="left" w:leader="none"/>
          <w:tab w:pos="1762" w:val="left" w:leader="none"/>
        </w:tabs>
        <w:spacing w:line="240" w:lineRule="auto" w:before="184" w:after="0"/>
        <w:ind w:left="1761" w:right="0" w:hanging="360"/>
        <w:jc w:val="left"/>
        <w:rPr>
          <w:sz w:val="38"/>
        </w:rPr>
      </w:pPr>
      <w:r>
        <w:rPr>
          <w:sz w:val="38"/>
        </w:rPr>
        <w:t>anabolic</w:t>
      </w:r>
      <w:r>
        <w:rPr>
          <w:spacing w:val="-1"/>
          <w:sz w:val="38"/>
        </w:rPr>
        <w:t> </w:t>
      </w:r>
      <w:r>
        <w:rPr>
          <w:sz w:val="38"/>
        </w:rPr>
        <w:t>substances).</w:t>
      </w:r>
    </w:p>
    <w:p>
      <w:pPr>
        <w:pStyle w:val="Heading2"/>
        <w:spacing w:line="276" w:lineRule="auto" w:before="302"/>
        <w:ind w:left="616" w:right="144"/>
        <w:jc w:val="both"/>
      </w:pPr>
      <w:r>
        <w:rPr/>
        <w:t>Self-test for determining the individual vitamin C requirement for healthy and unwell individuals</w:t>
      </w:r>
    </w:p>
    <w:p>
      <w:pPr>
        <w:pStyle w:val="BodyText"/>
        <w:spacing w:line="276" w:lineRule="auto" w:before="241"/>
        <w:ind w:left="616" w:right="141"/>
        <w:jc w:val="both"/>
      </w:pPr>
      <w:r>
        <w:rPr/>
        <w:t>While the recommendation of 30-50 mg of vitamin C per kilo of body weight daily is a very applicable orientation point, vitamin researcher Dr. Kinadeter gives us a guide for precise, individual tests to determine vitamin C require- ment.</w:t>
      </w:r>
    </w:p>
    <w:p>
      <w:pPr>
        <w:pStyle w:val="BodyText"/>
        <w:spacing w:before="240"/>
        <w:ind w:left="616"/>
        <w:jc w:val="both"/>
      </w:pPr>
      <w:r>
        <w:rPr/>
        <w:t>According to Dr. Kinadeter, the body only ever retains as much vitamin C</w:t>
      </w:r>
      <w:r>
        <w:rPr>
          <w:spacing w:val="87"/>
        </w:rPr>
        <w:t> </w:t>
      </w:r>
      <w:r>
        <w:rPr/>
        <w:t>as</w:t>
      </w:r>
    </w:p>
    <w:p>
      <w:pPr>
        <w:spacing w:after="0"/>
        <w:jc w:val="both"/>
        <w:sectPr>
          <w:footerReference w:type="default" r:id="rId472"/>
          <w:pgSz w:w="14270" w:h="16850"/>
          <w:pgMar w:footer="1891" w:header="0" w:top="1340" w:bottom="2080" w:left="800" w:right="1280"/>
          <w:pgNumType w:start="1770"/>
        </w:sectPr>
      </w:pPr>
    </w:p>
    <w:p>
      <w:pPr>
        <w:pStyle w:val="BodyText"/>
        <w:spacing w:before="72"/>
        <w:ind w:left="616"/>
      </w:pPr>
      <w:r>
        <w:rPr/>
        <w:t>it requires; excess amounts are excreted via the bladder and intestine.</w:t>
      </w:r>
    </w:p>
    <w:p>
      <w:pPr>
        <w:pStyle w:val="BodyText"/>
        <w:spacing w:line="276" w:lineRule="auto" w:before="304"/>
        <w:ind w:left="616"/>
      </w:pPr>
      <w:r>
        <w:rPr/>
        <w:t>However, this excretion is a good thing as, according to Dr. Kinadeter, it pre- vents potential diseases in the bladder, prostate and intestine.</w:t>
      </w:r>
    </w:p>
    <w:p>
      <w:pPr>
        <w:pStyle w:val="Heading2"/>
        <w:spacing w:before="241"/>
        <w:ind w:left="616"/>
      </w:pPr>
      <w:r>
        <w:rPr/>
        <w:t>The test:</w:t>
      </w:r>
    </w:p>
    <w:p>
      <w:pPr>
        <w:spacing w:before="305"/>
        <w:ind w:left="616" w:right="0" w:firstLine="0"/>
        <w:jc w:val="left"/>
        <w:rPr>
          <w:i/>
          <w:sz w:val="38"/>
        </w:rPr>
      </w:pPr>
      <w:r>
        <w:rPr>
          <w:i/>
          <w:sz w:val="38"/>
        </w:rPr>
        <w:t>FIRST DAY: 1500 mg vitamin C</w:t>
      </w:r>
    </w:p>
    <w:p>
      <w:pPr>
        <w:pStyle w:val="BodyText"/>
        <w:spacing w:line="276" w:lineRule="auto" w:before="305"/>
        <w:ind w:left="616"/>
      </w:pPr>
      <w:r>
        <w:rPr/>
        <w:t>Take 0.5 g of vitamin C after breakfast, lunch and dinner respectively (if pos- sible in the form of a camu camu capsule or camu camu powder or Acerola!).</w:t>
      </w:r>
    </w:p>
    <w:p>
      <w:pPr>
        <w:spacing w:before="238"/>
        <w:ind w:left="616" w:right="0" w:firstLine="0"/>
        <w:jc w:val="left"/>
        <w:rPr>
          <w:i/>
          <w:sz w:val="38"/>
        </w:rPr>
      </w:pPr>
      <w:r>
        <w:rPr>
          <w:i/>
          <w:sz w:val="38"/>
        </w:rPr>
        <w:t>SECOND DAY: 3000 mg vitamin C</w:t>
      </w:r>
    </w:p>
    <w:p>
      <w:pPr>
        <w:pStyle w:val="BodyText"/>
        <w:spacing w:line="410" w:lineRule="auto" w:before="305"/>
        <w:ind w:left="616" w:right="1576"/>
      </w:pPr>
      <w:r>
        <w:rPr/>
        <w:t>Take 1 g of vitamin C after breakfast, lunch and dinner respectively. etc.</w:t>
      </w:r>
    </w:p>
    <w:p>
      <w:pPr>
        <w:pStyle w:val="BodyText"/>
        <w:spacing w:line="276" w:lineRule="auto" w:before="1"/>
        <w:ind w:left="616" w:right="135"/>
        <w:jc w:val="both"/>
        <w:rPr>
          <w:sz w:val="25"/>
        </w:rPr>
      </w:pPr>
      <w:r>
        <w:rPr/>
        <w:t>In this way, you can increase your vitamin C supply stage by stage until diar- rhoea</w:t>
      </w:r>
      <w:r>
        <w:rPr>
          <w:spacing w:val="-13"/>
        </w:rPr>
        <w:t> </w:t>
      </w:r>
      <w:r>
        <w:rPr/>
        <w:t>occurs.</w:t>
      </w:r>
      <w:r>
        <w:rPr>
          <w:spacing w:val="-11"/>
        </w:rPr>
        <w:t> </w:t>
      </w:r>
      <w:r>
        <w:rPr/>
        <w:t>If</w:t>
      </w:r>
      <w:r>
        <w:rPr>
          <w:spacing w:val="-16"/>
        </w:rPr>
        <w:t> </w:t>
      </w:r>
      <w:r>
        <w:rPr/>
        <w:t>this</w:t>
      </w:r>
      <w:r>
        <w:rPr>
          <w:spacing w:val="-11"/>
        </w:rPr>
        <w:t> </w:t>
      </w:r>
      <w:r>
        <w:rPr/>
        <w:t>happens,</w:t>
      </w:r>
      <w:r>
        <w:rPr>
          <w:spacing w:val="-13"/>
        </w:rPr>
        <w:t> </w:t>
      </w:r>
      <w:r>
        <w:rPr/>
        <w:t>reduce</w:t>
      </w:r>
      <w:r>
        <w:rPr>
          <w:spacing w:val="-11"/>
        </w:rPr>
        <w:t> </w:t>
      </w:r>
      <w:r>
        <w:rPr/>
        <w:t>the</w:t>
      </w:r>
      <w:r>
        <w:rPr>
          <w:spacing w:val="-11"/>
        </w:rPr>
        <w:t> </w:t>
      </w:r>
      <w:r>
        <w:rPr/>
        <w:t>vitamin</w:t>
      </w:r>
      <w:r>
        <w:rPr>
          <w:spacing w:val="-11"/>
        </w:rPr>
        <w:t> </w:t>
      </w:r>
      <w:r>
        <w:rPr/>
        <w:t>C</w:t>
      </w:r>
      <w:r>
        <w:rPr>
          <w:spacing w:val="-13"/>
        </w:rPr>
        <w:t> </w:t>
      </w:r>
      <w:r>
        <w:rPr/>
        <w:t>dose</w:t>
      </w:r>
      <w:r>
        <w:rPr>
          <w:spacing w:val="-13"/>
        </w:rPr>
        <w:t> </w:t>
      </w:r>
      <w:r>
        <w:rPr/>
        <w:t>by</w:t>
      </w:r>
      <w:r>
        <w:rPr>
          <w:spacing w:val="-13"/>
        </w:rPr>
        <w:t> </w:t>
      </w:r>
      <w:r>
        <w:rPr/>
        <w:t>1</w:t>
      </w:r>
      <w:r>
        <w:rPr>
          <w:spacing w:val="-12"/>
        </w:rPr>
        <w:t> </w:t>
      </w:r>
      <w:r>
        <w:rPr/>
        <w:t>g.</w:t>
      </w:r>
      <w:r>
        <w:rPr>
          <w:spacing w:val="-10"/>
        </w:rPr>
        <w:t> </w:t>
      </w:r>
      <w:r>
        <w:rPr/>
        <w:t>It</w:t>
      </w:r>
      <w:r>
        <w:rPr>
          <w:spacing w:val="-12"/>
        </w:rPr>
        <w:t> </w:t>
      </w:r>
      <w:r>
        <w:rPr/>
        <w:t>is</w:t>
      </w:r>
      <w:r>
        <w:rPr>
          <w:spacing w:val="-12"/>
        </w:rPr>
        <w:t> </w:t>
      </w:r>
      <w:r>
        <w:rPr/>
        <w:t>important to pay attention to the stool, ensuring it remains normal and does not</w:t>
      </w:r>
      <w:r>
        <w:rPr>
          <w:spacing w:val="-65"/>
        </w:rPr>
        <w:t> </w:t>
      </w:r>
      <w:r>
        <w:rPr/>
        <w:t>become too thin when taking large doses of vitamin C, for example 10 g daily over a long period of</w:t>
      </w:r>
      <w:r>
        <w:rPr>
          <w:spacing w:val="-2"/>
        </w:rPr>
        <w:t> </w:t>
      </w:r>
      <w:r>
        <w:rPr/>
        <w:t>time.</w:t>
      </w:r>
      <w:r>
        <w:rPr>
          <w:position w:val="9"/>
          <w:sz w:val="25"/>
        </w:rPr>
        <w:t>1035</w:t>
      </w:r>
    </w:p>
    <w:p>
      <w:pPr>
        <w:pStyle w:val="BodyText"/>
        <w:spacing w:before="240"/>
        <w:ind w:left="616"/>
      </w:pPr>
      <w:r>
        <w:rPr/>
        <w:t>American vitamin C researcher and surgeon, Dr. Cathcart, has treated 9,000</w:t>
      </w:r>
    </w:p>
    <w:p>
      <w:pPr>
        <w:pStyle w:val="BodyText"/>
        <w:rPr>
          <w:sz w:val="20"/>
        </w:rPr>
      </w:pPr>
    </w:p>
    <w:p>
      <w:pPr>
        <w:pStyle w:val="BodyText"/>
        <w:rPr>
          <w:sz w:val="20"/>
        </w:rPr>
      </w:pPr>
    </w:p>
    <w:p>
      <w:pPr>
        <w:pStyle w:val="BodyText"/>
        <w:spacing w:before="2"/>
        <w:rPr>
          <w:sz w:val="15"/>
        </w:rPr>
      </w:pPr>
      <w:r>
        <w:rPr/>
        <w:pict>
          <v:line style="position:absolute;mso-position-horizontal-relative:page;mso-position-vertical-relative:paragraph;z-index:14264;mso-wrap-distance-left:0;mso-wrap-distance-right:0" from="70.823997pt,10.931265pt" to="214.843997pt,10.931265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1035 </w:t>
      </w:r>
      <w:r>
        <w:rPr>
          <w:sz w:val="20"/>
        </w:rPr>
        <w:t>Kinadeter 2004, p. 71</w:t>
      </w:r>
    </w:p>
    <w:p>
      <w:pPr>
        <w:spacing w:after="0"/>
        <w:jc w:val="left"/>
        <w:rPr>
          <w:sz w:val="20"/>
        </w:rPr>
        <w:sectPr>
          <w:pgSz w:w="14270" w:h="16850"/>
          <w:pgMar w:header="0" w:footer="1891" w:top="1340" w:bottom="2080" w:left="800" w:right="1280"/>
        </w:sectPr>
      </w:pPr>
    </w:p>
    <w:p>
      <w:pPr>
        <w:pStyle w:val="BodyText"/>
        <w:spacing w:line="276" w:lineRule="auto" w:before="72"/>
        <w:ind w:left="616" w:right="136"/>
        <w:jc w:val="both"/>
      </w:pPr>
      <w:r>
        <w:rPr/>
        <w:t>patients over 10 years with large doses of vitamin C and, in the course of this, has determined that people suffering from diseases demonstrate significantly increased gastrointestinal tolerance to vitamin C than healthy individuals.</w:t>
      </w:r>
    </w:p>
    <w:p>
      <w:pPr>
        <w:pStyle w:val="BodyText"/>
        <w:spacing w:line="276" w:lineRule="auto" w:before="241"/>
        <w:ind w:left="616" w:right="135"/>
        <w:jc w:val="both"/>
        <w:rPr>
          <w:sz w:val="25"/>
        </w:rPr>
      </w:pPr>
      <w:r>
        <w:rPr/>
        <w:t>Thus,</w:t>
      </w:r>
      <w:r>
        <w:rPr>
          <w:spacing w:val="-15"/>
        </w:rPr>
        <w:t> </w:t>
      </w:r>
      <w:r>
        <w:rPr/>
        <w:t>it</w:t>
      </w:r>
      <w:r>
        <w:rPr>
          <w:spacing w:val="-17"/>
        </w:rPr>
        <w:t> </w:t>
      </w:r>
      <w:r>
        <w:rPr/>
        <w:t>could</w:t>
      </w:r>
      <w:r>
        <w:rPr>
          <w:spacing w:val="-12"/>
        </w:rPr>
        <w:t> </w:t>
      </w:r>
      <w:r>
        <w:rPr/>
        <w:t>well</w:t>
      </w:r>
      <w:r>
        <w:rPr>
          <w:spacing w:val="-16"/>
        </w:rPr>
        <w:t> </w:t>
      </w:r>
      <w:r>
        <w:rPr/>
        <w:t>be</w:t>
      </w:r>
      <w:r>
        <w:rPr>
          <w:spacing w:val="-15"/>
        </w:rPr>
        <w:t> </w:t>
      </w:r>
      <w:r>
        <w:rPr/>
        <w:t>possible</w:t>
      </w:r>
      <w:r>
        <w:rPr>
          <w:spacing w:val="-15"/>
        </w:rPr>
        <w:t> </w:t>
      </w:r>
      <w:r>
        <w:rPr/>
        <w:t>that</w:t>
      </w:r>
      <w:r>
        <w:rPr>
          <w:spacing w:val="-17"/>
        </w:rPr>
        <w:t> </w:t>
      </w:r>
      <w:r>
        <w:rPr/>
        <w:t>a</w:t>
      </w:r>
      <w:r>
        <w:rPr>
          <w:spacing w:val="-16"/>
        </w:rPr>
        <w:t> </w:t>
      </w:r>
      <w:r>
        <w:rPr/>
        <w:t>person</w:t>
      </w:r>
      <w:r>
        <w:rPr>
          <w:spacing w:val="-15"/>
        </w:rPr>
        <w:t> </w:t>
      </w:r>
      <w:r>
        <w:rPr/>
        <w:t>can</w:t>
      </w:r>
      <w:r>
        <w:rPr>
          <w:spacing w:val="-14"/>
        </w:rPr>
        <w:t> </w:t>
      </w:r>
      <w:r>
        <w:rPr/>
        <w:t>take</w:t>
      </w:r>
      <w:r>
        <w:rPr>
          <w:spacing w:val="-15"/>
        </w:rPr>
        <w:t> </w:t>
      </w:r>
      <w:r>
        <w:rPr/>
        <w:t>up</w:t>
      </w:r>
      <w:r>
        <w:rPr>
          <w:spacing w:val="-16"/>
        </w:rPr>
        <w:t> </w:t>
      </w:r>
      <w:r>
        <w:rPr/>
        <w:t>to</w:t>
      </w:r>
      <w:r>
        <w:rPr>
          <w:spacing w:val="-14"/>
        </w:rPr>
        <w:t> </w:t>
      </w:r>
      <w:r>
        <w:rPr/>
        <w:t>200</w:t>
      </w:r>
      <w:r>
        <w:rPr>
          <w:spacing w:val="-14"/>
        </w:rPr>
        <w:t> </w:t>
      </w:r>
      <w:r>
        <w:rPr/>
        <w:t>g</w:t>
      </w:r>
      <w:r>
        <w:rPr>
          <w:spacing w:val="-15"/>
        </w:rPr>
        <w:t> </w:t>
      </w:r>
      <w:r>
        <w:rPr/>
        <w:t>(200,000</w:t>
      </w:r>
      <w:r>
        <w:rPr>
          <w:spacing w:val="-15"/>
        </w:rPr>
        <w:t> </w:t>
      </w:r>
      <w:r>
        <w:rPr/>
        <w:t>mg), depending on their level of illness, without this leading to a laxative effect. However, such a high dose only applies in the case of disease because as soon as the body starts to recover, this tolerance diminishes. Consumption must be reduced as follows.</w:t>
      </w:r>
      <w:r>
        <w:rPr>
          <w:position w:val="9"/>
          <w:sz w:val="25"/>
        </w:rPr>
        <w:t>1036</w:t>
      </w:r>
    </w:p>
    <w:p>
      <w:pPr>
        <w:pStyle w:val="BodyText"/>
        <w:spacing w:line="276" w:lineRule="auto" w:before="240"/>
        <w:ind w:left="616" w:right="132"/>
        <w:jc w:val="both"/>
      </w:pPr>
      <w:r>
        <w:rPr/>
        <w:t>Furthermore, Cathcart declared that a ‘100 g cold’ cannot be successfully treated</w:t>
      </w:r>
      <w:r>
        <w:rPr>
          <w:spacing w:val="-14"/>
        </w:rPr>
        <w:t> </w:t>
      </w:r>
      <w:r>
        <w:rPr/>
        <w:t>with</w:t>
      </w:r>
      <w:r>
        <w:rPr>
          <w:spacing w:val="-13"/>
        </w:rPr>
        <w:t> </w:t>
      </w:r>
      <w:r>
        <w:rPr/>
        <w:t>a</w:t>
      </w:r>
      <w:r>
        <w:rPr>
          <w:spacing w:val="-14"/>
        </w:rPr>
        <w:t> </w:t>
      </w:r>
      <w:r>
        <w:rPr/>
        <w:t>few</w:t>
      </w:r>
      <w:r>
        <w:rPr>
          <w:spacing w:val="-14"/>
        </w:rPr>
        <w:t> </w:t>
      </w:r>
      <w:r>
        <w:rPr/>
        <w:t>grammes</w:t>
      </w:r>
      <w:r>
        <w:rPr>
          <w:spacing w:val="-13"/>
        </w:rPr>
        <w:t> </w:t>
      </w:r>
      <w:r>
        <w:rPr/>
        <w:t>of</w:t>
      </w:r>
      <w:r>
        <w:rPr>
          <w:spacing w:val="-13"/>
        </w:rPr>
        <w:t> </w:t>
      </w:r>
      <w:r>
        <w:rPr/>
        <w:t>vitamin</w:t>
      </w:r>
      <w:r>
        <w:rPr>
          <w:spacing w:val="-13"/>
        </w:rPr>
        <w:t> </w:t>
      </w:r>
      <w:r>
        <w:rPr/>
        <w:t>C.</w:t>
      </w:r>
      <w:r>
        <w:rPr>
          <w:spacing w:val="-14"/>
        </w:rPr>
        <w:t> </w:t>
      </w:r>
      <w:r>
        <w:rPr/>
        <w:t>Thus,</w:t>
      </w:r>
      <w:r>
        <w:rPr>
          <w:spacing w:val="-12"/>
        </w:rPr>
        <w:t> </w:t>
      </w:r>
      <w:r>
        <w:rPr/>
        <w:t>he</w:t>
      </w:r>
      <w:r>
        <w:rPr>
          <w:spacing w:val="-14"/>
        </w:rPr>
        <w:t> </w:t>
      </w:r>
      <w:r>
        <w:rPr/>
        <w:t>determined</w:t>
      </w:r>
      <w:r>
        <w:rPr>
          <w:spacing w:val="-13"/>
        </w:rPr>
        <w:t> </w:t>
      </w:r>
      <w:r>
        <w:rPr/>
        <w:t>that</w:t>
      </w:r>
      <w:r>
        <w:rPr>
          <w:spacing w:val="-13"/>
        </w:rPr>
        <w:t> </w:t>
      </w:r>
      <w:r>
        <w:rPr/>
        <w:t>the</w:t>
      </w:r>
      <w:r>
        <w:rPr>
          <w:spacing w:val="-12"/>
        </w:rPr>
        <w:t> </w:t>
      </w:r>
      <w:r>
        <w:rPr/>
        <w:t>correct vitamin</w:t>
      </w:r>
      <w:r>
        <w:rPr>
          <w:spacing w:val="-9"/>
        </w:rPr>
        <w:t> </w:t>
      </w:r>
      <w:r>
        <w:rPr/>
        <w:t>C</w:t>
      </w:r>
      <w:r>
        <w:rPr>
          <w:spacing w:val="-10"/>
        </w:rPr>
        <w:t> </w:t>
      </w:r>
      <w:r>
        <w:rPr/>
        <w:t>dose</w:t>
      </w:r>
      <w:r>
        <w:rPr>
          <w:spacing w:val="-8"/>
        </w:rPr>
        <w:t> </w:t>
      </w:r>
      <w:r>
        <w:rPr/>
        <w:t>for</w:t>
      </w:r>
      <w:r>
        <w:rPr>
          <w:spacing w:val="-7"/>
        </w:rPr>
        <w:t> </w:t>
      </w:r>
      <w:r>
        <w:rPr/>
        <w:t>the</w:t>
      </w:r>
      <w:r>
        <w:rPr>
          <w:spacing w:val="-10"/>
        </w:rPr>
        <w:t> </w:t>
      </w:r>
      <w:r>
        <w:rPr/>
        <w:t>successful</w:t>
      </w:r>
      <w:r>
        <w:rPr>
          <w:spacing w:val="-9"/>
        </w:rPr>
        <w:t> </w:t>
      </w:r>
      <w:r>
        <w:rPr/>
        <w:t>treatment</w:t>
      </w:r>
      <w:r>
        <w:rPr>
          <w:spacing w:val="-10"/>
        </w:rPr>
        <w:t> </w:t>
      </w:r>
      <w:r>
        <w:rPr/>
        <w:t>of</w:t>
      </w:r>
      <w:r>
        <w:rPr>
          <w:spacing w:val="-8"/>
        </w:rPr>
        <w:t> </w:t>
      </w:r>
      <w:r>
        <w:rPr/>
        <w:t>viral</w:t>
      </w:r>
      <w:r>
        <w:rPr>
          <w:spacing w:val="-10"/>
        </w:rPr>
        <w:t> </w:t>
      </w:r>
      <w:r>
        <w:rPr/>
        <w:t>infections</w:t>
      </w:r>
      <w:r>
        <w:rPr>
          <w:spacing w:val="-7"/>
        </w:rPr>
        <w:t> </w:t>
      </w:r>
      <w:r>
        <w:rPr/>
        <w:t>is</w:t>
      </w:r>
      <w:r>
        <w:rPr>
          <w:spacing w:val="-8"/>
        </w:rPr>
        <w:t> </w:t>
      </w:r>
      <w:r>
        <w:rPr/>
        <w:t>directly</w:t>
      </w:r>
      <w:r>
        <w:rPr>
          <w:spacing w:val="-9"/>
        </w:rPr>
        <w:t> </w:t>
      </w:r>
      <w:r>
        <w:rPr/>
        <w:t>under the amount which causes loose or watery</w:t>
      </w:r>
      <w:r>
        <w:rPr>
          <w:spacing w:val="2"/>
        </w:rPr>
        <w:t> </w:t>
      </w:r>
      <w:r>
        <w:rPr/>
        <w:t>stool.</w:t>
      </w:r>
    </w:p>
    <w:p>
      <w:pPr>
        <w:pStyle w:val="BodyText"/>
        <w:spacing w:line="276" w:lineRule="auto" w:before="242"/>
        <w:ind w:left="616" w:right="138"/>
        <w:jc w:val="both"/>
        <w:rPr>
          <w:sz w:val="25"/>
        </w:rPr>
      </w:pPr>
      <w:r>
        <w:rPr/>
        <w:t>Therefore, a person should increase the dose of vitamin C step by step until a laxative (soft stool/diarrhoea) effect occurs. For people with a ‘normal, good health status’ this tolerance level is between 4-15 g within 24 hours.</w:t>
      </w:r>
      <w:r>
        <w:rPr>
          <w:position w:val="9"/>
          <w:sz w:val="25"/>
        </w:rPr>
        <w:t>1037</w:t>
      </w:r>
    </w:p>
    <w:p>
      <w:pPr>
        <w:pStyle w:val="Heading2"/>
        <w:spacing w:line="276" w:lineRule="auto" w:before="239"/>
        <w:ind w:left="616" w:right="139"/>
        <w:jc w:val="both"/>
      </w:pPr>
      <w:r>
        <w:rPr/>
        <w:t>WATCH OUT WHEN YOU ARE BUYING FOODSTUFFS WITH VITAMIN C</w:t>
      </w:r>
    </w:p>
    <w:p>
      <w:pPr>
        <w:pStyle w:val="BodyText"/>
        <w:spacing w:line="276" w:lineRule="auto" w:before="240"/>
        <w:ind w:left="616" w:right="140"/>
        <w:jc w:val="both"/>
      </w:pPr>
      <w:r>
        <w:rPr/>
        <w:t>It is completely impossible for people in today’s modernised world to obtain sufficient nutrients and vitamins from diet alone! That’s all there is to it!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4"/>
        </w:rPr>
      </w:pPr>
      <w:r>
        <w:rPr/>
        <w:pict>
          <v:line style="position:absolute;mso-position-horizontal-relative:page;mso-position-vertical-relative:paragraph;z-index:14288;mso-wrap-distance-left:0;mso-wrap-distance-right:0" from="70.823997pt,10.596235pt" to="214.843997pt,10.596235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1036 </w:t>
      </w:r>
      <w:r>
        <w:rPr>
          <w:sz w:val="20"/>
        </w:rPr>
        <w:t>H. Lange: Mit Linus Pauling Forschungsergebnissen gesund werden - gesund bleiben, p. 13</w:t>
      </w:r>
    </w:p>
    <w:p>
      <w:pPr>
        <w:spacing w:before="94"/>
        <w:ind w:left="616" w:right="0" w:firstLine="0"/>
        <w:jc w:val="left"/>
        <w:rPr>
          <w:sz w:val="20"/>
        </w:rPr>
      </w:pPr>
      <w:r>
        <w:rPr>
          <w:position w:val="5"/>
          <w:sz w:val="13"/>
        </w:rPr>
        <w:t>1037 </w:t>
      </w:r>
      <w:r>
        <w:rPr>
          <w:sz w:val="20"/>
        </w:rPr>
        <w:t>Cathcart R. F.: Vitamin C, titrating do bowel tolerance, anascorbemia, and acute induced scurvy. Medical Hyphotheses 1981, 7, pp. 1359–1376</w:t>
      </w:r>
    </w:p>
    <w:p>
      <w:pPr>
        <w:spacing w:after="0"/>
        <w:jc w:val="left"/>
        <w:rPr>
          <w:sz w:val="20"/>
        </w:rPr>
        <w:sectPr>
          <w:pgSz w:w="14270" w:h="16850"/>
          <w:pgMar w:header="0" w:footer="1891" w:top="1340" w:bottom="2080" w:left="800" w:right="1280"/>
        </w:sectPr>
      </w:pPr>
    </w:p>
    <w:p>
      <w:pPr>
        <w:pStyle w:val="BodyText"/>
        <w:spacing w:line="276" w:lineRule="auto" w:before="72"/>
        <w:ind w:left="616" w:right="130"/>
        <w:jc w:val="both"/>
        <w:rPr>
          <w:sz w:val="25"/>
        </w:rPr>
      </w:pPr>
      <w:r>
        <w:rPr/>
        <w:t>In addition to supplementing diets with high-quality, natural nutritional sup- plements</w:t>
      </w:r>
      <w:r>
        <w:rPr>
          <w:spacing w:val="-14"/>
        </w:rPr>
        <w:t> </w:t>
      </w:r>
      <w:r>
        <w:rPr/>
        <w:t>(the</w:t>
      </w:r>
      <w:r>
        <w:rPr>
          <w:spacing w:val="-16"/>
        </w:rPr>
        <w:t> </w:t>
      </w:r>
      <w:r>
        <w:rPr/>
        <w:t>best</w:t>
      </w:r>
      <w:r>
        <w:rPr>
          <w:spacing w:val="-15"/>
        </w:rPr>
        <w:t> </w:t>
      </w:r>
      <w:r>
        <w:rPr/>
        <w:t>source</w:t>
      </w:r>
      <w:r>
        <w:rPr>
          <w:spacing w:val="-16"/>
        </w:rPr>
        <w:t> </w:t>
      </w:r>
      <w:r>
        <w:rPr/>
        <w:t>for</w:t>
      </w:r>
      <w:r>
        <w:rPr>
          <w:spacing w:val="-14"/>
        </w:rPr>
        <w:t> </w:t>
      </w:r>
      <w:r>
        <w:rPr/>
        <w:t>this</w:t>
      </w:r>
      <w:r>
        <w:rPr>
          <w:spacing w:val="-16"/>
        </w:rPr>
        <w:t> </w:t>
      </w:r>
      <w:r>
        <w:rPr/>
        <w:t>are</w:t>
      </w:r>
      <w:r>
        <w:rPr>
          <w:spacing w:val="-16"/>
        </w:rPr>
        <w:t> </w:t>
      </w:r>
      <w:r>
        <w:rPr/>
        <w:t>products</w:t>
      </w:r>
      <w:r>
        <w:rPr>
          <w:spacing w:val="-14"/>
        </w:rPr>
        <w:t> </w:t>
      </w:r>
      <w:r>
        <w:rPr/>
        <w:t>of</w:t>
      </w:r>
      <w:r>
        <w:rPr>
          <w:spacing w:val="-18"/>
        </w:rPr>
        <w:t> </w:t>
      </w:r>
      <w:r>
        <w:rPr/>
        <w:t>the</w:t>
      </w:r>
      <w:r>
        <w:rPr>
          <w:spacing w:val="-13"/>
        </w:rPr>
        <w:t> </w:t>
      </w:r>
      <w:r>
        <w:rPr/>
        <w:t>camu</w:t>
      </w:r>
      <w:r>
        <w:rPr>
          <w:spacing w:val="-15"/>
        </w:rPr>
        <w:t> </w:t>
      </w:r>
      <w:r>
        <w:rPr/>
        <w:t>camu</w:t>
      </w:r>
      <w:r>
        <w:rPr>
          <w:spacing w:val="-15"/>
        </w:rPr>
        <w:t> </w:t>
      </w:r>
      <w:r>
        <w:rPr/>
        <w:t>fruit),</w:t>
      </w:r>
      <w:r>
        <w:rPr>
          <w:spacing w:val="-13"/>
        </w:rPr>
        <w:t> </w:t>
      </w:r>
      <w:r>
        <w:rPr/>
        <w:t>people should</w:t>
      </w:r>
      <w:r>
        <w:rPr>
          <w:spacing w:val="-23"/>
        </w:rPr>
        <w:t> </w:t>
      </w:r>
      <w:r>
        <w:rPr/>
        <w:t>still</w:t>
      </w:r>
      <w:r>
        <w:rPr>
          <w:spacing w:val="-22"/>
        </w:rPr>
        <w:t> </w:t>
      </w:r>
      <w:r>
        <w:rPr/>
        <w:t>consume</w:t>
      </w:r>
      <w:r>
        <w:rPr>
          <w:spacing w:val="-21"/>
        </w:rPr>
        <w:t> </w:t>
      </w:r>
      <w:r>
        <w:rPr/>
        <w:t>as</w:t>
      </w:r>
      <w:r>
        <w:rPr>
          <w:spacing w:val="-21"/>
        </w:rPr>
        <w:t> </w:t>
      </w:r>
      <w:r>
        <w:rPr/>
        <w:t>many</w:t>
      </w:r>
      <w:r>
        <w:rPr>
          <w:spacing w:val="-24"/>
        </w:rPr>
        <w:t> </w:t>
      </w:r>
      <w:r>
        <w:rPr/>
        <w:t>fruits</w:t>
      </w:r>
      <w:r>
        <w:rPr>
          <w:spacing w:val="-22"/>
        </w:rPr>
        <w:t> </w:t>
      </w:r>
      <w:r>
        <w:rPr/>
        <w:t>and</w:t>
      </w:r>
      <w:r>
        <w:rPr>
          <w:spacing w:val="-21"/>
        </w:rPr>
        <w:t> </w:t>
      </w:r>
      <w:r>
        <w:rPr/>
        <w:t>vegetables</w:t>
      </w:r>
      <w:r>
        <w:rPr>
          <w:spacing w:val="-21"/>
        </w:rPr>
        <w:t> </w:t>
      </w:r>
      <w:r>
        <w:rPr/>
        <w:t>as</w:t>
      </w:r>
      <w:r>
        <w:rPr>
          <w:spacing w:val="-24"/>
        </w:rPr>
        <w:t> </w:t>
      </w:r>
      <w:r>
        <w:rPr/>
        <w:t>possible,</w:t>
      </w:r>
      <w:r>
        <w:rPr>
          <w:spacing w:val="-23"/>
        </w:rPr>
        <w:t> </w:t>
      </w:r>
      <w:r>
        <w:rPr/>
        <w:t>as</w:t>
      </w:r>
      <w:r>
        <w:rPr>
          <w:spacing w:val="-22"/>
        </w:rPr>
        <w:t> </w:t>
      </w:r>
      <w:r>
        <w:rPr/>
        <w:t>the</w:t>
      </w:r>
      <w:r>
        <w:rPr>
          <w:spacing w:val="-21"/>
        </w:rPr>
        <w:t> </w:t>
      </w:r>
      <w:r>
        <w:rPr/>
        <w:t>secondary substances and enzymes these contain support the process of remaining healthy.</w:t>
      </w:r>
      <w:r>
        <w:rPr>
          <w:spacing w:val="-10"/>
        </w:rPr>
        <w:t> </w:t>
      </w:r>
      <w:r>
        <w:rPr/>
        <w:t>People</w:t>
      </w:r>
      <w:r>
        <w:rPr>
          <w:spacing w:val="-12"/>
        </w:rPr>
        <w:t> </w:t>
      </w:r>
      <w:r>
        <w:rPr/>
        <w:t>should</w:t>
      </w:r>
      <w:r>
        <w:rPr>
          <w:spacing w:val="-10"/>
        </w:rPr>
        <w:t> </w:t>
      </w:r>
      <w:r>
        <w:rPr/>
        <w:t>generally</w:t>
      </w:r>
      <w:r>
        <w:rPr>
          <w:spacing w:val="-10"/>
        </w:rPr>
        <w:t> </w:t>
      </w:r>
      <w:r>
        <w:rPr/>
        <w:t>avoid</w:t>
      </w:r>
      <w:r>
        <w:rPr>
          <w:spacing w:val="-10"/>
        </w:rPr>
        <w:t> </w:t>
      </w:r>
      <w:r>
        <w:rPr/>
        <w:t>frozen</w:t>
      </w:r>
      <w:r>
        <w:rPr>
          <w:spacing w:val="-10"/>
        </w:rPr>
        <w:t> </w:t>
      </w:r>
      <w:r>
        <w:rPr/>
        <w:t>and</w:t>
      </w:r>
      <w:r>
        <w:rPr>
          <w:spacing w:val="-11"/>
        </w:rPr>
        <w:t> </w:t>
      </w:r>
      <w:r>
        <w:rPr/>
        <w:t>tinned</w:t>
      </w:r>
      <w:r>
        <w:rPr>
          <w:spacing w:val="-9"/>
        </w:rPr>
        <w:t> </w:t>
      </w:r>
      <w:r>
        <w:rPr/>
        <w:t>foods</w:t>
      </w:r>
      <w:r>
        <w:rPr>
          <w:spacing w:val="-10"/>
        </w:rPr>
        <w:t> </w:t>
      </w:r>
      <w:r>
        <w:rPr/>
        <w:t>as</w:t>
      </w:r>
      <w:r>
        <w:rPr>
          <w:spacing w:val="-11"/>
        </w:rPr>
        <w:t> </w:t>
      </w:r>
      <w:r>
        <w:rPr/>
        <w:t>the</w:t>
      </w:r>
      <w:r>
        <w:rPr>
          <w:spacing w:val="-8"/>
        </w:rPr>
        <w:t> </w:t>
      </w:r>
      <w:r>
        <w:rPr/>
        <w:t>preserv- atives</w:t>
      </w:r>
      <w:r>
        <w:rPr>
          <w:spacing w:val="-9"/>
        </w:rPr>
        <w:t> </w:t>
      </w:r>
      <w:r>
        <w:rPr/>
        <w:t>and</w:t>
      </w:r>
      <w:r>
        <w:rPr>
          <w:spacing w:val="-10"/>
        </w:rPr>
        <w:t> </w:t>
      </w:r>
      <w:r>
        <w:rPr/>
        <w:t>flavour</w:t>
      </w:r>
      <w:r>
        <w:rPr>
          <w:spacing w:val="-10"/>
        </w:rPr>
        <w:t> </w:t>
      </w:r>
      <w:r>
        <w:rPr/>
        <w:t>enhancers</w:t>
      </w:r>
      <w:r>
        <w:rPr>
          <w:spacing w:val="-11"/>
        </w:rPr>
        <w:t> </w:t>
      </w:r>
      <w:r>
        <w:rPr/>
        <w:t>used</w:t>
      </w:r>
      <w:r>
        <w:rPr>
          <w:spacing w:val="-11"/>
        </w:rPr>
        <w:t> </w:t>
      </w:r>
      <w:r>
        <w:rPr/>
        <w:t>not</w:t>
      </w:r>
      <w:r>
        <w:rPr>
          <w:spacing w:val="-12"/>
        </w:rPr>
        <w:t> </w:t>
      </w:r>
      <w:r>
        <w:rPr/>
        <w:t>only</w:t>
      </w:r>
      <w:r>
        <w:rPr>
          <w:spacing w:val="-13"/>
        </w:rPr>
        <w:t> </w:t>
      </w:r>
      <w:r>
        <w:rPr/>
        <w:t>promote</w:t>
      </w:r>
      <w:r>
        <w:rPr>
          <w:spacing w:val="-10"/>
        </w:rPr>
        <w:t> </w:t>
      </w:r>
      <w:r>
        <w:rPr/>
        <w:t>allergies,</w:t>
      </w:r>
      <w:r>
        <w:rPr>
          <w:spacing w:val="-9"/>
        </w:rPr>
        <w:t> </w:t>
      </w:r>
      <w:r>
        <w:rPr/>
        <w:t>they</w:t>
      </w:r>
      <w:r>
        <w:rPr>
          <w:spacing w:val="-9"/>
        </w:rPr>
        <w:t> </w:t>
      </w:r>
      <w:r>
        <w:rPr/>
        <w:t>also</w:t>
      </w:r>
      <w:r>
        <w:rPr>
          <w:spacing w:val="-10"/>
        </w:rPr>
        <w:t> </w:t>
      </w:r>
      <w:r>
        <w:rPr/>
        <w:t>deplete your vitamin reserves. Avoid white flour products and lemonades which con- tain quinine and sugar as these reduce the content of vitamin C, vitamins B,</w:t>
      </w:r>
      <w:r>
        <w:rPr>
          <w:spacing w:val="-41"/>
        </w:rPr>
        <w:t> </w:t>
      </w:r>
      <w:r>
        <w:rPr/>
        <w:t>E and K and folic</w:t>
      </w:r>
      <w:r>
        <w:rPr>
          <w:spacing w:val="1"/>
        </w:rPr>
        <w:t> </w:t>
      </w:r>
      <w:r>
        <w:rPr/>
        <w:t>acid.</w:t>
      </w:r>
      <w:r>
        <w:rPr>
          <w:position w:val="9"/>
          <w:sz w:val="25"/>
        </w:rPr>
        <w:t>1038</w:t>
      </w:r>
    </w:p>
    <w:p>
      <w:pPr>
        <w:pStyle w:val="BodyText"/>
        <w:spacing w:line="276" w:lineRule="auto" w:before="241"/>
        <w:ind w:left="616" w:right="133"/>
        <w:jc w:val="both"/>
      </w:pPr>
      <w:r>
        <w:rPr/>
        <w:t>Vitamin juices in light-coloured bottles do not contain vitamin C – even if the labelling claims they do. This is because vitamin C oxidises and is destroyed</w:t>
      </w:r>
      <w:r>
        <w:rPr>
          <w:spacing w:val="-64"/>
        </w:rPr>
        <w:t> </w:t>
      </w:r>
      <w:r>
        <w:rPr/>
        <w:t>in light.</w:t>
      </w:r>
    </w:p>
    <w:p>
      <w:pPr>
        <w:pStyle w:val="Heading2"/>
        <w:spacing w:before="242"/>
        <w:ind w:left="616"/>
      </w:pPr>
      <w:r>
        <w:rPr/>
        <w:t>A vitamin C-conserving preparation</w:t>
      </w:r>
    </w:p>
    <w:p>
      <w:pPr>
        <w:pStyle w:val="BodyText"/>
        <w:spacing w:line="278" w:lineRule="auto" w:before="302"/>
        <w:ind w:left="616" w:right="135"/>
        <w:jc w:val="both"/>
      </w:pPr>
      <w:r>
        <w:rPr/>
        <w:t>Briefly simmer vegetables instead of boiling them in order to retain more nu- tritional value and vitamin C.</w:t>
      </w:r>
    </w:p>
    <w:p>
      <w:pPr>
        <w:pStyle w:val="BodyText"/>
        <w:spacing w:line="278" w:lineRule="auto" w:before="232"/>
        <w:ind w:left="616" w:right="136"/>
        <w:jc w:val="both"/>
        <w:rPr>
          <w:sz w:val="25"/>
        </w:rPr>
      </w:pPr>
      <w:r>
        <w:rPr/>
        <w:t>Cooking in tap water saps food of 50 % of vitamin C due to the high</w:t>
      </w:r>
      <w:r>
        <w:rPr>
          <w:spacing w:val="-43"/>
        </w:rPr>
        <w:t> </w:t>
      </w:r>
      <w:r>
        <w:rPr/>
        <w:t>chlorine content in tap</w:t>
      </w:r>
      <w:r>
        <w:rPr>
          <w:spacing w:val="1"/>
        </w:rPr>
        <w:t> </w:t>
      </w:r>
      <w:r>
        <w:rPr/>
        <w:t>water.</w:t>
      </w:r>
      <w:r>
        <w:rPr>
          <w:position w:val="9"/>
          <w:sz w:val="25"/>
        </w:rPr>
        <w:t>1039</w:t>
      </w:r>
    </w:p>
    <w:p>
      <w:pPr>
        <w:pStyle w:val="BodyText"/>
        <w:spacing w:line="276" w:lineRule="auto" w:before="232"/>
        <w:ind w:left="616" w:right="138"/>
        <w:jc w:val="both"/>
      </w:pPr>
      <w:r>
        <w:rPr/>
        <w:t>You should only put vegetables into water when it is already boiling, then quickly cook through in order to retain as much vitamin C as possible when cooking.</w:t>
      </w:r>
    </w:p>
    <w:p>
      <w:pPr>
        <w:pStyle w:val="BodyText"/>
        <w:rPr>
          <w:sz w:val="20"/>
        </w:rPr>
      </w:pPr>
    </w:p>
    <w:p>
      <w:pPr>
        <w:pStyle w:val="BodyText"/>
        <w:rPr>
          <w:sz w:val="20"/>
        </w:rPr>
      </w:pPr>
    </w:p>
    <w:p>
      <w:pPr>
        <w:pStyle w:val="BodyText"/>
        <w:spacing w:before="10"/>
        <w:rPr>
          <w:sz w:val="10"/>
        </w:rPr>
      </w:pPr>
      <w:r>
        <w:rPr/>
        <w:pict>
          <v:line style="position:absolute;mso-position-horizontal-relative:page;mso-position-vertical-relative:paragraph;z-index:14312;mso-wrap-distance-left:0;mso-wrap-distance-right:0" from="70.823997pt,8.516235pt" to="214.843997pt,8.516235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1038 </w:t>
      </w:r>
      <w:r>
        <w:rPr>
          <w:sz w:val="20"/>
        </w:rPr>
        <w:t>H. Lange: Mit Linus Paulings Forschungsergebnissen gesund werden, gesund bleiben, p. 9</w:t>
      </w:r>
    </w:p>
    <w:p>
      <w:pPr>
        <w:spacing w:before="94"/>
        <w:ind w:left="616" w:right="0" w:firstLine="0"/>
        <w:jc w:val="left"/>
        <w:rPr>
          <w:sz w:val="20"/>
        </w:rPr>
      </w:pPr>
      <w:r>
        <w:rPr>
          <w:position w:val="5"/>
          <w:sz w:val="13"/>
        </w:rPr>
        <w:t>1039 </w:t>
      </w:r>
      <w:r>
        <w:rPr>
          <w:sz w:val="20"/>
        </w:rPr>
        <w:t>Kinadeter 2004, p.56</w:t>
      </w:r>
    </w:p>
    <w:p>
      <w:pPr>
        <w:spacing w:after="0"/>
        <w:jc w:val="left"/>
        <w:rPr>
          <w:sz w:val="20"/>
        </w:rPr>
        <w:sectPr>
          <w:pgSz w:w="14270" w:h="16850"/>
          <w:pgMar w:header="0" w:footer="1891" w:top="1340" w:bottom="2080" w:left="800" w:right="1280"/>
        </w:sectPr>
      </w:pPr>
    </w:p>
    <w:p>
      <w:pPr>
        <w:pStyle w:val="BodyText"/>
        <w:spacing w:line="276" w:lineRule="auto" w:before="74"/>
        <w:ind w:left="616" w:right="146"/>
        <w:jc w:val="both"/>
      </w:pPr>
      <w:r>
        <w:rPr/>
        <w:t>Avoid storing fruit and vegetables for a long time. If storage is unavoidable, ensure that they are stored in a dark place.</w:t>
      </w:r>
    </w:p>
    <w:p>
      <w:pPr>
        <w:pStyle w:val="Heading2"/>
        <w:spacing w:before="239"/>
        <w:ind w:left="616"/>
      </w:pPr>
      <w:r>
        <w:rPr/>
        <w:t>Vitamin C vs. vitamin C – which vitamin C is the right one?</w:t>
      </w:r>
    </w:p>
    <w:p>
      <w:pPr>
        <w:pStyle w:val="BodyText"/>
        <w:spacing w:line="276" w:lineRule="auto" w:before="304"/>
        <w:ind w:left="616" w:right="132"/>
        <w:jc w:val="both"/>
      </w:pPr>
      <w:r>
        <w:rPr/>
        <w:t>As</w:t>
      </w:r>
      <w:r>
        <w:rPr>
          <w:spacing w:val="-7"/>
        </w:rPr>
        <w:t> </w:t>
      </w:r>
      <w:r>
        <w:rPr/>
        <w:t>can</w:t>
      </w:r>
      <w:r>
        <w:rPr>
          <w:spacing w:val="-5"/>
        </w:rPr>
        <w:t> </w:t>
      </w:r>
      <w:r>
        <w:rPr/>
        <w:t>easily</w:t>
      </w:r>
      <w:r>
        <w:rPr>
          <w:spacing w:val="-6"/>
        </w:rPr>
        <w:t> </w:t>
      </w:r>
      <w:r>
        <w:rPr/>
        <w:t>be</w:t>
      </w:r>
      <w:r>
        <w:rPr>
          <w:spacing w:val="-10"/>
        </w:rPr>
        <w:t> </w:t>
      </w:r>
      <w:r>
        <w:rPr/>
        <w:t>seen</w:t>
      </w:r>
      <w:r>
        <w:rPr>
          <w:spacing w:val="-6"/>
        </w:rPr>
        <w:t> </w:t>
      </w:r>
      <w:r>
        <w:rPr/>
        <w:t>in</w:t>
      </w:r>
      <w:r>
        <w:rPr>
          <w:spacing w:val="-8"/>
        </w:rPr>
        <w:t> </w:t>
      </w:r>
      <w:r>
        <w:rPr/>
        <w:t>the</w:t>
      </w:r>
      <w:r>
        <w:rPr>
          <w:spacing w:val="-6"/>
        </w:rPr>
        <w:t> </w:t>
      </w:r>
      <w:r>
        <w:rPr/>
        <w:t>table</w:t>
      </w:r>
      <w:r>
        <w:rPr>
          <w:spacing w:val="-8"/>
        </w:rPr>
        <w:t> </w:t>
      </w:r>
      <w:r>
        <w:rPr/>
        <w:t>under</w:t>
      </w:r>
      <w:r>
        <w:rPr>
          <w:spacing w:val="-5"/>
        </w:rPr>
        <w:t> </w:t>
      </w:r>
      <w:r>
        <w:rPr/>
        <w:t>the</w:t>
      </w:r>
      <w:r>
        <w:rPr>
          <w:spacing w:val="-7"/>
        </w:rPr>
        <w:t> </w:t>
      </w:r>
      <w:r>
        <w:rPr/>
        <w:t>point</w:t>
      </w:r>
      <w:r>
        <w:rPr>
          <w:spacing w:val="-8"/>
        </w:rPr>
        <w:t> </w:t>
      </w:r>
      <w:r>
        <w:rPr/>
        <w:t>‘Effect</w:t>
      </w:r>
      <w:r>
        <w:rPr>
          <w:spacing w:val="-9"/>
        </w:rPr>
        <w:t> </w:t>
      </w:r>
      <w:r>
        <w:rPr/>
        <w:t>of</w:t>
      </w:r>
      <w:r>
        <w:rPr>
          <w:spacing w:val="-6"/>
        </w:rPr>
        <w:t> </w:t>
      </w:r>
      <w:r>
        <w:rPr/>
        <w:t>vitamin</w:t>
      </w:r>
      <w:r>
        <w:rPr>
          <w:spacing w:val="-6"/>
        </w:rPr>
        <w:t> </w:t>
      </w:r>
      <w:r>
        <w:rPr/>
        <w:t>C’,</w:t>
      </w:r>
      <w:r>
        <w:rPr>
          <w:spacing w:val="-6"/>
        </w:rPr>
        <w:t> </w:t>
      </w:r>
      <w:r>
        <w:rPr/>
        <w:t>natural vitamin C has a decisive influence on our health and lives – it determines whether</w:t>
      </w:r>
      <w:r>
        <w:rPr>
          <w:spacing w:val="-12"/>
        </w:rPr>
        <w:t> </w:t>
      </w:r>
      <w:r>
        <w:rPr/>
        <w:t>and</w:t>
      </w:r>
      <w:r>
        <w:rPr>
          <w:spacing w:val="-10"/>
        </w:rPr>
        <w:t> </w:t>
      </w:r>
      <w:r>
        <w:rPr/>
        <w:t>to</w:t>
      </w:r>
      <w:r>
        <w:rPr>
          <w:spacing w:val="-16"/>
        </w:rPr>
        <w:t> </w:t>
      </w:r>
      <w:r>
        <w:rPr/>
        <w:t>what</w:t>
      </w:r>
      <w:r>
        <w:rPr>
          <w:spacing w:val="-11"/>
        </w:rPr>
        <w:t> </w:t>
      </w:r>
      <w:r>
        <w:rPr/>
        <w:t>extent</w:t>
      </w:r>
      <w:r>
        <w:rPr>
          <w:spacing w:val="-12"/>
        </w:rPr>
        <w:t> </w:t>
      </w:r>
      <w:r>
        <w:rPr/>
        <w:t>we</w:t>
      </w:r>
      <w:r>
        <w:rPr>
          <w:spacing w:val="-11"/>
        </w:rPr>
        <w:t> </w:t>
      </w:r>
      <w:r>
        <w:rPr/>
        <w:t>remain</w:t>
      </w:r>
      <w:r>
        <w:rPr>
          <w:spacing w:val="-11"/>
        </w:rPr>
        <w:t> </w:t>
      </w:r>
      <w:r>
        <w:rPr/>
        <w:t>energized,</w:t>
      </w:r>
      <w:r>
        <w:rPr>
          <w:spacing w:val="-10"/>
        </w:rPr>
        <w:t> </w:t>
      </w:r>
      <w:r>
        <w:rPr/>
        <w:t>how</w:t>
      </w:r>
      <w:r>
        <w:rPr>
          <w:spacing w:val="-14"/>
        </w:rPr>
        <w:t> </w:t>
      </w:r>
      <w:r>
        <w:rPr/>
        <w:t>quickly</w:t>
      </w:r>
      <w:r>
        <w:rPr>
          <w:spacing w:val="-13"/>
        </w:rPr>
        <w:t> </w:t>
      </w:r>
      <w:r>
        <w:rPr/>
        <w:t>we</w:t>
      </w:r>
      <w:r>
        <w:rPr>
          <w:spacing w:val="-9"/>
        </w:rPr>
        <w:t> </w:t>
      </w:r>
      <w:r>
        <w:rPr/>
        <w:t>age</w:t>
      </w:r>
      <w:r>
        <w:rPr>
          <w:spacing w:val="-12"/>
        </w:rPr>
        <w:t> </w:t>
      </w:r>
      <w:r>
        <w:rPr/>
        <w:t>and</w:t>
      </w:r>
      <w:r>
        <w:rPr>
          <w:spacing w:val="-13"/>
        </w:rPr>
        <w:t> </w:t>
      </w:r>
      <w:r>
        <w:rPr/>
        <w:t>how long we live.</w:t>
      </w:r>
    </w:p>
    <w:p>
      <w:pPr>
        <w:pStyle w:val="BodyText"/>
        <w:spacing w:line="276" w:lineRule="auto" w:before="240"/>
        <w:ind w:left="616" w:right="135"/>
        <w:jc w:val="both"/>
      </w:pPr>
      <w:r>
        <w:rPr/>
        <w:t>However, the fact that vitamin C decides these factors does not take the deci- sion away from you, as you alone decide whether you take it.</w:t>
      </w:r>
    </w:p>
    <w:p>
      <w:pPr>
        <w:pStyle w:val="Heading1"/>
        <w:spacing w:before="223"/>
        <w:ind w:left="616"/>
      </w:pPr>
      <w:r>
        <w:rPr/>
        <w:t>Natural vitamin C before ascorbic</w:t>
      </w:r>
      <w:r>
        <w:rPr>
          <w:spacing w:val="-55"/>
        </w:rPr>
        <w:t> </w:t>
      </w:r>
      <w:r>
        <w:rPr/>
        <w:t>acid?</w:t>
      </w:r>
    </w:p>
    <w:p>
      <w:pPr>
        <w:pStyle w:val="BodyText"/>
        <w:spacing w:line="276" w:lineRule="auto" w:before="300"/>
        <w:ind w:left="616" w:right="134"/>
        <w:jc w:val="both"/>
      </w:pPr>
      <w:r>
        <w:rPr/>
        <w:t>Natural</w:t>
      </w:r>
      <w:r>
        <w:rPr>
          <w:spacing w:val="-8"/>
        </w:rPr>
        <w:t> </w:t>
      </w:r>
      <w:r>
        <w:rPr/>
        <w:t>vitamin</w:t>
      </w:r>
      <w:r>
        <w:rPr>
          <w:spacing w:val="-6"/>
        </w:rPr>
        <w:t> </w:t>
      </w:r>
      <w:r>
        <w:rPr/>
        <w:t>C</w:t>
      </w:r>
      <w:r>
        <w:rPr>
          <w:spacing w:val="-8"/>
        </w:rPr>
        <w:t> </w:t>
      </w:r>
      <w:r>
        <w:rPr/>
        <w:t>consists</w:t>
      </w:r>
      <w:r>
        <w:rPr>
          <w:spacing w:val="-8"/>
        </w:rPr>
        <w:t> </w:t>
      </w:r>
      <w:r>
        <w:rPr/>
        <w:t>of</w:t>
      </w:r>
      <w:r>
        <w:rPr>
          <w:spacing w:val="-7"/>
        </w:rPr>
        <w:t> </w:t>
      </w:r>
      <w:r>
        <w:rPr/>
        <w:t>the</w:t>
      </w:r>
      <w:r>
        <w:rPr>
          <w:spacing w:val="-8"/>
        </w:rPr>
        <w:t> </w:t>
      </w:r>
      <w:r>
        <w:rPr/>
        <w:t>complete</w:t>
      </w:r>
      <w:r>
        <w:rPr>
          <w:spacing w:val="-7"/>
        </w:rPr>
        <w:t> </w:t>
      </w:r>
      <w:r>
        <w:rPr/>
        <w:t>vitamin</w:t>
      </w:r>
      <w:r>
        <w:rPr>
          <w:spacing w:val="-5"/>
        </w:rPr>
        <w:t> </w:t>
      </w:r>
      <w:r>
        <w:rPr/>
        <w:t>C</w:t>
      </w:r>
      <w:r>
        <w:rPr>
          <w:spacing w:val="-8"/>
        </w:rPr>
        <w:t> </w:t>
      </w:r>
      <w:r>
        <w:rPr/>
        <w:t>complex;</w:t>
      </w:r>
      <w:r>
        <w:rPr>
          <w:spacing w:val="-10"/>
        </w:rPr>
        <w:t> </w:t>
      </w:r>
      <w:r>
        <w:rPr/>
        <w:t>not</w:t>
      </w:r>
      <w:r>
        <w:rPr>
          <w:spacing w:val="-7"/>
        </w:rPr>
        <w:t> </w:t>
      </w:r>
      <w:r>
        <w:rPr/>
        <w:t>just</w:t>
      </w:r>
      <w:r>
        <w:rPr>
          <w:spacing w:val="-7"/>
        </w:rPr>
        <w:t> </w:t>
      </w:r>
      <w:r>
        <w:rPr/>
        <w:t>ascor- bic acid but also calcium ascorbate, ascorbyl palmitate, magnesium ascorbate, niacinamide ascorbate including secondary plant substances, bioflavinoids, hesperidin and rutin. It is this which guarantees the greatest possible absorp- tion and utilisation on the part of our bodies including the health advantages referred to in detail in this discourse.</w:t>
      </w:r>
    </w:p>
    <w:p>
      <w:pPr>
        <w:pStyle w:val="Heading2"/>
        <w:spacing w:line="276" w:lineRule="auto" w:before="240"/>
        <w:ind w:left="616" w:right="141"/>
        <w:jc w:val="both"/>
      </w:pPr>
      <w:r>
        <w:rPr/>
        <w:t>The more cost-effective ascorbic acid also fulfils its purpose, however there are some things to consider here:</w:t>
      </w:r>
    </w:p>
    <w:p>
      <w:pPr>
        <w:pStyle w:val="BodyText"/>
        <w:spacing w:line="276" w:lineRule="auto" w:before="241"/>
        <w:ind w:left="616" w:right="130"/>
        <w:jc w:val="both"/>
      </w:pPr>
      <w:r>
        <w:rPr/>
        <w:t>As you may assume from the name ‘ascorbic ACID’, ascorbic </w:t>
      </w:r>
      <w:r>
        <w:rPr>
          <w:spacing w:val="2"/>
        </w:rPr>
        <w:t>acid </w:t>
      </w:r>
      <w:r>
        <w:rPr/>
        <w:t>in large quantities over-acidifies our organism, which is anything but healthy. The</w:t>
      </w:r>
      <w:r>
        <w:rPr>
          <w:spacing w:val="-51"/>
        </w:rPr>
        <w:t> </w:t>
      </w:r>
      <w:r>
        <w:rPr/>
        <w:t>bio- availability of ascorbic acid, that is absorption into our organism, is anything</w:t>
      </w:r>
    </w:p>
    <w:p>
      <w:pPr>
        <w:spacing w:after="0" w:line="276" w:lineRule="auto"/>
        <w:jc w:val="both"/>
        <w:sectPr>
          <w:pgSz w:w="14270" w:h="16850"/>
          <w:pgMar w:header="0" w:footer="1891" w:top="1340" w:bottom="2080" w:left="800" w:right="1280"/>
        </w:sectPr>
      </w:pPr>
    </w:p>
    <w:p>
      <w:pPr>
        <w:pStyle w:val="BodyText"/>
        <w:spacing w:line="276" w:lineRule="auto" w:before="72"/>
        <w:ind w:left="616" w:right="142"/>
        <w:jc w:val="both"/>
      </w:pPr>
      <w:r>
        <w:rPr/>
        <w:t>but ideal, which is no surprise as this is an artificial product, not one from mother nature!</w:t>
      </w:r>
    </w:p>
    <w:p>
      <w:pPr>
        <w:pStyle w:val="BodyText"/>
        <w:spacing w:line="276" w:lineRule="auto" w:before="241"/>
        <w:ind w:left="616" w:right="136"/>
        <w:jc w:val="both"/>
      </w:pPr>
      <w:r>
        <w:rPr/>
        <w:t>In</w:t>
      </w:r>
      <w:r>
        <w:rPr>
          <w:spacing w:val="-9"/>
        </w:rPr>
        <w:t> </w:t>
      </w:r>
      <w:r>
        <w:rPr/>
        <w:t>order</w:t>
      </w:r>
      <w:r>
        <w:rPr>
          <w:spacing w:val="-9"/>
        </w:rPr>
        <w:t> </w:t>
      </w:r>
      <w:r>
        <w:rPr/>
        <w:t>to</w:t>
      </w:r>
      <w:r>
        <w:rPr>
          <w:spacing w:val="-10"/>
        </w:rPr>
        <w:t> </w:t>
      </w:r>
      <w:r>
        <w:rPr/>
        <w:t>optimise</w:t>
      </w:r>
      <w:r>
        <w:rPr>
          <w:spacing w:val="-9"/>
        </w:rPr>
        <w:t> </w:t>
      </w:r>
      <w:r>
        <w:rPr/>
        <w:t>the</w:t>
      </w:r>
      <w:r>
        <w:rPr>
          <w:spacing w:val="-7"/>
        </w:rPr>
        <w:t> </w:t>
      </w:r>
      <w:r>
        <w:rPr/>
        <w:t>absorption</w:t>
      </w:r>
      <w:r>
        <w:rPr>
          <w:spacing w:val="-9"/>
        </w:rPr>
        <w:t> </w:t>
      </w:r>
      <w:r>
        <w:rPr/>
        <w:t>of</w:t>
      </w:r>
      <w:r>
        <w:rPr>
          <w:spacing w:val="-8"/>
        </w:rPr>
        <w:t> </w:t>
      </w:r>
      <w:r>
        <w:rPr/>
        <w:t>ascorbic</w:t>
      </w:r>
      <w:r>
        <w:rPr>
          <w:spacing w:val="-10"/>
        </w:rPr>
        <w:t> </w:t>
      </w:r>
      <w:r>
        <w:rPr/>
        <w:t>acid</w:t>
      </w:r>
      <w:r>
        <w:rPr>
          <w:spacing w:val="-8"/>
        </w:rPr>
        <w:t> </w:t>
      </w:r>
      <w:r>
        <w:rPr/>
        <w:t>on</w:t>
      </w:r>
      <w:r>
        <w:rPr>
          <w:spacing w:val="-8"/>
        </w:rPr>
        <w:t> </w:t>
      </w:r>
      <w:r>
        <w:rPr/>
        <w:t>one</w:t>
      </w:r>
      <w:r>
        <w:rPr>
          <w:spacing w:val="-8"/>
        </w:rPr>
        <w:t> </w:t>
      </w:r>
      <w:r>
        <w:rPr/>
        <w:t>hand</w:t>
      </w:r>
      <w:r>
        <w:rPr>
          <w:spacing w:val="-12"/>
        </w:rPr>
        <w:t> </w:t>
      </w:r>
      <w:r>
        <w:rPr/>
        <w:t>and</w:t>
      </w:r>
      <w:r>
        <w:rPr>
          <w:spacing w:val="-8"/>
        </w:rPr>
        <w:t> </w:t>
      </w:r>
      <w:r>
        <w:rPr/>
        <w:t>bind</w:t>
      </w:r>
      <w:r>
        <w:rPr>
          <w:spacing w:val="-10"/>
        </w:rPr>
        <w:t> </w:t>
      </w:r>
      <w:r>
        <w:rPr/>
        <w:t>the acids on the other, it is recommended to combine ascorbic acid with a natural product which contains both the optimum amount of bioflavinoids required by vitamin C and also understands how to bind acids. A mixture of vitamin C (for revaluation and better absorption with grapeseed flour) and barley grass powder (for revaluation and binding</w:t>
      </w:r>
      <w:r>
        <w:rPr>
          <w:spacing w:val="2"/>
        </w:rPr>
        <w:t> </w:t>
      </w:r>
      <w:r>
        <w:rPr/>
        <w:t>acids).</w:t>
      </w:r>
    </w:p>
    <w:p>
      <w:pPr>
        <w:pStyle w:val="Heading2"/>
        <w:spacing w:before="240"/>
        <w:ind w:left="616"/>
      </w:pPr>
      <w:r>
        <w:rPr/>
        <w:t>Camu camu – the richest fruit in vitamin C in the world.</w:t>
      </w:r>
    </w:p>
    <w:p>
      <w:pPr>
        <w:pStyle w:val="BodyText"/>
        <w:spacing w:line="278" w:lineRule="auto" w:before="305"/>
        <w:ind w:left="616" w:right="143"/>
        <w:jc w:val="both"/>
      </w:pPr>
      <w:r>
        <w:rPr/>
        <w:t>It goes without saying that nothing is better at supplying vitamin C as natural vitamin C!</w:t>
      </w:r>
    </w:p>
    <w:p>
      <w:pPr>
        <w:pStyle w:val="BodyText"/>
        <w:spacing w:line="278" w:lineRule="auto" w:before="232"/>
        <w:ind w:left="616" w:right="134"/>
        <w:jc w:val="both"/>
      </w:pPr>
      <w:r>
        <w:rPr/>
        <w:t>You</w:t>
      </w:r>
      <w:r>
        <w:rPr>
          <w:spacing w:val="-8"/>
        </w:rPr>
        <w:t> </w:t>
      </w:r>
      <w:r>
        <w:rPr/>
        <w:t>can</w:t>
      </w:r>
      <w:r>
        <w:rPr>
          <w:spacing w:val="-6"/>
        </w:rPr>
        <w:t> </w:t>
      </w:r>
      <w:r>
        <w:rPr/>
        <w:t>obtain</w:t>
      </w:r>
      <w:r>
        <w:rPr>
          <w:spacing w:val="-11"/>
        </w:rPr>
        <w:t> </w:t>
      </w:r>
      <w:r>
        <w:rPr/>
        <w:t>natural</w:t>
      </w:r>
      <w:r>
        <w:rPr>
          <w:spacing w:val="-8"/>
        </w:rPr>
        <w:t> </w:t>
      </w:r>
      <w:r>
        <w:rPr/>
        <w:t>vitamin</w:t>
      </w:r>
      <w:r>
        <w:rPr>
          <w:spacing w:val="-7"/>
        </w:rPr>
        <w:t> </w:t>
      </w:r>
      <w:r>
        <w:rPr/>
        <w:t>C</w:t>
      </w:r>
      <w:r>
        <w:rPr>
          <w:spacing w:val="-7"/>
        </w:rPr>
        <w:t> </w:t>
      </w:r>
      <w:r>
        <w:rPr/>
        <w:t>in</w:t>
      </w:r>
      <w:r>
        <w:rPr>
          <w:spacing w:val="-7"/>
        </w:rPr>
        <w:t> </w:t>
      </w:r>
      <w:r>
        <w:rPr/>
        <w:t>the</w:t>
      </w:r>
      <w:r>
        <w:rPr>
          <w:spacing w:val="-8"/>
        </w:rPr>
        <w:t> </w:t>
      </w:r>
      <w:r>
        <w:rPr/>
        <w:t>shops,</w:t>
      </w:r>
      <w:r>
        <w:rPr>
          <w:spacing w:val="-7"/>
        </w:rPr>
        <w:t> </w:t>
      </w:r>
      <w:r>
        <w:rPr/>
        <w:t>for</w:t>
      </w:r>
      <w:r>
        <w:rPr>
          <w:spacing w:val="-6"/>
        </w:rPr>
        <w:t> </w:t>
      </w:r>
      <w:r>
        <w:rPr/>
        <w:t>example,</w:t>
      </w:r>
      <w:r>
        <w:rPr>
          <w:spacing w:val="-6"/>
        </w:rPr>
        <w:t> </w:t>
      </w:r>
      <w:r>
        <w:rPr/>
        <w:t>from</w:t>
      </w:r>
      <w:r>
        <w:rPr>
          <w:spacing w:val="-6"/>
        </w:rPr>
        <w:t> </w:t>
      </w:r>
      <w:r>
        <w:rPr/>
        <w:t>acerola</w:t>
      </w:r>
      <w:r>
        <w:rPr>
          <w:spacing w:val="-8"/>
        </w:rPr>
        <w:t> </w:t>
      </w:r>
      <w:r>
        <w:rPr/>
        <w:t>fruit or, even better, camu camu</w:t>
      </w:r>
      <w:r>
        <w:rPr>
          <w:spacing w:val="-3"/>
        </w:rPr>
        <w:t> </w:t>
      </w:r>
      <w:r>
        <w:rPr/>
        <w:t>fruit.</w:t>
      </w:r>
    </w:p>
    <w:p>
      <w:pPr>
        <w:pStyle w:val="BodyText"/>
        <w:spacing w:line="276" w:lineRule="auto" w:before="232"/>
        <w:ind w:left="616" w:right="132"/>
        <w:jc w:val="both"/>
      </w:pPr>
      <w:r>
        <w:rPr/>
        <w:t>Camu camu (lat. Myraciaria dubia), also known as ‘Bayberry Fruit’, is a wide- spread</w:t>
      </w:r>
      <w:r>
        <w:rPr>
          <w:spacing w:val="-11"/>
        </w:rPr>
        <w:t> </w:t>
      </w:r>
      <w:r>
        <w:rPr/>
        <w:t>fruit</w:t>
      </w:r>
      <w:r>
        <w:rPr>
          <w:spacing w:val="-10"/>
        </w:rPr>
        <w:t> </w:t>
      </w:r>
      <w:r>
        <w:rPr/>
        <w:t>in</w:t>
      </w:r>
      <w:r>
        <w:rPr>
          <w:spacing w:val="-9"/>
        </w:rPr>
        <w:t> </w:t>
      </w:r>
      <w:r>
        <w:rPr/>
        <w:t>the</w:t>
      </w:r>
      <w:r>
        <w:rPr>
          <w:spacing w:val="-9"/>
        </w:rPr>
        <w:t> </w:t>
      </w:r>
      <w:r>
        <w:rPr/>
        <w:t>Amazon</w:t>
      </w:r>
      <w:r>
        <w:rPr>
          <w:spacing w:val="-11"/>
        </w:rPr>
        <w:t> </w:t>
      </w:r>
      <w:r>
        <w:rPr/>
        <w:t>region</w:t>
      </w:r>
      <w:r>
        <w:rPr>
          <w:spacing w:val="-10"/>
        </w:rPr>
        <w:t> </w:t>
      </w:r>
      <w:r>
        <w:rPr/>
        <w:t>which</w:t>
      </w:r>
      <w:r>
        <w:rPr>
          <w:spacing w:val="-8"/>
        </w:rPr>
        <w:t> </w:t>
      </w:r>
      <w:r>
        <w:rPr/>
        <w:t>contains</w:t>
      </w:r>
      <w:r>
        <w:rPr>
          <w:spacing w:val="-9"/>
        </w:rPr>
        <w:t> </w:t>
      </w:r>
      <w:r>
        <w:rPr/>
        <w:t>30-60</w:t>
      </w:r>
      <w:r>
        <w:rPr>
          <w:spacing w:val="-10"/>
        </w:rPr>
        <w:t> </w:t>
      </w:r>
      <w:r>
        <w:rPr/>
        <w:t>times</w:t>
      </w:r>
      <w:r>
        <w:rPr>
          <w:spacing w:val="-9"/>
        </w:rPr>
        <w:t> </w:t>
      </w:r>
      <w:r>
        <w:rPr/>
        <w:t>more</w:t>
      </w:r>
      <w:r>
        <w:rPr>
          <w:spacing w:val="-10"/>
        </w:rPr>
        <w:t> </w:t>
      </w:r>
      <w:r>
        <w:rPr/>
        <w:t>vitamin</w:t>
      </w:r>
      <w:r>
        <w:rPr>
          <w:spacing w:val="-9"/>
        </w:rPr>
        <w:t> </w:t>
      </w:r>
      <w:r>
        <w:rPr/>
        <w:t>C than</w:t>
      </w:r>
      <w:r>
        <w:rPr>
          <w:spacing w:val="-24"/>
        </w:rPr>
        <w:t> </w:t>
      </w:r>
      <w:r>
        <w:rPr/>
        <w:t>the</w:t>
      </w:r>
      <w:r>
        <w:rPr>
          <w:spacing w:val="-23"/>
        </w:rPr>
        <w:t> </w:t>
      </w:r>
      <w:r>
        <w:rPr/>
        <w:t>citrus</w:t>
      </w:r>
      <w:r>
        <w:rPr>
          <w:spacing w:val="-23"/>
        </w:rPr>
        <w:t> </w:t>
      </w:r>
      <w:r>
        <w:rPr/>
        <w:t>fruits</w:t>
      </w:r>
      <w:r>
        <w:rPr>
          <w:spacing w:val="-24"/>
        </w:rPr>
        <w:t> </w:t>
      </w:r>
      <w:r>
        <w:rPr/>
        <w:t>lemons,</w:t>
      </w:r>
      <w:r>
        <w:rPr>
          <w:spacing w:val="-23"/>
        </w:rPr>
        <w:t> </w:t>
      </w:r>
      <w:r>
        <w:rPr/>
        <w:t>oranges</w:t>
      </w:r>
      <w:r>
        <w:rPr>
          <w:spacing w:val="-23"/>
        </w:rPr>
        <w:t> </w:t>
      </w:r>
      <w:r>
        <w:rPr/>
        <w:t>or</w:t>
      </w:r>
      <w:r>
        <w:rPr>
          <w:spacing w:val="-24"/>
        </w:rPr>
        <w:t> </w:t>
      </w:r>
      <w:r>
        <w:rPr/>
        <w:t>orange</w:t>
      </w:r>
      <w:r>
        <w:rPr>
          <w:spacing w:val="-23"/>
        </w:rPr>
        <w:t> </w:t>
      </w:r>
      <w:r>
        <w:rPr/>
        <w:t>juice.</w:t>
      </w:r>
      <w:r>
        <w:rPr>
          <w:spacing w:val="47"/>
        </w:rPr>
        <w:t> </w:t>
      </w:r>
      <w:r>
        <w:rPr/>
        <w:t>In</w:t>
      </w:r>
      <w:r>
        <w:rPr>
          <w:spacing w:val="-25"/>
        </w:rPr>
        <w:t> </w:t>
      </w:r>
      <w:r>
        <w:rPr/>
        <w:t>addition</w:t>
      </w:r>
      <w:r>
        <w:rPr>
          <w:spacing w:val="-23"/>
        </w:rPr>
        <w:t> </w:t>
      </w:r>
      <w:r>
        <w:rPr/>
        <w:t>to</w:t>
      </w:r>
      <w:r>
        <w:rPr>
          <w:spacing w:val="-23"/>
        </w:rPr>
        <w:t> </w:t>
      </w:r>
      <w:r>
        <w:rPr/>
        <w:t>a</w:t>
      </w:r>
      <w:r>
        <w:rPr>
          <w:spacing w:val="-28"/>
        </w:rPr>
        <w:t> </w:t>
      </w:r>
      <w:r>
        <w:rPr/>
        <w:t>complete vitamin C profile, camu camu contains numerous other nutritional substances such as beta-carotin and calcium, 10 times more iron, 3 times more niacin, 2 times more riboflavin and, believe it or not, 50 % more phosphorus than an orange.</w:t>
      </w:r>
    </w:p>
    <w:p>
      <w:pPr>
        <w:pStyle w:val="BodyText"/>
        <w:spacing w:before="241"/>
        <w:ind w:left="616"/>
        <w:jc w:val="both"/>
      </w:pPr>
      <w:r>
        <w:rPr/>
        <w:t>Furthermore, camu camu fruit supplies a lot of potassium, calcium, a wide</w:t>
      </w:r>
    </w:p>
    <w:p>
      <w:pPr>
        <w:spacing w:after="0"/>
        <w:jc w:val="both"/>
        <w:sectPr>
          <w:pgSz w:w="14270" w:h="16850"/>
          <w:pgMar w:header="0" w:footer="1891" w:top="1340" w:bottom="2080" w:left="800" w:right="1280"/>
        </w:sectPr>
      </w:pPr>
    </w:p>
    <w:p>
      <w:pPr>
        <w:pStyle w:val="BodyText"/>
        <w:spacing w:line="276" w:lineRule="auto" w:before="72"/>
        <w:ind w:left="616" w:right="131"/>
        <w:jc w:val="both"/>
      </w:pPr>
      <w:r>
        <w:rPr/>
        <w:t>spectrum</w:t>
      </w:r>
      <w:r>
        <w:rPr>
          <w:spacing w:val="-13"/>
        </w:rPr>
        <w:t> </w:t>
      </w:r>
      <w:r>
        <w:rPr/>
        <w:t>of</w:t>
      </w:r>
      <w:r>
        <w:rPr>
          <w:spacing w:val="-10"/>
        </w:rPr>
        <w:t> </w:t>
      </w:r>
      <w:r>
        <w:rPr/>
        <w:t>bioflavinoids,</w:t>
      </w:r>
      <w:r>
        <w:rPr>
          <w:spacing w:val="-10"/>
        </w:rPr>
        <w:t> </w:t>
      </w:r>
      <w:r>
        <w:rPr/>
        <w:t>vitamins</w:t>
      </w:r>
      <w:r>
        <w:rPr>
          <w:spacing w:val="-10"/>
        </w:rPr>
        <w:t> </w:t>
      </w:r>
      <w:r>
        <w:rPr/>
        <w:t>B1,</w:t>
      </w:r>
      <w:r>
        <w:rPr>
          <w:spacing w:val="-10"/>
        </w:rPr>
        <w:t> </w:t>
      </w:r>
      <w:r>
        <w:rPr/>
        <w:t>2</w:t>
      </w:r>
      <w:r>
        <w:rPr>
          <w:spacing w:val="-11"/>
        </w:rPr>
        <w:t> </w:t>
      </w:r>
      <w:r>
        <w:rPr/>
        <w:t>and</w:t>
      </w:r>
      <w:r>
        <w:rPr>
          <w:spacing w:val="-10"/>
        </w:rPr>
        <w:t> </w:t>
      </w:r>
      <w:r>
        <w:rPr/>
        <w:t>3,</w:t>
      </w:r>
      <w:r>
        <w:rPr>
          <w:spacing w:val="-10"/>
        </w:rPr>
        <w:t> </w:t>
      </w:r>
      <w:r>
        <w:rPr/>
        <w:t>10</w:t>
      </w:r>
      <w:r>
        <w:rPr>
          <w:spacing w:val="-11"/>
        </w:rPr>
        <w:t> </w:t>
      </w:r>
      <w:r>
        <w:rPr/>
        <w:t>times</w:t>
      </w:r>
      <w:r>
        <w:rPr>
          <w:spacing w:val="-10"/>
        </w:rPr>
        <w:t> </w:t>
      </w:r>
      <w:r>
        <w:rPr/>
        <w:t>more</w:t>
      </w:r>
      <w:r>
        <w:rPr>
          <w:spacing w:val="-10"/>
        </w:rPr>
        <w:t> </w:t>
      </w:r>
      <w:r>
        <w:rPr/>
        <w:t>trace</w:t>
      </w:r>
      <w:r>
        <w:rPr>
          <w:spacing w:val="-11"/>
        </w:rPr>
        <w:t> </w:t>
      </w:r>
      <w:r>
        <w:rPr/>
        <w:t>elements, twice as much phosphorus as an orange, riboflavin, niacin and thiamine – to name but a few.</w:t>
      </w:r>
    </w:p>
    <w:p>
      <w:pPr>
        <w:pStyle w:val="BodyText"/>
        <w:rPr>
          <w:sz w:val="42"/>
        </w:rPr>
      </w:pPr>
    </w:p>
    <w:p>
      <w:pPr>
        <w:pStyle w:val="BodyText"/>
        <w:spacing w:before="5"/>
        <w:rPr>
          <w:sz w:val="44"/>
        </w:rPr>
      </w:pPr>
    </w:p>
    <w:p>
      <w:pPr>
        <w:pStyle w:val="Heading2"/>
        <w:ind w:left="616"/>
      </w:pPr>
      <w:r>
        <w:rPr/>
        <w:t>SUMMARY</w:t>
      </w:r>
    </w:p>
    <w:p>
      <w:pPr>
        <w:pStyle w:val="BodyText"/>
        <w:spacing w:line="276" w:lineRule="auto" w:before="305"/>
        <w:ind w:left="616" w:right="134"/>
        <w:jc w:val="both"/>
      </w:pPr>
      <w:r>
        <w:rPr/>
        <w:t>Camu</w:t>
      </w:r>
      <w:r>
        <w:rPr>
          <w:spacing w:val="-18"/>
        </w:rPr>
        <w:t> </w:t>
      </w:r>
      <w:r>
        <w:rPr/>
        <w:t>camu</w:t>
      </w:r>
      <w:r>
        <w:rPr>
          <w:spacing w:val="-17"/>
        </w:rPr>
        <w:t> </w:t>
      </w:r>
      <w:r>
        <w:rPr/>
        <w:t>fruit</w:t>
      </w:r>
      <w:r>
        <w:rPr>
          <w:spacing w:val="-17"/>
        </w:rPr>
        <w:t> </w:t>
      </w:r>
      <w:r>
        <w:rPr/>
        <w:t>is</w:t>
      </w:r>
      <w:r>
        <w:rPr>
          <w:spacing w:val="-16"/>
        </w:rPr>
        <w:t> </w:t>
      </w:r>
      <w:r>
        <w:rPr/>
        <w:t>the</w:t>
      </w:r>
      <w:r>
        <w:rPr>
          <w:spacing w:val="-18"/>
        </w:rPr>
        <w:t> </w:t>
      </w:r>
      <w:r>
        <w:rPr/>
        <w:t>richest</w:t>
      </w:r>
      <w:r>
        <w:rPr>
          <w:spacing w:val="-16"/>
        </w:rPr>
        <w:t> </w:t>
      </w:r>
      <w:r>
        <w:rPr/>
        <w:t>fruit</w:t>
      </w:r>
      <w:r>
        <w:rPr>
          <w:spacing w:val="-17"/>
        </w:rPr>
        <w:t> </w:t>
      </w:r>
      <w:r>
        <w:rPr/>
        <w:t>in</w:t>
      </w:r>
      <w:r>
        <w:rPr>
          <w:spacing w:val="-16"/>
        </w:rPr>
        <w:t> </w:t>
      </w:r>
      <w:r>
        <w:rPr/>
        <w:t>vitamin</w:t>
      </w:r>
      <w:r>
        <w:rPr>
          <w:spacing w:val="-15"/>
        </w:rPr>
        <w:t> </w:t>
      </w:r>
      <w:r>
        <w:rPr/>
        <w:t>C</w:t>
      </w:r>
      <w:r>
        <w:rPr>
          <w:spacing w:val="-18"/>
        </w:rPr>
        <w:t> </w:t>
      </w:r>
      <w:r>
        <w:rPr/>
        <w:t>in</w:t>
      </w:r>
      <w:r>
        <w:rPr>
          <w:spacing w:val="-16"/>
        </w:rPr>
        <w:t> </w:t>
      </w:r>
      <w:r>
        <w:rPr/>
        <w:t>the</w:t>
      </w:r>
      <w:r>
        <w:rPr>
          <w:spacing w:val="-18"/>
        </w:rPr>
        <w:t> </w:t>
      </w:r>
      <w:r>
        <w:rPr/>
        <w:t>world</w:t>
      </w:r>
      <w:r>
        <w:rPr>
          <w:spacing w:val="-15"/>
        </w:rPr>
        <w:t> </w:t>
      </w:r>
      <w:r>
        <w:rPr/>
        <w:t>and,</w:t>
      </w:r>
      <w:r>
        <w:rPr>
          <w:spacing w:val="-20"/>
        </w:rPr>
        <w:t> </w:t>
      </w:r>
      <w:r>
        <w:rPr/>
        <w:t>in</w:t>
      </w:r>
      <w:r>
        <w:rPr>
          <w:spacing w:val="-16"/>
        </w:rPr>
        <w:t> </w:t>
      </w:r>
      <w:r>
        <w:rPr/>
        <w:t>its</w:t>
      </w:r>
      <w:r>
        <w:rPr>
          <w:spacing w:val="-19"/>
        </w:rPr>
        <w:t> </w:t>
      </w:r>
      <w:r>
        <w:rPr/>
        <w:t>natural, perfect form, it provides humans with a perfectly tuned mixture of vitamins, minerals, secondary plant substances and many further essential substances which are yet to be</w:t>
      </w:r>
      <w:r>
        <w:rPr>
          <w:spacing w:val="4"/>
        </w:rPr>
        <w:t> </w:t>
      </w:r>
      <w:r>
        <w:rPr/>
        <w:t>researched.</w:t>
      </w:r>
    </w:p>
    <w:p>
      <w:pPr>
        <w:pStyle w:val="BodyText"/>
        <w:spacing w:line="276" w:lineRule="auto" w:before="240"/>
        <w:ind w:left="616" w:right="134"/>
        <w:jc w:val="both"/>
      </w:pPr>
      <w:r>
        <w:rPr/>
        <w:t>The</w:t>
      </w:r>
      <w:r>
        <w:rPr>
          <w:spacing w:val="-18"/>
        </w:rPr>
        <w:t> </w:t>
      </w:r>
      <w:r>
        <w:rPr/>
        <w:t>synergetic</w:t>
      </w:r>
      <w:r>
        <w:rPr>
          <w:spacing w:val="-21"/>
        </w:rPr>
        <w:t> </w:t>
      </w:r>
      <w:r>
        <w:rPr/>
        <w:t>mixture</w:t>
      </w:r>
      <w:r>
        <w:rPr>
          <w:spacing w:val="-18"/>
        </w:rPr>
        <w:t> </w:t>
      </w:r>
      <w:r>
        <w:rPr/>
        <w:t>of</w:t>
      </w:r>
      <w:r>
        <w:rPr>
          <w:spacing w:val="-19"/>
        </w:rPr>
        <w:t> </w:t>
      </w:r>
      <w:r>
        <w:rPr/>
        <w:t>the</w:t>
      </w:r>
      <w:r>
        <w:rPr>
          <w:spacing w:val="-21"/>
        </w:rPr>
        <w:t> </w:t>
      </w:r>
      <w:r>
        <w:rPr/>
        <w:t>perfectly</w:t>
      </w:r>
      <w:r>
        <w:rPr>
          <w:spacing w:val="-18"/>
        </w:rPr>
        <w:t> </w:t>
      </w:r>
      <w:r>
        <w:rPr/>
        <w:t>combined</w:t>
      </w:r>
      <w:r>
        <w:rPr>
          <w:spacing w:val="-19"/>
        </w:rPr>
        <w:t> </w:t>
      </w:r>
      <w:r>
        <w:rPr/>
        <w:t>ingredients</w:t>
      </w:r>
      <w:r>
        <w:rPr>
          <w:spacing w:val="-20"/>
        </w:rPr>
        <w:t> </w:t>
      </w:r>
      <w:r>
        <w:rPr/>
        <w:t>of</w:t>
      </w:r>
      <w:r>
        <w:rPr>
          <w:spacing w:val="-22"/>
        </w:rPr>
        <w:t> </w:t>
      </w:r>
      <w:r>
        <w:rPr/>
        <w:t>vitamins,</w:t>
      </w:r>
      <w:r>
        <w:rPr>
          <w:spacing w:val="-18"/>
        </w:rPr>
        <w:t> </w:t>
      </w:r>
      <w:r>
        <w:rPr/>
        <w:t>min- erals, secondary plant substances and amino acids in natural cuisine increases and maximises the ability to absorb vitamin C and therefore makes it superior to all other sources of vitamin</w:t>
      </w:r>
      <w:r>
        <w:rPr>
          <w:spacing w:val="2"/>
        </w:rPr>
        <w:t> </w:t>
      </w:r>
      <w:r>
        <w:rPr/>
        <w:t>C.</w:t>
      </w:r>
    </w:p>
    <w:p>
      <w:pPr>
        <w:pStyle w:val="BodyText"/>
        <w:spacing w:line="276" w:lineRule="auto" w:before="242"/>
        <w:ind w:left="616" w:right="141"/>
        <w:jc w:val="both"/>
      </w:pPr>
      <w:r>
        <w:rPr/>
        <w:t>The</w:t>
      </w:r>
      <w:r>
        <w:rPr>
          <w:spacing w:val="-11"/>
        </w:rPr>
        <w:t> </w:t>
      </w:r>
      <w:r>
        <w:rPr/>
        <w:t>best</w:t>
      </w:r>
      <w:r>
        <w:rPr>
          <w:spacing w:val="-11"/>
        </w:rPr>
        <w:t> </w:t>
      </w:r>
      <w:r>
        <w:rPr/>
        <w:t>decision</w:t>
      </w:r>
      <w:r>
        <w:rPr>
          <w:spacing w:val="-12"/>
        </w:rPr>
        <w:t> </w:t>
      </w:r>
      <w:r>
        <w:rPr/>
        <w:t>of</w:t>
      </w:r>
      <w:r>
        <w:rPr>
          <w:spacing w:val="-11"/>
        </w:rPr>
        <w:t> </w:t>
      </w:r>
      <w:r>
        <w:rPr/>
        <w:t>all</w:t>
      </w:r>
      <w:r>
        <w:rPr>
          <w:spacing w:val="-12"/>
        </w:rPr>
        <w:t> </w:t>
      </w:r>
      <w:r>
        <w:rPr/>
        <w:t>for</w:t>
      </w:r>
      <w:r>
        <w:rPr>
          <w:spacing w:val="-10"/>
        </w:rPr>
        <w:t> </w:t>
      </w:r>
      <w:r>
        <w:rPr/>
        <w:t>a</w:t>
      </w:r>
      <w:r>
        <w:rPr>
          <w:spacing w:val="-13"/>
        </w:rPr>
        <w:t> </w:t>
      </w:r>
      <w:r>
        <w:rPr/>
        <w:t>vitamin</w:t>
      </w:r>
      <w:r>
        <w:rPr>
          <w:spacing w:val="-10"/>
        </w:rPr>
        <w:t> </w:t>
      </w:r>
      <w:r>
        <w:rPr/>
        <w:t>C</w:t>
      </w:r>
      <w:r>
        <w:rPr>
          <w:spacing w:val="-13"/>
        </w:rPr>
        <w:t> </w:t>
      </w:r>
      <w:r>
        <w:rPr/>
        <w:t>preparation</w:t>
      </w:r>
      <w:r>
        <w:rPr>
          <w:spacing w:val="-11"/>
        </w:rPr>
        <w:t> </w:t>
      </w:r>
      <w:r>
        <w:rPr/>
        <w:t>is</w:t>
      </w:r>
      <w:r>
        <w:rPr>
          <w:spacing w:val="-12"/>
        </w:rPr>
        <w:t> </w:t>
      </w:r>
      <w:r>
        <w:rPr/>
        <w:t>without</w:t>
      </w:r>
      <w:r>
        <w:rPr>
          <w:spacing w:val="-12"/>
        </w:rPr>
        <w:t> </w:t>
      </w:r>
      <w:r>
        <w:rPr/>
        <w:t>doubt</w:t>
      </w:r>
      <w:r>
        <w:rPr>
          <w:spacing w:val="-11"/>
        </w:rPr>
        <w:t> </w:t>
      </w:r>
      <w:r>
        <w:rPr/>
        <w:t>a</w:t>
      </w:r>
      <w:r>
        <w:rPr>
          <w:spacing w:val="-13"/>
        </w:rPr>
        <w:t> </w:t>
      </w:r>
      <w:r>
        <w:rPr/>
        <w:t>product made from 100 % camu camu powder, followed by</w:t>
      </w:r>
      <w:r>
        <w:rPr>
          <w:spacing w:val="-2"/>
        </w:rPr>
        <w:t> </w:t>
      </w:r>
      <w:r>
        <w:rPr/>
        <w:t>acerola!</w:t>
      </w:r>
    </w:p>
    <w:p>
      <w:pPr>
        <w:spacing w:after="0" w:line="276" w:lineRule="auto"/>
        <w:jc w:val="both"/>
        <w:sectPr>
          <w:pgSz w:w="14270" w:h="16850"/>
          <w:pgMar w:header="0" w:footer="1891" w:top="1340" w:bottom="2080" w:left="800" w:right="1280"/>
        </w:sectPr>
      </w:pPr>
    </w:p>
    <w:p>
      <w:pPr>
        <w:spacing w:before="73"/>
        <w:ind w:left="616" w:right="0" w:firstLine="0"/>
        <w:jc w:val="both"/>
        <w:rPr>
          <w:rFonts w:ascii="Cambria"/>
          <w:b/>
          <w:sz w:val="28"/>
        </w:rPr>
      </w:pPr>
      <w:r>
        <w:rPr>
          <w:rFonts w:ascii="Cambria"/>
          <w:b/>
          <w:color w:val="365F91"/>
          <w:sz w:val="28"/>
        </w:rPr>
        <w:t>DEACIDIFY - DETOXIFY</w:t>
      </w:r>
    </w:p>
    <w:p>
      <w:pPr>
        <w:pStyle w:val="BodyText"/>
        <w:spacing w:before="11"/>
        <w:rPr>
          <w:rFonts w:ascii="Cambria"/>
          <w:b/>
          <w:sz w:val="24"/>
        </w:rPr>
      </w:pPr>
    </w:p>
    <w:p>
      <w:pPr>
        <w:pStyle w:val="Heading2"/>
        <w:ind w:left="616"/>
        <w:jc w:val="both"/>
      </w:pPr>
      <w:r>
        <w:rPr/>
        <w:t>‘Acidification of the body is the root evil of all diseases.’ (Paracelsus)</w:t>
      </w:r>
    </w:p>
    <w:p>
      <w:pPr>
        <w:pStyle w:val="BodyText"/>
        <w:spacing w:line="276" w:lineRule="auto" w:before="302"/>
        <w:ind w:left="616" w:right="140"/>
        <w:jc w:val="both"/>
      </w:pPr>
      <w:r>
        <w:rPr/>
        <w:t>A very important question to start off: When did your GP last measure the acid levels in your body, the ‘pH values’.</w:t>
      </w:r>
    </w:p>
    <w:p>
      <w:pPr>
        <w:pStyle w:val="BodyText"/>
        <w:spacing w:line="276" w:lineRule="auto" w:before="241"/>
        <w:ind w:left="616" w:right="133"/>
        <w:jc w:val="both"/>
      </w:pPr>
      <w:r>
        <w:rPr/>
        <w:t>If the relevance of this measurement were not so massively important for our health and well-being, it could almost be considered amusing how negligently the issue of ‘acidification and toxification’ in the human body is overlooked</w:t>
      </w:r>
      <w:r>
        <w:rPr>
          <w:spacing w:val="-54"/>
        </w:rPr>
        <w:t> </w:t>
      </w:r>
      <w:r>
        <w:rPr/>
        <w:t>in conventional</w:t>
      </w:r>
      <w:r>
        <w:rPr>
          <w:spacing w:val="-9"/>
        </w:rPr>
        <w:t> </w:t>
      </w:r>
      <w:r>
        <w:rPr/>
        <w:t>medicine.</w:t>
      </w:r>
      <w:r>
        <w:rPr>
          <w:spacing w:val="-8"/>
        </w:rPr>
        <w:t> </w:t>
      </w:r>
      <w:r>
        <w:rPr/>
        <w:t>However,</w:t>
      </w:r>
      <w:r>
        <w:rPr>
          <w:spacing w:val="-7"/>
        </w:rPr>
        <w:t> </w:t>
      </w:r>
      <w:r>
        <w:rPr/>
        <w:t>the</w:t>
      </w:r>
      <w:r>
        <w:rPr>
          <w:spacing w:val="-7"/>
        </w:rPr>
        <w:t> </w:t>
      </w:r>
      <w:r>
        <w:rPr/>
        <w:t>fact</w:t>
      </w:r>
      <w:r>
        <w:rPr>
          <w:spacing w:val="-9"/>
        </w:rPr>
        <w:t> </w:t>
      </w:r>
      <w:r>
        <w:rPr/>
        <w:t>that</w:t>
      </w:r>
      <w:r>
        <w:rPr>
          <w:spacing w:val="-8"/>
        </w:rPr>
        <w:t> </w:t>
      </w:r>
      <w:r>
        <w:rPr/>
        <w:t>acidification</w:t>
      </w:r>
      <w:r>
        <w:rPr>
          <w:spacing w:val="-7"/>
        </w:rPr>
        <w:t> </w:t>
      </w:r>
      <w:r>
        <w:rPr/>
        <w:t>and</w:t>
      </w:r>
      <w:r>
        <w:rPr>
          <w:spacing w:val="-8"/>
        </w:rPr>
        <w:t> </w:t>
      </w:r>
      <w:r>
        <w:rPr/>
        <w:t>toxification</w:t>
      </w:r>
      <w:r>
        <w:rPr>
          <w:spacing w:val="-8"/>
        </w:rPr>
        <w:t> </w:t>
      </w:r>
      <w:r>
        <w:rPr/>
        <w:t>in our organism decide whether we are ill or healthy, biologically young or old, makes this wide-spread ignorance a tragedy which causes countless diseases and unnecessarily claims millions of human victims year after</w:t>
      </w:r>
      <w:r>
        <w:rPr>
          <w:spacing w:val="-6"/>
        </w:rPr>
        <w:t> </w:t>
      </w:r>
      <w:r>
        <w:rPr/>
        <w:t>year.</w:t>
      </w:r>
    </w:p>
    <w:p>
      <w:pPr>
        <w:pStyle w:val="BodyText"/>
        <w:spacing w:line="276" w:lineRule="auto" w:before="238"/>
        <w:ind w:left="616" w:right="128"/>
        <w:jc w:val="both"/>
      </w:pPr>
      <w:r>
        <w:rPr/>
        <w:t>Holistic</w:t>
      </w:r>
      <w:r>
        <w:rPr>
          <w:spacing w:val="-13"/>
        </w:rPr>
        <w:t> </w:t>
      </w:r>
      <w:r>
        <w:rPr/>
        <w:t>doctors</w:t>
      </w:r>
      <w:r>
        <w:rPr>
          <w:spacing w:val="-13"/>
        </w:rPr>
        <w:t> </w:t>
      </w:r>
      <w:r>
        <w:rPr/>
        <w:t>and</w:t>
      </w:r>
      <w:r>
        <w:rPr>
          <w:spacing w:val="-11"/>
        </w:rPr>
        <w:t> </w:t>
      </w:r>
      <w:r>
        <w:rPr/>
        <w:t>healing</w:t>
      </w:r>
      <w:r>
        <w:rPr>
          <w:spacing w:val="-11"/>
        </w:rPr>
        <w:t> </w:t>
      </w:r>
      <w:r>
        <w:rPr/>
        <w:t>practitioners</w:t>
      </w:r>
      <w:r>
        <w:rPr>
          <w:spacing w:val="-11"/>
        </w:rPr>
        <w:t> </w:t>
      </w:r>
      <w:r>
        <w:rPr/>
        <w:t>agree</w:t>
      </w:r>
      <w:r>
        <w:rPr>
          <w:spacing w:val="-14"/>
        </w:rPr>
        <w:t> </w:t>
      </w:r>
      <w:r>
        <w:rPr/>
        <w:t>that</w:t>
      </w:r>
      <w:r>
        <w:rPr>
          <w:spacing w:val="-14"/>
        </w:rPr>
        <w:t> </w:t>
      </w:r>
      <w:r>
        <w:rPr/>
        <w:t>the</w:t>
      </w:r>
      <w:r>
        <w:rPr>
          <w:spacing w:val="-13"/>
        </w:rPr>
        <w:t> </w:t>
      </w:r>
      <w:r>
        <w:rPr/>
        <w:t>single</w:t>
      </w:r>
      <w:r>
        <w:rPr>
          <w:spacing w:val="-11"/>
        </w:rPr>
        <w:t> </w:t>
      </w:r>
      <w:r>
        <w:rPr/>
        <w:t>really</w:t>
      </w:r>
      <w:r>
        <w:rPr>
          <w:spacing w:val="-11"/>
        </w:rPr>
        <w:t> </w:t>
      </w:r>
      <w:r>
        <w:rPr/>
        <w:t>important measurement for our health is the pH value – provided that a person deacidi- fies their body and keeps the acid-base ratio in balance – while all other meas- urements such as blood pressure, cholesterol, blood sugar and others are sec- ondary as these only measure damage, which is largely caused by</w:t>
      </w:r>
      <w:r>
        <w:rPr>
          <w:spacing w:val="-26"/>
        </w:rPr>
        <w:t> </w:t>
      </w:r>
      <w:r>
        <w:rPr/>
        <w:t>acidification!</w:t>
      </w:r>
    </w:p>
    <w:p>
      <w:pPr>
        <w:pStyle w:val="BodyText"/>
        <w:spacing w:line="276" w:lineRule="auto" w:before="242"/>
        <w:ind w:left="616" w:right="136"/>
        <w:jc w:val="both"/>
      </w:pPr>
      <w:r>
        <w:rPr/>
        <w:t>The very interesting statement from doctors and so-called nutritional experts which never grows old is the phrase they are taught to repeat in their studies ‘there is no acidification or toxification in a healthy body!’</w:t>
      </w:r>
    </w:p>
    <w:p>
      <w:pPr>
        <w:pStyle w:val="BodyText"/>
        <w:spacing w:line="276" w:lineRule="auto" w:before="240"/>
        <w:ind w:left="616" w:right="132"/>
        <w:jc w:val="both"/>
      </w:pPr>
      <w:r>
        <w:rPr/>
        <w:t>A simple pH test strip from the chemists can convince you of the opposite in a</w:t>
      </w:r>
      <w:r>
        <w:rPr>
          <w:spacing w:val="-14"/>
        </w:rPr>
        <w:t> </w:t>
      </w:r>
      <w:r>
        <w:rPr/>
        <w:t>few</w:t>
      </w:r>
      <w:r>
        <w:rPr>
          <w:spacing w:val="-14"/>
        </w:rPr>
        <w:t> </w:t>
      </w:r>
      <w:r>
        <w:rPr/>
        <w:t>seconds</w:t>
      </w:r>
      <w:r>
        <w:rPr>
          <w:spacing w:val="-14"/>
        </w:rPr>
        <w:t> </w:t>
      </w:r>
      <w:r>
        <w:rPr/>
        <w:t>as</w:t>
      </w:r>
      <w:r>
        <w:rPr>
          <w:spacing w:val="-13"/>
        </w:rPr>
        <w:t> </w:t>
      </w:r>
      <w:r>
        <w:rPr/>
        <w:t>the</w:t>
      </w:r>
      <w:r>
        <w:rPr>
          <w:spacing w:val="-12"/>
        </w:rPr>
        <w:t> </w:t>
      </w:r>
      <w:r>
        <w:rPr/>
        <w:t>probability</w:t>
      </w:r>
      <w:r>
        <w:rPr>
          <w:spacing w:val="-14"/>
        </w:rPr>
        <w:t> </w:t>
      </w:r>
      <w:r>
        <w:rPr/>
        <w:t>that</w:t>
      </w:r>
      <w:r>
        <w:rPr>
          <w:spacing w:val="-13"/>
        </w:rPr>
        <w:t> </w:t>
      </w:r>
      <w:r>
        <w:rPr/>
        <w:t>you</w:t>
      </w:r>
      <w:r>
        <w:rPr>
          <w:spacing w:val="-14"/>
        </w:rPr>
        <w:t> </w:t>
      </w:r>
      <w:r>
        <w:rPr/>
        <w:t>are</w:t>
      </w:r>
      <w:r>
        <w:rPr>
          <w:spacing w:val="-13"/>
        </w:rPr>
        <w:t> </w:t>
      </w:r>
      <w:r>
        <w:rPr/>
        <w:t>one</w:t>
      </w:r>
      <w:r>
        <w:rPr>
          <w:spacing w:val="-13"/>
        </w:rPr>
        <w:t> </w:t>
      </w:r>
      <w:r>
        <w:rPr/>
        <w:t>of</w:t>
      </w:r>
      <w:r>
        <w:rPr>
          <w:spacing w:val="-13"/>
        </w:rPr>
        <w:t> </w:t>
      </w:r>
      <w:r>
        <w:rPr/>
        <w:t>the</w:t>
      </w:r>
      <w:r>
        <w:rPr>
          <w:spacing w:val="-12"/>
        </w:rPr>
        <w:t> </w:t>
      </w:r>
      <w:r>
        <w:rPr/>
        <w:t>people</w:t>
      </w:r>
      <w:r>
        <w:rPr>
          <w:spacing w:val="-14"/>
        </w:rPr>
        <w:t> </w:t>
      </w:r>
      <w:r>
        <w:rPr/>
        <w:t>in</w:t>
      </w:r>
      <w:r>
        <w:rPr>
          <w:spacing w:val="-15"/>
        </w:rPr>
        <w:t> </w:t>
      </w:r>
      <w:r>
        <w:rPr/>
        <w:t>an</w:t>
      </w:r>
      <w:r>
        <w:rPr>
          <w:spacing w:val="-13"/>
        </w:rPr>
        <w:t> </w:t>
      </w:r>
      <w:r>
        <w:rPr/>
        <w:t>industrial- ised country who suffers from acidosis (chronic acidification of the</w:t>
      </w:r>
      <w:r>
        <w:rPr>
          <w:spacing w:val="-25"/>
        </w:rPr>
        <w:t> </w:t>
      </w:r>
      <w:r>
        <w:rPr/>
        <w:t>organism)</w:t>
      </w:r>
    </w:p>
    <w:p>
      <w:pPr>
        <w:spacing w:after="0" w:line="276" w:lineRule="auto"/>
        <w:jc w:val="both"/>
        <w:sectPr>
          <w:pgSz w:w="14270" w:h="16850"/>
          <w:pgMar w:header="0" w:footer="1891" w:top="1340" w:bottom="2080" w:left="800" w:right="1280"/>
        </w:sectPr>
      </w:pPr>
    </w:p>
    <w:p>
      <w:pPr>
        <w:pStyle w:val="BodyText"/>
        <w:spacing w:line="276" w:lineRule="auto" w:before="72"/>
        <w:ind w:left="616" w:right="134"/>
        <w:jc w:val="both"/>
      </w:pPr>
      <w:r>
        <w:rPr/>
        <w:t>is very high at 80 %. Healing practitioners and natural medicine doctors agree that by far the most important test parameter is not blood pressure, uric acid level or even the cholesterol level – rather it is the measurement of the acid level or pH value.</w:t>
      </w:r>
    </w:p>
    <w:p>
      <w:pPr>
        <w:pStyle w:val="Heading2"/>
        <w:spacing w:before="241"/>
        <w:ind w:left="616"/>
      </w:pPr>
      <w:r>
        <w:rPr/>
        <w:t>What are acids and bases?</w:t>
      </w:r>
    </w:p>
    <w:p>
      <w:pPr>
        <w:pStyle w:val="BodyText"/>
        <w:spacing w:line="276" w:lineRule="auto" w:before="305"/>
        <w:ind w:left="616" w:right="132"/>
        <w:jc w:val="both"/>
      </w:pPr>
      <w:r>
        <w:rPr/>
        <w:t>Acids and bases are two opposing factors which play an important role for a healthy organism. The acid-base balance regulates our cardiovascular system, our</w:t>
      </w:r>
      <w:r>
        <w:rPr>
          <w:spacing w:val="-8"/>
        </w:rPr>
        <w:t> </w:t>
      </w:r>
      <w:r>
        <w:rPr/>
        <w:t>breathing,</w:t>
      </w:r>
      <w:r>
        <w:rPr>
          <w:spacing w:val="-10"/>
        </w:rPr>
        <w:t> </w:t>
      </w:r>
      <w:r>
        <w:rPr/>
        <w:t>our</w:t>
      </w:r>
      <w:r>
        <w:rPr>
          <w:spacing w:val="-7"/>
        </w:rPr>
        <w:t> </w:t>
      </w:r>
      <w:r>
        <w:rPr/>
        <w:t>digestion,</w:t>
      </w:r>
      <w:r>
        <w:rPr>
          <w:spacing w:val="-7"/>
        </w:rPr>
        <w:t> </w:t>
      </w:r>
      <w:r>
        <w:rPr/>
        <w:t>our</w:t>
      </w:r>
      <w:r>
        <w:rPr>
          <w:spacing w:val="-9"/>
        </w:rPr>
        <w:t> </w:t>
      </w:r>
      <w:r>
        <w:rPr/>
        <w:t>hormone</w:t>
      </w:r>
      <w:r>
        <w:rPr>
          <w:spacing w:val="-9"/>
        </w:rPr>
        <w:t> </w:t>
      </w:r>
      <w:r>
        <w:rPr/>
        <w:t>production</w:t>
      </w:r>
      <w:r>
        <w:rPr>
          <w:spacing w:val="-7"/>
        </w:rPr>
        <w:t> </w:t>
      </w:r>
      <w:r>
        <w:rPr/>
        <w:t>and</w:t>
      </w:r>
      <w:r>
        <w:rPr>
          <w:spacing w:val="-8"/>
        </w:rPr>
        <w:t> </w:t>
      </w:r>
      <w:r>
        <w:rPr/>
        <w:t>much</w:t>
      </w:r>
      <w:r>
        <w:rPr>
          <w:spacing w:val="-9"/>
        </w:rPr>
        <w:t> </w:t>
      </w:r>
      <w:r>
        <w:rPr/>
        <w:t>more.</w:t>
      </w:r>
      <w:r>
        <w:rPr>
          <w:spacing w:val="-7"/>
        </w:rPr>
        <w:t> </w:t>
      </w:r>
      <w:r>
        <w:rPr/>
        <w:t>A</w:t>
      </w:r>
      <w:r>
        <w:rPr>
          <w:spacing w:val="-9"/>
        </w:rPr>
        <w:t> </w:t>
      </w:r>
      <w:r>
        <w:rPr/>
        <w:t>cer- tain</w:t>
      </w:r>
      <w:r>
        <w:rPr>
          <w:spacing w:val="-25"/>
        </w:rPr>
        <w:t> </w:t>
      </w:r>
      <w:r>
        <w:rPr/>
        <w:t>pH</w:t>
      </w:r>
      <w:r>
        <w:rPr>
          <w:spacing w:val="-24"/>
        </w:rPr>
        <w:t> </w:t>
      </w:r>
      <w:r>
        <w:rPr/>
        <w:t>value</w:t>
      </w:r>
      <w:r>
        <w:rPr>
          <w:spacing w:val="-23"/>
        </w:rPr>
        <w:t> </w:t>
      </w:r>
      <w:r>
        <w:rPr/>
        <w:t>(acid-base</w:t>
      </w:r>
      <w:r>
        <w:rPr>
          <w:spacing w:val="-23"/>
        </w:rPr>
        <w:t> </w:t>
      </w:r>
      <w:r>
        <w:rPr/>
        <w:t>value)</w:t>
      </w:r>
      <w:r>
        <w:rPr>
          <w:spacing w:val="-24"/>
        </w:rPr>
        <w:t> </w:t>
      </w:r>
      <w:r>
        <w:rPr/>
        <w:t>must</w:t>
      </w:r>
      <w:r>
        <w:rPr>
          <w:spacing w:val="-24"/>
        </w:rPr>
        <w:t> </w:t>
      </w:r>
      <w:r>
        <w:rPr/>
        <w:t>be</w:t>
      </w:r>
      <w:r>
        <w:rPr>
          <w:spacing w:val="-25"/>
        </w:rPr>
        <w:t> </w:t>
      </w:r>
      <w:r>
        <w:rPr/>
        <w:t>guaranteed</w:t>
      </w:r>
      <w:r>
        <w:rPr>
          <w:spacing w:val="-23"/>
        </w:rPr>
        <w:t> </w:t>
      </w:r>
      <w:r>
        <w:rPr/>
        <w:t>in</w:t>
      </w:r>
      <w:r>
        <w:rPr>
          <w:spacing w:val="-26"/>
        </w:rPr>
        <w:t> </w:t>
      </w:r>
      <w:r>
        <w:rPr/>
        <w:t>order</w:t>
      </w:r>
      <w:r>
        <w:rPr>
          <w:spacing w:val="-25"/>
        </w:rPr>
        <w:t> </w:t>
      </w:r>
      <w:r>
        <w:rPr/>
        <w:t>for</w:t>
      </w:r>
      <w:r>
        <w:rPr>
          <w:spacing w:val="-25"/>
        </w:rPr>
        <w:t> </w:t>
      </w:r>
      <w:r>
        <w:rPr/>
        <w:t>these</w:t>
      </w:r>
      <w:r>
        <w:rPr>
          <w:spacing w:val="-23"/>
        </w:rPr>
        <w:t> </w:t>
      </w:r>
      <w:r>
        <w:rPr/>
        <w:t>important processes to continue</w:t>
      </w:r>
      <w:r>
        <w:rPr>
          <w:spacing w:val="-1"/>
        </w:rPr>
        <w:t> </w:t>
      </w:r>
      <w:r>
        <w:rPr/>
        <w:t>unimpeded.</w:t>
      </w:r>
    </w:p>
    <w:p>
      <w:pPr>
        <w:pStyle w:val="BodyText"/>
        <w:spacing w:line="276" w:lineRule="auto" w:before="240"/>
        <w:ind w:left="616" w:right="130"/>
        <w:jc w:val="both"/>
      </w:pPr>
      <w:r>
        <w:rPr/>
        <w:t>The problems begin if one of the two factors heavily outweighs the other and the acid-base balance is permanently destroyed. In reality, it is very rare that bases outweigh acids, as there are acids everywhere in the body, for example in energy production, where carbon dioxide is continually generated, or if we ingest them in the form of nutrition or if involuntarily consumed poisons are actively absorbed. Increased stress levels these days contribute to the vast ma- jority</w:t>
      </w:r>
      <w:r>
        <w:rPr>
          <w:spacing w:val="-21"/>
        </w:rPr>
        <w:t> </w:t>
      </w:r>
      <w:r>
        <w:rPr/>
        <w:t>of</w:t>
      </w:r>
      <w:r>
        <w:rPr>
          <w:spacing w:val="-20"/>
        </w:rPr>
        <w:t> </w:t>
      </w:r>
      <w:r>
        <w:rPr/>
        <w:t>people</w:t>
      </w:r>
      <w:r>
        <w:rPr>
          <w:spacing w:val="-20"/>
        </w:rPr>
        <w:t> </w:t>
      </w:r>
      <w:r>
        <w:rPr/>
        <w:t>in</w:t>
      </w:r>
      <w:r>
        <w:rPr>
          <w:spacing w:val="-19"/>
        </w:rPr>
        <w:t> </w:t>
      </w:r>
      <w:r>
        <w:rPr/>
        <w:t>industrial</w:t>
      </w:r>
      <w:r>
        <w:rPr>
          <w:spacing w:val="-21"/>
        </w:rPr>
        <w:t> </w:t>
      </w:r>
      <w:r>
        <w:rPr/>
        <w:t>countries</w:t>
      </w:r>
      <w:r>
        <w:rPr>
          <w:spacing w:val="-19"/>
        </w:rPr>
        <w:t> </w:t>
      </w:r>
      <w:r>
        <w:rPr/>
        <w:t>being</w:t>
      </w:r>
      <w:r>
        <w:rPr>
          <w:spacing w:val="-18"/>
        </w:rPr>
        <w:t> </w:t>
      </w:r>
      <w:r>
        <w:rPr/>
        <w:t>permanently</w:t>
      </w:r>
      <w:r>
        <w:rPr>
          <w:spacing w:val="-20"/>
        </w:rPr>
        <w:t> </w:t>
      </w:r>
      <w:r>
        <w:rPr/>
        <w:t>acidified,</w:t>
      </w:r>
      <w:r>
        <w:rPr>
          <w:spacing w:val="-17"/>
        </w:rPr>
        <w:t> </w:t>
      </w:r>
      <w:r>
        <w:rPr/>
        <w:t>some</w:t>
      </w:r>
      <w:r>
        <w:rPr>
          <w:spacing w:val="-19"/>
        </w:rPr>
        <w:t> </w:t>
      </w:r>
      <w:r>
        <w:rPr/>
        <w:t>to</w:t>
      </w:r>
      <w:r>
        <w:rPr>
          <w:spacing w:val="-18"/>
        </w:rPr>
        <w:t> </w:t>
      </w:r>
      <w:r>
        <w:rPr/>
        <w:t>the point of illness! According to doctors and therapists who use holistic treat- ments, the most medical conditions by far result from a low pH value, acidifi- cation</w:t>
      </w:r>
      <w:r>
        <w:rPr>
          <w:spacing w:val="-11"/>
        </w:rPr>
        <w:t> </w:t>
      </w:r>
      <w:r>
        <w:rPr/>
        <w:t>of</w:t>
      </w:r>
      <w:r>
        <w:rPr>
          <w:spacing w:val="-10"/>
        </w:rPr>
        <w:t> </w:t>
      </w:r>
      <w:r>
        <w:rPr/>
        <w:t>our</w:t>
      </w:r>
      <w:r>
        <w:rPr>
          <w:spacing w:val="-10"/>
        </w:rPr>
        <w:t> </w:t>
      </w:r>
      <w:r>
        <w:rPr/>
        <w:t>organism</w:t>
      </w:r>
      <w:r>
        <w:rPr>
          <w:spacing w:val="-11"/>
        </w:rPr>
        <w:t> </w:t>
      </w:r>
      <w:r>
        <w:rPr/>
        <w:t>and</w:t>
      </w:r>
      <w:r>
        <w:rPr>
          <w:spacing w:val="-10"/>
        </w:rPr>
        <w:t> </w:t>
      </w:r>
      <w:r>
        <w:rPr/>
        <w:t>the</w:t>
      </w:r>
      <w:r>
        <w:rPr>
          <w:spacing w:val="-9"/>
        </w:rPr>
        <w:t> </w:t>
      </w:r>
      <w:r>
        <w:rPr/>
        <w:t>subsequent</w:t>
      </w:r>
      <w:r>
        <w:rPr>
          <w:spacing w:val="-11"/>
        </w:rPr>
        <w:t> </w:t>
      </w:r>
      <w:r>
        <w:rPr/>
        <w:t>demineralisation</w:t>
      </w:r>
      <w:r>
        <w:rPr>
          <w:spacing w:val="-11"/>
        </w:rPr>
        <w:t> </w:t>
      </w:r>
      <w:r>
        <w:rPr/>
        <w:t>and</w:t>
      </w:r>
      <w:r>
        <w:rPr>
          <w:spacing w:val="-10"/>
        </w:rPr>
        <w:t> </w:t>
      </w:r>
      <w:r>
        <w:rPr/>
        <w:t>toxification</w:t>
      </w:r>
      <w:r>
        <w:rPr>
          <w:spacing w:val="-6"/>
        </w:rPr>
        <w:t> </w:t>
      </w:r>
      <w:r>
        <w:rPr/>
        <w:t>– a</w:t>
      </w:r>
      <w:r>
        <w:rPr>
          <w:spacing w:val="-11"/>
        </w:rPr>
        <w:t> </w:t>
      </w:r>
      <w:r>
        <w:rPr/>
        <w:t>destructive</w:t>
      </w:r>
      <w:r>
        <w:rPr>
          <w:spacing w:val="-10"/>
        </w:rPr>
        <w:t> </w:t>
      </w:r>
      <w:r>
        <w:rPr/>
        <w:t>process</w:t>
      </w:r>
      <w:r>
        <w:rPr>
          <w:spacing w:val="-9"/>
        </w:rPr>
        <w:t> </w:t>
      </w:r>
      <w:r>
        <w:rPr/>
        <w:t>which</w:t>
      </w:r>
      <w:r>
        <w:rPr>
          <w:spacing w:val="-11"/>
        </w:rPr>
        <w:t> </w:t>
      </w:r>
      <w:r>
        <w:rPr/>
        <w:t>is</w:t>
      </w:r>
      <w:r>
        <w:rPr>
          <w:spacing w:val="-12"/>
        </w:rPr>
        <w:t> </w:t>
      </w:r>
      <w:r>
        <w:rPr/>
        <w:t>designated</w:t>
      </w:r>
      <w:r>
        <w:rPr>
          <w:spacing w:val="-9"/>
        </w:rPr>
        <w:t> </w:t>
      </w:r>
      <w:r>
        <w:rPr/>
        <w:t>as</w:t>
      </w:r>
      <w:r>
        <w:rPr>
          <w:spacing w:val="-10"/>
        </w:rPr>
        <w:t> </w:t>
      </w:r>
      <w:r>
        <w:rPr/>
        <w:t>a</w:t>
      </w:r>
      <w:r>
        <w:rPr>
          <w:spacing w:val="-13"/>
        </w:rPr>
        <w:t> </w:t>
      </w:r>
      <w:r>
        <w:rPr/>
        <w:t>DISEASE</w:t>
      </w:r>
      <w:r>
        <w:rPr>
          <w:spacing w:val="-9"/>
        </w:rPr>
        <w:t> </w:t>
      </w:r>
      <w:r>
        <w:rPr/>
        <w:t>OF</w:t>
      </w:r>
      <w:r>
        <w:rPr>
          <w:spacing w:val="-11"/>
        </w:rPr>
        <w:t> </w:t>
      </w:r>
      <w:r>
        <w:rPr/>
        <w:t>MODERN</w:t>
      </w:r>
      <w:r>
        <w:rPr>
          <w:spacing w:val="-9"/>
        </w:rPr>
        <w:t> </w:t>
      </w:r>
      <w:r>
        <w:rPr/>
        <w:t>CIV- ILISATION. Therefore, there demand is to make the pH value a relevant, regular</w:t>
      </w:r>
      <w:r>
        <w:rPr>
          <w:spacing w:val="-16"/>
        </w:rPr>
        <w:t> </w:t>
      </w:r>
      <w:r>
        <w:rPr/>
        <w:t>measurement</w:t>
      </w:r>
      <w:r>
        <w:rPr>
          <w:spacing w:val="-16"/>
        </w:rPr>
        <w:t> </w:t>
      </w:r>
      <w:r>
        <w:rPr/>
        <w:t>criterion</w:t>
      </w:r>
      <w:r>
        <w:rPr>
          <w:spacing w:val="-16"/>
        </w:rPr>
        <w:t> </w:t>
      </w:r>
      <w:r>
        <w:rPr/>
        <w:t>within</w:t>
      </w:r>
      <w:r>
        <w:rPr>
          <w:spacing w:val="-16"/>
        </w:rPr>
        <w:t> </w:t>
      </w:r>
      <w:r>
        <w:rPr/>
        <w:t>medical</w:t>
      </w:r>
      <w:r>
        <w:rPr>
          <w:spacing w:val="-16"/>
        </w:rPr>
        <w:t> </w:t>
      </w:r>
      <w:r>
        <w:rPr/>
        <w:t>practice</w:t>
      </w:r>
      <w:r>
        <w:rPr>
          <w:spacing w:val="-16"/>
        </w:rPr>
        <w:t> </w:t>
      </w:r>
      <w:r>
        <w:rPr/>
        <w:t>as</w:t>
      </w:r>
      <w:r>
        <w:rPr>
          <w:spacing w:val="-17"/>
        </w:rPr>
        <w:t> </w:t>
      </w:r>
      <w:r>
        <w:rPr/>
        <w:t>a</w:t>
      </w:r>
      <w:r>
        <w:rPr>
          <w:spacing w:val="-17"/>
        </w:rPr>
        <w:t> </w:t>
      </w:r>
      <w:r>
        <w:rPr/>
        <w:t>fixed</w:t>
      </w:r>
      <w:r>
        <w:rPr>
          <w:spacing w:val="-18"/>
        </w:rPr>
        <w:t> </w:t>
      </w:r>
      <w:r>
        <w:rPr/>
        <w:t>component</w:t>
      </w:r>
      <w:r>
        <w:rPr>
          <w:spacing w:val="-15"/>
        </w:rPr>
        <w:t> </w:t>
      </w:r>
      <w:r>
        <w:rPr/>
        <w:t>of</w:t>
      </w:r>
    </w:p>
    <w:p>
      <w:pPr>
        <w:spacing w:after="0" w:line="276" w:lineRule="auto"/>
        <w:jc w:val="both"/>
        <w:sectPr>
          <w:pgSz w:w="14270" w:h="16850"/>
          <w:pgMar w:header="0" w:footer="1891" w:top="1340" w:bottom="2080" w:left="800" w:right="1280"/>
        </w:sectPr>
      </w:pPr>
    </w:p>
    <w:p>
      <w:pPr>
        <w:pStyle w:val="BodyText"/>
        <w:spacing w:before="74"/>
        <w:ind w:left="616"/>
        <w:jc w:val="both"/>
      </w:pPr>
      <w:r>
        <w:rPr/>
        <w:t>every prophylaxis and treatment!</w:t>
      </w:r>
    </w:p>
    <w:p>
      <w:pPr>
        <w:pStyle w:val="BodyText"/>
        <w:spacing w:line="276" w:lineRule="auto" w:before="305"/>
        <w:ind w:left="616" w:right="135"/>
        <w:jc w:val="both"/>
      </w:pPr>
      <w:r>
        <w:rPr/>
        <w:t>Acids themselves, as well as toxification as a metabolic process from neutral- ising</w:t>
      </w:r>
      <w:r>
        <w:rPr>
          <w:spacing w:val="-6"/>
        </w:rPr>
        <w:t> </w:t>
      </w:r>
      <w:r>
        <w:rPr/>
        <w:t>them,</w:t>
      </w:r>
      <w:r>
        <w:rPr>
          <w:spacing w:val="-6"/>
        </w:rPr>
        <w:t> </w:t>
      </w:r>
      <w:r>
        <w:rPr/>
        <w:t>make</w:t>
      </w:r>
      <w:r>
        <w:rPr>
          <w:spacing w:val="-7"/>
        </w:rPr>
        <w:t> </w:t>
      </w:r>
      <w:r>
        <w:rPr/>
        <w:t>us</w:t>
      </w:r>
      <w:r>
        <w:rPr>
          <w:spacing w:val="-6"/>
        </w:rPr>
        <w:t> </w:t>
      </w:r>
      <w:r>
        <w:rPr/>
        <w:t>ill,</w:t>
      </w:r>
      <w:r>
        <w:rPr>
          <w:spacing w:val="-6"/>
        </w:rPr>
        <w:t> </w:t>
      </w:r>
      <w:r>
        <w:rPr/>
        <w:t>old</w:t>
      </w:r>
      <w:r>
        <w:rPr>
          <w:spacing w:val="-7"/>
        </w:rPr>
        <w:t> </w:t>
      </w:r>
      <w:r>
        <w:rPr/>
        <w:t>and</w:t>
      </w:r>
      <w:r>
        <w:rPr>
          <w:spacing w:val="-9"/>
        </w:rPr>
        <w:t> </w:t>
      </w:r>
      <w:r>
        <w:rPr/>
        <w:t>generally</w:t>
      </w:r>
      <w:r>
        <w:rPr>
          <w:spacing w:val="-6"/>
        </w:rPr>
        <w:t> </w:t>
      </w:r>
      <w:r>
        <w:rPr/>
        <w:t>impair</w:t>
      </w:r>
      <w:r>
        <w:rPr>
          <w:spacing w:val="-6"/>
        </w:rPr>
        <w:t> </w:t>
      </w:r>
      <w:r>
        <w:rPr/>
        <w:t>our</w:t>
      </w:r>
      <w:r>
        <w:rPr>
          <w:spacing w:val="-7"/>
        </w:rPr>
        <w:t> </w:t>
      </w:r>
      <w:r>
        <w:rPr/>
        <w:t>functions.</w:t>
      </w:r>
      <w:r>
        <w:rPr>
          <w:spacing w:val="-5"/>
        </w:rPr>
        <w:t> </w:t>
      </w:r>
      <w:r>
        <w:rPr/>
        <w:t>The</w:t>
      </w:r>
      <w:r>
        <w:rPr>
          <w:spacing w:val="-5"/>
        </w:rPr>
        <w:t> </w:t>
      </w:r>
      <w:r>
        <w:rPr/>
        <w:t>demineral- isation</w:t>
      </w:r>
      <w:r>
        <w:rPr>
          <w:spacing w:val="-11"/>
        </w:rPr>
        <w:t> </w:t>
      </w:r>
      <w:r>
        <w:rPr/>
        <w:t>of</w:t>
      </w:r>
      <w:r>
        <w:rPr>
          <w:spacing w:val="-10"/>
        </w:rPr>
        <w:t> </w:t>
      </w:r>
      <w:r>
        <w:rPr/>
        <w:t>our</w:t>
      </w:r>
      <w:r>
        <w:rPr>
          <w:spacing w:val="-11"/>
        </w:rPr>
        <w:t> </w:t>
      </w:r>
      <w:r>
        <w:rPr/>
        <w:t>organism</w:t>
      </w:r>
      <w:r>
        <w:rPr>
          <w:spacing w:val="-10"/>
        </w:rPr>
        <w:t> </w:t>
      </w:r>
      <w:r>
        <w:rPr/>
        <w:t>in</w:t>
      </w:r>
      <w:r>
        <w:rPr>
          <w:spacing w:val="-12"/>
        </w:rPr>
        <w:t> </w:t>
      </w:r>
      <w:r>
        <w:rPr/>
        <w:t>order</w:t>
      </w:r>
      <w:r>
        <w:rPr>
          <w:spacing w:val="-13"/>
        </w:rPr>
        <w:t> </w:t>
      </w:r>
      <w:r>
        <w:rPr/>
        <w:t>to</w:t>
      </w:r>
      <w:r>
        <w:rPr>
          <w:spacing w:val="-10"/>
        </w:rPr>
        <w:t> </w:t>
      </w:r>
      <w:r>
        <w:rPr/>
        <w:t>bind</w:t>
      </w:r>
      <w:r>
        <w:rPr>
          <w:spacing w:val="-12"/>
        </w:rPr>
        <w:t> </w:t>
      </w:r>
      <w:r>
        <w:rPr/>
        <w:t>acids</w:t>
      </w:r>
      <w:r>
        <w:rPr>
          <w:spacing w:val="-11"/>
        </w:rPr>
        <w:t> </w:t>
      </w:r>
      <w:r>
        <w:rPr/>
        <w:t>and</w:t>
      </w:r>
      <w:r>
        <w:rPr>
          <w:spacing w:val="-10"/>
        </w:rPr>
        <w:t> </w:t>
      </w:r>
      <w:r>
        <w:rPr/>
        <w:t>prevent</w:t>
      </w:r>
      <w:r>
        <w:rPr>
          <w:spacing w:val="-12"/>
        </w:rPr>
        <w:t> </w:t>
      </w:r>
      <w:r>
        <w:rPr/>
        <w:t>burns</w:t>
      </w:r>
      <w:r>
        <w:rPr>
          <w:spacing w:val="-12"/>
        </w:rPr>
        <w:t> </w:t>
      </w:r>
      <w:r>
        <w:rPr/>
        <w:t>goes</w:t>
      </w:r>
      <w:r>
        <w:rPr>
          <w:spacing w:val="-11"/>
        </w:rPr>
        <w:t> </w:t>
      </w:r>
      <w:r>
        <w:rPr/>
        <w:t>one</w:t>
      </w:r>
      <w:r>
        <w:rPr>
          <w:spacing w:val="-13"/>
        </w:rPr>
        <w:t> </w:t>
      </w:r>
      <w:r>
        <w:rPr/>
        <w:t>step further.</w:t>
      </w:r>
    </w:p>
    <w:p>
      <w:pPr>
        <w:spacing w:line="276" w:lineRule="auto" w:before="239"/>
        <w:ind w:left="616" w:right="127" w:firstLine="0"/>
        <w:jc w:val="both"/>
        <w:rPr>
          <w:sz w:val="38"/>
        </w:rPr>
      </w:pPr>
      <w:r>
        <w:rPr>
          <w:spacing w:val="-7"/>
          <w:sz w:val="38"/>
        </w:rPr>
        <w:t>Paracelsus recognised: </w:t>
      </w:r>
      <w:r>
        <w:rPr>
          <w:i/>
          <w:spacing w:val="-7"/>
          <w:sz w:val="38"/>
        </w:rPr>
        <w:t>‘Acidification </w:t>
      </w:r>
      <w:r>
        <w:rPr>
          <w:i/>
          <w:spacing w:val="-4"/>
          <w:sz w:val="38"/>
        </w:rPr>
        <w:t>is </w:t>
      </w:r>
      <w:r>
        <w:rPr>
          <w:i/>
          <w:spacing w:val="-5"/>
          <w:sz w:val="38"/>
        </w:rPr>
        <w:t>the </w:t>
      </w:r>
      <w:r>
        <w:rPr>
          <w:i/>
          <w:spacing w:val="-7"/>
          <w:sz w:val="38"/>
        </w:rPr>
        <w:t>fundamental </w:t>
      </w:r>
      <w:r>
        <w:rPr>
          <w:i/>
          <w:spacing w:val="-6"/>
          <w:sz w:val="38"/>
        </w:rPr>
        <w:t>evil </w:t>
      </w:r>
      <w:r>
        <w:rPr>
          <w:i/>
          <w:spacing w:val="-4"/>
          <w:sz w:val="38"/>
        </w:rPr>
        <w:t>of </w:t>
      </w:r>
      <w:r>
        <w:rPr>
          <w:i/>
          <w:spacing w:val="-5"/>
          <w:sz w:val="38"/>
        </w:rPr>
        <w:t>all </w:t>
      </w:r>
      <w:r>
        <w:rPr>
          <w:i/>
          <w:spacing w:val="-7"/>
          <w:sz w:val="38"/>
        </w:rPr>
        <w:t>disease‘. </w:t>
      </w:r>
      <w:r>
        <w:rPr>
          <w:spacing w:val="-7"/>
          <w:sz w:val="38"/>
        </w:rPr>
        <w:t>Indeed, </w:t>
      </w:r>
      <w:r>
        <w:rPr>
          <w:spacing w:val="-6"/>
          <w:sz w:val="38"/>
        </w:rPr>
        <w:t>all</w:t>
      </w:r>
      <w:r>
        <w:rPr>
          <w:spacing w:val="-66"/>
          <w:sz w:val="38"/>
        </w:rPr>
        <w:t> </w:t>
      </w:r>
      <w:r>
        <w:rPr>
          <w:spacing w:val="-6"/>
          <w:sz w:val="38"/>
        </w:rPr>
        <w:t>dis- eases show </w:t>
      </w:r>
      <w:r>
        <w:rPr>
          <w:sz w:val="38"/>
        </w:rPr>
        <w:t>a </w:t>
      </w:r>
      <w:r>
        <w:rPr>
          <w:spacing w:val="-7"/>
          <w:sz w:val="38"/>
        </w:rPr>
        <w:t>parallel acidification </w:t>
      </w:r>
      <w:r>
        <w:rPr>
          <w:spacing w:val="-4"/>
          <w:sz w:val="38"/>
        </w:rPr>
        <w:t>of </w:t>
      </w:r>
      <w:r>
        <w:rPr>
          <w:spacing w:val="-5"/>
          <w:sz w:val="38"/>
        </w:rPr>
        <w:t>the </w:t>
      </w:r>
      <w:r>
        <w:rPr>
          <w:spacing w:val="-7"/>
          <w:sz w:val="38"/>
        </w:rPr>
        <w:t>organism </w:t>
      </w:r>
      <w:r>
        <w:rPr>
          <w:spacing w:val="-5"/>
          <w:sz w:val="38"/>
        </w:rPr>
        <w:t>and the </w:t>
      </w:r>
      <w:r>
        <w:rPr>
          <w:spacing w:val="-7"/>
          <w:sz w:val="38"/>
        </w:rPr>
        <w:t>faster </w:t>
      </w:r>
      <w:r>
        <w:rPr>
          <w:spacing w:val="-6"/>
          <w:sz w:val="38"/>
        </w:rPr>
        <w:t>this </w:t>
      </w:r>
      <w:r>
        <w:rPr>
          <w:spacing w:val="-4"/>
          <w:sz w:val="38"/>
        </w:rPr>
        <w:t>is </w:t>
      </w:r>
      <w:r>
        <w:rPr>
          <w:spacing w:val="-7"/>
          <w:sz w:val="38"/>
        </w:rPr>
        <w:t>resolved, </w:t>
      </w:r>
      <w:r>
        <w:rPr>
          <w:spacing w:val="-5"/>
          <w:sz w:val="38"/>
        </w:rPr>
        <w:t>the </w:t>
      </w:r>
      <w:r>
        <w:rPr>
          <w:spacing w:val="-7"/>
          <w:sz w:val="38"/>
        </w:rPr>
        <w:t>faster </w:t>
      </w:r>
      <w:r>
        <w:rPr>
          <w:spacing w:val="-5"/>
          <w:sz w:val="38"/>
        </w:rPr>
        <w:t>the </w:t>
      </w:r>
      <w:r>
        <w:rPr>
          <w:spacing w:val="-7"/>
          <w:sz w:val="38"/>
        </w:rPr>
        <w:t>individual </w:t>
      </w:r>
      <w:r>
        <w:rPr>
          <w:spacing w:val="-6"/>
          <w:sz w:val="38"/>
        </w:rPr>
        <w:t>becomes </w:t>
      </w:r>
      <w:r>
        <w:rPr>
          <w:spacing w:val="-7"/>
          <w:sz w:val="38"/>
        </w:rPr>
        <w:t>healthy.</w:t>
      </w:r>
    </w:p>
    <w:p>
      <w:pPr>
        <w:pStyle w:val="BodyText"/>
        <w:spacing w:line="276" w:lineRule="auto" w:before="242"/>
        <w:ind w:left="616" w:right="134"/>
        <w:jc w:val="both"/>
      </w:pPr>
      <w:r>
        <w:rPr/>
        <w:t>It is thanks to Hildegard von Bingen’s recognition as far back as the 11th</w:t>
      </w:r>
      <w:r>
        <w:rPr>
          <w:spacing w:val="-60"/>
        </w:rPr>
        <w:t> </w:t>
      </w:r>
      <w:r>
        <w:rPr/>
        <w:t>cen- tury that we know women live about ten years longer because they expel their acids every month in their period. After menopause, this situation changes drastically.</w:t>
      </w:r>
    </w:p>
    <w:p>
      <w:pPr>
        <w:pStyle w:val="BodyText"/>
        <w:spacing w:line="276" w:lineRule="auto" w:before="239"/>
        <w:ind w:left="616" w:right="137"/>
        <w:jc w:val="both"/>
      </w:pPr>
      <w:r>
        <w:rPr/>
        <w:t>While women can partially expel their excess acids via their monthly period, men do not have this cleansing function available; for them, acids are prefer- entially tapped into via the minerals in the scalp, which is the cause of typical ‘male baldness’.</w:t>
      </w:r>
    </w:p>
    <w:p>
      <w:pPr>
        <w:pStyle w:val="BodyText"/>
        <w:spacing w:line="276" w:lineRule="auto" w:before="239"/>
        <w:ind w:left="616" w:right="133"/>
        <w:jc w:val="both"/>
      </w:pPr>
      <w:r>
        <w:rPr/>
        <w:t>This</w:t>
      </w:r>
      <w:r>
        <w:rPr>
          <w:spacing w:val="-12"/>
        </w:rPr>
        <w:t> </w:t>
      </w:r>
      <w:r>
        <w:rPr/>
        <w:t>treatise</w:t>
      </w:r>
      <w:r>
        <w:rPr>
          <w:spacing w:val="-11"/>
        </w:rPr>
        <w:t> </w:t>
      </w:r>
      <w:r>
        <w:rPr/>
        <w:t>aims</w:t>
      </w:r>
      <w:r>
        <w:rPr>
          <w:spacing w:val="-13"/>
        </w:rPr>
        <w:t> </w:t>
      </w:r>
      <w:r>
        <w:rPr/>
        <w:t>to</w:t>
      </w:r>
      <w:r>
        <w:rPr>
          <w:spacing w:val="-14"/>
        </w:rPr>
        <w:t> </w:t>
      </w:r>
      <w:r>
        <w:rPr/>
        <w:t>provide</w:t>
      </w:r>
      <w:r>
        <w:rPr>
          <w:spacing w:val="-12"/>
        </w:rPr>
        <w:t> </w:t>
      </w:r>
      <w:r>
        <w:rPr/>
        <w:t>you</w:t>
      </w:r>
      <w:r>
        <w:rPr>
          <w:spacing w:val="-16"/>
        </w:rPr>
        <w:t> </w:t>
      </w:r>
      <w:r>
        <w:rPr/>
        <w:t>with</w:t>
      </w:r>
      <w:r>
        <w:rPr>
          <w:spacing w:val="-11"/>
        </w:rPr>
        <w:t> </w:t>
      </w:r>
      <w:r>
        <w:rPr/>
        <w:t>competent</w:t>
      </w:r>
      <w:r>
        <w:rPr>
          <w:spacing w:val="-14"/>
        </w:rPr>
        <w:t> </w:t>
      </w:r>
      <w:r>
        <w:rPr/>
        <w:t>answers</w:t>
      </w:r>
      <w:r>
        <w:rPr>
          <w:spacing w:val="-12"/>
        </w:rPr>
        <w:t> </w:t>
      </w:r>
      <w:r>
        <w:rPr/>
        <w:t>to</w:t>
      </w:r>
      <w:r>
        <w:rPr>
          <w:spacing w:val="-14"/>
        </w:rPr>
        <w:t> </w:t>
      </w:r>
      <w:r>
        <w:rPr/>
        <w:t>all</w:t>
      </w:r>
      <w:r>
        <w:rPr>
          <w:spacing w:val="-13"/>
        </w:rPr>
        <w:t> </w:t>
      </w:r>
      <w:r>
        <w:rPr/>
        <w:t>your</w:t>
      </w:r>
      <w:r>
        <w:rPr>
          <w:spacing w:val="-13"/>
        </w:rPr>
        <w:t> </w:t>
      </w:r>
      <w:r>
        <w:rPr/>
        <w:t>questions regarding this vital topic and to give everybody an understandable guide as to how</w:t>
      </w:r>
      <w:r>
        <w:rPr>
          <w:spacing w:val="-14"/>
        </w:rPr>
        <w:t> </w:t>
      </w:r>
      <w:r>
        <w:rPr/>
        <w:t>you</w:t>
      </w:r>
      <w:r>
        <w:rPr>
          <w:spacing w:val="-14"/>
        </w:rPr>
        <w:t> </w:t>
      </w:r>
      <w:r>
        <w:rPr/>
        <w:t>can</w:t>
      </w:r>
      <w:r>
        <w:rPr>
          <w:spacing w:val="-14"/>
        </w:rPr>
        <w:t> </w:t>
      </w:r>
      <w:r>
        <w:rPr/>
        <w:t>take</w:t>
      </w:r>
      <w:r>
        <w:rPr>
          <w:spacing w:val="-12"/>
        </w:rPr>
        <w:t> </w:t>
      </w:r>
      <w:r>
        <w:rPr/>
        <w:t>deacidification,</w:t>
      </w:r>
      <w:r>
        <w:rPr>
          <w:spacing w:val="-12"/>
        </w:rPr>
        <w:t> </w:t>
      </w:r>
      <w:r>
        <w:rPr/>
        <w:t>detoxification</w:t>
      </w:r>
      <w:r>
        <w:rPr>
          <w:spacing w:val="-12"/>
        </w:rPr>
        <w:t> </w:t>
      </w:r>
      <w:r>
        <w:rPr/>
        <w:t>and</w:t>
      </w:r>
      <w:r>
        <w:rPr>
          <w:spacing w:val="-12"/>
        </w:rPr>
        <w:t> </w:t>
      </w:r>
      <w:r>
        <w:rPr/>
        <w:t>remineralisation</w:t>
      </w:r>
      <w:r>
        <w:rPr>
          <w:spacing w:val="-12"/>
        </w:rPr>
        <w:t> </w:t>
      </w:r>
      <w:r>
        <w:rPr/>
        <w:t>into</w:t>
      </w:r>
      <w:r>
        <w:rPr>
          <w:spacing w:val="-13"/>
        </w:rPr>
        <w:t> </w:t>
      </w:r>
      <w:r>
        <w:rPr/>
        <w:t>your own hands. We will get closer to this aim point by point, without technical jargon, and support you along the way with valuable information and tips</w:t>
      </w:r>
      <w:r>
        <w:rPr>
          <w:spacing w:val="-66"/>
        </w:rPr>
        <w:t> </w:t>
      </w:r>
      <w:r>
        <w:rPr/>
        <w:t>pre- sented in an understandable fashion.</w:t>
      </w:r>
    </w:p>
    <w:p>
      <w:pPr>
        <w:spacing w:after="0" w:line="276" w:lineRule="auto"/>
        <w:jc w:val="both"/>
        <w:sectPr>
          <w:pgSz w:w="14270" w:h="16850"/>
          <w:pgMar w:header="0" w:footer="1891" w:top="1340" w:bottom="2080" w:left="800" w:right="1280"/>
        </w:sectPr>
      </w:pPr>
    </w:p>
    <w:p>
      <w:pPr>
        <w:pStyle w:val="BodyText"/>
        <w:spacing w:before="74"/>
        <w:ind w:left="616"/>
      </w:pPr>
      <w:r>
        <w:rPr/>
        <w:t>Did you know that...</w:t>
      </w:r>
    </w:p>
    <w:p>
      <w:pPr>
        <w:pStyle w:val="ListParagraph"/>
        <w:numPr>
          <w:ilvl w:val="0"/>
          <w:numId w:val="133"/>
        </w:numPr>
        <w:tabs>
          <w:tab w:pos="1615" w:val="left" w:leader="none"/>
        </w:tabs>
        <w:spacing w:line="271" w:lineRule="auto" w:before="183" w:after="0"/>
        <w:ind w:left="1329" w:right="140" w:hanging="355"/>
        <w:jc w:val="both"/>
        <w:rPr>
          <w:sz w:val="38"/>
        </w:rPr>
      </w:pPr>
      <w:r>
        <w:rPr>
          <w:sz w:val="38"/>
        </w:rPr>
        <w:t>... around 80 % of all people in industrialised countries suffer from chronic acidification?</w:t>
      </w:r>
    </w:p>
    <w:p>
      <w:pPr>
        <w:pStyle w:val="ListParagraph"/>
        <w:numPr>
          <w:ilvl w:val="0"/>
          <w:numId w:val="133"/>
        </w:numPr>
        <w:tabs>
          <w:tab w:pos="1522" w:val="left" w:leader="none"/>
        </w:tabs>
        <w:spacing w:line="271" w:lineRule="auto" w:before="134" w:after="0"/>
        <w:ind w:left="1329" w:right="143" w:hanging="355"/>
        <w:jc w:val="both"/>
        <w:rPr>
          <w:sz w:val="38"/>
        </w:rPr>
      </w:pPr>
      <w:r>
        <w:rPr>
          <w:sz w:val="38"/>
        </w:rPr>
        <w:t>... acids result from stress, incorrect nutrition and poisons in foodstuff and the</w:t>
      </w:r>
      <w:r>
        <w:rPr>
          <w:spacing w:val="2"/>
          <w:sz w:val="38"/>
        </w:rPr>
        <w:t> </w:t>
      </w:r>
      <w:r>
        <w:rPr>
          <w:sz w:val="38"/>
        </w:rPr>
        <w:t>environment?</w:t>
      </w:r>
    </w:p>
    <w:p>
      <w:pPr>
        <w:pStyle w:val="ListParagraph"/>
        <w:numPr>
          <w:ilvl w:val="0"/>
          <w:numId w:val="133"/>
        </w:numPr>
        <w:tabs>
          <w:tab w:pos="1615" w:val="left" w:leader="none"/>
        </w:tabs>
        <w:spacing w:line="273" w:lineRule="auto" w:before="131" w:after="0"/>
        <w:ind w:left="1329" w:right="137" w:hanging="355"/>
        <w:jc w:val="both"/>
        <w:rPr>
          <w:sz w:val="38"/>
        </w:rPr>
      </w:pPr>
      <w:r>
        <w:rPr>
          <w:sz w:val="38"/>
        </w:rPr>
        <w:t>... body acids are probably one of the biggest health problems of</w:t>
      </w:r>
      <w:r>
        <w:rPr>
          <w:spacing w:val="-63"/>
          <w:sz w:val="38"/>
        </w:rPr>
        <w:t> </w:t>
      </w:r>
      <w:r>
        <w:rPr>
          <w:sz w:val="38"/>
        </w:rPr>
        <w:t>recent times and cause thousands of diseases, from allergies to</w:t>
      </w:r>
      <w:r>
        <w:rPr>
          <w:spacing w:val="-3"/>
          <w:sz w:val="38"/>
        </w:rPr>
        <w:t> </w:t>
      </w:r>
      <w:r>
        <w:rPr>
          <w:sz w:val="38"/>
        </w:rPr>
        <w:t>cancer?</w:t>
      </w:r>
    </w:p>
    <w:p>
      <w:pPr>
        <w:pStyle w:val="ListParagraph"/>
        <w:numPr>
          <w:ilvl w:val="0"/>
          <w:numId w:val="133"/>
        </w:numPr>
        <w:tabs>
          <w:tab w:pos="1522" w:val="left" w:leader="none"/>
        </w:tabs>
        <w:spacing w:line="271" w:lineRule="auto" w:before="125" w:after="0"/>
        <w:ind w:left="1329" w:right="147" w:hanging="355"/>
        <w:jc w:val="both"/>
        <w:rPr>
          <w:sz w:val="38"/>
        </w:rPr>
      </w:pPr>
      <w:r>
        <w:rPr>
          <w:sz w:val="38"/>
        </w:rPr>
        <w:t>... acids from burns in glands and organs not only lead to diseases but also to accelerated physical</w:t>
      </w:r>
      <w:r>
        <w:rPr>
          <w:spacing w:val="-1"/>
          <w:sz w:val="38"/>
        </w:rPr>
        <w:t> </w:t>
      </w:r>
      <w:r>
        <w:rPr>
          <w:sz w:val="38"/>
        </w:rPr>
        <w:t>ageing?</w:t>
      </w:r>
    </w:p>
    <w:p>
      <w:pPr>
        <w:pStyle w:val="ListParagraph"/>
        <w:numPr>
          <w:ilvl w:val="0"/>
          <w:numId w:val="133"/>
        </w:numPr>
        <w:tabs>
          <w:tab w:pos="1522" w:val="left" w:leader="none"/>
        </w:tabs>
        <w:spacing w:line="271" w:lineRule="auto" w:before="131" w:after="0"/>
        <w:ind w:left="1329" w:right="139" w:hanging="355"/>
        <w:jc w:val="both"/>
        <w:rPr>
          <w:sz w:val="38"/>
        </w:rPr>
      </w:pPr>
      <w:r>
        <w:rPr>
          <w:sz w:val="38"/>
        </w:rPr>
        <w:t>... wrinkles, hair loss, grey hair and cellulitis can be traced back to acidi- fication?</w:t>
      </w:r>
    </w:p>
    <w:p>
      <w:pPr>
        <w:pStyle w:val="ListParagraph"/>
        <w:numPr>
          <w:ilvl w:val="0"/>
          <w:numId w:val="133"/>
        </w:numPr>
        <w:tabs>
          <w:tab w:pos="1522" w:val="left" w:leader="none"/>
        </w:tabs>
        <w:spacing w:line="273" w:lineRule="auto" w:before="131" w:after="0"/>
        <w:ind w:left="1329" w:right="132" w:hanging="355"/>
        <w:jc w:val="both"/>
        <w:rPr>
          <w:sz w:val="38"/>
        </w:rPr>
      </w:pPr>
      <w:r>
        <w:rPr>
          <w:sz w:val="38"/>
        </w:rPr>
        <w:t>...</w:t>
      </w:r>
      <w:r>
        <w:rPr>
          <w:spacing w:val="-10"/>
          <w:sz w:val="38"/>
        </w:rPr>
        <w:t> </w:t>
      </w:r>
      <w:r>
        <w:rPr>
          <w:sz w:val="38"/>
        </w:rPr>
        <w:t>our</w:t>
      </w:r>
      <w:r>
        <w:rPr>
          <w:spacing w:val="-11"/>
          <w:sz w:val="38"/>
        </w:rPr>
        <w:t> </w:t>
      </w:r>
      <w:r>
        <w:rPr>
          <w:sz w:val="38"/>
        </w:rPr>
        <w:t>body</w:t>
      </w:r>
      <w:r>
        <w:rPr>
          <w:spacing w:val="-12"/>
          <w:sz w:val="38"/>
        </w:rPr>
        <w:t> </w:t>
      </w:r>
      <w:r>
        <w:rPr>
          <w:sz w:val="38"/>
        </w:rPr>
        <w:t>needs</w:t>
      </w:r>
      <w:r>
        <w:rPr>
          <w:spacing w:val="-8"/>
          <w:sz w:val="38"/>
        </w:rPr>
        <w:t> </w:t>
      </w:r>
      <w:r>
        <w:rPr>
          <w:sz w:val="38"/>
        </w:rPr>
        <w:t>to</w:t>
      </w:r>
      <w:r>
        <w:rPr>
          <w:spacing w:val="-11"/>
          <w:sz w:val="38"/>
        </w:rPr>
        <w:t> </w:t>
      </w:r>
      <w:r>
        <w:rPr>
          <w:sz w:val="38"/>
        </w:rPr>
        <w:t>constantly</w:t>
      </w:r>
      <w:r>
        <w:rPr>
          <w:spacing w:val="-12"/>
          <w:sz w:val="38"/>
        </w:rPr>
        <w:t> </w:t>
      </w:r>
      <w:r>
        <w:rPr>
          <w:sz w:val="38"/>
        </w:rPr>
        <w:t>maintain</w:t>
      </w:r>
      <w:r>
        <w:rPr>
          <w:spacing w:val="-9"/>
          <w:sz w:val="38"/>
        </w:rPr>
        <w:t> </w:t>
      </w:r>
      <w:r>
        <w:rPr>
          <w:sz w:val="38"/>
        </w:rPr>
        <w:t>a</w:t>
      </w:r>
      <w:r>
        <w:rPr>
          <w:spacing w:val="-9"/>
          <w:sz w:val="38"/>
        </w:rPr>
        <w:t> </w:t>
      </w:r>
      <w:r>
        <w:rPr>
          <w:sz w:val="38"/>
        </w:rPr>
        <w:t>blood</w:t>
      </w:r>
      <w:r>
        <w:rPr>
          <w:spacing w:val="-10"/>
          <w:sz w:val="38"/>
        </w:rPr>
        <w:t> </w:t>
      </w:r>
      <w:r>
        <w:rPr>
          <w:sz w:val="38"/>
        </w:rPr>
        <w:t>pH</w:t>
      </w:r>
      <w:r>
        <w:rPr>
          <w:spacing w:val="-9"/>
          <w:sz w:val="38"/>
        </w:rPr>
        <w:t> </w:t>
      </w:r>
      <w:r>
        <w:rPr>
          <w:sz w:val="38"/>
        </w:rPr>
        <w:t>value</w:t>
      </w:r>
      <w:r>
        <w:rPr>
          <w:spacing w:val="-9"/>
          <w:sz w:val="38"/>
        </w:rPr>
        <w:t> </w:t>
      </w:r>
      <w:r>
        <w:rPr>
          <w:sz w:val="38"/>
        </w:rPr>
        <w:t>of</w:t>
      </w:r>
      <w:r>
        <w:rPr>
          <w:spacing w:val="-10"/>
          <w:sz w:val="38"/>
        </w:rPr>
        <w:t> </w:t>
      </w:r>
      <w:r>
        <w:rPr>
          <w:sz w:val="38"/>
        </w:rPr>
        <w:t>7.35-7.45? Otherwise, the result can be acute, life-threatening processes and even a coma.</w:t>
      </w:r>
    </w:p>
    <w:p>
      <w:pPr>
        <w:pStyle w:val="ListParagraph"/>
        <w:numPr>
          <w:ilvl w:val="0"/>
          <w:numId w:val="133"/>
        </w:numPr>
        <w:tabs>
          <w:tab w:pos="1522" w:val="left" w:leader="none"/>
        </w:tabs>
        <w:spacing w:line="271" w:lineRule="auto" w:before="130" w:after="0"/>
        <w:ind w:left="1329" w:right="140" w:hanging="355"/>
        <w:jc w:val="both"/>
        <w:rPr>
          <w:sz w:val="38"/>
        </w:rPr>
      </w:pPr>
      <w:r>
        <w:rPr>
          <w:sz w:val="38"/>
        </w:rPr>
        <w:t>...</w:t>
      </w:r>
      <w:r>
        <w:rPr>
          <w:spacing w:val="-22"/>
          <w:sz w:val="38"/>
        </w:rPr>
        <w:t> </w:t>
      </w:r>
      <w:r>
        <w:rPr>
          <w:sz w:val="38"/>
        </w:rPr>
        <w:t>our</w:t>
      </w:r>
      <w:r>
        <w:rPr>
          <w:spacing w:val="-22"/>
          <w:sz w:val="38"/>
        </w:rPr>
        <w:t> </w:t>
      </w:r>
      <w:r>
        <w:rPr>
          <w:sz w:val="38"/>
        </w:rPr>
        <w:t>organism</w:t>
      </w:r>
      <w:r>
        <w:rPr>
          <w:spacing w:val="-21"/>
          <w:sz w:val="38"/>
        </w:rPr>
        <w:t> </w:t>
      </w:r>
      <w:r>
        <w:rPr>
          <w:sz w:val="38"/>
        </w:rPr>
        <w:t>can</w:t>
      </w:r>
      <w:r>
        <w:rPr>
          <w:spacing w:val="-21"/>
          <w:sz w:val="38"/>
        </w:rPr>
        <w:t> </w:t>
      </w:r>
      <w:r>
        <w:rPr>
          <w:sz w:val="38"/>
        </w:rPr>
        <w:t>only</w:t>
      </w:r>
      <w:r>
        <w:rPr>
          <w:spacing w:val="-23"/>
          <w:sz w:val="38"/>
        </w:rPr>
        <w:t> </w:t>
      </w:r>
      <w:r>
        <w:rPr>
          <w:sz w:val="38"/>
        </w:rPr>
        <w:t>neutralise</w:t>
      </w:r>
      <w:r>
        <w:rPr>
          <w:spacing w:val="-22"/>
          <w:sz w:val="38"/>
        </w:rPr>
        <w:t> </w:t>
      </w:r>
      <w:r>
        <w:rPr>
          <w:sz w:val="38"/>
        </w:rPr>
        <w:t>excess</w:t>
      </w:r>
      <w:r>
        <w:rPr>
          <w:spacing w:val="-21"/>
          <w:sz w:val="38"/>
        </w:rPr>
        <w:t> </w:t>
      </w:r>
      <w:r>
        <w:rPr>
          <w:sz w:val="38"/>
        </w:rPr>
        <w:t>acids</w:t>
      </w:r>
      <w:r>
        <w:rPr>
          <w:spacing w:val="-20"/>
          <w:sz w:val="38"/>
        </w:rPr>
        <w:t> </w:t>
      </w:r>
      <w:r>
        <w:rPr>
          <w:sz w:val="38"/>
        </w:rPr>
        <w:t>with</w:t>
      </w:r>
      <w:r>
        <w:rPr>
          <w:spacing w:val="-22"/>
          <w:sz w:val="38"/>
        </w:rPr>
        <w:t> </w:t>
      </w:r>
      <w:r>
        <w:rPr>
          <w:sz w:val="38"/>
        </w:rPr>
        <w:t>the</w:t>
      </w:r>
      <w:r>
        <w:rPr>
          <w:spacing w:val="-21"/>
          <w:sz w:val="38"/>
        </w:rPr>
        <w:t> </w:t>
      </w:r>
      <w:r>
        <w:rPr>
          <w:sz w:val="38"/>
        </w:rPr>
        <w:t>help</w:t>
      </w:r>
      <w:r>
        <w:rPr>
          <w:spacing w:val="-22"/>
          <w:sz w:val="38"/>
        </w:rPr>
        <w:t> </w:t>
      </w:r>
      <w:r>
        <w:rPr>
          <w:sz w:val="38"/>
        </w:rPr>
        <w:t>of</w:t>
      </w:r>
      <w:r>
        <w:rPr>
          <w:spacing w:val="-22"/>
          <w:sz w:val="38"/>
        </w:rPr>
        <w:t> </w:t>
      </w:r>
      <w:r>
        <w:rPr>
          <w:sz w:val="38"/>
        </w:rPr>
        <w:t>minerals in order to ensure the blood pH value and protect our</w:t>
      </w:r>
      <w:r>
        <w:rPr>
          <w:spacing w:val="-9"/>
          <w:sz w:val="38"/>
        </w:rPr>
        <w:t> </w:t>
      </w:r>
      <w:r>
        <w:rPr>
          <w:sz w:val="38"/>
        </w:rPr>
        <w:t>lives?</w:t>
      </w:r>
    </w:p>
    <w:p>
      <w:pPr>
        <w:pStyle w:val="ListParagraph"/>
        <w:numPr>
          <w:ilvl w:val="0"/>
          <w:numId w:val="133"/>
        </w:numPr>
        <w:tabs>
          <w:tab w:pos="1522" w:val="left" w:leader="none"/>
        </w:tabs>
        <w:spacing w:line="273" w:lineRule="auto" w:before="131" w:after="0"/>
        <w:ind w:left="1329" w:right="135" w:hanging="355"/>
        <w:jc w:val="both"/>
        <w:rPr>
          <w:sz w:val="38"/>
        </w:rPr>
      </w:pPr>
      <w:r>
        <w:rPr>
          <w:sz w:val="38"/>
        </w:rPr>
        <w:t>...</w:t>
      </w:r>
      <w:r>
        <w:rPr>
          <w:spacing w:val="-6"/>
          <w:sz w:val="38"/>
        </w:rPr>
        <w:t> </w:t>
      </w:r>
      <w:r>
        <w:rPr>
          <w:sz w:val="38"/>
        </w:rPr>
        <w:t>foodstuffs</w:t>
      </w:r>
      <w:r>
        <w:rPr>
          <w:spacing w:val="-7"/>
          <w:sz w:val="38"/>
        </w:rPr>
        <w:t> </w:t>
      </w:r>
      <w:r>
        <w:rPr>
          <w:sz w:val="38"/>
        </w:rPr>
        <w:t>today</w:t>
      </w:r>
      <w:r>
        <w:rPr>
          <w:spacing w:val="-8"/>
          <w:sz w:val="38"/>
        </w:rPr>
        <w:t> </w:t>
      </w:r>
      <w:r>
        <w:rPr>
          <w:sz w:val="38"/>
        </w:rPr>
        <w:t>hardly</w:t>
      </w:r>
      <w:r>
        <w:rPr>
          <w:spacing w:val="-7"/>
          <w:sz w:val="38"/>
        </w:rPr>
        <w:t> </w:t>
      </w:r>
      <w:r>
        <w:rPr>
          <w:sz w:val="38"/>
        </w:rPr>
        <w:t>retain</w:t>
      </w:r>
      <w:r>
        <w:rPr>
          <w:spacing w:val="-7"/>
          <w:sz w:val="38"/>
        </w:rPr>
        <w:t> </w:t>
      </w:r>
      <w:r>
        <w:rPr>
          <w:sz w:val="38"/>
        </w:rPr>
        <w:t>any</w:t>
      </w:r>
      <w:r>
        <w:rPr>
          <w:spacing w:val="-8"/>
          <w:sz w:val="38"/>
        </w:rPr>
        <w:t> </w:t>
      </w:r>
      <w:r>
        <w:rPr>
          <w:sz w:val="38"/>
        </w:rPr>
        <w:t>minerals</w:t>
      </w:r>
      <w:r>
        <w:rPr>
          <w:spacing w:val="-7"/>
          <w:sz w:val="38"/>
        </w:rPr>
        <w:t> </w:t>
      </w:r>
      <w:r>
        <w:rPr>
          <w:sz w:val="38"/>
        </w:rPr>
        <w:t>(or</w:t>
      </w:r>
      <w:r>
        <w:rPr>
          <w:spacing w:val="-9"/>
          <w:sz w:val="38"/>
        </w:rPr>
        <w:t> </w:t>
      </w:r>
      <w:r>
        <w:rPr>
          <w:sz w:val="38"/>
        </w:rPr>
        <w:t>other</w:t>
      </w:r>
      <w:r>
        <w:rPr>
          <w:spacing w:val="-9"/>
          <w:sz w:val="38"/>
        </w:rPr>
        <w:t> </w:t>
      </w:r>
      <w:r>
        <w:rPr>
          <w:sz w:val="38"/>
        </w:rPr>
        <w:t>nutrients)</w:t>
      </w:r>
      <w:r>
        <w:rPr>
          <w:spacing w:val="-7"/>
          <w:sz w:val="38"/>
        </w:rPr>
        <w:t> </w:t>
      </w:r>
      <w:r>
        <w:rPr>
          <w:sz w:val="38"/>
        </w:rPr>
        <w:t>due</w:t>
      </w:r>
      <w:r>
        <w:rPr>
          <w:spacing w:val="-8"/>
          <w:sz w:val="38"/>
        </w:rPr>
        <w:t> </w:t>
      </w:r>
      <w:r>
        <w:rPr>
          <w:sz w:val="38"/>
        </w:rPr>
        <w:t>to industrial</w:t>
      </w:r>
      <w:r>
        <w:rPr>
          <w:spacing w:val="-12"/>
          <w:sz w:val="38"/>
        </w:rPr>
        <w:t> </w:t>
      </w:r>
      <w:r>
        <w:rPr>
          <w:sz w:val="38"/>
        </w:rPr>
        <w:t>processes</w:t>
      </w:r>
      <w:r>
        <w:rPr>
          <w:spacing w:val="-11"/>
          <w:sz w:val="38"/>
        </w:rPr>
        <w:t> </w:t>
      </w:r>
      <w:r>
        <w:rPr>
          <w:sz w:val="38"/>
        </w:rPr>
        <w:t>and</w:t>
      </w:r>
      <w:r>
        <w:rPr>
          <w:spacing w:val="-11"/>
          <w:sz w:val="38"/>
        </w:rPr>
        <w:t> </w:t>
      </w:r>
      <w:r>
        <w:rPr>
          <w:sz w:val="38"/>
        </w:rPr>
        <w:t>environmental</w:t>
      </w:r>
      <w:r>
        <w:rPr>
          <w:spacing w:val="-13"/>
          <w:sz w:val="38"/>
        </w:rPr>
        <w:t> </w:t>
      </w:r>
      <w:r>
        <w:rPr>
          <w:sz w:val="38"/>
        </w:rPr>
        <w:t>pollution</w:t>
      </w:r>
      <w:r>
        <w:rPr>
          <w:spacing w:val="-11"/>
          <w:sz w:val="38"/>
        </w:rPr>
        <w:t> </w:t>
      </w:r>
      <w:r>
        <w:rPr>
          <w:sz w:val="38"/>
        </w:rPr>
        <w:t>and</w:t>
      </w:r>
      <w:r>
        <w:rPr>
          <w:spacing w:val="-11"/>
          <w:sz w:val="38"/>
        </w:rPr>
        <w:t> </w:t>
      </w:r>
      <w:r>
        <w:rPr>
          <w:sz w:val="38"/>
        </w:rPr>
        <w:t>this</w:t>
      </w:r>
      <w:r>
        <w:rPr>
          <w:spacing w:val="-11"/>
          <w:sz w:val="38"/>
        </w:rPr>
        <w:t> </w:t>
      </w:r>
      <w:r>
        <w:rPr>
          <w:sz w:val="38"/>
        </w:rPr>
        <w:t>forces</w:t>
      </w:r>
      <w:r>
        <w:rPr>
          <w:spacing w:val="-13"/>
          <w:sz w:val="38"/>
        </w:rPr>
        <w:t> </w:t>
      </w:r>
      <w:r>
        <w:rPr>
          <w:sz w:val="38"/>
        </w:rPr>
        <w:t>our</w:t>
      </w:r>
      <w:r>
        <w:rPr>
          <w:spacing w:val="-11"/>
          <w:sz w:val="38"/>
        </w:rPr>
        <w:t> </w:t>
      </w:r>
      <w:r>
        <w:rPr>
          <w:sz w:val="38"/>
        </w:rPr>
        <w:t>bod- ies to cannibalise minerals from our skin, bones, teeth, blood vessels and organs?</w:t>
      </w:r>
    </w:p>
    <w:p>
      <w:pPr>
        <w:pStyle w:val="ListParagraph"/>
        <w:numPr>
          <w:ilvl w:val="0"/>
          <w:numId w:val="133"/>
        </w:numPr>
        <w:tabs>
          <w:tab w:pos="1521" w:val="left" w:leader="none"/>
          <w:tab w:pos="1522" w:val="left" w:leader="none"/>
        </w:tabs>
        <w:spacing w:line="240" w:lineRule="auto" w:before="132" w:after="0"/>
        <w:ind w:left="1521" w:right="0" w:hanging="547"/>
        <w:jc w:val="left"/>
        <w:rPr>
          <w:sz w:val="38"/>
        </w:rPr>
      </w:pPr>
      <w:r>
        <w:rPr>
          <w:sz w:val="38"/>
        </w:rPr>
        <w:t>... this process logically leads to those organs suffering</w:t>
      </w:r>
      <w:r>
        <w:rPr>
          <w:spacing w:val="-6"/>
          <w:sz w:val="38"/>
        </w:rPr>
        <w:t> </w:t>
      </w:r>
      <w:r>
        <w:rPr>
          <w:sz w:val="38"/>
        </w:rPr>
        <w:t>damage?</w:t>
      </w:r>
    </w:p>
    <w:p>
      <w:pPr>
        <w:spacing w:after="0" w:line="240" w:lineRule="auto"/>
        <w:jc w:val="left"/>
        <w:rPr>
          <w:sz w:val="38"/>
        </w:rPr>
        <w:sectPr>
          <w:footerReference w:type="default" r:id="rId473"/>
          <w:pgSz w:w="14270" w:h="16850"/>
          <w:pgMar w:footer="404" w:header="0" w:top="1340" w:bottom="600" w:left="800" w:right="1280"/>
          <w:pgNumType w:start="1780"/>
        </w:sectPr>
      </w:pPr>
    </w:p>
    <w:p>
      <w:pPr>
        <w:pStyle w:val="ListParagraph"/>
        <w:numPr>
          <w:ilvl w:val="0"/>
          <w:numId w:val="133"/>
        </w:numPr>
        <w:tabs>
          <w:tab w:pos="1522" w:val="left" w:leader="none"/>
        </w:tabs>
        <w:spacing w:line="273" w:lineRule="auto" w:before="72" w:after="0"/>
        <w:ind w:left="1329" w:right="141" w:hanging="355"/>
        <w:jc w:val="both"/>
        <w:rPr>
          <w:sz w:val="38"/>
        </w:rPr>
      </w:pPr>
      <w:r>
        <w:rPr>
          <w:sz w:val="38"/>
        </w:rPr>
        <w:t>...</w:t>
      </w:r>
      <w:r>
        <w:rPr>
          <w:spacing w:val="-10"/>
          <w:sz w:val="38"/>
        </w:rPr>
        <w:t> </w:t>
      </w:r>
      <w:r>
        <w:rPr>
          <w:sz w:val="38"/>
        </w:rPr>
        <w:t>ageing</w:t>
      </w:r>
      <w:r>
        <w:rPr>
          <w:spacing w:val="-9"/>
          <w:sz w:val="38"/>
        </w:rPr>
        <w:t> </w:t>
      </w:r>
      <w:r>
        <w:rPr>
          <w:sz w:val="38"/>
        </w:rPr>
        <w:t>can</w:t>
      </w:r>
      <w:r>
        <w:rPr>
          <w:spacing w:val="-10"/>
          <w:sz w:val="38"/>
        </w:rPr>
        <w:t> </w:t>
      </w:r>
      <w:r>
        <w:rPr>
          <w:sz w:val="38"/>
        </w:rPr>
        <w:t>be</w:t>
      </w:r>
      <w:r>
        <w:rPr>
          <w:spacing w:val="-10"/>
          <w:sz w:val="38"/>
        </w:rPr>
        <w:t> </w:t>
      </w:r>
      <w:r>
        <w:rPr>
          <w:sz w:val="38"/>
        </w:rPr>
        <w:t>precisely</w:t>
      </w:r>
      <w:r>
        <w:rPr>
          <w:spacing w:val="-11"/>
          <w:sz w:val="38"/>
        </w:rPr>
        <w:t> </w:t>
      </w:r>
      <w:r>
        <w:rPr>
          <w:sz w:val="38"/>
        </w:rPr>
        <w:t>ascribed</w:t>
      </w:r>
      <w:r>
        <w:rPr>
          <w:spacing w:val="-12"/>
          <w:sz w:val="38"/>
        </w:rPr>
        <w:t> </w:t>
      </w:r>
      <w:r>
        <w:rPr>
          <w:sz w:val="38"/>
        </w:rPr>
        <w:t>to</w:t>
      </w:r>
      <w:r>
        <w:rPr>
          <w:spacing w:val="-10"/>
          <w:sz w:val="38"/>
        </w:rPr>
        <w:t> </w:t>
      </w:r>
      <w:r>
        <w:rPr>
          <w:sz w:val="38"/>
        </w:rPr>
        <w:t>this</w:t>
      </w:r>
      <w:r>
        <w:rPr>
          <w:spacing w:val="-9"/>
          <w:sz w:val="38"/>
        </w:rPr>
        <w:t> </w:t>
      </w:r>
      <w:r>
        <w:rPr>
          <w:sz w:val="38"/>
        </w:rPr>
        <w:t>process</w:t>
      </w:r>
      <w:r>
        <w:rPr>
          <w:spacing w:val="-11"/>
          <w:sz w:val="38"/>
        </w:rPr>
        <w:t> </w:t>
      </w:r>
      <w:r>
        <w:rPr>
          <w:sz w:val="38"/>
        </w:rPr>
        <w:t>of</w:t>
      </w:r>
      <w:r>
        <w:rPr>
          <w:spacing w:val="-10"/>
          <w:sz w:val="38"/>
        </w:rPr>
        <w:t> </w:t>
      </w:r>
      <w:r>
        <w:rPr>
          <w:sz w:val="38"/>
        </w:rPr>
        <w:t>mineral</w:t>
      </w:r>
      <w:r>
        <w:rPr>
          <w:spacing w:val="-11"/>
          <w:sz w:val="38"/>
        </w:rPr>
        <w:t> </w:t>
      </w:r>
      <w:r>
        <w:rPr>
          <w:sz w:val="38"/>
        </w:rPr>
        <w:t>deprivation if minerals are removed from the skin, scalp, teeth, bones, cartilage and blood vessels?</w:t>
      </w:r>
    </w:p>
    <w:p>
      <w:pPr>
        <w:pStyle w:val="ListParagraph"/>
        <w:numPr>
          <w:ilvl w:val="0"/>
          <w:numId w:val="133"/>
        </w:numPr>
        <w:tabs>
          <w:tab w:pos="1522" w:val="left" w:leader="none"/>
        </w:tabs>
        <w:spacing w:line="273" w:lineRule="auto" w:before="130" w:after="0"/>
        <w:ind w:left="1329" w:right="136" w:hanging="355"/>
        <w:jc w:val="both"/>
        <w:rPr>
          <w:sz w:val="38"/>
        </w:rPr>
      </w:pPr>
      <w:r>
        <w:rPr>
          <w:sz w:val="38"/>
        </w:rPr>
        <w:t>...</w:t>
      </w:r>
      <w:r>
        <w:rPr>
          <w:spacing w:val="-22"/>
          <w:sz w:val="38"/>
        </w:rPr>
        <w:t> </w:t>
      </w:r>
      <w:r>
        <w:rPr>
          <w:sz w:val="38"/>
        </w:rPr>
        <w:t>however,</w:t>
      </w:r>
      <w:r>
        <w:rPr>
          <w:spacing w:val="-21"/>
          <w:sz w:val="38"/>
        </w:rPr>
        <w:t> </w:t>
      </w:r>
      <w:r>
        <w:rPr>
          <w:sz w:val="38"/>
        </w:rPr>
        <w:t>at</w:t>
      </w:r>
      <w:r>
        <w:rPr>
          <w:spacing w:val="-23"/>
          <w:sz w:val="38"/>
        </w:rPr>
        <w:t> </w:t>
      </w:r>
      <w:r>
        <w:rPr>
          <w:sz w:val="38"/>
        </w:rPr>
        <w:t>the</w:t>
      </w:r>
      <w:r>
        <w:rPr>
          <w:spacing w:val="-21"/>
          <w:sz w:val="38"/>
        </w:rPr>
        <w:t> </w:t>
      </w:r>
      <w:r>
        <w:rPr>
          <w:sz w:val="38"/>
        </w:rPr>
        <w:t>same</w:t>
      </w:r>
      <w:r>
        <w:rPr>
          <w:spacing w:val="-22"/>
          <w:sz w:val="38"/>
        </w:rPr>
        <w:t> </w:t>
      </w:r>
      <w:r>
        <w:rPr>
          <w:sz w:val="38"/>
        </w:rPr>
        <w:t>time,</w:t>
      </w:r>
      <w:r>
        <w:rPr>
          <w:spacing w:val="-21"/>
          <w:sz w:val="38"/>
        </w:rPr>
        <w:t> </w:t>
      </w:r>
      <w:r>
        <w:rPr>
          <w:sz w:val="38"/>
        </w:rPr>
        <w:t>the</w:t>
      </w:r>
      <w:r>
        <w:rPr>
          <w:spacing w:val="-22"/>
          <w:sz w:val="38"/>
        </w:rPr>
        <w:t> </w:t>
      </w:r>
      <w:r>
        <w:rPr>
          <w:sz w:val="38"/>
        </w:rPr>
        <w:t>neutralisation</w:t>
      </w:r>
      <w:r>
        <w:rPr>
          <w:spacing w:val="-20"/>
          <w:sz w:val="38"/>
        </w:rPr>
        <w:t> </w:t>
      </w:r>
      <w:r>
        <w:rPr>
          <w:sz w:val="38"/>
        </w:rPr>
        <w:t>of</w:t>
      </w:r>
      <w:r>
        <w:rPr>
          <w:spacing w:val="-22"/>
          <w:sz w:val="38"/>
        </w:rPr>
        <w:t> </w:t>
      </w:r>
      <w:r>
        <w:rPr>
          <w:sz w:val="38"/>
        </w:rPr>
        <w:t>acids</w:t>
      </w:r>
      <w:r>
        <w:rPr>
          <w:spacing w:val="-22"/>
          <w:sz w:val="38"/>
        </w:rPr>
        <w:t> </w:t>
      </w:r>
      <w:r>
        <w:rPr>
          <w:sz w:val="38"/>
        </w:rPr>
        <w:t>by</w:t>
      </w:r>
      <w:r>
        <w:rPr>
          <w:spacing w:val="-22"/>
          <w:sz w:val="38"/>
        </w:rPr>
        <w:t> </w:t>
      </w:r>
      <w:r>
        <w:rPr>
          <w:sz w:val="38"/>
        </w:rPr>
        <w:t>minerals</w:t>
      </w:r>
      <w:r>
        <w:rPr>
          <w:spacing w:val="-23"/>
          <w:sz w:val="38"/>
        </w:rPr>
        <w:t> </w:t>
      </w:r>
      <w:r>
        <w:rPr>
          <w:sz w:val="38"/>
        </w:rPr>
        <w:t>leads to toxification which burns and toxifies the organism from the inside, leading to further</w:t>
      </w:r>
      <w:r>
        <w:rPr>
          <w:spacing w:val="3"/>
          <w:sz w:val="38"/>
        </w:rPr>
        <w:t> </w:t>
      </w:r>
      <w:r>
        <w:rPr>
          <w:sz w:val="38"/>
        </w:rPr>
        <w:t>diseases?</w:t>
      </w:r>
    </w:p>
    <w:p>
      <w:pPr>
        <w:pStyle w:val="ListParagraph"/>
        <w:numPr>
          <w:ilvl w:val="0"/>
          <w:numId w:val="133"/>
        </w:numPr>
        <w:tabs>
          <w:tab w:pos="1522" w:val="left" w:leader="none"/>
        </w:tabs>
        <w:spacing w:line="276" w:lineRule="auto" w:before="127" w:after="0"/>
        <w:ind w:left="1329" w:right="136" w:hanging="355"/>
        <w:jc w:val="both"/>
        <w:rPr>
          <w:sz w:val="38"/>
        </w:rPr>
      </w:pPr>
      <w:r>
        <w:rPr>
          <w:sz w:val="38"/>
        </w:rPr>
        <w:t>... even after just a few weeks of deacidification and remineralisation, cholesterol levels can be reduced naturally, high blood pressure normal- ised, joint problems alleviated, a diseased, engorged liver can be shrunk, stressors</w:t>
      </w:r>
      <w:r>
        <w:rPr>
          <w:spacing w:val="-23"/>
          <w:sz w:val="38"/>
        </w:rPr>
        <w:t> </w:t>
      </w:r>
      <w:r>
        <w:rPr>
          <w:sz w:val="38"/>
        </w:rPr>
        <w:t>deconstructed,</w:t>
      </w:r>
      <w:r>
        <w:rPr>
          <w:spacing w:val="-19"/>
          <w:sz w:val="38"/>
        </w:rPr>
        <w:t> </w:t>
      </w:r>
      <w:r>
        <w:rPr>
          <w:sz w:val="38"/>
        </w:rPr>
        <w:t>exhaustion</w:t>
      </w:r>
      <w:r>
        <w:rPr>
          <w:spacing w:val="-19"/>
          <w:sz w:val="38"/>
        </w:rPr>
        <w:t> </w:t>
      </w:r>
      <w:r>
        <w:rPr>
          <w:sz w:val="38"/>
        </w:rPr>
        <w:t>reduced</w:t>
      </w:r>
      <w:r>
        <w:rPr>
          <w:spacing w:val="-21"/>
          <w:sz w:val="38"/>
        </w:rPr>
        <w:t> </w:t>
      </w:r>
      <w:r>
        <w:rPr>
          <w:sz w:val="38"/>
        </w:rPr>
        <w:t>and</w:t>
      </w:r>
      <w:r>
        <w:rPr>
          <w:spacing w:val="-21"/>
          <w:sz w:val="38"/>
        </w:rPr>
        <w:t> </w:t>
      </w:r>
      <w:r>
        <w:rPr>
          <w:sz w:val="38"/>
        </w:rPr>
        <w:t>the</w:t>
      </w:r>
      <w:r>
        <w:rPr>
          <w:spacing w:val="-20"/>
          <w:sz w:val="38"/>
        </w:rPr>
        <w:t> </w:t>
      </w:r>
      <w:r>
        <w:rPr>
          <w:sz w:val="38"/>
        </w:rPr>
        <w:t>ability</w:t>
      </w:r>
      <w:r>
        <w:rPr>
          <w:spacing w:val="-21"/>
          <w:sz w:val="38"/>
        </w:rPr>
        <w:t> </w:t>
      </w:r>
      <w:r>
        <w:rPr>
          <w:sz w:val="38"/>
        </w:rPr>
        <w:t>to</w:t>
      </w:r>
      <w:r>
        <w:rPr>
          <w:spacing w:val="-20"/>
          <w:sz w:val="38"/>
        </w:rPr>
        <w:t> </w:t>
      </w:r>
      <w:r>
        <w:rPr>
          <w:sz w:val="38"/>
        </w:rPr>
        <w:t>concentrate can be increased? (You can read more about this under</w:t>
      </w:r>
      <w:r>
        <w:rPr>
          <w:spacing w:val="-7"/>
          <w:sz w:val="38"/>
        </w:rPr>
        <w:t> </w:t>
      </w:r>
      <w:r>
        <w:rPr>
          <w:sz w:val="38"/>
        </w:rPr>
        <w:t>‘Studies’)</w:t>
      </w:r>
    </w:p>
    <w:p>
      <w:pPr>
        <w:pStyle w:val="ListParagraph"/>
        <w:numPr>
          <w:ilvl w:val="0"/>
          <w:numId w:val="133"/>
        </w:numPr>
        <w:tabs>
          <w:tab w:pos="1522" w:val="left" w:leader="none"/>
        </w:tabs>
        <w:spacing w:line="271" w:lineRule="auto" w:before="115" w:after="0"/>
        <w:ind w:left="1329" w:right="135" w:hanging="355"/>
        <w:jc w:val="both"/>
        <w:rPr>
          <w:sz w:val="38"/>
        </w:rPr>
      </w:pPr>
      <w:r>
        <w:rPr>
          <w:sz w:val="38"/>
        </w:rPr>
        <w:t>...</w:t>
      </w:r>
      <w:r>
        <w:rPr>
          <w:spacing w:val="-13"/>
          <w:sz w:val="38"/>
        </w:rPr>
        <w:t> </w:t>
      </w:r>
      <w:r>
        <w:rPr>
          <w:sz w:val="38"/>
        </w:rPr>
        <w:t>you</w:t>
      </w:r>
      <w:r>
        <w:rPr>
          <w:spacing w:val="-15"/>
          <w:sz w:val="38"/>
        </w:rPr>
        <w:t> </w:t>
      </w:r>
      <w:r>
        <w:rPr>
          <w:sz w:val="38"/>
        </w:rPr>
        <w:t>can</w:t>
      </w:r>
      <w:r>
        <w:rPr>
          <w:spacing w:val="-12"/>
          <w:sz w:val="38"/>
        </w:rPr>
        <w:t> </w:t>
      </w:r>
      <w:r>
        <w:rPr>
          <w:sz w:val="38"/>
        </w:rPr>
        <w:t>turn</w:t>
      </w:r>
      <w:r>
        <w:rPr>
          <w:spacing w:val="-13"/>
          <w:sz w:val="38"/>
        </w:rPr>
        <w:t> </w:t>
      </w:r>
      <w:r>
        <w:rPr>
          <w:sz w:val="38"/>
        </w:rPr>
        <w:t>back</w:t>
      </w:r>
      <w:r>
        <w:rPr>
          <w:spacing w:val="-14"/>
          <w:sz w:val="38"/>
        </w:rPr>
        <w:t> </w:t>
      </w:r>
      <w:r>
        <w:rPr>
          <w:sz w:val="38"/>
        </w:rPr>
        <w:t>your</w:t>
      </w:r>
      <w:r>
        <w:rPr>
          <w:spacing w:val="-13"/>
          <w:sz w:val="38"/>
        </w:rPr>
        <w:t> </w:t>
      </w:r>
      <w:r>
        <w:rPr>
          <w:sz w:val="38"/>
        </w:rPr>
        <w:t>biological</w:t>
      </w:r>
      <w:r>
        <w:rPr>
          <w:spacing w:val="-12"/>
          <w:sz w:val="38"/>
        </w:rPr>
        <w:t> </w:t>
      </w:r>
      <w:r>
        <w:rPr>
          <w:sz w:val="38"/>
        </w:rPr>
        <w:t>age</w:t>
      </w:r>
      <w:r>
        <w:rPr>
          <w:spacing w:val="-14"/>
          <w:sz w:val="38"/>
        </w:rPr>
        <w:t> </w:t>
      </w:r>
      <w:r>
        <w:rPr>
          <w:sz w:val="38"/>
        </w:rPr>
        <w:t>by</w:t>
      </w:r>
      <w:r>
        <w:rPr>
          <w:spacing w:val="-13"/>
          <w:sz w:val="38"/>
        </w:rPr>
        <w:t> </w:t>
      </w:r>
      <w:r>
        <w:rPr>
          <w:sz w:val="38"/>
        </w:rPr>
        <w:t>many</w:t>
      </w:r>
      <w:r>
        <w:rPr>
          <w:spacing w:val="-11"/>
          <w:sz w:val="38"/>
        </w:rPr>
        <w:t> </w:t>
      </w:r>
      <w:r>
        <w:rPr>
          <w:sz w:val="38"/>
        </w:rPr>
        <w:t>years</w:t>
      </w:r>
      <w:r>
        <w:rPr>
          <w:spacing w:val="-13"/>
          <w:sz w:val="38"/>
        </w:rPr>
        <w:t> </w:t>
      </w:r>
      <w:r>
        <w:rPr>
          <w:sz w:val="38"/>
        </w:rPr>
        <w:t>using</w:t>
      </w:r>
      <w:r>
        <w:rPr>
          <w:spacing w:val="-12"/>
          <w:sz w:val="38"/>
        </w:rPr>
        <w:t> </w:t>
      </w:r>
      <w:r>
        <w:rPr>
          <w:sz w:val="38"/>
        </w:rPr>
        <w:t>appropriate deacidification and remineralisation</w:t>
      </w:r>
      <w:r>
        <w:rPr>
          <w:spacing w:val="1"/>
          <w:sz w:val="38"/>
        </w:rPr>
        <w:t> </w:t>
      </w:r>
      <w:r>
        <w:rPr>
          <w:sz w:val="38"/>
        </w:rPr>
        <w:t>methods?</w:t>
      </w:r>
    </w:p>
    <w:p>
      <w:pPr>
        <w:pStyle w:val="ListParagraph"/>
        <w:numPr>
          <w:ilvl w:val="0"/>
          <w:numId w:val="133"/>
        </w:numPr>
        <w:tabs>
          <w:tab w:pos="1522" w:val="left" w:leader="none"/>
        </w:tabs>
        <w:spacing w:line="276" w:lineRule="auto" w:before="131" w:after="0"/>
        <w:ind w:left="1329" w:right="137" w:hanging="355"/>
        <w:jc w:val="both"/>
        <w:rPr>
          <w:sz w:val="38"/>
        </w:rPr>
      </w:pPr>
      <w:r>
        <w:rPr>
          <w:sz w:val="38"/>
        </w:rPr>
        <w:t>... it is basically quite simple and cost-effective to permanently</w:t>
      </w:r>
      <w:r>
        <w:rPr>
          <w:spacing w:val="-67"/>
          <w:sz w:val="38"/>
        </w:rPr>
        <w:t> </w:t>
      </w:r>
      <w:r>
        <w:rPr>
          <w:sz w:val="38"/>
        </w:rPr>
        <w:t>deacidify, detoxify and remineralise yourself and thereby to significantly improve health and quality of life, correct signs of ageing, become more attractive and even increase life</w:t>
      </w:r>
      <w:r>
        <w:rPr>
          <w:spacing w:val="1"/>
          <w:sz w:val="38"/>
        </w:rPr>
        <w:t> </w:t>
      </w:r>
      <w:r>
        <w:rPr>
          <w:sz w:val="38"/>
        </w:rPr>
        <w:t>expectancy?</w:t>
      </w:r>
    </w:p>
    <w:p>
      <w:pPr>
        <w:pStyle w:val="BodyText"/>
        <w:spacing w:line="278" w:lineRule="auto" w:before="234"/>
        <w:ind w:left="616"/>
      </w:pPr>
      <w:r>
        <w:rPr/>
        <w:t>You</w:t>
      </w:r>
      <w:r>
        <w:rPr>
          <w:spacing w:val="-10"/>
        </w:rPr>
        <w:t> </w:t>
      </w:r>
      <w:r>
        <w:rPr/>
        <w:t>can</w:t>
      </w:r>
      <w:r>
        <w:rPr>
          <w:spacing w:val="-8"/>
        </w:rPr>
        <w:t> </w:t>
      </w:r>
      <w:r>
        <w:rPr/>
        <w:t>find</w:t>
      </w:r>
      <w:r>
        <w:rPr>
          <w:spacing w:val="-11"/>
        </w:rPr>
        <w:t> </w:t>
      </w:r>
      <w:r>
        <w:rPr/>
        <w:t>out</w:t>
      </w:r>
      <w:r>
        <w:rPr>
          <w:spacing w:val="-10"/>
        </w:rPr>
        <w:t> </w:t>
      </w:r>
      <w:r>
        <w:rPr/>
        <w:t>more</w:t>
      </w:r>
      <w:r>
        <w:rPr>
          <w:spacing w:val="-10"/>
        </w:rPr>
        <w:t> </w:t>
      </w:r>
      <w:r>
        <w:rPr/>
        <w:t>about</w:t>
      </w:r>
      <w:r>
        <w:rPr>
          <w:spacing w:val="-11"/>
        </w:rPr>
        <w:t> </w:t>
      </w:r>
      <w:r>
        <w:rPr/>
        <w:t>this</w:t>
      </w:r>
      <w:r>
        <w:rPr>
          <w:spacing w:val="-8"/>
        </w:rPr>
        <w:t> </w:t>
      </w:r>
      <w:r>
        <w:rPr/>
        <w:t>highly</w:t>
      </w:r>
      <w:r>
        <w:rPr>
          <w:spacing w:val="-12"/>
        </w:rPr>
        <w:t> </w:t>
      </w:r>
      <w:r>
        <w:rPr/>
        <w:t>interesting</w:t>
      </w:r>
      <w:r>
        <w:rPr>
          <w:spacing w:val="-8"/>
        </w:rPr>
        <w:t> </w:t>
      </w:r>
      <w:r>
        <w:rPr/>
        <w:t>topic</w:t>
      </w:r>
      <w:r>
        <w:rPr>
          <w:spacing w:val="-11"/>
        </w:rPr>
        <w:t> </w:t>
      </w:r>
      <w:r>
        <w:rPr/>
        <w:t>and</w:t>
      </w:r>
      <w:r>
        <w:rPr>
          <w:spacing w:val="-8"/>
        </w:rPr>
        <w:t> </w:t>
      </w:r>
      <w:r>
        <w:rPr/>
        <w:t>what</w:t>
      </w:r>
      <w:r>
        <w:rPr>
          <w:spacing w:val="-11"/>
        </w:rPr>
        <w:t> </w:t>
      </w:r>
      <w:r>
        <w:rPr/>
        <w:t>you</w:t>
      </w:r>
      <w:r>
        <w:rPr>
          <w:spacing w:val="-9"/>
        </w:rPr>
        <w:t> </w:t>
      </w:r>
      <w:r>
        <w:rPr/>
        <w:t>can</w:t>
      </w:r>
      <w:r>
        <w:rPr>
          <w:spacing w:val="-11"/>
        </w:rPr>
        <w:t> </w:t>
      </w:r>
      <w:r>
        <w:rPr/>
        <w:t>do to combat or improve the situation in greater detail in the following</w:t>
      </w:r>
      <w:r>
        <w:rPr>
          <w:spacing w:val="-21"/>
        </w:rPr>
        <w:t> </w:t>
      </w:r>
      <w:r>
        <w:rPr/>
        <w:t>sections!</w:t>
      </w:r>
    </w:p>
    <w:p>
      <w:pPr>
        <w:spacing w:after="0" w:line="278" w:lineRule="auto"/>
        <w:sectPr>
          <w:pgSz w:w="14270" w:h="16850"/>
          <w:pgMar w:header="0" w:footer="404" w:top="1340" w:bottom="2080" w:left="800" w:right="1280"/>
        </w:sectPr>
      </w:pPr>
    </w:p>
    <w:p>
      <w:pPr>
        <w:pStyle w:val="BodyText"/>
        <w:spacing w:before="72"/>
        <w:ind w:left="616"/>
      </w:pPr>
      <w:r>
        <w:rPr/>
        <w:t>Studies</w:t>
      </w:r>
    </w:p>
    <w:p>
      <w:pPr>
        <w:pStyle w:val="Heading1"/>
        <w:spacing w:line="261" w:lineRule="auto" w:before="287"/>
        <w:ind w:left="616"/>
      </w:pPr>
      <w:r>
        <w:rPr/>
        <w:t>Study</w:t>
      </w:r>
      <w:r>
        <w:rPr>
          <w:spacing w:val="-31"/>
        </w:rPr>
        <w:t> </w:t>
      </w:r>
      <w:r>
        <w:rPr/>
        <w:t>regarding</w:t>
      </w:r>
      <w:r>
        <w:rPr>
          <w:spacing w:val="-30"/>
        </w:rPr>
        <w:t> </w:t>
      </w:r>
      <w:r>
        <w:rPr/>
        <w:t>the</w:t>
      </w:r>
      <w:r>
        <w:rPr>
          <w:spacing w:val="-31"/>
        </w:rPr>
        <w:t> </w:t>
      </w:r>
      <w:r>
        <w:rPr/>
        <w:t>influences</w:t>
      </w:r>
      <w:r>
        <w:rPr>
          <w:spacing w:val="-31"/>
        </w:rPr>
        <w:t> </w:t>
      </w:r>
      <w:r>
        <w:rPr/>
        <w:t>of</w:t>
      </w:r>
      <w:r>
        <w:rPr>
          <w:spacing w:val="-30"/>
        </w:rPr>
        <w:t> </w:t>
      </w:r>
      <w:r>
        <w:rPr/>
        <w:t>alkaline</w:t>
      </w:r>
      <w:r>
        <w:rPr>
          <w:spacing w:val="-31"/>
        </w:rPr>
        <w:t> </w:t>
      </w:r>
      <w:r>
        <w:rPr/>
        <w:t>mineral</w:t>
      </w:r>
      <w:r>
        <w:rPr>
          <w:spacing w:val="-31"/>
        </w:rPr>
        <w:t> </w:t>
      </w:r>
      <w:r>
        <w:rPr/>
        <w:t>salts</w:t>
      </w:r>
      <w:r>
        <w:rPr>
          <w:spacing w:val="-31"/>
        </w:rPr>
        <w:t> </w:t>
      </w:r>
      <w:r>
        <w:rPr/>
        <w:t>on</w:t>
      </w:r>
      <w:r>
        <w:rPr>
          <w:spacing w:val="-30"/>
        </w:rPr>
        <w:t> </w:t>
      </w:r>
      <w:r>
        <w:rPr/>
        <w:t>the</w:t>
      </w:r>
      <w:r>
        <w:rPr>
          <w:spacing w:val="-31"/>
        </w:rPr>
        <w:t> </w:t>
      </w:r>
      <w:r>
        <w:rPr/>
        <w:t>human organism</w:t>
      </w:r>
    </w:p>
    <w:p>
      <w:pPr>
        <w:pStyle w:val="BodyText"/>
        <w:spacing w:line="276" w:lineRule="auto" w:before="260"/>
        <w:ind w:left="616" w:right="135"/>
        <w:jc w:val="both"/>
      </w:pPr>
      <w:r>
        <w:rPr/>
        <w:t>The influence of alkaline minerals on the human body was investigated and verified under the guidance of scientists P. Gritsch, A. Witasek, R. Gogelnik and G. Trötscher from the </w:t>
      </w:r>
      <w:r>
        <w:rPr>
          <w:i/>
        </w:rPr>
        <w:t>Institut für Regenerationsforschung Lans </w:t>
      </w:r>
      <w:r>
        <w:rPr/>
        <w:t>(Institute for Regeneration Research) and Ch. Traweger (University of Innsbruck). The study was published in ‘Erfahrungsheilkunde’ volume 45, issue 8 in August 1996.</w:t>
      </w:r>
    </w:p>
    <w:p>
      <w:pPr>
        <w:pStyle w:val="Heading1"/>
        <w:ind w:left="616"/>
      </w:pPr>
      <w:r>
        <w:rPr>
          <w:w w:val="95"/>
        </w:rPr>
        <w:t>Study</w:t>
      </w:r>
      <w:r>
        <w:rPr>
          <w:spacing w:val="-8"/>
          <w:w w:val="95"/>
        </w:rPr>
        <w:t> </w:t>
      </w:r>
      <w:r>
        <w:rPr>
          <w:w w:val="95"/>
        </w:rPr>
        <w:t>conduct</w:t>
      </w:r>
    </w:p>
    <w:p>
      <w:pPr>
        <w:spacing w:before="299"/>
        <w:ind w:left="616" w:right="0" w:firstLine="0"/>
        <w:jc w:val="left"/>
        <w:rPr>
          <w:i/>
          <w:sz w:val="38"/>
        </w:rPr>
      </w:pPr>
      <w:r>
        <w:rPr>
          <w:i/>
          <w:sz w:val="38"/>
        </w:rPr>
        <w:t>Study</w:t>
      </w:r>
      <w:r>
        <w:rPr>
          <w:i/>
          <w:spacing w:val="-10"/>
          <w:sz w:val="38"/>
        </w:rPr>
        <w:t> </w:t>
      </w:r>
      <w:r>
        <w:rPr>
          <w:i/>
          <w:sz w:val="38"/>
        </w:rPr>
        <w:t>participants</w:t>
      </w:r>
    </w:p>
    <w:p>
      <w:pPr>
        <w:pStyle w:val="BodyText"/>
        <w:spacing w:line="278" w:lineRule="auto" w:before="304"/>
        <w:ind w:left="616"/>
      </w:pPr>
      <w:r>
        <w:rPr/>
        <w:t>60 people aged between 20-83 years took part, of which 15 were male and 45 female.</w:t>
      </w:r>
    </w:p>
    <w:p>
      <w:pPr>
        <w:pStyle w:val="BodyText"/>
        <w:rPr>
          <w:sz w:val="42"/>
        </w:rPr>
      </w:pPr>
    </w:p>
    <w:p>
      <w:pPr>
        <w:pStyle w:val="BodyText"/>
        <w:rPr>
          <w:sz w:val="42"/>
        </w:rPr>
      </w:pPr>
    </w:p>
    <w:p>
      <w:pPr>
        <w:pStyle w:val="BodyText"/>
        <w:rPr>
          <w:sz w:val="42"/>
        </w:rPr>
      </w:pPr>
    </w:p>
    <w:p>
      <w:pPr>
        <w:pStyle w:val="BodyText"/>
        <w:rPr>
          <w:sz w:val="42"/>
        </w:rPr>
      </w:pPr>
    </w:p>
    <w:p>
      <w:pPr>
        <w:pStyle w:val="BodyText"/>
        <w:spacing w:before="8"/>
        <w:rPr>
          <w:sz w:val="47"/>
        </w:rPr>
      </w:pPr>
    </w:p>
    <w:p>
      <w:pPr>
        <w:spacing w:before="0"/>
        <w:ind w:left="616" w:right="0" w:firstLine="0"/>
        <w:jc w:val="left"/>
        <w:rPr>
          <w:i/>
          <w:sz w:val="38"/>
        </w:rPr>
      </w:pPr>
      <w:r>
        <w:rPr/>
        <w:pict>
          <v:shape style="position:absolute;margin-left:246.770004pt;margin-top:35.004494pt;width:84.5pt;height:47.2pt;mso-position-horizontal-relative:page;mso-position-vertical-relative:paragraph;z-index:16408" type="#_x0000_t202" filled="true" fillcolor="#8db3e1" stroked="true" strokeweight=".47998pt" strokecolor="#000000">
            <v:textbox inset="0,0,0,0">
              <w:txbxContent>
                <w:p>
                  <w:pPr>
                    <w:spacing w:before="236"/>
                    <w:ind w:left="523" w:right="0" w:firstLine="0"/>
                    <w:jc w:val="left"/>
                    <w:rPr>
                      <w:b/>
                      <w:sz w:val="38"/>
                    </w:rPr>
                  </w:pPr>
                  <w:r>
                    <w:rPr>
                      <w:b/>
                      <w:sz w:val="38"/>
                    </w:rPr>
                    <w:t>Age</w:t>
                  </w:r>
                </w:p>
              </w:txbxContent>
            </v:textbox>
            <v:fill type="solid"/>
            <v:stroke dashstyle="solid"/>
            <w10:wrap type="none"/>
          </v:shape>
        </w:pict>
      </w:r>
      <w:r>
        <w:rPr>
          <w:i/>
          <w:sz w:val="38"/>
        </w:rPr>
        <w:t>Age distribution:</w:t>
      </w:r>
    </w:p>
    <w:p>
      <w:pPr>
        <w:pStyle w:val="BodyText"/>
        <w:spacing w:before="3"/>
        <w:rPr>
          <w:i/>
          <w:sz w:val="20"/>
        </w:rPr>
      </w:pPr>
      <w:r>
        <w:rPr/>
        <w:pict>
          <v:shape style="position:absolute;margin-left:331.269989pt;margin-top:13.62998pt;width:135.050pt;height:47.2pt;mso-position-horizontal-relative:page;mso-position-vertical-relative:paragraph;z-index:14336;mso-wrap-distance-left:0;mso-wrap-distance-right:0" type="#_x0000_t202" filled="true" fillcolor="#8db3e1" stroked="true" strokeweight=".48001pt" strokecolor="#000000">
            <v:textbox inset="0,0,0,0">
              <w:txbxContent>
                <w:p>
                  <w:pPr>
                    <w:spacing w:before="239"/>
                    <w:ind w:left="480" w:right="0" w:firstLine="0"/>
                    <w:jc w:val="left"/>
                    <w:rPr>
                      <w:b/>
                      <w:sz w:val="38"/>
                    </w:rPr>
                  </w:pPr>
                  <w:r>
                    <w:rPr>
                      <w:b/>
                      <w:sz w:val="38"/>
                    </w:rPr>
                    <w:t>Proportion</w:t>
                  </w:r>
                </w:p>
              </w:txbxContent>
            </v:textbox>
            <v:fill type="solid"/>
            <v:stroke dashstyle="solid"/>
            <w10:wrap type="topAndBottom"/>
          </v:shape>
        </w:pict>
      </w:r>
    </w:p>
    <w:p>
      <w:pPr>
        <w:spacing w:after="0"/>
        <w:rPr>
          <w:sz w:val="20"/>
        </w:rPr>
        <w:sectPr>
          <w:pgSz w:w="14270" w:h="16850"/>
          <w:pgMar w:header="0" w:footer="404" w:top="1340" w:bottom="2080" w:left="800" w:right="1280"/>
        </w:sectPr>
      </w:pPr>
    </w:p>
    <w:tbl>
      <w:tblPr>
        <w:tblW w:w="0" w:type="auto"/>
        <w:jc w:val="left"/>
        <w:tblInd w:w="4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0"/>
        <w:gridCol w:w="2701"/>
      </w:tblGrid>
      <w:tr>
        <w:trPr>
          <w:trHeight w:val="693" w:hRule="atLeast"/>
        </w:trPr>
        <w:tc>
          <w:tcPr>
            <w:tcW w:w="1690" w:type="dxa"/>
            <w:shd w:val="clear" w:color="auto" w:fill="8DB3E1"/>
          </w:tcPr>
          <w:p>
            <w:pPr>
              <w:pStyle w:val="TableParagraph"/>
              <w:spacing w:line="424" w:lineRule="exact"/>
              <w:ind w:left="287"/>
              <w:rPr>
                <w:b/>
                <w:sz w:val="38"/>
              </w:rPr>
            </w:pPr>
            <w:r>
              <w:rPr>
                <w:b/>
                <w:sz w:val="38"/>
              </w:rPr>
              <w:t>groups</w:t>
            </w:r>
          </w:p>
        </w:tc>
        <w:tc>
          <w:tcPr>
            <w:tcW w:w="2701" w:type="dxa"/>
            <w:shd w:val="clear" w:color="auto" w:fill="8DB3E1"/>
          </w:tcPr>
          <w:p>
            <w:pPr>
              <w:pStyle w:val="TableParagraph"/>
              <w:rPr>
                <w:rFonts w:ascii="Times New Roman"/>
                <w:sz w:val="36"/>
              </w:rPr>
            </w:pPr>
          </w:p>
        </w:tc>
      </w:tr>
      <w:tr>
        <w:trPr>
          <w:trHeight w:val="1422" w:hRule="atLeast"/>
        </w:trPr>
        <w:tc>
          <w:tcPr>
            <w:tcW w:w="1690" w:type="dxa"/>
          </w:tcPr>
          <w:p>
            <w:pPr>
              <w:pStyle w:val="TableParagraph"/>
              <w:spacing w:before="231"/>
              <w:ind w:left="491"/>
              <w:rPr>
                <w:sz w:val="38"/>
              </w:rPr>
            </w:pPr>
            <w:r>
              <w:rPr>
                <w:sz w:val="38"/>
              </w:rPr>
              <w:t>&lt; 40</w:t>
            </w:r>
          </w:p>
          <w:p>
            <w:pPr>
              <w:pStyle w:val="TableParagraph"/>
              <w:spacing w:before="67"/>
              <w:ind w:left="434"/>
              <w:rPr>
                <w:sz w:val="38"/>
              </w:rPr>
            </w:pPr>
            <w:r>
              <w:rPr>
                <w:sz w:val="38"/>
              </w:rPr>
              <w:t>years:</w:t>
            </w:r>
          </w:p>
        </w:tc>
        <w:tc>
          <w:tcPr>
            <w:tcW w:w="2701" w:type="dxa"/>
          </w:tcPr>
          <w:p>
            <w:pPr>
              <w:pStyle w:val="TableParagraph"/>
              <w:spacing w:before="234"/>
              <w:ind w:left="948" w:right="938"/>
              <w:jc w:val="center"/>
              <w:rPr>
                <w:sz w:val="38"/>
              </w:rPr>
            </w:pPr>
            <w:r>
              <w:rPr>
                <w:sz w:val="38"/>
              </w:rPr>
              <w:t>12 %</w:t>
            </w:r>
          </w:p>
        </w:tc>
      </w:tr>
      <w:tr>
        <w:trPr>
          <w:trHeight w:val="1422" w:hRule="atLeast"/>
        </w:trPr>
        <w:tc>
          <w:tcPr>
            <w:tcW w:w="1690" w:type="dxa"/>
          </w:tcPr>
          <w:p>
            <w:pPr>
              <w:pStyle w:val="TableParagraph"/>
              <w:spacing w:before="231"/>
              <w:ind w:left="393"/>
              <w:rPr>
                <w:sz w:val="38"/>
              </w:rPr>
            </w:pPr>
            <w:r>
              <w:rPr>
                <w:sz w:val="38"/>
              </w:rPr>
              <w:t>40–49</w:t>
            </w:r>
          </w:p>
          <w:p>
            <w:pPr>
              <w:pStyle w:val="TableParagraph"/>
              <w:spacing w:before="67"/>
              <w:ind w:left="434"/>
              <w:rPr>
                <w:sz w:val="38"/>
              </w:rPr>
            </w:pPr>
            <w:r>
              <w:rPr>
                <w:sz w:val="38"/>
              </w:rPr>
              <w:t>years:</w:t>
            </w:r>
          </w:p>
        </w:tc>
        <w:tc>
          <w:tcPr>
            <w:tcW w:w="2701" w:type="dxa"/>
          </w:tcPr>
          <w:p>
            <w:pPr>
              <w:pStyle w:val="TableParagraph"/>
              <w:spacing w:before="234"/>
              <w:ind w:left="948" w:right="938"/>
              <w:jc w:val="center"/>
              <w:rPr>
                <w:sz w:val="38"/>
              </w:rPr>
            </w:pPr>
            <w:r>
              <w:rPr>
                <w:sz w:val="38"/>
              </w:rPr>
              <w:t>18 %</w:t>
            </w:r>
          </w:p>
        </w:tc>
      </w:tr>
      <w:tr>
        <w:trPr>
          <w:trHeight w:val="1423" w:hRule="atLeast"/>
        </w:trPr>
        <w:tc>
          <w:tcPr>
            <w:tcW w:w="1690" w:type="dxa"/>
          </w:tcPr>
          <w:p>
            <w:pPr>
              <w:pStyle w:val="TableParagraph"/>
              <w:spacing w:before="232"/>
              <w:ind w:left="393"/>
              <w:rPr>
                <w:sz w:val="38"/>
              </w:rPr>
            </w:pPr>
            <w:r>
              <w:rPr>
                <w:sz w:val="38"/>
              </w:rPr>
              <w:t>50–59</w:t>
            </w:r>
          </w:p>
          <w:p>
            <w:pPr>
              <w:pStyle w:val="TableParagraph"/>
              <w:spacing w:before="67"/>
              <w:ind w:left="434"/>
              <w:rPr>
                <w:sz w:val="38"/>
              </w:rPr>
            </w:pPr>
            <w:r>
              <w:rPr>
                <w:sz w:val="38"/>
              </w:rPr>
              <w:t>years:</w:t>
            </w:r>
          </w:p>
        </w:tc>
        <w:tc>
          <w:tcPr>
            <w:tcW w:w="2701" w:type="dxa"/>
          </w:tcPr>
          <w:p>
            <w:pPr>
              <w:pStyle w:val="TableParagraph"/>
              <w:spacing w:before="234"/>
              <w:ind w:left="948" w:right="938"/>
              <w:jc w:val="center"/>
              <w:rPr>
                <w:sz w:val="38"/>
              </w:rPr>
            </w:pPr>
            <w:r>
              <w:rPr>
                <w:sz w:val="38"/>
              </w:rPr>
              <w:t>35 %</w:t>
            </w:r>
          </w:p>
        </w:tc>
      </w:tr>
      <w:tr>
        <w:trPr>
          <w:trHeight w:val="1425" w:hRule="atLeast"/>
        </w:trPr>
        <w:tc>
          <w:tcPr>
            <w:tcW w:w="1690" w:type="dxa"/>
          </w:tcPr>
          <w:p>
            <w:pPr>
              <w:pStyle w:val="TableParagraph"/>
              <w:spacing w:line="278" w:lineRule="auto" w:before="231"/>
              <w:ind w:left="465" w:right="321" w:hanging="116"/>
              <w:rPr>
                <w:sz w:val="38"/>
              </w:rPr>
            </w:pPr>
            <w:r>
              <w:rPr>
                <w:sz w:val="38"/>
              </w:rPr>
              <w:t>60 and older</w:t>
            </w:r>
          </w:p>
        </w:tc>
        <w:tc>
          <w:tcPr>
            <w:tcW w:w="2701" w:type="dxa"/>
          </w:tcPr>
          <w:p>
            <w:pPr>
              <w:pStyle w:val="TableParagraph"/>
              <w:spacing w:before="234"/>
              <w:ind w:left="948" w:right="938"/>
              <w:jc w:val="center"/>
              <w:rPr>
                <w:sz w:val="38"/>
              </w:rPr>
            </w:pPr>
            <w:r>
              <w:rPr>
                <w:sz w:val="38"/>
              </w:rPr>
              <w:t>30 %</w:t>
            </w:r>
          </w:p>
        </w:tc>
      </w:tr>
      <w:tr>
        <w:trPr>
          <w:trHeight w:val="1423" w:hRule="atLeast"/>
        </w:trPr>
        <w:tc>
          <w:tcPr>
            <w:tcW w:w="1690" w:type="dxa"/>
          </w:tcPr>
          <w:p>
            <w:pPr>
              <w:pStyle w:val="TableParagraph"/>
              <w:spacing w:line="278" w:lineRule="auto" w:before="231"/>
              <w:ind w:left="328" w:right="104" w:hanging="197"/>
              <w:rPr>
                <w:sz w:val="38"/>
              </w:rPr>
            </w:pPr>
            <w:r>
              <w:rPr>
                <w:sz w:val="38"/>
              </w:rPr>
              <w:t>No infor- mation</w:t>
            </w:r>
          </w:p>
        </w:tc>
        <w:tc>
          <w:tcPr>
            <w:tcW w:w="2701" w:type="dxa"/>
          </w:tcPr>
          <w:p>
            <w:pPr>
              <w:pStyle w:val="TableParagraph"/>
              <w:spacing w:before="234"/>
              <w:ind w:left="948" w:right="938"/>
              <w:jc w:val="center"/>
              <w:rPr>
                <w:sz w:val="38"/>
              </w:rPr>
            </w:pPr>
            <w:r>
              <w:rPr>
                <w:sz w:val="38"/>
              </w:rPr>
              <w:t>5 %</w:t>
            </w:r>
          </w:p>
        </w:tc>
      </w:tr>
    </w:tbl>
    <w:p>
      <w:pPr>
        <w:pStyle w:val="BodyText"/>
        <w:spacing w:before="8"/>
        <w:rPr>
          <w:i/>
          <w:sz w:val="11"/>
        </w:rPr>
      </w:pPr>
    </w:p>
    <w:p>
      <w:pPr>
        <w:pStyle w:val="BodyText"/>
        <w:spacing w:line="276" w:lineRule="auto" w:before="100"/>
        <w:ind w:left="616" w:right="137"/>
        <w:jc w:val="both"/>
      </w:pPr>
      <w:r>
        <w:rPr/>
        <w:t>The lifestyles of all the participants, including their nutritional habits, leisure activities</w:t>
      </w:r>
      <w:r>
        <w:rPr>
          <w:spacing w:val="-18"/>
        </w:rPr>
        <w:t> </w:t>
      </w:r>
      <w:r>
        <w:rPr/>
        <w:t>etc.</w:t>
      </w:r>
      <w:r>
        <w:rPr>
          <w:spacing w:val="-17"/>
        </w:rPr>
        <w:t> </w:t>
      </w:r>
      <w:r>
        <w:rPr/>
        <w:t>were</w:t>
      </w:r>
      <w:r>
        <w:rPr>
          <w:spacing w:val="-17"/>
        </w:rPr>
        <w:t> </w:t>
      </w:r>
      <w:r>
        <w:rPr/>
        <w:t>compared</w:t>
      </w:r>
      <w:r>
        <w:rPr>
          <w:spacing w:val="-20"/>
        </w:rPr>
        <w:t> </w:t>
      </w:r>
      <w:r>
        <w:rPr/>
        <w:t>with</w:t>
      </w:r>
      <w:r>
        <w:rPr>
          <w:spacing w:val="-17"/>
        </w:rPr>
        <w:t> </w:t>
      </w:r>
      <w:r>
        <w:rPr/>
        <w:t>one</w:t>
      </w:r>
      <w:r>
        <w:rPr>
          <w:spacing w:val="-19"/>
        </w:rPr>
        <w:t> </w:t>
      </w:r>
      <w:r>
        <w:rPr/>
        <w:t>another</w:t>
      </w:r>
      <w:r>
        <w:rPr>
          <w:spacing w:val="-18"/>
        </w:rPr>
        <w:t> </w:t>
      </w:r>
      <w:r>
        <w:rPr/>
        <w:t>and</w:t>
      </w:r>
      <w:r>
        <w:rPr>
          <w:spacing w:val="-18"/>
        </w:rPr>
        <w:t> </w:t>
      </w:r>
      <w:r>
        <w:rPr/>
        <w:t>corresponded</w:t>
      </w:r>
      <w:r>
        <w:rPr>
          <w:spacing w:val="-18"/>
        </w:rPr>
        <w:t> </w:t>
      </w:r>
      <w:r>
        <w:rPr/>
        <w:t>to</w:t>
      </w:r>
      <w:r>
        <w:rPr>
          <w:spacing w:val="-17"/>
        </w:rPr>
        <w:t> </w:t>
      </w:r>
      <w:r>
        <w:rPr/>
        <w:t>the</w:t>
      </w:r>
      <w:r>
        <w:rPr>
          <w:spacing w:val="-19"/>
        </w:rPr>
        <w:t> </w:t>
      </w:r>
      <w:r>
        <w:rPr/>
        <w:t>typical conditions of an average</w:t>
      </w:r>
      <w:r>
        <w:rPr>
          <w:spacing w:val="-1"/>
        </w:rPr>
        <w:t> </w:t>
      </w:r>
      <w:r>
        <w:rPr/>
        <w:t>citizen.</w:t>
      </w:r>
    </w:p>
    <w:p>
      <w:pPr>
        <w:spacing w:before="241"/>
        <w:ind w:left="616" w:right="0" w:firstLine="0"/>
        <w:jc w:val="left"/>
        <w:rPr>
          <w:i/>
          <w:sz w:val="38"/>
        </w:rPr>
      </w:pPr>
      <w:r>
        <w:rPr>
          <w:i/>
          <w:sz w:val="38"/>
        </w:rPr>
        <w:t>Test substances</w:t>
      </w:r>
    </w:p>
    <w:p>
      <w:pPr>
        <w:pStyle w:val="BodyText"/>
        <w:spacing w:line="276" w:lineRule="auto" w:before="302"/>
        <w:ind w:left="616" w:right="131"/>
        <w:jc w:val="both"/>
      </w:pPr>
      <w:r>
        <w:rPr/>
        <w:t>The</w:t>
      </w:r>
      <w:r>
        <w:rPr>
          <w:spacing w:val="-6"/>
        </w:rPr>
        <w:t> </w:t>
      </w:r>
      <w:r>
        <w:rPr/>
        <w:t>test</w:t>
      </w:r>
      <w:r>
        <w:rPr>
          <w:spacing w:val="-5"/>
        </w:rPr>
        <w:t> </w:t>
      </w:r>
      <w:r>
        <w:rPr/>
        <w:t>substances</w:t>
      </w:r>
      <w:r>
        <w:rPr>
          <w:spacing w:val="-6"/>
        </w:rPr>
        <w:t> </w:t>
      </w:r>
      <w:r>
        <w:rPr/>
        <w:t>used</w:t>
      </w:r>
      <w:r>
        <w:rPr>
          <w:spacing w:val="-6"/>
        </w:rPr>
        <w:t> </w:t>
      </w:r>
      <w:r>
        <w:rPr/>
        <w:t>were</w:t>
      </w:r>
      <w:r>
        <w:rPr>
          <w:spacing w:val="-8"/>
        </w:rPr>
        <w:t> </w:t>
      </w:r>
      <w:r>
        <w:rPr/>
        <w:t>a</w:t>
      </w:r>
      <w:r>
        <w:rPr>
          <w:spacing w:val="-10"/>
        </w:rPr>
        <w:t> </w:t>
      </w:r>
      <w:r>
        <w:rPr/>
        <w:t>combination</w:t>
      </w:r>
      <w:r>
        <w:rPr>
          <w:spacing w:val="-5"/>
        </w:rPr>
        <w:t> </w:t>
      </w:r>
      <w:r>
        <w:rPr/>
        <w:t>of</w:t>
      </w:r>
      <w:r>
        <w:rPr>
          <w:spacing w:val="-9"/>
        </w:rPr>
        <w:t> </w:t>
      </w:r>
      <w:r>
        <w:rPr/>
        <w:t>mineral</w:t>
      </w:r>
      <w:r>
        <w:rPr>
          <w:spacing w:val="-6"/>
        </w:rPr>
        <w:t> </w:t>
      </w:r>
      <w:r>
        <w:rPr/>
        <w:t>substances</w:t>
      </w:r>
      <w:r>
        <w:rPr>
          <w:spacing w:val="-5"/>
        </w:rPr>
        <w:t> </w:t>
      </w:r>
      <w:r>
        <w:rPr/>
        <w:t>which</w:t>
      </w:r>
      <w:r>
        <w:rPr>
          <w:spacing w:val="-6"/>
        </w:rPr>
        <w:t> </w:t>
      </w:r>
      <w:r>
        <w:rPr/>
        <w:t>can balance out a mineral deficit caused by acidosis or nutritional</w:t>
      </w:r>
      <w:r>
        <w:rPr>
          <w:spacing w:val="-22"/>
        </w:rPr>
        <w:t> </w:t>
      </w:r>
      <w:r>
        <w:rPr/>
        <w:t>deficiency.</w:t>
      </w:r>
    </w:p>
    <w:p>
      <w:pPr>
        <w:spacing w:after="0" w:line="276" w:lineRule="auto"/>
        <w:jc w:val="both"/>
        <w:sectPr>
          <w:pgSz w:w="14270" w:h="16850"/>
          <w:pgMar w:header="0" w:footer="404" w:top="1420" w:bottom="2080" w:left="800" w:right="1280"/>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48"/>
        <w:gridCol w:w="3829"/>
      </w:tblGrid>
      <w:tr>
        <w:trPr>
          <w:trHeight w:val="732" w:hRule="atLeast"/>
        </w:trPr>
        <w:tc>
          <w:tcPr>
            <w:tcW w:w="4748" w:type="dxa"/>
            <w:shd w:val="clear" w:color="auto" w:fill="8DB3E1"/>
          </w:tcPr>
          <w:p>
            <w:pPr>
              <w:pStyle w:val="TableParagraph"/>
              <w:spacing w:before="234"/>
              <w:ind w:left="146" w:right="137"/>
              <w:jc w:val="center"/>
              <w:rPr>
                <w:b/>
                <w:sz w:val="38"/>
              </w:rPr>
            </w:pPr>
            <w:r>
              <w:rPr>
                <w:b/>
                <w:sz w:val="38"/>
              </w:rPr>
              <w:t>Mineral substances used</w:t>
            </w:r>
          </w:p>
        </w:tc>
        <w:tc>
          <w:tcPr>
            <w:tcW w:w="3829" w:type="dxa"/>
            <w:shd w:val="clear" w:color="auto" w:fill="8DB3E1"/>
          </w:tcPr>
          <w:p>
            <w:pPr>
              <w:pStyle w:val="TableParagraph"/>
              <w:spacing w:before="234"/>
              <w:ind w:left="614" w:right="607"/>
              <w:jc w:val="center"/>
              <w:rPr>
                <w:b/>
                <w:sz w:val="38"/>
              </w:rPr>
            </w:pPr>
            <w:r>
              <w:rPr>
                <w:b/>
                <w:sz w:val="38"/>
              </w:rPr>
              <w:t>Proportion in %</w:t>
            </w:r>
          </w:p>
        </w:tc>
      </w:tr>
      <w:tr>
        <w:trPr>
          <w:trHeight w:val="731" w:hRule="atLeast"/>
        </w:trPr>
        <w:tc>
          <w:tcPr>
            <w:tcW w:w="4748" w:type="dxa"/>
          </w:tcPr>
          <w:p>
            <w:pPr>
              <w:pStyle w:val="TableParagraph"/>
              <w:spacing w:before="234"/>
              <w:ind w:left="150" w:right="137"/>
              <w:jc w:val="center"/>
              <w:rPr>
                <w:sz w:val="38"/>
              </w:rPr>
            </w:pPr>
            <w:r>
              <w:rPr>
                <w:sz w:val="38"/>
              </w:rPr>
              <w:t>Sodium hydrogen carbonate</w:t>
            </w:r>
          </w:p>
        </w:tc>
        <w:tc>
          <w:tcPr>
            <w:tcW w:w="3829" w:type="dxa"/>
          </w:tcPr>
          <w:p>
            <w:pPr>
              <w:pStyle w:val="TableParagraph"/>
              <w:spacing w:before="234"/>
              <w:ind w:left="614" w:right="606"/>
              <w:jc w:val="center"/>
              <w:rPr>
                <w:sz w:val="38"/>
              </w:rPr>
            </w:pPr>
            <w:r>
              <w:rPr>
                <w:sz w:val="38"/>
              </w:rPr>
              <w:t>47.9</w:t>
            </w:r>
          </w:p>
        </w:tc>
      </w:tr>
      <w:tr>
        <w:trPr>
          <w:trHeight w:val="731" w:hRule="atLeast"/>
        </w:trPr>
        <w:tc>
          <w:tcPr>
            <w:tcW w:w="4748" w:type="dxa"/>
          </w:tcPr>
          <w:p>
            <w:pPr>
              <w:pStyle w:val="TableParagraph"/>
              <w:spacing w:before="234"/>
              <w:ind w:left="148" w:right="137"/>
              <w:jc w:val="center"/>
              <w:rPr>
                <w:sz w:val="38"/>
              </w:rPr>
            </w:pPr>
            <w:r>
              <w:rPr>
                <w:sz w:val="38"/>
              </w:rPr>
              <w:t>Calcium carbonate</w:t>
            </w:r>
          </w:p>
        </w:tc>
        <w:tc>
          <w:tcPr>
            <w:tcW w:w="3829" w:type="dxa"/>
          </w:tcPr>
          <w:p>
            <w:pPr>
              <w:pStyle w:val="TableParagraph"/>
              <w:spacing w:before="234"/>
              <w:ind w:left="614" w:right="606"/>
              <w:jc w:val="center"/>
              <w:rPr>
                <w:sz w:val="38"/>
              </w:rPr>
            </w:pPr>
            <w:r>
              <w:rPr>
                <w:sz w:val="38"/>
              </w:rPr>
              <w:t>10.6</w:t>
            </w:r>
          </w:p>
        </w:tc>
      </w:tr>
      <w:tr>
        <w:trPr>
          <w:trHeight w:val="731" w:hRule="atLeast"/>
        </w:trPr>
        <w:tc>
          <w:tcPr>
            <w:tcW w:w="4748" w:type="dxa"/>
          </w:tcPr>
          <w:p>
            <w:pPr>
              <w:pStyle w:val="TableParagraph"/>
              <w:spacing w:before="234"/>
              <w:ind w:left="148" w:right="137"/>
              <w:jc w:val="center"/>
              <w:rPr>
                <w:sz w:val="38"/>
              </w:rPr>
            </w:pPr>
            <w:r>
              <w:rPr>
                <w:sz w:val="38"/>
              </w:rPr>
              <w:t>Tripotassium citrate</w:t>
            </w:r>
          </w:p>
        </w:tc>
        <w:tc>
          <w:tcPr>
            <w:tcW w:w="3829" w:type="dxa"/>
          </w:tcPr>
          <w:p>
            <w:pPr>
              <w:pStyle w:val="TableParagraph"/>
              <w:spacing w:before="234"/>
              <w:ind w:left="614" w:right="606"/>
              <w:jc w:val="center"/>
              <w:rPr>
                <w:sz w:val="38"/>
              </w:rPr>
            </w:pPr>
            <w:r>
              <w:rPr>
                <w:sz w:val="38"/>
              </w:rPr>
              <w:t>6.0</w:t>
            </w:r>
          </w:p>
        </w:tc>
      </w:tr>
      <w:tr>
        <w:trPr>
          <w:trHeight w:val="729" w:hRule="atLeast"/>
        </w:trPr>
        <w:tc>
          <w:tcPr>
            <w:tcW w:w="4748" w:type="dxa"/>
            <w:tcBorders>
              <w:bottom w:val="single" w:sz="6" w:space="0" w:color="000000"/>
            </w:tcBorders>
          </w:tcPr>
          <w:p>
            <w:pPr>
              <w:pStyle w:val="TableParagraph"/>
              <w:spacing w:before="234"/>
              <w:ind w:left="147" w:right="137"/>
              <w:jc w:val="center"/>
              <w:rPr>
                <w:sz w:val="38"/>
              </w:rPr>
            </w:pPr>
            <w:r>
              <w:rPr>
                <w:sz w:val="38"/>
              </w:rPr>
              <w:t>Magnesium hydroxicarbonate</w:t>
            </w:r>
          </w:p>
        </w:tc>
        <w:tc>
          <w:tcPr>
            <w:tcW w:w="3829" w:type="dxa"/>
            <w:tcBorders>
              <w:bottom w:val="single" w:sz="6" w:space="0" w:color="000000"/>
            </w:tcBorders>
          </w:tcPr>
          <w:p>
            <w:pPr>
              <w:pStyle w:val="TableParagraph"/>
              <w:spacing w:before="234"/>
              <w:ind w:left="614" w:right="606"/>
              <w:jc w:val="center"/>
              <w:rPr>
                <w:sz w:val="38"/>
              </w:rPr>
            </w:pPr>
            <w:r>
              <w:rPr>
                <w:sz w:val="38"/>
              </w:rPr>
              <w:t>16.2</w:t>
            </w:r>
          </w:p>
        </w:tc>
      </w:tr>
      <w:tr>
        <w:trPr>
          <w:trHeight w:val="2445" w:hRule="atLeast"/>
        </w:trPr>
        <w:tc>
          <w:tcPr>
            <w:tcW w:w="4748" w:type="dxa"/>
            <w:tcBorders>
              <w:top w:val="single" w:sz="6" w:space="0" w:color="000000"/>
            </w:tcBorders>
          </w:tcPr>
          <w:p>
            <w:pPr>
              <w:pStyle w:val="TableParagraph"/>
              <w:spacing w:line="276" w:lineRule="auto" w:before="231"/>
              <w:ind w:left="149" w:right="137"/>
              <w:jc w:val="center"/>
              <w:rPr>
                <w:sz w:val="38"/>
              </w:rPr>
            </w:pPr>
            <w:r>
              <w:rPr>
                <w:sz w:val="38"/>
              </w:rPr>
              <w:t>Auxiliary materials: Potato flour</w:t>
            </w:r>
          </w:p>
          <w:p>
            <w:pPr>
              <w:pStyle w:val="TableParagraph"/>
              <w:spacing w:line="490" w:lineRule="atLeast" w:before="176"/>
              <w:ind w:left="150" w:right="137"/>
              <w:jc w:val="center"/>
              <w:rPr>
                <w:sz w:val="38"/>
              </w:rPr>
            </w:pPr>
            <w:r>
              <w:rPr>
                <w:sz w:val="38"/>
              </w:rPr>
              <w:t>Talcum, Elcema P200, sicovit, indigotin, herbal oils</w:t>
            </w:r>
          </w:p>
        </w:tc>
        <w:tc>
          <w:tcPr>
            <w:tcW w:w="3829" w:type="dxa"/>
            <w:tcBorders>
              <w:top w:val="single" w:sz="6" w:space="0" w:color="000000"/>
            </w:tcBorders>
          </w:tcPr>
          <w:p>
            <w:pPr>
              <w:pStyle w:val="TableParagraph"/>
              <w:spacing w:before="231"/>
              <w:ind w:left="614" w:right="606"/>
              <w:jc w:val="center"/>
              <w:rPr>
                <w:sz w:val="38"/>
              </w:rPr>
            </w:pPr>
            <w:r>
              <w:rPr>
                <w:sz w:val="38"/>
              </w:rPr>
              <w:t>ad 100 %</w:t>
            </w:r>
          </w:p>
        </w:tc>
      </w:tr>
    </w:tbl>
    <w:p>
      <w:pPr>
        <w:pStyle w:val="BodyText"/>
        <w:spacing w:before="11"/>
        <w:rPr>
          <w:sz w:val="11"/>
        </w:rPr>
      </w:pPr>
    </w:p>
    <w:p>
      <w:pPr>
        <w:spacing w:before="99"/>
        <w:ind w:left="616" w:right="0" w:firstLine="0"/>
        <w:jc w:val="left"/>
        <w:rPr>
          <w:i/>
          <w:sz w:val="38"/>
        </w:rPr>
      </w:pPr>
      <w:r>
        <w:rPr>
          <w:i/>
          <w:sz w:val="38"/>
        </w:rPr>
        <w:t>Method</w:t>
      </w:r>
    </w:p>
    <w:p>
      <w:pPr>
        <w:pStyle w:val="BodyText"/>
        <w:spacing w:line="276" w:lineRule="auto" w:before="303"/>
        <w:ind w:left="616" w:right="132"/>
        <w:jc w:val="both"/>
      </w:pPr>
      <w:r>
        <w:rPr/>
        <w:t>Study</w:t>
      </w:r>
      <w:r>
        <w:rPr>
          <w:spacing w:val="-20"/>
        </w:rPr>
        <w:t> </w:t>
      </w:r>
      <w:r>
        <w:rPr/>
        <w:t>participants</w:t>
      </w:r>
      <w:r>
        <w:rPr>
          <w:spacing w:val="-17"/>
        </w:rPr>
        <w:t> </w:t>
      </w:r>
      <w:r>
        <w:rPr/>
        <w:t>were</w:t>
      </w:r>
      <w:r>
        <w:rPr>
          <w:spacing w:val="-18"/>
        </w:rPr>
        <w:t> </w:t>
      </w:r>
      <w:r>
        <w:rPr/>
        <w:t>prescribed</w:t>
      </w:r>
      <w:r>
        <w:rPr>
          <w:spacing w:val="-18"/>
        </w:rPr>
        <w:t> </w:t>
      </w:r>
      <w:r>
        <w:rPr/>
        <w:t>an</w:t>
      </w:r>
      <w:r>
        <w:rPr>
          <w:spacing w:val="-18"/>
        </w:rPr>
        <w:t> </w:t>
      </w:r>
      <w:r>
        <w:rPr/>
        <w:t>intensive</w:t>
      </w:r>
      <w:r>
        <w:rPr>
          <w:spacing w:val="-19"/>
        </w:rPr>
        <w:t> </w:t>
      </w:r>
      <w:r>
        <w:rPr/>
        <w:t>diet</w:t>
      </w:r>
      <w:r>
        <w:rPr>
          <w:spacing w:val="-18"/>
        </w:rPr>
        <w:t> </w:t>
      </w:r>
      <w:r>
        <w:rPr/>
        <w:t>under</w:t>
      </w:r>
      <w:r>
        <w:rPr>
          <w:spacing w:val="-18"/>
        </w:rPr>
        <w:t> </w:t>
      </w:r>
      <w:r>
        <w:rPr/>
        <w:t>medical</w:t>
      </w:r>
      <w:r>
        <w:rPr>
          <w:spacing w:val="-16"/>
        </w:rPr>
        <w:t> </w:t>
      </w:r>
      <w:r>
        <w:rPr/>
        <w:t>supervision. Test</w:t>
      </w:r>
      <w:r>
        <w:rPr>
          <w:spacing w:val="-20"/>
        </w:rPr>
        <w:t> </w:t>
      </w:r>
      <w:r>
        <w:rPr/>
        <w:t>subjects</w:t>
      </w:r>
      <w:r>
        <w:rPr>
          <w:spacing w:val="-18"/>
        </w:rPr>
        <w:t> </w:t>
      </w:r>
      <w:r>
        <w:rPr/>
        <w:t>were</w:t>
      </w:r>
      <w:r>
        <w:rPr>
          <w:spacing w:val="-18"/>
        </w:rPr>
        <w:t> </w:t>
      </w:r>
      <w:r>
        <w:rPr/>
        <w:t>separated</w:t>
      </w:r>
      <w:r>
        <w:rPr>
          <w:spacing w:val="-19"/>
        </w:rPr>
        <w:t> </w:t>
      </w:r>
      <w:r>
        <w:rPr/>
        <w:t>into</w:t>
      </w:r>
      <w:r>
        <w:rPr>
          <w:spacing w:val="-20"/>
        </w:rPr>
        <w:t> </w:t>
      </w:r>
      <w:r>
        <w:rPr/>
        <w:t>two</w:t>
      </w:r>
      <w:r>
        <w:rPr>
          <w:spacing w:val="-18"/>
        </w:rPr>
        <w:t> </w:t>
      </w:r>
      <w:r>
        <w:rPr/>
        <w:t>groups:</w:t>
      </w:r>
      <w:r>
        <w:rPr>
          <w:spacing w:val="-22"/>
        </w:rPr>
        <w:t> </w:t>
      </w:r>
      <w:r>
        <w:rPr/>
        <w:t>One</w:t>
      </w:r>
      <w:r>
        <w:rPr>
          <w:spacing w:val="-19"/>
        </w:rPr>
        <w:t> </w:t>
      </w:r>
      <w:r>
        <w:rPr/>
        <w:t>group</w:t>
      </w:r>
      <w:r>
        <w:rPr>
          <w:spacing w:val="-18"/>
        </w:rPr>
        <w:t> </w:t>
      </w:r>
      <w:r>
        <w:rPr/>
        <w:t>received</w:t>
      </w:r>
      <w:r>
        <w:rPr>
          <w:spacing w:val="-21"/>
        </w:rPr>
        <w:t> </w:t>
      </w:r>
      <w:r>
        <w:rPr/>
        <w:t>the</w:t>
      </w:r>
      <w:r>
        <w:rPr>
          <w:spacing w:val="-18"/>
        </w:rPr>
        <w:t> </w:t>
      </w:r>
      <w:r>
        <w:rPr/>
        <w:t>minerals stated above in a dose of 3 x 5 capsules of 0.354 g daily, and the other group were given a placebo. This was a simple blind study, where both groups were composed of representative, statistically comparable study groups. The obser- vational</w:t>
      </w:r>
      <w:r>
        <w:rPr>
          <w:spacing w:val="-26"/>
        </w:rPr>
        <w:t> </w:t>
      </w:r>
      <w:r>
        <w:rPr/>
        <w:t>period</w:t>
      </w:r>
      <w:r>
        <w:rPr>
          <w:spacing w:val="-24"/>
        </w:rPr>
        <w:t> </w:t>
      </w:r>
      <w:r>
        <w:rPr/>
        <w:t>was</w:t>
      </w:r>
      <w:r>
        <w:rPr>
          <w:spacing w:val="-24"/>
        </w:rPr>
        <w:t> </w:t>
      </w:r>
      <w:r>
        <w:rPr/>
        <w:t>three</w:t>
      </w:r>
      <w:r>
        <w:rPr>
          <w:spacing w:val="-23"/>
        </w:rPr>
        <w:t> </w:t>
      </w:r>
      <w:r>
        <w:rPr/>
        <w:t>weeks,</w:t>
      </w:r>
      <w:r>
        <w:rPr>
          <w:spacing w:val="-26"/>
        </w:rPr>
        <w:t> </w:t>
      </w:r>
      <w:r>
        <w:rPr/>
        <w:t>the</w:t>
      </w:r>
      <w:r>
        <w:rPr>
          <w:spacing w:val="-25"/>
        </w:rPr>
        <w:t> </w:t>
      </w:r>
      <w:r>
        <w:rPr/>
        <w:t>average</w:t>
      </w:r>
      <w:r>
        <w:rPr>
          <w:spacing w:val="-23"/>
        </w:rPr>
        <w:t> </w:t>
      </w:r>
      <w:r>
        <w:rPr/>
        <w:t>and</w:t>
      </w:r>
      <w:r>
        <w:rPr>
          <w:spacing w:val="-27"/>
        </w:rPr>
        <w:t> </w:t>
      </w:r>
      <w:r>
        <w:rPr/>
        <w:t>proportional</w:t>
      </w:r>
      <w:r>
        <w:rPr>
          <w:spacing w:val="-25"/>
        </w:rPr>
        <w:t> </w:t>
      </w:r>
      <w:r>
        <w:rPr/>
        <w:t>values</w:t>
      </w:r>
      <w:r>
        <w:rPr>
          <w:spacing w:val="-24"/>
        </w:rPr>
        <w:t> </w:t>
      </w:r>
      <w:r>
        <w:rPr/>
        <w:t>were</w:t>
      </w:r>
      <w:r>
        <w:rPr>
          <w:spacing w:val="-23"/>
        </w:rPr>
        <w:t> </w:t>
      </w:r>
      <w:r>
        <w:rPr/>
        <w:t>eval- uated and the test subjects’ complaints were measured at the start and end of the study. The complaints were determined using case report forms, a list re- cording complaints and doctors notes. The following measurement scale was used for evaluation of the assessment of</w:t>
      </w:r>
      <w:r>
        <w:rPr>
          <w:spacing w:val="-3"/>
        </w:rPr>
        <w:t> </w:t>
      </w:r>
      <w:r>
        <w:rPr/>
        <w:t>complaints:</w:t>
      </w:r>
    </w:p>
    <w:p>
      <w:pPr>
        <w:spacing w:after="0" w:line="276" w:lineRule="auto"/>
        <w:jc w:val="both"/>
        <w:sectPr>
          <w:pgSz w:w="14270" w:h="16850"/>
          <w:pgMar w:header="0" w:footer="404" w:top="1420" w:bottom="2080" w:left="800" w:right="1280"/>
        </w:sectPr>
      </w:pPr>
    </w:p>
    <w:p>
      <w:pPr>
        <w:pStyle w:val="ListParagraph"/>
        <w:numPr>
          <w:ilvl w:val="0"/>
          <w:numId w:val="134"/>
        </w:numPr>
        <w:tabs>
          <w:tab w:pos="1329" w:val="left" w:leader="none"/>
          <w:tab w:pos="1330" w:val="left" w:leader="none"/>
        </w:tabs>
        <w:spacing w:line="240" w:lineRule="auto" w:before="53" w:after="0"/>
        <w:ind w:left="1329" w:right="0" w:hanging="355"/>
        <w:jc w:val="left"/>
        <w:rPr>
          <w:sz w:val="38"/>
        </w:rPr>
      </w:pPr>
      <w:r>
        <w:rPr>
          <w:sz w:val="38"/>
        </w:rPr>
        <w:t>No complaint =</w:t>
      </w:r>
      <w:r>
        <w:rPr>
          <w:spacing w:val="1"/>
          <w:sz w:val="38"/>
        </w:rPr>
        <w:t> </w:t>
      </w:r>
      <w:r>
        <w:rPr>
          <w:sz w:val="38"/>
        </w:rPr>
        <w:t>0</w:t>
      </w:r>
    </w:p>
    <w:p>
      <w:pPr>
        <w:pStyle w:val="ListParagraph"/>
        <w:numPr>
          <w:ilvl w:val="0"/>
          <w:numId w:val="134"/>
        </w:numPr>
        <w:tabs>
          <w:tab w:pos="1329" w:val="left" w:leader="none"/>
          <w:tab w:pos="1330" w:val="left" w:leader="none"/>
        </w:tabs>
        <w:spacing w:line="240" w:lineRule="auto" w:before="186" w:after="0"/>
        <w:ind w:left="1329" w:right="0" w:hanging="355"/>
        <w:jc w:val="left"/>
        <w:rPr>
          <w:sz w:val="38"/>
        </w:rPr>
      </w:pPr>
      <w:r>
        <w:rPr>
          <w:sz w:val="38"/>
        </w:rPr>
        <w:t>Slight complaint =</w:t>
      </w:r>
      <w:r>
        <w:rPr>
          <w:spacing w:val="-1"/>
          <w:sz w:val="38"/>
        </w:rPr>
        <w:t> </w:t>
      </w:r>
      <w:r>
        <w:rPr>
          <w:sz w:val="38"/>
        </w:rPr>
        <w:t>1</w:t>
      </w:r>
    </w:p>
    <w:p>
      <w:pPr>
        <w:pStyle w:val="ListParagraph"/>
        <w:numPr>
          <w:ilvl w:val="0"/>
          <w:numId w:val="134"/>
        </w:numPr>
        <w:tabs>
          <w:tab w:pos="1329" w:val="left" w:leader="none"/>
          <w:tab w:pos="1330" w:val="left" w:leader="none"/>
        </w:tabs>
        <w:spacing w:line="240" w:lineRule="auto" w:before="184" w:after="0"/>
        <w:ind w:left="1329" w:right="0" w:hanging="355"/>
        <w:jc w:val="left"/>
        <w:rPr>
          <w:sz w:val="38"/>
        </w:rPr>
      </w:pPr>
      <w:r>
        <w:rPr>
          <w:sz w:val="38"/>
        </w:rPr>
        <w:t>Moderate complaint =</w:t>
      </w:r>
      <w:r>
        <w:rPr>
          <w:spacing w:val="-1"/>
          <w:sz w:val="38"/>
        </w:rPr>
        <w:t> </w:t>
      </w:r>
      <w:r>
        <w:rPr>
          <w:sz w:val="38"/>
        </w:rPr>
        <w:t>2</w:t>
      </w:r>
    </w:p>
    <w:p>
      <w:pPr>
        <w:pStyle w:val="ListParagraph"/>
        <w:numPr>
          <w:ilvl w:val="0"/>
          <w:numId w:val="134"/>
        </w:numPr>
        <w:tabs>
          <w:tab w:pos="1329" w:val="left" w:leader="none"/>
          <w:tab w:pos="1330" w:val="left" w:leader="none"/>
        </w:tabs>
        <w:spacing w:line="240" w:lineRule="auto" w:before="184" w:after="0"/>
        <w:ind w:left="1329" w:right="0" w:hanging="355"/>
        <w:jc w:val="left"/>
        <w:rPr>
          <w:sz w:val="38"/>
        </w:rPr>
      </w:pPr>
      <w:r>
        <w:rPr>
          <w:sz w:val="38"/>
        </w:rPr>
        <w:t>Serious complaint = 3</w:t>
      </w:r>
    </w:p>
    <w:p>
      <w:pPr>
        <w:pStyle w:val="BodyText"/>
        <w:spacing w:line="276" w:lineRule="auto" w:before="302"/>
        <w:ind w:left="616" w:right="141"/>
        <w:jc w:val="both"/>
      </w:pPr>
      <w:r>
        <w:rPr/>
        <w:t>The evaluation showed that the administration of base mineral powders had numerous positive influences both on the subjective feelings of study partici- pants as well as on the objective laboratory values.</w:t>
      </w:r>
    </w:p>
    <w:p>
      <w:pPr>
        <w:pStyle w:val="BodyText"/>
        <w:spacing w:line="278" w:lineRule="auto" w:before="241"/>
        <w:ind w:left="616" w:right="142"/>
        <w:jc w:val="both"/>
      </w:pPr>
      <w:r>
        <w:rPr/>
        <w:t>The average values of complaint intensity were recorded and distributed into the following five relevant modules:</w:t>
      </w:r>
    </w:p>
    <w:p>
      <w:pPr>
        <w:pStyle w:val="BodyText"/>
        <w:spacing w:line="388" w:lineRule="auto" w:before="194"/>
        <w:ind w:left="616" w:right="6169"/>
      </w:pPr>
      <w:r>
        <w:rPr/>
        <w:t>Module 1: Gastrointestinal tract Module 2: Motor system</w:t>
      </w:r>
    </w:p>
    <w:p>
      <w:pPr>
        <w:pStyle w:val="BodyText"/>
        <w:spacing w:line="388" w:lineRule="auto"/>
        <w:ind w:left="616" w:right="6169"/>
      </w:pPr>
      <w:r>
        <w:rPr/>
        <w:t>Module 3: Cardiovascular system Module 4: Fatigue tendencies Module 5: Skin</w:t>
      </w:r>
    </w:p>
    <w:p>
      <w:pPr>
        <w:pStyle w:val="BodyText"/>
        <w:spacing w:line="276" w:lineRule="auto" w:before="35"/>
        <w:ind w:left="616" w:right="133"/>
        <w:jc w:val="both"/>
      </w:pPr>
      <w:r>
        <w:rPr/>
        <w:t>This</w:t>
      </w:r>
      <w:r>
        <w:rPr>
          <w:spacing w:val="-15"/>
        </w:rPr>
        <w:t> </w:t>
      </w:r>
      <w:r>
        <w:rPr/>
        <w:t>led</w:t>
      </w:r>
      <w:r>
        <w:rPr>
          <w:spacing w:val="-16"/>
        </w:rPr>
        <w:t> </w:t>
      </w:r>
      <w:r>
        <w:rPr/>
        <w:t>to</w:t>
      </w:r>
      <w:r>
        <w:rPr>
          <w:spacing w:val="-15"/>
        </w:rPr>
        <w:t> </w:t>
      </w:r>
      <w:r>
        <w:rPr/>
        <w:t>the</w:t>
      </w:r>
      <w:r>
        <w:rPr>
          <w:spacing w:val="-14"/>
        </w:rPr>
        <w:t> </w:t>
      </w:r>
      <w:r>
        <w:rPr/>
        <w:t>determination</w:t>
      </w:r>
      <w:r>
        <w:rPr>
          <w:spacing w:val="-14"/>
        </w:rPr>
        <w:t> </w:t>
      </w:r>
      <w:r>
        <w:rPr/>
        <w:t>of</w:t>
      </w:r>
      <w:r>
        <w:rPr>
          <w:spacing w:val="-15"/>
        </w:rPr>
        <w:t> </w:t>
      </w:r>
      <w:r>
        <w:rPr/>
        <w:t>improvements</w:t>
      </w:r>
      <w:r>
        <w:rPr>
          <w:spacing w:val="-15"/>
        </w:rPr>
        <w:t> </w:t>
      </w:r>
      <w:r>
        <w:rPr/>
        <w:t>from</w:t>
      </w:r>
      <w:r>
        <w:rPr>
          <w:spacing w:val="-15"/>
        </w:rPr>
        <w:t> </w:t>
      </w:r>
      <w:r>
        <w:rPr/>
        <w:t>the</w:t>
      </w:r>
      <w:r>
        <w:rPr>
          <w:spacing w:val="-14"/>
        </w:rPr>
        <w:t> </w:t>
      </w:r>
      <w:r>
        <w:rPr/>
        <w:t>start</w:t>
      </w:r>
      <w:r>
        <w:rPr>
          <w:spacing w:val="-15"/>
        </w:rPr>
        <w:t> </w:t>
      </w:r>
      <w:r>
        <w:rPr/>
        <w:t>to</w:t>
      </w:r>
      <w:r>
        <w:rPr>
          <w:spacing w:val="-15"/>
        </w:rPr>
        <w:t> </w:t>
      </w:r>
      <w:r>
        <w:rPr/>
        <w:t>the</w:t>
      </w:r>
      <w:r>
        <w:rPr>
          <w:spacing w:val="-14"/>
        </w:rPr>
        <w:t> </w:t>
      </w:r>
      <w:r>
        <w:rPr/>
        <w:t>end</w:t>
      </w:r>
      <w:r>
        <w:rPr>
          <w:spacing w:val="-15"/>
        </w:rPr>
        <w:t> </w:t>
      </w:r>
      <w:r>
        <w:rPr/>
        <w:t>of</w:t>
      </w:r>
      <w:r>
        <w:rPr>
          <w:spacing w:val="-15"/>
        </w:rPr>
        <w:t> </w:t>
      </w:r>
      <w:r>
        <w:rPr/>
        <w:t>the study on average which was compared between the group with the base min- eral powder and the placebo group.</w:t>
      </w:r>
    </w:p>
    <w:p>
      <w:pPr>
        <w:pStyle w:val="BodyText"/>
        <w:spacing w:line="278" w:lineRule="auto" w:before="239"/>
        <w:ind w:left="616" w:right="133"/>
        <w:jc w:val="both"/>
      </w:pPr>
      <w:r>
        <w:rPr/>
        <w:t>The</w:t>
      </w:r>
      <w:r>
        <w:rPr>
          <w:spacing w:val="-5"/>
        </w:rPr>
        <w:t> </w:t>
      </w:r>
      <w:r>
        <w:rPr/>
        <w:t>individual</w:t>
      </w:r>
      <w:r>
        <w:rPr>
          <w:spacing w:val="-7"/>
        </w:rPr>
        <w:t> </w:t>
      </w:r>
      <w:r>
        <w:rPr/>
        <w:t>symptoms</w:t>
      </w:r>
      <w:r>
        <w:rPr>
          <w:spacing w:val="-4"/>
        </w:rPr>
        <w:t> </w:t>
      </w:r>
      <w:r>
        <w:rPr/>
        <w:t>of</w:t>
      </w:r>
      <w:r>
        <w:rPr>
          <w:spacing w:val="-5"/>
        </w:rPr>
        <w:t> </w:t>
      </w:r>
      <w:r>
        <w:rPr/>
        <w:t>the</w:t>
      </w:r>
      <w:r>
        <w:rPr>
          <w:spacing w:val="-7"/>
        </w:rPr>
        <w:t> </w:t>
      </w:r>
      <w:r>
        <w:rPr/>
        <w:t>verum</w:t>
      </w:r>
      <w:r>
        <w:rPr>
          <w:spacing w:val="-6"/>
        </w:rPr>
        <w:t> </w:t>
      </w:r>
      <w:r>
        <w:rPr/>
        <w:t>group</w:t>
      </w:r>
      <w:r>
        <w:rPr>
          <w:spacing w:val="-5"/>
        </w:rPr>
        <w:t> </w:t>
      </w:r>
      <w:r>
        <w:rPr/>
        <w:t>at</w:t>
      </w:r>
      <w:r>
        <w:rPr>
          <w:spacing w:val="-5"/>
        </w:rPr>
        <w:t> </w:t>
      </w:r>
      <w:r>
        <w:rPr/>
        <w:t>the</w:t>
      </w:r>
      <w:r>
        <w:rPr>
          <w:spacing w:val="-5"/>
        </w:rPr>
        <w:t> </w:t>
      </w:r>
      <w:r>
        <w:rPr/>
        <w:t>start</w:t>
      </w:r>
      <w:r>
        <w:rPr>
          <w:spacing w:val="-5"/>
        </w:rPr>
        <w:t> </w:t>
      </w:r>
      <w:r>
        <w:rPr/>
        <w:t>and</w:t>
      </w:r>
      <w:r>
        <w:rPr>
          <w:spacing w:val="-6"/>
        </w:rPr>
        <w:t> </w:t>
      </w:r>
      <w:r>
        <w:rPr/>
        <w:t>end</w:t>
      </w:r>
      <w:r>
        <w:rPr>
          <w:spacing w:val="-6"/>
        </w:rPr>
        <w:t> </w:t>
      </w:r>
      <w:r>
        <w:rPr/>
        <w:t>of</w:t>
      </w:r>
      <w:r>
        <w:rPr>
          <w:spacing w:val="-6"/>
        </w:rPr>
        <w:t> </w:t>
      </w:r>
      <w:r>
        <w:rPr/>
        <w:t>the</w:t>
      </w:r>
      <w:r>
        <w:rPr>
          <w:spacing w:val="-4"/>
        </w:rPr>
        <w:t> </w:t>
      </w:r>
      <w:r>
        <w:rPr/>
        <w:t>study in comparison to the placebo group are shown in the following</w:t>
      </w:r>
      <w:r>
        <w:rPr>
          <w:spacing w:val="-10"/>
        </w:rPr>
        <w:t> </w:t>
      </w:r>
      <w:r>
        <w:rPr/>
        <w:t>table:</w:t>
      </w:r>
    </w:p>
    <w:p>
      <w:pPr>
        <w:spacing w:after="0" w:line="278" w:lineRule="auto"/>
        <w:jc w:val="both"/>
        <w:sectPr>
          <w:pgSz w:w="14270" w:h="16850"/>
          <w:pgMar w:header="0" w:footer="404" w:top="1360" w:bottom="2080" w:left="800" w:right="1280"/>
        </w:sectPr>
      </w:pPr>
    </w:p>
    <w:p>
      <w:pPr>
        <w:pStyle w:val="BodyText"/>
        <w:ind w:left="617"/>
        <w:rPr>
          <w:sz w:val="20"/>
        </w:rPr>
      </w:pPr>
      <w:r>
        <w:rPr>
          <w:sz w:val="20"/>
        </w:rPr>
        <w:drawing>
          <wp:inline distT="0" distB="0" distL="0" distR="0">
            <wp:extent cx="5144599" cy="5966460"/>
            <wp:effectExtent l="0" t="0" r="0" b="0"/>
            <wp:docPr id="691" name="image12.png" descr=""/>
            <wp:cNvGraphicFramePr>
              <a:graphicFrameLocks noChangeAspect="1"/>
            </wp:cNvGraphicFramePr>
            <a:graphic>
              <a:graphicData uri="http://schemas.openxmlformats.org/drawingml/2006/picture">
                <pic:pic>
                  <pic:nvPicPr>
                    <pic:cNvPr id="692" name="image12.png"/>
                    <pic:cNvPicPr/>
                  </pic:nvPicPr>
                  <pic:blipFill>
                    <a:blip r:embed="rId474" cstate="print"/>
                    <a:stretch>
                      <a:fillRect/>
                    </a:stretch>
                  </pic:blipFill>
                  <pic:spPr>
                    <a:xfrm>
                      <a:off x="0" y="0"/>
                      <a:ext cx="5144599" cy="5966460"/>
                    </a:xfrm>
                    <a:prstGeom prst="rect">
                      <a:avLst/>
                    </a:prstGeom>
                  </pic:spPr>
                </pic:pic>
              </a:graphicData>
            </a:graphic>
          </wp:inline>
        </w:drawing>
      </w:r>
      <w:r>
        <w:rPr>
          <w:sz w:val="20"/>
        </w:rPr>
      </w:r>
    </w:p>
    <w:p>
      <w:pPr>
        <w:pStyle w:val="BodyText"/>
        <w:spacing w:before="1"/>
        <w:rPr>
          <w:sz w:val="25"/>
        </w:rPr>
      </w:pPr>
    </w:p>
    <w:p>
      <w:pPr>
        <w:pStyle w:val="BodyText"/>
        <w:spacing w:line="276" w:lineRule="auto" w:before="99"/>
        <w:ind w:left="616" w:right="133"/>
        <w:jc w:val="both"/>
      </w:pPr>
      <w:r>
        <w:rPr/>
        <w:t>The</w:t>
      </w:r>
      <w:r>
        <w:rPr>
          <w:spacing w:val="-13"/>
        </w:rPr>
        <w:t> </w:t>
      </w:r>
      <w:r>
        <w:rPr/>
        <w:t>intensity</w:t>
      </w:r>
      <w:r>
        <w:rPr>
          <w:spacing w:val="-13"/>
        </w:rPr>
        <w:t> </w:t>
      </w:r>
      <w:r>
        <w:rPr/>
        <w:t>of</w:t>
      </w:r>
      <w:r>
        <w:rPr>
          <w:spacing w:val="-15"/>
        </w:rPr>
        <w:t> </w:t>
      </w:r>
      <w:r>
        <w:rPr/>
        <w:t>complaints</w:t>
      </w:r>
      <w:r>
        <w:rPr>
          <w:spacing w:val="-13"/>
        </w:rPr>
        <w:t> </w:t>
      </w:r>
      <w:r>
        <w:rPr/>
        <w:t>at</w:t>
      </w:r>
      <w:r>
        <w:rPr>
          <w:spacing w:val="-14"/>
        </w:rPr>
        <w:t> </w:t>
      </w:r>
      <w:r>
        <w:rPr/>
        <w:t>the</w:t>
      </w:r>
      <w:r>
        <w:rPr>
          <w:spacing w:val="-12"/>
        </w:rPr>
        <w:t> </w:t>
      </w:r>
      <w:r>
        <w:rPr/>
        <w:t>end</w:t>
      </w:r>
      <w:r>
        <w:rPr>
          <w:spacing w:val="-13"/>
        </w:rPr>
        <w:t> </w:t>
      </w:r>
      <w:r>
        <w:rPr/>
        <w:t>of</w:t>
      </w:r>
      <w:r>
        <w:rPr>
          <w:spacing w:val="-16"/>
        </w:rPr>
        <w:t> </w:t>
      </w:r>
      <w:r>
        <w:rPr/>
        <w:t>the</w:t>
      </w:r>
      <w:r>
        <w:rPr>
          <w:spacing w:val="-12"/>
        </w:rPr>
        <w:t> </w:t>
      </w:r>
      <w:r>
        <w:rPr/>
        <w:t>study</w:t>
      </w:r>
      <w:r>
        <w:rPr>
          <w:spacing w:val="-13"/>
        </w:rPr>
        <w:t> </w:t>
      </w:r>
      <w:r>
        <w:rPr/>
        <w:t>minus</w:t>
      </w:r>
      <w:r>
        <w:rPr>
          <w:spacing w:val="-13"/>
        </w:rPr>
        <w:t> </w:t>
      </w:r>
      <w:r>
        <w:rPr/>
        <w:t>the</w:t>
      </w:r>
      <w:r>
        <w:rPr>
          <w:spacing w:val="-13"/>
        </w:rPr>
        <w:t> </w:t>
      </w:r>
      <w:r>
        <w:rPr/>
        <w:t>intensity</w:t>
      </w:r>
      <w:r>
        <w:rPr>
          <w:spacing w:val="-14"/>
        </w:rPr>
        <w:t> </w:t>
      </w:r>
      <w:r>
        <w:rPr/>
        <w:t>of</w:t>
      </w:r>
      <w:r>
        <w:rPr>
          <w:spacing w:val="-13"/>
        </w:rPr>
        <w:t> </w:t>
      </w:r>
      <w:r>
        <w:rPr/>
        <w:t>com- plaints at the start of the study (the greater the discrepancy, the greater the improvement of complaints) is shown in the following</w:t>
      </w:r>
      <w:r>
        <w:rPr>
          <w:spacing w:val="-4"/>
        </w:rPr>
        <w:t> </w:t>
      </w:r>
      <w:r>
        <w:rPr/>
        <w:t>table:</w:t>
      </w:r>
    </w:p>
    <w:p>
      <w:pPr>
        <w:spacing w:after="0" w:line="276" w:lineRule="auto"/>
        <w:jc w:val="both"/>
        <w:sectPr>
          <w:pgSz w:w="14270" w:h="16850"/>
          <w:pgMar w:header="0" w:footer="404" w:top="1420" w:bottom="2080" w:left="800" w:right="1280"/>
        </w:sectPr>
      </w:pPr>
    </w:p>
    <w:p>
      <w:pPr>
        <w:pStyle w:val="BodyText"/>
        <w:rPr>
          <w:rFonts w:ascii="Times New Roman"/>
          <w:sz w:val="20"/>
        </w:rPr>
      </w:pPr>
    </w:p>
    <w:p>
      <w:pPr>
        <w:pStyle w:val="BodyText"/>
        <w:rPr>
          <w:rFonts w:ascii="Times New Roman"/>
          <w:sz w:val="13"/>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6"/>
        <w:gridCol w:w="2568"/>
        <w:gridCol w:w="1159"/>
        <w:gridCol w:w="1080"/>
      </w:tblGrid>
      <w:tr>
        <w:trPr>
          <w:trHeight w:val="1847" w:hRule="atLeast"/>
        </w:trPr>
        <w:tc>
          <w:tcPr>
            <w:tcW w:w="1046" w:type="dxa"/>
          </w:tcPr>
          <w:p>
            <w:pPr>
              <w:pStyle w:val="TableParagraph"/>
              <w:spacing w:line="278" w:lineRule="auto"/>
              <w:ind w:left="343" w:right="169" w:hanging="147"/>
              <w:rPr>
                <w:b/>
                <w:sz w:val="28"/>
              </w:rPr>
            </w:pPr>
            <w:r>
              <w:rPr>
                <w:b/>
                <w:sz w:val="28"/>
              </w:rPr>
              <w:t>Mod- ule</w:t>
            </w:r>
          </w:p>
        </w:tc>
        <w:tc>
          <w:tcPr>
            <w:tcW w:w="2568" w:type="dxa"/>
          </w:tcPr>
          <w:p>
            <w:pPr>
              <w:pStyle w:val="TableParagraph"/>
              <w:spacing w:line="313" w:lineRule="exact"/>
              <w:ind w:left="499"/>
              <w:rPr>
                <w:b/>
                <w:sz w:val="28"/>
              </w:rPr>
            </w:pPr>
            <w:r>
              <w:rPr>
                <w:b/>
                <w:sz w:val="28"/>
              </w:rPr>
              <w:t>Complaint(s)</w:t>
            </w:r>
          </w:p>
        </w:tc>
        <w:tc>
          <w:tcPr>
            <w:tcW w:w="1159" w:type="dxa"/>
          </w:tcPr>
          <w:p>
            <w:pPr>
              <w:pStyle w:val="TableParagraph"/>
              <w:spacing w:line="278" w:lineRule="auto"/>
              <w:ind w:left="303" w:right="156" w:hanging="118"/>
              <w:rPr>
                <w:b/>
                <w:sz w:val="28"/>
              </w:rPr>
            </w:pPr>
            <w:r>
              <w:rPr>
                <w:b/>
                <w:sz w:val="28"/>
              </w:rPr>
              <w:t>Differ- ence</w:t>
            </w:r>
          </w:p>
          <w:p>
            <w:pPr>
              <w:pStyle w:val="TableParagraph"/>
              <w:spacing w:line="278" w:lineRule="auto" w:before="189"/>
              <w:ind w:left="228" w:right="78" w:hanging="120"/>
              <w:rPr>
                <w:b/>
                <w:sz w:val="28"/>
              </w:rPr>
            </w:pPr>
            <w:r>
              <w:rPr>
                <w:b/>
                <w:sz w:val="28"/>
              </w:rPr>
              <w:t>Placebo group</w:t>
            </w:r>
          </w:p>
        </w:tc>
        <w:tc>
          <w:tcPr>
            <w:tcW w:w="1080" w:type="dxa"/>
          </w:tcPr>
          <w:p>
            <w:pPr>
              <w:pStyle w:val="TableParagraph"/>
              <w:spacing w:line="276" w:lineRule="auto"/>
              <w:ind w:left="147" w:right="133"/>
              <w:jc w:val="center"/>
              <w:rPr>
                <w:b/>
                <w:sz w:val="28"/>
              </w:rPr>
            </w:pPr>
            <w:r>
              <w:rPr>
                <w:b/>
                <w:sz w:val="28"/>
              </w:rPr>
              <w:t>Differ- ence test group</w:t>
            </w:r>
          </w:p>
        </w:tc>
      </w:tr>
      <w:tr>
        <w:trPr>
          <w:trHeight w:val="925" w:hRule="atLeast"/>
        </w:trPr>
        <w:tc>
          <w:tcPr>
            <w:tcW w:w="1046" w:type="dxa"/>
          </w:tcPr>
          <w:p>
            <w:pPr>
              <w:pStyle w:val="TableParagraph"/>
              <w:spacing w:line="278" w:lineRule="auto"/>
              <w:ind w:left="107" w:right="305"/>
              <w:rPr>
                <w:sz w:val="28"/>
              </w:rPr>
            </w:pPr>
            <w:r>
              <w:rPr>
                <w:sz w:val="28"/>
              </w:rPr>
              <w:t>Mod- ule</w:t>
            </w:r>
          </w:p>
        </w:tc>
        <w:tc>
          <w:tcPr>
            <w:tcW w:w="2568" w:type="dxa"/>
          </w:tcPr>
          <w:p>
            <w:pPr>
              <w:pStyle w:val="TableParagraph"/>
              <w:spacing w:line="278" w:lineRule="auto"/>
              <w:ind w:left="108" w:right="117"/>
              <w:rPr>
                <w:sz w:val="28"/>
              </w:rPr>
            </w:pPr>
            <w:r>
              <w:rPr>
                <w:sz w:val="28"/>
              </w:rPr>
              <w:t>Heartburn/regurgita- tion (22)</w:t>
            </w:r>
          </w:p>
        </w:tc>
        <w:tc>
          <w:tcPr>
            <w:tcW w:w="1159" w:type="dxa"/>
          </w:tcPr>
          <w:p>
            <w:pPr>
              <w:pStyle w:val="TableParagraph"/>
              <w:spacing w:line="313" w:lineRule="exact"/>
              <w:ind w:left="108"/>
              <w:rPr>
                <w:sz w:val="28"/>
              </w:rPr>
            </w:pPr>
            <w:r>
              <w:rPr>
                <w:sz w:val="28"/>
              </w:rPr>
              <w:t>1.22</w:t>
            </w:r>
          </w:p>
        </w:tc>
        <w:tc>
          <w:tcPr>
            <w:tcW w:w="1080" w:type="dxa"/>
          </w:tcPr>
          <w:p>
            <w:pPr>
              <w:pStyle w:val="TableParagraph"/>
              <w:spacing w:line="313" w:lineRule="exact"/>
              <w:ind w:left="108"/>
              <w:rPr>
                <w:sz w:val="28"/>
              </w:rPr>
            </w:pPr>
            <w:r>
              <w:rPr>
                <w:sz w:val="28"/>
              </w:rPr>
              <w:t>1.63</w:t>
            </w:r>
          </w:p>
        </w:tc>
      </w:tr>
      <w:tr>
        <w:trPr>
          <w:trHeight w:val="924" w:hRule="atLeast"/>
        </w:trPr>
        <w:tc>
          <w:tcPr>
            <w:tcW w:w="1046" w:type="dxa"/>
          </w:tcPr>
          <w:p>
            <w:pPr>
              <w:pStyle w:val="TableParagraph"/>
              <w:rPr>
                <w:rFonts w:ascii="Times New Roman"/>
                <w:sz w:val="28"/>
              </w:rPr>
            </w:pPr>
          </w:p>
        </w:tc>
        <w:tc>
          <w:tcPr>
            <w:tcW w:w="2568" w:type="dxa"/>
          </w:tcPr>
          <w:p>
            <w:pPr>
              <w:pStyle w:val="TableParagraph"/>
              <w:spacing w:line="278" w:lineRule="auto"/>
              <w:ind w:left="108" w:right="105"/>
              <w:rPr>
                <w:sz w:val="28"/>
              </w:rPr>
            </w:pPr>
            <w:r>
              <w:rPr>
                <w:sz w:val="28"/>
              </w:rPr>
              <w:t>Pressure/bloatedness (41)</w:t>
            </w:r>
          </w:p>
        </w:tc>
        <w:tc>
          <w:tcPr>
            <w:tcW w:w="1159" w:type="dxa"/>
          </w:tcPr>
          <w:p>
            <w:pPr>
              <w:pStyle w:val="TableParagraph"/>
              <w:spacing w:line="313" w:lineRule="exact"/>
              <w:ind w:left="108"/>
              <w:rPr>
                <w:sz w:val="28"/>
              </w:rPr>
            </w:pPr>
            <w:r>
              <w:rPr>
                <w:sz w:val="28"/>
              </w:rPr>
              <w:t>1.27</w:t>
            </w:r>
          </w:p>
        </w:tc>
        <w:tc>
          <w:tcPr>
            <w:tcW w:w="1080" w:type="dxa"/>
          </w:tcPr>
          <w:p>
            <w:pPr>
              <w:pStyle w:val="TableParagraph"/>
              <w:spacing w:line="313" w:lineRule="exact"/>
              <w:ind w:left="108"/>
              <w:rPr>
                <w:sz w:val="28"/>
              </w:rPr>
            </w:pPr>
            <w:r>
              <w:rPr>
                <w:sz w:val="28"/>
              </w:rPr>
              <w:t>1.87*</w:t>
            </w:r>
          </w:p>
        </w:tc>
      </w:tr>
      <w:tr>
        <w:trPr>
          <w:trHeight w:val="1648" w:hRule="atLeast"/>
        </w:trPr>
        <w:tc>
          <w:tcPr>
            <w:tcW w:w="1046" w:type="dxa"/>
          </w:tcPr>
          <w:p>
            <w:pPr>
              <w:pStyle w:val="TableParagraph"/>
              <w:spacing w:line="276" w:lineRule="auto"/>
              <w:ind w:left="107" w:right="156"/>
              <w:rPr>
                <w:sz w:val="28"/>
              </w:rPr>
            </w:pPr>
            <w:r>
              <w:rPr>
                <w:sz w:val="28"/>
              </w:rPr>
              <w:t>Gas- troin- testinal tract</w:t>
            </w:r>
          </w:p>
        </w:tc>
        <w:tc>
          <w:tcPr>
            <w:tcW w:w="2568" w:type="dxa"/>
          </w:tcPr>
          <w:p>
            <w:pPr>
              <w:pStyle w:val="TableParagraph"/>
              <w:spacing w:line="313" w:lineRule="exact"/>
              <w:ind w:left="108"/>
              <w:rPr>
                <w:sz w:val="28"/>
              </w:rPr>
            </w:pPr>
            <w:r>
              <w:rPr>
                <w:sz w:val="28"/>
              </w:rPr>
              <w:t>Flatulence (46)</w:t>
            </w:r>
          </w:p>
        </w:tc>
        <w:tc>
          <w:tcPr>
            <w:tcW w:w="1159" w:type="dxa"/>
          </w:tcPr>
          <w:p>
            <w:pPr>
              <w:pStyle w:val="TableParagraph"/>
              <w:spacing w:line="313" w:lineRule="exact"/>
              <w:ind w:left="108"/>
              <w:rPr>
                <w:sz w:val="28"/>
              </w:rPr>
            </w:pPr>
            <w:r>
              <w:rPr>
                <w:sz w:val="28"/>
              </w:rPr>
              <w:t>1.10</w:t>
            </w:r>
          </w:p>
        </w:tc>
        <w:tc>
          <w:tcPr>
            <w:tcW w:w="1080" w:type="dxa"/>
          </w:tcPr>
          <w:p>
            <w:pPr>
              <w:pStyle w:val="TableParagraph"/>
              <w:spacing w:line="313" w:lineRule="exact"/>
              <w:ind w:left="108"/>
              <w:rPr>
                <w:sz w:val="28"/>
              </w:rPr>
            </w:pPr>
            <w:r>
              <w:rPr>
                <w:sz w:val="28"/>
              </w:rPr>
              <w:t>1.40</w:t>
            </w:r>
          </w:p>
        </w:tc>
      </w:tr>
      <w:tr>
        <w:trPr>
          <w:trHeight w:val="926" w:hRule="atLeast"/>
        </w:trPr>
        <w:tc>
          <w:tcPr>
            <w:tcW w:w="1046" w:type="dxa"/>
          </w:tcPr>
          <w:p>
            <w:pPr>
              <w:pStyle w:val="TableParagraph"/>
              <w:rPr>
                <w:rFonts w:ascii="Times New Roman"/>
                <w:sz w:val="28"/>
              </w:rPr>
            </w:pPr>
          </w:p>
        </w:tc>
        <w:tc>
          <w:tcPr>
            <w:tcW w:w="2568" w:type="dxa"/>
          </w:tcPr>
          <w:p>
            <w:pPr>
              <w:pStyle w:val="TableParagraph"/>
              <w:tabs>
                <w:tab w:pos="1276" w:val="left" w:leader="none"/>
              </w:tabs>
              <w:spacing w:line="278" w:lineRule="auto"/>
              <w:ind w:left="108" w:right="94"/>
              <w:rPr>
                <w:sz w:val="28"/>
              </w:rPr>
            </w:pPr>
            <w:r>
              <w:rPr>
                <w:sz w:val="28"/>
              </w:rPr>
              <w:t>Stomach</w:t>
              <w:tab/>
            </w:r>
            <w:r>
              <w:rPr>
                <w:spacing w:val="-1"/>
                <w:sz w:val="28"/>
              </w:rPr>
              <w:t>complaints </w:t>
            </w:r>
            <w:r>
              <w:rPr>
                <w:sz w:val="28"/>
              </w:rPr>
              <w:t>(17)</w:t>
            </w:r>
          </w:p>
        </w:tc>
        <w:tc>
          <w:tcPr>
            <w:tcW w:w="1159" w:type="dxa"/>
          </w:tcPr>
          <w:p>
            <w:pPr>
              <w:pStyle w:val="TableParagraph"/>
              <w:spacing w:line="313" w:lineRule="exact"/>
              <w:ind w:left="108"/>
              <w:rPr>
                <w:sz w:val="28"/>
              </w:rPr>
            </w:pPr>
            <w:r>
              <w:rPr>
                <w:sz w:val="28"/>
              </w:rPr>
              <w:t>1.50</w:t>
            </w:r>
          </w:p>
        </w:tc>
        <w:tc>
          <w:tcPr>
            <w:tcW w:w="1080" w:type="dxa"/>
          </w:tcPr>
          <w:p>
            <w:pPr>
              <w:pStyle w:val="TableParagraph"/>
              <w:spacing w:line="313" w:lineRule="exact"/>
              <w:ind w:left="108"/>
              <w:rPr>
                <w:sz w:val="28"/>
              </w:rPr>
            </w:pPr>
            <w:r>
              <w:rPr>
                <w:sz w:val="28"/>
              </w:rPr>
              <w:t>1.56</w:t>
            </w:r>
          </w:p>
        </w:tc>
      </w:tr>
      <w:tr>
        <w:trPr>
          <w:trHeight w:val="923" w:hRule="atLeast"/>
        </w:trPr>
        <w:tc>
          <w:tcPr>
            <w:tcW w:w="1046" w:type="dxa"/>
          </w:tcPr>
          <w:p>
            <w:pPr>
              <w:pStyle w:val="TableParagraph"/>
              <w:spacing w:line="278" w:lineRule="auto"/>
              <w:ind w:left="107" w:right="305"/>
              <w:rPr>
                <w:sz w:val="28"/>
              </w:rPr>
            </w:pPr>
            <w:r>
              <w:rPr>
                <w:sz w:val="28"/>
              </w:rPr>
              <w:t>Mod- ule 2</w:t>
            </w:r>
          </w:p>
        </w:tc>
        <w:tc>
          <w:tcPr>
            <w:tcW w:w="2568" w:type="dxa"/>
          </w:tcPr>
          <w:p>
            <w:pPr>
              <w:pStyle w:val="TableParagraph"/>
              <w:spacing w:line="313" w:lineRule="exact"/>
              <w:ind w:left="108"/>
              <w:rPr>
                <w:sz w:val="28"/>
              </w:rPr>
            </w:pPr>
            <w:r>
              <w:rPr>
                <w:sz w:val="28"/>
              </w:rPr>
              <w:t>Joint/limb pain (35)</w:t>
            </w:r>
          </w:p>
        </w:tc>
        <w:tc>
          <w:tcPr>
            <w:tcW w:w="1159" w:type="dxa"/>
          </w:tcPr>
          <w:p>
            <w:pPr>
              <w:pStyle w:val="TableParagraph"/>
              <w:spacing w:line="313" w:lineRule="exact"/>
              <w:ind w:left="108"/>
              <w:rPr>
                <w:sz w:val="28"/>
              </w:rPr>
            </w:pPr>
            <w:r>
              <w:rPr>
                <w:sz w:val="28"/>
              </w:rPr>
              <w:t>0.95</w:t>
            </w:r>
          </w:p>
        </w:tc>
        <w:tc>
          <w:tcPr>
            <w:tcW w:w="1080" w:type="dxa"/>
          </w:tcPr>
          <w:p>
            <w:pPr>
              <w:pStyle w:val="TableParagraph"/>
              <w:spacing w:line="313" w:lineRule="exact"/>
              <w:ind w:left="108"/>
              <w:rPr>
                <w:sz w:val="28"/>
              </w:rPr>
            </w:pPr>
            <w:r>
              <w:rPr>
                <w:sz w:val="28"/>
              </w:rPr>
              <w:t>1.81**</w:t>
            </w:r>
          </w:p>
        </w:tc>
      </w:tr>
      <w:tr>
        <w:trPr>
          <w:trHeight w:val="923" w:hRule="atLeast"/>
        </w:trPr>
        <w:tc>
          <w:tcPr>
            <w:tcW w:w="1046" w:type="dxa"/>
          </w:tcPr>
          <w:p>
            <w:pPr>
              <w:pStyle w:val="TableParagraph"/>
              <w:spacing w:line="278" w:lineRule="auto"/>
              <w:ind w:left="107" w:right="174"/>
              <w:rPr>
                <w:sz w:val="28"/>
              </w:rPr>
            </w:pPr>
            <w:r>
              <w:rPr>
                <w:sz w:val="28"/>
              </w:rPr>
              <w:t>Motor system</w:t>
            </w:r>
          </w:p>
        </w:tc>
        <w:tc>
          <w:tcPr>
            <w:tcW w:w="2568" w:type="dxa"/>
          </w:tcPr>
          <w:p>
            <w:pPr>
              <w:pStyle w:val="TableParagraph"/>
              <w:spacing w:line="278" w:lineRule="auto"/>
              <w:ind w:left="108" w:right="126"/>
              <w:rPr>
                <w:sz w:val="28"/>
              </w:rPr>
            </w:pPr>
            <w:r>
              <w:rPr>
                <w:sz w:val="28"/>
              </w:rPr>
              <w:t>Neck/shoulder/back pain (48)</w:t>
            </w:r>
          </w:p>
        </w:tc>
        <w:tc>
          <w:tcPr>
            <w:tcW w:w="1159" w:type="dxa"/>
          </w:tcPr>
          <w:p>
            <w:pPr>
              <w:pStyle w:val="TableParagraph"/>
              <w:spacing w:line="313" w:lineRule="exact"/>
              <w:ind w:left="108"/>
              <w:rPr>
                <w:sz w:val="28"/>
              </w:rPr>
            </w:pPr>
            <w:r>
              <w:rPr>
                <w:sz w:val="28"/>
              </w:rPr>
              <w:t>1.32</w:t>
            </w:r>
          </w:p>
        </w:tc>
        <w:tc>
          <w:tcPr>
            <w:tcW w:w="1080" w:type="dxa"/>
          </w:tcPr>
          <w:p>
            <w:pPr>
              <w:pStyle w:val="TableParagraph"/>
              <w:spacing w:line="313" w:lineRule="exact"/>
              <w:ind w:left="108"/>
              <w:rPr>
                <w:sz w:val="28"/>
              </w:rPr>
            </w:pPr>
            <w:r>
              <w:rPr>
                <w:sz w:val="28"/>
              </w:rPr>
              <w:t>1.69</w:t>
            </w:r>
          </w:p>
        </w:tc>
      </w:tr>
      <w:tr>
        <w:trPr>
          <w:trHeight w:val="563" w:hRule="atLeast"/>
        </w:trPr>
        <w:tc>
          <w:tcPr>
            <w:tcW w:w="1046" w:type="dxa"/>
          </w:tcPr>
          <w:p>
            <w:pPr>
              <w:pStyle w:val="TableParagraph"/>
              <w:rPr>
                <w:rFonts w:ascii="Times New Roman"/>
                <w:sz w:val="28"/>
              </w:rPr>
            </w:pPr>
          </w:p>
        </w:tc>
        <w:tc>
          <w:tcPr>
            <w:tcW w:w="2568" w:type="dxa"/>
          </w:tcPr>
          <w:p>
            <w:pPr>
              <w:pStyle w:val="TableParagraph"/>
              <w:spacing w:before="1"/>
              <w:ind w:left="108"/>
              <w:rPr>
                <w:sz w:val="28"/>
              </w:rPr>
            </w:pPr>
            <w:r>
              <w:rPr>
                <w:sz w:val="28"/>
              </w:rPr>
              <w:t>Headache (29)</w:t>
            </w:r>
          </w:p>
        </w:tc>
        <w:tc>
          <w:tcPr>
            <w:tcW w:w="1159" w:type="dxa"/>
          </w:tcPr>
          <w:p>
            <w:pPr>
              <w:pStyle w:val="TableParagraph"/>
              <w:spacing w:before="1"/>
              <w:ind w:left="108"/>
              <w:rPr>
                <w:sz w:val="28"/>
              </w:rPr>
            </w:pPr>
            <w:r>
              <w:rPr>
                <w:sz w:val="28"/>
              </w:rPr>
              <w:t>1.70</w:t>
            </w:r>
          </w:p>
        </w:tc>
        <w:tc>
          <w:tcPr>
            <w:tcW w:w="1080" w:type="dxa"/>
          </w:tcPr>
          <w:p>
            <w:pPr>
              <w:pStyle w:val="TableParagraph"/>
              <w:spacing w:before="1"/>
              <w:ind w:left="108"/>
              <w:rPr>
                <w:sz w:val="28"/>
              </w:rPr>
            </w:pPr>
            <w:r>
              <w:rPr>
                <w:sz w:val="28"/>
              </w:rPr>
              <w:t>1.50</w:t>
            </w:r>
          </w:p>
        </w:tc>
      </w:tr>
      <w:tr>
        <w:trPr>
          <w:trHeight w:val="923" w:hRule="atLeast"/>
        </w:trPr>
        <w:tc>
          <w:tcPr>
            <w:tcW w:w="1046" w:type="dxa"/>
          </w:tcPr>
          <w:p>
            <w:pPr>
              <w:pStyle w:val="TableParagraph"/>
              <w:spacing w:line="278" w:lineRule="auto"/>
              <w:ind w:left="107" w:right="305"/>
              <w:rPr>
                <w:sz w:val="28"/>
              </w:rPr>
            </w:pPr>
            <w:r>
              <w:rPr>
                <w:sz w:val="28"/>
              </w:rPr>
              <w:t>Mod- ule 3</w:t>
            </w:r>
          </w:p>
        </w:tc>
        <w:tc>
          <w:tcPr>
            <w:tcW w:w="2568" w:type="dxa"/>
          </w:tcPr>
          <w:p>
            <w:pPr>
              <w:pStyle w:val="TableParagraph"/>
              <w:spacing w:line="278" w:lineRule="auto"/>
              <w:ind w:left="108" w:right="359"/>
              <w:rPr>
                <w:sz w:val="28"/>
              </w:rPr>
            </w:pPr>
            <w:r>
              <w:rPr>
                <w:sz w:val="28"/>
              </w:rPr>
              <w:t>Palpitations/tachy- cardia (21)</w:t>
            </w:r>
          </w:p>
        </w:tc>
        <w:tc>
          <w:tcPr>
            <w:tcW w:w="1159" w:type="dxa"/>
          </w:tcPr>
          <w:p>
            <w:pPr>
              <w:pStyle w:val="TableParagraph"/>
              <w:spacing w:line="313" w:lineRule="exact"/>
              <w:ind w:left="108"/>
              <w:rPr>
                <w:sz w:val="28"/>
              </w:rPr>
            </w:pPr>
            <w:r>
              <w:rPr>
                <w:sz w:val="28"/>
              </w:rPr>
              <w:t>0.91</w:t>
            </w:r>
          </w:p>
        </w:tc>
        <w:tc>
          <w:tcPr>
            <w:tcW w:w="1080" w:type="dxa"/>
          </w:tcPr>
          <w:p>
            <w:pPr>
              <w:pStyle w:val="TableParagraph"/>
              <w:spacing w:line="313" w:lineRule="exact"/>
              <w:ind w:left="108"/>
              <w:rPr>
                <w:sz w:val="28"/>
              </w:rPr>
            </w:pPr>
            <w:r>
              <w:rPr>
                <w:sz w:val="28"/>
              </w:rPr>
              <w:t>1.70**</w:t>
            </w:r>
          </w:p>
        </w:tc>
      </w:tr>
      <w:tr>
        <w:trPr>
          <w:trHeight w:val="564" w:hRule="atLeast"/>
        </w:trPr>
        <w:tc>
          <w:tcPr>
            <w:tcW w:w="1046" w:type="dxa"/>
          </w:tcPr>
          <w:p>
            <w:pPr>
              <w:pStyle w:val="TableParagraph"/>
              <w:rPr>
                <w:rFonts w:ascii="Times New Roman"/>
                <w:sz w:val="28"/>
              </w:rPr>
            </w:pPr>
          </w:p>
        </w:tc>
        <w:tc>
          <w:tcPr>
            <w:tcW w:w="2568" w:type="dxa"/>
          </w:tcPr>
          <w:p>
            <w:pPr>
              <w:pStyle w:val="TableParagraph"/>
              <w:spacing w:line="313" w:lineRule="exact"/>
              <w:ind w:left="108"/>
              <w:rPr>
                <w:sz w:val="28"/>
              </w:rPr>
            </w:pPr>
            <w:r>
              <w:rPr>
                <w:sz w:val="28"/>
              </w:rPr>
              <w:t>Arrhythmia (15)</w:t>
            </w:r>
          </w:p>
        </w:tc>
        <w:tc>
          <w:tcPr>
            <w:tcW w:w="1159" w:type="dxa"/>
          </w:tcPr>
          <w:p>
            <w:pPr>
              <w:pStyle w:val="TableParagraph"/>
              <w:spacing w:line="313" w:lineRule="exact"/>
              <w:ind w:left="108"/>
              <w:rPr>
                <w:sz w:val="28"/>
              </w:rPr>
            </w:pPr>
            <w:r>
              <w:rPr>
                <w:sz w:val="28"/>
              </w:rPr>
              <w:t>0.88</w:t>
            </w:r>
          </w:p>
        </w:tc>
        <w:tc>
          <w:tcPr>
            <w:tcW w:w="1080" w:type="dxa"/>
          </w:tcPr>
          <w:p>
            <w:pPr>
              <w:pStyle w:val="TableParagraph"/>
              <w:spacing w:line="313" w:lineRule="exact"/>
              <w:ind w:left="108"/>
              <w:rPr>
                <w:sz w:val="28"/>
              </w:rPr>
            </w:pPr>
            <w:r>
              <w:rPr>
                <w:sz w:val="28"/>
              </w:rPr>
              <w:t>1.57</w:t>
            </w:r>
          </w:p>
        </w:tc>
      </w:tr>
      <w:tr>
        <w:trPr>
          <w:trHeight w:val="923" w:hRule="atLeast"/>
        </w:trPr>
        <w:tc>
          <w:tcPr>
            <w:tcW w:w="1046" w:type="dxa"/>
          </w:tcPr>
          <w:p>
            <w:pPr>
              <w:pStyle w:val="TableParagraph"/>
              <w:spacing w:line="276" w:lineRule="auto"/>
              <w:ind w:left="107" w:right="106"/>
              <w:rPr>
                <w:sz w:val="28"/>
              </w:rPr>
            </w:pPr>
            <w:r>
              <w:rPr>
                <w:sz w:val="28"/>
              </w:rPr>
              <w:t>Cardio- vascu-</w:t>
            </w:r>
          </w:p>
        </w:tc>
        <w:tc>
          <w:tcPr>
            <w:tcW w:w="2568" w:type="dxa"/>
          </w:tcPr>
          <w:p>
            <w:pPr>
              <w:pStyle w:val="TableParagraph"/>
              <w:spacing w:line="278" w:lineRule="auto"/>
              <w:ind w:left="108"/>
              <w:rPr>
                <w:sz w:val="28"/>
              </w:rPr>
            </w:pPr>
            <w:r>
              <w:rPr>
                <w:sz w:val="28"/>
              </w:rPr>
              <w:t>Pressure on the chest (18)</w:t>
            </w:r>
          </w:p>
        </w:tc>
        <w:tc>
          <w:tcPr>
            <w:tcW w:w="1159" w:type="dxa"/>
          </w:tcPr>
          <w:p>
            <w:pPr>
              <w:pStyle w:val="TableParagraph"/>
              <w:spacing w:line="313" w:lineRule="exact"/>
              <w:ind w:left="108"/>
              <w:rPr>
                <w:sz w:val="28"/>
              </w:rPr>
            </w:pPr>
            <w:r>
              <w:rPr>
                <w:sz w:val="28"/>
              </w:rPr>
              <w:t>1.22</w:t>
            </w:r>
          </w:p>
        </w:tc>
        <w:tc>
          <w:tcPr>
            <w:tcW w:w="1080" w:type="dxa"/>
          </w:tcPr>
          <w:p>
            <w:pPr>
              <w:pStyle w:val="TableParagraph"/>
              <w:spacing w:line="313" w:lineRule="exact"/>
              <w:ind w:left="108"/>
              <w:rPr>
                <w:sz w:val="28"/>
              </w:rPr>
            </w:pPr>
            <w:r>
              <w:rPr>
                <w:sz w:val="28"/>
              </w:rPr>
              <w:t>1.56</w:t>
            </w:r>
          </w:p>
        </w:tc>
      </w:tr>
    </w:tbl>
    <w:p>
      <w:pPr>
        <w:spacing w:after="0" w:line="313" w:lineRule="exact"/>
        <w:rPr>
          <w:sz w:val="28"/>
        </w:rPr>
        <w:sectPr>
          <w:pgSz w:w="14270" w:h="16850"/>
          <w:pgMar w:header="0" w:footer="404" w:top="1600" w:bottom="600" w:left="800" w:right="1280"/>
        </w:sect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6"/>
        <w:gridCol w:w="2568"/>
        <w:gridCol w:w="1159"/>
        <w:gridCol w:w="1080"/>
      </w:tblGrid>
      <w:tr>
        <w:trPr>
          <w:trHeight w:val="926" w:hRule="atLeast"/>
        </w:trPr>
        <w:tc>
          <w:tcPr>
            <w:tcW w:w="1046" w:type="dxa"/>
          </w:tcPr>
          <w:p>
            <w:pPr>
              <w:pStyle w:val="TableParagraph"/>
              <w:spacing w:line="278" w:lineRule="auto"/>
              <w:ind w:left="107" w:right="106"/>
              <w:rPr>
                <w:sz w:val="28"/>
              </w:rPr>
            </w:pPr>
            <w:r>
              <w:rPr>
                <w:sz w:val="28"/>
              </w:rPr>
              <w:t>lar sys- tem</w:t>
            </w:r>
          </w:p>
        </w:tc>
        <w:tc>
          <w:tcPr>
            <w:tcW w:w="2568" w:type="dxa"/>
          </w:tcPr>
          <w:p>
            <w:pPr>
              <w:pStyle w:val="TableParagraph"/>
              <w:rPr>
                <w:rFonts w:ascii="Times New Roman"/>
                <w:sz w:val="28"/>
              </w:rPr>
            </w:pPr>
          </w:p>
        </w:tc>
        <w:tc>
          <w:tcPr>
            <w:tcW w:w="1159" w:type="dxa"/>
          </w:tcPr>
          <w:p>
            <w:pPr>
              <w:pStyle w:val="TableParagraph"/>
              <w:rPr>
                <w:rFonts w:ascii="Times New Roman"/>
                <w:sz w:val="28"/>
              </w:rPr>
            </w:pPr>
          </w:p>
        </w:tc>
        <w:tc>
          <w:tcPr>
            <w:tcW w:w="1080" w:type="dxa"/>
          </w:tcPr>
          <w:p>
            <w:pPr>
              <w:pStyle w:val="TableParagraph"/>
              <w:rPr>
                <w:rFonts w:ascii="Times New Roman"/>
                <w:sz w:val="28"/>
              </w:rPr>
            </w:pPr>
          </w:p>
        </w:tc>
      </w:tr>
      <w:tr>
        <w:trPr>
          <w:trHeight w:val="561" w:hRule="atLeast"/>
        </w:trPr>
        <w:tc>
          <w:tcPr>
            <w:tcW w:w="1046" w:type="dxa"/>
          </w:tcPr>
          <w:p>
            <w:pPr>
              <w:pStyle w:val="TableParagraph"/>
              <w:rPr>
                <w:rFonts w:ascii="Times New Roman"/>
                <w:sz w:val="28"/>
              </w:rPr>
            </w:pPr>
          </w:p>
        </w:tc>
        <w:tc>
          <w:tcPr>
            <w:tcW w:w="2568" w:type="dxa"/>
          </w:tcPr>
          <w:p>
            <w:pPr>
              <w:pStyle w:val="TableParagraph"/>
              <w:spacing w:line="309" w:lineRule="exact"/>
              <w:ind w:left="108"/>
              <w:rPr>
                <w:sz w:val="28"/>
              </w:rPr>
            </w:pPr>
            <w:r>
              <w:rPr>
                <w:sz w:val="28"/>
              </w:rPr>
              <w:t>Dizziness (27)</w:t>
            </w:r>
          </w:p>
        </w:tc>
        <w:tc>
          <w:tcPr>
            <w:tcW w:w="1159" w:type="dxa"/>
          </w:tcPr>
          <w:p>
            <w:pPr>
              <w:pStyle w:val="TableParagraph"/>
              <w:spacing w:line="309" w:lineRule="exact"/>
              <w:ind w:left="108"/>
              <w:rPr>
                <w:sz w:val="28"/>
              </w:rPr>
            </w:pPr>
            <w:r>
              <w:rPr>
                <w:sz w:val="28"/>
              </w:rPr>
              <w:t>0.93</w:t>
            </w:r>
          </w:p>
        </w:tc>
        <w:tc>
          <w:tcPr>
            <w:tcW w:w="1080" w:type="dxa"/>
          </w:tcPr>
          <w:p>
            <w:pPr>
              <w:pStyle w:val="TableParagraph"/>
              <w:spacing w:line="309" w:lineRule="exact"/>
              <w:ind w:left="108"/>
              <w:rPr>
                <w:sz w:val="28"/>
              </w:rPr>
            </w:pPr>
            <w:r>
              <w:rPr>
                <w:sz w:val="28"/>
              </w:rPr>
              <w:t>0.84</w:t>
            </w:r>
          </w:p>
        </w:tc>
      </w:tr>
      <w:tr>
        <w:trPr>
          <w:trHeight w:val="925" w:hRule="atLeast"/>
        </w:trPr>
        <w:tc>
          <w:tcPr>
            <w:tcW w:w="1046" w:type="dxa"/>
          </w:tcPr>
          <w:p>
            <w:pPr>
              <w:pStyle w:val="TableParagraph"/>
              <w:spacing w:line="278" w:lineRule="auto"/>
              <w:ind w:left="107" w:right="305"/>
              <w:rPr>
                <w:sz w:val="28"/>
              </w:rPr>
            </w:pPr>
            <w:r>
              <w:rPr>
                <w:sz w:val="28"/>
              </w:rPr>
              <w:t>Mod- ule 4</w:t>
            </w:r>
          </w:p>
        </w:tc>
        <w:tc>
          <w:tcPr>
            <w:tcW w:w="2568" w:type="dxa"/>
          </w:tcPr>
          <w:p>
            <w:pPr>
              <w:pStyle w:val="TableParagraph"/>
              <w:spacing w:line="278" w:lineRule="auto"/>
              <w:ind w:left="108" w:right="321"/>
              <w:rPr>
                <w:sz w:val="28"/>
              </w:rPr>
            </w:pPr>
            <w:r>
              <w:rPr>
                <w:sz w:val="28"/>
              </w:rPr>
              <w:t>Fatigue/exhaustion (50)</w:t>
            </w:r>
          </w:p>
        </w:tc>
        <w:tc>
          <w:tcPr>
            <w:tcW w:w="1159" w:type="dxa"/>
          </w:tcPr>
          <w:p>
            <w:pPr>
              <w:pStyle w:val="TableParagraph"/>
              <w:spacing w:line="309" w:lineRule="exact"/>
              <w:ind w:left="108"/>
              <w:rPr>
                <w:sz w:val="28"/>
              </w:rPr>
            </w:pPr>
            <w:r>
              <w:rPr>
                <w:sz w:val="28"/>
              </w:rPr>
              <w:t>1.28</w:t>
            </w:r>
          </w:p>
        </w:tc>
        <w:tc>
          <w:tcPr>
            <w:tcW w:w="1080" w:type="dxa"/>
          </w:tcPr>
          <w:p>
            <w:pPr>
              <w:pStyle w:val="TableParagraph"/>
              <w:spacing w:line="309" w:lineRule="exact"/>
              <w:ind w:left="108"/>
              <w:rPr>
                <w:sz w:val="28"/>
              </w:rPr>
            </w:pPr>
            <w:r>
              <w:rPr>
                <w:sz w:val="28"/>
              </w:rPr>
              <w:t>1.71</w:t>
            </w:r>
          </w:p>
        </w:tc>
      </w:tr>
      <w:tr>
        <w:trPr>
          <w:trHeight w:val="561" w:hRule="atLeast"/>
        </w:trPr>
        <w:tc>
          <w:tcPr>
            <w:tcW w:w="1046" w:type="dxa"/>
          </w:tcPr>
          <w:p>
            <w:pPr>
              <w:pStyle w:val="TableParagraph"/>
              <w:rPr>
                <w:rFonts w:ascii="Times New Roman"/>
                <w:sz w:val="28"/>
              </w:rPr>
            </w:pPr>
          </w:p>
        </w:tc>
        <w:tc>
          <w:tcPr>
            <w:tcW w:w="2568" w:type="dxa"/>
          </w:tcPr>
          <w:p>
            <w:pPr>
              <w:pStyle w:val="TableParagraph"/>
              <w:spacing w:line="309" w:lineRule="exact"/>
              <w:ind w:left="108"/>
              <w:rPr>
                <w:sz w:val="28"/>
              </w:rPr>
            </w:pPr>
            <w:r>
              <w:rPr>
                <w:sz w:val="28"/>
              </w:rPr>
              <w:t>Sleep disorders (32)</w:t>
            </w:r>
          </w:p>
        </w:tc>
        <w:tc>
          <w:tcPr>
            <w:tcW w:w="1159" w:type="dxa"/>
          </w:tcPr>
          <w:p>
            <w:pPr>
              <w:pStyle w:val="TableParagraph"/>
              <w:spacing w:line="309" w:lineRule="exact"/>
              <w:ind w:left="108"/>
              <w:rPr>
                <w:sz w:val="28"/>
              </w:rPr>
            </w:pPr>
            <w:r>
              <w:rPr>
                <w:sz w:val="28"/>
              </w:rPr>
              <w:t>0.84</w:t>
            </w:r>
          </w:p>
        </w:tc>
        <w:tc>
          <w:tcPr>
            <w:tcW w:w="1080" w:type="dxa"/>
          </w:tcPr>
          <w:p>
            <w:pPr>
              <w:pStyle w:val="TableParagraph"/>
              <w:spacing w:line="309" w:lineRule="exact"/>
              <w:ind w:left="108"/>
              <w:rPr>
                <w:sz w:val="28"/>
              </w:rPr>
            </w:pPr>
            <w:r>
              <w:rPr>
                <w:sz w:val="28"/>
              </w:rPr>
              <w:t>1.62**</w:t>
            </w:r>
          </w:p>
        </w:tc>
      </w:tr>
      <w:tr>
        <w:trPr>
          <w:trHeight w:val="1286" w:hRule="atLeast"/>
        </w:trPr>
        <w:tc>
          <w:tcPr>
            <w:tcW w:w="1046" w:type="dxa"/>
          </w:tcPr>
          <w:p>
            <w:pPr>
              <w:pStyle w:val="TableParagraph"/>
              <w:spacing w:line="278" w:lineRule="auto"/>
              <w:ind w:left="107" w:right="96"/>
              <w:jc w:val="both"/>
              <w:rPr>
                <w:sz w:val="28"/>
              </w:rPr>
            </w:pPr>
            <w:r>
              <w:rPr>
                <w:sz w:val="28"/>
              </w:rPr>
              <w:t>Fatigue tenden- cies</w:t>
            </w:r>
          </w:p>
        </w:tc>
        <w:tc>
          <w:tcPr>
            <w:tcW w:w="2568" w:type="dxa"/>
          </w:tcPr>
          <w:p>
            <w:pPr>
              <w:pStyle w:val="TableParagraph"/>
              <w:spacing w:line="278" w:lineRule="auto"/>
              <w:ind w:left="108" w:right="82"/>
              <w:rPr>
                <w:sz w:val="28"/>
              </w:rPr>
            </w:pPr>
            <w:r>
              <w:rPr>
                <w:sz w:val="28"/>
              </w:rPr>
              <w:t>Difficulty concentrat- ing (40)</w:t>
            </w:r>
          </w:p>
        </w:tc>
        <w:tc>
          <w:tcPr>
            <w:tcW w:w="1159" w:type="dxa"/>
          </w:tcPr>
          <w:p>
            <w:pPr>
              <w:pStyle w:val="TableParagraph"/>
              <w:spacing w:line="309" w:lineRule="exact"/>
              <w:ind w:left="108"/>
              <w:rPr>
                <w:sz w:val="28"/>
              </w:rPr>
            </w:pPr>
            <w:r>
              <w:rPr>
                <w:sz w:val="28"/>
              </w:rPr>
              <w:t>0.74</w:t>
            </w:r>
          </w:p>
        </w:tc>
        <w:tc>
          <w:tcPr>
            <w:tcW w:w="1080" w:type="dxa"/>
          </w:tcPr>
          <w:p>
            <w:pPr>
              <w:pStyle w:val="TableParagraph"/>
              <w:spacing w:line="309" w:lineRule="exact"/>
              <w:ind w:left="108"/>
              <w:rPr>
                <w:sz w:val="28"/>
              </w:rPr>
            </w:pPr>
            <w:r>
              <w:rPr>
                <w:sz w:val="28"/>
              </w:rPr>
              <w:t>1.29**</w:t>
            </w:r>
          </w:p>
        </w:tc>
      </w:tr>
      <w:tr>
        <w:trPr>
          <w:trHeight w:val="925" w:hRule="atLeast"/>
        </w:trPr>
        <w:tc>
          <w:tcPr>
            <w:tcW w:w="1046" w:type="dxa"/>
          </w:tcPr>
          <w:p>
            <w:pPr>
              <w:pStyle w:val="TableParagraph"/>
              <w:rPr>
                <w:rFonts w:ascii="Times New Roman"/>
                <w:sz w:val="28"/>
              </w:rPr>
            </w:pPr>
          </w:p>
        </w:tc>
        <w:tc>
          <w:tcPr>
            <w:tcW w:w="2568" w:type="dxa"/>
          </w:tcPr>
          <w:p>
            <w:pPr>
              <w:pStyle w:val="TableParagraph"/>
              <w:tabs>
                <w:tab w:pos="1561" w:val="left" w:leader="none"/>
              </w:tabs>
              <w:spacing w:line="276" w:lineRule="auto"/>
              <w:ind w:left="108" w:right="94"/>
              <w:rPr>
                <w:sz w:val="28"/>
              </w:rPr>
            </w:pPr>
            <w:r>
              <w:rPr>
                <w:sz w:val="28"/>
              </w:rPr>
              <w:t>Reduced</w:t>
              <w:tab/>
            </w:r>
            <w:r>
              <w:rPr>
                <w:spacing w:val="-1"/>
                <w:sz w:val="28"/>
              </w:rPr>
              <w:t>memory </w:t>
            </w:r>
            <w:r>
              <w:rPr>
                <w:sz w:val="28"/>
              </w:rPr>
              <w:t>performance</w:t>
            </w:r>
            <w:r>
              <w:rPr>
                <w:spacing w:val="1"/>
                <w:sz w:val="28"/>
              </w:rPr>
              <w:t> </w:t>
            </w:r>
            <w:r>
              <w:rPr>
                <w:sz w:val="28"/>
              </w:rPr>
              <w:t>(33)</w:t>
            </w:r>
          </w:p>
        </w:tc>
        <w:tc>
          <w:tcPr>
            <w:tcW w:w="1159" w:type="dxa"/>
          </w:tcPr>
          <w:p>
            <w:pPr>
              <w:pStyle w:val="TableParagraph"/>
              <w:spacing w:line="311" w:lineRule="exact"/>
              <w:ind w:left="108"/>
              <w:rPr>
                <w:sz w:val="28"/>
              </w:rPr>
            </w:pPr>
            <w:r>
              <w:rPr>
                <w:sz w:val="28"/>
              </w:rPr>
              <w:t>0.82</w:t>
            </w:r>
          </w:p>
        </w:tc>
        <w:tc>
          <w:tcPr>
            <w:tcW w:w="1080" w:type="dxa"/>
          </w:tcPr>
          <w:p>
            <w:pPr>
              <w:pStyle w:val="TableParagraph"/>
              <w:spacing w:line="311" w:lineRule="exact"/>
              <w:ind w:left="108"/>
              <w:rPr>
                <w:sz w:val="28"/>
              </w:rPr>
            </w:pPr>
            <w:r>
              <w:rPr>
                <w:sz w:val="28"/>
              </w:rPr>
              <w:t>1.25</w:t>
            </w:r>
          </w:p>
        </w:tc>
      </w:tr>
      <w:tr>
        <w:trPr>
          <w:trHeight w:val="923" w:hRule="atLeast"/>
        </w:trPr>
        <w:tc>
          <w:tcPr>
            <w:tcW w:w="1046" w:type="dxa"/>
          </w:tcPr>
          <w:p>
            <w:pPr>
              <w:pStyle w:val="TableParagraph"/>
              <w:spacing w:line="278" w:lineRule="auto"/>
              <w:ind w:left="107" w:right="305"/>
              <w:rPr>
                <w:sz w:val="28"/>
              </w:rPr>
            </w:pPr>
            <w:r>
              <w:rPr>
                <w:sz w:val="28"/>
              </w:rPr>
              <w:t>Mod- ule 5</w:t>
            </w:r>
          </w:p>
        </w:tc>
        <w:tc>
          <w:tcPr>
            <w:tcW w:w="2568" w:type="dxa"/>
          </w:tcPr>
          <w:p>
            <w:pPr>
              <w:pStyle w:val="TableParagraph"/>
              <w:spacing w:line="309" w:lineRule="exact"/>
              <w:ind w:left="108"/>
              <w:rPr>
                <w:sz w:val="28"/>
              </w:rPr>
            </w:pPr>
            <w:r>
              <w:rPr>
                <w:sz w:val="28"/>
              </w:rPr>
              <w:t>Itchiness (16)</w:t>
            </w:r>
          </w:p>
        </w:tc>
        <w:tc>
          <w:tcPr>
            <w:tcW w:w="1159" w:type="dxa"/>
          </w:tcPr>
          <w:p>
            <w:pPr>
              <w:pStyle w:val="TableParagraph"/>
              <w:spacing w:line="309" w:lineRule="exact"/>
              <w:ind w:left="108"/>
              <w:rPr>
                <w:sz w:val="28"/>
              </w:rPr>
            </w:pPr>
            <w:r>
              <w:rPr>
                <w:sz w:val="28"/>
              </w:rPr>
              <w:t>0.83</w:t>
            </w:r>
          </w:p>
        </w:tc>
        <w:tc>
          <w:tcPr>
            <w:tcW w:w="1080" w:type="dxa"/>
          </w:tcPr>
          <w:p>
            <w:pPr>
              <w:pStyle w:val="TableParagraph"/>
              <w:spacing w:line="309" w:lineRule="exact"/>
              <w:ind w:left="108"/>
              <w:rPr>
                <w:sz w:val="28"/>
              </w:rPr>
            </w:pPr>
            <w:r>
              <w:rPr>
                <w:sz w:val="28"/>
              </w:rPr>
              <w:t>1.70*</w:t>
            </w:r>
          </w:p>
        </w:tc>
      </w:tr>
      <w:tr>
        <w:trPr>
          <w:trHeight w:val="563" w:hRule="atLeast"/>
        </w:trPr>
        <w:tc>
          <w:tcPr>
            <w:tcW w:w="1046" w:type="dxa"/>
          </w:tcPr>
          <w:p>
            <w:pPr>
              <w:pStyle w:val="TableParagraph"/>
              <w:rPr>
                <w:rFonts w:ascii="Times New Roman"/>
                <w:sz w:val="28"/>
              </w:rPr>
            </w:pPr>
          </w:p>
        </w:tc>
        <w:tc>
          <w:tcPr>
            <w:tcW w:w="2568" w:type="dxa"/>
          </w:tcPr>
          <w:p>
            <w:pPr>
              <w:pStyle w:val="TableParagraph"/>
              <w:spacing w:line="309" w:lineRule="exact"/>
              <w:ind w:left="108"/>
              <w:rPr>
                <w:sz w:val="28"/>
              </w:rPr>
            </w:pPr>
            <w:r>
              <w:rPr>
                <w:sz w:val="28"/>
              </w:rPr>
              <w:t>Skin rash (18)</w:t>
            </w:r>
          </w:p>
        </w:tc>
        <w:tc>
          <w:tcPr>
            <w:tcW w:w="1159" w:type="dxa"/>
          </w:tcPr>
          <w:p>
            <w:pPr>
              <w:pStyle w:val="TableParagraph"/>
              <w:spacing w:line="309" w:lineRule="exact"/>
              <w:ind w:left="108"/>
              <w:rPr>
                <w:sz w:val="28"/>
              </w:rPr>
            </w:pPr>
            <w:r>
              <w:rPr>
                <w:sz w:val="28"/>
              </w:rPr>
              <w:t>1.33</w:t>
            </w:r>
          </w:p>
        </w:tc>
        <w:tc>
          <w:tcPr>
            <w:tcW w:w="1080" w:type="dxa"/>
          </w:tcPr>
          <w:p>
            <w:pPr>
              <w:pStyle w:val="TableParagraph"/>
              <w:spacing w:line="309" w:lineRule="exact"/>
              <w:ind w:left="108"/>
              <w:rPr>
                <w:sz w:val="28"/>
              </w:rPr>
            </w:pPr>
            <w:r>
              <w:rPr>
                <w:sz w:val="28"/>
              </w:rPr>
              <w:t>1.50</w:t>
            </w:r>
          </w:p>
        </w:tc>
      </w:tr>
      <w:tr>
        <w:trPr>
          <w:trHeight w:val="923" w:hRule="atLeast"/>
        </w:trPr>
        <w:tc>
          <w:tcPr>
            <w:tcW w:w="1046" w:type="dxa"/>
          </w:tcPr>
          <w:p>
            <w:pPr>
              <w:pStyle w:val="TableParagraph"/>
              <w:spacing w:line="309" w:lineRule="exact"/>
              <w:ind w:left="107"/>
              <w:rPr>
                <w:sz w:val="28"/>
              </w:rPr>
            </w:pPr>
            <w:r>
              <w:rPr>
                <w:sz w:val="28"/>
              </w:rPr>
              <w:t>Skin</w:t>
            </w:r>
          </w:p>
        </w:tc>
        <w:tc>
          <w:tcPr>
            <w:tcW w:w="2568" w:type="dxa"/>
          </w:tcPr>
          <w:p>
            <w:pPr>
              <w:pStyle w:val="TableParagraph"/>
              <w:tabs>
                <w:tab w:pos="1392" w:val="left" w:leader="none"/>
              </w:tabs>
              <w:spacing w:line="278" w:lineRule="auto"/>
              <w:ind w:left="108" w:right="93"/>
              <w:rPr>
                <w:sz w:val="28"/>
              </w:rPr>
            </w:pPr>
            <w:r>
              <w:rPr>
                <w:sz w:val="28"/>
              </w:rPr>
              <w:t>Unclear</w:t>
              <w:tab/>
            </w:r>
            <w:r>
              <w:rPr>
                <w:spacing w:val="-1"/>
                <w:sz w:val="28"/>
              </w:rPr>
              <w:t>skin/acne </w:t>
            </w:r>
            <w:r>
              <w:rPr>
                <w:sz w:val="28"/>
              </w:rPr>
              <w:t>(18)</w:t>
            </w:r>
          </w:p>
        </w:tc>
        <w:tc>
          <w:tcPr>
            <w:tcW w:w="1159" w:type="dxa"/>
          </w:tcPr>
          <w:p>
            <w:pPr>
              <w:pStyle w:val="TableParagraph"/>
              <w:spacing w:line="309" w:lineRule="exact"/>
              <w:ind w:left="108"/>
              <w:rPr>
                <w:sz w:val="28"/>
              </w:rPr>
            </w:pPr>
            <w:r>
              <w:rPr>
                <w:sz w:val="28"/>
              </w:rPr>
              <w:t>1.43</w:t>
            </w:r>
          </w:p>
        </w:tc>
        <w:tc>
          <w:tcPr>
            <w:tcW w:w="1080" w:type="dxa"/>
          </w:tcPr>
          <w:p>
            <w:pPr>
              <w:pStyle w:val="TableParagraph"/>
              <w:spacing w:line="309" w:lineRule="exact"/>
              <w:ind w:left="108"/>
              <w:rPr>
                <w:sz w:val="28"/>
              </w:rPr>
            </w:pPr>
            <w:r>
              <w:rPr>
                <w:sz w:val="28"/>
              </w:rPr>
              <w:t>1.64</w:t>
            </w:r>
          </w:p>
        </w:tc>
      </w:tr>
      <w:tr>
        <w:trPr>
          <w:trHeight w:val="923" w:hRule="atLeast"/>
        </w:trPr>
        <w:tc>
          <w:tcPr>
            <w:tcW w:w="1046" w:type="dxa"/>
          </w:tcPr>
          <w:p>
            <w:pPr>
              <w:pStyle w:val="TableParagraph"/>
              <w:rPr>
                <w:rFonts w:ascii="Times New Roman"/>
                <w:sz w:val="28"/>
              </w:rPr>
            </w:pPr>
          </w:p>
        </w:tc>
        <w:tc>
          <w:tcPr>
            <w:tcW w:w="2568" w:type="dxa"/>
          </w:tcPr>
          <w:p>
            <w:pPr>
              <w:pStyle w:val="TableParagraph"/>
              <w:tabs>
                <w:tab w:pos="1528" w:val="left" w:leader="none"/>
              </w:tabs>
              <w:spacing w:line="278" w:lineRule="auto"/>
              <w:ind w:left="108" w:right="94"/>
              <w:rPr>
                <w:sz w:val="28"/>
              </w:rPr>
            </w:pPr>
            <w:r>
              <w:rPr>
                <w:sz w:val="28"/>
              </w:rPr>
              <w:t>Excessive</w:t>
              <w:tab/>
            </w:r>
            <w:r>
              <w:rPr>
                <w:spacing w:val="-1"/>
                <w:sz w:val="28"/>
              </w:rPr>
              <w:t>sweating </w:t>
            </w:r>
            <w:r>
              <w:rPr>
                <w:sz w:val="28"/>
              </w:rPr>
              <w:t>(32)</w:t>
            </w:r>
          </w:p>
        </w:tc>
        <w:tc>
          <w:tcPr>
            <w:tcW w:w="1159" w:type="dxa"/>
          </w:tcPr>
          <w:p>
            <w:pPr>
              <w:pStyle w:val="TableParagraph"/>
              <w:spacing w:line="309" w:lineRule="exact"/>
              <w:ind w:left="108"/>
              <w:rPr>
                <w:sz w:val="28"/>
              </w:rPr>
            </w:pPr>
            <w:r>
              <w:rPr>
                <w:sz w:val="28"/>
              </w:rPr>
              <w:t>1.50</w:t>
            </w:r>
          </w:p>
        </w:tc>
        <w:tc>
          <w:tcPr>
            <w:tcW w:w="1080" w:type="dxa"/>
          </w:tcPr>
          <w:p>
            <w:pPr>
              <w:pStyle w:val="TableParagraph"/>
              <w:spacing w:line="309" w:lineRule="exact"/>
              <w:ind w:left="108"/>
              <w:rPr>
                <w:sz w:val="28"/>
              </w:rPr>
            </w:pPr>
            <w:r>
              <w:rPr>
                <w:sz w:val="28"/>
              </w:rPr>
              <w:t>1.72</w:t>
            </w:r>
          </w:p>
        </w:tc>
      </w:tr>
      <w:tr>
        <w:trPr>
          <w:trHeight w:val="1288" w:hRule="atLeast"/>
        </w:trPr>
        <w:tc>
          <w:tcPr>
            <w:tcW w:w="1046" w:type="dxa"/>
          </w:tcPr>
          <w:p>
            <w:pPr>
              <w:pStyle w:val="TableParagraph"/>
              <w:rPr>
                <w:rFonts w:ascii="Times New Roman"/>
                <w:sz w:val="28"/>
              </w:rPr>
            </w:pPr>
          </w:p>
        </w:tc>
        <w:tc>
          <w:tcPr>
            <w:tcW w:w="2568" w:type="dxa"/>
          </w:tcPr>
          <w:p>
            <w:pPr>
              <w:pStyle w:val="TableParagraph"/>
              <w:spacing w:line="276" w:lineRule="auto"/>
              <w:ind w:left="108" w:right="95"/>
              <w:jc w:val="both"/>
              <w:rPr>
                <w:sz w:val="28"/>
              </w:rPr>
            </w:pPr>
            <w:r>
              <w:rPr>
                <w:sz w:val="28"/>
              </w:rPr>
              <w:t>Total difference be- tween complaint in- tensity</w:t>
            </w:r>
          </w:p>
        </w:tc>
        <w:tc>
          <w:tcPr>
            <w:tcW w:w="1159" w:type="dxa"/>
          </w:tcPr>
          <w:p>
            <w:pPr>
              <w:pStyle w:val="TableParagraph"/>
              <w:spacing w:line="309" w:lineRule="exact"/>
              <w:ind w:left="108"/>
              <w:rPr>
                <w:sz w:val="28"/>
              </w:rPr>
            </w:pPr>
            <w:r>
              <w:rPr>
                <w:sz w:val="28"/>
              </w:rPr>
              <w:t>23.07</w:t>
            </w:r>
          </w:p>
        </w:tc>
        <w:tc>
          <w:tcPr>
            <w:tcW w:w="1080" w:type="dxa"/>
          </w:tcPr>
          <w:p>
            <w:pPr>
              <w:pStyle w:val="TableParagraph"/>
              <w:spacing w:line="309" w:lineRule="exact"/>
              <w:ind w:left="108"/>
              <w:rPr>
                <w:sz w:val="28"/>
              </w:rPr>
            </w:pPr>
            <w:r>
              <w:rPr>
                <w:sz w:val="28"/>
              </w:rPr>
              <w:t>31.40</w:t>
            </w:r>
          </w:p>
        </w:tc>
      </w:tr>
    </w:tbl>
    <w:p>
      <w:pPr>
        <w:spacing w:line="306" w:lineRule="exact" w:before="0"/>
        <w:ind w:left="724" w:right="0" w:firstLine="0"/>
        <w:jc w:val="left"/>
        <w:rPr>
          <w:sz w:val="28"/>
        </w:rPr>
      </w:pPr>
      <w:r>
        <w:rPr>
          <w:sz w:val="28"/>
        </w:rPr>
        <w:t>(n)= number of people analysed significance:</w:t>
      </w:r>
      <w:r>
        <w:rPr>
          <w:spacing w:val="67"/>
          <w:sz w:val="28"/>
        </w:rPr>
        <w:t> </w:t>
      </w:r>
      <w:r>
        <w:rPr>
          <w:sz w:val="28"/>
        </w:rPr>
        <w:t>*p&lt;0.1</w:t>
      </w:r>
    </w:p>
    <w:p>
      <w:pPr>
        <w:spacing w:before="50"/>
        <w:ind w:left="724" w:right="0" w:firstLine="0"/>
        <w:jc w:val="left"/>
        <w:rPr>
          <w:sz w:val="28"/>
        </w:rPr>
      </w:pPr>
      <w:r>
        <w:rPr>
          <w:sz w:val="28"/>
        </w:rPr>
        <w:t>**p&lt;0.05</w:t>
      </w:r>
    </w:p>
    <w:p>
      <w:pPr>
        <w:spacing w:after="0"/>
        <w:jc w:val="left"/>
        <w:rPr>
          <w:sz w:val="28"/>
        </w:rPr>
        <w:sectPr>
          <w:pgSz w:w="14270" w:h="16850"/>
          <w:pgMar w:header="0" w:footer="404" w:top="1420" w:bottom="600" w:left="800" w:right="12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4"/>
        </w:rPr>
      </w:pPr>
    </w:p>
    <w:p>
      <w:pPr>
        <w:pStyle w:val="BodyText"/>
        <w:spacing w:line="278" w:lineRule="auto" w:before="99"/>
        <w:ind w:left="616"/>
      </w:pPr>
      <w:r>
        <w:rPr/>
        <w:t>The bar chart makes clear the statistically relevant improvement in almost all the symptoms in the group which was given the mineral substance mixture:</w:t>
      </w:r>
    </w:p>
    <w:p>
      <w:pPr>
        <w:pStyle w:val="BodyText"/>
        <w:spacing w:before="8"/>
        <w:rPr>
          <w:sz w:val="16"/>
        </w:rPr>
      </w:pPr>
      <w:r>
        <w:rPr/>
        <w:pict>
          <v:group style="position:absolute;margin-left:70.475594pt;margin-top:11.39559pt;width:195.45pt;height:148.2pt;mso-position-horizontal-relative:page;mso-position-vertical-relative:paragraph;z-index:14408;mso-wrap-distance-left:0;mso-wrap-distance-right:0" coordorigin="1410,228" coordsize="3909,2964">
            <v:shape style="position:absolute;left:2035;top:904;width:2962;height:1599" type="#_x0000_t75" stroked="false">
              <v:imagedata r:id="rId475" o:title=""/>
            </v:shape>
            <v:shape style="position:absolute;left:1417;top:235;width:3894;height:2949" type="#_x0000_t202" filled="false" stroked="true" strokeweight=".74882pt" strokecolor="#d9d9d9">
              <v:textbox inset="0,0,0,0">
                <w:txbxContent>
                  <w:p>
                    <w:pPr>
                      <w:spacing w:before="143"/>
                      <w:ind w:left="655" w:right="0" w:firstLine="0"/>
                      <w:jc w:val="left"/>
                      <w:rPr>
                        <w:b/>
                        <w:sz w:val="24"/>
                      </w:rPr>
                    </w:pPr>
                    <w:r>
                      <w:rPr>
                        <w:b/>
                        <w:color w:val="585858"/>
                        <w:sz w:val="24"/>
                      </w:rPr>
                      <w:t>Pressure and bloatedness</w:t>
                    </w:r>
                  </w:p>
                  <w:p>
                    <w:pPr>
                      <w:spacing w:line="240" w:lineRule="auto" w:before="2"/>
                      <w:rPr>
                        <w:sz w:val="32"/>
                      </w:rPr>
                    </w:pPr>
                  </w:p>
                  <w:p>
                    <w:pPr>
                      <w:spacing w:before="1"/>
                      <w:ind w:left="0" w:right="3011" w:firstLine="0"/>
                      <w:jc w:val="center"/>
                      <w:rPr>
                        <w:rFonts w:ascii="Calibri"/>
                        <w:sz w:val="18"/>
                      </w:rPr>
                    </w:pPr>
                    <w:r>
                      <w:rPr>
                        <w:rFonts w:ascii="Calibri"/>
                        <w:color w:val="585858"/>
                        <w:sz w:val="18"/>
                      </w:rPr>
                      <w:t>2</w:t>
                    </w:r>
                  </w:p>
                  <w:p>
                    <w:pPr>
                      <w:spacing w:before="114"/>
                      <w:ind w:left="221" w:right="3368" w:firstLine="0"/>
                      <w:jc w:val="center"/>
                      <w:rPr>
                        <w:rFonts w:ascii="Calibri"/>
                        <w:sz w:val="18"/>
                      </w:rPr>
                    </w:pPr>
                    <w:r>
                      <w:rPr>
                        <w:rFonts w:ascii="Calibri"/>
                        <w:color w:val="585858"/>
                        <w:sz w:val="18"/>
                      </w:rPr>
                      <w:t>1,5</w:t>
                    </w:r>
                  </w:p>
                  <w:p>
                    <w:pPr>
                      <w:spacing w:before="116"/>
                      <w:ind w:left="0" w:right="3011" w:firstLine="0"/>
                      <w:jc w:val="center"/>
                      <w:rPr>
                        <w:rFonts w:ascii="Calibri"/>
                        <w:sz w:val="18"/>
                      </w:rPr>
                    </w:pPr>
                    <w:r>
                      <w:rPr>
                        <w:rFonts w:ascii="Calibri"/>
                        <w:color w:val="585858"/>
                        <w:sz w:val="18"/>
                      </w:rPr>
                      <w:t>1</w:t>
                    </w:r>
                  </w:p>
                  <w:p>
                    <w:pPr>
                      <w:spacing w:before="115"/>
                      <w:ind w:left="221" w:right="3368" w:firstLine="0"/>
                      <w:jc w:val="center"/>
                      <w:rPr>
                        <w:rFonts w:ascii="Calibri"/>
                        <w:sz w:val="18"/>
                      </w:rPr>
                    </w:pPr>
                    <w:r>
                      <w:rPr>
                        <w:rFonts w:ascii="Calibri"/>
                        <w:color w:val="585858"/>
                        <w:sz w:val="18"/>
                      </w:rPr>
                      <w:t>0,5</w:t>
                    </w:r>
                  </w:p>
                  <w:p>
                    <w:pPr>
                      <w:spacing w:before="115"/>
                      <w:ind w:left="0" w:right="3011" w:firstLine="0"/>
                      <w:jc w:val="center"/>
                      <w:rPr>
                        <w:rFonts w:ascii="Calibri"/>
                        <w:sz w:val="18"/>
                      </w:rPr>
                    </w:pPr>
                    <w:r>
                      <w:rPr>
                        <w:rFonts w:ascii="Calibri"/>
                        <w:color w:val="585858"/>
                        <w:sz w:val="18"/>
                      </w:rPr>
                      <w:t>0</w:t>
                    </w:r>
                  </w:p>
                  <w:p>
                    <w:pPr>
                      <w:tabs>
                        <w:tab w:pos="1482" w:val="left" w:leader="none"/>
                      </w:tabs>
                      <w:spacing w:line="220" w:lineRule="exact" w:before="4"/>
                      <w:ind w:left="687" w:right="0" w:firstLine="0"/>
                      <w:jc w:val="left"/>
                      <w:rPr>
                        <w:rFonts w:ascii="Calibri"/>
                        <w:sz w:val="18"/>
                      </w:rPr>
                    </w:pPr>
                    <w:r>
                      <w:rPr>
                        <w:rFonts w:ascii="Calibri"/>
                        <w:color w:val="585858"/>
                        <w:sz w:val="18"/>
                      </w:rPr>
                      <w:t>Placebo</w:t>
                      <w:tab/>
                      <w:t>Test</w:t>
                    </w:r>
                  </w:p>
                  <w:p>
                    <w:pPr>
                      <w:spacing w:before="0"/>
                      <w:ind w:left="221" w:right="825" w:firstLine="0"/>
                      <w:jc w:val="center"/>
                      <w:rPr>
                        <w:rFonts w:ascii="Calibri"/>
                        <w:sz w:val="18"/>
                      </w:rPr>
                    </w:pPr>
                    <w:r>
                      <w:rPr>
                        <w:rFonts w:ascii="Calibri"/>
                        <w:color w:val="585858"/>
                        <w:sz w:val="18"/>
                      </w:rPr>
                      <w:t>group</w:t>
                    </w:r>
                  </w:p>
                </w:txbxContent>
              </v:textbox>
              <v:stroke dashstyle="solid"/>
              <w10:wrap type="none"/>
            </v:shape>
            <w10:wrap type="topAndBottom"/>
          </v:group>
        </w:pict>
      </w:r>
      <w:r>
        <w:rPr/>
        <w:pict>
          <v:group style="position:absolute;margin-left:70.475822pt;margin-top:174.055832pt;width:195.45pt;height:143.6pt;mso-position-horizontal-relative:page;mso-position-vertical-relative:paragraph;z-index:14456;mso-wrap-distance-left:0;mso-wrap-distance-right:0" coordorigin="1410,3481" coordsize="3909,2872">
            <v:shape style="position:absolute;left:2047;top:4156;width:2936;height:1508" type="#_x0000_t75" stroked="false">
              <v:imagedata r:id="rId476" o:title=""/>
            </v:shape>
            <v:shape style="position:absolute;left:1417;top:3488;width:3894;height:2857" type="#_x0000_t202" filled="false" stroked="true" strokeweight=".74835pt" strokecolor="#d9d9d9">
              <v:textbox inset="0,0,0,0">
                <w:txbxContent>
                  <w:p>
                    <w:pPr>
                      <w:spacing w:before="143"/>
                      <w:ind w:left="1143" w:right="0" w:firstLine="0"/>
                      <w:jc w:val="left"/>
                      <w:rPr>
                        <w:b/>
                        <w:sz w:val="24"/>
                      </w:rPr>
                    </w:pPr>
                    <w:r>
                      <w:rPr>
                        <w:b/>
                        <w:color w:val="585858"/>
                        <w:sz w:val="24"/>
                      </w:rPr>
                      <w:t>Joint/limb pain</w:t>
                    </w:r>
                  </w:p>
                  <w:p>
                    <w:pPr>
                      <w:spacing w:line="240" w:lineRule="auto" w:before="0"/>
                      <w:rPr>
                        <w:sz w:val="32"/>
                      </w:rPr>
                    </w:pPr>
                  </w:p>
                  <w:p>
                    <w:pPr>
                      <w:spacing w:before="0"/>
                      <w:ind w:left="0" w:right="2983" w:firstLine="0"/>
                      <w:jc w:val="center"/>
                      <w:rPr>
                        <w:rFonts w:ascii="Calibri"/>
                        <w:sz w:val="18"/>
                      </w:rPr>
                    </w:pPr>
                    <w:r>
                      <w:rPr>
                        <w:rFonts w:ascii="Calibri"/>
                        <w:color w:val="585858"/>
                        <w:sz w:val="18"/>
                      </w:rPr>
                      <w:t>2</w:t>
                    </w:r>
                  </w:p>
                  <w:p>
                    <w:pPr>
                      <w:spacing w:before="94"/>
                      <w:ind w:left="221" w:right="3340" w:firstLine="0"/>
                      <w:jc w:val="center"/>
                      <w:rPr>
                        <w:rFonts w:ascii="Calibri"/>
                        <w:sz w:val="18"/>
                      </w:rPr>
                    </w:pPr>
                    <w:r>
                      <w:rPr>
                        <w:rFonts w:ascii="Calibri"/>
                        <w:color w:val="585858"/>
                        <w:sz w:val="18"/>
                      </w:rPr>
                      <w:t>1,5</w:t>
                    </w:r>
                  </w:p>
                  <w:p>
                    <w:pPr>
                      <w:spacing w:before="92"/>
                      <w:ind w:left="0" w:right="2983" w:firstLine="0"/>
                      <w:jc w:val="center"/>
                      <w:rPr>
                        <w:rFonts w:ascii="Calibri"/>
                        <w:sz w:val="18"/>
                      </w:rPr>
                    </w:pPr>
                    <w:r>
                      <w:rPr>
                        <w:rFonts w:ascii="Calibri"/>
                        <w:color w:val="585858"/>
                        <w:sz w:val="18"/>
                      </w:rPr>
                      <w:t>1</w:t>
                    </w:r>
                  </w:p>
                  <w:p>
                    <w:pPr>
                      <w:spacing w:before="94"/>
                      <w:ind w:left="221" w:right="3340" w:firstLine="0"/>
                      <w:jc w:val="center"/>
                      <w:rPr>
                        <w:rFonts w:ascii="Calibri"/>
                        <w:sz w:val="18"/>
                      </w:rPr>
                    </w:pPr>
                    <w:r>
                      <w:rPr>
                        <w:rFonts w:ascii="Calibri"/>
                        <w:color w:val="585858"/>
                        <w:sz w:val="18"/>
                      </w:rPr>
                      <w:t>0,5</w:t>
                    </w:r>
                  </w:p>
                  <w:p>
                    <w:pPr>
                      <w:spacing w:before="93"/>
                      <w:ind w:left="0" w:right="2983" w:firstLine="0"/>
                      <w:jc w:val="center"/>
                      <w:rPr>
                        <w:rFonts w:ascii="Calibri"/>
                        <w:sz w:val="18"/>
                      </w:rPr>
                    </w:pPr>
                    <w:r>
                      <w:rPr>
                        <w:rFonts w:ascii="Calibri"/>
                        <w:color w:val="585858"/>
                        <w:sz w:val="18"/>
                      </w:rPr>
                      <w:t>0</w:t>
                    </w:r>
                  </w:p>
                  <w:p>
                    <w:pPr>
                      <w:tabs>
                        <w:tab w:pos="1486" w:val="left" w:leader="none"/>
                      </w:tabs>
                      <w:spacing w:line="219" w:lineRule="exact" w:before="4"/>
                      <w:ind w:left="699" w:right="0" w:firstLine="0"/>
                      <w:jc w:val="left"/>
                      <w:rPr>
                        <w:rFonts w:ascii="Calibri"/>
                        <w:sz w:val="18"/>
                      </w:rPr>
                    </w:pPr>
                    <w:r>
                      <w:rPr>
                        <w:rFonts w:ascii="Calibri"/>
                        <w:color w:val="585858"/>
                        <w:sz w:val="18"/>
                      </w:rPr>
                      <w:t>Placebo</w:t>
                      <w:tab/>
                      <w:t>Test</w:t>
                    </w:r>
                  </w:p>
                  <w:p>
                    <w:pPr>
                      <w:spacing w:line="219" w:lineRule="exact" w:before="0"/>
                      <w:ind w:left="221" w:right="816" w:firstLine="0"/>
                      <w:jc w:val="center"/>
                      <w:rPr>
                        <w:rFonts w:ascii="Calibri"/>
                        <w:sz w:val="18"/>
                      </w:rPr>
                    </w:pPr>
                    <w:r>
                      <w:rPr>
                        <w:rFonts w:ascii="Calibri"/>
                        <w:color w:val="585858"/>
                        <w:sz w:val="18"/>
                      </w:rPr>
                      <w:t>group</w:t>
                    </w:r>
                  </w:p>
                </w:txbxContent>
              </v:textbox>
              <v:stroke dashstyle="solid"/>
              <w10:wrap type="none"/>
            </v:shape>
            <w10:wrap type="topAndBottom"/>
          </v:group>
        </w:pict>
      </w:r>
    </w:p>
    <w:p>
      <w:pPr>
        <w:pStyle w:val="BodyText"/>
        <w:spacing w:before="6"/>
        <w:rPr>
          <w:sz w:val="19"/>
        </w:rPr>
      </w:pPr>
    </w:p>
    <w:p>
      <w:pPr>
        <w:spacing w:after="0"/>
        <w:rPr>
          <w:sz w:val="19"/>
        </w:rPr>
        <w:sectPr>
          <w:pgSz w:w="14270" w:h="16850"/>
          <w:pgMar w:header="0" w:footer="404" w:top="1600" w:bottom="2080" w:left="800" w:right="1280"/>
        </w:sectPr>
      </w:pPr>
    </w:p>
    <w:p>
      <w:pPr>
        <w:pStyle w:val="BodyText"/>
        <w:ind w:left="609"/>
        <w:rPr>
          <w:sz w:val="20"/>
        </w:rPr>
      </w:pPr>
      <w:r>
        <w:rPr>
          <w:sz w:val="20"/>
        </w:rPr>
        <w:pict>
          <v:group style="width:195.45pt;height:153.950pt;mso-position-horizontal-relative:char;mso-position-vertical-relative:line" coordorigin="0,0" coordsize="3909,3079">
            <v:shape style="position:absolute;left:608;top:676;width:2996;height:1714" type="#_x0000_t75" stroked="false">
              <v:imagedata r:id="rId478" o:title=""/>
            </v:shape>
            <v:shape style="position:absolute;left:7;top:7;width:3894;height:3064" type="#_x0000_t202" filled="false" stroked="true" strokeweight=".74906pt" strokecolor="#d9d9d9">
              <v:textbox inset="0,0,0,0">
                <w:txbxContent>
                  <w:p>
                    <w:pPr>
                      <w:spacing w:before="142"/>
                      <w:ind w:left="1167" w:right="0" w:firstLine="0"/>
                      <w:jc w:val="left"/>
                      <w:rPr>
                        <w:b/>
                        <w:sz w:val="24"/>
                      </w:rPr>
                    </w:pPr>
                    <w:r>
                      <w:rPr>
                        <w:b/>
                        <w:color w:val="585858"/>
                        <w:sz w:val="24"/>
                      </w:rPr>
                      <w:t>Muscle tension</w:t>
                    </w:r>
                  </w:p>
                  <w:p>
                    <w:pPr>
                      <w:spacing w:line="240" w:lineRule="auto" w:before="5"/>
                      <w:rPr>
                        <w:sz w:val="32"/>
                      </w:rPr>
                    </w:pPr>
                  </w:p>
                  <w:p>
                    <w:pPr>
                      <w:spacing w:before="0"/>
                      <w:ind w:left="0" w:right="3043" w:firstLine="0"/>
                      <w:jc w:val="center"/>
                      <w:rPr>
                        <w:rFonts w:ascii="Calibri"/>
                        <w:sz w:val="18"/>
                      </w:rPr>
                    </w:pPr>
                    <w:r>
                      <w:rPr>
                        <w:rFonts w:ascii="Calibri"/>
                        <w:color w:val="585858"/>
                        <w:sz w:val="18"/>
                      </w:rPr>
                      <w:t>2</w:t>
                    </w:r>
                  </w:p>
                  <w:p>
                    <w:pPr>
                      <w:spacing w:before="143"/>
                      <w:ind w:left="194" w:right="3372" w:firstLine="0"/>
                      <w:jc w:val="center"/>
                      <w:rPr>
                        <w:rFonts w:ascii="Calibri"/>
                        <w:sz w:val="18"/>
                      </w:rPr>
                    </w:pPr>
                    <w:r>
                      <w:rPr>
                        <w:rFonts w:ascii="Calibri"/>
                        <w:color w:val="585858"/>
                        <w:sz w:val="18"/>
                      </w:rPr>
                      <w:t>1,5</w:t>
                    </w:r>
                  </w:p>
                  <w:p>
                    <w:pPr>
                      <w:spacing w:before="143"/>
                      <w:ind w:left="0" w:right="3043" w:firstLine="0"/>
                      <w:jc w:val="center"/>
                      <w:rPr>
                        <w:rFonts w:ascii="Calibri"/>
                        <w:sz w:val="18"/>
                      </w:rPr>
                    </w:pPr>
                    <w:r>
                      <w:rPr>
                        <w:rFonts w:ascii="Calibri"/>
                        <w:color w:val="585858"/>
                        <w:sz w:val="18"/>
                      </w:rPr>
                      <w:t>1</w:t>
                    </w:r>
                  </w:p>
                  <w:p>
                    <w:pPr>
                      <w:spacing w:before="143"/>
                      <w:ind w:left="194" w:right="3372" w:firstLine="0"/>
                      <w:jc w:val="center"/>
                      <w:rPr>
                        <w:rFonts w:ascii="Calibri"/>
                        <w:sz w:val="18"/>
                      </w:rPr>
                    </w:pPr>
                    <w:r>
                      <w:rPr>
                        <w:rFonts w:ascii="Calibri"/>
                        <w:color w:val="585858"/>
                        <w:sz w:val="18"/>
                      </w:rPr>
                      <w:t>0,5</w:t>
                    </w:r>
                  </w:p>
                  <w:p>
                    <w:pPr>
                      <w:spacing w:before="144"/>
                      <w:ind w:left="0" w:right="3043" w:firstLine="0"/>
                      <w:jc w:val="center"/>
                      <w:rPr>
                        <w:rFonts w:ascii="Calibri"/>
                        <w:sz w:val="18"/>
                      </w:rPr>
                    </w:pPr>
                    <w:r>
                      <w:rPr>
                        <w:rFonts w:ascii="Calibri"/>
                        <w:color w:val="585858"/>
                        <w:sz w:val="18"/>
                      </w:rPr>
                      <w:t>0</w:t>
                    </w:r>
                  </w:p>
                  <w:p>
                    <w:pPr>
                      <w:tabs>
                        <w:tab w:pos="1477" w:val="left" w:leader="none"/>
                      </w:tabs>
                      <w:spacing w:before="4"/>
                      <w:ind w:left="1416" w:right="2030" w:hanging="741"/>
                      <w:jc w:val="left"/>
                      <w:rPr>
                        <w:rFonts w:ascii="Calibri"/>
                        <w:sz w:val="18"/>
                      </w:rPr>
                    </w:pPr>
                    <w:r>
                      <w:rPr>
                        <w:rFonts w:ascii="Calibri"/>
                        <w:color w:val="585858"/>
                        <w:sz w:val="18"/>
                      </w:rPr>
                      <w:t>Placebo</w:t>
                      <w:tab/>
                      <w:tab/>
                      <w:t>Test group</w:t>
                    </w:r>
                  </w:p>
                </w:txbxContent>
              </v:textbox>
              <v:stroke dashstyle="solid"/>
              <w10:wrap type="none"/>
            </v:shape>
          </v:group>
        </w:pict>
      </w:r>
      <w:r>
        <w:rPr>
          <w:sz w:val="20"/>
        </w:rPr>
      </w:r>
    </w:p>
    <w:p>
      <w:pPr>
        <w:pStyle w:val="BodyText"/>
        <w:spacing w:before="2"/>
        <w:rPr>
          <w:sz w:val="21"/>
        </w:rPr>
      </w:pPr>
      <w:r>
        <w:rPr/>
        <w:pict>
          <v:group style="position:absolute;margin-left:70.475594pt;margin-top:13.89465pt;width:196.55pt;height:151.1pt;mso-position-horizontal-relative:page;mso-position-vertical-relative:paragraph;z-index:14552;mso-wrap-distance-left:0;mso-wrap-distance-right:0" coordorigin="1410,278" coordsize="3931,3022">
            <v:shape style="position:absolute;left:2028;top:952;width:2998;height:1659" type="#_x0000_t75" stroked="false">
              <v:imagedata r:id="rId479" o:title=""/>
            </v:shape>
            <v:shape style="position:absolute;left:1417;top:285;width:3916;height:3007" type="#_x0000_t202" filled="false" stroked="true" strokeweight=".74882pt" strokecolor="#d9d9d9">
              <v:textbox inset="0,0,0,0">
                <w:txbxContent>
                  <w:p>
                    <w:pPr>
                      <w:spacing w:before="143"/>
                      <w:ind w:left="691" w:right="0" w:firstLine="0"/>
                      <w:jc w:val="left"/>
                      <w:rPr>
                        <w:b/>
                        <w:sz w:val="24"/>
                      </w:rPr>
                    </w:pPr>
                    <w:r>
                      <w:rPr>
                        <w:b/>
                        <w:color w:val="585858"/>
                        <w:sz w:val="24"/>
                      </w:rPr>
                      <w:t>Palpitations/tachycardia</w:t>
                    </w:r>
                  </w:p>
                  <w:p>
                    <w:pPr>
                      <w:spacing w:line="240" w:lineRule="auto" w:before="4"/>
                      <w:rPr>
                        <w:sz w:val="32"/>
                      </w:rPr>
                    </w:pPr>
                  </w:p>
                  <w:p>
                    <w:pPr>
                      <w:spacing w:before="0"/>
                      <w:ind w:left="0" w:right="3046" w:firstLine="0"/>
                      <w:jc w:val="center"/>
                      <w:rPr>
                        <w:rFonts w:ascii="Calibri"/>
                        <w:sz w:val="18"/>
                      </w:rPr>
                    </w:pPr>
                    <w:r>
                      <w:rPr>
                        <w:rFonts w:ascii="Calibri"/>
                        <w:color w:val="585858"/>
                        <w:sz w:val="18"/>
                      </w:rPr>
                      <w:t>2</w:t>
                    </w:r>
                  </w:p>
                  <w:p>
                    <w:pPr>
                      <w:spacing w:before="129"/>
                      <w:ind w:left="233" w:right="3414" w:firstLine="0"/>
                      <w:jc w:val="center"/>
                      <w:rPr>
                        <w:rFonts w:ascii="Calibri"/>
                        <w:sz w:val="18"/>
                      </w:rPr>
                    </w:pPr>
                    <w:r>
                      <w:rPr>
                        <w:rFonts w:ascii="Calibri"/>
                        <w:color w:val="585858"/>
                        <w:sz w:val="18"/>
                      </w:rPr>
                      <w:t>1,5</w:t>
                    </w:r>
                  </w:p>
                  <w:p>
                    <w:pPr>
                      <w:spacing w:before="129"/>
                      <w:ind w:left="0" w:right="3046" w:firstLine="0"/>
                      <w:jc w:val="center"/>
                      <w:rPr>
                        <w:rFonts w:ascii="Calibri"/>
                        <w:sz w:val="18"/>
                      </w:rPr>
                    </w:pPr>
                    <w:r>
                      <w:rPr>
                        <w:rFonts w:ascii="Calibri"/>
                        <w:color w:val="585858"/>
                        <w:sz w:val="18"/>
                      </w:rPr>
                      <w:t>1</w:t>
                    </w:r>
                  </w:p>
                  <w:p>
                    <w:pPr>
                      <w:spacing w:before="129"/>
                      <w:ind w:left="233" w:right="3414" w:firstLine="0"/>
                      <w:jc w:val="center"/>
                      <w:rPr>
                        <w:rFonts w:ascii="Calibri"/>
                        <w:sz w:val="18"/>
                      </w:rPr>
                    </w:pPr>
                    <w:r>
                      <w:rPr>
                        <w:rFonts w:ascii="Calibri"/>
                        <w:color w:val="585858"/>
                        <w:sz w:val="18"/>
                      </w:rPr>
                      <w:t>0,5</w:t>
                    </w:r>
                  </w:p>
                  <w:p>
                    <w:pPr>
                      <w:spacing w:before="130"/>
                      <w:ind w:left="0" w:right="3046" w:firstLine="0"/>
                      <w:jc w:val="center"/>
                      <w:rPr>
                        <w:rFonts w:ascii="Calibri"/>
                        <w:sz w:val="18"/>
                      </w:rPr>
                    </w:pPr>
                    <w:r>
                      <w:rPr>
                        <w:rFonts w:ascii="Calibri"/>
                        <w:color w:val="585858"/>
                        <w:sz w:val="18"/>
                      </w:rPr>
                      <w:t>0</w:t>
                    </w:r>
                  </w:p>
                  <w:p>
                    <w:pPr>
                      <w:tabs>
                        <w:tab w:pos="1488" w:val="left" w:leader="none"/>
                      </w:tabs>
                      <w:spacing w:before="4"/>
                      <w:ind w:left="1426" w:right="2041" w:hanging="741"/>
                      <w:jc w:val="left"/>
                      <w:rPr>
                        <w:rFonts w:ascii="Calibri"/>
                        <w:sz w:val="18"/>
                      </w:rPr>
                    </w:pPr>
                    <w:r>
                      <w:rPr>
                        <w:rFonts w:ascii="Calibri"/>
                        <w:color w:val="585858"/>
                        <w:sz w:val="18"/>
                      </w:rPr>
                      <w:t>Placebo</w:t>
                      <w:tab/>
                      <w:tab/>
                      <w:t>Test group</w:t>
                    </w:r>
                  </w:p>
                </w:txbxContent>
              </v:textbox>
              <v:stroke dashstyle="solid"/>
              <w10:wrap type="none"/>
            </v:shape>
            <w10:wrap type="topAndBottom"/>
          </v:group>
        </w:pict>
      </w:r>
    </w:p>
    <w:p>
      <w:pPr>
        <w:spacing w:after="0"/>
        <w:rPr>
          <w:sz w:val="21"/>
        </w:rPr>
        <w:sectPr>
          <w:footerReference w:type="default" r:id="rId477"/>
          <w:pgSz w:w="14270" w:h="16850"/>
          <w:pgMar w:footer="404" w:header="0" w:top="1400" w:bottom="600" w:left="800" w:right="1280"/>
          <w:pgNumType w:start="1790"/>
        </w:sectPr>
      </w:pPr>
    </w:p>
    <w:p>
      <w:pPr>
        <w:pStyle w:val="BodyText"/>
        <w:ind w:left="609"/>
        <w:rPr>
          <w:sz w:val="20"/>
        </w:rPr>
      </w:pPr>
      <w:r>
        <w:rPr>
          <w:sz w:val="20"/>
        </w:rPr>
        <w:pict>
          <v:group style="width:195.45pt;height:155.1pt;mso-position-horizontal-relative:char;mso-position-vertical-relative:line" coordorigin="0,0" coordsize="3909,3102">
            <v:shape style="position:absolute;left:606;top:676;width:3000;height:1738" type="#_x0000_t75" stroked="false">
              <v:imagedata r:id="rId480" o:title=""/>
            </v:shape>
            <v:shape style="position:absolute;left:7;top:7;width:3894;height:3087" type="#_x0000_t202" filled="false" stroked="true" strokeweight=".74882pt" strokecolor="#d9d9d9">
              <v:textbox inset="0,0,0,0">
                <w:txbxContent>
                  <w:p>
                    <w:pPr>
                      <w:spacing w:before="142"/>
                      <w:ind w:left="1147" w:right="0" w:firstLine="0"/>
                      <w:jc w:val="left"/>
                      <w:rPr>
                        <w:b/>
                        <w:sz w:val="24"/>
                      </w:rPr>
                    </w:pPr>
                    <w:r>
                      <w:rPr>
                        <w:b/>
                        <w:color w:val="585858"/>
                        <w:sz w:val="24"/>
                      </w:rPr>
                      <w:t>Sleep desorders</w:t>
                    </w:r>
                  </w:p>
                  <w:p>
                    <w:pPr>
                      <w:spacing w:line="240" w:lineRule="auto" w:before="6"/>
                      <w:rPr>
                        <w:sz w:val="32"/>
                      </w:rPr>
                    </w:pPr>
                  </w:p>
                  <w:p>
                    <w:pPr>
                      <w:spacing w:before="0"/>
                      <w:ind w:left="188" w:right="3372" w:firstLine="0"/>
                      <w:jc w:val="center"/>
                      <w:rPr>
                        <w:rFonts w:ascii="Calibri"/>
                        <w:sz w:val="18"/>
                      </w:rPr>
                    </w:pPr>
                    <w:r>
                      <w:rPr>
                        <w:rFonts w:ascii="Calibri"/>
                        <w:color w:val="585858"/>
                        <w:sz w:val="18"/>
                      </w:rPr>
                      <w:t>1,5</w:t>
                    </w:r>
                  </w:p>
                  <w:p>
                    <w:pPr>
                      <w:spacing w:line="240" w:lineRule="auto" w:before="1"/>
                      <w:rPr>
                        <w:sz w:val="24"/>
                      </w:rPr>
                    </w:pPr>
                  </w:p>
                  <w:p>
                    <w:pPr>
                      <w:spacing w:before="0"/>
                      <w:ind w:left="0" w:right="3049" w:firstLine="0"/>
                      <w:jc w:val="center"/>
                      <w:rPr>
                        <w:rFonts w:ascii="Calibri"/>
                        <w:sz w:val="18"/>
                      </w:rPr>
                    </w:pPr>
                    <w:r>
                      <w:rPr>
                        <w:rFonts w:ascii="Calibri"/>
                        <w:color w:val="585858"/>
                        <w:sz w:val="18"/>
                      </w:rPr>
                      <w:t>1</w:t>
                    </w:r>
                  </w:p>
                  <w:p>
                    <w:pPr>
                      <w:spacing w:line="240" w:lineRule="auto" w:before="2"/>
                      <w:rPr>
                        <w:sz w:val="24"/>
                      </w:rPr>
                    </w:pPr>
                  </w:p>
                  <w:p>
                    <w:pPr>
                      <w:spacing w:before="0"/>
                      <w:ind w:left="188" w:right="3372" w:firstLine="0"/>
                      <w:jc w:val="center"/>
                      <w:rPr>
                        <w:rFonts w:ascii="Calibri"/>
                        <w:sz w:val="18"/>
                      </w:rPr>
                    </w:pPr>
                    <w:r>
                      <w:rPr>
                        <w:rFonts w:ascii="Calibri"/>
                        <w:color w:val="585858"/>
                        <w:sz w:val="18"/>
                      </w:rPr>
                      <w:t>0,5</w:t>
                    </w:r>
                  </w:p>
                  <w:p>
                    <w:pPr>
                      <w:spacing w:line="240" w:lineRule="auto" w:before="1"/>
                      <w:rPr>
                        <w:sz w:val="24"/>
                      </w:rPr>
                    </w:pPr>
                  </w:p>
                  <w:p>
                    <w:pPr>
                      <w:spacing w:before="0"/>
                      <w:ind w:left="0" w:right="3049" w:firstLine="0"/>
                      <w:jc w:val="center"/>
                      <w:rPr>
                        <w:rFonts w:ascii="Calibri"/>
                        <w:sz w:val="18"/>
                      </w:rPr>
                    </w:pPr>
                    <w:r>
                      <w:rPr>
                        <w:rFonts w:ascii="Calibri"/>
                        <w:color w:val="585858"/>
                        <w:sz w:val="18"/>
                      </w:rPr>
                      <w:t>0</w:t>
                    </w:r>
                  </w:p>
                  <w:p>
                    <w:pPr>
                      <w:tabs>
                        <w:tab w:pos="1476" w:val="left" w:leader="none"/>
                      </w:tabs>
                      <w:spacing w:before="5"/>
                      <w:ind w:left="1415" w:right="2031" w:hanging="742"/>
                      <w:jc w:val="left"/>
                      <w:rPr>
                        <w:rFonts w:ascii="Calibri"/>
                        <w:sz w:val="18"/>
                      </w:rPr>
                    </w:pPr>
                    <w:r>
                      <w:rPr>
                        <w:rFonts w:ascii="Calibri"/>
                        <w:color w:val="585858"/>
                        <w:sz w:val="18"/>
                      </w:rPr>
                      <w:t>Placebo</w:t>
                      <w:tab/>
                      <w:tab/>
                      <w:t>Test group</w:t>
                    </w:r>
                  </w:p>
                </w:txbxContent>
              </v:textbox>
              <v:stroke dashstyle="solid"/>
              <w10:wrap type="none"/>
            </v:shape>
          </v:group>
        </w:pict>
      </w:r>
      <w:r>
        <w:rPr>
          <w:sz w:val="20"/>
        </w:rPr>
      </w:r>
    </w:p>
    <w:p>
      <w:pPr>
        <w:pStyle w:val="BodyText"/>
        <w:rPr>
          <w:sz w:val="20"/>
        </w:rPr>
      </w:pPr>
    </w:p>
    <w:p>
      <w:pPr>
        <w:pStyle w:val="BodyText"/>
        <w:rPr>
          <w:sz w:val="20"/>
        </w:rPr>
      </w:pPr>
    </w:p>
    <w:p>
      <w:pPr>
        <w:pStyle w:val="BodyText"/>
        <w:rPr>
          <w:sz w:val="20"/>
        </w:rPr>
      </w:pPr>
    </w:p>
    <w:p>
      <w:pPr>
        <w:pStyle w:val="BodyText"/>
        <w:spacing w:before="6"/>
        <w:rPr>
          <w:sz w:val="20"/>
        </w:rPr>
      </w:pPr>
      <w:r>
        <w:rPr/>
        <w:pict>
          <v:group style="position:absolute;margin-left:70.475822pt;margin-top:13.574645pt;width:197.15pt;height:184.45pt;mso-position-horizontal-relative:page;mso-position-vertical-relative:paragraph;z-index:14648;mso-wrap-distance-left:0;mso-wrap-distance-right:0" coordorigin="1410,271" coordsize="3943,3689">
            <v:shape style="position:absolute;left:1958;top:948;width:3149;height:2324" type="#_x0000_t75" stroked="false">
              <v:imagedata r:id="rId481" o:title=""/>
            </v:shape>
            <v:shape style="position:absolute;left:1417;top:278;width:3928;height:3674" type="#_x0000_t202" filled="false" stroked="true" strokeweight=".74835pt" strokecolor="#d9d9d9">
              <v:textbox inset="0,0,0,0">
                <w:txbxContent>
                  <w:p>
                    <w:pPr>
                      <w:spacing w:before="143"/>
                      <w:ind w:left="745" w:right="0" w:firstLine="0"/>
                      <w:jc w:val="left"/>
                      <w:rPr>
                        <w:b/>
                        <w:sz w:val="24"/>
                      </w:rPr>
                    </w:pPr>
                    <w:r>
                      <w:rPr>
                        <w:b/>
                        <w:color w:val="585858"/>
                        <w:sz w:val="24"/>
                      </w:rPr>
                      <w:t>Difficulty concentrating</w:t>
                    </w:r>
                  </w:p>
                  <w:p>
                    <w:pPr>
                      <w:spacing w:line="240" w:lineRule="auto" w:before="4"/>
                      <w:rPr>
                        <w:sz w:val="33"/>
                      </w:rPr>
                    </w:pPr>
                  </w:p>
                  <w:p>
                    <w:pPr>
                      <w:spacing w:before="0"/>
                      <w:ind w:left="165" w:right="3495" w:firstLine="0"/>
                      <w:jc w:val="center"/>
                      <w:rPr>
                        <w:rFonts w:ascii="Calibri"/>
                        <w:sz w:val="18"/>
                      </w:rPr>
                    </w:pPr>
                    <w:r>
                      <w:rPr>
                        <w:rFonts w:ascii="Calibri"/>
                        <w:color w:val="585858"/>
                        <w:sz w:val="18"/>
                      </w:rPr>
                      <w:t>1,4</w:t>
                    </w:r>
                  </w:p>
                  <w:p>
                    <w:pPr>
                      <w:spacing w:before="73"/>
                      <w:ind w:left="165" w:right="3495" w:firstLine="0"/>
                      <w:jc w:val="center"/>
                      <w:rPr>
                        <w:rFonts w:ascii="Calibri"/>
                        <w:sz w:val="18"/>
                      </w:rPr>
                    </w:pPr>
                    <w:r>
                      <w:rPr>
                        <w:rFonts w:ascii="Calibri"/>
                        <w:color w:val="585858"/>
                        <w:sz w:val="18"/>
                      </w:rPr>
                      <w:t>1,2</w:t>
                    </w:r>
                  </w:p>
                  <w:p>
                    <w:pPr>
                      <w:spacing w:before="74"/>
                      <w:ind w:left="0" w:right="3195" w:firstLine="0"/>
                      <w:jc w:val="center"/>
                      <w:rPr>
                        <w:rFonts w:ascii="Calibri"/>
                        <w:sz w:val="18"/>
                      </w:rPr>
                    </w:pPr>
                    <w:r>
                      <w:rPr>
                        <w:rFonts w:ascii="Calibri"/>
                        <w:color w:val="585858"/>
                        <w:sz w:val="18"/>
                      </w:rPr>
                      <w:t>1</w:t>
                    </w:r>
                  </w:p>
                  <w:p>
                    <w:pPr>
                      <w:spacing w:before="73"/>
                      <w:ind w:left="165" w:right="3495" w:firstLine="0"/>
                      <w:jc w:val="center"/>
                      <w:rPr>
                        <w:rFonts w:ascii="Calibri"/>
                        <w:sz w:val="18"/>
                      </w:rPr>
                    </w:pPr>
                    <w:r>
                      <w:rPr>
                        <w:rFonts w:ascii="Calibri"/>
                        <w:color w:val="585858"/>
                        <w:sz w:val="18"/>
                      </w:rPr>
                      <w:t>0,8</w:t>
                    </w:r>
                  </w:p>
                  <w:p>
                    <w:pPr>
                      <w:spacing w:before="73"/>
                      <w:ind w:left="165" w:right="3495" w:firstLine="0"/>
                      <w:jc w:val="center"/>
                      <w:rPr>
                        <w:rFonts w:ascii="Calibri"/>
                        <w:sz w:val="18"/>
                      </w:rPr>
                    </w:pPr>
                    <w:r>
                      <w:rPr>
                        <w:rFonts w:ascii="Calibri"/>
                        <w:color w:val="585858"/>
                        <w:sz w:val="18"/>
                      </w:rPr>
                      <w:t>0,6</w:t>
                    </w:r>
                  </w:p>
                  <w:p>
                    <w:pPr>
                      <w:spacing w:before="73"/>
                      <w:ind w:left="165" w:right="3495" w:firstLine="0"/>
                      <w:jc w:val="center"/>
                      <w:rPr>
                        <w:rFonts w:ascii="Calibri"/>
                        <w:sz w:val="18"/>
                      </w:rPr>
                    </w:pPr>
                    <w:r>
                      <w:rPr>
                        <w:rFonts w:ascii="Calibri"/>
                        <w:color w:val="585858"/>
                        <w:sz w:val="18"/>
                      </w:rPr>
                      <w:t>0,4</w:t>
                    </w:r>
                  </w:p>
                  <w:p>
                    <w:pPr>
                      <w:spacing w:before="73"/>
                      <w:ind w:left="165" w:right="3495" w:firstLine="0"/>
                      <w:jc w:val="center"/>
                      <w:rPr>
                        <w:rFonts w:ascii="Calibri"/>
                        <w:sz w:val="18"/>
                      </w:rPr>
                    </w:pPr>
                    <w:r>
                      <w:rPr>
                        <w:rFonts w:ascii="Calibri"/>
                        <w:color w:val="585858"/>
                        <w:sz w:val="18"/>
                      </w:rPr>
                      <w:t>0,2</w:t>
                    </w:r>
                  </w:p>
                  <w:p>
                    <w:pPr>
                      <w:spacing w:before="73"/>
                      <w:ind w:left="0" w:right="3195" w:firstLine="0"/>
                      <w:jc w:val="center"/>
                      <w:rPr>
                        <w:rFonts w:ascii="Calibri"/>
                        <w:sz w:val="18"/>
                      </w:rPr>
                    </w:pPr>
                    <w:r>
                      <w:rPr>
                        <w:rFonts w:ascii="Calibri"/>
                        <w:color w:val="585858"/>
                        <w:sz w:val="18"/>
                      </w:rPr>
                      <w:t>0</w:t>
                    </w:r>
                  </w:p>
                  <w:p>
                    <w:pPr>
                      <w:tabs>
                        <w:tab w:pos="1470" w:val="left" w:leader="none"/>
                      </w:tabs>
                      <w:spacing w:line="219" w:lineRule="exact" w:before="5"/>
                      <w:ind w:left="634" w:right="0" w:firstLine="0"/>
                      <w:jc w:val="left"/>
                      <w:rPr>
                        <w:rFonts w:ascii="Calibri"/>
                        <w:sz w:val="18"/>
                      </w:rPr>
                    </w:pPr>
                    <w:r>
                      <w:rPr>
                        <w:rFonts w:ascii="Calibri"/>
                        <w:color w:val="585858"/>
                        <w:sz w:val="18"/>
                      </w:rPr>
                      <w:t>Placebo</w:t>
                      <w:tab/>
                      <w:t>Test</w:t>
                    </w:r>
                  </w:p>
                  <w:p>
                    <w:pPr>
                      <w:spacing w:line="219" w:lineRule="exact" w:before="0"/>
                      <w:ind w:left="165" w:right="827" w:firstLine="0"/>
                      <w:jc w:val="center"/>
                      <w:rPr>
                        <w:rFonts w:ascii="Calibri"/>
                        <w:sz w:val="18"/>
                      </w:rPr>
                    </w:pPr>
                    <w:r>
                      <w:rPr>
                        <w:rFonts w:ascii="Calibri"/>
                        <w:color w:val="585858"/>
                        <w:sz w:val="18"/>
                      </w:rPr>
                      <w:t>group</w:t>
                    </w:r>
                  </w:p>
                </w:txbxContent>
              </v:textbox>
              <v:stroke dashstyle="solid"/>
              <w10:wrap type="none"/>
            </v:shape>
            <w10:wrap type="topAndBottom"/>
          </v:group>
        </w:pict>
      </w:r>
      <w:r>
        <w:rPr/>
        <w:pict>
          <v:group style="position:absolute;margin-left:70.475471pt;margin-top:211.274292pt;width:195.45pt;height:153.950pt;mso-position-horizontal-relative:page;mso-position-vertical-relative:paragraph;z-index:14744;mso-wrap-distance-left:0;mso-wrap-distance-right:0" coordorigin="1410,4225" coordsize="3909,3079">
            <v:shape style="position:absolute;left:2018;top:4900;width:2996;height:1714" type="#_x0000_t75" stroked="false">
              <v:imagedata r:id="rId482" o:title=""/>
            </v:shape>
            <v:rect style="position:absolute;left:1417;top:4232;width:3894;height:3064" filled="false" stroked="true" strokeweight=".74906pt" strokecolor="#d9d9d9">
              <v:stroke dashstyle="solid"/>
            </v:rect>
            <v:shape style="position:absolute;left:2992;top:4384;width:767;height:270" type="#_x0000_t202" filled="false" stroked="false">
              <v:textbox inset="0,0,0,0">
                <w:txbxContent>
                  <w:p>
                    <w:pPr>
                      <w:spacing w:before="0"/>
                      <w:ind w:left="0" w:right="0" w:firstLine="0"/>
                      <w:jc w:val="left"/>
                      <w:rPr>
                        <w:b/>
                        <w:sz w:val="24"/>
                      </w:rPr>
                    </w:pPr>
                    <w:r>
                      <w:rPr>
                        <w:b/>
                        <w:color w:val="585858"/>
                        <w:sz w:val="24"/>
                      </w:rPr>
                      <w:t>Itching</w:t>
                    </w:r>
                  </w:p>
                </w:txbxContent>
              </v:textbox>
              <w10:wrap type="none"/>
            </v:shape>
            <v:shape style="position:absolute;left:1659;top:5055;width:248;height:1632" type="#_x0000_t202" filled="false" stroked="false">
              <v:textbox inset="0,0,0,0">
                <w:txbxContent>
                  <w:p>
                    <w:pPr>
                      <w:spacing w:line="183" w:lineRule="exact" w:before="0"/>
                      <w:ind w:left="0" w:right="18" w:firstLine="0"/>
                      <w:jc w:val="center"/>
                      <w:rPr>
                        <w:rFonts w:ascii="Calibri"/>
                        <w:sz w:val="18"/>
                      </w:rPr>
                    </w:pPr>
                    <w:r>
                      <w:rPr>
                        <w:rFonts w:ascii="Calibri"/>
                        <w:color w:val="585858"/>
                        <w:sz w:val="18"/>
                      </w:rPr>
                      <w:t>1,5</w:t>
                    </w:r>
                  </w:p>
                  <w:p>
                    <w:pPr>
                      <w:spacing w:line="240" w:lineRule="auto" w:before="5"/>
                      <w:rPr>
                        <w:sz w:val="23"/>
                      </w:rPr>
                    </w:pPr>
                  </w:p>
                  <w:p>
                    <w:pPr>
                      <w:spacing w:before="0"/>
                      <w:ind w:left="115" w:right="0" w:firstLine="0"/>
                      <w:jc w:val="center"/>
                      <w:rPr>
                        <w:rFonts w:ascii="Calibri"/>
                        <w:sz w:val="18"/>
                      </w:rPr>
                    </w:pPr>
                    <w:r>
                      <w:rPr>
                        <w:rFonts w:ascii="Calibri"/>
                        <w:color w:val="585858"/>
                        <w:sz w:val="18"/>
                      </w:rPr>
                      <w:t>1</w:t>
                    </w:r>
                  </w:p>
                  <w:p>
                    <w:pPr>
                      <w:spacing w:line="240" w:lineRule="auto" w:before="5"/>
                      <w:rPr>
                        <w:sz w:val="23"/>
                      </w:rPr>
                    </w:pPr>
                  </w:p>
                  <w:p>
                    <w:pPr>
                      <w:spacing w:before="1"/>
                      <w:ind w:left="0" w:right="18" w:firstLine="0"/>
                      <w:jc w:val="center"/>
                      <w:rPr>
                        <w:rFonts w:ascii="Calibri"/>
                        <w:sz w:val="18"/>
                      </w:rPr>
                    </w:pPr>
                    <w:r>
                      <w:rPr>
                        <w:rFonts w:ascii="Calibri"/>
                        <w:color w:val="585858"/>
                        <w:sz w:val="18"/>
                      </w:rPr>
                      <w:t>0,5</w:t>
                    </w:r>
                  </w:p>
                  <w:p>
                    <w:pPr>
                      <w:spacing w:line="240" w:lineRule="auto" w:before="5"/>
                      <w:rPr>
                        <w:sz w:val="23"/>
                      </w:rPr>
                    </w:pPr>
                  </w:p>
                  <w:p>
                    <w:pPr>
                      <w:spacing w:line="216" w:lineRule="exact" w:before="0"/>
                      <w:ind w:left="115" w:right="0" w:firstLine="0"/>
                      <w:jc w:val="center"/>
                      <w:rPr>
                        <w:rFonts w:ascii="Calibri"/>
                        <w:sz w:val="18"/>
                      </w:rPr>
                    </w:pPr>
                    <w:r>
                      <w:rPr>
                        <w:rFonts w:ascii="Calibri"/>
                        <w:color w:val="585858"/>
                        <w:sz w:val="18"/>
                      </w:rPr>
                      <w:t>0</w:t>
                    </w:r>
                  </w:p>
                </w:txbxContent>
              </v:textbox>
              <w10:wrap type="none"/>
            </v:shape>
            <v:shape style="position:absolute;left:2100;top:6731;width:1191;height:400" type="#_x0000_t202" filled="false" stroked="false">
              <v:textbox inset="0,0,0,0">
                <w:txbxContent>
                  <w:p>
                    <w:pPr>
                      <w:tabs>
                        <w:tab w:pos="801" w:val="left" w:leader="none"/>
                      </w:tabs>
                      <w:spacing w:line="183" w:lineRule="exact" w:before="0"/>
                      <w:ind w:left="0" w:right="0" w:firstLine="0"/>
                      <w:jc w:val="left"/>
                      <w:rPr>
                        <w:rFonts w:ascii="Calibri"/>
                        <w:sz w:val="18"/>
                      </w:rPr>
                    </w:pPr>
                    <w:r>
                      <w:rPr>
                        <w:rFonts w:ascii="Calibri"/>
                        <w:color w:val="585858"/>
                        <w:sz w:val="18"/>
                      </w:rPr>
                      <w:t>Placebo</w:t>
                      <w:tab/>
                      <w:t>Test</w:t>
                    </w:r>
                  </w:p>
                  <w:p>
                    <w:pPr>
                      <w:spacing w:line="216" w:lineRule="exact" w:before="0"/>
                      <w:ind w:left="740" w:right="0" w:firstLine="0"/>
                      <w:jc w:val="left"/>
                      <w:rPr>
                        <w:rFonts w:ascii="Calibri"/>
                        <w:sz w:val="18"/>
                      </w:rPr>
                    </w:pPr>
                    <w:r>
                      <w:rPr>
                        <w:rFonts w:ascii="Calibri"/>
                        <w:color w:val="585858"/>
                        <w:sz w:val="18"/>
                      </w:rPr>
                      <w:t>group</w:t>
                    </w:r>
                  </w:p>
                </w:txbxContent>
              </v:textbox>
              <w10:wrap type="none"/>
            </v:shape>
            <w10:wrap type="topAndBottom"/>
          </v:group>
        </w:pict>
      </w:r>
    </w:p>
    <w:p>
      <w:pPr>
        <w:pStyle w:val="BodyText"/>
        <w:spacing w:before="4"/>
        <w:rPr>
          <w:sz w:val="17"/>
        </w:rPr>
      </w:pPr>
    </w:p>
    <w:p>
      <w:pPr>
        <w:spacing w:after="0"/>
        <w:rPr>
          <w:sz w:val="17"/>
        </w:rPr>
        <w:sectPr>
          <w:pgSz w:w="14270" w:h="16850"/>
          <w:pgMar w:header="0" w:footer="404" w:top="1400" w:bottom="2080" w:left="800" w:right="1280"/>
        </w:sectPr>
      </w:pPr>
    </w:p>
    <w:p>
      <w:pPr>
        <w:pStyle w:val="BodyText"/>
        <w:ind w:left="609"/>
        <w:rPr>
          <w:sz w:val="20"/>
        </w:rPr>
      </w:pPr>
      <w:r>
        <w:rPr>
          <w:sz w:val="20"/>
        </w:rPr>
        <w:pict>
          <v:group style="width:254.7pt;height:205.8pt;mso-position-horizontal-relative:char;mso-position-vertical-relative:line" coordorigin="0,0" coordsize="5094,4116">
            <v:shape style="position:absolute;left:596;top:676;width:4205;height:2513" type="#_x0000_t75" stroked="false">
              <v:imagedata r:id="rId483" o:title=""/>
            </v:shape>
            <v:shape style="position:absolute;left:7;top:7;width:5079;height:4101" type="#_x0000_t202" filled="false" stroked="true" strokeweight=".75pt" strokecolor="#d9d9d9">
              <v:textbox inset="0,0,0,0">
                <w:txbxContent>
                  <w:p>
                    <w:pPr>
                      <w:spacing w:before="142"/>
                      <w:ind w:left="1131" w:right="0" w:firstLine="0"/>
                      <w:jc w:val="left"/>
                      <w:rPr>
                        <w:b/>
                        <w:sz w:val="24"/>
                      </w:rPr>
                    </w:pPr>
                    <w:r>
                      <w:rPr>
                        <w:b/>
                        <w:color w:val="585858"/>
                        <w:sz w:val="24"/>
                      </w:rPr>
                      <w:t>Gastrointestinal complaints</w:t>
                    </w:r>
                  </w:p>
                  <w:p>
                    <w:pPr>
                      <w:spacing w:line="240" w:lineRule="auto" w:before="3"/>
                      <w:rPr>
                        <w:sz w:val="33"/>
                      </w:rPr>
                    </w:pPr>
                  </w:p>
                  <w:p>
                    <w:pPr>
                      <w:spacing w:before="0"/>
                      <w:ind w:left="213" w:right="4597" w:firstLine="0"/>
                      <w:jc w:val="center"/>
                      <w:rPr>
                        <w:rFonts w:ascii="Calibri"/>
                        <w:sz w:val="18"/>
                      </w:rPr>
                    </w:pPr>
                    <w:r>
                      <w:rPr>
                        <w:rFonts w:ascii="Calibri"/>
                        <w:color w:val="585858"/>
                        <w:sz w:val="18"/>
                      </w:rPr>
                      <w:t>4,5</w:t>
                    </w:r>
                  </w:p>
                  <w:p>
                    <w:pPr>
                      <w:spacing w:before="30"/>
                      <w:ind w:left="0" w:right="4248" w:firstLine="0"/>
                      <w:jc w:val="center"/>
                      <w:rPr>
                        <w:rFonts w:ascii="Calibri"/>
                        <w:sz w:val="18"/>
                      </w:rPr>
                    </w:pPr>
                    <w:r>
                      <w:rPr>
                        <w:rFonts w:ascii="Calibri"/>
                        <w:color w:val="585858"/>
                        <w:sz w:val="18"/>
                      </w:rPr>
                      <w:t>4</w:t>
                    </w:r>
                  </w:p>
                  <w:p>
                    <w:pPr>
                      <w:spacing w:before="29"/>
                      <w:ind w:left="213" w:right="4597" w:firstLine="0"/>
                      <w:jc w:val="center"/>
                      <w:rPr>
                        <w:rFonts w:ascii="Calibri"/>
                        <w:sz w:val="18"/>
                      </w:rPr>
                    </w:pPr>
                    <w:r>
                      <w:rPr>
                        <w:rFonts w:ascii="Calibri"/>
                        <w:color w:val="585858"/>
                        <w:sz w:val="18"/>
                      </w:rPr>
                      <w:t>3,5</w:t>
                    </w:r>
                  </w:p>
                  <w:p>
                    <w:pPr>
                      <w:spacing w:before="29"/>
                      <w:ind w:left="0" w:right="4248" w:firstLine="0"/>
                      <w:jc w:val="center"/>
                      <w:rPr>
                        <w:rFonts w:ascii="Calibri"/>
                        <w:sz w:val="18"/>
                      </w:rPr>
                    </w:pPr>
                    <w:r>
                      <w:rPr>
                        <w:rFonts w:ascii="Calibri"/>
                        <w:color w:val="585858"/>
                        <w:sz w:val="18"/>
                      </w:rPr>
                      <w:t>3</w:t>
                    </w:r>
                  </w:p>
                  <w:p>
                    <w:pPr>
                      <w:spacing w:before="28"/>
                      <w:ind w:left="213" w:right="4597" w:firstLine="0"/>
                      <w:jc w:val="center"/>
                      <w:rPr>
                        <w:rFonts w:ascii="Calibri"/>
                        <w:sz w:val="18"/>
                      </w:rPr>
                    </w:pPr>
                    <w:r>
                      <w:rPr>
                        <w:rFonts w:ascii="Calibri"/>
                        <w:color w:val="585858"/>
                        <w:sz w:val="18"/>
                      </w:rPr>
                      <w:t>2,5</w:t>
                    </w:r>
                  </w:p>
                  <w:p>
                    <w:pPr>
                      <w:spacing w:before="29"/>
                      <w:ind w:left="0" w:right="4248" w:firstLine="0"/>
                      <w:jc w:val="center"/>
                      <w:rPr>
                        <w:rFonts w:ascii="Calibri"/>
                        <w:sz w:val="18"/>
                      </w:rPr>
                    </w:pPr>
                    <w:r>
                      <w:rPr>
                        <w:rFonts w:ascii="Calibri"/>
                        <w:color w:val="585858"/>
                        <w:sz w:val="18"/>
                      </w:rPr>
                      <w:t>2</w:t>
                    </w:r>
                  </w:p>
                  <w:p>
                    <w:pPr>
                      <w:spacing w:before="30"/>
                      <w:ind w:left="213" w:right="4597" w:firstLine="0"/>
                      <w:jc w:val="center"/>
                      <w:rPr>
                        <w:rFonts w:ascii="Calibri"/>
                        <w:sz w:val="18"/>
                      </w:rPr>
                    </w:pPr>
                    <w:r>
                      <w:rPr>
                        <w:rFonts w:ascii="Calibri"/>
                        <w:color w:val="585858"/>
                        <w:sz w:val="18"/>
                      </w:rPr>
                      <w:t>1,5</w:t>
                    </w:r>
                  </w:p>
                  <w:p>
                    <w:pPr>
                      <w:spacing w:before="29"/>
                      <w:ind w:left="0" w:right="4248" w:firstLine="0"/>
                      <w:jc w:val="center"/>
                      <w:rPr>
                        <w:rFonts w:ascii="Calibri"/>
                        <w:sz w:val="18"/>
                      </w:rPr>
                    </w:pPr>
                    <w:r>
                      <w:rPr>
                        <w:rFonts w:ascii="Calibri"/>
                        <w:color w:val="585858"/>
                        <w:sz w:val="18"/>
                      </w:rPr>
                      <w:t>1</w:t>
                    </w:r>
                  </w:p>
                  <w:p>
                    <w:pPr>
                      <w:spacing w:before="29"/>
                      <w:ind w:left="213" w:right="4597" w:firstLine="0"/>
                      <w:jc w:val="center"/>
                      <w:rPr>
                        <w:rFonts w:ascii="Calibri"/>
                        <w:sz w:val="18"/>
                      </w:rPr>
                    </w:pPr>
                    <w:r>
                      <w:rPr>
                        <w:rFonts w:ascii="Calibri"/>
                        <w:color w:val="585858"/>
                        <w:sz w:val="18"/>
                      </w:rPr>
                      <w:t>0,5</w:t>
                    </w:r>
                  </w:p>
                  <w:p>
                    <w:pPr>
                      <w:spacing w:before="28"/>
                      <w:ind w:left="0" w:right="4248" w:firstLine="0"/>
                      <w:jc w:val="center"/>
                      <w:rPr>
                        <w:rFonts w:ascii="Calibri"/>
                        <w:sz w:val="18"/>
                      </w:rPr>
                    </w:pPr>
                    <w:r>
                      <w:rPr>
                        <w:rFonts w:ascii="Calibri"/>
                        <w:color w:val="585858"/>
                        <w:sz w:val="18"/>
                      </w:rPr>
                      <w:t>0</w:t>
                    </w:r>
                  </w:p>
                  <w:p>
                    <w:pPr>
                      <w:tabs>
                        <w:tab w:pos="1679" w:val="left" w:leader="none"/>
                      </w:tabs>
                      <w:spacing w:before="5"/>
                      <w:ind w:left="815" w:right="0" w:firstLine="0"/>
                      <w:jc w:val="left"/>
                      <w:rPr>
                        <w:rFonts w:ascii="Calibri"/>
                        <w:sz w:val="18"/>
                      </w:rPr>
                    </w:pPr>
                    <w:r>
                      <w:rPr>
                        <w:rFonts w:ascii="Calibri"/>
                        <w:color w:val="585858"/>
                        <w:sz w:val="18"/>
                      </w:rPr>
                      <w:t>Placebo</w:t>
                      <w:tab/>
                      <w:t>Test group</w:t>
                    </w:r>
                  </w:p>
                  <w:p>
                    <w:pPr>
                      <w:spacing w:line="240" w:lineRule="auto" w:before="1"/>
                      <w:rPr>
                        <w:sz w:val="19"/>
                      </w:rPr>
                    </w:pPr>
                  </w:p>
                  <w:p>
                    <w:pPr>
                      <w:tabs>
                        <w:tab w:pos="2874" w:val="left" w:leader="none"/>
                      </w:tabs>
                      <w:spacing w:before="0"/>
                      <w:ind w:left="1147" w:right="0" w:firstLine="0"/>
                      <w:jc w:val="left"/>
                      <w:rPr>
                        <w:rFonts w:ascii="Calibri"/>
                        <w:sz w:val="18"/>
                      </w:rPr>
                    </w:pPr>
                    <w:r>
                      <w:rPr>
                        <w:rFonts w:ascii="Calibri"/>
                        <w:color w:val="585858"/>
                        <w:sz w:val="18"/>
                      </w:rPr>
                      <w:t>Start</w:t>
                    </w:r>
                    <w:r>
                      <w:rPr>
                        <w:rFonts w:ascii="Calibri"/>
                        <w:color w:val="585858"/>
                        <w:spacing w:val="-2"/>
                        <w:sz w:val="18"/>
                      </w:rPr>
                      <w:t> </w:t>
                    </w:r>
                    <w:r>
                      <w:rPr>
                        <w:rFonts w:ascii="Calibri"/>
                        <w:color w:val="585858"/>
                        <w:sz w:val="18"/>
                      </w:rPr>
                      <w:t>of</w:t>
                    </w:r>
                    <w:r>
                      <w:rPr>
                        <w:rFonts w:ascii="Calibri"/>
                        <w:color w:val="585858"/>
                        <w:spacing w:val="-2"/>
                        <w:sz w:val="18"/>
                      </w:rPr>
                      <w:t> </w:t>
                    </w:r>
                    <w:r>
                      <w:rPr>
                        <w:rFonts w:ascii="Calibri"/>
                        <w:color w:val="585858"/>
                        <w:sz w:val="18"/>
                      </w:rPr>
                      <w:t>treatment</w:t>
                      <w:tab/>
                      <w:t>End of</w:t>
                    </w:r>
                    <w:r>
                      <w:rPr>
                        <w:rFonts w:ascii="Calibri"/>
                        <w:color w:val="585858"/>
                        <w:spacing w:val="-2"/>
                        <w:sz w:val="18"/>
                      </w:rPr>
                      <w:t> </w:t>
                    </w:r>
                    <w:r>
                      <w:rPr>
                        <w:rFonts w:ascii="Calibri"/>
                        <w:color w:val="585858"/>
                        <w:sz w:val="18"/>
                      </w:rPr>
                      <w:t>treatment</w:t>
                    </w:r>
                  </w:p>
                </w:txbxContent>
              </v:textbox>
              <v:stroke dashstyle="solid"/>
              <w10:wrap type="none"/>
            </v:shape>
          </v:group>
        </w:pict>
      </w:r>
      <w:r>
        <w:rPr>
          <w:sz w:val="20"/>
        </w:rPr>
      </w:r>
    </w:p>
    <w:p>
      <w:pPr>
        <w:pStyle w:val="BodyText"/>
        <w:rPr>
          <w:sz w:val="15"/>
        </w:rPr>
      </w:pPr>
    </w:p>
    <w:p>
      <w:pPr>
        <w:pStyle w:val="BodyText"/>
        <w:tabs>
          <w:tab w:pos="4370" w:val="right" w:leader="none"/>
        </w:tabs>
        <w:spacing w:before="99"/>
        <w:ind w:left="616"/>
      </w:pPr>
      <w:r>
        <w:rPr/>
        <w:pict>
          <v:rect style="position:absolute;margin-left:121.519997pt;margin-top:-25.618803pt;width:4.9433pt;height:4.9433pt;mso-position-horizontal-relative:page;mso-position-vertical-relative:paragraph;z-index:-1252864" filled="true" fillcolor="#e22c91" stroked="false">
            <v:fill type="solid"/>
            <w10:wrap type="none"/>
          </v:rect>
        </w:pict>
      </w:r>
      <w:r>
        <w:rPr/>
        <w:pict>
          <v:rect style="position:absolute;margin-left:207.899994pt;margin-top:-25.618803pt;width:4.9433pt;height:4.9433pt;mso-position-horizontal-relative:page;mso-position-vertical-relative:paragraph;z-index:-1252840" filled="true" fillcolor="#c72fcc" stroked="false">
            <v:fill type="solid"/>
            <w10:wrap type="none"/>
          </v:rect>
        </w:pict>
      </w:r>
      <w:r>
        <w:rPr/>
        <w:t>Difference:</w:t>
      </w:r>
      <w:r>
        <w:rPr>
          <w:spacing w:val="2"/>
        </w:rPr>
        <w:t> </w:t>
      </w:r>
      <w:r>
        <w:rPr/>
        <w:t>2.49</w:t>
        <w:tab/>
        <w:t>3.44</w:t>
      </w:r>
    </w:p>
    <w:p>
      <w:pPr>
        <w:spacing w:after="0"/>
        <w:sectPr>
          <w:pgSz w:w="14270" w:h="16850"/>
          <w:pgMar w:header="0" w:footer="404" w:top="1400" w:bottom="2080" w:left="800" w:right="1280"/>
        </w:sectPr>
      </w:pPr>
    </w:p>
    <w:p>
      <w:pPr>
        <w:pStyle w:val="BodyText"/>
        <w:ind w:left="609"/>
        <w:rPr>
          <w:sz w:val="20"/>
        </w:rPr>
      </w:pPr>
      <w:r>
        <w:rPr>
          <w:sz w:val="20"/>
        </w:rPr>
        <w:pict>
          <v:group style="width:319.8pt;height:215pt;mso-position-horizontal-relative:char;mso-position-vertical-relative:line" coordorigin="0,0" coordsize="6396,4300">
            <v:shape style="position:absolute;left:539;top:676;width:5484;height:2696" type="#_x0000_t75" stroked="false">
              <v:imagedata r:id="rId484" o:title=""/>
            </v:shape>
            <v:rect style="position:absolute;left:1671;top:3954;width:99;height:99" filled="true" fillcolor="#e22c91" stroked="false">
              <v:fill type="solid"/>
            </v:rect>
            <v:rect style="position:absolute;left:3399;top:3954;width:99;height:99" filled="true" fillcolor="#c72fcc" stroked="false">
              <v:fill type="solid"/>
            </v:rect>
            <v:rect style="position:absolute;left:7;top:7;width:6381;height:4285" filled="false" stroked="true" strokeweight=".75pt" strokecolor="#d9d9d9">
              <v:stroke dashstyle="solid"/>
            </v:rect>
            <v:shape style="position:absolute;left:1813;top:3920;width:3003;height:180" type="#_x0000_t202" filled="false" stroked="false">
              <v:textbox inset="0,0,0,0">
                <w:txbxContent>
                  <w:p>
                    <w:pPr>
                      <w:tabs>
                        <w:tab w:pos="1727" w:val="left" w:leader="none"/>
                      </w:tabs>
                      <w:spacing w:line="180" w:lineRule="exact" w:before="0"/>
                      <w:ind w:left="0" w:right="0" w:firstLine="0"/>
                      <w:jc w:val="left"/>
                      <w:rPr>
                        <w:rFonts w:ascii="Calibri"/>
                        <w:sz w:val="18"/>
                      </w:rPr>
                    </w:pPr>
                    <w:r>
                      <w:rPr>
                        <w:rFonts w:ascii="Calibri"/>
                        <w:color w:val="585858"/>
                        <w:sz w:val="18"/>
                      </w:rPr>
                      <w:t>Start</w:t>
                    </w:r>
                    <w:r>
                      <w:rPr>
                        <w:rFonts w:ascii="Calibri"/>
                        <w:color w:val="585858"/>
                        <w:spacing w:val="-2"/>
                        <w:sz w:val="18"/>
                      </w:rPr>
                      <w:t> </w:t>
                    </w:r>
                    <w:r>
                      <w:rPr>
                        <w:rFonts w:ascii="Calibri"/>
                        <w:color w:val="585858"/>
                        <w:sz w:val="18"/>
                      </w:rPr>
                      <w:t>of</w:t>
                    </w:r>
                    <w:r>
                      <w:rPr>
                        <w:rFonts w:ascii="Calibri"/>
                        <w:color w:val="585858"/>
                        <w:spacing w:val="-2"/>
                        <w:sz w:val="18"/>
                      </w:rPr>
                      <w:t> </w:t>
                    </w:r>
                    <w:r>
                      <w:rPr>
                        <w:rFonts w:ascii="Calibri"/>
                        <w:color w:val="585858"/>
                        <w:sz w:val="18"/>
                      </w:rPr>
                      <w:t>treatment</w:t>
                      <w:tab/>
                      <w:t>End of</w:t>
                    </w:r>
                    <w:r>
                      <w:rPr>
                        <w:rFonts w:ascii="Calibri"/>
                        <w:color w:val="585858"/>
                        <w:spacing w:val="-4"/>
                        <w:sz w:val="18"/>
                      </w:rPr>
                      <w:t> </w:t>
                    </w:r>
                    <w:r>
                      <w:rPr>
                        <w:rFonts w:ascii="Calibri"/>
                        <w:color w:val="585858"/>
                        <w:sz w:val="18"/>
                      </w:rPr>
                      <w:t>treatment</w:t>
                    </w:r>
                  </w:p>
                </w:txbxContent>
              </v:textbox>
              <w10:wrap type="none"/>
            </v:shape>
            <v:shape style="position:absolute;left:2090;top:3486;width:801;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Test group</w:t>
                    </w:r>
                  </w:p>
                </w:txbxContent>
              </v:textbox>
              <w10:wrap type="none"/>
            </v:shape>
            <v:shape style="position:absolute;left:923;top:3486;width:595;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Placebo</w:t>
                    </w:r>
                  </w:p>
                </w:txbxContent>
              </v:textbox>
              <w10:wrap type="none"/>
            </v:shape>
            <v:shape style="position:absolute;left:318;top:893;width:112;height:2548" type="#_x0000_t202" filled="false" stroked="false">
              <v:textbox inset="0,0,0,0">
                <w:txbxContent>
                  <w:p>
                    <w:pPr>
                      <w:spacing w:line="183" w:lineRule="exact" w:before="0"/>
                      <w:ind w:left="0" w:right="0" w:firstLine="0"/>
                      <w:jc w:val="left"/>
                      <w:rPr>
                        <w:rFonts w:ascii="Calibri"/>
                        <w:sz w:val="18"/>
                      </w:rPr>
                    </w:pPr>
                    <w:r>
                      <w:rPr>
                        <w:rFonts w:ascii="Calibri"/>
                        <w:color w:val="585858"/>
                        <w:sz w:val="18"/>
                      </w:rPr>
                      <w:t>6</w:t>
                    </w:r>
                  </w:p>
                  <w:p>
                    <w:pPr>
                      <w:spacing w:line="240" w:lineRule="auto" w:before="6"/>
                      <w:rPr>
                        <w:sz w:val="15"/>
                      </w:rPr>
                    </w:pPr>
                  </w:p>
                  <w:p>
                    <w:pPr>
                      <w:spacing w:before="0"/>
                      <w:ind w:left="0" w:right="0" w:firstLine="0"/>
                      <w:jc w:val="left"/>
                      <w:rPr>
                        <w:rFonts w:ascii="Calibri"/>
                        <w:sz w:val="18"/>
                      </w:rPr>
                    </w:pPr>
                    <w:r>
                      <w:rPr>
                        <w:rFonts w:ascii="Calibri"/>
                        <w:color w:val="585858"/>
                        <w:sz w:val="18"/>
                      </w:rPr>
                      <w:t>5</w:t>
                    </w:r>
                  </w:p>
                  <w:p>
                    <w:pPr>
                      <w:spacing w:line="240" w:lineRule="auto" w:before="6"/>
                      <w:rPr>
                        <w:sz w:val="15"/>
                      </w:rPr>
                    </w:pPr>
                  </w:p>
                  <w:p>
                    <w:pPr>
                      <w:spacing w:before="0"/>
                      <w:ind w:left="0" w:right="0" w:firstLine="0"/>
                      <w:jc w:val="left"/>
                      <w:rPr>
                        <w:rFonts w:ascii="Calibri"/>
                        <w:sz w:val="18"/>
                      </w:rPr>
                    </w:pPr>
                    <w:r>
                      <w:rPr>
                        <w:rFonts w:ascii="Calibri"/>
                        <w:color w:val="585858"/>
                        <w:sz w:val="18"/>
                      </w:rPr>
                      <w:t>4</w:t>
                    </w:r>
                  </w:p>
                  <w:p>
                    <w:pPr>
                      <w:spacing w:line="240" w:lineRule="auto" w:before="6"/>
                      <w:rPr>
                        <w:sz w:val="15"/>
                      </w:rPr>
                    </w:pPr>
                  </w:p>
                  <w:p>
                    <w:pPr>
                      <w:spacing w:before="0"/>
                      <w:ind w:left="0" w:right="0" w:firstLine="0"/>
                      <w:jc w:val="left"/>
                      <w:rPr>
                        <w:rFonts w:ascii="Calibri"/>
                        <w:sz w:val="18"/>
                      </w:rPr>
                    </w:pPr>
                    <w:r>
                      <w:rPr>
                        <w:rFonts w:ascii="Calibri"/>
                        <w:color w:val="585858"/>
                        <w:sz w:val="18"/>
                      </w:rPr>
                      <w:t>3</w:t>
                    </w:r>
                  </w:p>
                  <w:p>
                    <w:pPr>
                      <w:spacing w:line="240" w:lineRule="auto" w:before="6"/>
                      <w:rPr>
                        <w:sz w:val="15"/>
                      </w:rPr>
                    </w:pPr>
                  </w:p>
                  <w:p>
                    <w:pPr>
                      <w:spacing w:before="0"/>
                      <w:ind w:left="0" w:right="0" w:firstLine="0"/>
                      <w:jc w:val="left"/>
                      <w:rPr>
                        <w:rFonts w:ascii="Calibri"/>
                        <w:sz w:val="18"/>
                      </w:rPr>
                    </w:pPr>
                    <w:r>
                      <w:rPr>
                        <w:rFonts w:ascii="Calibri"/>
                        <w:color w:val="585858"/>
                        <w:sz w:val="18"/>
                      </w:rPr>
                      <w:t>2</w:t>
                    </w:r>
                  </w:p>
                  <w:p>
                    <w:pPr>
                      <w:spacing w:line="240" w:lineRule="auto" w:before="6"/>
                      <w:rPr>
                        <w:sz w:val="15"/>
                      </w:rPr>
                    </w:pPr>
                  </w:p>
                  <w:p>
                    <w:pPr>
                      <w:spacing w:before="0"/>
                      <w:ind w:left="0" w:right="0" w:firstLine="0"/>
                      <w:jc w:val="left"/>
                      <w:rPr>
                        <w:rFonts w:ascii="Calibri"/>
                        <w:sz w:val="18"/>
                      </w:rPr>
                    </w:pPr>
                    <w:r>
                      <w:rPr>
                        <w:rFonts w:ascii="Calibri"/>
                        <w:color w:val="585858"/>
                        <w:sz w:val="18"/>
                      </w:rPr>
                      <w:t>1</w:t>
                    </w:r>
                  </w:p>
                  <w:p>
                    <w:pPr>
                      <w:spacing w:line="240" w:lineRule="auto" w:before="6"/>
                      <w:rPr>
                        <w:sz w:val="15"/>
                      </w:rPr>
                    </w:pPr>
                  </w:p>
                  <w:p>
                    <w:pPr>
                      <w:spacing w:line="216" w:lineRule="exact" w:before="0"/>
                      <w:ind w:left="0" w:right="0" w:firstLine="0"/>
                      <w:jc w:val="left"/>
                      <w:rPr>
                        <w:rFonts w:ascii="Calibri"/>
                        <w:sz w:val="18"/>
                      </w:rPr>
                    </w:pPr>
                    <w:r>
                      <w:rPr>
                        <w:rFonts w:ascii="Calibri"/>
                        <w:color w:val="585858"/>
                        <w:sz w:val="18"/>
                      </w:rPr>
                      <w:t>0</w:t>
                    </w:r>
                  </w:p>
                </w:txbxContent>
              </v:textbox>
              <w10:wrap type="none"/>
            </v:shape>
            <v:shape style="position:absolute;left:1373;top:157;width:3667;height:270" type="#_x0000_t202" filled="false" stroked="false">
              <v:textbox inset="0,0,0,0">
                <w:txbxContent>
                  <w:p>
                    <w:pPr>
                      <w:spacing w:before="0"/>
                      <w:ind w:left="0" w:right="0" w:firstLine="0"/>
                      <w:jc w:val="left"/>
                      <w:rPr>
                        <w:b/>
                        <w:sz w:val="24"/>
                      </w:rPr>
                    </w:pPr>
                    <w:r>
                      <w:rPr>
                        <w:b/>
                        <w:color w:val="585858"/>
                        <w:sz w:val="24"/>
                      </w:rPr>
                      <w:t>Subjective motor system complaints</w:t>
                    </w:r>
                  </w:p>
                </w:txbxContent>
              </v:textbox>
              <w10:wrap type="none"/>
            </v:shape>
          </v:group>
        </w:pict>
      </w:r>
      <w:r>
        <w:rPr>
          <w:sz w:val="20"/>
        </w:rPr>
      </w:r>
    </w:p>
    <w:p>
      <w:pPr>
        <w:pStyle w:val="BodyText"/>
        <w:tabs>
          <w:tab w:pos="4370" w:val="right" w:leader="none"/>
        </w:tabs>
        <w:spacing w:before="245"/>
        <w:ind w:left="616"/>
      </w:pPr>
      <w:r>
        <w:rPr/>
        <w:t>Difference: 2.89</w:t>
        <w:tab/>
        <w:t>4.72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3"/>
        </w:rPr>
      </w:pPr>
      <w:r>
        <w:rPr/>
        <w:pict>
          <v:group style="position:absolute;margin-left:70.474998pt;margin-top:15.34pt;width:295.650pt;height:198.75pt;mso-position-horizontal-relative:page;mso-position-vertical-relative:paragraph;z-index:15128;mso-wrap-distance-left:0;mso-wrap-distance-right:0" coordorigin="1409,307" coordsize="5913,3975">
            <v:shape style="position:absolute;left:2078;top:982;width:4880;height:2372" type="#_x0000_t75" stroked="false">
              <v:imagedata r:id="rId485" o:title=""/>
            </v:shape>
            <v:rect style="position:absolute;left:2839;top:3936;width:99;height:99" filled="true" fillcolor="#e22c91" stroked="false">
              <v:fill type="solid"/>
            </v:rect>
            <v:rect style="position:absolute;left:4567;top:3936;width:99;height:99" filled="true" fillcolor="#c72fcc" stroked="false">
              <v:fill type="solid"/>
            </v:rect>
            <v:rect style="position:absolute;left:1417;top:314;width:5898;height:3960" filled="false" stroked="true" strokeweight=".75pt" strokecolor="#d9d9d9">
              <v:stroke dashstyle="solid"/>
            </v:rect>
            <v:shape style="position:absolute;left:2120;top:465;width:4512;height:270" type="#_x0000_t202" filled="false" stroked="false">
              <v:textbox inset="0,0,0,0">
                <w:txbxContent>
                  <w:p>
                    <w:pPr>
                      <w:spacing w:before="0"/>
                      <w:ind w:left="0" w:right="0" w:firstLine="0"/>
                      <w:jc w:val="left"/>
                      <w:rPr>
                        <w:b/>
                        <w:sz w:val="24"/>
                      </w:rPr>
                    </w:pPr>
                    <w:r>
                      <w:rPr>
                        <w:b/>
                        <w:color w:val="585858"/>
                        <w:sz w:val="24"/>
                      </w:rPr>
                      <w:t>Subjective cardiovascular system</w:t>
                    </w:r>
                    <w:r>
                      <w:rPr>
                        <w:b/>
                        <w:color w:val="585858"/>
                        <w:spacing w:val="-32"/>
                        <w:sz w:val="24"/>
                      </w:rPr>
                      <w:t> </w:t>
                    </w:r>
                    <w:r>
                      <w:rPr>
                        <w:b/>
                        <w:color w:val="585858"/>
                        <w:sz w:val="24"/>
                      </w:rPr>
                      <w:t>complaints</w:t>
                    </w:r>
                  </w:p>
                </w:txbxContent>
              </v:textbox>
              <w10:wrap type="none"/>
            </v:shape>
            <v:shape style="position:absolute;left:1721;top:1174;width:248;height:2250" type="#_x0000_t202" filled="false" stroked="false">
              <v:textbox inset="0,0,0,0">
                <w:txbxContent>
                  <w:p>
                    <w:pPr>
                      <w:spacing w:line="183" w:lineRule="exact" w:before="0"/>
                      <w:ind w:left="0" w:right="18" w:firstLine="0"/>
                      <w:jc w:val="center"/>
                      <w:rPr>
                        <w:rFonts w:ascii="Calibri"/>
                        <w:sz w:val="18"/>
                      </w:rPr>
                    </w:pPr>
                    <w:r>
                      <w:rPr>
                        <w:rFonts w:ascii="Calibri"/>
                        <w:color w:val="585858"/>
                        <w:sz w:val="18"/>
                      </w:rPr>
                      <w:t>2,5</w:t>
                    </w:r>
                  </w:p>
                  <w:p>
                    <w:pPr>
                      <w:spacing w:line="240" w:lineRule="auto" w:before="3"/>
                      <w:rPr>
                        <w:sz w:val="17"/>
                      </w:rPr>
                    </w:pPr>
                  </w:p>
                  <w:p>
                    <w:pPr>
                      <w:spacing w:before="0"/>
                      <w:ind w:left="116" w:right="0" w:firstLine="0"/>
                      <w:jc w:val="center"/>
                      <w:rPr>
                        <w:rFonts w:ascii="Calibri"/>
                        <w:sz w:val="18"/>
                      </w:rPr>
                    </w:pPr>
                    <w:r>
                      <w:rPr>
                        <w:rFonts w:ascii="Calibri"/>
                        <w:color w:val="585858"/>
                        <w:sz w:val="18"/>
                      </w:rPr>
                      <w:t>2</w:t>
                    </w:r>
                  </w:p>
                  <w:p>
                    <w:pPr>
                      <w:spacing w:line="240" w:lineRule="auto" w:before="3"/>
                      <w:rPr>
                        <w:sz w:val="17"/>
                      </w:rPr>
                    </w:pPr>
                  </w:p>
                  <w:p>
                    <w:pPr>
                      <w:spacing w:before="0"/>
                      <w:ind w:left="0" w:right="18" w:firstLine="0"/>
                      <w:jc w:val="center"/>
                      <w:rPr>
                        <w:rFonts w:ascii="Calibri"/>
                        <w:sz w:val="18"/>
                      </w:rPr>
                    </w:pPr>
                    <w:r>
                      <w:rPr>
                        <w:rFonts w:ascii="Calibri"/>
                        <w:color w:val="585858"/>
                        <w:sz w:val="18"/>
                      </w:rPr>
                      <w:t>1,5</w:t>
                    </w:r>
                  </w:p>
                  <w:p>
                    <w:pPr>
                      <w:spacing w:line="240" w:lineRule="auto" w:before="2"/>
                      <w:rPr>
                        <w:sz w:val="17"/>
                      </w:rPr>
                    </w:pPr>
                  </w:p>
                  <w:p>
                    <w:pPr>
                      <w:spacing w:before="1"/>
                      <w:ind w:left="116" w:right="0" w:firstLine="0"/>
                      <w:jc w:val="center"/>
                      <w:rPr>
                        <w:rFonts w:ascii="Calibri"/>
                        <w:sz w:val="18"/>
                      </w:rPr>
                    </w:pPr>
                    <w:r>
                      <w:rPr>
                        <w:rFonts w:ascii="Calibri"/>
                        <w:color w:val="585858"/>
                        <w:w w:val="100"/>
                        <w:sz w:val="18"/>
                      </w:rPr>
                      <w:t>1</w:t>
                    </w:r>
                  </w:p>
                  <w:p>
                    <w:pPr>
                      <w:spacing w:line="240" w:lineRule="auto" w:before="3"/>
                      <w:rPr>
                        <w:sz w:val="17"/>
                      </w:rPr>
                    </w:pPr>
                  </w:p>
                  <w:p>
                    <w:pPr>
                      <w:spacing w:before="0"/>
                      <w:ind w:left="0" w:right="18" w:firstLine="0"/>
                      <w:jc w:val="center"/>
                      <w:rPr>
                        <w:rFonts w:ascii="Calibri"/>
                        <w:sz w:val="18"/>
                      </w:rPr>
                    </w:pPr>
                    <w:r>
                      <w:rPr>
                        <w:rFonts w:ascii="Calibri"/>
                        <w:color w:val="585858"/>
                        <w:sz w:val="18"/>
                      </w:rPr>
                      <w:t>0,5</w:t>
                    </w:r>
                  </w:p>
                  <w:p>
                    <w:pPr>
                      <w:spacing w:line="240" w:lineRule="auto" w:before="2"/>
                      <w:rPr>
                        <w:sz w:val="17"/>
                      </w:rPr>
                    </w:pPr>
                  </w:p>
                  <w:p>
                    <w:pPr>
                      <w:spacing w:line="216" w:lineRule="exact" w:before="1"/>
                      <w:ind w:left="116" w:right="0" w:firstLine="0"/>
                      <w:jc w:val="center"/>
                      <w:rPr>
                        <w:rFonts w:ascii="Calibri"/>
                        <w:sz w:val="18"/>
                      </w:rPr>
                    </w:pPr>
                    <w:r>
                      <w:rPr>
                        <w:rFonts w:ascii="Calibri"/>
                        <w:color w:val="585858"/>
                        <w:sz w:val="18"/>
                      </w:rPr>
                      <w:t>0</w:t>
                    </w:r>
                  </w:p>
                </w:txbxContent>
              </v:textbox>
              <w10:wrap type="none"/>
            </v:shape>
            <v:shape style="position:absolute;left:2391;top:3469;width:595;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Placebo</w:t>
                    </w:r>
                  </w:p>
                </w:txbxContent>
              </v:textbox>
              <w10:wrap type="none"/>
            </v:shape>
            <v:shape style="position:absolute;left:3415;top:3469;width:801;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Test group</w:t>
                    </w:r>
                  </w:p>
                </w:txbxContent>
              </v:textbox>
              <w10:wrap type="none"/>
            </v:shape>
            <v:shape style="position:absolute;left:2981;top:3902;width:3003;height:180" type="#_x0000_t202" filled="false" stroked="false">
              <v:textbox inset="0,0,0,0">
                <w:txbxContent>
                  <w:p>
                    <w:pPr>
                      <w:tabs>
                        <w:tab w:pos="1727" w:val="left" w:leader="none"/>
                      </w:tabs>
                      <w:spacing w:line="180" w:lineRule="exact" w:before="0"/>
                      <w:ind w:left="0" w:right="0" w:firstLine="0"/>
                      <w:jc w:val="left"/>
                      <w:rPr>
                        <w:rFonts w:ascii="Calibri"/>
                        <w:sz w:val="18"/>
                      </w:rPr>
                    </w:pPr>
                    <w:r>
                      <w:rPr>
                        <w:rFonts w:ascii="Calibri"/>
                        <w:color w:val="585858"/>
                        <w:sz w:val="18"/>
                      </w:rPr>
                      <w:t>Start</w:t>
                    </w:r>
                    <w:r>
                      <w:rPr>
                        <w:rFonts w:ascii="Calibri"/>
                        <w:color w:val="585858"/>
                        <w:spacing w:val="-2"/>
                        <w:sz w:val="18"/>
                      </w:rPr>
                      <w:t> </w:t>
                    </w:r>
                    <w:r>
                      <w:rPr>
                        <w:rFonts w:ascii="Calibri"/>
                        <w:color w:val="585858"/>
                        <w:sz w:val="18"/>
                      </w:rPr>
                      <w:t>of</w:t>
                    </w:r>
                    <w:r>
                      <w:rPr>
                        <w:rFonts w:ascii="Calibri"/>
                        <w:color w:val="585858"/>
                        <w:spacing w:val="-2"/>
                        <w:sz w:val="18"/>
                      </w:rPr>
                      <w:t> </w:t>
                    </w:r>
                    <w:r>
                      <w:rPr>
                        <w:rFonts w:ascii="Calibri"/>
                        <w:color w:val="585858"/>
                        <w:sz w:val="18"/>
                      </w:rPr>
                      <w:t>treatment</w:t>
                      <w:tab/>
                      <w:t>End of</w:t>
                    </w:r>
                    <w:r>
                      <w:rPr>
                        <w:rFonts w:ascii="Calibri"/>
                        <w:color w:val="585858"/>
                        <w:spacing w:val="-4"/>
                        <w:sz w:val="18"/>
                      </w:rPr>
                      <w:t> </w:t>
                    </w:r>
                    <w:r>
                      <w:rPr>
                        <w:rFonts w:ascii="Calibri"/>
                        <w:color w:val="585858"/>
                        <w:sz w:val="18"/>
                      </w:rPr>
                      <w:t>treatment</w:t>
                    </w:r>
                  </w:p>
                </w:txbxContent>
              </v:textbox>
              <w10:wrap type="none"/>
            </v:shape>
            <w10:wrap type="topAndBottom"/>
          </v:group>
        </w:pict>
      </w:r>
    </w:p>
    <w:p>
      <w:pPr>
        <w:pStyle w:val="BodyText"/>
        <w:tabs>
          <w:tab w:pos="3753" w:val="left" w:leader="none"/>
        </w:tabs>
        <w:spacing w:before="228"/>
        <w:ind w:left="616"/>
      </w:pPr>
      <w:r>
        <w:rPr/>
        <w:t>Difference:</w:t>
      </w:r>
      <w:r>
        <w:rPr>
          <w:spacing w:val="-1"/>
        </w:rPr>
        <w:t> </w:t>
      </w:r>
      <w:r>
        <w:rPr/>
        <w:t>1.15</w:t>
        <w:tab/>
        <w:t>1.63</w:t>
      </w:r>
    </w:p>
    <w:p>
      <w:pPr>
        <w:spacing w:after="0"/>
        <w:sectPr>
          <w:pgSz w:w="14270" w:h="16850"/>
          <w:pgMar w:header="0" w:footer="404" w:top="1400" w:bottom="2080" w:left="800" w:right="12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5"/>
        </w:rPr>
      </w:pPr>
    </w:p>
    <w:p>
      <w:pPr>
        <w:pStyle w:val="BodyText"/>
        <w:ind w:left="609"/>
        <w:rPr>
          <w:sz w:val="20"/>
        </w:rPr>
      </w:pPr>
      <w:r>
        <w:rPr>
          <w:sz w:val="20"/>
        </w:rPr>
        <w:pict>
          <v:group style="width:295.650pt;height:198.75pt;mso-position-horizontal-relative:char;mso-position-vertical-relative:line" coordorigin="0,0" coordsize="5913,3975">
            <v:shape style="position:absolute;left:668;top:675;width:4880;height:2372" type="#_x0000_t75" stroked="false">
              <v:imagedata r:id="rId486" o:title=""/>
            </v:shape>
            <v:rect style="position:absolute;left:1430;top:3629;width:99;height:99" filled="true" fillcolor="#e22c91" stroked="false">
              <v:fill type="solid"/>
            </v:rect>
            <v:rect style="position:absolute;left:3157;top:3629;width:99;height:99" filled="true" fillcolor="#c72fcc" stroked="false">
              <v:fill type="solid"/>
            </v:rect>
            <v:rect style="position:absolute;left:7;top:7;width:5898;height:3960" filled="false" stroked="true" strokeweight=".75pt" strokecolor="#d9d9d9">
              <v:stroke dashstyle="solid"/>
            </v:rect>
            <v:shape style="position:absolute;left:2285;top:157;width:1364;height:270" type="#_x0000_t202" filled="false" stroked="false">
              <v:textbox inset="0,0,0,0">
                <w:txbxContent>
                  <w:p>
                    <w:pPr>
                      <w:spacing w:before="0"/>
                      <w:ind w:left="0" w:right="0" w:firstLine="0"/>
                      <w:jc w:val="left"/>
                      <w:rPr>
                        <w:b/>
                        <w:sz w:val="24"/>
                      </w:rPr>
                    </w:pPr>
                    <w:r>
                      <w:rPr>
                        <w:b/>
                        <w:color w:val="585858"/>
                        <w:sz w:val="24"/>
                      </w:rPr>
                      <w:t>Skin changes</w:t>
                    </w:r>
                  </w:p>
                </w:txbxContent>
              </v:textbox>
              <w10:wrap type="none"/>
            </v:shape>
            <v:shape style="position:absolute;left:311;top:867;width:248;height:2250" type="#_x0000_t202" filled="false" stroked="false">
              <v:textbox inset="0,0,0,0">
                <w:txbxContent>
                  <w:p>
                    <w:pPr>
                      <w:spacing w:line="183" w:lineRule="exact" w:before="0"/>
                      <w:ind w:left="0" w:right="18" w:firstLine="0"/>
                      <w:jc w:val="center"/>
                      <w:rPr>
                        <w:rFonts w:ascii="Calibri"/>
                        <w:sz w:val="18"/>
                      </w:rPr>
                    </w:pPr>
                    <w:r>
                      <w:rPr>
                        <w:rFonts w:ascii="Calibri"/>
                        <w:color w:val="585858"/>
                        <w:sz w:val="18"/>
                      </w:rPr>
                      <w:t>3,5</w:t>
                    </w:r>
                  </w:p>
                  <w:p>
                    <w:pPr>
                      <w:spacing w:before="76"/>
                      <w:ind w:left="116" w:right="0" w:firstLine="0"/>
                      <w:jc w:val="center"/>
                      <w:rPr>
                        <w:rFonts w:ascii="Calibri"/>
                        <w:sz w:val="18"/>
                      </w:rPr>
                    </w:pPr>
                    <w:r>
                      <w:rPr>
                        <w:rFonts w:ascii="Calibri"/>
                        <w:color w:val="585858"/>
                        <w:sz w:val="18"/>
                      </w:rPr>
                      <w:t>3</w:t>
                    </w:r>
                  </w:p>
                  <w:p>
                    <w:pPr>
                      <w:spacing w:before="76"/>
                      <w:ind w:left="0" w:right="18" w:firstLine="0"/>
                      <w:jc w:val="center"/>
                      <w:rPr>
                        <w:rFonts w:ascii="Calibri"/>
                        <w:sz w:val="18"/>
                      </w:rPr>
                    </w:pPr>
                    <w:r>
                      <w:rPr>
                        <w:rFonts w:ascii="Calibri"/>
                        <w:color w:val="585858"/>
                        <w:sz w:val="18"/>
                      </w:rPr>
                      <w:t>2,5</w:t>
                    </w:r>
                  </w:p>
                  <w:p>
                    <w:pPr>
                      <w:spacing w:before="76"/>
                      <w:ind w:left="116" w:right="0" w:firstLine="0"/>
                      <w:jc w:val="center"/>
                      <w:rPr>
                        <w:rFonts w:ascii="Calibri"/>
                        <w:sz w:val="18"/>
                      </w:rPr>
                    </w:pPr>
                    <w:r>
                      <w:rPr>
                        <w:rFonts w:ascii="Calibri"/>
                        <w:color w:val="585858"/>
                        <w:sz w:val="18"/>
                      </w:rPr>
                      <w:t>2</w:t>
                    </w:r>
                  </w:p>
                  <w:p>
                    <w:pPr>
                      <w:spacing w:before="76"/>
                      <w:ind w:left="0" w:right="18" w:firstLine="0"/>
                      <w:jc w:val="center"/>
                      <w:rPr>
                        <w:rFonts w:ascii="Calibri"/>
                        <w:sz w:val="18"/>
                      </w:rPr>
                    </w:pPr>
                    <w:r>
                      <w:rPr>
                        <w:rFonts w:ascii="Calibri"/>
                        <w:color w:val="585858"/>
                        <w:sz w:val="18"/>
                      </w:rPr>
                      <w:t>1,5</w:t>
                    </w:r>
                  </w:p>
                  <w:p>
                    <w:pPr>
                      <w:spacing w:before="75"/>
                      <w:ind w:left="116" w:right="0" w:firstLine="0"/>
                      <w:jc w:val="center"/>
                      <w:rPr>
                        <w:rFonts w:ascii="Calibri"/>
                        <w:sz w:val="18"/>
                      </w:rPr>
                    </w:pPr>
                    <w:r>
                      <w:rPr>
                        <w:rFonts w:ascii="Calibri"/>
                        <w:color w:val="585858"/>
                        <w:sz w:val="18"/>
                      </w:rPr>
                      <w:t>1</w:t>
                    </w:r>
                  </w:p>
                  <w:p>
                    <w:pPr>
                      <w:spacing w:before="77"/>
                      <w:ind w:left="0" w:right="18" w:firstLine="0"/>
                      <w:jc w:val="center"/>
                      <w:rPr>
                        <w:rFonts w:ascii="Calibri"/>
                        <w:sz w:val="18"/>
                      </w:rPr>
                    </w:pPr>
                    <w:r>
                      <w:rPr>
                        <w:rFonts w:ascii="Calibri"/>
                        <w:color w:val="585858"/>
                        <w:sz w:val="18"/>
                      </w:rPr>
                      <w:t>0,5</w:t>
                    </w:r>
                  </w:p>
                  <w:p>
                    <w:pPr>
                      <w:spacing w:line="216" w:lineRule="exact" w:before="75"/>
                      <w:ind w:left="116" w:right="0" w:firstLine="0"/>
                      <w:jc w:val="center"/>
                      <w:rPr>
                        <w:rFonts w:ascii="Calibri"/>
                        <w:sz w:val="18"/>
                      </w:rPr>
                    </w:pPr>
                    <w:r>
                      <w:rPr>
                        <w:rFonts w:ascii="Calibri"/>
                        <w:color w:val="585858"/>
                        <w:sz w:val="18"/>
                      </w:rPr>
                      <w:t>0</w:t>
                    </w:r>
                  </w:p>
                </w:txbxContent>
              </v:textbox>
              <w10:wrap type="none"/>
            </v:shape>
            <v:shape style="position:absolute;left:981;top:3161;width:595;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Placebo</w:t>
                    </w:r>
                  </w:p>
                </w:txbxContent>
              </v:textbox>
              <w10:wrap type="none"/>
            </v:shape>
            <v:shape style="position:absolute;left:2005;top:3161;width:801;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Test group</w:t>
                    </w:r>
                  </w:p>
                </w:txbxContent>
              </v:textbox>
              <w10:wrap type="none"/>
            </v:shape>
            <v:shape style="position:absolute;left:1571;top:3595;width:3003;height:180" type="#_x0000_t202" filled="false" stroked="false">
              <v:textbox inset="0,0,0,0">
                <w:txbxContent>
                  <w:p>
                    <w:pPr>
                      <w:tabs>
                        <w:tab w:pos="1727" w:val="left" w:leader="none"/>
                      </w:tabs>
                      <w:spacing w:line="180" w:lineRule="exact" w:before="0"/>
                      <w:ind w:left="0" w:right="0" w:firstLine="0"/>
                      <w:jc w:val="left"/>
                      <w:rPr>
                        <w:rFonts w:ascii="Calibri"/>
                        <w:sz w:val="18"/>
                      </w:rPr>
                    </w:pPr>
                    <w:r>
                      <w:rPr>
                        <w:rFonts w:ascii="Calibri"/>
                        <w:color w:val="585858"/>
                        <w:sz w:val="18"/>
                      </w:rPr>
                      <w:t>Start</w:t>
                    </w:r>
                    <w:r>
                      <w:rPr>
                        <w:rFonts w:ascii="Calibri"/>
                        <w:color w:val="585858"/>
                        <w:spacing w:val="-2"/>
                        <w:sz w:val="18"/>
                      </w:rPr>
                      <w:t> </w:t>
                    </w:r>
                    <w:r>
                      <w:rPr>
                        <w:rFonts w:ascii="Calibri"/>
                        <w:color w:val="585858"/>
                        <w:sz w:val="18"/>
                      </w:rPr>
                      <w:t>of</w:t>
                    </w:r>
                    <w:r>
                      <w:rPr>
                        <w:rFonts w:ascii="Calibri"/>
                        <w:color w:val="585858"/>
                        <w:spacing w:val="-2"/>
                        <w:sz w:val="18"/>
                      </w:rPr>
                      <w:t> </w:t>
                    </w:r>
                    <w:r>
                      <w:rPr>
                        <w:rFonts w:ascii="Calibri"/>
                        <w:color w:val="585858"/>
                        <w:sz w:val="18"/>
                      </w:rPr>
                      <w:t>treatment</w:t>
                      <w:tab/>
                      <w:t>End of</w:t>
                    </w:r>
                    <w:r>
                      <w:rPr>
                        <w:rFonts w:ascii="Calibri"/>
                        <w:color w:val="585858"/>
                        <w:spacing w:val="-4"/>
                        <w:sz w:val="18"/>
                      </w:rPr>
                      <w:t> </w:t>
                    </w:r>
                    <w:r>
                      <w:rPr>
                        <w:rFonts w:ascii="Calibri"/>
                        <w:color w:val="585858"/>
                        <w:sz w:val="18"/>
                      </w:rPr>
                      <w:t>treatment</w:t>
                    </w:r>
                  </w:p>
                </w:txbxContent>
              </v:textbox>
              <w10:wrap type="none"/>
            </v:shape>
          </v:group>
        </w:pict>
      </w:r>
      <w:r>
        <w:rPr>
          <w:sz w:val="20"/>
        </w:rPr>
      </w:r>
    </w:p>
    <w:p>
      <w:pPr>
        <w:pStyle w:val="BodyText"/>
        <w:spacing w:before="10"/>
        <w:rPr>
          <w:sz w:val="10"/>
        </w:rPr>
      </w:pPr>
    </w:p>
    <w:p>
      <w:pPr>
        <w:pStyle w:val="BodyText"/>
        <w:tabs>
          <w:tab w:pos="4370" w:val="right" w:leader="none"/>
        </w:tabs>
        <w:spacing w:before="100"/>
        <w:ind w:left="616"/>
      </w:pPr>
      <w:r>
        <w:rPr/>
        <w:pict>
          <v:rect style="position:absolute;margin-left:141.990005pt;margin-top:255.241211pt;width:4.9433pt;height:4.9433pt;mso-position-horizontal-relative:page;mso-position-vertical-relative:paragraph;z-index:-1252336" filled="true" fillcolor="#e22c91" stroked="false">
            <v:fill type="solid"/>
            <w10:wrap type="none"/>
          </v:rect>
        </w:pict>
      </w:r>
      <w:r>
        <w:rPr/>
        <w:pict>
          <v:rect style="position:absolute;margin-left:228.369995pt;margin-top:255.241211pt;width:4.9433pt;height:4.9433pt;mso-position-horizontal-relative:page;mso-position-vertical-relative:paragraph;z-index:-1252312" filled="true" fillcolor="#c72fcc" stroked="false">
            <v:fill type="solid"/>
            <w10:wrap type="none"/>
          </v:rect>
        </w:pict>
      </w:r>
      <w:r>
        <w:rPr/>
        <w:t>Difference: 1.14</w:t>
        <w:tab/>
        <w:t>2.27</w:t>
      </w:r>
    </w:p>
    <w:p>
      <w:pPr>
        <w:pStyle w:val="BodyText"/>
        <w:rPr>
          <w:sz w:val="20"/>
        </w:rPr>
      </w:pPr>
    </w:p>
    <w:p>
      <w:pPr>
        <w:pStyle w:val="BodyText"/>
        <w:rPr>
          <w:sz w:val="20"/>
        </w:rPr>
      </w:pPr>
    </w:p>
    <w:p>
      <w:pPr>
        <w:pStyle w:val="BodyText"/>
        <w:rPr>
          <w:sz w:val="20"/>
        </w:rPr>
      </w:pPr>
    </w:p>
    <w:p>
      <w:pPr>
        <w:pStyle w:val="BodyText"/>
        <w:spacing w:before="8"/>
        <w:rPr>
          <w:sz w:val="20"/>
        </w:rPr>
      </w:pPr>
      <w:r>
        <w:rPr/>
        <w:pict>
          <v:group style="position:absolute;margin-left:70.474998pt;margin-top:13.645pt;width:295.650pt;height:198.75pt;mso-position-horizontal-relative:page;mso-position-vertical-relative:paragraph;z-index:15320;mso-wrap-distance-left:0;mso-wrap-distance-right:0" coordorigin="1409,273" coordsize="5913,3975">
            <v:shape style="position:absolute;left:1953;top:949;width:4992;height:2372" type="#_x0000_t75" stroked="false">
              <v:imagedata r:id="rId487" o:title=""/>
            </v:shape>
            <v:shape style="position:absolute;left:1417;top:280;width:5898;height:3960" type="#_x0000_t202" filled="false" stroked="true" strokeweight=".75pt" strokecolor="#d9d9d9">
              <v:textbox inset="0,0,0,0">
                <w:txbxContent>
                  <w:p>
                    <w:pPr>
                      <w:spacing w:before="143"/>
                      <w:ind w:left="1963" w:right="1963" w:firstLine="0"/>
                      <w:jc w:val="center"/>
                      <w:rPr>
                        <w:b/>
                        <w:sz w:val="24"/>
                      </w:rPr>
                    </w:pPr>
                    <w:r>
                      <w:rPr>
                        <w:b/>
                        <w:color w:val="585858"/>
                        <w:sz w:val="24"/>
                      </w:rPr>
                      <w:t>Fatigue tendencies</w:t>
                    </w:r>
                  </w:p>
                  <w:p>
                    <w:pPr>
                      <w:spacing w:line="240" w:lineRule="auto" w:before="3"/>
                      <w:rPr>
                        <w:sz w:val="36"/>
                      </w:rPr>
                    </w:pPr>
                  </w:p>
                  <w:p>
                    <w:pPr>
                      <w:spacing w:before="0"/>
                      <w:ind w:left="307" w:right="0" w:firstLine="0"/>
                      <w:jc w:val="left"/>
                      <w:rPr>
                        <w:rFonts w:ascii="Calibri"/>
                        <w:sz w:val="18"/>
                      </w:rPr>
                    </w:pPr>
                    <w:r>
                      <w:rPr>
                        <w:rFonts w:ascii="Calibri"/>
                        <w:color w:val="585858"/>
                        <w:sz w:val="18"/>
                      </w:rPr>
                      <w:t>5</w:t>
                    </w:r>
                  </w:p>
                  <w:p>
                    <w:pPr>
                      <w:spacing w:line="240" w:lineRule="auto" w:before="2"/>
                      <w:rPr>
                        <w:sz w:val="17"/>
                      </w:rPr>
                    </w:pPr>
                  </w:p>
                  <w:p>
                    <w:pPr>
                      <w:spacing w:before="0"/>
                      <w:ind w:left="307" w:right="0" w:firstLine="0"/>
                      <w:jc w:val="left"/>
                      <w:rPr>
                        <w:rFonts w:ascii="Calibri"/>
                        <w:sz w:val="18"/>
                      </w:rPr>
                    </w:pPr>
                    <w:r>
                      <w:rPr>
                        <w:rFonts w:ascii="Calibri"/>
                        <w:color w:val="585858"/>
                        <w:sz w:val="18"/>
                      </w:rPr>
                      <w:t>4</w:t>
                    </w:r>
                  </w:p>
                  <w:p>
                    <w:pPr>
                      <w:spacing w:line="240" w:lineRule="auto" w:before="2"/>
                      <w:rPr>
                        <w:sz w:val="17"/>
                      </w:rPr>
                    </w:pPr>
                  </w:p>
                  <w:p>
                    <w:pPr>
                      <w:spacing w:before="0"/>
                      <w:ind w:left="307" w:right="0" w:firstLine="0"/>
                      <w:jc w:val="left"/>
                      <w:rPr>
                        <w:rFonts w:ascii="Calibri"/>
                        <w:sz w:val="18"/>
                      </w:rPr>
                    </w:pPr>
                    <w:r>
                      <w:rPr>
                        <w:rFonts w:ascii="Calibri"/>
                        <w:color w:val="585858"/>
                        <w:sz w:val="18"/>
                      </w:rPr>
                      <w:t>3</w:t>
                    </w:r>
                  </w:p>
                  <w:p>
                    <w:pPr>
                      <w:spacing w:line="240" w:lineRule="auto" w:before="2"/>
                      <w:rPr>
                        <w:sz w:val="17"/>
                      </w:rPr>
                    </w:pPr>
                  </w:p>
                  <w:p>
                    <w:pPr>
                      <w:spacing w:before="0"/>
                      <w:ind w:left="307" w:right="0" w:firstLine="0"/>
                      <w:jc w:val="left"/>
                      <w:rPr>
                        <w:rFonts w:ascii="Calibri"/>
                        <w:sz w:val="18"/>
                      </w:rPr>
                    </w:pPr>
                    <w:r>
                      <w:rPr>
                        <w:rFonts w:ascii="Calibri"/>
                        <w:color w:val="585858"/>
                        <w:sz w:val="18"/>
                      </w:rPr>
                      <w:t>2</w:t>
                    </w:r>
                  </w:p>
                  <w:p>
                    <w:pPr>
                      <w:spacing w:line="240" w:lineRule="auto" w:before="2"/>
                      <w:rPr>
                        <w:sz w:val="17"/>
                      </w:rPr>
                    </w:pPr>
                  </w:p>
                  <w:p>
                    <w:pPr>
                      <w:spacing w:before="0"/>
                      <w:ind w:left="307" w:right="0" w:firstLine="0"/>
                      <w:jc w:val="left"/>
                      <w:rPr>
                        <w:rFonts w:ascii="Calibri"/>
                        <w:sz w:val="18"/>
                      </w:rPr>
                    </w:pPr>
                    <w:r>
                      <w:rPr>
                        <w:rFonts w:ascii="Calibri"/>
                        <w:color w:val="585858"/>
                        <w:sz w:val="18"/>
                      </w:rPr>
                      <w:t>1</w:t>
                    </w:r>
                  </w:p>
                  <w:p>
                    <w:pPr>
                      <w:spacing w:line="240" w:lineRule="auto" w:before="2"/>
                      <w:rPr>
                        <w:sz w:val="17"/>
                      </w:rPr>
                    </w:pPr>
                  </w:p>
                  <w:p>
                    <w:pPr>
                      <w:spacing w:before="0"/>
                      <w:ind w:left="307" w:right="0" w:firstLine="0"/>
                      <w:jc w:val="left"/>
                      <w:rPr>
                        <w:rFonts w:ascii="Calibri"/>
                        <w:sz w:val="18"/>
                      </w:rPr>
                    </w:pPr>
                    <w:r>
                      <w:rPr>
                        <w:rFonts w:ascii="Calibri"/>
                        <w:color w:val="585858"/>
                        <w:sz w:val="18"/>
                      </w:rPr>
                      <w:t>0</w:t>
                    </w:r>
                  </w:p>
                  <w:p>
                    <w:pPr>
                      <w:tabs>
                        <w:tab w:pos="1905" w:val="left" w:leader="none"/>
                      </w:tabs>
                      <w:spacing w:before="5"/>
                      <w:ind w:left="855" w:right="0" w:firstLine="0"/>
                      <w:jc w:val="left"/>
                      <w:rPr>
                        <w:rFonts w:ascii="Calibri"/>
                        <w:sz w:val="18"/>
                      </w:rPr>
                    </w:pPr>
                    <w:r>
                      <w:rPr>
                        <w:rFonts w:ascii="Calibri"/>
                        <w:color w:val="585858"/>
                        <w:sz w:val="18"/>
                      </w:rPr>
                      <w:t>Placebo</w:t>
                      <w:tab/>
                      <w:t>Test</w:t>
                    </w:r>
                    <w:r>
                      <w:rPr>
                        <w:rFonts w:ascii="Calibri"/>
                        <w:color w:val="585858"/>
                        <w:spacing w:val="-1"/>
                        <w:sz w:val="18"/>
                      </w:rPr>
                      <w:t> </w:t>
                    </w:r>
                    <w:r>
                      <w:rPr>
                        <w:rFonts w:ascii="Calibri"/>
                        <w:color w:val="585858"/>
                        <w:sz w:val="18"/>
                      </w:rPr>
                      <w:t>group</w:t>
                    </w:r>
                  </w:p>
                  <w:p>
                    <w:pPr>
                      <w:spacing w:line="240" w:lineRule="auto" w:before="0"/>
                      <w:rPr>
                        <w:sz w:val="19"/>
                      </w:rPr>
                    </w:pPr>
                  </w:p>
                  <w:p>
                    <w:pPr>
                      <w:tabs>
                        <w:tab w:pos="3284" w:val="left" w:leader="none"/>
                      </w:tabs>
                      <w:spacing w:before="0"/>
                      <w:ind w:left="1556" w:right="0" w:firstLine="0"/>
                      <w:jc w:val="left"/>
                      <w:rPr>
                        <w:rFonts w:ascii="Calibri"/>
                        <w:sz w:val="18"/>
                      </w:rPr>
                    </w:pPr>
                    <w:r>
                      <w:rPr>
                        <w:rFonts w:ascii="Calibri"/>
                        <w:color w:val="585858"/>
                        <w:sz w:val="18"/>
                      </w:rPr>
                      <w:t>Start</w:t>
                    </w:r>
                    <w:r>
                      <w:rPr>
                        <w:rFonts w:ascii="Calibri"/>
                        <w:color w:val="585858"/>
                        <w:spacing w:val="-2"/>
                        <w:sz w:val="18"/>
                      </w:rPr>
                      <w:t> </w:t>
                    </w:r>
                    <w:r>
                      <w:rPr>
                        <w:rFonts w:ascii="Calibri"/>
                        <w:color w:val="585858"/>
                        <w:sz w:val="18"/>
                      </w:rPr>
                      <w:t>of</w:t>
                    </w:r>
                    <w:r>
                      <w:rPr>
                        <w:rFonts w:ascii="Calibri"/>
                        <w:color w:val="585858"/>
                        <w:spacing w:val="-2"/>
                        <w:sz w:val="18"/>
                      </w:rPr>
                      <w:t> </w:t>
                    </w:r>
                    <w:r>
                      <w:rPr>
                        <w:rFonts w:ascii="Calibri"/>
                        <w:color w:val="585858"/>
                        <w:sz w:val="18"/>
                      </w:rPr>
                      <w:t>treatment</w:t>
                      <w:tab/>
                      <w:t>End of</w:t>
                    </w:r>
                    <w:r>
                      <w:rPr>
                        <w:rFonts w:ascii="Calibri"/>
                        <w:color w:val="585858"/>
                        <w:spacing w:val="-2"/>
                        <w:sz w:val="18"/>
                      </w:rPr>
                      <w:t> </w:t>
                    </w:r>
                    <w:r>
                      <w:rPr>
                        <w:rFonts w:ascii="Calibri"/>
                        <w:color w:val="585858"/>
                        <w:sz w:val="18"/>
                      </w:rPr>
                      <w:t>treatment</w:t>
                    </w:r>
                  </w:p>
                </w:txbxContent>
              </v:textbox>
              <v:stroke dashstyle="solid"/>
              <w10:wrap type="none"/>
            </v:shape>
            <w10:wrap type="topAndBottom"/>
          </v:group>
        </w:pict>
      </w:r>
    </w:p>
    <w:p>
      <w:pPr>
        <w:pStyle w:val="BodyText"/>
        <w:tabs>
          <w:tab w:pos="3753" w:val="left" w:leader="none"/>
        </w:tabs>
        <w:spacing w:before="227"/>
        <w:ind w:left="616"/>
      </w:pPr>
      <w:r>
        <w:rPr/>
        <w:t>Difference:</w:t>
      </w:r>
      <w:r>
        <w:rPr>
          <w:spacing w:val="-1"/>
        </w:rPr>
        <w:t> </w:t>
      </w:r>
      <w:r>
        <w:rPr/>
        <w:t>2.04</w:t>
        <w:tab/>
        <w:t>3.60</w:t>
      </w:r>
    </w:p>
    <w:p>
      <w:pPr>
        <w:spacing w:after="0"/>
        <w:sectPr>
          <w:pgSz w:w="14270" w:h="16850"/>
          <w:pgMar w:header="0" w:footer="404" w:top="1600" w:bottom="2080" w:left="800" w:right="1280"/>
        </w:sectPr>
      </w:pPr>
    </w:p>
    <w:p>
      <w:pPr>
        <w:pStyle w:val="BodyText"/>
        <w:spacing w:line="276" w:lineRule="auto" w:before="74"/>
        <w:ind w:left="616" w:right="141"/>
        <w:jc w:val="both"/>
      </w:pPr>
      <w:r>
        <w:rPr/>
        <w:t>The symptom improvements felt subjectively by study participants could be proven in laboratory tests! The values were compared at the start and end of the study.</w:t>
      </w:r>
    </w:p>
    <w:p>
      <w:pPr>
        <w:pStyle w:val="BodyText"/>
        <w:spacing w:line="276" w:lineRule="auto" w:before="239"/>
        <w:ind w:left="616" w:right="133"/>
        <w:jc w:val="both"/>
      </w:pPr>
      <w:r>
        <w:rPr/>
        <w:t>Explanation: A positive difference value (+) means that the laboratory</w:t>
      </w:r>
      <w:r>
        <w:rPr>
          <w:spacing w:val="-60"/>
        </w:rPr>
        <w:t> </w:t>
      </w:r>
      <w:r>
        <w:rPr/>
        <w:t>param- eters are reduced and the status has improved. A negative difference value </w:t>
      </w:r>
      <w:r>
        <w:rPr>
          <w:spacing w:val="3"/>
        </w:rPr>
        <w:t>(-) </w:t>
      </w:r>
      <w:r>
        <w:rPr/>
        <w:t>means that the status has worsened and therefore the laboratory parameters have increased:</w:t>
      </w:r>
    </w:p>
    <w:p>
      <w:pPr>
        <w:pStyle w:val="BodyText"/>
        <w:rPr>
          <w:sz w:val="20"/>
        </w:rPr>
      </w:pPr>
    </w:p>
    <w:p>
      <w:pPr>
        <w:pStyle w:val="BodyText"/>
        <w:rPr>
          <w:sz w:val="20"/>
        </w:rPr>
      </w:pPr>
    </w:p>
    <w:p>
      <w:pPr>
        <w:pStyle w:val="BodyText"/>
        <w:rPr>
          <w:sz w:val="20"/>
        </w:rPr>
      </w:pPr>
    </w:p>
    <w:p>
      <w:pPr>
        <w:pStyle w:val="BodyText"/>
        <w:spacing w:before="3"/>
        <w:rPr>
          <w:sz w:val="23"/>
        </w:r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19"/>
        <w:gridCol w:w="1577"/>
        <w:gridCol w:w="1393"/>
      </w:tblGrid>
      <w:tr>
        <w:trPr>
          <w:trHeight w:val="2409" w:hRule="atLeast"/>
        </w:trPr>
        <w:tc>
          <w:tcPr>
            <w:tcW w:w="2919" w:type="dxa"/>
          </w:tcPr>
          <w:p>
            <w:pPr>
              <w:pStyle w:val="TableParagraph"/>
              <w:spacing w:line="313" w:lineRule="exact"/>
              <w:ind w:left="172"/>
              <w:rPr>
                <w:b/>
                <w:sz w:val="28"/>
              </w:rPr>
            </w:pPr>
            <w:r>
              <w:rPr>
                <w:b/>
                <w:sz w:val="28"/>
              </w:rPr>
              <w:t>Laboratory parameter</w:t>
            </w:r>
          </w:p>
        </w:tc>
        <w:tc>
          <w:tcPr>
            <w:tcW w:w="1577" w:type="dxa"/>
          </w:tcPr>
          <w:p>
            <w:pPr>
              <w:pStyle w:val="TableParagraph"/>
              <w:spacing w:line="313" w:lineRule="exact"/>
              <w:ind w:left="165"/>
              <w:rPr>
                <w:b/>
                <w:sz w:val="28"/>
              </w:rPr>
            </w:pPr>
            <w:r>
              <w:rPr>
                <w:b/>
                <w:sz w:val="28"/>
              </w:rPr>
              <w:t>Difference</w:t>
            </w:r>
          </w:p>
          <w:p>
            <w:pPr>
              <w:pStyle w:val="TableParagraph"/>
              <w:spacing w:line="278" w:lineRule="auto" w:before="244"/>
              <w:ind w:left="309" w:right="296"/>
              <w:jc w:val="center"/>
              <w:rPr>
                <w:b/>
                <w:sz w:val="28"/>
              </w:rPr>
            </w:pPr>
            <w:r>
              <w:rPr>
                <w:b/>
                <w:sz w:val="28"/>
              </w:rPr>
              <w:t>Average value</w:t>
            </w:r>
          </w:p>
          <w:p>
            <w:pPr>
              <w:pStyle w:val="TableParagraph"/>
              <w:spacing w:line="278" w:lineRule="auto" w:before="193"/>
              <w:ind w:left="309" w:right="296"/>
              <w:jc w:val="center"/>
              <w:rPr>
                <w:b/>
                <w:sz w:val="28"/>
              </w:rPr>
            </w:pPr>
            <w:r>
              <w:rPr>
                <w:b/>
                <w:sz w:val="28"/>
              </w:rPr>
              <w:t>Placebo group</w:t>
            </w:r>
          </w:p>
        </w:tc>
        <w:tc>
          <w:tcPr>
            <w:tcW w:w="1393" w:type="dxa"/>
          </w:tcPr>
          <w:p>
            <w:pPr>
              <w:pStyle w:val="TableParagraph"/>
              <w:spacing w:line="276" w:lineRule="auto"/>
              <w:ind w:left="215" w:right="205"/>
              <w:jc w:val="center"/>
              <w:rPr>
                <w:b/>
                <w:sz w:val="28"/>
              </w:rPr>
            </w:pPr>
            <w:r>
              <w:rPr>
                <w:b/>
                <w:sz w:val="28"/>
              </w:rPr>
              <w:t>Average differ- ence</w:t>
            </w:r>
          </w:p>
          <w:p>
            <w:pPr>
              <w:pStyle w:val="TableParagraph"/>
              <w:spacing w:line="278" w:lineRule="auto" w:before="195"/>
              <w:ind w:left="342" w:right="333" w:hanging="3"/>
              <w:jc w:val="center"/>
              <w:rPr>
                <w:b/>
                <w:sz w:val="28"/>
              </w:rPr>
            </w:pPr>
            <w:r>
              <w:rPr>
                <w:b/>
                <w:sz w:val="28"/>
              </w:rPr>
              <w:t>Test group</w:t>
            </w:r>
          </w:p>
        </w:tc>
      </w:tr>
      <w:tr>
        <w:trPr>
          <w:trHeight w:val="926" w:hRule="atLeast"/>
        </w:trPr>
        <w:tc>
          <w:tcPr>
            <w:tcW w:w="2919" w:type="dxa"/>
          </w:tcPr>
          <w:p>
            <w:pPr>
              <w:pStyle w:val="TableParagraph"/>
              <w:spacing w:line="276" w:lineRule="auto"/>
              <w:ind w:left="110"/>
              <w:rPr>
                <w:sz w:val="28"/>
              </w:rPr>
            </w:pPr>
            <w:r>
              <w:rPr>
                <w:sz w:val="28"/>
              </w:rPr>
              <w:t>Blood sedimentation af- ter 1 hour (mm)</w:t>
            </w:r>
          </w:p>
        </w:tc>
        <w:tc>
          <w:tcPr>
            <w:tcW w:w="1577" w:type="dxa"/>
          </w:tcPr>
          <w:p>
            <w:pPr>
              <w:pStyle w:val="TableParagraph"/>
              <w:spacing w:before="1"/>
              <w:ind w:left="107"/>
              <w:rPr>
                <w:sz w:val="28"/>
              </w:rPr>
            </w:pPr>
            <w:r>
              <w:rPr>
                <w:sz w:val="28"/>
              </w:rPr>
              <w:t>0.21</w:t>
            </w:r>
          </w:p>
        </w:tc>
        <w:tc>
          <w:tcPr>
            <w:tcW w:w="1393" w:type="dxa"/>
          </w:tcPr>
          <w:p>
            <w:pPr>
              <w:pStyle w:val="TableParagraph"/>
              <w:spacing w:before="1"/>
              <w:ind w:left="107"/>
              <w:rPr>
                <w:sz w:val="28"/>
              </w:rPr>
            </w:pPr>
            <w:r>
              <w:rPr>
                <w:sz w:val="28"/>
              </w:rPr>
              <w:t>1.27</w:t>
            </w:r>
          </w:p>
        </w:tc>
      </w:tr>
      <w:tr>
        <w:trPr>
          <w:trHeight w:val="923" w:hRule="atLeast"/>
        </w:trPr>
        <w:tc>
          <w:tcPr>
            <w:tcW w:w="2919" w:type="dxa"/>
          </w:tcPr>
          <w:p>
            <w:pPr>
              <w:pStyle w:val="TableParagraph"/>
              <w:spacing w:line="278" w:lineRule="auto"/>
              <w:ind w:left="110"/>
              <w:rPr>
                <w:sz w:val="28"/>
              </w:rPr>
            </w:pPr>
            <w:r>
              <w:rPr>
                <w:sz w:val="28"/>
              </w:rPr>
              <w:t>Blood sedimentation af- ter 2 hours (mm)</w:t>
            </w:r>
          </w:p>
        </w:tc>
        <w:tc>
          <w:tcPr>
            <w:tcW w:w="1577" w:type="dxa"/>
          </w:tcPr>
          <w:p>
            <w:pPr>
              <w:pStyle w:val="TableParagraph"/>
              <w:spacing w:line="313" w:lineRule="exact"/>
              <w:ind w:left="107"/>
              <w:rPr>
                <w:sz w:val="28"/>
              </w:rPr>
            </w:pPr>
            <w:r>
              <w:rPr>
                <w:sz w:val="28"/>
              </w:rPr>
              <w:t>0.43</w:t>
            </w:r>
          </w:p>
        </w:tc>
        <w:tc>
          <w:tcPr>
            <w:tcW w:w="1393" w:type="dxa"/>
          </w:tcPr>
          <w:p>
            <w:pPr>
              <w:pStyle w:val="TableParagraph"/>
              <w:spacing w:line="313" w:lineRule="exact"/>
              <w:ind w:left="107"/>
              <w:rPr>
                <w:sz w:val="28"/>
              </w:rPr>
            </w:pPr>
            <w:r>
              <w:rPr>
                <w:sz w:val="28"/>
              </w:rPr>
              <w:t>3.37</w:t>
            </w:r>
          </w:p>
        </w:tc>
      </w:tr>
      <w:tr>
        <w:trPr>
          <w:trHeight w:val="563" w:hRule="atLeast"/>
        </w:trPr>
        <w:tc>
          <w:tcPr>
            <w:tcW w:w="2919" w:type="dxa"/>
          </w:tcPr>
          <w:p>
            <w:pPr>
              <w:pStyle w:val="TableParagraph"/>
              <w:spacing w:line="313" w:lineRule="exact"/>
              <w:ind w:left="110"/>
              <w:rPr>
                <w:sz w:val="28"/>
              </w:rPr>
            </w:pPr>
            <w:r>
              <w:rPr>
                <w:sz w:val="28"/>
              </w:rPr>
              <w:t>Erythrocytes (T/1)</w:t>
            </w:r>
          </w:p>
        </w:tc>
        <w:tc>
          <w:tcPr>
            <w:tcW w:w="1577" w:type="dxa"/>
          </w:tcPr>
          <w:p>
            <w:pPr>
              <w:pStyle w:val="TableParagraph"/>
              <w:spacing w:line="313" w:lineRule="exact"/>
              <w:ind w:left="107"/>
              <w:rPr>
                <w:sz w:val="28"/>
              </w:rPr>
            </w:pPr>
            <w:r>
              <w:rPr>
                <w:sz w:val="28"/>
              </w:rPr>
              <w:t>0.13</w:t>
            </w:r>
          </w:p>
        </w:tc>
        <w:tc>
          <w:tcPr>
            <w:tcW w:w="1393" w:type="dxa"/>
          </w:tcPr>
          <w:p>
            <w:pPr>
              <w:pStyle w:val="TableParagraph"/>
              <w:spacing w:line="313" w:lineRule="exact"/>
              <w:ind w:left="107"/>
              <w:rPr>
                <w:sz w:val="28"/>
              </w:rPr>
            </w:pPr>
            <w:r>
              <w:rPr>
                <w:sz w:val="28"/>
              </w:rPr>
              <w:t>0.07</w:t>
            </w:r>
          </w:p>
        </w:tc>
      </w:tr>
      <w:tr>
        <w:trPr>
          <w:trHeight w:val="561" w:hRule="atLeast"/>
        </w:trPr>
        <w:tc>
          <w:tcPr>
            <w:tcW w:w="2919" w:type="dxa"/>
          </w:tcPr>
          <w:p>
            <w:pPr>
              <w:pStyle w:val="TableParagraph"/>
              <w:spacing w:line="313" w:lineRule="exact"/>
              <w:ind w:left="110"/>
              <w:rPr>
                <w:sz w:val="28"/>
              </w:rPr>
            </w:pPr>
            <w:r>
              <w:rPr>
                <w:sz w:val="28"/>
              </w:rPr>
              <w:t>Haemoglobin (g/dl)</w:t>
            </w:r>
          </w:p>
        </w:tc>
        <w:tc>
          <w:tcPr>
            <w:tcW w:w="1577" w:type="dxa"/>
          </w:tcPr>
          <w:p>
            <w:pPr>
              <w:pStyle w:val="TableParagraph"/>
              <w:spacing w:line="313" w:lineRule="exact"/>
              <w:ind w:left="107"/>
              <w:rPr>
                <w:sz w:val="28"/>
              </w:rPr>
            </w:pPr>
            <w:r>
              <w:rPr>
                <w:sz w:val="28"/>
              </w:rPr>
              <w:t>-0.10</w:t>
            </w:r>
          </w:p>
        </w:tc>
        <w:tc>
          <w:tcPr>
            <w:tcW w:w="1393" w:type="dxa"/>
          </w:tcPr>
          <w:p>
            <w:pPr>
              <w:pStyle w:val="TableParagraph"/>
              <w:spacing w:line="313" w:lineRule="exact"/>
              <w:ind w:left="107"/>
              <w:rPr>
                <w:sz w:val="28"/>
              </w:rPr>
            </w:pPr>
            <w:r>
              <w:rPr>
                <w:sz w:val="28"/>
              </w:rPr>
              <w:t>0.25</w:t>
            </w:r>
          </w:p>
        </w:tc>
      </w:tr>
      <w:tr>
        <w:trPr>
          <w:trHeight w:val="561" w:hRule="atLeast"/>
        </w:trPr>
        <w:tc>
          <w:tcPr>
            <w:tcW w:w="2919" w:type="dxa"/>
          </w:tcPr>
          <w:p>
            <w:pPr>
              <w:pStyle w:val="TableParagraph"/>
              <w:spacing w:line="313" w:lineRule="exact"/>
              <w:ind w:left="110"/>
              <w:rPr>
                <w:sz w:val="28"/>
              </w:rPr>
            </w:pPr>
            <w:r>
              <w:rPr>
                <w:sz w:val="28"/>
              </w:rPr>
              <w:t>Haematocrit (%)</w:t>
            </w:r>
          </w:p>
        </w:tc>
        <w:tc>
          <w:tcPr>
            <w:tcW w:w="1577" w:type="dxa"/>
          </w:tcPr>
          <w:p>
            <w:pPr>
              <w:pStyle w:val="TableParagraph"/>
              <w:spacing w:line="313" w:lineRule="exact"/>
              <w:ind w:left="107"/>
              <w:rPr>
                <w:sz w:val="28"/>
              </w:rPr>
            </w:pPr>
            <w:r>
              <w:rPr>
                <w:sz w:val="28"/>
              </w:rPr>
              <w:t>0.28</w:t>
            </w:r>
          </w:p>
        </w:tc>
        <w:tc>
          <w:tcPr>
            <w:tcW w:w="1393" w:type="dxa"/>
          </w:tcPr>
          <w:p>
            <w:pPr>
              <w:pStyle w:val="TableParagraph"/>
              <w:spacing w:line="313" w:lineRule="exact"/>
              <w:ind w:left="107"/>
              <w:rPr>
                <w:sz w:val="28"/>
              </w:rPr>
            </w:pPr>
            <w:r>
              <w:rPr>
                <w:sz w:val="28"/>
              </w:rPr>
              <w:t>0.67</w:t>
            </w:r>
          </w:p>
        </w:tc>
      </w:tr>
      <w:tr>
        <w:trPr>
          <w:trHeight w:val="564" w:hRule="atLeast"/>
        </w:trPr>
        <w:tc>
          <w:tcPr>
            <w:tcW w:w="2919" w:type="dxa"/>
          </w:tcPr>
          <w:p>
            <w:pPr>
              <w:pStyle w:val="TableParagraph"/>
              <w:spacing w:before="1"/>
              <w:ind w:left="110"/>
              <w:rPr>
                <w:sz w:val="28"/>
              </w:rPr>
            </w:pPr>
            <w:r>
              <w:rPr>
                <w:sz w:val="28"/>
              </w:rPr>
              <w:t>Fibrinogen (mg/dl)</w:t>
            </w:r>
          </w:p>
        </w:tc>
        <w:tc>
          <w:tcPr>
            <w:tcW w:w="1577" w:type="dxa"/>
          </w:tcPr>
          <w:p>
            <w:pPr>
              <w:pStyle w:val="TableParagraph"/>
              <w:spacing w:before="1"/>
              <w:ind w:left="107"/>
              <w:rPr>
                <w:sz w:val="28"/>
              </w:rPr>
            </w:pPr>
            <w:r>
              <w:rPr>
                <w:sz w:val="28"/>
              </w:rPr>
              <w:t>-14.14</w:t>
            </w:r>
          </w:p>
        </w:tc>
        <w:tc>
          <w:tcPr>
            <w:tcW w:w="1393" w:type="dxa"/>
          </w:tcPr>
          <w:p>
            <w:pPr>
              <w:pStyle w:val="TableParagraph"/>
              <w:spacing w:before="1"/>
              <w:ind w:left="107"/>
              <w:rPr>
                <w:sz w:val="28"/>
              </w:rPr>
            </w:pPr>
            <w:r>
              <w:rPr>
                <w:sz w:val="28"/>
              </w:rPr>
              <w:t>0.6</w:t>
            </w:r>
          </w:p>
        </w:tc>
      </w:tr>
      <w:tr>
        <w:trPr>
          <w:trHeight w:val="561" w:hRule="atLeast"/>
        </w:trPr>
        <w:tc>
          <w:tcPr>
            <w:tcW w:w="2919" w:type="dxa"/>
          </w:tcPr>
          <w:p>
            <w:pPr>
              <w:pStyle w:val="TableParagraph"/>
              <w:spacing w:line="313" w:lineRule="exact"/>
              <w:ind w:left="110"/>
              <w:rPr>
                <w:sz w:val="28"/>
              </w:rPr>
            </w:pPr>
            <w:r>
              <w:rPr>
                <w:sz w:val="28"/>
              </w:rPr>
              <w:t>Triglyceride (mg/dl)</w:t>
            </w:r>
          </w:p>
        </w:tc>
        <w:tc>
          <w:tcPr>
            <w:tcW w:w="1577" w:type="dxa"/>
          </w:tcPr>
          <w:p>
            <w:pPr>
              <w:pStyle w:val="TableParagraph"/>
              <w:spacing w:line="313" w:lineRule="exact"/>
              <w:ind w:left="107"/>
              <w:rPr>
                <w:sz w:val="28"/>
              </w:rPr>
            </w:pPr>
            <w:r>
              <w:rPr>
                <w:sz w:val="28"/>
              </w:rPr>
              <w:t>25.18</w:t>
            </w:r>
          </w:p>
        </w:tc>
        <w:tc>
          <w:tcPr>
            <w:tcW w:w="1393" w:type="dxa"/>
          </w:tcPr>
          <w:p>
            <w:pPr>
              <w:pStyle w:val="TableParagraph"/>
              <w:spacing w:line="313" w:lineRule="exact"/>
              <w:ind w:left="107"/>
              <w:rPr>
                <w:sz w:val="28"/>
              </w:rPr>
            </w:pPr>
            <w:r>
              <w:rPr>
                <w:sz w:val="28"/>
              </w:rPr>
              <w:t>40.21</w:t>
            </w:r>
          </w:p>
        </w:tc>
      </w:tr>
    </w:tbl>
    <w:p>
      <w:pPr>
        <w:spacing w:after="0" w:line="313" w:lineRule="exact"/>
        <w:rPr>
          <w:sz w:val="28"/>
        </w:rPr>
        <w:sectPr>
          <w:pgSz w:w="14270" w:h="16850"/>
          <w:pgMar w:header="0" w:footer="404" w:top="1340" w:bottom="2080" w:left="800" w:right="1280"/>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19"/>
        <w:gridCol w:w="1577"/>
        <w:gridCol w:w="1393"/>
      </w:tblGrid>
      <w:tr>
        <w:trPr>
          <w:trHeight w:val="564" w:hRule="atLeast"/>
        </w:trPr>
        <w:tc>
          <w:tcPr>
            <w:tcW w:w="2919" w:type="dxa"/>
          </w:tcPr>
          <w:p>
            <w:pPr>
              <w:pStyle w:val="TableParagraph"/>
              <w:spacing w:line="311" w:lineRule="exact"/>
              <w:ind w:left="110"/>
              <w:rPr>
                <w:sz w:val="28"/>
              </w:rPr>
            </w:pPr>
            <w:r>
              <w:rPr>
                <w:sz w:val="28"/>
              </w:rPr>
              <w:t>Cholesterol (mg/dl)</w:t>
            </w:r>
          </w:p>
        </w:tc>
        <w:tc>
          <w:tcPr>
            <w:tcW w:w="1577" w:type="dxa"/>
          </w:tcPr>
          <w:p>
            <w:pPr>
              <w:pStyle w:val="TableParagraph"/>
              <w:spacing w:line="311" w:lineRule="exact"/>
              <w:ind w:left="107"/>
              <w:rPr>
                <w:sz w:val="28"/>
              </w:rPr>
            </w:pPr>
            <w:r>
              <w:rPr>
                <w:sz w:val="28"/>
              </w:rPr>
              <w:t>40.36</w:t>
            </w:r>
          </w:p>
        </w:tc>
        <w:tc>
          <w:tcPr>
            <w:tcW w:w="1393" w:type="dxa"/>
          </w:tcPr>
          <w:p>
            <w:pPr>
              <w:pStyle w:val="TableParagraph"/>
              <w:spacing w:line="311" w:lineRule="exact"/>
              <w:ind w:left="107"/>
              <w:rPr>
                <w:sz w:val="28"/>
              </w:rPr>
            </w:pPr>
            <w:r>
              <w:rPr>
                <w:sz w:val="28"/>
              </w:rPr>
              <w:t>52.37</w:t>
            </w:r>
          </w:p>
        </w:tc>
      </w:tr>
      <w:tr>
        <w:trPr>
          <w:trHeight w:val="561" w:hRule="atLeast"/>
        </w:trPr>
        <w:tc>
          <w:tcPr>
            <w:tcW w:w="2919" w:type="dxa"/>
          </w:tcPr>
          <w:p>
            <w:pPr>
              <w:pStyle w:val="TableParagraph"/>
              <w:spacing w:line="309" w:lineRule="exact"/>
              <w:ind w:left="110"/>
              <w:rPr>
                <w:sz w:val="28"/>
              </w:rPr>
            </w:pPr>
            <w:r>
              <w:rPr>
                <w:sz w:val="28"/>
              </w:rPr>
              <w:t>HDL (mg/dl)</w:t>
            </w:r>
          </w:p>
        </w:tc>
        <w:tc>
          <w:tcPr>
            <w:tcW w:w="1577" w:type="dxa"/>
          </w:tcPr>
          <w:p>
            <w:pPr>
              <w:pStyle w:val="TableParagraph"/>
              <w:spacing w:line="309" w:lineRule="exact"/>
              <w:ind w:left="107"/>
              <w:rPr>
                <w:sz w:val="28"/>
              </w:rPr>
            </w:pPr>
            <w:r>
              <w:rPr>
                <w:sz w:val="28"/>
              </w:rPr>
              <w:t>5.86</w:t>
            </w:r>
          </w:p>
        </w:tc>
        <w:tc>
          <w:tcPr>
            <w:tcW w:w="1393" w:type="dxa"/>
          </w:tcPr>
          <w:p>
            <w:pPr>
              <w:pStyle w:val="TableParagraph"/>
              <w:spacing w:line="309" w:lineRule="exact"/>
              <w:ind w:left="107"/>
              <w:rPr>
                <w:sz w:val="28"/>
              </w:rPr>
            </w:pPr>
            <w:r>
              <w:rPr>
                <w:sz w:val="28"/>
              </w:rPr>
              <w:t>12.50</w:t>
            </w:r>
          </w:p>
        </w:tc>
      </w:tr>
      <w:tr>
        <w:trPr>
          <w:trHeight w:val="563" w:hRule="atLeast"/>
        </w:trPr>
        <w:tc>
          <w:tcPr>
            <w:tcW w:w="2919" w:type="dxa"/>
          </w:tcPr>
          <w:p>
            <w:pPr>
              <w:pStyle w:val="TableParagraph"/>
              <w:spacing w:line="309" w:lineRule="exact"/>
              <w:ind w:left="110"/>
              <w:rPr>
                <w:sz w:val="28"/>
              </w:rPr>
            </w:pPr>
            <w:r>
              <w:rPr>
                <w:sz w:val="28"/>
              </w:rPr>
              <w:t>Total bilirubin (mg/dl)</w:t>
            </w:r>
          </w:p>
        </w:tc>
        <w:tc>
          <w:tcPr>
            <w:tcW w:w="1577" w:type="dxa"/>
          </w:tcPr>
          <w:p>
            <w:pPr>
              <w:pStyle w:val="TableParagraph"/>
              <w:spacing w:line="309" w:lineRule="exact"/>
              <w:ind w:left="107"/>
              <w:rPr>
                <w:sz w:val="28"/>
              </w:rPr>
            </w:pPr>
            <w:r>
              <w:rPr>
                <w:sz w:val="28"/>
              </w:rPr>
              <w:t>0.05</w:t>
            </w:r>
          </w:p>
        </w:tc>
        <w:tc>
          <w:tcPr>
            <w:tcW w:w="1393" w:type="dxa"/>
          </w:tcPr>
          <w:p>
            <w:pPr>
              <w:pStyle w:val="TableParagraph"/>
              <w:spacing w:line="309" w:lineRule="exact"/>
              <w:ind w:left="107"/>
              <w:rPr>
                <w:sz w:val="28"/>
              </w:rPr>
            </w:pPr>
            <w:r>
              <w:rPr>
                <w:sz w:val="28"/>
              </w:rPr>
              <w:t>0.03</w:t>
            </w:r>
          </w:p>
        </w:tc>
      </w:tr>
      <w:tr>
        <w:trPr>
          <w:trHeight w:val="561" w:hRule="atLeast"/>
        </w:trPr>
        <w:tc>
          <w:tcPr>
            <w:tcW w:w="2919" w:type="dxa"/>
          </w:tcPr>
          <w:p>
            <w:pPr>
              <w:pStyle w:val="TableParagraph"/>
              <w:spacing w:line="309" w:lineRule="exact"/>
              <w:ind w:left="110"/>
              <w:rPr>
                <w:sz w:val="28"/>
              </w:rPr>
            </w:pPr>
            <w:r>
              <w:rPr>
                <w:sz w:val="28"/>
              </w:rPr>
              <w:t>Gama-GT (U/l)</w:t>
            </w:r>
          </w:p>
        </w:tc>
        <w:tc>
          <w:tcPr>
            <w:tcW w:w="1577" w:type="dxa"/>
          </w:tcPr>
          <w:p>
            <w:pPr>
              <w:pStyle w:val="TableParagraph"/>
              <w:spacing w:line="309" w:lineRule="exact"/>
              <w:ind w:left="107"/>
              <w:rPr>
                <w:sz w:val="28"/>
              </w:rPr>
            </w:pPr>
            <w:r>
              <w:rPr>
                <w:sz w:val="28"/>
              </w:rPr>
              <w:t>5.86</w:t>
            </w:r>
          </w:p>
        </w:tc>
        <w:tc>
          <w:tcPr>
            <w:tcW w:w="1393" w:type="dxa"/>
          </w:tcPr>
          <w:p>
            <w:pPr>
              <w:pStyle w:val="TableParagraph"/>
              <w:spacing w:line="309" w:lineRule="exact"/>
              <w:ind w:left="107"/>
              <w:rPr>
                <w:sz w:val="28"/>
              </w:rPr>
            </w:pPr>
            <w:r>
              <w:rPr>
                <w:sz w:val="28"/>
              </w:rPr>
              <w:t>5.93</w:t>
            </w:r>
          </w:p>
        </w:tc>
      </w:tr>
      <w:tr>
        <w:trPr>
          <w:trHeight w:val="563" w:hRule="atLeast"/>
        </w:trPr>
        <w:tc>
          <w:tcPr>
            <w:tcW w:w="2919" w:type="dxa"/>
          </w:tcPr>
          <w:p>
            <w:pPr>
              <w:pStyle w:val="TableParagraph"/>
              <w:spacing w:line="309" w:lineRule="exact"/>
              <w:ind w:left="110"/>
              <w:rPr>
                <w:sz w:val="28"/>
              </w:rPr>
            </w:pPr>
            <w:r>
              <w:rPr>
                <w:sz w:val="28"/>
              </w:rPr>
              <w:t>GOT (U/l)</w:t>
            </w:r>
          </w:p>
        </w:tc>
        <w:tc>
          <w:tcPr>
            <w:tcW w:w="1577" w:type="dxa"/>
          </w:tcPr>
          <w:p>
            <w:pPr>
              <w:pStyle w:val="TableParagraph"/>
              <w:spacing w:line="309" w:lineRule="exact"/>
              <w:ind w:left="107"/>
              <w:rPr>
                <w:sz w:val="28"/>
              </w:rPr>
            </w:pPr>
            <w:r>
              <w:rPr>
                <w:sz w:val="28"/>
              </w:rPr>
              <w:t>-1.07</w:t>
            </w:r>
          </w:p>
        </w:tc>
        <w:tc>
          <w:tcPr>
            <w:tcW w:w="1393" w:type="dxa"/>
          </w:tcPr>
          <w:p>
            <w:pPr>
              <w:pStyle w:val="TableParagraph"/>
              <w:spacing w:line="309" w:lineRule="exact"/>
              <w:ind w:left="107"/>
              <w:rPr>
                <w:sz w:val="28"/>
              </w:rPr>
            </w:pPr>
            <w:r>
              <w:rPr>
                <w:sz w:val="28"/>
              </w:rPr>
              <w:t>-1.10</w:t>
            </w:r>
          </w:p>
        </w:tc>
      </w:tr>
      <w:tr>
        <w:trPr>
          <w:trHeight w:val="561" w:hRule="atLeast"/>
        </w:trPr>
        <w:tc>
          <w:tcPr>
            <w:tcW w:w="2919" w:type="dxa"/>
          </w:tcPr>
          <w:p>
            <w:pPr>
              <w:pStyle w:val="TableParagraph"/>
              <w:spacing w:line="309" w:lineRule="exact"/>
              <w:ind w:left="110"/>
              <w:rPr>
                <w:sz w:val="28"/>
              </w:rPr>
            </w:pPr>
            <w:r>
              <w:rPr>
                <w:sz w:val="28"/>
              </w:rPr>
              <w:t>GPT (U/l)</w:t>
            </w:r>
          </w:p>
        </w:tc>
        <w:tc>
          <w:tcPr>
            <w:tcW w:w="1577" w:type="dxa"/>
          </w:tcPr>
          <w:p>
            <w:pPr>
              <w:pStyle w:val="TableParagraph"/>
              <w:spacing w:line="309" w:lineRule="exact"/>
              <w:ind w:left="107"/>
              <w:rPr>
                <w:sz w:val="28"/>
              </w:rPr>
            </w:pPr>
            <w:r>
              <w:rPr>
                <w:sz w:val="28"/>
              </w:rPr>
              <w:t>-0.71</w:t>
            </w:r>
          </w:p>
        </w:tc>
        <w:tc>
          <w:tcPr>
            <w:tcW w:w="1393" w:type="dxa"/>
          </w:tcPr>
          <w:p>
            <w:pPr>
              <w:pStyle w:val="TableParagraph"/>
              <w:spacing w:line="309" w:lineRule="exact"/>
              <w:ind w:left="107"/>
              <w:rPr>
                <w:sz w:val="28"/>
              </w:rPr>
            </w:pPr>
            <w:r>
              <w:rPr>
                <w:sz w:val="28"/>
              </w:rPr>
              <w:t>-0.67</w:t>
            </w:r>
          </w:p>
        </w:tc>
      </w:tr>
      <w:tr>
        <w:trPr>
          <w:trHeight w:val="561" w:hRule="atLeast"/>
        </w:trPr>
        <w:tc>
          <w:tcPr>
            <w:tcW w:w="2919" w:type="dxa"/>
          </w:tcPr>
          <w:p>
            <w:pPr>
              <w:pStyle w:val="TableParagraph"/>
              <w:spacing w:line="309" w:lineRule="exact"/>
              <w:ind w:left="110"/>
              <w:rPr>
                <w:sz w:val="28"/>
              </w:rPr>
            </w:pPr>
            <w:r>
              <w:rPr>
                <w:sz w:val="28"/>
              </w:rPr>
              <w:t>Creatinine (mg/dl)</w:t>
            </w:r>
          </w:p>
        </w:tc>
        <w:tc>
          <w:tcPr>
            <w:tcW w:w="1577" w:type="dxa"/>
          </w:tcPr>
          <w:p>
            <w:pPr>
              <w:pStyle w:val="TableParagraph"/>
              <w:spacing w:line="309" w:lineRule="exact"/>
              <w:ind w:left="107"/>
              <w:rPr>
                <w:sz w:val="28"/>
              </w:rPr>
            </w:pPr>
            <w:r>
              <w:rPr>
                <w:sz w:val="28"/>
              </w:rPr>
              <w:t>-0.04</w:t>
            </w:r>
          </w:p>
        </w:tc>
        <w:tc>
          <w:tcPr>
            <w:tcW w:w="1393" w:type="dxa"/>
          </w:tcPr>
          <w:p>
            <w:pPr>
              <w:pStyle w:val="TableParagraph"/>
              <w:spacing w:line="309" w:lineRule="exact"/>
              <w:ind w:left="107"/>
              <w:rPr>
                <w:sz w:val="28"/>
              </w:rPr>
            </w:pPr>
            <w:r>
              <w:rPr>
                <w:sz w:val="28"/>
              </w:rPr>
              <w:t>-0.04</w:t>
            </w:r>
          </w:p>
        </w:tc>
      </w:tr>
      <w:tr>
        <w:trPr>
          <w:trHeight w:val="563" w:hRule="atLeast"/>
        </w:trPr>
        <w:tc>
          <w:tcPr>
            <w:tcW w:w="2919" w:type="dxa"/>
          </w:tcPr>
          <w:p>
            <w:pPr>
              <w:pStyle w:val="TableParagraph"/>
              <w:spacing w:line="311" w:lineRule="exact"/>
              <w:ind w:left="110"/>
              <w:rPr>
                <w:sz w:val="28"/>
              </w:rPr>
            </w:pPr>
            <w:r>
              <w:rPr>
                <w:sz w:val="28"/>
              </w:rPr>
              <w:t>Uric acid (mg/dl)</w:t>
            </w:r>
          </w:p>
        </w:tc>
        <w:tc>
          <w:tcPr>
            <w:tcW w:w="1577" w:type="dxa"/>
          </w:tcPr>
          <w:p>
            <w:pPr>
              <w:pStyle w:val="TableParagraph"/>
              <w:spacing w:line="311" w:lineRule="exact"/>
              <w:ind w:left="107"/>
              <w:rPr>
                <w:sz w:val="28"/>
              </w:rPr>
            </w:pPr>
            <w:r>
              <w:rPr>
                <w:sz w:val="28"/>
              </w:rPr>
              <w:t>-0.10</w:t>
            </w:r>
          </w:p>
        </w:tc>
        <w:tc>
          <w:tcPr>
            <w:tcW w:w="1393" w:type="dxa"/>
          </w:tcPr>
          <w:p>
            <w:pPr>
              <w:pStyle w:val="TableParagraph"/>
              <w:spacing w:line="311" w:lineRule="exact"/>
              <w:ind w:left="107"/>
              <w:rPr>
                <w:sz w:val="28"/>
              </w:rPr>
            </w:pPr>
            <w:r>
              <w:rPr>
                <w:sz w:val="28"/>
              </w:rPr>
              <w:t>-0.58</w:t>
            </w:r>
          </w:p>
        </w:tc>
      </w:tr>
      <w:tr>
        <w:trPr>
          <w:trHeight w:val="561" w:hRule="atLeast"/>
        </w:trPr>
        <w:tc>
          <w:tcPr>
            <w:tcW w:w="2919" w:type="dxa"/>
          </w:tcPr>
          <w:p>
            <w:pPr>
              <w:pStyle w:val="TableParagraph"/>
              <w:spacing w:line="309" w:lineRule="exact"/>
              <w:ind w:left="110"/>
              <w:rPr>
                <w:sz w:val="28"/>
              </w:rPr>
            </w:pPr>
            <w:r>
              <w:rPr>
                <w:sz w:val="28"/>
              </w:rPr>
              <w:t>Sodium (mmol/l)</w:t>
            </w:r>
          </w:p>
        </w:tc>
        <w:tc>
          <w:tcPr>
            <w:tcW w:w="1577" w:type="dxa"/>
          </w:tcPr>
          <w:p>
            <w:pPr>
              <w:pStyle w:val="TableParagraph"/>
              <w:spacing w:line="309" w:lineRule="exact"/>
              <w:ind w:left="107"/>
              <w:rPr>
                <w:sz w:val="28"/>
              </w:rPr>
            </w:pPr>
            <w:r>
              <w:rPr>
                <w:sz w:val="28"/>
              </w:rPr>
              <w:t>0.39</w:t>
            </w:r>
          </w:p>
        </w:tc>
        <w:tc>
          <w:tcPr>
            <w:tcW w:w="1393" w:type="dxa"/>
          </w:tcPr>
          <w:p>
            <w:pPr>
              <w:pStyle w:val="TableParagraph"/>
              <w:spacing w:line="309" w:lineRule="exact"/>
              <w:ind w:left="107"/>
              <w:rPr>
                <w:sz w:val="28"/>
              </w:rPr>
            </w:pPr>
            <w:r>
              <w:rPr>
                <w:sz w:val="28"/>
              </w:rPr>
              <w:t>1.07</w:t>
            </w:r>
          </w:p>
        </w:tc>
      </w:tr>
      <w:tr>
        <w:trPr>
          <w:trHeight w:val="563" w:hRule="atLeast"/>
        </w:trPr>
        <w:tc>
          <w:tcPr>
            <w:tcW w:w="2919" w:type="dxa"/>
          </w:tcPr>
          <w:p>
            <w:pPr>
              <w:pStyle w:val="TableParagraph"/>
              <w:spacing w:line="311" w:lineRule="exact"/>
              <w:ind w:left="110"/>
              <w:rPr>
                <w:sz w:val="28"/>
              </w:rPr>
            </w:pPr>
            <w:r>
              <w:rPr>
                <w:sz w:val="28"/>
              </w:rPr>
              <w:t>Potassium (mmol/l)</w:t>
            </w:r>
          </w:p>
        </w:tc>
        <w:tc>
          <w:tcPr>
            <w:tcW w:w="1577" w:type="dxa"/>
          </w:tcPr>
          <w:p>
            <w:pPr>
              <w:pStyle w:val="TableParagraph"/>
              <w:spacing w:line="311" w:lineRule="exact"/>
              <w:ind w:left="107"/>
              <w:rPr>
                <w:sz w:val="28"/>
              </w:rPr>
            </w:pPr>
            <w:r>
              <w:rPr>
                <w:sz w:val="28"/>
              </w:rPr>
              <w:t>0.07</w:t>
            </w:r>
          </w:p>
        </w:tc>
        <w:tc>
          <w:tcPr>
            <w:tcW w:w="1393" w:type="dxa"/>
          </w:tcPr>
          <w:p>
            <w:pPr>
              <w:pStyle w:val="TableParagraph"/>
              <w:spacing w:line="311" w:lineRule="exact"/>
              <w:ind w:left="107"/>
              <w:rPr>
                <w:sz w:val="28"/>
              </w:rPr>
            </w:pPr>
            <w:r>
              <w:rPr>
                <w:sz w:val="28"/>
              </w:rPr>
              <w:t>-0.03</w:t>
            </w:r>
          </w:p>
        </w:tc>
      </w:tr>
      <w:tr>
        <w:trPr>
          <w:trHeight w:val="561" w:hRule="atLeast"/>
        </w:trPr>
        <w:tc>
          <w:tcPr>
            <w:tcW w:w="2919" w:type="dxa"/>
          </w:tcPr>
          <w:p>
            <w:pPr>
              <w:pStyle w:val="TableParagraph"/>
              <w:spacing w:line="309" w:lineRule="exact"/>
              <w:ind w:left="110"/>
              <w:rPr>
                <w:sz w:val="28"/>
              </w:rPr>
            </w:pPr>
            <w:r>
              <w:rPr>
                <w:sz w:val="28"/>
              </w:rPr>
              <w:t>Chloride (mmol/l)</w:t>
            </w:r>
          </w:p>
        </w:tc>
        <w:tc>
          <w:tcPr>
            <w:tcW w:w="1577" w:type="dxa"/>
          </w:tcPr>
          <w:p>
            <w:pPr>
              <w:pStyle w:val="TableParagraph"/>
              <w:spacing w:line="309" w:lineRule="exact"/>
              <w:ind w:left="107"/>
              <w:rPr>
                <w:sz w:val="28"/>
              </w:rPr>
            </w:pPr>
            <w:r>
              <w:rPr>
                <w:sz w:val="28"/>
              </w:rPr>
              <w:t>0.93</w:t>
            </w:r>
          </w:p>
        </w:tc>
        <w:tc>
          <w:tcPr>
            <w:tcW w:w="1393" w:type="dxa"/>
          </w:tcPr>
          <w:p>
            <w:pPr>
              <w:pStyle w:val="TableParagraph"/>
              <w:spacing w:line="309" w:lineRule="exact"/>
              <w:ind w:left="107"/>
              <w:rPr>
                <w:sz w:val="28"/>
              </w:rPr>
            </w:pPr>
            <w:r>
              <w:rPr>
                <w:sz w:val="28"/>
              </w:rPr>
              <w:t>1.67</w:t>
            </w:r>
          </w:p>
        </w:tc>
      </w:tr>
      <w:tr>
        <w:trPr>
          <w:trHeight w:val="563" w:hRule="atLeast"/>
        </w:trPr>
        <w:tc>
          <w:tcPr>
            <w:tcW w:w="2919" w:type="dxa"/>
          </w:tcPr>
          <w:p>
            <w:pPr>
              <w:pStyle w:val="TableParagraph"/>
              <w:spacing w:line="309" w:lineRule="exact"/>
              <w:ind w:left="110"/>
              <w:rPr>
                <w:sz w:val="28"/>
              </w:rPr>
            </w:pPr>
            <w:r>
              <w:rPr>
                <w:sz w:val="28"/>
              </w:rPr>
              <w:t>Calcium (mmol/l)</w:t>
            </w:r>
          </w:p>
        </w:tc>
        <w:tc>
          <w:tcPr>
            <w:tcW w:w="1577" w:type="dxa"/>
          </w:tcPr>
          <w:p>
            <w:pPr>
              <w:pStyle w:val="TableParagraph"/>
              <w:spacing w:line="309" w:lineRule="exact"/>
              <w:ind w:left="107"/>
              <w:rPr>
                <w:sz w:val="28"/>
              </w:rPr>
            </w:pPr>
            <w:r>
              <w:rPr>
                <w:sz w:val="28"/>
              </w:rPr>
              <w:t>0.0</w:t>
            </w:r>
          </w:p>
        </w:tc>
        <w:tc>
          <w:tcPr>
            <w:tcW w:w="1393" w:type="dxa"/>
          </w:tcPr>
          <w:p>
            <w:pPr>
              <w:pStyle w:val="TableParagraph"/>
              <w:spacing w:line="309" w:lineRule="exact"/>
              <w:ind w:left="107"/>
              <w:rPr>
                <w:sz w:val="28"/>
              </w:rPr>
            </w:pPr>
            <w:r>
              <w:rPr>
                <w:sz w:val="28"/>
              </w:rPr>
              <w:t>0.0</w:t>
            </w:r>
          </w:p>
        </w:tc>
      </w:tr>
      <w:tr>
        <w:trPr>
          <w:trHeight w:val="561" w:hRule="atLeast"/>
        </w:trPr>
        <w:tc>
          <w:tcPr>
            <w:tcW w:w="2919" w:type="dxa"/>
          </w:tcPr>
          <w:p>
            <w:pPr>
              <w:pStyle w:val="TableParagraph"/>
              <w:spacing w:line="309" w:lineRule="exact"/>
              <w:ind w:left="110"/>
              <w:rPr>
                <w:sz w:val="28"/>
              </w:rPr>
            </w:pPr>
            <w:r>
              <w:rPr>
                <w:sz w:val="28"/>
              </w:rPr>
              <w:t>Magnesium (mmol/l)</w:t>
            </w:r>
          </w:p>
        </w:tc>
        <w:tc>
          <w:tcPr>
            <w:tcW w:w="1577" w:type="dxa"/>
          </w:tcPr>
          <w:p>
            <w:pPr>
              <w:pStyle w:val="TableParagraph"/>
              <w:spacing w:line="309" w:lineRule="exact"/>
              <w:ind w:left="107"/>
              <w:rPr>
                <w:sz w:val="28"/>
              </w:rPr>
            </w:pPr>
            <w:r>
              <w:rPr>
                <w:sz w:val="28"/>
              </w:rPr>
              <w:t>-0.06</w:t>
            </w:r>
          </w:p>
        </w:tc>
        <w:tc>
          <w:tcPr>
            <w:tcW w:w="1393" w:type="dxa"/>
          </w:tcPr>
          <w:p>
            <w:pPr>
              <w:pStyle w:val="TableParagraph"/>
              <w:spacing w:line="309" w:lineRule="exact"/>
              <w:ind w:left="107"/>
              <w:rPr>
                <w:sz w:val="28"/>
              </w:rPr>
            </w:pPr>
            <w:r>
              <w:rPr>
                <w:sz w:val="28"/>
              </w:rPr>
              <w:t>-0.03</w:t>
            </w:r>
          </w:p>
        </w:tc>
      </w:tr>
      <w:tr>
        <w:trPr>
          <w:trHeight w:val="563" w:hRule="atLeast"/>
        </w:trPr>
        <w:tc>
          <w:tcPr>
            <w:tcW w:w="2919" w:type="dxa"/>
          </w:tcPr>
          <w:p>
            <w:pPr>
              <w:pStyle w:val="TableParagraph"/>
              <w:spacing w:line="309" w:lineRule="exact"/>
              <w:ind w:left="110"/>
              <w:rPr>
                <w:sz w:val="28"/>
              </w:rPr>
            </w:pPr>
            <w:r>
              <w:rPr>
                <w:sz w:val="28"/>
              </w:rPr>
              <w:t>Total protein (mg/dl)</w:t>
            </w:r>
          </w:p>
        </w:tc>
        <w:tc>
          <w:tcPr>
            <w:tcW w:w="1577" w:type="dxa"/>
          </w:tcPr>
          <w:p>
            <w:pPr>
              <w:pStyle w:val="TableParagraph"/>
              <w:spacing w:line="309" w:lineRule="exact"/>
              <w:ind w:left="107"/>
              <w:rPr>
                <w:sz w:val="28"/>
              </w:rPr>
            </w:pPr>
            <w:r>
              <w:rPr>
                <w:sz w:val="28"/>
              </w:rPr>
              <w:t>0.11</w:t>
            </w:r>
          </w:p>
        </w:tc>
        <w:tc>
          <w:tcPr>
            <w:tcW w:w="1393" w:type="dxa"/>
          </w:tcPr>
          <w:p>
            <w:pPr>
              <w:pStyle w:val="TableParagraph"/>
              <w:spacing w:line="309" w:lineRule="exact"/>
              <w:ind w:left="107"/>
              <w:rPr>
                <w:sz w:val="28"/>
              </w:rPr>
            </w:pPr>
            <w:r>
              <w:rPr>
                <w:sz w:val="28"/>
              </w:rPr>
              <w:t>0.28</w:t>
            </w:r>
          </w:p>
        </w:tc>
      </w:tr>
    </w:tbl>
    <w:p>
      <w:pPr>
        <w:spacing w:after="0" w:line="309" w:lineRule="exact"/>
        <w:rPr>
          <w:sz w:val="28"/>
        </w:rPr>
        <w:sectPr>
          <w:pgSz w:w="14270" w:h="16850"/>
          <w:pgMar w:header="0" w:footer="404" w:top="1420" w:bottom="600" w:left="800" w:right="12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pStyle w:val="Heading1"/>
        <w:spacing w:line="261" w:lineRule="auto" w:before="100"/>
        <w:ind w:left="616" w:right="136"/>
        <w:jc w:val="both"/>
      </w:pPr>
      <w:r>
        <w:rPr/>
        <w:t>Conspicuous laboratory values for special demographics or at-risk groups</w:t>
      </w:r>
    </w:p>
    <w:p>
      <w:pPr>
        <w:pStyle w:val="BodyText"/>
        <w:spacing w:line="276" w:lineRule="auto" w:before="258"/>
        <w:ind w:left="616" w:right="136"/>
        <w:jc w:val="both"/>
      </w:pPr>
      <w:r>
        <w:rPr/>
        <w:t>The</w:t>
      </w:r>
      <w:r>
        <w:rPr>
          <w:spacing w:val="-12"/>
        </w:rPr>
        <w:t> </w:t>
      </w:r>
      <w:r>
        <w:rPr/>
        <w:t>change</w:t>
      </w:r>
      <w:r>
        <w:rPr>
          <w:spacing w:val="-15"/>
        </w:rPr>
        <w:t> </w:t>
      </w:r>
      <w:r>
        <w:rPr/>
        <w:t>in</w:t>
      </w:r>
      <w:r>
        <w:rPr>
          <w:spacing w:val="-14"/>
        </w:rPr>
        <w:t> </w:t>
      </w:r>
      <w:r>
        <w:rPr/>
        <w:t>certain</w:t>
      </w:r>
      <w:r>
        <w:rPr>
          <w:spacing w:val="-13"/>
        </w:rPr>
        <w:t> </w:t>
      </w:r>
      <w:r>
        <w:rPr/>
        <w:t>laboratory</w:t>
      </w:r>
      <w:r>
        <w:rPr>
          <w:spacing w:val="-12"/>
        </w:rPr>
        <w:t> </w:t>
      </w:r>
      <w:r>
        <w:rPr/>
        <w:t>results</w:t>
      </w:r>
      <w:r>
        <w:rPr>
          <w:spacing w:val="-13"/>
        </w:rPr>
        <w:t> </w:t>
      </w:r>
      <w:r>
        <w:rPr/>
        <w:t>in</w:t>
      </w:r>
      <w:r>
        <w:rPr>
          <w:spacing w:val="-14"/>
        </w:rPr>
        <w:t> </w:t>
      </w:r>
      <w:r>
        <w:rPr/>
        <w:t>selected</w:t>
      </w:r>
      <w:r>
        <w:rPr>
          <w:spacing w:val="-13"/>
        </w:rPr>
        <w:t> </w:t>
      </w:r>
      <w:r>
        <w:rPr/>
        <w:t>groups</w:t>
      </w:r>
      <w:r>
        <w:rPr>
          <w:spacing w:val="-13"/>
        </w:rPr>
        <w:t> </w:t>
      </w:r>
      <w:r>
        <w:rPr/>
        <w:t>of</w:t>
      </w:r>
      <w:r>
        <w:rPr>
          <w:spacing w:val="-15"/>
        </w:rPr>
        <w:t> </w:t>
      </w:r>
      <w:r>
        <w:rPr/>
        <w:t>patients</w:t>
      </w:r>
      <w:r>
        <w:rPr>
          <w:spacing w:val="-12"/>
        </w:rPr>
        <w:t> </w:t>
      </w:r>
      <w:r>
        <w:rPr/>
        <w:t>was</w:t>
      </w:r>
      <w:r>
        <w:rPr>
          <w:spacing w:val="-12"/>
        </w:rPr>
        <w:t> </w:t>
      </w:r>
      <w:r>
        <w:rPr/>
        <w:t>very interesting. The sample size, average difference between the start and end of the</w:t>
      </w:r>
      <w:r>
        <w:rPr>
          <w:spacing w:val="-16"/>
        </w:rPr>
        <w:t> </w:t>
      </w:r>
      <w:r>
        <w:rPr/>
        <w:t>study</w:t>
      </w:r>
      <w:r>
        <w:rPr>
          <w:spacing w:val="-17"/>
        </w:rPr>
        <w:t> </w:t>
      </w:r>
      <w:r>
        <w:rPr/>
        <w:t>and</w:t>
      </w:r>
      <w:r>
        <w:rPr>
          <w:spacing w:val="-20"/>
        </w:rPr>
        <w:t> </w:t>
      </w:r>
      <w:r>
        <w:rPr/>
        <w:t>the</w:t>
      </w:r>
      <w:r>
        <w:rPr>
          <w:spacing w:val="-16"/>
        </w:rPr>
        <w:t> </w:t>
      </w:r>
      <w:r>
        <w:rPr/>
        <w:t>level</w:t>
      </w:r>
      <w:r>
        <w:rPr>
          <w:spacing w:val="-18"/>
        </w:rPr>
        <w:t> </w:t>
      </w:r>
      <w:r>
        <w:rPr/>
        <w:t>of</w:t>
      </w:r>
      <w:r>
        <w:rPr>
          <w:spacing w:val="-19"/>
        </w:rPr>
        <w:t> </w:t>
      </w:r>
      <w:r>
        <w:rPr/>
        <w:t>significance</w:t>
      </w:r>
      <w:r>
        <w:rPr>
          <w:spacing w:val="-16"/>
        </w:rPr>
        <w:t> </w:t>
      </w:r>
      <w:r>
        <w:rPr/>
        <w:t>were</w:t>
      </w:r>
      <w:r>
        <w:rPr>
          <w:spacing w:val="-18"/>
        </w:rPr>
        <w:t> </w:t>
      </w:r>
      <w:r>
        <w:rPr/>
        <w:t>given</w:t>
      </w:r>
      <w:r>
        <w:rPr>
          <w:spacing w:val="-18"/>
        </w:rPr>
        <w:t> </w:t>
      </w:r>
      <w:r>
        <w:rPr/>
        <w:t>for</w:t>
      </w:r>
      <w:r>
        <w:rPr>
          <w:spacing w:val="-16"/>
        </w:rPr>
        <w:t> </w:t>
      </w:r>
      <w:r>
        <w:rPr/>
        <w:t>the</w:t>
      </w:r>
      <w:r>
        <w:rPr>
          <w:spacing w:val="-18"/>
        </w:rPr>
        <w:t> </w:t>
      </w:r>
      <w:r>
        <w:rPr/>
        <w:t>individual</w:t>
      </w:r>
      <w:r>
        <w:rPr>
          <w:spacing w:val="-17"/>
        </w:rPr>
        <w:t> </w:t>
      </w:r>
      <w:r>
        <w:rPr/>
        <w:t>parameters.</w:t>
      </w:r>
    </w:p>
    <w:p>
      <w:pPr>
        <w:pStyle w:val="BodyText"/>
        <w:spacing w:line="278" w:lineRule="auto" w:before="242"/>
        <w:ind w:left="616" w:right="144"/>
        <w:jc w:val="both"/>
      </w:pPr>
      <w:r>
        <w:rPr/>
        <w:t>Explanation: If the average difference is negative then the value has increased by the end of the study; if the difference is positive, it has reduced.</w:t>
      </w:r>
    </w:p>
    <w:p>
      <w:pPr>
        <w:pStyle w:val="Heading1"/>
        <w:spacing w:before="215"/>
        <w:ind w:left="616"/>
      </w:pPr>
      <w:r>
        <w:rPr/>
        <w:t>Groups of people/patients under 60 years</w:t>
      </w:r>
      <w:r>
        <w:rPr>
          <w:spacing w:val="-71"/>
        </w:rPr>
        <w:t> </w:t>
      </w:r>
      <w:r>
        <w:rPr/>
        <w:t>old</w:t>
      </w:r>
    </w:p>
    <w:p>
      <w:pPr>
        <w:pStyle w:val="BodyText"/>
        <w:spacing w:line="276" w:lineRule="auto" w:before="299"/>
        <w:ind w:left="616" w:right="138"/>
        <w:jc w:val="both"/>
      </w:pPr>
      <w:r>
        <w:rPr/>
        <w:t>Those under 60 had a consistently increased daily stress level, poor and irreg- ular nutrition and a greater tendency to eat fast food and move less.</w:t>
      </w:r>
    </w:p>
    <w:p>
      <w:pPr>
        <w:pStyle w:val="BodyText"/>
        <w:rPr>
          <w:sz w:val="20"/>
        </w:rPr>
      </w:pPr>
    </w:p>
    <w:p>
      <w:pPr>
        <w:pStyle w:val="BodyText"/>
        <w:rPr>
          <w:sz w:val="20"/>
        </w:rPr>
      </w:pPr>
    </w:p>
    <w:p>
      <w:pPr>
        <w:pStyle w:val="BodyText"/>
        <w:rPr>
          <w:sz w:val="20"/>
        </w:rPr>
      </w:pPr>
    </w:p>
    <w:p>
      <w:pPr>
        <w:pStyle w:val="BodyText"/>
        <w:spacing w:before="4"/>
        <w:rPr>
          <w:sz w:val="22"/>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46"/>
        <w:gridCol w:w="1260"/>
        <w:gridCol w:w="988"/>
        <w:gridCol w:w="1531"/>
        <w:gridCol w:w="988"/>
      </w:tblGrid>
      <w:tr>
        <w:trPr>
          <w:trHeight w:val="666" w:hRule="atLeast"/>
        </w:trPr>
        <w:tc>
          <w:tcPr>
            <w:tcW w:w="1346" w:type="dxa"/>
          </w:tcPr>
          <w:p>
            <w:pPr>
              <w:pStyle w:val="TableParagraph"/>
              <w:spacing w:line="201" w:lineRule="exact"/>
              <w:ind w:left="278"/>
              <w:rPr>
                <w:b/>
                <w:sz w:val="18"/>
              </w:rPr>
            </w:pPr>
            <w:r>
              <w:rPr>
                <w:b/>
                <w:sz w:val="18"/>
              </w:rPr>
              <w:t>Parameter</w:t>
            </w:r>
          </w:p>
        </w:tc>
        <w:tc>
          <w:tcPr>
            <w:tcW w:w="1260" w:type="dxa"/>
          </w:tcPr>
          <w:p>
            <w:pPr>
              <w:pStyle w:val="TableParagraph"/>
              <w:spacing w:line="276" w:lineRule="auto"/>
              <w:ind w:left="374" w:right="180" w:hanging="166"/>
              <w:rPr>
                <w:b/>
                <w:sz w:val="18"/>
              </w:rPr>
            </w:pPr>
            <w:r>
              <w:rPr>
                <w:b/>
                <w:sz w:val="18"/>
              </w:rPr>
              <w:t>Number of people</w:t>
            </w:r>
          </w:p>
        </w:tc>
        <w:tc>
          <w:tcPr>
            <w:tcW w:w="988" w:type="dxa"/>
          </w:tcPr>
          <w:p>
            <w:pPr>
              <w:pStyle w:val="TableParagraph"/>
              <w:rPr>
                <w:rFonts w:ascii="Times New Roman"/>
                <w:sz w:val="30"/>
              </w:rPr>
            </w:pPr>
          </w:p>
        </w:tc>
        <w:tc>
          <w:tcPr>
            <w:tcW w:w="1531" w:type="dxa"/>
          </w:tcPr>
          <w:p>
            <w:pPr>
              <w:pStyle w:val="TableParagraph"/>
              <w:spacing w:line="276" w:lineRule="auto"/>
              <w:ind w:left="589" w:right="173" w:hanging="387"/>
              <w:rPr>
                <w:b/>
                <w:sz w:val="18"/>
              </w:rPr>
            </w:pPr>
            <w:r>
              <w:rPr>
                <w:b/>
                <w:sz w:val="18"/>
              </w:rPr>
              <w:t>Average differ- ence</w:t>
            </w:r>
          </w:p>
        </w:tc>
        <w:tc>
          <w:tcPr>
            <w:tcW w:w="988" w:type="dxa"/>
          </w:tcPr>
          <w:p>
            <w:pPr>
              <w:pStyle w:val="TableParagraph"/>
              <w:rPr>
                <w:rFonts w:ascii="Times New Roman"/>
                <w:sz w:val="30"/>
              </w:rPr>
            </w:pPr>
          </w:p>
        </w:tc>
      </w:tr>
      <w:tr>
        <w:trPr>
          <w:trHeight w:val="431" w:hRule="atLeast"/>
        </w:trPr>
        <w:tc>
          <w:tcPr>
            <w:tcW w:w="1346" w:type="dxa"/>
          </w:tcPr>
          <w:p>
            <w:pPr>
              <w:pStyle w:val="TableParagraph"/>
              <w:rPr>
                <w:rFonts w:ascii="Times New Roman"/>
                <w:sz w:val="30"/>
              </w:rPr>
            </w:pPr>
          </w:p>
        </w:tc>
        <w:tc>
          <w:tcPr>
            <w:tcW w:w="1260" w:type="dxa"/>
          </w:tcPr>
          <w:p>
            <w:pPr>
              <w:pStyle w:val="TableParagraph"/>
              <w:spacing w:line="201" w:lineRule="exact"/>
              <w:ind w:left="108"/>
              <w:rPr>
                <w:sz w:val="18"/>
              </w:rPr>
            </w:pPr>
            <w:r>
              <w:rPr>
                <w:sz w:val="18"/>
              </w:rPr>
              <w:t>Placebo group</w:t>
            </w:r>
          </w:p>
        </w:tc>
        <w:tc>
          <w:tcPr>
            <w:tcW w:w="988" w:type="dxa"/>
          </w:tcPr>
          <w:p>
            <w:pPr>
              <w:pStyle w:val="TableParagraph"/>
              <w:spacing w:line="201" w:lineRule="exact"/>
              <w:ind w:left="108"/>
              <w:rPr>
                <w:sz w:val="18"/>
              </w:rPr>
            </w:pPr>
            <w:r>
              <w:rPr>
                <w:sz w:val="18"/>
              </w:rPr>
              <w:t>Test group</w:t>
            </w:r>
          </w:p>
        </w:tc>
        <w:tc>
          <w:tcPr>
            <w:tcW w:w="1531" w:type="dxa"/>
          </w:tcPr>
          <w:p>
            <w:pPr>
              <w:pStyle w:val="TableParagraph"/>
              <w:spacing w:line="201" w:lineRule="exact"/>
              <w:ind w:left="109"/>
              <w:rPr>
                <w:sz w:val="18"/>
              </w:rPr>
            </w:pPr>
            <w:r>
              <w:rPr>
                <w:sz w:val="18"/>
              </w:rPr>
              <w:t>Placebo group</w:t>
            </w:r>
          </w:p>
        </w:tc>
        <w:tc>
          <w:tcPr>
            <w:tcW w:w="988" w:type="dxa"/>
          </w:tcPr>
          <w:p>
            <w:pPr>
              <w:pStyle w:val="TableParagraph"/>
              <w:spacing w:line="201" w:lineRule="exact"/>
              <w:ind w:left="110"/>
              <w:rPr>
                <w:sz w:val="18"/>
              </w:rPr>
            </w:pPr>
            <w:r>
              <w:rPr>
                <w:sz w:val="18"/>
              </w:rPr>
              <w:t>Test group</w:t>
            </w:r>
          </w:p>
        </w:tc>
      </w:tr>
      <w:tr>
        <w:trPr>
          <w:trHeight w:val="434" w:hRule="atLeast"/>
        </w:trPr>
        <w:tc>
          <w:tcPr>
            <w:tcW w:w="1346" w:type="dxa"/>
          </w:tcPr>
          <w:p>
            <w:pPr>
              <w:pStyle w:val="TableParagraph"/>
              <w:spacing w:line="201" w:lineRule="exact"/>
              <w:ind w:left="107"/>
              <w:rPr>
                <w:sz w:val="18"/>
              </w:rPr>
            </w:pPr>
            <w:r>
              <w:rPr>
                <w:sz w:val="18"/>
              </w:rPr>
              <w:t>Fibrinogen**</w:t>
            </w:r>
          </w:p>
        </w:tc>
        <w:tc>
          <w:tcPr>
            <w:tcW w:w="1260" w:type="dxa"/>
          </w:tcPr>
          <w:p>
            <w:pPr>
              <w:pStyle w:val="TableParagraph"/>
              <w:spacing w:line="201" w:lineRule="exact"/>
              <w:ind w:left="108"/>
              <w:rPr>
                <w:sz w:val="18"/>
              </w:rPr>
            </w:pPr>
            <w:r>
              <w:rPr>
                <w:sz w:val="18"/>
              </w:rPr>
              <w:t>19</w:t>
            </w:r>
          </w:p>
        </w:tc>
        <w:tc>
          <w:tcPr>
            <w:tcW w:w="988" w:type="dxa"/>
          </w:tcPr>
          <w:p>
            <w:pPr>
              <w:pStyle w:val="TableParagraph"/>
              <w:spacing w:line="201" w:lineRule="exact"/>
              <w:ind w:left="108"/>
              <w:rPr>
                <w:sz w:val="18"/>
              </w:rPr>
            </w:pPr>
            <w:r>
              <w:rPr>
                <w:sz w:val="18"/>
              </w:rPr>
              <w:t>18</w:t>
            </w:r>
          </w:p>
        </w:tc>
        <w:tc>
          <w:tcPr>
            <w:tcW w:w="1531" w:type="dxa"/>
          </w:tcPr>
          <w:p>
            <w:pPr>
              <w:pStyle w:val="TableParagraph"/>
              <w:spacing w:line="201" w:lineRule="exact"/>
              <w:ind w:left="109"/>
              <w:rPr>
                <w:sz w:val="18"/>
              </w:rPr>
            </w:pPr>
            <w:r>
              <w:rPr>
                <w:sz w:val="18"/>
              </w:rPr>
              <w:t>-14</w:t>
            </w:r>
          </w:p>
        </w:tc>
        <w:tc>
          <w:tcPr>
            <w:tcW w:w="988" w:type="dxa"/>
          </w:tcPr>
          <w:p>
            <w:pPr>
              <w:pStyle w:val="TableParagraph"/>
              <w:spacing w:line="201" w:lineRule="exact"/>
              <w:ind w:left="110"/>
              <w:rPr>
                <w:sz w:val="18"/>
              </w:rPr>
            </w:pPr>
            <w:r>
              <w:rPr>
                <w:sz w:val="18"/>
              </w:rPr>
              <w:t>+13</w:t>
            </w:r>
          </w:p>
        </w:tc>
      </w:tr>
      <w:tr>
        <w:trPr>
          <w:trHeight w:val="431" w:hRule="atLeast"/>
        </w:trPr>
        <w:tc>
          <w:tcPr>
            <w:tcW w:w="1346" w:type="dxa"/>
          </w:tcPr>
          <w:p>
            <w:pPr>
              <w:pStyle w:val="TableParagraph"/>
              <w:spacing w:line="201" w:lineRule="exact"/>
              <w:ind w:left="107"/>
              <w:rPr>
                <w:sz w:val="18"/>
              </w:rPr>
            </w:pPr>
            <w:r>
              <w:rPr>
                <w:sz w:val="18"/>
              </w:rPr>
              <w:t>Cholesterol*</w:t>
            </w:r>
          </w:p>
        </w:tc>
        <w:tc>
          <w:tcPr>
            <w:tcW w:w="1260" w:type="dxa"/>
          </w:tcPr>
          <w:p>
            <w:pPr>
              <w:pStyle w:val="TableParagraph"/>
              <w:spacing w:line="201" w:lineRule="exact"/>
              <w:ind w:left="108"/>
              <w:rPr>
                <w:sz w:val="18"/>
              </w:rPr>
            </w:pPr>
            <w:r>
              <w:rPr>
                <w:sz w:val="18"/>
              </w:rPr>
              <w:t>19</w:t>
            </w:r>
          </w:p>
        </w:tc>
        <w:tc>
          <w:tcPr>
            <w:tcW w:w="988" w:type="dxa"/>
          </w:tcPr>
          <w:p>
            <w:pPr>
              <w:pStyle w:val="TableParagraph"/>
              <w:spacing w:line="201" w:lineRule="exact"/>
              <w:ind w:left="108"/>
              <w:rPr>
                <w:sz w:val="18"/>
              </w:rPr>
            </w:pPr>
            <w:r>
              <w:rPr>
                <w:sz w:val="18"/>
              </w:rPr>
              <w:t>18</w:t>
            </w:r>
          </w:p>
        </w:tc>
        <w:tc>
          <w:tcPr>
            <w:tcW w:w="1531" w:type="dxa"/>
          </w:tcPr>
          <w:p>
            <w:pPr>
              <w:pStyle w:val="TableParagraph"/>
              <w:spacing w:line="201" w:lineRule="exact"/>
              <w:ind w:left="109"/>
              <w:rPr>
                <w:sz w:val="18"/>
              </w:rPr>
            </w:pPr>
            <w:r>
              <w:rPr>
                <w:sz w:val="18"/>
              </w:rPr>
              <w:t>+40</w:t>
            </w:r>
          </w:p>
        </w:tc>
        <w:tc>
          <w:tcPr>
            <w:tcW w:w="988" w:type="dxa"/>
          </w:tcPr>
          <w:p>
            <w:pPr>
              <w:pStyle w:val="TableParagraph"/>
              <w:spacing w:line="201" w:lineRule="exact"/>
              <w:ind w:left="110"/>
              <w:rPr>
                <w:sz w:val="18"/>
              </w:rPr>
            </w:pPr>
            <w:r>
              <w:rPr>
                <w:sz w:val="18"/>
              </w:rPr>
              <w:t>+60</w:t>
            </w:r>
          </w:p>
        </w:tc>
      </w:tr>
      <w:tr>
        <w:trPr>
          <w:trHeight w:val="434" w:hRule="atLeast"/>
        </w:trPr>
        <w:tc>
          <w:tcPr>
            <w:tcW w:w="1346" w:type="dxa"/>
          </w:tcPr>
          <w:p>
            <w:pPr>
              <w:pStyle w:val="TableParagraph"/>
              <w:spacing w:line="201" w:lineRule="exact"/>
              <w:ind w:left="107"/>
              <w:rPr>
                <w:sz w:val="18"/>
              </w:rPr>
            </w:pPr>
            <w:r>
              <w:rPr>
                <w:sz w:val="18"/>
              </w:rPr>
              <w:t>Haemoglobin**</w:t>
            </w:r>
          </w:p>
        </w:tc>
        <w:tc>
          <w:tcPr>
            <w:tcW w:w="1260" w:type="dxa"/>
          </w:tcPr>
          <w:p>
            <w:pPr>
              <w:pStyle w:val="TableParagraph"/>
              <w:spacing w:line="201" w:lineRule="exact"/>
              <w:ind w:left="108"/>
              <w:rPr>
                <w:sz w:val="18"/>
              </w:rPr>
            </w:pPr>
            <w:r>
              <w:rPr>
                <w:sz w:val="18"/>
              </w:rPr>
              <w:t>19</w:t>
            </w:r>
          </w:p>
        </w:tc>
        <w:tc>
          <w:tcPr>
            <w:tcW w:w="988" w:type="dxa"/>
          </w:tcPr>
          <w:p>
            <w:pPr>
              <w:pStyle w:val="TableParagraph"/>
              <w:spacing w:line="201" w:lineRule="exact"/>
              <w:ind w:left="108"/>
              <w:rPr>
                <w:sz w:val="18"/>
              </w:rPr>
            </w:pPr>
            <w:r>
              <w:rPr>
                <w:sz w:val="18"/>
              </w:rPr>
              <w:t>18</w:t>
            </w:r>
          </w:p>
        </w:tc>
        <w:tc>
          <w:tcPr>
            <w:tcW w:w="1531" w:type="dxa"/>
          </w:tcPr>
          <w:p>
            <w:pPr>
              <w:pStyle w:val="TableParagraph"/>
              <w:spacing w:line="201" w:lineRule="exact"/>
              <w:ind w:left="109"/>
              <w:rPr>
                <w:sz w:val="18"/>
              </w:rPr>
            </w:pPr>
            <w:r>
              <w:rPr>
                <w:sz w:val="18"/>
              </w:rPr>
              <w:t>-0.14</w:t>
            </w:r>
          </w:p>
        </w:tc>
        <w:tc>
          <w:tcPr>
            <w:tcW w:w="988" w:type="dxa"/>
          </w:tcPr>
          <w:p>
            <w:pPr>
              <w:pStyle w:val="TableParagraph"/>
              <w:spacing w:line="201" w:lineRule="exact"/>
              <w:ind w:left="110"/>
              <w:rPr>
                <w:sz w:val="18"/>
              </w:rPr>
            </w:pPr>
            <w:r>
              <w:rPr>
                <w:sz w:val="18"/>
              </w:rPr>
              <w:t>+0.34</w:t>
            </w:r>
          </w:p>
        </w:tc>
      </w:tr>
      <w:tr>
        <w:trPr>
          <w:trHeight w:val="432" w:hRule="atLeast"/>
        </w:trPr>
        <w:tc>
          <w:tcPr>
            <w:tcW w:w="1346" w:type="dxa"/>
          </w:tcPr>
          <w:p>
            <w:pPr>
              <w:pStyle w:val="TableParagraph"/>
              <w:spacing w:line="201" w:lineRule="exact"/>
              <w:ind w:left="107"/>
              <w:rPr>
                <w:sz w:val="18"/>
              </w:rPr>
            </w:pPr>
            <w:r>
              <w:rPr>
                <w:sz w:val="18"/>
              </w:rPr>
              <w:t>Sodium*</w:t>
            </w:r>
          </w:p>
        </w:tc>
        <w:tc>
          <w:tcPr>
            <w:tcW w:w="1260" w:type="dxa"/>
          </w:tcPr>
          <w:p>
            <w:pPr>
              <w:pStyle w:val="TableParagraph"/>
              <w:spacing w:line="201" w:lineRule="exact"/>
              <w:ind w:left="108"/>
              <w:rPr>
                <w:sz w:val="18"/>
              </w:rPr>
            </w:pPr>
            <w:r>
              <w:rPr>
                <w:sz w:val="18"/>
              </w:rPr>
              <w:t>7</w:t>
            </w:r>
          </w:p>
        </w:tc>
        <w:tc>
          <w:tcPr>
            <w:tcW w:w="988" w:type="dxa"/>
          </w:tcPr>
          <w:p>
            <w:pPr>
              <w:pStyle w:val="TableParagraph"/>
              <w:spacing w:line="201" w:lineRule="exact"/>
              <w:ind w:left="108"/>
              <w:rPr>
                <w:sz w:val="18"/>
              </w:rPr>
            </w:pPr>
            <w:r>
              <w:rPr>
                <w:sz w:val="18"/>
              </w:rPr>
              <w:t>8</w:t>
            </w:r>
          </w:p>
        </w:tc>
        <w:tc>
          <w:tcPr>
            <w:tcW w:w="1531" w:type="dxa"/>
          </w:tcPr>
          <w:p>
            <w:pPr>
              <w:pStyle w:val="TableParagraph"/>
              <w:spacing w:line="201" w:lineRule="exact"/>
              <w:ind w:left="109"/>
              <w:rPr>
                <w:sz w:val="18"/>
              </w:rPr>
            </w:pPr>
            <w:r>
              <w:rPr>
                <w:sz w:val="18"/>
              </w:rPr>
              <w:t>-1.00</w:t>
            </w:r>
          </w:p>
        </w:tc>
        <w:tc>
          <w:tcPr>
            <w:tcW w:w="988" w:type="dxa"/>
          </w:tcPr>
          <w:p>
            <w:pPr>
              <w:pStyle w:val="TableParagraph"/>
              <w:spacing w:line="201" w:lineRule="exact"/>
              <w:ind w:left="110"/>
              <w:rPr>
                <w:sz w:val="18"/>
              </w:rPr>
            </w:pPr>
            <w:r>
              <w:rPr>
                <w:sz w:val="18"/>
              </w:rPr>
              <w:t>+2.3750</w:t>
            </w:r>
          </w:p>
        </w:tc>
      </w:tr>
      <w:tr>
        <w:trPr>
          <w:trHeight w:val="433" w:hRule="atLeast"/>
        </w:trPr>
        <w:tc>
          <w:tcPr>
            <w:tcW w:w="1346" w:type="dxa"/>
          </w:tcPr>
          <w:p>
            <w:pPr>
              <w:pStyle w:val="TableParagraph"/>
              <w:ind w:left="107"/>
              <w:rPr>
                <w:sz w:val="18"/>
              </w:rPr>
            </w:pPr>
            <w:r>
              <w:rPr>
                <w:sz w:val="18"/>
              </w:rPr>
              <w:t>Total protein**</w:t>
            </w:r>
          </w:p>
        </w:tc>
        <w:tc>
          <w:tcPr>
            <w:tcW w:w="1260" w:type="dxa"/>
          </w:tcPr>
          <w:p>
            <w:pPr>
              <w:pStyle w:val="TableParagraph"/>
              <w:ind w:left="108"/>
              <w:rPr>
                <w:sz w:val="18"/>
              </w:rPr>
            </w:pPr>
            <w:r>
              <w:rPr>
                <w:sz w:val="18"/>
              </w:rPr>
              <w:t>7</w:t>
            </w:r>
          </w:p>
        </w:tc>
        <w:tc>
          <w:tcPr>
            <w:tcW w:w="988" w:type="dxa"/>
          </w:tcPr>
          <w:p>
            <w:pPr>
              <w:pStyle w:val="TableParagraph"/>
              <w:ind w:left="108"/>
              <w:rPr>
                <w:sz w:val="18"/>
              </w:rPr>
            </w:pPr>
            <w:r>
              <w:rPr>
                <w:sz w:val="18"/>
              </w:rPr>
              <w:t>8</w:t>
            </w:r>
          </w:p>
        </w:tc>
        <w:tc>
          <w:tcPr>
            <w:tcW w:w="1531" w:type="dxa"/>
          </w:tcPr>
          <w:p>
            <w:pPr>
              <w:pStyle w:val="TableParagraph"/>
              <w:ind w:left="109"/>
              <w:rPr>
                <w:sz w:val="18"/>
              </w:rPr>
            </w:pPr>
            <w:r>
              <w:rPr>
                <w:sz w:val="18"/>
              </w:rPr>
              <w:t>-0.43</w:t>
            </w:r>
          </w:p>
        </w:tc>
        <w:tc>
          <w:tcPr>
            <w:tcW w:w="988" w:type="dxa"/>
          </w:tcPr>
          <w:p>
            <w:pPr>
              <w:pStyle w:val="TableParagraph"/>
              <w:ind w:left="110"/>
              <w:rPr>
                <w:sz w:val="18"/>
              </w:rPr>
            </w:pPr>
            <w:r>
              <w:rPr>
                <w:sz w:val="18"/>
              </w:rPr>
              <w:t>+0.46</w:t>
            </w:r>
          </w:p>
        </w:tc>
      </w:tr>
      <w:tr>
        <w:trPr>
          <w:trHeight w:val="434" w:hRule="atLeast"/>
        </w:trPr>
        <w:tc>
          <w:tcPr>
            <w:tcW w:w="6113" w:type="dxa"/>
            <w:gridSpan w:val="5"/>
          </w:tcPr>
          <w:p>
            <w:pPr>
              <w:pStyle w:val="TableParagraph"/>
              <w:spacing w:line="201" w:lineRule="exact"/>
              <w:ind w:left="107"/>
              <w:rPr>
                <w:sz w:val="18"/>
              </w:rPr>
            </w:pPr>
            <w:r>
              <w:rPr>
                <w:sz w:val="18"/>
              </w:rPr>
              <w:t>Level of significance: *p&lt;0.1 **p&lt;0.03</w:t>
            </w:r>
          </w:p>
        </w:tc>
      </w:tr>
    </w:tbl>
    <w:p>
      <w:pPr>
        <w:spacing w:after="0" w:line="201" w:lineRule="exact"/>
        <w:rPr>
          <w:sz w:val="18"/>
        </w:rPr>
        <w:sectPr>
          <w:pgSz w:w="14270" w:h="16850"/>
          <w:pgMar w:header="0" w:footer="404" w:top="1600" w:bottom="600" w:left="800" w:right="12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6"/>
        </w:rPr>
      </w:pPr>
    </w:p>
    <w:p>
      <w:pPr>
        <w:pStyle w:val="BodyText"/>
        <w:spacing w:line="276" w:lineRule="auto" w:before="99"/>
        <w:ind w:left="616" w:right="136"/>
        <w:jc w:val="both"/>
      </w:pPr>
      <w:r>
        <w:rPr/>
        <w:t>With the remarkable reduction in the cholesterol level and the improved haemorheology in the verum group (mineral substance group) compared to the placebo group, the study proves a reduction in the significant risk factors for arteriosclerosis, high blood pressure, heart attacks and strokes.</w:t>
      </w:r>
    </w:p>
    <w:p>
      <w:pPr>
        <w:pStyle w:val="BodyText"/>
        <w:rPr>
          <w:sz w:val="26"/>
        </w:rPr>
      </w:pPr>
    </w:p>
    <w:p>
      <w:pPr>
        <w:spacing w:before="100"/>
        <w:ind w:left="3155" w:right="0" w:firstLine="0"/>
        <w:jc w:val="left"/>
        <w:rPr>
          <w:b/>
          <w:sz w:val="24"/>
        </w:rPr>
      </w:pPr>
      <w:r>
        <w:rPr>
          <w:b/>
          <w:color w:val="585858"/>
          <w:sz w:val="24"/>
        </w:rPr>
        <w:t>Fibrinogen</w:t>
      </w:r>
    </w:p>
    <w:p>
      <w:pPr>
        <w:pStyle w:val="BodyText"/>
        <w:spacing w:before="5"/>
        <w:rPr>
          <w:b/>
          <w:sz w:val="29"/>
        </w:rPr>
      </w:pPr>
    </w:p>
    <w:p>
      <w:pPr>
        <w:spacing w:before="63"/>
        <w:ind w:left="1952" w:right="0" w:firstLine="0"/>
        <w:jc w:val="left"/>
        <w:rPr>
          <w:rFonts w:ascii="Calibri"/>
          <w:sz w:val="18"/>
        </w:rPr>
      </w:pPr>
      <w:r>
        <w:rPr/>
        <w:drawing>
          <wp:anchor distT="0" distB="0" distL="0" distR="0" allowOverlap="1" layoutInCell="1" locked="0" behindDoc="0" simplePos="0" relativeHeight="17440">
            <wp:simplePos x="0" y="0"/>
            <wp:positionH relativeFrom="page">
              <wp:posOffset>1946148</wp:posOffset>
            </wp:positionH>
            <wp:positionV relativeFrom="paragraph">
              <wp:posOffset>-54110</wp:posOffset>
            </wp:positionV>
            <wp:extent cx="2688336" cy="1450848"/>
            <wp:effectExtent l="0" t="0" r="0" b="0"/>
            <wp:wrapNone/>
            <wp:docPr id="695" name="image25.png" descr=""/>
            <wp:cNvGraphicFramePr>
              <a:graphicFrameLocks noChangeAspect="1"/>
            </wp:cNvGraphicFramePr>
            <a:graphic>
              <a:graphicData uri="http://schemas.openxmlformats.org/drawingml/2006/picture">
                <pic:pic>
                  <pic:nvPicPr>
                    <pic:cNvPr id="696" name="image25.png"/>
                    <pic:cNvPicPr/>
                  </pic:nvPicPr>
                  <pic:blipFill>
                    <a:blip r:embed="rId488" cstate="print"/>
                    <a:stretch>
                      <a:fillRect/>
                    </a:stretch>
                  </pic:blipFill>
                  <pic:spPr>
                    <a:xfrm>
                      <a:off x="0" y="0"/>
                      <a:ext cx="2688336" cy="1450848"/>
                    </a:xfrm>
                    <a:prstGeom prst="rect">
                      <a:avLst/>
                    </a:prstGeom>
                  </pic:spPr>
                </pic:pic>
              </a:graphicData>
            </a:graphic>
          </wp:anchor>
        </w:drawing>
      </w:r>
      <w:r>
        <w:rPr>
          <w:rFonts w:ascii="Calibri"/>
          <w:color w:val="585858"/>
          <w:sz w:val="18"/>
        </w:rPr>
        <w:t>15</w:t>
      </w:r>
    </w:p>
    <w:p>
      <w:pPr>
        <w:spacing w:before="113"/>
        <w:ind w:left="1952" w:right="0" w:firstLine="0"/>
        <w:jc w:val="left"/>
        <w:rPr>
          <w:rFonts w:ascii="Calibri"/>
          <w:sz w:val="18"/>
        </w:rPr>
      </w:pPr>
      <w:r>
        <w:rPr>
          <w:rFonts w:ascii="Calibri"/>
          <w:color w:val="585858"/>
          <w:sz w:val="18"/>
        </w:rPr>
        <w:t>10</w:t>
      </w:r>
    </w:p>
    <w:p>
      <w:pPr>
        <w:spacing w:before="112"/>
        <w:ind w:left="0" w:right="8001" w:firstLine="0"/>
        <w:jc w:val="center"/>
        <w:rPr>
          <w:rFonts w:ascii="Calibri"/>
          <w:sz w:val="18"/>
        </w:rPr>
      </w:pPr>
      <w:r>
        <w:rPr>
          <w:rFonts w:ascii="Calibri"/>
          <w:color w:val="585858"/>
          <w:sz w:val="18"/>
        </w:rPr>
        <w:t>5</w:t>
      </w:r>
    </w:p>
    <w:p>
      <w:pPr>
        <w:spacing w:before="112"/>
        <w:ind w:left="0" w:right="8001" w:firstLine="0"/>
        <w:jc w:val="center"/>
        <w:rPr>
          <w:rFonts w:ascii="Calibri"/>
          <w:sz w:val="18"/>
        </w:rPr>
      </w:pPr>
      <w:r>
        <w:rPr>
          <w:rFonts w:ascii="Calibri"/>
          <w:color w:val="585858"/>
          <w:sz w:val="18"/>
        </w:rPr>
        <w:t>0</w:t>
      </w:r>
    </w:p>
    <w:p>
      <w:pPr>
        <w:spacing w:before="113"/>
        <w:ind w:left="1988" w:right="0" w:firstLine="0"/>
        <w:jc w:val="left"/>
        <w:rPr>
          <w:rFonts w:ascii="Calibri"/>
          <w:sz w:val="18"/>
        </w:rPr>
      </w:pPr>
      <w:r>
        <w:rPr>
          <w:rFonts w:ascii="Calibri"/>
          <w:color w:val="585858"/>
          <w:sz w:val="18"/>
        </w:rPr>
        <w:t>-5</w:t>
      </w:r>
    </w:p>
    <w:p>
      <w:pPr>
        <w:spacing w:before="112"/>
        <w:ind w:left="561" w:right="8707" w:firstLine="0"/>
        <w:jc w:val="center"/>
        <w:rPr>
          <w:rFonts w:ascii="Calibri"/>
          <w:sz w:val="18"/>
        </w:rPr>
      </w:pPr>
      <w:r>
        <w:rPr>
          <w:rFonts w:ascii="Calibri"/>
          <w:color w:val="585858"/>
          <w:sz w:val="18"/>
        </w:rPr>
        <w:t>-10</w:t>
      </w:r>
    </w:p>
    <w:p>
      <w:pPr>
        <w:spacing w:line="197" w:lineRule="exact" w:before="112"/>
        <w:ind w:left="561" w:right="8707" w:firstLine="0"/>
        <w:jc w:val="center"/>
        <w:rPr>
          <w:rFonts w:ascii="Calibri"/>
          <w:sz w:val="18"/>
        </w:rPr>
      </w:pPr>
      <w:r>
        <w:rPr>
          <w:rFonts w:ascii="Calibri"/>
          <w:color w:val="585858"/>
          <w:sz w:val="18"/>
        </w:rPr>
        <w:t>-15</w:t>
      </w:r>
    </w:p>
    <w:p>
      <w:pPr>
        <w:spacing w:line="221" w:lineRule="exact" w:before="0"/>
        <w:ind w:left="2368" w:right="0" w:firstLine="0"/>
        <w:jc w:val="left"/>
        <w:rPr>
          <w:rFonts w:ascii="Calibri"/>
          <w:sz w:val="20"/>
        </w:rPr>
      </w:pPr>
      <w:r>
        <w:rPr>
          <w:rFonts w:ascii="Calibri"/>
          <w:sz w:val="20"/>
        </w:rPr>
        <w:t>Placebo Test group</w:t>
      </w:r>
    </w:p>
    <w:p>
      <w:pPr>
        <w:tabs>
          <w:tab w:pos="2556" w:val="left" w:leader="none"/>
          <w:tab w:pos="3563" w:val="right" w:leader="none"/>
        </w:tabs>
        <w:spacing w:before="13"/>
        <w:ind w:left="1131" w:right="0" w:firstLine="0"/>
        <w:jc w:val="left"/>
        <w:rPr>
          <w:rFonts w:ascii="Calibri"/>
          <w:sz w:val="20"/>
        </w:rPr>
      </w:pPr>
      <w:r>
        <w:rPr>
          <w:rFonts w:ascii="Calibri"/>
          <w:position w:val="1"/>
          <w:sz w:val="20"/>
        </w:rPr>
        <w:t>Datenreihen1</w:t>
        <w:tab/>
      </w:r>
      <w:r>
        <w:rPr>
          <w:rFonts w:ascii="Calibri"/>
          <w:sz w:val="20"/>
        </w:rPr>
        <w:t>-14</w:t>
        <w:tab/>
        <w:t>13</w:t>
      </w:r>
    </w:p>
    <w:p>
      <w:pPr>
        <w:spacing w:after="0"/>
        <w:jc w:val="left"/>
        <w:rPr>
          <w:rFonts w:ascii="Calibri"/>
          <w:sz w:val="20"/>
        </w:rPr>
        <w:sectPr>
          <w:pgSz w:w="14270" w:h="16850"/>
          <w:pgMar w:header="0" w:footer="404" w:top="1600" w:bottom="2080" w:left="800" w:right="1280"/>
        </w:sectPr>
      </w:pPr>
    </w:p>
    <w:p>
      <w:pPr>
        <w:pStyle w:val="BodyText"/>
        <w:ind w:left="609"/>
        <w:rPr>
          <w:rFonts w:ascii="Calibri"/>
          <w:sz w:val="20"/>
        </w:rPr>
      </w:pPr>
      <w:r>
        <w:rPr>
          <w:rFonts w:ascii="Calibri"/>
          <w:sz w:val="20"/>
        </w:rPr>
        <w:pict>
          <v:group style="width:295.650pt;height:175.25pt;mso-position-horizontal-relative:char;mso-position-vertical-relative:line" coordorigin="0,0" coordsize="5913,3505">
            <v:shape style="position:absolute;left:685;top:748;width:4800;height:2067" type="#_x0000_t75" stroked="false">
              <v:imagedata r:id="rId489" o:title=""/>
            </v:shape>
            <v:rect style="position:absolute;left:7;top:7;width:5898;height:3490" filled="false" stroked="true" strokeweight=".75pt" strokecolor="#d9d9d9">
              <v:stroke dashstyle="solid"/>
            </v:rect>
            <v:shape style="position:absolute;left:874;top:2930;width:1580;height:400" type="#_x0000_t202" filled="false" stroked="false">
              <v:textbox inset="0,0,0,0">
                <w:txbxContent>
                  <w:p>
                    <w:pPr>
                      <w:tabs>
                        <w:tab w:pos="778" w:val="left" w:leader="none"/>
                      </w:tabs>
                      <w:spacing w:line="183" w:lineRule="exact" w:before="0"/>
                      <w:ind w:left="0" w:right="0" w:firstLine="0"/>
                      <w:jc w:val="left"/>
                      <w:rPr>
                        <w:rFonts w:ascii="Calibri"/>
                        <w:sz w:val="18"/>
                      </w:rPr>
                    </w:pPr>
                    <w:r>
                      <w:rPr>
                        <w:rFonts w:ascii="Calibri"/>
                        <w:color w:val="585858"/>
                        <w:sz w:val="18"/>
                      </w:rPr>
                      <w:t>Placebo</w:t>
                      <w:tab/>
                      <w:t>Test</w:t>
                    </w:r>
                    <w:r>
                      <w:rPr>
                        <w:rFonts w:ascii="Calibri"/>
                        <w:color w:val="585858"/>
                        <w:spacing w:val="-2"/>
                        <w:sz w:val="18"/>
                      </w:rPr>
                      <w:t> </w:t>
                    </w:r>
                    <w:r>
                      <w:rPr>
                        <w:rFonts w:ascii="Calibri"/>
                        <w:color w:val="585858"/>
                        <w:sz w:val="18"/>
                      </w:rPr>
                      <w:t>group</w:t>
                    </w:r>
                  </w:p>
                  <w:p>
                    <w:pPr>
                      <w:spacing w:line="216" w:lineRule="exact" w:before="0"/>
                      <w:ind w:left="72" w:right="0" w:firstLine="0"/>
                      <w:jc w:val="left"/>
                      <w:rPr>
                        <w:rFonts w:ascii="Calibri"/>
                        <w:sz w:val="18"/>
                      </w:rPr>
                    </w:pPr>
                    <w:r>
                      <w:rPr>
                        <w:rFonts w:ascii="Calibri"/>
                        <w:color w:val="585858"/>
                        <w:sz w:val="18"/>
                      </w:rPr>
                      <w:t>group</w:t>
                    </w:r>
                  </w:p>
                </w:txbxContent>
              </v:textbox>
              <w10:wrap type="none"/>
            </v:shape>
            <v:shape style="position:absolute;left:1161;top:2054;width:203;height:180" type="#_x0000_t202" filled="false" stroked="false">
              <v:textbox inset="0,0,0,0">
                <w:txbxContent>
                  <w:p>
                    <w:pPr>
                      <w:spacing w:line="180" w:lineRule="exact" w:before="0"/>
                      <w:ind w:left="0" w:right="0" w:firstLine="0"/>
                      <w:jc w:val="left"/>
                      <w:rPr>
                        <w:rFonts w:ascii="Calibri"/>
                        <w:sz w:val="18"/>
                      </w:rPr>
                    </w:pPr>
                    <w:r>
                      <w:rPr>
                        <w:rFonts w:ascii="Calibri"/>
                        <w:color w:val="404040"/>
                        <w:sz w:val="18"/>
                      </w:rPr>
                      <w:t>40</w:t>
                    </w:r>
                  </w:p>
                </w:txbxContent>
              </v:textbox>
              <w10:wrap type="none"/>
            </v:shape>
            <v:shape style="position:absolute;left:2042;top:1762;width:203;height:180" type="#_x0000_t202" filled="false" stroked="false">
              <v:textbox inset="0,0,0,0">
                <w:txbxContent>
                  <w:p>
                    <w:pPr>
                      <w:spacing w:line="180" w:lineRule="exact" w:before="0"/>
                      <w:ind w:left="0" w:right="0" w:firstLine="0"/>
                      <w:jc w:val="left"/>
                      <w:rPr>
                        <w:rFonts w:ascii="Calibri"/>
                        <w:sz w:val="18"/>
                      </w:rPr>
                    </w:pPr>
                    <w:r>
                      <w:rPr>
                        <w:rFonts w:ascii="Calibri"/>
                        <w:color w:val="404040"/>
                        <w:sz w:val="18"/>
                      </w:rPr>
                      <w:t>60</w:t>
                    </w:r>
                  </w:p>
                </w:txbxContent>
              </v:textbox>
              <w10:wrap type="none"/>
            </v:shape>
            <v:shape style="position:absolute;left:371;top:956;width:203;height:1929" type="#_x0000_t202" filled="false" stroked="false">
              <v:textbox inset="0,0,0,0">
                <w:txbxContent>
                  <w:p>
                    <w:pPr>
                      <w:spacing w:line="183" w:lineRule="exact" w:before="0"/>
                      <w:ind w:left="0" w:right="0" w:firstLine="0"/>
                      <w:jc w:val="left"/>
                      <w:rPr>
                        <w:rFonts w:ascii="Calibri"/>
                        <w:sz w:val="18"/>
                      </w:rPr>
                    </w:pPr>
                    <w:r>
                      <w:rPr>
                        <w:rFonts w:ascii="Calibri"/>
                        <w:color w:val="585858"/>
                        <w:sz w:val="18"/>
                      </w:rPr>
                      <w:t>60</w:t>
                    </w:r>
                  </w:p>
                  <w:p>
                    <w:pPr>
                      <w:spacing w:before="71"/>
                      <w:ind w:left="0" w:right="0" w:firstLine="0"/>
                      <w:jc w:val="left"/>
                      <w:rPr>
                        <w:rFonts w:ascii="Calibri"/>
                        <w:sz w:val="18"/>
                      </w:rPr>
                    </w:pPr>
                    <w:r>
                      <w:rPr>
                        <w:rFonts w:ascii="Calibri"/>
                        <w:color w:val="585858"/>
                        <w:sz w:val="18"/>
                      </w:rPr>
                      <w:t>50</w:t>
                    </w:r>
                  </w:p>
                  <w:p>
                    <w:pPr>
                      <w:spacing w:before="72"/>
                      <w:ind w:left="0" w:right="0" w:firstLine="0"/>
                      <w:jc w:val="left"/>
                      <w:rPr>
                        <w:rFonts w:ascii="Calibri"/>
                        <w:sz w:val="18"/>
                      </w:rPr>
                    </w:pPr>
                    <w:r>
                      <w:rPr>
                        <w:rFonts w:ascii="Calibri"/>
                        <w:color w:val="585858"/>
                        <w:sz w:val="18"/>
                      </w:rPr>
                      <w:t>40</w:t>
                    </w:r>
                  </w:p>
                  <w:p>
                    <w:pPr>
                      <w:spacing w:before="72"/>
                      <w:ind w:left="0" w:right="0" w:firstLine="0"/>
                      <w:jc w:val="left"/>
                      <w:rPr>
                        <w:rFonts w:ascii="Calibri"/>
                        <w:sz w:val="18"/>
                      </w:rPr>
                    </w:pPr>
                    <w:r>
                      <w:rPr>
                        <w:rFonts w:ascii="Calibri"/>
                        <w:color w:val="585858"/>
                        <w:sz w:val="18"/>
                      </w:rPr>
                      <w:t>30</w:t>
                    </w:r>
                  </w:p>
                  <w:p>
                    <w:pPr>
                      <w:spacing w:before="72"/>
                      <w:ind w:left="0" w:right="0" w:firstLine="0"/>
                      <w:jc w:val="left"/>
                      <w:rPr>
                        <w:rFonts w:ascii="Calibri"/>
                        <w:sz w:val="18"/>
                      </w:rPr>
                    </w:pPr>
                    <w:r>
                      <w:rPr>
                        <w:rFonts w:ascii="Calibri"/>
                        <w:color w:val="585858"/>
                        <w:sz w:val="18"/>
                      </w:rPr>
                      <w:t>20</w:t>
                    </w:r>
                  </w:p>
                  <w:p>
                    <w:pPr>
                      <w:spacing w:before="71"/>
                      <w:ind w:left="0" w:right="0" w:firstLine="0"/>
                      <w:jc w:val="left"/>
                      <w:rPr>
                        <w:rFonts w:ascii="Calibri"/>
                        <w:sz w:val="18"/>
                      </w:rPr>
                    </w:pPr>
                    <w:r>
                      <w:rPr>
                        <w:rFonts w:ascii="Calibri"/>
                        <w:color w:val="585858"/>
                        <w:sz w:val="18"/>
                      </w:rPr>
                      <w:t>10</w:t>
                    </w:r>
                  </w:p>
                  <w:p>
                    <w:pPr>
                      <w:spacing w:line="216" w:lineRule="exact" w:before="72"/>
                      <w:ind w:left="91" w:right="0" w:firstLine="0"/>
                      <w:jc w:val="left"/>
                      <w:rPr>
                        <w:rFonts w:ascii="Calibri"/>
                        <w:sz w:val="18"/>
                      </w:rPr>
                    </w:pPr>
                    <w:r>
                      <w:rPr>
                        <w:rFonts w:ascii="Calibri"/>
                        <w:color w:val="585858"/>
                        <w:sz w:val="18"/>
                      </w:rPr>
                      <w:t>0</w:t>
                    </w:r>
                  </w:p>
                </w:txbxContent>
              </v:textbox>
              <w10:wrap type="none"/>
            </v:shape>
            <v:shape style="position:absolute;left:2309;top:213;width:1312;height:281" type="#_x0000_t202" filled="false" stroked="false">
              <v:textbox inset="0,0,0,0">
                <w:txbxContent>
                  <w:p>
                    <w:pPr>
                      <w:spacing w:line="281" w:lineRule="exact" w:before="0"/>
                      <w:ind w:left="0" w:right="0" w:firstLine="0"/>
                      <w:jc w:val="left"/>
                      <w:rPr>
                        <w:rFonts w:ascii="Calibri"/>
                        <w:sz w:val="28"/>
                      </w:rPr>
                    </w:pPr>
                    <w:r>
                      <w:rPr>
                        <w:rFonts w:ascii="Calibri"/>
                        <w:color w:val="585858"/>
                        <w:sz w:val="28"/>
                      </w:rPr>
                      <w:t>Cholesterol</w:t>
                    </w:r>
                  </w:p>
                </w:txbxContent>
              </v:textbox>
              <w10:wrap type="none"/>
            </v:shape>
          </v:group>
        </w:pict>
      </w:r>
      <w:r>
        <w:rPr>
          <w:rFonts w:ascii="Calibri"/>
          <w:sz w:val="20"/>
        </w:rPr>
      </w:r>
    </w:p>
    <w:p>
      <w:pPr>
        <w:pStyle w:val="BodyText"/>
        <w:rPr>
          <w:rFonts w:ascii="Calibri"/>
          <w:sz w:val="26"/>
        </w:rPr>
      </w:pPr>
    </w:p>
    <w:p>
      <w:pPr>
        <w:pStyle w:val="BodyText"/>
        <w:rPr>
          <w:rFonts w:ascii="Calibri"/>
          <w:sz w:val="26"/>
        </w:rPr>
      </w:pPr>
    </w:p>
    <w:p>
      <w:pPr>
        <w:pStyle w:val="BodyText"/>
        <w:rPr>
          <w:rFonts w:ascii="Calibri"/>
          <w:sz w:val="26"/>
        </w:rPr>
      </w:pPr>
    </w:p>
    <w:p>
      <w:pPr>
        <w:spacing w:before="190"/>
        <w:ind w:left="2865" w:right="0" w:firstLine="0"/>
        <w:jc w:val="left"/>
        <w:rPr>
          <w:b/>
          <w:sz w:val="24"/>
        </w:rPr>
      </w:pPr>
      <w:r>
        <w:rPr>
          <w:b/>
          <w:color w:val="585858"/>
          <w:sz w:val="24"/>
        </w:rPr>
        <w:t>Haemoglobin</w:t>
      </w:r>
    </w:p>
    <w:p>
      <w:pPr>
        <w:pStyle w:val="BodyText"/>
        <w:spacing w:before="5"/>
        <w:rPr>
          <w:b/>
          <w:sz w:val="28"/>
        </w:rPr>
      </w:pPr>
    </w:p>
    <w:p>
      <w:pPr>
        <w:spacing w:before="63"/>
        <w:ind w:left="561" w:right="8821" w:firstLine="0"/>
        <w:jc w:val="center"/>
        <w:rPr>
          <w:rFonts w:ascii="Calibri"/>
          <w:sz w:val="18"/>
        </w:rPr>
      </w:pPr>
      <w:r>
        <w:rPr/>
        <w:pict>
          <v:group style="position:absolute;margin-left:150.119995pt;margin-top:-3.660649pt;width:199.7pt;height:107.2pt;mso-position-horizontal-relative:page;mso-position-vertical-relative:paragraph;z-index:17656" coordorigin="3002,-73" coordsize="3994,2144">
            <v:shape style="position:absolute;left:3002;top:-74;width:3994;height:2144" type="#_x0000_t75" stroked="false">
              <v:imagedata r:id="rId490" o:title=""/>
            </v:shape>
            <v:shape style="position:absolute;left:4079;top:738;width:281;height:181" type="#_x0000_t202" filled="false" stroked="false">
              <v:textbox inset="0,0,0,0">
                <w:txbxContent>
                  <w:p>
                    <w:pPr>
                      <w:spacing w:before="0"/>
                      <w:ind w:left="0" w:right="0" w:firstLine="0"/>
                      <w:jc w:val="left"/>
                      <w:rPr>
                        <w:sz w:val="16"/>
                      </w:rPr>
                    </w:pPr>
                    <w:r>
                      <w:rPr>
                        <w:sz w:val="16"/>
                      </w:rPr>
                      <w:t>0,34</w:t>
                    </w:r>
                  </w:p>
                </w:txbxContent>
              </v:textbox>
              <w10:wrap type="none"/>
            </v:shape>
            <v:shape style="position:absolute;left:3323;top:1482;width:331;height:181" type="#_x0000_t202" filled="false" stroked="false">
              <v:textbox inset="0,0,0,0">
                <w:txbxContent>
                  <w:p>
                    <w:pPr>
                      <w:spacing w:before="0"/>
                      <w:ind w:left="0" w:right="0" w:firstLine="0"/>
                      <w:jc w:val="left"/>
                      <w:rPr>
                        <w:sz w:val="16"/>
                      </w:rPr>
                    </w:pPr>
                    <w:r>
                      <w:rPr>
                        <w:sz w:val="16"/>
                      </w:rPr>
                      <w:t>-0,14</w:t>
                    </w:r>
                  </w:p>
                </w:txbxContent>
              </v:textbox>
              <w10:wrap type="none"/>
            </v:shape>
            <w10:wrap type="none"/>
          </v:group>
        </w:pict>
      </w:r>
      <w:r>
        <w:rPr>
          <w:rFonts w:ascii="Calibri"/>
          <w:color w:val="585858"/>
          <w:sz w:val="18"/>
        </w:rPr>
        <w:t>0,4</w:t>
      </w:r>
    </w:p>
    <w:p>
      <w:pPr>
        <w:spacing w:before="91"/>
        <w:ind w:left="561" w:right="8821" w:firstLine="0"/>
        <w:jc w:val="center"/>
        <w:rPr>
          <w:rFonts w:ascii="Calibri"/>
          <w:sz w:val="18"/>
        </w:rPr>
      </w:pPr>
      <w:r>
        <w:rPr>
          <w:rFonts w:ascii="Calibri"/>
          <w:color w:val="585858"/>
          <w:sz w:val="18"/>
        </w:rPr>
        <w:t>0,3</w:t>
      </w:r>
    </w:p>
    <w:p>
      <w:pPr>
        <w:spacing w:before="90"/>
        <w:ind w:left="561" w:right="8821" w:firstLine="0"/>
        <w:jc w:val="center"/>
        <w:rPr>
          <w:rFonts w:ascii="Calibri"/>
          <w:sz w:val="18"/>
        </w:rPr>
      </w:pPr>
      <w:r>
        <w:rPr>
          <w:rFonts w:ascii="Calibri"/>
          <w:color w:val="585858"/>
          <w:sz w:val="18"/>
        </w:rPr>
        <w:t>0,2</w:t>
      </w:r>
    </w:p>
    <w:p>
      <w:pPr>
        <w:spacing w:before="91"/>
        <w:ind w:left="561" w:right="8821" w:firstLine="0"/>
        <w:jc w:val="center"/>
        <w:rPr>
          <w:rFonts w:ascii="Calibri"/>
          <w:sz w:val="18"/>
        </w:rPr>
      </w:pPr>
      <w:r>
        <w:rPr>
          <w:rFonts w:ascii="Calibri"/>
          <w:color w:val="585858"/>
          <w:sz w:val="18"/>
        </w:rPr>
        <w:t>0,1</w:t>
      </w:r>
    </w:p>
    <w:p>
      <w:pPr>
        <w:spacing w:before="90"/>
        <w:ind w:left="0" w:right="8125" w:firstLine="0"/>
        <w:jc w:val="center"/>
        <w:rPr>
          <w:rFonts w:ascii="Calibri"/>
          <w:sz w:val="18"/>
        </w:rPr>
      </w:pPr>
      <w:r>
        <w:rPr>
          <w:rFonts w:ascii="Calibri"/>
          <w:color w:val="585858"/>
          <w:sz w:val="18"/>
        </w:rPr>
        <w:t>0</w:t>
      </w:r>
    </w:p>
    <w:p>
      <w:pPr>
        <w:spacing w:before="90"/>
        <w:ind w:left="561" w:right="8875" w:firstLine="0"/>
        <w:jc w:val="center"/>
        <w:rPr>
          <w:rFonts w:ascii="Calibri"/>
          <w:sz w:val="18"/>
        </w:rPr>
      </w:pPr>
      <w:r>
        <w:rPr>
          <w:rFonts w:ascii="Calibri"/>
          <w:color w:val="585858"/>
          <w:sz w:val="18"/>
        </w:rPr>
        <w:t>-0,1</w:t>
      </w:r>
    </w:p>
    <w:p>
      <w:pPr>
        <w:spacing w:line="197" w:lineRule="exact" w:before="91"/>
        <w:ind w:left="561" w:right="8875" w:firstLine="0"/>
        <w:jc w:val="center"/>
        <w:rPr>
          <w:rFonts w:ascii="Calibri"/>
          <w:sz w:val="18"/>
        </w:rPr>
      </w:pPr>
      <w:r>
        <w:rPr>
          <w:rFonts w:ascii="Calibri"/>
          <w:color w:val="585858"/>
          <w:sz w:val="18"/>
        </w:rPr>
        <w:t>-0,2</w:t>
      </w:r>
    </w:p>
    <w:p>
      <w:pPr>
        <w:spacing w:line="203" w:lineRule="exact" w:before="0"/>
        <w:ind w:left="2044" w:right="0" w:firstLine="0"/>
        <w:jc w:val="left"/>
        <w:rPr>
          <w:sz w:val="20"/>
        </w:rPr>
      </w:pPr>
      <w:r>
        <w:rPr>
          <w:sz w:val="20"/>
        </w:rPr>
        <w:t>Placebo groTuepst group</w:t>
      </w:r>
    </w:p>
    <w:p>
      <w:pPr>
        <w:tabs>
          <w:tab w:pos="2410" w:val="left" w:leader="none"/>
          <w:tab w:pos="3170" w:val="left" w:leader="none"/>
        </w:tabs>
        <w:spacing w:before="27"/>
        <w:ind w:left="1130" w:right="0" w:firstLine="0"/>
        <w:jc w:val="left"/>
        <w:rPr>
          <w:sz w:val="20"/>
        </w:rPr>
      </w:pPr>
      <w:r>
        <w:rPr>
          <w:sz w:val="20"/>
        </w:rPr>
        <w:t>Datenreihen1</w:t>
        <w:tab/>
        <w:t>-0,14</w:t>
        <w:tab/>
        <w:t>0,34</w:t>
      </w:r>
    </w:p>
    <w:p>
      <w:pPr>
        <w:spacing w:after="0"/>
        <w:jc w:val="left"/>
        <w:rPr>
          <w:sz w:val="20"/>
        </w:rPr>
        <w:sectPr>
          <w:pgSz w:w="14270" w:h="16850"/>
          <w:pgMar w:header="0" w:footer="404" w:top="1400" w:bottom="2080" w:left="800" w:right="1280"/>
        </w:sectPr>
      </w:pPr>
    </w:p>
    <w:p>
      <w:pPr>
        <w:spacing w:before="86"/>
        <w:ind w:left="3175" w:right="0" w:firstLine="0"/>
        <w:jc w:val="left"/>
        <w:rPr>
          <w:b/>
          <w:sz w:val="24"/>
        </w:rPr>
      </w:pPr>
      <w:r>
        <w:rPr>
          <w:b/>
          <w:color w:val="585858"/>
          <w:sz w:val="24"/>
        </w:rPr>
        <w:t>Sodium</w:t>
      </w:r>
    </w:p>
    <w:p>
      <w:pPr>
        <w:pStyle w:val="BodyText"/>
        <w:spacing w:before="5"/>
        <w:rPr>
          <w:b/>
          <w:sz w:val="28"/>
        </w:rPr>
      </w:pPr>
    </w:p>
    <w:p>
      <w:pPr>
        <w:spacing w:before="63"/>
        <w:ind w:left="561" w:right="8821" w:firstLine="0"/>
        <w:jc w:val="center"/>
        <w:rPr>
          <w:rFonts w:ascii="Calibri"/>
          <w:sz w:val="18"/>
        </w:rPr>
      </w:pPr>
      <w:r>
        <w:rPr/>
        <w:pict>
          <v:group style="position:absolute;margin-left:150.119995pt;margin-top:-3.590652pt;width:199.7pt;height:107.05pt;mso-position-horizontal-relative:page;mso-position-vertical-relative:paragraph;z-index:17728" coordorigin="3002,-72" coordsize="3994,2141">
            <v:shape style="position:absolute;left:3002;top:-72;width:3994;height:2141" type="#_x0000_t75" stroked="false">
              <v:imagedata r:id="rId492" o:title=""/>
            </v:shape>
            <v:shape style="position:absolute;left:4079;top:724;width:281;height:181" type="#_x0000_t202" filled="false" stroked="false">
              <v:textbox inset="0,0,0,0">
                <w:txbxContent>
                  <w:p>
                    <w:pPr>
                      <w:spacing w:before="0"/>
                      <w:ind w:left="0" w:right="0" w:firstLine="0"/>
                      <w:jc w:val="left"/>
                      <w:rPr>
                        <w:sz w:val="16"/>
                      </w:rPr>
                    </w:pPr>
                    <w:r>
                      <w:rPr>
                        <w:sz w:val="16"/>
                      </w:rPr>
                      <w:t>2,37</w:t>
                    </w:r>
                  </w:p>
                </w:txbxContent>
              </v:textbox>
              <w10:wrap type="none"/>
            </v:shape>
            <v:shape style="position:absolute;left:3417;top:1619;width:146;height:181" type="#_x0000_t202" filled="false" stroked="false">
              <v:textbox inset="0,0,0,0">
                <w:txbxContent>
                  <w:p>
                    <w:pPr>
                      <w:spacing w:before="0"/>
                      <w:ind w:left="0" w:right="0" w:firstLine="0"/>
                      <w:jc w:val="left"/>
                      <w:rPr>
                        <w:sz w:val="16"/>
                      </w:rPr>
                    </w:pPr>
                    <w:r>
                      <w:rPr>
                        <w:sz w:val="16"/>
                      </w:rPr>
                      <w:t>-1</w:t>
                    </w:r>
                  </w:p>
                </w:txbxContent>
              </v:textbox>
              <w10:wrap type="none"/>
            </v:shape>
            <w10:wrap type="none"/>
          </v:group>
        </w:pict>
      </w:r>
      <w:r>
        <w:rPr>
          <w:rFonts w:ascii="Calibri"/>
          <w:color w:val="585858"/>
          <w:sz w:val="18"/>
        </w:rPr>
        <w:t>2,5</w:t>
      </w:r>
    </w:p>
    <w:p>
      <w:pPr>
        <w:spacing w:before="46"/>
        <w:ind w:left="0" w:right="8125" w:firstLine="0"/>
        <w:jc w:val="center"/>
        <w:rPr>
          <w:rFonts w:ascii="Calibri"/>
          <w:sz w:val="18"/>
        </w:rPr>
      </w:pPr>
      <w:r>
        <w:rPr>
          <w:rFonts w:ascii="Calibri"/>
          <w:color w:val="585858"/>
          <w:sz w:val="18"/>
        </w:rPr>
        <w:t>2</w:t>
      </w:r>
    </w:p>
    <w:p>
      <w:pPr>
        <w:spacing w:before="46"/>
        <w:ind w:left="561" w:right="8821" w:firstLine="0"/>
        <w:jc w:val="center"/>
        <w:rPr>
          <w:rFonts w:ascii="Calibri"/>
          <w:sz w:val="18"/>
        </w:rPr>
      </w:pPr>
      <w:r>
        <w:rPr>
          <w:rFonts w:ascii="Calibri"/>
          <w:color w:val="585858"/>
          <w:sz w:val="18"/>
        </w:rPr>
        <w:t>1,5</w:t>
      </w:r>
    </w:p>
    <w:p>
      <w:pPr>
        <w:spacing w:before="47"/>
        <w:ind w:left="0" w:right="8125" w:firstLine="0"/>
        <w:jc w:val="center"/>
        <w:rPr>
          <w:rFonts w:ascii="Calibri"/>
          <w:sz w:val="18"/>
        </w:rPr>
      </w:pPr>
      <w:r>
        <w:rPr>
          <w:rFonts w:ascii="Calibri"/>
          <w:color w:val="585858"/>
          <w:sz w:val="18"/>
        </w:rPr>
        <w:t>1</w:t>
      </w:r>
    </w:p>
    <w:p>
      <w:pPr>
        <w:spacing w:before="45"/>
        <w:ind w:left="561" w:right="8821" w:firstLine="0"/>
        <w:jc w:val="center"/>
        <w:rPr>
          <w:rFonts w:ascii="Calibri"/>
          <w:sz w:val="18"/>
        </w:rPr>
      </w:pPr>
      <w:r>
        <w:rPr>
          <w:rFonts w:ascii="Calibri"/>
          <w:color w:val="585858"/>
          <w:sz w:val="18"/>
        </w:rPr>
        <w:t>0,5</w:t>
      </w:r>
    </w:p>
    <w:p>
      <w:pPr>
        <w:spacing w:before="46"/>
        <w:ind w:left="0" w:right="8125" w:firstLine="0"/>
        <w:jc w:val="center"/>
        <w:rPr>
          <w:rFonts w:ascii="Calibri"/>
          <w:sz w:val="18"/>
        </w:rPr>
      </w:pPr>
      <w:r>
        <w:rPr>
          <w:rFonts w:ascii="Calibri"/>
          <w:color w:val="585858"/>
          <w:sz w:val="18"/>
        </w:rPr>
        <w:t>0</w:t>
      </w:r>
    </w:p>
    <w:p>
      <w:pPr>
        <w:spacing w:before="47"/>
        <w:ind w:left="561" w:right="8875" w:firstLine="0"/>
        <w:jc w:val="center"/>
        <w:rPr>
          <w:rFonts w:ascii="Calibri"/>
          <w:sz w:val="18"/>
        </w:rPr>
      </w:pPr>
      <w:r>
        <w:rPr>
          <w:rFonts w:ascii="Calibri"/>
          <w:color w:val="585858"/>
          <w:sz w:val="18"/>
        </w:rPr>
        <w:t>-0,5</w:t>
      </w:r>
    </w:p>
    <w:p>
      <w:pPr>
        <w:spacing w:line="197" w:lineRule="exact" w:before="46"/>
        <w:ind w:left="561" w:right="8740" w:firstLine="0"/>
        <w:jc w:val="center"/>
        <w:rPr>
          <w:rFonts w:ascii="Calibri"/>
          <w:sz w:val="18"/>
        </w:rPr>
      </w:pPr>
      <w:r>
        <w:rPr>
          <w:rFonts w:ascii="Calibri"/>
          <w:color w:val="585858"/>
          <w:sz w:val="18"/>
        </w:rPr>
        <w:t>-1</w:t>
      </w:r>
    </w:p>
    <w:p>
      <w:pPr>
        <w:spacing w:line="202" w:lineRule="exact" w:before="0"/>
        <w:ind w:left="2044" w:right="0" w:firstLine="0"/>
        <w:jc w:val="left"/>
        <w:rPr>
          <w:sz w:val="20"/>
        </w:rPr>
      </w:pPr>
      <w:r>
        <w:rPr>
          <w:sz w:val="20"/>
        </w:rPr>
        <w:t>Placebo groTuepst group</w:t>
      </w:r>
    </w:p>
    <w:p>
      <w:pPr>
        <w:tabs>
          <w:tab w:pos="2525" w:val="left" w:leader="none"/>
          <w:tab w:pos="3170" w:val="left" w:leader="none"/>
        </w:tabs>
        <w:spacing w:before="27"/>
        <w:ind w:left="1130" w:right="0" w:firstLine="0"/>
        <w:jc w:val="left"/>
        <w:rPr>
          <w:sz w:val="20"/>
        </w:rPr>
      </w:pPr>
      <w:r>
        <w:rPr>
          <w:sz w:val="20"/>
        </w:rPr>
        <w:t>Datenreihen1</w:t>
        <w:tab/>
        <w:t>-1</w:t>
        <w:tab/>
        <w:t>2,37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6"/>
        </w:rPr>
      </w:pPr>
    </w:p>
    <w:p>
      <w:pPr>
        <w:spacing w:before="100"/>
        <w:ind w:left="2911" w:right="0" w:firstLine="0"/>
        <w:jc w:val="left"/>
        <w:rPr>
          <w:b/>
          <w:sz w:val="24"/>
        </w:rPr>
      </w:pPr>
      <w:r>
        <w:rPr>
          <w:b/>
          <w:color w:val="585858"/>
          <w:sz w:val="24"/>
        </w:rPr>
        <w:t>Total protein</w:t>
      </w:r>
    </w:p>
    <w:p>
      <w:pPr>
        <w:pStyle w:val="BodyText"/>
        <w:spacing w:before="5"/>
        <w:rPr>
          <w:b/>
          <w:sz w:val="28"/>
        </w:rPr>
      </w:pPr>
    </w:p>
    <w:p>
      <w:pPr>
        <w:spacing w:before="64"/>
        <w:ind w:left="561" w:right="8821" w:firstLine="0"/>
        <w:jc w:val="center"/>
        <w:rPr>
          <w:rFonts w:ascii="Calibri"/>
          <w:sz w:val="18"/>
        </w:rPr>
      </w:pPr>
      <w:r>
        <w:rPr/>
        <w:pict>
          <v:group style="position:absolute;margin-left:150.119995pt;margin-top:-3.610659pt;width:199.7pt;height:107.2pt;mso-position-horizontal-relative:page;mso-position-vertical-relative:paragraph;z-index:17800" coordorigin="3002,-72" coordsize="3994,2144">
            <v:shape style="position:absolute;left:3002;top:-73;width:3994;height:2144" type="#_x0000_t75" stroked="false">
              <v:imagedata r:id="rId493" o:title=""/>
            </v:shape>
            <v:shape style="position:absolute;left:4079;top:863;width:281;height:181" type="#_x0000_t202" filled="false" stroked="false">
              <v:textbox inset="0,0,0,0">
                <w:txbxContent>
                  <w:p>
                    <w:pPr>
                      <w:spacing w:before="0"/>
                      <w:ind w:left="0" w:right="0" w:firstLine="0"/>
                      <w:jc w:val="left"/>
                      <w:rPr>
                        <w:sz w:val="16"/>
                      </w:rPr>
                    </w:pPr>
                    <w:r>
                      <w:rPr>
                        <w:sz w:val="16"/>
                      </w:rPr>
                      <w:t>0,46</w:t>
                    </w:r>
                  </w:p>
                </w:txbxContent>
              </v:textbox>
              <w10:wrap type="none"/>
            </v:shape>
            <v:shape style="position:absolute;left:3323;top:1638;width:331;height:181" type="#_x0000_t202" filled="false" stroked="false">
              <v:textbox inset="0,0,0,0">
                <w:txbxContent>
                  <w:p>
                    <w:pPr>
                      <w:spacing w:before="0"/>
                      <w:ind w:left="0" w:right="0" w:firstLine="0"/>
                      <w:jc w:val="left"/>
                      <w:rPr>
                        <w:sz w:val="16"/>
                      </w:rPr>
                    </w:pPr>
                    <w:r>
                      <w:rPr>
                        <w:sz w:val="16"/>
                      </w:rPr>
                      <w:t>-0,04</w:t>
                    </w:r>
                  </w:p>
                </w:txbxContent>
              </v:textbox>
              <w10:wrap type="none"/>
            </v:shape>
            <w10:wrap type="none"/>
          </v:group>
        </w:pict>
      </w:r>
      <w:r>
        <w:rPr>
          <w:rFonts w:ascii="Calibri"/>
          <w:color w:val="585858"/>
          <w:sz w:val="18"/>
        </w:rPr>
        <w:t>0,5</w:t>
      </w:r>
    </w:p>
    <w:p>
      <w:pPr>
        <w:spacing w:before="90"/>
        <w:ind w:left="561" w:right="8821" w:firstLine="0"/>
        <w:jc w:val="center"/>
        <w:rPr>
          <w:rFonts w:ascii="Calibri"/>
          <w:sz w:val="18"/>
        </w:rPr>
      </w:pPr>
      <w:r>
        <w:rPr>
          <w:rFonts w:ascii="Calibri"/>
          <w:color w:val="585858"/>
          <w:sz w:val="18"/>
        </w:rPr>
        <w:t>0,4</w:t>
      </w:r>
    </w:p>
    <w:p>
      <w:pPr>
        <w:spacing w:before="91"/>
        <w:ind w:left="561" w:right="8821" w:firstLine="0"/>
        <w:jc w:val="center"/>
        <w:rPr>
          <w:rFonts w:ascii="Calibri"/>
          <w:sz w:val="18"/>
        </w:rPr>
      </w:pPr>
      <w:r>
        <w:rPr>
          <w:rFonts w:ascii="Calibri"/>
          <w:color w:val="585858"/>
          <w:sz w:val="18"/>
        </w:rPr>
        <w:t>0,3</w:t>
      </w:r>
    </w:p>
    <w:p>
      <w:pPr>
        <w:spacing w:before="90"/>
        <w:ind w:left="561" w:right="8821" w:firstLine="0"/>
        <w:jc w:val="center"/>
        <w:rPr>
          <w:rFonts w:ascii="Calibri"/>
          <w:sz w:val="18"/>
        </w:rPr>
      </w:pPr>
      <w:r>
        <w:rPr>
          <w:rFonts w:ascii="Calibri"/>
          <w:color w:val="585858"/>
          <w:sz w:val="18"/>
        </w:rPr>
        <w:t>0,2</w:t>
      </w:r>
    </w:p>
    <w:p>
      <w:pPr>
        <w:spacing w:before="90"/>
        <w:ind w:left="561" w:right="8821" w:firstLine="0"/>
        <w:jc w:val="center"/>
        <w:rPr>
          <w:rFonts w:ascii="Calibri"/>
          <w:sz w:val="18"/>
        </w:rPr>
      </w:pPr>
      <w:r>
        <w:rPr>
          <w:rFonts w:ascii="Calibri"/>
          <w:color w:val="585858"/>
          <w:sz w:val="18"/>
        </w:rPr>
        <w:t>0,1</w:t>
      </w:r>
    </w:p>
    <w:p>
      <w:pPr>
        <w:spacing w:before="91"/>
        <w:ind w:left="0" w:right="8125" w:firstLine="0"/>
        <w:jc w:val="center"/>
        <w:rPr>
          <w:rFonts w:ascii="Calibri"/>
          <w:sz w:val="18"/>
        </w:rPr>
      </w:pPr>
      <w:r>
        <w:rPr>
          <w:rFonts w:ascii="Calibri"/>
          <w:color w:val="585858"/>
          <w:sz w:val="18"/>
        </w:rPr>
        <w:t>0</w:t>
      </w:r>
    </w:p>
    <w:p>
      <w:pPr>
        <w:spacing w:line="197" w:lineRule="exact" w:before="90"/>
        <w:ind w:left="561" w:right="8875" w:firstLine="0"/>
        <w:jc w:val="center"/>
        <w:rPr>
          <w:rFonts w:ascii="Calibri"/>
          <w:sz w:val="18"/>
        </w:rPr>
      </w:pPr>
      <w:r>
        <w:rPr>
          <w:rFonts w:ascii="Calibri"/>
          <w:color w:val="585858"/>
          <w:sz w:val="18"/>
        </w:rPr>
        <w:t>-0,1</w:t>
      </w:r>
    </w:p>
    <w:p>
      <w:pPr>
        <w:spacing w:line="202" w:lineRule="exact" w:before="0"/>
        <w:ind w:left="2044" w:right="0" w:firstLine="0"/>
        <w:jc w:val="left"/>
        <w:rPr>
          <w:sz w:val="20"/>
        </w:rPr>
      </w:pPr>
      <w:r>
        <w:rPr>
          <w:sz w:val="20"/>
        </w:rPr>
        <w:t>Placebo groTuepst group</w:t>
      </w:r>
    </w:p>
    <w:p>
      <w:pPr>
        <w:tabs>
          <w:tab w:pos="2410" w:val="left" w:leader="none"/>
          <w:tab w:pos="3170" w:val="left" w:leader="none"/>
        </w:tabs>
        <w:spacing w:before="18"/>
        <w:ind w:left="1130" w:right="0" w:firstLine="0"/>
        <w:jc w:val="left"/>
        <w:rPr>
          <w:sz w:val="20"/>
        </w:rPr>
      </w:pPr>
      <w:r>
        <w:rPr>
          <w:position w:val="1"/>
          <w:sz w:val="20"/>
        </w:rPr>
        <w:t>Datenreihen1</w:t>
        <w:tab/>
      </w:r>
      <w:r>
        <w:rPr>
          <w:sz w:val="20"/>
        </w:rPr>
        <w:t>-0,04</w:t>
        <w:tab/>
        <w:t>0,46</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p>
    <w:p>
      <w:pPr>
        <w:pStyle w:val="BodyText"/>
        <w:spacing w:line="276" w:lineRule="auto" w:before="99"/>
        <w:ind w:left="616"/>
      </w:pPr>
      <w:r>
        <w:rPr/>
        <w:t>The authors considered the lowering of sodium levels despite the supply of sodium bicarbonate to be a clear sign of improved kidney function.</w:t>
      </w:r>
    </w:p>
    <w:p>
      <w:pPr>
        <w:spacing w:after="0" w:line="276" w:lineRule="auto"/>
        <w:sectPr>
          <w:footerReference w:type="default" r:id="rId491"/>
          <w:pgSz w:w="14270" w:h="16850"/>
          <w:pgMar w:footer="1891" w:header="0" w:top="1480" w:bottom="2080" w:left="800" w:right="1280"/>
          <w:pgNumType w:start="1800"/>
        </w:sectPr>
      </w:pPr>
    </w:p>
    <w:p>
      <w:pPr>
        <w:pStyle w:val="Heading1"/>
        <w:spacing w:before="77"/>
        <w:ind w:left="616"/>
      </w:pPr>
      <w:r>
        <w:rPr/>
        <w:t>Groups of people who do not exercise and drink too much alcohol</w:t>
      </w:r>
    </w:p>
    <w:p>
      <w:pPr>
        <w:pStyle w:val="BodyText"/>
        <w:spacing w:line="276" w:lineRule="auto" w:before="299"/>
        <w:ind w:left="616" w:right="139"/>
        <w:jc w:val="both"/>
      </w:pPr>
      <w:r>
        <w:rPr/>
        <w:t>In</w:t>
      </w:r>
      <w:r>
        <w:rPr>
          <w:spacing w:val="-6"/>
        </w:rPr>
        <w:t> </w:t>
      </w:r>
      <w:r>
        <w:rPr/>
        <w:t>people</w:t>
      </w:r>
      <w:r>
        <w:rPr>
          <w:spacing w:val="-7"/>
        </w:rPr>
        <w:t> </w:t>
      </w:r>
      <w:r>
        <w:rPr/>
        <w:t>who</w:t>
      </w:r>
      <w:r>
        <w:rPr>
          <w:spacing w:val="-8"/>
        </w:rPr>
        <w:t> </w:t>
      </w:r>
      <w:r>
        <w:rPr/>
        <w:t>do</w:t>
      </w:r>
      <w:r>
        <w:rPr>
          <w:spacing w:val="-7"/>
        </w:rPr>
        <w:t> </w:t>
      </w:r>
      <w:r>
        <w:rPr/>
        <w:t>not</w:t>
      </w:r>
      <w:r>
        <w:rPr>
          <w:spacing w:val="-7"/>
        </w:rPr>
        <w:t> </w:t>
      </w:r>
      <w:r>
        <w:rPr/>
        <w:t>exercise</w:t>
      </w:r>
      <w:r>
        <w:rPr>
          <w:spacing w:val="-9"/>
        </w:rPr>
        <w:t> </w:t>
      </w:r>
      <w:r>
        <w:rPr/>
        <w:t>and</w:t>
      </w:r>
      <w:r>
        <w:rPr>
          <w:spacing w:val="-7"/>
        </w:rPr>
        <w:t> </w:t>
      </w:r>
      <w:r>
        <w:rPr/>
        <w:t>drink</w:t>
      </w:r>
      <w:r>
        <w:rPr>
          <w:spacing w:val="-6"/>
        </w:rPr>
        <w:t> </w:t>
      </w:r>
      <w:r>
        <w:rPr/>
        <w:t>too</w:t>
      </w:r>
      <w:r>
        <w:rPr>
          <w:spacing w:val="-6"/>
        </w:rPr>
        <w:t> </w:t>
      </w:r>
      <w:r>
        <w:rPr/>
        <w:t>much</w:t>
      </w:r>
      <w:r>
        <w:rPr>
          <w:spacing w:val="-6"/>
        </w:rPr>
        <w:t> </w:t>
      </w:r>
      <w:r>
        <w:rPr/>
        <w:t>alcohol,</w:t>
      </w:r>
      <w:r>
        <w:rPr>
          <w:spacing w:val="-6"/>
        </w:rPr>
        <w:t> </w:t>
      </w:r>
      <w:r>
        <w:rPr/>
        <w:t>the</w:t>
      </w:r>
      <w:r>
        <w:rPr>
          <w:spacing w:val="-8"/>
        </w:rPr>
        <w:t> </w:t>
      </w:r>
      <w:r>
        <w:rPr/>
        <w:t>relative</w:t>
      </w:r>
      <w:r>
        <w:rPr>
          <w:spacing w:val="-7"/>
        </w:rPr>
        <w:t> </w:t>
      </w:r>
      <w:r>
        <w:rPr/>
        <w:t>reduc- tion of the Fibrinogen (‘blood clotting protein’) with the administration of minerals was</w:t>
      </w:r>
      <w:r>
        <w:rPr>
          <w:spacing w:val="1"/>
        </w:rPr>
        <w:t> </w:t>
      </w:r>
      <w:r>
        <w:rPr/>
        <w:t>highlighted.</w:t>
      </w: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spacing w:before="7"/>
        <w:rPr>
          <w:sz w:val="33"/>
        </w:rPr>
      </w:pPr>
    </w:p>
    <w:p>
      <w:pPr>
        <w:spacing w:before="0"/>
        <w:ind w:left="616" w:right="0" w:firstLine="0"/>
        <w:jc w:val="both"/>
        <w:rPr>
          <w:b/>
          <w:sz w:val="20"/>
        </w:rPr>
      </w:pPr>
      <w:r>
        <w:rPr>
          <w:b/>
          <w:sz w:val="20"/>
        </w:rPr>
        <w:t>Investigative parameters Fibrinogen*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10"/>
        </w:r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79"/>
        <w:gridCol w:w="1116"/>
        <w:gridCol w:w="991"/>
        <w:gridCol w:w="1260"/>
        <w:gridCol w:w="941"/>
      </w:tblGrid>
      <w:tr>
        <w:trPr>
          <w:trHeight w:val="1285" w:hRule="atLeast"/>
        </w:trPr>
        <w:tc>
          <w:tcPr>
            <w:tcW w:w="1579" w:type="dxa"/>
          </w:tcPr>
          <w:p>
            <w:pPr>
              <w:pStyle w:val="TableParagraph"/>
              <w:spacing w:line="313" w:lineRule="exact"/>
              <w:ind w:left="110"/>
              <w:rPr>
                <w:b/>
                <w:sz w:val="28"/>
              </w:rPr>
            </w:pPr>
            <w:r>
              <w:rPr>
                <w:b/>
                <w:sz w:val="28"/>
              </w:rPr>
              <w:t>Risk group</w:t>
            </w:r>
          </w:p>
        </w:tc>
        <w:tc>
          <w:tcPr>
            <w:tcW w:w="1116" w:type="dxa"/>
          </w:tcPr>
          <w:p>
            <w:pPr>
              <w:pStyle w:val="TableParagraph"/>
              <w:tabs>
                <w:tab w:pos="779" w:val="left" w:leader="none"/>
              </w:tabs>
              <w:spacing w:line="276" w:lineRule="auto"/>
              <w:ind w:left="107" w:right="93"/>
              <w:rPr>
                <w:b/>
                <w:sz w:val="28"/>
              </w:rPr>
            </w:pPr>
            <w:r>
              <w:rPr>
                <w:b/>
                <w:sz w:val="28"/>
              </w:rPr>
              <w:t>Num- ber</w:t>
              <w:tab/>
              <w:t>of people</w:t>
            </w:r>
          </w:p>
        </w:tc>
        <w:tc>
          <w:tcPr>
            <w:tcW w:w="991" w:type="dxa"/>
          </w:tcPr>
          <w:p>
            <w:pPr>
              <w:pStyle w:val="TableParagraph"/>
              <w:rPr>
                <w:rFonts w:ascii="Times New Roman"/>
                <w:sz w:val="32"/>
              </w:rPr>
            </w:pPr>
          </w:p>
        </w:tc>
        <w:tc>
          <w:tcPr>
            <w:tcW w:w="1260" w:type="dxa"/>
          </w:tcPr>
          <w:p>
            <w:pPr>
              <w:pStyle w:val="TableParagraph"/>
              <w:spacing w:line="276" w:lineRule="auto"/>
              <w:ind w:left="108" w:right="179"/>
              <w:rPr>
                <w:b/>
                <w:sz w:val="28"/>
              </w:rPr>
            </w:pPr>
            <w:r>
              <w:rPr>
                <w:b/>
                <w:sz w:val="28"/>
              </w:rPr>
              <w:t>Average differ- ence</w:t>
            </w:r>
          </w:p>
        </w:tc>
        <w:tc>
          <w:tcPr>
            <w:tcW w:w="941" w:type="dxa"/>
          </w:tcPr>
          <w:p>
            <w:pPr>
              <w:pStyle w:val="TableParagraph"/>
              <w:rPr>
                <w:rFonts w:ascii="Times New Roman"/>
                <w:sz w:val="32"/>
              </w:rPr>
            </w:pPr>
          </w:p>
        </w:tc>
      </w:tr>
      <w:tr>
        <w:trPr>
          <w:trHeight w:val="924" w:hRule="atLeast"/>
        </w:trPr>
        <w:tc>
          <w:tcPr>
            <w:tcW w:w="1579" w:type="dxa"/>
          </w:tcPr>
          <w:p>
            <w:pPr>
              <w:pStyle w:val="TableParagraph"/>
              <w:rPr>
                <w:rFonts w:ascii="Times New Roman"/>
                <w:sz w:val="32"/>
              </w:rPr>
            </w:pPr>
          </w:p>
        </w:tc>
        <w:tc>
          <w:tcPr>
            <w:tcW w:w="1116" w:type="dxa"/>
          </w:tcPr>
          <w:p>
            <w:pPr>
              <w:pStyle w:val="TableParagraph"/>
              <w:spacing w:line="278" w:lineRule="auto"/>
              <w:ind w:left="107" w:right="124"/>
              <w:rPr>
                <w:sz w:val="28"/>
              </w:rPr>
            </w:pPr>
            <w:r>
              <w:rPr>
                <w:sz w:val="28"/>
              </w:rPr>
              <w:t>Placebo group</w:t>
            </w:r>
          </w:p>
        </w:tc>
        <w:tc>
          <w:tcPr>
            <w:tcW w:w="991" w:type="dxa"/>
          </w:tcPr>
          <w:p>
            <w:pPr>
              <w:pStyle w:val="TableParagraph"/>
              <w:spacing w:line="278" w:lineRule="auto"/>
              <w:ind w:left="108" w:right="211"/>
              <w:rPr>
                <w:sz w:val="28"/>
              </w:rPr>
            </w:pPr>
            <w:r>
              <w:rPr>
                <w:sz w:val="28"/>
              </w:rPr>
              <w:t>Test group</w:t>
            </w:r>
          </w:p>
        </w:tc>
        <w:tc>
          <w:tcPr>
            <w:tcW w:w="1260" w:type="dxa"/>
          </w:tcPr>
          <w:p>
            <w:pPr>
              <w:pStyle w:val="TableParagraph"/>
              <w:spacing w:line="278" w:lineRule="auto"/>
              <w:ind w:left="108" w:right="267"/>
              <w:rPr>
                <w:sz w:val="28"/>
              </w:rPr>
            </w:pPr>
            <w:r>
              <w:rPr>
                <w:sz w:val="28"/>
              </w:rPr>
              <w:t>Placebo group</w:t>
            </w:r>
          </w:p>
        </w:tc>
        <w:tc>
          <w:tcPr>
            <w:tcW w:w="941" w:type="dxa"/>
          </w:tcPr>
          <w:p>
            <w:pPr>
              <w:pStyle w:val="TableParagraph"/>
              <w:spacing w:line="278" w:lineRule="auto"/>
              <w:ind w:left="108" w:right="161"/>
              <w:rPr>
                <w:sz w:val="28"/>
              </w:rPr>
            </w:pPr>
            <w:r>
              <w:rPr>
                <w:sz w:val="28"/>
              </w:rPr>
              <w:t>Test group</w:t>
            </w:r>
          </w:p>
        </w:tc>
      </w:tr>
      <w:tr>
        <w:trPr>
          <w:trHeight w:val="563" w:hRule="atLeast"/>
        </w:trPr>
        <w:tc>
          <w:tcPr>
            <w:tcW w:w="1579" w:type="dxa"/>
          </w:tcPr>
          <w:p>
            <w:pPr>
              <w:pStyle w:val="TableParagraph"/>
              <w:spacing w:before="1"/>
              <w:ind w:left="110"/>
              <w:rPr>
                <w:sz w:val="28"/>
              </w:rPr>
            </w:pPr>
            <w:r>
              <w:rPr>
                <w:sz w:val="28"/>
              </w:rPr>
              <w:t>No exercise</w:t>
            </w:r>
          </w:p>
        </w:tc>
        <w:tc>
          <w:tcPr>
            <w:tcW w:w="1116" w:type="dxa"/>
          </w:tcPr>
          <w:p>
            <w:pPr>
              <w:pStyle w:val="TableParagraph"/>
              <w:spacing w:before="1"/>
              <w:ind w:left="107"/>
              <w:rPr>
                <w:sz w:val="28"/>
              </w:rPr>
            </w:pPr>
            <w:r>
              <w:rPr>
                <w:sz w:val="28"/>
              </w:rPr>
              <w:t>16</w:t>
            </w:r>
          </w:p>
        </w:tc>
        <w:tc>
          <w:tcPr>
            <w:tcW w:w="991" w:type="dxa"/>
          </w:tcPr>
          <w:p>
            <w:pPr>
              <w:pStyle w:val="TableParagraph"/>
              <w:spacing w:before="1"/>
              <w:ind w:left="108"/>
              <w:rPr>
                <w:sz w:val="28"/>
              </w:rPr>
            </w:pPr>
            <w:r>
              <w:rPr>
                <w:sz w:val="28"/>
              </w:rPr>
              <w:t>13</w:t>
            </w:r>
          </w:p>
        </w:tc>
        <w:tc>
          <w:tcPr>
            <w:tcW w:w="1260" w:type="dxa"/>
          </w:tcPr>
          <w:p>
            <w:pPr>
              <w:pStyle w:val="TableParagraph"/>
              <w:spacing w:before="1"/>
              <w:ind w:left="108"/>
              <w:rPr>
                <w:sz w:val="28"/>
              </w:rPr>
            </w:pPr>
            <w:r>
              <w:rPr>
                <w:sz w:val="28"/>
              </w:rPr>
              <w:t>-21.50</w:t>
            </w:r>
          </w:p>
        </w:tc>
        <w:tc>
          <w:tcPr>
            <w:tcW w:w="941" w:type="dxa"/>
          </w:tcPr>
          <w:p>
            <w:pPr>
              <w:pStyle w:val="TableParagraph"/>
              <w:spacing w:before="1"/>
              <w:ind w:left="108"/>
              <w:rPr>
                <w:sz w:val="28"/>
              </w:rPr>
            </w:pPr>
            <w:r>
              <w:rPr>
                <w:sz w:val="28"/>
              </w:rPr>
              <w:t>+4.46</w:t>
            </w:r>
          </w:p>
        </w:tc>
      </w:tr>
      <w:tr>
        <w:trPr>
          <w:trHeight w:val="561" w:hRule="atLeast"/>
        </w:trPr>
        <w:tc>
          <w:tcPr>
            <w:tcW w:w="1579" w:type="dxa"/>
          </w:tcPr>
          <w:p>
            <w:pPr>
              <w:pStyle w:val="TableParagraph"/>
              <w:tabs>
                <w:tab w:pos="1206" w:val="left" w:leader="none"/>
              </w:tabs>
              <w:spacing w:line="311" w:lineRule="exact"/>
              <w:ind w:left="110"/>
              <w:rPr>
                <w:sz w:val="28"/>
              </w:rPr>
            </w:pPr>
            <w:r>
              <w:rPr>
                <w:sz w:val="28"/>
              </w:rPr>
              <w:t>Regular</w:t>
              <w:tab/>
              <w:t>al-</w:t>
            </w:r>
          </w:p>
        </w:tc>
        <w:tc>
          <w:tcPr>
            <w:tcW w:w="1116" w:type="dxa"/>
          </w:tcPr>
          <w:p>
            <w:pPr>
              <w:pStyle w:val="TableParagraph"/>
              <w:spacing w:line="313" w:lineRule="exact"/>
              <w:ind w:left="107"/>
              <w:rPr>
                <w:sz w:val="28"/>
              </w:rPr>
            </w:pPr>
            <w:r>
              <w:rPr>
                <w:sz w:val="28"/>
              </w:rPr>
              <w:t>15</w:t>
            </w:r>
          </w:p>
        </w:tc>
        <w:tc>
          <w:tcPr>
            <w:tcW w:w="991" w:type="dxa"/>
          </w:tcPr>
          <w:p>
            <w:pPr>
              <w:pStyle w:val="TableParagraph"/>
              <w:spacing w:line="313" w:lineRule="exact"/>
              <w:ind w:left="108"/>
              <w:rPr>
                <w:sz w:val="28"/>
              </w:rPr>
            </w:pPr>
            <w:r>
              <w:rPr>
                <w:sz w:val="28"/>
              </w:rPr>
              <w:t>21</w:t>
            </w:r>
          </w:p>
        </w:tc>
        <w:tc>
          <w:tcPr>
            <w:tcW w:w="1260" w:type="dxa"/>
          </w:tcPr>
          <w:p>
            <w:pPr>
              <w:pStyle w:val="TableParagraph"/>
              <w:spacing w:line="313" w:lineRule="exact"/>
              <w:ind w:left="108"/>
              <w:rPr>
                <w:sz w:val="28"/>
              </w:rPr>
            </w:pPr>
            <w:r>
              <w:rPr>
                <w:sz w:val="28"/>
              </w:rPr>
              <w:t>-25.35</w:t>
            </w:r>
          </w:p>
        </w:tc>
        <w:tc>
          <w:tcPr>
            <w:tcW w:w="941" w:type="dxa"/>
          </w:tcPr>
          <w:p>
            <w:pPr>
              <w:pStyle w:val="TableParagraph"/>
              <w:spacing w:line="313" w:lineRule="exact"/>
              <w:ind w:left="108"/>
              <w:rPr>
                <w:sz w:val="28"/>
              </w:rPr>
            </w:pPr>
            <w:r>
              <w:rPr>
                <w:sz w:val="28"/>
              </w:rPr>
              <w:t>+2.95</w:t>
            </w:r>
          </w:p>
        </w:tc>
      </w:tr>
    </w:tbl>
    <w:p>
      <w:pPr>
        <w:spacing w:after="0" w:line="313" w:lineRule="exact"/>
        <w:rPr>
          <w:sz w:val="28"/>
        </w:rPr>
        <w:sectPr>
          <w:pgSz w:w="14270" w:h="16850"/>
          <w:pgMar w:header="0" w:footer="1891" w:top="1320" w:bottom="2080" w:left="800" w:right="1280"/>
        </w:sect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79"/>
        <w:gridCol w:w="1116"/>
        <w:gridCol w:w="991"/>
        <w:gridCol w:w="1260"/>
        <w:gridCol w:w="941"/>
      </w:tblGrid>
      <w:tr>
        <w:trPr>
          <w:trHeight w:val="1651" w:hRule="atLeast"/>
        </w:trPr>
        <w:tc>
          <w:tcPr>
            <w:tcW w:w="1579" w:type="dxa"/>
          </w:tcPr>
          <w:p>
            <w:pPr>
              <w:pStyle w:val="TableParagraph"/>
              <w:tabs>
                <w:tab w:pos="983" w:val="left" w:leader="none"/>
              </w:tabs>
              <w:spacing w:line="276" w:lineRule="auto"/>
              <w:ind w:left="110" w:right="93"/>
              <w:rPr>
                <w:sz w:val="28"/>
              </w:rPr>
            </w:pPr>
            <w:r>
              <w:rPr>
                <w:sz w:val="28"/>
              </w:rPr>
              <w:t>cohol</w:t>
              <w:tab/>
              <w:t>con- sumption</w:t>
            </w:r>
          </w:p>
          <w:p>
            <w:pPr>
              <w:pStyle w:val="TableParagraph"/>
              <w:spacing w:line="278" w:lineRule="auto"/>
              <w:ind w:left="110"/>
              <w:rPr>
                <w:sz w:val="28"/>
              </w:rPr>
            </w:pPr>
            <w:r>
              <w:rPr>
                <w:sz w:val="28"/>
              </w:rPr>
              <w:t>(2-3* times a week)</w:t>
            </w:r>
          </w:p>
        </w:tc>
        <w:tc>
          <w:tcPr>
            <w:tcW w:w="1116" w:type="dxa"/>
          </w:tcPr>
          <w:p>
            <w:pPr>
              <w:pStyle w:val="TableParagraph"/>
              <w:rPr>
                <w:rFonts w:ascii="Times New Roman"/>
                <w:sz w:val="32"/>
              </w:rPr>
            </w:pPr>
          </w:p>
        </w:tc>
        <w:tc>
          <w:tcPr>
            <w:tcW w:w="991" w:type="dxa"/>
          </w:tcPr>
          <w:p>
            <w:pPr>
              <w:pStyle w:val="TableParagraph"/>
              <w:rPr>
                <w:rFonts w:ascii="Times New Roman"/>
                <w:sz w:val="32"/>
              </w:rPr>
            </w:pPr>
          </w:p>
        </w:tc>
        <w:tc>
          <w:tcPr>
            <w:tcW w:w="1260" w:type="dxa"/>
          </w:tcPr>
          <w:p>
            <w:pPr>
              <w:pStyle w:val="TableParagraph"/>
              <w:rPr>
                <w:rFonts w:ascii="Times New Roman"/>
                <w:sz w:val="32"/>
              </w:rPr>
            </w:pPr>
          </w:p>
        </w:tc>
        <w:tc>
          <w:tcPr>
            <w:tcW w:w="941" w:type="dxa"/>
          </w:tcPr>
          <w:p>
            <w:pPr>
              <w:pStyle w:val="TableParagraph"/>
              <w:rPr>
                <w:rFonts w:ascii="Times New Roman"/>
                <w:sz w:val="32"/>
              </w:rPr>
            </w:pPr>
          </w:p>
        </w:tc>
      </w:tr>
      <w:tr>
        <w:trPr>
          <w:trHeight w:val="561" w:hRule="atLeast"/>
        </w:trPr>
        <w:tc>
          <w:tcPr>
            <w:tcW w:w="5887" w:type="dxa"/>
            <w:gridSpan w:val="5"/>
          </w:tcPr>
          <w:p>
            <w:pPr>
              <w:pStyle w:val="TableParagraph"/>
              <w:spacing w:line="309" w:lineRule="exact"/>
              <w:ind w:left="110"/>
              <w:rPr>
                <w:sz w:val="28"/>
              </w:rPr>
            </w:pPr>
            <w:r>
              <w:rPr>
                <w:sz w:val="28"/>
              </w:rPr>
              <w:t>Level of significance: *p&lt;0.1</w:t>
            </w:r>
          </w:p>
        </w:tc>
      </w:tr>
    </w:tbl>
    <w:p>
      <w:pPr>
        <w:pStyle w:val="BodyText"/>
        <w:rPr>
          <w:b/>
          <w:sz w:val="20"/>
        </w:rPr>
      </w:pPr>
    </w:p>
    <w:p>
      <w:pPr>
        <w:pStyle w:val="BodyText"/>
        <w:rPr>
          <w:b/>
          <w:sz w:val="20"/>
        </w:rPr>
      </w:pPr>
    </w:p>
    <w:p>
      <w:pPr>
        <w:pStyle w:val="BodyText"/>
        <w:rPr>
          <w:b/>
          <w:sz w:val="20"/>
        </w:rPr>
      </w:pPr>
    </w:p>
    <w:p>
      <w:pPr>
        <w:pStyle w:val="Heading1"/>
        <w:spacing w:before="271"/>
        <w:ind w:left="616"/>
      </w:pPr>
      <w:r>
        <w:rPr/>
        <w:t>Inflammation processes in the body</w:t>
      </w:r>
      <w:r>
        <w:rPr>
          <w:spacing w:val="-59"/>
        </w:rPr>
        <w:t> </w:t>
      </w:r>
      <w:r>
        <w:rPr/>
        <w:t>reduced</w:t>
      </w:r>
    </w:p>
    <w:p>
      <w:pPr>
        <w:pStyle w:val="BodyText"/>
        <w:spacing w:line="276" w:lineRule="auto" w:before="300"/>
        <w:ind w:left="616" w:right="141"/>
        <w:jc w:val="both"/>
      </w:pPr>
      <w:r>
        <w:rPr/>
        <w:t>The significant blood sedimentation pace was particularly evident in patients under 60 years old and a clear indication for the reduction of inflammatory processes in the organism (arthritis, gout etc.)</w:t>
      </w:r>
    </w:p>
    <w:p>
      <w:pPr>
        <w:pStyle w:val="BodyText"/>
        <w:rPr>
          <w:sz w:val="20"/>
        </w:rPr>
      </w:pPr>
    </w:p>
    <w:p>
      <w:pPr>
        <w:pStyle w:val="BodyText"/>
        <w:rPr>
          <w:sz w:val="20"/>
        </w:rPr>
      </w:pPr>
    </w:p>
    <w:p>
      <w:pPr>
        <w:pStyle w:val="BodyText"/>
        <w:rPr>
          <w:sz w:val="20"/>
        </w:rPr>
      </w:pPr>
    </w:p>
    <w:p>
      <w:pPr>
        <w:pStyle w:val="BodyText"/>
        <w:spacing w:before="2"/>
        <w:rPr>
          <w:sz w:val="23"/>
        </w:rPr>
      </w:pPr>
    </w:p>
    <w:tbl>
      <w:tblPr>
        <w:tblW w:w="0" w:type="auto"/>
        <w:jc w:val="left"/>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79"/>
        <w:gridCol w:w="1116"/>
        <w:gridCol w:w="988"/>
        <w:gridCol w:w="1259"/>
        <w:gridCol w:w="943"/>
      </w:tblGrid>
      <w:tr>
        <w:trPr>
          <w:trHeight w:val="1286" w:hRule="atLeast"/>
        </w:trPr>
        <w:tc>
          <w:tcPr>
            <w:tcW w:w="1579" w:type="dxa"/>
          </w:tcPr>
          <w:p>
            <w:pPr>
              <w:pStyle w:val="TableParagraph"/>
              <w:spacing w:line="313" w:lineRule="exact"/>
              <w:ind w:left="107"/>
              <w:rPr>
                <w:b/>
                <w:sz w:val="28"/>
              </w:rPr>
            </w:pPr>
            <w:r>
              <w:rPr>
                <w:b/>
                <w:sz w:val="28"/>
              </w:rPr>
              <w:t>Risk group</w:t>
            </w:r>
          </w:p>
        </w:tc>
        <w:tc>
          <w:tcPr>
            <w:tcW w:w="1116" w:type="dxa"/>
          </w:tcPr>
          <w:p>
            <w:pPr>
              <w:pStyle w:val="TableParagraph"/>
              <w:tabs>
                <w:tab w:pos="779" w:val="left" w:leader="none"/>
              </w:tabs>
              <w:spacing w:line="276" w:lineRule="auto"/>
              <w:ind w:left="107" w:right="93"/>
              <w:rPr>
                <w:b/>
                <w:sz w:val="28"/>
              </w:rPr>
            </w:pPr>
            <w:r>
              <w:rPr>
                <w:b/>
                <w:sz w:val="28"/>
              </w:rPr>
              <w:t>Num- ber</w:t>
              <w:tab/>
              <w:t>of people</w:t>
            </w:r>
          </w:p>
        </w:tc>
        <w:tc>
          <w:tcPr>
            <w:tcW w:w="988" w:type="dxa"/>
          </w:tcPr>
          <w:p>
            <w:pPr>
              <w:pStyle w:val="TableParagraph"/>
              <w:rPr>
                <w:rFonts w:ascii="Times New Roman"/>
                <w:sz w:val="32"/>
              </w:rPr>
            </w:pPr>
          </w:p>
        </w:tc>
        <w:tc>
          <w:tcPr>
            <w:tcW w:w="1259" w:type="dxa"/>
          </w:tcPr>
          <w:p>
            <w:pPr>
              <w:pStyle w:val="TableParagraph"/>
              <w:spacing w:line="276" w:lineRule="auto"/>
              <w:ind w:left="111" w:right="175"/>
              <w:rPr>
                <w:b/>
                <w:sz w:val="28"/>
              </w:rPr>
            </w:pPr>
            <w:r>
              <w:rPr>
                <w:b/>
                <w:sz w:val="28"/>
              </w:rPr>
              <w:t>Average differ- ence</w:t>
            </w:r>
          </w:p>
        </w:tc>
        <w:tc>
          <w:tcPr>
            <w:tcW w:w="943" w:type="dxa"/>
          </w:tcPr>
          <w:p>
            <w:pPr>
              <w:pStyle w:val="TableParagraph"/>
              <w:rPr>
                <w:rFonts w:ascii="Times New Roman"/>
                <w:sz w:val="32"/>
              </w:rPr>
            </w:pPr>
          </w:p>
        </w:tc>
      </w:tr>
      <w:tr>
        <w:trPr>
          <w:trHeight w:val="923" w:hRule="atLeast"/>
        </w:trPr>
        <w:tc>
          <w:tcPr>
            <w:tcW w:w="1579" w:type="dxa"/>
          </w:tcPr>
          <w:p>
            <w:pPr>
              <w:pStyle w:val="TableParagraph"/>
              <w:rPr>
                <w:rFonts w:ascii="Times New Roman"/>
                <w:sz w:val="32"/>
              </w:rPr>
            </w:pPr>
          </w:p>
        </w:tc>
        <w:tc>
          <w:tcPr>
            <w:tcW w:w="1116" w:type="dxa"/>
          </w:tcPr>
          <w:p>
            <w:pPr>
              <w:pStyle w:val="TableParagraph"/>
              <w:spacing w:line="278" w:lineRule="auto"/>
              <w:ind w:left="107" w:right="124"/>
              <w:rPr>
                <w:sz w:val="28"/>
              </w:rPr>
            </w:pPr>
            <w:r>
              <w:rPr>
                <w:sz w:val="28"/>
              </w:rPr>
              <w:t>Placebo group</w:t>
            </w:r>
          </w:p>
        </w:tc>
        <w:tc>
          <w:tcPr>
            <w:tcW w:w="988" w:type="dxa"/>
          </w:tcPr>
          <w:p>
            <w:pPr>
              <w:pStyle w:val="TableParagraph"/>
              <w:spacing w:line="278" w:lineRule="auto"/>
              <w:ind w:left="108" w:right="208"/>
              <w:rPr>
                <w:sz w:val="28"/>
              </w:rPr>
            </w:pPr>
            <w:r>
              <w:rPr>
                <w:sz w:val="28"/>
              </w:rPr>
              <w:t>Test group</w:t>
            </w:r>
          </w:p>
        </w:tc>
        <w:tc>
          <w:tcPr>
            <w:tcW w:w="1259" w:type="dxa"/>
          </w:tcPr>
          <w:p>
            <w:pPr>
              <w:pStyle w:val="TableParagraph"/>
              <w:spacing w:line="278" w:lineRule="auto"/>
              <w:ind w:left="111" w:right="263"/>
              <w:rPr>
                <w:sz w:val="28"/>
              </w:rPr>
            </w:pPr>
            <w:r>
              <w:rPr>
                <w:sz w:val="28"/>
              </w:rPr>
              <w:t>Placebo group</w:t>
            </w:r>
          </w:p>
        </w:tc>
        <w:tc>
          <w:tcPr>
            <w:tcW w:w="943" w:type="dxa"/>
          </w:tcPr>
          <w:p>
            <w:pPr>
              <w:pStyle w:val="TableParagraph"/>
              <w:spacing w:line="278" w:lineRule="auto"/>
              <w:ind w:left="112" w:right="159"/>
              <w:rPr>
                <w:sz w:val="28"/>
              </w:rPr>
            </w:pPr>
            <w:r>
              <w:rPr>
                <w:sz w:val="28"/>
              </w:rPr>
              <w:t>Test group</w:t>
            </w:r>
          </w:p>
        </w:tc>
      </w:tr>
      <w:tr>
        <w:trPr>
          <w:trHeight w:val="563" w:hRule="atLeast"/>
        </w:trPr>
        <w:tc>
          <w:tcPr>
            <w:tcW w:w="1579" w:type="dxa"/>
          </w:tcPr>
          <w:p>
            <w:pPr>
              <w:pStyle w:val="TableParagraph"/>
              <w:spacing w:before="1"/>
              <w:ind w:left="107"/>
              <w:rPr>
                <w:sz w:val="28"/>
              </w:rPr>
            </w:pPr>
            <w:r>
              <w:rPr>
                <w:sz w:val="28"/>
              </w:rPr>
              <w:t>BSG 1*</w:t>
            </w:r>
          </w:p>
        </w:tc>
        <w:tc>
          <w:tcPr>
            <w:tcW w:w="1116" w:type="dxa"/>
          </w:tcPr>
          <w:p>
            <w:pPr>
              <w:pStyle w:val="TableParagraph"/>
              <w:spacing w:before="1"/>
              <w:ind w:left="107"/>
              <w:rPr>
                <w:sz w:val="28"/>
              </w:rPr>
            </w:pPr>
            <w:r>
              <w:rPr>
                <w:w w:val="100"/>
                <w:sz w:val="28"/>
              </w:rPr>
              <w:t>8</w:t>
            </w:r>
          </w:p>
        </w:tc>
        <w:tc>
          <w:tcPr>
            <w:tcW w:w="988" w:type="dxa"/>
          </w:tcPr>
          <w:p>
            <w:pPr>
              <w:pStyle w:val="TableParagraph"/>
              <w:spacing w:before="1"/>
              <w:ind w:left="108"/>
              <w:rPr>
                <w:sz w:val="28"/>
              </w:rPr>
            </w:pPr>
            <w:r>
              <w:rPr>
                <w:w w:val="100"/>
                <w:sz w:val="28"/>
              </w:rPr>
              <w:t>9</w:t>
            </w:r>
          </w:p>
        </w:tc>
        <w:tc>
          <w:tcPr>
            <w:tcW w:w="1259" w:type="dxa"/>
          </w:tcPr>
          <w:p>
            <w:pPr>
              <w:pStyle w:val="TableParagraph"/>
              <w:spacing w:before="1"/>
              <w:ind w:left="111"/>
              <w:rPr>
                <w:sz w:val="28"/>
              </w:rPr>
            </w:pPr>
            <w:r>
              <w:rPr>
                <w:sz w:val="28"/>
              </w:rPr>
              <w:t>-1.50</w:t>
            </w:r>
          </w:p>
        </w:tc>
        <w:tc>
          <w:tcPr>
            <w:tcW w:w="943" w:type="dxa"/>
          </w:tcPr>
          <w:p>
            <w:pPr>
              <w:pStyle w:val="TableParagraph"/>
              <w:spacing w:before="1"/>
              <w:ind w:left="94" w:right="156"/>
              <w:jc w:val="center"/>
              <w:rPr>
                <w:sz w:val="28"/>
              </w:rPr>
            </w:pPr>
            <w:r>
              <w:rPr>
                <w:sz w:val="28"/>
              </w:rPr>
              <w:t>+4.11</w:t>
            </w:r>
          </w:p>
        </w:tc>
      </w:tr>
      <w:tr>
        <w:trPr>
          <w:trHeight w:val="561" w:hRule="atLeast"/>
        </w:trPr>
        <w:tc>
          <w:tcPr>
            <w:tcW w:w="1579" w:type="dxa"/>
          </w:tcPr>
          <w:p>
            <w:pPr>
              <w:pStyle w:val="TableParagraph"/>
              <w:spacing w:line="313" w:lineRule="exact"/>
              <w:ind w:left="107"/>
              <w:rPr>
                <w:sz w:val="28"/>
              </w:rPr>
            </w:pPr>
            <w:r>
              <w:rPr>
                <w:sz w:val="28"/>
              </w:rPr>
              <w:t>BSG 2**</w:t>
            </w:r>
          </w:p>
        </w:tc>
        <w:tc>
          <w:tcPr>
            <w:tcW w:w="1116" w:type="dxa"/>
          </w:tcPr>
          <w:p>
            <w:pPr>
              <w:pStyle w:val="TableParagraph"/>
              <w:spacing w:line="313" w:lineRule="exact"/>
              <w:ind w:left="107"/>
              <w:rPr>
                <w:sz w:val="28"/>
              </w:rPr>
            </w:pPr>
            <w:r>
              <w:rPr>
                <w:w w:val="100"/>
                <w:sz w:val="28"/>
              </w:rPr>
              <w:t>8</w:t>
            </w:r>
          </w:p>
        </w:tc>
        <w:tc>
          <w:tcPr>
            <w:tcW w:w="988" w:type="dxa"/>
          </w:tcPr>
          <w:p>
            <w:pPr>
              <w:pStyle w:val="TableParagraph"/>
              <w:spacing w:line="313" w:lineRule="exact"/>
              <w:ind w:left="108"/>
              <w:rPr>
                <w:sz w:val="28"/>
              </w:rPr>
            </w:pPr>
            <w:r>
              <w:rPr>
                <w:w w:val="100"/>
                <w:sz w:val="28"/>
              </w:rPr>
              <w:t>9</w:t>
            </w:r>
          </w:p>
        </w:tc>
        <w:tc>
          <w:tcPr>
            <w:tcW w:w="1259" w:type="dxa"/>
          </w:tcPr>
          <w:p>
            <w:pPr>
              <w:pStyle w:val="TableParagraph"/>
              <w:spacing w:line="313" w:lineRule="exact"/>
              <w:ind w:left="111"/>
              <w:rPr>
                <w:sz w:val="28"/>
              </w:rPr>
            </w:pPr>
            <w:r>
              <w:rPr>
                <w:sz w:val="28"/>
              </w:rPr>
              <w:t>-4.50</w:t>
            </w:r>
          </w:p>
        </w:tc>
        <w:tc>
          <w:tcPr>
            <w:tcW w:w="943" w:type="dxa"/>
          </w:tcPr>
          <w:p>
            <w:pPr>
              <w:pStyle w:val="TableParagraph"/>
              <w:spacing w:line="313" w:lineRule="exact"/>
              <w:ind w:left="94" w:right="156"/>
              <w:jc w:val="center"/>
              <w:rPr>
                <w:sz w:val="28"/>
              </w:rPr>
            </w:pPr>
            <w:r>
              <w:rPr>
                <w:sz w:val="28"/>
              </w:rPr>
              <w:t>+9.22</w:t>
            </w:r>
          </w:p>
        </w:tc>
      </w:tr>
      <w:tr>
        <w:trPr>
          <w:trHeight w:val="563" w:hRule="atLeast"/>
        </w:trPr>
        <w:tc>
          <w:tcPr>
            <w:tcW w:w="5885" w:type="dxa"/>
            <w:gridSpan w:val="5"/>
          </w:tcPr>
          <w:p>
            <w:pPr>
              <w:pStyle w:val="TableParagraph"/>
              <w:spacing w:line="313" w:lineRule="exact"/>
              <w:ind w:left="107"/>
              <w:rPr>
                <w:sz w:val="28"/>
              </w:rPr>
            </w:pPr>
            <w:r>
              <w:rPr>
                <w:sz w:val="28"/>
              </w:rPr>
              <w:t>Level of significance: *p&lt;0.1 **p&lt;0.05</w:t>
            </w:r>
          </w:p>
        </w:tc>
      </w:tr>
    </w:tbl>
    <w:p>
      <w:pPr>
        <w:spacing w:after="0" w:line="313" w:lineRule="exact"/>
        <w:rPr>
          <w:sz w:val="28"/>
        </w:rPr>
        <w:sectPr>
          <w:pgSz w:w="14270" w:h="16850"/>
          <w:pgMar w:header="0" w:footer="1891" w:top="1420" w:bottom="2080" w:left="800" w:right="12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2"/>
        </w:rPr>
      </w:pPr>
    </w:p>
    <w:p>
      <w:pPr>
        <w:spacing w:before="0"/>
        <w:ind w:left="3257" w:right="0" w:firstLine="0"/>
        <w:jc w:val="left"/>
        <w:rPr>
          <w:b/>
          <w:sz w:val="24"/>
        </w:rPr>
      </w:pPr>
      <w:r>
        <w:rPr>
          <w:b/>
          <w:color w:val="585858"/>
          <w:sz w:val="24"/>
        </w:rPr>
        <w:t>BSG 1</w:t>
      </w:r>
    </w:p>
    <w:p>
      <w:pPr>
        <w:pStyle w:val="BodyText"/>
        <w:spacing w:before="5"/>
        <w:rPr>
          <w:b/>
          <w:sz w:val="28"/>
        </w:rPr>
      </w:pPr>
    </w:p>
    <w:p>
      <w:pPr>
        <w:spacing w:before="64"/>
        <w:ind w:left="1981" w:right="0" w:firstLine="0"/>
        <w:jc w:val="left"/>
        <w:rPr>
          <w:rFonts w:ascii="Calibri"/>
          <w:sz w:val="18"/>
        </w:rPr>
      </w:pPr>
      <w:r>
        <w:rPr/>
        <w:pict>
          <v:group style="position:absolute;margin-left:150.119995pt;margin-top:-3.490652pt;width:199.7pt;height:107.05pt;mso-position-horizontal-relative:page;mso-position-vertical-relative:paragraph;z-index:17872" coordorigin="3002,-70" coordsize="3994,2141">
            <v:shape style="position:absolute;left:3002;top:-70;width:3994;height:2141" type="#_x0000_t75" stroked="false">
              <v:imagedata r:id="rId494" o:title=""/>
            </v:shape>
            <v:shape style="position:absolute;left:4079;top:809;width:281;height:181" type="#_x0000_t202" filled="false" stroked="false">
              <v:textbox inset="0,0,0,0">
                <w:txbxContent>
                  <w:p>
                    <w:pPr>
                      <w:spacing w:before="0"/>
                      <w:ind w:left="0" w:right="0" w:firstLine="0"/>
                      <w:jc w:val="left"/>
                      <w:rPr>
                        <w:sz w:val="16"/>
                      </w:rPr>
                    </w:pPr>
                    <w:r>
                      <w:rPr>
                        <w:sz w:val="16"/>
                      </w:rPr>
                      <w:t>4,11</w:t>
                    </w:r>
                  </w:p>
                </w:txbxContent>
              </v:textbox>
              <w10:wrap type="none"/>
            </v:shape>
            <v:shape style="position:absolute;left:3362;top:1554;width:257;height:181" type="#_x0000_t202" filled="false" stroked="false">
              <v:textbox inset="0,0,0,0">
                <w:txbxContent>
                  <w:p>
                    <w:pPr>
                      <w:spacing w:before="0"/>
                      <w:ind w:left="0" w:right="0" w:firstLine="0"/>
                      <w:jc w:val="left"/>
                      <w:rPr>
                        <w:sz w:val="16"/>
                      </w:rPr>
                    </w:pPr>
                    <w:r>
                      <w:rPr>
                        <w:sz w:val="16"/>
                      </w:rPr>
                      <w:t>-1,5</w:t>
                    </w:r>
                  </w:p>
                </w:txbxContent>
              </v:textbox>
              <w10:wrap type="none"/>
            </v:shape>
            <w10:wrap type="none"/>
          </v:group>
        </w:pict>
      </w:r>
      <w:r>
        <w:rPr>
          <w:rFonts w:ascii="Calibri"/>
          <w:color w:val="585858"/>
          <w:sz w:val="18"/>
        </w:rPr>
        <w:t>5</w:t>
      </w:r>
    </w:p>
    <w:p>
      <w:pPr>
        <w:spacing w:before="46"/>
        <w:ind w:left="1981" w:right="0" w:firstLine="0"/>
        <w:jc w:val="left"/>
        <w:rPr>
          <w:rFonts w:ascii="Calibri"/>
          <w:sz w:val="18"/>
        </w:rPr>
      </w:pPr>
      <w:r>
        <w:rPr>
          <w:rFonts w:ascii="Calibri"/>
          <w:color w:val="585858"/>
          <w:sz w:val="18"/>
        </w:rPr>
        <w:t>4</w:t>
      </w:r>
    </w:p>
    <w:p>
      <w:pPr>
        <w:spacing w:before="46"/>
        <w:ind w:left="1981" w:right="0" w:firstLine="0"/>
        <w:jc w:val="left"/>
        <w:rPr>
          <w:rFonts w:ascii="Calibri"/>
          <w:sz w:val="18"/>
        </w:rPr>
      </w:pPr>
      <w:r>
        <w:rPr>
          <w:rFonts w:ascii="Calibri"/>
          <w:color w:val="585858"/>
          <w:sz w:val="18"/>
        </w:rPr>
        <w:t>3</w:t>
      </w:r>
    </w:p>
    <w:p>
      <w:pPr>
        <w:spacing w:before="46"/>
        <w:ind w:left="1981" w:right="0" w:firstLine="0"/>
        <w:jc w:val="left"/>
        <w:rPr>
          <w:rFonts w:ascii="Calibri"/>
          <w:sz w:val="18"/>
        </w:rPr>
      </w:pPr>
      <w:r>
        <w:rPr>
          <w:rFonts w:ascii="Calibri"/>
          <w:color w:val="585858"/>
          <w:sz w:val="18"/>
        </w:rPr>
        <w:t>2</w:t>
      </w:r>
    </w:p>
    <w:p>
      <w:pPr>
        <w:spacing w:before="46"/>
        <w:ind w:left="1981" w:right="0" w:firstLine="0"/>
        <w:jc w:val="left"/>
        <w:rPr>
          <w:rFonts w:ascii="Calibri"/>
          <w:sz w:val="18"/>
        </w:rPr>
      </w:pPr>
      <w:r>
        <w:rPr>
          <w:rFonts w:ascii="Calibri"/>
          <w:color w:val="585858"/>
          <w:sz w:val="18"/>
        </w:rPr>
        <w:t>1</w:t>
      </w:r>
    </w:p>
    <w:p>
      <w:pPr>
        <w:spacing w:before="46"/>
        <w:ind w:left="1981" w:right="0" w:firstLine="0"/>
        <w:jc w:val="left"/>
        <w:rPr>
          <w:rFonts w:ascii="Calibri"/>
          <w:sz w:val="18"/>
        </w:rPr>
      </w:pPr>
      <w:r>
        <w:rPr>
          <w:rFonts w:ascii="Calibri"/>
          <w:color w:val="585858"/>
          <w:sz w:val="18"/>
        </w:rPr>
        <w:t>0</w:t>
      </w:r>
    </w:p>
    <w:p>
      <w:pPr>
        <w:spacing w:before="46"/>
        <w:ind w:left="1926" w:right="0" w:firstLine="0"/>
        <w:jc w:val="left"/>
        <w:rPr>
          <w:rFonts w:ascii="Calibri"/>
          <w:sz w:val="18"/>
        </w:rPr>
      </w:pPr>
      <w:r>
        <w:rPr>
          <w:rFonts w:ascii="Calibri"/>
          <w:color w:val="585858"/>
          <w:sz w:val="18"/>
        </w:rPr>
        <w:t>-1</w:t>
      </w:r>
    </w:p>
    <w:p>
      <w:pPr>
        <w:spacing w:line="197" w:lineRule="exact" w:before="46"/>
        <w:ind w:left="1926" w:right="0" w:firstLine="0"/>
        <w:jc w:val="left"/>
        <w:rPr>
          <w:rFonts w:ascii="Calibri"/>
          <w:sz w:val="18"/>
        </w:rPr>
      </w:pPr>
      <w:r>
        <w:rPr>
          <w:rFonts w:ascii="Calibri"/>
          <w:color w:val="585858"/>
          <w:sz w:val="18"/>
        </w:rPr>
        <w:t>-2</w:t>
      </w:r>
    </w:p>
    <w:p>
      <w:pPr>
        <w:spacing w:line="203" w:lineRule="exact" w:before="0"/>
        <w:ind w:left="2044" w:right="0" w:firstLine="0"/>
        <w:jc w:val="left"/>
        <w:rPr>
          <w:sz w:val="20"/>
        </w:rPr>
      </w:pPr>
      <w:r>
        <w:rPr>
          <w:sz w:val="20"/>
        </w:rPr>
        <w:t>Placebo groTuepst group</w:t>
      </w:r>
    </w:p>
    <w:p>
      <w:pPr>
        <w:tabs>
          <w:tab w:pos="2456" w:val="left" w:leader="none"/>
          <w:tab w:pos="3170" w:val="left" w:leader="none"/>
        </w:tabs>
        <w:spacing w:before="28"/>
        <w:ind w:left="1130" w:right="0" w:firstLine="0"/>
        <w:jc w:val="left"/>
        <w:rPr>
          <w:sz w:val="20"/>
        </w:rPr>
      </w:pPr>
      <w:r>
        <w:rPr>
          <w:sz w:val="20"/>
        </w:rPr>
        <w:t>Datenreihen1</w:t>
        <w:tab/>
        <w:t>-1,5</w:t>
        <w:tab/>
        <w:t>4,11</w:t>
      </w:r>
    </w:p>
    <w:p>
      <w:pPr>
        <w:pStyle w:val="BodyText"/>
        <w:rPr>
          <w:sz w:val="20"/>
        </w:rPr>
      </w:pPr>
    </w:p>
    <w:p>
      <w:pPr>
        <w:pStyle w:val="BodyText"/>
        <w:spacing w:before="10"/>
        <w:rPr>
          <w:sz w:val="26"/>
        </w:rPr>
      </w:pPr>
    </w:p>
    <w:p>
      <w:pPr>
        <w:spacing w:before="100"/>
        <w:ind w:left="3250" w:right="0" w:firstLine="0"/>
        <w:jc w:val="left"/>
        <w:rPr>
          <w:b/>
          <w:sz w:val="24"/>
        </w:rPr>
      </w:pPr>
      <w:r>
        <w:rPr>
          <w:b/>
          <w:color w:val="585858"/>
          <w:sz w:val="24"/>
        </w:rPr>
        <w:t>BSG 2</w:t>
      </w:r>
    </w:p>
    <w:p>
      <w:pPr>
        <w:pStyle w:val="BodyText"/>
        <w:rPr>
          <w:b/>
          <w:sz w:val="20"/>
        </w:rPr>
      </w:pPr>
    </w:p>
    <w:p>
      <w:pPr>
        <w:spacing w:after="0"/>
        <w:rPr>
          <w:sz w:val="20"/>
        </w:rPr>
        <w:sectPr>
          <w:pgSz w:w="14270" w:h="16850"/>
          <w:pgMar w:header="0" w:footer="1891" w:top="1600" w:bottom="2080" w:left="800" w:right="1280"/>
        </w:sectPr>
      </w:pPr>
    </w:p>
    <w:p>
      <w:pPr>
        <w:pStyle w:val="BodyText"/>
        <w:spacing w:before="3"/>
        <w:rPr>
          <w:b/>
          <w:sz w:val="17"/>
        </w:rPr>
      </w:pPr>
    </w:p>
    <w:p>
      <w:pPr>
        <w:spacing w:line="210" w:lineRule="exact" w:before="0"/>
        <w:ind w:left="0" w:right="907" w:firstLine="0"/>
        <w:jc w:val="right"/>
        <w:rPr>
          <w:rFonts w:ascii="Calibri"/>
          <w:sz w:val="18"/>
        </w:rPr>
      </w:pPr>
      <w:r>
        <w:rPr/>
        <w:pict>
          <v:group style="position:absolute;margin-left:152.399994pt;margin-top:-8.490671pt;width:195.15pt;height:95.8pt;mso-position-horizontal-relative:page;mso-position-vertical-relative:paragraph;z-index:17944" coordorigin="3048,-170" coordsize="3903,1916">
            <v:shape style="position:absolute;left:3048;top:-170;width:3903;height:1916" type="#_x0000_t75" stroked="false">
              <v:imagedata r:id="rId495" o:title=""/>
            </v:shape>
            <v:shape style="position:absolute;left:4360;top:490;width:281;height:181" type="#_x0000_t202" filled="false" stroked="false">
              <v:textbox inset="0,0,0,0">
                <w:txbxContent>
                  <w:p>
                    <w:pPr>
                      <w:spacing w:before="0"/>
                      <w:ind w:left="0" w:right="0" w:firstLine="0"/>
                      <w:jc w:val="left"/>
                      <w:rPr>
                        <w:sz w:val="16"/>
                      </w:rPr>
                    </w:pPr>
                    <w:r>
                      <w:rPr>
                        <w:sz w:val="16"/>
                      </w:rPr>
                      <w:t>9,22</w:t>
                    </w:r>
                  </w:p>
                </w:txbxContent>
              </v:textbox>
              <w10:wrap type="none"/>
            </v:shape>
            <v:shape style="position:absolute;left:3495;top:1176;width:257;height:181" type="#_x0000_t202" filled="false" stroked="false">
              <v:textbox inset="0,0,0,0">
                <w:txbxContent>
                  <w:p>
                    <w:pPr>
                      <w:spacing w:before="0"/>
                      <w:ind w:left="0" w:right="0" w:firstLine="0"/>
                      <w:jc w:val="left"/>
                      <w:rPr>
                        <w:sz w:val="16"/>
                      </w:rPr>
                    </w:pPr>
                    <w:r>
                      <w:rPr>
                        <w:sz w:val="16"/>
                      </w:rPr>
                      <w:t>-4,5</w:t>
                    </w:r>
                  </w:p>
                </w:txbxContent>
              </v:textbox>
              <w10:wrap type="none"/>
            </v:shape>
            <w10:wrap type="none"/>
          </v:group>
        </w:pict>
      </w:r>
      <w:r>
        <w:rPr>
          <w:rFonts w:ascii="Calibri"/>
          <w:color w:val="585858"/>
          <w:spacing w:val="-1"/>
          <w:sz w:val="18"/>
        </w:rPr>
        <w:t>10</w:t>
      </w:r>
    </w:p>
    <w:p>
      <w:pPr>
        <w:spacing w:line="200" w:lineRule="exact" w:before="0"/>
        <w:ind w:left="0" w:right="907" w:firstLine="0"/>
        <w:jc w:val="right"/>
        <w:rPr>
          <w:rFonts w:ascii="Calibri"/>
          <w:sz w:val="18"/>
        </w:rPr>
      </w:pPr>
      <w:r>
        <w:rPr>
          <w:rFonts w:ascii="Calibri"/>
          <w:color w:val="585858"/>
          <w:sz w:val="18"/>
        </w:rPr>
        <w:t>8</w:t>
      </w:r>
    </w:p>
    <w:p>
      <w:pPr>
        <w:spacing w:line="200" w:lineRule="exact" w:before="0"/>
        <w:ind w:left="0" w:right="907" w:firstLine="0"/>
        <w:jc w:val="right"/>
        <w:rPr>
          <w:rFonts w:ascii="Calibri"/>
          <w:sz w:val="18"/>
        </w:rPr>
      </w:pPr>
      <w:r>
        <w:rPr>
          <w:rFonts w:ascii="Calibri"/>
          <w:color w:val="585858"/>
          <w:sz w:val="18"/>
        </w:rPr>
        <w:t>6</w:t>
      </w:r>
    </w:p>
    <w:p>
      <w:pPr>
        <w:spacing w:line="200" w:lineRule="exact" w:before="0"/>
        <w:ind w:left="0" w:right="907" w:firstLine="0"/>
        <w:jc w:val="right"/>
        <w:rPr>
          <w:rFonts w:ascii="Calibri"/>
          <w:sz w:val="18"/>
        </w:rPr>
      </w:pPr>
      <w:r>
        <w:rPr>
          <w:rFonts w:ascii="Calibri"/>
          <w:color w:val="585858"/>
          <w:sz w:val="18"/>
        </w:rPr>
        <w:t>4</w:t>
      </w:r>
    </w:p>
    <w:p>
      <w:pPr>
        <w:spacing w:line="200" w:lineRule="exact" w:before="0"/>
        <w:ind w:left="0" w:right="907" w:firstLine="0"/>
        <w:jc w:val="right"/>
        <w:rPr>
          <w:rFonts w:ascii="Calibri"/>
          <w:sz w:val="18"/>
        </w:rPr>
      </w:pPr>
      <w:r>
        <w:rPr>
          <w:rFonts w:ascii="Calibri"/>
          <w:color w:val="585858"/>
          <w:sz w:val="18"/>
        </w:rPr>
        <w:t>2</w:t>
      </w:r>
    </w:p>
    <w:p>
      <w:pPr>
        <w:spacing w:line="200" w:lineRule="exact" w:before="0"/>
        <w:ind w:left="0" w:right="907" w:firstLine="0"/>
        <w:jc w:val="right"/>
        <w:rPr>
          <w:rFonts w:ascii="Calibri"/>
          <w:sz w:val="18"/>
        </w:rPr>
      </w:pPr>
      <w:r>
        <w:rPr>
          <w:rFonts w:ascii="Calibri"/>
          <w:color w:val="585858"/>
          <w:sz w:val="18"/>
        </w:rPr>
        <w:t>0</w:t>
      </w:r>
    </w:p>
    <w:p>
      <w:pPr>
        <w:spacing w:line="200" w:lineRule="exact" w:before="0"/>
        <w:ind w:left="0" w:right="907" w:firstLine="0"/>
        <w:jc w:val="right"/>
        <w:rPr>
          <w:rFonts w:ascii="Calibri"/>
          <w:sz w:val="18"/>
        </w:rPr>
      </w:pPr>
      <w:r>
        <w:rPr>
          <w:rFonts w:ascii="Calibri"/>
          <w:color w:val="585858"/>
          <w:sz w:val="18"/>
        </w:rPr>
        <w:t>-2</w:t>
      </w:r>
    </w:p>
    <w:p>
      <w:pPr>
        <w:spacing w:line="200" w:lineRule="exact" w:before="0"/>
        <w:ind w:left="0" w:right="907" w:firstLine="0"/>
        <w:jc w:val="right"/>
        <w:rPr>
          <w:rFonts w:ascii="Calibri"/>
          <w:sz w:val="18"/>
        </w:rPr>
      </w:pPr>
      <w:r>
        <w:rPr>
          <w:rFonts w:ascii="Calibri"/>
          <w:color w:val="585858"/>
          <w:sz w:val="18"/>
        </w:rPr>
        <w:t>-4</w:t>
      </w:r>
    </w:p>
    <w:p>
      <w:pPr>
        <w:spacing w:line="187" w:lineRule="exact" w:before="0"/>
        <w:ind w:left="0" w:right="907" w:firstLine="0"/>
        <w:jc w:val="right"/>
        <w:rPr>
          <w:rFonts w:ascii="Calibri"/>
          <w:sz w:val="18"/>
        </w:rPr>
      </w:pPr>
      <w:r>
        <w:rPr>
          <w:rFonts w:ascii="Calibri"/>
          <w:color w:val="585858"/>
          <w:spacing w:val="-1"/>
          <w:sz w:val="18"/>
        </w:rPr>
        <w:t>-6</w:t>
      </w:r>
    </w:p>
    <w:p>
      <w:pPr>
        <w:spacing w:line="203" w:lineRule="exact" w:before="0"/>
        <w:ind w:left="0" w:right="0" w:firstLine="0"/>
        <w:jc w:val="right"/>
        <w:rPr>
          <w:sz w:val="20"/>
        </w:rPr>
      </w:pPr>
      <w:r>
        <w:rPr>
          <w:sz w:val="20"/>
        </w:rPr>
        <w:t>Placebo</w:t>
      </w:r>
    </w:p>
    <w:p>
      <w:pPr>
        <w:spacing w:before="0"/>
        <w:ind w:left="0" w:right="75" w:firstLine="0"/>
        <w:jc w:val="right"/>
        <w:rPr>
          <w:sz w:val="20"/>
        </w:rPr>
      </w:pPr>
      <w:r>
        <w:rPr>
          <w:sz w:val="20"/>
        </w:rPr>
        <w:t>group</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
        <w:rPr>
          <w:sz w:val="21"/>
        </w:rPr>
      </w:pPr>
    </w:p>
    <w:p>
      <w:pPr>
        <w:spacing w:before="1"/>
        <w:ind w:left="302" w:right="8341" w:firstLine="60"/>
        <w:jc w:val="left"/>
        <w:rPr>
          <w:sz w:val="20"/>
        </w:rPr>
      </w:pPr>
      <w:r>
        <w:rPr>
          <w:sz w:val="20"/>
        </w:rPr>
        <w:t>Test group</w:t>
      </w:r>
    </w:p>
    <w:p>
      <w:pPr>
        <w:spacing w:after="0"/>
        <w:jc w:val="left"/>
        <w:rPr>
          <w:sz w:val="20"/>
        </w:rPr>
        <w:sectPr>
          <w:type w:val="continuous"/>
          <w:pgSz w:w="14270" w:h="16850"/>
          <w:pgMar w:top="1340" w:bottom="280" w:left="800" w:right="1280"/>
          <w:cols w:num="2" w:equalWidth="0">
            <w:col w:w="3028" w:space="40"/>
            <w:col w:w="9122"/>
          </w:cols>
        </w:sectPr>
      </w:pPr>
    </w:p>
    <w:p>
      <w:pPr>
        <w:tabs>
          <w:tab w:pos="2575" w:val="left" w:leader="none"/>
          <w:tab w:pos="3436" w:val="left" w:leader="none"/>
        </w:tabs>
        <w:spacing w:before="27"/>
        <w:ind w:left="1175" w:right="0" w:firstLine="0"/>
        <w:jc w:val="left"/>
        <w:rPr>
          <w:sz w:val="20"/>
        </w:rPr>
      </w:pPr>
      <w:r>
        <w:rPr>
          <w:sz w:val="20"/>
        </w:rPr>
        <w:t>Datenreihen1</w:t>
        <w:tab/>
        <w:t>-4,5</w:t>
        <w:tab/>
        <w:t>9,22</w:t>
      </w:r>
    </w:p>
    <w:p>
      <w:pPr>
        <w:pStyle w:val="BodyText"/>
        <w:rPr>
          <w:sz w:val="20"/>
        </w:rPr>
      </w:pPr>
    </w:p>
    <w:p>
      <w:pPr>
        <w:pStyle w:val="Heading1"/>
        <w:spacing w:before="232"/>
        <w:ind w:left="616"/>
      </w:pPr>
      <w:r>
        <w:rPr/>
        <w:t>Blood pressure significantly reduced</w:t>
      </w:r>
    </w:p>
    <w:p>
      <w:pPr>
        <w:pStyle w:val="BodyText"/>
        <w:spacing w:line="276" w:lineRule="auto" w:before="300"/>
        <w:ind w:left="616"/>
      </w:pPr>
      <w:r>
        <w:rPr/>
        <w:t>Blood pressure was measured four times during the study. Both the systolic and</w:t>
      </w:r>
      <w:r>
        <w:rPr>
          <w:spacing w:val="-19"/>
        </w:rPr>
        <w:t> </w:t>
      </w:r>
      <w:r>
        <w:rPr/>
        <w:t>diastolic</w:t>
      </w:r>
      <w:r>
        <w:rPr>
          <w:spacing w:val="-18"/>
        </w:rPr>
        <w:t> </w:t>
      </w:r>
      <w:r>
        <w:rPr/>
        <w:t>blood</w:t>
      </w:r>
      <w:r>
        <w:rPr>
          <w:spacing w:val="-18"/>
        </w:rPr>
        <w:t> </w:t>
      </w:r>
      <w:r>
        <w:rPr/>
        <w:t>pressure</w:t>
      </w:r>
      <w:r>
        <w:rPr>
          <w:spacing w:val="-18"/>
        </w:rPr>
        <w:t> </w:t>
      </w:r>
      <w:r>
        <w:rPr/>
        <w:t>could</w:t>
      </w:r>
      <w:r>
        <w:rPr>
          <w:spacing w:val="-18"/>
        </w:rPr>
        <w:t> </w:t>
      </w:r>
      <w:r>
        <w:rPr/>
        <w:t>be</w:t>
      </w:r>
      <w:r>
        <w:rPr>
          <w:spacing w:val="-19"/>
        </w:rPr>
        <w:t> </w:t>
      </w:r>
      <w:r>
        <w:rPr/>
        <w:t>significantly</w:t>
      </w:r>
      <w:r>
        <w:rPr>
          <w:spacing w:val="-17"/>
        </w:rPr>
        <w:t> </w:t>
      </w:r>
      <w:r>
        <w:rPr/>
        <w:t>reduced</w:t>
      </w:r>
      <w:r>
        <w:rPr>
          <w:spacing w:val="-19"/>
        </w:rPr>
        <w:t> </w:t>
      </w:r>
      <w:r>
        <w:rPr/>
        <w:t>in</w:t>
      </w:r>
      <w:r>
        <w:rPr>
          <w:spacing w:val="-19"/>
        </w:rPr>
        <w:t> </w:t>
      </w:r>
      <w:r>
        <w:rPr/>
        <w:t>the</w:t>
      </w:r>
      <w:r>
        <w:rPr>
          <w:spacing w:val="-17"/>
        </w:rPr>
        <w:t> </w:t>
      </w:r>
      <w:r>
        <w:rPr/>
        <w:t>verum</w:t>
      </w:r>
      <w:r>
        <w:rPr>
          <w:spacing w:val="-20"/>
        </w:rPr>
        <w:t> </w:t>
      </w:r>
      <w:r>
        <w:rPr/>
        <w:t>group:</w:t>
      </w:r>
    </w:p>
    <w:p>
      <w:pPr>
        <w:spacing w:after="0" w:line="276" w:lineRule="auto"/>
        <w:sectPr>
          <w:type w:val="continuous"/>
          <w:pgSz w:w="14270" w:h="16850"/>
          <w:pgMar w:top="1340" w:bottom="280" w:left="800" w:right="1280"/>
        </w:sectPr>
      </w:pPr>
    </w:p>
    <w:p>
      <w:pPr>
        <w:pStyle w:val="BodyText"/>
        <w:rPr>
          <w:sz w:val="20"/>
        </w:rPr>
      </w:pPr>
    </w:p>
    <w:p>
      <w:pPr>
        <w:pStyle w:val="BodyText"/>
        <w:spacing w:before="2" w:after="1"/>
        <w:rPr>
          <w:sz w:val="25"/>
        </w:rPr>
      </w:pPr>
    </w:p>
    <w:tbl>
      <w:tblPr>
        <w:tblW w:w="0" w:type="auto"/>
        <w:jc w:val="left"/>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63"/>
        <w:gridCol w:w="1964"/>
        <w:gridCol w:w="1961"/>
      </w:tblGrid>
      <w:tr>
        <w:trPr>
          <w:trHeight w:val="561" w:hRule="atLeast"/>
        </w:trPr>
        <w:tc>
          <w:tcPr>
            <w:tcW w:w="1963" w:type="dxa"/>
          </w:tcPr>
          <w:p>
            <w:pPr>
              <w:pStyle w:val="TableParagraph"/>
              <w:rPr>
                <w:rFonts w:ascii="Times New Roman"/>
                <w:sz w:val="34"/>
              </w:rPr>
            </w:pPr>
          </w:p>
        </w:tc>
        <w:tc>
          <w:tcPr>
            <w:tcW w:w="1964" w:type="dxa"/>
          </w:tcPr>
          <w:p>
            <w:pPr>
              <w:pStyle w:val="TableParagraph"/>
              <w:spacing w:line="313" w:lineRule="exact"/>
              <w:ind w:left="107"/>
              <w:rPr>
                <w:b/>
                <w:sz w:val="28"/>
              </w:rPr>
            </w:pPr>
            <w:r>
              <w:rPr>
                <w:b/>
                <w:sz w:val="28"/>
              </w:rPr>
              <w:t>Placebo group</w:t>
            </w:r>
          </w:p>
        </w:tc>
        <w:tc>
          <w:tcPr>
            <w:tcW w:w="1961" w:type="dxa"/>
          </w:tcPr>
          <w:p>
            <w:pPr>
              <w:pStyle w:val="TableParagraph"/>
              <w:spacing w:line="313" w:lineRule="exact"/>
              <w:ind w:left="107"/>
              <w:rPr>
                <w:b/>
                <w:sz w:val="28"/>
              </w:rPr>
            </w:pPr>
            <w:r>
              <w:rPr>
                <w:b/>
                <w:sz w:val="28"/>
              </w:rPr>
              <w:t>Test group</w:t>
            </w:r>
          </w:p>
        </w:tc>
      </w:tr>
      <w:tr>
        <w:trPr>
          <w:trHeight w:val="1487" w:hRule="atLeast"/>
        </w:trPr>
        <w:tc>
          <w:tcPr>
            <w:tcW w:w="1963" w:type="dxa"/>
          </w:tcPr>
          <w:p>
            <w:pPr>
              <w:pStyle w:val="TableParagraph"/>
              <w:spacing w:line="313" w:lineRule="exact"/>
              <w:ind w:left="110"/>
              <w:rPr>
                <w:sz w:val="28"/>
              </w:rPr>
            </w:pPr>
            <w:r>
              <w:rPr>
                <w:sz w:val="28"/>
              </w:rPr>
              <w:t>Syst./Diast.</w:t>
            </w:r>
          </w:p>
          <w:p>
            <w:pPr>
              <w:pStyle w:val="TableParagraph"/>
              <w:tabs>
                <w:tab w:pos="875" w:val="left" w:leader="none"/>
              </w:tabs>
              <w:spacing w:line="278" w:lineRule="auto" w:before="244"/>
              <w:ind w:left="110" w:right="91"/>
              <w:rPr>
                <w:sz w:val="28"/>
              </w:rPr>
            </w:pPr>
            <w:r>
              <w:rPr>
                <w:sz w:val="28"/>
              </w:rPr>
              <w:t>1st</w:t>
              <w:tab/>
            </w:r>
            <w:r>
              <w:rPr>
                <w:spacing w:val="-1"/>
                <w:sz w:val="28"/>
              </w:rPr>
              <w:t>measure- </w:t>
            </w:r>
            <w:r>
              <w:rPr>
                <w:sz w:val="28"/>
              </w:rPr>
              <w:t>ment</w:t>
            </w:r>
          </w:p>
        </w:tc>
        <w:tc>
          <w:tcPr>
            <w:tcW w:w="1964" w:type="dxa"/>
          </w:tcPr>
          <w:p>
            <w:pPr>
              <w:pStyle w:val="TableParagraph"/>
              <w:spacing w:line="313" w:lineRule="exact"/>
              <w:ind w:left="107"/>
              <w:rPr>
                <w:sz w:val="28"/>
              </w:rPr>
            </w:pPr>
            <w:r>
              <w:rPr>
                <w:sz w:val="28"/>
              </w:rPr>
              <w:t>148/87</w:t>
            </w:r>
          </w:p>
        </w:tc>
        <w:tc>
          <w:tcPr>
            <w:tcW w:w="1961" w:type="dxa"/>
          </w:tcPr>
          <w:p>
            <w:pPr>
              <w:pStyle w:val="TableParagraph"/>
              <w:spacing w:line="313" w:lineRule="exact"/>
              <w:ind w:left="107"/>
              <w:rPr>
                <w:sz w:val="28"/>
              </w:rPr>
            </w:pPr>
            <w:r>
              <w:rPr>
                <w:sz w:val="28"/>
              </w:rPr>
              <w:t>156/92</w:t>
            </w:r>
          </w:p>
        </w:tc>
      </w:tr>
      <w:tr>
        <w:trPr>
          <w:trHeight w:val="1485" w:hRule="atLeast"/>
        </w:trPr>
        <w:tc>
          <w:tcPr>
            <w:tcW w:w="1963" w:type="dxa"/>
          </w:tcPr>
          <w:p>
            <w:pPr>
              <w:pStyle w:val="TableParagraph"/>
              <w:spacing w:line="313" w:lineRule="exact"/>
              <w:ind w:left="110"/>
              <w:rPr>
                <w:sz w:val="28"/>
              </w:rPr>
            </w:pPr>
            <w:r>
              <w:rPr>
                <w:sz w:val="28"/>
              </w:rPr>
              <w:t>Syst./Diast.</w:t>
            </w:r>
          </w:p>
          <w:p>
            <w:pPr>
              <w:pStyle w:val="TableParagraph"/>
              <w:tabs>
                <w:tab w:pos="874" w:val="left" w:leader="none"/>
              </w:tabs>
              <w:spacing w:line="278" w:lineRule="auto" w:before="244"/>
              <w:ind w:left="110" w:right="92"/>
              <w:rPr>
                <w:sz w:val="28"/>
              </w:rPr>
            </w:pPr>
            <w:r>
              <w:rPr>
                <w:sz w:val="28"/>
              </w:rPr>
              <w:t>2nd</w:t>
              <w:tab/>
            </w:r>
            <w:r>
              <w:rPr>
                <w:spacing w:val="-1"/>
                <w:sz w:val="28"/>
              </w:rPr>
              <w:t>measure- </w:t>
            </w:r>
            <w:r>
              <w:rPr>
                <w:sz w:val="28"/>
              </w:rPr>
              <w:t>ment</w:t>
            </w:r>
          </w:p>
        </w:tc>
        <w:tc>
          <w:tcPr>
            <w:tcW w:w="1964" w:type="dxa"/>
          </w:tcPr>
          <w:p>
            <w:pPr>
              <w:pStyle w:val="TableParagraph"/>
              <w:spacing w:line="313" w:lineRule="exact"/>
              <w:ind w:left="107"/>
              <w:rPr>
                <w:sz w:val="28"/>
              </w:rPr>
            </w:pPr>
            <w:r>
              <w:rPr>
                <w:sz w:val="28"/>
              </w:rPr>
              <w:t>136/87</w:t>
            </w:r>
          </w:p>
        </w:tc>
        <w:tc>
          <w:tcPr>
            <w:tcW w:w="1961" w:type="dxa"/>
          </w:tcPr>
          <w:p>
            <w:pPr>
              <w:pStyle w:val="TableParagraph"/>
              <w:spacing w:line="313" w:lineRule="exact"/>
              <w:ind w:left="107"/>
              <w:rPr>
                <w:sz w:val="28"/>
              </w:rPr>
            </w:pPr>
            <w:r>
              <w:rPr>
                <w:sz w:val="28"/>
              </w:rPr>
              <w:t>139/85</w:t>
            </w:r>
          </w:p>
        </w:tc>
      </w:tr>
      <w:tr>
        <w:trPr>
          <w:trHeight w:val="1487" w:hRule="atLeast"/>
        </w:trPr>
        <w:tc>
          <w:tcPr>
            <w:tcW w:w="1963" w:type="dxa"/>
          </w:tcPr>
          <w:p>
            <w:pPr>
              <w:pStyle w:val="TableParagraph"/>
              <w:spacing w:line="313" w:lineRule="exact"/>
              <w:ind w:left="110"/>
              <w:rPr>
                <w:sz w:val="28"/>
              </w:rPr>
            </w:pPr>
            <w:r>
              <w:rPr>
                <w:sz w:val="28"/>
              </w:rPr>
              <w:t>Syst./Diast.</w:t>
            </w:r>
          </w:p>
          <w:p>
            <w:pPr>
              <w:pStyle w:val="TableParagraph"/>
              <w:tabs>
                <w:tab w:pos="875" w:val="left" w:leader="none"/>
              </w:tabs>
              <w:spacing w:line="278" w:lineRule="auto" w:before="246"/>
              <w:ind w:left="110" w:right="91"/>
              <w:rPr>
                <w:sz w:val="28"/>
              </w:rPr>
            </w:pPr>
            <w:r>
              <w:rPr>
                <w:sz w:val="28"/>
              </w:rPr>
              <w:t>3rd</w:t>
              <w:tab/>
            </w:r>
            <w:r>
              <w:rPr>
                <w:spacing w:val="-1"/>
                <w:sz w:val="28"/>
              </w:rPr>
              <w:t>measure- </w:t>
            </w:r>
            <w:r>
              <w:rPr>
                <w:sz w:val="28"/>
              </w:rPr>
              <w:t>ment</w:t>
            </w:r>
          </w:p>
        </w:tc>
        <w:tc>
          <w:tcPr>
            <w:tcW w:w="1964" w:type="dxa"/>
          </w:tcPr>
          <w:p>
            <w:pPr>
              <w:pStyle w:val="TableParagraph"/>
              <w:spacing w:line="313" w:lineRule="exact"/>
              <w:ind w:left="107"/>
              <w:rPr>
                <w:sz w:val="28"/>
              </w:rPr>
            </w:pPr>
            <w:r>
              <w:rPr>
                <w:sz w:val="28"/>
              </w:rPr>
              <w:t>130/80</w:t>
            </w:r>
          </w:p>
        </w:tc>
        <w:tc>
          <w:tcPr>
            <w:tcW w:w="1961" w:type="dxa"/>
          </w:tcPr>
          <w:p>
            <w:pPr>
              <w:pStyle w:val="TableParagraph"/>
              <w:spacing w:line="313" w:lineRule="exact"/>
              <w:ind w:left="107"/>
              <w:rPr>
                <w:sz w:val="28"/>
              </w:rPr>
            </w:pPr>
            <w:r>
              <w:rPr>
                <w:sz w:val="28"/>
              </w:rPr>
              <w:t>133/83</w:t>
            </w:r>
          </w:p>
        </w:tc>
      </w:tr>
      <w:tr>
        <w:trPr>
          <w:trHeight w:val="1487" w:hRule="atLeast"/>
        </w:trPr>
        <w:tc>
          <w:tcPr>
            <w:tcW w:w="1963" w:type="dxa"/>
          </w:tcPr>
          <w:p>
            <w:pPr>
              <w:pStyle w:val="TableParagraph"/>
              <w:spacing w:line="313" w:lineRule="exact"/>
              <w:ind w:left="110"/>
              <w:rPr>
                <w:sz w:val="28"/>
              </w:rPr>
            </w:pPr>
            <w:r>
              <w:rPr>
                <w:sz w:val="28"/>
              </w:rPr>
              <w:t>Syst./Diast.</w:t>
            </w:r>
          </w:p>
          <w:p>
            <w:pPr>
              <w:pStyle w:val="TableParagraph"/>
              <w:tabs>
                <w:tab w:pos="875" w:val="left" w:leader="none"/>
              </w:tabs>
              <w:spacing w:line="278" w:lineRule="auto" w:before="244"/>
              <w:ind w:left="110" w:right="91"/>
              <w:rPr>
                <w:sz w:val="28"/>
              </w:rPr>
            </w:pPr>
            <w:r>
              <w:rPr>
                <w:sz w:val="28"/>
              </w:rPr>
              <w:t>4th</w:t>
              <w:tab/>
            </w:r>
            <w:r>
              <w:rPr>
                <w:spacing w:val="-1"/>
                <w:sz w:val="28"/>
              </w:rPr>
              <w:t>measure- </w:t>
            </w:r>
            <w:r>
              <w:rPr>
                <w:sz w:val="28"/>
              </w:rPr>
              <w:t>ment</w:t>
            </w:r>
          </w:p>
        </w:tc>
        <w:tc>
          <w:tcPr>
            <w:tcW w:w="1964" w:type="dxa"/>
          </w:tcPr>
          <w:p>
            <w:pPr>
              <w:pStyle w:val="TableParagraph"/>
              <w:spacing w:line="313" w:lineRule="exact"/>
              <w:ind w:left="107"/>
              <w:rPr>
                <w:sz w:val="28"/>
              </w:rPr>
            </w:pPr>
            <w:r>
              <w:rPr>
                <w:sz w:val="28"/>
              </w:rPr>
              <w:t>128/80</w:t>
            </w:r>
          </w:p>
        </w:tc>
        <w:tc>
          <w:tcPr>
            <w:tcW w:w="1961" w:type="dxa"/>
          </w:tcPr>
          <w:p>
            <w:pPr>
              <w:pStyle w:val="TableParagraph"/>
              <w:spacing w:line="313" w:lineRule="exact"/>
              <w:ind w:left="107"/>
              <w:rPr>
                <w:sz w:val="28"/>
              </w:rPr>
            </w:pPr>
            <w:r>
              <w:rPr>
                <w:sz w:val="28"/>
              </w:rPr>
              <w:t>131/79</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100"/>
        <w:ind w:left="616"/>
      </w:pPr>
      <w:r>
        <w:rPr/>
        <w:t>Medical findings</w:t>
      </w:r>
    </w:p>
    <w:p>
      <w:pPr>
        <w:pStyle w:val="BodyText"/>
        <w:spacing w:line="276" w:lineRule="auto" w:before="299"/>
        <w:ind w:left="616" w:right="135"/>
        <w:jc w:val="both"/>
      </w:pPr>
      <w:r>
        <w:rPr/>
        <w:t>Two finger widths were used to measure the liver caudal of the rib cage and this</w:t>
      </w:r>
      <w:r>
        <w:rPr>
          <w:spacing w:val="-24"/>
        </w:rPr>
        <w:t> </w:t>
      </w:r>
      <w:r>
        <w:rPr/>
        <w:t>was</w:t>
      </w:r>
      <w:r>
        <w:rPr>
          <w:spacing w:val="-24"/>
        </w:rPr>
        <w:t> </w:t>
      </w:r>
      <w:r>
        <w:rPr/>
        <w:t>classified</w:t>
      </w:r>
      <w:r>
        <w:rPr>
          <w:spacing w:val="-24"/>
        </w:rPr>
        <w:t> </w:t>
      </w:r>
      <w:r>
        <w:rPr/>
        <w:t>as</w:t>
      </w:r>
      <w:r>
        <w:rPr>
          <w:spacing w:val="-26"/>
        </w:rPr>
        <w:t> </w:t>
      </w:r>
      <w:r>
        <w:rPr/>
        <w:t>either</w:t>
      </w:r>
      <w:r>
        <w:rPr>
          <w:spacing w:val="-26"/>
        </w:rPr>
        <w:t> </w:t>
      </w:r>
      <w:r>
        <w:rPr/>
        <w:t>normal,</w:t>
      </w:r>
      <w:r>
        <w:rPr>
          <w:spacing w:val="-23"/>
        </w:rPr>
        <w:t> </w:t>
      </w:r>
      <w:r>
        <w:rPr/>
        <w:t>enlarged</w:t>
      </w:r>
      <w:r>
        <w:rPr>
          <w:spacing w:val="-24"/>
        </w:rPr>
        <w:t> </w:t>
      </w:r>
      <w:r>
        <w:rPr/>
        <w:t>(1-2</w:t>
      </w:r>
      <w:r>
        <w:rPr>
          <w:spacing w:val="-27"/>
        </w:rPr>
        <w:t> </w:t>
      </w:r>
      <w:r>
        <w:rPr/>
        <w:t>double</w:t>
      </w:r>
      <w:r>
        <w:rPr>
          <w:spacing w:val="-24"/>
        </w:rPr>
        <w:t> </w:t>
      </w:r>
      <w:r>
        <w:rPr/>
        <w:t>finger</w:t>
      </w:r>
      <w:r>
        <w:rPr>
          <w:spacing w:val="-23"/>
        </w:rPr>
        <w:t> </w:t>
      </w:r>
      <w:r>
        <w:rPr/>
        <w:t>widths)</w:t>
      </w:r>
      <w:r>
        <w:rPr>
          <w:spacing w:val="-25"/>
        </w:rPr>
        <w:t> </w:t>
      </w:r>
      <w:r>
        <w:rPr/>
        <w:t>or</w:t>
      </w:r>
      <w:r>
        <w:rPr>
          <w:spacing w:val="-25"/>
        </w:rPr>
        <w:t> </w:t>
      </w:r>
      <w:r>
        <w:rPr/>
        <w:t>heav- ily</w:t>
      </w:r>
      <w:r>
        <w:rPr>
          <w:spacing w:val="-19"/>
        </w:rPr>
        <w:t> </w:t>
      </w:r>
      <w:r>
        <w:rPr/>
        <w:t>enlarged</w:t>
      </w:r>
      <w:r>
        <w:rPr>
          <w:spacing w:val="-17"/>
        </w:rPr>
        <w:t> </w:t>
      </w:r>
      <w:r>
        <w:rPr/>
        <w:t>(3-4</w:t>
      </w:r>
      <w:r>
        <w:rPr>
          <w:spacing w:val="-16"/>
        </w:rPr>
        <w:t> </w:t>
      </w:r>
      <w:r>
        <w:rPr/>
        <w:t>double</w:t>
      </w:r>
      <w:r>
        <w:rPr>
          <w:spacing w:val="-17"/>
        </w:rPr>
        <w:t> </w:t>
      </w:r>
      <w:r>
        <w:rPr/>
        <w:t>finger</w:t>
      </w:r>
      <w:r>
        <w:rPr>
          <w:spacing w:val="-18"/>
        </w:rPr>
        <w:t> </w:t>
      </w:r>
      <w:r>
        <w:rPr/>
        <w:t>widths).</w:t>
      </w:r>
      <w:r>
        <w:rPr>
          <w:spacing w:val="-17"/>
        </w:rPr>
        <w:t> </w:t>
      </w:r>
      <w:r>
        <w:rPr/>
        <w:t>The</w:t>
      </w:r>
      <w:r>
        <w:rPr>
          <w:spacing w:val="-17"/>
        </w:rPr>
        <w:t> </w:t>
      </w:r>
      <w:r>
        <w:rPr/>
        <w:t>liver</w:t>
      </w:r>
      <w:r>
        <w:rPr>
          <w:spacing w:val="-18"/>
        </w:rPr>
        <w:t> </w:t>
      </w:r>
      <w:r>
        <w:rPr/>
        <w:t>could</w:t>
      </w:r>
      <w:r>
        <w:rPr>
          <w:spacing w:val="-18"/>
        </w:rPr>
        <w:t> </w:t>
      </w:r>
      <w:r>
        <w:rPr/>
        <w:t>be</w:t>
      </w:r>
      <w:r>
        <w:rPr>
          <w:spacing w:val="-18"/>
        </w:rPr>
        <w:t> </w:t>
      </w:r>
      <w:r>
        <w:rPr/>
        <w:t>impressively</w:t>
      </w:r>
      <w:r>
        <w:rPr>
          <w:spacing w:val="-19"/>
        </w:rPr>
        <w:t> </w:t>
      </w:r>
      <w:r>
        <w:rPr/>
        <w:t>reduced in size with the administration of mineral salts, which could be attributed to a significantly faster regeneration of the liver when taking</w:t>
      </w:r>
      <w:r>
        <w:rPr>
          <w:spacing w:val="-7"/>
        </w:rPr>
        <w:t> </w:t>
      </w:r>
      <w:r>
        <w:rPr/>
        <w:t>minerals:</w:t>
      </w:r>
    </w:p>
    <w:p>
      <w:pPr>
        <w:spacing w:after="0" w:line="276" w:lineRule="auto"/>
        <w:jc w:val="both"/>
        <w:sectPr>
          <w:pgSz w:w="14270" w:h="16850"/>
          <w:pgMar w:header="0" w:footer="1891" w:top="1600" w:bottom="2080" w:left="800" w:right="1280"/>
        </w:sectPr>
      </w:pPr>
    </w:p>
    <w:p>
      <w:pPr>
        <w:pStyle w:val="BodyText"/>
        <w:rPr>
          <w:rFonts w:ascii="Times New Roman"/>
          <w:sz w:val="20"/>
        </w:rPr>
      </w:pPr>
      <w:r>
        <w:rPr/>
        <w:pict>
          <v:rect style="position:absolute;margin-left:184.080002pt;margin-top:552.026672pt;width:4.9433pt;height:4.9433pt;mso-position-horizontal-relative:page;mso-position-vertical-relative:page;z-index:-1251568" filled="true" fillcolor="#e22c91" stroked="false">
            <v:fill type="solid"/>
            <w10:wrap type="none"/>
          </v:rect>
        </w:pict>
      </w:r>
      <w:r>
        <w:rPr/>
        <w:pict>
          <v:rect style="position:absolute;margin-left:226.5pt;margin-top:552.026672pt;width:4.9433pt;height:4.9433pt;mso-position-horizontal-relative:page;mso-position-vertical-relative:page;z-index:-1251544" filled="true" fillcolor="#c72fcc" stroked="false">
            <v:fill type="solid"/>
            <w10:wrap type="none"/>
          </v:rect>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7"/>
        </w:rPr>
      </w:pPr>
    </w:p>
    <w:p>
      <w:pPr>
        <w:pStyle w:val="BodyText"/>
        <w:ind w:left="609"/>
        <w:rPr>
          <w:rFonts w:ascii="Times New Roman"/>
          <w:sz w:val="20"/>
        </w:rPr>
      </w:pPr>
      <w:r>
        <w:rPr>
          <w:rFonts w:ascii="Times New Roman"/>
          <w:sz w:val="20"/>
        </w:rPr>
        <w:pict>
          <v:group style="width:295.650pt;height:172.8pt;mso-position-horizontal-relative:char;mso-position-vertical-relative:line" coordorigin="0,0" coordsize="5913,3456">
            <v:shape style="position:absolute;left:107;top:781;width:5643;height:2057" type="#_x0000_t75" stroked="false">
              <v:imagedata r:id="rId496" o:title=""/>
            </v:shape>
            <v:rect style="position:absolute;left:1349;top:3110;width:99;height:99" filled="true" fillcolor="#e22c91" stroked="false">
              <v:fill type="solid"/>
            </v:rect>
            <v:rect style="position:absolute;left:2341;top:3110;width:99;height:99" filled="true" fillcolor="#c72fcc" stroked="false">
              <v:fill type="solid"/>
            </v:rect>
            <v:rect style="position:absolute;left:3908;top:3110;width:99;height:99" filled="true" fillcolor="#4ea6dc" stroked="false">
              <v:fill type="solid"/>
            </v:rect>
            <v:rect style="position:absolute;left:7;top:7;width:5898;height:3441" filled="false" stroked="true" strokeweight=".75pt" strokecolor="#d9d9d9">
              <v:stroke dashstyle="solid"/>
            </v:rect>
            <v:shape style="position:absolute;left:1562;top:214;width:2811;height:281" type="#_x0000_t202" filled="false" stroked="false">
              <v:textbox inset="0,0,0,0">
                <w:txbxContent>
                  <w:p>
                    <w:pPr>
                      <w:spacing w:line="281" w:lineRule="exact" w:before="0"/>
                      <w:ind w:left="0" w:right="0" w:firstLine="0"/>
                      <w:jc w:val="left"/>
                      <w:rPr>
                        <w:rFonts w:ascii="Calibri"/>
                        <w:sz w:val="28"/>
                      </w:rPr>
                    </w:pPr>
                    <w:r>
                      <w:rPr>
                        <w:rFonts w:ascii="Calibri"/>
                        <w:color w:val="585858"/>
                        <w:spacing w:val="-4"/>
                        <w:sz w:val="28"/>
                      </w:rPr>
                      <w:t>At </w:t>
                    </w:r>
                    <w:r>
                      <w:rPr>
                        <w:rFonts w:ascii="Calibri"/>
                        <w:color w:val="585858"/>
                        <w:sz w:val="28"/>
                      </w:rPr>
                      <w:t>the start of treatment</w:t>
                    </w:r>
                  </w:p>
                </w:txbxContent>
              </v:textbox>
              <w10:wrap type="none"/>
            </v:shape>
            <v:shape style="position:absolute;left:2153;top:913;width:332;height:180" type="#_x0000_t202" filled="false" stroked="false">
              <v:textbox inset="0,0,0,0">
                <w:txbxContent>
                  <w:p>
                    <w:pPr>
                      <w:spacing w:line="180" w:lineRule="exact" w:before="0"/>
                      <w:ind w:left="0" w:right="0" w:firstLine="0"/>
                      <w:jc w:val="left"/>
                      <w:rPr>
                        <w:rFonts w:ascii="Calibri"/>
                        <w:sz w:val="18"/>
                      </w:rPr>
                    </w:pPr>
                    <w:r>
                      <w:rPr>
                        <w:rFonts w:ascii="Calibri"/>
                        <w:color w:val="404040"/>
                        <w:sz w:val="18"/>
                      </w:rPr>
                      <w:t>18%</w:t>
                    </w:r>
                  </w:p>
                </w:txbxContent>
              </v:textbox>
              <w10:wrap type="none"/>
            </v:shape>
            <v:shape style="position:absolute;left:1418;top:1498;width:332;height:180" type="#_x0000_t202" filled="false" stroked="false">
              <v:textbox inset="0,0,0,0">
                <w:txbxContent>
                  <w:p>
                    <w:pPr>
                      <w:spacing w:line="180" w:lineRule="exact" w:before="0"/>
                      <w:ind w:left="0" w:right="0" w:firstLine="0"/>
                      <w:jc w:val="left"/>
                      <w:rPr>
                        <w:rFonts w:ascii="Calibri"/>
                        <w:sz w:val="18"/>
                      </w:rPr>
                    </w:pPr>
                    <w:r>
                      <w:rPr>
                        <w:rFonts w:ascii="Calibri"/>
                        <w:color w:val="404040"/>
                        <w:sz w:val="18"/>
                      </w:rPr>
                      <w:t>18%</w:t>
                    </w:r>
                  </w:p>
                </w:txbxContent>
              </v:textbox>
              <w10:wrap type="none"/>
            </v:shape>
            <v:shape style="position:absolute;left:3488;top:1663;width:332;height:180" type="#_x0000_t202" filled="false" stroked="false">
              <v:textbox inset="0,0,0,0">
                <w:txbxContent>
                  <w:p>
                    <w:pPr>
                      <w:spacing w:line="180" w:lineRule="exact" w:before="0"/>
                      <w:ind w:left="0" w:right="0" w:firstLine="0"/>
                      <w:jc w:val="left"/>
                      <w:rPr>
                        <w:rFonts w:ascii="Calibri"/>
                        <w:sz w:val="18"/>
                      </w:rPr>
                    </w:pPr>
                    <w:r>
                      <w:rPr>
                        <w:rFonts w:ascii="Calibri"/>
                        <w:color w:val="404040"/>
                        <w:sz w:val="18"/>
                      </w:rPr>
                      <w:t>64%</w:t>
                    </w:r>
                  </w:p>
                </w:txbxContent>
              </v:textbox>
              <w10:wrap type="none"/>
            </v:shape>
            <v:shape style="position:absolute;left:1491;top:3076;width:3125;height:180" type="#_x0000_t202" filled="false" stroked="false">
              <v:textbox inset="0,0,0,0">
                <w:txbxContent>
                  <w:p>
                    <w:pPr>
                      <w:tabs>
                        <w:tab w:pos="991" w:val="left" w:leader="none"/>
                        <w:tab w:pos="2558" w:val="left" w:leader="none"/>
                      </w:tabs>
                      <w:spacing w:line="180" w:lineRule="exact" w:before="0"/>
                      <w:ind w:left="0" w:right="0" w:firstLine="0"/>
                      <w:jc w:val="left"/>
                      <w:rPr>
                        <w:rFonts w:ascii="Calibri"/>
                        <w:sz w:val="18"/>
                      </w:rPr>
                    </w:pPr>
                    <w:r>
                      <w:rPr>
                        <w:rFonts w:ascii="Calibri"/>
                        <w:color w:val="585858"/>
                        <w:sz w:val="18"/>
                      </w:rPr>
                      <w:t>Enlarged</w:t>
                      <w:tab/>
                      <w:t>Heavily</w:t>
                    </w:r>
                    <w:r>
                      <w:rPr>
                        <w:rFonts w:ascii="Calibri"/>
                        <w:color w:val="585858"/>
                        <w:spacing w:val="-1"/>
                        <w:sz w:val="18"/>
                      </w:rPr>
                      <w:t> </w:t>
                    </w:r>
                    <w:r>
                      <w:rPr>
                        <w:rFonts w:ascii="Calibri"/>
                        <w:color w:val="585858"/>
                        <w:sz w:val="18"/>
                      </w:rPr>
                      <w:t>enlarged</w:t>
                      <w:tab/>
                      <w:t>Normal</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6"/>
        </w:rPr>
      </w:pPr>
      <w:r>
        <w:rPr/>
        <w:pict>
          <v:group style="position:absolute;margin-left:75.224998pt;margin-top:11.567929pt;width:295.650pt;height:172.8pt;mso-position-horizontal-relative:page;mso-position-vertical-relative:paragraph;z-index:16088;mso-wrap-distance-left:0;mso-wrap-distance-right:0" coordorigin="1504,231" coordsize="5913,3456">
            <v:shape style="position:absolute;left:2100;top:1133;width:4724;height:1716" type="#_x0000_t75" stroked="false">
              <v:imagedata r:id="rId497" o:title=""/>
            </v:shape>
            <v:shape style="position:absolute;left:1512;top:238;width:5898;height:3441" type="#_x0000_t202" filled="false" stroked="true" strokeweight=".75pt" strokecolor="#d9d9d9">
              <v:textbox inset="0,0,0,0">
                <w:txbxContent>
                  <w:p>
                    <w:pPr>
                      <w:spacing w:before="143"/>
                      <w:ind w:left="1590" w:right="0" w:firstLine="0"/>
                      <w:jc w:val="left"/>
                      <w:rPr>
                        <w:rFonts w:ascii="Calibri"/>
                        <w:sz w:val="28"/>
                      </w:rPr>
                    </w:pPr>
                    <w:r>
                      <w:rPr>
                        <w:rFonts w:ascii="Calibri"/>
                        <w:color w:val="585858"/>
                        <w:sz w:val="28"/>
                      </w:rPr>
                      <w:t>At the end of treatment</w:t>
                    </w:r>
                  </w:p>
                  <w:p>
                    <w:pPr>
                      <w:spacing w:line="240" w:lineRule="auto" w:before="0"/>
                      <w:rPr>
                        <w:rFonts w:ascii="Times New Roman"/>
                        <w:sz w:val="28"/>
                      </w:rPr>
                    </w:pPr>
                  </w:p>
                  <w:p>
                    <w:pPr>
                      <w:spacing w:before="206"/>
                      <w:ind w:left="760" w:right="1963" w:firstLine="0"/>
                      <w:jc w:val="center"/>
                      <w:rPr>
                        <w:rFonts w:ascii="Calibri"/>
                        <w:sz w:val="18"/>
                      </w:rPr>
                    </w:pPr>
                    <w:r>
                      <w:rPr>
                        <w:rFonts w:ascii="Calibri"/>
                        <w:color w:val="404040"/>
                        <w:sz w:val="18"/>
                      </w:rPr>
                      <w:t>23%</w:t>
                    </w:r>
                  </w:p>
                  <w:p>
                    <w:pPr>
                      <w:spacing w:line="240" w:lineRule="auto" w:before="0"/>
                      <w:rPr>
                        <w:rFonts w:ascii="Times New Roman"/>
                        <w:sz w:val="18"/>
                      </w:rPr>
                    </w:pPr>
                  </w:p>
                  <w:p>
                    <w:pPr>
                      <w:spacing w:line="240" w:lineRule="auto" w:before="7"/>
                      <w:rPr>
                        <w:rFonts w:ascii="Times New Roman"/>
                        <w:sz w:val="17"/>
                      </w:rPr>
                    </w:pPr>
                  </w:p>
                  <w:p>
                    <w:pPr>
                      <w:spacing w:before="1"/>
                      <w:ind w:left="1963" w:right="1038" w:firstLine="0"/>
                      <w:jc w:val="center"/>
                      <w:rPr>
                        <w:rFonts w:ascii="Calibri"/>
                        <w:sz w:val="18"/>
                      </w:rPr>
                    </w:pPr>
                    <w:r>
                      <w:rPr>
                        <w:rFonts w:ascii="Calibri"/>
                        <w:color w:val="404040"/>
                        <w:sz w:val="18"/>
                      </w:rPr>
                      <w:t>77%</w:t>
                    </w:r>
                  </w:p>
                  <w:p>
                    <w:pPr>
                      <w:spacing w:line="240" w:lineRule="auto" w:before="0"/>
                      <w:rPr>
                        <w:rFonts w:ascii="Times New Roman"/>
                        <w:sz w:val="18"/>
                      </w:rPr>
                    </w:pPr>
                  </w:p>
                  <w:p>
                    <w:pPr>
                      <w:spacing w:line="240" w:lineRule="auto" w:before="0"/>
                      <w:rPr>
                        <w:rFonts w:ascii="Times New Roman"/>
                        <w:sz w:val="18"/>
                      </w:rPr>
                    </w:pPr>
                  </w:p>
                  <w:p>
                    <w:pPr>
                      <w:spacing w:line="240" w:lineRule="auto" w:before="0"/>
                      <w:rPr>
                        <w:rFonts w:ascii="Times New Roman"/>
                        <w:sz w:val="18"/>
                      </w:rPr>
                    </w:pPr>
                  </w:p>
                  <w:p>
                    <w:pPr>
                      <w:spacing w:line="240" w:lineRule="auto" w:before="0"/>
                      <w:rPr>
                        <w:rFonts w:ascii="Times New Roman"/>
                        <w:sz w:val="18"/>
                      </w:rPr>
                    </w:pPr>
                  </w:p>
                  <w:p>
                    <w:pPr>
                      <w:spacing w:line="240" w:lineRule="auto" w:before="0"/>
                      <w:rPr>
                        <w:rFonts w:ascii="Times New Roman"/>
                        <w:sz w:val="18"/>
                      </w:rPr>
                    </w:pPr>
                  </w:p>
                  <w:p>
                    <w:pPr>
                      <w:tabs>
                        <w:tab w:pos="1064" w:val="left" w:leader="none"/>
                      </w:tabs>
                      <w:spacing w:before="128"/>
                      <w:ind w:left="216" w:right="0" w:firstLine="0"/>
                      <w:jc w:val="center"/>
                      <w:rPr>
                        <w:rFonts w:ascii="Calibri"/>
                        <w:sz w:val="18"/>
                      </w:rPr>
                    </w:pPr>
                    <w:r>
                      <w:rPr>
                        <w:rFonts w:ascii="Calibri"/>
                        <w:color w:val="585858"/>
                        <w:sz w:val="18"/>
                      </w:rPr>
                      <w:t>Normal</w:t>
                      <w:tab/>
                      <w:t>Enlarged</w:t>
                    </w:r>
                  </w:p>
                </w:txbxContent>
              </v:textbox>
              <v:stroke dashstyle="solid"/>
              <w10:wrap type="none"/>
            </v:shape>
            <w10:wrap type="topAndBottom"/>
          </v:group>
        </w:pict>
      </w:r>
    </w:p>
    <w:p>
      <w:pPr>
        <w:spacing w:after="0"/>
        <w:rPr>
          <w:rFonts w:ascii="Times New Roman"/>
          <w:sz w:val="16"/>
        </w:rPr>
        <w:sectPr>
          <w:pgSz w:w="14270" w:h="16850"/>
          <w:pgMar w:header="0" w:footer="1891" w:top="1600" w:bottom="2080" w:left="800" w:right="1280"/>
        </w:sectPr>
      </w:pPr>
    </w:p>
    <w:p>
      <w:pPr>
        <w:spacing w:before="86"/>
        <w:ind w:left="3074" w:right="6557" w:hanging="1599"/>
        <w:jc w:val="left"/>
        <w:rPr>
          <w:b/>
          <w:sz w:val="24"/>
        </w:rPr>
      </w:pPr>
      <w:r>
        <w:rPr>
          <w:b/>
          <w:color w:val="585858"/>
          <w:sz w:val="24"/>
        </w:rPr>
        <w:t>Difference: Liver scan at the start/end of treatment</w:t>
      </w:r>
    </w:p>
    <w:p>
      <w:pPr>
        <w:pStyle w:val="BodyText"/>
        <w:rPr>
          <w:b/>
          <w:sz w:val="20"/>
        </w:rPr>
      </w:pPr>
    </w:p>
    <w:p>
      <w:pPr>
        <w:pStyle w:val="BodyText"/>
        <w:spacing w:before="7"/>
        <w:rPr>
          <w:b/>
          <w:sz w:val="16"/>
        </w:rPr>
      </w:pPr>
    </w:p>
    <w:p>
      <w:pPr>
        <w:spacing w:before="0"/>
        <w:ind w:left="1940" w:right="0" w:firstLine="0"/>
        <w:jc w:val="left"/>
        <w:rPr>
          <w:rFonts w:ascii="Calibri"/>
          <w:sz w:val="18"/>
        </w:rPr>
      </w:pPr>
      <w:r>
        <w:rPr/>
        <w:pict>
          <v:group style="position:absolute;margin-left:155.039993pt;margin-top:-8.110644pt;width:189.85pt;height:82.35pt;mso-position-horizontal-relative:page;mso-position-vertical-relative:paragraph;z-index:18256" coordorigin="3101,-162" coordsize="3797,1647">
            <v:shape style="position:absolute;left:3100;top:-163;width:3797;height:1647" type="#_x0000_t75" stroked="false">
              <v:imagedata r:id="rId498" o:title=""/>
            </v:shape>
            <v:shape style="position:absolute;left:4409;top:621;width:206;height:182" type="#_x0000_t202" filled="false" stroked="false">
              <v:textbox inset="0,0,0,0">
                <w:txbxContent>
                  <w:p>
                    <w:pPr>
                      <w:spacing w:before="1"/>
                      <w:ind w:left="0" w:right="0" w:firstLine="0"/>
                      <w:jc w:val="left"/>
                      <w:rPr>
                        <w:sz w:val="16"/>
                      </w:rPr>
                    </w:pPr>
                    <w:r>
                      <w:rPr>
                        <w:sz w:val="16"/>
                      </w:rPr>
                      <w:t>1,5</w:t>
                    </w:r>
                  </w:p>
                </w:txbxContent>
              </v:textbox>
              <w10:wrap type="none"/>
            </v:shape>
            <v:shape style="position:absolute;left:3611;top:845;width:96;height:181" type="#_x0000_t202" filled="false" stroked="false">
              <v:textbox inset="0,0,0,0">
                <w:txbxContent>
                  <w:p>
                    <w:pPr>
                      <w:spacing w:before="0"/>
                      <w:ind w:left="0" w:right="0" w:firstLine="0"/>
                      <w:jc w:val="left"/>
                      <w:rPr>
                        <w:sz w:val="16"/>
                      </w:rPr>
                    </w:pPr>
                    <w:r>
                      <w:rPr>
                        <w:w w:val="100"/>
                        <w:sz w:val="16"/>
                      </w:rPr>
                      <w:t>1</w:t>
                    </w:r>
                  </w:p>
                </w:txbxContent>
              </v:textbox>
              <w10:wrap type="none"/>
            </v:shape>
            <w10:wrap type="none"/>
          </v:group>
        </w:pict>
      </w:r>
      <w:r>
        <w:rPr>
          <w:rFonts w:ascii="Calibri"/>
          <w:color w:val="585858"/>
          <w:sz w:val="18"/>
        </w:rPr>
        <w:t>1,5</w:t>
      </w:r>
    </w:p>
    <w:p>
      <w:pPr>
        <w:pStyle w:val="BodyText"/>
        <w:spacing w:before="4"/>
        <w:rPr>
          <w:rFonts w:ascii="Calibri"/>
          <w:sz w:val="13"/>
        </w:rPr>
      </w:pPr>
    </w:p>
    <w:p>
      <w:pPr>
        <w:spacing w:after="0"/>
        <w:rPr>
          <w:rFonts w:ascii="Calibri"/>
          <w:sz w:val="13"/>
        </w:rPr>
        <w:sectPr>
          <w:pgSz w:w="14270" w:h="16850"/>
          <w:pgMar w:header="0" w:footer="1891" w:top="1480" w:bottom="2080" w:left="800" w:right="1280"/>
        </w:sectPr>
      </w:pPr>
    </w:p>
    <w:p>
      <w:pPr>
        <w:spacing w:before="64"/>
        <w:ind w:left="0" w:right="0" w:firstLine="0"/>
        <w:jc w:val="right"/>
        <w:rPr>
          <w:rFonts w:ascii="Calibri"/>
          <w:sz w:val="18"/>
        </w:rPr>
      </w:pPr>
      <w:r>
        <w:rPr>
          <w:rFonts w:ascii="Calibri"/>
          <w:color w:val="585858"/>
          <w:sz w:val="18"/>
        </w:rPr>
        <w:t>1</w:t>
      </w:r>
    </w:p>
    <w:p>
      <w:pPr>
        <w:pStyle w:val="BodyText"/>
        <w:spacing w:before="7"/>
        <w:rPr>
          <w:rFonts w:ascii="Calibri"/>
          <w:sz w:val="18"/>
        </w:rPr>
      </w:pPr>
    </w:p>
    <w:p>
      <w:pPr>
        <w:spacing w:before="0"/>
        <w:ind w:left="0" w:right="0" w:firstLine="0"/>
        <w:jc w:val="right"/>
        <w:rPr>
          <w:rFonts w:ascii="Calibri"/>
          <w:sz w:val="18"/>
        </w:rPr>
      </w:pPr>
      <w:r>
        <w:rPr>
          <w:rFonts w:ascii="Calibri"/>
          <w:color w:val="585858"/>
          <w:sz w:val="18"/>
        </w:rPr>
        <w:t>0,5</w:t>
      </w:r>
    </w:p>
    <w:p>
      <w:pPr>
        <w:pStyle w:val="BodyText"/>
        <w:spacing w:before="6"/>
        <w:rPr>
          <w:rFonts w:ascii="Calibri"/>
          <w:sz w:val="18"/>
        </w:rPr>
      </w:pPr>
    </w:p>
    <w:p>
      <w:pPr>
        <w:spacing w:before="0"/>
        <w:ind w:left="0" w:right="0" w:firstLine="0"/>
        <w:jc w:val="right"/>
        <w:rPr>
          <w:rFonts w:ascii="Calibri"/>
          <w:sz w:val="18"/>
        </w:rPr>
      </w:pPr>
      <w:r>
        <w:rPr>
          <w:rFonts w:ascii="Calibri"/>
          <w:color w:val="585858"/>
          <w:w w:val="100"/>
          <w:sz w:val="18"/>
        </w:rPr>
        <w:t>0</w:t>
      </w:r>
    </w:p>
    <w:p>
      <w:pPr>
        <w:pStyle w:val="BodyText"/>
        <w:rPr>
          <w:rFonts w:ascii="Calibri"/>
          <w:sz w:val="22"/>
        </w:rPr>
      </w:pPr>
      <w:r>
        <w:rPr/>
        <w:br w:type="column"/>
      </w:r>
      <w:r>
        <w:rPr>
          <w:rFonts w:ascii="Calibri"/>
          <w:sz w:val="22"/>
        </w:rPr>
      </w:r>
    </w:p>
    <w:p>
      <w:pPr>
        <w:pStyle w:val="BodyText"/>
        <w:rPr>
          <w:rFonts w:ascii="Calibri"/>
          <w:sz w:val="22"/>
        </w:rPr>
      </w:pPr>
    </w:p>
    <w:p>
      <w:pPr>
        <w:pStyle w:val="BodyText"/>
        <w:rPr>
          <w:rFonts w:ascii="Calibri"/>
          <w:sz w:val="22"/>
        </w:rPr>
      </w:pPr>
    </w:p>
    <w:p>
      <w:pPr>
        <w:pStyle w:val="BodyText"/>
        <w:spacing w:before="8"/>
        <w:rPr>
          <w:rFonts w:ascii="Calibri"/>
          <w:sz w:val="26"/>
        </w:rPr>
      </w:pPr>
    </w:p>
    <w:p>
      <w:pPr>
        <w:spacing w:before="0"/>
        <w:ind w:left="324" w:right="0" w:hanging="77"/>
        <w:jc w:val="left"/>
        <w:rPr>
          <w:sz w:val="20"/>
        </w:rPr>
      </w:pPr>
      <w:r>
        <w:rPr>
          <w:w w:val="95"/>
          <w:sz w:val="20"/>
        </w:rPr>
        <w:t>Placebo </w:t>
      </w:r>
      <w:r>
        <w:rPr>
          <w:sz w:val="20"/>
        </w:rPr>
        <w:t>group</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spacing w:before="141"/>
        <w:ind w:left="279" w:right="8326" w:firstLine="60"/>
        <w:jc w:val="left"/>
        <w:rPr>
          <w:sz w:val="20"/>
        </w:rPr>
      </w:pPr>
      <w:r>
        <w:rPr>
          <w:sz w:val="20"/>
        </w:rPr>
        <w:t>Test group</w:t>
      </w:r>
    </w:p>
    <w:p>
      <w:pPr>
        <w:spacing w:after="0"/>
        <w:jc w:val="left"/>
        <w:rPr>
          <w:sz w:val="20"/>
        </w:rPr>
        <w:sectPr>
          <w:type w:val="continuous"/>
          <w:pgSz w:w="14270" w:h="16850"/>
          <w:pgMar w:top="1340" w:bottom="280" w:left="800" w:right="1280"/>
          <w:cols w:num="3" w:equalWidth="0">
            <w:col w:w="2169" w:space="40"/>
            <w:col w:w="858" w:space="39"/>
            <w:col w:w="9084"/>
          </w:cols>
        </w:sectPr>
      </w:pPr>
    </w:p>
    <w:p>
      <w:pPr>
        <w:tabs>
          <w:tab w:pos="2714" w:val="left" w:leader="none"/>
          <w:tab w:pos="3499" w:val="left" w:leader="none"/>
        </w:tabs>
        <w:spacing w:before="28"/>
        <w:ind w:left="1226" w:right="0" w:firstLine="0"/>
        <w:jc w:val="left"/>
        <w:rPr>
          <w:sz w:val="20"/>
        </w:rPr>
      </w:pPr>
      <w:r>
        <w:rPr>
          <w:sz w:val="20"/>
        </w:rPr>
        <w:t>Datenreihen1</w:t>
        <w:tab/>
        <w:t>1</w:t>
        <w:tab/>
        <w:t>1,5</w:t>
      </w:r>
    </w:p>
    <w:p>
      <w:pPr>
        <w:pStyle w:val="BodyText"/>
        <w:rPr>
          <w:sz w:val="20"/>
        </w:rPr>
      </w:pPr>
    </w:p>
    <w:p>
      <w:pPr>
        <w:pStyle w:val="Heading1"/>
        <w:spacing w:before="233"/>
        <w:ind w:left="616"/>
      </w:pPr>
      <w:r>
        <w:rPr/>
        <w:t>Study summary</w:t>
      </w:r>
    </w:p>
    <w:p>
      <w:pPr>
        <w:pStyle w:val="ListParagraph"/>
        <w:numPr>
          <w:ilvl w:val="0"/>
          <w:numId w:val="135"/>
        </w:numPr>
        <w:tabs>
          <w:tab w:pos="962" w:val="left" w:leader="none"/>
        </w:tabs>
        <w:spacing w:line="240" w:lineRule="auto" w:before="279" w:after="0"/>
        <w:ind w:left="616" w:right="0" w:firstLine="0"/>
        <w:jc w:val="left"/>
        <w:rPr>
          <w:b/>
          <w:i/>
          <w:sz w:val="40"/>
        </w:rPr>
      </w:pPr>
      <w:r>
        <w:rPr>
          <w:b/>
          <w:i/>
          <w:sz w:val="40"/>
        </w:rPr>
        <w:t>Increased base buffer</w:t>
      </w:r>
      <w:r>
        <w:rPr>
          <w:b/>
          <w:i/>
          <w:spacing w:val="-28"/>
          <w:sz w:val="40"/>
        </w:rPr>
        <w:t> </w:t>
      </w:r>
      <w:r>
        <w:rPr>
          <w:b/>
          <w:i/>
          <w:sz w:val="40"/>
        </w:rPr>
        <w:t>capacity</w:t>
      </w:r>
    </w:p>
    <w:p>
      <w:pPr>
        <w:pStyle w:val="BodyText"/>
        <w:spacing w:line="276" w:lineRule="auto" w:before="299"/>
        <w:ind w:left="616" w:right="133"/>
        <w:jc w:val="both"/>
      </w:pPr>
      <w:r>
        <w:rPr/>
        <w:t>A</w:t>
      </w:r>
      <w:r>
        <w:rPr>
          <w:spacing w:val="-10"/>
        </w:rPr>
        <w:t> </w:t>
      </w:r>
      <w:r>
        <w:rPr/>
        <w:t>study</w:t>
      </w:r>
      <w:r>
        <w:rPr>
          <w:spacing w:val="-10"/>
        </w:rPr>
        <w:t> </w:t>
      </w:r>
      <w:r>
        <w:rPr/>
        <w:t>was</w:t>
      </w:r>
      <w:r>
        <w:rPr>
          <w:spacing w:val="-9"/>
        </w:rPr>
        <w:t> </w:t>
      </w:r>
      <w:r>
        <w:rPr/>
        <w:t>successful</w:t>
      </w:r>
      <w:r>
        <w:rPr>
          <w:spacing w:val="-10"/>
        </w:rPr>
        <w:t> </w:t>
      </w:r>
      <w:r>
        <w:rPr/>
        <w:t>in</w:t>
      </w:r>
      <w:r>
        <w:rPr>
          <w:spacing w:val="-8"/>
        </w:rPr>
        <w:t> </w:t>
      </w:r>
      <w:r>
        <w:rPr/>
        <w:t>increasing</w:t>
      </w:r>
      <w:r>
        <w:rPr>
          <w:spacing w:val="-9"/>
        </w:rPr>
        <w:t> </w:t>
      </w:r>
      <w:r>
        <w:rPr/>
        <w:t>the</w:t>
      </w:r>
      <w:r>
        <w:rPr>
          <w:spacing w:val="-8"/>
        </w:rPr>
        <w:t> </w:t>
      </w:r>
      <w:r>
        <w:rPr/>
        <w:t>intracellular</w:t>
      </w:r>
      <w:r>
        <w:rPr>
          <w:spacing w:val="-9"/>
        </w:rPr>
        <w:t> </w:t>
      </w:r>
      <w:r>
        <w:rPr/>
        <w:t>base</w:t>
      </w:r>
      <w:r>
        <w:rPr>
          <w:spacing w:val="-9"/>
        </w:rPr>
        <w:t> </w:t>
      </w:r>
      <w:r>
        <w:rPr/>
        <w:t>buffer</w:t>
      </w:r>
      <w:r>
        <w:rPr>
          <w:spacing w:val="-8"/>
        </w:rPr>
        <w:t> </w:t>
      </w:r>
      <w:r>
        <w:rPr/>
        <w:t>capacity.</w:t>
      </w:r>
      <w:r>
        <w:rPr>
          <w:spacing w:val="-9"/>
        </w:rPr>
        <w:t> </w:t>
      </w:r>
      <w:r>
        <w:rPr/>
        <w:t>This means</w:t>
      </w:r>
      <w:r>
        <w:rPr>
          <w:spacing w:val="-22"/>
        </w:rPr>
        <w:t> </w:t>
      </w:r>
      <w:r>
        <w:rPr/>
        <w:t>the</w:t>
      </w:r>
      <w:r>
        <w:rPr>
          <w:spacing w:val="-23"/>
        </w:rPr>
        <w:t> </w:t>
      </w:r>
      <w:r>
        <w:rPr/>
        <w:t>body’s</w:t>
      </w:r>
      <w:r>
        <w:rPr>
          <w:spacing w:val="-22"/>
        </w:rPr>
        <w:t> </w:t>
      </w:r>
      <w:r>
        <w:rPr/>
        <w:t>capacity</w:t>
      </w:r>
      <w:r>
        <w:rPr>
          <w:spacing w:val="-21"/>
        </w:rPr>
        <w:t> </w:t>
      </w:r>
      <w:r>
        <w:rPr/>
        <w:t>to</w:t>
      </w:r>
      <w:r>
        <w:rPr>
          <w:spacing w:val="-23"/>
        </w:rPr>
        <w:t> </w:t>
      </w:r>
      <w:r>
        <w:rPr/>
        <w:t>neutralise</w:t>
      </w:r>
      <w:r>
        <w:rPr>
          <w:spacing w:val="-22"/>
        </w:rPr>
        <w:t> </w:t>
      </w:r>
      <w:r>
        <w:rPr/>
        <w:t>the</w:t>
      </w:r>
      <w:r>
        <w:rPr>
          <w:spacing w:val="-20"/>
        </w:rPr>
        <w:t> </w:t>
      </w:r>
      <w:r>
        <w:rPr/>
        <w:t>acids</w:t>
      </w:r>
      <w:r>
        <w:rPr>
          <w:spacing w:val="-23"/>
        </w:rPr>
        <w:t> </w:t>
      </w:r>
      <w:r>
        <w:rPr/>
        <w:t>resulting</w:t>
      </w:r>
      <w:r>
        <w:rPr>
          <w:spacing w:val="-20"/>
        </w:rPr>
        <w:t> </w:t>
      </w:r>
      <w:r>
        <w:rPr/>
        <w:t>from</w:t>
      </w:r>
      <w:r>
        <w:rPr>
          <w:spacing w:val="-22"/>
        </w:rPr>
        <w:t> </w:t>
      </w:r>
      <w:r>
        <w:rPr/>
        <w:t>the</w:t>
      </w:r>
      <w:r>
        <w:rPr>
          <w:spacing w:val="-21"/>
        </w:rPr>
        <w:t> </w:t>
      </w:r>
      <w:r>
        <w:rPr/>
        <w:t>metabolism or from nutrition using its own buffer system. The assistance of the base</w:t>
      </w:r>
      <w:r>
        <w:rPr>
          <w:spacing w:val="-66"/>
        </w:rPr>
        <w:t> </w:t>
      </w:r>
      <w:r>
        <w:rPr/>
        <w:t>min- eral mixture alone was successful in recovering acidified patients from their latent tissue</w:t>
      </w:r>
      <w:r>
        <w:rPr>
          <w:spacing w:val="-2"/>
        </w:rPr>
        <w:t> </w:t>
      </w:r>
      <w:r>
        <w:rPr/>
        <w:t>acidosis.</w:t>
      </w:r>
    </w:p>
    <w:p>
      <w:pPr>
        <w:pStyle w:val="Heading1"/>
        <w:numPr>
          <w:ilvl w:val="0"/>
          <w:numId w:val="135"/>
        </w:numPr>
        <w:tabs>
          <w:tab w:pos="989" w:val="left" w:leader="none"/>
        </w:tabs>
        <w:spacing w:line="240" w:lineRule="auto" w:before="225" w:after="0"/>
        <w:ind w:left="988" w:right="0" w:hanging="372"/>
        <w:jc w:val="left"/>
      </w:pPr>
      <w:r>
        <w:rPr/>
        <w:t>Reduction</w:t>
      </w:r>
      <w:r>
        <w:rPr>
          <w:spacing w:val="-24"/>
        </w:rPr>
        <w:t> </w:t>
      </w:r>
      <w:r>
        <w:rPr/>
        <w:t>of</w:t>
      </w:r>
      <w:r>
        <w:rPr>
          <w:spacing w:val="-21"/>
        </w:rPr>
        <w:t> </w:t>
      </w:r>
      <w:r>
        <w:rPr/>
        <w:t>the</w:t>
      </w:r>
      <w:r>
        <w:rPr>
          <w:spacing w:val="-24"/>
        </w:rPr>
        <w:t> </w:t>
      </w:r>
      <w:r>
        <w:rPr/>
        <w:t>concentration</w:t>
      </w:r>
      <w:r>
        <w:rPr>
          <w:spacing w:val="-21"/>
        </w:rPr>
        <w:t> </w:t>
      </w:r>
      <w:r>
        <w:rPr/>
        <w:t>of</w:t>
      </w:r>
      <w:r>
        <w:rPr>
          <w:spacing w:val="-24"/>
        </w:rPr>
        <w:t> </w:t>
      </w:r>
      <w:r>
        <w:rPr/>
        <w:t>fibrinogen</w:t>
      </w:r>
      <w:r>
        <w:rPr>
          <w:spacing w:val="-24"/>
        </w:rPr>
        <w:t> </w:t>
      </w:r>
      <w:r>
        <w:rPr/>
        <w:t>in</w:t>
      </w:r>
      <w:r>
        <w:rPr>
          <w:spacing w:val="-23"/>
        </w:rPr>
        <w:t> </w:t>
      </w:r>
      <w:r>
        <w:rPr/>
        <w:t>the</w:t>
      </w:r>
      <w:r>
        <w:rPr>
          <w:spacing w:val="-24"/>
        </w:rPr>
        <w:t> </w:t>
      </w:r>
      <w:r>
        <w:rPr/>
        <w:t>plasma</w:t>
      </w:r>
    </w:p>
    <w:p>
      <w:pPr>
        <w:pStyle w:val="BodyText"/>
        <w:spacing w:line="276" w:lineRule="auto" w:before="297"/>
        <w:ind w:left="616" w:right="138"/>
        <w:jc w:val="both"/>
      </w:pPr>
      <w:r>
        <w:rPr/>
        <w:t>A significant reduction in the fibrinogen concentration in the plasma was achieved. This means a real prophylaxis (prevention) against hypertonia (high blood pressure), coronary heart disease with risk of heart attack and cerebral ischaemia with a risk of apoplexy.</w:t>
      </w:r>
    </w:p>
    <w:p>
      <w:pPr>
        <w:pStyle w:val="Heading1"/>
        <w:numPr>
          <w:ilvl w:val="0"/>
          <w:numId w:val="135"/>
        </w:numPr>
        <w:tabs>
          <w:tab w:pos="989" w:val="left" w:leader="none"/>
        </w:tabs>
        <w:spacing w:line="240" w:lineRule="auto" w:before="225" w:after="0"/>
        <w:ind w:left="988" w:right="0" w:hanging="372"/>
        <w:jc w:val="both"/>
      </w:pPr>
      <w:r>
        <w:rPr/>
        <w:t>Relief of motor system</w:t>
      </w:r>
      <w:r>
        <w:rPr>
          <w:spacing w:val="-40"/>
        </w:rPr>
        <w:t> </w:t>
      </w:r>
      <w:r>
        <w:rPr/>
        <w:t>complaints</w:t>
      </w:r>
    </w:p>
    <w:p>
      <w:pPr>
        <w:pStyle w:val="BodyText"/>
        <w:spacing w:before="299"/>
        <w:ind w:left="616"/>
        <w:jc w:val="both"/>
      </w:pPr>
      <w:r>
        <w:rPr/>
        <w:t>Symptoms in the motor system such as joint and limb pain, back pain, muscle</w:t>
      </w:r>
    </w:p>
    <w:p>
      <w:pPr>
        <w:spacing w:after="0"/>
        <w:jc w:val="both"/>
        <w:sectPr>
          <w:type w:val="continuous"/>
          <w:pgSz w:w="14270" w:h="16850"/>
          <w:pgMar w:top="1340" w:bottom="280" w:left="800" w:right="1280"/>
        </w:sectPr>
      </w:pPr>
    </w:p>
    <w:p>
      <w:pPr>
        <w:pStyle w:val="BodyText"/>
        <w:spacing w:line="276" w:lineRule="auto" w:before="72"/>
        <w:ind w:left="616" w:right="134"/>
        <w:jc w:val="both"/>
      </w:pPr>
      <w:r>
        <w:rPr/>
        <w:t>tension and headaches improved significantly. This impressive relief of symp- toms was traced back to the fight against acidosis pain which occurs with cir- culation deficiency, chronic muscle tension and chronic inflammation. This shows</w:t>
      </w:r>
      <w:r>
        <w:rPr>
          <w:spacing w:val="-10"/>
        </w:rPr>
        <w:t> </w:t>
      </w:r>
      <w:r>
        <w:rPr/>
        <w:t>the</w:t>
      </w:r>
      <w:r>
        <w:rPr>
          <w:spacing w:val="-9"/>
        </w:rPr>
        <w:t> </w:t>
      </w:r>
      <w:r>
        <w:rPr/>
        <w:t>necessity</w:t>
      </w:r>
      <w:r>
        <w:rPr>
          <w:spacing w:val="-11"/>
        </w:rPr>
        <w:t> </w:t>
      </w:r>
      <w:r>
        <w:rPr/>
        <w:t>for</w:t>
      </w:r>
      <w:r>
        <w:rPr>
          <w:spacing w:val="-9"/>
        </w:rPr>
        <w:t> </w:t>
      </w:r>
      <w:r>
        <w:rPr/>
        <w:t>an</w:t>
      </w:r>
      <w:r>
        <w:rPr>
          <w:spacing w:val="-9"/>
        </w:rPr>
        <w:t> </w:t>
      </w:r>
      <w:r>
        <w:rPr/>
        <w:t>adjunctive</w:t>
      </w:r>
      <w:r>
        <w:rPr>
          <w:spacing w:val="-11"/>
        </w:rPr>
        <w:t> </w:t>
      </w:r>
      <w:r>
        <w:rPr/>
        <w:t>base</w:t>
      </w:r>
      <w:r>
        <w:rPr>
          <w:spacing w:val="-10"/>
        </w:rPr>
        <w:t> </w:t>
      </w:r>
      <w:r>
        <w:rPr/>
        <w:t>treatment,</w:t>
      </w:r>
      <w:r>
        <w:rPr>
          <w:spacing w:val="-9"/>
        </w:rPr>
        <w:t> </w:t>
      </w:r>
      <w:r>
        <w:rPr/>
        <w:t>even</w:t>
      </w:r>
      <w:r>
        <w:rPr>
          <w:spacing w:val="-10"/>
        </w:rPr>
        <w:t> </w:t>
      </w:r>
      <w:r>
        <w:rPr/>
        <w:t>for</w:t>
      </w:r>
      <w:r>
        <w:rPr>
          <w:spacing w:val="-10"/>
        </w:rPr>
        <w:t> </w:t>
      </w:r>
      <w:r>
        <w:rPr/>
        <w:t>these</w:t>
      </w:r>
      <w:r>
        <w:rPr>
          <w:spacing w:val="-9"/>
        </w:rPr>
        <w:t> </w:t>
      </w:r>
      <w:r>
        <w:rPr/>
        <w:t>orthopae- dic</w:t>
      </w:r>
      <w:r>
        <w:rPr>
          <w:spacing w:val="-2"/>
        </w:rPr>
        <w:t> </w:t>
      </w:r>
      <w:r>
        <w:rPr/>
        <w:t>symptoms.</w:t>
      </w:r>
    </w:p>
    <w:p>
      <w:pPr>
        <w:pStyle w:val="Heading1"/>
        <w:numPr>
          <w:ilvl w:val="0"/>
          <w:numId w:val="135"/>
        </w:numPr>
        <w:tabs>
          <w:tab w:pos="1193" w:val="left" w:leader="none"/>
        </w:tabs>
        <w:spacing w:line="261" w:lineRule="auto" w:before="224" w:after="0"/>
        <w:ind w:left="616" w:right="140" w:firstLine="0"/>
        <w:jc w:val="both"/>
      </w:pPr>
      <w:r>
        <w:rPr/>
        <w:t>Fatigue, exhaustion, sleep disorders, difficulty concentrating, memory</w:t>
      </w:r>
      <w:r>
        <w:rPr>
          <w:spacing w:val="-9"/>
        </w:rPr>
        <w:t> </w:t>
      </w:r>
      <w:r>
        <w:rPr/>
        <w:t>performance</w:t>
      </w:r>
    </w:p>
    <w:p>
      <w:pPr>
        <w:pStyle w:val="BodyText"/>
        <w:spacing w:line="276" w:lineRule="auto" w:before="261"/>
        <w:ind w:left="616" w:right="132"/>
        <w:jc w:val="both"/>
      </w:pPr>
      <w:r>
        <w:rPr/>
        <w:t>Adaptation to stress which can result in fatigue, exhaustion, sleep disorders, difficulty concentrating and reduced memory performance could be signifi- cantly improved.</w:t>
      </w:r>
    </w:p>
    <w:p>
      <w:pPr>
        <w:pStyle w:val="Heading1"/>
        <w:numPr>
          <w:ilvl w:val="0"/>
          <w:numId w:val="135"/>
        </w:numPr>
        <w:tabs>
          <w:tab w:pos="989" w:val="left" w:leader="none"/>
        </w:tabs>
        <w:spacing w:line="240" w:lineRule="auto" w:before="222" w:after="0"/>
        <w:ind w:left="988" w:right="0" w:hanging="372"/>
        <w:jc w:val="both"/>
      </w:pPr>
      <w:r>
        <w:rPr/>
        <w:t>Lowering cholesterol</w:t>
      </w:r>
      <w:r>
        <w:rPr>
          <w:spacing w:val="-18"/>
        </w:rPr>
        <w:t> </w:t>
      </w:r>
      <w:r>
        <w:rPr/>
        <w:t>naturally</w:t>
      </w:r>
    </w:p>
    <w:p>
      <w:pPr>
        <w:pStyle w:val="BodyText"/>
        <w:spacing w:line="276" w:lineRule="auto" w:before="299"/>
        <w:ind w:left="616" w:right="132"/>
        <w:jc w:val="both"/>
      </w:pPr>
      <w:r>
        <w:rPr/>
        <w:t>Cholesterol</w:t>
      </w:r>
      <w:r>
        <w:rPr>
          <w:spacing w:val="-24"/>
        </w:rPr>
        <w:t> </w:t>
      </w:r>
      <w:r>
        <w:rPr/>
        <w:t>is</w:t>
      </w:r>
      <w:r>
        <w:rPr>
          <w:spacing w:val="-26"/>
        </w:rPr>
        <w:t> </w:t>
      </w:r>
      <w:r>
        <w:rPr/>
        <w:t>seen</w:t>
      </w:r>
      <w:r>
        <w:rPr>
          <w:spacing w:val="-23"/>
        </w:rPr>
        <w:t> </w:t>
      </w:r>
      <w:r>
        <w:rPr/>
        <w:t>as</w:t>
      </w:r>
      <w:r>
        <w:rPr>
          <w:spacing w:val="-26"/>
        </w:rPr>
        <w:t> </w:t>
      </w:r>
      <w:r>
        <w:rPr/>
        <w:t>a</w:t>
      </w:r>
      <w:r>
        <w:rPr>
          <w:spacing w:val="-25"/>
        </w:rPr>
        <w:t> </w:t>
      </w:r>
      <w:r>
        <w:rPr/>
        <w:t>large</w:t>
      </w:r>
      <w:r>
        <w:rPr>
          <w:spacing w:val="-26"/>
        </w:rPr>
        <w:t> </w:t>
      </w:r>
      <w:r>
        <w:rPr/>
        <w:t>risk</w:t>
      </w:r>
      <w:r>
        <w:rPr>
          <w:spacing w:val="-27"/>
        </w:rPr>
        <w:t> </w:t>
      </w:r>
      <w:r>
        <w:rPr/>
        <w:t>factor</w:t>
      </w:r>
      <w:r>
        <w:rPr>
          <w:spacing w:val="-23"/>
        </w:rPr>
        <w:t> </w:t>
      </w:r>
      <w:r>
        <w:rPr/>
        <w:t>for</w:t>
      </w:r>
      <w:r>
        <w:rPr>
          <w:spacing w:val="-24"/>
        </w:rPr>
        <w:t> </w:t>
      </w:r>
      <w:r>
        <w:rPr/>
        <w:t>heart</w:t>
      </w:r>
      <w:r>
        <w:rPr>
          <w:spacing w:val="-24"/>
        </w:rPr>
        <w:t> </w:t>
      </w:r>
      <w:r>
        <w:rPr/>
        <w:t>attacks</w:t>
      </w:r>
      <w:r>
        <w:rPr>
          <w:spacing w:val="-24"/>
        </w:rPr>
        <w:t> </w:t>
      </w:r>
      <w:r>
        <w:rPr/>
        <w:t>and</w:t>
      </w:r>
      <w:r>
        <w:rPr>
          <w:spacing w:val="-24"/>
        </w:rPr>
        <w:t> </w:t>
      </w:r>
      <w:r>
        <w:rPr/>
        <w:t>strokes.</w:t>
      </w:r>
      <w:r>
        <w:rPr>
          <w:spacing w:val="-18"/>
        </w:rPr>
        <w:t> </w:t>
      </w:r>
      <w:r>
        <w:rPr/>
        <w:t>The</w:t>
      </w:r>
      <w:r>
        <w:rPr>
          <w:spacing w:val="-26"/>
        </w:rPr>
        <w:t> </w:t>
      </w:r>
      <w:r>
        <w:rPr/>
        <w:t>blood cholesterol could be heavily reduced with the mineral mixture in the study; study directors attributed this to a biochemical liver activation as the liver is a basophilic organ. Unlike chemical lipid reducers which can have serious side effects,</w:t>
      </w:r>
      <w:r>
        <w:rPr>
          <w:spacing w:val="-11"/>
        </w:rPr>
        <w:t> </w:t>
      </w:r>
      <w:r>
        <w:rPr/>
        <w:t>cholesterol</w:t>
      </w:r>
      <w:r>
        <w:rPr>
          <w:spacing w:val="-12"/>
        </w:rPr>
        <w:t> </w:t>
      </w:r>
      <w:r>
        <w:rPr/>
        <w:t>levels</w:t>
      </w:r>
      <w:r>
        <w:rPr>
          <w:spacing w:val="-13"/>
        </w:rPr>
        <w:t> </w:t>
      </w:r>
      <w:r>
        <w:rPr/>
        <w:t>can</w:t>
      </w:r>
      <w:r>
        <w:rPr>
          <w:spacing w:val="-13"/>
        </w:rPr>
        <w:t> </w:t>
      </w:r>
      <w:r>
        <w:rPr/>
        <w:t>be</w:t>
      </w:r>
      <w:r>
        <w:rPr>
          <w:spacing w:val="-16"/>
        </w:rPr>
        <w:t> </w:t>
      </w:r>
      <w:r>
        <w:rPr/>
        <w:t>lowered</w:t>
      </w:r>
      <w:r>
        <w:rPr>
          <w:spacing w:val="-11"/>
        </w:rPr>
        <w:t> </w:t>
      </w:r>
      <w:r>
        <w:rPr/>
        <w:t>naturally</w:t>
      </w:r>
      <w:r>
        <w:rPr>
          <w:spacing w:val="-12"/>
        </w:rPr>
        <w:t> </w:t>
      </w:r>
      <w:r>
        <w:rPr/>
        <w:t>with</w:t>
      </w:r>
      <w:r>
        <w:rPr>
          <w:spacing w:val="-11"/>
        </w:rPr>
        <w:t> </w:t>
      </w:r>
      <w:r>
        <w:rPr/>
        <w:t>a</w:t>
      </w:r>
      <w:r>
        <w:rPr>
          <w:spacing w:val="-13"/>
        </w:rPr>
        <w:t> </w:t>
      </w:r>
      <w:r>
        <w:rPr/>
        <w:t>base</w:t>
      </w:r>
      <w:r>
        <w:rPr>
          <w:spacing w:val="-15"/>
        </w:rPr>
        <w:t> </w:t>
      </w:r>
      <w:r>
        <w:rPr/>
        <w:t>mineral</w:t>
      </w:r>
      <w:r>
        <w:rPr>
          <w:spacing w:val="-12"/>
        </w:rPr>
        <w:t> </w:t>
      </w:r>
      <w:r>
        <w:rPr/>
        <w:t>powder.</w:t>
      </w:r>
    </w:p>
    <w:p>
      <w:pPr>
        <w:pStyle w:val="Heading1"/>
        <w:numPr>
          <w:ilvl w:val="0"/>
          <w:numId w:val="135"/>
        </w:numPr>
        <w:tabs>
          <w:tab w:pos="989" w:val="left" w:leader="none"/>
        </w:tabs>
        <w:spacing w:line="240" w:lineRule="auto" w:before="223" w:after="0"/>
        <w:ind w:left="988" w:right="0" w:hanging="372"/>
        <w:jc w:val="both"/>
      </w:pPr>
      <w:r>
        <w:rPr/>
        <w:t>Reduced blood</w:t>
      </w:r>
      <w:r>
        <w:rPr>
          <w:spacing w:val="-18"/>
        </w:rPr>
        <w:t> </w:t>
      </w:r>
      <w:r>
        <w:rPr/>
        <w:t>pressure</w:t>
      </w:r>
    </w:p>
    <w:p>
      <w:pPr>
        <w:pStyle w:val="BodyText"/>
        <w:spacing w:line="276" w:lineRule="auto" w:before="299"/>
        <w:ind w:left="616" w:right="132"/>
        <w:jc w:val="both"/>
      </w:pPr>
      <w:r>
        <w:rPr/>
        <w:t>Consumption of the mineral mixture was able to significantly reduce blood pressure. The researchers suspect the reason for this is the improved haemorheology and the reduction of the sodium level. Despite the supply of sodium carbonate, ingestion led to a statistically consistent reduction of the</w:t>
      </w:r>
    </w:p>
    <w:p>
      <w:pPr>
        <w:spacing w:after="0" w:line="276" w:lineRule="auto"/>
        <w:jc w:val="both"/>
        <w:sectPr>
          <w:pgSz w:w="14270" w:h="16850"/>
          <w:pgMar w:header="0" w:footer="1891" w:top="1340" w:bottom="2080" w:left="800" w:right="1280"/>
        </w:sectPr>
      </w:pPr>
    </w:p>
    <w:p>
      <w:pPr>
        <w:pStyle w:val="BodyText"/>
        <w:spacing w:before="74"/>
        <w:ind w:left="616"/>
      </w:pPr>
      <w:r>
        <w:rPr/>
        <w:t>sodium content in the blood.</w:t>
      </w:r>
    </w:p>
    <w:p>
      <w:pPr>
        <w:pStyle w:val="BodyText"/>
        <w:rPr>
          <w:sz w:val="42"/>
        </w:rPr>
      </w:pPr>
    </w:p>
    <w:p>
      <w:pPr>
        <w:pStyle w:val="BodyText"/>
        <w:spacing w:before="10"/>
        <w:rPr>
          <w:sz w:val="49"/>
        </w:rPr>
      </w:pPr>
    </w:p>
    <w:p>
      <w:pPr>
        <w:pStyle w:val="Heading2"/>
        <w:spacing w:before="1"/>
        <w:ind w:left="616"/>
      </w:pPr>
      <w:r>
        <w:rPr/>
        <w:t>How are acids formed?</w:t>
      </w:r>
    </w:p>
    <w:p>
      <w:pPr>
        <w:pStyle w:val="BodyText"/>
        <w:spacing w:line="276" w:lineRule="auto" w:before="304"/>
        <w:ind w:left="616" w:right="133"/>
        <w:jc w:val="both"/>
      </w:pPr>
      <w:r>
        <w:rPr/>
        <w:t>There are many factors which are responsible for heavy acidification of an or- ganism today. These include increased stress, environmental pollution, pesti- cides</w:t>
      </w:r>
      <w:r>
        <w:rPr>
          <w:spacing w:val="-8"/>
        </w:rPr>
        <w:t> </w:t>
      </w:r>
      <w:r>
        <w:rPr/>
        <w:t>and</w:t>
      </w:r>
      <w:r>
        <w:rPr>
          <w:spacing w:val="-8"/>
        </w:rPr>
        <w:t> </w:t>
      </w:r>
      <w:r>
        <w:rPr/>
        <w:t>poisons</w:t>
      </w:r>
      <w:r>
        <w:rPr>
          <w:spacing w:val="-8"/>
        </w:rPr>
        <w:t> </w:t>
      </w:r>
      <w:r>
        <w:rPr/>
        <w:t>in</w:t>
      </w:r>
      <w:r>
        <w:rPr>
          <w:spacing w:val="-8"/>
        </w:rPr>
        <w:t> </w:t>
      </w:r>
      <w:r>
        <w:rPr/>
        <w:t>our</w:t>
      </w:r>
      <w:r>
        <w:rPr>
          <w:spacing w:val="-8"/>
        </w:rPr>
        <w:t> </w:t>
      </w:r>
      <w:r>
        <w:rPr/>
        <w:t>industrialised</w:t>
      </w:r>
      <w:r>
        <w:rPr>
          <w:spacing w:val="-9"/>
        </w:rPr>
        <w:t> </w:t>
      </w:r>
      <w:r>
        <w:rPr/>
        <w:t>foodstuffs</w:t>
      </w:r>
      <w:r>
        <w:rPr>
          <w:spacing w:val="-6"/>
        </w:rPr>
        <w:t> </w:t>
      </w:r>
      <w:r>
        <w:rPr/>
        <w:t>as</w:t>
      </w:r>
      <w:r>
        <w:rPr>
          <w:spacing w:val="-9"/>
        </w:rPr>
        <w:t> </w:t>
      </w:r>
      <w:r>
        <w:rPr/>
        <w:t>well</w:t>
      </w:r>
      <w:r>
        <w:rPr>
          <w:spacing w:val="-10"/>
        </w:rPr>
        <w:t> </w:t>
      </w:r>
      <w:r>
        <w:rPr/>
        <w:t>as</w:t>
      </w:r>
      <w:r>
        <w:rPr>
          <w:spacing w:val="-9"/>
        </w:rPr>
        <w:t> </w:t>
      </w:r>
      <w:r>
        <w:rPr/>
        <w:t>the</w:t>
      </w:r>
      <w:r>
        <w:rPr>
          <w:spacing w:val="-7"/>
        </w:rPr>
        <w:t> </w:t>
      </w:r>
      <w:r>
        <w:rPr/>
        <w:t>incorrect</w:t>
      </w:r>
      <w:r>
        <w:rPr>
          <w:spacing w:val="-9"/>
        </w:rPr>
        <w:t> </w:t>
      </w:r>
      <w:r>
        <w:rPr/>
        <w:t>com- bination of foodstuffs in our diets in which acidifying nutrients</w:t>
      </w:r>
      <w:r>
        <w:rPr>
          <w:spacing w:val="-20"/>
        </w:rPr>
        <w:t> </w:t>
      </w:r>
      <w:r>
        <w:rPr/>
        <w:t>dominate.</w:t>
      </w:r>
    </w:p>
    <w:p>
      <w:pPr>
        <w:pStyle w:val="BodyText"/>
        <w:spacing w:line="276" w:lineRule="auto" w:before="240"/>
        <w:ind w:left="616" w:right="136"/>
        <w:jc w:val="both"/>
      </w:pPr>
      <w:r>
        <w:rPr/>
        <w:t>Furthermore,</w:t>
      </w:r>
      <w:r>
        <w:rPr>
          <w:spacing w:val="-17"/>
        </w:rPr>
        <w:t> </w:t>
      </w:r>
      <w:r>
        <w:rPr/>
        <w:t>physical</w:t>
      </w:r>
      <w:r>
        <w:rPr>
          <w:spacing w:val="-18"/>
        </w:rPr>
        <w:t> </w:t>
      </w:r>
      <w:r>
        <w:rPr/>
        <w:t>stress</w:t>
      </w:r>
      <w:r>
        <w:rPr>
          <w:spacing w:val="-15"/>
        </w:rPr>
        <w:t> </w:t>
      </w:r>
      <w:r>
        <w:rPr/>
        <w:t>leads</w:t>
      </w:r>
      <w:r>
        <w:rPr>
          <w:spacing w:val="-17"/>
        </w:rPr>
        <w:t> </w:t>
      </w:r>
      <w:r>
        <w:rPr/>
        <w:t>to</w:t>
      </w:r>
      <w:r>
        <w:rPr>
          <w:spacing w:val="-16"/>
        </w:rPr>
        <w:t> </w:t>
      </w:r>
      <w:r>
        <w:rPr/>
        <w:t>lactic</w:t>
      </w:r>
      <w:r>
        <w:rPr>
          <w:spacing w:val="-16"/>
        </w:rPr>
        <w:t> </w:t>
      </w:r>
      <w:r>
        <w:rPr/>
        <w:t>acid,</w:t>
      </w:r>
      <w:r>
        <w:rPr>
          <w:spacing w:val="-17"/>
        </w:rPr>
        <w:t> </w:t>
      </w:r>
      <w:r>
        <w:rPr/>
        <w:t>carbonic</w:t>
      </w:r>
      <w:r>
        <w:rPr>
          <w:spacing w:val="-17"/>
        </w:rPr>
        <w:t> </w:t>
      </w:r>
      <w:r>
        <w:rPr/>
        <w:t>acid</w:t>
      </w:r>
      <w:r>
        <w:rPr>
          <w:spacing w:val="-12"/>
        </w:rPr>
        <w:t> </w:t>
      </w:r>
      <w:r>
        <w:rPr/>
        <w:t>results</w:t>
      </w:r>
      <w:r>
        <w:rPr>
          <w:spacing w:val="-17"/>
        </w:rPr>
        <w:t> </w:t>
      </w:r>
      <w:r>
        <w:rPr/>
        <w:t>from</w:t>
      </w:r>
      <w:r>
        <w:rPr>
          <w:spacing w:val="-17"/>
        </w:rPr>
        <w:t> </w:t>
      </w:r>
      <w:r>
        <w:rPr/>
        <w:t>lack of movement, hydrochloric acid from stress, irritation or fear, sulphuric acid from impaired digestion (bloating), niacin from smoking and acetic acid from sugar consumption.</w:t>
      </w:r>
    </w:p>
    <w:p>
      <w:pPr>
        <w:pStyle w:val="BodyText"/>
        <w:spacing w:line="276" w:lineRule="auto" w:before="241"/>
        <w:ind w:left="616" w:right="131"/>
        <w:jc w:val="both"/>
      </w:pPr>
      <w:r>
        <w:rPr/>
        <w:t>The body has natural buffers to neutralise temporary acidification; these in- clude our lungs, kidneys, tissue and intestine. It is only when the acidification is</w:t>
      </w:r>
      <w:r>
        <w:rPr>
          <w:spacing w:val="-12"/>
        </w:rPr>
        <w:t> </w:t>
      </w:r>
      <w:r>
        <w:rPr/>
        <w:t>so</w:t>
      </w:r>
      <w:r>
        <w:rPr>
          <w:spacing w:val="-13"/>
        </w:rPr>
        <w:t> </w:t>
      </w:r>
      <w:r>
        <w:rPr/>
        <w:t>strong</w:t>
      </w:r>
      <w:r>
        <w:rPr>
          <w:spacing w:val="-12"/>
        </w:rPr>
        <w:t> </w:t>
      </w:r>
      <w:r>
        <w:rPr/>
        <w:t>that</w:t>
      </w:r>
      <w:r>
        <w:rPr>
          <w:spacing w:val="-14"/>
        </w:rPr>
        <w:t> </w:t>
      </w:r>
      <w:r>
        <w:rPr/>
        <w:t>these</w:t>
      </w:r>
      <w:r>
        <w:rPr>
          <w:spacing w:val="-11"/>
        </w:rPr>
        <w:t> </w:t>
      </w:r>
      <w:r>
        <w:rPr/>
        <w:t>natural</w:t>
      </w:r>
      <w:r>
        <w:rPr>
          <w:spacing w:val="-12"/>
        </w:rPr>
        <w:t> </w:t>
      </w:r>
      <w:r>
        <w:rPr/>
        <w:t>buffer</w:t>
      </w:r>
      <w:r>
        <w:rPr>
          <w:spacing w:val="-11"/>
        </w:rPr>
        <w:t> </w:t>
      </w:r>
      <w:r>
        <w:rPr/>
        <w:t>systems</w:t>
      </w:r>
      <w:r>
        <w:rPr>
          <w:spacing w:val="-13"/>
        </w:rPr>
        <w:t> </w:t>
      </w:r>
      <w:r>
        <w:rPr/>
        <w:t>can</w:t>
      </w:r>
      <w:r>
        <w:rPr>
          <w:spacing w:val="-15"/>
        </w:rPr>
        <w:t> </w:t>
      </w:r>
      <w:r>
        <w:rPr/>
        <w:t>no</w:t>
      </w:r>
      <w:r>
        <w:rPr>
          <w:spacing w:val="-11"/>
        </w:rPr>
        <w:t> </w:t>
      </w:r>
      <w:r>
        <w:rPr/>
        <w:t>longer</w:t>
      </w:r>
      <w:r>
        <w:rPr>
          <w:spacing w:val="-12"/>
        </w:rPr>
        <w:t> </w:t>
      </w:r>
      <w:r>
        <w:rPr/>
        <w:t>catch</w:t>
      </w:r>
      <w:r>
        <w:rPr>
          <w:spacing w:val="-15"/>
        </w:rPr>
        <w:t> </w:t>
      </w:r>
      <w:r>
        <w:rPr/>
        <w:t>the</w:t>
      </w:r>
      <w:r>
        <w:rPr>
          <w:spacing w:val="-11"/>
        </w:rPr>
        <w:t> </w:t>
      </w:r>
      <w:r>
        <w:rPr/>
        <w:t>acids</w:t>
      </w:r>
      <w:r>
        <w:rPr>
          <w:spacing w:val="-12"/>
        </w:rPr>
        <w:t> </w:t>
      </w:r>
      <w:r>
        <w:rPr/>
        <w:t>that acidification</w:t>
      </w:r>
      <w:r>
        <w:rPr>
          <w:spacing w:val="-20"/>
        </w:rPr>
        <w:t> </w:t>
      </w:r>
      <w:r>
        <w:rPr/>
        <w:t>occurs.</w:t>
      </w:r>
      <w:r>
        <w:rPr>
          <w:spacing w:val="-18"/>
        </w:rPr>
        <w:t> </w:t>
      </w:r>
      <w:r>
        <w:rPr/>
        <w:t>This</w:t>
      </w:r>
      <w:r>
        <w:rPr>
          <w:spacing w:val="-19"/>
        </w:rPr>
        <w:t> </w:t>
      </w:r>
      <w:r>
        <w:rPr/>
        <w:t>is</w:t>
      </w:r>
      <w:r>
        <w:rPr>
          <w:spacing w:val="-19"/>
        </w:rPr>
        <w:t> </w:t>
      </w:r>
      <w:r>
        <w:rPr/>
        <w:t>the</w:t>
      </w:r>
      <w:r>
        <w:rPr>
          <w:spacing w:val="-19"/>
        </w:rPr>
        <w:t> </w:t>
      </w:r>
      <w:r>
        <w:rPr/>
        <w:t>case</w:t>
      </w:r>
      <w:r>
        <w:rPr>
          <w:spacing w:val="-19"/>
        </w:rPr>
        <w:t> </w:t>
      </w:r>
      <w:r>
        <w:rPr/>
        <w:t>in</w:t>
      </w:r>
      <w:r>
        <w:rPr>
          <w:spacing w:val="-17"/>
        </w:rPr>
        <w:t> </w:t>
      </w:r>
      <w:r>
        <w:rPr/>
        <w:t>90</w:t>
      </w:r>
      <w:r>
        <w:rPr>
          <w:spacing w:val="-19"/>
        </w:rPr>
        <w:t> </w:t>
      </w:r>
      <w:r>
        <w:rPr/>
        <w:t>%</w:t>
      </w:r>
      <w:r>
        <w:rPr>
          <w:spacing w:val="-20"/>
        </w:rPr>
        <w:t> </w:t>
      </w:r>
      <w:r>
        <w:rPr/>
        <w:t>of</w:t>
      </w:r>
      <w:r>
        <w:rPr>
          <w:spacing w:val="-19"/>
        </w:rPr>
        <w:t> </w:t>
      </w:r>
      <w:r>
        <w:rPr/>
        <w:t>people</w:t>
      </w:r>
      <w:r>
        <w:rPr>
          <w:spacing w:val="-19"/>
        </w:rPr>
        <w:t> </w:t>
      </w:r>
      <w:r>
        <w:rPr/>
        <w:t>in</w:t>
      </w:r>
      <w:r>
        <w:rPr>
          <w:spacing w:val="-20"/>
        </w:rPr>
        <w:t> </w:t>
      </w:r>
      <w:r>
        <w:rPr/>
        <w:t>industrialised</w:t>
      </w:r>
      <w:r>
        <w:rPr>
          <w:spacing w:val="-19"/>
        </w:rPr>
        <w:t> </w:t>
      </w:r>
      <w:r>
        <w:rPr/>
        <w:t>nations!</w:t>
      </w:r>
    </w:p>
    <w:p>
      <w:pPr>
        <w:pStyle w:val="BodyText"/>
        <w:spacing w:line="276" w:lineRule="auto" w:before="240"/>
        <w:ind w:left="616" w:right="141"/>
        <w:jc w:val="both"/>
      </w:pPr>
      <w:r>
        <w:rPr/>
        <w:t>However, some alkaline is required by the body, this has a pH value of about 7.2.</w:t>
      </w:r>
    </w:p>
    <w:p>
      <w:pPr>
        <w:spacing w:after="0" w:line="276" w:lineRule="auto"/>
        <w:jc w:val="both"/>
        <w:sectPr>
          <w:pgSz w:w="14270" w:h="16850"/>
          <w:pgMar w:header="0" w:footer="1891" w:top="1340" w:bottom="2080" w:left="800" w:right="1280"/>
        </w:sectPr>
      </w:pPr>
    </w:p>
    <w:p>
      <w:pPr>
        <w:pStyle w:val="Heading1"/>
        <w:spacing w:before="77"/>
        <w:ind w:left="616"/>
      </w:pPr>
      <w:r>
        <w:rPr/>
        <w:t>Acid-base = ebb-flow</w:t>
      </w:r>
    </w:p>
    <w:p>
      <w:pPr>
        <w:pStyle w:val="BodyText"/>
        <w:spacing w:line="276" w:lineRule="auto" w:before="297"/>
        <w:ind w:left="616" w:right="133"/>
        <w:jc w:val="both"/>
      </w:pPr>
      <w:r>
        <w:rPr/>
        <w:pict>
          <v:group style="position:absolute;margin-left:70.849998pt;margin-top:125.364494pt;width:285.5pt;height:127.1pt;mso-position-horizontal-relative:page;mso-position-vertical-relative:paragraph;z-index:-1251424" coordorigin="1417,2507" coordsize="5710,2542">
            <v:shape style="position:absolute;left:1417;top:2507;width:5710;height:2542" type="#_x0000_t75" stroked="false">
              <v:imagedata r:id="rId499" o:title=""/>
            </v:shape>
            <v:shape style="position:absolute;left:2054;top:2596;width:4920;height:457" type="#_x0000_t202" filled="true" fillcolor="#ffffff" stroked="true" strokeweight=".5pt" strokecolor="#000000">
              <v:textbox inset="0,0,0,0">
                <w:txbxContent>
                  <w:p>
                    <w:pPr>
                      <w:spacing w:before="71"/>
                      <w:ind w:left="643" w:right="0" w:firstLine="0"/>
                      <w:jc w:val="left"/>
                      <w:rPr>
                        <w:b/>
                        <w:sz w:val="20"/>
                      </w:rPr>
                    </w:pPr>
                    <w:r>
                      <w:rPr>
                        <w:b/>
                        <w:sz w:val="20"/>
                      </w:rPr>
                      <w:t>Course of the pH value throughout the day</w:t>
                    </w:r>
                  </w:p>
                </w:txbxContent>
              </v:textbox>
              <v:fill type="solid"/>
              <v:stroke dashstyle="solid"/>
              <w10:wrap type="none"/>
            </v:shape>
            <w10:wrap type="none"/>
          </v:group>
        </w:pict>
      </w:r>
      <w:r>
        <w:rPr/>
        <w:t>Biological rhythms as well as the influence of our diet causes our bodies to demonstrate different acid-base (pH) values throughout the day.</w:t>
      </w:r>
      <w:r>
        <w:rPr>
          <w:spacing w:val="-45"/>
        </w:rPr>
        <w:t> </w:t>
      </w:r>
      <w:r>
        <w:rPr/>
        <w:t>Interestingly, the</w:t>
      </w:r>
      <w:r>
        <w:rPr>
          <w:spacing w:val="-9"/>
        </w:rPr>
        <w:t> </w:t>
      </w:r>
      <w:r>
        <w:rPr/>
        <w:t>acid</w:t>
      </w:r>
      <w:r>
        <w:rPr>
          <w:spacing w:val="-10"/>
        </w:rPr>
        <w:t> </w:t>
      </w:r>
      <w:r>
        <w:rPr/>
        <w:t>and</w:t>
      </w:r>
      <w:r>
        <w:rPr>
          <w:spacing w:val="-9"/>
        </w:rPr>
        <w:t> </w:t>
      </w:r>
      <w:r>
        <w:rPr/>
        <w:t>base</w:t>
      </w:r>
      <w:r>
        <w:rPr>
          <w:spacing w:val="-11"/>
        </w:rPr>
        <w:t> </w:t>
      </w:r>
      <w:r>
        <w:rPr/>
        <w:t>flows</w:t>
      </w:r>
      <w:r>
        <w:rPr>
          <w:spacing w:val="-9"/>
        </w:rPr>
        <w:t> </w:t>
      </w:r>
      <w:r>
        <w:rPr/>
        <w:t>responsible</w:t>
      </w:r>
      <w:r>
        <w:rPr>
          <w:spacing w:val="-9"/>
        </w:rPr>
        <w:t> </w:t>
      </w:r>
      <w:r>
        <w:rPr/>
        <w:t>for</w:t>
      </w:r>
      <w:r>
        <w:rPr>
          <w:spacing w:val="-10"/>
        </w:rPr>
        <w:t> </w:t>
      </w:r>
      <w:r>
        <w:rPr/>
        <w:t>this</w:t>
      </w:r>
      <w:r>
        <w:rPr>
          <w:spacing w:val="-11"/>
        </w:rPr>
        <w:t> </w:t>
      </w:r>
      <w:r>
        <w:rPr/>
        <w:t>switch</w:t>
      </w:r>
      <w:r>
        <w:rPr>
          <w:spacing w:val="-9"/>
        </w:rPr>
        <w:t> </w:t>
      </w:r>
      <w:r>
        <w:rPr/>
        <w:t>in</w:t>
      </w:r>
      <w:r>
        <w:rPr>
          <w:spacing w:val="-12"/>
        </w:rPr>
        <w:t> </w:t>
      </w:r>
      <w:r>
        <w:rPr/>
        <w:t>a</w:t>
      </w:r>
      <w:r>
        <w:rPr>
          <w:spacing w:val="-11"/>
        </w:rPr>
        <w:t> </w:t>
      </w:r>
      <w:r>
        <w:rPr/>
        <w:t>six-hour</w:t>
      </w:r>
      <w:r>
        <w:rPr>
          <w:spacing w:val="-10"/>
        </w:rPr>
        <w:t> </w:t>
      </w:r>
      <w:r>
        <w:rPr/>
        <w:t>cycle,</w:t>
      </w:r>
      <w:r>
        <w:rPr>
          <w:spacing w:val="-8"/>
        </w:rPr>
        <w:t> </w:t>
      </w:r>
      <w:r>
        <w:rPr/>
        <w:t>similarly to the ebb and flow of the</w:t>
      </w:r>
      <w:r>
        <w:rPr>
          <w:spacing w:val="3"/>
        </w:rPr>
        <w:t> </w:t>
      </w:r>
      <w:r>
        <w:rPr/>
        <w:t>tide.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6"/>
        </w:rPr>
      </w:pPr>
    </w:p>
    <w:tbl>
      <w:tblPr>
        <w:tblW w:w="0" w:type="auto"/>
        <w:jc w:val="left"/>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5"/>
        <w:gridCol w:w="956"/>
        <w:gridCol w:w="922"/>
        <w:gridCol w:w="914"/>
        <w:gridCol w:w="795"/>
        <w:gridCol w:w="891"/>
      </w:tblGrid>
      <w:tr>
        <w:trPr>
          <w:trHeight w:val="287" w:hRule="atLeast"/>
        </w:trPr>
        <w:tc>
          <w:tcPr>
            <w:tcW w:w="885" w:type="dxa"/>
            <w:tcBorders>
              <w:right w:val="double" w:sz="1" w:space="0" w:color="000000"/>
            </w:tcBorders>
            <w:shd w:val="clear" w:color="auto" w:fill="FFFFFF"/>
          </w:tcPr>
          <w:p>
            <w:pPr>
              <w:pStyle w:val="TableParagraph"/>
              <w:spacing w:before="63"/>
              <w:ind w:left="149"/>
              <w:rPr>
                <w:rFonts w:ascii="Arial Narrow"/>
                <w:b/>
                <w:sz w:val="12"/>
              </w:rPr>
            </w:pPr>
            <w:r>
              <w:rPr>
                <w:rFonts w:ascii="Arial Narrow"/>
                <w:b/>
                <w:sz w:val="12"/>
              </w:rPr>
              <w:t>After dinner</w:t>
            </w:r>
          </w:p>
        </w:tc>
        <w:tc>
          <w:tcPr>
            <w:tcW w:w="956" w:type="dxa"/>
            <w:tcBorders>
              <w:left w:val="double" w:sz="1" w:space="0" w:color="000000"/>
              <w:right w:val="single" w:sz="6" w:space="0" w:color="000000"/>
            </w:tcBorders>
            <w:shd w:val="clear" w:color="auto" w:fill="FFFFFF"/>
          </w:tcPr>
          <w:p>
            <w:pPr>
              <w:pStyle w:val="TableParagraph"/>
              <w:spacing w:before="77"/>
              <w:ind w:left="147"/>
              <w:rPr>
                <w:rFonts w:ascii="Arial Narrow"/>
                <w:b/>
                <w:sz w:val="10"/>
              </w:rPr>
            </w:pPr>
            <w:r>
              <w:rPr>
                <w:rFonts w:ascii="Arial Narrow"/>
                <w:b/>
                <w:sz w:val="10"/>
              </w:rPr>
              <w:t>Morning urine</w:t>
            </w:r>
          </w:p>
        </w:tc>
        <w:tc>
          <w:tcPr>
            <w:tcW w:w="922" w:type="dxa"/>
            <w:tcBorders>
              <w:left w:val="single" w:sz="6" w:space="0" w:color="000000"/>
              <w:right w:val="double" w:sz="1" w:space="0" w:color="000000"/>
            </w:tcBorders>
            <w:shd w:val="clear" w:color="auto" w:fill="FFFFFF"/>
          </w:tcPr>
          <w:p>
            <w:pPr>
              <w:pStyle w:val="TableParagraph"/>
              <w:spacing w:before="77"/>
              <w:ind w:left="148"/>
              <w:rPr>
                <w:rFonts w:ascii="Arial Narrow"/>
                <w:b/>
                <w:sz w:val="10"/>
              </w:rPr>
            </w:pPr>
            <w:r>
              <w:rPr>
                <w:rFonts w:ascii="Arial Narrow"/>
                <w:b/>
                <w:sz w:val="10"/>
              </w:rPr>
              <w:t>After breakfast</w:t>
            </w:r>
          </w:p>
        </w:tc>
        <w:tc>
          <w:tcPr>
            <w:tcW w:w="914" w:type="dxa"/>
            <w:tcBorders>
              <w:left w:val="double" w:sz="1" w:space="0" w:color="000000"/>
            </w:tcBorders>
            <w:shd w:val="clear" w:color="auto" w:fill="FFFFFF"/>
          </w:tcPr>
          <w:p>
            <w:pPr>
              <w:pStyle w:val="TableParagraph"/>
              <w:spacing w:before="65"/>
              <w:ind w:left="148"/>
              <w:rPr>
                <w:rFonts w:ascii="Arial Narrow"/>
                <w:b/>
                <w:sz w:val="10"/>
              </w:rPr>
            </w:pPr>
            <w:r>
              <w:rPr>
                <w:rFonts w:ascii="Arial Narrow"/>
                <w:b/>
                <w:sz w:val="10"/>
              </w:rPr>
              <w:t>Before lunch</w:t>
            </w:r>
          </w:p>
        </w:tc>
        <w:tc>
          <w:tcPr>
            <w:tcW w:w="795" w:type="dxa"/>
            <w:shd w:val="clear" w:color="auto" w:fill="FFFFFF"/>
          </w:tcPr>
          <w:p>
            <w:pPr>
              <w:pStyle w:val="TableParagraph"/>
              <w:spacing w:before="65"/>
              <w:ind w:left="151"/>
              <w:rPr>
                <w:rFonts w:ascii="Arial Narrow"/>
                <w:b/>
                <w:sz w:val="10"/>
              </w:rPr>
            </w:pPr>
            <w:r>
              <w:rPr>
                <w:rFonts w:ascii="Arial Narrow"/>
                <w:b/>
                <w:sz w:val="10"/>
              </w:rPr>
              <w:t>After lunch</w:t>
            </w:r>
          </w:p>
        </w:tc>
        <w:tc>
          <w:tcPr>
            <w:tcW w:w="891" w:type="dxa"/>
            <w:shd w:val="clear" w:color="auto" w:fill="FFFFFF"/>
          </w:tcPr>
          <w:p>
            <w:pPr>
              <w:pStyle w:val="TableParagraph"/>
              <w:spacing w:before="70"/>
              <w:ind w:left="161"/>
              <w:rPr>
                <w:rFonts w:ascii="Arial Narrow"/>
                <w:b/>
                <w:sz w:val="10"/>
              </w:rPr>
            </w:pPr>
            <w:r>
              <w:rPr>
                <w:rFonts w:ascii="Arial Narrow"/>
                <w:b/>
                <w:sz w:val="10"/>
              </w:rPr>
              <w:t>Before dinner</w:t>
            </w:r>
          </w:p>
        </w:tc>
      </w:tr>
    </w:tbl>
    <w:p>
      <w:pPr>
        <w:pStyle w:val="BodyText"/>
        <w:rPr>
          <w:sz w:val="42"/>
        </w:rPr>
      </w:pPr>
    </w:p>
    <w:p>
      <w:pPr>
        <w:pStyle w:val="BodyText"/>
        <w:rPr>
          <w:sz w:val="42"/>
        </w:rPr>
      </w:pPr>
    </w:p>
    <w:p>
      <w:pPr>
        <w:pStyle w:val="BodyText"/>
        <w:spacing w:before="5"/>
        <w:rPr>
          <w:sz w:val="41"/>
        </w:rPr>
      </w:pPr>
    </w:p>
    <w:p>
      <w:pPr>
        <w:pStyle w:val="Heading1"/>
        <w:spacing w:before="1"/>
        <w:ind w:left="616"/>
      </w:pPr>
      <w:r>
        <w:rPr/>
        <w:t>What is the ideal pH value?</w:t>
      </w:r>
    </w:p>
    <w:p>
      <w:pPr>
        <w:pStyle w:val="BodyText"/>
        <w:spacing w:line="276" w:lineRule="auto" w:before="299"/>
        <w:ind w:left="616" w:right="133"/>
        <w:jc w:val="both"/>
      </w:pPr>
      <w:r>
        <w:rPr/>
        <w:t>A</w:t>
      </w:r>
      <w:r>
        <w:rPr>
          <w:spacing w:val="-12"/>
        </w:rPr>
        <w:t> </w:t>
      </w:r>
      <w:r>
        <w:rPr/>
        <w:t>pH</w:t>
      </w:r>
      <w:r>
        <w:rPr>
          <w:spacing w:val="-11"/>
        </w:rPr>
        <w:t> </w:t>
      </w:r>
      <w:r>
        <w:rPr/>
        <w:t>value</w:t>
      </w:r>
      <w:r>
        <w:rPr>
          <w:spacing w:val="-11"/>
        </w:rPr>
        <w:t> </w:t>
      </w:r>
      <w:r>
        <w:rPr/>
        <w:t>of</w:t>
      </w:r>
      <w:r>
        <w:rPr>
          <w:spacing w:val="-14"/>
        </w:rPr>
        <w:t> </w:t>
      </w:r>
      <w:r>
        <w:rPr/>
        <w:t>7</w:t>
      </w:r>
      <w:r>
        <w:rPr>
          <w:spacing w:val="-14"/>
        </w:rPr>
        <w:t> </w:t>
      </w:r>
      <w:r>
        <w:rPr/>
        <w:t>is</w:t>
      </w:r>
      <w:r>
        <w:rPr>
          <w:spacing w:val="-12"/>
        </w:rPr>
        <w:t> </w:t>
      </w:r>
      <w:r>
        <w:rPr/>
        <w:t>neutral</w:t>
      </w:r>
      <w:r>
        <w:rPr>
          <w:spacing w:val="-12"/>
        </w:rPr>
        <w:t> </w:t>
      </w:r>
      <w:r>
        <w:rPr/>
        <w:t>and</w:t>
      </w:r>
      <w:r>
        <w:rPr>
          <w:spacing w:val="-13"/>
        </w:rPr>
        <w:t> </w:t>
      </w:r>
      <w:r>
        <w:rPr/>
        <w:t>perfect</w:t>
      </w:r>
      <w:r>
        <w:rPr>
          <w:spacing w:val="-12"/>
        </w:rPr>
        <w:t> </w:t>
      </w:r>
      <w:r>
        <w:rPr/>
        <w:t>for</w:t>
      </w:r>
      <w:r>
        <w:rPr>
          <w:spacing w:val="-13"/>
        </w:rPr>
        <w:t> </w:t>
      </w:r>
      <w:r>
        <w:rPr/>
        <w:t>health.</w:t>
      </w:r>
      <w:r>
        <w:rPr>
          <w:spacing w:val="-16"/>
        </w:rPr>
        <w:t> </w:t>
      </w:r>
      <w:r>
        <w:rPr/>
        <w:t>In</w:t>
      </w:r>
      <w:r>
        <w:rPr>
          <w:spacing w:val="-11"/>
        </w:rPr>
        <w:t> </w:t>
      </w:r>
      <w:r>
        <w:rPr/>
        <w:t>the</w:t>
      </w:r>
      <w:r>
        <w:rPr>
          <w:spacing w:val="-13"/>
        </w:rPr>
        <w:t> </w:t>
      </w:r>
      <w:r>
        <w:rPr/>
        <w:t>morning,</w:t>
      </w:r>
      <w:r>
        <w:rPr>
          <w:spacing w:val="-15"/>
        </w:rPr>
        <w:t> </w:t>
      </w:r>
      <w:r>
        <w:rPr/>
        <w:t>the</w:t>
      </w:r>
      <w:r>
        <w:rPr>
          <w:spacing w:val="-11"/>
        </w:rPr>
        <w:t> </w:t>
      </w:r>
      <w:r>
        <w:rPr/>
        <w:t>pH</w:t>
      </w:r>
      <w:r>
        <w:rPr>
          <w:spacing w:val="-14"/>
        </w:rPr>
        <w:t> </w:t>
      </w:r>
      <w:r>
        <w:rPr/>
        <w:t>value should be between 6.2 and 6.8, in the afternoon between 7 and 7.5 and in the evening between 6.8 and 7.4. Not all acid-triggering factors are subject to our influence, but fortunately we can have a significant influence on the decisive factors for acidification: In order to maintain a healthy acid-base relationship, acidic foodstuffs should always be consumed in conjunction with base-form- ing foodstuffs. Caution should be taken here to ensure a relationship of 20 % (acidic foodstuffs) to 80 % alkaline</w:t>
      </w:r>
      <w:r>
        <w:rPr>
          <w:spacing w:val="2"/>
        </w:rPr>
        <w:t> </w:t>
      </w:r>
      <w:r>
        <w:rPr/>
        <w:t>foodstuffs!</w:t>
      </w:r>
    </w:p>
    <w:p>
      <w:pPr>
        <w:pStyle w:val="BodyText"/>
        <w:spacing w:before="239"/>
        <w:ind w:left="616"/>
        <w:jc w:val="both"/>
      </w:pPr>
      <w:r>
        <w:rPr/>
        <w:t>Diseases from acidification</w:t>
      </w:r>
    </w:p>
    <w:p>
      <w:pPr>
        <w:spacing w:after="0"/>
        <w:jc w:val="both"/>
        <w:sectPr>
          <w:pgSz w:w="14270" w:h="16850"/>
          <w:pgMar w:header="0" w:footer="1891" w:top="1320" w:bottom="2080" w:left="800" w:right="1280"/>
        </w:sectPr>
      </w:pPr>
    </w:p>
    <w:p>
      <w:pPr>
        <w:pStyle w:val="Heading1"/>
        <w:spacing w:before="75"/>
        <w:ind w:left="616"/>
      </w:pPr>
      <w:r>
        <w:rPr/>
        <w:t>Symptoms and diseases of acidification</w:t>
      </w:r>
    </w:p>
    <w:p>
      <w:pPr>
        <w:pStyle w:val="BodyText"/>
        <w:spacing w:line="276" w:lineRule="auto" w:before="299"/>
        <w:ind w:left="616"/>
      </w:pPr>
      <w:r>
        <w:rPr/>
        <w:t>Acidification of the body should be considered in particular if several of the following symptoms occur:</w:t>
      </w:r>
    </w:p>
    <w:p>
      <w:pPr>
        <w:pStyle w:val="ListParagraph"/>
        <w:numPr>
          <w:ilvl w:val="0"/>
          <w:numId w:val="131"/>
        </w:numPr>
        <w:tabs>
          <w:tab w:pos="1336" w:val="left" w:leader="none"/>
          <w:tab w:pos="1337" w:val="left" w:leader="none"/>
        </w:tabs>
        <w:spacing w:line="240" w:lineRule="auto" w:before="21" w:after="0"/>
        <w:ind w:left="1324" w:right="0" w:hanging="708"/>
        <w:jc w:val="left"/>
        <w:rPr>
          <w:sz w:val="38"/>
        </w:rPr>
      </w:pPr>
      <w:r>
        <w:rPr>
          <w:sz w:val="38"/>
        </w:rPr>
        <w:t>Allergies</w:t>
      </w:r>
    </w:p>
    <w:p>
      <w:pPr>
        <w:pStyle w:val="ListParagraph"/>
        <w:numPr>
          <w:ilvl w:val="0"/>
          <w:numId w:val="131"/>
        </w:numPr>
        <w:tabs>
          <w:tab w:pos="1336" w:val="left" w:leader="none"/>
          <w:tab w:pos="1337" w:val="left" w:leader="none"/>
        </w:tabs>
        <w:spacing w:line="240" w:lineRule="auto" w:before="83" w:after="0"/>
        <w:ind w:left="1324" w:right="0" w:hanging="708"/>
        <w:jc w:val="left"/>
        <w:rPr>
          <w:sz w:val="38"/>
        </w:rPr>
      </w:pPr>
      <w:r>
        <w:rPr>
          <w:sz w:val="38"/>
        </w:rPr>
        <w:t>Excess weight</w:t>
      </w:r>
    </w:p>
    <w:p>
      <w:pPr>
        <w:pStyle w:val="ListParagraph"/>
        <w:numPr>
          <w:ilvl w:val="0"/>
          <w:numId w:val="131"/>
        </w:numPr>
        <w:tabs>
          <w:tab w:pos="1336" w:val="left" w:leader="none"/>
          <w:tab w:pos="1337" w:val="left" w:leader="none"/>
        </w:tabs>
        <w:spacing w:line="240" w:lineRule="auto" w:before="85" w:after="0"/>
        <w:ind w:left="1324" w:right="0" w:hanging="708"/>
        <w:jc w:val="left"/>
        <w:rPr>
          <w:sz w:val="38"/>
        </w:rPr>
      </w:pPr>
      <w:r>
        <w:rPr>
          <w:sz w:val="38"/>
        </w:rPr>
        <w:t>Headaches</w:t>
      </w:r>
    </w:p>
    <w:p>
      <w:pPr>
        <w:pStyle w:val="ListParagraph"/>
        <w:numPr>
          <w:ilvl w:val="0"/>
          <w:numId w:val="131"/>
        </w:numPr>
        <w:tabs>
          <w:tab w:pos="1336" w:val="left" w:leader="none"/>
          <w:tab w:pos="1337" w:val="left" w:leader="none"/>
        </w:tabs>
        <w:spacing w:line="240" w:lineRule="auto" w:before="86" w:after="0"/>
        <w:ind w:left="1324" w:right="0" w:hanging="708"/>
        <w:jc w:val="left"/>
        <w:rPr>
          <w:sz w:val="38"/>
        </w:rPr>
      </w:pPr>
      <w:r>
        <w:rPr>
          <w:sz w:val="38"/>
        </w:rPr>
        <w:t>Hair</w:t>
      </w:r>
      <w:r>
        <w:rPr>
          <w:spacing w:val="-1"/>
          <w:sz w:val="38"/>
        </w:rPr>
        <w:t> </w:t>
      </w:r>
      <w:r>
        <w:rPr>
          <w:sz w:val="38"/>
        </w:rPr>
        <w:t>loss</w:t>
      </w:r>
    </w:p>
    <w:p>
      <w:pPr>
        <w:pStyle w:val="ListParagraph"/>
        <w:numPr>
          <w:ilvl w:val="0"/>
          <w:numId w:val="131"/>
        </w:numPr>
        <w:tabs>
          <w:tab w:pos="1336" w:val="left" w:leader="none"/>
          <w:tab w:pos="1337" w:val="left" w:leader="none"/>
        </w:tabs>
        <w:spacing w:line="240" w:lineRule="auto" w:before="83" w:after="0"/>
        <w:ind w:left="1324" w:right="0" w:hanging="708"/>
        <w:jc w:val="left"/>
        <w:rPr>
          <w:sz w:val="38"/>
        </w:rPr>
      </w:pPr>
      <w:r>
        <w:rPr>
          <w:sz w:val="38"/>
        </w:rPr>
        <w:t>Grey</w:t>
      </w:r>
      <w:r>
        <w:rPr>
          <w:spacing w:val="-5"/>
          <w:sz w:val="38"/>
        </w:rPr>
        <w:t> </w:t>
      </w:r>
      <w:r>
        <w:rPr>
          <w:sz w:val="38"/>
        </w:rPr>
        <w:t>hair</w:t>
      </w:r>
    </w:p>
    <w:p>
      <w:pPr>
        <w:pStyle w:val="ListParagraph"/>
        <w:numPr>
          <w:ilvl w:val="0"/>
          <w:numId w:val="131"/>
        </w:numPr>
        <w:tabs>
          <w:tab w:pos="1336" w:val="left" w:leader="none"/>
          <w:tab w:pos="1337" w:val="left" w:leader="none"/>
        </w:tabs>
        <w:spacing w:line="240" w:lineRule="auto" w:before="85" w:after="0"/>
        <w:ind w:left="1324" w:right="0" w:hanging="708"/>
        <w:jc w:val="left"/>
        <w:rPr>
          <w:sz w:val="38"/>
        </w:rPr>
      </w:pPr>
      <w:r>
        <w:rPr>
          <w:sz w:val="38"/>
        </w:rPr>
        <w:t>Migraines</w:t>
      </w:r>
    </w:p>
    <w:p>
      <w:pPr>
        <w:pStyle w:val="ListParagraph"/>
        <w:numPr>
          <w:ilvl w:val="0"/>
          <w:numId w:val="131"/>
        </w:numPr>
        <w:tabs>
          <w:tab w:pos="1336" w:val="left" w:leader="none"/>
          <w:tab w:pos="1337" w:val="left" w:leader="none"/>
        </w:tabs>
        <w:spacing w:line="240" w:lineRule="auto" w:before="83" w:after="0"/>
        <w:ind w:left="1324" w:right="0" w:hanging="708"/>
        <w:jc w:val="left"/>
        <w:rPr>
          <w:sz w:val="38"/>
        </w:rPr>
      </w:pPr>
      <w:r>
        <w:rPr>
          <w:sz w:val="38"/>
        </w:rPr>
        <w:t>Inflammation</w:t>
      </w:r>
    </w:p>
    <w:p>
      <w:pPr>
        <w:pStyle w:val="ListParagraph"/>
        <w:numPr>
          <w:ilvl w:val="0"/>
          <w:numId w:val="131"/>
        </w:numPr>
        <w:tabs>
          <w:tab w:pos="1336" w:val="left" w:leader="none"/>
          <w:tab w:pos="1337" w:val="left" w:leader="none"/>
        </w:tabs>
        <w:spacing w:line="240" w:lineRule="auto" w:before="85" w:after="0"/>
        <w:ind w:left="1324" w:right="0" w:hanging="708"/>
        <w:jc w:val="left"/>
        <w:rPr>
          <w:sz w:val="38"/>
        </w:rPr>
      </w:pPr>
      <w:r>
        <w:rPr>
          <w:sz w:val="38"/>
        </w:rPr>
        <w:t>Digestion problems</w:t>
      </w:r>
    </w:p>
    <w:p>
      <w:pPr>
        <w:pStyle w:val="ListParagraph"/>
        <w:numPr>
          <w:ilvl w:val="0"/>
          <w:numId w:val="131"/>
        </w:numPr>
        <w:tabs>
          <w:tab w:pos="1336" w:val="left" w:leader="none"/>
          <w:tab w:pos="1337" w:val="left" w:leader="none"/>
        </w:tabs>
        <w:spacing w:line="240" w:lineRule="auto" w:before="83" w:after="0"/>
        <w:ind w:left="1324" w:right="0" w:hanging="708"/>
        <w:jc w:val="left"/>
        <w:rPr>
          <w:sz w:val="38"/>
        </w:rPr>
      </w:pPr>
      <w:r>
        <w:rPr>
          <w:sz w:val="38"/>
        </w:rPr>
        <w:t>Heartburn</w:t>
      </w:r>
    </w:p>
    <w:p>
      <w:pPr>
        <w:pStyle w:val="ListParagraph"/>
        <w:numPr>
          <w:ilvl w:val="0"/>
          <w:numId w:val="131"/>
        </w:numPr>
        <w:tabs>
          <w:tab w:pos="1336" w:val="left" w:leader="none"/>
          <w:tab w:pos="1337" w:val="left" w:leader="none"/>
        </w:tabs>
        <w:spacing w:line="240" w:lineRule="auto" w:before="85" w:after="0"/>
        <w:ind w:left="1324" w:right="0" w:hanging="708"/>
        <w:jc w:val="left"/>
        <w:rPr>
          <w:sz w:val="38"/>
        </w:rPr>
      </w:pPr>
      <w:r>
        <w:rPr>
          <w:sz w:val="38"/>
        </w:rPr>
        <w:t>Sleep</w:t>
      </w:r>
      <w:r>
        <w:rPr>
          <w:spacing w:val="1"/>
          <w:sz w:val="38"/>
        </w:rPr>
        <w:t> </w:t>
      </w:r>
      <w:r>
        <w:rPr>
          <w:sz w:val="38"/>
        </w:rPr>
        <w:t>disorders</w:t>
      </w:r>
    </w:p>
    <w:p>
      <w:pPr>
        <w:pStyle w:val="ListParagraph"/>
        <w:numPr>
          <w:ilvl w:val="0"/>
          <w:numId w:val="131"/>
        </w:numPr>
        <w:tabs>
          <w:tab w:pos="1336" w:val="left" w:leader="none"/>
          <w:tab w:pos="1337" w:val="left" w:leader="none"/>
        </w:tabs>
        <w:spacing w:line="240" w:lineRule="auto" w:before="84" w:after="0"/>
        <w:ind w:left="1324" w:right="0" w:hanging="708"/>
        <w:jc w:val="left"/>
        <w:rPr>
          <w:sz w:val="38"/>
        </w:rPr>
      </w:pPr>
      <w:r>
        <w:rPr>
          <w:sz w:val="38"/>
        </w:rPr>
        <w:t>Gum</w:t>
      </w:r>
      <w:r>
        <w:rPr>
          <w:spacing w:val="-2"/>
          <w:sz w:val="38"/>
        </w:rPr>
        <w:t> </w:t>
      </w:r>
      <w:r>
        <w:rPr>
          <w:sz w:val="38"/>
        </w:rPr>
        <w:t>inflammation</w:t>
      </w:r>
    </w:p>
    <w:p>
      <w:pPr>
        <w:pStyle w:val="ListParagraph"/>
        <w:numPr>
          <w:ilvl w:val="0"/>
          <w:numId w:val="131"/>
        </w:numPr>
        <w:tabs>
          <w:tab w:pos="1336" w:val="left" w:leader="none"/>
          <w:tab w:pos="1337" w:val="left" w:leader="none"/>
        </w:tabs>
        <w:spacing w:line="240" w:lineRule="auto" w:before="85" w:after="0"/>
        <w:ind w:left="1324" w:right="0" w:hanging="708"/>
        <w:jc w:val="left"/>
        <w:rPr>
          <w:sz w:val="38"/>
        </w:rPr>
      </w:pPr>
      <w:r>
        <w:rPr>
          <w:sz w:val="38"/>
        </w:rPr>
        <w:t>Menstrual</w:t>
      </w:r>
      <w:r>
        <w:rPr>
          <w:spacing w:val="-2"/>
          <w:sz w:val="38"/>
        </w:rPr>
        <w:t> </w:t>
      </w:r>
      <w:r>
        <w:rPr>
          <w:sz w:val="38"/>
        </w:rPr>
        <w:t>cramps</w:t>
      </w:r>
    </w:p>
    <w:p>
      <w:pPr>
        <w:pStyle w:val="ListParagraph"/>
        <w:numPr>
          <w:ilvl w:val="0"/>
          <w:numId w:val="131"/>
        </w:numPr>
        <w:tabs>
          <w:tab w:pos="1336" w:val="left" w:leader="none"/>
          <w:tab w:pos="1337" w:val="left" w:leader="none"/>
        </w:tabs>
        <w:spacing w:line="240" w:lineRule="auto" w:before="83" w:after="0"/>
        <w:ind w:left="1324" w:right="0" w:hanging="708"/>
        <w:jc w:val="left"/>
        <w:rPr>
          <w:sz w:val="38"/>
        </w:rPr>
      </w:pPr>
      <w:r>
        <w:rPr>
          <w:sz w:val="38"/>
        </w:rPr>
        <w:t>Insufficient</w:t>
      </w:r>
      <w:r>
        <w:rPr>
          <w:spacing w:val="-1"/>
          <w:sz w:val="38"/>
        </w:rPr>
        <w:t> </w:t>
      </w:r>
      <w:r>
        <w:rPr>
          <w:sz w:val="38"/>
        </w:rPr>
        <w:t>weight</w:t>
      </w:r>
    </w:p>
    <w:p>
      <w:pPr>
        <w:pStyle w:val="ListParagraph"/>
        <w:numPr>
          <w:ilvl w:val="0"/>
          <w:numId w:val="131"/>
        </w:numPr>
        <w:tabs>
          <w:tab w:pos="1336" w:val="left" w:leader="none"/>
          <w:tab w:pos="1337" w:val="left" w:leader="none"/>
        </w:tabs>
        <w:spacing w:line="240" w:lineRule="auto" w:before="85" w:after="0"/>
        <w:ind w:left="1324" w:right="0" w:hanging="708"/>
        <w:jc w:val="left"/>
        <w:rPr>
          <w:sz w:val="38"/>
        </w:rPr>
      </w:pPr>
      <w:r>
        <w:rPr>
          <w:sz w:val="38"/>
        </w:rPr>
        <w:t>Skin impurities</w:t>
      </w:r>
      <w:r>
        <w:rPr>
          <w:spacing w:val="1"/>
          <w:sz w:val="38"/>
        </w:rPr>
        <w:t> </w:t>
      </w:r>
      <w:r>
        <w:rPr>
          <w:sz w:val="38"/>
        </w:rPr>
        <w:t>(acne)</w:t>
      </w:r>
    </w:p>
    <w:p>
      <w:pPr>
        <w:pStyle w:val="ListParagraph"/>
        <w:numPr>
          <w:ilvl w:val="0"/>
          <w:numId w:val="131"/>
        </w:numPr>
        <w:tabs>
          <w:tab w:pos="1336" w:val="left" w:leader="none"/>
          <w:tab w:pos="1337" w:val="left" w:leader="none"/>
        </w:tabs>
        <w:spacing w:line="240" w:lineRule="auto" w:before="85" w:after="0"/>
        <w:ind w:left="1324" w:right="0" w:hanging="708"/>
        <w:jc w:val="left"/>
        <w:rPr>
          <w:sz w:val="38"/>
        </w:rPr>
      </w:pPr>
      <w:r>
        <w:rPr>
          <w:sz w:val="38"/>
        </w:rPr>
        <w:t>Diabetes</w:t>
      </w:r>
    </w:p>
    <w:p>
      <w:pPr>
        <w:pStyle w:val="ListParagraph"/>
        <w:numPr>
          <w:ilvl w:val="0"/>
          <w:numId w:val="131"/>
        </w:numPr>
        <w:tabs>
          <w:tab w:pos="1336" w:val="left" w:leader="none"/>
          <w:tab w:pos="1337" w:val="left" w:leader="none"/>
        </w:tabs>
        <w:spacing w:line="240" w:lineRule="auto" w:before="83" w:after="0"/>
        <w:ind w:left="1324" w:right="0" w:hanging="708"/>
        <w:jc w:val="left"/>
        <w:rPr>
          <w:sz w:val="38"/>
        </w:rPr>
      </w:pPr>
      <w:r>
        <w:rPr>
          <w:sz w:val="38"/>
        </w:rPr>
        <w:t>Cellulitis</w:t>
      </w:r>
    </w:p>
    <w:p>
      <w:pPr>
        <w:pStyle w:val="ListParagraph"/>
        <w:numPr>
          <w:ilvl w:val="0"/>
          <w:numId w:val="131"/>
        </w:numPr>
        <w:tabs>
          <w:tab w:pos="1336" w:val="left" w:leader="none"/>
          <w:tab w:pos="1337" w:val="left" w:leader="none"/>
        </w:tabs>
        <w:spacing w:line="240" w:lineRule="auto" w:before="86" w:after="0"/>
        <w:ind w:left="1324" w:right="0" w:hanging="708"/>
        <w:jc w:val="left"/>
        <w:rPr>
          <w:sz w:val="38"/>
        </w:rPr>
      </w:pPr>
      <w:r>
        <w:rPr>
          <w:sz w:val="38"/>
        </w:rPr>
        <w:t>Concentration problems</w:t>
      </w:r>
    </w:p>
    <w:p>
      <w:pPr>
        <w:pStyle w:val="ListParagraph"/>
        <w:numPr>
          <w:ilvl w:val="0"/>
          <w:numId w:val="131"/>
        </w:numPr>
        <w:tabs>
          <w:tab w:pos="1336" w:val="left" w:leader="none"/>
          <w:tab w:pos="1337" w:val="left" w:leader="none"/>
        </w:tabs>
        <w:spacing w:line="240" w:lineRule="auto" w:before="83" w:after="0"/>
        <w:ind w:left="1324" w:right="0" w:hanging="708"/>
        <w:jc w:val="left"/>
        <w:rPr>
          <w:sz w:val="38"/>
        </w:rPr>
      </w:pPr>
      <w:r>
        <w:rPr>
          <w:sz w:val="38"/>
        </w:rPr>
        <w:t>Infections</w:t>
      </w:r>
    </w:p>
    <w:p>
      <w:pPr>
        <w:pStyle w:val="ListParagraph"/>
        <w:numPr>
          <w:ilvl w:val="0"/>
          <w:numId w:val="131"/>
        </w:numPr>
        <w:tabs>
          <w:tab w:pos="1336" w:val="left" w:leader="none"/>
          <w:tab w:pos="1337" w:val="left" w:leader="none"/>
        </w:tabs>
        <w:spacing w:line="240" w:lineRule="auto" w:before="85" w:after="0"/>
        <w:ind w:left="1324" w:right="0" w:hanging="708"/>
        <w:jc w:val="left"/>
        <w:rPr>
          <w:sz w:val="38"/>
        </w:rPr>
      </w:pPr>
      <w:r>
        <w:rPr>
          <w:sz w:val="38"/>
        </w:rPr>
        <w:t>Muscle</w:t>
      </w:r>
      <w:r>
        <w:rPr>
          <w:spacing w:val="-1"/>
          <w:sz w:val="38"/>
        </w:rPr>
        <w:t> </w:t>
      </w:r>
      <w:r>
        <w:rPr>
          <w:sz w:val="38"/>
        </w:rPr>
        <w:t>cramps</w:t>
      </w:r>
    </w:p>
    <w:p>
      <w:pPr>
        <w:spacing w:after="0" w:line="240" w:lineRule="auto"/>
        <w:jc w:val="left"/>
        <w:rPr>
          <w:sz w:val="38"/>
        </w:rPr>
        <w:sectPr>
          <w:footerReference w:type="default" r:id="rId500"/>
          <w:pgSz w:w="14270" w:h="16850"/>
          <w:pgMar w:footer="1891" w:header="0" w:top="1320" w:bottom="2080" w:left="800" w:right="1280"/>
          <w:pgNumType w:start="1810"/>
        </w:sectPr>
      </w:pPr>
    </w:p>
    <w:p>
      <w:pPr>
        <w:pStyle w:val="ListParagraph"/>
        <w:numPr>
          <w:ilvl w:val="0"/>
          <w:numId w:val="131"/>
        </w:numPr>
        <w:tabs>
          <w:tab w:pos="1336" w:val="left" w:leader="none"/>
          <w:tab w:pos="1337" w:val="left" w:leader="none"/>
        </w:tabs>
        <w:spacing w:line="240" w:lineRule="auto" w:before="53" w:after="0"/>
        <w:ind w:left="1324" w:right="0" w:hanging="708"/>
        <w:jc w:val="left"/>
        <w:rPr>
          <w:sz w:val="38"/>
        </w:rPr>
      </w:pPr>
      <w:r>
        <w:rPr>
          <w:sz w:val="38"/>
        </w:rPr>
        <w:t>Joint</w:t>
      </w:r>
      <w:r>
        <w:rPr>
          <w:spacing w:val="-1"/>
          <w:sz w:val="38"/>
        </w:rPr>
        <w:t> </w:t>
      </w:r>
      <w:r>
        <w:rPr>
          <w:sz w:val="38"/>
        </w:rPr>
        <w:t>pain</w:t>
      </w:r>
    </w:p>
    <w:p>
      <w:pPr>
        <w:pStyle w:val="ListParagraph"/>
        <w:numPr>
          <w:ilvl w:val="0"/>
          <w:numId w:val="131"/>
        </w:numPr>
        <w:tabs>
          <w:tab w:pos="1336" w:val="left" w:leader="none"/>
          <w:tab w:pos="1337" w:val="left" w:leader="none"/>
        </w:tabs>
        <w:spacing w:line="240" w:lineRule="auto" w:before="86" w:after="0"/>
        <w:ind w:left="1324" w:right="0" w:hanging="708"/>
        <w:jc w:val="left"/>
        <w:rPr>
          <w:sz w:val="38"/>
        </w:rPr>
      </w:pPr>
      <w:r>
        <w:rPr>
          <w:sz w:val="38"/>
        </w:rPr>
        <w:t>High blood</w:t>
      </w:r>
      <w:r>
        <w:rPr>
          <w:spacing w:val="1"/>
          <w:sz w:val="38"/>
        </w:rPr>
        <w:t> </w:t>
      </w:r>
      <w:r>
        <w:rPr>
          <w:sz w:val="38"/>
        </w:rPr>
        <w:t>pressure</w:t>
      </w:r>
    </w:p>
    <w:p>
      <w:pPr>
        <w:pStyle w:val="Heading2"/>
        <w:spacing w:before="304"/>
        <w:ind w:left="616"/>
      </w:pPr>
      <w:r>
        <w:rPr/>
        <w:t>Am I acidic? </w:t>
      </w:r>
      <w:r>
        <w:rPr>
          <w:b w:val="0"/>
        </w:rPr>
        <w:t>– </w:t>
      </w:r>
      <w:r>
        <w:rPr/>
        <w:t>The objective pH test can tell you:</w:t>
      </w:r>
    </w:p>
    <w:p>
      <w:pPr>
        <w:pStyle w:val="BodyText"/>
        <w:spacing w:line="278" w:lineRule="auto" w:before="302"/>
        <w:ind w:left="616" w:right="68"/>
      </w:pPr>
      <w:r>
        <w:rPr/>
        <w:t>Symptoms may well be felt subjectively. In order to determine acid-base states fully objectively, obtain a package of pH test strips from your chemist.</w:t>
      </w:r>
    </w:p>
    <w:p>
      <w:pPr>
        <w:pStyle w:val="BodyText"/>
        <w:spacing w:line="276" w:lineRule="auto" w:before="232"/>
        <w:ind w:left="616" w:right="134"/>
        <w:jc w:val="both"/>
      </w:pPr>
      <w:r>
        <w:rPr/>
        <w:t>Use the test strips to measure your values on three consecutive days in the morning, afternoon and evening (place the strip in a cup of urine for a few seconds) and make a note of these. Then take the average value from these three</w:t>
      </w:r>
      <w:r>
        <w:rPr>
          <w:spacing w:val="-18"/>
        </w:rPr>
        <w:t> </w:t>
      </w:r>
      <w:r>
        <w:rPr/>
        <w:t>days</w:t>
      </w:r>
      <w:r>
        <w:rPr>
          <w:spacing w:val="-21"/>
        </w:rPr>
        <w:t> </w:t>
      </w:r>
      <w:r>
        <w:rPr/>
        <w:t>(add</w:t>
      </w:r>
      <w:r>
        <w:rPr>
          <w:spacing w:val="-19"/>
        </w:rPr>
        <w:t> </w:t>
      </w:r>
      <w:r>
        <w:rPr/>
        <w:t>them</w:t>
      </w:r>
      <w:r>
        <w:rPr>
          <w:spacing w:val="-19"/>
        </w:rPr>
        <w:t> </w:t>
      </w:r>
      <w:r>
        <w:rPr/>
        <w:t>together</w:t>
      </w:r>
      <w:r>
        <w:rPr>
          <w:spacing w:val="-19"/>
        </w:rPr>
        <w:t> </w:t>
      </w:r>
      <w:r>
        <w:rPr/>
        <w:t>and</w:t>
      </w:r>
      <w:r>
        <w:rPr>
          <w:spacing w:val="-18"/>
        </w:rPr>
        <w:t> </w:t>
      </w:r>
      <w:r>
        <w:rPr/>
        <w:t>divide</w:t>
      </w:r>
      <w:r>
        <w:rPr>
          <w:spacing w:val="-20"/>
        </w:rPr>
        <w:t> </w:t>
      </w:r>
      <w:r>
        <w:rPr/>
        <w:t>by</w:t>
      </w:r>
      <w:r>
        <w:rPr>
          <w:spacing w:val="-21"/>
        </w:rPr>
        <w:t> </w:t>
      </w:r>
      <w:r>
        <w:rPr/>
        <w:t>9)</w:t>
      </w:r>
      <w:r>
        <w:rPr>
          <w:spacing w:val="-19"/>
        </w:rPr>
        <w:t> </w:t>
      </w:r>
      <w:r>
        <w:rPr/>
        <w:t>and</w:t>
      </w:r>
      <w:r>
        <w:rPr>
          <w:spacing w:val="-19"/>
        </w:rPr>
        <w:t> </w:t>
      </w:r>
      <w:r>
        <w:rPr/>
        <w:t>you</w:t>
      </w:r>
      <w:r>
        <w:rPr>
          <w:spacing w:val="-19"/>
        </w:rPr>
        <w:t> </w:t>
      </w:r>
      <w:r>
        <w:rPr/>
        <w:t>will</w:t>
      </w:r>
      <w:r>
        <w:rPr>
          <w:spacing w:val="-20"/>
        </w:rPr>
        <w:t> </w:t>
      </w:r>
      <w:r>
        <w:rPr/>
        <w:t>have</w:t>
      </w:r>
      <w:r>
        <w:rPr>
          <w:spacing w:val="-19"/>
        </w:rPr>
        <w:t> </w:t>
      </w:r>
      <w:r>
        <w:rPr/>
        <w:t>a</w:t>
      </w:r>
      <w:r>
        <w:rPr>
          <w:spacing w:val="-21"/>
        </w:rPr>
        <w:t> </w:t>
      </w:r>
      <w:r>
        <w:rPr/>
        <w:t>fairly</w:t>
      </w:r>
      <w:r>
        <w:rPr>
          <w:spacing w:val="-19"/>
        </w:rPr>
        <w:t> </w:t>
      </w:r>
      <w:r>
        <w:rPr/>
        <w:t>precise evaluation of your acid-base</w:t>
      </w:r>
      <w:r>
        <w:rPr>
          <w:spacing w:val="2"/>
        </w:rPr>
        <w:t> </w:t>
      </w:r>
      <w:r>
        <w:rPr/>
        <w:t>balance!</w:t>
      </w:r>
    </w:p>
    <w:p>
      <w:pPr>
        <w:pStyle w:val="BodyText"/>
        <w:spacing w:line="276" w:lineRule="auto" w:before="240"/>
        <w:ind w:left="616"/>
      </w:pPr>
      <w:r>
        <w:rPr/>
        <w:t>The aim should be to permanently keep your average pH value in the base region (&gt;7)</w:t>
      </w:r>
    </w:p>
    <w:p>
      <w:pPr>
        <w:pStyle w:val="Heading2"/>
        <w:spacing w:before="242"/>
        <w:ind w:left="616"/>
      </w:pPr>
      <w:r>
        <w:rPr/>
        <w:t>Diseases from acidification</w:t>
      </w:r>
    </w:p>
    <w:p>
      <w:pPr>
        <w:pStyle w:val="BodyText"/>
        <w:spacing w:line="276" w:lineRule="auto" w:before="302"/>
        <w:ind w:left="616" w:right="131"/>
        <w:jc w:val="both"/>
      </w:pPr>
      <w:r>
        <w:rPr/>
        <w:t>There are different mechanisms, such as acidification and toxification, which lead directly and indirectly to various disease symptom and even life-threaten- ing illnesses in our organism. Certain illnesses prefer developing in the acidic region; conversely, these diseases acidify our bodies even more – a vicious cy- cle!</w:t>
      </w:r>
    </w:p>
    <w:p>
      <w:pPr>
        <w:pStyle w:val="Heading2"/>
        <w:spacing w:before="242"/>
        <w:ind w:left="616"/>
        <w:jc w:val="both"/>
      </w:pPr>
      <w:r>
        <w:rPr/>
        <w:t>Diseases from acidification</w:t>
      </w:r>
    </w:p>
    <w:p>
      <w:pPr>
        <w:spacing w:after="0"/>
        <w:jc w:val="both"/>
        <w:sectPr>
          <w:pgSz w:w="14270" w:h="16850"/>
          <w:pgMar w:header="0" w:footer="1891" w:top="1360" w:bottom="2080" w:left="800" w:right="1280"/>
        </w:sectPr>
      </w:pPr>
    </w:p>
    <w:p>
      <w:pPr>
        <w:pStyle w:val="BodyText"/>
        <w:spacing w:line="276" w:lineRule="auto" w:before="72"/>
        <w:ind w:left="616" w:right="140"/>
        <w:jc w:val="both"/>
      </w:pPr>
      <w:r>
        <w:rPr/>
        <w:t>Permanent acidification of the body is called acidosis. The following diseases are considered by experts to be a result of organism acidification.</w:t>
      </w:r>
    </w:p>
    <w:p>
      <w:pPr>
        <w:pStyle w:val="Heading1"/>
        <w:spacing w:before="226"/>
        <w:ind w:left="616"/>
      </w:pPr>
      <w:r>
        <w:rPr/>
        <w:t>Immune deficiency</w:t>
      </w:r>
    </w:p>
    <w:p>
      <w:pPr>
        <w:pStyle w:val="BodyText"/>
        <w:spacing w:line="276" w:lineRule="auto" w:before="297"/>
        <w:ind w:left="616" w:right="133"/>
        <w:jc w:val="both"/>
      </w:pPr>
      <w:r>
        <w:rPr/>
        <w:t>In an acidified state, the entire balance of our body (‘homeostasis’) begins to sway. An acidified body can no longer properly fulfil its complete immune function</w:t>
      </w:r>
      <w:r>
        <w:rPr>
          <w:spacing w:val="-11"/>
        </w:rPr>
        <w:t> </w:t>
      </w:r>
      <w:r>
        <w:rPr/>
        <w:t>and</w:t>
      </w:r>
      <w:r>
        <w:rPr>
          <w:spacing w:val="-10"/>
        </w:rPr>
        <w:t> </w:t>
      </w:r>
      <w:r>
        <w:rPr/>
        <w:t>it</w:t>
      </w:r>
      <w:r>
        <w:rPr>
          <w:spacing w:val="-12"/>
        </w:rPr>
        <w:t> </w:t>
      </w:r>
      <w:r>
        <w:rPr/>
        <w:t>reacts</w:t>
      </w:r>
      <w:r>
        <w:rPr>
          <w:spacing w:val="-10"/>
        </w:rPr>
        <w:t> </w:t>
      </w:r>
      <w:r>
        <w:rPr/>
        <w:t>with</w:t>
      </w:r>
      <w:r>
        <w:rPr>
          <w:spacing w:val="-10"/>
        </w:rPr>
        <w:t> </w:t>
      </w:r>
      <w:r>
        <w:rPr/>
        <w:t>slower</w:t>
      </w:r>
      <w:r>
        <w:rPr>
          <w:spacing w:val="-10"/>
        </w:rPr>
        <w:t> </w:t>
      </w:r>
      <w:r>
        <w:rPr/>
        <w:t>performance,</w:t>
      </w:r>
      <w:r>
        <w:rPr>
          <w:spacing w:val="-14"/>
        </w:rPr>
        <w:t> </w:t>
      </w:r>
      <w:r>
        <w:rPr/>
        <w:t>permanent</w:t>
      </w:r>
      <w:r>
        <w:rPr>
          <w:spacing w:val="-11"/>
        </w:rPr>
        <w:t> </w:t>
      </w:r>
      <w:r>
        <w:rPr/>
        <w:t>tiredness,</w:t>
      </w:r>
      <w:r>
        <w:rPr>
          <w:spacing w:val="-12"/>
        </w:rPr>
        <w:t> </w:t>
      </w:r>
      <w:r>
        <w:rPr/>
        <w:t>digestive problems and</w:t>
      </w:r>
      <w:r>
        <w:rPr>
          <w:spacing w:val="1"/>
        </w:rPr>
        <w:t> </w:t>
      </w:r>
      <w:r>
        <w:rPr/>
        <w:t>headaches.</w:t>
      </w:r>
    </w:p>
    <w:p>
      <w:pPr>
        <w:pStyle w:val="Heading1"/>
        <w:ind w:left="616"/>
      </w:pPr>
      <w:r>
        <w:rPr/>
        <w:t>AIDS (HIV)</w:t>
      </w:r>
    </w:p>
    <w:p>
      <w:pPr>
        <w:pStyle w:val="BodyText"/>
        <w:spacing w:line="276" w:lineRule="auto" w:before="300"/>
        <w:ind w:left="616" w:right="132"/>
        <w:jc w:val="both"/>
      </w:pPr>
      <w:r>
        <w:rPr/>
        <w:t>AIDS</w:t>
      </w:r>
      <w:r>
        <w:rPr>
          <w:spacing w:val="-25"/>
        </w:rPr>
        <w:t> </w:t>
      </w:r>
      <w:r>
        <w:rPr/>
        <w:t>patients</w:t>
      </w:r>
      <w:r>
        <w:rPr>
          <w:spacing w:val="-25"/>
        </w:rPr>
        <w:t> </w:t>
      </w:r>
      <w:r>
        <w:rPr/>
        <w:t>always</w:t>
      </w:r>
      <w:r>
        <w:rPr>
          <w:spacing w:val="-25"/>
        </w:rPr>
        <w:t> </w:t>
      </w:r>
      <w:r>
        <w:rPr/>
        <w:t>have</w:t>
      </w:r>
      <w:r>
        <w:rPr>
          <w:spacing w:val="-26"/>
        </w:rPr>
        <w:t> </w:t>
      </w:r>
      <w:r>
        <w:rPr/>
        <w:t>an</w:t>
      </w:r>
      <w:r>
        <w:rPr>
          <w:spacing w:val="-26"/>
        </w:rPr>
        <w:t> </w:t>
      </w:r>
      <w:r>
        <w:rPr/>
        <w:t>acidified</w:t>
      </w:r>
      <w:r>
        <w:rPr>
          <w:spacing w:val="-21"/>
        </w:rPr>
        <w:t> </w:t>
      </w:r>
      <w:r>
        <w:rPr/>
        <w:t>organism.</w:t>
      </w:r>
      <w:r>
        <w:rPr>
          <w:spacing w:val="-26"/>
        </w:rPr>
        <w:t> </w:t>
      </w:r>
      <w:r>
        <w:rPr/>
        <w:t>It</w:t>
      </w:r>
      <w:r>
        <w:rPr>
          <w:spacing w:val="-26"/>
        </w:rPr>
        <w:t> </w:t>
      </w:r>
      <w:r>
        <w:rPr/>
        <w:t>is</w:t>
      </w:r>
      <w:r>
        <w:rPr>
          <w:spacing w:val="-25"/>
        </w:rPr>
        <w:t> </w:t>
      </w:r>
      <w:r>
        <w:rPr/>
        <w:t>fundamentally</w:t>
      </w:r>
      <w:r>
        <w:rPr>
          <w:spacing w:val="-27"/>
        </w:rPr>
        <w:t> </w:t>
      </w:r>
      <w:r>
        <w:rPr/>
        <w:t>important here to deacidify the body in order to give the immune system (see ‘Immune deficiency’ above’) any chance at all of fighting against the HIV virus. Acids weaken</w:t>
      </w:r>
      <w:r>
        <w:rPr>
          <w:spacing w:val="-9"/>
        </w:rPr>
        <w:t> </w:t>
      </w:r>
      <w:r>
        <w:rPr/>
        <w:t>our</w:t>
      </w:r>
      <w:r>
        <w:rPr>
          <w:spacing w:val="-8"/>
        </w:rPr>
        <w:t> </w:t>
      </w:r>
      <w:r>
        <w:rPr/>
        <w:t>immune</w:t>
      </w:r>
      <w:r>
        <w:rPr>
          <w:spacing w:val="-8"/>
        </w:rPr>
        <w:t> </w:t>
      </w:r>
      <w:r>
        <w:rPr/>
        <w:t>system,</w:t>
      </w:r>
      <w:r>
        <w:rPr>
          <w:spacing w:val="-7"/>
        </w:rPr>
        <w:t> </w:t>
      </w:r>
      <w:r>
        <w:rPr/>
        <w:t>yet</w:t>
      </w:r>
      <w:r>
        <w:rPr>
          <w:spacing w:val="-11"/>
        </w:rPr>
        <w:t> </w:t>
      </w:r>
      <w:r>
        <w:rPr/>
        <w:t>in</w:t>
      </w:r>
      <w:r>
        <w:rPr>
          <w:spacing w:val="-8"/>
        </w:rPr>
        <w:t> </w:t>
      </w:r>
      <w:r>
        <w:rPr/>
        <w:t>diseases</w:t>
      </w:r>
      <w:r>
        <w:rPr>
          <w:spacing w:val="-9"/>
        </w:rPr>
        <w:t> </w:t>
      </w:r>
      <w:r>
        <w:rPr/>
        <w:t>such</w:t>
      </w:r>
      <w:r>
        <w:rPr>
          <w:spacing w:val="-10"/>
        </w:rPr>
        <w:t> </w:t>
      </w:r>
      <w:r>
        <w:rPr/>
        <w:t>as</w:t>
      </w:r>
      <w:r>
        <w:rPr>
          <w:spacing w:val="-9"/>
        </w:rPr>
        <w:t> </w:t>
      </w:r>
      <w:r>
        <w:rPr/>
        <w:t>AIDS,</w:t>
      </w:r>
      <w:r>
        <w:rPr>
          <w:spacing w:val="-7"/>
        </w:rPr>
        <w:t> </w:t>
      </w:r>
      <w:r>
        <w:rPr/>
        <w:t>it</w:t>
      </w:r>
      <w:r>
        <w:rPr>
          <w:spacing w:val="-10"/>
        </w:rPr>
        <w:t> </w:t>
      </w:r>
      <w:r>
        <w:rPr/>
        <w:t>must</w:t>
      </w:r>
      <w:r>
        <w:rPr>
          <w:spacing w:val="-11"/>
        </w:rPr>
        <w:t> </w:t>
      </w:r>
      <w:r>
        <w:rPr/>
        <w:t>be</w:t>
      </w:r>
      <w:r>
        <w:rPr>
          <w:spacing w:val="-8"/>
        </w:rPr>
        <w:t> </w:t>
      </w:r>
      <w:r>
        <w:rPr/>
        <w:t>strength- ened as much as</w:t>
      </w:r>
      <w:r>
        <w:rPr>
          <w:spacing w:val="-1"/>
        </w:rPr>
        <w:t> </w:t>
      </w:r>
      <w:r>
        <w:rPr/>
        <w:t>possible.</w:t>
      </w:r>
    </w:p>
    <w:p>
      <w:pPr>
        <w:pStyle w:val="Heading1"/>
        <w:spacing w:before="222"/>
        <w:ind w:left="616"/>
      </w:pPr>
      <w:r>
        <w:rPr/>
        <w:t>Allergies</w:t>
      </w:r>
    </w:p>
    <w:p>
      <w:pPr>
        <w:pStyle w:val="BodyText"/>
        <w:spacing w:line="276" w:lineRule="auto" w:before="300"/>
        <w:ind w:left="616" w:right="136"/>
        <w:jc w:val="both"/>
      </w:pPr>
      <w:r>
        <w:rPr/>
        <w:t>The hormone ‘histamine’ is distributed to de-acidify the organism. This hor- mone is distributed in all allergies and is considered the trigger for allergic re- actions. Therefore, in order to get allergies under control, it is clear that the acid levels in the body (pH value) need to first be brought into order before other measures can be introduced in order to prevent the distribution of the hormone ‘histamine’.</w:t>
      </w:r>
    </w:p>
    <w:p>
      <w:pPr>
        <w:spacing w:after="0" w:line="276" w:lineRule="auto"/>
        <w:jc w:val="both"/>
        <w:sectPr>
          <w:pgSz w:w="14270" w:h="16850"/>
          <w:pgMar w:header="0" w:footer="1891" w:top="1340" w:bottom="2080" w:left="800" w:right="1280"/>
        </w:sectPr>
      </w:pPr>
    </w:p>
    <w:p>
      <w:pPr>
        <w:pStyle w:val="Heading1"/>
        <w:spacing w:before="77"/>
        <w:ind w:left="616"/>
      </w:pPr>
      <w:r>
        <w:rPr/>
        <w:t>Ageing</w:t>
      </w:r>
    </w:p>
    <w:p>
      <w:pPr>
        <w:pStyle w:val="BodyText"/>
        <w:spacing w:line="276" w:lineRule="auto" w:before="299"/>
        <w:ind w:left="616" w:right="132"/>
        <w:jc w:val="both"/>
      </w:pPr>
      <w:r>
        <w:rPr/>
        <w:t>While we cannot do anything about chronological ageing, we can certainly do a lot about our biological ageing. According to many researchers, the main cause of ageing is acids and toxins which leave behind neutralised acids and which then accumulate inside the body. Furthermore, the neutralisation of</w:t>
      </w:r>
      <w:r>
        <w:rPr>
          <w:spacing w:val="-47"/>
        </w:rPr>
        <w:t> </w:t>
      </w:r>
      <w:r>
        <w:rPr/>
        <w:t>ac- ids</w:t>
      </w:r>
      <w:r>
        <w:rPr>
          <w:spacing w:val="-15"/>
        </w:rPr>
        <w:t> </w:t>
      </w:r>
      <w:r>
        <w:rPr/>
        <w:t>requires</w:t>
      </w:r>
      <w:r>
        <w:rPr>
          <w:spacing w:val="-14"/>
        </w:rPr>
        <w:t> </w:t>
      </w:r>
      <w:r>
        <w:rPr/>
        <w:t>the</w:t>
      </w:r>
      <w:r>
        <w:rPr>
          <w:spacing w:val="-14"/>
        </w:rPr>
        <w:t> </w:t>
      </w:r>
      <w:r>
        <w:rPr/>
        <w:t>demineralisation</w:t>
      </w:r>
      <w:r>
        <w:rPr>
          <w:spacing w:val="-12"/>
        </w:rPr>
        <w:t> </w:t>
      </w:r>
      <w:r>
        <w:rPr/>
        <w:t>of</w:t>
      </w:r>
      <w:r>
        <w:rPr>
          <w:spacing w:val="-15"/>
        </w:rPr>
        <w:t> </w:t>
      </w:r>
      <w:r>
        <w:rPr/>
        <w:t>our</w:t>
      </w:r>
      <w:r>
        <w:rPr>
          <w:spacing w:val="-15"/>
        </w:rPr>
        <w:t> </w:t>
      </w:r>
      <w:r>
        <w:rPr/>
        <w:t>organism,</w:t>
      </w:r>
      <w:r>
        <w:rPr>
          <w:spacing w:val="-14"/>
        </w:rPr>
        <w:t> </w:t>
      </w:r>
      <w:r>
        <w:rPr/>
        <w:t>meaning</w:t>
      </w:r>
      <w:r>
        <w:rPr>
          <w:spacing w:val="-14"/>
        </w:rPr>
        <w:t> </w:t>
      </w:r>
      <w:r>
        <w:rPr/>
        <w:t>the</w:t>
      </w:r>
      <w:r>
        <w:rPr>
          <w:spacing w:val="-14"/>
        </w:rPr>
        <w:t> </w:t>
      </w:r>
      <w:r>
        <w:rPr/>
        <w:t>skin,</w:t>
      </w:r>
      <w:r>
        <w:rPr>
          <w:spacing w:val="-14"/>
        </w:rPr>
        <w:t> </w:t>
      </w:r>
      <w:r>
        <w:rPr/>
        <w:t>hair,</w:t>
      </w:r>
      <w:r>
        <w:rPr>
          <w:spacing w:val="-14"/>
        </w:rPr>
        <w:t> </w:t>
      </w:r>
      <w:r>
        <w:rPr/>
        <w:t>nails, bones, teeth, joint cartilage, blood vessels and organs; both these in conjunc- tion lead to typical signs of ageing and premature wear and tear to the body = ageing.</w:t>
      </w:r>
    </w:p>
    <w:p>
      <w:pPr>
        <w:pStyle w:val="Heading1"/>
        <w:spacing w:before="222"/>
        <w:ind w:left="616"/>
      </w:pPr>
      <w:r>
        <w:rPr/>
        <w:t>Lack of drive</w:t>
      </w:r>
    </w:p>
    <w:p>
      <w:pPr>
        <w:pStyle w:val="BodyText"/>
        <w:spacing w:line="276" w:lineRule="auto" w:before="299"/>
        <w:ind w:left="616" w:right="132"/>
        <w:jc w:val="both"/>
      </w:pPr>
      <w:r>
        <w:rPr/>
        <w:t>Acidification of the organism leads to premature tiredness and an increased need for relaxation. The vegetative nerve system runs at full pace until it tires. Lack of drive is a typical symptom of an acidified body. Deacidification of</w:t>
      </w:r>
      <w:r>
        <w:rPr>
          <w:spacing w:val="-50"/>
        </w:rPr>
        <w:t> </w:t>
      </w:r>
      <w:r>
        <w:rPr/>
        <w:t>the body can bring about a completely new, energised attitude towards life in two to three</w:t>
      </w:r>
      <w:r>
        <w:rPr>
          <w:spacing w:val="1"/>
        </w:rPr>
        <w:t> </w:t>
      </w:r>
      <w:r>
        <w:rPr/>
        <w:t>days.</w:t>
      </w:r>
    </w:p>
    <w:p>
      <w:pPr>
        <w:pStyle w:val="Heading1"/>
        <w:spacing w:before="223"/>
        <w:ind w:left="616"/>
      </w:pPr>
      <w:r>
        <w:rPr/>
        <w:t>Arteriosclerosis</w:t>
      </w:r>
    </w:p>
    <w:p>
      <w:pPr>
        <w:pStyle w:val="BodyText"/>
        <w:spacing w:line="276" w:lineRule="auto" w:before="299"/>
        <w:ind w:left="616" w:right="136"/>
        <w:jc w:val="both"/>
      </w:pPr>
      <w:r>
        <w:rPr/>
        <w:t>Atreriosclerosis is considered the main cause of cardiovascular diseases. This in turn represents 50 % of all deaths in industrialised countries! The organism requires minerals for deacidification. As the calcium required for this is more readily available in blood vessels than the calcium in bones, the blood vessel calcium stores, which are immediately available, must be tapped into.</w:t>
      </w:r>
    </w:p>
    <w:p>
      <w:pPr>
        <w:spacing w:after="0" w:line="276" w:lineRule="auto"/>
        <w:jc w:val="both"/>
        <w:sectPr>
          <w:pgSz w:w="14270" w:h="16850"/>
          <w:pgMar w:header="0" w:footer="1891" w:top="1320" w:bottom="2080" w:left="800" w:right="1280"/>
        </w:sectPr>
      </w:pPr>
    </w:p>
    <w:p>
      <w:pPr>
        <w:pStyle w:val="BodyText"/>
        <w:spacing w:line="276" w:lineRule="auto" w:before="74"/>
        <w:ind w:left="616" w:right="133"/>
        <w:jc w:val="both"/>
      </w:pPr>
      <w:r>
        <w:rPr/>
        <w:t>Thus,</w:t>
      </w:r>
      <w:r>
        <w:rPr>
          <w:spacing w:val="-11"/>
        </w:rPr>
        <w:t> </w:t>
      </w:r>
      <w:r>
        <w:rPr/>
        <w:t>the</w:t>
      </w:r>
      <w:r>
        <w:rPr>
          <w:spacing w:val="-11"/>
        </w:rPr>
        <w:t> </w:t>
      </w:r>
      <w:r>
        <w:rPr/>
        <w:t>body</w:t>
      </w:r>
      <w:r>
        <w:rPr>
          <w:spacing w:val="-11"/>
        </w:rPr>
        <w:t> </w:t>
      </w:r>
      <w:r>
        <w:rPr/>
        <w:t>taps</w:t>
      </w:r>
      <w:r>
        <w:rPr>
          <w:spacing w:val="-11"/>
        </w:rPr>
        <w:t> </w:t>
      </w:r>
      <w:r>
        <w:rPr/>
        <w:t>calcium</w:t>
      </w:r>
      <w:r>
        <w:rPr>
          <w:spacing w:val="-12"/>
        </w:rPr>
        <w:t> </w:t>
      </w:r>
      <w:r>
        <w:rPr/>
        <w:t>from</w:t>
      </w:r>
      <w:r>
        <w:rPr>
          <w:spacing w:val="-11"/>
        </w:rPr>
        <w:t> </w:t>
      </w:r>
      <w:r>
        <w:rPr/>
        <w:t>the</w:t>
      </w:r>
      <w:r>
        <w:rPr>
          <w:spacing w:val="-11"/>
        </w:rPr>
        <w:t> </w:t>
      </w:r>
      <w:r>
        <w:rPr/>
        <w:t>mineral-rich</w:t>
      </w:r>
      <w:r>
        <w:rPr>
          <w:spacing w:val="-11"/>
        </w:rPr>
        <w:t> </w:t>
      </w:r>
      <w:r>
        <w:rPr/>
        <w:t>intima</w:t>
      </w:r>
      <w:r>
        <w:rPr>
          <w:spacing w:val="-12"/>
        </w:rPr>
        <w:t> </w:t>
      </w:r>
      <w:r>
        <w:rPr/>
        <w:t>(inner</w:t>
      </w:r>
      <w:r>
        <w:rPr>
          <w:spacing w:val="-11"/>
        </w:rPr>
        <w:t> </w:t>
      </w:r>
      <w:r>
        <w:rPr/>
        <w:t>layer</w:t>
      </w:r>
      <w:r>
        <w:rPr>
          <w:spacing w:val="-11"/>
        </w:rPr>
        <w:t> </w:t>
      </w:r>
      <w:r>
        <w:rPr/>
        <w:t>of</w:t>
      </w:r>
      <w:r>
        <w:rPr>
          <w:spacing w:val="-10"/>
        </w:rPr>
        <w:t> </w:t>
      </w:r>
      <w:r>
        <w:rPr/>
        <w:t>blood vessels), thereby destroying them. This results in the tiniest</w:t>
      </w:r>
      <w:r>
        <w:rPr>
          <w:spacing w:val="-9"/>
        </w:rPr>
        <w:t> </w:t>
      </w:r>
      <w:r>
        <w:rPr/>
        <w:t>micro-lesions.</w:t>
      </w:r>
    </w:p>
    <w:p>
      <w:pPr>
        <w:pStyle w:val="BodyText"/>
        <w:spacing w:line="276" w:lineRule="auto" w:before="239"/>
        <w:ind w:left="616" w:right="132"/>
        <w:jc w:val="both"/>
      </w:pPr>
      <w:r>
        <w:rPr/>
        <w:t>In order to avert further damage, the body produces increased levels of cho- lesterol in reaction to this, which are intended to patch up the lesions. Instead of</w:t>
      </w:r>
      <w:r>
        <w:rPr>
          <w:spacing w:val="-11"/>
        </w:rPr>
        <w:t> </w:t>
      </w:r>
      <w:r>
        <w:rPr/>
        <w:t>restoring</w:t>
      </w:r>
      <w:r>
        <w:rPr>
          <w:spacing w:val="-14"/>
        </w:rPr>
        <w:t> </w:t>
      </w:r>
      <w:r>
        <w:rPr/>
        <w:t>calcium</w:t>
      </w:r>
      <w:r>
        <w:rPr>
          <w:spacing w:val="-11"/>
        </w:rPr>
        <w:t> </w:t>
      </w:r>
      <w:r>
        <w:rPr/>
        <w:t>in</w:t>
      </w:r>
      <w:r>
        <w:rPr>
          <w:spacing w:val="-12"/>
        </w:rPr>
        <w:t> </w:t>
      </w:r>
      <w:r>
        <w:rPr/>
        <w:t>the</w:t>
      </w:r>
      <w:r>
        <w:rPr>
          <w:spacing w:val="-11"/>
        </w:rPr>
        <w:t> </w:t>
      </w:r>
      <w:r>
        <w:rPr/>
        <w:t>blood</w:t>
      </w:r>
      <w:r>
        <w:rPr>
          <w:spacing w:val="-15"/>
        </w:rPr>
        <w:t> </w:t>
      </w:r>
      <w:r>
        <w:rPr/>
        <w:t>vessels,</w:t>
      </w:r>
      <w:r>
        <w:rPr>
          <w:spacing w:val="-11"/>
        </w:rPr>
        <w:t> </w:t>
      </w:r>
      <w:r>
        <w:rPr/>
        <w:t>acidic</w:t>
      </w:r>
      <w:r>
        <w:rPr>
          <w:spacing w:val="-13"/>
        </w:rPr>
        <w:t> </w:t>
      </w:r>
      <w:r>
        <w:rPr/>
        <w:t>cholesterol</w:t>
      </w:r>
      <w:r>
        <w:rPr>
          <w:spacing w:val="-11"/>
        </w:rPr>
        <w:t> </w:t>
      </w:r>
      <w:r>
        <w:rPr/>
        <w:t>is</w:t>
      </w:r>
      <w:r>
        <w:rPr>
          <w:spacing w:val="-12"/>
        </w:rPr>
        <w:t> </w:t>
      </w:r>
      <w:r>
        <w:rPr/>
        <w:t>drawn</w:t>
      </w:r>
      <w:r>
        <w:rPr>
          <w:spacing w:val="-11"/>
        </w:rPr>
        <w:t> </w:t>
      </w:r>
      <w:r>
        <w:rPr/>
        <w:t>in.</w:t>
      </w:r>
      <w:r>
        <w:rPr>
          <w:spacing w:val="-12"/>
        </w:rPr>
        <w:t> </w:t>
      </w:r>
      <w:r>
        <w:rPr/>
        <w:t>Unfor- tunately, this clogs the arteries bit by bit – arteriosclerosis, calcification and clotting begins in the blood vessels. If the blood flow to the heart is hindered by</w:t>
      </w:r>
      <w:r>
        <w:rPr>
          <w:spacing w:val="-14"/>
        </w:rPr>
        <w:t> </w:t>
      </w:r>
      <w:r>
        <w:rPr/>
        <w:t>this</w:t>
      </w:r>
      <w:r>
        <w:rPr>
          <w:spacing w:val="-12"/>
        </w:rPr>
        <w:t> </w:t>
      </w:r>
      <w:r>
        <w:rPr/>
        <w:t>calcification</w:t>
      </w:r>
      <w:r>
        <w:rPr>
          <w:spacing w:val="-13"/>
        </w:rPr>
        <w:t> </w:t>
      </w:r>
      <w:r>
        <w:rPr/>
        <w:t>and</w:t>
      </w:r>
      <w:r>
        <w:rPr>
          <w:spacing w:val="-13"/>
        </w:rPr>
        <w:t> </w:t>
      </w:r>
      <w:r>
        <w:rPr/>
        <w:t>clotting,</w:t>
      </w:r>
      <w:r>
        <w:rPr>
          <w:spacing w:val="-15"/>
        </w:rPr>
        <w:t> </w:t>
      </w:r>
      <w:r>
        <w:rPr/>
        <w:t>a</w:t>
      </w:r>
      <w:r>
        <w:rPr>
          <w:spacing w:val="-14"/>
        </w:rPr>
        <w:t> </w:t>
      </w:r>
      <w:r>
        <w:rPr/>
        <w:t>heart</w:t>
      </w:r>
      <w:r>
        <w:rPr>
          <w:spacing w:val="-14"/>
        </w:rPr>
        <w:t> </w:t>
      </w:r>
      <w:r>
        <w:rPr/>
        <w:t>attack</w:t>
      </w:r>
      <w:r>
        <w:rPr>
          <w:spacing w:val="-13"/>
        </w:rPr>
        <w:t> </w:t>
      </w:r>
      <w:r>
        <w:rPr/>
        <w:t>occurs</w:t>
      </w:r>
      <w:r>
        <w:rPr>
          <w:spacing w:val="-12"/>
        </w:rPr>
        <w:t> </w:t>
      </w:r>
      <w:r>
        <w:rPr/>
        <w:t>–</w:t>
      </w:r>
      <w:r>
        <w:rPr>
          <w:spacing w:val="-14"/>
        </w:rPr>
        <w:t> </w:t>
      </w:r>
      <w:r>
        <w:rPr/>
        <w:t>in</w:t>
      </w:r>
      <w:r>
        <w:rPr>
          <w:spacing w:val="-13"/>
        </w:rPr>
        <w:t> </w:t>
      </w:r>
      <w:r>
        <w:rPr/>
        <w:t>the</w:t>
      </w:r>
      <w:r>
        <w:rPr>
          <w:spacing w:val="-12"/>
        </w:rPr>
        <w:t> </w:t>
      </w:r>
      <w:r>
        <w:rPr/>
        <w:t>case</w:t>
      </w:r>
      <w:r>
        <w:rPr>
          <w:spacing w:val="-14"/>
        </w:rPr>
        <w:t> </w:t>
      </w:r>
      <w:r>
        <w:rPr/>
        <w:t>of</w:t>
      </w:r>
      <w:r>
        <w:rPr>
          <w:spacing w:val="-13"/>
        </w:rPr>
        <w:t> </w:t>
      </w:r>
      <w:r>
        <w:rPr/>
        <w:t>inhibited blood flow to the brain, the person suffers a stroke</w:t>
      </w:r>
      <w:r>
        <w:rPr>
          <w:spacing w:val="3"/>
        </w:rPr>
        <w:t> </w:t>
      </w:r>
      <w:r>
        <w:rPr/>
        <w:t>.</w:t>
      </w:r>
    </w:p>
    <w:p>
      <w:pPr>
        <w:pStyle w:val="Heading1"/>
        <w:spacing w:before="223"/>
        <w:ind w:left="616"/>
      </w:pPr>
      <w:r>
        <w:rPr/>
        <w:t>Arthritis</w:t>
      </w:r>
    </w:p>
    <w:p>
      <w:pPr>
        <w:pStyle w:val="BodyText"/>
        <w:spacing w:line="276" w:lineRule="auto" w:before="299"/>
        <w:ind w:left="616" w:right="135"/>
        <w:jc w:val="both"/>
      </w:pPr>
      <w:r>
        <w:rPr/>
        <w:t>Many researchers believe the reason for arthritis is acidification of the organ- ism.</w:t>
      </w:r>
      <w:r>
        <w:rPr>
          <w:spacing w:val="-12"/>
        </w:rPr>
        <w:t> </w:t>
      </w:r>
      <w:r>
        <w:rPr/>
        <w:t>According</w:t>
      </w:r>
      <w:r>
        <w:rPr>
          <w:spacing w:val="-12"/>
        </w:rPr>
        <w:t> </w:t>
      </w:r>
      <w:r>
        <w:rPr/>
        <w:t>to</w:t>
      </w:r>
      <w:r>
        <w:rPr>
          <w:spacing w:val="-11"/>
        </w:rPr>
        <w:t> </w:t>
      </w:r>
      <w:r>
        <w:rPr/>
        <w:t>these</w:t>
      </w:r>
      <w:r>
        <w:rPr>
          <w:spacing w:val="-12"/>
        </w:rPr>
        <w:t> </w:t>
      </w:r>
      <w:r>
        <w:rPr/>
        <w:t>researchers,</w:t>
      </w:r>
      <w:r>
        <w:rPr>
          <w:spacing w:val="-10"/>
        </w:rPr>
        <w:t> </w:t>
      </w:r>
      <w:r>
        <w:rPr/>
        <w:t>rheumatoid</w:t>
      </w:r>
      <w:r>
        <w:rPr>
          <w:spacing w:val="-13"/>
        </w:rPr>
        <w:t> </w:t>
      </w:r>
      <w:r>
        <w:rPr/>
        <w:t>arthritis</w:t>
      </w:r>
      <w:r>
        <w:rPr>
          <w:spacing w:val="-12"/>
        </w:rPr>
        <w:t> </w:t>
      </w:r>
      <w:r>
        <w:rPr/>
        <w:t>results</w:t>
      </w:r>
      <w:r>
        <w:rPr>
          <w:spacing w:val="-13"/>
        </w:rPr>
        <w:t> </w:t>
      </w:r>
      <w:r>
        <w:rPr/>
        <w:t>if</w:t>
      </w:r>
      <w:r>
        <w:rPr>
          <w:spacing w:val="-12"/>
        </w:rPr>
        <w:t> </w:t>
      </w:r>
      <w:r>
        <w:rPr/>
        <w:t>the</w:t>
      </w:r>
      <w:r>
        <w:rPr>
          <w:spacing w:val="-12"/>
        </w:rPr>
        <w:t> </w:t>
      </w:r>
      <w:r>
        <w:rPr/>
        <w:t>synovial membrane</w:t>
      </w:r>
      <w:r>
        <w:rPr>
          <w:spacing w:val="-24"/>
        </w:rPr>
        <w:t> </w:t>
      </w:r>
      <w:r>
        <w:rPr/>
        <w:t>is</w:t>
      </w:r>
      <w:r>
        <w:rPr>
          <w:spacing w:val="-25"/>
        </w:rPr>
        <w:t> </w:t>
      </w:r>
      <w:r>
        <w:rPr/>
        <w:t>drawn</w:t>
      </w:r>
      <w:r>
        <w:rPr>
          <w:spacing w:val="-24"/>
        </w:rPr>
        <w:t> </w:t>
      </w:r>
      <w:r>
        <w:rPr/>
        <w:t>upon</w:t>
      </w:r>
      <w:r>
        <w:rPr>
          <w:spacing w:val="-24"/>
        </w:rPr>
        <w:t> </w:t>
      </w:r>
      <w:r>
        <w:rPr/>
        <w:t>to</w:t>
      </w:r>
      <w:r>
        <w:rPr>
          <w:spacing w:val="-26"/>
        </w:rPr>
        <w:t> </w:t>
      </w:r>
      <w:r>
        <w:rPr/>
        <w:t>neutralise</w:t>
      </w:r>
      <w:r>
        <w:rPr>
          <w:spacing w:val="-25"/>
        </w:rPr>
        <w:t> </w:t>
      </w:r>
      <w:r>
        <w:rPr/>
        <w:t>acids,</w:t>
      </w:r>
      <w:r>
        <w:rPr>
          <w:spacing w:val="-24"/>
        </w:rPr>
        <w:t> </w:t>
      </w:r>
      <w:r>
        <w:rPr/>
        <w:t>because</w:t>
      </w:r>
      <w:r>
        <w:rPr>
          <w:spacing w:val="-25"/>
        </w:rPr>
        <w:t> </w:t>
      </w:r>
      <w:r>
        <w:rPr/>
        <w:t>the</w:t>
      </w:r>
      <w:r>
        <w:rPr>
          <w:spacing w:val="-23"/>
        </w:rPr>
        <w:t> </w:t>
      </w:r>
      <w:r>
        <w:rPr/>
        <w:t>body</w:t>
      </w:r>
      <w:r>
        <w:rPr>
          <w:spacing w:val="-27"/>
        </w:rPr>
        <w:t> </w:t>
      </w:r>
      <w:r>
        <w:rPr/>
        <w:t>does</w:t>
      </w:r>
      <w:r>
        <w:rPr>
          <w:spacing w:val="-25"/>
        </w:rPr>
        <w:t> </w:t>
      </w:r>
      <w:r>
        <w:rPr/>
        <w:t>not</w:t>
      </w:r>
      <w:r>
        <w:rPr>
          <w:spacing w:val="-27"/>
        </w:rPr>
        <w:t> </w:t>
      </w:r>
      <w:r>
        <w:rPr/>
        <w:t>receive sufficient</w:t>
      </w:r>
      <w:r>
        <w:rPr>
          <w:spacing w:val="-15"/>
        </w:rPr>
        <w:t> </w:t>
      </w:r>
      <w:r>
        <w:rPr/>
        <w:t>minerals</w:t>
      </w:r>
      <w:r>
        <w:rPr>
          <w:spacing w:val="-15"/>
        </w:rPr>
        <w:t> </w:t>
      </w:r>
      <w:r>
        <w:rPr/>
        <w:t>from</w:t>
      </w:r>
      <w:r>
        <w:rPr>
          <w:spacing w:val="-14"/>
        </w:rPr>
        <w:t> </w:t>
      </w:r>
      <w:r>
        <w:rPr/>
        <w:t>foodstuffs.</w:t>
      </w:r>
      <w:r>
        <w:rPr>
          <w:spacing w:val="-15"/>
        </w:rPr>
        <w:t> </w:t>
      </w:r>
      <w:r>
        <w:rPr/>
        <w:t>The</w:t>
      </w:r>
      <w:r>
        <w:rPr>
          <w:spacing w:val="-14"/>
        </w:rPr>
        <w:t> </w:t>
      </w:r>
      <w:r>
        <w:rPr/>
        <w:t>synovial</w:t>
      </w:r>
      <w:r>
        <w:rPr>
          <w:spacing w:val="-17"/>
        </w:rPr>
        <w:t> </w:t>
      </w:r>
      <w:r>
        <w:rPr/>
        <w:t>membrane</w:t>
      </w:r>
      <w:r>
        <w:rPr>
          <w:spacing w:val="-15"/>
        </w:rPr>
        <w:t> </w:t>
      </w:r>
      <w:r>
        <w:rPr/>
        <w:t>structure</w:t>
      </w:r>
      <w:r>
        <w:rPr>
          <w:spacing w:val="-14"/>
        </w:rPr>
        <w:t> </w:t>
      </w:r>
      <w:r>
        <w:rPr/>
        <w:t>changes and is no longer recognised by the body as its own – from this point, the im- mune system directs its defences against the foreign synovial membrane and</w:t>
      </w:r>
      <w:r>
        <w:rPr>
          <w:spacing w:val="-35"/>
        </w:rPr>
        <w:t> </w:t>
      </w:r>
      <w:r>
        <w:rPr/>
        <w:t>a destructive inflammation process begins: arthritis. The basis for a treatment should be the deacidification of the body which enables a base pH value (ap- prox. 7.5). In addition to alkaline-rich foodstuffs and the intake of minerals, it is also recommended to take regular alkaline baths of &gt;2 hours, a pH value</w:t>
      </w:r>
      <w:r>
        <w:rPr>
          <w:spacing w:val="-46"/>
        </w:rPr>
        <w:t> </w:t>
      </w:r>
      <w:r>
        <w:rPr/>
        <w:t>of</w:t>
      </w:r>
    </w:p>
    <w:p>
      <w:pPr>
        <w:pStyle w:val="BodyText"/>
        <w:spacing w:before="3"/>
        <w:ind w:left="616"/>
        <w:jc w:val="both"/>
      </w:pPr>
      <w:r>
        <w:rPr/>
        <w:t>&gt;7.5 (7.5-8.5) and a water temperature of 35–38 °C.</w:t>
      </w:r>
    </w:p>
    <w:p>
      <w:pPr>
        <w:spacing w:after="0"/>
        <w:jc w:val="both"/>
        <w:sectPr>
          <w:pgSz w:w="14270" w:h="16850"/>
          <w:pgMar w:header="0" w:footer="1891" w:top="1340" w:bottom="2080" w:left="800" w:right="1280"/>
        </w:sectPr>
      </w:pPr>
    </w:p>
    <w:p>
      <w:pPr>
        <w:pStyle w:val="Heading1"/>
        <w:spacing w:before="77"/>
        <w:ind w:left="616"/>
        <w:jc w:val="both"/>
      </w:pPr>
      <w:r>
        <w:rPr/>
        <w:t>Arthrosis</w:t>
      </w:r>
    </w:p>
    <w:p>
      <w:pPr>
        <w:pStyle w:val="BodyText"/>
        <w:spacing w:line="276" w:lineRule="auto" w:before="299"/>
        <w:ind w:left="616" w:right="132"/>
        <w:jc w:val="both"/>
      </w:pPr>
      <w:r>
        <w:rPr/>
        <w:t>Whether a slipped disc or arthrosis – the mechanisms are always the same: In order</w:t>
      </w:r>
      <w:r>
        <w:rPr>
          <w:spacing w:val="-10"/>
        </w:rPr>
        <w:t> </w:t>
      </w:r>
      <w:r>
        <w:rPr/>
        <w:t>to</w:t>
      </w:r>
      <w:r>
        <w:rPr>
          <w:spacing w:val="-10"/>
        </w:rPr>
        <w:t> </w:t>
      </w:r>
      <w:r>
        <w:rPr/>
        <w:t>neutralise</w:t>
      </w:r>
      <w:r>
        <w:rPr>
          <w:spacing w:val="-9"/>
        </w:rPr>
        <w:t> </w:t>
      </w:r>
      <w:r>
        <w:rPr/>
        <w:t>acids,</w:t>
      </w:r>
      <w:r>
        <w:rPr>
          <w:spacing w:val="-10"/>
        </w:rPr>
        <w:t> </w:t>
      </w:r>
      <w:r>
        <w:rPr/>
        <w:t>the</w:t>
      </w:r>
      <w:r>
        <w:rPr>
          <w:spacing w:val="-9"/>
        </w:rPr>
        <w:t> </w:t>
      </w:r>
      <w:r>
        <w:rPr/>
        <w:t>body</w:t>
      </w:r>
      <w:r>
        <w:rPr>
          <w:spacing w:val="-9"/>
        </w:rPr>
        <w:t> </w:t>
      </w:r>
      <w:r>
        <w:rPr/>
        <w:t>taps</w:t>
      </w:r>
      <w:r>
        <w:rPr>
          <w:spacing w:val="-9"/>
        </w:rPr>
        <w:t> </w:t>
      </w:r>
      <w:r>
        <w:rPr/>
        <w:t>minerals</w:t>
      </w:r>
      <w:r>
        <w:rPr>
          <w:spacing w:val="-10"/>
        </w:rPr>
        <w:t> </w:t>
      </w:r>
      <w:r>
        <w:rPr/>
        <w:t>from</w:t>
      </w:r>
      <w:r>
        <w:rPr>
          <w:spacing w:val="-9"/>
        </w:rPr>
        <w:t> </w:t>
      </w:r>
      <w:r>
        <w:rPr/>
        <w:t>the</w:t>
      </w:r>
      <w:r>
        <w:rPr>
          <w:spacing w:val="-9"/>
        </w:rPr>
        <w:t> </w:t>
      </w:r>
      <w:r>
        <w:rPr/>
        <w:t>joint</w:t>
      </w:r>
      <w:r>
        <w:rPr>
          <w:spacing w:val="-11"/>
        </w:rPr>
        <w:t> </w:t>
      </w:r>
      <w:r>
        <w:rPr/>
        <w:t>cartilage</w:t>
      </w:r>
      <w:r>
        <w:rPr>
          <w:spacing w:val="-10"/>
        </w:rPr>
        <w:t> </w:t>
      </w:r>
      <w:r>
        <w:rPr/>
        <w:t>(in</w:t>
      </w:r>
      <w:r>
        <w:rPr>
          <w:spacing w:val="-10"/>
        </w:rPr>
        <w:t> </w:t>
      </w:r>
      <w:r>
        <w:rPr/>
        <w:t>the case of a slipped disc, from the disc) required for neutralisation. The synovial fluid changes its consistency through alkaline absorption and becomes more viscous, toxic crystal deposits and the viscous synovia form an ‘abrasive’ mass which initially leads to loss of function in the course of the process towards the</w:t>
      </w:r>
      <w:r>
        <w:rPr>
          <w:spacing w:val="-17"/>
        </w:rPr>
        <w:t> </w:t>
      </w:r>
      <w:r>
        <w:rPr/>
        <w:t>demise</w:t>
      </w:r>
      <w:r>
        <w:rPr>
          <w:spacing w:val="-19"/>
        </w:rPr>
        <w:t> </w:t>
      </w:r>
      <w:r>
        <w:rPr/>
        <w:t>of</w:t>
      </w:r>
      <w:r>
        <w:rPr>
          <w:spacing w:val="-18"/>
        </w:rPr>
        <w:t> </w:t>
      </w:r>
      <w:r>
        <w:rPr/>
        <w:t>the</w:t>
      </w:r>
      <w:r>
        <w:rPr>
          <w:spacing w:val="-16"/>
        </w:rPr>
        <w:t> </w:t>
      </w:r>
      <w:r>
        <w:rPr/>
        <w:t>joint</w:t>
      </w:r>
      <w:r>
        <w:rPr>
          <w:spacing w:val="-18"/>
        </w:rPr>
        <w:t> </w:t>
      </w:r>
      <w:r>
        <w:rPr/>
        <w:t>cartilage</w:t>
      </w:r>
      <w:r>
        <w:rPr>
          <w:spacing w:val="-18"/>
        </w:rPr>
        <w:t> </w:t>
      </w:r>
      <w:r>
        <w:rPr/>
        <w:t>(or</w:t>
      </w:r>
      <w:r>
        <w:rPr>
          <w:spacing w:val="-16"/>
        </w:rPr>
        <w:t> </w:t>
      </w:r>
      <w:r>
        <w:rPr/>
        <w:t>the</w:t>
      </w:r>
      <w:r>
        <w:rPr>
          <w:spacing w:val="-20"/>
        </w:rPr>
        <w:t> </w:t>
      </w:r>
      <w:r>
        <w:rPr/>
        <w:t>disc</w:t>
      </w:r>
      <w:r>
        <w:rPr>
          <w:spacing w:val="-17"/>
        </w:rPr>
        <w:t> </w:t>
      </w:r>
      <w:r>
        <w:rPr/>
        <w:t>in</w:t>
      </w:r>
      <w:r>
        <w:rPr>
          <w:spacing w:val="-19"/>
        </w:rPr>
        <w:t> </w:t>
      </w:r>
      <w:r>
        <w:rPr/>
        <w:t>the</w:t>
      </w:r>
      <w:r>
        <w:rPr>
          <w:spacing w:val="-20"/>
        </w:rPr>
        <w:t> </w:t>
      </w:r>
      <w:r>
        <w:rPr/>
        <w:t>case</w:t>
      </w:r>
      <w:r>
        <w:rPr>
          <w:spacing w:val="-19"/>
        </w:rPr>
        <w:t> </w:t>
      </w:r>
      <w:r>
        <w:rPr/>
        <w:t>of</w:t>
      </w:r>
      <w:r>
        <w:rPr>
          <w:spacing w:val="-17"/>
        </w:rPr>
        <w:t> </w:t>
      </w:r>
      <w:r>
        <w:rPr/>
        <w:t>a</w:t>
      </w:r>
      <w:r>
        <w:rPr>
          <w:spacing w:val="-21"/>
        </w:rPr>
        <w:t> </w:t>
      </w:r>
      <w:r>
        <w:rPr/>
        <w:t>slipped</w:t>
      </w:r>
      <w:r>
        <w:rPr>
          <w:spacing w:val="-23"/>
        </w:rPr>
        <w:t> </w:t>
      </w:r>
      <w:r>
        <w:rPr/>
        <w:t>disc)</w:t>
      </w:r>
      <w:r>
        <w:rPr>
          <w:spacing w:val="-17"/>
        </w:rPr>
        <w:t> </w:t>
      </w:r>
      <w:r>
        <w:rPr/>
        <w:t>known as</w:t>
      </w:r>
      <w:r>
        <w:rPr>
          <w:spacing w:val="-1"/>
        </w:rPr>
        <w:t> </w:t>
      </w:r>
      <w:r>
        <w:rPr/>
        <w:t>arthrosis.</w:t>
      </w:r>
    </w:p>
    <w:p>
      <w:pPr>
        <w:pStyle w:val="BodyText"/>
        <w:spacing w:line="276" w:lineRule="auto" w:before="239"/>
        <w:ind w:left="616" w:right="134"/>
        <w:jc w:val="both"/>
      </w:pPr>
      <w:r>
        <w:rPr/>
        <w:t>The aim of the treatment here must be to de-acidify the body, then re-miner- alise the cartilage with collagen-constructing vitamins and supply nutrients such as vitamin C, glucosamine and chondroitin.</w:t>
      </w:r>
    </w:p>
    <w:p>
      <w:pPr>
        <w:pStyle w:val="Heading1"/>
        <w:ind w:left="616"/>
        <w:jc w:val="both"/>
      </w:pPr>
      <w:r>
        <w:rPr/>
        <w:t>Asthma</w:t>
      </w:r>
    </w:p>
    <w:p>
      <w:pPr>
        <w:pStyle w:val="BodyText"/>
        <w:spacing w:line="276" w:lineRule="auto" w:before="300"/>
        <w:ind w:left="616" w:right="132"/>
        <w:jc w:val="both"/>
      </w:pPr>
      <w:r>
        <w:rPr/>
        <w:t>Due to acidification, the allergy asthma releases the hormone ‘histamine’ and leads</w:t>
      </w:r>
      <w:r>
        <w:rPr>
          <w:spacing w:val="-23"/>
        </w:rPr>
        <w:t> </w:t>
      </w:r>
      <w:r>
        <w:rPr/>
        <w:t>to</w:t>
      </w:r>
      <w:r>
        <w:rPr>
          <w:spacing w:val="-23"/>
        </w:rPr>
        <w:t> </w:t>
      </w:r>
      <w:r>
        <w:rPr/>
        <w:t>paralysis</w:t>
      </w:r>
      <w:r>
        <w:rPr>
          <w:spacing w:val="-22"/>
        </w:rPr>
        <w:t> </w:t>
      </w:r>
      <w:r>
        <w:rPr/>
        <w:t>of</w:t>
      </w:r>
      <w:r>
        <w:rPr>
          <w:spacing w:val="-23"/>
        </w:rPr>
        <w:t> </w:t>
      </w:r>
      <w:r>
        <w:rPr/>
        <w:t>the</w:t>
      </w:r>
      <w:r>
        <w:rPr>
          <w:spacing w:val="-23"/>
        </w:rPr>
        <w:t> </w:t>
      </w:r>
      <w:r>
        <w:rPr/>
        <w:t>lung</w:t>
      </w:r>
      <w:r>
        <w:rPr>
          <w:spacing w:val="-21"/>
        </w:rPr>
        <w:t> </w:t>
      </w:r>
      <w:r>
        <w:rPr/>
        <w:t>capillaries.</w:t>
      </w:r>
      <w:r>
        <w:rPr>
          <w:spacing w:val="-20"/>
        </w:rPr>
        <w:t> </w:t>
      </w:r>
      <w:r>
        <w:rPr/>
        <w:t>Both</w:t>
      </w:r>
      <w:r>
        <w:rPr>
          <w:spacing w:val="-23"/>
        </w:rPr>
        <w:t> </w:t>
      </w:r>
      <w:r>
        <w:rPr/>
        <w:t>lead</w:t>
      </w:r>
      <w:r>
        <w:rPr>
          <w:spacing w:val="-25"/>
        </w:rPr>
        <w:t> </w:t>
      </w:r>
      <w:r>
        <w:rPr/>
        <w:t>to</w:t>
      </w:r>
      <w:r>
        <w:rPr>
          <w:spacing w:val="-21"/>
        </w:rPr>
        <w:t> </w:t>
      </w:r>
      <w:r>
        <w:rPr/>
        <w:t>the</w:t>
      </w:r>
      <w:r>
        <w:rPr>
          <w:spacing w:val="-24"/>
        </w:rPr>
        <w:t> </w:t>
      </w:r>
      <w:r>
        <w:rPr/>
        <w:t>typical</w:t>
      </w:r>
      <w:r>
        <w:rPr>
          <w:spacing w:val="-21"/>
        </w:rPr>
        <w:t> </w:t>
      </w:r>
      <w:r>
        <w:rPr/>
        <w:t>allergic</w:t>
      </w:r>
      <w:r>
        <w:rPr>
          <w:spacing w:val="-22"/>
        </w:rPr>
        <w:t> </w:t>
      </w:r>
      <w:r>
        <w:rPr/>
        <w:t>reaction in asthma, bronchial spasms and the resulting shortness of</w:t>
      </w:r>
      <w:r>
        <w:rPr>
          <w:spacing w:val="-1"/>
        </w:rPr>
        <w:t> </w:t>
      </w:r>
      <w:r>
        <w:rPr/>
        <w:t>breath.</w:t>
      </w:r>
    </w:p>
    <w:p>
      <w:pPr>
        <w:pStyle w:val="BodyText"/>
        <w:spacing w:line="276" w:lineRule="auto" w:before="238"/>
        <w:ind w:left="616" w:right="136"/>
        <w:jc w:val="both"/>
      </w:pPr>
      <w:r>
        <w:rPr/>
        <w:t>Non-allergic</w:t>
      </w:r>
      <w:r>
        <w:rPr>
          <w:spacing w:val="-12"/>
        </w:rPr>
        <w:t> </w:t>
      </w:r>
      <w:r>
        <w:rPr/>
        <w:t>asthma</w:t>
      </w:r>
      <w:r>
        <w:rPr>
          <w:spacing w:val="-12"/>
        </w:rPr>
        <w:t> </w:t>
      </w:r>
      <w:r>
        <w:rPr/>
        <w:t>also</w:t>
      </w:r>
      <w:r>
        <w:rPr>
          <w:spacing w:val="-12"/>
        </w:rPr>
        <w:t> </w:t>
      </w:r>
      <w:r>
        <w:rPr/>
        <w:t>results</w:t>
      </w:r>
      <w:r>
        <w:rPr>
          <w:spacing w:val="-13"/>
        </w:rPr>
        <w:t> </w:t>
      </w:r>
      <w:r>
        <w:rPr/>
        <w:t>from</w:t>
      </w:r>
      <w:r>
        <w:rPr>
          <w:spacing w:val="-13"/>
        </w:rPr>
        <w:t> </w:t>
      </w:r>
      <w:r>
        <w:rPr/>
        <w:t>acidification;</w:t>
      </w:r>
      <w:r>
        <w:rPr>
          <w:spacing w:val="-12"/>
        </w:rPr>
        <w:t> </w:t>
      </w:r>
      <w:r>
        <w:rPr/>
        <w:t>here,</w:t>
      </w:r>
      <w:r>
        <w:rPr>
          <w:spacing w:val="-12"/>
        </w:rPr>
        <w:t> </w:t>
      </w:r>
      <w:r>
        <w:rPr/>
        <w:t>the</w:t>
      </w:r>
      <w:r>
        <w:rPr>
          <w:spacing w:val="-12"/>
        </w:rPr>
        <w:t> </w:t>
      </w:r>
      <w:r>
        <w:rPr/>
        <w:t>breathing</w:t>
      </w:r>
      <w:r>
        <w:rPr>
          <w:spacing w:val="-12"/>
        </w:rPr>
        <w:t> </w:t>
      </w:r>
      <w:r>
        <w:rPr/>
        <w:t>muscu- lature spasms due to the excess acids in the body, which provokes the asthma attack.</w:t>
      </w:r>
    </w:p>
    <w:p>
      <w:pPr>
        <w:pStyle w:val="Heading1"/>
        <w:spacing w:before="225"/>
        <w:ind w:left="616"/>
        <w:jc w:val="both"/>
      </w:pPr>
      <w:r>
        <w:rPr/>
        <w:t>Respiratory tracts</w:t>
      </w:r>
    </w:p>
    <w:p>
      <w:pPr>
        <w:pStyle w:val="BodyText"/>
        <w:spacing w:before="299"/>
        <w:ind w:left="616"/>
        <w:jc w:val="both"/>
      </w:pPr>
      <w:r>
        <w:rPr/>
        <w:t>Dry coughs, a runny nose and enlarged tonsils are often a sign of acidification</w:t>
      </w:r>
    </w:p>
    <w:p>
      <w:pPr>
        <w:spacing w:after="0"/>
        <w:jc w:val="both"/>
        <w:sectPr>
          <w:pgSz w:w="14270" w:h="16850"/>
          <w:pgMar w:header="0" w:footer="1891" w:top="1320" w:bottom="2080" w:left="800" w:right="1280"/>
        </w:sectPr>
      </w:pPr>
    </w:p>
    <w:p>
      <w:pPr>
        <w:pStyle w:val="BodyText"/>
        <w:spacing w:line="278" w:lineRule="auto" w:before="72"/>
        <w:ind w:left="616" w:right="140"/>
        <w:jc w:val="both"/>
      </w:pPr>
      <w:r>
        <w:rPr/>
        <w:t>in</w:t>
      </w:r>
      <w:r>
        <w:rPr>
          <w:spacing w:val="-9"/>
        </w:rPr>
        <w:t> </w:t>
      </w:r>
      <w:r>
        <w:rPr/>
        <w:t>the</w:t>
      </w:r>
      <w:r>
        <w:rPr>
          <w:spacing w:val="-11"/>
        </w:rPr>
        <w:t> </w:t>
      </w:r>
      <w:r>
        <w:rPr/>
        <w:t>organism,</w:t>
      </w:r>
      <w:r>
        <w:rPr>
          <w:spacing w:val="-13"/>
        </w:rPr>
        <w:t> </w:t>
      </w:r>
      <w:r>
        <w:rPr/>
        <w:t>as</w:t>
      </w:r>
      <w:r>
        <w:rPr>
          <w:spacing w:val="-10"/>
        </w:rPr>
        <w:t> </w:t>
      </w:r>
      <w:r>
        <w:rPr/>
        <w:t>the</w:t>
      </w:r>
      <w:r>
        <w:rPr>
          <w:spacing w:val="-11"/>
        </w:rPr>
        <w:t> </w:t>
      </w:r>
      <w:r>
        <w:rPr/>
        <w:t>body</w:t>
      </w:r>
      <w:r>
        <w:rPr>
          <w:spacing w:val="-12"/>
        </w:rPr>
        <w:t> </w:t>
      </w:r>
      <w:r>
        <w:rPr/>
        <w:t>reacts</w:t>
      </w:r>
      <w:r>
        <w:rPr>
          <w:spacing w:val="-9"/>
        </w:rPr>
        <w:t> </w:t>
      </w:r>
      <w:r>
        <w:rPr/>
        <w:t>to</w:t>
      </w:r>
      <w:r>
        <w:rPr>
          <w:spacing w:val="-11"/>
        </w:rPr>
        <w:t> </w:t>
      </w:r>
      <w:r>
        <w:rPr/>
        <w:t>the</w:t>
      </w:r>
      <w:r>
        <w:rPr>
          <w:spacing w:val="-11"/>
        </w:rPr>
        <w:t> </w:t>
      </w:r>
      <w:r>
        <w:rPr/>
        <w:t>acids.</w:t>
      </w:r>
      <w:r>
        <w:rPr>
          <w:spacing w:val="-9"/>
        </w:rPr>
        <w:t> </w:t>
      </w:r>
      <w:r>
        <w:rPr/>
        <w:t>The</w:t>
      </w:r>
      <w:r>
        <w:rPr>
          <w:spacing w:val="-9"/>
        </w:rPr>
        <w:t> </w:t>
      </w:r>
      <w:r>
        <w:rPr/>
        <w:t>mechanisms</w:t>
      </w:r>
      <w:r>
        <w:rPr>
          <w:spacing w:val="-13"/>
        </w:rPr>
        <w:t> </w:t>
      </w:r>
      <w:r>
        <w:rPr/>
        <w:t>here</w:t>
      </w:r>
      <w:r>
        <w:rPr>
          <w:spacing w:val="-9"/>
        </w:rPr>
        <w:t> </w:t>
      </w:r>
      <w:r>
        <w:rPr/>
        <w:t>are</w:t>
      </w:r>
      <w:r>
        <w:rPr>
          <w:spacing w:val="-11"/>
        </w:rPr>
        <w:t> </w:t>
      </w:r>
      <w:r>
        <w:rPr/>
        <w:t>sim- ilar to those in asthma (see</w:t>
      </w:r>
      <w:r>
        <w:rPr>
          <w:spacing w:val="3"/>
        </w:rPr>
        <w:t> </w:t>
      </w:r>
      <w:r>
        <w:rPr/>
        <w:t>above).</w:t>
      </w:r>
    </w:p>
    <w:p>
      <w:pPr>
        <w:pStyle w:val="Heading1"/>
        <w:spacing w:before="215"/>
        <w:ind w:left="616"/>
      </w:pPr>
      <w:r>
        <w:rPr/>
        <w:t>Eye problems</w:t>
      </w:r>
    </w:p>
    <w:p>
      <w:pPr>
        <w:pStyle w:val="BodyText"/>
        <w:spacing w:line="276" w:lineRule="auto" w:before="299"/>
        <w:ind w:left="616" w:right="130"/>
        <w:jc w:val="both"/>
      </w:pPr>
      <w:r>
        <w:rPr/>
        <w:t>Acids</w:t>
      </w:r>
      <w:r>
        <w:rPr>
          <w:spacing w:val="-11"/>
        </w:rPr>
        <w:t> </w:t>
      </w:r>
      <w:r>
        <w:rPr/>
        <w:t>parallelise</w:t>
      </w:r>
      <w:r>
        <w:rPr>
          <w:spacing w:val="-10"/>
        </w:rPr>
        <w:t> </w:t>
      </w:r>
      <w:r>
        <w:rPr/>
        <w:t>eye</w:t>
      </w:r>
      <w:r>
        <w:rPr>
          <w:spacing w:val="-10"/>
        </w:rPr>
        <w:t> </w:t>
      </w:r>
      <w:r>
        <w:rPr/>
        <w:t>musculature</w:t>
      </w:r>
      <w:r>
        <w:rPr>
          <w:spacing w:val="-9"/>
        </w:rPr>
        <w:t> </w:t>
      </w:r>
      <w:r>
        <w:rPr/>
        <w:t>to</w:t>
      </w:r>
      <w:r>
        <w:rPr>
          <w:spacing w:val="-8"/>
        </w:rPr>
        <w:t> </w:t>
      </w:r>
      <w:r>
        <w:rPr/>
        <w:t>some</w:t>
      </w:r>
      <w:r>
        <w:rPr>
          <w:spacing w:val="-10"/>
        </w:rPr>
        <w:t> </w:t>
      </w:r>
      <w:r>
        <w:rPr/>
        <w:t>extent</w:t>
      </w:r>
      <w:r>
        <w:rPr>
          <w:spacing w:val="-11"/>
        </w:rPr>
        <w:t> </w:t>
      </w:r>
      <w:r>
        <w:rPr/>
        <w:t>and</w:t>
      </w:r>
      <w:r>
        <w:rPr>
          <w:spacing w:val="-11"/>
        </w:rPr>
        <w:t> </w:t>
      </w:r>
      <w:r>
        <w:rPr/>
        <w:t>dull</w:t>
      </w:r>
      <w:r>
        <w:rPr>
          <w:spacing w:val="-11"/>
        </w:rPr>
        <w:t> </w:t>
      </w:r>
      <w:r>
        <w:rPr/>
        <w:t>the</w:t>
      </w:r>
      <w:r>
        <w:rPr>
          <w:spacing w:val="-10"/>
        </w:rPr>
        <w:t> </w:t>
      </w:r>
      <w:r>
        <w:rPr/>
        <w:t>eye</w:t>
      </w:r>
      <w:r>
        <w:rPr>
          <w:spacing w:val="-10"/>
        </w:rPr>
        <w:t> </w:t>
      </w:r>
      <w:r>
        <w:rPr/>
        <w:t>lenses,</w:t>
      </w:r>
      <w:r>
        <w:rPr>
          <w:spacing w:val="-10"/>
        </w:rPr>
        <w:t> </w:t>
      </w:r>
      <w:r>
        <w:rPr/>
        <w:t>which can</w:t>
      </w:r>
      <w:r>
        <w:rPr>
          <w:spacing w:val="-8"/>
        </w:rPr>
        <w:t> </w:t>
      </w:r>
      <w:r>
        <w:rPr/>
        <w:t>lead</w:t>
      </w:r>
      <w:r>
        <w:rPr>
          <w:spacing w:val="-9"/>
        </w:rPr>
        <w:t> </w:t>
      </w:r>
      <w:r>
        <w:rPr/>
        <w:t>to</w:t>
      </w:r>
      <w:r>
        <w:rPr>
          <w:spacing w:val="-8"/>
        </w:rPr>
        <w:t> </w:t>
      </w:r>
      <w:r>
        <w:rPr/>
        <w:t>blurred</w:t>
      </w:r>
      <w:r>
        <w:rPr>
          <w:spacing w:val="-9"/>
        </w:rPr>
        <w:t> </w:t>
      </w:r>
      <w:r>
        <w:rPr/>
        <w:t>vision</w:t>
      </w:r>
      <w:r>
        <w:rPr>
          <w:spacing w:val="-8"/>
        </w:rPr>
        <w:t> </w:t>
      </w:r>
      <w:r>
        <w:rPr/>
        <w:t>which</w:t>
      </w:r>
      <w:r>
        <w:rPr>
          <w:spacing w:val="-7"/>
        </w:rPr>
        <w:t> </w:t>
      </w:r>
      <w:r>
        <w:rPr/>
        <w:t>is</w:t>
      </w:r>
      <w:r>
        <w:rPr>
          <w:spacing w:val="-8"/>
        </w:rPr>
        <w:t> </w:t>
      </w:r>
      <w:r>
        <w:rPr/>
        <w:t>falsely</w:t>
      </w:r>
      <w:r>
        <w:rPr>
          <w:spacing w:val="-10"/>
        </w:rPr>
        <w:t> </w:t>
      </w:r>
      <w:r>
        <w:rPr/>
        <w:t>attributed</w:t>
      </w:r>
      <w:r>
        <w:rPr>
          <w:spacing w:val="-9"/>
        </w:rPr>
        <w:t> </w:t>
      </w:r>
      <w:r>
        <w:rPr/>
        <w:t>to</w:t>
      </w:r>
      <w:r>
        <w:rPr>
          <w:spacing w:val="-8"/>
        </w:rPr>
        <w:t> </w:t>
      </w:r>
      <w:r>
        <w:rPr/>
        <w:t>the</w:t>
      </w:r>
      <w:r>
        <w:rPr>
          <w:spacing w:val="-7"/>
        </w:rPr>
        <w:t> </w:t>
      </w:r>
      <w:r>
        <w:rPr/>
        <w:t>ageing</w:t>
      </w:r>
      <w:r>
        <w:rPr>
          <w:spacing w:val="-9"/>
        </w:rPr>
        <w:t> </w:t>
      </w:r>
      <w:r>
        <w:rPr/>
        <w:t>process.</w:t>
      </w:r>
      <w:r>
        <w:rPr>
          <w:spacing w:val="-8"/>
        </w:rPr>
        <w:t> </w:t>
      </w:r>
      <w:r>
        <w:rPr/>
        <w:t>The same mechanisms can lead to cataracts, conjunctivitis and light</w:t>
      </w:r>
      <w:r>
        <w:rPr>
          <w:spacing w:val="-22"/>
        </w:rPr>
        <w:t> </w:t>
      </w:r>
      <w:r>
        <w:rPr/>
        <w:t>sensitivity.</w:t>
      </w:r>
    </w:p>
    <w:p>
      <w:pPr>
        <w:pStyle w:val="Heading1"/>
        <w:ind w:left="616"/>
      </w:pPr>
      <w:r>
        <w:rPr/>
        <w:t>Slipped discs</w:t>
      </w:r>
    </w:p>
    <w:p>
      <w:pPr>
        <w:pStyle w:val="BodyText"/>
        <w:spacing w:line="276" w:lineRule="auto" w:before="300"/>
        <w:ind w:left="616" w:right="134"/>
        <w:jc w:val="both"/>
      </w:pPr>
      <w:r>
        <w:rPr/>
        <w:t>The body taps calcium from the bones and discs in order to neutralise excess acid and ensure our survival. Discs become flatter and flatter and worse and worse at fulfilling their buffer function – this frequently results in a slipped disc!</w:t>
      </w:r>
    </w:p>
    <w:p>
      <w:pPr>
        <w:pStyle w:val="BodyText"/>
        <w:spacing w:line="276" w:lineRule="auto" w:before="239"/>
        <w:ind w:left="616" w:right="135"/>
        <w:jc w:val="both"/>
      </w:pPr>
      <w:r>
        <w:rPr/>
        <w:t>The</w:t>
      </w:r>
      <w:r>
        <w:rPr>
          <w:spacing w:val="-24"/>
        </w:rPr>
        <w:t> </w:t>
      </w:r>
      <w:r>
        <w:rPr/>
        <w:t>aim</w:t>
      </w:r>
      <w:r>
        <w:rPr>
          <w:spacing w:val="-25"/>
        </w:rPr>
        <w:t> </w:t>
      </w:r>
      <w:r>
        <w:rPr/>
        <w:t>of</w:t>
      </w:r>
      <w:r>
        <w:rPr>
          <w:spacing w:val="-23"/>
        </w:rPr>
        <w:t> </w:t>
      </w:r>
      <w:r>
        <w:rPr/>
        <w:t>treatment</w:t>
      </w:r>
      <w:r>
        <w:rPr>
          <w:spacing w:val="-24"/>
        </w:rPr>
        <w:t> </w:t>
      </w:r>
      <w:r>
        <w:rPr/>
        <w:t>here</w:t>
      </w:r>
      <w:r>
        <w:rPr>
          <w:spacing w:val="-24"/>
        </w:rPr>
        <w:t> </w:t>
      </w:r>
      <w:r>
        <w:rPr/>
        <w:t>is</w:t>
      </w:r>
      <w:r>
        <w:rPr>
          <w:spacing w:val="-24"/>
        </w:rPr>
        <w:t> </w:t>
      </w:r>
      <w:r>
        <w:rPr/>
        <w:t>also</w:t>
      </w:r>
      <w:r>
        <w:rPr>
          <w:spacing w:val="-26"/>
        </w:rPr>
        <w:t> </w:t>
      </w:r>
      <w:r>
        <w:rPr/>
        <w:t>to:</w:t>
      </w:r>
      <w:r>
        <w:rPr>
          <w:spacing w:val="-23"/>
        </w:rPr>
        <w:t> </w:t>
      </w:r>
      <w:r>
        <w:rPr/>
        <w:t>de-acidify</w:t>
      </w:r>
      <w:r>
        <w:rPr>
          <w:spacing w:val="-25"/>
        </w:rPr>
        <w:t> </w:t>
      </w:r>
      <w:r>
        <w:rPr/>
        <w:t>the</w:t>
      </w:r>
      <w:r>
        <w:rPr>
          <w:spacing w:val="-21"/>
        </w:rPr>
        <w:t> </w:t>
      </w:r>
      <w:r>
        <w:rPr/>
        <w:t>body</w:t>
      </w:r>
      <w:r>
        <w:rPr>
          <w:spacing w:val="-24"/>
        </w:rPr>
        <w:t> </w:t>
      </w:r>
      <w:r>
        <w:rPr/>
        <w:t>and</w:t>
      </w:r>
      <w:r>
        <w:rPr>
          <w:spacing w:val="-24"/>
        </w:rPr>
        <w:t> </w:t>
      </w:r>
      <w:r>
        <w:rPr/>
        <w:t>then</w:t>
      </w:r>
      <w:r>
        <w:rPr>
          <w:spacing w:val="-25"/>
        </w:rPr>
        <w:t> </w:t>
      </w:r>
      <w:r>
        <w:rPr/>
        <w:t>re-mineralise! As</w:t>
      </w:r>
      <w:r>
        <w:rPr>
          <w:spacing w:val="-19"/>
        </w:rPr>
        <w:t> </w:t>
      </w:r>
      <w:r>
        <w:rPr/>
        <w:t>discs</w:t>
      </w:r>
      <w:r>
        <w:rPr>
          <w:spacing w:val="-20"/>
        </w:rPr>
        <w:t> </w:t>
      </w:r>
      <w:r>
        <w:rPr/>
        <w:t>are</w:t>
      </w:r>
      <w:r>
        <w:rPr>
          <w:spacing w:val="-18"/>
        </w:rPr>
        <w:t> </w:t>
      </w:r>
      <w:r>
        <w:rPr/>
        <w:t>also</w:t>
      </w:r>
      <w:r>
        <w:rPr>
          <w:spacing w:val="-23"/>
        </w:rPr>
        <w:t> </w:t>
      </w:r>
      <w:r>
        <w:rPr/>
        <w:t>made</w:t>
      </w:r>
      <w:r>
        <w:rPr>
          <w:spacing w:val="-18"/>
        </w:rPr>
        <w:t> </w:t>
      </w:r>
      <w:r>
        <w:rPr/>
        <w:t>from</w:t>
      </w:r>
      <w:r>
        <w:rPr>
          <w:spacing w:val="-19"/>
        </w:rPr>
        <w:t> </w:t>
      </w:r>
      <w:r>
        <w:rPr/>
        <w:t>collagen,</w:t>
      </w:r>
      <w:r>
        <w:rPr>
          <w:spacing w:val="-17"/>
        </w:rPr>
        <w:t> </w:t>
      </w:r>
      <w:r>
        <w:rPr/>
        <w:t>the</w:t>
      </w:r>
      <w:r>
        <w:rPr>
          <w:spacing w:val="-21"/>
        </w:rPr>
        <w:t> </w:t>
      </w:r>
      <w:r>
        <w:rPr/>
        <w:t>body</w:t>
      </w:r>
      <w:r>
        <w:rPr>
          <w:spacing w:val="-18"/>
        </w:rPr>
        <w:t> </w:t>
      </w:r>
      <w:r>
        <w:rPr/>
        <w:t>must</w:t>
      </w:r>
      <w:r>
        <w:rPr>
          <w:spacing w:val="-20"/>
        </w:rPr>
        <w:t> </w:t>
      </w:r>
      <w:r>
        <w:rPr/>
        <w:t>be</w:t>
      </w:r>
      <w:r>
        <w:rPr>
          <w:spacing w:val="-20"/>
        </w:rPr>
        <w:t> </w:t>
      </w:r>
      <w:r>
        <w:rPr/>
        <w:t>supplied</w:t>
      </w:r>
      <w:r>
        <w:rPr>
          <w:spacing w:val="-22"/>
        </w:rPr>
        <w:t> </w:t>
      </w:r>
      <w:r>
        <w:rPr/>
        <w:t>with</w:t>
      </w:r>
      <w:r>
        <w:rPr>
          <w:spacing w:val="-17"/>
        </w:rPr>
        <w:t> </w:t>
      </w:r>
      <w:r>
        <w:rPr/>
        <w:t>collagen- building nutrients, as with all joint problems, such as natural vitamin C, OPC, glucosamine and</w:t>
      </w:r>
      <w:r>
        <w:rPr>
          <w:spacing w:val="3"/>
        </w:rPr>
        <w:t> </w:t>
      </w:r>
      <w:r>
        <w:rPr/>
        <w:t>chondroitin.</w:t>
      </w:r>
    </w:p>
    <w:p>
      <w:pPr>
        <w:pStyle w:val="BodyText"/>
        <w:rPr>
          <w:sz w:val="42"/>
        </w:rPr>
      </w:pPr>
    </w:p>
    <w:p>
      <w:pPr>
        <w:pStyle w:val="BodyText"/>
        <w:spacing w:before="9"/>
        <w:rPr>
          <w:sz w:val="42"/>
        </w:rPr>
      </w:pPr>
    </w:p>
    <w:p>
      <w:pPr>
        <w:pStyle w:val="Heading1"/>
        <w:spacing w:before="0"/>
        <w:ind w:left="616"/>
      </w:pPr>
      <w:r>
        <w:rPr/>
        <w:t>Connective tissue weakness</w:t>
      </w:r>
    </w:p>
    <w:p>
      <w:pPr>
        <w:pStyle w:val="BodyText"/>
        <w:spacing w:line="276" w:lineRule="auto" w:before="299"/>
        <w:ind w:left="616" w:right="135"/>
        <w:jc w:val="both"/>
      </w:pPr>
      <w:r>
        <w:rPr/>
        <w:t>Permanent acidification of the body also leads to connective tissue weakness. From</w:t>
      </w:r>
      <w:r>
        <w:rPr>
          <w:spacing w:val="-22"/>
        </w:rPr>
        <w:t> </w:t>
      </w:r>
      <w:r>
        <w:rPr/>
        <w:t>appearing</w:t>
      </w:r>
      <w:r>
        <w:rPr>
          <w:spacing w:val="-23"/>
        </w:rPr>
        <w:t> </w:t>
      </w:r>
      <w:r>
        <w:rPr/>
        <w:t>older</w:t>
      </w:r>
      <w:r>
        <w:rPr>
          <w:spacing w:val="-20"/>
        </w:rPr>
        <w:t> </w:t>
      </w:r>
      <w:r>
        <w:rPr/>
        <w:t>to</w:t>
      </w:r>
      <w:r>
        <w:rPr>
          <w:spacing w:val="-21"/>
        </w:rPr>
        <w:t> </w:t>
      </w:r>
      <w:r>
        <w:rPr/>
        <w:t>dangerous</w:t>
      </w:r>
      <w:r>
        <w:rPr>
          <w:spacing w:val="-22"/>
        </w:rPr>
        <w:t> </w:t>
      </w:r>
      <w:r>
        <w:rPr/>
        <w:t>function</w:t>
      </w:r>
      <w:r>
        <w:rPr>
          <w:spacing w:val="-20"/>
        </w:rPr>
        <w:t> </w:t>
      </w:r>
      <w:r>
        <w:rPr/>
        <w:t>loss</w:t>
      </w:r>
      <w:r>
        <w:rPr>
          <w:spacing w:val="-23"/>
        </w:rPr>
        <w:t> </w:t>
      </w:r>
      <w:r>
        <w:rPr/>
        <w:t>which</w:t>
      </w:r>
      <w:r>
        <w:rPr>
          <w:spacing w:val="-20"/>
        </w:rPr>
        <w:t> </w:t>
      </w:r>
      <w:r>
        <w:rPr/>
        <w:t>puts</w:t>
      </w:r>
      <w:r>
        <w:rPr>
          <w:spacing w:val="-22"/>
        </w:rPr>
        <w:t> </w:t>
      </w:r>
      <w:r>
        <w:rPr/>
        <w:t>our</w:t>
      </w:r>
      <w:r>
        <w:rPr>
          <w:spacing w:val="-21"/>
        </w:rPr>
        <w:t> </w:t>
      </w:r>
      <w:r>
        <w:rPr/>
        <w:t>organs</w:t>
      </w:r>
      <w:r>
        <w:rPr>
          <w:spacing w:val="-20"/>
        </w:rPr>
        <w:t> </w:t>
      </w:r>
      <w:r>
        <w:rPr/>
        <w:t>at</w:t>
      </w:r>
      <w:r>
        <w:rPr>
          <w:spacing w:val="-22"/>
        </w:rPr>
        <w:t> </w:t>
      </w:r>
      <w:r>
        <w:rPr/>
        <w:t>risk, the</w:t>
      </w:r>
      <w:r>
        <w:rPr>
          <w:spacing w:val="12"/>
        </w:rPr>
        <w:t> </w:t>
      </w:r>
      <w:r>
        <w:rPr/>
        <w:t>spectrum</w:t>
      </w:r>
      <w:r>
        <w:rPr>
          <w:spacing w:val="10"/>
        </w:rPr>
        <w:t> </w:t>
      </w:r>
      <w:r>
        <w:rPr/>
        <w:t>of</w:t>
      </w:r>
      <w:r>
        <w:rPr>
          <w:spacing w:val="12"/>
        </w:rPr>
        <w:t> </w:t>
      </w:r>
      <w:r>
        <w:rPr/>
        <w:t>consequences</w:t>
      </w:r>
      <w:r>
        <w:rPr>
          <w:spacing w:val="12"/>
        </w:rPr>
        <w:t> </w:t>
      </w:r>
      <w:r>
        <w:rPr/>
        <w:t>of</w:t>
      </w:r>
      <w:r>
        <w:rPr>
          <w:spacing w:val="12"/>
        </w:rPr>
        <w:t> </w:t>
      </w:r>
      <w:r>
        <w:rPr/>
        <w:t>acidification</w:t>
      </w:r>
      <w:r>
        <w:rPr>
          <w:spacing w:val="11"/>
        </w:rPr>
        <w:t> </w:t>
      </w:r>
      <w:r>
        <w:rPr/>
        <w:t>on</w:t>
      </w:r>
      <w:r>
        <w:rPr>
          <w:spacing w:val="13"/>
        </w:rPr>
        <w:t> </w:t>
      </w:r>
      <w:r>
        <w:rPr/>
        <w:t>our</w:t>
      </w:r>
      <w:r>
        <w:rPr>
          <w:spacing w:val="11"/>
        </w:rPr>
        <w:t> </w:t>
      </w:r>
      <w:r>
        <w:rPr/>
        <w:t>connective</w:t>
      </w:r>
      <w:r>
        <w:rPr>
          <w:spacing w:val="12"/>
        </w:rPr>
        <w:t> </w:t>
      </w:r>
      <w:r>
        <w:rPr/>
        <w:t>tissue</w:t>
      </w:r>
      <w:r>
        <w:rPr>
          <w:spacing w:val="11"/>
        </w:rPr>
        <w:t> </w:t>
      </w:r>
      <w:r>
        <w:rPr/>
        <w:t>has</w:t>
      </w:r>
      <w:r>
        <w:rPr>
          <w:spacing w:val="13"/>
        </w:rPr>
        <w:t> </w:t>
      </w:r>
      <w:r>
        <w:rPr/>
        <w:t>a</w:t>
      </w:r>
    </w:p>
    <w:p>
      <w:pPr>
        <w:spacing w:after="0" w:line="276" w:lineRule="auto"/>
        <w:jc w:val="both"/>
        <w:sectPr>
          <w:pgSz w:w="14270" w:h="16850"/>
          <w:pgMar w:header="0" w:footer="1891" w:top="1340" w:bottom="2080" w:left="800" w:right="1280"/>
        </w:sectPr>
      </w:pPr>
    </w:p>
    <w:p>
      <w:pPr>
        <w:pStyle w:val="BodyText"/>
        <w:spacing w:line="276" w:lineRule="auto" w:before="72"/>
        <w:ind w:left="616" w:right="134"/>
        <w:jc w:val="both"/>
      </w:pPr>
      <w:r>
        <w:rPr/>
        <w:t>wide</w:t>
      </w:r>
      <w:r>
        <w:rPr>
          <w:spacing w:val="-18"/>
        </w:rPr>
        <w:t> </w:t>
      </w:r>
      <w:r>
        <w:rPr/>
        <w:t>range.</w:t>
      </w:r>
      <w:r>
        <w:rPr>
          <w:spacing w:val="-16"/>
        </w:rPr>
        <w:t> </w:t>
      </w:r>
      <w:r>
        <w:rPr/>
        <w:t>Deacidification</w:t>
      </w:r>
      <w:r>
        <w:rPr>
          <w:spacing w:val="-16"/>
        </w:rPr>
        <w:t> </w:t>
      </w:r>
      <w:r>
        <w:rPr/>
        <w:t>of</w:t>
      </w:r>
      <w:r>
        <w:rPr>
          <w:spacing w:val="-16"/>
        </w:rPr>
        <w:t> </w:t>
      </w:r>
      <w:r>
        <w:rPr/>
        <w:t>the</w:t>
      </w:r>
      <w:r>
        <w:rPr>
          <w:spacing w:val="-16"/>
        </w:rPr>
        <w:t> </w:t>
      </w:r>
      <w:r>
        <w:rPr/>
        <w:t>body</w:t>
      </w:r>
      <w:r>
        <w:rPr>
          <w:spacing w:val="-19"/>
        </w:rPr>
        <w:t> </w:t>
      </w:r>
      <w:r>
        <w:rPr/>
        <w:t>with</w:t>
      </w:r>
      <w:r>
        <w:rPr>
          <w:spacing w:val="-16"/>
        </w:rPr>
        <w:t> </w:t>
      </w:r>
      <w:r>
        <w:rPr/>
        <w:t>bases</w:t>
      </w:r>
      <w:r>
        <w:rPr>
          <w:spacing w:val="-16"/>
        </w:rPr>
        <w:t> </w:t>
      </w:r>
      <w:r>
        <w:rPr/>
        <w:t>as</w:t>
      </w:r>
      <w:r>
        <w:rPr>
          <w:spacing w:val="-19"/>
        </w:rPr>
        <w:t> </w:t>
      </w:r>
      <w:r>
        <w:rPr/>
        <w:t>well</w:t>
      </w:r>
      <w:r>
        <w:rPr>
          <w:spacing w:val="-18"/>
        </w:rPr>
        <w:t> </w:t>
      </w:r>
      <w:r>
        <w:rPr/>
        <w:t>as</w:t>
      </w:r>
      <w:r>
        <w:rPr>
          <w:spacing w:val="-17"/>
        </w:rPr>
        <w:t> </w:t>
      </w:r>
      <w:r>
        <w:rPr/>
        <w:t>the</w:t>
      </w:r>
      <w:r>
        <w:rPr>
          <w:spacing w:val="-18"/>
        </w:rPr>
        <w:t> </w:t>
      </w:r>
      <w:r>
        <w:rPr/>
        <w:t>supply</w:t>
      </w:r>
      <w:r>
        <w:rPr>
          <w:spacing w:val="-17"/>
        </w:rPr>
        <w:t> </w:t>
      </w:r>
      <w:r>
        <w:rPr/>
        <w:t>of</w:t>
      </w:r>
      <w:r>
        <w:rPr>
          <w:spacing w:val="-16"/>
        </w:rPr>
        <w:t> </w:t>
      </w:r>
      <w:r>
        <w:rPr/>
        <w:t>high doses</w:t>
      </w:r>
      <w:r>
        <w:rPr>
          <w:spacing w:val="-6"/>
        </w:rPr>
        <w:t> </w:t>
      </w:r>
      <w:r>
        <w:rPr/>
        <w:t>of</w:t>
      </w:r>
      <w:r>
        <w:rPr>
          <w:spacing w:val="-9"/>
        </w:rPr>
        <w:t> </w:t>
      </w:r>
      <w:r>
        <w:rPr/>
        <w:t>natural</w:t>
      </w:r>
      <w:r>
        <w:rPr>
          <w:spacing w:val="-7"/>
        </w:rPr>
        <w:t> </w:t>
      </w:r>
      <w:r>
        <w:rPr/>
        <w:t>vitamin</w:t>
      </w:r>
      <w:r>
        <w:rPr>
          <w:spacing w:val="-6"/>
        </w:rPr>
        <w:t> </w:t>
      </w:r>
      <w:r>
        <w:rPr/>
        <w:t>C</w:t>
      </w:r>
      <w:r>
        <w:rPr>
          <w:spacing w:val="-7"/>
        </w:rPr>
        <w:t> </w:t>
      </w:r>
      <w:r>
        <w:rPr/>
        <w:t>(ideally</w:t>
      </w:r>
      <w:r>
        <w:rPr>
          <w:spacing w:val="-7"/>
        </w:rPr>
        <w:t> </w:t>
      </w:r>
      <w:r>
        <w:rPr/>
        <w:t>in</w:t>
      </w:r>
      <w:r>
        <w:rPr>
          <w:spacing w:val="-7"/>
        </w:rPr>
        <w:t> </w:t>
      </w:r>
      <w:r>
        <w:rPr/>
        <w:t>the</w:t>
      </w:r>
      <w:r>
        <w:rPr>
          <w:spacing w:val="-5"/>
        </w:rPr>
        <w:t> </w:t>
      </w:r>
      <w:r>
        <w:rPr/>
        <w:t>form</w:t>
      </w:r>
      <w:r>
        <w:rPr>
          <w:spacing w:val="-7"/>
        </w:rPr>
        <w:t> </w:t>
      </w:r>
      <w:r>
        <w:rPr/>
        <w:t>of</w:t>
      </w:r>
      <w:r>
        <w:rPr>
          <w:spacing w:val="-10"/>
        </w:rPr>
        <w:t> </w:t>
      </w:r>
      <w:r>
        <w:rPr/>
        <w:t>camu</w:t>
      </w:r>
      <w:r>
        <w:rPr>
          <w:spacing w:val="-7"/>
        </w:rPr>
        <w:t> </w:t>
      </w:r>
      <w:r>
        <w:rPr/>
        <w:t>camu</w:t>
      </w:r>
      <w:r>
        <w:rPr>
          <w:spacing w:val="-6"/>
        </w:rPr>
        <w:t> </w:t>
      </w:r>
      <w:r>
        <w:rPr/>
        <w:t>powder),</w:t>
      </w:r>
      <w:r>
        <w:rPr>
          <w:spacing w:val="-6"/>
        </w:rPr>
        <w:t> </w:t>
      </w:r>
      <w:r>
        <w:rPr/>
        <w:t>approx 2-4 grammes per day, has proven highly</w:t>
      </w:r>
      <w:r>
        <w:rPr>
          <w:spacing w:val="-2"/>
        </w:rPr>
        <w:t> </w:t>
      </w:r>
      <w:r>
        <w:rPr/>
        <w:t>efficient!</w:t>
      </w:r>
    </w:p>
    <w:p>
      <w:pPr>
        <w:pStyle w:val="Heading1"/>
        <w:ind w:left="616"/>
      </w:pPr>
      <w:r>
        <w:rPr/>
        <w:t>Conjunctivitis</w:t>
      </w:r>
    </w:p>
    <w:p>
      <w:pPr>
        <w:pStyle w:val="BodyText"/>
        <w:spacing w:line="276" w:lineRule="auto" w:before="299"/>
        <w:ind w:left="616" w:right="135"/>
        <w:jc w:val="both"/>
      </w:pPr>
      <w:r>
        <w:rPr/>
        <w:t>Conjunctivitis can be caused by a multitude of factors. One factor which also needs to be taken into consideration is acidification of the organism. See the section above ‘Eye problems’.</w:t>
      </w:r>
    </w:p>
    <w:p>
      <w:pPr>
        <w:pStyle w:val="Heading1"/>
        <w:ind w:left="616"/>
      </w:pPr>
      <w:r>
        <w:rPr/>
        <w:t>Bladder stones</w:t>
      </w:r>
    </w:p>
    <w:p>
      <w:pPr>
        <w:pStyle w:val="BodyText"/>
        <w:spacing w:line="276" w:lineRule="auto" w:before="300"/>
        <w:ind w:left="616" w:right="133"/>
        <w:jc w:val="both"/>
      </w:pPr>
      <w:r>
        <w:rPr/>
        <w:t>Bladder stones are the storage of acids which must urgently be counteracted with the deacidification of the body.</w:t>
      </w:r>
    </w:p>
    <w:p>
      <w:pPr>
        <w:pStyle w:val="Heading1"/>
        <w:spacing w:before="221"/>
        <w:ind w:left="616"/>
      </w:pPr>
      <w:r>
        <w:rPr/>
        <w:t>High blood pressure/hypertonia</w:t>
      </w:r>
    </w:p>
    <w:p>
      <w:pPr>
        <w:pStyle w:val="BodyText"/>
        <w:spacing w:line="276" w:lineRule="auto" w:before="299"/>
        <w:ind w:left="616" w:right="135"/>
        <w:jc w:val="both"/>
      </w:pPr>
      <w:r>
        <w:rPr/>
        <w:t>High blood pressure (hypertonia) is a big risk factor for strokes and heart at- tacks and more often than not caused by many factors. One significant factor which increases high blood pressure is acidification of the organism.</w:t>
      </w:r>
    </w:p>
    <w:p>
      <w:pPr>
        <w:pStyle w:val="BodyText"/>
        <w:spacing w:line="276" w:lineRule="auto" w:before="239"/>
        <w:ind w:left="616" w:right="134"/>
        <w:jc w:val="both"/>
      </w:pPr>
      <w:r>
        <w:rPr/>
        <w:t>The</w:t>
      </w:r>
      <w:r>
        <w:rPr>
          <w:spacing w:val="-18"/>
        </w:rPr>
        <w:t> </w:t>
      </w:r>
      <w:r>
        <w:rPr/>
        <w:t>red</w:t>
      </w:r>
      <w:r>
        <w:rPr>
          <w:spacing w:val="-19"/>
        </w:rPr>
        <w:t> </w:t>
      </w:r>
      <w:r>
        <w:rPr/>
        <w:t>blood</w:t>
      </w:r>
      <w:r>
        <w:rPr>
          <w:spacing w:val="-21"/>
        </w:rPr>
        <w:t> </w:t>
      </w:r>
      <w:r>
        <w:rPr/>
        <w:t>cells</w:t>
      </w:r>
      <w:r>
        <w:rPr>
          <w:spacing w:val="-19"/>
        </w:rPr>
        <w:t> </w:t>
      </w:r>
      <w:r>
        <w:rPr/>
        <w:t>which</w:t>
      </w:r>
      <w:r>
        <w:rPr>
          <w:spacing w:val="-18"/>
        </w:rPr>
        <w:t> </w:t>
      </w:r>
      <w:r>
        <w:rPr/>
        <w:t>have</w:t>
      </w:r>
      <w:r>
        <w:rPr>
          <w:spacing w:val="-21"/>
        </w:rPr>
        <w:t> </w:t>
      </w:r>
      <w:r>
        <w:rPr/>
        <w:t>become</w:t>
      </w:r>
      <w:r>
        <w:rPr>
          <w:spacing w:val="-18"/>
        </w:rPr>
        <w:t> </w:t>
      </w:r>
      <w:r>
        <w:rPr/>
        <w:t>rigid</w:t>
      </w:r>
      <w:r>
        <w:rPr>
          <w:spacing w:val="-18"/>
        </w:rPr>
        <w:t> </w:t>
      </w:r>
      <w:r>
        <w:rPr/>
        <w:t>and</w:t>
      </w:r>
      <w:r>
        <w:rPr>
          <w:spacing w:val="-19"/>
        </w:rPr>
        <w:t> </w:t>
      </w:r>
      <w:r>
        <w:rPr/>
        <w:t>enlarged</w:t>
      </w:r>
      <w:r>
        <w:rPr>
          <w:spacing w:val="-18"/>
        </w:rPr>
        <w:t> </w:t>
      </w:r>
      <w:r>
        <w:rPr/>
        <w:t>due</w:t>
      </w:r>
      <w:r>
        <w:rPr>
          <w:spacing w:val="-20"/>
        </w:rPr>
        <w:t> </w:t>
      </w:r>
      <w:r>
        <w:rPr/>
        <w:t>to</w:t>
      </w:r>
      <w:r>
        <w:rPr>
          <w:spacing w:val="-18"/>
        </w:rPr>
        <w:t> </w:t>
      </w:r>
      <w:r>
        <w:rPr/>
        <w:t>the</w:t>
      </w:r>
      <w:r>
        <w:rPr>
          <w:spacing w:val="-18"/>
        </w:rPr>
        <w:t> </w:t>
      </w:r>
      <w:r>
        <w:rPr/>
        <w:t>acid</w:t>
      </w:r>
      <w:r>
        <w:rPr>
          <w:spacing w:val="-15"/>
        </w:rPr>
        <w:t> </w:t>
      </w:r>
      <w:r>
        <w:rPr/>
        <w:t>must now be transported as oxygen and nutrient transporters with greater pressure through the fine capillaries to their destination. A subsequent deacidification of the body quickly has a positive effect on normalising the blood</w:t>
      </w:r>
      <w:r>
        <w:rPr>
          <w:spacing w:val="-17"/>
        </w:rPr>
        <w:t> </w:t>
      </w:r>
      <w:r>
        <w:rPr/>
        <w:t>pressure!</w:t>
      </w:r>
    </w:p>
    <w:p>
      <w:pPr>
        <w:pStyle w:val="Heading1"/>
        <w:spacing w:before="225"/>
        <w:ind w:left="616"/>
        <w:jc w:val="both"/>
      </w:pPr>
      <w:r>
        <w:rPr/>
        <w:t>Bronchitis</w:t>
      </w:r>
    </w:p>
    <w:p>
      <w:pPr>
        <w:pStyle w:val="BodyText"/>
        <w:spacing w:before="299"/>
        <w:ind w:left="616"/>
        <w:jc w:val="both"/>
      </w:pPr>
      <w:r>
        <w:rPr/>
        <w:t>Acidification of the body draws in infection. Infectious diseases in the lung</w:t>
      </w:r>
    </w:p>
    <w:p>
      <w:pPr>
        <w:spacing w:after="0"/>
        <w:jc w:val="both"/>
        <w:sectPr>
          <w:pgSz w:w="14270" w:h="16850"/>
          <w:pgMar w:header="0" w:footer="1891" w:top="1340" w:bottom="2080" w:left="800" w:right="1280"/>
        </w:sectPr>
      </w:pPr>
    </w:p>
    <w:p>
      <w:pPr>
        <w:pStyle w:val="BodyText"/>
        <w:spacing w:before="74"/>
        <w:ind w:left="616"/>
      </w:pPr>
      <w:r>
        <w:rPr/>
        <w:t>area accumulate and this leads to bronchitis.</w:t>
      </w:r>
    </w:p>
    <w:p>
      <w:pPr>
        <w:pStyle w:val="Heading1"/>
        <w:spacing w:before="287"/>
        <w:ind w:left="616"/>
      </w:pPr>
      <w:r>
        <w:rPr/>
        <w:t>Burn-out/chronic fatigue syndrome</w:t>
      </w:r>
    </w:p>
    <w:p>
      <w:pPr>
        <w:pStyle w:val="BodyText"/>
        <w:spacing w:line="276" w:lineRule="auto" w:before="297"/>
        <w:ind w:left="616" w:right="134"/>
        <w:jc w:val="both"/>
      </w:pPr>
      <w:r>
        <w:rPr/>
        <w:t>The body taps into bases in order to neutralise acids until these are depleted and there are none left. This results in chronic fatigue syndrome or burn-out syndrome. Furthermore, the sympathetic nervous system as part of our vege- tative system is overwrought, which additionally leads to exhaustion.</w:t>
      </w:r>
    </w:p>
    <w:p>
      <w:pPr>
        <w:pStyle w:val="Heading1"/>
        <w:spacing w:before="225"/>
        <w:ind w:left="616"/>
      </w:pPr>
      <w:r>
        <w:rPr/>
        <w:t>Cellulitis</w:t>
      </w:r>
    </w:p>
    <w:p>
      <w:pPr>
        <w:pStyle w:val="BodyText"/>
        <w:spacing w:line="276" w:lineRule="auto" w:before="299"/>
        <w:ind w:left="616" w:right="136"/>
        <w:jc w:val="both"/>
      </w:pPr>
      <w:r>
        <w:rPr/>
        <w:t>Cellulite</w:t>
      </w:r>
      <w:r>
        <w:rPr>
          <w:spacing w:val="-9"/>
        </w:rPr>
        <w:t> </w:t>
      </w:r>
      <w:r>
        <w:rPr/>
        <w:t>is</w:t>
      </w:r>
      <w:r>
        <w:rPr>
          <w:spacing w:val="-9"/>
        </w:rPr>
        <w:t> </w:t>
      </w:r>
      <w:r>
        <w:rPr/>
        <w:t>considered</w:t>
      </w:r>
      <w:r>
        <w:rPr>
          <w:spacing w:val="-9"/>
        </w:rPr>
        <w:t> </w:t>
      </w:r>
      <w:r>
        <w:rPr/>
        <w:t>to</w:t>
      </w:r>
      <w:r>
        <w:rPr>
          <w:spacing w:val="-9"/>
        </w:rPr>
        <w:t> </w:t>
      </w:r>
      <w:r>
        <w:rPr/>
        <w:t>be</w:t>
      </w:r>
      <w:r>
        <w:rPr>
          <w:spacing w:val="-9"/>
        </w:rPr>
        <w:t> </w:t>
      </w:r>
      <w:r>
        <w:rPr/>
        <w:t>caused</w:t>
      </w:r>
      <w:r>
        <w:rPr>
          <w:spacing w:val="-9"/>
        </w:rPr>
        <w:t> </w:t>
      </w:r>
      <w:r>
        <w:rPr/>
        <w:t>by</w:t>
      </w:r>
      <w:r>
        <w:rPr>
          <w:spacing w:val="-9"/>
        </w:rPr>
        <w:t> </w:t>
      </w:r>
      <w:r>
        <w:rPr/>
        <w:t>multiple</w:t>
      </w:r>
      <w:r>
        <w:rPr>
          <w:spacing w:val="-9"/>
        </w:rPr>
        <w:t> </w:t>
      </w:r>
      <w:r>
        <w:rPr/>
        <w:t>factors,</w:t>
      </w:r>
      <w:r>
        <w:rPr>
          <w:spacing w:val="-7"/>
        </w:rPr>
        <w:t> </w:t>
      </w:r>
      <w:r>
        <w:rPr/>
        <w:t>but</w:t>
      </w:r>
      <w:r>
        <w:rPr>
          <w:spacing w:val="-10"/>
        </w:rPr>
        <w:t> </w:t>
      </w:r>
      <w:r>
        <w:rPr/>
        <w:t>one</w:t>
      </w:r>
      <w:r>
        <w:rPr>
          <w:spacing w:val="-9"/>
        </w:rPr>
        <w:t> </w:t>
      </w:r>
      <w:r>
        <w:rPr/>
        <w:t>important</w:t>
      </w:r>
      <w:r>
        <w:rPr>
          <w:spacing w:val="-9"/>
        </w:rPr>
        <w:t> </w:t>
      </w:r>
      <w:r>
        <w:rPr/>
        <w:t>fac- tor</w:t>
      </w:r>
      <w:r>
        <w:rPr>
          <w:spacing w:val="-19"/>
        </w:rPr>
        <w:t> </w:t>
      </w:r>
      <w:r>
        <w:rPr/>
        <w:t>is</w:t>
      </w:r>
      <w:r>
        <w:rPr>
          <w:spacing w:val="-20"/>
        </w:rPr>
        <w:t> </w:t>
      </w:r>
      <w:r>
        <w:rPr/>
        <w:t>acidification.</w:t>
      </w:r>
      <w:r>
        <w:rPr>
          <w:spacing w:val="-19"/>
        </w:rPr>
        <w:t> </w:t>
      </w:r>
      <w:r>
        <w:rPr/>
        <w:t>The</w:t>
      </w:r>
      <w:r>
        <w:rPr>
          <w:spacing w:val="-22"/>
        </w:rPr>
        <w:t> </w:t>
      </w:r>
      <w:r>
        <w:rPr/>
        <w:t>body</w:t>
      </w:r>
      <w:r>
        <w:rPr>
          <w:spacing w:val="-20"/>
        </w:rPr>
        <w:t> </w:t>
      </w:r>
      <w:r>
        <w:rPr/>
        <w:t>requires</w:t>
      </w:r>
      <w:r>
        <w:rPr>
          <w:spacing w:val="-18"/>
        </w:rPr>
        <w:t> </w:t>
      </w:r>
      <w:r>
        <w:rPr/>
        <w:t>interim</w:t>
      </w:r>
      <w:r>
        <w:rPr>
          <w:spacing w:val="-20"/>
        </w:rPr>
        <w:t> </w:t>
      </w:r>
      <w:r>
        <w:rPr/>
        <w:t>storage</w:t>
      </w:r>
      <w:r>
        <w:rPr>
          <w:spacing w:val="-19"/>
        </w:rPr>
        <w:t> </w:t>
      </w:r>
      <w:r>
        <w:rPr/>
        <w:t>for</w:t>
      </w:r>
      <w:r>
        <w:rPr>
          <w:spacing w:val="-19"/>
        </w:rPr>
        <w:t> </w:t>
      </w:r>
      <w:r>
        <w:rPr/>
        <w:t>acids,</w:t>
      </w:r>
      <w:r>
        <w:rPr>
          <w:spacing w:val="-20"/>
        </w:rPr>
        <w:t> </w:t>
      </w:r>
      <w:r>
        <w:rPr/>
        <w:t>which</w:t>
      </w:r>
      <w:r>
        <w:rPr>
          <w:spacing w:val="-19"/>
        </w:rPr>
        <w:t> </w:t>
      </w:r>
      <w:r>
        <w:rPr/>
        <w:t>it</w:t>
      </w:r>
      <w:r>
        <w:rPr>
          <w:spacing w:val="-20"/>
        </w:rPr>
        <w:t> </w:t>
      </w:r>
      <w:r>
        <w:rPr/>
        <w:t>prefers to collect in women in the form of cellulite on the thighs and bottom. This interim storage is anticipated as the time until of the next period, whose func- tion is, among other things, to expel acid from the</w:t>
      </w:r>
      <w:r>
        <w:rPr>
          <w:spacing w:val="2"/>
        </w:rPr>
        <w:t> </w:t>
      </w:r>
      <w:r>
        <w:rPr/>
        <w:t>body.</w:t>
      </w:r>
    </w:p>
    <w:p>
      <w:pPr>
        <w:pStyle w:val="BodyText"/>
        <w:spacing w:line="276" w:lineRule="auto" w:before="240"/>
        <w:ind w:left="616" w:right="133"/>
        <w:jc w:val="both"/>
      </w:pPr>
      <w:r>
        <w:rPr/>
        <w:t>Incidentally, it is no surprise that exercise does not reduce cellulite in women, rather it appears all the more prominent. Muscle activity creates lactic acid, another acid, which joins with existing acids and often makes cellulite worse, rather than fighting it!</w:t>
      </w:r>
    </w:p>
    <w:p>
      <w:pPr>
        <w:pStyle w:val="Heading1"/>
        <w:spacing w:before="225"/>
        <w:ind w:left="616"/>
      </w:pPr>
      <w:r>
        <w:rPr/>
        <w:t>High cholesterol level</w:t>
      </w:r>
    </w:p>
    <w:p>
      <w:pPr>
        <w:pStyle w:val="BodyText"/>
        <w:spacing w:line="276" w:lineRule="auto" w:before="296"/>
        <w:ind w:left="616" w:right="139"/>
        <w:jc w:val="both"/>
      </w:pPr>
      <w:r>
        <w:rPr/>
        <w:t>As already portrayed under ‘Arteriosclerosis’, the body taps into minerals in the blood vessels in order to bind acids. Magnesium, potassium and calcium are affected by this. However, it destroys blood vessels in the process while at the same time producing increased levels of cholesterol in order to patch</w:t>
      </w:r>
      <w:r>
        <w:rPr>
          <w:spacing w:val="86"/>
        </w:rPr>
        <w:t> </w:t>
      </w:r>
      <w:r>
        <w:rPr/>
        <w:t>this</w:t>
      </w:r>
    </w:p>
    <w:p>
      <w:pPr>
        <w:spacing w:after="0" w:line="276" w:lineRule="auto"/>
        <w:jc w:val="both"/>
        <w:sectPr>
          <w:pgSz w:w="14270" w:h="16850"/>
          <w:pgMar w:header="0" w:footer="1891" w:top="1340" w:bottom="2080" w:left="800" w:right="1280"/>
        </w:sectPr>
      </w:pPr>
    </w:p>
    <w:p>
      <w:pPr>
        <w:pStyle w:val="BodyText"/>
        <w:spacing w:line="276" w:lineRule="auto" w:before="72"/>
        <w:ind w:left="616" w:right="130"/>
        <w:jc w:val="both"/>
      </w:pPr>
      <w:r>
        <w:rPr/>
        <w:t>damage up. This cholesterol is then deposited in greater and greater amounts in</w:t>
      </w:r>
      <w:r>
        <w:rPr>
          <w:spacing w:val="-14"/>
        </w:rPr>
        <w:t> </w:t>
      </w:r>
      <w:r>
        <w:rPr/>
        <w:t>the</w:t>
      </w:r>
      <w:r>
        <w:rPr>
          <w:spacing w:val="-12"/>
        </w:rPr>
        <w:t> </w:t>
      </w:r>
      <w:r>
        <w:rPr/>
        <w:t>vessel</w:t>
      </w:r>
      <w:r>
        <w:rPr>
          <w:spacing w:val="-16"/>
        </w:rPr>
        <w:t> </w:t>
      </w:r>
      <w:r>
        <w:rPr/>
        <w:t>walls,</w:t>
      </w:r>
      <w:r>
        <w:rPr>
          <w:spacing w:val="-13"/>
        </w:rPr>
        <w:t> </w:t>
      </w:r>
      <w:r>
        <w:rPr/>
        <w:t>restricting</w:t>
      </w:r>
      <w:r>
        <w:rPr>
          <w:spacing w:val="-13"/>
        </w:rPr>
        <w:t> </w:t>
      </w:r>
      <w:r>
        <w:rPr/>
        <w:t>blood</w:t>
      </w:r>
      <w:r>
        <w:rPr>
          <w:spacing w:val="-14"/>
        </w:rPr>
        <w:t> </w:t>
      </w:r>
      <w:r>
        <w:rPr/>
        <w:t>vessels</w:t>
      </w:r>
      <w:r>
        <w:rPr>
          <w:spacing w:val="-14"/>
        </w:rPr>
        <w:t> </w:t>
      </w:r>
      <w:r>
        <w:rPr/>
        <w:t>which</w:t>
      </w:r>
      <w:r>
        <w:rPr>
          <w:spacing w:val="-15"/>
        </w:rPr>
        <w:t> </w:t>
      </w:r>
      <w:r>
        <w:rPr/>
        <w:t>can</w:t>
      </w:r>
      <w:r>
        <w:rPr>
          <w:spacing w:val="-12"/>
        </w:rPr>
        <w:t> </w:t>
      </w:r>
      <w:r>
        <w:rPr/>
        <w:t>ultimately</w:t>
      </w:r>
      <w:r>
        <w:rPr>
          <w:spacing w:val="-13"/>
        </w:rPr>
        <w:t> </w:t>
      </w:r>
      <w:r>
        <w:rPr/>
        <w:t>lead</w:t>
      </w:r>
      <w:r>
        <w:rPr>
          <w:spacing w:val="-15"/>
        </w:rPr>
        <w:t> </w:t>
      </w:r>
      <w:r>
        <w:rPr/>
        <w:t>to</w:t>
      </w:r>
      <w:r>
        <w:rPr>
          <w:spacing w:val="-13"/>
        </w:rPr>
        <w:t> </w:t>
      </w:r>
      <w:r>
        <w:rPr/>
        <w:t>a</w:t>
      </w:r>
      <w:r>
        <w:rPr>
          <w:spacing w:val="-14"/>
        </w:rPr>
        <w:t> </w:t>
      </w:r>
      <w:r>
        <w:rPr/>
        <w:t>heart attack or stroke. Therefore, deacidification is the most important treatment against high cholesterol.</w:t>
      </w:r>
    </w:p>
    <w:p>
      <w:pPr>
        <w:pStyle w:val="Heading1"/>
        <w:ind w:left="616"/>
      </w:pPr>
      <w:r>
        <w:rPr/>
        <w:t>Intestine</w:t>
      </w:r>
    </w:p>
    <w:p>
      <w:pPr>
        <w:pStyle w:val="BodyText"/>
        <w:spacing w:line="276" w:lineRule="auto" w:before="299"/>
        <w:ind w:left="616" w:right="132"/>
        <w:jc w:val="both"/>
      </w:pPr>
      <w:r>
        <w:rPr/>
        <w:t>A large part of the processing and absorption of our nutrients takes place in the intestine. Acids which the body tries to neutralise are turned into toxins; these</w:t>
      </w:r>
      <w:r>
        <w:rPr>
          <w:spacing w:val="-8"/>
        </w:rPr>
        <w:t> </w:t>
      </w:r>
      <w:r>
        <w:rPr/>
        <w:t>deposit</w:t>
      </w:r>
      <w:r>
        <w:rPr>
          <w:spacing w:val="-7"/>
        </w:rPr>
        <w:t> </w:t>
      </w:r>
      <w:r>
        <w:rPr/>
        <w:t>sludges</w:t>
      </w:r>
      <w:r>
        <w:rPr>
          <w:spacing w:val="-6"/>
        </w:rPr>
        <w:t> </w:t>
      </w:r>
      <w:r>
        <w:rPr/>
        <w:t>in</w:t>
      </w:r>
      <w:r>
        <w:rPr>
          <w:spacing w:val="-9"/>
        </w:rPr>
        <w:t> </w:t>
      </w:r>
      <w:r>
        <w:rPr/>
        <w:t>our</w:t>
      </w:r>
      <w:r>
        <w:rPr>
          <w:spacing w:val="-7"/>
        </w:rPr>
        <w:t> </w:t>
      </w:r>
      <w:r>
        <w:rPr/>
        <w:t>intestines</w:t>
      </w:r>
      <w:r>
        <w:rPr>
          <w:spacing w:val="-6"/>
        </w:rPr>
        <w:t> </w:t>
      </w:r>
      <w:r>
        <w:rPr/>
        <w:t>and</w:t>
      </w:r>
      <w:r>
        <w:rPr>
          <w:spacing w:val="-7"/>
        </w:rPr>
        <w:t> </w:t>
      </w:r>
      <w:r>
        <w:rPr/>
        <w:t>thereby</w:t>
      </w:r>
      <w:r>
        <w:rPr>
          <w:spacing w:val="-7"/>
        </w:rPr>
        <w:t> </w:t>
      </w:r>
      <w:r>
        <w:rPr/>
        <w:t>inhibit</w:t>
      </w:r>
      <w:r>
        <w:rPr>
          <w:spacing w:val="-7"/>
        </w:rPr>
        <w:t> </w:t>
      </w:r>
      <w:r>
        <w:rPr/>
        <w:t>the</w:t>
      </w:r>
      <w:r>
        <w:rPr>
          <w:spacing w:val="-8"/>
        </w:rPr>
        <w:t> </w:t>
      </w:r>
      <w:r>
        <w:rPr/>
        <w:t>efficient</w:t>
      </w:r>
      <w:r>
        <w:rPr>
          <w:spacing w:val="-6"/>
        </w:rPr>
        <w:t> </w:t>
      </w:r>
      <w:r>
        <w:rPr/>
        <w:t>absorp- tion of minerals in our vascular</w:t>
      </w:r>
      <w:r>
        <w:rPr>
          <w:spacing w:val="1"/>
        </w:rPr>
        <w:t> </w:t>
      </w:r>
      <w:r>
        <w:rPr/>
        <w:t>system!</w:t>
      </w:r>
    </w:p>
    <w:p>
      <w:pPr>
        <w:pStyle w:val="BodyText"/>
        <w:spacing w:line="276" w:lineRule="auto" w:before="240"/>
        <w:ind w:left="616" w:right="132"/>
        <w:jc w:val="both"/>
      </w:pPr>
      <w:r>
        <w:rPr/>
        <w:t>Acidification of the intestine often leads to a viral infection which puts stress on</w:t>
      </w:r>
      <w:r>
        <w:rPr>
          <w:spacing w:val="-13"/>
        </w:rPr>
        <w:t> </w:t>
      </w:r>
      <w:r>
        <w:rPr/>
        <w:t>the</w:t>
      </w:r>
      <w:r>
        <w:rPr>
          <w:spacing w:val="-16"/>
        </w:rPr>
        <w:t> </w:t>
      </w:r>
      <w:r>
        <w:rPr/>
        <w:t>entire</w:t>
      </w:r>
      <w:r>
        <w:rPr>
          <w:spacing w:val="-16"/>
        </w:rPr>
        <w:t> </w:t>
      </w:r>
      <w:r>
        <w:rPr/>
        <w:t>body.</w:t>
      </w:r>
      <w:r>
        <w:rPr>
          <w:spacing w:val="-14"/>
        </w:rPr>
        <w:t> </w:t>
      </w:r>
      <w:r>
        <w:rPr/>
        <w:t>In</w:t>
      </w:r>
      <w:r>
        <w:rPr>
          <w:spacing w:val="-15"/>
        </w:rPr>
        <w:t> </w:t>
      </w:r>
      <w:r>
        <w:rPr/>
        <w:t>order</w:t>
      </w:r>
      <w:r>
        <w:rPr>
          <w:spacing w:val="-13"/>
        </w:rPr>
        <w:t> </w:t>
      </w:r>
      <w:r>
        <w:rPr/>
        <w:t>to</w:t>
      </w:r>
      <w:r>
        <w:rPr>
          <w:spacing w:val="-16"/>
        </w:rPr>
        <w:t> </w:t>
      </w:r>
      <w:r>
        <w:rPr/>
        <w:t>relieve</w:t>
      </w:r>
      <w:r>
        <w:rPr>
          <w:spacing w:val="-14"/>
        </w:rPr>
        <w:t> </w:t>
      </w:r>
      <w:r>
        <w:rPr/>
        <w:t>this,</w:t>
      </w:r>
      <w:r>
        <w:rPr>
          <w:spacing w:val="-15"/>
        </w:rPr>
        <w:t> </w:t>
      </w:r>
      <w:r>
        <w:rPr/>
        <w:t>you</w:t>
      </w:r>
      <w:r>
        <w:rPr>
          <w:spacing w:val="-15"/>
        </w:rPr>
        <w:t> </w:t>
      </w:r>
      <w:r>
        <w:rPr/>
        <w:t>should</w:t>
      </w:r>
      <w:r>
        <w:rPr>
          <w:spacing w:val="-13"/>
        </w:rPr>
        <w:t> </w:t>
      </w:r>
      <w:r>
        <w:rPr/>
        <w:t>consume</w:t>
      </w:r>
      <w:r>
        <w:rPr>
          <w:spacing w:val="-17"/>
        </w:rPr>
        <w:t> </w:t>
      </w:r>
      <w:r>
        <w:rPr/>
        <w:t>as</w:t>
      </w:r>
      <w:r>
        <w:rPr>
          <w:spacing w:val="-14"/>
        </w:rPr>
        <w:t> </w:t>
      </w:r>
      <w:r>
        <w:rPr/>
        <w:t>much</w:t>
      </w:r>
      <w:r>
        <w:rPr>
          <w:spacing w:val="-14"/>
        </w:rPr>
        <w:t> </w:t>
      </w:r>
      <w:r>
        <w:rPr/>
        <w:t>water as</w:t>
      </w:r>
      <w:r>
        <w:rPr>
          <w:spacing w:val="-21"/>
        </w:rPr>
        <w:t> </w:t>
      </w:r>
      <w:r>
        <w:rPr/>
        <w:t>possible</w:t>
      </w:r>
      <w:r>
        <w:rPr>
          <w:spacing w:val="-22"/>
        </w:rPr>
        <w:t> </w:t>
      </w:r>
      <w:r>
        <w:rPr/>
        <w:t>with</w:t>
      </w:r>
      <w:r>
        <w:rPr>
          <w:spacing w:val="-21"/>
        </w:rPr>
        <w:t> </w:t>
      </w:r>
      <w:r>
        <w:rPr/>
        <w:t>bases</w:t>
      </w:r>
      <w:r>
        <w:rPr>
          <w:spacing w:val="-19"/>
        </w:rPr>
        <w:t> </w:t>
      </w:r>
      <w:r>
        <w:rPr/>
        <w:t>early</w:t>
      </w:r>
      <w:r>
        <w:rPr>
          <w:spacing w:val="-21"/>
        </w:rPr>
        <w:t> </w:t>
      </w:r>
      <w:r>
        <w:rPr/>
        <w:t>in</w:t>
      </w:r>
      <w:r>
        <w:rPr>
          <w:spacing w:val="-22"/>
        </w:rPr>
        <w:t> </w:t>
      </w:r>
      <w:r>
        <w:rPr/>
        <w:t>the</w:t>
      </w:r>
      <w:r>
        <w:rPr>
          <w:spacing w:val="-22"/>
        </w:rPr>
        <w:t> </w:t>
      </w:r>
      <w:r>
        <w:rPr/>
        <w:t>morning,</w:t>
      </w:r>
      <w:r>
        <w:rPr>
          <w:spacing w:val="-22"/>
        </w:rPr>
        <w:t> </w:t>
      </w:r>
      <w:r>
        <w:rPr/>
        <w:t>even</w:t>
      </w:r>
      <w:r>
        <w:rPr>
          <w:spacing w:val="-21"/>
        </w:rPr>
        <w:t> </w:t>
      </w:r>
      <w:r>
        <w:rPr/>
        <w:t>before</w:t>
      </w:r>
      <w:r>
        <w:rPr>
          <w:spacing w:val="-21"/>
        </w:rPr>
        <w:t> </w:t>
      </w:r>
      <w:r>
        <w:rPr/>
        <w:t>breakfast</w:t>
      </w:r>
      <w:r>
        <w:rPr>
          <w:spacing w:val="-21"/>
        </w:rPr>
        <w:t> </w:t>
      </w:r>
      <w:r>
        <w:rPr/>
        <w:t>(for</w:t>
      </w:r>
      <w:r>
        <w:rPr>
          <w:spacing w:val="-20"/>
        </w:rPr>
        <w:t> </w:t>
      </w:r>
      <w:r>
        <w:rPr/>
        <w:t>example, 1 teaspoon of sodium bicarbonate in 1 litre of warm</w:t>
      </w:r>
      <w:r>
        <w:rPr>
          <w:spacing w:val="-6"/>
        </w:rPr>
        <w:t> </w:t>
      </w:r>
      <w:r>
        <w:rPr/>
        <w:t>water).</w:t>
      </w:r>
    </w:p>
    <w:p>
      <w:pPr>
        <w:pStyle w:val="Heading1"/>
        <w:spacing w:before="225"/>
        <w:ind w:left="616"/>
      </w:pPr>
      <w:r>
        <w:rPr/>
        <w:t>Intestinal ulcers</w:t>
      </w:r>
    </w:p>
    <w:p>
      <w:pPr>
        <w:pStyle w:val="BodyText"/>
        <w:spacing w:line="276" w:lineRule="auto" w:before="299"/>
        <w:ind w:left="616" w:right="143"/>
        <w:jc w:val="both"/>
      </w:pPr>
      <w:r>
        <w:rPr/>
        <w:t>Intestinal ulcers are also often a result of excess acid in our organism. Acids damage the intestinal wall and lead to ulcers.</w:t>
      </w:r>
    </w:p>
    <w:p>
      <w:pPr>
        <w:pStyle w:val="Heading1"/>
        <w:spacing w:before="221"/>
        <w:ind w:left="616"/>
      </w:pPr>
      <w:r>
        <w:rPr/>
        <w:t>Depression</w:t>
      </w:r>
    </w:p>
    <w:p>
      <w:pPr>
        <w:pStyle w:val="BodyText"/>
        <w:spacing w:line="276" w:lineRule="auto" w:before="299"/>
        <w:ind w:left="616" w:right="133"/>
        <w:jc w:val="both"/>
      </w:pPr>
      <w:r>
        <w:rPr/>
        <w:t>Conventional medicine tries to counteract depression with anti-depressants. This are often not just useless, they also frequently increase the depression itself. A medicine from a well-known pharmaceutical company drew attention to</w:t>
      </w:r>
      <w:r>
        <w:rPr>
          <w:spacing w:val="-9"/>
        </w:rPr>
        <w:t> </w:t>
      </w:r>
      <w:r>
        <w:rPr/>
        <w:t>itself</w:t>
      </w:r>
      <w:r>
        <w:rPr>
          <w:spacing w:val="-10"/>
        </w:rPr>
        <w:t> </w:t>
      </w:r>
      <w:r>
        <w:rPr/>
        <w:t>a</w:t>
      </w:r>
      <w:r>
        <w:rPr>
          <w:spacing w:val="-10"/>
        </w:rPr>
        <w:t> </w:t>
      </w:r>
      <w:r>
        <w:rPr/>
        <w:t>few</w:t>
      </w:r>
      <w:r>
        <w:rPr>
          <w:spacing w:val="-10"/>
        </w:rPr>
        <w:t> </w:t>
      </w:r>
      <w:r>
        <w:rPr/>
        <w:t>years</w:t>
      </w:r>
      <w:r>
        <w:rPr>
          <w:spacing w:val="-8"/>
        </w:rPr>
        <w:t> </w:t>
      </w:r>
      <w:r>
        <w:rPr/>
        <w:t>ago</w:t>
      </w:r>
      <w:r>
        <w:rPr>
          <w:spacing w:val="-9"/>
        </w:rPr>
        <w:t> </w:t>
      </w:r>
      <w:r>
        <w:rPr/>
        <w:t>as</w:t>
      </w:r>
      <w:r>
        <w:rPr>
          <w:spacing w:val="-12"/>
        </w:rPr>
        <w:t> </w:t>
      </w:r>
      <w:r>
        <w:rPr/>
        <w:t>it</w:t>
      </w:r>
      <w:r>
        <w:rPr>
          <w:spacing w:val="-11"/>
        </w:rPr>
        <w:t> </w:t>
      </w:r>
      <w:r>
        <w:rPr/>
        <w:t>led</w:t>
      </w:r>
      <w:r>
        <w:rPr>
          <w:spacing w:val="-10"/>
        </w:rPr>
        <w:t> </w:t>
      </w:r>
      <w:r>
        <w:rPr/>
        <w:t>to</w:t>
      </w:r>
      <w:r>
        <w:rPr>
          <w:spacing w:val="-8"/>
        </w:rPr>
        <w:t> </w:t>
      </w:r>
      <w:r>
        <w:rPr/>
        <w:t>dozens</w:t>
      </w:r>
      <w:r>
        <w:rPr>
          <w:spacing w:val="-10"/>
        </w:rPr>
        <w:t> </w:t>
      </w:r>
      <w:r>
        <w:rPr/>
        <w:t>of</w:t>
      </w:r>
      <w:r>
        <w:rPr>
          <w:spacing w:val="-11"/>
        </w:rPr>
        <w:t> </w:t>
      </w:r>
      <w:r>
        <w:rPr/>
        <w:t>suicides.</w:t>
      </w:r>
      <w:r>
        <w:rPr>
          <w:spacing w:val="-9"/>
        </w:rPr>
        <w:t> </w:t>
      </w:r>
      <w:r>
        <w:rPr/>
        <w:t>Yet</w:t>
      </w:r>
      <w:r>
        <w:rPr>
          <w:spacing w:val="-9"/>
        </w:rPr>
        <w:t> </w:t>
      </w:r>
      <w:r>
        <w:rPr/>
        <w:t>the</w:t>
      </w:r>
      <w:r>
        <w:rPr>
          <w:spacing w:val="-8"/>
        </w:rPr>
        <w:t> </w:t>
      </w:r>
      <w:r>
        <w:rPr/>
        <w:t>solution</w:t>
      </w:r>
      <w:r>
        <w:rPr>
          <w:spacing w:val="-8"/>
        </w:rPr>
        <w:t> </w:t>
      </w:r>
      <w:r>
        <w:rPr/>
        <w:t>is</w:t>
      </w:r>
      <w:r>
        <w:rPr>
          <w:spacing w:val="-9"/>
        </w:rPr>
        <w:t> </w:t>
      </w:r>
      <w:r>
        <w:rPr/>
        <w:t>often</w:t>
      </w:r>
    </w:p>
    <w:p>
      <w:pPr>
        <w:spacing w:after="0" w:line="276" w:lineRule="auto"/>
        <w:jc w:val="both"/>
        <w:sectPr>
          <w:pgSz w:w="14270" w:h="16850"/>
          <w:pgMar w:header="0" w:footer="1891" w:top="1340" w:bottom="2080" w:left="800" w:right="1280"/>
        </w:sectPr>
      </w:pPr>
    </w:p>
    <w:p>
      <w:pPr>
        <w:pStyle w:val="BodyText"/>
        <w:spacing w:line="276" w:lineRule="auto" w:before="72"/>
        <w:ind w:left="616" w:right="133"/>
        <w:jc w:val="both"/>
      </w:pPr>
      <w:r>
        <w:rPr/>
        <w:t>very simple: De-acidify the body and keep it in an alkaline range – just one teaspoon</w:t>
      </w:r>
      <w:r>
        <w:rPr>
          <w:spacing w:val="-8"/>
        </w:rPr>
        <w:t> </w:t>
      </w:r>
      <w:r>
        <w:rPr/>
        <w:t>of</w:t>
      </w:r>
      <w:r>
        <w:rPr>
          <w:spacing w:val="-7"/>
        </w:rPr>
        <w:t> </w:t>
      </w:r>
      <w:r>
        <w:rPr/>
        <w:t>sodium</w:t>
      </w:r>
      <w:r>
        <w:rPr>
          <w:spacing w:val="-7"/>
        </w:rPr>
        <w:t> </w:t>
      </w:r>
      <w:r>
        <w:rPr/>
        <w:t>bicarbonate</w:t>
      </w:r>
      <w:r>
        <w:rPr>
          <w:spacing w:val="-7"/>
        </w:rPr>
        <w:t> </w:t>
      </w:r>
      <w:r>
        <w:rPr/>
        <w:t>dissolved</w:t>
      </w:r>
      <w:r>
        <w:rPr>
          <w:spacing w:val="-8"/>
        </w:rPr>
        <w:t> </w:t>
      </w:r>
      <w:r>
        <w:rPr/>
        <w:t>in</w:t>
      </w:r>
      <w:r>
        <w:rPr>
          <w:spacing w:val="-7"/>
        </w:rPr>
        <w:t> </w:t>
      </w:r>
      <w:r>
        <w:rPr/>
        <w:t>a</w:t>
      </w:r>
      <w:r>
        <w:rPr>
          <w:spacing w:val="-8"/>
        </w:rPr>
        <w:t> </w:t>
      </w:r>
      <w:r>
        <w:rPr/>
        <w:t>glass</w:t>
      </w:r>
      <w:r>
        <w:rPr>
          <w:spacing w:val="-6"/>
        </w:rPr>
        <w:t> </w:t>
      </w:r>
      <w:r>
        <w:rPr/>
        <w:t>of</w:t>
      </w:r>
      <w:r>
        <w:rPr>
          <w:spacing w:val="-7"/>
        </w:rPr>
        <w:t> </w:t>
      </w:r>
      <w:r>
        <w:rPr/>
        <w:t>warm</w:t>
      </w:r>
      <w:r>
        <w:rPr>
          <w:spacing w:val="-7"/>
        </w:rPr>
        <w:t> </w:t>
      </w:r>
      <w:r>
        <w:rPr/>
        <w:t>water</w:t>
      </w:r>
      <w:r>
        <w:rPr>
          <w:spacing w:val="-6"/>
        </w:rPr>
        <w:t> </w:t>
      </w:r>
      <w:r>
        <w:rPr/>
        <w:t>can</w:t>
      </w:r>
      <w:r>
        <w:rPr>
          <w:spacing w:val="-6"/>
        </w:rPr>
        <w:t> </w:t>
      </w:r>
      <w:r>
        <w:rPr/>
        <w:t>have</w:t>
      </w:r>
      <w:r>
        <w:rPr>
          <w:spacing w:val="-7"/>
        </w:rPr>
        <w:t> </w:t>
      </w:r>
      <w:r>
        <w:rPr/>
        <w:t>a positive effect after just 20 mins and after a few days bring about a complete change in our well-being! (Hot tip: sodium bicarbonate (500 g) can be found in Russian specialist trade shops for 85 cents as a baking</w:t>
      </w:r>
      <w:r>
        <w:rPr>
          <w:spacing w:val="-11"/>
        </w:rPr>
        <w:t> </w:t>
      </w:r>
      <w:r>
        <w:rPr/>
        <w:t>agent.)</w:t>
      </w:r>
    </w:p>
    <w:p>
      <w:pPr>
        <w:pStyle w:val="Heading1"/>
        <w:ind w:left="616"/>
      </w:pPr>
      <w:r>
        <w:rPr/>
        <w:t>Diabetes</w:t>
      </w:r>
    </w:p>
    <w:p>
      <w:pPr>
        <w:pStyle w:val="BodyText"/>
        <w:spacing w:line="276" w:lineRule="auto" w:before="300"/>
        <w:ind w:left="616" w:right="134"/>
        <w:jc w:val="both"/>
        <w:rPr>
          <w:sz w:val="25"/>
        </w:rPr>
      </w:pPr>
      <w:r>
        <w:rPr/>
        <w:t>The</w:t>
      </w:r>
      <w:r>
        <w:rPr>
          <w:spacing w:val="-14"/>
        </w:rPr>
        <w:t> </w:t>
      </w:r>
      <w:r>
        <w:rPr/>
        <w:t>pancreas</w:t>
      </w:r>
      <w:r>
        <w:rPr>
          <w:spacing w:val="-15"/>
        </w:rPr>
        <w:t> </w:t>
      </w:r>
      <w:r>
        <w:rPr/>
        <w:t>is</w:t>
      </w:r>
      <w:r>
        <w:rPr>
          <w:spacing w:val="-17"/>
        </w:rPr>
        <w:t> </w:t>
      </w:r>
      <w:r>
        <w:rPr/>
        <w:t>dependent</w:t>
      </w:r>
      <w:r>
        <w:rPr>
          <w:spacing w:val="-14"/>
        </w:rPr>
        <w:t> </w:t>
      </w:r>
      <w:r>
        <w:rPr/>
        <w:t>on</w:t>
      </w:r>
      <w:r>
        <w:rPr>
          <w:spacing w:val="-14"/>
        </w:rPr>
        <w:t> </w:t>
      </w:r>
      <w:r>
        <w:rPr/>
        <w:t>bases.</w:t>
      </w:r>
      <w:r>
        <w:rPr>
          <w:spacing w:val="-13"/>
        </w:rPr>
        <w:t> </w:t>
      </w:r>
      <w:r>
        <w:rPr/>
        <w:t>However,</w:t>
      </w:r>
      <w:r>
        <w:rPr>
          <w:spacing w:val="-14"/>
        </w:rPr>
        <w:t> </w:t>
      </w:r>
      <w:r>
        <w:rPr/>
        <w:t>these</w:t>
      </w:r>
      <w:r>
        <w:rPr>
          <w:spacing w:val="-13"/>
        </w:rPr>
        <w:t> </w:t>
      </w:r>
      <w:r>
        <w:rPr/>
        <w:t>are</w:t>
      </w:r>
      <w:r>
        <w:rPr>
          <w:spacing w:val="-15"/>
        </w:rPr>
        <w:t> </w:t>
      </w:r>
      <w:r>
        <w:rPr/>
        <w:t>fully</w:t>
      </w:r>
      <w:r>
        <w:rPr>
          <w:spacing w:val="-15"/>
        </w:rPr>
        <w:t> </w:t>
      </w:r>
      <w:r>
        <w:rPr/>
        <w:t>contorted</w:t>
      </w:r>
      <w:r>
        <w:rPr>
          <w:spacing w:val="-15"/>
        </w:rPr>
        <w:t> </w:t>
      </w:r>
      <w:r>
        <w:rPr/>
        <w:t>by</w:t>
      </w:r>
      <w:r>
        <w:rPr>
          <w:spacing w:val="-14"/>
        </w:rPr>
        <w:t> </w:t>
      </w:r>
      <w:r>
        <w:rPr/>
        <w:t>the acids</w:t>
      </w:r>
      <w:r>
        <w:rPr>
          <w:spacing w:val="-18"/>
        </w:rPr>
        <w:t> </w:t>
      </w:r>
      <w:r>
        <w:rPr/>
        <w:t>in</w:t>
      </w:r>
      <w:r>
        <w:rPr>
          <w:spacing w:val="-17"/>
        </w:rPr>
        <w:t> </w:t>
      </w:r>
      <w:r>
        <w:rPr/>
        <w:t>the</w:t>
      </w:r>
      <w:r>
        <w:rPr>
          <w:spacing w:val="-19"/>
        </w:rPr>
        <w:t> </w:t>
      </w:r>
      <w:r>
        <w:rPr/>
        <w:t>organism.</w:t>
      </w:r>
      <w:r>
        <w:rPr>
          <w:spacing w:val="-17"/>
        </w:rPr>
        <w:t> </w:t>
      </w:r>
      <w:r>
        <w:rPr/>
        <w:t>This</w:t>
      </w:r>
      <w:r>
        <w:rPr>
          <w:spacing w:val="-19"/>
        </w:rPr>
        <w:t> </w:t>
      </w:r>
      <w:r>
        <w:rPr/>
        <w:t>consistently</w:t>
      </w:r>
      <w:r>
        <w:rPr>
          <w:spacing w:val="-17"/>
        </w:rPr>
        <w:t> </w:t>
      </w:r>
      <w:r>
        <w:rPr/>
        <w:t>damages</w:t>
      </w:r>
      <w:r>
        <w:rPr>
          <w:spacing w:val="-18"/>
        </w:rPr>
        <w:t> </w:t>
      </w:r>
      <w:r>
        <w:rPr/>
        <w:t>the</w:t>
      </w:r>
      <w:r>
        <w:rPr>
          <w:spacing w:val="-16"/>
        </w:rPr>
        <w:t> </w:t>
      </w:r>
      <w:r>
        <w:rPr/>
        <w:t>pancreas,</w:t>
      </w:r>
      <w:r>
        <w:rPr>
          <w:spacing w:val="-19"/>
        </w:rPr>
        <w:t> </w:t>
      </w:r>
      <w:r>
        <w:rPr/>
        <w:t>releases</w:t>
      </w:r>
      <w:r>
        <w:rPr>
          <w:spacing w:val="-17"/>
        </w:rPr>
        <w:t> </w:t>
      </w:r>
      <w:r>
        <w:rPr/>
        <w:t>ketones and leads to diabetes with all its long-term effects. Deacidification as a funda- mental therapy with the aim of achieving an alkaline state (pH 7.5) should ac- company all treatments. The effect of insulin is increased by deacidification, which</w:t>
      </w:r>
      <w:r>
        <w:rPr>
          <w:spacing w:val="-8"/>
        </w:rPr>
        <w:t> </w:t>
      </w:r>
      <w:r>
        <w:rPr/>
        <w:t>is</w:t>
      </w:r>
      <w:r>
        <w:rPr>
          <w:spacing w:val="-8"/>
        </w:rPr>
        <w:t> </w:t>
      </w:r>
      <w:r>
        <w:rPr/>
        <w:t>why</w:t>
      </w:r>
      <w:r>
        <w:rPr>
          <w:spacing w:val="-9"/>
        </w:rPr>
        <w:t> </w:t>
      </w:r>
      <w:r>
        <w:rPr/>
        <w:t>diabetics</w:t>
      </w:r>
      <w:r>
        <w:rPr>
          <w:spacing w:val="-8"/>
        </w:rPr>
        <w:t> </w:t>
      </w:r>
      <w:r>
        <w:rPr/>
        <w:t>used</w:t>
      </w:r>
      <w:r>
        <w:rPr>
          <w:spacing w:val="-10"/>
        </w:rPr>
        <w:t> </w:t>
      </w:r>
      <w:r>
        <w:rPr/>
        <w:t>to</w:t>
      </w:r>
      <w:r>
        <w:rPr>
          <w:spacing w:val="-8"/>
        </w:rPr>
        <w:t> </w:t>
      </w:r>
      <w:r>
        <w:rPr/>
        <w:t>be</w:t>
      </w:r>
      <w:r>
        <w:rPr>
          <w:spacing w:val="-11"/>
        </w:rPr>
        <w:t> </w:t>
      </w:r>
      <w:r>
        <w:rPr/>
        <w:t>prescribed</w:t>
      </w:r>
      <w:r>
        <w:rPr>
          <w:spacing w:val="-11"/>
        </w:rPr>
        <w:t> </w:t>
      </w:r>
      <w:r>
        <w:rPr/>
        <w:t>up</w:t>
      </w:r>
      <w:r>
        <w:rPr>
          <w:spacing w:val="-10"/>
        </w:rPr>
        <w:t> </w:t>
      </w:r>
      <w:r>
        <w:rPr/>
        <w:t>to</w:t>
      </w:r>
      <w:r>
        <w:rPr>
          <w:spacing w:val="-8"/>
        </w:rPr>
        <w:t> </w:t>
      </w:r>
      <w:r>
        <w:rPr/>
        <w:t>30</w:t>
      </w:r>
      <w:r>
        <w:rPr>
          <w:spacing w:val="-10"/>
        </w:rPr>
        <w:t> </w:t>
      </w:r>
      <w:r>
        <w:rPr/>
        <w:t>g</w:t>
      </w:r>
      <w:r>
        <w:rPr>
          <w:spacing w:val="-8"/>
        </w:rPr>
        <w:t> </w:t>
      </w:r>
      <w:r>
        <w:rPr/>
        <w:t>of</w:t>
      </w:r>
      <w:r>
        <w:rPr>
          <w:spacing w:val="-10"/>
        </w:rPr>
        <w:t> </w:t>
      </w:r>
      <w:r>
        <w:rPr/>
        <w:t>sodium</w:t>
      </w:r>
      <w:r>
        <w:rPr>
          <w:spacing w:val="-9"/>
        </w:rPr>
        <w:t> </w:t>
      </w:r>
      <w:r>
        <w:rPr/>
        <w:t>bicarbonate a day, before insulin injections became</w:t>
      </w:r>
      <w:r>
        <w:rPr>
          <w:spacing w:val="2"/>
        </w:rPr>
        <w:t> </w:t>
      </w:r>
      <w:r>
        <w:rPr/>
        <w:t>available.</w:t>
      </w:r>
      <w:r>
        <w:rPr>
          <w:position w:val="9"/>
          <w:sz w:val="25"/>
        </w:rPr>
        <w:t>1040</w:t>
      </w:r>
    </w:p>
    <w:p>
      <w:pPr>
        <w:pStyle w:val="Heading1"/>
        <w:ind w:left="616"/>
      </w:pPr>
      <w:r>
        <w:rPr/>
        <w:t>Circulatory disorders</w:t>
      </w:r>
    </w:p>
    <w:p>
      <w:pPr>
        <w:pStyle w:val="BodyText"/>
        <w:spacing w:line="276" w:lineRule="auto" w:before="299"/>
        <w:ind w:left="616" w:right="132"/>
        <w:jc w:val="both"/>
      </w:pPr>
      <w:r>
        <w:rPr/>
        <w:t>Excess acid makes red blood cells solidify; they can only pass through the smallest capillaries with difficulty and clog up our blood vessels.</w:t>
      </w:r>
    </w:p>
    <w:p>
      <w:pPr>
        <w:pStyle w:val="BodyText"/>
        <w:spacing w:line="276" w:lineRule="auto" w:before="238"/>
        <w:ind w:left="616" w:right="138"/>
        <w:jc w:val="both"/>
      </w:pPr>
      <w:r>
        <w:rPr/>
        <w:t>This</w:t>
      </w:r>
      <w:r>
        <w:rPr>
          <w:spacing w:val="-7"/>
        </w:rPr>
        <w:t> </w:t>
      </w:r>
      <w:r>
        <w:rPr/>
        <w:t>leads</w:t>
      </w:r>
      <w:r>
        <w:rPr>
          <w:spacing w:val="-8"/>
        </w:rPr>
        <w:t> </w:t>
      </w:r>
      <w:r>
        <w:rPr/>
        <w:t>to</w:t>
      </w:r>
      <w:r>
        <w:rPr>
          <w:spacing w:val="-7"/>
        </w:rPr>
        <w:t> </w:t>
      </w:r>
      <w:r>
        <w:rPr/>
        <w:t>circulatory</w:t>
      </w:r>
      <w:r>
        <w:rPr>
          <w:spacing w:val="-8"/>
        </w:rPr>
        <w:t> </w:t>
      </w:r>
      <w:r>
        <w:rPr/>
        <w:t>disorders</w:t>
      </w:r>
      <w:r>
        <w:rPr>
          <w:spacing w:val="-7"/>
        </w:rPr>
        <w:t> </w:t>
      </w:r>
      <w:r>
        <w:rPr/>
        <w:t>and</w:t>
      </w:r>
      <w:r>
        <w:rPr>
          <w:spacing w:val="-8"/>
        </w:rPr>
        <w:t> </w:t>
      </w:r>
      <w:r>
        <w:rPr/>
        <w:t>the</w:t>
      </w:r>
      <w:r>
        <w:rPr>
          <w:spacing w:val="-9"/>
        </w:rPr>
        <w:t> </w:t>
      </w:r>
      <w:r>
        <w:rPr/>
        <w:t>subsequent</w:t>
      </w:r>
      <w:r>
        <w:rPr>
          <w:spacing w:val="-7"/>
        </w:rPr>
        <w:t> </w:t>
      </w:r>
      <w:r>
        <w:rPr/>
        <w:t>diseases</w:t>
      </w:r>
      <w:r>
        <w:rPr>
          <w:spacing w:val="-7"/>
        </w:rPr>
        <w:t> </w:t>
      </w:r>
      <w:r>
        <w:rPr/>
        <w:t>associated</w:t>
      </w:r>
      <w:r>
        <w:rPr>
          <w:spacing w:val="-9"/>
        </w:rPr>
        <w:t> </w:t>
      </w:r>
      <w:r>
        <w:rPr/>
        <w:t>with these, starting with thrombosis, right down to heart attacks.</w:t>
      </w:r>
      <w:r>
        <w:rPr>
          <w:spacing w:val="30"/>
        </w:rPr>
        <w:t> </w:t>
      </w:r>
      <w:r>
        <w:rPr/>
        <w:t>Deacidification</w:t>
      </w:r>
    </w:p>
    <w:p>
      <w:pPr>
        <w:pStyle w:val="BodyText"/>
        <w:rPr>
          <w:sz w:val="20"/>
        </w:rPr>
      </w:pPr>
    </w:p>
    <w:p>
      <w:pPr>
        <w:pStyle w:val="BodyText"/>
        <w:spacing w:before="5"/>
        <w:rPr>
          <w:sz w:val="27"/>
        </w:rPr>
      </w:pPr>
      <w:r>
        <w:rPr/>
        <w:pict>
          <v:line style="position:absolute;mso-position-horizontal-relative:page;mso-position-vertical-relative:paragraph;z-index:16280;mso-wrap-distance-left:0;mso-wrap-distance-right:0" from="70.823997pt,17.790014pt" to="214.843997pt,17.790014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1040 </w:t>
      </w:r>
      <w:r>
        <w:rPr>
          <w:sz w:val="20"/>
        </w:rPr>
        <w:t>Kurt Tepperwein: Jungbrunnen Entsäuerung, May 2001, p. 126</w:t>
      </w:r>
    </w:p>
    <w:p>
      <w:pPr>
        <w:spacing w:after="0"/>
        <w:jc w:val="left"/>
        <w:rPr>
          <w:sz w:val="20"/>
        </w:rPr>
        <w:sectPr>
          <w:footerReference w:type="default" r:id="rId501"/>
          <w:pgSz w:w="14270" w:h="16850"/>
          <w:pgMar w:footer="1891" w:header="0" w:top="1340" w:bottom="2080" w:left="800" w:right="1280"/>
          <w:pgNumType w:start="1820"/>
        </w:sectPr>
      </w:pPr>
    </w:p>
    <w:p>
      <w:pPr>
        <w:pStyle w:val="BodyText"/>
        <w:spacing w:line="278" w:lineRule="auto" w:before="72"/>
        <w:ind w:left="616" w:right="137"/>
        <w:jc w:val="both"/>
      </w:pPr>
      <w:r>
        <w:rPr/>
        <w:t>and</w:t>
      </w:r>
      <w:r>
        <w:rPr>
          <w:spacing w:val="-16"/>
        </w:rPr>
        <w:t> </w:t>
      </w:r>
      <w:r>
        <w:rPr/>
        <w:t>efforts</w:t>
      </w:r>
      <w:r>
        <w:rPr>
          <w:spacing w:val="-16"/>
        </w:rPr>
        <w:t> </w:t>
      </w:r>
      <w:r>
        <w:rPr/>
        <w:t>to</w:t>
      </w:r>
      <w:r>
        <w:rPr>
          <w:spacing w:val="-19"/>
        </w:rPr>
        <w:t> </w:t>
      </w:r>
      <w:r>
        <w:rPr/>
        <w:t>keep</w:t>
      </w:r>
      <w:r>
        <w:rPr>
          <w:spacing w:val="-16"/>
        </w:rPr>
        <w:t> </w:t>
      </w:r>
      <w:r>
        <w:rPr/>
        <w:t>an</w:t>
      </w:r>
      <w:r>
        <w:rPr>
          <w:spacing w:val="-16"/>
        </w:rPr>
        <w:t> </w:t>
      </w:r>
      <w:r>
        <w:rPr/>
        <w:t>acid-base</w:t>
      </w:r>
      <w:r>
        <w:rPr>
          <w:spacing w:val="-18"/>
        </w:rPr>
        <w:t> </w:t>
      </w:r>
      <w:r>
        <w:rPr/>
        <w:t>balance</w:t>
      </w:r>
      <w:r>
        <w:rPr>
          <w:spacing w:val="-16"/>
        </w:rPr>
        <w:t> </w:t>
      </w:r>
      <w:r>
        <w:rPr/>
        <w:t>is</w:t>
      </w:r>
      <w:r>
        <w:rPr>
          <w:spacing w:val="-17"/>
        </w:rPr>
        <w:t> </w:t>
      </w:r>
      <w:r>
        <w:rPr/>
        <w:t>the</w:t>
      </w:r>
      <w:r>
        <w:rPr>
          <w:spacing w:val="-18"/>
        </w:rPr>
        <w:t> </w:t>
      </w:r>
      <w:r>
        <w:rPr/>
        <w:t>method</w:t>
      </w:r>
      <w:r>
        <w:rPr>
          <w:spacing w:val="-17"/>
        </w:rPr>
        <w:t> </w:t>
      </w:r>
      <w:r>
        <w:rPr/>
        <w:t>of</w:t>
      </w:r>
      <w:r>
        <w:rPr>
          <w:spacing w:val="-19"/>
        </w:rPr>
        <w:t> </w:t>
      </w:r>
      <w:r>
        <w:rPr/>
        <w:t>choice</w:t>
      </w:r>
      <w:r>
        <w:rPr>
          <w:spacing w:val="-18"/>
        </w:rPr>
        <w:t> </w:t>
      </w:r>
      <w:r>
        <w:rPr/>
        <w:t>here</w:t>
      </w:r>
      <w:r>
        <w:rPr>
          <w:spacing w:val="-16"/>
        </w:rPr>
        <w:t> </w:t>
      </w:r>
      <w:r>
        <w:rPr/>
        <w:t>to</w:t>
      </w:r>
      <w:r>
        <w:rPr>
          <w:spacing w:val="-19"/>
        </w:rPr>
        <w:t> </w:t>
      </w:r>
      <w:r>
        <w:rPr/>
        <w:t>ensure quick</w:t>
      </w:r>
      <w:r>
        <w:rPr>
          <w:spacing w:val="-2"/>
        </w:rPr>
        <w:t> </w:t>
      </w:r>
      <w:r>
        <w:rPr/>
        <w:t>relief.</w:t>
      </w:r>
    </w:p>
    <w:p>
      <w:pPr>
        <w:pStyle w:val="Heading1"/>
        <w:spacing w:before="215"/>
        <w:ind w:left="616"/>
      </w:pPr>
      <w:r>
        <w:rPr/>
        <w:t>Diarrhoea</w:t>
      </w:r>
    </w:p>
    <w:p>
      <w:pPr>
        <w:pStyle w:val="BodyText"/>
        <w:spacing w:line="276" w:lineRule="auto" w:before="299"/>
        <w:ind w:left="616" w:right="138"/>
        <w:jc w:val="both"/>
      </w:pPr>
      <w:r>
        <w:rPr/>
        <w:t>The body has several mechanisms to flush out acids. In addition to sweat and urine, vomiting also contributes to deacidification and detoxification. Diar- rhoea is a further bodily function to urgently remove acids from the body. A balance of acids and bases can therefore help with diarrhoea.</w:t>
      </w:r>
    </w:p>
    <w:p>
      <w:pPr>
        <w:pStyle w:val="Heading1"/>
        <w:spacing w:before="225"/>
        <w:ind w:left="616"/>
      </w:pPr>
      <w:r>
        <w:rPr>
          <w:w w:val="95"/>
        </w:rPr>
        <w:t>Purulent</w:t>
      </w:r>
      <w:r>
        <w:rPr>
          <w:spacing w:val="-9"/>
          <w:w w:val="95"/>
        </w:rPr>
        <w:t> </w:t>
      </w:r>
      <w:r>
        <w:rPr>
          <w:w w:val="95"/>
        </w:rPr>
        <w:t>tonsils</w:t>
      </w:r>
    </w:p>
    <w:p>
      <w:pPr>
        <w:pStyle w:val="BodyText"/>
        <w:spacing w:line="276" w:lineRule="auto" w:before="299"/>
        <w:ind w:left="616" w:right="133"/>
        <w:jc w:val="both"/>
      </w:pPr>
      <w:r>
        <w:rPr/>
        <w:t>Purulent tonsils are also frequently a symptom of acidification. The body tries to excrete</w:t>
      </w:r>
      <w:r>
        <w:rPr>
          <w:spacing w:val="1"/>
        </w:rPr>
        <w:t> </w:t>
      </w:r>
      <w:r>
        <w:rPr/>
        <w:t>sludge.</w:t>
      </w:r>
    </w:p>
    <w:p>
      <w:pPr>
        <w:pStyle w:val="Heading1"/>
        <w:spacing w:before="221"/>
        <w:ind w:left="616"/>
      </w:pPr>
      <w:r>
        <w:rPr/>
        <w:t>Eczema</w:t>
      </w:r>
    </w:p>
    <w:p>
      <w:pPr>
        <w:pStyle w:val="BodyText"/>
        <w:spacing w:line="276" w:lineRule="auto" w:before="299"/>
        <w:ind w:left="616" w:right="136"/>
        <w:jc w:val="both"/>
      </w:pPr>
      <w:r>
        <w:rPr/>
        <w:t>Eczema may be the result of an overreaction of the lymphatic and immune systems due to excess acid. Acid specialist and healing practitioner Kurt Tep- perwein recommends an alkaline bath of at least two hours in his book ‘Jungbrunnen Entsäuerung’ (‘Deacidification: The Fountain of Youth’) in or- der to also de-acidify the body externally.</w:t>
      </w:r>
    </w:p>
    <w:p>
      <w:pPr>
        <w:pStyle w:val="Heading1"/>
        <w:spacing w:before="223"/>
        <w:ind w:left="616"/>
      </w:pPr>
      <w:r>
        <w:rPr/>
        <w:t>Fever</w:t>
      </w:r>
    </w:p>
    <w:p>
      <w:pPr>
        <w:pStyle w:val="BodyText"/>
        <w:spacing w:line="276" w:lineRule="auto" w:before="299"/>
        <w:ind w:left="616" w:right="134"/>
        <w:jc w:val="both"/>
      </w:pPr>
      <w:r>
        <w:rPr/>
        <w:t>In addition to the function of warding off infections, a fever also has the task of getting rid of the neutralised acid sludge or ‘burning off’ the sludge. Previ- ously, people intuitively and wisely used throat and leg compresses in order to</w:t>
      </w:r>
    </w:p>
    <w:p>
      <w:pPr>
        <w:spacing w:after="0" w:line="276" w:lineRule="auto"/>
        <w:jc w:val="both"/>
        <w:sectPr>
          <w:pgSz w:w="14270" w:h="16850"/>
          <w:pgMar w:header="0" w:footer="1891" w:top="1340" w:bottom="2080" w:left="800" w:right="1280"/>
        </w:sectPr>
      </w:pPr>
    </w:p>
    <w:p>
      <w:pPr>
        <w:pStyle w:val="BodyText"/>
        <w:spacing w:before="74"/>
        <w:ind w:left="616"/>
        <w:jc w:val="both"/>
      </w:pPr>
      <w:r>
        <w:rPr/>
        <w:t>burn off sludge, today we use acidic antibiotics and pain killers.</w:t>
      </w:r>
    </w:p>
    <w:p>
      <w:pPr>
        <w:pStyle w:val="BodyText"/>
        <w:spacing w:line="276" w:lineRule="auto" w:before="305"/>
        <w:ind w:left="616" w:right="135"/>
        <w:jc w:val="both"/>
      </w:pPr>
      <w:r>
        <w:rPr/>
        <w:t>Deacidification of the body can bring about tangible relief here. Despite a re- stricted appetite which occurs naturally with fever you should consume as many alkaline drinks as possible.</w:t>
      </w:r>
    </w:p>
    <w:p>
      <w:pPr>
        <w:pStyle w:val="Heading2"/>
        <w:spacing w:before="238"/>
        <w:ind w:left="616"/>
        <w:jc w:val="both"/>
      </w:pPr>
      <w:r>
        <w:rPr/>
        <w:t>Gallstones</w:t>
      </w:r>
    </w:p>
    <w:p>
      <w:pPr>
        <w:pStyle w:val="BodyText"/>
        <w:spacing w:line="276" w:lineRule="auto" w:before="305"/>
        <w:ind w:left="616" w:right="130"/>
        <w:jc w:val="both"/>
      </w:pPr>
      <w:r>
        <w:rPr/>
        <w:t>The</w:t>
      </w:r>
      <w:r>
        <w:rPr>
          <w:spacing w:val="-13"/>
        </w:rPr>
        <w:t> </w:t>
      </w:r>
      <w:r>
        <w:rPr/>
        <w:t>gall</w:t>
      </w:r>
      <w:r>
        <w:rPr>
          <w:spacing w:val="-14"/>
        </w:rPr>
        <w:t> </w:t>
      </w:r>
      <w:r>
        <w:rPr/>
        <w:t>bladder</w:t>
      </w:r>
      <w:r>
        <w:rPr>
          <w:spacing w:val="-15"/>
        </w:rPr>
        <w:t> </w:t>
      </w:r>
      <w:r>
        <w:rPr/>
        <w:t>is</w:t>
      </w:r>
      <w:r>
        <w:rPr>
          <w:spacing w:val="-13"/>
        </w:rPr>
        <w:t> </w:t>
      </w:r>
      <w:r>
        <w:rPr/>
        <w:t>dependent</w:t>
      </w:r>
      <w:r>
        <w:rPr>
          <w:spacing w:val="-16"/>
        </w:rPr>
        <w:t> </w:t>
      </w:r>
      <w:r>
        <w:rPr/>
        <w:t>on</w:t>
      </w:r>
      <w:r>
        <w:rPr>
          <w:spacing w:val="-17"/>
        </w:rPr>
        <w:t> </w:t>
      </w:r>
      <w:r>
        <w:rPr/>
        <w:t>bases</w:t>
      </w:r>
      <w:r>
        <w:rPr>
          <w:spacing w:val="-10"/>
        </w:rPr>
        <w:t> </w:t>
      </w:r>
      <w:r>
        <w:rPr/>
        <w:t>which</w:t>
      </w:r>
      <w:r>
        <w:rPr>
          <w:spacing w:val="-15"/>
        </w:rPr>
        <w:t> </w:t>
      </w:r>
      <w:r>
        <w:rPr/>
        <w:t>form</w:t>
      </w:r>
      <w:r>
        <w:rPr>
          <w:spacing w:val="-14"/>
        </w:rPr>
        <w:t> </w:t>
      </w:r>
      <w:r>
        <w:rPr/>
        <w:t>in</w:t>
      </w:r>
      <w:r>
        <w:rPr>
          <w:spacing w:val="-15"/>
        </w:rPr>
        <w:t> </w:t>
      </w:r>
      <w:r>
        <w:rPr/>
        <w:t>the</w:t>
      </w:r>
      <w:r>
        <w:rPr>
          <w:spacing w:val="-14"/>
        </w:rPr>
        <w:t> </w:t>
      </w:r>
      <w:r>
        <w:rPr/>
        <w:t>stomach.</w:t>
      </w:r>
      <w:r>
        <w:rPr>
          <w:spacing w:val="-12"/>
        </w:rPr>
        <w:t> </w:t>
      </w:r>
      <w:r>
        <w:rPr/>
        <w:t>If</w:t>
      </w:r>
      <w:r>
        <w:rPr>
          <w:spacing w:val="-16"/>
        </w:rPr>
        <w:t> </w:t>
      </w:r>
      <w:r>
        <w:rPr/>
        <w:t>these</w:t>
      </w:r>
      <w:r>
        <w:rPr>
          <w:spacing w:val="-15"/>
        </w:rPr>
        <w:t> </w:t>
      </w:r>
      <w:r>
        <w:rPr/>
        <w:t>are exhausted,</w:t>
      </w:r>
      <w:r>
        <w:rPr>
          <w:spacing w:val="-16"/>
        </w:rPr>
        <w:t> </w:t>
      </w:r>
      <w:r>
        <w:rPr/>
        <w:t>the</w:t>
      </w:r>
      <w:r>
        <w:rPr>
          <w:spacing w:val="-15"/>
        </w:rPr>
        <w:t> </w:t>
      </w:r>
      <w:r>
        <w:rPr/>
        <w:t>cholesterol</w:t>
      </w:r>
      <w:r>
        <w:rPr>
          <w:spacing w:val="-15"/>
        </w:rPr>
        <w:t> </w:t>
      </w:r>
      <w:r>
        <w:rPr/>
        <w:t>released</w:t>
      </w:r>
      <w:r>
        <w:rPr>
          <w:spacing w:val="-16"/>
        </w:rPr>
        <w:t> </w:t>
      </w:r>
      <w:r>
        <w:rPr/>
        <w:t>in</w:t>
      </w:r>
      <w:r>
        <w:rPr>
          <w:spacing w:val="-16"/>
        </w:rPr>
        <w:t> </w:t>
      </w:r>
      <w:r>
        <w:rPr/>
        <w:t>the</w:t>
      </w:r>
      <w:r>
        <w:rPr>
          <w:spacing w:val="-14"/>
        </w:rPr>
        <w:t> </w:t>
      </w:r>
      <w:r>
        <w:rPr/>
        <w:t>gall</w:t>
      </w:r>
      <w:r>
        <w:rPr>
          <w:spacing w:val="-18"/>
        </w:rPr>
        <w:t> </w:t>
      </w:r>
      <w:r>
        <w:rPr/>
        <w:t>bladder</w:t>
      </w:r>
      <w:r>
        <w:rPr>
          <w:spacing w:val="-16"/>
        </w:rPr>
        <w:t> </w:t>
      </w:r>
      <w:r>
        <w:rPr/>
        <w:t>solidifies</w:t>
      </w:r>
      <w:r>
        <w:rPr>
          <w:spacing w:val="-15"/>
        </w:rPr>
        <w:t> </w:t>
      </w:r>
      <w:r>
        <w:rPr/>
        <w:t>in</w:t>
      </w:r>
      <w:r>
        <w:rPr>
          <w:spacing w:val="-14"/>
        </w:rPr>
        <w:t> </w:t>
      </w:r>
      <w:r>
        <w:rPr/>
        <w:t>reaction</w:t>
      </w:r>
      <w:r>
        <w:rPr>
          <w:spacing w:val="-15"/>
        </w:rPr>
        <w:t> </w:t>
      </w:r>
      <w:r>
        <w:rPr/>
        <w:t>with other materials, which we call</w:t>
      </w:r>
      <w:r>
        <w:rPr>
          <w:spacing w:val="1"/>
        </w:rPr>
        <w:t> </w:t>
      </w:r>
      <w:r>
        <w:rPr/>
        <w:t>‘gallstones’.</w:t>
      </w:r>
    </w:p>
    <w:p>
      <w:pPr>
        <w:pStyle w:val="Heading1"/>
        <w:ind w:left="616"/>
        <w:jc w:val="both"/>
      </w:pPr>
      <w:r>
        <w:rPr/>
        <w:t>Gastritis</w:t>
      </w:r>
    </w:p>
    <w:p>
      <w:pPr>
        <w:pStyle w:val="BodyText"/>
        <w:spacing w:line="276" w:lineRule="auto" w:before="297"/>
        <w:ind w:left="616" w:right="136"/>
        <w:jc w:val="both"/>
      </w:pPr>
      <w:r>
        <w:rPr/>
        <w:t>Excess production of acids within the parietal cells of the stomach leads to gastritis. Acids attack the stomach mucous which can often cause stomach ul- cers.</w:t>
      </w:r>
    </w:p>
    <w:p>
      <w:pPr>
        <w:pStyle w:val="Heading1"/>
        <w:spacing w:before="225"/>
        <w:ind w:left="616"/>
        <w:jc w:val="both"/>
      </w:pPr>
      <w:r>
        <w:rPr/>
        <w:t>Genitalia and diseases</w:t>
      </w:r>
    </w:p>
    <w:p>
      <w:pPr>
        <w:pStyle w:val="BodyText"/>
        <w:spacing w:line="276" w:lineRule="auto" w:before="299"/>
        <w:ind w:left="616" w:right="133"/>
        <w:jc w:val="both"/>
      </w:pPr>
      <w:r>
        <w:rPr/>
        <w:t>Itching, inflammation and redness of genitalia may very well be a symptom of acidification.</w:t>
      </w:r>
      <w:r>
        <w:rPr>
          <w:spacing w:val="-20"/>
        </w:rPr>
        <w:t> </w:t>
      </w:r>
      <w:r>
        <w:rPr/>
        <w:t>Deacidification</w:t>
      </w:r>
      <w:r>
        <w:rPr>
          <w:spacing w:val="-21"/>
        </w:rPr>
        <w:t> </w:t>
      </w:r>
      <w:r>
        <w:rPr/>
        <w:t>and</w:t>
      </w:r>
      <w:r>
        <w:rPr>
          <w:spacing w:val="-20"/>
        </w:rPr>
        <w:t> </w:t>
      </w:r>
      <w:r>
        <w:rPr/>
        <w:t>the</w:t>
      </w:r>
      <w:r>
        <w:rPr>
          <w:spacing w:val="-20"/>
        </w:rPr>
        <w:t> </w:t>
      </w:r>
      <w:r>
        <w:rPr/>
        <w:t>reinstatement</w:t>
      </w:r>
      <w:r>
        <w:rPr>
          <w:spacing w:val="-20"/>
        </w:rPr>
        <w:t> </w:t>
      </w:r>
      <w:r>
        <w:rPr/>
        <w:t>of</w:t>
      </w:r>
      <w:r>
        <w:rPr>
          <w:spacing w:val="-21"/>
        </w:rPr>
        <w:t> </w:t>
      </w:r>
      <w:r>
        <w:rPr/>
        <w:t>an</w:t>
      </w:r>
      <w:r>
        <w:rPr>
          <w:spacing w:val="-22"/>
        </w:rPr>
        <w:t> </w:t>
      </w:r>
      <w:r>
        <w:rPr/>
        <w:t>acid-base</w:t>
      </w:r>
      <w:r>
        <w:rPr>
          <w:spacing w:val="-20"/>
        </w:rPr>
        <w:t> </w:t>
      </w:r>
      <w:r>
        <w:rPr/>
        <w:t>balance</w:t>
      </w:r>
      <w:r>
        <w:rPr>
          <w:spacing w:val="-19"/>
        </w:rPr>
        <w:t> </w:t>
      </w:r>
      <w:r>
        <w:rPr/>
        <w:t>can help here.</w:t>
      </w:r>
    </w:p>
    <w:p>
      <w:pPr>
        <w:pStyle w:val="Heading1"/>
        <w:spacing w:before="221"/>
        <w:ind w:left="616"/>
        <w:jc w:val="both"/>
      </w:pPr>
      <w:r>
        <w:rPr/>
        <w:t>Gout</w:t>
      </w:r>
    </w:p>
    <w:p>
      <w:pPr>
        <w:pStyle w:val="BodyText"/>
        <w:spacing w:line="276" w:lineRule="auto" w:before="300"/>
        <w:ind w:left="616" w:right="138"/>
        <w:jc w:val="both"/>
      </w:pPr>
      <w:r>
        <w:rPr/>
        <w:t>Acidification of our organism leads to an increase in uric acid in the blood. It is known that this can lead to gout. If there are sufficient bases present in the body the organism can neutralise the crystals before they form. An alkaline</w:t>
      </w:r>
    </w:p>
    <w:p>
      <w:pPr>
        <w:spacing w:after="0" w:line="276" w:lineRule="auto"/>
        <w:jc w:val="both"/>
        <w:sectPr>
          <w:pgSz w:w="14270" w:h="16850"/>
          <w:pgMar w:header="0" w:footer="1891" w:top="1340" w:bottom="2080" w:left="800" w:right="1280"/>
        </w:sectPr>
      </w:pPr>
    </w:p>
    <w:p>
      <w:pPr>
        <w:pStyle w:val="BodyText"/>
        <w:spacing w:line="278" w:lineRule="auto" w:before="72"/>
        <w:ind w:left="616"/>
      </w:pPr>
      <w:r>
        <w:rPr/>
        <w:t>level between pH 7.5 and 8 is ideal. Alkaline baths lasting at least two hours and a pH value of approx. 8.5 quickly relieves symptoms.</w:t>
      </w:r>
    </w:p>
    <w:p>
      <w:pPr>
        <w:pStyle w:val="Heading1"/>
        <w:spacing w:before="215"/>
        <w:ind w:left="616"/>
      </w:pPr>
      <w:r>
        <w:rPr/>
        <w:t>Cataracts</w:t>
      </w:r>
    </w:p>
    <w:p>
      <w:pPr>
        <w:pStyle w:val="BodyText"/>
        <w:spacing w:line="278" w:lineRule="auto" w:before="299"/>
        <w:ind w:left="616"/>
      </w:pPr>
      <w:r>
        <w:rPr/>
        <w:t>Cataracts can be triggered or encouraged by excess acids in our organism. See the section ‘Eye problems’ above.</w:t>
      </w:r>
    </w:p>
    <w:p>
      <w:pPr>
        <w:spacing w:after="0" w:line="278" w:lineRule="auto"/>
        <w:sectPr>
          <w:pgSz w:w="14270" w:h="16850"/>
          <w:pgMar w:header="0" w:footer="1891" w:top="1340" w:bottom="2080" w:left="800" w:right="1280"/>
        </w:sectPr>
      </w:pPr>
    </w:p>
    <w:p>
      <w:pPr>
        <w:pStyle w:val="Heading1"/>
        <w:spacing w:before="77"/>
        <w:ind w:left="616"/>
        <w:jc w:val="both"/>
      </w:pPr>
      <w:r>
        <w:rPr/>
        <w:t>Grey hair</w:t>
      </w:r>
    </w:p>
    <w:p>
      <w:pPr>
        <w:pStyle w:val="BodyText"/>
        <w:spacing w:line="276" w:lineRule="auto" w:before="299"/>
        <w:ind w:left="616" w:right="133"/>
        <w:jc w:val="both"/>
      </w:pPr>
      <w:r>
        <w:rPr/>
        <w:t>Grey hair is a result of a demineralised scalp. In order to neutralise the many acids, the body first and foremost draws its minerals from the scalp, which initially leads to greying hair. In later stages, this can lead to hair loss.</w:t>
      </w:r>
      <w:r>
        <w:rPr>
          <w:spacing w:val="-55"/>
        </w:rPr>
        <w:t> </w:t>
      </w:r>
      <w:r>
        <w:rPr/>
        <w:t>De-acid- ifying the body and remineralisation reinstates the natural colour.</w:t>
      </w:r>
    </w:p>
    <w:p>
      <w:pPr>
        <w:pStyle w:val="Heading1"/>
        <w:spacing w:before="222"/>
        <w:ind w:left="616"/>
        <w:jc w:val="both"/>
      </w:pPr>
      <w:r>
        <w:rPr/>
        <w:t>Hair loss</w:t>
      </w:r>
    </w:p>
    <w:p>
      <w:pPr>
        <w:pStyle w:val="BodyText"/>
        <w:spacing w:line="276" w:lineRule="auto" w:before="300"/>
        <w:ind w:left="616" w:right="132"/>
        <w:jc w:val="both"/>
      </w:pPr>
      <w:r>
        <w:rPr/>
        <w:t>Hair loss in the first instance is a symptom of deacidification of the scalp!</w:t>
      </w:r>
      <w:r>
        <w:rPr>
          <w:spacing w:val="-54"/>
        </w:rPr>
        <w:t> </w:t>
      </w:r>
      <w:r>
        <w:rPr/>
        <w:t>The body</w:t>
      </w:r>
      <w:r>
        <w:rPr>
          <w:spacing w:val="-14"/>
        </w:rPr>
        <w:t> </w:t>
      </w:r>
      <w:r>
        <w:rPr/>
        <w:t>tries</w:t>
      </w:r>
      <w:r>
        <w:rPr>
          <w:spacing w:val="-13"/>
        </w:rPr>
        <w:t> </w:t>
      </w:r>
      <w:r>
        <w:rPr/>
        <w:t>to</w:t>
      </w:r>
      <w:r>
        <w:rPr>
          <w:spacing w:val="-14"/>
        </w:rPr>
        <w:t> </w:t>
      </w:r>
      <w:r>
        <w:rPr/>
        <w:t>neutralise</w:t>
      </w:r>
      <w:r>
        <w:rPr>
          <w:spacing w:val="-13"/>
        </w:rPr>
        <w:t> </w:t>
      </w:r>
      <w:r>
        <w:rPr/>
        <w:t>the</w:t>
      </w:r>
      <w:r>
        <w:rPr>
          <w:spacing w:val="-14"/>
        </w:rPr>
        <w:t> </w:t>
      </w:r>
      <w:r>
        <w:rPr/>
        <w:t>many</w:t>
      </w:r>
      <w:r>
        <w:rPr>
          <w:spacing w:val="-11"/>
        </w:rPr>
        <w:t> </w:t>
      </w:r>
      <w:r>
        <w:rPr/>
        <w:t>acids</w:t>
      </w:r>
      <w:r>
        <w:rPr>
          <w:spacing w:val="-14"/>
        </w:rPr>
        <w:t> </w:t>
      </w:r>
      <w:r>
        <w:rPr/>
        <w:t>with</w:t>
      </w:r>
      <w:r>
        <w:rPr>
          <w:spacing w:val="-14"/>
        </w:rPr>
        <w:t> </w:t>
      </w:r>
      <w:r>
        <w:rPr/>
        <w:t>minerals,</w:t>
      </w:r>
      <w:r>
        <w:rPr>
          <w:spacing w:val="-14"/>
        </w:rPr>
        <w:t> </w:t>
      </w:r>
      <w:r>
        <w:rPr/>
        <w:t>it</w:t>
      </w:r>
      <w:r>
        <w:rPr>
          <w:spacing w:val="-14"/>
        </w:rPr>
        <w:t> </w:t>
      </w:r>
      <w:r>
        <w:rPr/>
        <w:t>can</w:t>
      </w:r>
      <w:r>
        <w:rPr>
          <w:spacing w:val="-14"/>
        </w:rPr>
        <w:t> </w:t>
      </w:r>
      <w:r>
        <w:rPr/>
        <w:t>access</w:t>
      </w:r>
      <w:r>
        <w:rPr>
          <w:spacing w:val="-13"/>
        </w:rPr>
        <w:t> </w:t>
      </w:r>
      <w:r>
        <w:rPr/>
        <w:t>the</w:t>
      </w:r>
      <w:r>
        <w:rPr>
          <w:spacing w:val="-13"/>
        </w:rPr>
        <w:t> </w:t>
      </w:r>
      <w:r>
        <w:rPr/>
        <w:t>minerals required</w:t>
      </w:r>
      <w:r>
        <w:rPr>
          <w:spacing w:val="-18"/>
        </w:rPr>
        <w:t> </w:t>
      </w:r>
      <w:r>
        <w:rPr/>
        <w:t>for</w:t>
      </w:r>
      <w:r>
        <w:rPr>
          <w:spacing w:val="-17"/>
        </w:rPr>
        <w:t> </w:t>
      </w:r>
      <w:r>
        <w:rPr/>
        <w:t>this</w:t>
      </w:r>
      <w:r>
        <w:rPr>
          <w:spacing w:val="-17"/>
        </w:rPr>
        <w:t> </w:t>
      </w:r>
      <w:r>
        <w:rPr/>
        <w:t>most</w:t>
      </w:r>
      <w:r>
        <w:rPr>
          <w:spacing w:val="-18"/>
        </w:rPr>
        <w:t> </w:t>
      </w:r>
      <w:r>
        <w:rPr/>
        <w:t>quickly</w:t>
      </w:r>
      <w:r>
        <w:rPr>
          <w:spacing w:val="-20"/>
        </w:rPr>
        <w:t> </w:t>
      </w:r>
      <w:r>
        <w:rPr/>
        <w:t>from</w:t>
      </w:r>
      <w:r>
        <w:rPr>
          <w:spacing w:val="-18"/>
        </w:rPr>
        <w:t> </w:t>
      </w:r>
      <w:r>
        <w:rPr/>
        <w:t>the</w:t>
      </w:r>
      <w:r>
        <w:rPr>
          <w:spacing w:val="-17"/>
        </w:rPr>
        <w:t> </w:t>
      </w:r>
      <w:r>
        <w:rPr/>
        <w:t>scalp.</w:t>
      </w:r>
      <w:r>
        <w:rPr>
          <w:spacing w:val="-17"/>
        </w:rPr>
        <w:t> </w:t>
      </w:r>
      <w:r>
        <w:rPr/>
        <w:t>However,</w:t>
      </w:r>
      <w:r>
        <w:rPr>
          <w:spacing w:val="-18"/>
        </w:rPr>
        <w:t> </w:t>
      </w:r>
      <w:r>
        <w:rPr/>
        <w:t>in</w:t>
      </w:r>
      <w:r>
        <w:rPr>
          <w:spacing w:val="-18"/>
        </w:rPr>
        <w:t> </w:t>
      </w:r>
      <w:r>
        <w:rPr/>
        <w:t>this</w:t>
      </w:r>
      <w:r>
        <w:rPr>
          <w:spacing w:val="-17"/>
        </w:rPr>
        <w:t> </w:t>
      </w:r>
      <w:r>
        <w:rPr/>
        <w:t>process</w:t>
      </w:r>
      <w:r>
        <w:rPr>
          <w:spacing w:val="-17"/>
        </w:rPr>
        <w:t> </w:t>
      </w:r>
      <w:r>
        <w:rPr/>
        <w:t>it</w:t>
      </w:r>
      <w:r>
        <w:rPr>
          <w:spacing w:val="-19"/>
        </w:rPr>
        <w:t> </w:t>
      </w:r>
      <w:r>
        <w:rPr/>
        <w:t>draws a vital mineral from the hair, which leads to hair</w:t>
      </w:r>
      <w:r>
        <w:rPr>
          <w:spacing w:val="-2"/>
        </w:rPr>
        <w:t> </w:t>
      </w:r>
      <w:r>
        <w:rPr/>
        <w:t>loss.</w:t>
      </w:r>
    </w:p>
    <w:p>
      <w:pPr>
        <w:pStyle w:val="BodyText"/>
        <w:spacing w:line="276" w:lineRule="auto" w:before="239"/>
        <w:ind w:left="616" w:right="135"/>
        <w:jc w:val="both"/>
      </w:pPr>
      <w:r>
        <w:rPr/>
        <w:t>While women de-acidify heavily during their period, male scalps are</w:t>
      </w:r>
      <w:r>
        <w:rPr>
          <w:spacing w:val="-41"/>
        </w:rPr>
        <w:t> </w:t>
      </w:r>
      <w:r>
        <w:rPr/>
        <w:t>extremely exposed</w:t>
      </w:r>
      <w:r>
        <w:rPr>
          <w:spacing w:val="-9"/>
        </w:rPr>
        <w:t> </w:t>
      </w:r>
      <w:r>
        <w:rPr/>
        <w:t>to</w:t>
      </w:r>
      <w:r>
        <w:rPr>
          <w:spacing w:val="-11"/>
        </w:rPr>
        <w:t> </w:t>
      </w:r>
      <w:r>
        <w:rPr/>
        <w:t>demineralisation</w:t>
      </w:r>
      <w:r>
        <w:rPr>
          <w:spacing w:val="-10"/>
        </w:rPr>
        <w:t> </w:t>
      </w:r>
      <w:r>
        <w:rPr/>
        <w:t>if</w:t>
      </w:r>
      <w:r>
        <w:rPr>
          <w:spacing w:val="-10"/>
        </w:rPr>
        <w:t> </w:t>
      </w:r>
      <w:r>
        <w:rPr/>
        <w:t>they</w:t>
      </w:r>
      <w:r>
        <w:rPr>
          <w:spacing w:val="-10"/>
        </w:rPr>
        <w:t> </w:t>
      </w:r>
      <w:r>
        <w:rPr/>
        <w:t>are</w:t>
      </w:r>
      <w:r>
        <w:rPr>
          <w:spacing w:val="-11"/>
        </w:rPr>
        <w:t> </w:t>
      </w:r>
      <w:r>
        <w:rPr/>
        <w:t>acidified.</w:t>
      </w:r>
      <w:r>
        <w:rPr>
          <w:spacing w:val="-10"/>
        </w:rPr>
        <w:t> </w:t>
      </w:r>
      <w:r>
        <w:rPr/>
        <w:t>This</w:t>
      </w:r>
      <w:r>
        <w:rPr>
          <w:spacing w:val="-8"/>
        </w:rPr>
        <w:t> </w:t>
      </w:r>
      <w:r>
        <w:rPr/>
        <w:t>is</w:t>
      </w:r>
      <w:r>
        <w:rPr>
          <w:spacing w:val="-10"/>
        </w:rPr>
        <w:t> </w:t>
      </w:r>
      <w:r>
        <w:rPr/>
        <w:t>the</w:t>
      </w:r>
      <w:r>
        <w:rPr>
          <w:spacing w:val="-11"/>
        </w:rPr>
        <w:t> </w:t>
      </w:r>
      <w:r>
        <w:rPr/>
        <w:t>reason</w:t>
      </w:r>
      <w:r>
        <w:rPr>
          <w:spacing w:val="-11"/>
        </w:rPr>
        <w:t> </w:t>
      </w:r>
      <w:r>
        <w:rPr/>
        <w:t>for</w:t>
      </w:r>
      <w:r>
        <w:rPr>
          <w:spacing w:val="-10"/>
        </w:rPr>
        <w:t> </w:t>
      </w:r>
      <w:r>
        <w:rPr/>
        <w:t>the</w:t>
      </w:r>
      <w:r>
        <w:rPr>
          <w:spacing w:val="-12"/>
        </w:rPr>
        <w:t> </w:t>
      </w:r>
      <w:r>
        <w:rPr/>
        <w:t>vul- nerability of men in regards to ‘male balding’.</w:t>
      </w:r>
    </w:p>
    <w:p>
      <w:pPr>
        <w:pStyle w:val="BodyText"/>
        <w:spacing w:line="276" w:lineRule="auto" w:before="242"/>
        <w:ind w:left="616" w:right="143"/>
        <w:jc w:val="both"/>
      </w:pPr>
      <w:r>
        <w:rPr/>
        <w:t>This hair is therefore an infallible measure of our body’s ‘mineral account’. Here, too, deacidification and remineralisation of the body can save a head of hair and even partially restore it.</w:t>
      </w:r>
    </w:p>
    <w:p>
      <w:pPr>
        <w:spacing w:after="0" w:line="276" w:lineRule="auto"/>
        <w:jc w:val="both"/>
        <w:sectPr>
          <w:pgSz w:w="14270" w:h="16850"/>
          <w:pgMar w:header="0" w:footer="1891" w:top="1320" w:bottom="2080" w:left="800" w:right="1280"/>
        </w:sectPr>
      </w:pPr>
    </w:p>
    <w:p>
      <w:pPr>
        <w:pStyle w:val="Heading1"/>
        <w:spacing w:before="77"/>
        <w:ind w:left="616"/>
      </w:pPr>
      <w:r>
        <w:rPr/>
        <w:t>Haemorrhoids</w:t>
      </w:r>
    </w:p>
    <w:p>
      <w:pPr>
        <w:pStyle w:val="BodyText"/>
        <w:spacing w:line="276" w:lineRule="auto" w:before="299"/>
        <w:ind w:left="616" w:right="133"/>
        <w:jc w:val="both"/>
      </w:pPr>
      <w:r>
        <w:rPr/>
        <w:t>Haemorrhoids are a clear sign that the extent of acidification in a body is dan- gerously high and that the body does not know how else to help itself than to create new openings and excrete its acids via these.</w:t>
      </w:r>
    </w:p>
    <w:p>
      <w:pPr>
        <w:pStyle w:val="BodyText"/>
        <w:spacing w:line="276" w:lineRule="auto" w:before="239"/>
        <w:ind w:left="616" w:right="135"/>
        <w:jc w:val="both"/>
      </w:pPr>
      <w:r>
        <w:rPr/>
        <w:t>In</w:t>
      </w:r>
      <w:r>
        <w:rPr>
          <w:spacing w:val="-12"/>
        </w:rPr>
        <w:t> </w:t>
      </w:r>
      <w:r>
        <w:rPr/>
        <w:t>the</w:t>
      </w:r>
      <w:r>
        <w:rPr>
          <w:spacing w:val="-14"/>
        </w:rPr>
        <w:t> </w:t>
      </w:r>
      <w:r>
        <w:rPr/>
        <w:t>opinion</w:t>
      </w:r>
      <w:r>
        <w:rPr>
          <w:spacing w:val="-14"/>
        </w:rPr>
        <w:t> </w:t>
      </w:r>
      <w:r>
        <w:rPr/>
        <w:t>of</w:t>
      </w:r>
      <w:r>
        <w:rPr>
          <w:spacing w:val="-13"/>
        </w:rPr>
        <w:t> </w:t>
      </w:r>
      <w:r>
        <w:rPr/>
        <w:t>many</w:t>
      </w:r>
      <w:r>
        <w:rPr>
          <w:spacing w:val="-12"/>
        </w:rPr>
        <w:t> </w:t>
      </w:r>
      <w:r>
        <w:rPr/>
        <w:t>natural</w:t>
      </w:r>
      <w:r>
        <w:rPr>
          <w:spacing w:val="-13"/>
        </w:rPr>
        <w:t> </w:t>
      </w:r>
      <w:r>
        <w:rPr/>
        <w:t>healing</w:t>
      </w:r>
      <w:r>
        <w:rPr>
          <w:spacing w:val="-12"/>
        </w:rPr>
        <w:t> </w:t>
      </w:r>
      <w:r>
        <w:rPr/>
        <w:t>practitioners,</w:t>
      </w:r>
      <w:r>
        <w:rPr>
          <w:spacing w:val="-14"/>
        </w:rPr>
        <w:t> </w:t>
      </w:r>
      <w:r>
        <w:rPr/>
        <w:t>ablation</w:t>
      </w:r>
      <w:r>
        <w:rPr>
          <w:spacing w:val="-11"/>
        </w:rPr>
        <w:t> </w:t>
      </w:r>
      <w:r>
        <w:rPr/>
        <w:t>or</w:t>
      </w:r>
      <w:r>
        <w:rPr>
          <w:spacing w:val="-14"/>
        </w:rPr>
        <w:t> </w:t>
      </w:r>
      <w:r>
        <w:rPr/>
        <w:t>removal</w:t>
      </w:r>
      <w:r>
        <w:rPr>
          <w:spacing w:val="-14"/>
        </w:rPr>
        <w:t> </w:t>
      </w:r>
      <w:r>
        <w:rPr/>
        <w:t>is</w:t>
      </w:r>
      <w:r>
        <w:rPr>
          <w:spacing w:val="-12"/>
        </w:rPr>
        <w:t> </w:t>
      </w:r>
      <w:r>
        <w:rPr/>
        <w:t>the wrong treatment approach as then the opened, new valves for deacidification are</w:t>
      </w:r>
      <w:r>
        <w:rPr>
          <w:spacing w:val="-9"/>
        </w:rPr>
        <w:t> </w:t>
      </w:r>
      <w:r>
        <w:rPr/>
        <w:t>taken</w:t>
      </w:r>
      <w:r>
        <w:rPr>
          <w:spacing w:val="-8"/>
        </w:rPr>
        <w:t> </w:t>
      </w:r>
      <w:r>
        <w:rPr/>
        <w:t>away</w:t>
      </w:r>
      <w:r>
        <w:rPr>
          <w:spacing w:val="-9"/>
        </w:rPr>
        <w:t> </w:t>
      </w:r>
      <w:r>
        <w:rPr/>
        <w:t>from</w:t>
      </w:r>
      <w:r>
        <w:rPr>
          <w:spacing w:val="-8"/>
        </w:rPr>
        <w:t> </w:t>
      </w:r>
      <w:r>
        <w:rPr/>
        <w:t>the</w:t>
      </w:r>
      <w:r>
        <w:rPr>
          <w:spacing w:val="-9"/>
        </w:rPr>
        <w:t> </w:t>
      </w:r>
      <w:r>
        <w:rPr/>
        <w:t>organism.</w:t>
      </w:r>
      <w:r>
        <w:rPr>
          <w:spacing w:val="-8"/>
        </w:rPr>
        <w:t> </w:t>
      </w:r>
      <w:r>
        <w:rPr/>
        <w:t>After</w:t>
      </w:r>
      <w:r>
        <w:rPr>
          <w:spacing w:val="-8"/>
        </w:rPr>
        <w:t> </w:t>
      </w:r>
      <w:r>
        <w:rPr/>
        <w:t>the</w:t>
      </w:r>
      <w:r>
        <w:rPr>
          <w:spacing w:val="-9"/>
        </w:rPr>
        <w:t> </w:t>
      </w:r>
      <w:r>
        <w:rPr/>
        <w:t>organism</w:t>
      </w:r>
      <w:r>
        <w:rPr>
          <w:spacing w:val="-8"/>
        </w:rPr>
        <w:t> </w:t>
      </w:r>
      <w:r>
        <w:rPr/>
        <w:t>is</w:t>
      </w:r>
      <w:r>
        <w:rPr>
          <w:spacing w:val="-8"/>
        </w:rPr>
        <w:t> </w:t>
      </w:r>
      <w:r>
        <w:rPr/>
        <w:t>de-acidified,</w:t>
      </w:r>
      <w:r>
        <w:rPr>
          <w:spacing w:val="-7"/>
        </w:rPr>
        <w:t> </w:t>
      </w:r>
      <w:r>
        <w:rPr/>
        <w:t>haemor- rhoids</w:t>
      </w:r>
      <w:r>
        <w:rPr>
          <w:spacing w:val="-7"/>
        </w:rPr>
        <w:t> </w:t>
      </w:r>
      <w:r>
        <w:rPr/>
        <w:t>generally</w:t>
      </w:r>
      <w:r>
        <w:rPr>
          <w:spacing w:val="-9"/>
        </w:rPr>
        <w:t> </w:t>
      </w:r>
      <w:r>
        <w:rPr/>
        <w:t>disappear</w:t>
      </w:r>
      <w:r>
        <w:rPr>
          <w:spacing w:val="-7"/>
        </w:rPr>
        <w:t> </w:t>
      </w:r>
      <w:r>
        <w:rPr/>
        <w:t>by</w:t>
      </w:r>
      <w:r>
        <w:rPr>
          <w:spacing w:val="-7"/>
        </w:rPr>
        <w:t> </w:t>
      </w:r>
      <w:r>
        <w:rPr/>
        <w:t>themselves</w:t>
      </w:r>
      <w:r>
        <w:rPr>
          <w:spacing w:val="-7"/>
        </w:rPr>
        <w:t> </w:t>
      </w:r>
      <w:r>
        <w:rPr/>
        <w:t>and,</w:t>
      </w:r>
      <w:r>
        <w:rPr>
          <w:spacing w:val="-7"/>
        </w:rPr>
        <w:t> </w:t>
      </w:r>
      <w:r>
        <w:rPr/>
        <w:t>if</w:t>
      </w:r>
      <w:r>
        <w:rPr>
          <w:spacing w:val="-9"/>
        </w:rPr>
        <w:t> </w:t>
      </w:r>
      <w:r>
        <w:rPr/>
        <w:t>you</w:t>
      </w:r>
      <w:r>
        <w:rPr>
          <w:spacing w:val="-8"/>
        </w:rPr>
        <w:t> </w:t>
      </w:r>
      <w:r>
        <w:rPr/>
        <w:t>maintain</w:t>
      </w:r>
      <w:r>
        <w:rPr>
          <w:spacing w:val="-8"/>
        </w:rPr>
        <w:t> </w:t>
      </w:r>
      <w:r>
        <w:rPr/>
        <w:t>an</w:t>
      </w:r>
      <w:r>
        <w:rPr>
          <w:spacing w:val="-8"/>
        </w:rPr>
        <w:t> </w:t>
      </w:r>
      <w:r>
        <w:rPr/>
        <w:t>alkaline</w:t>
      </w:r>
      <w:r>
        <w:rPr>
          <w:spacing w:val="-8"/>
        </w:rPr>
        <w:t> </w:t>
      </w:r>
      <w:r>
        <w:rPr/>
        <w:t>state, hardly ever</w:t>
      </w:r>
      <w:r>
        <w:rPr>
          <w:spacing w:val="-1"/>
        </w:rPr>
        <w:t> </w:t>
      </w:r>
      <w:r>
        <w:rPr/>
        <w:t>return.</w:t>
      </w:r>
    </w:p>
    <w:p>
      <w:pPr>
        <w:pStyle w:val="Heading1"/>
        <w:spacing w:before="223"/>
        <w:ind w:left="616"/>
      </w:pPr>
      <w:r>
        <w:rPr/>
        <w:t>Skin diseases</w:t>
      </w:r>
    </w:p>
    <w:p>
      <w:pPr>
        <w:pStyle w:val="BodyText"/>
        <w:spacing w:line="276" w:lineRule="auto" w:before="299"/>
        <w:ind w:left="616" w:right="136"/>
        <w:jc w:val="both"/>
      </w:pPr>
      <w:r>
        <w:rPr/>
        <w:t>The skin is the largest organ of the human body and is described as the ‘extra kidney’</w:t>
      </w:r>
      <w:r>
        <w:rPr>
          <w:spacing w:val="-24"/>
        </w:rPr>
        <w:t> </w:t>
      </w:r>
      <w:r>
        <w:rPr/>
        <w:t>for</w:t>
      </w:r>
      <w:r>
        <w:rPr>
          <w:spacing w:val="-23"/>
        </w:rPr>
        <w:t> </w:t>
      </w:r>
      <w:r>
        <w:rPr/>
        <w:t>a</w:t>
      </w:r>
      <w:r>
        <w:rPr>
          <w:spacing w:val="-25"/>
        </w:rPr>
        <w:t> </w:t>
      </w:r>
      <w:r>
        <w:rPr/>
        <w:t>good</w:t>
      </w:r>
      <w:r>
        <w:rPr>
          <w:spacing w:val="-24"/>
        </w:rPr>
        <w:t> </w:t>
      </w:r>
      <w:r>
        <w:rPr/>
        <w:t>reason.</w:t>
      </w:r>
      <w:r>
        <w:rPr>
          <w:spacing w:val="-23"/>
        </w:rPr>
        <w:t> </w:t>
      </w:r>
      <w:r>
        <w:rPr/>
        <w:t>Thus,</w:t>
      </w:r>
      <w:r>
        <w:rPr>
          <w:spacing w:val="-23"/>
        </w:rPr>
        <w:t> </w:t>
      </w:r>
      <w:r>
        <w:rPr/>
        <w:t>it</w:t>
      </w:r>
      <w:r>
        <w:rPr>
          <w:spacing w:val="-24"/>
        </w:rPr>
        <w:t> </w:t>
      </w:r>
      <w:r>
        <w:rPr/>
        <w:t>plays</w:t>
      </w:r>
      <w:r>
        <w:rPr>
          <w:spacing w:val="-24"/>
        </w:rPr>
        <w:t> </w:t>
      </w:r>
      <w:r>
        <w:rPr/>
        <w:t>an</w:t>
      </w:r>
      <w:r>
        <w:rPr>
          <w:spacing w:val="-24"/>
        </w:rPr>
        <w:t> </w:t>
      </w:r>
      <w:r>
        <w:rPr/>
        <w:t>important</w:t>
      </w:r>
      <w:r>
        <w:rPr>
          <w:spacing w:val="-24"/>
        </w:rPr>
        <w:t> </w:t>
      </w:r>
      <w:r>
        <w:rPr/>
        <w:t>role</w:t>
      </w:r>
      <w:r>
        <w:rPr>
          <w:spacing w:val="-24"/>
        </w:rPr>
        <w:t> </w:t>
      </w:r>
      <w:r>
        <w:rPr/>
        <w:t>in</w:t>
      </w:r>
      <w:r>
        <w:rPr>
          <w:spacing w:val="-23"/>
        </w:rPr>
        <w:t> </w:t>
      </w:r>
      <w:r>
        <w:rPr/>
        <w:t>the</w:t>
      </w:r>
      <w:r>
        <w:rPr>
          <w:spacing w:val="-23"/>
        </w:rPr>
        <w:t> </w:t>
      </w:r>
      <w:r>
        <w:rPr/>
        <w:t>deacidification and detoxification of the organism. Many skin diseases disappear by them- selves if you focus on alkaline nutrition, de-acidify and re-mineralise the</w:t>
      </w:r>
      <w:r>
        <w:rPr>
          <w:spacing w:val="-49"/>
        </w:rPr>
        <w:t> </w:t>
      </w:r>
      <w:r>
        <w:rPr/>
        <w:t>body!</w:t>
      </w:r>
    </w:p>
    <w:p>
      <w:pPr>
        <w:pStyle w:val="Heading1"/>
        <w:spacing w:before="225"/>
        <w:ind w:left="616"/>
      </w:pPr>
      <w:r>
        <w:rPr/>
        <w:t>Skin ulcers</w:t>
      </w:r>
    </w:p>
    <w:p>
      <w:pPr>
        <w:pStyle w:val="BodyText"/>
        <w:spacing w:line="276" w:lineRule="auto" w:before="297"/>
        <w:ind w:left="616" w:right="132"/>
        <w:jc w:val="both"/>
      </w:pPr>
      <w:r>
        <w:rPr/>
        <w:t>Skin ulcers often represent an additionally created valve in the body in order to</w:t>
      </w:r>
      <w:r>
        <w:rPr>
          <w:spacing w:val="-19"/>
        </w:rPr>
        <w:t> </w:t>
      </w:r>
      <w:r>
        <w:rPr/>
        <w:t>remove</w:t>
      </w:r>
      <w:r>
        <w:rPr>
          <w:spacing w:val="-22"/>
        </w:rPr>
        <w:t> </w:t>
      </w:r>
      <w:r>
        <w:rPr/>
        <w:t>critical</w:t>
      </w:r>
      <w:r>
        <w:rPr>
          <w:spacing w:val="-20"/>
        </w:rPr>
        <w:t> </w:t>
      </w:r>
      <w:r>
        <w:rPr/>
        <w:t>acidification</w:t>
      </w:r>
      <w:r>
        <w:rPr>
          <w:spacing w:val="-19"/>
        </w:rPr>
        <w:t> </w:t>
      </w:r>
      <w:r>
        <w:rPr/>
        <w:t>from</w:t>
      </w:r>
      <w:r>
        <w:rPr>
          <w:spacing w:val="-20"/>
        </w:rPr>
        <w:t> </w:t>
      </w:r>
      <w:r>
        <w:rPr/>
        <w:t>the</w:t>
      </w:r>
      <w:r>
        <w:rPr>
          <w:spacing w:val="-21"/>
        </w:rPr>
        <w:t> </w:t>
      </w:r>
      <w:r>
        <w:rPr/>
        <w:t>organism.</w:t>
      </w:r>
      <w:r>
        <w:rPr>
          <w:spacing w:val="-19"/>
        </w:rPr>
        <w:t> </w:t>
      </w:r>
      <w:r>
        <w:rPr/>
        <w:t>Closing</w:t>
      </w:r>
      <w:r>
        <w:rPr>
          <w:spacing w:val="-21"/>
        </w:rPr>
        <w:t> </w:t>
      </w:r>
      <w:r>
        <w:rPr/>
        <w:t>the</w:t>
      </w:r>
      <w:r>
        <w:rPr>
          <w:spacing w:val="-18"/>
        </w:rPr>
        <w:t> </w:t>
      </w:r>
      <w:r>
        <w:rPr/>
        <w:t>ulcers,</w:t>
      </w:r>
      <w:r>
        <w:rPr>
          <w:spacing w:val="-22"/>
        </w:rPr>
        <w:t> </w:t>
      </w:r>
      <w:r>
        <w:rPr/>
        <w:t>whatever the method, is the wrong choice as we rob the body of the valves. Rather, in this case too, urgent deacidification is necessary.</w:t>
      </w:r>
    </w:p>
    <w:p>
      <w:pPr>
        <w:pStyle w:val="Heading1"/>
        <w:ind w:left="616"/>
        <w:jc w:val="both"/>
      </w:pPr>
      <w:r>
        <w:rPr/>
        <w:t>Heart attack</w:t>
      </w:r>
    </w:p>
    <w:p>
      <w:pPr>
        <w:spacing w:after="0"/>
        <w:jc w:val="both"/>
        <w:sectPr>
          <w:pgSz w:w="14270" w:h="16850"/>
          <w:pgMar w:header="0" w:footer="1891" w:top="1320" w:bottom="2080" w:left="800" w:right="1280"/>
        </w:sectPr>
      </w:pPr>
    </w:p>
    <w:p>
      <w:pPr>
        <w:pStyle w:val="BodyText"/>
        <w:spacing w:line="276" w:lineRule="auto" w:before="74"/>
        <w:ind w:left="616" w:right="136"/>
        <w:jc w:val="both"/>
      </w:pPr>
      <w:r>
        <w:rPr/>
        <w:t>Cardiovascular diseases make up the largest cause of death in industrialised nations.</w:t>
      </w:r>
      <w:r>
        <w:rPr>
          <w:spacing w:val="-6"/>
        </w:rPr>
        <w:t> </w:t>
      </w:r>
      <w:r>
        <w:rPr/>
        <w:t>The</w:t>
      </w:r>
      <w:r>
        <w:rPr>
          <w:spacing w:val="-6"/>
        </w:rPr>
        <w:t> </w:t>
      </w:r>
      <w:r>
        <w:rPr/>
        <w:t>body</w:t>
      </w:r>
      <w:r>
        <w:rPr>
          <w:spacing w:val="-8"/>
        </w:rPr>
        <w:t> </w:t>
      </w:r>
      <w:r>
        <w:rPr/>
        <w:t>taps</w:t>
      </w:r>
      <w:r>
        <w:rPr>
          <w:spacing w:val="-6"/>
        </w:rPr>
        <w:t> </w:t>
      </w:r>
      <w:r>
        <w:rPr/>
        <w:t>minerals</w:t>
      </w:r>
      <w:r>
        <w:rPr>
          <w:spacing w:val="-7"/>
        </w:rPr>
        <w:t> </w:t>
      </w:r>
      <w:r>
        <w:rPr/>
        <w:t>from</w:t>
      </w:r>
      <w:r>
        <w:rPr>
          <w:spacing w:val="-7"/>
        </w:rPr>
        <w:t> </w:t>
      </w:r>
      <w:r>
        <w:rPr/>
        <w:t>the</w:t>
      </w:r>
      <w:r>
        <w:rPr>
          <w:spacing w:val="-6"/>
        </w:rPr>
        <w:t> </w:t>
      </w:r>
      <w:r>
        <w:rPr/>
        <w:t>inner</w:t>
      </w:r>
      <w:r>
        <w:rPr>
          <w:spacing w:val="-11"/>
        </w:rPr>
        <w:t> </w:t>
      </w:r>
      <w:r>
        <w:rPr/>
        <w:t>vessel</w:t>
      </w:r>
      <w:r>
        <w:rPr>
          <w:spacing w:val="-7"/>
        </w:rPr>
        <w:t> </w:t>
      </w:r>
      <w:r>
        <w:rPr/>
        <w:t>walls</w:t>
      </w:r>
      <w:r>
        <w:rPr>
          <w:spacing w:val="-7"/>
        </w:rPr>
        <w:t> </w:t>
      </w:r>
      <w:r>
        <w:rPr/>
        <w:t>for</w:t>
      </w:r>
      <w:r>
        <w:rPr>
          <w:spacing w:val="-5"/>
        </w:rPr>
        <w:t> </w:t>
      </w:r>
      <w:r>
        <w:rPr/>
        <w:t>deacidification purposes resulting in the tiniest micro-lesions. In order to avert further dam- age,</w:t>
      </w:r>
      <w:r>
        <w:rPr>
          <w:spacing w:val="-19"/>
        </w:rPr>
        <w:t> </w:t>
      </w:r>
      <w:r>
        <w:rPr/>
        <w:t>the</w:t>
      </w:r>
      <w:r>
        <w:rPr>
          <w:spacing w:val="-18"/>
        </w:rPr>
        <w:t> </w:t>
      </w:r>
      <w:r>
        <w:rPr/>
        <w:t>body</w:t>
      </w:r>
      <w:r>
        <w:rPr>
          <w:spacing w:val="-19"/>
        </w:rPr>
        <w:t> </w:t>
      </w:r>
      <w:r>
        <w:rPr/>
        <w:t>produces</w:t>
      </w:r>
      <w:r>
        <w:rPr>
          <w:spacing w:val="-19"/>
        </w:rPr>
        <w:t> </w:t>
      </w:r>
      <w:r>
        <w:rPr/>
        <w:t>increased</w:t>
      </w:r>
      <w:r>
        <w:rPr>
          <w:spacing w:val="-18"/>
        </w:rPr>
        <w:t> </w:t>
      </w:r>
      <w:r>
        <w:rPr/>
        <w:t>levels</w:t>
      </w:r>
      <w:r>
        <w:rPr>
          <w:spacing w:val="-19"/>
        </w:rPr>
        <w:t> </w:t>
      </w:r>
      <w:r>
        <w:rPr/>
        <w:t>of</w:t>
      </w:r>
      <w:r>
        <w:rPr>
          <w:spacing w:val="-19"/>
        </w:rPr>
        <w:t> </w:t>
      </w:r>
      <w:r>
        <w:rPr/>
        <w:t>cholesterol</w:t>
      </w:r>
      <w:r>
        <w:rPr>
          <w:spacing w:val="-20"/>
        </w:rPr>
        <w:t> </w:t>
      </w:r>
      <w:r>
        <w:rPr/>
        <w:t>in</w:t>
      </w:r>
      <w:r>
        <w:rPr>
          <w:spacing w:val="-19"/>
        </w:rPr>
        <w:t> </w:t>
      </w:r>
      <w:r>
        <w:rPr/>
        <w:t>reaction</w:t>
      </w:r>
      <w:r>
        <w:rPr>
          <w:spacing w:val="-19"/>
        </w:rPr>
        <w:t> </w:t>
      </w:r>
      <w:r>
        <w:rPr/>
        <w:t>to</w:t>
      </w:r>
      <w:r>
        <w:rPr>
          <w:spacing w:val="-19"/>
        </w:rPr>
        <w:t> </w:t>
      </w:r>
      <w:r>
        <w:rPr/>
        <w:t>this,</w:t>
      </w:r>
      <w:r>
        <w:rPr>
          <w:spacing w:val="-18"/>
        </w:rPr>
        <w:t> </w:t>
      </w:r>
      <w:r>
        <w:rPr/>
        <w:t>which are</w:t>
      </w:r>
      <w:r>
        <w:rPr>
          <w:spacing w:val="-10"/>
        </w:rPr>
        <w:t> </w:t>
      </w:r>
      <w:r>
        <w:rPr/>
        <w:t>intended</w:t>
      </w:r>
      <w:r>
        <w:rPr>
          <w:spacing w:val="-10"/>
        </w:rPr>
        <w:t> </w:t>
      </w:r>
      <w:r>
        <w:rPr/>
        <w:t>to</w:t>
      </w:r>
      <w:r>
        <w:rPr>
          <w:spacing w:val="-11"/>
        </w:rPr>
        <w:t> </w:t>
      </w:r>
      <w:r>
        <w:rPr/>
        <w:t>patch</w:t>
      </w:r>
      <w:r>
        <w:rPr>
          <w:spacing w:val="-10"/>
        </w:rPr>
        <w:t> </w:t>
      </w:r>
      <w:r>
        <w:rPr/>
        <w:t>up</w:t>
      </w:r>
      <w:r>
        <w:rPr>
          <w:spacing w:val="-10"/>
        </w:rPr>
        <w:t> </w:t>
      </w:r>
      <w:r>
        <w:rPr/>
        <w:t>the</w:t>
      </w:r>
      <w:r>
        <w:rPr>
          <w:spacing w:val="-10"/>
        </w:rPr>
        <w:t> </w:t>
      </w:r>
      <w:r>
        <w:rPr/>
        <w:t>lesions.</w:t>
      </w:r>
      <w:r>
        <w:rPr>
          <w:spacing w:val="-11"/>
        </w:rPr>
        <w:t> </w:t>
      </w:r>
      <w:r>
        <w:rPr/>
        <w:t>Unfortunately,</w:t>
      </w:r>
      <w:r>
        <w:rPr>
          <w:spacing w:val="-9"/>
        </w:rPr>
        <w:t> </w:t>
      </w:r>
      <w:r>
        <w:rPr/>
        <w:t>these</w:t>
      </w:r>
      <w:r>
        <w:rPr>
          <w:spacing w:val="-13"/>
        </w:rPr>
        <w:t> </w:t>
      </w:r>
      <w:r>
        <w:rPr/>
        <w:t>also</w:t>
      </w:r>
      <w:r>
        <w:rPr>
          <w:spacing w:val="-9"/>
        </w:rPr>
        <w:t> </w:t>
      </w:r>
      <w:r>
        <w:rPr/>
        <w:t>clog</w:t>
      </w:r>
      <w:r>
        <w:rPr>
          <w:spacing w:val="-10"/>
        </w:rPr>
        <w:t> </w:t>
      </w:r>
      <w:r>
        <w:rPr/>
        <w:t>the</w:t>
      </w:r>
      <w:r>
        <w:rPr>
          <w:spacing w:val="-11"/>
        </w:rPr>
        <w:t> </w:t>
      </w:r>
      <w:r>
        <w:rPr/>
        <w:t>arteries in the process and arteriosclerosis begins. Furthermore, extreme acid levels in the body lead to solidified blood cells. The result of inhibited blood flow to the heart due to these two reactions is a heart</w:t>
      </w:r>
      <w:r>
        <w:rPr>
          <w:spacing w:val="-7"/>
        </w:rPr>
        <w:t> </w:t>
      </w:r>
      <w:r>
        <w:rPr/>
        <w:t>attack.</w:t>
      </w:r>
    </w:p>
    <w:p>
      <w:pPr>
        <w:pStyle w:val="Heading1"/>
        <w:ind w:left="616"/>
      </w:pPr>
      <w:r>
        <w:rPr/>
        <w:t>Hay fever</w:t>
      </w:r>
    </w:p>
    <w:p>
      <w:pPr>
        <w:pStyle w:val="BodyText"/>
        <w:spacing w:line="276" w:lineRule="auto" w:before="297"/>
        <w:ind w:left="616" w:right="139"/>
        <w:jc w:val="both"/>
      </w:pPr>
      <w:r>
        <w:rPr/>
        <w:t>Hay fever relief is frequently observed if deacidification takes place appropri- ately using sodium bicarbonate (5 g in a glass with warm water) or other</w:t>
      </w:r>
      <w:r>
        <w:rPr>
          <w:spacing w:val="-63"/>
        </w:rPr>
        <w:t> </w:t>
      </w:r>
      <w:r>
        <w:rPr/>
        <w:t>suita- ble bases. From relief to healing with consistent deacidification; everything is possible!</w:t>
      </w:r>
    </w:p>
    <w:p>
      <w:pPr>
        <w:pStyle w:val="Heading1"/>
        <w:spacing w:before="225"/>
        <w:ind w:left="616"/>
      </w:pPr>
      <w:r>
        <w:rPr/>
        <w:t>Cerebral apoplexy/stroke</w:t>
      </w:r>
    </w:p>
    <w:p>
      <w:pPr>
        <w:pStyle w:val="BodyText"/>
        <w:spacing w:line="276" w:lineRule="auto" w:before="299"/>
        <w:ind w:left="616" w:right="134"/>
        <w:jc w:val="both"/>
      </w:pPr>
      <w:r>
        <w:rPr/>
        <w:t>The</w:t>
      </w:r>
      <w:r>
        <w:rPr>
          <w:spacing w:val="-16"/>
        </w:rPr>
        <w:t> </w:t>
      </w:r>
      <w:r>
        <w:rPr/>
        <w:t>mechanism</w:t>
      </w:r>
      <w:r>
        <w:rPr>
          <w:spacing w:val="-16"/>
        </w:rPr>
        <w:t> </w:t>
      </w:r>
      <w:r>
        <w:rPr/>
        <w:t>here</w:t>
      </w:r>
      <w:r>
        <w:rPr>
          <w:spacing w:val="-16"/>
        </w:rPr>
        <w:t> </w:t>
      </w:r>
      <w:r>
        <w:rPr/>
        <w:t>is</w:t>
      </w:r>
      <w:r>
        <w:rPr>
          <w:spacing w:val="-16"/>
        </w:rPr>
        <w:t> </w:t>
      </w:r>
      <w:r>
        <w:rPr/>
        <w:t>similar</w:t>
      </w:r>
      <w:r>
        <w:rPr>
          <w:spacing w:val="-16"/>
        </w:rPr>
        <w:t> </w:t>
      </w:r>
      <w:r>
        <w:rPr/>
        <w:t>to</w:t>
      </w:r>
      <w:r>
        <w:rPr>
          <w:spacing w:val="-16"/>
        </w:rPr>
        <w:t> </w:t>
      </w:r>
      <w:r>
        <w:rPr/>
        <w:t>that</w:t>
      </w:r>
      <w:r>
        <w:rPr>
          <w:spacing w:val="-17"/>
        </w:rPr>
        <w:t> </w:t>
      </w:r>
      <w:r>
        <w:rPr/>
        <w:t>of</w:t>
      </w:r>
      <w:r>
        <w:rPr>
          <w:spacing w:val="-15"/>
        </w:rPr>
        <w:t> </w:t>
      </w:r>
      <w:r>
        <w:rPr/>
        <w:t>a</w:t>
      </w:r>
      <w:r>
        <w:rPr>
          <w:spacing w:val="-18"/>
        </w:rPr>
        <w:t> </w:t>
      </w:r>
      <w:r>
        <w:rPr/>
        <w:t>heart</w:t>
      </w:r>
      <w:r>
        <w:rPr>
          <w:spacing w:val="-17"/>
        </w:rPr>
        <w:t> </w:t>
      </w:r>
      <w:r>
        <w:rPr/>
        <w:t>attack!</w:t>
      </w:r>
      <w:r>
        <w:rPr>
          <w:spacing w:val="-14"/>
        </w:rPr>
        <w:t> </w:t>
      </w:r>
      <w:r>
        <w:rPr/>
        <w:t>The</w:t>
      </w:r>
      <w:r>
        <w:rPr>
          <w:spacing w:val="-16"/>
        </w:rPr>
        <w:t> </w:t>
      </w:r>
      <w:r>
        <w:rPr/>
        <w:t>body</w:t>
      </w:r>
      <w:r>
        <w:rPr>
          <w:spacing w:val="-17"/>
        </w:rPr>
        <w:t> </w:t>
      </w:r>
      <w:r>
        <w:rPr/>
        <w:t>taps</w:t>
      </w:r>
      <w:r>
        <w:rPr>
          <w:spacing w:val="-15"/>
        </w:rPr>
        <w:t> </w:t>
      </w:r>
      <w:r>
        <w:rPr/>
        <w:t>minerals from the inner vessel walls for deacidification purposes resulting in the tiniest micro-lesions. In order to prevent something bad happening, the body forms cholesterol which is intended to patch up lesions. Unfortunately, this process is not controlled and bit by bit blood vessels become clogged. Furthermore, these</w:t>
      </w:r>
      <w:r>
        <w:rPr>
          <w:spacing w:val="-12"/>
        </w:rPr>
        <w:t> </w:t>
      </w:r>
      <w:r>
        <w:rPr/>
        <w:t>multiple</w:t>
      </w:r>
      <w:r>
        <w:rPr>
          <w:spacing w:val="-12"/>
        </w:rPr>
        <w:t> </w:t>
      </w:r>
      <w:r>
        <w:rPr/>
        <w:t>acids</w:t>
      </w:r>
      <w:r>
        <w:rPr>
          <w:spacing w:val="-12"/>
        </w:rPr>
        <w:t> </w:t>
      </w:r>
      <w:r>
        <w:rPr/>
        <w:t>lead</w:t>
      </w:r>
      <w:r>
        <w:rPr>
          <w:spacing w:val="-13"/>
        </w:rPr>
        <w:t> </w:t>
      </w:r>
      <w:r>
        <w:rPr/>
        <w:t>to</w:t>
      </w:r>
      <w:r>
        <w:rPr>
          <w:spacing w:val="-12"/>
        </w:rPr>
        <w:t> </w:t>
      </w:r>
      <w:r>
        <w:rPr/>
        <w:t>rigidity</w:t>
      </w:r>
      <w:r>
        <w:rPr>
          <w:spacing w:val="-12"/>
        </w:rPr>
        <w:t> </w:t>
      </w:r>
      <w:r>
        <w:rPr/>
        <w:t>in</w:t>
      </w:r>
      <w:r>
        <w:rPr>
          <w:spacing w:val="-14"/>
        </w:rPr>
        <w:t> </w:t>
      </w:r>
      <w:r>
        <w:rPr/>
        <w:t>blood</w:t>
      </w:r>
      <w:r>
        <w:rPr>
          <w:spacing w:val="-11"/>
        </w:rPr>
        <w:t> </w:t>
      </w:r>
      <w:r>
        <w:rPr/>
        <w:t>cells.</w:t>
      </w:r>
      <w:r>
        <w:rPr>
          <w:spacing w:val="-16"/>
        </w:rPr>
        <w:t> </w:t>
      </w:r>
      <w:r>
        <w:rPr/>
        <w:t>The</w:t>
      </w:r>
      <w:r>
        <w:rPr>
          <w:spacing w:val="-11"/>
        </w:rPr>
        <w:t> </w:t>
      </w:r>
      <w:r>
        <w:rPr/>
        <w:t>result</w:t>
      </w:r>
      <w:r>
        <w:rPr>
          <w:spacing w:val="-12"/>
        </w:rPr>
        <w:t> </w:t>
      </w:r>
      <w:r>
        <w:rPr/>
        <w:t>of</w:t>
      </w:r>
      <w:r>
        <w:rPr>
          <w:spacing w:val="-14"/>
        </w:rPr>
        <w:t> </w:t>
      </w:r>
      <w:r>
        <w:rPr/>
        <w:t>inhibited</w:t>
      </w:r>
      <w:r>
        <w:rPr>
          <w:spacing w:val="-13"/>
        </w:rPr>
        <w:t> </w:t>
      </w:r>
      <w:r>
        <w:rPr/>
        <w:t>blood flow to the brain due to these two reactions is a</w:t>
      </w:r>
      <w:r>
        <w:rPr>
          <w:spacing w:val="-5"/>
        </w:rPr>
        <w:t> </w:t>
      </w:r>
      <w:r>
        <w:rPr/>
        <w:t>stroke.</w:t>
      </w:r>
    </w:p>
    <w:p>
      <w:pPr>
        <w:pStyle w:val="Heading1"/>
        <w:spacing w:before="221"/>
        <w:ind w:left="616"/>
        <w:jc w:val="both"/>
      </w:pPr>
      <w:r>
        <w:rPr/>
        <w:t>Hot flushes during the menopause</w:t>
      </w:r>
    </w:p>
    <w:p>
      <w:pPr>
        <w:spacing w:after="0"/>
        <w:jc w:val="both"/>
        <w:sectPr>
          <w:pgSz w:w="14270" w:h="16850"/>
          <w:pgMar w:header="0" w:footer="1891" w:top="1340" w:bottom="2080" w:left="800" w:right="1280"/>
        </w:sectPr>
      </w:pPr>
    </w:p>
    <w:p>
      <w:pPr>
        <w:pStyle w:val="BodyText"/>
        <w:spacing w:line="276" w:lineRule="auto" w:before="74"/>
        <w:ind w:left="616" w:right="132"/>
        <w:jc w:val="both"/>
      </w:pPr>
      <w:r>
        <w:rPr/>
        <w:t>Hot flushes during the menopause are a natural physical reaction to deacidifi- cation. They are caused by the absence of the de-acidifying effect of the monthly period. Instead of supressing this important reaction with medicines, many experts recommend consistent deacidification of the organism!</w:t>
      </w:r>
    </w:p>
    <w:p>
      <w:pPr>
        <w:pStyle w:val="Heading1"/>
        <w:spacing w:before="222"/>
        <w:ind w:left="616"/>
      </w:pPr>
      <w:r>
        <w:rPr/>
        <w:t>Acute hearing loss/tinnitus</w:t>
      </w:r>
    </w:p>
    <w:p>
      <w:pPr>
        <w:pStyle w:val="BodyText"/>
        <w:spacing w:line="276" w:lineRule="auto" w:before="299"/>
        <w:ind w:left="616"/>
      </w:pPr>
      <w:r>
        <w:rPr/>
        <w:t>The causes of acute hearing loss or tinnitus can be manifold and stretch from viral infection, stress and noise impact to excess body acidification.</w:t>
      </w:r>
    </w:p>
    <w:p>
      <w:pPr>
        <w:pStyle w:val="BodyText"/>
        <w:spacing w:line="276" w:lineRule="auto" w:before="239"/>
        <w:ind w:left="616"/>
      </w:pPr>
      <w:r>
        <w:rPr/>
        <w:t>Rigidity of the red blood cells caused by acidification clogs the small blood vessels in the inner ear and the blood can no longer flow.</w:t>
      </w:r>
    </w:p>
    <w:p>
      <w:pPr>
        <w:pStyle w:val="Heading1"/>
        <w:spacing w:before="226"/>
        <w:ind w:left="616"/>
      </w:pPr>
      <w:r>
        <w:rPr/>
        <w:t>Immune system</w:t>
      </w:r>
    </w:p>
    <w:p>
      <w:pPr>
        <w:pStyle w:val="BodyText"/>
        <w:spacing w:line="278" w:lineRule="auto" w:before="297"/>
        <w:ind w:left="616"/>
      </w:pPr>
      <w:r>
        <w:rPr/>
        <w:t>The immune system in an acidified body is extensively impaired; you can find out more about this under ‘Immune deficiency’.</w:t>
      </w:r>
    </w:p>
    <w:p>
      <w:pPr>
        <w:pStyle w:val="Heading2"/>
        <w:spacing w:before="233"/>
        <w:ind w:left="616"/>
      </w:pPr>
      <w:r>
        <w:rPr/>
        <w:t>Cold hands and feet</w:t>
      </w:r>
    </w:p>
    <w:p>
      <w:pPr>
        <w:pStyle w:val="BodyText"/>
        <w:spacing w:line="276" w:lineRule="auto" w:before="304"/>
        <w:ind w:left="616" w:right="131"/>
        <w:jc w:val="both"/>
      </w:pPr>
      <w:r>
        <w:rPr/>
        <w:t>Cold hands and feet are a result of circulatory disorders. Connective tissue loses</w:t>
      </w:r>
      <w:r>
        <w:rPr>
          <w:spacing w:val="-8"/>
        </w:rPr>
        <w:t> </w:t>
      </w:r>
      <w:r>
        <w:rPr/>
        <w:t>elasticity</w:t>
      </w:r>
      <w:r>
        <w:rPr>
          <w:spacing w:val="-10"/>
        </w:rPr>
        <w:t> </w:t>
      </w:r>
      <w:r>
        <w:rPr/>
        <w:t>due</w:t>
      </w:r>
      <w:r>
        <w:rPr>
          <w:spacing w:val="-9"/>
        </w:rPr>
        <w:t> </w:t>
      </w:r>
      <w:r>
        <w:rPr/>
        <w:t>to</w:t>
      </w:r>
      <w:r>
        <w:rPr>
          <w:spacing w:val="-9"/>
        </w:rPr>
        <w:t> </w:t>
      </w:r>
      <w:r>
        <w:rPr/>
        <w:t>increased</w:t>
      </w:r>
      <w:r>
        <w:rPr>
          <w:spacing w:val="-10"/>
        </w:rPr>
        <w:t> </w:t>
      </w:r>
      <w:r>
        <w:rPr/>
        <w:t>acidic</w:t>
      </w:r>
      <w:r>
        <w:rPr>
          <w:spacing w:val="-11"/>
        </w:rPr>
        <w:t> </w:t>
      </w:r>
      <w:r>
        <w:rPr/>
        <w:t>stress</w:t>
      </w:r>
      <w:r>
        <w:rPr>
          <w:spacing w:val="-9"/>
        </w:rPr>
        <w:t> </w:t>
      </w:r>
      <w:r>
        <w:rPr/>
        <w:t>which</w:t>
      </w:r>
      <w:r>
        <w:rPr>
          <w:spacing w:val="-8"/>
        </w:rPr>
        <w:t> </w:t>
      </w:r>
      <w:r>
        <w:rPr/>
        <w:t>inhibits</w:t>
      </w:r>
      <w:r>
        <w:rPr>
          <w:spacing w:val="-9"/>
        </w:rPr>
        <w:t> </w:t>
      </w:r>
      <w:r>
        <w:rPr/>
        <w:t>the</w:t>
      </w:r>
      <w:r>
        <w:rPr>
          <w:spacing w:val="-8"/>
        </w:rPr>
        <w:t> </w:t>
      </w:r>
      <w:r>
        <w:rPr/>
        <w:t>blood</w:t>
      </w:r>
      <w:r>
        <w:rPr>
          <w:spacing w:val="-10"/>
        </w:rPr>
        <w:t> </w:t>
      </w:r>
      <w:r>
        <w:rPr/>
        <w:t>supply</w:t>
      </w:r>
      <w:r>
        <w:rPr>
          <w:spacing w:val="-11"/>
        </w:rPr>
        <w:t> </w:t>
      </w:r>
      <w:r>
        <w:rPr/>
        <w:t>to the extremities. Deacidification and alkaline baths (pH value 8.5) can help here!</w:t>
      </w:r>
    </w:p>
    <w:p>
      <w:pPr>
        <w:pStyle w:val="BodyText"/>
        <w:rPr>
          <w:sz w:val="42"/>
        </w:rPr>
      </w:pPr>
    </w:p>
    <w:p>
      <w:pPr>
        <w:pStyle w:val="BodyText"/>
        <w:spacing w:before="9"/>
        <w:rPr>
          <w:sz w:val="42"/>
        </w:rPr>
      </w:pPr>
    </w:p>
    <w:p>
      <w:pPr>
        <w:pStyle w:val="Heading1"/>
        <w:spacing w:before="1"/>
        <w:ind w:left="616"/>
        <w:jc w:val="both"/>
      </w:pPr>
      <w:r>
        <w:rPr/>
        <w:t>Caries</w:t>
      </w:r>
    </w:p>
    <w:p>
      <w:pPr>
        <w:spacing w:after="0"/>
        <w:jc w:val="both"/>
        <w:sectPr>
          <w:pgSz w:w="14270" w:h="16850"/>
          <w:pgMar w:header="0" w:footer="1891" w:top="1340" w:bottom="2080" w:left="800" w:right="1280"/>
        </w:sectPr>
      </w:pPr>
    </w:p>
    <w:p>
      <w:pPr>
        <w:pStyle w:val="BodyText"/>
        <w:spacing w:line="276" w:lineRule="auto" w:before="74"/>
        <w:ind w:left="616" w:right="132"/>
        <w:jc w:val="both"/>
      </w:pPr>
      <w:r>
        <w:rPr/>
        <w:t>After the scalp, teeth are one of the most popular sources of minerals for our organism to tap into for neutralisation purposes. Over time, this damages the tooth enamel and leads to caries. This damaging process is particularly clear</w:t>
      </w:r>
      <w:r>
        <w:rPr>
          <w:spacing w:val="-50"/>
        </w:rPr>
        <w:t> </w:t>
      </w:r>
      <w:r>
        <w:rPr/>
        <w:t>in children’s</w:t>
      </w:r>
      <w:r>
        <w:rPr>
          <w:spacing w:val="-14"/>
        </w:rPr>
        <w:t> </w:t>
      </w:r>
      <w:r>
        <w:rPr/>
        <w:t>milk</w:t>
      </w:r>
      <w:r>
        <w:rPr>
          <w:spacing w:val="-15"/>
        </w:rPr>
        <w:t> </w:t>
      </w:r>
      <w:r>
        <w:rPr/>
        <w:t>teeth</w:t>
      </w:r>
      <w:r>
        <w:rPr>
          <w:spacing w:val="-13"/>
        </w:rPr>
        <w:t> </w:t>
      </w:r>
      <w:r>
        <w:rPr/>
        <w:t>which</w:t>
      </w:r>
      <w:r>
        <w:rPr>
          <w:spacing w:val="-15"/>
        </w:rPr>
        <w:t> </w:t>
      </w:r>
      <w:r>
        <w:rPr/>
        <w:t>often</w:t>
      </w:r>
      <w:r>
        <w:rPr>
          <w:spacing w:val="-15"/>
        </w:rPr>
        <w:t> </w:t>
      </w:r>
      <w:r>
        <w:rPr/>
        <w:t>consist</w:t>
      </w:r>
      <w:r>
        <w:rPr>
          <w:spacing w:val="-16"/>
        </w:rPr>
        <w:t> </w:t>
      </w:r>
      <w:r>
        <w:rPr/>
        <w:t>these</w:t>
      </w:r>
      <w:r>
        <w:rPr>
          <w:spacing w:val="-14"/>
        </w:rPr>
        <w:t> </w:t>
      </w:r>
      <w:r>
        <w:rPr/>
        <w:t>days</w:t>
      </w:r>
      <w:r>
        <w:rPr>
          <w:spacing w:val="-13"/>
        </w:rPr>
        <w:t> </w:t>
      </w:r>
      <w:r>
        <w:rPr/>
        <w:t>of</w:t>
      </w:r>
      <w:r>
        <w:rPr>
          <w:spacing w:val="-16"/>
        </w:rPr>
        <w:t> </w:t>
      </w:r>
      <w:r>
        <w:rPr/>
        <w:t>decayed</w:t>
      </w:r>
      <w:r>
        <w:rPr>
          <w:spacing w:val="-16"/>
        </w:rPr>
        <w:t> </w:t>
      </w:r>
      <w:r>
        <w:rPr/>
        <w:t>stumps.</w:t>
      </w:r>
      <w:r>
        <w:rPr>
          <w:spacing w:val="-13"/>
        </w:rPr>
        <w:t> </w:t>
      </w:r>
      <w:r>
        <w:rPr/>
        <w:t>Clearly the body prefers to sacrifice human teeth for acid neutralisation in the knowledge that more teeth will</w:t>
      </w:r>
      <w:r>
        <w:rPr>
          <w:spacing w:val="3"/>
        </w:rPr>
        <w:t> </w:t>
      </w:r>
      <w:r>
        <w:rPr/>
        <w:t>come</w:t>
      </w:r>
    </w:p>
    <w:p>
      <w:pPr>
        <w:pStyle w:val="Heading1"/>
        <w:spacing w:before="223"/>
        <w:ind w:left="616"/>
      </w:pPr>
      <w:r>
        <w:rPr/>
        <w:t>Childlessness</w:t>
      </w:r>
    </w:p>
    <w:p>
      <w:pPr>
        <w:pStyle w:val="BodyText"/>
        <w:spacing w:line="276" w:lineRule="auto" w:before="300"/>
        <w:ind w:left="616" w:right="134"/>
        <w:jc w:val="both"/>
      </w:pPr>
      <w:r>
        <w:rPr/>
        <w:t>Childlessness</w:t>
      </w:r>
      <w:r>
        <w:rPr>
          <w:spacing w:val="-22"/>
        </w:rPr>
        <w:t> </w:t>
      </w:r>
      <w:r>
        <w:rPr/>
        <w:t>is</w:t>
      </w:r>
      <w:r>
        <w:rPr>
          <w:spacing w:val="-25"/>
        </w:rPr>
        <w:t> </w:t>
      </w:r>
      <w:r>
        <w:rPr/>
        <w:t>often</w:t>
      </w:r>
      <w:r>
        <w:rPr>
          <w:spacing w:val="-22"/>
        </w:rPr>
        <w:t> </w:t>
      </w:r>
      <w:r>
        <w:rPr/>
        <w:t>an</w:t>
      </w:r>
      <w:r>
        <w:rPr>
          <w:spacing w:val="-22"/>
        </w:rPr>
        <w:t> </w:t>
      </w:r>
      <w:r>
        <w:rPr/>
        <w:t>indication</w:t>
      </w:r>
      <w:r>
        <w:rPr>
          <w:spacing w:val="-22"/>
        </w:rPr>
        <w:t> </w:t>
      </w:r>
      <w:r>
        <w:rPr/>
        <w:t>of</w:t>
      </w:r>
      <w:r>
        <w:rPr>
          <w:spacing w:val="-25"/>
        </w:rPr>
        <w:t> </w:t>
      </w:r>
      <w:r>
        <w:rPr/>
        <w:t>a</w:t>
      </w:r>
      <w:r>
        <w:rPr>
          <w:spacing w:val="-19"/>
        </w:rPr>
        <w:t> </w:t>
      </w:r>
      <w:r>
        <w:rPr/>
        <w:t>heavily</w:t>
      </w:r>
      <w:r>
        <w:rPr>
          <w:spacing w:val="-23"/>
        </w:rPr>
        <w:t> </w:t>
      </w:r>
      <w:r>
        <w:rPr/>
        <w:t>over-acidified</w:t>
      </w:r>
      <w:r>
        <w:rPr>
          <w:spacing w:val="-23"/>
        </w:rPr>
        <w:t> </w:t>
      </w:r>
      <w:r>
        <w:rPr/>
        <w:t>female</w:t>
      </w:r>
      <w:r>
        <w:rPr>
          <w:spacing w:val="-22"/>
        </w:rPr>
        <w:t> </w:t>
      </w:r>
      <w:r>
        <w:rPr/>
        <w:t>organism. Ideally, amniotic fluid has an alkaline pH value of 8.5; if the body has excess acid, pregnancy is not possible, no matter what you</w:t>
      </w:r>
      <w:r>
        <w:rPr>
          <w:spacing w:val="-5"/>
        </w:rPr>
        <w:t> </w:t>
      </w:r>
      <w:r>
        <w:rPr/>
        <w:t>try!</w:t>
      </w:r>
    </w:p>
    <w:p>
      <w:pPr>
        <w:pStyle w:val="Heading1"/>
        <w:spacing w:before="221"/>
        <w:ind w:left="616"/>
      </w:pPr>
      <w:r>
        <w:rPr/>
        <w:t>Lack of concentration</w:t>
      </w:r>
    </w:p>
    <w:p>
      <w:pPr>
        <w:pStyle w:val="BodyText"/>
        <w:spacing w:line="278" w:lineRule="auto" w:before="299"/>
        <w:ind w:left="616" w:right="134"/>
        <w:jc w:val="both"/>
      </w:pPr>
      <w:r>
        <w:rPr/>
        <w:t>Rigidity of red blood cells caused by acids impairs circulation to the brain which is reflected in a lack of concentration, fatigue and other symptoms.</w:t>
      </w:r>
    </w:p>
    <w:p>
      <w:pPr>
        <w:spacing w:after="0" w:line="278" w:lineRule="auto"/>
        <w:jc w:val="both"/>
        <w:sectPr>
          <w:pgSz w:w="14270" w:h="16850"/>
          <w:pgMar w:header="0" w:footer="1891" w:top="1340" w:bottom="2080" w:left="800" w:right="1280"/>
        </w:sectPr>
      </w:pPr>
    </w:p>
    <w:p>
      <w:pPr>
        <w:pStyle w:val="Heading1"/>
        <w:spacing w:before="77"/>
        <w:ind w:left="616"/>
      </w:pPr>
      <w:r>
        <w:rPr/>
        <w:t>Headaches/migraines</w:t>
      </w:r>
    </w:p>
    <w:p>
      <w:pPr>
        <w:pStyle w:val="BodyText"/>
        <w:spacing w:line="276" w:lineRule="auto" w:before="299"/>
        <w:ind w:left="616" w:right="133"/>
        <w:jc w:val="both"/>
      </w:pPr>
      <w:r>
        <w:rPr/>
        <w:t>Headaches and full-on migraines can often be traced back to acidification. In many cases, this problem can be combatted by consuming alkaline substances such as sodium bicarbonate.</w:t>
      </w:r>
    </w:p>
    <w:p>
      <w:pPr>
        <w:pStyle w:val="Heading1"/>
        <w:spacing w:before="222"/>
        <w:ind w:left="616"/>
      </w:pPr>
      <w:r>
        <w:rPr/>
        <w:t>Body odour</w:t>
      </w:r>
    </w:p>
    <w:p>
      <w:pPr>
        <w:pStyle w:val="BodyText"/>
        <w:spacing w:line="276" w:lineRule="auto" w:before="299"/>
        <w:ind w:left="616" w:right="134"/>
        <w:jc w:val="both"/>
      </w:pPr>
      <w:r>
        <w:rPr/>
        <w:t>Unpleasant</w:t>
      </w:r>
      <w:r>
        <w:rPr>
          <w:spacing w:val="-17"/>
        </w:rPr>
        <w:t> </w:t>
      </w:r>
      <w:r>
        <w:rPr/>
        <w:t>body</w:t>
      </w:r>
      <w:r>
        <w:rPr>
          <w:spacing w:val="-16"/>
        </w:rPr>
        <w:t> </w:t>
      </w:r>
      <w:r>
        <w:rPr/>
        <w:t>odour</w:t>
      </w:r>
      <w:r>
        <w:rPr>
          <w:spacing w:val="-17"/>
        </w:rPr>
        <w:t> </w:t>
      </w:r>
      <w:r>
        <w:rPr/>
        <w:t>is</w:t>
      </w:r>
      <w:r>
        <w:rPr>
          <w:spacing w:val="-19"/>
        </w:rPr>
        <w:t> </w:t>
      </w:r>
      <w:r>
        <w:rPr/>
        <w:t>not</w:t>
      </w:r>
      <w:r>
        <w:rPr>
          <w:spacing w:val="-19"/>
        </w:rPr>
        <w:t> </w:t>
      </w:r>
      <w:r>
        <w:rPr/>
        <w:t>always</w:t>
      </w:r>
      <w:r>
        <w:rPr>
          <w:spacing w:val="-15"/>
        </w:rPr>
        <w:t> </w:t>
      </w:r>
      <w:r>
        <w:rPr/>
        <w:t>a</w:t>
      </w:r>
      <w:r>
        <w:rPr>
          <w:spacing w:val="-18"/>
        </w:rPr>
        <w:t> </w:t>
      </w:r>
      <w:r>
        <w:rPr/>
        <w:t>sign</w:t>
      </w:r>
      <w:r>
        <w:rPr>
          <w:spacing w:val="-18"/>
        </w:rPr>
        <w:t> </w:t>
      </w:r>
      <w:r>
        <w:rPr/>
        <w:t>of</w:t>
      </w:r>
      <w:r>
        <w:rPr>
          <w:spacing w:val="-16"/>
        </w:rPr>
        <w:t> </w:t>
      </w:r>
      <w:r>
        <w:rPr/>
        <w:t>poor</w:t>
      </w:r>
      <w:r>
        <w:rPr>
          <w:spacing w:val="-16"/>
        </w:rPr>
        <w:t> </w:t>
      </w:r>
      <w:r>
        <w:rPr/>
        <w:t>external</w:t>
      </w:r>
      <w:r>
        <w:rPr>
          <w:spacing w:val="-18"/>
        </w:rPr>
        <w:t> </w:t>
      </w:r>
      <w:r>
        <w:rPr/>
        <w:t>hygiene</w:t>
      </w:r>
      <w:r>
        <w:rPr>
          <w:spacing w:val="-14"/>
        </w:rPr>
        <w:t> </w:t>
      </w:r>
      <w:r>
        <w:rPr/>
        <w:t>–</w:t>
      </w:r>
      <w:r>
        <w:rPr>
          <w:spacing w:val="-19"/>
        </w:rPr>
        <w:t> </w:t>
      </w:r>
      <w:r>
        <w:rPr/>
        <w:t>but</w:t>
      </w:r>
      <w:r>
        <w:rPr>
          <w:spacing w:val="-18"/>
        </w:rPr>
        <w:t> </w:t>
      </w:r>
      <w:r>
        <w:rPr/>
        <w:t>very often a sign of poor internal hygiene. The body uses sweat glands to remove accumulated acids and sludge from the body and these can sometimes smell very strong.</w:t>
      </w:r>
    </w:p>
    <w:p>
      <w:pPr>
        <w:pStyle w:val="BodyText"/>
        <w:spacing w:line="278" w:lineRule="auto" w:before="240"/>
        <w:ind w:left="616" w:right="140"/>
        <w:jc w:val="both"/>
      </w:pPr>
      <w:r>
        <w:rPr/>
        <w:t>Regular internal deacidification and deacidification baths (pH value 8.5) can help here.</w:t>
      </w:r>
    </w:p>
    <w:p>
      <w:pPr>
        <w:pStyle w:val="Heading1"/>
        <w:spacing w:before="215"/>
        <w:ind w:left="616"/>
      </w:pPr>
      <w:r>
        <w:rPr/>
        <w:t>Cancer</w:t>
      </w:r>
    </w:p>
    <w:p>
      <w:pPr>
        <w:pStyle w:val="BodyText"/>
        <w:spacing w:line="276" w:lineRule="auto" w:before="299"/>
        <w:ind w:left="616" w:right="132"/>
        <w:jc w:val="both"/>
      </w:pPr>
      <w:r>
        <w:rPr/>
        <w:t>Tumour</w:t>
      </w:r>
      <w:r>
        <w:rPr>
          <w:spacing w:val="-10"/>
        </w:rPr>
        <w:t> </w:t>
      </w:r>
      <w:r>
        <w:rPr/>
        <w:t>growth</w:t>
      </w:r>
      <w:r>
        <w:rPr>
          <w:spacing w:val="-9"/>
        </w:rPr>
        <w:t> </w:t>
      </w:r>
      <w:r>
        <w:rPr/>
        <w:t>is</w:t>
      </w:r>
      <w:r>
        <w:rPr>
          <w:spacing w:val="-9"/>
        </w:rPr>
        <w:t> </w:t>
      </w:r>
      <w:r>
        <w:rPr/>
        <w:t>only</w:t>
      </w:r>
      <w:r>
        <w:rPr>
          <w:spacing w:val="-12"/>
        </w:rPr>
        <w:t> </w:t>
      </w:r>
      <w:r>
        <w:rPr/>
        <w:t>possible</w:t>
      </w:r>
      <w:r>
        <w:rPr>
          <w:spacing w:val="-12"/>
        </w:rPr>
        <w:t> </w:t>
      </w:r>
      <w:r>
        <w:rPr/>
        <w:t>in</w:t>
      </w:r>
      <w:r>
        <w:rPr>
          <w:spacing w:val="-9"/>
        </w:rPr>
        <w:t> </w:t>
      </w:r>
      <w:r>
        <w:rPr/>
        <w:t>acidic</w:t>
      </w:r>
      <w:r>
        <w:rPr>
          <w:spacing w:val="-11"/>
        </w:rPr>
        <w:t> </w:t>
      </w:r>
      <w:r>
        <w:rPr/>
        <w:t>body</w:t>
      </w:r>
      <w:r>
        <w:rPr>
          <w:spacing w:val="-8"/>
        </w:rPr>
        <w:t> </w:t>
      </w:r>
      <w:r>
        <w:rPr/>
        <w:t>regions.</w:t>
      </w:r>
      <w:r>
        <w:rPr>
          <w:spacing w:val="-8"/>
        </w:rPr>
        <w:t> </w:t>
      </w:r>
      <w:r>
        <w:rPr/>
        <w:t>Cancer</w:t>
      </w:r>
      <w:r>
        <w:rPr>
          <w:spacing w:val="-4"/>
        </w:rPr>
        <w:t> </w:t>
      </w:r>
      <w:r>
        <w:rPr/>
        <w:t>cannot</w:t>
      </w:r>
      <w:r>
        <w:rPr>
          <w:spacing w:val="-9"/>
        </w:rPr>
        <w:t> </w:t>
      </w:r>
      <w:r>
        <w:rPr/>
        <w:t>form</w:t>
      </w:r>
      <w:r>
        <w:rPr>
          <w:spacing w:val="-12"/>
        </w:rPr>
        <w:t> </w:t>
      </w:r>
      <w:r>
        <w:rPr/>
        <w:t>in alkaline regions. This recognition was made by Prof. Otto Warburg who des- ignated cancer as the ‘Number 1 acid disease’.</w:t>
      </w:r>
    </w:p>
    <w:p>
      <w:pPr>
        <w:spacing w:line="278" w:lineRule="auto" w:before="239"/>
        <w:ind w:left="616" w:right="138" w:firstLine="0"/>
        <w:jc w:val="both"/>
        <w:rPr>
          <w:sz w:val="38"/>
        </w:rPr>
      </w:pPr>
      <w:r>
        <w:rPr>
          <w:sz w:val="38"/>
        </w:rPr>
        <w:t>If</w:t>
      </w:r>
      <w:r>
        <w:rPr>
          <w:spacing w:val="-23"/>
          <w:sz w:val="38"/>
        </w:rPr>
        <w:t> </w:t>
      </w:r>
      <w:r>
        <w:rPr>
          <w:sz w:val="38"/>
        </w:rPr>
        <w:t>acids</w:t>
      </w:r>
      <w:r>
        <w:rPr>
          <w:spacing w:val="-22"/>
          <w:sz w:val="38"/>
        </w:rPr>
        <w:t> </w:t>
      </w:r>
      <w:r>
        <w:rPr>
          <w:sz w:val="38"/>
        </w:rPr>
        <w:t>are</w:t>
      </w:r>
      <w:r>
        <w:rPr>
          <w:spacing w:val="-21"/>
          <w:sz w:val="38"/>
        </w:rPr>
        <w:t> </w:t>
      </w:r>
      <w:r>
        <w:rPr>
          <w:sz w:val="38"/>
        </w:rPr>
        <w:t>neutralised,</w:t>
      </w:r>
      <w:r>
        <w:rPr>
          <w:spacing w:val="-16"/>
          <w:sz w:val="38"/>
        </w:rPr>
        <w:t> </w:t>
      </w:r>
      <w:r>
        <w:rPr>
          <w:i/>
          <w:sz w:val="38"/>
        </w:rPr>
        <w:t>‘the</w:t>
      </w:r>
      <w:r>
        <w:rPr>
          <w:i/>
          <w:spacing w:val="-22"/>
          <w:sz w:val="38"/>
        </w:rPr>
        <w:t> </w:t>
      </w:r>
      <w:r>
        <w:rPr>
          <w:i/>
          <w:sz w:val="38"/>
        </w:rPr>
        <w:t>breeding</w:t>
      </w:r>
      <w:r>
        <w:rPr>
          <w:i/>
          <w:spacing w:val="-22"/>
          <w:sz w:val="38"/>
        </w:rPr>
        <w:t> </w:t>
      </w:r>
      <w:r>
        <w:rPr>
          <w:i/>
          <w:sz w:val="38"/>
        </w:rPr>
        <w:t>ground</w:t>
      </w:r>
      <w:r>
        <w:rPr>
          <w:i/>
          <w:spacing w:val="-22"/>
          <w:sz w:val="38"/>
        </w:rPr>
        <w:t> </w:t>
      </w:r>
      <w:r>
        <w:rPr>
          <w:i/>
          <w:sz w:val="38"/>
        </w:rPr>
        <w:t>for</w:t>
      </w:r>
      <w:r>
        <w:rPr>
          <w:i/>
          <w:spacing w:val="-20"/>
          <w:sz w:val="38"/>
        </w:rPr>
        <w:t> </w:t>
      </w:r>
      <w:r>
        <w:rPr>
          <w:i/>
          <w:sz w:val="38"/>
        </w:rPr>
        <w:t>cancer</w:t>
      </w:r>
      <w:r>
        <w:rPr>
          <w:i/>
          <w:spacing w:val="-23"/>
          <w:sz w:val="38"/>
        </w:rPr>
        <w:t> </w:t>
      </w:r>
      <w:r>
        <w:rPr>
          <w:i/>
          <w:sz w:val="38"/>
        </w:rPr>
        <w:t>cells</w:t>
      </w:r>
      <w:r>
        <w:rPr>
          <w:i/>
          <w:spacing w:val="-23"/>
          <w:sz w:val="38"/>
        </w:rPr>
        <w:t> </w:t>
      </w:r>
      <w:r>
        <w:rPr>
          <w:i/>
          <w:sz w:val="38"/>
        </w:rPr>
        <w:t>is</w:t>
      </w:r>
      <w:r>
        <w:rPr>
          <w:i/>
          <w:spacing w:val="-22"/>
          <w:sz w:val="38"/>
        </w:rPr>
        <w:t> </w:t>
      </w:r>
      <w:r>
        <w:rPr>
          <w:i/>
          <w:sz w:val="38"/>
        </w:rPr>
        <w:t>also</w:t>
      </w:r>
      <w:r>
        <w:rPr>
          <w:i/>
          <w:spacing w:val="-21"/>
          <w:sz w:val="38"/>
        </w:rPr>
        <w:t> </w:t>
      </w:r>
      <w:r>
        <w:rPr>
          <w:i/>
          <w:sz w:val="38"/>
        </w:rPr>
        <w:t>removed</w:t>
      </w:r>
      <w:r>
        <w:rPr>
          <w:i/>
          <w:spacing w:val="-20"/>
          <w:sz w:val="38"/>
        </w:rPr>
        <w:t> </w:t>
      </w:r>
      <w:r>
        <w:rPr>
          <w:i/>
          <w:sz w:val="38"/>
        </w:rPr>
        <w:t>as</w:t>
      </w:r>
      <w:r>
        <w:rPr>
          <w:i/>
          <w:spacing w:val="-22"/>
          <w:sz w:val="38"/>
        </w:rPr>
        <w:t> </w:t>
      </w:r>
      <w:r>
        <w:rPr>
          <w:i/>
          <w:sz w:val="38"/>
        </w:rPr>
        <w:t>they</w:t>
      </w:r>
      <w:r>
        <w:rPr>
          <w:i/>
          <w:spacing w:val="-20"/>
          <w:sz w:val="38"/>
        </w:rPr>
        <w:t> </w:t>
      </w:r>
      <w:r>
        <w:rPr>
          <w:i/>
          <w:sz w:val="38"/>
        </w:rPr>
        <w:t>require </w:t>
      </w:r>
      <w:r>
        <w:rPr>
          <w:i/>
          <w:sz w:val="38"/>
        </w:rPr>
        <w:t>this for accelerated growth</w:t>
      </w:r>
      <w:r>
        <w:rPr>
          <w:sz w:val="38"/>
        </w:rPr>
        <w:t>.’ (natural healer Rudolf</w:t>
      </w:r>
      <w:r>
        <w:rPr>
          <w:spacing w:val="-4"/>
          <w:sz w:val="38"/>
        </w:rPr>
        <w:t> </w:t>
      </w:r>
      <w:r>
        <w:rPr>
          <w:sz w:val="38"/>
        </w:rPr>
        <w:t>Darmstädter).</w:t>
      </w:r>
    </w:p>
    <w:p>
      <w:pPr>
        <w:pStyle w:val="BodyText"/>
        <w:spacing w:line="278" w:lineRule="auto" w:before="232"/>
        <w:ind w:left="616" w:right="136"/>
        <w:jc w:val="both"/>
      </w:pPr>
      <w:r>
        <w:rPr/>
        <w:t>According</w:t>
      </w:r>
      <w:r>
        <w:rPr>
          <w:spacing w:val="-17"/>
        </w:rPr>
        <w:t> </w:t>
      </w:r>
      <w:r>
        <w:rPr/>
        <w:t>to</w:t>
      </w:r>
      <w:r>
        <w:rPr>
          <w:spacing w:val="-18"/>
        </w:rPr>
        <w:t> </w:t>
      </w:r>
      <w:r>
        <w:rPr/>
        <w:t>Gottfried</w:t>
      </w:r>
      <w:r>
        <w:rPr>
          <w:spacing w:val="-17"/>
        </w:rPr>
        <w:t> </w:t>
      </w:r>
      <w:r>
        <w:rPr/>
        <w:t>Segger,</w:t>
      </w:r>
      <w:r>
        <w:rPr>
          <w:spacing w:val="-20"/>
        </w:rPr>
        <w:t> </w:t>
      </w:r>
      <w:r>
        <w:rPr/>
        <w:t>an</w:t>
      </w:r>
      <w:r>
        <w:rPr>
          <w:spacing w:val="-16"/>
        </w:rPr>
        <w:t> </w:t>
      </w:r>
      <w:r>
        <w:rPr/>
        <w:t>acid</w:t>
      </w:r>
      <w:r>
        <w:rPr>
          <w:spacing w:val="-17"/>
        </w:rPr>
        <w:t> </w:t>
      </w:r>
      <w:r>
        <w:rPr/>
        <w:t>researcher,</w:t>
      </w:r>
      <w:r>
        <w:rPr>
          <w:spacing w:val="-15"/>
        </w:rPr>
        <w:t> </w:t>
      </w:r>
      <w:r>
        <w:rPr/>
        <w:t>alkaline</w:t>
      </w:r>
      <w:r>
        <w:rPr>
          <w:spacing w:val="-16"/>
        </w:rPr>
        <w:t> </w:t>
      </w:r>
      <w:r>
        <w:rPr/>
        <w:t>(acid-free)</w:t>
      </w:r>
      <w:r>
        <w:rPr>
          <w:spacing w:val="-16"/>
        </w:rPr>
        <w:t> </w:t>
      </w:r>
      <w:r>
        <w:rPr/>
        <w:t>nutrition is the only effective cancer</w:t>
      </w:r>
      <w:r>
        <w:rPr>
          <w:spacing w:val="-2"/>
        </w:rPr>
        <w:t> </w:t>
      </w:r>
      <w:r>
        <w:rPr/>
        <w:t>prophylaxis.</w:t>
      </w:r>
    </w:p>
    <w:p>
      <w:pPr>
        <w:pStyle w:val="Heading1"/>
        <w:spacing w:before="216"/>
        <w:ind w:left="616"/>
        <w:jc w:val="both"/>
      </w:pPr>
      <w:r>
        <w:rPr/>
        <w:t>Liver disease</w:t>
      </w:r>
    </w:p>
    <w:p>
      <w:pPr>
        <w:spacing w:after="0"/>
        <w:jc w:val="both"/>
        <w:sectPr>
          <w:pgSz w:w="14270" w:h="16850"/>
          <w:pgMar w:header="0" w:footer="1891" w:top="1320" w:bottom="2080" w:left="800" w:right="1280"/>
        </w:sectPr>
      </w:pPr>
    </w:p>
    <w:p>
      <w:pPr>
        <w:pStyle w:val="BodyText"/>
        <w:spacing w:line="276" w:lineRule="auto" w:before="74"/>
        <w:ind w:left="616" w:right="134"/>
        <w:jc w:val="both"/>
      </w:pPr>
      <w:r>
        <w:rPr/>
        <w:t>As the liver forms the headquarters for the acid-base balance and it requires a large amount of bases for bile production, it is overstrained if it tries to main- tain</w:t>
      </w:r>
      <w:r>
        <w:rPr>
          <w:spacing w:val="-22"/>
        </w:rPr>
        <w:t> </w:t>
      </w:r>
      <w:r>
        <w:rPr/>
        <w:t>its</w:t>
      </w:r>
      <w:r>
        <w:rPr>
          <w:spacing w:val="-22"/>
        </w:rPr>
        <w:t> </w:t>
      </w:r>
      <w:r>
        <w:rPr/>
        <w:t>production</w:t>
      </w:r>
      <w:r>
        <w:rPr>
          <w:spacing w:val="-20"/>
        </w:rPr>
        <w:t> </w:t>
      </w:r>
      <w:r>
        <w:rPr/>
        <w:t>despite</w:t>
      </w:r>
      <w:r>
        <w:rPr>
          <w:spacing w:val="-24"/>
        </w:rPr>
        <w:t> </w:t>
      </w:r>
      <w:r>
        <w:rPr/>
        <w:t>the</w:t>
      </w:r>
      <w:r>
        <w:rPr>
          <w:spacing w:val="-20"/>
        </w:rPr>
        <w:t> </w:t>
      </w:r>
      <w:r>
        <w:rPr/>
        <w:t>acidified</w:t>
      </w:r>
      <w:r>
        <w:rPr>
          <w:spacing w:val="-21"/>
        </w:rPr>
        <w:t> </w:t>
      </w:r>
      <w:r>
        <w:rPr/>
        <w:t>organism.</w:t>
      </w:r>
      <w:r>
        <w:rPr>
          <w:spacing w:val="-20"/>
        </w:rPr>
        <w:t> </w:t>
      </w:r>
      <w:r>
        <w:rPr/>
        <w:t>This</w:t>
      </w:r>
      <w:r>
        <w:rPr>
          <w:spacing w:val="-21"/>
        </w:rPr>
        <w:t> </w:t>
      </w:r>
      <w:r>
        <w:rPr/>
        <w:t>leads</w:t>
      </w:r>
      <w:r>
        <w:rPr>
          <w:spacing w:val="-21"/>
        </w:rPr>
        <w:t> </w:t>
      </w:r>
      <w:r>
        <w:rPr/>
        <w:t>to</w:t>
      </w:r>
      <w:r>
        <w:rPr>
          <w:spacing w:val="-23"/>
        </w:rPr>
        <w:t> </w:t>
      </w:r>
      <w:r>
        <w:rPr/>
        <w:t>all</w:t>
      </w:r>
      <w:r>
        <w:rPr>
          <w:spacing w:val="-25"/>
        </w:rPr>
        <w:t> </w:t>
      </w:r>
      <w:r>
        <w:rPr/>
        <w:t>kinds</w:t>
      </w:r>
      <w:r>
        <w:rPr>
          <w:spacing w:val="-20"/>
        </w:rPr>
        <w:t> </w:t>
      </w:r>
      <w:r>
        <w:rPr/>
        <w:t>of</w:t>
      </w:r>
      <w:r>
        <w:rPr>
          <w:spacing w:val="-21"/>
        </w:rPr>
        <w:t> </w:t>
      </w:r>
      <w:r>
        <w:rPr/>
        <w:t>liver disease.</w:t>
      </w:r>
    </w:p>
    <w:p>
      <w:pPr>
        <w:pStyle w:val="Heading1"/>
        <w:spacing w:before="222"/>
        <w:ind w:left="616"/>
      </w:pPr>
      <w:r>
        <w:rPr/>
        <w:t>Light sensitivity</w:t>
      </w:r>
    </w:p>
    <w:p>
      <w:pPr>
        <w:pStyle w:val="BodyText"/>
        <w:spacing w:line="276" w:lineRule="auto" w:before="299"/>
        <w:ind w:left="616"/>
      </w:pPr>
      <w:r>
        <w:rPr/>
        <w:t>Sensitivity of the eyes to light can also be traced back to heavy acidification in the body. You can find out more about this under ‘Eye problems’.</w:t>
      </w:r>
    </w:p>
    <w:p>
      <w:pPr>
        <w:pStyle w:val="Heading1"/>
        <w:ind w:left="616"/>
      </w:pPr>
      <w:r>
        <w:rPr/>
        <w:t>Stomach problems</w:t>
      </w:r>
    </w:p>
    <w:p>
      <w:pPr>
        <w:pStyle w:val="BodyText"/>
        <w:spacing w:line="276" w:lineRule="auto" w:before="300"/>
        <w:ind w:left="616" w:right="134"/>
        <w:jc w:val="both"/>
      </w:pPr>
      <w:r>
        <w:rPr/>
        <w:t>We</w:t>
      </w:r>
      <w:r>
        <w:rPr>
          <w:spacing w:val="-26"/>
        </w:rPr>
        <w:t> </w:t>
      </w:r>
      <w:r>
        <w:rPr/>
        <w:t>all</w:t>
      </w:r>
      <w:r>
        <w:rPr>
          <w:spacing w:val="-27"/>
        </w:rPr>
        <w:t> </w:t>
      </w:r>
      <w:r>
        <w:rPr/>
        <w:t>know</w:t>
      </w:r>
      <w:r>
        <w:rPr>
          <w:spacing w:val="-24"/>
        </w:rPr>
        <w:t> </w:t>
      </w:r>
      <w:r>
        <w:rPr/>
        <w:t>about</w:t>
      </w:r>
      <w:r>
        <w:rPr>
          <w:spacing w:val="-27"/>
        </w:rPr>
        <w:t> </w:t>
      </w:r>
      <w:r>
        <w:rPr/>
        <w:t>heartburn</w:t>
      </w:r>
      <w:r>
        <w:rPr>
          <w:spacing w:val="-22"/>
        </w:rPr>
        <w:t> </w:t>
      </w:r>
      <w:r>
        <w:rPr/>
        <w:t>and</w:t>
      </w:r>
      <w:r>
        <w:rPr>
          <w:spacing w:val="-24"/>
        </w:rPr>
        <w:t> </w:t>
      </w:r>
      <w:r>
        <w:rPr/>
        <w:t>acid</w:t>
      </w:r>
      <w:r>
        <w:rPr>
          <w:spacing w:val="-26"/>
        </w:rPr>
        <w:t> </w:t>
      </w:r>
      <w:r>
        <w:rPr/>
        <w:t>reflux.</w:t>
      </w:r>
      <w:r>
        <w:rPr>
          <w:spacing w:val="46"/>
        </w:rPr>
        <w:t> </w:t>
      </w:r>
      <w:r>
        <w:rPr/>
        <w:t>Despite</w:t>
      </w:r>
      <w:r>
        <w:rPr>
          <w:spacing w:val="-25"/>
        </w:rPr>
        <w:t> </w:t>
      </w:r>
      <w:r>
        <w:rPr/>
        <w:t>the</w:t>
      </w:r>
      <w:r>
        <w:rPr>
          <w:spacing w:val="-25"/>
        </w:rPr>
        <w:t> </w:t>
      </w:r>
      <w:r>
        <w:rPr/>
        <w:t>fact</w:t>
      </w:r>
      <w:r>
        <w:rPr>
          <w:spacing w:val="-26"/>
        </w:rPr>
        <w:t> </w:t>
      </w:r>
      <w:r>
        <w:rPr/>
        <w:t>that</w:t>
      </w:r>
      <w:r>
        <w:rPr>
          <w:spacing w:val="-23"/>
        </w:rPr>
        <w:t> </w:t>
      </w:r>
      <w:r>
        <w:rPr/>
        <w:t>the</w:t>
      </w:r>
      <w:r>
        <w:rPr>
          <w:spacing w:val="-24"/>
        </w:rPr>
        <w:t> </w:t>
      </w:r>
      <w:r>
        <w:rPr/>
        <w:t>stomach produces acid itself, it is damaged by acidification of our bodies. The conse- quences are gastritis, stomach ulcers and mycoses, among other</w:t>
      </w:r>
      <w:r>
        <w:rPr>
          <w:spacing w:val="-9"/>
        </w:rPr>
        <w:t> </w:t>
      </w:r>
      <w:r>
        <w:rPr/>
        <w:t>things.</w:t>
      </w:r>
    </w:p>
    <w:p>
      <w:pPr>
        <w:pStyle w:val="Heading1"/>
        <w:spacing w:before="221"/>
        <w:ind w:left="616"/>
        <w:jc w:val="both"/>
      </w:pPr>
      <w:r>
        <w:rPr/>
        <w:t>Gastritis</w:t>
      </w:r>
    </w:p>
    <w:p>
      <w:pPr>
        <w:pStyle w:val="BodyText"/>
        <w:spacing w:before="300"/>
        <w:ind w:left="616"/>
        <w:jc w:val="both"/>
      </w:pPr>
      <w:r>
        <w:rPr/>
        <w:t>Excess acid in the organism leads to gastritis (see ‘Gastritis’).</w:t>
      </w:r>
    </w:p>
    <w:p>
      <w:pPr>
        <w:pStyle w:val="Heading1"/>
        <w:spacing w:before="287"/>
        <w:ind w:left="616"/>
        <w:jc w:val="both"/>
      </w:pPr>
      <w:r>
        <w:rPr/>
        <w:t>Fatigue</w:t>
      </w:r>
    </w:p>
    <w:p>
      <w:pPr>
        <w:pStyle w:val="BodyText"/>
        <w:spacing w:before="299"/>
        <w:ind w:left="616"/>
        <w:jc w:val="both"/>
      </w:pPr>
      <w:r>
        <w:rPr/>
        <w:t>See: ‘Burn-out syndrome!’</w:t>
      </w:r>
    </w:p>
    <w:p>
      <w:pPr>
        <w:spacing w:after="0"/>
        <w:jc w:val="both"/>
        <w:sectPr>
          <w:footerReference w:type="default" r:id="rId502"/>
          <w:pgSz w:w="14270" w:h="16850"/>
          <w:pgMar w:footer="1891" w:header="0" w:top="1340" w:bottom="2080" w:left="800" w:right="1280"/>
          <w:pgNumType w:start="1830"/>
        </w:sectPr>
      </w:pPr>
    </w:p>
    <w:p>
      <w:pPr>
        <w:pStyle w:val="Heading1"/>
        <w:spacing w:before="77"/>
        <w:ind w:left="616"/>
      </w:pPr>
      <w:r>
        <w:rPr/>
        <w:t>Multiple sclerosis</w:t>
      </w:r>
    </w:p>
    <w:p>
      <w:pPr>
        <w:pStyle w:val="BodyText"/>
        <w:spacing w:line="276" w:lineRule="auto" w:before="299"/>
        <w:ind w:left="616" w:right="131"/>
        <w:jc w:val="both"/>
      </w:pPr>
      <w:r>
        <w:rPr/>
        <w:t>Heavy acidification of the organism can initially lead to impairment, then de- generation and finally complete death of nerve endings which are responsible for transferring impulses from the brain to the muscles. Attacks of the ex- tremely aggressive candida fungus are also encouraged by acidification. This fungus</w:t>
      </w:r>
      <w:r>
        <w:rPr>
          <w:spacing w:val="-21"/>
        </w:rPr>
        <w:t> </w:t>
      </w:r>
      <w:r>
        <w:rPr/>
        <w:t>attacks</w:t>
      </w:r>
      <w:r>
        <w:rPr>
          <w:spacing w:val="-21"/>
        </w:rPr>
        <w:t> </w:t>
      </w:r>
      <w:r>
        <w:rPr/>
        <w:t>the</w:t>
      </w:r>
      <w:r>
        <w:rPr>
          <w:spacing w:val="-19"/>
        </w:rPr>
        <w:t> </w:t>
      </w:r>
      <w:r>
        <w:rPr/>
        <w:t>body’s</w:t>
      </w:r>
      <w:r>
        <w:rPr>
          <w:spacing w:val="-23"/>
        </w:rPr>
        <w:t> </w:t>
      </w:r>
      <w:r>
        <w:rPr/>
        <w:t>own</w:t>
      </w:r>
      <w:r>
        <w:rPr>
          <w:spacing w:val="-20"/>
        </w:rPr>
        <w:t> </w:t>
      </w:r>
      <w:r>
        <w:rPr/>
        <w:t>immune</w:t>
      </w:r>
      <w:r>
        <w:rPr>
          <w:spacing w:val="-21"/>
        </w:rPr>
        <w:t> </w:t>
      </w:r>
      <w:r>
        <w:rPr/>
        <w:t>system</w:t>
      </w:r>
      <w:r>
        <w:rPr>
          <w:spacing w:val="-18"/>
        </w:rPr>
        <w:t> </w:t>
      </w:r>
      <w:r>
        <w:rPr/>
        <w:t>which</w:t>
      </w:r>
      <w:r>
        <w:rPr>
          <w:spacing w:val="-20"/>
        </w:rPr>
        <w:t> </w:t>
      </w:r>
      <w:r>
        <w:rPr/>
        <w:t>is</w:t>
      </w:r>
      <w:r>
        <w:rPr>
          <w:spacing w:val="-21"/>
        </w:rPr>
        <w:t> </w:t>
      </w:r>
      <w:r>
        <w:rPr/>
        <w:t>favourable</w:t>
      </w:r>
      <w:r>
        <w:rPr>
          <w:spacing w:val="-21"/>
        </w:rPr>
        <w:t> </w:t>
      </w:r>
      <w:r>
        <w:rPr/>
        <w:t>for</w:t>
      </w:r>
      <w:r>
        <w:rPr>
          <w:spacing w:val="-20"/>
        </w:rPr>
        <w:t> </w:t>
      </w:r>
      <w:r>
        <w:rPr/>
        <w:t>multiple sclerosis. Incidentally, you can directly combat the candida fungus with grape- fruit seed extract, as an alkaline environment makes their survival harder –</w:t>
      </w:r>
      <w:r>
        <w:rPr>
          <w:spacing w:val="-56"/>
        </w:rPr>
        <w:t> </w:t>
      </w:r>
      <w:r>
        <w:rPr/>
        <w:t>the combination of deacidification and grapefruit seed extract can be very helpful here!</w:t>
      </w:r>
    </w:p>
    <w:p>
      <w:pPr>
        <w:pStyle w:val="Heading2"/>
        <w:spacing w:before="239"/>
        <w:ind w:left="616"/>
      </w:pPr>
      <w:r>
        <w:rPr/>
        <w:t>Mouth and throat area</w:t>
      </w:r>
    </w:p>
    <w:p>
      <w:pPr>
        <w:pStyle w:val="BodyText"/>
        <w:spacing w:line="278" w:lineRule="auto" w:before="305"/>
        <w:ind w:left="616"/>
      </w:pPr>
      <w:r>
        <w:rPr/>
        <w:t>Gum inflammation, aphthae, tonsillitis and other unpleasant symptoms can often be traced back to acidification of the organism.</w:t>
      </w:r>
    </w:p>
    <w:p>
      <w:pPr>
        <w:pStyle w:val="Heading1"/>
        <w:spacing w:before="215"/>
        <w:ind w:left="616"/>
      </w:pPr>
      <w:r>
        <w:rPr/>
        <w:t>Halitosis</w:t>
      </w:r>
    </w:p>
    <w:p>
      <w:pPr>
        <w:pStyle w:val="BodyText"/>
        <w:spacing w:line="276" w:lineRule="auto" w:before="299"/>
        <w:ind w:left="616"/>
      </w:pPr>
      <w:r>
        <w:rPr/>
        <w:t>Halitosis is often also a symptom of acidification. As soon as the acid-base balance is under control this generally disappears by itself.</w:t>
      </w:r>
    </w:p>
    <w:p>
      <w:pPr>
        <w:pStyle w:val="Heading1"/>
        <w:spacing w:before="222"/>
        <w:ind w:left="616"/>
      </w:pPr>
      <w:r>
        <w:rPr/>
        <w:t>Muscles</w:t>
      </w:r>
    </w:p>
    <w:p>
      <w:pPr>
        <w:pStyle w:val="BodyText"/>
        <w:spacing w:line="278" w:lineRule="auto" w:before="299"/>
        <w:ind w:left="616"/>
      </w:pPr>
      <w:r>
        <w:rPr/>
        <w:t>Soft-tissue rheumatism, cramps, spasticity, stiff neck and lumbago are often caused by extreme acidification in the body.</w:t>
      </w:r>
    </w:p>
    <w:p>
      <w:pPr>
        <w:spacing w:after="0" w:line="278" w:lineRule="auto"/>
        <w:sectPr>
          <w:pgSz w:w="14270" w:h="16850"/>
          <w:pgMar w:header="0" w:footer="1891" w:top="1320" w:bottom="2080" w:left="800" w:right="1280"/>
        </w:sectPr>
      </w:pPr>
    </w:p>
    <w:p>
      <w:pPr>
        <w:pStyle w:val="Heading1"/>
        <w:spacing w:before="77"/>
        <w:ind w:left="616"/>
      </w:pPr>
      <w:r>
        <w:rPr/>
        <w:t>Nails</w:t>
      </w:r>
    </w:p>
    <w:p>
      <w:pPr>
        <w:pStyle w:val="BodyText"/>
        <w:spacing w:line="276" w:lineRule="auto" w:before="299"/>
        <w:ind w:left="616" w:right="133"/>
        <w:jc w:val="both"/>
      </w:pPr>
      <w:r>
        <w:rPr/>
        <w:t>After hair, the nails are a very popular and, from external optical signs, a clear mineral deposit which is tapped into in order to bind excess acids in the</w:t>
      </w:r>
      <w:r>
        <w:rPr>
          <w:spacing w:val="-63"/>
        </w:rPr>
        <w:t> </w:t>
      </w:r>
      <w:r>
        <w:rPr/>
        <w:t>body.</w:t>
      </w:r>
    </w:p>
    <w:p>
      <w:pPr>
        <w:pStyle w:val="Heading1"/>
        <w:ind w:left="616"/>
      </w:pPr>
      <w:r>
        <w:rPr/>
        <w:t>Nervous system</w:t>
      </w:r>
    </w:p>
    <w:p>
      <w:pPr>
        <w:pStyle w:val="BodyText"/>
        <w:spacing w:line="276" w:lineRule="auto" w:before="297"/>
        <w:ind w:left="616" w:right="133"/>
        <w:jc w:val="both"/>
      </w:pPr>
      <w:r>
        <w:rPr/>
        <w:t>Acidification</w:t>
      </w:r>
      <w:r>
        <w:rPr>
          <w:spacing w:val="-14"/>
        </w:rPr>
        <w:t> </w:t>
      </w:r>
      <w:r>
        <w:rPr/>
        <w:t>leads</w:t>
      </w:r>
      <w:r>
        <w:rPr>
          <w:spacing w:val="-15"/>
        </w:rPr>
        <w:t> </w:t>
      </w:r>
      <w:r>
        <w:rPr/>
        <w:t>to</w:t>
      </w:r>
      <w:r>
        <w:rPr>
          <w:spacing w:val="-15"/>
        </w:rPr>
        <w:t> </w:t>
      </w:r>
      <w:r>
        <w:rPr/>
        <w:t>continual</w:t>
      </w:r>
      <w:r>
        <w:rPr>
          <w:spacing w:val="-16"/>
        </w:rPr>
        <w:t> </w:t>
      </w:r>
      <w:r>
        <w:rPr/>
        <w:t>irritation</w:t>
      </w:r>
      <w:r>
        <w:rPr>
          <w:spacing w:val="-14"/>
        </w:rPr>
        <w:t> </w:t>
      </w:r>
      <w:r>
        <w:rPr/>
        <w:t>of</w:t>
      </w:r>
      <w:r>
        <w:rPr>
          <w:spacing w:val="-15"/>
        </w:rPr>
        <w:t> </w:t>
      </w:r>
      <w:r>
        <w:rPr/>
        <w:t>the</w:t>
      </w:r>
      <w:r>
        <w:rPr>
          <w:spacing w:val="-14"/>
        </w:rPr>
        <w:t> </w:t>
      </w:r>
      <w:r>
        <w:rPr/>
        <w:t>vegetative</w:t>
      </w:r>
      <w:r>
        <w:rPr>
          <w:spacing w:val="-15"/>
        </w:rPr>
        <w:t> </w:t>
      </w:r>
      <w:r>
        <w:rPr/>
        <w:t>nervous</w:t>
      </w:r>
      <w:r>
        <w:rPr>
          <w:spacing w:val="-14"/>
        </w:rPr>
        <w:t> </w:t>
      </w:r>
      <w:r>
        <w:rPr/>
        <w:t>system;</w:t>
      </w:r>
      <w:r>
        <w:rPr>
          <w:spacing w:val="-16"/>
        </w:rPr>
        <w:t> </w:t>
      </w:r>
      <w:r>
        <w:rPr/>
        <w:t>this is</w:t>
      </w:r>
      <w:r>
        <w:rPr>
          <w:spacing w:val="-12"/>
        </w:rPr>
        <w:t> </w:t>
      </w:r>
      <w:r>
        <w:rPr/>
        <w:t>demonstrated</w:t>
      </w:r>
      <w:r>
        <w:rPr>
          <w:spacing w:val="-11"/>
        </w:rPr>
        <w:t> </w:t>
      </w:r>
      <w:r>
        <w:rPr/>
        <w:t>in</w:t>
      </w:r>
      <w:r>
        <w:rPr>
          <w:spacing w:val="-12"/>
        </w:rPr>
        <w:t> </w:t>
      </w:r>
      <w:r>
        <w:rPr/>
        <w:t>sleep</w:t>
      </w:r>
      <w:r>
        <w:rPr>
          <w:spacing w:val="-9"/>
        </w:rPr>
        <w:t> </w:t>
      </w:r>
      <w:r>
        <w:rPr/>
        <w:t>disorders,</w:t>
      </w:r>
      <w:r>
        <w:rPr>
          <w:spacing w:val="-9"/>
        </w:rPr>
        <w:t> </w:t>
      </w:r>
      <w:r>
        <w:rPr/>
        <w:t>increased</w:t>
      </w:r>
      <w:r>
        <w:rPr>
          <w:spacing w:val="-11"/>
        </w:rPr>
        <w:t> </w:t>
      </w:r>
      <w:r>
        <w:rPr/>
        <w:t>irritability</w:t>
      </w:r>
      <w:r>
        <w:rPr>
          <w:spacing w:val="-11"/>
        </w:rPr>
        <w:t> </w:t>
      </w:r>
      <w:r>
        <w:rPr/>
        <w:t>and</w:t>
      </w:r>
      <w:r>
        <w:rPr>
          <w:spacing w:val="-11"/>
        </w:rPr>
        <w:t> </w:t>
      </w:r>
      <w:r>
        <w:rPr/>
        <w:t>lack</w:t>
      </w:r>
      <w:r>
        <w:rPr>
          <w:spacing w:val="-12"/>
        </w:rPr>
        <w:t> </w:t>
      </w:r>
      <w:r>
        <w:rPr/>
        <w:t>of</w:t>
      </w:r>
      <w:r>
        <w:rPr>
          <w:spacing w:val="-8"/>
        </w:rPr>
        <w:t> </w:t>
      </w:r>
      <w:r>
        <w:rPr/>
        <w:t>drive</w:t>
      </w:r>
      <w:r>
        <w:rPr>
          <w:spacing w:val="-12"/>
        </w:rPr>
        <w:t> </w:t>
      </w:r>
      <w:r>
        <w:rPr/>
        <w:t>down to rapid</w:t>
      </w:r>
      <w:r>
        <w:rPr>
          <w:spacing w:val="-1"/>
        </w:rPr>
        <w:t> </w:t>
      </w:r>
      <w:r>
        <w:rPr/>
        <w:t>fatigue.</w:t>
      </w:r>
    </w:p>
    <w:p>
      <w:pPr>
        <w:pStyle w:val="Heading1"/>
        <w:ind w:left="616"/>
      </w:pPr>
      <w:r>
        <w:rPr/>
        <w:t>Kidney disease</w:t>
      </w:r>
    </w:p>
    <w:p>
      <w:pPr>
        <w:pStyle w:val="BodyText"/>
        <w:spacing w:line="276" w:lineRule="auto" w:before="299"/>
        <w:ind w:left="616" w:right="137"/>
        <w:jc w:val="both"/>
      </w:pPr>
      <w:r>
        <w:rPr/>
        <w:t>Kidneys work like no other organ in expelling acids and poisons from our bodies. It is taken as read that their work increases to an unreasonable level if there is no end to the acid flood in the body. Sooner or later this leads to serious kidney disease and even kidney failure! Deacidification and lots of flu- ids (at least 2-3 litres a day) help.</w:t>
      </w:r>
    </w:p>
    <w:p>
      <w:pPr>
        <w:pStyle w:val="Heading1"/>
        <w:spacing w:before="223"/>
        <w:ind w:left="616"/>
      </w:pPr>
      <w:r>
        <w:rPr/>
        <w:t>Kidney stones</w:t>
      </w:r>
    </w:p>
    <w:p>
      <w:pPr>
        <w:pStyle w:val="BodyText"/>
        <w:spacing w:line="276" w:lineRule="auto" w:before="299"/>
        <w:ind w:left="616" w:right="136"/>
        <w:jc w:val="both"/>
      </w:pPr>
      <w:r>
        <w:rPr/>
        <w:t>Kidney stones occur as a result of acidification in the body; this is associated with sediment. In addition to deacidification and regular alkaline saturation of the organism, you should also take increased levels of magnesium.</w:t>
      </w:r>
    </w:p>
    <w:p>
      <w:pPr>
        <w:spacing w:after="0" w:line="276" w:lineRule="auto"/>
        <w:jc w:val="both"/>
        <w:sectPr>
          <w:pgSz w:w="14270" w:h="16850"/>
          <w:pgMar w:header="0" w:footer="1891" w:top="1320" w:bottom="2080" w:left="800" w:right="1280"/>
        </w:sectPr>
      </w:pPr>
    </w:p>
    <w:p>
      <w:pPr>
        <w:pStyle w:val="Heading1"/>
        <w:spacing w:before="77"/>
        <w:ind w:left="616"/>
      </w:pPr>
      <w:r>
        <w:rPr/>
        <w:t>Ulcerated leg</w:t>
      </w:r>
    </w:p>
    <w:p>
      <w:pPr>
        <w:pStyle w:val="BodyText"/>
        <w:spacing w:line="276" w:lineRule="auto" w:before="299"/>
        <w:ind w:left="616" w:right="137"/>
        <w:jc w:val="both"/>
      </w:pPr>
      <w:r>
        <w:rPr/>
        <w:t>As</w:t>
      </w:r>
      <w:r>
        <w:rPr>
          <w:spacing w:val="-20"/>
        </w:rPr>
        <w:t> </w:t>
      </w:r>
      <w:r>
        <w:rPr/>
        <w:t>with</w:t>
      </w:r>
      <w:r>
        <w:rPr>
          <w:spacing w:val="-18"/>
        </w:rPr>
        <w:t> </w:t>
      </w:r>
      <w:r>
        <w:rPr/>
        <w:t>haemorrhoids</w:t>
      </w:r>
      <w:r>
        <w:rPr>
          <w:spacing w:val="-16"/>
        </w:rPr>
        <w:t> </w:t>
      </w:r>
      <w:r>
        <w:rPr/>
        <w:t>an</w:t>
      </w:r>
      <w:r>
        <w:rPr>
          <w:spacing w:val="-19"/>
        </w:rPr>
        <w:t> </w:t>
      </w:r>
      <w:r>
        <w:rPr/>
        <w:t>ulcerated</w:t>
      </w:r>
      <w:r>
        <w:rPr>
          <w:spacing w:val="-21"/>
        </w:rPr>
        <w:t> </w:t>
      </w:r>
      <w:r>
        <w:rPr/>
        <w:t>leg</w:t>
      </w:r>
      <w:r>
        <w:rPr>
          <w:spacing w:val="-19"/>
        </w:rPr>
        <w:t> </w:t>
      </w:r>
      <w:r>
        <w:rPr/>
        <w:t>or</w:t>
      </w:r>
      <w:r>
        <w:rPr>
          <w:spacing w:val="-18"/>
        </w:rPr>
        <w:t> </w:t>
      </w:r>
      <w:r>
        <w:rPr/>
        <w:t>leg</w:t>
      </w:r>
      <w:r>
        <w:rPr>
          <w:spacing w:val="-21"/>
        </w:rPr>
        <w:t> </w:t>
      </w:r>
      <w:r>
        <w:rPr/>
        <w:t>ulcers</w:t>
      </w:r>
      <w:r>
        <w:rPr>
          <w:spacing w:val="-18"/>
        </w:rPr>
        <w:t> </w:t>
      </w:r>
      <w:r>
        <w:rPr/>
        <w:t>are</w:t>
      </w:r>
      <w:r>
        <w:rPr>
          <w:spacing w:val="-20"/>
        </w:rPr>
        <w:t> </w:t>
      </w:r>
      <w:r>
        <w:rPr/>
        <w:t>a</w:t>
      </w:r>
      <w:r>
        <w:rPr>
          <w:spacing w:val="-20"/>
        </w:rPr>
        <w:t> </w:t>
      </w:r>
      <w:r>
        <w:rPr/>
        <w:t>method</w:t>
      </w:r>
      <w:r>
        <w:rPr>
          <w:spacing w:val="-18"/>
        </w:rPr>
        <w:t> </w:t>
      </w:r>
      <w:r>
        <w:rPr/>
        <w:t>the</w:t>
      </w:r>
      <w:r>
        <w:rPr>
          <w:spacing w:val="-19"/>
        </w:rPr>
        <w:t> </w:t>
      </w:r>
      <w:r>
        <w:rPr/>
        <w:t>body</w:t>
      </w:r>
      <w:r>
        <w:rPr>
          <w:spacing w:val="-19"/>
        </w:rPr>
        <w:t> </w:t>
      </w:r>
      <w:r>
        <w:rPr/>
        <w:t>uses to expel acids and poisons. The body creates a hole where there is none in order to make a valve for the</w:t>
      </w:r>
      <w:r>
        <w:rPr>
          <w:spacing w:val="3"/>
        </w:rPr>
        <w:t> </w:t>
      </w:r>
      <w:r>
        <w:rPr/>
        <w:t>acidification.</w:t>
      </w:r>
    </w:p>
    <w:p>
      <w:pPr>
        <w:pStyle w:val="BodyText"/>
        <w:spacing w:line="276" w:lineRule="auto" w:before="239"/>
        <w:ind w:left="616" w:right="132"/>
        <w:jc w:val="both"/>
      </w:pPr>
      <w:r>
        <w:rPr/>
        <w:t>Conventional medicine dictates that the hole should be closed, yet this has proven the wrong approach in the case of haemorrhoids. It is preferable to introduce deacidification immediately in order to bring about relief from such complaints as quickly as possible.</w:t>
      </w:r>
    </w:p>
    <w:p>
      <w:pPr>
        <w:pStyle w:val="Heading1"/>
        <w:spacing w:before="225"/>
        <w:ind w:left="616"/>
      </w:pPr>
      <w:r>
        <w:rPr/>
        <w:t>Osteoporosis</w:t>
      </w:r>
    </w:p>
    <w:p>
      <w:pPr>
        <w:pStyle w:val="BodyText"/>
        <w:spacing w:line="276" w:lineRule="auto" w:before="297"/>
        <w:ind w:left="616" w:right="136"/>
        <w:jc w:val="both"/>
      </w:pPr>
      <w:r>
        <w:rPr/>
        <w:t>As with skin, teeth, blood vessels, nails, cartilage, scalp, blood and organs, our bones are also mineral deposits our bodies have to draw on in order to neu- tralise excess acid! Of these, bones are the greatest calcium storage, so it is no surprise</w:t>
      </w:r>
      <w:r>
        <w:rPr>
          <w:spacing w:val="-9"/>
        </w:rPr>
        <w:t> </w:t>
      </w:r>
      <w:r>
        <w:rPr/>
        <w:t>that</w:t>
      </w:r>
      <w:r>
        <w:rPr>
          <w:spacing w:val="-12"/>
        </w:rPr>
        <w:t> </w:t>
      </w:r>
      <w:r>
        <w:rPr/>
        <w:t>the</w:t>
      </w:r>
      <w:r>
        <w:rPr>
          <w:spacing w:val="-11"/>
        </w:rPr>
        <w:t> </w:t>
      </w:r>
      <w:r>
        <w:rPr/>
        <w:t>body</w:t>
      </w:r>
      <w:r>
        <w:rPr>
          <w:spacing w:val="-9"/>
        </w:rPr>
        <w:t> </w:t>
      </w:r>
      <w:r>
        <w:rPr/>
        <w:t>appropriates</w:t>
      </w:r>
      <w:r>
        <w:rPr>
          <w:spacing w:val="-9"/>
        </w:rPr>
        <w:t> </w:t>
      </w:r>
      <w:r>
        <w:rPr/>
        <w:t>this</w:t>
      </w:r>
      <w:r>
        <w:rPr>
          <w:spacing w:val="-11"/>
        </w:rPr>
        <w:t> </w:t>
      </w:r>
      <w:r>
        <w:rPr/>
        <w:t>storage,</w:t>
      </w:r>
      <w:r>
        <w:rPr>
          <w:spacing w:val="-13"/>
        </w:rPr>
        <w:t> </w:t>
      </w:r>
      <w:r>
        <w:rPr/>
        <w:t>as</w:t>
      </w:r>
      <w:r>
        <w:rPr>
          <w:spacing w:val="-9"/>
        </w:rPr>
        <w:t> </w:t>
      </w:r>
      <w:r>
        <w:rPr/>
        <w:t>the</w:t>
      </w:r>
      <w:r>
        <w:rPr>
          <w:spacing w:val="-11"/>
        </w:rPr>
        <w:t> </w:t>
      </w:r>
      <w:r>
        <w:rPr/>
        <w:t>ultimate</w:t>
      </w:r>
      <w:r>
        <w:rPr>
          <w:spacing w:val="-10"/>
        </w:rPr>
        <w:t> </w:t>
      </w:r>
      <w:r>
        <w:rPr/>
        <w:t>aim</w:t>
      </w:r>
      <w:r>
        <w:rPr>
          <w:spacing w:val="-10"/>
        </w:rPr>
        <w:t> </w:t>
      </w:r>
      <w:r>
        <w:rPr/>
        <w:t>is</w:t>
      </w:r>
      <w:r>
        <w:rPr>
          <w:spacing w:val="-12"/>
        </w:rPr>
        <w:t> </w:t>
      </w:r>
      <w:r>
        <w:rPr/>
        <w:t>to</w:t>
      </w:r>
      <w:r>
        <w:rPr>
          <w:spacing w:val="-11"/>
        </w:rPr>
        <w:t> </w:t>
      </w:r>
      <w:r>
        <w:rPr/>
        <w:t>create a constant pH value in the blood to ensure survival!</w:t>
      </w:r>
    </w:p>
    <w:p>
      <w:pPr>
        <w:pStyle w:val="Heading1"/>
        <w:spacing w:before="225"/>
        <w:ind w:left="616"/>
      </w:pPr>
      <w:r>
        <w:rPr/>
        <w:t>Oedema</w:t>
      </w:r>
    </w:p>
    <w:p>
      <w:pPr>
        <w:pStyle w:val="BodyText"/>
        <w:spacing w:line="278" w:lineRule="auto" w:before="297"/>
        <w:ind w:left="616" w:right="135"/>
        <w:jc w:val="both"/>
      </w:pPr>
      <w:r>
        <w:rPr/>
        <w:t>In</w:t>
      </w:r>
      <w:r>
        <w:rPr>
          <w:spacing w:val="-18"/>
        </w:rPr>
        <w:t> </w:t>
      </w:r>
      <w:r>
        <w:rPr/>
        <w:t>order</w:t>
      </w:r>
      <w:r>
        <w:rPr>
          <w:spacing w:val="-19"/>
        </w:rPr>
        <w:t> </w:t>
      </w:r>
      <w:r>
        <w:rPr/>
        <w:t>to</w:t>
      </w:r>
      <w:r>
        <w:rPr>
          <w:spacing w:val="-21"/>
        </w:rPr>
        <w:t> </w:t>
      </w:r>
      <w:r>
        <w:rPr/>
        <w:t>dissolve</w:t>
      </w:r>
      <w:r>
        <w:rPr>
          <w:spacing w:val="-19"/>
        </w:rPr>
        <w:t> </w:t>
      </w:r>
      <w:r>
        <w:rPr/>
        <w:t>the</w:t>
      </w:r>
      <w:r>
        <w:rPr>
          <w:spacing w:val="-18"/>
        </w:rPr>
        <w:t> </w:t>
      </w:r>
      <w:r>
        <w:rPr/>
        <w:t>most</w:t>
      </w:r>
      <w:r>
        <w:rPr>
          <w:spacing w:val="-20"/>
        </w:rPr>
        <w:t> </w:t>
      </w:r>
      <w:r>
        <w:rPr/>
        <w:t>acid,</w:t>
      </w:r>
      <w:r>
        <w:rPr>
          <w:spacing w:val="-19"/>
        </w:rPr>
        <w:t> </w:t>
      </w:r>
      <w:r>
        <w:rPr/>
        <w:t>the</w:t>
      </w:r>
      <w:r>
        <w:rPr>
          <w:spacing w:val="-20"/>
        </w:rPr>
        <w:t> </w:t>
      </w:r>
      <w:r>
        <w:rPr/>
        <w:t>body</w:t>
      </w:r>
      <w:r>
        <w:rPr>
          <w:spacing w:val="-21"/>
        </w:rPr>
        <w:t> </w:t>
      </w:r>
      <w:r>
        <w:rPr/>
        <w:t>retains</w:t>
      </w:r>
      <w:r>
        <w:rPr>
          <w:spacing w:val="-18"/>
        </w:rPr>
        <w:t> </w:t>
      </w:r>
      <w:r>
        <w:rPr/>
        <w:t>the</w:t>
      </w:r>
      <w:r>
        <w:rPr>
          <w:spacing w:val="-20"/>
        </w:rPr>
        <w:t> </w:t>
      </w:r>
      <w:r>
        <w:rPr/>
        <w:t>natural</w:t>
      </w:r>
      <w:r>
        <w:rPr>
          <w:spacing w:val="-20"/>
        </w:rPr>
        <w:t> </w:t>
      </w:r>
      <w:r>
        <w:rPr/>
        <w:t>water</w:t>
      </w:r>
      <w:r>
        <w:rPr>
          <w:spacing w:val="-17"/>
        </w:rPr>
        <w:t> </w:t>
      </w:r>
      <w:r>
        <w:rPr/>
        <w:t>expulsion, which can lead to water accumulation (and weight gain) and</w:t>
      </w:r>
      <w:r>
        <w:rPr>
          <w:spacing w:val="-5"/>
        </w:rPr>
        <w:t> </w:t>
      </w:r>
      <w:r>
        <w:rPr/>
        <w:t>oedema.</w:t>
      </w:r>
    </w:p>
    <w:p>
      <w:pPr>
        <w:pStyle w:val="Heading1"/>
        <w:spacing w:before="214"/>
        <w:ind w:left="616"/>
        <w:jc w:val="both"/>
      </w:pPr>
      <w:r>
        <w:rPr/>
        <w:t>Periodontitis</w:t>
      </w:r>
    </w:p>
    <w:p>
      <w:pPr>
        <w:pStyle w:val="BodyText"/>
        <w:spacing w:before="300"/>
        <w:ind w:left="616"/>
        <w:jc w:val="both"/>
      </w:pPr>
      <w:r>
        <w:rPr/>
        <w:t>A lack of vitamin C and acidification are the two main reasons for periodonti-</w:t>
      </w:r>
    </w:p>
    <w:p>
      <w:pPr>
        <w:spacing w:after="0"/>
        <w:jc w:val="both"/>
        <w:sectPr>
          <w:pgSz w:w="14270" w:h="16850"/>
          <w:pgMar w:header="0" w:footer="1891" w:top="1320" w:bottom="2080" w:left="800" w:right="1280"/>
        </w:sectPr>
      </w:pPr>
    </w:p>
    <w:p>
      <w:pPr>
        <w:pStyle w:val="BodyText"/>
        <w:spacing w:line="276" w:lineRule="auto" w:before="72"/>
        <w:ind w:left="616" w:right="136"/>
        <w:jc w:val="both"/>
      </w:pPr>
      <w:r>
        <w:rPr/>
        <w:t>tis. Supply the body with 2-3 g of natural vitamin C; this will rebuild your col- lagen and therefore gums. De-acidify your body with bases and maintain your acid-alkaline balance.</w:t>
      </w:r>
    </w:p>
    <w:p>
      <w:pPr>
        <w:pStyle w:val="Heading1"/>
        <w:ind w:left="616"/>
      </w:pPr>
      <w:r>
        <w:rPr/>
        <w:t>Spots, acne</w:t>
      </w:r>
    </w:p>
    <w:p>
      <w:pPr>
        <w:pStyle w:val="BodyText"/>
        <w:spacing w:line="276" w:lineRule="auto" w:before="299"/>
        <w:ind w:left="616" w:right="134"/>
        <w:jc w:val="both"/>
      </w:pPr>
      <w:r>
        <w:rPr/>
        <w:t>The assumption that spots or acne are a skin disease is incorrect. Spots are simply valves the body has created in order to expel heavy acidification from the body.</w:t>
      </w:r>
    </w:p>
    <w:p>
      <w:pPr>
        <w:pStyle w:val="Heading1"/>
        <w:ind w:left="616"/>
      </w:pPr>
      <w:r>
        <w:rPr/>
        <w:t>Fungal infections</w:t>
      </w:r>
    </w:p>
    <w:p>
      <w:pPr>
        <w:pStyle w:val="BodyText"/>
        <w:spacing w:line="276" w:lineRule="auto" w:before="300"/>
        <w:ind w:left="616" w:right="133"/>
        <w:jc w:val="both"/>
      </w:pPr>
      <w:r>
        <w:rPr/>
        <w:t>Acids in the body encourage all kinds of parasites and, primarily, fungus; can- dida in particular is extremely dangerous. This aggressive fungus excretes poi- sons</w:t>
      </w:r>
      <w:r>
        <w:rPr>
          <w:spacing w:val="-25"/>
        </w:rPr>
        <w:t> </w:t>
      </w:r>
      <w:r>
        <w:rPr/>
        <w:t>and</w:t>
      </w:r>
      <w:r>
        <w:rPr>
          <w:spacing w:val="-23"/>
        </w:rPr>
        <w:t> </w:t>
      </w:r>
      <w:r>
        <w:rPr/>
        <w:t>thereby</w:t>
      </w:r>
      <w:r>
        <w:rPr>
          <w:spacing w:val="-27"/>
        </w:rPr>
        <w:t> </w:t>
      </w:r>
      <w:r>
        <w:rPr/>
        <w:t>exacerbates</w:t>
      </w:r>
      <w:r>
        <w:rPr>
          <w:spacing w:val="-23"/>
        </w:rPr>
        <w:t> </w:t>
      </w:r>
      <w:r>
        <w:rPr/>
        <w:t>acidification.</w:t>
      </w:r>
      <w:r>
        <w:rPr>
          <w:spacing w:val="-24"/>
        </w:rPr>
        <w:t> </w:t>
      </w:r>
      <w:r>
        <w:rPr/>
        <w:t>Alternative,</w:t>
      </w:r>
      <w:r>
        <w:rPr>
          <w:spacing w:val="-23"/>
        </w:rPr>
        <w:t> </w:t>
      </w:r>
      <w:r>
        <w:rPr/>
        <w:t>natural</w:t>
      </w:r>
      <w:r>
        <w:rPr>
          <w:spacing w:val="-24"/>
        </w:rPr>
        <w:t> </w:t>
      </w:r>
      <w:r>
        <w:rPr/>
        <w:t>substances</w:t>
      </w:r>
      <w:r>
        <w:rPr>
          <w:spacing w:val="-23"/>
        </w:rPr>
        <w:t> </w:t>
      </w:r>
      <w:r>
        <w:rPr/>
        <w:t>such as grapefruit seed extract can tackle this</w:t>
      </w:r>
      <w:r>
        <w:rPr>
          <w:spacing w:val="1"/>
        </w:rPr>
        <w:t> </w:t>
      </w:r>
      <w:r>
        <w:rPr/>
        <w:t>fungus!</w:t>
      </w:r>
    </w:p>
    <w:p>
      <w:pPr>
        <w:pStyle w:val="Heading1"/>
        <w:spacing w:before="222"/>
        <w:ind w:left="616"/>
      </w:pPr>
      <w:r>
        <w:rPr/>
        <w:t>Polyarthritis</w:t>
      </w:r>
    </w:p>
    <w:p>
      <w:pPr>
        <w:pStyle w:val="BodyText"/>
        <w:spacing w:line="276" w:lineRule="auto" w:before="299"/>
        <w:ind w:left="616" w:right="134"/>
        <w:jc w:val="both"/>
      </w:pPr>
      <w:r>
        <w:rPr/>
        <w:t>Natural</w:t>
      </w:r>
      <w:r>
        <w:rPr>
          <w:spacing w:val="-16"/>
        </w:rPr>
        <w:t> </w:t>
      </w:r>
      <w:r>
        <w:rPr/>
        <w:t>remedy</w:t>
      </w:r>
      <w:r>
        <w:rPr>
          <w:spacing w:val="-14"/>
        </w:rPr>
        <w:t> </w:t>
      </w:r>
      <w:r>
        <w:rPr/>
        <w:t>practitioners</w:t>
      </w:r>
      <w:r>
        <w:rPr>
          <w:spacing w:val="-14"/>
        </w:rPr>
        <w:t> </w:t>
      </w:r>
      <w:r>
        <w:rPr/>
        <w:t>consider</w:t>
      </w:r>
      <w:r>
        <w:rPr>
          <w:spacing w:val="-13"/>
        </w:rPr>
        <w:t> </w:t>
      </w:r>
      <w:r>
        <w:rPr/>
        <w:t>polyarthritis</w:t>
      </w:r>
      <w:r>
        <w:rPr>
          <w:spacing w:val="-14"/>
        </w:rPr>
        <w:t> </w:t>
      </w:r>
      <w:r>
        <w:rPr/>
        <w:t>from</w:t>
      </w:r>
      <w:r>
        <w:rPr>
          <w:spacing w:val="-15"/>
        </w:rPr>
        <w:t> </w:t>
      </w:r>
      <w:r>
        <w:rPr/>
        <w:t>the</w:t>
      </w:r>
      <w:r>
        <w:rPr>
          <w:spacing w:val="-14"/>
        </w:rPr>
        <w:t> </w:t>
      </w:r>
      <w:r>
        <w:rPr/>
        <w:t>point</w:t>
      </w:r>
      <w:r>
        <w:rPr>
          <w:spacing w:val="-16"/>
        </w:rPr>
        <w:t> </w:t>
      </w:r>
      <w:r>
        <w:rPr/>
        <w:t>of</w:t>
      </w:r>
      <w:r>
        <w:rPr>
          <w:spacing w:val="-15"/>
        </w:rPr>
        <w:t> </w:t>
      </w:r>
      <w:r>
        <w:rPr/>
        <w:t>view</w:t>
      </w:r>
      <w:r>
        <w:rPr>
          <w:spacing w:val="-16"/>
        </w:rPr>
        <w:t> </w:t>
      </w:r>
      <w:r>
        <w:rPr/>
        <w:t>that the body temporarily stores excess acids in the tissues in order to neutralise them</w:t>
      </w:r>
      <w:r>
        <w:rPr>
          <w:spacing w:val="-18"/>
        </w:rPr>
        <w:t> </w:t>
      </w:r>
      <w:r>
        <w:rPr/>
        <w:t>as</w:t>
      </w:r>
      <w:r>
        <w:rPr>
          <w:spacing w:val="-19"/>
        </w:rPr>
        <w:t> </w:t>
      </w:r>
      <w:r>
        <w:rPr/>
        <w:t>soon</w:t>
      </w:r>
      <w:r>
        <w:rPr>
          <w:spacing w:val="-18"/>
        </w:rPr>
        <w:t> </w:t>
      </w:r>
      <w:r>
        <w:rPr/>
        <w:t>as</w:t>
      </w:r>
      <w:r>
        <w:rPr>
          <w:spacing w:val="-21"/>
        </w:rPr>
        <w:t> </w:t>
      </w:r>
      <w:r>
        <w:rPr/>
        <w:t>it</w:t>
      </w:r>
      <w:r>
        <w:rPr>
          <w:spacing w:val="-20"/>
        </w:rPr>
        <w:t> </w:t>
      </w:r>
      <w:r>
        <w:rPr/>
        <w:t>has</w:t>
      </w:r>
      <w:r>
        <w:rPr>
          <w:spacing w:val="-18"/>
        </w:rPr>
        <w:t> </w:t>
      </w:r>
      <w:r>
        <w:rPr/>
        <w:t>sufficient</w:t>
      </w:r>
      <w:r>
        <w:rPr>
          <w:spacing w:val="-17"/>
        </w:rPr>
        <w:t> </w:t>
      </w:r>
      <w:r>
        <w:rPr/>
        <w:t>base</w:t>
      </w:r>
      <w:r>
        <w:rPr>
          <w:spacing w:val="-18"/>
        </w:rPr>
        <w:t> </w:t>
      </w:r>
      <w:r>
        <w:rPr/>
        <w:t>supplies.</w:t>
      </w:r>
      <w:r>
        <w:rPr>
          <w:spacing w:val="-18"/>
        </w:rPr>
        <w:t> </w:t>
      </w:r>
      <w:r>
        <w:rPr/>
        <w:t>In</w:t>
      </w:r>
      <w:r>
        <w:rPr>
          <w:spacing w:val="-20"/>
        </w:rPr>
        <w:t> </w:t>
      </w:r>
      <w:r>
        <w:rPr/>
        <w:t>the</w:t>
      </w:r>
      <w:r>
        <w:rPr>
          <w:spacing w:val="-18"/>
        </w:rPr>
        <w:t> </w:t>
      </w:r>
      <w:r>
        <w:rPr/>
        <w:t>case</w:t>
      </w:r>
      <w:r>
        <w:rPr>
          <w:spacing w:val="-18"/>
        </w:rPr>
        <w:t> </w:t>
      </w:r>
      <w:r>
        <w:rPr/>
        <w:t>of</w:t>
      </w:r>
      <w:r>
        <w:rPr>
          <w:spacing w:val="-19"/>
        </w:rPr>
        <w:t> </w:t>
      </w:r>
      <w:r>
        <w:rPr/>
        <w:t>polyarthritis,</w:t>
      </w:r>
      <w:r>
        <w:rPr>
          <w:spacing w:val="-17"/>
        </w:rPr>
        <w:t> </w:t>
      </w:r>
      <w:r>
        <w:rPr/>
        <w:t>acids are temporarily stored in joints and initially transformed into salts. Natural remedies</w:t>
      </w:r>
      <w:r>
        <w:rPr>
          <w:spacing w:val="-16"/>
        </w:rPr>
        <w:t> </w:t>
      </w:r>
      <w:r>
        <w:rPr/>
        <w:t>assume</w:t>
      </w:r>
      <w:r>
        <w:rPr>
          <w:spacing w:val="-17"/>
        </w:rPr>
        <w:t> </w:t>
      </w:r>
      <w:r>
        <w:rPr/>
        <w:t>that</w:t>
      </w:r>
      <w:r>
        <w:rPr>
          <w:spacing w:val="-16"/>
        </w:rPr>
        <w:t> </w:t>
      </w:r>
      <w:r>
        <w:rPr/>
        <w:t>it</w:t>
      </w:r>
      <w:r>
        <w:rPr>
          <w:spacing w:val="-18"/>
        </w:rPr>
        <w:t> </w:t>
      </w:r>
      <w:r>
        <w:rPr/>
        <w:t>is</w:t>
      </w:r>
      <w:r>
        <w:rPr>
          <w:spacing w:val="-18"/>
        </w:rPr>
        <w:t> </w:t>
      </w:r>
      <w:r>
        <w:rPr/>
        <w:t>these</w:t>
      </w:r>
      <w:r>
        <w:rPr>
          <w:spacing w:val="-19"/>
        </w:rPr>
        <w:t> </w:t>
      </w:r>
      <w:r>
        <w:rPr/>
        <w:t>salts</w:t>
      </w:r>
      <w:r>
        <w:rPr>
          <w:spacing w:val="-17"/>
        </w:rPr>
        <w:t> </w:t>
      </w:r>
      <w:r>
        <w:rPr/>
        <w:t>which</w:t>
      </w:r>
      <w:r>
        <w:rPr>
          <w:spacing w:val="-15"/>
        </w:rPr>
        <w:t> </w:t>
      </w:r>
      <w:r>
        <w:rPr/>
        <w:t>cause</w:t>
      </w:r>
      <w:r>
        <w:rPr>
          <w:spacing w:val="-18"/>
        </w:rPr>
        <w:t> </w:t>
      </w:r>
      <w:r>
        <w:rPr/>
        <w:t>inflammation</w:t>
      </w:r>
      <w:r>
        <w:rPr>
          <w:spacing w:val="-15"/>
        </w:rPr>
        <w:t> </w:t>
      </w:r>
      <w:r>
        <w:rPr/>
        <w:t>in</w:t>
      </w:r>
      <w:r>
        <w:rPr>
          <w:spacing w:val="-19"/>
        </w:rPr>
        <w:t> </w:t>
      </w:r>
      <w:r>
        <w:rPr/>
        <w:t>polyarthritis.</w:t>
      </w:r>
    </w:p>
    <w:p>
      <w:pPr>
        <w:pStyle w:val="Heading1"/>
        <w:spacing w:before="223"/>
        <w:ind w:left="616"/>
        <w:jc w:val="both"/>
      </w:pPr>
      <w:r>
        <w:rPr/>
        <w:t>Erectile dysfunction</w:t>
      </w:r>
    </w:p>
    <w:p>
      <w:pPr>
        <w:pStyle w:val="BodyText"/>
        <w:spacing w:before="299"/>
        <w:ind w:left="616"/>
        <w:jc w:val="both"/>
      </w:pPr>
      <w:r>
        <w:rPr/>
        <w:t>Erectile dysfunction is caused by gland impairment which can result from acid</w:t>
      </w:r>
    </w:p>
    <w:p>
      <w:pPr>
        <w:spacing w:after="0"/>
        <w:jc w:val="both"/>
        <w:sectPr>
          <w:pgSz w:w="14270" w:h="16850"/>
          <w:pgMar w:header="0" w:footer="1891" w:top="1340" w:bottom="2080" w:left="800" w:right="1280"/>
        </w:sectPr>
      </w:pPr>
    </w:p>
    <w:p>
      <w:pPr>
        <w:pStyle w:val="BodyText"/>
        <w:spacing w:line="278" w:lineRule="auto" w:before="72"/>
        <w:ind w:left="616" w:right="138"/>
        <w:jc w:val="both"/>
      </w:pPr>
      <w:r>
        <w:rPr/>
        <w:t>burns,</w:t>
      </w:r>
      <w:r>
        <w:rPr>
          <w:spacing w:val="-16"/>
        </w:rPr>
        <w:t> </w:t>
      </w:r>
      <w:r>
        <w:rPr/>
        <w:t>among</w:t>
      </w:r>
      <w:r>
        <w:rPr>
          <w:spacing w:val="-20"/>
        </w:rPr>
        <w:t> </w:t>
      </w:r>
      <w:r>
        <w:rPr/>
        <w:t>other</w:t>
      </w:r>
      <w:r>
        <w:rPr>
          <w:spacing w:val="-17"/>
        </w:rPr>
        <w:t> </w:t>
      </w:r>
      <w:r>
        <w:rPr/>
        <w:t>things.</w:t>
      </w:r>
      <w:r>
        <w:rPr>
          <w:spacing w:val="-18"/>
        </w:rPr>
        <w:t> </w:t>
      </w:r>
      <w:r>
        <w:rPr/>
        <w:t>A</w:t>
      </w:r>
      <w:r>
        <w:rPr>
          <w:spacing w:val="-19"/>
        </w:rPr>
        <w:t> </w:t>
      </w:r>
      <w:r>
        <w:rPr/>
        <w:t>subsequent</w:t>
      </w:r>
      <w:r>
        <w:rPr>
          <w:spacing w:val="-18"/>
        </w:rPr>
        <w:t> </w:t>
      </w:r>
      <w:r>
        <w:rPr/>
        <w:t>deacidification</w:t>
      </w:r>
      <w:r>
        <w:rPr>
          <w:spacing w:val="-17"/>
        </w:rPr>
        <w:t> </w:t>
      </w:r>
      <w:r>
        <w:rPr/>
        <w:t>delivers</w:t>
      </w:r>
      <w:r>
        <w:rPr>
          <w:spacing w:val="-16"/>
        </w:rPr>
        <w:t> </w:t>
      </w:r>
      <w:r>
        <w:rPr/>
        <w:t>amazing</w:t>
      </w:r>
      <w:r>
        <w:rPr>
          <w:spacing w:val="-17"/>
        </w:rPr>
        <w:t> </w:t>
      </w:r>
      <w:r>
        <w:rPr/>
        <w:t>help in the shortest</w:t>
      </w:r>
      <w:r>
        <w:rPr>
          <w:spacing w:val="3"/>
        </w:rPr>
        <w:t> </w:t>
      </w:r>
      <w:r>
        <w:rPr/>
        <w:t>time!</w:t>
      </w:r>
    </w:p>
    <w:p>
      <w:pPr>
        <w:pStyle w:val="Heading1"/>
        <w:spacing w:before="215"/>
        <w:ind w:left="616"/>
      </w:pPr>
      <w:r>
        <w:rPr/>
        <w:t>Premenstrual syndrome</w:t>
      </w:r>
    </w:p>
    <w:p>
      <w:pPr>
        <w:pStyle w:val="BodyText"/>
        <w:spacing w:line="276" w:lineRule="auto" w:before="299"/>
        <w:ind w:left="616" w:right="134"/>
        <w:jc w:val="both"/>
      </w:pPr>
      <w:r>
        <w:rPr/>
        <w:t>Monthly periods in women allow the organism to expel acids very efficiently. In order to make the acids available for expulsion at the time of a period,</w:t>
      </w:r>
      <w:r>
        <w:rPr>
          <w:spacing w:val="-43"/>
        </w:rPr>
        <w:t> </w:t>
      </w:r>
      <w:r>
        <w:rPr/>
        <w:t>they are ‘temporarily parked’ in the body. Acidic nutrition, pain killers and other things exacerbate the problem which leads to migraines, depression and other symptoms of premenstrual</w:t>
      </w:r>
      <w:r>
        <w:rPr>
          <w:spacing w:val="-3"/>
        </w:rPr>
        <w:t> </w:t>
      </w:r>
      <w:r>
        <w:rPr/>
        <w:t>syndrome.</w:t>
      </w:r>
    </w:p>
    <w:p>
      <w:pPr>
        <w:pStyle w:val="BodyText"/>
        <w:spacing w:line="276" w:lineRule="auto" w:before="242"/>
        <w:ind w:left="616" w:right="134"/>
        <w:jc w:val="both"/>
      </w:pPr>
      <w:r>
        <w:rPr/>
        <w:t>The body is forced to accumulate water in order to neutralise the acids; this leads to waterlogging. As soon as the period begins, the acids are flooded out of the body, the waterlog is released and all the unpleasant symptoms recede. Directly after a period, the acid level in the woman is at its lowest and almost the same in all women. The difference between typical symptoms of premen- strual syndrome are that some women may demonstrate a particularly high level of acids due to poor lifestyle (acid-forming nutrition, stress etc.); these women suffer more and their period lasts longer!</w:t>
      </w:r>
    </w:p>
    <w:p>
      <w:pPr>
        <w:pStyle w:val="BodyText"/>
        <w:spacing w:line="276" w:lineRule="auto" w:before="239"/>
        <w:ind w:left="616" w:right="144"/>
        <w:jc w:val="both"/>
      </w:pPr>
      <w:r>
        <w:rPr/>
        <w:t>Premenstrual syndrome and all its unpleasant symptoms can be avoided by caring for the acid base balance and keeping it in check all month.</w:t>
      </w:r>
    </w:p>
    <w:p>
      <w:pPr>
        <w:pStyle w:val="Heading1"/>
        <w:spacing w:before="226"/>
        <w:ind w:left="616"/>
        <w:jc w:val="both"/>
      </w:pPr>
      <w:r>
        <w:rPr/>
        <w:t>Irritability</w:t>
      </w:r>
    </w:p>
    <w:p>
      <w:pPr>
        <w:pStyle w:val="BodyText"/>
        <w:spacing w:before="297"/>
        <w:ind w:left="616"/>
        <w:jc w:val="both"/>
      </w:pPr>
      <w:r>
        <w:rPr/>
        <w:t>Irritability is a biochemical process in the organism in reaction to acidification.</w:t>
      </w:r>
    </w:p>
    <w:p>
      <w:pPr>
        <w:spacing w:after="0"/>
        <w:jc w:val="both"/>
        <w:sectPr>
          <w:pgSz w:w="14270" w:h="16850"/>
          <w:pgMar w:header="0" w:footer="1891" w:top="1340" w:bottom="2080" w:left="800" w:right="1280"/>
        </w:sectPr>
      </w:pPr>
    </w:p>
    <w:p>
      <w:pPr>
        <w:pStyle w:val="BodyText"/>
        <w:spacing w:line="276" w:lineRule="auto" w:before="74"/>
        <w:ind w:left="616" w:right="134"/>
        <w:jc w:val="both"/>
      </w:pPr>
      <w:r>
        <w:rPr/>
        <w:t>Our</w:t>
      </w:r>
      <w:r>
        <w:rPr>
          <w:spacing w:val="-13"/>
        </w:rPr>
        <w:t> </w:t>
      </w:r>
      <w:r>
        <w:rPr/>
        <w:t>vegetative</w:t>
      </w:r>
      <w:r>
        <w:rPr>
          <w:spacing w:val="-12"/>
        </w:rPr>
        <w:t> </w:t>
      </w:r>
      <w:r>
        <w:rPr/>
        <w:t>system,</w:t>
      </w:r>
      <w:r>
        <w:rPr>
          <w:spacing w:val="-12"/>
        </w:rPr>
        <w:t> </w:t>
      </w:r>
      <w:r>
        <w:rPr/>
        <w:t>in</w:t>
      </w:r>
      <w:r>
        <w:rPr>
          <w:spacing w:val="-14"/>
        </w:rPr>
        <w:t> </w:t>
      </w:r>
      <w:r>
        <w:rPr/>
        <w:t>particular</w:t>
      </w:r>
      <w:r>
        <w:rPr>
          <w:spacing w:val="-13"/>
        </w:rPr>
        <w:t> </w:t>
      </w:r>
      <w:r>
        <w:rPr/>
        <w:t>the</w:t>
      </w:r>
      <w:r>
        <w:rPr>
          <w:spacing w:val="-11"/>
        </w:rPr>
        <w:t> </w:t>
      </w:r>
      <w:r>
        <w:rPr/>
        <w:t>sympathetic</w:t>
      </w:r>
      <w:r>
        <w:rPr>
          <w:spacing w:val="-13"/>
        </w:rPr>
        <w:t> </w:t>
      </w:r>
      <w:r>
        <w:rPr/>
        <w:t>nervous</w:t>
      </w:r>
      <w:r>
        <w:rPr>
          <w:spacing w:val="-12"/>
        </w:rPr>
        <w:t> </w:t>
      </w:r>
      <w:r>
        <w:rPr/>
        <w:t>system,</w:t>
      </w:r>
      <w:r>
        <w:rPr>
          <w:spacing w:val="-12"/>
        </w:rPr>
        <w:t> </w:t>
      </w:r>
      <w:r>
        <w:rPr/>
        <w:t>is</w:t>
      </w:r>
      <w:r>
        <w:rPr>
          <w:spacing w:val="-14"/>
        </w:rPr>
        <w:t> </w:t>
      </w:r>
      <w:r>
        <w:rPr/>
        <w:t>contin- ually irritated and the body distributes vast amounts of thyroxine and adrena- line, which leads to aggression, lack of self-control and irritability. Consistent deacidification can relieve this state in a few days and bring about permanent relaxation.</w:t>
      </w:r>
    </w:p>
    <w:p>
      <w:pPr>
        <w:pStyle w:val="Heading1"/>
        <w:spacing w:before="222"/>
        <w:ind w:left="616"/>
      </w:pPr>
      <w:r>
        <w:rPr/>
        <w:t>Rheumatism</w:t>
      </w:r>
    </w:p>
    <w:p>
      <w:pPr>
        <w:pStyle w:val="BodyText"/>
        <w:spacing w:line="276" w:lineRule="auto" w:before="300"/>
        <w:ind w:left="616" w:right="132"/>
        <w:jc w:val="both"/>
      </w:pPr>
      <w:r>
        <w:rPr/>
        <w:t>Rheumatism is largely brought about by acidification. Unfavourable, acid- forming food (lots of protein, coffee, alcohol etc.) on the one hand and insuf- ficient bases to neutralise acids on the other lead to acid storage in our tissues and joints which triggers painful movement and inflammation. Consistent de- acidification, detoxification and remineralisation also form part of an im- portant treatment here.</w:t>
      </w:r>
    </w:p>
    <w:p>
      <w:pPr>
        <w:pStyle w:val="Heading1"/>
        <w:spacing w:before="223"/>
        <w:ind w:left="616"/>
      </w:pPr>
      <w:r>
        <w:rPr/>
        <w:t>Back problems</w:t>
      </w:r>
    </w:p>
    <w:p>
      <w:pPr>
        <w:pStyle w:val="BodyText"/>
        <w:spacing w:line="276" w:lineRule="auto" w:before="300"/>
        <w:ind w:left="616" w:right="132"/>
        <w:jc w:val="both"/>
      </w:pPr>
      <w:r>
        <w:rPr/>
        <w:t>Back pain is based on muscle tension to a certain extent. Acidification of the organism leads to regular spasms within muscle fibres. A sufficient supply of bases relieves these tensions within a short space of time and can relieve back problems.</w:t>
      </w:r>
    </w:p>
    <w:p>
      <w:pPr>
        <w:pStyle w:val="Heading1"/>
        <w:spacing w:before="221"/>
        <w:ind w:left="616"/>
      </w:pPr>
      <w:r>
        <w:rPr/>
        <w:t>Hyperthyroidism</w:t>
      </w:r>
    </w:p>
    <w:p>
      <w:pPr>
        <w:pStyle w:val="BodyText"/>
        <w:spacing w:line="276" w:lineRule="auto" w:before="300"/>
        <w:ind w:left="616" w:right="132"/>
        <w:jc w:val="both"/>
      </w:pPr>
      <w:r>
        <w:rPr/>
        <w:t>The gland secretion which is altered by acidification can also lead to an over- active thyroid.</w:t>
      </w:r>
    </w:p>
    <w:p>
      <w:pPr>
        <w:pStyle w:val="Heading1"/>
        <w:ind w:left="616"/>
        <w:jc w:val="both"/>
      </w:pPr>
      <w:r>
        <w:rPr/>
        <w:t>Sleep disorders</w:t>
      </w:r>
    </w:p>
    <w:p>
      <w:pPr>
        <w:spacing w:after="0"/>
        <w:jc w:val="both"/>
        <w:sectPr>
          <w:pgSz w:w="14270" w:h="16850"/>
          <w:pgMar w:header="0" w:footer="1891" w:top="1340" w:bottom="2080" w:left="800" w:right="1280"/>
        </w:sectPr>
      </w:pPr>
    </w:p>
    <w:p>
      <w:pPr>
        <w:pStyle w:val="BodyText"/>
        <w:spacing w:line="276" w:lineRule="auto" w:before="74"/>
        <w:ind w:left="616" w:right="133"/>
        <w:jc w:val="both"/>
      </w:pPr>
      <w:r>
        <w:rPr/>
        <w:t>Excess acids constantly stimulate our vegetative system, in particular the sym- pathetic</w:t>
      </w:r>
      <w:r>
        <w:rPr>
          <w:spacing w:val="-15"/>
        </w:rPr>
        <w:t> </w:t>
      </w:r>
      <w:r>
        <w:rPr/>
        <w:t>nervous</w:t>
      </w:r>
      <w:r>
        <w:rPr>
          <w:spacing w:val="-18"/>
        </w:rPr>
        <w:t> </w:t>
      </w:r>
      <w:r>
        <w:rPr/>
        <w:t>system.</w:t>
      </w:r>
      <w:r>
        <w:rPr>
          <w:spacing w:val="-13"/>
        </w:rPr>
        <w:t> </w:t>
      </w:r>
      <w:r>
        <w:rPr/>
        <w:t>It</w:t>
      </w:r>
      <w:r>
        <w:rPr>
          <w:spacing w:val="-18"/>
        </w:rPr>
        <w:t> </w:t>
      </w:r>
      <w:r>
        <w:rPr/>
        <w:t>is</w:t>
      </w:r>
      <w:r>
        <w:rPr>
          <w:spacing w:val="-17"/>
        </w:rPr>
        <w:t> </w:t>
      </w:r>
      <w:r>
        <w:rPr/>
        <w:t>therefore</w:t>
      </w:r>
      <w:r>
        <w:rPr>
          <w:spacing w:val="-14"/>
        </w:rPr>
        <w:t> </w:t>
      </w:r>
      <w:r>
        <w:rPr/>
        <w:t>understandable</w:t>
      </w:r>
      <w:r>
        <w:rPr>
          <w:spacing w:val="-15"/>
        </w:rPr>
        <w:t> </w:t>
      </w:r>
      <w:r>
        <w:rPr/>
        <w:t>that</w:t>
      </w:r>
      <w:r>
        <w:rPr>
          <w:spacing w:val="-15"/>
        </w:rPr>
        <w:t> </w:t>
      </w:r>
      <w:r>
        <w:rPr/>
        <w:t>people</w:t>
      </w:r>
      <w:r>
        <w:rPr>
          <w:spacing w:val="-14"/>
        </w:rPr>
        <w:t> </w:t>
      </w:r>
      <w:r>
        <w:rPr/>
        <w:t>with</w:t>
      </w:r>
      <w:r>
        <w:rPr>
          <w:spacing w:val="-15"/>
        </w:rPr>
        <w:t> </w:t>
      </w:r>
      <w:r>
        <w:rPr/>
        <w:t>excess acid complain about sleep disorders.</w:t>
      </w:r>
    </w:p>
    <w:p>
      <w:pPr>
        <w:pStyle w:val="Heading1"/>
        <w:spacing w:before="222"/>
        <w:ind w:left="616"/>
      </w:pPr>
      <w:r>
        <w:rPr/>
        <w:t>Stroke</w:t>
      </w:r>
    </w:p>
    <w:p>
      <w:pPr>
        <w:pStyle w:val="BodyText"/>
        <w:spacing w:before="299"/>
        <w:ind w:left="616"/>
      </w:pPr>
      <w:r>
        <w:rPr/>
        <w:t>See ‘Cerebral apoplexy’</w:t>
      </w:r>
    </w:p>
    <w:p>
      <w:pPr>
        <w:pStyle w:val="Heading1"/>
        <w:spacing w:before="287"/>
        <w:ind w:left="616"/>
      </w:pPr>
      <w:r>
        <w:rPr/>
        <w:t>Sweaty feet</w:t>
      </w:r>
    </w:p>
    <w:p>
      <w:pPr>
        <w:pStyle w:val="BodyText"/>
        <w:spacing w:line="276" w:lineRule="auto" w:before="300"/>
        <w:ind w:left="616" w:right="135"/>
        <w:jc w:val="both"/>
      </w:pPr>
      <w:r>
        <w:rPr/>
        <w:t>As with armpits, feet are also an area where acid is expelled from the body. Extremely</w:t>
      </w:r>
      <w:r>
        <w:rPr>
          <w:spacing w:val="-17"/>
        </w:rPr>
        <w:t> </w:t>
      </w:r>
      <w:r>
        <w:rPr/>
        <w:t>sweaty</w:t>
      </w:r>
      <w:r>
        <w:rPr>
          <w:spacing w:val="-16"/>
        </w:rPr>
        <w:t> </w:t>
      </w:r>
      <w:r>
        <w:rPr/>
        <w:t>feet</w:t>
      </w:r>
      <w:r>
        <w:rPr>
          <w:spacing w:val="-18"/>
        </w:rPr>
        <w:t> </w:t>
      </w:r>
      <w:r>
        <w:rPr/>
        <w:t>are</w:t>
      </w:r>
      <w:r>
        <w:rPr>
          <w:spacing w:val="-17"/>
        </w:rPr>
        <w:t> </w:t>
      </w:r>
      <w:r>
        <w:rPr/>
        <w:t>therefore</w:t>
      </w:r>
      <w:r>
        <w:rPr>
          <w:spacing w:val="-16"/>
        </w:rPr>
        <w:t> </w:t>
      </w:r>
      <w:r>
        <w:rPr/>
        <w:t>always</w:t>
      </w:r>
      <w:r>
        <w:rPr>
          <w:spacing w:val="-16"/>
        </w:rPr>
        <w:t> </w:t>
      </w:r>
      <w:r>
        <w:rPr/>
        <w:t>an</w:t>
      </w:r>
      <w:r>
        <w:rPr>
          <w:spacing w:val="-19"/>
        </w:rPr>
        <w:t> </w:t>
      </w:r>
      <w:r>
        <w:rPr/>
        <w:t>indication</w:t>
      </w:r>
      <w:r>
        <w:rPr>
          <w:spacing w:val="-15"/>
        </w:rPr>
        <w:t> </w:t>
      </w:r>
      <w:r>
        <w:rPr/>
        <w:t>of</w:t>
      </w:r>
      <w:r>
        <w:rPr>
          <w:spacing w:val="-16"/>
        </w:rPr>
        <w:t> </w:t>
      </w:r>
      <w:r>
        <w:rPr/>
        <w:t>heavy</w:t>
      </w:r>
      <w:r>
        <w:rPr>
          <w:spacing w:val="-11"/>
        </w:rPr>
        <w:t> </w:t>
      </w:r>
      <w:r>
        <w:rPr/>
        <w:t>acidification. Even worse – they could be an indication of restricted kidney function or</w:t>
      </w:r>
      <w:r>
        <w:rPr>
          <w:spacing w:val="-64"/>
        </w:rPr>
        <w:t> </w:t>
      </w:r>
      <w:r>
        <w:rPr/>
        <w:t>kid- ney stones, namely if the kidneys can no longer perform their deacidification function and the body must increasingly draw on other deacidification</w:t>
      </w:r>
      <w:r>
        <w:rPr>
          <w:spacing w:val="-18"/>
        </w:rPr>
        <w:t> </w:t>
      </w:r>
      <w:r>
        <w:rPr/>
        <w:t>areas.</w:t>
      </w:r>
    </w:p>
    <w:p>
      <w:pPr>
        <w:pStyle w:val="Heading1"/>
        <w:spacing w:before="222"/>
        <w:ind w:left="616"/>
      </w:pPr>
      <w:r>
        <w:rPr/>
        <w:t>Visual disorders/visual impairment</w:t>
      </w:r>
    </w:p>
    <w:p>
      <w:pPr>
        <w:pStyle w:val="BodyText"/>
        <w:spacing w:line="276" w:lineRule="auto" w:before="300"/>
        <w:ind w:left="616" w:right="139"/>
        <w:jc w:val="both"/>
      </w:pPr>
      <w:r>
        <w:rPr/>
        <w:t>Visual impairment can also be a result of acids. Acids parallelise eye muscula- ture to some extent and dull the eye lenses, which can lead to blurred vision which is falsely attributed to the ageing process.</w:t>
      </w:r>
    </w:p>
    <w:p>
      <w:pPr>
        <w:pStyle w:val="Heading1"/>
        <w:spacing w:before="221"/>
        <w:ind w:left="616"/>
      </w:pPr>
      <w:r>
        <w:rPr/>
        <w:t>Heartburn</w:t>
      </w:r>
    </w:p>
    <w:p>
      <w:pPr>
        <w:pStyle w:val="BodyText"/>
        <w:spacing w:line="276" w:lineRule="auto" w:before="300"/>
        <w:ind w:left="616" w:right="132"/>
        <w:jc w:val="both"/>
      </w:pPr>
      <w:r>
        <w:rPr/>
        <w:t>Heartburn</w:t>
      </w:r>
      <w:r>
        <w:rPr>
          <w:spacing w:val="-14"/>
        </w:rPr>
        <w:t> </w:t>
      </w:r>
      <w:r>
        <w:rPr/>
        <w:t>is</w:t>
      </w:r>
      <w:r>
        <w:rPr>
          <w:spacing w:val="-14"/>
        </w:rPr>
        <w:t> </w:t>
      </w:r>
      <w:r>
        <w:rPr/>
        <w:t>a</w:t>
      </w:r>
      <w:r>
        <w:rPr>
          <w:spacing w:val="-15"/>
        </w:rPr>
        <w:t> </w:t>
      </w:r>
      <w:r>
        <w:rPr/>
        <w:t>direct</w:t>
      </w:r>
      <w:r>
        <w:rPr>
          <w:spacing w:val="-14"/>
        </w:rPr>
        <w:t> </w:t>
      </w:r>
      <w:r>
        <w:rPr/>
        <w:t>result</w:t>
      </w:r>
      <w:r>
        <w:rPr>
          <w:spacing w:val="-16"/>
        </w:rPr>
        <w:t> </w:t>
      </w:r>
      <w:r>
        <w:rPr/>
        <w:t>of</w:t>
      </w:r>
      <w:r>
        <w:rPr>
          <w:spacing w:val="-14"/>
        </w:rPr>
        <w:t> </w:t>
      </w:r>
      <w:r>
        <w:rPr/>
        <w:t>acidification.</w:t>
      </w:r>
      <w:r>
        <w:rPr>
          <w:spacing w:val="-9"/>
        </w:rPr>
        <w:t> </w:t>
      </w:r>
      <w:r>
        <w:rPr/>
        <w:t>In</w:t>
      </w:r>
      <w:r>
        <w:rPr>
          <w:spacing w:val="-14"/>
        </w:rPr>
        <w:t> </w:t>
      </w:r>
      <w:r>
        <w:rPr/>
        <w:t>order</w:t>
      </w:r>
      <w:r>
        <w:rPr>
          <w:spacing w:val="-15"/>
        </w:rPr>
        <w:t> </w:t>
      </w:r>
      <w:r>
        <w:rPr/>
        <w:t>to</w:t>
      </w:r>
      <w:r>
        <w:rPr>
          <w:spacing w:val="-14"/>
        </w:rPr>
        <w:t> </w:t>
      </w:r>
      <w:r>
        <w:rPr/>
        <w:t>form</w:t>
      </w:r>
      <w:r>
        <w:rPr>
          <w:spacing w:val="-14"/>
        </w:rPr>
        <w:t> </w:t>
      </w:r>
      <w:r>
        <w:rPr/>
        <w:t>the</w:t>
      </w:r>
      <w:r>
        <w:rPr>
          <w:spacing w:val="-15"/>
        </w:rPr>
        <w:t> </w:t>
      </w:r>
      <w:r>
        <w:rPr/>
        <w:t>stomach</w:t>
      </w:r>
      <w:r>
        <w:rPr>
          <w:spacing w:val="-13"/>
        </w:rPr>
        <w:t> </w:t>
      </w:r>
      <w:r>
        <w:rPr/>
        <w:t>acids required for digestion, carbon dioxide, sodium chloride and water are trans- formed into hydrochloric acid and sodium bicarbonate. Sodium bicarbonate also serves as a base for the body to neutralise</w:t>
      </w:r>
      <w:r>
        <w:rPr>
          <w:spacing w:val="-6"/>
        </w:rPr>
        <w:t> </w:t>
      </w:r>
      <w:r>
        <w:rPr/>
        <w:t>acids.</w:t>
      </w:r>
    </w:p>
    <w:p>
      <w:pPr>
        <w:spacing w:after="0" w:line="276" w:lineRule="auto"/>
        <w:jc w:val="both"/>
        <w:sectPr>
          <w:pgSz w:w="14270" w:h="16850"/>
          <w:pgMar w:header="0" w:footer="1891" w:top="1340" w:bottom="2080" w:left="800" w:right="1280"/>
        </w:sectPr>
      </w:pPr>
    </w:p>
    <w:p>
      <w:pPr>
        <w:pStyle w:val="BodyText"/>
        <w:spacing w:line="276" w:lineRule="auto" w:before="74"/>
        <w:ind w:left="616" w:right="132"/>
        <w:jc w:val="both"/>
      </w:pPr>
      <w:r>
        <w:rPr/>
        <w:t>Therefore, if the body has excess acid it needs to create more sodium bicar- bonate – and it can only do this by producing more hydrochloric acid. It is precisely</w:t>
      </w:r>
      <w:r>
        <w:rPr>
          <w:spacing w:val="-13"/>
        </w:rPr>
        <w:t> </w:t>
      </w:r>
      <w:r>
        <w:rPr/>
        <w:t>this</w:t>
      </w:r>
      <w:r>
        <w:rPr>
          <w:spacing w:val="-13"/>
        </w:rPr>
        <w:t> </w:t>
      </w:r>
      <w:r>
        <w:rPr/>
        <w:t>excess</w:t>
      </w:r>
      <w:r>
        <w:rPr>
          <w:spacing w:val="-11"/>
        </w:rPr>
        <w:t> </w:t>
      </w:r>
      <w:r>
        <w:rPr/>
        <w:t>production</w:t>
      </w:r>
      <w:r>
        <w:rPr>
          <w:spacing w:val="-14"/>
        </w:rPr>
        <w:t> </w:t>
      </w:r>
      <w:r>
        <w:rPr/>
        <w:t>of</w:t>
      </w:r>
      <w:r>
        <w:rPr>
          <w:spacing w:val="-11"/>
        </w:rPr>
        <w:t> </w:t>
      </w:r>
      <w:r>
        <w:rPr/>
        <w:t>hydrochloric</w:t>
      </w:r>
      <w:r>
        <w:rPr>
          <w:spacing w:val="-14"/>
        </w:rPr>
        <w:t> </w:t>
      </w:r>
      <w:r>
        <w:rPr/>
        <w:t>acid</w:t>
      </w:r>
      <w:r>
        <w:rPr>
          <w:spacing w:val="-13"/>
        </w:rPr>
        <w:t> </w:t>
      </w:r>
      <w:r>
        <w:rPr/>
        <w:t>which</w:t>
      </w:r>
      <w:r>
        <w:rPr>
          <w:spacing w:val="-12"/>
        </w:rPr>
        <w:t> </w:t>
      </w:r>
      <w:r>
        <w:rPr/>
        <w:t>leads</w:t>
      </w:r>
      <w:r>
        <w:rPr>
          <w:spacing w:val="-12"/>
        </w:rPr>
        <w:t> </w:t>
      </w:r>
      <w:r>
        <w:rPr/>
        <w:t>to</w:t>
      </w:r>
      <w:r>
        <w:rPr>
          <w:spacing w:val="-14"/>
        </w:rPr>
        <w:t> </w:t>
      </w:r>
      <w:r>
        <w:rPr/>
        <w:t>heartburn! Simply</w:t>
      </w:r>
      <w:r>
        <w:rPr>
          <w:spacing w:val="-17"/>
        </w:rPr>
        <w:t> </w:t>
      </w:r>
      <w:r>
        <w:rPr/>
        <w:t>consuming</w:t>
      </w:r>
      <w:r>
        <w:rPr>
          <w:spacing w:val="-16"/>
        </w:rPr>
        <w:t> </w:t>
      </w:r>
      <w:r>
        <w:rPr/>
        <w:t>half</w:t>
      </w:r>
      <w:r>
        <w:rPr>
          <w:spacing w:val="-16"/>
        </w:rPr>
        <w:t> </w:t>
      </w:r>
      <w:r>
        <w:rPr/>
        <w:t>a</w:t>
      </w:r>
      <w:r>
        <w:rPr>
          <w:spacing w:val="-18"/>
        </w:rPr>
        <w:t> </w:t>
      </w:r>
      <w:r>
        <w:rPr/>
        <w:t>litre</w:t>
      </w:r>
      <w:r>
        <w:rPr>
          <w:spacing w:val="-15"/>
        </w:rPr>
        <w:t> </w:t>
      </w:r>
      <w:r>
        <w:rPr/>
        <w:t>of</w:t>
      </w:r>
      <w:r>
        <w:rPr>
          <w:spacing w:val="-19"/>
        </w:rPr>
        <w:t> </w:t>
      </w:r>
      <w:r>
        <w:rPr/>
        <w:t>warm</w:t>
      </w:r>
      <w:r>
        <w:rPr>
          <w:spacing w:val="-15"/>
        </w:rPr>
        <w:t> </w:t>
      </w:r>
      <w:r>
        <w:rPr/>
        <w:t>water</w:t>
      </w:r>
      <w:r>
        <w:rPr>
          <w:spacing w:val="-16"/>
        </w:rPr>
        <w:t> </w:t>
      </w:r>
      <w:r>
        <w:rPr/>
        <w:t>in</w:t>
      </w:r>
      <w:r>
        <w:rPr>
          <w:spacing w:val="-16"/>
        </w:rPr>
        <w:t> </w:t>
      </w:r>
      <w:r>
        <w:rPr/>
        <w:t>the</w:t>
      </w:r>
      <w:r>
        <w:rPr>
          <w:spacing w:val="-15"/>
        </w:rPr>
        <w:t> </w:t>
      </w:r>
      <w:r>
        <w:rPr/>
        <w:t>morning</w:t>
      </w:r>
      <w:r>
        <w:rPr>
          <w:spacing w:val="-18"/>
        </w:rPr>
        <w:t> </w:t>
      </w:r>
      <w:r>
        <w:rPr/>
        <w:t>with</w:t>
      </w:r>
      <w:r>
        <w:rPr>
          <w:spacing w:val="-15"/>
        </w:rPr>
        <w:t> </w:t>
      </w:r>
      <w:r>
        <w:rPr/>
        <w:t>one</w:t>
      </w:r>
      <w:r>
        <w:rPr>
          <w:spacing w:val="-16"/>
        </w:rPr>
        <w:t> </w:t>
      </w:r>
      <w:r>
        <w:rPr/>
        <w:t>teaspoon of sodium bicarbonate can provide permanent support.</w:t>
      </w:r>
    </w:p>
    <w:p>
      <w:pPr>
        <w:pStyle w:val="Heading1"/>
        <w:spacing w:before="222"/>
        <w:ind w:left="616"/>
      </w:pPr>
      <w:r>
        <w:rPr/>
        <w:t>Mood swings</w:t>
      </w:r>
    </w:p>
    <w:p>
      <w:pPr>
        <w:pStyle w:val="BodyText"/>
        <w:spacing w:line="276" w:lineRule="auto" w:before="300"/>
        <w:ind w:left="616" w:right="141"/>
        <w:jc w:val="both"/>
      </w:pPr>
      <w:r>
        <w:rPr/>
        <w:t>Traditional sayings such as ‘I feel bitter’ have an actual, physiological back- ground. Acidification really can lead to mood swings and aggression. Con- sistent deacidification provides support in just a few days.</w:t>
      </w:r>
    </w:p>
    <w:p>
      <w:pPr>
        <w:pStyle w:val="BodyText"/>
        <w:rPr>
          <w:sz w:val="42"/>
        </w:rPr>
      </w:pPr>
    </w:p>
    <w:p>
      <w:pPr>
        <w:pStyle w:val="BodyText"/>
        <w:spacing w:before="9"/>
        <w:rPr>
          <w:sz w:val="42"/>
        </w:rPr>
      </w:pPr>
    </w:p>
    <w:p>
      <w:pPr>
        <w:pStyle w:val="Heading1"/>
        <w:spacing w:before="0"/>
        <w:ind w:left="616"/>
      </w:pPr>
      <w:r>
        <w:rPr/>
        <w:t>Susceptibility to stress</w:t>
      </w:r>
    </w:p>
    <w:p>
      <w:pPr>
        <w:pStyle w:val="BodyText"/>
        <w:spacing w:line="276" w:lineRule="auto" w:before="299"/>
        <w:ind w:left="616" w:right="141"/>
        <w:jc w:val="both"/>
      </w:pPr>
      <w:r>
        <w:rPr/>
        <w:t>Excess acid in the organism leads to permanent irritation of our vegetative nervous system and in particular the sympathetic nervous system. This results in us feeling continually hyper and pepped up.</w:t>
      </w:r>
    </w:p>
    <w:p>
      <w:pPr>
        <w:pStyle w:val="Heading1"/>
        <w:ind w:left="616"/>
      </w:pPr>
      <w:r>
        <w:rPr/>
        <w:t>Tennis elbow</w:t>
      </w:r>
    </w:p>
    <w:p>
      <w:pPr>
        <w:pStyle w:val="BodyText"/>
        <w:spacing w:line="276" w:lineRule="auto" w:before="297"/>
        <w:ind w:left="616" w:right="135"/>
        <w:jc w:val="both"/>
      </w:pPr>
      <w:r>
        <w:rPr/>
        <w:t>Tennis</w:t>
      </w:r>
      <w:r>
        <w:rPr>
          <w:spacing w:val="-17"/>
        </w:rPr>
        <w:t> </w:t>
      </w:r>
      <w:r>
        <w:rPr/>
        <w:t>elbow</w:t>
      </w:r>
      <w:r>
        <w:rPr>
          <w:spacing w:val="-17"/>
        </w:rPr>
        <w:t> </w:t>
      </w:r>
      <w:r>
        <w:rPr/>
        <w:t>is</w:t>
      </w:r>
      <w:r>
        <w:rPr>
          <w:spacing w:val="-19"/>
        </w:rPr>
        <w:t> </w:t>
      </w:r>
      <w:r>
        <w:rPr/>
        <w:t>based</w:t>
      </w:r>
      <w:r>
        <w:rPr>
          <w:spacing w:val="-15"/>
        </w:rPr>
        <w:t> </w:t>
      </w:r>
      <w:r>
        <w:rPr/>
        <w:t>on</w:t>
      </w:r>
      <w:r>
        <w:rPr>
          <w:spacing w:val="-15"/>
        </w:rPr>
        <w:t> </w:t>
      </w:r>
      <w:r>
        <w:rPr/>
        <w:t>the</w:t>
      </w:r>
      <w:r>
        <w:rPr>
          <w:spacing w:val="-18"/>
        </w:rPr>
        <w:t> </w:t>
      </w:r>
      <w:r>
        <w:rPr/>
        <w:t>principles</w:t>
      </w:r>
      <w:r>
        <w:rPr>
          <w:spacing w:val="-15"/>
        </w:rPr>
        <w:t> </w:t>
      </w:r>
      <w:r>
        <w:rPr/>
        <w:t>of</w:t>
      </w:r>
      <w:r>
        <w:rPr>
          <w:spacing w:val="-16"/>
        </w:rPr>
        <w:t> </w:t>
      </w:r>
      <w:r>
        <w:rPr/>
        <w:t>soft-tissue</w:t>
      </w:r>
      <w:r>
        <w:rPr>
          <w:spacing w:val="-16"/>
        </w:rPr>
        <w:t> </w:t>
      </w:r>
      <w:r>
        <w:rPr/>
        <w:t>rheumatism.</w:t>
      </w:r>
      <w:r>
        <w:rPr>
          <w:spacing w:val="-16"/>
        </w:rPr>
        <w:t> </w:t>
      </w:r>
      <w:r>
        <w:rPr/>
        <w:t>As</w:t>
      </w:r>
      <w:r>
        <w:rPr>
          <w:spacing w:val="-15"/>
        </w:rPr>
        <w:t> </w:t>
      </w:r>
      <w:r>
        <w:rPr/>
        <w:t>there</w:t>
      </w:r>
      <w:r>
        <w:rPr>
          <w:spacing w:val="-18"/>
        </w:rPr>
        <w:t> </w:t>
      </w:r>
      <w:r>
        <w:rPr/>
        <w:t>are a lot of bases in synovial sheaths, the body prefers to store acids here and in the muscle insertions. The bases here are tapped leaving the synovial sheaths raw, which is quickly followed by painful</w:t>
      </w:r>
      <w:r>
        <w:rPr>
          <w:spacing w:val="-3"/>
        </w:rPr>
        <w:t> </w:t>
      </w:r>
      <w:r>
        <w:rPr/>
        <w:t>movement.</w:t>
      </w:r>
    </w:p>
    <w:p>
      <w:pPr>
        <w:pStyle w:val="Heading1"/>
        <w:spacing w:before="225"/>
        <w:ind w:left="616"/>
        <w:jc w:val="both"/>
      </w:pPr>
      <w:r>
        <w:rPr/>
        <w:t>Excess weight</w:t>
      </w:r>
    </w:p>
    <w:p>
      <w:pPr>
        <w:spacing w:after="0"/>
        <w:jc w:val="both"/>
        <w:sectPr>
          <w:pgSz w:w="14270" w:h="16850"/>
          <w:pgMar w:header="0" w:footer="1891" w:top="1340" w:bottom="2080" w:left="800" w:right="1280"/>
        </w:sectPr>
      </w:pPr>
    </w:p>
    <w:p>
      <w:pPr>
        <w:pStyle w:val="Heading2"/>
        <w:spacing w:line="276" w:lineRule="auto" w:before="74"/>
        <w:ind w:left="616" w:right="134"/>
        <w:jc w:val="both"/>
      </w:pPr>
      <w:r>
        <w:rPr/>
        <w:t>A lot of complementary medicine considers body fat as the organism’s protection</w:t>
      </w:r>
      <w:r>
        <w:rPr>
          <w:spacing w:val="-26"/>
        </w:rPr>
        <w:t> </w:t>
      </w:r>
      <w:r>
        <w:rPr/>
        <w:t>against</w:t>
      </w:r>
      <w:r>
        <w:rPr>
          <w:spacing w:val="-27"/>
        </w:rPr>
        <w:t> </w:t>
      </w:r>
      <w:r>
        <w:rPr/>
        <w:t>acids</w:t>
      </w:r>
      <w:r>
        <w:rPr>
          <w:spacing w:val="-25"/>
        </w:rPr>
        <w:t> </w:t>
      </w:r>
      <w:r>
        <w:rPr/>
        <w:t>in</w:t>
      </w:r>
      <w:r>
        <w:rPr>
          <w:spacing w:val="-26"/>
        </w:rPr>
        <w:t> </w:t>
      </w:r>
      <w:r>
        <w:rPr/>
        <w:t>order</w:t>
      </w:r>
      <w:r>
        <w:rPr>
          <w:spacing w:val="-26"/>
        </w:rPr>
        <w:t> </w:t>
      </w:r>
      <w:r>
        <w:rPr/>
        <w:t>to</w:t>
      </w:r>
      <w:r>
        <w:rPr>
          <w:spacing w:val="-27"/>
        </w:rPr>
        <w:t> </w:t>
      </w:r>
      <w:r>
        <w:rPr/>
        <w:t>protect</w:t>
      </w:r>
      <w:r>
        <w:rPr>
          <w:spacing w:val="-26"/>
        </w:rPr>
        <w:t> </w:t>
      </w:r>
      <w:r>
        <w:rPr/>
        <w:t>our</w:t>
      </w:r>
      <w:r>
        <w:rPr>
          <w:spacing w:val="-26"/>
        </w:rPr>
        <w:t> </w:t>
      </w:r>
      <w:r>
        <w:rPr/>
        <w:t>body’s</w:t>
      </w:r>
      <w:r>
        <w:rPr>
          <w:spacing w:val="-25"/>
        </w:rPr>
        <w:t> </w:t>
      </w:r>
      <w:r>
        <w:rPr/>
        <w:t>organs.</w:t>
      </w:r>
      <w:r>
        <w:rPr>
          <w:spacing w:val="-24"/>
        </w:rPr>
        <w:t> </w:t>
      </w:r>
      <w:r>
        <w:rPr/>
        <w:t>According to this, a person is not fat, merely acidified and it doesn’t make sense</w:t>
      </w:r>
      <w:r>
        <w:rPr>
          <w:spacing w:val="-66"/>
        </w:rPr>
        <w:t> </w:t>
      </w:r>
      <w:r>
        <w:rPr/>
        <w:t>to lose weight if the body is not deacidified. Quite the opposite, more and more body cells are created. Trying to lose weight in this state is not only hopeless but also dangerous as you remove this important protec- tion against acids from the body instead of first de-acidifying and then striving for effective weight loss. If you have de-acidified and ensured an alkaline state the pounds will fall off by</w:t>
      </w:r>
      <w:r>
        <w:rPr>
          <w:spacing w:val="-10"/>
        </w:rPr>
        <w:t> </w:t>
      </w:r>
      <w:r>
        <w:rPr/>
        <w:t>themselves.</w:t>
      </w:r>
    </w:p>
    <w:p>
      <w:pPr>
        <w:spacing w:before="225"/>
        <w:ind w:left="616" w:right="0" w:firstLine="0"/>
        <w:jc w:val="left"/>
        <w:rPr>
          <w:b/>
          <w:i/>
          <w:sz w:val="40"/>
        </w:rPr>
      </w:pPr>
      <w:r>
        <w:rPr>
          <w:b/>
          <w:i/>
          <w:sz w:val="40"/>
        </w:rPr>
        <w:t>Digestive disorders</w:t>
      </w:r>
    </w:p>
    <w:p>
      <w:pPr>
        <w:pStyle w:val="BodyText"/>
        <w:spacing w:line="276" w:lineRule="auto" w:before="296"/>
        <w:ind w:left="616" w:right="132"/>
        <w:jc w:val="both"/>
      </w:pPr>
      <w:r>
        <w:rPr/>
        <w:t>Digestive disorders can generally be attributed to incompletely digested food. If</w:t>
      </w:r>
      <w:r>
        <w:rPr>
          <w:spacing w:val="-12"/>
        </w:rPr>
        <w:t> </w:t>
      </w:r>
      <w:r>
        <w:rPr/>
        <w:t>the</w:t>
      </w:r>
      <w:r>
        <w:rPr>
          <w:spacing w:val="-10"/>
        </w:rPr>
        <w:t> </w:t>
      </w:r>
      <w:r>
        <w:rPr/>
        <w:t>body</w:t>
      </w:r>
      <w:r>
        <w:rPr>
          <w:spacing w:val="-11"/>
        </w:rPr>
        <w:t> </w:t>
      </w:r>
      <w:r>
        <w:rPr/>
        <w:t>has</w:t>
      </w:r>
      <w:r>
        <w:rPr>
          <w:spacing w:val="-11"/>
        </w:rPr>
        <w:t> </w:t>
      </w:r>
      <w:r>
        <w:rPr/>
        <w:t>used</w:t>
      </w:r>
      <w:r>
        <w:rPr>
          <w:spacing w:val="-11"/>
        </w:rPr>
        <w:t> </w:t>
      </w:r>
      <w:r>
        <w:rPr/>
        <w:t>up</w:t>
      </w:r>
      <w:r>
        <w:rPr>
          <w:spacing w:val="-11"/>
        </w:rPr>
        <w:t> </w:t>
      </w:r>
      <w:r>
        <w:rPr/>
        <w:t>the</w:t>
      </w:r>
      <w:r>
        <w:rPr>
          <w:spacing w:val="-10"/>
        </w:rPr>
        <w:t> </w:t>
      </w:r>
      <w:r>
        <w:rPr/>
        <w:t>bases</w:t>
      </w:r>
      <w:r>
        <w:rPr>
          <w:spacing w:val="-11"/>
        </w:rPr>
        <w:t> </w:t>
      </w:r>
      <w:r>
        <w:rPr/>
        <w:t>it</w:t>
      </w:r>
      <w:r>
        <w:rPr>
          <w:spacing w:val="-12"/>
        </w:rPr>
        <w:t> </w:t>
      </w:r>
      <w:r>
        <w:rPr/>
        <w:t>requires</w:t>
      </w:r>
      <w:r>
        <w:rPr>
          <w:spacing w:val="-10"/>
        </w:rPr>
        <w:t> </w:t>
      </w:r>
      <w:r>
        <w:rPr/>
        <w:t>for</w:t>
      </w:r>
      <w:r>
        <w:rPr>
          <w:spacing w:val="-7"/>
        </w:rPr>
        <w:t> </w:t>
      </w:r>
      <w:r>
        <w:rPr/>
        <w:t>neutralisation</w:t>
      </w:r>
      <w:r>
        <w:rPr>
          <w:spacing w:val="-11"/>
        </w:rPr>
        <w:t> </w:t>
      </w:r>
      <w:r>
        <w:rPr/>
        <w:t>of</w:t>
      </w:r>
      <w:r>
        <w:rPr>
          <w:spacing w:val="-10"/>
        </w:rPr>
        <w:t> </w:t>
      </w:r>
      <w:r>
        <w:rPr/>
        <w:t>chyme</w:t>
      </w:r>
      <w:r>
        <w:rPr>
          <w:spacing w:val="-10"/>
        </w:rPr>
        <w:t> </w:t>
      </w:r>
      <w:r>
        <w:rPr/>
        <w:t>by</w:t>
      </w:r>
      <w:r>
        <w:rPr>
          <w:spacing w:val="-11"/>
        </w:rPr>
        <w:t> </w:t>
      </w:r>
      <w:r>
        <w:rPr/>
        <w:t>the gall</w:t>
      </w:r>
      <w:r>
        <w:rPr>
          <w:spacing w:val="-19"/>
        </w:rPr>
        <w:t> </w:t>
      </w:r>
      <w:r>
        <w:rPr/>
        <w:t>bladder</w:t>
      </w:r>
      <w:r>
        <w:rPr>
          <w:spacing w:val="-16"/>
        </w:rPr>
        <w:t> </w:t>
      </w:r>
      <w:r>
        <w:rPr/>
        <w:t>and</w:t>
      </w:r>
      <w:r>
        <w:rPr>
          <w:spacing w:val="-14"/>
        </w:rPr>
        <w:t> </w:t>
      </w:r>
      <w:r>
        <w:rPr/>
        <w:t>pancreas</w:t>
      </w:r>
      <w:r>
        <w:rPr>
          <w:spacing w:val="-17"/>
        </w:rPr>
        <w:t> </w:t>
      </w:r>
      <w:r>
        <w:rPr/>
        <w:t>due</w:t>
      </w:r>
      <w:r>
        <w:rPr>
          <w:spacing w:val="-18"/>
        </w:rPr>
        <w:t> </w:t>
      </w:r>
      <w:r>
        <w:rPr/>
        <w:t>to</w:t>
      </w:r>
      <w:r>
        <w:rPr>
          <w:spacing w:val="-16"/>
        </w:rPr>
        <w:t> </w:t>
      </w:r>
      <w:r>
        <w:rPr/>
        <w:t>acidification,</w:t>
      </w:r>
      <w:r>
        <w:rPr>
          <w:spacing w:val="-17"/>
        </w:rPr>
        <w:t> </w:t>
      </w:r>
      <w:r>
        <w:rPr/>
        <w:t>the</w:t>
      </w:r>
      <w:r>
        <w:rPr>
          <w:spacing w:val="-15"/>
        </w:rPr>
        <w:t> </w:t>
      </w:r>
      <w:r>
        <w:rPr/>
        <w:t>partially</w:t>
      </w:r>
      <w:r>
        <w:rPr>
          <w:spacing w:val="-17"/>
        </w:rPr>
        <w:t> </w:t>
      </w:r>
      <w:r>
        <w:rPr/>
        <w:t>digested</w:t>
      </w:r>
      <w:r>
        <w:rPr>
          <w:spacing w:val="-18"/>
        </w:rPr>
        <w:t> </w:t>
      </w:r>
      <w:r>
        <w:rPr/>
        <w:t>food</w:t>
      </w:r>
      <w:r>
        <w:rPr>
          <w:spacing w:val="-17"/>
        </w:rPr>
        <w:t> </w:t>
      </w:r>
      <w:r>
        <w:rPr/>
        <w:t>which reaches our intestine impedes its work. This results in digestive</w:t>
      </w:r>
      <w:r>
        <w:rPr>
          <w:spacing w:val="-11"/>
        </w:rPr>
        <w:t> </w:t>
      </w:r>
      <w:r>
        <w:rPr/>
        <w:t>disorders!</w:t>
      </w:r>
    </w:p>
    <w:p>
      <w:pPr>
        <w:pStyle w:val="Heading1"/>
        <w:spacing w:before="225"/>
        <w:ind w:left="616"/>
      </w:pPr>
      <w:r>
        <w:rPr/>
        <w:t>Premature ageing</w:t>
      </w:r>
    </w:p>
    <w:p>
      <w:pPr>
        <w:pStyle w:val="BodyText"/>
        <w:spacing w:line="276" w:lineRule="auto" w:before="297"/>
        <w:ind w:left="616" w:right="140"/>
        <w:jc w:val="both"/>
      </w:pPr>
      <w:r>
        <w:rPr/>
        <w:t>Biological ageing manifests itself in the form of many degenerative processes: Skin becomes wrinkled, eyes start to fail, bone density drops, hair becomes grey and falls out...</w:t>
      </w:r>
    </w:p>
    <w:p>
      <w:pPr>
        <w:pStyle w:val="BodyText"/>
        <w:spacing w:line="276" w:lineRule="auto" w:before="241"/>
        <w:ind w:left="616" w:right="133"/>
        <w:jc w:val="both"/>
      </w:pPr>
      <w:r>
        <w:rPr/>
        <w:t>All these negative signs of ageing are primarily really due to demineralisation and</w:t>
      </w:r>
      <w:r>
        <w:rPr>
          <w:spacing w:val="-21"/>
        </w:rPr>
        <w:t> </w:t>
      </w:r>
      <w:r>
        <w:rPr/>
        <w:t>toxification</w:t>
      </w:r>
      <w:r>
        <w:rPr>
          <w:spacing w:val="-19"/>
        </w:rPr>
        <w:t> </w:t>
      </w:r>
      <w:r>
        <w:rPr/>
        <w:t>(as</w:t>
      </w:r>
      <w:r>
        <w:rPr>
          <w:spacing w:val="-20"/>
        </w:rPr>
        <w:t> </w:t>
      </w:r>
      <w:r>
        <w:rPr/>
        <w:t>a</w:t>
      </w:r>
      <w:r>
        <w:rPr>
          <w:spacing w:val="-21"/>
        </w:rPr>
        <w:t> </w:t>
      </w:r>
      <w:r>
        <w:rPr/>
        <w:t>result</w:t>
      </w:r>
      <w:r>
        <w:rPr>
          <w:spacing w:val="-21"/>
        </w:rPr>
        <w:t> </w:t>
      </w:r>
      <w:r>
        <w:rPr/>
        <w:t>of</w:t>
      </w:r>
      <w:r>
        <w:rPr>
          <w:spacing w:val="-22"/>
        </w:rPr>
        <w:t> </w:t>
      </w:r>
      <w:r>
        <w:rPr/>
        <w:t>neutralised,</w:t>
      </w:r>
      <w:r>
        <w:rPr>
          <w:spacing w:val="-19"/>
        </w:rPr>
        <w:t> </w:t>
      </w:r>
      <w:r>
        <w:rPr/>
        <w:t>non-expelled</w:t>
      </w:r>
      <w:r>
        <w:rPr>
          <w:spacing w:val="-20"/>
        </w:rPr>
        <w:t> </w:t>
      </w:r>
      <w:r>
        <w:rPr/>
        <w:t>acids)</w:t>
      </w:r>
      <w:r>
        <w:rPr>
          <w:spacing w:val="-20"/>
        </w:rPr>
        <w:t> </w:t>
      </w:r>
      <w:r>
        <w:rPr/>
        <w:t>of</w:t>
      </w:r>
      <w:r>
        <w:rPr>
          <w:spacing w:val="-22"/>
        </w:rPr>
        <w:t> </w:t>
      </w:r>
      <w:r>
        <w:rPr/>
        <w:t>our</w:t>
      </w:r>
      <w:r>
        <w:rPr>
          <w:spacing w:val="-20"/>
        </w:rPr>
        <w:t> </w:t>
      </w:r>
      <w:r>
        <w:rPr/>
        <w:t>organism.</w:t>
      </w:r>
    </w:p>
    <w:p>
      <w:pPr>
        <w:pStyle w:val="BodyText"/>
        <w:spacing w:before="241"/>
        <w:ind w:left="616"/>
        <w:jc w:val="both"/>
      </w:pPr>
      <w:r>
        <w:rPr/>
        <w:t>The</w:t>
      </w:r>
      <w:r>
        <w:rPr>
          <w:spacing w:val="-7"/>
        </w:rPr>
        <w:t> </w:t>
      </w:r>
      <w:r>
        <w:rPr/>
        <w:t>acid</w:t>
      </w:r>
      <w:r>
        <w:rPr>
          <w:spacing w:val="-8"/>
        </w:rPr>
        <w:t> </w:t>
      </w:r>
      <w:r>
        <w:rPr/>
        <w:t>burns</w:t>
      </w:r>
      <w:r>
        <w:rPr>
          <w:spacing w:val="-10"/>
        </w:rPr>
        <w:t> </w:t>
      </w:r>
      <w:r>
        <w:rPr/>
        <w:t>our</w:t>
      </w:r>
      <w:r>
        <w:rPr>
          <w:spacing w:val="-7"/>
        </w:rPr>
        <w:t> </w:t>
      </w:r>
      <w:r>
        <w:rPr/>
        <w:t>glands</w:t>
      </w:r>
      <w:r>
        <w:rPr>
          <w:spacing w:val="-7"/>
        </w:rPr>
        <w:t> </w:t>
      </w:r>
      <w:r>
        <w:rPr/>
        <w:t>and</w:t>
      </w:r>
      <w:r>
        <w:rPr>
          <w:spacing w:val="-7"/>
        </w:rPr>
        <w:t> </w:t>
      </w:r>
      <w:r>
        <w:rPr/>
        <w:t>organs</w:t>
      </w:r>
      <w:r>
        <w:rPr>
          <w:spacing w:val="-7"/>
        </w:rPr>
        <w:t> </w:t>
      </w:r>
      <w:r>
        <w:rPr/>
        <w:t>and</w:t>
      </w:r>
      <w:r>
        <w:rPr>
          <w:spacing w:val="-7"/>
        </w:rPr>
        <w:t> </w:t>
      </w:r>
      <w:r>
        <w:rPr/>
        <w:t>leads</w:t>
      </w:r>
      <w:r>
        <w:rPr>
          <w:spacing w:val="-8"/>
        </w:rPr>
        <w:t> </w:t>
      </w:r>
      <w:r>
        <w:rPr/>
        <w:t>to</w:t>
      </w:r>
      <w:r>
        <w:rPr>
          <w:spacing w:val="-7"/>
        </w:rPr>
        <w:t> </w:t>
      </w:r>
      <w:r>
        <w:rPr/>
        <w:t>restricted</w:t>
      </w:r>
      <w:r>
        <w:rPr>
          <w:spacing w:val="-8"/>
        </w:rPr>
        <w:t> </w:t>
      </w:r>
      <w:r>
        <w:rPr/>
        <w:t>functionality;</w:t>
      </w:r>
      <w:r>
        <w:rPr>
          <w:spacing w:val="-6"/>
        </w:rPr>
        <w:t> </w:t>
      </w:r>
      <w:r>
        <w:rPr/>
        <w:t>our</w:t>
      </w:r>
    </w:p>
    <w:p>
      <w:pPr>
        <w:spacing w:after="0"/>
        <w:jc w:val="both"/>
        <w:sectPr>
          <w:pgSz w:w="14270" w:h="16850"/>
          <w:pgMar w:header="0" w:footer="1891" w:top="1340" w:bottom="2080" w:left="800" w:right="1280"/>
        </w:sectPr>
      </w:pPr>
    </w:p>
    <w:p>
      <w:pPr>
        <w:pStyle w:val="BodyText"/>
        <w:spacing w:line="276" w:lineRule="auto" w:before="72"/>
        <w:ind w:left="616" w:right="135"/>
        <w:jc w:val="both"/>
      </w:pPr>
      <w:r>
        <w:rPr/>
        <w:t>scalp,</w:t>
      </w:r>
      <w:r>
        <w:rPr>
          <w:spacing w:val="-15"/>
        </w:rPr>
        <w:t> </w:t>
      </w:r>
      <w:r>
        <w:rPr/>
        <w:t>skin,</w:t>
      </w:r>
      <w:r>
        <w:rPr>
          <w:spacing w:val="-15"/>
        </w:rPr>
        <w:t> </w:t>
      </w:r>
      <w:r>
        <w:rPr/>
        <w:t>bones,</w:t>
      </w:r>
      <w:r>
        <w:rPr>
          <w:spacing w:val="-15"/>
        </w:rPr>
        <w:t> </w:t>
      </w:r>
      <w:r>
        <w:rPr/>
        <w:t>teeth,</w:t>
      </w:r>
      <w:r>
        <w:rPr>
          <w:spacing w:val="-14"/>
        </w:rPr>
        <w:t> </w:t>
      </w:r>
      <w:r>
        <w:rPr/>
        <w:t>blood</w:t>
      </w:r>
      <w:r>
        <w:rPr>
          <w:spacing w:val="-16"/>
        </w:rPr>
        <w:t> </w:t>
      </w:r>
      <w:r>
        <w:rPr/>
        <w:t>vessels</w:t>
      </w:r>
      <w:r>
        <w:rPr>
          <w:spacing w:val="-16"/>
        </w:rPr>
        <w:t> </w:t>
      </w:r>
      <w:r>
        <w:rPr/>
        <w:t>and</w:t>
      </w:r>
      <w:r>
        <w:rPr>
          <w:spacing w:val="-17"/>
        </w:rPr>
        <w:t> </w:t>
      </w:r>
      <w:r>
        <w:rPr/>
        <w:t>nails</w:t>
      </w:r>
      <w:r>
        <w:rPr>
          <w:spacing w:val="-15"/>
        </w:rPr>
        <w:t> </w:t>
      </w:r>
      <w:r>
        <w:rPr/>
        <w:t>are</w:t>
      </w:r>
      <w:r>
        <w:rPr>
          <w:spacing w:val="-16"/>
        </w:rPr>
        <w:t> </w:t>
      </w:r>
      <w:r>
        <w:rPr/>
        <w:t>demineralised</w:t>
      </w:r>
      <w:r>
        <w:rPr>
          <w:spacing w:val="-12"/>
        </w:rPr>
        <w:t> </w:t>
      </w:r>
      <w:r>
        <w:rPr/>
        <w:t>–</w:t>
      </w:r>
      <w:r>
        <w:rPr>
          <w:spacing w:val="-15"/>
        </w:rPr>
        <w:t> </w:t>
      </w:r>
      <w:r>
        <w:rPr/>
        <w:t>something conventional</w:t>
      </w:r>
      <w:r>
        <w:rPr>
          <w:spacing w:val="-18"/>
        </w:rPr>
        <w:t> </w:t>
      </w:r>
      <w:r>
        <w:rPr/>
        <w:t>medicine</w:t>
      </w:r>
      <w:r>
        <w:rPr>
          <w:spacing w:val="-16"/>
        </w:rPr>
        <w:t> </w:t>
      </w:r>
      <w:r>
        <w:rPr/>
        <w:t>likes</w:t>
      </w:r>
      <w:r>
        <w:rPr>
          <w:spacing w:val="-16"/>
        </w:rPr>
        <w:t> </w:t>
      </w:r>
      <w:r>
        <w:rPr/>
        <w:t>to</w:t>
      </w:r>
      <w:r>
        <w:rPr>
          <w:spacing w:val="-16"/>
        </w:rPr>
        <w:t> </w:t>
      </w:r>
      <w:r>
        <w:rPr/>
        <w:t>refer</w:t>
      </w:r>
      <w:r>
        <w:rPr>
          <w:spacing w:val="-15"/>
        </w:rPr>
        <w:t> </w:t>
      </w:r>
      <w:r>
        <w:rPr/>
        <w:t>to</w:t>
      </w:r>
      <w:r>
        <w:rPr>
          <w:spacing w:val="-16"/>
        </w:rPr>
        <w:t> </w:t>
      </w:r>
      <w:r>
        <w:rPr/>
        <w:t>as</w:t>
      </w:r>
      <w:r>
        <w:rPr>
          <w:spacing w:val="-16"/>
        </w:rPr>
        <w:t> </w:t>
      </w:r>
      <w:r>
        <w:rPr/>
        <w:t>‘</w:t>
      </w:r>
      <w:r>
        <w:rPr>
          <w:i/>
        </w:rPr>
        <w:t>irreversible</w:t>
      </w:r>
      <w:r>
        <w:rPr>
          <w:i/>
          <w:spacing w:val="-17"/>
        </w:rPr>
        <w:t> </w:t>
      </w:r>
      <w:r>
        <w:rPr>
          <w:i/>
        </w:rPr>
        <w:t>ageing</w:t>
      </w:r>
      <w:r>
        <w:rPr/>
        <w:t>’.</w:t>
      </w:r>
      <w:r>
        <w:rPr>
          <w:spacing w:val="-14"/>
        </w:rPr>
        <w:t> </w:t>
      </w:r>
      <w:r>
        <w:rPr/>
        <w:t>However,</w:t>
      </w:r>
      <w:r>
        <w:rPr>
          <w:spacing w:val="-15"/>
        </w:rPr>
        <w:t> </w:t>
      </w:r>
      <w:r>
        <w:rPr/>
        <w:t>it</w:t>
      </w:r>
      <w:r>
        <w:rPr>
          <w:spacing w:val="-18"/>
        </w:rPr>
        <w:t> </w:t>
      </w:r>
      <w:r>
        <w:rPr/>
        <w:t>is</w:t>
      </w:r>
      <w:r>
        <w:rPr>
          <w:spacing w:val="-16"/>
        </w:rPr>
        <w:t> </w:t>
      </w:r>
      <w:r>
        <w:rPr/>
        <w:t>really a</w:t>
      </w:r>
      <w:r>
        <w:rPr>
          <w:spacing w:val="-11"/>
        </w:rPr>
        <w:t> </w:t>
      </w:r>
      <w:r>
        <w:rPr/>
        <w:t>degenerative</w:t>
      </w:r>
      <w:r>
        <w:rPr>
          <w:spacing w:val="-11"/>
        </w:rPr>
        <w:t> </w:t>
      </w:r>
      <w:r>
        <w:rPr/>
        <w:t>process</w:t>
      </w:r>
      <w:r>
        <w:rPr>
          <w:spacing w:val="-9"/>
        </w:rPr>
        <w:t> </w:t>
      </w:r>
      <w:r>
        <w:rPr/>
        <w:t>due</w:t>
      </w:r>
      <w:r>
        <w:rPr>
          <w:spacing w:val="-12"/>
        </w:rPr>
        <w:t> </w:t>
      </w:r>
      <w:r>
        <w:rPr/>
        <w:t>to</w:t>
      </w:r>
      <w:r>
        <w:rPr>
          <w:spacing w:val="-10"/>
        </w:rPr>
        <w:t> </w:t>
      </w:r>
      <w:r>
        <w:rPr/>
        <w:t>acidification,</w:t>
      </w:r>
      <w:r>
        <w:rPr>
          <w:spacing w:val="-9"/>
        </w:rPr>
        <w:t> </w:t>
      </w:r>
      <w:r>
        <w:rPr/>
        <w:t>toxification</w:t>
      </w:r>
      <w:r>
        <w:rPr>
          <w:spacing w:val="-10"/>
        </w:rPr>
        <w:t> </w:t>
      </w:r>
      <w:r>
        <w:rPr/>
        <w:t>and</w:t>
      </w:r>
      <w:r>
        <w:rPr>
          <w:spacing w:val="-10"/>
        </w:rPr>
        <w:t> </w:t>
      </w:r>
      <w:r>
        <w:rPr/>
        <w:t>demineralisation</w:t>
      </w:r>
      <w:r>
        <w:rPr>
          <w:spacing w:val="-7"/>
        </w:rPr>
        <w:t> </w:t>
      </w:r>
      <w:r>
        <w:rPr/>
        <w:t>– a process on which we can have a proportional</w:t>
      </w:r>
      <w:r>
        <w:rPr>
          <w:spacing w:val="-10"/>
        </w:rPr>
        <w:t> </w:t>
      </w:r>
      <w:r>
        <w:rPr/>
        <w:t>influence!</w:t>
      </w:r>
    </w:p>
    <w:p>
      <w:pPr>
        <w:pStyle w:val="Heading1"/>
        <w:ind w:left="616"/>
      </w:pPr>
      <w:r>
        <w:rPr/>
        <w:t>Menopausal complaints</w:t>
      </w:r>
    </w:p>
    <w:p>
      <w:pPr>
        <w:pStyle w:val="BodyText"/>
        <w:spacing w:line="276" w:lineRule="auto" w:before="299"/>
        <w:ind w:left="616" w:right="138"/>
        <w:jc w:val="both"/>
      </w:pPr>
      <w:r>
        <w:rPr/>
        <w:t>Every woman knows the unpleasant effects of menopause: Weight gain, vari- cose veins, hair loss, osteoporosis (bone loss), rheumatism and others.</w:t>
      </w:r>
    </w:p>
    <w:p>
      <w:pPr>
        <w:pStyle w:val="BodyText"/>
        <w:spacing w:line="276" w:lineRule="auto" w:before="242"/>
        <w:ind w:left="616" w:right="134"/>
        <w:jc w:val="both"/>
      </w:pPr>
      <w:r>
        <w:rPr/>
        <w:t>However, very few make the connection between this and acidification of the organism! What has happened?</w:t>
      </w:r>
    </w:p>
    <w:p>
      <w:pPr>
        <w:pStyle w:val="BodyText"/>
        <w:spacing w:line="276" w:lineRule="auto" w:before="238"/>
        <w:ind w:left="616" w:right="135"/>
        <w:jc w:val="both"/>
      </w:pPr>
      <w:r>
        <w:rPr/>
        <w:t>The</w:t>
      </w:r>
      <w:r>
        <w:rPr>
          <w:spacing w:val="-22"/>
        </w:rPr>
        <w:t> </w:t>
      </w:r>
      <w:r>
        <w:rPr/>
        <w:t>monthly</w:t>
      </w:r>
      <w:r>
        <w:rPr>
          <w:spacing w:val="-25"/>
        </w:rPr>
        <w:t> </w:t>
      </w:r>
      <w:r>
        <w:rPr/>
        <w:t>period</w:t>
      </w:r>
      <w:r>
        <w:rPr>
          <w:spacing w:val="-22"/>
        </w:rPr>
        <w:t> </w:t>
      </w:r>
      <w:r>
        <w:rPr/>
        <w:t>in</w:t>
      </w:r>
      <w:r>
        <w:rPr>
          <w:spacing w:val="-21"/>
        </w:rPr>
        <w:t> </w:t>
      </w:r>
      <w:r>
        <w:rPr/>
        <w:t>women</w:t>
      </w:r>
      <w:r>
        <w:rPr>
          <w:spacing w:val="-23"/>
        </w:rPr>
        <w:t> </w:t>
      </w:r>
      <w:r>
        <w:rPr/>
        <w:t>represents</w:t>
      </w:r>
      <w:r>
        <w:rPr>
          <w:spacing w:val="-24"/>
        </w:rPr>
        <w:t> </w:t>
      </w:r>
      <w:r>
        <w:rPr/>
        <w:t>an</w:t>
      </w:r>
      <w:r>
        <w:rPr>
          <w:spacing w:val="-22"/>
        </w:rPr>
        <w:t> </w:t>
      </w:r>
      <w:r>
        <w:rPr/>
        <w:t>extremely</w:t>
      </w:r>
      <w:r>
        <w:rPr>
          <w:spacing w:val="-21"/>
        </w:rPr>
        <w:t> </w:t>
      </w:r>
      <w:r>
        <w:rPr/>
        <w:t>efficient</w:t>
      </w:r>
      <w:r>
        <w:rPr>
          <w:spacing w:val="-23"/>
        </w:rPr>
        <w:t> </w:t>
      </w:r>
      <w:r>
        <w:rPr/>
        <w:t>deacidification mechanism;</w:t>
      </w:r>
      <w:r>
        <w:rPr>
          <w:spacing w:val="-22"/>
        </w:rPr>
        <w:t> </w:t>
      </w:r>
      <w:r>
        <w:rPr/>
        <w:t>when</w:t>
      </w:r>
      <w:r>
        <w:rPr>
          <w:spacing w:val="-22"/>
        </w:rPr>
        <w:t> </w:t>
      </w:r>
      <w:r>
        <w:rPr/>
        <w:t>periods</w:t>
      </w:r>
      <w:r>
        <w:rPr>
          <w:spacing w:val="-24"/>
        </w:rPr>
        <w:t> </w:t>
      </w:r>
      <w:r>
        <w:rPr/>
        <w:t>suddenly</w:t>
      </w:r>
      <w:r>
        <w:rPr>
          <w:spacing w:val="-22"/>
        </w:rPr>
        <w:t> </w:t>
      </w:r>
      <w:r>
        <w:rPr/>
        <w:t>stop</w:t>
      </w:r>
      <w:r>
        <w:rPr>
          <w:spacing w:val="-24"/>
        </w:rPr>
        <w:t> </w:t>
      </w:r>
      <w:r>
        <w:rPr/>
        <w:t>during</w:t>
      </w:r>
      <w:r>
        <w:rPr>
          <w:spacing w:val="-24"/>
        </w:rPr>
        <w:t> </w:t>
      </w:r>
      <w:r>
        <w:rPr/>
        <w:t>the</w:t>
      </w:r>
      <w:r>
        <w:rPr>
          <w:spacing w:val="-21"/>
        </w:rPr>
        <w:t> </w:t>
      </w:r>
      <w:r>
        <w:rPr/>
        <w:t>menopause,</w:t>
      </w:r>
      <w:r>
        <w:rPr>
          <w:spacing w:val="-21"/>
        </w:rPr>
        <w:t> </w:t>
      </w:r>
      <w:r>
        <w:rPr/>
        <w:t>the</w:t>
      </w:r>
      <w:r>
        <w:rPr>
          <w:spacing w:val="-22"/>
        </w:rPr>
        <w:t> </w:t>
      </w:r>
      <w:r>
        <w:rPr/>
        <w:t>body</w:t>
      </w:r>
      <w:r>
        <w:rPr>
          <w:spacing w:val="-25"/>
        </w:rPr>
        <w:t> </w:t>
      </w:r>
      <w:r>
        <w:rPr/>
        <w:t>must remove</w:t>
      </w:r>
      <w:r>
        <w:rPr>
          <w:spacing w:val="-14"/>
        </w:rPr>
        <w:t> </w:t>
      </w:r>
      <w:r>
        <w:rPr/>
        <w:t>acids</w:t>
      </w:r>
      <w:r>
        <w:rPr>
          <w:spacing w:val="-14"/>
        </w:rPr>
        <w:t> </w:t>
      </w:r>
      <w:r>
        <w:rPr/>
        <w:t>in</w:t>
      </w:r>
      <w:r>
        <w:rPr>
          <w:spacing w:val="-16"/>
        </w:rPr>
        <w:t> </w:t>
      </w:r>
      <w:r>
        <w:rPr/>
        <w:t>a</w:t>
      </w:r>
      <w:r>
        <w:rPr>
          <w:spacing w:val="-15"/>
        </w:rPr>
        <w:t> </w:t>
      </w:r>
      <w:r>
        <w:rPr/>
        <w:t>different</w:t>
      </w:r>
      <w:r>
        <w:rPr>
          <w:spacing w:val="-13"/>
        </w:rPr>
        <w:t> </w:t>
      </w:r>
      <w:r>
        <w:rPr/>
        <w:t>way.</w:t>
      </w:r>
      <w:r>
        <w:rPr>
          <w:spacing w:val="-13"/>
        </w:rPr>
        <w:t> </w:t>
      </w:r>
      <w:r>
        <w:rPr/>
        <w:t>It</w:t>
      </w:r>
      <w:r>
        <w:rPr>
          <w:spacing w:val="-15"/>
        </w:rPr>
        <w:t> </w:t>
      </w:r>
      <w:r>
        <w:rPr/>
        <w:t>taps</w:t>
      </w:r>
      <w:r>
        <w:rPr>
          <w:spacing w:val="-13"/>
        </w:rPr>
        <w:t> </w:t>
      </w:r>
      <w:r>
        <w:rPr/>
        <w:t>into</w:t>
      </w:r>
      <w:r>
        <w:rPr>
          <w:spacing w:val="-14"/>
        </w:rPr>
        <w:t> </w:t>
      </w:r>
      <w:r>
        <w:rPr/>
        <w:t>its</w:t>
      </w:r>
      <w:r>
        <w:rPr>
          <w:spacing w:val="-14"/>
        </w:rPr>
        <w:t> </w:t>
      </w:r>
      <w:r>
        <w:rPr/>
        <w:t>own</w:t>
      </w:r>
      <w:r>
        <w:rPr>
          <w:spacing w:val="-13"/>
        </w:rPr>
        <w:t> </w:t>
      </w:r>
      <w:r>
        <w:rPr/>
        <w:t>minerals</w:t>
      </w:r>
      <w:r>
        <w:rPr>
          <w:spacing w:val="-14"/>
        </w:rPr>
        <w:t> </w:t>
      </w:r>
      <w:r>
        <w:rPr/>
        <w:t>for</w:t>
      </w:r>
      <w:r>
        <w:rPr>
          <w:spacing w:val="-15"/>
        </w:rPr>
        <w:t> </w:t>
      </w:r>
      <w:r>
        <w:rPr/>
        <w:t>neutralisation. It now stores an increased level of acids in the tissues, which leads to</w:t>
      </w:r>
      <w:r>
        <w:rPr>
          <w:spacing w:val="-49"/>
        </w:rPr>
        <w:t> </w:t>
      </w:r>
      <w:r>
        <w:rPr/>
        <w:t>rheuma- tism,</w:t>
      </w:r>
      <w:r>
        <w:rPr>
          <w:spacing w:val="-23"/>
        </w:rPr>
        <w:t> </w:t>
      </w:r>
      <w:r>
        <w:rPr/>
        <w:t>it</w:t>
      </w:r>
      <w:r>
        <w:rPr>
          <w:spacing w:val="-25"/>
        </w:rPr>
        <w:t> </w:t>
      </w:r>
      <w:r>
        <w:rPr/>
        <w:t>draws</w:t>
      </w:r>
      <w:r>
        <w:rPr>
          <w:spacing w:val="-23"/>
        </w:rPr>
        <w:t> </w:t>
      </w:r>
      <w:r>
        <w:rPr/>
        <w:t>on</w:t>
      </w:r>
      <w:r>
        <w:rPr>
          <w:spacing w:val="-25"/>
        </w:rPr>
        <w:t> </w:t>
      </w:r>
      <w:r>
        <w:rPr/>
        <w:t>the</w:t>
      </w:r>
      <w:r>
        <w:rPr>
          <w:spacing w:val="-23"/>
        </w:rPr>
        <w:t> </w:t>
      </w:r>
      <w:r>
        <w:rPr/>
        <w:t>scalp,</w:t>
      </w:r>
      <w:r>
        <w:rPr>
          <w:spacing w:val="-22"/>
        </w:rPr>
        <w:t> </w:t>
      </w:r>
      <w:r>
        <w:rPr/>
        <w:t>leading</w:t>
      </w:r>
      <w:r>
        <w:rPr>
          <w:spacing w:val="-23"/>
        </w:rPr>
        <w:t> </w:t>
      </w:r>
      <w:r>
        <w:rPr/>
        <w:t>to</w:t>
      </w:r>
      <w:r>
        <w:rPr>
          <w:spacing w:val="-23"/>
        </w:rPr>
        <w:t> </w:t>
      </w:r>
      <w:r>
        <w:rPr/>
        <w:t>hair</w:t>
      </w:r>
      <w:r>
        <w:rPr>
          <w:spacing w:val="-23"/>
        </w:rPr>
        <w:t> </w:t>
      </w:r>
      <w:r>
        <w:rPr/>
        <w:t>loss,</w:t>
      </w:r>
      <w:r>
        <w:rPr>
          <w:spacing w:val="-23"/>
        </w:rPr>
        <w:t> </w:t>
      </w:r>
      <w:r>
        <w:rPr/>
        <w:t>it</w:t>
      </w:r>
      <w:r>
        <w:rPr>
          <w:spacing w:val="-24"/>
        </w:rPr>
        <w:t> </w:t>
      </w:r>
      <w:r>
        <w:rPr/>
        <w:t>takes</w:t>
      </w:r>
      <w:r>
        <w:rPr>
          <w:spacing w:val="-24"/>
        </w:rPr>
        <w:t> </w:t>
      </w:r>
      <w:r>
        <w:rPr/>
        <w:t>minerals</w:t>
      </w:r>
      <w:r>
        <w:rPr>
          <w:spacing w:val="-23"/>
        </w:rPr>
        <w:t> </w:t>
      </w:r>
      <w:r>
        <w:rPr/>
        <w:t>from</w:t>
      </w:r>
      <w:r>
        <w:rPr>
          <w:spacing w:val="-23"/>
        </w:rPr>
        <w:t> </w:t>
      </w:r>
      <w:r>
        <w:rPr/>
        <w:t>the</w:t>
      </w:r>
      <w:r>
        <w:rPr>
          <w:spacing w:val="-23"/>
        </w:rPr>
        <w:t> </w:t>
      </w:r>
      <w:r>
        <w:rPr/>
        <w:t>bones, causing osteoporosis, it sucks minerals from the blood vessels leading to cramps , it tries to neutralise acids with fats, which results in weight</w:t>
      </w:r>
      <w:r>
        <w:rPr>
          <w:spacing w:val="-12"/>
        </w:rPr>
        <w:t> </w:t>
      </w:r>
      <w:r>
        <w:rPr/>
        <w:t>gain.</w:t>
      </w:r>
    </w:p>
    <w:p>
      <w:pPr>
        <w:pStyle w:val="Heading1"/>
        <w:spacing w:before="223"/>
        <w:ind w:left="616"/>
      </w:pPr>
      <w:r>
        <w:rPr/>
        <w:t>Soft-tissue rheumatism</w:t>
      </w:r>
    </w:p>
    <w:p>
      <w:pPr>
        <w:pStyle w:val="BodyText"/>
        <w:spacing w:line="276" w:lineRule="auto" w:before="300"/>
        <w:ind w:left="616" w:right="134"/>
        <w:jc w:val="both"/>
      </w:pPr>
      <w:r>
        <w:rPr/>
        <w:t>Soft-tissue</w:t>
      </w:r>
      <w:r>
        <w:rPr>
          <w:spacing w:val="-13"/>
        </w:rPr>
        <w:t> </w:t>
      </w:r>
      <w:r>
        <w:rPr/>
        <w:t>rheumatism</w:t>
      </w:r>
      <w:r>
        <w:rPr>
          <w:spacing w:val="-11"/>
        </w:rPr>
        <w:t> </w:t>
      </w:r>
      <w:r>
        <w:rPr/>
        <w:t>is</w:t>
      </w:r>
      <w:r>
        <w:rPr>
          <w:spacing w:val="-13"/>
        </w:rPr>
        <w:t> </w:t>
      </w:r>
      <w:r>
        <w:rPr/>
        <w:t>a</w:t>
      </w:r>
      <w:r>
        <w:rPr>
          <w:spacing w:val="-13"/>
        </w:rPr>
        <w:t> </w:t>
      </w:r>
      <w:r>
        <w:rPr/>
        <w:t>further</w:t>
      </w:r>
      <w:r>
        <w:rPr>
          <w:spacing w:val="-10"/>
        </w:rPr>
        <w:t> </w:t>
      </w:r>
      <w:r>
        <w:rPr/>
        <w:t>disease</w:t>
      </w:r>
      <w:r>
        <w:rPr>
          <w:spacing w:val="-12"/>
        </w:rPr>
        <w:t> </w:t>
      </w:r>
      <w:r>
        <w:rPr/>
        <w:t>which</w:t>
      </w:r>
      <w:r>
        <w:rPr>
          <w:spacing w:val="-16"/>
        </w:rPr>
        <w:t> </w:t>
      </w:r>
      <w:r>
        <w:rPr/>
        <w:t>can</w:t>
      </w:r>
      <w:r>
        <w:rPr>
          <w:spacing w:val="-11"/>
        </w:rPr>
        <w:t> </w:t>
      </w:r>
      <w:r>
        <w:rPr/>
        <w:t>generally</w:t>
      </w:r>
      <w:r>
        <w:rPr>
          <w:spacing w:val="-11"/>
        </w:rPr>
        <w:t> </w:t>
      </w:r>
      <w:r>
        <w:rPr/>
        <w:t>be</w:t>
      </w:r>
      <w:r>
        <w:rPr>
          <w:spacing w:val="-17"/>
        </w:rPr>
        <w:t> </w:t>
      </w:r>
      <w:r>
        <w:rPr/>
        <w:t>attributed</w:t>
      </w:r>
      <w:r>
        <w:rPr>
          <w:spacing w:val="-13"/>
        </w:rPr>
        <w:t> </w:t>
      </w:r>
      <w:r>
        <w:rPr/>
        <w:t>to acidification.</w:t>
      </w:r>
      <w:r>
        <w:rPr>
          <w:spacing w:val="-20"/>
        </w:rPr>
        <w:t> </w:t>
      </w:r>
      <w:r>
        <w:rPr/>
        <w:t>Acids</w:t>
      </w:r>
      <w:r>
        <w:rPr>
          <w:spacing w:val="-21"/>
        </w:rPr>
        <w:t> </w:t>
      </w:r>
      <w:r>
        <w:rPr/>
        <w:t>are</w:t>
      </w:r>
      <w:r>
        <w:rPr>
          <w:spacing w:val="-22"/>
        </w:rPr>
        <w:t> </w:t>
      </w:r>
      <w:r>
        <w:rPr/>
        <w:t>increasingly</w:t>
      </w:r>
      <w:r>
        <w:rPr>
          <w:spacing w:val="-22"/>
        </w:rPr>
        <w:t> </w:t>
      </w:r>
      <w:r>
        <w:rPr/>
        <w:t>stored</w:t>
      </w:r>
      <w:r>
        <w:rPr>
          <w:spacing w:val="-24"/>
        </w:rPr>
        <w:t> </w:t>
      </w:r>
      <w:r>
        <w:rPr/>
        <w:t>in</w:t>
      </w:r>
      <w:r>
        <w:rPr>
          <w:spacing w:val="-20"/>
        </w:rPr>
        <w:t> </w:t>
      </w:r>
      <w:r>
        <w:rPr/>
        <w:t>the</w:t>
      </w:r>
      <w:r>
        <w:rPr>
          <w:spacing w:val="-21"/>
        </w:rPr>
        <w:t> </w:t>
      </w:r>
      <w:r>
        <w:rPr/>
        <w:t>connective</w:t>
      </w:r>
      <w:r>
        <w:rPr>
          <w:spacing w:val="-21"/>
        </w:rPr>
        <w:t> </w:t>
      </w:r>
      <w:r>
        <w:rPr/>
        <w:t>tissues</w:t>
      </w:r>
      <w:r>
        <w:rPr>
          <w:spacing w:val="-19"/>
        </w:rPr>
        <w:t> </w:t>
      </w:r>
      <w:r>
        <w:rPr/>
        <w:t>and</w:t>
      </w:r>
      <w:r>
        <w:rPr>
          <w:spacing w:val="-23"/>
        </w:rPr>
        <w:t> </w:t>
      </w:r>
      <w:r>
        <w:rPr/>
        <w:t>initially transformed into salts. It is these salts which trigger inflammation within the soft</w:t>
      </w:r>
      <w:r>
        <w:rPr>
          <w:spacing w:val="-2"/>
        </w:rPr>
        <w:t> </w:t>
      </w:r>
      <w:r>
        <w:rPr/>
        <w:t>tissues.</w:t>
      </w:r>
    </w:p>
    <w:p>
      <w:pPr>
        <w:spacing w:after="0" w:line="276" w:lineRule="auto"/>
        <w:jc w:val="both"/>
        <w:sectPr>
          <w:footerReference w:type="default" r:id="rId503"/>
          <w:pgSz w:w="14270" w:h="16850"/>
          <w:pgMar w:footer="1891" w:header="0" w:top="1340" w:bottom="2080" w:left="800" w:right="1280"/>
          <w:pgNumType w:start="1840"/>
        </w:sectPr>
      </w:pPr>
    </w:p>
    <w:p>
      <w:pPr>
        <w:pStyle w:val="Heading2"/>
        <w:spacing w:before="74"/>
        <w:ind w:left="616"/>
      </w:pPr>
      <w:r>
        <w:rPr/>
        <w:t>Teeth</w:t>
      </w:r>
    </w:p>
    <w:p>
      <w:pPr>
        <w:pStyle w:val="BodyText"/>
        <w:spacing w:line="276" w:lineRule="auto" w:before="305"/>
        <w:ind w:left="616" w:right="134"/>
        <w:jc w:val="both"/>
      </w:pPr>
      <w:r>
        <w:rPr/>
        <w:t>While we only use teeth to grind up food, the organism sees a further emer- gency function, just as it does with bones: that is a preferential mineral sub- stance</w:t>
      </w:r>
      <w:r>
        <w:rPr>
          <w:spacing w:val="-14"/>
        </w:rPr>
        <w:t> </w:t>
      </w:r>
      <w:r>
        <w:rPr/>
        <w:t>deposit</w:t>
      </w:r>
      <w:r>
        <w:rPr>
          <w:spacing w:val="-14"/>
        </w:rPr>
        <w:t> </w:t>
      </w:r>
      <w:r>
        <w:rPr/>
        <w:t>which</w:t>
      </w:r>
      <w:r>
        <w:rPr>
          <w:spacing w:val="-12"/>
        </w:rPr>
        <w:t> </w:t>
      </w:r>
      <w:r>
        <w:rPr/>
        <w:t>can</w:t>
      </w:r>
      <w:r>
        <w:rPr>
          <w:spacing w:val="-12"/>
        </w:rPr>
        <w:t> </w:t>
      </w:r>
      <w:r>
        <w:rPr/>
        <w:t>be</w:t>
      </w:r>
      <w:r>
        <w:rPr>
          <w:spacing w:val="-13"/>
        </w:rPr>
        <w:t> </w:t>
      </w:r>
      <w:r>
        <w:rPr/>
        <w:t>tapped</w:t>
      </w:r>
      <w:r>
        <w:rPr>
          <w:spacing w:val="-14"/>
        </w:rPr>
        <w:t> </w:t>
      </w:r>
      <w:r>
        <w:rPr/>
        <w:t>into</w:t>
      </w:r>
      <w:r>
        <w:rPr>
          <w:spacing w:val="-14"/>
        </w:rPr>
        <w:t> </w:t>
      </w:r>
      <w:r>
        <w:rPr/>
        <w:t>if</w:t>
      </w:r>
      <w:r>
        <w:rPr>
          <w:spacing w:val="-14"/>
        </w:rPr>
        <w:t> </w:t>
      </w:r>
      <w:r>
        <w:rPr/>
        <w:t>there</w:t>
      </w:r>
      <w:r>
        <w:rPr>
          <w:spacing w:val="-13"/>
        </w:rPr>
        <w:t> </w:t>
      </w:r>
      <w:r>
        <w:rPr/>
        <w:t>are</w:t>
      </w:r>
      <w:r>
        <w:rPr>
          <w:spacing w:val="-13"/>
        </w:rPr>
        <w:t> </w:t>
      </w:r>
      <w:r>
        <w:rPr/>
        <w:t>insufficient</w:t>
      </w:r>
      <w:r>
        <w:rPr>
          <w:spacing w:val="-13"/>
        </w:rPr>
        <w:t> </w:t>
      </w:r>
      <w:r>
        <w:rPr/>
        <w:t>minerals</w:t>
      </w:r>
      <w:r>
        <w:rPr>
          <w:spacing w:val="-13"/>
        </w:rPr>
        <w:t> </w:t>
      </w:r>
      <w:r>
        <w:rPr/>
        <w:t>in</w:t>
      </w:r>
      <w:r>
        <w:rPr>
          <w:spacing w:val="-13"/>
        </w:rPr>
        <w:t> </w:t>
      </w:r>
      <w:r>
        <w:rPr/>
        <w:t>the diet in order to neutralise the harmful excess body</w:t>
      </w:r>
      <w:r>
        <w:rPr>
          <w:spacing w:val="-6"/>
        </w:rPr>
        <w:t> </w:t>
      </w:r>
      <w:r>
        <w:rPr/>
        <w:t>acids.</w:t>
      </w:r>
    </w:p>
    <w:p>
      <w:pPr>
        <w:pStyle w:val="BodyText"/>
        <w:spacing w:line="276" w:lineRule="auto" w:before="239"/>
        <w:ind w:left="616" w:right="139"/>
        <w:jc w:val="both"/>
      </w:pPr>
      <w:r>
        <w:rPr/>
        <w:t>Caries,</w:t>
      </w:r>
      <w:r>
        <w:rPr>
          <w:spacing w:val="-19"/>
        </w:rPr>
        <w:t> </w:t>
      </w:r>
      <w:r>
        <w:rPr/>
        <w:t>periodontitis</w:t>
      </w:r>
      <w:r>
        <w:rPr>
          <w:spacing w:val="-17"/>
        </w:rPr>
        <w:t> </w:t>
      </w:r>
      <w:r>
        <w:rPr/>
        <w:t>and</w:t>
      </w:r>
      <w:r>
        <w:rPr>
          <w:spacing w:val="-18"/>
        </w:rPr>
        <w:t> </w:t>
      </w:r>
      <w:r>
        <w:rPr/>
        <w:t>bleeding</w:t>
      </w:r>
      <w:r>
        <w:rPr>
          <w:spacing w:val="-18"/>
        </w:rPr>
        <w:t> </w:t>
      </w:r>
      <w:r>
        <w:rPr/>
        <w:t>gums</w:t>
      </w:r>
      <w:r>
        <w:rPr>
          <w:spacing w:val="-19"/>
        </w:rPr>
        <w:t> </w:t>
      </w:r>
      <w:r>
        <w:rPr/>
        <w:t>are</w:t>
      </w:r>
      <w:r>
        <w:rPr>
          <w:spacing w:val="-18"/>
        </w:rPr>
        <w:t> </w:t>
      </w:r>
      <w:r>
        <w:rPr/>
        <w:t>the</w:t>
      </w:r>
      <w:r>
        <w:rPr>
          <w:spacing w:val="-17"/>
        </w:rPr>
        <w:t> </w:t>
      </w:r>
      <w:r>
        <w:rPr/>
        <w:t>results</w:t>
      </w:r>
      <w:r>
        <w:rPr>
          <w:spacing w:val="-19"/>
        </w:rPr>
        <w:t> </w:t>
      </w:r>
      <w:r>
        <w:rPr/>
        <w:t>of</w:t>
      </w:r>
      <w:r>
        <w:rPr>
          <w:spacing w:val="-18"/>
        </w:rPr>
        <w:t> </w:t>
      </w:r>
      <w:r>
        <w:rPr/>
        <w:t>this</w:t>
      </w:r>
      <w:r>
        <w:rPr>
          <w:spacing w:val="-18"/>
        </w:rPr>
        <w:t> </w:t>
      </w:r>
      <w:r>
        <w:rPr/>
        <w:t>demineralisation. Furthermore,</w:t>
      </w:r>
      <w:r>
        <w:rPr>
          <w:spacing w:val="-14"/>
        </w:rPr>
        <w:t> </w:t>
      </w:r>
      <w:r>
        <w:rPr/>
        <w:t>the</w:t>
      </w:r>
      <w:r>
        <w:rPr>
          <w:spacing w:val="-15"/>
        </w:rPr>
        <w:t> </w:t>
      </w:r>
      <w:r>
        <w:rPr/>
        <w:t>acidic</w:t>
      </w:r>
      <w:r>
        <w:rPr>
          <w:spacing w:val="-15"/>
        </w:rPr>
        <w:t> </w:t>
      </w:r>
      <w:r>
        <w:rPr/>
        <w:t>saliva</w:t>
      </w:r>
      <w:r>
        <w:rPr>
          <w:spacing w:val="-15"/>
        </w:rPr>
        <w:t> </w:t>
      </w:r>
      <w:r>
        <w:rPr/>
        <w:t>continually</w:t>
      </w:r>
      <w:r>
        <w:rPr>
          <w:spacing w:val="-16"/>
        </w:rPr>
        <w:t> </w:t>
      </w:r>
      <w:r>
        <w:rPr/>
        <w:t>damages</w:t>
      </w:r>
      <w:r>
        <w:rPr>
          <w:spacing w:val="-13"/>
        </w:rPr>
        <w:t> </w:t>
      </w:r>
      <w:r>
        <w:rPr/>
        <w:t>our</w:t>
      </w:r>
      <w:r>
        <w:rPr>
          <w:spacing w:val="-15"/>
        </w:rPr>
        <w:t> </w:t>
      </w:r>
      <w:r>
        <w:rPr/>
        <w:t>teeth,</w:t>
      </w:r>
      <w:r>
        <w:rPr>
          <w:spacing w:val="-13"/>
        </w:rPr>
        <w:t> </w:t>
      </w:r>
      <w:r>
        <w:rPr/>
        <w:t>playing</w:t>
      </w:r>
      <w:r>
        <w:rPr>
          <w:spacing w:val="-14"/>
        </w:rPr>
        <w:t> </w:t>
      </w:r>
      <w:r>
        <w:rPr/>
        <w:t>its</w:t>
      </w:r>
      <w:r>
        <w:rPr>
          <w:spacing w:val="-14"/>
        </w:rPr>
        <w:t> </w:t>
      </w:r>
      <w:r>
        <w:rPr/>
        <w:t>part</w:t>
      </w:r>
      <w:r>
        <w:rPr>
          <w:spacing w:val="-15"/>
        </w:rPr>
        <w:t> </w:t>
      </w:r>
      <w:r>
        <w:rPr/>
        <w:t>in their destruction.</w:t>
      </w:r>
    </w:p>
    <w:p>
      <w:pPr>
        <w:pStyle w:val="BodyText"/>
        <w:spacing w:line="276" w:lineRule="auto" w:before="242"/>
        <w:ind w:left="616" w:right="135"/>
        <w:jc w:val="both"/>
      </w:pPr>
      <w:r>
        <w:rPr/>
        <w:t>Acids alone can make the body very ill. If the body is not supplied with suffi- cient minerals from food to bind these acids, it is forced to turn to the body’s own</w:t>
      </w:r>
      <w:r>
        <w:rPr>
          <w:spacing w:val="-14"/>
        </w:rPr>
        <w:t> </w:t>
      </w:r>
      <w:r>
        <w:rPr/>
        <w:t>minerals.</w:t>
      </w:r>
      <w:r>
        <w:rPr>
          <w:spacing w:val="-13"/>
        </w:rPr>
        <w:t> </w:t>
      </w:r>
      <w:r>
        <w:rPr/>
        <w:t>You</w:t>
      </w:r>
      <w:r>
        <w:rPr>
          <w:spacing w:val="-14"/>
        </w:rPr>
        <w:t> </w:t>
      </w:r>
      <w:r>
        <w:rPr/>
        <w:t>can</w:t>
      </w:r>
      <w:r>
        <w:rPr>
          <w:spacing w:val="-13"/>
        </w:rPr>
        <w:t> </w:t>
      </w:r>
      <w:r>
        <w:rPr/>
        <w:t>read</w:t>
      </w:r>
      <w:r>
        <w:rPr>
          <w:spacing w:val="-14"/>
        </w:rPr>
        <w:t> </w:t>
      </w:r>
      <w:r>
        <w:rPr/>
        <w:t>about</w:t>
      </w:r>
      <w:r>
        <w:rPr>
          <w:spacing w:val="-16"/>
        </w:rPr>
        <w:t> </w:t>
      </w:r>
      <w:r>
        <w:rPr/>
        <w:t>the</w:t>
      </w:r>
      <w:r>
        <w:rPr>
          <w:spacing w:val="-12"/>
        </w:rPr>
        <w:t> </w:t>
      </w:r>
      <w:r>
        <w:rPr/>
        <w:t>diseases</w:t>
      </w:r>
      <w:r>
        <w:rPr>
          <w:spacing w:val="-13"/>
        </w:rPr>
        <w:t> </w:t>
      </w:r>
      <w:r>
        <w:rPr/>
        <w:t>this</w:t>
      </w:r>
      <w:r>
        <w:rPr>
          <w:spacing w:val="-12"/>
        </w:rPr>
        <w:t> </w:t>
      </w:r>
      <w:r>
        <w:rPr/>
        <w:t>leads</w:t>
      </w:r>
      <w:r>
        <w:rPr>
          <w:spacing w:val="-14"/>
        </w:rPr>
        <w:t> </w:t>
      </w:r>
      <w:r>
        <w:rPr/>
        <w:t>to</w:t>
      </w:r>
      <w:r>
        <w:rPr>
          <w:spacing w:val="-13"/>
        </w:rPr>
        <w:t> </w:t>
      </w:r>
      <w:r>
        <w:rPr/>
        <w:t>in</w:t>
      </w:r>
      <w:r>
        <w:rPr>
          <w:spacing w:val="-14"/>
        </w:rPr>
        <w:t> </w:t>
      </w:r>
      <w:r>
        <w:rPr/>
        <w:t>the</w:t>
      </w:r>
      <w:r>
        <w:rPr>
          <w:spacing w:val="-14"/>
        </w:rPr>
        <w:t> </w:t>
      </w:r>
      <w:r>
        <w:rPr/>
        <w:t>next</w:t>
      </w:r>
      <w:r>
        <w:rPr>
          <w:spacing w:val="-15"/>
        </w:rPr>
        <w:t> </w:t>
      </w:r>
      <w:r>
        <w:rPr/>
        <w:t>section.</w:t>
      </w:r>
    </w:p>
    <w:p>
      <w:pPr>
        <w:pStyle w:val="Heading2"/>
        <w:spacing w:before="238"/>
        <w:ind w:left="616"/>
      </w:pPr>
      <w:r>
        <w:rPr/>
        <w:t>Demineralisation diseases</w:t>
      </w:r>
    </w:p>
    <w:p>
      <w:pPr>
        <w:spacing w:line="276" w:lineRule="auto" w:before="305"/>
        <w:ind w:left="616" w:right="145" w:firstLine="0"/>
        <w:jc w:val="both"/>
        <w:rPr>
          <w:sz w:val="25"/>
        </w:rPr>
      </w:pPr>
      <w:r>
        <w:rPr>
          <w:b/>
          <w:sz w:val="38"/>
        </w:rPr>
        <w:t>External symptoms based on the mineral substance degradation ac- cording to Dr. hc. Jentschura and Lohkämper.</w:t>
      </w:r>
      <w:r>
        <w:rPr>
          <w:position w:val="9"/>
          <w:sz w:val="25"/>
        </w:rPr>
        <w:t>1041</w:t>
      </w:r>
    </w:p>
    <w:p>
      <w:pPr>
        <w:pStyle w:val="BodyText"/>
        <w:spacing w:line="276" w:lineRule="auto" w:before="241"/>
        <w:ind w:left="616" w:right="146"/>
        <w:jc w:val="both"/>
      </w:pPr>
      <w:r>
        <w:rPr/>
        <w:t>The following external symptoms give rise to an assumption of mineral sub- stance degradation:</w:t>
      </w:r>
    </w:p>
    <w:p>
      <w:pPr>
        <w:pStyle w:val="ListParagraph"/>
        <w:numPr>
          <w:ilvl w:val="0"/>
          <w:numId w:val="131"/>
        </w:numPr>
        <w:tabs>
          <w:tab w:pos="1337" w:val="left" w:leader="none"/>
        </w:tabs>
        <w:spacing w:line="240" w:lineRule="auto" w:before="199" w:after="0"/>
        <w:ind w:left="1324" w:right="0" w:hanging="708"/>
        <w:jc w:val="both"/>
        <w:rPr>
          <w:sz w:val="38"/>
        </w:rPr>
      </w:pPr>
      <w:r>
        <w:rPr>
          <w:sz w:val="38"/>
        </w:rPr>
        <w:t>Hair</w:t>
      </w:r>
      <w:r>
        <w:rPr>
          <w:spacing w:val="-1"/>
          <w:sz w:val="38"/>
        </w:rPr>
        <w:t> </w:t>
      </w:r>
      <w:r>
        <w:rPr>
          <w:sz w:val="38"/>
        </w:rPr>
        <w:t>loss</w:t>
      </w:r>
    </w:p>
    <w:p>
      <w:pPr>
        <w:pStyle w:val="BodyText"/>
        <w:rPr>
          <w:sz w:val="20"/>
        </w:rPr>
      </w:pPr>
    </w:p>
    <w:p>
      <w:pPr>
        <w:pStyle w:val="BodyText"/>
        <w:rPr>
          <w:sz w:val="20"/>
        </w:rPr>
      </w:pPr>
    </w:p>
    <w:p>
      <w:pPr>
        <w:pStyle w:val="BodyText"/>
        <w:spacing w:before="2"/>
        <w:rPr>
          <w:sz w:val="15"/>
        </w:rPr>
      </w:pPr>
      <w:r>
        <w:rPr/>
        <w:pict>
          <v:line style="position:absolute;mso-position-horizontal-relative:page;mso-position-vertical-relative:paragraph;z-index:16304;mso-wrap-distance-left:0;mso-wrap-distance-right:0" from="70.823997pt,10.913746pt" to="214.843997pt,10.913746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1041 </w:t>
      </w:r>
      <w:r>
        <w:rPr>
          <w:sz w:val="20"/>
        </w:rPr>
        <w:t>Dr. h.c. Peter Jentschura and Josef Lohkämper: Gesundheit durch Entschlackung, May 2010</w:t>
      </w:r>
    </w:p>
    <w:p>
      <w:pPr>
        <w:spacing w:after="0"/>
        <w:jc w:val="left"/>
        <w:rPr>
          <w:sz w:val="20"/>
        </w:rPr>
        <w:sectPr>
          <w:pgSz w:w="14270" w:h="16850"/>
          <w:pgMar w:header="0" w:footer="1891" w:top="1340" w:bottom="2080" w:left="800" w:right="1280"/>
        </w:sectPr>
      </w:pPr>
    </w:p>
    <w:p>
      <w:pPr>
        <w:pStyle w:val="ListParagraph"/>
        <w:numPr>
          <w:ilvl w:val="0"/>
          <w:numId w:val="131"/>
        </w:numPr>
        <w:tabs>
          <w:tab w:pos="1337" w:val="left" w:leader="none"/>
        </w:tabs>
        <w:spacing w:line="240" w:lineRule="auto" w:before="53" w:after="0"/>
        <w:ind w:left="1324" w:right="0" w:hanging="708"/>
        <w:jc w:val="both"/>
        <w:rPr>
          <w:sz w:val="38"/>
        </w:rPr>
      </w:pPr>
      <w:r>
        <w:rPr>
          <w:sz w:val="38"/>
        </w:rPr>
        <w:t>Acne</w:t>
      </w:r>
    </w:p>
    <w:p>
      <w:pPr>
        <w:pStyle w:val="ListParagraph"/>
        <w:numPr>
          <w:ilvl w:val="0"/>
          <w:numId w:val="131"/>
        </w:numPr>
        <w:tabs>
          <w:tab w:pos="1337" w:val="left" w:leader="none"/>
        </w:tabs>
        <w:spacing w:line="240" w:lineRule="auto" w:before="186" w:after="0"/>
        <w:ind w:left="1324" w:right="0" w:hanging="708"/>
        <w:jc w:val="both"/>
        <w:rPr>
          <w:sz w:val="38"/>
        </w:rPr>
      </w:pPr>
      <w:r>
        <w:rPr>
          <w:sz w:val="38"/>
        </w:rPr>
        <w:t>Pale, wrinkled</w:t>
      </w:r>
      <w:r>
        <w:rPr>
          <w:spacing w:val="1"/>
          <w:sz w:val="38"/>
        </w:rPr>
        <w:t> </w:t>
      </w:r>
      <w:r>
        <w:rPr>
          <w:sz w:val="38"/>
        </w:rPr>
        <w:t>skin</w:t>
      </w:r>
    </w:p>
    <w:p>
      <w:pPr>
        <w:pStyle w:val="ListParagraph"/>
        <w:numPr>
          <w:ilvl w:val="0"/>
          <w:numId w:val="131"/>
        </w:numPr>
        <w:tabs>
          <w:tab w:pos="1337" w:val="left" w:leader="none"/>
        </w:tabs>
        <w:spacing w:line="240" w:lineRule="auto" w:before="184" w:after="0"/>
        <w:ind w:left="1324" w:right="0" w:hanging="708"/>
        <w:jc w:val="both"/>
        <w:rPr>
          <w:sz w:val="38"/>
        </w:rPr>
      </w:pPr>
      <w:r>
        <w:rPr>
          <w:sz w:val="38"/>
        </w:rPr>
        <w:t>Bags under the</w:t>
      </w:r>
      <w:r>
        <w:rPr>
          <w:spacing w:val="1"/>
          <w:sz w:val="38"/>
        </w:rPr>
        <w:t> </w:t>
      </w:r>
      <w:r>
        <w:rPr>
          <w:sz w:val="38"/>
        </w:rPr>
        <w:t>eyes</w:t>
      </w:r>
    </w:p>
    <w:p>
      <w:pPr>
        <w:pStyle w:val="ListParagraph"/>
        <w:numPr>
          <w:ilvl w:val="0"/>
          <w:numId w:val="131"/>
        </w:numPr>
        <w:tabs>
          <w:tab w:pos="1337" w:val="left" w:leader="none"/>
        </w:tabs>
        <w:spacing w:line="240" w:lineRule="auto" w:before="184" w:after="0"/>
        <w:ind w:left="1324" w:right="0" w:hanging="708"/>
        <w:jc w:val="both"/>
        <w:rPr>
          <w:sz w:val="38"/>
        </w:rPr>
      </w:pPr>
      <w:r>
        <w:rPr>
          <w:sz w:val="38"/>
        </w:rPr>
        <w:t>Deformed nails</w:t>
      </w:r>
    </w:p>
    <w:p>
      <w:pPr>
        <w:pStyle w:val="ListParagraph"/>
        <w:numPr>
          <w:ilvl w:val="0"/>
          <w:numId w:val="131"/>
        </w:numPr>
        <w:tabs>
          <w:tab w:pos="1337" w:val="left" w:leader="none"/>
        </w:tabs>
        <w:spacing w:line="240" w:lineRule="auto" w:before="183" w:after="0"/>
        <w:ind w:left="1324" w:right="0" w:hanging="708"/>
        <w:jc w:val="both"/>
        <w:rPr>
          <w:sz w:val="38"/>
        </w:rPr>
      </w:pPr>
      <w:r>
        <w:rPr>
          <w:sz w:val="38"/>
        </w:rPr>
        <w:t>Oedema</w:t>
      </w:r>
    </w:p>
    <w:p>
      <w:pPr>
        <w:pStyle w:val="ListParagraph"/>
        <w:numPr>
          <w:ilvl w:val="0"/>
          <w:numId w:val="131"/>
        </w:numPr>
        <w:tabs>
          <w:tab w:pos="1337" w:val="left" w:leader="none"/>
        </w:tabs>
        <w:spacing w:line="240" w:lineRule="auto" w:before="184" w:after="0"/>
        <w:ind w:left="1324" w:right="0" w:hanging="708"/>
        <w:jc w:val="both"/>
        <w:rPr>
          <w:sz w:val="38"/>
        </w:rPr>
      </w:pPr>
      <w:r>
        <w:rPr>
          <w:sz w:val="38"/>
        </w:rPr>
        <w:t>Liver spots</w:t>
      </w:r>
    </w:p>
    <w:p>
      <w:pPr>
        <w:pStyle w:val="BodyText"/>
        <w:spacing w:line="276" w:lineRule="auto" w:before="305"/>
        <w:ind w:left="616" w:right="133"/>
        <w:jc w:val="both"/>
      </w:pPr>
      <w:r>
        <w:rPr/>
        <w:t>Comparatively speaking not so bad, some, who are not vain or do not place a great importance on their external appearance, might think if there were no serious diseases which were also directly connected to the demineralisation of our bodies!</w:t>
      </w:r>
    </w:p>
    <w:p>
      <w:pPr>
        <w:pStyle w:val="BodyText"/>
        <w:spacing w:line="278" w:lineRule="auto" w:before="239"/>
        <w:ind w:left="616"/>
      </w:pPr>
      <w:r>
        <w:rPr/>
        <w:t>Thus, mineral substance degradation caused by acids not only gnaws away at our BEAUTY, it also grates on our HEALTH.</w:t>
      </w:r>
    </w:p>
    <w:p>
      <w:pPr>
        <w:pStyle w:val="BodyText"/>
        <w:spacing w:before="233"/>
        <w:ind w:left="616"/>
        <w:jc w:val="both"/>
      </w:pPr>
      <w:r>
        <w:rPr/>
        <w:t>Both are reflected in the demineralisation of the following organs and tissues:</w:t>
      </w:r>
    </w:p>
    <w:p>
      <w:pPr>
        <w:pStyle w:val="ListParagraph"/>
        <w:numPr>
          <w:ilvl w:val="1"/>
          <w:numId w:val="131"/>
        </w:numPr>
        <w:tabs>
          <w:tab w:pos="1336" w:val="left" w:leader="none"/>
          <w:tab w:pos="1337" w:val="left" w:leader="none"/>
        </w:tabs>
        <w:spacing w:line="240" w:lineRule="auto" w:before="265" w:after="0"/>
        <w:ind w:left="1336" w:right="0" w:hanging="360"/>
        <w:jc w:val="left"/>
        <w:rPr>
          <w:sz w:val="38"/>
        </w:rPr>
      </w:pPr>
      <w:r>
        <w:rPr>
          <w:sz w:val="38"/>
        </w:rPr>
        <w:t>Hair and scalp (brittle hair, hair loss, grey hair)</w:t>
      </w:r>
    </w:p>
    <w:p>
      <w:pPr>
        <w:pStyle w:val="ListParagraph"/>
        <w:numPr>
          <w:ilvl w:val="1"/>
          <w:numId w:val="131"/>
        </w:numPr>
        <w:tabs>
          <w:tab w:pos="1336" w:val="left" w:leader="none"/>
          <w:tab w:pos="1337" w:val="left" w:leader="none"/>
        </w:tabs>
        <w:spacing w:line="240" w:lineRule="auto" w:before="184" w:after="0"/>
        <w:ind w:left="1336" w:right="0" w:hanging="360"/>
        <w:jc w:val="left"/>
        <w:rPr>
          <w:sz w:val="38"/>
        </w:rPr>
      </w:pPr>
      <w:r>
        <w:rPr>
          <w:sz w:val="38"/>
        </w:rPr>
        <w:t>Nails (brittle finger and toe</w:t>
      </w:r>
      <w:r>
        <w:rPr>
          <w:spacing w:val="2"/>
          <w:sz w:val="38"/>
        </w:rPr>
        <w:t> </w:t>
      </w:r>
      <w:r>
        <w:rPr>
          <w:sz w:val="38"/>
        </w:rPr>
        <w:t>nails)</w:t>
      </w:r>
    </w:p>
    <w:p>
      <w:pPr>
        <w:pStyle w:val="ListParagraph"/>
        <w:numPr>
          <w:ilvl w:val="1"/>
          <w:numId w:val="131"/>
        </w:numPr>
        <w:tabs>
          <w:tab w:pos="1336" w:val="left" w:leader="none"/>
          <w:tab w:pos="1337" w:val="left" w:leader="none"/>
        </w:tabs>
        <w:spacing w:line="240" w:lineRule="auto" w:before="183" w:after="0"/>
        <w:ind w:left="1336" w:right="0" w:hanging="360"/>
        <w:jc w:val="left"/>
        <w:rPr>
          <w:sz w:val="38"/>
        </w:rPr>
      </w:pPr>
      <w:r>
        <w:rPr>
          <w:sz w:val="38"/>
        </w:rPr>
        <w:t>Skin (pale, wrinkled</w:t>
      </w:r>
      <w:r>
        <w:rPr>
          <w:spacing w:val="3"/>
          <w:sz w:val="38"/>
        </w:rPr>
        <w:t> </w:t>
      </w:r>
      <w:r>
        <w:rPr>
          <w:sz w:val="38"/>
        </w:rPr>
        <w:t>skin)</w:t>
      </w:r>
    </w:p>
    <w:p>
      <w:pPr>
        <w:pStyle w:val="ListParagraph"/>
        <w:numPr>
          <w:ilvl w:val="1"/>
          <w:numId w:val="131"/>
        </w:numPr>
        <w:tabs>
          <w:tab w:pos="1336" w:val="left" w:leader="none"/>
          <w:tab w:pos="1337" w:val="left" w:leader="none"/>
        </w:tabs>
        <w:spacing w:line="240" w:lineRule="auto" w:before="186" w:after="0"/>
        <w:ind w:left="1336" w:right="0" w:hanging="360"/>
        <w:jc w:val="left"/>
        <w:rPr>
          <w:sz w:val="38"/>
        </w:rPr>
      </w:pPr>
      <w:r>
        <w:rPr>
          <w:sz w:val="38"/>
        </w:rPr>
        <w:t>Bones (brittle bones =</w:t>
      </w:r>
      <w:r>
        <w:rPr>
          <w:spacing w:val="4"/>
          <w:sz w:val="38"/>
        </w:rPr>
        <w:t> </w:t>
      </w:r>
      <w:r>
        <w:rPr>
          <w:sz w:val="38"/>
        </w:rPr>
        <w:t>osteoporosis)</w:t>
      </w:r>
    </w:p>
    <w:p>
      <w:pPr>
        <w:pStyle w:val="ListParagraph"/>
        <w:numPr>
          <w:ilvl w:val="1"/>
          <w:numId w:val="131"/>
        </w:numPr>
        <w:tabs>
          <w:tab w:pos="1336" w:val="left" w:leader="none"/>
          <w:tab w:pos="1337" w:val="left" w:leader="none"/>
        </w:tabs>
        <w:spacing w:line="240" w:lineRule="auto" w:before="184" w:after="0"/>
        <w:ind w:left="1336" w:right="0" w:hanging="360"/>
        <w:jc w:val="left"/>
        <w:rPr>
          <w:sz w:val="38"/>
        </w:rPr>
      </w:pPr>
      <w:r>
        <w:rPr>
          <w:sz w:val="38"/>
        </w:rPr>
        <w:t>Joint cartilage, tendons, joint capsules (arthrosis, arthritis,</w:t>
      </w:r>
      <w:r>
        <w:rPr>
          <w:spacing w:val="-6"/>
          <w:sz w:val="38"/>
        </w:rPr>
        <w:t> </w:t>
      </w:r>
      <w:r>
        <w:rPr>
          <w:sz w:val="38"/>
        </w:rPr>
        <w:t>injuries)</w:t>
      </w:r>
    </w:p>
    <w:p>
      <w:pPr>
        <w:pStyle w:val="ListParagraph"/>
        <w:numPr>
          <w:ilvl w:val="1"/>
          <w:numId w:val="131"/>
        </w:numPr>
        <w:tabs>
          <w:tab w:pos="1336" w:val="left" w:leader="none"/>
          <w:tab w:pos="1337" w:val="left" w:leader="none"/>
        </w:tabs>
        <w:spacing w:line="240" w:lineRule="auto" w:before="184" w:after="0"/>
        <w:ind w:left="1336" w:right="0" w:hanging="360"/>
        <w:jc w:val="left"/>
        <w:rPr>
          <w:sz w:val="38"/>
        </w:rPr>
      </w:pPr>
      <w:r>
        <w:rPr>
          <w:sz w:val="38"/>
        </w:rPr>
        <w:t>Blood vessels (arteriosclerosis, heart attack, stroke)</w:t>
      </w:r>
    </w:p>
    <w:p>
      <w:pPr>
        <w:spacing w:after="0" w:line="240" w:lineRule="auto"/>
        <w:jc w:val="left"/>
        <w:rPr>
          <w:sz w:val="38"/>
        </w:rPr>
        <w:sectPr>
          <w:pgSz w:w="14270" w:h="16850"/>
          <w:pgMar w:header="0" w:footer="1891" w:top="1360" w:bottom="2080" w:left="800" w:right="1280"/>
        </w:sectPr>
      </w:pPr>
    </w:p>
    <w:p>
      <w:pPr>
        <w:pStyle w:val="BodyText"/>
        <w:spacing w:line="278" w:lineRule="auto" w:before="72"/>
        <w:ind w:left="616" w:right="140"/>
        <w:jc w:val="both"/>
      </w:pPr>
      <w:r>
        <w:rPr/>
        <w:t>Below we will learn about the best possible BEAUTY and HEALTH</w:t>
      </w:r>
      <w:r>
        <w:rPr>
          <w:spacing w:val="-55"/>
        </w:rPr>
        <w:t> </w:t>
      </w:r>
      <w:r>
        <w:rPr/>
        <w:t>through the following factors:</w:t>
      </w:r>
    </w:p>
    <w:p>
      <w:pPr>
        <w:pStyle w:val="ListParagraph"/>
        <w:numPr>
          <w:ilvl w:val="1"/>
          <w:numId w:val="131"/>
        </w:numPr>
        <w:tabs>
          <w:tab w:pos="1336" w:val="left" w:leader="none"/>
          <w:tab w:pos="1337" w:val="left" w:leader="none"/>
        </w:tabs>
        <w:spacing w:line="240" w:lineRule="auto" w:before="193" w:after="0"/>
        <w:ind w:left="1336" w:right="0" w:hanging="360"/>
        <w:jc w:val="left"/>
        <w:rPr>
          <w:sz w:val="38"/>
        </w:rPr>
      </w:pPr>
      <w:r>
        <w:rPr>
          <w:sz w:val="38"/>
        </w:rPr>
        <w:t>cells, glands, tissues and organs not burnt by</w:t>
      </w:r>
      <w:r>
        <w:rPr>
          <w:spacing w:val="-2"/>
          <w:sz w:val="38"/>
        </w:rPr>
        <w:t> </w:t>
      </w:r>
      <w:r>
        <w:rPr>
          <w:sz w:val="38"/>
        </w:rPr>
        <w:t>acids,</w:t>
      </w:r>
    </w:p>
    <w:p>
      <w:pPr>
        <w:pStyle w:val="ListParagraph"/>
        <w:numPr>
          <w:ilvl w:val="1"/>
          <w:numId w:val="131"/>
        </w:numPr>
        <w:tabs>
          <w:tab w:pos="1336" w:val="left" w:leader="none"/>
          <w:tab w:pos="1337" w:val="left" w:leader="none"/>
        </w:tabs>
        <w:spacing w:line="240" w:lineRule="auto" w:before="186" w:after="0"/>
        <w:ind w:left="1336" w:right="0" w:hanging="360"/>
        <w:jc w:val="left"/>
        <w:rPr>
          <w:sz w:val="38"/>
        </w:rPr>
      </w:pPr>
      <w:r>
        <w:rPr>
          <w:sz w:val="38"/>
        </w:rPr>
        <w:t>organs, tissues, glands and cells without</w:t>
      </w:r>
      <w:r>
        <w:rPr>
          <w:spacing w:val="-1"/>
          <w:sz w:val="38"/>
        </w:rPr>
        <w:t> </w:t>
      </w:r>
      <w:r>
        <w:rPr>
          <w:sz w:val="38"/>
        </w:rPr>
        <w:t>toxins,</w:t>
      </w:r>
    </w:p>
    <w:p>
      <w:pPr>
        <w:pStyle w:val="ListParagraph"/>
        <w:numPr>
          <w:ilvl w:val="1"/>
          <w:numId w:val="131"/>
        </w:numPr>
        <w:tabs>
          <w:tab w:pos="1336" w:val="left" w:leader="none"/>
          <w:tab w:pos="1337" w:val="left" w:leader="none"/>
        </w:tabs>
        <w:spacing w:line="240" w:lineRule="auto" w:before="183" w:after="0"/>
        <w:ind w:left="1336" w:right="0" w:hanging="360"/>
        <w:jc w:val="left"/>
        <w:rPr>
          <w:sz w:val="38"/>
        </w:rPr>
      </w:pPr>
      <w:r>
        <w:rPr>
          <w:sz w:val="38"/>
        </w:rPr>
        <w:t>full mineral substance</w:t>
      </w:r>
      <w:r>
        <w:rPr>
          <w:spacing w:val="-2"/>
          <w:sz w:val="38"/>
        </w:rPr>
        <w:t> </w:t>
      </w:r>
      <w:r>
        <w:rPr>
          <w:sz w:val="38"/>
        </w:rPr>
        <w:t>storage.</w:t>
      </w:r>
    </w:p>
    <w:p>
      <w:pPr>
        <w:pStyle w:val="Heading2"/>
        <w:spacing w:before="302"/>
        <w:ind w:left="616"/>
        <w:jc w:val="both"/>
      </w:pPr>
      <w:r>
        <w:rPr/>
        <w:t>Diseases from mineral substance degradation caused by acids</w:t>
      </w:r>
    </w:p>
    <w:p>
      <w:pPr>
        <w:pStyle w:val="BodyText"/>
        <w:spacing w:line="276" w:lineRule="auto" w:before="306"/>
        <w:ind w:left="616" w:right="129"/>
        <w:jc w:val="both"/>
      </w:pPr>
      <w:r>
        <w:rPr/>
        <w:t>As already described in detail, our organism requires minerals in order to neu- tralise</w:t>
      </w:r>
      <w:r>
        <w:rPr>
          <w:spacing w:val="-15"/>
        </w:rPr>
        <w:t> </w:t>
      </w:r>
      <w:r>
        <w:rPr/>
        <w:t>a</w:t>
      </w:r>
      <w:r>
        <w:rPr>
          <w:spacing w:val="-17"/>
        </w:rPr>
        <w:t> </w:t>
      </w:r>
      <w:r>
        <w:rPr/>
        <w:t>high</w:t>
      </w:r>
      <w:r>
        <w:rPr>
          <w:spacing w:val="-14"/>
        </w:rPr>
        <w:t> </w:t>
      </w:r>
      <w:r>
        <w:rPr/>
        <w:t>acid</w:t>
      </w:r>
      <w:r>
        <w:rPr>
          <w:spacing w:val="-16"/>
        </w:rPr>
        <w:t> </w:t>
      </w:r>
      <w:r>
        <w:rPr/>
        <w:t>level</w:t>
      </w:r>
      <w:r>
        <w:rPr>
          <w:spacing w:val="-16"/>
        </w:rPr>
        <w:t> </w:t>
      </w:r>
      <w:r>
        <w:rPr/>
        <w:t>in</w:t>
      </w:r>
      <w:r>
        <w:rPr>
          <w:spacing w:val="-15"/>
        </w:rPr>
        <w:t> </w:t>
      </w:r>
      <w:r>
        <w:rPr/>
        <w:t>our</w:t>
      </w:r>
      <w:r>
        <w:rPr>
          <w:spacing w:val="-15"/>
        </w:rPr>
        <w:t> </w:t>
      </w:r>
      <w:r>
        <w:rPr/>
        <w:t>organism.</w:t>
      </w:r>
      <w:r>
        <w:rPr>
          <w:spacing w:val="-14"/>
        </w:rPr>
        <w:t> </w:t>
      </w:r>
      <w:r>
        <w:rPr/>
        <w:t>This</w:t>
      </w:r>
      <w:r>
        <w:rPr>
          <w:spacing w:val="-15"/>
        </w:rPr>
        <w:t> </w:t>
      </w:r>
      <w:r>
        <w:rPr/>
        <w:t>can</w:t>
      </w:r>
      <w:r>
        <w:rPr>
          <w:spacing w:val="-14"/>
        </w:rPr>
        <w:t> </w:t>
      </w:r>
      <w:r>
        <w:rPr/>
        <w:t>be</w:t>
      </w:r>
      <w:r>
        <w:rPr>
          <w:spacing w:val="-14"/>
        </w:rPr>
        <w:t> </w:t>
      </w:r>
      <w:r>
        <w:rPr/>
        <w:t>traced</w:t>
      </w:r>
      <w:r>
        <w:rPr>
          <w:spacing w:val="-15"/>
        </w:rPr>
        <w:t> </w:t>
      </w:r>
      <w:r>
        <w:rPr/>
        <w:t>back</w:t>
      </w:r>
      <w:r>
        <w:rPr>
          <w:spacing w:val="-15"/>
        </w:rPr>
        <w:t> </w:t>
      </w:r>
      <w:r>
        <w:rPr/>
        <w:t>to</w:t>
      </w:r>
      <w:r>
        <w:rPr>
          <w:spacing w:val="-15"/>
        </w:rPr>
        <w:t> </w:t>
      </w:r>
      <w:r>
        <w:rPr/>
        <w:t>the</w:t>
      </w:r>
      <w:r>
        <w:rPr>
          <w:spacing w:val="-14"/>
        </w:rPr>
        <w:t> </w:t>
      </w:r>
      <w:r>
        <w:rPr/>
        <w:t>fact</w:t>
      </w:r>
      <w:r>
        <w:rPr>
          <w:spacing w:val="-16"/>
        </w:rPr>
        <w:t> </w:t>
      </w:r>
      <w:r>
        <w:rPr/>
        <w:t>that our blood must have a constant pH value of 7.35 to 7.45. If it does not, the result is acute, life-threatening processes right down to a coma (</w:t>
      </w:r>
      <w:r>
        <w:rPr>
          <w:i/>
        </w:rPr>
        <w:t>‘Too much acid </w:t>
      </w:r>
      <w:r>
        <w:rPr>
          <w:i/>
        </w:rPr>
        <w:t>causes death.’ </w:t>
      </w:r>
      <w:r>
        <w:rPr/>
        <w:t>Prof.</w:t>
      </w:r>
      <w:r>
        <w:rPr>
          <w:spacing w:val="2"/>
        </w:rPr>
        <w:t> </w:t>
      </w:r>
      <w:r>
        <w:rPr/>
        <w:t>Metschnikoff).</w:t>
      </w:r>
    </w:p>
    <w:p>
      <w:pPr>
        <w:pStyle w:val="BodyText"/>
        <w:spacing w:line="276" w:lineRule="auto" w:before="239"/>
        <w:ind w:left="616" w:right="131"/>
        <w:jc w:val="both"/>
      </w:pPr>
      <w:r>
        <w:rPr/>
        <w:t>Unfortunately, we also face the modern-day problem that, on the one hand, increased stress, environmental poisons and poisons in our diet mean that we are permanently suffering from excess acid, but on the other hand, changed environmental factors, industrially manufactured foodstuffs, pesticides and long storage times lead to our foods containing fewer and fewer minerals.</w:t>
      </w:r>
    </w:p>
    <w:p>
      <w:pPr>
        <w:pStyle w:val="BodyText"/>
        <w:spacing w:line="276" w:lineRule="auto" w:before="242"/>
        <w:ind w:left="616" w:right="130"/>
        <w:jc w:val="both"/>
      </w:pPr>
      <w:r>
        <w:rPr/>
        <w:t>Our biochemical processes require the absorption of at least 75 % of base- forming and mineral-rich foodstuffs and 25 % acid-forming foodstuffs; food- stuffs today unfortunately reverse this relationship.</w:t>
      </w:r>
    </w:p>
    <w:p>
      <w:pPr>
        <w:pStyle w:val="BodyText"/>
        <w:spacing w:before="240"/>
        <w:ind w:left="616"/>
        <w:jc w:val="both"/>
      </w:pPr>
      <w:r>
        <w:rPr/>
        <w:t>A study by the Swiss pharmaceutical concern Geigy and the renowned food-</w:t>
      </w:r>
    </w:p>
    <w:p>
      <w:pPr>
        <w:spacing w:after="0"/>
        <w:jc w:val="both"/>
        <w:sectPr>
          <w:pgSz w:w="14270" w:h="16850"/>
          <w:pgMar w:header="0" w:footer="1891" w:top="1340" w:bottom="2080" w:left="800" w:right="1280"/>
        </w:sectPr>
      </w:pPr>
    </w:p>
    <w:p>
      <w:pPr>
        <w:pStyle w:val="BodyText"/>
        <w:spacing w:line="276" w:lineRule="auto" w:before="72"/>
        <w:ind w:left="616" w:right="134"/>
        <w:jc w:val="both"/>
      </w:pPr>
      <w:r>
        <w:rPr/>
        <w:t>stuffs</w:t>
      </w:r>
      <w:r>
        <w:rPr>
          <w:spacing w:val="-15"/>
        </w:rPr>
        <w:t> </w:t>
      </w:r>
      <w:r>
        <w:rPr/>
        <w:t>laboratory</w:t>
      </w:r>
      <w:r>
        <w:rPr>
          <w:spacing w:val="-14"/>
        </w:rPr>
        <w:t> </w:t>
      </w:r>
      <w:r>
        <w:rPr/>
        <w:t>in</w:t>
      </w:r>
      <w:r>
        <w:rPr>
          <w:spacing w:val="-14"/>
        </w:rPr>
        <w:t> </w:t>
      </w:r>
      <w:r>
        <w:rPr/>
        <w:t>Karlsruhe</w:t>
      </w:r>
      <w:r>
        <w:rPr>
          <w:spacing w:val="-14"/>
        </w:rPr>
        <w:t> </w:t>
      </w:r>
      <w:r>
        <w:rPr/>
        <w:t>demonstrated</w:t>
      </w:r>
      <w:r>
        <w:rPr>
          <w:spacing w:val="-14"/>
        </w:rPr>
        <w:t> </w:t>
      </w:r>
      <w:r>
        <w:rPr/>
        <w:t>a</w:t>
      </w:r>
      <w:r>
        <w:rPr>
          <w:spacing w:val="-15"/>
        </w:rPr>
        <w:t> </w:t>
      </w:r>
      <w:r>
        <w:rPr/>
        <w:t>shocking</w:t>
      </w:r>
      <w:r>
        <w:rPr>
          <w:spacing w:val="-13"/>
        </w:rPr>
        <w:t> </w:t>
      </w:r>
      <w:r>
        <w:rPr/>
        <w:t>development</w:t>
      </w:r>
      <w:r>
        <w:rPr>
          <w:spacing w:val="-14"/>
        </w:rPr>
        <w:t> </w:t>
      </w:r>
      <w:r>
        <w:rPr/>
        <w:t>concern- ing</w:t>
      </w:r>
      <w:r>
        <w:rPr>
          <w:spacing w:val="-10"/>
        </w:rPr>
        <w:t> </w:t>
      </w:r>
      <w:r>
        <w:rPr/>
        <w:t>a</w:t>
      </w:r>
      <w:r>
        <w:rPr>
          <w:spacing w:val="-12"/>
        </w:rPr>
        <w:t> </w:t>
      </w:r>
      <w:r>
        <w:rPr/>
        <w:t>loss</w:t>
      </w:r>
      <w:r>
        <w:rPr>
          <w:spacing w:val="-10"/>
        </w:rPr>
        <w:t> </w:t>
      </w:r>
      <w:r>
        <w:rPr/>
        <w:t>in</w:t>
      </w:r>
      <w:r>
        <w:rPr>
          <w:spacing w:val="-11"/>
        </w:rPr>
        <w:t> </w:t>
      </w:r>
      <w:r>
        <w:rPr/>
        <w:t>vitamin</w:t>
      </w:r>
      <w:r>
        <w:rPr>
          <w:spacing w:val="-11"/>
        </w:rPr>
        <w:t> </w:t>
      </w:r>
      <w:r>
        <w:rPr/>
        <w:t>and</w:t>
      </w:r>
      <w:r>
        <w:rPr>
          <w:spacing w:val="-10"/>
        </w:rPr>
        <w:t> </w:t>
      </w:r>
      <w:r>
        <w:rPr/>
        <w:t>mineral</w:t>
      </w:r>
      <w:r>
        <w:rPr>
          <w:spacing w:val="-9"/>
        </w:rPr>
        <w:t> </w:t>
      </w:r>
      <w:r>
        <w:rPr/>
        <w:t>substances</w:t>
      </w:r>
      <w:r>
        <w:rPr>
          <w:spacing w:val="-10"/>
        </w:rPr>
        <w:t> </w:t>
      </w:r>
      <w:r>
        <w:rPr/>
        <w:t>from</w:t>
      </w:r>
      <w:r>
        <w:rPr>
          <w:spacing w:val="-11"/>
        </w:rPr>
        <w:t> </w:t>
      </w:r>
      <w:r>
        <w:rPr/>
        <w:t>our</w:t>
      </w:r>
      <w:r>
        <w:rPr>
          <w:spacing w:val="-10"/>
        </w:rPr>
        <w:t> </w:t>
      </w:r>
      <w:r>
        <w:rPr/>
        <w:t>fruit</w:t>
      </w:r>
      <w:r>
        <w:rPr>
          <w:spacing w:val="-12"/>
        </w:rPr>
        <w:t> </w:t>
      </w:r>
      <w:r>
        <w:rPr/>
        <w:t>and</w:t>
      </w:r>
      <w:r>
        <w:rPr>
          <w:spacing w:val="-8"/>
        </w:rPr>
        <w:t> </w:t>
      </w:r>
      <w:r>
        <w:rPr/>
        <w:t>vegetables</w:t>
      </w:r>
      <w:r>
        <w:rPr>
          <w:spacing w:val="-9"/>
        </w:rPr>
        <w:t> </w:t>
      </w:r>
      <w:r>
        <w:rPr/>
        <w:t>dur- ing the period from 1985 to</w:t>
      </w:r>
      <w:r>
        <w:rPr>
          <w:spacing w:val="1"/>
        </w:rPr>
        <w:t> </w:t>
      </w:r>
      <w:r>
        <w:rPr/>
        <w:t>1996.</w:t>
      </w:r>
    </w:p>
    <w:p>
      <w:pPr>
        <w:pStyle w:val="BodyText"/>
        <w:spacing w:line="276" w:lineRule="auto" w:before="241"/>
        <w:ind w:left="616" w:right="37"/>
      </w:pPr>
      <w:r>
        <w:rPr/>
        <w:t>According to this, broccoli (for example) lost 68 % of its calcium, beans 15 %, potatoes around 70 % and carrots 57 % of their magnesium; spinach lost 68</w:t>
      </w:r>
    </w:p>
    <w:p>
      <w:pPr>
        <w:pStyle w:val="BodyText"/>
        <w:spacing w:line="276" w:lineRule="auto" w:before="1"/>
        <w:ind w:left="616"/>
      </w:pPr>
      <w:r>
        <w:rPr/>
        <w:t>% of its magnesium and bananas had 84 % less folic acid over a period of</w:t>
      </w:r>
      <w:r>
        <w:rPr>
          <w:spacing w:val="-57"/>
        </w:rPr>
        <w:t> </w:t>
      </w:r>
      <w:r>
        <w:rPr/>
        <w:t>just eleven years. Just take a look for yourself.</w:t>
      </w:r>
    </w:p>
    <w:p>
      <w:pPr>
        <w:spacing w:before="241"/>
        <w:ind w:left="616" w:right="0" w:firstLine="0"/>
        <w:jc w:val="left"/>
        <w:rPr>
          <w:i/>
          <w:sz w:val="38"/>
        </w:rPr>
      </w:pPr>
      <w:r>
        <w:rPr>
          <w:i/>
          <w:sz w:val="38"/>
        </w:rPr>
        <w:t>Source:</w:t>
      </w:r>
    </w:p>
    <w:p>
      <w:pPr>
        <w:pStyle w:val="BodyText"/>
        <w:spacing w:line="276" w:lineRule="auto" w:before="305"/>
        <w:ind w:left="616" w:right="907"/>
      </w:pPr>
      <w:r>
        <w:rPr/>
        <w:t>Welt am Sonntag und Westfälische Nachrichten, Untersuchungen: 1985: Pharmakonzern Geigy, 1996: Lebensmittellabor Karlsruhe/Sanatorium Oberthal</w:t>
      </w:r>
    </w:p>
    <w:p>
      <w:pPr>
        <w:pStyle w:val="BodyText"/>
        <w:rPr>
          <w:sz w:val="42"/>
        </w:rPr>
      </w:pPr>
    </w:p>
    <w:p>
      <w:pPr>
        <w:pStyle w:val="BodyText"/>
        <w:spacing w:line="276" w:lineRule="auto" w:before="258"/>
        <w:ind w:left="616" w:right="373"/>
      </w:pPr>
      <w:r>
        <w:rPr/>
        <w:t>As the last comparative measurement was already 15 years ago and in addi- tion, the loss of mineral and vital substances has done anything but improve under the prevailing conditions, it can be assumed that our foodstuffs today have even fewer vitamins and minerals than at that point in time!</w:t>
      </w:r>
    </w:p>
    <w:p>
      <w:pPr>
        <w:pStyle w:val="BodyText"/>
        <w:spacing w:line="276" w:lineRule="auto" w:before="239"/>
        <w:ind w:left="616" w:right="139"/>
        <w:jc w:val="both"/>
      </w:pPr>
      <w:r>
        <w:rPr/>
        <w:t>Thus, we are standing on the precipice of an unfavourable modern phenome- non; on the one hand we are more and more acidified and on the other there are fewer minerals available in our foodstuffs to neutralise these acids!</w:t>
      </w:r>
    </w:p>
    <w:p>
      <w:pPr>
        <w:pStyle w:val="BodyText"/>
        <w:spacing w:before="242"/>
        <w:ind w:left="616"/>
      </w:pPr>
      <w:r>
        <w:rPr/>
        <w:t>However, in order for our blood to maintain the constant pH value of 7.35-</w:t>
      </w:r>
    </w:p>
    <w:p>
      <w:pPr>
        <w:pStyle w:val="ListParagraph"/>
        <w:numPr>
          <w:ilvl w:val="1"/>
          <w:numId w:val="136"/>
        </w:numPr>
        <w:tabs>
          <w:tab w:pos="1323" w:val="left" w:leader="none"/>
        </w:tabs>
        <w:spacing w:line="240" w:lineRule="auto" w:before="62" w:after="0"/>
        <w:ind w:left="1322" w:right="0" w:hanging="706"/>
        <w:jc w:val="left"/>
        <w:rPr>
          <w:sz w:val="38"/>
        </w:rPr>
      </w:pPr>
      <w:r>
        <w:rPr>
          <w:sz w:val="38"/>
        </w:rPr>
        <w:t>it</w:t>
      </w:r>
      <w:r>
        <w:rPr>
          <w:spacing w:val="-10"/>
          <w:sz w:val="38"/>
        </w:rPr>
        <w:t> </w:t>
      </w:r>
      <w:r>
        <w:rPr>
          <w:sz w:val="38"/>
        </w:rPr>
        <w:t>needs</w:t>
      </w:r>
      <w:r>
        <w:rPr>
          <w:spacing w:val="-7"/>
          <w:sz w:val="38"/>
        </w:rPr>
        <w:t> </w:t>
      </w:r>
      <w:r>
        <w:rPr>
          <w:sz w:val="38"/>
        </w:rPr>
        <w:t>for</w:t>
      </w:r>
      <w:r>
        <w:rPr>
          <w:spacing w:val="-8"/>
          <w:sz w:val="38"/>
        </w:rPr>
        <w:t> </w:t>
      </w:r>
      <w:r>
        <w:rPr>
          <w:sz w:val="38"/>
        </w:rPr>
        <w:t>life,</w:t>
      </w:r>
      <w:r>
        <w:rPr>
          <w:spacing w:val="-8"/>
          <w:sz w:val="38"/>
        </w:rPr>
        <w:t> </w:t>
      </w:r>
      <w:r>
        <w:rPr>
          <w:sz w:val="38"/>
        </w:rPr>
        <w:t>the</w:t>
      </w:r>
      <w:r>
        <w:rPr>
          <w:spacing w:val="-6"/>
          <w:sz w:val="38"/>
        </w:rPr>
        <w:t> </w:t>
      </w:r>
      <w:r>
        <w:rPr>
          <w:sz w:val="38"/>
        </w:rPr>
        <w:t>body</w:t>
      </w:r>
      <w:r>
        <w:rPr>
          <w:spacing w:val="-8"/>
          <w:sz w:val="38"/>
        </w:rPr>
        <w:t> </w:t>
      </w:r>
      <w:r>
        <w:rPr>
          <w:sz w:val="38"/>
        </w:rPr>
        <w:t>has</w:t>
      </w:r>
      <w:r>
        <w:rPr>
          <w:spacing w:val="-8"/>
          <w:sz w:val="38"/>
        </w:rPr>
        <w:t> </w:t>
      </w:r>
      <w:r>
        <w:rPr>
          <w:sz w:val="38"/>
        </w:rPr>
        <w:t>to</w:t>
      </w:r>
      <w:r>
        <w:rPr>
          <w:spacing w:val="-7"/>
          <w:sz w:val="38"/>
        </w:rPr>
        <w:t> </w:t>
      </w:r>
      <w:r>
        <w:rPr>
          <w:sz w:val="38"/>
        </w:rPr>
        <w:t>come</w:t>
      </w:r>
      <w:r>
        <w:rPr>
          <w:spacing w:val="-8"/>
          <w:sz w:val="38"/>
        </w:rPr>
        <w:t> </w:t>
      </w:r>
      <w:r>
        <w:rPr>
          <w:sz w:val="38"/>
        </w:rPr>
        <w:t>up</w:t>
      </w:r>
      <w:r>
        <w:rPr>
          <w:spacing w:val="-8"/>
          <w:sz w:val="38"/>
        </w:rPr>
        <w:t> </w:t>
      </w:r>
      <w:r>
        <w:rPr>
          <w:sz w:val="38"/>
        </w:rPr>
        <w:t>with</w:t>
      </w:r>
      <w:r>
        <w:rPr>
          <w:spacing w:val="-8"/>
          <w:sz w:val="38"/>
        </w:rPr>
        <w:t> </w:t>
      </w:r>
      <w:r>
        <w:rPr>
          <w:sz w:val="38"/>
        </w:rPr>
        <w:t>something</w:t>
      </w:r>
      <w:r>
        <w:rPr>
          <w:spacing w:val="-8"/>
          <w:sz w:val="38"/>
        </w:rPr>
        <w:t> </w:t>
      </w:r>
      <w:r>
        <w:rPr>
          <w:sz w:val="38"/>
        </w:rPr>
        <w:t>new</w:t>
      </w:r>
      <w:r>
        <w:rPr>
          <w:spacing w:val="-10"/>
          <w:sz w:val="38"/>
        </w:rPr>
        <w:t> </w:t>
      </w:r>
      <w:r>
        <w:rPr>
          <w:sz w:val="38"/>
        </w:rPr>
        <w:t>if</w:t>
      </w:r>
      <w:r>
        <w:rPr>
          <w:spacing w:val="-9"/>
          <w:sz w:val="38"/>
        </w:rPr>
        <w:t> </w:t>
      </w:r>
      <w:r>
        <w:rPr>
          <w:sz w:val="38"/>
        </w:rPr>
        <w:t>it</w:t>
      </w:r>
      <w:r>
        <w:rPr>
          <w:spacing w:val="-9"/>
          <w:sz w:val="38"/>
        </w:rPr>
        <w:t> </w:t>
      </w:r>
      <w:r>
        <w:rPr>
          <w:sz w:val="38"/>
        </w:rPr>
        <w:t>cannot</w:t>
      </w:r>
    </w:p>
    <w:p>
      <w:pPr>
        <w:spacing w:after="0" w:line="240" w:lineRule="auto"/>
        <w:jc w:val="left"/>
        <w:rPr>
          <w:sz w:val="38"/>
        </w:rPr>
        <w:sectPr>
          <w:pgSz w:w="14270" w:h="16850"/>
          <w:pgMar w:header="0" w:footer="1891" w:top="1340" w:bottom="2080" w:left="800" w:right="1280"/>
        </w:sectPr>
      </w:pPr>
    </w:p>
    <w:p>
      <w:pPr>
        <w:pStyle w:val="BodyText"/>
        <w:spacing w:line="276" w:lineRule="auto" w:before="72"/>
        <w:ind w:left="616" w:right="144"/>
        <w:jc w:val="both"/>
      </w:pPr>
      <w:r>
        <w:rPr/>
        <w:t>get the minerals it requires for acid neutralisation from food. It can draw on different buffer systems for this up to a certain level of acidity, such as the lungs, tissue, intestine and kidneys.</w:t>
      </w:r>
    </w:p>
    <w:p>
      <w:pPr>
        <w:pStyle w:val="BodyText"/>
        <w:spacing w:line="276" w:lineRule="auto" w:before="241"/>
        <w:ind w:left="616" w:right="135"/>
        <w:jc w:val="both"/>
      </w:pPr>
      <w:r>
        <w:rPr/>
        <w:t>However,</w:t>
      </w:r>
      <w:r>
        <w:rPr>
          <w:spacing w:val="-8"/>
        </w:rPr>
        <w:t> </w:t>
      </w:r>
      <w:r>
        <w:rPr/>
        <w:t>if</w:t>
      </w:r>
      <w:r>
        <w:rPr>
          <w:spacing w:val="-9"/>
        </w:rPr>
        <w:t> </w:t>
      </w:r>
      <w:r>
        <w:rPr/>
        <w:t>acidification</w:t>
      </w:r>
      <w:r>
        <w:rPr>
          <w:spacing w:val="-4"/>
        </w:rPr>
        <w:t> </w:t>
      </w:r>
      <w:r>
        <w:rPr/>
        <w:t>exceeds</w:t>
      </w:r>
      <w:r>
        <w:rPr>
          <w:spacing w:val="-5"/>
        </w:rPr>
        <w:t> </w:t>
      </w:r>
      <w:r>
        <w:rPr/>
        <w:t>the</w:t>
      </w:r>
      <w:r>
        <w:rPr>
          <w:spacing w:val="-8"/>
        </w:rPr>
        <w:t> </w:t>
      </w:r>
      <w:r>
        <w:rPr/>
        <w:t>level</w:t>
      </w:r>
      <w:r>
        <w:rPr>
          <w:spacing w:val="-9"/>
        </w:rPr>
        <w:t> </w:t>
      </w:r>
      <w:r>
        <w:rPr/>
        <w:t>these</w:t>
      </w:r>
      <w:r>
        <w:rPr>
          <w:spacing w:val="-8"/>
        </w:rPr>
        <w:t> </w:t>
      </w:r>
      <w:r>
        <w:rPr/>
        <w:t>natural</w:t>
      </w:r>
      <w:r>
        <w:rPr>
          <w:spacing w:val="-9"/>
        </w:rPr>
        <w:t> </w:t>
      </w:r>
      <w:r>
        <w:rPr/>
        <w:t>buffers</w:t>
      </w:r>
      <w:r>
        <w:rPr>
          <w:spacing w:val="-8"/>
        </w:rPr>
        <w:t> </w:t>
      </w:r>
      <w:r>
        <w:rPr/>
        <w:t>can</w:t>
      </w:r>
      <w:r>
        <w:rPr>
          <w:spacing w:val="-8"/>
        </w:rPr>
        <w:t> </w:t>
      </w:r>
      <w:r>
        <w:rPr/>
        <w:t>neutralise, the</w:t>
      </w:r>
      <w:r>
        <w:rPr>
          <w:spacing w:val="-18"/>
        </w:rPr>
        <w:t> </w:t>
      </w:r>
      <w:r>
        <w:rPr/>
        <w:t>body</w:t>
      </w:r>
      <w:r>
        <w:rPr>
          <w:spacing w:val="-18"/>
        </w:rPr>
        <w:t> </w:t>
      </w:r>
      <w:r>
        <w:rPr/>
        <w:t>is</w:t>
      </w:r>
      <w:r>
        <w:rPr>
          <w:spacing w:val="-18"/>
        </w:rPr>
        <w:t> </w:t>
      </w:r>
      <w:r>
        <w:rPr/>
        <w:t>forced</w:t>
      </w:r>
      <w:r>
        <w:rPr>
          <w:spacing w:val="-18"/>
        </w:rPr>
        <w:t> </w:t>
      </w:r>
      <w:r>
        <w:rPr/>
        <w:t>to</w:t>
      </w:r>
      <w:r>
        <w:rPr>
          <w:spacing w:val="-17"/>
        </w:rPr>
        <w:t> </w:t>
      </w:r>
      <w:r>
        <w:rPr/>
        <w:t>be</w:t>
      </w:r>
      <w:r>
        <w:rPr>
          <w:spacing w:val="-18"/>
        </w:rPr>
        <w:t> </w:t>
      </w:r>
      <w:r>
        <w:rPr/>
        <w:t>on</w:t>
      </w:r>
      <w:r>
        <w:rPr>
          <w:spacing w:val="-17"/>
        </w:rPr>
        <w:t> </w:t>
      </w:r>
      <w:r>
        <w:rPr/>
        <w:t>the</w:t>
      </w:r>
      <w:r>
        <w:rPr>
          <w:spacing w:val="-18"/>
        </w:rPr>
        <w:t> </w:t>
      </w:r>
      <w:r>
        <w:rPr/>
        <w:t>look</w:t>
      </w:r>
      <w:r>
        <w:rPr>
          <w:spacing w:val="-18"/>
        </w:rPr>
        <w:t> </w:t>
      </w:r>
      <w:r>
        <w:rPr/>
        <w:t>out</w:t>
      </w:r>
      <w:r>
        <w:rPr>
          <w:spacing w:val="-19"/>
        </w:rPr>
        <w:t> </w:t>
      </w:r>
      <w:r>
        <w:rPr/>
        <w:t>for</w:t>
      </w:r>
      <w:r>
        <w:rPr>
          <w:spacing w:val="-17"/>
        </w:rPr>
        <w:t> </w:t>
      </w:r>
      <w:r>
        <w:rPr/>
        <w:t>further</w:t>
      </w:r>
      <w:r>
        <w:rPr>
          <w:spacing w:val="-17"/>
        </w:rPr>
        <w:t> </w:t>
      </w:r>
      <w:r>
        <w:rPr/>
        <w:t>mineral</w:t>
      </w:r>
      <w:r>
        <w:rPr>
          <w:spacing w:val="-19"/>
        </w:rPr>
        <w:t> </w:t>
      </w:r>
      <w:r>
        <w:rPr/>
        <w:t>substance</w:t>
      </w:r>
      <w:r>
        <w:rPr>
          <w:spacing w:val="-17"/>
        </w:rPr>
        <w:t> </w:t>
      </w:r>
      <w:r>
        <w:rPr/>
        <w:t>deposits, if it cannot get these from food. In this case, our organism takes the body’s own minerals from our skin, bones, teeth and organises, thereby cannibalising itself!</w:t>
      </w:r>
    </w:p>
    <w:p>
      <w:pPr>
        <w:pStyle w:val="BodyText"/>
        <w:spacing w:line="276" w:lineRule="auto" w:before="242"/>
        <w:ind w:left="616"/>
      </w:pPr>
      <w:r>
        <w:rPr/>
        <w:t>According to acid experts Dr. Jentschura and Lohkämper, this mineral sub- stance degradation leads to the following diseases:</w:t>
      </w:r>
    </w:p>
    <w:p>
      <w:pPr>
        <w:pStyle w:val="Heading2"/>
        <w:spacing w:before="239"/>
        <w:ind w:left="616"/>
        <w:jc w:val="both"/>
        <w:rPr>
          <w:b w:val="0"/>
          <w:sz w:val="25"/>
        </w:rPr>
      </w:pPr>
      <w:r>
        <w:rPr/>
        <w:t>Diseases due to mineral substance degradation:</w:t>
      </w:r>
      <w:r>
        <w:rPr>
          <w:b w:val="0"/>
          <w:position w:val="9"/>
          <w:sz w:val="25"/>
        </w:rPr>
        <w:t>1042</w:t>
      </w:r>
    </w:p>
    <w:p>
      <w:pPr>
        <w:pStyle w:val="BodyText"/>
        <w:spacing w:before="307"/>
        <w:ind w:left="616"/>
        <w:jc w:val="both"/>
      </w:pPr>
      <w:r>
        <w:rPr/>
        <w:t>Diseases caused by acids include:</w:t>
      </w:r>
    </w:p>
    <w:p>
      <w:pPr>
        <w:pStyle w:val="ListParagraph"/>
        <w:numPr>
          <w:ilvl w:val="0"/>
          <w:numId w:val="131"/>
        </w:numPr>
        <w:tabs>
          <w:tab w:pos="1337" w:val="left" w:leader="none"/>
        </w:tabs>
        <w:spacing w:line="240" w:lineRule="auto" w:before="263" w:after="0"/>
        <w:ind w:left="1324" w:right="0" w:hanging="708"/>
        <w:jc w:val="both"/>
        <w:rPr>
          <w:sz w:val="38"/>
        </w:rPr>
      </w:pPr>
      <w:r>
        <w:rPr>
          <w:sz w:val="38"/>
        </w:rPr>
        <w:t>Caries</w:t>
      </w:r>
    </w:p>
    <w:p>
      <w:pPr>
        <w:pStyle w:val="ListParagraph"/>
        <w:numPr>
          <w:ilvl w:val="0"/>
          <w:numId w:val="131"/>
        </w:numPr>
        <w:tabs>
          <w:tab w:pos="1337" w:val="left" w:leader="none"/>
        </w:tabs>
        <w:spacing w:line="240" w:lineRule="auto" w:before="184" w:after="0"/>
        <w:ind w:left="1324" w:right="0" w:hanging="708"/>
        <w:jc w:val="both"/>
        <w:rPr>
          <w:sz w:val="38"/>
        </w:rPr>
      </w:pPr>
      <w:r>
        <w:rPr>
          <w:sz w:val="38"/>
        </w:rPr>
        <w:t>High blood</w:t>
      </w:r>
      <w:r>
        <w:rPr>
          <w:spacing w:val="1"/>
          <w:sz w:val="38"/>
        </w:rPr>
        <w:t> </w:t>
      </w:r>
      <w:r>
        <w:rPr>
          <w:sz w:val="38"/>
        </w:rPr>
        <w:t>pressure</w:t>
      </w:r>
    </w:p>
    <w:p>
      <w:pPr>
        <w:pStyle w:val="ListParagraph"/>
        <w:numPr>
          <w:ilvl w:val="0"/>
          <w:numId w:val="131"/>
        </w:numPr>
        <w:tabs>
          <w:tab w:pos="1337" w:val="left" w:leader="none"/>
        </w:tabs>
        <w:spacing w:line="240" w:lineRule="auto" w:before="183" w:after="0"/>
        <w:ind w:left="1324" w:right="0" w:hanging="708"/>
        <w:jc w:val="both"/>
        <w:rPr>
          <w:sz w:val="38"/>
        </w:rPr>
      </w:pPr>
      <w:r>
        <w:rPr>
          <w:sz w:val="38"/>
        </w:rPr>
        <w:t>Periodontitis</w:t>
      </w:r>
    </w:p>
    <w:p>
      <w:pPr>
        <w:pStyle w:val="ListParagraph"/>
        <w:numPr>
          <w:ilvl w:val="0"/>
          <w:numId w:val="131"/>
        </w:numPr>
        <w:tabs>
          <w:tab w:pos="1337" w:val="left" w:leader="none"/>
        </w:tabs>
        <w:spacing w:line="240" w:lineRule="auto" w:before="186" w:after="0"/>
        <w:ind w:left="1324" w:right="0" w:hanging="708"/>
        <w:jc w:val="both"/>
        <w:rPr>
          <w:sz w:val="38"/>
        </w:rPr>
      </w:pPr>
      <w:r>
        <w:rPr>
          <w:sz w:val="38"/>
        </w:rPr>
        <w:t>Osteoporosis</w:t>
      </w:r>
    </w:p>
    <w:p>
      <w:pPr>
        <w:pStyle w:val="ListParagraph"/>
        <w:numPr>
          <w:ilvl w:val="0"/>
          <w:numId w:val="131"/>
        </w:numPr>
        <w:tabs>
          <w:tab w:pos="1337" w:val="left" w:leader="none"/>
        </w:tabs>
        <w:spacing w:line="240" w:lineRule="auto" w:before="184" w:after="0"/>
        <w:ind w:left="1324" w:right="0" w:hanging="708"/>
        <w:jc w:val="both"/>
        <w:rPr>
          <w:sz w:val="38"/>
        </w:rPr>
      </w:pPr>
      <w:r>
        <w:rPr>
          <w:sz w:val="38"/>
        </w:rPr>
        <w:t>Atherosclerosis (vascular</w:t>
      </w:r>
      <w:r>
        <w:rPr>
          <w:spacing w:val="1"/>
          <w:sz w:val="38"/>
        </w:rPr>
        <w:t> </w:t>
      </w:r>
      <w:r>
        <w:rPr>
          <w:sz w:val="38"/>
        </w:rPr>
        <w:t>calcification)</w:t>
      </w:r>
    </w:p>
    <w:p>
      <w:pPr>
        <w:pStyle w:val="BodyText"/>
        <w:rPr>
          <w:sz w:val="20"/>
        </w:rPr>
      </w:pPr>
    </w:p>
    <w:p>
      <w:pPr>
        <w:pStyle w:val="BodyText"/>
        <w:spacing w:before="4"/>
        <w:rPr>
          <w:sz w:val="25"/>
        </w:rPr>
      </w:pPr>
      <w:r>
        <w:rPr/>
        <w:pict>
          <v:line style="position:absolute;mso-position-horizontal-relative:page;mso-position-vertical-relative:paragraph;z-index:16328;mso-wrap-distance-left:0;mso-wrap-distance-right:0" from="70.823997pt,16.633667pt" to="214.843997pt,16.633667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1042 </w:t>
      </w:r>
      <w:r>
        <w:rPr>
          <w:sz w:val="20"/>
        </w:rPr>
        <w:t>Dr. h. c. Peter Jentschura and Josef Lohkämper: Gesundheit durch Entschlackung, May 2010</w:t>
      </w:r>
    </w:p>
    <w:p>
      <w:pPr>
        <w:spacing w:after="0"/>
        <w:jc w:val="left"/>
        <w:rPr>
          <w:sz w:val="20"/>
        </w:rPr>
        <w:sectPr>
          <w:pgSz w:w="14270" w:h="16850"/>
          <w:pgMar w:header="0" w:footer="1891" w:top="1340" w:bottom="2080" w:left="800" w:right="1280"/>
        </w:sectPr>
      </w:pPr>
    </w:p>
    <w:p>
      <w:pPr>
        <w:pStyle w:val="ListParagraph"/>
        <w:numPr>
          <w:ilvl w:val="0"/>
          <w:numId w:val="131"/>
        </w:numPr>
        <w:tabs>
          <w:tab w:pos="1336" w:val="left" w:leader="none"/>
          <w:tab w:pos="1337" w:val="left" w:leader="none"/>
        </w:tabs>
        <w:spacing w:line="240" w:lineRule="auto" w:before="53" w:after="0"/>
        <w:ind w:left="1324" w:right="0" w:hanging="708"/>
        <w:jc w:val="left"/>
        <w:rPr>
          <w:sz w:val="38"/>
        </w:rPr>
      </w:pPr>
      <w:r>
        <w:rPr>
          <w:sz w:val="38"/>
        </w:rPr>
        <w:t>Varicose veins</w:t>
      </w:r>
    </w:p>
    <w:p>
      <w:pPr>
        <w:pStyle w:val="ListParagraph"/>
        <w:numPr>
          <w:ilvl w:val="0"/>
          <w:numId w:val="131"/>
        </w:numPr>
        <w:tabs>
          <w:tab w:pos="1336" w:val="left" w:leader="none"/>
          <w:tab w:pos="1337" w:val="left" w:leader="none"/>
        </w:tabs>
        <w:spacing w:line="240" w:lineRule="auto" w:before="186" w:after="0"/>
        <w:ind w:left="1324" w:right="0" w:hanging="708"/>
        <w:jc w:val="left"/>
        <w:rPr>
          <w:sz w:val="38"/>
        </w:rPr>
      </w:pPr>
      <w:r>
        <w:rPr>
          <w:sz w:val="38"/>
        </w:rPr>
        <w:t>Slipped discs</w:t>
      </w:r>
    </w:p>
    <w:p>
      <w:pPr>
        <w:pStyle w:val="ListParagraph"/>
        <w:numPr>
          <w:ilvl w:val="0"/>
          <w:numId w:val="131"/>
        </w:numPr>
        <w:tabs>
          <w:tab w:pos="1336" w:val="left" w:leader="none"/>
          <w:tab w:pos="1337" w:val="left" w:leader="none"/>
        </w:tabs>
        <w:spacing w:line="240" w:lineRule="auto" w:before="184" w:after="0"/>
        <w:ind w:left="1324" w:right="0" w:hanging="708"/>
        <w:jc w:val="left"/>
        <w:rPr>
          <w:sz w:val="38"/>
        </w:rPr>
      </w:pPr>
      <w:r>
        <w:rPr>
          <w:sz w:val="38"/>
        </w:rPr>
        <w:t>Hernias</w:t>
      </w:r>
    </w:p>
    <w:p>
      <w:pPr>
        <w:pStyle w:val="ListParagraph"/>
        <w:numPr>
          <w:ilvl w:val="0"/>
          <w:numId w:val="131"/>
        </w:numPr>
        <w:tabs>
          <w:tab w:pos="1336" w:val="left" w:leader="none"/>
          <w:tab w:pos="1337" w:val="left" w:leader="none"/>
        </w:tabs>
        <w:spacing w:line="240" w:lineRule="auto" w:before="184" w:after="0"/>
        <w:ind w:left="1324" w:right="0" w:hanging="708"/>
        <w:jc w:val="left"/>
        <w:rPr>
          <w:sz w:val="38"/>
        </w:rPr>
      </w:pPr>
      <w:r>
        <w:rPr>
          <w:sz w:val="38"/>
        </w:rPr>
        <w:t>Sweaty</w:t>
      </w:r>
      <w:r>
        <w:rPr>
          <w:spacing w:val="-2"/>
          <w:sz w:val="38"/>
        </w:rPr>
        <w:t> </w:t>
      </w:r>
      <w:r>
        <w:rPr>
          <w:sz w:val="38"/>
        </w:rPr>
        <w:t>feet</w:t>
      </w:r>
    </w:p>
    <w:p>
      <w:pPr>
        <w:pStyle w:val="ListParagraph"/>
        <w:numPr>
          <w:ilvl w:val="0"/>
          <w:numId w:val="131"/>
        </w:numPr>
        <w:tabs>
          <w:tab w:pos="1336" w:val="left" w:leader="none"/>
          <w:tab w:pos="1337" w:val="left" w:leader="none"/>
        </w:tabs>
        <w:spacing w:line="240" w:lineRule="auto" w:before="183" w:after="0"/>
        <w:ind w:left="1324" w:right="0" w:hanging="708"/>
        <w:jc w:val="left"/>
        <w:rPr>
          <w:sz w:val="38"/>
        </w:rPr>
      </w:pPr>
      <w:r>
        <w:rPr>
          <w:sz w:val="38"/>
        </w:rPr>
        <w:t>Dental</w:t>
      </w:r>
      <w:r>
        <w:rPr>
          <w:spacing w:val="-1"/>
          <w:sz w:val="38"/>
        </w:rPr>
        <w:t> </w:t>
      </w:r>
      <w:r>
        <w:rPr>
          <w:sz w:val="38"/>
        </w:rPr>
        <w:t>plaque</w:t>
      </w:r>
    </w:p>
    <w:p>
      <w:pPr>
        <w:pStyle w:val="ListParagraph"/>
        <w:numPr>
          <w:ilvl w:val="0"/>
          <w:numId w:val="131"/>
        </w:numPr>
        <w:tabs>
          <w:tab w:pos="1336" w:val="left" w:leader="none"/>
          <w:tab w:pos="1337" w:val="left" w:leader="none"/>
        </w:tabs>
        <w:spacing w:line="240" w:lineRule="auto" w:before="184" w:after="0"/>
        <w:ind w:left="1324" w:right="0" w:hanging="708"/>
        <w:jc w:val="left"/>
        <w:rPr>
          <w:sz w:val="38"/>
        </w:rPr>
      </w:pPr>
      <w:r>
        <w:rPr>
          <w:sz w:val="38"/>
        </w:rPr>
        <w:t>Purulent</w:t>
      </w:r>
      <w:r>
        <w:rPr>
          <w:spacing w:val="-1"/>
          <w:sz w:val="38"/>
        </w:rPr>
        <w:t> </w:t>
      </w:r>
      <w:r>
        <w:rPr>
          <w:sz w:val="38"/>
        </w:rPr>
        <w:t>tonsils</w:t>
      </w:r>
    </w:p>
    <w:p>
      <w:pPr>
        <w:pStyle w:val="ListParagraph"/>
        <w:numPr>
          <w:ilvl w:val="0"/>
          <w:numId w:val="131"/>
        </w:numPr>
        <w:tabs>
          <w:tab w:pos="1336" w:val="left" w:leader="none"/>
          <w:tab w:pos="1337" w:val="left" w:leader="none"/>
        </w:tabs>
        <w:spacing w:line="240" w:lineRule="auto" w:before="186" w:after="0"/>
        <w:ind w:left="1324" w:right="0" w:hanging="708"/>
        <w:jc w:val="left"/>
        <w:rPr>
          <w:sz w:val="38"/>
        </w:rPr>
      </w:pPr>
      <w:r>
        <w:rPr>
          <w:sz w:val="38"/>
        </w:rPr>
        <w:t>Eczema</w:t>
      </w:r>
    </w:p>
    <w:p>
      <w:pPr>
        <w:pStyle w:val="ListParagraph"/>
        <w:numPr>
          <w:ilvl w:val="0"/>
          <w:numId w:val="131"/>
        </w:numPr>
        <w:tabs>
          <w:tab w:pos="1336" w:val="left" w:leader="none"/>
          <w:tab w:pos="1337" w:val="left" w:leader="none"/>
        </w:tabs>
        <w:spacing w:line="240" w:lineRule="auto" w:before="184" w:after="0"/>
        <w:ind w:left="1324" w:right="0" w:hanging="708"/>
        <w:jc w:val="left"/>
        <w:rPr>
          <w:sz w:val="38"/>
        </w:rPr>
      </w:pPr>
      <w:r>
        <w:rPr>
          <w:sz w:val="38"/>
        </w:rPr>
        <w:t>Boils</w:t>
      </w:r>
    </w:p>
    <w:p>
      <w:pPr>
        <w:pStyle w:val="ListParagraph"/>
        <w:numPr>
          <w:ilvl w:val="0"/>
          <w:numId w:val="131"/>
        </w:numPr>
        <w:tabs>
          <w:tab w:pos="1336" w:val="left" w:leader="none"/>
          <w:tab w:pos="1337" w:val="left" w:leader="none"/>
        </w:tabs>
        <w:spacing w:line="240" w:lineRule="auto" w:before="184" w:after="0"/>
        <w:ind w:left="1324" w:right="0" w:hanging="708"/>
        <w:jc w:val="left"/>
        <w:rPr>
          <w:sz w:val="38"/>
        </w:rPr>
      </w:pPr>
      <w:r>
        <w:rPr>
          <w:sz w:val="38"/>
        </w:rPr>
        <w:t>Carbuncles</w:t>
      </w:r>
    </w:p>
    <w:p>
      <w:pPr>
        <w:pStyle w:val="ListParagraph"/>
        <w:numPr>
          <w:ilvl w:val="0"/>
          <w:numId w:val="131"/>
        </w:numPr>
        <w:tabs>
          <w:tab w:pos="1336" w:val="left" w:leader="none"/>
          <w:tab w:pos="1337" w:val="left" w:leader="none"/>
        </w:tabs>
        <w:spacing w:line="240" w:lineRule="auto" w:before="183" w:after="0"/>
        <w:ind w:left="1324" w:right="0" w:hanging="708"/>
        <w:jc w:val="left"/>
        <w:rPr>
          <w:sz w:val="38"/>
        </w:rPr>
      </w:pPr>
      <w:r>
        <w:rPr>
          <w:sz w:val="38"/>
        </w:rPr>
        <w:t>Eczema</w:t>
      </w:r>
    </w:p>
    <w:p>
      <w:pPr>
        <w:pStyle w:val="ListParagraph"/>
        <w:numPr>
          <w:ilvl w:val="0"/>
          <w:numId w:val="131"/>
        </w:numPr>
        <w:tabs>
          <w:tab w:pos="1336" w:val="left" w:leader="none"/>
          <w:tab w:pos="1337" w:val="left" w:leader="none"/>
        </w:tabs>
        <w:spacing w:line="240" w:lineRule="auto" w:before="186" w:after="0"/>
        <w:ind w:left="1324" w:right="0" w:hanging="708"/>
        <w:jc w:val="left"/>
        <w:rPr>
          <w:sz w:val="38"/>
        </w:rPr>
      </w:pPr>
      <w:r>
        <w:rPr>
          <w:sz w:val="38"/>
        </w:rPr>
        <w:t>Allergies</w:t>
      </w:r>
    </w:p>
    <w:p>
      <w:pPr>
        <w:pStyle w:val="ListParagraph"/>
        <w:numPr>
          <w:ilvl w:val="0"/>
          <w:numId w:val="131"/>
        </w:numPr>
        <w:tabs>
          <w:tab w:pos="1336" w:val="left" w:leader="none"/>
          <w:tab w:pos="1337" w:val="left" w:leader="none"/>
        </w:tabs>
        <w:spacing w:line="240" w:lineRule="auto" w:before="184" w:after="0"/>
        <w:ind w:left="1324" w:right="0" w:hanging="708"/>
        <w:jc w:val="left"/>
        <w:rPr>
          <w:sz w:val="38"/>
        </w:rPr>
      </w:pPr>
      <w:r>
        <w:rPr>
          <w:sz w:val="38"/>
        </w:rPr>
        <w:t>Psoriasis</w:t>
      </w:r>
    </w:p>
    <w:p>
      <w:pPr>
        <w:pStyle w:val="ListParagraph"/>
        <w:numPr>
          <w:ilvl w:val="0"/>
          <w:numId w:val="131"/>
        </w:numPr>
        <w:tabs>
          <w:tab w:pos="1336" w:val="left" w:leader="none"/>
          <w:tab w:pos="1337" w:val="left" w:leader="none"/>
        </w:tabs>
        <w:spacing w:line="240" w:lineRule="auto" w:before="184" w:after="0"/>
        <w:ind w:left="1324" w:right="0" w:hanging="708"/>
        <w:jc w:val="left"/>
        <w:rPr>
          <w:sz w:val="38"/>
        </w:rPr>
      </w:pPr>
      <w:r>
        <w:rPr>
          <w:sz w:val="38"/>
        </w:rPr>
        <w:t>Ulcerated</w:t>
      </w:r>
      <w:r>
        <w:rPr>
          <w:spacing w:val="-2"/>
          <w:sz w:val="38"/>
        </w:rPr>
        <w:t> </w:t>
      </w:r>
      <w:r>
        <w:rPr>
          <w:sz w:val="38"/>
        </w:rPr>
        <w:t>leg</w:t>
      </w:r>
    </w:p>
    <w:p>
      <w:pPr>
        <w:pStyle w:val="ListParagraph"/>
        <w:numPr>
          <w:ilvl w:val="0"/>
          <w:numId w:val="131"/>
        </w:numPr>
        <w:tabs>
          <w:tab w:pos="1336" w:val="left" w:leader="none"/>
          <w:tab w:pos="1337" w:val="left" w:leader="none"/>
        </w:tabs>
        <w:spacing w:line="240" w:lineRule="auto" w:before="184" w:after="0"/>
        <w:ind w:left="1324" w:right="0" w:hanging="708"/>
        <w:jc w:val="left"/>
        <w:rPr>
          <w:sz w:val="38"/>
        </w:rPr>
      </w:pPr>
      <w:r>
        <w:rPr>
          <w:sz w:val="38"/>
        </w:rPr>
        <w:t>Itchy skin</w:t>
      </w:r>
    </w:p>
    <w:p>
      <w:pPr>
        <w:pStyle w:val="ListParagraph"/>
        <w:numPr>
          <w:ilvl w:val="0"/>
          <w:numId w:val="131"/>
        </w:numPr>
        <w:tabs>
          <w:tab w:pos="1336" w:val="left" w:leader="none"/>
          <w:tab w:pos="1337" w:val="left" w:leader="none"/>
        </w:tabs>
        <w:spacing w:line="240" w:lineRule="auto" w:before="183" w:after="0"/>
        <w:ind w:left="1324" w:right="0" w:hanging="708"/>
        <w:jc w:val="left"/>
        <w:rPr>
          <w:sz w:val="38"/>
        </w:rPr>
      </w:pPr>
      <w:r>
        <w:rPr>
          <w:sz w:val="38"/>
        </w:rPr>
        <w:t>Haemorrhoids</w:t>
      </w:r>
    </w:p>
    <w:p>
      <w:pPr>
        <w:pStyle w:val="ListParagraph"/>
        <w:numPr>
          <w:ilvl w:val="0"/>
          <w:numId w:val="131"/>
        </w:numPr>
        <w:tabs>
          <w:tab w:pos="1336" w:val="left" w:leader="none"/>
          <w:tab w:pos="1337" w:val="left" w:leader="none"/>
        </w:tabs>
        <w:spacing w:line="240" w:lineRule="auto" w:before="186" w:after="0"/>
        <w:ind w:left="1324" w:right="0" w:hanging="708"/>
        <w:jc w:val="left"/>
        <w:rPr>
          <w:sz w:val="38"/>
        </w:rPr>
      </w:pPr>
      <w:r>
        <w:rPr>
          <w:sz w:val="38"/>
        </w:rPr>
        <w:t>Gallstones</w:t>
      </w:r>
    </w:p>
    <w:p>
      <w:pPr>
        <w:pStyle w:val="ListParagraph"/>
        <w:numPr>
          <w:ilvl w:val="0"/>
          <w:numId w:val="131"/>
        </w:numPr>
        <w:tabs>
          <w:tab w:pos="1336" w:val="left" w:leader="none"/>
          <w:tab w:pos="1337" w:val="left" w:leader="none"/>
        </w:tabs>
        <w:spacing w:line="240" w:lineRule="auto" w:before="184" w:after="0"/>
        <w:ind w:left="1324" w:right="0" w:hanging="708"/>
        <w:jc w:val="left"/>
        <w:rPr>
          <w:sz w:val="38"/>
        </w:rPr>
      </w:pPr>
      <w:r>
        <w:rPr>
          <w:sz w:val="38"/>
        </w:rPr>
        <w:t>Kidney stones</w:t>
      </w:r>
    </w:p>
    <w:p>
      <w:pPr>
        <w:pStyle w:val="ListParagraph"/>
        <w:numPr>
          <w:ilvl w:val="0"/>
          <w:numId w:val="131"/>
        </w:numPr>
        <w:tabs>
          <w:tab w:pos="1336" w:val="left" w:leader="none"/>
          <w:tab w:pos="1337" w:val="left" w:leader="none"/>
        </w:tabs>
        <w:spacing w:line="240" w:lineRule="auto" w:before="184" w:after="0"/>
        <w:ind w:left="1324" w:right="0" w:hanging="708"/>
        <w:jc w:val="left"/>
        <w:rPr>
          <w:sz w:val="38"/>
        </w:rPr>
      </w:pPr>
      <w:r>
        <w:rPr>
          <w:sz w:val="38"/>
        </w:rPr>
        <w:t>Bladder stones</w:t>
      </w:r>
    </w:p>
    <w:p>
      <w:pPr>
        <w:pStyle w:val="ListParagraph"/>
        <w:numPr>
          <w:ilvl w:val="0"/>
          <w:numId w:val="131"/>
        </w:numPr>
        <w:tabs>
          <w:tab w:pos="1336" w:val="left" w:leader="none"/>
          <w:tab w:pos="1337" w:val="left" w:leader="none"/>
        </w:tabs>
        <w:spacing w:line="240" w:lineRule="auto" w:before="184" w:after="0"/>
        <w:ind w:left="1324" w:right="0" w:hanging="708"/>
        <w:jc w:val="left"/>
        <w:rPr>
          <w:sz w:val="38"/>
        </w:rPr>
      </w:pPr>
      <w:r>
        <w:rPr>
          <w:sz w:val="38"/>
        </w:rPr>
        <w:t>Rheumatism</w:t>
      </w:r>
    </w:p>
    <w:p>
      <w:pPr>
        <w:spacing w:after="0" w:line="240" w:lineRule="auto"/>
        <w:jc w:val="left"/>
        <w:rPr>
          <w:sz w:val="38"/>
        </w:rPr>
        <w:sectPr>
          <w:pgSz w:w="14270" w:h="16850"/>
          <w:pgMar w:header="0" w:footer="1891" w:top="1360" w:bottom="2080" w:left="800" w:right="1280"/>
        </w:sectPr>
      </w:pPr>
    </w:p>
    <w:p>
      <w:pPr>
        <w:pStyle w:val="ListParagraph"/>
        <w:numPr>
          <w:ilvl w:val="0"/>
          <w:numId w:val="131"/>
        </w:numPr>
        <w:tabs>
          <w:tab w:pos="1337" w:val="left" w:leader="none"/>
        </w:tabs>
        <w:spacing w:line="240" w:lineRule="auto" w:before="53" w:after="0"/>
        <w:ind w:left="1324" w:right="0" w:hanging="708"/>
        <w:jc w:val="both"/>
        <w:rPr>
          <w:sz w:val="38"/>
        </w:rPr>
      </w:pPr>
      <w:r>
        <w:rPr>
          <w:sz w:val="38"/>
        </w:rPr>
        <w:t>Gout</w:t>
      </w:r>
    </w:p>
    <w:p>
      <w:pPr>
        <w:pStyle w:val="ListParagraph"/>
        <w:numPr>
          <w:ilvl w:val="0"/>
          <w:numId w:val="131"/>
        </w:numPr>
        <w:tabs>
          <w:tab w:pos="1337" w:val="left" w:leader="none"/>
        </w:tabs>
        <w:spacing w:line="240" w:lineRule="auto" w:before="186" w:after="0"/>
        <w:ind w:left="1324" w:right="0" w:hanging="708"/>
        <w:jc w:val="both"/>
        <w:rPr>
          <w:sz w:val="38"/>
        </w:rPr>
      </w:pPr>
      <w:r>
        <w:rPr>
          <w:sz w:val="38"/>
        </w:rPr>
        <w:t>Arthrosis</w:t>
      </w:r>
    </w:p>
    <w:p>
      <w:pPr>
        <w:pStyle w:val="ListParagraph"/>
        <w:numPr>
          <w:ilvl w:val="0"/>
          <w:numId w:val="131"/>
        </w:numPr>
        <w:tabs>
          <w:tab w:pos="1337" w:val="left" w:leader="none"/>
        </w:tabs>
        <w:spacing w:line="240" w:lineRule="auto" w:before="184" w:after="0"/>
        <w:ind w:left="1324" w:right="0" w:hanging="708"/>
        <w:jc w:val="both"/>
        <w:rPr>
          <w:sz w:val="38"/>
        </w:rPr>
      </w:pPr>
      <w:r>
        <w:rPr>
          <w:sz w:val="38"/>
        </w:rPr>
        <w:t>Stroke</w:t>
      </w:r>
    </w:p>
    <w:p>
      <w:pPr>
        <w:pStyle w:val="ListParagraph"/>
        <w:numPr>
          <w:ilvl w:val="0"/>
          <w:numId w:val="131"/>
        </w:numPr>
        <w:tabs>
          <w:tab w:pos="1337" w:val="left" w:leader="none"/>
        </w:tabs>
        <w:spacing w:line="240" w:lineRule="auto" w:before="184" w:after="0"/>
        <w:ind w:left="1324" w:right="0" w:hanging="708"/>
        <w:jc w:val="both"/>
        <w:rPr>
          <w:sz w:val="38"/>
        </w:rPr>
      </w:pPr>
      <w:r>
        <w:rPr>
          <w:sz w:val="38"/>
        </w:rPr>
        <w:t>Tartar</w:t>
      </w:r>
    </w:p>
    <w:p>
      <w:pPr>
        <w:pStyle w:val="ListParagraph"/>
        <w:numPr>
          <w:ilvl w:val="0"/>
          <w:numId w:val="131"/>
        </w:numPr>
        <w:tabs>
          <w:tab w:pos="1337" w:val="left" w:leader="none"/>
        </w:tabs>
        <w:spacing w:line="240" w:lineRule="auto" w:before="183" w:after="0"/>
        <w:ind w:left="1324" w:right="0" w:hanging="708"/>
        <w:jc w:val="both"/>
        <w:rPr>
          <w:sz w:val="38"/>
        </w:rPr>
      </w:pPr>
      <w:r>
        <w:rPr>
          <w:sz w:val="38"/>
        </w:rPr>
        <w:t>Lipoma</w:t>
      </w:r>
    </w:p>
    <w:p>
      <w:pPr>
        <w:pStyle w:val="ListParagraph"/>
        <w:numPr>
          <w:ilvl w:val="0"/>
          <w:numId w:val="131"/>
        </w:numPr>
        <w:tabs>
          <w:tab w:pos="1337" w:val="left" w:leader="none"/>
        </w:tabs>
        <w:spacing w:line="240" w:lineRule="auto" w:before="184" w:after="0"/>
        <w:ind w:left="1324" w:right="0" w:hanging="708"/>
        <w:jc w:val="both"/>
        <w:rPr>
          <w:sz w:val="38"/>
        </w:rPr>
      </w:pPr>
      <w:r>
        <w:rPr>
          <w:sz w:val="38"/>
        </w:rPr>
        <w:t>Fibroma</w:t>
      </w:r>
    </w:p>
    <w:p>
      <w:pPr>
        <w:pStyle w:val="ListParagraph"/>
        <w:numPr>
          <w:ilvl w:val="0"/>
          <w:numId w:val="131"/>
        </w:numPr>
        <w:tabs>
          <w:tab w:pos="1337" w:val="left" w:leader="none"/>
        </w:tabs>
        <w:spacing w:line="240" w:lineRule="auto" w:before="186" w:after="0"/>
        <w:ind w:left="1324" w:right="0" w:hanging="708"/>
        <w:jc w:val="both"/>
        <w:rPr>
          <w:sz w:val="38"/>
        </w:rPr>
      </w:pPr>
      <w:r>
        <w:rPr>
          <w:sz w:val="38"/>
        </w:rPr>
        <w:t>Dyslexia</w:t>
      </w:r>
    </w:p>
    <w:p>
      <w:pPr>
        <w:pStyle w:val="ListParagraph"/>
        <w:numPr>
          <w:ilvl w:val="0"/>
          <w:numId w:val="131"/>
        </w:numPr>
        <w:tabs>
          <w:tab w:pos="1337" w:val="left" w:leader="none"/>
        </w:tabs>
        <w:spacing w:line="240" w:lineRule="auto" w:before="184" w:after="0"/>
        <w:ind w:left="1324" w:right="0" w:hanging="708"/>
        <w:jc w:val="both"/>
        <w:rPr>
          <w:sz w:val="38"/>
        </w:rPr>
      </w:pPr>
      <w:r>
        <w:rPr>
          <w:sz w:val="38"/>
        </w:rPr>
        <w:t>Diabetes</w:t>
      </w:r>
      <w:r>
        <w:rPr>
          <w:spacing w:val="2"/>
          <w:sz w:val="38"/>
        </w:rPr>
        <w:t> </w:t>
      </w:r>
      <w:r>
        <w:rPr>
          <w:sz w:val="38"/>
        </w:rPr>
        <w:t>mellitus</w:t>
      </w:r>
    </w:p>
    <w:p>
      <w:pPr>
        <w:pStyle w:val="ListParagraph"/>
        <w:numPr>
          <w:ilvl w:val="0"/>
          <w:numId w:val="131"/>
        </w:numPr>
        <w:tabs>
          <w:tab w:pos="1337" w:val="left" w:leader="none"/>
        </w:tabs>
        <w:spacing w:line="240" w:lineRule="auto" w:before="184" w:after="0"/>
        <w:ind w:left="1324" w:right="0" w:hanging="708"/>
        <w:jc w:val="both"/>
        <w:rPr>
          <w:sz w:val="38"/>
        </w:rPr>
      </w:pPr>
      <w:r>
        <w:rPr>
          <w:sz w:val="38"/>
        </w:rPr>
        <w:t>Gastritis</w:t>
      </w:r>
    </w:p>
    <w:p>
      <w:pPr>
        <w:pStyle w:val="ListParagraph"/>
        <w:numPr>
          <w:ilvl w:val="0"/>
          <w:numId w:val="131"/>
        </w:numPr>
        <w:tabs>
          <w:tab w:pos="1337" w:val="left" w:leader="none"/>
        </w:tabs>
        <w:spacing w:line="240" w:lineRule="auto" w:before="183" w:after="0"/>
        <w:ind w:left="1324" w:right="0" w:hanging="708"/>
        <w:jc w:val="both"/>
        <w:rPr>
          <w:sz w:val="38"/>
        </w:rPr>
      </w:pPr>
      <w:r>
        <w:rPr>
          <w:sz w:val="38"/>
        </w:rPr>
        <w:t>Colitis</w:t>
      </w:r>
      <w:r>
        <w:rPr>
          <w:spacing w:val="1"/>
          <w:sz w:val="38"/>
        </w:rPr>
        <w:t> </w:t>
      </w:r>
      <w:r>
        <w:rPr>
          <w:sz w:val="38"/>
        </w:rPr>
        <w:t>ulcerosa</w:t>
      </w:r>
    </w:p>
    <w:p>
      <w:pPr>
        <w:pStyle w:val="ListParagraph"/>
        <w:numPr>
          <w:ilvl w:val="0"/>
          <w:numId w:val="131"/>
        </w:numPr>
        <w:tabs>
          <w:tab w:pos="1337" w:val="left" w:leader="none"/>
        </w:tabs>
        <w:spacing w:line="240" w:lineRule="auto" w:before="186" w:after="0"/>
        <w:ind w:left="1324" w:right="0" w:hanging="708"/>
        <w:jc w:val="both"/>
        <w:rPr>
          <w:sz w:val="38"/>
        </w:rPr>
      </w:pPr>
      <w:r>
        <w:rPr>
          <w:sz w:val="38"/>
        </w:rPr>
        <w:t>Parkinson’s</w:t>
      </w:r>
    </w:p>
    <w:p>
      <w:pPr>
        <w:pStyle w:val="ListParagraph"/>
        <w:numPr>
          <w:ilvl w:val="0"/>
          <w:numId w:val="131"/>
        </w:numPr>
        <w:tabs>
          <w:tab w:pos="1337" w:val="left" w:leader="none"/>
        </w:tabs>
        <w:spacing w:line="240" w:lineRule="auto" w:before="184" w:after="0"/>
        <w:ind w:left="1324" w:right="0" w:hanging="708"/>
        <w:jc w:val="both"/>
        <w:rPr>
          <w:sz w:val="38"/>
        </w:rPr>
      </w:pPr>
      <w:r>
        <w:rPr>
          <w:sz w:val="38"/>
        </w:rPr>
        <w:t>Alzheimer’s</w:t>
      </w:r>
    </w:p>
    <w:p>
      <w:pPr>
        <w:pStyle w:val="ListParagraph"/>
        <w:numPr>
          <w:ilvl w:val="0"/>
          <w:numId w:val="131"/>
        </w:numPr>
        <w:tabs>
          <w:tab w:pos="1337" w:val="left" w:leader="none"/>
        </w:tabs>
        <w:spacing w:line="240" w:lineRule="auto" w:before="184" w:after="0"/>
        <w:ind w:left="1324" w:right="0" w:hanging="708"/>
        <w:jc w:val="both"/>
        <w:rPr>
          <w:sz w:val="38"/>
        </w:rPr>
      </w:pPr>
      <w:r>
        <w:rPr>
          <w:sz w:val="38"/>
        </w:rPr>
        <w:t>Arthritis</w:t>
      </w:r>
    </w:p>
    <w:p>
      <w:pPr>
        <w:pStyle w:val="ListParagraph"/>
        <w:numPr>
          <w:ilvl w:val="0"/>
          <w:numId w:val="131"/>
        </w:numPr>
        <w:tabs>
          <w:tab w:pos="1337" w:val="left" w:leader="none"/>
        </w:tabs>
        <w:spacing w:line="240" w:lineRule="auto" w:before="184" w:after="0"/>
        <w:ind w:left="1324" w:right="0" w:hanging="708"/>
        <w:jc w:val="both"/>
        <w:rPr>
          <w:sz w:val="38"/>
        </w:rPr>
      </w:pPr>
      <w:r>
        <w:rPr>
          <w:sz w:val="38"/>
        </w:rPr>
        <w:t>Crohn's disease</w:t>
      </w:r>
    </w:p>
    <w:p>
      <w:pPr>
        <w:pStyle w:val="ListParagraph"/>
        <w:numPr>
          <w:ilvl w:val="0"/>
          <w:numId w:val="131"/>
        </w:numPr>
        <w:tabs>
          <w:tab w:pos="1337" w:val="left" w:leader="none"/>
        </w:tabs>
        <w:spacing w:line="240" w:lineRule="auto" w:before="183" w:after="0"/>
        <w:ind w:left="1324" w:right="0" w:hanging="708"/>
        <w:jc w:val="both"/>
        <w:rPr>
          <w:sz w:val="38"/>
        </w:rPr>
      </w:pPr>
      <w:r>
        <w:rPr>
          <w:sz w:val="38"/>
        </w:rPr>
        <w:t>Bekhterev's</w:t>
      </w:r>
      <w:r>
        <w:rPr>
          <w:spacing w:val="1"/>
          <w:sz w:val="38"/>
        </w:rPr>
        <w:t> </w:t>
      </w:r>
      <w:r>
        <w:rPr>
          <w:sz w:val="38"/>
        </w:rPr>
        <w:t>disease</w:t>
      </w:r>
    </w:p>
    <w:p>
      <w:pPr>
        <w:pStyle w:val="Heading2"/>
        <w:spacing w:before="307"/>
        <w:ind w:left="616"/>
        <w:jc w:val="both"/>
      </w:pPr>
      <w:r>
        <w:rPr/>
        <w:t>CONCLUSION:</w:t>
      </w:r>
    </w:p>
    <w:p>
      <w:pPr>
        <w:pStyle w:val="BodyText"/>
        <w:spacing w:line="276" w:lineRule="auto" w:before="303"/>
        <w:ind w:left="616" w:right="134"/>
        <w:jc w:val="both"/>
      </w:pPr>
      <w:r>
        <w:rPr/>
        <w:t>It</w:t>
      </w:r>
      <w:r>
        <w:rPr>
          <w:spacing w:val="-7"/>
        </w:rPr>
        <w:t> </w:t>
      </w:r>
      <w:r>
        <w:rPr/>
        <w:t>is</w:t>
      </w:r>
      <w:r>
        <w:rPr>
          <w:spacing w:val="-7"/>
        </w:rPr>
        <w:t> </w:t>
      </w:r>
      <w:r>
        <w:rPr/>
        <w:t>not</w:t>
      </w:r>
      <w:r>
        <w:rPr>
          <w:spacing w:val="-6"/>
        </w:rPr>
        <w:t> </w:t>
      </w:r>
      <w:r>
        <w:rPr/>
        <w:t>the</w:t>
      </w:r>
      <w:r>
        <w:rPr>
          <w:spacing w:val="-6"/>
        </w:rPr>
        <w:t> </w:t>
      </w:r>
      <w:r>
        <w:rPr/>
        <w:t>acid</w:t>
      </w:r>
      <w:r>
        <w:rPr>
          <w:spacing w:val="-8"/>
        </w:rPr>
        <w:t> </w:t>
      </w:r>
      <w:r>
        <w:rPr/>
        <w:t>itself</w:t>
      </w:r>
      <w:r>
        <w:rPr>
          <w:spacing w:val="-6"/>
        </w:rPr>
        <w:t> </w:t>
      </w:r>
      <w:r>
        <w:rPr/>
        <w:t>which</w:t>
      </w:r>
      <w:r>
        <w:rPr>
          <w:spacing w:val="-6"/>
        </w:rPr>
        <w:t> </w:t>
      </w:r>
      <w:r>
        <w:rPr/>
        <w:t>makes</w:t>
      </w:r>
      <w:r>
        <w:rPr>
          <w:spacing w:val="-6"/>
        </w:rPr>
        <w:t> </w:t>
      </w:r>
      <w:r>
        <w:rPr/>
        <w:t>people</w:t>
      </w:r>
      <w:r>
        <w:rPr>
          <w:spacing w:val="-6"/>
        </w:rPr>
        <w:t> </w:t>
      </w:r>
      <w:r>
        <w:rPr/>
        <w:t>ill,</w:t>
      </w:r>
      <w:r>
        <w:rPr>
          <w:spacing w:val="-6"/>
        </w:rPr>
        <w:t> </w:t>
      </w:r>
      <w:r>
        <w:rPr/>
        <w:t>rather</w:t>
      </w:r>
      <w:r>
        <w:rPr>
          <w:spacing w:val="-4"/>
        </w:rPr>
        <w:t> </w:t>
      </w:r>
      <w:r>
        <w:rPr/>
        <w:t>the</w:t>
      </w:r>
      <w:r>
        <w:rPr>
          <w:spacing w:val="-5"/>
        </w:rPr>
        <w:t> </w:t>
      </w:r>
      <w:r>
        <w:rPr/>
        <w:t>demineralisation</w:t>
      </w:r>
      <w:r>
        <w:rPr>
          <w:spacing w:val="-6"/>
        </w:rPr>
        <w:t> </w:t>
      </w:r>
      <w:r>
        <w:rPr/>
        <w:t>pro- cess which cannot be separated from acidification as the body de-mineralises itself</w:t>
      </w:r>
      <w:r>
        <w:rPr>
          <w:spacing w:val="33"/>
        </w:rPr>
        <w:t> </w:t>
      </w:r>
      <w:r>
        <w:rPr/>
        <w:t>in</w:t>
      </w:r>
      <w:r>
        <w:rPr>
          <w:spacing w:val="34"/>
        </w:rPr>
        <w:t> </w:t>
      </w:r>
      <w:r>
        <w:rPr/>
        <w:t>order</w:t>
      </w:r>
      <w:r>
        <w:rPr>
          <w:spacing w:val="34"/>
        </w:rPr>
        <w:t> </w:t>
      </w:r>
      <w:r>
        <w:rPr/>
        <w:t>to</w:t>
      </w:r>
      <w:r>
        <w:rPr>
          <w:spacing w:val="34"/>
        </w:rPr>
        <w:t> </w:t>
      </w:r>
      <w:r>
        <w:rPr/>
        <w:t>effectively</w:t>
      </w:r>
      <w:r>
        <w:rPr>
          <w:spacing w:val="33"/>
        </w:rPr>
        <w:t> </w:t>
      </w:r>
      <w:r>
        <w:rPr/>
        <w:t>bind</w:t>
      </w:r>
      <w:r>
        <w:rPr>
          <w:spacing w:val="33"/>
        </w:rPr>
        <w:t> </w:t>
      </w:r>
      <w:r>
        <w:rPr/>
        <w:t>the</w:t>
      </w:r>
      <w:r>
        <w:rPr>
          <w:spacing w:val="35"/>
        </w:rPr>
        <w:t> </w:t>
      </w:r>
      <w:r>
        <w:rPr/>
        <w:t>dangerous</w:t>
      </w:r>
      <w:r>
        <w:rPr>
          <w:spacing w:val="31"/>
        </w:rPr>
        <w:t> </w:t>
      </w:r>
      <w:r>
        <w:rPr/>
        <w:t>acids</w:t>
      </w:r>
      <w:r>
        <w:rPr>
          <w:spacing w:val="33"/>
        </w:rPr>
        <w:t> </w:t>
      </w:r>
      <w:r>
        <w:rPr/>
        <w:t>as</w:t>
      </w:r>
      <w:r>
        <w:rPr>
          <w:spacing w:val="34"/>
        </w:rPr>
        <w:t> </w:t>
      </w:r>
      <w:r>
        <w:rPr/>
        <w:t>quickly</w:t>
      </w:r>
      <w:r>
        <w:rPr>
          <w:spacing w:val="35"/>
        </w:rPr>
        <w:t> </w:t>
      </w:r>
      <w:r>
        <w:rPr/>
        <w:t>as</w:t>
      </w:r>
      <w:r>
        <w:rPr>
          <w:spacing w:val="33"/>
        </w:rPr>
        <w:t> </w:t>
      </w:r>
      <w:r>
        <w:rPr/>
        <w:t>possible!</w:t>
      </w:r>
    </w:p>
    <w:p>
      <w:pPr>
        <w:spacing w:after="0" w:line="276" w:lineRule="auto"/>
        <w:jc w:val="both"/>
        <w:sectPr>
          <w:pgSz w:w="14270" w:h="16850"/>
          <w:pgMar w:header="0" w:footer="1891" w:top="1360" w:bottom="2080" w:left="800" w:right="1280"/>
        </w:sectPr>
      </w:pPr>
    </w:p>
    <w:p>
      <w:pPr>
        <w:pStyle w:val="BodyText"/>
        <w:spacing w:line="278" w:lineRule="auto" w:before="72"/>
        <w:ind w:left="616"/>
      </w:pPr>
      <w:r>
        <w:rPr/>
        <w:t>According</w:t>
      </w:r>
      <w:r>
        <w:rPr>
          <w:spacing w:val="-22"/>
        </w:rPr>
        <w:t> </w:t>
      </w:r>
      <w:r>
        <w:rPr/>
        <w:t>to</w:t>
      </w:r>
      <w:r>
        <w:rPr>
          <w:spacing w:val="-21"/>
        </w:rPr>
        <w:t> </w:t>
      </w:r>
      <w:r>
        <w:rPr/>
        <w:t>Leisen</w:t>
      </w:r>
      <w:r>
        <w:rPr>
          <w:spacing w:val="-21"/>
        </w:rPr>
        <w:t> </w:t>
      </w:r>
      <w:r>
        <w:rPr/>
        <w:t>and</w:t>
      </w:r>
      <w:r>
        <w:rPr>
          <w:spacing w:val="-21"/>
        </w:rPr>
        <w:t> </w:t>
      </w:r>
      <w:r>
        <w:rPr/>
        <w:t>Lohkämper,</w:t>
      </w:r>
      <w:r>
        <w:rPr>
          <w:spacing w:val="-22"/>
        </w:rPr>
        <w:t> </w:t>
      </w:r>
      <w:r>
        <w:rPr/>
        <w:t>different</w:t>
      </w:r>
      <w:r>
        <w:rPr>
          <w:spacing w:val="-22"/>
        </w:rPr>
        <w:t> </w:t>
      </w:r>
      <w:r>
        <w:rPr/>
        <w:t>minerals</w:t>
      </w:r>
      <w:r>
        <w:rPr>
          <w:spacing w:val="-22"/>
        </w:rPr>
        <w:t> </w:t>
      </w:r>
      <w:r>
        <w:rPr/>
        <w:t>are</w:t>
      </w:r>
      <w:r>
        <w:rPr>
          <w:spacing w:val="-21"/>
        </w:rPr>
        <w:t> </w:t>
      </w:r>
      <w:r>
        <w:rPr/>
        <w:t>used</w:t>
      </w:r>
      <w:r>
        <w:rPr>
          <w:spacing w:val="-22"/>
        </w:rPr>
        <w:t> </w:t>
      </w:r>
      <w:r>
        <w:rPr/>
        <w:t>up</w:t>
      </w:r>
      <w:r>
        <w:rPr>
          <w:spacing w:val="-21"/>
        </w:rPr>
        <w:t> </w:t>
      </w:r>
      <w:r>
        <w:rPr/>
        <w:t>depending on the type of disease; see</w:t>
      </w:r>
      <w:r>
        <w:rPr>
          <w:spacing w:val="3"/>
        </w:rPr>
        <w:t> </w:t>
      </w:r>
      <w:r>
        <w:rPr/>
        <w:t>table:</w:t>
      </w:r>
    </w:p>
    <w:p>
      <w:pPr>
        <w:pStyle w:val="BodyText"/>
        <w:rPr>
          <w:sz w:val="20"/>
        </w:rPr>
      </w:pPr>
    </w:p>
    <w:p>
      <w:pPr>
        <w:pStyle w:val="BodyText"/>
        <w:rPr>
          <w:sz w:val="20"/>
        </w:rPr>
      </w:pPr>
    </w:p>
    <w:p>
      <w:pPr>
        <w:pStyle w:val="BodyText"/>
        <w:rPr>
          <w:sz w:val="20"/>
        </w:rPr>
      </w:pPr>
    </w:p>
    <w:p>
      <w:pPr>
        <w:pStyle w:val="BodyText"/>
        <w:spacing w:before="11"/>
        <w:rPr>
          <w:sz w:val="18"/>
        </w:rPr>
      </w:pPr>
    </w:p>
    <w:tbl>
      <w:tblPr>
        <w:tblW w:w="0" w:type="auto"/>
        <w:jc w:val="left"/>
        <w:tblInd w:w="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65"/>
        <w:gridCol w:w="3985"/>
      </w:tblGrid>
      <w:tr>
        <w:trPr>
          <w:trHeight w:val="1915" w:hRule="atLeast"/>
        </w:trPr>
        <w:tc>
          <w:tcPr>
            <w:tcW w:w="6150" w:type="dxa"/>
            <w:gridSpan w:val="2"/>
            <w:shd w:val="clear" w:color="auto" w:fill="8DB3E1"/>
          </w:tcPr>
          <w:p>
            <w:pPr>
              <w:pStyle w:val="TableParagraph"/>
              <w:spacing w:line="276" w:lineRule="auto" w:before="236"/>
              <w:ind w:left="107" w:right="95"/>
              <w:jc w:val="center"/>
              <w:rPr>
                <w:b/>
                <w:sz w:val="38"/>
              </w:rPr>
            </w:pPr>
            <w:r>
              <w:rPr>
                <w:b/>
                <w:sz w:val="38"/>
              </w:rPr>
              <w:t>Energetically used or acid connected elements (according to Lei- sen/Lohkämper)</w:t>
            </w:r>
          </w:p>
        </w:tc>
      </w:tr>
      <w:tr>
        <w:trPr>
          <w:trHeight w:val="2406" w:hRule="atLeast"/>
        </w:trPr>
        <w:tc>
          <w:tcPr>
            <w:tcW w:w="2165" w:type="dxa"/>
          </w:tcPr>
          <w:p>
            <w:pPr>
              <w:pStyle w:val="TableParagraph"/>
              <w:spacing w:before="238"/>
              <w:ind w:left="136" w:right="126"/>
              <w:jc w:val="center"/>
              <w:rPr>
                <w:sz w:val="38"/>
              </w:rPr>
            </w:pPr>
            <w:r>
              <w:rPr>
                <w:sz w:val="38"/>
              </w:rPr>
              <w:t>AIDS</w:t>
            </w:r>
          </w:p>
        </w:tc>
        <w:tc>
          <w:tcPr>
            <w:tcW w:w="3985" w:type="dxa"/>
          </w:tcPr>
          <w:p>
            <w:pPr>
              <w:pStyle w:val="TableParagraph"/>
              <w:spacing w:before="236"/>
              <w:ind w:left="96" w:right="91"/>
              <w:jc w:val="center"/>
              <w:rPr>
                <w:sz w:val="38"/>
              </w:rPr>
            </w:pPr>
            <w:r>
              <w:rPr>
                <w:sz w:val="38"/>
              </w:rPr>
              <w:t>Au, Ca, Cd, CI, Co, Cu,</w:t>
            </w:r>
          </w:p>
          <w:p>
            <w:pPr>
              <w:pStyle w:val="TableParagraph"/>
              <w:spacing w:before="65"/>
              <w:ind w:left="96" w:right="92"/>
              <w:jc w:val="center"/>
              <w:rPr>
                <w:sz w:val="38"/>
              </w:rPr>
            </w:pPr>
            <w:r>
              <w:rPr>
                <w:sz w:val="38"/>
              </w:rPr>
              <w:t>Fe, Ge, Hf, Hg, Ir, K,</w:t>
            </w:r>
            <w:r>
              <w:rPr>
                <w:spacing w:val="-15"/>
                <w:sz w:val="38"/>
              </w:rPr>
              <w:t> </w:t>
            </w:r>
            <w:r>
              <w:rPr>
                <w:sz w:val="38"/>
              </w:rPr>
              <w:t>La,</w:t>
            </w:r>
          </w:p>
          <w:p>
            <w:pPr>
              <w:pStyle w:val="TableParagraph"/>
              <w:spacing w:before="64"/>
              <w:ind w:left="96" w:right="90"/>
              <w:jc w:val="center"/>
              <w:rPr>
                <w:sz w:val="38"/>
              </w:rPr>
            </w:pPr>
            <w:r>
              <w:rPr>
                <w:sz w:val="38"/>
              </w:rPr>
              <w:t>Mg, N, Na, Ni, O, Os,</w:t>
            </w:r>
            <w:r>
              <w:rPr>
                <w:spacing w:val="-10"/>
                <w:sz w:val="38"/>
              </w:rPr>
              <w:t> </w:t>
            </w:r>
            <w:r>
              <w:rPr>
                <w:sz w:val="38"/>
              </w:rPr>
              <w:t>P,</w:t>
            </w:r>
          </w:p>
          <w:p>
            <w:pPr>
              <w:pStyle w:val="TableParagraph"/>
              <w:spacing w:before="65"/>
              <w:ind w:left="203"/>
              <w:rPr>
                <w:sz w:val="38"/>
              </w:rPr>
            </w:pPr>
            <w:r>
              <w:rPr>
                <w:sz w:val="38"/>
              </w:rPr>
              <w:t>Rb, Se, Si, Sr, Te, Ti, Zn</w:t>
            </w:r>
          </w:p>
        </w:tc>
      </w:tr>
      <w:tr>
        <w:trPr>
          <w:trHeight w:val="1423" w:hRule="atLeast"/>
        </w:trPr>
        <w:tc>
          <w:tcPr>
            <w:tcW w:w="2165" w:type="dxa"/>
          </w:tcPr>
          <w:p>
            <w:pPr>
              <w:pStyle w:val="TableParagraph"/>
              <w:spacing w:line="278" w:lineRule="auto" w:before="236"/>
              <w:ind w:left="357" w:right="325" w:firstLine="24"/>
              <w:rPr>
                <w:sz w:val="38"/>
              </w:rPr>
            </w:pPr>
            <w:r>
              <w:rPr>
                <w:sz w:val="38"/>
              </w:rPr>
              <w:t>Amalgam poisoning</w:t>
            </w:r>
          </w:p>
        </w:tc>
        <w:tc>
          <w:tcPr>
            <w:tcW w:w="3985" w:type="dxa"/>
          </w:tcPr>
          <w:p>
            <w:pPr>
              <w:pStyle w:val="TableParagraph"/>
              <w:spacing w:before="236"/>
              <w:ind w:left="96" w:right="88"/>
              <w:jc w:val="center"/>
              <w:rPr>
                <w:sz w:val="38"/>
              </w:rPr>
            </w:pPr>
            <w:r>
              <w:rPr>
                <w:sz w:val="38"/>
              </w:rPr>
              <w:t>As, Bi, Br, Ca, CI, Co, F,</w:t>
            </w:r>
          </w:p>
          <w:p>
            <w:pPr>
              <w:pStyle w:val="TableParagraph"/>
              <w:spacing w:before="67"/>
              <w:ind w:left="96" w:right="87"/>
              <w:jc w:val="center"/>
              <w:rPr>
                <w:sz w:val="38"/>
              </w:rPr>
            </w:pPr>
            <w:r>
              <w:rPr>
                <w:sz w:val="38"/>
              </w:rPr>
              <w:t>Hg, Ni, O, Pb, Sn, V</w:t>
            </w:r>
          </w:p>
        </w:tc>
      </w:tr>
      <w:tr>
        <w:trPr>
          <w:trHeight w:val="1422" w:hRule="atLeast"/>
        </w:trPr>
        <w:tc>
          <w:tcPr>
            <w:tcW w:w="2165" w:type="dxa"/>
          </w:tcPr>
          <w:p>
            <w:pPr>
              <w:pStyle w:val="TableParagraph"/>
              <w:spacing w:line="278" w:lineRule="auto" w:before="236"/>
              <w:ind w:left="510" w:right="405" w:hanging="75"/>
              <w:rPr>
                <w:sz w:val="38"/>
              </w:rPr>
            </w:pPr>
            <w:r>
              <w:rPr>
                <w:sz w:val="38"/>
              </w:rPr>
              <w:t>Diabetes</w:t>
            </w:r>
            <w:r>
              <w:rPr>
                <w:w w:val="99"/>
                <w:sz w:val="38"/>
              </w:rPr>
              <w:t> </w:t>
            </w:r>
            <w:r>
              <w:rPr>
                <w:sz w:val="38"/>
              </w:rPr>
              <w:t>mellitus</w:t>
            </w:r>
          </w:p>
        </w:tc>
        <w:tc>
          <w:tcPr>
            <w:tcW w:w="3985" w:type="dxa"/>
          </w:tcPr>
          <w:p>
            <w:pPr>
              <w:pStyle w:val="TableParagraph"/>
              <w:spacing w:before="236"/>
              <w:ind w:left="96" w:right="90"/>
              <w:jc w:val="center"/>
              <w:rPr>
                <w:sz w:val="38"/>
              </w:rPr>
            </w:pPr>
            <w:r>
              <w:rPr>
                <w:sz w:val="38"/>
              </w:rPr>
              <w:t>Au, Cr, Hf, J, La, Pt, S,</w:t>
            </w:r>
          </w:p>
          <w:p>
            <w:pPr>
              <w:pStyle w:val="TableParagraph"/>
              <w:spacing w:before="67"/>
              <w:ind w:left="96" w:right="85"/>
              <w:jc w:val="center"/>
              <w:rPr>
                <w:sz w:val="38"/>
              </w:rPr>
            </w:pPr>
            <w:r>
              <w:rPr>
                <w:sz w:val="38"/>
              </w:rPr>
              <w:t>Zn</w:t>
            </w:r>
          </w:p>
        </w:tc>
      </w:tr>
      <w:tr>
        <w:trPr>
          <w:trHeight w:val="1422" w:hRule="atLeast"/>
        </w:trPr>
        <w:tc>
          <w:tcPr>
            <w:tcW w:w="2165" w:type="dxa"/>
          </w:tcPr>
          <w:p>
            <w:pPr>
              <w:pStyle w:val="TableParagraph"/>
              <w:spacing w:before="238"/>
              <w:ind w:left="136" w:right="124"/>
              <w:jc w:val="center"/>
              <w:rPr>
                <w:sz w:val="38"/>
              </w:rPr>
            </w:pPr>
            <w:r>
              <w:rPr>
                <w:sz w:val="38"/>
              </w:rPr>
              <w:t>Cancer</w:t>
            </w:r>
          </w:p>
        </w:tc>
        <w:tc>
          <w:tcPr>
            <w:tcW w:w="3985" w:type="dxa"/>
          </w:tcPr>
          <w:p>
            <w:pPr>
              <w:pStyle w:val="TableParagraph"/>
              <w:spacing w:line="278" w:lineRule="auto" w:before="236"/>
              <w:ind w:left="1279" w:right="238" w:hanging="1014"/>
              <w:rPr>
                <w:sz w:val="38"/>
              </w:rPr>
            </w:pPr>
            <w:r>
              <w:rPr>
                <w:sz w:val="38"/>
              </w:rPr>
              <w:t>As, Fe, Ge, Pb, Sm, Sn, Sr, Ti, Zn</w:t>
            </w:r>
          </w:p>
        </w:tc>
      </w:tr>
      <w:tr>
        <w:trPr>
          <w:trHeight w:val="1423" w:hRule="atLeast"/>
        </w:trPr>
        <w:tc>
          <w:tcPr>
            <w:tcW w:w="2165" w:type="dxa"/>
          </w:tcPr>
          <w:p>
            <w:pPr>
              <w:pStyle w:val="TableParagraph"/>
              <w:spacing w:before="239"/>
              <w:ind w:left="136" w:right="126"/>
              <w:jc w:val="center"/>
              <w:rPr>
                <w:sz w:val="38"/>
              </w:rPr>
            </w:pPr>
            <w:r>
              <w:rPr>
                <w:sz w:val="38"/>
              </w:rPr>
              <w:t>Rheumatism</w:t>
            </w:r>
          </w:p>
        </w:tc>
        <w:tc>
          <w:tcPr>
            <w:tcW w:w="3985" w:type="dxa"/>
          </w:tcPr>
          <w:p>
            <w:pPr>
              <w:pStyle w:val="TableParagraph"/>
              <w:spacing w:line="278" w:lineRule="auto" w:before="237"/>
              <w:ind w:left="1228" w:hanging="860"/>
              <w:rPr>
                <w:sz w:val="38"/>
              </w:rPr>
            </w:pPr>
            <w:r>
              <w:rPr>
                <w:sz w:val="38"/>
              </w:rPr>
              <w:t>Br, Ce, Cr, Cs, Hg, Li, Mg, Sn, Sr</w:t>
            </w:r>
          </w:p>
        </w:tc>
      </w:tr>
    </w:tbl>
    <w:p>
      <w:pPr>
        <w:spacing w:after="0" w:line="278" w:lineRule="auto"/>
        <w:rPr>
          <w:sz w:val="38"/>
        </w:rPr>
        <w:sectPr>
          <w:pgSz w:w="14270" w:h="16850"/>
          <w:pgMar w:header="0" w:footer="1891" w:top="1340" w:bottom="2080" w:left="800" w:right="1280"/>
        </w:sectPr>
      </w:pPr>
    </w:p>
    <w:p>
      <w:pPr>
        <w:pStyle w:val="BodyText"/>
        <w:spacing w:line="276" w:lineRule="auto" w:before="72"/>
        <w:ind w:left="616" w:right="136"/>
        <w:jc w:val="both"/>
      </w:pPr>
      <w:r>
        <w:rPr/>
        <w:t>The table clearly shows that different diseases require different minerals, so when re-mineralising, you should choose a mineral-rich product from mother nature which has the full spectrum of the required minerals. As if this terror scenario with acids and demineralisation wasn’t bad enough, there is a further destructive factor with this duo, namely in the form of metabolic products of such an acid neutralisation – known as sludge which is now deposited in our bodies!</w:t>
      </w:r>
    </w:p>
    <w:p>
      <w:pPr>
        <w:pStyle w:val="BodyText"/>
        <w:spacing w:before="243"/>
        <w:ind w:left="616"/>
      </w:pPr>
      <w:r>
        <w:rPr/>
        <w:t>Formation of sludge</w:t>
      </w:r>
    </w:p>
    <w:p>
      <w:pPr>
        <w:pStyle w:val="Heading2"/>
        <w:spacing w:before="302"/>
        <w:ind w:left="616"/>
      </w:pPr>
      <w:r>
        <w:rPr/>
        <w:t>What is toxification?</w:t>
      </w:r>
    </w:p>
    <w:p>
      <w:pPr>
        <w:pStyle w:val="BodyText"/>
        <w:spacing w:line="276" w:lineRule="auto" w:before="305"/>
        <w:ind w:left="616" w:right="130"/>
        <w:jc w:val="both"/>
      </w:pPr>
      <w:r>
        <w:rPr/>
        <w:t>Sludge is the product of metabolic degradation, that is neutralised acids and poisons in our modern food (flavourings, preservatives, colourants and the like) which accumulate in our organism and are deposited in cells, tissues and our organs. Furthermore, the end products of protein, carbohydrate and the lipid metabolism as well as age and dead cells form sludge which is also</w:t>
      </w:r>
      <w:r>
        <w:rPr>
          <w:spacing w:val="-66"/>
        </w:rPr>
        <w:t> </w:t>
      </w:r>
      <w:r>
        <w:rPr/>
        <w:t>stored in tissue. An unhealthy lifestyle and acidification lead to this sludge which is normally removed by our excretion organs in the excretion areas.</w:t>
      </w:r>
    </w:p>
    <w:p>
      <w:pPr>
        <w:pStyle w:val="Heading1"/>
        <w:spacing w:before="223"/>
        <w:ind w:left="616"/>
      </w:pPr>
      <w:r>
        <w:rPr/>
        <w:t>External toxification symptoms</w:t>
      </w:r>
    </w:p>
    <w:p>
      <w:pPr>
        <w:pStyle w:val="BodyText"/>
        <w:spacing w:line="276" w:lineRule="auto" w:before="299"/>
        <w:ind w:left="616"/>
      </w:pPr>
      <w:r>
        <w:rPr/>
        <w:t>A possible toxification of the organism can be recognised by the following symptoms, among other things:</w:t>
      </w:r>
    </w:p>
    <w:p>
      <w:pPr>
        <w:pStyle w:val="ListParagraph"/>
        <w:numPr>
          <w:ilvl w:val="0"/>
          <w:numId w:val="131"/>
        </w:numPr>
        <w:tabs>
          <w:tab w:pos="1337" w:val="left" w:leader="none"/>
        </w:tabs>
        <w:spacing w:line="240" w:lineRule="auto" w:before="61" w:after="0"/>
        <w:ind w:left="1324" w:right="0" w:hanging="708"/>
        <w:jc w:val="both"/>
        <w:rPr>
          <w:sz w:val="38"/>
        </w:rPr>
      </w:pPr>
      <w:r>
        <w:rPr>
          <w:sz w:val="38"/>
        </w:rPr>
        <w:t>Pale, wrinkled</w:t>
      </w:r>
      <w:r>
        <w:rPr>
          <w:spacing w:val="1"/>
          <w:sz w:val="38"/>
        </w:rPr>
        <w:t> </w:t>
      </w:r>
      <w:r>
        <w:rPr>
          <w:sz w:val="38"/>
        </w:rPr>
        <w:t>skin</w:t>
      </w:r>
    </w:p>
    <w:p>
      <w:pPr>
        <w:pStyle w:val="ListParagraph"/>
        <w:numPr>
          <w:ilvl w:val="0"/>
          <w:numId w:val="131"/>
        </w:numPr>
        <w:tabs>
          <w:tab w:pos="1337" w:val="left" w:leader="none"/>
        </w:tabs>
        <w:spacing w:line="240" w:lineRule="auto" w:before="126" w:after="0"/>
        <w:ind w:left="1324" w:right="0" w:hanging="708"/>
        <w:jc w:val="both"/>
        <w:rPr>
          <w:sz w:val="38"/>
        </w:rPr>
      </w:pPr>
      <w:r>
        <w:rPr>
          <w:sz w:val="38"/>
        </w:rPr>
        <w:t>Hair</w:t>
      </w:r>
      <w:r>
        <w:rPr>
          <w:spacing w:val="-1"/>
          <w:sz w:val="38"/>
        </w:rPr>
        <w:t> </w:t>
      </w:r>
      <w:r>
        <w:rPr>
          <w:sz w:val="38"/>
        </w:rPr>
        <w:t>loss</w:t>
      </w:r>
    </w:p>
    <w:p>
      <w:pPr>
        <w:spacing w:after="0" w:line="240" w:lineRule="auto"/>
        <w:jc w:val="both"/>
        <w:rPr>
          <w:sz w:val="38"/>
        </w:rPr>
        <w:sectPr>
          <w:pgSz w:w="14270" w:h="16850"/>
          <w:pgMar w:header="0" w:footer="1891" w:top="1340" w:bottom="2080" w:left="800" w:right="1280"/>
        </w:sectPr>
      </w:pPr>
    </w:p>
    <w:p>
      <w:pPr>
        <w:pStyle w:val="ListParagraph"/>
        <w:numPr>
          <w:ilvl w:val="0"/>
          <w:numId w:val="131"/>
        </w:numPr>
        <w:tabs>
          <w:tab w:pos="1337" w:val="left" w:leader="none"/>
        </w:tabs>
        <w:spacing w:line="240" w:lineRule="auto" w:before="53" w:after="0"/>
        <w:ind w:left="1324" w:right="0" w:hanging="708"/>
        <w:jc w:val="both"/>
        <w:rPr>
          <w:sz w:val="38"/>
        </w:rPr>
      </w:pPr>
      <w:r>
        <w:rPr>
          <w:sz w:val="38"/>
        </w:rPr>
        <w:t>Loose teeth</w:t>
      </w:r>
    </w:p>
    <w:p>
      <w:pPr>
        <w:pStyle w:val="ListParagraph"/>
        <w:numPr>
          <w:ilvl w:val="0"/>
          <w:numId w:val="131"/>
        </w:numPr>
        <w:tabs>
          <w:tab w:pos="1337" w:val="left" w:leader="none"/>
        </w:tabs>
        <w:spacing w:line="240" w:lineRule="auto" w:before="126" w:after="0"/>
        <w:ind w:left="1324" w:right="0" w:hanging="708"/>
        <w:jc w:val="both"/>
        <w:rPr>
          <w:sz w:val="38"/>
        </w:rPr>
      </w:pPr>
      <w:r>
        <w:rPr>
          <w:sz w:val="38"/>
        </w:rPr>
        <w:t>Gum</w:t>
      </w:r>
      <w:r>
        <w:rPr>
          <w:spacing w:val="-1"/>
          <w:sz w:val="38"/>
        </w:rPr>
        <w:t> </w:t>
      </w:r>
      <w:r>
        <w:rPr>
          <w:sz w:val="38"/>
        </w:rPr>
        <w:t>bleeding</w:t>
      </w:r>
    </w:p>
    <w:p>
      <w:pPr>
        <w:pStyle w:val="ListParagraph"/>
        <w:numPr>
          <w:ilvl w:val="0"/>
          <w:numId w:val="131"/>
        </w:numPr>
        <w:tabs>
          <w:tab w:pos="1337" w:val="left" w:leader="none"/>
        </w:tabs>
        <w:spacing w:line="240" w:lineRule="auto" w:before="124" w:after="0"/>
        <w:ind w:left="1324" w:right="0" w:hanging="708"/>
        <w:jc w:val="both"/>
        <w:rPr>
          <w:sz w:val="38"/>
        </w:rPr>
      </w:pPr>
      <w:r>
        <w:rPr>
          <w:sz w:val="38"/>
        </w:rPr>
        <w:t>Bags under the</w:t>
      </w:r>
      <w:r>
        <w:rPr>
          <w:spacing w:val="1"/>
          <w:sz w:val="38"/>
        </w:rPr>
        <w:t> </w:t>
      </w:r>
      <w:r>
        <w:rPr>
          <w:sz w:val="38"/>
        </w:rPr>
        <w:t>eyes</w:t>
      </w:r>
    </w:p>
    <w:p>
      <w:pPr>
        <w:pStyle w:val="ListParagraph"/>
        <w:numPr>
          <w:ilvl w:val="0"/>
          <w:numId w:val="131"/>
        </w:numPr>
        <w:tabs>
          <w:tab w:pos="1337" w:val="left" w:leader="none"/>
        </w:tabs>
        <w:spacing w:line="240" w:lineRule="auto" w:before="124" w:after="0"/>
        <w:ind w:left="1324" w:right="0" w:hanging="708"/>
        <w:jc w:val="both"/>
        <w:rPr>
          <w:sz w:val="38"/>
        </w:rPr>
      </w:pPr>
      <w:r>
        <w:rPr>
          <w:sz w:val="38"/>
        </w:rPr>
        <w:t>Circulatory disorders in hands and</w:t>
      </w:r>
      <w:r>
        <w:rPr>
          <w:spacing w:val="1"/>
          <w:sz w:val="38"/>
        </w:rPr>
        <w:t> </w:t>
      </w:r>
      <w:r>
        <w:rPr>
          <w:sz w:val="38"/>
        </w:rPr>
        <w:t>feet</w:t>
      </w:r>
    </w:p>
    <w:p>
      <w:pPr>
        <w:pStyle w:val="ListParagraph"/>
        <w:numPr>
          <w:ilvl w:val="0"/>
          <w:numId w:val="131"/>
        </w:numPr>
        <w:tabs>
          <w:tab w:pos="1337" w:val="left" w:leader="none"/>
        </w:tabs>
        <w:spacing w:line="240" w:lineRule="auto" w:before="123" w:after="0"/>
        <w:ind w:left="1324" w:right="0" w:hanging="708"/>
        <w:jc w:val="both"/>
        <w:rPr>
          <w:sz w:val="38"/>
        </w:rPr>
      </w:pPr>
      <w:r>
        <w:rPr>
          <w:sz w:val="38"/>
        </w:rPr>
        <w:t>Oedema</w:t>
      </w:r>
    </w:p>
    <w:p>
      <w:pPr>
        <w:pStyle w:val="ListParagraph"/>
        <w:numPr>
          <w:ilvl w:val="0"/>
          <w:numId w:val="131"/>
        </w:numPr>
        <w:tabs>
          <w:tab w:pos="1337" w:val="left" w:leader="none"/>
        </w:tabs>
        <w:spacing w:line="240" w:lineRule="auto" w:before="124" w:after="0"/>
        <w:ind w:left="1324" w:right="0" w:hanging="708"/>
        <w:jc w:val="both"/>
        <w:rPr>
          <w:sz w:val="38"/>
        </w:rPr>
      </w:pPr>
      <w:r>
        <w:rPr>
          <w:sz w:val="38"/>
        </w:rPr>
        <w:t>Liver spots</w:t>
      </w:r>
    </w:p>
    <w:p>
      <w:pPr>
        <w:pStyle w:val="Heading1"/>
        <w:spacing w:before="290"/>
        <w:ind w:left="616"/>
        <w:jc w:val="both"/>
      </w:pPr>
      <w:r>
        <w:rPr/>
        <w:t>How is sludge formed?</w:t>
      </w:r>
    </w:p>
    <w:p>
      <w:pPr>
        <w:pStyle w:val="BodyText"/>
        <w:spacing w:line="276" w:lineRule="auto" w:before="297"/>
        <w:ind w:left="616" w:right="130"/>
        <w:jc w:val="both"/>
      </w:pPr>
      <w:r>
        <w:rPr/>
        <w:t>Imagine you are driving in your car and suddenly the oil tank breaks. Your</w:t>
      </w:r>
      <w:r>
        <w:rPr>
          <w:spacing w:val="-46"/>
        </w:rPr>
        <w:t> </w:t>
      </w:r>
      <w:r>
        <w:rPr/>
        <w:t>car loses huge amounts of oil which flows onto the street! If you are technically minded, you know what to do: Throw sand or sawdust over it to bind the oil before</w:t>
      </w:r>
      <w:r>
        <w:rPr>
          <w:spacing w:val="-11"/>
        </w:rPr>
        <w:t> </w:t>
      </w:r>
      <w:r>
        <w:rPr/>
        <w:t>it</w:t>
      </w:r>
      <w:r>
        <w:rPr>
          <w:spacing w:val="-12"/>
        </w:rPr>
        <w:t> </w:t>
      </w:r>
      <w:r>
        <w:rPr/>
        <w:t>leaks</w:t>
      </w:r>
      <w:r>
        <w:rPr>
          <w:spacing w:val="-12"/>
        </w:rPr>
        <w:t> </w:t>
      </w:r>
      <w:r>
        <w:rPr/>
        <w:t>into</w:t>
      </w:r>
      <w:r>
        <w:rPr>
          <w:spacing w:val="-10"/>
        </w:rPr>
        <w:t> </w:t>
      </w:r>
      <w:r>
        <w:rPr/>
        <w:t>the</w:t>
      </w:r>
      <w:r>
        <w:rPr>
          <w:spacing w:val="-11"/>
        </w:rPr>
        <w:t> </w:t>
      </w:r>
      <w:r>
        <w:rPr/>
        <w:t>ground</w:t>
      </w:r>
      <w:r>
        <w:rPr>
          <w:spacing w:val="-11"/>
        </w:rPr>
        <w:t> </w:t>
      </w:r>
      <w:r>
        <w:rPr/>
        <w:t>and</w:t>
      </w:r>
      <w:r>
        <w:rPr>
          <w:spacing w:val="-12"/>
        </w:rPr>
        <w:t> </w:t>
      </w:r>
      <w:r>
        <w:rPr/>
        <w:t>causes</w:t>
      </w:r>
      <w:r>
        <w:rPr>
          <w:spacing w:val="-10"/>
        </w:rPr>
        <w:t> </w:t>
      </w:r>
      <w:r>
        <w:rPr/>
        <w:t>considerable</w:t>
      </w:r>
      <w:r>
        <w:rPr>
          <w:spacing w:val="-12"/>
        </w:rPr>
        <w:t> </w:t>
      </w:r>
      <w:r>
        <w:rPr/>
        <w:t>damage</w:t>
      </w:r>
      <w:r>
        <w:rPr>
          <w:spacing w:val="-11"/>
        </w:rPr>
        <w:t> </w:t>
      </w:r>
      <w:r>
        <w:rPr/>
        <w:t>to</w:t>
      </w:r>
      <w:r>
        <w:rPr>
          <w:spacing w:val="-14"/>
        </w:rPr>
        <w:t> </w:t>
      </w:r>
      <w:r>
        <w:rPr/>
        <w:t>the</w:t>
      </w:r>
      <w:r>
        <w:rPr>
          <w:spacing w:val="-10"/>
        </w:rPr>
        <w:t> </w:t>
      </w:r>
      <w:r>
        <w:rPr/>
        <w:t>drinking water. (If you do not, this precise job is undertaken by the street cleaners at your expense!) Afterwards, the resulting slimy mass of oil and sand is swept away to prevent it from causing further</w:t>
      </w:r>
      <w:r>
        <w:rPr>
          <w:spacing w:val="1"/>
        </w:rPr>
        <w:t> </w:t>
      </w:r>
      <w:r>
        <w:rPr/>
        <w:t>damage.</w:t>
      </w:r>
    </w:p>
    <w:p>
      <w:pPr>
        <w:pStyle w:val="BodyText"/>
        <w:spacing w:line="276" w:lineRule="auto" w:before="241"/>
        <w:ind w:left="616" w:right="135"/>
        <w:jc w:val="both"/>
      </w:pPr>
      <w:r>
        <w:rPr/>
        <w:t>The</w:t>
      </w:r>
      <w:r>
        <w:rPr>
          <w:spacing w:val="-16"/>
        </w:rPr>
        <w:t> </w:t>
      </w:r>
      <w:r>
        <w:rPr/>
        <w:t>motor</w:t>
      </w:r>
      <w:r>
        <w:rPr>
          <w:spacing w:val="-15"/>
        </w:rPr>
        <w:t> </w:t>
      </w:r>
      <w:r>
        <w:rPr/>
        <w:t>oil</w:t>
      </w:r>
      <w:r>
        <w:rPr>
          <w:spacing w:val="-17"/>
        </w:rPr>
        <w:t> </w:t>
      </w:r>
      <w:r>
        <w:rPr/>
        <w:t>in</w:t>
      </w:r>
      <w:r>
        <w:rPr>
          <w:spacing w:val="-18"/>
        </w:rPr>
        <w:t> </w:t>
      </w:r>
      <w:r>
        <w:rPr/>
        <w:t>this</w:t>
      </w:r>
      <w:r>
        <w:rPr>
          <w:spacing w:val="-14"/>
        </w:rPr>
        <w:t> </w:t>
      </w:r>
      <w:r>
        <w:rPr/>
        <w:t>example</w:t>
      </w:r>
      <w:r>
        <w:rPr>
          <w:spacing w:val="-16"/>
        </w:rPr>
        <w:t> </w:t>
      </w:r>
      <w:r>
        <w:rPr/>
        <w:t>represents</w:t>
      </w:r>
      <w:r>
        <w:rPr>
          <w:spacing w:val="-15"/>
        </w:rPr>
        <w:t> </w:t>
      </w:r>
      <w:r>
        <w:rPr/>
        <w:t>the</w:t>
      </w:r>
      <w:r>
        <w:rPr>
          <w:spacing w:val="-18"/>
        </w:rPr>
        <w:t> </w:t>
      </w:r>
      <w:r>
        <w:rPr/>
        <w:t>acids</w:t>
      </w:r>
      <w:r>
        <w:rPr>
          <w:spacing w:val="-16"/>
        </w:rPr>
        <w:t> </w:t>
      </w:r>
      <w:r>
        <w:rPr/>
        <w:t>in</w:t>
      </w:r>
      <w:r>
        <w:rPr>
          <w:spacing w:val="-15"/>
        </w:rPr>
        <w:t> </w:t>
      </w:r>
      <w:r>
        <w:rPr/>
        <w:t>our</w:t>
      </w:r>
      <w:r>
        <w:rPr>
          <w:spacing w:val="-16"/>
        </w:rPr>
        <w:t> </w:t>
      </w:r>
      <w:r>
        <w:rPr/>
        <w:t>body</w:t>
      </w:r>
      <w:r>
        <w:rPr>
          <w:spacing w:val="-18"/>
        </w:rPr>
        <w:t> </w:t>
      </w:r>
      <w:r>
        <w:rPr/>
        <w:t>and</w:t>
      </w:r>
      <w:r>
        <w:rPr>
          <w:spacing w:val="-16"/>
        </w:rPr>
        <w:t> </w:t>
      </w:r>
      <w:r>
        <w:rPr/>
        <w:t>the</w:t>
      </w:r>
      <w:r>
        <w:rPr>
          <w:spacing w:val="-14"/>
        </w:rPr>
        <w:t> </w:t>
      </w:r>
      <w:r>
        <w:rPr/>
        <w:t>sawdust or sand represents the role of minerals in our bodies. And the resulting slimy mass of oil and sand is the SLUDGE in our bodies. Just as the slimy mass of oil and sand still represents a danger to the water (the oil is only bound in this form and not yet removed from the streets) and needs to be removed, the sludge (the acids are only bound and not yet removed from the organism) is a danger for our entire organism and must also be washed out of the</w:t>
      </w:r>
      <w:r>
        <w:rPr>
          <w:spacing w:val="-12"/>
        </w:rPr>
        <w:t> </w:t>
      </w:r>
      <w:r>
        <w:rPr/>
        <w:t>body!</w:t>
      </w:r>
    </w:p>
    <w:p>
      <w:pPr>
        <w:spacing w:after="0" w:line="276" w:lineRule="auto"/>
        <w:jc w:val="both"/>
        <w:sectPr>
          <w:footerReference w:type="default" r:id="rId504"/>
          <w:pgSz w:w="14270" w:h="16850"/>
          <w:pgMar w:footer="1891" w:header="0" w:top="1360" w:bottom="2080" w:left="800" w:right="1280"/>
          <w:pgNumType w:start="1850"/>
        </w:sectPr>
      </w:pPr>
    </w:p>
    <w:p>
      <w:pPr>
        <w:pStyle w:val="BodyText"/>
        <w:spacing w:before="74"/>
        <w:ind w:left="616"/>
      </w:pPr>
      <w:r>
        <w:rPr/>
        <w:t>Disease due to toxification</w:t>
      </w:r>
    </w:p>
    <w:p>
      <w:pPr>
        <w:pStyle w:val="Heading1"/>
        <w:spacing w:before="287"/>
        <w:ind w:left="616"/>
      </w:pPr>
      <w:r>
        <w:rPr/>
        <w:t>What is body sludge?</w:t>
      </w:r>
    </w:p>
    <w:p>
      <w:pPr>
        <w:pStyle w:val="BodyText"/>
        <w:spacing w:line="278" w:lineRule="auto" w:before="297"/>
        <w:ind w:left="616" w:right="138"/>
        <w:jc w:val="both"/>
      </w:pPr>
      <w:r>
        <w:rPr/>
        <w:t>The</w:t>
      </w:r>
      <w:r>
        <w:rPr>
          <w:spacing w:val="-9"/>
        </w:rPr>
        <w:t> </w:t>
      </w:r>
      <w:r>
        <w:rPr/>
        <w:t>body</w:t>
      </w:r>
      <w:r>
        <w:rPr>
          <w:spacing w:val="-8"/>
        </w:rPr>
        <w:t> </w:t>
      </w:r>
      <w:r>
        <w:rPr/>
        <w:t>draws</w:t>
      </w:r>
      <w:r>
        <w:rPr>
          <w:spacing w:val="-12"/>
        </w:rPr>
        <w:t> </w:t>
      </w:r>
      <w:r>
        <w:rPr/>
        <w:t>on</w:t>
      </w:r>
      <w:r>
        <w:rPr>
          <w:spacing w:val="-7"/>
        </w:rPr>
        <w:t> </w:t>
      </w:r>
      <w:r>
        <w:rPr/>
        <w:t>its</w:t>
      </w:r>
      <w:r>
        <w:rPr>
          <w:spacing w:val="-9"/>
        </w:rPr>
        <w:t> </w:t>
      </w:r>
      <w:r>
        <w:rPr/>
        <w:t>own</w:t>
      </w:r>
      <w:r>
        <w:rPr>
          <w:spacing w:val="-9"/>
        </w:rPr>
        <w:t> </w:t>
      </w:r>
      <w:r>
        <w:rPr/>
        <w:t>mineral</w:t>
      </w:r>
      <w:r>
        <w:rPr>
          <w:spacing w:val="-10"/>
        </w:rPr>
        <w:t> </w:t>
      </w:r>
      <w:r>
        <w:rPr/>
        <w:t>deposits</w:t>
      </w:r>
      <w:r>
        <w:rPr>
          <w:spacing w:val="-9"/>
        </w:rPr>
        <w:t> </w:t>
      </w:r>
      <w:r>
        <w:rPr/>
        <w:t>as</w:t>
      </w:r>
      <w:r>
        <w:rPr>
          <w:spacing w:val="-10"/>
        </w:rPr>
        <w:t> </w:t>
      </w:r>
      <w:r>
        <w:rPr/>
        <w:t>it</w:t>
      </w:r>
      <w:r>
        <w:rPr>
          <w:spacing w:val="-12"/>
        </w:rPr>
        <w:t> </w:t>
      </w:r>
      <w:r>
        <w:rPr/>
        <w:t>cannot</w:t>
      </w:r>
      <w:r>
        <w:rPr>
          <w:spacing w:val="-8"/>
        </w:rPr>
        <w:t> </w:t>
      </w:r>
      <w:r>
        <w:rPr/>
        <w:t>find</w:t>
      </w:r>
      <w:r>
        <w:rPr>
          <w:spacing w:val="-9"/>
        </w:rPr>
        <w:t> </w:t>
      </w:r>
      <w:r>
        <w:rPr/>
        <w:t>enough</w:t>
      </w:r>
      <w:r>
        <w:rPr>
          <w:spacing w:val="-8"/>
        </w:rPr>
        <w:t> </w:t>
      </w:r>
      <w:r>
        <w:rPr/>
        <w:t>minerals in modern food to bind acids. This process leaves</w:t>
      </w:r>
      <w:r>
        <w:rPr>
          <w:spacing w:val="-5"/>
        </w:rPr>
        <w:t> </w:t>
      </w:r>
      <w:r>
        <w:rPr/>
        <w:t>sludge.</w:t>
      </w:r>
    </w:p>
    <w:p>
      <w:pPr>
        <w:pStyle w:val="BodyText"/>
        <w:spacing w:line="276" w:lineRule="auto" w:before="233"/>
        <w:ind w:left="616" w:right="133"/>
        <w:jc w:val="both"/>
      </w:pPr>
      <w:r>
        <w:rPr/>
        <w:t>If</w:t>
      </w:r>
      <w:r>
        <w:rPr>
          <w:spacing w:val="-10"/>
        </w:rPr>
        <w:t> </w:t>
      </w:r>
      <w:r>
        <w:rPr/>
        <w:t>you</w:t>
      </w:r>
      <w:r>
        <w:rPr>
          <w:spacing w:val="-9"/>
        </w:rPr>
        <w:t> </w:t>
      </w:r>
      <w:r>
        <w:rPr/>
        <w:t>do</w:t>
      </w:r>
      <w:r>
        <w:rPr>
          <w:spacing w:val="-9"/>
        </w:rPr>
        <w:t> </w:t>
      </w:r>
      <w:r>
        <w:rPr/>
        <w:t>not</w:t>
      </w:r>
      <w:r>
        <w:rPr>
          <w:spacing w:val="-9"/>
        </w:rPr>
        <w:t> </w:t>
      </w:r>
      <w:r>
        <w:rPr/>
        <w:t>ensure</w:t>
      </w:r>
      <w:r>
        <w:rPr>
          <w:spacing w:val="-9"/>
        </w:rPr>
        <w:t> </w:t>
      </w:r>
      <w:r>
        <w:rPr/>
        <w:t>this</w:t>
      </w:r>
      <w:r>
        <w:rPr>
          <w:spacing w:val="-7"/>
        </w:rPr>
        <w:t> </w:t>
      </w:r>
      <w:r>
        <w:rPr/>
        <w:t>sludge</w:t>
      </w:r>
      <w:r>
        <w:rPr>
          <w:spacing w:val="-9"/>
        </w:rPr>
        <w:t> </w:t>
      </w:r>
      <w:r>
        <w:rPr/>
        <w:t>is</w:t>
      </w:r>
      <w:r>
        <w:rPr>
          <w:spacing w:val="-8"/>
        </w:rPr>
        <w:t> </w:t>
      </w:r>
      <w:r>
        <w:rPr/>
        <w:t>regularly</w:t>
      </w:r>
      <w:r>
        <w:rPr>
          <w:spacing w:val="-9"/>
        </w:rPr>
        <w:t> </w:t>
      </w:r>
      <w:r>
        <w:rPr/>
        <w:t>rinsed</w:t>
      </w:r>
      <w:r>
        <w:rPr>
          <w:spacing w:val="-8"/>
        </w:rPr>
        <w:t> </w:t>
      </w:r>
      <w:r>
        <w:rPr/>
        <w:t>out</w:t>
      </w:r>
      <w:r>
        <w:rPr>
          <w:spacing w:val="-9"/>
        </w:rPr>
        <w:t> </w:t>
      </w:r>
      <w:r>
        <w:rPr/>
        <w:t>of</w:t>
      </w:r>
      <w:r>
        <w:rPr>
          <w:spacing w:val="-9"/>
        </w:rPr>
        <w:t> </w:t>
      </w:r>
      <w:r>
        <w:rPr/>
        <w:t>the</w:t>
      </w:r>
      <w:r>
        <w:rPr>
          <w:spacing w:val="-7"/>
        </w:rPr>
        <w:t> </w:t>
      </w:r>
      <w:r>
        <w:rPr/>
        <w:t>body,</w:t>
      </w:r>
      <w:r>
        <w:rPr>
          <w:spacing w:val="-9"/>
        </w:rPr>
        <w:t> </w:t>
      </w:r>
      <w:r>
        <w:rPr/>
        <w:t>it</w:t>
      </w:r>
      <w:r>
        <w:rPr>
          <w:spacing w:val="-10"/>
        </w:rPr>
        <w:t> </w:t>
      </w:r>
      <w:r>
        <w:rPr/>
        <w:t>clogs</w:t>
      </w:r>
      <w:r>
        <w:rPr>
          <w:spacing w:val="-8"/>
        </w:rPr>
        <w:t> </w:t>
      </w:r>
      <w:r>
        <w:rPr/>
        <w:t>our organs,</w:t>
      </w:r>
      <w:r>
        <w:rPr>
          <w:spacing w:val="-20"/>
        </w:rPr>
        <w:t> </w:t>
      </w:r>
      <w:r>
        <w:rPr/>
        <w:t>glands</w:t>
      </w:r>
      <w:r>
        <w:rPr>
          <w:spacing w:val="-20"/>
        </w:rPr>
        <w:t> </w:t>
      </w:r>
      <w:r>
        <w:rPr/>
        <w:t>and</w:t>
      </w:r>
      <w:r>
        <w:rPr>
          <w:spacing w:val="-19"/>
        </w:rPr>
        <w:t> </w:t>
      </w:r>
      <w:r>
        <w:rPr/>
        <w:t>cell</w:t>
      </w:r>
      <w:r>
        <w:rPr>
          <w:spacing w:val="-22"/>
        </w:rPr>
        <w:t> </w:t>
      </w:r>
      <w:r>
        <w:rPr/>
        <w:t>bonds.</w:t>
      </w:r>
      <w:r>
        <w:rPr>
          <w:spacing w:val="-21"/>
        </w:rPr>
        <w:t> </w:t>
      </w:r>
      <w:r>
        <w:rPr/>
        <w:t>This</w:t>
      </w:r>
      <w:r>
        <w:rPr>
          <w:spacing w:val="-18"/>
        </w:rPr>
        <w:t> </w:t>
      </w:r>
      <w:r>
        <w:rPr/>
        <w:t>initially</w:t>
      </w:r>
      <w:r>
        <w:rPr>
          <w:spacing w:val="-20"/>
        </w:rPr>
        <w:t> </w:t>
      </w:r>
      <w:r>
        <w:rPr/>
        <w:t>manifests</w:t>
      </w:r>
      <w:r>
        <w:rPr>
          <w:spacing w:val="-18"/>
        </w:rPr>
        <w:t> </w:t>
      </w:r>
      <w:r>
        <w:rPr/>
        <w:t>itself</w:t>
      </w:r>
      <w:r>
        <w:rPr>
          <w:spacing w:val="-22"/>
        </w:rPr>
        <w:t> </w:t>
      </w:r>
      <w:r>
        <w:rPr/>
        <w:t>through</w:t>
      </w:r>
      <w:r>
        <w:rPr>
          <w:spacing w:val="-18"/>
        </w:rPr>
        <w:t> </w:t>
      </w:r>
      <w:r>
        <w:rPr/>
        <w:t>many</w:t>
      </w:r>
      <w:r>
        <w:rPr>
          <w:spacing w:val="-19"/>
        </w:rPr>
        <w:t> </w:t>
      </w:r>
      <w:r>
        <w:rPr/>
        <w:t>func- tional restrictions down to countless serious</w:t>
      </w:r>
      <w:r>
        <w:rPr>
          <w:spacing w:val="1"/>
        </w:rPr>
        <w:t> </w:t>
      </w:r>
      <w:r>
        <w:rPr/>
        <w:t>diseases!</w:t>
      </w:r>
    </w:p>
    <w:p>
      <w:pPr>
        <w:spacing w:line="276" w:lineRule="auto" w:before="241"/>
        <w:ind w:left="616" w:right="133" w:firstLine="0"/>
        <w:jc w:val="both"/>
        <w:rPr>
          <w:sz w:val="38"/>
        </w:rPr>
      </w:pPr>
      <w:r>
        <w:rPr>
          <w:i/>
          <w:sz w:val="38"/>
        </w:rPr>
        <w:t>‘Toxification</w:t>
      </w:r>
      <w:r>
        <w:rPr>
          <w:i/>
          <w:spacing w:val="-9"/>
          <w:sz w:val="38"/>
        </w:rPr>
        <w:t> </w:t>
      </w:r>
      <w:r>
        <w:rPr>
          <w:i/>
          <w:sz w:val="38"/>
        </w:rPr>
        <w:t>is</w:t>
      </w:r>
      <w:r>
        <w:rPr>
          <w:i/>
          <w:spacing w:val="-12"/>
          <w:sz w:val="38"/>
        </w:rPr>
        <w:t> </w:t>
      </w:r>
      <w:r>
        <w:rPr>
          <w:i/>
          <w:sz w:val="38"/>
        </w:rPr>
        <w:t>a</w:t>
      </w:r>
      <w:r>
        <w:rPr>
          <w:i/>
          <w:spacing w:val="-11"/>
          <w:sz w:val="38"/>
        </w:rPr>
        <w:t> </w:t>
      </w:r>
      <w:r>
        <w:rPr>
          <w:i/>
          <w:sz w:val="38"/>
        </w:rPr>
        <w:t>physical-chemical</w:t>
      </w:r>
      <w:r>
        <w:rPr>
          <w:i/>
          <w:spacing w:val="-9"/>
          <w:sz w:val="38"/>
        </w:rPr>
        <w:t> </w:t>
      </w:r>
      <w:r>
        <w:rPr>
          <w:i/>
          <w:sz w:val="38"/>
        </w:rPr>
        <w:t>process.</w:t>
      </w:r>
      <w:r>
        <w:rPr>
          <w:i/>
          <w:spacing w:val="-10"/>
          <w:sz w:val="38"/>
        </w:rPr>
        <w:t> </w:t>
      </w:r>
      <w:r>
        <w:rPr>
          <w:i/>
          <w:sz w:val="38"/>
        </w:rPr>
        <w:t>Toxification</w:t>
      </w:r>
      <w:r>
        <w:rPr>
          <w:i/>
          <w:spacing w:val="-10"/>
          <w:sz w:val="38"/>
        </w:rPr>
        <w:t> </w:t>
      </w:r>
      <w:r>
        <w:rPr>
          <w:i/>
          <w:sz w:val="38"/>
        </w:rPr>
        <w:t>is</w:t>
      </w:r>
      <w:r>
        <w:rPr>
          <w:i/>
          <w:spacing w:val="-12"/>
          <w:sz w:val="38"/>
        </w:rPr>
        <w:t> </w:t>
      </w:r>
      <w:r>
        <w:rPr>
          <w:i/>
          <w:sz w:val="38"/>
        </w:rPr>
        <w:t>also</w:t>
      </w:r>
      <w:r>
        <w:rPr>
          <w:i/>
          <w:spacing w:val="-12"/>
          <w:sz w:val="38"/>
        </w:rPr>
        <w:t> </w:t>
      </w:r>
      <w:r>
        <w:rPr>
          <w:i/>
          <w:sz w:val="38"/>
        </w:rPr>
        <w:t>the</w:t>
      </w:r>
      <w:r>
        <w:rPr>
          <w:i/>
          <w:spacing w:val="-13"/>
          <w:sz w:val="38"/>
        </w:rPr>
        <w:t> </w:t>
      </w:r>
      <w:r>
        <w:rPr>
          <w:i/>
          <w:sz w:val="38"/>
        </w:rPr>
        <w:t>transformation</w:t>
      </w:r>
      <w:r>
        <w:rPr>
          <w:i/>
          <w:spacing w:val="-9"/>
          <w:sz w:val="38"/>
        </w:rPr>
        <w:t> </w:t>
      </w:r>
      <w:r>
        <w:rPr>
          <w:i/>
          <w:sz w:val="38"/>
        </w:rPr>
        <w:t>of</w:t>
      </w:r>
      <w:r>
        <w:rPr>
          <w:i/>
          <w:spacing w:val="-12"/>
          <w:sz w:val="38"/>
        </w:rPr>
        <w:t> </w:t>
      </w:r>
      <w:r>
        <w:rPr>
          <w:i/>
          <w:sz w:val="38"/>
        </w:rPr>
        <w:t>acid</w:t>
      </w:r>
      <w:r>
        <w:rPr>
          <w:i/>
          <w:spacing w:val="-11"/>
          <w:sz w:val="38"/>
        </w:rPr>
        <w:t> </w:t>
      </w:r>
      <w:r>
        <w:rPr>
          <w:i/>
          <w:sz w:val="38"/>
        </w:rPr>
        <w:t>to </w:t>
      </w:r>
      <w:r>
        <w:rPr>
          <w:i/>
          <w:sz w:val="38"/>
        </w:rPr>
        <w:t>salt with the help of mineral substances.’ </w:t>
      </w:r>
      <w:r>
        <w:rPr>
          <w:sz w:val="38"/>
        </w:rPr>
        <w:t>(Dr. Peter Jentschura)</w:t>
      </w:r>
    </w:p>
    <w:p>
      <w:pPr>
        <w:pStyle w:val="BodyText"/>
        <w:spacing w:line="276" w:lineRule="auto" w:before="239"/>
        <w:ind w:left="616" w:right="135"/>
        <w:jc w:val="both"/>
      </w:pPr>
      <w:r>
        <w:rPr/>
        <w:t>Sludge</w:t>
      </w:r>
      <w:r>
        <w:rPr>
          <w:spacing w:val="-13"/>
        </w:rPr>
        <w:t> </w:t>
      </w:r>
      <w:r>
        <w:rPr/>
        <w:t>is</w:t>
      </w:r>
      <w:r>
        <w:rPr>
          <w:spacing w:val="-12"/>
        </w:rPr>
        <w:t> </w:t>
      </w:r>
      <w:r>
        <w:rPr/>
        <w:t>therefore</w:t>
      </w:r>
      <w:r>
        <w:rPr>
          <w:spacing w:val="-11"/>
        </w:rPr>
        <w:t> </w:t>
      </w:r>
      <w:r>
        <w:rPr/>
        <w:t>salt</w:t>
      </w:r>
      <w:r>
        <w:rPr>
          <w:spacing w:val="-12"/>
        </w:rPr>
        <w:t> </w:t>
      </w:r>
      <w:r>
        <w:rPr/>
        <w:t>resulting</w:t>
      </w:r>
      <w:r>
        <w:rPr>
          <w:spacing w:val="-11"/>
        </w:rPr>
        <w:t> </w:t>
      </w:r>
      <w:r>
        <w:rPr/>
        <w:t>from</w:t>
      </w:r>
      <w:r>
        <w:rPr>
          <w:spacing w:val="-12"/>
        </w:rPr>
        <w:t> </w:t>
      </w:r>
      <w:r>
        <w:rPr/>
        <w:t>acids</w:t>
      </w:r>
      <w:r>
        <w:rPr>
          <w:spacing w:val="-12"/>
        </w:rPr>
        <w:t> </w:t>
      </w:r>
      <w:r>
        <w:rPr/>
        <w:t>and</w:t>
      </w:r>
      <w:r>
        <w:rPr>
          <w:spacing w:val="-11"/>
        </w:rPr>
        <w:t> </w:t>
      </w:r>
      <w:r>
        <w:rPr/>
        <w:t>poisons</w:t>
      </w:r>
      <w:r>
        <w:rPr>
          <w:spacing w:val="-11"/>
        </w:rPr>
        <w:t> </w:t>
      </w:r>
      <w:r>
        <w:rPr/>
        <w:t>which</w:t>
      </w:r>
      <w:r>
        <w:rPr>
          <w:spacing w:val="-11"/>
        </w:rPr>
        <w:t> </w:t>
      </w:r>
      <w:r>
        <w:rPr/>
        <w:t>the</w:t>
      </w:r>
      <w:r>
        <w:rPr>
          <w:spacing w:val="-11"/>
        </w:rPr>
        <w:t> </w:t>
      </w:r>
      <w:r>
        <w:rPr/>
        <w:t>body</w:t>
      </w:r>
      <w:r>
        <w:rPr>
          <w:spacing w:val="-12"/>
        </w:rPr>
        <w:t> </w:t>
      </w:r>
      <w:r>
        <w:rPr/>
        <w:t>forms with the help of mineral substances from organic and non-organic acids in order to prevent being burned and poisoned by these</w:t>
      </w:r>
      <w:r>
        <w:rPr>
          <w:spacing w:val="-8"/>
        </w:rPr>
        <w:t> </w:t>
      </w:r>
      <w:r>
        <w:rPr/>
        <w:t>acids.</w:t>
      </w:r>
    </w:p>
    <w:p>
      <w:pPr>
        <w:pStyle w:val="BodyText"/>
        <w:spacing w:line="276" w:lineRule="auto" w:before="241"/>
        <w:ind w:left="616" w:right="136"/>
        <w:jc w:val="both"/>
        <w:rPr>
          <w:sz w:val="25"/>
        </w:rPr>
      </w:pPr>
      <w:r>
        <w:rPr/>
        <w:t>As our modern life acidifies in every way </w:t>
      </w:r>
      <w:r>
        <w:rPr>
          <w:spacing w:val="2"/>
        </w:rPr>
        <w:t>it </w:t>
      </w:r>
      <w:r>
        <w:rPr/>
        <w:t>can (stress, incorrect nutrition, en- vironmental</w:t>
      </w:r>
      <w:r>
        <w:rPr>
          <w:spacing w:val="-13"/>
        </w:rPr>
        <w:t> </w:t>
      </w:r>
      <w:r>
        <w:rPr/>
        <w:t>factors</w:t>
      </w:r>
      <w:r>
        <w:rPr>
          <w:spacing w:val="-10"/>
        </w:rPr>
        <w:t> </w:t>
      </w:r>
      <w:r>
        <w:rPr/>
        <w:t>and</w:t>
      </w:r>
      <w:r>
        <w:rPr>
          <w:spacing w:val="-10"/>
        </w:rPr>
        <w:t> </w:t>
      </w:r>
      <w:r>
        <w:rPr/>
        <w:t>-poisons),</w:t>
      </w:r>
      <w:r>
        <w:rPr>
          <w:spacing w:val="-12"/>
        </w:rPr>
        <w:t> </w:t>
      </w:r>
      <w:r>
        <w:rPr/>
        <w:t>it</w:t>
      </w:r>
      <w:r>
        <w:rPr>
          <w:spacing w:val="-12"/>
        </w:rPr>
        <w:t> </w:t>
      </w:r>
      <w:r>
        <w:rPr/>
        <w:t>is</w:t>
      </w:r>
      <w:r>
        <w:rPr>
          <w:spacing w:val="-11"/>
        </w:rPr>
        <w:t> </w:t>
      </w:r>
      <w:r>
        <w:rPr/>
        <w:t>no</w:t>
      </w:r>
      <w:r>
        <w:rPr>
          <w:spacing w:val="-11"/>
        </w:rPr>
        <w:t> </w:t>
      </w:r>
      <w:r>
        <w:rPr/>
        <w:t>wonder</w:t>
      </w:r>
      <w:r>
        <w:rPr>
          <w:spacing w:val="-11"/>
        </w:rPr>
        <w:t> </w:t>
      </w:r>
      <w:r>
        <w:rPr/>
        <w:t>that</w:t>
      </w:r>
      <w:r>
        <w:rPr>
          <w:spacing w:val="-11"/>
        </w:rPr>
        <w:t> </w:t>
      </w:r>
      <w:r>
        <w:rPr/>
        <w:t>many</w:t>
      </w:r>
      <w:r>
        <w:rPr>
          <w:spacing w:val="-11"/>
        </w:rPr>
        <w:t> </w:t>
      </w:r>
      <w:r>
        <w:rPr/>
        <w:t>people</w:t>
      </w:r>
      <w:r>
        <w:rPr>
          <w:spacing w:val="-11"/>
        </w:rPr>
        <w:t> </w:t>
      </w:r>
      <w:r>
        <w:rPr/>
        <w:t>consist</w:t>
      </w:r>
      <w:r>
        <w:rPr>
          <w:spacing w:val="-11"/>
        </w:rPr>
        <w:t> </w:t>
      </w:r>
      <w:r>
        <w:rPr/>
        <w:t>of 50 %</w:t>
      </w:r>
      <w:r>
        <w:rPr>
          <w:spacing w:val="-1"/>
        </w:rPr>
        <w:t> </w:t>
      </w:r>
      <w:r>
        <w:rPr/>
        <w:t>sludge!</w:t>
      </w:r>
      <w:r>
        <w:rPr>
          <w:position w:val="9"/>
          <w:sz w:val="25"/>
        </w:rPr>
        <w:t>1043</w:t>
      </w:r>
    </w:p>
    <w:p>
      <w:pPr>
        <w:pStyle w:val="Heading1"/>
        <w:spacing w:before="222"/>
        <w:ind w:left="616"/>
      </w:pPr>
      <w:r>
        <w:rPr/>
        <w:t>Detoxification occurs as follows:</w:t>
      </w:r>
    </w:p>
    <w:p>
      <w:pPr>
        <w:pStyle w:val="BodyText"/>
        <w:spacing w:line="273" w:lineRule="auto" w:before="282"/>
        <w:ind w:left="616" w:right="137"/>
        <w:jc w:val="both"/>
      </w:pPr>
      <w:r>
        <w:rPr>
          <w:b/>
          <w:i/>
          <w:sz w:val="40"/>
        </w:rPr>
        <w:t>Step</w:t>
      </w:r>
      <w:r>
        <w:rPr>
          <w:b/>
          <w:i/>
          <w:spacing w:val="-27"/>
          <w:sz w:val="40"/>
        </w:rPr>
        <w:t> </w:t>
      </w:r>
      <w:r>
        <w:rPr>
          <w:b/>
          <w:i/>
          <w:sz w:val="40"/>
        </w:rPr>
        <w:t>1:</w:t>
      </w:r>
      <w:r>
        <w:rPr>
          <w:b/>
          <w:i/>
          <w:spacing w:val="-23"/>
          <w:sz w:val="40"/>
        </w:rPr>
        <w:t> </w:t>
      </w:r>
      <w:r>
        <w:rPr/>
        <w:t>Acids</w:t>
      </w:r>
      <w:r>
        <w:rPr>
          <w:spacing w:val="-19"/>
        </w:rPr>
        <w:t> </w:t>
      </w:r>
      <w:r>
        <w:rPr/>
        <w:t>(as</w:t>
      </w:r>
      <w:r>
        <w:rPr>
          <w:spacing w:val="-21"/>
        </w:rPr>
        <w:t> </w:t>
      </w:r>
      <w:r>
        <w:rPr/>
        <w:t>well</w:t>
      </w:r>
      <w:r>
        <w:rPr>
          <w:spacing w:val="-21"/>
        </w:rPr>
        <w:t> </w:t>
      </w:r>
      <w:r>
        <w:rPr/>
        <w:t>as</w:t>
      </w:r>
      <w:r>
        <w:rPr>
          <w:spacing w:val="-20"/>
        </w:rPr>
        <w:t> </w:t>
      </w:r>
      <w:r>
        <w:rPr/>
        <w:t>other</w:t>
      </w:r>
      <w:r>
        <w:rPr>
          <w:spacing w:val="-21"/>
        </w:rPr>
        <w:t> </w:t>
      </w:r>
      <w:r>
        <w:rPr/>
        <w:t>poisons</w:t>
      </w:r>
      <w:r>
        <w:rPr>
          <w:spacing w:val="-20"/>
        </w:rPr>
        <w:t> </w:t>
      </w:r>
      <w:r>
        <w:rPr/>
        <w:t>in</w:t>
      </w:r>
      <w:r>
        <w:rPr>
          <w:spacing w:val="-22"/>
        </w:rPr>
        <w:t> </w:t>
      </w:r>
      <w:r>
        <w:rPr/>
        <w:t>the</w:t>
      </w:r>
      <w:r>
        <w:rPr>
          <w:spacing w:val="-18"/>
        </w:rPr>
        <w:t> </w:t>
      </w:r>
      <w:r>
        <w:rPr/>
        <w:t>body)</w:t>
      </w:r>
      <w:r>
        <w:rPr>
          <w:spacing w:val="-20"/>
        </w:rPr>
        <w:t> </w:t>
      </w:r>
      <w:r>
        <w:rPr/>
        <w:t>lead</w:t>
      </w:r>
      <w:r>
        <w:rPr>
          <w:spacing w:val="-21"/>
        </w:rPr>
        <w:t> </w:t>
      </w:r>
      <w:r>
        <w:rPr/>
        <w:t>to</w:t>
      </w:r>
      <w:r>
        <w:rPr>
          <w:spacing w:val="-19"/>
        </w:rPr>
        <w:t> </w:t>
      </w:r>
      <w:r>
        <w:rPr/>
        <w:t>mineral</w:t>
      </w:r>
      <w:r>
        <w:rPr>
          <w:spacing w:val="-20"/>
        </w:rPr>
        <w:t> </w:t>
      </w:r>
      <w:r>
        <w:rPr/>
        <w:t>degradation in the</w:t>
      </w:r>
      <w:r>
        <w:rPr>
          <w:spacing w:val="2"/>
        </w:rPr>
        <w:t> </w:t>
      </w:r>
      <w:r>
        <w:rPr/>
        <w:t>organism.</w:t>
      </w:r>
    </w:p>
    <w:p>
      <w:pPr>
        <w:pStyle w:val="BodyText"/>
        <w:rPr>
          <w:sz w:val="20"/>
        </w:rPr>
      </w:pPr>
    </w:p>
    <w:p>
      <w:pPr>
        <w:pStyle w:val="BodyText"/>
        <w:rPr>
          <w:sz w:val="20"/>
        </w:rPr>
      </w:pPr>
    </w:p>
    <w:p>
      <w:pPr>
        <w:pStyle w:val="BodyText"/>
        <w:rPr>
          <w:sz w:val="20"/>
        </w:rPr>
      </w:pPr>
    </w:p>
    <w:p>
      <w:pPr>
        <w:pStyle w:val="BodyText"/>
        <w:spacing w:before="3"/>
        <w:rPr>
          <w:sz w:val="14"/>
        </w:rPr>
      </w:pPr>
      <w:r>
        <w:rPr/>
        <w:pict>
          <v:line style="position:absolute;mso-position-horizontal-relative:page;mso-position-vertical-relative:paragraph;z-index:16352;mso-wrap-distance-left:0;mso-wrap-distance-right:0" from="70.823997pt,10.413735pt" to="214.843997pt,10.413735pt" stroked="true" strokeweight=".72003pt" strokecolor="#000000">
            <v:stroke dashstyle="solid"/>
            <w10:wrap type="topAndBottom"/>
          </v:line>
        </w:pict>
      </w:r>
    </w:p>
    <w:p>
      <w:pPr>
        <w:pStyle w:val="BodyText"/>
        <w:spacing w:before="7"/>
        <w:rPr>
          <w:sz w:val="18"/>
        </w:rPr>
      </w:pPr>
    </w:p>
    <w:p>
      <w:pPr>
        <w:spacing w:before="99"/>
        <w:ind w:left="616" w:right="0" w:firstLine="0"/>
        <w:jc w:val="left"/>
        <w:rPr>
          <w:sz w:val="20"/>
        </w:rPr>
      </w:pPr>
      <w:r>
        <w:rPr>
          <w:position w:val="5"/>
          <w:sz w:val="13"/>
        </w:rPr>
        <w:t>1043 </w:t>
      </w:r>
      <w:r>
        <w:rPr>
          <w:sz w:val="20"/>
        </w:rPr>
        <w:t>Dr. h.c. Peter Jentschura and Josef Lohkämper: Gesundheit durch Entschlackung, May 2010, p. 51</w:t>
      </w:r>
    </w:p>
    <w:p>
      <w:pPr>
        <w:spacing w:after="0"/>
        <w:jc w:val="left"/>
        <w:rPr>
          <w:sz w:val="20"/>
        </w:rPr>
        <w:sectPr>
          <w:pgSz w:w="14270" w:h="16850"/>
          <w:pgMar w:header="0" w:footer="1891" w:top="1340" w:bottom="2080" w:left="800" w:right="1280"/>
        </w:sectPr>
      </w:pPr>
    </w:p>
    <w:p>
      <w:pPr>
        <w:pStyle w:val="BodyText"/>
        <w:spacing w:line="271" w:lineRule="auto" w:before="77"/>
        <w:ind w:left="616" w:right="139"/>
        <w:jc w:val="both"/>
      </w:pPr>
      <w:r>
        <w:rPr>
          <w:b/>
          <w:i/>
          <w:sz w:val="40"/>
        </w:rPr>
        <w:t>Step</w:t>
      </w:r>
      <w:r>
        <w:rPr>
          <w:b/>
          <w:i/>
          <w:spacing w:val="-32"/>
          <w:sz w:val="40"/>
        </w:rPr>
        <w:t> </w:t>
      </w:r>
      <w:r>
        <w:rPr>
          <w:b/>
          <w:i/>
          <w:sz w:val="40"/>
        </w:rPr>
        <w:t>2:</w:t>
      </w:r>
      <w:r>
        <w:rPr>
          <w:b/>
          <w:i/>
          <w:spacing w:val="-29"/>
          <w:sz w:val="40"/>
        </w:rPr>
        <w:t> </w:t>
      </w:r>
      <w:r>
        <w:rPr/>
        <w:t>The</w:t>
      </w:r>
      <w:r>
        <w:rPr>
          <w:spacing w:val="-25"/>
        </w:rPr>
        <w:t> </w:t>
      </w:r>
      <w:r>
        <w:rPr/>
        <w:t>acids</w:t>
      </w:r>
      <w:r>
        <w:rPr>
          <w:spacing w:val="-24"/>
        </w:rPr>
        <w:t> </w:t>
      </w:r>
      <w:r>
        <w:rPr/>
        <w:t>are</w:t>
      </w:r>
      <w:r>
        <w:rPr>
          <w:spacing w:val="-25"/>
        </w:rPr>
        <w:t> </w:t>
      </w:r>
      <w:r>
        <w:rPr/>
        <w:t>transformed</w:t>
      </w:r>
      <w:r>
        <w:rPr>
          <w:spacing w:val="-25"/>
        </w:rPr>
        <w:t> </w:t>
      </w:r>
      <w:r>
        <w:rPr/>
        <w:t>into</w:t>
      </w:r>
      <w:r>
        <w:rPr>
          <w:spacing w:val="-25"/>
        </w:rPr>
        <w:t> </w:t>
      </w:r>
      <w:r>
        <w:rPr/>
        <w:t>a</w:t>
      </w:r>
      <w:r>
        <w:rPr>
          <w:spacing w:val="-25"/>
        </w:rPr>
        <w:t> </w:t>
      </w:r>
      <w:r>
        <w:rPr/>
        <w:t>salt</w:t>
      </w:r>
      <w:r>
        <w:rPr>
          <w:spacing w:val="-26"/>
        </w:rPr>
        <w:t> </w:t>
      </w:r>
      <w:r>
        <w:rPr/>
        <w:t>in</w:t>
      </w:r>
      <w:r>
        <w:rPr>
          <w:spacing w:val="-24"/>
        </w:rPr>
        <w:t> </w:t>
      </w:r>
      <w:r>
        <w:rPr/>
        <w:t>order</w:t>
      </w:r>
      <w:r>
        <w:rPr>
          <w:spacing w:val="-25"/>
        </w:rPr>
        <w:t> </w:t>
      </w:r>
      <w:r>
        <w:rPr/>
        <w:t>to</w:t>
      </w:r>
      <w:r>
        <w:rPr>
          <w:spacing w:val="-24"/>
        </w:rPr>
        <w:t> </w:t>
      </w:r>
      <w:r>
        <w:rPr/>
        <w:t>neutralise</w:t>
      </w:r>
      <w:r>
        <w:rPr>
          <w:spacing w:val="-28"/>
        </w:rPr>
        <w:t> </w:t>
      </w:r>
      <w:r>
        <w:rPr/>
        <w:t>them.</w:t>
      </w:r>
      <w:r>
        <w:rPr>
          <w:spacing w:val="-24"/>
        </w:rPr>
        <w:t> </w:t>
      </w:r>
      <w:r>
        <w:rPr/>
        <w:t>Sludge results from this</w:t>
      </w:r>
      <w:r>
        <w:rPr>
          <w:spacing w:val="-1"/>
        </w:rPr>
        <w:t> </w:t>
      </w:r>
      <w:r>
        <w:rPr/>
        <w:t>process.</w:t>
      </w:r>
    </w:p>
    <w:p>
      <w:pPr>
        <w:pStyle w:val="BodyText"/>
        <w:spacing w:before="230"/>
        <w:ind w:left="616"/>
        <w:jc w:val="both"/>
      </w:pPr>
      <w:r>
        <w:rPr>
          <w:b/>
          <w:i/>
          <w:sz w:val="40"/>
        </w:rPr>
        <w:t>Step 3: </w:t>
      </w:r>
      <w:r>
        <w:rPr/>
        <w:t>Sludge accumulates in organs, glands and cell bonds.</w:t>
      </w:r>
    </w:p>
    <w:p>
      <w:pPr>
        <w:pStyle w:val="BodyText"/>
        <w:spacing w:line="273" w:lineRule="auto" w:before="282"/>
        <w:ind w:left="616" w:right="141"/>
        <w:jc w:val="both"/>
      </w:pPr>
      <w:r>
        <w:rPr>
          <w:b/>
          <w:i/>
          <w:sz w:val="40"/>
        </w:rPr>
        <w:t>Step 4: </w:t>
      </w:r>
      <w:r>
        <w:rPr/>
        <w:t>Sludge accumulation leads to functional impairment such as gland blockage, inflammation etc.</w:t>
      </w:r>
    </w:p>
    <w:p>
      <w:pPr>
        <w:pStyle w:val="BodyText"/>
        <w:spacing w:line="273" w:lineRule="auto" w:before="224"/>
        <w:ind w:left="616" w:right="134"/>
        <w:jc w:val="both"/>
      </w:pPr>
      <w:r>
        <w:rPr>
          <w:b/>
          <w:i/>
          <w:sz w:val="40"/>
        </w:rPr>
        <w:t>Step</w:t>
      </w:r>
      <w:r>
        <w:rPr>
          <w:b/>
          <w:i/>
          <w:spacing w:val="-13"/>
          <w:sz w:val="40"/>
        </w:rPr>
        <w:t> </w:t>
      </w:r>
      <w:r>
        <w:rPr>
          <w:b/>
          <w:i/>
          <w:sz w:val="40"/>
        </w:rPr>
        <w:t>5:</w:t>
      </w:r>
      <w:r>
        <w:rPr>
          <w:b/>
          <w:i/>
          <w:spacing w:val="-11"/>
          <w:sz w:val="40"/>
        </w:rPr>
        <w:t> </w:t>
      </w:r>
      <w:r>
        <w:rPr/>
        <w:t>The</w:t>
      </w:r>
      <w:r>
        <w:rPr>
          <w:spacing w:val="-5"/>
        </w:rPr>
        <w:t> </w:t>
      </w:r>
      <w:r>
        <w:rPr/>
        <w:t>initial</w:t>
      </w:r>
      <w:r>
        <w:rPr>
          <w:spacing w:val="-8"/>
        </w:rPr>
        <w:t> </w:t>
      </w:r>
      <w:r>
        <w:rPr/>
        <w:t>functional</w:t>
      </w:r>
      <w:r>
        <w:rPr>
          <w:spacing w:val="-7"/>
        </w:rPr>
        <w:t> </w:t>
      </w:r>
      <w:r>
        <w:rPr/>
        <w:t>impairments</w:t>
      </w:r>
      <w:r>
        <w:rPr>
          <w:spacing w:val="-6"/>
        </w:rPr>
        <w:t> </w:t>
      </w:r>
      <w:r>
        <w:rPr/>
        <w:t>cause</w:t>
      </w:r>
      <w:r>
        <w:rPr>
          <w:spacing w:val="-7"/>
        </w:rPr>
        <w:t> </w:t>
      </w:r>
      <w:r>
        <w:rPr/>
        <w:t>serious</w:t>
      </w:r>
      <w:r>
        <w:rPr>
          <w:spacing w:val="-6"/>
        </w:rPr>
        <w:t> </w:t>
      </w:r>
      <w:r>
        <w:rPr/>
        <w:t>mid</w:t>
      </w:r>
      <w:r>
        <w:rPr>
          <w:spacing w:val="-7"/>
        </w:rPr>
        <w:t> </w:t>
      </w:r>
      <w:r>
        <w:rPr/>
        <w:t>to</w:t>
      </w:r>
      <w:r>
        <w:rPr>
          <w:spacing w:val="-6"/>
        </w:rPr>
        <w:t> </w:t>
      </w:r>
      <w:r>
        <w:rPr/>
        <w:t>long-term</w:t>
      </w:r>
      <w:r>
        <w:rPr>
          <w:spacing w:val="-5"/>
        </w:rPr>
        <w:t> </w:t>
      </w:r>
      <w:r>
        <w:rPr/>
        <w:t>dis- eases.</w:t>
      </w:r>
      <w:r>
        <w:rPr>
          <w:spacing w:val="-11"/>
        </w:rPr>
        <w:t> </w:t>
      </w:r>
      <w:r>
        <w:rPr/>
        <w:t>If</w:t>
      </w:r>
      <w:r>
        <w:rPr>
          <w:spacing w:val="-12"/>
        </w:rPr>
        <w:t> </w:t>
      </w:r>
      <w:r>
        <w:rPr/>
        <w:t>the</w:t>
      </w:r>
      <w:r>
        <w:rPr>
          <w:spacing w:val="-10"/>
        </w:rPr>
        <w:t> </w:t>
      </w:r>
      <w:r>
        <w:rPr/>
        <w:t>body</w:t>
      </w:r>
      <w:r>
        <w:rPr>
          <w:spacing w:val="-11"/>
        </w:rPr>
        <w:t> </w:t>
      </w:r>
      <w:r>
        <w:rPr/>
        <w:t>taps</w:t>
      </w:r>
      <w:r>
        <w:rPr>
          <w:spacing w:val="-10"/>
        </w:rPr>
        <w:t> </w:t>
      </w:r>
      <w:r>
        <w:rPr/>
        <w:t>minerals</w:t>
      </w:r>
      <w:r>
        <w:rPr>
          <w:spacing w:val="-12"/>
        </w:rPr>
        <w:t> </w:t>
      </w:r>
      <w:r>
        <w:rPr/>
        <w:t>from</w:t>
      </w:r>
      <w:r>
        <w:rPr>
          <w:spacing w:val="-11"/>
        </w:rPr>
        <w:t> </w:t>
      </w:r>
      <w:r>
        <w:rPr/>
        <w:t>the</w:t>
      </w:r>
      <w:r>
        <w:rPr>
          <w:spacing w:val="-11"/>
        </w:rPr>
        <w:t> </w:t>
      </w:r>
      <w:r>
        <w:rPr/>
        <w:t>hair,</w:t>
      </w:r>
      <w:r>
        <w:rPr>
          <w:spacing w:val="-11"/>
        </w:rPr>
        <w:t> </w:t>
      </w:r>
      <w:r>
        <w:rPr/>
        <w:t>scalp,</w:t>
      </w:r>
      <w:r>
        <w:rPr>
          <w:spacing w:val="-10"/>
        </w:rPr>
        <w:t> </w:t>
      </w:r>
      <w:r>
        <w:rPr/>
        <w:t>teeth,</w:t>
      </w:r>
      <w:r>
        <w:rPr>
          <w:spacing w:val="-9"/>
        </w:rPr>
        <w:t> </w:t>
      </w:r>
      <w:r>
        <w:rPr/>
        <w:t>bones</w:t>
      </w:r>
      <w:r>
        <w:rPr>
          <w:spacing w:val="-14"/>
        </w:rPr>
        <w:t> </w:t>
      </w:r>
      <w:r>
        <w:rPr/>
        <w:t>and</w:t>
      </w:r>
      <w:r>
        <w:rPr>
          <w:spacing w:val="-11"/>
        </w:rPr>
        <w:t> </w:t>
      </w:r>
      <w:r>
        <w:rPr/>
        <w:t>cartilage, this overexploitation is visible in what we generally refer to as</w:t>
      </w:r>
      <w:r>
        <w:rPr>
          <w:spacing w:val="-10"/>
        </w:rPr>
        <w:t> </w:t>
      </w:r>
      <w:r>
        <w:rPr/>
        <w:t>‘ageing’.</w:t>
      </w:r>
    </w:p>
    <w:p>
      <w:pPr>
        <w:pStyle w:val="BodyText"/>
        <w:spacing w:line="276" w:lineRule="auto" w:before="246"/>
        <w:ind w:left="616" w:right="133"/>
        <w:jc w:val="both"/>
      </w:pPr>
      <w:r>
        <w:rPr/>
        <w:t>However,</w:t>
      </w:r>
      <w:r>
        <w:rPr>
          <w:spacing w:val="-6"/>
        </w:rPr>
        <w:t> </w:t>
      </w:r>
      <w:r>
        <w:rPr/>
        <w:t>there</w:t>
      </w:r>
      <w:r>
        <w:rPr>
          <w:spacing w:val="-6"/>
        </w:rPr>
        <w:t> </w:t>
      </w:r>
      <w:r>
        <w:rPr/>
        <w:t>is</w:t>
      </w:r>
      <w:r>
        <w:rPr>
          <w:spacing w:val="-7"/>
        </w:rPr>
        <w:t> </w:t>
      </w:r>
      <w:r>
        <w:rPr/>
        <w:t>only</w:t>
      </w:r>
      <w:r>
        <w:rPr>
          <w:spacing w:val="-6"/>
        </w:rPr>
        <w:t> </w:t>
      </w:r>
      <w:r>
        <w:rPr/>
        <w:t>a</w:t>
      </w:r>
      <w:r>
        <w:rPr>
          <w:spacing w:val="-7"/>
        </w:rPr>
        <w:t> </w:t>
      </w:r>
      <w:r>
        <w:rPr/>
        <w:t>danger</w:t>
      </w:r>
      <w:r>
        <w:rPr>
          <w:spacing w:val="-8"/>
        </w:rPr>
        <w:t> </w:t>
      </w:r>
      <w:r>
        <w:rPr/>
        <w:t>from</w:t>
      </w:r>
      <w:r>
        <w:rPr>
          <w:spacing w:val="-7"/>
        </w:rPr>
        <w:t> </w:t>
      </w:r>
      <w:r>
        <w:rPr/>
        <w:t>sludge</w:t>
      </w:r>
      <w:r>
        <w:rPr>
          <w:spacing w:val="-6"/>
        </w:rPr>
        <w:t> </w:t>
      </w:r>
      <w:r>
        <w:rPr/>
        <w:t>if</w:t>
      </w:r>
      <w:r>
        <w:rPr>
          <w:spacing w:val="-7"/>
        </w:rPr>
        <w:t> </w:t>
      </w:r>
      <w:r>
        <w:rPr/>
        <w:t>it</w:t>
      </w:r>
      <w:r>
        <w:rPr>
          <w:spacing w:val="-8"/>
        </w:rPr>
        <w:t> </w:t>
      </w:r>
      <w:r>
        <w:rPr/>
        <w:t>can</w:t>
      </w:r>
      <w:r>
        <w:rPr>
          <w:spacing w:val="-5"/>
        </w:rPr>
        <w:t> </w:t>
      </w:r>
      <w:r>
        <w:rPr/>
        <w:t>accumulate</w:t>
      </w:r>
      <w:r>
        <w:rPr>
          <w:spacing w:val="-6"/>
        </w:rPr>
        <w:t> </w:t>
      </w:r>
      <w:r>
        <w:rPr/>
        <w:t>in</w:t>
      </w:r>
      <w:r>
        <w:rPr>
          <w:spacing w:val="-7"/>
        </w:rPr>
        <w:t> </w:t>
      </w:r>
      <w:r>
        <w:rPr/>
        <w:t>our</w:t>
      </w:r>
      <w:r>
        <w:rPr>
          <w:spacing w:val="-6"/>
        </w:rPr>
        <w:t> </w:t>
      </w:r>
      <w:r>
        <w:rPr/>
        <w:t>body - insufficient fluids increase the salt concentration which is favourable for the accumulation of</w:t>
      </w:r>
      <w:r>
        <w:rPr>
          <w:spacing w:val="3"/>
        </w:rPr>
        <w:t> </w:t>
      </w:r>
      <w:r>
        <w:rPr/>
        <w:t>sludge.</w:t>
      </w:r>
    </w:p>
    <w:p>
      <w:pPr>
        <w:pStyle w:val="Heading1"/>
        <w:spacing w:before="221"/>
        <w:ind w:left="616"/>
        <w:jc w:val="both"/>
      </w:pPr>
      <w:r>
        <w:rPr/>
        <w:t>Differences in the process of disease and ageing in women and men</w:t>
      </w:r>
    </w:p>
    <w:p>
      <w:pPr>
        <w:pStyle w:val="BodyText"/>
        <w:spacing w:line="276" w:lineRule="auto" w:before="300"/>
        <w:ind w:left="616" w:right="136"/>
        <w:jc w:val="both"/>
      </w:pPr>
      <w:r>
        <w:rPr/>
        <w:t>Due</w:t>
      </w:r>
      <w:r>
        <w:rPr>
          <w:spacing w:val="-7"/>
        </w:rPr>
        <w:t> </w:t>
      </w:r>
      <w:r>
        <w:rPr/>
        <w:t>to</w:t>
      </w:r>
      <w:r>
        <w:rPr>
          <w:spacing w:val="-6"/>
        </w:rPr>
        <w:t> </w:t>
      </w:r>
      <w:r>
        <w:rPr/>
        <w:t>the</w:t>
      </w:r>
      <w:r>
        <w:rPr>
          <w:spacing w:val="-5"/>
        </w:rPr>
        <w:t> </w:t>
      </w:r>
      <w:r>
        <w:rPr/>
        <w:t>different</w:t>
      </w:r>
      <w:r>
        <w:rPr>
          <w:spacing w:val="-7"/>
        </w:rPr>
        <w:t> </w:t>
      </w:r>
      <w:r>
        <w:rPr/>
        <w:t>anatomies</w:t>
      </w:r>
      <w:r>
        <w:rPr>
          <w:spacing w:val="-6"/>
        </w:rPr>
        <w:t> </w:t>
      </w:r>
      <w:r>
        <w:rPr/>
        <w:t>and</w:t>
      </w:r>
      <w:r>
        <w:rPr>
          <w:spacing w:val="-7"/>
        </w:rPr>
        <w:t> </w:t>
      </w:r>
      <w:r>
        <w:rPr/>
        <w:t>the</w:t>
      </w:r>
      <w:r>
        <w:rPr>
          <w:spacing w:val="-5"/>
        </w:rPr>
        <w:t> </w:t>
      </w:r>
      <w:r>
        <w:rPr/>
        <w:t>function</w:t>
      </w:r>
      <w:r>
        <w:rPr>
          <w:spacing w:val="-6"/>
        </w:rPr>
        <w:t> </w:t>
      </w:r>
      <w:r>
        <w:rPr/>
        <w:t>of</w:t>
      </w:r>
      <w:r>
        <w:rPr>
          <w:spacing w:val="-6"/>
        </w:rPr>
        <w:t> </w:t>
      </w:r>
      <w:r>
        <w:rPr/>
        <w:t>the</w:t>
      </w:r>
      <w:r>
        <w:rPr>
          <w:spacing w:val="-6"/>
        </w:rPr>
        <w:t> </w:t>
      </w:r>
      <w:r>
        <w:rPr/>
        <w:t>monthly</w:t>
      </w:r>
      <w:r>
        <w:rPr>
          <w:spacing w:val="-9"/>
        </w:rPr>
        <w:t> </w:t>
      </w:r>
      <w:r>
        <w:rPr/>
        <w:t>period</w:t>
      </w:r>
      <w:r>
        <w:rPr>
          <w:spacing w:val="-6"/>
        </w:rPr>
        <w:t> </w:t>
      </w:r>
      <w:r>
        <w:rPr/>
        <w:t>as</w:t>
      </w:r>
      <w:r>
        <w:rPr>
          <w:spacing w:val="-7"/>
        </w:rPr>
        <w:t> </w:t>
      </w:r>
      <w:r>
        <w:rPr/>
        <w:t>well as excretion via the uterus, women experience regular ‘cleaning’ and deacidifi- cation during their younger years. This is also the reason why women live to be around ten years older than men and are described as the ‘fairer</w:t>
      </w:r>
      <w:r>
        <w:rPr>
          <w:spacing w:val="-10"/>
        </w:rPr>
        <w:t> </w:t>
      </w:r>
      <w:r>
        <w:rPr/>
        <w:t>sex’.</w:t>
      </w:r>
    </w:p>
    <w:p>
      <w:pPr>
        <w:pStyle w:val="BodyText"/>
        <w:spacing w:line="276" w:lineRule="auto" w:before="239"/>
        <w:ind w:left="616" w:right="133"/>
        <w:jc w:val="both"/>
      </w:pPr>
      <w:r>
        <w:rPr/>
        <w:t>Indeed, the deacidification and decontamination via the gender-typical func- tion of women protects them from premature demise and the degradation of minerals from the organs responsible for beauty, such as the skin, hair, teeth etc.</w:t>
      </w:r>
    </w:p>
    <w:p>
      <w:pPr>
        <w:spacing w:after="0" w:line="276" w:lineRule="auto"/>
        <w:jc w:val="both"/>
        <w:sectPr>
          <w:pgSz w:w="14270" w:h="16850"/>
          <w:pgMar w:header="0" w:footer="1891" w:top="1320" w:bottom="2080" w:left="800" w:right="1280"/>
        </w:sectPr>
      </w:pPr>
    </w:p>
    <w:p>
      <w:pPr>
        <w:pStyle w:val="BodyText"/>
        <w:spacing w:line="276" w:lineRule="auto" w:before="74"/>
        <w:ind w:left="616" w:right="137"/>
        <w:jc w:val="both"/>
      </w:pPr>
      <w:r>
        <w:rPr/>
        <w:t>However, it is the exception that proves the rule, as with increased wealth</w:t>
      </w:r>
      <w:r>
        <w:rPr>
          <w:spacing w:val="-58"/>
        </w:rPr>
        <w:t> </w:t>
      </w:r>
      <w:r>
        <w:rPr/>
        <w:t>and polluting environmental factors, more and more women are suffering from acidification</w:t>
      </w:r>
      <w:r>
        <w:rPr>
          <w:spacing w:val="-7"/>
        </w:rPr>
        <w:t> </w:t>
      </w:r>
      <w:r>
        <w:rPr/>
        <w:t>at</w:t>
      </w:r>
      <w:r>
        <w:rPr>
          <w:spacing w:val="-9"/>
        </w:rPr>
        <w:t> </w:t>
      </w:r>
      <w:r>
        <w:rPr/>
        <w:t>a</w:t>
      </w:r>
      <w:r>
        <w:rPr>
          <w:spacing w:val="-9"/>
        </w:rPr>
        <w:t> </w:t>
      </w:r>
      <w:r>
        <w:rPr/>
        <w:t>younger</w:t>
      </w:r>
      <w:r>
        <w:rPr>
          <w:spacing w:val="-7"/>
        </w:rPr>
        <w:t> </w:t>
      </w:r>
      <w:r>
        <w:rPr/>
        <w:t>age</w:t>
      </w:r>
      <w:r>
        <w:rPr>
          <w:spacing w:val="-10"/>
        </w:rPr>
        <w:t> </w:t>
      </w:r>
      <w:r>
        <w:rPr/>
        <w:t>with</w:t>
      </w:r>
      <w:r>
        <w:rPr>
          <w:spacing w:val="-7"/>
        </w:rPr>
        <w:t> </w:t>
      </w:r>
      <w:r>
        <w:rPr/>
        <w:t>mineral</w:t>
      </w:r>
      <w:r>
        <w:rPr>
          <w:spacing w:val="-9"/>
        </w:rPr>
        <w:t> </w:t>
      </w:r>
      <w:r>
        <w:rPr/>
        <w:t>substance</w:t>
      </w:r>
      <w:r>
        <w:rPr>
          <w:spacing w:val="-7"/>
        </w:rPr>
        <w:t> </w:t>
      </w:r>
      <w:r>
        <w:rPr/>
        <w:t>degradation</w:t>
      </w:r>
      <w:r>
        <w:rPr>
          <w:spacing w:val="-9"/>
        </w:rPr>
        <w:t> </w:t>
      </w:r>
      <w:r>
        <w:rPr/>
        <w:t>and</w:t>
      </w:r>
      <w:r>
        <w:rPr>
          <w:spacing w:val="-9"/>
        </w:rPr>
        <w:t> </w:t>
      </w:r>
      <w:r>
        <w:rPr/>
        <w:t>toxifica- tion, as deacidification through the monthly period is no longer</w:t>
      </w:r>
      <w:r>
        <w:rPr>
          <w:spacing w:val="-22"/>
        </w:rPr>
        <w:t> </w:t>
      </w:r>
      <w:r>
        <w:rPr/>
        <w:t>sufficient.</w:t>
      </w:r>
    </w:p>
    <w:p>
      <w:pPr>
        <w:pStyle w:val="BodyText"/>
        <w:spacing w:line="276" w:lineRule="auto" w:before="239"/>
        <w:ind w:left="616" w:right="133"/>
        <w:jc w:val="both"/>
      </w:pPr>
      <w:r>
        <w:rPr/>
        <w:t>Greater</w:t>
      </w:r>
      <w:r>
        <w:rPr>
          <w:spacing w:val="-17"/>
        </w:rPr>
        <w:t> </w:t>
      </w:r>
      <w:r>
        <w:rPr/>
        <w:t>mineral</w:t>
      </w:r>
      <w:r>
        <w:rPr>
          <w:spacing w:val="-18"/>
        </w:rPr>
        <w:t> </w:t>
      </w:r>
      <w:r>
        <w:rPr/>
        <w:t>losses</w:t>
      </w:r>
      <w:r>
        <w:rPr>
          <w:spacing w:val="-16"/>
        </w:rPr>
        <w:t> </w:t>
      </w:r>
      <w:r>
        <w:rPr/>
        <w:t>also</w:t>
      </w:r>
      <w:r>
        <w:rPr>
          <w:spacing w:val="-17"/>
        </w:rPr>
        <w:t> </w:t>
      </w:r>
      <w:r>
        <w:rPr/>
        <w:t>threaten</w:t>
      </w:r>
      <w:r>
        <w:rPr>
          <w:spacing w:val="-17"/>
        </w:rPr>
        <w:t> </w:t>
      </w:r>
      <w:r>
        <w:rPr/>
        <w:t>all</w:t>
      </w:r>
      <w:r>
        <w:rPr>
          <w:spacing w:val="-19"/>
        </w:rPr>
        <w:t> </w:t>
      </w:r>
      <w:r>
        <w:rPr/>
        <w:t>women</w:t>
      </w:r>
      <w:r>
        <w:rPr>
          <w:spacing w:val="-13"/>
        </w:rPr>
        <w:t> </w:t>
      </w:r>
      <w:r>
        <w:rPr/>
        <w:t>during</w:t>
      </w:r>
      <w:r>
        <w:rPr>
          <w:spacing w:val="-17"/>
        </w:rPr>
        <w:t> </w:t>
      </w:r>
      <w:r>
        <w:rPr/>
        <w:t>menopause</w:t>
      </w:r>
      <w:r>
        <w:rPr>
          <w:spacing w:val="-19"/>
        </w:rPr>
        <w:t> </w:t>
      </w:r>
      <w:r>
        <w:rPr/>
        <w:t>and</w:t>
      </w:r>
      <w:r>
        <w:rPr>
          <w:spacing w:val="-17"/>
        </w:rPr>
        <w:t> </w:t>
      </w:r>
      <w:r>
        <w:rPr/>
        <w:t>beyond. Even</w:t>
      </w:r>
      <w:r>
        <w:rPr>
          <w:spacing w:val="-18"/>
        </w:rPr>
        <w:t> </w:t>
      </w:r>
      <w:r>
        <w:rPr/>
        <w:t>worse:</w:t>
      </w:r>
      <w:r>
        <w:rPr>
          <w:spacing w:val="-20"/>
        </w:rPr>
        <w:t> </w:t>
      </w:r>
      <w:r>
        <w:rPr/>
        <w:t>While</w:t>
      </w:r>
      <w:r>
        <w:rPr>
          <w:spacing w:val="-20"/>
        </w:rPr>
        <w:t> </w:t>
      </w:r>
      <w:r>
        <w:rPr/>
        <w:t>the</w:t>
      </w:r>
      <w:r>
        <w:rPr>
          <w:spacing w:val="-18"/>
        </w:rPr>
        <w:t> </w:t>
      </w:r>
      <w:r>
        <w:rPr/>
        <w:t>male</w:t>
      </w:r>
      <w:r>
        <w:rPr>
          <w:spacing w:val="-18"/>
        </w:rPr>
        <w:t> </w:t>
      </w:r>
      <w:r>
        <w:rPr/>
        <w:t>body</w:t>
      </w:r>
      <w:r>
        <w:rPr>
          <w:spacing w:val="-21"/>
        </w:rPr>
        <w:t> </w:t>
      </w:r>
      <w:r>
        <w:rPr/>
        <w:t>is</w:t>
      </w:r>
      <w:r>
        <w:rPr>
          <w:spacing w:val="-21"/>
        </w:rPr>
        <w:t> </w:t>
      </w:r>
      <w:r>
        <w:rPr/>
        <w:t>trained</w:t>
      </w:r>
      <w:r>
        <w:rPr>
          <w:spacing w:val="-17"/>
        </w:rPr>
        <w:t> </w:t>
      </w:r>
      <w:r>
        <w:rPr/>
        <w:t>to</w:t>
      </w:r>
      <w:r>
        <w:rPr>
          <w:spacing w:val="-21"/>
        </w:rPr>
        <w:t> </w:t>
      </w:r>
      <w:r>
        <w:rPr/>
        <w:t>metabolise</w:t>
      </w:r>
      <w:r>
        <w:rPr>
          <w:spacing w:val="-19"/>
        </w:rPr>
        <w:t> </w:t>
      </w:r>
      <w:r>
        <w:rPr/>
        <w:t>acids</w:t>
      </w:r>
      <w:r>
        <w:rPr>
          <w:spacing w:val="-19"/>
        </w:rPr>
        <w:t> </w:t>
      </w:r>
      <w:r>
        <w:rPr/>
        <w:t>to</w:t>
      </w:r>
      <w:r>
        <w:rPr>
          <w:spacing w:val="-20"/>
        </w:rPr>
        <w:t> </w:t>
      </w:r>
      <w:r>
        <w:rPr/>
        <w:t>some</w:t>
      </w:r>
      <w:r>
        <w:rPr>
          <w:spacing w:val="-18"/>
        </w:rPr>
        <w:t> </w:t>
      </w:r>
      <w:r>
        <w:rPr/>
        <w:t>extent, women find this much harder during this dramatic section of their lives. This results in the deficits in men and women evening out during the subsequent years. Therefore, women must live in a particularly health conscious manner after menopause in order to retain their health and beauty beyond</w:t>
      </w:r>
      <w:r>
        <w:rPr>
          <w:spacing w:val="-16"/>
        </w:rPr>
        <w:t> </w:t>
      </w:r>
      <w:r>
        <w:rPr/>
        <w:t>this.</w:t>
      </w:r>
    </w:p>
    <w:p>
      <w:pPr>
        <w:pStyle w:val="Heading2"/>
        <w:spacing w:before="241"/>
        <w:ind w:left="616"/>
      </w:pPr>
      <w:r>
        <w:rPr/>
        <w:t>Cellulite vs. hair loss – women vs. men</w:t>
      </w:r>
    </w:p>
    <w:p>
      <w:pPr>
        <w:spacing w:before="304"/>
        <w:ind w:left="616" w:right="0" w:firstLine="0"/>
        <w:jc w:val="left"/>
        <w:rPr>
          <w:sz w:val="25"/>
        </w:rPr>
      </w:pPr>
      <w:r>
        <w:rPr>
          <w:i/>
          <w:sz w:val="38"/>
        </w:rPr>
        <w:t>‘Hair</w:t>
      </w:r>
      <w:r>
        <w:rPr>
          <w:i/>
          <w:spacing w:val="-24"/>
          <w:sz w:val="38"/>
        </w:rPr>
        <w:t> </w:t>
      </w:r>
      <w:r>
        <w:rPr>
          <w:i/>
          <w:sz w:val="38"/>
        </w:rPr>
        <w:t>loss</w:t>
      </w:r>
      <w:r>
        <w:rPr>
          <w:i/>
          <w:spacing w:val="-24"/>
          <w:sz w:val="38"/>
        </w:rPr>
        <w:t> </w:t>
      </w:r>
      <w:r>
        <w:rPr>
          <w:i/>
          <w:sz w:val="38"/>
        </w:rPr>
        <w:t>and</w:t>
      </w:r>
      <w:r>
        <w:rPr>
          <w:i/>
          <w:spacing w:val="-24"/>
          <w:sz w:val="38"/>
        </w:rPr>
        <w:t> </w:t>
      </w:r>
      <w:r>
        <w:rPr>
          <w:i/>
          <w:sz w:val="38"/>
        </w:rPr>
        <w:t>cellulite</w:t>
      </w:r>
      <w:r>
        <w:rPr>
          <w:i/>
          <w:spacing w:val="-24"/>
          <w:sz w:val="38"/>
        </w:rPr>
        <w:t> </w:t>
      </w:r>
      <w:r>
        <w:rPr>
          <w:i/>
          <w:sz w:val="38"/>
        </w:rPr>
        <w:t>occur</w:t>
      </w:r>
      <w:r>
        <w:rPr>
          <w:i/>
          <w:spacing w:val="-25"/>
          <w:sz w:val="38"/>
        </w:rPr>
        <w:t> </w:t>
      </w:r>
      <w:r>
        <w:rPr>
          <w:i/>
          <w:sz w:val="38"/>
        </w:rPr>
        <w:t>in</w:t>
      </w:r>
      <w:r>
        <w:rPr>
          <w:i/>
          <w:spacing w:val="-25"/>
          <w:sz w:val="38"/>
        </w:rPr>
        <w:t> </w:t>
      </w:r>
      <w:r>
        <w:rPr>
          <w:i/>
          <w:sz w:val="38"/>
        </w:rPr>
        <w:t>athletes</w:t>
      </w:r>
      <w:r>
        <w:rPr>
          <w:i/>
          <w:spacing w:val="-25"/>
          <w:sz w:val="38"/>
        </w:rPr>
        <w:t> </w:t>
      </w:r>
      <w:r>
        <w:rPr>
          <w:i/>
          <w:sz w:val="38"/>
        </w:rPr>
        <w:t>not</w:t>
      </w:r>
      <w:r>
        <w:rPr>
          <w:i/>
          <w:spacing w:val="-24"/>
          <w:sz w:val="38"/>
        </w:rPr>
        <w:t> </w:t>
      </w:r>
      <w:r>
        <w:rPr>
          <w:i/>
          <w:sz w:val="38"/>
        </w:rPr>
        <w:t>despite,</w:t>
      </w:r>
      <w:r>
        <w:rPr>
          <w:i/>
          <w:spacing w:val="-23"/>
          <w:sz w:val="38"/>
        </w:rPr>
        <w:t> </w:t>
      </w:r>
      <w:r>
        <w:rPr>
          <w:i/>
          <w:sz w:val="38"/>
        </w:rPr>
        <w:t>but</w:t>
      </w:r>
      <w:r>
        <w:rPr>
          <w:i/>
          <w:spacing w:val="-24"/>
          <w:sz w:val="38"/>
        </w:rPr>
        <w:t> </w:t>
      </w:r>
      <w:r>
        <w:rPr>
          <w:i/>
          <w:sz w:val="38"/>
        </w:rPr>
        <w:t>because</w:t>
      </w:r>
      <w:r>
        <w:rPr>
          <w:i/>
          <w:spacing w:val="-24"/>
          <w:sz w:val="38"/>
        </w:rPr>
        <w:t> </w:t>
      </w:r>
      <w:r>
        <w:rPr>
          <w:i/>
          <w:sz w:val="38"/>
        </w:rPr>
        <w:t>they</w:t>
      </w:r>
      <w:r>
        <w:rPr>
          <w:i/>
          <w:spacing w:val="-25"/>
          <w:sz w:val="38"/>
        </w:rPr>
        <w:t> </w:t>
      </w:r>
      <w:r>
        <w:rPr>
          <w:i/>
          <w:sz w:val="38"/>
        </w:rPr>
        <w:t>do</w:t>
      </w:r>
      <w:r>
        <w:rPr>
          <w:i/>
          <w:spacing w:val="-26"/>
          <w:sz w:val="38"/>
        </w:rPr>
        <w:t> </w:t>
      </w:r>
      <w:r>
        <w:rPr>
          <w:i/>
          <w:sz w:val="38"/>
        </w:rPr>
        <w:t>too</w:t>
      </w:r>
      <w:r>
        <w:rPr>
          <w:i/>
          <w:spacing w:val="-25"/>
          <w:sz w:val="38"/>
        </w:rPr>
        <w:t> </w:t>
      </w:r>
      <w:r>
        <w:rPr>
          <w:i/>
          <w:sz w:val="38"/>
        </w:rPr>
        <w:t>much</w:t>
      </w:r>
      <w:r>
        <w:rPr>
          <w:i/>
          <w:spacing w:val="-23"/>
          <w:sz w:val="38"/>
        </w:rPr>
        <w:t> </w:t>
      </w:r>
      <w:r>
        <w:rPr>
          <w:i/>
          <w:sz w:val="38"/>
        </w:rPr>
        <w:t>exercise’.</w:t>
      </w:r>
      <w:r>
        <w:rPr>
          <w:position w:val="9"/>
          <w:sz w:val="25"/>
        </w:rPr>
        <w:t>1044</w:t>
      </w:r>
    </w:p>
    <w:p>
      <w:pPr>
        <w:pStyle w:val="BodyText"/>
        <w:spacing w:line="276" w:lineRule="auto" w:before="305"/>
        <w:ind w:left="616" w:right="134"/>
        <w:jc w:val="both"/>
      </w:pPr>
      <w:r>
        <w:rPr/>
        <w:t>We casually accept optical deficits typical to genders but rarely question the reason</w:t>
      </w:r>
      <w:r>
        <w:rPr>
          <w:spacing w:val="-18"/>
        </w:rPr>
        <w:t> </w:t>
      </w:r>
      <w:r>
        <w:rPr/>
        <w:t>for</w:t>
      </w:r>
      <w:r>
        <w:rPr>
          <w:spacing w:val="-17"/>
        </w:rPr>
        <w:t> </w:t>
      </w:r>
      <w:r>
        <w:rPr/>
        <w:t>these.</w:t>
      </w:r>
      <w:r>
        <w:rPr>
          <w:spacing w:val="-20"/>
        </w:rPr>
        <w:t> </w:t>
      </w:r>
      <w:r>
        <w:rPr/>
        <w:t>Why</w:t>
      </w:r>
      <w:r>
        <w:rPr>
          <w:spacing w:val="-17"/>
        </w:rPr>
        <w:t> </w:t>
      </w:r>
      <w:r>
        <w:rPr/>
        <w:t>do</w:t>
      </w:r>
      <w:r>
        <w:rPr>
          <w:spacing w:val="-17"/>
        </w:rPr>
        <w:t> </w:t>
      </w:r>
      <w:r>
        <w:rPr/>
        <w:t>women</w:t>
      </w:r>
      <w:r>
        <w:rPr>
          <w:spacing w:val="-17"/>
        </w:rPr>
        <w:t> </w:t>
      </w:r>
      <w:r>
        <w:rPr/>
        <w:t>get</w:t>
      </w:r>
      <w:r>
        <w:rPr>
          <w:spacing w:val="-18"/>
        </w:rPr>
        <w:t> </w:t>
      </w:r>
      <w:r>
        <w:rPr/>
        <w:t>cellulite</w:t>
      </w:r>
      <w:r>
        <w:rPr>
          <w:spacing w:val="-17"/>
        </w:rPr>
        <w:t> </w:t>
      </w:r>
      <w:r>
        <w:rPr/>
        <w:t>but</w:t>
      </w:r>
      <w:r>
        <w:rPr>
          <w:spacing w:val="-17"/>
        </w:rPr>
        <w:t> </w:t>
      </w:r>
      <w:r>
        <w:rPr/>
        <w:t>not</w:t>
      </w:r>
      <w:r>
        <w:rPr>
          <w:spacing w:val="-18"/>
        </w:rPr>
        <w:t> </w:t>
      </w:r>
      <w:r>
        <w:rPr/>
        <w:t>men?</w:t>
      </w:r>
      <w:r>
        <w:rPr>
          <w:spacing w:val="-17"/>
        </w:rPr>
        <w:t> </w:t>
      </w:r>
      <w:r>
        <w:rPr/>
        <w:t>Why</w:t>
      </w:r>
      <w:r>
        <w:rPr>
          <w:spacing w:val="-17"/>
        </w:rPr>
        <w:t> </w:t>
      </w:r>
      <w:r>
        <w:rPr/>
        <w:t>do</w:t>
      </w:r>
      <w:r>
        <w:rPr>
          <w:spacing w:val="-17"/>
        </w:rPr>
        <w:t> </w:t>
      </w:r>
      <w:r>
        <w:rPr/>
        <w:t>men</w:t>
      </w:r>
      <w:r>
        <w:rPr>
          <w:spacing w:val="-17"/>
        </w:rPr>
        <w:t> </w:t>
      </w:r>
      <w:r>
        <w:rPr/>
        <w:t>suffer from hair loss while this is extremely rare in women? If we look at the respec- tive problems more precisely we can find the answer and then determine that apparently harmless ‘optical problems’ are actually symptoms of acidification and toxification which we should take</w:t>
      </w:r>
      <w:r>
        <w:rPr>
          <w:spacing w:val="2"/>
        </w:rPr>
        <w:t> </w:t>
      </w:r>
      <w:r>
        <w:rPr/>
        <w:t>seriously!</w:t>
      </w:r>
    </w:p>
    <w:p>
      <w:pPr>
        <w:pStyle w:val="BodyText"/>
        <w:rPr>
          <w:sz w:val="20"/>
        </w:rPr>
      </w:pPr>
    </w:p>
    <w:p>
      <w:pPr>
        <w:pStyle w:val="BodyText"/>
        <w:rPr>
          <w:sz w:val="20"/>
        </w:rPr>
      </w:pPr>
    </w:p>
    <w:p>
      <w:pPr>
        <w:pStyle w:val="BodyText"/>
        <w:spacing w:before="7"/>
        <w:rPr>
          <w:sz w:val="28"/>
        </w:rPr>
      </w:pPr>
      <w:r>
        <w:rPr/>
        <w:pict>
          <v:line style="position:absolute;mso-position-horizontal-relative:page;mso-position-vertical-relative:paragraph;z-index:16376;mso-wrap-distance-left:0;mso-wrap-distance-right:0" from="70.823997pt,18.490015pt" to="214.843997pt,18.490015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1044 </w:t>
      </w:r>
      <w:r>
        <w:rPr>
          <w:sz w:val="20"/>
        </w:rPr>
        <w:t>Dr. h.c. Peter Jentschura and Josef Lohkämper: Gesundheit durch Entschlackung, May 2010</w:t>
      </w:r>
    </w:p>
    <w:p>
      <w:pPr>
        <w:spacing w:after="0"/>
        <w:jc w:val="left"/>
        <w:rPr>
          <w:sz w:val="20"/>
        </w:rPr>
        <w:sectPr>
          <w:pgSz w:w="14270" w:h="16850"/>
          <w:pgMar w:header="0" w:footer="1891" w:top="1340" w:bottom="2080" w:left="800" w:right="1280"/>
        </w:sectPr>
      </w:pPr>
    </w:p>
    <w:p>
      <w:pPr>
        <w:pStyle w:val="Heading1"/>
        <w:spacing w:before="77"/>
        <w:ind w:left="616"/>
      </w:pPr>
      <w:r>
        <w:rPr/>
        <w:t>What is cellulitis?</w:t>
      </w:r>
    </w:p>
    <w:p>
      <w:pPr>
        <w:pStyle w:val="BodyText"/>
        <w:spacing w:line="276" w:lineRule="auto" w:before="299"/>
        <w:ind w:left="616" w:right="132"/>
        <w:jc w:val="both"/>
      </w:pPr>
      <w:r>
        <w:rPr/>
        <w:t>As</w:t>
      </w:r>
      <w:r>
        <w:rPr>
          <w:spacing w:val="-12"/>
        </w:rPr>
        <w:t> </w:t>
      </w:r>
      <w:r>
        <w:rPr/>
        <w:t>we</w:t>
      </w:r>
      <w:r>
        <w:rPr>
          <w:spacing w:val="-13"/>
        </w:rPr>
        <w:t> </w:t>
      </w:r>
      <w:r>
        <w:rPr/>
        <w:t>have</w:t>
      </w:r>
      <w:r>
        <w:rPr>
          <w:spacing w:val="-14"/>
        </w:rPr>
        <w:t> </w:t>
      </w:r>
      <w:r>
        <w:rPr/>
        <w:t>already</w:t>
      </w:r>
      <w:r>
        <w:rPr>
          <w:spacing w:val="-13"/>
        </w:rPr>
        <w:t> </w:t>
      </w:r>
      <w:r>
        <w:rPr/>
        <w:t>read</w:t>
      </w:r>
      <w:r>
        <w:rPr>
          <w:spacing w:val="-13"/>
        </w:rPr>
        <w:t> </w:t>
      </w:r>
      <w:r>
        <w:rPr/>
        <w:t>above,</w:t>
      </w:r>
      <w:r>
        <w:rPr>
          <w:spacing w:val="-14"/>
        </w:rPr>
        <w:t> </w:t>
      </w:r>
      <w:r>
        <w:rPr/>
        <w:t>women</w:t>
      </w:r>
      <w:r>
        <w:rPr>
          <w:spacing w:val="-11"/>
        </w:rPr>
        <w:t> </w:t>
      </w:r>
      <w:r>
        <w:rPr/>
        <w:t>experience</w:t>
      </w:r>
      <w:r>
        <w:rPr>
          <w:spacing w:val="-12"/>
        </w:rPr>
        <w:t> </w:t>
      </w:r>
      <w:r>
        <w:rPr/>
        <w:t>a</w:t>
      </w:r>
      <w:r>
        <w:rPr>
          <w:spacing w:val="-14"/>
        </w:rPr>
        <w:t> </w:t>
      </w:r>
      <w:r>
        <w:rPr/>
        <w:t>different</w:t>
      </w:r>
      <w:r>
        <w:rPr>
          <w:spacing w:val="-14"/>
        </w:rPr>
        <w:t> </w:t>
      </w:r>
      <w:r>
        <w:rPr/>
        <w:t>acid</w:t>
      </w:r>
      <w:r>
        <w:rPr>
          <w:spacing w:val="-14"/>
        </w:rPr>
        <w:t> </w:t>
      </w:r>
      <w:r>
        <w:rPr/>
        <w:t>metabolism to men and have an advantage over men in that they expel acids monthly</w:t>
      </w:r>
      <w:r>
        <w:rPr>
          <w:spacing w:val="-47"/>
        </w:rPr>
        <w:t> </w:t>
      </w:r>
      <w:r>
        <w:rPr/>
        <w:t>dur- ing menstruation in their younger years. While men must metabolise acids every day, these are initially ‘deposited’ in three locations in women’s bodies until the next period. The first ‘depository’ is the blood and lymphatic fluid, the second ‘depository’ for acids is the placenta and the third and last ‘deposi- tory’</w:t>
      </w:r>
      <w:r>
        <w:rPr>
          <w:spacing w:val="1"/>
        </w:rPr>
        <w:t> </w:t>
      </w:r>
      <w:r>
        <w:rPr/>
        <w:t>is:</w:t>
      </w:r>
    </w:p>
    <w:p>
      <w:pPr>
        <w:pStyle w:val="Heading1"/>
        <w:ind w:left="616"/>
      </w:pPr>
      <w:r>
        <w:rPr/>
        <w:t>the area around the hips, buttocks and upper thighs</w:t>
      </w:r>
    </w:p>
    <w:p>
      <w:pPr>
        <w:pStyle w:val="BodyText"/>
        <w:spacing w:line="276" w:lineRule="auto" w:before="297"/>
        <w:ind w:left="616" w:right="134"/>
        <w:jc w:val="both"/>
      </w:pPr>
      <w:r>
        <w:rPr/>
        <w:t>It is according to this hierarchy that the body chooses its ‘acid depositories’ in women</w:t>
      </w:r>
      <w:r>
        <w:rPr>
          <w:spacing w:val="-11"/>
        </w:rPr>
        <w:t> </w:t>
      </w:r>
      <w:r>
        <w:rPr/>
        <w:t>(1.</w:t>
      </w:r>
      <w:r>
        <w:rPr>
          <w:spacing w:val="-15"/>
        </w:rPr>
        <w:t> </w:t>
      </w:r>
      <w:r>
        <w:rPr/>
        <w:t>blood/lymphatic,</w:t>
      </w:r>
      <w:r>
        <w:rPr>
          <w:spacing w:val="-12"/>
        </w:rPr>
        <w:t> </w:t>
      </w:r>
      <w:r>
        <w:rPr/>
        <w:t>2.</w:t>
      </w:r>
      <w:r>
        <w:rPr>
          <w:spacing w:val="-15"/>
        </w:rPr>
        <w:t> </w:t>
      </w:r>
      <w:r>
        <w:rPr/>
        <w:t>placenta</w:t>
      </w:r>
      <w:r>
        <w:rPr>
          <w:spacing w:val="-13"/>
        </w:rPr>
        <w:t> </w:t>
      </w:r>
      <w:r>
        <w:rPr/>
        <w:t>and</w:t>
      </w:r>
      <w:r>
        <w:rPr>
          <w:spacing w:val="-12"/>
        </w:rPr>
        <w:t> </w:t>
      </w:r>
      <w:r>
        <w:rPr/>
        <w:t>3.</w:t>
      </w:r>
      <w:r>
        <w:rPr>
          <w:spacing w:val="-16"/>
        </w:rPr>
        <w:t> </w:t>
      </w:r>
      <w:r>
        <w:rPr/>
        <w:t>hips,</w:t>
      </w:r>
      <w:r>
        <w:rPr>
          <w:spacing w:val="-14"/>
        </w:rPr>
        <w:t> </w:t>
      </w:r>
      <w:r>
        <w:rPr/>
        <w:t>bottom</w:t>
      </w:r>
      <w:r>
        <w:rPr>
          <w:spacing w:val="-14"/>
        </w:rPr>
        <w:t> </w:t>
      </w:r>
      <w:r>
        <w:rPr/>
        <w:t>and</w:t>
      </w:r>
      <w:r>
        <w:rPr>
          <w:spacing w:val="-13"/>
        </w:rPr>
        <w:t> </w:t>
      </w:r>
      <w:r>
        <w:rPr/>
        <w:t>thighs).</w:t>
      </w:r>
      <w:r>
        <w:rPr>
          <w:spacing w:val="-14"/>
        </w:rPr>
        <w:t> </w:t>
      </w:r>
      <w:r>
        <w:rPr/>
        <w:t>After ‘depository 1’ is full, ‘depository 2’ is next and when only when the acids rep- resent such a burden that this is no longer sufficient and all depositories are overflowing</w:t>
      </w:r>
      <w:r>
        <w:rPr>
          <w:spacing w:val="-23"/>
        </w:rPr>
        <w:t> </w:t>
      </w:r>
      <w:r>
        <w:rPr/>
        <w:t>with</w:t>
      </w:r>
      <w:r>
        <w:rPr>
          <w:spacing w:val="-23"/>
        </w:rPr>
        <w:t> </w:t>
      </w:r>
      <w:r>
        <w:rPr/>
        <w:t>acids</w:t>
      </w:r>
      <w:r>
        <w:rPr>
          <w:spacing w:val="-24"/>
        </w:rPr>
        <w:t> </w:t>
      </w:r>
      <w:r>
        <w:rPr/>
        <w:t>that</w:t>
      </w:r>
      <w:r>
        <w:rPr>
          <w:spacing w:val="-24"/>
        </w:rPr>
        <w:t> </w:t>
      </w:r>
      <w:r>
        <w:rPr/>
        <w:t>the</w:t>
      </w:r>
      <w:r>
        <w:rPr>
          <w:spacing w:val="-23"/>
        </w:rPr>
        <w:t> </w:t>
      </w:r>
      <w:r>
        <w:rPr/>
        <w:t>hips,</w:t>
      </w:r>
      <w:r>
        <w:rPr>
          <w:spacing w:val="-22"/>
        </w:rPr>
        <w:t> </w:t>
      </w:r>
      <w:r>
        <w:rPr/>
        <w:t>bottom</w:t>
      </w:r>
      <w:r>
        <w:rPr>
          <w:spacing w:val="-25"/>
        </w:rPr>
        <w:t> </w:t>
      </w:r>
      <w:r>
        <w:rPr/>
        <w:t>and</w:t>
      </w:r>
      <w:r>
        <w:rPr>
          <w:spacing w:val="-26"/>
        </w:rPr>
        <w:t> </w:t>
      </w:r>
      <w:r>
        <w:rPr/>
        <w:t>thighs</w:t>
      </w:r>
      <w:r>
        <w:rPr>
          <w:spacing w:val="-23"/>
        </w:rPr>
        <w:t> </w:t>
      </w:r>
      <w:r>
        <w:rPr/>
        <w:t>are</w:t>
      </w:r>
      <w:r>
        <w:rPr>
          <w:spacing w:val="-24"/>
        </w:rPr>
        <w:t> </w:t>
      </w:r>
      <w:r>
        <w:rPr/>
        <w:t>used</w:t>
      </w:r>
      <w:r>
        <w:rPr>
          <w:spacing w:val="-23"/>
        </w:rPr>
        <w:t> </w:t>
      </w:r>
      <w:r>
        <w:rPr/>
        <w:t>as</w:t>
      </w:r>
      <w:r>
        <w:rPr>
          <w:spacing w:val="-23"/>
        </w:rPr>
        <w:t> </w:t>
      </w:r>
      <w:r>
        <w:rPr/>
        <w:t>a</w:t>
      </w:r>
      <w:r>
        <w:rPr>
          <w:spacing w:val="-25"/>
        </w:rPr>
        <w:t> </w:t>
      </w:r>
      <w:r>
        <w:rPr/>
        <w:t>temporary deposit for acids – and it is this which appears externally as</w:t>
      </w:r>
      <w:r>
        <w:rPr>
          <w:spacing w:val="-13"/>
        </w:rPr>
        <w:t> </w:t>
      </w:r>
      <w:r>
        <w:rPr/>
        <w:t>cellulitis!</w:t>
      </w:r>
    </w:p>
    <w:p>
      <w:pPr>
        <w:pStyle w:val="Heading1"/>
        <w:spacing w:before="223"/>
        <w:ind w:left="616"/>
      </w:pPr>
      <w:r>
        <w:rPr/>
        <w:t>Treating cellulitis</w:t>
      </w:r>
    </w:p>
    <w:p>
      <w:pPr>
        <w:pStyle w:val="BodyText"/>
        <w:spacing w:line="276" w:lineRule="auto" w:before="299"/>
        <w:ind w:left="616" w:right="133"/>
        <w:jc w:val="both"/>
      </w:pPr>
      <w:r>
        <w:rPr/>
        <w:t>Accordingly, the first line of treatment for cellulite should include the con- sistent and permanent deacidification and detoxification of the body. Inci- dentally, intensive sport is counter-productive as this is precisely what creates lactic acid in the body, neutralises and then temporarily stores cellulitis in the tissues.</w:t>
      </w:r>
    </w:p>
    <w:p>
      <w:pPr>
        <w:spacing w:after="0" w:line="276" w:lineRule="auto"/>
        <w:jc w:val="both"/>
        <w:sectPr>
          <w:pgSz w:w="14270" w:h="16850"/>
          <w:pgMar w:header="0" w:footer="1891" w:top="1320" w:bottom="2080" w:left="800" w:right="1280"/>
        </w:sectPr>
      </w:pPr>
    </w:p>
    <w:p>
      <w:pPr>
        <w:pStyle w:val="Heading1"/>
        <w:spacing w:before="77"/>
        <w:ind w:left="616"/>
      </w:pPr>
      <w:r>
        <w:rPr/>
        <w:t>A</w:t>
      </w:r>
      <w:r>
        <w:rPr>
          <w:spacing w:val="-41"/>
        </w:rPr>
        <w:t> </w:t>
      </w:r>
      <w:r>
        <w:rPr/>
        <w:t>summary</w:t>
      </w:r>
      <w:r>
        <w:rPr>
          <w:spacing w:val="-41"/>
        </w:rPr>
        <w:t> </w:t>
      </w:r>
      <w:r>
        <w:rPr/>
        <w:t>of</w:t>
      </w:r>
      <w:r>
        <w:rPr>
          <w:spacing w:val="-40"/>
        </w:rPr>
        <w:t> </w:t>
      </w:r>
      <w:r>
        <w:rPr/>
        <w:t>a</w:t>
      </w:r>
      <w:r>
        <w:rPr>
          <w:spacing w:val="-40"/>
        </w:rPr>
        <w:t> </w:t>
      </w:r>
      <w:r>
        <w:rPr/>
        <w:t>successful</w:t>
      </w:r>
      <w:r>
        <w:rPr>
          <w:spacing w:val="-41"/>
        </w:rPr>
        <w:t> </w:t>
      </w:r>
      <w:r>
        <w:rPr/>
        <w:t>treatment</w:t>
      </w:r>
      <w:r>
        <w:rPr>
          <w:spacing w:val="-42"/>
        </w:rPr>
        <w:t> </w:t>
      </w:r>
      <w:r>
        <w:rPr/>
        <w:t>for</w:t>
      </w:r>
      <w:r>
        <w:rPr>
          <w:spacing w:val="-42"/>
        </w:rPr>
        <w:t> </w:t>
      </w:r>
      <w:r>
        <w:rPr/>
        <w:t>cellulitis</w:t>
      </w:r>
      <w:r>
        <w:rPr>
          <w:spacing w:val="-40"/>
        </w:rPr>
        <w:t> </w:t>
      </w:r>
      <w:r>
        <w:rPr/>
        <w:t>could</w:t>
      </w:r>
      <w:r>
        <w:rPr>
          <w:spacing w:val="-41"/>
        </w:rPr>
        <w:t> </w:t>
      </w:r>
      <w:r>
        <w:rPr/>
        <w:t>look</w:t>
      </w:r>
      <w:r>
        <w:rPr>
          <w:spacing w:val="-41"/>
        </w:rPr>
        <w:t> </w:t>
      </w:r>
      <w:r>
        <w:rPr/>
        <w:t>like</w:t>
      </w:r>
      <w:r>
        <w:rPr>
          <w:spacing w:val="-41"/>
        </w:rPr>
        <w:t> </w:t>
      </w:r>
      <w:r>
        <w:rPr/>
        <w:t>this:</w:t>
      </w:r>
    </w:p>
    <w:p>
      <w:pPr>
        <w:pStyle w:val="ListParagraph"/>
        <w:numPr>
          <w:ilvl w:val="2"/>
          <w:numId w:val="136"/>
        </w:numPr>
        <w:tabs>
          <w:tab w:pos="1687" w:val="left" w:leader="none"/>
        </w:tabs>
        <w:spacing w:line="276" w:lineRule="auto" w:before="258" w:after="0"/>
        <w:ind w:left="1686" w:right="132" w:hanging="357"/>
        <w:jc w:val="left"/>
        <w:rPr>
          <w:sz w:val="38"/>
        </w:rPr>
      </w:pPr>
      <w:r>
        <w:rPr>
          <w:sz w:val="38"/>
        </w:rPr>
        <w:t>Remove</w:t>
      </w:r>
      <w:r>
        <w:rPr>
          <w:spacing w:val="-21"/>
          <w:sz w:val="38"/>
        </w:rPr>
        <w:t> </w:t>
      </w:r>
      <w:r>
        <w:rPr>
          <w:sz w:val="38"/>
        </w:rPr>
        <w:t>acid-causing</w:t>
      </w:r>
      <w:r>
        <w:rPr>
          <w:spacing w:val="-20"/>
          <w:sz w:val="38"/>
        </w:rPr>
        <w:t> </w:t>
      </w:r>
      <w:r>
        <w:rPr>
          <w:sz w:val="38"/>
        </w:rPr>
        <w:t>factors</w:t>
      </w:r>
      <w:r>
        <w:rPr>
          <w:spacing w:val="-20"/>
          <w:sz w:val="38"/>
        </w:rPr>
        <w:t> </w:t>
      </w:r>
      <w:r>
        <w:rPr>
          <w:sz w:val="38"/>
        </w:rPr>
        <w:t>(acid-forming</w:t>
      </w:r>
      <w:r>
        <w:rPr>
          <w:spacing w:val="-19"/>
          <w:sz w:val="38"/>
        </w:rPr>
        <w:t> </w:t>
      </w:r>
      <w:r>
        <w:rPr>
          <w:sz w:val="38"/>
        </w:rPr>
        <w:t>food,</w:t>
      </w:r>
      <w:r>
        <w:rPr>
          <w:spacing w:val="-20"/>
          <w:sz w:val="38"/>
        </w:rPr>
        <w:t> </w:t>
      </w:r>
      <w:r>
        <w:rPr>
          <w:sz w:val="38"/>
        </w:rPr>
        <w:t>stress,</w:t>
      </w:r>
      <w:r>
        <w:rPr>
          <w:spacing w:val="-20"/>
          <w:sz w:val="38"/>
        </w:rPr>
        <w:t> </w:t>
      </w:r>
      <w:r>
        <w:rPr>
          <w:sz w:val="38"/>
        </w:rPr>
        <w:t>excessive</w:t>
      </w:r>
      <w:r>
        <w:rPr>
          <w:spacing w:val="-24"/>
          <w:sz w:val="38"/>
        </w:rPr>
        <w:t> </w:t>
      </w:r>
      <w:r>
        <w:rPr>
          <w:sz w:val="38"/>
        </w:rPr>
        <w:t>sport regime)</w:t>
      </w:r>
    </w:p>
    <w:p>
      <w:pPr>
        <w:pStyle w:val="ListParagraph"/>
        <w:numPr>
          <w:ilvl w:val="2"/>
          <w:numId w:val="136"/>
        </w:numPr>
        <w:tabs>
          <w:tab w:pos="1687" w:val="left" w:leader="none"/>
        </w:tabs>
        <w:spacing w:line="276" w:lineRule="auto" w:before="59" w:after="0"/>
        <w:ind w:left="1686" w:right="139" w:hanging="357"/>
        <w:jc w:val="left"/>
        <w:rPr>
          <w:sz w:val="38"/>
        </w:rPr>
      </w:pPr>
      <w:r>
        <w:rPr>
          <w:sz w:val="38"/>
        </w:rPr>
        <w:t>Consume base-rich foodstuffs (see the corresponding chapter in this paper)</w:t>
      </w:r>
    </w:p>
    <w:p>
      <w:pPr>
        <w:pStyle w:val="ListParagraph"/>
        <w:numPr>
          <w:ilvl w:val="2"/>
          <w:numId w:val="136"/>
        </w:numPr>
        <w:tabs>
          <w:tab w:pos="1687" w:val="left" w:leader="none"/>
        </w:tabs>
        <w:spacing w:line="240" w:lineRule="auto" w:before="61" w:after="0"/>
        <w:ind w:left="1686" w:right="0" w:hanging="357"/>
        <w:jc w:val="left"/>
        <w:rPr>
          <w:sz w:val="38"/>
        </w:rPr>
      </w:pPr>
      <w:r>
        <w:rPr>
          <w:sz w:val="38"/>
        </w:rPr>
        <w:t>Support mineral absorption with mineral</w:t>
      </w:r>
      <w:r>
        <w:rPr>
          <w:spacing w:val="-6"/>
          <w:sz w:val="38"/>
        </w:rPr>
        <w:t> </w:t>
      </w:r>
      <w:r>
        <w:rPr>
          <w:sz w:val="38"/>
        </w:rPr>
        <w:t>supplements</w:t>
      </w:r>
    </w:p>
    <w:p>
      <w:pPr>
        <w:pStyle w:val="ListParagraph"/>
        <w:numPr>
          <w:ilvl w:val="2"/>
          <w:numId w:val="136"/>
        </w:numPr>
        <w:tabs>
          <w:tab w:pos="1687" w:val="left" w:leader="none"/>
        </w:tabs>
        <w:spacing w:line="240" w:lineRule="auto" w:before="124" w:after="0"/>
        <w:ind w:left="1686" w:right="0" w:hanging="357"/>
        <w:jc w:val="left"/>
        <w:rPr>
          <w:sz w:val="38"/>
        </w:rPr>
      </w:pPr>
      <w:r>
        <w:rPr>
          <w:sz w:val="38"/>
        </w:rPr>
        <w:t>Loosen sludge with 1 litre of herbal</w:t>
      </w:r>
      <w:r>
        <w:rPr>
          <w:spacing w:val="1"/>
          <w:sz w:val="38"/>
        </w:rPr>
        <w:t> </w:t>
      </w:r>
      <w:r>
        <w:rPr>
          <w:sz w:val="38"/>
        </w:rPr>
        <w:t>tea/day</w:t>
      </w:r>
    </w:p>
    <w:p>
      <w:pPr>
        <w:pStyle w:val="ListParagraph"/>
        <w:numPr>
          <w:ilvl w:val="2"/>
          <w:numId w:val="136"/>
        </w:numPr>
        <w:tabs>
          <w:tab w:pos="1687" w:val="left" w:leader="none"/>
        </w:tabs>
        <w:spacing w:line="240" w:lineRule="auto" w:before="125" w:after="0"/>
        <w:ind w:left="1686" w:right="0" w:hanging="357"/>
        <w:jc w:val="left"/>
        <w:rPr>
          <w:sz w:val="38"/>
        </w:rPr>
      </w:pPr>
      <w:r>
        <w:rPr>
          <w:sz w:val="38"/>
        </w:rPr>
        <w:t>Expel sludge with 2 litres of still mineral water/day.</w:t>
      </w:r>
    </w:p>
    <w:p>
      <w:pPr>
        <w:pStyle w:val="ListParagraph"/>
        <w:numPr>
          <w:ilvl w:val="2"/>
          <w:numId w:val="136"/>
        </w:numPr>
        <w:tabs>
          <w:tab w:pos="1687" w:val="left" w:leader="none"/>
        </w:tabs>
        <w:spacing w:line="276" w:lineRule="auto" w:before="125" w:after="0"/>
        <w:ind w:left="1686" w:right="141" w:hanging="357"/>
        <w:jc w:val="left"/>
        <w:rPr>
          <w:sz w:val="38"/>
        </w:rPr>
      </w:pPr>
      <w:r>
        <w:rPr>
          <w:sz w:val="38"/>
        </w:rPr>
        <w:t>Take a full bath of at least 90 minutes to three hours (the longer, the more efficient) at least every two days with</w:t>
      </w:r>
      <w:r>
        <w:rPr>
          <w:spacing w:val="2"/>
          <w:sz w:val="38"/>
        </w:rPr>
        <w:t> </w:t>
      </w:r>
      <w:r>
        <w:rPr>
          <w:sz w:val="38"/>
        </w:rPr>
        <w:t>...</w:t>
      </w:r>
    </w:p>
    <w:p>
      <w:pPr>
        <w:pStyle w:val="ListParagraph"/>
        <w:numPr>
          <w:ilvl w:val="2"/>
          <w:numId w:val="136"/>
        </w:numPr>
        <w:tabs>
          <w:tab w:pos="1687" w:val="left" w:leader="none"/>
        </w:tabs>
        <w:spacing w:line="276" w:lineRule="auto" w:before="58" w:after="0"/>
        <w:ind w:left="1686" w:right="140" w:hanging="357"/>
        <w:jc w:val="both"/>
        <w:rPr>
          <w:sz w:val="38"/>
        </w:rPr>
      </w:pPr>
      <w:r>
        <w:rPr>
          <w:sz w:val="38"/>
        </w:rPr>
        <w:t>...</w:t>
      </w:r>
      <w:r>
        <w:rPr>
          <w:spacing w:val="-12"/>
          <w:sz w:val="38"/>
        </w:rPr>
        <w:t> </w:t>
      </w:r>
      <w:r>
        <w:rPr>
          <w:sz w:val="38"/>
        </w:rPr>
        <w:t>a</w:t>
      </w:r>
      <w:r>
        <w:rPr>
          <w:spacing w:val="-13"/>
          <w:sz w:val="38"/>
        </w:rPr>
        <w:t> </w:t>
      </w:r>
      <w:r>
        <w:rPr>
          <w:sz w:val="38"/>
        </w:rPr>
        <w:t>pH</w:t>
      </w:r>
      <w:r>
        <w:rPr>
          <w:spacing w:val="-10"/>
          <w:sz w:val="38"/>
        </w:rPr>
        <w:t> </w:t>
      </w:r>
      <w:r>
        <w:rPr>
          <w:sz w:val="38"/>
        </w:rPr>
        <w:t>value</w:t>
      </w:r>
      <w:r>
        <w:rPr>
          <w:spacing w:val="-9"/>
          <w:sz w:val="38"/>
        </w:rPr>
        <w:t> </w:t>
      </w:r>
      <w:r>
        <w:rPr>
          <w:sz w:val="38"/>
        </w:rPr>
        <w:t>of</w:t>
      </w:r>
      <w:r>
        <w:rPr>
          <w:spacing w:val="-11"/>
          <w:sz w:val="38"/>
        </w:rPr>
        <w:t> </w:t>
      </w:r>
      <w:r>
        <w:rPr>
          <w:sz w:val="38"/>
        </w:rPr>
        <w:t>8.5.</w:t>
      </w:r>
      <w:r>
        <w:rPr>
          <w:spacing w:val="-8"/>
          <w:sz w:val="38"/>
        </w:rPr>
        <w:t> </w:t>
      </w:r>
      <w:r>
        <w:rPr>
          <w:i/>
          <w:sz w:val="38"/>
        </w:rPr>
        <w:t>MeineBase®</w:t>
      </w:r>
      <w:r>
        <w:rPr>
          <w:i/>
          <w:spacing w:val="-10"/>
          <w:sz w:val="38"/>
        </w:rPr>
        <w:t> </w:t>
      </w:r>
      <w:r>
        <w:rPr>
          <w:sz w:val="38"/>
        </w:rPr>
        <w:t>bath</w:t>
      </w:r>
      <w:r>
        <w:rPr>
          <w:spacing w:val="-10"/>
          <w:sz w:val="38"/>
        </w:rPr>
        <w:t> </w:t>
      </w:r>
      <w:r>
        <w:rPr>
          <w:sz w:val="38"/>
        </w:rPr>
        <w:t>salts</w:t>
      </w:r>
      <w:r>
        <w:rPr>
          <w:spacing w:val="-9"/>
          <w:sz w:val="38"/>
        </w:rPr>
        <w:t> </w:t>
      </w:r>
      <w:r>
        <w:rPr>
          <w:sz w:val="38"/>
        </w:rPr>
        <w:t>by</w:t>
      </w:r>
      <w:r>
        <w:rPr>
          <w:spacing w:val="-9"/>
          <w:sz w:val="38"/>
        </w:rPr>
        <w:t> </w:t>
      </w:r>
      <w:r>
        <w:rPr>
          <w:sz w:val="38"/>
        </w:rPr>
        <w:t>Dr.</w:t>
      </w:r>
      <w:r>
        <w:rPr>
          <w:spacing w:val="-13"/>
          <w:sz w:val="38"/>
        </w:rPr>
        <w:t> </w:t>
      </w:r>
      <w:r>
        <w:rPr>
          <w:sz w:val="38"/>
        </w:rPr>
        <w:t>Jentschura</w:t>
      </w:r>
      <w:r>
        <w:rPr>
          <w:spacing w:val="-9"/>
          <w:sz w:val="38"/>
        </w:rPr>
        <w:t> </w:t>
      </w:r>
      <w:r>
        <w:rPr>
          <w:sz w:val="38"/>
        </w:rPr>
        <w:t>are</w:t>
      </w:r>
      <w:r>
        <w:rPr>
          <w:spacing w:val="-11"/>
          <w:sz w:val="38"/>
        </w:rPr>
        <w:t> </w:t>
      </w:r>
      <w:r>
        <w:rPr>
          <w:sz w:val="38"/>
        </w:rPr>
        <w:t>partic- ularly suitable here (3 tablespoons in a bath). The water temperature should be just above body temperature at approx. 40</w:t>
      </w:r>
      <w:r>
        <w:rPr>
          <w:spacing w:val="2"/>
          <w:sz w:val="38"/>
        </w:rPr>
        <w:t> </w:t>
      </w:r>
      <w:r>
        <w:rPr>
          <w:sz w:val="38"/>
        </w:rPr>
        <w:t>°C.</w:t>
      </w:r>
    </w:p>
    <w:p>
      <w:pPr>
        <w:pStyle w:val="ListParagraph"/>
        <w:numPr>
          <w:ilvl w:val="2"/>
          <w:numId w:val="136"/>
        </w:numPr>
        <w:tabs>
          <w:tab w:pos="1687" w:val="left" w:leader="none"/>
        </w:tabs>
        <w:spacing w:line="240" w:lineRule="auto" w:before="61" w:after="0"/>
        <w:ind w:left="1686" w:right="0" w:hanging="357"/>
        <w:jc w:val="left"/>
        <w:rPr>
          <w:sz w:val="38"/>
        </w:rPr>
      </w:pPr>
      <w:r>
        <w:rPr>
          <w:sz w:val="38"/>
        </w:rPr>
        <w:t>An</w:t>
      </w:r>
      <w:r>
        <w:rPr>
          <w:spacing w:val="34"/>
          <w:sz w:val="38"/>
        </w:rPr>
        <w:t> </w:t>
      </w:r>
      <w:r>
        <w:rPr>
          <w:sz w:val="38"/>
        </w:rPr>
        <w:t>alkaline</w:t>
      </w:r>
      <w:r>
        <w:rPr>
          <w:spacing w:val="33"/>
          <w:sz w:val="38"/>
        </w:rPr>
        <w:t> </w:t>
      </w:r>
      <w:r>
        <w:rPr>
          <w:sz w:val="38"/>
        </w:rPr>
        <w:t>foot</w:t>
      </w:r>
      <w:r>
        <w:rPr>
          <w:spacing w:val="33"/>
          <w:sz w:val="38"/>
        </w:rPr>
        <w:t> </w:t>
      </w:r>
      <w:r>
        <w:rPr>
          <w:sz w:val="38"/>
        </w:rPr>
        <w:t>bath</w:t>
      </w:r>
      <w:r>
        <w:rPr>
          <w:spacing w:val="34"/>
          <w:sz w:val="38"/>
        </w:rPr>
        <w:t> </w:t>
      </w:r>
      <w:r>
        <w:rPr>
          <w:sz w:val="38"/>
        </w:rPr>
        <w:t>is</w:t>
      </w:r>
      <w:r>
        <w:rPr>
          <w:spacing w:val="31"/>
          <w:sz w:val="38"/>
        </w:rPr>
        <w:t> </w:t>
      </w:r>
      <w:r>
        <w:rPr>
          <w:sz w:val="38"/>
        </w:rPr>
        <w:t>recommended</w:t>
      </w:r>
      <w:r>
        <w:rPr>
          <w:spacing w:val="33"/>
          <w:sz w:val="38"/>
        </w:rPr>
        <w:t> </w:t>
      </w:r>
      <w:r>
        <w:rPr>
          <w:sz w:val="38"/>
        </w:rPr>
        <w:t>on</w:t>
      </w:r>
      <w:r>
        <w:rPr>
          <w:spacing w:val="33"/>
          <w:sz w:val="38"/>
        </w:rPr>
        <w:t> </w:t>
      </w:r>
      <w:r>
        <w:rPr>
          <w:sz w:val="38"/>
        </w:rPr>
        <w:t>other</w:t>
      </w:r>
      <w:r>
        <w:rPr>
          <w:spacing w:val="33"/>
          <w:sz w:val="38"/>
        </w:rPr>
        <w:t> </w:t>
      </w:r>
      <w:r>
        <w:rPr>
          <w:sz w:val="38"/>
        </w:rPr>
        <w:t>days</w:t>
      </w:r>
      <w:r>
        <w:rPr>
          <w:spacing w:val="34"/>
          <w:sz w:val="38"/>
        </w:rPr>
        <w:t> </w:t>
      </w:r>
      <w:r>
        <w:rPr>
          <w:sz w:val="38"/>
        </w:rPr>
        <w:t>(1</w:t>
      </w:r>
      <w:r>
        <w:rPr>
          <w:spacing w:val="31"/>
          <w:sz w:val="38"/>
        </w:rPr>
        <w:t> </w:t>
      </w:r>
      <w:r>
        <w:rPr>
          <w:sz w:val="38"/>
        </w:rPr>
        <w:t>teaspoon</w:t>
      </w:r>
      <w:r>
        <w:rPr>
          <w:spacing w:val="35"/>
          <w:sz w:val="38"/>
        </w:rPr>
        <w:t> </w:t>
      </w:r>
      <w:r>
        <w:rPr>
          <w:sz w:val="38"/>
        </w:rPr>
        <w:t>of</w:t>
      </w:r>
    </w:p>
    <w:p>
      <w:pPr>
        <w:pStyle w:val="BodyText"/>
        <w:spacing w:before="65"/>
        <w:ind w:left="1686"/>
      </w:pPr>
      <w:r>
        <w:rPr>
          <w:i/>
        </w:rPr>
        <w:t>MeineBase® </w:t>
      </w:r>
      <w:r>
        <w:rPr/>
        <w:t>bath salts by Dr. Jentschura) as well as alkaline tights.</w:t>
      </w:r>
    </w:p>
    <w:p>
      <w:pPr>
        <w:pStyle w:val="ListParagraph"/>
        <w:numPr>
          <w:ilvl w:val="2"/>
          <w:numId w:val="136"/>
        </w:numPr>
        <w:tabs>
          <w:tab w:pos="1687" w:val="left" w:leader="none"/>
        </w:tabs>
        <w:spacing w:line="309" w:lineRule="auto" w:before="122" w:after="0"/>
        <w:ind w:left="1329" w:right="361" w:firstLine="0"/>
        <w:jc w:val="left"/>
        <w:rPr>
          <w:sz w:val="38"/>
        </w:rPr>
      </w:pPr>
      <w:r>
        <w:rPr>
          <w:sz w:val="38"/>
        </w:rPr>
        <w:t>Brush with massaging strokes in the direction of excretion 10.Regular gymnastics without straining (too intensive = acid-forming!) 11.Massages and lymphatic</w:t>
      </w:r>
      <w:r>
        <w:rPr>
          <w:spacing w:val="1"/>
          <w:sz w:val="38"/>
        </w:rPr>
        <w:t> </w:t>
      </w:r>
      <w:r>
        <w:rPr>
          <w:sz w:val="38"/>
        </w:rPr>
        <w:t>drainage</w:t>
      </w:r>
    </w:p>
    <w:p>
      <w:pPr>
        <w:spacing w:after="0" w:line="309" w:lineRule="auto"/>
        <w:jc w:val="left"/>
        <w:rPr>
          <w:sz w:val="38"/>
        </w:rPr>
        <w:sectPr>
          <w:pgSz w:w="14270" w:h="16850"/>
          <w:pgMar w:header="0" w:footer="1891" w:top="1320" w:bottom="2080" w:left="800" w:right="1280"/>
        </w:sectPr>
      </w:pPr>
    </w:p>
    <w:p>
      <w:pPr>
        <w:pStyle w:val="Heading2"/>
        <w:spacing w:before="74"/>
        <w:ind w:left="616"/>
      </w:pPr>
      <w:r>
        <w:rPr/>
        <w:t>What is hair loss?</w:t>
      </w:r>
    </w:p>
    <w:p>
      <w:pPr>
        <w:spacing w:line="276" w:lineRule="auto" w:before="305"/>
        <w:ind w:left="616" w:right="140" w:firstLine="0"/>
        <w:jc w:val="both"/>
        <w:rPr>
          <w:sz w:val="38"/>
        </w:rPr>
      </w:pPr>
      <w:r>
        <w:rPr>
          <w:i/>
          <w:sz w:val="38"/>
        </w:rPr>
        <w:t>‘Hair</w:t>
      </w:r>
      <w:r>
        <w:rPr>
          <w:i/>
          <w:spacing w:val="-16"/>
          <w:sz w:val="38"/>
        </w:rPr>
        <w:t> </w:t>
      </w:r>
      <w:r>
        <w:rPr>
          <w:i/>
          <w:sz w:val="38"/>
        </w:rPr>
        <w:t>growth</w:t>
      </w:r>
      <w:r>
        <w:rPr>
          <w:i/>
          <w:spacing w:val="-17"/>
          <w:sz w:val="38"/>
        </w:rPr>
        <w:t> </w:t>
      </w:r>
      <w:r>
        <w:rPr>
          <w:i/>
          <w:sz w:val="38"/>
        </w:rPr>
        <w:t>shows</w:t>
      </w:r>
      <w:r>
        <w:rPr>
          <w:i/>
          <w:spacing w:val="-14"/>
          <w:sz w:val="38"/>
        </w:rPr>
        <w:t> </w:t>
      </w:r>
      <w:r>
        <w:rPr>
          <w:i/>
          <w:sz w:val="38"/>
        </w:rPr>
        <w:t>the</w:t>
      </w:r>
      <w:r>
        <w:rPr>
          <w:i/>
          <w:spacing w:val="-17"/>
          <w:sz w:val="38"/>
        </w:rPr>
        <w:t> </w:t>
      </w:r>
      <w:r>
        <w:rPr>
          <w:i/>
          <w:sz w:val="38"/>
        </w:rPr>
        <w:t>account</w:t>
      </w:r>
      <w:r>
        <w:rPr>
          <w:i/>
          <w:spacing w:val="-17"/>
          <w:sz w:val="38"/>
        </w:rPr>
        <w:t> </w:t>
      </w:r>
      <w:r>
        <w:rPr>
          <w:i/>
          <w:sz w:val="38"/>
        </w:rPr>
        <w:t>balance</w:t>
      </w:r>
      <w:r>
        <w:rPr>
          <w:i/>
          <w:spacing w:val="-15"/>
          <w:sz w:val="38"/>
        </w:rPr>
        <w:t> </w:t>
      </w:r>
      <w:r>
        <w:rPr>
          <w:i/>
          <w:sz w:val="38"/>
        </w:rPr>
        <w:t>of</w:t>
      </w:r>
      <w:r>
        <w:rPr>
          <w:i/>
          <w:spacing w:val="-15"/>
          <w:sz w:val="38"/>
        </w:rPr>
        <w:t> </w:t>
      </w:r>
      <w:r>
        <w:rPr>
          <w:i/>
          <w:sz w:val="38"/>
        </w:rPr>
        <w:t>body</w:t>
      </w:r>
      <w:r>
        <w:rPr>
          <w:i/>
          <w:spacing w:val="-15"/>
          <w:sz w:val="38"/>
        </w:rPr>
        <w:t> </w:t>
      </w:r>
      <w:r>
        <w:rPr>
          <w:i/>
          <w:sz w:val="38"/>
        </w:rPr>
        <w:t>chemicals</w:t>
      </w:r>
      <w:r>
        <w:rPr>
          <w:i/>
          <w:spacing w:val="-19"/>
          <w:sz w:val="38"/>
        </w:rPr>
        <w:t> </w:t>
      </w:r>
      <w:r>
        <w:rPr>
          <w:i/>
          <w:sz w:val="38"/>
        </w:rPr>
        <w:t>with</w:t>
      </w:r>
      <w:r>
        <w:rPr>
          <w:i/>
          <w:spacing w:val="-15"/>
          <w:sz w:val="38"/>
        </w:rPr>
        <w:t> </w:t>
      </w:r>
      <w:r>
        <w:rPr>
          <w:i/>
          <w:sz w:val="38"/>
        </w:rPr>
        <w:t>a</w:t>
      </w:r>
      <w:r>
        <w:rPr>
          <w:i/>
          <w:spacing w:val="-18"/>
          <w:sz w:val="38"/>
        </w:rPr>
        <w:t> </w:t>
      </w:r>
      <w:r>
        <w:rPr>
          <w:i/>
          <w:sz w:val="38"/>
        </w:rPr>
        <w:t>neutralisation</w:t>
      </w:r>
      <w:r>
        <w:rPr>
          <w:i/>
          <w:spacing w:val="-15"/>
          <w:sz w:val="38"/>
        </w:rPr>
        <w:t> </w:t>
      </w:r>
      <w:r>
        <w:rPr>
          <w:i/>
          <w:sz w:val="38"/>
        </w:rPr>
        <w:t>potential</w:t>
      </w:r>
      <w:r>
        <w:rPr>
          <w:i/>
          <w:spacing w:val="-14"/>
          <w:sz w:val="38"/>
        </w:rPr>
        <w:t> </w:t>
      </w:r>
      <w:r>
        <w:rPr>
          <w:i/>
          <w:sz w:val="38"/>
        </w:rPr>
        <w:t>still </w:t>
      </w:r>
      <w:r>
        <w:rPr>
          <w:i/>
          <w:sz w:val="38"/>
        </w:rPr>
        <w:t>remaining.’ </w:t>
      </w:r>
      <w:r>
        <w:rPr>
          <w:sz w:val="38"/>
        </w:rPr>
        <w:t>(Dr. h. c. Peter</w:t>
      </w:r>
      <w:r>
        <w:rPr>
          <w:spacing w:val="1"/>
          <w:sz w:val="38"/>
        </w:rPr>
        <w:t> </w:t>
      </w:r>
      <w:r>
        <w:rPr>
          <w:sz w:val="38"/>
        </w:rPr>
        <w:t>Jentschura)</w:t>
      </w:r>
    </w:p>
    <w:p>
      <w:pPr>
        <w:pStyle w:val="BodyText"/>
        <w:spacing w:line="276" w:lineRule="auto" w:before="238"/>
        <w:ind w:left="616" w:right="135"/>
        <w:jc w:val="both"/>
      </w:pPr>
      <w:r>
        <w:rPr/>
        <w:t>While women temporarily store their neutralised acids in the form of sludge around the hips and bottom in order to expel them during their monthly pe- riod, the male organism does not have this ‘store and decontaminate mecha- nism’</w:t>
      </w:r>
      <w:r>
        <w:rPr>
          <w:spacing w:val="-12"/>
        </w:rPr>
        <w:t> </w:t>
      </w:r>
      <w:r>
        <w:rPr/>
        <w:t>and</w:t>
      </w:r>
      <w:r>
        <w:rPr>
          <w:spacing w:val="-15"/>
        </w:rPr>
        <w:t> </w:t>
      </w:r>
      <w:r>
        <w:rPr/>
        <w:t>has</w:t>
      </w:r>
      <w:r>
        <w:rPr>
          <w:spacing w:val="-12"/>
        </w:rPr>
        <w:t> </w:t>
      </w:r>
      <w:r>
        <w:rPr/>
        <w:t>to</w:t>
      </w:r>
      <w:r>
        <w:rPr>
          <w:spacing w:val="-15"/>
        </w:rPr>
        <w:t> </w:t>
      </w:r>
      <w:r>
        <w:rPr/>
        <w:t>neutralise</w:t>
      </w:r>
      <w:r>
        <w:rPr>
          <w:spacing w:val="-12"/>
        </w:rPr>
        <w:t> </w:t>
      </w:r>
      <w:r>
        <w:rPr/>
        <w:t>resulting</w:t>
      </w:r>
      <w:r>
        <w:rPr>
          <w:spacing w:val="-12"/>
        </w:rPr>
        <w:t> </w:t>
      </w:r>
      <w:r>
        <w:rPr/>
        <w:t>acids</w:t>
      </w:r>
      <w:r>
        <w:rPr>
          <w:spacing w:val="-13"/>
        </w:rPr>
        <w:t> </w:t>
      </w:r>
      <w:r>
        <w:rPr/>
        <w:t>every</w:t>
      </w:r>
      <w:r>
        <w:rPr>
          <w:spacing w:val="-15"/>
        </w:rPr>
        <w:t> </w:t>
      </w:r>
      <w:r>
        <w:rPr/>
        <w:t>day.</w:t>
      </w:r>
      <w:r>
        <w:rPr>
          <w:spacing w:val="-12"/>
        </w:rPr>
        <w:t> </w:t>
      </w:r>
      <w:r>
        <w:rPr/>
        <w:t>Once</w:t>
      </w:r>
      <w:r>
        <w:rPr>
          <w:spacing w:val="-13"/>
        </w:rPr>
        <w:t> </w:t>
      </w:r>
      <w:r>
        <w:rPr/>
        <w:t>more</w:t>
      </w:r>
      <w:r>
        <w:rPr>
          <w:spacing w:val="-13"/>
        </w:rPr>
        <w:t> </w:t>
      </w:r>
      <w:r>
        <w:rPr/>
        <w:t>as</w:t>
      </w:r>
      <w:r>
        <w:rPr>
          <w:spacing w:val="-12"/>
        </w:rPr>
        <w:t> </w:t>
      </w:r>
      <w:r>
        <w:rPr/>
        <w:t>a</w:t>
      </w:r>
      <w:r>
        <w:rPr>
          <w:spacing w:val="-14"/>
        </w:rPr>
        <w:t> </w:t>
      </w:r>
      <w:r>
        <w:rPr/>
        <w:t>reminder: Our organism has its own buffer system (blood, lungs, tissues, intestine, kid- neys) in order to buffer acidification to a certain extent. If the acid level ex- ceeds this, our bodies are forced to take substances to help neutralise these excess acids, i.e.</w:t>
      </w:r>
      <w:r>
        <w:rPr>
          <w:spacing w:val="-2"/>
        </w:rPr>
        <w:t> </w:t>
      </w:r>
      <w:r>
        <w:rPr/>
        <w:t>minerals!</w:t>
      </w:r>
    </w:p>
    <w:p>
      <w:pPr>
        <w:pStyle w:val="BodyText"/>
        <w:spacing w:line="276" w:lineRule="auto" w:before="241"/>
        <w:ind w:left="616" w:right="133"/>
        <w:jc w:val="both"/>
      </w:pPr>
      <w:r>
        <w:rPr/>
        <w:t>Therefore, if our organism exceeds a certain acid level, it expects natural min- erals</w:t>
      </w:r>
      <w:r>
        <w:rPr>
          <w:spacing w:val="-19"/>
        </w:rPr>
        <w:t> </w:t>
      </w:r>
      <w:r>
        <w:rPr/>
        <w:t>from</w:t>
      </w:r>
      <w:r>
        <w:rPr>
          <w:spacing w:val="-19"/>
        </w:rPr>
        <w:t> </w:t>
      </w:r>
      <w:r>
        <w:rPr/>
        <w:t>our</w:t>
      </w:r>
      <w:r>
        <w:rPr>
          <w:spacing w:val="-19"/>
        </w:rPr>
        <w:t> </w:t>
      </w:r>
      <w:r>
        <w:rPr/>
        <w:t>diet,</w:t>
      </w:r>
      <w:r>
        <w:rPr>
          <w:spacing w:val="-19"/>
        </w:rPr>
        <w:t> </w:t>
      </w:r>
      <w:r>
        <w:rPr/>
        <w:t>as</w:t>
      </w:r>
      <w:r>
        <w:rPr>
          <w:spacing w:val="-19"/>
        </w:rPr>
        <w:t> </w:t>
      </w:r>
      <w:r>
        <w:rPr/>
        <w:t>it</w:t>
      </w:r>
      <w:r>
        <w:rPr>
          <w:spacing w:val="-20"/>
        </w:rPr>
        <w:t> </w:t>
      </w:r>
      <w:r>
        <w:rPr/>
        <w:t>is</w:t>
      </w:r>
      <w:r>
        <w:rPr>
          <w:spacing w:val="-19"/>
        </w:rPr>
        <w:t> </w:t>
      </w:r>
      <w:r>
        <w:rPr/>
        <w:t>accustomed</w:t>
      </w:r>
      <w:r>
        <w:rPr>
          <w:spacing w:val="-19"/>
        </w:rPr>
        <w:t> </w:t>
      </w:r>
      <w:r>
        <w:rPr/>
        <w:t>to</w:t>
      </w:r>
      <w:r>
        <w:rPr>
          <w:spacing w:val="-18"/>
        </w:rPr>
        <w:t> </w:t>
      </w:r>
      <w:r>
        <w:rPr/>
        <w:t>through</w:t>
      </w:r>
      <w:r>
        <w:rPr>
          <w:spacing w:val="-18"/>
        </w:rPr>
        <w:t> </w:t>
      </w:r>
      <w:r>
        <w:rPr/>
        <w:t>evolution.</w:t>
      </w:r>
      <w:r>
        <w:rPr>
          <w:spacing w:val="-18"/>
        </w:rPr>
        <w:t> </w:t>
      </w:r>
      <w:r>
        <w:rPr/>
        <w:t>As</w:t>
      </w:r>
      <w:r>
        <w:rPr>
          <w:spacing w:val="-18"/>
        </w:rPr>
        <w:t> </w:t>
      </w:r>
      <w:r>
        <w:rPr/>
        <w:t>these</w:t>
      </w:r>
      <w:r>
        <w:rPr>
          <w:spacing w:val="-18"/>
        </w:rPr>
        <w:t> </w:t>
      </w:r>
      <w:r>
        <w:rPr/>
        <w:t>are</w:t>
      </w:r>
      <w:r>
        <w:rPr>
          <w:spacing w:val="-19"/>
        </w:rPr>
        <w:t> </w:t>
      </w:r>
      <w:r>
        <w:rPr/>
        <w:t>often lacking in today’s industrialised nutrition, yet there are increasing amounts of acids</w:t>
      </w:r>
      <w:r>
        <w:rPr>
          <w:spacing w:val="-12"/>
        </w:rPr>
        <w:t> </w:t>
      </w:r>
      <w:r>
        <w:rPr/>
        <w:t>(stress,</w:t>
      </w:r>
      <w:r>
        <w:rPr>
          <w:spacing w:val="-11"/>
        </w:rPr>
        <w:t> </w:t>
      </w:r>
      <w:r>
        <w:rPr/>
        <w:t>acid</w:t>
      </w:r>
      <w:r>
        <w:rPr>
          <w:spacing w:val="-13"/>
        </w:rPr>
        <w:t> </w:t>
      </w:r>
      <w:r>
        <w:rPr/>
        <w:t>forming</w:t>
      </w:r>
      <w:r>
        <w:rPr>
          <w:spacing w:val="-10"/>
        </w:rPr>
        <w:t> </w:t>
      </w:r>
      <w:r>
        <w:rPr/>
        <w:t>food,</w:t>
      </w:r>
      <w:r>
        <w:rPr>
          <w:spacing w:val="-14"/>
        </w:rPr>
        <w:t> </w:t>
      </w:r>
      <w:r>
        <w:rPr/>
        <w:t>environmental</w:t>
      </w:r>
      <w:r>
        <w:rPr>
          <w:spacing w:val="-10"/>
        </w:rPr>
        <w:t> </w:t>
      </w:r>
      <w:r>
        <w:rPr/>
        <w:t>poisons),</w:t>
      </w:r>
      <w:r>
        <w:rPr>
          <w:spacing w:val="-10"/>
        </w:rPr>
        <w:t> </w:t>
      </w:r>
      <w:r>
        <w:rPr/>
        <w:t>our</w:t>
      </w:r>
      <w:r>
        <w:rPr>
          <w:spacing w:val="-11"/>
        </w:rPr>
        <w:t> </w:t>
      </w:r>
      <w:r>
        <w:rPr/>
        <w:t>body</w:t>
      </w:r>
      <w:r>
        <w:rPr>
          <w:spacing w:val="-11"/>
        </w:rPr>
        <w:t> </w:t>
      </w:r>
      <w:r>
        <w:rPr/>
        <w:t>is</w:t>
      </w:r>
      <w:r>
        <w:rPr>
          <w:spacing w:val="-12"/>
        </w:rPr>
        <w:t> </w:t>
      </w:r>
      <w:r>
        <w:rPr/>
        <w:t>forced</w:t>
      </w:r>
      <w:r>
        <w:rPr>
          <w:spacing w:val="-10"/>
        </w:rPr>
        <w:t> </w:t>
      </w:r>
      <w:r>
        <w:rPr/>
        <w:t>to tap into its own mineral reserves. As this needs to happen quickly, the body accesses</w:t>
      </w:r>
      <w:r>
        <w:rPr>
          <w:spacing w:val="-14"/>
        </w:rPr>
        <w:t> </w:t>
      </w:r>
      <w:r>
        <w:rPr/>
        <w:t>the</w:t>
      </w:r>
      <w:r>
        <w:rPr>
          <w:spacing w:val="-17"/>
        </w:rPr>
        <w:t> </w:t>
      </w:r>
      <w:r>
        <w:rPr/>
        <w:t>mineral</w:t>
      </w:r>
      <w:r>
        <w:rPr>
          <w:spacing w:val="-17"/>
        </w:rPr>
        <w:t> </w:t>
      </w:r>
      <w:r>
        <w:rPr/>
        <w:t>reserves</w:t>
      </w:r>
      <w:r>
        <w:rPr>
          <w:spacing w:val="-14"/>
        </w:rPr>
        <w:t> </w:t>
      </w:r>
      <w:r>
        <w:rPr/>
        <w:t>which</w:t>
      </w:r>
      <w:r>
        <w:rPr>
          <w:spacing w:val="-14"/>
        </w:rPr>
        <w:t> </w:t>
      </w:r>
      <w:r>
        <w:rPr/>
        <w:t>are</w:t>
      </w:r>
      <w:r>
        <w:rPr>
          <w:spacing w:val="-14"/>
        </w:rPr>
        <w:t> </w:t>
      </w:r>
      <w:r>
        <w:rPr/>
        <w:t>most</w:t>
      </w:r>
      <w:r>
        <w:rPr>
          <w:spacing w:val="-16"/>
        </w:rPr>
        <w:t> </w:t>
      </w:r>
      <w:r>
        <w:rPr/>
        <w:t>quickly</w:t>
      </w:r>
      <w:r>
        <w:rPr>
          <w:spacing w:val="-16"/>
        </w:rPr>
        <w:t> </w:t>
      </w:r>
      <w:r>
        <w:rPr/>
        <w:t>available:</w:t>
      </w:r>
      <w:r>
        <w:rPr>
          <w:spacing w:val="-14"/>
        </w:rPr>
        <w:t> </w:t>
      </w:r>
      <w:r>
        <w:rPr/>
        <w:t>the</w:t>
      </w:r>
      <w:r>
        <w:rPr>
          <w:spacing w:val="-14"/>
        </w:rPr>
        <w:t> </w:t>
      </w:r>
      <w:r>
        <w:rPr/>
        <w:t>ones</w:t>
      </w:r>
      <w:r>
        <w:rPr>
          <w:spacing w:val="-16"/>
        </w:rPr>
        <w:t> </w:t>
      </w:r>
      <w:r>
        <w:rPr/>
        <w:t>on</w:t>
      </w:r>
      <w:r>
        <w:rPr>
          <w:spacing w:val="-16"/>
        </w:rPr>
        <w:t> </w:t>
      </w:r>
      <w:r>
        <w:rPr/>
        <w:t>our scalp! Thus, our body cannibalises itself and draws its vital nutrients from the hair, which gradually leads to hair</w:t>
      </w:r>
      <w:r>
        <w:rPr>
          <w:spacing w:val="5"/>
        </w:rPr>
        <w:t> </w:t>
      </w:r>
      <w:r>
        <w:rPr/>
        <w:t>loss.</w:t>
      </w:r>
    </w:p>
    <w:p>
      <w:pPr>
        <w:pStyle w:val="Heading1"/>
        <w:ind w:left="616"/>
      </w:pPr>
      <w:r>
        <w:rPr/>
        <w:t>Treating hair loss</w:t>
      </w:r>
    </w:p>
    <w:p>
      <w:pPr>
        <w:pStyle w:val="BodyText"/>
        <w:spacing w:line="276" w:lineRule="auto" w:before="300"/>
        <w:ind w:left="616" w:right="138"/>
        <w:jc w:val="both"/>
      </w:pPr>
      <w:r>
        <w:rPr/>
        <w:t>Permanent deacidification, detoxification and remineralisation of the body</w:t>
      </w:r>
      <w:r>
        <w:rPr>
          <w:spacing w:val="-45"/>
        </w:rPr>
        <w:t> </w:t>
      </w:r>
      <w:r>
        <w:rPr/>
        <w:t>are also the method of choice for hair</w:t>
      </w:r>
      <w:r>
        <w:rPr>
          <w:spacing w:val="-1"/>
        </w:rPr>
        <w:t> </w:t>
      </w:r>
      <w:r>
        <w:rPr/>
        <w:t>loss.</w:t>
      </w:r>
    </w:p>
    <w:p>
      <w:pPr>
        <w:spacing w:after="0" w:line="276" w:lineRule="auto"/>
        <w:jc w:val="both"/>
        <w:sectPr>
          <w:pgSz w:w="14270" w:h="16850"/>
          <w:pgMar w:header="0" w:footer="1891" w:top="1340" w:bottom="2080" w:left="800" w:right="1280"/>
        </w:sectPr>
      </w:pPr>
    </w:p>
    <w:p>
      <w:pPr>
        <w:pStyle w:val="Heading2"/>
        <w:spacing w:before="74"/>
        <w:ind w:left="616"/>
        <w:jc w:val="both"/>
      </w:pPr>
      <w:r>
        <w:rPr/>
        <w:t>Is sport really healthy?</w:t>
      </w:r>
    </w:p>
    <w:p>
      <w:pPr>
        <w:pStyle w:val="BodyText"/>
        <w:spacing w:line="276" w:lineRule="auto" w:before="305"/>
        <w:ind w:left="616" w:right="133"/>
        <w:jc w:val="both"/>
      </w:pPr>
      <w:r>
        <w:rPr/>
        <w:t>There are loud voices from the 1970s to the 1990s that want to tell us that sport</w:t>
      </w:r>
      <w:r>
        <w:rPr>
          <w:spacing w:val="-19"/>
        </w:rPr>
        <w:t> </w:t>
      </w:r>
      <w:r>
        <w:rPr/>
        <w:t>can</w:t>
      </w:r>
      <w:r>
        <w:rPr>
          <w:spacing w:val="-21"/>
        </w:rPr>
        <w:t> </w:t>
      </w:r>
      <w:r>
        <w:rPr/>
        <w:t>only</w:t>
      </w:r>
      <w:r>
        <w:rPr>
          <w:spacing w:val="-22"/>
        </w:rPr>
        <w:t> </w:t>
      </w:r>
      <w:r>
        <w:rPr/>
        <w:t>be</w:t>
      </w:r>
      <w:r>
        <w:rPr>
          <w:spacing w:val="-18"/>
        </w:rPr>
        <w:t> </w:t>
      </w:r>
      <w:r>
        <w:rPr/>
        <w:t>healthy.</w:t>
      </w:r>
      <w:r>
        <w:rPr>
          <w:spacing w:val="-20"/>
        </w:rPr>
        <w:t> </w:t>
      </w:r>
      <w:r>
        <w:rPr/>
        <w:t>Yet</w:t>
      </w:r>
      <w:r>
        <w:rPr>
          <w:spacing w:val="-19"/>
        </w:rPr>
        <w:t> </w:t>
      </w:r>
      <w:r>
        <w:rPr/>
        <w:t>in</w:t>
      </w:r>
      <w:r>
        <w:rPr>
          <w:spacing w:val="-22"/>
        </w:rPr>
        <w:t> </w:t>
      </w:r>
      <w:r>
        <w:rPr/>
        <w:t>the</w:t>
      </w:r>
      <w:r>
        <w:rPr>
          <w:spacing w:val="-18"/>
        </w:rPr>
        <w:t> </w:t>
      </w:r>
      <w:r>
        <w:rPr/>
        <w:t>face</w:t>
      </w:r>
      <w:r>
        <w:rPr>
          <w:spacing w:val="-19"/>
        </w:rPr>
        <w:t> </w:t>
      </w:r>
      <w:r>
        <w:rPr/>
        <w:t>of</w:t>
      </w:r>
      <w:r>
        <w:rPr>
          <w:spacing w:val="-21"/>
        </w:rPr>
        <w:t> </w:t>
      </w:r>
      <w:r>
        <w:rPr/>
        <w:t>new,</w:t>
      </w:r>
      <w:r>
        <w:rPr>
          <w:spacing w:val="-24"/>
        </w:rPr>
        <w:t> </w:t>
      </w:r>
      <w:r>
        <w:rPr/>
        <w:t>interesting</w:t>
      </w:r>
      <w:r>
        <w:rPr>
          <w:spacing w:val="-19"/>
        </w:rPr>
        <w:t> </w:t>
      </w:r>
      <w:r>
        <w:rPr/>
        <w:t>observations</w:t>
      </w:r>
      <w:r>
        <w:rPr>
          <w:spacing w:val="-18"/>
        </w:rPr>
        <w:t> </w:t>
      </w:r>
      <w:r>
        <w:rPr/>
        <w:t>these are becoming increasingly silenced. While it is not so long ago that we were forced to do sport, often even competitive sport, new scientific observations give rise to significant qualifications in regard to this</w:t>
      </w:r>
      <w:r>
        <w:rPr>
          <w:spacing w:val="-13"/>
        </w:rPr>
        <w:t> </w:t>
      </w:r>
      <w:r>
        <w:rPr/>
        <w:t>recommendation.</w:t>
      </w:r>
    </w:p>
    <w:p>
      <w:pPr>
        <w:pStyle w:val="Heading2"/>
        <w:spacing w:before="240"/>
        <w:ind w:left="616"/>
        <w:jc w:val="both"/>
      </w:pPr>
      <w:r>
        <w:rPr/>
        <w:t>When is sport healthy?</w:t>
      </w:r>
    </w:p>
    <w:p>
      <w:pPr>
        <w:pStyle w:val="BodyText"/>
        <w:spacing w:line="276" w:lineRule="auto" w:before="304"/>
        <w:ind w:left="616" w:right="143"/>
        <w:jc w:val="both"/>
      </w:pPr>
      <w:r>
        <w:rPr/>
        <w:t>It goes without saying that regular exercise is very healthy and, in addition to nutrition, relaxation and regeneration aspects, should represent a significant area of our lives. However, this certainly does not mean competitive sport which, as we know today, is associated with some pitfalls!</w:t>
      </w:r>
    </w:p>
    <w:p>
      <w:pPr>
        <w:pStyle w:val="Heading1"/>
        <w:spacing w:before="222"/>
        <w:ind w:left="616"/>
        <w:jc w:val="both"/>
      </w:pPr>
      <w:r>
        <w:rPr/>
        <w:t>Cell destruction due to competitive</w:t>
      </w:r>
      <w:r>
        <w:rPr>
          <w:spacing w:val="-58"/>
        </w:rPr>
        <w:t> </w:t>
      </w:r>
      <w:r>
        <w:rPr/>
        <w:t>sport</w:t>
      </w:r>
    </w:p>
    <w:p>
      <w:pPr>
        <w:pStyle w:val="BodyText"/>
        <w:spacing w:line="276" w:lineRule="auto" w:before="300"/>
        <w:ind w:left="616" w:right="141"/>
        <w:jc w:val="both"/>
      </w:pPr>
      <w:r>
        <w:rPr/>
        <w:t>We</w:t>
      </w:r>
      <w:r>
        <w:rPr>
          <w:spacing w:val="-11"/>
        </w:rPr>
        <w:t> </w:t>
      </w:r>
      <w:r>
        <w:rPr/>
        <w:t>know</w:t>
      </w:r>
      <w:r>
        <w:rPr>
          <w:spacing w:val="-13"/>
        </w:rPr>
        <w:t> </w:t>
      </w:r>
      <w:r>
        <w:rPr/>
        <w:t>that</w:t>
      </w:r>
      <w:r>
        <w:rPr>
          <w:spacing w:val="-11"/>
        </w:rPr>
        <w:t> </w:t>
      </w:r>
      <w:r>
        <w:rPr/>
        <w:t>we</w:t>
      </w:r>
      <w:r>
        <w:rPr>
          <w:spacing w:val="-11"/>
        </w:rPr>
        <w:t> </w:t>
      </w:r>
      <w:r>
        <w:rPr/>
        <w:t>absorb</w:t>
      </w:r>
      <w:r>
        <w:rPr>
          <w:spacing w:val="-10"/>
        </w:rPr>
        <w:t> </w:t>
      </w:r>
      <w:r>
        <w:rPr/>
        <w:t>more</w:t>
      </w:r>
      <w:r>
        <w:rPr>
          <w:spacing w:val="-11"/>
        </w:rPr>
        <w:t> </w:t>
      </w:r>
      <w:r>
        <w:rPr/>
        <w:t>oxygen</w:t>
      </w:r>
      <w:r>
        <w:rPr>
          <w:spacing w:val="-10"/>
        </w:rPr>
        <w:t> </w:t>
      </w:r>
      <w:r>
        <w:rPr/>
        <w:t>during</w:t>
      </w:r>
      <w:r>
        <w:rPr>
          <w:spacing w:val="-11"/>
        </w:rPr>
        <w:t> </w:t>
      </w:r>
      <w:r>
        <w:rPr/>
        <w:t>exercise</w:t>
      </w:r>
      <w:r>
        <w:rPr>
          <w:spacing w:val="-11"/>
        </w:rPr>
        <w:t> </w:t>
      </w:r>
      <w:r>
        <w:rPr/>
        <w:t>and</w:t>
      </w:r>
      <w:r>
        <w:rPr>
          <w:spacing w:val="-10"/>
        </w:rPr>
        <w:t> </w:t>
      </w:r>
      <w:r>
        <w:rPr/>
        <w:t>in</w:t>
      </w:r>
      <w:r>
        <w:rPr>
          <w:spacing w:val="-12"/>
        </w:rPr>
        <w:t> </w:t>
      </w:r>
      <w:r>
        <w:rPr/>
        <w:t>particular</w:t>
      </w:r>
      <w:r>
        <w:rPr>
          <w:spacing w:val="-11"/>
        </w:rPr>
        <w:t> </w:t>
      </w:r>
      <w:r>
        <w:rPr/>
        <w:t>during endurance sport. However, oxygen is not only a blessing for our lives, it also has a destructive side.</w:t>
      </w:r>
    </w:p>
    <w:p>
      <w:pPr>
        <w:pStyle w:val="BodyText"/>
        <w:spacing w:line="276" w:lineRule="auto" w:before="239"/>
        <w:ind w:left="616" w:right="143"/>
        <w:jc w:val="both"/>
      </w:pPr>
      <w:r>
        <w:rPr/>
        <w:t>Therefore, competitive athletes not only require oxygen to supply their mus- cles, rather it is also unfortunately favourable for oxidation and therefore the destruction of body cells by free radicals!</w:t>
      </w:r>
    </w:p>
    <w:p>
      <w:pPr>
        <w:pStyle w:val="BodyText"/>
        <w:spacing w:line="276" w:lineRule="auto" w:before="241"/>
        <w:ind w:left="616" w:right="136"/>
        <w:jc w:val="both"/>
      </w:pPr>
      <w:r>
        <w:rPr/>
        <w:t>Regular</w:t>
      </w:r>
      <w:r>
        <w:rPr>
          <w:spacing w:val="-26"/>
        </w:rPr>
        <w:t> </w:t>
      </w:r>
      <w:r>
        <w:rPr/>
        <w:t>consumption</w:t>
      </w:r>
      <w:r>
        <w:rPr>
          <w:spacing w:val="-24"/>
        </w:rPr>
        <w:t> </w:t>
      </w:r>
      <w:r>
        <w:rPr/>
        <w:t>of</w:t>
      </w:r>
      <w:r>
        <w:rPr>
          <w:spacing w:val="-25"/>
        </w:rPr>
        <w:t> </w:t>
      </w:r>
      <w:r>
        <w:rPr/>
        <w:t>antioxidants</w:t>
      </w:r>
      <w:r>
        <w:rPr>
          <w:spacing w:val="-25"/>
        </w:rPr>
        <w:t> </w:t>
      </w:r>
      <w:r>
        <w:rPr/>
        <w:t>such</w:t>
      </w:r>
      <w:r>
        <w:rPr>
          <w:spacing w:val="-24"/>
        </w:rPr>
        <w:t> </w:t>
      </w:r>
      <w:r>
        <w:rPr/>
        <w:t>as</w:t>
      </w:r>
      <w:r>
        <w:rPr>
          <w:spacing w:val="-27"/>
        </w:rPr>
        <w:t> </w:t>
      </w:r>
      <w:r>
        <w:rPr/>
        <w:t>OPC,</w:t>
      </w:r>
      <w:r>
        <w:rPr>
          <w:spacing w:val="-25"/>
        </w:rPr>
        <w:t> </w:t>
      </w:r>
      <w:r>
        <w:rPr/>
        <w:t>vitamin</w:t>
      </w:r>
      <w:r>
        <w:rPr>
          <w:spacing w:val="-24"/>
        </w:rPr>
        <w:t> </w:t>
      </w:r>
      <w:r>
        <w:rPr/>
        <w:t>C,</w:t>
      </w:r>
      <w:r>
        <w:rPr>
          <w:spacing w:val="-25"/>
        </w:rPr>
        <w:t> </w:t>
      </w:r>
      <w:r>
        <w:rPr/>
        <w:t>vitamin</w:t>
      </w:r>
      <w:r>
        <w:rPr>
          <w:spacing w:val="-26"/>
        </w:rPr>
        <w:t> </w:t>
      </w:r>
      <w:r>
        <w:rPr/>
        <w:t>E,</w:t>
      </w:r>
      <w:r>
        <w:rPr>
          <w:spacing w:val="-24"/>
        </w:rPr>
        <w:t> </w:t>
      </w:r>
      <w:r>
        <w:rPr/>
        <w:t>alpha lipoic acid, beta-carotene and coenzyme Q10 are necessary in order to</w:t>
      </w:r>
      <w:r>
        <w:rPr>
          <w:spacing w:val="-41"/>
        </w:rPr>
        <w:t> </w:t>
      </w:r>
      <w:r>
        <w:rPr/>
        <w:t>protect competitive athletes’ body cells against attack from free</w:t>
      </w:r>
      <w:r>
        <w:rPr>
          <w:spacing w:val="-8"/>
        </w:rPr>
        <w:t> </w:t>
      </w:r>
      <w:r>
        <w:rPr/>
        <w:t>radicals!</w:t>
      </w:r>
    </w:p>
    <w:p>
      <w:pPr>
        <w:spacing w:after="0" w:line="276" w:lineRule="auto"/>
        <w:jc w:val="both"/>
        <w:sectPr>
          <w:pgSz w:w="14270" w:h="16850"/>
          <w:pgMar w:header="0" w:footer="1891" w:top="1340" w:bottom="2080" w:left="800" w:right="1280"/>
        </w:sectPr>
      </w:pPr>
    </w:p>
    <w:p>
      <w:pPr>
        <w:pStyle w:val="Heading1"/>
        <w:spacing w:before="75"/>
        <w:ind w:left="616"/>
      </w:pPr>
      <w:r>
        <w:rPr/>
        <w:t>Sportosis: diseases from competitive sport due to acidification</w:t>
      </w:r>
    </w:p>
    <w:p>
      <w:pPr>
        <w:pStyle w:val="BodyText"/>
        <w:spacing w:line="276" w:lineRule="auto" w:before="299"/>
        <w:ind w:left="616" w:right="133"/>
        <w:jc w:val="both"/>
      </w:pPr>
      <w:r>
        <w:rPr/>
        <w:t>A further trap is diseases from competitive sport due to permanent acidifica- tion</w:t>
      </w:r>
      <w:r>
        <w:rPr>
          <w:spacing w:val="-11"/>
        </w:rPr>
        <w:t> </w:t>
      </w:r>
      <w:r>
        <w:rPr/>
        <w:t>from</w:t>
      </w:r>
      <w:r>
        <w:rPr>
          <w:spacing w:val="-14"/>
        </w:rPr>
        <w:t> </w:t>
      </w:r>
      <w:r>
        <w:rPr/>
        <w:t>lactic</w:t>
      </w:r>
      <w:r>
        <w:rPr>
          <w:spacing w:val="-14"/>
        </w:rPr>
        <w:t> </w:t>
      </w:r>
      <w:r>
        <w:rPr/>
        <w:t>acid</w:t>
      </w:r>
      <w:r>
        <w:rPr>
          <w:spacing w:val="-13"/>
        </w:rPr>
        <w:t> </w:t>
      </w:r>
      <w:r>
        <w:rPr/>
        <w:t>and</w:t>
      </w:r>
      <w:r>
        <w:rPr>
          <w:spacing w:val="-11"/>
        </w:rPr>
        <w:t> </w:t>
      </w:r>
      <w:r>
        <w:rPr/>
        <w:t>other</w:t>
      </w:r>
      <w:r>
        <w:rPr>
          <w:spacing w:val="-13"/>
        </w:rPr>
        <w:t> </w:t>
      </w:r>
      <w:r>
        <w:rPr/>
        <w:t>acids</w:t>
      </w:r>
      <w:r>
        <w:rPr>
          <w:spacing w:val="-11"/>
        </w:rPr>
        <w:t> </w:t>
      </w:r>
      <w:r>
        <w:rPr/>
        <w:t>which</w:t>
      </w:r>
      <w:r>
        <w:rPr>
          <w:spacing w:val="-11"/>
        </w:rPr>
        <w:t> </w:t>
      </w:r>
      <w:r>
        <w:rPr/>
        <w:t>are</w:t>
      </w:r>
      <w:r>
        <w:rPr>
          <w:spacing w:val="-13"/>
        </w:rPr>
        <w:t> </w:t>
      </w:r>
      <w:r>
        <w:rPr/>
        <w:t>created</w:t>
      </w:r>
      <w:r>
        <w:rPr>
          <w:spacing w:val="-12"/>
        </w:rPr>
        <w:t> </w:t>
      </w:r>
      <w:r>
        <w:rPr/>
        <w:t>in</w:t>
      </w:r>
      <w:r>
        <w:rPr>
          <w:spacing w:val="-12"/>
        </w:rPr>
        <w:t> </w:t>
      </w:r>
      <w:r>
        <w:rPr/>
        <w:t>the</w:t>
      </w:r>
      <w:r>
        <w:rPr>
          <w:spacing w:val="-13"/>
        </w:rPr>
        <w:t> </w:t>
      </w:r>
      <w:r>
        <w:rPr/>
        <w:t>body</w:t>
      </w:r>
      <w:r>
        <w:rPr>
          <w:spacing w:val="-11"/>
        </w:rPr>
        <w:t> </w:t>
      </w:r>
      <w:r>
        <w:rPr/>
        <w:t>in</w:t>
      </w:r>
      <w:r>
        <w:rPr>
          <w:spacing w:val="-14"/>
        </w:rPr>
        <w:t> </w:t>
      </w:r>
      <w:r>
        <w:rPr/>
        <w:t>particular during anaerobic, forceful types of</w:t>
      </w:r>
      <w:r>
        <w:rPr>
          <w:spacing w:val="-3"/>
        </w:rPr>
        <w:t> </w:t>
      </w:r>
      <w:r>
        <w:rPr/>
        <w:t>sport.</w:t>
      </w:r>
    </w:p>
    <w:p>
      <w:pPr>
        <w:pStyle w:val="BodyText"/>
        <w:spacing w:line="276" w:lineRule="auto" w:before="241"/>
        <w:ind w:left="616" w:right="137"/>
        <w:jc w:val="both"/>
      </w:pPr>
      <w:r>
        <w:rPr/>
        <w:t>The</w:t>
      </w:r>
      <w:r>
        <w:rPr>
          <w:spacing w:val="-16"/>
        </w:rPr>
        <w:t> </w:t>
      </w:r>
      <w:r>
        <w:rPr/>
        <w:t>colloidal</w:t>
      </w:r>
      <w:r>
        <w:rPr>
          <w:spacing w:val="-18"/>
        </w:rPr>
        <w:t> </w:t>
      </w:r>
      <w:r>
        <w:rPr/>
        <w:t>connective</w:t>
      </w:r>
      <w:r>
        <w:rPr>
          <w:spacing w:val="-17"/>
        </w:rPr>
        <w:t> </w:t>
      </w:r>
      <w:r>
        <w:rPr/>
        <w:t>tissue</w:t>
      </w:r>
      <w:r>
        <w:rPr>
          <w:spacing w:val="-17"/>
        </w:rPr>
        <w:t> </w:t>
      </w:r>
      <w:r>
        <w:rPr/>
        <w:t>absorbs</w:t>
      </w:r>
      <w:r>
        <w:rPr>
          <w:spacing w:val="-16"/>
        </w:rPr>
        <w:t> </w:t>
      </w:r>
      <w:r>
        <w:rPr/>
        <w:t>lactic</w:t>
      </w:r>
      <w:r>
        <w:rPr>
          <w:spacing w:val="-16"/>
        </w:rPr>
        <w:t> </w:t>
      </w:r>
      <w:r>
        <w:rPr/>
        <w:t>acid</w:t>
      </w:r>
      <w:r>
        <w:rPr>
          <w:spacing w:val="-18"/>
        </w:rPr>
        <w:t> </w:t>
      </w:r>
      <w:r>
        <w:rPr/>
        <w:t>because</w:t>
      </w:r>
      <w:r>
        <w:rPr>
          <w:spacing w:val="-17"/>
        </w:rPr>
        <w:t> </w:t>
      </w:r>
      <w:r>
        <w:rPr/>
        <w:t>otherwise</w:t>
      </w:r>
      <w:r>
        <w:rPr>
          <w:spacing w:val="-16"/>
        </w:rPr>
        <w:t> </w:t>
      </w:r>
      <w:r>
        <w:rPr/>
        <w:t>the</w:t>
      </w:r>
      <w:r>
        <w:rPr>
          <w:spacing w:val="-15"/>
        </w:rPr>
        <w:t> </w:t>
      </w:r>
      <w:r>
        <w:rPr/>
        <w:t>blood pH value would sink below 7, which would mean certain</w:t>
      </w:r>
      <w:r>
        <w:rPr>
          <w:spacing w:val="1"/>
        </w:rPr>
        <w:t> </w:t>
      </w:r>
      <w:r>
        <w:rPr/>
        <w:t>death.</w:t>
      </w:r>
    </w:p>
    <w:p>
      <w:pPr>
        <w:pStyle w:val="BodyText"/>
        <w:spacing w:line="276" w:lineRule="auto" w:before="239"/>
        <w:ind w:left="616" w:right="138"/>
        <w:jc w:val="both"/>
      </w:pPr>
      <w:r>
        <w:rPr/>
        <w:t>This</w:t>
      </w:r>
      <w:r>
        <w:rPr>
          <w:spacing w:val="-14"/>
        </w:rPr>
        <w:t> </w:t>
      </w:r>
      <w:r>
        <w:rPr/>
        <w:t>‘sportosis’</w:t>
      </w:r>
      <w:r>
        <w:rPr>
          <w:spacing w:val="-16"/>
        </w:rPr>
        <w:t> </w:t>
      </w:r>
      <w:r>
        <w:rPr/>
        <w:t>(an</w:t>
      </w:r>
      <w:r>
        <w:rPr>
          <w:spacing w:val="-14"/>
        </w:rPr>
        <w:t> </w:t>
      </w:r>
      <w:r>
        <w:rPr/>
        <w:t>amalgamation</w:t>
      </w:r>
      <w:r>
        <w:rPr>
          <w:spacing w:val="-14"/>
        </w:rPr>
        <w:t> </w:t>
      </w:r>
      <w:r>
        <w:rPr/>
        <w:t>of</w:t>
      </w:r>
      <w:r>
        <w:rPr>
          <w:spacing w:val="-16"/>
        </w:rPr>
        <w:t> </w:t>
      </w:r>
      <w:r>
        <w:rPr/>
        <w:t>‘sport’</w:t>
      </w:r>
      <w:r>
        <w:rPr>
          <w:spacing w:val="-16"/>
        </w:rPr>
        <w:t> </w:t>
      </w:r>
      <w:r>
        <w:rPr/>
        <w:t>and</w:t>
      </w:r>
      <w:r>
        <w:rPr>
          <w:spacing w:val="-16"/>
        </w:rPr>
        <w:t> </w:t>
      </w:r>
      <w:r>
        <w:rPr/>
        <w:t>‘acidosis’,</w:t>
      </w:r>
      <w:r>
        <w:rPr>
          <w:spacing w:val="-14"/>
        </w:rPr>
        <w:t> </w:t>
      </w:r>
      <w:r>
        <w:rPr/>
        <w:t>or</w:t>
      </w:r>
      <w:r>
        <w:rPr>
          <w:spacing w:val="-15"/>
        </w:rPr>
        <w:t> </w:t>
      </w:r>
      <w:r>
        <w:rPr/>
        <w:t>chronic</w:t>
      </w:r>
      <w:r>
        <w:rPr>
          <w:spacing w:val="-15"/>
        </w:rPr>
        <w:t> </w:t>
      </w:r>
      <w:r>
        <w:rPr/>
        <w:t>acidifica- tion) occurs if athletes do not take extra care. Things take their course, as pre- viously</w:t>
      </w:r>
      <w:r>
        <w:rPr>
          <w:spacing w:val="-24"/>
        </w:rPr>
        <w:t> </w:t>
      </w:r>
      <w:r>
        <w:rPr/>
        <w:t>described:</w:t>
      </w:r>
      <w:r>
        <w:rPr>
          <w:spacing w:val="-23"/>
        </w:rPr>
        <w:t> </w:t>
      </w:r>
      <w:r>
        <w:rPr/>
        <w:t>The</w:t>
      </w:r>
      <w:r>
        <w:rPr>
          <w:spacing w:val="-22"/>
        </w:rPr>
        <w:t> </w:t>
      </w:r>
      <w:r>
        <w:rPr/>
        <w:t>body</w:t>
      </w:r>
      <w:r>
        <w:rPr>
          <w:spacing w:val="-23"/>
        </w:rPr>
        <w:t> </w:t>
      </w:r>
      <w:r>
        <w:rPr/>
        <w:t>requires</w:t>
      </w:r>
      <w:r>
        <w:rPr>
          <w:spacing w:val="-22"/>
        </w:rPr>
        <w:t> </w:t>
      </w:r>
      <w:r>
        <w:rPr/>
        <w:t>minerals</w:t>
      </w:r>
      <w:r>
        <w:rPr>
          <w:spacing w:val="-23"/>
        </w:rPr>
        <w:t> </w:t>
      </w:r>
      <w:r>
        <w:rPr/>
        <w:t>in</w:t>
      </w:r>
      <w:r>
        <w:rPr>
          <w:spacing w:val="-24"/>
        </w:rPr>
        <w:t> </w:t>
      </w:r>
      <w:r>
        <w:rPr/>
        <w:t>order</w:t>
      </w:r>
      <w:r>
        <w:rPr>
          <w:spacing w:val="-23"/>
        </w:rPr>
        <w:t> </w:t>
      </w:r>
      <w:r>
        <w:rPr/>
        <w:t>to</w:t>
      </w:r>
      <w:r>
        <w:rPr>
          <w:spacing w:val="-25"/>
        </w:rPr>
        <w:t> </w:t>
      </w:r>
      <w:r>
        <w:rPr/>
        <w:t>neutralise</w:t>
      </w:r>
      <w:r>
        <w:rPr>
          <w:spacing w:val="-22"/>
        </w:rPr>
        <w:t> </w:t>
      </w:r>
      <w:r>
        <w:rPr/>
        <w:t>acids;</w:t>
      </w:r>
      <w:r>
        <w:rPr>
          <w:spacing w:val="-23"/>
        </w:rPr>
        <w:t> </w:t>
      </w:r>
      <w:r>
        <w:rPr/>
        <w:t>how- ever,</w:t>
      </w:r>
      <w:r>
        <w:rPr>
          <w:spacing w:val="-9"/>
        </w:rPr>
        <w:t> </w:t>
      </w:r>
      <w:r>
        <w:rPr/>
        <w:t>if</w:t>
      </w:r>
      <w:r>
        <w:rPr>
          <w:spacing w:val="-10"/>
        </w:rPr>
        <w:t> </w:t>
      </w:r>
      <w:r>
        <w:rPr/>
        <w:t>it</w:t>
      </w:r>
      <w:r>
        <w:rPr>
          <w:spacing w:val="-12"/>
        </w:rPr>
        <w:t> </w:t>
      </w:r>
      <w:r>
        <w:rPr/>
        <w:t>does</w:t>
      </w:r>
      <w:r>
        <w:rPr>
          <w:spacing w:val="-10"/>
        </w:rPr>
        <w:t> </w:t>
      </w:r>
      <w:r>
        <w:rPr/>
        <w:t>not</w:t>
      </w:r>
      <w:r>
        <w:rPr>
          <w:spacing w:val="-9"/>
        </w:rPr>
        <w:t> </w:t>
      </w:r>
      <w:r>
        <w:rPr/>
        <w:t>receive</w:t>
      </w:r>
      <w:r>
        <w:rPr>
          <w:spacing w:val="-10"/>
        </w:rPr>
        <w:t> </w:t>
      </w:r>
      <w:r>
        <w:rPr/>
        <w:t>these</w:t>
      </w:r>
      <w:r>
        <w:rPr>
          <w:spacing w:val="-12"/>
        </w:rPr>
        <w:t> </w:t>
      </w:r>
      <w:r>
        <w:rPr/>
        <w:t>in</w:t>
      </w:r>
      <w:r>
        <w:rPr>
          <w:spacing w:val="-10"/>
        </w:rPr>
        <w:t> </w:t>
      </w:r>
      <w:r>
        <w:rPr/>
        <w:t>nutritional</w:t>
      </w:r>
      <w:r>
        <w:rPr>
          <w:spacing w:val="-11"/>
        </w:rPr>
        <w:t> </w:t>
      </w:r>
      <w:r>
        <w:rPr/>
        <w:t>form</w:t>
      </w:r>
      <w:r>
        <w:rPr>
          <w:spacing w:val="-9"/>
        </w:rPr>
        <w:t> </w:t>
      </w:r>
      <w:r>
        <w:rPr/>
        <w:t>or</w:t>
      </w:r>
      <w:r>
        <w:rPr>
          <w:spacing w:val="-9"/>
        </w:rPr>
        <w:t> </w:t>
      </w:r>
      <w:r>
        <w:rPr/>
        <w:t>through</w:t>
      </w:r>
      <w:r>
        <w:rPr>
          <w:spacing w:val="-9"/>
        </w:rPr>
        <w:t> </w:t>
      </w:r>
      <w:r>
        <w:rPr/>
        <w:t>nutritional</w:t>
      </w:r>
      <w:r>
        <w:rPr>
          <w:spacing w:val="-12"/>
        </w:rPr>
        <w:t> </w:t>
      </w:r>
      <w:r>
        <w:rPr/>
        <w:t>sup- plements, it is forced to cannibalise itself by ruthlessly drawing on mineral stores in our skin, scalp, teeth, bones, cartilage and blood</w:t>
      </w:r>
      <w:r>
        <w:rPr>
          <w:spacing w:val="-9"/>
        </w:rPr>
        <w:t> </w:t>
      </w:r>
      <w:r>
        <w:rPr/>
        <w:t>vessels.</w:t>
      </w:r>
    </w:p>
    <w:p>
      <w:pPr>
        <w:pStyle w:val="BodyText"/>
        <w:spacing w:line="276" w:lineRule="auto" w:before="242"/>
        <w:ind w:left="616" w:right="137"/>
        <w:jc w:val="both"/>
      </w:pPr>
      <w:r>
        <w:rPr/>
        <w:t>This leads to the diseases described under ‘Diseases caused by acidification’ which often lead to heart attacks in competitive athletes.</w:t>
      </w:r>
    </w:p>
    <w:p>
      <w:pPr>
        <w:spacing w:after="0" w:line="276" w:lineRule="auto"/>
        <w:jc w:val="both"/>
        <w:sectPr>
          <w:pgSz w:w="14270" w:h="16850"/>
          <w:pgMar w:header="0" w:footer="1891" w:top="1320" w:bottom="2080" w:left="800" w:right="1280"/>
        </w:sectPr>
      </w:pPr>
    </w:p>
    <w:p>
      <w:pPr>
        <w:pStyle w:val="Heading1"/>
        <w:spacing w:before="77"/>
        <w:ind w:left="616"/>
      </w:pPr>
      <w:r>
        <w:rPr/>
        <w:t>How can sportosis be avoided?</w:t>
      </w:r>
    </w:p>
    <w:p>
      <w:pPr>
        <w:pStyle w:val="BodyText"/>
        <w:spacing w:line="276" w:lineRule="auto" w:before="299"/>
        <w:ind w:left="616" w:right="138"/>
        <w:jc w:val="both"/>
        <w:rPr>
          <w:i/>
        </w:rPr>
      </w:pPr>
      <w:r>
        <w:rPr/>
        <w:t>Acid and sludge expert Dr. Jentschura recommends the preventative con- sumption</w:t>
      </w:r>
      <w:r>
        <w:rPr>
          <w:spacing w:val="-24"/>
        </w:rPr>
        <w:t> </w:t>
      </w:r>
      <w:r>
        <w:rPr/>
        <w:t>of</w:t>
      </w:r>
      <w:r>
        <w:rPr>
          <w:spacing w:val="-27"/>
        </w:rPr>
        <w:t> </w:t>
      </w:r>
      <w:r>
        <w:rPr/>
        <w:t>bases</w:t>
      </w:r>
      <w:r>
        <w:rPr>
          <w:spacing w:val="-25"/>
        </w:rPr>
        <w:t> </w:t>
      </w:r>
      <w:r>
        <w:rPr/>
        <w:t>(minerals)</w:t>
      </w:r>
      <w:r>
        <w:rPr>
          <w:spacing w:val="-27"/>
        </w:rPr>
        <w:t> </w:t>
      </w:r>
      <w:r>
        <w:rPr/>
        <w:t>before</w:t>
      </w:r>
      <w:r>
        <w:rPr>
          <w:spacing w:val="-24"/>
        </w:rPr>
        <w:t> </w:t>
      </w:r>
      <w:r>
        <w:rPr/>
        <w:t>exercising;</w:t>
      </w:r>
      <w:r>
        <w:rPr>
          <w:spacing w:val="-26"/>
        </w:rPr>
        <w:t> </w:t>
      </w:r>
      <w:r>
        <w:rPr/>
        <w:t>after</w:t>
      </w:r>
      <w:r>
        <w:rPr>
          <w:spacing w:val="-24"/>
        </w:rPr>
        <w:t> </w:t>
      </w:r>
      <w:r>
        <w:rPr/>
        <w:t>exercising</w:t>
      </w:r>
      <w:r>
        <w:rPr>
          <w:spacing w:val="-26"/>
        </w:rPr>
        <w:t> </w:t>
      </w:r>
      <w:r>
        <w:rPr/>
        <w:t>you</w:t>
      </w:r>
      <w:r>
        <w:rPr>
          <w:spacing w:val="-26"/>
        </w:rPr>
        <w:t> </w:t>
      </w:r>
      <w:r>
        <w:rPr/>
        <w:t>should</w:t>
      </w:r>
      <w:r>
        <w:rPr>
          <w:spacing w:val="-26"/>
        </w:rPr>
        <w:t> </w:t>
      </w:r>
      <w:r>
        <w:rPr/>
        <w:t>take an alkaline bath in order to remove any acids accumulated via the skin (‘the extra kidney’). A water pH value of 8.5 is recommended here with a water temperature of 35–38 °C (3 table spoons of</w:t>
      </w:r>
      <w:r>
        <w:rPr>
          <w:spacing w:val="-1"/>
        </w:rPr>
        <w:t> </w:t>
      </w:r>
      <w:r>
        <w:rPr>
          <w:i/>
        </w:rPr>
        <w:t>MeineBase®).</w:t>
      </w:r>
    </w:p>
    <w:p>
      <w:pPr>
        <w:pStyle w:val="Heading1"/>
        <w:spacing w:line="261" w:lineRule="auto" w:before="223"/>
        <w:ind w:left="616" w:right="139"/>
        <w:jc w:val="both"/>
      </w:pPr>
      <w:r>
        <w:rPr/>
        <w:t>How</w:t>
      </w:r>
      <w:r>
        <w:rPr>
          <w:spacing w:val="-66"/>
        </w:rPr>
        <w:t> </w:t>
      </w:r>
      <w:r>
        <w:rPr/>
        <w:t>can</w:t>
      </w:r>
      <w:r>
        <w:rPr>
          <w:spacing w:val="-65"/>
        </w:rPr>
        <w:t> </w:t>
      </w:r>
      <w:r>
        <w:rPr/>
        <w:t>sore</w:t>
      </w:r>
      <w:r>
        <w:rPr>
          <w:spacing w:val="-64"/>
        </w:rPr>
        <w:t> </w:t>
      </w:r>
      <w:r>
        <w:rPr/>
        <w:t>muscles</w:t>
      </w:r>
      <w:r>
        <w:rPr>
          <w:spacing w:val="-65"/>
        </w:rPr>
        <w:t> </w:t>
      </w:r>
      <w:r>
        <w:rPr/>
        <w:t>be</w:t>
      </w:r>
      <w:r>
        <w:rPr>
          <w:spacing w:val="-66"/>
        </w:rPr>
        <w:t> </w:t>
      </w:r>
      <w:r>
        <w:rPr/>
        <w:t>avoided</w:t>
      </w:r>
      <w:r>
        <w:rPr>
          <w:spacing w:val="-65"/>
        </w:rPr>
        <w:t> </w:t>
      </w:r>
      <w:r>
        <w:rPr/>
        <w:t>and</w:t>
      </w:r>
      <w:r>
        <w:rPr>
          <w:spacing w:val="-65"/>
        </w:rPr>
        <w:t> </w:t>
      </w:r>
      <w:r>
        <w:rPr/>
        <w:t>optimally</w:t>
      </w:r>
      <w:r>
        <w:rPr>
          <w:spacing w:val="-65"/>
        </w:rPr>
        <w:t> </w:t>
      </w:r>
      <w:r>
        <w:rPr/>
        <w:t>regenerated</w:t>
      </w:r>
      <w:r>
        <w:rPr>
          <w:spacing w:val="-66"/>
        </w:rPr>
        <w:t> </w:t>
      </w:r>
      <w:r>
        <w:rPr/>
        <w:t>after</w:t>
      </w:r>
      <w:r>
        <w:rPr>
          <w:spacing w:val="-65"/>
        </w:rPr>
        <w:t> </w:t>
      </w:r>
      <w:r>
        <w:rPr/>
        <w:t>exer- cise?</w:t>
      </w:r>
    </w:p>
    <w:p>
      <w:pPr>
        <w:pStyle w:val="BodyText"/>
        <w:spacing w:line="276" w:lineRule="auto" w:before="260"/>
        <w:ind w:left="616" w:right="141"/>
        <w:jc w:val="both"/>
      </w:pPr>
      <w:r>
        <w:rPr/>
        <w:t>According to Dr. Jentschura, sore muscles can be avoided and regeneration achieved</w:t>
      </w:r>
      <w:r>
        <w:rPr>
          <w:spacing w:val="-25"/>
        </w:rPr>
        <w:t> </w:t>
      </w:r>
      <w:r>
        <w:rPr/>
        <w:t>with</w:t>
      </w:r>
      <w:r>
        <w:rPr>
          <w:spacing w:val="-23"/>
        </w:rPr>
        <w:t> </w:t>
      </w:r>
      <w:r>
        <w:rPr/>
        <w:t>the</w:t>
      </w:r>
      <w:r>
        <w:rPr>
          <w:spacing w:val="-24"/>
        </w:rPr>
        <w:t> </w:t>
      </w:r>
      <w:r>
        <w:rPr/>
        <w:t>aid</w:t>
      </w:r>
      <w:r>
        <w:rPr>
          <w:spacing w:val="-25"/>
        </w:rPr>
        <w:t> </w:t>
      </w:r>
      <w:r>
        <w:rPr/>
        <w:t>of</w:t>
      </w:r>
      <w:r>
        <w:rPr>
          <w:spacing w:val="-24"/>
        </w:rPr>
        <w:t> </w:t>
      </w:r>
      <w:r>
        <w:rPr/>
        <w:t>minerals</w:t>
      </w:r>
      <w:r>
        <w:rPr>
          <w:spacing w:val="-26"/>
        </w:rPr>
        <w:t> </w:t>
      </w:r>
      <w:r>
        <w:rPr/>
        <w:t>before</w:t>
      </w:r>
      <w:r>
        <w:rPr>
          <w:spacing w:val="-23"/>
        </w:rPr>
        <w:t> </w:t>
      </w:r>
      <w:r>
        <w:rPr/>
        <w:t>exercising</w:t>
      </w:r>
      <w:r>
        <w:rPr>
          <w:spacing w:val="-24"/>
        </w:rPr>
        <w:t> </w:t>
      </w:r>
      <w:r>
        <w:rPr/>
        <w:t>and</w:t>
      </w:r>
      <w:r>
        <w:rPr>
          <w:spacing w:val="-24"/>
        </w:rPr>
        <w:t> </w:t>
      </w:r>
      <w:r>
        <w:rPr/>
        <w:t>the</w:t>
      </w:r>
      <w:r>
        <w:rPr>
          <w:spacing w:val="-23"/>
        </w:rPr>
        <w:t> </w:t>
      </w:r>
      <w:r>
        <w:rPr/>
        <w:t>use</w:t>
      </w:r>
      <w:r>
        <w:rPr>
          <w:spacing w:val="-25"/>
        </w:rPr>
        <w:t> </w:t>
      </w:r>
      <w:r>
        <w:rPr/>
        <w:t>of</w:t>
      </w:r>
      <w:r>
        <w:rPr>
          <w:spacing w:val="-28"/>
        </w:rPr>
        <w:t> </w:t>
      </w:r>
      <w:r>
        <w:rPr/>
        <w:t>alkaline</w:t>
      </w:r>
      <w:r>
        <w:rPr>
          <w:spacing w:val="-24"/>
        </w:rPr>
        <w:t> </w:t>
      </w:r>
      <w:r>
        <w:rPr/>
        <w:t>baths after exercise. According to the hypothesis from Jentschura und Lohkämper</w:t>
      </w:r>
      <w:r>
        <w:rPr>
          <w:position w:val="9"/>
          <w:sz w:val="25"/>
        </w:rPr>
        <w:t>1045 </w:t>
      </w:r>
      <w:r>
        <w:rPr/>
        <w:t>it</w:t>
      </w:r>
      <w:r>
        <w:rPr>
          <w:spacing w:val="-31"/>
        </w:rPr>
        <w:t> </w:t>
      </w:r>
      <w:r>
        <w:rPr/>
        <w:t>takes:</w:t>
      </w:r>
    </w:p>
    <w:p>
      <w:pPr>
        <w:pStyle w:val="ListParagraph"/>
        <w:numPr>
          <w:ilvl w:val="1"/>
          <w:numId w:val="131"/>
        </w:numPr>
        <w:tabs>
          <w:tab w:pos="1329" w:val="left" w:leader="none"/>
          <w:tab w:pos="1330" w:val="left" w:leader="none"/>
        </w:tabs>
        <w:spacing w:line="273" w:lineRule="auto" w:before="200" w:after="0"/>
        <w:ind w:left="1329" w:right="139" w:hanging="355"/>
        <w:jc w:val="left"/>
        <w:rPr>
          <w:sz w:val="38"/>
        </w:rPr>
      </w:pPr>
      <w:r>
        <w:rPr>
          <w:sz w:val="38"/>
        </w:rPr>
        <w:t>six</w:t>
      </w:r>
      <w:r>
        <w:rPr>
          <w:spacing w:val="-20"/>
          <w:sz w:val="38"/>
        </w:rPr>
        <w:t> </w:t>
      </w:r>
      <w:r>
        <w:rPr>
          <w:sz w:val="38"/>
        </w:rPr>
        <w:t>hours</w:t>
      </w:r>
      <w:r>
        <w:rPr>
          <w:spacing w:val="-18"/>
          <w:sz w:val="38"/>
        </w:rPr>
        <w:t> </w:t>
      </w:r>
      <w:r>
        <w:rPr>
          <w:sz w:val="38"/>
        </w:rPr>
        <w:t>until</w:t>
      </w:r>
      <w:r>
        <w:rPr>
          <w:spacing w:val="-21"/>
          <w:sz w:val="38"/>
        </w:rPr>
        <w:t> </w:t>
      </w:r>
      <w:r>
        <w:rPr>
          <w:sz w:val="38"/>
        </w:rPr>
        <w:t>the</w:t>
      </w:r>
      <w:r>
        <w:rPr>
          <w:spacing w:val="-18"/>
          <w:sz w:val="38"/>
        </w:rPr>
        <w:t> </w:t>
      </w:r>
      <w:r>
        <w:rPr>
          <w:sz w:val="38"/>
        </w:rPr>
        <w:t>pH</w:t>
      </w:r>
      <w:r>
        <w:rPr>
          <w:spacing w:val="-19"/>
          <w:sz w:val="38"/>
        </w:rPr>
        <w:t> </w:t>
      </w:r>
      <w:r>
        <w:rPr>
          <w:sz w:val="38"/>
        </w:rPr>
        <w:t>value</w:t>
      </w:r>
      <w:r>
        <w:rPr>
          <w:spacing w:val="-18"/>
          <w:sz w:val="38"/>
        </w:rPr>
        <w:t> </w:t>
      </w:r>
      <w:r>
        <w:rPr>
          <w:sz w:val="38"/>
        </w:rPr>
        <w:t>increases</w:t>
      </w:r>
      <w:r>
        <w:rPr>
          <w:spacing w:val="-18"/>
          <w:sz w:val="38"/>
        </w:rPr>
        <w:t> </w:t>
      </w:r>
      <w:r>
        <w:rPr>
          <w:sz w:val="38"/>
        </w:rPr>
        <w:t>from</w:t>
      </w:r>
      <w:r>
        <w:rPr>
          <w:spacing w:val="-20"/>
          <w:sz w:val="38"/>
        </w:rPr>
        <w:t> </w:t>
      </w:r>
      <w:r>
        <w:rPr>
          <w:sz w:val="38"/>
        </w:rPr>
        <w:t>4.4</w:t>
      </w:r>
      <w:r>
        <w:rPr>
          <w:spacing w:val="-19"/>
          <w:sz w:val="38"/>
        </w:rPr>
        <w:t> </w:t>
      </w:r>
      <w:r>
        <w:rPr>
          <w:sz w:val="38"/>
        </w:rPr>
        <w:t>to</w:t>
      </w:r>
      <w:r>
        <w:rPr>
          <w:spacing w:val="-21"/>
          <w:sz w:val="38"/>
        </w:rPr>
        <w:t> </w:t>
      </w:r>
      <w:r>
        <w:rPr>
          <w:sz w:val="38"/>
        </w:rPr>
        <w:t>pH</w:t>
      </w:r>
      <w:r>
        <w:rPr>
          <w:spacing w:val="-19"/>
          <w:sz w:val="38"/>
        </w:rPr>
        <w:t> </w:t>
      </w:r>
      <w:r>
        <w:rPr>
          <w:sz w:val="38"/>
        </w:rPr>
        <w:t>6.9</w:t>
      </w:r>
      <w:r>
        <w:rPr>
          <w:spacing w:val="-19"/>
          <w:sz w:val="38"/>
        </w:rPr>
        <w:t> </w:t>
      </w:r>
      <w:r>
        <w:rPr>
          <w:sz w:val="38"/>
        </w:rPr>
        <w:t>without</w:t>
      </w:r>
      <w:r>
        <w:rPr>
          <w:spacing w:val="-23"/>
          <w:sz w:val="38"/>
        </w:rPr>
        <w:t> </w:t>
      </w:r>
      <w:r>
        <w:rPr>
          <w:sz w:val="38"/>
        </w:rPr>
        <w:t>minerals and alkaline</w:t>
      </w:r>
      <w:r>
        <w:rPr>
          <w:spacing w:val="1"/>
          <w:sz w:val="38"/>
        </w:rPr>
        <w:t> </w:t>
      </w:r>
      <w:r>
        <w:rPr>
          <w:sz w:val="38"/>
        </w:rPr>
        <w:t>baths;</w:t>
      </w:r>
    </w:p>
    <w:p>
      <w:pPr>
        <w:pStyle w:val="ListParagraph"/>
        <w:numPr>
          <w:ilvl w:val="1"/>
          <w:numId w:val="131"/>
        </w:numPr>
        <w:tabs>
          <w:tab w:pos="1329" w:val="left" w:leader="none"/>
          <w:tab w:pos="1330" w:val="left" w:leader="none"/>
        </w:tabs>
        <w:spacing w:line="240" w:lineRule="auto" w:before="68" w:after="0"/>
        <w:ind w:left="1329" w:right="0" w:hanging="355"/>
        <w:jc w:val="left"/>
        <w:rPr>
          <w:sz w:val="38"/>
        </w:rPr>
      </w:pPr>
      <w:r>
        <w:rPr>
          <w:sz w:val="38"/>
        </w:rPr>
        <w:t>three hours after sport without minerals but with alkaline</w:t>
      </w:r>
      <w:r>
        <w:rPr>
          <w:spacing w:val="-14"/>
          <w:sz w:val="38"/>
        </w:rPr>
        <w:t> </w:t>
      </w:r>
      <w:r>
        <w:rPr>
          <w:sz w:val="38"/>
        </w:rPr>
        <w:t>baths;</w:t>
      </w:r>
    </w:p>
    <w:p>
      <w:pPr>
        <w:pStyle w:val="ListParagraph"/>
        <w:numPr>
          <w:ilvl w:val="1"/>
          <w:numId w:val="131"/>
        </w:numPr>
        <w:tabs>
          <w:tab w:pos="1329" w:val="left" w:leader="none"/>
          <w:tab w:pos="1330" w:val="left" w:leader="none"/>
        </w:tabs>
        <w:spacing w:line="273" w:lineRule="auto" w:before="123" w:after="0"/>
        <w:ind w:left="1329" w:right="141" w:hanging="355"/>
        <w:jc w:val="left"/>
        <w:rPr>
          <w:sz w:val="38"/>
        </w:rPr>
      </w:pPr>
      <w:r>
        <w:rPr>
          <w:sz w:val="38"/>
        </w:rPr>
        <w:t>two hours until the pH value increases from 5.5 to 6.9 with minerals be- fore exercise but no alkaline baths after exercising;</w:t>
      </w:r>
    </w:p>
    <w:p>
      <w:pPr>
        <w:pStyle w:val="ListParagraph"/>
        <w:numPr>
          <w:ilvl w:val="1"/>
          <w:numId w:val="131"/>
        </w:numPr>
        <w:tabs>
          <w:tab w:pos="1329" w:val="left" w:leader="none"/>
          <w:tab w:pos="1330" w:val="left" w:leader="none"/>
        </w:tabs>
        <w:spacing w:line="240" w:lineRule="auto" w:before="67" w:after="0"/>
        <w:ind w:left="1329" w:right="0" w:hanging="355"/>
        <w:jc w:val="left"/>
        <w:rPr>
          <w:sz w:val="38"/>
        </w:rPr>
      </w:pPr>
      <w:r>
        <w:rPr>
          <w:sz w:val="38"/>
        </w:rPr>
        <w:t>just one hour for the body to recover from a pH value of 5.5 to 6.9</w:t>
      </w:r>
      <w:r>
        <w:rPr>
          <w:spacing w:val="67"/>
          <w:sz w:val="38"/>
        </w:rPr>
        <w:t> </w:t>
      </w:r>
      <w:r>
        <w:rPr>
          <w:sz w:val="38"/>
        </w:rPr>
        <w:t>with</w:t>
      </w:r>
    </w:p>
    <w:p>
      <w:pPr>
        <w:pStyle w:val="BodyText"/>
        <w:rPr>
          <w:sz w:val="20"/>
        </w:rPr>
      </w:pPr>
    </w:p>
    <w:p>
      <w:pPr>
        <w:pStyle w:val="BodyText"/>
        <w:rPr>
          <w:sz w:val="20"/>
        </w:rPr>
      </w:pPr>
    </w:p>
    <w:p>
      <w:pPr>
        <w:pStyle w:val="BodyText"/>
        <w:spacing w:before="3"/>
        <w:rPr>
          <w:sz w:val="12"/>
        </w:rPr>
      </w:pPr>
      <w:r>
        <w:rPr/>
        <w:pict>
          <v:line style="position:absolute;mso-position-horizontal-relative:page;mso-position-vertical-relative:paragraph;z-index:16400;mso-wrap-distance-left:0;mso-wrap-distance-right:0" from="70.823997pt,9.251206pt" to="214.843997pt,9.251206pt" stroked="true" strokeweight=".71997pt" strokecolor="#000000">
            <v:stroke dashstyle="solid"/>
            <w10:wrap type="topAndBottom"/>
          </v:line>
        </w:pict>
      </w:r>
    </w:p>
    <w:p>
      <w:pPr>
        <w:pStyle w:val="BodyText"/>
        <w:spacing w:before="7"/>
        <w:rPr>
          <w:sz w:val="18"/>
        </w:rPr>
      </w:pPr>
    </w:p>
    <w:p>
      <w:pPr>
        <w:spacing w:before="100"/>
        <w:ind w:left="616" w:right="0" w:firstLine="0"/>
        <w:jc w:val="left"/>
        <w:rPr>
          <w:sz w:val="20"/>
        </w:rPr>
      </w:pPr>
      <w:r>
        <w:rPr>
          <w:position w:val="5"/>
          <w:sz w:val="13"/>
        </w:rPr>
        <w:t>1045 </w:t>
      </w:r>
      <w:r>
        <w:rPr>
          <w:sz w:val="20"/>
        </w:rPr>
        <w:t>Dr. h. c. Peter Jentschura and Josef Lohkämper: Gesundheit durch Entschlackung, May 2010, p. 141</w:t>
      </w:r>
    </w:p>
    <w:p>
      <w:pPr>
        <w:spacing w:after="0"/>
        <w:jc w:val="left"/>
        <w:rPr>
          <w:sz w:val="20"/>
        </w:rPr>
        <w:sectPr>
          <w:pgSz w:w="14270" w:h="16850"/>
          <w:pgMar w:header="0" w:footer="1891" w:top="1320" w:bottom="2080" w:left="800" w:right="1280"/>
        </w:sectPr>
      </w:pPr>
    </w:p>
    <w:p>
      <w:pPr>
        <w:pStyle w:val="BodyText"/>
        <w:spacing w:line="276" w:lineRule="auto" w:before="72"/>
        <w:ind w:left="1329" w:right="123"/>
      </w:pPr>
      <w:r>
        <w:rPr/>
        <w:t>mineral consumption and alkaline baths: the fastest recovery time for the body.</w:t>
      </w:r>
    </w:p>
    <w:p>
      <w:pPr>
        <w:pStyle w:val="BodyText"/>
        <w:spacing w:line="276" w:lineRule="auto" w:before="241"/>
        <w:ind w:left="616" w:right="137"/>
        <w:jc w:val="both"/>
      </w:pPr>
      <w:r>
        <w:rPr/>
        <w:t>The</w:t>
      </w:r>
      <w:r>
        <w:rPr>
          <w:spacing w:val="-20"/>
        </w:rPr>
        <w:t> </w:t>
      </w:r>
      <w:r>
        <w:rPr/>
        <w:t>acidification</w:t>
      </w:r>
      <w:r>
        <w:rPr>
          <w:spacing w:val="-19"/>
        </w:rPr>
        <w:t> </w:t>
      </w:r>
      <w:r>
        <w:rPr/>
        <w:t>measures</w:t>
      </w:r>
      <w:r>
        <w:rPr>
          <w:spacing w:val="-19"/>
        </w:rPr>
        <w:t> </w:t>
      </w:r>
      <w:r>
        <w:rPr/>
        <w:t>to</w:t>
      </w:r>
      <w:r>
        <w:rPr>
          <w:spacing w:val="-20"/>
        </w:rPr>
        <w:t> </w:t>
      </w:r>
      <w:r>
        <w:rPr/>
        <w:t>accelerate</w:t>
      </w:r>
      <w:r>
        <w:rPr>
          <w:spacing w:val="-19"/>
        </w:rPr>
        <w:t> </w:t>
      </w:r>
      <w:r>
        <w:rPr/>
        <w:t>regeneration</w:t>
      </w:r>
      <w:r>
        <w:rPr>
          <w:spacing w:val="-20"/>
        </w:rPr>
        <w:t> </w:t>
      </w:r>
      <w:r>
        <w:rPr/>
        <w:t>and</w:t>
      </w:r>
      <w:r>
        <w:rPr>
          <w:spacing w:val="-20"/>
        </w:rPr>
        <w:t> </w:t>
      </w:r>
      <w:r>
        <w:rPr/>
        <w:t>prevent</w:t>
      </w:r>
      <w:r>
        <w:rPr>
          <w:spacing w:val="-24"/>
        </w:rPr>
        <w:t> </w:t>
      </w:r>
      <w:r>
        <w:rPr/>
        <w:t>sore</w:t>
      </w:r>
      <w:r>
        <w:rPr>
          <w:spacing w:val="-20"/>
        </w:rPr>
        <w:t> </w:t>
      </w:r>
      <w:r>
        <w:rPr/>
        <w:t>muscles are highly efficient. They are considered insider tips but are already used suc- cessfully by national teams and even European champions. Furthermore, the dangerous sportosis described above is successfully</w:t>
      </w:r>
      <w:r>
        <w:rPr>
          <w:spacing w:val="-5"/>
        </w:rPr>
        <w:t> </w:t>
      </w:r>
      <w:r>
        <w:rPr/>
        <w:t>prevented.</w:t>
      </w:r>
    </w:p>
    <w:p>
      <w:pPr>
        <w:pStyle w:val="BodyText"/>
        <w:spacing w:before="242"/>
        <w:ind w:left="616"/>
      </w:pPr>
      <w:r>
        <w:rPr/>
        <w:t>Actual treatment</w:t>
      </w:r>
    </w:p>
    <w:p>
      <w:pPr>
        <w:pStyle w:val="Heading1"/>
        <w:spacing w:before="285"/>
        <w:ind w:left="616"/>
      </w:pPr>
      <w:r>
        <w:rPr/>
        <w:t>Deacidification – toxification – remineralisation</w:t>
      </w:r>
    </w:p>
    <w:p>
      <w:pPr>
        <w:pStyle w:val="BodyText"/>
        <w:spacing w:line="276" w:lineRule="auto" w:before="299"/>
        <w:ind w:left="616" w:right="131"/>
        <w:jc w:val="both"/>
      </w:pPr>
      <w:r>
        <w:rPr/>
        <w:t>As complex and often impossible for symptom-curative (instead of cause-cu- rative)</w:t>
      </w:r>
      <w:r>
        <w:rPr>
          <w:spacing w:val="-9"/>
        </w:rPr>
        <w:t> </w:t>
      </w:r>
      <w:r>
        <w:rPr/>
        <w:t>conventional</w:t>
      </w:r>
      <w:r>
        <w:rPr>
          <w:spacing w:val="-9"/>
        </w:rPr>
        <w:t> </w:t>
      </w:r>
      <w:r>
        <w:rPr/>
        <w:t>medicine</w:t>
      </w:r>
      <w:r>
        <w:rPr>
          <w:spacing w:val="-7"/>
        </w:rPr>
        <w:t> </w:t>
      </w:r>
      <w:r>
        <w:rPr/>
        <w:t>to</w:t>
      </w:r>
      <w:r>
        <w:rPr>
          <w:spacing w:val="-9"/>
        </w:rPr>
        <w:t> </w:t>
      </w:r>
      <w:r>
        <w:rPr/>
        <w:t>solve</w:t>
      </w:r>
      <w:r>
        <w:rPr>
          <w:spacing w:val="-9"/>
        </w:rPr>
        <w:t> </w:t>
      </w:r>
      <w:r>
        <w:rPr/>
        <w:t>as</w:t>
      </w:r>
      <w:r>
        <w:rPr>
          <w:spacing w:val="-10"/>
        </w:rPr>
        <w:t> </w:t>
      </w:r>
      <w:r>
        <w:rPr/>
        <w:t>the</w:t>
      </w:r>
      <w:r>
        <w:rPr>
          <w:spacing w:val="-6"/>
        </w:rPr>
        <w:t> </w:t>
      </w:r>
      <w:r>
        <w:rPr/>
        <w:t>subsequent</w:t>
      </w:r>
      <w:r>
        <w:rPr>
          <w:spacing w:val="-8"/>
        </w:rPr>
        <w:t> </w:t>
      </w:r>
      <w:r>
        <w:rPr/>
        <w:t>diseases</w:t>
      </w:r>
      <w:r>
        <w:rPr>
          <w:spacing w:val="-7"/>
        </w:rPr>
        <w:t> </w:t>
      </w:r>
      <w:r>
        <w:rPr/>
        <w:t>from</w:t>
      </w:r>
      <w:r>
        <w:rPr>
          <w:spacing w:val="-2"/>
        </w:rPr>
        <w:t> </w:t>
      </w:r>
      <w:r>
        <w:rPr/>
        <w:t>acidifi- cation, toxification and demineralisation seem, their treatment is often simple if we devote ourselves to the actual cause of the respective syndrome (see</w:t>
      </w:r>
      <w:r>
        <w:rPr>
          <w:spacing w:val="-58"/>
        </w:rPr>
        <w:t> </w:t>
      </w:r>
      <w:r>
        <w:rPr/>
        <w:t>sec- tion: ‘Diseases caused by acidification’).</w:t>
      </w:r>
    </w:p>
    <w:p>
      <w:pPr>
        <w:pStyle w:val="BodyText"/>
        <w:spacing w:line="276" w:lineRule="auto" w:before="242"/>
        <w:ind w:left="616" w:right="138"/>
        <w:jc w:val="both"/>
      </w:pPr>
      <w:r>
        <w:rPr/>
        <w:t>Consistent</w:t>
      </w:r>
      <w:r>
        <w:rPr>
          <w:spacing w:val="-15"/>
        </w:rPr>
        <w:t> </w:t>
      </w:r>
      <w:r>
        <w:rPr/>
        <w:t>deacidification,</w:t>
      </w:r>
      <w:r>
        <w:rPr>
          <w:spacing w:val="-15"/>
        </w:rPr>
        <w:t> </w:t>
      </w:r>
      <w:r>
        <w:rPr/>
        <w:t>detoxification</w:t>
      </w:r>
      <w:r>
        <w:rPr>
          <w:spacing w:val="-14"/>
        </w:rPr>
        <w:t> </w:t>
      </w:r>
      <w:r>
        <w:rPr/>
        <w:t>and</w:t>
      </w:r>
      <w:r>
        <w:rPr>
          <w:spacing w:val="-15"/>
        </w:rPr>
        <w:t> </w:t>
      </w:r>
      <w:r>
        <w:rPr/>
        <w:t>remineralisation</w:t>
      </w:r>
      <w:r>
        <w:rPr>
          <w:spacing w:val="-14"/>
        </w:rPr>
        <w:t> </w:t>
      </w:r>
      <w:r>
        <w:rPr/>
        <w:t>of</w:t>
      </w:r>
      <w:r>
        <w:rPr>
          <w:spacing w:val="-15"/>
        </w:rPr>
        <w:t> </w:t>
      </w:r>
      <w:r>
        <w:rPr/>
        <w:t>the</w:t>
      </w:r>
      <w:r>
        <w:rPr>
          <w:spacing w:val="-14"/>
        </w:rPr>
        <w:t> </w:t>
      </w:r>
      <w:r>
        <w:rPr/>
        <w:t>organism can heal many of the diseases mentioned above or at least frequently provide relief.</w:t>
      </w:r>
    </w:p>
    <w:p>
      <w:pPr>
        <w:pStyle w:val="BodyText"/>
        <w:spacing w:line="278" w:lineRule="auto" w:before="239"/>
        <w:ind w:left="616" w:right="134"/>
        <w:jc w:val="both"/>
      </w:pPr>
      <w:r>
        <w:rPr/>
        <w:t>As simple as this procedure may sound (and it really is not difficult), one</w:t>
      </w:r>
      <w:r>
        <w:rPr>
          <w:spacing w:val="-65"/>
        </w:rPr>
        <w:t> </w:t>
      </w:r>
      <w:r>
        <w:rPr/>
        <w:t>must also avoid lurking stumbling blocks!</w:t>
      </w:r>
    </w:p>
    <w:p>
      <w:pPr>
        <w:spacing w:after="0" w:line="278" w:lineRule="auto"/>
        <w:jc w:val="both"/>
        <w:sectPr>
          <w:footerReference w:type="default" r:id="rId505"/>
          <w:pgSz w:w="14270" w:h="16850"/>
          <w:pgMar w:footer="1891" w:header="0" w:top="1340" w:bottom="2080" w:left="800" w:right="1280"/>
          <w:pgNumType w:start="1860"/>
        </w:sectPr>
      </w:pPr>
    </w:p>
    <w:p>
      <w:pPr>
        <w:pStyle w:val="Heading1"/>
        <w:spacing w:before="77"/>
        <w:ind w:left="616"/>
      </w:pPr>
      <w:r>
        <w:rPr/>
        <w:t>Organs and regions which expel acids and sludge:</w:t>
      </w:r>
    </w:p>
    <w:p>
      <w:pPr>
        <w:pStyle w:val="BodyText"/>
        <w:spacing w:line="276" w:lineRule="auto" w:before="297"/>
        <w:ind w:left="616" w:right="133"/>
        <w:jc w:val="both"/>
      </w:pPr>
      <w:r>
        <w:rPr/>
        <w:t>Our</w:t>
      </w:r>
      <w:r>
        <w:rPr>
          <w:spacing w:val="-9"/>
        </w:rPr>
        <w:t> </w:t>
      </w:r>
      <w:r>
        <w:rPr/>
        <w:t>acid</w:t>
      </w:r>
      <w:r>
        <w:rPr>
          <w:spacing w:val="-10"/>
        </w:rPr>
        <w:t> </w:t>
      </w:r>
      <w:r>
        <w:rPr/>
        <w:t>and</w:t>
      </w:r>
      <w:r>
        <w:rPr>
          <w:spacing w:val="-8"/>
        </w:rPr>
        <w:t> </w:t>
      </w:r>
      <w:r>
        <w:rPr/>
        <w:t>sludge</w:t>
      </w:r>
      <w:r>
        <w:rPr>
          <w:spacing w:val="-9"/>
        </w:rPr>
        <w:t> </w:t>
      </w:r>
      <w:r>
        <w:rPr/>
        <w:t>as</w:t>
      </w:r>
      <w:r>
        <w:rPr>
          <w:spacing w:val="-9"/>
        </w:rPr>
        <w:t> </w:t>
      </w:r>
      <w:r>
        <w:rPr/>
        <w:t>well</w:t>
      </w:r>
      <w:r>
        <w:rPr>
          <w:spacing w:val="-11"/>
        </w:rPr>
        <w:t> </w:t>
      </w:r>
      <w:r>
        <w:rPr/>
        <w:t>as</w:t>
      </w:r>
      <w:r>
        <w:rPr>
          <w:spacing w:val="-9"/>
        </w:rPr>
        <w:t> </w:t>
      </w:r>
      <w:r>
        <w:rPr/>
        <w:t>metabolic</w:t>
      </w:r>
      <w:r>
        <w:rPr>
          <w:spacing w:val="-10"/>
        </w:rPr>
        <w:t> </w:t>
      </w:r>
      <w:r>
        <w:rPr/>
        <w:t>process</w:t>
      </w:r>
      <w:r>
        <w:rPr>
          <w:spacing w:val="-11"/>
        </w:rPr>
        <w:t> </w:t>
      </w:r>
      <w:r>
        <w:rPr/>
        <w:t>are</w:t>
      </w:r>
      <w:r>
        <w:rPr>
          <w:spacing w:val="-8"/>
        </w:rPr>
        <w:t> </w:t>
      </w:r>
      <w:r>
        <w:rPr/>
        <w:t>expelled</w:t>
      </w:r>
      <w:r>
        <w:rPr>
          <w:spacing w:val="-9"/>
        </w:rPr>
        <w:t> </w:t>
      </w:r>
      <w:r>
        <w:rPr/>
        <w:t>from</w:t>
      </w:r>
      <w:r>
        <w:rPr>
          <w:spacing w:val="-9"/>
        </w:rPr>
        <w:t> </w:t>
      </w:r>
      <w:r>
        <w:rPr/>
        <w:t>the</w:t>
      </w:r>
      <w:r>
        <w:rPr>
          <w:spacing w:val="-7"/>
        </w:rPr>
        <w:t> </w:t>
      </w:r>
      <w:r>
        <w:rPr/>
        <w:t>follow- ing</w:t>
      </w:r>
      <w:r>
        <w:rPr>
          <w:spacing w:val="-9"/>
        </w:rPr>
        <w:t> </w:t>
      </w:r>
      <w:r>
        <w:rPr/>
        <w:t>list</w:t>
      </w:r>
      <w:r>
        <w:rPr>
          <w:spacing w:val="-10"/>
        </w:rPr>
        <w:t> </w:t>
      </w:r>
      <w:r>
        <w:rPr/>
        <w:t>of</w:t>
      </w:r>
      <w:r>
        <w:rPr>
          <w:spacing w:val="-10"/>
        </w:rPr>
        <w:t> </w:t>
      </w:r>
      <w:r>
        <w:rPr/>
        <w:t>body</w:t>
      </w:r>
      <w:r>
        <w:rPr>
          <w:spacing w:val="-9"/>
        </w:rPr>
        <w:t> </w:t>
      </w:r>
      <w:r>
        <w:rPr/>
        <w:t>regions,</w:t>
      </w:r>
      <w:r>
        <w:rPr>
          <w:spacing w:val="-10"/>
        </w:rPr>
        <w:t> </w:t>
      </w:r>
      <w:r>
        <w:rPr/>
        <w:t>as</w:t>
      </w:r>
      <w:r>
        <w:rPr>
          <w:spacing w:val="-12"/>
        </w:rPr>
        <w:t> </w:t>
      </w:r>
      <w:r>
        <w:rPr/>
        <w:t>observed</w:t>
      </w:r>
      <w:r>
        <w:rPr>
          <w:spacing w:val="-10"/>
        </w:rPr>
        <w:t> </w:t>
      </w:r>
      <w:r>
        <w:rPr/>
        <w:t>from</w:t>
      </w:r>
      <w:r>
        <w:rPr>
          <w:spacing w:val="-11"/>
        </w:rPr>
        <w:t> </w:t>
      </w:r>
      <w:r>
        <w:rPr/>
        <w:t>top</w:t>
      </w:r>
      <w:r>
        <w:rPr>
          <w:spacing w:val="-10"/>
        </w:rPr>
        <w:t> </w:t>
      </w:r>
      <w:r>
        <w:rPr/>
        <w:t>to</w:t>
      </w:r>
      <w:r>
        <w:rPr>
          <w:spacing w:val="-10"/>
        </w:rPr>
        <w:t> </w:t>
      </w:r>
      <w:r>
        <w:rPr/>
        <w:t>bottom.</w:t>
      </w:r>
      <w:r>
        <w:rPr>
          <w:spacing w:val="-8"/>
        </w:rPr>
        <w:t> </w:t>
      </w:r>
      <w:r>
        <w:rPr/>
        <w:t>The</w:t>
      </w:r>
      <w:r>
        <w:rPr>
          <w:spacing w:val="-10"/>
        </w:rPr>
        <w:t> </w:t>
      </w:r>
      <w:r>
        <w:rPr/>
        <w:t>following</w:t>
      </w:r>
      <w:r>
        <w:rPr>
          <w:spacing w:val="-9"/>
        </w:rPr>
        <w:t> </w:t>
      </w:r>
      <w:r>
        <w:rPr/>
        <w:t>excre- tion regions are to be supported during their expulsion work within deacidifi- cation and detoxification</w:t>
      </w:r>
      <w:r>
        <w:rPr>
          <w:spacing w:val="2"/>
        </w:rPr>
        <w:t> </w:t>
      </w:r>
      <w:r>
        <w:rPr/>
        <w:t>treatments:</w:t>
      </w:r>
    </w:p>
    <w:p>
      <w:pPr>
        <w:pStyle w:val="ListParagraph"/>
        <w:numPr>
          <w:ilvl w:val="0"/>
          <w:numId w:val="131"/>
        </w:numPr>
        <w:tabs>
          <w:tab w:pos="1337" w:val="left" w:leader="none"/>
        </w:tabs>
        <w:spacing w:line="240" w:lineRule="auto" w:before="123" w:after="0"/>
        <w:ind w:left="1324" w:right="0" w:hanging="708"/>
        <w:jc w:val="both"/>
        <w:rPr>
          <w:sz w:val="38"/>
        </w:rPr>
      </w:pPr>
      <w:r>
        <w:rPr>
          <w:sz w:val="38"/>
        </w:rPr>
        <w:t>Scalp, hair</w:t>
      </w:r>
    </w:p>
    <w:p>
      <w:pPr>
        <w:pStyle w:val="ListParagraph"/>
        <w:numPr>
          <w:ilvl w:val="0"/>
          <w:numId w:val="131"/>
        </w:numPr>
        <w:tabs>
          <w:tab w:pos="1337" w:val="left" w:leader="none"/>
        </w:tabs>
        <w:spacing w:line="240" w:lineRule="auto" w:before="184" w:after="0"/>
        <w:ind w:left="1324" w:right="0" w:hanging="708"/>
        <w:jc w:val="both"/>
        <w:rPr>
          <w:sz w:val="38"/>
        </w:rPr>
      </w:pPr>
      <w:r>
        <w:rPr>
          <w:sz w:val="38"/>
        </w:rPr>
        <w:t>All</w:t>
      </w:r>
      <w:r>
        <w:rPr>
          <w:spacing w:val="-2"/>
          <w:sz w:val="38"/>
        </w:rPr>
        <w:t> </w:t>
      </w:r>
      <w:r>
        <w:rPr>
          <w:sz w:val="38"/>
        </w:rPr>
        <w:t>skin</w:t>
      </w:r>
    </w:p>
    <w:p>
      <w:pPr>
        <w:pStyle w:val="ListParagraph"/>
        <w:numPr>
          <w:ilvl w:val="0"/>
          <w:numId w:val="131"/>
        </w:numPr>
        <w:tabs>
          <w:tab w:pos="1337" w:val="left" w:leader="none"/>
        </w:tabs>
        <w:spacing w:line="240" w:lineRule="auto" w:before="184" w:after="0"/>
        <w:ind w:left="1324" w:right="0" w:hanging="708"/>
        <w:jc w:val="both"/>
        <w:rPr>
          <w:sz w:val="38"/>
        </w:rPr>
      </w:pPr>
      <w:r>
        <w:rPr>
          <w:sz w:val="38"/>
        </w:rPr>
        <w:t>Forehead</w:t>
      </w:r>
    </w:p>
    <w:p>
      <w:pPr>
        <w:pStyle w:val="ListParagraph"/>
        <w:numPr>
          <w:ilvl w:val="0"/>
          <w:numId w:val="131"/>
        </w:numPr>
        <w:tabs>
          <w:tab w:pos="1337" w:val="left" w:leader="none"/>
        </w:tabs>
        <w:spacing w:line="240" w:lineRule="auto" w:before="183" w:after="0"/>
        <w:ind w:left="1324" w:right="0" w:hanging="708"/>
        <w:jc w:val="both"/>
        <w:rPr>
          <w:sz w:val="38"/>
        </w:rPr>
      </w:pPr>
      <w:r>
        <w:rPr>
          <w:sz w:val="38"/>
        </w:rPr>
        <w:t>Eyes (tears)</w:t>
      </w:r>
    </w:p>
    <w:p>
      <w:pPr>
        <w:pStyle w:val="ListParagraph"/>
        <w:numPr>
          <w:ilvl w:val="0"/>
          <w:numId w:val="131"/>
        </w:numPr>
        <w:tabs>
          <w:tab w:pos="1337" w:val="left" w:leader="none"/>
        </w:tabs>
        <w:spacing w:line="240" w:lineRule="auto" w:before="184" w:after="0"/>
        <w:ind w:left="1324" w:right="0" w:hanging="708"/>
        <w:jc w:val="both"/>
        <w:rPr>
          <w:sz w:val="38"/>
        </w:rPr>
      </w:pPr>
      <w:r>
        <w:rPr>
          <w:sz w:val="38"/>
        </w:rPr>
        <w:t>All</w:t>
      </w:r>
      <w:r>
        <w:rPr>
          <w:spacing w:val="-2"/>
          <w:sz w:val="38"/>
        </w:rPr>
        <w:t> </w:t>
      </w:r>
      <w:r>
        <w:rPr>
          <w:sz w:val="38"/>
        </w:rPr>
        <w:t>mucosa</w:t>
      </w:r>
    </w:p>
    <w:p>
      <w:pPr>
        <w:pStyle w:val="ListParagraph"/>
        <w:numPr>
          <w:ilvl w:val="0"/>
          <w:numId w:val="131"/>
        </w:numPr>
        <w:tabs>
          <w:tab w:pos="1337" w:val="left" w:leader="none"/>
        </w:tabs>
        <w:spacing w:line="240" w:lineRule="auto" w:before="186" w:after="0"/>
        <w:ind w:left="1324" w:right="0" w:hanging="708"/>
        <w:jc w:val="both"/>
        <w:rPr>
          <w:sz w:val="38"/>
        </w:rPr>
      </w:pPr>
      <w:r>
        <w:rPr>
          <w:sz w:val="38"/>
        </w:rPr>
        <w:t>Inner and outer nose</w:t>
      </w:r>
    </w:p>
    <w:p>
      <w:pPr>
        <w:pStyle w:val="ListParagraph"/>
        <w:numPr>
          <w:ilvl w:val="0"/>
          <w:numId w:val="131"/>
        </w:numPr>
        <w:tabs>
          <w:tab w:pos="1337" w:val="left" w:leader="none"/>
        </w:tabs>
        <w:spacing w:line="240" w:lineRule="auto" w:before="184" w:after="0"/>
        <w:ind w:left="1324" w:right="0" w:hanging="708"/>
        <w:jc w:val="both"/>
        <w:rPr>
          <w:sz w:val="38"/>
        </w:rPr>
      </w:pPr>
      <w:r>
        <w:rPr>
          <w:sz w:val="38"/>
        </w:rPr>
        <w:t>Mouth and throat area</w:t>
      </w:r>
    </w:p>
    <w:p>
      <w:pPr>
        <w:pStyle w:val="ListParagraph"/>
        <w:numPr>
          <w:ilvl w:val="0"/>
          <w:numId w:val="131"/>
        </w:numPr>
        <w:tabs>
          <w:tab w:pos="1337" w:val="left" w:leader="none"/>
        </w:tabs>
        <w:spacing w:line="240" w:lineRule="auto" w:before="184" w:after="0"/>
        <w:ind w:left="1324" w:right="0" w:hanging="708"/>
        <w:jc w:val="both"/>
        <w:rPr>
          <w:sz w:val="38"/>
        </w:rPr>
      </w:pPr>
      <w:r>
        <w:rPr>
          <w:sz w:val="38"/>
        </w:rPr>
        <w:t>Armpits</w:t>
      </w:r>
    </w:p>
    <w:p>
      <w:pPr>
        <w:pStyle w:val="ListParagraph"/>
        <w:numPr>
          <w:ilvl w:val="0"/>
          <w:numId w:val="131"/>
        </w:numPr>
        <w:tabs>
          <w:tab w:pos="1337" w:val="left" w:leader="none"/>
        </w:tabs>
        <w:spacing w:line="240" w:lineRule="auto" w:before="183" w:after="0"/>
        <w:ind w:left="1324" w:right="0" w:hanging="708"/>
        <w:jc w:val="both"/>
        <w:rPr>
          <w:sz w:val="38"/>
        </w:rPr>
      </w:pPr>
      <w:r>
        <w:rPr>
          <w:sz w:val="38"/>
        </w:rPr>
        <w:t>Fingernails</w:t>
      </w:r>
    </w:p>
    <w:p>
      <w:pPr>
        <w:pStyle w:val="ListParagraph"/>
        <w:numPr>
          <w:ilvl w:val="0"/>
          <w:numId w:val="131"/>
        </w:numPr>
        <w:tabs>
          <w:tab w:pos="1337" w:val="left" w:leader="none"/>
        </w:tabs>
        <w:spacing w:line="240" w:lineRule="auto" w:before="186" w:after="0"/>
        <w:ind w:left="1324" w:right="0" w:hanging="708"/>
        <w:jc w:val="both"/>
        <w:rPr>
          <w:sz w:val="38"/>
        </w:rPr>
      </w:pPr>
      <w:r>
        <w:rPr>
          <w:sz w:val="38"/>
        </w:rPr>
        <w:t>Hands</w:t>
      </w:r>
    </w:p>
    <w:p>
      <w:pPr>
        <w:pStyle w:val="ListParagraph"/>
        <w:numPr>
          <w:ilvl w:val="0"/>
          <w:numId w:val="131"/>
        </w:numPr>
        <w:tabs>
          <w:tab w:pos="1337" w:val="left" w:leader="none"/>
        </w:tabs>
        <w:spacing w:line="240" w:lineRule="auto" w:before="184" w:after="0"/>
        <w:ind w:left="1324" w:right="0" w:hanging="708"/>
        <w:jc w:val="both"/>
        <w:rPr>
          <w:sz w:val="38"/>
        </w:rPr>
      </w:pPr>
      <w:r>
        <w:rPr>
          <w:sz w:val="38"/>
        </w:rPr>
        <w:t>Urogenital</w:t>
      </w:r>
      <w:r>
        <w:rPr>
          <w:spacing w:val="-2"/>
          <w:sz w:val="38"/>
        </w:rPr>
        <w:t> </w:t>
      </w:r>
      <w:r>
        <w:rPr>
          <w:sz w:val="38"/>
        </w:rPr>
        <w:t>tract</w:t>
      </w:r>
    </w:p>
    <w:p>
      <w:pPr>
        <w:pStyle w:val="ListParagraph"/>
        <w:numPr>
          <w:ilvl w:val="0"/>
          <w:numId w:val="131"/>
        </w:numPr>
        <w:tabs>
          <w:tab w:pos="1337" w:val="left" w:leader="none"/>
        </w:tabs>
        <w:spacing w:line="240" w:lineRule="auto" w:before="184" w:after="0"/>
        <w:ind w:left="1324" w:right="0" w:hanging="708"/>
        <w:jc w:val="both"/>
        <w:rPr>
          <w:sz w:val="38"/>
        </w:rPr>
      </w:pPr>
      <w:r>
        <w:rPr>
          <w:sz w:val="38"/>
        </w:rPr>
        <w:t>Anus</w:t>
      </w:r>
    </w:p>
    <w:p>
      <w:pPr>
        <w:pStyle w:val="ListParagraph"/>
        <w:numPr>
          <w:ilvl w:val="0"/>
          <w:numId w:val="131"/>
        </w:numPr>
        <w:tabs>
          <w:tab w:pos="1337" w:val="left" w:leader="none"/>
        </w:tabs>
        <w:spacing w:line="240" w:lineRule="auto" w:before="184" w:after="0"/>
        <w:ind w:left="1324" w:right="0" w:hanging="708"/>
        <w:jc w:val="both"/>
        <w:rPr>
          <w:sz w:val="38"/>
        </w:rPr>
      </w:pPr>
      <w:r>
        <w:rPr>
          <w:sz w:val="38"/>
        </w:rPr>
        <w:t>Lower thigh</w:t>
      </w:r>
    </w:p>
    <w:p>
      <w:pPr>
        <w:pStyle w:val="ListParagraph"/>
        <w:numPr>
          <w:ilvl w:val="0"/>
          <w:numId w:val="131"/>
        </w:numPr>
        <w:tabs>
          <w:tab w:pos="1337" w:val="left" w:leader="none"/>
        </w:tabs>
        <w:spacing w:line="240" w:lineRule="auto" w:before="183" w:after="0"/>
        <w:ind w:left="1324" w:right="0" w:hanging="708"/>
        <w:jc w:val="both"/>
        <w:rPr>
          <w:sz w:val="38"/>
        </w:rPr>
      </w:pPr>
      <w:r>
        <w:rPr>
          <w:sz w:val="38"/>
        </w:rPr>
        <w:t>Feet</w:t>
      </w:r>
    </w:p>
    <w:p>
      <w:pPr>
        <w:spacing w:after="0" w:line="240" w:lineRule="auto"/>
        <w:jc w:val="both"/>
        <w:rPr>
          <w:sz w:val="38"/>
        </w:rPr>
        <w:sectPr>
          <w:pgSz w:w="14270" w:h="16850"/>
          <w:pgMar w:header="0" w:footer="1891" w:top="1320" w:bottom="2080" w:left="800" w:right="1280"/>
        </w:sectPr>
      </w:pPr>
    </w:p>
    <w:p>
      <w:pPr>
        <w:pStyle w:val="ListParagraph"/>
        <w:numPr>
          <w:ilvl w:val="0"/>
          <w:numId w:val="131"/>
        </w:numPr>
        <w:tabs>
          <w:tab w:pos="1336" w:val="left" w:leader="none"/>
          <w:tab w:pos="1337" w:val="left" w:leader="none"/>
        </w:tabs>
        <w:spacing w:line="240" w:lineRule="auto" w:before="53" w:after="0"/>
        <w:ind w:left="1324" w:right="0" w:hanging="708"/>
        <w:jc w:val="left"/>
        <w:rPr>
          <w:sz w:val="38"/>
        </w:rPr>
      </w:pPr>
      <w:r>
        <w:rPr>
          <w:sz w:val="38"/>
        </w:rPr>
        <w:t>Toenails</w:t>
      </w:r>
    </w:p>
    <w:p>
      <w:pPr>
        <w:pStyle w:val="BodyText"/>
        <w:rPr>
          <w:sz w:val="44"/>
        </w:rPr>
      </w:pPr>
    </w:p>
    <w:p>
      <w:pPr>
        <w:pStyle w:val="BodyText"/>
        <w:spacing w:before="7"/>
        <w:rPr>
          <w:sz w:val="46"/>
        </w:rPr>
      </w:pPr>
    </w:p>
    <w:p>
      <w:pPr>
        <w:pStyle w:val="Heading1"/>
        <w:spacing w:before="0"/>
        <w:ind w:left="616"/>
      </w:pPr>
      <w:r>
        <w:rPr/>
        <w:t>Better safe than sorry</w:t>
      </w:r>
    </w:p>
    <w:p>
      <w:pPr>
        <w:pStyle w:val="BodyText"/>
        <w:spacing w:line="276" w:lineRule="auto" w:before="299"/>
        <w:ind w:left="616" w:right="138"/>
        <w:jc w:val="both"/>
      </w:pPr>
      <w:r>
        <w:rPr/>
        <w:t>Depending on the acid and sludge status of the respective person, it may well be important to enter into the process of deacidification and detoxification very slowly. For heavily toxified people (see ‘Symptoms’ above), abrupt loos- ening</w:t>
      </w:r>
      <w:r>
        <w:rPr>
          <w:spacing w:val="-11"/>
        </w:rPr>
        <w:t> </w:t>
      </w:r>
      <w:r>
        <w:rPr/>
        <w:t>of</w:t>
      </w:r>
      <w:r>
        <w:rPr>
          <w:spacing w:val="-11"/>
        </w:rPr>
        <w:t> </w:t>
      </w:r>
      <w:r>
        <w:rPr/>
        <w:t>sludge</w:t>
      </w:r>
      <w:r>
        <w:rPr>
          <w:spacing w:val="-11"/>
        </w:rPr>
        <w:t> </w:t>
      </w:r>
      <w:r>
        <w:rPr/>
        <w:t>can</w:t>
      </w:r>
      <w:r>
        <w:rPr>
          <w:spacing w:val="-11"/>
        </w:rPr>
        <w:t> </w:t>
      </w:r>
      <w:r>
        <w:rPr/>
        <w:t>lead</w:t>
      </w:r>
      <w:r>
        <w:rPr>
          <w:spacing w:val="-13"/>
        </w:rPr>
        <w:t> </w:t>
      </w:r>
      <w:r>
        <w:rPr/>
        <w:t>to</w:t>
      </w:r>
      <w:r>
        <w:rPr>
          <w:spacing w:val="-10"/>
        </w:rPr>
        <w:t> </w:t>
      </w:r>
      <w:r>
        <w:rPr/>
        <w:t>reactivated</w:t>
      </w:r>
      <w:r>
        <w:rPr>
          <w:spacing w:val="-13"/>
        </w:rPr>
        <w:t> </w:t>
      </w:r>
      <w:r>
        <w:rPr/>
        <w:t>acids</w:t>
      </w:r>
      <w:r>
        <w:rPr>
          <w:spacing w:val="-10"/>
        </w:rPr>
        <w:t> </w:t>
      </w:r>
      <w:r>
        <w:rPr/>
        <w:t>overflowing</w:t>
      </w:r>
      <w:r>
        <w:rPr>
          <w:spacing w:val="-11"/>
        </w:rPr>
        <w:t> </w:t>
      </w:r>
      <w:r>
        <w:rPr/>
        <w:t>the</w:t>
      </w:r>
      <w:r>
        <w:rPr>
          <w:spacing w:val="-11"/>
        </w:rPr>
        <w:t> </w:t>
      </w:r>
      <w:r>
        <w:rPr/>
        <w:t>organism,</w:t>
      </w:r>
      <w:r>
        <w:rPr>
          <w:spacing w:val="-10"/>
        </w:rPr>
        <w:t> </w:t>
      </w:r>
      <w:r>
        <w:rPr/>
        <w:t>leading to acid shock and toxicity attacks and even heart</w:t>
      </w:r>
      <w:r>
        <w:rPr>
          <w:spacing w:val="-3"/>
        </w:rPr>
        <w:t> </w:t>
      </w:r>
      <w:r>
        <w:rPr/>
        <w:t>attacks!</w:t>
      </w:r>
    </w:p>
    <w:p>
      <w:pPr>
        <w:pStyle w:val="BodyText"/>
        <w:spacing w:line="276" w:lineRule="auto" w:before="240"/>
        <w:ind w:left="616" w:right="135"/>
        <w:jc w:val="both"/>
      </w:pPr>
      <w:r>
        <w:rPr/>
        <w:t>Therefore,</w:t>
      </w:r>
      <w:r>
        <w:rPr>
          <w:spacing w:val="-16"/>
        </w:rPr>
        <w:t> </w:t>
      </w:r>
      <w:r>
        <w:rPr/>
        <w:t>if</w:t>
      </w:r>
      <w:r>
        <w:rPr>
          <w:spacing w:val="-16"/>
        </w:rPr>
        <w:t> </w:t>
      </w:r>
      <w:r>
        <w:rPr/>
        <w:t>a</w:t>
      </w:r>
      <w:r>
        <w:rPr>
          <w:spacing w:val="-17"/>
        </w:rPr>
        <w:t> </w:t>
      </w:r>
      <w:r>
        <w:rPr/>
        <w:t>person</w:t>
      </w:r>
      <w:r>
        <w:rPr>
          <w:spacing w:val="-15"/>
        </w:rPr>
        <w:t> </w:t>
      </w:r>
      <w:r>
        <w:rPr/>
        <w:t>is,</w:t>
      </w:r>
      <w:r>
        <w:rPr>
          <w:spacing w:val="-18"/>
        </w:rPr>
        <w:t> </w:t>
      </w:r>
      <w:r>
        <w:rPr/>
        <w:t>or</w:t>
      </w:r>
      <w:r>
        <w:rPr>
          <w:spacing w:val="-15"/>
        </w:rPr>
        <w:t> </w:t>
      </w:r>
      <w:r>
        <w:rPr/>
        <w:t>is</w:t>
      </w:r>
      <w:r>
        <w:rPr>
          <w:spacing w:val="-16"/>
        </w:rPr>
        <w:t> </w:t>
      </w:r>
      <w:r>
        <w:rPr/>
        <w:t>suspected</w:t>
      </w:r>
      <w:r>
        <w:rPr>
          <w:spacing w:val="-15"/>
        </w:rPr>
        <w:t> </w:t>
      </w:r>
      <w:r>
        <w:rPr/>
        <w:t>to</w:t>
      </w:r>
      <w:r>
        <w:rPr>
          <w:spacing w:val="-16"/>
        </w:rPr>
        <w:t> </w:t>
      </w:r>
      <w:r>
        <w:rPr/>
        <w:t>be,</w:t>
      </w:r>
      <w:r>
        <w:rPr>
          <w:spacing w:val="-15"/>
        </w:rPr>
        <w:t> </w:t>
      </w:r>
      <w:r>
        <w:rPr/>
        <w:t>heavily</w:t>
      </w:r>
      <w:r>
        <w:rPr>
          <w:spacing w:val="-17"/>
        </w:rPr>
        <w:t> </w:t>
      </w:r>
      <w:r>
        <w:rPr/>
        <w:t>toxified,</w:t>
      </w:r>
      <w:r>
        <w:rPr>
          <w:spacing w:val="-15"/>
        </w:rPr>
        <w:t> </w:t>
      </w:r>
      <w:r>
        <w:rPr/>
        <w:t>they</w:t>
      </w:r>
      <w:r>
        <w:rPr>
          <w:spacing w:val="-16"/>
        </w:rPr>
        <w:t> </w:t>
      </w:r>
      <w:r>
        <w:rPr/>
        <w:t>should</w:t>
      </w:r>
      <w:r>
        <w:rPr>
          <w:spacing w:val="-17"/>
        </w:rPr>
        <w:t> </w:t>
      </w:r>
      <w:r>
        <w:rPr/>
        <w:t>not begin directly with detoxification using the tried and trusted herbal tea intake, rather in the first two weeks they should try to detoxify externally with gentle measures via the body regions mentioned</w:t>
      </w:r>
      <w:r>
        <w:rPr>
          <w:spacing w:val="1"/>
        </w:rPr>
        <w:t> </w:t>
      </w:r>
      <w:r>
        <w:rPr/>
        <w:t>above.</w:t>
      </w:r>
    </w:p>
    <w:p>
      <w:pPr>
        <w:pStyle w:val="BodyText"/>
        <w:spacing w:line="276" w:lineRule="auto" w:before="240"/>
        <w:ind w:left="616" w:right="132"/>
        <w:jc w:val="both"/>
      </w:pPr>
      <w:r>
        <w:rPr/>
        <w:t>In</w:t>
      </w:r>
      <w:r>
        <w:rPr>
          <w:spacing w:val="-11"/>
        </w:rPr>
        <w:t> </w:t>
      </w:r>
      <w:r>
        <w:rPr/>
        <w:t>order</w:t>
      </w:r>
      <w:r>
        <w:rPr>
          <w:spacing w:val="-11"/>
        </w:rPr>
        <w:t> </w:t>
      </w:r>
      <w:r>
        <w:rPr/>
        <w:t>to</w:t>
      </w:r>
      <w:r>
        <w:rPr>
          <w:spacing w:val="-11"/>
        </w:rPr>
        <w:t> </w:t>
      </w:r>
      <w:r>
        <w:rPr/>
        <w:t>represent</w:t>
      </w:r>
      <w:r>
        <w:rPr>
          <w:spacing w:val="-12"/>
        </w:rPr>
        <w:t> </w:t>
      </w:r>
      <w:r>
        <w:rPr/>
        <w:t>deacidification</w:t>
      </w:r>
      <w:r>
        <w:rPr>
          <w:spacing w:val="-11"/>
        </w:rPr>
        <w:t> </w:t>
      </w:r>
      <w:r>
        <w:rPr/>
        <w:t>and</w:t>
      </w:r>
      <w:r>
        <w:rPr>
          <w:spacing w:val="-10"/>
        </w:rPr>
        <w:t> </w:t>
      </w:r>
      <w:r>
        <w:rPr/>
        <w:t>detoxification</w:t>
      </w:r>
      <w:r>
        <w:rPr>
          <w:spacing w:val="-11"/>
        </w:rPr>
        <w:t> </w:t>
      </w:r>
      <w:r>
        <w:rPr/>
        <w:t>depending</w:t>
      </w:r>
      <w:r>
        <w:rPr>
          <w:spacing w:val="-11"/>
        </w:rPr>
        <w:t> </w:t>
      </w:r>
      <w:r>
        <w:rPr/>
        <w:t>on</w:t>
      </w:r>
      <w:r>
        <w:rPr>
          <w:spacing w:val="-11"/>
        </w:rPr>
        <w:t> </w:t>
      </w:r>
      <w:r>
        <w:rPr/>
        <w:t>the</w:t>
      </w:r>
      <w:r>
        <w:rPr>
          <w:spacing w:val="-11"/>
        </w:rPr>
        <w:t> </w:t>
      </w:r>
      <w:r>
        <w:rPr/>
        <w:t>case, we differentiate between CASE 1 (pathologically toxified) and CASE 2 (mod- erately toxified) within the further</w:t>
      </w:r>
      <w:r>
        <w:rPr>
          <w:spacing w:val="3"/>
        </w:rPr>
        <w:t> </w:t>
      </w:r>
      <w:r>
        <w:rPr/>
        <w:t>approach</w:t>
      </w:r>
    </w:p>
    <w:p>
      <w:pPr>
        <w:pStyle w:val="Heading1"/>
        <w:ind w:left="616"/>
      </w:pPr>
      <w:r>
        <w:rPr/>
        <w:t>CASE 1 The treatment of heavily toxified people</w:t>
      </w:r>
    </w:p>
    <w:p>
      <w:pPr>
        <w:pStyle w:val="BodyText"/>
        <w:spacing w:line="276" w:lineRule="auto" w:before="297"/>
        <w:ind w:left="616" w:right="137"/>
        <w:jc w:val="both"/>
      </w:pPr>
      <w:r>
        <w:rPr/>
        <w:t>You</w:t>
      </w:r>
      <w:r>
        <w:rPr>
          <w:spacing w:val="-9"/>
        </w:rPr>
        <w:t> </w:t>
      </w:r>
      <w:r>
        <w:rPr/>
        <w:t>should</w:t>
      </w:r>
      <w:r>
        <w:rPr>
          <w:spacing w:val="-8"/>
        </w:rPr>
        <w:t> </w:t>
      </w:r>
      <w:r>
        <w:rPr/>
        <w:t>begin</w:t>
      </w:r>
      <w:r>
        <w:rPr>
          <w:spacing w:val="-7"/>
        </w:rPr>
        <w:t> </w:t>
      </w:r>
      <w:r>
        <w:rPr/>
        <w:t>the</w:t>
      </w:r>
      <w:r>
        <w:rPr>
          <w:spacing w:val="-8"/>
        </w:rPr>
        <w:t> </w:t>
      </w:r>
      <w:r>
        <w:rPr/>
        <w:t>first</w:t>
      </w:r>
      <w:r>
        <w:rPr>
          <w:spacing w:val="-10"/>
        </w:rPr>
        <w:t> </w:t>
      </w:r>
      <w:r>
        <w:rPr/>
        <w:t>two</w:t>
      </w:r>
      <w:r>
        <w:rPr>
          <w:spacing w:val="-7"/>
        </w:rPr>
        <w:t> </w:t>
      </w:r>
      <w:r>
        <w:rPr/>
        <w:t>weeks</w:t>
      </w:r>
      <w:r>
        <w:rPr>
          <w:spacing w:val="-7"/>
        </w:rPr>
        <w:t> </w:t>
      </w:r>
      <w:r>
        <w:rPr/>
        <w:t>by</w:t>
      </w:r>
      <w:r>
        <w:rPr>
          <w:spacing w:val="-8"/>
        </w:rPr>
        <w:t> </w:t>
      </w:r>
      <w:r>
        <w:rPr/>
        <w:t>changing</w:t>
      </w:r>
      <w:r>
        <w:rPr>
          <w:spacing w:val="-7"/>
        </w:rPr>
        <w:t> </w:t>
      </w:r>
      <w:r>
        <w:rPr/>
        <w:t>your</w:t>
      </w:r>
      <w:r>
        <w:rPr>
          <w:spacing w:val="-10"/>
        </w:rPr>
        <w:t> </w:t>
      </w:r>
      <w:r>
        <w:rPr/>
        <w:t>diet</w:t>
      </w:r>
      <w:r>
        <w:rPr>
          <w:spacing w:val="-8"/>
        </w:rPr>
        <w:t> </w:t>
      </w:r>
      <w:r>
        <w:rPr/>
        <w:t>to</w:t>
      </w:r>
      <w:r>
        <w:rPr>
          <w:spacing w:val="-9"/>
        </w:rPr>
        <w:t> </w:t>
      </w:r>
      <w:r>
        <w:rPr/>
        <w:t>include</w:t>
      </w:r>
      <w:r>
        <w:rPr>
          <w:spacing w:val="-7"/>
        </w:rPr>
        <w:t> </w:t>
      </w:r>
      <w:r>
        <w:rPr/>
        <w:t>alkaline foods and take bases/minerals in the form of nutritional supplements. An al- kaline</w:t>
      </w:r>
      <w:r>
        <w:rPr>
          <w:spacing w:val="-12"/>
        </w:rPr>
        <w:t> </w:t>
      </w:r>
      <w:r>
        <w:rPr/>
        <w:t>diet</w:t>
      </w:r>
      <w:r>
        <w:rPr>
          <w:spacing w:val="-12"/>
        </w:rPr>
        <w:t> </w:t>
      </w:r>
      <w:r>
        <w:rPr/>
        <w:t>ensures</w:t>
      </w:r>
      <w:r>
        <w:rPr>
          <w:spacing w:val="-11"/>
        </w:rPr>
        <w:t> </w:t>
      </w:r>
      <w:r>
        <w:rPr/>
        <w:t>that</w:t>
      </w:r>
      <w:r>
        <w:rPr>
          <w:spacing w:val="-12"/>
        </w:rPr>
        <w:t> </w:t>
      </w:r>
      <w:r>
        <w:rPr/>
        <w:t>we</w:t>
      </w:r>
      <w:r>
        <w:rPr>
          <w:spacing w:val="-12"/>
        </w:rPr>
        <w:t> </w:t>
      </w:r>
      <w:r>
        <w:rPr/>
        <w:t>do</w:t>
      </w:r>
      <w:r>
        <w:rPr>
          <w:spacing w:val="-15"/>
        </w:rPr>
        <w:t> </w:t>
      </w:r>
      <w:r>
        <w:rPr/>
        <w:t>not</w:t>
      </w:r>
      <w:r>
        <w:rPr>
          <w:spacing w:val="-13"/>
        </w:rPr>
        <w:t> </w:t>
      </w:r>
      <w:r>
        <w:rPr/>
        <w:t>continue</w:t>
      </w:r>
      <w:r>
        <w:rPr>
          <w:spacing w:val="-13"/>
        </w:rPr>
        <w:t> </w:t>
      </w:r>
      <w:r>
        <w:rPr/>
        <w:t>to</w:t>
      </w:r>
      <w:r>
        <w:rPr>
          <w:spacing w:val="-12"/>
        </w:rPr>
        <w:t> </w:t>
      </w:r>
      <w:r>
        <w:rPr/>
        <w:t>unnecessarily</w:t>
      </w:r>
      <w:r>
        <w:rPr>
          <w:spacing w:val="-13"/>
        </w:rPr>
        <w:t> </w:t>
      </w:r>
      <w:r>
        <w:rPr/>
        <w:t>acidify</w:t>
      </w:r>
      <w:r>
        <w:rPr>
          <w:spacing w:val="-13"/>
        </w:rPr>
        <w:t> </w:t>
      </w:r>
      <w:r>
        <w:rPr/>
        <w:t>our</w:t>
      </w:r>
      <w:r>
        <w:rPr>
          <w:spacing w:val="-12"/>
        </w:rPr>
        <w:t> </w:t>
      </w:r>
      <w:r>
        <w:rPr/>
        <w:t>bodies. You</w:t>
      </w:r>
      <w:r>
        <w:rPr>
          <w:spacing w:val="-19"/>
        </w:rPr>
        <w:t> </w:t>
      </w:r>
      <w:r>
        <w:rPr/>
        <w:t>should</w:t>
      </w:r>
      <w:r>
        <w:rPr>
          <w:spacing w:val="-18"/>
        </w:rPr>
        <w:t> </w:t>
      </w:r>
      <w:r>
        <w:rPr/>
        <w:t>also</w:t>
      </w:r>
      <w:r>
        <w:rPr>
          <w:spacing w:val="-18"/>
        </w:rPr>
        <w:t> </w:t>
      </w:r>
      <w:r>
        <w:rPr/>
        <w:t>drink</w:t>
      </w:r>
      <w:r>
        <w:rPr>
          <w:spacing w:val="-17"/>
        </w:rPr>
        <w:t> </w:t>
      </w:r>
      <w:r>
        <w:rPr/>
        <w:t>1-2</w:t>
      </w:r>
      <w:r>
        <w:rPr>
          <w:spacing w:val="-18"/>
        </w:rPr>
        <w:t> </w:t>
      </w:r>
      <w:r>
        <w:rPr/>
        <w:t>litres</w:t>
      </w:r>
      <w:r>
        <w:rPr>
          <w:spacing w:val="-16"/>
        </w:rPr>
        <w:t> </w:t>
      </w:r>
      <w:r>
        <w:rPr/>
        <w:t>of</w:t>
      </w:r>
      <w:r>
        <w:rPr>
          <w:spacing w:val="-17"/>
        </w:rPr>
        <w:t> </w:t>
      </w:r>
      <w:r>
        <w:rPr/>
        <w:t>still</w:t>
      </w:r>
      <w:r>
        <w:rPr>
          <w:spacing w:val="-18"/>
        </w:rPr>
        <w:t> </w:t>
      </w:r>
      <w:r>
        <w:rPr/>
        <w:t>mineral</w:t>
      </w:r>
      <w:r>
        <w:rPr>
          <w:spacing w:val="-18"/>
        </w:rPr>
        <w:t> </w:t>
      </w:r>
      <w:r>
        <w:rPr/>
        <w:t>water</w:t>
      </w:r>
      <w:r>
        <w:rPr>
          <w:spacing w:val="-16"/>
        </w:rPr>
        <w:t> </w:t>
      </w:r>
      <w:r>
        <w:rPr/>
        <w:t>(‘Saatl.</w:t>
      </w:r>
      <w:r>
        <w:rPr>
          <w:spacing w:val="-16"/>
        </w:rPr>
        <w:t> </w:t>
      </w:r>
      <w:r>
        <w:rPr/>
        <w:t>Fachinger’</w:t>
      </w:r>
      <w:r>
        <w:rPr>
          <w:spacing w:val="-18"/>
        </w:rPr>
        <w:t> </w:t>
      </w:r>
      <w:r>
        <w:rPr/>
        <w:t>and</w:t>
      </w:r>
      <w:r>
        <w:rPr>
          <w:spacing w:val="-17"/>
        </w:rPr>
        <w:t> </w:t>
      </w:r>
      <w:r>
        <w:rPr/>
        <w:t>‘St. Gero’</w:t>
      </w:r>
      <w:r>
        <w:rPr>
          <w:spacing w:val="14"/>
        </w:rPr>
        <w:t> </w:t>
      </w:r>
      <w:r>
        <w:rPr/>
        <w:t>mineral</w:t>
      </w:r>
      <w:r>
        <w:rPr>
          <w:spacing w:val="12"/>
        </w:rPr>
        <w:t> </w:t>
      </w:r>
      <w:r>
        <w:rPr/>
        <w:t>waters</w:t>
      </w:r>
      <w:r>
        <w:rPr>
          <w:spacing w:val="14"/>
        </w:rPr>
        <w:t> </w:t>
      </w:r>
      <w:r>
        <w:rPr/>
        <w:t>are</w:t>
      </w:r>
      <w:r>
        <w:rPr>
          <w:spacing w:val="13"/>
        </w:rPr>
        <w:t> </w:t>
      </w:r>
      <w:r>
        <w:rPr/>
        <w:t>tried</w:t>
      </w:r>
      <w:r>
        <w:rPr>
          <w:spacing w:val="13"/>
        </w:rPr>
        <w:t> </w:t>
      </w:r>
      <w:r>
        <w:rPr/>
        <w:t>and</w:t>
      </w:r>
      <w:r>
        <w:rPr>
          <w:spacing w:val="13"/>
        </w:rPr>
        <w:t> </w:t>
      </w:r>
      <w:r>
        <w:rPr/>
        <w:t>tested)</w:t>
      </w:r>
      <w:r>
        <w:rPr>
          <w:spacing w:val="13"/>
        </w:rPr>
        <w:t> </w:t>
      </w:r>
      <w:r>
        <w:rPr/>
        <w:t>as</w:t>
      </w:r>
      <w:r>
        <w:rPr>
          <w:spacing w:val="13"/>
        </w:rPr>
        <w:t> </w:t>
      </w:r>
      <w:r>
        <w:rPr/>
        <w:t>well</w:t>
      </w:r>
      <w:r>
        <w:rPr>
          <w:spacing w:val="13"/>
        </w:rPr>
        <w:t> </w:t>
      </w:r>
      <w:r>
        <w:rPr/>
        <w:t>as</w:t>
      </w:r>
      <w:r>
        <w:rPr>
          <w:spacing w:val="13"/>
        </w:rPr>
        <w:t> </w:t>
      </w:r>
      <w:r>
        <w:rPr/>
        <w:t>vegetable</w:t>
      </w:r>
      <w:r>
        <w:rPr>
          <w:spacing w:val="15"/>
        </w:rPr>
        <w:t> </w:t>
      </w:r>
      <w:r>
        <w:rPr/>
        <w:t>juice</w:t>
      </w:r>
      <w:r>
        <w:rPr>
          <w:spacing w:val="14"/>
        </w:rPr>
        <w:t> </w:t>
      </w:r>
      <w:r>
        <w:rPr/>
        <w:t>(beetroot</w:t>
      </w:r>
    </w:p>
    <w:p>
      <w:pPr>
        <w:spacing w:after="0" w:line="276" w:lineRule="auto"/>
        <w:jc w:val="both"/>
        <w:sectPr>
          <w:pgSz w:w="14270" w:h="16850"/>
          <w:pgMar w:header="0" w:footer="1891" w:top="1360" w:bottom="2080" w:left="800" w:right="1280"/>
        </w:sectPr>
      </w:pPr>
    </w:p>
    <w:p>
      <w:pPr>
        <w:pStyle w:val="BodyText"/>
        <w:spacing w:before="74"/>
        <w:ind w:left="616"/>
        <w:jc w:val="both"/>
      </w:pPr>
      <w:r>
        <w:rPr/>
        <w:t>juice).</w:t>
      </w:r>
    </w:p>
    <w:p>
      <w:pPr>
        <w:pStyle w:val="BodyText"/>
        <w:spacing w:line="276" w:lineRule="auto" w:before="305"/>
        <w:ind w:left="616" w:right="135"/>
        <w:jc w:val="both"/>
      </w:pPr>
      <w:r>
        <w:rPr/>
        <w:t>Bread drink and sauerkraut juice have also proven to be supportive. These minerals in turn de-acidify you from the inside while also re-mineralising the heavily demineralised body. The whole process should be accompanied from the start by external deacidification and detoxification in the form of alkaline body care such as alkaline baths, foot baths, body wraps etc.</w:t>
      </w:r>
    </w:p>
    <w:p>
      <w:pPr>
        <w:pStyle w:val="BodyText"/>
        <w:spacing w:line="276" w:lineRule="auto" w:before="240"/>
        <w:ind w:left="616" w:right="133"/>
        <w:jc w:val="both"/>
      </w:pPr>
      <w:r>
        <w:rPr/>
        <w:t>Intensive</w:t>
      </w:r>
      <w:r>
        <w:rPr>
          <w:spacing w:val="-12"/>
        </w:rPr>
        <w:t> </w:t>
      </w:r>
      <w:r>
        <w:rPr/>
        <w:t>detoxification</w:t>
      </w:r>
      <w:r>
        <w:rPr>
          <w:spacing w:val="-10"/>
        </w:rPr>
        <w:t> </w:t>
      </w:r>
      <w:r>
        <w:rPr/>
        <w:t>in</w:t>
      </w:r>
      <w:r>
        <w:rPr>
          <w:spacing w:val="-11"/>
        </w:rPr>
        <w:t> </w:t>
      </w:r>
      <w:r>
        <w:rPr/>
        <w:t>the</w:t>
      </w:r>
      <w:r>
        <w:rPr>
          <w:spacing w:val="-13"/>
        </w:rPr>
        <w:t> </w:t>
      </w:r>
      <w:r>
        <w:rPr/>
        <w:t>form</w:t>
      </w:r>
      <w:r>
        <w:rPr>
          <w:spacing w:val="-10"/>
        </w:rPr>
        <w:t> </w:t>
      </w:r>
      <w:r>
        <w:rPr/>
        <w:t>of</w:t>
      </w:r>
      <w:r>
        <w:rPr>
          <w:spacing w:val="-13"/>
        </w:rPr>
        <w:t> </w:t>
      </w:r>
      <w:r>
        <w:rPr/>
        <w:t>herbal</w:t>
      </w:r>
      <w:r>
        <w:rPr>
          <w:spacing w:val="-14"/>
        </w:rPr>
        <w:t> </w:t>
      </w:r>
      <w:r>
        <w:rPr/>
        <w:t>teas,</w:t>
      </w:r>
      <w:r>
        <w:rPr>
          <w:spacing w:val="-11"/>
        </w:rPr>
        <w:t> </w:t>
      </w:r>
      <w:r>
        <w:rPr/>
        <w:t>which</w:t>
      </w:r>
      <w:r>
        <w:rPr>
          <w:spacing w:val="-12"/>
        </w:rPr>
        <w:t> </w:t>
      </w:r>
      <w:r>
        <w:rPr/>
        <w:t>are</w:t>
      </w:r>
      <w:r>
        <w:rPr>
          <w:spacing w:val="-13"/>
        </w:rPr>
        <w:t> </w:t>
      </w:r>
      <w:r>
        <w:rPr/>
        <w:t>initially</w:t>
      </w:r>
      <w:r>
        <w:rPr>
          <w:spacing w:val="-11"/>
        </w:rPr>
        <w:t> </w:t>
      </w:r>
      <w:r>
        <w:rPr/>
        <w:t>‘snuck</w:t>
      </w:r>
      <w:r>
        <w:rPr>
          <w:spacing w:val="-13"/>
        </w:rPr>
        <w:t> </w:t>
      </w:r>
      <w:r>
        <w:rPr/>
        <w:t>in’ slowly, begins after two weeks. It is precisely herbal tea which helps massively in</w:t>
      </w:r>
      <w:r>
        <w:rPr>
          <w:spacing w:val="-9"/>
        </w:rPr>
        <w:t> </w:t>
      </w:r>
      <w:r>
        <w:rPr/>
        <w:t>releasing</w:t>
      </w:r>
      <w:r>
        <w:rPr>
          <w:spacing w:val="-8"/>
        </w:rPr>
        <w:t> </w:t>
      </w:r>
      <w:r>
        <w:rPr/>
        <w:t>sludge</w:t>
      </w:r>
      <w:r>
        <w:rPr>
          <w:spacing w:val="-9"/>
        </w:rPr>
        <w:t> </w:t>
      </w:r>
      <w:r>
        <w:rPr/>
        <w:t>from</w:t>
      </w:r>
      <w:r>
        <w:rPr>
          <w:spacing w:val="-8"/>
        </w:rPr>
        <w:t> </w:t>
      </w:r>
      <w:r>
        <w:rPr/>
        <w:t>our</w:t>
      </w:r>
      <w:r>
        <w:rPr>
          <w:spacing w:val="-8"/>
        </w:rPr>
        <w:t> </w:t>
      </w:r>
      <w:r>
        <w:rPr/>
        <w:t>tissues</w:t>
      </w:r>
      <w:r>
        <w:rPr>
          <w:spacing w:val="-10"/>
        </w:rPr>
        <w:t> </w:t>
      </w:r>
      <w:r>
        <w:rPr/>
        <w:t>and</w:t>
      </w:r>
      <w:r>
        <w:rPr>
          <w:spacing w:val="-8"/>
        </w:rPr>
        <w:t> </w:t>
      </w:r>
      <w:r>
        <w:rPr/>
        <w:t>cells!</w:t>
      </w:r>
      <w:r>
        <w:rPr>
          <w:spacing w:val="-7"/>
        </w:rPr>
        <w:t> </w:t>
      </w:r>
      <w:r>
        <w:rPr/>
        <w:t>It</w:t>
      </w:r>
      <w:r>
        <w:rPr>
          <w:spacing w:val="-10"/>
        </w:rPr>
        <w:t> </w:t>
      </w:r>
      <w:r>
        <w:rPr/>
        <w:t>is</w:t>
      </w:r>
      <w:r>
        <w:rPr>
          <w:spacing w:val="-8"/>
        </w:rPr>
        <w:t> </w:t>
      </w:r>
      <w:r>
        <w:rPr/>
        <w:t>recommended</w:t>
      </w:r>
      <w:r>
        <w:rPr>
          <w:spacing w:val="-11"/>
        </w:rPr>
        <w:t> </w:t>
      </w:r>
      <w:r>
        <w:rPr/>
        <w:t>to</w:t>
      </w:r>
      <w:r>
        <w:rPr>
          <w:spacing w:val="-9"/>
        </w:rPr>
        <w:t> </w:t>
      </w:r>
      <w:r>
        <w:rPr/>
        <w:t>begin</w:t>
      </w:r>
      <w:r>
        <w:rPr>
          <w:spacing w:val="-7"/>
        </w:rPr>
        <w:t> </w:t>
      </w:r>
      <w:r>
        <w:rPr/>
        <w:t>with</w:t>
      </w:r>
    </w:p>
    <w:p>
      <w:pPr>
        <w:pStyle w:val="ListParagraph"/>
        <w:numPr>
          <w:ilvl w:val="1"/>
          <w:numId w:val="137"/>
        </w:numPr>
        <w:tabs>
          <w:tab w:pos="1159" w:val="left" w:leader="none"/>
        </w:tabs>
        <w:spacing w:line="276" w:lineRule="auto" w:before="0" w:after="0"/>
        <w:ind w:left="616" w:right="141" w:firstLine="0"/>
        <w:jc w:val="both"/>
        <w:rPr>
          <w:sz w:val="38"/>
        </w:rPr>
      </w:pPr>
      <w:r>
        <w:rPr>
          <w:sz w:val="38"/>
        </w:rPr>
        <w:t>l of herbal tea per day; increase the level of consumption to 0.75 l per day a week later and a further week later to 1 litre of herbal tea a day. If you abso- lutely must add a sweetener, go for Stevia as a healthy sugar replacement (no sugar, sugar has an acidifying</w:t>
      </w:r>
      <w:r>
        <w:rPr>
          <w:spacing w:val="2"/>
          <w:sz w:val="38"/>
        </w:rPr>
        <w:t> </w:t>
      </w:r>
      <w:r>
        <w:rPr>
          <w:sz w:val="38"/>
        </w:rPr>
        <w:t>effect).</w:t>
      </w:r>
    </w:p>
    <w:p>
      <w:pPr>
        <w:pStyle w:val="Heading1"/>
        <w:spacing w:before="223"/>
        <w:ind w:left="616"/>
        <w:jc w:val="both"/>
      </w:pPr>
      <w:r>
        <w:rPr/>
        <w:t>CASE 2 Treatment of a person with average toxification</w:t>
      </w:r>
    </w:p>
    <w:p>
      <w:pPr>
        <w:pStyle w:val="BodyText"/>
        <w:spacing w:line="276" w:lineRule="auto" w:before="299"/>
        <w:ind w:left="616" w:right="138"/>
        <w:jc w:val="both"/>
      </w:pPr>
      <w:r>
        <w:rPr/>
        <w:t>People</w:t>
      </w:r>
      <w:r>
        <w:rPr>
          <w:spacing w:val="-14"/>
        </w:rPr>
        <w:t> </w:t>
      </w:r>
      <w:r>
        <w:rPr/>
        <w:t>with</w:t>
      </w:r>
      <w:r>
        <w:rPr>
          <w:spacing w:val="-14"/>
        </w:rPr>
        <w:t> </w:t>
      </w:r>
      <w:r>
        <w:rPr/>
        <w:t>average</w:t>
      </w:r>
      <w:r>
        <w:rPr>
          <w:spacing w:val="-15"/>
        </w:rPr>
        <w:t> </w:t>
      </w:r>
      <w:r>
        <w:rPr/>
        <w:t>toxification</w:t>
      </w:r>
      <w:r>
        <w:rPr>
          <w:spacing w:val="-13"/>
        </w:rPr>
        <w:t> </w:t>
      </w:r>
      <w:r>
        <w:rPr/>
        <w:t>(where</w:t>
      </w:r>
      <w:r>
        <w:rPr>
          <w:spacing w:val="-15"/>
        </w:rPr>
        <w:t> </w:t>
      </w:r>
      <w:r>
        <w:rPr/>
        <w:t>there</w:t>
      </w:r>
      <w:r>
        <w:rPr>
          <w:spacing w:val="-14"/>
        </w:rPr>
        <w:t> </w:t>
      </w:r>
      <w:r>
        <w:rPr/>
        <w:t>are</w:t>
      </w:r>
      <w:r>
        <w:rPr>
          <w:spacing w:val="-17"/>
        </w:rPr>
        <w:t> </w:t>
      </w:r>
      <w:r>
        <w:rPr/>
        <w:t>no</w:t>
      </w:r>
      <w:r>
        <w:rPr>
          <w:spacing w:val="-13"/>
        </w:rPr>
        <w:t> </w:t>
      </w:r>
      <w:r>
        <w:rPr/>
        <w:t>symptoms</w:t>
      </w:r>
      <w:r>
        <w:rPr>
          <w:spacing w:val="-16"/>
        </w:rPr>
        <w:t> </w:t>
      </w:r>
      <w:r>
        <w:rPr/>
        <w:t>of</w:t>
      </w:r>
      <w:r>
        <w:rPr>
          <w:spacing w:val="-16"/>
        </w:rPr>
        <w:t> </w:t>
      </w:r>
      <w:r>
        <w:rPr/>
        <w:t>toxification, see above) can start using herbal tea straight away to release sludge; nonethe- less, herbal tea should also be introduced slowly, step by step, as in case 1. Alkaline baths are also recommended for target groups of moderately toxified people. All of the following points apply to everyone, both in Case 1 (heavily toxified) and Case 2 (moderately toxified):</w:t>
      </w:r>
    </w:p>
    <w:p>
      <w:pPr>
        <w:pStyle w:val="Heading1"/>
        <w:ind w:left="616"/>
        <w:jc w:val="both"/>
      </w:pPr>
      <w:r>
        <w:rPr/>
        <w:t>Alkaline diet</w:t>
      </w:r>
    </w:p>
    <w:p>
      <w:pPr>
        <w:spacing w:after="0"/>
        <w:jc w:val="both"/>
        <w:sectPr>
          <w:pgSz w:w="14270" w:h="16850"/>
          <w:pgMar w:header="0" w:footer="1891" w:top="1340" w:bottom="2080" w:left="800" w:right="1280"/>
        </w:sectPr>
      </w:pPr>
    </w:p>
    <w:p>
      <w:pPr>
        <w:pStyle w:val="BodyText"/>
        <w:spacing w:line="276" w:lineRule="auto" w:before="74"/>
        <w:ind w:left="616" w:right="136"/>
        <w:jc w:val="both"/>
      </w:pPr>
      <w:r>
        <w:rPr/>
        <w:t>An alkaline diet requires a change from acid-forming foodstuffs to the most alkaline-forming foodstuffs. Such a change is recommended in both Case 1 and Case 2, but in heavily toxified and diseased people it is essential as all fur- ther acids put the body at great risk.</w:t>
      </w:r>
    </w:p>
    <w:p>
      <w:pPr>
        <w:pStyle w:val="BodyText"/>
        <w:spacing w:line="276" w:lineRule="auto" w:before="239"/>
        <w:ind w:left="616" w:right="135"/>
        <w:jc w:val="both"/>
      </w:pPr>
      <w:r>
        <w:rPr/>
        <w:t>Furthermore, you should try to avoid the mistake of supplying the body with mineral</w:t>
      </w:r>
      <w:r>
        <w:rPr>
          <w:spacing w:val="-11"/>
        </w:rPr>
        <w:t> </w:t>
      </w:r>
      <w:r>
        <w:rPr/>
        <w:t>substance</w:t>
      </w:r>
      <w:r>
        <w:rPr>
          <w:spacing w:val="-10"/>
        </w:rPr>
        <w:t> </w:t>
      </w:r>
      <w:r>
        <w:rPr/>
        <w:t>preparations</w:t>
      </w:r>
      <w:r>
        <w:rPr>
          <w:spacing w:val="-12"/>
        </w:rPr>
        <w:t> </w:t>
      </w:r>
      <w:r>
        <w:rPr/>
        <w:t>or</w:t>
      </w:r>
      <w:r>
        <w:rPr>
          <w:spacing w:val="-9"/>
        </w:rPr>
        <w:t> </w:t>
      </w:r>
      <w:r>
        <w:rPr/>
        <w:t>base</w:t>
      </w:r>
      <w:r>
        <w:rPr>
          <w:spacing w:val="-15"/>
        </w:rPr>
        <w:t> </w:t>
      </w:r>
      <w:r>
        <w:rPr/>
        <w:t>powders</w:t>
      </w:r>
      <w:r>
        <w:rPr>
          <w:spacing w:val="-9"/>
        </w:rPr>
        <w:t> </w:t>
      </w:r>
      <w:r>
        <w:rPr/>
        <w:t>for</w:t>
      </w:r>
      <w:r>
        <w:rPr>
          <w:spacing w:val="-11"/>
        </w:rPr>
        <w:t> </w:t>
      </w:r>
      <w:r>
        <w:rPr/>
        <w:t>deacidification</w:t>
      </w:r>
      <w:r>
        <w:rPr>
          <w:spacing w:val="-9"/>
        </w:rPr>
        <w:t> </w:t>
      </w:r>
      <w:r>
        <w:rPr/>
        <w:t>on</w:t>
      </w:r>
      <w:r>
        <w:rPr>
          <w:spacing w:val="-12"/>
        </w:rPr>
        <w:t> </w:t>
      </w:r>
      <w:r>
        <w:rPr/>
        <w:t>the</w:t>
      </w:r>
      <w:r>
        <w:rPr>
          <w:spacing w:val="-12"/>
        </w:rPr>
        <w:t> </w:t>
      </w:r>
      <w:r>
        <w:rPr/>
        <w:t>one hand,</w:t>
      </w:r>
      <w:r>
        <w:rPr>
          <w:spacing w:val="-12"/>
        </w:rPr>
        <w:t> </w:t>
      </w:r>
      <w:r>
        <w:rPr/>
        <w:t>while</w:t>
      </w:r>
      <w:r>
        <w:rPr>
          <w:spacing w:val="-12"/>
        </w:rPr>
        <w:t> </w:t>
      </w:r>
      <w:r>
        <w:rPr/>
        <w:t>simultaneously</w:t>
      </w:r>
      <w:r>
        <w:rPr>
          <w:spacing w:val="-12"/>
        </w:rPr>
        <w:t> </w:t>
      </w:r>
      <w:r>
        <w:rPr/>
        <w:t>polluting</w:t>
      </w:r>
      <w:r>
        <w:rPr>
          <w:spacing w:val="-11"/>
        </w:rPr>
        <w:t> </w:t>
      </w:r>
      <w:r>
        <w:rPr/>
        <w:t>it</w:t>
      </w:r>
      <w:r>
        <w:rPr>
          <w:spacing w:val="-13"/>
        </w:rPr>
        <w:t> </w:t>
      </w:r>
      <w:r>
        <w:rPr/>
        <w:t>with</w:t>
      </w:r>
      <w:r>
        <w:rPr>
          <w:spacing w:val="-13"/>
        </w:rPr>
        <w:t> </w:t>
      </w:r>
      <w:r>
        <w:rPr/>
        <w:t>lots</w:t>
      </w:r>
      <w:r>
        <w:rPr>
          <w:spacing w:val="-11"/>
        </w:rPr>
        <w:t> </w:t>
      </w:r>
      <w:r>
        <w:rPr/>
        <w:t>of</w:t>
      </w:r>
      <w:r>
        <w:rPr>
          <w:spacing w:val="-12"/>
        </w:rPr>
        <w:t> </w:t>
      </w:r>
      <w:r>
        <w:rPr/>
        <w:t>acids</w:t>
      </w:r>
      <w:r>
        <w:rPr>
          <w:spacing w:val="-12"/>
        </w:rPr>
        <w:t> </w:t>
      </w:r>
      <w:r>
        <w:rPr/>
        <w:t>(from</w:t>
      </w:r>
      <w:r>
        <w:rPr>
          <w:spacing w:val="-12"/>
        </w:rPr>
        <w:t> </w:t>
      </w:r>
      <w:r>
        <w:rPr/>
        <w:t>incorrect</w:t>
      </w:r>
      <w:r>
        <w:rPr>
          <w:spacing w:val="-13"/>
        </w:rPr>
        <w:t> </w:t>
      </w:r>
      <w:r>
        <w:rPr/>
        <w:t>nutri- tion) on the other. Remember that sludge is nothing more than already neu- tralised</w:t>
      </w:r>
      <w:r>
        <w:rPr>
          <w:spacing w:val="-14"/>
        </w:rPr>
        <w:t> </w:t>
      </w:r>
      <w:r>
        <w:rPr/>
        <w:t>acids</w:t>
      </w:r>
      <w:r>
        <w:rPr>
          <w:spacing w:val="-15"/>
        </w:rPr>
        <w:t> </w:t>
      </w:r>
      <w:r>
        <w:rPr/>
        <w:t>and</w:t>
      </w:r>
      <w:r>
        <w:rPr>
          <w:spacing w:val="-14"/>
        </w:rPr>
        <w:t> </w:t>
      </w:r>
      <w:r>
        <w:rPr/>
        <w:t>poisons</w:t>
      </w:r>
      <w:r>
        <w:rPr>
          <w:spacing w:val="-16"/>
        </w:rPr>
        <w:t> </w:t>
      </w:r>
      <w:r>
        <w:rPr/>
        <w:t>stored</w:t>
      </w:r>
      <w:r>
        <w:rPr>
          <w:spacing w:val="-17"/>
        </w:rPr>
        <w:t> </w:t>
      </w:r>
      <w:r>
        <w:rPr/>
        <w:t>in</w:t>
      </w:r>
      <w:r>
        <w:rPr>
          <w:spacing w:val="-14"/>
        </w:rPr>
        <w:t> </w:t>
      </w:r>
      <w:r>
        <w:rPr/>
        <w:t>the</w:t>
      </w:r>
      <w:r>
        <w:rPr>
          <w:spacing w:val="-17"/>
        </w:rPr>
        <w:t> </w:t>
      </w:r>
      <w:r>
        <w:rPr/>
        <w:t>body.</w:t>
      </w:r>
      <w:r>
        <w:rPr>
          <w:spacing w:val="-15"/>
        </w:rPr>
        <w:t> </w:t>
      </w:r>
      <w:r>
        <w:rPr/>
        <w:t>Therefore,</w:t>
      </w:r>
      <w:r>
        <w:rPr>
          <w:spacing w:val="-14"/>
        </w:rPr>
        <w:t> </w:t>
      </w:r>
      <w:r>
        <w:rPr/>
        <w:t>we</w:t>
      </w:r>
      <w:r>
        <w:rPr>
          <w:spacing w:val="-15"/>
        </w:rPr>
        <w:t> </w:t>
      </w:r>
      <w:r>
        <w:rPr/>
        <w:t>would</w:t>
      </w:r>
      <w:r>
        <w:rPr>
          <w:spacing w:val="-15"/>
        </w:rPr>
        <w:t> </w:t>
      </w:r>
      <w:r>
        <w:rPr/>
        <w:t>heavily</w:t>
      </w:r>
      <w:r>
        <w:rPr>
          <w:spacing w:val="-14"/>
        </w:rPr>
        <w:t> </w:t>
      </w:r>
      <w:r>
        <w:rPr/>
        <w:t>tox- ify the body if we supplied it with large amounts of acid while still excessively neutralising it with mineral</w:t>
      </w:r>
      <w:r>
        <w:rPr>
          <w:spacing w:val="-1"/>
        </w:rPr>
        <w:t> </w:t>
      </w:r>
      <w:r>
        <w:rPr/>
        <w:t>substances!</w:t>
      </w:r>
    </w:p>
    <w:p>
      <w:pPr>
        <w:pStyle w:val="BodyText"/>
        <w:spacing w:line="276" w:lineRule="auto" w:before="241"/>
        <w:ind w:left="616" w:right="133"/>
        <w:jc w:val="both"/>
      </w:pPr>
      <w:r>
        <w:rPr/>
        <w:t>This would backfire, as the body would develop problems excreting the large amounts of resulting sludge and become even more toxified. Permanent alka- line nutrition therefore plays an important role!</w:t>
      </w:r>
    </w:p>
    <w:p>
      <w:pPr>
        <w:pStyle w:val="BodyText"/>
        <w:spacing w:line="276" w:lineRule="auto" w:before="242"/>
        <w:ind w:left="616" w:right="136"/>
        <w:jc w:val="both"/>
      </w:pPr>
      <w:r>
        <w:rPr/>
        <w:t>In order to control our acid-base balance it is therefore logically essential to know what the acid-forming and alkaline nutritional substances are. You can find out more about this in the following sections, ‘acidic foodstuffs’ and ‘al- kaline nutrition’.</w:t>
      </w:r>
    </w:p>
    <w:p>
      <w:pPr>
        <w:pStyle w:val="Heading2"/>
        <w:spacing w:before="239"/>
        <w:ind w:left="616"/>
        <w:jc w:val="both"/>
      </w:pPr>
      <w:r>
        <w:rPr/>
        <w:t>Acid-forming/acidic foodstuffs</w:t>
      </w:r>
    </w:p>
    <w:p>
      <w:pPr>
        <w:pStyle w:val="BodyText"/>
        <w:spacing w:line="276" w:lineRule="auto" w:before="302"/>
        <w:ind w:left="616" w:right="140"/>
        <w:jc w:val="both"/>
      </w:pPr>
      <w:r>
        <w:rPr/>
        <w:t>The following foodstuffs are considered acid-forming and should be avoided or consumed in moderation in order to maintain an acid-base balance.</w:t>
      </w:r>
    </w:p>
    <w:p>
      <w:pPr>
        <w:pStyle w:val="ListParagraph"/>
        <w:numPr>
          <w:ilvl w:val="0"/>
          <w:numId w:val="138"/>
        </w:numPr>
        <w:tabs>
          <w:tab w:pos="1329" w:val="left" w:leader="none"/>
          <w:tab w:pos="1330" w:val="left" w:leader="none"/>
        </w:tabs>
        <w:spacing w:line="240" w:lineRule="auto" w:before="63" w:after="0"/>
        <w:ind w:left="1329" w:right="0" w:hanging="355"/>
        <w:jc w:val="left"/>
        <w:rPr>
          <w:sz w:val="38"/>
        </w:rPr>
      </w:pPr>
      <w:r>
        <w:rPr>
          <w:sz w:val="38"/>
        </w:rPr>
        <w:t>Meat of all kinds (ham, sausage, meat</w:t>
      </w:r>
      <w:r>
        <w:rPr>
          <w:spacing w:val="-3"/>
          <w:sz w:val="38"/>
        </w:rPr>
        <w:t> </w:t>
      </w:r>
      <w:r>
        <w:rPr>
          <w:sz w:val="38"/>
        </w:rPr>
        <w:t>stock)</w:t>
      </w:r>
    </w:p>
    <w:p>
      <w:pPr>
        <w:spacing w:after="0" w:line="240" w:lineRule="auto"/>
        <w:jc w:val="left"/>
        <w:rPr>
          <w:sz w:val="38"/>
        </w:rPr>
        <w:sectPr>
          <w:pgSz w:w="14270" w:h="16850"/>
          <w:pgMar w:header="0" w:footer="1891" w:top="1340" w:bottom="2080" w:left="800" w:right="1280"/>
        </w:sectPr>
      </w:pPr>
    </w:p>
    <w:p>
      <w:pPr>
        <w:pStyle w:val="ListParagraph"/>
        <w:numPr>
          <w:ilvl w:val="0"/>
          <w:numId w:val="138"/>
        </w:numPr>
        <w:tabs>
          <w:tab w:pos="1329" w:val="left" w:leader="none"/>
          <w:tab w:pos="1330" w:val="left" w:leader="none"/>
        </w:tabs>
        <w:spacing w:line="240" w:lineRule="auto" w:before="53" w:after="0"/>
        <w:ind w:left="1329" w:right="0" w:hanging="355"/>
        <w:jc w:val="left"/>
        <w:rPr>
          <w:sz w:val="38"/>
        </w:rPr>
      </w:pPr>
      <w:r>
        <w:rPr>
          <w:sz w:val="38"/>
        </w:rPr>
        <w:t>Poultry and poultry</w:t>
      </w:r>
      <w:r>
        <w:rPr>
          <w:spacing w:val="2"/>
          <w:sz w:val="38"/>
        </w:rPr>
        <w:t> </w:t>
      </w:r>
      <w:r>
        <w:rPr>
          <w:sz w:val="38"/>
        </w:rPr>
        <w:t>products</w:t>
      </w:r>
    </w:p>
    <w:p>
      <w:pPr>
        <w:pStyle w:val="ListParagraph"/>
        <w:numPr>
          <w:ilvl w:val="0"/>
          <w:numId w:val="138"/>
        </w:numPr>
        <w:tabs>
          <w:tab w:pos="1329" w:val="left" w:leader="none"/>
          <w:tab w:pos="1330" w:val="left" w:leader="none"/>
        </w:tabs>
        <w:spacing w:line="240" w:lineRule="auto" w:before="126" w:after="0"/>
        <w:ind w:left="1329" w:right="0" w:hanging="355"/>
        <w:jc w:val="left"/>
        <w:rPr>
          <w:sz w:val="38"/>
        </w:rPr>
      </w:pPr>
      <w:r>
        <w:rPr>
          <w:sz w:val="38"/>
        </w:rPr>
        <w:t>Fish and</w:t>
      </w:r>
      <w:r>
        <w:rPr>
          <w:spacing w:val="1"/>
          <w:sz w:val="38"/>
        </w:rPr>
        <w:t> </w:t>
      </w:r>
      <w:r>
        <w:rPr>
          <w:sz w:val="38"/>
        </w:rPr>
        <w:t>seafood</w:t>
      </w:r>
    </w:p>
    <w:p>
      <w:pPr>
        <w:pStyle w:val="ListParagraph"/>
        <w:numPr>
          <w:ilvl w:val="0"/>
          <w:numId w:val="138"/>
        </w:numPr>
        <w:tabs>
          <w:tab w:pos="1329" w:val="left" w:leader="none"/>
          <w:tab w:pos="1330" w:val="left" w:leader="none"/>
        </w:tabs>
        <w:spacing w:line="240" w:lineRule="auto" w:before="124" w:after="0"/>
        <w:ind w:left="1329" w:right="0" w:hanging="355"/>
        <w:jc w:val="left"/>
        <w:rPr>
          <w:sz w:val="38"/>
        </w:rPr>
      </w:pPr>
      <w:r>
        <w:rPr>
          <w:sz w:val="38"/>
        </w:rPr>
        <w:t>Milk and milk</w:t>
      </w:r>
      <w:r>
        <w:rPr>
          <w:spacing w:val="-3"/>
          <w:sz w:val="38"/>
        </w:rPr>
        <w:t> </w:t>
      </w:r>
      <w:r>
        <w:rPr>
          <w:sz w:val="38"/>
        </w:rPr>
        <w:t>products</w:t>
      </w:r>
    </w:p>
    <w:p>
      <w:pPr>
        <w:pStyle w:val="ListParagraph"/>
        <w:numPr>
          <w:ilvl w:val="0"/>
          <w:numId w:val="138"/>
        </w:numPr>
        <w:tabs>
          <w:tab w:pos="1329" w:val="left" w:leader="none"/>
          <w:tab w:pos="1330" w:val="left" w:leader="none"/>
        </w:tabs>
        <w:spacing w:line="240" w:lineRule="auto" w:before="124" w:after="0"/>
        <w:ind w:left="1329" w:right="0" w:hanging="355"/>
        <w:jc w:val="left"/>
        <w:rPr>
          <w:sz w:val="38"/>
        </w:rPr>
      </w:pPr>
      <w:r>
        <w:rPr>
          <w:sz w:val="38"/>
        </w:rPr>
        <w:t>Eggs</w:t>
      </w:r>
    </w:p>
    <w:p>
      <w:pPr>
        <w:pStyle w:val="ListParagraph"/>
        <w:numPr>
          <w:ilvl w:val="0"/>
          <w:numId w:val="138"/>
        </w:numPr>
        <w:tabs>
          <w:tab w:pos="1329" w:val="left" w:leader="none"/>
          <w:tab w:pos="1330" w:val="left" w:leader="none"/>
        </w:tabs>
        <w:spacing w:line="240" w:lineRule="auto" w:before="123" w:after="0"/>
        <w:ind w:left="1329" w:right="0" w:hanging="355"/>
        <w:jc w:val="left"/>
        <w:rPr>
          <w:sz w:val="38"/>
        </w:rPr>
      </w:pPr>
      <w:r>
        <w:rPr>
          <w:sz w:val="38"/>
        </w:rPr>
        <w:t>Yeast</w:t>
      </w:r>
      <w:r>
        <w:rPr>
          <w:spacing w:val="-1"/>
          <w:sz w:val="38"/>
        </w:rPr>
        <w:t> </w:t>
      </w:r>
      <w:r>
        <w:rPr>
          <w:sz w:val="38"/>
        </w:rPr>
        <w:t>products</w:t>
      </w:r>
    </w:p>
    <w:p>
      <w:pPr>
        <w:pStyle w:val="ListParagraph"/>
        <w:numPr>
          <w:ilvl w:val="0"/>
          <w:numId w:val="138"/>
        </w:numPr>
        <w:tabs>
          <w:tab w:pos="1329" w:val="left" w:leader="none"/>
          <w:tab w:pos="1330" w:val="left" w:leader="none"/>
        </w:tabs>
        <w:spacing w:line="240" w:lineRule="auto" w:before="124" w:after="0"/>
        <w:ind w:left="1329" w:right="0" w:hanging="355"/>
        <w:jc w:val="left"/>
        <w:rPr>
          <w:sz w:val="38"/>
        </w:rPr>
      </w:pPr>
      <w:r>
        <w:rPr>
          <w:sz w:val="38"/>
        </w:rPr>
        <w:t>Nuts (all kinds of nuts except for</w:t>
      </w:r>
      <w:r>
        <w:rPr>
          <w:spacing w:val="-1"/>
          <w:sz w:val="38"/>
        </w:rPr>
        <w:t> </w:t>
      </w:r>
      <w:r>
        <w:rPr>
          <w:sz w:val="38"/>
        </w:rPr>
        <w:t>almonds)</w:t>
      </w:r>
    </w:p>
    <w:p>
      <w:pPr>
        <w:pStyle w:val="ListParagraph"/>
        <w:numPr>
          <w:ilvl w:val="0"/>
          <w:numId w:val="138"/>
        </w:numPr>
        <w:tabs>
          <w:tab w:pos="1329" w:val="left" w:leader="none"/>
          <w:tab w:pos="1330" w:val="left" w:leader="none"/>
        </w:tabs>
        <w:spacing w:line="240" w:lineRule="auto" w:before="126" w:after="0"/>
        <w:ind w:left="1329" w:right="0" w:hanging="355"/>
        <w:jc w:val="left"/>
        <w:rPr>
          <w:sz w:val="38"/>
        </w:rPr>
      </w:pPr>
      <w:r>
        <w:rPr>
          <w:sz w:val="38"/>
        </w:rPr>
        <w:t>White flour products</w:t>
      </w:r>
    </w:p>
    <w:p>
      <w:pPr>
        <w:pStyle w:val="ListParagraph"/>
        <w:numPr>
          <w:ilvl w:val="0"/>
          <w:numId w:val="138"/>
        </w:numPr>
        <w:tabs>
          <w:tab w:pos="1329" w:val="left" w:leader="none"/>
          <w:tab w:pos="1330" w:val="left" w:leader="none"/>
        </w:tabs>
        <w:spacing w:line="240" w:lineRule="auto" w:before="124" w:after="0"/>
        <w:ind w:left="1329" w:right="0" w:hanging="355"/>
        <w:jc w:val="left"/>
        <w:rPr>
          <w:sz w:val="38"/>
        </w:rPr>
      </w:pPr>
      <w:r>
        <w:rPr>
          <w:sz w:val="38"/>
        </w:rPr>
        <w:t>Whole-grain</w:t>
      </w:r>
      <w:r>
        <w:rPr>
          <w:spacing w:val="-1"/>
          <w:sz w:val="38"/>
        </w:rPr>
        <w:t> </w:t>
      </w:r>
      <w:r>
        <w:rPr>
          <w:sz w:val="38"/>
        </w:rPr>
        <w:t>products</w:t>
      </w:r>
    </w:p>
    <w:p>
      <w:pPr>
        <w:pStyle w:val="ListParagraph"/>
        <w:numPr>
          <w:ilvl w:val="0"/>
          <w:numId w:val="138"/>
        </w:numPr>
        <w:tabs>
          <w:tab w:pos="1329" w:val="left" w:leader="none"/>
          <w:tab w:pos="1330" w:val="left" w:leader="none"/>
        </w:tabs>
        <w:spacing w:line="240" w:lineRule="auto" w:before="124" w:after="0"/>
        <w:ind w:left="1329" w:right="0" w:hanging="355"/>
        <w:jc w:val="left"/>
        <w:rPr>
          <w:sz w:val="38"/>
        </w:rPr>
      </w:pPr>
      <w:r>
        <w:rPr>
          <w:sz w:val="38"/>
        </w:rPr>
        <w:t>Cereal products of any type (bread, pizza, rice,</w:t>
      </w:r>
      <w:r>
        <w:rPr>
          <w:spacing w:val="-8"/>
          <w:sz w:val="38"/>
        </w:rPr>
        <w:t> </w:t>
      </w:r>
      <w:r>
        <w:rPr>
          <w:sz w:val="38"/>
        </w:rPr>
        <w:t>pasta)</w:t>
      </w:r>
    </w:p>
    <w:p>
      <w:pPr>
        <w:pStyle w:val="ListParagraph"/>
        <w:numPr>
          <w:ilvl w:val="0"/>
          <w:numId w:val="138"/>
        </w:numPr>
        <w:tabs>
          <w:tab w:pos="1329" w:val="left" w:leader="none"/>
          <w:tab w:pos="1330" w:val="left" w:leader="none"/>
        </w:tabs>
        <w:spacing w:line="273" w:lineRule="auto" w:before="123" w:after="0"/>
        <w:ind w:left="1329" w:right="142" w:hanging="355"/>
        <w:jc w:val="left"/>
        <w:rPr>
          <w:sz w:val="38"/>
        </w:rPr>
      </w:pPr>
      <w:r>
        <w:rPr>
          <w:sz w:val="38"/>
        </w:rPr>
        <w:t>Beverages containing carbon dioxide of any kind (sparkling water, cola, lemonade etc.)</w:t>
      </w:r>
    </w:p>
    <w:p>
      <w:pPr>
        <w:pStyle w:val="ListParagraph"/>
        <w:numPr>
          <w:ilvl w:val="0"/>
          <w:numId w:val="138"/>
        </w:numPr>
        <w:tabs>
          <w:tab w:pos="1329" w:val="left" w:leader="none"/>
          <w:tab w:pos="1330" w:val="left" w:leader="none"/>
        </w:tabs>
        <w:spacing w:line="240" w:lineRule="auto" w:before="67" w:after="0"/>
        <w:ind w:left="1329" w:right="0" w:hanging="355"/>
        <w:jc w:val="left"/>
        <w:rPr>
          <w:sz w:val="38"/>
        </w:rPr>
      </w:pPr>
      <w:r>
        <w:rPr>
          <w:sz w:val="38"/>
        </w:rPr>
        <w:t>Husked, polished</w:t>
      </w:r>
      <w:r>
        <w:rPr>
          <w:spacing w:val="1"/>
          <w:sz w:val="38"/>
        </w:rPr>
        <w:t> </w:t>
      </w:r>
      <w:r>
        <w:rPr>
          <w:sz w:val="38"/>
        </w:rPr>
        <w:t>rice</w:t>
      </w:r>
    </w:p>
    <w:p>
      <w:pPr>
        <w:pStyle w:val="ListParagraph"/>
        <w:numPr>
          <w:ilvl w:val="0"/>
          <w:numId w:val="138"/>
        </w:numPr>
        <w:tabs>
          <w:tab w:pos="1329" w:val="left" w:leader="none"/>
          <w:tab w:pos="1330" w:val="left" w:leader="none"/>
        </w:tabs>
        <w:spacing w:line="240" w:lineRule="auto" w:before="127" w:after="0"/>
        <w:ind w:left="1329" w:right="0" w:hanging="355"/>
        <w:jc w:val="left"/>
        <w:rPr>
          <w:sz w:val="38"/>
        </w:rPr>
      </w:pPr>
      <w:r>
        <w:rPr>
          <w:sz w:val="38"/>
        </w:rPr>
        <w:t>Refined, hardened fats and</w:t>
      </w:r>
      <w:r>
        <w:rPr>
          <w:spacing w:val="1"/>
          <w:sz w:val="38"/>
        </w:rPr>
        <w:t> </w:t>
      </w:r>
      <w:r>
        <w:rPr>
          <w:sz w:val="38"/>
        </w:rPr>
        <w:t>oils</w:t>
      </w:r>
    </w:p>
    <w:p>
      <w:pPr>
        <w:pStyle w:val="ListParagraph"/>
        <w:numPr>
          <w:ilvl w:val="0"/>
          <w:numId w:val="138"/>
        </w:numPr>
        <w:tabs>
          <w:tab w:pos="1329" w:val="left" w:leader="none"/>
          <w:tab w:pos="1330" w:val="left" w:leader="none"/>
        </w:tabs>
        <w:spacing w:line="240" w:lineRule="auto" w:before="124" w:after="0"/>
        <w:ind w:left="1329" w:right="0" w:hanging="355"/>
        <w:jc w:val="left"/>
        <w:rPr>
          <w:sz w:val="38"/>
        </w:rPr>
      </w:pPr>
      <w:r>
        <w:rPr>
          <w:sz w:val="38"/>
        </w:rPr>
        <w:t>Margarine</w:t>
      </w:r>
    </w:p>
    <w:p>
      <w:pPr>
        <w:pStyle w:val="ListParagraph"/>
        <w:numPr>
          <w:ilvl w:val="0"/>
          <w:numId w:val="138"/>
        </w:numPr>
        <w:tabs>
          <w:tab w:pos="1329" w:val="left" w:leader="none"/>
          <w:tab w:pos="1330" w:val="left" w:leader="none"/>
        </w:tabs>
        <w:spacing w:line="240" w:lineRule="auto" w:before="123" w:after="0"/>
        <w:ind w:left="1329" w:right="0" w:hanging="355"/>
        <w:jc w:val="left"/>
        <w:rPr>
          <w:sz w:val="38"/>
        </w:rPr>
      </w:pPr>
      <w:r>
        <w:rPr>
          <w:sz w:val="38"/>
        </w:rPr>
        <w:t>Pulses</w:t>
      </w:r>
    </w:p>
    <w:p>
      <w:pPr>
        <w:pStyle w:val="ListParagraph"/>
        <w:numPr>
          <w:ilvl w:val="0"/>
          <w:numId w:val="138"/>
        </w:numPr>
        <w:tabs>
          <w:tab w:pos="1329" w:val="left" w:leader="none"/>
          <w:tab w:pos="1330" w:val="left" w:leader="none"/>
        </w:tabs>
        <w:spacing w:line="240" w:lineRule="auto" w:before="124" w:after="0"/>
        <w:ind w:left="1329" w:right="0" w:hanging="355"/>
        <w:jc w:val="left"/>
        <w:rPr>
          <w:sz w:val="38"/>
        </w:rPr>
      </w:pPr>
      <w:r>
        <w:rPr>
          <w:sz w:val="38"/>
        </w:rPr>
        <w:t>Asparagus</w:t>
      </w:r>
    </w:p>
    <w:p>
      <w:pPr>
        <w:pStyle w:val="ListParagraph"/>
        <w:numPr>
          <w:ilvl w:val="0"/>
          <w:numId w:val="138"/>
        </w:numPr>
        <w:tabs>
          <w:tab w:pos="1329" w:val="left" w:leader="none"/>
          <w:tab w:pos="1330" w:val="left" w:leader="none"/>
        </w:tabs>
        <w:spacing w:line="240" w:lineRule="auto" w:before="123" w:after="0"/>
        <w:ind w:left="1329" w:right="0" w:hanging="355"/>
        <w:jc w:val="left"/>
        <w:rPr>
          <w:sz w:val="38"/>
        </w:rPr>
      </w:pPr>
      <w:r>
        <w:rPr>
          <w:sz w:val="38"/>
        </w:rPr>
        <w:t>Artichokes</w:t>
      </w:r>
    </w:p>
    <w:p>
      <w:pPr>
        <w:pStyle w:val="ListParagraph"/>
        <w:numPr>
          <w:ilvl w:val="0"/>
          <w:numId w:val="138"/>
        </w:numPr>
        <w:tabs>
          <w:tab w:pos="1329" w:val="left" w:leader="none"/>
          <w:tab w:pos="1330" w:val="left" w:leader="none"/>
        </w:tabs>
        <w:spacing w:line="240" w:lineRule="auto" w:before="126" w:after="0"/>
        <w:ind w:left="1329" w:right="0" w:hanging="355"/>
        <w:jc w:val="left"/>
        <w:rPr>
          <w:sz w:val="38"/>
        </w:rPr>
      </w:pPr>
      <w:r>
        <w:rPr>
          <w:sz w:val="38"/>
        </w:rPr>
        <w:t>Brussel</w:t>
      </w:r>
      <w:r>
        <w:rPr>
          <w:spacing w:val="-2"/>
          <w:sz w:val="38"/>
        </w:rPr>
        <w:t> </w:t>
      </w:r>
      <w:r>
        <w:rPr>
          <w:sz w:val="38"/>
        </w:rPr>
        <w:t>sprouts</w:t>
      </w:r>
    </w:p>
    <w:p>
      <w:pPr>
        <w:pStyle w:val="ListParagraph"/>
        <w:numPr>
          <w:ilvl w:val="0"/>
          <w:numId w:val="138"/>
        </w:numPr>
        <w:tabs>
          <w:tab w:pos="1329" w:val="left" w:leader="none"/>
          <w:tab w:pos="1330" w:val="left" w:leader="none"/>
        </w:tabs>
        <w:spacing w:line="240" w:lineRule="auto" w:before="124" w:after="0"/>
        <w:ind w:left="1329" w:right="0" w:hanging="355"/>
        <w:jc w:val="left"/>
        <w:rPr>
          <w:sz w:val="38"/>
        </w:rPr>
      </w:pPr>
      <w:r>
        <w:rPr>
          <w:sz w:val="38"/>
        </w:rPr>
        <w:t>Sweets</w:t>
      </w:r>
    </w:p>
    <w:p>
      <w:pPr>
        <w:pStyle w:val="ListParagraph"/>
        <w:numPr>
          <w:ilvl w:val="0"/>
          <w:numId w:val="138"/>
        </w:numPr>
        <w:tabs>
          <w:tab w:pos="1329" w:val="left" w:leader="none"/>
          <w:tab w:pos="1330" w:val="left" w:leader="none"/>
        </w:tabs>
        <w:spacing w:line="240" w:lineRule="auto" w:before="124" w:after="0"/>
        <w:ind w:left="1329" w:right="0" w:hanging="355"/>
        <w:jc w:val="left"/>
        <w:rPr>
          <w:sz w:val="38"/>
        </w:rPr>
      </w:pPr>
      <w:r>
        <w:rPr>
          <w:sz w:val="38"/>
        </w:rPr>
        <w:t>Ice cream</w:t>
      </w:r>
    </w:p>
    <w:p>
      <w:pPr>
        <w:pStyle w:val="ListParagraph"/>
        <w:numPr>
          <w:ilvl w:val="0"/>
          <w:numId w:val="138"/>
        </w:numPr>
        <w:tabs>
          <w:tab w:pos="1329" w:val="left" w:leader="none"/>
          <w:tab w:pos="1330" w:val="left" w:leader="none"/>
        </w:tabs>
        <w:spacing w:line="240" w:lineRule="auto" w:before="124" w:after="0"/>
        <w:ind w:left="1329" w:right="0" w:hanging="355"/>
        <w:jc w:val="left"/>
        <w:rPr>
          <w:sz w:val="38"/>
        </w:rPr>
      </w:pPr>
      <w:r>
        <w:rPr>
          <w:sz w:val="38"/>
        </w:rPr>
        <w:t>Tofu</w:t>
      </w:r>
    </w:p>
    <w:p>
      <w:pPr>
        <w:spacing w:after="0" w:line="240" w:lineRule="auto"/>
        <w:jc w:val="left"/>
        <w:rPr>
          <w:sz w:val="38"/>
        </w:rPr>
        <w:sectPr>
          <w:pgSz w:w="14270" w:h="16850"/>
          <w:pgMar w:header="0" w:footer="1891" w:top="1360" w:bottom="2080" w:left="800" w:right="1280"/>
        </w:sectPr>
      </w:pPr>
    </w:p>
    <w:p>
      <w:pPr>
        <w:pStyle w:val="ListParagraph"/>
        <w:numPr>
          <w:ilvl w:val="0"/>
          <w:numId w:val="138"/>
        </w:numPr>
        <w:tabs>
          <w:tab w:pos="1329" w:val="left" w:leader="none"/>
          <w:tab w:pos="1330" w:val="left" w:leader="none"/>
        </w:tabs>
        <w:spacing w:line="240" w:lineRule="auto" w:before="53" w:after="0"/>
        <w:ind w:left="1329" w:right="0" w:hanging="355"/>
        <w:jc w:val="left"/>
        <w:rPr>
          <w:sz w:val="38"/>
        </w:rPr>
      </w:pPr>
      <w:r>
        <w:rPr>
          <w:sz w:val="38"/>
        </w:rPr>
        <w:t>Lemonade</w:t>
      </w:r>
    </w:p>
    <w:p>
      <w:pPr>
        <w:pStyle w:val="ListParagraph"/>
        <w:numPr>
          <w:ilvl w:val="0"/>
          <w:numId w:val="138"/>
        </w:numPr>
        <w:tabs>
          <w:tab w:pos="1329" w:val="left" w:leader="none"/>
          <w:tab w:pos="1330" w:val="left" w:leader="none"/>
        </w:tabs>
        <w:spacing w:line="240" w:lineRule="auto" w:before="126" w:after="0"/>
        <w:ind w:left="1329" w:right="0" w:hanging="355"/>
        <w:jc w:val="left"/>
        <w:rPr>
          <w:sz w:val="38"/>
        </w:rPr>
      </w:pPr>
      <w:r>
        <w:rPr>
          <w:sz w:val="38"/>
        </w:rPr>
        <w:t>Ice tea</w:t>
      </w:r>
    </w:p>
    <w:p>
      <w:pPr>
        <w:pStyle w:val="ListParagraph"/>
        <w:numPr>
          <w:ilvl w:val="0"/>
          <w:numId w:val="138"/>
        </w:numPr>
        <w:tabs>
          <w:tab w:pos="1329" w:val="left" w:leader="none"/>
          <w:tab w:pos="1330" w:val="left" w:leader="none"/>
        </w:tabs>
        <w:spacing w:line="240" w:lineRule="auto" w:before="124" w:after="0"/>
        <w:ind w:left="1329" w:right="0" w:hanging="355"/>
        <w:jc w:val="left"/>
        <w:rPr>
          <w:sz w:val="38"/>
        </w:rPr>
      </w:pPr>
      <w:r>
        <w:rPr>
          <w:sz w:val="38"/>
        </w:rPr>
        <w:t>Sugar</w:t>
      </w:r>
    </w:p>
    <w:p>
      <w:pPr>
        <w:pStyle w:val="ListParagraph"/>
        <w:numPr>
          <w:ilvl w:val="0"/>
          <w:numId w:val="138"/>
        </w:numPr>
        <w:tabs>
          <w:tab w:pos="1329" w:val="left" w:leader="none"/>
          <w:tab w:pos="1330" w:val="left" w:leader="none"/>
        </w:tabs>
        <w:spacing w:line="240" w:lineRule="auto" w:before="124" w:after="0"/>
        <w:ind w:left="1329" w:right="0" w:hanging="355"/>
        <w:jc w:val="left"/>
        <w:rPr>
          <w:sz w:val="38"/>
        </w:rPr>
      </w:pPr>
      <w:r>
        <w:rPr>
          <w:sz w:val="38"/>
        </w:rPr>
        <w:t>Honey</w:t>
      </w:r>
    </w:p>
    <w:p>
      <w:pPr>
        <w:pStyle w:val="ListParagraph"/>
        <w:numPr>
          <w:ilvl w:val="0"/>
          <w:numId w:val="138"/>
        </w:numPr>
        <w:tabs>
          <w:tab w:pos="1329" w:val="left" w:leader="none"/>
          <w:tab w:pos="1330" w:val="left" w:leader="none"/>
        </w:tabs>
        <w:spacing w:line="240" w:lineRule="auto" w:before="123" w:after="0"/>
        <w:ind w:left="1329" w:right="0" w:hanging="355"/>
        <w:jc w:val="left"/>
        <w:rPr>
          <w:sz w:val="38"/>
        </w:rPr>
      </w:pPr>
      <w:r>
        <w:rPr>
          <w:sz w:val="38"/>
        </w:rPr>
        <w:t>Sweetener</w:t>
      </w:r>
    </w:p>
    <w:p>
      <w:pPr>
        <w:pStyle w:val="ListParagraph"/>
        <w:numPr>
          <w:ilvl w:val="0"/>
          <w:numId w:val="138"/>
        </w:numPr>
        <w:tabs>
          <w:tab w:pos="1329" w:val="left" w:leader="none"/>
          <w:tab w:pos="1330" w:val="left" w:leader="none"/>
        </w:tabs>
        <w:spacing w:line="240" w:lineRule="auto" w:before="124" w:after="0"/>
        <w:ind w:left="1329" w:right="0" w:hanging="355"/>
        <w:jc w:val="left"/>
        <w:rPr>
          <w:sz w:val="38"/>
        </w:rPr>
      </w:pPr>
      <w:r>
        <w:rPr>
          <w:sz w:val="38"/>
        </w:rPr>
        <w:t>Vinegar</w:t>
      </w:r>
    </w:p>
    <w:p>
      <w:pPr>
        <w:pStyle w:val="ListParagraph"/>
        <w:numPr>
          <w:ilvl w:val="0"/>
          <w:numId w:val="138"/>
        </w:numPr>
        <w:tabs>
          <w:tab w:pos="1329" w:val="left" w:leader="none"/>
          <w:tab w:pos="1330" w:val="left" w:leader="none"/>
        </w:tabs>
        <w:spacing w:line="240" w:lineRule="auto" w:before="126" w:after="0"/>
        <w:ind w:left="1329" w:right="0" w:hanging="355"/>
        <w:jc w:val="left"/>
        <w:rPr>
          <w:sz w:val="38"/>
        </w:rPr>
      </w:pPr>
      <w:r>
        <w:rPr>
          <w:sz w:val="38"/>
        </w:rPr>
        <w:t>Mustard</w:t>
      </w:r>
    </w:p>
    <w:p>
      <w:pPr>
        <w:pStyle w:val="ListParagraph"/>
        <w:numPr>
          <w:ilvl w:val="0"/>
          <w:numId w:val="138"/>
        </w:numPr>
        <w:tabs>
          <w:tab w:pos="1329" w:val="left" w:leader="none"/>
          <w:tab w:pos="1330" w:val="left" w:leader="none"/>
        </w:tabs>
        <w:spacing w:line="240" w:lineRule="auto" w:before="124" w:after="0"/>
        <w:ind w:left="1329" w:right="0" w:hanging="355"/>
        <w:jc w:val="left"/>
        <w:rPr>
          <w:sz w:val="38"/>
        </w:rPr>
      </w:pPr>
      <w:r>
        <w:rPr>
          <w:sz w:val="38"/>
        </w:rPr>
        <w:t>Ketchup</w:t>
      </w:r>
    </w:p>
    <w:p>
      <w:pPr>
        <w:pStyle w:val="ListParagraph"/>
        <w:numPr>
          <w:ilvl w:val="0"/>
          <w:numId w:val="138"/>
        </w:numPr>
        <w:tabs>
          <w:tab w:pos="1329" w:val="left" w:leader="none"/>
          <w:tab w:pos="1330" w:val="left" w:leader="none"/>
        </w:tabs>
        <w:spacing w:line="240" w:lineRule="auto" w:before="124" w:after="0"/>
        <w:ind w:left="1329" w:right="0" w:hanging="355"/>
        <w:jc w:val="left"/>
        <w:rPr>
          <w:sz w:val="38"/>
        </w:rPr>
      </w:pPr>
      <w:r>
        <w:rPr>
          <w:sz w:val="38"/>
        </w:rPr>
        <w:t>Pickled</w:t>
      </w:r>
      <w:r>
        <w:rPr>
          <w:spacing w:val="-1"/>
          <w:sz w:val="38"/>
        </w:rPr>
        <w:t> </w:t>
      </w:r>
      <w:r>
        <w:rPr>
          <w:sz w:val="38"/>
        </w:rPr>
        <w:t>products</w:t>
      </w:r>
    </w:p>
    <w:p>
      <w:pPr>
        <w:pStyle w:val="ListParagraph"/>
        <w:numPr>
          <w:ilvl w:val="0"/>
          <w:numId w:val="138"/>
        </w:numPr>
        <w:tabs>
          <w:tab w:pos="1329" w:val="left" w:leader="none"/>
          <w:tab w:pos="1330" w:val="left" w:leader="none"/>
        </w:tabs>
        <w:spacing w:line="240" w:lineRule="auto" w:before="123" w:after="0"/>
        <w:ind w:left="1329" w:right="0" w:hanging="355"/>
        <w:jc w:val="left"/>
        <w:rPr>
          <w:sz w:val="38"/>
        </w:rPr>
      </w:pPr>
      <w:r>
        <w:rPr>
          <w:sz w:val="38"/>
        </w:rPr>
        <w:t>Coffee</w:t>
      </w:r>
    </w:p>
    <w:p>
      <w:pPr>
        <w:pStyle w:val="ListParagraph"/>
        <w:numPr>
          <w:ilvl w:val="0"/>
          <w:numId w:val="138"/>
        </w:numPr>
        <w:tabs>
          <w:tab w:pos="1329" w:val="left" w:leader="none"/>
          <w:tab w:pos="1330" w:val="left" w:leader="none"/>
        </w:tabs>
        <w:spacing w:line="240" w:lineRule="auto" w:before="126" w:after="0"/>
        <w:ind w:left="1329" w:right="0" w:hanging="355"/>
        <w:jc w:val="left"/>
        <w:rPr>
          <w:sz w:val="38"/>
        </w:rPr>
      </w:pPr>
      <w:r>
        <w:rPr>
          <w:sz w:val="38"/>
        </w:rPr>
        <w:t>Alcohol</w:t>
      </w:r>
    </w:p>
    <w:p>
      <w:pPr>
        <w:pStyle w:val="ListParagraph"/>
        <w:numPr>
          <w:ilvl w:val="0"/>
          <w:numId w:val="138"/>
        </w:numPr>
        <w:tabs>
          <w:tab w:pos="1329" w:val="left" w:leader="none"/>
          <w:tab w:pos="1330" w:val="left" w:leader="none"/>
        </w:tabs>
        <w:spacing w:line="240" w:lineRule="auto" w:before="124" w:after="0"/>
        <w:ind w:left="1329" w:right="0" w:hanging="355"/>
        <w:jc w:val="left"/>
        <w:rPr>
          <w:sz w:val="38"/>
        </w:rPr>
      </w:pPr>
      <w:r>
        <w:rPr>
          <w:sz w:val="38"/>
        </w:rPr>
        <w:t>Black</w:t>
      </w:r>
      <w:r>
        <w:rPr>
          <w:spacing w:val="-1"/>
          <w:sz w:val="38"/>
        </w:rPr>
        <w:t> </w:t>
      </w:r>
      <w:r>
        <w:rPr>
          <w:sz w:val="38"/>
        </w:rPr>
        <w:t>tea</w:t>
      </w:r>
    </w:p>
    <w:p>
      <w:pPr>
        <w:pStyle w:val="ListParagraph"/>
        <w:numPr>
          <w:ilvl w:val="0"/>
          <w:numId w:val="138"/>
        </w:numPr>
        <w:tabs>
          <w:tab w:pos="1329" w:val="left" w:leader="none"/>
          <w:tab w:pos="1330" w:val="left" w:leader="none"/>
        </w:tabs>
        <w:spacing w:line="240" w:lineRule="auto" w:before="124" w:after="0"/>
        <w:ind w:left="1329" w:right="0" w:hanging="355"/>
        <w:jc w:val="left"/>
        <w:rPr>
          <w:sz w:val="38"/>
        </w:rPr>
      </w:pPr>
      <w:r>
        <w:rPr>
          <w:sz w:val="38"/>
        </w:rPr>
        <w:t>Fruit</w:t>
      </w:r>
      <w:r>
        <w:rPr>
          <w:spacing w:val="-1"/>
          <w:sz w:val="38"/>
        </w:rPr>
        <w:t> </w:t>
      </w:r>
      <w:r>
        <w:rPr>
          <w:sz w:val="38"/>
        </w:rPr>
        <w:t>tea</w:t>
      </w:r>
    </w:p>
    <w:p>
      <w:pPr>
        <w:pStyle w:val="BodyText"/>
        <w:spacing w:line="276" w:lineRule="auto" w:before="302"/>
        <w:ind w:left="616" w:right="134"/>
        <w:jc w:val="both"/>
      </w:pPr>
      <w:r>
        <w:rPr/>
        <w:t>Don’t panic! Of course nobody would expect you to strictly avoid all of these foodstuffs and only consume alkaline nutrition from now on. After all, some of the acid-forming foodstuffs listed supply important nutritional substances such as proteins or vitamins, minerals and bioactive substances, and let’s not forget, the body can easily cope with a certain level of acid and effectively buffer</w:t>
      </w:r>
      <w:r>
        <w:rPr>
          <w:spacing w:val="-14"/>
        </w:rPr>
        <w:t> </w:t>
      </w:r>
      <w:r>
        <w:rPr/>
        <w:t>acids</w:t>
      </w:r>
      <w:r>
        <w:rPr>
          <w:spacing w:val="-14"/>
        </w:rPr>
        <w:t> </w:t>
      </w:r>
      <w:r>
        <w:rPr/>
        <w:t>to</w:t>
      </w:r>
      <w:r>
        <w:rPr>
          <w:spacing w:val="-14"/>
        </w:rPr>
        <w:t> </w:t>
      </w:r>
      <w:r>
        <w:rPr/>
        <w:t>a</w:t>
      </w:r>
      <w:r>
        <w:rPr>
          <w:spacing w:val="-15"/>
        </w:rPr>
        <w:t> </w:t>
      </w:r>
      <w:r>
        <w:rPr/>
        <w:t>certain</w:t>
      </w:r>
      <w:r>
        <w:rPr>
          <w:spacing w:val="-14"/>
        </w:rPr>
        <w:t> </w:t>
      </w:r>
      <w:r>
        <w:rPr/>
        <w:t>point.</w:t>
      </w:r>
      <w:r>
        <w:rPr>
          <w:spacing w:val="-14"/>
        </w:rPr>
        <w:t> </w:t>
      </w:r>
      <w:r>
        <w:rPr/>
        <w:t>However,</w:t>
      </w:r>
      <w:r>
        <w:rPr>
          <w:spacing w:val="-13"/>
        </w:rPr>
        <w:t> </w:t>
      </w:r>
      <w:r>
        <w:rPr/>
        <w:t>you</w:t>
      </w:r>
      <w:r>
        <w:rPr>
          <w:spacing w:val="-14"/>
        </w:rPr>
        <w:t> </w:t>
      </w:r>
      <w:r>
        <w:rPr/>
        <w:t>can</w:t>
      </w:r>
      <w:r>
        <w:rPr>
          <w:spacing w:val="-13"/>
        </w:rPr>
        <w:t> </w:t>
      </w:r>
      <w:r>
        <w:rPr/>
        <w:t>find</w:t>
      </w:r>
      <w:r>
        <w:rPr>
          <w:spacing w:val="-14"/>
        </w:rPr>
        <w:t> </w:t>
      </w:r>
      <w:r>
        <w:rPr/>
        <w:t>out</w:t>
      </w:r>
      <w:r>
        <w:rPr>
          <w:spacing w:val="-15"/>
        </w:rPr>
        <w:t> </w:t>
      </w:r>
      <w:r>
        <w:rPr/>
        <w:t>about</w:t>
      </w:r>
      <w:r>
        <w:rPr>
          <w:spacing w:val="-16"/>
        </w:rPr>
        <w:t> </w:t>
      </w:r>
      <w:r>
        <w:rPr/>
        <w:t>the</w:t>
      </w:r>
      <w:r>
        <w:rPr>
          <w:spacing w:val="-14"/>
        </w:rPr>
        <w:t> </w:t>
      </w:r>
      <w:r>
        <w:rPr/>
        <w:t>foodstuffs upon which you should place particular emphasis in the next section ‘alkaline nutrition’.</w:t>
      </w:r>
    </w:p>
    <w:p>
      <w:pPr>
        <w:spacing w:after="0" w:line="276" w:lineRule="auto"/>
        <w:jc w:val="both"/>
        <w:sectPr>
          <w:pgSz w:w="14270" w:h="16850"/>
          <w:pgMar w:header="0" w:footer="1891" w:top="1360" w:bottom="2080" w:left="800" w:right="1280"/>
        </w:sectPr>
      </w:pPr>
    </w:p>
    <w:p>
      <w:pPr>
        <w:pStyle w:val="Heading2"/>
        <w:spacing w:before="72"/>
        <w:ind w:left="616"/>
      </w:pPr>
      <w:r>
        <w:rPr/>
        <w:t>Base-forming, alkaline food stuffs:</w:t>
      </w:r>
    </w:p>
    <w:p>
      <w:pPr>
        <w:pStyle w:val="BodyText"/>
        <w:spacing w:line="276" w:lineRule="auto" w:before="304"/>
        <w:ind w:left="616" w:right="135"/>
        <w:jc w:val="both"/>
      </w:pPr>
      <w:r>
        <w:rPr/>
        <w:t>In the ‘acid foodstuffs’ section above we discovered which foodstuffs you should avoid in order to de-acidify and maintain an acid-base balance. In the following</w:t>
      </w:r>
      <w:r>
        <w:rPr>
          <w:spacing w:val="-11"/>
        </w:rPr>
        <w:t> </w:t>
      </w:r>
      <w:r>
        <w:rPr/>
        <w:t>list</w:t>
      </w:r>
      <w:r>
        <w:rPr>
          <w:spacing w:val="-11"/>
        </w:rPr>
        <w:t> </w:t>
      </w:r>
      <w:r>
        <w:rPr/>
        <w:t>of</w:t>
      </w:r>
      <w:r>
        <w:rPr>
          <w:spacing w:val="-10"/>
        </w:rPr>
        <w:t> </w:t>
      </w:r>
      <w:r>
        <w:rPr/>
        <w:t>foodstuffs</w:t>
      </w:r>
      <w:r>
        <w:rPr>
          <w:spacing w:val="-12"/>
        </w:rPr>
        <w:t> </w:t>
      </w:r>
      <w:r>
        <w:rPr/>
        <w:t>you</w:t>
      </w:r>
      <w:r>
        <w:rPr>
          <w:spacing w:val="-12"/>
        </w:rPr>
        <w:t> </w:t>
      </w:r>
      <w:r>
        <w:rPr/>
        <w:t>can</w:t>
      </w:r>
      <w:r>
        <w:rPr>
          <w:spacing w:val="-10"/>
        </w:rPr>
        <w:t> </w:t>
      </w:r>
      <w:r>
        <w:rPr/>
        <w:t>find</w:t>
      </w:r>
      <w:r>
        <w:rPr>
          <w:spacing w:val="-11"/>
        </w:rPr>
        <w:t> </w:t>
      </w:r>
      <w:r>
        <w:rPr/>
        <w:t>out</w:t>
      </w:r>
      <w:r>
        <w:rPr>
          <w:spacing w:val="-12"/>
        </w:rPr>
        <w:t> </w:t>
      </w:r>
      <w:r>
        <w:rPr/>
        <w:t>which</w:t>
      </w:r>
      <w:r>
        <w:rPr>
          <w:spacing w:val="-10"/>
        </w:rPr>
        <w:t> </w:t>
      </w:r>
      <w:r>
        <w:rPr/>
        <w:t>ones</w:t>
      </w:r>
      <w:r>
        <w:rPr>
          <w:spacing w:val="-12"/>
        </w:rPr>
        <w:t> </w:t>
      </w:r>
      <w:r>
        <w:rPr/>
        <w:t>have</w:t>
      </w:r>
      <w:r>
        <w:rPr>
          <w:spacing w:val="-11"/>
        </w:rPr>
        <w:t> </w:t>
      </w:r>
      <w:r>
        <w:rPr/>
        <w:t>an</w:t>
      </w:r>
      <w:r>
        <w:rPr>
          <w:spacing w:val="-10"/>
        </w:rPr>
        <w:t> </w:t>
      </w:r>
      <w:r>
        <w:rPr/>
        <w:t>alkaline</w:t>
      </w:r>
      <w:r>
        <w:rPr>
          <w:spacing w:val="-11"/>
        </w:rPr>
        <w:t> </w:t>
      </w:r>
      <w:r>
        <w:rPr/>
        <w:t>effect on</w:t>
      </w:r>
      <w:r>
        <w:rPr>
          <w:spacing w:val="-7"/>
        </w:rPr>
        <w:t> </w:t>
      </w:r>
      <w:r>
        <w:rPr/>
        <w:t>our</w:t>
      </w:r>
      <w:r>
        <w:rPr>
          <w:spacing w:val="-8"/>
        </w:rPr>
        <w:t> </w:t>
      </w:r>
      <w:r>
        <w:rPr/>
        <w:t>body</w:t>
      </w:r>
      <w:r>
        <w:rPr>
          <w:spacing w:val="-6"/>
        </w:rPr>
        <w:t> </w:t>
      </w:r>
      <w:r>
        <w:rPr/>
        <w:t>regions</w:t>
      </w:r>
      <w:r>
        <w:rPr>
          <w:spacing w:val="-7"/>
        </w:rPr>
        <w:t> </w:t>
      </w:r>
      <w:r>
        <w:rPr/>
        <w:t>and</w:t>
      </w:r>
      <w:r>
        <w:rPr>
          <w:spacing w:val="-7"/>
        </w:rPr>
        <w:t> </w:t>
      </w:r>
      <w:r>
        <w:rPr/>
        <w:t>how</w:t>
      </w:r>
      <w:r>
        <w:rPr>
          <w:spacing w:val="-8"/>
        </w:rPr>
        <w:t> </w:t>
      </w:r>
      <w:r>
        <w:rPr/>
        <w:t>you</w:t>
      </w:r>
      <w:r>
        <w:rPr>
          <w:spacing w:val="-8"/>
        </w:rPr>
        <w:t> </w:t>
      </w:r>
      <w:r>
        <w:rPr/>
        <w:t>can</w:t>
      </w:r>
      <w:r>
        <w:rPr>
          <w:spacing w:val="-7"/>
        </w:rPr>
        <w:t> </w:t>
      </w:r>
      <w:r>
        <w:rPr/>
        <w:t>increasingly</w:t>
      </w:r>
      <w:r>
        <w:rPr>
          <w:spacing w:val="-7"/>
        </w:rPr>
        <w:t> </w:t>
      </w:r>
      <w:r>
        <w:rPr/>
        <w:t>incorporate</w:t>
      </w:r>
      <w:r>
        <w:rPr>
          <w:spacing w:val="-11"/>
        </w:rPr>
        <w:t> </w:t>
      </w:r>
      <w:r>
        <w:rPr/>
        <w:t>these</w:t>
      </w:r>
      <w:r>
        <w:rPr>
          <w:spacing w:val="-6"/>
        </w:rPr>
        <w:t> </w:t>
      </w:r>
      <w:r>
        <w:rPr/>
        <w:t>into</w:t>
      </w:r>
      <w:r>
        <w:rPr>
          <w:spacing w:val="-7"/>
        </w:rPr>
        <w:t> </w:t>
      </w:r>
      <w:r>
        <w:rPr/>
        <w:t>your diet.</w:t>
      </w:r>
    </w:p>
    <w:p>
      <w:pPr>
        <w:pStyle w:val="Heading1"/>
        <w:spacing w:before="223"/>
        <w:ind w:left="616"/>
      </w:pPr>
      <w:r>
        <w:rPr/>
        <w:t>Base-forming, alkaline fruit</w:t>
      </w:r>
    </w:p>
    <w:p>
      <w:pPr>
        <w:pStyle w:val="BodyText"/>
        <w:spacing w:line="276" w:lineRule="auto" w:before="299"/>
        <w:ind w:left="616" w:right="144"/>
        <w:jc w:val="both"/>
      </w:pPr>
      <w:r>
        <w:rPr/>
        <w:t>Apples, pineapples, apricots, avocados, bananas, pears, clementines, fresh dates, strawberries, figs, grapefruits, blueberries, raspberries, honeydew mel- ons, red currants, cherries, kiwis, limes, mandarins, mangos, mirabelle plums, nectarines, olives, oranges, papayas, peaches, plums, cranberries, quinces, greengages, gooseberries, star fruit, water melons, red grapes, lemons.</w:t>
      </w:r>
    </w:p>
    <w:p>
      <w:pPr>
        <w:pStyle w:val="Heading1"/>
        <w:spacing w:before="225"/>
        <w:ind w:left="616"/>
      </w:pPr>
      <w:r>
        <w:rPr/>
        <w:t>Base-forming, alkaline vegetables/fungi</w:t>
      </w:r>
    </w:p>
    <w:p>
      <w:pPr>
        <w:pStyle w:val="BodyText"/>
        <w:spacing w:line="276" w:lineRule="auto" w:before="297"/>
        <w:ind w:left="616" w:right="135"/>
        <w:jc w:val="both"/>
      </w:pPr>
      <w:r>
        <w:rPr/>
        <w:t>Aubergines, okra, oyster mushrooms, celery, parsnips, cauliflower, parsley root, green beans, chanterelles, puffball mushrooms, radicchio, broccoli, rad- ishes, mushrooms, Chinese cabbage, radish, alfalfa, lentils, amaranth, mung beans, buckwheat, rosabi, fennel seeds, red clover, sesame, coriander seeds, sunflower seeds, cress, millet, wheat germs, linseed, beetroot, red cabbage, peas, shallots, black salsify, fennel, spring onions, green cabbage, Shiitake mushrooms, cucumbers, carrots, porcini, potatoes, kohlrabi, pointed cabbage, pumpkin,</w:t>
      </w:r>
      <w:r>
        <w:rPr>
          <w:spacing w:val="-14"/>
        </w:rPr>
        <w:t> </w:t>
      </w:r>
      <w:r>
        <w:rPr/>
        <w:t>truffles,</w:t>
      </w:r>
      <w:r>
        <w:rPr>
          <w:spacing w:val="-13"/>
        </w:rPr>
        <w:t> </w:t>
      </w:r>
      <w:r>
        <w:rPr/>
        <w:t>leeks,</w:t>
      </w:r>
      <w:r>
        <w:rPr>
          <w:spacing w:val="-13"/>
        </w:rPr>
        <w:t> </w:t>
      </w:r>
      <w:r>
        <w:rPr/>
        <w:t>white</w:t>
      </w:r>
      <w:r>
        <w:rPr>
          <w:spacing w:val="-15"/>
        </w:rPr>
        <w:t> </w:t>
      </w:r>
      <w:r>
        <w:rPr/>
        <w:t>cabbage,</w:t>
      </w:r>
      <w:r>
        <w:rPr>
          <w:spacing w:val="-14"/>
        </w:rPr>
        <w:t> </w:t>
      </w:r>
      <w:r>
        <w:rPr/>
        <w:t>Swiss</w:t>
      </w:r>
      <w:r>
        <w:rPr>
          <w:spacing w:val="-14"/>
        </w:rPr>
        <w:t> </w:t>
      </w:r>
      <w:r>
        <w:rPr/>
        <w:t>chard,</w:t>
      </w:r>
      <w:r>
        <w:rPr>
          <w:spacing w:val="-13"/>
        </w:rPr>
        <w:t> </w:t>
      </w:r>
      <w:r>
        <w:rPr/>
        <w:t>savoy</w:t>
      </w:r>
      <w:r>
        <w:rPr>
          <w:spacing w:val="-14"/>
        </w:rPr>
        <w:t> </w:t>
      </w:r>
      <w:r>
        <w:rPr/>
        <w:t>cabbage,</w:t>
      </w:r>
      <w:r>
        <w:rPr>
          <w:spacing w:val="-14"/>
        </w:rPr>
        <w:t> </w:t>
      </w:r>
      <w:r>
        <w:rPr/>
        <w:t>courgette, morels, Mu-Err mushrooms,</w:t>
      </w:r>
      <w:r>
        <w:rPr>
          <w:spacing w:val="-2"/>
        </w:rPr>
        <w:t> </w:t>
      </w:r>
      <w:r>
        <w:rPr/>
        <w:t>onions.</w:t>
      </w:r>
    </w:p>
    <w:p>
      <w:pPr>
        <w:spacing w:after="0" w:line="276" w:lineRule="auto"/>
        <w:jc w:val="both"/>
        <w:sectPr>
          <w:pgSz w:w="14270" w:h="16850"/>
          <w:pgMar w:header="0" w:footer="1891" w:top="1340" w:bottom="2080" w:left="800" w:right="1280"/>
        </w:sectPr>
      </w:pPr>
    </w:p>
    <w:p>
      <w:pPr>
        <w:pStyle w:val="Heading1"/>
        <w:spacing w:before="75"/>
        <w:ind w:left="616"/>
      </w:pPr>
      <w:r>
        <w:rPr/>
        <w:t>Base-forming, alkaline salads and herbs</w:t>
      </w:r>
    </w:p>
    <w:p>
      <w:pPr>
        <w:pStyle w:val="BodyText"/>
        <w:spacing w:line="276" w:lineRule="auto" w:before="299"/>
        <w:ind w:left="616"/>
      </w:pPr>
      <w:r>
        <w:rPr/>
        <w:t>Basil, marjoram, savoury, Batavia salad, horseradish, nettles, watercress, mus- cat nut, Melissa, Chinese cabbage, cloves, chickaree, oregano, chilli shoots, parsley, dill, pepper, oak leaf lettuce, peppermint, iceberg lettuce, pimento, ra- dicchio, fennel seeds, Romana lettuce, chicory, garden cress, rocket, ginger, rosemary, saffron, capers, sage, cardamom, sorrel, chervil, coriander, black cumin, lettuce, celery leaves, cumin seed, spinach, cumin, thyme, turmeric, chives, vanilla, Ysop, lovage, cinnamon, lemon balm, Lollo-Rosso lettuce, dandelions, courgette flowers.</w:t>
      </w:r>
    </w:p>
    <w:p>
      <w:pPr>
        <w:pStyle w:val="BodyText"/>
        <w:rPr>
          <w:sz w:val="42"/>
        </w:rPr>
      </w:pPr>
    </w:p>
    <w:p>
      <w:pPr>
        <w:pStyle w:val="BodyText"/>
        <w:spacing w:before="11"/>
        <w:rPr>
          <w:sz w:val="42"/>
        </w:rPr>
      </w:pPr>
    </w:p>
    <w:p>
      <w:pPr>
        <w:spacing w:line="400" w:lineRule="auto" w:before="0"/>
        <w:ind w:left="616" w:right="5446" w:firstLine="0"/>
        <w:jc w:val="left"/>
        <w:rPr>
          <w:b/>
          <w:i/>
          <w:sz w:val="40"/>
        </w:rPr>
      </w:pPr>
      <w:r>
        <w:rPr>
          <w:b/>
          <w:i/>
          <w:w w:val="95"/>
          <w:sz w:val="40"/>
        </w:rPr>
        <w:t>Base-forming, alkaline nuts and seeds </w:t>
      </w:r>
      <w:r>
        <w:rPr>
          <w:sz w:val="38"/>
        </w:rPr>
        <w:t>Pumpkin seeds, almonds, poppy seeds </w:t>
      </w:r>
      <w:r>
        <w:rPr>
          <w:b/>
          <w:i/>
          <w:sz w:val="40"/>
        </w:rPr>
        <w:t>80:20 – the right ratio is crucial!</w:t>
      </w:r>
    </w:p>
    <w:p>
      <w:pPr>
        <w:pStyle w:val="BodyText"/>
        <w:spacing w:line="276" w:lineRule="auto"/>
        <w:ind w:left="616" w:right="136"/>
        <w:jc w:val="both"/>
      </w:pPr>
      <w:r>
        <w:rPr/>
        <w:t>If</w:t>
      </w:r>
      <w:r>
        <w:rPr>
          <w:spacing w:val="-10"/>
        </w:rPr>
        <w:t> </w:t>
      </w:r>
      <w:r>
        <w:rPr/>
        <w:t>we</w:t>
      </w:r>
      <w:r>
        <w:rPr>
          <w:spacing w:val="-9"/>
        </w:rPr>
        <w:t> </w:t>
      </w:r>
      <w:r>
        <w:rPr/>
        <w:t>do</w:t>
      </w:r>
      <w:r>
        <w:rPr>
          <w:spacing w:val="-8"/>
        </w:rPr>
        <w:t> </w:t>
      </w:r>
      <w:r>
        <w:rPr/>
        <w:t>not</w:t>
      </w:r>
      <w:r>
        <w:rPr>
          <w:spacing w:val="-10"/>
        </w:rPr>
        <w:t> </w:t>
      </w:r>
      <w:r>
        <w:rPr/>
        <w:t>need</w:t>
      </w:r>
      <w:r>
        <w:rPr>
          <w:spacing w:val="-9"/>
        </w:rPr>
        <w:t> </w:t>
      </w:r>
      <w:r>
        <w:rPr/>
        <w:t>to</w:t>
      </w:r>
      <w:r>
        <w:rPr>
          <w:spacing w:val="-8"/>
        </w:rPr>
        <w:t> </w:t>
      </w:r>
      <w:r>
        <w:rPr/>
        <w:t>completely</w:t>
      </w:r>
      <w:r>
        <w:rPr>
          <w:spacing w:val="-10"/>
        </w:rPr>
        <w:t> </w:t>
      </w:r>
      <w:r>
        <w:rPr/>
        <w:t>avoid</w:t>
      </w:r>
      <w:r>
        <w:rPr>
          <w:spacing w:val="-9"/>
        </w:rPr>
        <w:t> </w:t>
      </w:r>
      <w:r>
        <w:rPr/>
        <w:t>acid-forming</w:t>
      </w:r>
      <w:r>
        <w:rPr>
          <w:spacing w:val="-8"/>
        </w:rPr>
        <w:t> </w:t>
      </w:r>
      <w:r>
        <w:rPr/>
        <w:t>foodstuffs</w:t>
      </w:r>
      <w:r>
        <w:rPr>
          <w:spacing w:val="-10"/>
        </w:rPr>
        <w:t> </w:t>
      </w:r>
      <w:r>
        <w:rPr/>
        <w:t>but</w:t>
      </w:r>
      <w:r>
        <w:rPr>
          <w:spacing w:val="-9"/>
        </w:rPr>
        <w:t> </w:t>
      </w:r>
      <w:r>
        <w:rPr/>
        <w:t>should</w:t>
      </w:r>
      <w:r>
        <w:rPr>
          <w:spacing w:val="-9"/>
        </w:rPr>
        <w:t> </w:t>
      </w:r>
      <w:r>
        <w:rPr/>
        <w:t>still favour alkaline foodstuffs, the obvious question is: what should the ratio of one to the other be? As briefly discussed above, experts recommend that a ratio of 80 % alkaline to 20 % acid-forming foodstuffs and beverages should make up our diet. In practice, this means that you should have a maximum proportion of 20 % of the acid-forming foodstuffs listed above in your diet and the remaining 80 % should be made up by alkaline foodstuffs and bever- ages.</w:t>
      </w:r>
    </w:p>
    <w:p>
      <w:pPr>
        <w:spacing w:after="0" w:line="276" w:lineRule="auto"/>
        <w:jc w:val="both"/>
        <w:sectPr>
          <w:pgSz w:w="14270" w:h="16850"/>
          <w:pgMar w:header="0" w:footer="1891" w:top="1320" w:bottom="2080" w:left="800" w:right="1280"/>
        </w:sectPr>
      </w:pPr>
    </w:p>
    <w:p>
      <w:pPr>
        <w:pStyle w:val="BodyText"/>
        <w:spacing w:line="276" w:lineRule="auto" w:before="72"/>
        <w:ind w:left="616" w:right="134"/>
        <w:jc w:val="both"/>
      </w:pPr>
      <w:r>
        <w:rPr>
          <w:i/>
        </w:rPr>
        <w:t>HINT: </w:t>
      </w:r>
      <w:r>
        <w:rPr/>
        <w:t>If you find yourself in a gourmet situation due to an invitation or even self-prescribed and you reach for acid-forming foodstuffs and luxury foods such as grilled sausage, beer or sweets (Case 1 should avoid this situation at</w:t>
      </w:r>
      <w:r>
        <w:rPr>
          <w:spacing w:val="-65"/>
        </w:rPr>
        <w:t> </w:t>
      </w:r>
      <w:r>
        <w:rPr/>
        <w:t>all costs!),</w:t>
      </w:r>
      <w:r>
        <w:rPr>
          <w:spacing w:val="-9"/>
        </w:rPr>
        <w:t> </w:t>
      </w:r>
      <w:r>
        <w:rPr/>
        <w:t>you</w:t>
      </w:r>
      <w:r>
        <w:rPr>
          <w:spacing w:val="-8"/>
        </w:rPr>
        <w:t> </w:t>
      </w:r>
      <w:r>
        <w:rPr/>
        <w:t>should</w:t>
      </w:r>
      <w:r>
        <w:rPr>
          <w:spacing w:val="-8"/>
        </w:rPr>
        <w:t> </w:t>
      </w:r>
      <w:r>
        <w:rPr/>
        <w:t>try</w:t>
      </w:r>
      <w:r>
        <w:rPr>
          <w:spacing w:val="-7"/>
        </w:rPr>
        <w:t> </w:t>
      </w:r>
      <w:r>
        <w:rPr/>
        <w:t>to</w:t>
      </w:r>
      <w:r>
        <w:rPr>
          <w:spacing w:val="-6"/>
        </w:rPr>
        <w:t> </w:t>
      </w:r>
      <w:r>
        <w:rPr/>
        <w:t>consume</w:t>
      </w:r>
      <w:r>
        <w:rPr>
          <w:spacing w:val="-7"/>
        </w:rPr>
        <w:t> </w:t>
      </w:r>
      <w:r>
        <w:rPr/>
        <w:t>more</w:t>
      </w:r>
      <w:r>
        <w:rPr>
          <w:spacing w:val="-8"/>
        </w:rPr>
        <w:t> </w:t>
      </w:r>
      <w:r>
        <w:rPr/>
        <w:t>alkaline</w:t>
      </w:r>
      <w:r>
        <w:rPr>
          <w:spacing w:val="-7"/>
        </w:rPr>
        <w:t> </w:t>
      </w:r>
      <w:r>
        <w:rPr/>
        <w:t>foodstuff</w:t>
      </w:r>
      <w:r>
        <w:rPr>
          <w:spacing w:val="-8"/>
        </w:rPr>
        <w:t> </w:t>
      </w:r>
      <w:r>
        <w:rPr/>
        <w:t>afterwards</w:t>
      </w:r>
      <w:r>
        <w:rPr>
          <w:spacing w:val="-7"/>
        </w:rPr>
        <w:t> </w:t>
      </w:r>
      <w:r>
        <w:rPr/>
        <w:t>in</w:t>
      </w:r>
      <w:r>
        <w:rPr>
          <w:spacing w:val="-7"/>
        </w:rPr>
        <w:t> </w:t>
      </w:r>
      <w:r>
        <w:rPr/>
        <w:t>order to balance out the acids in the body! Proper flooding with bases is even more efficient,</w:t>
      </w:r>
      <w:r>
        <w:rPr>
          <w:spacing w:val="-20"/>
        </w:rPr>
        <w:t> </w:t>
      </w:r>
      <w:r>
        <w:rPr/>
        <w:t>for</w:t>
      </w:r>
      <w:r>
        <w:rPr>
          <w:spacing w:val="-20"/>
        </w:rPr>
        <w:t> </w:t>
      </w:r>
      <w:r>
        <w:rPr/>
        <w:t>example</w:t>
      </w:r>
      <w:r>
        <w:rPr>
          <w:spacing w:val="-21"/>
        </w:rPr>
        <w:t> </w:t>
      </w:r>
      <w:r>
        <w:rPr/>
        <w:t>by</w:t>
      </w:r>
      <w:r>
        <w:rPr>
          <w:spacing w:val="-21"/>
        </w:rPr>
        <w:t> </w:t>
      </w:r>
      <w:r>
        <w:rPr/>
        <w:t>dissolving</w:t>
      </w:r>
      <w:r>
        <w:rPr>
          <w:spacing w:val="-20"/>
        </w:rPr>
        <w:t> </w:t>
      </w:r>
      <w:r>
        <w:rPr/>
        <w:t>a</w:t>
      </w:r>
      <w:r>
        <w:rPr>
          <w:spacing w:val="-21"/>
        </w:rPr>
        <w:t> </w:t>
      </w:r>
      <w:r>
        <w:rPr/>
        <w:t>teaspoon</w:t>
      </w:r>
      <w:r>
        <w:rPr>
          <w:spacing w:val="-23"/>
        </w:rPr>
        <w:t> </w:t>
      </w:r>
      <w:r>
        <w:rPr/>
        <w:t>of</w:t>
      </w:r>
      <w:r>
        <w:rPr>
          <w:spacing w:val="-23"/>
        </w:rPr>
        <w:t> </w:t>
      </w:r>
      <w:r>
        <w:rPr/>
        <w:t>sodium</w:t>
      </w:r>
      <w:r>
        <w:rPr>
          <w:spacing w:val="-21"/>
        </w:rPr>
        <w:t> </w:t>
      </w:r>
      <w:r>
        <w:rPr/>
        <w:t>bicarbonate</w:t>
      </w:r>
      <w:r>
        <w:rPr>
          <w:spacing w:val="-21"/>
        </w:rPr>
        <w:t> </w:t>
      </w:r>
      <w:r>
        <w:rPr/>
        <w:t>in</w:t>
      </w:r>
      <w:r>
        <w:rPr>
          <w:spacing w:val="-20"/>
        </w:rPr>
        <w:t> </w:t>
      </w:r>
      <w:r>
        <w:rPr/>
        <w:t>a</w:t>
      </w:r>
      <w:r>
        <w:rPr>
          <w:spacing w:val="-22"/>
        </w:rPr>
        <w:t> </w:t>
      </w:r>
      <w:r>
        <w:rPr/>
        <w:t>large glass of warm water and drinking it all at</w:t>
      </w:r>
      <w:r>
        <w:rPr>
          <w:spacing w:val="-1"/>
        </w:rPr>
        <w:t> </w:t>
      </w:r>
      <w:r>
        <w:rPr/>
        <w:t>once.</w:t>
      </w:r>
    </w:p>
    <w:p>
      <w:pPr>
        <w:pStyle w:val="Heading2"/>
        <w:spacing w:line="276" w:lineRule="auto" w:before="241"/>
        <w:ind w:left="616" w:right="141"/>
        <w:jc w:val="both"/>
      </w:pPr>
      <w:r>
        <w:rPr/>
        <w:t>Precise evaluation of the acid-base values of our foodstuffs: the PRAL table</w:t>
      </w:r>
    </w:p>
    <w:p>
      <w:pPr>
        <w:pStyle w:val="BodyText"/>
        <w:spacing w:line="276" w:lineRule="auto" w:before="240"/>
        <w:ind w:left="616" w:right="136"/>
        <w:jc w:val="both"/>
      </w:pPr>
      <w:r>
        <w:rPr/>
        <w:t>The</w:t>
      </w:r>
      <w:r>
        <w:rPr>
          <w:spacing w:val="-17"/>
        </w:rPr>
        <w:t> </w:t>
      </w:r>
      <w:r>
        <w:rPr/>
        <w:t>statements</w:t>
      </w:r>
      <w:r>
        <w:rPr>
          <w:spacing w:val="-20"/>
        </w:rPr>
        <w:t> </w:t>
      </w:r>
      <w:r>
        <w:rPr/>
        <w:t>‘acid’</w:t>
      </w:r>
      <w:r>
        <w:rPr>
          <w:spacing w:val="-17"/>
        </w:rPr>
        <w:t> </w:t>
      </w:r>
      <w:r>
        <w:rPr/>
        <w:t>or</w:t>
      </w:r>
      <w:r>
        <w:rPr>
          <w:spacing w:val="-19"/>
        </w:rPr>
        <w:t> </w:t>
      </w:r>
      <w:r>
        <w:rPr/>
        <w:t>‘alkaline’</w:t>
      </w:r>
      <w:r>
        <w:rPr>
          <w:spacing w:val="-16"/>
        </w:rPr>
        <w:t> </w:t>
      </w:r>
      <w:r>
        <w:rPr/>
        <w:t>have</w:t>
      </w:r>
      <w:r>
        <w:rPr>
          <w:spacing w:val="-20"/>
        </w:rPr>
        <w:t> </w:t>
      </w:r>
      <w:r>
        <w:rPr/>
        <w:t>offered</w:t>
      </w:r>
      <w:r>
        <w:rPr>
          <w:spacing w:val="-18"/>
        </w:rPr>
        <w:t> </w:t>
      </w:r>
      <w:r>
        <w:rPr/>
        <w:t>guidance</w:t>
      </w:r>
      <w:r>
        <w:rPr>
          <w:spacing w:val="-17"/>
        </w:rPr>
        <w:t> </w:t>
      </w:r>
      <w:r>
        <w:rPr/>
        <w:t>up</w:t>
      </w:r>
      <w:r>
        <w:rPr>
          <w:spacing w:val="-17"/>
        </w:rPr>
        <w:t> </w:t>
      </w:r>
      <w:r>
        <w:rPr/>
        <w:t>to</w:t>
      </w:r>
      <w:r>
        <w:rPr>
          <w:spacing w:val="-20"/>
        </w:rPr>
        <w:t> </w:t>
      </w:r>
      <w:r>
        <w:rPr/>
        <w:t>now.</w:t>
      </w:r>
      <w:r>
        <w:rPr>
          <w:spacing w:val="-16"/>
        </w:rPr>
        <w:t> </w:t>
      </w:r>
      <w:r>
        <w:rPr/>
        <w:t>The</w:t>
      </w:r>
      <w:r>
        <w:rPr>
          <w:spacing w:val="-19"/>
        </w:rPr>
        <w:t> </w:t>
      </w:r>
      <w:r>
        <w:rPr/>
        <w:t>PRAL table</w:t>
      </w:r>
      <w:r>
        <w:rPr>
          <w:spacing w:val="-7"/>
        </w:rPr>
        <w:t> </w:t>
      </w:r>
      <w:r>
        <w:rPr/>
        <w:t>from</w:t>
      </w:r>
      <w:r>
        <w:rPr>
          <w:spacing w:val="-6"/>
        </w:rPr>
        <w:t> </w:t>
      </w:r>
      <w:r>
        <w:rPr/>
        <w:t>scientists</w:t>
      </w:r>
      <w:r>
        <w:rPr>
          <w:spacing w:val="-9"/>
        </w:rPr>
        <w:t> </w:t>
      </w:r>
      <w:r>
        <w:rPr/>
        <w:t>Remer</w:t>
      </w:r>
      <w:r>
        <w:rPr>
          <w:spacing w:val="-5"/>
        </w:rPr>
        <w:t> </w:t>
      </w:r>
      <w:r>
        <w:rPr/>
        <w:t>and</w:t>
      </w:r>
      <w:r>
        <w:rPr>
          <w:spacing w:val="-7"/>
        </w:rPr>
        <w:t> </w:t>
      </w:r>
      <w:r>
        <w:rPr/>
        <w:t>Manz,</w:t>
      </w:r>
      <w:r>
        <w:rPr>
          <w:spacing w:val="-5"/>
        </w:rPr>
        <w:t> </w:t>
      </w:r>
      <w:r>
        <w:rPr/>
        <w:t>on</w:t>
      </w:r>
      <w:r>
        <w:rPr>
          <w:spacing w:val="-6"/>
        </w:rPr>
        <w:t> </w:t>
      </w:r>
      <w:r>
        <w:rPr/>
        <w:t>the</w:t>
      </w:r>
      <w:r>
        <w:rPr>
          <w:spacing w:val="-7"/>
        </w:rPr>
        <w:t> </w:t>
      </w:r>
      <w:r>
        <w:rPr/>
        <w:t>other</w:t>
      </w:r>
      <w:r>
        <w:rPr>
          <w:spacing w:val="-6"/>
        </w:rPr>
        <w:t> </w:t>
      </w:r>
      <w:r>
        <w:rPr/>
        <w:t>hand,</w:t>
      </w:r>
      <w:r>
        <w:rPr>
          <w:spacing w:val="-5"/>
        </w:rPr>
        <w:t> </w:t>
      </w:r>
      <w:r>
        <w:rPr/>
        <w:t>enables</w:t>
      </w:r>
      <w:r>
        <w:rPr>
          <w:spacing w:val="-6"/>
        </w:rPr>
        <w:t> </w:t>
      </w:r>
      <w:r>
        <w:rPr/>
        <w:t>a</w:t>
      </w:r>
      <w:r>
        <w:rPr>
          <w:spacing w:val="-7"/>
        </w:rPr>
        <w:t> </w:t>
      </w:r>
      <w:r>
        <w:rPr/>
        <w:t>really</w:t>
      </w:r>
      <w:r>
        <w:rPr>
          <w:spacing w:val="-7"/>
        </w:rPr>
        <w:t> </w:t>
      </w:r>
      <w:r>
        <w:rPr/>
        <w:t>pre- cise prediction of the acid pollution respective foodstuffs bring</w:t>
      </w:r>
      <w:r>
        <w:rPr>
          <w:spacing w:val="-11"/>
        </w:rPr>
        <w:t> </w:t>
      </w:r>
      <w:r>
        <w:rPr/>
        <w:t>about.</w:t>
      </w:r>
    </w:p>
    <w:p>
      <w:pPr>
        <w:pStyle w:val="Heading1"/>
        <w:ind w:left="616"/>
      </w:pPr>
      <w:r>
        <w:rPr/>
        <w:t>The PRAL table according to Remer and Manz:</w:t>
      </w:r>
    </w:p>
    <w:p>
      <w:pPr>
        <w:pStyle w:val="BodyText"/>
        <w:spacing w:line="276" w:lineRule="auto" w:before="298"/>
        <w:ind w:left="616" w:right="138"/>
        <w:jc w:val="both"/>
      </w:pPr>
      <w:r>
        <w:rPr/>
        <w:t>The following table illustrates the renal acid pollution (PRAL) of 114 fre- quently</w:t>
      </w:r>
      <w:r>
        <w:rPr>
          <w:spacing w:val="-17"/>
        </w:rPr>
        <w:t> </w:t>
      </w:r>
      <w:r>
        <w:rPr/>
        <w:t>consumed</w:t>
      </w:r>
      <w:r>
        <w:rPr>
          <w:spacing w:val="-16"/>
        </w:rPr>
        <w:t> </w:t>
      </w:r>
      <w:r>
        <w:rPr/>
        <w:t>foodstuffs</w:t>
      </w:r>
      <w:r>
        <w:rPr>
          <w:spacing w:val="-17"/>
        </w:rPr>
        <w:t> </w:t>
      </w:r>
      <w:r>
        <w:rPr/>
        <w:t>and</w:t>
      </w:r>
      <w:r>
        <w:rPr>
          <w:spacing w:val="-16"/>
        </w:rPr>
        <w:t> </w:t>
      </w:r>
      <w:r>
        <w:rPr/>
        <w:t>beverages</w:t>
      </w:r>
      <w:r>
        <w:rPr>
          <w:spacing w:val="-18"/>
        </w:rPr>
        <w:t> </w:t>
      </w:r>
      <w:r>
        <w:rPr/>
        <w:t>per</w:t>
      </w:r>
      <w:r>
        <w:rPr>
          <w:spacing w:val="-20"/>
        </w:rPr>
        <w:t> </w:t>
      </w:r>
      <w:r>
        <w:rPr/>
        <w:t>100</w:t>
      </w:r>
      <w:r>
        <w:rPr>
          <w:spacing w:val="-17"/>
        </w:rPr>
        <w:t> </w:t>
      </w:r>
      <w:r>
        <w:rPr/>
        <w:t>g</w:t>
      </w:r>
      <w:r>
        <w:rPr>
          <w:spacing w:val="-16"/>
        </w:rPr>
        <w:t> </w:t>
      </w:r>
      <w:r>
        <w:rPr/>
        <w:t>or</w:t>
      </w:r>
      <w:r>
        <w:rPr>
          <w:spacing w:val="-17"/>
        </w:rPr>
        <w:t> </w:t>
      </w:r>
      <w:r>
        <w:rPr/>
        <w:t>100</w:t>
      </w:r>
      <w:r>
        <w:rPr>
          <w:spacing w:val="-18"/>
        </w:rPr>
        <w:t> </w:t>
      </w:r>
      <w:r>
        <w:rPr/>
        <w:t>ml</w:t>
      </w:r>
      <w:r>
        <w:rPr>
          <w:spacing w:val="-21"/>
        </w:rPr>
        <w:t> </w:t>
      </w:r>
      <w:r>
        <w:rPr/>
        <w:t>for</w:t>
      </w:r>
      <w:r>
        <w:rPr>
          <w:spacing w:val="-15"/>
        </w:rPr>
        <w:t> </w:t>
      </w:r>
      <w:r>
        <w:rPr/>
        <w:t>beverages.</w:t>
      </w:r>
    </w:p>
    <w:p>
      <w:pPr>
        <w:pStyle w:val="BodyText"/>
        <w:rPr>
          <w:sz w:val="42"/>
        </w:rPr>
      </w:pPr>
    </w:p>
    <w:p>
      <w:pPr>
        <w:spacing w:line="410" w:lineRule="auto" w:before="260"/>
        <w:ind w:left="616" w:right="7968" w:firstLine="0"/>
        <w:jc w:val="left"/>
        <w:rPr>
          <w:i/>
          <w:sz w:val="38"/>
        </w:rPr>
      </w:pPr>
      <w:r>
        <w:rPr>
          <w:i/>
          <w:sz w:val="38"/>
        </w:rPr>
        <w:t>Minus value = base-forming </w:t>
      </w:r>
      <w:r>
        <w:rPr>
          <w:i/>
          <w:sz w:val="38"/>
        </w:rPr>
        <w:t>Plus value = acid-forming</w:t>
      </w:r>
    </w:p>
    <w:p>
      <w:pPr>
        <w:spacing w:after="0" w:line="410" w:lineRule="auto"/>
        <w:jc w:val="left"/>
        <w:rPr>
          <w:sz w:val="38"/>
        </w:rPr>
        <w:sectPr>
          <w:pgSz w:w="14270" w:h="16850"/>
          <w:pgMar w:header="0" w:footer="1891" w:top="1340" w:bottom="2080" w:left="800" w:right="1280"/>
        </w:sectPr>
      </w:pPr>
    </w:p>
    <w:tbl>
      <w:tblPr>
        <w:tblW w:w="0" w:type="auto"/>
        <w:jc w:val="left"/>
        <w:tblInd w:w="6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971"/>
        <w:gridCol w:w="1272"/>
      </w:tblGrid>
      <w:tr>
        <w:trPr>
          <w:trHeight w:val="494" w:hRule="atLeast"/>
        </w:trPr>
        <w:tc>
          <w:tcPr>
            <w:tcW w:w="6243" w:type="dxa"/>
            <w:gridSpan w:val="2"/>
            <w:tcBorders>
              <w:left w:val="single" w:sz="6" w:space="0" w:color="000000"/>
              <w:right w:val="single" w:sz="6" w:space="0" w:color="000000"/>
            </w:tcBorders>
            <w:shd w:val="clear" w:color="auto" w:fill="CCCCFF"/>
          </w:tcPr>
          <w:p>
            <w:pPr>
              <w:pStyle w:val="TableParagraph"/>
              <w:spacing w:line="422" w:lineRule="exact"/>
              <w:ind w:left="2178" w:right="2164"/>
              <w:jc w:val="center"/>
              <w:rPr>
                <w:b/>
                <w:sz w:val="38"/>
              </w:rPr>
            </w:pPr>
            <w:r>
              <w:rPr>
                <w:b/>
                <w:sz w:val="38"/>
              </w:rPr>
              <w:t>Beverages</w:t>
            </w:r>
          </w:p>
        </w:tc>
      </w:tr>
      <w:tr>
        <w:trPr>
          <w:trHeight w:val="491" w:hRule="atLeast"/>
        </w:trPr>
        <w:tc>
          <w:tcPr>
            <w:tcW w:w="4971" w:type="dxa"/>
            <w:tcBorders>
              <w:left w:val="single" w:sz="6" w:space="0" w:color="000000"/>
            </w:tcBorders>
          </w:tcPr>
          <w:p>
            <w:pPr>
              <w:pStyle w:val="TableParagraph"/>
              <w:spacing w:line="419" w:lineRule="exact"/>
              <w:ind w:left="12"/>
              <w:jc w:val="center"/>
              <w:rPr>
                <w:sz w:val="38"/>
              </w:rPr>
            </w:pPr>
            <w:r>
              <w:rPr>
                <w:sz w:val="38"/>
              </w:rPr>
              <w:t>Beer, draft</w:t>
            </w:r>
          </w:p>
        </w:tc>
        <w:tc>
          <w:tcPr>
            <w:tcW w:w="1272" w:type="dxa"/>
            <w:tcBorders>
              <w:right w:val="single" w:sz="6" w:space="0" w:color="000000"/>
            </w:tcBorders>
          </w:tcPr>
          <w:p>
            <w:pPr>
              <w:pStyle w:val="TableParagraph"/>
              <w:spacing w:line="419" w:lineRule="exact"/>
              <w:ind w:right="341"/>
              <w:jc w:val="right"/>
              <w:rPr>
                <w:sz w:val="38"/>
              </w:rPr>
            </w:pPr>
            <w:r>
              <w:rPr>
                <w:sz w:val="38"/>
              </w:rPr>
              <w:t>-0.2</w:t>
            </w:r>
          </w:p>
        </w:tc>
      </w:tr>
      <w:tr>
        <w:trPr>
          <w:trHeight w:val="491" w:hRule="atLeast"/>
        </w:trPr>
        <w:tc>
          <w:tcPr>
            <w:tcW w:w="4971" w:type="dxa"/>
            <w:tcBorders>
              <w:left w:val="single" w:sz="6" w:space="0" w:color="000000"/>
            </w:tcBorders>
          </w:tcPr>
          <w:p>
            <w:pPr>
              <w:pStyle w:val="TableParagraph"/>
              <w:spacing w:line="419" w:lineRule="exact"/>
              <w:ind w:left="14"/>
              <w:jc w:val="center"/>
              <w:rPr>
                <w:sz w:val="38"/>
              </w:rPr>
            </w:pPr>
            <w:r>
              <w:rPr>
                <w:sz w:val="38"/>
              </w:rPr>
              <w:t>Beer, light</w:t>
            </w:r>
          </w:p>
        </w:tc>
        <w:tc>
          <w:tcPr>
            <w:tcW w:w="1272" w:type="dxa"/>
            <w:tcBorders>
              <w:right w:val="single" w:sz="6" w:space="0" w:color="000000"/>
            </w:tcBorders>
          </w:tcPr>
          <w:p>
            <w:pPr>
              <w:pStyle w:val="TableParagraph"/>
              <w:spacing w:line="419" w:lineRule="exact"/>
              <w:ind w:right="398"/>
              <w:jc w:val="right"/>
              <w:rPr>
                <w:sz w:val="38"/>
              </w:rPr>
            </w:pPr>
            <w:r>
              <w:rPr>
                <w:w w:val="95"/>
                <w:sz w:val="38"/>
              </w:rPr>
              <w:t>0.9</w:t>
            </w:r>
          </w:p>
        </w:tc>
      </w:tr>
      <w:tr>
        <w:trPr>
          <w:trHeight w:val="491" w:hRule="atLeast"/>
        </w:trPr>
        <w:tc>
          <w:tcPr>
            <w:tcW w:w="4971" w:type="dxa"/>
            <w:tcBorders>
              <w:left w:val="single" w:sz="6" w:space="0" w:color="000000"/>
            </w:tcBorders>
          </w:tcPr>
          <w:p>
            <w:pPr>
              <w:pStyle w:val="TableParagraph"/>
              <w:spacing w:line="419" w:lineRule="exact"/>
              <w:ind w:left="13"/>
              <w:jc w:val="center"/>
              <w:rPr>
                <w:sz w:val="38"/>
              </w:rPr>
            </w:pPr>
            <w:r>
              <w:rPr>
                <w:sz w:val="38"/>
              </w:rPr>
              <w:t>Beer, dark in bottles</w:t>
            </w:r>
          </w:p>
        </w:tc>
        <w:tc>
          <w:tcPr>
            <w:tcW w:w="1272" w:type="dxa"/>
            <w:tcBorders>
              <w:right w:val="single" w:sz="6" w:space="0" w:color="000000"/>
            </w:tcBorders>
          </w:tcPr>
          <w:p>
            <w:pPr>
              <w:pStyle w:val="TableParagraph"/>
              <w:spacing w:line="419" w:lineRule="exact"/>
              <w:ind w:right="341"/>
              <w:jc w:val="right"/>
              <w:rPr>
                <w:sz w:val="38"/>
              </w:rPr>
            </w:pPr>
            <w:r>
              <w:rPr>
                <w:sz w:val="38"/>
              </w:rPr>
              <w:t>-0.1</w:t>
            </w:r>
          </w:p>
        </w:tc>
      </w:tr>
      <w:tr>
        <w:trPr>
          <w:trHeight w:val="491" w:hRule="atLeast"/>
        </w:trPr>
        <w:tc>
          <w:tcPr>
            <w:tcW w:w="4971" w:type="dxa"/>
            <w:tcBorders>
              <w:left w:val="single" w:sz="6" w:space="0" w:color="000000"/>
            </w:tcBorders>
          </w:tcPr>
          <w:p>
            <w:pPr>
              <w:pStyle w:val="TableParagraph"/>
              <w:spacing w:line="419" w:lineRule="exact"/>
              <w:ind w:left="14"/>
              <w:jc w:val="center"/>
              <w:rPr>
                <w:sz w:val="38"/>
              </w:rPr>
            </w:pPr>
            <w:r>
              <w:rPr>
                <w:sz w:val="38"/>
              </w:rPr>
              <w:t>Coca-Cola</w:t>
            </w:r>
          </w:p>
        </w:tc>
        <w:tc>
          <w:tcPr>
            <w:tcW w:w="1272" w:type="dxa"/>
            <w:tcBorders>
              <w:right w:val="single" w:sz="6" w:space="0" w:color="000000"/>
            </w:tcBorders>
          </w:tcPr>
          <w:p>
            <w:pPr>
              <w:pStyle w:val="TableParagraph"/>
              <w:spacing w:line="419" w:lineRule="exact"/>
              <w:ind w:right="398"/>
              <w:jc w:val="right"/>
              <w:rPr>
                <w:sz w:val="38"/>
              </w:rPr>
            </w:pPr>
            <w:r>
              <w:rPr>
                <w:w w:val="95"/>
                <w:sz w:val="38"/>
              </w:rPr>
              <w:t>0.4</w:t>
            </w:r>
          </w:p>
        </w:tc>
      </w:tr>
      <w:tr>
        <w:trPr>
          <w:trHeight w:val="983" w:hRule="atLeast"/>
        </w:trPr>
        <w:tc>
          <w:tcPr>
            <w:tcW w:w="4971" w:type="dxa"/>
            <w:tcBorders>
              <w:left w:val="single" w:sz="6" w:space="0" w:color="000000"/>
            </w:tcBorders>
          </w:tcPr>
          <w:p>
            <w:pPr>
              <w:pStyle w:val="TableParagraph"/>
              <w:spacing w:line="421" w:lineRule="exact"/>
              <w:ind w:left="11"/>
              <w:jc w:val="center"/>
              <w:rPr>
                <w:sz w:val="38"/>
              </w:rPr>
            </w:pPr>
            <w:r>
              <w:rPr>
                <w:sz w:val="38"/>
              </w:rPr>
              <w:t>Cocoa, made from skimmed milk</w:t>
            </w:r>
          </w:p>
          <w:p>
            <w:pPr>
              <w:pStyle w:val="TableParagraph"/>
              <w:spacing w:before="62"/>
              <w:ind w:left="17"/>
              <w:jc w:val="center"/>
              <w:rPr>
                <w:sz w:val="38"/>
              </w:rPr>
            </w:pPr>
            <w:r>
              <w:rPr>
                <w:sz w:val="38"/>
              </w:rPr>
              <w:t>(3.5 %)</w:t>
            </w:r>
          </w:p>
        </w:tc>
        <w:tc>
          <w:tcPr>
            <w:tcW w:w="1272" w:type="dxa"/>
            <w:tcBorders>
              <w:right w:val="single" w:sz="6" w:space="0" w:color="000000"/>
            </w:tcBorders>
          </w:tcPr>
          <w:p>
            <w:pPr>
              <w:pStyle w:val="TableParagraph"/>
              <w:spacing w:before="238"/>
              <w:ind w:right="341"/>
              <w:jc w:val="right"/>
              <w:rPr>
                <w:sz w:val="38"/>
              </w:rPr>
            </w:pPr>
            <w:r>
              <w:rPr>
                <w:sz w:val="38"/>
              </w:rPr>
              <w:t>-0.4</w:t>
            </w:r>
          </w:p>
        </w:tc>
      </w:tr>
      <w:tr>
        <w:trPr>
          <w:trHeight w:val="494" w:hRule="atLeast"/>
        </w:trPr>
        <w:tc>
          <w:tcPr>
            <w:tcW w:w="4971" w:type="dxa"/>
            <w:tcBorders>
              <w:left w:val="single" w:sz="6" w:space="0" w:color="000000"/>
            </w:tcBorders>
          </w:tcPr>
          <w:p>
            <w:pPr>
              <w:pStyle w:val="TableParagraph"/>
              <w:spacing w:line="422" w:lineRule="exact"/>
              <w:ind w:left="10"/>
              <w:jc w:val="center"/>
              <w:rPr>
                <w:sz w:val="38"/>
              </w:rPr>
            </w:pPr>
            <w:r>
              <w:rPr>
                <w:sz w:val="38"/>
              </w:rPr>
              <w:t>Coffee, infusion, 5 minutes</w:t>
            </w:r>
          </w:p>
        </w:tc>
        <w:tc>
          <w:tcPr>
            <w:tcW w:w="1272" w:type="dxa"/>
            <w:tcBorders>
              <w:right w:val="single" w:sz="6" w:space="0" w:color="000000"/>
            </w:tcBorders>
          </w:tcPr>
          <w:p>
            <w:pPr>
              <w:pStyle w:val="TableParagraph"/>
              <w:spacing w:line="422" w:lineRule="exact"/>
              <w:ind w:right="341"/>
              <w:jc w:val="right"/>
              <w:rPr>
                <w:sz w:val="38"/>
              </w:rPr>
            </w:pPr>
            <w:r>
              <w:rPr>
                <w:sz w:val="38"/>
              </w:rPr>
              <w:t>-1.4</w:t>
            </w:r>
          </w:p>
        </w:tc>
      </w:tr>
      <w:tr>
        <w:trPr>
          <w:trHeight w:val="491" w:hRule="atLeast"/>
        </w:trPr>
        <w:tc>
          <w:tcPr>
            <w:tcW w:w="4971" w:type="dxa"/>
            <w:tcBorders>
              <w:left w:val="single" w:sz="6" w:space="0" w:color="000000"/>
            </w:tcBorders>
          </w:tcPr>
          <w:p>
            <w:pPr>
              <w:pStyle w:val="TableParagraph"/>
              <w:spacing w:line="419" w:lineRule="exact"/>
              <w:ind w:left="11"/>
              <w:jc w:val="center"/>
              <w:rPr>
                <w:sz w:val="38"/>
              </w:rPr>
            </w:pPr>
            <w:r>
              <w:rPr>
                <w:sz w:val="38"/>
              </w:rPr>
              <w:t>Mineral water (Apollinaris)</w:t>
            </w:r>
          </w:p>
        </w:tc>
        <w:tc>
          <w:tcPr>
            <w:tcW w:w="1272" w:type="dxa"/>
            <w:tcBorders>
              <w:right w:val="single" w:sz="6" w:space="0" w:color="000000"/>
            </w:tcBorders>
          </w:tcPr>
          <w:p>
            <w:pPr>
              <w:pStyle w:val="TableParagraph"/>
              <w:spacing w:line="419" w:lineRule="exact"/>
              <w:ind w:right="341"/>
              <w:jc w:val="right"/>
              <w:rPr>
                <w:sz w:val="38"/>
              </w:rPr>
            </w:pPr>
            <w:r>
              <w:rPr>
                <w:sz w:val="38"/>
              </w:rPr>
              <w:t>-1.8</w:t>
            </w:r>
          </w:p>
        </w:tc>
      </w:tr>
      <w:tr>
        <w:trPr>
          <w:trHeight w:val="491" w:hRule="atLeast"/>
        </w:trPr>
        <w:tc>
          <w:tcPr>
            <w:tcW w:w="4971" w:type="dxa"/>
            <w:tcBorders>
              <w:left w:val="single" w:sz="6" w:space="0" w:color="000000"/>
            </w:tcBorders>
          </w:tcPr>
          <w:p>
            <w:pPr>
              <w:pStyle w:val="TableParagraph"/>
              <w:spacing w:line="419" w:lineRule="exact"/>
              <w:ind w:left="8"/>
              <w:jc w:val="center"/>
              <w:rPr>
                <w:sz w:val="38"/>
              </w:rPr>
            </w:pPr>
            <w:r>
              <w:rPr>
                <w:sz w:val="38"/>
              </w:rPr>
              <w:t>Mineral water (Volvic)</w:t>
            </w:r>
          </w:p>
        </w:tc>
        <w:tc>
          <w:tcPr>
            <w:tcW w:w="1272" w:type="dxa"/>
            <w:tcBorders>
              <w:right w:val="single" w:sz="6" w:space="0" w:color="000000"/>
            </w:tcBorders>
          </w:tcPr>
          <w:p>
            <w:pPr>
              <w:pStyle w:val="TableParagraph"/>
              <w:spacing w:line="419" w:lineRule="exact"/>
              <w:ind w:right="341"/>
              <w:jc w:val="right"/>
              <w:rPr>
                <w:sz w:val="38"/>
              </w:rPr>
            </w:pPr>
            <w:r>
              <w:rPr>
                <w:sz w:val="38"/>
              </w:rPr>
              <w:t>-0.1</w:t>
            </w:r>
          </w:p>
        </w:tc>
      </w:tr>
      <w:tr>
        <w:trPr>
          <w:trHeight w:val="491" w:hRule="atLeast"/>
        </w:trPr>
        <w:tc>
          <w:tcPr>
            <w:tcW w:w="4971" w:type="dxa"/>
            <w:tcBorders>
              <w:left w:val="single" w:sz="6" w:space="0" w:color="000000"/>
            </w:tcBorders>
          </w:tcPr>
          <w:p>
            <w:pPr>
              <w:pStyle w:val="TableParagraph"/>
              <w:spacing w:line="419" w:lineRule="exact"/>
              <w:ind w:left="11"/>
              <w:jc w:val="center"/>
              <w:rPr>
                <w:sz w:val="38"/>
              </w:rPr>
            </w:pPr>
            <w:r>
              <w:rPr>
                <w:sz w:val="38"/>
              </w:rPr>
              <w:t>Red wine</w:t>
            </w:r>
          </w:p>
        </w:tc>
        <w:tc>
          <w:tcPr>
            <w:tcW w:w="1272" w:type="dxa"/>
            <w:tcBorders>
              <w:right w:val="single" w:sz="6" w:space="0" w:color="000000"/>
            </w:tcBorders>
          </w:tcPr>
          <w:p>
            <w:pPr>
              <w:pStyle w:val="TableParagraph"/>
              <w:spacing w:line="419" w:lineRule="exact"/>
              <w:ind w:right="341"/>
              <w:jc w:val="right"/>
              <w:rPr>
                <w:sz w:val="38"/>
              </w:rPr>
            </w:pPr>
            <w:r>
              <w:rPr>
                <w:sz w:val="38"/>
              </w:rPr>
              <w:t>-2.4</w:t>
            </w:r>
          </w:p>
        </w:tc>
      </w:tr>
      <w:tr>
        <w:trPr>
          <w:trHeight w:val="491" w:hRule="atLeast"/>
        </w:trPr>
        <w:tc>
          <w:tcPr>
            <w:tcW w:w="4971" w:type="dxa"/>
            <w:tcBorders>
              <w:left w:val="single" w:sz="6" w:space="0" w:color="000000"/>
            </w:tcBorders>
          </w:tcPr>
          <w:p>
            <w:pPr>
              <w:pStyle w:val="TableParagraph"/>
              <w:spacing w:line="419" w:lineRule="exact"/>
              <w:ind w:left="13"/>
              <w:jc w:val="center"/>
              <w:rPr>
                <w:sz w:val="38"/>
              </w:rPr>
            </w:pPr>
            <w:r>
              <w:rPr>
                <w:sz w:val="38"/>
              </w:rPr>
              <w:t>Tea, Indian, infusion</w:t>
            </w:r>
          </w:p>
        </w:tc>
        <w:tc>
          <w:tcPr>
            <w:tcW w:w="1272" w:type="dxa"/>
            <w:tcBorders>
              <w:right w:val="single" w:sz="6" w:space="0" w:color="000000"/>
            </w:tcBorders>
          </w:tcPr>
          <w:p>
            <w:pPr>
              <w:pStyle w:val="TableParagraph"/>
              <w:spacing w:line="419" w:lineRule="exact"/>
              <w:ind w:right="341"/>
              <w:jc w:val="right"/>
              <w:rPr>
                <w:sz w:val="38"/>
              </w:rPr>
            </w:pPr>
            <w:r>
              <w:rPr>
                <w:sz w:val="38"/>
              </w:rPr>
              <w:t>-0.3</w:t>
            </w:r>
          </w:p>
        </w:tc>
      </w:tr>
      <w:tr>
        <w:trPr>
          <w:trHeight w:val="493" w:hRule="atLeast"/>
        </w:trPr>
        <w:tc>
          <w:tcPr>
            <w:tcW w:w="4971" w:type="dxa"/>
            <w:tcBorders>
              <w:left w:val="single" w:sz="6" w:space="0" w:color="000000"/>
            </w:tcBorders>
          </w:tcPr>
          <w:p>
            <w:pPr>
              <w:pStyle w:val="TableParagraph"/>
              <w:spacing w:line="421" w:lineRule="exact"/>
              <w:ind w:left="13"/>
              <w:jc w:val="center"/>
              <w:rPr>
                <w:sz w:val="38"/>
              </w:rPr>
            </w:pPr>
            <w:r>
              <w:rPr>
                <w:sz w:val="38"/>
              </w:rPr>
              <w:t>White wine, dry</w:t>
            </w:r>
          </w:p>
        </w:tc>
        <w:tc>
          <w:tcPr>
            <w:tcW w:w="1272" w:type="dxa"/>
            <w:tcBorders>
              <w:right w:val="single" w:sz="6" w:space="0" w:color="000000"/>
            </w:tcBorders>
          </w:tcPr>
          <w:p>
            <w:pPr>
              <w:pStyle w:val="TableParagraph"/>
              <w:spacing w:line="421" w:lineRule="exact"/>
              <w:ind w:right="341"/>
              <w:jc w:val="right"/>
              <w:rPr>
                <w:sz w:val="38"/>
              </w:rPr>
            </w:pPr>
            <w:r>
              <w:rPr>
                <w:sz w:val="38"/>
              </w:rPr>
              <w:t>-1.2</w:t>
            </w:r>
          </w:p>
        </w:tc>
      </w:tr>
      <w:tr>
        <w:trPr>
          <w:trHeight w:val="491" w:hRule="atLeast"/>
        </w:trPr>
        <w:tc>
          <w:tcPr>
            <w:tcW w:w="6243" w:type="dxa"/>
            <w:gridSpan w:val="2"/>
            <w:tcBorders>
              <w:left w:val="single" w:sz="6" w:space="0" w:color="000000"/>
              <w:right w:val="single" w:sz="6" w:space="0" w:color="000000"/>
            </w:tcBorders>
            <w:shd w:val="clear" w:color="auto" w:fill="CCCCFF"/>
          </w:tcPr>
          <w:p>
            <w:pPr>
              <w:pStyle w:val="TableParagraph"/>
              <w:spacing w:line="419" w:lineRule="exact"/>
              <w:ind w:left="2049"/>
              <w:rPr>
                <w:b/>
                <w:sz w:val="38"/>
              </w:rPr>
            </w:pPr>
            <w:r>
              <w:rPr>
                <w:b/>
                <w:sz w:val="38"/>
              </w:rPr>
              <w:t>Fats and oils:</w:t>
            </w:r>
          </w:p>
        </w:tc>
      </w:tr>
      <w:tr>
        <w:trPr>
          <w:trHeight w:val="491" w:hRule="atLeast"/>
        </w:trPr>
        <w:tc>
          <w:tcPr>
            <w:tcW w:w="4971" w:type="dxa"/>
            <w:tcBorders>
              <w:left w:val="single" w:sz="6" w:space="0" w:color="000000"/>
            </w:tcBorders>
          </w:tcPr>
          <w:p>
            <w:pPr>
              <w:pStyle w:val="TableParagraph"/>
              <w:spacing w:line="419" w:lineRule="exact"/>
              <w:ind w:left="11"/>
              <w:jc w:val="center"/>
              <w:rPr>
                <w:sz w:val="38"/>
              </w:rPr>
            </w:pPr>
            <w:r>
              <w:rPr>
                <w:sz w:val="38"/>
              </w:rPr>
              <w:t>Butter</w:t>
            </w:r>
          </w:p>
        </w:tc>
        <w:tc>
          <w:tcPr>
            <w:tcW w:w="1272" w:type="dxa"/>
            <w:tcBorders>
              <w:right w:val="single" w:sz="6" w:space="0" w:color="000000"/>
            </w:tcBorders>
          </w:tcPr>
          <w:p>
            <w:pPr>
              <w:pStyle w:val="TableParagraph"/>
              <w:spacing w:line="419" w:lineRule="exact"/>
              <w:ind w:right="398"/>
              <w:jc w:val="right"/>
              <w:rPr>
                <w:sz w:val="38"/>
              </w:rPr>
            </w:pPr>
            <w:r>
              <w:rPr>
                <w:w w:val="95"/>
                <w:sz w:val="38"/>
              </w:rPr>
              <w:t>0.6</w:t>
            </w:r>
          </w:p>
        </w:tc>
      </w:tr>
      <w:tr>
        <w:trPr>
          <w:trHeight w:val="491" w:hRule="atLeast"/>
        </w:trPr>
        <w:tc>
          <w:tcPr>
            <w:tcW w:w="4971" w:type="dxa"/>
            <w:tcBorders>
              <w:left w:val="single" w:sz="6" w:space="0" w:color="000000"/>
            </w:tcBorders>
          </w:tcPr>
          <w:p>
            <w:pPr>
              <w:pStyle w:val="TableParagraph"/>
              <w:spacing w:line="419" w:lineRule="exact"/>
              <w:ind w:left="13"/>
              <w:jc w:val="center"/>
              <w:rPr>
                <w:sz w:val="38"/>
              </w:rPr>
            </w:pPr>
            <w:r>
              <w:rPr>
                <w:sz w:val="38"/>
              </w:rPr>
              <w:t>Margarine</w:t>
            </w:r>
          </w:p>
        </w:tc>
        <w:tc>
          <w:tcPr>
            <w:tcW w:w="1272" w:type="dxa"/>
            <w:tcBorders>
              <w:right w:val="single" w:sz="6" w:space="0" w:color="000000"/>
            </w:tcBorders>
          </w:tcPr>
          <w:p>
            <w:pPr>
              <w:pStyle w:val="TableParagraph"/>
              <w:spacing w:line="419" w:lineRule="exact"/>
              <w:ind w:right="341"/>
              <w:jc w:val="right"/>
              <w:rPr>
                <w:sz w:val="38"/>
              </w:rPr>
            </w:pPr>
            <w:r>
              <w:rPr>
                <w:sz w:val="38"/>
              </w:rPr>
              <w:t>-0.5</w:t>
            </w:r>
          </w:p>
        </w:tc>
      </w:tr>
      <w:tr>
        <w:trPr>
          <w:trHeight w:val="491" w:hRule="atLeast"/>
        </w:trPr>
        <w:tc>
          <w:tcPr>
            <w:tcW w:w="4971" w:type="dxa"/>
            <w:tcBorders>
              <w:left w:val="single" w:sz="6" w:space="0" w:color="000000"/>
            </w:tcBorders>
          </w:tcPr>
          <w:p>
            <w:pPr>
              <w:pStyle w:val="TableParagraph"/>
              <w:spacing w:line="419" w:lineRule="exact"/>
              <w:ind w:left="13"/>
              <w:jc w:val="center"/>
              <w:rPr>
                <w:sz w:val="38"/>
              </w:rPr>
            </w:pPr>
            <w:r>
              <w:rPr>
                <w:sz w:val="38"/>
              </w:rPr>
              <w:t>Olive oil</w:t>
            </w:r>
          </w:p>
        </w:tc>
        <w:tc>
          <w:tcPr>
            <w:tcW w:w="1272" w:type="dxa"/>
            <w:tcBorders>
              <w:right w:val="single" w:sz="6" w:space="0" w:color="000000"/>
            </w:tcBorders>
          </w:tcPr>
          <w:p>
            <w:pPr>
              <w:pStyle w:val="TableParagraph"/>
              <w:spacing w:line="419" w:lineRule="exact"/>
              <w:ind w:right="398"/>
              <w:jc w:val="right"/>
              <w:rPr>
                <w:sz w:val="38"/>
              </w:rPr>
            </w:pPr>
            <w:r>
              <w:rPr>
                <w:w w:val="95"/>
                <w:sz w:val="38"/>
              </w:rPr>
              <w:t>0.0</w:t>
            </w:r>
          </w:p>
        </w:tc>
      </w:tr>
      <w:tr>
        <w:trPr>
          <w:trHeight w:val="491" w:hRule="atLeast"/>
        </w:trPr>
        <w:tc>
          <w:tcPr>
            <w:tcW w:w="4971" w:type="dxa"/>
            <w:tcBorders>
              <w:left w:val="single" w:sz="6" w:space="0" w:color="000000"/>
            </w:tcBorders>
          </w:tcPr>
          <w:p>
            <w:pPr>
              <w:pStyle w:val="TableParagraph"/>
              <w:spacing w:line="419" w:lineRule="exact"/>
              <w:ind w:left="11"/>
              <w:jc w:val="center"/>
              <w:rPr>
                <w:sz w:val="38"/>
              </w:rPr>
            </w:pPr>
            <w:r>
              <w:rPr>
                <w:sz w:val="38"/>
              </w:rPr>
              <w:t>Sunflower oil</w:t>
            </w:r>
          </w:p>
        </w:tc>
        <w:tc>
          <w:tcPr>
            <w:tcW w:w="1272" w:type="dxa"/>
            <w:tcBorders>
              <w:right w:val="single" w:sz="6" w:space="0" w:color="000000"/>
            </w:tcBorders>
          </w:tcPr>
          <w:p>
            <w:pPr>
              <w:pStyle w:val="TableParagraph"/>
              <w:spacing w:line="419" w:lineRule="exact"/>
              <w:ind w:right="398"/>
              <w:jc w:val="right"/>
              <w:rPr>
                <w:sz w:val="38"/>
              </w:rPr>
            </w:pPr>
            <w:r>
              <w:rPr>
                <w:w w:val="95"/>
                <w:sz w:val="38"/>
              </w:rPr>
              <w:t>0.0</w:t>
            </w:r>
          </w:p>
        </w:tc>
      </w:tr>
      <w:tr>
        <w:trPr>
          <w:trHeight w:val="493" w:hRule="atLeast"/>
        </w:trPr>
        <w:tc>
          <w:tcPr>
            <w:tcW w:w="6243" w:type="dxa"/>
            <w:gridSpan w:val="2"/>
            <w:tcBorders>
              <w:left w:val="single" w:sz="6" w:space="0" w:color="000000"/>
              <w:right w:val="single" w:sz="6" w:space="0" w:color="000000"/>
            </w:tcBorders>
            <w:shd w:val="clear" w:color="auto" w:fill="CCCCFF"/>
          </w:tcPr>
          <w:p>
            <w:pPr>
              <w:pStyle w:val="TableParagraph"/>
              <w:spacing w:line="421" w:lineRule="exact"/>
              <w:ind w:left="2177" w:right="2164"/>
              <w:jc w:val="center"/>
              <w:rPr>
                <w:sz w:val="38"/>
              </w:rPr>
            </w:pPr>
            <w:r>
              <w:rPr>
                <w:b/>
                <w:sz w:val="38"/>
              </w:rPr>
              <w:t>Fish</w:t>
            </w:r>
            <w:r>
              <w:rPr>
                <w:sz w:val="38"/>
              </w:rPr>
              <w:t>:</w:t>
            </w:r>
          </w:p>
        </w:tc>
      </w:tr>
      <w:tr>
        <w:trPr>
          <w:trHeight w:val="491" w:hRule="atLeast"/>
        </w:trPr>
        <w:tc>
          <w:tcPr>
            <w:tcW w:w="4971" w:type="dxa"/>
            <w:tcBorders>
              <w:left w:val="single" w:sz="6" w:space="0" w:color="000000"/>
            </w:tcBorders>
          </w:tcPr>
          <w:p>
            <w:pPr>
              <w:pStyle w:val="TableParagraph"/>
              <w:spacing w:line="419" w:lineRule="exact"/>
              <w:ind w:left="10"/>
              <w:jc w:val="center"/>
              <w:rPr>
                <w:sz w:val="38"/>
              </w:rPr>
            </w:pPr>
            <w:r>
              <w:rPr>
                <w:sz w:val="38"/>
              </w:rPr>
              <w:t>Cod fillet</w:t>
            </w:r>
          </w:p>
        </w:tc>
        <w:tc>
          <w:tcPr>
            <w:tcW w:w="1272" w:type="dxa"/>
            <w:tcBorders>
              <w:right w:val="single" w:sz="6" w:space="0" w:color="000000"/>
            </w:tcBorders>
          </w:tcPr>
          <w:p>
            <w:pPr>
              <w:pStyle w:val="TableParagraph"/>
              <w:spacing w:line="419" w:lineRule="exact"/>
              <w:ind w:right="398"/>
              <w:jc w:val="right"/>
              <w:rPr>
                <w:sz w:val="38"/>
              </w:rPr>
            </w:pPr>
            <w:r>
              <w:rPr>
                <w:w w:val="95"/>
                <w:sz w:val="38"/>
              </w:rPr>
              <w:t>7.1</w:t>
            </w:r>
          </w:p>
        </w:tc>
      </w:tr>
      <w:tr>
        <w:trPr>
          <w:trHeight w:val="491" w:hRule="atLeast"/>
        </w:trPr>
        <w:tc>
          <w:tcPr>
            <w:tcW w:w="4971" w:type="dxa"/>
            <w:tcBorders>
              <w:left w:val="single" w:sz="6" w:space="0" w:color="000000"/>
            </w:tcBorders>
          </w:tcPr>
          <w:p>
            <w:pPr>
              <w:pStyle w:val="TableParagraph"/>
              <w:spacing w:line="419" w:lineRule="exact"/>
              <w:ind w:left="10"/>
              <w:jc w:val="center"/>
              <w:rPr>
                <w:sz w:val="38"/>
              </w:rPr>
            </w:pPr>
            <w:r>
              <w:rPr>
                <w:sz w:val="38"/>
              </w:rPr>
              <w:t>Haddock</w:t>
            </w:r>
          </w:p>
        </w:tc>
        <w:tc>
          <w:tcPr>
            <w:tcW w:w="1272" w:type="dxa"/>
            <w:tcBorders>
              <w:right w:val="single" w:sz="6" w:space="0" w:color="000000"/>
            </w:tcBorders>
          </w:tcPr>
          <w:p>
            <w:pPr>
              <w:pStyle w:val="TableParagraph"/>
              <w:spacing w:line="419" w:lineRule="exact"/>
              <w:ind w:right="398"/>
              <w:jc w:val="right"/>
              <w:rPr>
                <w:sz w:val="38"/>
              </w:rPr>
            </w:pPr>
            <w:r>
              <w:rPr>
                <w:w w:val="95"/>
                <w:sz w:val="38"/>
              </w:rPr>
              <w:t>6.8</w:t>
            </w:r>
          </w:p>
        </w:tc>
      </w:tr>
      <w:tr>
        <w:trPr>
          <w:trHeight w:val="491" w:hRule="atLeast"/>
        </w:trPr>
        <w:tc>
          <w:tcPr>
            <w:tcW w:w="4971" w:type="dxa"/>
            <w:tcBorders>
              <w:left w:val="single" w:sz="6" w:space="0" w:color="000000"/>
            </w:tcBorders>
          </w:tcPr>
          <w:p>
            <w:pPr>
              <w:pStyle w:val="TableParagraph"/>
              <w:spacing w:line="419" w:lineRule="exact"/>
              <w:ind w:left="12"/>
              <w:jc w:val="center"/>
              <w:rPr>
                <w:sz w:val="38"/>
              </w:rPr>
            </w:pPr>
            <w:r>
              <w:rPr>
                <w:sz w:val="38"/>
              </w:rPr>
              <w:t>Herring</w:t>
            </w:r>
          </w:p>
        </w:tc>
        <w:tc>
          <w:tcPr>
            <w:tcW w:w="1272" w:type="dxa"/>
            <w:tcBorders>
              <w:right w:val="single" w:sz="6" w:space="0" w:color="000000"/>
            </w:tcBorders>
          </w:tcPr>
          <w:p>
            <w:pPr>
              <w:pStyle w:val="TableParagraph"/>
              <w:spacing w:line="419" w:lineRule="exact"/>
              <w:ind w:right="398"/>
              <w:jc w:val="right"/>
              <w:rPr>
                <w:sz w:val="38"/>
              </w:rPr>
            </w:pPr>
            <w:r>
              <w:rPr>
                <w:w w:val="95"/>
                <w:sz w:val="38"/>
              </w:rPr>
              <w:t>7.0</w:t>
            </w:r>
          </w:p>
        </w:tc>
      </w:tr>
      <w:tr>
        <w:trPr>
          <w:trHeight w:val="491" w:hRule="atLeast"/>
        </w:trPr>
        <w:tc>
          <w:tcPr>
            <w:tcW w:w="4971" w:type="dxa"/>
            <w:tcBorders>
              <w:left w:val="single" w:sz="6" w:space="0" w:color="000000"/>
            </w:tcBorders>
          </w:tcPr>
          <w:p>
            <w:pPr>
              <w:pStyle w:val="TableParagraph"/>
              <w:spacing w:line="419" w:lineRule="exact"/>
              <w:ind w:left="15"/>
              <w:jc w:val="center"/>
              <w:rPr>
                <w:sz w:val="38"/>
              </w:rPr>
            </w:pPr>
            <w:r>
              <w:rPr>
                <w:sz w:val="38"/>
              </w:rPr>
              <w:t>Forelle, brown, steamed</w:t>
            </w:r>
          </w:p>
        </w:tc>
        <w:tc>
          <w:tcPr>
            <w:tcW w:w="1272" w:type="dxa"/>
            <w:tcBorders>
              <w:right w:val="single" w:sz="6" w:space="0" w:color="000000"/>
            </w:tcBorders>
          </w:tcPr>
          <w:p>
            <w:pPr>
              <w:pStyle w:val="TableParagraph"/>
              <w:spacing w:line="419" w:lineRule="exact"/>
              <w:ind w:right="309"/>
              <w:jc w:val="right"/>
              <w:rPr>
                <w:sz w:val="38"/>
              </w:rPr>
            </w:pPr>
            <w:r>
              <w:rPr>
                <w:w w:val="95"/>
                <w:sz w:val="38"/>
              </w:rPr>
              <w:t>10.8</w:t>
            </w:r>
          </w:p>
        </w:tc>
      </w:tr>
    </w:tbl>
    <w:p>
      <w:pPr>
        <w:spacing w:after="0" w:line="419" w:lineRule="exact"/>
        <w:jc w:val="right"/>
        <w:rPr>
          <w:sz w:val="38"/>
        </w:rPr>
        <w:sectPr>
          <w:footerReference w:type="default" r:id="rId506"/>
          <w:pgSz w:w="14270" w:h="16850"/>
          <w:pgMar w:footer="404" w:header="0" w:top="1420" w:bottom="600" w:left="800" w:right="1280"/>
          <w:pgNumType w:start="1870"/>
        </w:sectPr>
      </w:pPr>
    </w:p>
    <w:tbl>
      <w:tblPr>
        <w:tblW w:w="0" w:type="auto"/>
        <w:jc w:val="left"/>
        <w:tblInd w:w="6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971"/>
        <w:gridCol w:w="1272"/>
      </w:tblGrid>
      <w:tr>
        <w:trPr>
          <w:trHeight w:val="494" w:hRule="atLeast"/>
        </w:trPr>
        <w:tc>
          <w:tcPr>
            <w:tcW w:w="6243" w:type="dxa"/>
            <w:gridSpan w:val="2"/>
            <w:tcBorders>
              <w:left w:val="single" w:sz="6" w:space="0" w:color="000000"/>
              <w:right w:val="single" w:sz="6" w:space="0" w:color="000000"/>
            </w:tcBorders>
            <w:shd w:val="clear" w:color="auto" w:fill="CCCCFF"/>
          </w:tcPr>
          <w:p>
            <w:pPr>
              <w:pStyle w:val="TableParagraph"/>
              <w:spacing w:line="422" w:lineRule="exact"/>
              <w:ind w:left="1106"/>
              <w:rPr>
                <w:b/>
                <w:sz w:val="38"/>
              </w:rPr>
            </w:pPr>
            <w:r>
              <w:rPr>
                <w:b/>
                <w:sz w:val="38"/>
              </w:rPr>
              <w:t>Fruit, nuts and fruit juice</w:t>
            </w:r>
          </w:p>
        </w:tc>
      </w:tr>
      <w:tr>
        <w:trPr>
          <w:trHeight w:val="491" w:hRule="atLeast"/>
        </w:trPr>
        <w:tc>
          <w:tcPr>
            <w:tcW w:w="4971" w:type="dxa"/>
            <w:tcBorders>
              <w:left w:val="single" w:sz="6" w:space="0" w:color="000000"/>
            </w:tcBorders>
          </w:tcPr>
          <w:p>
            <w:pPr>
              <w:pStyle w:val="TableParagraph"/>
              <w:spacing w:line="419" w:lineRule="exact"/>
              <w:ind w:left="12"/>
              <w:jc w:val="center"/>
              <w:rPr>
                <w:sz w:val="38"/>
              </w:rPr>
            </w:pPr>
            <w:r>
              <w:rPr>
                <w:sz w:val="38"/>
              </w:rPr>
              <w:t>Apple juice, unsweetened</w:t>
            </w:r>
          </w:p>
        </w:tc>
        <w:tc>
          <w:tcPr>
            <w:tcW w:w="1272" w:type="dxa"/>
            <w:tcBorders>
              <w:right w:val="single" w:sz="6" w:space="0" w:color="000000"/>
            </w:tcBorders>
          </w:tcPr>
          <w:p>
            <w:pPr>
              <w:pStyle w:val="TableParagraph"/>
              <w:spacing w:line="419" w:lineRule="exact"/>
              <w:ind w:left="245" w:right="233"/>
              <w:jc w:val="center"/>
              <w:rPr>
                <w:sz w:val="38"/>
              </w:rPr>
            </w:pPr>
            <w:r>
              <w:rPr>
                <w:sz w:val="38"/>
              </w:rPr>
              <w:t>-2.2</w:t>
            </w:r>
          </w:p>
        </w:tc>
      </w:tr>
      <w:tr>
        <w:trPr>
          <w:trHeight w:val="983" w:hRule="atLeast"/>
        </w:trPr>
        <w:tc>
          <w:tcPr>
            <w:tcW w:w="4971" w:type="dxa"/>
            <w:tcBorders>
              <w:left w:val="single" w:sz="6" w:space="0" w:color="000000"/>
            </w:tcBorders>
          </w:tcPr>
          <w:p>
            <w:pPr>
              <w:pStyle w:val="TableParagraph"/>
              <w:spacing w:line="419" w:lineRule="exact"/>
              <w:ind w:left="16"/>
              <w:jc w:val="center"/>
              <w:rPr>
                <w:sz w:val="38"/>
              </w:rPr>
            </w:pPr>
            <w:r>
              <w:rPr>
                <w:sz w:val="38"/>
              </w:rPr>
              <w:t>Apple, 15 types, with peel, aver-</w:t>
            </w:r>
          </w:p>
          <w:p>
            <w:pPr>
              <w:pStyle w:val="TableParagraph"/>
              <w:spacing w:before="64"/>
              <w:ind w:left="15"/>
              <w:jc w:val="center"/>
              <w:rPr>
                <w:sz w:val="38"/>
              </w:rPr>
            </w:pPr>
            <w:r>
              <w:rPr>
                <w:sz w:val="38"/>
              </w:rPr>
              <w:t>age</w:t>
            </w:r>
          </w:p>
        </w:tc>
        <w:tc>
          <w:tcPr>
            <w:tcW w:w="1272" w:type="dxa"/>
            <w:tcBorders>
              <w:right w:val="single" w:sz="6" w:space="0" w:color="000000"/>
            </w:tcBorders>
          </w:tcPr>
          <w:p>
            <w:pPr>
              <w:pStyle w:val="TableParagraph"/>
              <w:spacing w:before="238"/>
              <w:ind w:left="245" w:right="233"/>
              <w:jc w:val="center"/>
              <w:rPr>
                <w:sz w:val="38"/>
              </w:rPr>
            </w:pPr>
            <w:r>
              <w:rPr>
                <w:sz w:val="38"/>
              </w:rPr>
              <w:t>-2.2</w:t>
            </w:r>
          </w:p>
        </w:tc>
      </w:tr>
      <w:tr>
        <w:trPr>
          <w:trHeight w:val="491" w:hRule="atLeast"/>
        </w:trPr>
        <w:tc>
          <w:tcPr>
            <w:tcW w:w="4971" w:type="dxa"/>
            <w:tcBorders>
              <w:left w:val="single" w:sz="6" w:space="0" w:color="000000"/>
            </w:tcBorders>
          </w:tcPr>
          <w:p>
            <w:pPr>
              <w:pStyle w:val="TableParagraph"/>
              <w:spacing w:line="419" w:lineRule="exact"/>
              <w:ind w:left="11"/>
              <w:jc w:val="center"/>
              <w:rPr>
                <w:sz w:val="38"/>
              </w:rPr>
            </w:pPr>
            <w:r>
              <w:rPr>
                <w:sz w:val="38"/>
              </w:rPr>
              <w:t>Apricots</w:t>
            </w:r>
          </w:p>
        </w:tc>
        <w:tc>
          <w:tcPr>
            <w:tcW w:w="1272" w:type="dxa"/>
            <w:tcBorders>
              <w:right w:val="single" w:sz="6" w:space="0" w:color="000000"/>
            </w:tcBorders>
          </w:tcPr>
          <w:p>
            <w:pPr>
              <w:pStyle w:val="TableParagraph"/>
              <w:spacing w:line="419" w:lineRule="exact"/>
              <w:ind w:left="245" w:right="233"/>
              <w:jc w:val="center"/>
              <w:rPr>
                <w:sz w:val="38"/>
              </w:rPr>
            </w:pPr>
            <w:r>
              <w:rPr>
                <w:sz w:val="38"/>
              </w:rPr>
              <w:t>-4.8</w:t>
            </w:r>
          </w:p>
        </w:tc>
      </w:tr>
      <w:tr>
        <w:trPr>
          <w:trHeight w:val="491" w:hRule="atLeast"/>
        </w:trPr>
        <w:tc>
          <w:tcPr>
            <w:tcW w:w="4971" w:type="dxa"/>
            <w:tcBorders>
              <w:left w:val="single" w:sz="6" w:space="0" w:color="000000"/>
            </w:tcBorders>
          </w:tcPr>
          <w:p>
            <w:pPr>
              <w:pStyle w:val="TableParagraph"/>
              <w:spacing w:line="419" w:lineRule="exact"/>
              <w:ind w:left="10"/>
              <w:jc w:val="center"/>
              <w:rPr>
                <w:sz w:val="38"/>
              </w:rPr>
            </w:pPr>
            <w:r>
              <w:rPr>
                <w:sz w:val="38"/>
              </w:rPr>
              <w:t>Bananas</w:t>
            </w:r>
          </w:p>
        </w:tc>
        <w:tc>
          <w:tcPr>
            <w:tcW w:w="1272" w:type="dxa"/>
            <w:tcBorders>
              <w:right w:val="single" w:sz="6" w:space="0" w:color="000000"/>
            </w:tcBorders>
          </w:tcPr>
          <w:p>
            <w:pPr>
              <w:pStyle w:val="TableParagraph"/>
              <w:spacing w:line="419" w:lineRule="exact"/>
              <w:ind w:left="245" w:right="233"/>
              <w:jc w:val="center"/>
              <w:rPr>
                <w:sz w:val="38"/>
              </w:rPr>
            </w:pPr>
            <w:r>
              <w:rPr>
                <w:sz w:val="38"/>
              </w:rPr>
              <w:t>-5.5</w:t>
            </w:r>
          </w:p>
        </w:tc>
      </w:tr>
      <w:tr>
        <w:trPr>
          <w:trHeight w:val="491" w:hRule="atLeast"/>
        </w:trPr>
        <w:tc>
          <w:tcPr>
            <w:tcW w:w="4971" w:type="dxa"/>
            <w:tcBorders>
              <w:left w:val="single" w:sz="6" w:space="0" w:color="000000"/>
            </w:tcBorders>
          </w:tcPr>
          <w:p>
            <w:pPr>
              <w:pStyle w:val="TableParagraph"/>
              <w:spacing w:line="419" w:lineRule="exact"/>
              <w:ind w:left="15"/>
              <w:jc w:val="center"/>
              <w:rPr>
                <w:sz w:val="38"/>
              </w:rPr>
            </w:pPr>
            <w:r>
              <w:rPr>
                <w:sz w:val="38"/>
              </w:rPr>
              <w:t>Black currents</w:t>
            </w:r>
          </w:p>
        </w:tc>
        <w:tc>
          <w:tcPr>
            <w:tcW w:w="1272" w:type="dxa"/>
            <w:tcBorders>
              <w:right w:val="single" w:sz="6" w:space="0" w:color="000000"/>
            </w:tcBorders>
          </w:tcPr>
          <w:p>
            <w:pPr>
              <w:pStyle w:val="TableParagraph"/>
              <w:spacing w:line="419" w:lineRule="exact"/>
              <w:ind w:left="245" w:right="233"/>
              <w:jc w:val="center"/>
              <w:rPr>
                <w:sz w:val="38"/>
              </w:rPr>
            </w:pPr>
            <w:r>
              <w:rPr>
                <w:sz w:val="38"/>
              </w:rPr>
              <w:t>-6.5</w:t>
            </w:r>
          </w:p>
        </w:tc>
      </w:tr>
      <w:tr>
        <w:trPr>
          <w:trHeight w:val="494" w:hRule="atLeast"/>
        </w:trPr>
        <w:tc>
          <w:tcPr>
            <w:tcW w:w="4971" w:type="dxa"/>
            <w:tcBorders>
              <w:left w:val="single" w:sz="6" w:space="0" w:color="000000"/>
            </w:tcBorders>
          </w:tcPr>
          <w:p>
            <w:pPr>
              <w:pStyle w:val="TableParagraph"/>
              <w:spacing w:line="422" w:lineRule="exact"/>
              <w:ind w:left="13"/>
              <w:jc w:val="center"/>
              <w:rPr>
                <w:sz w:val="38"/>
              </w:rPr>
            </w:pPr>
            <w:r>
              <w:rPr>
                <w:sz w:val="38"/>
              </w:rPr>
              <w:t>Cherries</w:t>
            </w:r>
          </w:p>
        </w:tc>
        <w:tc>
          <w:tcPr>
            <w:tcW w:w="1272" w:type="dxa"/>
            <w:tcBorders>
              <w:right w:val="single" w:sz="6" w:space="0" w:color="000000"/>
            </w:tcBorders>
          </w:tcPr>
          <w:p>
            <w:pPr>
              <w:pStyle w:val="TableParagraph"/>
              <w:spacing w:line="422" w:lineRule="exact"/>
              <w:ind w:left="245" w:right="233"/>
              <w:jc w:val="center"/>
              <w:rPr>
                <w:sz w:val="38"/>
              </w:rPr>
            </w:pPr>
            <w:r>
              <w:rPr>
                <w:sz w:val="38"/>
              </w:rPr>
              <w:t>-3.6</w:t>
            </w:r>
          </w:p>
        </w:tc>
      </w:tr>
      <w:tr>
        <w:trPr>
          <w:trHeight w:val="491" w:hRule="atLeast"/>
        </w:trPr>
        <w:tc>
          <w:tcPr>
            <w:tcW w:w="4971" w:type="dxa"/>
            <w:tcBorders>
              <w:left w:val="single" w:sz="6" w:space="0" w:color="000000"/>
            </w:tcBorders>
          </w:tcPr>
          <w:p>
            <w:pPr>
              <w:pStyle w:val="TableParagraph"/>
              <w:spacing w:line="419" w:lineRule="exact"/>
              <w:ind w:left="14"/>
              <w:jc w:val="center"/>
              <w:rPr>
                <w:sz w:val="38"/>
              </w:rPr>
            </w:pPr>
            <w:r>
              <w:rPr>
                <w:sz w:val="38"/>
              </w:rPr>
              <w:t>Grapefruit juice, unsweetened</w:t>
            </w:r>
          </w:p>
        </w:tc>
        <w:tc>
          <w:tcPr>
            <w:tcW w:w="1272" w:type="dxa"/>
            <w:tcBorders>
              <w:right w:val="single" w:sz="6" w:space="0" w:color="000000"/>
            </w:tcBorders>
          </w:tcPr>
          <w:p>
            <w:pPr>
              <w:pStyle w:val="TableParagraph"/>
              <w:spacing w:line="419" w:lineRule="exact"/>
              <w:ind w:left="245" w:right="233"/>
              <w:jc w:val="center"/>
              <w:rPr>
                <w:sz w:val="38"/>
              </w:rPr>
            </w:pPr>
            <w:r>
              <w:rPr>
                <w:sz w:val="38"/>
              </w:rPr>
              <w:t>-1.0</w:t>
            </w:r>
          </w:p>
        </w:tc>
      </w:tr>
      <w:tr>
        <w:trPr>
          <w:trHeight w:val="491" w:hRule="atLeast"/>
        </w:trPr>
        <w:tc>
          <w:tcPr>
            <w:tcW w:w="4971" w:type="dxa"/>
            <w:tcBorders>
              <w:left w:val="single" w:sz="6" w:space="0" w:color="000000"/>
            </w:tcBorders>
          </w:tcPr>
          <w:p>
            <w:pPr>
              <w:pStyle w:val="TableParagraph"/>
              <w:spacing w:line="419" w:lineRule="exact"/>
              <w:ind w:left="11"/>
              <w:jc w:val="center"/>
              <w:rPr>
                <w:sz w:val="38"/>
              </w:rPr>
            </w:pPr>
            <w:r>
              <w:rPr>
                <w:sz w:val="38"/>
              </w:rPr>
              <w:t>Hazelnuts</w:t>
            </w:r>
          </w:p>
        </w:tc>
        <w:tc>
          <w:tcPr>
            <w:tcW w:w="1272" w:type="dxa"/>
            <w:tcBorders>
              <w:right w:val="single" w:sz="6" w:space="0" w:color="000000"/>
            </w:tcBorders>
          </w:tcPr>
          <w:p>
            <w:pPr>
              <w:pStyle w:val="TableParagraph"/>
              <w:spacing w:line="419" w:lineRule="exact"/>
              <w:ind w:left="245" w:right="233"/>
              <w:jc w:val="center"/>
              <w:rPr>
                <w:sz w:val="38"/>
              </w:rPr>
            </w:pPr>
            <w:r>
              <w:rPr>
                <w:sz w:val="38"/>
              </w:rPr>
              <w:t>-2.8</w:t>
            </w:r>
          </w:p>
        </w:tc>
      </w:tr>
      <w:tr>
        <w:trPr>
          <w:trHeight w:val="491" w:hRule="atLeast"/>
        </w:trPr>
        <w:tc>
          <w:tcPr>
            <w:tcW w:w="4971" w:type="dxa"/>
            <w:tcBorders>
              <w:left w:val="single" w:sz="6" w:space="0" w:color="000000"/>
            </w:tcBorders>
          </w:tcPr>
          <w:p>
            <w:pPr>
              <w:pStyle w:val="TableParagraph"/>
              <w:spacing w:line="419" w:lineRule="exact"/>
              <w:ind w:left="14"/>
              <w:jc w:val="center"/>
              <w:rPr>
                <w:sz w:val="38"/>
              </w:rPr>
            </w:pPr>
            <w:r>
              <w:rPr>
                <w:sz w:val="38"/>
              </w:rPr>
              <w:t>Kiwi</w:t>
            </w:r>
          </w:p>
        </w:tc>
        <w:tc>
          <w:tcPr>
            <w:tcW w:w="1272" w:type="dxa"/>
            <w:tcBorders>
              <w:right w:val="single" w:sz="6" w:space="0" w:color="000000"/>
            </w:tcBorders>
          </w:tcPr>
          <w:p>
            <w:pPr>
              <w:pStyle w:val="TableParagraph"/>
              <w:spacing w:line="419" w:lineRule="exact"/>
              <w:ind w:left="245" w:right="233"/>
              <w:jc w:val="center"/>
              <w:rPr>
                <w:sz w:val="38"/>
              </w:rPr>
            </w:pPr>
            <w:r>
              <w:rPr>
                <w:sz w:val="38"/>
              </w:rPr>
              <w:t>-4.1</w:t>
            </w:r>
          </w:p>
        </w:tc>
      </w:tr>
      <w:tr>
        <w:trPr>
          <w:trHeight w:val="491" w:hRule="atLeast"/>
        </w:trPr>
        <w:tc>
          <w:tcPr>
            <w:tcW w:w="4971" w:type="dxa"/>
            <w:tcBorders>
              <w:left w:val="single" w:sz="6" w:space="0" w:color="000000"/>
            </w:tcBorders>
          </w:tcPr>
          <w:p>
            <w:pPr>
              <w:pStyle w:val="TableParagraph"/>
              <w:spacing w:line="419" w:lineRule="exact"/>
              <w:ind w:left="10"/>
              <w:jc w:val="center"/>
              <w:rPr>
                <w:sz w:val="38"/>
              </w:rPr>
            </w:pPr>
            <w:r>
              <w:rPr>
                <w:sz w:val="38"/>
              </w:rPr>
              <w:t>Lemon juice</w:t>
            </w:r>
          </w:p>
        </w:tc>
        <w:tc>
          <w:tcPr>
            <w:tcW w:w="1272" w:type="dxa"/>
            <w:tcBorders>
              <w:right w:val="single" w:sz="6" w:space="0" w:color="000000"/>
            </w:tcBorders>
          </w:tcPr>
          <w:p>
            <w:pPr>
              <w:pStyle w:val="TableParagraph"/>
              <w:spacing w:line="419" w:lineRule="exact"/>
              <w:ind w:left="245" w:right="233"/>
              <w:jc w:val="center"/>
              <w:rPr>
                <w:sz w:val="38"/>
              </w:rPr>
            </w:pPr>
            <w:r>
              <w:rPr>
                <w:sz w:val="38"/>
              </w:rPr>
              <w:t>-2.5</w:t>
            </w:r>
          </w:p>
        </w:tc>
      </w:tr>
      <w:tr>
        <w:trPr>
          <w:trHeight w:val="493" w:hRule="atLeast"/>
        </w:trPr>
        <w:tc>
          <w:tcPr>
            <w:tcW w:w="4971" w:type="dxa"/>
            <w:tcBorders>
              <w:left w:val="single" w:sz="6" w:space="0" w:color="000000"/>
            </w:tcBorders>
          </w:tcPr>
          <w:p>
            <w:pPr>
              <w:pStyle w:val="TableParagraph"/>
              <w:spacing w:line="421" w:lineRule="exact"/>
              <w:ind w:left="11"/>
              <w:jc w:val="center"/>
              <w:rPr>
                <w:sz w:val="38"/>
              </w:rPr>
            </w:pPr>
            <w:r>
              <w:rPr>
                <w:sz w:val="38"/>
              </w:rPr>
              <w:t>Orange juice, unsweetened</w:t>
            </w:r>
          </w:p>
        </w:tc>
        <w:tc>
          <w:tcPr>
            <w:tcW w:w="1272" w:type="dxa"/>
            <w:tcBorders>
              <w:right w:val="single" w:sz="6" w:space="0" w:color="000000"/>
            </w:tcBorders>
          </w:tcPr>
          <w:p>
            <w:pPr>
              <w:pStyle w:val="TableParagraph"/>
              <w:spacing w:line="421" w:lineRule="exact"/>
              <w:ind w:left="245" w:right="233"/>
              <w:jc w:val="center"/>
              <w:rPr>
                <w:sz w:val="38"/>
              </w:rPr>
            </w:pPr>
            <w:r>
              <w:rPr>
                <w:sz w:val="38"/>
              </w:rPr>
              <w:t>-2.9</w:t>
            </w:r>
          </w:p>
        </w:tc>
      </w:tr>
      <w:tr>
        <w:trPr>
          <w:trHeight w:val="491" w:hRule="atLeast"/>
        </w:trPr>
        <w:tc>
          <w:tcPr>
            <w:tcW w:w="4971" w:type="dxa"/>
            <w:tcBorders>
              <w:left w:val="single" w:sz="6" w:space="0" w:color="000000"/>
            </w:tcBorders>
          </w:tcPr>
          <w:p>
            <w:pPr>
              <w:pStyle w:val="TableParagraph"/>
              <w:spacing w:line="419" w:lineRule="exact"/>
              <w:ind w:left="12"/>
              <w:jc w:val="center"/>
              <w:rPr>
                <w:sz w:val="38"/>
              </w:rPr>
            </w:pPr>
            <w:r>
              <w:rPr>
                <w:sz w:val="38"/>
              </w:rPr>
              <w:t>Orange</w:t>
            </w:r>
          </w:p>
        </w:tc>
        <w:tc>
          <w:tcPr>
            <w:tcW w:w="1272" w:type="dxa"/>
            <w:tcBorders>
              <w:right w:val="single" w:sz="6" w:space="0" w:color="000000"/>
            </w:tcBorders>
          </w:tcPr>
          <w:p>
            <w:pPr>
              <w:pStyle w:val="TableParagraph"/>
              <w:spacing w:line="419" w:lineRule="exact"/>
              <w:ind w:left="245" w:right="233"/>
              <w:jc w:val="center"/>
              <w:rPr>
                <w:sz w:val="38"/>
              </w:rPr>
            </w:pPr>
            <w:r>
              <w:rPr>
                <w:sz w:val="38"/>
              </w:rPr>
              <w:t>-2.7</w:t>
            </w:r>
          </w:p>
        </w:tc>
      </w:tr>
      <w:tr>
        <w:trPr>
          <w:trHeight w:val="491" w:hRule="atLeast"/>
        </w:trPr>
        <w:tc>
          <w:tcPr>
            <w:tcW w:w="4971" w:type="dxa"/>
            <w:tcBorders>
              <w:left w:val="single" w:sz="6" w:space="0" w:color="000000"/>
            </w:tcBorders>
          </w:tcPr>
          <w:p>
            <w:pPr>
              <w:pStyle w:val="TableParagraph"/>
              <w:spacing w:line="419" w:lineRule="exact"/>
              <w:ind w:left="13"/>
              <w:jc w:val="center"/>
              <w:rPr>
                <w:sz w:val="38"/>
              </w:rPr>
            </w:pPr>
            <w:r>
              <w:rPr>
                <w:sz w:val="38"/>
              </w:rPr>
              <w:t>Peach</w:t>
            </w:r>
          </w:p>
        </w:tc>
        <w:tc>
          <w:tcPr>
            <w:tcW w:w="1272" w:type="dxa"/>
            <w:tcBorders>
              <w:right w:val="single" w:sz="6" w:space="0" w:color="000000"/>
            </w:tcBorders>
          </w:tcPr>
          <w:p>
            <w:pPr>
              <w:pStyle w:val="TableParagraph"/>
              <w:spacing w:line="419" w:lineRule="exact"/>
              <w:ind w:left="245" w:right="233"/>
              <w:jc w:val="center"/>
              <w:rPr>
                <w:sz w:val="38"/>
              </w:rPr>
            </w:pPr>
            <w:r>
              <w:rPr>
                <w:sz w:val="38"/>
              </w:rPr>
              <w:t>-2.4</w:t>
            </w:r>
          </w:p>
        </w:tc>
      </w:tr>
      <w:tr>
        <w:trPr>
          <w:trHeight w:val="491" w:hRule="atLeast"/>
        </w:trPr>
        <w:tc>
          <w:tcPr>
            <w:tcW w:w="4971" w:type="dxa"/>
            <w:tcBorders>
              <w:left w:val="single" w:sz="6" w:space="0" w:color="000000"/>
            </w:tcBorders>
          </w:tcPr>
          <w:p>
            <w:pPr>
              <w:pStyle w:val="TableParagraph"/>
              <w:spacing w:line="419" w:lineRule="exact"/>
              <w:ind w:left="16"/>
              <w:jc w:val="center"/>
              <w:rPr>
                <w:sz w:val="38"/>
              </w:rPr>
            </w:pPr>
            <w:r>
              <w:rPr>
                <w:sz w:val="38"/>
              </w:rPr>
              <w:t>Peanuts, untreated</w:t>
            </w:r>
          </w:p>
        </w:tc>
        <w:tc>
          <w:tcPr>
            <w:tcW w:w="1272" w:type="dxa"/>
            <w:tcBorders>
              <w:right w:val="single" w:sz="6" w:space="0" w:color="000000"/>
            </w:tcBorders>
          </w:tcPr>
          <w:p>
            <w:pPr>
              <w:pStyle w:val="TableParagraph"/>
              <w:spacing w:line="419" w:lineRule="exact"/>
              <w:ind w:left="245" w:right="231"/>
              <w:jc w:val="center"/>
              <w:rPr>
                <w:sz w:val="38"/>
              </w:rPr>
            </w:pPr>
            <w:r>
              <w:rPr>
                <w:sz w:val="38"/>
              </w:rPr>
              <w:t>8.3</w:t>
            </w:r>
          </w:p>
        </w:tc>
      </w:tr>
      <w:tr>
        <w:trPr>
          <w:trHeight w:val="491" w:hRule="atLeast"/>
        </w:trPr>
        <w:tc>
          <w:tcPr>
            <w:tcW w:w="4971" w:type="dxa"/>
            <w:tcBorders>
              <w:left w:val="single" w:sz="6" w:space="0" w:color="000000"/>
            </w:tcBorders>
          </w:tcPr>
          <w:p>
            <w:pPr>
              <w:pStyle w:val="TableParagraph"/>
              <w:spacing w:line="419" w:lineRule="exact"/>
              <w:ind w:left="13"/>
              <w:jc w:val="center"/>
              <w:rPr>
                <w:sz w:val="38"/>
              </w:rPr>
            </w:pPr>
            <w:r>
              <w:rPr>
                <w:sz w:val="38"/>
              </w:rPr>
              <w:t>Pears, 3 types, with peel, average</w:t>
            </w:r>
          </w:p>
        </w:tc>
        <w:tc>
          <w:tcPr>
            <w:tcW w:w="1272" w:type="dxa"/>
            <w:tcBorders>
              <w:right w:val="single" w:sz="6" w:space="0" w:color="000000"/>
            </w:tcBorders>
          </w:tcPr>
          <w:p>
            <w:pPr>
              <w:pStyle w:val="TableParagraph"/>
              <w:spacing w:line="419" w:lineRule="exact"/>
              <w:ind w:left="245" w:right="233"/>
              <w:jc w:val="center"/>
              <w:rPr>
                <w:sz w:val="38"/>
              </w:rPr>
            </w:pPr>
            <w:r>
              <w:rPr>
                <w:sz w:val="38"/>
              </w:rPr>
              <w:t>-2.9</w:t>
            </w:r>
          </w:p>
        </w:tc>
      </w:tr>
      <w:tr>
        <w:trPr>
          <w:trHeight w:val="491" w:hRule="atLeast"/>
        </w:trPr>
        <w:tc>
          <w:tcPr>
            <w:tcW w:w="4971" w:type="dxa"/>
            <w:tcBorders>
              <w:left w:val="single" w:sz="6" w:space="0" w:color="000000"/>
            </w:tcBorders>
          </w:tcPr>
          <w:p>
            <w:pPr>
              <w:pStyle w:val="TableParagraph"/>
              <w:spacing w:line="419" w:lineRule="exact"/>
              <w:ind w:left="13"/>
              <w:jc w:val="center"/>
              <w:rPr>
                <w:sz w:val="38"/>
              </w:rPr>
            </w:pPr>
            <w:r>
              <w:rPr>
                <w:sz w:val="38"/>
              </w:rPr>
              <w:t>Pineapple</w:t>
            </w:r>
          </w:p>
        </w:tc>
        <w:tc>
          <w:tcPr>
            <w:tcW w:w="1272" w:type="dxa"/>
            <w:tcBorders>
              <w:right w:val="single" w:sz="6" w:space="0" w:color="000000"/>
            </w:tcBorders>
          </w:tcPr>
          <w:p>
            <w:pPr>
              <w:pStyle w:val="TableParagraph"/>
              <w:spacing w:line="419" w:lineRule="exact"/>
              <w:ind w:left="245" w:right="233"/>
              <w:jc w:val="center"/>
              <w:rPr>
                <w:sz w:val="38"/>
              </w:rPr>
            </w:pPr>
            <w:r>
              <w:rPr>
                <w:sz w:val="38"/>
              </w:rPr>
              <w:t>-2.7</w:t>
            </w:r>
          </w:p>
        </w:tc>
      </w:tr>
      <w:tr>
        <w:trPr>
          <w:trHeight w:val="493" w:hRule="atLeast"/>
        </w:trPr>
        <w:tc>
          <w:tcPr>
            <w:tcW w:w="4971" w:type="dxa"/>
            <w:tcBorders>
              <w:left w:val="single" w:sz="6" w:space="0" w:color="000000"/>
            </w:tcBorders>
          </w:tcPr>
          <w:p>
            <w:pPr>
              <w:pStyle w:val="TableParagraph"/>
              <w:spacing w:line="421" w:lineRule="exact"/>
              <w:ind w:left="12"/>
              <w:jc w:val="center"/>
              <w:rPr>
                <w:sz w:val="38"/>
              </w:rPr>
            </w:pPr>
            <w:r>
              <w:rPr>
                <w:sz w:val="38"/>
              </w:rPr>
              <w:t>Raisins</w:t>
            </w:r>
          </w:p>
        </w:tc>
        <w:tc>
          <w:tcPr>
            <w:tcW w:w="1272" w:type="dxa"/>
            <w:tcBorders>
              <w:right w:val="single" w:sz="6" w:space="0" w:color="000000"/>
            </w:tcBorders>
          </w:tcPr>
          <w:p>
            <w:pPr>
              <w:pStyle w:val="TableParagraph"/>
              <w:spacing w:line="421" w:lineRule="exact"/>
              <w:ind w:left="245" w:right="233"/>
              <w:jc w:val="center"/>
              <w:rPr>
                <w:sz w:val="38"/>
              </w:rPr>
            </w:pPr>
            <w:r>
              <w:rPr>
                <w:sz w:val="38"/>
              </w:rPr>
              <w:t>-21.0</w:t>
            </w:r>
          </w:p>
        </w:tc>
      </w:tr>
      <w:tr>
        <w:trPr>
          <w:trHeight w:val="491" w:hRule="atLeast"/>
        </w:trPr>
        <w:tc>
          <w:tcPr>
            <w:tcW w:w="4971" w:type="dxa"/>
            <w:tcBorders>
              <w:left w:val="single" w:sz="6" w:space="0" w:color="000000"/>
            </w:tcBorders>
          </w:tcPr>
          <w:p>
            <w:pPr>
              <w:pStyle w:val="TableParagraph"/>
              <w:spacing w:line="419" w:lineRule="exact"/>
              <w:ind w:left="13"/>
              <w:jc w:val="center"/>
              <w:rPr>
                <w:sz w:val="38"/>
              </w:rPr>
            </w:pPr>
            <w:r>
              <w:rPr>
                <w:sz w:val="38"/>
              </w:rPr>
              <w:t>Strawberries</w:t>
            </w:r>
          </w:p>
        </w:tc>
        <w:tc>
          <w:tcPr>
            <w:tcW w:w="1272" w:type="dxa"/>
            <w:tcBorders>
              <w:right w:val="single" w:sz="6" w:space="0" w:color="000000"/>
            </w:tcBorders>
          </w:tcPr>
          <w:p>
            <w:pPr>
              <w:pStyle w:val="TableParagraph"/>
              <w:spacing w:line="419" w:lineRule="exact"/>
              <w:ind w:left="245" w:right="233"/>
              <w:jc w:val="center"/>
              <w:rPr>
                <w:sz w:val="38"/>
              </w:rPr>
            </w:pPr>
            <w:r>
              <w:rPr>
                <w:sz w:val="38"/>
              </w:rPr>
              <w:t>-2.2</w:t>
            </w:r>
          </w:p>
        </w:tc>
      </w:tr>
      <w:tr>
        <w:trPr>
          <w:trHeight w:val="491" w:hRule="atLeast"/>
        </w:trPr>
        <w:tc>
          <w:tcPr>
            <w:tcW w:w="4971" w:type="dxa"/>
            <w:tcBorders>
              <w:left w:val="single" w:sz="6" w:space="0" w:color="000000"/>
            </w:tcBorders>
          </w:tcPr>
          <w:p>
            <w:pPr>
              <w:pStyle w:val="TableParagraph"/>
              <w:spacing w:line="419" w:lineRule="exact"/>
              <w:ind w:left="12"/>
              <w:jc w:val="center"/>
              <w:rPr>
                <w:sz w:val="38"/>
              </w:rPr>
            </w:pPr>
            <w:r>
              <w:rPr>
                <w:sz w:val="38"/>
              </w:rPr>
              <w:t>Walnuts</w:t>
            </w:r>
          </w:p>
        </w:tc>
        <w:tc>
          <w:tcPr>
            <w:tcW w:w="1272" w:type="dxa"/>
            <w:tcBorders>
              <w:right w:val="single" w:sz="6" w:space="0" w:color="000000"/>
            </w:tcBorders>
          </w:tcPr>
          <w:p>
            <w:pPr>
              <w:pStyle w:val="TableParagraph"/>
              <w:spacing w:line="419" w:lineRule="exact"/>
              <w:ind w:left="245" w:right="231"/>
              <w:jc w:val="center"/>
              <w:rPr>
                <w:sz w:val="38"/>
              </w:rPr>
            </w:pPr>
            <w:r>
              <w:rPr>
                <w:sz w:val="38"/>
              </w:rPr>
              <w:t>6.8</w:t>
            </w:r>
          </w:p>
        </w:tc>
      </w:tr>
      <w:tr>
        <w:trPr>
          <w:trHeight w:val="491" w:hRule="atLeast"/>
        </w:trPr>
        <w:tc>
          <w:tcPr>
            <w:tcW w:w="4971" w:type="dxa"/>
            <w:tcBorders>
              <w:left w:val="single" w:sz="6" w:space="0" w:color="000000"/>
            </w:tcBorders>
          </w:tcPr>
          <w:p>
            <w:pPr>
              <w:pStyle w:val="TableParagraph"/>
              <w:spacing w:line="419" w:lineRule="exact"/>
              <w:ind w:left="14"/>
              <w:jc w:val="center"/>
              <w:rPr>
                <w:sz w:val="38"/>
              </w:rPr>
            </w:pPr>
            <w:r>
              <w:rPr>
                <w:sz w:val="38"/>
              </w:rPr>
              <w:t>Watermelon</w:t>
            </w:r>
          </w:p>
        </w:tc>
        <w:tc>
          <w:tcPr>
            <w:tcW w:w="1272" w:type="dxa"/>
            <w:tcBorders>
              <w:right w:val="single" w:sz="6" w:space="0" w:color="000000"/>
            </w:tcBorders>
          </w:tcPr>
          <w:p>
            <w:pPr>
              <w:pStyle w:val="TableParagraph"/>
              <w:spacing w:line="419" w:lineRule="exact"/>
              <w:ind w:left="245" w:right="233"/>
              <w:jc w:val="center"/>
              <w:rPr>
                <w:sz w:val="38"/>
              </w:rPr>
            </w:pPr>
            <w:r>
              <w:rPr>
                <w:sz w:val="38"/>
              </w:rPr>
              <w:t>-1.9</w:t>
            </w:r>
          </w:p>
        </w:tc>
      </w:tr>
      <w:tr>
        <w:trPr>
          <w:trHeight w:val="491" w:hRule="atLeast"/>
        </w:trPr>
        <w:tc>
          <w:tcPr>
            <w:tcW w:w="6243" w:type="dxa"/>
            <w:gridSpan w:val="2"/>
            <w:tcBorders>
              <w:left w:val="single" w:sz="6" w:space="0" w:color="000000"/>
              <w:right w:val="single" w:sz="6" w:space="0" w:color="000000"/>
            </w:tcBorders>
            <w:shd w:val="clear" w:color="auto" w:fill="CCCCFF"/>
          </w:tcPr>
          <w:p>
            <w:pPr>
              <w:pStyle w:val="TableParagraph"/>
              <w:spacing w:line="419" w:lineRule="exact"/>
              <w:ind w:left="1806"/>
              <w:rPr>
                <w:b/>
                <w:sz w:val="38"/>
              </w:rPr>
            </w:pPr>
            <w:r>
              <w:rPr>
                <w:b/>
                <w:sz w:val="38"/>
              </w:rPr>
              <w:t>Cereal products:</w:t>
            </w:r>
          </w:p>
        </w:tc>
      </w:tr>
    </w:tbl>
    <w:p>
      <w:pPr>
        <w:spacing w:after="0" w:line="419" w:lineRule="exact"/>
        <w:rPr>
          <w:sz w:val="38"/>
        </w:rPr>
        <w:sectPr>
          <w:pgSz w:w="14270" w:h="16850"/>
          <w:pgMar w:header="0" w:footer="404" w:top="1420" w:bottom="600" w:left="800" w:right="1280"/>
        </w:sectPr>
      </w:pPr>
    </w:p>
    <w:tbl>
      <w:tblPr>
        <w:tblW w:w="0" w:type="auto"/>
        <w:jc w:val="left"/>
        <w:tblInd w:w="6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971"/>
        <w:gridCol w:w="1272"/>
      </w:tblGrid>
      <w:tr>
        <w:trPr>
          <w:trHeight w:val="494" w:hRule="atLeast"/>
        </w:trPr>
        <w:tc>
          <w:tcPr>
            <w:tcW w:w="4971" w:type="dxa"/>
            <w:tcBorders>
              <w:left w:val="single" w:sz="6" w:space="0" w:color="000000"/>
            </w:tcBorders>
          </w:tcPr>
          <w:p>
            <w:pPr>
              <w:pStyle w:val="TableParagraph"/>
              <w:spacing w:line="422" w:lineRule="exact"/>
              <w:ind w:left="13"/>
              <w:jc w:val="center"/>
              <w:rPr>
                <w:sz w:val="38"/>
              </w:rPr>
            </w:pPr>
            <w:r>
              <w:rPr>
                <w:sz w:val="38"/>
              </w:rPr>
              <w:t>Rye-wheat bread</w:t>
            </w:r>
          </w:p>
        </w:tc>
        <w:tc>
          <w:tcPr>
            <w:tcW w:w="1272" w:type="dxa"/>
            <w:tcBorders>
              <w:right w:val="single" w:sz="6" w:space="0" w:color="000000"/>
            </w:tcBorders>
          </w:tcPr>
          <w:p>
            <w:pPr>
              <w:pStyle w:val="TableParagraph"/>
              <w:spacing w:line="422" w:lineRule="exact"/>
              <w:ind w:right="398"/>
              <w:jc w:val="right"/>
              <w:rPr>
                <w:sz w:val="38"/>
              </w:rPr>
            </w:pPr>
            <w:r>
              <w:rPr>
                <w:w w:val="95"/>
                <w:sz w:val="38"/>
              </w:rPr>
              <w:t>4.0</w:t>
            </w:r>
          </w:p>
        </w:tc>
      </w:tr>
      <w:tr>
        <w:trPr>
          <w:trHeight w:val="491" w:hRule="atLeast"/>
        </w:trPr>
        <w:tc>
          <w:tcPr>
            <w:tcW w:w="4971" w:type="dxa"/>
            <w:tcBorders>
              <w:left w:val="single" w:sz="6" w:space="0" w:color="000000"/>
            </w:tcBorders>
          </w:tcPr>
          <w:p>
            <w:pPr>
              <w:pStyle w:val="TableParagraph"/>
              <w:spacing w:line="419" w:lineRule="exact"/>
              <w:ind w:left="12"/>
              <w:jc w:val="center"/>
              <w:rPr>
                <w:sz w:val="38"/>
              </w:rPr>
            </w:pPr>
            <w:r>
              <w:rPr>
                <w:sz w:val="38"/>
              </w:rPr>
              <w:t>Rye bread</w:t>
            </w:r>
          </w:p>
        </w:tc>
        <w:tc>
          <w:tcPr>
            <w:tcW w:w="1272" w:type="dxa"/>
            <w:tcBorders>
              <w:right w:val="single" w:sz="6" w:space="0" w:color="000000"/>
            </w:tcBorders>
          </w:tcPr>
          <w:p>
            <w:pPr>
              <w:pStyle w:val="TableParagraph"/>
              <w:spacing w:line="419" w:lineRule="exact"/>
              <w:ind w:right="398"/>
              <w:jc w:val="right"/>
              <w:rPr>
                <w:sz w:val="38"/>
              </w:rPr>
            </w:pPr>
            <w:r>
              <w:rPr>
                <w:w w:val="95"/>
                <w:sz w:val="38"/>
              </w:rPr>
              <w:t>4.1</w:t>
            </w:r>
          </w:p>
        </w:tc>
      </w:tr>
      <w:tr>
        <w:trPr>
          <w:trHeight w:val="491" w:hRule="atLeast"/>
        </w:trPr>
        <w:tc>
          <w:tcPr>
            <w:tcW w:w="4971" w:type="dxa"/>
            <w:tcBorders>
              <w:left w:val="single" w:sz="6" w:space="0" w:color="000000"/>
            </w:tcBorders>
          </w:tcPr>
          <w:p>
            <w:pPr>
              <w:pStyle w:val="TableParagraph"/>
              <w:spacing w:line="419" w:lineRule="exact"/>
              <w:ind w:left="15"/>
              <w:jc w:val="center"/>
              <w:rPr>
                <w:sz w:val="38"/>
              </w:rPr>
            </w:pPr>
            <w:r>
              <w:rPr>
                <w:sz w:val="38"/>
              </w:rPr>
              <w:t>Mixed wheat bread</w:t>
            </w:r>
          </w:p>
        </w:tc>
        <w:tc>
          <w:tcPr>
            <w:tcW w:w="1272" w:type="dxa"/>
            <w:tcBorders>
              <w:right w:val="single" w:sz="6" w:space="0" w:color="000000"/>
            </w:tcBorders>
          </w:tcPr>
          <w:p>
            <w:pPr>
              <w:pStyle w:val="TableParagraph"/>
              <w:spacing w:line="419" w:lineRule="exact"/>
              <w:ind w:right="398"/>
              <w:jc w:val="right"/>
              <w:rPr>
                <w:sz w:val="38"/>
              </w:rPr>
            </w:pPr>
            <w:r>
              <w:rPr>
                <w:w w:val="95"/>
                <w:sz w:val="38"/>
              </w:rPr>
              <w:t>3.8</w:t>
            </w:r>
          </w:p>
        </w:tc>
      </w:tr>
      <w:tr>
        <w:trPr>
          <w:trHeight w:val="491" w:hRule="atLeast"/>
        </w:trPr>
        <w:tc>
          <w:tcPr>
            <w:tcW w:w="4971" w:type="dxa"/>
            <w:tcBorders>
              <w:left w:val="single" w:sz="6" w:space="0" w:color="000000"/>
            </w:tcBorders>
          </w:tcPr>
          <w:p>
            <w:pPr>
              <w:pStyle w:val="TableParagraph"/>
              <w:spacing w:line="419" w:lineRule="exact"/>
              <w:ind w:left="13"/>
              <w:jc w:val="center"/>
              <w:rPr>
                <w:sz w:val="38"/>
              </w:rPr>
            </w:pPr>
            <w:r>
              <w:rPr>
                <w:sz w:val="38"/>
              </w:rPr>
              <w:t>Wheat bread</w:t>
            </w:r>
          </w:p>
        </w:tc>
        <w:tc>
          <w:tcPr>
            <w:tcW w:w="1272" w:type="dxa"/>
            <w:tcBorders>
              <w:right w:val="single" w:sz="6" w:space="0" w:color="000000"/>
            </w:tcBorders>
          </w:tcPr>
          <w:p>
            <w:pPr>
              <w:pStyle w:val="TableParagraph"/>
              <w:spacing w:line="419" w:lineRule="exact"/>
              <w:ind w:right="398"/>
              <w:jc w:val="right"/>
              <w:rPr>
                <w:sz w:val="38"/>
              </w:rPr>
            </w:pPr>
            <w:r>
              <w:rPr>
                <w:w w:val="95"/>
                <w:sz w:val="38"/>
              </w:rPr>
              <w:t>1.8</w:t>
            </w:r>
          </w:p>
        </w:tc>
      </w:tr>
      <w:tr>
        <w:trPr>
          <w:trHeight w:val="491" w:hRule="atLeast"/>
        </w:trPr>
        <w:tc>
          <w:tcPr>
            <w:tcW w:w="4971" w:type="dxa"/>
            <w:tcBorders>
              <w:left w:val="single" w:sz="6" w:space="0" w:color="000000"/>
            </w:tcBorders>
          </w:tcPr>
          <w:p>
            <w:pPr>
              <w:pStyle w:val="TableParagraph"/>
              <w:spacing w:line="419" w:lineRule="exact"/>
              <w:ind w:left="12"/>
              <w:jc w:val="center"/>
              <w:rPr>
                <w:sz w:val="38"/>
              </w:rPr>
            </w:pPr>
            <w:r>
              <w:rPr>
                <w:sz w:val="38"/>
              </w:rPr>
              <w:t>White bread</w:t>
            </w:r>
          </w:p>
        </w:tc>
        <w:tc>
          <w:tcPr>
            <w:tcW w:w="1272" w:type="dxa"/>
            <w:tcBorders>
              <w:right w:val="single" w:sz="6" w:space="0" w:color="000000"/>
            </w:tcBorders>
          </w:tcPr>
          <w:p>
            <w:pPr>
              <w:pStyle w:val="TableParagraph"/>
              <w:spacing w:line="419" w:lineRule="exact"/>
              <w:ind w:right="398"/>
              <w:jc w:val="right"/>
              <w:rPr>
                <w:sz w:val="38"/>
              </w:rPr>
            </w:pPr>
            <w:r>
              <w:rPr>
                <w:w w:val="95"/>
                <w:sz w:val="38"/>
              </w:rPr>
              <w:t>3.7</w:t>
            </w:r>
          </w:p>
        </w:tc>
      </w:tr>
      <w:tr>
        <w:trPr>
          <w:trHeight w:val="493" w:hRule="atLeast"/>
        </w:trPr>
        <w:tc>
          <w:tcPr>
            <w:tcW w:w="4971" w:type="dxa"/>
            <w:tcBorders>
              <w:left w:val="single" w:sz="6" w:space="0" w:color="000000"/>
            </w:tcBorders>
          </w:tcPr>
          <w:p>
            <w:pPr>
              <w:pStyle w:val="TableParagraph"/>
              <w:spacing w:line="421" w:lineRule="exact"/>
              <w:ind w:left="11"/>
              <w:jc w:val="center"/>
              <w:rPr>
                <w:sz w:val="38"/>
              </w:rPr>
            </w:pPr>
            <w:r>
              <w:rPr>
                <w:sz w:val="38"/>
              </w:rPr>
              <w:t>Cornflakes</w:t>
            </w:r>
          </w:p>
        </w:tc>
        <w:tc>
          <w:tcPr>
            <w:tcW w:w="1272" w:type="dxa"/>
            <w:tcBorders>
              <w:right w:val="single" w:sz="6" w:space="0" w:color="000000"/>
            </w:tcBorders>
          </w:tcPr>
          <w:p>
            <w:pPr>
              <w:pStyle w:val="TableParagraph"/>
              <w:spacing w:line="421" w:lineRule="exact"/>
              <w:ind w:right="398"/>
              <w:jc w:val="right"/>
              <w:rPr>
                <w:sz w:val="38"/>
              </w:rPr>
            </w:pPr>
            <w:r>
              <w:rPr>
                <w:w w:val="95"/>
                <w:sz w:val="38"/>
              </w:rPr>
              <w:t>6.0</w:t>
            </w:r>
          </w:p>
        </w:tc>
      </w:tr>
      <w:tr>
        <w:trPr>
          <w:trHeight w:val="491" w:hRule="atLeast"/>
        </w:trPr>
        <w:tc>
          <w:tcPr>
            <w:tcW w:w="4971" w:type="dxa"/>
            <w:tcBorders>
              <w:left w:val="single" w:sz="6" w:space="0" w:color="000000"/>
            </w:tcBorders>
          </w:tcPr>
          <w:p>
            <w:pPr>
              <w:pStyle w:val="TableParagraph"/>
              <w:spacing w:line="419" w:lineRule="exact"/>
              <w:ind w:left="17"/>
              <w:jc w:val="center"/>
              <w:rPr>
                <w:sz w:val="38"/>
              </w:rPr>
            </w:pPr>
            <w:r>
              <w:rPr>
                <w:sz w:val="38"/>
              </w:rPr>
              <w:t>Rye crispbread</w:t>
            </w:r>
          </w:p>
        </w:tc>
        <w:tc>
          <w:tcPr>
            <w:tcW w:w="1272" w:type="dxa"/>
            <w:tcBorders>
              <w:right w:val="single" w:sz="6" w:space="0" w:color="000000"/>
            </w:tcBorders>
          </w:tcPr>
          <w:p>
            <w:pPr>
              <w:pStyle w:val="TableParagraph"/>
              <w:spacing w:line="419" w:lineRule="exact"/>
              <w:ind w:right="398"/>
              <w:jc w:val="right"/>
              <w:rPr>
                <w:sz w:val="38"/>
              </w:rPr>
            </w:pPr>
            <w:r>
              <w:rPr>
                <w:w w:val="95"/>
                <w:sz w:val="38"/>
              </w:rPr>
              <w:t>3.3</w:t>
            </w:r>
          </w:p>
        </w:tc>
      </w:tr>
      <w:tr>
        <w:trPr>
          <w:trHeight w:val="491" w:hRule="atLeast"/>
        </w:trPr>
        <w:tc>
          <w:tcPr>
            <w:tcW w:w="4971" w:type="dxa"/>
            <w:tcBorders>
              <w:left w:val="single" w:sz="6" w:space="0" w:color="000000"/>
            </w:tcBorders>
          </w:tcPr>
          <w:p>
            <w:pPr>
              <w:pStyle w:val="TableParagraph"/>
              <w:spacing w:line="419" w:lineRule="exact"/>
              <w:ind w:left="15"/>
              <w:jc w:val="center"/>
              <w:rPr>
                <w:sz w:val="38"/>
              </w:rPr>
            </w:pPr>
            <w:r>
              <w:rPr>
                <w:sz w:val="38"/>
              </w:rPr>
              <w:t>Egg noodles</w:t>
            </w:r>
          </w:p>
        </w:tc>
        <w:tc>
          <w:tcPr>
            <w:tcW w:w="1272" w:type="dxa"/>
            <w:tcBorders>
              <w:right w:val="single" w:sz="6" w:space="0" w:color="000000"/>
            </w:tcBorders>
          </w:tcPr>
          <w:p>
            <w:pPr>
              <w:pStyle w:val="TableParagraph"/>
              <w:spacing w:line="419" w:lineRule="exact"/>
              <w:ind w:right="398"/>
              <w:jc w:val="right"/>
              <w:rPr>
                <w:sz w:val="38"/>
              </w:rPr>
            </w:pPr>
            <w:r>
              <w:rPr>
                <w:w w:val="95"/>
                <w:sz w:val="38"/>
              </w:rPr>
              <w:t>6.4</w:t>
            </w:r>
          </w:p>
        </w:tc>
      </w:tr>
      <w:tr>
        <w:trPr>
          <w:trHeight w:val="491" w:hRule="atLeast"/>
        </w:trPr>
        <w:tc>
          <w:tcPr>
            <w:tcW w:w="4971" w:type="dxa"/>
            <w:tcBorders>
              <w:left w:val="single" w:sz="6" w:space="0" w:color="000000"/>
            </w:tcBorders>
          </w:tcPr>
          <w:p>
            <w:pPr>
              <w:pStyle w:val="TableParagraph"/>
              <w:spacing w:line="419" w:lineRule="exact"/>
              <w:ind w:left="15"/>
              <w:jc w:val="center"/>
              <w:rPr>
                <w:sz w:val="38"/>
              </w:rPr>
            </w:pPr>
            <w:r>
              <w:rPr>
                <w:sz w:val="38"/>
              </w:rPr>
              <w:t>Oat flakes</w:t>
            </w:r>
          </w:p>
        </w:tc>
        <w:tc>
          <w:tcPr>
            <w:tcW w:w="1272" w:type="dxa"/>
            <w:tcBorders>
              <w:right w:val="single" w:sz="6" w:space="0" w:color="000000"/>
            </w:tcBorders>
          </w:tcPr>
          <w:p>
            <w:pPr>
              <w:pStyle w:val="TableParagraph"/>
              <w:spacing w:line="419" w:lineRule="exact"/>
              <w:ind w:right="309"/>
              <w:jc w:val="right"/>
              <w:rPr>
                <w:sz w:val="38"/>
              </w:rPr>
            </w:pPr>
            <w:r>
              <w:rPr>
                <w:w w:val="95"/>
                <w:sz w:val="38"/>
              </w:rPr>
              <w:t>10.7</w:t>
            </w:r>
          </w:p>
        </w:tc>
      </w:tr>
      <w:tr>
        <w:trPr>
          <w:trHeight w:val="491" w:hRule="atLeast"/>
        </w:trPr>
        <w:tc>
          <w:tcPr>
            <w:tcW w:w="4971" w:type="dxa"/>
            <w:tcBorders>
              <w:left w:val="single" w:sz="6" w:space="0" w:color="000000"/>
            </w:tcBorders>
          </w:tcPr>
          <w:p>
            <w:pPr>
              <w:pStyle w:val="TableParagraph"/>
              <w:spacing w:line="419" w:lineRule="exact"/>
              <w:ind w:left="13"/>
              <w:jc w:val="center"/>
              <w:rPr>
                <w:sz w:val="38"/>
              </w:rPr>
            </w:pPr>
            <w:r>
              <w:rPr>
                <w:sz w:val="38"/>
              </w:rPr>
              <w:t>Rice, whole grain</w:t>
            </w:r>
          </w:p>
        </w:tc>
        <w:tc>
          <w:tcPr>
            <w:tcW w:w="1272" w:type="dxa"/>
            <w:tcBorders>
              <w:right w:val="single" w:sz="6" w:space="0" w:color="000000"/>
            </w:tcBorders>
          </w:tcPr>
          <w:p>
            <w:pPr>
              <w:pStyle w:val="TableParagraph"/>
              <w:spacing w:line="419" w:lineRule="exact"/>
              <w:ind w:right="309"/>
              <w:jc w:val="right"/>
              <w:rPr>
                <w:sz w:val="38"/>
              </w:rPr>
            </w:pPr>
            <w:r>
              <w:rPr>
                <w:w w:val="95"/>
                <w:sz w:val="38"/>
              </w:rPr>
              <w:t>12.5</w:t>
            </w:r>
          </w:p>
        </w:tc>
      </w:tr>
      <w:tr>
        <w:trPr>
          <w:trHeight w:val="493" w:hRule="atLeast"/>
        </w:trPr>
        <w:tc>
          <w:tcPr>
            <w:tcW w:w="4971" w:type="dxa"/>
            <w:tcBorders>
              <w:left w:val="single" w:sz="6" w:space="0" w:color="000000"/>
            </w:tcBorders>
          </w:tcPr>
          <w:p>
            <w:pPr>
              <w:pStyle w:val="TableParagraph"/>
              <w:spacing w:line="421" w:lineRule="exact"/>
              <w:ind w:left="13"/>
              <w:jc w:val="center"/>
              <w:rPr>
                <w:sz w:val="38"/>
              </w:rPr>
            </w:pPr>
            <w:r>
              <w:rPr>
                <w:sz w:val="38"/>
              </w:rPr>
              <w:t>Rice, white</w:t>
            </w:r>
          </w:p>
        </w:tc>
        <w:tc>
          <w:tcPr>
            <w:tcW w:w="1272" w:type="dxa"/>
            <w:tcBorders>
              <w:right w:val="single" w:sz="6" w:space="0" w:color="000000"/>
            </w:tcBorders>
          </w:tcPr>
          <w:p>
            <w:pPr>
              <w:pStyle w:val="TableParagraph"/>
              <w:spacing w:line="421" w:lineRule="exact"/>
              <w:ind w:right="398"/>
              <w:jc w:val="right"/>
              <w:rPr>
                <w:sz w:val="38"/>
              </w:rPr>
            </w:pPr>
            <w:r>
              <w:rPr>
                <w:w w:val="95"/>
                <w:sz w:val="38"/>
              </w:rPr>
              <w:t>4.6</w:t>
            </w:r>
          </w:p>
        </w:tc>
      </w:tr>
      <w:tr>
        <w:trPr>
          <w:trHeight w:val="491" w:hRule="atLeast"/>
        </w:trPr>
        <w:tc>
          <w:tcPr>
            <w:tcW w:w="4971" w:type="dxa"/>
            <w:tcBorders>
              <w:left w:val="single" w:sz="6" w:space="0" w:color="000000"/>
            </w:tcBorders>
          </w:tcPr>
          <w:p>
            <w:pPr>
              <w:pStyle w:val="TableParagraph"/>
              <w:spacing w:line="419" w:lineRule="exact"/>
              <w:ind w:left="14"/>
              <w:jc w:val="center"/>
              <w:rPr>
                <w:sz w:val="38"/>
              </w:rPr>
            </w:pPr>
            <w:r>
              <w:rPr>
                <w:sz w:val="38"/>
              </w:rPr>
              <w:t>Par-boiled rice</w:t>
            </w:r>
          </w:p>
        </w:tc>
        <w:tc>
          <w:tcPr>
            <w:tcW w:w="1272" w:type="dxa"/>
            <w:tcBorders>
              <w:right w:val="single" w:sz="6" w:space="0" w:color="000000"/>
            </w:tcBorders>
          </w:tcPr>
          <w:p>
            <w:pPr>
              <w:pStyle w:val="TableParagraph"/>
              <w:spacing w:line="419" w:lineRule="exact"/>
              <w:ind w:right="398"/>
              <w:jc w:val="right"/>
              <w:rPr>
                <w:sz w:val="38"/>
              </w:rPr>
            </w:pPr>
            <w:r>
              <w:rPr>
                <w:w w:val="95"/>
                <w:sz w:val="38"/>
              </w:rPr>
              <w:t>1.7</w:t>
            </w:r>
          </w:p>
        </w:tc>
      </w:tr>
      <w:tr>
        <w:trPr>
          <w:trHeight w:val="491" w:hRule="atLeast"/>
        </w:trPr>
        <w:tc>
          <w:tcPr>
            <w:tcW w:w="4971" w:type="dxa"/>
            <w:tcBorders>
              <w:left w:val="single" w:sz="6" w:space="0" w:color="000000"/>
            </w:tcBorders>
          </w:tcPr>
          <w:p>
            <w:pPr>
              <w:pStyle w:val="TableParagraph"/>
              <w:spacing w:line="419" w:lineRule="exact"/>
              <w:ind w:left="15"/>
              <w:jc w:val="center"/>
              <w:rPr>
                <w:sz w:val="38"/>
              </w:rPr>
            </w:pPr>
            <w:r>
              <w:rPr>
                <w:sz w:val="38"/>
              </w:rPr>
              <w:t>Wholemeal rye flour</w:t>
            </w:r>
          </w:p>
        </w:tc>
        <w:tc>
          <w:tcPr>
            <w:tcW w:w="1272" w:type="dxa"/>
            <w:tcBorders>
              <w:right w:val="single" w:sz="6" w:space="0" w:color="000000"/>
            </w:tcBorders>
          </w:tcPr>
          <w:p>
            <w:pPr>
              <w:pStyle w:val="TableParagraph"/>
              <w:spacing w:line="419" w:lineRule="exact"/>
              <w:ind w:right="398"/>
              <w:jc w:val="right"/>
              <w:rPr>
                <w:sz w:val="38"/>
              </w:rPr>
            </w:pPr>
            <w:r>
              <w:rPr>
                <w:w w:val="95"/>
                <w:sz w:val="38"/>
              </w:rPr>
              <w:t>5.9</w:t>
            </w:r>
          </w:p>
        </w:tc>
      </w:tr>
      <w:tr>
        <w:trPr>
          <w:trHeight w:val="491" w:hRule="atLeast"/>
        </w:trPr>
        <w:tc>
          <w:tcPr>
            <w:tcW w:w="4971" w:type="dxa"/>
            <w:tcBorders>
              <w:left w:val="single" w:sz="6" w:space="0" w:color="000000"/>
            </w:tcBorders>
          </w:tcPr>
          <w:p>
            <w:pPr>
              <w:pStyle w:val="TableParagraph"/>
              <w:spacing w:line="419" w:lineRule="exact"/>
              <w:ind w:left="16"/>
              <w:jc w:val="center"/>
              <w:rPr>
                <w:sz w:val="38"/>
              </w:rPr>
            </w:pPr>
            <w:r>
              <w:rPr>
                <w:sz w:val="38"/>
              </w:rPr>
              <w:t>Spaghetti</w:t>
            </w:r>
          </w:p>
        </w:tc>
        <w:tc>
          <w:tcPr>
            <w:tcW w:w="1272" w:type="dxa"/>
            <w:tcBorders>
              <w:right w:val="single" w:sz="6" w:space="0" w:color="000000"/>
            </w:tcBorders>
          </w:tcPr>
          <w:p>
            <w:pPr>
              <w:pStyle w:val="TableParagraph"/>
              <w:spacing w:line="419" w:lineRule="exact"/>
              <w:ind w:right="398"/>
              <w:jc w:val="right"/>
              <w:rPr>
                <w:sz w:val="38"/>
              </w:rPr>
            </w:pPr>
            <w:r>
              <w:rPr>
                <w:w w:val="95"/>
                <w:sz w:val="38"/>
              </w:rPr>
              <w:t>6.5</w:t>
            </w:r>
          </w:p>
        </w:tc>
      </w:tr>
      <w:tr>
        <w:trPr>
          <w:trHeight w:val="491" w:hRule="atLeast"/>
        </w:trPr>
        <w:tc>
          <w:tcPr>
            <w:tcW w:w="4971" w:type="dxa"/>
            <w:tcBorders>
              <w:left w:val="single" w:sz="6" w:space="0" w:color="000000"/>
            </w:tcBorders>
          </w:tcPr>
          <w:p>
            <w:pPr>
              <w:pStyle w:val="TableParagraph"/>
              <w:spacing w:line="419" w:lineRule="exact"/>
              <w:ind w:left="15"/>
              <w:jc w:val="center"/>
              <w:rPr>
                <w:sz w:val="38"/>
              </w:rPr>
            </w:pPr>
            <w:r>
              <w:rPr>
                <w:sz w:val="38"/>
              </w:rPr>
              <w:t>Wholemeal spaghetti</w:t>
            </w:r>
          </w:p>
        </w:tc>
        <w:tc>
          <w:tcPr>
            <w:tcW w:w="1272" w:type="dxa"/>
            <w:tcBorders>
              <w:right w:val="single" w:sz="6" w:space="0" w:color="000000"/>
            </w:tcBorders>
          </w:tcPr>
          <w:p>
            <w:pPr>
              <w:pStyle w:val="TableParagraph"/>
              <w:spacing w:line="419" w:lineRule="exact"/>
              <w:ind w:right="398"/>
              <w:jc w:val="right"/>
              <w:rPr>
                <w:sz w:val="38"/>
              </w:rPr>
            </w:pPr>
            <w:r>
              <w:rPr>
                <w:w w:val="95"/>
                <w:sz w:val="38"/>
              </w:rPr>
              <w:t>7.3</w:t>
            </w:r>
          </w:p>
        </w:tc>
      </w:tr>
      <w:tr>
        <w:trPr>
          <w:trHeight w:val="491" w:hRule="atLeast"/>
        </w:trPr>
        <w:tc>
          <w:tcPr>
            <w:tcW w:w="4971" w:type="dxa"/>
            <w:tcBorders>
              <w:left w:val="single" w:sz="6" w:space="0" w:color="000000"/>
            </w:tcBorders>
          </w:tcPr>
          <w:p>
            <w:pPr>
              <w:pStyle w:val="TableParagraph"/>
              <w:spacing w:line="419" w:lineRule="exact"/>
              <w:ind w:left="12"/>
              <w:jc w:val="center"/>
              <w:rPr>
                <w:sz w:val="38"/>
              </w:rPr>
            </w:pPr>
            <w:r>
              <w:rPr>
                <w:sz w:val="38"/>
              </w:rPr>
              <w:t>Wheat flour</w:t>
            </w:r>
          </w:p>
        </w:tc>
        <w:tc>
          <w:tcPr>
            <w:tcW w:w="1272" w:type="dxa"/>
            <w:tcBorders>
              <w:right w:val="single" w:sz="6" w:space="0" w:color="000000"/>
            </w:tcBorders>
          </w:tcPr>
          <w:p>
            <w:pPr>
              <w:pStyle w:val="TableParagraph"/>
              <w:spacing w:line="419" w:lineRule="exact"/>
              <w:ind w:right="398"/>
              <w:jc w:val="right"/>
              <w:rPr>
                <w:sz w:val="38"/>
              </w:rPr>
            </w:pPr>
            <w:r>
              <w:rPr>
                <w:w w:val="95"/>
                <w:sz w:val="38"/>
              </w:rPr>
              <w:t>6.9</w:t>
            </w:r>
          </w:p>
        </w:tc>
      </w:tr>
      <w:tr>
        <w:trPr>
          <w:trHeight w:val="493" w:hRule="atLeast"/>
        </w:trPr>
        <w:tc>
          <w:tcPr>
            <w:tcW w:w="4971" w:type="dxa"/>
            <w:tcBorders>
              <w:left w:val="single" w:sz="6" w:space="0" w:color="000000"/>
            </w:tcBorders>
          </w:tcPr>
          <w:p>
            <w:pPr>
              <w:pStyle w:val="TableParagraph"/>
              <w:spacing w:line="421" w:lineRule="exact"/>
              <w:ind w:left="14"/>
              <w:jc w:val="center"/>
              <w:rPr>
                <w:sz w:val="38"/>
              </w:rPr>
            </w:pPr>
            <w:r>
              <w:rPr>
                <w:sz w:val="38"/>
              </w:rPr>
              <w:t>Wholemeal wheat flour</w:t>
            </w:r>
          </w:p>
        </w:tc>
        <w:tc>
          <w:tcPr>
            <w:tcW w:w="1272" w:type="dxa"/>
            <w:tcBorders>
              <w:right w:val="single" w:sz="6" w:space="0" w:color="000000"/>
            </w:tcBorders>
          </w:tcPr>
          <w:p>
            <w:pPr>
              <w:pStyle w:val="TableParagraph"/>
              <w:spacing w:line="421" w:lineRule="exact"/>
              <w:ind w:right="398"/>
              <w:jc w:val="right"/>
              <w:rPr>
                <w:sz w:val="38"/>
              </w:rPr>
            </w:pPr>
            <w:r>
              <w:rPr>
                <w:w w:val="95"/>
                <w:sz w:val="38"/>
              </w:rPr>
              <w:t>8.2</w:t>
            </w:r>
          </w:p>
        </w:tc>
      </w:tr>
      <w:tr>
        <w:trPr>
          <w:trHeight w:val="491" w:hRule="atLeast"/>
        </w:trPr>
        <w:tc>
          <w:tcPr>
            <w:tcW w:w="6243" w:type="dxa"/>
            <w:gridSpan w:val="2"/>
            <w:tcBorders>
              <w:left w:val="single" w:sz="6" w:space="0" w:color="000000"/>
              <w:right w:val="single" w:sz="6" w:space="0" w:color="000000"/>
            </w:tcBorders>
            <w:shd w:val="clear" w:color="auto" w:fill="CCCCFF"/>
          </w:tcPr>
          <w:p>
            <w:pPr>
              <w:pStyle w:val="TableParagraph"/>
              <w:spacing w:line="419" w:lineRule="exact"/>
              <w:ind w:left="2179" w:right="2161"/>
              <w:jc w:val="center"/>
              <w:rPr>
                <w:b/>
                <w:sz w:val="38"/>
              </w:rPr>
            </w:pPr>
            <w:r>
              <w:rPr>
                <w:b/>
                <w:sz w:val="38"/>
              </w:rPr>
              <w:t>Pulses:</w:t>
            </w:r>
          </w:p>
        </w:tc>
      </w:tr>
      <w:tr>
        <w:trPr>
          <w:trHeight w:val="491" w:hRule="atLeast"/>
        </w:trPr>
        <w:tc>
          <w:tcPr>
            <w:tcW w:w="4971" w:type="dxa"/>
            <w:tcBorders>
              <w:left w:val="single" w:sz="6" w:space="0" w:color="000000"/>
            </w:tcBorders>
          </w:tcPr>
          <w:p>
            <w:pPr>
              <w:pStyle w:val="TableParagraph"/>
              <w:spacing w:line="419" w:lineRule="exact"/>
              <w:ind w:left="16"/>
              <w:jc w:val="center"/>
              <w:rPr>
                <w:sz w:val="38"/>
              </w:rPr>
            </w:pPr>
            <w:r>
              <w:rPr>
                <w:sz w:val="38"/>
              </w:rPr>
              <w:t>Beans, green</w:t>
            </w:r>
          </w:p>
        </w:tc>
        <w:tc>
          <w:tcPr>
            <w:tcW w:w="1272" w:type="dxa"/>
            <w:tcBorders>
              <w:right w:val="single" w:sz="6" w:space="0" w:color="000000"/>
            </w:tcBorders>
          </w:tcPr>
          <w:p>
            <w:pPr>
              <w:pStyle w:val="TableParagraph"/>
              <w:spacing w:line="419" w:lineRule="exact"/>
              <w:ind w:right="341"/>
              <w:jc w:val="right"/>
              <w:rPr>
                <w:sz w:val="38"/>
              </w:rPr>
            </w:pPr>
            <w:r>
              <w:rPr>
                <w:sz w:val="38"/>
              </w:rPr>
              <w:t>-3.1</w:t>
            </w:r>
          </w:p>
        </w:tc>
      </w:tr>
      <w:tr>
        <w:trPr>
          <w:trHeight w:val="491" w:hRule="atLeast"/>
        </w:trPr>
        <w:tc>
          <w:tcPr>
            <w:tcW w:w="4971" w:type="dxa"/>
            <w:tcBorders>
              <w:left w:val="single" w:sz="6" w:space="0" w:color="000000"/>
            </w:tcBorders>
          </w:tcPr>
          <w:p>
            <w:pPr>
              <w:pStyle w:val="TableParagraph"/>
              <w:spacing w:line="419" w:lineRule="exact"/>
              <w:ind w:left="16"/>
              <w:jc w:val="center"/>
              <w:rPr>
                <w:sz w:val="38"/>
              </w:rPr>
            </w:pPr>
            <w:r>
              <w:rPr>
                <w:sz w:val="38"/>
              </w:rPr>
              <w:t>Lentils, green and brown, dried</w:t>
            </w:r>
          </w:p>
        </w:tc>
        <w:tc>
          <w:tcPr>
            <w:tcW w:w="1272" w:type="dxa"/>
            <w:tcBorders>
              <w:right w:val="single" w:sz="6" w:space="0" w:color="000000"/>
            </w:tcBorders>
          </w:tcPr>
          <w:p>
            <w:pPr>
              <w:pStyle w:val="TableParagraph"/>
              <w:spacing w:line="419" w:lineRule="exact"/>
              <w:ind w:right="398"/>
              <w:jc w:val="right"/>
              <w:rPr>
                <w:sz w:val="38"/>
              </w:rPr>
            </w:pPr>
            <w:r>
              <w:rPr>
                <w:w w:val="95"/>
                <w:sz w:val="38"/>
              </w:rPr>
              <w:t>3.5</w:t>
            </w:r>
          </w:p>
        </w:tc>
      </w:tr>
      <w:tr>
        <w:trPr>
          <w:trHeight w:val="491" w:hRule="atLeast"/>
        </w:trPr>
        <w:tc>
          <w:tcPr>
            <w:tcW w:w="4971" w:type="dxa"/>
            <w:tcBorders>
              <w:left w:val="single" w:sz="6" w:space="0" w:color="000000"/>
            </w:tcBorders>
          </w:tcPr>
          <w:p>
            <w:pPr>
              <w:pStyle w:val="TableParagraph"/>
              <w:spacing w:line="419" w:lineRule="exact"/>
              <w:ind w:left="15"/>
              <w:jc w:val="center"/>
              <w:rPr>
                <w:sz w:val="38"/>
              </w:rPr>
            </w:pPr>
            <w:r>
              <w:rPr>
                <w:sz w:val="38"/>
              </w:rPr>
              <w:t>Peas</w:t>
            </w:r>
          </w:p>
        </w:tc>
        <w:tc>
          <w:tcPr>
            <w:tcW w:w="1272" w:type="dxa"/>
            <w:tcBorders>
              <w:right w:val="single" w:sz="6" w:space="0" w:color="000000"/>
            </w:tcBorders>
          </w:tcPr>
          <w:p>
            <w:pPr>
              <w:pStyle w:val="TableParagraph"/>
              <w:spacing w:line="419" w:lineRule="exact"/>
              <w:ind w:right="398"/>
              <w:jc w:val="right"/>
              <w:rPr>
                <w:sz w:val="38"/>
              </w:rPr>
            </w:pPr>
            <w:r>
              <w:rPr>
                <w:w w:val="95"/>
                <w:sz w:val="38"/>
              </w:rPr>
              <w:t>1.2</w:t>
            </w:r>
          </w:p>
        </w:tc>
      </w:tr>
    </w:tbl>
    <w:p>
      <w:pPr>
        <w:spacing w:after="0" w:line="419" w:lineRule="exact"/>
        <w:jc w:val="right"/>
        <w:rPr>
          <w:sz w:val="38"/>
        </w:rPr>
        <w:sectPr>
          <w:pgSz w:w="14270" w:h="16850"/>
          <w:pgMar w:header="0" w:footer="404" w:top="1420" w:bottom="600" w:left="800" w:right="1280"/>
        </w:sectPr>
      </w:pPr>
    </w:p>
    <w:tbl>
      <w:tblPr>
        <w:tblW w:w="0" w:type="auto"/>
        <w:jc w:val="left"/>
        <w:tblInd w:w="6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971"/>
        <w:gridCol w:w="1272"/>
      </w:tblGrid>
      <w:tr>
        <w:trPr>
          <w:trHeight w:val="494" w:hRule="atLeast"/>
        </w:trPr>
        <w:tc>
          <w:tcPr>
            <w:tcW w:w="6243" w:type="dxa"/>
            <w:gridSpan w:val="2"/>
            <w:tcBorders>
              <w:left w:val="single" w:sz="6" w:space="0" w:color="000000"/>
              <w:right w:val="single" w:sz="6" w:space="0" w:color="000000"/>
            </w:tcBorders>
            <w:shd w:val="clear" w:color="auto" w:fill="CCCCFF"/>
          </w:tcPr>
          <w:p>
            <w:pPr>
              <w:pStyle w:val="TableParagraph"/>
              <w:spacing w:line="422" w:lineRule="exact"/>
              <w:ind w:left="1547"/>
              <w:rPr>
                <w:b/>
                <w:sz w:val="38"/>
              </w:rPr>
            </w:pPr>
            <w:r>
              <w:rPr>
                <w:b/>
                <w:sz w:val="38"/>
              </w:rPr>
              <w:t>Meat and sausages:</w:t>
            </w:r>
          </w:p>
        </w:tc>
      </w:tr>
      <w:tr>
        <w:trPr>
          <w:trHeight w:val="491" w:hRule="atLeast"/>
        </w:trPr>
        <w:tc>
          <w:tcPr>
            <w:tcW w:w="4971" w:type="dxa"/>
            <w:tcBorders>
              <w:left w:val="single" w:sz="6" w:space="0" w:color="000000"/>
            </w:tcBorders>
          </w:tcPr>
          <w:p>
            <w:pPr>
              <w:pStyle w:val="TableParagraph"/>
              <w:spacing w:line="419" w:lineRule="exact"/>
              <w:ind w:left="13"/>
              <w:jc w:val="center"/>
              <w:rPr>
                <w:sz w:val="38"/>
              </w:rPr>
            </w:pPr>
            <w:r>
              <w:rPr>
                <w:sz w:val="38"/>
              </w:rPr>
              <w:t>Beef, lean</w:t>
            </w:r>
          </w:p>
        </w:tc>
        <w:tc>
          <w:tcPr>
            <w:tcW w:w="1272" w:type="dxa"/>
            <w:tcBorders>
              <w:right w:val="single" w:sz="6" w:space="0" w:color="000000"/>
            </w:tcBorders>
          </w:tcPr>
          <w:p>
            <w:pPr>
              <w:pStyle w:val="TableParagraph"/>
              <w:spacing w:line="419" w:lineRule="exact"/>
              <w:ind w:left="245" w:right="231"/>
              <w:jc w:val="center"/>
              <w:rPr>
                <w:sz w:val="38"/>
              </w:rPr>
            </w:pPr>
            <w:r>
              <w:rPr>
                <w:sz w:val="38"/>
              </w:rPr>
              <w:t>7.8</w:t>
            </w:r>
          </w:p>
        </w:tc>
      </w:tr>
      <w:tr>
        <w:trPr>
          <w:trHeight w:val="491" w:hRule="atLeast"/>
        </w:trPr>
        <w:tc>
          <w:tcPr>
            <w:tcW w:w="4971" w:type="dxa"/>
            <w:tcBorders>
              <w:left w:val="single" w:sz="6" w:space="0" w:color="000000"/>
            </w:tcBorders>
          </w:tcPr>
          <w:p>
            <w:pPr>
              <w:pStyle w:val="TableParagraph"/>
              <w:spacing w:line="419" w:lineRule="exact"/>
              <w:ind w:left="11"/>
              <w:jc w:val="center"/>
              <w:rPr>
                <w:sz w:val="38"/>
              </w:rPr>
            </w:pPr>
            <w:r>
              <w:rPr>
                <w:sz w:val="38"/>
              </w:rPr>
              <w:t>Chicken</w:t>
            </w:r>
          </w:p>
        </w:tc>
        <w:tc>
          <w:tcPr>
            <w:tcW w:w="1272" w:type="dxa"/>
            <w:tcBorders>
              <w:right w:val="single" w:sz="6" w:space="0" w:color="000000"/>
            </w:tcBorders>
          </w:tcPr>
          <w:p>
            <w:pPr>
              <w:pStyle w:val="TableParagraph"/>
              <w:spacing w:line="419" w:lineRule="exact"/>
              <w:ind w:left="245" w:right="231"/>
              <w:jc w:val="center"/>
              <w:rPr>
                <w:sz w:val="38"/>
              </w:rPr>
            </w:pPr>
            <w:r>
              <w:rPr>
                <w:sz w:val="38"/>
              </w:rPr>
              <w:t>8.7</w:t>
            </w:r>
          </w:p>
        </w:tc>
      </w:tr>
      <w:tr>
        <w:trPr>
          <w:trHeight w:val="491" w:hRule="atLeast"/>
        </w:trPr>
        <w:tc>
          <w:tcPr>
            <w:tcW w:w="4971" w:type="dxa"/>
            <w:tcBorders>
              <w:left w:val="single" w:sz="6" w:space="0" w:color="000000"/>
            </w:tcBorders>
          </w:tcPr>
          <w:p>
            <w:pPr>
              <w:pStyle w:val="TableParagraph"/>
              <w:spacing w:line="419" w:lineRule="exact"/>
              <w:ind w:left="12"/>
              <w:jc w:val="center"/>
              <w:rPr>
                <w:sz w:val="38"/>
              </w:rPr>
            </w:pPr>
            <w:r>
              <w:rPr>
                <w:sz w:val="38"/>
              </w:rPr>
              <w:t>Corned beef, in tins</w:t>
            </w:r>
          </w:p>
        </w:tc>
        <w:tc>
          <w:tcPr>
            <w:tcW w:w="1272" w:type="dxa"/>
            <w:tcBorders>
              <w:right w:val="single" w:sz="6" w:space="0" w:color="000000"/>
            </w:tcBorders>
          </w:tcPr>
          <w:p>
            <w:pPr>
              <w:pStyle w:val="TableParagraph"/>
              <w:spacing w:line="419" w:lineRule="exact"/>
              <w:ind w:left="245" w:right="231"/>
              <w:jc w:val="center"/>
              <w:rPr>
                <w:sz w:val="38"/>
              </w:rPr>
            </w:pPr>
            <w:r>
              <w:rPr>
                <w:sz w:val="38"/>
              </w:rPr>
              <w:t>13.2</w:t>
            </w:r>
          </w:p>
        </w:tc>
      </w:tr>
      <w:tr>
        <w:trPr>
          <w:trHeight w:val="491" w:hRule="atLeast"/>
        </w:trPr>
        <w:tc>
          <w:tcPr>
            <w:tcW w:w="4971" w:type="dxa"/>
            <w:tcBorders>
              <w:left w:val="single" w:sz="6" w:space="0" w:color="000000"/>
            </w:tcBorders>
          </w:tcPr>
          <w:p>
            <w:pPr>
              <w:pStyle w:val="TableParagraph"/>
              <w:spacing w:line="419" w:lineRule="exact"/>
              <w:ind w:left="9"/>
              <w:jc w:val="center"/>
              <w:rPr>
                <w:sz w:val="38"/>
              </w:rPr>
            </w:pPr>
            <w:r>
              <w:rPr>
                <w:sz w:val="38"/>
              </w:rPr>
              <w:t>Frankfurter</w:t>
            </w:r>
          </w:p>
        </w:tc>
        <w:tc>
          <w:tcPr>
            <w:tcW w:w="1272" w:type="dxa"/>
            <w:tcBorders>
              <w:right w:val="single" w:sz="6" w:space="0" w:color="000000"/>
            </w:tcBorders>
          </w:tcPr>
          <w:p>
            <w:pPr>
              <w:pStyle w:val="TableParagraph"/>
              <w:spacing w:line="419" w:lineRule="exact"/>
              <w:ind w:left="245" w:right="231"/>
              <w:jc w:val="center"/>
              <w:rPr>
                <w:sz w:val="38"/>
              </w:rPr>
            </w:pPr>
            <w:r>
              <w:rPr>
                <w:sz w:val="38"/>
              </w:rPr>
              <w:t>6.7</w:t>
            </w:r>
          </w:p>
        </w:tc>
      </w:tr>
      <w:tr>
        <w:trPr>
          <w:trHeight w:val="493" w:hRule="atLeast"/>
        </w:trPr>
        <w:tc>
          <w:tcPr>
            <w:tcW w:w="4971" w:type="dxa"/>
            <w:tcBorders>
              <w:left w:val="single" w:sz="6" w:space="0" w:color="000000"/>
            </w:tcBorders>
          </w:tcPr>
          <w:p>
            <w:pPr>
              <w:pStyle w:val="TableParagraph"/>
              <w:spacing w:line="421" w:lineRule="exact"/>
              <w:ind w:left="10"/>
              <w:jc w:val="center"/>
              <w:rPr>
                <w:sz w:val="38"/>
              </w:rPr>
            </w:pPr>
            <w:r>
              <w:rPr>
                <w:sz w:val="38"/>
              </w:rPr>
              <w:t>Liver sausage</w:t>
            </w:r>
          </w:p>
        </w:tc>
        <w:tc>
          <w:tcPr>
            <w:tcW w:w="1272" w:type="dxa"/>
            <w:tcBorders>
              <w:right w:val="single" w:sz="6" w:space="0" w:color="000000"/>
            </w:tcBorders>
          </w:tcPr>
          <w:p>
            <w:pPr>
              <w:pStyle w:val="TableParagraph"/>
              <w:spacing w:line="421" w:lineRule="exact"/>
              <w:ind w:left="245" w:right="231"/>
              <w:jc w:val="center"/>
              <w:rPr>
                <w:sz w:val="38"/>
              </w:rPr>
            </w:pPr>
            <w:r>
              <w:rPr>
                <w:sz w:val="38"/>
              </w:rPr>
              <w:t>10.6</w:t>
            </w:r>
          </w:p>
        </w:tc>
      </w:tr>
      <w:tr>
        <w:trPr>
          <w:trHeight w:val="491" w:hRule="atLeast"/>
        </w:trPr>
        <w:tc>
          <w:tcPr>
            <w:tcW w:w="4971" w:type="dxa"/>
            <w:tcBorders>
              <w:left w:val="single" w:sz="6" w:space="0" w:color="000000"/>
            </w:tcBorders>
          </w:tcPr>
          <w:p>
            <w:pPr>
              <w:pStyle w:val="TableParagraph"/>
              <w:spacing w:line="419" w:lineRule="exact"/>
              <w:ind w:left="15"/>
              <w:jc w:val="center"/>
              <w:rPr>
                <w:sz w:val="38"/>
              </w:rPr>
            </w:pPr>
            <w:r>
              <w:rPr>
                <w:sz w:val="38"/>
              </w:rPr>
              <w:t>Breakfast meat, in tins</w:t>
            </w:r>
          </w:p>
        </w:tc>
        <w:tc>
          <w:tcPr>
            <w:tcW w:w="1272" w:type="dxa"/>
            <w:tcBorders>
              <w:right w:val="single" w:sz="6" w:space="0" w:color="000000"/>
            </w:tcBorders>
          </w:tcPr>
          <w:p>
            <w:pPr>
              <w:pStyle w:val="TableParagraph"/>
              <w:spacing w:line="419" w:lineRule="exact"/>
              <w:ind w:left="245" w:right="231"/>
              <w:jc w:val="center"/>
              <w:rPr>
                <w:sz w:val="38"/>
              </w:rPr>
            </w:pPr>
            <w:r>
              <w:rPr>
                <w:sz w:val="38"/>
              </w:rPr>
              <w:t>10.2</w:t>
            </w:r>
          </w:p>
        </w:tc>
      </w:tr>
      <w:tr>
        <w:trPr>
          <w:trHeight w:val="491" w:hRule="atLeast"/>
        </w:trPr>
        <w:tc>
          <w:tcPr>
            <w:tcW w:w="4971" w:type="dxa"/>
            <w:tcBorders>
              <w:left w:val="single" w:sz="6" w:space="0" w:color="000000"/>
            </w:tcBorders>
          </w:tcPr>
          <w:p>
            <w:pPr>
              <w:pStyle w:val="TableParagraph"/>
              <w:spacing w:line="419" w:lineRule="exact"/>
              <w:ind w:left="15"/>
              <w:jc w:val="center"/>
              <w:rPr>
                <w:sz w:val="38"/>
              </w:rPr>
            </w:pPr>
            <w:r>
              <w:rPr>
                <w:sz w:val="38"/>
              </w:rPr>
              <w:t>Port, lean</w:t>
            </w:r>
          </w:p>
        </w:tc>
        <w:tc>
          <w:tcPr>
            <w:tcW w:w="1272" w:type="dxa"/>
            <w:tcBorders>
              <w:right w:val="single" w:sz="6" w:space="0" w:color="000000"/>
            </w:tcBorders>
          </w:tcPr>
          <w:p>
            <w:pPr>
              <w:pStyle w:val="TableParagraph"/>
              <w:spacing w:line="419" w:lineRule="exact"/>
              <w:ind w:left="245" w:right="231"/>
              <w:jc w:val="center"/>
              <w:rPr>
                <w:sz w:val="38"/>
              </w:rPr>
            </w:pPr>
            <w:r>
              <w:rPr>
                <w:sz w:val="38"/>
              </w:rPr>
              <w:t>7.9</w:t>
            </w:r>
          </w:p>
        </w:tc>
      </w:tr>
      <w:tr>
        <w:trPr>
          <w:trHeight w:val="491" w:hRule="atLeast"/>
        </w:trPr>
        <w:tc>
          <w:tcPr>
            <w:tcW w:w="4971" w:type="dxa"/>
            <w:tcBorders>
              <w:left w:val="single" w:sz="6" w:space="0" w:color="000000"/>
            </w:tcBorders>
          </w:tcPr>
          <w:p>
            <w:pPr>
              <w:pStyle w:val="TableParagraph"/>
              <w:spacing w:line="419" w:lineRule="exact"/>
              <w:ind w:left="13"/>
              <w:jc w:val="center"/>
              <w:rPr>
                <w:sz w:val="38"/>
              </w:rPr>
            </w:pPr>
            <w:r>
              <w:rPr>
                <w:sz w:val="38"/>
              </w:rPr>
              <w:t>Rump steak, lean and fat</w:t>
            </w:r>
          </w:p>
        </w:tc>
        <w:tc>
          <w:tcPr>
            <w:tcW w:w="1272" w:type="dxa"/>
            <w:tcBorders>
              <w:right w:val="single" w:sz="6" w:space="0" w:color="000000"/>
            </w:tcBorders>
          </w:tcPr>
          <w:p>
            <w:pPr>
              <w:pStyle w:val="TableParagraph"/>
              <w:spacing w:line="419" w:lineRule="exact"/>
              <w:ind w:left="245" w:right="231"/>
              <w:jc w:val="center"/>
              <w:rPr>
                <w:sz w:val="38"/>
              </w:rPr>
            </w:pPr>
            <w:r>
              <w:rPr>
                <w:sz w:val="38"/>
              </w:rPr>
              <w:t>8.8</w:t>
            </w:r>
          </w:p>
        </w:tc>
      </w:tr>
      <w:tr>
        <w:trPr>
          <w:trHeight w:val="491" w:hRule="atLeast"/>
        </w:trPr>
        <w:tc>
          <w:tcPr>
            <w:tcW w:w="4971" w:type="dxa"/>
            <w:tcBorders>
              <w:left w:val="single" w:sz="6" w:space="0" w:color="000000"/>
            </w:tcBorders>
          </w:tcPr>
          <w:p>
            <w:pPr>
              <w:pStyle w:val="TableParagraph"/>
              <w:spacing w:line="419" w:lineRule="exact"/>
              <w:ind w:left="14"/>
              <w:jc w:val="center"/>
              <w:rPr>
                <w:sz w:val="38"/>
              </w:rPr>
            </w:pPr>
            <w:r>
              <w:rPr>
                <w:sz w:val="38"/>
              </w:rPr>
              <w:t>Salami</w:t>
            </w:r>
          </w:p>
        </w:tc>
        <w:tc>
          <w:tcPr>
            <w:tcW w:w="1272" w:type="dxa"/>
            <w:tcBorders>
              <w:right w:val="single" w:sz="6" w:space="0" w:color="000000"/>
            </w:tcBorders>
          </w:tcPr>
          <w:p>
            <w:pPr>
              <w:pStyle w:val="TableParagraph"/>
              <w:spacing w:line="419" w:lineRule="exact"/>
              <w:ind w:left="245" w:right="231"/>
              <w:jc w:val="center"/>
              <w:rPr>
                <w:sz w:val="38"/>
              </w:rPr>
            </w:pPr>
            <w:r>
              <w:rPr>
                <w:sz w:val="38"/>
              </w:rPr>
              <w:t>11.6</w:t>
            </w:r>
          </w:p>
        </w:tc>
      </w:tr>
      <w:tr>
        <w:trPr>
          <w:trHeight w:val="493" w:hRule="atLeast"/>
        </w:trPr>
        <w:tc>
          <w:tcPr>
            <w:tcW w:w="4971" w:type="dxa"/>
            <w:tcBorders>
              <w:left w:val="single" w:sz="6" w:space="0" w:color="000000"/>
            </w:tcBorders>
          </w:tcPr>
          <w:p>
            <w:pPr>
              <w:pStyle w:val="TableParagraph"/>
              <w:spacing w:line="421" w:lineRule="exact"/>
              <w:ind w:left="10"/>
              <w:jc w:val="center"/>
              <w:rPr>
                <w:sz w:val="38"/>
              </w:rPr>
            </w:pPr>
            <w:r>
              <w:rPr>
                <w:sz w:val="38"/>
              </w:rPr>
              <w:t>Tuna meat</w:t>
            </w:r>
          </w:p>
        </w:tc>
        <w:tc>
          <w:tcPr>
            <w:tcW w:w="1272" w:type="dxa"/>
            <w:tcBorders>
              <w:right w:val="single" w:sz="6" w:space="0" w:color="000000"/>
            </w:tcBorders>
          </w:tcPr>
          <w:p>
            <w:pPr>
              <w:pStyle w:val="TableParagraph"/>
              <w:spacing w:line="421" w:lineRule="exact"/>
              <w:ind w:left="245" w:right="231"/>
              <w:jc w:val="center"/>
              <w:rPr>
                <w:sz w:val="38"/>
              </w:rPr>
            </w:pPr>
            <w:r>
              <w:rPr>
                <w:sz w:val="38"/>
              </w:rPr>
              <w:t>9.9</w:t>
            </w:r>
          </w:p>
        </w:tc>
      </w:tr>
      <w:tr>
        <w:trPr>
          <w:trHeight w:val="491" w:hRule="atLeast"/>
        </w:trPr>
        <w:tc>
          <w:tcPr>
            <w:tcW w:w="4971" w:type="dxa"/>
            <w:tcBorders>
              <w:left w:val="single" w:sz="6" w:space="0" w:color="000000"/>
            </w:tcBorders>
          </w:tcPr>
          <w:p>
            <w:pPr>
              <w:pStyle w:val="TableParagraph"/>
              <w:spacing w:line="419" w:lineRule="exact"/>
              <w:ind w:left="11"/>
              <w:jc w:val="center"/>
              <w:rPr>
                <w:sz w:val="38"/>
              </w:rPr>
            </w:pPr>
            <w:r>
              <w:rPr>
                <w:sz w:val="38"/>
              </w:rPr>
              <w:t>Veal</w:t>
            </w:r>
          </w:p>
        </w:tc>
        <w:tc>
          <w:tcPr>
            <w:tcW w:w="1272" w:type="dxa"/>
            <w:tcBorders>
              <w:right w:val="single" w:sz="6" w:space="0" w:color="000000"/>
            </w:tcBorders>
          </w:tcPr>
          <w:p>
            <w:pPr>
              <w:pStyle w:val="TableParagraph"/>
              <w:spacing w:line="419" w:lineRule="exact"/>
              <w:ind w:left="245" w:right="231"/>
              <w:jc w:val="center"/>
              <w:rPr>
                <w:sz w:val="38"/>
              </w:rPr>
            </w:pPr>
            <w:r>
              <w:rPr>
                <w:sz w:val="38"/>
              </w:rPr>
              <w:t>9.0</w:t>
            </w:r>
          </w:p>
        </w:tc>
      </w:tr>
      <w:tr>
        <w:trPr>
          <w:trHeight w:val="491" w:hRule="atLeast"/>
        </w:trPr>
        <w:tc>
          <w:tcPr>
            <w:tcW w:w="6243" w:type="dxa"/>
            <w:gridSpan w:val="2"/>
            <w:tcBorders>
              <w:left w:val="single" w:sz="6" w:space="0" w:color="000000"/>
              <w:right w:val="single" w:sz="6" w:space="0" w:color="000000"/>
            </w:tcBorders>
            <w:shd w:val="clear" w:color="auto" w:fill="CCCCFF"/>
          </w:tcPr>
          <w:p>
            <w:pPr>
              <w:pStyle w:val="TableParagraph"/>
              <w:spacing w:line="419" w:lineRule="exact"/>
              <w:ind w:left="710"/>
              <w:rPr>
                <w:b/>
                <w:sz w:val="38"/>
              </w:rPr>
            </w:pPr>
            <w:r>
              <w:rPr>
                <w:b/>
                <w:sz w:val="38"/>
              </w:rPr>
              <w:t>Milk, milk products and eggs:</w:t>
            </w:r>
          </w:p>
        </w:tc>
      </w:tr>
      <w:tr>
        <w:trPr>
          <w:trHeight w:val="491" w:hRule="atLeast"/>
        </w:trPr>
        <w:tc>
          <w:tcPr>
            <w:tcW w:w="4971" w:type="dxa"/>
            <w:tcBorders>
              <w:left w:val="single" w:sz="6" w:space="0" w:color="000000"/>
            </w:tcBorders>
          </w:tcPr>
          <w:p>
            <w:pPr>
              <w:pStyle w:val="TableParagraph"/>
              <w:spacing w:line="419" w:lineRule="exact"/>
              <w:ind w:left="14"/>
              <w:jc w:val="center"/>
              <w:rPr>
                <w:sz w:val="38"/>
              </w:rPr>
            </w:pPr>
            <w:r>
              <w:rPr>
                <w:sz w:val="38"/>
              </w:rPr>
              <w:t>Buttermilk</w:t>
            </w:r>
          </w:p>
        </w:tc>
        <w:tc>
          <w:tcPr>
            <w:tcW w:w="1272" w:type="dxa"/>
            <w:tcBorders>
              <w:right w:val="single" w:sz="6" w:space="0" w:color="000000"/>
            </w:tcBorders>
          </w:tcPr>
          <w:p>
            <w:pPr>
              <w:pStyle w:val="TableParagraph"/>
              <w:spacing w:line="419" w:lineRule="exact"/>
              <w:ind w:left="245" w:right="231"/>
              <w:jc w:val="center"/>
              <w:rPr>
                <w:sz w:val="38"/>
              </w:rPr>
            </w:pPr>
            <w:r>
              <w:rPr>
                <w:sz w:val="38"/>
              </w:rPr>
              <w:t>0.5</w:t>
            </w:r>
          </w:p>
        </w:tc>
      </w:tr>
      <w:tr>
        <w:trPr>
          <w:trHeight w:val="491" w:hRule="atLeast"/>
        </w:trPr>
        <w:tc>
          <w:tcPr>
            <w:tcW w:w="4971" w:type="dxa"/>
            <w:tcBorders>
              <w:left w:val="single" w:sz="6" w:space="0" w:color="000000"/>
            </w:tcBorders>
          </w:tcPr>
          <w:p>
            <w:pPr>
              <w:pStyle w:val="TableParagraph"/>
              <w:spacing w:line="419" w:lineRule="exact"/>
              <w:ind w:left="11"/>
              <w:jc w:val="center"/>
              <w:rPr>
                <w:sz w:val="38"/>
              </w:rPr>
            </w:pPr>
            <w:r>
              <w:rPr>
                <w:sz w:val="38"/>
              </w:rPr>
              <w:t>Camembert</w:t>
            </w:r>
          </w:p>
        </w:tc>
        <w:tc>
          <w:tcPr>
            <w:tcW w:w="1272" w:type="dxa"/>
            <w:tcBorders>
              <w:right w:val="single" w:sz="6" w:space="0" w:color="000000"/>
            </w:tcBorders>
          </w:tcPr>
          <w:p>
            <w:pPr>
              <w:pStyle w:val="TableParagraph"/>
              <w:spacing w:line="419" w:lineRule="exact"/>
              <w:ind w:left="245" w:right="231"/>
              <w:jc w:val="center"/>
              <w:rPr>
                <w:sz w:val="38"/>
              </w:rPr>
            </w:pPr>
            <w:r>
              <w:rPr>
                <w:sz w:val="38"/>
              </w:rPr>
              <w:t>14.6</w:t>
            </w:r>
          </w:p>
        </w:tc>
      </w:tr>
      <w:tr>
        <w:trPr>
          <w:trHeight w:val="491" w:hRule="atLeast"/>
        </w:trPr>
        <w:tc>
          <w:tcPr>
            <w:tcW w:w="4971" w:type="dxa"/>
            <w:tcBorders>
              <w:left w:val="single" w:sz="6" w:space="0" w:color="000000"/>
            </w:tcBorders>
          </w:tcPr>
          <w:p>
            <w:pPr>
              <w:pStyle w:val="TableParagraph"/>
              <w:spacing w:line="419" w:lineRule="exact"/>
              <w:ind w:left="12"/>
              <w:jc w:val="center"/>
              <w:rPr>
                <w:sz w:val="38"/>
              </w:rPr>
            </w:pPr>
            <w:r>
              <w:rPr>
                <w:sz w:val="38"/>
              </w:rPr>
              <w:t>Cheddar, low fat</w:t>
            </w:r>
          </w:p>
        </w:tc>
        <w:tc>
          <w:tcPr>
            <w:tcW w:w="1272" w:type="dxa"/>
            <w:tcBorders>
              <w:right w:val="single" w:sz="6" w:space="0" w:color="000000"/>
            </w:tcBorders>
          </w:tcPr>
          <w:p>
            <w:pPr>
              <w:pStyle w:val="TableParagraph"/>
              <w:spacing w:line="419" w:lineRule="exact"/>
              <w:ind w:left="245" w:right="231"/>
              <w:jc w:val="center"/>
              <w:rPr>
                <w:sz w:val="38"/>
              </w:rPr>
            </w:pPr>
            <w:r>
              <w:rPr>
                <w:sz w:val="38"/>
              </w:rPr>
              <w:t>26.4</w:t>
            </w:r>
          </w:p>
        </w:tc>
      </w:tr>
      <w:tr>
        <w:trPr>
          <w:trHeight w:val="493" w:hRule="atLeast"/>
        </w:trPr>
        <w:tc>
          <w:tcPr>
            <w:tcW w:w="4971" w:type="dxa"/>
            <w:tcBorders>
              <w:left w:val="single" w:sz="6" w:space="0" w:color="000000"/>
            </w:tcBorders>
          </w:tcPr>
          <w:p>
            <w:pPr>
              <w:pStyle w:val="TableParagraph"/>
              <w:spacing w:line="421" w:lineRule="exact"/>
              <w:ind w:left="12"/>
              <w:jc w:val="center"/>
              <w:rPr>
                <w:sz w:val="38"/>
              </w:rPr>
            </w:pPr>
            <w:r>
              <w:rPr>
                <w:sz w:val="38"/>
              </w:rPr>
              <w:t>Gouda</w:t>
            </w:r>
          </w:p>
        </w:tc>
        <w:tc>
          <w:tcPr>
            <w:tcW w:w="1272" w:type="dxa"/>
            <w:tcBorders>
              <w:right w:val="single" w:sz="6" w:space="0" w:color="000000"/>
            </w:tcBorders>
          </w:tcPr>
          <w:p>
            <w:pPr>
              <w:pStyle w:val="TableParagraph"/>
              <w:spacing w:line="421" w:lineRule="exact"/>
              <w:ind w:left="245" w:right="231"/>
              <w:jc w:val="center"/>
              <w:rPr>
                <w:sz w:val="38"/>
              </w:rPr>
            </w:pPr>
            <w:r>
              <w:rPr>
                <w:sz w:val="38"/>
              </w:rPr>
              <w:t>18.6</w:t>
            </w:r>
          </w:p>
        </w:tc>
      </w:tr>
      <w:tr>
        <w:trPr>
          <w:trHeight w:val="491" w:hRule="atLeast"/>
        </w:trPr>
        <w:tc>
          <w:tcPr>
            <w:tcW w:w="4971" w:type="dxa"/>
            <w:tcBorders>
              <w:left w:val="single" w:sz="6" w:space="0" w:color="000000"/>
            </w:tcBorders>
          </w:tcPr>
          <w:p>
            <w:pPr>
              <w:pStyle w:val="TableParagraph"/>
              <w:spacing w:line="419" w:lineRule="exact"/>
              <w:ind w:left="11"/>
              <w:jc w:val="center"/>
              <w:rPr>
                <w:sz w:val="38"/>
              </w:rPr>
            </w:pPr>
            <w:r>
              <w:rPr>
                <w:sz w:val="38"/>
              </w:rPr>
              <w:t>Cottage cheese, full fat</w:t>
            </w:r>
          </w:p>
        </w:tc>
        <w:tc>
          <w:tcPr>
            <w:tcW w:w="1272" w:type="dxa"/>
            <w:tcBorders>
              <w:right w:val="single" w:sz="6" w:space="0" w:color="000000"/>
            </w:tcBorders>
          </w:tcPr>
          <w:p>
            <w:pPr>
              <w:pStyle w:val="TableParagraph"/>
              <w:spacing w:line="419" w:lineRule="exact"/>
              <w:ind w:left="245" w:right="231"/>
              <w:jc w:val="center"/>
              <w:rPr>
                <w:sz w:val="38"/>
              </w:rPr>
            </w:pPr>
            <w:r>
              <w:rPr>
                <w:sz w:val="38"/>
              </w:rPr>
              <w:t>8.7</w:t>
            </w:r>
          </w:p>
        </w:tc>
      </w:tr>
      <w:tr>
        <w:trPr>
          <w:trHeight w:val="491" w:hRule="atLeast"/>
        </w:trPr>
        <w:tc>
          <w:tcPr>
            <w:tcW w:w="4971" w:type="dxa"/>
            <w:tcBorders>
              <w:left w:val="single" w:sz="6" w:space="0" w:color="000000"/>
            </w:tcBorders>
          </w:tcPr>
          <w:p>
            <w:pPr>
              <w:pStyle w:val="TableParagraph"/>
              <w:spacing w:line="419" w:lineRule="exact"/>
              <w:ind w:left="13"/>
              <w:jc w:val="center"/>
              <w:rPr>
                <w:sz w:val="38"/>
              </w:rPr>
            </w:pPr>
            <w:r>
              <w:rPr>
                <w:sz w:val="38"/>
              </w:rPr>
              <w:t>Cream, fresh, sour</w:t>
            </w:r>
          </w:p>
        </w:tc>
        <w:tc>
          <w:tcPr>
            <w:tcW w:w="1272" w:type="dxa"/>
            <w:tcBorders>
              <w:right w:val="single" w:sz="6" w:space="0" w:color="000000"/>
            </w:tcBorders>
          </w:tcPr>
          <w:p>
            <w:pPr>
              <w:pStyle w:val="TableParagraph"/>
              <w:spacing w:line="419" w:lineRule="exact"/>
              <w:ind w:left="245" w:right="231"/>
              <w:jc w:val="center"/>
              <w:rPr>
                <w:sz w:val="38"/>
              </w:rPr>
            </w:pPr>
            <w:r>
              <w:rPr>
                <w:sz w:val="38"/>
              </w:rPr>
              <w:t>1.2</w:t>
            </w:r>
          </w:p>
        </w:tc>
      </w:tr>
      <w:tr>
        <w:trPr>
          <w:trHeight w:val="491" w:hRule="atLeast"/>
        </w:trPr>
        <w:tc>
          <w:tcPr>
            <w:tcW w:w="4971" w:type="dxa"/>
            <w:tcBorders>
              <w:left w:val="single" w:sz="6" w:space="0" w:color="000000"/>
            </w:tcBorders>
          </w:tcPr>
          <w:p>
            <w:pPr>
              <w:pStyle w:val="TableParagraph"/>
              <w:spacing w:line="419" w:lineRule="exact"/>
              <w:ind w:left="10"/>
              <w:jc w:val="center"/>
              <w:rPr>
                <w:sz w:val="38"/>
              </w:rPr>
            </w:pPr>
            <w:r>
              <w:rPr>
                <w:sz w:val="38"/>
              </w:rPr>
              <w:t>Chicken eggs</w:t>
            </w:r>
          </w:p>
        </w:tc>
        <w:tc>
          <w:tcPr>
            <w:tcW w:w="1272" w:type="dxa"/>
            <w:tcBorders>
              <w:right w:val="single" w:sz="6" w:space="0" w:color="000000"/>
            </w:tcBorders>
          </w:tcPr>
          <w:p>
            <w:pPr>
              <w:pStyle w:val="TableParagraph"/>
              <w:spacing w:line="419" w:lineRule="exact"/>
              <w:ind w:left="245" w:right="231"/>
              <w:jc w:val="center"/>
              <w:rPr>
                <w:sz w:val="38"/>
              </w:rPr>
            </w:pPr>
            <w:r>
              <w:rPr>
                <w:sz w:val="38"/>
              </w:rPr>
              <w:t>8.2</w:t>
            </w:r>
          </w:p>
        </w:tc>
      </w:tr>
      <w:tr>
        <w:trPr>
          <w:trHeight w:val="491" w:hRule="atLeast"/>
        </w:trPr>
        <w:tc>
          <w:tcPr>
            <w:tcW w:w="4971" w:type="dxa"/>
            <w:tcBorders>
              <w:left w:val="single" w:sz="6" w:space="0" w:color="000000"/>
            </w:tcBorders>
          </w:tcPr>
          <w:p>
            <w:pPr>
              <w:pStyle w:val="TableParagraph"/>
              <w:spacing w:line="419" w:lineRule="exact"/>
              <w:ind w:left="14"/>
              <w:jc w:val="center"/>
              <w:rPr>
                <w:sz w:val="38"/>
              </w:rPr>
            </w:pPr>
            <w:r>
              <w:rPr>
                <w:sz w:val="38"/>
              </w:rPr>
              <w:t>Egg white</w:t>
            </w:r>
          </w:p>
        </w:tc>
        <w:tc>
          <w:tcPr>
            <w:tcW w:w="1272" w:type="dxa"/>
            <w:tcBorders>
              <w:right w:val="single" w:sz="6" w:space="0" w:color="000000"/>
            </w:tcBorders>
          </w:tcPr>
          <w:p>
            <w:pPr>
              <w:pStyle w:val="TableParagraph"/>
              <w:spacing w:line="419" w:lineRule="exact"/>
              <w:ind w:left="245" w:right="231"/>
              <w:jc w:val="center"/>
              <w:rPr>
                <w:sz w:val="38"/>
              </w:rPr>
            </w:pPr>
            <w:r>
              <w:rPr>
                <w:sz w:val="38"/>
              </w:rPr>
              <w:t>1.1</w:t>
            </w:r>
          </w:p>
        </w:tc>
      </w:tr>
      <w:tr>
        <w:trPr>
          <w:trHeight w:val="491" w:hRule="atLeast"/>
        </w:trPr>
        <w:tc>
          <w:tcPr>
            <w:tcW w:w="4971" w:type="dxa"/>
            <w:tcBorders>
              <w:left w:val="single" w:sz="6" w:space="0" w:color="000000"/>
            </w:tcBorders>
          </w:tcPr>
          <w:p>
            <w:pPr>
              <w:pStyle w:val="TableParagraph"/>
              <w:spacing w:line="419" w:lineRule="exact"/>
              <w:ind w:left="15"/>
              <w:jc w:val="center"/>
              <w:rPr>
                <w:sz w:val="38"/>
              </w:rPr>
            </w:pPr>
            <w:r>
              <w:rPr>
                <w:sz w:val="38"/>
              </w:rPr>
              <w:t>Egg yolk</w:t>
            </w:r>
          </w:p>
        </w:tc>
        <w:tc>
          <w:tcPr>
            <w:tcW w:w="1272" w:type="dxa"/>
            <w:tcBorders>
              <w:right w:val="single" w:sz="6" w:space="0" w:color="000000"/>
            </w:tcBorders>
          </w:tcPr>
          <w:p>
            <w:pPr>
              <w:pStyle w:val="TableParagraph"/>
              <w:spacing w:line="419" w:lineRule="exact"/>
              <w:ind w:left="245" w:right="231"/>
              <w:jc w:val="center"/>
              <w:rPr>
                <w:sz w:val="38"/>
              </w:rPr>
            </w:pPr>
            <w:r>
              <w:rPr>
                <w:sz w:val="38"/>
              </w:rPr>
              <w:t>23.4</w:t>
            </w:r>
          </w:p>
        </w:tc>
      </w:tr>
      <w:tr>
        <w:trPr>
          <w:trHeight w:val="493" w:hRule="atLeast"/>
        </w:trPr>
        <w:tc>
          <w:tcPr>
            <w:tcW w:w="4971" w:type="dxa"/>
            <w:tcBorders>
              <w:left w:val="single" w:sz="6" w:space="0" w:color="000000"/>
            </w:tcBorders>
          </w:tcPr>
          <w:p>
            <w:pPr>
              <w:pStyle w:val="TableParagraph"/>
              <w:spacing w:line="421" w:lineRule="exact"/>
              <w:ind w:left="14"/>
              <w:jc w:val="center"/>
              <w:rPr>
                <w:sz w:val="38"/>
              </w:rPr>
            </w:pPr>
            <w:r>
              <w:rPr>
                <w:sz w:val="38"/>
              </w:rPr>
              <w:t>Quark</w:t>
            </w:r>
          </w:p>
        </w:tc>
        <w:tc>
          <w:tcPr>
            <w:tcW w:w="1272" w:type="dxa"/>
            <w:tcBorders>
              <w:right w:val="single" w:sz="6" w:space="0" w:color="000000"/>
            </w:tcBorders>
          </w:tcPr>
          <w:p>
            <w:pPr>
              <w:pStyle w:val="TableParagraph"/>
              <w:spacing w:line="421" w:lineRule="exact"/>
              <w:ind w:left="245" w:right="231"/>
              <w:jc w:val="center"/>
              <w:rPr>
                <w:sz w:val="38"/>
              </w:rPr>
            </w:pPr>
            <w:r>
              <w:rPr>
                <w:sz w:val="38"/>
              </w:rPr>
              <w:t>11.1</w:t>
            </w:r>
          </w:p>
        </w:tc>
      </w:tr>
    </w:tbl>
    <w:p>
      <w:pPr>
        <w:spacing w:after="0" w:line="421" w:lineRule="exact"/>
        <w:jc w:val="center"/>
        <w:rPr>
          <w:sz w:val="38"/>
        </w:rPr>
        <w:sectPr>
          <w:pgSz w:w="14270" w:h="16850"/>
          <w:pgMar w:header="0" w:footer="404" w:top="1420" w:bottom="600" w:left="800" w:right="1280"/>
        </w:sectPr>
      </w:pPr>
    </w:p>
    <w:tbl>
      <w:tblPr>
        <w:tblW w:w="0" w:type="auto"/>
        <w:jc w:val="left"/>
        <w:tblInd w:w="6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971"/>
        <w:gridCol w:w="1272"/>
      </w:tblGrid>
      <w:tr>
        <w:trPr>
          <w:trHeight w:val="494" w:hRule="atLeast"/>
        </w:trPr>
        <w:tc>
          <w:tcPr>
            <w:tcW w:w="4971" w:type="dxa"/>
            <w:tcBorders>
              <w:left w:val="single" w:sz="6" w:space="0" w:color="000000"/>
            </w:tcBorders>
          </w:tcPr>
          <w:p>
            <w:pPr>
              <w:pStyle w:val="TableParagraph"/>
              <w:spacing w:line="422" w:lineRule="exact"/>
              <w:ind w:left="13"/>
              <w:jc w:val="center"/>
              <w:rPr>
                <w:sz w:val="38"/>
              </w:rPr>
            </w:pPr>
            <w:r>
              <w:rPr>
                <w:sz w:val="38"/>
              </w:rPr>
              <w:t>Soft cheese, full fat</w:t>
            </w:r>
          </w:p>
        </w:tc>
        <w:tc>
          <w:tcPr>
            <w:tcW w:w="1272" w:type="dxa"/>
            <w:tcBorders>
              <w:right w:val="single" w:sz="6" w:space="0" w:color="000000"/>
            </w:tcBorders>
          </w:tcPr>
          <w:p>
            <w:pPr>
              <w:pStyle w:val="TableParagraph"/>
              <w:spacing w:line="422" w:lineRule="exact"/>
              <w:ind w:right="398"/>
              <w:jc w:val="right"/>
              <w:rPr>
                <w:sz w:val="38"/>
              </w:rPr>
            </w:pPr>
            <w:r>
              <w:rPr>
                <w:w w:val="95"/>
                <w:sz w:val="38"/>
              </w:rPr>
              <w:t>4.3</w:t>
            </w:r>
          </w:p>
        </w:tc>
      </w:tr>
      <w:tr>
        <w:trPr>
          <w:trHeight w:val="491" w:hRule="atLeast"/>
        </w:trPr>
        <w:tc>
          <w:tcPr>
            <w:tcW w:w="4971" w:type="dxa"/>
            <w:tcBorders>
              <w:left w:val="single" w:sz="6" w:space="0" w:color="000000"/>
            </w:tcBorders>
          </w:tcPr>
          <w:p>
            <w:pPr>
              <w:pStyle w:val="TableParagraph"/>
              <w:spacing w:line="419" w:lineRule="exact"/>
              <w:ind w:left="15"/>
              <w:jc w:val="center"/>
              <w:rPr>
                <w:sz w:val="38"/>
              </w:rPr>
            </w:pPr>
            <w:r>
              <w:rPr>
                <w:sz w:val="38"/>
              </w:rPr>
              <w:t>Hard cheese, average of 4 types</w:t>
            </w:r>
          </w:p>
        </w:tc>
        <w:tc>
          <w:tcPr>
            <w:tcW w:w="1272" w:type="dxa"/>
            <w:tcBorders>
              <w:right w:val="single" w:sz="6" w:space="0" w:color="000000"/>
            </w:tcBorders>
          </w:tcPr>
          <w:p>
            <w:pPr>
              <w:pStyle w:val="TableParagraph"/>
              <w:spacing w:line="419" w:lineRule="exact"/>
              <w:ind w:right="309"/>
              <w:jc w:val="right"/>
              <w:rPr>
                <w:sz w:val="38"/>
              </w:rPr>
            </w:pPr>
            <w:r>
              <w:rPr>
                <w:w w:val="95"/>
                <w:sz w:val="38"/>
              </w:rPr>
              <w:t>19.2</w:t>
            </w:r>
          </w:p>
        </w:tc>
      </w:tr>
      <w:tr>
        <w:trPr>
          <w:trHeight w:val="491" w:hRule="atLeast"/>
        </w:trPr>
        <w:tc>
          <w:tcPr>
            <w:tcW w:w="4971" w:type="dxa"/>
            <w:tcBorders>
              <w:left w:val="single" w:sz="6" w:space="0" w:color="000000"/>
            </w:tcBorders>
          </w:tcPr>
          <w:p>
            <w:pPr>
              <w:pStyle w:val="TableParagraph"/>
              <w:spacing w:line="419" w:lineRule="exact"/>
              <w:ind w:left="14"/>
              <w:jc w:val="center"/>
              <w:rPr>
                <w:sz w:val="38"/>
              </w:rPr>
            </w:pPr>
            <w:r>
              <w:rPr>
                <w:sz w:val="38"/>
              </w:rPr>
              <w:t>Dairy ice cream, vanilla</w:t>
            </w:r>
          </w:p>
        </w:tc>
        <w:tc>
          <w:tcPr>
            <w:tcW w:w="1272" w:type="dxa"/>
            <w:tcBorders>
              <w:right w:val="single" w:sz="6" w:space="0" w:color="000000"/>
            </w:tcBorders>
          </w:tcPr>
          <w:p>
            <w:pPr>
              <w:pStyle w:val="TableParagraph"/>
              <w:spacing w:line="419" w:lineRule="exact"/>
              <w:ind w:right="398"/>
              <w:jc w:val="right"/>
              <w:rPr>
                <w:sz w:val="38"/>
              </w:rPr>
            </w:pPr>
            <w:r>
              <w:rPr>
                <w:w w:val="95"/>
                <w:sz w:val="38"/>
              </w:rPr>
              <w:t>0.6</w:t>
            </w:r>
          </w:p>
        </w:tc>
      </w:tr>
      <w:tr>
        <w:trPr>
          <w:trHeight w:val="491" w:hRule="atLeast"/>
        </w:trPr>
        <w:tc>
          <w:tcPr>
            <w:tcW w:w="4971" w:type="dxa"/>
            <w:tcBorders>
              <w:left w:val="single" w:sz="6" w:space="0" w:color="000000"/>
            </w:tcBorders>
          </w:tcPr>
          <w:p>
            <w:pPr>
              <w:pStyle w:val="TableParagraph"/>
              <w:spacing w:line="419" w:lineRule="exact"/>
              <w:ind w:left="15"/>
              <w:jc w:val="center"/>
              <w:rPr>
                <w:sz w:val="38"/>
              </w:rPr>
            </w:pPr>
            <w:r>
              <w:rPr>
                <w:sz w:val="38"/>
              </w:rPr>
              <w:t>Condensed milk</w:t>
            </w:r>
          </w:p>
        </w:tc>
        <w:tc>
          <w:tcPr>
            <w:tcW w:w="1272" w:type="dxa"/>
            <w:tcBorders>
              <w:right w:val="single" w:sz="6" w:space="0" w:color="000000"/>
            </w:tcBorders>
          </w:tcPr>
          <w:p>
            <w:pPr>
              <w:pStyle w:val="TableParagraph"/>
              <w:spacing w:line="419" w:lineRule="exact"/>
              <w:ind w:right="398"/>
              <w:jc w:val="right"/>
              <w:rPr>
                <w:sz w:val="38"/>
              </w:rPr>
            </w:pPr>
            <w:r>
              <w:rPr>
                <w:w w:val="95"/>
                <w:sz w:val="38"/>
              </w:rPr>
              <w:t>1.1</w:t>
            </w:r>
          </w:p>
        </w:tc>
      </w:tr>
      <w:tr>
        <w:trPr>
          <w:trHeight w:val="983" w:hRule="atLeast"/>
        </w:trPr>
        <w:tc>
          <w:tcPr>
            <w:tcW w:w="4971" w:type="dxa"/>
            <w:tcBorders>
              <w:left w:val="single" w:sz="6" w:space="0" w:color="000000"/>
            </w:tcBorders>
          </w:tcPr>
          <w:p>
            <w:pPr>
              <w:pStyle w:val="TableParagraph"/>
              <w:spacing w:line="419" w:lineRule="exact"/>
              <w:ind w:left="14"/>
              <w:jc w:val="center"/>
              <w:rPr>
                <w:sz w:val="38"/>
              </w:rPr>
            </w:pPr>
            <w:r>
              <w:rPr>
                <w:sz w:val="38"/>
              </w:rPr>
              <w:t>Full milk, pasteurised and steri-</w:t>
            </w:r>
          </w:p>
          <w:p>
            <w:pPr>
              <w:pStyle w:val="TableParagraph"/>
              <w:spacing w:before="64"/>
              <w:ind w:left="15"/>
              <w:jc w:val="center"/>
              <w:rPr>
                <w:sz w:val="38"/>
              </w:rPr>
            </w:pPr>
            <w:r>
              <w:rPr>
                <w:sz w:val="38"/>
              </w:rPr>
              <w:t>lised</w:t>
            </w:r>
          </w:p>
        </w:tc>
        <w:tc>
          <w:tcPr>
            <w:tcW w:w="1272" w:type="dxa"/>
            <w:tcBorders>
              <w:right w:val="single" w:sz="6" w:space="0" w:color="000000"/>
            </w:tcBorders>
          </w:tcPr>
          <w:p>
            <w:pPr>
              <w:pStyle w:val="TableParagraph"/>
              <w:spacing w:before="238"/>
              <w:ind w:right="398"/>
              <w:jc w:val="right"/>
              <w:rPr>
                <w:sz w:val="38"/>
              </w:rPr>
            </w:pPr>
            <w:r>
              <w:rPr>
                <w:w w:val="95"/>
                <w:sz w:val="38"/>
              </w:rPr>
              <w:t>0.7</w:t>
            </w:r>
          </w:p>
        </w:tc>
      </w:tr>
      <w:tr>
        <w:trPr>
          <w:trHeight w:val="491" w:hRule="atLeast"/>
        </w:trPr>
        <w:tc>
          <w:tcPr>
            <w:tcW w:w="4971" w:type="dxa"/>
            <w:tcBorders>
              <w:left w:val="single" w:sz="6" w:space="0" w:color="000000"/>
            </w:tcBorders>
          </w:tcPr>
          <w:p>
            <w:pPr>
              <w:pStyle w:val="TableParagraph"/>
              <w:spacing w:line="419" w:lineRule="exact"/>
              <w:ind w:left="15"/>
              <w:jc w:val="center"/>
              <w:rPr>
                <w:sz w:val="38"/>
              </w:rPr>
            </w:pPr>
            <w:r>
              <w:rPr>
                <w:sz w:val="38"/>
              </w:rPr>
              <w:t>Parmesan</w:t>
            </w:r>
          </w:p>
        </w:tc>
        <w:tc>
          <w:tcPr>
            <w:tcW w:w="1272" w:type="dxa"/>
            <w:tcBorders>
              <w:right w:val="single" w:sz="6" w:space="0" w:color="000000"/>
            </w:tcBorders>
          </w:tcPr>
          <w:p>
            <w:pPr>
              <w:pStyle w:val="TableParagraph"/>
              <w:spacing w:line="419" w:lineRule="exact"/>
              <w:ind w:right="309"/>
              <w:jc w:val="right"/>
              <w:rPr>
                <w:sz w:val="38"/>
              </w:rPr>
            </w:pPr>
            <w:r>
              <w:rPr>
                <w:w w:val="95"/>
                <w:sz w:val="38"/>
              </w:rPr>
              <w:t>34.2</w:t>
            </w:r>
          </w:p>
        </w:tc>
      </w:tr>
      <w:tr>
        <w:trPr>
          <w:trHeight w:val="494" w:hRule="atLeast"/>
        </w:trPr>
        <w:tc>
          <w:tcPr>
            <w:tcW w:w="4971" w:type="dxa"/>
            <w:tcBorders>
              <w:left w:val="single" w:sz="6" w:space="0" w:color="000000"/>
            </w:tcBorders>
          </w:tcPr>
          <w:p>
            <w:pPr>
              <w:pStyle w:val="TableParagraph"/>
              <w:spacing w:line="422" w:lineRule="exact"/>
              <w:ind w:left="11"/>
              <w:jc w:val="center"/>
              <w:rPr>
                <w:sz w:val="38"/>
              </w:rPr>
            </w:pPr>
            <w:r>
              <w:rPr>
                <w:sz w:val="38"/>
              </w:rPr>
              <w:t>Soft cheese, natural</w:t>
            </w:r>
          </w:p>
        </w:tc>
        <w:tc>
          <w:tcPr>
            <w:tcW w:w="1272" w:type="dxa"/>
            <w:tcBorders>
              <w:right w:val="single" w:sz="6" w:space="0" w:color="000000"/>
            </w:tcBorders>
          </w:tcPr>
          <w:p>
            <w:pPr>
              <w:pStyle w:val="TableParagraph"/>
              <w:spacing w:line="422" w:lineRule="exact"/>
              <w:ind w:right="309"/>
              <w:jc w:val="right"/>
              <w:rPr>
                <w:sz w:val="38"/>
              </w:rPr>
            </w:pPr>
            <w:r>
              <w:rPr>
                <w:w w:val="95"/>
                <w:sz w:val="38"/>
              </w:rPr>
              <w:t>28.7</w:t>
            </w:r>
          </w:p>
        </w:tc>
      </w:tr>
      <w:tr>
        <w:trPr>
          <w:trHeight w:val="491" w:hRule="atLeast"/>
        </w:trPr>
        <w:tc>
          <w:tcPr>
            <w:tcW w:w="4971" w:type="dxa"/>
            <w:tcBorders>
              <w:left w:val="single" w:sz="6" w:space="0" w:color="000000"/>
            </w:tcBorders>
          </w:tcPr>
          <w:p>
            <w:pPr>
              <w:pStyle w:val="TableParagraph"/>
              <w:spacing w:line="419" w:lineRule="exact"/>
              <w:ind w:left="11"/>
              <w:jc w:val="center"/>
              <w:rPr>
                <w:sz w:val="38"/>
              </w:rPr>
            </w:pPr>
            <w:r>
              <w:rPr>
                <w:sz w:val="38"/>
              </w:rPr>
              <w:t>Full milk fruit yoghurt</w:t>
            </w:r>
          </w:p>
        </w:tc>
        <w:tc>
          <w:tcPr>
            <w:tcW w:w="1272" w:type="dxa"/>
            <w:tcBorders>
              <w:right w:val="single" w:sz="6" w:space="0" w:color="000000"/>
            </w:tcBorders>
          </w:tcPr>
          <w:p>
            <w:pPr>
              <w:pStyle w:val="TableParagraph"/>
              <w:spacing w:line="419" w:lineRule="exact"/>
              <w:ind w:right="398"/>
              <w:jc w:val="right"/>
              <w:rPr>
                <w:sz w:val="38"/>
              </w:rPr>
            </w:pPr>
            <w:r>
              <w:rPr>
                <w:w w:val="95"/>
                <w:sz w:val="38"/>
              </w:rPr>
              <w:t>1.2</w:t>
            </w:r>
          </w:p>
        </w:tc>
      </w:tr>
      <w:tr>
        <w:trPr>
          <w:trHeight w:val="491" w:hRule="atLeast"/>
        </w:trPr>
        <w:tc>
          <w:tcPr>
            <w:tcW w:w="4971" w:type="dxa"/>
            <w:tcBorders>
              <w:left w:val="single" w:sz="6" w:space="0" w:color="000000"/>
            </w:tcBorders>
          </w:tcPr>
          <w:p>
            <w:pPr>
              <w:pStyle w:val="TableParagraph"/>
              <w:spacing w:line="419" w:lineRule="exact"/>
              <w:ind w:left="11"/>
              <w:jc w:val="center"/>
              <w:rPr>
                <w:sz w:val="38"/>
              </w:rPr>
            </w:pPr>
            <w:r>
              <w:rPr>
                <w:sz w:val="38"/>
              </w:rPr>
              <w:t>Full milk natural yoghurt</w:t>
            </w:r>
          </w:p>
        </w:tc>
        <w:tc>
          <w:tcPr>
            <w:tcW w:w="1272" w:type="dxa"/>
            <w:tcBorders>
              <w:right w:val="single" w:sz="6" w:space="0" w:color="000000"/>
            </w:tcBorders>
          </w:tcPr>
          <w:p>
            <w:pPr>
              <w:pStyle w:val="TableParagraph"/>
              <w:spacing w:line="419" w:lineRule="exact"/>
              <w:ind w:right="398"/>
              <w:jc w:val="right"/>
              <w:rPr>
                <w:sz w:val="38"/>
              </w:rPr>
            </w:pPr>
            <w:r>
              <w:rPr>
                <w:w w:val="95"/>
                <w:sz w:val="38"/>
              </w:rPr>
              <w:t>1.5</w:t>
            </w:r>
          </w:p>
        </w:tc>
      </w:tr>
      <w:tr>
        <w:trPr>
          <w:trHeight w:val="491" w:hRule="atLeast"/>
        </w:trPr>
        <w:tc>
          <w:tcPr>
            <w:tcW w:w="6243" w:type="dxa"/>
            <w:gridSpan w:val="2"/>
            <w:tcBorders>
              <w:left w:val="single" w:sz="6" w:space="0" w:color="000000"/>
              <w:right w:val="single" w:sz="6" w:space="0" w:color="000000"/>
            </w:tcBorders>
            <w:shd w:val="clear" w:color="auto" w:fill="CCCCFF"/>
          </w:tcPr>
          <w:p>
            <w:pPr>
              <w:pStyle w:val="TableParagraph"/>
              <w:spacing w:line="419" w:lineRule="exact"/>
              <w:ind w:left="839"/>
              <w:rPr>
                <w:b/>
                <w:sz w:val="38"/>
              </w:rPr>
            </w:pPr>
            <w:r>
              <w:rPr>
                <w:b/>
                <w:sz w:val="38"/>
              </w:rPr>
              <w:t>Sugar, preserves and sweets:</w:t>
            </w:r>
          </w:p>
        </w:tc>
      </w:tr>
      <w:tr>
        <w:trPr>
          <w:trHeight w:val="491" w:hRule="atLeast"/>
        </w:trPr>
        <w:tc>
          <w:tcPr>
            <w:tcW w:w="4971" w:type="dxa"/>
            <w:tcBorders>
              <w:left w:val="single" w:sz="6" w:space="0" w:color="000000"/>
            </w:tcBorders>
          </w:tcPr>
          <w:p>
            <w:pPr>
              <w:pStyle w:val="TableParagraph"/>
              <w:spacing w:line="419" w:lineRule="exact"/>
              <w:ind w:left="14"/>
              <w:jc w:val="center"/>
              <w:rPr>
                <w:sz w:val="38"/>
              </w:rPr>
            </w:pPr>
            <w:r>
              <w:rPr>
                <w:sz w:val="38"/>
              </w:rPr>
              <w:t>Milk chocolate</w:t>
            </w:r>
          </w:p>
        </w:tc>
        <w:tc>
          <w:tcPr>
            <w:tcW w:w="1272" w:type="dxa"/>
            <w:tcBorders>
              <w:right w:val="single" w:sz="6" w:space="0" w:color="000000"/>
            </w:tcBorders>
          </w:tcPr>
          <w:p>
            <w:pPr>
              <w:pStyle w:val="TableParagraph"/>
              <w:spacing w:line="419" w:lineRule="exact"/>
              <w:ind w:right="398"/>
              <w:jc w:val="right"/>
              <w:rPr>
                <w:sz w:val="38"/>
              </w:rPr>
            </w:pPr>
            <w:r>
              <w:rPr>
                <w:w w:val="95"/>
                <w:sz w:val="38"/>
              </w:rPr>
              <w:t>2.4</w:t>
            </w:r>
          </w:p>
        </w:tc>
      </w:tr>
      <w:tr>
        <w:trPr>
          <w:trHeight w:val="493" w:hRule="atLeast"/>
        </w:trPr>
        <w:tc>
          <w:tcPr>
            <w:tcW w:w="4971" w:type="dxa"/>
            <w:tcBorders>
              <w:left w:val="single" w:sz="6" w:space="0" w:color="000000"/>
            </w:tcBorders>
          </w:tcPr>
          <w:p>
            <w:pPr>
              <w:pStyle w:val="TableParagraph"/>
              <w:spacing w:line="421" w:lineRule="exact"/>
              <w:ind w:left="12"/>
              <w:jc w:val="center"/>
              <w:rPr>
                <w:sz w:val="38"/>
              </w:rPr>
            </w:pPr>
            <w:r>
              <w:rPr>
                <w:sz w:val="38"/>
              </w:rPr>
              <w:t>Honey</w:t>
            </w:r>
          </w:p>
        </w:tc>
        <w:tc>
          <w:tcPr>
            <w:tcW w:w="1272" w:type="dxa"/>
            <w:tcBorders>
              <w:right w:val="single" w:sz="6" w:space="0" w:color="000000"/>
            </w:tcBorders>
          </w:tcPr>
          <w:p>
            <w:pPr>
              <w:pStyle w:val="TableParagraph"/>
              <w:spacing w:line="421" w:lineRule="exact"/>
              <w:ind w:right="341"/>
              <w:jc w:val="right"/>
              <w:rPr>
                <w:sz w:val="38"/>
              </w:rPr>
            </w:pPr>
            <w:r>
              <w:rPr>
                <w:sz w:val="38"/>
              </w:rPr>
              <w:t>-0.3</w:t>
            </w:r>
          </w:p>
        </w:tc>
      </w:tr>
      <w:tr>
        <w:trPr>
          <w:trHeight w:val="491" w:hRule="atLeast"/>
        </w:trPr>
        <w:tc>
          <w:tcPr>
            <w:tcW w:w="4971" w:type="dxa"/>
            <w:tcBorders>
              <w:left w:val="single" w:sz="6" w:space="0" w:color="000000"/>
            </w:tcBorders>
          </w:tcPr>
          <w:p>
            <w:pPr>
              <w:pStyle w:val="TableParagraph"/>
              <w:spacing w:line="419" w:lineRule="exact"/>
              <w:ind w:left="12"/>
              <w:jc w:val="center"/>
              <w:rPr>
                <w:sz w:val="38"/>
              </w:rPr>
            </w:pPr>
            <w:r>
              <w:rPr>
                <w:sz w:val="38"/>
              </w:rPr>
              <w:t>Madeira cake</w:t>
            </w:r>
          </w:p>
        </w:tc>
        <w:tc>
          <w:tcPr>
            <w:tcW w:w="1272" w:type="dxa"/>
            <w:tcBorders>
              <w:right w:val="single" w:sz="6" w:space="0" w:color="000000"/>
            </w:tcBorders>
          </w:tcPr>
          <w:p>
            <w:pPr>
              <w:pStyle w:val="TableParagraph"/>
              <w:spacing w:line="419" w:lineRule="exact"/>
              <w:ind w:right="398"/>
              <w:jc w:val="right"/>
              <w:rPr>
                <w:sz w:val="38"/>
              </w:rPr>
            </w:pPr>
            <w:r>
              <w:rPr>
                <w:w w:val="95"/>
                <w:sz w:val="38"/>
              </w:rPr>
              <w:t>3.7</w:t>
            </w:r>
          </w:p>
        </w:tc>
      </w:tr>
      <w:tr>
        <w:trPr>
          <w:trHeight w:val="491" w:hRule="atLeast"/>
        </w:trPr>
        <w:tc>
          <w:tcPr>
            <w:tcW w:w="4971" w:type="dxa"/>
            <w:tcBorders>
              <w:left w:val="single" w:sz="6" w:space="0" w:color="000000"/>
            </w:tcBorders>
          </w:tcPr>
          <w:p>
            <w:pPr>
              <w:pStyle w:val="TableParagraph"/>
              <w:spacing w:line="419" w:lineRule="exact"/>
              <w:ind w:left="13"/>
              <w:jc w:val="center"/>
              <w:rPr>
                <w:sz w:val="38"/>
              </w:rPr>
            </w:pPr>
            <w:r>
              <w:rPr>
                <w:sz w:val="38"/>
              </w:rPr>
              <w:t>Marmalade</w:t>
            </w:r>
          </w:p>
        </w:tc>
        <w:tc>
          <w:tcPr>
            <w:tcW w:w="1272" w:type="dxa"/>
            <w:tcBorders>
              <w:right w:val="single" w:sz="6" w:space="0" w:color="000000"/>
            </w:tcBorders>
          </w:tcPr>
          <w:p>
            <w:pPr>
              <w:pStyle w:val="TableParagraph"/>
              <w:spacing w:line="419" w:lineRule="exact"/>
              <w:ind w:right="341"/>
              <w:jc w:val="right"/>
              <w:rPr>
                <w:sz w:val="38"/>
              </w:rPr>
            </w:pPr>
            <w:r>
              <w:rPr>
                <w:sz w:val="38"/>
              </w:rPr>
              <w:t>-1.5</w:t>
            </w:r>
          </w:p>
        </w:tc>
      </w:tr>
      <w:tr>
        <w:trPr>
          <w:trHeight w:val="491" w:hRule="atLeast"/>
        </w:trPr>
        <w:tc>
          <w:tcPr>
            <w:tcW w:w="4971" w:type="dxa"/>
            <w:tcBorders>
              <w:left w:val="single" w:sz="6" w:space="0" w:color="000000"/>
            </w:tcBorders>
          </w:tcPr>
          <w:p>
            <w:pPr>
              <w:pStyle w:val="TableParagraph"/>
              <w:spacing w:line="419" w:lineRule="exact"/>
              <w:ind w:left="13"/>
              <w:jc w:val="center"/>
              <w:rPr>
                <w:sz w:val="38"/>
              </w:rPr>
            </w:pPr>
            <w:r>
              <w:rPr>
                <w:sz w:val="38"/>
              </w:rPr>
              <w:t>Sugar, white</w:t>
            </w:r>
          </w:p>
        </w:tc>
        <w:tc>
          <w:tcPr>
            <w:tcW w:w="1272" w:type="dxa"/>
            <w:tcBorders>
              <w:right w:val="single" w:sz="6" w:space="0" w:color="000000"/>
            </w:tcBorders>
          </w:tcPr>
          <w:p>
            <w:pPr>
              <w:pStyle w:val="TableParagraph"/>
              <w:spacing w:line="419" w:lineRule="exact"/>
              <w:ind w:right="341"/>
              <w:jc w:val="right"/>
              <w:rPr>
                <w:sz w:val="38"/>
              </w:rPr>
            </w:pPr>
            <w:r>
              <w:rPr>
                <w:sz w:val="38"/>
              </w:rPr>
              <w:t>-0.1</w:t>
            </w:r>
          </w:p>
        </w:tc>
      </w:tr>
      <w:tr>
        <w:trPr>
          <w:trHeight w:val="491" w:hRule="atLeast"/>
        </w:trPr>
        <w:tc>
          <w:tcPr>
            <w:tcW w:w="6243" w:type="dxa"/>
            <w:gridSpan w:val="2"/>
            <w:tcBorders>
              <w:left w:val="single" w:sz="6" w:space="0" w:color="000000"/>
              <w:right w:val="single" w:sz="6" w:space="0" w:color="000000"/>
            </w:tcBorders>
            <w:shd w:val="clear" w:color="auto" w:fill="CCCCFF"/>
          </w:tcPr>
          <w:p>
            <w:pPr>
              <w:pStyle w:val="TableParagraph"/>
              <w:spacing w:line="419" w:lineRule="exact"/>
              <w:ind w:left="2179" w:right="2164"/>
              <w:jc w:val="center"/>
              <w:rPr>
                <w:sz w:val="38"/>
              </w:rPr>
            </w:pPr>
            <w:r>
              <w:rPr>
                <w:b/>
                <w:sz w:val="38"/>
              </w:rPr>
              <w:t>Vegetables</w:t>
            </w:r>
            <w:r>
              <w:rPr>
                <w:sz w:val="38"/>
              </w:rPr>
              <w:t>:</w:t>
            </w:r>
          </w:p>
        </w:tc>
      </w:tr>
      <w:tr>
        <w:trPr>
          <w:trHeight w:val="491" w:hRule="atLeast"/>
        </w:trPr>
        <w:tc>
          <w:tcPr>
            <w:tcW w:w="4971" w:type="dxa"/>
            <w:tcBorders>
              <w:left w:val="single" w:sz="6" w:space="0" w:color="000000"/>
            </w:tcBorders>
          </w:tcPr>
          <w:p>
            <w:pPr>
              <w:pStyle w:val="TableParagraph"/>
              <w:spacing w:line="419" w:lineRule="exact"/>
              <w:ind w:left="14"/>
              <w:jc w:val="center"/>
              <w:rPr>
                <w:sz w:val="38"/>
              </w:rPr>
            </w:pPr>
            <w:r>
              <w:rPr>
                <w:sz w:val="38"/>
              </w:rPr>
              <w:t>Asparagus</w:t>
            </w:r>
          </w:p>
        </w:tc>
        <w:tc>
          <w:tcPr>
            <w:tcW w:w="1272" w:type="dxa"/>
            <w:tcBorders>
              <w:right w:val="single" w:sz="6" w:space="0" w:color="000000"/>
            </w:tcBorders>
          </w:tcPr>
          <w:p>
            <w:pPr>
              <w:pStyle w:val="TableParagraph"/>
              <w:spacing w:line="419" w:lineRule="exact"/>
              <w:ind w:right="341"/>
              <w:jc w:val="right"/>
              <w:rPr>
                <w:sz w:val="38"/>
              </w:rPr>
            </w:pPr>
            <w:r>
              <w:rPr>
                <w:sz w:val="38"/>
              </w:rPr>
              <w:t>-0.4</w:t>
            </w:r>
          </w:p>
        </w:tc>
      </w:tr>
      <w:tr>
        <w:trPr>
          <w:trHeight w:val="493" w:hRule="atLeast"/>
        </w:trPr>
        <w:tc>
          <w:tcPr>
            <w:tcW w:w="4971" w:type="dxa"/>
            <w:tcBorders>
              <w:left w:val="single" w:sz="6" w:space="0" w:color="000000"/>
            </w:tcBorders>
          </w:tcPr>
          <w:p>
            <w:pPr>
              <w:pStyle w:val="TableParagraph"/>
              <w:spacing w:line="421" w:lineRule="exact"/>
              <w:ind w:left="14"/>
              <w:jc w:val="center"/>
              <w:rPr>
                <w:sz w:val="38"/>
              </w:rPr>
            </w:pPr>
            <w:r>
              <w:rPr>
                <w:sz w:val="38"/>
              </w:rPr>
              <w:t>Broccoli</w:t>
            </w:r>
          </w:p>
        </w:tc>
        <w:tc>
          <w:tcPr>
            <w:tcW w:w="1272" w:type="dxa"/>
            <w:tcBorders>
              <w:right w:val="single" w:sz="6" w:space="0" w:color="000000"/>
            </w:tcBorders>
          </w:tcPr>
          <w:p>
            <w:pPr>
              <w:pStyle w:val="TableParagraph"/>
              <w:spacing w:line="421" w:lineRule="exact"/>
              <w:ind w:right="341"/>
              <w:jc w:val="right"/>
              <w:rPr>
                <w:sz w:val="38"/>
              </w:rPr>
            </w:pPr>
            <w:r>
              <w:rPr>
                <w:sz w:val="38"/>
              </w:rPr>
              <w:t>-1.2</w:t>
            </w:r>
          </w:p>
        </w:tc>
      </w:tr>
      <w:tr>
        <w:trPr>
          <w:trHeight w:val="491" w:hRule="atLeast"/>
        </w:trPr>
        <w:tc>
          <w:tcPr>
            <w:tcW w:w="4971" w:type="dxa"/>
            <w:tcBorders>
              <w:left w:val="single" w:sz="6" w:space="0" w:color="000000"/>
            </w:tcBorders>
          </w:tcPr>
          <w:p>
            <w:pPr>
              <w:pStyle w:val="TableParagraph"/>
              <w:spacing w:line="419" w:lineRule="exact"/>
              <w:ind w:left="16"/>
              <w:jc w:val="center"/>
              <w:rPr>
                <w:sz w:val="38"/>
              </w:rPr>
            </w:pPr>
            <w:r>
              <w:rPr>
                <w:sz w:val="38"/>
              </w:rPr>
              <w:t>Carrots, baby</w:t>
            </w:r>
          </w:p>
        </w:tc>
        <w:tc>
          <w:tcPr>
            <w:tcW w:w="1272" w:type="dxa"/>
            <w:tcBorders>
              <w:right w:val="single" w:sz="6" w:space="0" w:color="000000"/>
            </w:tcBorders>
          </w:tcPr>
          <w:p>
            <w:pPr>
              <w:pStyle w:val="TableParagraph"/>
              <w:spacing w:line="419" w:lineRule="exact"/>
              <w:ind w:right="341"/>
              <w:jc w:val="right"/>
              <w:rPr>
                <w:sz w:val="38"/>
              </w:rPr>
            </w:pPr>
            <w:r>
              <w:rPr>
                <w:sz w:val="38"/>
              </w:rPr>
              <w:t>-4.9</w:t>
            </w:r>
          </w:p>
        </w:tc>
      </w:tr>
      <w:tr>
        <w:trPr>
          <w:trHeight w:val="491" w:hRule="atLeast"/>
        </w:trPr>
        <w:tc>
          <w:tcPr>
            <w:tcW w:w="4971" w:type="dxa"/>
            <w:tcBorders>
              <w:left w:val="single" w:sz="6" w:space="0" w:color="000000"/>
            </w:tcBorders>
          </w:tcPr>
          <w:p>
            <w:pPr>
              <w:pStyle w:val="TableParagraph"/>
              <w:spacing w:line="419" w:lineRule="exact"/>
              <w:ind w:left="15"/>
              <w:jc w:val="center"/>
              <w:rPr>
                <w:sz w:val="38"/>
              </w:rPr>
            </w:pPr>
            <w:r>
              <w:rPr>
                <w:sz w:val="38"/>
              </w:rPr>
              <w:t>Cauliflower</w:t>
            </w:r>
          </w:p>
        </w:tc>
        <w:tc>
          <w:tcPr>
            <w:tcW w:w="1272" w:type="dxa"/>
            <w:tcBorders>
              <w:right w:val="single" w:sz="6" w:space="0" w:color="000000"/>
            </w:tcBorders>
          </w:tcPr>
          <w:p>
            <w:pPr>
              <w:pStyle w:val="TableParagraph"/>
              <w:spacing w:line="419" w:lineRule="exact"/>
              <w:ind w:right="341"/>
              <w:jc w:val="right"/>
              <w:rPr>
                <w:sz w:val="38"/>
              </w:rPr>
            </w:pPr>
            <w:r>
              <w:rPr>
                <w:sz w:val="38"/>
              </w:rPr>
              <w:t>-4.0</w:t>
            </w:r>
          </w:p>
        </w:tc>
      </w:tr>
      <w:tr>
        <w:trPr>
          <w:trHeight w:val="491" w:hRule="atLeast"/>
        </w:trPr>
        <w:tc>
          <w:tcPr>
            <w:tcW w:w="4971" w:type="dxa"/>
            <w:tcBorders>
              <w:left w:val="single" w:sz="6" w:space="0" w:color="000000"/>
            </w:tcBorders>
          </w:tcPr>
          <w:p>
            <w:pPr>
              <w:pStyle w:val="TableParagraph"/>
              <w:spacing w:line="419" w:lineRule="exact"/>
              <w:ind w:left="9"/>
              <w:jc w:val="center"/>
              <w:rPr>
                <w:sz w:val="38"/>
              </w:rPr>
            </w:pPr>
            <w:r>
              <w:rPr>
                <w:sz w:val="38"/>
              </w:rPr>
              <w:t>Celery</w:t>
            </w:r>
          </w:p>
        </w:tc>
        <w:tc>
          <w:tcPr>
            <w:tcW w:w="1272" w:type="dxa"/>
            <w:tcBorders>
              <w:right w:val="single" w:sz="6" w:space="0" w:color="000000"/>
            </w:tcBorders>
          </w:tcPr>
          <w:p>
            <w:pPr>
              <w:pStyle w:val="TableParagraph"/>
              <w:spacing w:line="419" w:lineRule="exact"/>
              <w:ind w:right="341"/>
              <w:jc w:val="right"/>
              <w:rPr>
                <w:sz w:val="38"/>
              </w:rPr>
            </w:pPr>
            <w:r>
              <w:rPr>
                <w:sz w:val="38"/>
              </w:rPr>
              <w:t>-5.2</w:t>
            </w:r>
          </w:p>
        </w:tc>
      </w:tr>
      <w:tr>
        <w:trPr>
          <w:trHeight w:val="491" w:hRule="atLeast"/>
        </w:trPr>
        <w:tc>
          <w:tcPr>
            <w:tcW w:w="4971" w:type="dxa"/>
            <w:tcBorders>
              <w:left w:val="single" w:sz="6" w:space="0" w:color="000000"/>
            </w:tcBorders>
          </w:tcPr>
          <w:p>
            <w:pPr>
              <w:pStyle w:val="TableParagraph"/>
              <w:spacing w:line="419" w:lineRule="exact"/>
              <w:ind w:left="14"/>
              <w:jc w:val="center"/>
              <w:rPr>
                <w:sz w:val="38"/>
              </w:rPr>
            </w:pPr>
            <w:r>
              <w:rPr>
                <w:sz w:val="38"/>
              </w:rPr>
              <w:t>Chicory</w:t>
            </w:r>
          </w:p>
        </w:tc>
        <w:tc>
          <w:tcPr>
            <w:tcW w:w="1272" w:type="dxa"/>
            <w:tcBorders>
              <w:right w:val="single" w:sz="6" w:space="0" w:color="000000"/>
            </w:tcBorders>
          </w:tcPr>
          <w:p>
            <w:pPr>
              <w:pStyle w:val="TableParagraph"/>
              <w:spacing w:line="419" w:lineRule="exact"/>
              <w:ind w:right="341"/>
              <w:jc w:val="right"/>
              <w:rPr>
                <w:sz w:val="38"/>
              </w:rPr>
            </w:pPr>
            <w:r>
              <w:rPr>
                <w:sz w:val="38"/>
              </w:rPr>
              <w:t>-2.0</w:t>
            </w:r>
          </w:p>
        </w:tc>
      </w:tr>
    </w:tbl>
    <w:p>
      <w:pPr>
        <w:spacing w:after="0" w:line="419" w:lineRule="exact"/>
        <w:jc w:val="right"/>
        <w:rPr>
          <w:sz w:val="38"/>
        </w:rPr>
        <w:sectPr>
          <w:pgSz w:w="14270" w:h="16850"/>
          <w:pgMar w:header="0" w:footer="404" w:top="1420" w:bottom="600" w:left="800" w:right="1280"/>
        </w:sectPr>
      </w:pPr>
    </w:p>
    <w:tbl>
      <w:tblPr>
        <w:tblW w:w="0" w:type="auto"/>
        <w:jc w:val="left"/>
        <w:tblInd w:w="6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971"/>
        <w:gridCol w:w="1272"/>
      </w:tblGrid>
      <w:tr>
        <w:trPr>
          <w:trHeight w:val="494" w:hRule="atLeast"/>
        </w:trPr>
        <w:tc>
          <w:tcPr>
            <w:tcW w:w="4971" w:type="dxa"/>
            <w:tcBorders>
              <w:left w:val="single" w:sz="6" w:space="0" w:color="000000"/>
            </w:tcBorders>
          </w:tcPr>
          <w:p>
            <w:pPr>
              <w:pStyle w:val="TableParagraph"/>
              <w:spacing w:line="422" w:lineRule="exact"/>
              <w:ind w:left="14"/>
              <w:jc w:val="center"/>
              <w:rPr>
                <w:sz w:val="38"/>
              </w:rPr>
            </w:pPr>
            <w:r>
              <w:rPr>
                <w:sz w:val="38"/>
              </w:rPr>
              <w:t>Cucumber</w:t>
            </w:r>
          </w:p>
        </w:tc>
        <w:tc>
          <w:tcPr>
            <w:tcW w:w="1272" w:type="dxa"/>
            <w:tcBorders>
              <w:right w:val="single" w:sz="6" w:space="0" w:color="000000"/>
            </w:tcBorders>
          </w:tcPr>
          <w:p>
            <w:pPr>
              <w:pStyle w:val="TableParagraph"/>
              <w:spacing w:line="422" w:lineRule="exact"/>
              <w:ind w:left="245" w:right="233"/>
              <w:jc w:val="center"/>
              <w:rPr>
                <w:sz w:val="38"/>
              </w:rPr>
            </w:pPr>
            <w:r>
              <w:rPr>
                <w:sz w:val="38"/>
              </w:rPr>
              <w:t>-0.8</w:t>
            </w:r>
          </w:p>
        </w:tc>
      </w:tr>
      <w:tr>
        <w:trPr>
          <w:trHeight w:val="491" w:hRule="atLeast"/>
        </w:trPr>
        <w:tc>
          <w:tcPr>
            <w:tcW w:w="4971" w:type="dxa"/>
            <w:tcBorders>
              <w:left w:val="single" w:sz="6" w:space="0" w:color="000000"/>
            </w:tcBorders>
          </w:tcPr>
          <w:p>
            <w:pPr>
              <w:pStyle w:val="TableParagraph"/>
              <w:spacing w:line="419" w:lineRule="exact"/>
              <w:ind w:left="11"/>
              <w:jc w:val="center"/>
              <w:rPr>
                <w:sz w:val="38"/>
              </w:rPr>
            </w:pPr>
            <w:r>
              <w:rPr>
                <w:sz w:val="38"/>
              </w:rPr>
              <w:t>Aubergine</w:t>
            </w:r>
          </w:p>
        </w:tc>
        <w:tc>
          <w:tcPr>
            <w:tcW w:w="1272" w:type="dxa"/>
            <w:tcBorders>
              <w:right w:val="single" w:sz="6" w:space="0" w:color="000000"/>
            </w:tcBorders>
          </w:tcPr>
          <w:p>
            <w:pPr>
              <w:pStyle w:val="TableParagraph"/>
              <w:spacing w:line="419" w:lineRule="exact"/>
              <w:ind w:left="245" w:right="233"/>
              <w:jc w:val="center"/>
              <w:rPr>
                <w:sz w:val="38"/>
              </w:rPr>
            </w:pPr>
            <w:r>
              <w:rPr>
                <w:sz w:val="38"/>
              </w:rPr>
              <w:t>-3.4</w:t>
            </w:r>
          </w:p>
        </w:tc>
      </w:tr>
      <w:tr>
        <w:trPr>
          <w:trHeight w:val="491" w:hRule="atLeast"/>
        </w:trPr>
        <w:tc>
          <w:tcPr>
            <w:tcW w:w="4971" w:type="dxa"/>
            <w:tcBorders>
              <w:left w:val="single" w:sz="6" w:space="0" w:color="000000"/>
            </w:tcBorders>
          </w:tcPr>
          <w:p>
            <w:pPr>
              <w:pStyle w:val="TableParagraph"/>
              <w:spacing w:line="419" w:lineRule="exact"/>
              <w:ind w:left="13"/>
              <w:jc w:val="center"/>
              <w:rPr>
                <w:sz w:val="38"/>
              </w:rPr>
            </w:pPr>
            <w:r>
              <w:rPr>
                <w:sz w:val="38"/>
              </w:rPr>
              <w:t>Leek</w:t>
            </w:r>
          </w:p>
        </w:tc>
        <w:tc>
          <w:tcPr>
            <w:tcW w:w="1272" w:type="dxa"/>
            <w:tcBorders>
              <w:right w:val="single" w:sz="6" w:space="0" w:color="000000"/>
            </w:tcBorders>
          </w:tcPr>
          <w:p>
            <w:pPr>
              <w:pStyle w:val="TableParagraph"/>
              <w:spacing w:line="419" w:lineRule="exact"/>
              <w:ind w:left="245" w:right="233"/>
              <w:jc w:val="center"/>
              <w:rPr>
                <w:sz w:val="38"/>
              </w:rPr>
            </w:pPr>
            <w:r>
              <w:rPr>
                <w:sz w:val="38"/>
              </w:rPr>
              <w:t>-1.8</w:t>
            </w:r>
          </w:p>
        </w:tc>
      </w:tr>
      <w:tr>
        <w:trPr>
          <w:trHeight w:val="491" w:hRule="atLeast"/>
        </w:trPr>
        <w:tc>
          <w:tcPr>
            <w:tcW w:w="4971" w:type="dxa"/>
            <w:tcBorders>
              <w:left w:val="single" w:sz="6" w:space="0" w:color="000000"/>
            </w:tcBorders>
          </w:tcPr>
          <w:p>
            <w:pPr>
              <w:pStyle w:val="TableParagraph"/>
              <w:spacing w:line="419" w:lineRule="exact"/>
              <w:ind w:left="14"/>
              <w:jc w:val="center"/>
              <w:rPr>
                <w:sz w:val="38"/>
              </w:rPr>
            </w:pPr>
            <w:r>
              <w:rPr>
                <w:sz w:val="38"/>
              </w:rPr>
              <w:t>Lettuce, average of 4 types</w:t>
            </w:r>
          </w:p>
        </w:tc>
        <w:tc>
          <w:tcPr>
            <w:tcW w:w="1272" w:type="dxa"/>
            <w:tcBorders>
              <w:right w:val="single" w:sz="6" w:space="0" w:color="000000"/>
            </w:tcBorders>
          </w:tcPr>
          <w:p>
            <w:pPr>
              <w:pStyle w:val="TableParagraph"/>
              <w:spacing w:line="419" w:lineRule="exact"/>
              <w:ind w:left="245" w:right="233"/>
              <w:jc w:val="center"/>
              <w:rPr>
                <w:sz w:val="38"/>
              </w:rPr>
            </w:pPr>
            <w:r>
              <w:rPr>
                <w:sz w:val="38"/>
              </w:rPr>
              <w:t>-2.5</w:t>
            </w:r>
          </w:p>
        </w:tc>
      </w:tr>
      <w:tr>
        <w:trPr>
          <w:trHeight w:val="491" w:hRule="atLeast"/>
        </w:trPr>
        <w:tc>
          <w:tcPr>
            <w:tcW w:w="4971" w:type="dxa"/>
            <w:tcBorders>
              <w:left w:val="single" w:sz="6" w:space="0" w:color="000000"/>
            </w:tcBorders>
          </w:tcPr>
          <w:p>
            <w:pPr>
              <w:pStyle w:val="TableParagraph"/>
              <w:spacing w:line="419" w:lineRule="exact"/>
              <w:ind w:left="11"/>
              <w:jc w:val="center"/>
              <w:rPr>
                <w:sz w:val="38"/>
              </w:rPr>
            </w:pPr>
            <w:r>
              <w:rPr>
                <w:sz w:val="38"/>
              </w:rPr>
              <w:t>Iceberg lettuce</w:t>
            </w:r>
          </w:p>
        </w:tc>
        <w:tc>
          <w:tcPr>
            <w:tcW w:w="1272" w:type="dxa"/>
            <w:tcBorders>
              <w:right w:val="single" w:sz="6" w:space="0" w:color="000000"/>
            </w:tcBorders>
          </w:tcPr>
          <w:p>
            <w:pPr>
              <w:pStyle w:val="TableParagraph"/>
              <w:spacing w:line="419" w:lineRule="exact"/>
              <w:ind w:left="245" w:right="233"/>
              <w:jc w:val="center"/>
              <w:rPr>
                <w:sz w:val="38"/>
              </w:rPr>
            </w:pPr>
            <w:r>
              <w:rPr>
                <w:sz w:val="38"/>
              </w:rPr>
              <w:t>-1.6</w:t>
            </w:r>
          </w:p>
        </w:tc>
      </w:tr>
      <w:tr>
        <w:trPr>
          <w:trHeight w:val="493" w:hRule="atLeast"/>
        </w:trPr>
        <w:tc>
          <w:tcPr>
            <w:tcW w:w="4971" w:type="dxa"/>
            <w:tcBorders>
              <w:left w:val="single" w:sz="6" w:space="0" w:color="000000"/>
            </w:tcBorders>
          </w:tcPr>
          <w:p>
            <w:pPr>
              <w:pStyle w:val="TableParagraph"/>
              <w:spacing w:line="421" w:lineRule="exact"/>
              <w:ind w:left="13"/>
              <w:jc w:val="center"/>
              <w:rPr>
                <w:sz w:val="38"/>
              </w:rPr>
            </w:pPr>
            <w:r>
              <w:rPr>
                <w:sz w:val="38"/>
              </w:rPr>
              <w:t>Mushrooms</w:t>
            </w:r>
          </w:p>
        </w:tc>
        <w:tc>
          <w:tcPr>
            <w:tcW w:w="1272" w:type="dxa"/>
            <w:tcBorders>
              <w:right w:val="single" w:sz="6" w:space="0" w:color="000000"/>
            </w:tcBorders>
          </w:tcPr>
          <w:p>
            <w:pPr>
              <w:pStyle w:val="TableParagraph"/>
              <w:spacing w:line="421" w:lineRule="exact"/>
              <w:ind w:left="245" w:right="233"/>
              <w:jc w:val="center"/>
              <w:rPr>
                <w:sz w:val="38"/>
              </w:rPr>
            </w:pPr>
            <w:r>
              <w:rPr>
                <w:sz w:val="38"/>
              </w:rPr>
              <w:t>-1.4</w:t>
            </w:r>
          </w:p>
        </w:tc>
      </w:tr>
      <w:tr>
        <w:trPr>
          <w:trHeight w:val="491" w:hRule="atLeast"/>
        </w:trPr>
        <w:tc>
          <w:tcPr>
            <w:tcW w:w="4971" w:type="dxa"/>
            <w:tcBorders>
              <w:left w:val="single" w:sz="6" w:space="0" w:color="000000"/>
            </w:tcBorders>
          </w:tcPr>
          <w:p>
            <w:pPr>
              <w:pStyle w:val="TableParagraph"/>
              <w:spacing w:line="419" w:lineRule="exact"/>
              <w:ind w:left="12"/>
              <w:jc w:val="center"/>
              <w:rPr>
                <w:sz w:val="38"/>
              </w:rPr>
            </w:pPr>
            <w:r>
              <w:rPr>
                <w:sz w:val="38"/>
              </w:rPr>
              <w:t>Onions</w:t>
            </w:r>
          </w:p>
        </w:tc>
        <w:tc>
          <w:tcPr>
            <w:tcW w:w="1272" w:type="dxa"/>
            <w:tcBorders>
              <w:right w:val="single" w:sz="6" w:space="0" w:color="000000"/>
            </w:tcBorders>
          </w:tcPr>
          <w:p>
            <w:pPr>
              <w:pStyle w:val="TableParagraph"/>
              <w:spacing w:line="419" w:lineRule="exact"/>
              <w:ind w:left="245" w:right="233"/>
              <w:jc w:val="center"/>
              <w:rPr>
                <w:sz w:val="38"/>
              </w:rPr>
            </w:pPr>
            <w:r>
              <w:rPr>
                <w:sz w:val="38"/>
              </w:rPr>
              <w:t>-1.5</w:t>
            </w:r>
          </w:p>
        </w:tc>
      </w:tr>
      <w:tr>
        <w:trPr>
          <w:trHeight w:val="491" w:hRule="atLeast"/>
        </w:trPr>
        <w:tc>
          <w:tcPr>
            <w:tcW w:w="4971" w:type="dxa"/>
            <w:tcBorders>
              <w:left w:val="single" w:sz="6" w:space="0" w:color="000000"/>
            </w:tcBorders>
          </w:tcPr>
          <w:p>
            <w:pPr>
              <w:pStyle w:val="TableParagraph"/>
              <w:spacing w:line="419" w:lineRule="exact"/>
              <w:ind w:left="17"/>
              <w:jc w:val="center"/>
              <w:rPr>
                <w:sz w:val="38"/>
              </w:rPr>
            </w:pPr>
            <w:r>
              <w:rPr>
                <w:sz w:val="38"/>
              </w:rPr>
              <w:t>Pepper</w:t>
            </w:r>
          </w:p>
        </w:tc>
        <w:tc>
          <w:tcPr>
            <w:tcW w:w="1272" w:type="dxa"/>
            <w:tcBorders>
              <w:right w:val="single" w:sz="6" w:space="0" w:color="000000"/>
            </w:tcBorders>
          </w:tcPr>
          <w:p>
            <w:pPr>
              <w:pStyle w:val="TableParagraph"/>
              <w:spacing w:line="419" w:lineRule="exact"/>
              <w:ind w:left="245" w:right="233"/>
              <w:jc w:val="center"/>
              <w:rPr>
                <w:sz w:val="38"/>
              </w:rPr>
            </w:pPr>
            <w:r>
              <w:rPr>
                <w:sz w:val="38"/>
              </w:rPr>
              <w:t>-1.4</w:t>
            </w:r>
          </w:p>
        </w:tc>
      </w:tr>
      <w:tr>
        <w:trPr>
          <w:trHeight w:val="491" w:hRule="atLeast"/>
        </w:trPr>
        <w:tc>
          <w:tcPr>
            <w:tcW w:w="4971" w:type="dxa"/>
            <w:tcBorders>
              <w:left w:val="single" w:sz="6" w:space="0" w:color="000000"/>
            </w:tcBorders>
          </w:tcPr>
          <w:p>
            <w:pPr>
              <w:pStyle w:val="TableParagraph"/>
              <w:spacing w:line="419" w:lineRule="exact"/>
              <w:ind w:left="15"/>
              <w:jc w:val="center"/>
              <w:rPr>
                <w:sz w:val="38"/>
              </w:rPr>
            </w:pPr>
            <w:r>
              <w:rPr>
                <w:sz w:val="38"/>
              </w:rPr>
              <w:t>Potato</w:t>
            </w:r>
          </w:p>
        </w:tc>
        <w:tc>
          <w:tcPr>
            <w:tcW w:w="1272" w:type="dxa"/>
            <w:tcBorders>
              <w:right w:val="single" w:sz="6" w:space="0" w:color="000000"/>
            </w:tcBorders>
          </w:tcPr>
          <w:p>
            <w:pPr>
              <w:pStyle w:val="TableParagraph"/>
              <w:spacing w:line="419" w:lineRule="exact"/>
              <w:ind w:left="245" w:right="233"/>
              <w:jc w:val="center"/>
              <w:rPr>
                <w:sz w:val="38"/>
              </w:rPr>
            </w:pPr>
            <w:r>
              <w:rPr>
                <w:sz w:val="38"/>
              </w:rPr>
              <w:t>-4.0</w:t>
            </w:r>
          </w:p>
        </w:tc>
      </w:tr>
      <w:tr>
        <w:trPr>
          <w:trHeight w:val="491" w:hRule="atLeast"/>
        </w:trPr>
        <w:tc>
          <w:tcPr>
            <w:tcW w:w="4971" w:type="dxa"/>
            <w:tcBorders>
              <w:left w:val="single" w:sz="6" w:space="0" w:color="000000"/>
            </w:tcBorders>
          </w:tcPr>
          <w:p>
            <w:pPr>
              <w:pStyle w:val="TableParagraph"/>
              <w:spacing w:line="419" w:lineRule="exact"/>
              <w:ind w:left="14"/>
              <w:jc w:val="center"/>
              <w:rPr>
                <w:sz w:val="38"/>
              </w:rPr>
            </w:pPr>
            <w:r>
              <w:rPr>
                <w:sz w:val="38"/>
              </w:rPr>
              <w:t>Radish</w:t>
            </w:r>
          </w:p>
        </w:tc>
        <w:tc>
          <w:tcPr>
            <w:tcW w:w="1272" w:type="dxa"/>
            <w:tcBorders>
              <w:right w:val="single" w:sz="6" w:space="0" w:color="000000"/>
            </w:tcBorders>
          </w:tcPr>
          <w:p>
            <w:pPr>
              <w:pStyle w:val="TableParagraph"/>
              <w:spacing w:line="419" w:lineRule="exact"/>
              <w:ind w:left="245" w:right="233"/>
              <w:jc w:val="center"/>
              <w:rPr>
                <w:sz w:val="38"/>
              </w:rPr>
            </w:pPr>
            <w:r>
              <w:rPr>
                <w:sz w:val="38"/>
              </w:rPr>
              <w:t>-3.7</w:t>
            </w:r>
          </w:p>
        </w:tc>
      </w:tr>
      <w:tr>
        <w:trPr>
          <w:trHeight w:val="493" w:hRule="atLeast"/>
        </w:trPr>
        <w:tc>
          <w:tcPr>
            <w:tcW w:w="4971" w:type="dxa"/>
            <w:tcBorders>
              <w:left w:val="single" w:sz="6" w:space="0" w:color="000000"/>
            </w:tcBorders>
          </w:tcPr>
          <w:p>
            <w:pPr>
              <w:pStyle w:val="TableParagraph"/>
              <w:spacing w:line="421" w:lineRule="exact"/>
              <w:ind w:left="14"/>
              <w:jc w:val="center"/>
              <w:rPr>
                <w:sz w:val="38"/>
              </w:rPr>
            </w:pPr>
            <w:r>
              <w:rPr>
                <w:sz w:val="38"/>
              </w:rPr>
              <w:t>Spinach</w:t>
            </w:r>
          </w:p>
        </w:tc>
        <w:tc>
          <w:tcPr>
            <w:tcW w:w="1272" w:type="dxa"/>
            <w:tcBorders>
              <w:right w:val="single" w:sz="6" w:space="0" w:color="000000"/>
            </w:tcBorders>
          </w:tcPr>
          <w:p>
            <w:pPr>
              <w:pStyle w:val="TableParagraph"/>
              <w:spacing w:line="421" w:lineRule="exact"/>
              <w:ind w:left="245" w:right="233"/>
              <w:jc w:val="center"/>
              <w:rPr>
                <w:sz w:val="38"/>
              </w:rPr>
            </w:pPr>
            <w:r>
              <w:rPr>
                <w:sz w:val="38"/>
              </w:rPr>
              <w:t>-14.0</w:t>
            </w:r>
          </w:p>
        </w:tc>
      </w:tr>
      <w:tr>
        <w:trPr>
          <w:trHeight w:val="491" w:hRule="atLeast"/>
        </w:trPr>
        <w:tc>
          <w:tcPr>
            <w:tcW w:w="4971" w:type="dxa"/>
            <w:tcBorders>
              <w:left w:val="single" w:sz="6" w:space="0" w:color="000000"/>
            </w:tcBorders>
          </w:tcPr>
          <w:p>
            <w:pPr>
              <w:pStyle w:val="TableParagraph"/>
              <w:spacing w:line="419" w:lineRule="exact"/>
              <w:ind w:left="12"/>
              <w:jc w:val="center"/>
              <w:rPr>
                <w:sz w:val="38"/>
              </w:rPr>
            </w:pPr>
            <w:r>
              <w:rPr>
                <w:sz w:val="38"/>
              </w:rPr>
              <w:t>Tomato juice</w:t>
            </w:r>
          </w:p>
        </w:tc>
        <w:tc>
          <w:tcPr>
            <w:tcW w:w="1272" w:type="dxa"/>
            <w:tcBorders>
              <w:right w:val="single" w:sz="6" w:space="0" w:color="000000"/>
            </w:tcBorders>
          </w:tcPr>
          <w:p>
            <w:pPr>
              <w:pStyle w:val="TableParagraph"/>
              <w:spacing w:line="419" w:lineRule="exact"/>
              <w:ind w:left="245" w:right="233"/>
              <w:jc w:val="center"/>
              <w:rPr>
                <w:sz w:val="38"/>
              </w:rPr>
            </w:pPr>
            <w:r>
              <w:rPr>
                <w:sz w:val="38"/>
              </w:rPr>
              <w:t>-2.8</w:t>
            </w:r>
          </w:p>
        </w:tc>
      </w:tr>
      <w:tr>
        <w:trPr>
          <w:trHeight w:val="491" w:hRule="atLeast"/>
        </w:trPr>
        <w:tc>
          <w:tcPr>
            <w:tcW w:w="4971" w:type="dxa"/>
            <w:tcBorders>
              <w:left w:val="single" w:sz="6" w:space="0" w:color="000000"/>
            </w:tcBorders>
          </w:tcPr>
          <w:p>
            <w:pPr>
              <w:pStyle w:val="TableParagraph"/>
              <w:spacing w:line="419" w:lineRule="exact"/>
              <w:ind w:left="10"/>
              <w:jc w:val="center"/>
              <w:rPr>
                <w:sz w:val="38"/>
              </w:rPr>
            </w:pPr>
            <w:r>
              <w:rPr>
                <w:sz w:val="38"/>
              </w:rPr>
              <w:t>Tomato</w:t>
            </w:r>
          </w:p>
        </w:tc>
        <w:tc>
          <w:tcPr>
            <w:tcW w:w="1272" w:type="dxa"/>
            <w:tcBorders>
              <w:right w:val="single" w:sz="6" w:space="0" w:color="000000"/>
            </w:tcBorders>
          </w:tcPr>
          <w:p>
            <w:pPr>
              <w:pStyle w:val="TableParagraph"/>
              <w:spacing w:line="419" w:lineRule="exact"/>
              <w:ind w:left="245" w:right="233"/>
              <w:jc w:val="center"/>
              <w:rPr>
                <w:sz w:val="38"/>
              </w:rPr>
            </w:pPr>
            <w:r>
              <w:rPr>
                <w:sz w:val="38"/>
              </w:rPr>
              <w:t>-3.1</w:t>
            </w:r>
          </w:p>
        </w:tc>
      </w:tr>
      <w:tr>
        <w:trPr>
          <w:trHeight w:val="491" w:hRule="atLeast"/>
        </w:trPr>
        <w:tc>
          <w:tcPr>
            <w:tcW w:w="4971" w:type="dxa"/>
            <w:tcBorders>
              <w:left w:val="single" w:sz="6" w:space="0" w:color="000000"/>
            </w:tcBorders>
          </w:tcPr>
          <w:p>
            <w:pPr>
              <w:pStyle w:val="TableParagraph"/>
              <w:spacing w:line="419" w:lineRule="exact"/>
              <w:ind w:left="11"/>
              <w:jc w:val="center"/>
              <w:rPr>
                <w:sz w:val="38"/>
              </w:rPr>
            </w:pPr>
            <w:r>
              <w:rPr>
                <w:sz w:val="38"/>
              </w:rPr>
              <w:t>Courgette</w:t>
            </w:r>
          </w:p>
        </w:tc>
        <w:tc>
          <w:tcPr>
            <w:tcW w:w="1272" w:type="dxa"/>
            <w:tcBorders>
              <w:right w:val="single" w:sz="6" w:space="0" w:color="000000"/>
            </w:tcBorders>
          </w:tcPr>
          <w:p>
            <w:pPr>
              <w:pStyle w:val="TableParagraph"/>
              <w:spacing w:line="419" w:lineRule="exact"/>
              <w:ind w:left="245" w:right="233"/>
              <w:jc w:val="center"/>
              <w:rPr>
                <w:sz w:val="38"/>
              </w:rPr>
            </w:pPr>
            <w:r>
              <w:rPr>
                <w:sz w:val="38"/>
              </w:rPr>
              <w:t>-4.6</w:t>
            </w:r>
          </w:p>
        </w:tc>
      </w:tr>
    </w:tbl>
    <w:p>
      <w:pPr>
        <w:pStyle w:val="BodyText"/>
        <w:spacing w:before="9"/>
        <w:rPr>
          <w:i/>
          <w:sz w:val="11"/>
        </w:rPr>
      </w:pPr>
    </w:p>
    <w:p>
      <w:pPr>
        <w:pStyle w:val="Heading2"/>
        <w:spacing w:before="99"/>
        <w:ind w:left="616"/>
      </w:pPr>
      <w:r>
        <w:rPr/>
        <w:t>Fluid supply/drinking</w:t>
      </w:r>
    </w:p>
    <w:p>
      <w:pPr>
        <w:spacing w:before="287"/>
        <w:ind w:left="616" w:right="0" w:firstLine="0"/>
        <w:jc w:val="left"/>
        <w:rPr>
          <w:b/>
          <w:i/>
          <w:sz w:val="40"/>
        </w:rPr>
      </w:pPr>
      <w:r>
        <w:rPr>
          <w:b/>
          <w:i/>
          <w:sz w:val="40"/>
        </w:rPr>
        <w:t>Still mineral water and vegetable</w:t>
      </w:r>
      <w:r>
        <w:rPr>
          <w:b/>
          <w:i/>
          <w:spacing w:val="-53"/>
          <w:sz w:val="40"/>
        </w:rPr>
        <w:t> </w:t>
      </w:r>
      <w:r>
        <w:rPr>
          <w:b/>
          <w:i/>
          <w:sz w:val="40"/>
        </w:rPr>
        <w:t>juices</w:t>
      </w:r>
    </w:p>
    <w:p>
      <w:pPr>
        <w:pStyle w:val="BodyText"/>
        <w:spacing w:line="276" w:lineRule="auto" w:before="300"/>
        <w:ind w:left="616"/>
      </w:pPr>
      <w:r>
        <w:rPr/>
        <w:t>In these times when we are increasingly burdened with poisons and acids, the quality and quantity of our fluid supply plays a decisive role!</w:t>
      </w:r>
    </w:p>
    <w:p>
      <w:pPr>
        <w:pStyle w:val="BodyText"/>
        <w:spacing w:line="276" w:lineRule="auto" w:before="240"/>
        <w:ind w:left="616" w:right="139"/>
        <w:jc w:val="both"/>
      </w:pPr>
      <w:r>
        <w:rPr/>
        <w:t>The quality of the fluids we ingest is primarily reflected in the purity of the beverage. Thus, the quality of our tap water sometimes leaves a lot to be de- sired. Zinc and copper deposits as well as germs from dirty pipes are anything but good and the same applies to the calcium and chlorine in our water.</w:t>
      </w:r>
    </w:p>
    <w:p>
      <w:pPr>
        <w:spacing w:after="0" w:line="276" w:lineRule="auto"/>
        <w:jc w:val="both"/>
        <w:sectPr>
          <w:pgSz w:w="14270" w:h="16850"/>
          <w:pgMar w:header="0" w:footer="404" w:top="1420" w:bottom="600" w:left="800" w:right="1280"/>
        </w:sectPr>
      </w:pPr>
    </w:p>
    <w:p>
      <w:pPr>
        <w:pStyle w:val="BodyText"/>
        <w:spacing w:line="276" w:lineRule="auto" w:before="74"/>
        <w:ind w:left="616" w:right="134"/>
        <w:jc w:val="both"/>
      </w:pPr>
      <w:r>
        <w:rPr/>
        <w:t>Therefore, tap water should not form the basis of our deacidification and de- toxification. Still mineral water is most suitable here. However, be careful: not all mineral waters are alkaline! St. Gero and Staatl. Fachinger have both been tested and are recommended.</w:t>
      </w:r>
    </w:p>
    <w:p>
      <w:pPr>
        <w:pStyle w:val="BodyText"/>
        <w:spacing w:before="239"/>
        <w:ind w:left="616"/>
      </w:pPr>
      <w:r>
        <w:rPr/>
        <w:t>The quantity (amount) of the beverage determines</w:t>
      </w:r>
    </w:p>
    <w:p>
      <w:pPr>
        <w:pStyle w:val="ListParagraph"/>
        <w:numPr>
          <w:ilvl w:val="0"/>
          <w:numId w:val="138"/>
        </w:numPr>
        <w:tabs>
          <w:tab w:pos="1329" w:val="left" w:leader="none"/>
          <w:tab w:pos="1330" w:val="left" w:leader="none"/>
        </w:tabs>
        <w:spacing w:line="240" w:lineRule="auto" w:before="266" w:after="0"/>
        <w:ind w:left="1329" w:right="0" w:hanging="355"/>
        <w:jc w:val="left"/>
        <w:rPr>
          <w:sz w:val="38"/>
        </w:rPr>
      </w:pPr>
      <w:r>
        <w:rPr>
          <w:sz w:val="38"/>
        </w:rPr>
        <w:t>how</w:t>
      </w:r>
      <w:r>
        <w:rPr>
          <w:spacing w:val="-28"/>
          <w:sz w:val="38"/>
        </w:rPr>
        <w:t> </w:t>
      </w:r>
      <w:r>
        <w:rPr>
          <w:sz w:val="38"/>
        </w:rPr>
        <w:t>heavily</w:t>
      </w:r>
      <w:r>
        <w:rPr>
          <w:spacing w:val="-26"/>
          <w:sz w:val="38"/>
        </w:rPr>
        <w:t> </w:t>
      </w:r>
      <w:r>
        <w:rPr>
          <w:sz w:val="38"/>
        </w:rPr>
        <w:t>acids</w:t>
      </w:r>
      <w:r>
        <w:rPr>
          <w:spacing w:val="-25"/>
          <w:sz w:val="38"/>
        </w:rPr>
        <w:t> </w:t>
      </w:r>
      <w:r>
        <w:rPr>
          <w:sz w:val="38"/>
        </w:rPr>
        <w:t>are</w:t>
      </w:r>
      <w:r>
        <w:rPr>
          <w:spacing w:val="-26"/>
          <w:sz w:val="38"/>
        </w:rPr>
        <w:t> </w:t>
      </w:r>
      <w:r>
        <w:rPr>
          <w:sz w:val="38"/>
        </w:rPr>
        <w:t>diluted</w:t>
      </w:r>
      <w:r>
        <w:rPr>
          <w:spacing w:val="-26"/>
          <w:sz w:val="38"/>
        </w:rPr>
        <w:t> </w:t>
      </w:r>
      <w:r>
        <w:rPr>
          <w:sz w:val="38"/>
        </w:rPr>
        <w:t>in</w:t>
      </w:r>
      <w:r>
        <w:rPr>
          <w:spacing w:val="-26"/>
          <w:sz w:val="38"/>
        </w:rPr>
        <w:t> </w:t>
      </w:r>
      <w:r>
        <w:rPr>
          <w:sz w:val="38"/>
        </w:rPr>
        <w:t>our</w:t>
      </w:r>
      <w:r>
        <w:rPr>
          <w:spacing w:val="-27"/>
          <w:sz w:val="38"/>
        </w:rPr>
        <w:t> </w:t>
      </w:r>
      <w:r>
        <w:rPr>
          <w:sz w:val="38"/>
        </w:rPr>
        <w:t>body</w:t>
      </w:r>
      <w:r>
        <w:rPr>
          <w:spacing w:val="-26"/>
          <w:sz w:val="38"/>
        </w:rPr>
        <w:t> </w:t>
      </w:r>
      <w:r>
        <w:rPr>
          <w:sz w:val="38"/>
        </w:rPr>
        <w:t>and</w:t>
      </w:r>
      <w:r>
        <w:rPr>
          <w:spacing w:val="-26"/>
          <w:sz w:val="38"/>
        </w:rPr>
        <w:t> </w:t>
      </w:r>
      <w:r>
        <w:rPr>
          <w:sz w:val="38"/>
        </w:rPr>
        <w:t>therefore</w:t>
      </w:r>
      <w:r>
        <w:rPr>
          <w:spacing w:val="-26"/>
          <w:sz w:val="38"/>
        </w:rPr>
        <w:t> </w:t>
      </w:r>
      <w:r>
        <w:rPr>
          <w:sz w:val="38"/>
        </w:rPr>
        <w:t>rendered</w:t>
      </w:r>
      <w:r>
        <w:rPr>
          <w:spacing w:val="-26"/>
          <w:sz w:val="38"/>
        </w:rPr>
        <w:t> </w:t>
      </w:r>
      <w:r>
        <w:rPr>
          <w:sz w:val="38"/>
        </w:rPr>
        <w:t>harmless,</w:t>
      </w:r>
    </w:p>
    <w:p>
      <w:pPr>
        <w:pStyle w:val="ListParagraph"/>
        <w:numPr>
          <w:ilvl w:val="0"/>
          <w:numId w:val="138"/>
        </w:numPr>
        <w:tabs>
          <w:tab w:pos="1329" w:val="left" w:leader="none"/>
          <w:tab w:pos="1330" w:val="left" w:leader="none"/>
        </w:tabs>
        <w:spacing w:line="240" w:lineRule="auto" w:before="102" w:after="0"/>
        <w:ind w:left="1329" w:right="0" w:hanging="355"/>
        <w:jc w:val="left"/>
        <w:rPr>
          <w:sz w:val="38"/>
        </w:rPr>
      </w:pPr>
      <w:r>
        <w:rPr>
          <w:sz w:val="38"/>
        </w:rPr>
        <w:t>how heavily sludge is deposited in our organism</w:t>
      </w:r>
    </w:p>
    <w:p>
      <w:pPr>
        <w:pStyle w:val="ListParagraph"/>
        <w:numPr>
          <w:ilvl w:val="0"/>
          <w:numId w:val="138"/>
        </w:numPr>
        <w:tabs>
          <w:tab w:pos="1329" w:val="left" w:leader="none"/>
          <w:tab w:pos="1330" w:val="left" w:leader="none"/>
        </w:tabs>
        <w:spacing w:line="273" w:lineRule="auto" w:before="105" w:after="0"/>
        <w:ind w:left="1329" w:right="137" w:hanging="355"/>
        <w:jc w:val="left"/>
        <w:rPr>
          <w:sz w:val="38"/>
        </w:rPr>
      </w:pPr>
      <w:r>
        <w:rPr>
          <w:sz w:val="38"/>
        </w:rPr>
        <w:t>and how effectively sludge is dissolved and transported out of the organ- ism.</w:t>
      </w:r>
    </w:p>
    <w:p>
      <w:pPr>
        <w:pStyle w:val="BodyText"/>
        <w:spacing w:line="278" w:lineRule="auto" w:before="248"/>
        <w:ind w:left="616" w:right="132"/>
        <w:jc w:val="both"/>
      </w:pPr>
      <w:r>
        <w:rPr/>
        <w:t>Therefore, you should try to drink approx. 1-2 litres a day and reach for sup- plementary bio-vegetable juices as well as bread juice and sauerkraut juice.</w:t>
      </w:r>
    </w:p>
    <w:p>
      <w:pPr>
        <w:pStyle w:val="BodyText"/>
        <w:rPr>
          <w:sz w:val="42"/>
        </w:rPr>
      </w:pPr>
    </w:p>
    <w:p>
      <w:pPr>
        <w:pStyle w:val="BodyText"/>
        <w:spacing w:before="5"/>
        <w:rPr>
          <w:sz w:val="43"/>
        </w:rPr>
      </w:pPr>
    </w:p>
    <w:p>
      <w:pPr>
        <w:pStyle w:val="Heading2"/>
        <w:spacing w:before="1"/>
        <w:ind w:left="616"/>
      </w:pPr>
      <w:r>
        <w:rPr/>
        <w:t>Herbal tea</w:t>
      </w:r>
    </w:p>
    <w:p>
      <w:pPr>
        <w:pStyle w:val="BodyText"/>
        <w:spacing w:line="276" w:lineRule="auto" w:before="304"/>
        <w:ind w:left="616" w:right="132"/>
        <w:jc w:val="both"/>
      </w:pPr>
      <w:r>
        <w:rPr/>
        <w:t>Herbal tea takes on the actual detoxification function. Before still water can remove the sludge from the body, it is herbal tea which must initially dissolve sludge</w:t>
      </w:r>
      <w:r>
        <w:rPr>
          <w:spacing w:val="-23"/>
        </w:rPr>
        <w:t> </w:t>
      </w:r>
      <w:r>
        <w:rPr/>
        <w:t>stuck</w:t>
      </w:r>
      <w:r>
        <w:rPr>
          <w:spacing w:val="-23"/>
        </w:rPr>
        <w:t> </w:t>
      </w:r>
      <w:r>
        <w:rPr/>
        <w:t>to</w:t>
      </w:r>
      <w:r>
        <w:rPr>
          <w:spacing w:val="-22"/>
        </w:rPr>
        <w:t> </w:t>
      </w:r>
      <w:r>
        <w:rPr/>
        <w:t>our</w:t>
      </w:r>
      <w:r>
        <w:rPr>
          <w:spacing w:val="-23"/>
        </w:rPr>
        <w:t> </w:t>
      </w:r>
      <w:r>
        <w:rPr/>
        <w:t>cells</w:t>
      </w:r>
      <w:r>
        <w:rPr>
          <w:spacing w:val="-22"/>
        </w:rPr>
        <w:t> </w:t>
      </w:r>
      <w:r>
        <w:rPr/>
        <w:t>and</w:t>
      </w:r>
      <w:r>
        <w:rPr>
          <w:spacing w:val="-23"/>
        </w:rPr>
        <w:t> </w:t>
      </w:r>
      <w:r>
        <w:rPr/>
        <w:t>organs.</w:t>
      </w:r>
      <w:r>
        <w:rPr>
          <w:spacing w:val="-21"/>
        </w:rPr>
        <w:t> </w:t>
      </w:r>
      <w:r>
        <w:rPr/>
        <w:t>The</w:t>
      </w:r>
      <w:r>
        <w:rPr>
          <w:spacing w:val="-22"/>
        </w:rPr>
        <w:t> </w:t>
      </w:r>
      <w:r>
        <w:rPr/>
        <w:t>ratio</w:t>
      </w:r>
      <w:r>
        <w:rPr>
          <w:spacing w:val="-23"/>
        </w:rPr>
        <w:t> </w:t>
      </w:r>
      <w:r>
        <w:rPr/>
        <w:t>of</w:t>
      </w:r>
      <w:r>
        <w:rPr>
          <w:spacing w:val="-22"/>
        </w:rPr>
        <w:t> </w:t>
      </w:r>
      <w:r>
        <w:rPr/>
        <w:t>water</w:t>
      </w:r>
      <w:r>
        <w:rPr>
          <w:spacing w:val="-22"/>
        </w:rPr>
        <w:t> </w:t>
      </w:r>
      <w:r>
        <w:rPr/>
        <w:t>to</w:t>
      </w:r>
      <w:r>
        <w:rPr>
          <w:spacing w:val="-22"/>
        </w:rPr>
        <w:t> </w:t>
      </w:r>
      <w:r>
        <w:rPr/>
        <w:t>tea</w:t>
      </w:r>
      <w:r>
        <w:rPr>
          <w:spacing w:val="-22"/>
        </w:rPr>
        <w:t> </w:t>
      </w:r>
      <w:r>
        <w:rPr/>
        <w:t>should</w:t>
      </w:r>
      <w:r>
        <w:rPr>
          <w:spacing w:val="-23"/>
        </w:rPr>
        <w:t> </w:t>
      </w:r>
      <w:r>
        <w:rPr/>
        <w:t>be</w:t>
      </w:r>
      <w:r>
        <w:rPr>
          <w:spacing w:val="-23"/>
        </w:rPr>
        <w:t> </w:t>
      </w:r>
      <w:r>
        <w:rPr/>
        <w:t>approx. 2:1. As stated, it is recommended to start slowly with 0.5 l of herbal tea per day, increasing consumption to 0.75 l per day a week later and then to the desired</w:t>
      </w:r>
      <w:r>
        <w:rPr>
          <w:spacing w:val="-15"/>
        </w:rPr>
        <w:t> </w:t>
      </w:r>
      <w:r>
        <w:rPr/>
        <w:t>litre</w:t>
      </w:r>
      <w:r>
        <w:rPr>
          <w:spacing w:val="-16"/>
        </w:rPr>
        <w:t> </w:t>
      </w:r>
      <w:r>
        <w:rPr/>
        <w:t>of</w:t>
      </w:r>
      <w:r>
        <w:rPr>
          <w:spacing w:val="-15"/>
        </w:rPr>
        <w:t> </w:t>
      </w:r>
      <w:r>
        <w:rPr/>
        <w:t>herbal</w:t>
      </w:r>
      <w:r>
        <w:rPr>
          <w:spacing w:val="-17"/>
        </w:rPr>
        <w:t> </w:t>
      </w:r>
      <w:r>
        <w:rPr/>
        <w:t>tea</w:t>
      </w:r>
      <w:r>
        <w:rPr>
          <w:spacing w:val="-16"/>
        </w:rPr>
        <w:t> </w:t>
      </w:r>
      <w:r>
        <w:rPr/>
        <w:t>per</w:t>
      </w:r>
      <w:r>
        <w:rPr>
          <w:spacing w:val="-15"/>
        </w:rPr>
        <w:t> </w:t>
      </w:r>
      <w:r>
        <w:rPr/>
        <w:t>day</w:t>
      </w:r>
      <w:r>
        <w:rPr>
          <w:spacing w:val="-16"/>
        </w:rPr>
        <w:t> </w:t>
      </w:r>
      <w:r>
        <w:rPr/>
        <w:t>a</w:t>
      </w:r>
      <w:r>
        <w:rPr>
          <w:spacing w:val="-17"/>
        </w:rPr>
        <w:t> </w:t>
      </w:r>
      <w:r>
        <w:rPr/>
        <w:t>week</w:t>
      </w:r>
      <w:r>
        <w:rPr>
          <w:spacing w:val="-15"/>
        </w:rPr>
        <w:t> </w:t>
      </w:r>
      <w:r>
        <w:rPr/>
        <w:t>after</w:t>
      </w:r>
      <w:r>
        <w:rPr>
          <w:spacing w:val="-16"/>
        </w:rPr>
        <w:t> </w:t>
      </w:r>
      <w:r>
        <w:rPr/>
        <w:t>that.</w:t>
      </w:r>
      <w:r>
        <w:rPr>
          <w:spacing w:val="-15"/>
        </w:rPr>
        <w:t> </w:t>
      </w:r>
      <w:r>
        <w:rPr/>
        <w:t>If</w:t>
      </w:r>
      <w:r>
        <w:rPr>
          <w:spacing w:val="-16"/>
        </w:rPr>
        <w:t> </w:t>
      </w:r>
      <w:r>
        <w:rPr/>
        <w:t>you</w:t>
      </w:r>
      <w:r>
        <w:rPr>
          <w:spacing w:val="-17"/>
        </w:rPr>
        <w:t> </w:t>
      </w:r>
      <w:r>
        <w:rPr/>
        <w:t>have</w:t>
      </w:r>
      <w:r>
        <w:rPr>
          <w:spacing w:val="-15"/>
        </w:rPr>
        <w:t> </w:t>
      </w:r>
      <w:r>
        <w:rPr/>
        <w:t>to</w:t>
      </w:r>
      <w:r>
        <w:rPr>
          <w:spacing w:val="-15"/>
        </w:rPr>
        <w:t> </w:t>
      </w:r>
      <w:r>
        <w:rPr/>
        <w:t>have</w:t>
      </w:r>
      <w:r>
        <w:rPr>
          <w:spacing w:val="-15"/>
        </w:rPr>
        <w:t> </w:t>
      </w:r>
      <w:r>
        <w:rPr/>
        <w:t>a</w:t>
      </w:r>
      <w:r>
        <w:rPr>
          <w:spacing w:val="-17"/>
        </w:rPr>
        <w:t> </w:t>
      </w:r>
      <w:r>
        <w:rPr/>
        <w:t>sweet- ener,</w:t>
      </w:r>
      <w:r>
        <w:rPr>
          <w:spacing w:val="-19"/>
        </w:rPr>
        <w:t> </w:t>
      </w:r>
      <w:r>
        <w:rPr/>
        <w:t>use</w:t>
      </w:r>
      <w:r>
        <w:rPr>
          <w:spacing w:val="-19"/>
        </w:rPr>
        <w:t> </w:t>
      </w:r>
      <w:r>
        <w:rPr/>
        <w:t>stevia</w:t>
      </w:r>
      <w:r>
        <w:rPr>
          <w:spacing w:val="-20"/>
        </w:rPr>
        <w:t> </w:t>
      </w:r>
      <w:r>
        <w:rPr/>
        <w:t>as</w:t>
      </w:r>
      <w:r>
        <w:rPr>
          <w:spacing w:val="-19"/>
        </w:rPr>
        <w:t> </w:t>
      </w:r>
      <w:r>
        <w:rPr/>
        <w:t>a</w:t>
      </w:r>
      <w:r>
        <w:rPr>
          <w:spacing w:val="-20"/>
        </w:rPr>
        <w:t> </w:t>
      </w:r>
      <w:r>
        <w:rPr/>
        <w:t>healthy</w:t>
      </w:r>
      <w:r>
        <w:rPr>
          <w:spacing w:val="-19"/>
        </w:rPr>
        <w:t> </w:t>
      </w:r>
      <w:r>
        <w:rPr/>
        <w:t>sugar</w:t>
      </w:r>
      <w:r>
        <w:rPr>
          <w:spacing w:val="-17"/>
        </w:rPr>
        <w:t> </w:t>
      </w:r>
      <w:r>
        <w:rPr/>
        <w:t>replacement</w:t>
      </w:r>
      <w:r>
        <w:rPr>
          <w:spacing w:val="-19"/>
        </w:rPr>
        <w:t> </w:t>
      </w:r>
      <w:r>
        <w:rPr/>
        <w:t>as</w:t>
      </w:r>
      <w:r>
        <w:rPr>
          <w:spacing w:val="-20"/>
        </w:rPr>
        <w:t> </w:t>
      </w:r>
      <w:r>
        <w:rPr/>
        <w:t>sugar</w:t>
      </w:r>
      <w:r>
        <w:rPr>
          <w:spacing w:val="-18"/>
        </w:rPr>
        <w:t> </w:t>
      </w:r>
      <w:r>
        <w:rPr/>
        <w:t>makes</w:t>
      </w:r>
      <w:r>
        <w:rPr>
          <w:spacing w:val="-18"/>
        </w:rPr>
        <w:t> </w:t>
      </w:r>
      <w:r>
        <w:rPr/>
        <w:t>acid</w:t>
      </w:r>
      <w:r>
        <w:rPr>
          <w:spacing w:val="-18"/>
        </w:rPr>
        <w:t> </w:t>
      </w:r>
      <w:r>
        <w:rPr/>
        <w:t>and</w:t>
      </w:r>
      <w:r>
        <w:rPr>
          <w:spacing w:val="-19"/>
        </w:rPr>
        <w:t> </w:t>
      </w:r>
      <w:r>
        <w:rPr/>
        <w:t>artificial sweeteners</w:t>
      </w:r>
      <w:r>
        <w:rPr>
          <w:spacing w:val="-6"/>
        </w:rPr>
        <w:t> </w:t>
      </w:r>
      <w:r>
        <w:rPr/>
        <w:t>are</w:t>
      </w:r>
      <w:r>
        <w:rPr>
          <w:spacing w:val="-7"/>
        </w:rPr>
        <w:t> </w:t>
      </w:r>
      <w:r>
        <w:rPr/>
        <w:t>not</w:t>
      </w:r>
      <w:r>
        <w:rPr>
          <w:spacing w:val="-7"/>
        </w:rPr>
        <w:t> </w:t>
      </w:r>
      <w:r>
        <w:rPr/>
        <w:t>very</w:t>
      </w:r>
      <w:r>
        <w:rPr>
          <w:spacing w:val="-5"/>
        </w:rPr>
        <w:t> </w:t>
      </w:r>
      <w:r>
        <w:rPr/>
        <w:t>healthy</w:t>
      </w:r>
      <w:r>
        <w:rPr>
          <w:spacing w:val="-7"/>
        </w:rPr>
        <w:t> </w:t>
      </w:r>
      <w:r>
        <w:rPr/>
        <w:t>(key</w:t>
      </w:r>
      <w:r>
        <w:rPr>
          <w:spacing w:val="-7"/>
        </w:rPr>
        <w:t> </w:t>
      </w:r>
      <w:r>
        <w:rPr/>
        <w:t>word:</w:t>
      </w:r>
      <w:r>
        <w:rPr>
          <w:spacing w:val="-4"/>
        </w:rPr>
        <w:t> </w:t>
      </w:r>
      <w:r>
        <w:rPr/>
        <w:t>aspartame).</w:t>
      </w:r>
      <w:r>
        <w:rPr>
          <w:spacing w:val="-6"/>
        </w:rPr>
        <w:t> </w:t>
      </w:r>
      <w:r>
        <w:rPr/>
        <w:t>The</w:t>
      </w:r>
      <w:r>
        <w:rPr>
          <w:spacing w:val="-6"/>
        </w:rPr>
        <w:t> </w:t>
      </w:r>
      <w:r>
        <w:rPr/>
        <w:t>7</w:t>
      </w:r>
      <w:r>
        <w:rPr>
          <w:spacing w:val="-7"/>
        </w:rPr>
        <w:t> </w:t>
      </w:r>
      <w:r>
        <w:rPr/>
        <w:t>x</w:t>
      </w:r>
      <w:r>
        <w:rPr>
          <w:spacing w:val="-5"/>
        </w:rPr>
        <w:t> </w:t>
      </w:r>
      <w:r>
        <w:rPr/>
        <w:t>7</w:t>
      </w:r>
      <w:r>
        <w:rPr>
          <w:spacing w:val="-5"/>
        </w:rPr>
        <w:t> </w:t>
      </w:r>
      <w:r>
        <w:rPr/>
        <w:t>herbal</w:t>
      </w:r>
      <w:r>
        <w:rPr>
          <w:spacing w:val="-8"/>
        </w:rPr>
        <w:t> </w:t>
      </w:r>
      <w:r>
        <w:rPr/>
        <w:t>tea</w:t>
      </w:r>
      <w:r>
        <w:rPr>
          <w:spacing w:val="-6"/>
        </w:rPr>
        <w:t> </w:t>
      </w:r>
      <w:r>
        <w:rPr/>
        <w:t>by</w:t>
      </w:r>
    </w:p>
    <w:p>
      <w:pPr>
        <w:spacing w:after="0" w:line="276" w:lineRule="auto"/>
        <w:jc w:val="both"/>
        <w:sectPr>
          <w:pgSz w:w="14270" w:h="16850"/>
          <w:pgMar w:header="0" w:footer="404" w:top="1340" w:bottom="2080" w:left="800" w:right="1280"/>
        </w:sectPr>
      </w:pPr>
    </w:p>
    <w:p>
      <w:pPr>
        <w:pStyle w:val="BodyText"/>
        <w:spacing w:before="72"/>
        <w:ind w:left="616"/>
      </w:pPr>
      <w:r>
        <w:rPr/>
        <w:t>Dr. Jentschura is highly recommended.</w:t>
      </w:r>
    </w:p>
    <w:p>
      <w:pPr>
        <w:pStyle w:val="Heading1"/>
        <w:spacing w:before="287"/>
        <w:ind w:left="616"/>
      </w:pPr>
      <w:r>
        <w:rPr/>
        <w:t>Guidelines for alkaline nutrition</w:t>
      </w:r>
    </w:p>
    <w:p>
      <w:pPr>
        <w:pStyle w:val="Heading2"/>
        <w:spacing w:line="276" w:lineRule="auto" w:before="299"/>
        <w:ind w:left="616"/>
      </w:pPr>
      <w:r>
        <w:rPr/>
        <w:t>For those who do not want to research the individual foodstuffs so ex- plicitly, here are some simple guidelines for alkaline nutrition:</w:t>
      </w:r>
    </w:p>
    <w:p>
      <w:pPr>
        <w:pStyle w:val="ListParagraph"/>
        <w:numPr>
          <w:ilvl w:val="2"/>
          <w:numId w:val="137"/>
        </w:numPr>
        <w:tabs>
          <w:tab w:pos="1392" w:val="left" w:leader="none"/>
        </w:tabs>
        <w:spacing w:line="276" w:lineRule="auto" w:before="121" w:after="0"/>
        <w:ind w:left="1295" w:right="137" w:hanging="355"/>
        <w:jc w:val="both"/>
        <w:rPr>
          <w:sz w:val="38"/>
        </w:rPr>
      </w:pPr>
      <w:r>
        <w:rPr>
          <w:sz w:val="38"/>
        </w:rPr>
        <w:t>Make vegetables, in particular green leafy vegetables, the focus of your nutrition, either steamed or briefly heated. Digestion of heavily cooked foodstuffs</w:t>
      </w:r>
      <w:r>
        <w:rPr>
          <w:spacing w:val="-11"/>
          <w:sz w:val="38"/>
        </w:rPr>
        <w:t> </w:t>
      </w:r>
      <w:r>
        <w:rPr>
          <w:sz w:val="38"/>
        </w:rPr>
        <w:t>releases</w:t>
      </w:r>
      <w:r>
        <w:rPr>
          <w:spacing w:val="-10"/>
          <w:sz w:val="38"/>
        </w:rPr>
        <w:t> </w:t>
      </w:r>
      <w:r>
        <w:rPr>
          <w:sz w:val="38"/>
        </w:rPr>
        <w:t>more</w:t>
      </w:r>
      <w:r>
        <w:rPr>
          <w:spacing w:val="-12"/>
          <w:sz w:val="38"/>
        </w:rPr>
        <w:t> </w:t>
      </w:r>
      <w:r>
        <w:rPr>
          <w:sz w:val="38"/>
        </w:rPr>
        <w:t>acids</w:t>
      </w:r>
      <w:r>
        <w:rPr>
          <w:spacing w:val="-10"/>
          <w:sz w:val="38"/>
        </w:rPr>
        <w:t> </w:t>
      </w:r>
      <w:r>
        <w:rPr>
          <w:sz w:val="38"/>
        </w:rPr>
        <w:t>and</w:t>
      </w:r>
      <w:r>
        <w:rPr>
          <w:spacing w:val="-11"/>
          <w:sz w:val="38"/>
        </w:rPr>
        <w:t> </w:t>
      </w:r>
      <w:r>
        <w:rPr>
          <w:sz w:val="38"/>
        </w:rPr>
        <w:t>valuable</w:t>
      </w:r>
      <w:r>
        <w:rPr>
          <w:spacing w:val="-11"/>
          <w:sz w:val="38"/>
        </w:rPr>
        <w:t> </w:t>
      </w:r>
      <w:r>
        <w:rPr>
          <w:sz w:val="38"/>
        </w:rPr>
        <w:t>nutrition</w:t>
      </w:r>
      <w:r>
        <w:rPr>
          <w:spacing w:val="-9"/>
          <w:sz w:val="38"/>
        </w:rPr>
        <w:t> </w:t>
      </w:r>
      <w:r>
        <w:rPr>
          <w:sz w:val="38"/>
        </w:rPr>
        <w:t>is</w:t>
      </w:r>
      <w:r>
        <w:rPr>
          <w:spacing w:val="-10"/>
          <w:sz w:val="38"/>
        </w:rPr>
        <w:t> </w:t>
      </w:r>
      <w:r>
        <w:rPr>
          <w:sz w:val="38"/>
        </w:rPr>
        <w:t>destroyed</w:t>
      </w:r>
      <w:r>
        <w:rPr>
          <w:spacing w:val="-12"/>
          <w:sz w:val="38"/>
        </w:rPr>
        <w:t> </w:t>
      </w:r>
      <w:r>
        <w:rPr>
          <w:sz w:val="38"/>
        </w:rPr>
        <w:t>by</w:t>
      </w:r>
      <w:r>
        <w:rPr>
          <w:spacing w:val="-9"/>
          <w:sz w:val="38"/>
        </w:rPr>
        <w:t> </w:t>
      </w:r>
      <w:r>
        <w:rPr>
          <w:sz w:val="38"/>
        </w:rPr>
        <w:t>heat. Thus, a tomato is alkaline, however if it is heated to create tomato sauce, it becomes</w:t>
      </w:r>
      <w:r>
        <w:rPr>
          <w:spacing w:val="-1"/>
          <w:sz w:val="38"/>
        </w:rPr>
        <w:t> </w:t>
      </w:r>
      <w:r>
        <w:rPr>
          <w:sz w:val="38"/>
        </w:rPr>
        <w:t>acidic!</w:t>
      </w:r>
    </w:p>
    <w:p>
      <w:pPr>
        <w:pStyle w:val="ListParagraph"/>
        <w:numPr>
          <w:ilvl w:val="2"/>
          <w:numId w:val="137"/>
        </w:numPr>
        <w:tabs>
          <w:tab w:pos="1433" w:val="left" w:leader="none"/>
        </w:tabs>
        <w:spacing w:line="276" w:lineRule="auto" w:before="120" w:after="0"/>
        <w:ind w:left="1336" w:right="138" w:hanging="358"/>
        <w:jc w:val="both"/>
        <w:rPr>
          <w:sz w:val="38"/>
        </w:rPr>
      </w:pPr>
      <w:r>
        <w:rPr>
          <w:sz w:val="38"/>
        </w:rPr>
        <w:t>Fewer sweet fruits have a less acidic effect than sour foodstuffs, even if this seems like a</w:t>
      </w:r>
      <w:r>
        <w:rPr>
          <w:spacing w:val="-1"/>
          <w:sz w:val="38"/>
        </w:rPr>
        <w:t> </w:t>
      </w:r>
      <w:r>
        <w:rPr>
          <w:sz w:val="38"/>
        </w:rPr>
        <w:t>contradiction.</w:t>
      </w:r>
    </w:p>
    <w:p>
      <w:pPr>
        <w:pStyle w:val="ListParagraph"/>
        <w:numPr>
          <w:ilvl w:val="2"/>
          <w:numId w:val="137"/>
        </w:numPr>
        <w:tabs>
          <w:tab w:pos="1433" w:val="left" w:leader="none"/>
        </w:tabs>
        <w:spacing w:line="276" w:lineRule="auto" w:before="121" w:after="0"/>
        <w:ind w:left="1336" w:right="146" w:hanging="358"/>
        <w:jc w:val="both"/>
        <w:rPr>
          <w:sz w:val="38"/>
        </w:rPr>
      </w:pPr>
      <w:r>
        <w:rPr>
          <w:sz w:val="38"/>
        </w:rPr>
        <w:t>Drink lots of still mineral water (at least 2 litres/day); avoid sparkling mineral</w:t>
      </w:r>
      <w:r>
        <w:rPr>
          <w:spacing w:val="-1"/>
          <w:sz w:val="38"/>
        </w:rPr>
        <w:t> </w:t>
      </w:r>
      <w:r>
        <w:rPr>
          <w:sz w:val="38"/>
        </w:rPr>
        <w:t>water.</w:t>
      </w:r>
    </w:p>
    <w:p>
      <w:pPr>
        <w:pStyle w:val="ListParagraph"/>
        <w:numPr>
          <w:ilvl w:val="2"/>
          <w:numId w:val="137"/>
        </w:numPr>
        <w:tabs>
          <w:tab w:pos="1433" w:val="left" w:leader="none"/>
        </w:tabs>
        <w:spacing w:line="276" w:lineRule="auto" w:before="119" w:after="0"/>
        <w:ind w:left="1336" w:right="136" w:hanging="358"/>
        <w:jc w:val="both"/>
        <w:rPr>
          <w:sz w:val="38"/>
        </w:rPr>
      </w:pPr>
      <w:r>
        <w:rPr>
          <w:sz w:val="38"/>
        </w:rPr>
        <w:t>Forego</w:t>
      </w:r>
      <w:r>
        <w:rPr>
          <w:spacing w:val="-16"/>
          <w:sz w:val="38"/>
        </w:rPr>
        <w:t> </w:t>
      </w:r>
      <w:r>
        <w:rPr>
          <w:sz w:val="38"/>
        </w:rPr>
        <w:t>sugar</w:t>
      </w:r>
      <w:r>
        <w:rPr>
          <w:spacing w:val="-13"/>
          <w:sz w:val="38"/>
        </w:rPr>
        <w:t> </w:t>
      </w:r>
      <w:r>
        <w:rPr>
          <w:sz w:val="38"/>
        </w:rPr>
        <w:t>and</w:t>
      </w:r>
      <w:r>
        <w:rPr>
          <w:spacing w:val="-14"/>
          <w:sz w:val="38"/>
        </w:rPr>
        <w:t> </w:t>
      </w:r>
      <w:r>
        <w:rPr>
          <w:sz w:val="38"/>
        </w:rPr>
        <w:t>artificial</w:t>
      </w:r>
      <w:r>
        <w:rPr>
          <w:spacing w:val="-15"/>
          <w:sz w:val="38"/>
        </w:rPr>
        <w:t> </w:t>
      </w:r>
      <w:r>
        <w:rPr>
          <w:sz w:val="38"/>
        </w:rPr>
        <w:t>sweeteners</w:t>
      </w:r>
      <w:r>
        <w:rPr>
          <w:spacing w:val="-14"/>
          <w:sz w:val="38"/>
        </w:rPr>
        <w:t> </w:t>
      </w:r>
      <w:r>
        <w:rPr>
          <w:sz w:val="38"/>
        </w:rPr>
        <w:t>entirely</w:t>
      </w:r>
      <w:r>
        <w:rPr>
          <w:spacing w:val="-14"/>
          <w:sz w:val="38"/>
        </w:rPr>
        <w:t> </w:t>
      </w:r>
      <w:r>
        <w:rPr>
          <w:sz w:val="38"/>
        </w:rPr>
        <w:t>and</w:t>
      </w:r>
      <w:r>
        <w:rPr>
          <w:spacing w:val="-14"/>
          <w:sz w:val="38"/>
        </w:rPr>
        <w:t> </w:t>
      </w:r>
      <w:r>
        <w:rPr>
          <w:sz w:val="38"/>
        </w:rPr>
        <w:t>instead,</w:t>
      </w:r>
      <w:r>
        <w:rPr>
          <w:spacing w:val="-15"/>
          <w:sz w:val="38"/>
        </w:rPr>
        <w:t> </w:t>
      </w:r>
      <w:r>
        <w:rPr>
          <w:sz w:val="38"/>
        </w:rPr>
        <w:t>add</w:t>
      </w:r>
      <w:r>
        <w:rPr>
          <w:spacing w:val="-15"/>
          <w:sz w:val="38"/>
        </w:rPr>
        <w:t> </w:t>
      </w:r>
      <w:r>
        <w:rPr>
          <w:sz w:val="38"/>
        </w:rPr>
        <w:t>sweetness with the healthy, natural sugar replacement</w:t>
      </w:r>
      <w:r>
        <w:rPr>
          <w:spacing w:val="-2"/>
          <w:sz w:val="38"/>
        </w:rPr>
        <w:t> </w:t>
      </w:r>
      <w:r>
        <w:rPr>
          <w:sz w:val="38"/>
        </w:rPr>
        <w:t>‘stevia’.</w:t>
      </w:r>
    </w:p>
    <w:p>
      <w:pPr>
        <w:pStyle w:val="ListParagraph"/>
        <w:numPr>
          <w:ilvl w:val="2"/>
          <w:numId w:val="137"/>
        </w:numPr>
        <w:tabs>
          <w:tab w:pos="1433" w:val="left" w:leader="none"/>
        </w:tabs>
        <w:spacing w:line="276" w:lineRule="auto" w:before="120" w:after="0"/>
        <w:ind w:left="1336" w:right="137" w:hanging="358"/>
        <w:jc w:val="both"/>
        <w:rPr>
          <w:sz w:val="38"/>
        </w:rPr>
      </w:pPr>
      <w:r>
        <w:rPr>
          <w:sz w:val="38"/>
        </w:rPr>
        <w:t>Eat less meat, sausage and fish and replace these more frequently with nuts and seeds.</w:t>
      </w:r>
    </w:p>
    <w:p>
      <w:pPr>
        <w:pStyle w:val="ListParagraph"/>
        <w:numPr>
          <w:ilvl w:val="2"/>
          <w:numId w:val="137"/>
        </w:numPr>
        <w:tabs>
          <w:tab w:pos="1433" w:val="left" w:leader="none"/>
        </w:tabs>
        <w:spacing w:line="276" w:lineRule="auto" w:before="121" w:after="0"/>
        <w:ind w:left="1336" w:right="145" w:hanging="358"/>
        <w:jc w:val="both"/>
        <w:rPr>
          <w:sz w:val="38"/>
        </w:rPr>
      </w:pPr>
      <w:r>
        <w:rPr>
          <w:sz w:val="38"/>
        </w:rPr>
        <w:t>Avoid luxury foods and stimulants such as sweets, alcohol, coffee and cigarettes.</w:t>
      </w:r>
    </w:p>
    <w:p>
      <w:pPr>
        <w:spacing w:after="0" w:line="276" w:lineRule="auto"/>
        <w:jc w:val="both"/>
        <w:rPr>
          <w:sz w:val="38"/>
        </w:rPr>
        <w:sectPr>
          <w:pgSz w:w="14270" w:h="16850"/>
          <w:pgMar w:header="0" w:footer="404" w:top="1340" w:bottom="2080" w:left="800" w:right="1280"/>
        </w:sectPr>
      </w:pPr>
    </w:p>
    <w:p>
      <w:pPr>
        <w:pStyle w:val="Heading1"/>
        <w:spacing w:before="77"/>
        <w:ind w:left="616"/>
      </w:pPr>
      <w:r>
        <w:rPr/>
        <w:t>De-acidify and re-mineralise</w:t>
      </w:r>
    </w:p>
    <w:p>
      <w:pPr>
        <w:pStyle w:val="ListParagraph"/>
        <w:numPr>
          <w:ilvl w:val="0"/>
          <w:numId w:val="139"/>
        </w:numPr>
        <w:tabs>
          <w:tab w:pos="1330" w:val="left" w:leader="none"/>
        </w:tabs>
        <w:spacing w:line="276" w:lineRule="auto" w:before="258" w:after="0"/>
        <w:ind w:left="1329" w:right="133" w:hanging="355"/>
        <w:jc w:val="both"/>
        <w:rPr>
          <w:sz w:val="38"/>
        </w:rPr>
      </w:pPr>
      <w:r>
        <w:rPr>
          <w:sz w:val="38"/>
        </w:rPr>
        <w:t>While</w:t>
      </w:r>
      <w:r>
        <w:rPr>
          <w:spacing w:val="-9"/>
          <w:sz w:val="38"/>
        </w:rPr>
        <w:t> </w:t>
      </w:r>
      <w:r>
        <w:rPr>
          <w:sz w:val="38"/>
        </w:rPr>
        <w:t>alkaline</w:t>
      </w:r>
      <w:r>
        <w:rPr>
          <w:spacing w:val="-6"/>
          <w:sz w:val="38"/>
        </w:rPr>
        <w:t> </w:t>
      </w:r>
      <w:r>
        <w:rPr>
          <w:sz w:val="38"/>
        </w:rPr>
        <w:t>nutrition</w:t>
      </w:r>
      <w:r>
        <w:rPr>
          <w:spacing w:val="-7"/>
          <w:sz w:val="38"/>
        </w:rPr>
        <w:t> </w:t>
      </w:r>
      <w:r>
        <w:rPr>
          <w:sz w:val="38"/>
        </w:rPr>
        <w:t>has</w:t>
      </w:r>
      <w:r>
        <w:rPr>
          <w:spacing w:val="-6"/>
          <w:sz w:val="38"/>
        </w:rPr>
        <w:t> </w:t>
      </w:r>
      <w:r>
        <w:rPr>
          <w:sz w:val="38"/>
        </w:rPr>
        <w:t>the</w:t>
      </w:r>
      <w:r>
        <w:rPr>
          <w:spacing w:val="-4"/>
          <w:sz w:val="38"/>
        </w:rPr>
        <w:t> </w:t>
      </w:r>
      <w:r>
        <w:rPr>
          <w:sz w:val="38"/>
        </w:rPr>
        <w:t>purpose</w:t>
      </w:r>
      <w:r>
        <w:rPr>
          <w:spacing w:val="-7"/>
          <w:sz w:val="38"/>
        </w:rPr>
        <w:t> </w:t>
      </w:r>
      <w:r>
        <w:rPr>
          <w:sz w:val="38"/>
        </w:rPr>
        <w:t>of</w:t>
      </w:r>
      <w:r>
        <w:rPr>
          <w:spacing w:val="-8"/>
          <w:sz w:val="38"/>
        </w:rPr>
        <w:t> </w:t>
      </w:r>
      <w:r>
        <w:rPr>
          <w:sz w:val="38"/>
        </w:rPr>
        <w:t>forming</w:t>
      </w:r>
      <w:r>
        <w:rPr>
          <w:spacing w:val="-6"/>
          <w:sz w:val="38"/>
        </w:rPr>
        <w:t> </w:t>
      </w:r>
      <w:r>
        <w:rPr>
          <w:sz w:val="38"/>
        </w:rPr>
        <w:t>as</w:t>
      </w:r>
      <w:r>
        <w:rPr>
          <w:spacing w:val="-7"/>
          <w:sz w:val="38"/>
        </w:rPr>
        <w:t> </w:t>
      </w:r>
      <w:r>
        <w:rPr>
          <w:sz w:val="38"/>
        </w:rPr>
        <w:t>few</w:t>
      </w:r>
      <w:r>
        <w:rPr>
          <w:spacing w:val="-9"/>
          <w:sz w:val="38"/>
        </w:rPr>
        <w:t> </w:t>
      </w:r>
      <w:r>
        <w:rPr>
          <w:sz w:val="38"/>
        </w:rPr>
        <w:t>acids</w:t>
      </w:r>
      <w:r>
        <w:rPr>
          <w:spacing w:val="-4"/>
          <w:sz w:val="38"/>
        </w:rPr>
        <w:t> </w:t>
      </w:r>
      <w:r>
        <w:rPr>
          <w:sz w:val="38"/>
        </w:rPr>
        <w:t>as</w:t>
      </w:r>
      <w:r>
        <w:rPr>
          <w:spacing w:val="-7"/>
          <w:sz w:val="38"/>
        </w:rPr>
        <w:t> </w:t>
      </w:r>
      <w:r>
        <w:rPr>
          <w:sz w:val="38"/>
        </w:rPr>
        <w:t>possi- ble, the supply of mineral preparations is intended to de-acidify and re- mineralise from this</w:t>
      </w:r>
      <w:r>
        <w:rPr>
          <w:spacing w:val="-1"/>
          <w:sz w:val="38"/>
        </w:rPr>
        <w:t> </w:t>
      </w:r>
      <w:r>
        <w:rPr>
          <w:sz w:val="38"/>
        </w:rPr>
        <w:t>inside.</w:t>
      </w:r>
    </w:p>
    <w:p>
      <w:pPr>
        <w:pStyle w:val="ListParagraph"/>
        <w:numPr>
          <w:ilvl w:val="0"/>
          <w:numId w:val="139"/>
        </w:numPr>
        <w:tabs>
          <w:tab w:pos="1330" w:val="left" w:leader="none"/>
        </w:tabs>
        <w:spacing w:line="276" w:lineRule="auto" w:before="119" w:after="0"/>
        <w:ind w:left="1329" w:right="141" w:hanging="355"/>
        <w:jc w:val="both"/>
        <w:rPr>
          <w:sz w:val="38"/>
        </w:rPr>
      </w:pPr>
      <w:r>
        <w:rPr>
          <w:sz w:val="38"/>
        </w:rPr>
        <w:t>As today’s nutrition is not sufficient for this, re-mineralisation requires the assistance of minerals in the form of nutritional</w:t>
      </w:r>
      <w:r>
        <w:rPr>
          <w:spacing w:val="-11"/>
          <w:sz w:val="38"/>
        </w:rPr>
        <w:t> </w:t>
      </w:r>
      <w:r>
        <w:rPr>
          <w:sz w:val="38"/>
        </w:rPr>
        <w:t>supplements.</w:t>
      </w:r>
    </w:p>
    <w:p>
      <w:pPr>
        <w:spacing w:before="167"/>
        <w:ind w:left="974" w:right="0" w:firstLine="0"/>
        <w:jc w:val="left"/>
        <w:rPr>
          <w:rFonts w:ascii="Symbol" w:hAnsi="Symbol"/>
          <w:sz w:val="28"/>
        </w:rPr>
      </w:pPr>
      <w:r>
        <w:rPr>
          <w:rFonts w:ascii="Symbol" w:hAnsi="Symbol"/>
          <w:w w:val="100"/>
          <w:sz w:val="28"/>
        </w:rPr>
        <w:t></w:t>
      </w:r>
    </w:p>
    <w:p>
      <w:pPr>
        <w:pStyle w:val="BodyText"/>
        <w:spacing w:before="10"/>
        <w:rPr>
          <w:rFonts w:ascii="Symbol" w:hAnsi="Symbol"/>
          <w:sz w:val="26"/>
        </w:rPr>
      </w:pPr>
    </w:p>
    <w:p>
      <w:pPr>
        <w:pStyle w:val="Heading1"/>
        <w:spacing w:before="0"/>
        <w:ind w:left="616"/>
      </w:pPr>
      <w:r>
        <w:rPr/>
        <w:t>Deacidification from inside – with</w:t>
      </w:r>
      <w:r>
        <w:rPr>
          <w:spacing w:val="-55"/>
        </w:rPr>
        <w:t> </w:t>
      </w:r>
      <w:r>
        <w:rPr/>
        <w:t>minerals</w:t>
      </w:r>
    </w:p>
    <w:p>
      <w:pPr>
        <w:pStyle w:val="ListParagraph"/>
        <w:numPr>
          <w:ilvl w:val="0"/>
          <w:numId w:val="139"/>
        </w:numPr>
        <w:tabs>
          <w:tab w:pos="1330" w:val="left" w:leader="none"/>
        </w:tabs>
        <w:spacing w:line="276" w:lineRule="auto" w:before="256" w:after="0"/>
        <w:ind w:left="1329" w:right="136" w:hanging="355"/>
        <w:jc w:val="both"/>
        <w:rPr>
          <w:sz w:val="38"/>
        </w:rPr>
      </w:pPr>
      <w:r>
        <w:rPr>
          <w:sz w:val="38"/>
        </w:rPr>
        <w:t>There are mineral substance preparations which effectively bind acids. There</w:t>
      </w:r>
      <w:r>
        <w:rPr>
          <w:spacing w:val="-12"/>
          <w:sz w:val="38"/>
        </w:rPr>
        <w:t> </w:t>
      </w:r>
      <w:r>
        <w:rPr>
          <w:sz w:val="38"/>
        </w:rPr>
        <w:t>is</w:t>
      </w:r>
      <w:r>
        <w:rPr>
          <w:spacing w:val="-14"/>
          <w:sz w:val="38"/>
        </w:rPr>
        <w:t> </w:t>
      </w:r>
      <w:r>
        <w:rPr>
          <w:sz w:val="38"/>
        </w:rPr>
        <w:t>no</w:t>
      </w:r>
      <w:r>
        <w:rPr>
          <w:spacing w:val="-12"/>
          <w:sz w:val="38"/>
        </w:rPr>
        <w:t> </w:t>
      </w:r>
      <w:r>
        <w:rPr>
          <w:sz w:val="38"/>
        </w:rPr>
        <w:t>all-encompassing</w:t>
      </w:r>
      <w:r>
        <w:rPr>
          <w:spacing w:val="-12"/>
          <w:sz w:val="38"/>
        </w:rPr>
        <w:t> </w:t>
      </w:r>
      <w:r>
        <w:rPr>
          <w:sz w:val="38"/>
        </w:rPr>
        <w:t>advice</w:t>
      </w:r>
      <w:r>
        <w:rPr>
          <w:spacing w:val="-12"/>
          <w:sz w:val="38"/>
        </w:rPr>
        <w:t> </w:t>
      </w:r>
      <w:r>
        <w:rPr>
          <w:sz w:val="38"/>
        </w:rPr>
        <w:t>here</w:t>
      </w:r>
      <w:r>
        <w:rPr>
          <w:spacing w:val="-12"/>
          <w:sz w:val="38"/>
        </w:rPr>
        <w:t> </w:t>
      </w:r>
      <w:r>
        <w:rPr>
          <w:sz w:val="38"/>
        </w:rPr>
        <w:t>as</w:t>
      </w:r>
      <w:r>
        <w:rPr>
          <w:spacing w:val="-14"/>
          <w:sz w:val="38"/>
        </w:rPr>
        <w:t> </w:t>
      </w:r>
      <w:r>
        <w:rPr>
          <w:sz w:val="38"/>
        </w:rPr>
        <w:t>each</w:t>
      </w:r>
      <w:r>
        <w:rPr>
          <w:spacing w:val="-14"/>
          <w:sz w:val="38"/>
        </w:rPr>
        <w:t> </w:t>
      </w:r>
      <w:r>
        <w:rPr>
          <w:sz w:val="38"/>
        </w:rPr>
        <w:t>organism</w:t>
      </w:r>
      <w:r>
        <w:rPr>
          <w:spacing w:val="-14"/>
          <w:sz w:val="38"/>
        </w:rPr>
        <w:t> </w:t>
      </w:r>
      <w:r>
        <w:rPr>
          <w:sz w:val="38"/>
        </w:rPr>
        <w:t>reacts</w:t>
      </w:r>
      <w:r>
        <w:rPr>
          <w:spacing w:val="-14"/>
          <w:sz w:val="38"/>
        </w:rPr>
        <w:t> </w:t>
      </w:r>
      <w:r>
        <w:rPr>
          <w:sz w:val="38"/>
        </w:rPr>
        <w:t>individ- ually, regardless of the</w:t>
      </w:r>
      <w:r>
        <w:rPr>
          <w:spacing w:val="2"/>
          <w:sz w:val="38"/>
        </w:rPr>
        <w:t> </w:t>
      </w:r>
      <w:r>
        <w:rPr>
          <w:sz w:val="38"/>
        </w:rPr>
        <w:t>product.</w:t>
      </w:r>
    </w:p>
    <w:p>
      <w:pPr>
        <w:pStyle w:val="ListParagraph"/>
        <w:numPr>
          <w:ilvl w:val="0"/>
          <w:numId w:val="139"/>
        </w:numPr>
        <w:tabs>
          <w:tab w:pos="1330" w:val="left" w:leader="none"/>
        </w:tabs>
        <w:spacing w:line="276" w:lineRule="auto" w:before="119" w:after="0"/>
        <w:ind w:left="1329" w:right="134" w:hanging="355"/>
        <w:jc w:val="both"/>
        <w:rPr>
          <w:sz w:val="38"/>
        </w:rPr>
      </w:pPr>
      <w:r>
        <w:rPr>
          <w:sz w:val="38"/>
        </w:rPr>
        <w:t>The</w:t>
      </w:r>
      <w:r>
        <w:rPr>
          <w:spacing w:val="-6"/>
          <w:sz w:val="38"/>
        </w:rPr>
        <w:t> </w:t>
      </w:r>
      <w:r>
        <w:rPr>
          <w:sz w:val="38"/>
        </w:rPr>
        <w:t>best</w:t>
      </w:r>
      <w:r>
        <w:rPr>
          <w:spacing w:val="-6"/>
          <w:sz w:val="38"/>
        </w:rPr>
        <w:t> </w:t>
      </w:r>
      <w:r>
        <w:rPr>
          <w:sz w:val="38"/>
        </w:rPr>
        <w:t>option</w:t>
      </w:r>
      <w:r>
        <w:rPr>
          <w:spacing w:val="-8"/>
          <w:sz w:val="38"/>
        </w:rPr>
        <w:t> </w:t>
      </w:r>
      <w:r>
        <w:rPr>
          <w:sz w:val="38"/>
        </w:rPr>
        <w:t>is</w:t>
      </w:r>
      <w:r>
        <w:rPr>
          <w:spacing w:val="-6"/>
          <w:sz w:val="38"/>
        </w:rPr>
        <w:t> </w:t>
      </w:r>
      <w:r>
        <w:rPr>
          <w:sz w:val="38"/>
        </w:rPr>
        <w:t>carrying</w:t>
      </w:r>
      <w:r>
        <w:rPr>
          <w:spacing w:val="-5"/>
          <w:sz w:val="38"/>
        </w:rPr>
        <w:t> </w:t>
      </w:r>
      <w:r>
        <w:rPr>
          <w:sz w:val="38"/>
        </w:rPr>
        <w:t>out</w:t>
      </w:r>
      <w:r>
        <w:rPr>
          <w:spacing w:val="-7"/>
          <w:sz w:val="38"/>
        </w:rPr>
        <w:t> </w:t>
      </w:r>
      <w:r>
        <w:rPr>
          <w:sz w:val="38"/>
        </w:rPr>
        <w:t>urine</w:t>
      </w:r>
      <w:r>
        <w:rPr>
          <w:spacing w:val="-6"/>
          <w:sz w:val="38"/>
        </w:rPr>
        <w:t> </w:t>
      </w:r>
      <w:r>
        <w:rPr>
          <w:sz w:val="38"/>
        </w:rPr>
        <w:t>pH</w:t>
      </w:r>
      <w:r>
        <w:rPr>
          <w:spacing w:val="-6"/>
          <w:sz w:val="38"/>
        </w:rPr>
        <w:t> </w:t>
      </w:r>
      <w:r>
        <w:rPr>
          <w:sz w:val="38"/>
        </w:rPr>
        <w:t>test</w:t>
      </w:r>
      <w:r>
        <w:rPr>
          <w:spacing w:val="-5"/>
          <w:sz w:val="38"/>
        </w:rPr>
        <w:t> </w:t>
      </w:r>
      <w:r>
        <w:rPr>
          <w:sz w:val="38"/>
        </w:rPr>
        <w:t>repeatedly</w:t>
      </w:r>
      <w:r>
        <w:rPr>
          <w:spacing w:val="-5"/>
          <w:sz w:val="38"/>
        </w:rPr>
        <w:t> </w:t>
      </w:r>
      <w:r>
        <w:rPr>
          <w:sz w:val="38"/>
        </w:rPr>
        <w:t>in</w:t>
      </w:r>
      <w:r>
        <w:rPr>
          <w:spacing w:val="-6"/>
          <w:sz w:val="38"/>
        </w:rPr>
        <w:t> </w:t>
      </w:r>
      <w:r>
        <w:rPr>
          <w:sz w:val="38"/>
        </w:rPr>
        <w:t>order</w:t>
      </w:r>
      <w:r>
        <w:rPr>
          <w:spacing w:val="-5"/>
          <w:sz w:val="38"/>
        </w:rPr>
        <w:t> </w:t>
      </w:r>
      <w:r>
        <w:rPr>
          <w:sz w:val="38"/>
        </w:rPr>
        <w:t>to</w:t>
      </w:r>
      <w:r>
        <w:rPr>
          <w:spacing w:val="-5"/>
          <w:sz w:val="38"/>
        </w:rPr>
        <w:t> </w:t>
      </w:r>
      <w:r>
        <w:rPr>
          <w:sz w:val="38"/>
        </w:rPr>
        <w:t>check if you are on the right</w:t>
      </w:r>
      <w:r>
        <w:rPr>
          <w:spacing w:val="-2"/>
          <w:sz w:val="38"/>
        </w:rPr>
        <w:t> </w:t>
      </w:r>
      <w:r>
        <w:rPr>
          <w:sz w:val="38"/>
        </w:rPr>
        <w:t>path!</w:t>
      </w:r>
    </w:p>
    <w:p>
      <w:pPr>
        <w:pStyle w:val="ListParagraph"/>
        <w:numPr>
          <w:ilvl w:val="0"/>
          <w:numId w:val="139"/>
        </w:numPr>
        <w:tabs>
          <w:tab w:pos="1330" w:val="left" w:leader="none"/>
        </w:tabs>
        <w:spacing w:line="276" w:lineRule="auto" w:before="121" w:after="0"/>
        <w:ind w:left="1329" w:right="133" w:hanging="355"/>
        <w:jc w:val="both"/>
        <w:rPr>
          <w:sz w:val="38"/>
        </w:rPr>
      </w:pPr>
      <w:r>
        <w:rPr>
          <w:sz w:val="38"/>
        </w:rPr>
        <w:t>Basosyx tablets by </w:t>
      </w:r>
      <w:r>
        <w:rPr>
          <w:i/>
          <w:sz w:val="38"/>
        </w:rPr>
        <w:t>Syxyl</w:t>
      </w:r>
      <w:r>
        <w:rPr>
          <w:sz w:val="38"/>
        </w:rPr>
        <w:t>, for example, contain minerals (calcium, magne- sium,</w:t>
      </w:r>
      <w:r>
        <w:rPr>
          <w:spacing w:val="-10"/>
          <w:sz w:val="38"/>
        </w:rPr>
        <w:t> </w:t>
      </w:r>
      <w:r>
        <w:rPr>
          <w:sz w:val="38"/>
        </w:rPr>
        <w:t>zinc);</w:t>
      </w:r>
      <w:r>
        <w:rPr>
          <w:spacing w:val="-11"/>
          <w:sz w:val="38"/>
        </w:rPr>
        <w:t> </w:t>
      </w:r>
      <w:r>
        <w:rPr>
          <w:sz w:val="38"/>
        </w:rPr>
        <w:t>asparagus</w:t>
      </w:r>
      <w:r>
        <w:rPr>
          <w:spacing w:val="-9"/>
          <w:sz w:val="38"/>
        </w:rPr>
        <w:t> </w:t>
      </w:r>
      <w:r>
        <w:rPr>
          <w:sz w:val="38"/>
        </w:rPr>
        <w:t>and</w:t>
      </w:r>
      <w:r>
        <w:rPr>
          <w:spacing w:val="-9"/>
          <w:sz w:val="38"/>
        </w:rPr>
        <w:t> </w:t>
      </w:r>
      <w:r>
        <w:rPr>
          <w:sz w:val="38"/>
        </w:rPr>
        <w:t>spirulina</w:t>
      </w:r>
      <w:r>
        <w:rPr>
          <w:spacing w:val="-10"/>
          <w:sz w:val="38"/>
        </w:rPr>
        <w:t> </w:t>
      </w:r>
      <w:r>
        <w:rPr>
          <w:sz w:val="38"/>
        </w:rPr>
        <w:t>powder</w:t>
      </w:r>
      <w:r>
        <w:rPr>
          <w:spacing w:val="-6"/>
          <w:sz w:val="38"/>
        </w:rPr>
        <w:t> </w:t>
      </w:r>
      <w:r>
        <w:rPr>
          <w:sz w:val="38"/>
        </w:rPr>
        <w:t>are</w:t>
      </w:r>
      <w:r>
        <w:rPr>
          <w:spacing w:val="-14"/>
          <w:sz w:val="38"/>
        </w:rPr>
        <w:t> </w:t>
      </w:r>
      <w:r>
        <w:rPr>
          <w:sz w:val="38"/>
        </w:rPr>
        <w:t>most</w:t>
      </w:r>
      <w:r>
        <w:rPr>
          <w:spacing w:val="-9"/>
          <w:sz w:val="38"/>
        </w:rPr>
        <w:t> </w:t>
      </w:r>
      <w:r>
        <w:rPr>
          <w:sz w:val="38"/>
        </w:rPr>
        <w:t>suited</w:t>
      </w:r>
      <w:r>
        <w:rPr>
          <w:spacing w:val="-11"/>
          <w:sz w:val="38"/>
        </w:rPr>
        <w:t> </w:t>
      </w:r>
      <w:r>
        <w:rPr>
          <w:sz w:val="38"/>
        </w:rPr>
        <w:t>to</w:t>
      </w:r>
      <w:r>
        <w:rPr>
          <w:spacing w:val="-9"/>
          <w:sz w:val="38"/>
        </w:rPr>
        <w:t> </w:t>
      </w:r>
      <w:r>
        <w:rPr>
          <w:sz w:val="38"/>
        </w:rPr>
        <w:t>transform- ing an acidic state into an alkaline in a short period of time in the vast majority of</w:t>
      </w:r>
      <w:r>
        <w:rPr>
          <w:spacing w:val="-3"/>
          <w:sz w:val="38"/>
        </w:rPr>
        <w:t> </w:t>
      </w:r>
      <w:r>
        <w:rPr>
          <w:sz w:val="38"/>
        </w:rPr>
        <w:t>people.</w:t>
      </w:r>
    </w:p>
    <w:p>
      <w:pPr>
        <w:pStyle w:val="ListParagraph"/>
        <w:numPr>
          <w:ilvl w:val="0"/>
          <w:numId w:val="139"/>
        </w:numPr>
        <w:tabs>
          <w:tab w:pos="1330" w:val="left" w:leader="none"/>
        </w:tabs>
        <w:spacing w:line="276" w:lineRule="auto" w:before="119" w:after="0"/>
        <w:ind w:left="1329" w:right="133" w:hanging="355"/>
        <w:jc w:val="both"/>
        <w:rPr>
          <w:sz w:val="38"/>
        </w:rPr>
      </w:pPr>
      <w:r>
        <w:rPr>
          <w:sz w:val="38"/>
        </w:rPr>
        <w:t>Take 2-3 Basosyx tablets in the morning on an empty stomach, then 2-3 between breakfast and lunch and another 2-3 before going to sleep.</w:t>
      </w:r>
      <w:r>
        <w:rPr>
          <w:spacing w:val="-67"/>
          <w:sz w:val="38"/>
        </w:rPr>
        <w:t> </w:t>
      </w:r>
      <w:r>
        <w:rPr>
          <w:sz w:val="38"/>
        </w:rPr>
        <w:t>Con- tinue to measure your pH value when taking the tablets and adjust your dosage.</w:t>
      </w:r>
      <w:r>
        <w:rPr>
          <w:spacing w:val="-14"/>
          <w:sz w:val="38"/>
        </w:rPr>
        <w:t> </w:t>
      </w:r>
      <w:r>
        <w:rPr>
          <w:sz w:val="38"/>
        </w:rPr>
        <w:t>Healing</w:t>
      </w:r>
      <w:r>
        <w:rPr>
          <w:spacing w:val="-11"/>
          <w:sz w:val="38"/>
        </w:rPr>
        <w:t> </w:t>
      </w:r>
      <w:r>
        <w:rPr>
          <w:sz w:val="38"/>
        </w:rPr>
        <w:t>clay</w:t>
      </w:r>
      <w:r>
        <w:rPr>
          <w:spacing w:val="-14"/>
          <w:sz w:val="38"/>
        </w:rPr>
        <w:t> </w:t>
      </w:r>
      <w:r>
        <w:rPr>
          <w:sz w:val="38"/>
        </w:rPr>
        <w:t>(3x1</w:t>
      </w:r>
      <w:r>
        <w:rPr>
          <w:spacing w:val="-15"/>
          <w:sz w:val="38"/>
        </w:rPr>
        <w:t> </w:t>
      </w:r>
      <w:r>
        <w:rPr>
          <w:sz w:val="38"/>
        </w:rPr>
        <w:t>teaspoon</w:t>
      </w:r>
      <w:r>
        <w:rPr>
          <w:spacing w:val="-14"/>
          <w:sz w:val="38"/>
        </w:rPr>
        <w:t> </w:t>
      </w:r>
      <w:r>
        <w:rPr>
          <w:sz w:val="38"/>
        </w:rPr>
        <w:t>per</w:t>
      </w:r>
      <w:r>
        <w:rPr>
          <w:spacing w:val="-13"/>
          <w:sz w:val="38"/>
        </w:rPr>
        <w:t> </w:t>
      </w:r>
      <w:r>
        <w:rPr>
          <w:sz w:val="38"/>
        </w:rPr>
        <w:t>day)</w:t>
      </w:r>
      <w:r>
        <w:rPr>
          <w:spacing w:val="-15"/>
          <w:sz w:val="38"/>
        </w:rPr>
        <w:t> </w:t>
      </w:r>
      <w:r>
        <w:rPr>
          <w:sz w:val="38"/>
        </w:rPr>
        <w:t>or</w:t>
      </w:r>
      <w:r>
        <w:rPr>
          <w:spacing w:val="-13"/>
          <w:sz w:val="38"/>
        </w:rPr>
        <w:t> </w:t>
      </w:r>
      <w:r>
        <w:rPr>
          <w:sz w:val="38"/>
        </w:rPr>
        <w:t>Sango</w:t>
      </w:r>
      <w:r>
        <w:rPr>
          <w:spacing w:val="-14"/>
          <w:sz w:val="38"/>
        </w:rPr>
        <w:t> </w:t>
      </w:r>
      <w:r>
        <w:rPr>
          <w:sz w:val="38"/>
        </w:rPr>
        <w:t>sea</w:t>
      </w:r>
      <w:r>
        <w:rPr>
          <w:spacing w:val="-14"/>
          <w:sz w:val="38"/>
        </w:rPr>
        <w:t> </w:t>
      </w:r>
      <w:r>
        <w:rPr>
          <w:sz w:val="38"/>
        </w:rPr>
        <w:t>coral</w:t>
      </w:r>
      <w:r>
        <w:rPr>
          <w:spacing w:val="-15"/>
          <w:sz w:val="38"/>
        </w:rPr>
        <w:t> </w:t>
      </w:r>
      <w:r>
        <w:rPr>
          <w:sz w:val="38"/>
        </w:rPr>
        <w:t>(according to the manufacturer’s recommendation) are suitable for</w:t>
      </w:r>
      <w:r>
        <w:rPr>
          <w:spacing w:val="-1"/>
          <w:sz w:val="38"/>
        </w:rPr>
        <w:t> </w:t>
      </w:r>
      <w:r>
        <w:rPr>
          <w:sz w:val="38"/>
        </w:rPr>
        <w:t>this.</w:t>
      </w:r>
    </w:p>
    <w:p>
      <w:pPr>
        <w:spacing w:after="0" w:line="276" w:lineRule="auto"/>
        <w:jc w:val="both"/>
        <w:rPr>
          <w:sz w:val="38"/>
        </w:rPr>
        <w:sectPr>
          <w:pgSz w:w="14270" w:h="16850"/>
          <w:pgMar w:header="0" w:footer="404" w:top="1320" w:bottom="2080" w:left="800" w:right="1280"/>
        </w:sectPr>
      </w:pPr>
    </w:p>
    <w:p>
      <w:pPr>
        <w:pStyle w:val="Heading1"/>
        <w:spacing w:before="77"/>
        <w:ind w:left="616"/>
      </w:pPr>
      <w:r>
        <w:rPr/>
        <w:t>Over-mineralisation with minerals</w:t>
      </w:r>
    </w:p>
    <w:p>
      <w:pPr>
        <w:pStyle w:val="BodyText"/>
        <w:spacing w:line="276" w:lineRule="auto" w:before="299"/>
        <w:ind w:left="616" w:right="133"/>
        <w:jc w:val="both"/>
      </w:pPr>
      <w:r>
        <w:rPr/>
        <w:t>In</w:t>
      </w:r>
      <w:r>
        <w:rPr>
          <w:spacing w:val="-9"/>
        </w:rPr>
        <w:t> </w:t>
      </w:r>
      <w:r>
        <w:rPr/>
        <w:t>order</w:t>
      </w:r>
      <w:r>
        <w:rPr>
          <w:spacing w:val="-11"/>
        </w:rPr>
        <w:t> </w:t>
      </w:r>
      <w:r>
        <w:rPr/>
        <w:t>to</w:t>
      </w:r>
      <w:r>
        <w:rPr>
          <w:spacing w:val="-11"/>
        </w:rPr>
        <w:t> </w:t>
      </w:r>
      <w:r>
        <w:rPr/>
        <w:t>repair</w:t>
      </w:r>
      <w:r>
        <w:rPr>
          <w:spacing w:val="-9"/>
        </w:rPr>
        <w:t> </w:t>
      </w:r>
      <w:r>
        <w:rPr/>
        <w:t>defects</w:t>
      </w:r>
      <w:r>
        <w:rPr>
          <w:spacing w:val="-8"/>
        </w:rPr>
        <w:t> </w:t>
      </w:r>
      <w:r>
        <w:rPr/>
        <w:t>resulting</w:t>
      </w:r>
      <w:r>
        <w:rPr>
          <w:spacing w:val="-9"/>
        </w:rPr>
        <w:t> </w:t>
      </w:r>
      <w:r>
        <w:rPr/>
        <w:t>from</w:t>
      </w:r>
      <w:r>
        <w:rPr>
          <w:spacing w:val="-9"/>
        </w:rPr>
        <w:t> </w:t>
      </w:r>
      <w:r>
        <w:rPr/>
        <w:t>mineral</w:t>
      </w:r>
      <w:r>
        <w:rPr>
          <w:spacing w:val="-13"/>
        </w:rPr>
        <w:t> </w:t>
      </w:r>
      <w:r>
        <w:rPr/>
        <w:t>degradation</w:t>
      </w:r>
      <w:r>
        <w:rPr>
          <w:spacing w:val="-8"/>
        </w:rPr>
        <w:t> </w:t>
      </w:r>
      <w:r>
        <w:rPr/>
        <w:t>in</w:t>
      </w:r>
      <w:r>
        <w:rPr>
          <w:spacing w:val="-9"/>
        </w:rPr>
        <w:t> </w:t>
      </w:r>
      <w:r>
        <w:rPr/>
        <w:t>the</w:t>
      </w:r>
      <w:r>
        <w:rPr>
          <w:spacing w:val="-7"/>
        </w:rPr>
        <w:t> </w:t>
      </w:r>
      <w:r>
        <w:rPr/>
        <w:t>scalp,</w:t>
      </w:r>
      <w:r>
        <w:rPr>
          <w:spacing w:val="-11"/>
        </w:rPr>
        <w:t> </w:t>
      </w:r>
      <w:r>
        <w:rPr/>
        <w:t>skin, bones,</w:t>
      </w:r>
      <w:r>
        <w:rPr>
          <w:spacing w:val="-14"/>
        </w:rPr>
        <w:t> </w:t>
      </w:r>
      <w:r>
        <w:rPr/>
        <w:t>cartilage,</w:t>
      </w:r>
      <w:r>
        <w:rPr>
          <w:spacing w:val="-14"/>
        </w:rPr>
        <w:t> </w:t>
      </w:r>
      <w:r>
        <w:rPr/>
        <w:t>discs,</w:t>
      </w:r>
      <w:r>
        <w:rPr>
          <w:spacing w:val="-11"/>
        </w:rPr>
        <w:t> </w:t>
      </w:r>
      <w:r>
        <w:rPr/>
        <w:t>nails,</w:t>
      </w:r>
      <w:r>
        <w:rPr>
          <w:spacing w:val="-14"/>
        </w:rPr>
        <w:t> </w:t>
      </w:r>
      <w:r>
        <w:rPr/>
        <w:t>blood</w:t>
      </w:r>
      <w:r>
        <w:rPr>
          <w:spacing w:val="-13"/>
        </w:rPr>
        <w:t> </w:t>
      </w:r>
      <w:r>
        <w:rPr/>
        <w:t>vessels</w:t>
      </w:r>
      <w:r>
        <w:rPr>
          <w:spacing w:val="-11"/>
        </w:rPr>
        <w:t> </w:t>
      </w:r>
      <w:r>
        <w:rPr/>
        <w:t>etc.</w:t>
      </w:r>
      <w:r>
        <w:rPr>
          <w:spacing w:val="-12"/>
        </w:rPr>
        <w:t> </w:t>
      </w:r>
      <w:r>
        <w:rPr/>
        <w:t>you</w:t>
      </w:r>
      <w:r>
        <w:rPr>
          <w:spacing w:val="-15"/>
        </w:rPr>
        <w:t> </w:t>
      </w:r>
      <w:r>
        <w:rPr/>
        <w:t>should</w:t>
      </w:r>
      <w:r>
        <w:rPr>
          <w:spacing w:val="-13"/>
        </w:rPr>
        <w:t> </w:t>
      </w:r>
      <w:r>
        <w:rPr/>
        <w:t>‘over-mineralise’</w:t>
      </w:r>
      <w:r>
        <w:rPr>
          <w:spacing w:val="-12"/>
        </w:rPr>
        <w:t> </w:t>
      </w:r>
      <w:r>
        <w:rPr/>
        <w:t>the body as much as possible for approx. 18 months in order to enable the heavy flood of minerals to build up in the organs and tissues which have been de- mineralised over the years and decades. From a biological stand point this not only</w:t>
      </w:r>
      <w:r>
        <w:rPr>
          <w:spacing w:val="-24"/>
        </w:rPr>
        <w:t> </w:t>
      </w:r>
      <w:r>
        <w:rPr/>
        <w:t>corresponds</w:t>
      </w:r>
      <w:r>
        <w:rPr>
          <w:spacing w:val="-23"/>
        </w:rPr>
        <w:t> </w:t>
      </w:r>
      <w:r>
        <w:rPr/>
        <w:t>to</w:t>
      </w:r>
      <w:r>
        <w:rPr>
          <w:spacing w:val="-23"/>
        </w:rPr>
        <w:t> </w:t>
      </w:r>
      <w:r>
        <w:rPr/>
        <w:t>the</w:t>
      </w:r>
      <w:r>
        <w:rPr>
          <w:spacing w:val="-23"/>
        </w:rPr>
        <w:t> </w:t>
      </w:r>
      <w:r>
        <w:rPr/>
        <w:t>treatment</w:t>
      </w:r>
      <w:r>
        <w:rPr>
          <w:spacing w:val="-25"/>
        </w:rPr>
        <w:t> </w:t>
      </w:r>
      <w:r>
        <w:rPr/>
        <w:t>of</w:t>
      </w:r>
      <w:r>
        <w:rPr>
          <w:spacing w:val="-22"/>
        </w:rPr>
        <w:t> </w:t>
      </w:r>
      <w:r>
        <w:rPr/>
        <w:t>a</w:t>
      </w:r>
      <w:r>
        <w:rPr>
          <w:spacing w:val="-25"/>
        </w:rPr>
        <w:t> </w:t>
      </w:r>
      <w:r>
        <w:rPr/>
        <w:t>number</w:t>
      </w:r>
      <w:r>
        <w:rPr>
          <w:spacing w:val="-23"/>
        </w:rPr>
        <w:t> </w:t>
      </w:r>
      <w:r>
        <w:rPr/>
        <w:t>of</w:t>
      </w:r>
      <w:r>
        <w:rPr>
          <w:spacing w:val="-26"/>
        </w:rPr>
        <w:t> </w:t>
      </w:r>
      <w:r>
        <w:rPr/>
        <w:t>diseases</w:t>
      </w:r>
      <w:r>
        <w:rPr>
          <w:spacing w:val="-23"/>
        </w:rPr>
        <w:t> </w:t>
      </w:r>
      <w:r>
        <w:rPr/>
        <w:t>and</w:t>
      </w:r>
      <w:r>
        <w:rPr>
          <w:spacing w:val="-23"/>
        </w:rPr>
        <w:t> </w:t>
      </w:r>
      <w:r>
        <w:rPr/>
        <w:t>their</w:t>
      </w:r>
      <w:r>
        <w:rPr>
          <w:spacing w:val="-23"/>
        </w:rPr>
        <w:t> </w:t>
      </w:r>
      <w:r>
        <w:rPr/>
        <w:t>prevention but also to biological</w:t>
      </w:r>
      <w:r>
        <w:rPr>
          <w:spacing w:val="-1"/>
        </w:rPr>
        <w:t> </w:t>
      </w:r>
      <w:r>
        <w:rPr/>
        <w:t>rejuvenation!</w:t>
      </w:r>
    </w:p>
    <w:p>
      <w:pPr>
        <w:pStyle w:val="Heading1"/>
        <w:ind w:left="616"/>
      </w:pPr>
      <w:r>
        <w:rPr/>
        <w:t>Suitable mineral substance preparations</w:t>
      </w:r>
    </w:p>
    <w:p>
      <w:pPr>
        <w:pStyle w:val="BodyText"/>
        <w:spacing w:line="276" w:lineRule="auto" w:before="297"/>
        <w:ind w:left="616" w:right="132"/>
        <w:jc w:val="both"/>
      </w:pPr>
      <w:r>
        <w:rPr/>
        <w:t>As mentioned above, Basosyx tablets (company </w:t>
      </w:r>
      <w:r>
        <w:rPr>
          <w:i/>
        </w:rPr>
        <w:t>Syxyl</w:t>
      </w:r>
      <w:r>
        <w:rPr/>
        <w:t>) and clay or healing clay (for example, by the company </w:t>
      </w:r>
      <w:r>
        <w:rPr>
          <w:i/>
        </w:rPr>
        <w:t>Terra Natura</w:t>
      </w:r>
      <w:r>
        <w:rPr/>
        <w:t>) are most suitable for deacidifica- tion and remineralisation. Sango sea coral and the product </w:t>
      </w:r>
      <w:r>
        <w:rPr>
          <w:i/>
        </w:rPr>
        <w:t>Bullrich Vital </w:t>
      </w:r>
      <w:r>
        <w:rPr/>
        <w:t>are equally recommended. All preparations can be obtained from your chemist, health food shop or on the internet.</w:t>
      </w:r>
    </w:p>
    <w:p>
      <w:pPr>
        <w:pStyle w:val="Heading1"/>
        <w:spacing w:line="388" w:lineRule="auto" w:before="225"/>
        <w:ind w:left="616" w:right="4685"/>
      </w:pPr>
      <w:r>
        <w:rPr>
          <w:w w:val="95"/>
        </w:rPr>
        <w:t>External deacidification and detoxification </w:t>
      </w:r>
      <w:r>
        <w:rPr/>
        <w:t>Alkaline baths</w:t>
      </w:r>
    </w:p>
    <w:p>
      <w:pPr>
        <w:pStyle w:val="BodyText"/>
        <w:spacing w:line="276" w:lineRule="auto" w:before="21"/>
        <w:ind w:left="616" w:right="134"/>
        <w:jc w:val="both"/>
      </w:pPr>
      <w:r>
        <w:rPr/>
        <w:t>An</w:t>
      </w:r>
      <w:r>
        <w:rPr>
          <w:spacing w:val="-13"/>
        </w:rPr>
        <w:t> </w:t>
      </w:r>
      <w:r>
        <w:rPr/>
        <w:t>extremely</w:t>
      </w:r>
      <w:r>
        <w:rPr>
          <w:spacing w:val="-13"/>
        </w:rPr>
        <w:t> </w:t>
      </w:r>
      <w:r>
        <w:rPr/>
        <w:t>clever</w:t>
      </w:r>
      <w:r>
        <w:rPr>
          <w:spacing w:val="-12"/>
        </w:rPr>
        <w:t> </w:t>
      </w:r>
      <w:r>
        <w:rPr/>
        <w:t>way</w:t>
      </w:r>
      <w:r>
        <w:rPr>
          <w:spacing w:val="-13"/>
        </w:rPr>
        <w:t> </w:t>
      </w:r>
      <w:r>
        <w:rPr/>
        <w:t>of</w:t>
      </w:r>
      <w:r>
        <w:rPr>
          <w:spacing w:val="-15"/>
        </w:rPr>
        <w:t> </w:t>
      </w:r>
      <w:r>
        <w:rPr/>
        <w:t>gently</w:t>
      </w:r>
      <w:r>
        <w:rPr>
          <w:spacing w:val="-13"/>
        </w:rPr>
        <w:t> </w:t>
      </w:r>
      <w:r>
        <w:rPr/>
        <w:t>de-acidifying</w:t>
      </w:r>
      <w:r>
        <w:rPr>
          <w:spacing w:val="-12"/>
        </w:rPr>
        <w:t> </w:t>
      </w:r>
      <w:r>
        <w:rPr/>
        <w:t>and</w:t>
      </w:r>
      <w:r>
        <w:rPr>
          <w:spacing w:val="-13"/>
        </w:rPr>
        <w:t> </w:t>
      </w:r>
      <w:r>
        <w:rPr/>
        <w:t>detoxifying</w:t>
      </w:r>
      <w:r>
        <w:rPr>
          <w:spacing w:val="-12"/>
        </w:rPr>
        <w:t> </w:t>
      </w:r>
      <w:r>
        <w:rPr/>
        <w:t>the</w:t>
      </w:r>
      <w:r>
        <w:rPr>
          <w:spacing w:val="-13"/>
        </w:rPr>
        <w:t> </w:t>
      </w:r>
      <w:r>
        <w:rPr/>
        <w:t>body</w:t>
      </w:r>
      <w:r>
        <w:rPr>
          <w:spacing w:val="-14"/>
        </w:rPr>
        <w:t> </w:t>
      </w:r>
      <w:r>
        <w:rPr/>
        <w:t>from the outside is with the use of alkaline baths and foot baths. The acids and sludge</w:t>
      </w:r>
      <w:r>
        <w:rPr>
          <w:spacing w:val="-23"/>
        </w:rPr>
        <w:t> </w:t>
      </w:r>
      <w:r>
        <w:rPr/>
        <w:t>are</w:t>
      </w:r>
      <w:r>
        <w:rPr>
          <w:spacing w:val="-23"/>
        </w:rPr>
        <w:t> </w:t>
      </w:r>
      <w:r>
        <w:rPr/>
        <w:t>expelled</w:t>
      </w:r>
      <w:r>
        <w:rPr>
          <w:spacing w:val="-21"/>
        </w:rPr>
        <w:t> </w:t>
      </w:r>
      <w:r>
        <w:rPr/>
        <w:t>from</w:t>
      </w:r>
      <w:r>
        <w:rPr>
          <w:spacing w:val="-23"/>
        </w:rPr>
        <w:t> </w:t>
      </w:r>
      <w:r>
        <w:rPr/>
        <w:t>the</w:t>
      </w:r>
      <w:r>
        <w:rPr>
          <w:spacing w:val="-21"/>
        </w:rPr>
        <w:t> </w:t>
      </w:r>
      <w:r>
        <w:rPr/>
        <w:t>skin,</w:t>
      </w:r>
      <w:r>
        <w:rPr>
          <w:spacing w:val="-23"/>
        </w:rPr>
        <w:t> </w:t>
      </w:r>
      <w:r>
        <w:rPr/>
        <w:t>which</w:t>
      </w:r>
      <w:r>
        <w:rPr>
          <w:spacing w:val="-21"/>
        </w:rPr>
        <w:t> </w:t>
      </w:r>
      <w:r>
        <w:rPr/>
        <w:t>acts</w:t>
      </w:r>
      <w:r>
        <w:rPr>
          <w:spacing w:val="-23"/>
        </w:rPr>
        <w:t> </w:t>
      </w:r>
      <w:r>
        <w:rPr/>
        <w:t>like</w:t>
      </w:r>
      <w:r>
        <w:rPr>
          <w:spacing w:val="-21"/>
        </w:rPr>
        <w:t> </w:t>
      </w:r>
      <w:r>
        <w:rPr/>
        <w:t>an</w:t>
      </w:r>
      <w:r>
        <w:rPr>
          <w:spacing w:val="-22"/>
        </w:rPr>
        <w:t> </w:t>
      </w:r>
      <w:r>
        <w:rPr/>
        <w:t>extra</w:t>
      </w:r>
      <w:r>
        <w:rPr>
          <w:spacing w:val="-22"/>
        </w:rPr>
        <w:t> </w:t>
      </w:r>
      <w:r>
        <w:rPr/>
        <w:t>liver,</w:t>
      </w:r>
      <w:r>
        <w:rPr>
          <w:spacing w:val="-22"/>
        </w:rPr>
        <w:t> </w:t>
      </w:r>
      <w:r>
        <w:rPr/>
        <w:t>leading</w:t>
      </w:r>
      <w:r>
        <w:rPr>
          <w:spacing w:val="-21"/>
        </w:rPr>
        <w:t> </w:t>
      </w:r>
      <w:r>
        <w:rPr/>
        <w:t>to</w:t>
      </w:r>
      <w:r>
        <w:rPr>
          <w:spacing w:val="-22"/>
        </w:rPr>
        <w:t> </w:t>
      </w:r>
      <w:r>
        <w:rPr/>
        <w:t>much fewer pollutants than if you begin with intensive sludge-dissolving</w:t>
      </w:r>
      <w:r>
        <w:rPr>
          <w:spacing w:val="-6"/>
        </w:rPr>
        <w:t> </w:t>
      </w:r>
      <w:r>
        <w:rPr/>
        <w:t>teas.</w:t>
      </w:r>
    </w:p>
    <w:p>
      <w:pPr>
        <w:spacing w:before="242"/>
        <w:ind w:left="616" w:right="0" w:firstLine="0"/>
        <w:jc w:val="both"/>
        <w:rPr>
          <w:sz w:val="38"/>
        </w:rPr>
      </w:pPr>
      <w:r>
        <w:rPr>
          <w:b/>
          <w:sz w:val="38"/>
        </w:rPr>
        <w:t>Preparing an alkaline bath: </w:t>
      </w:r>
      <w:r>
        <w:rPr>
          <w:sz w:val="38"/>
        </w:rPr>
        <w:t>Prepare the bath with 3 tablespoons of</w:t>
      </w:r>
      <w:r>
        <w:rPr>
          <w:spacing w:val="59"/>
          <w:sz w:val="38"/>
        </w:rPr>
        <w:t> </w:t>
      </w:r>
      <w:r>
        <w:rPr>
          <w:sz w:val="38"/>
        </w:rPr>
        <w:t>sodium</w:t>
      </w:r>
    </w:p>
    <w:p>
      <w:pPr>
        <w:spacing w:after="0"/>
        <w:jc w:val="both"/>
        <w:rPr>
          <w:sz w:val="38"/>
        </w:rPr>
        <w:sectPr>
          <w:pgSz w:w="14270" w:h="16850"/>
          <w:pgMar w:header="0" w:footer="404" w:top="1320" w:bottom="2080" w:left="800" w:right="1280"/>
        </w:sectPr>
      </w:pPr>
    </w:p>
    <w:p>
      <w:pPr>
        <w:pStyle w:val="BodyText"/>
        <w:spacing w:line="276" w:lineRule="auto" w:before="72"/>
        <w:ind w:left="616" w:right="133"/>
        <w:jc w:val="both"/>
      </w:pPr>
      <w:r>
        <w:rPr/>
        <w:t>bicarbonate,</w:t>
      </w:r>
      <w:r>
        <w:rPr>
          <w:spacing w:val="-21"/>
        </w:rPr>
        <w:t> </w:t>
      </w:r>
      <w:r>
        <w:rPr/>
        <w:t>or</w:t>
      </w:r>
      <w:r>
        <w:rPr>
          <w:spacing w:val="-20"/>
        </w:rPr>
        <w:t> </w:t>
      </w:r>
      <w:r>
        <w:rPr/>
        <w:t>even</w:t>
      </w:r>
      <w:r>
        <w:rPr>
          <w:spacing w:val="-22"/>
        </w:rPr>
        <w:t> </w:t>
      </w:r>
      <w:r>
        <w:rPr/>
        <w:t>better</w:t>
      </w:r>
      <w:r>
        <w:rPr>
          <w:spacing w:val="-18"/>
        </w:rPr>
        <w:t> </w:t>
      </w:r>
      <w:r>
        <w:rPr>
          <w:i/>
        </w:rPr>
        <w:t>MeineBase®</w:t>
      </w:r>
      <w:r>
        <w:rPr>
          <w:i/>
          <w:spacing w:val="-23"/>
        </w:rPr>
        <w:t> </w:t>
      </w:r>
      <w:r>
        <w:rPr/>
        <w:t>bath</w:t>
      </w:r>
      <w:r>
        <w:rPr>
          <w:spacing w:val="-21"/>
        </w:rPr>
        <w:t> </w:t>
      </w:r>
      <w:r>
        <w:rPr/>
        <w:t>salts,</w:t>
      </w:r>
      <w:r>
        <w:rPr>
          <w:spacing w:val="-20"/>
        </w:rPr>
        <w:t> </w:t>
      </w:r>
      <w:r>
        <w:rPr/>
        <w:t>which</w:t>
      </w:r>
      <w:r>
        <w:rPr>
          <w:spacing w:val="-21"/>
        </w:rPr>
        <w:t> </w:t>
      </w:r>
      <w:r>
        <w:rPr/>
        <w:t>should</w:t>
      </w:r>
      <w:r>
        <w:rPr>
          <w:spacing w:val="-22"/>
        </w:rPr>
        <w:t> </w:t>
      </w:r>
      <w:r>
        <w:rPr/>
        <w:t>leave</w:t>
      </w:r>
      <w:r>
        <w:rPr>
          <w:spacing w:val="-22"/>
        </w:rPr>
        <w:t> </w:t>
      </w:r>
      <w:r>
        <w:rPr/>
        <w:t>the</w:t>
      </w:r>
      <w:r>
        <w:rPr>
          <w:spacing w:val="-21"/>
        </w:rPr>
        <w:t> </w:t>
      </w:r>
      <w:r>
        <w:rPr/>
        <w:t>water with a pH value of approx. 8.5. The water should be approx. 40 °C and the bath should last no less than 45 minutes, as the deacidification effect only be- gins after half an</w:t>
      </w:r>
      <w:r>
        <w:rPr>
          <w:spacing w:val="-1"/>
        </w:rPr>
        <w:t> </w:t>
      </w:r>
      <w:r>
        <w:rPr/>
        <w:t>hour.</w:t>
      </w:r>
    </w:p>
    <w:p>
      <w:pPr>
        <w:pStyle w:val="BodyText"/>
        <w:spacing w:line="278" w:lineRule="auto" w:before="241"/>
        <w:ind w:left="616" w:right="136"/>
        <w:jc w:val="both"/>
      </w:pPr>
      <w:r>
        <w:rPr/>
        <w:t>After this kind of bath you should neither dry yourself nor apply lotion – this will minimise the desired effect. Just slip into your bathrobe!</w:t>
      </w:r>
    </w:p>
    <w:p>
      <w:pPr>
        <w:pStyle w:val="BodyText"/>
        <w:spacing w:line="276" w:lineRule="auto" w:before="233"/>
        <w:ind w:left="616" w:right="142"/>
        <w:jc w:val="both"/>
      </w:pPr>
      <w:r>
        <w:rPr/>
        <w:t>You should enjoy this kind of alkaline bath at least twice a week if you are heavily toxified!</w:t>
      </w:r>
    </w:p>
    <w:p>
      <w:pPr>
        <w:pStyle w:val="BodyText"/>
        <w:spacing w:line="276" w:lineRule="auto" w:before="241"/>
        <w:ind w:left="616" w:right="137"/>
        <w:jc w:val="both"/>
      </w:pPr>
      <w:r>
        <w:rPr/>
        <w:t>You</w:t>
      </w:r>
      <w:r>
        <w:rPr>
          <w:spacing w:val="-12"/>
        </w:rPr>
        <w:t> </w:t>
      </w:r>
      <w:r>
        <w:rPr/>
        <w:t>can</w:t>
      </w:r>
      <w:r>
        <w:rPr>
          <w:spacing w:val="-10"/>
        </w:rPr>
        <w:t> </w:t>
      </w:r>
      <w:r>
        <w:rPr/>
        <w:t>see</w:t>
      </w:r>
      <w:r>
        <w:rPr>
          <w:spacing w:val="-10"/>
        </w:rPr>
        <w:t> </w:t>
      </w:r>
      <w:r>
        <w:rPr/>
        <w:t>how</w:t>
      </w:r>
      <w:r>
        <w:rPr>
          <w:spacing w:val="-12"/>
        </w:rPr>
        <w:t> </w:t>
      </w:r>
      <w:r>
        <w:rPr/>
        <w:t>effective</w:t>
      </w:r>
      <w:r>
        <w:rPr>
          <w:spacing w:val="-8"/>
        </w:rPr>
        <w:t> </w:t>
      </w:r>
      <w:r>
        <w:rPr/>
        <w:t>an</w:t>
      </w:r>
      <w:r>
        <w:rPr>
          <w:spacing w:val="-10"/>
        </w:rPr>
        <w:t> </w:t>
      </w:r>
      <w:r>
        <w:rPr/>
        <w:t>alkaline</w:t>
      </w:r>
      <w:r>
        <w:rPr>
          <w:spacing w:val="-10"/>
        </w:rPr>
        <w:t> </w:t>
      </w:r>
      <w:r>
        <w:rPr/>
        <w:t>bath</w:t>
      </w:r>
      <w:r>
        <w:rPr>
          <w:spacing w:val="-10"/>
        </w:rPr>
        <w:t> </w:t>
      </w:r>
      <w:r>
        <w:rPr/>
        <w:t>is</w:t>
      </w:r>
      <w:r>
        <w:rPr>
          <w:spacing w:val="-11"/>
        </w:rPr>
        <w:t> </w:t>
      </w:r>
      <w:r>
        <w:rPr/>
        <w:t>by</w:t>
      </w:r>
      <w:r>
        <w:rPr>
          <w:spacing w:val="-8"/>
        </w:rPr>
        <w:t> </w:t>
      </w:r>
      <w:r>
        <w:rPr/>
        <w:t>measuring</w:t>
      </w:r>
      <w:r>
        <w:rPr>
          <w:spacing w:val="-9"/>
        </w:rPr>
        <w:t> </w:t>
      </w:r>
      <w:r>
        <w:rPr/>
        <w:t>the</w:t>
      </w:r>
      <w:r>
        <w:rPr>
          <w:spacing w:val="-10"/>
        </w:rPr>
        <w:t> </w:t>
      </w:r>
      <w:r>
        <w:rPr/>
        <w:t>pH</w:t>
      </w:r>
      <w:r>
        <w:rPr>
          <w:spacing w:val="-10"/>
        </w:rPr>
        <w:t> </w:t>
      </w:r>
      <w:r>
        <w:rPr/>
        <w:t>value</w:t>
      </w:r>
      <w:r>
        <w:rPr>
          <w:spacing w:val="-12"/>
        </w:rPr>
        <w:t> </w:t>
      </w:r>
      <w:r>
        <w:rPr/>
        <w:t>in</w:t>
      </w:r>
      <w:r>
        <w:rPr>
          <w:spacing w:val="-11"/>
        </w:rPr>
        <w:t> </w:t>
      </w:r>
      <w:r>
        <w:rPr/>
        <w:t>the bath</w:t>
      </w:r>
      <w:r>
        <w:rPr>
          <w:spacing w:val="-20"/>
        </w:rPr>
        <w:t> </w:t>
      </w:r>
      <w:r>
        <w:rPr/>
        <w:t>again</w:t>
      </w:r>
      <w:r>
        <w:rPr>
          <w:spacing w:val="-21"/>
        </w:rPr>
        <w:t> </w:t>
      </w:r>
      <w:r>
        <w:rPr/>
        <w:t>after</w:t>
      </w:r>
      <w:r>
        <w:rPr>
          <w:spacing w:val="-20"/>
        </w:rPr>
        <w:t> </w:t>
      </w:r>
      <w:r>
        <w:rPr/>
        <w:t>you</w:t>
      </w:r>
      <w:r>
        <w:rPr>
          <w:spacing w:val="-22"/>
        </w:rPr>
        <w:t> </w:t>
      </w:r>
      <w:r>
        <w:rPr/>
        <w:t>have</w:t>
      </w:r>
      <w:r>
        <w:rPr>
          <w:spacing w:val="-21"/>
        </w:rPr>
        <w:t> </w:t>
      </w:r>
      <w:r>
        <w:rPr/>
        <w:t>used</w:t>
      </w:r>
      <w:r>
        <w:rPr>
          <w:spacing w:val="-20"/>
        </w:rPr>
        <w:t> </w:t>
      </w:r>
      <w:r>
        <w:rPr/>
        <w:t>it</w:t>
      </w:r>
      <w:r>
        <w:rPr>
          <w:spacing w:val="-22"/>
        </w:rPr>
        <w:t> </w:t>
      </w:r>
      <w:r>
        <w:rPr/>
        <w:t>for</w:t>
      </w:r>
      <w:r>
        <w:rPr>
          <w:spacing w:val="-19"/>
        </w:rPr>
        <w:t> </w:t>
      </w:r>
      <w:r>
        <w:rPr/>
        <w:t>45</w:t>
      </w:r>
      <w:r>
        <w:rPr>
          <w:spacing w:val="-22"/>
        </w:rPr>
        <w:t> </w:t>
      </w:r>
      <w:r>
        <w:rPr/>
        <w:t>minutes.</w:t>
      </w:r>
      <w:r>
        <w:rPr>
          <w:spacing w:val="-23"/>
        </w:rPr>
        <w:t> </w:t>
      </w:r>
      <w:r>
        <w:rPr/>
        <w:t>This</w:t>
      </w:r>
      <w:r>
        <w:rPr>
          <w:spacing w:val="-20"/>
        </w:rPr>
        <w:t> </w:t>
      </w:r>
      <w:r>
        <w:rPr/>
        <w:t>should</w:t>
      </w:r>
      <w:r>
        <w:rPr>
          <w:spacing w:val="-22"/>
        </w:rPr>
        <w:t> </w:t>
      </w:r>
      <w:r>
        <w:rPr/>
        <w:t>now</w:t>
      </w:r>
      <w:r>
        <w:rPr>
          <w:spacing w:val="-21"/>
        </w:rPr>
        <w:t> </w:t>
      </w:r>
      <w:r>
        <w:rPr/>
        <w:t>be</w:t>
      </w:r>
      <w:r>
        <w:rPr>
          <w:spacing w:val="-21"/>
        </w:rPr>
        <w:t> </w:t>
      </w:r>
      <w:r>
        <w:rPr/>
        <w:t>somewhat short</w:t>
      </w:r>
      <w:r>
        <w:rPr>
          <w:spacing w:val="-12"/>
        </w:rPr>
        <w:t> </w:t>
      </w:r>
      <w:r>
        <w:rPr/>
        <w:t>of</w:t>
      </w:r>
      <w:r>
        <w:rPr>
          <w:spacing w:val="-10"/>
        </w:rPr>
        <w:t> </w:t>
      </w:r>
      <w:r>
        <w:rPr/>
        <w:t>8.5</w:t>
      </w:r>
      <w:r>
        <w:rPr>
          <w:spacing w:val="-13"/>
        </w:rPr>
        <w:t> </w:t>
      </w:r>
      <w:r>
        <w:rPr/>
        <w:t>and</w:t>
      </w:r>
      <w:r>
        <w:rPr>
          <w:spacing w:val="-14"/>
        </w:rPr>
        <w:t> </w:t>
      </w:r>
      <w:r>
        <w:rPr/>
        <w:t>is</w:t>
      </w:r>
      <w:r>
        <w:rPr>
          <w:spacing w:val="-11"/>
        </w:rPr>
        <w:t> </w:t>
      </w:r>
      <w:r>
        <w:rPr/>
        <w:t>an</w:t>
      </w:r>
      <w:r>
        <w:rPr>
          <w:spacing w:val="-10"/>
        </w:rPr>
        <w:t> </w:t>
      </w:r>
      <w:r>
        <w:rPr/>
        <w:t>undeniable</w:t>
      </w:r>
      <w:r>
        <w:rPr>
          <w:spacing w:val="-12"/>
        </w:rPr>
        <w:t> </w:t>
      </w:r>
      <w:r>
        <w:rPr/>
        <w:t>indication</w:t>
      </w:r>
      <w:r>
        <w:rPr>
          <w:spacing w:val="-10"/>
        </w:rPr>
        <w:t> </w:t>
      </w:r>
      <w:r>
        <w:rPr/>
        <w:t>that</w:t>
      </w:r>
      <w:r>
        <w:rPr>
          <w:spacing w:val="-11"/>
        </w:rPr>
        <w:t> </w:t>
      </w:r>
      <w:r>
        <w:rPr/>
        <w:t>you</w:t>
      </w:r>
      <w:r>
        <w:rPr>
          <w:spacing w:val="-12"/>
        </w:rPr>
        <w:t> </w:t>
      </w:r>
      <w:r>
        <w:rPr/>
        <w:t>have</w:t>
      </w:r>
      <w:r>
        <w:rPr>
          <w:spacing w:val="-10"/>
        </w:rPr>
        <w:t> </w:t>
      </w:r>
      <w:r>
        <w:rPr/>
        <w:t>left</w:t>
      </w:r>
      <w:r>
        <w:rPr>
          <w:spacing w:val="-12"/>
        </w:rPr>
        <w:t> </w:t>
      </w:r>
      <w:r>
        <w:rPr/>
        <w:t>many</w:t>
      </w:r>
      <w:r>
        <w:rPr>
          <w:spacing w:val="-11"/>
        </w:rPr>
        <w:t> </w:t>
      </w:r>
      <w:r>
        <w:rPr/>
        <w:t>body</w:t>
      </w:r>
      <w:r>
        <w:rPr>
          <w:spacing w:val="-11"/>
        </w:rPr>
        <w:t> </w:t>
      </w:r>
      <w:r>
        <w:rPr/>
        <w:t>acids in the bath</w:t>
      </w:r>
      <w:r>
        <w:rPr>
          <w:spacing w:val="3"/>
        </w:rPr>
        <w:t> </w:t>
      </w:r>
      <w:r>
        <w:rPr/>
        <w:t>water!</w:t>
      </w:r>
    </w:p>
    <w:p>
      <w:pPr>
        <w:pStyle w:val="Heading1"/>
        <w:spacing w:before="222"/>
        <w:ind w:left="616"/>
      </w:pPr>
      <w:r>
        <w:rPr/>
        <w:t>Alkaline foot baths</w:t>
      </w:r>
    </w:p>
    <w:p>
      <w:pPr>
        <w:pStyle w:val="BodyText"/>
        <w:spacing w:line="276" w:lineRule="auto" w:before="299"/>
        <w:ind w:left="616" w:right="134"/>
        <w:jc w:val="both"/>
      </w:pPr>
      <w:r>
        <w:rPr/>
        <w:t>In the days between alkaline baths, it is recommended to take additional foot baths</w:t>
      </w:r>
      <w:r>
        <w:rPr>
          <w:spacing w:val="-13"/>
        </w:rPr>
        <w:t> </w:t>
      </w:r>
      <w:r>
        <w:rPr/>
        <w:t>which</w:t>
      </w:r>
      <w:r>
        <w:rPr>
          <w:spacing w:val="-13"/>
        </w:rPr>
        <w:t> </w:t>
      </w:r>
      <w:r>
        <w:rPr/>
        <w:t>increase</w:t>
      </w:r>
      <w:r>
        <w:rPr>
          <w:spacing w:val="-14"/>
        </w:rPr>
        <w:t> </w:t>
      </w:r>
      <w:r>
        <w:rPr/>
        <w:t>the</w:t>
      </w:r>
      <w:r>
        <w:rPr>
          <w:spacing w:val="-13"/>
        </w:rPr>
        <w:t> </w:t>
      </w:r>
      <w:r>
        <w:rPr/>
        <w:t>expulsion</w:t>
      </w:r>
      <w:r>
        <w:rPr>
          <w:spacing w:val="-13"/>
        </w:rPr>
        <w:t> </w:t>
      </w:r>
      <w:r>
        <w:rPr/>
        <w:t>of</w:t>
      </w:r>
      <w:r>
        <w:rPr>
          <w:spacing w:val="-14"/>
        </w:rPr>
        <w:t> </w:t>
      </w:r>
      <w:r>
        <w:rPr/>
        <w:t>acids</w:t>
      </w:r>
      <w:r>
        <w:rPr>
          <w:spacing w:val="-14"/>
        </w:rPr>
        <w:t> </w:t>
      </w:r>
      <w:r>
        <w:rPr/>
        <w:t>and</w:t>
      </w:r>
      <w:r>
        <w:rPr>
          <w:spacing w:val="-16"/>
        </w:rPr>
        <w:t> </w:t>
      </w:r>
      <w:r>
        <w:rPr/>
        <w:t>sludge</w:t>
      </w:r>
      <w:r>
        <w:rPr>
          <w:spacing w:val="-14"/>
        </w:rPr>
        <w:t> </w:t>
      </w:r>
      <w:r>
        <w:rPr/>
        <w:t>from</w:t>
      </w:r>
      <w:r>
        <w:rPr>
          <w:spacing w:val="-13"/>
        </w:rPr>
        <w:t> </w:t>
      </w:r>
      <w:r>
        <w:rPr/>
        <w:t>the</w:t>
      </w:r>
      <w:r>
        <w:rPr>
          <w:spacing w:val="-13"/>
        </w:rPr>
        <w:t> </w:t>
      </w:r>
      <w:r>
        <w:rPr/>
        <w:t>feet</w:t>
      </w:r>
      <w:r>
        <w:rPr>
          <w:spacing w:val="-14"/>
        </w:rPr>
        <w:t> </w:t>
      </w:r>
      <w:r>
        <w:rPr/>
        <w:t>and</w:t>
      </w:r>
      <w:r>
        <w:rPr>
          <w:spacing w:val="-14"/>
        </w:rPr>
        <w:t> </w:t>
      </w:r>
      <w:r>
        <w:rPr/>
        <w:t>lower legs.</w:t>
      </w:r>
      <w:r>
        <w:rPr>
          <w:spacing w:val="-19"/>
        </w:rPr>
        <w:t> </w:t>
      </w:r>
      <w:r>
        <w:rPr/>
        <w:t>For</w:t>
      </w:r>
      <w:r>
        <w:rPr>
          <w:spacing w:val="-19"/>
        </w:rPr>
        <w:t> </w:t>
      </w:r>
      <w:r>
        <w:rPr/>
        <w:t>this,</w:t>
      </w:r>
      <w:r>
        <w:rPr>
          <w:spacing w:val="-18"/>
        </w:rPr>
        <w:t> </w:t>
      </w:r>
      <w:r>
        <w:rPr/>
        <w:t>take</w:t>
      </w:r>
      <w:r>
        <w:rPr>
          <w:spacing w:val="-19"/>
        </w:rPr>
        <w:t> </w:t>
      </w:r>
      <w:r>
        <w:rPr/>
        <w:t>1</w:t>
      </w:r>
      <w:r>
        <w:rPr>
          <w:spacing w:val="-19"/>
        </w:rPr>
        <w:t> </w:t>
      </w:r>
      <w:r>
        <w:rPr/>
        <w:t>tablespoon</w:t>
      </w:r>
      <w:r>
        <w:rPr>
          <w:spacing w:val="-21"/>
        </w:rPr>
        <w:t> </w:t>
      </w:r>
      <w:r>
        <w:rPr/>
        <w:t>of</w:t>
      </w:r>
      <w:r>
        <w:rPr>
          <w:spacing w:val="-20"/>
        </w:rPr>
        <w:t> </w:t>
      </w:r>
      <w:r>
        <w:rPr/>
        <w:t>the</w:t>
      </w:r>
      <w:r>
        <w:rPr>
          <w:spacing w:val="-18"/>
        </w:rPr>
        <w:t> </w:t>
      </w:r>
      <w:r>
        <w:rPr/>
        <w:t>alkaline</w:t>
      </w:r>
      <w:r>
        <w:rPr>
          <w:spacing w:val="-19"/>
        </w:rPr>
        <w:t> </w:t>
      </w:r>
      <w:r>
        <w:rPr/>
        <w:t>preparation</w:t>
      </w:r>
      <w:r>
        <w:rPr>
          <w:spacing w:val="-18"/>
        </w:rPr>
        <w:t> </w:t>
      </w:r>
      <w:r>
        <w:rPr/>
        <w:t>as</w:t>
      </w:r>
      <w:r>
        <w:rPr>
          <w:spacing w:val="-19"/>
        </w:rPr>
        <w:t> </w:t>
      </w:r>
      <w:r>
        <w:rPr/>
        <w:t>stated</w:t>
      </w:r>
      <w:r>
        <w:rPr>
          <w:spacing w:val="-19"/>
        </w:rPr>
        <w:t> </w:t>
      </w:r>
      <w:r>
        <w:rPr/>
        <w:t>(see:</w:t>
      </w:r>
      <w:r>
        <w:rPr>
          <w:spacing w:val="-19"/>
        </w:rPr>
        <w:t> </w:t>
      </w:r>
      <w:r>
        <w:rPr/>
        <w:t>bath).</w:t>
      </w:r>
    </w:p>
    <w:p>
      <w:pPr>
        <w:pStyle w:val="Heading1"/>
        <w:spacing w:before="222"/>
        <w:ind w:left="616"/>
      </w:pPr>
      <w:r>
        <w:rPr/>
        <w:t>Alkaline body wrap</w:t>
      </w:r>
    </w:p>
    <w:p>
      <w:pPr>
        <w:pStyle w:val="BodyText"/>
        <w:spacing w:line="276" w:lineRule="auto" w:before="299"/>
        <w:ind w:left="616" w:right="139"/>
        <w:jc w:val="both"/>
      </w:pPr>
      <w:r>
        <w:rPr/>
        <w:t>Alkaline body wraps are a further clever way to externally accelerate the dea- cidification and detoxification of the body.</w:t>
      </w:r>
    </w:p>
    <w:p>
      <w:pPr>
        <w:pStyle w:val="BodyText"/>
        <w:spacing w:before="239"/>
        <w:ind w:left="616"/>
        <w:jc w:val="both"/>
      </w:pPr>
      <w:r>
        <w:rPr/>
        <w:t>You can find guidelines for wraps under this link: http://www.p-</w:t>
      </w:r>
    </w:p>
    <w:p>
      <w:pPr>
        <w:spacing w:after="0"/>
        <w:jc w:val="both"/>
        <w:sectPr>
          <w:footerReference w:type="default" r:id="rId507"/>
          <w:pgSz w:w="14270" w:h="16850"/>
          <w:pgMar w:footer="1891" w:header="0" w:top="1340" w:bottom="2080" w:left="800" w:right="1280"/>
          <w:pgNumType w:start="1880"/>
        </w:sectPr>
      </w:pPr>
    </w:p>
    <w:p>
      <w:pPr>
        <w:pStyle w:val="BodyText"/>
        <w:spacing w:line="276" w:lineRule="auto" w:before="72"/>
        <w:ind w:left="616" w:right="1022"/>
      </w:pPr>
      <w:r>
        <w:rPr/>
        <w:t>jentschura.com/de/produkte/alkawear-funktionswaesche/alkawear-ba- sischer-leibwickel/anwendung</w:t>
      </w:r>
    </w:p>
    <w:p>
      <w:pPr>
        <w:pStyle w:val="Heading1"/>
        <w:spacing w:before="223"/>
        <w:ind w:left="616"/>
        <w:jc w:val="both"/>
      </w:pPr>
      <w:r>
        <w:rPr/>
        <w:t>Alkaline body care (soap, lotions, shampoo etc.)</w:t>
      </w:r>
    </w:p>
    <w:p>
      <w:pPr>
        <w:pStyle w:val="BodyText"/>
        <w:spacing w:line="276" w:lineRule="auto" w:before="300"/>
        <w:ind w:left="616" w:right="133"/>
        <w:jc w:val="both"/>
      </w:pPr>
      <w:r>
        <w:rPr/>
        <w:t>One</w:t>
      </w:r>
      <w:r>
        <w:rPr>
          <w:spacing w:val="-7"/>
        </w:rPr>
        <w:t> </w:t>
      </w:r>
      <w:r>
        <w:rPr/>
        <w:t>of</w:t>
      </w:r>
      <w:r>
        <w:rPr>
          <w:spacing w:val="-7"/>
        </w:rPr>
        <w:t> </w:t>
      </w:r>
      <w:r>
        <w:rPr/>
        <w:t>the</w:t>
      </w:r>
      <w:r>
        <w:rPr>
          <w:spacing w:val="-6"/>
        </w:rPr>
        <w:t> </w:t>
      </w:r>
      <w:r>
        <w:rPr/>
        <w:t>biggest</w:t>
      </w:r>
      <w:r>
        <w:rPr>
          <w:spacing w:val="-8"/>
        </w:rPr>
        <w:t> </w:t>
      </w:r>
      <w:r>
        <w:rPr/>
        <w:t>misnomers</w:t>
      </w:r>
      <w:r>
        <w:rPr>
          <w:spacing w:val="-9"/>
        </w:rPr>
        <w:t> </w:t>
      </w:r>
      <w:r>
        <w:rPr/>
        <w:t>regarding</w:t>
      </w:r>
      <w:r>
        <w:rPr>
          <w:spacing w:val="-6"/>
        </w:rPr>
        <w:t> </w:t>
      </w:r>
      <w:r>
        <w:rPr/>
        <w:t>‘acids</w:t>
      </w:r>
      <w:r>
        <w:rPr>
          <w:spacing w:val="-6"/>
        </w:rPr>
        <w:t> </w:t>
      </w:r>
      <w:r>
        <w:rPr/>
        <w:t>and</w:t>
      </w:r>
      <w:r>
        <w:rPr>
          <w:spacing w:val="-7"/>
        </w:rPr>
        <w:t> </w:t>
      </w:r>
      <w:r>
        <w:rPr/>
        <w:t>bases’</w:t>
      </w:r>
      <w:r>
        <w:rPr>
          <w:spacing w:val="-6"/>
        </w:rPr>
        <w:t> </w:t>
      </w:r>
      <w:r>
        <w:rPr/>
        <w:t>today</w:t>
      </w:r>
      <w:r>
        <w:rPr>
          <w:spacing w:val="-6"/>
        </w:rPr>
        <w:t> </w:t>
      </w:r>
      <w:r>
        <w:rPr/>
        <w:t>is</w:t>
      </w:r>
      <w:r>
        <w:rPr>
          <w:spacing w:val="-6"/>
        </w:rPr>
        <w:t> </w:t>
      </w:r>
      <w:r>
        <w:rPr/>
        <w:t>the</w:t>
      </w:r>
      <w:r>
        <w:rPr>
          <w:spacing w:val="-8"/>
        </w:rPr>
        <w:t> </w:t>
      </w:r>
      <w:r>
        <w:rPr/>
        <w:t>scientif- ically invented myth of the skin’s ‘protective acid mantle’. Such a thing does definitively exist, but not to protect our skin, rather to protect against fungi and bacteria which only feel happy in acidic regions and can flourish</w:t>
      </w:r>
      <w:r>
        <w:rPr>
          <w:spacing w:val="-22"/>
        </w:rPr>
        <w:t> </w:t>
      </w:r>
      <w:r>
        <w:rPr/>
        <w:t>there!</w:t>
      </w:r>
    </w:p>
    <w:p>
      <w:pPr>
        <w:pStyle w:val="BodyText"/>
        <w:spacing w:line="276" w:lineRule="auto" w:before="239"/>
        <w:ind w:left="616" w:right="131"/>
        <w:jc w:val="both"/>
      </w:pPr>
      <w:r>
        <w:rPr/>
        <w:t>Acids</w:t>
      </w:r>
      <w:r>
        <w:rPr>
          <w:spacing w:val="-7"/>
        </w:rPr>
        <w:t> </w:t>
      </w:r>
      <w:r>
        <w:rPr/>
        <w:t>which</w:t>
      </w:r>
      <w:r>
        <w:rPr>
          <w:spacing w:val="-6"/>
        </w:rPr>
        <w:t> </w:t>
      </w:r>
      <w:r>
        <w:rPr/>
        <w:t>are</w:t>
      </w:r>
      <w:r>
        <w:rPr>
          <w:spacing w:val="-7"/>
        </w:rPr>
        <w:t> </w:t>
      </w:r>
      <w:r>
        <w:rPr/>
        <w:t>found</w:t>
      </w:r>
      <w:r>
        <w:rPr>
          <w:spacing w:val="-7"/>
        </w:rPr>
        <w:t> </w:t>
      </w:r>
      <w:r>
        <w:rPr/>
        <w:t>on</w:t>
      </w:r>
      <w:r>
        <w:rPr>
          <w:spacing w:val="-6"/>
        </w:rPr>
        <w:t> </w:t>
      </w:r>
      <w:r>
        <w:rPr/>
        <w:t>the</w:t>
      </w:r>
      <w:r>
        <w:rPr>
          <w:spacing w:val="-6"/>
        </w:rPr>
        <w:t> </w:t>
      </w:r>
      <w:r>
        <w:rPr/>
        <w:t>skin</w:t>
      </w:r>
      <w:r>
        <w:rPr>
          <w:spacing w:val="-7"/>
        </w:rPr>
        <w:t> </w:t>
      </w:r>
      <w:r>
        <w:rPr/>
        <w:t>and</w:t>
      </w:r>
      <w:r>
        <w:rPr>
          <w:spacing w:val="-7"/>
        </w:rPr>
        <w:t> </w:t>
      </w:r>
      <w:r>
        <w:rPr/>
        <w:t>unceremoniously</w:t>
      </w:r>
      <w:r>
        <w:rPr>
          <w:spacing w:val="-5"/>
        </w:rPr>
        <w:t> </w:t>
      </w:r>
      <w:r>
        <w:rPr/>
        <w:t>declared</w:t>
      </w:r>
      <w:r>
        <w:rPr>
          <w:spacing w:val="-6"/>
        </w:rPr>
        <w:t> </w:t>
      </w:r>
      <w:r>
        <w:rPr/>
        <w:t>as</w:t>
      </w:r>
      <w:r>
        <w:rPr>
          <w:spacing w:val="-7"/>
        </w:rPr>
        <w:t> </w:t>
      </w:r>
      <w:r>
        <w:rPr/>
        <w:t>the</w:t>
      </w:r>
      <w:r>
        <w:rPr>
          <w:spacing w:val="-6"/>
        </w:rPr>
        <w:t> </w:t>
      </w:r>
      <w:r>
        <w:rPr/>
        <w:t>skin’s ‘protective acid mantle’ are nothing more than acids expelled from the skin fulfilling its function as an ‘extra kidney’. However, using products which are acidic</w:t>
      </w:r>
      <w:r>
        <w:rPr>
          <w:spacing w:val="-26"/>
        </w:rPr>
        <w:t> </w:t>
      </w:r>
      <w:r>
        <w:rPr/>
        <w:t>themselves</w:t>
      </w:r>
      <w:r>
        <w:rPr>
          <w:spacing w:val="-23"/>
        </w:rPr>
        <w:t> </w:t>
      </w:r>
      <w:r>
        <w:rPr/>
        <w:t>here</w:t>
      </w:r>
      <w:r>
        <w:rPr>
          <w:spacing w:val="-25"/>
        </w:rPr>
        <w:t> </w:t>
      </w:r>
      <w:r>
        <w:rPr/>
        <w:t>drives</w:t>
      </w:r>
      <w:r>
        <w:rPr>
          <w:spacing w:val="-25"/>
        </w:rPr>
        <w:t> </w:t>
      </w:r>
      <w:r>
        <w:rPr/>
        <w:t>additional</w:t>
      </w:r>
      <w:r>
        <w:rPr>
          <w:spacing w:val="-25"/>
        </w:rPr>
        <w:t> </w:t>
      </w:r>
      <w:r>
        <w:rPr/>
        <w:t>acids</w:t>
      </w:r>
      <w:r>
        <w:rPr>
          <w:spacing w:val="-24"/>
        </w:rPr>
        <w:t> </w:t>
      </w:r>
      <w:r>
        <w:rPr/>
        <w:t>into</w:t>
      </w:r>
      <w:r>
        <w:rPr>
          <w:spacing w:val="-27"/>
        </w:rPr>
        <w:t> </w:t>
      </w:r>
      <w:r>
        <w:rPr/>
        <w:t>our</w:t>
      </w:r>
      <w:r>
        <w:rPr>
          <w:spacing w:val="-23"/>
        </w:rPr>
        <w:t> </w:t>
      </w:r>
      <w:r>
        <w:rPr/>
        <w:t>body</w:t>
      </w:r>
      <w:r>
        <w:rPr>
          <w:spacing w:val="-26"/>
        </w:rPr>
        <w:t> </w:t>
      </w:r>
      <w:r>
        <w:rPr/>
        <w:t>instead</w:t>
      </w:r>
      <w:r>
        <w:rPr>
          <w:spacing w:val="-25"/>
        </w:rPr>
        <w:t> </w:t>
      </w:r>
      <w:r>
        <w:rPr/>
        <w:t>of</w:t>
      </w:r>
      <w:r>
        <w:rPr>
          <w:spacing w:val="-26"/>
        </w:rPr>
        <w:t> </w:t>
      </w:r>
      <w:r>
        <w:rPr/>
        <w:t>expelling them!</w:t>
      </w:r>
    </w:p>
    <w:p>
      <w:pPr>
        <w:pStyle w:val="BodyText"/>
        <w:spacing w:line="276" w:lineRule="auto" w:before="242"/>
        <w:ind w:left="616" w:right="133"/>
        <w:jc w:val="both"/>
      </w:pPr>
      <w:r>
        <w:rPr/>
        <w:t>Soaps, lotions, shampoos and other body care products with a proven pH value of 5.8, for example, should therefore be avoided where possible, the value reversed and replaced with natural products from the health food shop with pH value of 8.5 or higher!</w:t>
      </w:r>
    </w:p>
    <w:p>
      <w:pPr>
        <w:pStyle w:val="BodyText"/>
        <w:spacing w:before="240"/>
        <w:ind w:left="616"/>
        <w:jc w:val="both"/>
      </w:pPr>
      <w:r>
        <w:rPr/>
        <w:t>Detoxify with fasting cures</w:t>
      </w:r>
    </w:p>
    <w:p>
      <w:pPr>
        <w:pStyle w:val="BodyText"/>
        <w:spacing w:line="276" w:lineRule="auto" w:before="304"/>
        <w:ind w:left="616" w:right="131"/>
        <w:jc w:val="both"/>
      </w:pPr>
      <w:r>
        <w:rPr/>
        <w:t>For those people who wish to detoxify and de-acidify their bodies with even greater</w:t>
      </w:r>
      <w:r>
        <w:rPr>
          <w:spacing w:val="-17"/>
        </w:rPr>
        <w:t> </w:t>
      </w:r>
      <w:r>
        <w:rPr/>
        <w:t>consistency,</w:t>
      </w:r>
      <w:r>
        <w:rPr>
          <w:spacing w:val="-16"/>
        </w:rPr>
        <w:t> </w:t>
      </w:r>
      <w:r>
        <w:rPr/>
        <w:t>fasting</w:t>
      </w:r>
      <w:r>
        <w:rPr>
          <w:spacing w:val="-16"/>
        </w:rPr>
        <w:t> </w:t>
      </w:r>
      <w:r>
        <w:rPr/>
        <w:t>cures</w:t>
      </w:r>
      <w:r>
        <w:rPr>
          <w:spacing w:val="-16"/>
        </w:rPr>
        <w:t> </w:t>
      </w:r>
      <w:r>
        <w:rPr/>
        <w:t>are</w:t>
      </w:r>
      <w:r>
        <w:rPr>
          <w:spacing w:val="-16"/>
        </w:rPr>
        <w:t> </w:t>
      </w:r>
      <w:r>
        <w:rPr/>
        <w:t>a</w:t>
      </w:r>
      <w:r>
        <w:rPr>
          <w:spacing w:val="-18"/>
        </w:rPr>
        <w:t> </w:t>
      </w:r>
      <w:r>
        <w:rPr/>
        <w:t>good</w:t>
      </w:r>
      <w:r>
        <w:rPr>
          <w:spacing w:val="-16"/>
        </w:rPr>
        <w:t> </w:t>
      </w:r>
      <w:r>
        <w:rPr/>
        <w:t>option.</w:t>
      </w:r>
      <w:r>
        <w:rPr>
          <w:spacing w:val="-16"/>
        </w:rPr>
        <w:t> </w:t>
      </w:r>
      <w:r>
        <w:rPr/>
        <w:t>Temporarily</w:t>
      </w:r>
      <w:r>
        <w:rPr>
          <w:spacing w:val="-19"/>
        </w:rPr>
        <w:t> </w:t>
      </w:r>
      <w:r>
        <w:rPr/>
        <w:t>foregoing</w:t>
      </w:r>
      <w:r>
        <w:rPr>
          <w:spacing w:val="-16"/>
        </w:rPr>
        <w:t> </w:t>
      </w:r>
      <w:r>
        <w:rPr/>
        <w:t>the consumption of solid nutrition supports the detoxifying organs in their</w:t>
      </w:r>
      <w:r>
        <w:rPr>
          <w:spacing w:val="-18"/>
        </w:rPr>
        <w:t> </w:t>
      </w:r>
      <w:r>
        <w:rPr/>
        <w:t>work.</w:t>
      </w:r>
    </w:p>
    <w:p>
      <w:pPr>
        <w:spacing w:after="0" w:line="276" w:lineRule="auto"/>
        <w:jc w:val="both"/>
        <w:sectPr>
          <w:pgSz w:w="14270" w:h="16850"/>
          <w:pgMar w:header="0" w:footer="1891" w:top="1340" w:bottom="2080" w:left="800" w:right="1280"/>
        </w:sectPr>
      </w:pPr>
    </w:p>
    <w:p>
      <w:pPr>
        <w:pStyle w:val="Heading1"/>
        <w:spacing w:before="75"/>
        <w:ind w:left="616"/>
      </w:pPr>
      <w:r>
        <w:rPr/>
        <w:t>The benefits of fasting cures</w:t>
      </w:r>
    </w:p>
    <w:p>
      <w:pPr>
        <w:pStyle w:val="BodyText"/>
        <w:spacing w:line="276" w:lineRule="auto" w:before="299"/>
        <w:ind w:left="616" w:right="133"/>
        <w:jc w:val="both"/>
      </w:pPr>
      <w:r>
        <w:rPr/>
        <w:t>Fasting cures concern the most efficient method of detoxifying and de-acidi- fying</w:t>
      </w:r>
      <w:r>
        <w:rPr>
          <w:spacing w:val="-12"/>
        </w:rPr>
        <w:t> </w:t>
      </w:r>
      <w:r>
        <w:rPr/>
        <w:t>the</w:t>
      </w:r>
      <w:r>
        <w:rPr>
          <w:spacing w:val="-13"/>
        </w:rPr>
        <w:t> </w:t>
      </w:r>
      <w:r>
        <w:rPr/>
        <w:t>organism</w:t>
      </w:r>
      <w:r>
        <w:rPr>
          <w:spacing w:val="-12"/>
        </w:rPr>
        <w:t> </w:t>
      </w:r>
      <w:r>
        <w:rPr/>
        <w:t>in</w:t>
      </w:r>
      <w:r>
        <w:rPr>
          <w:spacing w:val="-12"/>
        </w:rPr>
        <w:t> </w:t>
      </w:r>
      <w:r>
        <w:rPr/>
        <w:t>the</w:t>
      </w:r>
      <w:r>
        <w:rPr>
          <w:spacing w:val="-14"/>
        </w:rPr>
        <w:t> </w:t>
      </w:r>
      <w:r>
        <w:rPr/>
        <w:t>shortest</w:t>
      </w:r>
      <w:r>
        <w:rPr>
          <w:spacing w:val="-14"/>
        </w:rPr>
        <w:t> </w:t>
      </w:r>
      <w:r>
        <w:rPr/>
        <w:t>period</w:t>
      </w:r>
      <w:r>
        <w:rPr>
          <w:spacing w:val="-14"/>
        </w:rPr>
        <w:t> </w:t>
      </w:r>
      <w:r>
        <w:rPr/>
        <w:t>of</w:t>
      </w:r>
      <w:r>
        <w:rPr>
          <w:spacing w:val="-11"/>
        </w:rPr>
        <w:t> </w:t>
      </w:r>
      <w:r>
        <w:rPr/>
        <w:t>time</w:t>
      </w:r>
      <w:r>
        <w:rPr>
          <w:spacing w:val="-12"/>
        </w:rPr>
        <w:t> </w:t>
      </w:r>
      <w:r>
        <w:rPr/>
        <w:t>–</w:t>
      </w:r>
      <w:r>
        <w:rPr>
          <w:spacing w:val="-13"/>
        </w:rPr>
        <w:t> </w:t>
      </w:r>
      <w:r>
        <w:rPr/>
        <w:t>providing</w:t>
      </w:r>
      <w:r>
        <w:rPr>
          <w:spacing w:val="-11"/>
        </w:rPr>
        <w:t> </w:t>
      </w:r>
      <w:r>
        <w:rPr/>
        <w:t>you</w:t>
      </w:r>
      <w:r>
        <w:rPr>
          <w:spacing w:val="-15"/>
        </w:rPr>
        <w:t> </w:t>
      </w:r>
      <w:r>
        <w:rPr/>
        <w:t>with</w:t>
      </w:r>
      <w:r>
        <w:rPr>
          <w:spacing w:val="-11"/>
        </w:rPr>
        <w:t> </w:t>
      </w:r>
      <w:r>
        <w:rPr/>
        <w:t>the</w:t>
      </w:r>
      <w:r>
        <w:rPr>
          <w:spacing w:val="-11"/>
        </w:rPr>
        <w:t> </w:t>
      </w:r>
      <w:r>
        <w:rPr/>
        <w:t>best possibility</w:t>
      </w:r>
      <w:r>
        <w:rPr>
          <w:spacing w:val="-18"/>
        </w:rPr>
        <w:t> </w:t>
      </w:r>
      <w:r>
        <w:rPr/>
        <w:t>of</w:t>
      </w:r>
      <w:r>
        <w:rPr>
          <w:spacing w:val="-15"/>
        </w:rPr>
        <w:t> </w:t>
      </w:r>
      <w:r>
        <w:rPr/>
        <w:t>gliding</w:t>
      </w:r>
      <w:r>
        <w:rPr>
          <w:spacing w:val="-16"/>
        </w:rPr>
        <w:t> </w:t>
      </w:r>
      <w:r>
        <w:rPr/>
        <w:t>unburdened</w:t>
      </w:r>
      <w:r>
        <w:rPr>
          <w:spacing w:val="-16"/>
        </w:rPr>
        <w:t> </w:t>
      </w:r>
      <w:r>
        <w:rPr/>
        <w:t>into</w:t>
      </w:r>
      <w:r>
        <w:rPr>
          <w:spacing w:val="-16"/>
        </w:rPr>
        <w:t> </w:t>
      </w:r>
      <w:r>
        <w:rPr/>
        <w:t>a</w:t>
      </w:r>
      <w:r>
        <w:rPr>
          <w:spacing w:val="-17"/>
        </w:rPr>
        <w:t> </w:t>
      </w:r>
      <w:r>
        <w:rPr/>
        <w:t>new,</w:t>
      </w:r>
      <w:r>
        <w:rPr>
          <w:spacing w:val="-17"/>
        </w:rPr>
        <w:t> </w:t>
      </w:r>
      <w:r>
        <w:rPr/>
        <w:t>poison-and-sludge-free</w:t>
      </w:r>
      <w:r>
        <w:rPr>
          <w:spacing w:val="-15"/>
        </w:rPr>
        <w:t> </w:t>
      </w:r>
      <w:r>
        <w:rPr/>
        <w:t>life.</w:t>
      </w:r>
      <w:r>
        <w:rPr>
          <w:spacing w:val="-17"/>
        </w:rPr>
        <w:t> </w:t>
      </w:r>
      <w:r>
        <w:rPr/>
        <w:t>Even if you do not want to introduce regular fasting cures, it is still a perfect start, for</w:t>
      </w:r>
      <w:r>
        <w:rPr>
          <w:spacing w:val="-18"/>
        </w:rPr>
        <w:t> </w:t>
      </w:r>
      <w:r>
        <w:rPr/>
        <w:t>example</w:t>
      </w:r>
      <w:r>
        <w:rPr>
          <w:spacing w:val="-18"/>
        </w:rPr>
        <w:t> </w:t>
      </w:r>
      <w:r>
        <w:rPr/>
        <w:t>in</w:t>
      </w:r>
      <w:r>
        <w:rPr>
          <w:spacing w:val="-18"/>
        </w:rPr>
        <w:t> </w:t>
      </w:r>
      <w:r>
        <w:rPr/>
        <w:t>your</w:t>
      </w:r>
      <w:r>
        <w:rPr>
          <w:spacing w:val="-19"/>
        </w:rPr>
        <w:t> </w:t>
      </w:r>
      <w:r>
        <w:rPr/>
        <w:t>hair</w:t>
      </w:r>
      <w:r>
        <w:rPr>
          <w:spacing w:val="-18"/>
        </w:rPr>
        <w:t> </w:t>
      </w:r>
      <w:r>
        <w:rPr/>
        <w:t>loss</w:t>
      </w:r>
      <w:r>
        <w:rPr>
          <w:spacing w:val="-18"/>
        </w:rPr>
        <w:t> </w:t>
      </w:r>
      <w:r>
        <w:rPr/>
        <w:t>treatment!</w:t>
      </w:r>
      <w:r>
        <w:rPr>
          <w:spacing w:val="-18"/>
        </w:rPr>
        <w:t> </w:t>
      </w:r>
      <w:r>
        <w:rPr/>
        <w:t>Fasting</w:t>
      </w:r>
      <w:r>
        <w:rPr>
          <w:spacing w:val="-17"/>
        </w:rPr>
        <w:t> </w:t>
      </w:r>
      <w:r>
        <w:rPr/>
        <w:t>cures</w:t>
      </w:r>
      <w:r>
        <w:rPr>
          <w:spacing w:val="-18"/>
        </w:rPr>
        <w:t> </w:t>
      </w:r>
      <w:r>
        <w:rPr/>
        <w:t>should</w:t>
      </w:r>
      <w:r>
        <w:rPr>
          <w:spacing w:val="-19"/>
        </w:rPr>
        <w:t> </w:t>
      </w:r>
      <w:r>
        <w:rPr/>
        <w:t>be</w:t>
      </w:r>
      <w:r>
        <w:rPr>
          <w:spacing w:val="-19"/>
        </w:rPr>
        <w:t> </w:t>
      </w:r>
      <w:r>
        <w:rPr/>
        <w:t>done</w:t>
      </w:r>
      <w:r>
        <w:rPr>
          <w:spacing w:val="-17"/>
        </w:rPr>
        <w:t> </w:t>
      </w:r>
      <w:r>
        <w:rPr/>
        <w:t>regularly, at least once or twice a year. The duration of the fasting cure lasts from seven to a maximum of ten</w:t>
      </w:r>
      <w:r>
        <w:rPr>
          <w:spacing w:val="-1"/>
        </w:rPr>
        <w:t> </w:t>
      </w:r>
      <w:r>
        <w:rPr/>
        <w:t>days.</w:t>
      </w:r>
    </w:p>
    <w:p>
      <w:pPr>
        <w:pStyle w:val="Heading1"/>
        <w:spacing w:before="223"/>
        <w:ind w:left="616"/>
        <w:jc w:val="both"/>
      </w:pPr>
      <w:r>
        <w:rPr/>
        <w:t>Fasting cure contraindications</w:t>
      </w:r>
    </w:p>
    <w:p>
      <w:pPr>
        <w:pStyle w:val="BodyText"/>
        <w:spacing w:before="302"/>
        <w:ind w:left="616"/>
        <w:jc w:val="both"/>
      </w:pPr>
      <w:r>
        <w:rPr/>
        <w:t>You should consult your GP first if:</w:t>
      </w:r>
    </w:p>
    <w:p>
      <w:pPr>
        <w:pStyle w:val="ListParagraph"/>
        <w:numPr>
          <w:ilvl w:val="0"/>
          <w:numId w:val="138"/>
        </w:numPr>
        <w:tabs>
          <w:tab w:pos="1329" w:val="left" w:leader="none"/>
          <w:tab w:pos="1330" w:val="left" w:leader="none"/>
        </w:tabs>
        <w:spacing w:line="240" w:lineRule="auto" w:before="263" w:after="0"/>
        <w:ind w:left="1329" w:right="0" w:hanging="355"/>
        <w:jc w:val="left"/>
        <w:rPr>
          <w:sz w:val="38"/>
        </w:rPr>
      </w:pPr>
      <w:r>
        <w:rPr>
          <w:sz w:val="38"/>
        </w:rPr>
        <w:t>you suffer from metabolic diseases such as diabetes, gout</w:t>
      </w:r>
      <w:r>
        <w:rPr>
          <w:spacing w:val="-4"/>
          <w:sz w:val="38"/>
        </w:rPr>
        <w:t> </w:t>
      </w:r>
      <w:r>
        <w:rPr>
          <w:sz w:val="38"/>
        </w:rPr>
        <w:t>etc.</w:t>
      </w:r>
    </w:p>
    <w:p>
      <w:pPr>
        <w:pStyle w:val="ListParagraph"/>
        <w:numPr>
          <w:ilvl w:val="0"/>
          <w:numId w:val="138"/>
        </w:numPr>
        <w:tabs>
          <w:tab w:pos="1329" w:val="left" w:leader="none"/>
          <w:tab w:pos="1330" w:val="left" w:leader="none"/>
        </w:tabs>
        <w:spacing w:line="240" w:lineRule="auto" w:before="183" w:after="0"/>
        <w:ind w:left="1329" w:right="0" w:hanging="355"/>
        <w:jc w:val="left"/>
        <w:rPr>
          <w:sz w:val="38"/>
        </w:rPr>
      </w:pPr>
      <w:r>
        <w:rPr>
          <w:sz w:val="38"/>
        </w:rPr>
        <w:t>you suffer from a serious psychological</w:t>
      </w:r>
      <w:r>
        <w:rPr>
          <w:spacing w:val="-4"/>
          <w:sz w:val="38"/>
        </w:rPr>
        <w:t> </w:t>
      </w:r>
      <w:r>
        <w:rPr>
          <w:sz w:val="38"/>
        </w:rPr>
        <w:t>disorder</w:t>
      </w:r>
    </w:p>
    <w:p>
      <w:pPr>
        <w:pStyle w:val="ListParagraph"/>
        <w:numPr>
          <w:ilvl w:val="0"/>
          <w:numId w:val="138"/>
        </w:numPr>
        <w:tabs>
          <w:tab w:pos="1329" w:val="left" w:leader="none"/>
          <w:tab w:pos="1330" w:val="left" w:leader="none"/>
        </w:tabs>
        <w:spacing w:line="240" w:lineRule="auto" w:before="187" w:after="0"/>
        <w:ind w:left="1329" w:right="0" w:hanging="355"/>
        <w:jc w:val="left"/>
        <w:rPr>
          <w:sz w:val="38"/>
        </w:rPr>
      </w:pPr>
      <w:r>
        <w:rPr>
          <w:sz w:val="38"/>
        </w:rPr>
        <w:t>you are either over 70 or under</w:t>
      </w:r>
      <w:r>
        <w:rPr>
          <w:spacing w:val="1"/>
          <w:sz w:val="38"/>
        </w:rPr>
        <w:t> </w:t>
      </w:r>
      <w:r>
        <w:rPr>
          <w:sz w:val="38"/>
        </w:rPr>
        <w:t>20</w:t>
      </w:r>
    </w:p>
    <w:p>
      <w:pPr>
        <w:pStyle w:val="ListParagraph"/>
        <w:numPr>
          <w:ilvl w:val="0"/>
          <w:numId w:val="138"/>
        </w:numPr>
        <w:tabs>
          <w:tab w:pos="1329" w:val="left" w:leader="none"/>
          <w:tab w:pos="1330" w:val="left" w:leader="none"/>
        </w:tabs>
        <w:spacing w:line="240" w:lineRule="auto" w:before="184" w:after="0"/>
        <w:ind w:left="1329" w:right="0" w:hanging="355"/>
        <w:jc w:val="left"/>
        <w:rPr>
          <w:sz w:val="38"/>
        </w:rPr>
      </w:pPr>
      <w:r>
        <w:rPr>
          <w:sz w:val="38"/>
        </w:rPr>
        <w:t>you are pregnant</w:t>
      </w:r>
    </w:p>
    <w:p>
      <w:pPr>
        <w:pStyle w:val="ListParagraph"/>
        <w:numPr>
          <w:ilvl w:val="0"/>
          <w:numId w:val="138"/>
        </w:numPr>
        <w:tabs>
          <w:tab w:pos="1329" w:val="left" w:leader="none"/>
          <w:tab w:pos="1330" w:val="left" w:leader="none"/>
        </w:tabs>
        <w:spacing w:line="240" w:lineRule="auto" w:before="183" w:after="0"/>
        <w:ind w:left="1329" w:right="0" w:hanging="355"/>
        <w:jc w:val="left"/>
        <w:rPr>
          <w:sz w:val="38"/>
        </w:rPr>
      </w:pPr>
      <w:r>
        <w:rPr>
          <w:sz w:val="38"/>
        </w:rPr>
        <w:t>you are breastfeeding</w:t>
      </w:r>
    </w:p>
    <w:p>
      <w:pPr>
        <w:pStyle w:val="ListParagraph"/>
        <w:numPr>
          <w:ilvl w:val="0"/>
          <w:numId w:val="138"/>
        </w:numPr>
        <w:tabs>
          <w:tab w:pos="1329" w:val="left" w:leader="none"/>
          <w:tab w:pos="1330" w:val="left" w:leader="none"/>
        </w:tabs>
        <w:spacing w:line="240" w:lineRule="auto" w:before="184" w:after="0"/>
        <w:ind w:left="1329" w:right="0" w:hanging="355"/>
        <w:jc w:val="left"/>
        <w:rPr>
          <w:sz w:val="38"/>
        </w:rPr>
      </w:pPr>
      <w:r>
        <w:rPr>
          <w:sz w:val="38"/>
        </w:rPr>
        <w:t>you suffer from a chronic</w:t>
      </w:r>
      <w:r>
        <w:rPr>
          <w:spacing w:val="-1"/>
          <w:sz w:val="38"/>
        </w:rPr>
        <w:t> </w:t>
      </w:r>
      <w:r>
        <w:rPr>
          <w:sz w:val="38"/>
        </w:rPr>
        <w:t>disease</w:t>
      </w:r>
    </w:p>
    <w:p>
      <w:pPr>
        <w:pStyle w:val="ListParagraph"/>
        <w:numPr>
          <w:ilvl w:val="0"/>
          <w:numId w:val="138"/>
        </w:numPr>
        <w:tabs>
          <w:tab w:pos="1329" w:val="left" w:leader="none"/>
          <w:tab w:pos="1330" w:val="left" w:leader="none"/>
        </w:tabs>
        <w:spacing w:line="240" w:lineRule="auto" w:before="183" w:after="0"/>
        <w:ind w:left="1329" w:right="0" w:hanging="355"/>
        <w:jc w:val="left"/>
        <w:rPr>
          <w:sz w:val="38"/>
        </w:rPr>
      </w:pPr>
      <w:r>
        <w:rPr>
          <w:sz w:val="38"/>
        </w:rPr>
        <w:t>you have to take regular</w:t>
      </w:r>
      <w:r>
        <w:rPr>
          <w:spacing w:val="-1"/>
          <w:sz w:val="38"/>
        </w:rPr>
        <w:t> </w:t>
      </w:r>
      <w:r>
        <w:rPr>
          <w:sz w:val="38"/>
        </w:rPr>
        <w:t>medicine</w:t>
      </w:r>
    </w:p>
    <w:p>
      <w:pPr>
        <w:pStyle w:val="ListParagraph"/>
        <w:numPr>
          <w:ilvl w:val="0"/>
          <w:numId w:val="138"/>
        </w:numPr>
        <w:tabs>
          <w:tab w:pos="1329" w:val="left" w:leader="none"/>
          <w:tab w:pos="1330" w:val="left" w:leader="none"/>
        </w:tabs>
        <w:spacing w:line="240" w:lineRule="auto" w:before="186" w:after="0"/>
        <w:ind w:left="1329" w:right="0" w:hanging="355"/>
        <w:jc w:val="left"/>
        <w:rPr>
          <w:sz w:val="38"/>
        </w:rPr>
      </w:pPr>
      <w:r>
        <w:rPr>
          <w:sz w:val="38"/>
        </w:rPr>
        <w:t>you suffer from an eating</w:t>
      </w:r>
      <w:r>
        <w:rPr>
          <w:spacing w:val="-3"/>
          <w:sz w:val="38"/>
        </w:rPr>
        <w:t> </w:t>
      </w:r>
      <w:r>
        <w:rPr>
          <w:sz w:val="38"/>
        </w:rPr>
        <w:t>disorder</w:t>
      </w:r>
    </w:p>
    <w:p>
      <w:pPr>
        <w:pStyle w:val="ListParagraph"/>
        <w:numPr>
          <w:ilvl w:val="0"/>
          <w:numId w:val="138"/>
        </w:numPr>
        <w:tabs>
          <w:tab w:pos="1329" w:val="left" w:leader="none"/>
          <w:tab w:pos="1330" w:val="left" w:leader="none"/>
        </w:tabs>
        <w:spacing w:line="240" w:lineRule="auto" w:before="185" w:after="0"/>
        <w:ind w:left="1329" w:right="0" w:hanging="355"/>
        <w:jc w:val="left"/>
        <w:rPr>
          <w:sz w:val="38"/>
        </w:rPr>
      </w:pPr>
      <w:r>
        <w:rPr>
          <w:sz w:val="38"/>
        </w:rPr>
        <w:t>you have a very sensitive</w:t>
      </w:r>
      <w:r>
        <w:rPr>
          <w:spacing w:val="-2"/>
          <w:sz w:val="38"/>
        </w:rPr>
        <w:t> </w:t>
      </w:r>
      <w:r>
        <w:rPr>
          <w:sz w:val="38"/>
        </w:rPr>
        <w:t>stomach</w:t>
      </w:r>
    </w:p>
    <w:p>
      <w:pPr>
        <w:pStyle w:val="ListParagraph"/>
        <w:numPr>
          <w:ilvl w:val="0"/>
          <w:numId w:val="138"/>
        </w:numPr>
        <w:tabs>
          <w:tab w:pos="1329" w:val="left" w:leader="none"/>
          <w:tab w:pos="1330" w:val="left" w:leader="none"/>
        </w:tabs>
        <w:spacing w:line="240" w:lineRule="auto" w:before="183" w:after="0"/>
        <w:ind w:left="1329" w:right="0" w:hanging="355"/>
        <w:jc w:val="left"/>
        <w:rPr>
          <w:sz w:val="38"/>
        </w:rPr>
      </w:pPr>
      <w:r>
        <w:rPr>
          <w:sz w:val="38"/>
        </w:rPr>
        <w:t>you suffer from a vascular</w:t>
      </w:r>
      <w:r>
        <w:rPr>
          <w:spacing w:val="-1"/>
          <w:sz w:val="38"/>
        </w:rPr>
        <w:t> </w:t>
      </w:r>
      <w:r>
        <w:rPr>
          <w:sz w:val="38"/>
        </w:rPr>
        <w:t>disorder</w:t>
      </w:r>
    </w:p>
    <w:p>
      <w:pPr>
        <w:spacing w:after="0" w:line="240" w:lineRule="auto"/>
        <w:jc w:val="left"/>
        <w:rPr>
          <w:sz w:val="38"/>
        </w:rPr>
        <w:sectPr>
          <w:pgSz w:w="14270" w:h="16850"/>
          <w:pgMar w:header="0" w:footer="1891" w:top="1320" w:bottom="2080" w:left="800" w:right="1280"/>
        </w:sectPr>
      </w:pPr>
    </w:p>
    <w:p>
      <w:pPr>
        <w:pStyle w:val="ListParagraph"/>
        <w:numPr>
          <w:ilvl w:val="0"/>
          <w:numId w:val="138"/>
        </w:numPr>
        <w:tabs>
          <w:tab w:pos="1329" w:val="left" w:leader="none"/>
          <w:tab w:pos="1330" w:val="left" w:leader="none"/>
        </w:tabs>
        <w:spacing w:line="240" w:lineRule="auto" w:before="53" w:after="0"/>
        <w:ind w:left="1329" w:right="0" w:hanging="355"/>
        <w:jc w:val="left"/>
        <w:rPr>
          <w:sz w:val="38"/>
        </w:rPr>
      </w:pPr>
      <w:r>
        <w:rPr>
          <w:sz w:val="38"/>
        </w:rPr>
        <w:t>you have or have had</w:t>
      </w:r>
      <w:r>
        <w:rPr>
          <w:spacing w:val="1"/>
          <w:sz w:val="38"/>
        </w:rPr>
        <w:t> </w:t>
      </w:r>
      <w:r>
        <w:rPr>
          <w:sz w:val="38"/>
        </w:rPr>
        <w:t>cancer.</w:t>
      </w:r>
    </w:p>
    <w:p>
      <w:pPr>
        <w:pStyle w:val="Heading1"/>
        <w:spacing w:before="290"/>
        <w:ind w:left="712"/>
      </w:pPr>
      <w:r>
        <w:rPr/>
        <w:t>Guidelines for fasting cures</w:t>
      </w:r>
    </w:p>
    <w:p>
      <w:pPr>
        <w:pStyle w:val="BodyText"/>
        <w:spacing w:before="297"/>
        <w:ind w:left="712"/>
      </w:pPr>
      <w:r>
        <w:rPr/>
        <w:t>A few basic principles for fasting cures:</w:t>
      </w:r>
    </w:p>
    <w:p>
      <w:pPr>
        <w:pStyle w:val="ListParagraph"/>
        <w:numPr>
          <w:ilvl w:val="0"/>
          <w:numId w:val="138"/>
        </w:numPr>
        <w:tabs>
          <w:tab w:pos="1330" w:val="left" w:leader="none"/>
        </w:tabs>
        <w:spacing w:line="273" w:lineRule="auto" w:before="265" w:after="0"/>
        <w:ind w:left="1329" w:right="135" w:hanging="355"/>
        <w:jc w:val="both"/>
        <w:rPr>
          <w:sz w:val="38"/>
        </w:rPr>
      </w:pPr>
      <w:r>
        <w:rPr>
          <w:sz w:val="38"/>
        </w:rPr>
        <w:t>A</w:t>
      </w:r>
      <w:r>
        <w:rPr>
          <w:spacing w:val="-11"/>
          <w:sz w:val="38"/>
        </w:rPr>
        <w:t> </w:t>
      </w:r>
      <w:r>
        <w:rPr>
          <w:sz w:val="38"/>
        </w:rPr>
        <w:t>fasting</w:t>
      </w:r>
      <w:r>
        <w:rPr>
          <w:spacing w:val="-8"/>
          <w:sz w:val="38"/>
        </w:rPr>
        <w:t> </w:t>
      </w:r>
      <w:r>
        <w:rPr>
          <w:sz w:val="38"/>
        </w:rPr>
        <w:t>cure</w:t>
      </w:r>
      <w:r>
        <w:rPr>
          <w:spacing w:val="-11"/>
          <w:sz w:val="38"/>
        </w:rPr>
        <w:t> </w:t>
      </w:r>
      <w:r>
        <w:rPr>
          <w:sz w:val="38"/>
        </w:rPr>
        <w:t>should</w:t>
      </w:r>
      <w:r>
        <w:rPr>
          <w:spacing w:val="-11"/>
          <w:sz w:val="38"/>
        </w:rPr>
        <w:t> </w:t>
      </w:r>
      <w:r>
        <w:rPr>
          <w:sz w:val="38"/>
        </w:rPr>
        <w:t>last</w:t>
      </w:r>
      <w:r>
        <w:rPr>
          <w:spacing w:val="-10"/>
          <w:sz w:val="38"/>
        </w:rPr>
        <w:t> </w:t>
      </w:r>
      <w:r>
        <w:rPr>
          <w:sz w:val="38"/>
        </w:rPr>
        <w:t>approx.</w:t>
      </w:r>
      <w:r>
        <w:rPr>
          <w:spacing w:val="-8"/>
          <w:sz w:val="38"/>
        </w:rPr>
        <w:t> </w:t>
      </w:r>
      <w:r>
        <w:rPr>
          <w:sz w:val="38"/>
        </w:rPr>
        <w:t>seven</w:t>
      </w:r>
      <w:r>
        <w:rPr>
          <w:spacing w:val="-11"/>
          <w:sz w:val="38"/>
        </w:rPr>
        <w:t> </w:t>
      </w:r>
      <w:r>
        <w:rPr>
          <w:sz w:val="38"/>
        </w:rPr>
        <w:t>to</w:t>
      </w:r>
      <w:r>
        <w:rPr>
          <w:spacing w:val="-9"/>
          <w:sz w:val="38"/>
        </w:rPr>
        <w:t> </w:t>
      </w:r>
      <w:r>
        <w:rPr>
          <w:sz w:val="38"/>
        </w:rPr>
        <w:t>ten</w:t>
      </w:r>
      <w:r>
        <w:rPr>
          <w:spacing w:val="-9"/>
          <w:sz w:val="38"/>
        </w:rPr>
        <w:t> </w:t>
      </w:r>
      <w:r>
        <w:rPr>
          <w:sz w:val="38"/>
        </w:rPr>
        <w:t>days</w:t>
      </w:r>
      <w:r>
        <w:rPr>
          <w:spacing w:val="-9"/>
          <w:sz w:val="38"/>
        </w:rPr>
        <w:t> </w:t>
      </w:r>
      <w:r>
        <w:rPr>
          <w:sz w:val="38"/>
        </w:rPr>
        <w:t>and</w:t>
      </w:r>
      <w:r>
        <w:rPr>
          <w:spacing w:val="-10"/>
          <w:sz w:val="38"/>
        </w:rPr>
        <w:t> </w:t>
      </w:r>
      <w:r>
        <w:rPr>
          <w:sz w:val="38"/>
        </w:rPr>
        <w:t>should</w:t>
      </w:r>
      <w:r>
        <w:rPr>
          <w:spacing w:val="-10"/>
          <w:sz w:val="38"/>
        </w:rPr>
        <w:t> </w:t>
      </w:r>
      <w:r>
        <w:rPr>
          <w:sz w:val="38"/>
        </w:rPr>
        <w:t>be</w:t>
      </w:r>
      <w:r>
        <w:rPr>
          <w:spacing w:val="-9"/>
          <w:sz w:val="38"/>
        </w:rPr>
        <w:t> </w:t>
      </w:r>
      <w:r>
        <w:rPr>
          <w:sz w:val="38"/>
        </w:rPr>
        <w:t>carried out twice a year (ideally in the spring and</w:t>
      </w:r>
      <w:r>
        <w:rPr>
          <w:spacing w:val="1"/>
          <w:sz w:val="38"/>
        </w:rPr>
        <w:t> </w:t>
      </w:r>
      <w:r>
        <w:rPr>
          <w:sz w:val="38"/>
        </w:rPr>
        <w:t>autumn).</w:t>
      </w:r>
    </w:p>
    <w:p>
      <w:pPr>
        <w:pStyle w:val="ListParagraph"/>
        <w:numPr>
          <w:ilvl w:val="0"/>
          <w:numId w:val="138"/>
        </w:numPr>
        <w:tabs>
          <w:tab w:pos="1330" w:val="left" w:leader="none"/>
        </w:tabs>
        <w:spacing w:line="273" w:lineRule="auto" w:before="127" w:after="0"/>
        <w:ind w:left="1329" w:right="137" w:hanging="355"/>
        <w:jc w:val="both"/>
        <w:rPr>
          <w:sz w:val="38"/>
        </w:rPr>
      </w:pPr>
      <w:r>
        <w:rPr>
          <w:sz w:val="38"/>
        </w:rPr>
        <w:t>A fasting cure consists of three easing-in days, six full fasting days and then three building-up</w:t>
      </w:r>
      <w:r>
        <w:rPr>
          <w:spacing w:val="1"/>
          <w:sz w:val="38"/>
        </w:rPr>
        <w:t> </w:t>
      </w:r>
      <w:r>
        <w:rPr>
          <w:sz w:val="38"/>
        </w:rPr>
        <w:t>days.</w:t>
      </w:r>
    </w:p>
    <w:p>
      <w:pPr>
        <w:pStyle w:val="ListParagraph"/>
        <w:numPr>
          <w:ilvl w:val="0"/>
          <w:numId w:val="138"/>
        </w:numPr>
        <w:tabs>
          <w:tab w:pos="1330" w:val="left" w:leader="none"/>
        </w:tabs>
        <w:spacing w:line="276" w:lineRule="auto" w:before="128" w:after="0"/>
        <w:ind w:left="1329" w:right="140" w:hanging="355"/>
        <w:jc w:val="both"/>
        <w:rPr>
          <w:sz w:val="38"/>
        </w:rPr>
      </w:pPr>
      <w:r>
        <w:rPr>
          <w:sz w:val="38"/>
        </w:rPr>
        <w:t>During</w:t>
      </w:r>
      <w:r>
        <w:rPr>
          <w:spacing w:val="-21"/>
          <w:sz w:val="38"/>
        </w:rPr>
        <w:t> </w:t>
      </w:r>
      <w:r>
        <w:rPr>
          <w:sz w:val="38"/>
        </w:rPr>
        <w:t>the</w:t>
      </w:r>
      <w:r>
        <w:rPr>
          <w:spacing w:val="-20"/>
          <w:sz w:val="38"/>
        </w:rPr>
        <w:t> </w:t>
      </w:r>
      <w:r>
        <w:rPr>
          <w:sz w:val="38"/>
        </w:rPr>
        <w:t>three</w:t>
      </w:r>
      <w:r>
        <w:rPr>
          <w:spacing w:val="-21"/>
          <w:sz w:val="38"/>
        </w:rPr>
        <w:t> </w:t>
      </w:r>
      <w:r>
        <w:rPr>
          <w:sz w:val="38"/>
        </w:rPr>
        <w:t>easing-in</w:t>
      </w:r>
      <w:r>
        <w:rPr>
          <w:spacing w:val="-22"/>
          <w:sz w:val="38"/>
        </w:rPr>
        <w:t> </w:t>
      </w:r>
      <w:r>
        <w:rPr>
          <w:sz w:val="38"/>
        </w:rPr>
        <w:t>days,</w:t>
      </w:r>
      <w:r>
        <w:rPr>
          <w:spacing w:val="-20"/>
          <w:sz w:val="38"/>
        </w:rPr>
        <w:t> </w:t>
      </w:r>
      <w:r>
        <w:rPr>
          <w:sz w:val="38"/>
        </w:rPr>
        <w:t>the</w:t>
      </w:r>
      <w:r>
        <w:rPr>
          <w:spacing w:val="-21"/>
          <w:sz w:val="38"/>
        </w:rPr>
        <w:t> </w:t>
      </w:r>
      <w:r>
        <w:rPr>
          <w:sz w:val="38"/>
        </w:rPr>
        <w:t>organism</w:t>
      </w:r>
      <w:r>
        <w:rPr>
          <w:spacing w:val="-22"/>
          <w:sz w:val="38"/>
        </w:rPr>
        <w:t> </w:t>
      </w:r>
      <w:r>
        <w:rPr>
          <w:sz w:val="38"/>
        </w:rPr>
        <w:t>already</w:t>
      </w:r>
      <w:r>
        <w:rPr>
          <w:spacing w:val="-22"/>
          <w:sz w:val="38"/>
        </w:rPr>
        <w:t> </w:t>
      </w:r>
      <w:r>
        <w:rPr>
          <w:sz w:val="38"/>
        </w:rPr>
        <w:t>becomes</w:t>
      </w:r>
      <w:r>
        <w:rPr>
          <w:spacing w:val="-20"/>
          <w:sz w:val="38"/>
        </w:rPr>
        <w:t> </w:t>
      </w:r>
      <w:r>
        <w:rPr>
          <w:sz w:val="38"/>
        </w:rPr>
        <w:t>deacidified (with alkaline nutrition, fasting tea, Basosyx tablets and green clay) and becomes accustomed to the low nutritional absorption and the increased fluid</w:t>
      </w:r>
      <w:r>
        <w:rPr>
          <w:spacing w:val="-2"/>
          <w:sz w:val="38"/>
        </w:rPr>
        <w:t> </w:t>
      </w:r>
      <w:r>
        <w:rPr>
          <w:sz w:val="38"/>
        </w:rPr>
        <w:t>absorption.</w:t>
      </w:r>
    </w:p>
    <w:p>
      <w:pPr>
        <w:pStyle w:val="ListParagraph"/>
        <w:numPr>
          <w:ilvl w:val="0"/>
          <w:numId w:val="138"/>
        </w:numPr>
        <w:tabs>
          <w:tab w:pos="1330" w:val="left" w:leader="none"/>
        </w:tabs>
        <w:spacing w:line="276" w:lineRule="auto" w:before="117" w:after="0"/>
        <w:ind w:left="1329" w:right="140" w:hanging="355"/>
        <w:jc w:val="both"/>
        <w:rPr>
          <w:sz w:val="38"/>
        </w:rPr>
      </w:pPr>
      <w:r>
        <w:rPr>
          <w:sz w:val="38"/>
        </w:rPr>
        <w:t>The following six days include little to no consumption of solid food but instead,</w:t>
      </w:r>
      <w:r>
        <w:rPr>
          <w:spacing w:val="-10"/>
          <w:sz w:val="38"/>
        </w:rPr>
        <w:t> </w:t>
      </w:r>
      <w:r>
        <w:rPr>
          <w:sz w:val="38"/>
        </w:rPr>
        <w:t>absorption</w:t>
      </w:r>
      <w:r>
        <w:rPr>
          <w:spacing w:val="-9"/>
          <w:sz w:val="38"/>
        </w:rPr>
        <w:t> </w:t>
      </w:r>
      <w:r>
        <w:rPr>
          <w:sz w:val="38"/>
        </w:rPr>
        <w:t>of</w:t>
      </w:r>
      <w:r>
        <w:rPr>
          <w:spacing w:val="-12"/>
          <w:sz w:val="38"/>
        </w:rPr>
        <w:t> </w:t>
      </w:r>
      <w:r>
        <w:rPr>
          <w:sz w:val="38"/>
        </w:rPr>
        <w:t>vegetable</w:t>
      </w:r>
      <w:r>
        <w:rPr>
          <w:spacing w:val="-11"/>
          <w:sz w:val="38"/>
        </w:rPr>
        <w:t> </w:t>
      </w:r>
      <w:r>
        <w:rPr>
          <w:sz w:val="38"/>
        </w:rPr>
        <w:t>juices,</w:t>
      </w:r>
      <w:r>
        <w:rPr>
          <w:spacing w:val="-9"/>
          <w:sz w:val="38"/>
        </w:rPr>
        <w:t> </w:t>
      </w:r>
      <w:r>
        <w:rPr>
          <w:sz w:val="38"/>
        </w:rPr>
        <w:t>some</w:t>
      </w:r>
      <w:r>
        <w:rPr>
          <w:spacing w:val="-10"/>
          <w:sz w:val="38"/>
        </w:rPr>
        <w:t> </w:t>
      </w:r>
      <w:r>
        <w:rPr>
          <w:sz w:val="38"/>
        </w:rPr>
        <w:t>vegetable</w:t>
      </w:r>
      <w:r>
        <w:rPr>
          <w:spacing w:val="-10"/>
          <w:sz w:val="38"/>
        </w:rPr>
        <w:t> </w:t>
      </w:r>
      <w:r>
        <w:rPr>
          <w:sz w:val="38"/>
        </w:rPr>
        <w:t>broth,</w:t>
      </w:r>
      <w:r>
        <w:rPr>
          <w:spacing w:val="-12"/>
          <w:sz w:val="38"/>
        </w:rPr>
        <w:t> </w:t>
      </w:r>
      <w:r>
        <w:rPr>
          <w:sz w:val="38"/>
        </w:rPr>
        <w:t>bread</w:t>
      </w:r>
      <w:r>
        <w:rPr>
          <w:spacing w:val="-11"/>
          <w:sz w:val="38"/>
        </w:rPr>
        <w:t> </w:t>
      </w:r>
      <w:r>
        <w:rPr>
          <w:sz w:val="38"/>
        </w:rPr>
        <w:t>juice, psyllium, a lot of mineral water and fasting tea (herbal</w:t>
      </w:r>
      <w:r>
        <w:rPr>
          <w:spacing w:val="-2"/>
          <w:sz w:val="38"/>
        </w:rPr>
        <w:t> </w:t>
      </w:r>
      <w:r>
        <w:rPr>
          <w:sz w:val="38"/>
        </w:rPr>
        <w:t>tea).</w:t>
      </w:r>
    </w:p>
    <w:p>
      <w:pPr>
        <w:pStyle w:val="ListParagraph"/>
        <w:numPr>
          <w:ilvl w:val="0"/>
          <w:numId w:val="138"/>
        </w:numPr>
        <w:tabs>
          <w:tab w:pos="1330" w:val="left" w:leader="none"/>
        </w:tabs>
        <w:spacing w:line="276" w:lineRule="auto" w:before="119" w:after="0"/>
        <w:ind w:left="1329" w:right="139" w:hanging="355"/>
        <w:jc w:val="both"/>
        <w:rPr>
          <w:sz w:val="38"/>
        </w:rPr>
      </w:pPr>
      <w:r>
        <w:rPr>
          <w:sz w:val="38"/>
        </w:rPr>
        <w:t>Detoxification is stimulated by some important homeopathic substances (the</w:t>
      </w:r>
      <w:r>
        <w:rPr>
          <w:spacing w:val="-11"/>
          <w:sz w:val="38"/>
        </w:rPr>
        <w:t> </w:t>
      </w:r>
      <w:r>
        <w:rPr>
          <w:sz w:val="38"/>
        </w:rPr>
        <w:t>Phoenix</w:t>
      </w:r>
      <w:r>
        <w:rPr>
          <w:spacing w:val="-12"/>
          <w:sz w:val="38"/>
        </w:rPr>
        <w:t> </w:t>
      </w:r>
      <w:r>
        <w:rPr>
          <w:sz w:val="38"/>
        </w:rPr>
        <w:t>detoxification</w:t>
      </w:r>
      <w:r>
        <w:rPr>
          <w:spacing w:val="-10"/>
          <w:sz w:val="38"/>
        </w:rPr>
        <w:t> </w:t>
      </w:r>
      <w:r>
        <w:rPr>
          <w:sz w:val="38"/>
        </w:rPr>
        <w:t>programme</w:t>
      </w:r>
      <w:r>
        <w:rPr>
          <w:spacing w:val="-10"/>
          <w:sz w:val="38"/>
        </w:rPr>
        <w:t> </w:t>
      </w:r>
      <w:r>
        <w:rPr>
          <w:sz w:val="38"/>
        </w:rPr>
        <w:t>is</w:t>
      </w:r>
      <w:r>
        <w:rPr>
          <w:spacing w:val="-10"/>
          <w:sz w:val="38"/>
        </w:rPr>
        <w:t> </w:t>
      </w:r>
      <w:r>
        <w:rPr>
          <w:sz w:val="38"/>
        </w:rPr>
        <w:t>recommended</w:t>
      </w:r>
      <w:r>
        <w:rPr>
          <w:spacing w:val="-10"/>
          <w:sz w:val="38"/>
        </w:rPr>
        <w:t> </w:t>
      </w:r>
      <w:r>
        <w:rPr>
          <w:sz w:val="38"/>
        </w:rPr>
        <w:t>here).</w:t>
      </w:r>
      <w:r>
        <w:rPr>
          <w:spacing w:val="-11"/>
          <w:sz w:val="38"/>
        </w:rPr>
        <w:t> </w:t>
      </w:r>
      <w:r>
        <w:rPr>
          <w:sz w:val="38"/>
        </w:rPr>
        <w:t>This</w:t>
      </w:r>
      <w:r>
        <w:rPr>
          <w:spacing w:val="-10"/>
          <w:sz w:val="38"/>
        </w:rPr>
        <w:t> </w:t>
      </w:r>
      <w:r>
        <w:rPr>
          <w:sz w:val="38"/>
        </w:rPr>
        <w:t>con- cerns a concept which is based on four spagyric homeopathic substances which</w:t>
      </w:r>
      <w:r>
        <w:rPr>
          <w:spacing w:val="-19"/>
          <w:sz w:val="38"/>
        </w:rPr>
        <w:t> </w:t>
      </w:r>
      <w:r>
        <w:rPr>
          <w:sz w:val="38"/>
        </w:rPr>
        <w:t>activate</w:t>
      </w:r>
      <w:r>
        <w:rPr>
          <w:spacing w:val="-19"/>
          <w:sz w:val="38"/>
        </w:rPr>
        <w:t> </w:t>
      </w:r>
      <w:r>
        <w:rPr>
          <w:sz w:val="38"/>
        </w:rPr>
        <w:t>the</w:t>
      </w:r>
      <w:r>
        <w:rPr>
          <w:spacing w:val="-18"/>
          <w:sz w:val="38"/>
        </w:rPr>
        <w:t> </w:t>
      </w:r>
      <w:r>
        <w:rPr>
          <w:sz w:val="38"/>
        </w:rPr>
        <w:t>excretion</w:t>
      </w:r>
      <w:r>
        <w:rPr>
          <w:spacing w:val="-17"/>
          <w:sz w:val="38"/>
        </w:rPr>
        <w:t> </w:t>
      </w:r>
      <w:r>
        <w:rPr>
          <w:sz w:val="38"/>
        </w:rPr>
        <w:t>organs</w:t>
      </w:r>
      <w:r>
        <w:rPr>
          <w:spacing w:val="-19"/>
          <w:sz w:val="38"/>
        </w:rPr>
        <w:t> </w:t>
      </w:r>
      <w:r>
        <w:rPr>
          <w:sz w:val="38"/>
        </w:rPr>
        <w:t>liver,</w:t>
      </w:r>
      <w:r>
        <w:rPr>
          <w:spacing w:val="-18"/>
          <w:sz w:val="38"/>
        </w:rPr>
        <w:t> </w:t>
      </w:r>
      <w:r>
        <w:rPr>
          <w:sz w:val="38"/>
        </w:rPr>
        <w:t>kidneys,</w:t>
      </w:r>
      <w:r>
        <w:rPr>
          <w:spacing w:val="-18"/>
          <w:sz w:val="38"/>
        </w:rPr>
        <w:t> </w:t>
      </w:r>
      <w:r>
        <w:rPr>
          <w:sz w:val="38"/>
        </w:rPr>
        <w:t>skin</w:t>
      </w:r>
      <w:r>
        <w:rPr>
          <w:spacing w:val="-18"/>
          <w:sz w:val="38"/>
        </w:rPr>
        <w:t> </w:t>
      </w:r>
      <w:r>
        <w:rPr>
          <w:sz w:val="38"/>
        </w:rPr>
        <w:t>and</w:t>
      </w:r>
      <w:r>
        <w:rPr>
          <w:spacing w:val="-19"/>
          <w:sz w:val="38"/>
        </w:rPr>
        <w:t> </w:t>
      </w:r>
      <w:r>
        <w:rPr>
          <w:sz w:val="38"/>
        </w:rPr>
        <w:t>mucosa</w:t>
      </w:r>
      <w:r>
        <w:rPr>
          <w:spacing w:val="-20"/>
          <w:sz w:val="38"/>
        </w:rPr>
        <w:t> </w:t>
      </w:r>
      <w:r>
        <w:rPr>
          <w:sz w:val="38"/>
        </w:rPr>
        <w:t>as</w:t>
      </w:r>
      <w:r>
        <w:rPr>
          <w:spacing w:val="-19"/>
          <w:sz w:val="38"/>
        </w:rPr>
        <w:t> </w:t>
      </w:r>
      <w:r>
        <w:rPr>
          <w:sz w:val="38"/>
        </w:rPr>
        <w:t>well as the lymphatic system to transport sludge and thereby support the fast- ing cure process</w:t>
      </w:r>
      <w:r>
        <w:rPr>
          <w:spacing w:val="1"/>
          <w:sz w:val="38"/>
        </w:rPr>
        <w:t> </w:t>
      </w:r>
      <w:r>
        <w:rPr>
          <w:sz w:val="38"/>
        </w:rPr>
        <w:t>immensely.</w:t>
      </w:r>
    </w:p>
    <w:p>
      <w:pPr>
        <w:spacing w:after="0" w:line="276" w:lineRule="auto"/>
        <w:jc w:val="both"/>
        <w:rPr>
          <w:sz w:val="38"/>
        </w:rPr>
        <w:sectPr>
          <w:pgSz w:w="14270" w:h="16850"/>
          <w:pgMar w:header="0" w:footer="1891" w:top="1360" w:bottom="2080" w:left="800" w:right="1280"/>
        </w:sectPr>
      </w:pPr>
    </w:p>
    <w:p>
      <w:pPr>
        <w:pStyle w:val="ListParagraph"/>
        <w:numPr>
          <w:ilvl w:val="0"/>
          <w:numId w:val="138"/>
        </w:numPr>
        <w:tabs>
          <w:tab w:pos="1330" w:val="left" w:leader="none"/>
        </w:tabs>
        <w:spacing w:line="273" w:lineRule="auto" w:before="53" w:after="0"/>
        <w:ind w:left="1329" w:right="139" w:hanging="355"/>
        <w:jc w:val="both"/>
        <w:rPr>
          <w:sz w:val="38"/>
        </w:rPr>
      </w:pPr>
      <w:r>
        <w:rPr>
          <w:sz w:val="38"/>
        </w:rPr>
        <w:t>Algae capsules have the task of preventing heavy muscle-mass degrada- tion.</w:t>
      </w:r>
    </w:p>
    <w:p>
      <w:pPr>
        <w:pStyle w:val="ListParagraph"/>
        <w:numPr>
          <w:ilvl w:val="0"/>
          <w:numId w:val="138"/>
        </w:numPr>
        <w:tabs>
          <w:tab w:pos="1329" w:val="left" w:leader="none"/>
          <w:tab w:pos="1330" w:val="left" w:leader="none"/>
        </w:tabs>
        <w:spacing w:line="240" w:lineRule="auto" w:before="127" w:after="0"/>
        <w:ind w:left="1329" w:right="0" w:hanging="355"/>
        <w:jc w:val="left"/>
        <w:rPr>
          <w:sz w:val="38"/>
        </w:rPr>
      </w:pPr>
      <w:r>
        <w:rPr>
          <w:sz w:val="38"/>
        </w:rPr>
        <w:t>Milk thistle capsules activate the</w:t>
      </w:r>
      <w:r>
        <w:rPr>
          <w:spacing w:val="3"/>
          <w:sz w:val="38"/>
        </w:rPr>
        <w:t> </w:t>
      </w:r>
      <w:r>
        <w:rPr>
          <w:sz w:val="38"/>
        </w:rPr>
        <w:t>liver.</w:t>
      </w:r>
    </w:p>
    <w:p>
      <w:pPr>
        <w:pStyle w:val="ListParagraph"/>
        <w:numPr>
          <w:ilvl w:val="0"/>
          <w:numId w:val="138"/>
        </w:numPr>
        <w:tabs>
          <w:tab w:pos="1330" w:val="left" w:leader="none"/>
        </w:tabs>
        <w:spacing w:line="276" w:lineRule="auto" w:before="186" w:after="0"/>
        <w:ind w:left="1329" w:right="132" w:hanging="355"/>
        <w:jc w:val="both"/>
        <w:rPr>
          <w:sz w:val="38"/>
        </w:rPr>
      </w:pPr>
      <w:r>
        <w:rPr>
          <w:sz w:val="38"/>
        </w:rPr>
        <w:t>The following three building-up days (also called ‘fast-breaking’) are in- tended to get the digestive organs used to solid food again and thereby prevent bilious attacks. Furthermore, this should facilitate a fluid transfer to a conscious, alkaline nutritional</w:t>
      </w:r>
      <w:r>
        <w:rPr>
          <w:spacing w:val="-2"/>
          <w:sz w:val="38"/>
        </w:rPr>
        <w:t> </w:t>
      </w:r>
      <w:r>
        <w:rPr>
          <w:sz w:val="38"/>
        </w:rPr>
        <w:t>lifestyle.</w:t>
      </w:r>
    </w:p>
    <w:p>
      <w:pPr>
        <w:pStyle w:val="BodyText"/>
        <w:spacing w:line="276" w:lineRule="auto" w:before="236"/>
        <w:ind w:left="616" w:right="133"/>
        <w:jc w:val="both"/>
      </w:pPr>
      <w:r>
        <w:rPr/>
        <w:t>It</w:t>
      </w:r>
      <w:r>
        <w:rPr>
          <w:spacing w:val="-7"/>
        </w:rPr>
        <w:t> </w:t>
      </w:r>
      <w:r>
        <w:rPr/>
        <w:t>is</w:t>
      </w:r>
      <w:r>
        <w:rPr>
          <w:spacing w:val="-6"/>
        </w:rPr>
        <w:t> </w:t>
      </w:r>
      <w:r>
        <w:rPr/>
        <w:t>also</w:t>
      </w:r>
      <w:r>
        <w:rPr>
          <w:spacing w:val="-7"/>
        </w:rPr>
        <w:t> </w:t>
      </w:r>
      <w:r>
        <w:rPr/>
        <w:t>highly</w:t>
      </w:r>
      <w:r>
        <w:rPr>
          <w:spacing w:val="-6"/>
        </w:rPr>
        <w:t> </w:t>
      </w:r>
      <w:r>
        <w:rPr/>
        <w:t>recommended</w:t>
      </w:r>
      <w:r>
        <w:rPr>
          <w:spacing w:val="-7"/>
        </w:rPr>
        <w:t> </w:t>
      </w:r>
      <w:r>
        <w:rPr/>
        <w:t>to</w:t>
      </w:r>
      <w:r>
        <w:rPr>
          <w:spacing w:val="-5"/>
        </w:rPr>
        <w:t> </w:t>
      </w:r>
      <w:r>
        <w:rPr/>
        <w:t>cleanse</w:t>
      </w:r>
      <w:r>
        <w:rPr>
          <w:spacing w:val="-7"/>
        </w:rPr>
        <w:t> </w:t>
      </w:r>
      <w:r>
        <w:rPr/>
        <w:t>the</w:t>
      </w:r>
      <w:r>
        <w:rPr>
          <w:spacing w:val="-5"/>
        </w:rPr>
        <w:t> </w:t>
      </w:r>
      <w:r>
        <w:rPr/>
        <w:t>intestine</w:t>
      </w:r>
      <w:r>
        <w:rPr>
          <w:spacing w:val="-6"/>
        </w:rPr>
        <w:t> </w:t>
      </w:r>
      <w:r>
        <w:rPr/>
        <w:t>which</w:t>
      </w:r>
      <w:r>
        <w:rPr>
          <w:spacing w:val="-5"/>
        </w:rPr>
        <w:t> </w:t>
      </w:r>
      <w:r>
        <w:rPr/>
        <w:t>should</w:t>
      </w:r>
      <w:r>
        <w:rPr>
          <w:spacing w:val="-8"/>
        </w:rPr>
        <w:t> </w:t>
      </w:r>
      <w:r>
        <w:rPr/>
        <w:t>be</w:t>
      </w:r>
      <w:r>
        <w:rPr>
          <w:spacing w:val="-5"/>
        </w:rPr>
        <w:t> </w:t>
      </w:r>
      <w:r>
        <w:rPr/>
        <w:t>carried out</w:t>
      </w:r>
      <w:r>
        <w:rPr>
          <w:spacing w:val="-14"/>
        </w:rPr>
        <w:t> </w:t>
      </w:r>
      <w:r>
        <w:rPr/>
        <w:t>in</w:t>
      </w:r>
      <w:r>
        <w:rPr>
          <w:spacing w:val="-13"/>
        </w:rPr>
        <w:t> </w:t>
      </w:r>
      <w:r>
        <w:rPr/>
        <w:t>the</w:t>
      </w:r>
      <w:r>
        <w:rPr>
          <w:spacing w:val="-12"/>
        </w:rPr>
        <w:t> </w:t>
      </w:r>
      <w:r>
        <w:rPr/>
        <w:t>form</w:t>
      </w:r>
      <w:r>
        <w:rPr>
          <w:spacing w:val="-13"/>
        </w:rPr>
        <w:t> </w:t>
      </w:r>
      <w:r>
        <w:rPr/>
        <w:t>of</w:t>
      </w:r>
      <w:r>
        <w:rPr>
          <w:spacing w:val="-12"/>
        </w:rPr>
        <w:t> </w:t>
      </w:r>
      <w:r>
        <w:rPr/>
        <w:t>enemas</w:t>
      </w:r>
      <w:r>
        <w:rPr>
          <w:spacing w:val="-12"/>
        </w:rPr>
        <w:t> </w:t>
      </w:r>
      <w:r>
        <w:rPr/>
        <w:t>every</w:t>
      </w:r>
      <w:r>
        <w:rPr>
          <w:spacing w:val="-13"/>
        </w:rPr>
        <w:t> </w:t>
      </w:r>
      <w:r>
        <w:rPr/>
        <w:t>two</w:t>
      </w:r>
      <w:r>
        <w:rPr>
          <w:spacing w:val="-13"/>
        </w:rPr>
        <w:t> </w:t>
      </w:r>
      <w:r>
        <w:rPr/>
        <w:t>days</w:t>
      </w:r>
      <w:r>
        <w:rPr>
          <w:spacing w:val="-12"/>
        </w:rPr>
        <w:t> </w:t>
      </w:r>
      <w:r>
        <w:rPr/>
        <w:t>with</w:t>
      </w:r>
      <w:r>
        <w:rPr>
          <w:spacing w:val="-12"/>
        </w:rPr>
        <w:t> </w:t>
      </w:r>
      <w:r>
        <w:rPr/>
        <w:t>herbal</w:t>
      </w:r>
      <w:r>
        <w:rPr>
          <w:spacing w:val="-15"/>
        </w:rPr>
        <w:t> </w:t>
      </w:r>
      <w:r>
        <w:rPr/>
        <w:t>teas</w:t>
      </w:r>
      <w:r>
        <w:rPr>
          <w:spacing w:val="-13"/>
        </w:rPr>
        <w:t> </w:t>
      </w:r>
      <w:r>
        <w:rPr/>
        <w:t>and</w:t>
      </w:r>
      <w:r>
        <w:rPr>
          <w:spacing w:val="-13"/>
        </w:rPr>
        <w:t> </w:t>
      </w:r>
      <w:r>
        <w:rPr/>
        <w:t>a</w:t>
      </w:r>
      <w:r>
        <w:rPr>
          <w:spacing w:val="-13"/>
        </w:rPr>
        <w:t> </w:t>
      </w:r>
      <w:r>
        <w:rPr/>
        <w:t>trace</w:t>
      </w:r>
      <w:r>
        <w:rPr>
          <w:spacing w:val="-13"/>
        </w:rPr>
        <w:t> </w:t>
      </w:r>
      <w:r>
        <w:rPr/>
        <w:t>of</w:t>
      </w:r>
      <w:r>
        <w:rPr>
          <w:spacing w:val="-9"/>
        </w:rPr>
        <w:t> </w:t>
      </w:r>
      <w:r>
        <w:rPr>
          <w:i/>
        </w:rPr>
        <w:t>Meine- </w:t>
      </w:r>
      <w:r>
        <w:rPr>
          <w:i/>
        </w:rPr>
        <w:t>Base®. </w:t>
      </w:r>
      <w:r>
        <w:rPr/>
        <w:t>The importance of regular intestinal cleansing is above all clear if you bear</w:t>
      </w:r>
      <w:r>
        <w:rPr>
          <w:spacing w:val="-7"/>
        </w:rPr>
        <w:t> </w:t>
      </w:r>
      <w:r>
        <w:rPr/>
        <w:t>in</w:t>
      </w:r>
      <w:r>
        <w:rPr>
          <w:spacing w:val="-6"/>
        </w:rPr>
        <w:t> </w:t>
      </w:r>
      <w:r>
        <w:rPr/>
        <w:t>mind</w:t>
      </w:r>
      <w:r>
        <w:rPr>
          <w:spacing w:val="-5"/>
        </w:rPr>
        <w:t> </w:t>
      </w:r>
      <w:r>
        <w:rPr/>
        <w:t>that</w:t>
      </w:r>
      <w:r>
        <w:rPr>
          <w:spacing w:val="-6"/>
        </w:rPr>
        <w:t> </w:t>
      </w:r>
      <w:r>
        <w:rPr/>
        <w:t>our</w:t>
      </w:r>
      <w:r>
        <w:rPr>
          <w:spacing w:val="-7"/>
        </w:rPr>
        <w:t> </w:t>
      </w:r>
      <w:r>
        <w:rPr/>
        <w:t>foodstuffs</w:t>
      </w:r>
      <w:r>
        <w:rPr>
          <w:spacing w:val="-6"/>
        </w:rPr>
        <w:t> </w:t>
      </w:r>
      <w:r>
        <w:rPr/>
        <w:t>are</w:t>
      </w:r>
      <w:r>
        <w:rPr>
          <w:spacing w:val="-6"/>
        </w:rPr>
        <w:t> </w:t>
      </w:r>
      <w:r>
        <w:rPr/>
        <w:t>fragmented</w:t>
      </w:r>
      <w:r>
        <w:rPr>
          <w:spacing w:val="-6"/>
        </w:rPr>
        <w:t> </w:t>
      </w:r>
      <w:r>
        <w:rPr/>
        <w:t>in</w:t>
      </w:r>
      <w:r>
        <w:rPr>
          <w:spacing w:val="-6"/>
        </w:rPr>
        <w:t> </w:t>
      </w:r>
      <w:r>
        <w:rPr/>
        <w:t>our</w:t>
      </w:r>
      <w:r>
        <w:rPr>
          <w:spacing w:val="-7"/>
        </w:rPr>
        <w:t> </w:t>
      </w:r>
      <w:r>
        <w:rPr/>
        <w:t>intestine</w:t>
      </w:r>
      <w:r>
        <w:rPr>
          <w:spacing w:val="-5"/>
        </w:rPr>
        <w:t> </w:t>
      </w:r>
      <w:r>
        <w:rPr/>
        <w:t>and</w:t>
      </w:r>
      <w:r>
        <w:rPr>
          <w:spacing w:val="-6"/>
        </w:rPr>
        <w:t> </w:t>
      </w:r>
      <w:r>
        <w:rPr/>
        <w:t>only</w:t>
      </w:r>
      <w:r>
        <w:rPr>
          <w:spacing w:val="-6"/>
        </w:rPr>
        <w:t> </w:t>
      </w:r>
      <w:r>
        <w:rPr/>
        <w:t>then can then be transferred to the</w:t>
      </w:r>
      <w:r>
        <w:rPr>
          <w:spacing w:val="2"/>
        </w:rPr>
        <w:t> </w:t>
      </w:r>
      <w:r>
        <w:rPr/>
        <w:t>blood.</w:t>
      </w:r>
    </w:p>
    <w:p>
      <w:pPr>
        <w:pStyle w:val="BodyText"/>
        <w:spacing w:line="276" w:lineRule="auto" w:before="242"/>
        <w:ind w:left="616" w:right="137"/>
        <w:jc w:val="both"/>
      </w:pPr>
      <w:r>
        <w:rPr/>
        <w:t>In most people, the intestinal villi where this fragmentation takes place are heavily congested. The intestine cannot complete its work to the best of its ability and expels a large amount of the supplied nutrition still unexploited.</w:t>
      </w:r>
    </w:p>
    <w:p>
      <w:pPr>
        <w:pStyle w:val="BodyText"/>
        <w:spacing w:line="276" w:lineRule="auto" w:before="242"/>
        <w:ind w:left="616" w:right="137"/>
        <w:jc w:val="both"/>
      </w:pPr>
      <w:r>
        <w:rPr/>
        <w:t>Further,</w:t>
      </w:r>
      <w:r>
        <w:rPr>
          <w:spacing w:val="-13"/>
        </w:rPr>
        <w:t> </w:t>
      </w:r>
      <w:r>
        <w:rPr/>
        <w:t>the</w:t>
      </w:r>
      <w:r>
        <w:rPr>
          <w:spacing w:val="-12"/>
        </w:rPr>
        <w:t> </w:t>
      </w:r>
      <w:r>
        <w:rPr/>
        <w:t>largest</w:t>
      </w:r>
      <w:r>
        <w:rPr>
          <w:spacing w:val="-14"/>
        </w:rPr>
        <w:t> </w:t>
      </w:r>
      <w:r>
        <w:rPr/>
        <w:t>poison</w:t>
      </w:r>
      <w:r>
        <w:rPr>
          <w:spacing w:val="-15"/>
        </w:rPr>
        <w:t> </w:t>
      </w:r>
      <w:r>
        <w:rPr/>
        <w:t>deposits</w:t>
      </w:r>
      <w:r>
        <w:rPr>
          <w:spacing w:val="-13"/>
        </w:rPr>
        <w:t> </w:t>
      </w:r>
      <w:r>
        <w:rPr/>
        <w:t>imaginable</w:t>
      </w:r>
      <w:r>
        <w:rPr>
          <w:spacing w:val="-14"/>
        </w:rPr>
        <w:t> </w:t>
      </w:r>
      <w:r>
        <w:rPr/>
        <w:t>in</w:t>
      </w:r>
      <w:r>
        <w:rPr>
          <w:spacing w:val="-13"/>
        </w:rPr>
        <w:t> </w:t>
      </w:r>
      <w:r>
        <w:rPr/>
        <w:t>the</w:t>
      </w:r>
      <w:r>
        <w:rPr>
          <w:spacing w:val="-13"/>
        </w:rPr>
        <w:t> </w:t>
      </w:r>
      <w:r>
        <w:rPr/>
        <w:t>body</w:t>
      </w:r>
      <w:r>
        <w:rPr>
          <w:spacing w:val="-13"/>
        </w:rPr>
        <w:t> </w:t>
      </w:r>
      <w:r>
        <w:rPr/>
        <w:t>are</w:t>
      </w:r>
      <w:r>
        <w:rPr>
          <w:spacing w:val="-14"/>
        </w:rPr>
        <w:t> </w:t>
      </w:r>
      <w:r>
        <w:rPr/>
        <w:t>in</w:t>
      </w:r>
      <w:r>
        <w:rPr>
          <w:spacing w:val="-15"/>
        </w:rPr>
        <w:t> </w:t>
      </w:r>
      <w:r>
        <w:rPr/>
        <w:t>our</w:t>
      </w:r>
      <w:r>
        <w:rPr>
          <w:spacing w:val="-14"/>
        </w:rPr>
        <w:t> </w:t>
      </w:r>
      <w:r>
        <w:rPr/>
        <w:t>intestine. These poisons, residual medicines and deposits accumulate in our intestinal villi and often remain there for many years and even decades, with an increas- ingly negative effect on our</w:t>
      </w:r>
      <w:r>
        <w:rPr>
          <w:spacing w:val="-1"/>
        </w:rPr>
        <w:t> </w:t>
      </w:r>
      <w:r>
        <w:rPr/>
        <w:t>organism.</w:t>
      </w:r>
    </w:p>
    <w:p>
      <w:pPr>
        <w:pStyle w:val="BodyText"/>
        <w:spacing w:line="276" w:lineRule="auto" w:before="239"/>
        <w:ind w:left="616" w:right="136"/>
        <w:jc w:val="both"/>
      </w:pPr>
      <w:r>
        <w:rPr/>
        <w:t>When correctly discharged (with Glauber’s salt and Epsom salts), intestinal cleansing is neither disgusting nor unpleasant, let alone painful – and in addi- tion</w:t>
      </w:r>
      <w:r>
        <w:rPr>
          <w:spacing w:val="-10"/>
        </w:rPr>
        <w:t> </w:t>
      </w:r>
      <w:r>
        <w:rPr/>
        <w:t>to</w:t>
      </w:r>
      <w:r>
        <w:rPr>
          <w:spacing w:val="-9"/>
        </w:rPr>
        <w:t> </w:t>
      </w:r>
      <w:r>
        <w:rPr/>
        <w:t>deacidification,</w:t>
      </w:r>
      <w:r>
        <w:rPr>
          <w:spacing w:val="-9"/>
        </w:rPr>
        <w:t> </w:t>
      </w:r>
      <w:r>
        <w:rPr/>
        <w:t>detoxification</w:t>
      </w:r>
      <w:r>
        <w:rPr>
          <w:spacing w:val="-9"/>
        </w:rPr>
        <w:t> </w:t>
      </w:r>
      <w:r>
        <w:rPr/>
        <w:t>and</w:t>
      </w:r>
      <w:r>
        <w:rPr>
          <w:spacing w:val="-9"/>
        </w:rPr>
        <w:t> </w:t>
      </w:r>
      <w:r>
        <w:rPr/>
        <w:t>re-mineralisation</w:t>
      </w:r>
      <w:r>
        <w:rPr>
          <w:spacing w:val="-10"/>
        </w:rPr>
        <w:t> </w:t>
      </w:r>
      <w:r>
        <w:rPr/>
        <w:t>it</w:t>
      </w:r>
      <w:r>
        <w:rPr>
          <w:spacing w:val="-11"/>
        </w:rPr>
        <w:t> </w:t>
      </w:r>
      <w:r>
        <w:rPr/>
        <w:t>is</w:t>
      </w:r>
      <w:r>
        <w:rPr>
          <w:spacing w:val="-9"/>
        </w:rPr>
        <w:t> </w:t>
      </w:r>
      <w:r>
        <w:rPr/>
        <w:t>also</w:t>
      </w:r>
      <w:r>
        <w:rPr>
          <w:spacing w:val="-8"/>
        </w:rPr>
        <w:t> </w:t>
      </w:r>
      <w:r>
        <w:rPr/>
        <w:t>one</w:t>
      </w:r>
      <w:r>
        <w:rPr>
          <w:spacing w:val="-13"/>
        </w:rPr>
        <w:t> </w:t>
      </w:r>
      <w:r>
        <w:rPr/>
        <w:t>of</w:t>
      </w:r>
      <w:r>
        <w:rPr>
          <w:spacing w:val="-9"/>
        </w:rPr>
        <w:t> </w:t>
      </w:r>
      <w:r>
        <w:rPr/>
        <w:t>the</w:t>
      </w:r>
    </w:p>
    <w:p>
      <w:pPr>
        <w:spacing w:after="0" w:line="276" w:lineRule="auto"/>
        <w:jc w:val="both"/>
        <w:sectPr>
          <w:pgSz w:w="14270" w:h="16850"/>
          <w:pgMar w:header="0" w:footer="1891" w:top="1360" w:bottom="2080" w:left="800" w:right="1280"/>
        </w:sectPr>
      </w:pPr>
    </w:p>
    <w:p>
      <w:pPr>
        <w:pStyle w:val="BodyText"/>
        <w:spacing w:before="74"/>
        <w:ind w:left="616"/>
      </w:pPr>
      <w:r>
        <w:rPr/>
        <w:t>best ways to treat your body!</w:t>
      </w:r>
    </w:p>
    <w:p>
      <w:pPr>
        <w:spacing w:after="0"/>
        <w:sectPr>
          <w:pgSz w:w="14270" w:h="16850"/>
          <w:pgMar w:header="0" w:footer="1891" w:top="1340" w:bottom="2080" w:left="800" w:right="1280"/>
        </w:sectPr>
      </w:pPr>
    </w:p>
    <w:p>
      <w:pPr>
        <w:spacing w:before="73"/>
        <w:ind w:left="616" w:right="0" w:firstLine="0"/>
        <w:jc w:val="left"/>
        <w:rPr>
          <w:rFonts w:ascii="Cambria"/>
          <w:b/>
          <w:sz w:val="28"/>
        </w:rPr>
      </w:pPr>
      <w:r>
        <w:rPr>
          <w:rFonts w:ascii="Cambria"/>
          <w:b/>
          <w:color w:val="365F91"/>
          <w:sz w:val="28"/>
        </w:rPr>
        <w:t>Reference sources</w:t>
      </w:r>
    </w:p>
    <w:p>
      <w:pPr>
        <w:pStyle w:val="BodyText"/>
        <w:spacing w:before="8"/>
        <w:rPr>
          <w:rFonts w:ascii="Cambria"/>
          <w:b/>
          <w:sz w:val="24"/>
        </w:rPr>
      </w:pPr>
    </w:p>
    <w:p>
      <w:pPr>
        <w:pStyle w:val="BodyText"/>
        <w:spacing w:line="276" w:lineRule="auto"/>
        <w:ind w:left="616" w:right="139"/>
        <w:jc w:val="both"/>
      </w:pPr>
      <w:r>
        <w:rPr/>
        <w:t>You can find all of the substances mentioned on the internet. Unfortunately, due</w:t>
      </w:r>
      <w:r>
        <w:rPr>
          <w:spacing w:val="-11"/>
        </w:rPr>
        <w:t> </w:t>
      </w:r>
      <w:r>
        <w:rPr/>
        <w:t>to</w:t>
      </w:r>
      <w:r>
        <w:rPr>
          <w:spacing w:val="-9"/>
        </w:rPr>
        <w:t> </w:t>
      </w:r>
      <w:r>
        <w:rPr/>
        <w:t>certain</w:t>
      </w:r>
      <w:r>
        <w:rPr>
          <w:spacing w:val="-9"/>
        </w:rPr>
        <w:t> </w:t>
      </w:r>
      <w:r>
        <w:rPr/>
        <w:t>provisions</w:t>
      </w:r>
      <w:r>
        <w:rPr>
          <w:spacing w:val="-7"/>
        </w:rPr>
        <w:t> </w:t>
      </w:r>
      <w:r>
        <w:rPr/>
        <w:t>and</w:t>
      </w:r>
      <w:r>
        <w:rPr>
          <w:spacing w:val="-9"/>
        </w:rPr>
        <w:t> </w:t>
      </w:r>
      <w:r>
        <w:rPr/>
        <w:t>laws,</w:t>
      </w:r>
      <w:r>
        <w:rPr>
          <w:spacing w:val="-8"/>
        </w:rPr>
        <w:t> </w:t>
      </w:r>
      <w:r>
        <w:rPr/>
        <w:t>it</w:t>
      </w:r>
      <w:r>
        <w:rPr>
          <w:spacing w:val="-11"/>
        </w:rPr>
        <w:t> </w:t>
      </w:r>
      <w:r>
        <w:rPr/>
        <w:t>is</w:t>
      </w:r>
      <w:r>
        <w:rPr>
          <w:spacing w:val="-8"/>
        </w:rPr>
        <w:t> </w:t>
      </w:r>
      <w:r>
        <w:rPr/>
        <w:t>forbidden</w:t>
      </w:r>
      <w:r>
        <w:rPr>
          <w:spacing w:val="-11"/>
        </w:rPr>
        <w:t> </w:t>
      </w:r>
      <w:r>
        <w:rPr/>
        <w:t>for</w:t>
      </w:r>
      <w:r>
        <w:rPr>
          <w:spacing w:val="-8"/>
        </w:rPr>
        <w:t> </w:t>
      </w:r>
      <w:r>
        <w:rPr/>
        <w:t>us</w:t>
      </w:r>
      <w:r>
        <w:rPr>
          <w:spacing w:val="-9"/>
        </w:rPr>
        <w:t> </w:t>
      </w:r>
      <w:r>
        <w:rPr/>
        <w:t>to</w:t>
      </w:r>
      <w:r>
        <w:rPr>
          <w:spacing w:val="-9"/>
        </w:rPr>
        <w:t> </w:t>
      </w:r>
      <w:r>
        <w:rPr/>
        <w:t>name</w:t>
      </w:r>
      <w:r>
        <w:rPr>
          <w:spacing w:val="-9"/>
        </w:rPr>
        <w:t> </w:t>
      </w:r>
      <w:r>
        <w:rPr/>
        <w:t>direct</w:t>
      </w:r>
      <w:r>
        <w:rPr>
          <w:spacing w:val="-9"/>
        </w:rPr>
        <w:t> </w:t>
      </w:r>
      <w:r>
        <w:rPr/>
        <w:t>buying sources!</w:t>
      </w:r>
    </w:p>
    <w:p>
      <w:pPr>
        <w:pStyle w:val="BodyText"/>
        <w:spacing w:line="276" w:lineRule="auto" w:before="242"/>
        <w:ind w:left="616" w:right="139"/>
        <w:jc w:val="both"/>
      </w:pPr>
      <w:r>
        <w:rPr/>
        <w:t>If you have problems sourcing organic germanium, you can obtain this fully legally as an accompanying substance in Spirulina platensis and the Reishi mushroom, which may be purchased freely.</w:t>
      </w:r>
    </w:p>
    <w:p>
      <w:pPr>
        <w:spacing w:after="0" w:line="276" w:lineRule="auto"/>
        <w:jc w:val="both"/>
        <w:sectPr>
          <w:pgSz w:w="14270" w:h="16850"/>
          <w:pgMar w:header="0" w:footer="1891" w:top="1340" w:bottom="2080" w:left="800" w:right="1280"/>
        </w:sectPr>
      </w:pPr>
    </w:p>
    <w:p>
      <w:pPr>
        <w:spacing w:before="73"/>
        <w:ind w:left="616" w:right="0" w:firstLine="0"/>
        <w:jc w:val="left"/>
        <w:rPr>
          <w:rFonts w:ascii="Cambria"/>
          <w:b/>
          <w:sz w:val="28"/>
        </w:rPr>
      </w:pPr>
      <w:r>
        <w:rPr>
          <w:rFonts w:ascii="Cambria"/>
          <w:b/>
          <w:color w:val="365F91"/>
          <w:sz w:val="28"/>
        </w:rPr>
        <w:t>Disease index:</w:t>
      </w:r>
    </w:p>
    <w:p>
      <w:pPr>
        <w:pStyle w:val="BodyText"/>
        <w:rPr>
          <w:rFonts w:ascii="Cambria"/>
          <w:b/>
          <w:sz w:val="32"/>
        </w:rPr>
      </w:pPr>
    </w:p>
    <w:p>
      <w:pPr>
        <w:pStyle w:val="BodyText"/>
        <w:spacing w:before="5"/>
        <w:rPr>
          <w:rFonts w:ascii="Cambria"/>
          <w:b/>
          <w:sz w:val="45"/>
        </w:rPr>
      </w:pPr>
    </w:p>
    <w:p>
      <w:pPr>
        <w:spacing w:before="0"/>
        <w:ind w:left="469" w:right="0" w:firstLine="0"/>
        <w:jc w:val="center"/>
        <w:rPr>
          <w:rFonts w:ascii="Calibri"/>
          <w:sz w:val="32"/>
        </w:rPr>
      </w:pPr>
      <w:r>
        <w:rPr>
          <w:sz w:val="32"/>
        </w:rPr>
        <w:t>Acidification</w:t>
      </w:r>
      <w:r>
        <w:rPr>
          <w:rFonts w:ascii="Calibri"/>
          <w:sz w:val="32"/>
        </w:rPr>
        <w:t>... 151, 152, 605, 753, 755, 1206, 1216, 1629, 1710, 1777, 1778, 1779, 1780,</w:t>
      </w:r>
    </w:p>
    <w:p>
      <w:pPr>
        <w:spacing w:before="58"/>
        <w:ind w:left="837" w:right="0" w:firstLine="0"/>
        <w:jc w:val="left"/>
        <w:rPr>
          <w:rFonts w:ascii="Calibri"/>
          <w:sz w:val="32"/>
        </w:rPr>
      </w:pPr>
      <w:r>
        <w:rPr>
          <w:rFonts w:ascii="Calibri"/>
          <w:sz w:val="32"/>
        </w:rPr>
        <w:t>1808, 1809, 1810, 1811, 1812, 1813, 1814, 1815, 1816, 1817, 1818, 1821, 1822,</w:t>
      </w:r>
      <w:r>
        <w:rPr>
          <w:rFonts w:ascii="Calibri"/>
          <w:spacing w:val="-23"/>
          <w:sz w:val="32"/>
        </w:rPr>
        <w:t> </w:t>
      </w:r>
      <w:r>
        <w:rPr>
          <w:rFonts w:ascii="Calibri"/>
          <w:sz w:val="32"/>
        </w:rPr>
        <w:t>1825,</w:t>
      </w:r>
    </w:p>
    <w:p>
      <w:pPr>
        <w:spacing w:before="58"/>
        <w:ind w:left="837" w:right="0" w:firstLine="0"/>
        <w:jc w:val="left"/>
        <w:rPr>
          <w:rFonts w:ascii="Calibri"/>
          <w:sz w:val="32"/>
        </w:rPr>
      </w:pPr>
      <w:r>
        <w:rPr>
          <w:rFonts w:ascii="Calibri"/>
          <w:sz w:val="32"/>
        </w:rPr>
        <w:t>1827, 1829, 1830, 1831, 1832, 1833, 1834, 1835, 1836, 1837, 1838, 1839, 1840,</w:t>
      </w:r>
      <w:r>
        <w:rPr>
          <w:rFonts w:ascii="Calibri"/>
          <w:spacing w:val="-23"/>
          <w:sz w:val="32"/>
        </w:rPr>
        <w:t> </w:t>
      </w:r>
      <w:r>
        <w:rPr>
          <w:rFonts w:ascii="Calibri"/>
          <w:sz w:val="32"/>
        </w:rPr>
        <w:t>1845,</w:t>
      </w:r>
    </w:p>
    <w:p>
      <w:pPr>
        <w:spacing w:before="59"/>
        <w:ind w:left="837" w:right="0" w:firstLine="0"/>
        <w:jc w:val="left"/>
        <w:rPr>
          <w:rFonts w:ascii="Calibri"/>
          <w:sz w:val="32"/>
        </w:rPr>
      </w:pPr>
      <w:r>
        <w:rPr>
          <w:rFonts w:ascii="Calibri"/>
          <w:sz w:val="32"/>
        </w:rPr>
        <w:t>1847, 1849, 1853, 1856, 1858, 1860</w:t>
      </w:r>
    </w:p>
    <w:p>
      <w:pPr>
        <w:spacing w:before="58"/>
        <w:ind w:left="467" w:right="0" w:firstLine="0"/>
        <w:jc w:val="center"/>
        <w:rPr>
          <w:rFonts w:ascii="Calibri"/>
          <w:sz w:val="32"/>
        </w:rPr>
      </w:pPr>
      <w:r>
        <w:rPr>
          <w:sz w:val="32"/>
        </w:rPr>
        <w:t>Acidosis </w:t>
      </w:r>
      <w:r>
        <w:rPr>
          <w:rFonts w:ascii="Calibri"/>
          <w:sz w:val="32"/>
        </w:rPr>
        <w:t>........................................................................................ 1016, 1488, 1542,</w:t>
      </w:r>
      <w:r>
        <w:rPr>
          <w:rFonts w:ascii="Calibri"/>
          <w:spacing w:val="39"/>
          <w:sz w:val="32"/>
        </w:rPr>
        <w:t> </w:t>
      </w:r>
      <w:r>
        <w:rPr>
          <w:rFonts w:ascii="Calibri"/>
          <w:sz w:val="32"/>
        </w:rPr>
        <w:t>1586</w:t>
      </w:r>
    </w:p>
    <w:p>
      <w:pPr>
        <w:tabs>
          <w:tab w:pos="11886" w:val="right" w:leader="dot"/>
        </w:tabs>
        <w:spacing w:before="59"/>
        <w:ind w:left="469" w:right="0" w:firstLine="0"/>
        <w:jc w:val="center"/>
        <w:rPr>
          <w:rFonts w:ascii="Calibri"/>
          <w:sz w:val="32"/>
        </w:rPr>
      </w:pPr>
      <w:r>
        <w:rPr>
          <w:sz w:val="32"/>
        </w:rPr>
        <w:t>acne</w:t>
        <w:tab/>
      </w:r>
      <w:r>
        <w:rPr>
          <w:rFonts w:ascii="Calibri"/>
          <w:sz w:val="32"/>
        </w:rPr>
        <w:t>864</w:t>
      </w:r>
    </w:p>
    <w:p>
      <w:pPr>
        <w:spacing w:before="60"/>
        <w:ind w:left="462" w:right="0" w:firstLine="0"/>
        <w:jc w:val="center"/>
        <w:rPr>
          <w:rFonts w:ascii="Calibri"/>
          <w:sz w:val="32"/>
        </w:rPr>
      </w:pPr>
      <w:r>
        <w:rPr>
          <w:sz w:val="32"/>
        </w:rPr>
        <w:t>Acne </w:t>
      </w:r>
      <w:r>
        <w:rPr>
          <w:rFonts w:ascii="Calibri"/>
          <w:sz w:val="32"/>
        </w:rPr>
        <w:t>.... 153, 258, 315, 338, 386, 481, 554, 558, 564, 698, 715, 725, 747, 836, 855,</w:t>
      </w:r>
      <w:r>
        <w:rPr>
          <w:rFonts w:ascii="Calibri"/>
          <w:spacing w:val="-36"/>
          <w:sz w:val="32"/>
        </w:rPr>
        <w:t> </w:t>
      </w:r>
      <w:r>
        <w:rPr>
          <w:rFonts w:ascii="Calibri"/>
          <w:sz w:val="32"/>
        </w:rPr>
        <w:t>1124,</w:t>
      </w:r>
    </w:p>
    <w:p>
      <w:pPr>
        <w:spacing w:before="58"/>
        <w:ind w:left="837" w:right="0" w:firstLine="0"/>
        <w:jc w:val="left"/>
        <w:rPr>
          <w:rFonts w:ascii="Calibri"/>
          <w:sz w:val="32"/>
        </w:rPr>
      </w:pPr>
      <w:r>
        <w:rPr>
          <w:rFonts w:ascii="Calibri"/>
          <w:sz w:val="32"/>
        </w:rPr>
        <w:t>1142, 1203, 1210, 1245, 1251, 1262, 1265, 1476, 1489, 1583, 1586, 1600, 1675, 1715,</w:t>
      </w:r>
    </w:p>
    <w:p>
      <w:pPr>
        <w:spacing w:before="58"/>
        <w:ind w:left="837" w:right="0" w:firstLine="0"/>
        <w:jc w:val="left"/>
        <w:rPr>
          <w:rFonts w:ascii="Calibri"/>
          <w:sz w:val="32"/>
        </w:rPr>
      </w:pPr>
      <w:r>
        <w:rPr>
          <w:rFonts w:ascii="Calibri"/>
          <w:sz w:val="32"/>
        </w:rPr>
        <w:t>1747, 1834, 1842</w:t>
      </w:r>
    </w:p>
    <w:p>
      <w:pPr>
        <w:spacing w:before="59"/>
        <w:ind w:left="465" w:right="0" w:firstLine="0"/>
        <w:jc w:val="center"/>
        <w:rPr>
          <w:rFonts w:ascii="Calibri"/>
          <w:sz w:val="32"/>
        </w:rPr>
      </w:pPr>
      <w:r>
        <w:rPr>
          <w:sz w:val="32"/>
        </w:rPr>
        <w:t>Age spots </w:t>
      </w:r>
      <w:r>
        <w:rPr>
          <w:rFonts w:ascii="Calibri"/>
          <w:sz w:val="32"/>
        </w:rPr>
        <w:t>................................................................. 24, 128, 134, 155, 313, 374, 392,</w:t>
      </w:r>
      <w:r>
        <w:rPr>
          <w:rFonts w:ascii="Calibri"/>
          <w:spacing w:val="-24"/>
          <w:sz w:val="32"/>
        </w:rPr>
        <w:t> </w:t>
      </w:r>
      <w:r>
        <w:rPr>
          <w:rFonts w:ascii="Calibri"/>
          <w:sz w:val="32"/>
        </w:rPr>
        <w:t>395</w:t>
      </w:r>
    </w:p>
    <w:p>
      <w:pPr>
        <w:spacing w:before="58"/>
        <w:ind w:left="461" w:right="0" w:firstLine="0"/>
        <w:jc w:val="center"/>
        <w:rPr>
          <w:rFonts w:ascii="Calibri"/>
          <w:sz w:val="32"/>
        </w:rPr>
      </w:pPr>
      <w:r>
        <w:rPr>
          <w:sz w:val="32"/>
        </w:rPr>
        <w:t>Ageing </w:t>
      </w:r>
      <w:r>
        <w:rPr>
          <w:rFonts w:ascii="Calibri"/>
          <w:sz w:val="32"/>
        </w:rPr>
        <w:t>......7, 23, 25, 86, 102, 127, 129, 133, 162, 179, 185, 191, 192, 215, 216, 221,</w:t>
      </w:r>
      <w:r>
        <w:rPr>
          <w:rFonts w:ascii="Calibri"/>
          <w:spacing w:val="-20"/>
          <w:sz w:val="32"/>
        </w:rPr>
        <w:t> </w:t>
      </w:r>
      <w:r>
        <w:rPr>
          <w:rFonts w:ascii="Calibri"/>
          <w:sz w:val="32"/>
        </w:rPr>
        <w:t>224,</w:t>
      </w:r>
    </w:p>
    <w:p>
      <w:pPr>
        <w:spacing w:before="58"/>
        <w:ind w:left="837" w:right="0" w:firstLine="0"/>
        <w:jc w:val="left"/>
        <w:rPr>
          <w:rFonts w:ascii="Calibri"/>
          <w:sz w:val="32"/>
        </w:rPr>
      </w:pPr>
      <w:r>
        <w:rPr>
          <w:rFonts w:ascii="Calibri"/>
          <w:sz w:val="32"/>
        </w:rPr>
        <w:t>232, 239, 247, 313, 335, 339, 350, 366, 368, 377, 378, 387, 395, 398, 404, 406,</w:t>
      </w:r>
      <w:r>
        <w:rPr>
          <w:rFonts w:ascii="Calibri"/>
          <w:spacing w:val="-22"/>
          <w:sz w:val="32"/>
        </w:rPr>
        <w:t> </w:t>
      </w:r>
      <w:r>
        <w:rPr>
          <w:rFonts w:ascii="Calibri"/>
          <w:sz w:val="32"/>
        </w:rPr>
        <w:t>433,</w:t>
      </w:r>
    </w:p>
    <w:p>
      <w:pPr>
        <w:spacing w:before="61"/>
        <w:ind w:left="837" w:right="0" w:firstLine="0"/>
        <w:jc w:val="left"/>
        <w:rPr>
          <w:rFonts w:ascii="Calibri"/>
          <w:sz w:val="32"/>
        </w:rPr>
      </w:pPr>
      <w:r>
        <w:rPr>
          <w:rFonts w:ascii="Calibri"/>
          <w:sz w:val="32"/>
        </w:rPr>
        <w:t>502, 650, 661, 662, 676, 677, 709, 743, 869, 887, 904, 905, 911, 925, 926, 938,</w:t>
      </w:r>
      <w:r>
        <w:rPr>
          <w:rFonts w:ascii="Calibri"/>
          <w:spacing w:val="-22"/>
          <w:sz w:val="32"/>
        </w:rPr>
        <w:t> </w:t>
      </w:r>
      <w:r>
        <w:rPr>
          <w:rFonts w:ascii="Calibri"/>
          <w:sz w:val="32"/>
        </w:rPr>
        <w:t>939,</w:t>
      </w:r>
    </w:p>
    <w:p>
      <w:pPr>
        <w:spacing w:before="58"/>
        <w:ind w:left="837" w:right="0" w:firstLine="0"/>
        <w:jc w:val="left"/>
        <w:rPr>
          <w:rFonts w:ascii="Calibri"/>
          <w:sz w:val="32"/>
        </w:rPr>
      </w:pPr>
      <w:r>
        <w:rPr>
          <w:rFonts w:ascii="Calibri"/>
          <w:sz w:val="32"/>
        </w:rPr>
        <w:t>940, 941, 944, 951, 955, 956, 960, 962, 963, 964, 965, 966, 977, 983, 984, 986,</w:t>
      </w:r>
      <w:r>
        <w:rPr>
          <w:rFonts w:ascii="Calibri"/>
          <w:spacing w:val="-20"/>
          <w:sz w:val="32"/>
        </w:rPr>
        <w:t> </w:t>
      </w:r>
      <w:r>
        <w:rPr>
          <w:rFonts w:ascii="Calibri"/>
          <w:sz w:val="32"/>
        </w:rPr>
        <w:t>989,</w:t>
      </w:r>
    </w:p>
    <w:p>
      <w:pPr>
        <w:spacing w:before="58"/>
        <w:ind w:left="837" w:right="0" w:firstLine="0"/>
        <w:jc w:val="left"/>
        <w:rPr>
          <w:rFonts w:ascii="Calibri"/>
          <w:sz w:val="32"/>
        </w:rPr>
      </w:pPr>
      <w:r>
        <w:rPr>
          <w:rFonts w:ascii="Calibri"/>
          <w:sz w:val="32"/>
        </w:rPr>
        <w:t>995, 999, 1000, 1001, 1037, 1069, 1094, 1095, 1124, 1130, 1146, 1185, 1202,</w:t>
      </w:r>
      <w:r>
        <w:rPr>
          <w:rFonts w:ascii="Calibri"/>
          <w:spacing w:val="-22"/>
          <w:sz w:val="32"/>
        </w:rPr>
        <w:t> </w:t>
      </w:r>
      <w:r>
        <w:rPr>
          <w:rFonts w:ascii="Calibri"/>
          <w:sz w:val="32"/>
        </w:rPr>
        <w:t>1219,</w:t>
      </w:r>
    </w:p>
    <w:p>
      <w:pPr>
        <w:spacing w:before="58"/>
        <w:ind w:left="837" w:right="0" w:firstLine="0"/>
        <w:jc w:val="left"/>
        <w:rPr>
          <w:rFonts w:ascii="Calibri"/>
          <w:sz w:val="32"/>
        </w:rPr>
      </w:pPr>
      <w:r>
        <w:rPr>
          <w:rFonts w:ascii="Calibri"/>
          <w:sz w:val="32"/>
        </w:rPr>
        <w:t>1242, 1275, 1290, 1292, 1296, 1335, 1342, 1345, 1411, 1415, 1423, 1437, 1464,</w:t>
      </w:r>
      <w:r>
        <w:rPr>
          <w:rFonts w:ascii="Calibri"/>
          <w:spacing w:val="-23"/>
          <w:sz w:val="32"/>
        </w:rPr>
        <w:t> </w:t>
      </w:r>
      <w:r>
        <w:rPr>
          <w:rFonts w:ascii="Calibri"/>
          <w:sz w:val="32"/>
        </w:rPr>
        <w:t>1467,</w:t>
      </w:r>
    </w:p>
    <w:p>
      <w:pPr>
        <w:spacing w:before="59"/>
        <w:ind w:left="837" w:right="0" w:firstLine="0"/>
        <w:jc w:val="left"/>
        <w:rPr>
          <w:rFonts w:ascii="Calibri"/>
          <w:sz w:val="32"/>
        </w:rPr>
      </w:pPr>
      <w:r>
        <w:rPr>
          <w:rFonts w:ascii="Calibri"/>
          <w:sz w:val="32"/>
        </w:rPr>
        <w:t>1472, 1504, 1505, 1506, 1512, 1527, 1535, 1543, 1550, 1671, 1731, 1733, 1747,</w:t>
      </w:r>
      <w:r>
        <w:rPr>
          <w:rFonts w:ascii="Calibri"/>
          <w:spacing w:val="-20"/>
          <w:sz w:val="32"/>
        </w:rPr>
        <w:t> </w:t>
      </w:r>
      <w:r>
        <w:rPr>
          <w:rFonts w:ascii="Calibri"/>
          <w:sz w:val="32"/>
        </w:rPr>
        <w:t>1751,</w:t>
      </w:r>
    </w:p>
    <w:p>
      <w:pPr>
        <w:spacing w:before="60"/>
        <w:ind w:left="837" w:right="0" w:firstLine="0"/>
        <w:jc w:val="left"/>
        <w:rPr>
          <w:rFonts w:ascii="Calibri"/>
          <w:sz w:val="32"/>
        </w:rPr>
      </w:pPr>
      <w:r>
        <w:rPr>
          <w:rFonts w:ascii="Calibri"/>
          <w:sz w:val="32"/>
        </w:rPr>
        <w:t>1780, 1781, 1813, 1839, 1840, 1852</w:t>
      </w:r>
    </w:p>
    <w:p>
      <w:pPr>
        <w:spacing w:before="58"/>
        <w:ind w:left="462" w:right="0" w:firstLine="0"/>
        <w:jc w:val="center"/>
        <w:rPr>
          <w:rFonts w:ascii="Calibri"/>
          <w:sz w:val="32"/>
        </w:rPr>
      </w:pPr>
      <w:r>
        <w:rPr>
          <w:sz w:val="32"/>
        </w:rPr>
        <w:t>AIDS </w:t>
      </w:r>
      <w:r>
        <w:rPr>
          <w:rFonts w:ascii="Calibri"/>
          <w:sz w:val="32"/>
        </w:rPr>
        <w:t>..... 101, 123, 124, 202, 208, 225, 266, 267, 282, 284, 292, 295, 296, 297, 298, 339,</w:t>
      </w:r>
    </w:p>
    <w:p>
      <w:pPr>
        <w:spacing w:before="59"/>
        <w:ind w:left="561" w:right="120" w:firstLine="0"/>
        <w:jc w:val="center"/>
        <w:rPr>
          <w:rFonts w:ascii="Calibri"/>
          <w:sz w:val="32"/>
        </w:rPr>
      </w:pPr>
      <w:r>
        <w:rPr>
          <w:rFonts w:ascii="Calibri"/>
          <w:sz w:val="32"/>
        </w:rPr>
        <w:t>351, 371, 379, 383, 515, 522, 549, 604, 680, 827, 829, 847, 849, 888, 921, 982, 1007,</w:t>
      </w:r>
    </w:p>
    <w:p>
      <w:pPr>
        <w:spacing w:before="58"/>
        <w:ind w:left="837" w:right="0" w:firstLine="0"/>
        <w:jc w:val="left"/>
        <w:rPr>
          <w:rFonts w:ascii="Calibri"/>
          <w:sz w:val="32"/>
        </w:rPr>
      </w:pPr>
      <w:r>
        <w:rPr>
          <w:rFonts w:ascii="Calibri"/>
          <w:sz w:val="32"/>
        </w:rPr>
        <w:t>1017, 1023, 1154, 1175, 1187, 1204, 1208, 1245, 1249, 1260, 1304, 1331, 1332, 1415,</w:t>
      </w:r>
    </w:p>
    <w:p>
      <w:pPr>
        <w:spacing w:before="59"/>
        <w:ind w:left="837" w:right="0" w:firstLine="0"/>
        <w:jc w:val="left"/>
        <w:rPr>
          <w:rFonts w:ascii="Calibri"/>
          <w:sz w:val="32"/>
        </w:rPr>
      </w:pPr>
      <w:r>
        <w:rPr>
          <w:rFonts w:ascii="Calibri"/>
          <w:sz w:val="32"/>
        </w:rPr>
        <w:t>1492,1518, 1533, 1543, 1548, 1660, 1696, 1699, 1701, 1705, 1812, 1848</w:t>
      </w:r>
    </w:p>
    <w:p>
      <w:pPr>
        <w:spacing w:before="58"/>
        <w:ind w:left="460" w:right="0" w:firstLine="0"/>
        <w:jc w:val="center"/>
        <w:rPr>
          <w:rFonts w:ascii="Calibri"/>
          <w:sz w:val="32"/>
        </w:rPr>
      </w:pPr>
      <w:r>
        <w:rPr>
          <w:sz w:val="32"/>
        </w:rPr>
        <w:t>Allergies </w:t>
      </w:r>
      <w:r>
        <w:rPr>
          <w:rFonts w:ascii="Calibri"/>
          <w:sz w:val="32"/>
        </w:rPr>
        <w:t>1, 7, 26, 27, 33, 108, 185, 203, 212, 225, 254, 266, 292, 295, 300, 302, 311, 339,</w:t>
      </w:r>
    </w:p>
    <w:p>
      <w:pPr>
        <w:spacing w:before="60"/>
        <w:ind w:left="837" w:right="0" w:firstLine="0"/>
        <w:jc w:val="left"/>
        <w:rPr>
          <w:rFonts w:ascii="Calibri"/>
          <w:sz w:val="32"/>
        </w:rPr>
      </w:pPr>
      <w:r>
        <w:rPr>
          <w:rFonts w:ascii="Calibri"/>
          <w:sz w:val="32"/>
        </w:rPr>
        <w:t>346, 412, 429, 465, 466, 500, 549, 660, 673, 674, 693, 699, 706, 727, 747, 751, 753,</w:t>
      </w:r>
    </w:p>
    <w:p>
      <w:pPr>
        <w:spacing w:after="0"/>
        <w:jc w:val="left"/>
        <w:rPr>
          <w:rFonts w:ascii="Calibri"/>
          <w:sz w:val="32"/>
        </w:rPr>
        <w:sectPr>
          <w:pgSz w:w="14270" w:h="16850"/>
          <w:pgMar w:header="0" w:footer="1891" w:top="1340" w:bottom="2080" w:left="800" w:right="1280"/>
        </w:sectPr>
      </w:pPr>
    </w:p>
    <w:p>
      <w:pPr>
        <w:spacing w:before="15"/>
        <w:ind w:left="561" w:right="110" w:firstLine="0"/>
        <w:jc w:val="center"/>
        <w:rPr>
          <w:rFonts w:ascii="Calibri"/>
          <w:sz w:val="32"/>
        </w:rPr>
      </w:pPr>
      <w:r>
        <w:rPr>
          <w:rFonts w:ascii="Calibri"/>
          <w:sz w:val="32"/>
        </w:rPr>
        <w:t>827, 830, 834, 847, 849, 967, 1001, 1046, 1099, 1104, 1109, 1110, 1134, 1135, 1231,</w:t>
      </w:r>
    </w:p>
    <w:p>
      <w:pPr>
        <w:spacing w:before="61"/>
        <w:ind w:left="837" w:right="0" w:firstLine="0"/>
        <w:jc w:val="left"/>
        <w:rPr>
          <w:rFonts w:ascii="Calibri"/>
          <w:sz w:val="32"/>
        </w:rPr>
      </w:pPr>
      <w:r>
        <w:rPr>
          <w:rFonts w:ascii="Calibri"/>
          <w:sz w:val="32"/>
        </w:rPr>
        <w:t>1244, 1245, 1250, 1259, 1267, 1275, 1278, 1303, 1304, 1382, 1386, 1387, 1396,</w:t>
      </w:r>
      <w:r>
        <w:rPr>
          <w:rFonts w:ascii="Calibri"/>
          <w:spacing w:val="-23"/>
          <w:sz w:val="32"/>
        </w:rPr>
        <w:t> </w:t>
      </w:r>
      <w:r>
        <w:rPr>
          <w:rFonts w:ascii="Calibri"/>
          <w:sz w:val="32"/>
        </w:rPr>
        <w:t>1415,</w:t>
      </w:r>
    </w:p>
    <w:p>
      <w:pPr>
        <w:spacing w:before="58"/>
        <w:ind w:left="837" w:right="0" w:firstLine="0"/>
        <w:jc w:val="left"/>
        <w:rPr>
          <w:rFonts w:ascii="Calibri"/>
          <w:sz w:val="32"/>
        </w:rPr>
      </w:pPr>
      <w:r>
        <w:rPr>
          <w:rFonts w:ascii="Calibri"/>
          <w:sz w:val="32"/>
        </w:rPr>
        <w:t>1419, 1477, 1496, 1518, 1543, 1549, 1669, 1670, 1691, 1723, 1737, 1761, 1773,</w:t>
      </w:r>
      <w:r>
        <w:rPr>
          <w:rFonts w:ascii="Calibri"/>
          <w:spacing w:val="-23"/>
          <w:sz w:val="32"/>
        </w:rPr>
        <w:t> </w:t>
      </w:r>
      <w:r>
        <w:rPr>
          <w:rFonts w:ascii="Calibri"/>
          <w:sz w:val="32"/>
        </w:rPr>
        <w:t>1780,</w:t>
      </w:r>
    </w:p>
    <w:p>
      <w:pPr>
        <w:spacing w:before="58"/>
        <w:ind w:left="837" w:right="0" w:firstLine="0"/>
        <w:jc w:val="left"/>
        <w:rPr>
          <w:rFonts w:ascii="Calibri"/>
          <w:sz w:val="32"/>
        </w:rPr>
      </w:pPr>
      <w:r>
        <w:rPr>
          <w:rFonts w:ascii="Calibri"/>
          <w:sz w:val="32"/>
        </w:rPr>
        <w:t>1810, 1812, 1846</w:t>
      </w:r>
    </w:p>
    <w:p>
      <w:pPr>
        <w:spacing w:before="59"/>
        <w:ind w:left="463" w:right="0" w:firstLine="0"/>
        <w:jc w:val="center"/>
        <w:rPr>
          <w:rFonts w:ascii="Calibri" w:hAnsi="Calibri"/>
          <w:sz w:val="32"/>
        </w:rPr>
      </w:pPr>
      <w:r>
        <w:rPr>
          <w:sz w:val="32"/>
        </w:rPr>
        <w:t>Alzheimer’s </w:t>
      </w:r>
      <w:r>
        <w:rPr>
          <w:rFonts w:ascii="Calibri" w:hAnsi="Calibri"/>
          <w:sz w:val="32"/>
        </w:rPr>
        <w:t>.....1, 31, 32, 86, 88, 89, 90, 100, 102, 108, 122, 180, 216, 302, 329, 337, 342,</w:t>
      </w:r>
    </w:p>
    <w:p>
      <w:pPr>
        <w:spacing w:before="58"/>
        <w:ind w:left="837" w:right="0" w:firstLine="0"/>
        <w:jc w:val="left"/>
        <w:rPr>
          <w:rFonts w:ascii="Calibri"/>
          <w:sz w:val="32"/>
        </w:rPr>
      </w:pPr>
      <w:r>
        <w:rPr>
          <w:rFonts w:ascii="Calibri"/>
          <w:sz w:val="32"/>
        </w:rPr>
        <w:t>343, 350, 359, 370, 376, 388, 392, 395, 400, 414, 421, 422, 434, 481, 484, 490,</w:t>
      </w:r>
      <w:r>
        <w:rPr>
          <w:rFonts w:ascii="Calibri"/>
          <w:spacing w:val="-15"/>
          <w:sz w:val="32"/>
        </w:rPr>
        <w:t> </w:t>
      </w:r>
      <w:r>
        <w:rPr>
          <w:rFonts w:ascii="Calibri"/>
          <w:sz w:val="32"/>
        </w:rPr>
        <w:t>515,</w:t>
      </w:r>
    </w:p>
    <w:p>
      <w:pPr>
        <w:spacing w:before="58"/>
        <w:ind w:left="837" w:right="0" w:firstLine="0"/>
        <w:jc w:val="left"/>
        <w:rPr>
          <w:rFonts w:ascii="Calibri"/>
          <w:sz w:val="32"/>
        </w:rPr>
      </w:pPr>
      <w:r>
        <w:rPr>
          <w:rFonts w:ascii="Calibri"/>
          <w:sz w:val="32"/>
        </w:rPr>
        <w:t>522, 531, 605, 610, 673, 885, 888, 906, 912, 921, 925, 929, 932, 934, 942, 947,</w:t>
      </w:r>
      <w:r>
        <w:rPr>
          <w:rFonts w:ascii="Calibri"/>
          <w:spacing w:val="-22"/>
          <w:sz w:val="32"/>
        </w:rPr>
        <w:t> </w:t>
      </w:r>
      <w:r>
        <w:rPr>
          <w:rFonts w:ascii="Calibri"/>
          <w:sz w:val="32"/>
        </w:rPr>
        <w:t>954,</w:t>
      </w:r>
    </w:p>
    <w:p>
      <w:pPr>
        <w:spacing w:before="60"/>
        <w:ind w:left="837" w:right="0" w:firstLine="0"/>
        <w:jc w:val="left"/>
        <w:rPr>
          <w:rFonts w:ascii="Calibri"/>
          <w:sz w:val="32"/>
        </w:rPr>
      </w:pPr>
      <w:r>
        <w:rPr>
          <w:rFonts w:ascii="Calibri"/>
          <w:sz w:val="32"/>
        </w:rPr>
        <w:t>967, 977, 1036, 1040, 1057, 1060, 1067, 1129, 1135, 1136, 1144, 1166, 1242,</w:t>
      </w:r>
      <w:r>
        <w:rPr>
          <w:rFonts w:ascii="Calibri"/>
          <w:spacing w:val="-22"/>
          <w:sz w:val="32"/>
        </w:rPr>
        <w:t> </w:t>
      </w:r>
      <w:r>
        <w:rPr>
          <w:rFonts w:ascii="Calibri"/>
          <w:sz w:val="32"/>
        </w:rPr>
        <w:t>1297,</w:t>
      </w:r>
    </w:p>
    <w:p>
      <w:pPr>
        <w:spacing w:before="59"/>
        <w:ind w:left="837" w:right="0" w:firstLine="0"/>
        <w:jc w:val="left"/>
        <w:rPr>
          <w:rFonts w:ascii="Calibri"/>
          <w:sz w:val="32"/>
        </w:rPr>
      </w:pPr>
      <w:r>
        <w:rPr>
          <w:rFonts w:ascii="Calibri"/>
          <w:sz w:val="32"/>
        </w:rPr>
        <w:t>1305, 1340, 1345, 1349, 1357, 1358, 1674, 1676, 1710, 1751, 1762, 1767, 1847</w:t>
      </w:r>
    </w:p>
    <w:p>
      <w:pPr>
        <w:spacing w:before="58"/>
        <w:ind w:left="468" w:right="0" w:firstLine="0"/>
        <w:jc w:val="center"/>
        <w:rPr>
          <w:rFonts w:ascii="Calibri"/>
          <w:sz w:val="32"/>
        </w:rPr>
      </w:pPr>
      <w:r>
        <w:rPr>
          <w:sz w:val="32"/>
        </w:rPr>
        <w:t>Alzheimer's </w:t>
      </w:r>
      <w:r>
        <w:rPr>
          <w:rFonts w:ascii="Calibri"/>
          <w:sz w:val="32"/>
        </w:rPr>
        <w:t>....................................................................................................... 1469,</w:t>
      </w:r>
      <w:r>
        <w:rPr>
          <w:rFonts w:ascii="Calibri"/>
          <w:spacing w:val="24"/>
          <w:sz w:val="32"/>
        </w:rPr>
        <w:t> </w:t>
      </w:r>
      <w:r>
        <w:rPr>
          <w:rFonts w:ascii="Calibri"/>
          <w:sz w:val="32"/>
        </w:rPr>
        <w:t>1528</w:t>
      </w:r>
    </w:p>
    <w:p>
      <w:pPr>
        <w:spacing w:before="59"/>
        <w:ind w:left="462" w:right="0" w:firstLine="0"/>
        <w:jc w:val="center"/>
        <w:rPr>
          <w:rFonts w:ascii="Calibri"/>
          <w:sz w:val="32"/>
        </w:rPr>
      </w:pPr>
      <w:r>
        <w:rPr>
          <w:sz w:val="32"/>
        </w:rPr>
        <w:t>Anaemia</w:t>
      </w:r>
      <w:r>
        <w:rPr>
          <w:rFonts w:ascii="Calibri"/>
          <w:sz w:val="32"/>
        </w:rPr>
        <w:t>................................269, 286, 827, 831, 850, 888, 1276, 1379, 1387, 1397,</w:t>
      </w:r>
      <w:r>
        <w:rPr>
          <w:rFonts w:ascii="Calibri"/>
          <w:spacing w:val="33"/>
          <w:sz w:val="32"/>
        </w:rPr>
        <w:t> </w:t>
      </w:r>
      <w:r>
        <w:rPr>
          <w:rFonts w:ascii="Calibri"/>
          <w:sz w:val="32"/>
        </w:rPr>
        <w:t>1758</w:t>
      </w:r>
    </w:p>
    <w:p>
      <w:pPr>
        <w:spacing w:before="58"/>
        <w:ind w:left="463" w:right="0" w:firstLine="0"/>
        <w:jc w:val="center"/>
        <w:rPr>
          <w:rFonts w:ascii="Calibri"/>
          <w:sz w:val="32"/>
        </w:rPr>
      </w:pPr>
      <w:r>
        <w:rPr>
          <w:sz w:val="32"/>
        </w:rPr>
        <w:t>Angina</w:t>
      </w:r>
      <w:r>
        <w:rPr>
          <w:spacing w:val="-4"/>
          <w:sz w:val="32"/>
        </w:rPr>
        <w:t> </w:t>
      </w:r>
      <w:r>
        <w:rPr>
          <w:sz w:val="32"/>
        </w:rPr>
        <w:t>pectoris</w:t>
      </w:r>
      <w:r>
        <w:rPr>
          <w:spacing w:val="-20"/>
          <w:sz w:val="32"/>
        </w:rPr>
        <w:t> </w:t>
      </w:r>
      <w:r>
        <w:rPr>
          <w:rFonts w:ascii="Calibri"/>
          <w:sz w:val="32"/>
        </w:rPr>
        <w:t>....</w:t>
      </w:r>
      <w:r>
        <w:rPr>
          <w:rFonts w:ascii="Calibri"/>
          <w:spacing w:val="-22"/>
          <w:sz w:val="32"/>
        </w:rPr>
        <w:t> </w:t>
      </w:r>
      <w:r>
        <w:rPr>
          <w:rFonts w:ascii="Calibri"/>
          <w:sz w:val="32"/>
        </w:rPr>
        <w:t>157,</w:t>
      </w:r>
      <w:r>
        <w:rPr>
          <w:rFonts w:ascii="Calibri"/>
          <w:spacing w:val="-2"/>
          <w:sz w:val="32"/>
        </w:rPr>
        <w:t> </w:t>
      </w:r>
      <w:r>
        <w:rPr>
          <w:rFonts w:ascii="Calibri"/>
          <w:sz w:val="32"/>
        </w:rPr>
        <w:t>209,</w:t>
      </w:r>
      <w:r>
        <w:rPr>
          <w:rFonts w:ascii="Calibri"/>
          <w:spacing w:val="-1"/>
          <w:sz w:val="32"/>
        </w:rPr>
        <w:t> </w:t>
      </w:r>
      <w:r>
        <w:rPr>
          <w:rFonts w:ascii="Calibri"/>
          <w:sz w:val="32"/>
        </w:rPr>
        <w:t>210,</w:t>
      </w:r>
      <w:r>
        <w:rPr>
          <w:rFonts w:ascii="Calibri"/>
          <w:spacing w:val="-1"/>
          <w:sz w:val="32"/>
        </w:rPr>
        <w:t> </w:t>
      </w:r>
      <w:r>
        <w:rPr>
          <w:rFonts w:ascii="Calibri"/>
          <w:sz w:val="32"/>
        </w:rPr>
        <w:t>223,</w:t>
      </w:r>
      <w:r>
        <w:rPr>
          <w:rFonts w:ascii="Calibri"/>
          <w:spacing w:val="-2"/>
          <w:sz w:val="32"/>
        </w:rPr>
        <w:t> </w:t>
      </w:r>
      <w:r>
        <w:rPr>
          <w:rFonts w:ascii="Calibri"/>
          <w:sz w:val="32"/>
        </w:rPr>
        <w:t>226,</w:t>
      </w:r>
      <w:r>
        <w:rPr>
          <w:rFonts w:ascii="Calibri"/>
          <w:spacing w:val="-1"/>
          <w:sz w:val="32"/>
        </w:rPr>
        <w:t> </w:t>
      </w:r>
      <w:r>
        <w:rPr>
          <w:rFonts w:ascii="Calibri"/>
          <w:sz w:val="32"/>
        </w:rPr>
        <w:t>516,</w:t>
      </w:r>
      <w:r>
        <w:rPr>
          <w:rFonts w:ascii="Calibri"/>
          <w:spacing w:val="-3"/>
          <w:sz w:val="32"/>
        </w:rPr>
        <w:t> </w:t>
      </w:r>
      <w:r>
        <w:rPr>
          <w:rFonts w:ascii="Calibri"/>
          <w:sz w:val="32"/>
        </w:rPr>
        <w:t>525,</w:t>
      </w:r>
      <w:r>
        <w:rPr>
          <w:rFonts w:ascii="Calibri"/>
          <w:spacing w:val="-2"/>
          <w:sz w:val="32"/>
        </w:rPr>
        <w:t> </w:t>
      </w:r>
      <w:r>
        <w:rPr>
          <w:rFonts w:ascii="Calibri"/>
          <w:sz w:val="32"/>
        </w:rPr>
        <w:t>615,</w:t>
      </w:r>
      <w:r>
        <w:rPr>
          <w:rFonts w:ascii="Calibri"/>
          <w:spacing w:val="-1"/>
          <w:sz w:val="32"/>
        </w:rPr>
        <w:t> </w:t>
      </w:r>
      <w:r>
        <w:rPr>
          <w:rFonts w:ascii="Calibri"/>
          <w:sz w:val="32"/>
        </w:rPr>
        <w:t>760,</w:t>
      </w:r>
      <w:r>
        <w:rPr>
          <w:rFonts w:ascii="Calibri"/>
          <w:spacing w:val="-1"/>
          <w:sz w:val="32"/>
        </w:rPr>
        <w:t> </w:t>
      </w:r>
      <w:r>
        <w:rPr>
          <w:rFonts w:ascii="Calibri"/>
          <w:sz w:val="32"/>
        </w:rPr>
        <w:t>888,</w:t>
      </w:r>
      <w:r>
        <w:rPr>
          <w:rFonts w:ascii="Calibri"/>
          <w:spacing w:val="-2"/>
          <w:sz w:val="32"/>
        </w:rPr>
        <w:t> </w:t>
      </w:r>
      <w:r>
        <w:rPr>
          <w:rFonts w:ascii="Calibri"/>
          <w:sz w:val="32"/>
        </w:rPr>
        <w:t>892,</w:t>
      </w:r>
      <w:r>
        <w:rPr>
          <w:rFonts w:ascii="Calibri"/>
          <w:spacing w:val="-1"/>
          <w:sz w:val="32"/>
        </w:rPr>
        <w:t> </w:t>
      </w:r>
      <w:r>
        <w:rPr>
          <w:rFonts w:ascii="Calibri"/>
          <w:sz w:val="32"/>
        </w:rPr>
        <w:t>915,</w:t>
      </w:r>
      <w:r>
        <w:rPr>
          <w:rFonts w:ascii="Calibri"/>
          <w:spacing w:val="-1"/>
          <w:sz w:val="32"/>
        </w:rPr>
        <w:t> </w:t>
      </w:r>
      <w:r>
        <w:rPr>
          <w:rFonts w:ascii="Calibri"/>
          <w:sz w:val="32"/>
        </w:rPr>
        <w:t>968,</w:t>
      </w:r>
      <w:r>
        <w:rPr>
          <w:rFonts w:ascii="Calibri"/>
          <w:spacing w:val="-2"/>
          <w:sz w:val="32"/>
        </w:rPr>
        <w:t> </w:t>
      </w:r>
      <w:r>
        <w:rPr>
          <w:rFonts w:ascii="Calibri"/>
          <w:sz w:val="32"/>
        </w:rPr>
        <w:t>1168,</w:t>
      </w:r>
    </w:p>
    <w:p>
      <w:pPr>
        <w:spacing w:before="60"/>
        <w:ind w:left="837" w:right="0" w:firstLine="0"/>
        <w:jc w:val="left"/>
        <w:rPr>
          <w:rFonts w:ascii="Calibri"/>
          <w:sz w:val="32"/>
        </w:rPr>
      </w:pPr>
      <w:r>
        <w:rPr>
          <w:rFonts w:ascii="Calibri"/>
          <w:sz w:val="32"/>
        </w:rPr>
        <w:t>1172, 1303, 1305, 1312, 1316, 1317, 1414, 1416, 1423, 1616, 1620, 1632, 1634, 1641</w:t>
      </w:r>
    </w:p>
    <w:p>
      <w:pPr>
        <w:spacing w:before="58"/>
        <w:ind w:left="468" w:right="0" w:firstLine="0"/>
        <w:jc w:val="center"/>
        <w:rPr>
          <w:rFonts w:ascii="Calibri"/>
          <w:sz w:val="32"/>
        </w:rPr>
      </w:pPr>
      <w:r>
        <w:rPr>
          <w:sz w:val="32"/>
        </w:rPr>
        <w:t>anxiety  </w:t>
      </w:r>
      <w:r>
        <w:rPr>
          <w:rFonts w:ascii="Calibri"/>
          <w:sz w:val="32"/>
        </w:rPr>
        <w:t>.............................................................................................................. 1672,</w:t>
      </w:r>
      <w:r>
        <w:rPr>
          <w:rFonts w:ascii="Calibri"/>
          <w:spacing w:val="-36"/>
          <w:sz w:val="32"/>
        </w:rPr>
        <w:t> </w:t>
      </w:r>
      <w:r>
        <w:rPr>
          <w:rFonts w:ascii="Calibri"/>
          <w:sz w:val="32"/>
        </w:rPr>
        <w:t>1710</w:t>
      </w:r>
    </w:p>
    <w:p>
      <w:pPr>
        <w:spacing w:before="59"/>
        <w:ind w:left="468" w:right="0" w:firstLine="0"/>
        <w:jc w:val="center"/>
        <w:rPr>
          <w:rFonts w:ascii="Calibri"/>
          <w:sz w:val="32"/>
        </w:rPr>
      </w:pPr>
      <w:r>
        <w:rPr>
          <w:sz w:val="32"/>
        </w:rPr>
        <w:t>Anxiety </w:t>
      </w:r>
      <w:r>
        <w:rPr>
          <w:rFonts w:ascii="Calibri"/>
          <w:sz w:val="32"/>
        </w:rPr>
        <w:t>............................................................................................................. 1276,</w:t>
      </w:r>
      <w:r>
        <w:rPr>
          <w:rFonts w:ascii="Calibri"/>
          <w:spacing w:val="39"/>
          <w:sz w:val="32"/>
        </w:rPr>
        <w:t> </w:t>
      </w:r>
      <w:r>
        <w:rPr>
          <w:rFonts w:ascii="Calibri"/>
          <w:sz w:val="32"/>
        </w:rPr>
        <w:t>1590</w:t>
      </w:r>
    </w:p>
    <w:p>
      <w:pPr>
        <w:spacing w:before="58"/>
        <w:ind w:left="460" w:right="0" w:firstLine="0"/>
        <w:jc w:val="center"/>
        <w:rPr>
          <w:rFonts w:ascii="Calibri"/>
          <w:sz w:val="32"/>
        </w:rPr>
      </w:pPr>
      <w:r>
        <w:rPr>
          <w:sz w:val="32"/>
        </w:rPr>
        <w:t>Arthritis </w:t>
      </w:r>
      <w:r>
        <w:rPr>
          <w:rFonts w:ascii="Calibri"/>
          <w:spacing w:val="2"/>
          <w:sz w:val="32"/>
        </w:rPr>
        <w:t>....1, </w:t>
      </w:r>
      <w:r>
        <w:rPr>
          <w:rFonts w:ascii="Calibri"/>
          <w:sz w:val="32"/>
        </w:rPr>
        <w:t>7, 19, 21, 33, 86, 90, 102, 147, 153, 155, 156, 172, 185, 190, 192, 203,</w:t>
      </w:r>
      <w:r>
        <w:rPr>
          <w:rFonts w:ascii="Calibri"/>
          <w:spacing w:val="-34"/>
          <w:sz w:val="32"/>
        </w:rPr>
        <w:t> </w:t>
      </w:r>
      <w:r>
        <w:rPr>
          <w:rFonts w:ascii="Calibri"/>
          <w:sz w:val="32"/>
        </w:rPr>
        <w:t>208,</w:t>
      </w:r>
    </w:p>
    <w:p>
      <w:pPr>
        <w:spacing w:before="58"/>
        <w:ind w:left="837" w:right="0" w:firstLine="0"/>
        <w:jc w:val="left"/>
        <w:rPr>
          <w:rFonts w:ascii="Calibri"/>
          <w:sz w:val="32"/>
        </w:rPr>
      </w:pPr>
      <w:r>
        <w:rPr>
          <w:rFonts w:ascii="Calibri"/>
          <w:sz w:val="32"/>
        </w:rPr>
        <w:t>216, 270, 280, 285, 286, 295, 299, 333, 336, 338, 343, 344, 382, 411, 412, 428,</w:t>
      </w:r>
      <w:r>
        <w:rPr>
          <w:rFonts w:ascii="Calibri"/>
          <w:spacing w:val="-22"/>
          <w:sz w:val="32"/>
        </w:rPr>
        <w:t> </w:t>
      </w:r>
      <w:r>
        <w:rPr>
          <w:rFonts w:ascii="Calibri"/>
          <w:sz w:val="32"/>
        </w:rPr>
        <w:t>443,</w:t>
      </w:r>
    </w:p>
    <w:p>
      <w:pPr>
        <w:spacing w:before="59"/>
        <w:ind w:left="837" w:right="0" w:firstLine="0"/>
        <w:jc w:val="left"/>
        <w:rPr>
          <w:rFonts w:ascii="Calibri"/>
          <w:sz w:val="32"/>
        </w:rPr>
      </w:pPr>
      <w:r>
        <w:rPr>
          <w:rFonts w:ascii="Calibri"/>
          <w:sz w:val="32"/>
        </w:rPr>
        <w:t>457, 480, 481, 485, 486, 490, 493, 515, 516, 522, 531, 549, 609, 660, 661, 673,</w:t>
      </w:r>
      <w:r>
        <w:rPr>
          <w:rFonts w:ascii="Calibri"/>
          <w:spacing w:val="-19"/>
          <w:sz w:val="32"/>
        </w:rPr>
        <w:t> </w:t>
      </w:r>
      <w:r>
        <w:rPr>
          <w:rFonts w:ascii="Calibri"/>
          <w:sz w:val="32"/>
        </w:rPr>
        <w:t>677,</w:t>
      </w:r>
    </w:p>
    <w:p>
      <w:pPr>
        <w:spacing w:before="60"/>
        <w:ind w:left="837" w:right="0" w:firstLine="0"/>
        <w:jc w:val="left"/>
        <w:rPr>
          <w:rFonts w:ascii="Calibri"/>
          <w:sz w:val="32"/>
        </w:rPr>
      </w:pPr>
      <w:r>
        <w:rPr>
          <w:rFonts w:ascii="Calibri"/>
          <w:sz w:val="32"/>
        </w:rPr>
        <w:t>680,699, 725, 739, 748, 751, 760, 816, 825, 827, 830, 835, 849, 1024, 1025, 1036,</w:t>
      </w:r>
    </w:p>
    <w:p>
      <w:pPr>
        <w:spacing w:before="58"/>
        <w:ind w:left="837" w:right="0" w:firstLine="0"/>
        <w:jc w:val="left"/>
        <w:rPr>
          <w:rFonts w:ascii="Calibri"/>
          <w:sz w:val="32"/>
        </w:rPr>
      </w:pPr>
      <w:r>
        <w:rPr>
          <w:rFonts w:ascii="Calibri"/>
          <w:sz w:val="32"/>
        </w:rPr>
        <w:t>1045, 1046, 1052, 1053, 1076, 1114, 1115, 1116, 1137, 1140, 1145, 1154, 1165,</w:t>
      </w:r>
      <w:r>
        <w:rPr>
          <w:rFonts w:ascii="Calibri"/>
          <w:spacing w:val="-23"/>
          <w:sz w:val="32"/>
        </w:rPr>
        <w:t> </w:t>
      </w:r>
      <w:r>
        <w:rPr>
          <w:rFonts w:ascii="Calibri"/>
          <w:sz w:val="32"/>
        </w:rPr>
        <w:t>1173,</w:t>
      </w:r>
    </w:p>
    <w:p>
      <w:pPr>
        <w:spacing w:before="59"/>
        <w:ind w:left="837" w:right="0" w:firstLine="0"/>
        <w:jc w:val="left"/>
        <w:rPr>
          <w:rFonts w:ascii="Calibri"/>
          <w:sz w:val="32"/>
        </w:rPr>
      </w:pPr>
      <w:r>
        <w:rPr>
          <w:rFonts w:ascii="Calibri"/>
          <w:sz w:val="32"/>
        </w:rPr>
        <w:t>1183, 1185, 1204, 1216, 1242, 1248, 1252, 1265, 1276, 1279, 1280, 1296, 1297,</w:t>
      </w:r>
      <w:r>
        <w:rPr>
          <w:rFonts w:ascii="Calibri"/>
          <w:spacing w:val="-19"/>
          <w:sz w:val="32"/>
        </w:rPr>
        <w:t> </w:t>
      </w:r>
      <w:r>
        <w:rPr>
          <w:rFonts w:ascii="Calibri"/>
          <w:sz w:val="32"/>
        </w:rPr>
        <w:t>1307,</w:t>
      </w:r>
    </w:p>
    <w:p>
      <w:pPr>
        <w:spacing w:before="58"/>
        <w:ind w:left="837" w:right="0" w:firstLine="0"/>
        <w:jc w:val="left"/>
        <w:rPr>
          <w:rFonts w:ascii="Calibri"/>
          <w:sz w:val="32"/>
        </w:rPr>
      </w:pPr>
      <w:r>
        <w:rPr>
          <w:rFonts w:ascii="Calibri"/>
          <w:sz w:val="32"/>
        </w:rPr>
        <w:t>1340, 1347, 1350, 1364, 1365, 1377, 1380, 1406, 1415, 1420, 1423, 1424, 1425,</w:t>
      </w:r>
      <w:r>
        <w:rPr>
          <w:rFonts w:ascii="Calibri"/>
          <w:spacing w:val="-23"/>
          <w:sz w:val="32"/>
        </w:rPr>
        <w:t> </w:t>
      </w:r>
      <w:r>
        <w:rPr>
          <w:rFonts w:ascii="Calibri"/>
          <w:sz w:val="32"/>
        </w:rPr>
        <w:t>1426,</w:t>
      </w:r>
    </w:p>
    <w:p>
      <w:pPr>
        <w:spacing w:before="58"/>
        <w:ind w:left="837" w:right="0" w:firstLine="0"/>
        <w:jc w:val="left"/>
        <w:rPr>
          <w:rFonts w:ascii="Calibri"/>
          <w:sz w:val="32"/>
        </w:rPr>
      </w:pPr>
      <w:r>
        <w:rPr>
          <w:rFonts w:ascii="Calibri"/>
          <w:sz w:val="32"/>
        </w:rPr>
        <w:t>1475, 1482, 1498, 1511, 1533, 1542, 1546, 1547, 1569, 1579, 1675, 1683, 1691,</w:t>
      </w:r>
      <w:r>
        <w:rPr>
          <w:rFonts w:ascii="Calibri"/>
          <w:spacing w:val="-23"/>
          <w:sz w:val="32"/>
        </w:rPr>
        <w:t> </w:t>
      </w:r>
      <w:r>
        <w:rPr>
          <w:rFonts w:ascii="Calibri"/>
          <w:sz w:val="32"/>
        </w:rPr>
        <w:t>1717,</w:t>
      </w:r>
    </w:p>
    <w:p>
      <w:pPr>
        <w:spacing w:before="58"/>
        <w:ind w:left="837" w:right="0" w:firstLine="0"/>
        <w:jc w:val="left"/>
        <w:rPr>
          <w:rFonts w:ascii="Calibri"/>
          <w:sz w:val="32"/>
        </w:rPr>
      </w:pPr>
      <w:r>
        <w:rPr>
          <w:rFonts w:ascii="Calibri"/>
          <w:sz w:val="32"/>
        </w:rPr>
        <w:t>1740, 1741, 1763, 1767, 1802, 1814, 1842, 1847</w:t>
      </w:r>
    </w:p>
    <w:p>
      <w:pPr>
        <w:spacing w:before="61"/>
        <w:ind w:left="463" w:right="0" w:firstLine="0"/>
        <w:jc w:val="center"/>
        <w:rPr>
          <w:rFonts w:ascii="Calibri"/>
          <w:sz w:val="32"/>
        </w:rPr>
      </w:pPr>
      <w:r>
        <w:rPr>
          <w:sz w:val="32"/>
        </w:rPr>
        <w:t>Arthrosis</w:t>
      </w:r>
      <w:r>
        <w:rPr>
          <w:spacing w:val="-59"/>
          <w:sz w:val="32"/>
        </w:rPr>
        <w:t> </w:t>
      </w:r>
      <w:r>
        <w:rPr>
          <w:rFonts w:ascii="Calibri"/>
          <w:sz w:val="32"/>
        </w:rPr>
        <w:t>.....1, 7, 19, 33, 153, 156, 185, 190, 338, 345, 443, 446, 449, 452, 456, 457, 458,</w:t>
      </w:r>
    </w:p>
    <w:p>
      <w:pPr>
        <w:spacing w:before="58"/>
        <w:ind w:left="837" w:right="0" w:firstLine="0"/>
        <w:jc w:val="left"/>
        <w:rPr>
          <w:rFonts w:ascii="Calibri"/>
          <w:sz w:val="32"/>
        </w:rPr>
      </w:pPr>
      <w:r>
        <w:rPr>
          <w:rFonts w:ascii="Calibri"/>
          <w:sz w:val="32"/>
        </w:rPr>
        <w:t>459, 460, 462, 467, 471, 480, 484, 486, 488, 677, 678, 679, 739, 748, 1115, 1116,</w:t>
      </w:r>
    </w:p>
    <w:p>
      <w:pPr>
        <w:spacing w:after="0"/>
        <w:jc w:val="left"/>
        <w:rPr>
          <w:rFonts w:ascii="Calibri"/>
          <w:sz w:val="32"/>
        </w:rPr>
        <w:sectPr>
          <w:pgSz w:w="14270" w:h="16850"/>
          <w:pgMar w:header="0" w:footer="1891" w:top="1400" w:bottom="2080" w:left="800" w:right="1280"/>
        </w:sectPr>
      </w:pPr>
    </w:p>
    <w:p>
      <w:pPr>
        <w:spacing w:before="15"/>
        <w:ind w:left="815" w:right="183" w:firstLine="0"/>
        <w:jc w:val="center"/>
        <w:rPr>
          <w:rFonts w:ascii="Calibri"/>
          <w:sz w:val="32"/>
        </w:rPr>
      </w:pPr>
      <w:r>
        <w:rPr>
          <w:rFonts w:ascii="Calibri"/>
          <w:sz w:val="32"/>
        </w:rPr>
        <w:t>1125, 1140, 1204, 1248, 1252, 1350, 1365, 1465, 1475, 1482, 1498, 1505, 1511, 1544,</w:t>
      </w:r>
    </w:p>
    <w:p>
      <w:pPr>
        <w:spacing w:before="61"/>
        <w:ind w:left="837" w:right="0" w:firstLine="0"/>
        <w:jc w:val="left"/>
        <w:rPr>
          <w:rFonts w:ascii="Calibri"/>
          <w:sz w:val="32"/>
        </w:rPr>
      </w:pPr>
      <w:r>
        <w:rPr>
          <w:rFonts w:ascii="Calibri"/>
          <w:sz w:val="32"/>
        </w:rPr>
        <w:t>1590, 1741, 1748, 1815, 1842, 1847</w:t>
      </w:r>
    </w:p>
    <w:p>
      <w:pPr>
        <w:spacing w:before="58"/>
        <w:ind w:left="467" w:right="0" w:firstLine="0"/>
        <w:jc w:val="center"/>
        <w:rPr>
          <w:rFonts w:ascii="Calibri" w:hAnsi="Calibri"/>
          <w:sz w:val="32"/>
        </w:rPr>
      </w:pPr>
      <w:r>
        <w:rPr>
          <w:sz w:val="32"/>
        </w:rPr>
        <w:t>Asperger’s syndrome </w:t>
      </w:r>
      <w:r>
        <w:rPr>
          <w:rFonts w:ascii="Calibri" w:hAnsi="Calibri"/>
          <w:sz w:val="32"/>
        </w:rPr>
        <w:t>..................................................................................... 933, 935,</w:t>
      </w:r>
      <w:r>
        <w:rPr>
          <w:rFonts w:ascii="Calibri" w:hAnsi="Calibri"/>
          <w:spacing w:val="7"/>
          <w:sz w:val="32"/>
        </w:rPr>
        <w:t> </w:t>
      </w:r>
      <w:r>
        <w:rPr>
          <w:rFonts w:ascii="Calibri" w:hAnsi="Calibri"/>
          <w:sz w:val="32"/>
        </w:rPr>
        <w:t>947</w:t>
      </w:r>
    </w:p>
    <w:p>
      <w:pPr>
        <w:spacing w:before="58"/>
        <w:ind w:left="460" w:right="0" w:firstLine="0"/>
        <w:jc w:val="center"/>
        <w:rPr>
          <w:rFonts w:ascii="Calibri"/>
          <w:sz w:val="32"/>
        </w:rPr>
      </w:pPr>
      <w:r>
        <w:rPr>
          <w:sz w:val="32"/>
        </w:rPr>
        <w:t>Asthma </w:t>
      </w:r>
      <w:r>
        <w:rPr>
          <w:rFonts w:ascii="Calibri"/>
          <w:sz w:val="32"/>
        </w:rPr>
        <w:t>.7, 33, 152, 185, 205, 208, 213, 280, 295, 301, 306, 339, 347, 400, 408, 411,</w:t>
      </w:r>
      <w:r>
        <w:rPr>
          <w:rFonts w:ascii="Calibri"/>
          <w:spacing w:val="-34"/>
          <w:sz w:val="32"/>
        </w:rPr>
        <w:t> </w:t>
      </w:r>
      <w:r>
        <w:rPr>
          <w:rFonts w:ascii="Calibri"/>
          <w:sz w:val="32"/>
        </w:rPr>
        <w:t>414,</w:t>
      </w:r>
    </w:p>
    <w:p>
      <w:pPr>
        <w:spacing w:before="59"/>
        <w:ind w:left="837" w:right="0" w:firstLine="0"/>
        <w:jc w:val="left"/>
        <w:rPr>
          <w:rFonts w:ascii="Calibri"/>
          <w:sz w:val="32"/>
        </w:rPr>
      </w:pPr>
      <w:r>
        <w:rPr>
          <w:rFonts w:ascii="Calibri"/>
          <w:sz w:val="32"/>
        </w:rPr>
        <w:t>429, 437, 438, 480, 549, 673, 674, 751, 827, 830, 850, 967, 969, 994, 1025, 1036,</w:t>
      </w:r>
    </w:p>
    <w:p>
      <w:pPr>
        <w:spacing w:before="58"/>
        <w:ind w:left="811" w:right="188" w:firstLine="0"/>
        <w:jc w:val="center"/>
        <w:rPr>
          <w:rFonts w:ascii="Calibri"/>
          <w:sz w:val="32"/>
        </w:rPr>
      </w:pPr>
      <w:r>
        <w:rPr>
          <w:rFonts w:ascii="Calibri"/>
          <w:sz w:val="32"/>
        </w:rPr>
        <w:t>1047, 1053, 1056, 1067, 1085, 1110, 1134, 1138, 1177, 1198, 1203, 1209, 1210, 1246,</w:t>
      </w:r>
    </w:p>
    <w:p>
      <w:pPr>
        <w:spacing w:before="58"/>
        <w:ind w:left="837" w:right="0" w:firstLine="0"/>
        <w:jc w:val="left"/>
        <w:rPr>
          <w:rFonts w:ascii="Calibri"/>
          <w:sz w:val="32"/>
        </w:rPr>
      </w:pPr>
      <w:r>
        <w:rPr>
          <w:rFonts w:ascii="Calibri"/>
          <w:sz w:val="32"/>
        </w:rPr>
        <w:t>1305, 1543, 1549, 1636, 1637, 1675, 1737, 1761, 1815, 1816</w:t>
      </w:r>
    </w:p>
    <w:p>
      <w:pPr>
        <w:spacing w:before="60"/>
        <w:ind w:left="462" w:right="0" w:firstLine="0"/>
        <w:jc w:val="center"/>
        <w:rPr>
          <w:rFonts w:ascii="Calibri"/>
          <w:sz w:val="32"/>
        </w:rPr>
      </w:pPr>
      <w:r>
        <w:rPr>
          <w:sz w:val="32"/>
        </w:rPr>
        <w:t>Atherosclerosis</w:t>
      </w:r>
      <w:r>
        <w:rPr>
          <w:rFonts w:ascii="Calibri"/>
          <w:sz w:val="32"/>
        </w:rPr>
        <w:t>. 10, 25, 86, 90, 99, 102, 119, 142, 148, 149, 152, 157, 177, 187, 249, 250,</w:t>
      </w:r>
    </w:p>
    <w:p>
      <w:pPr>
        <w:spacing w:before="59"/>
        <w:ind w:left="461" w:right="188" w:firstLine="0"/>
        <w:jc w:val="center"/>
        <w:rPr>
          <w:rFonts w:ascii="Calibri"/>
          <w:sz w:val="32"/>
        </w:rPr>
      </w:pPr>
      <w:r>
        <w:rPr>
          <w:rFonts w:ascii="Calibri"/>
          <w:sz w:val="32"/>
        </w:rPr>
        <w:t>340, 342, 370, 374, 379, 381, 382, 407, 408, 414, 417, 420, 480, 483, 484, 506,</w:t>
      </w:r>
      <w:r>
        <w:rPr>
          <w:rFonts w:ascii="Calibri"/>
          <w:spacing w:val="-19"/>
          <w:sz w:val="32"/>
        </w:rPr>
        <w:t> </w:t>
      </w:r>
      <w:r>
        <w:rPr>
          <w:rFonts w:ascii="Calibri"/>
          <w:sz w:val="32"/>
        </w:rPr>
        <w:t>512,</w:t>
      </w:r>
    </w:p>
    <w:p>
      <w:pPr>
        <w:spacing w:before="58"/>
        <w:ind w:left="458" w:right="188" w:firstLine="0"/>
        <w:jc w:val="center"/>
        <w:rPr>
          <w:rFonts w:ascii="Calibri"/>
          <w:sz w:val="32"/>
        </w:rPr>
      </w:pPr>
      <w:r>
        <w:rPr>
          <w:rFonts w:ascii="Calibri"/>
          <w:sz w:val="32"/>
        </w:rPr>
        <w:t>515, 516, 524, 525, 527, 531, 587, 607, 617, 620, 621, 667, 738, 747, 758, 759,</w:t>
      </w:r>
      <w:r>
        <w:rPr>
          <w:rFonts w:ascii="Calibri"/>
          <w:spacing w:val="-22"/>
          <w:sz w:val="32"/>
        </w:rPr>
        <w:t> </w:t>
      </w:r>
      <w:r>
        <w:rPr>
          <w:rFonts w:ascii="Calibri"/>
          <w:sz w:val="32"/>
        </w:rPr>
        <w:t>762,</w:t>
      </w:r>
    </w:p>
    <w:p>
      <w:pPr>
        <w:spacing w:before="59"/>
        <w:ind w:left="467" w:right="188" w:firstLine="0"/>
        <w:jc w:val="center"/>
        <w:rPr>
          <w:rFonts w:ascii="Calibri"/>
          <w:sz w:val="32"/>
        </w:rPr>
      </w:pPr>
      <w:r>
        <w:rPr>
          <w:rFonts w:ascii="Calibri"/>
          <w:sz w:val="32"/>
        </w:rPr>
        <w:t>792, 818, 822, 824, 827, 830, 888, 892, 936, 937, 938, 941, 1021, 1040, 1046,</w:t>
      </w:r>
      <w:r>
        <w:rPr>
          <w:rFonts w:ascii="Calibri"/>
          <w:spacing w:val="-22"/>
          <w:sz w:val="32"/>
        </w:rPr>
        <w:t> </w:t>
      </w:r>
      <w:r>
        <w:rPr>
          <w:rFonts w:ascii="Calibri"/>
          <w:sz w:val="32"/>
        </w:rPr>
        <w:t>1050,</w:t>
      </w:r>
    </w:p>
    <w:p>
      <w:pPr>
        <w:spacing w:before="58"/>
        <w:ind w:left="814" w:right="188" w:firstLine="0"/>
        <w:jc w:val="center"/>
        <w:rPr>
          <w:rFonts w:ascii="Calibri"/>
          <w:sz w:val="32"/>
        </w:rPr>
      </w:pPr>
      <w:r>
        <w:rPr>
          <w:rFonts w:ascii="Calibri"/>
          <w:sz w:val="32"/>
        </w:rPr>
        <w:t>1051, 1053, 1066, 1067, 1072, 1073, 1074, 1077, 1087, 1104, 1105, 1121, 1125,</w:t>
      </w:r>
      <w:r>
        <w:rPr>
          <w:rFonts w:ascii="Calibri"/>
          <w:spacing w:val="-19"/>
          <w:sz w:val="32"/>
        </w:rPr>
        <w:t> </w:t>
      </w:r>
      <w:r>
        <w:rPr>
          <w:rFonts w:ascii="Calibri"/>
          <w:sz w:val="32"/>
        </w:rPr>
        <w:t>1126,</w:t>
      </w:r>
    </w:p>
    <w:p>
      <w:pPr>
        <w:spacing w:before="60"/>
        <w:ind w:left="810" w:right="188" w:firstLine="0"/>
        <w:jc w:val="center"/>
        <w:rPr>
          <w:rFonts w:ascii="Calibri"/>
          <w:sz w:val="32"/>
        </w:rPr>
      </w:pPr>
      <w:r>
        <w:rPr>
          <w:rFonts w:ascii="Calibri"/>
          <w:sz w:val="32"/>
        </w:rPr>
        <w:t>1127, 1132, 1137, 1144, 1165, 1172, 1176, 1200, 1203, 1206, 1207, 1242, 1246,</w:t>
      </w:r>
      <w:r>
        <w:rPr>
          <w:rFonts w:ascii="Calibri"/>
          <w:spacing w:val="-23"/>
          <w:sz w:val="32"/>
        </w:rPr>
        <w:t> </w:t>
      </w:r>
      <w:r>
        <w:rPr>
          <w:rFonts w:ascii="Calibri"/>
          <w:sz w:val="32"/>
        </w:rPr>
        <w:t>1276,</w:t>
      </w:r>
    </w:p>
    <w:p>
      <w:pPr>
        <w:spacing w:before="58"/>
        <w:ind w:left="810" w:right="188" w:firstLine="0"/>
        <w:jc w:val="center"/>
        <w:rPr>
          <w:rFonts w:ascii="Calibri"/>
          <w:sz w:val="32"/>
        </w:rPr>
      </w:pPr>
      <w:r>
        <w:rPr>
          <w:rFonts w:ascii="Calibri"/>
          <w:sz w:val="32"/>
        </w:rPr>
        <w:t>1296, 1305, 1306, 1344, 1348, 1361, 1383, 1386, 1392, 1414, 1465, 1466, 1473,</w:t>
      </w:r>
      <w:r>
        <w:rPr>
          <w:rFonts w:ascii="Calibri"/>
          <w:spacing w:val="-23"/>
          <w:sz w:val="32"/>
        </w:rPr>
        <w:t> </w:t>
      </w:r>
      <w:r>
        <w:rPr>
          <w:rFonts w:ascii="Calibri"/>
          <w:sz w:val="32"/>
        </w:rPr>
        <w:t>1475,</w:t>
      </w:r>
    </w:p>
    <w:p>
      <w:pPr>
        <w:spacing w:before="59"/>
        <w:ind w:left="815" w:right="188" w:firstLine="0"/>
        <w:jc w:val="center"/>
        <w:rPr>
          <w:rFonts w:ascii="Calibri"/>
          <w:sz w:val="32"/>
        </w:rPr>
      </w:pPr>
      <w:r>
        <w:rPr>
          <w:rFonts w:ascii="Calibri"/>
          <w:sz w:val="32"/>
        </w:rPr>
        <w:t>1482, 1488, 1492, 1512, 1529, 1532, 1536, 1544, 1660, 1682, 1694, 1717, 1718,</w:t>
      </w:r>
      <w:r>
        <w:rPr>
          <w:rFonts w:ascii="Calibri"/>
          <w:spacing w:val="-18"/>
          <w:sz w:val="32"/>
        </w:rPr>
        <w:t> </w:t>
      </w:r>
      <w:r>
        <w:rPr>
          <w:rFonts w:ascii="Calibri"/>
          <w:sz w:val="32"/>
        </w:rPr>
        <w:t>1745,</w:t>
      </w:r>
    </w:p>
    <w:p>
      <w:pPr>
        <w:spacing w:before="58"/>
        <w:ind w:left="810" w:right="188" w:firstLine="0"/>
        <w:jc w:val="center"/>
        <w:rPr>
          <w:rFonts w:ascii="Calibri"/>
          <w:sz w:val="32"/>
        </w:rPr>
      </w:pPr>
      <w:r>
        <w:rPr>
          <w:rFonts w:ascii="Calibri"/>
          <w:sz w:val="32"/>
        </w:rPr>
        <w:t>1748, 1749, 1752, 1753, 1754, 1755, 1756, 1767, 1798, 1813, 1814, 1818, 1826,</w:t>
      </w:r>
      <w:r>
        <w:rPr>
          <w:rFonts w:ascii="Calibri"/>
          <w:spacing w:val="-23"/>
          <w:sz w:val="32"/>
        </w:rPr>
        <w:t> </w:t>
      </w:r>
      <w:r>
        <w:rPr>
          <w:rFonts w:ascii="Calibri"/>
          <w:sz w:val="32"/>
        </w:rPr>
        <w:t>1842,</w:t>
      </w:r>
    </w:p>
    <w:p>
      <w:pPr>
        <w:spacing w:before="58"/>
        <w:ind w:left="837" w:right="0" w:firstLine="0"/>
        <w:jc w:val="left"/>
        <w:rPr>
          <w:rFonts w:ascii="Calibri"/>
          <w:sz w:val="32"/>
        </w:rPr>
      </w:pPr>
      <w:r>
        <w:rPr>
          <w:rFonts w:ascii="Calibri"/>
          <w:sz w:val="32"/>
        </w:rPr>
        <w:t>1845</w:t>
      </w:r>
    </w:p>
    <w:p>
      <w:pPr>
        <w:spacing w:before="59"/>
        <w:ind w:left="466" w:right="0" w:firstLine="0"/>
        <w:jc w:val="center"/>
        <w:rPr>
          <w:rFonts w:ascii="Calibri"/>
          <w:sz w:val="32"/>
        </w:rPr>
      </w:pPr>
      <w:r>
        <w:rPr>
          <w:sz w:val="32"/>
        </w:rPr>
        <w:t>Attention deficit </w:t>
      </w:r>
      <w:r>
        <w:rPr>
          <w:rFonts w:ascii="Calibri"/>
          <w:sz w:val="32"/>
        </w:rPr>
        <w:t>.........................................................................392, 415, 427, 1061,</w:t>
      </w:r>
      <w:r>
        <w:rPr>
          <w:rFonts w:ascii="Calibri"/>
          <w:spacing w:val="14"/>
          <w:sz w:val="32"/>
        </w:rPr>
        <w:t> </w:t>
      </w:r>
      <w:r>
        <w:rPr>
          <w:rFonts w:ascii="Calibri"/>
          <w:sz w:val="32"/>
        </w:rPr>
        <w:t>1079</w:t>
      </w:r>
    </w:p>
    <w:p>
      <w:pPr>
        <w:spacing w:before="60"/>
        <w:ind w:left="467" w:right="0" w:firstLine="0"/>
        <w:jc w:val="center"/>
        <w:rPr>
          <w:rFonts w:ascii="Calibri"/>
          <w:sz w:val="32"/>
        </w:rPr>
      </w:pPr>
      <w:r>
        <w:rPr>
          <w:sz w:val="32"/>
        </w:rPr>
        <w:t>Autism </w:t>
      </w:r>
      <w:r>
        <w:rPr>
          <w:rFonts w:ascii="Calibri"/>
          <w:sz w:val="32"/>
        </w:rPr>
        <w:t>...........................................................................................925, 929, 933, 935,</w:t>
      </w:r>
      <w:r>
        <w:rPr>
          <w:rFonts w:ascii="Calibri"/>
          <w:spacing w:val="29"/>
          <w:sz w:val="32"/>
        </w:rPr>
        <w:t> </w:t>
      </w:r>
      <w:r>
        <w:rPr>
          <w:rFonts w:ascii="Calibri"/>
          <w:sz w:val="32"/>
        </w:rPr>
        <w:t>947</w:t>
      </w:r>
    </w:p>
    <w:p>
      <w:pPr>
        <w:spacing w:before="58"/>
        <w:ind w:left="466" w:right="0" w:firstLine="0"/>
        <w:jc w:val="center"/>
        <w:rPr>
          <w:rFonts w:ascii="Calibri"/>
          <w:sz w:val="32"/>
        </w:rPr>
      </w:pPr>
      <w:r>
        <w:rPr>
          <w:sz w:val="32"/>
        </w:rPr>
        <w:t>Bekhterev's disease </w:t>
      </w:r>
      <w:r>
        <w:rPr>
          <w:rFonts w:ascii="Calibri"/>
          <w:sz w:val="32"/>
        </w:rPr>
        <w:t>............................................................................ 172, 889, 1415,</w:t>
      </w:r>
      <w:r>
        <w:rPr>
          <w:rFonts w:ascii="Calibri"/>
          <w:spacing w:val="6"/>
          <w:sz w:val="32"/>
        </w:rPr>
        <w:t> </w:t>
      </w:r>
      <w:r>
        <w:rPr>
          <w:rFonts w:ascii="Calibri"/>
          <w:sz w:val="32"/>
        </w:rPr>
        <w:t>1420</w:t>
      </w:r>
    </w:p>
    <w:p>
      <w:pPr>
        <w:spacing w:before="59"/>
        <w:ind w:left="467" w:right="0" w:firstLine="0"/>
        <w:jc w:val="center"/>
        <w:rPr>
          <w:rFonts w:ascii="Calibri"/>
          <w:sz w:val="32"/>
        </w:rPr>
      </w:pPr>
      <w:r>
        <w:rPr>
          <w:sz w:val="32"/>
        </w:rPr>
        <w:t>Bladder infection </w:t>
      </w:r>
      <w:r>
        <w:rPr>
          <w:rFonts w:ascii="Calibri"/>
          <w:sz w:val="32"/>
        </w:rPr>
        <w:t>........................................................................................... 412, 425,</w:t>
      </w:r>
      <w:r>
        <w:rPr>
          <w:rFonts w:ascii="Calibri"/>
          <w:spacing w:val="-1"/>
          <w:sz w:val="32"/>
        </w:rPr>
        <w:t> </w:t>
      </w:r>
      <w:r>
        <w:rPr>
          <w:rFonts w:ascii="Calibri"/>
          <w:sz w:val="32"/>
        </w:rPr>
        <w:t>438</w:t>
      </w:r>
    </w:p>
    <w:p>
      <w:pPr>
        <w:tabs>
          <w:tab w:pos="11886" w:val="right" w:leader="dot"/>
        </w:tabs>
        <w:spacing w:before="58"/>
        <w:ind w:left="469" w:right="0" w:firstLine="0"/>
        <w:jc w:val="center"/>
        <w:rPr>
          <w:rFonts w:ascii="Calibri"/>
          <w:sz w:val="32"/>
        </w:rPr>
      </w:pPr>
      <w:r>
        <w:rPr>
          <w:sz w:val="32"/>
        </w:rPr>
        <w:t>Blood</w:t>
      </w:r>
      <w:r>
        <w:rPr>
          <w:spacing w:val="-1"/>
          <w:sz w:val="32"/>
        </w:rPr>
        <w:t> </w:t>
      </w:r>
      <w:r>
        <w:rPr>
          <w:sz w:val="32"/>
        </w:rPr>
        <w:t>deficiency</w:t>
        <w:tab/>
      </w:r>
      <w:r>
        <w:rPr>
          <w:rFonts w:ascii="Calibri"/>
          <w:sz w:val="32"/>
        </w:rPr>
        <w:t>1397</w:t>
      </w:r>
    </w:p>
    <w:p>
      <w:pPr>
        <w:spacing w:before="58"/>
        <w:ind w:left="466" w:right="0" w:firstLine="0"/>
        <w:jc w:val="center"/>
        <w:rPr>
          <w:rFonts w:ascii="Calibri"/>
          <w:sz w:val="32"/>
        </w:rPr>
      </w:pPr>
      <w:r>
        <w:rPr>
          <w:sz w:val="32"/>
        </w:rPr>
        <w:t>Boils</w:t>
      </w:r>
      <w:r>
        <w:rPr>
          <w:rFonts w:ascii="Calibri"/>
          <w:sz w:val="32"/>
        </w:rPr>
        <w:t>...........................................................................................558, 698, 700, 1247,</w:t>
      </w:r>
      <w:r>
        <w:rPr>
          <w:rFonts w:ascii="Calibri"/>
          <w:spacing w:val="67"/>
          <w:sz w:val="32"/>
        </w:rPr>
        <w:t> </w:t>
      </w:r>
      <w:r>
        <w:rPr>
          <w:rFonts w:ascii="Calibri"/>
          <w:sz w:val="32"/>
        </w:rPr>
        <w:t>1846</w:t>
      </w:r>
    </w:p>
    <w:p>
      <w:pPr>
        <w:tabs>
          <w:tab w:pos="11886" w:val="right" w:leader="dot"/>
        </w:tabs>
        <w:spacing w:before="58"/>
        <w:ind w:left="469" w:right="0" w:firstLine="0"/>
        <w:jc w:val="center"/>
        <w:rPr>
          <w:rFonts w:ascii="Calibri"/>
          <w:sz w:val="32"/>
        </w:rPr>
      </w:pPr>
      <w:r>
        <w:rPr>
          <w:sz w:val="32"/>
        </w:rPr>
        <w:t>Bone</w:t>
      </w:r>
      <w:r>
        <w:rPr>
          <w:spacing w:val="-2"/>
          <w:sz w:val="32"/>
        </w:rPr>
        <w:t> </w:t>
      </w:r>
      <w:r>
        <w:rPr>
          <w:sz w:val="32"/>
        </w:rPr>
        <w:t>fracture</w:t>
        <w:tab/>
      </w:r>
      <w:r>
        <w:rPr>
          <w:rFonts w:ascii="Calibri"/>
          <w:sz w:val="32"/>
        </w:rPr>
        <w:t>1475</w:t>
      </w:r>
    </w:p>
    <w:p>
      <w:pPr>
        <w:spacing w:before="61"/>
        <w:ind w:left="467" w:right="0" w:firstLine="0"/>
        <w:jc w:val="center"/>
        <w:rPr>
          <w:rFonts w:ascii="Calibri"/>
          <w:sz w:val="32"/>
        </w:rPr>
      </w:pPr>
      <w:r>
        <w:rPr>
          <w:sz w:val="32"/>
        </w:rPr>
        <w:t>Brain oedema </w:t>
      </w:r>
      <w:r>
        <w:rPr>
          <w:rFonts w:ascii="Calibri"/>
          <w:sz w:val="32"/>
        </w:rPr>
        <w:t>.............................................................................................. 413, 419,</w:t>
      </w:r>
      <w:r>
        <w:rPr>
          <w:rFonts w:ascii="Calibri"/>
          <w:spacing w:val="17"/>
          <w:sz w:val="32"/>
        </w:rPr>
        <w:t> </w:t>
      </w:r>
      <w:r>
        <w:rPr>
          <w:rFonts w:ascii="Calibri"/>
          <w:sz w:val="32"/>
        </w:rPr>
        <w:t>1306</w:t>
      </w:r>
    </w:p>
    <w:p>
      <w:pPr>
        <w:tabs>
          <w:tab w:pos="11886" w:val="right" w:leader="dot"/>
        </w:tabs>
        <w:spacing w:before="58"/>
        <w:ind w:left="469" w:right="0" w:firstLine="0"/>
        <w:jc w:val="center"/>
        <w:rPr>
          <w:rFonts w:ascii="Calibri"/>
          <w:sz w:val="32"/>
        </w:rPr>
      </w:pPr>
      <w:r>
        <w:rPr>
          <w:sz w:val="32"/>
        </w:rPr>
        <w:t>Brittle</w:t>
      </w:r>
      <w:r>
        <w:rPr>
          <w:spacing w:val="-2"/>
          <w:sz w:val="32"/>
        </w:rPr>
        <w:t> </w:t>
      </w:r>
      <w:r>
        <w:rPr>
          <w:sz w:val="32"/>
        </w:rPr>
        <w:t>nails</w:t>
        <w:tab/>
      </w:r>
      <w:r>
        <w:rPr>
          <w:rFonts w:ascii="Calibri"/>
          <w:sz w:val="32"/>
        </w:rPr>
        <w:t>1475</w:t>
      </w:r>
    </w:p>
    <w:p>
      <w:pPr>
        <w:spacing w:after="0"/>
        <w:jc w:val="center"/>
        <w:rPr>
          <w:rFonts w:ascii="Calibri"/>
          <w:sz w:val="32"/>
        </w:rPr>
        <w:sectPr>
          <w:pgSz w:w="14270" w:h="16850"/>
          <w:pgMar w:header="0" w:footer="1891" w:top="1400" w:bottom="2080" w:left="800" w:right="1280"/>
        </w:sectPr>
      </w:pPr>
    </w:p>
    <w:p>
      <w:pPr>
        <w:spacing w:before="55"/>
        <w:ind w:left="462" w:right="0" w:firstLine="0"/>
        <w:jc w:val="center"/>
        <w:rPr>
          <w:rFonts w:ascii="Calibri"/>
          <w:sz w:val="32"/>
        </w:rPr>
      </w:pPr>
      <w:r>
        <w:rPr>
          <w:sz w:val="32"/>
        </w:rPr>
        <w:t>Bronchitis </w:t>
      </w:r>
      <w:r>
        <w:rPr>
          <w:rFonts w:ascii="Calibri"/>
          <w:sz w:val="32"/>
        </w:rPr>
        <w:t>.. 291, 339, 400, 412, 414, 421, 550, 556, 827, 830, 837, 850, 856, 1056, 1067,</w:t>
      </w:r>
    </w:p>
    <w:p>
      <w:pPr>
        <w:spacing w:before="61"/>
        <w:ind w:left="837" w:right="0" w:firstLine="0"/>
        <w:jc w:val="left"/>
        <w:rPr>
          <w:rFonts w:ascii="Calibri"/>
          <w:sz w:val="32"/>
        </w:rPr>
      </w:pPr>
      <w:r>
        <w:rPr>
          <w:rFonts w:ascii="Calibri"/>
          <w:sz w:val="32"/>
        </w:rPr>
        <w:t>1085, 1111, 1114, 1134, 1137, 1138, 1198, 1203, 1210, 1245, 1262, 1673, 1691, 1740,</w:t>
      </w:r>
    </w:p>
    <w:p>
      <w:pPr>
        <w:spacing w:before="58"/>
        <w:ind w:left="837" w:right="0" w:firstLine="0"/>
        <w:jc w:val="left"/>
        <w:rPr>
          <w:rFonts w:ascii="Calibri"/>
          <w:sz w:val="32"/>
        </w:rPr>
      </w:pPr>
      <w:r>
        <w:rPr>
          <w:rFonts w:ascii="Calibri"/>
          <w:sz w:val="32"/>
        </w:rPr>
        <w:t>1761, 1763, 1817, 1818</w:t>
      </w:r>
    </w:p>
    <w:p>
      <w:pPr>
        <w:tabs>
          <w:tab w:pos="11724" w:val="left" w:leader="dot"/>
        </w:tabs>
        <w:spacing w:before="58"/>
        <w:ind w:left="469" w:right="0" w:firstLine="0"/>
        <w:jc w:val="center"/>
        <w:rPr>
          <w:rFonts w:ascii="Calibri"/>
          <w:sz w:val="32"/>
        </w:rPr>
      </w:pPr>
      <w:r>
        <w:rPr>
          <w:sz w:val="32"/>
        </w:rPr>
        <w:t>Burnout</w:t>
        <w:tab/>
      </w:r>
      <w:r>
        <w:rPr>
          <w:rFonts w:ascii="Calibri"/>
          <w:sz w:val="32"/>
        </w:rPr>
        <w:t>1</w:t>
      </w:r>
    </w:p>
    <w:p>
      <w:pPr>
        <w:spacing w:before="59"/>
        <w:ind w:left="462" w:right="0" w:firstLine="0"/>
        <w:jc w:val="center"/>
        <w:rPr>
          <w:rFonts w:ascii="Calibri"/>
          <w:sz w:val="32"/>
        </w:rPr>
      </w:pPr>
      <w:r>
        <w:rPr>
          <w:sz w:val="32"/>
        </w:rPr>
        <w:t>Burns </w:t>
      </w:r>
      <w:r>
        <w:rPr>
          <w:rFonts w:ascii="Calibri"/>
          <w:sz w:val="32"/>
        </w:rPr>
        <w:t>. 154, 160, 254, 279, 280, 482, 485, 673, 702, 715, 725, 829, 843, 861, 1124,</w:t>
      </w:r>
      <w:r>
        <w:rPr>
          <w:rFonts w:ascii="Calibri"/>
          <w:spacing w:val="-48"/>
          <w:sz w:val="32"/>
        </w:rPr>
        <w:t> </w:t>
      </w:r>
      <w:r>
        <w:rPr>
          <w:rFonts w:ascii="Calibri"/>
          <w:sz w:val="32"/>
        </w:rPr>
        <w:t>1175,</w:t>
      </w:r>
    </w:p>
    <w:p>
      <w:pPr>
        <w:spacing w:before="58"/>
        <w:ind w:left="837" w:right="0" w:firstLine="0"/>
        <w:jc w:val="left"/>
        <w:rPr>
          <w:rFonts w:ascii="Calibri"/>
          <w:sz w:val="32"/>
        </w:rPr>
      </w:pPr>
      <w:r>
        <w:rPr>
          <w:rFonts w:ascii="Calibri"/>
          <w:sz w:val="32"/>
        </w:rPr>
        <w:t>1205, 1217, 1476, 1485, 1497, 1680, 1693, 1739</w:t>
      </w:r>
    </w:p>
    <w:p>
      <w:pPr>
        <w:spacing w:before="58"/>
        <w:ind w:left="462" w:right="0" w:firstLine="0"/>
        <w:jc w:val="center"/>
        <w:rPr>
          <w:rFonts w:ascii="Calibri"/>
          <w:sz w:val="32"/>
        </w:rPr>
      </w:pPr>
      <w:r>
        <w:rPr>
          <w:sz w:val="32"/>
        </w:rPr>
        <w:t>Cancer</w:t>
      </w:r>
      <w:r>
        <w:rPr>
          <w:rFonts w:ascii="Calibri"/>
          <w:sz w:val="32"/>
        </w:rPr>
        <w:t>...1, 7, 11, 13, 14, 33, 86, 88, 90, 102, 111, 123, 147, 149, 152, 153, 163, 165, 166,</w:t>
      </w:r>
    </w:p>
    <w:p>
      <w:pPr>
        <w:spacing w:before="60"/>
        <w:ind w:left="837" w:right="0" w:firstLine="0"/>
        <w:jc w:val="left"/>
        <w:rPr>
          <w:rFonts w:ascii="Calibri"/>
          <w:sz w:val="32"/>
        </w:rPr>
      </w:pPr>
      <w:r>
        <w:rPr>
          <w:rFonts w:ascii="Calibri"/>
          <w:sz w:val="32"/>
        </w:rPr>
        <w:t>175, 178, 180, 184, 185, 188, 192, 203, 204, 208, 211, 221, 228, 238, 239, 245,</w:t>
      </w:r>
      <w:r>
        <w:rPr>
          <w:rFonts w:ascii="Calibri"/>
          <w:spacing w:val="-22"/>
          <w:sz w:val="32"/>
        </w:rPr>
        <w:t> </w:t>
      </w:r>
      <w:r>
        <w:rPr>
          <w:rFonts w:ascii="Calibri"/>
          <w:sz w:val="32"/>
        </w:rPr>
        <w:t>249,</w:t>
      </w:r>
    </w:p>
    <w:p>
      <w:pPr>
        <w:spacing w:before="59"/>
        <w:ind w:left="837" w:right="0" w:firstLine="0"/>
        <w:jc w:val="left"/>
        <w:rPr>
          <w:rFonts w:ascii="Calibri"/>
          <w:sz w:val="32"/>
        </w:rPr>
      </w:pPr>
      <w:r>
        <w:rPr>
          <w:rFonts w:ascii="Calibri"/>
          <w:sz w:val="32"/>
        </w:rPr>
        <w:t>250, 251, 266, 268, 270, 287, 288, 295, 306, 307, 329, 335, 336, 338, 346, 351,</w:t>
      </w:r>
      <w:r>
        <w:rPr>
          <w:rFonts w:ascii="Calibri"/>
          <w:spacing w:val="-22"/>
          <w:sz w:val="32"/>
        </w:rPr>
        <w:t> </w:t>
      </w:r>
      <w:r>
        <w:rPr>
          <w:rFonts w:ascii="Calibri"/>
          <w:sz w:val="32"/>
        </w:rPr>
        <w:t>352,</w:t>
      </w:r>
    </w:p>
    <w:p>
      <w:pPr>
        <w:spacing w:before="58"/>
        <w:ind w:left="837" w:right="0" w:firstLine="0"/>
        <w:jc w:val="left"/>
        <w:rPr>
          <w:rFonts w:ascii="Calibri"/>
          <w:sz w:val="32"/>
        </w:rPr>
      </w:pPr>
      <w:r>
        <w:rPr>
          <w:rFonts w:ascii="Calibri"/>
          <w:sz w:val="32"/>
        </w:rPr>
        <w:t>368, 370, 371, 372, 379, 380, 400, 409, 411, 413, 430, 472, 490, 493, 496, 499,</w:t>
      </w:r>
      <w:r>
        <w:rPr>
          <w:rFonts w:ascii="Calibri"/>
          <w:spacing w:val="-19"/>
          <w:sz w:val="32"/>
        </w:rPr>
        <w:t> </w:t>
      </w:r>
      <w:r>
        <w:rPr>
          <w:rFonts w:ascii="Calibri"/>
          <w:sz w:val="32"/>
        </w:rPr>
        <w:t>506,</w:t>
      </w:r>
    </w:p>
    <w:p>
      <w:pPr>
        <w:spacing w:before="59"/>
        <w:ind w:left="837" w:right="0" w:firstLine="0"/>
        <w:jc w:val="left"/>
        <w:rPr>
          <w:rFonts w:ascii="Calibri"/>
          <w:sz w:val="32"/>
        </w:rPr>
      </w:pPr>
      <w:r>
        <w:rPr>
          <w:rFonts w:ascii="Calibri"/>
          <w:sz w:val="32"/>
        </w:rPr>
        <w:t>507, 515, 517, 518, 521, 605, 607, 608, 616, 625, 659, 673, 674, 675, 725, 740,</w:t>
      </w:r>
      <w:r>
        <w:rPr>
          <w:rFonts w:ascii="Calibri"/>
          <w:spacing w:val="-22"/>
          <w:sz w:val="32"/>
        </w:rPr>
        <w:t> </w:t>
      </w:r>
      <w:r>
        <w:rPr>
          <w:rFonts w:ascii="Calibri"/>
          <w:sz w:val="32"/>
        </w:rPr>
        <w:t>741,</w:t>
      </w:r>
    </w:p>
    <w:p>
      <w:pPr>
        <w:spacing w:before="58"/>
        <w:ind w:left="837" w:right="0" w:firstLine="0"/>
        <w:jc w:val="left"/>
        <w:rPr>
          <w:rFonts w:ascii="Calibri"/>
          <w:sz w:val="32"/>
        </w:rPr>
      </w:pPr>
      <w:r>
        <w:rPr>
          <w:rFonts w:ascii="Calibri"/>
          <w:sz w:val="32"/>
        </w:rPr>
        <w:t>749, 751, 755, 760, 761, 775, 783, 784, 785, 786, 787, 788, 791, 792, 794, 796,</w:t>
      </w:r>
      <w:r>
        <w:rPr>
          <w:rFonts w:ascii="Calibri"/>
          <w:spacing w:val="-22"/>
          <w:sz w:val="32"/>
        </w:rPr>
        <w:t> </w:t>
      </w:r>
      <w:r>
        <w:rPr>
          <w:rFonts w:ascii="Calibri"/>
          <w:sz w:val="32"/>
        </w:rPr>
        <w:t>798,</w:t>
      </w:r>
    </w:p>
    <w:p>
      <w:pPr>
        <w:spacing w:before="60"/>
        <w:ind w:left="837" w:right="0" w:firstLine="0"/>
        <w:jc w:val="left"/>
        <w:rPr>
          <w:rFonts w:ascii="Calibri"/>
          <w:sz w:val="32"/>
        </w:rPr>
      </w:pPr>
      <w:r>
        <w:rPr>
          <w:rFonts w:ascii="Calibri"/>
          <w:sz w:val="32"/>
        </w:rPr>
        <w:t>800, 803, 804, 805, 807, 809, 810, 811, 812, 813, 814, 816, 828, 838, 842, 846,</w:t>
      </w:r>
      <w:r>
        <w:rPr>
          <w:rFonts w:ascii="Calibri"/>
          <w:spacing w:val="-19"/>
          <w:sz w:val="32"/>
        </w:rPr>
        <w:t> </w:t>
      </w:r>
      <w:r>
        <w:rPr>
          <w:rFonts w:ascii="Calibri"/>
          <w:sz w:val="32"/>
        </w:rPr>
        <w:t>847,</w:t>
      </w:r>
    </w:p>
    <w:p>
      <w:pPr>
        <w:spacing w:before="58"/>
        <w:ind w:left="837" w:right="0" w:firstLine="0"/>
        <w:jc w:val="left"/>
        <w:rPr>
          <w:rFonts w:ascii="Calibri"/>
          <w:sz w:val="32"/>
        </w:rPr>
      </w:pPr>
      <w:r>
        <w:rPr>
          <w:rFonts w:ascii="Calibri"/>
          <w:sz w:val="32"/>
        </w:rPr>
        <w:t>851, 857, 894, 921, 935, 954, 956, 961, 964, 966, 967, 969, 970, 972, 973, 974,</w:t>
      </w:r>
      <w:r>
        <w:rPr>
          <w:rFonts w:ascii="Calibri"/>
          <w:spacing w:val="-22"/>
          <w:sz w:val="32"/>
        </w:rPr>
        <w:t> </w:t>
      </w:r>
      <w:r>
        <w:rPr>
          <w:rFonts w:ascii="Calibri"/>
          <w:sz w:val="32"/>
        </w:rPr>
        <w:t>991,</w:t>
      </w:r>
    </w:p>
    <w:p>
      <w:pPr>
        <w:spacing w:before="59"/>
        <w:ind w:left="837" w:right="0" w:firstLine="0"/>
        <w:jc w:val="left"/>
        <w:rPr>
          <w:rFonts w:ascii="Calibri"/>
          <w:sz w:val="32"/>
        </w:rPr>
      </w:pPr>
      <w:r>
        <w:rPr>
          <w:rFonts w:ascii="Calibri"/>
          <w:sz w:val="32"/>
        </w:rPr>
        <w:t>993, 998, 999, 1001, 1007, 1017, 1024, 1025, 1026, 1027, 1028, 1036, 1040, 1069,</w:t>
      </w:r>
    </w:p>
    <w:p>
      <w:pPr>
        <w:spacing w:before="58"/>
        <w:ind w:left="837" w:right="0" w:firstLine="0"/>
        <w:jc w:val="left"/>
        <w:rPr>
          <w:rFonts w:ascii="Calibri"/>
          <w:sz w:val="32"/>
        </w:rPr>
      </w:pPr>
      <w:r>
        <w:rPr>
          <w:rFonts w:ascii="Calibri"/>
          <w:sz w:val="32"/>
        </w:rPr>
        <w:t>1083,1104, 1128, 1132, 1133, 1134, 1143, 1144, 1154, 1156, 1159, 1165, 1168, 1169,</w:t>
      </w:r>
    </w:p>
    <w:p>
      <w:pPr>
        <w:spacing w:before="58"/>
        <w:ind w:left="837" w:right="0" w:firstLine="0"/>
        <w:jc w:val="left"/>
        <w:rPr>
          <w:rFonts w:ascii="Calibri"/>
          <w:sz w:val="32"/>
        </w:rPr>
      </w:pPr>
      <w:r>
        <w:rPr>
          <w:rFonts w:ascii="Calibri"/>
          <w:sz w:val="32"/>
        </w:rPr>
        <w:t>1170, 1184, 1188, 1190, 1192, 1198, 1204, 1206, 1211, 1218, 1219, 1220, 1221,</w:t>
      </w:r>
      <w:r>
        <w:rPr>
          <w:rFonts w:ascii="Calibri"/>
          <w:spacing w:val="-23"/>
          <w:sz w:val="32"/>
        </w:rPr>
        <w:t> </w:t>
      </w:r>
      <w:r>
        <w:rPr>
          <w:rFonts w:ascii="Calibri"/>
          <w:sz w:val="32"/>
        </w:rPr>
        <w:t>1222,</w:t>
      </w:r>
    </w:p>
    <w:p>
      <w:pPr>
        <w:spacing w:before="59"/>
        <w:ind w:left="837" w:right="0" w:firstLine="0"/>
        <w:jc w:val="left"/>
        <w:rPr>
          <w:rFonts w:ascii="Calibri"/>
          <w:sz w:val="32"/>
        </w:rPr>
      </w:pPr>
      <w:r>
        <w:rPr>
          <w:rFonts w:ascii="Calibri"/>
          <w:sz w:val="32"/>
        </w:rPr>
        <w:t>1223, 1224, 1225, 1227, 1229, 1238, 1242, 1244, 1254, 1256, 1257, 1275, 1278,</w:t>
      </w:r>
      <w:r>
        <w:rPr>
          <w:rFonts w:ascii="Calibri"/>
          <w:spacing w:val="-23"/>
          <w:sz w:val="32"/>
        </w:rPr>
        <w:t> </w:t>
      </w:r>
      <w:r>
        <w:rPr>
          <w:rFonts w:ascii="Calibri"/>
          <w:sz w:val="32"/>
        </w:rPr>
        <w:t>1296,</w:t>
      </w:r>
    </w:p>
    <w:p>
      <w:pPr>
        <w:spacing w:before="60"/>
        <w:ind w:left="837" w:right="0" w:firstLine="0"/>
        <w:jc w:val="left"/>
        <w:rPr>
          <w:rFonts w:ascii="Calibri"/>
          <w:sz w:val="32"/>
        </w:rPr>
      </w:pPr>
      <w:r>
        <w:rPr>
          <w:rFonts w:ascii="Calibri"/>
          <w:sz w:val="32"/>
        </w:rPr>
        <w:t>1304, 1306, 1325, 1330, 1340, 1345, 1347, 1351, 1352, 1353, 1356, 1361, 1364,</w:t>
      </w:r>
      <w:r>
        <w:rPr>
          <w:rFonts w:ascii="Calibri"/>
          <w:spacing w:val="-20"/>
          <w:sz w:val="32"/>
        </w:rPr>
        <w:t> </w:t>
      </w:r>
      <w:r>
        <w:rPr>
          <w:rFonts w:ascii="Calibri"/>
          <w:sz w:val="32"/>
        </w:rPr>
        <w:t>1377,</w:t>
      </w:r>
    </w:p>
    <w:p>
      <w:pPr>
        <w:spacing w:before="58"/>
        <w:ind w:left="837" w:right="0" w:firstLine="0"/>
        <w:jc w:val="left"/>
        <w:rPr>
          <w:rFonts w:ascii="Calibri"/>
          <w:sz w:val="32"/>
        </w:rPr>
      </w:pPr>
      <w:r>
        <w:rPr>
          <w:rFonts w:ascii="Calibri"/>
          <w:sz w:val="32"/>
        </w:rPr>
        <w:t>1380, 1386, 1397, 1398, 1399, 1400, 1406, 1407, 1408, 1411, 1413, 1415, 1426,</w:t>
      </w:r>
      <w:r>
        <w:rPr>
          <w:rFonts w:ascii="Calibri"/>
          <w:spacing w:val="-23"/>
          <w:sz w:val="32"/>
        </w:rPr>
        <w:t> </w:t>
      </w:r>
      <w:r>
        <w:rPr>
          <w:rFonts w:ascii="Calibri"/>
          <w:sz w:val="32"/>
        </w:rPr>
        <w:t>1427,</w:t>
      </w:r>
    </w:p>
    <w:p>
      <w:pPr>
        <w:spacing w:before="59"/>
        <w:ind w:left="837" w:right="0" w:firstLine="0"/>
        <w:jc w:val="left"/>
        <w:rPr>
          <w:rFonts w:ascii="Calibri"/>
          <w:sz w:val="32"/>
        </w:rPr>
      </w:pPr>
      <w:r>
        <w:rPr>
          <w:rFonts w:ascii="Calibri"/>
          <w:sz w:val="32"/>
        </w:rPr>
        <w:t>1429, 1430, 1431, 1432, 1433, 1434, 1435, 1436, 1438, 1439, 1440, 1441, 1448,</w:t>
      </w:r>
      <w:r>
        <w:rPr>
          <w:rFonts w:ascii="Calibri"/>
          <w:spacing w:val="-23"/>
          <w:sz w:val="32"/>
        </w:rPr>
        <w:t> </w:t>
      </w:r>
      <w:r>
        <w:rPr>
          <w:rFonts w:ascii="Calibri"/>
          <w:sz w:val="32"/>
        </w:rPr>
        <w:t>1450,</w:t>
      </w:r>
    </w:p>
    <w:p>
      <w:pPr>
        <w:spacing w:before="58"/>
        <w:ind w:left="837" w:right="0" w:firstLine="0"/>
        <w:jc w:val="left"/>
        <w:rPr>
          <w:rFonts w:ascii="Calibri"/>
          <w:sz w:val="32"/>
        </w:rPr>
      </w:pPr>
      <w:r>
        <w:rPr>
          <w:rFonts w:ascii="Calibri"/>
          <w:sz w:val="32"/>
        </w:rPr>
        <w:t>1454, 1458, 1471, 1478, 1499, 1500, 1518, 1530, 1532, 1533, 1535, 1540, 1542,</w:t>
      </w:r>
      <w:r>
        <w:rPr>
          <w:rFonts w:ascii="Calibri"/>
          <w:spacing w:val="-19"/>
          <w:sz w:val="32"/>
        </w:rPr>
        <w:t> </w:t>
      </w:r>
      <w:r>
        <w:rPr>
          <w:rFonts w:ascii="Calibri"/>
          <w:sz w:val="32"/>
        </w:rPr>
        <w:t>1551,</w:t>
      </w:r>
    </w:p>
    <w:p>
      <w:pPr>
        <w:spacing w:before="58"/>
        <w:ind w:left="837" w:right="0" w:firstLine="0"/>
        <w:jc w:val="left"/>
        <w:rPr>
          <w:rFonts w:ascii="Calibri"/>
          <w:sz w:val="32"/>
        </w:rPr>
      </w:pPr>
      <w:r>
        <w:rPr>
          <w:rFonts w:ascii="Calibri"/>
          <w:sz w:val="32"/>
        </w:rPr>
        <w:t>1552, 1553, 1554, 1555, 1556, 1559, 1574, 1586, 1660, 1669, 1673, 1677, 1678,</w:t>
      </w:r>
      <w:r>
        <w:rPr>
          <w:rFonts w:ascii="Calibri"/>
          <w:spacing w:val="-23"/>
          <w:sz w:val="32"/>
        </w:rPr>
        <w:t> </w:t>
      </w:r>
      <w:r>
        <w:rPr>
          <w:rFonts w:ascii="Calibri"/>
          <w:sz w:val="32"/>
        </w:rPr>
        <w:t>1687,</w:t>
      </w:r>
    </w:p>
    <w:p>
      <w:pPr>
        <w:spacing w:before="58"/>
        <w:ind w:left="837" w:right="0" w:firstLine="0"/>
        <w:jc w:val="left"/>
        <w:rPr>
          <w:rFonts w:ascii="Calibri"/>
          <w:sz w:val="32"/>
        </w:rPr>
      </w:pPr>
      <w:r>
        <w:rPr>
          <w:rFonts w:ascii="Calibri"/>
          <w:sz w:val="32"/>
        </w:rPr>
        <w:t>1691, 1692, 1695, 1698, 1701, 1702, 1704, 1705, 1710, 1711, 1715, 1718, 1719,</w:t>
      </w:r>
      <w:r>
        <w:rPr>
          <w:rFonts w:ascii="Calibri"/>
          <w:spacing w:val="-23"/>
          <w:sz w:val="32"/>
        </w:rPr>
        <w:t> </w:t>
      </w:r>
      <w:r>
        <w:rPr>
          <w:rFonts w:ascii="Calibri"/>
          <w:sz w:val="32"/>
        </w:rPr>
        <w:t>1723,</w:t>
      </w:r>
    </w:p>
    <w:p>
      <w:pPr>
        <w:spacing w:before="61"/>
        <w:ind w:left="837" w:right="0" w:firstLine="0"/>
        <w:jc w:val="left"/>
        <w:rPr>
          <w:rFonts w:ascii="Calibri"/>
          <w:sz w:val="32"/>
        </w:rPr>
      </w:pPr>
      <w:r>
        <w:rPr>
          <w:rFonts w:ascii="Calibri"/>
          <w:sz w:val="32"/>
        </w:rPr>
        <w:t>1726, 1750, 1757, 1758, 1759, 1760, 1766, 1767, 1780, 1829, 1848, 1883</w:t>
      </w:r>
    </w:p>
    <w:p>
      <w:pPr>
        <w:spacing w:before="58"/>
        <w:ind w:left="463" w:right="0" w:firstLine="0"/>
        <w:jc w:val="center"/>
        <w:rPr>
          <w:rFonts w:ascii="Calibri"/>
          <w:sz w:val="32"/>
        </w:rPr>
      </w:pPr>
      <w:r>
        <w:rPr>
          <w:sz w:val="32"/>
        </w:rPr>
        <w:t>Candida albicans</w:t>
      </w:r>
      <w:r>
        <w:rPr>
          <w:rFonts w:ascii="Calibri"/>
          <w:sz w:val="32"/>
        </w:rPr>
        <w:t>..... 154, 276, 291, 312, 548, 550, 552, 571, 580, 582, 700, 725, 742, 825,</w:t>
      </w:r>
    </w:p>
    <w:p>
      <w:pPr>
        <w:spacing w:before="59"/>
        <w:ind w:left="837" w:right="0" w:firstLine="0"/>
        <w:jc w:val="left"/>
        <w:rPr>
          <w:rFonts w:ascii="Calibri"/>
          <w:sz w:val="32"/>
        </w:rPr>
      </w:pPr>
      <w:r>
        <w:rPr>
          <w:rFonts w:ascii="Calibri"/>
          <w:sz w:val="32"/>
        </w:rPr>
        <w:t>827, 831, 850, 1175, 1205</w:t>
      </w:r>
    </w:p>
    <w:p>
      <w:pPr>
        <w:spacing w:after="0"/>
        <w:jc w:val="left"/>
        <w:rPr>
          <w:rFonts w:ascii="Calibri"/>
          <w:sz w:val="32"/>
        </w:rPr>
        <w:sectPr>
          <w:footerReference w:type="default" r:id="rId508"/>
          <w:pgSz w:w="14270" w:h="16850"/>
          <w:pgMar w:footer="1891" w:header="0" w:top="1360" w:bottom="2080" w:left="800" w:right="1280"/>
          <w:pgNumType w:start="1890"/>
        </w:sectPr>
      </w:pPr>
    </w:p>
    <w:p>
      <w:pPr>
        <w:spacing w:before="55"/>
        <w:ind w:left="461" w:right="0" w:firstLine="0"/>
        <w:jc w:val="center"/>
        <w:rPr>
          <w:rFonts w:ascii="Calibri"/>
          <w:sz w:val="32"/>
        </w:rPr>
      </w:pPr>
      <w:r>
        <w:rPr>
          <w:sz w:val="32"/>
        </w:rPr>
        <w:t>Caries</w:t>
      </w:r>
      <w:r>
        <w:rPr>
          <w:rFonts w:ascii="Calibri"/>
          <w:sz w:val="32"/>
        </w:rPr>
        <w:t>... 555, 605, 611, 626, 627, 1387, 1458, 1469, 1477, 1498, 1499, 1585, 1586, 1611,</w:t>
      </w:r>
    </w:p>
    <w:p>
      <w:pPr>
        <w:spacing w:before="61"/>
        <w:ind w:left="837" w:right="0" w:firstLine="0"/>
        <w:jc w:val="left"/>
        <w:rPr>
          <w:rFonts w:ascii="Calibri"/>
          <w:sz w:val="32"/>
        </w:rPr>
      </w:pPr>
      <w:r>
        <w:rPr>
          <w:rFonts w:ascii="Calibri"/>
          <w:sz w:val="32"/>
        </w:rPr>
        <w:t>1827, 1828, 1841, 1845</w:t>
      </w:r>
    </w:p>
    <w:p>
      <w:pPr>
        <w:spacing w:before="58"/>
        <w:ind w:left="463" w:right="0" w:firstLine="0"/>
        <w:jc w:val="center"/>
        <w:rPr>
          <w:rFonts w:ascii="Calibri"/>
          <w:sz w:val="32"/>
        </w:rPr>
      </w:pPr>
      <w:r>
        <w:rPr>
          <w:sz w:val="32"/>
        </w:rPr>
        <w:t>Cataracts </w:t>
      </w:r>
      <w:r>
        <w:rPr>
          <w:rFonts w:ascii="Calibri"/>
          <w:sz w:val="32"/>
        </w:rPr>
        <w:t>.......................................... 17, 118, 180, 747, 827, 967, 1121, 1416, 1746,</w:t>
      </w:r>
      <w:r>
        <w:rPr>
          <w:rFonts w:ascii="Calibri"/>
          <w:spacing w:val="-9"/>
          <w:sz w:val="32"/>
        </w:rPr>
        <w:t> </w:t>
      </w:r>
      <w:r>
        <w:rPr>
          <w:rFonts w:ascii="Calibri"/>
          <w:sz w:val="32"/>
        </w:rPr>
        <w:t>1823</w:t>
      </w:r>
    </w:p>
    <w:p>
      <w:pPr>
        <w:spacing w:before="58"/>
        <w:ind w:left="463" w:right="0" w:firstLine="0"/>
        <w:jc w:val="center"/>
        <w:rPr>
          <w:rFonts w:ascii="Calibri"/>
          <w:sz w:val="32"/>
        </w:rPr>
      </w:pPr>
      <w:r>
        <w:rPr>
          <w:sz w:val="32"/>
        </w:rPr>
        <w:t>Cerebral apoplexy</w:t>
      </w:r>
      <w:r>
        <w:rPr>
          <w:rFonts w:ascii="Calibri"/>
          <w:sz w:val="32"/>
        </w:rPr>
        <w:t>....... 119, 120, 418, 607, 615, 621, 1745, 1748, 1753, 1755, 1757,</w:t>
      </w:r>
      <w:r>
        <w:rPr>
          <w:rFonts w:ascii="Calibri"/>
          <w:spacing w:val="-47"/>
          <w:sz w:val="32"/>
        </w:rPr>
        <w:t> </w:t>
      </w:r>
      <w:r>
        <w:rPr>
          <w:rFonts w:ascii="Calibri"/>
          <w:sz w:val="32"/>
        </w:rPr>
        <w:t>1766,</w:t>
      </w:r>
    </w:p>
    <w:p>
      <w:pPr>
        <w:spacing w:before="59"/>
        <w:ind w:left="837" w:right="0" w:firstLine="0"/>
        <w:jc w:val="left"/>
        <w:rPr>
          <w:rFonts w:ascii="Calibri"/>
          <w:sz w:val="32"/>
        </w:rPr>
      </w:pPr>
      <w:r>
        <w:rPr>
          <w:rFonts w:ascii="Calibri"/>
          <w:sz w:val="32"/>
        </w:rPr>
        <w:t>1814, 1826, 1837</w:t>
      </w:r>
    </w:p>
    <w:p>
      <w:pPr>
        <w:spacing w:before="58"/>
        <w:ind w:left="467" w:right="0" w:firstLine="0"/>
        <w:jc w:val="center"/>
        <w:rPr>
          <w:rFonts w:ascii="Calibri"/>
          <w:sz w:val="32"/>
        </w:rPr>
      </w:pPr>
      <w:r>
        <w:rPr>
          <w:sz w:val="32"/>
        </w:rPr>
        <w:t>Chronic fatigue</w:t>
      </w:r>
      <w:r>
        <w:rPr>
          <w:rFonts w:ascii="Calibri"/>
          <w:sz w:val="32"/>
        </w:rPr>
        <w:t>............................................................................................ 392, 550,</w:t>
      </w:r>
      <w:r>
        <w:rPr>
          <w:rFonts w:ascii="Calibri"/>
          <w:spacing w:val="53"/>
          <w:sz w:val="32"/>
        </w:rPr>
        <w:t> </w:t>
      </w:r>
      <w:r>
        <w:rPr>
          <w:rFonts w:ascii="Calibri"/>
          <w:sz w:val="32"/>
        </w:rPr>
        <w:t>1542</w:t>
      </w:r>
    </w:p>
    <w:p>
      <w:pPr>
        <w:spacing w:before="58"/>
        <w:ind w:left="466" w:right="0" w:firstLine="0"/>
        <w:jc w:val="center"/>
        <w:rPr>
          <w:rFonts w:ascii="Calibri"/>
          <w:sz w:val="32"/>
        </w:rPr>
      </w:pPr>
      <w:r>
        <w:rPr>
          <w:sz w:val="32"/>
        </w:rPr>
        <w:t>Cirrhosis </w:t>
      </w:r>
      <w:r>
        <w:rPr>
          <w:rFonts w:ascii="Calibri"/>
          <w:sz w:val="32"/>
        </w:rPr>
        <w:t>..................................................................................330, 890, 1115, 1542,</w:t>
      </w:r>
      <w:r>
        <w:rPr>
          <w:rFonts w:ascii="Calibri"/>
          <w:spacing w:val="46"/>
          <w:sz w:val="32"/>
        </w:rPr>
        <w:t> </w:t>
      </w:r>
      <w:r>
        <w:rPr>
          <w:rFonts w:ascii="Calibri"/>
          <w:sz w:val="32"/>
        </w:rPr>
        <w:t>1545</w:t>
      </w:r>
    </w:p>
    <w:p>
      <w:pPr>
        <w:spacing w:before="60"/>
        <w:ind w:left="466" w:right="0" w:firstLine="0"/>
        <w:jc w:val="center"/>
        <w:rPr>
          <w:rFonts w:ascii="Calibri"/>
          <w:sz w:val="32"/>
        </w:rPr>
      </w:pPr>
      <w:r>
        <w:rPr>
          <w:sz w:val="32"/>
        </w:rPr>
        <w:t>Claudication </w:t>
      </w:r>
      <w:r>
        <w:rPr>
          <w:rFonts w:ascii="Calibri"/>
          <w:sz w:val="32"/>
        </w:rPr>
        <w:t>..................................................... 152, 413, 420, 483, 913, 1248, 1250,</w:t>
      </w:r>
      <w:r>
        <w:rPr>
          <w:rFonts w:ascii="Calibri"/>
          <w:spacing w:val="-30"/>
          <w:sz w:val="32"/>
        </w:rPr>
        <w:t> </w:t>
      </w:r>
      <w:r>
        <w:rPr>
          <w:rFonts w:ascii="Calibri"/>
          <w:sz w:val="32"/>
        </w:rPr>
        <w:t>1251</w:t>
      </w:r>
    </w:p>
    <w:p>
      <w:pPr>
        <w:spacing w:before="59"/>
        <w:ind w:left="465" w:right="0" w:firstLine="0"/>
        <w:jc w:val="center"/>
        <w:rPr>
          <w:rFonts w:ascii="Calibri"/>
          <w:sz w:val="32"/>
        </w:rPr>
      </w:pPr>
      <w:r>
        <w:rPr>
          <w:sz w:val="32"/>
        </w:rPr>
        <w:t>Cold</w:t>
      </w:r>
      <w:r>
        <w:rPr>
          <w:rFonts w:ascii="Calibri"/>
          <w:sz w:val="32"/>
        </w:rPr>
        <w:t>.....................................................................................1017, 1111, 1137, 1476, </w:t>
      </w:r>
      <w:r>
        <w:rPr>
          <w:rFonts w:ascii="Calibri"/>
          <w:spacing w:val="12"/>
          <w:sz w:val="32"/>
        </w:rPr>
        <w:t> </w:t>
      </w:r>
      <w:r>
        <w:rPr>
          <w:rFonts w:ascii="Calibri"/>
          <w:sz w:val="32"/>
        </w:rPr>
        <w:t>1495</w:t>
      </w:r>
    </w:p>
    <w:p>
      <w:pPr>
        <w:spacing w:before="58"/>
        <w:ind w:left="461" w:right="0" w:firstLine="0"/>
        <w:jc w:val="center"/>
        <w:rPr>
          <w:rFonts w:ascii="Calibri"/>
          <w:sz w:val="32"/>
        </w:rPr>
      </w:pPr>
      <w:r>
        <w:rPr>
          <w:sz w:val="32"/>
        </w:rPr>
        <w:t>Colds </w:t>
      </w:r>
      <w:r>
        <w:rPr>
          <w:rFonts w:ascii="Calibri"/>
          <w:sz w:val="32"/>
        </w:rPr>
        <w:t>... 105, 152, 162, 294, 622, 725, 748, 827, 834, 853, 1176, 1198, 1203, 1216,</w:t>
      </w:r>
      <w:r>
        <w:rPr>
          <w:rFonts w:ascii="Calibri"/>
          <w:spacing w:val="-37"/>
          <w:sz w:val="32"/>
        </w:rPr>
        <w:t> </w:t>
      </w:r>
      <w:r>
        <w:rPr>
          <w:rFonts w:ascii="Calibri"/>
          <w:sz w:val="32"/>
        </w:rPr>
        <w:t>1737,</w:t>
      </w:r>
    </w:p>
    <w:p>
      <w:pPr>
        <w:spacing w:before="59"/>
        <w:ind w:left="837" w:right="0" w:firstLine="0"/>
        <w:jc w:val="left"/>
        <w:rPr>
          <w:rFonts w:ascii="Calibri"/>
          <w:sz w:val="32"/>
        </w:rPr>
      </w:pPr>
      <w:r>
        <w:rPr>
          <w:rFonts w:ascii="Calibri"/>
          <w:sz w:val="32"/>
        </w:rPr>
        <w:t>1741</w:t>
      </w:r>
    </w:p>
    <w:p>
      <w:pPr>
        <w:spacing w:before="58"/>
        <w:ind w:left="461" w:right="0" w:firstLine="0"/>
        <w:jc w:val="center"/>
        <w:rPr>
          <w:rFonts w:ascii="Calibri"/>
          <w:sz w:val="32"/>
        </w:rPr>
      </w:pPr>
      <w:r>
        <w:rPr>
          <w:sz w:val="32"/>
        </w:rPr>
        <w:t>Colitis </w:t>
      </w:r>
      <w:r>
        <w:rPr>
          <w:rFonts w:ascii="Calibri"/>
          <w:sz w:val="32"/>
        </w:rPr>
        <w:t>..................... 153, 156, 311, 339, 348, 362, 550, 706, 889, 1203, 1305, 1710,</w:t>
      </w:r>
      <w:r>
        <w:rPr>
          <w:rFonts w:ascii="Calibri"/>
          <w:spacing w:val="-50"/>
          <w:sz w:val="32"/>
        </w:rPr>
        <w:t> </w:t>
      </w:r>
      <w:r>
        <w:rPr>
          <w:rFonts w:ascii="Calibri"/>
          <w:sz w:val="32"/>
        </w:rPr>
        <w:t>1847</w:t>
      </w:r>
    </w:p>
    <w:p>
      <w:pPr>
        <w:spacing w:before="60"/>
        <w:ind w:left="464" w:right="0" w:firstLine="0"/>
        <w:jc w:val="center"/>
        <w:rPr>
          <w:rFonts w:ascii="Calibri"/>
          <w:sz w:val="32"/>
        </w:rPr>
      </w:pPr>
      <w:r>
        <w:rPr>
          <w:sz w:val="32"/>
        </w:rPr>
        <w:t>Constipation</w:t>
      </w:r>
      <w:r>
        <w:rPr>
          <w:rFonts w:ascii="Calibri"/>
          <w:sz w:val="32"/>
        </w:rPr>
        <w:t>..... 119, 153, 161, 301, 629, 748, 749, 759, 762, 833, 851, 1022, 1132,</w:t>
      </w:r>
      <w:r>
        <w:rPr>
          <w:rFonts w:ascii="Calibri"/>
          <w:spacing w:val="-36"/>
          <w:sz w:val="32"/>
        </w:rPr>
        <w:t> </w:t>
      </w:r>
      <w:r>
        <w:rPr>
          <w:rFonts w:ascii="Calibri"/>
          <w:sz w:val="32"/>
        </w:rPr>
        <w:t>1487,</w:t>
      </w:r>
    </w:p>
    <w:p>
      <w:pPr>
        <w:spacing w:before="58"/>
        <w:ind w:left="837" w:right="0" w:firstLine="0"/>
        <w:jc w:val="left"/>
        <w:rPr>
          <w:rFonts w:ascii="Calibri"/>
          <w:sz w:val="32"/>
        </w:rPr>
      </w:pPr>
      <w:r>
        <w:rPr>
          <w:rFonts w:ascii="Calibri"/>
          <w:sz w:val="32"/>
        </w:rPr>
        <w:t>1618, 1674, 1752, 1753</w:t>
      </w:r>
    </w:p>
    <w:p>
      <w:pPr>
        <w:spacing w:before="59"/>
        <w:ind w:left="460" w:right="0" w:firstLine="0"/>
        <w:jc w:val="center"/>
        <w:rPr>
          <w:rFonts w:ascii="Calibri"/>
          <w:sz w:val="32"/>
        </w:rPr>
      </w:pPr>
      <w:r>
        <w:rPr>
          <w:sz w:val="32"/>
        </w:rPr>
        <w:t>Cough</w:t>
      </w:r>
      <w:r>
        <w:rPr>
          <w:spacing w:val="-67"/>
          <w:sz w:val="32"/>
        </w:rPr>
        <w:t> </w:t>
      </w:r>
      <w:r>
        <w:rPr>
          <w:rFonts w:ascii="Calibri"/>
          <w:sz w:val="32"/>
        </w:rPr>
        <w:t>............. 8, 339, 411, 412, 421, 438, 551, 555, 622, 690, 828, 837, 856, 1198, 1476</w:t>
      </w:r>
    </w:p>
    <w:p>
      <w:pPr>
        <w:spacing w:before="58"/>
        <w:ind w:left="463" w:right="0" w:firstLine="0"/>
        <w:jc w:val="center"/>
        <w:rPr>
          <w:rFonts w:ascii="Calibri"/>
          <w:sz w:val="32"/>
        </w:rPr>
      </w:pPr>
      <w:r>
        <w:rPr>
          <w:sz w:val="32"/>
        </w:rPr>
        <w:t>Crohn's disease</w:t>
      </w:r>
      <w:r>
        <w:rPr>
          <w:rFonts w:ascii="Calibri"/>
          <w:sz w:val="32"/>
        </w:rPr>
        <w:t>..... 286, 311, 339, 348, 362, 550, 552, 706, 1062, 1068, 1242, 1415,</w:t>
      </w:r>
      <w:r>
        <w:rPr>
          <w:rFonts w:ascii="Calibri"/>
          <w:spacing w:val="-40"/>
          <w:sz w:val="32"/>
        </w:rPr>
        <w:t> </w:t>
      </w:r>
      <w:r>
        <w:rPr>
          <w:rFonts w:ascii="Calibri"/>
          <w:sz w:val="32"/>
        </w:rPr>
        <w:t>1710,</w:t>
      </w:r>
    </w:p>
    <w:p>
      <w:pPr>
        <w:spacing w:before="58"/>
        <w:ind w:left="837" w:right="0" w:firstLine="0"/>
        <w:jc w:val="left"/>
        <w:rPr>
          <w:rFonts w:ascii="Calibri"/>
          <w:sz w:val="32"/>
        </w:rPr>
      </w:pPr>
      <w:r>
        <w:rPr>
          <w:rFonts w:ascii="Calibri"/>
          <w:sz w:val="32"/>
        </w:rPr>
        <w:t>1847</w:t>
      </w:r>
    </w:p>
    <w:p>
      <w:pPr>
        <w:spacing w:before="59"/>
        <w:ind w:left="463" w:right="0" w:firstLine="0"/>
        <w:jc w:val="center"/>
        <w:rPr>
          <w:rFonts w:ascii="Calibri"/>
          <w:sz w:val="32"/>
        </w:rPr>
      </w:pPr>
      <w:r>
        <w:rPr>
          <w:sz w:val="32"/>
        </w:rPr>
        <w:t>Cystic fibrosis</w:t>
      </w:r>
      <w:r>
        <w:rPr>
          <w:rFonts w:ascii="Calibri"/>
          <w:sz w:val="32"/>
        </w:rPr>
        <w:t>............................................. 86, 90, 102, 339, 349, 1144, 1165, 1296,</w:t>
      </w:r>
      <w:r>
        <w:rPr>
          <w:rFonts w:ascii="Calibri"/>
          <w:spacing w:val="18"/>
          <w:sz w:val="32"/>
        </w:rPr>
        <w:t> </w:t>
      </w:r>
      <w:r>
        <w:rPr>
          <w:rFonts w:ascii="Calibri"/>
          <w:sz w:val="32"/>
        </w:rPr>
        <w:t>1767</w:t>
      </w:r>
    </w:p>
    <w:p>
      <w:pPr>
        <w:tabs>
          <w:tab w:pos="12033" w:val="right" w:leader="dot"/>
        </w:tabs>
        <w:spacing w:before="60"/>
        <w:ind w:left="616" w:right="0" w:firstLine="0"/>
        <w:jc w:val="left"/>
        <w:rPr>
          <w:rFonts w:ascii="Calibri"/>
          <w:sz w:val="32"/>
        </w:rPr>
      </w:pPr>
      <w:r>
        <w:rPr>
          <w:sz w:val="32"/>
        </w:rPr>
        <w:t>Cystitis</w:t>
        <w:tab/>
      </w:r>
      <w:r>
        <w:rPr>
          <w:rFonts w:ascii="Calibri"/>
          <w:sz w:val="32"/>
        </w:rPr>
        <w:t>1246</w:t>
      </w:r>
    </w:p>
    <w:p>
      <w:pPr>
        <w:spacing w:before="58"/>
        <w:ind w:left="463" w:right="0" w:firstLine="0"/>
        <w:jc w:val="center"/>
        <w:rPr>
          <w:rFonts w:ascii="Calibri"/>
          <w:sz w:val="32"/>
        </w:rPr>
      </w:pPr>
      <w:r>
        <w:rPr>
          <w:sz w:val="32"/>
        </w:rPr>
        <w:t>Dementia </w:t>
      </w:r>
      <w:r>
        <w:rPr>
          <w:rFonts w:ascii="Calibri"/>
          <w:sz w:val="32"/>
        </w:rPr>
        <w:t>....1, 7, 31, 32, 100, 122, 153, 161, 162, 180, 350, 392, 400, 409, 414, 421,</w:t>
      </w:r>
      <w:r>
        <w:rPr>
          <w:rFonts w:ascii="Calibri"/>
          <w:spacing w:val="-42"/>
          <w:sz w:val="32"/>
        </w:rPr>
        <w:t> </w:t>
      </w:r>
      <w:r>
        <w:rPr>
          <w:rFonts w:ascii="Calibri"/>
          <w:sz w:val="32"/>
        </w:rPr>
        <w:t>422,</w:t>
      </w:r>
    </w:p>
    <w:p>
      <w:pPr>
        <w:spacing w:before="59"/>
        <w:ind w:left="837" w:right="0" w:firstLine="0"/>
        <w:jc w:val="left"/>
        <w:rPr>
          <w:rFonts w:ascii="Calibri"/>
          <w:sz w:val="32"/>
        </w:rPr>
      </w:pPr>
      <w:r>
        <w:rPr>
          <w:rFonts w:ascii="Calibri"/>
          <w:sz w:val="32"/>
        </w:rPr>
        <w:t>434, 484, 490, 515, 531, 673, 885, 889, 906, 911, 912, 933, 934, 1048, 1060, 1068,</w:t>
      </w:r>
    </w:p>
    <w:p>
      <w:pPr>
        <w:spacing w:before="58"/>
        <w:ind w:left="837" w:right="0" w:firstLine="0"/>
        <w:jc w:val="left"/>
        <w:rPr>
          <w:rFonts w:ascii="Calibri"/>
          <w:sz w:val="32"/>
        </w:rPr>
      </w:pPr>
      <w:r>
        <w:rPr>
          <w:rFonts w:ascii="Calibri"/>
          <w:sz w:val="32"/>
        </w:rPr>
        <w:t>1079, 1082, 1177, 1247, 1277, 1345, 1636, 1637, 1739</w:t>
      </w:r>
    </w:p>
    <w:p>
      <w:pPr>
        <w:spacing w:before="58"/>
        <w:ind w:left="463" w:right="0" w:firstLine="0"/>
        <w:jc w:val="center"/>
        <w:rPr>
          <w:rFonts w:ascii="Calibri"/>
          <w:sz w:val="32"/>
        </w:rPr>
      </w:pPr>
      <w:r>
        <w:rPr>
          <w:sz w:val="32"/>
        </w:rPr>
        <w:t>Depression</w:t>
      </w:r>
      <w:r>
        <w:rPr>
          <w:rFonts w:ascii="Calibri"/>
          <w:sz w:val="32"/>
        </w:rPr>
        <w:t>......1, 7, 27, 28, 29, 30, 31, 33, 76, 77, 153, 162, 301, 338, 349, 350, 368, 370,</w:t>
      </w:r>
    </w:p>
    <w:p>
      <w:pPr>
        <w:spacing w:before="58"/>
        <w:ind w:left="561" w:right="129" w:firstLine="0"/>
        <w:jc w:val="center"/>
        <w:rPr>
          <w:rFonts w:ascii="Calibri"/>
          <w:sz w:val="32"/>
        </w:rPr>
      </w:pPr>
      <w:r>
        <w:rPr>
          <w:rFonts w:ascii="Calibri"/>
          <w:sz w:val="32"/>
        </w:rPr>
        <w:t>373, 391, 392, 394, 395, 409, 414, 427, 550, 645, 673, 681, 842, 912, 934, 975, 1000,</w:t>
      </w:r>
    </w:p>
    <w:p>
      <w:pPr>
        <w:spacing w:before="61"/>
        <w:ind w:left="815" w:right="188" w:firstLine="0"/>
        <w:jc w:val="center"/>
        <w:rPr>
          <w:rFonts w:ascii="Calibri"/>
          <w:sz w:val="32"/>
        </w:rPr>
      </w:pPr>
      <w:r>
        <w:rPr>
          <w:rFonts w:ascii="Calibri"/>
          <w:sz w:val="32"/>
        </w:rPr>
        <w:t>1005, 1036, 1058, 1067, 1082, 1111, 1136, 1177, 1276, 1305, 1320, 1324, 1332,</w:t>
      </w:r>
      <w:r>
        <w:rPr>
          <w:rFonts w:ascii="Calibri"/>
          <w:spacing w:val="-18"/>
          <w:sz w:val="32"/>
        </w:rPr>
        <w:t> </w:t>
      </w:r>
      <w:r>
        <w:rPr>
          <w:rFonts w:ascii="Calibri"/>
          <w:sz w:val="32"/>
        </w:rPr>
        <w:t>1381,</w:t>
      </w:r>
    </w:p>
    <w:p>
      <w:pPr>
        <w:spacing w:before="58"/>
        <w:ind w:left="810" w:right="188" w:firstLine="0"/>
        <w:jc w:val="center"/>
        <w:rPr>
          <w:rFonts w:ascii="Calibri"/>
          <w:sz w:val="32"/>
        </w:rPr>
      </w:pPr>
      <w:r>
        <w:rPr>
          <w:rFonts w:ascii="Calibri"/>
          <w:sz w:val="32"/>
        </w:rPr>
        <w:t>1387, 1395, 1396, 1415, 1420, 1543, 1547, 1548, 1586, 1590, 1599, 1636, 1674,</w:t>
      </w:r>
      <w:r>
        <w:rPr>
          <w:rFonts w:ascii="Calibri"/>
          <w:spacing w:val="-23"/>
          <w:sz w:val="32"/>
        </w:rPr>
        <w:t> </w:t>
      </w:r>
      <w:r>
        <w:rPr>
          <w:rFonts w:ascii="Calibri"/>
          <w:sz w:val="32"/>
        </w:rPr>
        <w:t>1710,</w:t>
      </w:r>
    </w:p>
    <w:p>
      <w:pPr>
        <w:spacing w:before="59"/>
        <w:ind w:left="837" w:right="0" w:firstLine="0"/>
        <w:jc w:val="left"/>
        <w:rPr>
          <w:rFonts w:ascii="Calibri"/>
          <w:sz w:val="32"/>
        </w:rPr>
      </w:pPr>
      <w:r>
        <w:rPr>
          <w:rFonts w:ascii="Calibri"/>
          <w:sz w:val="32"/>
        </w:rPr>
        <w:t>1738, 1763, 1819, 1835</w:t>
      </w:r>
    </w:p>
    <w:p>
      <w:pPr>
        <w:spacing w:after="0"/>
        <w:jc w:val="left"/>
        <w:rPr>
          <w:rFonts w:ascii="Calibri"/>
          <w:sz w:val="32"/>
        </w:rPr>
        <w:sectPr>
          <w:pgSz w:w="14270" w:h="16850"/>
          <w:pgMar w:header="0" w:footer="1891" w:top="1360" w:bottom="2080" w:left="800" w:right="1280"/>
        </w:sectPr>
      </w:pPr>
    </w:p>
    <w:p>
      <w:pPr>
        <w:spacing w:before="55"/>
        <w:ind w:left="465" w:right="0" w:firstLine="0"/>
        <w:jc w:val="center"/>
        <w:rPr>
          <w:rFonts w:ascii="Calibri"/>
          <w:sz w:val="32"/>
        </w:rPr>
      </w:pPr>
      <w:r>
        <w:rPr>
          <w:sz w:val="32"/>
        </w:rPr>
        <w:t>Depressive states </w:t>
      </w:r>
      <w:r>
        <w:rPr>
          <w:rFonts w:ascii="Calibri"/>
          <w:sz w:val="32"/>
        </w:rPr>
        <w:t>..............................................................</w:t>
      </w:r>
      <w:r>
        <w:rPr>
          <w:rFonts w:ascii="Calibri"/>
          <w:spacing w:val="-57"/>
          <w:sz w:val="32"/>
        </w:rPr>
        <w:t> </w:t>
      </w:r>
      <w:r>
        <w:rPr>
          <w:rFonts w:ascii="Calibri"/>
          <w:sz w:val="32"/>
        </w:rPr>
        <w:t>77, 301, 370, 380, 392, 396, 673</w:t>
      </w:r>
    </w:p>
    <w:p>
      <w:pPr>
        <w:spacing w:before="61"/>
        <w:ind w:left="464" w:right="0" w:firstLine="0"/>
        <w:jc w:val="center"/>
        <w:rPr>
          <w:rFonts w:ascii="Calibri"/>
          <w:sz w:val="32"/>
        </w:rPr>
      </w:pPr>
      <w:r>
        <w:rPr>
          <w:sz w:val="32"/>
        </w:rPr>
        <w:t>Diabetes </w:t>
      </w:r>
      <w:r>
        <w:rPr>
          <w:rFonts w:ascii="Calibri"/>
          <w:sz w:val="32"/>
        </w:rPr>
        <w:t>1, 7, 14, 15, 16, 17, 18, 25, 33, 86, 88, 89, 90, 102, 114, 115, 116, 117, 118,</w:t>
      </w:r>
      <w:r>
        <w:rPr>
          <w:rFonts w:ascii="Calibri"/>
          <w:spacing w:val="-45"/>
          <w:sz w:val="32"/>
        </w:rPr>
        <w:t> </w:t>
      </w:r>
      <w:r>
        <w:rPr>
          <w:rFonts w:ascii="Calibri"/>
          <w:sz w:val="32"/>
        </w:rPr>
        <w:t>138,</w:t>
      </w:r>
    </w:p>
    <w:p>
      <w:pPr>
        <w:spacing w:before="58"/>
        <w:ind w:left="458" w:right="188" w:firstLine="0"/>
        <w:jc w:val="center"/>
        <w:rPr>
          <w:rFonts w:ascii="Calibri"/>
          <w:sz w:val="32"/>
        </w:rPr>
      </w:pPr>
      <w:r>
        <w:rPr>
          <w:rFonts w:ascii="Calibri"/>
          <w:sz w:val="32"/>
        </w:rPr>
        <w:t>152, 180, 185, 190, 192, 193, 208, 213, 285, 292, 295, 302, 329, 330, 333, 341,</w:t>
      </w:r>
      <w:r>
        <w:rPr>
          <w:rFonts w:ascii="Calibri"/>
          <w:spacing w:val="-22"/>
          <w:sz w:val="32"/>
        </w:rPr>
        <w:t> </w:t>
      </w:r>
      <w:r>
        <w:rPr>
          <w:rFonts w:ascii="Calibri"/>
          <w:sz w:val="32"/>
        </w:rPr>
        <w:t>347,</w:t>
      </w:r>
    </w:p>
    <w:p>
      <w:pPr>
        <w:spacing w:before="58"/>
        <w:ind w:left="458" w:right="188" w:firstLine="0"/>
        <w:jc w:val="center"/>
        <w:rPr>
          <w:rFonts w:ascii="Calibri"/>
          <w:sz w:val="32"/>
        </w:rPr>
      </w:pPr>
      <w:r>
        <w:rPr>
          <w:rFonts w:ascii="Calibri"/>
          <w:sz w:val="32"/>
        </w:rPr>
        <w:t>348, 351, 363, 368, 370, 371, 374, 381, 400, 412, 420, 425, 494, 500, 510, 515,</w:t>
      </w:r>
      <w:r>
        <w:rPr>
          <w:rFonts w:ascii="Calibri"/>
          <w:spacing w:val="-22"/>
          <w:sz w:val="32"/>
        </w:rPr>
        <w:t> </w:t>
      </w:r>
      <w:r>
        <w:rPr>
          <w:rFonts w:ascii="Calibri"/>
          <w:sz w:val="32"/>
        </w:rPr>
        <w:t>523,</w:t>
      </w:r>
    </w:p>
    <w:p>
      <w:pPr>
        <w:spacing w:before="59"/>
        <w:ind w:left="463" w:right="188" w:firstLine="0"/>
        <w:jc w:val="center"/>
        <w:rPr>
          <w:rFonts w:ascii="Calibri"/>
          <w:sz w:val="32"/>
        </w:rPr>
      </w:pPr>
      <w:r>
        <w:rPr>
          <w:rFonts w:ascii="Calibri"/>
          <w:sz w:val="32"/>
        </w:rPr>
        <w:t>530, 604, 609, 615, 625, 626, 667, 700, 725, 754, 781, 822, 827, 833, 834, 852,</w:t>
      </w:r>
      <w:r>
        <w:rPr>
          <w:rFonts w:ascii="Calibri"/>
          <w:spacing w:val="-17"/>
          <w:sz w:val="32"/>
        </w:rPr>
        <w:t> </w:t>
      </w:r>
      <w:r>
        <w:rPr>
          <w:rFonts w:ascii="Calibri"/>
          <w:sz w:val="32"/>
        </w:rPr>
        <w:t>889,</w:t>
      </w:r>
    </w:p>
    <w:p>
      <w:pPr>
        <w:spacing w:before="58"/>
        <w:ind w:left="791" w:right="188" w:firstLine="0"/>
        <w:jc w:val="center"/>
        <w:rPr>
          <w:rFonts w:ascii="Calibri"/>
          <w:sz w:val="32"/>
        </w:rPr>
      </w:pPr>
      <w:r>
        <w:rPr>
          <w:rFonts w:ascii="Calibri"/>
          <w:sz w:val="32"/>
        </w:rPr>
        <w:t>893, 894, 920, 930, 938, 941, 954, 964, 967, 978, 1024, 1040, 1055, 1067, 1077,</w:t>
      </w:r>
      <w:r>
        <w:rPr>
          <w:rFonts w:ascii="Calibri"/>
          <w:spacing w:val="-23"/>
          <w:sz w:val="32"/>
        </w:rPr>
        <w:t> </w:t>
      </w:r>
      <w:r>
        <w:rPr>
          <w:rFonts w:ascii="Calibri"/>
          <w:sz w:val="32"/>
        </w:rPr>
        <w:t>1144,</w:t>
      </w:r>
    </w:p>
    <w:p>
      <w:pPr>
        <w:spacing w:before="58"/>
        <w:ind w:left="810" w:right="188" w:firstLine="0"/>
        <w:jc w:val="center"/>
        <w:rPr>
          <w:rFonts w:ascii="Calibri"/>
          <w:sz w:val="32"/>
        </w:rPr>
      </w:pPr>
      <w:r>
        <w:rPr>
          <w:rFonts w:ascii="Calibri"/>
          <w:sz w:val="32"/>
        </w:rPr>
        <w:t>1165, 1176, 1198, 1204, 1206, 1214, 1242, 1275, 1296, 1304, 1305, 1309, 1340,</w:t>
      </w:r>
      <w:r>
        <w:rPr>
          <w:rFonts w:ascii="Calibri"/>
          <w:spacing w:val="-23"/>
          <w:sz w:val="32"/>
        </w:rPr>
        <w:t> </w:t>
      </w:r>
      <w:r>
        <w:rPr>
          <w:rFonts w:ascii="Calibri"/>
          <w:sz w:val="32"/>
        </w:rPr>
        <w:t>1347,</w:t>
      </w:r>
    </w:p>
    <w:p>
      <w:pPr>
        <w:spacing w:before="60"/>
        <w:ind w:left="815" w:right="187" w:firstLine="0"/>
        <w:jc w:val="center"/>
        <w:rPr>
          <w:rFonts w:ascii="Calibri"/>
          <w:sz w:val="32"/>
        </w:rPr>
      </w:pPr>
      <w:r>
        <w:rPr>
          <w:rFonts w:ascii="Calibri"/>
          <w:sz w:val="32"/>
        </w:rPr>
        <w:t>1350, 1351, 1356, 1377, 1381, 1415, 1416, 1419, 1422, 1528, 1531, 1532, 1545,</w:t>
      </w:r>
      <w:r>
        <w:rPr>
          <w:rFonts w:ascii="Calibri"/>
          <w:spacing w:val="-18"/>
          <w:sz w:val="32"/>
        </w:rPr>
        <w:t> </w:t>
      </w:r>
      <w:r>
        <w:rPr>
          <w:rFonts w:ascii="Calibri"/>
          <w:sz w:val="32"/>
        </w:rPr>
        <w:t>1561,</w:t>
      </w:r>
    </w:p>
    <w:p>
      <w:pPr>
        <w:spacing w:before="59"/>
        <w:ind w:left="810" w:right="188" w:firstLine="0"/>
        <w:jc w:val="center"/>
        <w:rPr>
          <w:rFonts w:ascii="Calibri"/>
          <w:sz w:val="32"/>
        </w:rPr>
      </w:pPr>
      <w:r>
        <w:rPr>
          <w:rFonts w:ascii="Calibri"/>
          <w:sz w:val="32"/>
        </w:rPr>
        <w:t>1572, 1582, 1584, 1586, 1601, 1631, 1660, 1673, 1676, 1687, 1691, 1701, 1703,</w:t>
      </w:r>
      <w:r>
        <w:rPr>
          <w:rFonts w:ascii="Calibri"/>
          <w:spacing w:val="-23"/>
          <w:sz w:val="32"/>
        </w:rPr>
        <w:t> </w:t>
      </w:r>
      <w:r>
        <w:rPr>
          <w:rFonts w:ascii="Calibri"/>
          <w:sz w:val="32"/>
        </w:rPr>
        <w:t>1727,</w:t>
      </w:r>
    </w:p>
    <w:p>
      <w:pPr>
        <w:spacing w:before="58"/>
        <w:ind w:left="837" w:right="0" w:firstLine="0"/>
        <w:jc w:val="left"/>
        <w:rPr>
          <w:rFonts w:ascii="Calibri"/>
          <w:sz w:val="32"/>
        </w:rPr>
      </w:pPr>
      <w:r>
        <w:rPr>
          <w:rFonts w:ascii="Calibri"/>
          <w:sz w:val="32"/>
        </w:rPr>
        <w:t>1739, 1765, 1767, 1810, 1820, 1847, 1848, 1882</w:t>
      </w:r>
    </w:p>
    <w:p>
      <w:pPr>
        <w:spacing w:before="59"/>
        <w:ind w:left="462" w:right="0" w:firstLine="0"/>
        <w:jc w:val="center"/>
        <w:rPr>
          <w:rFonts w:ascii="Calibri"/>
          <w:sz w:val="32"/>
        </w:rPr>
      </w:pPr>
      <w:r>
        <w:rPr>
          <w:sz w:val="32"/>
        </w:rPr>
        <w:t>Diarrhoea</w:t>
      </w:r>
      <w:r>
        <w:rPr>
          <w:rFonts w:ascii="Calibri"/>
          <w:sz w:val="32"/>
        </w:rPr>
        <w:t>153, 197, 201, 206, 284, 297, 298, 339, 364, 412, 481, 494, 509, 551, 556, 604,</w:t>
      </w:r>
    </w:p>
    <w:p>
      <w:pPr>
        <w:spacing w:before="58"/>
        <w:ind w:left="561" w:right="120" w:firstLine="0"/>
        <w:jc w:val="center"/>
        <w:rPr>
          <w:rFonts w:ascii="Calibri"/>
          <w:sz w:val="32"/>
        </w:rPr>
      </w:pPr>
      <w:r>
        <w:rPr>
          <w:rFonts w:ascii="Calibri"/>
          <w:sz w:val="32"/>
        </w:rPr>
        <w:t>622, 623, 629, 699, 725, 749, 805, 832, 851, 864, 922, 1018, 1019, 1020, 1028, 1093,</w:t>
      </w:r>
    </w:p>
    <w:p>
      <w:pPr>
        <w:spacing w:before="60"/>
        <w:ind w:left="561" w:right="18" w:firstLine="0"/>
        <w:jc w:val="center"/>
        <w:rPr>
          <w:rFonts w:ascii="Calibri"/>
          <w:sz w:val="32"/>
        </w:rPr>
      </w:pPr>
      <w:r>
        <w:rPr>
          <w:rFonts w:ascii="Calibri"/>
          <w:sz w:val="32"/>
        </w:rPr>
        <w:t>1198, 1203, 1212, 1386, 1393, 1394, 1395, 1477, 1487, 1491, 1715, 1769, 1772, 1821</w:t>
      </w:r>
    </w:p>
    <w:p>
      <w:pPr>
        <w:spacing w:before="58"/>
        <w:ind w:left="463" w:right="0" w:firstLine="0"/>
        <w:jc w:val="center"/>
        <w:rPr>
          <w:rFonts w:ascii="Calibri"/>
          <w:sz w:val="32"/>
        </w:rPr>
      </w:pPr>
      <w:r>
        <w:rPr>
          <w:sz w:val="32"/>
        </w:rPr>
        <w:t>Dizziness </w:t>
      </w:r>
      <w:r>
        <w:rPr>
          <w:rFonts w:ascii="Calibri"/>
          <w:sz w:val="32"/>
        </w:rPr>
        <w:t>............................................. 11, 301, 415, 421, 439, 489, 761, 805, 1318,</w:t>
      </w:r>
      <w:r>
        <w:rPr>
          <w:rFonts w:ascii="Calibri"/>
          <w:spacing w:val="16"/>
          <w:sz w:val="32"/>
        </w:rPr>
        <w:t> </w:t>
      </w:r>
      <w:r>
        <w:rPr>
          <w:rFonts w:ascii="Calibri"/>
          <w:sz w:val="32"/>
        </w:rPr>
        <w:t>1675</w:t>
      </w:r>
    </w:p>
    <w:p>
      <w:pPr>
        <w:spacing w:before="59"/>
        <w:ind w:left="467" w:right="0" w:firstLine="0"/>
        <w:jc w:val="center"/>
        <w:rPr>
          <w:rFonts w:ascii="Calibri"/>
          <w:sz w:val="32"/>
        </w:rPr>
      </w:pPr>
      <w:r>
        <w:rPr>
          <w:sz w:val="32"/>
        </w:rPr>
        <w:t>Dry skin </w:t>
      </w:r>
      <w:r>
        <w:rPr>
          <w:rFonts w:ascii="Calibri"/>
          <w:sz w:val="32"/>
        </w:rPr>
        <w:t>.................................................................................................... 258, 1123,</w:t>
      </w:r>
      <w:r>
        <w:rPr>
          <w:rFonts w:ascii="Calibri"/>
          <w:spacing w:val="16"/>
          <w:sz w:val="32"/>
        </w:rPr>
        <w:t> </w:t>
      </w:r>
      <w:r>
        <w:rPr>
          <w:rFonts w:ascii="Calibri"/>
          <w:sz w:val="32"/>
        </w:rPr>
        <w:t>1746</w:t>
      </w:r>
    </w:p>
    <w:p>
      <w:pPr>
        <w:spacing w:before="58"/>
        <w:ind w:left="466" w:right="0" w:firstLine="0"/>
        <w:jc w:val="center"/>
        <w:rPr>
          <w:rFonts w:ascii="Calibri"/>
          <w:sz w:val="32"/>
        </w:rPr>
      </w:pPr>
      <w:r>
        <w:rPr>
          <w:sz w:val="32"/>
        </w:rPr>
        <w:t>Dyslexia </w:t>
      </w:r>
      <w:r>
        <w:rPr>
          <w:rFonts w:ascii="Calibri"/>
          <w:sz w:val="32"/>
        </w:rPr>
        <w:t>.............................................................................................. 933, 934, 947,</w:t>
      </w:r>
      <w:r>
        <w:rPr>
          <w:rFonts w:ascii="Calibri"/>
          <w:spacing w:val="42"/>
          <w:sz w:val="32"/>
        </w:rPr>
        <w:t> </w:t>
      </w:r>
      <w:r>
        <w:rPr>
          <w:rFonts w:ascii="Calibri"/>
          <w:sz w:val="32"/>
        </w:rPr>
        <w:t>1847</w:t>
      </w:r>
    </w:p>
    <w:p>
      <w:pPr>
        <w:tabs>
          <w:tab w:pos="11886" w:val="right" w:leader="dot"/>
        </w:tabs>
        <w:spacing w:before="58"/>
        <w:ind w:left="469" w:right="0" w:firstLine="0"/>
        <w:jc w:val="center"/>
        <w:rPr>
          <w:rFonts w:ascii="Calibri"/>
          <w:sz w:val="32"/>
        </w:rPr>
      </w:pPr>
      <w:r>
        <w:rPr>
          <w:sz w:val="32"/>
        </w:rPr>
        <w:t>Dysuria</w:t>
        <w:tab/>
      </w:r>
      <w:r>
        <w:rPr>
          <w:rFonts w:ascii="Calibri"/>
          <w:sz w:val="32"/>
        </w:rPr>
        <w:t>481</w:t>
      </w:r>
    </w:p>
    <w:p>
      <w:pPr>
        <w:spacing w:before="59"/>
        <w:ind w:left="461" w:right="0" w:firstLine="0"/>
        <w:jc w:val="center"/>
        <w:rPr>
          <w:rFonts w:ascii="Calibri"/>
          <w:sz w:val="32"/>
        </w:rPr>
      </w:pPr>
      <w:r>
        <w:rPr>
          <w:sz w:val="32"/>
        </w:rPr>
        <w:t>Eczema</w:t>
      </w:r>
      <w:r>
        <w:rPr>
          <w:spacing w:val="-66"/>
          <w:sz w:val="32"/>
        </w:rPr>
        <w:t> </w:t>
      </w:r>
      <w:r>
        <w:rPr>
          <w:rFonts w:ascii="Calibri"/>
          <w:sz w:val="32"/>
        </w:rPr>
        <w:t>.. 154, 301, 560, 700, 725, 816, 827, 828, 834, 841, 859, 1063, 1068, 1080, 1205,</w:t>
      </w:r>
    </w:p>
    <w:p>
      <w:pPr>
        <w:spacing w:before="60"/>
        <w:ind w:left="837" w:right="0" w:firstLine="0"/>
        <w:jc w:val="left"/>
        <w:rPr>
          <w:rFonts w:ascii="Calibri"/>
          <w:sz w:val="32"/>
        </w:rPr>
      </w:pPr>
      <w:r>
        <w:rPr>
          <w:rFonts w:ascii="Calibri"/>
          <w:sz w:val="32"/>
        </w:rPr>
        <w:t>1388, 1425, 1458, 1485, 1583, 1600, 1674, 1710, 1740, 1763, 1821, 1846</w:t>
      </w:r>
    </w:p>
    <w:p>
      <w:pPr>
        <w:spacing w:before="58"/>
        <w:ind w:left="465" w:right="0" w:firstLine="0"/>
        <w:jc w:val="center"/>
        <w:rPr>
          <w:rFonts w:ascii="Calibri"/>
          <w:sz w:val="32"/>
        </w:rPr>
      </w:pPr>
      <w:r>
        <w:rPr>
          <w:sz w:val="32"/>
        </w:rPr>
        <w:t>Epilepsy </w:t>
      </w:r>
      <w:r>
        <w:rPr>
          <w:rFonts w:ascii="Calibri"/>
          <w:sz w:val="32"/>
        </w:rPr>
        <w:t>302, 339, 482, 889, 921, 933, 934, 948, 967, 979, 1159, 1173, 1178, 1306,</w:t>
      </w:r>
      <w:r>
        <w:rPr>
          <w:rFonts w:ascii="Calibri"/>
          <w:spacing w:val="12"/>
          <w:sz w:val="32"/>
        </w:rPr>
        <w:t> </w:t>
      </w:r>
      <w:r>
        <w:rPr>
          <w:rFonts w:ascii="Calibri"/>
          <w:sz w:val="32"/>
        </w:rPr>
        <w:t>1533</w:t>
      </w:r>
    </w:p>
    <w:p>
      <w:pPr>
        <w:spacing w:before="59"/>
        <w:ind w:left="463" w:right="0" w:firstLine="0"/>
        <w:jc w:val="center"/>
        <w:rPr>
          <w:rFonts w:ascii="Calibri"/>
          <w:sz w:val="32"/>
        </w:rPr>
      </w:pPr>
      <w:r>
        <w:rPr>
          <w:sz w:val="32"/>
        </w:rPr>
        <w:t>Excess weight</w:t>
      </w:r>
      <w:r>
        <w:rPr>
          <w:rFonts w:ascii="Calibri"/>
          <w:sz w:val="32"/>
        </w:rPr>
        <w:t>... 15, 114, 339, 358, 370, 374, 375, 515, 524, 668, 680, 748, 753, 890,</w:t>
      </w:r>
      <w:r>
        <w:rPr>
          <w:rFonts w:ascii="Calibri"/>
          <w:spacing w:val="-24"/>
          <w:sz w:val="32"/>
        </w:rPr>
        <w:t> </w:t>
      </w:r>
      <w:r>
        <w:rPr>
          <w:rFonts w:ascii="Calibri"/>
          <w:sz w:val="32"/>
        </w:rPr>
        <w:t>903,</w:t>
      </w:r>
    </w:p>
    <w:p>
      <w:pPr>
        <w:spacing w:before="58"/>
        <w:ind w:left="837" w:right="0" w:firstLine="0"/>
        <w:jc w:val="left"/>
        <w:rPr>
          <w:rFonts w:ascii="Calibri"/>
          <w:sz w:val="32"/>
        </w:rPr>
      </w:pPr>
      <w:r>
        <w:rPr>
          <w:rFonts w:ascii="Calibri"/>
          <w:sz w:val="32"/>
        </w:rPr>
        <w:t>920, 1290, 1319, 1347, 1543, 1586, 1701, 1710, 1739, 1810, 1838</w:t>
      </w:r>
    </w:p>
    <w:p>
      <w:pPr>
        <w:tabs>
          <w:tab w:pos="11400" w:val="left" w:leader="dot"/>
        </w:tabs>
        <w:spacing w:before="58"/>
        <w:ind w:left="469" w:right="0" w:firstLine="0"/>
        <w:jc w:val="center"/>
        <w:rPr>
          <w:rFonts w:ascii="Calibri"/>
          <w:sz w:val="32"/>
        </w:rPr>
      </w:pPr>
      <w:r>
        <w:rPr>
          <w:sz w:val="32"/>
        </w:rPr>
        <w:t>Eye</w:t>
      </w:r>
      <w:r>
        <w:rPr>
          <w:spacing w:val="-4"/>
          <w:sz w:val="32"/>
        </w:rPr>
        <w:t> </w:t>
      </w:r>
      <w:r>
        <w:rPr>
          <w:sz w:val="32"/>
        </w:rPr>
        <w:t>diseases</w:t>
        <w:tab/>
      </w:r>
      <w:r>
        <w:rPr>
          <w:rFonts w:ascii="Calibri"/>
          <w:sz w:val="32"/>
        </w:rPr>
        <w:t>185</w:t>
      </w:r>
    </w:p>
    <w:p>
      <w:pPr>
        <w:spacing w:before="58"/>
        <w:ind w:left="467" w:right="0" w:firstLine="0"/>
        <w:jc w:val="center"/>
        <w:rPr>
          <w:rFonts w:ascii="Calibri"/>
          <w:sz w:val="32"/>
        </w:rPr>
      </w:pPr>
      <w:r>
        <w:rPr>
          <w:sz w:val="32"/>
        </w:rPr>
        <w:t>Fatigue </w:t>
      </w:r>
      <w:r>
        <w:rPr>
          <w:rFonts w:ascii="Calibri"/>
          <w:sz w:val="32"/>
        </w:rPr>
        <w:t>... 201, 206, 268, 294, 338, 368, 370, 392, 395, 550, 582, 586, 604, 623, 624,</w:t>
      </w:r>
      <w:r>
        <w:rPr>
          <w:rFonts w:ascii="Calibri"/>
          <w:spacing w:val="-50"/>
          <w:sz w:val="32"/>
        </w:rPr>
        <w:t> </w:t>
      </w:r>
      <w:r>
        <w:rPr>
          <w:rFonts w:ascii="Calibri"/>
          <w:sz w:val="32"/>
        </w:rPr>
        <w:t>673,</w:t>
      </w:r>
    </w:p>
    <w:p>
      <w:pPr>
        <w:spacing w:before="61"/>
        <w:ind w:left="476" w:right="188" w:firstLine="0"/>
        <w:jc w:val="center"/>
        <w:rPr>
          <w:rFonts w:ascii="Calibri"/>
          <w:sz w:val="32"/>
        </w:rPr>
      </w:pPr>
      <w:r>
        <w:rPr>
          <w:rFonts w:ascii="Calibri"/>
          <w:sz w:val="32"/>
        </w:rPr>
        <w:t>721, 748, 761, 895, 898, 980, 999, 1135, 1149, 1206, 1275, 1449, 1458, 1477, 1531,</w:t>
      </w:r>
    </w:p>
    <w:p>
      <w:pPr>
        <w:spacing w:before="58"/>
        <w:ind w:left="837" w:right="0" w:firstLine="0"/>
        <w:jc w:val="left"/>
        <w:rPr>
          <w:rFonts w:ascii="Calibri"/>
          <w:sz w:val="32"/>
        </w:rPr>
      </w:pPr>
      <w:r>
        <w:rPr>
          <w:rFonts w:ascii="Calibri"/>
          <w:sz w:val="32"/>
        </w:rPr>
        <w:t>1542, 1569, 1591, 1761, 1807, 1812, 1830</w:t>
      </w:r>
    </w:p>
    <w:p>
      <w:pPr>
        <w:spacing w:before="59"/>
        <w:ind w:left="459" w:right="0" w:firstLine="0"/>
        <w:jc w:val="center"/>
        <w:rPr>
          <w:rFonts w:ascii="Calibri"/>
          <w:sz w:val="32"/>
        </w:rPr>
      </w:pPr>
      <w:r>
        <w:rPr>
          <w:sz w:val="32"/>
        </w:rPr>
        <w:t>Fever</w:t>
      </w:r>
      <w:r>
        <w:rPr>
          <w:rFonts w:ascii="Calibri"/>
          <w:sz w:val="32"/>
        </w:rPr>
        <w:t>. 294, 411, 413, 551, 622, 721, 725, 805, 1113, 1137, 1234, 1740, 1763, 1821, 1822</w:t>
      </w:r>
    </w:p>
    <w:p>
      <w:pPr>
        <w:spacing w:after="0"/>
        <w:jc w:val="center"/>
        <w:rPr>
          <w:rFonts w:ascii="Calibri"/>
          <w:sz w:val="32"/>
        </w:rPr>
        <w:sectPr>
          <w:pgSz w:w="14270" w:h="16850"/>
          <w:pgMar w:header="0" w:footer="1891" w:top="1360" w:bottom="2080" w:left="800" w:right="1280"/>
        </w:sectPr>
      </w:pPr>
    </w:p>
    <w:p>
      <w:pPr>
        <w:spacing w:before="55"/>
        <w:ind w:left="462" w:right="0" w:firstLine="0"/>
        <w:jc w:val="center"/>
        <w:rPr>
          <w:rFonts w:ascii="Calibri"/>
          <w:sz w:val="32"/>
        </w:rPr>
      </w:pPr>
      <w:r>
        <w:rPr>
          <w:sz w:val="32"/>
        </w:rPr>
        <w:t>Flatulence</w:t>
      </w:r>
      <w:r>
        <w:rPr>
          <w:rFonts w:ascii="Calibri"/>
          <w:sz w:val="32"/>
        </w:rPr>
        <w:t>... 154, 161, 338, 550, 582, 586, 629, 725, 1204, 1211, 1393, 1395, 1477, 1487,</w:t>
      </w:r>
    </w:p>
    <w:p>
      <w:pPr>
        <w:spacing w:before="61"/>
        <w:ind w:left="837" w:right="0" w:firstLine="0"/>
        <w:jc w:val="left"/>
        <w:rPr>
          <w:rFonts w:ascii="Calibri"/>
          <w:sz w:val="32"/>
        </w:rPr>
      </w:pPr>
      <w:r>
        <w:rPr>
          <w:rFonts w:ascii="Calibri"/>
          <w:sz w:val="32"/>
        </w:rPr>
        <w:t>1491</w:t>
      </w:r>
    </w:p>
    <w:p>
      <w:pPr>
        <w:spacing w:before="58"/>
        <w:ind w:left="461" w:right="0" w:firstLine="0"/>
        <w:jc w:val="center"/>
        <w:rPr>
          <w:rFonts w:ascii="Calibri"/>
          <w:sz w:val="32"/>
        </w:rPr>
      </w:pPr>
      <w:r>
        <w:rPr>
          <w:sz w:val="32"/>
        </w:rPr>
        <w:t>Flu </w:t>
      </w:r>
      <w:r>
        <w:rPr>
          <w:rFonts w:ascii="Calibri"/>
          <w:sz w:val="32"/>
        </w:rPr>
        <w:t>..152, 162, 294, 515, 522, 551, 555, 557, 564, 622, 698, 725, 775, 828, 835, 836, 854,</w:t>
      </w:r>
    </w:p>
    <w:p>
      <w:pPr>
        <w:spacing w:before="58"/>
        <w:ind w:left="837" w:right="0" w:firstLine="0"/>
        <w:jc w:val="left"/>
        <w:rPr>
          <w:rFonts w:ascii="Calibri"/>
          <w:sz w:val="32"/>
        </w:rPr>
      </w:pPr>
      <w:r>
        <w:rPr>
          <w:rFonts w:ascii="Calibri"/>
          <w:sz w:val="32"/>
        </w:rPr>
        <w:t>1017, 1111, 1137, 1149, 1154, 1176, 1198, 1203, 1216, 1246, 1250, 1261, 1275</w:t>
      </w:r>
    </w:p>
    <w:p>
      <w:pPr>
        <w:spacing w:before="59"/>
        <w:ind w:left="464" w:right="0" w:firstLine="0"/>
        <w:jc w:val="center"/>
        <w:rPr>
          <w:rFonts w:ascii="Calibri"/>
          <w:sz w:val="32"/>
        </w:rPr>
      </w:pPr>
      <w:r>
        <w:rPr>
          <w:sz w:val="32"/>
        </w:rPr>
        <w:t>Fungi </w:t>
      </w:r>
      <w:r>
        <w:rPr>
          <w:rFonts w:ascii="Calibri"/>
          <w:sz w:val="32"/>
        </w:rPr>
        <w:t>..................................................... 1205, 1216, 1228, 1344, 1347, 1413, 1445,</w:t>
      </w:r>
      <w:r>
        <w:rPr>
          <w:rFonts w:ascii="Calibri"/>
          <w:spacing w:val="-2"/>
          <w:sz w:val="32"/>
        </w:rPr>
        <w:t> </w:t>
      </w:r>
      <w:r>
        <w:rPr>
          <w:rFonts w:ascii="Calibri"/>
          <w:sz w:val="32"/>
        </w:rPr>
        <w:t>1539</w:t>
      </w:r>
    </w:p>
    <w:p>
      <w:pPr>
        <w:spacing w:before="58"/>
        <w:ind w:left="462" w:right="0" w:firstLine="0"/>
        <w:jc w:val="center"/>
        <w:rPr>
          <w:rFonts w:ascii="Calibri"/>
          <w:sz w:val="32"/>
        </w:rPr>
      </w:pPr>
      <w:r>
        <w:rPr>
          <w:sz w:val="32"/>
        </w:rPr>
        <w:t>Fungus</w:t>
      </w:r>
      <w:r>
        <w:rPr>
          <w:spacing w:val="-61"/>
          <w:sz w:val="32"/>
        </w:rPr>
        <w:t> </w:t>
      </w:r>
      <w:r>
        <w:rPr>
          <w:rFonts w:ascii="Calibri"/>
          <w:sz w:val="32"/>
        </w:rPr>
        <w:t>... 109, 152, 154, 276, 283, 291, 297, 298, 310, 405, 511, 535, 539, 540, 544, 546,</w:t>
      </w:r>
    </w:p>
    <w:p>
      <w:pPr>
        <w:spacing w:before="58"/>
        <w:ind w:left="458" w:right="188" w:firstLine="0"/>
        <w:jc w:val="center"/>
        <w:rPr>
          <w:rFonts w:ascii="Calibri"/>
          <w:sz w:val="32"/>
        </w:rPr>
      </w:pPr>
      <w:r>
        <w:rPr>
          <w:rFonts w:ascii="Calibri"/>
          <w:sz w:val="32"/>
        </w:rPr>
        <w:t>549, 550, 551, 552, 579, 660, 686, 687, 688, 694, 696, 697, 706, 724, 727, 763, 782,</w:t>
      </w:r>
    </w:p>
    <w:p>
      <w:pPr>
        <w:spacing w:before="60"/>
        <w:ind w:left="837" w:right="0" w:firstLine="0"/>
        <w:jc w:val="left"/>
        <w:rPr>
          <w:rFonts w:ascii="Calibri"/>
          <w:sz w:val="32"/>
        </w:rPr>
      </w:pPr>
      <w:r>
        <w:rPr>
          <w:rFonts w:ascii="Calibri"/>
          <w:sz w:val="32"/>
        </w:rPr>
        <w:t>818, 822, 824, 834, 843, 852, 1025</w:t>
      </w:r>
    </w:p>
    <w:p>
      <w:pPr>
        <w:spacing w:before="59"/>
        <w:ind w:left="466" w:right="0" w:firstLine="0"/>
        <w:jc w:val="center"/>
        <w:rPr>
          <w:rFonts w:ascii="Calibri"/>
          <w:sz w:val="32"/>
        </w:rPr>
      </w:pPr>
      <w:r>
        <w:rPr>
          <w:sz w:val="32"/>
        </w:rPr>
        <w:t>Gallstones </w:t>
      </w:r>
      <w:r>
        <w:rPr>
          <w:rFonts w:ascii="Calibri"/>
          <w:sz w:val="32"/>
        </w:rPr>
        <w:t>..................................................................................338, 349, 749, 1822,</w:t>
      </w:r>
      <w:r>
        <w:rPr>
          <w:rFonts w:ascii="Calibri"/>
          <w:spacing w:val="24"/>
          <w:sz w:val="32"/>
        </w:rPr>
        <w:t> </w:t>
      </w:r>
      <w:r>
        <w:rPr>
          <w:rFonts w:ascii="Calibri"/>
          <w:sz w:val="32"/>
        </w:rPr>
        <w:t>1846</w:t>
      </w:r>
    </w:p>
    <w:p>
      <w:pPr>
        <w:spacing w:before="58"/>
        <w:ind w:left="462" w:right="0" w:firstLine="0"/>
        <w:jc w:val="center"/>
        <w:rPr>
          <w:rFonts w:ascii="Calibri"/>
          <w:sz w:val="32"/>
        </w:rPr>
      </w:pPr>
      <w:r>
        <w:rPr>
          <w:sz w:val="32"/>
        </w:rPr>
        <w:t>Gastritis </w:t>
      </w:r>
      <w:r>
        <w:rPr>
          <w:rFonts w:ascii="Calibri"/>
          <w:sz w:val="32"/>
        </w:rPr>
        <w:t>..... 154, 191, 413, 429, 551, 587, 605, 629, 699, 732, 827, 835, 853, 1068,</w:t>
      </w:r>
      <w:r>
        <w:rPr>
          <w:rFonts w:ascii="Calibri"/>
          <w:spacing w:val="-44"/>
          <w:sz w:val="32"/>
        </w:rPr>
        <w:t> </w:t>
      </w:r>
      <w:r>
        <w:rPr>
          <w:rFonts w:ascii="Calibri"/>
          <w:sz w:val="32"/>
        </w:rPr>
        <w:t>1114,</w:t>
      </w:r>
    </w:p>
    <w:p>
      <w:pPr>
        <w:spacing w:before="59"/>
        <w:ind w:left="837" w:right="0" w:firstLine="0"/>
        <w:jc w:val="left"/>
        <w:rPr>
          <w:rFonts w:ascii="Calibri"/>
          <w:sz w:val="32"/>
        </w:rPr>
      </w:pPr>
      <w:r>
        <w:rPr>
          <w:rFonts w:ascii="Calibri"/>
          <w:sz w:val="32"/>
        </w:rPr>
        <w:t>1178, 1205, 1212, 1246, 1377, 1393, 1491, 1712, 1740, 1822, 1830, 1847</w:t>
      </w:r>
    </w:p>
    <w:p>
      <w:pPr>
        <w:tabs>
          <w:tab w:pos="12033" w:val="right" w:leader="dot"/>
        </w:tabs>
        <w:spacing w:before="58"/>
        <w:ind w:left="616" w:right="0" w:firstLine="0"/>
        <w:jc w:val="left"/>
        <w:rPr>
          <w:rFonts w:ascii="Calibri"/>
          <w:sz w:val="32"/>
        </w:rPr>
      </w:pPr>
      <w:r>
        <w:rPr>
          <w:sz w:val="32"/>
        </w:rPr>
        <w:t>Gastrointestinal</w:t>
      </w:r>
      <w:r>
        <w:rPr>
          <w:spacing w:val="-1"/>
          <w:sz w:val="32"/>
        </w:rPr>
        <w:t> </w:t>
      </w:r>
      <w:r>
        <w:rPr>
          <w:sz w:val="32"/>
        </w:rPr>
        <w:t>complaints</w:t>
        <w:tab/>
      </w:r>
      <w:r>
        <w:rPr>
          <w:rFonts w:ascii="Calibri"/>
          <w:sz w:val="32"/>
        </w:rPr>
        <w:t>1393</w:t>
      </w:r>
    </w:p>
    <w:p>
      <w:pPr>
        <w:spacing w:before="60"/>
        <w:ind w:left="464" w:right="0" w:firstLine="0"/>
        <w:jc w:val="center"/>
        <w:rPr>
          <w:rFonts w:ascii="Calibri"/>
          <w:sz w:val="32"/>
        </w:rPr>
      </w:pPr>
      <w:r>
        <w:rPr>
          <w:sz w:val="32"/>
        </w:rPr>
        <w:t>Glaucoma </w:t>
      </w:r>
      <w:r>
        <w:rPr>
          <w:rFonts w:ascii="Calibri"/>
          <w:sz w:val="32"/>
        </w:rPr>
        <w:t>.......................339, 415, 426, 1176, 1338, 1347, 1350, 1367, 1636, 1637,</w:t>
      </w:r>
      <w:r>
        <w:rPr>
          <w:rFonts w:ascii="Calibri"/>
          <w:spacing w:val="10"/>
          <w:sz w:val="32"/>
        </w:rPr>
        <w:t> </w:t>
      </w:r>
      <w:r>
        <w:rPr>
          <w:rFonts w:ascii="Calibri"/>
          <w:sz w:val="32"/>
        </w:rPr>
        <w:t>1746</w:t>
      </w:r>
    </w:p>
    <w:p>
      <w:pPr>
        <w:spacing w:before="58"/>
        <w:ind w:left="467" w:right="0" w:firstLine="0"/>
        <w:jc w:val="center"/>
        <w:rPr>
          <w:rFonts w:ascii="Calibri"/>
          <w:sz w:val="32"/>
        </w:rPr>
      </w:pPr>
      <w:r>
        <w:rPr>
          <w:sz w:val="32"/>
        </w:rPr>
        <w:t>Gonorrhoea </w:t>
      </w:r>
      <w:r>
        <w:rPr>
          <w:rFonts w:ascii="Calibri"/>
          <w:sz w:val="32"/>
        </w:rPr>
        <w:t>.................................................................................................. 412, 699,</w:t>
      </w:r>
      <w:r>
        <w:rPr>
          <w:rFonts w:ascii="Calibri"/>
          <w:spacing w:val="29"/>
          <w:sz w:val="32"/>
        </w:rPr>
        <w:t> </w:t>
      </w:r>
      <w:r>
        <w:rPr>
          <w:rFonts w:ascii="Calibri"/>
          <w:sz w:val="32"/>
        </w:rPr>
        <w:t>725</w:t>
      </w:r>
    </w:p>
    <w:p>
      <w:pPr>
        <w:spacing w:before="59"/>
        <w:ind w:left="459" w:right="0" w:firstLine="0"/>
        <w:jc w:val="center"/>
        <w:rPr>
          <w:rFonts w:ascii="Calibri"/>
          <w:sz w:val="32"/>
        </w:rPr>
      </w:pPr>
      <w:r>
        <w:rPr>
          <w:sz w:val="32"/>
        </w:rPr>
        <w:t>Gout</w:t>
      </w:r>
      <w:r>
        <w:rPr>
          <w:spacing w:val="-60"/>
          <w:sz w:val="32"/>
        </w:rPr>
        <w:t> </w:t>
      </w:r>
      <w:r>
        <w:rPr>
          <w:rFonts w:ascii="Calibri"/>
          <w:sz w:val="32"/>
        </w:rPr>
        <w:t>........ 153, 156, 443, 551, 587, 604, 623, 739, 759, 760, 761, 762, 1115, 1140, 1586,</w:t>
      </w:r>
    </w:p>
    <w:p>
      <w:pPr>
        <w:spacing w:before="58"/>
        <w:ind w:left="837" w:right="0" w:firstLine="0"/>
        <w:jc w:val="left"/>
        <w:rPr>
          <w:rFonts w:ascii="Calibri"/>
          <w:sz w:val="32"/>
        </w:rPr>
      </w:pPr>
      <w:r>
        <w:rPr>
          <w:rFonts w:ascii="Calibri"/>
          <w:sz w:val="32"/>
        </w:rPr>
        <w:t>1691, 1741, 1802, 1822, 1847, 1882</w:t>
      </w:r>
    </w:p>
    <w:p>
      <w:pPr>
        <w:spacing w:before="58"/>
        <w:ind w:left="469" w:right="0" w:firstLine="0"/>
        <w:jc w:val="center"/>
        <w:rPr>
          <w:rFonts w:ascii="Calibri"/>
          <w:sz w:val="32"/>
        </w:rPr>
      </w:pPr>
      <w:r>
        <w:rPr>
          <w:sz w:val="32"/>
        </w:rPr>
        <w:t>Grey  hair</w:t>
      </w:r>
      <w:r>
        <w:rPr>
          <w:rFonts w:ascii="Calibri"/>
          <w:sz w:val="32"/>
        </w:rPr>
        <w:t>.....................................................................................................................</w:t>
      </w:r>
      <w:r>
        <w:rPr>
          <w:rFonts w:ascii="Calibri"/>
          <w:spacing w:val="-20"/>
          <w:sz w:val="32"/>
        </w:rPr>
        <w:t> </w:t>
      </w:r>
      <w:r>
        <w:rPr>
          <w:rFonts w:ascii="Calibri"/>
          <w:sz w:val="32"/>
        </w:rPr>
        <w:t>1810</w:t>
      </w:r>
    </w:p>
    <w:p>
      <w:pPr>
        <w:spacing w:before="59"/>
        <w:ind w:left="467" w:right="0" w:firstLine="0"/>
        <w:jc w:val="center"/>
        <w:rPr>
          <w:rFonts w:ascii="Calibri"/>
          <w:sz w:val="32"/>
        </w:rPr>
      </w:pPr>
      <w:r>
        <w:rPr>
          <w:sz w:val="32"/>
        </w:rPr>
        <w:t>Gum  disease</w:t>
      </w:r>
      <w:r>
        <w:rPr>
          <w:rFonts w:ascii="Calibri"/>
          <w:sz w:val="32"/>
        </w:rPr>
        <w:t>........................................................................................................ 702,</w:t>
      </w:r>
      <w:r>
        <w:rPr>
          <w:rFonts w:ascii="Calibri"/>
          <w:spacing w:val="-29"/>
          <w:sz w:val="32"/>
        </w:rPr>
        <w:t> </w:t>
      </w:r>
      <w:r>
        <w:rPr>
          <w:rFonts w:ascii="Calibri"/>
          <w:sz w:val="32"/>
        </w:rPr>
        <w:t>1477</w:t>
      </w:r>
    </w:p>
    <w:p>
      <w:pPr>
        <w:spacing w:before="60"/>
        <w:ind w:left="466" w:right="0" w:firstLine="0"/>
        <w:jc w:val="center"/>
        <w:rPr>
          <w:rFonts w:ascii="Calibri"/>
          <w:sz w:val="32"/>
        </w:rPr>
      </w:pPr>
      <w:r>
        <w:rPr>
          <w:sz w:val="32"/>
        </w:rPr>
        <w:t>Gum</w:t>
      </w:r>
      <w:r>
        <w:rPr>
          <w:spacing w:val="-4"/>
          <w:sz w:val="32"/>
        </w:rPr>
        <w:t> </w:t>
      </w:r>
      <w:r>
        <w:rPr>
          <w:sz w:val="32"/>
        </w:rPr>
        <w:t>inflammation</w:t>
      </w:r>
      <w:r>
        <w:rPr>
          <w:spacing w:val="-48"/>
          <w:sz w:val="32"/>
        </w:rPr>
        <w:t> </w:t>
      </w:r>
      <w:r>
        <w:rPr>
          <w:rFonts w:ascii="Calibri"/>
          <w:sz w:val="32"/>
        </w:rPr>
        <w:t>.......</w:t>
      </w:r>
      <w:r>
        <w:rPr>
          <w:rFonts w:ascii="Calibri"/>
          <w:spacing w:val="-46"/>
          <w:sz w:val="32"/>
        </w:rPr>
        <w:t> </w:t>
      </w:r>
      <w:r>
        <w:rPr>
          <w:rFonts w:ascii="Calibri"/>
          <w:sz w:val="32"/>
        </w:rPr>
        <w:t>154,</w:t>
      </w:r>
      <w:r>
        <w:rPr>
          <w:rFonts w:ascii="Calibri"/>
          <w:spacing w:val="-2"/>
          <w:sz w:val="32"/>
        </w:rPr>
        <w:t> </w:t>
      </w:r>
      <w:r>
        <w:rPr>
          <w:rFonts w:ascii="Calibri"/>
          <w:sz w:val="32"/>
        </w:rPr>
        <w:t>339,</w:t>
      </w:r>
      <w:r>
        <w:rPr>
          <w:rFonts w:ascii="Calibri"/>
          <w:spacing w:val="-2"/>
          <w:sz w:val="32"/>
        </w:rPr>
        <w:t> </w:t>
      </w:r>
      <w:r>
        <w:rPr>
          <w:rFonts w:ascii="Calibri"/>
          <w:sz w:val="32"/>
        </w:rPr>
        <w:t>754,</w:t>
      </w:r>
      <w:r>
        <w:rPr>
          <w:rFonts w:ascii="Calibri"/>
          <w:spacing w:val="-1"/>
          <w:sz w:val="32"/>
        </w:rPr>
        <w:t> </w:t>
      </w:r>
      <w:r>
        <w:rPr>
          <w:rFonts w:ascii="Calibri"/>
          <w:sz w:val="32"/>
        </w:rPr>
        <w:t>829,</w:t>
      </w:r>
      <w:r>
        <w:rPr>
          <w:rFonts w:ascii="Calibri"/>
          <w:spacing w:val="-3"/>
          <w:sz w:val="32"/>
        </w:rPr>
        <w:t> </w:t>
      </w:r>
      <w:r>
        <w:rPr>
          <w:rFonts w:ascii="Calibri"/>
          <w:sz w:val="32"/>
        </w:rPr>
        <w:t>843,</w:t>
      </w:r>
      <w:r>
        <w:rPr>
          <w:rFonts w:ascii="Calibri"/>
          <w:spacing w:val="2"/>
          <w:sz w:val="32"/>
        </w:rPr>
        <w:t> </w:t>
      </w:r>
      <w:r>
        <w:rPr>
          <w:rFonts w:ascii="Calibri"/>
          <w:sz w:val="32"/>
        </w:rPr>
        <w:t>844,</w:t>
      </w:r>
      <w:r>
        <w:rPr>
          <w:rFonts w:ascii="Calibri"/>
          <w:spacing w:val="-3"/>
          <w:sz w:val="32"/>
        </w:rPr>
        <w:t> </w:t>
      </w:r>
      <w:r>
        <w:rPr>
          <w:rFonts w:ascii="Calibri"/>
          <w:sz w:val="32"/>
        </w:rPr>
        <w:t>862,</w:t>
      </w:r>
      <w:r>
        <w:rPr>
          <w:rFonts w:ascii="Calibri"/>
          <w:spacing w:val="-2"/>
          <w:sz w:val="32"/>
        </w:rPr>
        <w:t> </w:t>
      </w:r>
      <w:r>
        <w:rPr>
          <w:rFonts w:ascii="Calibri"/>
          <w:sz w:val="32"/>
        </w:rPr>
        <w:t>1021,</w:t>
      </w:r>
      <w:r>
        <w:rPr>
          <w:rFonts w:ascii="Calibri"/>
          <w:spacing w:val="-2"/>
          <w:sz w:val="32"/>
        </w:rPr>
        <w:t> </w:t>
      </w:r>
      <w:r>
        <w:rPr>
          <w:rFonts w:ascii="Calibri"/>
          <w:sz w:val="32"/>
        </w:rPr>
        <w:t>1397,</w:t>
      </w:r>
      <w:r>
        <w:rPr>
          <w:rFonts w:ascii="Calibri"/>
          <w:spacing w:val="-2"/>
          <w:sz w:val="32"/>
        </w:rPr>
        <w:t> </w:t>
      </w:r>
      <w:r>
        <w:rPr>
          <w:rFonts w:ascii="Calibri"/>
          <w:sz w:val="32"/>
        </w:rPr>
        <w:t>1469,</w:t>
      </w:r>
      <w:r>
        <w:rPr>
          <w:rFonts w:ascii="Calibri"/>
          <w:spacing w:val="-1"/>
          <w:sz w:val="32"/>
        </w:rPr>
        <w:t> </w:t>
      </w:r>
      <w:r>
        <w:rPr>
          <w:rFonts w:ascii="Calibri"/>
          <w:sz w:val="32"/>
        </w:rPr>
        <w:t>1477,</w:t>
      </w:r>
      <w:r>
        <w:rPr>
          <w:rFonts w:ascii="Calibri"/>
          <w:spacing w:val="-2"/>
          <w:sz w:val="32"/>
        </w:rPr>
        <w:t> </w:t>
      </w:r>
      <w:r>
        <w:rPr>
          <w:rFonts w:ascii="Calibri"/>
          <w:sz w:val="32"/>
        </w:rPr>
        <w:t>1498,</w:t>
      </w:r>
    </w:p>
    <w:p>
      <w:pPr>
        <w:spacing w:before="58"/>
        <w:ind w:left="837" w:right="0" w:firstLine="0"/>
        <w:jc w:val="left"/>
        <w:rPr>
          <w:rFonts w:ascii="Calibri"/>
          <w:sz w:val="32"/>
        </w:rPr>
      </w:pPr>
      <w:r>
        <w:rPr>
          <w:rFonts w:ascii="Calibri"/>
          <w:sz w:val="32"/>
        </w:rPr>
        <w:t>1596, 1810, 1831</w:t>
      </w:r>
    </w:p>
    <w:p>
      <w:pPr>
        <w:spacing w:before="59"/>
        <w:ind w:left="462" w:right="0" w:firstLine="0"/>
        <w:jc w:val="center"/>
        <w:rPr>
          <w:rFonts w:ascii="Calibri"/>
          <w:sz w:val="32"/>
        </w:rPr>
      </w:pPr>
      <w:r>
        <w:rPr>
          <w:sz w:val="32"/>
        </w:rPr>
        <w:t>Haemorrhoids </w:t>
      </w:r>
      <w:r>
        <w:rPr>
          <w:rFonts w:ascii="Calibri"/>
          <w:sz w:val="32"/>
        </w:rPr>
        <w:t>481, 725, 749, 758, 761, 762, 828, 837, 855, 856, 1120, 1141, 1178, 1205,</w:t>
      </w:r>
    </w:p>
    <w:p>
      <w:pPr>
        <w:spacing w:before="58"/>
        <w:ind w:left="837" w:right="0" w:firstLine="0"/>
        <w:jc w:val="left"/>
        <w:rPr>
          <w:rFonts w:ascii="Calibri"/>
          <w:sz w:val="32"/>
        </w:rPr>
      </w:pPr>
      <w:r>
        <w:rPr>
          <w:rFonts w:ascii="Calibri"/>
          <w:sz w:val="32"/>
        </w:rPr>
        <w:t>1214, 1247, 1252, 1476, 1488, 1710, 1745, 1825, 1833, 1846</w:t>
      </w:r>
    </w:p>
    <w:p>
      <w:pPr>
        <w:spacing w:before="58"/>
        <w:ind w:left="467" w:right="0" w:firstLine="0"/>
        <w:jc w:val="center"/>
        <w:rPr>
          <w:rFonts w:ascii="Calibri"/>
          <w:sz w:val="32"/>
        </w:rPr>
      </w:pPr>
      <w:r>
        <w:rPr>
          <w:sz w:val="32"/>
        </w:rPr>
        <w:t>Hair loss</w:t>
      </w:r>
      <w:r>
        <w:rPr>
          <w:rFonts w:ascii="Calibri"/>
          <w:sz w:val="32"/>
        </w:rPr>
        <w:t>..... 298, 315, 754, 1129, 1130, 1143, 1415, 1420, 1449, 1458, 1476, 1502, 1504,</w:t>
      </w:r>
    </w:p>
    <w:p>
      <w:pPr>
        <w:spacing w:before="58"/>
        <w:ind w:left="810" w:right="188" w:firstLine="0"/>
        <w:jc w:val="center"/>
        <w:rPr>
          <w:rFonts w:ascii="Calibri"/>
          <w:sz w:val="32"/>
        </w:rPr>
      </w:pPr>
      <w:r>
        <w:rPr>
          <w:rFonts w:ascii="Calibri"/>
          <w:sz w:val="32"/>
        </w:rPr>
        <w:t>1509, 1565, 1591, 1597, 1714, 1715, 1716, 1742, 1780, 1810, 1824, 1840, 1841, 1842,</w:t>
      </w:r>
    </w:p>
    <w:p>
      <w:pPr>
        <w:spacing w:before="61"/>
        <w:ind w:left="837" w:right="0" w:firstLine="0"/>
        <w:jc w:val="left"/>
        <w:rPr>
          <w:rFonts w:ascii="Calibri"/>
          <w:sz w:val="32"/>
        </w:rPr>
      </w:pPr>
      <w:r>
        <w:rPr>
          <w:rFonts w:ascii="Calibri"/>
          <w:sz w:val="32"/>
        </w:rPr>
        <w:t>1849, 1853, 1856</w:t>
      </w:r>
    </w:p>
    <w:p>
      <w:pPr>
        <w:spacing w:before="58"/>
        <w:ind w:left="464" w:right="0" w:firstLine="0"/>
        <w:jc w:val="center"/>
        <w:rPr>
          <w:rFonts w:ascii="Calibri"/>
          <w:sz w:val="32"/>
        </w:rPr>
      </w:pPr>
      <w:r>
        <w:rPr>
          <w:sz w:val="32"/>
        </w:rPr>
        <w:t>Halitosis </w:t>
      </w:r>
      <w:r>
        <w:rPr>
          <w:rFonts w:ascii="Calibri"/>
          <w:sz w:val="32"/>
        </w:rPr>
        <w:t>.....................................................................</w:t>
      </w:r>
      <w:r>
        <w:rPr>
          <w:rFonts w:ascii="Calibri"/>
          <w:spacing w:val="-60"/>
          <w:sz w:val="32"/>
        </w:rPr>
        <w:t> </w:t>
      </w:r>
      <w:r>
        <w:rPr>
          <w:rFonts w:ascii="Calibri"/>
          <w:sz w:val="32"/>
        </w:rPr>
        <w:t>564, 565, 604, 628, 701, 1458, 1831</w:t>
      </w:r>
    </w:p>
    <w:p>
      <w:pPr>
        <w:spacing w:after="0"/>
        <w:jc w:val="center"/>
        <w:rPr>
          <w:rFonts w:ascii="Calibri"/>
          <w:sz w:val="32"/>
        </w:rPr>
        <w:sectPr>
          <w:pgSz w:w="14270" w:h="16850"/>
          <w:pgMar w:header="0" w:footer="1891" w:top="1360" w:bottom="2080" w:left="800" w:right="1280"/>
        </w:sectPr>
      </w:pPr>
    </w:p>
    <w:p>
      <w:pPr>
        <w:spacing w:before="55"/>
        <w:ind w:left="469" w:right="0" w:firstLine="0"/>
        <w:jc w:val="center"/>
        <w:rPr>
          <w:rFonts w:ascii="Calibri"/>
          <w:sz w:val="32"/>
        </w:rPr>
      </w:pPr>
      <w:r>
        <w:rPr>
          <w:sz w:val="32"/>
        </w:rPr>
        <w:t>Hardening of the arteries </w:t>
      </w:r>
      <w:r>
        <w:rPr>
          <w:rFonts w:ascii="Calibri"/>
          <w:sz w:val="32"/>
        </w:rPr>
        <w:t>19, 99, 162, 250, 373, 382, 747, 759, 760, 761, 762, 1046, 1276,</w:t>
      </w:r>
    </w:p>
    <w:p>
      <w:pPr>
        <w:spacing w:before="61"/>
        <w:ind w:left="837" w:right="0" w:firstLine="0"/>
        <w:jc w:val="left"/>
        <w:rPr>
          <w:rFonts w:ascii="Calibri"/>
          <w:sz w:val="32"/>
        </w:rPr>
      </w:pPr>
      <w:r>
        <w:rPr>
          <w:rFonts w:ascii="Calibri"/>
          <w:sz w:val="32"/>
        </w:rPr>
        <w:t>1383, 1465, 1472, 1492, 1529</w:t>
      </w:r>
    </w:p>
    <w:p>
      <w:pPr>
        <w:spacing w:before="58"/>
        <w:ind w:left="462" w:right="0" w:firstLine="0"/>
        <w:jc w:val="center"/>
        <w:rPr>
          <w:rFonts w:ascii="Calibri"/>
          <w:sz w:val="32"/>
        </w:rPr>
      </w:pPr>
      <w:r>
        <w:rPr>
          <w:sz w:val="32"/>
        </w:rPr>
        <w:t>Headaches</w:t>
      </w:r>
      <w:r>
        <w:rPr>
          <w:rFonts w:ascii="Calibri"/>
          <w:sz w:val="32"/>
        </w:rPr>
        <w:t>...... 108, 278, 301, 397, 423, 430, 440, 489, 548, 552, 582, 586, 622, 624, 749,</w:t>
      </w:r>
    </w:p>
    <w:p>
      <w:pPr>
        <w:spacing w:before="58"/>
        <w:ind w:left="837" w:right="0" w:firstLine="0"/>
        <w:jc w:val="left"/>
        <w:rPr>
          <w:rFonts w:ascii="Calibri"/>
          <w:sz w:val="32"/>
        </w:rPr>
      </w:pPr>
      <w:r>
        <w:rPr>
          <w:rFonts w:ascii="Calibri"/>
          <w:sz w:val="32"/>
        </w:rPr>
        <w:t>753, 884, 1056, 1068, 1081, 1135, 1149, 1183, 1278, 1306, 1324, 1387, 1396, 1458,</w:t>
      </w:r>
    </w:p>
    <w:p>
      <w:pPr>
        <w:spacing w:before="59"/>
        <w:ind w:left="837" w:right="0" w:firstLine="0"/>
        <w:jc w:val="left"/>
        <w:rPr>
          <w:rFonts w:ascii="Calibri"/>
          <w:sz w:val="32"/>
        </w:rPr>
      </w:pPr>
      <w:r>
        <w:rPr>
          <w:rFonts w:ascii="Calibri"/>
          <w:sz w:val="32"/>
        </w:rPr>
        <w:t>1478, 1497, 1674, 1691, 1761, 1807, 1810, 1812, 1829</w:t>
      </w:r>
    </w:p>
    <w:p>
      <w:pPr>
        <w:spacing w:before="58"/>
        <w:ind w:left="462" w:right="0" w:firstLine="0"/>
        <w:jc w:val="center"/>
        <w:rPr>
          <w:rFonts w:ascii="Calibri"/>
          <w:sz w:val="32"/>
        </w:rPr>
      </w:pPr>
      <w:r>
        <w:rPr>
          <w:sz w:val="32"/>
        </w:rPr>
        <w:t>Heart disease </w:t>
      </w:r>
      <w:r>
        <w:rPr>
          <w:rFonts w:ascii="Calibri"/>
          <w:sz w:val="32"/>
        </w:rPr>
        <w:t>.... 8, 89, 158, 208, 209, 249, 345, 483, 516, 605, 883, 889, 920, 1442, 1615,</w:t>
      </w:r>
    </w:p>
    <w:p>
      <w:pPr>
        <w:spacing w:before="58"/>
        <w:ind w:left="837" w:right="0" w:firstLine="0"/>
        <w:jc w:val="left"/>
        <w:rPr>
          <w:rFonts w:ascii="Calibri"/>
          <w:sz w:val="32"/>
        </w:rPr>
      </w:pPr>
      <w:r>
        <w:rPr>
          <w:rFonts w:ascii="Calibri"/>
          <w:sz w:val="32"/>
        </w:rPr>
        <w:t>1627, 1635, 1636, 1680, 1723, 1726</w:t>
      </w:r>
    </w:p>
    <w:p>
      <w:pPr>
        <w:spacing w:before="60"/>
        <w:ind w:left="465" w:right="0" w:firstLine="0"/>
        <w:jc w:val="center"/>
        <w:rPr>
          <w:rFonts w:ascii="Calibri"/>
          <w:sz w:val="32"/>
        </w:rPr>
      </w:pPr>
      <w:r>
        <w:rPr>
          <w:sz w:val="32"/>
        </w:rPr>
        <w:t>Heart diseases</w:t>
      </w:r>
      <w:r>
        <w:rPr>
          <w:rFonts w:ascii="Calibri"/>
          <w:sz w:val="32"/>
        </w:rPr>
        <w:t>.......................................................................1203, 1290, 1306, 1312,</w:t>
      </w:r>
      <w:r>
        <w:rPr>
          <w:rFonts w:ascii="Calibri"/>
          <w:spacing w:val="49"/>
          <w:sz w:val="32"/>
        </w:rPr>
        <w:t> </w:t>
      </w:r>
      <w:r>
        <w:rPr>
          <w:rFonts w:ascii="Calibri"/>
          <w:sz w:val="32"/>
        </w:rPr>
        <w:t>1340</w:t>
      </w:r>
    </w:p>
    <w:p>
      <w:pPr>
        <w:spacing w:before="59"/>
        <w:ind w:left="468" w:right="0" w:firstLine="0"/>
        <w:jc w:val="center"/>
        <w:rPr>
          <w:rFonts w:ascii="Calibri"/>
          <w:sz w:val="32"/>
        </w:rPr>
      </w:pPr>
      <w:r>
        <w:rPr>
          <w:sz w:val="32"/>
        </w:rPr>
        <w:t>Heartburn </w:t>
      </w:r>
      <w:r>
        <w:rPr>
          <w:rFonts w:ascii="Calibri"/>
          <w:sz w:val="32"/>
        </w:rPr>
        <w:t>154, 587, 604, 613, 619, 629, 754, 1213, 1477, 1494, 1709, 1810, 1830,</w:t>
      </w:r>
      <w:r>
        <w:rPr>
          <w:rFonts w:ascii="Calibri"/>
          <w:spacing w:val="19"/>
          <w:sz w:val="32"/>
        </w:rPr>
        <w:t> </w:t>
      </w:r>
      <w:r>
        <w:rPr>
          <w:rFonts w:ascii="Calibri"/>
          <w:sz w:val="32"/>
        </w:rPr>
        <w:t>1837,</w:t>
      </w:r>
    </w:p>
    <w:p>
      <w:pPr>
        <w:spacing w:before="58"/>
        <w:ind w:left="837" w:right="0" w:firstLine="0"/>
        <w:jc w:val="left"/>
        <w:rPr>
          <w:rFonts w:ascii="Calibri"/>
          <w:sz w:val="32"/>
        </w:rPr>
      </w:pPr>
      <w:r>
        <w:rPr>
          <w:rFonts w:ascii="Calibri"/>
          <w:sz w:val="32"/>
        </w:rPr>
        <w:t>1838</w:t>
      </w:r>
    </w:p>
    <w:p>
      <w:pPr>
        <w:spacing w:before="59"/>
        <w:ind w:left="467" w:right="0" w:firstLine="0"/>
        <w:jc w:val="center"/>
        <w:rPr>
          <w:rFonts w:ascii="Calibri"/>
          <w:sz w:val="32"/>
        </w:rPr>
      </w:pPr>
      <w:r>
        <w:rPr>
          <w:sz w:val="32"/>
        </w:rPr>
        <w:t>Heavy metal poisoning </w:t>
      </w:r>
      <w:r>
        <w:rPr>
          <w:rFonts w:ascii="Calibri"/>
          <w:sz w:val="32"/>
        </w:rPr>
        <w:t>............................................................................ 89, 94, 107,</w:t>
      </w:r>
      <w:r>
        <w:rPr>
          <w:rFonts w:ascii="Calibri"/>
          <w:spacing w:val="16"/>
          <w:sz w:val="32"/>
        </w:rPr>
        <w:t> </w:t>
      </w:r>
      <w:r>
        <w:rPr>
          <w:rFonts w:ascii="Calibri"/>
          <w:sz w:val="32"/>
        </w:rPr>
        <w:t>1247</w:t>
      </w:r>
    </w:p>
    <w:p>
      <w:pPr>
        <w:spacing w:before="58"/>
        <w:ind w:left="463" w:right="0" w:firstLine="0"/>
        <w:jc w:val="center"/>
        <w:rPr>
          <w:rFonts w:ascii="Calibri"/>
          <w:sz w:val="32"/>
        </w:rPr>
      </w:pPr>
      <w:r>
        <w:rPr>
          <w:sz w:val="32"/>
        </w:rPr>
        <w:t>Hepatitis </w:t>
      </w:r>
      <w:r>
        <w:rPr>
          <w:rFonts w:ascii="Calibri"/>
          <w:sz w:val="32"/>
        </w:rPr>
        <w:t>...... 7, 33, 86, 90, 98, 102, 123, 701, 1007, 1017, 1112, 1144, 1165, 1296,</w:t>
      </w:r>
      <w:r>
        <w:rPr>
          <w:rFonts w:ascii="Calibri"/>
          <w:spacing w:val="-33"/>
          <w:sz w:val="32"/>
        </w:rPr>
        <w:t> </w:t>
      </w:r>
      <w:r>
        <w:rPr>
          <w:rFonts w:ascii="Calibri"/>
          <w:sz w:val="32"/>
        </w:rPr>
        <w:t>1324,</w:t>
      </w:r>
    </w:p>
    <w:p>
      <w:pPr>
        <w:spacing w:before="60"/>
        <w:ind w:left="837" w:right="0" w:firstLine="0"/>
        <w:jc w:val="left"/>
        <w:rPr>
          <w:rFonts w:ascii="Calibri"/>
          <w:sz w:val="32"/>
        </w:rPr>
      </w:pPr>
      <w:r>
        <w:rPr>
          <w:rFonts w:ascii="Calibri"/>
          <w:sz w:val="32"/>
        </w:rPr>
        <w:t>1542, 1545, 1673, 1683, 1689, 1692, 1701, 1706, 1718, 1738, 1767</w:t>
      </w:r>
    </w:p>
    <w:p>
      <w:pPr>
        <w:spacing w:before="58"/>
        <w:ind w:left="467" w:right="0" w:firstLine="0"/>
        <w:jc w:val="center"/>
        <w:rPr>
          <w:rFonts w:ascii="Calibri"/>
          <w:sz w:val="32"/>
        </w:rPr>
      </w:pPr>
      <w:r>
        <w:rPr>
          <w:sz w:val="32"/>
        </w:rPr>
        <w:t>Hernia</w:t>
      </w:r>
      <w:r>
        <w:rPr>
          <w:rFonts w:ascii="Calibri"/>
          <w:sz w:val="32"/>
        </w:rPr>
        <w:t>......................................................................................................... 828,  839,</w:t>
      </w:r>
      <w:r>
        <w:rPr>
          <w:rFonts w:ascii="Calibri"/>
          <w:spacing w:val="2"/>
          <w:sz w:val="32"/>
        </w:rPr>
        <w:t> </w:t>
      </w:r>
      <w:r>
        <w:rPr>
          <w:rFonts w:ascii="Calibri"/>
          <w:sz w:val="32"/>
        </w:rPr>
        <w:t>1478</w:t>
      </w:r>
    </w:p>
    <w:p>
      <w:pPr>
        <w:spacing w:before="59"/>
        <w:ind w:left="464" w:right="0" w:firstLine="0"/>
        <w:jc w:val="center"/>
        <w:rPr>
          <w:rFonts w:ascii="Calibri"/>
          <w:sz w:val="32"/>
        </w:rPr>
      </w:pPr>
      <w:r>
        <w:rPr>
          <w:sz w:val="32"/>
        </w:rPr>
        <w:t>Herpes </w:t>
      </w:r>
      <w:r>
        <w:rPr>
          <w:rFonts w:ascii="Calibri"/>
          <w:sz w:val="32"/>
        </w:rPr>
        <w:t>. 270, 272, 292, 312, 337, 347, 481, 554, 555, 561, 698, 715, 725, 825, 836,</w:t>
      </w:r>
      <w:r>
        <w:rPr>
          <w:rFonts w:ascii="Calibri"/>
          <w:spacing w:val="-42"/>
          <w:sz w:val="32"/>
        </w:rPr>
        <w:t> </w:t>
      </w:r>
      <w:r>
        <w:rPr>
          <w:rFonts w:ascii="Calibri"/>
          <w:sz w:val="32"/>
        </w:rPr>
        <w:t>1007,</w:t>
      </w:r>
    </w:p>
    <w:p>
      <w:pPr>
        <w:spacing w:before="58"/>
        <w:ind w:left="810" w:right="188" w:firstLine="0"/>
        <w:jc w:val="center"/>
        <w:rPr>
          <w:rFonts w:ascii="Calibri"/>
          <w:sz w:val="32"/>
        </w:rPr>
      </w:pPr>
      <w:r>
        <w:rPr>
          <w:rFonts w:ascii="Calibri"/>
          <w:sz w:val="32"/>
        </w:rPr>
        <w:t>1022, 1064, 1175, 1205, 1215, 1247, 1251, 1260, 1262, 1389, 1391, 1673, 1705, 1706,</w:t>
      </w:r>
    </w:p>
    <w:p>
      <w:pPr>
        <w:spacing w:before="58"/>
        <w:ind w:left="837" w:right="0" w:firstLine="0"/>
        <w:jc w:val="left"/>
        <w:rPr>
          <w:rFonts w:ascii="Calibri"/>
          <w:sz w:val="32"/>
        </w:rPr>
      </w:pPr>
      <w:r>
        <w:rPr>
          <w:rFonts w:ascii="Calibri"/>
          <w:sz w:val="32"/>
        </w:rPr>
        <w:t>1716, 1718, 1751</w:t>
      </w:r>
    </w:p>
    <w:p>
      <w:pPr>
        <w:spacing w:before="59"/>
        <w:ind w:left="464" w:right="0" w:firstLine="0"/>
        <w:jc w:val="center"/>
        <w:rPr>
          <w:rFonts w:ascii="Calibri"/>
          <w:sz w:val="32"/>
        </w:rPr>
      </w:pPr>
      <w:r>
        <w:rPr>
          <w:sz w:val="32"/>
        </w:rPr>
        <w:t>High blood pressure </w:t>
      </w:r>
      <w:r>
        <w:rPr>
          <w:rFonts w:ascii="Calibri"/>
          <w:sz w:val="32"/>
        </w:rPr>
        <w:t>. 10, 148, 152, 175, 185, 187, 208, 272, 295, 341, 373, 413, 417, 426,</w:t>
      </w:r>
    </w:p>
    <w:p>
      <w:pPr>
        <w:spacing w:before="60"/>
        <w:ind w:left="837" w:right="0" w:firstLine="0"/>
        <w:jc w:val="left"/>
        <w:rPr>
          <w:rFonts w:ascii="Calibri"/>
          <w:sz w:val="32"/>
        </w:rPr>
      </w:pPr>
      <w:r>
        <w:rPr>
          <w:rFonts w:ascii="Calibri"/>
          <w:sz w:val="32"/>
        </w:rPr>
        <w:t>480, 483, 512, 515, 516, 587, 607, 616, 621, 622, 625, 749, 754, 1071, 1073, 1121,</w:t>
      </w:r>
    </w:p>
    <w:p>
      <w:pPr>
        <w:spacing w:before="58"/>
        <w:ind w:left="810" w:right="188" w:firstLine="0"/>
        <w:jc w:val="center"/>
        <w:rPr>
          <w:rFonts w:ascii="Calibri"/>
          <w:sz w:val="32"/>
        </w:rPr>
      </w:pPr>
      <w:r>
        <w:rPr>
          <w:rFonts w:ascii="Calibri"/>
          <w:sz w:val="32"/>
        </w:rPr>
        <w:t>1127, 1171, 1176, 1203, 1244, 1245, 1260, 1290, 1303, 1348, 1377, 1380, 1416,</w:t>
      </w:r>
      <w:r>
        <w:rPr>
          <w:rFonts w:ascii="Calibri"/>
          <w:spacing w:val="-23"/>
          <w:sz w:val="32"/>
        </w:rPr>
        <w:t> </w:t>
      </w:r>
      <w:r>
        <w:rPr>
          <w:rFonts w:ascii="Calibri"/>
          <w:sz w:val="32"/>
        </w:rPr>
        <w:t>1423,</w:t>
      </w:r>
    </w:p>
    <w:p>
      <w:pPr>
        <w:spacing w:before="59"/>
        <w:ind w:left="810" w:right="188" w:firstLine="0"/>
        <w:jc w:val="center"/>
        <w:rPr>
          <w:rFonts w:ascii="Calibri"/>
          <w:sz w:val="32"/>
        </w:rPr>
      </w:pPr>
      <w:r>
        <w:rPr>
          <w:rFonts w:ascii="Calibri"/>
          <w:sz w:val="32"/>
        </w:rPr>
        <w:t>1450, 1475, 1494, 1531, 1539, 1542, 1544, 1545, 1575, 1637, 1669, 1672, 1673,</w:t>
      </w:r>
      <w:r>
        <w:rPr>
          <w:rFonts w:ascii="Calibri"/>
          <w:spacing w:val="-23"/>
          <w:sz w:val="32"/>
        </w:rPr>
        <w:t> </w:t>
      </w:r>
      <w:r>
        <w:rPr>
          <w:rFonts w:ascii="Calibri"/>
          <w:sz w:val="32"/>
        </w:rPr>
        <w:t>1691,</w:t>
      </w:r>
    </w:p>
    <w:p>
      <w:pPr>
        <w:spacing w:before="58"/>
        <w:ind w:left="561" w:right="16" w:firstLine="0"/>
        <w:jc w:val="center"/>
        <w:rPr>
          <w:rFonts w:ascii="Calibri"/>
          <w:sz w:val="32"/>
        </w:rPr>
      </w:pPr>
      <w:r>
        <w:rPr>
          <w:rFonts w:ascii="Calibri"/>
          <w:sz w:val="32"/>
        </w:rPr>
        <w:t>1696, 1704, 1717, 1718, 1727, 1738, 1745, 1750, 1781, 1798, 1806, 1811, 1817, 1845</w:t>
      </w:r>
    </w:p>
    <w:p>
      <w:pPr>
        <w:spacing w:before="58"/>
        <w:ind w:left="466" w:right="0" w:firstLine="0"/>
        <w:jc w:val="center"/>
        <w:rPr>
          <w:rFonts w:ascii="Calibri"/>
          <w:sz w:val="32"/>
        </w:rPr>
      </w:pPr>
      <w:r>
        <w:rPr>
          <w:sz w:val="32"/>
        </w:rPr>
        <w:t>High cholesterol </w:t>
      </w:r>
      <w:r>
        <w:rPr>
          <w:rFonts w:ascii="Calibri"/>
          <w:sz w:val="32"/>
        </w:rPr>
        <w:t>.............................................................................. 515, 1171, 1691,</w:t>
      </w:r>
      <w:r>
        <w:rPr>
          <w:rFonts w:ascii="Calibri"/>
          <w:spacing w:val="1"/>
          <w:sz w:val="32"/>
        </w:rPr>
        <w:t> </w:t>
      </w:r>
      <w:r>
        <w:rPr>
          <w:rFonts w:ascii="Calibri"/>
          <w:sz w:val="32"/>
        </w:rPr>
        <w:t>1745</w:t>
      </w:r>
    </w:p>
    <w:p>
      <w:pPr>
        <w:spacing w:before="58"/>
        <w:ind w:left="462" w:right="0" w:firstLine="0"/>
        <w:jc w:val="center"/>
        <w:rPr>
          <w:rFonts w:ascii="Calibri"/>
          <w:sz w:val="32"/>
        </w:rPr>
      </w:pPr>
      <w:r>
        <w:rPr>
          <w:sz w:val="32"/>
        </w:rPr>
        <w:t>HIV </w:t>
      </w:r>
      <w:r>
        <w:rPr>
          <w:rFonts w:ascii="Calibri"/>
          <w:sz w:val="32"/>
        </w:rPr>
        <w:t>....8, 101, 123, 124, 208, 272, 282, 283, 284, 295, 296, 297, 298, 339, 351, 371,</w:t>
      </w:r>
      <w:r>
        <w:rPr>
          <w:rFonts w:ascii="Calibri"/>
          <w:spacing w:val="-42"/>
          <w:sz w:val="32"/>
        </w:rPr>
        <w:t> </w:t>
      </w:r>
      <w:r>
        <w:rPr>
          <w:rFonts w:ascii="Calibri"/>
          <w:sz w:val="32"/>
        </w:rPr>
        <w:t>379,</w:t>
      </w:r>
    </w:p>
    <w:p>
      <w:pPr>
        <w:spacing w:before="61"/>
        <w:ind w:left="837" w:right="0" w:firstLine="0"/>
        <w:jc w:val="left"/>
        <w:rPr>
          <w:rFonts w:ascii="Calibri"/>
          <w:sz w:val="32"/>
        </w:rPr>
      </w:pPr>
      <w:r>
        <w:rPr>
          <w:rFonts w:ascii="Calibri"/>
          <w:sz w:val="32"/>
        </w:rPr>
        <w:t>383, 384, 515, 522, 532, 604, 673, 680, 825, 849, 888, 982, 1023, 1175, 1216, 1249,</w:t>
      </w:r>
    </w:p>
    <w:p>
      <w:pPr>
        <w:spacing w:before="58"/>
        <w:ind w:left="810" w:right="188" w:firstLine="0"/>
        <w:jc w:val="center"/>
        <w:rPr>
          <w:rFonts w:ascii="Calibri"/>
          <w:sz w:val="32"/>
        </w:rPr>
      </w:pPr>
      <w:r>
        <w:rPr>
          <w:rFonts w:ascii="Calibri"/>
          <w:sz w:val="32"/>
        </w:rPr>
        <w:t>1260, 1302, 1306, 1331, 1332, 1492, 1533, 1548, 1549, 1673, 1692, 1696, 1701, 1705,</w:t>
      </w:r>
    </w:p>
    <w:p>
      <w:pPr>
        <w:spacing w:before="59"/>
        <w:ind w:left="837" w:right="0" w:firstLine="0"/>
        <w:jc w:val="left"/>
        <w:rPr>
          <w:rFonts w:ascii="Calibri"/>
          <w:sz w:val="32"/>
        </w:rPr>
      </w:pPr>
      <w:r>
        <w:rPr>
          <w:rFonts w:ascii="Calibri"/>
          <w:sz w:val="32"/>
        </w:rPr>
        <w:t>1716, 1718, 1812</w:t>
      </w:r>
    </w:p>
    <w:p>
      <w:pPr>
        <w:spacing w:after="0"/>
        <w:jc w:val="left"/>
        <w:rPr>
          <w:rFonts w:ascii="Calibri"/>
          <w:sz w:val="32"/>
        </w:rPr>
        <w:sectPr>
          <w:pgSz w:w="14270" w:h="16850"/>
          <w:pgMar w:header="0" w:footer="1891" w:top="1360" w:bottom="2080" w:left="800" w:right="1280"/>
        </w:sectPr>
      </w:pPr>
    </w:p>
    <w:p>
      <w:pPr>
        <w:spacing w:before="55"/>
        <w:ind w:left="463" w:right="0" w:firstLine="0"/>
        <w:jc w:val="center"/>
        <w:rPr>
          <w:rFonts w:ascii="Calibri"/>
          <w:sz w:val="32"/>
        </w:rPr>
      </w:pPr>
      <w:r>
        <w:rPr>
          <w:sz w:val="32"/>
        </w:rPr>
        <w:t>Hives </w:t>
      </w:r>
      <w:r>
        <w:rPr>
          <w:rFonts w:ascii="Calibri"/>
          <w:sz w:val="32"/>
        </w:rPr>
        <w:t>................................................... 338, 429, 674, 725, 1248, 1386, 1388, 1389,</w:t>
      </w:r>
      <w:r>
        <w:rPr>
          <w:rFonts w:ascii="Calibri"/>
          <w:spacing w:val="4"/>
          <w:sz w:val="32"/>
        </w:rPr>
        <w:t> </w:t>
      </w:r>
      <w:r>
        <w:rPr>
          <w:rFonts w:ascii="Calibri"/>
          <w:sz w:val="32"/>
        </w:rPr>
        <w:t>1390</w:t>
      </w:r>
    </w:p>
    <w:p>
      <w:pPr>
        <w:tabs>
          <w:tab w:pos="11886" w:val="right" w:leader="dot"/>
        </w:tabs>
        <w:spacing w:before="61"/>
        <w:ind w:left="469" w:right="0" w:firstLine="0"/>
        <w:jc w:val="center"/>
        <w:rPr>
          <w:rFonts w:ascii="Calibri"/>
          <w:sz w:val="32"/>
        </w:rPr>
      </w:pPr>
      <w:r>
        <w:rPr>
          <w:sz w:val="32"/>
        </w:rPr>
        <w:t>Huntington</w:t>
      </w:r>
      <w:r>
        <w:rPr>
          <w:spacing w:val="-2"/>
          <w:sz w:val="32"/>
        </w:rPr>
        <w:t> </w:t>
      </w:r>
      <w:r>
        <w:rPr>
          <w:sz w:val="32"/>
        </w:rPr>
        <w:t>disease</w:t>
        <w:tab/>
      </w:r>
      <w:r>
        <w:rPr>
          <w:rFonts w:ascii="Calibri"/>
          <w:sz w:val="32"/>
        </w:rPr>
        <w:t>1347</w:t>
      </w:r>
    </w:p>
    <w:p>
      <w:pPr>
        <w:tabs>
          <w:tab w:pos="11886" w:val="right" w:leader="dot"/>
        </w:tabs>
        <w:spacing w:before="58"/>
        <w:ind w:left="469" w:right="0" w:firstLine="0"/>
        <w:jc w:val="center"/>
        <w:rPr>
          <w:rFonts w:ascii="Calibri" w:hAnsi="Calibri"/>
          <w:sz w:val="32"/>
        </w:rPr>
      </w:pPr>
      <w:r>
        <w:rPr>
          <w:sz w:val="32"/>
        </w:rPr>
        <w:t>Huntington’s</w:t>
      </w:r>
      <w:r>
        <w:rPr>
          <w:spacing w:val="-1"/>
          <w:sz w:val="32"/>
        </w:rPr>
        <w:t> </w:t>
      </w:r>
      <w:r>
        <w:rPr>
          <w:sz w:val="32"/>
        </w:rPr>
        <w:t>chorea</w:t>
        <w:tab/>
      </w:r>
      <w:r>
        <w:rPr>
          <w:rFonts w:ascii="Calibri" w:hAnsi="Calibri"/>
          <w:sz w:val="32"/>
        </w:rPr>
        <w:t>609</w:t>
      </w:r>
    </w:p>
    <w:p>
      <w:pPr>
        <w:spacing w:before="58"/>
        <w:ind w:left="466" w:right="0" w:firstLine="0"/>
        <w:jc w:val="center"/>
        <w:rPr>
          <w:rFonts w:ascii="Calibri"/>
          <w:sz w:val="32"/>
        </w:rPr>
      </w:pPr>
      <w:r>
        <w:rPr>
          <w:sz w:val="32"/>
        </w:rPr>
        <w:t>Hyperactivity</w:t>
      </w:r>
      <w:r>
        <w:rPr>
          <w:rFonts w:ascii="Calibri"/>
          <w:sz w:val="32"/>
        </w:rPr>
        <w:t>................................................ 301, 311, 392, 411, 412, 415, 427, 706,</w:t>
      </w:r>
      <w:r>
        <w:rPr>
          <w:rFonts w:ascii="Calibri"/>
          <w:spacing w:val="31"/>
          <w:sz w:val="32"/>
        </w:rPr>
        <w:t> </w:t>
      </w:r>
      <w:r>
        <w:rPr>
          <w:rFonts w:ascii="Calibri"/>
          <w:sz w:val="32"/>
        </w:rPr>
        <w:t>1112</w:t>
      </w:r>
    </w:p>
    <w:p>
      <w:pPr>
        <w:spacing w:before="59"/>
        <w:ind w:left="468" w:right="0" w:firstLine="0"/>
        <w:jc w:val="center"/>
        <w:rPr>
          <w:rFonts w:ascii="Calibri"/>
          <w:sz w:val="32"/>
        </w:rPr>
      </w:pPr>
      <w:r>
        <w:rPr>
          <w:sz w:val="32"/>
        </w:rPr>
        <w:t>Hyperthyroidism </w:t>
      </w:r>
      <w:r>
        <w:rPr>
          <w:rFonts w:ascii="Calibri"/>
          <w:sz w:val="32"/>
        </w:rPr>
        <w:t>............................................................................................... 1304,</w:t>
      </w:r>
      <w:r>
        <w:rPr>
          <w:rFonts w:ascii="Calibri"/>
          <w:spacing w:val="16"/>
          <w:sz w:val="32"/>
        </w:rPr>
        <w:t> </w:t>
      </w:r>
      <w:r>
        <w:rPr>
          <w:rFonts w:ascii="Calibri"/>
          <w:sz w:val="32"/>
        </w:rPr>
        <w:t>1836</w:t>
      </w:r>
    </w:p>
    <w:p>
      <w:pPr>
        <w:spacing w:before="58"/>
        <w:ind w:left="467" w:right="0" w:firstLine="0"/>
        <w:jc w:val="center"/>
        <w:rPr>
          <w:rFonts w:ascii="Calibri"/>
          <w:sz w:val="32"/>
        </w:rPr>
      </w:pPr>
      <w:r>
        <w:rPr>
          <w:sz w:val="32"/>
        </w:rPr>
        <w:t>Hypothyroidism </w:t>
      </w:r>
      <w:r>
        <w:rPr>
          <w:rFonts w:ascii="Calibri"/>
          <w:sz w:val="32"/>
        </w:rPr>
        <w:t>...................................................................................... 1415, 1420,</w:t>
      </w:r>
      <w:r>
        <w:rPr>
          <w:rFonts w:ascii="Calibri"/>
          <w:spacing w:val="18"/>
          <w:sz w:val="32"/>
        </w:rPr>
        <w:t> </w:t>
      </w:r>
      <w:r>
        <w:rPr>
          <w:rFonts w:ascii="Calibri"/>
          <w:sz w:val="32"/>
        </w:rPr>
        <w:t>1449</w:t>
      </w:r>
    </w:p>
    <w:p>
      <w:pPr>
        <w:spacing w:before="58"/>
        <w:ind w:left="462" w:right="0" w:firstLine="0"/>
        <w:jc w:val="center"/>
        <w:rPr>
          <w:rFonts w:ascii="Calibri"/>
          <w:sz w:val="32"/>
        </w:rPr>
      </w:pPr>
      <w:r>
        <w:rPr>
          <w:sz w:val="32"/>
        </w:rPr>
        <w:t>Impotence</w:t>
      </w:r>
      <w:r>
        <w:rPr>
          <w:rFonts w:ascii="Calibri"/>
          <w:sz w:val="32"/>
        </w:rPr>
        <w:t>...... 1, 7, 33, 155, 163, 315, 338, 428, 515, 524, 532, 682, 961, 964, 976,</w:t>
      </w:r>
      <w:r>
        <w:rPr>
          <w:rFonts w:ascii="Calibri"/>
          <w:spacing w:val="-5"/>
          <w:sz w:val="32"/>
        </w:rPr>
        <w:t> </w:t>
      </w:r>
      <w:r>
        <w:rPr>
          <w:rFonts w:ascii="Calibri"/>
          <w:sz w:val="32"/>
        </w:rPr>
        <w:t>1113,</w:t>
      </w:r>
    </w:p>
    <w:p>
      <w:pPr>
        <w:spacing w:before="60"/>
        <w:ind w:left="837" w:right="0" w:firstLine="0"/>
        <w:jc w:val="left"/>
        <w:rPr>
          <w:rFonts w:ascii="Calibri"/>
          <w:sz w:val="32"/>
        </w:rPr>
      </w:pPr>
      <w:r>
        <w:rPr>
          <w:rFonts w:ascii="Calibri"/>
          <w:sz w:val="32"/>
        </w:rPr>
        <w:t>1138, 1205, 1209, 1275, 1279, 1280, 1591, 1740</w:t>
      </w:r>
    </w:p>
    <w:p>
      <w:pPr>
        <w:tabs>
          <w:tab w:pos="11239" w:val="left" w:leader="dot"/>
        </w:tabs>
        <w:spacing w:before="59"/>
        <w:ind w:left="469" w:right="0" w:firstLine="0"/>
        <w:jc w:val="center"/>
        <w:rPr>
          <w:rFonts w:ascii="Calibri"/>
          <w:sz w:val="32"/>
        </w:rPr>
      </w:pPr>
      <w:r>
        <w:rPr>
          <w:sz w:val="32"/>
        </w:rPr>
        <w:t>Infant</w:t>
      </w:r>
      <w:r>
        <w:rPr>
          <w:spacing w:val="-2"/>
          <w:sz w:val="32"/>
        </w:rPr>
        <w:t> </w:t>
      </w:r>
      <w:r>
        <w:rPr>
          <w:sz w:val="32"/>
        </w:rPr>
        <w:t>colic</w:t>
        <w:tab/>
      </w:r>
      <w:r>
        <w:rPr>
          <w:rFonts w:ascii="Calibri"/>
          <w:sz w:val="32"/>
        </w:rPr>
        <w:t>1387</w:t>
      </w:r>
    </w:p>
    <w:p>
      <w:pPr>
        <w:spacing w:before="58"/>
        <w:ind w:left="467" w:right="0" w:firstLine="0"/>
        <w:jc w:val="center"/>
        <w:rPr>
          <w:rFonts w:ascii="Calibri"/>
          <w:sz w:val="32"/>
        </w:rPr>
      </w:pPr>
      <w:r>
        <w:rPr>
          <w:sz w:val="32"/>
        </w:rPr>
        <w:t>infertility </w:t>
      </w:r>
      <w:r>
        <w:rPr>
          <w:rFonts w:ascii="Calibri"/>
          <w:sz w:val="32"/>
        </w:rPr>
        <w:t>................................................................................................... 916, 1275,</w:t>
      </w:r>
      <w:r>
        <w:rPr>
          <w:rFonts w:ascii="Calibri"/>
          <w:spacing w:val="46"/>
          <w:sz w:val="32"/>
        </w:rPr>
        <w:t> </w:t>
      </w:r>
      <w:r>
        <w:rPr>
          <w:rFonts w:ascii="Calibri"/>
          <w:sz w:val="32"/>
        </w:rPr>
        <w:t>1308</w:t>
      </w:r>
    </w:p>
    <w:p>
      <w:pPr>
        <w:spacing w:before="59"/>
        <w:ind w:left="463" w:right="0" w:firstLine="0"/>
        <w:jc w:val="center"/>
        <w:rPr>
          <w:rFonts w:ascii="Calibri"/>
          <w:sz w:val="32"/>
        </w:rPr>
      </w:pPr>
      <w:r>
        <w:rPr>
          <w:sz w:val="32"/>
        </w:rPr>
        <w:t>Infertility </w:t>
      </w:r>
      <w:r>
        <w:rPr>
          <w:rFonts w:ascii="Calibri"/>
          <w:sz w:val="32"/>
        </w:rPr>
        <w:t>................................................ 155, 162, 208, 315, 431, 1116, 1139, 1449,</w:t>
      </w:r>
      <w:r>
        <w:rPr>
          <w:rFonts w:ascii="Calibri"/>
          <w:spacing w:val="-33"/>
          <w:sz w:val="32"/>
        </w:rPr>
        <w:t> </w:t>
      </w:r>
      <w:r>
        <w:rPr>
          <w:rFonts w:ascii="Calibri"/>
          <w:sz w:val="32"/>
        </w:rPr>
        <w:t>1741</w:t>
      </w:r>
    </w:p>
    <w:p>
      <w:pPr>
        <w:spacing w:before="58"/>
        <w:ind w:left="462" w:right="0" w:firstLine="0"/>
        <w:jc w:val="center"/>
        <w:rPr>
          <w:rFonts w:ascii="Calibri"/>
          <w:sz w:val="32"/>
        </w:rPr>
      </w:pPr>
      <w:r>
        <w:rPr>
          <w:sz w:val="32"/>
        </w:rPr>
        <w:t>Inflammation </w:t>
      </w:r>
      <w:r>
        <w:rPr>
          <w:rFonts w:ascii="Calibri"/>
          <w:sz w:val="32"/>
        </w:rPr>
        <w:t>25, 86, 90, 102, 134, 147, 149, 154, 155, 159, 160, 171, 172, 185, 189,</w:t>
      </w:r>
      <w:r>
        <w:rPr>
          <w:rFonts w:ascii="Calibri"/>
          <w:spacing w:val="-46"/>
          <w:sz w:val="32"/>
        </w:rPr>
        <w:t> </w:t>
      </w:r>
      <w:r>
        <w:rPr>
          <w:rFonts w:ascii="Calibri"/>
          <w:sz w:val="32"/>
        </w:rPr>
        <w:t>192,</w:t>
      </w:r>
    </w:p>
    <w:p>
      <w:pPr>
        <w:spacing w:before="60"/>
        <w:ind w:left="458" w:right="188" w:firstLine="0"/>
        <w:jc w:val="center"/>
        <w:rPr>
          <w:rFonts w:ascii="Calibri"/>
          <w:sz w:val="32"/>
        </w:rPr>
      </w:pPr>
      <w:r>
        <w:rPr>
          <w:rFonts w:ascii="Calibri"/>
          <w:sz w:val="32"/>
        </w:rPr>
        <w:t>266, 268, 284, 295, 298, 341, 344, 345, 350, 352, 419, 471, 472, 499, 503, 515,</w:t>
      </w:r>
      <w:r>
        <w:rPr>
          <w:rFonts w:ascii="Calibri"/>
          <w:spacing w:val="-22"/>
          <w:sz w:val="32"/>
        </w:rPr>
        <w:t> </w:t>
      </w:r>
      <w:r>
        <w:rPr>
          <w:rFonts w:ascii="Calibri"/>
          <w:sz w:val="32"/>
        </w:rPr>
        <w:t>550,</w:t>
      </w:r>
    </w:p>
    <w:p>
      <w:pPr>
        <w:spacing w:before="58"/>
        <w:ind w:left="458" w:right="188" w:firstLine="0"/>
        <w:jc w:val="center"/>
        <w:rPr>
          <w:rFonts w:ascii="Calibri"/>
          <w:sz w:val="32"/>
        </w:rPr>
      </w:pPr>
      <w:r>
        <w:rPr>
          <w:rFonts w:ascii="Calibri"/>
          <w:sz w:val="32"/>
        </w:rPr>
        <w:t>551, 604, 622, 627, 660, 661, 679, 680, 690, 693, 700, 714, 725, 754, 816, 843,</w:t>
      </w:r>
      <w:r>
        <w:rPr>
          <w:rFonts w:ascii="Calibri"/>
          <w:spacing w:val="-21"/>
          <w:sz w:val="32"/>
        </w:rPr>
        <w:t> </w:t>
      </w:r>
      <w:r>
        <w:rPr>
          <w:rFonts w:ascii="Calibri"/>
          <w:sz w:val="32"/>
        </w:rPr>
        <w:t>846,</w:t>
      </w:r>
    </w:p>
    <w:p>
      <w:pPr>
        <w:spacing w:before="59"/>
        <w:ind w:left="561" w:right="101" w:firstLine="0"/>
        <w:jc w:val="center"/>
        <w:rPr>
          <w:rFonts w:ascii="Calibri"/>
          <w:sz w:val="32"/>
        </w:rPr>
      </w:pPr>
      <w:r>
        <w:rPr>
          <w:rFonts w:ascii="Calibri"/>
          <w:sz w:val="32"/>
        </w:rPr>
        <w:t>941, 1017, 1021, 1046, 1067, 1095, 1096, 1099, 1111, 1137, 1144, 1166, 1204, 1239,</w:t>
      </w:r>
    </w:p>
    <w:p>
      <w:pPr>
        <w:spacing w:before="58"/>
        <w:ind w:left="810" w:right="188" w:firstLine="0"/>
        <w:jc w:val="center"/>
        <w:rPr>
          <w:rFonts w:ascii="Calibri"/>
          <w:sz w:val="32"/>
        </w:rPr>
      </w:pPr>
      <w:r>
        <w:rPr>
          <w:rFonts w:ascii="Calibri"/>
          <w:sz w:val="32"/>
        </w:rPr>
        <w:t>1296, 1306, 1350, 1364, 1385, 1386, 1391, 1414, 1423, 1474, 1475, 1482, 1485,</w:t>
      </w:r>
      <w:r>
        <w:rPr>
          <w:rFonts w:ascii="Calibri"/>
          <w:spacing w:val="-23"/>
          <w:sz w:val="32"/>
        </w:rPr>
        <w:t> </w:t>
      </w:r>
      <w:r>
        <w:rPr>
          <w:rFonts w:ascii="Calibri"/>
          <w:sz w:val="32"/>
        </w:rPr>
        <w:t>1487,</w:t>
      </w:r>
    </w:p>
    <w:p>
      <w:pPr>
        <w:spacing w:before="58"/>
        <w:ind w:left="811" w:right="188" w:firstLine="0"/>
        <w:jc w:val="center"/>
        <w:rPr>
          <w:rFonts w:ascii="Calibri"/>
          <w:sz w:val="32"/>
        </w:rPr>
      </w:pPr>
      <w:r>
        <w:rPr>
          <w:rFonts w:ascii="Calibri"/>
          <w:sz w:val="32"/>
        </w:rPr>
        <w:t>1490, 1537, 1546, 1547, 1596, 1737, 1763, 1767, 1807, 1810, 1822, 1834, 1836,</w:t>
      </w:r>
      <w:r>
        <w:rPr>
          <w:rFonts w:ascii="Calibri"/>
          <w:spacing w:val="-22"/>
          <w:sz w:val="32"/>
        </w:rPr>
        <w:t> </w:t>
      </w:r>
      <w:r>
        <w:rPr>
          <w:rFonts w:ascii="Calibri"/>
          <w:sz w:val="32"/>
        </w:rPr>
        <w:t>1840,</w:t>
      </w:r>
    </w:p>
    <w:p>
      <w:pPr>
        <w:spacing w:before="59"/>
        <w:ind w:left="837" w:right="0" w:firstLine="0"/>
        <w:jc w:val="left"/>
        <w:rPr>
          <w:rFonts w:ascii="Calibri"/>
          <w:sz w:val="32"/>
        </w:rPr>
      </w:pPr>
      <w:r>
        <w:rPr>
          <w:rFonts w:ascii="Calibri"/>
          <w:sz w:val="32"/>
        </w:rPr>
        <w:t>1852</w:t>
      </w:r>
    </w:p>
    <w:p>
      <w:pPr>
        <w:spacing w:before="60"/>
        <w:ind w:left="467" w:right="0" w:firstLine="0"/>
        <w:jc w:val="center"/>
        <w:rPr>
          <w:rFonts w:ascii="Calibri"/>
          <w:sz w:val="32"/>
        </w:rPr>
      </w:pPr>
      <w:r>
        <w:rPr>
          <w:sz w:val="32"/>
        </w:rPr>
        <w:t>Inflammation of the colon </w:t>
      </w:r>
      <w:r>
        <w:rPr>
          <w:rFonts w:ascii="Calibri"/>
          <w:sz w:val="32"/>
        </w:rPr>
        <w:t>........................................................................... 153, 700,</w:t>
      </w:r>
      <w:r>
        <w:rPr>
          <w:rFonts w:ascii="Calibri"/>
          <w:spacing w:val="-30"/>
          <w:sz w:val="32"/>
        </w:rPr>
        <w:t> </w:t>
      </w:r>
      <w:r>
        <w:rPr>
          <w:rFonts w:ascii="Calibri"/>
          <w:sz w:val="32"/>
        </w:rPr>
        <w:t>1203</w:t>
      </w:r>
    </w:p>
    <w:p>
      <w:pPr>
        <w:spacing w:before="58"/>
        <w:ind w:left="467" w:right="0" w:firstLine="0"/>
        <w:jc w:val="center"/>
        <w:rPr>
          <w:rFonts w:ascii="Calibri"/>
          <w:sz w:val="32"/>
        </w:rPr>
      </w:pPr>
      <w:r>
        <w:rPr>
          <w:sz w:val="32"/>
        </w:rPr>
        <w:t>Influenza</w:t>
      </w:r>
      <w:r>
        <w:rPr>
          <w:rFonts w:ascii="Calibri"/>
          <w:sz w:val="32"/>
        </w:rPr>
        <w:t>....................................................................................... 1716, 1718, 1737, </w:t>
      </w:r>
      <w:r>
        <w:rPr>
          <w:rFonts w:ascii="Calibri"/>
          <w:spacing w:val="8"/>
          <w:sz w:val="32"/>
        </w:rPr>
        <w:t> </w:t>
      </w:r>
      <w:r>
        <w:rPr>
          <w:rFonts w:ascii="Calibri"/>
          <w:sz w:val="32"/>
        </w:rPr>
        <w:t>1741</w:t>
      </w:r>
    </w:p>
    <w:p>
      <w:pPr>
        <w:tabs>
          <w:tab w:pos="11400" w:val="left" w:leader="dot"/>
        </w:tabs>
        <w:spacing w:before="59"/>
        <w:ind w:left="469" w:right="0" w:firstLine="0"/>
        <w:jc w:val="center"/>
        <w:rPr>
          <w:rFonts w:ascii="Calibri"/>
          <w:sz w:val="32"/>
        </w:rPr>
      </w:pPr>
      <w:r>
        <w:rPr>
          <w:b/>
          <w:sz w:val="32"/>
        </w:rPr>
        <w:t>Intestinal</w:t>
      </w:r>
      <w:r>
        <w:rPr>
          <w:b/>
          <w:spacing w:val="-3"/>
          <w:sz w:val="32"/>
        </w:rPr>
        <w:t> </w:t>
      </w:r>
      <w:r>
        <w:rPr>
          <w:b/>
          <w:sz w:val="32"/>
        </w:rPr>
        <w:t>infections</w:t>
        <w:tab/>
      </w:r>
      <w:r>
        <w:rPr>
          <w:rFonts w:ascii="Calibri"/>
          <w:sz w:val="32"/>
        </w:rPr>
        <w:t>693</w:t>
      </w:r>
    </w:p>
    <w:p>
      <w:pPr>
        <w:spacing w:before="58"/>
        <w:ind w:left="465" w:right="0" w:firstLine="0"/>
        <w:jc w:val="center"/>
        <w:rPr>
          <w:rFonts w:ascii="Calibri"/>
          <w:sz w:val="32"/>
        </w:rPr>
      </w:pPr>
      <w:r>
        <w:rPr>
          <w:sz w:val="32"/>
        </w:rPr>
        <w:t>Intestinal polyps </w:t>
      </w:r>
      <w:r>
        <w:rPr>
          <w:rFonts w:ascii="Calibri"/>
          <w:sz w:val="32"/>
        </w:rPr>
        <w:t>.....................................................................249, 251, 252, 261, 337,</w:t>
      </w:r>
      <w:r>
        <w:rPr>
          <w:rFonts w:ascii="Calibri"/>
          <w:spacing w:val="20"/>
          <w:sz w:val="32"/>
        </w:rPr>
        <w:t> </w:t>
      </w:r>
      <w:r>
        <w:rPr>
          <w:rFonts w:ascii="Calibri"/>
          <w:sz w:val="32"/>
        </w:rPr>
        <w:t>353</w:t>
      </w:r>
    </w:p>
    <w:p>
      <w:pPr>
        <w:spacing w:before="58"/>
        <w:ind w:left="468" w:right="0" w:firstLine="0"/>
        <w:jc w:val="center"/>
        <w:rPr>
          <w:rFonts w:ascii="Calibri"/>
          <w:sz w:val="32"/>
        </w:rPr>
      </w:pPr>
      <w:r>
        <w:rPr>
          <w:sz w:val="32"/>
        </w:rPr>
        <w:t>Irritable  bladder</w:t>
      </w:r>
      <w:r>
        <w:rPr>
          <w:rFonts w:ascii="Calibri"/>
          <w:sz w:val="32"/>
        </w:rPr>
        <w:t>..................................................................................................... 338,</w:t>
      </w:r>
      <w:r>
        <w:rPr>
          <w:rFonts w:ascii="Calibri"/>
          <w:spacing w:val="-30"/>
          <w:sz w:val="32"/>
        </w:rPr>
        <w:t> </w:t>
      </w:r>
      <w:r>
        <w:rPr>
          <w:rFonts w:ascii="Calibri"/>
          <w:sz w:val="32"/>
        </w:rPr>
        <w:t>412</w:t>
      </w:r>
    </w:p>
    <w:p>
      <w:pPr>
        <w:tabs>
          <w:tab w:pos="11400" w:val="left" w:leader="dot"/>
        </w:tabs>
        <w:spacing w:before="58"/>
        <w:ind w:left="469" w:right="0" w:firstLine="0"/>
        <w:jc w:val="center"/>
        <w:rPr>
          <w:rFonts w:ascii="Calibri"/>
          <w:sz w:val="32"/>
        </w:rPr>
      </w:pPr>
      <w:r>
        <w:rPr>
          <w:sz w:val="32"/>
        </w:rPr>
        <w:t>itching</w:t>
        <w:tab/>
      </w:r>
      <w:r>
        <w:rPr>
          <w:rFonts w:ascii="Calibri"/>
          <w:sz w:val="32"/>
        </w:rPr>
        <w:t>863</w:t>
      </w:r>
    </w:p>
    <w:p>
      <w:pPr>
        <w:spacing w:before="61"/>
        <w:ind w:left="461" w:right="0" w:firstLine="0"/>
        <w:jc w:val="center"/>
        <w:rPr>
          <w:rFonts w:ascii="Calibri"/>
          <w:sz w:val="32"/>
        </w:rPr>
      </w:pPr>
      <w:r>
        <w:rPr>
          <w:sz w:val="32"/>
        </w:rPr>
        <w:t>Itching </w:t>
      </w:r>
      <w:r>
        <w:rPr>
          <w:rFonts w:ascii="Calibri"/>
          <w:sz w:val="32"/>
        </w:rPr>
        <w:t>. 338, 430, 439, 489, 560, 1047, 1247, 1277, 1388, 1389, 1390, 1476, 1485,</w:t>
      </w:r>
      <w:r>
        <w:rPr>
          <w:rFonts w:ascii="Calibri"/>
          <w:spacing w:val="-48"/>
          <w:sz w:val="32"/>
        </w:rPr>
        <w:t> </w:t>
      </w:r>
      <w:r>
        <w:rPr>
          <w:rFonts w:ascii="Calibri"/>
          <w:sz w:val="32"/>
        </w:rPr>
        <w:t>1497,</w:t>
      </w:r>
    </w:p>
    <w:p>
      <w:pPr>
        <w:spacing w:before="58"/>
        <w:ind w:left="837" w:right="0" w:firstLine="0"/>
        <w:jc w:val="left"/>
        <w:rPr>
          <w:rFonts w:ascii="Calibri"/>
          <w:sz w:val="32"/>
        </w:rPr>
      </w:pPr>
      <w:r>
        <w:rPr>
          <w:rFonts w:ascii="Calibri"/>
          <w:sz w:val="32"/>
        </w:rPr>
        <w:t>1591, 1822</w:t>
      </w:r>
    </w:p>
    <w:p>
      <w:pPr>
        <w:spacing w:before="59"/>
        <w:ind w:left="465" w:right="0" w:firstLine="0"/>
        <w:jc w:val="center"/>
        <w:rPr>
          <w:rFonts w:ascii="Calibri"/>
          <w:sz w:val="32"/>
        </w:rPr>
      </w:pPr>
      <w:r>
        <w:rPr>
          <w:sz w:val="32"/>
        </w:rPr>
        <w:t>Jet lag </w:t>
      </w:r>
      <w:r>
        <w:rPr>
          <w:rFonts w:ascii="Calibri"/>
          <w:sz w:val="32"/>
        </w:rPr>
        <w:t>...................................................................................967, 980, 981, 997, 998, 1113</w:t>
      </w:r>
    </w:p>
    <w:p>
      <w:pPr>
        <w:spacing w:after="0"/>
        <w:jc w:val="center"/>
        <w:rPr>
          <w:rFonts w:ascii="Calibri"/>
          <w:sz w:val="32"/>
        </w:rPr>
        <w:sectPr>
          <w:pgSz w:w="14270" w:h="16850"/>
          <w:pgMar w:header="0" w:footer="1891" w:top="1360" w:bottom="2080" w:left="800" w:right="1280"/>
        </w:sectPr>
      </w:pPr>
    </w:p>
    <w:p>
      <w:pPr>
        <w:spacing w:before="55"/>
        <w:ind w:left="468" w:right="0" w:firstLine="0"/>
        <w:jc w:val="center"/>
        <w:rPr>
          <w:rFonts w:ascii="Calibri"/>
          <w:sz w:val="32"/>
        </w:rPr>
      </w:pPr>
      <w:r>
        <w:rPr>
          <w:sz w:val="32"/>
        </w:rPr>
        <w:t>Kennedy's  disease</w:t>
      </w:r>
      <w:r>
        <w:rPr>
          <w:rFonts w:ascii="Calibri"/>
          <w:sz w:val="32"/>
        </w:rPr>
        <w:t>.................................................................................................. 339,</w:t>
      </w:r>
      <w:r>
        <w:rPr>
          <w:rFonts w:ascii="Calibri"/>
          <w:spacing w:val="-27"/>
          <w:sz w:val="32"/>
        </w:rPr>
        <w:t> </w:t>
      </w:r>
      <w:r>
        <w:rPr>
          <w:rFonts w:ascii="Calibri"/>
          <w:sz w:val="32"/>
        </w:rPr>
        <w:t>349</w:t>
      </w:r>
    </w:p>
    <w:p>
      <w:pPr>
        <w:spacing w:before="61"/>
        <w:ind w:left="465" w:right="0" w:firstLine="0"/>
        <w:jc w:val="center"/>
        <w:rPr>
          <w:rFonts w:ascii="Calibri"/>
          <w:sz w:val="32"/>
        </w:rPr>
      </w:pPr>
      <w:r>
        <w:rPr>
          <w:sz w:val="32"/>
        </w:rPr>
        <w:t>Kidney disease</w:t>
      </w:r>
      <w:r>
        <w:rPr>
          <w:rFonts w:ascii="Calibri"/>
          <w:sz w:val="32"/>
        </w:rPr>
        <w:t>......................................................................1005, 1062, 1063, 1068,</w:t>
      </w:r>
      <w:r>
        <w:rPr>
          <w:rFonts w:ascii="Calibri"/>
          <w:spacing w:val="50"/>
          <w:sz w:val="32"/>
        </w:rPr>
        <w:t> </w:t>
      </w:r>
      <w:r>
        <w:rPr>
          <w:rFonts w:ascii="Calibri"/>
          <w:sz w:val="32"/>
        </w:rPr>
        <w:t>1832</w:t>
      </w:r>
    </w:p>
    <w:p>
      <w:pPr>
        <w:spacing w:before="58"/>
        <w:ind w:left="468" w:right="0" w:firstLine="0"/>
        <w:jc w:val="center"/>
        <w:rPr>
          <w:rFonts w:ascii="Calibri"/>
          <w:sz w:val="32"/>
        </w:rPr>
      </w:pPr>
      <w:r>
        <w:rPr>
          <w:sz w:val="32"/>
        </w:rPr>
        <w:t>Kidney diseases </w:t>
      </w:r>
      <w:r>
        <w:rPr>
          <w:rFonts w:ascii="Calibri"/>
          <w:sz w:val="32"/>
        </w:rPr>
        <w:t>....................................................................186, 208, 411, 415, 888,</w:t>
      </w:r>
      <w:r>
        <w:rPr>
          <w:rFonts w:ascii="Calibri"/>
          <w:spacing w:val="28"/>
          <w:sz w:val="32"/>
        </w:rPr>
        <w:t> </w:t>
      </w:r>
      <w:r>
        <w:rPr>
          <w:rFonts w:ascii="Calibri"/>
          <w:sz w:val="32"/>
        </w:rPr>
        <w:t>1307</w:t>
      </w:r>
    </w:p>
    <w:p>
      <w:pPr>
        <w:spacing w:before="58"/>
        <w:ind w:left="465" w:right="0" w:firstLine="0"/>
        <w:jc w:val="center"/>
        <w:rPr>
          <w:rFonts w:ascii="Calibri"/>
          <w:sz w:val="32"/>
        </w:rPr>
      </w:pPr>
      <w:r>
        <w:rPr>
          <w:sz w:val="32"/>
        </w:rPr>
        <w:t>Kidney stones</w:t>
      </w:r>
      <w:r>
        <w:rPr>
          <w:rFonts w:ascii="Calibri"/>
          <w:sz w:val="32"/>
        </w:rPr>
        <w:t>.........................................................................338, 1720, 1832, 1837,</w:t>
      </w:r>
      <w:r>
        <w:rPr>
          <w:rFonts w:ascii="Calibri"/>
          <w:spacing w:val="48"/>
          <w:sz w:val="32"/>
        </w:rPr>
        <w:t> </w:t>
      </w:r>
      <w:r>
        <w:rPr>
          <w:rFonts w:ascii="Calibri"/>
          <w:sz w:val="32"/>
        </w:rPr>
        <w:t>1846</w:t>
      </w:r>
    </w:p>
    <w:p>
      <w:pPr>
        <w:spacing w:before="59"/>
        <w:ind w:left="466" w:right="0" w:firstLine="0"/>
        <w:jc w:val="center"/>
        <w:rPr>
          <w:rFonts w:ascii="Calibri"/>
          <w:sz w:val="32"/>
        </w:rPr>
      </w:pPr>
      <w:r>
        <w:rPr>
          <w:sz w:val="32"/>
        </w:rPr>
        <w:t>Lack of concentration</w:t>
      </w:r>
      <w:r>
        <w:rPr>
          <w:rFonts w:ascii="Calibri"/>
          <w:sz w:val="32"/>
        </w:rPr>
        <w:t>...................................................................... 980, 1112, 1739,</w:t>
      </w:r>
      <w:r>
        <w:rPr>
          <w:rFonts w:ascii="Calibri"/>
          <w:spacing w:val="45"/>
          <w:sz w:val="32"/>
        </w:rPr>
        <w:t> </w:t>
      </w:r>
      <w:r>
        <w:rPr>
          <w:rFonts w:ascii="Calibri"/>
          <w:sz w:val="32"/>
        </w:rPr>
        <w:t>1828</w:t>
      </w:r>
    </w:p>
    <w:p>
      <w:pPr>
        <w:spacing w:before="58"/>
        <w:ind w:left="468" w:right="0" w:firstLine="0"/>
        <w:jc w:val="center"/>
        <w:rPr>
          <w:rFonts w:ascii="Calibri"/>
          <w:sz w:val="32"/>
        </w:rPr>
      </w:pPr>
      <w:r>
        <w:rPr>
          <w:sz w:val="32"/>
        </w:rPr>
        <w:t>Leprosy </w:t>
      </w:r>
      <w:r>
        <w:rPr>
          <w:rFonts w:ascii="Calibri"/>
          <w:sz w:val="32"/>
        </w:rPr>
        <w:t>................................................................................................................. 480,</w:t>
      </w:r>
      <w:r>
        <w:rPr>
          <w:rFonts w:ascii="Calibri"/>
          <w:spacing w:val="2"/>
          <w:sz w:val="32"/>
        </w:rPr>
        <w:t> </w:t>
      </w:r>
      <w:r>
        <w:rPr>
          <w:rFonts w:ascii="Calibri"/>
          <w:sz w:val="32"/>
        </w:rPr>
        <w:t>725</w:t>
      </w:r>
    </w:p>
    <w:p>
      <w:pPr>
        <w:spacing w:before="58"/>
        <w:ind w:left="463" w:right="0" w:firstLine="0"/>
        <w:jc w:val="center"/>
        <w:rPr>
          <w:rFonts w:ascii="Calibri"/>
          <w:sz w:val="32"/>
        </w:rPr>
      </w:pPr>
      <w:r>
        <w:rPr>
          <w:sz w:val="32"/>
        </w:rPr>
        <w:t>Liver cirrhosis </w:t>
      </w:r>
      <w:r>
        <w:rPr>
          <w:rFonts w:ascii="Calibri"/>
          <w:sz w:val="32"/>
        </w:rPr>
        <w:t>................................ 89, 259, 345, 362, 915, 1159, 1205, 1214, 1324,</w:t>
      </w:r>
      <w:r>
        <w:rPr>
          <w:rFonts w:ascii="Calibri"/>
          <w:spacing w:val="-5"/>
          <w:sz w:val="32"/>
        </w:rPr>
        <w:t> </w:t>
      </w:r>
      <w:r>
        <w:rPr>
          <w:rFonts w:ascii="Calibri"/>
          <w:sz w:val="32"/>
        </w:rPr>
        <w:t>1738</w:t>
      </w:r>
    </w:p>
    <w:p>
      <w:pPr>
        <w:spacing w:before="60"/>
        <w:ind w:left="462" w:right="0" w:firstLine="0"/>
        <w:jc w:val="center"/>
        <w:rPr>
          <w:rFonts w:ascii="Calibri"/>
          <w:sz w:val="32"/>
        </w:rPr>
      </w:pPr>
      <w:r>
        <w:rPr>
          <w:sz w:val="32"/>
        </w:rPr>
        <w:t>Liver disease</w:t>
      </w:r>
      <w:r>
        <w:rPr>
          <w:rFonts w:ascii="Calibri"/>
          <w:sz w:val="32"/>
        </w:rPr>
        <w:t>............................138, 185, 208, 339, 481, 889, 893, 1676, 1701, 1829,</w:t>
      </w:r>
      <w:r>
        <w:rPr>
          <w:rFonts w:ascii="Calibri"/>
          <w:spacing w:val="25"/>
          <w:sz w:val="32"/>
        </w:rPr>
        <w:t> </w:t>
      </w:r>
      <w:r>
        <w:rPr>
          <w:rFonts w:ascii="Calibri"/>
          <w:sz w:val="32"/>
        </w:rPr>
        <w:t>1830</w:t>
      </w:r>
    </w:p>
    <w:p>
      <w:pPr>
        <w:spacing w:before="59"/>
        <w:ind w:left="468" w:right="0" w:firstLine="0"/>
        <w:jc w:val="center"/>
        <w:rPr>
          <w:rFonts w:ascii="Calibri"/>
          <w:sz w:val="32"/>
        </w:rPr>
      </w:pPr>
      <w:r>
        <w:rPr>
          <w:sz w:val="32"/>
        </w:rPr>
        <w:t>Liver spots </w:t>
      </w:r>
      <w:r>
        <w:rPr>
          <w:rFonts w:ascii="Calibri"/>
          <w:sz w:val="32"/>
        </w:rPr>
        <w:t>........................................................................................................ 1842,</w:t>
      </w:r>
      <w:r>
        <w:rPr>
          <w:rFonts w:ascii="Calibri"/>
          <w:spacing w:val="22"/>
          <w:sz w:val="32"/>
        </w:rPr>
        <w:t> </w:t>
      </w:r>
      <w:r>
        <w:rPr>
          <w:rFonts w:ascii="Calibri"/>
          <w:sz w:val="32"/>
        </w:rPr>
        <w:t>1850</w:t>
      </w:r>
    </w:p>
    <w:p>
      <w:pPr>
        <w:spacing w:before="58"/>
        <w:ind w:left="465" w:right="0" w:firstLine="0"/>
        <w:jc w:val="center"/>
        <w:rPr>
          <w:rFonts w:ascii="Calibri"/>
          <w:sz w:val="32"/>
        </w:rPr>
      </w:pPr>
      <w:r>
        <w:rPr>
          <w:sz w:val="32"/>
        </w:rPr>
        <w:t>Loss of appetite</w:t>
      </w:r>
      <w:r>
        <w:rPr>
          <w:rFonts w:ascii="Calibri"/>
          <w:sz w:val="32"/>
        </w:rPr>
        <w:t>......................................................................153, 201, 206, 294, 604, </w:t>
      </w:r>
      <w:r>
        <w:rPr>
          <w:rFonts w:ascii="Calibri"/>
          <w:spacing w:val="2"/>
          <w:sz w:val="32"/>
        </w:rPr>
        <w:t> </w:t>
      </w:r>
      <w:r>
        <w:rPr>
          <w:rFonts w:ascii="Calibri"/>
          <w:sz w:val="32"/>
        </w:rPr>
        <w:t>629</w:t>
      </w:r>
    </w:p>
    <w:p>
      <w:pPr>
        <w:spacing w:before="59"/>
        <w:ind w:left="466" w:right="0" w:firstLine="0"/>
        <w:jc w:val="center"/>
        <w:rPr>
          <w:rFonts w:ascii="Calibri"/>
          <w:sz w:val="32"/>
        </w:rPr>
      </w:pPr>
      <w:r>
        <w:rPr>
          <w:sz w:val="32"/>
        </w:rPr>
        <w:t>Lupus e </w:t>
      </w:r>
      <w:r>
        <w:rPr>
          <w:rFonts w:ascii="Calibri"/>
          <w:sz w:val="32"/>
        </w:rPr>
        <w:t>............................................................................................. 229, 295, 1062,</w:t>
      </w:r>
      <w:r>
        <w:rPr>
          <w:rFonts w:ascii="Calibri"/>
          <w:spacing w:val="25"/>
          <w:sz w:val="32"/>
        </w:rPr>
        <w:t> </w:t>
      </w:r>
      <w:r>
        <w:rPr>
          <w:rFonts w:ascii="Calibri"/>
          <w:sz w:val="32"/>
        </w:rPr>
        <w:t>1068</w:t>
      </w:r>
    </w:p>
    <w:p>
      <w:pPr>
        <w:tabs>
          <w:tab w:pos="12033" w:val="right" w:leader="dot"/>
        </w:tabs>
        <w:spacing w:before="58"/>
        <w:ind w:left="616" w:right="0" w:firstLine="0"/>
        <w:jc w:val="left"/>
        <w:rPr>
          <w:rFonts w:ascii="Calibri"/>
          <w:sz w:val="32"/>
        </w:rPr>
      </w:pPr>
      <w:r>
        <w:rPr>
          <w:sz w:val="32"/>
        </w:rPr>
        <w:t>Lymph</w:t>
      </w:r>
      <w:r>
        <w:rPr>
          <w:spacing w:val="-2"/>
          <w:sz w:val="32"/>
        </w:rPr>
        <w:t> </w:t>
      </w:r>
      <w:r>
        <w:rPr>
          <w:sz w:val="32"/>
        </w:rPr>
        <w:t>nodes</w:t>
        <w:tab/>
      </w:r>
      <w:r>
        <w:rPr>
          <w:rFonts w:ascii="Calibri"/>
          <w:sz w:val="32"/>
        </w:rPr>
        <w:t>294</w:t>
      </w:r>
    </w:p>
    <w:p>
      <w:pPr>
        <w:tabs>
          <w:tab w:pos="12033" w:val="right" w:leader="dot"/>
        </w:tabs>
        <w:spacing w:before="60"/>
        <w:ind w:left="616" w:right="0" w:firstLine="0"/>
        <w:jc w:val="left"/>
        <w:rPr>
          <w:rFonts w:ascii="Calibri"/>
          <w:sz w:val="32"/>
        </w:rPr>
      </w:pPr>
      <w:r>
        <w:rPr>
          <w:sz w:val="32"/>
        </w:rPr>
        <w:t>Macula</w:t>
      </w:r>
      <w:r>
        <w:rPr>
          <w:spacing w:val="-2"/>
          <w:sz w:val="32"/>
        </w:rPr>
        <w:t> </w:t>
      </w:r>
      <w:r>
        <w:rPr>
          <w:sz w:val="32"/>
        </w:rPr>
        <w:t>degeneration</w:t>
        <w:tab/>
      </w:r>
      <w:r>
        <w:rPr>
          <w:rFonts w:ascii="Calibri"/>
          <w:sz w:val="32"/>
        </w:rPr>
        <w:t>1121</w:t>
      </w:r>
    </w:p>
    <w:p>
      <w:pPr>
        <w:spacing w:before="58"/>
        <w:ind w:left="466" w:right="0" w:firstLine="0"/>
        <w:jc w:val="center"/>
        <w:rPr>
          <w:rFonts w:ascii="Calibri"/>
          <w:sz w:val="32"/>
        </w:rPr>
      </w:pPr>
      <w:r>
        <w:rPr>
          <w:sz w:val="32"/>
        </w:rPr>
        <w:t>Macular degeneration </w:t>
      </w:r>
      <w:r>
        <w:rPr>
          <w:rFonts w:ascii="Calibri"/>
          <w:sz w:val="32"/>
        </w:rPr>
        <w:t>.......................................................................... 414, 425, 930,</w:t>
      </w:r>
      <w:r>
        <w:rPr>
          <w:rFonts w:ascii="Calibri"/>
          <w:spacing w:val="30"/>
          <w:sz w:val="32"/>
        </w:rPr>
        <w:t> </w:t>
      </w:r>
      <w:r>
        <w:rPr>
          <w:rFonts w:ascii="Calibri"/>
          <w:sz w:val="32"/>
        </w:rPr>
        <w:t>1746</w:t>
      </w:r>
    </w:p>
    <w:p>
      <w:pPr>
        <w:spacing w:before="59"/>
        <w:ind w:left="470" w:right="0" w:firstLine="0"/>
        <w:jc w:val="center"/>
        <w:rPr>
          <w:rFonts w:ascii="Calibri"/>
          <w:sz w:val="32"/>
        </w:rPr>
      </w:pPr>
      <w:r>
        <w:rPr>
          <w:sz w:val="32"/>
        </w:rPr>
        <w:t>Malaria</w:t>
      </w:r>
      <w:r>
        <w:rPr>
          <w:spacing w:val="-68"/>
          <w:sz w:val="32"/>
        </w:rPr>
        <w:t> </w:t>
      </w:r>
      <w:r>
        <w:rPr>
          <w:rFonts w:ascii="Calibri"/>
          <w:sz w:val="32"/>
        </w:rPr>
        <w:t>481, 509, 552, 725, 819, 825, 828, 840, 858, 1007, 1010, 1011, 1012, 1013, 1021,</w:t>
      </w:r>
    </w:p>
    <w:p>
      <w:pPr>
        <w:spacing w:before="58"/>
        <w:ind w:left="837" w:right="0" w:firstLine="0"/>
        <w:jc w:val="left"/>
        <w:rPr>
          <w:rFonts w:ascii="Calibri"/>
          <w:sz w:val="32"/>
        </w:rPr>
      </w:pPr>
      <w:r>
        <w:rPr>
          <w:rFonts w:ascii="Calibri"/>
          <w:sz w:val="32"/>
        </w:rPr>
        <w:t>1174, 1177, 1198, 1215, 1216</w:t>
      </w:r>
    </w:p>
    <w:p>
      <w:pPr>
        <w:spacing w:before="58"/>
        <w:ind w:left="465" w:right="0" w:firstLine="0"/>
        <w:jc w:val="center"/>
        <w:rPr>
          <w:rFonts w:ascii="Calibri"/>
          <w:sz w:val="32"/>
        </w:rPr>
      </w:pPr>
      <w:r>
        <w:rPr>
          <w:sz w:val="32"/>
        </w:rPr>
        <w:t>Measles </w:t>
      </w:r>
      <w:r>
        <w:rPr>
          <w:rFonts w:ascii="Calibri"/>
          <w:sz w:val="32"/>
        </w:rPr>
        <w:t>........................................................................ 185, 286, 287, 305, 481, 725,</w:t>
      </w:r>
      <w:r>
        <w:rPr>
          <w:rFonts w:ascii="Calibri"/>
          <w:spacing w:val="-19"/>
          <w:sz w:val="32"/>
        </w:rPr>
        <w:t> </w:t>
      </w:r>
      <w:r>
        <w:rPr>
          <w:rFonts w:ascii="Calibri"/>
          <w:sz w:val="32"/>
        </w:rPr>
        <w:t>1692</w:t>
      </w:r>
    </w:p>
    <w:p>
      <w:pPr>
        <w:spacing w:before="59"/>
        <w:ind w:left="462" w:right="0" w:firstLine="0"/>
        <w:jc w:val="center"/>
        <w:rPr>
          <w:rFonts w:ascii="Calibri"/>
          <w:sz w:val="32"/>
        </w:rPr>
      </w:pPr>
      <w:r>
        <w:rPr>
          <w:sz w:val="32"/>
        </w:rPr>
        <w:t>Menstrual cramps </w:t>
      </w:r>
      <w:r>
        <w:rPr>
          <w:rFonts w:ascii="Calibri"/>
          <w:sz w:val="32"/>
        </w:rPr>
        <w:t>......................... 154, 338, 438, 552, 754, 1198, 1217, 1248, 1591,</w:t>
      </w:r>
      <w:r>
        <w:rPr>
          <w:rFonts w:ascii="Calibri"/>
          <w:spacing w:val="-43"/>
          <w:sz w:val="32"/>
        </w:rPr>
        <w:t> </w:t>
      </w:r>
      <w:r>
        <w:rPr>
          <w:rFonts w:ascii="Calibri"/>
          <w:sz w:val="32"/>
        </w:rPr>
        <w:t>1810</w:t>
      </w:r>
    </w:p>
    <w:p>
      <w:pPr>
        <w:spacing w:before="60"/>
        <w:ind w:left="462" w:right="0" w:firstLine="0"/>
        <w:jc w:val="center"/>
        <w:rPr>
          <w:rFonts w:ascii="Calibri"/>
          <w:sz w:val="32"/>
        </w:rPr>
      </w:pPr>
      <w:r>
        <w:rPr>
          <w:sz w:val="32"/>
        </w:rPr>
        <w:t>Migraine</w:t>
      </w:r>
      <w:r>
        <w:rPr>
          <w:rFonts w:ascii="Calibri"/>
          <w:sz w:val="32"/>
        </w:rPr>
        <w:t>....... 6, 7, 33, 109, 378, 414, 423, 552, 754, 828, 840, 858, 967, 979, 1056,</w:t>
      </w:r>
      <w:r>
        <w:rPr>
          <w:rFonts w:ascii="Calibri"/>
          <w:spacing w:val="5"/>
          <w:sz w:val="32"/>
        </w:rPr>
        <w:t> </w:t>
      </w:r>
      <w:r>
        <w:rPr>
          <w:rFonts w:ascii="Calibri"/>
          <w:sz w:val="32"/>
        </w:rPr>
        <w:t>1068,</w:t>
      </w:r>
    </w:p>
    <w:p>
      <w:pPr>
        <w:spacing w:before="58"/>
        <w:ind w:left="837" w:right="0" w:firstLine="0"/>
        <w:jc w:val="left"/>
        <w:rPr>
          <w:rFonts w:ascii="Calibri"/>
          <w:sz w:val="32"/>
        </w:rPr>
      </w:pPr>
      <w:r>
        <w:rPr>
          <w:rFonts w:ascii="Calibri"/>
          <w:sz w:val="32"/>
        </w:rPr>
        <w:t>1081, 1114, 1139</w:t>
      </w:r>
    </w:p>
    <w:p>
      <w:pPr>
        <w:spacing w:before="59"/>
        <w:ind w:left="462" w:right="0" w:firstLine="0"/>
        <w:jc w:val="center"/>
        <w:rPr>
          <w:rFonts w:ascii="Calibri"/>
          <w:sz w:val="32"/>
        </w:rPr>
      </w:pPr>
      <w:r>
        <w:rPr>
          <w:sz w:val="32"/>
        </w:rPr>
        <w:t>Migraines </w:t>
      </w:r>
      <w:r>
        <w:rPr>
          <w:rFonts w:ascii="Calibri"/>
          <w:sz w:val="32"/>
        </w:rPr>
        <w:t>..................1387, 1396, 1497, 1591, 1674, 1691, 1692, 1740, 1810, 1829,</w:t>
      </w:r>
      <w:r>
        <w:rPr>
          <w:rFonts w:ascii="Calibri"/>
          <w:spacing w:val="-3"/>
          <w:sz w:val="32"/>
        </w:rPr>
        <w:t> </w:t>
      </w:r>
      <w:r>
        <w:rPr>
          <w:rFonts w:ascii="Calibri"/>
          <w:sz w:val="32"/>
        </w:rPr>
        <w:t>1835</w:t>
      </w:r>
    </w:p>
    <w:p>
      <w:pPr>
        <w:spacing w:before="58"/>
        <w:ind w:left="461" w:right="0" w:firstLine="0"/>
        <w:jc w:val="center"/>
        <w:rPr>
          <w:rFonts w:ascii="Calibri"/>
          <w:sz w:val="32"/>
        </w:rPr>
      </w:pPr>
      <w:r>
        <w:rPr>
          <w:sz w:val="32"/>
        </w:rPr>
        <w:t>MS </w:t>
      </w:r>
      <w:r>
        <w:rPr>
          <w:rFonts w:ascii="Calibri"/>
          <w:sz w:val="32"/>
        </w:rPr>
        <w:t>250, 266, 286, 302, 305, 336, 370, 414, 423, 612, 673, 682, 828, 840, 859, 976,</w:t>
      </w:r>
      <w:r>
        <w:rPr>
          <w:rFonts w:ascii="Calibri"/>
          <w:spacing w:val="-51"/>
          <w:sz w:val="32"/>
        </w:rPr>
        <w:t> </w:t>
      </w:r>
      <w:r>
        <w:rPr>
          <w:rFonts w:ascii="Calibri"/>
          <w:sz w:val="32"/>
        </w:rPr>
        <w:t>1055,</w:t>
      </w:r>
    </w:p>
    <w:p>
      <w:pPr>
        <w:spacing w:before="58"/>
        <w:ind w:left="837" w:right="0" w:firstLine="0"/>
        <w:jc w:val="left"/>
        <w:rPr>
          <w:rFonts w:ascii="Calibri"/>
          <w:sz w:val="32"/>
        </w:rPr>
      </w:pPr>
      <w:r>
        <w:rPr>
          <w:rFonts w:ascii="Calibri"/>
          <w:sz w:val="32"/>
        </w:rPr>
        <w:t>1129, 1172, 1204, 1215, 1303, 1307, 1350, 1367</w:t>
      </w:r>
    </w:p>
    <w:p>
      <w:pPr>
        <w:spacing w:before="58"/>
        <w:ind w:left="466" w:right="0" w:firstLine="0"/>
        <w:jc w:val="center"/>
        <w:rPr>
          <w:rFonts w:ascii="Calibri"/>
          <w:sz w:val="32"/>
        </w:rPr>
      </w:pPr>
      <w:r>
        <w:rPr>
          <w:sz w:val="32"/>
        </w:rPr>
        <w:t>Multiple sclerosis </w:t>
      </w:r>
      <w:r>
        <w:rPr>
          <w:rFonts w:ascii="Calibri"/>
          <w:sz w:val="32"/>
        </w:rPr>
        <w:t>.... 109, 270, 280, 286, 287, 295, 302, 303, 305, 333, 338, 370, 414, 604,</w:t>
      </w:r>
    </w:p>
    <w:p>
      <w:pPr>
        <w:spacing w:before="61"/>
        <w:ind w:left="561" w:right="110" w:firstLine="0"/>
        <w:jc w:val="center"/>
        <w:rPr>
          <w:rFonts w:ascii="Calibri"/>
          <w:sz w:val="32"/>
        </w:rPr>
      </w:pPr>
      <w:r>
        <w:rPr>
          <w:rFonts w:ascii="Calibri"/>
          <w:sz w:val="32"/>
        </w:rPr>
        <w:t>611, 659, 673, 682, 828, 840, 1068, 1129, 1172, 1204, 1303, 1307, 1340, 1347, 1533,</w:t>
      </w:r>
    </w:p>
    <w:p>
      <w:pPr>
        <w:spacing w:before="58"/>
        <w:ind w:left="837" w:right="0" w:firstLine="0"/>
        <w:jc w:val="left"/>
        <w:rPr>
          <w:rFonts w:ascii="Calibri"/>
          <w:sz w:val="32"/>
        </w:rPr>
      </w:pPr>
      <w:r>
        <w:rPr>
          <w:rFonts w:ascii="Calibri"/>
          <w:sz w:val="32"/>
        </w:rPr>
        <w:t>1586, 1831</w:t>
      </w:r>
    </w:p>
    <w:p>
      <w:pPr>
        <w:tabs>
          <w:tab w:pos="12033" w:val="right" w:leader="dot"/>
        </w:tabs>
        <w:spacing w:before="59"/>
        <w:ind w:left="616" w:right="0" w:firstLine="0"/>
        <w:jc w:val="left"/>
        <w:rPr>
          <w:rFonts w:ascii="Calibri"/>
          <w:sz w:val="32"/>
        </w:rPr>
      </w:pPr>
      <w:r>
        <w:rPr>
          <w:sz w:val="32"/>
        </w:rPr>
        <w:t>muscle</w:t>
      </w:r>
      <w:r>
        <w:rPr>
          <w:spacing w:val="-1"/>
          <w:sz w:val="32"/>
        </w:rPr>
        <w:t> </w:t>
      </w:r>
      <w:r>
        <w:rPr>
          <w:sz w:val="32"/>
        </w:rPr>
        <w:t>cramps</w:t>
        <w:tab/>
      </w:r>
      <w:r>
        <w:rPr>
          <w:rFonts w:ascii="Calibri"/>
          <w:sz w:val="32"/>
        </w:rPr>
        <w:t>754</w:t>
      </w:r>
    </w:p>
    <w:p>
      <w:pPr>
        <w:spacing w:after="0"/>
        <w:jc w:val="left"/>
        <w:rPr>
          <w:rFonts w:ascii="Calibri"/>
          <w:sz w:val="32"/>
        </w:rPr>
        <w:sectPr>
          <w:pgSz w:w="14270" w:h="16850"/>
          <w:pgMar w:header="0" w:footer="1891" w:top="1360" w:bottom="2080" w:left="800" w:right="1280"/>
        </w:sectPr>
      </w:pPr>
    </w:p>
    <w:p>
      <w:pPr>
        <w:spacing w:before="55"/>
        <w:ind w:left="469" w:right="0" w:firstLine="0"/>
        <w:jc w:val="center"/>
        <w:rPr>
          <w:rFonts w:ascii="Calibri"/>
          <w:sz w:val="32"/>
        </w:rPr>
      </w:pPr>
      <w:r>
        <w:rPr>
          <w:sz w:val="32"/>
        </w:rPr>
        <w:t>Muscle  cramps </w:t>
      </w:r>
      <w:r>
        <w:rPr>
          <w:rFonts w:ascii="Calibri"/>
          <w:sz w:val="32"/>
        </w:rPr>
        <w:t>............................................................................................................</w:t>
      </w:r>
      <w:r>
        <w:rPr>
          <w:rFonts w:ascii="Calibri"/>
          <w:spacing w:val="-58"/>
          <w:sz w:val="32"/>
        </w:rPr>
        <w:t> </w:t>
      </w:r>
      <w:r>
        <w:rPr>
          <w:rFonts w:ascii="Calibri"/>
          <w:sz w:val="32"/>
        </w:rPr>
        <w:t>1810</w:t>
      </w:r>
    </w:p>
    <w:p>
      <w:pPr>
        <w:spacing w:before="61"/>
        <w:ind w:left="466" w:right="0" w:firstLine="0"/>
        <w:jc w:val="center"/>
        <w:rPr>
          <w:rFonts w:ascii="Calibri"/>
          <w:sz w:val="32"/>
        </w:rPr>
      </w:pPr>
      <w:r>
        <w:rPr>
          <w:sz w:val="32"/>
        </w:rPr>
        <w:t>Muscle weakness </w:t>
      </w:r>
      <w:r>
        <w:rPr>
          <w:rFonts w:ascii="Calibri"/>
          <w:sz w:val="32"/>
        </w:rPr>
        <w:t>..........................................................................295, 349, 805, 895,</w:t>
      </w:r>
      <w:r>
        <w:rPr>
          <w:rFonts w:ascii="Calibri"/>
          <w:spacing w:val="22"/>
          <w:sz w:val="32"/>
        </w:rPr>
        <w:t> </w:t>
      </w:r>
      <w:r>
        <w:rPr>
          <w:rFonts w:ascii="Calibri"/>
          <w:sz w:val="32"/>
        </w:rPr>
        <w:t>1308</w:t>
      </w:r>
    </w:p>
    <w:p>
      <w:pPr>
        <w:spacing w:before="58"/>
        <w:ind w:left="466" w:right="0" w:firstLine="0"/>
        <w:jc w:val="center"/>
        <w:rPr>
          <w:rFonts w:ascii="Calibri"/>
          <w:sz w:val="32"/>
        </w:rPr>
      </w:pPr>
      <w:r>
        <w:rPr>
          <w:sz w:val="32"/>
        </w:rPr>
        <w:t>Mushrooms</w:t>
      </w:r>
      <w:r>
        <w:rPr>
          <w:rFonts w:ascii="Calibri"/>
          <w:sz w:val="32"/>
        </w:rPr>
        <w:t>.................................. 1659, 1663, 1664, 1681, 1697, 1834, 1867, 1875,</w:t>
      </w:r>
      <w:r>
        <w:rPr>
          <w:rFonts w:ascii="Calibri"/>
          <w:spacing w:val="23"/>
          <w:sz w:val="32"/>
        </w:rPr>
        <w:t> </w:t>
      </w:r>
      <w:r>
        <w:rPr>
          <w:rFonts w:ascii="Calibri"/>
          <w:sz w:val="32"/>
        </w:rPr>
        <w:t>1881</w:t>
      </w:r>
    </w:p>
    <w:p>
      <w:pPr>
        <w:spacing w:before="58"/>
        <w:ind w:left="467" w:right="0" w:firstLine="0"/>
        <w:jc w:val="center"/>
        <w:rPr>
          <w:rFonts w:ascii="Calibri"/>
          <w:sz w:val="32"/>
        </w:rPr>
      </w:pPr>
      <w:r>
        <w:rPr>
          <w:sz w:val="32"/>
        </w:rPr>
        <w:t>Myocarditis </w:t>
      </w:r>
      <w:r>
        <w:rPr>
          <w:rFonts w:ascii="Calibri"/>
          <w:sz w:val="32"/>
        </w:rPr>
        <w:t>......................................................................................................... 205,</w:t>
      </w:r>
      <w:r>
        <w:rPr>
          <w:rFonts w:ascii="Calibri"/>
          <w:spacing w:val="32"/>
          <w:sz w:val="32"/>
        </w:rPr>
        <w:t> </w:t>
      </w:r>
      <w:r>
        <w:rPr>
          <w:rFonts w:ascii="Calibri"/>
          <w:sz w:val="32"/>
        </w:rPr>
        <w:t>1307</w:t>
      </w:r>
    </w:p>
    <w:p>
      <w:pPr>
        <w:spacing w:before="59"/>
        <w:ind w:left="462" w:right="0" w:firstLine="0"/>
        <w:jc w:val="center"/>
        <w:rPr>
          <w:rFonts w:ascii="Calibri"/>
          <w:sz w:val="32"/>
        </w:rPr>
      </w:pPr>
      <w:r>
        <w:rPr>
          <w:sz w:val="32"/>
        </w:rPr>
        <w:t>Neurodermatitis </w:t>
      </w:r>
      <w:r>
        <w:rPr>
          <w:rFonts w:ascii="Calibri"/>
          <w:sz w:val="32"/>
        </w:rPr>
        <w:t>..................1048, 1068, 1076, 1080, 1081, 1114, 1137, 1476, 1542,</w:t>
      </w:r>
      <w:r>
        <w:rPr>
          <w:rFonts w:ascii="Calibri"/>
          <w:spacing w:val="-30"/>
          <w:sz w:val="32"/>
        </w:rPr>
        <w:t> </w:t>
      </w:r>
      <w:r>
        <w:rPr>
          <w:rFonts w:ascii="Calibri"/>
          <w:sz w:val="32"/>
        </w:rPr>
        <w:t>1550</w:t>
      </w:r>
    </w:p>
    <w:p>
      <w:pPr>
        <w:spacing w:before="58"/>
        <w:ind w:left="463" w:right="0" w:firstLine="0"/>
        <w:jc w:val="center"/>
        <w:rPr>
          <w:rFonts w:ascii="Calibri"/>
          <w:sz w:val="32"/>
        </w:rPr>
      </w:pPr>
      <w:r>
        <w:rPr>
          <w:sz w:val="32"/>
        </w:rPr>
        <w:t>Neurodermitis </w:t>
      </w:r>
      <w:r>
        <w:rPr>
          <w:rFonts w:ascii="Calibri"/>
          <w:sz w:val="32"/>
        </w:rPr>
        <w:t>...................................... 563, 673, 725, 748, 1248, 1306, 1324, 1389,</w:t>
      </w:r>
      <w:r>
        <w:rPr>
          <w:rFonts w:ascii="Calibri"/>
          <w:spacing w:val="-43"/>
          <w:sz w:val="32"/>
        </w:rPr>
        <w:t> </w:t>
      </w:r>
      <w:r>
        <w:rPr>
          <w:rFonts w:ascii="Calibri"/>
          <w:sz w:val="32"/>
        </w:rPr>
        <w:t>1390</w:t>
      </w:r>
    </w:p>
    <w:p>
      <w:pPr>
        <w:spacing w:before="58"/>
        <w:ind w:left="469" w:right="0" w:firstLine="0"/>
        <w:jc w:val="center"/>
        <w:rPr>
          <w:rFonts w:ascii="Calibri"/>
          <w:sz w:val="32"/>
        </w:rPr>
      </w:pPr>
      <w:r>
        <w:rPr>
          <w:sz w:val="32"/>
        </w:rPr>
        <w:t>Neurological  diseases</w:t>
      </w:r>
      <w:r>
        <w:rPr>
          <w:rFonts w:ascii="Calibri"/>
          <w:sz w:val="32"/>
        </w:rPr>
        <w:t>...................................................................................................</w:t>
      </w:r>
      <w:r>
        <w:rPr>
          <w:rFonts w:ascii="Calibri"/>
          <w:spacing w:val="-50"/>
          <w:sz w:val="32"/>
        </w:rPr>
        <w:t> </w:t>
      </w:r>
      <w:r>
        <w:rPr>
          <w:rFonts w:ascii="Calibri"/>
          <w:sz w:val="32"/>
        </w:rPr>
        <w:t>1710</w:t>
      </w:r>
    </w:p>
    <w:p>
      <w:pPr>
        <w:spacing w:before="60"/>
        <w:ind w:left="468" w:right="0" w:firstLine="0"/>
        <w:jc w:val="center"/>
        <w:rPr>
          <w:rFonts w:ascii="Calibri"/>
          <w:sz w:val="32"/>
        </w:rPr>
      </w:pPr>
      <w:r>
        <w:rPr>
          <w:sz w:val="32"/>
        </w:rPr>
        <w:t>Night blindness </w:t>
      </w:r>
      <w:r>
        <w:rPr>
          <w:rFonts w:ascii="Calibri"/>
          <w:sz w:val="32"/>
        </w:rPr>
        <w:t>................................................................................................. 1064,</w:t>
      </w:r>
      <w:r>
        <w:rPr>
          <w:rFonts w:ascii="Calibri"/>
          <w:spacing w:val="2"/>
          <w:sz w:val="32"/>
        </w:rPr>
        <w:t> </w:t>
      </w:r>
      <w:r>
        <w:rPr>
          <w:rFonts w:ascii="Calibri"/>
          <w:sz w:val="32"/>
        </w:rPr>
        <w:t>1080</w:t>
      </w:r>
    </w:p>
    <w:p>
      <w:pPr>
        <w:spacing w:before="59"/>
        <w:ind w:left="468" w:right="0" w:firstLine="0"/>
        <w:jc w:val="center"/>
        <w:rPr>
          <w:rFonts w:ascii="Calibri"/>
          <w:sz w:val="32"/>
        </w:rPr>
      </w:pPr>
      <w:r>
        <w:rPr>
          <w:sz w:val="32"/>
        </w:rPr>
        <w:t>Night-blindness </w:t>
      </w:r>
      <w:r>
        <w:rPr>
          <w:rFonts w:ascii="Calibri"/>
          <w:sz w:val="32"/>
        </w:rPr>
        <w:t>............................................................................................. 253, 258,</w:t>
      </w:r>
      <w:r>
        <w:rPr>
          <w:rFonts w:ascii="Calibri"/>
          <w:spacing w:val="-10"/>
          <w:sz w:val="32"/>
        </w:rPr>
        <w:t> </w:t>
      </w:r>
      <w:r>
        <w:rPr>
          <w:rFonts w:ascii="Calibri"/>
          <w:sz w:val="32"/>
        </w:rPr>
        <w:t>415</w:t>
      </w:r>
    </w:p>
    <w:p>
      <w:pPr>
        <w:spacing w:before="58"/>
        <w:ind w:left="468" w:right="0" w:firstLine="0"/>
        <w:jc w:val="center"/>
        <w:rPr>
          <w:rFonts w:ascii="Calibri"/>
          <w:sz w:val="32"/>
        </w:rPr>
      </w:pPr>
      <w:r>
        <w:rPr>
          <w:sz w:val="32"/>
        </w:rPr>
        <w:t>Obesity </w:t>
      </w:r>
      <w:r>
        <w:rPr>
          <w:rFonts w:ascii="Calibri"/>
          <w:sz w:val="32"/>
        </w:rPr>
        <w:t>................................................................................................................. 358,</w:t>
      </w:r>
      <w:r>
        <w:rPr>
          <w:rFonts w:ascii="Calibri"/>
          <w:spacing w:val="36"/>
          <w:sz w:val="32"/>
        </w:rPr>
        <w:t> </w:t>
      </w:r>
      <w:r>
        <w:rPr>
          <w:rFonts w:ascii="Calibri"/>
          <w:sz w:val="32"/>
        </w:rPr>
        <w:t>673</w:t>
      </w:r>
    </w:p>
    <w:p>
      <w:pPr>
        <w:spacing w:before="59"/>
        <w:ind w:left="462" w:right="0" w:firstLine="0"/>
        <w:jc w:val="center"/>
        <w:rPr>
          <w:rFonts w:ascii="Calibri"/>
          <w:sz w:val="32"/>
        </w:rPr>
      </w:pPr>
      <w:r>
        <w:rPr>
          <w:sz w:val="32"/>
        </w:rPr>
        <w:t>Oedema </w:t>
      </w:r>
      <w:r>
        <w:rPr>
          <w:rFonts w:ascii="Calibri"/>
          <w:sz w:val="32"/>
        </w:rPr>
        <w:t>. 11, 142, 154, 171, 208, 414, 416, 419, 749, 828, 1205, 1226, 1318, 1680,</w:t>
      </w:r>
      <w:r>
        <w:rPr>
          <w:rFonts w:ascii="Calibri"/>
          <w:spacing w:val="-50"/>
          <w:sz w:val="32"/>
        </w:rPr>
        <w:t> </w:t>
      </w:r>
      <w:r>
        <w:rPr>
          <w:rFonts w:ascii="Calibri"/>
          <w:sz w:val="32"/>
        </w:rPr>
        <w:t>1715,</w:t>
      </w:r>
    </w:p>
    <w:p>
      <w:pPr>
        <w:spacing w:before="58"/>
        <w:ind w:left="837" w:right="0" w:firstLine="0"/>
        <w:jc w:val="left"/>
        <w:rPr>
          <w:rFonts w:ascii="Calibri"/>
          <w:sz w:val="32"/>
        </w:rPr>
      </w:pPr>
      <w:r>
        <w:rPr>
          <w:rFonts w:ascii="Calibri"/>
          <w:sz w:val="32"/>
        </w:rPr>
        <w:t>1833, 1842, 1850</w:t>
      </w:r>
    </w:p>
    <w:p>
      <w:pPr>
        <w:tabs>
          <w:tab w:pos="11387" w:val="left" w:leader="dot"/>
        </w:tabs>
        <w:spacing w:before="60"/>
        <w:ind w:left="616" w:right="0" w:firstLine="0"/>
        <w:jc w:val="left"/>
        <w:rPr>
          <w:rFonts w:ascii="Calibri"/>
          <w:sz w:val="32"/>
        </w:rPr>
      </w:pPr>
      <w:r>
        <w:rPr>
          <w:sz w:val="32"/>
        </w:rPr>
        <w:t>Oedemas</w:t>
        <w:tab/>
      </w:r>
      <w:r>
        <w:rPr>
          <w:rFonts w:ascii="Calibri"/>
          <w:sz w:val="32"/>
        </w:rPr>
        <w:t>1113</w:t>
      </w:r>
    </w:p>
    <w:p>
      <w:pPr>
        <w:spacing w:before="58"/>
        <w:ind w:left="462" w:right="0" w:firstLine="0"/>
        <w:jc w:val="center"/>
        <w:rPr>
          <w:rFonts w:ascii="Calibri"/>
          <w:sz w:val="32"/>
        </w:rPr>
      </w:pPr>
      <w:r>
        <w:rPr>
          <w:sz w:val="32"/>
        </w:rPr>
        <w:t>Osteoporosis</w:t>
      </w:r>
      <w:r>
        <w:rPr>
          <w:rFonts w:ascii="Calibri"/>
          <w:sz w:val="32"/>
        </w:rPr>
        <w:t>.. 216, 370, 375, 494, 514, 604, 613, 619, 895, 982, 1061, 1062, 1068,</w:t>
      </w:r>
      <w:r>
        <w:rPr>
          <w:rFonts w:ascii="Calibri"/>
          <w:spacing w:val="-16"/>
          <w:sz w:val="32"/>
        </w:rPr>
        <w:t> </w:t>
      </w:r>
      <w:r>
        <w:rPr>
          <w:rFonts w:ascii="Calibri"/>
          <w:sz w:val="32"/>
        </w:rPr>
        <w:t>1079,</w:t>
      </w:r>
    </w:p>
    <w:p>
      <w:pPr>
        <w:spacing w:before="59"/>
        <w:ind w:left="812" w:right="188" w:firstLine="0"/>
        <w:jc w:val="center"/>
        <w:rPr>
          <w:rFonts w:ascii="Calibri"/>
          <w:sz w:val="32"/>
        </w:rPr>
      </w:pPr>
      <w:r>
        <w:rPr>
          <w:rFonts w:ascii="Calibri"/>
          <w:sz w:val="32"/>
        </w:rPr>
        <w:t>1117, 1141, 1174, 1204, 1324, 1468, 1475, 1482, 1499, 1505, 1533, 1586, 1691, 1701,</w:t>
      </w:r>
    </w:p>
    <w:p>
      <w:pPr>
        <w:spacing w:before="58"/>
        <w:ind w:left="837" w:right="0" w:firstLine="0"/>
        <w:jc w:val="left"/>
        <w:rPr>
          <w:rFonts w:ascii="Calibri"/>
          <w:sz w:val="32"/>
        </w:rPr>
      </w:pPr>
      <w:r>
        <w:rPr>
          <w:rFonts w:ascii="Calibri"/>
          <w:sz w:val="32"/>
        </w:rPr>
        <w:t>1743, 1833, 1840, 1842, 1845</w:t>
      </w:r>
    </w:p>
    <w:p>
      <w:pPr>
        <w:spacing w:before="58"/>
        <w:ind w:left="466" w:right="0" w:firstLine="0"/>
        <w:jc w:val="center"/>
        <w:rPr>
          <w:rFonts w:ascii="Calibri"/>
          <w:sz w:val="32"/>
        </w:rPr>
      </w:pPr>
      <w:r>
        <w:rPr>
          <w:sz w:val="32"/>
        </w:rPr>
        <w:t>Otitis</w:t>
      </w:r>
      <w:r>
        <w:rPr>
          <w:rFonts w:ascii="Calibri"/>
          <w:sz w:val="32"/>
        </w:rPr>
        <w:t>..........................................................................................552, 563, 701, 1246,</w:t>
      </w:r>
      <w:r>
        <w:rPr>
          <w:rFonts w:ascii="Calibri"/>
          <w:spacing w:val="67"/>
          <w:sz w:val="32"/>
        </w:rPr>
        <w:t> </w:t>
      </w:r>
      <w:r>
        <w:rPr>
          <w:rFonts w:ascii="Calibri"/>
          <w:sz w:val="32"/>
        </w:rPr>
        <w:t>1277</w:t>
      </w:r>
    </w:p>
    <w:p>
      <w:pPr>
        <w:spacing w:before="59"/>
        <w:ind w:left="462" w:right="0" w:firstLine="0"/>
        <w:jc w:val="center"/>
        <w:rPr>
          <w:rFonts w:ascii="Calibri" w:hAnsi="Calibri"/>
          <w:sz w:val="32"/>
        </w:rPr>
      </w:pPr>
      <w:r>
        <w:rPr>
          <w:sz w:val="32"/>
        </w:rPr>
        <w:t>Parkinson’s</w:t>
      </w:r>
      <w:r>
        <w:rPr>
          <w:rFonts w:ascii="Calibri" w:hAnsi="Calibri"/>
          <w:sz w:val="32"/>
        </w:rPr>
        <w:t>. 88, 89, 109, 180, 206, 208, 213, 359, 370, 376, 415, 605, 610, 925, 934,</w:t>
      </w:r>
      <w:r>
        <w:rPr>
          <w:rFonts w:ascii="Calibri" w:hAnsi="Calibri"/>
          <w:spacing w:val="-15"/>
          <w:sz w:val="32"/>
        </w:rPr>
        <w:t> </w:t>
      </w:r>
      <w:r>
        <w:rPr>
          <w:rFonts w:ascii="Calibri" w:hAnsi="Calibri"/>
          <w:sz w:val="32"/>
        </w:rPr>
        <w:t>947,</w:t>
      </w:r>
    </w:p>
    <w:p>
      <w:pPr>
        <w:spacing w:before="60"/>
        <w:ind w:left="491" w:right="188" w:firstLine="0"/>
        <w:jc w:val="center"/>
        <w:rPr>
          <w:rFonts w:ascii="Calibri"/>
          <w:sz w:val="32"/>
        </w:rPr>
      </w:pPr>
      <w:r>
        <w:rPr>
          <w:rFonts w:ascii="Calibri"/>
          <w:sz w:val="32"/>
        </w:rPr>
        <w:t>948, 982, 1130, 1135, 1144, 1166, 1178, 1277, 1297, 1303, 1307, 1308, 1751, 1767,</w:t>
      </w:r>
    </w:p>
    <w:p>
      <w:pPr>
        <w:spacing w:before="58"/>
        <w:ind w:left="837" w:right="0" w:firstLine="0"/>
        <w:jc w:val="left"/>
        <w:rPr>
          <w:rFonts w:ascii="Calibri"/>
          <w:sz w:val="32"/>
        </w:rPr>
      </w:pPr>
      <w:r>
        <w:rPr>
          <w:rFonts w:ascii="Calibri"/>
          <w:sz w:val="32"/>
        </w:rPr>
        <w:t>1847</w:t>
      </w:r>
    </w:p>
    <w:p>
      <w:pPr>
        <w:tabs>
          <w:tab w:pos="11387" w:val="left" w:leader="dot"/>
        </w:tabs>
        <w:spacing w:before="59"/>
        <w:ind w:left="616" w:right="0" w:firstLine="0"/>
        <w:jc w:val="left"/>
        <w:rPr>
          <w:rFonts w:ascii="Calibri"/>
          <w:sz w:val="32"/>
        </w:rPr>
      </w:pPr>
      <w:r>
        <w:rPr>
          <w:sz w:val="32"/>
        </w:rPr>
        <w:t>Parkinson's</w:t>
        <w:tab/>
      </w:r>
      <w:r>
        <w:rPr>
          <w:rFonts w:ascii="Calibri"/>
          <w:sz w:val="32"/>
        </w:rPr>
        <w:t>1415</w:t>
      </w:r>
    </w:p>
    <w:p>
      <w:pPr>
        <w:spacing w:before="58"/>
        <w:ind w:left="464" w:right="0" w:firstLine="0"/>
        <w:jc w:val="center"/>
        <w:rPr>
          <w:rFonts w:ascii="Calibri"/>
          <w:sz w:val="32"/>
        </w:rPr>
      </w:pPr>
      <w:r>
        <w:rPr>
          <w:sz w:val="32"/>
        </w:rPr>
        <w:t>Parodontosis </w:t>
      </w:r>
      <w:r>
        <w:rPr>
          <w:rFonts w:ascii="Calibri"/>
          <w:sz w:val="32"/>
        </w:rPr>
        <w:t>.............................................................. 154, 494, 509, 559, 610, 1205,</w:t>
      </w:r>
      <w:r>
        <w:rPr>
          <w:rFonts w:ascii="Calibri"/>
          <w:spacing w:val="-34"/>
          <w:sz w:val="32"/>
        </w:rPr>
        <w:t> </w:t>
      </w:r>
      <w:r>
        <w:rPr>
          <w:rFonts w:ascii="Calibri"/>
          <w:sz w:val="32"/>
        </w:rPr>
        <w:t>1218</w:t>
      </w:r>
    </w:p>
    <w:p>
      <w:pPr>
        <w:spacing w:before="58"/>
        <w:ind w:left="465" w:right="0" w:firstLine="0"/>
        <w:jc w:val="center"/>
        <w:rPr>
          <w:rFonts w:ascii="Calibri"/>
          <w:sz w:val="32"/>
        </w:rPr>
      </w:pPr>
      <w:r>
        <w:rPr>
          <w:sz w:val="32"/>
        </w:rPr>
        <w:t>Periodontitis</w:t>
      </w:r>
      <w:r>
        <w:rPr>
          <w:rFonts w:ascii="Calibri"/>
          <w:sz w:val="32"/>
        </w:rPr>
        <w:t>.........................................................................1742, 1833, 1834, 1841,</w:t>
      </w:r>
      <w:r>
        <w:rPr>
          <w:rFonts w:ascii="Calibri"/>
          <w:spacing w:val="60"/>
          <w:sz w:val="32"/>
        </w:rPr>
        <w:t> </w:t>
      </w:r>
      <w:r>
        <w:rPr>
          <w:rFonts w:ascii="Calibri"/>
          <w:sz w:val="32"/>
        </w:rPr>
        <w:t>1845</w:t>
      </w:r>
    </w:p>
    <w:p>
      <w:pPr>
        <w:spacing w:before="58"/>
        <w:ind w:left="467" w:right="0" w:firstLine="0"/>
        <w:jc w:val="center"/>
        <w:rPr>
          <w:rFonts w:ascii="Calibri"/>
          <w:sz w:val="32"/>
        </w:rPr>
      </w:pPr>
      <w:r>
        <w:rPr>
          <w:sz w:val="32"/>
        </w:rPr>
        <w:t>Periodontosis </w:t>
      </w:r>
      <w:r>
        <w:rPr>
          <w:rFonts w:ascii="Calibri"/>
          <w:sz w:val="32"/>
        </w:rPr>
        <w:t>.......................................................................................... 1117, 1140,</w:t>
      </w:r>
      <w:r>
        <w:rPr>
          <w:rFonts w:ascii="Calibri"/>
          <w:spacing w:val="25"/>
          <w:sz w:val="32"/>
        </w:rPr>
        <w:t> </w:t>
      </w:r>
      <w:r>
        <w:rPr>
          <w:rFonts w:ascii="Calibri"/>
          <w:sz w:val="32"/>
        </w:rPr>
        <w:t>1596</w:t>
      </w:r>
    </w:p>
    <w:p>
      <w:pPr>
        <w:spacing w:before="61"/>
        <w:ind w:left="464" w:right="0" w:firstLine="0"/>
        <w:jc w:val="center"/>
        <w:rPr>
          <w:rFonts w:ascii="Calibri"/>
          <w:sz w:val="32"/>
        </w:rPr>
      </w:pPr>
      <w:r>
        <w:rPr>
          <w:sz w:val="32"/>
        </w:rPr>
        <w:t>Phlebitis </w:t>
      </w:r>
      <w:r>
        <w:rPr>
          <w:rFonts w:ascii="Calibri"/>
          <w:sz w:val="32"/>
        </w:rPr>
        <w:t>..................................................................... 413, 480, 483, 484, 487, 1434,</w:t>
      </w:r>
      <w:r>
        <w:rPr>
          <w:rFonts w:ascii="Calibri"/>
          <w:spacing w:val="-37"/>
          <w:sz w:val="32"/>
        </w:rPr>
        <w:t> </w:t>
      </w:r>
      <w:r>
        <w:rPr>
          <w:rFonts w:ascii="Calibri"/>
          <w:sz w:val="32"/>
        </w:rPr>
        <w:t>1441</w:t>
      </w:r>
    </w:p>
    <w:p>
      <w:pPr>
        <w:spacing w:before="58"/>
        <w:ind w:left="464" w:right="0" w:firstLine="0"/>
        <w:jc w:val="center"/>
        <w:rPr>
          <w:rFonts w:ascii="Calibri"/>
          <w:sz w:val="32"/>
        </w:rPr>
      </w:pPr>
      <w:r>
        <w:rPr>
          <w:spacing w:val="2"/>
          <w:sz w:val="32"/>
        </w:rPr>
        <w:t>PMS</w:t>
      </w:r>
      <w:r>
        <w:rPr>
          <w:rFonts w:ascii="Calibri"/>
          <w:spacing w:val="2"/>
          <w:sz w:val="32"/>
        </w:rPr>
        <w:t>..........................338, </w:t>
      </w:r>
      <w:r>
        <w:rPr>
          <w:rFonts w:ascii="Calibri"/>
          <w:sz w:val="32"/>
        </w:rPr>
        <w:t>430, 515, 523, 682, 1069, 1083, 1108, 1116, 1387, 1396,</w:t>
      </w:r>
      <w:r>
        <w:rPr>
          <w:rFonts w:ascii="Calibri"/>
          <w:spacing w:val="-14"/>
          <w:sz w:val="32"/>
        </w:rPr>
        <w:t> </w:t>
      </w:r>
      <w:r>
        <w:rPr>
          <w:rFonts w:ascii="Calibri"/>
          <w:sz w:val="32"/>
        </w:rPr>
        <w:t>1476</w:t>
      </w:r>
    </w:p>
    <w:p>
      <w:pPr>
        <w:spacing w:before="59"/>
        <w:ind w:left="467" w:right="0" w:firstLine="0"/>
        <w:jc w:val="center"/>
        <w:rPr>
          <w:rFonts w:ascii="Calibri"/>
          <w:sz w:val="32"/>
        </w:rPr>
      </w:pPr>
      <w:r>
        <w:rPr>
          <w:sz w:val="32"/>
        </w:rPr>
        <w:t>Polyps </w:t>
      </w:r>
      <w:r>
        <w:rPr>
          <w:rFonts w:ascii="Calibri"/>
          <w:sz w:val="32"/>
        </w:rPr>
        <w:t>................................................................................................... 353, 829, 842,</w:t>
      </w:r>
      <w:r>
        <w:rPr>
          <w:rFonts w:ascii="Calibri"/>
          <w:spacing w:val="23"/>
          <w:sz w:val="32"/>
        </w:rPr>
        <w:t> </w:t>
      </w:r>
      <w:r>
        <w:rPr>
          <w:rFonts w:ascii="Calibri"/>
          <w:sz w:val="32"/>
        </w:rPr>
        <w:t>860</w:t>
      </w:r>
    </w:p>
    <w:p>
      <w:pPr>
        <w:spacing w:after="0"/>
        <w:jc w:val="center"/>
        <w:rPr>
          <w:rFonts w:ascii="Calibri"/>
          <w:sz w:val="32"/>
        </w:rPr>
        <w:sectPr>
          <w:pgSz w:w="14270" w:h="16850"/>
          <w:pgMar w:header="0" w:footer="1891" w:top="1360" w:bottom="2080" w:left="800" w:right="1280"/>
        </w:sectPr>
      </w:pPr>
    </w:p>
    <w:p>
      <w:pPr>
        <w:spacing w:before="55"/>
        <w:ind w:left="466" w:right="0" w:firstLine="0"/>
        <w:jc w:val="center"/>
        <w:rPr>
          <w:rFonts w:ascii="Calibri"/>
          <w:sz w:val="32"/>
        </w:rPr>
      </w:pPr>
      <w:r>
        <w:rPr>
          <w:sz w:val="32"/>
        </w:rPr>
        <w:t>Poor concentration</w:t>
      </w:r>
      <w:r>
        <w:rPr>
          <w:rFonts w:ascii="Calibri"/>
          <w:sz w:val="32"/>
        </w:rPr>
        <w:t>.............................................................................. 338, 342, 392,</w:t>
      </w:r>
      <w:r>
        <w:rPr>
          <w:rFonts w:ascii="Calibri"/>
          <w:spacing w:val="56"/>
          <w:sz w:val="32"/>
        </w:rPr>
        <w:t> </w:t>
      </w:r>
      <w:r>
        <w:rPr>
          <w:rFonts w:ascii="Calibri"/>
          <w:sz w:val="32"/>
        </w:rPr>
        <w:t>1476</w:t>
      </w:r>
    </w:p>
    <w:p>
      <w:pPr>
        <w:spacing w:before="61"/>
        <w:ind w:left="464" w:right="0" w:firstLine="0"/>
        <w:jc w:val="center"/>
        <w:rPr>
          <w:rFonts w:ascii="Calibri"/>
          <w:sz w:val="32"/>
        </w:rPr>
      </w:pPr>
      <w:r>
        <w:rPr>
          <w:sz w:val="32"/>
        </w:rPr>
        <w:t>Poor eyesight</w:t>
      </w:r>
      <w:r>
        <w:rPr>
          <w:rFonts w:ascii="Calibri"/>
          <w:sz w:val="32"/>
        </w:rPr>
        <w:t>...................................................... 258, 425, 426, 936, 946, 967, 1068,</w:t>
      </w:r>
      <w:r>
        <w:rPr>
          <w:rFonts w:ascii="Calibri"/>
          <w:spacing w:val="1"/>
          <w:sz w:val="32"/>
        </w:rPr>
        <w:t> </w:t>
      </w:r>
      <w:r>
        <w:rPr>
          <w:rFonts w:ascii="Calibri"/>
          <w:sz w:val="32"/>
        </w:rPr>
        <w:t>1122</w:t>
      </w:r>
    </w:p>
    <w:p>
      <w:pPr>
        <w:spacing w:before="58"/>
        <w:ind w:left="467" w:right="0" w:firstLine="0"/>
        <w:jc w:val="center"/>
        <w:rPr>
          <w:rFonts w:ascii="Calibri"/>
          <w:sz w:val="32"/>
        </w:rPr>
      </w:pPr>
      <w:r>
        <w:rPr>
          <w:sz w:val="32"/>
        </w:rPr>
        <w:t>Progeria </w:t>
      </w:r>
      <w:r>
        <w:rPr>
          <w:rFonts w:ascii="Calibri"/>
          <w:sz w:val="32"/>
        </w:rPr>
        <w:t>...................................................................................................... 214, 983,</w:t>
      </w:r>
      <w:r>
        <w:rPr>
          <w:rFonts w:ascii="Calibri"/>
          <w:spacing w:val="52"/>
          <w:sz w:val="32"/>
        </w:rPr>
        <w:t> </w:t>
      </w:r>
      <w:r>
        <w:rPr>
          <w:rFonts w:ascii="Calibri"/>
          <w:sz w:val="32"/>
        </w:rPr>
        <w:t>1307</w:t>
      </w:r>
    </w:p>
    <w:p>
      <w:pPr>
        <w:spacing w:before="58"/>
        <w:ind w:left="469" w:right="0" w:firstLine="0"/>
        <w:jc w:val="center"/>
        <w:rPr>
          <w:rFonts w:ascii="Calibri"/>
          <w:sz w:val="32"/>
        </w:rPr>
      </w:pPr>
      <w:r>
        <w:rPr>
          <w:sz w:val="32"/>
        </w:rPr>
        <w:t>Psoriasis</w:t>
      </w:r>
      <w:r>
        <w:rPr>
          <w:spacing w:val="-64"/>
          <w:sz w:val="32"/>
        </w:rPr>
        <w:t> </w:t>
      </w:r>
      <w:r>
        <w:rPr>
          <w:rFonts w:ascii="Calibri"/>
          <w:sz w:val="32"/>
        </w:rPr>
        <w:t>..... 154, 311, 336, 338, 480, 481, 482, 564, 702, 725, 749, 829, 842, 1047, 1063,</w:t>
      </w:r>
    </w:p>
    <w:p>
      <w:pPr>
        <w:spacing w:before="59"/>
        <w:ind w:left="837" w:right="0" w:firstLine="0"/>
        <w:jc w:val="left"/>
        <w:rPr>
          <w:rFonts w:ascii="Calibri"/>
          <w:sz w:val="32"/>
        </w:rPr>
      </w:pPr>
      <w:r>
        <w:rPr>
          <w:rFonts w:ascii="Calibri"/>
          <w:sz w:val="32"/>
        </w:rPr>
        <w:t>1068, 1076, 1080, 1205, 1247, 1308, 1389, 1390, 1846</w:t>
      </w:r>
    </w:p>
    <w:p>
      <w:pPr>
        <w:tabs>
          <w:tab w:pos="12033" w:val="right" w:leader="dot"/>
        </w:tabs>
        <w:spacing w:before="58"/>
        <w:ind w:left="616" w:right="0" w:firstLine="0"/>
        <w:jc w:val="left"/>
        <w:rPr>
          <w:rFonts w:ascii="Calibri"/>
          <w:sz w:val="32"/>
        </w:rPr>
      </w:pPr>
      <w:r>
        <w:rPr>
          <w:sz w:val="32"/>
        </w:rPr>
        <w:t>Radiation damage</w:t>
        <w:tab/>
      </w:r>
      <w:r>
        <w:rPr>
          <w:rFonts w:ascii="Calibri"/>
          <w:sz w:val="32"/>
        </w:rPr>
        <w:t>1055</w:t>
      </w:r>
    </w:p>
    <w:p>
      <w:pPr>
        <w:spacing w:before="58"/>
        <w:ind w:left="468" w:right="0" w:firstLine="0"/>
        <w:jc w:val="center"/>
        <w:rPr>
          <w:rFonts w:ascii="Calibri"/>
          <w:sz w:val="32"/>
        </w:rPr>
      </w:pPr>
      <w:r>
        <w:rPr>
          <w:sz w:val="32"/>
        </w:rPr>
        <w:t>Radiation  injuries</w:t>
      </w:r>
      <w:r>
        <w:rPr>
          <w:rFonts w:ascii="Calibri"/>
          <w:sz w:val="32"/>
        </w:rPr>
        <w:t>................................................................................................... 186,</w:t>
      </w:r>
      <w:r>
        <w:rPr>
          <w:rFonts w:ascii="Calibri"/>
          <w:spacing w:val="-32"/>
          <w:sz w:val="32"/>
        </w:rPr>
        <w:t> </w:t>
      </w:r>
      <w:r>
        <w:rPr>
          <w:rFonts w:ascii="Calibri"/>
          <w:sz w:val="32"/>
        </w:rPr>
        <w:t>194</w:t>
      </w:r>
    </w:p>
    <w:p>
      <w:pPr>
        <w:tabs>
          <w:tab w:pos="12033" w:val="right" w:leader="dot"/>
        </w:tabs>
        <w:spacing w:before="60"/>
        <w:ind w:left="616" w:right="0" w:firstLine="0"/>
        <w:jc w:val="left"/>
        <w:rPr>
          <w:rFonts w:ascii="Calibri"/>
          <w:sz w:val="32"/>
        </w:rPr>
      </w:pPr>
      <w:r>
        <w:rPr>
          <w:sz w:val="32"/>
        </w:rPr>
        <w:t>Restlessness</w:t>
        <w:tab/>
      </w:r>
      <w:r>
        <w:rPr>
          <w:rFonts w:ascii="Calibri"/>
          <w:sz w:val="32"/>
        </w:rPr>
        <w:t>412</w:t>
      </w:r>
    </w:p>
    <w:p>
      <w:pPr>
        <w:spacing w:before="59"/>
        <w:ind w:left="467" w:right="0" w:firstLine="0"/>
        <w:jc w:val="center"/>
        <w:rPr>
          <w:rFonts w:ascii="Calibri"/>
          <w:sz w:val="32"/>
        </w:rPr>
      </w:pPr>
      <w:r>
        <w:rPr>
          <w:sz w:val="32"/>
        </w:rPr>
        <w:t>Scarlet fever </w:t>
      </w:r>
      <w:r>
        <w:rPr>
          <w:rFonts w:ascii="Calibri"/>
          <w:sz w:val="32"/>
        </w:rPr>
        <w:t>.......................................................................................... 185, 693, 702,</w:t>
      </w:r>
      <w:r>
        <w:rPr>
          <w:rFonts w:ascii="Calibri"/>
          <w:spacing w:val="52"/>
          <w:sz w:val="32"/>
        </w:rPr>
        <w:t> </w:t>
      </w:r>
      <w:r>
        <w:rPr>
          <w:rFonts w:ascii="Calibri"/>
          <w:sz w:val="32"/>
        </w:rPr>
        <w:t>725</w:t>
      </w:r>
    </w:p>
    <w:p>
      <w:pPr>
        <w:spacing w:before="58"/>
        <w:ind w:left="467" w:right="0" w:firstLine="0"/>
        <w:jc w:val="center"/>
        <w:rPr>
          <w:rFonts w:ascii="Calibri"/>
          <w:sz w:val="32"/>
        </w:rPr>
      </w:pPr>
      <w:r>
        <w:rPr>
          <w:sz w:val="32"/>
        </w:rPr>
        <w:t>Scars </w:t>
      </w:r>
      <w:r>
        <w:rPr>
          <w:rFonts w:ascii="Calibri"/>
          <w:sz w:val="32"/>
        </w:rPr>
        <w:t>............................................................................................................. 135,  485,</w:t>
      </w:r>
      <w:r>
        <w:rPr>
          <w:rFonts w:ascii="Calibri"/>
          <w:spacing w:val="-24"/>
          <w:sz w:val="32"/>
        </w:rPr>
        <w:t> </w:t>
      </w:r>
      <w:r>
        <w:rPr>
          <w:rFonts w:ascii="Calibri"/>
          <w:sz w:val="32"/>
        </w:rPr>
        <w:t>712</w:t>
      </w:r>
    </w:p>
    <w:p>
      <w:pPr>
        <w:spacing w:before="59"/>
        <w:ind w:left="464" w:right="0" w:firstLine="0"/>
        <w:jc w:val="center"/>
        <w:rPr>
          <w:rFonts w:ascii="Calibri"/>
          <w:sz w:val="32"/>
        </w:rPr>
      </w:pPr>
      <w:r>
        <w:rPr>
          <w:sz w:val="32"/>
        </w:rPr>
        <w:t>Schizophrenia</w:t>
      </w:r>
      <w:r>
        <w:rPr>
          <w:rFonts w:ascii="Calibri"/>
          <w:sz w:val="32"/>
        </w:rPr>
        <w:t>................................................... 370, 933, 934, 947, 948, 1060, 1177,</w:t>
      </w:r>
      <w:r>
        <w:rPr>
          <w:rFonts w:ascii="Calibri"/>
          <w:spacing w:val="5"/>
          <w:sz w:val="32"/>
        </w:rPr>
        <w:t> </w:t>
      </w:r>
      <w:r>
        <w:rPr>
          <w:rFonts w:ascii="Calibri"/>
          <w:sz w:val="32"/>
        </w:rPr>
        <w:t>1307</w:t>
      </w:r>
    </w:p>
    <w:p>
      <w:pPr>
        <w:spacing w:before="58"/>
        <w:ind w:left="461" w:right="0" w:firstLine="0"/>
        <w:jc w:val="center"/>
        <w:rPr>
          <w:rFonts w:ascii="Calibri"/>
          <w:sz w:val="32"/>
        </w:rPr>
      </w:pPr>
      <w:r>
        <w:rPr>
          <w:sz w:val="32"/>
        </w:rPr>
        <w:t>Shingles </w:t>
      </w:r>
      <w:r>
        <w:rPr>
          <w:rFonts w:ascii="Calibri"/>
          <w:sz w:val="32"/>
        </w:rPr>
        <w:t>554, 555, 562, 699, 701, 725, 749, 828, 836, 854, 1205, 1216, 1246, 1247,</w:t>
      </w:r>
      <w:r>
        <w:rPr>
          <w:rFonts w:ascii="Calibri"/>
          <w:spacing w:val="-23"/>
          <w:sz w:val="32"/>
        </w:rPr>
        <w:t> </w:t>
      </w:r>
      <w:r>
        <w:rPr>
          <w:rFonts w:ascii="Calibri"/>
          <w:sz w:val="32"/>
        </w:rPr>
        <w:t>1251,</w:t>
      </w:r>
    </w:p>
    <w:p>
      <w:pPr>
        <w:spacing w:before="60"/>
        <w:ind w:left="837" w:right="0" w:firstLine="0"/>
        <w:jc w:val="left"/>
        <w:rPr>
          <w:rFonts w:ascii="Calibri"/>
          <w:sz w:val="32"/>
        </w:rPr>
      </w:pPr>
      <w:r>
        <w:rPr>
          <w:rFonts w:ascii="Calibri"/>
          <w:sz w:val="32"/>
        </w:rPr>
        <w:t>1262, 1716, 1718</w:t>
      </w:r>
    </w:p>
    <w:p>
      <w:pPr>
        <w:spacing w:before="58"/>
        <w:ind w:left="466" w:right="0" w:firstLine="0"/>
        <w:jc w:val="center"/>
        <w:rPr>
          <w:rFonts w:ascii="Calibri"/>
          <w:sz w:val="32"/>
        </w:rPr>
      </w:pPr>
      <w:r>
        <w:rPr>
          <w:sz w:val="32"/>
        </w:rPr>
        <w:t>Sinus infection</w:t>
      </w:r>
      <w:r>
        <w:rPr>
          <w:rFonts w:ascii="Calibri"/>
          <w:sz w:val="32"/>
        </w:rPr>
        <w:t>............................................................................725, 828, 859, 1204,</w:t>
      </w:r>
      <w:r>
        <w:rPr>
          <w:rFonts w:ascii="Calibri"/>
          <w:spacing w:val="56"/>
          <w:sz w:val="32"/>
        </w:rPr>
        <w:t> </w:t>
      </w:r>
      <w:r>
        <w:rPr>
          <w:rFonts w:ascii="Calibri"/>
          <w:sz w:val="32"/>
        </w:rPr>
        <w:t>1248</w:t>
      </w:r>
    </w:p>
    <w:p>
      <w:pPr>
        <w:spacing w:before="59"/>
        <w:ind w:left="468" w:right="0" w:firstLine="0"/>
        <w:jc w:val="center"/>
        <w:rPr>
          <w:rFonts w:ascii="Calibri"/>
          <w:sz w:val="32"/>
        </w:rPr>
      </w:pPr>
      <w:r>
        <w:rPr>
          <w:sz w:val="32"/>
        </w:rPr>
        <w:t>Sinusitis</w:t>
      </w:r>
      <w:r>
        <w:rPr>
          <w:rFonts w:ascii="Calibri"/>
          <w:sz w:val="32"/>
        </w:rPr>
        <w:t>................................................................................................................. 153,</w:t>
      </w:r>
      <w:r>
        <w:rPr>
          <w:rFonts w:ascii="Calibri"/>
          <w:spacing w:val="65"/>
          <w:sz w:val="32"/>
        </w:rPr>
        <w:t> </w:t>
      </w:r>
      <w:r>
        <w:rPr>
          <w:rFonts w:ascii="Calibri"/>
          <w:sz w:val="32"/>
        </w:rPr>
        <w:t>160</w:t>
      </w:r>
    </w:p>
    <w:p>
      <w:pPr>
        <w:tabs>
          <w:tab w:pos="11387" w:val="left" w:leader="dot"/>
        </w:tabs>
        <w:spacing w:before="58"/>
        <w:ind w:left="616" w:right="0" w:firstLine="0"/>
        <w:jc w:val="left"/>
        <w:rPr>
          <w:rFonts w:ascii="Calibri"/>
          <w:sz w:val="32"/>
        </w:rPr>
      </w:pPr>
      <w:r>
        <w:rPr>
          <w:sz w:val="32"/>
        </w:rPr>
        <w:t>Skin</w:t>
      </w:r>
      <w:r>
        <w:rPr>
          <w:spacing w:val="-3"/>
          <w:sz w:val="32"/>
        </w:rPr>
        <w:t> </w:t>
      </w:r>
      <w:r>
        <w:rPr>
          <w:sz w:val="32"/>
        </w:rPr>
        <w:t>outbreaks</w:t>
        <w:tab/>
      </w:r>
      <w:r>
        <w:rPr>
          <w:rFonts w:ascii="Calibri"/>
          <w:sz w:val="32"/>
        </w:rPr>
        <w:t>1225</w:t>
      </w:r>
    </w:p>
    <w:p>
      <w:pPr>
        <w:spacing w:before="58"/>
        <w:ind w:left="465" w:right="0" w:firstLine="0"/>
        <w:jc w:val="center"/>
        <w:rPr>
          <w:rFonts w:ascii="Calibri"/>
          <w:sz w:val="32"/>
        </w:rPr>
      </w:pPr>
      <w:r>
        <w:rPr>
          <w:sz w:val="32"/>
        </w:rPr>
        <w:t>Skin rashes </w:t>
      </w:r>
      <w:r>
        <w:rPr>
          <w:rFonts w:ascii="Calibri"/>
          <w:sz w:val="32"/>
        </w:rPr>
        <w:t>.............................................................................294, 554, 560, 582, 586,</w:t>
      </w:r>
      <w:r>
        <w:rPr>
          <w:rFonts w:ascii="Calibri"/>
          <w:spacing w:val="34"/>
          <w:sz w:val="32"/>
        </w:rPr>
        <w:t> </w:t>
      </w:r>
      <w:r>
        <w:rPr>
          <w:rFonts w:ascii="Calibri"/>
          <w:sz w:val="32"/>
        </w:rPr>
        <w:t>864</w:t>
      </w:r>
    </w:p>
    <w:p>
      <w:pPr>
        <w:spacing w:before="59"/>
        <w:ind w:left="466" w:right="0" w:firstLine="0"/>
        <w:jc w:val="center"/>
        <w:rPr>
          <w:rFonts w:ascii="Calibri"/>
          <w:sz w:val="32"/>
        </w:rPr>
      </w:pPr>
      <w:r>
        <w:rPr>
          <w:sz w:val="32"/>
        </w:rPr>
        <w:t>Sleep</w:t>
      </w:r>
      <w:r>
        <w:rPr>
          <w:spacing w:val="-4"/>
          <w:sz w:val="32"/>
        </w:rPr>
        <w:t> </w:t>
      </w:r>
      <w:r>
        <w:rPr>
          <w:sz w:val="32"/>
        </w:rPr>
        <w:t>disorders</w:t>
      </w:r>
      <w:r>
        <w:rPr>
          <w:spacing w:val="-22"/>
          <w:sz w:val="32"/>
        </w:rPr>
        <w:t> </w:t>
      </w:r>
      <w:r>
        <w:rPr>
          <w:rFonts w:ascii="Calibri"/>
          <w:sz w:val="32"/>
        </w:rPr>
        <w:t>.....</w:t>
      </w:r>
      <w:r>
        <w:rPr>
          <w:rFonts w:ascii="Calibri"/>
          <w:spacing w:val="-23"/>
          <w:sz w:val="32"/>
        </w:rPr>
        <w:t> </w:t>
      </w:r>
      <w:r>
        <w:rPr>
          <w:rFonts w:ascii="Calibri"/>
          <w:sz w:val="32"/>
        </w:rPr>
        <w:t>154,</w:t>
      </w:r>
      <w:r>
        <w:rPr>
          <w:rFonts w:ascii="Calibri"/>
          <w:spacing w:val="-1"/>
          <w:sz w:val="32"/>
        </w:rPr>
        <w:t> </w:t>
      </w:r>
      <w:r>
        <w:rPr>
          <w:rFonts w:ascii="Calibri"/>
          <w:sz w:val="32"/>
        </w:rPr>
        <w:t>339,</w:t>
      </w:r>
      <w:r>
        <w:rPr>
          <w:rFonts w:ascii="Calibri"/>
          <w:spacing w:val="-1"/>
          <w:sz w:val="32"/>
        </w:rPr>
        <w:t> </w:t>
      </w:r>
      <w:r>
        <w:rPr>
          <w:rFonts w:ascii="Calibri"/>
          <w:sz w:val="32"/>
        </w:rPr>
        <w:t>393,</w:t>
      </w:r>
      <w:r>
        <w:rPr>
          <w:rFonts w:ascii="Calibri"/>
          <w:spacing w:val="-1"/>
          <w:sz w:val="32"/>
        </w:rPr>
        <w:t> </w:t>
      </w:r>
      <w:r>
        <w:rPr>
          <w:rFonts w:ascii="Calibri"/>
          <w:sz w:val="32"/>
        </w:rPr>
        <w:t>673,</w:t>
      </w:r>
      <w:r>
        <w:rPr>
          <w:rFonts w:ascii="Calibri"/>
          <w:spacing w:val="-1"/>
          <w:sz w:val="32"/>
        </w:rPr>
        <w:t> </w:t>
      </w:r>
      <w:r>
        <w:rPr>
          <w:rFonts w:ascii="Calibri"/>
          <w:sz w:val="32"/>
        </w:rPr>
        <w:t>681,</w:t>
      </w:r>
      <w:r>
        <w:rPr>
          <w:rFonts w:ascii="Calibri"/>
          <w:spacing w:val="-1"/>
          <w:sz w:val="32"/>
        </w:rPr>
        <w:t> </w:t>
      </w:r>
      <w:r>
        <w:rPr>
          <w:rFonts w:ascii="Calibri"/>
          <w:sz w:val="32"/>
        </w:rPr>
        <w:t>754,</w:t>
      </w:r>
      <w:r>
        <w:rPr>
          <w:rFonts w:ascii="Calibri"/>
          <w:spacing w:val="-2"/>
          <w:sz w:val="32"/>
        </w:rPr>
        <w:t> </w:t>
      </w:r>
      <w:r>
        <w:rPr>
          <w:rFonts w:ascii="Calibri"/>
          <w:sz w:val="32"/>
        </w:rPr>
        <w:t>842,</w:t>
      </w:r>
      <w:r>
        <w:rPr>
          <w:rFonts w:ascii="Calibri"/>
          <w:spacing w:val="-2"/>
          <w:sz w:val="32"/>
        </w:rPr>
        <w:t> </w:t>
      </w:r>
      <w:r>
        <w:rPr>
          <w:rFonts w:ascii="Calibri"/>
          <w:sz w:val="32"/>
        </w:rPr>
        <w:t>961,</w:t>
      </w:r>
      <w:r>
        <w:rPr>
          <w:rFonts w:ascii="Calibri"/>
          <w:spacing w:val="-1"/>
          <w:sz w:val="32"/>
        </w:rPr>
        <w:t> </w:t>
      </w:r>
      <w:r>
        <w:rPr>
          <w:rFonts w:ascii="Calibri"/>
          <w:sz w:val="32"/>
        </w:rPr>
        <w:t>967,</w:t>
      </w:r>
      <w:r>
        <w:rPr>
          <w:rFonts w:ascii="Calibri"/>
          <w:spacing w:val="-1"/>
          <w:sz w:val="32"/>
        </w:rPr>
        <w:t> </w:t>
      </w:r>
      <w:r>
        <w:rPr>
          <w:rFonts w:ascii="Calibri"/>
          <w:sz w:val="32"/>
        </w:rPr>
        <w:t>975,</w:t>
      </w:r>
      <w:r>
        <w:rPr>
          <w:rFonts w:ascii="Calibri"/>
          <w:spacing w:val="-1"/>
          <w:sz w:val="32"/>
        </w:rPr>
        <w:t> </w:t>
      </w:r>
      <w:r>
        <w:rPr>
          <w:rFonts w:ascii="Calibri"/>
          <w:sz w:val="32"/>
        </w:rPr>
        <w:t>978,</w:t>
      </w:r>
      <w:r>
        <w:rPr>
          <w:rFonts w:ascii="Calibri"/>
          <w:spacing w:val="-1"/>
          <w:sz w:val="32"/>
        </w:rPr>
        <w:t> </w:t>
      </w:r>
      <w:r>
        <w:rPr>
          <w:rFonts w:ascii="Calibri"/>
          <w:sz w:val="32"/>
        </w:rPr>
        <w:t>980,</w:t>
      </w:r>
      <w:r>
        <w:rPr>
          <w:rFonts w:ascii="Calibri"/>
          <w:spacing w:val="-1"/>
          <w:sz w:val="32"/>
        </w:rPr>
        <w:t> </w:t>
      </w:r>
      <w:r>
        <w:rPr>
          <w:rFonts w:ascii="Calibri"/>
          <w:sz w:val="32"/>
        </w:rPr>
        <w:t>981,</w:t>
      </w:r>
      <w:r>
        <w:rPr>
          <w:rFonts w:ascii="Calibri"/>
          <w:spacing w:val="-2"/>
          <w:sz w:val="32"/>
        </w:rPr>
        <w:t> </w:t>
      </w:r>
      <w:r>
        <w:rPr>
          <w:rFonts w:ascii="Calibri"/>
          <w:sz w:val="32"/>
        </w:rPr>
        <w:t>1000,</w:t>
      </w:r>
    </w:p>
    <w:p>
      <w:pPr>
        <w:spacing w:before="60"/>
        <w:ind w:left="837" w:right="0" w:firstLine="0"/>
        <w:jc w:val="left"/>
        <w:rPr>
          <w:rFonts w:ascii="Calibri"/>
          <w:sz w:val="32"/>
        </w:rPr>
      </w:pPr>
      <w:r>
        <w:rPr>
          <w:rFonts w:ascii="Calibri"/>
          <w:sz w:val="32"/>
        </w:rPr>
        <w:t>1068, 1302, 1381, 1387, 1396, 1477, 1501, 1748, 1807, 1810, 1836, 1837</w:t>
      </w:r>
    </w:p>
    <w:p>
      <w:pPr>
        <w:spacing w:before="58"/>
        <w:ind w:left="461" w:right="0" w:firstLine="0"/>
        <w:jc w:val="center"/>
        <w:rPr>
          <w:rFonts w:ascii="Calibri" w:hAnsi="Calibri"/>
          <w:sz w:val="32"/>
        </w:rPr>
      </w:pPr>
      <w:r>
        <w:rPr>
          <w:sz w:val="32"/>
        </w:rPr>
        <w:t>Smoker’s</w:t>
      </w:r>
      <w:r>
        <w:rPr>
          <w:spacing w:val="-2"/>
          <w:sz w:val="32"/>
        </w:rPr>
        <w:t> </w:t>
      </w:r>
      <w:r>
        <w:rPr>
          <w:sz w:val="32"/>
        </w:rPr>
        <w:t>leg</w:t>
      </w:r>
      <w:r>
        <w:rPr>
          <w:spacing w:val="-43"/>
          <w:sz w:val="32"/>
        </w:rPr>
        <w:t> </w:t>
      </w:r>
      <w:r>
        <w:rPr>
          <w:rFonts w:ascii="Calibri" w:hAnsi="Calibri"/>
          <w:spacing w:val="2"/>
          <w:sz w:val="32"/>
        </w:rPr>
        <w:t>..............414,</w:t>
      </w:r>
      <w:r>
        <w:rPr>
          <w:rFonts w:ascii="Calibri" w:hAnsi="Calibri"/>
          <w:spacing w:val="-2"/>
          <w:sz w:val="32"/>
        </w:rPr>
        <w:t> </w:t>
      </w:r>
      <w:r>
        <w:rPr>
          <w:rFonts w:ascii="Calibri" w:hAnsi="Calibri"/>
          <w:sz w:val="32"/>
        </w:rPr>
        <w:t>420,</w:t>
      </w:r>
      <w:r>
        <w:rPr>
          <w:rFonts w:ascii="Calibri" w:hAnsi="Calibri"/>
          <w:spacing w:val="-2"/>
          <w:sz w:val="32"/>
        </w:rPr>
        <w:t> </w:t>
      </w:r>
      <w:r>
        <w:rPr>
          <w:rFonts w:ascii="Calibri" w:hAnsi="Calibri"/>
          <w:sz w:val="32"/>
        </w:rPr>
        <w:t>438,</w:t>
      </w:r>
      <w:r>
        <w:rPr>
          <w:rFonts w:ascii="Calibri" w:hAnsi="Calibri"/>
          <w:spacing w:val="-2"/>
          <w:sz w:val="32"/>
        </w:rPr>
        <w:t> </w:t>
      </w:r>
      <w:r>
        <w:rPr>
          <w:rFonts w:ascii="Calibri" w:hAnsi="Calibri"/>
          <w:sz w:val="32"/>
        </w:rPr>
        <w:t>890,</w:t>
      </w:r>
      <w:r>
        <w:rPr>
          <w:rFonts w:ascii="Calibri" w:hAnsi="Calibri"/>
          <w:spacing w:val="-3"/>
          <w:sz w:val="32"/>
        </w:rPr>
        <w:t> </w:t>
      </w:r>
      <w:r>
        <w:rPr>
          <w:rFonts w:ascii="Calibri" w:hAnsi="Calibri"/>
          <w:sz w:val="32"/>
        </w:rPr>
        <w:t>896,</w:t>
      </w:r>
      <w:r>
        <w:rPr>
          <w:rFonts w:ascii="Calibri" w:hAnsi="Calibri"/>
          <w:spacing w:val="-2"/>
          <w:sz w:val="32"/>
        </w:rPr>
        <w:t> </w:t>
      </w:r>
      <w:r>
        <w:rPr>
          <w:rFonts w:ascii="Calibri" w:hAnsi="Calibri"/>
          <w:sz w:val="32"/>
        </w:rPr>
        <w:t>1113,</w:t>
      </w:r>
      <w:r>
        <w:rPr>
          <w:rFonts w:ascii="Calibri" w:hAnsi="Calibri"/>
          <w:spacing w:val="-2"/>
          <w:sz w:val="32"/>
        </w:rPr>
        <w:t> </w:t>
      </w:r>
      <w:r>
        <w:rPr>
          <w:rFonts w:ascii="Calibri" w:hAnsi="Calibri"/>
          <w:sz w:val="32"/>
        </w:rPr>
        <w:t>1114,</w:t>
      </w:r>
      <w:r>
        <w:rPr>
          <w:rFonts w:ascii="Calibri" w:hAnsi="Calibri"/>
          <w:spacing w:val="-2"/>
          <w:sz w:val="32"/>
        </w:rPr>
        <w:t> </w:t>
      </w:r>
      <w:r>
        <w:rPr>
          <w:rFonts w:ascii="Calibri" w:hAnsi="Calibri"/>
          <w:sz w:val="32"/>
        </w:rPr>
        <w:t>1172,</w:t>
      </w:r>
      <w:r>
        <w:rPr>
          <w:rFonts w:ascii="Calibri" w:hAnsi="Calibri"/>
          <w:spacing w:val="-3"/>
          <w:sz w:val="32"/>
        </w:rPr>
        <w:t> </w:t>
      </w:r>
      <w:r>
        <w:rPr>
          <w:rFonts w:ascii="Calibri" w:hAnsi="Calibri"/>
          <w:sz w:val="32"/>
        </w:rPr>
        <w:t>1248,</w:t>
      </w:r>
      <w:r>
        <w:rPr>
          <w:rFonts w:ascii="Calibri" w:hAnsi="Calibri"/>
          <w:spacing w:val="-2"/>
          <w:sz w:val="32"/>
        </w:rPr>
        <w:t> </w:t>
      </w:r>
      <w:r>
        <w:rPr>
          <w:rFonts w:ascii="Calibri" w:hAnsi="Calibri"/>
          <w:sz w:val="32"/>
        </w:rPr>
        <w:t>1251,</w:t>
      </w:r>
      <w:r>
        <w:rPr>
          <w:rFonts w:ascii="Calibri" w:hAnsi="Calibri"/>
          <w:spacing w:val="-2"/>
          <w:sz w:val="32"/>
        </w:rPr>
        <w:t> </w:t>
      </w:r>
      <w:r>
        <w:rPr>
          <w:rFonts w:ascii="Calibri" w:hAnsi="Calibri"/>
          <w:sz w:val="32"/>
        </w:rPr>
        <w:t>1265,</w:t>
      </w:r>
      <w:r>
        <w:rPr>
          <w:rFonts w:ascii="Calibri" w:hAnsi="Calibri"/>
          <w:spacing w:val="-3"/>
          <w:sz w:val="32"/>
        </w:rPr>
        <w:t> </w:t>
      </w:r>
      <w:r>
        <w:rPr>
          <w:rFonts w:ascii="Calibri" w:hAnsi="Calibri"/>
          <w:sz w:val="32"/>
        </w:rPr>
        <w:t>1740</w:t>
      </w:r>
    </w:p>
    <w:p>
      <w:pPr>
        <w:tabs>
          <w:tab w:pos="11547" w:val="left" w:leader="dot"/>
        </w:tabs>
        <w:spacing w:before="59"/>
        <w:ind w:left="616" w:right="0" w:firstLine="0"/>
        <w:jc w:val="left"/>
        <w:rPr>
          <w:rFonts w:ascii="Calibri"/>
          <w:sz w:val="32"/>
        </w:rPr>
      </w:pPr>
      <w:r>
        <w:rPr>
          <w:sz w:val="32"/>
        </w:rPr>
        <w:t>Sperm</w:t>
      </w:r>
      <w:r>
        <w:rPr>
          <w:spacing w:val="-3"/>
          <w:sz w:val="32"/>
        </w:rPr>
        <w:t> </w:t>
      </w:r>
      <w:r>
        <w:rPr>
          <w:sz w:val="32"/>
        </w:rPr>
        <w:t>deficit</w:t>
        <w:tab/>
      </w:r>
      <w:r>
        <w:rPr>
          <w:rFonts w:ascii="Calibri"/>
          <w:sz w:val="32"/>
        </w:rPr>
        <w:t>890</w:t>
      </w:r>
    </w:p>
    <w:p>
      <w:pPr>
        <w:spacing w:before="58"/>
        <w:ind w:left="467" w:right="0" w:firstLine="0"/>
        <w:jc w:val="center"/>
        <w:rPr>
          <w:rFonts w:ascii="Calibri"/>
          <w:sz w:val="32"/>
        </w:rPr>
      </w:pPr>
      <w:r>
        <w:rPr>
          <w:sz w:val="32"/>
        </w:rPr>
        <w:t>Spider veins</w:t>
      </w:r>
      <w:r>
        <w:rPr>
          <w:rFonts w:ascii="Calibri"/>
          <w:sz w:val="32"/>
        </w:rPr>
        <w:t>............................................................................................. 1118, 1141,</w:t>
      </w:r>
      <w:r>
        <w:rPr>
          <w:rFonts w:ascii="Calibri"/>
          <w:spacing w:val="64"/>
          <w:sz w:val="32"/>
        </w:rPr>
        <w:t> </w:t>
      </w:r>
      <w:r>
        <w:rPr>
          <w:rFonts w:ascii="Calibri"/>
          <w:sz w:val="32"/>
        </w:rPr>
        <w:t>1744</w:t>
      </w:r>
    </w:p>
    <w:p>
      <w:pPr>
        <w:spacing w:before="58"/>
        <w:ind w:left="468" w:right="0" w:firstLine="0"/>
        <w:jc w:val="center"/>
        <w:rPr>
          <w:rFonts w:ascii="Calibri"/>
          <w:sz w:val="32"/>
        </w:rPr>
      </w:pPr>
      <w:r>
        <w:rPr>
          <w:sz w:val="32"/>
        </w:rPr>
        <w:t>Spleen infections </w:t>
      </w:r>
      <w:r>
        <w:rPr>
          <w:rFonts w:ascii="Calibri"/>
          <w:sz w:val="32"/>
        </w:rPr>
        <w:t>................................................................................................... 828,</w:t>
      </w:r>
      <w:r>
        <w:rPr>
          <w:rFonts w:ascii="Calibri"/>
          <w:spacing w:val="17"/>
          <w:sz w:val="32"/>
        </w:rPr>
        <w:t> </w:t>
      </w:r>
      <w:r>
        <w:rPr>
          <w:rFonts w:ascii="Calibri"/>
          <w:sz w:val="32"/>
        </w:rPr>
        <w:t>840</w:t>
      </w:r>
    </w:p>
    <w:p>
      <w:pPr>
        <w:spacing w:before="58"/>
        <w:ind w:left="467" w:right="0" w:firstLine="0"/>
        <w:jc w:val="center"/>
        <w:rPr>
          <w:rFonts w:ascii="Calibri"/>
          <w:sz w:val="32"/>
        </w:rPr>
      </w:pPr>
      <w:r>
        <w:rPr>
          <w:sz w:val="32"/>
        </w:rPr>
        <w:t>Sterility</w:t>
      </w:r>
      <w:r>
        <w:rPr>
          <w:rFonts w:ascii="Calibri"/>
          <w:sz w:val="32"/>
        </w:rPr>
        <w:t>.......................................................................................... 1275, 1280, 1415, </w:t>
      </w:r>
      <w:r>
        <w:rPr>
          <w:rFonts w:ascii="Calibri"/>
          <w:spacing w:val="5"/>
          <w:sz w:val="32"/>
        </w:rPr>
        <w:t> </w:t>
      </w:r>
      <w:r>
        <w:rPr>
          <w:rFonts w:ascii="Calibri"/>
          <w:sz w:val="32"/>
        </w:rPr>
        <w:t>1419</w:t>
      </w:r>
    </w:p>
    <w:p>
      <w:pPr>
        <w:spacing w:before="61"/>
        <w:ind w:left="460" w:right="0" w:firstLine="0"/>
        <w:jc w:val="center"/>
        <w:rPr>
          <w:rFonts w:ascii="Calibri"/>
          <w:sz w:val="32"/>
        </w:rPr>
      </w:pPr>
      <w:r>
        <w:rPr>
          <w:sz w:val="32"/>
        </w:rPr>
        <w:t>Stress </w:t>
      </w:r>
      <w:r>
        <w:rPr>
          <w:rFonts w:ascii="Calibri"/>
          <w:sz w:val="32"/>
        </w:rPr>
        <w:t>....17, 25, 77, 110, 118, 124, 129, 131, 147, 152, 180, 189, 192, 193, 224, 256,</w:t>
      </w:r>
      <w:r>
        <w:rPr>
          <w:rFonts w:ascii="Calibri"/>
          <w:spacing w:val="-31"/>
          <w:sz w:val="32"/>
        </w:rPr>
        <w:t> </w:t>
      </w:r>
      <w:r>
        <w:rPr>
          <w:rFonts w:ascii="Calibri"/>
          <w:sz w:val="32"/>
        </w:rPr>
        <w:t>294,</w:t>
      </w:r>
    </w:p>
    <w:p>
      <w:pPr>
        <w:spacing w:before="58"/>
        <w:ind w:left="458" w:right="188" w:firstLine="0"/>
        <w:jc w:val="center"/>
        <w:rPr>
          <w:rFonts w:ascii="Calibri"/>
          <w:sz w:val="32"/>
        </w:rPr>
      </w:pPr>
      <w:r>
        <w:rPr>
          <w:rFonts w:ascii="Calibri"/>
          <w:sz w:val="32"/>
        </w:rPr>
        <w:t>348, 363, 370, 373, 374, 377, 380, 408, 418, 446, 479, 482, 486, 487, 524, 527, 530,</w:t>
      </w:r>
    </w:p>
    <w:p>
      <w:pPr>
        <w:spacing w:before="59"/>
        <w:ind w:left="784" w:right="188" w:firstLine="0"/>
        <w:jc w:val="center"/>
        <w:rPr>
          <w:rFonts w:ascii="Calibri"/>
          <w:sz w:val="32"/>
        </w:rPr>
      </w:pPr>
      <w:r>
        <w:rPr>
          <w:rFonts w:ascii="Calibri"/>
          <w:sz w:val="32"/>
        </w:rPr>
        <w:t>643, 645, 682, 753, 763, 832, 834, 890, 916, 920, 930, 941, 967, 975, 976, 1019, 1095,</w:t>
      </w:r>
    </w:p>
    <w:p>
      <w:pPr>
        <w:spacing w:after="0"/>
        <w:jc w:val="center"/>
        <w:rPr>
          <w:rFonts w:ascii="Calibri"/>
          <w:sz w:val="32"/>
        </w:rPr>
        <w:sectPr>
          <w:pgSz w:w="14270" w:h="16850"/>
          <w:pgMar w:header="0" w:footer="1891" w:top="1360" w:bottom="2080" w:left="800" w:right="1280"/>
        </w:sectPr>
      </w:pPr>
    </w:p>
    <w:p>
      <w:pPr>
        <w:spacing w:before="15"/>
        <w:ind w:left="810" w:right="188" w:firstLine="0"/>
        <w:jc w:val="center"/>
        <w:rPr>
          <w:rFonts w:ascii="Calibri"/>
          <w:sz w:val="32"/>
        </w:rPr>
      </w:pPr>
      <w:r>
        <w:rPr>
          <w:rFonts w:ascii="Calibri"/>
          <w:sz w:val="32"/>
        </w:rPr>
        <w:t>1139, 1206, 1230, 1241, 1317, 1328, 1345, 1355, 1357, 1359, 1367, 1407, 1420, 1450,</w:t>
      </w:r>
    </w:p>
    <w:p>
      <w:pPr>
        <w:spacing w:before="61"/>
        <w:ind w:left="561" w:right="18" w:firstLine="0"/>
        <w:jc w:val="center"/>
        <w:rPr>
          <w:rFonts w:ascii="Calibri"/>
          <w:sz w:val="32"/>
        </w:rPr>
      </w:pPr>
      <w:r>
        <w:rPr>
          <w:rFonts w:ascii="Calibri"/>
          <w:sz w:val="32"/>
        </w:rPr>
        <w:t>1488, 1548, 1629, 1729, 1738, 1770, 1780, 1808, 1827, 1835, 1843, 1851, 1855, 1856</w:t>
      </w:r>
    </w:p>
    <w:p>
      <w:pPr>
        <w:spacing w:before="58"/>
        <w:ind w:left="468" w:right="0" w:firstLine="0"/>
        <w:jc w:val="center"/>
        <w:rPr>
          <w:rFonts w:ascii="Calibri"/>
          <w:sz w:val="32"/>
        </w:rPr>
      </w:pPr>
      <w:r>
        <w:rPr>
          <w:sz w:val="32"/>
        </w:rPr>
        <w:t>Stretch marks </w:t>
      </w:r>
      <w:r>
        <w:rPr>
          <w:rFonts w:ascii="Calibri"/>
          <w:sz w:val="32"/>
        </w:rPr>
        <w:t>.................................................................................. 481, 1125, 1142,</w:t>
      </w:r>
      <w:r>
        <w:rPr>
          <w:rFonts w:ascii="Calibri"/>
          <w:spacing w:val="34"/>
          <w:sz w:val="32"/>
        </w:rPr>
        <w:t> </w:t>
      </w:r>
      <w:r>
        <w:rPr>
          <w:rFonts w:ascii="Calibri"/>
          <w:sz w:val="32"/>
        </w:rPr>
        <w:t>1747</w:t>
      </w:r>
    </w:p>
    <w:p>
      <w:pPr>
        <w:spacing w:before="58"/>
        <w:ind w:left="462" w:right="0" w:firstLine="0"/>
        <w:jc w:val="center"/>
        <w:rPr>
          <w:rFonts w:ascii="Calibri"/>
          <w:sz w:val="32"/>
        </w:rPr>
      </w:pPr>
      <w:r>
        <w:rPr>
          <w:sz w:val="32"/>
        </w:rPr>
        <w:t>Stroke</w:t>
      </w:r>
      <w:r>
        <w:rPr>
          <w:rFonts w:ascii="Calibri"/>
          <w:sz w:val="32"/>
        </w:rPr>
        <w:t>1, 7, 10, 18, 19, 86, 90, 100, 102, 119, 120, 152, 157, 159, 178, 185, 187, 250,</w:t>
      </w:r>
      <w:r>
        <w:rPr>
          <w:rFonts w:ascii="Calibri"/>
          <w:spacing w:val="-10"/>
          <w:sz w:val="32"/>
        </w:rPr>
        <w:t> </w:t>
      </w:r>
      <w:r>
        <w:rPr>
          <w:rFonts w:ascii="Calibri"/>
          <w:sz w:val="32"/>
        </w:rPr>
        <w:t>337,</w:t>
      </w:r>
    </w:p>
    <w:p>
      <w:pPr>
        <w:spacing w:before="59"/>
        <w:ind w:left="458" w:right="188" w:firstLine="0"/>
        <w:jc w:val="center"/>
        <w:rPr>
          <w:rFonts w:ascii="Calibri"/>
          <w:sz w:val="32"/>
        </w:rPr>
      </w:pPr>
      <w:r>
        <w:rPr>
          <w:rFonts w:ascii="Calibri"/>
          <w:sz w:val="32"/>
        </w:rPr>
        <w:t>340, 370, 373, 374, 413, 418, 419, 483, 503, 512, 527, 621, 830, 890, 912, 913,</w:t>
      </w:r>
      <w:r>
        <w:rPr>
          <w:rFonts w:ascii="Calibri"/>
          <w:spacing w:val="-22"/>
          <w:sz w:val="32"/>
        </w:rPr>
        <w:t> </w:t>
      </w:r>
      <w:r>
        <w:rPr>
          <w:rFonts w:ascii="Calibri"/>
          <w:sz w:val="32"/>
        </w:rPr>
        <w:t>930,</w:t>
      </w:r>
    </w:p>
    <w:p>
      <w:pPr>
        <w:spacing w:before="58"/>
        <w:ind w:left="485" w:right="188" w:firstLine="0"/>
        <w:jc w:val="center"/>
        <w:rPr>
          <w:rFonts w:ascii="Calibri"/>
          <w:sz w:val="32"/>
        </w:rPr>
      </w:pPr>
      <w:r>
        <w:rPr>
          <w:rFonts w:ascii="Calibri"/>
          <w:sz w:val="32"/>
        </w:rPr>
        <w:t>934, 936, 937, 946, 947, 954, 968, 1021, 1050, 1051, 1056, 1071, 1074, 1075,</w:t>
      </w:r>
      <w:r>
        <w:rPr>
          <w:rFonts w:ascii="Calibri"/>
          <w:spacing w:val="-14"/>
          <w:sz w:val="32"/>
        </w:rPr>
        <w:t> </w:t>
      </w:r>
      <w:r>
        <w:rPr>
          <w:rFonts w:ascii="Calibri"/>
          <w:sz w:val="32"/>
        </w:rPr>
        <w:t>1099,</w:t>
      </w:r>
    </w:p>
    <w:p>
      <w:pPr>
        <w:spacing w:before="58"/>
        <w:ind w:left="810" w:right="188" w:firstLine="0"/>
        <w:jc w:val="center"/>
        <w:rPr>
          <w:rFonts w:ascii="Calibri"/>
          <w:sz w:val="32"/>
        </w:rPr>
      </w:pPr>
      <w:r>
        <w:rPr>
          <w:rFonts w:ascii="Calibri"/>
          <w:sz w:val="32"/>
        </w:rPr>
        <w:t>1105, 1121, 1125, 1132, 1143, 1164, 1172, 1176, 1191, 1207, 1275, 1296, 1346,</w:t>
      </w:r>
      <w:r>
        <w:rPr>
          <w:rFonts w:ascii="Calibri"/>
          <w:spacing w:val="-23"/>
          <w:sz w:val="32"/>
        </w:rPr>
        <w:t> </w:t>
      </w:r>
      <w:r>
        <w:rPr>
          <w:rFonts w:ascii="Calibri"/>
          <w:sz w:val="32"/>
        </w:rPr>
        <w:t>1347,</w:t>
      </w:r>
    </w:p>
    <w:p>
      <w:pPr>
        <w:spacing w:before="60"/>
        <w:ind w:left="810" w:right="188" w:firstLine="0"/>
        <w:jc w:val="center"/>
        <w:rPr>
          <w:rFonts w:ascii="Calibri"/>
          <w:sz w:val="32"/>
        </w:rPr>
      </w:pPr>
      <w:r>
        <w:rPr>
          <w:rFonts w:ascii="Calibri"/>
          <w:sz w:val="32"/>
        </w:rPr>
        <w:t>1348, 1349, 1358, 1360, 1418, 1442, 1473, 1493, 1512, 1544, 1545, 1559, 1630,</w:t>
      </w:r>
      <w:r>
        <w:rPr>
          <w:rFonts w:ascii="Calibri"/>
          <w:spacing w:val="-23"/>
          <w:sz w:val="32"/>
        </w:rPr>
        <w:t> </w:t>
      </w:r>
      <w:r>
        <w:rPr>
          <w:rFonts w:ascii="Calibri"/>
          <w:sz w:val="32"/>
        </w:rPr>
        <w:t>1635,</w:t>
      </w:r>
    </w:p>
    <w:p>
      <w:pPr>
        <w:spacing w:before="59"/>
        <w:ind w:left="837" w:right="0" w:firstLine="0"/>
        <w:jc w:val="left"/>
        <w:rPr>
          <w:rFonts w:ascii="Calibri"/>
          <w:sz w:val="32"/>
        </w:rPr>
      </w:pPr>
      <w:r>
        <w:rPr>
          <w:rFonts w:ascii="Calibri"/>
          <w:sz w:val="32"/>
        </w:rPr>
        <w:t>1636, 1637, 1682, 1689, 1748, 1752, 1807, 1817, 1819, 1826, 1837, 1842, 1847</w:t>
      </w:r>
    </w:p>
    <w:p>
      <w:pPr>
        <w:spacing w:before="58"/>
        <w:ind w:left="460" w:right="0" w:firstLine="0"/>
        <w:jc w:val="center"/>
        <w:rPr>
          <w:rFonts w:ascii="Calibri"/>
          <w:sz w:val="32"/>
        </w:rPr>
      </w:pPr>
      <w:r>
        <w:rPr>
          <w:sz w:val="32"/>
        </w:rPr>
        <w:t>Sunburn</w:t>
      </w:r>
      <w:r>
        <w:rPr>
          <w:spacing w:val="-30"/>
          <w:sz w:val="32"/>
        </w:rPr>
        <w:t> </w:t>
      </w:r>
      <w:r>
        <w:rPr>
          <w:rFonts w:ascii="Calibri"/>
          <w:sz w:val="32"/>
        </w:rPr>
        <w:t>..............</w:t>
      </w:r>
      <w:r>
        <w:rPr>
          <w:rFonts w:ascii="Calibri"/>
          <w:spacing w:val="-37"/>
          <w:sz w:val="32"/>
        </w:rPr>
        <w:t> </w:t>
      </w:r>
      <w:r>
        <w:rPr>
          <w:rFonts w:ascii="Calibri"/>
          <w:sz w:val="32"/>
        </w:rPr>
        <w:t>128,</w:t>
      </w:r>
      <w:r>
        <w:rPr>
          <w:rFonts w:ascii="Calibri"/>
          <w:spacing w:val="-1"/>
          <w:sz w:val="32"/>
        </w:rPr>
        <w:t> </w:t>
      </w:r>
      <w:r>
        <w:rPr>
          <w:rFonts w:ascii="Calibri"/>
          <w:sz w:val="32"/>
        </w:rPr>
        <w:t>255, 430, 563,</w:t>
      </w:r>
      <w:r>
        <w:rPr>
          <w:rFonts w:ascii="Calibri"/>
          <w:spacing w:val="-2"/>
          <w:sz w:val="32"/>
        </w:rPr>
        <w:t> </w:t>
      </w:r>
      <w:r>
        <w:rPr>
          <w:rFonts w:ascii="Calibri"/>
          <w:sz w:val="32"/>
        </w:rPr>
        <w:t>605, 725,</w:t>
      </w:r>
      <w:r>
        <w:rPr>
          <w:rFonts w:ascii="Calibri"/>
          <w:spacing w:val="-1"/>
          <w:sz w:val="32"/>
        </w:rPr>
        <w:t> </w:t>
      </w:r>
      <w:r>
        <w:rPr>
          <w:rFonts w:ascii="Calibri"/>
          <w:sz w:val="32"/>
        </w:rPr>
        <w:t>861,</w:t>
      </w:r>
      <w:r>
        <w:rPr>
          <w:rFonts w:ascii="Calibri"/>
          <w:spacing w:val="-2"/>
          <w:sz w:val="32"/>
        </w:rPr>
        <w:t> </w:t>
      </w:r>
      <w:r>
        <w:rPr>
          <w:rFonts w:ascii="Calibri"/>
          <w:sz w:val="32"/>
        </w:rPr>
        <w:t>1248, 1389, 1391,</w:t>
      </w:r>
      <w:r>
        <w:rPr>
          <w:rFonts w:ascii="Calibri"/>
          <w:spacing w:val="-1"/>
          <w:sz w:val="32"/>
        </w:rPr>
        <w:t> </w:t>
      </w:r>
      <w:r>
        <w:rPr>
          <w:rFonts w:ascii="Calibri"/>
          <w:sz w:val="32"/>
        </w:rPr>
        <w:t>1476, 1485,</w:t>
      </w:r>
      <w:r>
        <w:rPr>
          <w:rFonts w:ascii="Calibri"/>
          <w:spacing w:val="-1"/>
          <w:sz w:val="32"/>
        </w:rPr>
        <w:t> </w:t>
      </w:r>
      <w:r>
        <w:rPr>
          <w:rFonts w:ascii="Calibri"/>
          <w:sz w:val="32"/>
        </w:rPr>
        <w:t>1497</w:t>
      </w:r>
    </w:p>
    <w:p>
      <w:pPr>
        <w:spacing w:before="59"/>
        <w:ind w:left="467" w:right="0" w:firstLine="0"/>
        <w:jc w:val="center"/>
        <w:rPr>
          <w:rFonts w:ascii="Calibri"/>
          <w:sz w:val="32"/>
        </w:rPr>
      </w:pPr>
      <w:r>
        <w:rPr>
          <w:sz w:val="32"/>
        </w:rPr>
        <w:t>Sweats </w:t>
      </w:r>
      <w:r>
        <w:rPr>
          <w:rFonts w:ascii="Calibri"/>
          <w:sz w:val="32"/>
        </w:rPr>
        <w:t>................................................................................................... 206, 294, 378,</w:t>
      </w:r>
      <w:r>
        <w:rPr>
          <w:rFonts w:ascii="Calibri"/>
          <w:spacing w:val="12"/>
          <w:sz w:val="32"/>
        </w:rPr>
        <w:t> </w:t>
      </w:r>
      <w:r>
        <w:rPr>
          <w:rFonts w:ascii="Calibri"/>
          <w:sz w:val="32"/>
        </w:rPr>
        <w:t>978</w:t>
      </w:r>
    </w:p>
    <w:p>
      <w:pPr>
        <w:spacing w:before="58"/>
        <w:ind w:left="461" w:right="0" w:firstLine="0"/>
        <w:jc w:val="center"/>
        <w:rPr>
          <w:rFonts w:ascii="Calibri"/>
          <w:sz w:val="32"/>
        </w:rPr>
      </w:pPr>
      <w:r>
        <w:rPr>
          <w:sz w:val="32"/>
        </w:rPr>
        <w:t>Swelling</w:t>
      </w:r>
      <w:r>
        <w:rPr>
          <w:rFonts w:ascii="Calibri"/>
          <w:sz w:val="32"/>
        </w:rPr>
        <w:t>.........................142, 154, 155, 159, 171, 623, 677, 1258, 1277, 1388, 1389,</w:t>
      </w:r>
      <w:r>
        <w:rPr>
          <w:rFonts w:ascii="Calibri"/>
          <w:spacing w:val="28"/>
          <w:sz w:val="32"/>
        </w:rPr>
        <w:t> </w:t>
      </w:r>
      <w:r>
        <w:rPr>
          <w:rFonts w:ascii="Calibri"/>
          <w:sz w:val="32"/>
        </w:rPr>
        <w:t>1512</w:t>
      </w:r>
    </w:p>
    <w:p>
      <w:pPr>
        <w:spacing w:before="60"/>
        <w:ind w:left="467" w:right="0" w:firstLine="0"/>
        <w:jc w:val="center"/>
        <w:rPr>
          <w:rFonts w:ascii="Calibri"/>
          <w:sz w:val="32"/>
        </w:rPr>
      </w:pPr>
      <w:r>
        <w:rPr>
          <w:sz w:val="32"/>
        </w:rPr>
        <w:t>Tennis elbow</w:t>
      </w:r>
      <w:r>
        <w:rPr>
          <w:rFonts w:ascii="Calibri"/>
          <w:sz w:val="32"/>
        </w:rPr>
        <w:t>................................................................................. 1248, 1250, 1265,</w:t>
      </w:r>
      <w:r>
        <w:rPr>
          <w:rFonts w:ascii="Calibri"/>
          <w:spacing w:val="65"/>
          <w:sz w:val="32"/>
        </w:rPr>
        <w:t> </w:t>
      </w:r>
      <w:r>
        <w:rPr>
          <w:rFonts w:ascii="Calibri"/>
          <w:sz w:val="32"/>
        </w:rPr>
        <w:t>1838</w:t>
      </w:r>
    </w:p>
    <w:p>
      <w:pPr>
        <w:spacing w:before="58"/>
        <w:ind w:left="469" w:right="0" w:firstLine="0"/>
        <w:jc w:val="center"/>
        <w:rPr>
          <w:rFonts w:ascii="Calibri"/>
          <w:sz w:val="32"/>
        </w:rPr>
      </w:pPr>
      <w:r>
        <w:rPr>
          <w:sz w:val="32"/>
        </w:rPr>
        <w:t>Thrombosis</w:t>
      </w:r>
      <w:r>
        <w:rPr>
          <w:rFonts w:ascii="Calibri"/>
          <w:sz w:val="32"/>
        </w:rPr>
        <w:t>.......................................................... 153, 158, 1087, 1127, 1204, 1215,</w:t>
      </w:r>
      <w:r>
        <w:rPr>
          <w:rFonts w:ascii="Calibri"/>
          <w:spacing w:val="9"/>
          <w:sz w:val="32"/>
        </w:rPr>
        <w:t> </w:t>
      </w:r>
      <w:r>
        <w:rPr>
          <w:rFonts w:ascii="Calibri"/>
          <w:sz w:val="32"/>
        </w:rPr>
        <w:t>1749</w:t>
      </w:r>
    </w:p>
    <w:p>
      <w:pPr>
        <w:tabs>
          <w:tab w:pos="11886" w:val="right" w:leader="dot"/>
        </w:tabs>
        <w:spacing w:before="59"/>
        <w:ind w:left="469" w:right="0" w:firstLine="0"/>
        <w:jc w:val="center"/>
        <w:rPr>
          <w:rFonts w:ascii="Calibri"/>
          <w:sz w:val="32"/>
        </w:rPr>
      </w:pPr>
      <w:r>
        <w:rPr>
          <w:sz w:val="32"/>
        </w:rPr>
        <w:t>Tick</w:t>
      </w:r>
      <w:r>
        <w:rPr>
          <w:spacing w:val="-2"/>
          <w:sz w:val="32"/>
        </w:rPr>
        <w:t> </w:t>
      </w:r>
      <w:r>
        <w:rPr>
          <w:sz w:val="32"/>
        </w:rPr>
        <w:t>bites</w:t>
        <w:tab/>
      </w:r>
      <w:r>
        <w:rPr>
          <w:rFonts w:ascii="Calibri"/>
          <w:sz w:val="32"/>
        </w:rPr>
        <w:t>703</w:t>
      </w:r>
    </w:p>
    <w:p>
      <w:pPr>
        <w:spacing w:before="58"/>
        <w:ind w:left="461" w:right="0" w:firstLine="0"/>
        <w:jc w:val="center"/>
        <w:rPr>
          <w:rFonts w:ascii="Calibri"/>
          <w:sz w:val="32"/>
        </w:rPr>
      </w:pPr>
      <w:r>
        <w:rPr>
          <w:sz w:val="32"/>
        </w:rPr>
        <w:t>Tinnitus </w:t>
      </w:r>
      <w:r>
        <w:rPr>
          <w:rFonts w:ascii="Calibri"/>
          <w:sz w:val="32"/>
        </w:rPr>
        <w:t>..........................400, 415, 424, 1057, 1063, 1177, 1304, 1591, 1676, 1692,</w:t>
      </w:r>
      <w:r>
        <w:rPr>
          <w:rFonts w:ascii="Calibri"/>
          <w:spacing w:val="11"/>
          <w:sz w:val="32"/>
        </w:rPr>
        <w:t> </w:t>
      </w:r>
      <w:r>
        <w:rPr>
          <w:rFonts w:ascii="Calibri"/>
          <w:sz w:val="32"/>
        </w:rPr>
        <w:t>1827</w:t>
      </w:r>
    </w:p>
    <w:p>
      <w:pPr>
        <w:spacing w:before="58"/>
        <w:ind w:left="463" w:right="0" w:firstLine="0"/>
        <w:jc w:val="center"/>
        <w:rPr>
          <w:rFonts w:ascii="Calibri"/>
          <w:sz w:val="32"/>
        </w:rPr>
      </w:pPr>
      <w:r>
        <w:rPr>
          <w:sz w:val="32"/>
        </w:rPr>
        <w:t>Tonsillitis </w:t>
      </w:r>
      <w:r>
        <w:rPr>
          <w:rFonts w:ascii="Calibri"/>
          <w:sz w:val="32"/>
        </w:rPr>
        <w:t>............................................... 549, 559, 698, 701, 725, 1245, 1478, 1487,</w:t>
      </w:r>
      <w:r>
        <w:rPr>
          <w:rFonts w:ascii="Calibri"/>
          <w:spacing w:val="-9"/>
          <w:sz w:val="32"/>
        </w:rPr>
        <w:t> </w:t>
      </w:r>
      <w:r>
        <w:rPr>
          <w:rFonts w:ascii="Calibri"/>
          <w:sz w:val="32"/>
        </w:rPr>
        <w:t>1831</w:t>
      </w:r>
    </w:p>
    <w:p>
      <w:pPr>
        <w:spacing w:before="59"/>
        <w:ind w:left="461" w:right="0" w:firstLine="0"/>
        <w:jc w:val="center"/>
        <w:rPr>
          <w:rFonts w:ascii="Calibri"/>
          <w:sz w:val="32"/>
        </w:rPr>
      </w:pPr>
      <w:r>
        <w:rPr>
          <w:sz w:val="32"/>
        </w:rPr>
        <w:t>Tuberculosis</w:t>
      </w:r>
      <w:r>
        <w:rPr>
          <w:rFonts w:ascii="Calibri"/>
          <w:sz w:val="32"/>
        </w:rPr>
        <w:t>.......... 411, 412, 438, 698, 725, 887, 890, 921, 1007, 1111, 1137, 1204,</w:t>
      </w:r>
      <w:r>
        <w:rPr>
          <w:rFonts w:ascii="Calibri"/>
          <w:spacing w:val="-38"/>
          <w:sz w:val="32"/>
        </w:rPr>
        <w:t> </w:t>
      </w:r>
      <w:r>
        <w:rPr>
          <w:rFonts w:ascii="Calibri"/>
          <w:sz w:val="32"/>
        </w:rPr>
        <w:t>1737</w:t>
      </w:r>
    </w:p>
    <w:p>
      <w:pPr>
        <w:spacing w:before="60"/>
        <w:ind w:left="467" w:right="0" w:firstLine="0"/>
        <w:jc w:val="center"/>
        <w:rPr>
          <w:rFonts w:ascii="Calibri"/>
          <w:sz w:val="32"/>
        </w:rPr>
      </w:pPr>
      <w:r>
        <w:rPr>
          <w:sz w:val="32"/>
        </w:rPr>
        <w:t>Ulcerative colitis </w:t>
      </w:r>
      <w:r>
        <w:rPr>
          <w:rFonts w:ascii="Calibri"/>
          <w:sz w:val="32"/>
        </w:rPr>
        <w:t>.................................................................................. 339, 348, 362,</w:t>
      </w:r>
      <w:r>
        <w:rPr>
          <w:rFonts w:ascii="Calibri"/>
          <w:spacing w:val="-2"/>
          <w:sz w:val="32"/>
        </w:rPr>
        <w:t> </w:t>
      </w:r>
      <w:r>
        <w:rPr>
          <w:rFonts w:ascii="Calibri"/>
          <w:sz w:val="32"/>
        </w:rPr>
        <w:t>1305</w:t>
      </w:r>
    </w:p>
    <w:p>
      <w:pPr>
        <w:spacing w:before="58"/>
        <w:ind w:left="459" w:right="0" w:firstLine="0"/>
        <w:jc w:val="center"/>
        <w:rPr>
          <w:rFonts w:ascii="Calibri"/>
          <w:sz w:val="32"/>
        </w:rPr>
      </w:pPr>
      <w:r>
        <w:rPr>
          <w:sz w:val="32"/>
        </w:rPr>
        <w:t>Ulcers </w:t>
      </w:r>
      <w:r>
        <w:rPr>
          <w:rFonts w:ascii="Calibri"/>
          <w:sz w:val="32"/>
        </w:rPr>
        <w:t>...... 153, 208, 268, 290, 317, 485, 554, 700, 725, 749, 819, 822, 1063, 1078,</w:t>
      </w:r>
      <w:r>
        <w:rPr>
          <w:rFonts w:ascii="Calibri"/>
          <w:spacing w:val="-30"/>
          <w:sz w:val="32"/>
        </w:rPr>
        <w:t> </w:t>
      </w:r>
      <w:r>
        <w:rPr>
          <w:rFonts w:ascii="Calibri"/>
          <w:sz w:val="32"/>
        </w:rPr>
        <w:t>1247,</w:t>
      </w:r>
    </w:p>
    <w:p>
      <w:pPr>
        <w:spacing w:before="59"/>
        <w:ind w:left="837" w:right="0" w:firstLine="0"/>
        <w:jc w:val="left"/>
        <w:rPr>
          <w:rFonts w:ascii="Calibri"/>
          <w:sz w:val="32"/>
        </w:rPr>
      </w:pPr>
      <w:r>
        <w:rPr>
          <w:rFonts w:ascii="Calibri"/>
          <w:sz w:val="32"/>
        </w:rPr>
        <w:t>1478, 1675, 1825</w:t>
      </w:r>
    </w:p>
    <w:p>
      <w:pPr>
        <w:tabs>
          <w:tab w:pos="11400" w:val="left" w:leader="dot"/>
        </w:tabs>
        <w:spacing w:before="58"/>
        <w:ind w:left="469" w:right="0" w:firstLine="0"/>
        <w:jc w:val="center"/>
        <w:rPr>
          <w:rFonts w:ascii="Calibri"/>
          <w:sz w:val="32"/>
        </w:rPr>
      </w:pPr>
      <w:r>
        <w:rPr>
          <w:sz w:val="32"/>
        </w:rPr>
        <w:t>Urethra</w:t>
      </w:r>
      <w:r>
        <w:rPr>
          <w:spacing w:val="-3"/>
          <w:sz w:val="32"/>
        </w:rPr>
        <w:t> </w:t>
      </w:r>
      <w:r>
        <w:rPr>
          <w:sz w:val="32"/>
        </w:rPr>
        <w:t>infection</w:t>
        <w:tab/>
      </w:r>
      <w:r>
        <w:rPr>
          <w:rFonts w:ascii="Calibri"/>
          <w:sz w:val="32"/>
        </w:rPr>
        <w:t>186</w:t>
      </w:r>
    </w:p>
    <w:p>
      <w:pPr>
        <w:spacing w:before="58"/>
        <w:ind w:left="462" w:right="0" w:firstLine="0"/>
        <w:jc w:val="center"/>
        <w:rPr>
          <w:rFonts w:ascii="Calibri"/>
          <w:sz w:val="32"/>
        </w:rPr>
      </w:pPr>
      <w:r>
        <w:rPr>
          <w:sz w:val="32"/>
        </w:rPr>
        <w:t>Varicose</w:t>
      </w:r>
      <w:r>
        <w:rPr>
          <w:spacing w:val="-2"/>
          <w:sz w:val="32"/>
        </w:rPr>
        <w:t> </w:t>
      </w:r>
      <w:r>
        <w:rPr>
          <w:sz w:val="32"/>
        </w:rPr>
        <w:t>veins</w:t>
      </w:r>
      <w:r>
        <w:rPr>
          <w:spacing w:val="-21"/>
          <w:sz w:val="32"/>
        </w:rPr>
        <w:t> </w:t>
      </w:r>
      <w:r>
        <w:rPr>
          <w:rFonts w:ascii="Calibri"/>
          <w:sz w:val="32"/>
        </w:rPr>
        <w:t>....</w:t>
      </w:r>
      <w:r>
        <w:rPr>
          <w:rFonts w:ascii="Calibri"/>
          <w:spacing w:val="-32"/>
          <w:sz w:val="32"/>
        </w:rPr>
        <w:t> </w:t>
      </w:r>
      <w:r>
        <w:rPr>
          <w:rFonts w:ascii="Calibri"/>
          <w:sz w:val="32"/>
        </w:rPr>
        <w:t>154,</w:t>
      </w:r>
      <w:r>
        <w:rPr>
          <w:rFonts w:ascii="Calibri"/>
          <w:spacing w:val="-2"/>
          <w:sz w:val="32"/>
        </w:rPr>
        <w:t> </w:t>
      </w:r>
      <w:r>
        <w:rPr>
          <w:rFonts w:ascii="Calibri"/>
          <w:sz w:val="32"/>
        </w:rPr>
        <w:t>337,</w:t>
      </w:r>
      <w:r>
        <w:rPr>
          <w:rFonts w:ascii="Calibri"/>
          <w:spacing w:val="-2"/>
          <w:sz w:val="32"/>
        </w:rPr>
        <w:t> </w:t>
      </w:r>
      <w:r>
        <w:rPr>
          <w:rFonts w:ascii="Calibri"/>
          <w:sz w:val="32"/>
        </w:rPr>
        <w:t>414,</w:t>
      </w:r>
      <w:r>
        <w:rPr>
          <w:rFonts w:ascii="Calibri"/>
          <w:spacing w:val="-1"/>
          <w:sz w:val="32"/>
        </w:rPr>
        <w:t> </w:t>
      </w:r>
      <w:r>
        <w:rPr>
          <w:rFonts w:ascii="Calibri"/>
          <w:sz w:val="32"/>
        </w:rPr>
        <w:t>480,</w:t>
      </w:r>
      <w:r>
        <w:rPr>
          <w:rFonts w:ascii="Calibri"/>
          <w:spacing w:val="-3"/>
          <w:sz w:val="32"/>
        </w:rPr>
        <w:t> </w:t>
      </w:r>
      <w:r>
        <w:rPr>
          <w:rFonts w:ascii="Calibri"/>
          <w:sz w:val="32"/>
        </w:rPr>
        <w:t>828,</w:t>
      </w:r>
      <w:r>
        <w:rPr>
          <w:rFonts w:ascii="Calibri"/>
          <w:spacing w:val="-2"/>
          <w:sz w:val="32"/>
        </w:rPr>
        <w:t> </w:t>
      </w:r>
      <w:r>
        <w:rPr>
          <w:rFonts w:ascii="Calibri"/>
          <w:sz w:val="32"/>
        </w:rPr>
        <w:t>838,</w:t>
      </w:r>
      <w:r>
        <w:rPr>
          <w:rFonts w:ascii="Calibri"/>
          <w:spacing w:val="-2"/>
          <w:sz w:val="32"/>
        </w:rPr>
        <w:t> </w:t>
      </w:r>
      <w:r>
        <w:rPr>
          <w:rFonts w:ascii="Calibri"/>
          <w:sz w:val="32"/>
        </w:rPr>
        <w:t>857,</w:t>
      </w:r>
      <w:r>
        <w:rPr>
          <w:rFonts w:ascii="Calibri"/>
          <w:spacing w:val="-3"/>
          <w:sz w:val="32"/>
        </w:rPr>
        <w:t> </w:t>
      </w:r>
      <w:r>
        <w:rPr>
          <w:rFonts w:ascii="Calibri"/>
          <w:sz w:val="32"/>
        </w:rPr>
        <w:t>1108,</w:t>
      </w:r>
      <w:r>
        <w:rPr>
          <w:rFonts w:ascii="Calibri"/>
          <w:spacing w:val="-2"/>
          <w:sz w:val="32"/>
        </w:rPr>
        <w:t> </w:t>
      </w:r>
      <w:r>
        <w:rPr>
          <w:rFonts w:ascii="Calibri"/>
          <w:sz w:val="32"/>
        </w:rPr>
        <w:t>1118,</w:t>
      </w:r>
      <w:r>
        <w:rPr>
          <w:rFonts w:ascii="Calibri"/>
          <w:spacing w:val="-1"/>
          <w:sz w:val="32"/>
        </w:rPr>
        <w:t> </w:t>
      </w:r>
      <w:r>
        <w:rPr>
          <w:rFonts w:ascii="Calibri"/>
          <w:sz w:val="32"/>
        </w:rPr>
        <w:t>1141,</w:t>
      </w:r>
      <w:r>
        <w:rPr>
          <w:rFonts w:ascii="Calibri"/>
          <w:spacing w:val="-2"/>
          <w:sz w:val="32"/>
        </w:rPr>
        <w:t> </w:t>
      </w:r>
      <w:r>
        <w:rPr>
          <w:rFonts w:ascii="Calibri"/>
          <w:sz w:val="32"/>
        </w:rPr>
        <w:t>1472,</w:t>
      </w:r>
      <w:r>
        <w:rPr>
          <w:rFonts w:ascii="Calibri"/>
          <w:spacing w:val="-2"/>
          <w:sz w:val="32"/>
        </w:rPr>
        <w:t> </w:t>
      </w:r>
      <w:r>
        <w:rPr>
          <w:rFonts w:ascii="Calibri"/>
          <w:sz w:val="32"/>
        </w:rPr>
        <w:t>1475,</w:t>
      </w:r>
      <w:r>
        <w:rPr>
          <w:rFonts w:ascii="Calibri"/>
          <w:spacing w:val="-1"/>
          <w:sz w:val="32"/>
        </w:rPr>
        <w:t> </w:t>
      </w:r>
      <w:r>
        <w:rPr>
          <w:rFonts w:ascii="Calibri"/>
          <w:sz w:val="32"/>
        </w:rPr>
        <w:t>1488,</w:t>
      </w:r>
    </w:p>
    <w:p>
      <w:pPr>
        <w:spacing w:before="58"/>
        <w:ind w:left="837" w:right="0" w:firstLine="0"/>
        <w:jc w:val="left"/>
        <w:rPr>
          <w:rFonts w:ascii="Calibri"/>
          <w:sz w:val="32"/>
        </w:rPr>
      </w:pPr>
      <w:r>
        <w:rPr>
          <w:rFonts w:ascii="Calibri"/>
          <w:sz w:val="32"/>
        </w:rPr>
        <w:t>1743, 1840, 1846</w:t>
      </w:r>
    </w:p>
    <w:p>
      <w:pPr>
        <w:spacing w:before="61"/>
        <w:ind w:left="469" w:right="0" w:firstLine="0"/>
        <w:jc w:val="center"/>
        <w:rPr>
          <w:rFonts w:ascii="Calibri"/>
          <w:sz w:val="32"/>
        </w:rPr>
      </w:pPr>
      <w:r>
        <w:rPr>
          <w:sz w:val="32"/>
        </w:rPr>
        <w:t>Visual impairment </w:t>
      </w:r>
      <w:r>
        <w:rPr>
          <w:rFonts w:ascii="Calibri"/>
          <w:sz w:val="32"/>
        </w:rPr>
        <w:t>.......................................................................................................</w:t>
      </w:r>
      <w:r>
        <w:rPr>
          <w:rFonts w:ascii="Calibri"/>
          <w:spacing w:val="7"/>
          <w:sz w:val="32"/>
        </w:rPr>
        <w:t> </w:t>
      </w:r>
      <w:r>
        <w:rPr>
          <w:rFonts w:ascii="Calibri"/>
          <w:sz w:val="32"/>
        </w:rPr>
        <w:t>1837</w:t>
      </w:r>
    </w:p>
    <w:p>
      <w:pPr>
        <w:spacing w:before="58"/>
        <w:ind w:left="468" w:right="0" w:firstLine="0"/>
        <w:jc w:val="center"/>
        <w:rPr>
          <w:rFonts w:ascii="Calibri"/>
          <w:sz w:val="32"/>
        </w:rPr>
      </w:pPr>
      <w:r>
        <w:rPr>
          <w:sz w:val="32"/>
        </w:rPr>
        <w:t>Vitiligo </w:t>
      </w:r>
      <w:r>
        <w:rPr>
          <w:rFonts w:ascii="Calibri"/>
          <w:sz w:val="32"/>
        </w:rPr>
        <w:t>.................................................................................................................. 415,</w:t>
      </w:r>
      <w:r>
        <w:rPr>
          <w:rFonts w:ascii="Calibri"/>
          <w:spacing w:val="11"/>
          <w:sz w:val="32"/>
        </w:rPr>
        <w:t> </w:t>
      </w:r>
      <w:r>
        <w:rPr>
          <w:rFonts w:ascii="Calibri"/>
          <w:sz w:val="32"/>
        </w:rPr>
        <w:t>426</w:t>
      </w:r>
    </w:p>
    <w:p>
      <w:pPr>
        <w:spacing w:after="0"/>
        <w:jc w:val="center"/>
        <w:rPr>
          <w:rFonts w:ascii="Calibri"/>
          <w:sz w:val="32"/>
        </w:rPr>
        <w:sectPr>
          <w:pgSz w:w="14270" w:h="16850"/>
          <w:pgMar w:header="0" w:footer="1891" w:top="1400" w:bottom="2080" w:left="800" w:right="1280"/>
        </w:sectPr>
      </w:pPr>
    </w:p>
    <w:p>
      <w:pPr>
        <w:spacing w:before="55"/>
        <w:ind w:left="616" w:right="0" w:firstLine="0"/>
        <w:jc w:val="left"/>
        <w:rPr>
          <w:rFonts w:ascii="Calibri"/>
          <w:sz w:val="32"/>
        </w:rPr>
      </w:pPr>
      <w:r>
        <w:rPr>
          <w:sz w:val="32"/>
        </w:rPr>
        <w:t>Warts </w:t>
      </w:r>
      <w:r>
        <w:rPr>
          <w:rFonts w:ascii="Calibri"/>
          <w:sz w:val="32"/>
        </w:rPr>
        <w:t>.......</w:t>
      </w:r>
      <w:r>
        <w:rPr>
          <w:rFonts w:ascii="Calibri"/>
          <w:spacing w:val="-56"/>
          <w:sz w:val="32"/>
        </w:rPr>
        <w:t> </w:t>
      </w:r>
      <w:r>
        <w:rPr>
          <w:rFonts w:ascii="Calibri"/>
          <w:sz w:val="32"/>
        </w:rPr>
        <w:t>553, 702, 715, 725, 829, 843, 862, 1017, 1175, 1178, 1248, 1264, 1277, 1476,</w:t>
      </w:r>
    </w:p>
    <w:p>
      <w:pPr>
        <w:spacing w:before="61"/>
        <w:ind w:left="837" w:right="0" w:firstLine="0"/>
        <w:jc w:val="left"/>
        <w:rPr>
          <w:rFonts w:ascii="Calibri"/>
          <w:sz w:val="32"/>
        </w:rPr>
      </w:pPr>
      <w:r>
        <w:rPr>
          <w:rFonts w:ascii="Calibri"/>
          <w:sz w:val="32"/>
        </w:rPr>
        <w:t>1489</w:t>
      </w:r>
    </w:p>
    <w:p>
      <w:pPr>
        <w:spacing w:before="58"/>
        <w:ind w:left="616" w:right="0" w:firstLine="0"/>
        <w:jc w:val="left"/>
        <w:rPr>
          <w:rFonts w:ascii="Calibri"/>
          <w:sz w:val="32"/>
        </w:rPr>
      </w:pPr>
      <w:r>
        <w:rPr>
          <w:sz w:val="32"/>
        </w:rPr>
        <w:t>Worm infestation </w:t>
      </w:r>
      <w:r>
        <w:rPr>
          <w:rFonts w:ascii="Calibri"/>
          <w:sz w:val="32"/>
        </w:rPr>
        <w:t>.................................................................................. 411, 415, 553,</w:t>
      </w:r>
      <w:r>
        <w:rPr>
          <w:rFonts w:ascii="Calibri"/>
          <w:spacing w:val="37"/>
          <w:sz w:val="32"/>
        </w:rPr>
        <w:t> </w:t>
      </w:r>
      <w:r>
        <w:rPr>
          <w:rFonts w:ascii="Calibri"/>
          <w:sz w:val="32"/>
        </w:rPr>
        <w:t>725</w:t>
      </w:r>
    </w:p>
    <w:p>
      <w:pPr>
        <w:spacing w:before="58"/>
        <w:ind w:left="616" w:right="0" w:firstLine="0"/>
        <w:jc w:val="left"/>
        <w:rPr>
          <w:rFonts w:ascii="Calibri"/>
          <w:sz w:val="32"/>
        </w:rPr>
      </w:pPr>
      <w:r>
        <w:rPr>
          <w:sz w:val="32"/>
        </w:rPr>
        <w:t>Wounds </w:t>
      </w:r>
      <w:r>
        <w:rPr>
          <w:rFonts w:ascii="Calibri"/>
          <w:sz w:val="32"/>
        </w:rPr>
        <w:t>. 208, 271, 411, 710, 712, 713, 715, 725, 829, 843, 896, 1138, 1160, 1192,</w:t>
      </w:r>
      <w:r>
        <w:rPr>
          <w:rFonts w:ascii="Calibri"/>
          <w:spacing w:val="-37"/>
          <w:sz w:val="32"/>
        </w:rPr>
        <w:t> </w:t>
      </w:r>
      <w:r>
        <w:rPr>
          <w:rFonts w:ascii="Calibri"/>
          <w:sz w:val="32"/>
        </w:rPr>
        <w:t>1217,</w:t>
      </w:r>
    </w:p>
    <w:p>
      <w:pPr>
        <w:spacing w:before="59"/>
        <w:ind w:left="837" w:right="0" w:firstLine="0"/>
        <w:jc w:val="left"/>
        <w:rPr>
          <w:rFonts w:ascii="Calibri"/>
          <w:sz w:val="32"/>
        </w:rPr>
      </w:pPr>
      <w:r>
        <w:rPr>
          <w:rFonts w:ascii="Calibri"/>
          <w:sz w:val="32"/>
        </w:rPr>
        <w:t>1233, 1290, 1485, 1490, 1764</w:t>
      </w:r>
    </w:p>
    <w:p>
      <w:pPr>
        <w:spacing w:before="58"/>
        <w:ind w:left="616" w:right="0" w:firstLine="0"/>
        <w:jc w:val="left"/>
        <w:rPr>
          <w:rFonts w:ascii="Calibri"/>
          <w:sz w:val="32"/>
        </w:rPr>
      </w:pPr>
      <w:r>
        <w:rPr>
          <w:sz w:val="32"/>
        </w:rPr>
        <w:t>Wrinkles</w:t>
      </w:r>
      <w:r>
        <w:rPr>
          <w:rFonts w:ascii="Calibri"/>
          <w:sz w:val="32"/>
        </w:rPr>
        <w:t>..... 25, 89, 101, 128, 129, 130, 132, 133, 134, 135, 313, 314, 453, 667, 747, 764,</w:t>
      </w:r>
    </w:p>
    <w:p>
      <w:pPr>
        <w:spacing w:before="58"/>
        <w:ind w:left="837" w:right="0" w:firstLine="0"/>
        <w:jc w:val="left"/>
        <w:rPr>
          <w:rFonts w:ascii="Calibri"/>
          <w:sz w:val="32"/>
        </w:rPr>
      </w:pPr>
      <w:r>
        <w:rPr>
          <w:rFonts w:ascii="Calibri"/>
          <w:sz w:val="32"/>
        </w:rPr>
        <w:t>906, 930, 940, 1099, 1124, 1147, 1148, 1285, 1334, 1389, 1464, 1465, 1485, 1503,</w:t>
      </w:r>
    </w:p>
    <w:p>
      <w:pPr>
        <w:spacing w:before="60"/>
        <w:ind w:left="837" w:right="0" w:firstLine="0"/>
        <w:jc w:val="left"/>
        <w:rPr>
          <w:rFonts w:ascii="Calibri"/>
          <w:sz w:val="32"/>
        </w:rPr>
      </w:pPr>
      <w:r>
        <w:rPr>
          <w:rFonts w:ascii="Calibri"/>
          <w:sz w:val="32"/>
        </w:rPr>
        <w:t>1504, 1507, 1594, 1595, 1747, 1762, 1780</w:t>
      </w:r>
    </w:p>
    <w:p>
      <w:pPr>
        <w:pStyle w:val="BodyText"/>
        <w:rPr>
          <w:rFonts w:ascii="Calibri"/>
          <w:sz w:val="32"/>
        </w:rPr>
      </w:pPr>
    </w:p>
    <w:p>
      <w:pPr>
        <w:pStyle w:val="BodyText"/>
        <w:rPr>
          <w:rFonts w:ascii="Calibri"/>
          <w:sz w:val="32"/>
        </w:rPr>
      </w:pPr>
    </w:p>
    <w:p>
      <w:pPr>
        <w:pStyle w:val="BodyText"/>
        <w:rPr>
          <w:rFonts w:ascii="Calibri"/>
          <w:sz w:val="32"/>
        </w:rPr>
      </w:pPr>
    </w:p>
    <w:p>
      <w:pPr>
        <w:pStyle w:val="BodyText"/>
        <w:rPr>
          <w:rFonts w:ascii="Calibri"/>
          <w:sz w:val="32"/>
        </w:rPr>
      </w:pPr>
    </w:p>
    <w:p>
      <w:pPr>
        <w:pStyle w:val="BodyText"/>
        <w:rPr>
          <w:rFonts w:ascii="Calibri"/>
          <w:sz w:val="32"/>
        </w:rPr>
      </w:pPr>
    </w:p>
    <w:p>
      <w:pPr>
        <w:pStyle w:val="BodyText"/>
        <w:spacing w:before="4"/>
        <w:rPr>
          <w:rFonts w:ascii="Calibri"/>
          <w:sz w:val="28"/>
        </w:rPr>
      </w:pPr>
    </w:p>
    <w:p>
      <w:pPr>
        <w:spacing w:before="1"/>
        <w:ind w:left="616" w:right="0" w:firstLine="0"/>
        <w:jc w:val="left"/>
        <w:rPr>
          <w:rFonts w:ascii="Cambria"/>
          <w:b/>
          <w:sz w:val="36"/>
        </w:rPr>
      </w:pPr>
      <w:r>
        <w:rPr>
          <w:rFonts w:ascii="Cambria"/>
          <w:b/>
          <w:color w:val="0000FF"/>
          <w:sz w:val="36"/>
          <w:u w:val="thick" w:color="0000FF"/>
        </w:rPr>
        <w:t>Affiliate program</w:t>
      </w:r>
    </w:p>
    <w:p>
      <w:pPr>
        <w:spacing w:line="278" w:lineRule="auto" w:before="300"/>
        <w:ind w:left="616" w:right="0" w:firstLine="0"/>
        <w:jc w:val="left"/>
        <w:rPr>
          <w:rFonts w:ascii="Calibri"/>
          <w:sz w:val="28"/>
        </w:rPr>
      </w:pPr>
      <w:r>
        <w:rPr>
          <w:sz w:val="38"/>
        </w:rPr>
        <w:t>help</w:t>
      </w:r>
      <w:r>
        <w:rPr>
          <w:spacing w:val="-17"/>
          <w:sz w:val="38"/>
        </w:rPr>
        <w:t> </w:t>
      </w:r>
      <w:r>
        <w:rPr>
          <w:sz w:val="38"/>
        </w:rPr>
        <w:t>us</w:t>
      </w:r>
      <w:r>
        <w:rPr>
          <w:spacing w:val="-20"/>
          <w:sz w:val="38"/>
        </w:rPr>
        <w:t> </w:t>
      </w:r>
      <w:r>
        <w:rPr>
          <w:sz w:val="38"/>
        </w:rPr>
        <w:t>promote</w:t>
      </w:r>
      <w:r>
        <w:rPr>
          <w:spacing w:val="-19"/>
          <w:sz w:val="38"/>
        </w:rPr>
        <w:t> </w:t>
      </w:r>
      <w:r>
        <w:rPr>
          <w:sz w:val="38"/>
        </w:rPr>
        <w:t>our</w:t>
      </w:r>
      <w:r>
        <w:rPr>
          <w:spacing w:val="-16"/>
          <w:sz w:val="38"/>
        </w:rPr>
        <w:t> </w:t>
      </w:r>
      <w:r>
        <w:rPr>
          <w:sz w:val="38"/>
        </w:rPr>
        <w:t>for</w:t>
      </w:r>
      <w:r>
        <w:rPr>
          <w:spacing w:val="-17"/>
          <w:sz w:val="38"/>
        </w:rPr>
        <w:t> </w:t>
      </w:r>
      <w:r>
        <w:rPr>
          <w:sz w:val="38"/>
        </w:rPr>
        <w:t>every</w:t>
      </w:r>
      <w:r>
        <w:rPr>
          <w:spacing w:val="-19"/>
          <w:sz w:val="38"/>
        </w:rPr>
        <w:t> </w:t>
      </w:r>
      <w:r>
        <w:rPr>
          <w:sz w:val="38"/>
        </w:rPr>
        <w:t>human</w:t>
      </w:r>
      <w:r>
        <w:rPr>
          <w:spacing w:val="-16"/>
          <w:sz w:val="38"/>
        </w:rPr>
        <w:t> </w:t>
      </w:r>
      <w:r>
        <w:rPr>
          <w:sz w:val="38"/>
        </w:rPr>
        <w:t>important</w:t>
      </w:r>
      <w:r>
        <w:rPr>
          <w:spacing w:val="-18"/>
          <w:sz w:val="38"/>
        </w:rPr>
        <w:t> </w:t>
      </w:r>
      <w:r>
        <w:rPr>
          <w:sz w:val="38"/>
        </w:rPr>
        <w:t>books,</w:t>
      </w:r>
      <w:r>
        <w:rPr>
          <w:spacing w:val="-19"/>
          <w:sz w:val="38"/>
        </w:rPr>
        <w:t> </w:t>
      </w:r>
      <w:r>
        <w:rPr>
          <w:sz w:val="38"/>
        </w:rPr>
        <w:t>and</w:t>
      </w:r>
      <w:r>
        <w:rPr>
          <w:spacing w:val="-16"/>
          <w:sz w:val="38"/>
        </w:rPr>
        <w:t> </w:t>
      </w:r>
      <w:r>
        <w:rPr>
          <w:sz w:val="38"/>
        </w:rPr>
        <w:t>make</w:t>
      </w:r>
      <w:r>
        <w:rPr>
          <w:spacing w:val="-16"/>
          <w:sz w:val="38"/>
        </w:rPr>
        <w:t> </w:t>
      </w:r>
      <w:r>
        <w:rPr>
          <w:sz w:val="38"/>
        </w:rPr>
        <w:t>money.</w:t>
      </w:r>
      <w:r>
        <w:rPr>
          <w:spacing w:val="-18"/>
          <w:sz w:val="38"/>
        </w:rPr>
        <w:t> </w:t>
      </w:r>
      <w:r>
        <w:rPr>
          <w:sz w:val="38"/>
        </w:rPr>
        <w:t>Fur- ther information:</w:t>
      </w:r>
      <w:r>
        <w:rPr>
          <w:spacing w:val="4"/>
          <w:sz w:val="38"/>
        </w:rPr>
        <w:t> </w:t>
      </w:r>
      <w:hyperlink r:id="rId510">
        <w:r>
          <w:rPr>
            <w:rFonts w:ascii="Calibri"/>
            <w:color w:val="0462C1"/>
            <w:sz w:val="28"/>
            <w:u w:val="single" w:color="0462C1"/>
          </w:rPr>
          <w:t>http://affiliate.vitaminum.com/</w:t>
        </w:r>
      </w:hyperlink>
    </w:p>
    <w:sectPr>
      <w:footerReference w:type="default" r:id="rId509"/>
      <w:pgSz w:w="14270" w:h="16850"/>
      <w:pgMar w:footer="1891" w:header="0" w:top="1360" w:bottom="2080" w:left="800" w:right="1280"/>
      <w:pgNumType w:start="19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Garamond">
    <w:altName w:val="Garamond"/>
    <w:charset w:val="0"/>
    <w:family w:val="roman"/>
    <w:pitch w:val="variable"/>
  </w:font>
  <w:font w:name="Calibri">
    <w:altName w:val="Calibri"/>
    <w:charset w:val="0"/>
    <w:family w:val="swiss"/>
    <w:pitch w:val="variable"/>
  </w:font>
  <w:font w:name="Cambria">
    <w:altName w:val="Cambria"/>
    <w:charset w:val="0"/>
    <w:family w:val="roman"/>
    <w:pitch w:val="variable"/>
  </w:font>
  <w:font w:name="Courier New">
    <w:altName w:val="Courier New"/>
    <w:charset w:val="0"/>
    <w:family w:val="modern"/>
    <w:pitch w:val="fixed"/>
  </w:font>
  <w:font w:name="Symbol">
    <w:altName w:val="Symbol"/>
    <w:charset w:val="2"/>
    <w:family w:val="roman"/>
    <w:pitch w:val="variable"/>
  </w:font>
  <w:font w:name="Cambria Math">
    <w:altName w:val="Cambria Math"/>
    <w:charset w:val="0"/>
    <w:family w:val="roman"/>
    <w:pitch w:val="variable"/>
  </w:font>
  <w:font w:name="Arial Narrow">
    <w:altName w:val="Arial Narrow"/>
    <w:charset w:val="0"/>
    <w:family w:val="swiss"/>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6.659973pt;margin-top:805.656006pt;width:2.4pt;height:36.3pt;mso-position-horizontal-relative:page;mso-position-vertical-relative:page;z-index:-1268704" coordorigin="10533,16113" coordsize="48,726">
          <v:line style="position:absolute" from="10576,16113" to="10576,16838" stroked="true" strokeweight=".48004pt" strokecolor="#e22c91">
            <v:stroke dashstyle="solid"/>
          </v:line>
          <v:line style="position:absolute" from="10557,16113" to="10557,16838" stroked="true" strokeweight=".47998pt" strokecolor="#e22c91">
            <v:stroke dashstyle="solid"/>
          </v:line>
          <v:line style="position:absolute" from="10538,16113" to="10538,16838" stroked="true" strokeweight=".47998pt" strokecolor="#e22c91">
            <v:stroke dashstyle="solid"/>
          </v:line>
          <w10:wrap type="none"/>
        </v:group>
      </w:pict>
    </w:r>
    <w:r>
      <w:rPr/>
      <w:drawing>
        <wp:anchor distT="0" distB="0" distL="0" distR="0" allowOverlap="1" layoutInCell="1" locked="0" behindDoc="1" simplePos="0" relativeHeight="267166775">
          <wp:simplePos x="0" y="0"/>
          <wp:positionH relativeFrom="page">
            <wp:posOffset>985998</wp:posOffset>
          </wp:positionH>
          <wp:positionV relativeFrom="page">
            <wp:posOffset>9187002</wp:posOffset>
          </wp:positionV>
          <wp:extent cx="6379583" cy="902334"/>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531.380005pt;margin-top:806.815979pt;width:15.3pt;height:13.05pt;mso-position-horizontal-relative:page;mso-position-vertical-relative:page;z-index:-12686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8128"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67351">
          <wp:simplePos x="0" y="0"/>
          <wp:positionH relativeFrom="page">
            <wp:posOffset>896463</wp:posOffset>
          </wp:positionH>
          <wp:positionV relativeFrom="page">
            <wp:posOffset>9315373</wp:posOffset>
          </wp:positionV>
          <wp:extent cx="6379583" cy="902334"/>
          <wp:effectExtent l="0" t="0" r="0" b="0"/>
          <wp:wrapNone/>
          <wp:docPr id="23" name="image2.jpeg" descr=""/>
          <wp:cNvGraphicFramePr>
            <a:graphicFrameLocks noChangeAspect="1"/>
          </wp:cNvGraphicFramePr>
          <a:graphic>
            <a:graphicData uri="http://schemas.openxmlformats.org/drawingml/2006/picture">
              <pic:pic>
                <pic:nvPicPr>
                  <pic:cNvPr id="2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80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130</w:t>
                </w:r>
                <w:r>
                  <w:rPr/>
                  <w:fldChar w:fldCharType="end"/>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2296"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pict>
        <v:shape style="position:absolute;margin-left:530.580017pt;margin-top:806.839966pt;width:18.75pt;height:13.05pt;mso-position-horizontal-relative:page;mso-position-vertical-relative:page;z-index:-1262272" type="#_x0000_t202" filled="false" stroked="false">
          <v:textbox inset="0,0,0,0">
            <w:txbxContent>
              <w:p>
                <w:pPr>
                  <w:spacing w:line="245" w:lineRule="exact" w:before="0"/>
                  <w:ind w:left="20" w:right="0" w:firstLine="0"/>
                  <w:jc w:val="left"/>
                  <w:rPr>
                    <w:rFonts w:ascii="Calibri"/>
                    <w:sz w:val="22"/>
                  </w:rPr>
                </w:pPr>
                <w:r>
                  <w:rPr>
                    <w:rFonts w:ascii="Calibri"/>
                    <w:sz w:val="22"/>
                  </w:rPr>
                  <w:t>529</w:t>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2248"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3231">
          <wp:simplePos x="0" y="0"/>
          <wp:positionH relativeFrom="page">
            <wp:posOffset>896463</wp:posOffset>
          </wp:positionH>
          <wp:positionV relativeFrom="page">
            <wp:posOffset>9315373</wp:posOffset>
          </wp:positionV>
          <wp:extent cx="6379583" cy="902334"/>
          <wp:effectExtent l="0" t="0" r="0" b="0"/>
          <wp:wrapNone/>
          <wp:docPr id="207" name="image2.jpeg" descr=""/>
          <wp:cNvGraphicFramePr>
            <a:graphicFrameLocks noChangeAspect="1"/>
          </wp:cNvGraphicFramePr>
          <a:graphic>
            <a:graphicData uri="http://schemas.openxmlformats.org/drawingml/2006/picture">
              <pic:pic>
                <pic:nvPicPr>
                  <pic:cNvPr id="20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22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530</w:t>
                </w:r>
                <w:r>
                  <w:rPr/>
                  <w:fldChar w:fldCharType="end"/>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2176"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pict>
        <v:shape style="position:absolute;margin-left:529.580017pt;margin-top:806.839966pt;width:20.75pt;height:13.05pt;mso-position-horizontal-relative:page;mso-position-vertical-relative:page;z-index:-12621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532</w:t>
                </w:r>
                <w:r>
                  <w:rPr/>
                  <w:fldChar w:fldCharType="end"/>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2128"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3351">
          <wp:simplePos x="0" y="0"/>
          <wp:positionH relativeFrom="page">
            <wp:posOffset>896463</wp:posOffset>
          </wp:positionH>
          <wp:positionV relativeFrom="page">
            <wp:posOffset>9315373</wp:posOffset>
          </wp:positionV>
          <wp:extent cx="6379583" cy="902334"/>
          <wp:effectExtent l="0" t="0" r="0" b="0"/>
          <wp:wrapNone/>
          <wp:docPr id="211" name="image2.jpeg" descr=""/>
          <wp:cNvGraphicFramePr>
            <a:graphicFrameLocks noChangeAspect="1"/>
          </wp:cNvGraphicFramePr>
          <a:graphic>
            <a:graphicData uri="http://schemas.openxmlformats.org/drawingml/2006/picture">
              <pic:pic>
                <pic:nvPicPr>
                  <pic:cNvPr id="212"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20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533</w:t>
                </w:r>
                <w:r>
                  <w:rPr/>
                  <w:fldChar w:fldCharType="end"/>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2056"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3423">
          <wp:simplePos x="0" y="0"/>
          <wp:positionH relativeFrom="page">
            <wp:posOffset>896463</wp:posOffset>
          </wp:positionH>
          <wp:positionV relativeFrom="page">
            <wp:posOffset>9315373</wp:posOffset>
          </wp:positionV>
          <wp:extent cx="6379583" cy="902334"/>
          <wp:effectExtent l="0" t="0" r="0" b="0"/>
          <wp:wrapNone/>
          <wp:docPr id="213" name="image2.jpeg" descr=""/>
          <wp:cNvGraphicFramePr>
            <a:graphicFrameLocks noChangeAspect="1"/>
          </wp:cNvGraphicFramePr>
          <a:graphic>
            <a:graphicData uri="http://schemas.openxmlformats.org/drawingml/2006/picture">
              <pic:pic>
                <pic:nvPicPr>
                  <pic:cNvPr id="21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20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540</w:t>
                </w:r>
                <w:r>
                  <w:rPr/>
                  <w:fldChar w:fldCharType="end"/>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1984"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3495">
          <wp:simplePos x="0" y="0"/>
          <wp:positionH relativeFrom="page">
            <wp:posOffset>896463</wp:posOffset>
          </wp:positionH>
          <wp:positionV relativeFrom="page">
            <wp:posOffset>9315373</wp:posOffset>
          </wp:positionV>
          <wp:extent cx="6379583" cy="902334"/>
          <wp:effectExtent l="0" t="0" r="0" b="0"/>
          <wp:wrapNone/>
          <wp:docPr id="215" name="image2.jpeg" descr=""/>
          <wp:cNvGraphicFramePr>
            <a:graphicFrameLocks noChangeAspect="1"/>
          </wp:cNvGraphicFramePr>
          <a:graphic>
            <a:graphicData uri="http://schemas.openxmlformats.org/drawingml/2006/picture">
              <pic:pic>
                <pic:nvPicPr>
                  <pic:cNvPr id="216"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19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550</w:t>
                </w:r>
                <w:r>
                  <w:rPr/>
                  <w:fldChar w:fldCharType="end"/>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1912"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3567">
          <wp:simplePos x="0" y="0"/>
          <wp:positionH relativeFrom="page">
            <wp:posOffset>896463</wp:posOffset>
          </wp:positionH>
          <wp:positionV relativeFrom="page">
            <wp:posOffset>9315373</wp:posOffset>
          </wp:positionV>
          <wp:extent cx="6379583" cy="902334"/>
          <wp:effectExtent l="0" t="0" r="0" b="0"/>
          <wp:wrapNone/>
          <wp:docPr id="217" name="image2.jpeg" descr=""/>
          <wp:cNvGraphicFramePr>
            <a:graphicFrameLocks noChangeAspect="1"/>
          </wp:cNvGraphicFramePr>
          <a:graphic>
            <a:graphicData uri="http://schemas.openxmlformats.org/drawingml/2006/picture">
              <pic:pic>
                <pic:nvPicPr>
                  <pic:cNvPr id="21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8pt;height:13.05pt;mso-position-horizontal-relative:page;mso-position-vertical-relative:page;z-index:-12618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568</w:t>
                </w:r>
                <w:r>
                  <w:rPr/>
                  <w:fldChar w:fldCharType="end"/>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1840"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3639">
          <wp:simplePos x="0" y="0"/>
          <wp:positionH relativeFrom="page">
            <wp:posOffset>896463</wp:posOffset>
          </wp:positionH>
          <wp:positionV relativeFrom="page">
            <wp:posOffset>9315373</wp:posOffset>
          </wp:positionV>
          <wp:extent cx="6379583" cy="902334"/>
          <wp:effectExtent l="0" t="0" r="0" b="0"/>
          <wp:wrapNone/>
          <wp:docPr id="219" name="image2.jpeg" descr=""/>
          <wp:cNvGraphicFramePr>
            <a:graphicFrameLocks noChangeAspect="1"/>
          </wp:cNvGraphicFramePr>
          <a:graphic>
            <a:graphicData uri="http://schemas.openxmlformats.org/drawingml/2006/picture">
              <pic:pic>
                <pic:nvPicPr>
                  <pic:cNvPr id="22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17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575</w:t>
                </w:r>
                <w:r>
                  <w:rPr/>
                  <w:fldChar w:fldCharType="end"/>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1768"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3711">
          <wp:simplePos x="0" y="0"/>
          <wp:positionH relativeFrom="page">
            <wp:posOffset>896463</wp:posOffset>
          </wp:positionH>
          <wp:positionV relativeFrom="page">
            <wp:posOffset>9315373</wp:posOffset>
          </wp:positionV>
          <wp:extent cx="6379583" cy="902334"/>
          <wp:effectExtent l="0" t="0" r="0" b="0"/>
          <wp:wrapNone/>
          <wp:docPr id="221" name="image2.jpeg" descr=""/>
          <wp:cNvGraphicFramePr>
            <a:graphicFrameLocks noChangeAspect="1"/>
          </wp:cNvGraphicFramePr>
          <a:graphic>
            <a:graphicData uri="http://schemas.openxmlformats.org/drawingml/2006/picture">
              <pic:pic>
                <pic:nvPicPr>
                  <pic:cNvPr id="222"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17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580</w:t>
                </w:r>
                <w:r>
                  <w:rPr/>
                  <w:fldChar w:fldCharType="end"/>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1696"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pict>
        <v:shape style="position:absolute;margin-left:529.580017pt;margin-top:806.839966pt;width:20.75pt;height:13.05pt;mso-position-horizontal-relative:page;mso-position-vertical-relative:page;z-index:-12616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581</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8056"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67423">
          <wp:simplePos x="0" y="0"/>
          <wp:positionH relativeFrom="page">
            <wp:posOffset>896463</wp:posOffset>
          </wp:positionH>
          <wp:positionV relativeFrom="page">
            <wp:posOffset>9315373</wp:posOffset>
          </wp:positionV>
          <wp:extent cx="6379583" cy="902334"/>
          <wp:effectExtent l="0" t="0" r="0" b="0"/>
          <wp:wrapNone/>
          <wp:docPr id="25" name="image2.jpeg" descr=""/>
          <wp:cNvGraphicFramePr>
            <a:graphicFrameLocks noChangeAspect="1"/>
          </wp:cNvGraphicFramePr>
          <a:graphic>
            <a:graphicData uri="http://schemas.openxmlformats.org/drawingml/2006/picture">
              <pic:pic>
                <pic:nvPicPr>
                  <pic:cNvPr id="26"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80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140</w:t>
                </w:r>
                <w:r>
                  <w:rPr/>
                  <w:fldChar w:fldCharType="end"/>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1648"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3831">
          <wp:simplePos x="0" y="0"/>
          <wp:positionH relativeFrom="page">
            <wp:posOffset>896463</wp:posOffset>
          </wp:positionH>
          <wp:positionV relativeFrom="page">
            <wp:posOffset>9315373</wp:posOffset>
          </wp:positionV>
          <wp:extent cx="6379583" cy="902334"/>
          <wp:effectExtent l="0" t="0" r="0" b="0"/>
          <wp:wrapNone/>
          <wp:docPr id="225" name="image2.jpeg" descr=""/>
          <wp:cNvGraphicFramePr>
            <a:graphicFrameLocks noChangeAspect="1"/>
          </wp:cNvGraphicFramePr>
          <a:graphic>
            <a:graphicData uri="http://schemas.openxmlformats.org/drawingml/2006/picture">
              <pic:pic>
                <pic:nvPicPr>
                  <pic:cNvPr id="226"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16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582</w:t>
                </w:r>
                <w:r>
                  <w:rPr/>
                  <w:fldChar w:fldCharType="end"/>
                </w:r>
              </w:p>
            </w:txbxContent>
          </v:textbox>
          <w10:wrap type="non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1576"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3903">
          <wp:simplePos x="0" y="0"/>
          <wp:positionH relativeFrom="page">
            <wp:posOffset>896463</wp:posOffset>
          </wp:positionH>
          <wp:positionV relativeFrom="page">
            <wp:posOffset>9315373</wp:posOffset>
          </wp:positionV>
          <wp:extent cx="6379583" cy="902334"/>
          <wp:effectExtent l="0" t="0" r="0" b="0"/>
          <wp:wrapNone/>
          <wp:docPr id="227" name="image2.jpeg" descr=""/>
          <wp:cNvGraphicFramePr>
            <a:graphicFrameLocks noChangeAspect="1"/>
          </wp:cNvGraphicFramePr>
          <a:graphic>
            <a:graphicData uri="http://schemas.openxmlformats.org/drawingml/2006/picture">
              <pic:pic>
                <pic:nvPicPr>
                  <pic:cNvPr id="22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15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594</w:t>
                </w:r>
                <w:r>
                  <w:rPr/>
                  <w:fldChar w:fldCharType="end"/>
                </w:r>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1504"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3975">
          <wp:simplePos x="0" y="0"/>
          <wp:positionH relativeFrom="page">
            <wp:posOffset>896463</wp:posOffset>
          </wp:positionH>
          <wp:positionV relativeFrom="page">
            <wp:posOffset>9315373</wp:posOffset>
          </wp:positionV>
          <wp:extent cx="6379583" cy="902334"/>
          <wp:effectExtent l="0" t="0" r="0" b="0"/>
          <wp:wrapNone/>
          <wp:docPr id="229" name="image2.jpeg" descr=""/>
          <wp:cNvGraphicFramePr>
            <a:graphicFrameLocks noChangeAspect="1"/>
          </wp:cNvGraphicFramePr>
          <a:graphic>
            <a:graphicData uri="http://schemas.openxmlformats.org/drawingml/2006/picture">
              <pic:pic>
                <pic:nvPicPr>
                  <pic:cNvPr id="23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14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600</w:t>
                </w:r>
                <w:r>
                  <w:rPr/>
                  <w:fldChar w:fldCharType="end"/>
                </w:r>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1432"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pict>
        <v:shape style="position:absolute;margin-left:530.580017pt;margin-top:806.839966pt;width:18.75pt;height:13.05pt;mso-position-horizontal-relative:page;mso-position-vertical-relative:page;z-index:-1261408" type="#_x0000_t202" filled="false" stroked="false">
          <v:textbox inset="0,0,0,0">
            <w:txbxContent>
              <w:p>
                <w:pPr>
                  <w:spacing w:line="245" w:lineRule="exact" w:before="0"/>
                  <w:ind w:left="20" w:right="0" w:firstLine="0"/>
                  <w:jc w:val="left"/>
                  <w:rPr>
                    <w:rFonts w:ascii="Calibri"/>
                    <w:sz w:val="22"/>
                  </w:rPr>
                </w:pPr>
                <w:r>
                  <w:rPr>
                    <w:rFonts w:ascii="Calibri"/>
                    <w:sz w:val="22"/>
                  </w:rPr>
                  <w:t>606</w:t>
                </w:r>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1384"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4095">
          <wp:simplePos x="0" y="0"/>
          <wp:positionH relativeFrom="page">
            <wp:posOffset>896463</wp:posOffset>
          </wp:positionH>
          <wp:positionV relativeFrom="page">
            <wp:posOffset>8993123</wp:posOffset>
          </wp:positionV>
          <wp:extent cx="6379583" cy="902106"/>
          <wp:effectExtent l="0" t="0" r="0" b="0"/>
          <wp:wrapNone/>
          <wp:docPr id="233" name="image2.jpeg" descr=""/>
          <wp:cNvGraphicFramePr>
            <a:graphicFrameLocks noChangeAspect="1"/>
          </wp:cNvGraphicFramePr>
          <a:graphic>
            <a:graphicData uri="http://schemas.openxmlformats.org/drawingml/2006/picture">
              <pic:pic>
                <pic:nvPicPr>
                  <pic:cNvPr id="234" name="image2.jpeg"/>
                  <pic:cNvPicPr/>
                </pic:nvPicPr>
                <pic:blipFill>
                  <a:blip r:embed="rId1" cstate="print"/>
                  <a:stretch>
                    <a:fillRect/>
                  </a:stretch>
                </pic:blipFill>
                <pic:spPr>
                  <a:xfrm>
                    <a:off x="0" y="0"/>
                    <a:ext cx="6379583" cy="902106"/>
                  </a:xfrm>
                  <a:prstGeom prst="rect">
                    <a:avLst/>
                  </a:prstGeom>
                </pic:spPr>
              </pic:pic>
            </a:graphicData>
          </a:graphic>
        </wp:anchor>
      </w:drawing>
    </w:r>
    <w:r>
      <w:rPr/>
      <w:pict>
        <v:shape style="position:absolute;margin-left:530.580017pt;margin-top:806.839966pt;width:18.75pt;height:13.05pt;mso-position-horizontal-relative:page;mso-position-vertical-relative:page;z-index:-1261336" type="#_x0000_t202" filled="false" stroked="false">
          <v:textbox inset="0,0,0,0">
            <w:txbxContent>
              <w:p>
                <w:pPr>
                  <w:spacing w:line="245" w:lineRule="exact" w:before="0"/>
                  <w:ind w:left="20" w:right="0" w:firstLine="0"/>
                  <w:jc w:val="left"/>
                  <w:rPr>
                    <w:rFonts w:ascii="Calibri"/>
                    <w:sz w:val="22"/>
                  </w:rPr>
                </w:pPr>
                <w:r>
                  <w:rPr>
                    <w:rFonts w:ascii="Calibri"/>
                    <w:sz w:val="22"/>
                  </w:rPr>
                  <w:t>607</w:t>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1312"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4167">
          <wp:simplePos x="0" y="0"/>
          <wp:positionH relativeFrom="page">
            <wp:posOffset>896463</wp:posOffset>
          </wp:positionH>
          <wp:positionV relativeFrom="page">
            <wp:posOffset>8993123</wp:posOffset>
          </wp:positionV>
          <wp:extent cx="6379583" cy="902106"/>
          <wp:effectExtent l="0" t="0" r="0" b="0"/>
          <wp:wrapNone/>
          <wp:docPr id="235" name="image2.jpeg" descr=""/>
          <wp:cNvGraphicFramePr>
            <a:graphicFrameLocks noChangeAspect="1"/>
          </wp:cNvGraphicFramePr>
          <a:graphic>
            <a:graphicData uri="http://schemas.openxmlformats.org/drawingml/2006/picture">
              <pic:pic>
                <pic:nvPicPr>
                  <pic:cNvPr id="236" name="image2.jpeg"/>
                  <pic:cNvPicPr/>
                </pic:nvPicPr>
                <pic:blipFill>
                  <a:blip r:embed="rId1" cstate="print"/>
                  <a:stretch>
                    <a:fillRect/>
                  </a:stretch>
                </pic:blipFill>
                <pic:spPr>
                  <a:xfrm>
                    <a:off x="0" y="0"/>
                    <a:ext cx="6379583" cy="902106"/>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12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608</w:t>
                </w:r>
                <w:r>
                  <w:rPr/>
                  <w:fldChar w:fldCharType="end"/>
                </w:r>
              </w:p>
            </w:txbxContent>
          </v:textbox>
          <w10:wrap type="non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1240"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4239">
          <wp:simplePos x="0" y="0"/>
          <wp:positionH relativeFrom="page">
            <wp:posOffset>896463</wp:posOffset>
          </wp:positionH>
          <wp:positionV relativeFrom="page">
            <wp:posOffset>8993123</wp:posOffset>
          </wp:positionV>
          <wp:extent cx="6379583" cy="902106"/>
          <wp:effectExtent l="0" t="0" r="0" b="0"/>
          <wp:wrapNone/>
          <wp:docPr id="237" name="image2.jpeg" descr=""/>
          <wp:cNvGraphicFramePr>
            <a:graphicFrameLocks noChangeAspect="1"/>
          </wp:cNvGraphicFramePr>
          <a:graphic>
            <a:graphicData uri="http://schemas.openxmlformats.org/drawingml/2006/picture">
              <pic:pic>
                <pic:nvPicPr>
                  <pic:cNvPr id="238" name="image2.jpeg"/>
                  <pic:cNvPicPr/>
                </pic:nvPicPr>
                <pic:blipFill>
                  <a:blip r:embed="rId1" cstate="print"/>
                  <a:stretch>
                    <a:fillRect/>
                  </a:stretch>
                </pic:blipFill>
                <pic:spPr>
                  <a:xfrm>
                    <a:off x="0" y="0"/>
                    <a:ext cx="6379583" cy="902106"/>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11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610</w:t>
                </w:r>
                <w:r>
                  <w:rPr/>
                  <w:fldChar w:fldCharType="end"/>
                </w:r>
              </w:p>
            </w:txbxContent>
          </v:textbox>
          <w10:wrap type="non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1168"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4311">
          <wp:simplePos x="0" y="0"/>
          <wp:positionH relativeFrom="page">
            <wp:posOffset>896463</wp:posOffset>
          </wp:positionH>
          <wp:positionV relativeFrom="page">
            <wp:posOffset>9315373</wp:posOffset>
          </wp:positionV>
          <wp:extent cx="6379583" cy="902334"/>
          <wp:effectExtent l="0" t="0" r="0" b="0"/>
          <wp:wrapNone/>
          <wp:docPr id="239" name="image2.jpeg" descr=""/>
          <wp:cNvGraphicFramePr>
            <a:graphicFrameLocks noChangeAspect="1"/>
          </wp:cNvGraphicFramePr>
          <a:graphic>
            <a:graphicData uri="http://schemas.openxmlformats.org/drawingml/2006/picture">
              <pic:pic>
                <pic:nvPicPr>
                  <pic:cNvPr id="24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11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611</w:t>
                </w:r>
                <w:r>
                  <w:rPr/>
                  <w:fldChar w:fldCharType="end"/>
                </w:r>
              </w:p>
            </w:txbxContent>
          </v:textbox>
          <w10:wrap type="non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1096"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4383">
          <wp:simplePos x="0" y="0"/>
          <wp:positionH relativeFrom="page">
            <wp:posOffset>896463</wp:posOffset>
          </wp:positionH>
          <wp:positionV relativeFrom="page">
            <wp:posOffset>9315373</wp:posOffset>
          </wp:positionV>
          <wp:extent cx="6379583" cy="902334"/>
          <wp:effectExtent l="0" t="0" r="0" b="0"/>
          <wp:wrapNone/>
          <wp:docPr id="241" name="image2.jpeg" descr=""/>
          <wp:cNvGraphicFramePr>
            <a:graphicFrameLocks noChangeAspect="1"/>
          </wp:cNvGraphicFramePr>
          <a:graphic>
            <a:graphicData uri="http://schemas.openxmlformats.org/drawingml/2006/picture">
              <pic:pic>
                <pic:nvPicPr>
                  <pic:cNvPr id="242"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10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620</w:t>
                </w:r>
                <w:r>
                  <w:rPr/>
                  <w:fldChar w:fldCharType="end"/>
                </w:r>
              </w:p>
            </w:txbxContent>
          </v:textbox>
          <w10:wrap type="non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1024"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4455">
          <wp:simplePos x="0" y="0"/>
          <wp:positionH relativeFrom="page">
            <wp:posOffset>896463</wp:posOffset>
          </wp:positionH>
          <wp:positionV relativeFrom="page">
            <wp:posOffset>9315373</wp:posOffset>
          </wp:positionV>
          <wp:extent cx="6379583" cy="902334"/>
          <wp:effectExtent l="0" t="0" r="0" b="0"/>
          <wp:wrapNone/>
          <wp:docPr id="243" name="image2.jpeg" descr=""/>
          <wp:cNvGraphicFramePr>
            <a:graphicFrameLocks noChangeAspect="1"/>
          </wp:cNvGraphicFramePr>
          <a:graphic>
            <a:graphicData uri="http://schemas.openxmlformats.org/drawingml/2006/picture">
              <pic:pic>
                <pic:nvPicPr>
                  <pic:cNvPr id="24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09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630</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7984"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67495">
          <wp:simplePos x="0" y="0"/>
          <wp:positionH relativeFrom="page">
            <wp:posOffset>896463</wp:posOffset>
          </wp:positionH>
          <wp:positionV relativeFrom="page">
            <wp:posOffset>9315373</wp:posOffset>
          </wp:positionV>
          <wp:extent cx="6379583" cy="902334"/>
          <wp:effectExtent l="0" t="0" r="0" b="0"/>
          <wp:wrapNone/>
          <wp:docPr id="27" name="image2.jpeg" descr=""/>
          <wp:cNvGraphicFramePr>
            <a:graphicFrameLocks noChangeAspect="1"/>
          </wp:cNvGraphicFramePr>
          <a:graphic>
            <a:graphicData uri="http://schemas.openxmlformats.org/drawingml/2006/picture">
              <pic:pic>
                <pic:nvPicPr>
                  <pic:cNvPr id="2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79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150</w:t>
                </w:r>
                <w:r>
                  <w:rPr/>
                  <w:fldChar w:fldCharType="end"/>
                </w:r>
              </w:p>
            </w:txbxContent>
          </v:textbox>
          <w10:wrap type="non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0952"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4527">
          <wp:simplePos x="0" y="0"/>
          <wp:positionH relativeFrom="page">
            <wp:posOffset>896463</wp:posOffset>
          </wp:positionH>
          <wp:positionV relativeFrom="page">
            <wp:posOffset>9315373</wp:posOffset>
          </wp:positionV>
          <wp:extent cx="6379583" cy="902334"/>
          <wp:effectExtent l="0" t="0" r="0" b="0"/>
          <wp:wrapNone/>
          <wp:docPr id="245" name="image2.jpeg" descr=""/>
          <wp:cNvGraphicFramePr>
            <a:graphicFrameLocks noChangeAspect="1"/>
          </wp:cNvGraphicFramePr>
          <a:graphic>
            <a:graphicData uri="http://schemas.openxmlformats.org/drawingml/2006/picture">
              <pic:pic>
                <pic:nvPicPr>
                  <pic:cNvPr id="246"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09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640</w:t>
                </w:r>
                <w:r>
                  <w:rPr/>
                  <w:fldChar w:fldCharType="end"/>
                </w:r>
              </w:p>
            </w:txbxContent>
          </v:textbox>
          <w10:wrap type="non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0880"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4599">
          <wp:simplePos x="0" y="0"/>
          <wp:positionH relativeFrom="page">
            <wp:posOffset>896463</wp:posOffset>
          </wp:positionH>
          <wp:positionV relativeFrom="page">
            <wp:posOffset>9315373</wp:posOffset>
          </wp:positionV>
          <wp:extent cx="6379583" cy="902334"/>
          <wp:effectExtent l="0" t="0" r="0" b="0"/>
          <wp:wrapNone/>
          <wp:docPr id="247" name="image2.jpeg" descr=""/>
          <wp:cNvGraphicFramePr>
            <a:graphicFrameLocks noChangeAspect="1"/>
          </wp:cNvGraphicFramePr>
          <a:graphic>
            <a:graphicData uri="http://schemas.openxmlformats.org/drawingml/2006/picture">
              <pic:pic>
                <pic:nvPicPr>
                  <pic:cNvPr id="24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08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650</w:t>
                </w:r>
                <w:r>
                  <w:rPr/>
                  <w:fldChar w:fldCharType="end"/>
                </w:r>
              </w:p>
            </w:txbxContent>
          </v:textbox>
          <w10:wrap type="non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0808"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4671">
          <wp:simplePos x="0" y="0"/>
          <wp:positionH relativeFrom="page">
            <wp:posOffset>896463</wp:posOffset>
          </wp:positionH>
          <wp:positionV relativeFrom="page">
            <wp:posOffset>9315373</wp:posOffset>
          </wp:positionV>
          <wp:extent cx="6379583" cy="902334"/>
          <wp:effectExtent l="0" t="0" r="0" b="0"/>
          <wp:wrapNone/>
          <wp:docPr id="249" name="image2.jpeg" descr=""/>
          <wp:cNvGraphicFramePr>
            <a:graphicFrameLocks noChangeAspect="1"/>
          </wp:cNvGraphicFramePr>
          <a:graphic>
            <a:graphicData uri="http://schemas.openxmlformats.org/drawingml/2006/picture">
              <pic:pic>
                <pic:nvPicPr>
                  <pic:cNvPr id="25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07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660</w:t>
                </w:r>
                <w:r>
                  <w:rPr/>
                  <w:fldChar w:fldCharType="end"/>
                </w:r>
              </w:p>
            </w:txbxContent>
          </v:textbox>
          <w10:wrap type="non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0736"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4743">
          <wp:simplePos x="0" y="0"/>
          <wp:positionH relativeFrom="page">
            <wp:posOffset>896463</wp:posOffset>
          </wp:positionH>
          <wp:positionV relativeFrom="page">
            <wp:posOffset>9315373</wp:posOffset>
          </wp:positionV>
          <wp:extent cx="6379583" cy="902334"/>
          <wp:effectExtent l="0" t="0" r="0" b="0"/>
          <wp:wrapNone/>
          <wp:docPr id="251" name="image2.jpeg" descr=""/>
          <wp:cNvGraphicFramePr>
            <a:graphicFrameLocks noChangeAspect="1"/>
          </wp:cNvGraphicFramePr>
          <a:graphic>
            <a:graphicData uri="http://schemas.openxmlformats.org/drawingml/2006/picture">
              <pic:pic>
                <pic:nvPicPr>
                  <pic:cNvPr id="252"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06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670</w:t>
                </w:r>
                <w:r>
                  <w:rPr/>
                  <w:fldChar w:fldCharType="end"/>
                </w:r>
              </w:p>
            </w:txbxContent>
          </v:textbox>
          <w10:wrap type="non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0664"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pict>
        <v:shape style="position:absolute;margin-left:530.580017pt;margin-top:806.839966pt;width:18.75pt;height:13.05pt;mso-position-horizontal-relative:page;mso-position-vertical-relative:page;z-index:-1260640" type="#_x0000_t202" filled="false" stroked="false">
          <v:textbox inset="0,0,0,0">
            <w:txbxContent>
              <w:p>
                <w:pPr>
                  <w:spacing w:line="245" w:lineRule="exact" w:before="0"/>
                  <w:ind w:left="20" w:right="0" w:firstLine="0"/>
                  <w:jc w:val="left"/>
                  <w:rPr>
                    <w:rFonts w:ascii="Calibri"/>
                    <w:sz w:val="22"/>
                  </w:rPr>
                </w:pPr>
                <w:r>
                  <w:rPr>
                    <w:rFonts w:ascii="Calibri"/>
                    <w:sz w:val="22"/>
                  </w:rPr>
                  <w:t>680</w:t>
                </w:r>
              </w:p>
            </w:txbxContent>
          </v:textbox>
          <w10:wrap type="non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0616"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4863">
          <wp:simplePos x="0" y="0"/>
          <wp:positionH relativeFrom="page">
            <wp:posOffset>896463</wp:posOffset>
          </wp:positionH>
          <wp:positionV relativeFrom="page">
            <wp:posOffset>9315373</wp:posOffset>
          </wp:positionV>
          <wp:extent cx="6379583" cy="902334"/>
          <wp:effectExtent l="0" t="0" r="0" b="0"/>
          <wp:wrapNone/>
          <wp:docPr id="255" name="image2.jpeg" descr=""/>
          <wp:cNvGraphicFramePr>
            <a:graphicFrameLocks noChangeAspect="1"/>
          </wp:cNvGraphicFramePr>
          <a:graphic>
            <a:graphicData uri="http://schemas.openxmlformats.org/drawingml/2006/picture">
              <pic:pic>
                <pic:nvPicPr>
                  <pic:cNvPr id="256"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05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681</w:t>
                </w:r>
                <w:r>
                  <w:rPr/>
                  <w:fldChar w:fldCharType="end"/>
                </w:r>
              </w:p>
            </w:txbxContent>
          </v:textbox>
          <w10:wrap type="non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0544"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4935">
          <wp:simplePos x="0" y="0"/>
          <wp:positionH relativeFrom="page">
            <wp:posOffset>896463</wp:posOffset>
          </wp:positionH>
          <wp:positionV relativeFrom="page">
            <wp:posOffset>9315373</wp:posOffset>
          </wp:positionV>
          <wp:extent cx="6379583" cy="902334"/>
          <wp:effectExtent l="0" t="0" r="0" b="0"/>
          <wp:wrapNone/>
          <wp:docPr id="257" name="image2.jpeg" descr=""/>
          <wp:cNvGraphicFramePr>
            <a:graphicFrameLocks noChangeAspect="1"/>
          </wp:cNvGraphicFramePr>
          <a:graphic>
            <a:graphicData uri="http://schemas.openxmlformats.org/drawingml/2006/picture">
              <pic:pic>
                <pic:nvPicPr>
                  <pic:cNvPr id="25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04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690</w:t>
                </w:r>
                <w:r>
                  <w:rPr/>
                  <w:fldChar w:fldCharType="end"/>
                </w:r>
              </w:p>
            </w:txbxContent>
          </v:textbox>
          <w10:wrap type="non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0472"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5007">
          <wp:simplePos x="0" y="0"/>
          <wp:positionH relativeFrom="page">
            <wp:posOffset>896463</wp:posOffset>
          </wp:positionH>
          <wp:positionV relativeFrom="page">
            <wp:posOffset>9315373</wp:posOffset>
          </wp:positionV>
          <wp:extent cx="6379583" cy="902334"/>
          <wp:effectExtent l="0" t="0" r="0" b="0"/>
          <wp:wrapNone/>
          <wp:docPr id="259" name="image2.jpeg" descr=""/>
          <wp:cNvGraphicFramePr>
            <a:graphicFrameLocks noChangeAspect="1"/>
          </wp:cNvGraphicFramePr>
          <a:graphic>
            <a:graphicData uri="http://schemas.openxmlformats.org/drawingml/2006/picture">
              <pic:pic>
                <pic:nvPicPr>
                  <pic:cNvPr id="26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04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700</w:t>
                </w:r>
                <w:r>
                  <w:rPr/>
                  <w:fldChar w:fldCharType="end"/>
                </w:r>
              </w:p>
            </w:txbxContent>
          </v:textbox>
          <w10:wrap type="non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0400"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5079">
          <wp:simplePos x="0" y="0"/>
          <wp:positionH relativeFrom="page">
            <wp:posOffset>896463</wp:posOffset>
          </wp:positionH>
          <wp:positionV relativeFrom="page">
            <wp:posOffset>9315373</wp:posOffset>
          </wp:positionV>
          <wp:extent cx="6379583" cy="902334"/>
          <wp:effectExtent l="0" t="0" r="0" b="0"/>
          <wp:wrapNone/>
          <wp:docPr id="261" name="image2.jpeg" descr=""/>
          <wp:cNvGraphicFramePr>
            <a:graphicFrameLocks noChangeAspect="1"/>
          </wp:cNvGraphicFramePr>
          <a:graphic>
            <a:graphicData uri="http://schemas.openxmlformats.org/drawingml/2006/picture">
              <pic:pic>
                <pic:nvPicPr>
                  <pic:cNvPr id="262"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03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710</w:t>
                </w:r>
                <w:r>
                  <w:rPr/>
                  <w:fldChar w:fldCharType="end"/>
                </w:r>
              </w:p>
            </w:txbxContent>
          </v:textbox>
          <w10:wrap type="non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0328"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5151">
          <wp:simplePos x="0" y="0"/>
          <wp:positionH relativeFrom="page">
            <wp:posOffset>896463</wp:posOffset>
          </wp:positionH>
          <wp:positionV relativeFrom="page">
            <wp:posOffset>9315373</wp:posOffset>
          </wp:positionV>
          <wp:extent cx="6379583" cy="902334"/>
          <wp:effectExtent l="0" t="0" r="0" b="0"/>
          <wp:wrapNone/>
          <wp:docPr id="263" name="image2.jpeg" descr=""/>
          <wp:cNvGraphicFramePr>
            <a:graphicFrameLocks noChangeAspect="1"/>
          </wp:cNvGraphicFramePr>
          <a:graphic>
            <a:graphicData uri="http://schemas.openxmlformats.org/drawingml/2006/picture">
              <pic:pic>
                <pic:nvPicPr>
                  <pic:cNvPr id="26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02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720</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7912"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67567">
          <wp:simplePos x="0" y="0"/>
          <wp:positionH relativeFrom="page">
            <wp:posOffset>896463</wp:posOffset>
          </wp:positionH>
          <wp:positionV relativeFrom="page">
            <wp:posOffset>9315373</wp:posOffset>
          </wp:positionV>
          <wp:extent cx="6379583" cy="902334"/>
          <wp:effectExtent l="0" t="0" r="0" b="0"/>
          <wp:wrapNone/>
          <wp:docPr id="29" name="image2.jpeg" descr=""/>
          <wp:cNvGraphicFramePr>
            <a:graphicFrameLocks noChangeAspect="1"/>
          </wp:cNvGraphicFramePr>
          <a:graphic>
            <a:graphicData uri="http://schemas.openxmlformats.org/drawingml/2006/picture">
              <pic:pic>
                <pic:nvPicPr>
                  <pic:cNvPr id="3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78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160</w:t>
                </w:r>
                <w:r>
                  <w:rPr/>
                  <w:fldChar w:fldCharType="end"/>
                </w:r>
              </w:p>
            </w:txbxContent>
          </v:textbox>
          <w10:wrap type="non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0256"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5223">
          <wp:simplePos x="0" y="0"/>
          <wp:positionH relativeFrom="page">
            <wp:posOffset>896463</wp:posOffset>
          </wp:positionH>
          <wp:positionV relativeFrom="page">
            <wp:posOffset>9315373</wp:posOffset>
          </wp:positionV>
          <wp:extent cx="6379583" cy="902334"/>
          <wp:effectExtent l="0" t="0" r="0" b="0"/>
          <wp:wrapNone/>
          <wp:docPr id="265" name="image2.jpeg" descr=""/>
          <wp:cNvGraphicFramePr>
            <a:graphicFrameLocks noChangeAspect="1"/>
          </wp:cNvGraphicFramePr>
          <a:graphic>
            <a:graphicData uri="http://schemas.openxmlformats.org/drawingml/2006/picture">
              <pic:pic>
                <pic:nvPicPr>
                  <pic:cNvPr id="266"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02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730</w:t>
                </w:r>
                <w:r>
                  <w:rPr/>
                  <w:fldChar w:fldCharType="end"/>
                </w:r>
              </w:p>
            </w:txbxContent>
          </v:textbox>
          <w10:wrap type="non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0184"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5295">
          <wp:simplePos x="0" y="0"/>
          <wp:positionH relativeFrom="page">
            <wp:posOffset>896463</wp:posOffset>
          </wp:positionH>
          <wp:positionV relativeFrom="page">
            <wp:posOffset>9315373</wp:posOffset>
          </wp:positionV>
          <wp:extent cx="6379583" cy="902334"/>
          <wp:effectExtent l="0" t="0" r="0" b="0"/>
          <wp:wrapNone/>
          <wp:docPr id="267" name="image2.jpeg" descr=""/>
          <wp:cNvGraphicFramePr>
            <a:graphicFrameLocks noChangeAspect="1"/>
          </wp:cNvGraphicFramePr>
          <a:graphic>
            <a:graphicData uri="http://schemas.openxmlformats.org/drawingml/2006/picture">
              <pic:pic>
                <pic:nvPicPr>
                  <pic:cNvPr id="26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01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740</w:t>
                </w:r>
                <w:r>
                  <w:rPr/>
                  <w:fldChar w:fldCharType="end"/>
                </w:r>
              </w:p>
            </w:txbxContent>
          </v:textbox>
          <w10:wrap type="non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0112"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5367">
          <wp:simplePos x="0" y="0"/>
          <wp:positionH relativeFrom="page">
            <wp:posOffset>896463</wp:posOffset>
          </wp:positionH>
          <wp:positionV relativeFrom="page">
            <wp:posOffset>9315373</wp:posOffset>
          </wp:positionV>
          <wp:extent cx="6379583" cy="902334"/>
          <wp:effectExtent l="0" t="0" r="0" b="0"/>
          <wp:wrapNone/>
          <wp:docPr id="269" name="image2.jpeg" descr=""/>
          <wp:cNvGraphicFramePr>
            <a:graphicFrameLocks noChangeAspect="1"/>
          </wp:cNvGraphicFramePr>
          <a:graphic>
            <a:graphicData uri="http://schemas.openxmlformats.org/drawingml/2006/picture">
              <pic:pic>
                <pic:nvPicPr>
                  <pic:cNvPr id="27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00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750</w:t>
                </w:r>
                <w:r>
                  <w:rPr/>
                  <w:fldChar w:fldCharType="end"/>
                </w:r>
              </w:p>
            </w:txbxContent>
          </v:textbox>
          <w10:wrap type="non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0040"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5439">
          <wp:simplePos x="0" y="0"/>
          <wp:positionH relativeFrom="page">
            <wp:posOffset>896463</wp:posOffset>
          </wp:positionH>
          <wp:positionV relativeFrom="page">
            <wp:posOffset>9315373</wp:posOffset>
          </wp:positionV>
          <wp:extent cx="6379583" cy="902334"/>
          <wp:effectExtent l="0" t="0" r="0" b="0"/>
          <wp:wrapNone/>
          <wp:docPr id="271" name="image2.jpeg" descr=""/>
          <wp:cNvGraphicFramePr>
            <a:graphicFrameLocks noChangeAspect="1"/>
          </wp:cNvGraphicFramePr>
          <a:graphic>
            <a:graphicData uri="http://schemas.openxmlformats.org/drawingml/2006/picture">
              <pic:pic>
                <pic:nvPicPr>
                  <pic:cNvPr id="272"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599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760</w:t>
                </w:r>
                <w:r>
                  <w:rPr/>
                  <w:fldChar w:fldCharType="end"/>
                </w:r>
              </w:p>
            </w:txbxContent>
          </v:textbox>
          <w10:wrap type="non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59968"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5511">
          <wp:simplePos x="0" y="0"/>
          <wp:positionH relativeFrom="page">
            <wp:posOffset>896463</wp:posOffset>
          </wp:positionH>
          <wp:positionV relativeFrom="page">
            <wp:posOffset>9315373</wp:posOffset>
          </wp:positionV>
          <wp:extent cx="6379583" cy="902334"/>
          <wp:effectExtent l="0" t="0" r="0" b="0"/>
          <wp:wrapNone/>
          <wp:docPr id="273" name="image2.jpeg" descr=""/>
          <wp:cNvGraphicFramePr>
            <a:graphicFrameLocks noChangeAspect="1"/>
          </wp:cNvGraphicFramePr>
          <a:graphic>
            <a:graphicData uri="http://schemas.openxmlformats.org/drawingml/2006/picture">
              <pic:pic>
                <pic:nvPicPr>
                  <pic:cNvPr id="27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599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770</w:t>
                </w:r>
                <w:r>
                  <w:rPr/>
                  <w:fldChar w:fldCharType="end"/>
                </w:r>
              </w:p>
            </w:txbxContent>
          </v:textbox>
          <w10:wrap type="non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59896"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5583">
          <wp:simplePos x="0" y="0"/>
          <wp:positionH relativeFrom="page">
            <wp:posOffset>896463</wp:posOffset>
          </wp:positionH>
          <wp:positionV relativeFrom="page">
            <wp:posOffset>9315373</wp:posOffset>
          </wp:positionV>
          <wp:extent cx="6379583" cy="902334"/>
          <wp:effectExtent l="0" t="0" r="0" b="0"/>
          <wp:wrapNone/>
          <wp:docPr id="279" name="image2.jpeg" descr=""/>
          <wp:cNvGraphicFramePr>
            <a:graphicFrameLocks noChangeAspect="1"/>
          </wp:cNvGraphicFramePr>
          <a:graphic>
            <a:graphicData uri="http://schemas.openxmlformats.org/drawingml/2006/picture">
              <pic:pic>
                <pic:nvPicPr>
                  <pic:cNvPr id="28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598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780</w:t>
                </w:r>
                <w:r>
                  <w:rPr/>
                  <w:fldChar w:fldCharType="end"/>
                </w:r>
              </w:p>
            </w:txbxContent>
          </v:textbox>
          <w10:wrap type="non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59824"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5655">
          <wp:simplePos x="0" y="0"/>
          <wp:positionH relativeFrom="page">
            <wp:posOffset>896463</wp:posOffset>
          </wp:positionH>
          <wp:positionV relativeFrom="page">
            <wp:posOffset>9315373</wp:posOffset>
          </wp:positionV>
          <wp:extent cx="6379583" cy="902334"/>
          <wp:effectExtent l="0" t="0" r="0" b="0"/>
          <wp:wrapNone/>
          <wp:docPr id="281" name="image2.jpeg" descr=""/>
          <wp:cNvGraphicFramePr>
            <a:graphicFrameLocks noChangeAspect="1"/>
          </wp:cNvGraphicFramePr>
          <a:graphic>
            <a:graphicData uri="http://schemas.openxmlformats.org/drawingml/2006/picture">
              <pic:pic>
                <pic:nvPicPr>
                  <pic:cNvPr id="282"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597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790</w:t>
                </w:r>
                <w:r>
                  <w:rPr/>
                  <w:fldChar w:fldCharType="end"/>
                </w:r>
              </w:p>
            </w:txbxContent>
          </v:textbox>
          <w10:wrap type="non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59752"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pict>
        <v:shape style="position:absolute;margin-left:529.580017pt;margin-top:806.839966pt;width:20.75pt;height:13.05pt;mso-position-horizontal-relative:page;mso-position-vertical-relative:page;z-index:-12597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792</w:t>
                </w:r>
                <w:r>
                  <w:rPr/>
                  <w:fldChar w:fldCharType="end"/>
                </w:r>
              </w:p>
            </w:txbxContent>
          </v:textbox>
          <w10:wrap type="non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59704"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5775">
          <wp:simplePos x="0" y="0"/>
          <wp:positionH relativeFrom="page">
            <wp:posOffset>896463</wp:posOffset>
          </wp:positionH>
          <wp:positionV relativeFrom="page">
            <wp:posOffset>9315373</wp:posOffset>
          </wp:positionV>
          <wp:extent cx="6379583" cy="902334"/>
          <wp:effectExtent l="0" t="0" r="0" b="0"/>
          <wp:wrapNone/>
          <wp:docPr id="285" name="image2.jpeg" descr=""/>
          <wp:cNvGraphicFramePr>
            <a:graphicFrameLocks noChangeAspect="1"/>
          </wp:cNvGraphicFramePr>
          <a:graphic>
            <a:graphicData uri="http://schemas.openxmlformats.org/drawingml/2006/picture">
              <pic:pic>
                <pic:nvPicPr>
                  <pic:cNvPr id="286"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596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793</w:t>
                </w:r>
                <w:r>
                  <w:rPr/>
                  <w:fldChar w:fldCharType="end"/>
                </w:r>
              </w:p>
            </w:txbxContent>
          </v:textbox>
          <w10:wrap type="non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59632"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5847">
          <wp:simplePos x="0" y="0"/>
          <wp:positionH relativeFrom="page">
            <wp:posOffset>896463</wp:posOffset>
          </wp:positionH>
          <wp:positionV relativeFrom="page">
            <wp:posOffset>9315373</wp:posOffset>
          </wp:positionV>
          <wp:extent cx="6379583" cy="902334"/>
          <wp:effectExtent l="0" t="0" r="0" b="0"/>
          <wp:wrapNone/>
          <wp:docPr id="287" name="image2.jpeg" descr=""/>
          <wp:cNvGraphicFramePr>
            <a:graphicFrameLocks noChangeAspect="1"/>
          </wp:cNvGraphicFramePr>
          <a:graphic>
            <a:graphicData uri="http://schemas.openxmlformats.org/drawingml/2006/picture">
              <pic:pic>
                <pic:nvPicPr>
                  <pic:cNvPr id="28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595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800</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7840"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pict>
        <v:shape style="position:absolute;margin-left:529.580017pt;margin-top:806.839966pt;width:20.75pt;height:13.05pt;mso-position-horizontal-relative:page;mso-position-vertical-relative:page;z-index:-12678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164</w:t>
                </w:r>
                <w:r>
                  <w:rPr/>
                  <w:fldChar w:fldCharType="end"/>
                </w:r>
              </w:p>
            </w:txbxContent>
          </v:textbox>
          <w10:wrap type="non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59560"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pict>
        <v:shape style="position:absolute;margin-left:529.580017pt;margin-top:806.839966pt;width:20.75pt;height:13.05pt;mso-position-horizontal-relative:page;mso-position-vertical-relative:page;z-index:-12595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806</w:t>
                </w:r>
                <w:r>
                  <w:rPr/>
                  <w:fldChar w:fldCharType="end"/>
                </w:r>
              </w:p>
            </w:txbxContent>
          </v:textbox>
          <w10:wrap type="non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59512"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5967">
          <wp:simplePos x="0" y="0"/>
          <wp:positionH relativeFrom="page">
            <wp:posOffset>896463</wp:posOffset>
          </wp:positionH>
          <wp:positionV relativeFrom="page">
            <wp:posOffset>9315373</wp:posOffset>
          </wp:positionV>
          <wp:extent cx="6379583" cy="902334"/>
          <wp:effectExtent l="0" t="0" r="0" b="0"/>
          <wp:wrapNone/>
          <wp:docPr id="291" name="image2.jpeg" descr=""/>
          <wp:cNvGraphicFramePr>
            <a:graphicFrameLocks noChangeAspect="1"/>
          </wp:cNvGraphicFramePr>
          <a:graphic>
            <a:graphicData uri="http://schemas.openxmlformats.org/drawingml/2006/picture">
              <pic:pic>
                <pic:nvPicPr>
                  <pic:cNvPr id="292"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594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807</w:t>
                </w:r>
                <w:r>
                  <w:rPr/>
                  <w:fldChar w:fldCharType="end"/>
                </w:r>
              </w:p>
            </w:txbxContent>
          </v:textbox>
          <w10:wrap type="non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59440"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6039">
          <wp:simplePos x="0" y="0"/>
          <wp:positionH relativeFrom="page">
            <wp:posOffset>896463</wp:posOffset>
          </wp:positionH>
          <wp:positionV relativeFrom="page">
            <wp:posOffset>9315373</wp:posOffset>
          </wp:positionV>
          <wp:extent cx="6379583" cy="902334"/>
          <wp:effectExtent l="0" t="0" r="0" b="0"/>
          <wp:wrapNone/>
          <wp:docPr id="293" name="image2.jpeg" descr=""/>
          <wp:cNvGraphicFramePr>
            <a:graphicFrameLocks noChangeAspect="1"/>
          </wp:cNvGraphicFramePr>
          <a:graphic>
            <a:graphicData uri="http://schemas.openxmlformats.org/drawingml/2006/picture">
              <pic:pic>
                <pic:nvPicPr>
                  <pic:cNvPr id="29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593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810</w:t>
                </w:r>
                <w:r>
                  <w:rPr/>
                  <w:fldChar w:fldCharType="end"/>
                </w:r>
              </w:p>
            </w:txbxContent>
          </v:textbox>
          <w10:wrap type="non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59368"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6111">
          <wp:simplePos x="0" y="0"/>
          <wp:positionH relativeFrom="page">
            <wp:posOffset>896463</wp:posOffset>
          </wp:positionH>
          <wp:positionV relativeFrom="page">
            <wp:posOffset>9315373</wp:posOffset>
          </wp:positionV>
          <wp:extent cx="6379583" cy="902334"/>
          <wp:effectExtent l="0" t="0" r="0" b="0"/>
          <wp:wrapNone/>
          <wp:docPr id="295" name="image2.jpeg" descr=""/>
          <wp:cNvGraphicFramePr>
            <a:graphicFrameLocks noChangeAspect="1"/>
          </wp:cNvGraphicFramePr>
          <a:graphic>
            <a:graphicData uri="http://schemas.openxmlformats.org/drawingml/2006/picture">
              <pic:pic>
                <pic:nvPicPr>
                  <pic:cNvPr id="296"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8pt;height:13.05pt;mso-position-horizontal-relative:page;mso-position-vertical-relative:page;z-index:-12593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824</w:t>
                </w:r>
                <w:r>
                  <w:rPr/>
                  <w:fldChar w:fldCharType="end"/>
                </w:r>
              </w:p>
            </w:txbxContent>
          </v:textbox>
          <w10:wrap type="non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59296"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6183">
          <wp:simplePos x="0" y="0"/>
          <wp:positionH relativeFrom="page">
            <wp:posOffset>896463</wp:posOffset>
          </wp:positionH>
          <wp:positionV relativeFrom="page">
            <wp:posOffset>9315373</wp:posOffset>
          </wp:positionV>
          <wp:extent cx="6379583" cy="902334"/>
          <wp:effectExtent l="0" t="0" r="0" b="0"/>
          <wp:wrapNone/>
          <wp:docPr id="297" name="image2.jpeg" descr=""/>
          <wp:cNvGraphicFramePr>
            <a:graphicFrameLocks noChangeAspect="1"/>
          </wp:cNvGraphicFramePr>
          <a:graphic>
            <a:graphicData uri="http://schemas.openxmlformats.org/drawingml/2006/picture">
              <pic:pic>
                <pic:nvPicPr>
                  <pic:cNvPr id="29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592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830</w:t>
                </w:r>
                <w:r>
                  <w:rPr/>
                  <w:fldChar w:fldCharType="end"/>
                </w:r>
              </w:p>
            </w:txbxContent>
          </v:textbox>
          <w10:wrap type="non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59224"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6255">
          <wp:simplePos x="0" y="0"/>
          <wp:positionH relativeFrom="page">
            <wp:posOffset>896463</wp:posOffset>
          </wp:positionH>
          <wp:positionV relativeFrom="page">
            <wp:posOffset>9315373</wp:posOffset>
          </wp:positionV>
          <wp:extent cx="6379583" cy="902334"/>
          <wp:effectExtent l="0" t="0" r="0" b="0"/>
          <wp:wrapNone/>
          <wp:docPr id="299" name="image2.jpeg" descr=""/>
          <wp:cNvGraphicFramePr>
            <a:graphicFrameLocks noChangeAspect="1"/>
          </wp:cNvGraphicFramePr>
          <a:graphic>
            <a:graphicData uri="http://schemas.openxmlformats.org/drawingml/2006/picture">
              <pic:pic>
                <pic:nvPicPr>
                  <pic:cNvPr id="30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591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840</w:t>
                </w:r>
                <w:r>
                  <w:rPr/>
                  <w:fldChar w:fldCharType="end"/>
                </w:r>
              </w:p>
            </w:txbxContent>
          </v:textbox>
          <w10:wrap type="non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59152"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6327">
          <wp:simplePos x="0" y="0"/>
          <wp:positionH relativeFrom="page">
            <wp:posOffset>896463</wp:posOffset>
          </wp:positionH>
          <wp:positionV relativeFrom="page">
            <wp:posOffset>9315373</wp:posOffset>
          </wp:positionV>
          <wp:extent cx="6379583" cy="902334"/>
          <wp:effectExtent l="0" t="0" r="0" b="0"/>
          <wp:wrapNone/>
          <wp:docPr id="301" name="image2.jpeg" descr=""/>
          <wp:cNvGraphicFramePr>
            <a:graphicFrameLocks noChangeAspect="1"/>
          </wp:cNvGraphicFramePr>
          <a:graphic>
            <a:graphicData uri="http://schemas.openxmlformats.org/drawingml/2006/picture">
              <pic:pic>
                <pic:nvPicPr>
                  <pic:cNvPr id="302"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591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850</w:t>
                </w:r>
                <w:r>
                  <w:rPr/>
                  <w:fldChar w:fldCharType="end"/>
                </w:r>
              </w:p>
            </w:txbxContent>
          </v:textbox>
          <w10:wrap type="non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59080"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6399">
          <wp:simplePos x="0" y="0"/>
          <wp:positionH relativeFrom="page">
            <wp:posOffset>896463</wp:posOffset>
          </wp:positionH>
          <wp:positionV relativeFrom="page">
            <wp:posOffset>9315373</wp:posOffset>
          </wp:positionV>
          <wp:extent cx="6379583" cy="902334"/>
          <wp:effectExtent l="0" t="0" r="0" b="0"/>
          <wp:wrapNone/>
          <wp:docPr id="303" name="image2.jpeg" descr=""/>
          <wp:cNvGraphicFramePr>
            <a:graphicFrameLocks noChangeAspect="1"/>
          </wp:cNvGraphicFramePr>
          <a:graphic>
            <a:graphicData uri="http://schemas.openxmlformats.org/drawingml/2006/picture">
              <pic:pic>
                <pic:nvPicPr>
                  <pic:cNvPr id="30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590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860</w:t>
                </w:r>
                <w:r>
                  <w:rPr/>
                  <w:fldChar w:fldCharType="end"/>
                </w:r>
              </w:p>
            </w:txbxContent>
          </v:textbox>
          <w10:wrap type="non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59008"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6471">
          <wp:simplePos x="0" y="0"/>
          <wp:positionH relativeFrom="page">
            <wp:posOffset>896463</wp:posOffset>
          </wp:positionH>
          <wp:positionV relativeFrom="page">
            <wp:posOffset>9315373</wp:posOffset>
          </wp:positionV>
          <wp:extent cx="6379583" cy="902334"/>
          <wp:effectExtent l="0" t="0" r="0" b="0"/>
          <wp:wrapNone/>
          <wp:docPr id="305" name="image2.jpeg" descr=""/>
          <wp:cNvGraphicFramePr>
            <a:graphicFrameLocks noChangeAspect="1"/>
          </wp:cNvGraphicFramePr>
          <a:graphic>
            <a:graphicData uri="http://schemas.openxmlformats.org/drawingml/2006/picture">
              <pic:pic>
                <pic:nvPicPr>
                  <pic:cNvPr id="306"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589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875</w:t>
                </w:r>
                <w:r>
                  <w:rPr/>
                  <w:fldChar w:fldCharType="end"/>
                </w:r>
              </w:p>
            </w:txbxContent>
          </v:textbox>
          <w10:wrap type="non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58936"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6543">
          <wp:simplePos x="0" y="0"/>
          <wp:positionH relativeFrom="page">
            <wp:posOffset>896463</wp:posOffset>
          </wp:positionH>
          <wp:positionV relativeFrom="page">
            <wp:posOffset>9315373</wp:posOffset>
          </wp:positionV>
          <wp:extent cx="6379583" cy="902334"/>
          <wp:effectExtent l="0" t="0" r="0" b="0"/>
          <wp:wrapNone/>
          <wp:docPr id="307" name="image2.jpeg" descr=""/>
          <wp:cNvGraphicFramePr>
            <a:graphicFrameLocks noChangeAspect="1"/>
          </wp:cNvGraphicFramePr>
          <a:graphic>
            <a:graphicData uri="http://schemas.openxmlformats.org/drawingml/2006/picture">
              <pic:pic>
                <pic:nvPicPr>
                  <pic:cNvPr id="30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588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880</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7792"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67687">
          <wp:simplePos x="0" y="0"/>
          <wp:positionH relativeFrom="page">
            <wp:posOffset>896463</wp:posOffset>
          </wp:positionH>
          <wp:positionV relativeFrom="page">
            <wp:posOffset>9315373</wp:posOffset>
          </wp:positionV>
          <wp:extent cx="6379583" cy="902334"/>
          <wp:effectExtent l="0" t="0" r="0" b="0"/>
          <wp:wrapNone/>
          <wp:docPr id="33" name="image2.jpeg" descr=""/>
          <wp:cNvGraphicFramePr>
            <a:graphicFrameLocks noChangeAspect="1"/>
          </wp:cNvGraphicFramePr>
          <a:graphic>
            <a:graphicData uri="http://schemas.openxmlformats.org/drawingml/2006/picture">
              <pic:pic>
                <pic:nvPicPr>
                  <pic:cNvPr id="3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77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165</w:t>
                </w:r>
                <w:r>
                  <w:rPr/>
                  <w:fldChar w:fldCharType="end"/>
                </w:r>
              </w:p>
            </w:txbxContent>
          </v:textbox>
          <w10:wrap type="non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58864"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6615">
          <wp:simplePos x="0" y="0"/>
          <wp:positionH relativeFrom="page">
            <wp:posOffset>896463</wp:posOffset>
          </wp:positionH>
          <wp:positionV relativeFrom="page">
            <wp:posOffset>9315373</wp:posOffset>
          </wp:positionV>
          <wp:extent cx="6379583" cy="902334"/>
          <wp:effectExtent l="0" t="0" r="0" b="0"/>
          <wp:wrapNone/>
          <wp:docPr id="309" name="image2.jpeg" descr=""/>
          <wp:cNvGraphicFramePr>
            <a:graphicFrameLocks noChangeAspect="1"/>
          </wp:cNvGraphicFramePr>
          <a:graphic>
            <a:graphicData uri="http://schemas.openxmlformats.org/drawingml/2006/picture">
              <pic:pic>
                <pic:nvPicPr>
                  <pic:cNvPr id="31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588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890</w:t>
                </w:r>
                <w:r>
                  <w:rPr/>
                  <w:fldChar w:fldCharType="end"/>
                </w:r>
              </w:p>
            </w:txbxContent>
          </v:textbox>
          <w10:wrap type="non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58792"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6687">
          <wp:simplePos x="0" y="0"/>
          <wp:positionH relativeFrom="page">
            <wp:posOffset>896463</wp:posOffset>
          </wp:positionH>
          <wp:positionV relativeFrom="page">
            <wp:posOffset>8993123</wp:posOffset>
          </wp:positionV>
          <wp:extent cx="6379583" cy="902106"/>
          <wp:effectExtent l="0" t="0" r="0" b="0"/>
          <wp:wrapNone/>
          <wp:docPr id="311" name="image2.jpeg" descr=""/>
          <wp:cNvGraphicFramePr>
            <a:graphicFrameLocks noChangeAspect="1"/>
          </wp:cNvGraphicFramePr>
          <a:graphic>
            <a:graphicData uri="http://schemas.openxmlformats.org/drawingml/2006/picture">
              <pic:pic>
                <pic:nvPicPr>
                  <pic:cNvPr id="312" name="image2.jpeg"/>
                  <pic:cNvPicPr/>
                </pic:nvPicPr>
                <pic:blipFill>
                  <a:blip r:embed="rId1" cstate="print"/>
                  <a:stretch>
                    <a:fillRect/>
                  </a:stretch>
                </pic:blipFill>
                <pic:spPr>
                  <a:xfrm>
                    <a:off x="0" y="0"/>
                    <a:ext cx="6379583" cy="902106"/>
                  </a:xfrm>
                  <a:prstGeom prst="rect">
                    <a:avLst/>
                  </a:prstGeom>
                </pic:spPr>
              </pic:pic>
            </a:graphicData>
          </a:graphic>
        </wp:anchor>
      </w:drawing>
    </w:r>
    <w:r>
      <w:rPr/>
      <w:pict>
        <v:shape style="position:absolute;margin-left:529.580017pt;margin-top:806.839966pt;width:20.75pt;height:13.05pt;mso-position-horizontal-relative:page;mso-position-vertical-relative:page;z-index:-12587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898</w:t>
                </w:r>
                <w:r>
                  <w:rPr/>
                  <w:fldChar w:fldCharType="end"/>
                </w:r>
              </w:p>
            </w:txbxContent>
          </v:textbox>
          <w10:wrap type="non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58720"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6759">
          <wp:simplePos x="0" y="0"/>
          <wp:positionH relativeFrom="page">
            <wp:posOffset>896463</wp:posOffset>
          </wp:positionH>
          <wp:positionV relativeFrom="page">
            <wp:posOffset>9315373</wp:posOffset>
          </wp:positionV>
          <wp:extent cx="6379583" cy="902334"/>
          <wp:effectExtent l="0" t="0" r="0" b="0"/>
          <wp:wrapNone/>
          <wp:docPr id="313" name="image2.jpeg" descr=""/>
          <wp:cNvGraphicFramePr>
            <a:graphicFrameLocks noChangeAspect="1"/>
          </wp:cNvGraphicFramePr>
          <a:graphic>
            <a:graphicData uri="http://schemas.openxmlformats.org/drawingml/2006/picture">
              <pic:pic>
                <pic:nvPicPr>
                  <pic:cNvPr id="31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586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909</w:t>
                </w:r>
                <w:r>
                  <w:rPr/>
                  <w:fldChar w:fldCharType="end"/>
                </w:r>
              </w:p>
            </w:txbxContent>
          </v:textbox>
          <w10:wrap type="non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58648"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pict>
        <v:shape style="position:absolute;margin-left:530.580017pt;margin-top:806.839966pt;width:18.75pt;height:13.05pt;mso-position-horizontal-relative:page;mso-position-vertical-relative:page;z-index:-1258624" type="#_x0000_t202" filled="false" stroked="false">
          <v:textbox inset="0,0,0,0">
            <w:txbxContent>
              <w:p>
                <w:pPr>
                  <w:spacing w:line="245" w:lineRule="exact" w:before="0"/>
                  <w:ind w:left="20" w:right="0" w:firstLine="0"/>
                  <w:jc w:val="left"/>
                  <w:rPr>
                    <w:rFonts w:ascii="Calibri"/>
                    <w:sz w:val="22"/>
                  </w:rPr>
                </w:pPr>
                <w:r>
                  <w:rPr>
                    <w:rFonts w:ascii="Calibri"/>
                    <w:sz w:val="22"/>
                  </w:rPr>
                  <w:t>910</w:t>
                </w:r>
              </w:p>
            </w:txbxContent>
          </v:textbox>
          <w10:wrap type="non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58600"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6879">
          <wp:simplePos x="0" y="0"/>
          <wp:positionH relativeFrom="page">
            <wp:posOffset>896463</wp:posOffset>
          </wp:positionH>
          <wp:positionV relativeFrom="page">
            <wp:posOffset>8993123</wp:posOffset>
          </wp:positionV>
          <wp:extent cx="6379583" cy="902106"/>
          <wp:effectExtent l="0" t="0" r="0" b="0"/>
          <wp:wrapNone/>
          <wp:docPr id="317" name="image2.jpeg" descr=""/>
          <wp:cNvGraphicFramePr>
            <a:graphicFrameLocks noChangeAspect="1"/>
          </wp:cNvGraphicFramePr>
          <a:graphic>
            <a:graphicData uri="http://schemas.openxmlformats.org/drawingml/2006/picture">
              <pic:pic>
                <pic:nvPicPr>
                  <pic:cNvPr id="318" name="image2.jpeg"/>
                  <pic:cNvPicPr/>
                </pic:nvPicPr>
                <pic:blipFill>
                  <a:blip r:embed="rId1" cstate="print"/>
                  <a:stretch>
                    <a:fillRect/>
                  </a:stretch>
                </pic:blipFill>
                <pic:spPr>
                  <a:xfrm>
                    <a:off x="0" y="0"/>
                    <a:ext cx="6379583" cy="902106"/>
                  </a:xfrm>
                  <a:prstGeom prst="rect">
                    <a:avLst/>
                  </a:prstGeom>
                </pic:spPr>
              </pic:pic>
            </a:graphicData>
          </a:graphic>
        </wp:anchor>
      </w:drawing>
    </w:r>
    <w:r>
      <w:rPr/>
      <w:pict>
        <v:shape style="position:absolute;margin-left:62.863998pt;margin-top:716.636292pt;width:61.5pt;height:13.25pt;mso-position-horizontal-relative:page;mso-position-vertical-relative:page;z-index:-1258552" type="#_x0000_t202" filled="false" stroked="false">
          <v:textbox inset="0,0,0,0">
            <w:txbxContent>
              <w:p>
                <w:pPr>
                  <w:spacing w:before="19"/>
                  <w:ind w:left="20" w:right="0" w:firstLine="0"/>
                  <w:jc w:val="left"/>
                  <w:rPr>
                    <w:sz w:val="20"/>
                  </w:rPr>
                </w:pPr>
                <w:r>
                  <w:rPr>
                    <w:position w:val="5"/>
                    <w:sz w:val="13"/>
                  </w:rPr>
                  <w:t>486 </w:t>
                </w:r>
                <w:r>
                  <w:rPr>
                    <w:sz w:val="20"/>
                  </w:rPr>
                  <w:t>Arienti 1992</w:t>
                </w:r>
              </w:p>
            </w:txbxContent>
          </v:textbox>
          <w10:wrap type="none"/>
        </v:shape>
      </w:pict>
    </w:r>
    <w:r>
      <w:rPr/>
      <w:pict>
        <v:shape style="position:absolute;margin-left:530.580017pt;margin-top:806.839966pt;width:18.75pt;height:13.05pt;mso-position-horizontal-relative:page;mso-position-vertical-relative:page;z-index:-1258528" type="#_x0000_t202" filled="false" stroked="false">
          <v:textbox inset="0,0,0,0">
            <w:txbxContent>
              <w:p>
                <w:pPr>
                  <w:spacing w:line="245" w:lineRule="exact" w:before="0"/>
                  <w:ind w:left="20" w:right="0" w:firstLine="0"/>
                  <w:jc w:val="left"/>
                  <w:rPr>
                    <w:rFonts w:ascii="Calibri"/>
                    <w:sz w:val="22"/>
                  </w:rPr>
                </w:pPr>
                <w:r>
                  <w:rPr>
                    <w:rFonts w:ascii="Calibri"/>
                    <w:sz w:val="22"/>
                  </w:rPr>
                  <w:t>911</w:t>
                </w:r>
              </w:p>
            </w:txbxContent>
          </v:textbox>
          <w10:wrap type="non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58504"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6975">
          <wp:simplePos x="0" y="0"/>
          <wp:positionH relativeFrom="page">
            <wp:posOffset>896463</wp:posOffset>
          </wp:positionH>
          <wp:positionV relativeFrom="page">
            <wp:posOffset>8993123</wp:posOffset>
          </wp:positionV>
          <wp:extent cx="6379583" cy="902106"/>
          <wp:effectExtent l="0" t="0" r="0" b="0"/>
          <wp:wrapNone/>
          <wp:docPr id="319" name="image2.jpeg" descr=""/>
          <wp:cNvGraphicFramePr>
            <a:graphicFrameLocks noChangeAspect="1"/>
          </wp:cNvGraphicFramePr>
          <a:graphic>
            <a:graphicData uri="http://schemas.openxmlformats.org/drawingml/2006/picture">
              <pic:pic>
                <pic:nvPicPr>
                  <pic:cNvPr id="320" name="image2.jpeg"/>
                  <pic:cNvPicPr/>
                </pic:nvPicPr>
                <pic:blipFill>
                  <a:blip r:embed="rId1" cstate="print"/>
                  <a:stretch>
                    <a:fillRect/>
                  </a:stretch>
                </pic:blipFill>
                <pic:spPr>
                  <a:xfrm>
                    <a:off x="0" y="0"/>
                    <a:ext cx="6379583" cy="902106"/>
                  </a:xfrm>
                  <a:prstGeom prst="rect">
                    <a:avLst/>
                  </a:prstGeom>
                </pic:spPr>
              </pic:pic>
            </a:graphicData>
          </a:graphic>
        </wp:anchor>
      </w:drawing>
    </w:r>
    <w:r>
      <w:rPr/>
      <w:pict>
        <v:shape style="position:absolute;margin-left:530.580017pt;margin-top:806.839966pt;width:18.75pt;height:13.05pt;mso-position-horizontal-relative:page;mso-position-vertical-relative:page;z-index:-1258456" type="#_x0000_t202" filled="false" stroked="false">
          <v:textbox inset="0,0,0,0">
            <w:txbxContent>
              <w:p>
                <w:pPr>
                  <w:spacing w:line="245" w:lineRule="exact" w:before="0"/>
                  <w:ind w:left="20" w:right="0" w:firstLine="0"/>
                  <w:jc w:val="left"/>
                  <w:rPr>
                    <w:rFonts w:ascii="Calibri"/>
                    <w:sz w:val="22"/>
                  </w:rPr>
                </w:pPr>
                <w:r>
                  <w:rPr>
                    <w:rFonts w:ascii="Calibri"/>
                    <w:sz w:val="22"/>
                  </w:rPr>
                  <w:t>912</w:t>
                </w:r>
              </w:p>
            </w:txbxContent>
          </v:textbox>
          <w10:wrap type="non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58432"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pict>
        <v:shape style="position:absolute;margin-left:529.580017pt;margin-top:806.839966pt;width:20.75pt;height:13.05pt;mso-position-horizontal-relative:page;mso-position-vertical-relative:page;z-index:-12584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913</w:t>
                </w:r>
                <w:r>
                  <w:rPr/>
                  <w:fldChar w:fldCharType="end"/>
                </w:r>
              </w:p>
            </w:txbxContent>
          </v:textbox>
          <w10:wrap type="non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58384"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7095">
          <wp:simplePos x="0" y="0"/>
          <wp:positionH relativeFrom="page">
            <wp:posOffset>896463</wp:posOffset>
          </wp:positionH>
          <wp:positionV relativeFrom="page">
            <wp:posOffset>9315373</wp:posOffset>
          </wp:positionV>
          <wp:extent cx="6379583" cy="902334"/>
          <wp:effectExtent l="0" t="0" r="0" b="0"/>
          <wp:wrapNone/>
          <wp:docPr id="323" name="image2.jpeg" descr=""/>
          <wp:cNvGraphicFramePr>
            <a:graphicFrameLocks noChangeAspect="1"/>
          </wp:cNvGraphicFramePr>
          <a:graphic>
            <a:graphicData uri="http://schemas.openxmlformats.org/drawingml/2006/picture">
              <pic:pic>
                <pic:nvPicPr>
                  <pic:cNvPr id="32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583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914</w:t>
                </w:r>
                <w:r>
                  <w:rPr/>
                  <w:fldChar w:fldCharType="end"/>
                </w:r>
              </w:p>
            </w:txbxContent>
          </v:textbox>
          <w10:wrap type="non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58312"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7167">
          <wp:simplePos x="0" y="0"/>
          <wp:positionH relativeFrom="page">
            <wp:posOffset>896463</wp:posOffset>
          </wp:positionH>
          <wp:positionV relativeFrom="page">
            <wp:posOffset>9315373</wp:posOffset>
          </wp:positionV>
          <wp:extent cx="6379583" cy="902334"/>
          <wp:effectExtent l="0" t="0" r="0" b="0"/>
          <wp:wrapNone/>
          <wp:docPr id="325" name="image2.jpeg" descr=""/>
          <wp:cNvGraphicFramePr>
            <a:graphicFrameLocks noChangeAspect="1"/>
          </wp:cNvGraphicFramePr>
          <a:graphic>
            <a:graphicData uri="http://schemas.openxmlformats.org/drawingml/2006/picture">
              <pic:pic>
                <pic:nvPicPr>
                  <pic:cNvPr id="326"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582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920</w:t>
                </w:r>
                <w:r>
                  <w:rPr/>
                  <w:fldChar w:fldCharType="end"/>
                </w:r>
              </w:p>
            </w:txbxContent>
          </v:textbox>
          <w10:wrap type="non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58240"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7239">
          <wp:simplePos x="0" y="0"/>
          <wp:positionH relativeFrom="page">
            <wp:posOffset>896463</wp:posOffset>
          </wp:positionH>
          <wp:positionV relativeFrom="page">
            <wp:posOffset>9315373</wp:posOffset>
          </wp:positionV>
          <wp:extent cx="6379583" cy="902334"/>
          <wp:effectExtent l="0" t="0" r="0" b="0"/>
          <wp:wrapNone/>
          <wp:docPr id="327" name="image2.jpeg" descr=""/>
          <wp:cNvGraphicFramePr>
            <a:graphicFrameLocks noChangeAspect="1"/>
          </wp:cNvGraphicFramePr>
          <a:graphic>
            <a:graphicData uri="http://schemas.openxmlformats.org/drawingml/2006/picture">
              <pic:pic>
                <pic:nvPicPr>
                  <pic:cNvPr id="32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581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930</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7720"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pict>
        <v:shape style="position:absolute;margin-left:530.580017pt;margin-top:806.839966pt;width:18.75pt;height:13.05pt;mso-position-horizontal-relative:page;mso-position-vertical-relative:page;z-index:-1267696" type="#_x0000_t202" filled="false" stroked="false">
          <v:textbox inset="0,0,0,0">
            <w:txbxContent>
              <w:p>
                <w:pPr>
                  <w:spacing w:line="245" w:lineRule="exact" w:before="0"/>
                  <w:ind w:left="20" w:right="0" w:firstLine="0"/>
                  <w:jc w:val="left"/>
                  <w:rPr>
                    <w:rFonts w:ascii="Calibri"/>
                    <w:sz w:val="22"/>
                  </w:rPr>
                </w:pPr>
                <w:r>
                  <w:rPr>
                    <w:rFonts w:ascii="Calibri"/>
                    <w:sz w:val="22"/>
                  </w:rPr>
                  <w:t>168</w:t>
                </w:r>
              </w:p>
            </w:txbxContent>
          </v:textbox>
          <w10:wrap type="non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58168"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7311">
          <wp:simplePos x="0" y="0"/>
          <wp:positionH relativeFrom="page">
            <wp:posOffset>896463</wp:posOffset>
          </wp:positionH>
          <wp:positionV relativeFrom="page">
            <wp:posOffset>9315373</wp:posOffset>
          </wp:positionV>
          <wp:extent cx="6379583" cy="902334"/>
          <wp:effectExtent l="0" t="0" r="0" b="0"/>
          <wp:wrapNone/>
          <wp:docPr id="329" name="image2.jpeg" descr=""/>
          <wp:cNvGraphicFramePr>
            <a:graphicFrameLocks noChangeAspect="1"/>
          </wp:cNvGraphicFramePr>
          <a:graphic>
            <a:graphicData uri="http://schemas.openxmlformats.org/drawingml/2006/picture">
              <pic:pic>
                <pic:nvPicPr>
                  <pic:cNvPr id="33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581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940</w:t>
                </w:r>
                <w:r>
                  <w:rPr/>
                  <w:fldChar w:fldCharType="end"/>
                </w:r>
              </w:p>
            </w:txbxContent>
          </v:textbox>
          <w10:wrap type="non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58096"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pict>
        <v:shape style="position:absolute;margin-left:530.580017pt;margin-top:806.839966pt;width:18.75pt;height:13.05pt;mso-position-horizontal-relative:page;mso-position-vertical-relative:page;z-index:-1258072" type="#_x0000_t202" filled="false" stroked="false">
          <v:textbox inset="0,0,0,0">
            <w:txbxContent>
              <w:p>
                <w:pPr>
                  <w:spacing w:line="245" w:lineRule="exact" w:before="0"/>
                  <w:ind w:left="20" w:right="0" w:firstLine="0"/>
                  <w:jc w:val="left"/>
                  <w:rPr>
                    <w:rFonts w:ascii="Calibri"/>
                    <w:sz w:val="22"/>
                  </w:rPr>
                </w:pPr>
                <w:r>
                  <w:rPr>
                    <w:rFonts w:ascii="Calibri"/>
                    <w:sz w:val="22"/>
                  </w:rPr>
                  <w:t>948</w:t>
                </w:r>
              </w:p>
            </w:txbxContent>
          </v:textbox>
          <w10:wrap type="non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58048"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pict>
        <v:shape style="position:absolute;margin-left:529.580017pt;margin-top:806.839966pt;width:19.75pt;height:13.05pt;mso-position-horizontal-relative:page;mso-position-vertical-relative:page;z-index:-12580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94</w:t>
                </w:r>
                <w:r>
                  <w:rPr/>
                  <w:fldChar w:fldCharType="end"/>
                </w:r>
                <w:r>
                  <w:rPr>
                    <w:rFonts w:ascii="Calibri"/>
                    <w:sz w:val="22"/>
                  </w:rPr>
                  <w:t>9</w:t>
                </w:r>
              </w:p>
            </w:txbxContent>
          </v:textbox>
          <w10:wrap type="non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58000"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7479">
          <wp:simplePos x="0" y="0"/>
          <wp:positionH relativeFrom="page">
            <wp:posOffset>896463</wp:posOffset>
          </wp:positionH>
          <wp:positionV relativeFrom="page">
            <wp:posOffset>9315373</wp:posOffset>
          </wp:positionV>
          <wp:extent cx="6379583" cy="902334"/>
          <wp:effectExtent l="0" t="0" r="0" b="0"/>
          <wp:wrapNone/>
          <wp:docPr id="335" name="image2.jpeg" descr=""/>
          <wp:cNvGraphicFramePr>
            <a:graphicFrameLocks noChangeAspect="1"/>
          </wp:cNvGraphicFramePr>
          <a:graphic>
            <a:graphicData uri="http://schemas.openxmlformats.org/drawingml/2006/picture">
              <pic:pic>
                <pic:nvPicPr>
                  <pic:cNvPr id="336"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4.35pt;height:13.05pt;mso-position-horizontal-relative:page;mso-position-vertical-relative:page;z-index:-12579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950</w:t>
                </w:r>
                <w:r>
                  <w:rPr/>
                  <w:fldChar w:fldCharType="end"/>
                </w:r>
              </w:p>
            </w:txbxContent>
          </v:textbox>
          <w10:wrap type="non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7928"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77551">
          <wp:simplePos x="0" y="0"/>
          <wp:positionH relativeFrom="page">
            <wp:posOffset>985998</wp:posOffset>
          </wp:positionH>
          <wp:positionV relativeFrom="page">
            <wp:posOffset>9315373</wp:posOffset>
          </wp:positionV>
          <wp:extent cx="6379583" cy="902334"/>
          <wp:effectExtent l="0" t="0" r="0" b="0"/>
          <wp:wrapNone/>
          <wp:docPr id="337" name="image2.jpeg" descr=""/>
          <wp:cNvGraphicFramePr>
            <a:graphicFrameLocks noChangeAspect="1"/>
          </wp:cNvGraphicFramePr>
          <a:graphic>
            <a:graphicData uri="http://schemas.openxmlformats.org/drawingml/2006/picture">
              <pic:pic>
                <pic:nvPicPr>
                  <pic:cNvPr id="33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0.75pt;height:13.05pt;mso-position-horizontal-relative:page;mso-position-vertical-relative:page;z-index:-12578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960</w:t>
                </w:r>
                <w:r>
                  <w:rPr/>
                  <w:fldChar w:fldCharType="end"/>
                </w:r>
              </w:p>
            </w:txbxContent>
          </v:textbox>
          <w10:wrap type="non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7856"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77623">
          <wp:simplePos x="0" y="0"/>
          <wp:positionH relativeFrom="page">
            <wp:posOffset>985998</wp:posOffset>
          </wp:positionH>
          <wp:positionV relativeFrom="page">
            <wp:posOffset>9315373</wp:posOffset>
          </wp:positionV>
          <wp:extent cx="6379583" cy="902334"/>
          <wp:effectExtent l="0" t="0" r="0" b="0"/>
          <wp:wrapNone/>
          <wp:docPr id="339" name="image2.jpeg" descr=""/>
          <wp:cNvGraphicFramePr>
            <a:graphicFrameLocks noChangeAspect="1"/>
          </wp:cNvGraphicFramePr>
          <a:graphic>
            <a:graphicData uri="http://schemas.openxmlformats.org/drawingml/2006/picture">
              <pic:pic>
                <pic:nvPicPr>
                  <pic:cNvPr id="34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0.75pt;height:13.05pt;mso-position-horizontal-relative:page;mso-position-vertical-relative:page;z-index:-12578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970</w:t>
                </w:r>
                <w:r>
                  <w:rPr/>
                  <w:fldChar w:fldCharType="end"/>
                </w:r>
              </w:p>
            </w:txbxContent>
          </v:textbox>
          <w10:wrap type="non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7784"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77695">
          <wp:simplePos x="0" y="0"/>
          <wp:positionH relativeFrom="page">
            <wp:posOffset>985998</wp:posOffset>
          </wp:positionH>
          <wp:positionV relativeFrom="page">
            <wp:posOffset>8993123</wp:posOffset>
          </wp:positionV>
          <wp:extent cx="6379583" cy="902106"/>
          <wp:effectExtent l="0" t="0" r="0" b="0"/>
          <wp:wrapNone/>
          <wp:docPr id="341" name="image2.jpeg" descr=""/>
          <wp:cNvGraphicFramePr>
            <a:graphicFrameLocks noChangeAspect="1"/>
          </wp:cNvGraphicFramePr>
          <a:graphic>
            <a:graphicData uri="http://schemas.openxmlformats.org/drawingml/2006/picture">
              <pic:pic>
                <pic:nvPicPr>
                  <pic:cNvPr id="342" name="image2.jpeg"/>
                  <pic:cNvPicPr/>
                </pic:nvPicPr>
                <pic:blipFill>
                  <a:blip r:embed="rId1" cstate="print"/>
                  <a:stretch>
                    <a:fillRect/>
                  </a:stretch>
                </pic:blipFill>
                <pic:spPr>
                  <a:xfrm>
                    <a:off x="0" y="0"/>
                    <a:ext cx="6379583" cy="902106"/>
                  </a:xfrm>
                  <a:prstGeom prst="rect">
                    <a:avLst/>
                  </a:prstGeom>
                </pic:spPr>
              </pic:pic>
            </a:graphicData>
          </a:graphic>
        </wp:anchor>
      </w:drawing>
    </w:r>
    <w:r>
      <w:rPr/>
      <w:pict>
        <v:shape style="position:absolute;margin-left:533.179993pt;margin-top:806.839966pt;width:20.75pt;height:13.05pt;mso-position-horizontal-relative:page;mso-position-vertical-relative:page;z-index:-12577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971</w:t>
                </w:r>
                <w:r>
                  <w:rPr/>
                  <w:fldChar w:fldCharType="end"/>
                </w:r>
              </w:p>
            </w:txbxContent>
          </v:textbox>
          <w10:wrap type="non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7712"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77767">
          <wp:simplePos x="0" y="0"/>
          <wp:positionH relativeFrom="page">
            <wp:posOffset>985998</wp:posOffset>
          </wp:positionH>
          <wp:positionV relativeFrom="page">
            <wp:posOffset>9315373</wp:posOffset>
          </wp:positionV>
          <wp:extent cx="6379583" cy="902334"/>
          <wp:effectExtent l="0" t="0" r="0" b="0"/>
          <wp:wrapNone/>
          <wp:docPr id="343" name="image2.jpeg" descr=""/>
          <wp:cNvGraphicFramePr>
            <a:graphicFrameLocks noChangeAspect="1"/>
          </wp:cNvGraphicFramePr>
          <a:graphic>
            <a:graphicData uri="http://schemas.openxmlformats.org/drawingml/2006/picture">
              <pic:pic>
                <pic:nvPicPr>
                  <pic:cNvPr id="34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0.75pt;height:13.05pt;mso-position-horizontal-relative:page;mso-position-vertical-relative:page;z-index:-12576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973</w:t>
                </w:r>
                <w:r>
                  <w:rPr/>
                  <w:fldChar w:fldCharType="end"/>
                </w:r>
              </w:p>
            </w:txbxContent>
          </v:textbox>
          <w10:wrap type="none"/>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7640"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77839">
          <wp:simplePos x="0" y="0"/>
          <wp:positionH relativeFrom="page">
            <wp:posOffset>985998</wp:posOffset>
          </wp:positionH>
          <wp:positionV relativeFrom="page">
            <wp:posOffset>9315373</wp:posOffset>
          </wp:positionV>
          <wp:extent cx="6379583" cy="902334"/>
          <wp:effectExtent l="0" t="0" r="0" b="0"/>
          <wp:wrapNone/>
          <wp:docPr id="345" name="image2.jpeg" descr=""/>
          <wp:cNvGraphicFramePr>
            <a:graphicFrameLocks noChangeAspect="1"/>
          </wp:cNvGraphicFramePr>
          <a:graphic>
            <a:graphicData uri="http://schemas.openxmlformats.org/drawingml/2006/picture">
              <pic:pic>
                <pic:nvPicPr>
                  <pic:cNvPr id="346"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0.75pt;height:13.05pt;mso-position-horizontal-relative:page;mso-position-vertical-relative:page;z-index:-12575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980</w:t>
                </w:r>
                <w:r>
                  <w:rPr/>
                  <w:fldChar w:fldCharType="end"/>
                </w:r>
              </w:p>
            </w:txbxContent>
          </v:textbox>
          <w10:wrap type="none"/>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7568"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pict>
        <v:shape style="position:absolute;margin-left:533.179993pt;margin-top:806.839966pt;width:20.75pt;height:13.05pt;mso-position-horizontal-relative:page;mso-position-vertical-relative:page;z-index:-12575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981</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7672"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67807">
          <wp:simplePos x="0" y="0"/>
          <wp:positionH relativeFrom="page">
            <wp:posOffset>896463</wp:posOffset>
          </wp:positionH>
          <wp:positionV relativeFrom="page">
            <wp:posOffset>8993123</wp:posOffset>
          </wp:positionV>
          <wp:extent cx="6379583" cy="902106"/>
          <wp:effectExtent l="0" t="0" r="0" b="0"/>
          <wp:wrapNone/>
          <wp:docPr id="35" name="image2.jpeg" descr=""/>
          <wp:cNvGraphicFramePr>
            <a:graphicFrameLocks noChangeAspect="1"/>
          </wp:cNvGraphicFramePr>
          <a:graphic>
            <a:graphicData uri="http://schemas.openxmlformats.org/drawingml/2006/picture">
              <pic:pic>
                <pic:nvPicPr>
                  <pic:cNvPr id="36" name="image2.jpeg"/>
                  <pic:cNvPicPr/>
                </pic:nvPicPr>
                <pic:blipFill>
                  <a:blip r:embed="rId1" cstate="print"/>
                  <a:stretch>
                    <a:fillRect/>
                  </a:stretch>
                </pic:blipFill>
                <pic:spPr>
                  <a:xfrm>
                    <a:off x="0" y="0"/>
                    <a:ext cx="6379583" cy="902106"/>
                  </a:xfrm>
                  <a:prstGeom prst="rect">
                    <a:avLst/>
                  </a:prstGeom>
                </pic:spPr>
              </pic:pic>
            </a:graphicData>
          </a:graphic>
        </wp:anchor>
      </w:drawing>
    </w:r>
    <w:r>
      <w:rPr/>
      <w:pict>
        <v:shape style="position:absolute;margin-left:530.580017pt;margin-top:806.839966pt;width:18.75pt;height:13.05pt;mso-position-horizontal-relative:page;mso-position-vertical-relative:page;z-index:-1267624" type="#_x0000_t202" filled="false" stroked="false">
          <v:textbox inset="0,0,0,0">
            <w:txbxContent>
              <w:p>
                <w:pPr>
                  <w:spacing w:line="245" w:lineRule="exact" w:before="0"/>
                  <w:ind w:left="20" w:right="0" w:firstLine="0"/>
                  <w:jc w:val="left"/>
                  <w:rPr>
                    <w:rFonts w:ascii="Calibri"/>
                    <w:sz w:val="22"/>
                  </w:rPr>
                </w:pPr>
                <w:r>
                  <w:rPr>
                    <w:rFonts w:ascii="Calibri"/>
                    <w:sz w:val="22"/>
                  </w:rPr>
                  <w:t>169</w:t>
                </w:r>
              </w:p>
            </w:txbxContent>
          </v:textbox>
          <w10:wrap type="none"/>
        </v:shape>
      </w:pict>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7520"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77959">
          <wp:simplePos x="0" y="0"/>
          <wp:positionH relativeFrom="page">
            <wp:posOffset>985998</wp:posOffset>
          </wp:positionH>
          <wp:positionV relativeFrom="page">
            <wp:posOffset>9315373</wp:posOffset>
          </wp:positionV>
          <wp:extent cx="6379583" cy="902334"/>
          <wp:effectExtent l="0" t="0" r="0" b="0"/>
          <wp:wrapNone/>
          <wp:docPr id="349" name="image2.jpeg" descr=""/>
          <wp:cNvGraphicFramePr>
            <a:graphicFrameLocks noChangeAspect="1"/>
          </wp:cNvGraphicFramePr>
          <a:graphic>
            <a:graphicData uri="http://schemas.openxmlformats.org/drawingml/2006/picture">
              <pic:pic>
                <pic:nvPicPr>
                  <pic:cNvPr id="35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0.75pt;height:13.05pt;mso-position-horizontal-relative:page;mso-position-vertical-relative:page;z-index:-12574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982</w:t>
                </w:r>
                <w:r>
                  <w:rPr/>
                  <w:fldChar w:fldCharType="end"/>
                </w:r>
              </w:p>
            </w:txbxContent>
          </v:textbox>
          <w10:wrap type="none"/>
        </v:shape>
      </w:pic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7448"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78031">
          <wp:simplePos x="0" y="0"/>
          <wp:positionH relativeFrom="page">
            <wp:posOffset>985998</wp:posOffset>
          </wp:positionH>
          <wp:positionV relativeFrom="page">
            <wp:posOffset>9315373</wp:posOffset>
          </wp:positionV>
          <wp:extent cx="6379583" cy="902334"/>
          <wp:effectExtent l="0" t="0" r="0" b="0"/>
          <wp:wrapNone/>
          <wp:docPr id="351" name="image2.jpeg" descr=""/>
          <wp:cNvGraphicFramePr>
            <a:graphicFrameLocks noChangeAspect="1"/>
          </wp:cNvGraphicFramePr>
          <a:graphic>
            <a:graphicData uri="http://schemas.openxmlformats.org/drawingml/2006/picture">
              <pic:pic>
                <pic:nvPicPr>
                  <pic:cNvPr id="352"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0.75pt;height:13.05pt;mso-position-horizontal-relative:page;mso-position-vertical-relative:page;z-index:-12574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990</w:t>
                </w:r>
                <w:r>
                  <w:rPr/>
                  <w:fldChar w:fldCharType="end"/>
                </w:r>
              </w:p>
            </w:txbxContent>
          </v:textbox>
          <w10:wrap type="none"/>
        </v:shape>
      </w:pict>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7376"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pict>
        <v:shape style="position:absolute;margin-left:534.179993pt;margin-top:806.839966pt;width:18.75pt;height:13.05pt;mso-position-horizontal-relative:page;mso-position-vertical-relative:page;z-index:-1257352" type="#_x0000_t202" filled="false" stroked="false">
          <v:textbox inset="0,0,0,0">
            <w:txbxContent>
              <w:p>
                <w:pPr>
                  <w:spacing w:line="245" w:lineRule="exact" w:before="0"/>
                  <w:ind w:left="20" w:right="0" w:firstLine="0"/>
                  <w:jc w:val="left"/>
                  <w:rPr>
                    <w:rFonts w:ascii="Calibri"/>
                    <w:sz w:val="22"/>
                  </w:rPr>
                </w:pPr>
                <w:r>
                  <w:rPr>
                    <w:rFonts w:ascii="Calibri"/>
                    <w:sz w:val="22"/>
                  </w:rPr>
                  <w:t>991</w:t>
                </w:r>
              </w:p>
            </w:txbxContent>
          </v:textbox>
          <w10:wrap type="none"/>
        </v:shape>
      </w:pict>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7328"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78151">
          <wp:simplePos x="0" y="0"/>
          <wp:positionH relativeFrom="page">
            <wp:posOffset>985998</wp:posOffset>
          </wp:positionH>
          <wp:positionV relativeFrom="page">
            <wp:posOffset>8993123</wp:posOffset>
          </wp:positionV>
          <wp:extent cx="6379583" cy="902106"/>
          <wp:effectExtent l="0" t="0" r="0" b="0"/>
          <wp:wrapNone/>
          <wp:docPr id="355" name="image2.jpeg" descr=""/>
          <wp:cNvGraphicFramePr>
            <a:graphicFrameLocks noChangeAspect="1"/>
          </wp:cNvGraphicFramePr>
          <a:graphic>
            <a:graphicData uri="http://schemas.openxmlformats.org/drawingml/2006/picture">
              <pic:pic>
                <pic:nvPicPr>
                  <pic:cNvPr id="356" name="image2.jpeg"/>
                  <pic:cNvPicPr/>
                </pic:nvPicPr>
                <pic:blipFill>
                  <a:blip r:embed="rId1" cstate="print"/>
                  <a:stretch>
                    <a:fillRect/>
                  </a:stretch>
                </pic:blipFill>
                <pic:spPr>
                  <a:xfrm>
                    <a:off x="0" y="0"/>
                    <a:ext cx="6379583" cy="902106"/>
                  </a:xfrm>
                  <a:prstGeom prst="rect">
                    <a:avLst/>
                  </a:prstGeom>
                </pic:spPr>
              </pic:pic>
            </a:graphicData>
          </a:graphic>
        </wp:anchor>
      </w:drawing>
    </w:r>
    <w:r>
      <w:rPr/>
      <w:pict>
        <v:shape style="position:absolute;margin-left:69.823997pt;margin-top:716.636292pt;width:108.1pt;height:13.25pt;mso-position-horizontal-relative:page;mso-position-vertical-relative:page;z-index:-1257280" type="#_x0000_t202" filled="false" stroked="false">
          <v:textbox inset="0,0,0,0">
            <w:txbxContent>
              <w:p>
                <w:pPr>
                  <w:spacing w:before="19"/>
                  <w:ind w:left="20" w:right="0" w:firstLine="0"/>
                  <w:jc w:val="left"/>
                  <w:rPr>
                    <w:sz w:val="20"/>
                  </w:rPr>
                </w:pPr>
                <w:r>
                  <w:rPr>
                    <w:sz w:val="20"/>
                  </w:rPr>
                  <w:t>Fitness'), April 1996, p. 138</w:t>
                </w:r>
              </w:p>
            </w:txbxContent>
          </v:textbox>
          <w10:wrap type="none"/>
        </v:shape>
      </w:pict>
    </w:r>
    <w:r>
      <w:rPr/>
      <w:pict>
        <v:shape style="position:absolute;margin-left:534.179993pt;margin-top:806.839966pt;width:18.75pt;height:13.05pt;mso-position-horizontal-relative:page;mso-position-vertical-relative:page;z-index:-1257256" type="#_x0000_t202" filled="false" stroked="false">
          <v:textbox inset="0,0,0,0">
            <w:txbxContent>
              <w:p>
                <w:pPr>
                  <w:spacing w:line="245" w:lineRule="exact" w:before="0"/>
                  <w:ind w:left="20" w:right="0" w:firstLine="0"/>
                  <w:jc w:val="left"/>
                  <w:rPr>
                    <w:rFonts w:ascii="Calibri"/>
                    <w:sz w:val="22"/>
                  </w:rPr>
                </w:pPr>
                <w:r>
                  <w:rPr>
                    <w:rFonts w:ascii="Calibri"/>
                    <w:sz w:val="22"/>
                  </w:rPr>
                  <w:t>992</w:t>
                </w:r>
              </w:p>
            </w:txbxContent>
          </v:textbox>
          <w10:wrap type="none"/>
        </v:shape>
      </w:pict>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7232"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78247">
          <wp:simplePos x="0" y="0"/>
          <wp:positionH relativeFrom="page">
            <wp:posOffset>985998</wp:posOffset>
          </wp:positionH>
          <wp:positionV relativeFrom="page">
            <wp:posOffset>8993123</wp:posOffset>
          </wp:positionV>
          <wp:extent cx="6379583" cy="902106"/>
          <wp:effectExtent l="0" t="0" r="0" b="0"/>
          <wp:wrapNone/>
          <wp:docPr id="357" name="image2.jpeg" descr=""/>
          <wp:cNvGraphicFramePr>
            <a:graphicFrameLocks noChangeAspect="1"/>
          </wp:cNvGraphicFramePr>
          <a:graphic>
            <a:graphicData uri="http://schemas.openxmlformats.org/drawingml/2006/picture">
              <pic:pic>
                <pic:nvPicPr>
                  <pic:cNvPr id="358" name="image2.jpeg"/>
                  <pic:cNvPicPr/>
                </pic:nvPicPr>
                <pic:blipFill>
                  <a:blip r:embed="rId1" cstate="print"/>
                  <a:stretch>
                    <a:fillRect/>
                  </a:stretch>
                </pic:blipFill>
                <pic:spPr>
                  <a:xfrm>
                    <a:off x="0" y="0"/>
                    <a:ext cx="6379583" cy="902106"/>
                  </a:xfrm>
                  <a:prstGeom prst="rect">
                    <a:avLst/>
                  </a:prstGeom>
                </pic:spPr>
              </pic:pic>
            </a:graphicData>
          </a:graphic>
        </wp:anchor>
      </w:drawing>
    </w:r>
    <w:r>
      <w:rPr/>
      <w:pict>
        <v:shape style="position:absolute;margin-left:534.179993pt;margin-top:806.839966pt;width:18.75pt;height:13.05pt;mso-position-horizontal-relative:page;mso-position-vertical-relative:page;z-index:-1257184" type="#_x0000_t202" filled="false" stroked="false">
          <v:textbox inset="0,0,0,0">
            <w:txbxContent>
              <w:p>
                <w:pPr>
                  <w:spacing w:line="245" w:lineRule="exact" w:before="0"/>
                  <w:ind w:left="20" w:right="0" w:firstLine="0"/>
                  <w:jc w:val="left"/>
                  <w:rPr>
                    <w:rFonts w:ascii="Calibri"/>
                    <w:sz w:val="22"/>
                  </w:rPr>
                </w:pPr>
                <w:r>
                  <w:rPr>
                    <w:rFonts w:ascii="Calibri"/>
                    <w:sz w:val="22"/>
                  </w:rPr>
                  <w:t>993</w:t>
                </w:r>
              </w:p>
            </w:txbxContent>
          </v:textbox>
          <w10:wrap type="none"/>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7160"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pict>
        <v:shape style="position:absolute;margin-left:533.179993pt;margin-top:806.839966pt;width:20.75pt;height:13.05pt;mso-position-horizontal-relative:page;mso-position-vertical-relative:page;z-index:-12571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994</w:t>
                </w:r>
                <w:r>
                  <w:rPr/>
                  <w:fldChar w:fldCharType="end"/>
                </w:r>
              </w:p>
            </w:txbxContent>
          </v:textbox>
          <w10:wrap type="non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7112"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78367">
          <wp:simplePos x="0" y="0"/>
          <wp:positionH relativeFrom="page">
            <wp:posOffset>985998</wp:posOffset>
          </wp:positionH>
          <wp:positionV relativeFrom="page">
            <wp:posOffset>9315373</wp:posOffset>
          </wp:positionV>
          <wp:extent cx="6379583" cy="902334"/>
          <wp:effectExtent l="0" t="0" r="0" b="0"/>
          <wp:wrapNone/>
          <wp:docPr id="363" name="image2.jpeg" descr=""/>
          <wp:cNvGraphicFramePr>
            <a:graphicFrameLocks noChangeAspect="1"/>
          </wp:cNvGraphicFramePr>
          <a:graphic>
            <a:graphicData uri="http://schemas.openxmlformats.org/drawingml/2006/picture">
              <pic:pic>
                <pic:nvPicPr>
                  <pic:cNvPr id="36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0.75pt;height:13.05pt;mso-position-horizontal-relative:page;mso-position-vertical-relative:page;z-index:-12570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996</w:t>
                </w:r>
                <w:r>
                  <w:rPr/>
                  <w:fldChar w:fldCharType="end"/>
                </w:r>
              </w:p>
            </w:txbxContent>
          </v:textbox>
          <w10:wrap type="none"/>
        </v:shape>
      </w:pic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7040"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78439">
          <wp:simplePos x="0" y="0"/>
          <wp:positionH relativeFrom="page">
            <wp:posOffset>985998</wp:posOffset>
          </wp:positionH>
          <wp:positionV relativeFrom="page">
            <wp:posOffset>9315373</wp:posOffset>
          </wp:positionV>
          <wp:extent cx="6379583" cy="902334"/>
          <wp:effectExtent l="0" t="0" r="0" b="0"/>
          <wp:wrapNone/>
          <wp:docPr id="365" name="image2.jpeg" descr=""/>
          <wp:cNvGraphicFramePr>
            <a:graphicFrameLocks noChangeAspect="1"/>
          </wp:cNvGraphicFramePr>
          <a:graphic>
            <a:graphicData uri="http://schemas.openxmlformats.org/drawingml/2006/picture">
              <pic:pic>
                <pic:nvPicPr>
                  <pic:cNvPr id="366"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69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1000</w:t>
                </w:r>
                <w:r>
                  <w:rPr/>
                  <w:fldChar w:fldCharType="end"/>
                </w:r>
              </w:p>
            </w:txbxContent>
          </v:textbox>
          <w10:wrap type="none"/>
        </v:shape>
      </w:pict>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6968"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78511">
          <wp:simplePos x="0" y="0"/>
          <wp:positionH relativeFrom="page">
            <wp:posOffset>985998</wp:posOffset>
          </wp:positionH>
          <wp:positionV relativeFrom="page">
            <wp:posOffset>9315373</wp:posOffset>
          </wp:positionV>
          <wp:extent cx="6379583" cy="902334"/>
          <wp:effectExtent l="0" t="0" r="0" b="0"/>
          <wp:wrapNone/>
          <wp:docPr id="367" name="image2.jpeg" descr=""/>
          <wp:cNvGraphicFramePr>
            <a:graphicFrameLocks noChangeAspect="1"/>
          </wp:cNvGraphicFramePr>
          <a:graphic>
            <a:graphicData uri="http://schemas.openxmlformats.org/drawingml/2006/picture">
              <pic:pic>
                <pic:nvPicPr>
                  <pic:cNvPr id="36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69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1010</w:t>
                </w:r>
                <w:r>
                  <w:rPr/>
                  <w:fldChar w:fldCharType="end"/>
                </w:r>
              </w:p>
            </w:txbxContent>
          </v:textbox>
          <w10:wrap type="none"/>
        </v:shape>
      </w:pic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6896"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78583">
          <wp:simplePos x="0" y="0"/>
          <wp:positionH relativeFrom="page">
            <wp:posOffset>985998</wp:posOffset>
          </wp:positionH>
          <wp:positionV relativeFrom="page">
            <wp:posOffset>9315373</wp:posOffset>
          </wp:positionV>
          <wp:extent cx="6379583" cy="902334"/>
          <wp:effectExtent l="0" t="0" r="0" b="0"/>
          <wp:wrapNone/>
          <wp:docPr id="369" name="image2.jpeg" descr=""/>
          <wp:cNvGraphicFramePr>
            <a:graphicFrameLocks noChangeAspect="1"/>
          </wp:cNvGraphicFramePr>
          <a:graphic>
            <a:graphicData uri="http://schemas.openxmlformats.org/drawingml/2006/picture">
              <pic:pic>
                <pic:nvPicPr>
                  <pic:cNvPr id="37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68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1020</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7600"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pict>
        <v:shape style="position:absolute;margin-left:529.580017pt;margin-top:806.839966pt;width:20.75pt;height:13.05pt;mso-position-horizontal-relative:page;mso-position-vertical-relative:page;z-index:-12675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170</w:t>
                </w:r>
                <w:r>
                  <w:rPr/>
                  <w:fldChar w:fldCharType="end"/>
                </w:r>
              </w:p>
            </w:txbxContent>
          </v:textbox>
          <w10:wrap type="none"/>
        </v:shape>
      </w:pict>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6824"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78655">
          <wp:simplePos x="0" y="0"/>
          <wp:positionH relativeFrom="page">
            <wp:posOffset>985998</wp:posOffset>
          </wp:positionH>
          <wp:positionV relativeFrom="page">
            <wp:posOffset>9315373</wp:posOffset>
          </wp:positionV>
          <wp:extent cx="6379583" cy="902334"/>
          <wp:effectExtent l="0" t="0" r="0" b="0"/>
          <wp:wrapNone/>
          <wp:docPr id="371" name="image2.jpeg" descr=""/>
          <wp:cNvGraphicFramePr>
            <a:graphicFrameLocks noChangeAspect="1"/>
          </wp:cNvGraphicFramePr>
          <a:graphic>
            <a:graphicData uri="http://schemas.openxmlformats.org/drawingml/2006/picture">
              <pic:pic>
                <pic:nvPicPr>
                  <pic:cNvPr id="372"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67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1030</w:t>
                </w:r>
                <w:r>
                  <w:rPr/>
                  <w:fldChar w:fldCharType="end"/>
                </w:r>
              </w:p>
            </w:txbxContent>
          </v:textbox>
          <w10:wrap type="non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6752"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78727">
          <wp:simplePos x="0" y="0"/>
          <wp:positionH relativeFrom="page">
            <wp:posOffset>985998</wp:posOffset>
          </wp:positionH>
          <wp:positionV relativeFrom="page">
            <wp:posOffset>9315373</wp:posOffset>
          </wp:positionV>
          <wp:extent cx="6379583" cy="902334"/>
          <wp:effectExtent l="0" t="0" r="0" b="0"/>
          <wp:wrapNone/>
          <wp:docPr id="373" name="image2.jpeg" descr=""/>
          <wp:cNvGraphicFramePr>
            <a:graphicFrameLocks noChangeAspect="1"/>
          </wp:cNvGraphicFramePr>
          <a:graphic>
            <a:graphicData uri="http://schemas.openxmlformats.org/drawingml/2006/picture">
              <pic:pic>
                <pic:nvPicPr>
                  <pic:cNvPr id="37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67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1040</w:t>
                </w:r>
                <w:r>
                  <w:rPr/>
                  <w:fldChar w:fldCharType="end"/>
                </w:r>
              </w:p>
            </w:txbxContent>
          </v:textbox>
          <w10:wrap type="none"/>
        </v:shape>
      </w:pic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6680"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78799">
          <wp:simplePos x="0" y="0"/>
          <wp:positionH relativeFrom="page">
            <wp:posOffset>985998</wp:posOffset>
          </wp:positionH>
          <wp:positionV relativeFrom="page">
            <wp:posOffset>9315373</wp:posOffset>
          </wp:positionV>
          <wp:extent cx="6379583" cy="902334"/>
          <wp:effectExtent l="0" t="0" r="0" b="0"/>
          <wp:wrapNone/>
          <wp:docPr id="375" name="image2.jpeg" descr=""/>
          <wp:cNvGraphicFramePr>
            <a:graphicFrameLocks noChangeAspect="1"/>
          </wp:cNvGraphicFramePr>
          <a:graphic>
            <a:graphicData uri="http://schemas.openxmlformats.org/drawingml/2006/picture">
              <pic:pic>
                <pic:nvPicPr>
                  <pic:cNvPr id="376"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66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1050</w:t>
                </w:r>
                <w:r>
                  <w:rPr/>
                  <w:fldChar w:fldCharType="end"/>
                </w:r>
              </w:p>
            </w:txbxContent>
          </v:textbox>
          <w10:wrap type="none"/>
        </v:shape>
      </w:pict>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6608"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pict>
        <v:shape style="position:absolute;margin-left:534.179993pt;margin-top:806.839966pt;width:24.4pt;height:13.05pt;mso-position-horizontal-relative:page;mso-position-vertical-relative:page;z-index:-1256584" type="#_x0000_t202" filled="false" stroked="false">
          <v:textbox inset="0,0,0,0">
            <w:txbxContent>
              <w:p>
                <w:pPr>
                  <w:spacing w:line="245" w:lineRule="exact" w:before="0"/>
                  <w:ind w:left="20" w:right="0" w:firstLine="0"/>
                  <w:jc w:val="left"/>
                  <w:rPr>
                    <w:rFonts w:ascii="Calibri"/>
                    <w:sz w:val="22"/>
                  </w:rPr>
                </w:pPr>
                <w:r>
                  <w:rPr>
                    <w:rFonts w:ascii="Calibri"/>
                    <w:sz w:val="22"/>
                  </w:rPr>
                  <w:t>1051</w:t>
                </w:r>
              </w:p>
            </w:txbxContent>
          </v:textbox>
          <w10:wrap type="none"/>
        </v:shape>
      </w:pict>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6560"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78919">
          <wp:simplePos x="0" y="0"/>
          <wp:positionH relativeFrom="page">
            <wp:posOffset>985998</wp:posOffset>
          </wp:positionH>
          <wp:positionV relativeFrom="page">
            <wp:posOffset>8993123</wp:posOffset>
          </wp:positionV>
          <wp:extent cx="6379583" cy="902106"/>
          <wp:effectExtent l="0" t="0" r="0" b="0"/>
          <wp:wrapNone/>
          <wp:docPr id="379" name="image2.jpeg" descr=""/>
          <wp:cNvGraphicFramePr>
            <a:graphicFrameLocks noChangeAspect="1"/>
          </wp:cNvGraphicFramePr>
          <a:graphic>
            <a:graphicData uri="http://schemas.openxmlformats.org/drawingml/2006/picture">
              <pic:pic>
                <pic:nvPicPr>
                  <pic:cNvPr id="380" name="image2.jpeg"/>
                  <pic:cNvPicPr/>
                </pic:nvPicPr>
                <pic:blipFill>
                  <a:blip r:embed="rId1" cstate="print"/>
                  <a:stretch>
                    <a:fillRect/>
                  </a:stretch>
                </pic:blipFill>
                <pic:spPr>
                  <a:xfrm>
                    <a:off x="0" y="0"/>
                    <a:ext cx="6379583" cy="902106"/>
                  </a:xfrm>
                  <a:prstGeom prst="rect">
                    <a:avLst/>
                  </a:prstGeom>
                </pic:spPr>
              </pic:pic>
            </a:graphicData>
          </a:graphic>
        </wp:anchor>
      </w:drawing>
    </w:r>
    <w:r>
      <w:rPr/>
      <w:pict>
        <v:shape style="position:absolute;margin-left:534.179993pt;margin-top:806.839966pt;width:24.4pt;height:13.05pt;mso-position-horizontal-relative:page;mso-position-vertical-relative:page;z-index:-1256512" type="#_x0000_t202" filled="false" stroked="false">
          <v:textbox inset="0,0,0,0">
            <w:txbxContent>
              <w:p>
                <w:pPr>
                  <w:spacing w:line="245" w:lineRule="exact" w:before="0"/>
                  <w:ind w:left="20" w:right="0" w:firstLine="0"/>
                  <w:jc w:val="left"/>
                  <w:rPr>
                    <w:rFonts w:ascii="Calibri"/>
                    <w:sz w:val="22"/>
                  </w:rPr>
                </w:pPr>
                <w:r>
                  <w:rPr>
                    <w:rFonts w:ascii="Calibri"/>
                    <w:sz w:val="22"/>
                  </w:rPr>
                  <w:t>1052</w:t>
                </w:r>
              </w:p>
            </w:txbxContent>
          </v:textbox>
          <w10:wrap type="none"/>
        </v:shape>
      </w:pict>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6488"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pict>
        <v:shape style="position:absolute;margin-left:533.179993pt;margin-top:806.839966pt;width:26.4pt;height:13.05pt;mso-position-horizontal-relative:page;mso-position-vertical-relative:page;z-index:-12564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1053</w:t>
                </w:r>
                <w:r>
                  <w:rPr/>
                  <w:fldChar w:fldCharType="end"/>
                </w:r>
              </w:p>
            </w:txbxContent>
          </v:textbox>
          <w10:wrap type="none"/>
        </v:shape>
      </w:pict>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6440"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79039">
          <wp:simplePos x="0" y="0"/>
          <wp:positionH relativeFrom="page">
            <wp:posOffset>985998</wp:posOffset>
          </wp:positionH>
          <wp:positionV relativeFrom="page">
            <wp:posOffset>9315373</wp:posOffset>
          </wp:positionV>
          <wp:extent cx="6379583" cy="902334"/>
          <wp:effectExtent l="0" t="0" r="0" b="0"/>
          <wp:wrapNone/>
          <wp:docPr id="383" name="image2.jpeg" descr=""/>
          <wp:cNvGraphicFramePr>
            <a:graphicFrameLocks noChangeAspect="1"/>
          </wp:cNvGraphicFramePr>
          <a:graphic>
            <a:graphicData uri="http://schemas.openxmlformats.org/drawingml/2006/picture">
              <pic:pic>
                <pic:nvPicPr>
                  <pic:cNvPr id="38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63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1054</w:t>
                </w:r>
                <w:r>
                  <w:rPr/>
                  <w:fldChar w:fldCharType="end"/>
                </w:r>
              </w:p>
            </w:txbxContent>
          </v:textbox>
          <w10:wrap type="none"/>
        </v:shape>
      </w:pict>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6368"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79111">
          <wp:simplePos x="0" y="0"/>
          <wp:positionH relativeFrom="page">
            <wp:posOffset>985998</wp:posOffset>
          </wp:positionH>
          <wp:positionV relativeFrom="page">
            <wp:posOffset>8993123</wp:posOffset>
          </wp:positionV>
          <wp:extent cx="6379583" cy="902106"/>
          <wp:effectExtent l="0" t="0" r="0" b="0"/>
          <wp:wrapNone/>
          <wp:docPr id="385" name="image2.jpeg" descr=""/>
          <wp:cNvGraphicFramePr>
            <a:graphicFrameLocks noChangeAspect="1"/>
          </wp:cNvGraphicFramePr>
          <a:graphic>
            <a:graphicData uri="http://schemas.openxmlformats.org/drawingml/2006/picture">
              <pic:pic>
                <pic:nvPicPr>
                  <pic:cNvPr id="386" name="image2.jpeg"/>
                  <pic:cNvPicPr/>
                </pic:nvPicPr>
                <pic:blipFill>
                  <a:blip r:embed="rId1" cstate="print"/>
                  <a:stretch>
                    <a:fillRect/>
                  </a:stretch>
                </pic:blipFill>
                <pic:spPr>
                  <a:xfrm>
                    <a:off x="0" y="0"/>
                    <a:ext cx="6379583" cy="902106"/>
                  </a:xfrm>
                  <a:prstGeom prst="rect">
                    <a:avLst/>
                  </a:prstGeom>
                </pic:spPr>
              </pic:pic>
            </a:graphicData>
          </a:graphic>
        </wp:anchor>
      </w:drawing>
    </w:r>
    <w:r>
      <w:rPr/>
      <w:pict>
        <v:shape style="position:absolute;margin-left:533.179993pt;margin-top:806.839966pt;width:26.4pt;height:13.05pt;mso-position-horizontal-relative:page;mso-position-vertical-relative:page;z-index:-12563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1056</w:t>
                </w:r>
                <w:r>
                  <w:rPr/>
                  <w:fldChar w:fldCharType="end"/>
                </w:r>
              </w:p>
            </w:txbxContent>
          </v:textbox>
          <w10:wrap type="none"/>
        </v:shape>
      </w:pict>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6296"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pict>
        <v:shape style="position:absolute;margin-left:533.179993pt;margin-top:806.839966pt;width:26.4pt;height:13.05pt;mso-position-horizontal-relative:page;mso-position-vertical-relative:page;z-index:-12562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1058</w:t>
                </w:r>
                <w:r>
                  <w:rPr/>
                  <w:fldChar w:fldCharType="end"/>
                </w:r>
              </w:p>
            </w:txbxContent>
          </v:textbox>
          <w10:wrap type="none"/>
        </v:shape>
      </w:pict>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6248"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79231">
          <wp:simplePos x="0" y="0"/>
          <wp:positionH relativeFrom="page">
            <wp:posOffset>985998</wp:posOffset>
          </wp:positionH>
          <wp:positionV relativeFrom="page">
            <wp:posOffset>8993123</wp:posOffset>
          </wp:positionV>
          <wp:extent cx="6379583" cy="902106"/>
          <wp:effectExtent l="0" t="0" r="0" b="0"/>
          <wp:wrapNone/>
          <wp:docPr id="389" name="image2.jpeg" descr=""/>
          <wp:cNvGraphicFramePr>
            <a:graphicFrameLocks noChangeAspect="1"/>
          </wp:cNvGraphicFramePr>
          <a:graphic>
            <a:graphicData uri="http://schemas.openxmlformats.org/drawingml/2006/picture">
              <pic:pic>
                <pic:nvPicPr>
                  <pic:cNvPr id="390" name="image2.jpeg"/>
                  <pic:cNvPicPr/>
                </pic:nvPicPr>
                <pic:blipFill>
                  <a:blip r:embed="rId1" cstate="print"/>
                  <a:stretch>
                    <a:fillRect/>
                  </a:stretch>
                </pic:blipFill>
                <pic:spPr>
                  <a:xfrm>
                    <a:off x="0" y="0"/>
                    <a:ext cx="6379583" cy="902106"/>
                  </a:xfrm>
                  <a:prstGeom prst="rect">
                    <a:avLst/>
                  </a:prstGeom>
                </pic:spPr>
              </pic:pic>
            </a:graphicData>
          </a:graphic>
        </wp:anchor>
      </w:drawing>
    </w:r>
    <w:r>
      <w:rPr/>
      <w:pict>
        <v:shape style="position:absolute;margin-left:533.179993pt;margin-top:806.839966pt;width:25.4pt;height:13.05pt;mso-position-horizontal-relative:page;mso-position-vertical-relative:page;z-index:-12562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105</w:t>
                </w:r>
                <w:r>
                  <w:rPr/>
                  <w:fldChar w:fldCharType="end"/>
                </w:r>
                <w:r>
                  <w:rPr>
                    <w:rFonts w:ascii="Calibri"/>
                    <w:sz w:val="22"/>
                  </w:rPr>
                  <w:t>9</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7552"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67927">
          <wp:simplePos x="0" y="0"/>
          <wp:positionH relativeFrom="page">
            <wp:posOffset>896463</wp:posOffset>
          </wp:positionH>
          <wp:positionV relativeFrom="page">
            <wp:posOffset>9315373</wp:posOffset>
          </wp:positionV>
          <wp:extent cx="6379583" cy="902334"/>
          <wp:effectExtent l="0" t="0" r="0" b="0"/>
          <wp:wrapNone/>
          <wp:docPr id="39" name="image2.jpeg" descr=""/>
          <wp:cNvGraphicFramePr>
            <a:graphicFrameLocks noChangeAspect="1"/>
          </wp:cNvGraphicFramePr>
          <a:graphic>
            <a:graphicData uri="http://schemas.openxmlformats.org/drawingml/2006/picture">
              <pic:pic>
                <pic:nvPicPr>
                  <pic:cNvPr id="4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75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171</w:t>
                </w:r>
                <w:r>
                  <w:rPr/>
                  <w:fldChar w:fldCharType="end"/>
                </w:r>
              </w:p>
            </w:txbxContent>
          </v:textbox>
          <w10:wrap type="none"/>
        </v:shape>
      </w:pict>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6176"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79303">
          <wp:simplePos x="0" y="0"/>
          <wp:positionH relativeFrom="page">
            <wp:posOffset>985998</wp:posOffset>
          </wp:positionH>
          <wp:positionV relativeFrom="page">
            <wp:posOffset>8993123</wp:posOffset>
          </wp:positionV>
          <wp:extent cx="6379583" cy="902106"/>
          <wp:effectExtent l="0" t="0" r="0" b="0"/>
          <wp:wrapNone/>
          <wp:docPr id="391" name="image2.jpeg" descr=""/>
          <wp:cNvGraphicFramePr>
            <a:graphicFrameLocks noChangeAspect="1"/>
          </wp:cNvGraphicFramePr>
          <a:graphic>
            <a:graphicData uri="http://schemas.openxmlformats.org/drawingml/2006/picture">
              <pic:pic>
                <pic:nvPicPr>
                  <pic:cNvPr id="392" name="image2.jpeg"/>
                  <pic:cNvPicPr/>
                </pic:nvPicPr>
                <pic:blipFill>
                  <a:blip r:embed="rId1" cstate="print"/>
                  <a:stretch>
                    <a:fillRect/>
                  </a:stretch>
                </pic:blipFill>
                <pic:spPr>
                  <a:xfrm>
                    <a:off x="0" y="0"/>
                    <a:ext cx="6379583" cy="902106"/>
                  </a:xfrm>
                  <a:prstGeom prst="rect">
                    <a:avLst/>
                  </a:prstGeom>
                </pic:spPr>
              </pic:pic>
            </a:graphicData>
          </a:graphic>
        </wp:anchor>
      </w:drawing>
    </w:r>
    <w:r>
      <w:rPr/>
      <w:pict>
        <v:shape style="position:absolute;margin-left:533.179993pt;margin-top:806.839966pt;width:25.4pt;height:13.05pt;mso-position-horizontal-relative:page;mso-position-vertical-relative:page;z-index:-12561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106</w:t>
                </w:r>
                <w:r>
                  <w:rPr/>
                  <w:fldChar w:fldCharType="end"/>
                </w:r>
                <w:r>
                  <w:rPr>
                    <w:rFonts w:ascii="Calibri"/>
                    <w:sz w:val="22"/>
                  </w:rPr>
                  <w:t>0</w:t>
                </w:r>
              </w:p>
            </w:txbxContent>
          </v:textbox>
          <w10:wrap type="none"/>
        </v:shape>
      </w:pict>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6104"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79375">
          <wp:simplePos x="0" y="0"/>
          <wp:positionH relativeFrom="page">
            <wp:posOffset>985998</wp:posOffset>
          </wp:positionH>
          <wp:positionV relativeFrom="page">
            <wp:posOffset>8993123</wp:posOffset>
          </wp:positionV>
          <wp:extent cx="6379583" cy="902106"/>
          <wp:effectExtent l="0" t="0" r="0" b="0"/>
          <wp:wrapNone/>
          <wp:docPr id="393" name="image2.jpeg" descr=""/>
          <wp:cNvGraphicFramePr>
            <a:graphicFrameLocks noChangeAspect="1"/>
          </wp:cNvGraphicFramePr>
          <a:graphic>
            <a:graphicData uri="http://schemas.openxmlformats.org/drawingml/2006/picture">
              <pic:pic>
                <pic:nvPicPr>
                  <pic:cNvPr id="394" name="image2.jpeg"/>
                  <pic:cNvPicPr/>
                </pic:nvPicPr>
                <pic:blipFill>
                  <a:blip r:embed="rId1" cstate="print"/>
                  <a:stretch>
                    <a:fillRect/>
                  </a:stretch>
                </pic:blipFill>
                <pic:spPr>
                  <a:xfrm>
                    <a:off x="0" y="0"/>
                    <a:ext cx="6379583" cy="902106"/>
                  </a:xfrm>
                  <a:prstGeom prst="rect">
                    <a:avLst/>
                  </a:prstGeom>
                </pic:spPr>
              </pic:pic>
            </a:graphicData>
          </a:graphic>
        </wp:anchor>
      </w:drawing>
    </w:r>
    <w:r>
      <w:rPr/>
      <w:pict>
        <v:shape style="position:absolute;margin-left:533.179993pt;margin-top:806.839966pt;width:26.4pt;height:13.05pt;mso-position-horizontal-relative:page;mso-position-vertical-relative:page;z-index:-12560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1061</w:t>
                </w:r>
                <w:r>
                  <w:rPr/>
                  <w:fldChar w:fldCharType="end"/>
                </w:r>
              </w:p>
            </w:txbxContent>
          </v:textbox>
          <w10:wrap type="none"/>
        </v:shape>
      </w:pict>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6032"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79447">
          <wp:simplePos x="0" y="0"/>
          <wp:positionH relativeFrom="page">
            <wp:posOffset>985998</wp:posOffset>
          </wp:positionH>
          <wp:positionV relativeFrom="page">
            <wp:posOffset>8993123</wp:posOffset>
          </wp:positionV>
          <wp:extent cx="6379583" cy="902106"/>
          <wp:effectExtent l="0" t="0" r="0" b="0"/>
          <wp:wrapNone/>
          <wp:docPr id="395" name="image2.jpeg" descr=""/>
          <wp:cNvGraphicFramePr>
            <a:graphicFrameLocks noChangeAspect="1"/>
          </wp:cNvGraphicFramePr>
          <a:graphic>
            <a:graphicData uri="http://schemas.openxmlformats.org/drawingml/2006/picture">
              <pic:pic>
                <pic:nvPicPr>
                  <pic:cNvPr id="396" name="image2.jpeg"/>
                  <pic:cNvPicPr/>
                </pic:nvPicPr>
                <pic:blipFill>
                  <a:blip r:embed="rId1" cstate="print"/>
                  <a:stretch>
                    <a:fillRect/>
                  </a:stretch>
                </pic:blipFill>
                <pic:spPr>
                  <a:xfrm>
                    <a:off x="0" y="0"/>
                    <a:ext cx="6379583" cy="902106"/>
                  </a:xfrm>
                  <a:prstGeom prst="rect">
                    <a:avLst/>
                  </a:prstGeom>
                </pic:spPr>
              </pic:pic>
            </a:graphicData>
          </a:graphic>
        </wp:anchor>
      </w:drawing>
    </w:r>
    <w:r>
      <w:rPr/>
      <w:pict>
        <v:shape style="position:absolute;margin-left:534.179993pt;margin-top:806.839966pt;width:24.4pt;height:13.05pt;mso-position-horizontal-relative:page;mso-position-vertical-relative:page;z-index:-1255984" type="#_x0000_t202" filled="false" stroked="false">
          <v:textbox inset="0,0,0,0">
            <w:txbxContent>
              <w:p>
                <w:pPr>
                  <w:spacing w:line="245" w:lineRule="exact" w:before="0"/>
                  <w:ind w:left="20" w:right="0" w:firstLine="0"/>
                  <w:jc w:val="left"/>
                  <w:rPr>
                    <w:rFonts w:ascii="Calibri"/>
                    <w:sz w:val="22"/>
                  </w:rPr>
                </w:pPr>
                <w:r>
                  <w:rPr>
                    <w:rFonts w:ascii="Calibri"/>
                    <w:sz w:val="22"/>
                  </w:rPr>
                  <w:t>1063</w:t>
                </w:r>
              </w:p>
            </w:txbxContent>
          </v:textbox>
          <w10:wrap type="none"/>
        </v:shape>
      </w:pict>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5960"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79519">
          <wp:simplePos x="0" y="0"/>
          <wp:positionH relativeFrom="page">
            <wp:posOffset>985998</wp:posOffset>
          </wp:positionH>
          <wp:positionV relativeFrom="page">
            <wp:posOffset>8993123</wp:posOffset>
          </wp:positionV>
          <wp:extent cx="6379583" cy="902106"/>
          <wp:effectExtent l="0" t="0" r="0" b="0"/>
          <wp:wrapNone/>
          <wp:docPr id="397" name="image2.jpeg" descr=""/>
          <wp:cNvGraphicFramePr>
            <a:graphicFrameLocks noChangeAspect="1"/>
          </wp:cNvGraphicFramePr>
          <a:graphic>
            <a:graphicData uri="http://schemas.openxmlformats.org/drawingml/2006/picture">
              <pic:pic>
                <pic:nvPicPr>
                  <pic:cNvPr id="398" name="image2.jpeg"/>
                  <pic:cNvPicPr/>
                </pic:nvPicPr>
                <pic:blipFill>
                  <a:blip r:embed="rId1" cstate="print"/>
                  <a:stretch>
                    <a:fillRect/>
                  </a:stretch>
                </pic:blipFill>
                <pic:spPr>
                  <a:xfrm>
                    <a:off x="0" y="0"/>
                    <a:ext cx="6379583" cy="902106"/>
                  </a:xfrm>
                  <a:prstGeom prst="rect">
                    <a:avLst/>
                  </a:prstGeom>
                </pic:spPr>
              </pic:pic>
            </a:graphicData>
          </a:graphic>
        </wp:anchor>
      </w:drawing>
    </w:r>
    <w:r>
      <w:rPr/>
      <w:pict>
        <v:shape style="position:absolute;margin-left:533.179993pt;margin-top:806.839966pt;width:26.4pt;height:13.05pt;mso-position-horizontal-relative:page;mso-position-vertical-relative:page;z-index:-12559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1064</w:t>
                </w:r>
                <w:r>
                  <w:rPr/>
                  <w:fldChar w:fldCharType="end"/>
                </w:r>
              </w:p>
            </w:txbxContent>
          </v:textbox>
          <w10:wrap type="none"/>
        </v:shape>
      </w:pict>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5888"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79591">
          <wp:simplePos x="0" y="0"/>
          <wp:positionH relativeFrom="page">
            <wp:posOffset>985998</wp:posOffset>
          </wp:positionH>
          <wp:positionV relativeFrom="page">
            <wp:posOffset>9315373</wp:posOffset>
          </wp:positionV>
          <wp:extent cx="6379583" cy="902334"/>
          <wp:effectExtent l="0" t="0" r="0" b="0"/>
          <wp:wrapNone/>
          <wp:docPr id="399" name="image2.jpeg" descr=""/>
          <wp:cNvGraphicFramePr>
            <a:graphicFrameLocks noChangeAspect="1"/>
          </wp:cNvGraphicFramePr>
          <a:graphic>
            <a:graphicData uri="http://schemas.openxmlformats.org/drawingml/2006/picture">
              <pic:pic>
                <pic:nvPicPr>
                  <pic:cNvPr id="40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58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1067</w:t>
                </w:r>
                <w:r>
                  <w:rPr/>
                  <w:fldChar w:fldCharType="end"/>
                </w:r>
              </w:p>
            </w:txbxContent>
          </v:textbox>
          <w10:wrap type="none"/>
        </v:shape>
      </w:pict>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5816"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79663">
          <wp:simplePos x="0" y="0"/>
          <wp:positionH relativeFrom="page">
            <wp:posOffset>985998</wp:posOffset>
          </wp:positionH>
          <wp:positionV relativeFrom="page">
            <wp:posOffset>9315373</wp:posOffset>
          </wp:positionV>
          <wp:extent cx="6379583" cy="902334"/>
          <wp:effectExtent l="0" t="0" r="0" b="0"/>
          <wp:wrapNone/>
          <wp:docPr id="401" name="image2.jpeg" descr=""/>
          <wp:cNvGraphicFramePr>
            <a:graphicFrameLocks noChangeAspect="1"/>
          </wp:cNvGraphicFramePr>
          <a:graphic>
            <a:graphicData uri="http://schemas.openxmlformats.org/drawingml/2006/picture">
              <pic:pic>
                <pic:nvPicPr>
                  <pic:cNvPr id="402"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57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1070</w:t>
                </w:r>
                <w:r>
                  <w:rPr/>
                  <w:fldChar w:fldCharType="end"/>
                </w:r>
              </w:p>
            </w:txbxContent>
          </v:textbox>
          <w10:wrap type="none"/>
        </v:shape>
      </w:pict>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5744"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79735">
          <wp:simplePos x="0" y="0"/>
          <wp:positionH relativeFrom="page">
            <wp:posOffset>985998</wp:posOffset>
          </wp:positionH>
          <wp:positionV relativeFrom="page">
            <wp:posOffset>9315373</wp:posOffset>
          </wp:positionV>
          <wp:extent cx="6379583" cy="902334"/>
          <wp:effectExtent l="0" t="0" r="0" b="0"/>
          <wp:wrapNone/>
          <wp:docPr id="403" name="image2.jpeg" descr=""/>
          <wp:cNvGraphicFramePr>
            <a:graphicFrameLocks noChangeAspect="1"/>
          </wp:cNvGraphicFramePr>
          <a:graphic>
            <a:graphicData uri="http://schemas.openxmlformats.org/drawingml/2006/picture">
              <pic:pic>
                <pic:nvPicPr>
                  <pic:cNvPr id="40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56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1080</w:t>
                </w:r>
                <w:r>
                  <w:rPr/>
                  <w:fldChar w:fldCharType="end"/>
                </w:r>
              </w:p>
            </w:txbxContent>
          </v:textbox>
          <w10:wrap type="none"/>
        </v:shape>
      </w:pict>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5672"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pict>
        <v:shape style="position:absolute;margin-left:533.179993pt;margin-top:806.839966pt;width:26.4pt;height:13.05pt;mso-position-horizontal-relative:page;mso-position-vertical-relative:page;z-index:-12556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1084</w:t>
                </w:r>
                <w:r>
                  <w:rPr/>
                  <w:fldChar w:fldCharType="end"/>
                </w:r>
              </w:p>
            </w:txbxContent>
          </v:textbox>
          <w10:wrap type="none"/>
        </v:shape>
      </w:pict>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5624"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79855">
          <wp:simplePos x="0" y="0"/>
          <wp:positionH relativeFrom="page">
            <wp:posOffset>985998</wp:posOffset>
          </wp:positionH>
          <wp:positionV relativeFrom="page">
            <wp:posOffset>9315373</wp:posOffset>
          </wp:positionV>
          <wp:extent cx="6379583" cy="902334"/>
          <wp:effectExtent l="0" t="0" r="0" b="0"/>
          <wp:wrapNone/>
          <wp:docPr id="407" name="image2.jpeg" descr=""/>
          <wp:cNvGraphicFramePr>
            <a:graphicFrameLocks noChangeAspect="1"/>
          </wp:cNvGraphicFramePr>
          <a:graphic>
            <a:graphicData uri="http://schemas.openxmlformats.org/drawingml/2006/picture">
              <pic:pic>
                <pic:nvPicPr>
                  <pic:cNvPr id="40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55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1085</w:t>
                </w:r>
                <w:r>
                  <w:rPr/>
                  <w:fldChar w:fldCharType="end"/>
                </w:r>
              </w:p>
            </w:txbxContent>
          </v:textbox>
          <w10:wrap type="none"/>
        </v:shape>
      </w:pict>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5552"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79927">
          <wp:simplePos x="0" y="0"/>
          <wp:positionH relativeFrom="page">
            <wp:posOffset>985998</wp:posOffset>
          </wp:positionH>
          <wp:positionV relativeFrom="page">
            <wp:posOffset>9315373</wp:posOffset>
          </wp:positionV>
          <wp:extent cx="6379583" cy="902334"/>
          <wp:effectExtent l="0" t="0" r="0" b="0"/>
          <wp:wrapNone/>
          <wp:docPr id="409" name="image2.jpeg" descr=""/>
          <wp:cNvGraphicFramePr>
            <a:graphicFrameLocks noChangeAspect="1"/>
          </wp:cNvGraphicFramePr>
          <a:graphic>
            <a:graphicData uri="http://schemas.openxmlformats.org/drawingml/2006/picture">
              <pic:pic>
                <pic:nvPicPr>
                  <pic:cNvPr id="41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55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1090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17.940002pt;margin-top:558.936035pt;width:2.4pt;height:36.4pt;mso-position-horizontal-relative:page;mso-position-vertical-relative:page;z-index:-1268632" coordorigin="14359,11179" coordsize="48,728">
          <v:line style="position:absolute" from="14402,11179" to="14402,11906" stroked="true" strokeweight=".47998pt" strokecolor="#e22c91">
            <v:stroke dashstyle="solid"/>
          </v:line>
          <v:line style="position:absolute" from="14383,11179" to="14383,11906" stroked="true" strokeweight=".47998pt" strokecolor="#e22c91">
            <v:stroke dashstyle="solid"/>
          </v:line>
          <v:line style="position:absolute" from="14364,11179" to="14364,11906" stroked="true" strokeweight=".47998pt" strokecolor="#e22c91">
            <v:stroke dashstyle="solid"/>
          </v:line>
          <w10:wrap type="none"/>
        </v:group>
      </w:pict>
    </w:r>
    <w:r>
      <w:rPr/>
      <w:pict>
        <v:shape style="position:absolute;margin-left:722.539978pt;margin-top:560.096008pt;width:15.3pt;height:13.05pt;mso-position-horizontal-relative:page;mso-position-vertical-relative:page;z-index:-12686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35</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7480"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67999">
          <wp:simplePos x="0" y="0"/>
          <wp:positionH relativeFrom="page">
            <wp:posOffset>896463</wp:posOffset>
          </wp:positionH>
          <wp:positionV relativeFrom="page">
            <wp:posOffset>9315373</wp:posOffset>
          </wp:positionV>
          <wp:extent cx="6379583" cy="902334"/>
          <wp:effectExtent l="0" t="0" r="0" b="0"/>
          <wp:wrapNone/>
          <wp:docPr id="41" name="image2.jpeg" descr=""/>
          <wp:cNvGraphicFramePr>
            <a:graphicFrameLocks noChangeAspect="1"/>
          </wp:cNvGraphicFramePr>
          <a:graphic>
            <a:graphicData uri="http://schemas.openxmlformats.org/drawingml/2006/picture">
              <pic:pic>
                <pic:nvPicPr>
                  <pic:cNvPr id="42"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74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180</w:t>
                </w:r>
                <w:r>
                  <w:rPr/>
                  <w:fldChar w:fldCharType="end"/>
                </w:r>
              </w:p>
            </w:txbxContent>
          </v:textbox>
          <w10:wrap type="none"/>
        </v:shape>
      </w:pict>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5480"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pict>
        <v:shape style="position:absolute;margin-left:533.179993pt;margin-top:806.839966pt;width:26.4pt;height:13.05pt;mso-position-horizontal-relative:page;mso-position-vertical-relative:page;z-index:-12554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1093</w:t>
                </w:r>
                <w:r>
                  <w:rPr/>
                  <w:fldChar w:fldCharType="end"/>
                </w:r>
              </w:p>
            </w:txbxContent>
          </v:textbox>
          <w10:wrap type="none"/>
        </v:shape>
      </w:pict>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5432"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0047">
          <wp:simplePos x="0" y="0"/>
          <wp:positionH relativeFrom="page">
            <wp:posOffset>985998</wp:posOffset>
          </wp:positionH>
          <wp:positionV relativeFrom="page">
            <wp:posOffset>9315373</wp:posOffset>
          </wp:positionV>
          <wp:extent cx="6379583" cy="902334"/>
          <wp:effectExtent l="0" t="0" r="0" b="0"/>
          <wp:wrapNone/>
          <wp:docPr id="413" name="image2.jpeg" descr=""/>
          <wp:cNvGraphicFramePr>
            <a:graphicFrameLocks noChangeAspect="1"/>
          </wp:cNvGraphicFramePr>
          <a:graphic>
            <a:graphicData uri="http://schemas.openxmlformats.org/drawingml/2006/picture">
              <pic:pic>
                <pic:nvPicPr>
                  <pic:cNvPr id="41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53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1094</w:t>
                </w:r>
                <w:r>
                  <w:rPr/>
                  <w:fldChar w:fldCharType="end"/>
                </w:r>
              </w:p>
            </w:txbxContent>
          </v:textbox>
          <w10:wrap type="none"/>
        </v:shape>
      </w:pict>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5360"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0119">
          <wp:simplePos x="0" y="0"/>
          <wp:positionH relativeFrom="page">
            <wp:posOffset>985998</wp:posOffset>
          </wp:positionH>
          <wp:positionV relativeFrom="page">
            <wp:posOffset>9315373</wp:posOffset>
          </wp:positionV>
          <wp:extent cx="6379583" cy="902334"/>
          <wp:effectExtent l="0" t="0" r="0" b="0"/>
          <wp:wrapNone/>
          <wp:docPr id="415" name="image2.jpeg" descr=""/>
          <wp:cNvGraphicFramePr>
            <a:graphicFrameLocks noChangeAspect="1"/>
          </wp:cNvGraphicFramePr>
          <a:graphic>
            <a:graphicData uri="http://schemas.openxmlformats.org/drawingml/2006/picture">
              <pic:pic>
                <pic:nvPicPr>
                  <pic:cNvPr id="416"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53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1100</w:t>
                </w:r>
                <w:r>
                  <w:rPr/>
                  <w:fldChar w:fldCharType="end"/>
                </w:r>
              </w:p>
            </w:txbxContent>
          </v:textbox>
          <w10:wrap type="none"/>
        </v:shape>
      </w:pict>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5288"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0191">
          <wp:simplePos x="0" y="0"/>
          <wp:positionH relativeFrom="page">
            <wp:posOffset>985998</wp:posOffset>
          </wp:positionH>
          <wp:positionV relativeFrom="page">
            <wp:posOffset>9315373</wp:posOffset>
          </wp:positionV>
          <wp:extent cx="6379583" cy="902334"/>
          <wp:effectExtent l="0" t="0" r="0" b="0"/>
          <wp:wrapNone/>
          <wp:docPr id="417" name="image2.jpeg" descr=""/>
          <wp:cNvGraphicFramePr>
            <a:graphicFrameLocks noChangeAspect="1"/>
          </wp:cNvGraphicFramePr>
          <a:graphic>
            <a:graphicData uri="http://schemas.openxmlformats.org/drawingml/2006/picture">
              <pic:pic>
                <pic:nvPicPr>
                  <pic:cNvPr id="41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52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1110</w:t>
                </w:r>
                <w:r>
                  <w:rPr/>
                  <w:fldChar w:fldCharType="end"/>
                </w:r>
              </w:p>
            </w:txbxContent>
          </v:textbox>
          <w10:wrap type="none"/>
        </v:shape>
      </w:pict>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5216"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0263">
          <wp:simplePos x="0" y="0"/>
          <wp:positionH relativeFrom="page">
            <wp:posOffset>985998</wp:posOffset>
          </wp:positionH>
          <wp:positionV relativeFrom="page">
            <wp:posOffset>9315373</wp:posOffset>
          </wp:positionV>
          <wp:extent cx="6379583" cy="902334"/>
          <wp:effectExtent l="0" t="0" r="0" b="0"/>
          <wp:wrapNone/>
          <wp:docPr id="419" name="image2.jpeg" descr=""/>
          <wp:cNvGraphicFramePr>
            <a:graphicFrameLocks noChangeAspect="1"/>
          </wp:cNvGraphicFramePr>
          <a:graphic>
            <a:graphicData uri="http://schemas.openxmlformats.org/drawingml/2006/picture">
              <pic:pic>
                <pic:nvPicPr>
                  <pic:cNvPr id="42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51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1120</w:t>
                </w:r>
                <w:r>
                  <w:rPr/>
                  <w:fldChar w:fldCharType="end"/>
                </w:r>
              </w:p>
            </w:txbxContent>
          </v:textbox>
          <w10:wrap type="none"/>
        </v:shape>
      </w:pict>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5144"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0335">
          <wp:simplePos x="0" y="0"/>
          <wp:positionH relativeFrom="page">
            <wp:posOffset>985998</wp:posOffset>
          </wp:positionH>
          <wp:positionV relativeFrom="page">
            <wp:posOffset>9315373</wp:posOffset>
          </wp:positionV>
          <wp:extent cx="6379583" cy="902334"/>
          <wp:effectExtent l="0" t="0" r="0" b="0"/>
          <wp:wrapNone/>
          <wp:docPr id="421" name="image2.jpeg" descr=""/>
          <wp:cNvGraphicFramePr>
            <a:graphicFrameLocks noChangeAspect="1"/>
          </wp:cNvGraphicFramePr>
          <a:graphic>
            <a:graphicData uri="http://schemas.openxmlformats.org/drawingml/2006/picture">
              <pic:pic>
                <pic:nvPicPr>
                  <pic:cNvPr id="422"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50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1130</w:t>
                </w:r>
                <w:r>
                  <w:rPr/>
                  <w:fldChar w:fldCharType="end"/>
                </w:r>
              </w:p>
            </w:txbxContent>
          </v:textbox>
          <w10:wrap type="none"/>
        </v:shape>
      </w:pict>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5072"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0407">
          <wp:simplePos x="0" y="0"/>
          <wp:positionH relativeFrom="page">
            <wp:posOffset>985998</wp:posOffset>
          </wp:positionH>
          <wp:positionV relativeFrom="page">
            <wp:posOffset>8993123</wp:posOffset>
          </wp:positionV>
          <wp:extent cx="6379583" cy="902106"/>
          <wp:effectExtent l="0" t="0" r="0" b="0"/>
          <wp:wrapNone/>
          <wp:docPr id="423" name="image2.jpeg" descr=""/>
          <wp:cNvGraphicFramePr>
            <a:graphicFrameLocks noChangeAspect="1"/>
          </wp:cNvGraphicFramePr>
          <a:graphic>
            <a:graphicData uri="http://schemas.openxmlformats.org/drawingml/2006/picture">
              <pic:pic>
                <pic:nvPicPr>
                  <pic:cNvPr id="424" name="image2.jpeg"/>
                  <pic:cNvPicPr/>
                </pic:nvPicPr>
                <pic:blipFill>
                  <a:blip r:embed="rId1" cstate="print"/>
                  <a:stretch>
                    <a:fillRect/>
                  </a:stretch>
                </pic:blipFill>
                <pic:spPr>
                  <a:xfrm>
                    <a:off x="0" y="0"/>
                    <a:ext cx="6379583" cy="902106"/>
                  </a:xfrm>
                  <a:prstGeom prst="rect">
                    <a:avLst/>
                  </a:prstGeom>
                </pic:spPr>
              </pic:pic>
            </a:graphicData>
          </a:graphic>
        </wp:anchor>
      </w:drawing>
    </w:r>
    <w:r>
      <w:rPr/>
      <w:pict>
        <v:shape style="position:absolute;margin-left:533.179993pt;margin-top:806.839966pt;width:26.4pt;height:13.05pt;mso-position-horizontal-relative:page;mso-position-vertical-relative:page;z-index:-12550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1135</w:t>
                </w:r>
                <w:r>
                  <w:rPr/>
                  <w:fldChar w:fldCharType="end"/>
                </w:r>
              </w:p>
            </w:txbxContent>
          </v:textbox>
          <w10:wrap type="none"/>
        </v:shape>
      </w:pict>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5000"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0479">
          <wp:simplePos x="0" y="0"/>
          <wp:positionH relativeFrom="page">
            <wp:posOffset>985998</wp:posOffset>
          </wp:positionH>
          <wp:positionV relativeFrom="page">
            <wp:posOffset>9315373</wp:posOffset>
          </wp:positionV>
          <wp:extent cx="6379583" cy="902334"/>
          <wp:effectExtent l="0" t="0" r="0" b="0"/>
          <wp:wrapNone/>
          <wp:docPr id="425" name="image2.jpeg" descr=""/>
          <wp:cNvGraphicFramePr>
            <a:graphicFrameLocks noChangeAspect="1"/>
          </wp:cNvGraphicFramePr>
          <a:graphic>
            <a:graphicData uri="http://schemas.openxmlformats.org/drawingml/2006/picture">
              <pic:pic>
                <pic:nvPicPr>
                  <pic:cNvPr id="426"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49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1137</w:t>
                </w:r>
                <w:r>
                  <w:rPr/>
                  <w:fldChar w:fldCharType="end"/>
                </w:r>
              </w:p>
            </w:txbxContent>
          </v:textbox>
          <w10:wrap type="none"/>
        </v:shape>
      </w:pict>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4928"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0551">
          <wp:simplePos x="0" y="0"/>
          <wp:positionH relativeFrom="page">
            <wp:posOffset>985998</wp:posOffset>
          </wp:positionH>
          <wp:positionV relativeFrom="page">
            <wp:posOffset>9315373</wp:posOffset>
          </wp:positionV>
          <wp:extent cx="6379583" cy="902334"/>
          <wp:effectExtent l="0" t="0" r="0" b="0"/>
          <wp:wrapNone/>
          <wp:docPr id="427" name="image2.jpeg" descr=""/>
          <wp:cNvGraphicFramePr>
            <a:graphicFrameLocks noChangeAspect="1"/>
          </wp:cNvGraphicFramePr>
          <a:graphic>
            <a:graphicData uri="http://schemas.openxmlformats.org/drawingml/2006/picture">
              <pic:pic>
                <pic:nvPicPr>
                  <pic:cNvPr id="42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48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1140</w:t>
                </w:r>
                <w:r>
                  <w:rPr/>
                  <w:fldChar w:fldCharType="end"/>
                </w:r>
              </w:p>
            </w:txbxContent>
          </v:textbox>
          <w10:wrap type="none"/>
        </v:shape>
      </w:pict>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4856"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0623">
          <wp:simplePos x="0" y="0"/>
          <wp:positionH relativeFrom="page">
            <wp:posOffset>985998</wp:posOffset>
          </wp:positionH>
          <wp:positionV relativeFrom="page">
            <wp:posOffset>9315373</wp:posOffset>
          </wp:positionV>
          <wp:extent cx="6379583" cy="902334"/>
          <wp:effectExtent l="0" t="0" r="0" b="0"/>
          <wp:wrapNone/>
          <wp:docPr id="429" name="image2.jpeg" descr=""/>
          <wp:cNvGraphicFramePr>
            <a:graphicFrameLocks noChangeAspect="1"/>
          </wp:cNvGraphicFramePr>
          <a:graphic>
            <a:graphicData uri="http://schemas.openxmlformats.org/drawingml/2006/picture">
              <pic:pic>
                <pic:nvPicPr>
                  <pic:cNvPr id="43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48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1150</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7408"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pict>
        <v:shape style="position:absolute;margin-left:530.580017pt;margin-top:806.839966pt;width:18.75pt;height:13.05pt;mso-position-horizontal-relative:page;mso-position-vertical-relative:page;z-index:-1267384" type="#_x0000_t202" filled="false" stroked="false">
          <v:textbox inset="0,0,0,0">
            <w:txbxContent>
              <w:p>
                <w:pPr>
                  <w:spacing w:line="245" w:lineRule="exact" w:before="0"/>
                  <w:ind w:left="20" w:right="0" w:firstLine="0"/>
                  <w:jc w:val="left"/>
                  <w:rPr>
                    <w:rFonts w:ascii="Calibri"/>
                    <w:sz w:val="22"/>
                  </w:rPr>
                </w:pPr>
                <w:r>
                  <w:rPr>
                    <w:rFonts w:ascii="Calibri"/>
                    <w:sz w:val="22"/>
                  </w:rPr>
                  <w:t>189</w:t>
                </w:r>
              </w:p>
            </w:txbxContent>
          </v:textbox>
          <w10:wrap type="none"/>
        </v:shape>
      </w:pict>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4784"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0695">
          <wp:simplePos x="0" y="0"/>
          <wp:positionH relativeFrom="page">
            <wp:posOffset>985998</wp:posOffset>
          </wp:positionH>
          <wp:positionV relativeFrom="page">
            <wp:posOffset>9315373</wp:posOffset>
          </wp:positionV>
          <wp:extent cx="6379583" cy="902334"/>
          <wp:effectExtent l="0" t="0" r="0" b="0"/>
          <wp:wrapNone/>
          <wp:docPr id="431" name="image2.jpeg" descr=""/>
          <wp:cNvGraphicFramePr>
            <a:graphicFrameLocks noChangeAspect="1"/>
          </wp:cNvGraphicFramePr>
          <a:graphic>
            <a:graphicData uri="http://schemas.openxmlformats.org/drawingml/2006/picture">
              <pic:pic>
                <pic:nvPicPr>
                  <pic:cNvPr id="432"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47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1160</w:t>
                </w:r>
                <w:r>
                  <w:rPr/>
                  <w:fldChar w:fldCharType="end"/>
                </w:r>
              </w:p>
            </w:txbxContent>
          </v:textbox>
          <w10:wrap type="none"/>
        </v:shape>
      </w:pict>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4712"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0767">
          <wp:simplePos x="0" y="0"/>
          <wp:positionH relativeFrom="page">
            <wp:posOffset>985998</wp:posOffset>
          </wp:positionH>
          <wp:positionV relativeFrom="page">
            <wp:posOffset>9315373</wp:posOffset>
          </wp:positionV>
          <wp:extent cx="6379583" cy="902334"/>
          <wp:effectExtent l="0" t="0" r="0" b="0"/>
          <wp:wrapNone/>
          <wp:docPr id="433" name="image2.jpeg" descr=""/>
          <wp:cNvGraphicFramePr>
            <a:graphicFrameLocks noChangeAspect="1"/>
          </wp:cNvGraphicFramePr>
          <a:graphic>
            <a:graphicData uri="http://schemas.openxmlformats.org/drawingml/2006/picture">
              <pic:pic>
                <pic:nvPicPr>
                  <pic:cNvPr id="43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46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1170</w:t>
                </w:r>
                <w:r>
                  <w:rPr/>
                  <w:fldChar w:fldCharType="end"/>
                </w:r>
              </w:p>
            </w:txbxContent>
          </v:textbox>
          <w10:wrap type="none"/>
        </v:shape>
      </w:pict>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4640"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0839">
          <wp:simplePos x="0" y="0"/>
          <wp:positionH relativeFrom="page">
            <wp:posOffset>985998</wp:posOffset>
          </wp:positionH>
          <wp:positionV relativeFrom="page">
            <wp:posOffset>9315373</wp:posOffset>
          </wp:positionV>
          <wp:extent cx="6379583" cy="902334"/>
          <wp:effectExtent l="0" t="0" r="0" b="0"/>
          <wp:wrapNone/>
          <wp:docPr id="435" name="image2.jpeg" descr=""/>
          <wp:cNvGraphicFramePr>
            <a:graphicFrameLocks noChangeAspect="1"/>
          </wp:cNvGraphicFramePr>
          <a:graphic>
            <a:graphicData uri="http://schemas.openxmlformats.org/drawingml/2006/picture">
              <pic:pic>
                <pic:nvPicPr>
                  <pic:cNvPr id="436"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45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1181</w:t>
                </w:r>
                <w:r>
                  <w:rPr/>
                  <w:fldChar w:fldCharType="end"/>
                </w:r>
              </w:p>
            </w:txbxContent>
          </v:textbox>
          <w10:wrap type="none"/>
        </v:shape>
      </w:pict>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4568"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0911">
          <wp:simplePos x="0" y="0"/>
          <wp:positionH relativeFrom="page">
            <wp:posOffset>985998</wp:posOffset>
          </wp:positionH>
          <wp:positionV relativeFrom="page">
            <wp:posOffset>8993123</wp:posOffset>
          </wp:positionV>
          <wp:extent cx="6379583" cy="902106"/>
          <wp:effectExtent l="0" t="0" r="0" b="0"/>
          <wp:wrapNone/>
          <wp:docPr id="437" name="image2.jpeg" descr=""/>
          <wp:cNvGraphicFramePr>
            <a:graphicFrameLocks noChangeAspect="1"/>
          </wp:cNvGraphicFramePr>
          <a:graphic>
            <a:graphicData uri="http://schemas.openxmlformats.org/drawingml/2006/picture">
              <pic:pic>
                <pic:nvPicPr>
                  <pic:cNvPr id="438" name="image2.jpeg"/>
                  <pic:cNvPicPr/>
                </pic:nvPicPr>
                <pic:blipFill>
                  <a:blip r:embed="rId1" cstate="print"/>
                  <a:stretch>
                    <a:fillRect/>
                  </a:stretch>
                </pic:blipFill>
                <pic:spPr>
                  <a:xfrm>
                    <a:off x="0" y="0"/>
                    <a:ext cx="6379583" cy="902106"/>
                  </a:xfrm>
                  <a:prstGeom prst="rect">
                    <a:avLst/>
                  </a:prstGeom>
                </pic:spPr>
              </pic:pic>
            </a:graphicData>
          </a:graphic>
        </wp:anchor>
      </w:drawing>
    </w:r>
    <w:r>
      <w:rPr/>
      <w:pict>
        <v:shape style="position:absolute;margin-left:533.179993pt;margin-top:806.839966pt;width:26.4pt;height:13.05pt;mso-position-horizontal-relative:page;mso-position-vertical-relative:page;z-index:-12545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1184</w:t>
                </w:r>
                <w:r>
                  <w:rPr/>
                  <w:fldChar w:fldCharType="end"/>
                </w:r>
              </w:p>
            </w:txbxContent>
          </v:textbox>
          <w10:wrap type="none"/>
        </v:shape>
      </w:pict>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4496"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0983">
          <wp:simplePos x="0" y="0"/>
          <wp:positionH relativeFrom="page">
            <wp:posOffset>985998</wp:posOffset>
          </wp:positionH>
          <wp:positionV relativeFrom="page">
            <wp:posOffset>9315373</wp:posOffset>
          </wp:positionV>
          <wp:extent cx="6379583" cy="902334"/>
          <wp:effectExtent l="0" t="0" r="0" b="0"/>
          <wp:wrapNone/>
          <wp:docPr id="439" name="image2.jpeg" descr=""/>
          <wp:cNvGraphicFramePr>
            <a:graphicFrameLocks noChangeAspect="1"/>
          </wp:cNvGraphicFramePr>
          <a:graphic>
            <a:graphicData uri="http://schemas.openxmlformats.org/drawingml/2006/picture">
              <pic:pic>
                <pic:nvPicPr>
                  <pic:cNvPr id="44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44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1186</w:t>
                </w:r>
                <w:r>
                  <w:rPr/>
                  <w:fldChar w:fldCharType="end"/>
                </w:r>
              </w:p>
            </w:txbxContent>
          </v:textbox>
          <w10:wrap type="none"/>
        </v:shape>
      </w:pict>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4424"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1055">
          <wp:simplePos x="0" y="0"/>
          <wp:positionH relativeFrom="page">
            <wp:posOffset>985998</wp:posOffset>
          </wp:positionH>
          <wp:positionV relativeFrom="page">
            <wp:posOffset>9315373</wp:posOffset>
          </wp:positionV>
          <wp:extent cx="6379583" cy="902334"/>
          <wp:effectExtent l="0" t="0" r="0" b="0"/>
          <wp:wrapNone/>
          <wp:docPr id="441" name="image2.jpeg" descr=""/>
          <wp:cNvGraphicFramePr>
            <a:graphicFrameLocks noChangeAspect="1"/>
          </wp:cNvGraphicFramePr>
          <a:graphic>
            <a:graphicData uri="http://schemas.openxmlformats.org/drawingml/2006/picture">
              <pic:pic>
                <pic:nvPicPr>
                  <pic:cNvPr id="442"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43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1190</w:t>
                </w:r>
                <w:r>
                  <w:rPr/>
                  <w:fldChar w:fldCharType="end"/>
                </w:r>
              </w:p>
            </w:txbxContent>
          </v:textbox>
          <w10:wrap type="none"/>
        </v:shape>
      </w:pict>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4352"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1127">
          <wp:simplePos x="0" y="0"/>
          <wp:positionH relativeFrom="page">
            <wp:posOffset>985998</wp:posOffset>
          </wp:positionH>
          <wp:positionV relativeFrom="page">
            <wp:posOffset>9315373</wp:posOffset>
          </wp:positionV>
          <wp:extent cx="6379583" cy="902334"/>
          <wp:effectExtent l="0" t="0" r="0" b="0"/>
          <wp:wrapNone/>
          <wp:docPr id="443" name="image2.jpeg" descr=""/>
          <wp:cNvGraphicFramePr>
            <a:graphicFrameLocks noChangeAspect="1"/>
          </wp:cNvGraphicFramePr>
          <a:graphic>
            <a:graphicData uri="http://schemas.openxmlformats.org/drawingml/2006/picture">
              <pic:pic>
                <pic:nvPicPr>
                  <pic:cNvPr id="44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43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1200</w:t>
                </w:r>
                <w:r>
                  <w:rPr/>
                  <w:fldChar w:fldCharType="end"/>
                </w:r>
              </w:p>
            </w:txbxContent>
          </v:textbox>
          <w10:wrap type="none"/>
        </v:shape>
      </w:pict>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4280"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1199">
          <wp:simplePos x="0" y="0"/>
          <wp:positionH relativeFrom="page">
            <wp:posOffset>985998</wp:posOffset>
          </wp:positionH>
          <wp:positionV relativeFrom="page">
            <wp:posOffset>9315373</wp:posOffset>
          </wp:positionV>
          <wp:extent cx="6379583" cy="902334"/>
          <wp:effectExtent l="0" t="0" r="0" b="0"/>
          <wp:wrapNone/>
          <wp:docPr id="445" name="image2.jpeg" descr=""/>
          <wp:cNvGraphicFramePr>
            <a:graphicFrameLocks noChangeAspect="1"/>
          </wp:cNvGraphicFramePr>
          <a:graphic>
            <a:graphicData uri="http://schemas.openxmlformats.org/drawingml/2006/picture">
              <pic:pic>
                <pic:nvPicPr>
                  <pic:cNvPr id="446"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42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1210</w:t>
                </w:r>
                <w:r>
                  <w:rPr/>
                  <w:fldChar w:fldCharType="end"/>
                </w:r>
              </w:p>
            </w:txbxContent>
          </v:textbox>
          <w10:wrap type="none"/>
        </v:shape>
      </w:pict>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4208"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1271">
          <wp:simplePos x="0" y="0"/>
          <wp:positionH relativeFrom="page">
            <wp:posOffset>985998</wp:posOffset>
          </wp:positionH>
          <wp:positionV relativeFrom="page">
            <wp:posOffset>9315373</wp:posOffset>
          </wp:positionV>
          <wp:extent cx="6379583" cy="902334"/>
          <wp:effectExtent l="0" t="0" r="0" b="0"/>
          <wp:wrapNone/>
          <wp:docPr id="447" name="image2.jpeg" descr=""/>
          <wp:cNvGraphicFramePr>
            <a:graphicFrameLocks noChangeAspect="1"/>
          </wp:cNvGraphicFramePr>
          <a:graphic>
            <a:graphicData uri="http://schemas.openxmlformats.org/drawingml/2006/picture">
              <pic:pic>
                <pic:nvPicPr>
                  <pic:cNvPr id="44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41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1220</w:t>
                </w:r>
                <w:r>
                  <w:rPr/>
                  <w:fldChar w:fldCharType="end"/>
                </w:r>
              </w:p>
            </w:txbxContent>
          </v:textbox>
          <w10:wrap type="none"/>
        </v:shape>
      </w:pict>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4136"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pict>
        <v:shape style="position:absolute;margin-left:533.179993pt;margin-top:806.839966pt;width:26.4pt;height:13.05pt;mso-position-horizontal-relative:page;mso-position-vertical-relative:page;z-index:-12541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1228</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7360"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68119">
          <wp:simplePos x="0" y="0"/>
          <wp:positionH relativeFrom="page">
            <wp:posOffset>896463</wp:posOffset>
          </wp:positionH>
          <wp:positionV relativeFrom="page">
            <wp:posOffset>9315373</wp:posOffset>
          </wp:positionV>
          <wp:extent cx="6379583" cy="902334"/>
          <wp:effectExtent l="0" t="0" r="0" b="0"/>
          <wp:wrapNone/>
          <wp:docPr id="45" name="image2.jpeg" descr=""/>
          <wp:cNvGraphicFramePr>
            <a:graphicFrameLocks noChangeAspect="1"/>
          </wp:cNvGraphicFramePr>
          <a:graphic>
            <a:graphicData uri="http://schemas.openxmlformats.org/drawingml/2006/picture">
              <pic:pic>
                <pic:nvPicPr>
                  <pic:cNvPr id="46"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73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190</w:t>
                </w:r>
                <w:r>
                  <w:rPr/>
                  <w:fldChar w:fldCharType="end"/>
                </w:r>
              </w:p>
            </w:txbxContent>
          </v:textbox>
          <w10:wrap type="none"/>
        </v:shape>
      </w:pict>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4088"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1391">
          <wp:simplePos x="0" y="0"/>
          <wp:positionH relativeFrom="page">
            <wp:posOffset>985998</wp:posOffset>
          </wp:positionH>
          <wp:positionV relativeFrom="page">
            <wp:posOffset>9315373</wp:posOffset>
          </wp:positionV>
          <wp:extent cx="6379583" cy="902334"/>
          <wp:effectExtent l="0" t="0" r="0" b="0"/>
          <wp:wrapNone/>
          <wp:docPr id="451" name="image2.jpeg" descr=""/>
          <wp:cNvGraphicFramePr>
            <a:graphicFrameLocks noChangeAspect="1"/>
          </wp:cNvGraphicFramePr>
          <a:graphic>
            <a:graphicData uri="http://schemas.openxmlformats.org/drawingml/2006/picture">
              <pic:pic>
                <pic:nvPicPr>
                  <pic:cNvPr id="452"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5.4pt;height:13.05pt;mso-position-horizontal-relative:page;mso-position-vertical-relative:page;z-index:-12540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122</w:t>
                </w:r>
                <w:r>
                  <w:rPr/>
                  <w:fldChar w:fldCharType="end"/>
                </w:r>
                <w:r>
                  <w:rPr>
                    <w:rFonts w:ascii="Calibri"/>
                    <w:sz w:val="22"/>
                  </w:rPr>
                  <w:t>9</w:t>
                </w:r>
              </w:p>
            </w:txbxContent>
          </v:textbox>
          <w10:wrap type="none"/>
        </v:shape>
      </w:pict>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4016"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1463">
          <wp:simplePos x="0" y="0"/>
          <wp:positionH relativeFrom="page">
            <wp:posOffset>985998</wp:posOffset>
          </wp:positionH>
          <wp:positionV relativeFrom="page">
            <wp:posOffset>9315373</wp:posOffset>
          </wp:positionV>
          <wp:extent cx="6379583" cy="902334"/>
          <wp:effectExtent l="0" t="0" r="0" b="0"/>
          <wp:wrapNone/>
          <wp:docPr id="453" name="image2.jpeg" descr=""/>
          <wp:cNvGraphicFramePr>
            <a:graphicFrameLocks noChangeAspect="1"/>
          </wp:cNvGraphicFramePr>
          <a:graphic>
            <a:graphicData uri="http://schemas.openxmlformats.org/drawingml/2006/picture">
              <pic:pic>
                <pic:nvPicPr>
                  <pic:cNvPr id="45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5.4pt;height:13.05pt;mso-position-horizontal-relative:page;mso-position-vertical-relative:page;z-index:-12539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123</w:t>
                </w:r>
                <w:r>
                  <w:rPr/>
                  <w:fldChar w:fldCharType="end"/>
                </w:r>
                <w:r>
                  <w:rPr>
                    <w:rFonts w:ascii="Calibri"/>
                    <w:sz w:val="22"/>
                  </w:rPr>
                  <w:t>0</w:t>
                </w:r>
              </w:p>
            </w:txbxContent>
          </v:textbox>
          <w10:wrap type="none"/>
        </v:shape>
      </w:pict>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3944"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1535">
          <wp:simplePos x="0" y="0"/>
          <wp:positionH relativeFrom="page">
            <wp:posOffset>985998</wp:posOffset>
          </wp:positionH>
          <wp:positionV relativeFrom="page">
            <wp:posOffset>9315373</wp:posOffset>
          </wp:positionV>
          <wp:extent cx="6379583" cy="902334"/>
          <wp:effectExtent l="0" t="0" r="0" b="0"/>
          <wp:wrapNone/>
          <wp:docPr id="455" name="image2.jpeg" descr=""/>
          <wp:cNvGraphicFramePr>
            <a:graphicFrameLocks noChangeAspect="1"/>
          </wp:cNvGraphicFramePr>
          <a:graphic>
            <a:graphicData uri="http://schemas.openxmlformats.org/drawingml/2006/picture">
              <pic:pic>
                <pic:nvPicPr>
                  <pic:cNvPr id="456"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38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1231</w:t>
                </w:r>
                <w:r>
                  <w:rPr/>
                  <w:fldChar w:fldCharType="end"/>
                </w:r>
              </w:p>
            </w:txbxContent>
          </v:textbox>
          <w10:wrap type="none"/>
        </v:shape>
      </w:pict>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3872"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1607">
          <wp:simplePos x="0" y="0"/>
          <wp:positionH relativeFrom="page">
            <wp:posOffset>985998</wp:posOffset>
          </wp:positionH>
          <wp:positionV relativeFrom="page">
            <wp:posOffset>9315373</wp:posOffset>
          </wp:positionV>
          <wp:extent cx="6379583" cy="902334"/>
          <wp:effectExtent l="0" t="0" r="0" b="0"/>
          <wp:wrapNone/>
          <wp:docPr id="457" name="image2.jpeg" descr=""/>
          <wp:cNvGraphicFramePr>
            <a:graphicFrameLocks noChangeAspect="1"/>
          </wp:cNvGraphicFramePr>
          <a:graphic>
            <a:graphicData uri="http://schemas.openxmlformats.org/drawingml/2006/picture">
              <pic:pic>
                <pic:nvPicPr>
                  <pic:cNvPr id="45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38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1240</w:t>
                </w:r>
                <w:r>
                  <w:rPr/>
                  <w:fldChar w:fldCharType="end"/>
                </w:r>
              </w:p>
            </w:txbxContent>
          </v:textbox>
          <w10:wrap type="none"/>
        </v:shape>
      </w:pict>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3800"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pict>
        <v:shape style="position:absolute;margin-left:533.179993pt;margin-top:806.839966pt;width:26.4pt;height:13.05pt;mso-position-horizontal-relative:page;mso-position-vertical-relative:page;z-index:-12537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1244</w:t>
                </w:r>
                <w:r>
                  <w:rPr/>
                  <w:fldChar w:fldCharType="end"/>
                </w:r>
              </w:p>
            </w:txbxContent>
          </v:textbox>
          <w10:wrap type="none"/>
        </v:shape>
      </w:pict>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3752"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1727">
          <wp:simplePos x="0" y="0"/>
          <wp:positionH relativeFrom="page">
            <wp:posOffset>985998</wp:posOffset>
          </wp:positionH>
          <wp:positionV relativeFrom="page">
            <wp:posOffset>9315373</wp:posOffset>
          </wp:positionV>
          <wp:extent cx="6379583" cy="902334"/>
          <wp:effectExtent l="0" t="0" r="0" b="0"/>
          <wp:wrapNone/>
          <wp:docPr id="461" name="image2.jpeg" descr=""/>
          <wp:cNvGraphicFramePr>
            <a:graphicFrameLocks noChangeAspect="1"/>
          </wp:cNvGraphicFramePr>
          <a:graphic>
            <a:graphicData uri="http://schemas.openxmlformats.org/drawingml/2006/picture">
              <pic:pic>
                <pic:nvPicPr>
                  <pic:cNvPr id="462"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37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1245</w:t>
                </w:r>
                <w:r>
                  <w:rPr/>
                  <w:fldChar w:fldCharType="end"/>
                </w:r>
              </w:p>
            </w:txbxContent>
          </v:textbox>
          <w10:wrap type="none"/>
        </v:shape>
      </w:pict>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3680"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1799">
          <wp:simplePos x="0" y="0"/>
          <wp:positionH relativeFrom="page">
            <wp:posOffset>985998</wp:posOffset>
          </wp:positionH>
          <wp:positionV relativeFrom="page">
            <wp:posOffset>9315373</wp:posOffset>
          </wp:positionV>
          <wp:extent cx="6379583" cy="902334"/>
          <wp:effectExtent l="0" t="0" r="0" b="0"/>
          <wp:wrapNone/>
          <wp:docPr id="463" name="image2.jpeg" descr=""/>
          <wp:cNvGraphicFramePr>
            <a:graphicFrameLocks noChangeAspect="1"/>
          </wp:cNvGraphicFramePr>
          <a:graphic>
            <a:graphicData uri="http://schemas.openxmlformats.org/drawingml/2006/picture">
              <pic:pic>
                <pic:nvPicPr>
                  <pic:cNvPr id="46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36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1250</w:t>
                </w:r>
                <w:r>
                  <w:rPr/>
                  <w:fldChar w:fldCharType="end"/>
                </w:r>
              </w:p>
            </w:txbxContent>
          </v:textbox>
          <w10:wrap type="none"/>
        </v:shape>
      </w:pict>
    </w: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3608"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pict>
        <v:shape style="position:absolute;margin-left:534.179993pt;margin-top:806.839966pt;width:24.4pt;height:13.05pt;mso-position-horizontal-relative:page;mso-position-vertical-relative:page;z-index:-1253584" type="#_x0000_t202" filled="false" stroked="false">
          <v:textbox inset="0,0,0,0">
            <w:txbxContent>
              <w:p>
                <w:pPr>
                  <w:spacing w:line="245" w:lineRule="exact" w:before="0"/>
                  <w:ind w:left="20" w:right="0" w:firstLine="0"/>
                  <w:jc w:val="left"/>
                  <w:rPr>
                    <w:rFonts w:ascii="Calibri"/>
                    <w:sz w:val="22"/>
                  </w:rPr>
                </w:pPr>
                <w:r>
                  <w:rPr>
                    <w:rFonts w:ascii="Calibri"/>
                    <w:sz w:val="22"/>
                  </w:rPr>
                  <w:t>1254</w:t>
                </w:r>
              </w:p>
            </w:txbxContent>
          </v:textbox>
          <w10:wrap type="none"/>
        </v:shape>
      </w:pict>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3560"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pict>
        <v:shape style="position:absolute;margin-left:533.179993pt;margin-top:806.839966pt;width:26.4pt;height:13.05pt;mso-position-horizontal-relative:page;mso-position-vertical-relative:page;z-index:-12535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1255</w:t>
                </w:r>
                <w:r>
                  <w:rPr/>
                  <w:fldChar w:fldCharType="end"/>
                </w:r>
              </w:p>
            </w:txbxContent>
          </v:textbox>
          <w10:wrap type="none"/>
        </v:shape>
      </w:pict>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3512"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1967">
          <wp:simplePos x="0" y="0"/>
          <wp:positionH relativeFrom="page">
            <wp:posOffset>985998</wp:posOffset>
          </wp:positionH>
          <wp:positionV relativeFrom="page">
            <wp:posOffset>9315373</wp:posOffset>
          </wp:positionV>
          <wp:extent cx="6379583" cy="902334"/>
          <wp:effectExtent l="0" t="0" r="0" b="0"/>
          <wp:wrapNone/>
          <wp:docPr id="469" name="image2.jpeg" descr=""/>
          <wp:cNvGraphicFramePr>
            <a:graphicFrameLocks noChangeAspect="1"/>
          </wp:cNvGraphicFramePr>
          <a:graphic>
            <a:graphicData uri="http://schemas.openxmlformats.org/drawingml/2006/picture">
              <pic:pic>
                <pic:nvPicPr>
                  <pic:cNvPr id="47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34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1256</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7288"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pict>
        <v:shape style="position:absolute;margin-left:529.580017pt;margin-top:806.839966pt;width:20.75pt;height:13.05pt;mso-position-horizontal-relative:page;mso-position-vertical-relative:page;z-index:-12672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194</w:t>
                </w:r>
                <w:r>
                  <w:rPr/>
                  <w:fldChar w:fldCharType="end"/>
                </w:r>
              </w:p>
            </w:txbxContent>
          </v:textbox>
          <w10:wrap type="none"/>
        </v:shape>
      </w:pict>
    </w: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3440"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pict>
        <v:shape style="position:absolute;margin-left:534.179993pt;margin-top:806.839966pt;width:24.4pt;height:13.05pt;mso-position-horizontal-relative:page;mso-position-vertical-relative:page;z-index:-1253416" type="#_x0000_t202" filled="false" stroked="false">
          <v:textbox inset="0,0,0,0">
            <w:txbxContent>
              <w:p>
                <w:pPr>
                  <w:spacing w:line="245" w:lineRule="exact" w:before="0"/>
                  <w:ind w:left="20" w:right="0" w:firstLine="0"/>
                  <w:jc w:val="left"/>
                  <w:rPr>
                    <w:rFonts w:ascii="Calibri"/>
                    <w:sz w:val="22"/>
                  </w:rPr>
                </w:pPr>
                <w:r>
                  <w:rPr>
                    <w:rFonts w:ascii="Calibri"/>
                    <w:sz w:val="22"/>
                  </w:rPr>
                  <w:t>1258</w:t>
                </w:r>
              </w:p>
            </w:txbxContent>
          </v:textbox>
          <w10:wrap type="none"/>
        </v:shape>
      </w:pict>
    </w: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3392"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2087">
          <wp:simplePos x="0" y="0"/>
          <wp:positionH relativeFrom="page">
            <wp:posOffset>985998</wp:posOffset>
          </wp:positionH>
          <wp:positionV relativeFrom="page">
            <wp:posOffset>8993123</wp:posOffset>
          </wp:positionV>
          <wp:extent cx="6379583" cy="902106"/>
          <wp:effectExtent l="0" t="0" r="0" b="0"/>
          <wp:wrapNone/>
          <wp:docPr id="473" name="image2.jpeg" descr=""/>
          <wp:cNvGraphicFramePr>
            <a:graphicFrameLocks noChangeAspect="1"/>
          </wp:cNvGraphicFramePr>
          <a:graphic>
            <a:graphicData uri="http://schemas.openxmlformats.org/drawingml/2006/picture">
              <pic:pic>
                <pic:nvPicPr>
                  <pic:cNvPr id="474" name="image2.jpeg"/>
                  <pic:cNvPicPr/>
                </pic:nvPicPr>
                <pic:blipFill>
                  <a:blip r:embed="rId1" cstate="print"/>
                  <a:stretch>
                    <a:fillRect/>
                  </a:stretch>
                </pic:blipFill>
                <pic:spPr>
                  <a:xfrm>
                    <a:off x="0" y="0"/>
                    <a:ext cx="6379583" cy="902106"/>
                  </a:xfrm>
                  <a:prstGeom prst="rect">
                    <a:avLst/>
                  </a:prstGeom>
                </pic:spPr>
              </pic:pic>
            </a:graphicData>
          </a:graphic>
        </wp:anchor>
      </w:drawing>
    </w:r>
    <w:r>
      <w:rPr/>
      <w:pict>
        <v:shape style="position:absolute;margin-left:534.179993pt;margin-top:806.839966pt;width:24.4pt;height:13.05pt;mso-position-horizontal-relative:page;mso-position-vertical-relative:page;z-index:-1253344" type="#_x0000_t202" filled="false" stroked="false">
          <v:textbox inset="0,0,0,0">
            <w:txbxContent>
              <w:p>
                <w:pPr>
                  <w:spacing w:line="245" w:lineRule="exact" w:before="0"/>
                  <w:ind w:left="20" w:right="0" w:firstLine="0"/>
                  <w:jc w:val="left"/>
                  <w:rPr>
                    <w:rFonts w:ascii="Calibri"/>
                    <w:sz w:val="22"/>
                  </w:rPr>
                </w:pPr>
                <w:r>
                  <w:rPr>
                    <w:rFonts w:ascii="Calibri"/>
                    <w:sz w:val="22"/>
                  </w:rPr>
                  <w:t>1259</w:t>
                </w:r>
              </w:p>
            </w:txbxContent>
          </v:textbox>
          <w10:wrap type="none"/>
        </v:shape>
      </w:pict>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3320"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pict>
        <v:shape style="position:absolute;margin-left:533.179993pt;margin-top:806.839966pt;width:26.4pt;height:13.05pt;mso-position-horizontal-relative:page;mso-position-vertical-relative:page;z-index:-12532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1260</w:t>
                </w:r>
                <w:r>
                  <w:rPr/>
                  <w:fldChar w:fldCharType="end"/>
                </w:r>
              </w:p>
            </w:txbxContent>
          </v:textbox>
          <w10:wrap type="none"/>
        </v:shape>
      </w:pict>
    </w: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3272"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2207">
          <wp:simplePos x="0" y="0"/>
          <wp:positionH relativeFrom="page">
            <wp:posOffset>985998</wp:posOffset>
          </wp:positionH>
          <wp:positionV relativeFrom="page">
            <wp:posOffset>9315373</wp:posOffset>
          </wp:positionV>
          <wp:extent cx="6379583" cy="902334"/>
          <wp:effectExtent l="0" t="0" r="0" b="0"/>
          <wp:wrapNone/>
          <wp:docPr id="477" name="image2.jpeg" descr=""/>
          <wp:cNvGraphicFramePr>
            <a:graphicFrameLocks noChangeAspect="1"/>
          </wp:cNvGraphicFramePr>
          <a:graphic>
            <a:graphicData uri="http://schemas.openxmlformats.org/drawingml/2006/picture">
              <pic:pic>
                <pic:nvPicPr>
                  <pic:cNvPr id="47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32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1261</w:t>
                </w:r>
                <w:r>
                  <w:rPr/>
                  <w:fldChar w:fldCharType="end"/>
                </w:r>
              </w:p>
            </w:txbxContent>
          </v:textbox>
          <w10:wrap type="none"/>
        </v:shape>
      </w:pict>
    </w: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3200"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2279">
          <wp:simplePos x="0" y="0"/>
          <wp:positionH relativeFrom="page">
            <wp:posOffset>985998</wp:posOffset>
          </wp:positionH>
          <wp:positionV relativeFrom="page">
            <wp:posOffset>9315373</wp:posOffset>
          </wp:positionV>
          <wp:extent cx="6379583" cy="902334"/>
          <wp:effectExtent l="0" t="0" r="0" b="0"/>
          <wp:wrapNone/>
          <wp:docPr id="479" name="image2.jpeg" descr=""/>
          <wp:cNvGraphicFramePr>
            <a:graphicFrameLocks noChangeAspect="1"/>
          </wp:cNvGraphicFramePr>
          <a:graphic>
            <a:graphicData uri="http://schemas.openxmlformats.org/drawingml/2006/picture">
              <pic:pic>
                <pic:nvPicPr>
                  <pic:cNvPr id="48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31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1270</w:t>
                </w:r>
                <w:r>
                  <w:rPr/>
                  <w:fldChar w:fldCharType="end"/>
                </w:r>
              </w:p>
            </w:txbxContent>
          </v:textbox>
          <w10:wrap type="none"/>
        </v:shape>
      </w:pict>
    </w: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3128"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2351">
          <wp:simplePos x="0" y="0"/>
          <wp:positionH relativeFrom="page">
            <wp:posOffset>985998</wp:posOffset>
          </wp:positionH>
          <wp:positionV relativeFrom="page">
            <wp:posOffset>9315373</wp:posOffset>
          </wp:positionV>
          <wp:extent cx="6379583" cy="902334"/>
          <wp:effectExtent l="0" t="0" r="0" b="0"/>
          <wp:wrapNone/>
          <wp:docPr id="481" name="image2.jpeg" descr=""/>
          <wp:cNvGraphicFramePr>
            <a:graphicFrameLocks noChangeAspect="1"/>
          </wp:cNvGraphicFramePr>
          <a:graphic>
            <a:graphicData uri="http://schemas.openxmlformats.org/drawingml/2006/picture">
              <pic:pic>
                <pic:nvPicPr>
                  <pic:cNvPr id="482"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30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1280</w:t>
                </w:r>
                <w:r>
                  <w:rPr/>
                  <w:fldChar w:fldCharType="end"/>
                </w:r>
              </w:p>
            </w:txbxContent>
          </v:textbox>
          <w10:wrap type="none"/>
        </v:shape>
      </w:pict>
    </w: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3056"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2423">
          <wp:simplePos x="0" y="0"/>
          <wp:positionH relativeFrom="page">
            <wp:posOffset>985998</wp:posOffset>
          </wp:positionH>
          <wp:positionV relativeFrom="page">
            <wp:posOffset>9315373</wp:posOffset>
          </wp:positionV>
          <wp:extent cx="6379583" cy="902334"/>
          <wp:effectExtent l="0" t="0" r="0" b="0"/>
          <wp:wrapNone/>
          <wp:docPr id="483" name="image2.jpeg" descr=""/>
          <wp:cNvGraphicFramePr>
            <a:graphicFrameLocks noChangeAspect="1"/>
          </wp:cNvGraphicFramePr>
          <a:graphic>
            <a:graphicData uri="http://schemas.openxmlformats.org/drawingml/2006/picture">
              <pic:pic>
                <pic:nvPicPr>
                  <pic:cNvPr id="48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30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1290</w:t>
                </w:r>
                <w:r>
                  <w:rPr/>
                  <w:fldChar w:fldCharType="end"/>
                </w:r>
              </w:p>
            </w:txbxContent>
          </v:textbox>
          <w10:wrap type="none"/>
        </v:shape>
      </w:pict>
    </w: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2984"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2495">
          <wp:simplePos x="0" y="0"/>
          <wp:positionH relativeFrom="page">
            <wp:posOffset>985998</wp:posOffset>
          </wp:positionH>
          <wp:positionV relativeFrom="page">
            <wp:posOffset>9315373</wp:posOffset>
          </wp:positionV>
          <wp:extent cx="6379583" cy="902334"/>
          <wp:effectExtent l="0" t="0" r="0" b="0"/>
          <wp:wrapNone/>
          <wp:docPr id="485" name="image2.jpeg" descr=""/>
          <wp:cNvGraphicFramePr>
            <a:graphicFrameLocks noChangeAspect="1"/>
          </wp:cNvGraphicFramePr>
          <a:graphic>
            <a:graphicData uri="http://schemas.openxmlformats.org/drawingml/2006/picture">
              <pic:pic>
                <pic:nvPicPr>
                  <pic:cNvPr id="486"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29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1300</w:t>
                </w:r>
                <w:r>
                  <w:rPr/>
                  <w:fldChar w:fldCharType="end"/>
                </w:r>
              </w:p>
            </w:txbxContent>
          </v:textbox>
          <w10:wrap type="none"/>
        </v:shape>
      </w:pict>
    </w: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2912"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2567">
          <wp:simplePos x="0" y="0"/>
          <wp:positionH relativeFrom="page">
            <wp:posOffset>985998</wp:posOffset>
          </wp:positionH>
          <wp:positionV relativeFrom="page">
            <wp:posOffset>9315373</wp:posOffset>
          </wp:positionV>
          <wp:extent cx="6379583" cy="902334"/>
          <wp:effectExtent l="0" t="0" r="0" b="0"/>
          <wp:wrapNone/>
          <wp:docPr id="487" name="image2.jpeg" descr=""/>
          <wp:cNvGraphicFramePr>
            <a:graphicFrameLocks noChangeAspect="1"/>
          </wp:cNvGraphicFramePr>
          <a:graphic>
            <a:graphicData uri="http://schemas.openxmlformats.org/drawingml/2006/picture">
              <pic:pic>
                <pic:nvPicPr>
                  <pic:cNvPr id="48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28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1310</w:t>
                </w:r>
                <w:r>
                  <w:rPr/>
                  <w:fldChar w:fldCharType="end"/>
                </w:r>
              </w:p>
            </w:txbxContent>
          </v:textbox>
          <w10:wrap type="none"/>
        </v:shape>
      </w:pict>
    </w: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2840"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pict>
        <v:shape style="position:absolute;margin-left:533.179993pt;margin-top:806.839966pt;width:26.4pt;height:13.05pt;mso-position-horizontal-relative:page;mso-position-vertical-relative:page;z-index:-12528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1311</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7240"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68239">
          <wp:simplePos x="0" y="0"/>
          <wp:positionH relativeFrom="page">
            <wp:posOffset>896463</wp:posOffset>
          </wp:positionH>
          <wp:positionV relativeFrom="page">
            <wp:posOffset>9315373</wp:posOffset>
          </wp:positionV>
          <wp:extent cx="6379583" cy="902334"/>
          <wp:effectExtent l="0" t="0" r="0" b="0"/>
          <wp:wrapNone/>
          <wp:docPr id="49" name="image2.jpeg" descr=""/>
          <wp:cNvGraphicFramePr>
            <a:graphicFrameLocks noChangeAspect="1"/>
          </wp:cNvGraphicFramePr>
          <a:graphic>
            <a:graphicData uri="http://schemas.openxmlformats.org/drawingml/2006/picture">
              <pic:pic>
                <pic:nvPicPr>
                  <pic:cNvPr id="5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71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195</w:t>
                </w:r>
                <w:r>
                  <w:rPr/>
                  <w:fldChar w:fldCharType="end"/>
                </w:r>
              </w:p>
            </w:txbxContent>
          </v:textbox>
          <w10:wrap type="none"/>
        </v:shape>
      </w:pict>
    </w: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2792"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2687">
          <wp:simplePos x="0" y="0"/>
          <wp:positionH relativeFrom="page">
            <wp:posOffset>985998</wp:posOffset>
          </wp:positionH>
          <wp:positionV relativeFrom="page">
            <wp:posOffset>9315373</wp:posOffset>
          </wp:positionV>
          <wp:extent cx="6379583" cy="902334"/>
          <wp:effectExtent l="0" t="0" r="0" b="0"/>
          <wp:wrapNone/>
          <wp:docPr id="489" name="image2.jpeg" descr=""/>
          <wp:cNvGraphicFramePr>
            <a:graphicFrameLocks noChangeAspect="1"/>
          </wp:cNvGraphicFramePr>
          <a:graphic>
            <a:graphicData uri="http://schemas.openxmlformats.org/drawingml/2006/picture">
              <pic:pic>
                <pic:nvPicPr>
                  <pic:cNvPr id="49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27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1315</w:t>
                </w:r>
                <w:r>
                  <w:rPr/>
                  <w:fldChar w:fldCharType="end"/>
                </w:r>
              </w:p>
            </w:txbxContent>
          </v:textbox>
          <w10:wrap type="none"/>
        </v:shape>
      </w:pict>
    </w: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2720"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pict>
        <v:shape style="position:absolute;margin-left:533.179993pt;margin-top:806.839966pt;width:26.4pt;height:13.05pt;mso-position-horizontal-relative:page;mso-position-vertical-relative:page;z-index:-12526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1317</w:t>
                </w:r>
                <w:r>
                  <w:rPr/>
                  <w:fldChar w:fldCharType="end"/>
                </w:r>
              </w:p>
            </w:txbxContent>
          </v:textbox>
          <w10:wrap type="none"/>
        </v:shape>
      </w:pict>
    </w: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2672"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2807">
          <wp:simplePos x="0" y="0"/>
          <wp:positionH relativeFrom="page">
            <wp:posOffset>985998</wp:posOffset>
          </wp:positionH>
          <wp:positionV relativeFrom="page">
            <wp:posOffset>9315373</wp:posOffset>
          </wp:positionV>
          <wp:extent cx="6379583" cy="902334"/>
          <wp:effectExtent l="0" t="0" r="0" b="0"/>
          <wp:wrapNone/>
          <wp:docPr id="491" name="image2.jpeg" descr=""/>
          <wp:cNvGraphicFramePr>
            <a:graphicFrameLocks noChangeAspect="1"/>
          </wp:cNvGraphicFramePr>
          <a:graphic>
            <a:graphicData uri="http://schemas.openxmlformats.org/drawingml/2006/picture">
              <pic:pic>
                <pic:nvPicPr>
                  <pic:cNvPr id="492"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26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1318</w:t>
                </w:r>
                <w:r>
                  <w:rPr/>
                  <w:fldChar w:fldCharType="end"/>
                </w:r>
              </w:p>
            </w:txbxContent>
          </v:textbox>
          <w10:wrap type="none"/>
        </v:shape>
      </w:pict>
    </w: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2600"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2879">
          <wp:simplePos x="0" y="0"/>
          <wp:positionH relativeFrom="page">
            <wp:posOffset>985998</wp:posOffset>
          </wp:positionH>
          <wp:positionV relativeFrom="page">
            <wp:posOffset>9315373</wp:posOffset>
          </wp:positionV>
          <wp:extent cx="6379583" cy="902334"/>
          <wp:effectExtent l="0" t="0" r="0" b="0"/>
          <wp:wrapNone/>
          <wp:docPr id="493" name="image2.jpeg" descr=""/>
          <wp:cNvGraphicFramePr>
            <a:graphicFrameLocks noChangeAspect="1"/>
          </wp:cNvGraphicFramePr>
          <a:graphic>
            <a:graphicData uri="http://schemas.openxmlformats.org/drawingml/2006/picture">
              <pic:pic>
                <pic:nvPicPr>
                  <pic:cNvPr id="49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25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1320</w:t>
                </w:r>
                <w:r>
                  <w:rPr/>
                  <w:fldChar w:fldCharType="end"/>
                </w:r>
              </w:p>
            </w:txbxContent>
          </v:textbox>
          <w10:wrap type="none"/>
        </v:shape>
      </w:pict>
    </w: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2528"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pict>
        <v:shape style="position:absolute;margin-left:533.179993pt;margin-top:806.839966pt;width:26.4pt;height:13.05pt;mso-position-horizontal-relative:page;mso-position-vertical-relative:page;z-index:-12525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1323</w:t>
                </w:r>
                <w:r>
                  <w:rPr/>
                  <w:fldChar w:fldCharType="end"/>
                </w:r>
              </w:p>
            </w:txbxContent>
          </v:textbox>
          <w10:wrap type="none"/>
        </v:shape>
      </w:pict>
    </w: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2480"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2999">
          <wp:simplePos x="0" y="0"/>
          <wp:positionH relativeFrom="page">
            <wp:posOffset>985998</wp:posOffset>
          </wp:positionH>
          <wp:positionV relativeFrom="page">
            <wp:posOffset>9315373</wp:posOffset>
          </wp:positionV>
          <wp:extent cx="6379583" cy="902334"/>
          <wp:effectExtent l="0" t="0" r="0" b="0"/>
          <wp:wrapNone/>
          <wp:docPr id="497" name="image2.jpeg" descr=""/>
          <wp:cNvGraphicFramePr>
            <a:graphicFrameLocks noChangeAspect="1"/>
          </wp:cNvGraphicFramePr>
          <a:graphic>
            <a:graphicData uri="http://schemas.openxmlformats.org/drawingml/2006/picture">
              <pic:pic>
                <pic:nvPicPr>
                  <pic:cNvPr id="49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24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1324</w:t>
                </w:r>
                <w:r>
                  <w:rPr/>
                  <w:fldChar w:fldCharType="end"/>
                </w:r>
              </w:p>
            </w:txbxContent>
          </v:textbox>
          <w10:wrap type="none"/>
        </v:shape>
      </w:pict>
    </w: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2408"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pict>
        <v:shape style="position:absolute;margin-left:534.179993pt;margin-top:806.839966pt;width:24.4pt;height:13.05pt;mso-position-horizontal-relative:page;mso-position-vertical-relative:page;z-index:-1252384" type="#_x0000_t202" filled="false" stroked="false">
          <v:textbox inset="0,0,0,0">
            <w:txbxContent>
              <w:p>
                <w:pPr>
                  <w:spacing w:line="245" w:lineRule="exact" w:before="0"/>
                  <w:ind w:left="20" w:right="0" w:firstLine="0"/>
                  <w:jc w:val="left"/>
                  <w:rPr>
                    <w:rFonts w:ascii="Calibri"/>
                    <w:sz w:val="22"/>
                  </w:rPr>
                </w:pPr>
                <w:r>
                  <w:rPr>
                    <w:rFonts w:ascii="Calibri"/>
                    <w:sz w:val="22"/>
                  </w:rPr>
                  <w:t>1329</w:t>
                </w:r>
              </w:p>
            </w:txbxContent>
          </v:textbox>
          <w10:wrap type="none"/>
        </v:shape>
      </w:pict>
    </w: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2360"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3119">
          <wp:simplePos x="0" y="0"/>
          <wp:positionH relativeFrom="page">
            <wp:posOffset>985998</wp:posOffset>
          </wp:positionH>
          <wp:positionV relativeFrom="page">
            <wp:posOffset>9315373</wp:posOffset>
          </wp:positionV>
          <wp:extent cx="6379583" cy="902334"/>
          <wp:effectExtent l="0" t="0" r="0" b="0"/>
          <wp:wrapNone/>
          <wp:docPr id="501" name="image2.jpeg" descr=""/>
          <wp:cNvGraphicFramePr>
            <a:graphicFrameLocks noChangeAspect="1"/>
          </wp:cNvGraphicFramePr>
          <a:graphic>
            <a:graphicData uri="http://schemas.openxmlformats.org/drawingml/2006/picture">
              <pic:pic>
                <pic:nvPicPr>
                  <pic:cNvPr id="502"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23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1330</w:t>
                </w:r>
                <w:r>
                  <w:rPr/>
                  <w:fldChar w:fldCharType="end"/>
                </w:r>
              </w:p>
            </w:txbxContent>
          </v:textbox>
          <w10:wrap type="none"/>
        </v:shape>
      </w:pict>
    </w: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2288"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3191">
          <wp:simplePos x="0" y="0"/>
          <wp:positionH relativeFrom="page">
            <wp:posOffset>985998</wp:posOffset>
          </wp:positionH>
          <wp:positionV relativeFrom="page">
            <wp:posOffset>9315373</wp:posOffset>
          </wp:positionV>
          <wp:extent cx="6379583" cy="902334"/>
          <wp:effectExtent l="0" t="0" r="0" b="0"/>
          <wp:wrapNone/>
          <wp:docPr id="503" name="image2.jpeg" descr=""/>
          <wp:cNvGraphicFramePr>
            <a:graphicFrameLocks noChangeAspect="1"/>
          </wp:cNvGraphicFramePr>
          <a:graphic>
            <a:graphicData uri="http://schemas.openxmlformats.org/drawingml/2006/picture">
              <pic:pic>
                <pic:nvPicPr>
                  <pic:cNvPr id="50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22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1340</w:t>
                </w:r>
                <w:r>
                  <w:rPr/>
                  <w:fldChar w:fldCharType="end"/>
                </w:r>
              </w:p>
            </w:txbxContent>
          </v:textbox>
          <w10:wrap type="none"/>
        </v:shape>
      </w:pict>
    </w: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2216"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pict>
        <v:shape style="position:absolute;margin-left:534.179993pt;margin-top:806.839966pt;width:24.4pt;height:13.05pt;mso-position-horizontal-relative:page;mso-position-vertical-relative:page;z-index:-1252192" type="#_x0000_t202" filled="false" stroked="false">
          <v:textbox inset="0,0,0,0">
            <w:txbxContent>
              <w:p>
                <w:pPr>
                  <w:spacing w:line="245" w:lineRule="exact" w:before="0"/>
                  <w:ind w:left="20" w:right="0" w:firstLine="0"/>
                  <w:jc w:val="left"/>
                  <w:rPr>
                    <w:rFonts w:ascii="Calibri"/>
                    <w:sz w:val="22"/>
                  </w:rPr>
                </w:pPr>
                <w:r>
                  <w:rPr>
                    <w:rFonts w:ascii="Calibri"/>
                    <w:sz w:val="22"/>
                  </w:rPr>
                  <w:t>1349</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7168"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68311">
          <wp:simplePos x="0" y="0"/>
          <wp:positionH relativeFrom="page">
            <wp:posOffset>896463</wp:posOffset>
          </wp:positionH>
          <wp:positionV relativeFrom="page">
            <wp:posOffset>9315373</wp:posOffset>
          </wp:positionV>
          <wp:extent cx="6379583" cy="902334"/>
          <wp:effectExtent l="0" t="0" r="0" b="0"/>
          <wp:wrapNone/>
          <wp:docPr id="51" name="image2.jpeg" descr=""/>
          <wp:cNvGraphicFramePr>
            <a:graphicFrameLocks noChangeAspect="1"/>
          </wp:cNvGraphicFramePr>
          <a:graphic>
            <a:graphicData uri="http://schemas.openxmlformats.org/drawingml/2006/picture">
              <pic:pic>
                <pic:nvPicPr>
                  <pic:cNvPr id="52"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71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200</w:t>
                </w:r>
                <w:r>
                  <w:rPr/>
                  <w:fldChar w:fldCharType="end"/>
                </w:r>
              </w:p>
            </w:txbxContent>
          </v:textbox>
          <w10:wrap type="none"/>
        </v:shape>
      </w:pict>
    </w: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2168"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3311">
          <wp:simplePos x="0" y="0"/>
          <wp:positionH relativeFrom="page">
            <wp:posOffset>985998</wp:posOffset>
          </wp:positionH>
          <wp:positionV relativeFrom="page">
            <wp:posOffset>9315373</wp:posOffset>
          </wp:positionV>
          <wp:extent cx="6379583" cy="902334"/>
          <wp:effectExtent l="0" t="0" r="0" b="0"/>
          <wp:wrapNone/>
          <wp:docPr id="507" name="image2.jpeg" descr=""/>
          <wp:cNvGraphicFramePr>
            <a:graphicFrameLocks noChangeAspect="1"/>
          </wp:cNvGraphicFramePr>
          <a:graphic>
            <a:graphicData uri="http://schemas.openxmlformats.org/drawingml/2006/picture">
              <pic:pic>
                <pic:nvPicPr>
                  <pic:cNvPr id="50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21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1350</w:t>
                </w:r>
                <w:r>
                  <w:rPr/>
                  <w:fldChar w:fldCharType="end"/>
                </w:r>
              </w:p>
            </w:txbxContent>
          </v:textbox>
          <w10:wrap type="none"/>
        </v:shape>
      </w:pict>
    </w: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2096"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pict>
        <v:shape style="position:absolute;margin-left:534.179993pt;margin-top:806.839966pt;width:24.4pt;height:13.05pt;mso-position-horizontal-relative:page;mso-position-vertical-relative:page;z-index:-1252072" type="#_x0000_t202" filled="false" stroked="false">
          <v:textbox inset="0,0,0,0">
            <w:txbxContent>
              <w:p>
                <w:pPr>
                  <w:spacing w:line="245" w:lineRule="exact" w:before="0"/>
                  <w:ind w:left="20" w:right="0" w:firstLine="0"/>
                  <w:jc w:val="left"/>
                  <w:rPr>
                    <w:rFonts w:ascii="Calibri"/>
                    <w:sz w:val="22"/>
                  </w:rPr>
                </w:pPr>
                <w:r>
                  <w:rPr>
                    <w:rFonts w:ascii="Calibri"/>
                    <w:sz w:val="22"/>
                  </w:rPr>
                  <w:t>1359</w:t>
                </w:r>
              </w:p>
            </w:txbxContent>
          </v:textbox>
          <w10:wrap type="none"/>
        </v:shape>
      </w:pict>
    </w: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2048"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3431">
          <wp:simplePos x="0" y="0"/>
          <wp:positionH relativeFrom="page">
            <wp:posOffset>985998</wp:posOffset>
          </wp:positionH>
          <wp:positionV relativeFrom="page">
            <wp:posOffset>8993123</wp:posOffset>
          </wp:positionV>
          <wp:extent cx="6379583" cy="902106"/>
          <wp:effectExtent l="0" t="0" r="0" b="0"/>
          <wp:wrapNone/>
          <wp:docPr id="511" name="image2.jpeg" descr=""/>
          <wp:cNvGraphicFramePr>
            <a:graphicFrameLocks noChangeAspect="1"/>
          </wp:cNvGraphicFramePr>
          <a:graphic>
            <a:graphicData uri="http://schemas.openxmlformats.org/drawingml/2006/picture">
              <pic:pic>
                <pic:nvPicPr>
                  <pic:cNvPr id="512" name="image2.jpeg"/>
                  <pic:cNvPicPr/>
                </pic:nvPicPr>
                <pic:blipFill>
                  <a:blip r:embed="rId1" cstate="print"/>
                  <a:stretch>
                    <a:fillRect/>
                  </a:stretch>
                </pic:blipFill>
                <pic:spPr>
                  <a:xfrm>
                    <a:off x="0" y="0"/>
                    <a:ext cx="6379583" cy="902106"/>
                  </a:xfrm>
                  <a:prstGeom prst="rect">
                    <a:avLst/>
                  </a:prstGeom>
                </pic:spPr>
              </pic:pic>
            </a:graphicData>
          </a:graphic>
        </wp:anchor>
      </w:drawing>
    </w:r>
    <w:r>
      <w:rPr/>
      <w:pict>
        <v:shape style="position:absolute;margin-left:533.179993pt;margin-top:806.839966pt;width:26.4pt;height:13.05pt;mso-position-horizontal-relative:page;mso-position-vertical-relative:page;z-index:-12520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1360</w:t>
                </w:r>
                <w:r>
                  <w:rPr/>
                  <w:fldChar w:fldCharType="end"/>
                </w:r>
              </w:p>
            </w:txbxContent>
          </v:textbox>
          <w10:wrap type="none"/>
        </v:shape>
      </w:pict>
    </w: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1976"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pict>
        <v:shape style="position:absolute;margin-left:533.179993pt;margin-top:806.839966pt;width:26.4pt;height:13.05pt;mso-position-horizontal-relative:page;mso-position-vertical-relative:page;z-index:-12519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1362</w:t>
                </w:r>
                <w:r>
                  <w:rPr/>
                  <w:fldChar w:fldCharType="end"/>
                </w:r>
              </w:p>
            </w:txbxContent>
          </v:textbox>
          <w10:wrap type="none"/>
        </v:shape>
      </w:pict>
    </w: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1928"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3551">
          <wp:simplePos x="0" y="0"/>
          <wp:positionH relativeFrom="page">
            <wp:posOffset>985998</wp:posOffset>
          </wp:positionH>
          <wp:positionV relativeFrom="page">
            <wp:posOffset>8993123</wp:posOffset>
          </wp:positionV>
          <wp:extent cx="6379583" cy="902106"/>
          <wp:effectExtent l="0" t="0" r="0" b="0"/>
          <wp:wrapNone/>
          <wp:docPr id="515" name="image2.jpeg" descr=""/>
          <wp:cNvGraphicFramePr>
            <a:graphicFrameLocks noChangeAspect="1"/>
          </wp:cNvGraphicFramePr>
          <a:graphic>
            <a:graphicData uri="http://schemas.openxmlformats.org/drawingml/2006/picture">
              <pic:pic>
                <pic:nvPicPr>
                  <pic:cNvPr id="516" name="image2.jpeg"/>
                  <pic:cNvPicPr/>
                </pic:nvPicPr>
                <pic:blipFill>
                  <a:blip r:embed="rId1" cstate="print"/>
                  <a:stretch>
                    <a:fillRect/>
                  </a:stretch>
                </pic:blipFill>
                <pic:spPr>
                  <a:xfrm>
                    <a:off x="0" y="0"/>
                    <a:ext cx="6379583" cy="902106"/>
                  </a:xfrm>
                  <a:prstGeom prst="rect">
                    <a:avLst/>
                  </a:prstGeom>
                </pic:spPr>
              </pic:pic>
            </a:graphicData>
          </a:graphic>
        </wp:anchor>
      </w:drawing>
    </w:r>
    <w:r>
      <w:rPr/>
      <w:pict>
        <v:shape style="position:absolute;margin-left:533.179993pt;margin-top:806.839966pt;width:26.4pt;height:13.05pt;mso-position-horizontal-relative:page;mso-position-vertical-relative:page;z-index:-12518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1363</w:t>
                </w:r>
                <w:r>
                  <w:rPr/>
                  <w:fldChar w:fldCharType="end"/>
                </w:r>
              </w:p>
            </w:txbxContent>
          </v:textbox>
          <w10:wrap type="none"/>
        </v:shape>
      </w:pict>
    </w: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1856"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pict>
        <v:shape style="position:absolute;margin-left:533.179993pt;margin-top:806.839966pt;width:26.4pt;height:13.05pt;mso-position-horizontal-relative:page;mso-position-vertical-relative:page;z-index:-12518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1365</w:t>
                </w:r>
                <w:r>
                  <w:rPr/>
                  <w:fldChar w:fldCharType="end"/>
                </w:r>
              </w:p>
            </w:txbxContent>
          </v:textbox>
          <w10:wrap type="none"/>
        </v:shape>
      </w:pict>
    </w: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1808"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pict>
        <v:group style="position:absolute;margin-left:77.63768pt;margin-top:708.119995pt;width:502.35pt;height:71.05pt;mso-position-horizontal-relative:page;mso-position-vertical-relative:page;z-index:-1251784" coordorigin="1553,14162" coordsize="10047,1421">
          <v:shape style="position:absolute;left:1552;top:14162;width:10047;height:1421" type="#_x0000_t75" stroked="false">
            <v:imagedata r:id="rId1" o:title=""/>
          </v:shape>
          <v:rect style="position:absolute;left:5146;top:14538;width:44;height:10" filled="true" fillcolor="#000000" stroked="false">
            <v:fill type="solid"/>
          </v:rect>
          <w10:wrap type="none"/>
        </v:group>
      </w:pict>
    </w:r>
    <w:r>
      <w:rPr/>
      <w:pict>
        <v:shape style="position:absolute;margin-left:533.179993pt;margin-top:806.839966pt;width:26.4pt;height:13.05pt;mso-position-horizontal-relative:page;mso-position-vertical-relative:page;z-index:-12517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1366</w:t>
                </w:r>
                <w:r>
                  <w:rPr/>
                  <w:fldChar w:fldCharType="end"/>
                </w:r>
              </w:p>
            </w:txbxContent>
          </v:textbox>
          <w10:wrap type="none"/>
        </v:shape>
      </w:pict>
    </w: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1736"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3743">
          <wp:simplePos x="0" y="0"/>
          <wp:positionH relativeFrom="page">
            <wp:posOffset>985998</wp:posOffset>
          </wp:positionH>
          <wp:positionV relativeFrom="page">
            <wp:posOffset>9315373</wp:posOffset>
          </wp:positionV>
          <wp:extent cx="6379583" cy="902334"/>
          <wp:effectExtent l="0" t="0" r="0" b="0"/>
          <wp:wrapNone/>
          <wp:docPr id="519" name="image2.jpeg" descr=""/>
          <wp:cNvGraphicFramePr>
            <a:graphicFrameLocks noChangeAspect="1"/>
          </wp:cNvGraphicFramePr>
          <a:graphic>
            <a:graphicData uri="http://schemas.openxmlformats.org/drawingml/2006/picture">
              <pic:pic>
                <pic:nvPicPr>
                  <pic:cNvPr id="52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16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1368</w:t>
                </w:r>
                <w:r>
                  <w:rPr/>
                  <w:fldChar w:fldCharType="end"/>
                </w:r>
              </w:p>
            </w:txbxContent>
          </v:textbox>
          <w10:wrap type="none"/>
        </v:shape>
      </w:pict>
    </w: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1664"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3815">
          <wp:simplePos x="0" y="0"/>
          <wp:positionH relativeFrom="page">
            <wp:posOffset>985998</wp:posOffset>
          </wp:positionH>
          <wp:positionV relativeFrom="page">
            <wp:posOffset>9315373</wp:posOffset>
          </wp:positionV>
          <wp:extent cx="6379583" cy="902334"/>
          <wp:effectExtent l="0" t="0" r="0" b="0"/>
          <wp:wrapNone/>
          <wp:docPr id="521" name="image2.jpeg" descr=""/>
          <wp:cNvGraphicFramePr>
            <a:graphicFrameLocks noChangeAspect="1"/>
          </wp:cNvGraphicFramePr>
          <a:graphic>
            <a:graphicData uri="http://schemas.openxmlformats.org/drawingml/2006/picture">
              <pic:pic>
                <pic:nvPicPr>
                  <pic:cNvPr id="522"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16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1370</w:t>
                </w:r>
                <w:r>
                  <w:rPr/>
                  <w:fldChar w:fldCharType="end"/>
                </w:r>
              </w:p>
            </w:txbxContent>
          </v:textbox>
          <w10:wrap type="none"/>
        </v:shape>
      </w:pict>
    </w: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1592"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3887">
          <wp:simplePos x="0" y="0"/>
          <wp:positionH relativeFrom="page">
            <wp:posOffset>985998</wp:posOffset>
          </wp:positionH>
          <wp:positionV relativeFrom="page">
            <wp:posOffset>9315373</wp:posOffset>
          </wp:positionV>
          <wp:extent cx="6379583" cy="902334"/>
          <wp:effectExtent l="0" t="0" r="0" b="0"/>
          <wp:wrapNone/>
          <wp:docPr id="523" name="image2.jpeg" descr=""/>
          <wp:cNvGraphicFramePr>
            <a:graphicFrameLocks noChangeAspect="1"/>
          </wp:cNvGraphicFramePr>
          <a:graphic>
            <a:graphicData uri="http://schemas.openxmlformats.org/drawingml/2006/picture">
              <pic:pic>
                <pic:nvPicPr>
                  <pic:cNvPr id="52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15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1380</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7096"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pict>
        <v:shape style="position:absolute;margin-left:529.580017pt;margin-top:806.839966pt;width:20.75pt;height:13.05pt;mso-position-horizontal-relative:page;mso-position-vertical-relative:page;z-index:-12670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204</w:t>
                </w:r>
                <w:r>
                  <w:rPr/>
                  <w:fldChar w:fldCharType="end"/>
                </w:r>
              </w:p>
            </w:txbxContent>
          </v:textbox>
          <w10:wrap type="none"/>
        </v:shape>
      </w:pict>
    </w: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1520"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3959">
          <wp:simplePos x="0" y="0"/>
          <wp:positionH relativeFrom="page">
            <wp:posOffset>985998</wp:posOffset>
          </wp:positionH>
          <wp:positionV relativeFrom="page">
            <wp:posOffset>9315373</wp:posOffset>
          </wp:positionV>
          <wp:extent cx="6379583" cy="902334"/>
          <wp:effectExtent l="0" t="0" r="0" b="0"/>
          <wp:wrapNone/>
          <wp:docPr id="525" name="image2.jpeg" descr=""/>
          <wp:cNvGraphicFramePr>
            <a:graphicFrameLocks noChangeAspect="1"/>
          </wp:cNvGraphicFramePr>
          <a:graphic>
            <a:graphicData uri="http://schemas.openxmlformats.org/drawingml/2006/picture">
              <pic:pic>
                <pic:nvPicPr>
                  <pic:cNvPr id="526"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14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1390</w:t>
                </w:r>
                <w:r>
                  <w:rPr/>
                  <w:fldChar w:fldCharType="end"/>
                </w:r>
              </w:p>
            </w:txbxContent>
          </v:textbox>
          <w10:wrap type="none"/>
        </v:shape>
      </w:pict>
    </w: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1448"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4031">
          <wp:simplePos x="0" y="0"/>
          <wp:positionH relativeFrom="page">
            <wp:posOffset>985998</wp:posOffset>
          </wp:positionH>
          <wp:positionV relativeFrom="page">
            <wp:posOffset>9315373</wp:posOffset>
          </wp:positionV>
          <wp:extent cx="6379583" cy="902334"/>
          <wp:effectExtent l="0" t="0" r="0" b="0"/>
          <wp:wrapNone/>
          <wp:docPr id="527" name="image2.jpeg" descr=""/>
          <wp:cNvGraphicFramePr>
            <a:graphicFrameLocks noChangeAspect="1"/>
          </wp:cNvGraphicFramePr>
          <a:graphic>
            <a:graphicData uri="http://schemas.openxmlformats.org/drawingml/2006/picture">
              <pic:pic>
                <pic:nvPicPr>
                  <pic:cNvPr id="52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14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1400</w:t>
                </w:r>
                <w:r>
                  <w:rPr/>
                  <w:fldChar w:fldCharType="end"/>
                </w:r>
              </w:p>
            </w:txbxContent>
          </v:textbox>
          <w10:wrap type="none"/>
        </v:shape>
      </w:pict>
    </w: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1376"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4103">
          <wp:simplePos x="0" y="0"/>
          <wp:positionH relativeFrom="page">
            <wp:posOffset>985998</wp:posOffset>
          </wp:positionH>
          <wp:positionV relativeFrom="page">
            <wp:posOffset>9315373</wp:posOffset>
          </wp:positionV>
          <wp:extent cx="6379583" cy="902334"/>
          <wp:effectExtent l="0" t="0" r="0" b="0"/>
          <wp:wrapNone/>
          <wp:docPr id="529" name="image2.jpeg" descr=""/>
          <wp:cNvGraphicFramePr>
            <a:graphicFrameLocks noChangeAspect="1"/>
          </wp:cNvGraphicFramePr>
          <a:graphic>
            <a:graphicData uri="http://schemas.openxmlformats.org/drawingml/2006/picture">
              <pic:pic>
                <pic:nvPicPr>
                  <pic:cNvPr id="53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13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1410</w:t>
                </w:r>
                <w:r>
                  <w:rPr/>
                  <w:fldChar w:fldCharType="end"/>
                </w:r>
              </w:p>
            </w:txbxContent>
          </v:textbox>
          <w10:wrap type="none"/>
        </v:shape>
      </w:pict>
    </w: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1304"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4175">
          <wp:simplePos x="0" y="0"/>
          <wp:positionH relativeFrom="page">
            <wp:posOffset>985998</wp:posOffset>
          </wp:positionH>
          <wp:positionV relativeFrom="page">
            <wp:posOffset>9315373</wp:posOffset>
          </wp:positionV>
          <wp:extent cx="6379583" cy="902334"/>
          <wp:effectExtent l="0" t="0" r="0" b="0"/>
          <wp:wrapNone/>
          <wp:docPr id="531" name="image2.jpeg" descr=""/>
          <wp:cNvGraphicFramePr>
            <a:graphicFrameLocks noChangeAspect="1"/>
          </wp:cNvGraphicFramePr>
          <a:graphic>
            <a:graphicData uri="http://schemas.openxmlformats.org/drawingml/2006/picture">
              <pic:pic>
                <pic:nvPicPr>
                  <pic:cNvPr id="532"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12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1420</w:t>
                </w:r>
                <w:r>
                  <w:rPr/>
                  <w:fldChar w:fldCharType="end"/>
                </w:r>
              </w:p>
            </w:txbxContent>
          </v:textbox>
          <w10:wrap type="none"/>
        </v:shape>
      </w:pict>
    </w: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1232"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4247">
          <wp:simplePos x="0" y="0"/>
          <wp:positionH relativeFrom="page">
            <wp:posOffset>985998</wp:posOffset>
          </wp:positionH>
          <wp:positionV relativeFrom="page">
            <wp:posOffset>9315373</wp:posOffset>
          </wp:positionV>
          <wp:extent cx="6379583" cy="902334"/>
          <wp:effectExtent l="0" t="0" r="0" b="0"/>
          <wp:wrapNone/>
          <wp:docPr id="533" name="image2.jpeg" descr=""/>
          <wp:cNvGraphicFramePr>
            <a:graphicFrameLocks noChangeAspect="1"/>
          </wp:cNvGraphicFramePr>
          <a:graphic>
            <a:graphicData uri="http://schemas.openxmlformats.org/drawingml/2006/picture">
              <pic:pic>
                <pic:nvPicPr>
                  <pic:cNvPr id="53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11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1430</w:t>
                </w:r>
                <w:r>
                  <w:rPr/>
                  <w:fldChar w:fldCharType="end"/>
                </w:r>
              </w:p>
            </w:txbxContent>
          </v:textbox>
          <w10:wrap type="none"/>
        </v:shape>
      </w:pict>
    </w: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1160"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pict>
        <v:shape style="position:absolute;margin-left:534.179993pt;margin-top:806.839966pt;width:24.4pt;height:13.05pt;mso-position-horizontal-relative:page;mso-position-vertical-relative:page;z-index:-1251136" type="#_x0000_t202" filled="false" stroked="false">
          <v:textbox inset="0,0,0,0">
            <w:txbxContent>
              <w:p>
                <w:pPr>
                  <w:spacing w:line="245" w:lineRule="exact" w:before="0"/>
                  <w:ind w:left="20" w:right="0" w:firstLine="0"/>
                  <w:jc w:val="left"/>
                  <w:rPr>
                    <w:rFonts w:ascii="Calibri"/>
                    <w:sz w:val="22"/>
                  </w:rPr>
                </w:pPr>
                <w:r>
                  <w:rPr>
                    <w:rFonts w:ascii="Calibri"/>
                    <w:sz w:val="22"/>
                  </w:rPr>
                  <w:t>1431</w:t>
                </w:r>
              </w:p>
            </w:txbxContent>
          </v:textbox>
          <w10:wrap type="none"/>
        </v:shape>
      </w:pict>
    </w: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1112"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pict>
        <v:shape style="position:absolute;margin-left:533.179993pt;margin-top:806.839966pt;width:26.4pt;height:13.05pt;mso-position-horizontal-relative:page;mso-position-vertical-relative:page;z-index:-12510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1432</w:t>
                </w:r>
                <w:r>
                  <w:rPr/>
                  <w:fldChar w:fldCharType="end"/>
                </w:r>
              </w:p>
            </w:txbxContent>
          </v:textbox>
          <w10:wrap type="none"/>
        </v:shape>
      </w:pict>
    </w: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1064"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4415">
          <wp:simplePos x="0" y="0"/>
          <wp:positionH relativeFrom="page">
            <wp:posOffset>985998</wp:posOffset>
          </wp:positionH>
          <wp:positionV relativeFrom="page">
            <wp:posOffset>9315373</wp:posOffset>
          </wp:positionV>
          <wp:extent cx="6379583" cy="902334"/>
          <wp:effectExtent l="0" t="0" r="0" b="0"/>
          <wp:wrapNone/>
          <wp:docPr id="539" name="image2.jpeg" descr=""/>
          <wp:cNvGraphicFramePr>
            <a:graphicFrameLocks noChangeAspect="1"/>
          </wp:cNvGraphicFramePr>
          <a:graphic>
            <a:graphicData uri="http://schemas.openxmlformats.org/drawingml/2006/picture">
              <pic:pic>
                <pic:nvPicPr>
                  <pic:cNvPr id="54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10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1433</w:t>
                </w:r>
                <w:r>
                  <w:rPr/>
                  <w:fldChar w:fldCharType="end"/>
                </w:r>
              </w:p>
            </w:txbxContent>
          </v:textbox>
          <w10:wrap type="none"/>
        </v:shape>
      </w:pict>
    </w: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0992"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pict>
        <v:shape style="position:absolute;margin-left:533.179993pt;margin-top:806.839966pt;width:26.4pt;height:13.05pt;mso-position-horizontal-relative:page;mso-position-vertical-relative:page;z-index:-12509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1435</w:t>
                </w:r>
                <w:r>
                  <w:rPr/>
                  <w:fldChar w:fldCharType="end"/>
                </w:r>
              </w:p>
            </w:txbxContent>
          </v:textbox>
          <w10:wrap type="none"/>
        </v:shape>
      </w:pict>
    </w: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0944"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4535">
          <wp:simplePos x="0" y="0"/>
          <wp:positionH relativeFrom="page">
            <wp:posOffset>985998</wp:posOffset>
          </wp:positionH>
          <wp:positionV relativeFrom="page">
            <wp:posOffset>9315373</wp:posOffset>
          </wp:positionV>
          <wp:extent cx="6379583" cy="902334"/>
          <wp:effectExtent l="0" t="0" r="0" b="0"/>
          <wp:wrapNone/>
          <wp:docPr id="543" name="image2.jpeg" descr=""/>
          <wp:cNvGraphicFramePr>
            <a:graphicFrameLocks noChangeAspect="1"/>
          </wp:cNvGraphicFramePr>
          <a:graphic>
            <a:graphicData uri="http://schemas.openxmlformats.org/drawingml/2006/picture">
              <pic:pic>
                <pic:nvPicPr>
                  <pic:cNvPr id="54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08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1436</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7048"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68431">
          <wp:simplePos x="0" y="0"/>
          <wp:positionH relativeFrom="page">
            <wp:posOffset>896463</wp:posOffset>
          </wp:positionH>
          <wp:positionV relativeFrom="page">
            <wp:posOffset>9315373</wp:posOffset>
          </wp:positionV>
          <wp:extent cx="6379583" cy="902334"/>
          <wp:effectExtent l="0" t="0" r="0" b="0"/>
          <wp:wrapNone/>
          <wp:docPr id="55" name="image2.jpeg" descr=""/>
          <wp:cNvGraphicFramePr>
            <a:graphicFrameLocks noChangeAspect="1"/>
          </wp:cNvGraphicFramePr>
          <a:graphic>
            <a:graphicData uri="http://schemas.openxmlformats.org/drawingml/2006/picture">
              <pic:pic>
                <pic:nvPicPr>
                  <pic:cNvPr id="56"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70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205</w:t>
                </w:r>
                <w:r>
                  <w:rPr/>
                  <w:fldChar w:fldCharType="end"/>
                </w:r>
              </w:p>
            </w:txbxContent>
          </v:textbox>
          <w10:wrap type="none"/>
        </v:shape>
      </w:pict>
    </w: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0872"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4607">
          <wp:simplePos x="0" y="0"/>
          <wp:positionH relativeFrom="page">
            <wp:posOffset>985998</wp:posOffset>
          </wp:positionH>
          <wp:positionV relativeFrom="page">
            <wp:posOffset>8993123</wp:posOffset>
          </wp:positionV>
          <wp:extent cx="6379583" cy="902106"/>
          <wp:effectExtent l="0" t="0" r="0" b="0"/>
          <wp:wrapNone/>
          <wp:docPr id="545" name="image2.jpeg" descr=""/>
          <wp:cNvGraphicFramePr>
            <a:graphicFrameLocks noChangeAspect="1"/>
          </wp:cNvGraphicFramePr>
          <a:graphic>
            <a:graphicData uri="http://schemas.openxmlformats.org/drawingml/2006/picture">
              <pic:pic>
                <pic:nvPicPr>
                  <pic:cNvPr id="546" name="image2.jpeg"/>
                  <pic:cNvPicPr/>
                </pic:nvPicPr>
                <pic:blipFill>
                  <a:blip r:embed="rId1" cstate="print"/>
                  <a:stretch>
                    <a:fillRect/>
                  </a:stretch>
                </pic:blipFill>
                <pic:spPr>
                  <a:xfrm>
                    <a:off x="0" y="0"/>
                    <a:ext cx="6379583" cy="902106"/>
                  </a:xfrm>
                  <a:prstGeom prst="rect">
                    <a:avLst/>
                  </a:prstGeom>
                </pic:spPr>
              </pic:pic>
            </a:graphicData>
          </a:graphic>
        </wp:anchor>
      </w:drawing>
    </w:r>
    <w:r>
      <w:rPr/>
      <w:pict>
        <v:shape style="position:absolute;margin-left:533.179993pt;margin-top:806.839966pt;width:25.4pt;height:13.05pt;mso-position-horizontal-relative:page;mso-position-vertical-relative:page;z-index:-12508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143</w:t>
                </w:r>
                <w:r>
                  <w:rPr/>
                  <w:fldChar w:fldCharType="end"/>
                </w:r>
                <w:r>
                  <w:rPr>
                    <w:rFonts w:ascii="Calibri"/>
                    <w:sz w:val="22"/>
                  </w:rPr>
                  <w:t>9</w:t>
                </w:r>
              </w:p>
            </w:txbxContent>
          </v:textbox>
          <w10:wrap type="none"/>
        </v:shape>
      </w:pict>
    </w: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0800"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4679">
          <wp:simplePos x="0" y="0"/>
          <wp:positionH relativeFrom="page">
            <wp:posOffset>985998</wp:posOffset>
          </wp:positionH>
          <wp:positionV relativeFrom="page">
            <wp:posOffset>8993123</wp:posOffset>
          </wp:positionV>
          <wp:extent cx="6379583" cy="902106"/>
          <wp:effectExtent l="0" t="0" r="0" b="0"/>
          <wp:wrapNone/>
          <wp:docPr id="547" name="image2.jpeg" descr=""/>
          <wp:cNvGraphicFramePr>
            <a:graphicFrameLocks noChangeAspect="1"/>
          </wp:cNvGraphicFramePr>
          <a:graphic>
            <a:graphicData uri="http://schemas.openxmlformats.org/drawingml/2006/picture">
              <pic:pic>
                <pic:nvPicPr>
                  <pic:cNvPr id="548" name="image2.jpeg"/>
                  <pic:cNvPicPr/>
                </pic:nvPicPr>
                <pic:blipFill>
                  <a:blip r:embed="rId1" cstate="print"/>
                  <a:stretch>
                    <a:fillRect/>
                  </a:stretch>
                </pic:blipFill>
                <pic:spPr>
                  <a:xfrm>
                    <a:off x="0" y="0"/>
                    <a:ext cx="6379583" cy="902106"/>
                  </a:xfrm>
                  <a:prstGeom prst="rect">
                    <a:avLst/>
                  </a:prstGeom>
                </pic:spPr>
              </pic:pic>
            </a:graphicData>
          </a:graphic>
        </wp:anchor>
      </w:drawing>
    </w:r>
    <w:r>
      <w:rPr/>
      <w:pict>
        <v:shape style="position:absolute;margin-left:533.179993pt;margin-top:806.839966pt;width:25.4pt;height:13.05pt;mso-position-horizontal-relative:page;mso-position-vertical-relative:page;z-index:-12507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144</w:t>
                </w:r>
                <w:r>
                  <w:rPr/>
                  <w:fldChar w:fldCharType="end"/>
                </w:r>
                <w:r>
                  <w:rPr>
                    <w:rFonts w:ascii="Calibri"/>
                    <w:sz w:val="22"/>
                  </w:rPr>
                  <w:t>0</w:t>
                </w:r>
              </w:p>
            </w:txbxContent>
          </v:textbox>
          <w10:wrap type="none"/>
        </v:shape>
      </w:pict>
    </w: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0728"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4751">
          <wp:simplePos x="0" y="0"/>
          <wp:positionH relativeFrom="page">
            <wp:posOffset>985998</wp:posOffset>
          </wp:positionH>
          <wp:positionV relativeFrom="page">
            <wp:posOffset>9315373</wp:posOffset>
          </wp:positionV>
          <wp:extent cx="6379583" cy="902334"/>
          <wp:effectExtent l="0" t="0" r="0" b="0"/>
          <wp:wrapNone/>
          <wp:docPr id="549" name="image2.jpeg" descr=""/>
          <wp:cNvGraphicFramePr>
            <a:graphicFrameLocks noChangeAspect="1"/>
          </wp:cNvGraphicFramePr>
          <a:graphic>
            <a:graphicData uri="http://schemas.openxmlformats.org/drawingml/2006/picture">
              <pic:pic>
                <pic:nvPicPr>
                  <pic:cNvPr id="55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06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1445</w:t>
                </w:r>
                <w:r>
                  <w:rPr/>
                  <w:fldChar w:fldCharType="end"/>
                </w:r>
              </w:p>
            </w:txbxContent>
          </v:textbox>
          <w10:wrap type="none"/>
        </v:shape>
      </w:pict>
    </w: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0656"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4823">
          <wp:simplePos x="0" y="0"/>
          <wp:positionH relativeFrom="page">
            <wp:posOffset>985998</wp:posOffset>
          </wp:positionH>
          <wp:positionV relativeFrom="page">
            <wp:posOffset>9315373</wp:posOffset>
          </wp:positionV>
          <wp:extent cx="6379583" cy="902334"/>
          <wp:effectExtent l="0" t="0" r="0" b="0"/>
          <wp:wrapNone/>
          <wp:docPr id="551" name="image2.jpeg" descr=""/>
          <wp:cNvGraphicFramePr>
            <a:graphicFrameLocks noChangeAspect="1"/>
          </wp:cNvGraphicFramePr>
          <a:graphic>
            <a:graphicData uri="http://schemas.openxmlformats.org/drawingml/2006/picture">
              <pic:pic>
                <pic:nvPicPr>
                  <pic:cNvPr id="552"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06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1450</w:t>
                </w:r>
                <w:r>
                  <w:rPr/>
                  <w:fldChar w:fldCharType="end"/>
                </w:r>
              </w:p>
            </w:txbxContent>
          </v:textbox>
          <w10:wrap type="none"/>
        </v:shape>
      </w:pict>
    </w: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0584"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pict>
        <v:shape style="position:absolute;margin-left:533.179993pt;margin-top:806.839966pt;width:26.4pt;height:13.05pt;mso-position-horizontal-relative:page;mso-position-vertical-relative:page;z-index:-12505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1453</w:t>
                </w:r>
                <w:r>
                  <w:rPr/>
                  <w:fldChar w:fldCharType="end"/>
                </w:r>
              </w:p>
            </w:txbxContent>
          </v:textbox>
          <w10:wrap type="none"/>
        </v:shape>
      </w:pict>
    </w: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0536"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4943">
          <wp:simplePos x="0" y="0"/>
          <wp:positionH relativeFrom="page">
            <wp:posOffset>985998</wp:posOffset>
          </wp:positionH>
          <wp:positionV relativeFrom="page">
            <wp:posOffset>9315373</wp:posOffset>
          </wp:positionV>
          <wp:extent cx="6379583" cy="902334"/>
          <wp:effectExtent l="0" t="0" r="0" b="0"/>
          <wp:wrapNone/>
          <wp:docPr id="555" name="image2.jpeg" descr=""/>
          <wp:cNvGraphicFramePr>
            <a:graphicFrameLocks noChangeAspect="1"/>
          </wp:cNvGraphicFramePr>
          <a:graphic>
            <a:graphicData uri="http://schemas.openxmlformats.org/drawingml/2006/picture">
              <pic:pic>
                <pic:nvPicPr>
                  <pic:cNvPr id="556"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04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1454</w:t>
                </w:r>
                <w:r>
                  <w:rPr/>
                  <w:fldChar w:fldCharType="end"/>
                </w:r>
              </w:p>
            </w:txbxContent>
          </v:textbox>
          <w10:wrap type="none"/>
        </v:shape>
      </w:pict>
    </w: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0464"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5015">
          <wp:simplePos x="0" y="0"/>
          <wp:positionH relativeFrom="page">
            <wp:posOffset>985998</wp:posOffset>
          </wp:positionH>
          <wp:positionV relativeFrom="page">
            <wp:posOffset>9315373</wp:posOffset>
          </wp:positionV>
          <wp:extent cx="6379583" cy="902334"/>
          <wp:effectExtent l="0" t="0" r="0" b="0"/>
          <wp:wrapNone/>
          <wp:docPr id="557" name="image2.jpeg" descr=""/>
          <wp:cNvGraphicFramePr>
            <a:graphicFrameLocks noChangeAspect="1"/>
          </wp:cNvGraphicFramePr>
          <a:graphic>
            <a:graphicData uri="http://schemas.openxmlformats.org/drawingml/2006/picture">
              <pic:pic>
                <pic:nvPicPr>
                  <pic:cNvPr id="55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04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1460</w:t>
                </w:r>
                <w:r>
                  <w:rPr/>
                  <w:fldChar w:fldCharType="end"/>
                </w:r>
              </w:p>
            </w:txbxContent>
          </v:textbox>
          <w10:wrap type="none"/>
        </v:shape>
      </w:pict>
    </w: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0392"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5087">
          <wp:simplePos x="0" y="0"/>
          <wp:positionH relativeFrom="page">
            <wp:posOffset>985998</wp:posOffset>
          </wp:positionH>
          <wp:positionV relativeFrom="page">
            <wp:posOffset>9315373</wp:posOffset>
          </wp:positionV>
          <wp:extent cx="6379583" cy="902334"/>
          <wp:effectExtent l="0" t="0" r="0" b="0"/>
          <wp:wrapNone/>
          <wp:docPr id="559" name="image2.jpeg" descr=""/>
          <wp:cNvGraphicFramePr>
            <a:graphicFrameLocks noChangeAspect="1"/>
          </wp:cNvGraphicFramePr>
          <a:graphic>
            <a:graphicData uri="http://schemas.openxmlformats.org/drawingml/2006/picture">
              <pic:pic>
                <pic:nvPicPr>
                  <pic:cNvPr id="56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03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1470</w:t>
                </w:r>
                <w:r>
                  <w:rPr/>
                  <w:fldChar w:fldCharType="end"/>
                </w:r>
              </w:p>
            </w:txbxContent>
          </v:textbox>
          <w10:wrap type="none"/>
        </v:shape>
      </w:pict>
    </w: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0320"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5159">
          <wp:simplePos x="0" y="0"/>
          <wp:positionH relativeFrom="page">
            <wp:posOffset>985998</wp:posOffset>
          </wp:positionH>
          <wp:positionV relativeFrom="page">
            <wp:posOffset>9315373</wp:posOffset>
          </wp:positionV>
          <wp:extent cx="6379583" cy="902334"/>
          <wp:effectExtent l="0" t="0" r="0" b="0"/>
          <wp:wrapNone/>
          <wp:docPr id="561" name="image2.jpeg" descr=""/>
          <wp:cNvGraphicFramePr>
            <a:graphicFrameLocks noChangeAspect="1"/>
          </wp:cNvGraphicFramePr>
          <a:graphic>
            <a:graphicData uri="http://schemas.openxmlformats.org/drawingml/2006/picture">
              <pic:pic>
                <pic:nvPicPr>
                  <pic:cNvPr id="562"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02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1480</w:t>
                </w:r>
                <w:r>
                  <w:rPr/>
                  <w:fldChar w:fldCharType="end"/>
                </w:r>
              </w:p>
            </w:txbxContent>
          </v:textbox>
          <w10:wrap type="none"/>
        </v:shape>
      </w:pict>
    </w: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0248"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5231">
          <wp:simplePos x="0" y="0"/>
          <wp:positionH relativeFrom="page">
            <wp:posOffset>985998</wp:posOffset>
          </wp:positionH>
          <wp:positionV relativeFrom="page">
            <wp:posOffset>9315373</wp:posOffset>
          </wp:positionV>
          <wp:extent cx="6379583" cy="902334"/>
          <wp:effectExtent l="0" t="0" r="0" b="0"/>
          <wp:wrapNone/>
          <wp:docPr id="563" name="image2.jpeg" descr=""/>
          <wp:cNvGraphicFramePr>
            <a:graphicFrameLocks noChangeAspect="1"/>
          </wp:cNvGraphicFramePr>
          <a:graphic>
            <a:graphicData uri="http://schemas.openxmlformats.org/drawingml/2006/picture">
              <pic:pic>
                <pic:nvPicPr>
                  <pic:cNvPr id="56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02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1490</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6976"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pict>
        <v:shape style="position:absolute;margin-left:530.580017pt;margin-top:806.839966pt;width:18.75pt;height:13.05pt;mso-position-horizontal-relative:page;mso-position-vertical-relative:page;z-index:-1266952" type="#_x0000_t202" filled="false" stroked="false">
          <v:textbox inset="0,0,0,0">
            <w:txbxContent>
              <w:p>
                <w:pPr>
                  <w:spacing w:line="245" w:lineRule="exact" w:before="0"/>
                  <w:ind w:left="20" w:right="0" w:firstLine="0"/>
                  <w:jc w:val="left"/>
                  <w:rPr>
                    <w:rFonts w:ascii="Calibri"/>
                    <w:sz w:val="22"/>
                  </w:rPr>
                </w:pPr>
                <w:r>
                  <w:rPr>
                    <w:rFonts w:ascii="Calibri"/>
                    <w:sz w:val="22"/>
                  </w:rPr>
                  <w:t>210</w:t>
                </w:r>
              </w:p>
            </w:txbxContent>
          </v:textbox>
          <w10:wrap type="none"/>
        </v:shape>
      </w:pict>
    </w: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0176"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5303">
          <wp:simplePos x="0" y="0"/>
          <wp:positionH relativeFrom="page">
            <wp:posOffset>985998</wp:posOffset>
          </wp:positionH>
          <wp:positionV relativeFrom="page">
            <wp:posOffset>9315373</wp:posOffset>
          </wp:positionV>
          <wp:extent cx="6379583" cy="902334"/>
          <wp:effectExtent l="0" t="0" r="0" b="0"/>
          <wp:wrapNone/>
          <wp:docPr id="565" name="image2.jpeg" descr=""/>
          <wp:cNvGraphicFramePr>
            <a:graphicFrameLocks noChangeAspect="1"/>
          </wp:cNvGraphicFramePr>
          <a:graphic>
            <a:graphicData uri="http://schemas.openxmlformats.org/drawingml/2006/picture">
              <pic:pic>
                <pic:nvPicPr>
                  <pic:cNvPr id="566"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01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1500</w:t>
                </w:r>
                <w:r>
                  <w:rPr/>
                  <w:fldChar w:fldCharType="end"/>
                </w:r>
              </w:p>
            </w:txbxContent>
          </v:textbox>
          <w10:wrap type="none"/>
        </v:shape>
      </w:pict>
    </w: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0104"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5375">
          <wp:simplePos x="0" y="0"/>
          <wp:positionH relativeFrom="page">
            <wp:posOffset>985998</wp:posOffset>
          </wp:positionH>
          <wp:positionV relativeFrom="page">
            <wp:posOffset>9315373</wp:posOffset>
          </wp:positionV>
          <wp:extent cx="6379583" cy="902334"/>
          <wp:effectExtent l="0" t="0" r="0" b="0"/>
          <wp:wrapNone/>
          <wp:docPr id="567" name="image2.jpeg" descr=""/>
          <wp:cNvGraphicFramePr>
            <a:graphicFrameLocks noChangeAspect="1"/>
          </wp:cNvGraphicFramePr>
          <a:graphic>
            <a:graphicData uri="http://schemas.openxmlformats.org/drawingml/2006/picture">
              <pic:pic>
                <pic:nvPicPr>
                  <pic:cNvPr id="56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500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1510</w:t>
                </w:r>
                <w:r>
                  <w:rPr/>
                  <w:fldChar w:fldCharType="end"/>
                </w:r>
              </w:p>
            </w:txbxContent>
          </v:textbox>
          <w10:wrap type="none"/>
        </v:shape>
      </w:pict>
    </w:r>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50032"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5447">
          <wp:simplePos x="0" y="0"/>
          <wp:positionH relativeFrom="page">
            <wp:posOffset>985998</wp:posOffset>
          </wp:positionH>
          <wp:positionV relativeFrom="page">
            <wp:posOffset>9315373</wp:posOffset>
          </wp:positionV>
          <wp:extent cx="6379583" cy="902334"/>
          <wp:effectExtent l="0" t="0" r="0" b="0"/>
          <wp:wrapNone/>
          <wp:docPr id="569" name="image2.jpeg" descr=""/>
          <wp:cNvGraphicFramePr>
            <a:graphicFrameLocks noChangeAspect="1"/>
          </wp:cNvGraphicFramePr>
          <a:graphic>
            <a:graphicData uri="http://schemas.openxmlformats.org/drawingml/2006/picture">
              <pic:pic>
                <pic:nvPicPr>
                  <pic:cNvPr id="57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499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1520</w:t>
                </w:r>
                <w:r>
                  <w:rPr/>
                  <w:fldChar w:fldCharType="end"/>
                </w:r>
              </w:p>
            </w:txbxContent>
          </v:textbox>
          <w10:wrap type="none"/>
        </v:shape>
      </w:pict>
    </w:r>
  </w:p>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9960"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5519">
          <wp:simplePos x="0" y="0"/>
          <wp:positionH relativeFrom="page">
            <wp:posOffset>985998</wp:posOffset>
          </wp:positionH>
          <wp:positionV relativeFrom="page">
            <wp:posOffset>9315373</wp:posOffset>
          </wp:positionV>
          <wp:extent cx="6379583" cy="902334"/>
          <wp:effectExtent l="0" t="0" r="0" b="0"/>
          <wp:wrapNone/>
          <wp:docPr id="571" name="image2.jpeg" descr=""/>
          <wp:cNvGraphicFramePr>
            <a:graphicFrameLocks noChangeAspect="1"/>
          </wp:cNvGraphicFramePr>
          <a:graphic>
            <a:graphicData uri="http://schemas.openxmlformats.org/drawingml/2006/picture">
              <pic:pic>
                <pic:nvPicPr>
                  <pic:cNvPr id="572"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499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1530</w:t>
                </w:r>
                <w:r>
                  <w:rPr/>
                  <w:fldChar w:fldCharType="end"/>
                </w:r>
              </w:p>
            </w:txbxContent>
          </v:textbox>
          <w10:wrap type="none"/>
        </v:shape>
      </w:pict>
    </w:r>
  </w:p>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9888"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5591">
          <wp:simplePos x="0" y="0"/>
          <wp:positionH relativeFrom="page">
            <wp:posOffset>985998</wp:posOffset>
          </wp:positionH>
          <wp:positionV relativeFrom="page">
            <wp:posOffset>9315373</wp:posOffset>
          </wp:positionV>
          <wp:extent cx="6379583" cy="902334"/>
          <wp:effectExtent l="0" t="0" r="0" b="0"/>
          <wp:wrapNone/>
          <wp:docPr id="573" name="image2.jpeg" descr=""/>
          <wp:cNvGraphicFramePr>
            <a:graphicFrameLocks noChangeAspect="1"/>
          </wp:cNvGraphicFramePr>
          <a:graphic>
            <a:graphicData uri="http://schemas.openxmlformats.org/drawingml/2006/picture">
              <pic:pic>
                <pic:nvPicPr>
                  <pic:cNvPr id="57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498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1540</w:t>
                </w:r>
                <w:r>
                  <w:rPr/>
                  <w:fldChar w:fldCharType="end"/>
                </w:r>
              </w:p>
            </w:txbxContent>
          </v:textbox>
          <w10:wrap type="none"/>
        </v:shape>
      </w:pict>
    </w:r>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9816"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pict>
        <v:shape style="position:absolute;margin-left:533.179993pt;margin-top:806.839966pt;width:26.4pt;height:13.05pt;mso-position-horizontal-relative:page;mso-position-vertical-relative:page;z-index:-12497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1541</w:t>
                </w:r>
                <w:r>
                  <w:rPr/>
                  <w:fldChar w:fldCharType="end"/>
                </w:r>
              </w:p>
            </w:txbxContent>
          </v:textbox>
          <w10:wrap type="none"/>
        </v:shape>
      </w:pict>
    </w:r>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9768"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5711">
          <wp:simplePos x="0" y="0"/>
          <wp:positionH relativeFrom="page">
            <wp:posOffset>985998</wp:posOffset>
          </wp:positionH>
          <wp:positionV relativeFrom="page">
            <wp:posOffset>9315373</wp:posOffset>
          </wp:positionV>
          <wp:extent cx="6379583" cy="902334"/>
          <wp:effectExtent l="0" t="0" r="0" b="0"/>
          <wp:wrapNone/>
          <wp:docPr id="577" name="image2.jpeg" descr=""/>
          <wp:cNvGraphicFramePr>
            <a:graphicFrameLocks noChangeAspect="1"/>
          </wp:cNvGraphicFramePr>
          <a:graphic>
            <a:graphicData uri="http://schemas.openxmlformats.org/drawingml/2006/picture">
              <pic:pic>
                <pic:nvPicPr>
                  <pic:cNvPr id="57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497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1542</w:t>
                </w:r>
                <w:r>
                  <w:rPr/>
                  <w:fldChar w:fldCharType="end"/>
                </w:r>
              </w:p>
            </w:txbxContent>
          </v:textbox>
          <w10:wrap type="none"/>
        </v:shape>
      </w:pict>
    </w:r>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9696"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pict>
        <v:shape style="position:absolute;margin-left:533.179993pt;margin-top:806.839966pt;width:26.4pt;height:13.05pt;mso-position-horizontal-relative:page;mso-position-vertical-relative:page;z-index:-12496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1545</w:t>
                </w:r>
                <w:r>
                  <w:rPr/>
                  <w:fldChar w:fldCharType="end"/>
                </w:r>
              </w:p>
            </w:txbxContent>
          </v:textbox>
          <w10:wrap type="none"/>
        </v:shape>
      </w:pict>
    </w: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9648"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5831">
          <wp:simplePos x="0" y="0"/>
          <wp:positionH relativeFrom="page">
            <wp:posOffset>985998</wp:posOffset>
          </wp:positionH>
          <wp:positionV relativeFrom="page">
            <wp:posOffset>9315373</wp:posOffset>
          </wp:positionV>
          <wp:extent cx="6379583" cy="902334"/>
          <wp:effectExtent l="0" t="0" r="0" b="0"/>
          <wp:wrapNone/>
          <wp:docPr id="581" name="image2.jpeg" descr=""/>
          <wp:cNvGraphicFramePr>
            <a:graphicFrameLocks noChangeAspect="1"/>
          </wp:cNvGraphicFramePr>
          <a:graphic>
            <a:graphicData uri="http://schemas.openxmlformats.org/drawingml/2006/picture">
              <pic:pic>
                <pic:nvPicPr>
                  <pic:cNvPr id="582"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496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1546</w:t>
                </w:r>
                <w:r>
                  <w:rPr/>
                  <w:fldChar w:fldCharType="end"/>
                </w:r>
              </w:p>
            </w:txbxContent>
          </v:textbox>
          <w10:wrap type="none"/>
        </v:shape>
      </w:pict>
    </w: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9576"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5903">
          <wp:simplePos x="0" y="0"/>
          <wp:positionH relativeFrom="page">
            <wp:posOffset>985998</wp:posOffset>
          </wp:positionH>
          <wp:positionV relativeFrom="page">
            <wp:posOffset>9315373</wp:posOffset>
          </wp:positionV>
          <wp:extent cx="6379583" cy="902334"/>
          <wp:effectExtent l="0" t="0" r="0" b="0"/>
          <wp:wrapNone/>
          <wp:docPr id="583" name="image2.jpeg" descr=""/>
          <wp:cNvGraphicFramePr>
            <a:graphicFrameLocks noChangeAspect="1"/>
          </wp:cNvGraphicFramePr>
          <a:graphic>
            <a:graphicData uri="http://schemas.openxmlformats.org/drawingml/2006/picture">
              <pic:pic>
                <pic:nvPicPr>
                  <pic:cNvPr id="58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495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1550</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6928"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pict>
        <v:shape style="position:absolute;margin-left:529.580017pt;margin-top:806.839966pt;width:20.75pt;height:13.05pt;mso-position-horizontal-relative:page;mso-position-vertical-relative:page;z-index:-12669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211</w:t>
                </w:r>
                <w:r>
                  <w:rPr/>
                  <w:fldChar w:fldCharType="end"/>
                </w:r>
              </w:p>
            </w:txbxContent>
          </v:textbox>
          <w10:wrap type="none"/>
        </v:shape>
      </w:pict>
    </w:r>
  </w:p>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9504"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pict>
        <v:shape style="position:absolute;margin-left:533.179993pt;margin-top:806.839966pt;width:26.4pt;height:13.05pt;mso-position-horizontal-relative:page;mso-position-vertical-relative:page;z-index:-12494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1556</w:t>
                </w:r>
                <w:r>
                  <w:rPr/>
                  <w:fldChar w:fldCharType="end"/>
                </w:r>
              </w:p>
            </w:txbxContent>
          </v:textbox>
          <w10:wrap type="none"/>
        </v:shape>
      </w:pict>
    </w:r>
  </w:p>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9456"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6023">
          <wp:simplePos x="0" y="0"/>
          <wp:positionH relativeFrom="page">
            <wp:posOffset>985998</wp:posOffset>
          </wp:positionH>
          <wp:positionV relativeFrom="page">
            <wp:posOffset>8993123</wp:posOffset>
          </wp:positionV>
          <wp:extent cx="6379583" cy="902106"/>
          <wp:effectExtent l="0" t="0" r="0" b="0"/>
          <wp:wrapNone/>
          <wp:docPr id="589" name="image2.jpeg" descr=""/>
          <wp:cNvGraphicFramePr>
            <a:graphicFrameLocks noChangeAspect="1"/>
          </wp:cNvGraphicFramePr>
          <a:graphic>
            <a:graphicData uri="http://schemas.openxmlformats.org/drawingml/2006/picture">
              <pic:pic>
                <pic:nvPicPr>
                  <pic:cNvPr id="590" name="image2.jpeg"/>
                  <pic:cNvPicPr/>
                </pic:nvPicPr>
                <pic:blipFill>
                  <a:blip r:embed="rId1" cstate="print"/>
                  <a:stretch>
                    <a:fillRect/>
                  </a:stretch>
                </pic:blipFill>
                <pic:spPr>
                  <a:xfrm>
                    <a:off x="0" y="0"/>
                    <a:ext cx="6379583" cy="902106"/>
                  </a:xfrm>
                  <a:prstGeom prst="rect">
                    <a:avLst/>
                  </a:prstGeom>
                </pic:spPr>
              </pic:pic>
            </a:graphicData>
          </a:graphic>
        </wp:anchor>
      </w:drawing>
    </w:r>
    <w:r>
      <w:rPr/>
      <w:pict>
        <v:shape style="position:absolute;margin-left:533.179993pt;margin-top:806.839966pt;width:25.4pt;height:13.05pt;mso-position-horizontal-relative:page;mso-position-vertical-relative:page;z-index:-12494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155</w:t>
                </w:r>
                <w:r>
                  <w:rPr/>
                  <w:fldChar w:fldCharType="end"/>
                </w:r>
                <w:r>
                  <w:rPr>
                    <w:rFonts w:ascii="Calibri"/>
                    <w:sz w:val="22"/>
                  </w:rPr>
                  <w:t>9</w:t>
                </w:r>
              </w:p>
            </w:txbxContent>
          </v:textbox>
          <w10:wrap type="none"/>
        </v:shape>
      </w:pict>
    </w:r>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9384"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6095">
          <wp:simplePos x="0" y="0"/>
          <wp:positionH relativeFrom="page">
            <wp:posOffset>985998</wp:posOffset>
          </wp:positionH>
          <wp:positionV relativeFrom="page">
            <wp:posOffset>8993123</wp:posOffset>
          </wp:positionV>
          <wp:extent cx="6379583" cy="902106"/>
          <wp:effectExtent l="0" t="0" r="0" b="0"/>
          <wp:wrapNone/>
          <wp:docPr id="591" name="image2.jpeg" descr=""/>
          <wp:cNvGraphicFramePr>
            <a:graphicFrameLocks noChangeAspect="1"/>
          </wp:cNvGraphicFramePr>
          <a:graphic>
            <a:graphicData uri="http://schemas.openxmlformats.org/drawingml/2006/picture">
              <pic:pic>
                <pic:nvPicPr>
                  <pic:cNvPr id="592" name="image2.jpeg"/>
                  <pic:cNvPicPr/>
                </pic:nvPicPr>
                <pic:blipFill>
                  <a:blip r:embed="rId1" cstate="print"/>
                  <a:stretch>
                    <a:fillRect/>
                  </a:stretch>
                </pic:blipFill>
                <pic:spPr>
                  <a:xfrm>
                    <a:off x="0" y="0"/>
                    <a:ext cx="6379583" cy="902106"/>
                  </a:xfrm>
                  <a:prstGeom prst="rect">
                    <a:avLst/>
                  </a:prstGeom>
                </pic:spPr>
              </pic:pic>
            </a:graphicData>
          </a:graphic>
        </wp:anchor>
      </w:drawing>
    </w:r>
    <w:r>
      <w:rPr/>
      <w:pict>
        <v:shape style="position:absolute;margin-left:533.179993pt;margin-top:806.839966pt;width:25.4pt;height:13.05pt;mso-position-horizontal-relative:page;mso-position-vertical-relative:page;z-index:-12493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156</w:t>
                </w:r>
                <w:r>
                  <w:rPr/>
                  <w:fldChar w:fldCharType="end"/>
                </w:r>
                <w:r>
                  <w:rPr>
                    <w:rFonts w:ascii="Calibri"/>
                    <w:sz w:val="22"/>
                  </w:rPr>
                  <w:t>0</w:t>
                </w:r>
              </w:p>
            </w:txbxContent>
          </v:textbox>
          <w10:wrap type="none"/>
        </v:shape>
      </w:pict>
    </w:r>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9312"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6167">
          <wp:simplePos x="0" y="0"/>
          <wp:positionH relativeFrom="page">
            <wp:posOffset>985998</wp:posOffset>
          </wp:positionH>
          <wp:positionV relativeFrom="page">
            <wp:posOffset>8993123</wp:posOffset>
          </wp:positionV>
          <wp:extent cx="6379583" cy="902106"/>
          <wp:effectExtent l="0" t="0" r="0" b="0"/>
          <wp:wrapNone/>
          <wp:docPr id="593" name="image2.jpeg" descr=""/>
          <wp:cNvGraphicFramePr>
            <a:graphicFrameLocks noChangeAspect="1"/>
          </wp:cNvGraphicFramePr>
          <a:graphic>
            <a:graphicData uri="http://schemas.openxmlformats.org/drawingml/2006/picture">
              <pic:pic>
                <pic:nvPicPr>
                  <pic:cNvPr id="594" name="image2.jpeg"/>
                  <pic:cNvPicPr/>
                </pic:nvPicPr>
                <pic:blipFill>
                  <a:blip r:embed="rId1" cstate="print"/>
                  <a:stretch>
                    <a:fillRect/>
                  </a:stretch>
                </pic:blipFill>
                <pic:spPr>
                  <a:xfrm>
                    <a:off x="0" y="0"/>
                    <a:ext cx="6379583" cy="902106"/>
                  </a:xfrm>
                  <a:prstGeom prst="rect">
                    <a:avLst/>
                  </a:prstGeom>
                </pic:spPr>
              </pic:pic>
            </a:graphicData>
          </a:graphic>
        </wp:anchor>
      </w:drawing>
    </w:r>
    <w:r>
      <w:rPr/>
      <w:pict>
        <v:shape style="position:absolute;margin-left:69.823997pt;margin-top:716.636292pt;width:102.8pt;height:13.25pt;mso-position-horizontal-relative:page;mso-position-vertical-relative:page;z-index:-1249264" type="#_x0000_t202" filled="false" stroked="false">
          <v:textbox inset="0,0,0,0">
            <w:txbxContent>
              <w:p>
                <w:pPr>
                  <w:spacing w:before="19"/>
                  <w:ind w:left="20" w:right="0" w:firstLine="0"/>
                  <w:jc w:val="left"/>
                  <w:rPr>
                    <w:sz w:val="20"/>
                  </w:rPr>
                </w:pPr>
                <w:r>
                  <w:rPr>
                    <w:color w:val="365F91"/>
                    <w:sz w:val="20"/>
                  </w:rPr>
                  <w:t>10.1515/1553–3840.1534.</w:t>
                </w:r>
              </w:p>
            </w:txbxContent>
          </v:textbox>
          <w10:wrap type="none"/>
        </v:shape>
      </w:pict>
    </w:r>
    <w:r>
      <w:rPr/>
      <w:pict>
        <v:shape style="position:absolute;margin-left:533.179993pt;margin-top:806.839966pt;width:26.4pt;height:13.05pt;mso-position-horizontal-relative:page;mso-position-vertical-relative:page;z-index:-12492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1561</w:t>
                </w:r>
                <w:r>
                  <w:rPr/>
                  <w:fldChar w:fldCharType="end"/>
                </w:r>
              </w:p>
            </w:txbxContent>
          </v:textbox>
          <w10:wrap type="none"/>
        </v:shape>
      </w:pict>
    </w:r>
  </w:p>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9216"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6263">
          <wp:simplePos x="0" y="0"/>
          <wp:positionH relativeFrom="page">
            <wp:posOffset>985998</wp:posOffset>
          </wp:positionH>
          <wp:positionV relativeFrom="page">
            <wp:posOffset>9315373</wp:posOffset>
          </wp:positionV>
          <wp:extent cx="6379583" cy="902334"/>
          <wp:effectExtent l="0" t="0" r="0" b="0"/>
          <wp:wrapNone/>
          <wp:docPr id="595" name="image2.jpeg" descr=""/>
          <wp:cNvGraphicFramePr>
            <a:graphicFrameLocks noChangeAspect="1"/>
          </wp:cNvGraphicFramePr>
          <a:graphic>
            <a:graphicData uri="http://schemas.openxmlformats.org/drawingml/2006/picture">
              <pic:pic>
                <pic:nvPicPr>
                  <pic:cNvPr id="596"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491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1563</w:t>
                </w:r>
                <w:r>
                  <w:rPr/>
                  <w:fldChar w:fldCharType="end"/>
                </w:r>
              </w:p>
            </w:txbxContent>
          </v:textbox>
          <w10:wrap type="none"/>
        </v:shape>
      </w:pict>
    </w:r>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9144"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6335">
          <wp:simplePos x="0" y="0"/>
          <wp:positionH relativeFrom="page">
            <wp:posOffset>985998</wp:posOffset>
          </wp:positionH>
          <wp:positionV relativeFrom="page">
            <wp:posOffset>9315373</wp:posOffset>
          </wp:positionV>
          <wp:extent cx="6379583" cy="902334"/>
          <wp:effectExtent l="0" t="0" r="0" b="0"/>
          <wp:wrapNone/>
          <wp:docPr id="597" name="image2.jpeg" descr=""/>
          <wp:cNvGraphicFramePr>
            <a:graphicFrameLocks noChangeAspect="1"/>
          </wp:cNvGraphicFramePr>
          <a:graphic>
            <a:graphicData uri="http://schemas.openxmlformats.org/drawingml/2006/picture">
              <pic:pic>
                <pic:nvPicPr>
                  <pic:cNvPr id="59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490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1570</w:t>
                </w:r>
                <w:r>
                  <w:rPr/>
                  <w:fldChar w:fldCharType="end"/>
                </w:r>
              </w:p>
            </w:txbxContent>
          </v:textbox>
          <w10:wrap type="none"/>
        </v:shape>
      </w:pict>
    </w:r>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9072"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6407">
          <wp:simplePos x="0" y="0"/>
          <wp:positionH relativeFrom="page">
            <wp:posOffset>985998</wp:posOffset>
          </wp:positionH>
          <wp:positionV relativeFrom="page">
            <wp:posOffset>9315373</wp:posOffset>
          </wp:positionV>
          <wp:extent cx="6379583" cy="902334"/>
          <wp:effectExtent l="0" t="0" r="0" b="0"/>
          <wp:wrapNone/>
          <wp:docPr id="599" name="image2.jpeg" descr=""/>
          <wp:cNvGraphicFramePr>
            <a:graphicFrameLocks noChangeAspect="1"/>
          </wp:cNvGraphicFramePr>
          <a:graphic>
            <a:graphicData uri="http://schemas.openxmlformats.org/drawingml/2006/picture">
              <pic:pic>
                <pic:nvPicPr>
                  <pic:cNvPr id="60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490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1588</w:t>
                </w:r>
                <w:r>
                  <w:rPr/>
                  <w:fldChar w:fldCharType="end"/>
                </w:r>
              </w:p>
            </w:txbxContent>
          </v:textbox>
          <w10:wrap type="none"/>
        </v:shape>
      </w:pict>
    </w: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9000"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6479">
          <wp:simplePos x="0" y="0"/>
          <wp:positionH relativeFrom="page">
            <wp:posOffset>985998</wp:posOffset>
          </wp:positionH>
          <wp:positionV relativeFrom="page">
            <wp:posOffset>9315373</wp:posOffset>
          </wp:positionV>
          <wp:extent cx="6379583" cy="902334"/>
          <wp:effectExtent l="0" t="0" r="0" b="0"/>
          <wp:wrapNone/>
          <wp:docPr id="601" name="image2.jpeg" descr=""/>
          <wp:cNvGraphicFramePr>
            <a:graphicFrameLocks noChangeAspect="1"/>
          </wp:cNvGraphicFramePr>
          <a:graphic>
            <a:graphicData uri="http://schemas.openxmlformats.org/drawingml/2006/picture">
              <pic:pic>
                <pic:nvPicPr>
                  <pic:cNvPr id="602"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489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1590</w:t>
                </w:r>
                <w:r>
                  <w:rPr/>
                  <w:fldChar w:fldCharType="end"/>
                </w:r>
              </w:p>
            </w:txbxContent>
          </v:textbox>
          <w10:wrap type="none"/>
        </v:shape>
      </w:pict>
    </w:r>
  </w:p>
</w:ftr>
</file>

<file path=word/footer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8928"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6551">
          <wp:simplePos x="0" y="0"/>
          <wp:positionH relativeFrom="page">
            <wp:posOffset>985998</wp:posOffset>
          </wp:positionH>
          <wp:positionV relativeFrom="page">
            <wp:posOffset>9315373</wp:posOffset>
          </wp:positionV>
          <wp:extent cx="6379583" cy="902334"/>
          <wp:effectExtent l="0" t="0" r="0" b="0"/>
          <wp:wrapNone/>
          <wp:docPr id="603" name="image2.jpeg" descr=""/>
          <wp:cNvGraphicFramePr>
            <a:graphicFrameLocks noChangeAspect="1"/>
          </wp:cNvGraphicFramePr>
          <a:graphic>
            <a:graphicData uri="http://schemas.openxmlformats.org/drawingml/2006/picture">
              <pic:pic>
                <pic:nvPicPr>
                  <pic:cNvPr id="60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488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1600</w:t>
                </w:r>
                <w:r>
                  <w:rPr/>
                  <w:fldChar w:fldCharType="end"/>
                </w:r>
              </w:p>
            </w:txbxContent>
          </v:textbox>
          <w10:wrap type="none"/>
        </v:shape>
      </w:pict>
    </w:r>
  </w:p>
</w:ftr>
</file>

<file path=word/footer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8856"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6623">
          <wp:simplePos x="0" y="0"/>
          <wp:positionH relativeFrom="page">
            <wp:posOffset>985998</wp:posOffset>
          </wp:positionH>
          <wp:positionV relativeFrom="page">
            <wp:posOffset>9315373</wp:posOffset>
          </wp:positionV>
          <wp:extent cx="6379583" cy="902334"/>
          <wp:effectExtent l="0" t="0" r="0" b="0"/>
          <wp:wrapNone/>
          <wp:docPr id="605" name="image2.jpeg" descr=""/>
          <wp:cNvGraphicFramePr>
            <a:graphicFrameLocks noChangeAspect="1"/>
          </wp:cNvGraphicFramePr>
          <a:graphic>
            <a:graphicData uri="http://schemas.openxmlformats.org/drawingml/2006/picture">
              <pic:pic>
                <pic:nvPicPr>
                  <pic:cNvPr id="606"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488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1610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8584"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66895">
          <wp:simplePos x="0" y="0"/>
          <wp:positionH relativeFrom="page">
            <wp:posOffset>896463</wp:posOffset>
          </wp:positionH>
          <wp:positionV relativeFrom="page">
            <wp:posOffset>9315373</wp:posOffset>
          </wp:positionV>
          <wp:extent cx="6379583" cy="902334"/>
          <wp:effectExtent l="0" t="0" r="0" b="0"/>
          <wp:wrapNone/>
          <wp:docPr id="7" name="image2.jpeg" descr=""/>
          <wp:cNvGraphicFramePr>
            <a:graphicFrameLocks noChangeAspect="1"/>
          </wp:cNvGraphicFramePr>
          <a:graphic>
            <a:graphicData uri="http://schemas.openxmlformats.org/drawingml/2006/picture">
              <pic:pic>
                <pic:nvPicPr>
                  <pic:cNvPr id="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15.3pt;height:13.05pt;mso-position-horizontal-relative:page;mso-position-vertical-relative:page;z-index:-12685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86</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6880"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68599">
          <wp:simplePos x="0" y="0"/>
          <wp:positionH relativeFrom="page">
            <wp:posOffset>896463</wp:posOffset>
          </wp:positionH>
          <wp:positionV relativeFrom="page">
            <wp:posOffset>9315373</wp:posOffset>
          </wp:positionV>
          <wp:extent cx="6379583" cy="902334"/>
          <wp:effectExtent l="0" t="0" r="0" b="0"/>
          <wp:wrapNone/>
          <wp:docPr id="61" name="image2.jpeg" descr=""/>
          <wp:cNvGraphicFramePr>
            <a:graphicFrameLocks noChangeAspect="1"/>
          </wp:cNvGraphicFramePr>
          <a:graphic>
            <a:graphicData uri="http://schemas.openxmlformats.org/drawingml/2006/picture">
              <pic:pic>
                <pic:nvPicPr>
                  <pic:cNvPr id="62"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68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212</w:t>
                </w:r>
                <w:r>
                  <w:rPr/>
                  <w:fldChar w:fldCharType="end"/>
                </w:r>
              </w:p>
            </w:txbxContent>
          </v:textbox>
          <w10:wrap type="none"/>
        </v:shape>
      </w:pict>
    </w:r>
  </w:p>
</w:ftr>
</file>

<file path=word/footer3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8784"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6695">
          <wp:simplePos x="0" y="0"/>
          <wp:positionH relativeFrom="page">
            <wp:posOffset>985998</wp:posOffset>
          </wp:positionH>
          <wp:positionV relativeFrom="page">
            <wp:posOffset>9315373</wp:posOffset>
          </wp:positionV>
          <wp:extent cx="6379583" cy="902334"/>
          <wp:effectExtent l="0" t="0" r="0" b="0"/>
          <wp:wrapNone/>
          <wp:docPr id="607" name="image2.jpeg" descr=""/>
          <wp:cNvGraphicFramePr>
            <a:graphicFrameLocks noChangeAspect="1"/>
          </wp:cNvGraphicFramePr>
          <a:graphic>
            <a:graphicData uri="http://schemas.openxmlformats.org/drawingml/2006/picture">
              <pic:pic>
                <pic:nvPicPr>
                  <pic:cNvPr id="60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487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1620</w:t>
                </w:r>
                <w:r>
                  <w:rPr/>
                  <w:fldChar w:fldCharType="end"/>
                </w:r>
              </w:p>
            </w:txbxContent>
          </v:textbox>
          <w10:wrap type="none"/>
        </v:shape>
      </w:pict>
    </w:r>
  </w:p>
</w:ftr>
</file>

<file path=word/footer3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8712"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6767">
          <wp:simplePos x="0" y="0"/>
          <wp:positionH relativeFrom="page">
            <wp:posOffset>985998</wp:posOffset>
          </wp:positionH>
          <wp:positionV relativeFrom="page">
            <wp:posOffset>9315373</wp:posOffset>
          </wp:positionV>
          <wp:extent cx="6379583" cy="902334"/>
          <wp:effectExtent l="0" t="0" r="0" b="0"/>
          <wp:wrapNone/>
          <wp:docPr id="609" name="image2.jpeg" descr=""/>
          <wp:cNvGraphicFramePr>
            <a:graphicFrameLocks noChangeAspect="1"/>
          </wp:cNvGraphicFramePr>
          <a:graphic>
            <a:graphicData uri="http://schemas.openxmlformats.org/drawingml/2006/picture">
              <pic:pic>
                <pic:nvPicPr>
                  <pic:cNvPr id="61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486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1630</w:t>
                </w:r>
                <w:r>
                  <w:rPr/>
                  <w:fldChar w:fldCharType="end"/>
                </w:r>
              </w:p>
            </w:txbxContent>
          </v:textbox>
          <w10:wrap type="none"/>
        </v:shape>
      </w:pict>
    </w:r>
  </w:p>
</w:ftr>
</file>

<file path=word/footer3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8640"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6839">
          <wp:simplePos x="0" y="0"/>
          <wp:positionH relativeFrom="page">
            <wp:posOffset>985998</wp:posOffset>
          </wp:positionH>
          <wp:positionV relativeFrom="page">
            <wp:posOffset>9315373</wp:posOffset>
          </wp:positionV>
          <wp:extent cx="6379583" cy="902334"/>
          <wp:effectExtent l="0" t="0" r="0" b="0"/>
          <wp:wrapNone/>
          <wp:docPr id="611" name="image2.jpeg" descr=""/>
          <wp:cNvGraphicFramePr>
            <a:graphicFrameLocks noChangeAspect="1"/>
          </wp:cNvGraphicFramePr>
          <a:graphic>
            <a:graphicData uri="http://schemas.openxmlformats.org/drawingml/2006/picture">
              <pic:pic>
                <pic:nvPicPr>
                  <pic:cNvPr id="612"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485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1640</w:t>
                </w:r>
                <w:r>
                  <w:rPr/>
                  <w:fldChar w:fldCharType="end"/>
                </w:r>
              </w:p>
            </w:txbxContent>
          </v:textbox>
          <w10:wrap type="none"/>
        </v:shape>
      </w:pict>
    </w:r>
  </w:p>
</w:ftr>
</file>

<file path=word/footer3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8568"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6911">
          <wp:simplePos x="0" y="0"/>
          <wp:positionH relativeFrom="page">
            <wp:posOffset>985998</wp:posOffset>
          </wp:positionH>
          <wp:positionV relativeFrom="page">
            <wp:posOffset>9315373</wp:posOffset>
          </wp:positionV>
          <wp:extent cx="6379583" cy="902334"/>
          <wp:effectExtent l="0" t="0" r="0" b="0"/>
          <wp:wrapNone/>
          <wp:docPr id="613" name="image2.jpeg" descr=""/>
          <wp:cNvGraphicFramePr>
            <a:graphicFrameLocks noChangeAspect="1"/>
          </wp:cNvGraphicFramePr>
          <a:graphic>
            <a:graphicData uri="http://schemas.openxmlformats.org/drawingml/2006/picture">
              <pic:pic>
                <pic:nvPicPr>
                  <pic:cNvPr id="61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485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1650</w:t>
                </w:r>
                <w:r>
                  <w:rPr/>
                  <w:fldChar w:fldCharType="end"/>
                </w:r>
              </w:p>
            </w:txbxContent>
          </v:textbox>
          <w10:wrap type="none"/>
        </v:shape>
      </w:pict>
    </w:r>
  </w:p>
</w:ftr>
</file>

<file path=word/footer3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8496"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6983">
          <wp:simplePos x="0" y="0"/>
          <wp:positionH relativeFrom="page">
            <wp:posOffset>985998</wp:posOffset>
          </wp:positionH>
          <wp:positionV relativeFrom="page">
            <wp:posOffset>9315373</wp:posOffset>
          </wp:positionV>
          <wp:extent cx="6379583" cy="902334"/>
          <wp:effectExtent l="0" t="0" r="0" b="0"/>
          <wp:wrapNone/>
          <wp:docPr id="615" name="image2.jpeg" descr=""/>
          <wp:cNvGraphicFramePr>
            <a:graphicFrameLocks noChangeAspect="1"/>
          </wp:cNvGraphicFramePr>
          <a:graphic>
            <a:graphicData uri="http://schemas.openxmlformats.org/drawingml/2006/picture">
              <pic:pic>
                <pic:nvPicPr>
                  <pic:cNvPr id="616"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484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1660</w:t>
                </w:r>
                <w:r>
                  <w:rPr/>
                  <w:fldChar w:fldCharType="end"/>
                </w:r>
              </w:p>
            </w:txbxContent>
          </v:textbox>
          <w10:wrap type="none"/>
        </v:shape>
      </w:pict>
    </w:r>
  </w:p>
</w:ftr>
</file>

<file path=word/footer3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8424"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7055">
          <wp:simplePos x="0" y="0"/>
          <wp:positionH relativeFrom="page">
            <wp:posOffset>985998</wp:posOffset>
          </wp:positionH>
          <wp:positionV relativeFrom="page">
            <wp:posOffset>9315373</wp:posOffset>
          </wp:positionV>
          <wp:extent cx="6379583" cy="902334"/>
          <wp:effectExtent l="0" t="0" r="0" b="0"/>
          <wp:wrapNone/>
          <wp:docPr id="617" name="image2.jpeg" descr=""/>
          <wp:cNvGraphicFramePr>
            <a:graphicFrameLocks noChangeAspect="1"/>
          </wp:cNvGraphicFramePr>
          <a:graphic>
            <a:graphicData uri="http://schemas.openxmlformats.org/drawingml/2006/picture">
              <pic:pic>
                <pic:nvPicPr>
                  <pic:cNvPr id="61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483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1670</w:t>
                </w:r>
                <w:r>
                  <w:rPr/>
                  <w:fldChar w:fldCharType="end"/>
                </w:r>
              </w:p>
            </w:txbxContent>
          </v:textbox>
          <w10:wrap type="none"/>
        </v:shape>
      </w:pict>
    </w:r>
  </w:p>
</w:ftr>
</file>

<file path=word/footer3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8352"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7127">
          <wp:simplePos x="0" y="0"/>
          <wp:positionH relativeFrom="page">
            <wp:posOffset>985998</wp:posOffset>
          </wp:positionH>
          <wp:positionV relativeFrom="page">
            <wp:posOffset>8993123</wp:posOffset>
          </wp:positionV>
          <wp:extent cx="6379583" cy="902106"/>
          <wp:effectExtent l="0" t="0" r="0" b="0"/>
          <wp:wrapNone/>
          <wp:docPr id="619" name="image2.jpeg" descr=""/>
          <wp:cNvGraphicFramePr>
            <a:graphicFrameLocks noChangeAspect="1"/>
          </wp:cNvGraphicFramePr>
          <a:graphic>
            <a:graphicData uri="http://schemas.openxmlformats.org/drawingml/2006/picture">
              <pic:pic>
                <pic:nvPicPr>
                  <pic:cNvPr id="620" name="image2.jpeg"/>
                  <pic:cNvPicPr/>
                </pic:nvPicPr>
                <pic:blipFill>
                  <a:blip r:embed="rId1" cstate="print"/>
                  <a:stretch>
                    <a:fillRect/>
                  </a:stretch>
                </pic:blipFill>
                <pic:spPr>
                  <a:xfrm>
                    <a:off x="0" y="0"/>
                    <a:ext cx="6379583" cy="902106"/>
                  </a:xfrm>
                  <a:prstGeom prst="rect">
                    <a:avLst/>
                  </a:prstGeom>
                </pic:spPr>
              </pic:pic>
            </a:graphicData>
          </a:graphic>
        </wp:anchor>
      </w:drawing>
    </w:r>
    <w:r>
      <w:rPr/>
      <w:pict>
        <v:shape style="position:absolute;margin-left:533.179993pt;margin-top:806.839966pt;width:26.4pt;height:13.05pt;mso-position-horizontal-relative:page;mso-position-vertical-relative:page;z-index:-12483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1678</w:t>
                </w:r>
                <w:r>
                  <w:rPr/>
                  <w:fldChar w:fldCharType="end"/>
                </w:r>
              </w:p>
            </w:txbxContent>
          </v:textbox>
          <w10:wrap type="none"/>
        </v:shape>
      </w:pict>
    </w:r>
  </w:p>
</w:ftr>
</file>

<file path=word/footer3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8280"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7199">
          <wp:simplePos x="0" y="0"/>
          <wp:positionH relativeFrom="page">
            <wp:posOffset>985998</wp:posOffset>
          </wp:positionH>
          <wp:positionV relativeFrom="page">
            <wp:posOffset>8993123</wp:posOffset>
          </wp:positionV>
          <wp:extent cx="6379583" cy="902106"/>
          <wp:effectExtent l="0" t="0" r="0" b="0"/>
          <wp:wrapNone/>
          <wp:docPr id="621" name="image2.jpeg" descr=""/>
          <wp:cNvGraphicFramePr>
            <a:graphicFrameLocks noChangeAspect="1"/>
          </wp:cNvGraphicFramePr>
          <a:graphic>
            <a:graphicData uri="http://schemas.openxmlformats.org/drawingml/2006/picture">
              <pic:pic>
                <pic:nvPicPr>
                  <pic:cNvPr id="622" name="image2.jpeg"/>
                  <pic:cNvPicPr/>
                </pic:nvPicPr>
                <pic:blipFill>
                  <a:blip r:embed="rId1" cstate="print"/>
                  <a:stretch>
                    <a:fillRect/>
                  </a:stretch>
                </pic:blipFill>
                <pic:spPr>
                  <a:xfrm>
                    <a:off x="0" y="0"/>
                    <a:ext cx="6379583" cy="902106"/>
                  </a:xfrm>
                  <a:prstGeom prst="rect">
                    <a:avLst/>
                  </a:prstGeom>
                </pic:spPr>
              </pic:pic>
            </a:graphicData>
          </a:graphic>
        </wp:anchor>
      </w:drawing>
    </w:r>
    <w:r>
      <w:rPr/>
      <w:pict>
        <v:shape style="position:absolute;margin-left:533.179993pt;margin-top:806.839966pt;width:26.4pt;height:13.05pt;mso-position-horizontal-relative:page;mso-position-vertical-relative:page;z-index:-12482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1680</w:t>
                </w:r>
                <w:r>
                  <w:rPr/>
                  <w:fldChar w:fldCharType="end"/>
                </w:r>
              </w:p>
            </w:txbxContent>
          </v:textbox>
          <w10:wrap type="none"/>
        </v:shape>
      </w:pict>
    </w:r>
  </w:p>
</w:ftr>
</file>

<file path=word/footer3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8208"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7271">
          <wp:simplePos x="0" y="0"/>
          <wp:positionH relativeFrom="page">
            <wp:posOffset>985998</wp:posOffset>
          </wp:positionH>
          <wp:positionV relativeFrom="page">
            <wp:posOffset>8993123</wp:posOffset>
          </wp:positionV>
          <wp:extent cx="6379583" cy="902106"/>
          <wp:effectExtent l="0" t="0" r="0" b="0"/>
          <wp:wrapNone/>
          <wp:docPr id="623" name="image2.jpeg" descr=""/>
          <wp:cNvGraphicFramePr>
            <a:graphicFrameLocks noChangeAspect="1"/>
          </wp:cNvGraphicFramePr>
          <a:graphic>
            <a:graphicData uri="http://schemas.openxmlformats.org/drawingml/2006/picture">
              <pic:pic>
                <pic:nvPicPr>
                  <pic:cNvPr id="624" name="image2.jpeg"/>
                  <pic:cNvPicPr/>
                </pic:nvPicPr>
                <pic:blipFill>
                  <a:blip r:embed="rId1" cstate="print"/>
                  <a:stretch>
                    <a:fillRect/>
                  </a:stretch>
                </pic:blipFill>
                <pic:spPr>
                  <a:xfrm>
                    <a:off x="0" y="0"/>
                    <a:ext cx="6379583" cy="902106"/>
                  </a:xfrm>
                  <a:prstGeom prst="rect">
                    <a:avLst/>
                  </a:prstGeom>
                </pic:spPr>
              </pic:pic>
            </a:graphicData>
          </a:graphic>
        </wp:anchor>
      </w:drawing>
    </w:r>
    <w:r>
      <w:rPr/>
      <w:pict>
        <v:shape style="position:absolute;margin-left:533.179993pt;margin-top:806.839966pt;width:26.4pt;height:13.05pt;mso-position-horizontal-relative:page;mso-position-vertical-relative:page;z-index:-12481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1682</w:t>
                </w:r>
                <w:r>
                  <w:rPr/>
                  <w:fldChar w:fldCharType="end"/>
                </w:r>
              </w:p>
            </w:txbxContent>
          </v:textbox>
          <w10:wrap type="none"/>
        </v:shape>
      </w:pict>
    </w:r>
  </w:p>
</w:ftr>
</file>

<file path=word/footer3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8136"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7343">
          <wp:simplePos x="0" y="0"/>
          <wp:positionH relativeFrom="page">
            <wp:posOffset>985998</wp:posOffset>
          </wp:positionH>
          <wp:positionV relativeFrom="page">
            <wp:posOffset>9315373</wp:posOffset>
          </wp:positionV>
          <wp:extent cx="6379583" cy="902334"/>
          <wp:effectExtent l="0" t="0" r="0" b="0"/>
          <wp:wrapNone/>
          <wp:docPr id="625" name="image2.jpeg" descr=""/>
          <wp:cNvGraphicFramePr>
            <a:graphicFrameLocks noChangeAspect="1"/>
          </wp:cNvGraphicFramePr>
          <a:graphic>
            <a:graphicData uri="http://schemas.openxmlformats.org/drawingml/2006/picture">
              <pic:pic>
                <pic:nvPicPr>
                  <pic:cNvPr id="626"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480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1684</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6808"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pict>
        <v:shape style="position:absolute;margin-left:529.580017pt;margin-top:806.839966pt;width:20.75pt;height:13.05pt;mso-position-horizontal-relative:page;mso-position-vertical-relative:page;z-index:-12667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216</w:t>
                </w:r>
                <w:r>
                  <w:rPr/>
                  <w:fldChar w:fldCharType="end"/>
                </w:r>
              </w:p>
            </w:txbxContent>
          </v:textbox>
          <w10:wrap type="none"/>
        </v:shape>
      </w:pict>
    </w:r>
  </w:p>
</w:ftr>
</file>

<file path=word/footer3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8064"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7415">
          <wp:simplePos x="0" y="0"/>
          <wp:positionH relativeFrom="page">
            <wp:posOffset>985998</wp:posOffset>
          </wp:positionH>
          <wp:positionV relativeFrom="page">
            <wp:posOffset>9315373</wp:posOffset>
          </wp:positionV>
          <wp:extent cx="6379583" cy="902334"/>
          <wp:effectExtent l="0" t="0" r="0" b="0"/>
          <wp:wrapNone/>
          <wp:docPr id="627" name="image2.jpeg" descr=""/>
          <wp:cNvGraphicFramePr>
            <a:graphicFrameLocks noChangeAspect="1"/>
          </wp:cNvGraphicFramePr>
          <a:graphic>
            <a:graphicData uri="http://schemas.openxmlformats.org/drawingml/2006/picture">
              <pic:pic>
                <pic:nvPicPr>
                  <pic:cNvPr id="62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480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1690</w:t>
                </w:r>
                <w:r>
                  <w:rPr/>
                  <w:fldChar w:fldCharType="end"/>
                </w:r>
              </w:p>
            </w:txbxContent>
          </v:textbox>
          <w10:wrap type="none"/>
        </v:shape>
      </w:pict>
    </w:r>
  </w:p>
</w:ftr>
</file>

<file path=word/footer3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7992"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7487">
          <wp:simplePos x="0" y="0"/>
          <wp:positionH relativeFrom="page">
            <wp:posOffset>985998</wp:posOffset>
          </wp:positionH>
          <wp:positionV relativeFrom="page">
            <wp:posOffset>8993123</wp:posOffset>
          </wp:positionV>
          <wp:extent cx="6379583" cy="902106"/>
          <wp:effectExtent l="0" t="0" r="0" b="0"/>
          <wp:wrapNone/>
          <wp:docPr id="629" name="image2.jpeg" descr=""/>
          <wp:cNvGraphicFramePr>
            <a:graphicFrameLocks noChangeAspect="1"/>
          </wp:cNvGraphicFramePr>
          <a:graphic>
            <a:graphicData uri="http://schemas.openxmlformats.org/drawingml/2006/picture">
              <pic:pic>
                <pic:nvPicPr>
                  <pic:cNvPr id="630" name="image2.jpeg"/>
                  <pic:cNvPicPr/>
                </pic:nvPicPr>
                <pic:blipFill>
                  <a:blip r:embed="rId1" cstate="print"/>
                  <a:stretch>
                    <a:fillRect/>
                  </a:stretch>
                </pic:blipFill>
                <pic:spPr>
                  <a:xfrm>
                    <a:off x="0" y="0"/>
                    <a:ext cx="6379583" cy="902106"/>
                  </a:xfrm>
                  <a:prstGeom prst="rect">
                    <a:avLst/>
                  </a:prstGeom>
                </pic:spPr>
              </pic:pic>
            </a:graphicData>
          </a:graphic>
        </wp:anchor>
      </w:drawing>
    </w:r>
    <w:r>
      <w:rPr/>
      <w:pict>
        <v:shape style="position:absolute;margin-left:533.179993pt;margin-top:806.839966pt;width:26.4pt;height:13.05pt;mso-position-horizontal-relative:page;mso-position-vertical-relative:page;z-index:-12479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1694</w:t>
                </w:r>
                <w:r>
                  <w:rPr/>
                  <w:fldChar w:fldCharType="end"/>
                </w:r>
              </w:p>
            </w:txbxContent>
          </v:textbox>
          <w10:wrap type="none"/>
        </v:shape>
      </w:pict>
    </w:r>
  </w:p>
</w:ftr>
</file>

<file path=word/footer3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7920"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pict>
        <v:shape style="position:absolute;margin-left:533.179993pt;margin-top:806.839966pt;width:26.4pt;height:13.05pt;mso-position-horizontal-relative:page;mso-position-vertical-relative:page;z-index:-12478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1696</w:t>
                </w:r>
                <w:r>
                  <w:rPr/>
                  <w:fldChar w:fldCharType="end"/>
                </w:r>
              </w:p>
            </w:txbxContent>
          </v:textbox>
          <w10:wrap type="none"/>
        </v:shape>
      </w:pict>
    </w:r>
  </w:p>
</w:ftr>
</file>

<file path=word/footer3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7872"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7607">
          <wp:simplePos x="0" y="0"/>
          <wp:positionH relativeFrom="page">
            <wp:posOffset>985998</wp:posOffset>
          </wp:positionH>
          <wp:positionV relativeFrom="page">
            <wp:posOffset>9315373</wp:posOffset>
          </wp:positionV>
          <wp:extent cx="6379583" cy="902334"/>
          <wp:effectExtent l="0" t="0" r="0" b="0"/>
          <wp:wrapNone/>
          <wp:docPr id="631" name="image2.jpeg" descr=""/>
          <wp:cNvGraphicFramePr>
            <a:graphicFrameLocks noChangeAspect="1"/>
          </wp:cNvGraphicFramePr>
          <a:graphic>
            <a:graphicData uri="http://schemas.openxmlformats.org/drawingml/2006/picture">
              <pic:pic>
                <pic:nvPicPr>
                  <pic:cNvPr id="632"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478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1697</w:t>
                </w:r>
                <w:r>
                  <w:rPr/>
                  <w:fldChar w:fldCharType="end"/>
                </w:r>
              </w:p>
            </w:txbxContent>
          </v:textbox>
          <w10:wrap type="none"/>
        </v:shape>
      </w:pict>
    </w:r>
  </w:p>
</w:ftr>
</file>

<file path=word/footer3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7800"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7679">
          <wp:simplePos x="0" y="0"/>
          <wp:positionH relativeFrom="page">
            <wp:posOffset>985998</wp:posOffset>
          </wp:positionH>
          <wp:positionV relativeFrom="page">
            <wp:posOffset>9315373</wp:posOffset>
          </wp:positionV>
          <wp:extent cx="6379583" cy="902334"/>
          <wp:effectExtent l="0" t="0" r="0" b="0"/>
          <wp:wrapNone/>
          <wp:docPr id="633" name="image2.jpeg" descr=""/>
          <wp:cNvGraphicFramePr>
            <a:graphicFrameLocks noChangeAspect="1"/>
          </wp:cNvGraphicFramePr>
          <a:graphic>
            <a:graphicData uri="http://schemas.openxmlformats.org/drawingml/2006/picture">
              <pic:pic>
                <pic:nvPicPr>
                  <pic:cNvPr id="63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477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1700</w:t>
                </w:r>
                <w:r>
                  <w:rPr/>
                  <w:fldChar w:fldCharType="end"/>
                </w:r>
              </w:p>
            </w:txbxContent>
          </v:textbox>
          <w10:wrap type="none"/>
        </v:shape>
      </w:pict>
    </w:r>
  </w:p>
</w:ftr>
</file>

<file path=word/footer3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7728"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7751">
          <wp:simplePos x="0" y="0"/>
          <wp:positionH relativeFrom="page">
            <wp:posOffset>985998</wp:posOffset>
          </wp:positionH>
          <wp:positionV relativeFrom="page">
            <wp:posOffset>8993123</wp:posOffset>
          </wp:positionV>
          <wp:extent cx="6379583" cy="902106"/>
          <wp:effectExtent l="0" t="0" r="0" b="0"/>
          <wp:wrapNone/>
          <wp:docPr id="635" name="image2.jpeg" descr=""/>
          <wp:cNvGraphicFramePr>
            <a:graphicFrameLocks noChangeAspect="1"/>
          </wp:cNvGraphicFramePr>
          <a:graphic>
            <a:graphicData uri="http://schemas.openxmlformats.org/drawingml/2006/picture">
              <pic:pic>
                <pic:nvPicPr>
                  <pic:cNvPr id="636" name="image2.jpeg"/>
                  <pic:cNvPicPr/>
                </pic:nvPicPr>
                <pic:blipFill>
                  <a:blip r:embed="rId1" cstate="print"/>
                  <a:stretch>
                    <a:fillRect/>
                  </a:stretch>
                </pic:blipFill>
                <pic:spPr>
                  <a:xfrm>
                    <a:off x="0" y="0"/>
                    <a:ext cx="6379583" cy="902106"/>
                  </a:xfrm>
                  <a:prstGeom prst="rect">
                    <a:avLst/>
                  </a:prstGeom>
                </pic:spPr>
              </pic:pic>
            </a:graphicData>
          </a:graphic>
        </wp:anchor>
      </w:drawing>
    </w:r>
    <w:r>
      <w:rPr/>
      <w:pict>
        <v:shape style="position:absolute;margin-left:533.179993pt;margin-top:806.839966pt;width:26.4pt;height:13.05pt;mso-position-horizontal-relative:page;mso-position-vertical-relative:page;z-index:-12476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1703</w:t>
                </w:r>
                <w:r>
                  <w:rPr/>
                  <w:fldChar w:fldCharType="end"/>
                </w:r>
              </w:p>
            </w:txbxContent>
          </v:textbox>
          <w10:wrap type="none"/>
        </v:shape>
      </w:pict>
    </w:r>
  </w:p>
</w:ftr>
</file>

<file path=word/footer3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7656"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pict>
        <v:shape style="position:absolute;margin-left:533.179993pt;margin-top:806.839966pt;width:26.4pt;height:13.05pt;mso-position-horizontal-relative:page;mso-position-vertical-relative:page;z-index:-12476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1706</w:t>
                </w:r>
                <w:r>
                  <w:rPr/>
                  <w:fldChar w:fldCharType="end"/>
                </w:r>
              </w:p>
            </w:txbxContent>
          </v:textbox>
          <w10:wrap type="none"/>
        </v:shape>
      </w:pict>
    </w:r>
  </w:p>
</w:ftr>
</file>

<file path=word/footer3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7608"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7871">
          <wp:simplePos x="0" y="0"/>
          <wp:positionH relativeFrom="page">
            <wp:posOffset>985998</wp:posOffset>
          </wp:positionH>
          <wp:positionV relativeFrom="page">
            <wp:posOffset>9315373</wp:posOffset>
          </wp:positionV>
          <wp:extent cx="6379583" cy="902334"/>
          <wp:effectExtent l="0" t="0" r="0" b="0"/>
          <wp:wrapNone/>
          <wp:docPr id="639" name="image2.jpeg" descr=""/>
          <wp:cNvGraphicFramePr>
            <a:graphicFrameLocks noChangeAspect="1"/>
          </wp:cNvGraphicFramePr>
          <a:graphic>
            <a:graphicData uri="http://schemas.openxmlformats.org/drawingml/2006/picture">
              <pic:pic>
                <pic:nvPicPr>
                  <pic:cNvPr id="64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475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1707</w:t>
                </w:r>
                <w:r>
                  <w:rPr/>
                  <w:fldChar w:fldCharType="end"/>
                </w:r>
              </w:p>
            </w:txbxContent>
          </v:textbox>
          <w10:wrap type="none"/>
        </v:shape>
      </w:pict>
    </w:r>
  </w:p>
</w:ftr>
</file>

<file path=word/footer3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7536"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7943">
          <wp:simplePos x="0" y="0"/>
          <wp:positionH relativeFrom="page">
            <wp:posOffset>985998</wp:posOffset>
          </wp:positionH>
          <wp:positionV relativeFrom="page">
            <wp:posOffset>9315373</wp:posOffset>
          </wp:positionV>
          <wp:extent cx="6379583" cy="902334"/>
          <wp:effectExtent l="0" t="0" r="0" b="0"/>
          <wp:wrapNone/>
          <wp:docPr id="641" name="image2.jpeg" descr=""/>
          <wp:cNvGraphicFramePr>
            <a:graphicFrameLocks noChangeAspect="1"/>
          </wp:cNvGraphicFramePr>
          <a:graphic>
            <a:graphicData uri="http://schemas.openxmlformats.org/drawingml/2006/picture">
              <pic:pic>
                <pic:nvPicPr>
                  <pic:cNvPr id="642"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474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1710</w:t>
                </w:r>
                <w:r>
                  <w:rPr/>
                  <w:fldChar w:fldCharType="end"/>
                </w:r>
              </w:p>
            </w:txbxContent>
          </v:textbox>
          <w10:wrap type="none"/>
        </v:shape>
      </w:pict>
    </w:r>
  </w:p>
</w:ftr>
</file>

<file path=word/footer3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7464"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8015">
          <wp:simplePos x="0" y="0"/>
          <wp:positionH relativeFrom="page">
            <wp:posOffset>985998</wp:posOffset>
          </wp:positionH>
          <wp:positionV relativeFrom="page">
            <wp:posOffset>8993123</wp:posOffset>
          </wp:positionV>
          <wp:extent cx="6379583" cy="902106"/>
          <wp:effectExtent l="0" t="0" r="0" b="0"/>
          <wp:wrapNone/>
          <wp:docPr id="643" name="image2.jpeg" descr=""/>
          <wp:cNvGraphicFramePr>
            <a:graphicFrameLocks noChangeAspect="1"/>
          </wp:cNvGraphicFramePr>
          <a:graphic>
            <a:graphicData uri="http://schemas.openxmlformats.org/drawingml/2006/picture">
              <pic:pic>
                <pic:nvPicPr>
                  <pic:cNvPr id="644" name="image2.jpeg"/>
                  <pic:cNvPicPr/>
                </pic:nvPicPr>
                <pic:blipFill>
                  <a:blip r:embed="rId1" cstate="print"/>
                  <a:stretch>
                    <a:fillRect/>
                  </a:stretch>
                </pic:blipFill>
                <pic:spPr>
                  <a:xfrm>
                    <a:off x="0" y="0"/>
                    <a:ext cx="6379583" cy="902106"/>
                  </a:xfrm>
                  <a:prstGeom prst="rect">
                    <a:avLst/>
                  </a:prstGeom>
                </pic:spPr>
              </pic:pic>
            </a:graphicData>
          </a:graphic>
        </wp:anchor>
      </w:drawing>
    </w:r>
    <w:r>
      <w:rPr/>
      <w:pict>
        <v:shape style="position:absolute;margin-left:533.179993pt;margin-top:806.839966pt;width:26.4pt;height:13.05pt;mso-position-horizontal-relative:page;mso-position-vertical-relative:page;z-index:-12474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1711</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6760"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68719">
          <wp:simplePos x="0" y="0"/>
          <wp:positionH relativeFrom="page">
            <wp:posOffset>896463</wp:posOffset>
          </wp:positionH>
          <wp:positionV relativeFrom="page">
            <wp:posOffset>9315373</wp:posOffset>
          </wp:positionV>
          <wp:extent cx="6379583" cy="902334"/>
          <wp:effectExtent l="0" t="0" r="0" b="0"/>
          <wp:wrapNone/>
          <wp:docPr id="65" name="image2.jpeg" descr=""/>
          <wp:cNvGraphicFramePr>
            <a:graphicFrameLocks noChangeAspect="1"/>
          </wp:cNvGraphicFramePr>
          <a:graphic>
            <a:graphicData uri="http://schemas.openxmlformats.org/drawingml/2006/picture">
              <pic:pic>
                <pic:nvPicPr>
                  <pic:cNvPr id="66"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67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217</w:t>
                </w:r>
                <w:r>
                  <w:rPr/>
                  <w:fldChar w:fldCharType="end"/>
                </w:r>
              </w:p>
            </w:txbxContent>
          </v:textbox>
          <w10:wrap type="none"/>
        </v:shape>
      </w:pict>
    </w:r>
  </w:p>
</w:ftr>
</file>

<file path=word/footer3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7392"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8087">
          <wp:simplePos x="0" y="0"/>
          <wp:positionH relativeFrom="page">
            <wp:posOffset>985998</wp:posOffset>
          </wp:positionH>
          <wp:positionV relativeFrom="page">
            <wp:posOffset>9315373</wp:posOffset>
          </wp:positionV>
          <wp:extent cx="6379583" cy="902334"/>
          <wp:effectExtent l="0" t="0" r="0" b="0"/>
          <wp:wrapNone/>
          <wp:docPr id="645" name="image2.jpeg" descr=""/>
          <wp:cNvGraphicFramePr>
            <a:graphicFrameLocks noChangeAspect="1"/>
          </wp:cNvGraphicFramePr>
          <a:graphic>
            <a:graphicData uri="http://schemas.openxmlformats.org/drawingml/2006/picture">
              <pic:pic>
                <pic:nvPicPr>
                  <pic:cNvPr id="646"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473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1713</w:t>
                </w:r>
                <w:r>
                  <w:rPr/>
                  <w:fldChar w:fldCharType="end"/>
                </w:r>
              </w:p>
            </w:txbxContent>
          </v:textbox>
          <w10:wrap type="none"/>
        </v:shape>
      </w:pict>
    </w:r>
  </w:p>
</w:ftr>
</file>

<file path=word/footer3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7320"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8159">
          <wp:simplePos x="0" y="0"/>
          <wp:positionH relativeFrom="page">
            <wp:posOffset>985998</wp:posOffset>
          </wp:positionH>
          <wp:positionV relativeFrom="page">
            <wp:posOffset>9315373</wp:posOffset>
          </wp:positionV>
          <wp:extent cx="6379583" cy="902334"/>
          <wp:effectExtent l="0" t="0" r="0" b="0"/>
          <wp:wrapNone/>
          <wp:docPr id="647" name="image2.jpeg" descr=""/>
          <wp:cNvGraphicFramePr>
            <a:graphicFrameLocks noChangeAspect="1"/>
          </wp:cNvGraphicFramePr>
          <a:graphic>
            <a:graphicData uri="http://schemas.openxmlformats.org/drawingml/2006/picture">
              <pic:pic>
                <pic:nvPicPr>
                  <pic:cNvPr id="64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472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1720</w:t>
                </w:r>
                <w:r>
                  <w:rPr/>
                  <w:fldChar w:fldCharType="end"/>
                </w:r>
              </w:p>
            </w:txbxContent>
          </v:textbox>
          <w10:wrap type="none"/>
        </v:shape>
      </w:pict>
    </w:r>
  </w:p>
</w:ftr>
</file>

<file path=word/footer3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7248"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8231">
          <wp:simplePos x="0" y="0"/>
          <wp:positionH relativeFrom="page">
            <wp:posOffset>985998</wp:posOffset>
          </wp:positionH>
          <wp:positionV relativeFrom="page">
            <wp:posOffset>9315373</wp:posOffset>
          </wp:positionV>
          <wp:extent cx="6379583" cy="902334"/>
          <wp:effectExtent l="0" t="0" r="0" b="0"/>
          <wp:wrapNone/>
          <wp:docPr id="649" name="image2.jpeg" descr=""/>
          <wp:cNvGraphicFramePr>
            <a:graphicFrameLocks noChangeAspect="1"/>
          </wp:cNvGraphicFramePr>
          <a:graphic>
            <a:graphicData uri="http://schemas.openxmlformats.org/drawingml/2006/picture">
              <pic:pic>
                <pic:nvPicPr>
                  <pic:cNvPr id="65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472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1730</w:t>
                </w:r>
                <w:r>
                  <w:rPr/>
                  <w:fldChar w:fldCharType="end"/>
                </w:r>
              </w:p>
            </w:txbxContent>
          </v:textbox>
          <w10:wrap type="none"/>
        </v:shape>
      </w:pict>
    </w:r>
  </w:p>
</w:ftr>
</file>

<file path=word/footer3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7176"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pict>
        <v:shape style="position:absolute;margin-left:533.179993pt;margin-top:806.839966pt;width:26.4pt;height:13.05pt;mso-position-horizontal-relative:page;mso-position-vertical-relative:page;z-index:-12471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1738</w:t>
                </w:r>
                <w:r>
                  <w:rPr/>
                  <w:fldChar w:fldCharType="end"/>
                </w:r>
              </w:p>
            </w:txbxContent>
          </v:textbox>
          <w10:wrap type="none"/>
        </v:shape>
      </w:pict>
    </w:r>
  </w:p>
</w:ftr>
</file>

<file path=word/footer3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7128"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8351">
          <wp:simplePos x="0" y="0"/>
          <wp:positionH relativeFrom="page">
            <wp:posOffset>985998</wp:posOffset>
          </wp:positionH>
          <wp:positionV relativeFrom="page">
            <wp:posOffset>9315373</wp:posOffset>
          </wp:positionV>
          <wp:extent cx="6379583" cy="902334"/>
          <wp:effectExtent l="0" t="0" r="0" b="0"/>
          <wp:wrapNone/>
          <wp:docPr id="657" name="image2.jpeg" descr=""/>
          <wp:cNvGraphicFramePr>
            <a:graphicFrameLocks noChangeAspect="1"/>
          </wp:cNvGraphicFramePr>
          <a:graphic>
            <a:graphicData uri="http://schemas.openxmlformats.org/drawingml/2006/picture">
              <pic:pic>
                <pic:nvPicPr>
                  <pic:cNvPr id="65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5.4pt;height:13.05pt;mso-position-horizontal-relative:page;mso-position-vertical-relative:page;z-index:-12470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173</w:t>
                </w:r>
                <w:r>
                  <w:rPr/>
                  <w:fldChar w:fldCharType="end"/>
                </w:r>
                <w:r>
                  <w:rPr>
                    <w:rFonts w:ascii="Calibri"/>
                    <w:sz w:val="22"/>
                  </w:rPr>
                  <w:t>9</w:t>
                </w:r>
              </w:p>
            </w:txbxContent>
          </v:textbox>
          <w10:wrap type="none"/>
        </v:shape>
      </w:pict>
    </w:r>
  </w:p>
</w:ftr>
</file>

<file path=word/footer3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7056"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8423">
          <wp:simplePos x="0" y="0"/>
          <wp:positionH relativeFrom="page">
            <wp:posOffset>985998</wp:posOffset>
          </wp:positionH>
          <wp:positionV relativeFrom="page">
            <wp:posOffset>9315373</wp:posOffset>
          </wp:positionV>
          <wp:extent cx="6379583" cy="902334"/>
          <wp:effectExtent l="0" t="0" r="0" b="0"/>
          <wp:wrapNone/>
          <wp:docPr id="659" name="image2.jpeg" descr=""/>
          <wp:cNvGraphicFramePr>
            <a:graphicFrameLocks noChangeAspect="1"/>
          </wp:cNvGraphicFramePr>
          <a:graphic>
            <a:graphicData uri="http://schemas.openxmlformats.org/drawingml/2006/picture">
              <pic:pic>
                <pic:nvPicPr>
                  <pic:cNvPr id="66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5.4pt;height:13.05pt;mso-position-horizontal-relative:page;mso-position-vertical-relative:page;z-index:-12470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174</w:t>
                </w:r>
                <w:r>
                  <w:rPr/>
                  <w:fldChar w:fldCharType="end"/>
                </w:r>
                <w:r>
                  <w:rPr>
                    <w:rFonts w:ascii="Calibri"/>
                    <w:sz w:val="22"/>
                  </w:rPr>
                  <w:t>0</w:t>
                </w:r>
              </w:p>
            </w:txbxContent>
          </v:textbox>
          <w10:wrap type="none"/>
        </v:shape>
      </w:pict>
    </w:r>
  </w:p>
</w:ftr>
</file>

<file path=word/footer3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6984"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8495">
          <wp:simplePos x="0" y="0"/>
          <wp:positionH relativeFrom="page">
            <wp:posOffset>985998</wp:posOffset>
          </wp:positionH>
          <wp:positionV relativeFrom="page">
            <wp:posOffset>9315373</wp:posOffset>
          </wp:positionV>
          <wp:extent cx="6379583" cy="902334"/>
          <wp:effectExtent l="0" t="0" r="0" b="0"/>
          <wp:wrapNone/>
          <wp:docPr id="661" name="image2.jpeg" descr=""/>
          <wp:cNvGraphicFramePr>
            <a:graphicFrameLocks noChangeAspect="1"/>
          </wp:cNvGraphicFramePr>
          <a:graphic>
            <a:graphicData uri="http://schemas.openxmlformats.org/drawingml/2006/picture">
              <pic:pic>
                <pic:nvPicPr>
                  <pic:cNvPr id="662"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469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1747</w:t>
                </w:r>
                <w:r>
                  <w:rPr/>
                  <w:fldChar w:fldCharType="end"/>
                </w:r>
              </w:p>
            </w:txbxContent>
          </v:textbox>
          <w10:wrap type="none"/>
        </v:shape>
      </w:pict>
    </w:r>
  </w:p>
</w:ftr>
</file>

<file path=word/footer3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6912"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8567">
          <wp:simplePos x="0" y="0"/>
          <wp:positionH relativeFrom="page">
            <wp:posOffset>985998</wp:posOffset>
          </wp:positionH>
          <wp:positionV relativeFrom="page">
            <wp:posOffset>9315373</wp:posOffset>
          </wp:positionV>
          <wp:extent cx="6379583" cy="902334"/>
          <wp:effectExtent l="0" t="0" r="0" b="0"/>
          <wp:wrapNone/>
          <wp:docPr id="663" name="image2.jpeg" descr=""/>
          <wp:cNvGraphicFramePr>
            <a:graphicFrameLocks noChangeAspect="1"/>
          </wp:cNvGraphicFramePr>
          <a:graphic>
            <a:graphicData uri="http://schemas.openxmlformats.org/drawingml/2006/picture">
              <pic:pic>
                <pic:nvPicPr>
                  <pic:cNvPr id="66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468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1750</w:t>
                </w:r>
                <w:r>
                  <w:rPr/>
                  <w:fldChar w:fldCharType="end"/>
                </w:r>
              </w:p>
            </w:txbxContent>
          </v:textbox>
          <w10:wrap type="none"/>
        </v:shape>
      </w:pict>
    </w:r>
  </w:p>
</w:ftr>
</file>

<file path=word/footer3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6840"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pict>
        <v:shape style="position:absolute;margin-left:533.179993pt;margin-top:806.839966pt;width:26.4pt;height:13.05pt;mso-position-horizontal-relative:page;mso-position-vertical-relative:page;z-index:-12468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1751</w:t>
                </w:r>
                <w:r>
                  <w:rPr/>
                  <w:fldChar w:fldCharType="end"/>
                </w:r>
              </w:p>
            </w:txbxContent>
          </v:textbox>
          <w10:wrap type="none"/>
        </v:shape>
      </w:pict>
    </w:r>
  </w:p>
</w:ftr>
</file>

<file path=word/footer3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6792"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8687">
          <wp:simplePos x="0" y="0"/>
          <wp:positionH relativeFrom="page">
            <wp:posOffset>985998</wp:posOffset>
          </wp:positionH>
          <wp:positionV relativeFrom="page">
            <wp:posOffset>9315373</wp:posOffset>
          </wp:positionV>
          <wp:extent cx="6379583" cy="902334"/>
          <wp:effectExtent l="0" t="0" r="0" b="0"/>
          <wp:wrapNone/>
          <wp:docPr id="667" name="image2.jpeg" descr=""/>
          <wp:cNvGraphicFramePr>
            <a:graphicFrameLocks noChangeAspect="1"/>
          </wp:cNvGraphicFramePr>
          <a:graphic>
            <a:graphicData uri="http://schemas.openxmlformats.org/drawingml/2006/picture">
              <pic:pic>
                <pic:nvPicPr>
                  <pic:cNvPr id="66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467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1752</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6688"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68791">
          <wp:simplePos x="0" y="0"/>
          <wp:positionH relativeFrom="page">
            <wp:posOffset>896463</wp:posOffset>
          </wp:positionH>
          <wp:positionV relativeFrom="page">
            <wp:posOffset>9315373</wp:posOffset>
          </wp:positionV>
          <wp:extent cx="6379583" cy="902334"/>
          <wp:effectExtent l="0" t="0" r="0" b="0"/>
          <wp:wrapNone/>
          <wp:docPr id="67" name="image2.jpeg" descr=""/>
          <wp:cNvGraphicFramePr>
            <a:graphicFrameLocks noChangeAspect="1"/>
          </wp:cNvGraphicFramePr>
          <a:graphic>
            <a:graphicData uri="http://schemas.openxmlformats.org/drawingml/2006/picture">
              <pic:pic>
                <pic:nvPicPr>
                  <pic:cNvPr id="6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66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220</w:t>
                </w:r>
                <w:r>
                  <w:rPr/>
                  <w:fldChar w:fldCharType="end"/>
                </w:r>
              </w:p>
            </w:txbxContent>
          </v:textbox>
          <w10:wrap type="none"/>
        </v:shape>
      </w:pict>
    </w:r>
  </w:p>
</w:ftr>
</file>

<file path=word/footer3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6720"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pict>
        <v:shape style="position:absolute;margin-left:534.179993pt;margin-top:806.839966pt;width:24.4pt;height:13.05pt;mso-position-horizontal-relative:page;mso-position-vertical-relative:page;z-index:-1246696" type="#_x0000_t202" filled="false" stroked="false">
          <v:textbox inset="0,0,0,0">
            <w:txbxContent>
              <w:p>
                <w:pPr>
                  <w:spacing w:line="245" w:lineRule="exact" w:before="0"/>
                  <w:ind w:left="20" w:right="0" w:firstLine="0"/>
                  <w:jc w:val="left"/>
                  <w:rPr>
                    <w:rFonts w:ascii="Calibri"/>
                    <w:sz w:val="22"/>
                  </w:rPr>
                </w:pPr>
                <w:r>
                  <w:rPr>
                    <w:rFonts w:ascii="Calibri"/>
                    <w:sz w:val="22"/>
                  </w:rPr>
                  <w:t>1757</w:t>
                </w:r>
              </w:p>
            </w:txbxContent>
          </v:textbox>
          <w10:wrap type="none"/>
        </v:shape>
      </w:pict>
    </w:r>
  </w:p>
</w:ftr>
</file>

<file path=word/footer3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6672"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pict>
        <v:shape style="position:absolute;margin-left:533.179993pt;margin-top:806.839966pt;width:26.4pt;height:13.05pt;mso-position-horizontal-relative:page;mso-position-vertical-relative:page;z-index:-12466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1758</w:t>
                </w:r>
                <w:r>
                  <w:rPr/>
                  <w:fldChar w:fldCharType="end"/>
                </w:r>
              </w:p>
            </w:txbxContent>
          </v:textbox>
          <w10:wrap type="none"/>
        </v:shape>
      </w:pict>
    </w:r>
  </w:p>
</w:ftr>
</file>

<file path=word/footer3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6624"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8855">
          <wp:simplePos x="0" y="0"/>
          <wp:positionH relativeFrom="page">
            <wp:posOffset>985998</wp:posOffset>
          </wp:positionH>
          <wp:positionV relativeFrom="page">
            <wp:posOffset>9315373</wp:posOffset>
          </wp:positionV>
          <wp:extent cx="6379583" cy="902334"/>
          <wp:effectExtent l="0" t="0" r="0" b="0"/>
          <wp:wrapNone/>
          <wp:docPr id="673" name="image2.jpeg" descr=""/>
          <wp:cNvGraphicFramePr>
            <a:graphicFrameLocks noChangeAspect="1"/>
          </wp:cNvGraphicFramePr>
          <a:graphic>
            <a:graphicData uri="http://schemas.openxmlformats.org/drawingml/2006/picture">
              <pic:pic>
                <pic:nvPicPr>
                  <pic:cNvPr id="67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5.4pt;height:13.05pt;mso-position-horizontal-relative:page;mso-position-vertical-relative:page;z-index:-12465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175</w:t>
                </w:r>
                <w:r>
                  <w:rPr/>
                  <w:fldChar w:fldCharType="end"/>
                </w:r>
                <w:r>
                  <w:rPr>
                    <w:rFonts w:ascii="Calibri"/>
                    <w:sz w:val="22"/>
                  </w:rPr>
                  <w:t>9</w:t>
                </w:r>
              </w:p>
            </w:txbxContent>
          </v:textbox>
          <w10:wrap type="none"/>
        </v:shape>
      </w:pict>
    </w:r>
  </w:p>
</w:ftr>
</file>

<file path=word/footer3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6552"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8927">
          <wp:simplePos x="0" y="0"/>
          <wp:positionH relativeFrom="page">
            <wp:posOffset>985998</wp:posOffset>
          </wp:positionH>
          <wp:positionV relativeFrom="page">
            <wp:posOffset>9315373</wp:posOffset>
          </wp:positionV>
          <wp:extent cx="6379583" cy="902334"/>
          <wp:effectExtent l="0" t="0" r="0" b="0"/>
          <wp:wrapNone/>
          <wp:docPr id="675" name="image2.jpeg" descr=""/>
          <wp:cNvGraphicFramePr>
            <a:graphicFrameLocks noChangeAspect="1"/>
          </wp:cNvGraphicFramePr>
          <a:graphic>
            <a:graphicData uri="http://schemas.openxmlformats.org/drawingml/2006/picture">
              <pic:pic>
                <pic:nvPicPr>
                  <pic:cNvPr id="676"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5.4pt;height:13.05pt;mso-position-horizontal-relative:page;mso-position-vertical-relative:page;z-index:-12465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176</w:t>
                </w:r>
                <w:r>
                  <w:rPr/>
                  <w:fldChar w:fldCharType="end"/>
                </w:r>
                <w:r>
                  <w:rPr>
                    <w:rFonts w:ascii="Calibri"/>
                    <w:sz w:val="22"/>
                  </w:rPr>
                  <w:t>0</w:t>
                </w:r>
              </w:p>
            </w:txbxContent>
          </v:textbox>
          <w10:wrap type="none"/>
        </v:shape>
      </w:pict>
    </w:r>
  </w:p>
</w:ftr>
</file>

<file path=word/footer3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6480"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pict>
        <v:shape style="position:absolute;margin-left:533.179993pt;margin-top:806.839966pt;width:26.4pt;height:13.05pt;mso-position-horizontal-relative:page;mso-position-vertical-relative:page;z-index:-12464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1761</w:t>
                </w:r>
                <w:r>
                  <w:rPr/>
                  <w:fldChar w:fldCharType="end"/>
                </w:r>
              </w:p>
            </w:txbxContent>
          </v:textbox>
          <w10:wrap type="none"/>
        </v:shape>
      </w:pict>
    </w:r>
  </w:p>
</w:ftr>
</file>

<file path=word/footer3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6432"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9047">
          <wp:simplePos x="0" y="0"/>
          <wp:positionH relativeFrom="page">
            <wp:posOffset>985998</wp:posOffset>
          </wp:positionH>
          <wp:positionV relativeFrom="page">
            <wp:posOffset>8993123</wp:posOffset>
          </wp:positionV>
          <wp:extent cx="6379583" cy="902106"/>
          <wp:effectExtent l="0" t="0" r="0" b="0"/>
          <wp:wrapNone/>
          <wp:docPr id="681" name="image2.jpeg" descr=""/>
          <wp:cNvGraphicFramePr>
            <a:graphicFrameLocks noChangeAspect="1"/>
          </wp:cNvGraphicFramePr>
          <a:graphic>
            <a:graphicData uri="http://schemas.openxmlformats.org/drawingml/2006/picture">
              <pic:pic>
                <pic:nvPicPr>
                  <pic:cNvPr id="682" name="image2.jpeg"/>
                  <pic:cNvPicPr/>
                </pic:nvPicPr>
                <pic:blipFill>
                  <a:blip r:embed="rId1" cstate="print"/>
                  <a:stretch>
                    <a:fillRect/>
                  </a:stretch>
                </pic:blipFill>
                <pic:spPr>
                  <a:xfrm>
                    <a:off x="0" y="0"/>
                    <a:ext cx="6379583" cy="902106"/>
                  </a:xfrm>
                  <a:prstGeom prst="rect">
                    <a:avLst/>
                  </a:prstGeom>
                </pic:spPr>
              </pic:pic>
            </a:graphicData>
          </a:graphic>
        </wp:anchor>
      </w:drawing>
    </w:r>
    <w:r>
      <w:rPr/>
      <w:pict>
        <v:shape style="position:absolute;margin-left:533.179993pt;margin-top:806.839966pt;width:26.4pt;height:13.05pt;mso-position-horizontal-relative:page;mso-position-vertical-relative:page;z-index:-12463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1763</w:t>
                </w:r>
                <w:r>
                  <w:rPr/>
                  <w:fldChar w:fldCharType="end"/>
                </w:r>
              </w:p>
            </w:txbxContent>
          </v:textbox>
          <w10:wrap type="none"/>
        </v:shape>
      </w:pict>
    </w:r>
  </w:p>
</w:ftr>
</file>

<file path=word/footer3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6360"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9119">
          <wp:simplePos x="0" y="0"/>
          <wp:positionH relativeFrom="page">
            <wp:posOffset>985998</wp:posOffset>
          </wp:positionH>
          <wp:positionV relativeFrom="page">
            <wp:posOffset>9315373</wp:posOffset>
          </wp:positionV>
          <wp:extent cx="6379583" cy="902334"/>
          <wp:effectExtent l="0" t="0" r="0" b="0"/>
          <wp:wrapNone/>
          <wp:docPr id="683" name="image2.jpeg" descr=""/>
          <wp:cNvGraphicFramePr>
            <a:graphicFrameLocks noChangeAspect="1"/>
          </wp:cNvGraphicFramePr>
          <a:graphic>
            <a:graphicData uri="http://schemas.openxmlformats.org/drawingml/2006/picture">
              <pic:pic>
                <pic:nvPicPr>
                  <pic:cNvPr id="68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463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1766</w:t>
                </w:r>
                <w:r>
                  <w:rPr/>
                  <w:fldChar w:fldCharType="end"/>
                </w:r>
              </w:p>
            </w:txbxContent>
          </v:textbox>
          <w10:wrap type="none"/>
        </v:shape>
      </w:pict>
    </w:r>
  </w:p>
</w:ftr>
</file>

<file path=word/footer3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6288"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pict>
        <v:shape style="position:absolute;margin-left:534.179993pt;margin-top:806.839966pt;width:24.4pt;height:13.05pt;mso-position-horizontal-relative:page;mso-position-vertical-relative:page;z-index:-1246264" type="#_x0000_t202" filled="false" stroked="false">
          <v:textbox inset="0,0,0,0">
            <w:txbxContent>
              <w:p>
                <w:pPr>
                  <w:spacing w:line="245" w:lineRule="exact" w:before="0"/>
                  <w:ind w:left="20" w:right="0" w:firstLine="0"/>
                  <w:jc w:val="left"/>
                  <w:rPr>
                    <w:rFonts w:ascii="Calibri"/>
                    <w:sz w:val="22"/>
                  </w:rPr>
                </w:pPr>
                <w:r>
                  <w:rPr>
                    <w:rFonts w:ascii="Calibri"/>
                    <w:sz w:val="22"/>
                  </w:rPr>
                  <w:t>1769</w:t>
                </w:r>
              </w:p>
            </w:txbxContent>
          </v:textbox>
          <w10:wrap type="none"/>
        </v:shape>
      </w:pict>
    </w:r>
  </w:p>
</w:ftr>
</file>

<file path=word/footer3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6240"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9239">
          <wp:simplePos x="0" y="0"/>
          <wp:positionH relativeFrom="page">
            <wp:posOffset>985998</wp:posOffset>
          </wp:positionH>
          <wp:positionV relativeFrom="page">
            <wp:posOffset>9315373</wp:posOffset>
          </wp:positionV>
          <wp:extent cx="6379583" cy="902334"/>
          <wp:effectExtent l="0" t="0" r="0" b="0"/>
          <wp:wrapNone/>
          <wp:docPr id="687" name="image2.jpeg" descr=""/>
          <wp:cNvGraphicFramePr>
            <a:graphicFrameLocks noChangeAspect="1"/>
          </wp:cNvGraphicFramePr>
          <a:graphic>
            <a:graphicData uri="http://schemas.openxmlformats.org/drawingml/2006/picture">
              <pic:pic>
                <pic:nvPicPr>
                  <pic:cNvPr id="68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461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1770</w:t>
                </w:r>
                <w:r>
                  <w:rPr/>
                  <w:fldChar w:fldCharType="end"/>
                </w:r>
              </w:p>
            </w:txbxContent>
          </v:textbox>
          <w10:wrap type="none"/>
        </v:shape>
      </w:pict>
    </w:r>
  </w:p>
</w:ftr>
</file>

<file path=word/footer3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6168"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9311">
          <wp:simplePos x="0" y="0"/>
          <wp:positionH relativeFrom="page">
            <wp:posOffset>985998</wp:posOffset>
          </wp:positionH>
          <wp:positionV relativeFrom="page">
            <wp:posOffset>9315373</wp:posOffset>
          </wp:positionV>
          <wp:extent cx="6379583" cy="902334"/>
          <wp:effectExtent l="0" t="0" r="0" b="0"/>
          <wp:wrapNone/>
          <wp:docPr id="689" name="image2.jpeg" descr=""/>
          <wp:cNvGraphicFramePr>
            <a:graphicFrameLocks noChangeAspect="1"/>
          </wp:cNvGraphicFramePr>
          <a:graphic>
            <a:graphicData uri="http://schemas.openxmlformats.org/drawingml/2006/picture">
              <pic:pic>
                <pic:nvPicPr>
                  <pic:cNvPr id="69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461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1787</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6616"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pict>
        <v:shape style="position:absolute;margin-left:530.580017pt;margin-top:806.839966pt;width:18.75pt;height:13.05pt;mso-position-horizontal-relative:page;mso-position-vertical-relative:page;z-index:-1266592" type="#_x0000_t202" filled="false" stroked="false">
          <v:textbox inset="0,0,0,0">
            <w:txbxContent>
              <w:p>
                <w:pPr>
                  <w:spacing w:line="245" w:lineRule="exact" w:before="0"/>
                  <w:ind w:left="20" w:right="0" w:firstLine="0"/>
                  <w:jc w:val="left"/>
                  <w:rPr>
                    <w:rFonts w:ascii="Calibri"/>
                    <w:sz w:val="22"/>
                  </w:rPr>
                </w:pPr>
                <w:r>
                  <w:rPr>
                    <w:rFonts w:ascii="Calibri"/>
                    <w:sz w:val="22"/>
                  </w:rPr>
                  <w:t>223</w:t>
                </w:r>
              </w:p>
            </w:txbxContent>
          </v:textbox>
          <w10:wrap type="none"/>
        </v:shape>
      </w:pict>
    </w:r>
  </w:p>
</w:ftr>
</file>

<file path=word/footer3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6096"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9383">
          <wp:simplePos x="0" y="0"/>
          <wp:positionH relativeFrom="page">
            <wp:posOffset>985998</wp:posOffset>
          </wp:positionH>
          <wp:positionV relativeFrom="page">
            <wp:posOffset>9315373</wp:posOffset>
          </wp:positionV>
          <wp:extent cx="6379583" cy="902334"/>
          <wp:effectExtent l="0" t="0" r="0" b="0"/>
          <wp:wrapNone/>
          <wp:docPr id="693" name="image2.jpeg" descr=""/>
          <wp:cNvGraphicFramePr>
            <a:graphicFrameLocks noChangeAspect="1"/>
          </wp:cNvGraphicFramePr>
          <a:graphic>
            <a:graphicData uri="http://schemas.openxmlformats.org/drawingml/2006/picture">
              <pic:pic>
                <pic:nvPicPr>
                  <pic:cNvPr id="69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460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1796</w:t>
                </w:r>
                <w:r>
                  <w:rPr/>
                  <w:fldChar w:fldCharType="end"/>
                </w:r>
              </w:p>
            </w:txbxContent>
          </v:textbox>
          <w10:wrap type="none"/>
        </v:shape>
      </w:pict>
    </w:r>
  </w:p>
</w:ftr>
</file>

<file path=word/footer3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6024"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9455">
          <wp:simplePos x="0" y="0"/>
          <wp:positionH relativeFrom="page">
            <wp:posOffset>985998</wp:posOffset>
          </wp:positionH>
          <wp:positionV relativeFrom="page">
            <wp:posOffset>9315373</wp:posOffset>
          </wp:positionV>
          <wp:extent cx="6379583" cy="902334"/>
          <wp:effectExtent l="0" t="0" r="0" b="0"/>
          <wp:wrapNone/>
          <wp:docPr id="697" name="image2.jpeg" descr=""/>
          <wp:cNvGraphicFramePr>
            <a:graphicFrameLocks noChangeAspect="1"/>
          </wp:cNvGraphicFramePr>
          <a:graphic>
            <a:graphicData uri="http://schemas.openxmlformats.org/drawingml/2006/picture">
              <pic:pic>
                <pic:nvPicPr>
                  <pic:cNvPr id="69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459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1800</w:t>
                </w:r>
                <w:r>
                  <w:rPr/>
                  <w:fldChar w:fldCharType="end"/>
                </w:r>
              </w:p>
            </w:txbxContent>
          </v:textbox>
          <w10:wrap type="none"/>
        </v:shape>
      </w:pict>
    </w:r>
  </w:p>
</w:ftr>
</file>

<file path=word/footer3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5952"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9527">
          <wp:simplePos x="0" y="0"/>
          <wp:positionH relativeFrom="page">
            <wp:posOffset>985998</wp:posOffset>
          </wp:positionH>
          <wp:positionV relativeFrom="page">
            <wp:posOffset>9315373</wp:posOffset>
          </wp:positionV>
          <wp:extent cx="6379583" cy="902334"/>
          <wp:effectExtent l="0" t="0" r="0" b="0"/>
          <wp:wrapNone/>
          <wp:docPr id="699" name="image2.jpeg" descr=""/>
          <wp:cNvGraphicFramePr>
            <a:graphicFrameLocks noChangeAspect="1"/>
          </wp:cNvGraphicFramePr>
          <a:graphic>
            <a:graphicData uri="http://schemas.openxmlformats.org/drawingml/2006/picture">
              <pic:pic>
                <pic:nvPicPr>
                  <pic:cNvPr id="70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459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1810</w:t>
                </w:r>
                <w:r>
                  <w:rPr/>
                  <w:fldChar w:fldCharType="end"/>
                </w:r>
              </w:p>
            </w:txbxContent>
          </v:textbox>
          <w10:wrap type="none"/>
        </v:shape>
      </w:pict>
    </w:r>
  </w:p>
</w:ftr>
</file>

<file path=word/footer3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5880"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9599">
          <wp:simplePos x="0" y="0"/>
          <wp:positionH relativeFrom="page">
            <wp:posOffset>985998</wp:posOffset>
          </wp:positionH>
          <wp:positionV relativeFrom="page">
            <wp:posOffset>9315373</wp:posOffset>
          </wp:positionV>
          <wp:extent cx="6379583" cy="902334"/>
          <wp:effectExtent l="0" t="0" r="0" b="0"/>
          <wp:wrapNone/>
          <wp:docPr id="701" name="image2.jpeg" descr=""/>
          <wp:cNvGraphicFramePr>
            <a:graphicFrameLocks noChangeAspect="1"/>
          </wp:cNvGraphicFramePr>
          <a:graphic>
            <a:graphicData uri="http://schemas.openxmlformats.org/drawingml/2006/picture">
              <pic:pic>
                <pic:nvPicPr>
                  <pic:cNvPr id="702"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458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1820</w:t>
                </w:r>
                <w:r>
                  <w:rPr/>
                  <w:fldChar w:fldCharType="end"/>
                </w:r>
              </w:p>
            </w:txbxContent>
          </v:textbox>
          <w10:wrap type="none"/>
        </v:shape>
      </w:pict>
    </w:r>
  </w:p>
</w:ftr>
</file>

<file path=word/footer3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5808"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9671">
          <wp:simplePos x="0" y="0"/>
          <wp:positionH relativeFrom="page">
            <wp:posOffset>985998</wp:posOffset>
          </wp:positionH>
          <wp:positionV relativeFrom="page">
            <wp:posOffset>9315373</wp:posOffset>
          </wp:positionV>
          <wp:extent cx="6379583" cy="902334"/>
          <wp:effectExtent l="0" t="0" r="0" b="0"/>
          <wp:wrapNone/>
          <wp:docPr id="703" name="image2.jpeg" descr=""/>
          <wp:cNvGraphicFramePr>
            <a:graphicFrameLocks noChangeAspect="1"/>
          </wp:cNvGraphicFramePr>
          <a:graphic>
            <a:graphicData uri="http://schemas.openxmlformats.org/drawingml/2006/picture">
              <pic:pic>
                <pic:nvPicPr>
                  <pic:cNvPr id="70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457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1830</w:t>
                </w:r>
                <w:r>
                  <w:rPr/>
                  <w:fldChar w:fldCharType="end"/>
                </w:r>
              </w:p>
            </w:txbxContent>
          </v:textbox>
          <w10:wrap type="none"/>
        </v:shape>
      </w:pict>
    </w:r>
  </w:p>
</w:ftr>
</file>

<file path=word/footer3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5736"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9743">
          <wp:simplePos x="0" y="0"/>
          <wp:positionH relativeFrom="page">
            <wp:posOffset>985998</wp:posOffset>
          </wp:positionH>
          <wp:positionV relativeFrom="page">
            <wp:posOffset>9315373</wp:posOffset>
          </wp:positionV>
          <wp:extent cx="6379583" cy="902334"/>
          <wp:effectExtent l="0" t="0" r="0" b="0"/>
          <wp:wrapNone/>
          <wp:docPr id="705" name="image2.jpeg" descr=""/>
          <wp:cNvGraphicFramePr>
            <a:graphicFrameLocks noChangeAspect="1"/>
          </wp:cNvGraphicFramePr>
          <a:graphic>
            <a:graphicData uri="http://schemas.openxmlformats.org/drawingml/2006/picture">
              <pic:pic>
                <pic:nvPicPr>
                  <pic:cNvPr id="706"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456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1840</w:t>
                </w:r>
                <w:r>
                  <w:rPr/>
                  <w:fldChar w:fldCharType="end"/>
                </w:r>
              </w:p>
            </w:txbxContent>
          </v:textbox>
          <w10:wrap type="none"/>
        </v:shape>
      </w:pict>
    </w:r>
  </w:p>
</w:ftr>
</file>

<file path=word/footer3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5664"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9815">
          <wp:simplePos x="0" y="0"/>
          <wp:positionH relativeFrom="page">
            <wp:posOffset>985998</wp:posOffset>
          </wp:positionH>
          <wp:positionV relativeFrom="page">
            <wp:posOffset>9315373</wp:posOffset>
          </wp:positionV>
          <wp:extent cx="6379583" cy="902334"/>
          <wp:effectExtent l="0" t="0" r="0" b="0"/>
          <wp:wrapNone/>
          <wp:docPr id="707" name="image2.jpeg" descr=""/>
          <wp:cNvGraphicFramePr>
            <a:graphicFrameLocks noChangeAspect="1"/>
          </wp:cNvGraphicFramePr>
          <a:graphic>
            <a:graphicData uri="http://schemas.openxmlformats.org/drawingml/2006/picture">
              <pic:pic>
                <pic:nvPicPr>
                  <pic:cNvPr id="70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456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1850</w:t>
                </w:r>
                <w:r>
                  <w:rPr/>
                  <w:fldChar w:fldCharType="end"/>
                </w:r>
              </w:p>
            </w:txbxContent>
          </v:textbox>
          <w10:wrap type="none"/>
        </v:shape>
      </w:pict>
    </w:r>
  </w:p>
</w:ftr>
</file>

<file path=word/footer3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5592"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9887">
          <wp:simplePos x="0" y="0"/>
          <wp:positionH relativeFrom="page">
            <wp:posOffset>985998</wp:posOffset>
          </wp:positionH>
          <wp:positionV relativeFrom="page">
            <wp:posOffset>9315373</wp:posOffset>
          </wp:positionV>
          <wp:extent cx="6379583" cy="902334"/>
          <wp:effectExtent l="0" t="0" r="0" b="0"/>
          <wp:wrapNone/>
          <wp:docPr id="709" name="image2.jpeg" descr=""/>
          <wp:cNvGraphicFramePr>
            <a:graphicFrameLocks noChangeAspect="1"/>
          </wp:cNvGraphicFramePr>
          <a:graphic>
            <a:graphicData uri="http://schemas.openxmlformats.org/drawingml/2006/picture">
              <pic:pic>
                <pic:nvPicPr>
                  <pic:cNvPr id="71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455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1860</w:t>
                </w:r>
                <w:r>
                  <w:rPr/>
                  <w:fldChar w:fldCharType="end"/>
                </w:r>
              </w:p>
            </w:txbxContent>
          </v:textbox>
          <w10:wrap type="none"/>
        </v:shape>
      </w:pict>
    </w:r>
  </w:p>
</w:ftr>
</file>

<file path=word/footer3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5520"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89959">
          <wp:simplePos x="0" y="0"/>
          <wp:positionH relativeFrom="page">
            <wp:posOffset>985998</wp:posOffset>
          </wp:positionH>
          <wp:positionV relativeFrom="page">
            <wp:posOffset>9315373</wp:posOffset>
          </wp:positionV>
          <wp:extent cx="6379583" cy="902334"/>
          <wp:effectExtent l="0" t="0" r="0" b="0"/>
          <wp:wrapNone/>
          <wp:docPr id="711" name="image2.jpeg" descr=""/>
          <wp:cNvGraphicFramePr>
            <a:graphicFrameLocks noChangeAspect="1"/>
          </wp:cNvGraphicFramePr>
          <a:graphic>
            <a:graphicData uri="http://schemas.openxmlformats.org/drawingml/2006/picture">
              <pic:pic>
                <pic:nvPicPr>
                  <pic:cNvPr id="712"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454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1870</w:t>
                </w:r>
                <w:r>
                  <w:rPr/>
                  <w:fldChar w:fldCharType="end"/>
                </w:r>
              </w:p>
            </w:txbxContent>
          </v:textbox>
          <w10:wrap type="none"/>
        </v:shape>
      </w:pict>
    </w:r>
  </w:p>
</w:ftr>
</file>

<file path=word/footer3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5448"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90031">
          <wp:simplePos x="0" y="0"/>
          <wp:positionH relativeFrom="page">
            <wp:posOffset>985998</wp:posOffset>
          </wp:positionH>
          <wp:positionV relativeFrom="page">
            <wp:posOffset>9315373</wp:posOffset>
          </wp:positionV>
          <wp:extent cx="6379583" cy="902334"/>
          <wp:effectExtent l="0" t="0" r="0" b="0"/>
          <wp:wrapNone/>
          <wp:docPr id="713" name="image2.jpeg" descr=""/>
          <wp:cNvGraphicFramePr>
            <a:graphicFrameLocks noChangeAspect="1"/>
          </wp:cNvGraphicFramePr>
          <a:graphic>
            <a:graphicData uri="http://schemas.openxmlformats.org/drawingml/2006/picture">
              <pic:pic>
                <pic:nvPicPr>
                  <pic:cNvPr id="71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454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1880</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6568"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68911">
          <wp:simplePos x="0" y="0"/>
          <wp:positionH relativeFrom="page">
            <wp:posOffset>896463</wp:posOffset>
          </wp:positionH>
          <wp:positionV relativeFrom="page">
            <wp:posOffset>8993123</wp:posOffset>
          </wp:positionV>
          <wp:extent cx="6379583" cy="902106"/>
          <wp:effectExtent l="0" t="0" r="0" b="0"/>
          <wp:wrapNone/>
          <wp:docPr id="71" name="image2.jpeg" descr=""/>
          <wp:cNvGraphicFramePr>
            <a:graphicFrameLocks noChangeAspect="1"/>
          </wp:cNvGraphicFramePr>
          <a:graphic>
            <a:graphicData uri="http://schemas.openxmlformats.org/drawingml/2006/picture">
              <pic:pic>
                <pic:nvPicPr>
                  <pic:cNvPr id="72" name="image2.jpeg"/>
                  <pic:cNvPicPr/>
                </pic:nvPicPr>
                <pic:blipFill>
                  <a:blip r:embed="rId1" cstate="print"/>
                  <a:stretch>
                    <a:fillRect/>
                  </a:stretch>
                </pic:blipFill>
                <pic:spPr>
                  <a:xfrm>
                    <a:off x="0" y="0"/>
                    <a:ext cx="6379583" cy="902106"/>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65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225</w:t>
                </w:r>
                <w:r>
                  <w:rPr/>
                  <w:fldChar w:fldCharType="end"/>
                </w:r>
              </w:p>
            </w:txbxContent>
          </v:textbox>
          <w10:wrap type="none"/>
        </v:shape>
      </w:pict>
    </w:r>
  </w:p>
</w:ftr>
</file>

<file path=word/footer3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5376"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90103">
          <wp:simplePos x="0" y="0"/>
          <wp:positionH relativeFrom="page">
            <wp:posOffset>985998</wp:posOffset>
          </wp:positionH>
          <wp:positionV relativeFrom="page">
            <wp:posOffset>9315373</wp:posOffset>
          </wp:positionV>
          <wp:extent cx="6379583" cy="902334"/>
          <wp:effectExtent l="0" t="0" r="0" b="0"/>
          <wp:wrapNone/>
          <wp:docPr id="715" name="image2.jpeg" descr=""/>
          <wp:cNvGraphicFramePr>
            <a:graphicFrameLocks noChangeAspect="1"/>
          </wp:cNvGraphicFramePr>
          <a:graphic>
            <a:graphicData uri="http://schemas.openxmlformats.org/drawingml/2006/picture">
              <pic:pic>
                <pic:nvPicPr>
                  <pic:cNvPr id="716"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453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1890</w:t>
                </w:r>
                <w:r>
                  <w:rPr/>
                  <w:fldChar w:fldCharType="end"/>
                </w:r>
              </w:p>
            </w:txbxContent>
          </v:textbox>
          <w10:wrap type="none"/>
        </v:shape>
      </w:pict>
    </w:r>
  </w:p>
</w:ftr>
</file>

<file path=word/footer3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8.460022pt;margin-top:805.679993pt;width:2.4pt;height:36.4pt;mso-position-horizontal-relative:page;mso-position-vertical-relative:page;z-index:-1245304" coordorigin="10569,16114" coordsize="48,728">
          <v:line style="position:absolute" from="10612,16114" to="10612,16841" stroked="true" strokeweight=".48004pt" strokecolor="#e22c91">
            <v:stroke dashstyle="solid"/>
          </v:line>
          <v:line style="position:absolute" from="10593,16114" to="10593,16841" stroked="true" strokeweight=".47998pt" strokecolor="#e22c91">
            <v:stroke dashstyle="solid"/>
          </v:line>
          <v:line style="position:absolute" from="10574,16114" to="10574,16841" stroked="true" strokeweight=".47998pt" strokecolor="#e22c91">
            <v:stroke dashstyle="solid"/>
          </v:line>
          <w10:wrap type="none"/>
        </v:group>
      </w:pict>
    </w:r>
    <w:r>
      <w:rPr/>
      <w:drawing>
        <wp:anchor distT="0" distB="0" distL="0" distR="0" allowOverlap="1" layoutInCell="1" locked="0" behindDoc="1" simplePos="0" relativeHeight="267190175">
          <wp:simplePos x="0" y="0"/>
          <wp:positionH relativeFrom="page">
            <wp:posOffset>985998</wp:posOffset>
          </wp:positionH>
          <wp:positionV relativeFrom="page">
            <wp:posOffset>9315373</wp:posOffset>
          </wp:positionV>
          <wp:extent cx="6379583" cy="902334"/>
          <wp:effectExtent l="0" t="0" r="0" b="0"/>
          <wp:wrapNone/>
          <wp:docPr id="717" name="image2.jpeg" descr=""/>
          <wp:cNvGraphicFramePr>
            <a:graphicFrameLocks noChangeAspect="1"/>
          </wp:cNvGraphicFramePr>
          <a:graphic>
            <a:graphicData uri="http://schemas.openxmlformats.org/drawingml/2006/picture">
              <pic:pic>
                <pic:nvPicPr>
                  <pic:cNvPr id="71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33.179993pt;margin-top:806.839966pt;width:26.4pt;height:13.05pt;mso-position-horizontal-relative:page;mso-position-vertical-relative:page;z-index:-12452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1900</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6496"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68983">
          <wp:simplePos x="0" y="0"/>
          <wp:positionH relativeFrom="page">
            <wp:posOffset>896463</wp:posOffset>
          </wp:positionH>
          <wp:positionV relativeFrom="page">
            <wp:posOffset>9315373</wp:posOffset>
          </wp:positionV>
          <wp:extent cx="6379583" cy="902334"/>
          <wp:effectExtent l="0" t="0" r="0" b="0"/>
          <wp:wrapNone/>
          <wp:docPr id="73" name="image2.jpeg" descr=""/>
          <wp:cNvGraphicFramePr>
            <a:graphicFrameLocks noChangeAspect="1"/>
          </wp:cNvGraphicFramePr>
          <a:graphic>
            <a:graphicData uri="http://schemas.openxmlformats.org/drawingml/2006/picture">
              <pic:pic>
                <pic:nvPicPr>
                  <pic:cNvPr id="7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64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230</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6424"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pict>
        <v:shape style="position:absolute;margin-left:529.580017pt;margin-top:806.839966pt;width:20.75pt;height:13.05pt;mso-position-horizontal-relative:page;mso-position-vertical-relative:page;z-index:-12664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232</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6376"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69103">
          <wp:simplePos x="0" y="0"/>
          <wp:positionH relativeFrom="page">
            <wp:posOffset>896463</wp:posOffset>
          </wp:positionH>
          <wp:positionV relativeFrom="page">
            <wp:posOffset>9315373</wp:posOffset>
          </wp:positionV>
          <wp:extent cx="6379583" cy="902334"/>
          <wp:effectExtent l="0" t="0" r="0" b="0"/>
          <wp:wrapNone/>
          <wp:docPr id="77" name="image2.jpeg" descr=""/>
          <wp:cNvGraphicFramePr>
            <a:graphicFrameLocks noChangeAspect="1"/>
          </wp:cNvGraphicFramePr>
          <a:graphic>
            <a:graphicData uri="http://schemas.openxmlformats.org/drawingml/2006/picture">
              <pic:pic>
                <pic:nvPicPr>
                  <pic:cNvPr id="7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63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233</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6304"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pict>
        <v:shape style="position:absolute;margin-left:529.580017pt;margin-top:806.839966pt;width:20.75pt;height:13.05pt;mso-position-horizontal-relative:page;mso-position-vertical-relative:page;z-index:-12662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235</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8512"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66967">
          <wp:simplePos x="0" y="0"/>
          <wp:positionH relativeFrom="page">
            <wp:posOffset>896463</wp:posOffset>
          </wp:positionH>
          <wp:positionV relativeFrom="page">
            <wp:posOffset>9315373</wp:posOffset>
          </wp:positionV>
          <wp:extent cx="6379583" cy="902334"/>
          <wp:effectExtent l="0" t="0" r="0" b="0"/>
          <wp:wrapNone/>
          <wp:docPr id="9" name="image2.jpeg" descr=""/>
          <wp:cNvGraphicFramePr>
            <a:graphicFrameLocks noChangeAspect="1"/>
          </wp:cNvGraphicFramePr>
          <a:graphic>
            <a:graphicData uri="http://schemas.openxmlformats.org/drawingml/2006/picture">
              <pic:pic>
                <pic:nvPicPr>
                  <pic:cNvPr id="1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84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100</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6256"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69223">
          <wp:simplePos x="0" y="0"/>
          <wp:positionH relativeFrom="page">
            <wp:posOffset>896463</wp:posOffset>
          </wp:positionH>
          <wp:positionV relativeFrom="page">
            <wp:posOffset>9315373</wp:posOffset>
          </wp:positionV>
          <wp:extent cx="6379583" cy="902334"/>
          <wp:effectExtent l="0" t="0" r="0" b="0"/>
          <wp:wrapNone/>
          <wp:docPr id="81" name="image2.jpeg" descr=""/>
          <wp:cNvGraphicFramePr>
            <a:graphicFrameLocks noChangeAspect="1"/>
          </wp:cNvGraphicFramePr>
          <a:graphic>
            <a:graphicData uri="http://schemas.openxmlformats.org/drawingml/2006/picture">
              <pic:pic>
                <pic:nvPicPr>
                  <pic:cNvPr id="82"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62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236</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6184"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69295">
          <wp:simplePos x="0" y="0"/>
          <wp:positionH relativeFrom="page">
            <wp:posOffset>896463</wp:posOffset>
          </wp:positionH>
          <wp:positionV relativeFrom="page">
            <wp:posOffset>9315373</wp:posOffset>
          </wp:positionV>
          <wp:extent cx="6379583" cy="902334"/>
          <wp:effectExtent l="0" t="0" r="0" b="0"/>
          <wp:wrapNone/>
          <wp:docPr id="83" name="image2.jpeg" descr=""/>
          <wp:cNvGraphicFramePr>
            <a:graphicFrameLocks noChangeAspect="1"/>
          </wp:cNvGraphicFramePr>
          <a:graphic>
            <a:graphicData uri="http://schemas.openxmlformats.org/drawingml/2006/picture">
              <pic:pic>
                <pic:nvPicPr>
                  <pic:cNvPr id="8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61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240</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6112"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69367">
          <wp:simplePos x="0" y="0"/>
          <wp:positionH relativeFrom="page">
            <wp:posOffset>896463</wp:posOffset>
          </wp:positionH>
          <wp:positionV relativeFrom="page">
            <wp:posOffset>9315373</wp:posOffset>
          </wp:positionV>
          <wp:extent cx="6379583" cy="902334"/>
          <wp:effectExtent l="0" t="0" r="0" b="0"/>
          <wp:wrapNone/>
          <wp:docPr id="85" name="image2.jpeg" descr=""/>
          <wp:cNvGraphicFramePr>
            <a:graphicFrameLocks noChangeAspect="1"/>
          </wp:cNvGraphicFramePr>
          <a:graphic>
            <a:graphicData uri="http://schemas.openxmlformats.org/drawingml/2006/picture">
              <pic:pic>
                <pic:nvPicPr>
                  <pic:cNvPr id="86"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60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250</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6040"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69439">
          <wp:simplePos x="0" y="0"/>
          <wp:positionH relativeFrom="page">
            <wp:posOffset>896463</wp:posOffset>
          </wp:positionH>
          <wp:positionV relativeFrom="page">
            <wp:posOffset>9315373</wp:posOffset>
          </wp:positionV>
          <wp:extent cx="6379583" cy="902334"/>
          <wp:effectExtent l="0" t="0" r="0" b="0"/>
          <wp:wrapNone/>
          <wp:docPr id="87" name="image2.jpeg" descr=""/>
          <wp:cNvGraphicFramePr>
            <a:graphicFrameLocks noChangeAspect="1"/>
          </wp:cNvGraphicFramePr>
          <a:graphic>
            <a:graphicData uri="http://schemas.openxmlformats.org/drawingml/2006/picture">
              <pic:pic>
                <pic:nvPicPr>
                  <pic:cNvPr id="8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59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260</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5968"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69511">
          <wp:simplePos x="0" y="0"/>
          <wp:positionH relativeFrom="page">
            <wp:posOffset>896463</wp:posOffset>
          </wp:positionH>
          <wp:positionV relativeFrom="page">
            <wp:posOffset>9315373</wp:posOffset>
          </wp:positionV>
          <wp:extent cx="6379583" cy="902334"/>
          <wp:effectExtent l="0" t="0" r="0" b="0"/>
          <wp:wrapNone/>
          <wp:docPr id="89" name="image2.jpeg" descr=""/>
          <wp:cNvGraphicFramePr>
            <a:graphicFrameLocks noChangeAspect="1"/>
          </wp:cNvGraphicFramePr>
          <a:graphic>
            <a:graphicData uri="http://schemas.openxmlformats.org/drawingml/2006/picture">
              <pic:pic>
                <pic:nvPicPr>
                  <pic:cNvPr id="9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59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270</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5896"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pict>
        <v:shape style="position:absolute;margin-left:529.580017pt;margin-top:806.839966pt;width:20.75pt;height:13.05pt;mso-position-horizontal-relative:page;mso-position-vertical-relative:page;z-index:-12658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276</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5848"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69631">
          <wp:simplePos x="0" y="0"/>
          <wp:positionH relativeFrom="page">
            <wp:posOffset>896463</wp:posOffset>
          </wp:positionH>
          <wp:positionV relativeFrom="page">
            <wp:posOffset>9315373</wp:posOffset>
          </wp:positionV>
          <wp:extent cx="6379583" cy="902334"/>
          <wp:effectExtent l="0" t="0" r="0" b="0"/>
          <wp:wrapNone/>
          <wp:docPr id="93" name="image2.jpeg" descr=""/>
          <wp:cNvGraphicFramePr>
            <a:graphicFrameLocks noChangeAspect="1"/>
          </wp:cNvGraphicFramePr>
          <a:graphic>
            <a:graphicData uri="http://schemas.openxmlformats.org/drawingml/2006/picture">
              <pic:pic>
                <pic:nvPicPr>
                  <pic:cNvPr id="9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58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277</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5776"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69703">
          <wp:simplePos x="0" y="0"/>
          <wp:positionH relativeFrom="page">
            <wp:posOffset>896463</wp:posOffset>
          </wp:positionH>
          <wp:positionV relativeFrom="page">
            <wp:posOffset>9315373</wp:posOffset>
          </wp:positionV>
          <wp:extent cx="6379583" cy="902334"/>
          <wp:effectExtent l="0" t="0" r="0" b="0"/>
          <wp:wrapNone/>
          <wp:docPr id="95" name="image2.jpeg" descr=""/>
          <wp:cNvGraphicFramePr>
            <a:graphicFrameLocks noChangeAspect="1"/>
          </wp:cNvGraphicFramePr>
          <a:graphic>
            <a:graphicData uri="http://schemas.openxmlformats.org/drawingml/2006/picture">
              <pic:pic>
                <pic:nvPicPr>
                  <pic:cNvPr id="96"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57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280</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5704"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pict>
        <v:shape style="position:absolute;margin-left:529.580017pt;margin-top:806.839966pt;width:20.75pt;height:13.05pt;mso-position-horizontal-relative:page;mso-position-vertical-relative:page;z-index:-12656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282</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5656"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69823">
          <wp:simplePos x="0" y="0"/>
          <wp:positionH relativeFrom="page">
            <wp:posOffset>896463</wp:posOffset>
          </wp:positionH>
          <wp:positionV relativeFrom="page">
            <wp:posOffset>9315373</wp:posOffset>
          </wp:positionV>
          <wp:extent cx="6379583" cy="902334"/>
          <wp:effectExtent l="0" t="0" r="0" b="0"/>
          <wp:wrapNone/>
          <wp:docPr id="99" name="image2.jpeg" descr=""/>
          <wp:cNvGraphicFramePr>
            <a:graphicFrameLocks noChangeAspect="1"/>
          </wp:cNvGraphicFramePr>
          <a:graphic>
            <a:graphicData uri="http://schemas.openxmlformats.org/drawingml/2006/picture">
              <pic:pic>
                <pic:nvPicPr>
                  <pic:cNvPr id="10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56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283</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8440"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67039">
          <wp:simplePos x="0" y="0"/>
          <wp:positionH relativeFrom="page">
            <wp:posOffset>896463</wp:posOffset>
          </wp:positionH>
          <wp:positionV relativeFrom="page">
            <wp:posOffset>9315373</wp:posOffset>
          </wp:positionV>
          <wp:extent cx="6379583" cy="902334"/>
          <wp:effectExtent l="0" t="0" r="0" b="0"/>
          <wp:wrapNone/>
          <wp:docPr id="11" name="image2.jpeg" descr=""/>
          <wp:cNvGraphicFramePr>
            <a:graphicFrameLocks noChangeAspect="1"/>
          </wp:cNvGraphicFramePr>
          <a:graphic>
            <a:graphicData uri="http://schemas.openxmlformats.org/drawingml/2006/picture">
              <pic:pic>
                <pic:nvPicPr>
                  <pic:cNvPr id="12"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83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110</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5584"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pict>
        <v:shape style="position:absolute;margin-left:529.580017pt;margin-top:806.839966pt;width:20.75pt;height:13.05pt;mso-position-horizontal-relative:page;mso-position-vertical-relative:page;z-index:-12655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288</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5536"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pict>
        <v:shape style="position:absolute;margin-left:529.580017pt;margin-top:806.839966pt;width:20.75pt;height:13.05pt;mso-position-horizontal-relative:page;mso-position-vertical-relative:page;z-index:-12655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290</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5488"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69991">
          <wp:simplePos x="0" y="0"/>
          <wp:positionH relativeFrom="page">
            <wp:posOffset>896463</wp:posOffset>
          </wp:positionH>
          <wp:positionV relativeFrom="page">
            <wp:posOffset>8993123</wp:posOffset>
          </wp:positionV>
          <wp:extent cx="6379583" cy="902106"/>
          <wp:effectExtent l="0" t="0" r="0" b="0"/>
          <wp:wrapNone/>
          <wp:docPr id="107" name="image2.jpeg" descr=""/>
          <wp:cNvGraphicFramePr>
            <a:graphicFrameLocks noChangeAspect="1"/>
          </wp:cNvGraphicFramePr>
          <a:graphic>
            <a:graphicData uri="http://schemas.openxmlformats.org/drawingml/2006/picture">
              <pic:pic>
                <pic:nvPicPr>
                  <pic:cNvPr id="108" name="image2.jpeg"/>
                  <pic:cNvPicPr/>
                </pic:nvPicPr>
                <pic:blipFill>
                  <a:blip r:embed="rId1" cstate="print"/>
                  <a:stretch>
                    <a:fillRect/>
                  </a:stretch>
                </pic:blipFill>
                <pic:spPr>
                  <a:xfrm>
                    <a:off x="0" y="0"/>
                    <a:ext cx="6379583" cy="902106"/>
                  </a:xfrm>
                  <a:prstGeom prst="rect">
                    <a:avLst/>
                  </a:prstGeom>
                </pic:spPr>
              </pic:pic>
            </a:graphicData>
          </a:graphic>
        </wp:anchor>
      </w:drawing>
    </w:r>
    <w:r>
      <w:rPr/>
      <w:pict>
        <v:shape style="position:absolute;margin-left:530.580017pt;margin-top:806.839966pt;width:18.75pt;height:13.05pt;mso-position-horizontal-relative:page;mso-position-vertical-relative:page;z-index:-1265440" type="#_x0000_t202" filled="false" stroked="false">
          <v:textbox inset="0,0,0,0">
            <w:txbxContent>
              <w:p>
                <w:pPr>
                  <w:spacing w:line="245" w:lineRule="exact" w:before="0"/>
                  <w:ind w:left="20" w:right="0" w:firstLine="0"/>
                  <w:jc w:val="left"/>
                  <w:rPr>
                    <w:rFonts w:ascii="Calibri"/>
                    <w:sz w:val="22"/>
                  </w:rPr>
                </w:pPr>
                <w:r>
                  <w:rPr>
                    <w:rFonts w:ascii="Calibri"/>
                    <w:sz w:val="22"/>
                  </w:rPr>
                  <w:t>291</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5416"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0063">
          <wp:simplePos x="0" y="0"/>
          <wp:positionH relativeFrom="page">
            <wp:posOffset>896463</wp:posOffset>
          </wp:positionH>
          <wp:positionV relativeFrom="page">
            <wp:posOffset>8993123</wp:posOffset>
          </wp:positionV>
          <wp:extent cx="6379583" cy="902106"/>
          <wp:effectExtent l="0" t="0" r="0" b="0"/>
          <wp:wrapNone/>
          <wp:docPr id="109" name="image2.jpeg" descr=""/>
          <wp:cNvGraphicFramePr>
            <a:graphicFrameLocks noChangeAspect="1"/>
          </wp:cNvGraphicFramePr>
          <a:graphic>
            <a:graphicData uri="http://schemas.openxmlformats.org/drawingml/2006/picture">
              <pic:pic>
                <pic:nvPicPr>
                  <pic:cNvPr id="110" name="image2.jpeg"/>
                  <pic:cNvPicPr/>
                </pic:nvPicPr>
                <pic:blipFill>
                  <a:blip r:embed="rId1" cstate="print"/>
                  <a:stretch>
                    <a:fillRect/>
                  </a:stretch>
                </pic:blipFill>
                <pic:spPr>
                  <a:xfrm>
                    <a:off x="0" y="0"/>
                    <a:ext cx="6379583" cy="902106"/>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53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292</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5344"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0135">
          <wp:simplePos x="0" y="0"/>
          <wp:positionH relativeFrom="page">
            <wp:posOffset>896463</wp:posOffset>
          </wp:positionH>
          <wp:positionV relativeFrom="page">
            <wp:posOffset>9315373</wp:posOffset>
          </wp:positionV>
          <wp:extent cx="6379583" cy="902334"/>
          <wp:effectExtent l="0" t="0" r="0" b="0"/>
          <wp:wrapNone/>
          <wp:docPr id="111" name="image2.jpeg" descr=""/>
          <wp:cNvGraphicFramePr>
            <a:graphicFrameLocks noChangeAspect="1"/>
          </wp:cNvGraphicFramePr>
          <a:graphic>
            <a:graphicData uri="http://schemas.openxmlformats.org/drawingml/2006/picture">
              <pic:pic>
                <pic:nvPicPr>
                  <pic:cNvPr id="112"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52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294</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5272"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0207">
          <wp:simplePos x="0" y="0"/>
          <wp:positionH relativeFrom="page">
            <wp:posOffset>896463</wp:posOffset>
          </wp:positionH>
          <wp:positionV relativeFrom="page">
            <wp:posOffset>9315373</wp:posOffset>
          </wp:positionV>
          <wp:extent cx="6379583" cy="902334"/>
          <wp:effectExtent l="0" t="0" r="0" b="0"/>
          <wp:wrapNone/>
          <wp:docPr id="113" name="image2.jpeg" descr=""/>
          <wp:cNvGraphicFramePr>
            <a:graphicFrameLocks noChangeAspect="1"/>
          </wp:cNvGraphicFramePr>
          <a:graphic>
            <a:graphicData uri="http://schemas.openxmlformats.org/drawingml/2006/picture">
              <pic:pic>
                <pic:nvPicPr>
                  <pic:cNvPr id="11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52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300</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5200"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pict>
        <v:shape style="position:absolute;margin-left:529.580017pt;margin-top:806.839966pt;width:20.75pt;height:13.05pt;mso-position-horizontal-relative:page;mso-position-vertical-relative:page;z-index:-12651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307</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5152"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0327">
          <wp:simplePos x="0" y="0"/>
          <wp:positionH relativeFrom="page">
            <wp:posOffset>896463</wp:posOffset>
          </wp:positionH>
          <wp:positionV relativeFrom="page">
            <wp:posOffset>9315373</wp:posOffset>
          </wp:positionV>
          <wp:extent cx="6379583" cy="902334"/>
          <wp:effectExtent l="0" t="0" r="0" b="0"/>
          <wp:wrapNone/>
          <wp:docPr id="117" name="image2.jpeg" descr=""/>
          <wp:cNvGraphicFramePr>
            <a:graphicFrameLocks noChangeAspect="1"/>
          </wp:cNvGraphicFramePr>
          <a:graphic>
            <a:graphicData uri="http://schemas.openxmlformats.org/drawingml/2006/picture">
              <pic:pic>
                <pic:nvPicPr>
                  <pic:cNvPr id="11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51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308</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5080"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0399">
          <wp:simplePos x="0" y="0"/>
          <wp:positionH relativeFrom="page">
            <wp:posOffset>896463</wp:posOffset>
          </wp:positionH>
          <wp:positionV relativeFrom="page">
            <wp:posOffset>9315373</wp:posOffset>
          </wp:positionV>
          <wp:extent cx="6379583" cy="902334"/>
          <wp:effectExtent l="0" t="0" r="0" b="0"/>
          <wp:wrapNone/>
          <wp:docPr id="119" name="image2.jpeg" descr=""/>
          <wp:cNvGraphicFramePr>
            <a:graphicFrameLocks noChangeAspect="1"/>
          </wp:cNvGraphicFramePr>
          <a:graphic>
            <a:graphicData uri="http://schemas.openxmlformats.org/drawingml/2006/picture">
              <pic:pic>
                <pic:nvPicPr>
                  <pic:cNvPr id="12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8pt;height:13.05pt;mso-position-horizontal-relative:page;mso-position-vertical-relative:page;z-index:-12650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312</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5008"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0471">
          <wp:simplePos x="0" y="0"/>
          <wp:positionH relativeFrom="page">
            <wp:posOffset>896463</wp:posOffset>
          </wp:positionH>
          <wp:positionV relativeFrom="page">
            <wp:posOffset>9315373</wp:posOffset>
          </wp:positionV>
          <wp:extent cx="6379583" cy="902334"/>
          <wp:effectExtent l="0" t="0" r="0" b="0"/>
          <wp:wrapNone/>
          <wp:docPr id="121" name="image2.jpeg" descr=""/>
          <wp:cNvGraphicFramePr>
            <a:graphicFrameLocks noChangeAspect="1"/>
          </wp:cNvGraphicFramePr>
          <a:graphic>
            <a:graphicData uri="http://schemas.openxmlformats.org/drawingml/2006/picture">
              <pic:pic>
                <pic:nvPicPr>
                  <pic:cNvPr id="122"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49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320</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8368"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pict>
        <v:shape style="position:absolute;margin-left:529.580017pt;margin-top:806.839966pt;width:20.75pt;height:13.05pt;mso-position-horizontal-relative:page;mso-position-vertical-relative:page;z-index:-12683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115</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4936"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0543">
          <wp:simplePos x="0" y="0"/>
          <wp:positionH relativeFrom="page">
            <wp:posOffset>896463</wp:posOffset>
          </wp:positionH>
          <wp:positionV relativeFrom="page">
            <wp:posOffset>9315373</wp:posOffset>
          </wp:positionV>
          <wp:extent cx="6379583" cy="902334"/>
          <wp:effectExtent l="0" t="0" r="0" b="0"/>
          <wp:wrapNone/>
          <wp:docPr id="123" name="image2.jpeg" descr=""/>
          <wp:cNvGraphicFramePr>
            <a:graphicFrameLocks noChangeAspect="1"/>
          </wp:cNvGraphicFramePr>
          <a:graphic>
            <a:graphicData uri="http://schemas.openxmlformats.org/drawingml/2006/picture">
              <pic:pic>
                <pic:nvPicPr>
                  <pic:cNvPr id="12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48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330</w:t>
                </w:r>
                <w:r>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4864"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0615">
          <wp:simplePos x="0" y="0"/>
          <wp:positionH relativeFrom="page">
            <wp:posOffset>896463</wp:posOffset>
          </wp:positionH>
          <wp:positionV relativeFrom="page">
            <wp:posOffset>9315373</wp:posOffset>
          </wp:positionV>
          <wp:extent cx="6379583" cy="902334"/>
          <wp:effectExtent l="0" t="0" r="0" b="0"/>
          <wp:wrapNone/>
          <wp:docPr id="125" name="image2.jpeg" descr=""/>
          <wp:cNvGraphicFramePr>
            <a:graphicFrameLocks noChangeAspect="1"/>
          </wp:cNvGraphicFramePr>
          <a:graphic>
            <a:graphicData uri="http://schemas.openxmlformats.org/drawingml/2006/picture">
              <pic:pic>
                <pic:nvPicPr>
                  <pic:cNvPr id="126"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48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340</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4792"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pict>
        <v:shape style="position:absolute;margin-left:529.580017pt;margin-top:806.839966pt;width:20.75pt;height:13.05pt;mso-position-horizontal-relative:page;mso-position-vertical-relative:page;z-index:-12647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348</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4744"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0735">
          <wp:simplePos x="0" y="0"/>
          <wp:positionH relativeFrom="page">
            <wp:posOffset>896463</wp:posOffset>
          </wp:positionH>
          <wp:positionV relativeFrom="page">
            <wp:posOffset>9315373</wp:posOffset>
          </wp:positionV>
          <wp:extent cx="6379583" cy="902334"/>
          <wp:effectExtent l="0" t="0" r="0" b="0"/>
          <wp:wrapNone/>
          <wp:docPr id="129" name="image2.jpeg" descr=""/>
          <wp:cNvGraphicFramePr>
            <a:graphicFrameLocks noChangeAspect="1"/>
          </wp:cNvGraphicFramePr>
          <a:graphic>
            <a:graphicData uri="http://schemas.openxmlformats.org/drawingml/2006/picture">
              <pic:pic>
                <pic:nvPicPr>
                  <pic:cNvPr id="13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19.75pt;height:13.05pt;mso-position-horizontal-relative:page;mso-position-vertical-relative:page;z-index:-12646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34</w:t>
                </w:r>
                <w:r>
                  <w:rPr/>
                  <w:fldChar w:fldCharType="end"/>
                </w:r>
                <w:r>
                  <w:rPr>
                    <w:rFonts w:ascii="Calibri"/>
                    <w:sz w:val="22"/>
                  </w:rPr>
                  <w:t>9</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4672"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0807">
          <wp:simplePos x="0" y="0"/>
          <wp:positionH relativeFrom="page">
            <wp:posOffset>896463</wp:posOffset>
          </wp:positionH>
          <wp:positionV relativeFrom="page">
            <wp:posOffset>9315373</wp:posOffset>
          </wp:positionV>
          <wp:extent cx="6379583" cy="902334"/>
          <wp:effectExtent l="0" t="0" r="0" b="0"/>
          <wp:wrapNone/>
          <wp:docPr id="131" name="image2.jpeg" descr=""/>
          <wp:cNvGraphicFramePr>
            <a:graphicFrameLocks noChangeAspect="1"/>
          </wp:cNvGraphicFramePr>
          <a:graphic>
            <a:graphicData uri="http://schemas.openxmlformats.org/drawingml/2006/picture">
              <pic:pic>
                <pic:nvPicPr>
                  <pic:cNvPr id="132"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19.75pt;height:13.05pt;mso-position-horizontal-relative:page;mso-position-vertical-relative:page;z-index:-12646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35</w:t>
                </w:r>
                <w:r>
                  <w:rPr/>
                  <w:fldChar w:fldCharType="end"/>
                </w:r>
                <w:r>
                  <w:rPr>
                    <w:rFonts w:ascii="Calibri"/>
                    <w:sz w:val="22"/>
                  </w:rPr>
                  <w:t>0</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4600"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0879">
          <wp:simplePos x="0" y="0"/>
          <wp:positionH relativeFrom="page">
            <wp:posOffset>896463</wp:posOffset>
          </wp:positionH>
          <wp:positionV relativeFrom="page">
            <wp:posOffset>9315373</wp:posOffset>
          </wp:positionV>
          <wp:extent cx="6379583" cy="902334"/>
          <wp:effectExtent l="0" t="0" r="0" b="0"/>
          <wp:wrapNone/>
          <wp:docPr id="133" name="image2.jpeg" descr=""/>
          <wp:cNvGraphicFramePr>
            <a:graphicFrameLocks noChangeAspect="1"/>
          </wp:cNvGraphicFramePr>
          <a:graphic>
            <a:graphicData uri="http://schemas.openxmlformats.org/drawingml/2006/picture">
              <pic:pic>
                <pic:nvPicPr>
                  <pic:cNvPr id="13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45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351</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4528"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pict>
        <v:shape style="position:absolute;margin-left:529.580017pt;margin-top:806.839966pt;width:20.75pt;height:13.05pt;mso-position-horizontal-relative:page;mso-position-vertical-relative:page;z-index:-12645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354</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4480"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0999">
          <wp:simplePos x="0" y="0"/>
          <wp:positionH relativeFrom="page">
            <wp:posOffset>896463</wp:posOffset>
          </wp:positionH>
          <wp:positionV relativeFrom="page">
            <wp:posOffset>9315373</wp:posOffset>
          </wp:positionV>
          <wp:extent cx="6379583" cy="902334"/>
          <wp:effectExtent l="0" t="0" r="0" b="0"/>
          <wp:wrapNone/>
          <wp:docPr id="137" name="image2.jpeg" descr=""/>
          <wp:cNvGraphicFramePr>
            <a:graphicFrameLocks noChangeAspect="1"/>
          </wp:cNvGraphicFramePr>
          <a:graphic>
            <a:graphicData uri="http://schemas.openxmlformats.org/drawingml/2006/picture">
              <pic:pic>
                <pic:nvPicPr>
                  <pic:cNvPr id="13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44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355</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4408"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pict>
        <v:shape style="position:absolute;margin-left:530.580017pt;margin-top:806.839966pt;width:18.75pt;height:13.05pt;mso-position-horizontal-relative:page;mso-position-vertical-relative:page;z-index:-1264384" type="#_x0000_t202" filled="false" stroked="false">
          <v:textbox inset="0,0,0,0">
            <w:txbxContent>
              <w:p>
                <w:pPr>
                  <w:spacing w:line="245" w:lineRule="exact" w:before="0"/>
                  <w:ind w:left="20" w:right="0" w:firstLine="0"/>
                  <w:jc w:val="left"/>
                  <w:rPr>
                    <w:rFonts w:ascii="Calibri"/>
                    <w:sz w:val="22"/>
                  </w:rPr>
                </w:pPr>
                <w:r>
                  <w:rPr>
                    <w:rFonts w:ascii="Calibri"/>
                    <w:sz w:val="22"/>
                  </w:rPr>
                  <w:t>359</w:t>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4360"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pict>
        <v:shape style="position:absolute;margin-left:529.580017pt;margin-top:806.839966pt;width:20.75pt;height:13.05pt;mso-position-horizontal-relative:page;mso-position-vertical-relative:page;z-index:-12643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360</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8320"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67159">
          <wp:simplePos x="0" y="0"/>
          <wp:positionH relativeFrom="page">
            <wp:posOffset>896463</wp:posOffset>
          </wp:positionH>
          <wp:positionV relativeFrom="page">
            <wp:posOffset>9315373</wp:posOffset>
          </wp:positionV>
          <wp:extent cx="6379583" cy="902334"/>
          <wp:effectExtent l="0" t="0" r="0" b="0"/>
          <wp:wrapNone/>
          <wp:docPr id="15" name="image2.jpeg" descr=""/>
          <wp:cNvGraphicFramePr>
            <a:graphicFrameLocks noChangeAspect="1"/>
          </wp:cNvGraphicFramePr>
          <a:graphic>
            <a:graphicData uri="http://schemas.openxmlformats.org/drawingml/2006/picture">
              <pic:pic>
                <pic:nvPicPr>
                  <pic:cNvPr id="16"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82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116</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4312"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1167">
          <wp:simplePos x="0" y="0"/>
          <wp:positionH relativeFrom="page">
            <wp:posOffset>896463</wp:posOffset>
          </wp:positionH>
          <wp:positionV relativeFrom="page">
            <wp:posOffset>9315373</wp:posOffset>
          </wp:positionV>
          <wp:extent cx="6379583" cy="902334"/>
          <wp:effectExtent l="0" t="0" r="0" b="0"/>
          <wp:wrapNone/>
          <wp:docPr id="143" name="image2.jpeg" descr=""/>
          <wp:cNvGraphicFramePr>
            <a:graphicFrameLocks noChangeAspect="1"/>
          </wp:cNvGraphicFramePr>
          <a:graphic>
            <a:graphicData uri="http://schemas.openxmlformats.org/drawingml/2006/picture">
              <pic:pic>
                <pic:nvPicPr>
                  <pic:cNvPr id="14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42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361</w:t>
                </w:r>
                <w:r>
                  <w:rPr/>
                  <w:fldChar w:fldCharType="end"/>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4240"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pict>
        <v:shape style="position:absolute;margin-left:529.580017pt;margin-top:806.839966pt;width:20.75pt;height:13.05pt;mso-position-horizontal-relative:page;mso-position-vertical-relative:page;z-index:-12642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363</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4192"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1287">
          <wp:simplePos x="0" y="0"/>
          <wp:positionH relativeFrom="page">
            <wp:posOffset>896463</wp:posOffset>
          </wp:positionH>
          <wp:positionV relativeFrom="page">
            <wp:posOffset>9315373</wp:posOffset>
          </wp:positionV>
          <wp:extent cx="6379583" cy="902334"/>
          <wp:effectExtent l="0" t="0" r="0" b="0"/>
          <wp:wrapNone/>
          <wp:docPr id="147" name="image2.jpeg" descr=""/>
          <wp:cNvGraphicFramePr>
            <a:graphicFrameLocks noChangeAspect="1"/>
          </wp:cNvGraphicFramePr>
          <a:graphic>
            <a:graphicData uri="http://schemas.openxmlformats.org/drawingml/2006/picture">
              <pic:pic>
                <pic:nvPicPr>
                  <pic:cNvPr id="14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41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364</w:t>
                </w:r>
                <w:r>
                  <w:rPr/>
                  <w:fldChar w:fldCharType="end"/>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4120"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1359">
          <wp:simplePos x="0" y="0"/>
          <wp:positionH relativeFrom="page">
            <wp:posOffset>896463</wp:posOffset>
          </wp:positionH>
          <wp:positionV relativeFrom="page">
            <wp:posOffset>9315373</wp:posOffset>
          </wp:positionV>
          <wp:extent cx="6379583" cy="902334"/>
          <wp:effectExtent l="0" t="0" r="0" b="0"/>
          <wp:wrapNone/>
          <wp:docPr id="149" name="image2.jpeg" descr=""/>
          <wp:cNvGraphicFramePr>
            <a:graphicFrameLocks noChangeAspect="1"/>
          </wp:cNvGraphicFramePr>
          <a:graphic>
            <a:graphicData uri="http://schemas.openxmlformats.org/drawingml/2006/picture">
              <pic:pic>
                <pic:nvPicPr>
                  <pic:cNvPr id="15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40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370</w:t>
                </w:r>
                <w:r>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4048"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1431">
          <wp:simplePos x="0" y="0"/>
          <wp:positionH relativeFrom="page">
            <wp:posOffset>896463</wp:posOffset>
          </wp:positionH>
          <wp:positionV relativeFrom="page">
            <wp:posOffset>8993123</wp:posOffset>
          </wp:positionV>
          <wp:extent cx="6379583" cy="902106"/>
          <wp:effectExtent l="0" t="0" r="0" b="0"/>
          <wp:wrapNone/>
          <wp:docPr id="151" name="image2.jpeg" descr=""/>
          <wp:cNvGraphicFramePr>
            <a:graphicFrameLocks noChangeAspect="1"/>
          </wp:cNvGraphicFramePr>
          <a:graphic>
            <a:graphicData uri="http://schemas.openxmlformats.org/drawingml/2006/picture">
              <pic:pic>
                <pic:nvPicPr>
                  <pic:cNvPr id="152" name="image2.jpeg"/>
                  <pic:cNvPicPr/>
                </pic:nvPicPr>
                <pic:blipFill>
                  <a:blip r:embed="rId1" cstate="print"/>
                  <a:stretch>
                    <a:fillRect/>
                  </a:stretch>
                </pic:blipFill>
                <pic:spPr>
                  <a:xfrm>
                    <a:off x="0" y="0"/>
                    <a:ext cx="6379583" cy="902106"/>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40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380</w:t>
                </w:r>
                <w:r>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3976"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1503">
          <wp:simplePos x="0" y="0"/>
          <wp:positionH relativeFrom="page">
            <wp:posOffset>896463</wp:posOffset>
          </wp:positionH>
          <wp:positionV relativeFrom="page">
            <wp:posOffset>8993123</wp:posOffset>
          </wp:positionV>
          <wp:extent cx="6379583" cy="902106"/>
          <wp:effectExtent l="0" t="0" r="0" b="0"/>
          <wp:wrapNone/>
          <wp:docPr id="153" name="image2.jpeg" descr=""/>
          <wp:cNvGraphicFramePr>
            <a:graphicFrameLocks noChangeAspect="1"/>
          </wp:cNvGraphicFramePr>
          <a:graphic>
            <a:graphicData uri="http://schemas.openxmlformats.org/drawingml/2006/picture">
              <pic:pic>
                <pic:nvPicPr>
                  <pic:cNvPr id="154" name="image2.jpeg"/>
                  <pic:cNvPicPr/>
                </pic:nvPicPr>
                <pic:blipFill>
                  <a:blip r:embed="rId1" cstate="print"/>
                  <a:stretch>
                    <a:fillRect/>
                  </a:stretch>
                </pic:blipFill>
                <pic:spPr>
                  <a:xfrm>
                    <a:off x="0" y="0"/>
                    <a:ext cx="6379583" cy="902106"/>
                  </a:xfrm>
                  <a:prstGeom prst="rect">
                    <a:avLst/>
                  </a:prstGeom>
                </pic:spPr>
              </pic:pic>
            </a:graphicData>
          </a:graphic>
        </wp:anchor>
      </w:drawing>
    </w:r>
    <w:r>
      <w:rPr/>
      <w:pict>
        <v:shape style="position:absolute;margin-left:530.580017pt;margin-top:806.839966pt;width:18.75pt;height:13.05pt;mso-position-horizontal-relative:page;mso-position-vertical-relative:page;z-index:-1263928" type="#_x0000_t202" filled="false" stroked="false">
          <v:textbox inset="0,0,0,0">
            <w:txbxContent>
              <w:p>
                <w:pPr>
                  <w:spacing w:line="245" w:lineRule="exact" w:before="0"/>
                  <w:ind w:left="20" w:right="0" w:firstLine="0"/>
                  <w:jc w:val="left"/>
                  <w:rPr>
                    <w:rFonts w:ascii="Calibri"/>
                    <w:sz w:val="22"/>
                  </w:rPr>
                </w:pPr>
                <w:r>
                  <w:rPr>
                    <w:rFonts w:ascii="Calibri"/>
                    <w:sz w:val="22"/>
                  </w:rPr>
                  <w:t>383</w:t>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3904"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pict>
        <v:shape style="position:absolute;margin-left:529.580017pt;margin-top:806.839966pt;width:20.75pt;height:13.05pt;mso-position-horizontal-relative:page;mso-position-vertical-relative:page;z-index:-12638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384</w:t>
                </w:r>
                <w:r>
                  <w:rPr/>
                  <w:fldChar w:fldCharType="end"/>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3856"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1623">
          <wp:simplePos x="0" y="0"/>
          <wp:positionH relativeFrom="page">
            <wp:posOffset>896463</wp:posOffset>
          </wp:positionH>
          <wp:positionV relativeFrom="page">
            <wp:posOffset>9315373</wp:posOffset>
          </wp:positionV>
          <wp:extent cx="6379583" cy="902334"/>
          <wp:effectExtent l="0" t="0" r="0" b="0"/>
          <wp:wrapNone/>
          <wp:docPr id="157" name="image2.jpeg" descr=""/>
          <wp:cNvGraphicFramePr>
            <a:graphicFrameLocks noChangeAspect="1"/>
          </wp:cNvGraphicFramePr>
          <a:graphic>
            <a:graphicData uri="http://schemas.openxmlformats.org/drawingml/2006/picture">
              <pic:pic>
                <pic:nvPicPr>
                  <pic:cNvPr id="15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38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385</w:t>
                </w:r>
                <w:r>
                  <w:rPr/>
                  <w:fldChar w:fldCharType="end"/>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3784"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1695">
          <wp:simplePos x="0" y="0"/>
          <wp:positionH relativeFrom="page">
            <wp:posOffset>896463</wp:posOffset>
          </wp:positionH>
          <wp:positionV relativeFrom="page">
            <wp:posOffset>9315373</wp:posOffset>
          </wp:positionV>
          <wp:extent cx="6379583" cy="902334"/>
          <wp:effectExtent l="0" t="0" r="0" b="0"/>
          <wp:wrapNone/>
          <wp:docPr id="159" name="image2.jpeg" descr=""/>
          <wp:cNvGraphicFramePr>
            <a:graphicFrameLocks noChangeAspect="1"/>
          </wp:cNvGraphicFramePr>
          <a:graphic>
            <a:graphicData uri="http://schemas.openxmlformats.org/drawingml/2006/picture">
              <pic:pic>
                <pic:nvPicPr>
                  <pic:cNvPr id="16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37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390</w:t>
                </w:r>
                <w:r>
                  <w:rPr/>
                  <w:fldChar w:fldCharType="end"/>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3712"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1767">
          <wp:simplePos x="0" y="0"/>
          <wp:positionH relativeFrom="page">
            <wp:posOffset>896463</wp:posOffset>
          </wp:positionH>
          <wp:positionV relativeFrom="page">
            <wp:posOffset>9315373</wp:posOffset>
          </wp:positionV>
          <wp:extent cx="6379583" cy="902334"/>
          <wp:effectExtent l="0" t="0" r="0" b="0"/>
          <wp:wrapNone/>
          <wp:docPr id="161" name="image2.jpeg" descr=""/>
          <wp:cNvGraphicFramePr>
            <a:graphicFrameLocks noChangeAspect="1"/>
          </wp:cNvGraphicFramePr>
          <a:graphic>
            <a:graphicData uri="http://schemas.openxmlformats.org/drawingml/2006/picture">
              <pic:pic>
                <pic:nvPicPr>
                  <pic:cNvPr id="162"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36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400</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8248"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pict>
        <v:shape style="position:absolute;margin-left:530.580017pt;margin-top:806.839966pt;width:18.75pt;height:13.05pt;mso-position-horizontal-relative:page;mso-position-vertical-relative:page;z-index:-1268224" type="#_x0000_t202" filled="false" stroked="false">
          <v:textbox inset="0,0,0,0">
            <w:txbxContent>
              <w:p>
                <w:pPr>
                  <w:spacing w:line="245" w:lineRule="exact" w:before="0"/>
                  <w:ind w:left="20" w:right="0" w:firstLine="0"/>
                  <w:jc w:val="left"/>
                  <w:rPr>
                    <w:rFonts w:ascii="Calibri"/>
                    <w:sz w:val="22"/>
                  </w:rPr>
                </w:pPr>
                <w:r>
                  <w:rPr>
                    <w:rFonts w:ascii="Calibri"/>
                    <w:sz w:val="22"/>
                  </w:rPr>
                  <w:t>120</w:t>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3640"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1839">
          <wp:simplePos x="0" y="0"/>
          <wp:positionH relativeFrom="page">
            <wp:posOffset>896463</wp:posOffset>
          </wp:positionH>
          <wp:positionV relativeFrom="page">
            <wp:posOffset>9315373</wp:posOffset>
          </wp:positionV>
          <wp:extent cx="6379583" cy="902334"/>
          <wp:effectExtent l="0" t="0" r="0" b="0"/>
          <wp:wrapNone/>
          <wp:docPr id="163" name="image2.jpeg" descr=""/>
          <wp:cNvGraphicFramePr>
            <a:graphicFrameLocks noChangeAspect="1"/>
          </wp:cNvGraphicFramePr>
          <a:graphic>
            <a:graphicData uri="http://schemas.openxmlformats.org/drawingml/2006/picture">
              <pic:pic>
                <pic:nvPicPr>
                  <pic:cNvPr id="16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35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410</w:t>
                </w:r>
                <w:r>
                  <w:rPr/>
                  <w:fldChar w:fldCharType="end"/>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3568"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pict>
        <v:shape style="position:absolute;margin-left:529.580017pt;margin-top:806.839966pt;width:20.75pt;height:13.05pt;mso-position-horizontal-relative:page;mso-position-vertical-relative:page;z-index:-12635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416</w:t>
                </w:r>
                <w:r>
                  <w:rPr/>
                  <w:fldChar w:fldCharType="end"/>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3520"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1959">
          <wp:simplePos x="0" y="0"/>
          <wp:positionH relativeFrom="page">
            <wp:posOffset>896463</wp:posOffset>
          </wp:positionH>
          <wp:positionV relativeFrom="page">
            <wp:posOffset>9315373</wp:posOffset>
          </wp:positionV>
          <wp:extent cx="6379583" cy="902334"/>
          <wp:effectExtent l="0" t="0" r="0" b="0"/>
          <wp:wrapNone/>
          <wp:docPr id="167" name="image2.jpeg" descr=""/>
          <wp:cNvGraphicFramePr>
            <a:graphicFrameLocks noChangeAspect="1"/>
          </wp:cNvGraphicFramePr>
          <a:graphic>
            <a:graphicData uri="http://schemas.openxmlformats.org/drawingml/2006/picture">
              <pic:pic>
                <pic:nvPicPr>
                  <pic:cNvPr id="16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34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417</w:t>
                </w:r>
                <w:r>
                  <w:rPr/>
                  <w:fldChar w:fldCharType="end"/>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3448"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2031">
          <wp:simplePos x="0" y="0"/>
          <wp:positionH relativeFrom="page">
            <wp:posOffset>896463</wp:posOffset>
          </wp:positionH>
          <wp:positionV relativeFrom="page">
            <wp:posOffset>9315373</wp:posOffset>
          </wp:positionV>
          <wp:extent cx="6379583" cy="902334"/>
          <wp:effectExtent l="0" t="0" r="0" b="0"/>
          <wp:wrapNone/>
          <wp:docPr id="169" name="image2.jpeg" descr=""/>
          <wp:cNvGraphicFramePr>
            <a:graphicFrameLocks noChangeAspect="1"/>
          </wp:cNvGraphicFramePr>
          <a:graphic>
            <a:graphicData uri="http://schemas.openxmlformats.org/drawingml/2006/picture">
              <pic:pic>
                <pic:nvPicPr>
                  <pic:cNvPr id="17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34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420</w:t>
                </w:r>
                <w:r>
                  <w:rPr/>
                  <w:fldChar w:fldCharType="end"/>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3376"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pict>
        <v:shape style="position:absolute;margin-left:529.580017pt;margin-top:806.839966pt;width:20.75pt;height:13.05pt;mso-position-horizontal-relative:page;mso-position-vertical-relative:page;z-index:-12633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427</w:t>
                </w:r>
                <w:r>
                  <w:rPr/>
                  <w:fldChar w:fldCharType="end"/>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3328"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2151">
          <wp:simplePos x="0" y="0"/>
          <wp:positionH relativeFrom="page">
            <wp:posOffset>896463</wp:posOffset>
          </wp:positionH>
          <wp:positionV relativeFrom="page">
            <wp:posOffset>9315373</wp:posOffset>
          </wp:positionV>
          <wp:extent cx="6379583" cy="902334"/>
          <wp:effectExtent l="0" t="0" r="0" b="0"/>
          <wp:wrapNone/>
          <wp:docPr id="173" name="image2.jpeg" descr=""/>
          <wp:cNvGraphicFramePr>
            <a:graphicFrameLocks noChangeAspect="1"/>
          </wp:cNvGraphicFramePr>
          <a:graphic>
            <a:graphicData uri="http://schemas.openxmlformats.org/drawingml/2006/picture">
              <pic:pic>
                <pic:nvPicPr>
                  <pic:cNvPr id="17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32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428</w:t>
                </w:r>
                <w:r>
                  <w:rPr/>
                  <w:fldChar w:fldCharType="end"/>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3256"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2223">
          <wp:simplePos x="0" y="0"/>
          <wp:positionH relativeFrom="page">
            <wp:posOffset>896463</wp:posOffset>
          </wp:positionH>
          <wp:positionV relativeFrom="page">
            <wp:posOffset>9315373</wp:posOffset>
          </wp:positionV>
          <wp:extent cx="6379583" cy="902334"/>
          <wp:effectExtent l="0" t="0" r="0" b="0"/>
          <wp:wrapNone/>
          <wp:docPr id="175" name="image2.jpeg" descr=""/>
          <wp:cNvGraphicFramePr>
            <a:graphicFrameLocks noChangeAspect="1"/>
          </wp:cNvGraphicFramePr>
          <a:graphic>
            <a:graphicData uri="http://schemas.openxmlformats.org/drawingml/2006/picture">
              <pic:pic>
                <pic:nvPicPr>
                  <pic:cNvPr id="176"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32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430</w:t>
                </w:r>
                <w:r>
                  <w:rPr/>
                  <w:fldChar w:fldCharType="end"/>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3184"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pict>
        <v:shape style="position:absolute;margin-left:529.580017pt;margin-top:806.839966pt;width:20.75pt;height:13.05pt;mso-position-horizontal-relative:page;mso-position-vertical-relative:page;z-index:-12631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432</w:t>
                </w:r>
                <w:r>
                  <w:rPr/>
                  <w:fldChar w:fldCharType="end"/>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3136"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pict>
        <v:group style="position:absolute;margin-left:70.587677pt;margin-top:708.119995pt;width:502.35pt;height:71.05pt;mso-position-horizontal-relative:page;mso-position-vertical-relative:page;z-index:-1263112" coordorigin="1412,14162" coordsize="10047,1421">
          <v:shape style="position:absolute;left:1411;top:14162;width:10047;height:1421" type="#_x0000_t75" stroked="false">
            <v:imagedata r:id="rId1" o:title=""/>
          </v:shape>
          <v:rect style="position:absolute;left:3139;top:14538;width:51;height:10" filled="true" fillcolor="#660066" stroked="false">
            <v:fill type="solid"/>
          </v:rect>
          <w10:wrap type="none"/>
        </v:group>
      </w:pict>
    </w:r>
    <w:r>
      <w:rPr/>
      <w:pict>
        <v:shape style="position:absolute;margin-left:529.580017pt;margin-top:806.839966pt;width:20.75pt;height:13.05pt;mso-position-horizontal-relative:page;mso-position-vertical-relative:page;z-index:-12630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435</w:t>
                </w:r>
                <w:r>
                  <w:rPr/>
                  <w:fldChar w:fldCharType="end"/>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3064"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2415">
          <wp:simplePos x="0" y="0"/>
          <wp:positionH relativeFrom="page">
            <wp:posOffset>896463</wp:posOffset>
          </wp:positionH>
          <wp:positionV relativeFrom="page">
            <wp:posOffset>9315373</wp:posOffset>
          </wp:positionV>
          <wp:extent cx="6379583" cy="902334"/>
          <wp:effectExtent l="0" t="0" r="0" b="0"/>
          <wp:wrapNone/>
          <wp:docPr id="181" name="image2.jpeg" descr=""/>
          <wp:cNvGraphicFramePr>
            <a:graphicFrameLocks noChangeAspect="1"/>
          </wp:cNvGraphicFramePr>
          <a:graphic>
            <a:graphicData uri="http://schemas.openxmlformats.org/drawingml/2006/picture">
              <pic:pic>
                <pic:nvPicPr>
                  <pic:cNvPr id="182"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30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438</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8200"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67279">
          <wp:simplePos x="0" y="0"/>
          <wp:positionH relativeFrom="page">
            <wp:posOffset>896463</wp:posOffset>
          </wp:positionH>
          <wp:positionV relativeFrom="page">
            <wp:posOffset>9315373</wp:posOffset>
          </wp:positionV>
          <wp:extent cx="6379583" cy="902334"/>
          <wp:effectExtent l="0" t="0" r="0" b="0"/>
          <wp:wrapNone/>
          <wp:docPr id="19" name="image2.jpeg" descr=""/>
          <wp:cNvGraphicFramePr>
            <a:graphicFrameLocks noChangeAspect="1"/>
          </wp:cNvGraphicFramePr>
          <a:graphic>
            <a:graphicData uri="http://schemas.openxmlformats.org/drawingml/2006/picture">
              <pic:pic>
                <pic:nvPicPr>
                  <pic:cNvPr id="2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81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121</w:t>
                </w:r>
                <w:r>
                  <w:rPr/>
                  <w:fldChar w:fldCharType="end"/>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2992"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pict>
        <v:shape style="position:absolute;margin-left:530.580017pt;margin-top:806.839966pt;width:18.75pt;height:13.05pt;mso-position-horizontal-relative:page;mso-position-vertical-relative:page;z-index:-1262968" type="#_x0000_t202" filled="false" stroked="false">
          <v:textbox inset="0,0,0,0">
            <w:txbxContent>
              <w:p>
                <w:pPr>
                  <w:spacing w:line="245" w:lineRule="exact" w:before="0"/>
                  <w:ind w:left="20" w:right="0" w:firstLine="0"/>
                  <w:jc w:val="left"/>
                  <w:rPr>
                    <w:rFonts w:ascii="Calibri"/>
                    <w:sz w:val="22"/>
                  </w:rPr>
                </w:pPr>
                <w:r>
                  <w:rPr>
                    <w:rFonts w:ascii="Calibri"/>
                    <w:sz w:val="22"/>
                  </w:rPr>
                  <w:t>440</w:t>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2944"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2535">
          <wp:simplePos x="0" y="0"/>
          <wp:positionH relativeFrom="page">
            <wp:posOffset>896463</wp:posOffset>
          </wp:positionH>
          <wp:positionV relativeFrom="page">
            <wp:posOffset>9315373</wp:posOffset>
          </wp:positionV>
          <wp:extent cx="6379583" cy="902334"/>
          <wp:effectExtent l="0" t="0" r="0" b="0"/>
          <wp:wrapNone/>
          <wp:docPr id="185" name="image2.jpeg" descr=""/>
          <wp:cNvGraphicFramePr>
            <a:graphicFrameLocks noChangeAspect="1"/>
          </wp:cNvGraphicFramePr>
          <a:graphic>
            <a:graphicData uri="http://schemas.openxmlformats.org/drawingml/2006/picture">
              <pic:pic>
                <pic:nvPicPr>
                  <pic:cNvPr id="186"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28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441</w:t>
                </w:r>
                <w:r>
                  <w:rPr/>
                  <w:fldChar w:fldCharType="end"/>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2872"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2607">
          <wp:simplePos x="0" y="0"/>
          <wp:positionH relativeFrom="page">
            <wp:posOffset>896463</wp:posOffset>
          </wp:positionH>
          <wp:positionV relativeFrom="page">
            <wp:posOffset>9315373</wp:posOffset>
          </wp:positionV>
          <wp:extent cx="6379583" cy="902334"/>
          <wp:effectExtent l="0" t="0" r="0" b="0"/>
          <wp:wrapNone/>
          <wp:docPr id="187" name="image2.jpeg" descr=""/>
          <wp:cNvGraphicFramePr>
            <a:graphicFrameLocks noChangeAspect="1"/>
          </wp:cNvGraphicFramePr>
          <a:graphic>
            <a:graphicData uri="http://schemas.openxmlformats.org/drawingml/2006/picture">
              <pic:pic>
                <pic:nvPicPr>
                  <pic:cNvPr id="18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28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450</w:t>
                </w:r>
                <w:r>
                  <w:rPr/>
                  <w:fldChar w:fldCharType="end"/>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2800"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2679">
          <wp:simplePos x="0" y="0"/>
          <wp:positionH relativeFrom="page">
            <wp:posOffset>896463</wp:posOffset>
          </wp:positionH>
          <wp:positionV relativeFrom="page">
            <wp:posOffset>9315373</wp:posOffset>
          </wp:positionV>
          <wp:extent cx="6379583" cy="902334"/>
          <wp:effectExtent l="0" t="0" r="0" b="0"/>
          <wp:wrapNone/>
          <wp:docPr id="189" name="image2.jpeg" descr=""/>
          <wp:cNvGraphicFramePr>
            <a:graphicFrameLocks noChangeAspect="1"/>
          </wp:cNvGraphicFramePr>
          <a:graphic>
            <a:graphicData uri="http://schemas.openxmlformats.org/drawingml/2006/picture">
              <pic:pic>
                <pic:nvPicPr>
                  <pic:cNvPr id="19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27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460</w:t>
                </w:r>
                <w:r>
                  <w:rPr/>
                  <w:fldChar w:fldCharType="end"/>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2728"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2751">
          <wp:simplePos x="0" y="0"/>
          <wp:positionH relativeFrom="page">
            <wp:posOffset>896463</wp:posOffset>
          </wp:positionH>
          <wp:positionV relativeFrom="page">
            <wp:posOffset>9315373</wp:posOffset>
          </wp:positionV>
          <wp:extent cx="6379583" cy="902334"/>
          <wp:effectExtent l="0" t="0" r="0" b="0"/>
          <wp:wrapNone/>
          <wp:docPr id="191" name="image2.jpeg" descr=""/>
          <wp:cNvGraphicFramePr>
            <a:graphicFrameLocks noChangeAspect="1"/>
          </wp:cNvGraphicFramePr>
          <a:graphic>
            <a:graphicData uri="http://schemas.openxmlformats.org/drawingml/2006/picture">
              <pic:pic>
                <pic:nvPicPr>
                  <pic:cNvPr id="192"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26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470</w:t>
                </w:r>
                <w:r>
                  <w:rPr/>
                  <w:fldChar w:fldCharType="end"/>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2656"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2823">
          <wp:simplePos x="0" y="0"/>
          <wp:positionH relativeFrom="page">
            <wp:posOffset>896463</wp:posOffset>
          </wp:positionH>
          <wp:positionV relativeFrom="page">
            <wp:posOffset>9315373</wp:posOffset>
          </wp:positionV>
          <wp:extent cx="6379583" cy="902334"/>
          <wp:effectExtent l="0" t="0" r="0" b="0"/>
          <wp:wrapNone/>
          <wp:docPr id="195" name="image2.jpeg" descr=""/>
          <wp:cNvGraphicFramePr>
            <a:graphicFrameLocks noChangeAspect="1"/>
          </wp:cNvGraphicFramePr>
          <a:graphic>
            <a:graphicData uri="http://schemas.openxmlformats.org/drawingml/2006/picture">
              <pic:pic>
                <pic:nvPicPr>
                  <pic:cNvPr id="196"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26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480</w:t>
                </w:r>
                <w:r>
                  <w:rPr/>
                  <w:fldChar w:fldCharType="end"/>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2584"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2895">
          <wp:simplePos x="0" y="0"/>
          <wp:positionH relativeFrom="page">
            <wp:posOffset>896463</wp:posOffset>
          </wp:positionH>
          <wp:positionV relativeFrom="page">
            <wp:posOffset>9315373</wp:posOffset>
          </wp:positionV>
          <wp:extent cx="6379583" cy="902334"/>
          <wp:effectExtent l="0" t="0" r="0" b="0"/>
          <wp:wrapNone/>
          <wp:docPr id="197" name="image2.jpeg" descr=""/>
          <wp:cNvGraphicFramePr>
            <a:graphicFrameLocks noChangeAspect="1"/>
          </wp:cNvGraphicFramePr>
          <a:graphic>
            <a:graphicData uri="http://schemas.openxmlformats.org/drawingml/2006/picture">
              <pic:pic>
                <pic:nvPicPr>
                  <pic:cNvPr id="198"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25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490</w:t>
                </w:r>
                <w:r>
                  <w:rPr/>
                  <w:fldChar w:fldCharType="end"/>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2512"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2967">
          <wp:simplePos x="0" y="0"/>
          <wp:positionH relativeFrom="page">
            <wp:posOffset>896463</wp:posOffset>
          </wp:positionH>
          <wp:positionV relativeFrom="page">
            <wp:posOffset>9315373</wp:posOffset>
          </wp:positionV>
          <wp:extent cx="6379583" cy="902334"/>
          <wp:effectExtent l="0" t="0" r="0" b="0"/>
          <wp:wrapNone/>
          <wp:docPr id="199" name="image2.jpeg" descr=""/>
          <wp:cNvGraphicFramePr>
            <a:graphicFrameLocks noChangeAspect="1"/>
          </wp:cNvGraphicFramePr>
          <a:graphic>
            <a:graphicData uri="http://schemas.openxmlformats.org/drawingml/2006/picture">
              <pic:pic>
                <pic:nvPicPr>
                  <pic:cNvPr id="200"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24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505</w:t>
                </w:r>
                <w:r>
                  <w:rPr/>
                  <w:fldChar w:fldCharType="end"/>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2440"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3039">
          <wp:simplePos x="0" y="0"/>
          <wp:positionH relativeFrom="page">
            <wp:posOffset>896463</wp:posOffset>
          </wp:positionH>
          <wp:positionV relativeFrom="page">
            <wp:posOffset>9315373</wp:posOffset>
          </wp:positionV>
          <wp:extent cx="6379583" cy="902334"/>
          <wp:effectExtent l="0" t="0" r="0" b="0"/>
          <wp:wrapNone/>
          <wp:docPr id="201" name="image2.jpeg" descr=""/>
          <wp:cNvGraphicFramePr>
            <a:graphicFrameLocks noChangeAspect="1"/>
          </wp:cNvGraphicFramePr>
          <a:graphic>
            <a:graphicData uri="http://schemas.openxmlformats.org/drawingml/2006/picture">
              <pic:pic>
                <pic:nvPicPr>
                  <pic:cNvPr id="202"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23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510</w:t>
                </w:r>
                <w:r>
                  <w:rPr/>
                  <w:fldChar w:fldCharType="end"/>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24.979980pt;margin-top:805.679993pt;width:2.4pt;height:36.4pt;mso-position-horizontal-relative:page;mso-position-vertical-relative:page;z-index:-1262368" coordorigin="10500,16114" coordsize="48,728">
          <v:line style="position:absolute" from="10543,16114" to="10543,16841" stroked="true" strokeweight=".47998pt" strokecolor="#e22c91">
            <v:stroke dashstyle="solid"/>
          </v:line>
          <v:line style="position:absolute" from="10524,16114" to="10524,16841" stroked="true" strokeweight=".48004pt" strokecolor="#e22c91">
            <v:stroke dashstyle="solid"/>
          </v:line>
          <v:line style="position:absolute" from="10504,16114" to="10504,16841" stroked="true" strokeweight=".47998pt" strokecolor="#e22c91">
            <v:stroke dashstyle="solid"/>
          </v:line>
          <w10:wrap type="none"/>
        </v:group>
      </w:pict>
    </w:r>
    <w:r>
      <w:rPr/>
      <w:drawing>
        <wp:anchor distT="0" distB="0" distL="0" distR="0" allowOverlap="1" layoutInCell="1" locked="0" behindDoc="1" simplePos="0" relativeHeight="267173111">
          <wp:simplePos x="0" y="0"/>
          <wp:positionH relativeFrom="page">
            <wp:posOffset>896463</wp:posOffset>
          </wp:positionH>
          <wp:positionV relativeFrom="page">
            <wp:posOffset>9315373</wp:posOffset>
          </wp:positionV>
          <wp:extent cx="6379583" cy="902334"/>
          <wp:effectExtent l="0" t="0" r="0" b="0"/>
          <wp:wrapNone/>
          <wp:docPr id="203" name="image2.jpeg" descr=""/>
          <wp:cNvGraphicFramePr>
            <a:graphicFrameLocks noChangeAspect="1"/>
          </wp:cNvGraphicFramePr>
          <a:graphic>
            <a:graphicData uri="http://schemas.openxmlformats.org/drawingml/2006/picture">
              <pic:pic>
                <pic:nvPicPr>
                  <pic:cNvPr id="204" name="image2.jpeg"/>
                  <pic:cNvPicPr/>
                </pic:nvPicPr>
                <pic:blipFill>
                  <a:blip r:embed="rId1" cstate="print"/>
                  <a:stretch>
                    <a:fillRect/>
                  </a:stretch>
                </pic:blipFill>
                <pic:spPr>
                  <a:xfrm>
                    <a:off x="0" y="0"/>
                    <a:ext cx="6379583" cy="902334"/>
                  </a:xfrm>
                  <a:prstGeom prst="rect">
                    <a:avLst/>
                  </a:prstGeom>
                </pic:spPr>
              </pic:pic>
            </a:graphicData>
          </a:graphic>
        </wp:anchor>
      </w:drawing>
    </w:r>
    <w:r>
      <w:rPr/>
      <w:pict>
        <v:shape style="position:absolute;margin-left:529.580017pt;margin-top:806.839966pt;width:20.75pt;height:13.05pt;mso-position-horizontal-relative:page;mso-position-vertical-relative:page;z-index:-12623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520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3">
    <w:multiLevelType w:val="hybridMultilevel"/>
    <w:lvl w:ilvl="0">
      <w:start w:val="0"/>
      <w:numFmt w:val="bullet"/>
      <w:lvlText w:val=""/>
      <w:lvlJc w:val="left"/>
      <w:pPr>
        <w:ind w:left="616" w:hanging="720"/>
      </w:pPr>
      <w:rPr>
        <w:rFonts w:hint="default"/>
        <w:w w:val="99"/>
      </w:rPr>
    </w:lvl>
    <w:lvl w:ilvl="1">
      <w:start w:val="0"/>
      <w:numFmt w:val="bullet"/>
      <w:lvlText w:val="•"/>
      <w:lvlJc w:val="left"/>
      <w:pPr>
        <w:ind w:left="1776" w:hanging="720"/>
      </w:pPr>
      <w:rPr>
        <w:rFonts w:hint="default"/>
      </w:rPr>
    </w:lvl>
    <w:lvl w:ilvl="2">
      <w:start w:val="0"/>
      <w:numFmt w:val="bullet"/>
      <w:lvlText w:val="•"/>
      <w:lvlJc w:val="left"/>
      <w:pPr>
        <w:ind w:left="2932" w:hanging="720"/>
      </w:pPr>
      <w:rPr>
        <w:rFonts w:hint="default"/>
      </w:rPr>
    </w:lvl>
    <w:lvl w:ilvl="3">
      <w:start w:val="0"/>
      <w:numFmt w:val="bullet"/>
      <w:lvlText w:val="•"/>
      <w:lvlJc w:val="left"/>
      <w:pPr>
        <w:ind w:left="4088" w:hanging="720"/>
      </w:pPr>
      <w:rPr>
        <w:rFonts w:hint="default"/>
      </w:rPr>
    </w:lvl>
    <w:lvl w:ilvl="4">
      <w:start w:val="0"/>
      <w:numFmt w:val="bullet"/>
      <w:lvlText w:val="•"/>
      <w:lvlJc w:val="left"/>
      <w:pPr>
        <w:ind w:left="5244" w:hanging="720"/>
      </w:pPr>
      <w:rPr>
        <w:rFonts w:hint="default"/>
      </w:rPr>
    </w:lvl>
    <w:lvl w:ilvl="5">
      <w:start w:val="0"/>
      <w:numFmt w:val="bullet"/>
      <w:lvlText w:val="•"/>
      <w:lvlJc w:val="left"/>
      <w:pPr>
        <w:ind w:left="6400" w:hanging="720"/>
      </w:pPr>
      <w:rPr>
        <w:rFonts w:hint="default"/>
      </w:rPr>
    </w:lvl>
    <w:lvl w:ilvl="6">
      <w:start w:val="0"/>
      <w:numFmt w:val="bullet"/>
      <w:lvlText w:val="•"/>
      <w:lvlJc w:val="left"/>
      <w:pPr>
        <w:ind w:left="7556" w:hanging="720"/>
      </w:pPr>
      <w:rPr>
        <w:rFonts w:hint="default"/>
      </w:rPr>
    </w:lvl>
    <w:lvl w:ilvl="7">
      <w:start w:val="0"/>
      <w:numFmt w:val="bullet"/>
      <w:lvlText w:val="•"/>
      <w:lvlJc w:val="left"/>
      <w:pPr>
        <w:ind w:left="8712" w:hanging="720"/>
      </w:pPr>
      <w:rPr>
        <w:rFonts w:hint="default"/>
      </w:rPr>
    </w:lvl>
    <w:lvl w:ilvl="8">
      <w:start w:val="0"/>
      <w:numFmt w:val="bullet"/>
      <w:lvlText w:val="•"/>
      <w:lvlJc w:val="left"/>
      <w:pPr>
        <w:ind w:left="9868" w:hanging="720"/>
      </w:pPr>
      <w:rPr>
        <w:rFonts w:hint="default"/>
      </w:rPr>
    </w:lvl>
  </w:abstractNum>
  <w:abstractNum w:abstractNumId="111">
    <w:multiLevelType w:val="hybridMultilevel"/>
    <w:lvl w:ilvl="0">
      <w:start w:val="0"/>
      <w:numFmt w:val="bullet"/>
      <w:lvlText w:val=""/>
      <w:lvlJc w:val="left"/>
      <w:pPr>
        <w:ind w:left="1329" w:hanging="641"/>
      </w:pPr>
      <w:rPr>
        <w:rFonts w:hint="default" w:ascii="Symbol" w:hAnsi="Symbol" w:eastAsia="Symbol" w:cs="Symbol"/>
        <w:w w:val="99"/>
        <w:sz w:val="38"/>
        <w:szCs w:val="38"/>
      </w:rPr>
    </w:lvl>
    <w:lvl w:ilvl="1">
      <w:start w:val="0"/>
      <w:numFmt w:val="bullet"/>
      <w:lvlText w:val="•"/>
      <w:lvlJc w:val="left"/>
      <w:pPr>
        <w:ind w:left="2406" w:hanging="641"/>
      </w:pPr>
      <w:rPr>
        <w:rFonts w:hint="default"/>
      </w:rPr>
    </w:lvl>
    <w:lvl w:ilvl="2">
      <w:start w:val="0"/>
      <w:numFmt w:val="bullet"/>
      <w:lvlText w:val="•"/>
      <w:lvlJc w:val="left"/>
      <w:pPr>
        <w:ind w:left="3492" w:hanging="641"/>
      </w:pPr>
      <w:rPr>
        <w:rFonts w:hint="default"/>
      </w:rPr>
    </w:lvl>
    <w:lvl w:ilvl="3">
      <w:start w:val="0"/>
      <w:numFmt w:val="bullet"/>
      <w:lvlText w:val="•"/>
      <w:lvlJc w:val="left"/>
      <w:pPr>
        <w:ind w:left="4578" w:hanging="641"/>
      </w:pPr>
      <w:rPr>
        <w:rFonts w:hint="default"/>
      </w:rPr>
    </w:lvl>
    <w:lvl w:ilvl="4">
      <w:start w:val="0"/>
      <w:numFmt w:val="bullet"/>
      <w:lvlText w:val="•"/>
      <w:lvlJc w:val="left"/>
      <w:pPr>
        <w:ind w:left="5664" w:hanging="641"/>
      </w:pPr>
      <w:rPr>
        <w:rFonts w:hint="default"/>
      </w:rPr>
    </w:lvl>
    <w:lvl w:ilvl="5">
      <w:start w:val="0"/>
      <w:numFmt w:val="bullet"/>
      <w:lvlText w:val="•"/>
      <w:lvlJc w:val="left"/>
      <w:pPr>
        <w:ind w:left="6750" w:hanging="641"/>
      </w:pPr>
      <w:rPr>
        <w:rFonts w:hint="default"/>
      </w:rPr>
    </w:lvl>
    <w:lvl w:ilvl="6">
      <w:start w:val="0"/>
      <w:numFmt w:val="bullet"/>
      <w:lvlText w:val="•"/>
      <w:lvlJc w:val="left"/>
      <w:pPr>
        <w:ind w:left="7836" w:hanging="641"/>
      </w:pPr>
      <w:rPr>
        <w:rFonts w:hint="default"/>
      </w:rPr>
    </w:lvl>
    <w:lvl w:ilvl="7">
      <w:start w:val="0"/>
      <w:numFmt w:val="bullet"/>
      <w:lvlText w:val="•"/>
      <w:lvlJc w:val="left"/>
      <w:pPr>
        <w:ind w:left="8922" w:hanging="641"/>
      </w:pPr>
      <w:rPr>
        <w:rFonts w:hint="default"/>
      </w:rPr>
    </w:lvl>
    <w:lvl w:ilvl="8">
      <w:start w:val="0"/>
      <w:numFmt w:val="bullet"/>
      <w:lvlText w:val="•"/>
      <w:lvlJc w:val="left"/>
      <w:pPr>
        <w:ind w:left="10008" w:hanging="641"/>
      </w:pPr>
      <w:rPr>
        <w:rFonts w:hint="default"/>
      </w:rPr>
    </w:lvl>
  </w:abstractNum>
  <w:abstractNum w:abstractNumId="28">
    <w:multiLevelType w:val="hybridMultilevel"/>
    <w:lvl w:ilvl="0">
      <w:start w:val="1"/>
      <w:numFmt w:val="decimal"/>
      <w:lvlText w:val="%1)"/>
      <w:lvlJc w:val="left"/>
      <w:pPr>
        <w:ind w:left="1197" w:hanging="360"/>
        <w:jc w:val="left"/>
      </w:pPr>
      <w:rPr>
        <w:rFonts w:hint="default" w:ascii="Garamond" w:hAnsi="Garamond" w:eastAsia="Garamond" w:cs="Garamond"/>
        <w:spacing w:val="-1"/>
        <w:w w:val="99"/>
        <w:sz w:val="38"/>
        <w:szCs w:val="38"/>
      </w:rPr>
    </w:lvl>
    <w:lvl w:ilvl="1">
      <w:start w:val="0"/>
      <w:numFmt w:val="bullet"/>
      <w:lvlText w:val="•"/>
      <w:lvlJc w:val="left"/>
      <w:pPr>
        <w:ind w:left="2298" w:hanging="360"/>
      </w:pPr>
      <w:rPr>
        <w:rFonts w:hint="default"/>
      </w:rPr>
    </w:lvl>
    <w:lvl w:ilvl="2">
      <w:start w:val="0"/>
      <w:numFmt w:val="bullet"/>
      <w:lvlText w:val="•"/>
      <w:lvlJc w:val="left"/>
      <w:pPr>
        <w:ind w:left="3396" w:hanging="360"/>
      </w:pPr>
      <w:rPr>
        <w:rFonts w:hint="default"/>
      </w:rPr>
    </w:lvl>
    <w:lvl w:ilvl="3">
      <w:start w:val="0"/>
      <w:numFmt w:val="bullet"/>
      <w:lvlText w:val="•"/>
      <w:lvlJc w:val="left"/>
      <w:pPr>
        <w:ind w:left="4494" w:hanging="360"/>
      </w:pPr>
      <w:rPr>
        <w:rFonts w:hint="default"/>
      </w:rPr>
    </w:lvl>
    <w:lvl w:ilvl="4">
      <w:start w:val="0"/>
      <w:numFmt w:val="bullet"/>
      <w:lvlText w:val="•"/>
      <w:lvlJc w:val="left"/>
      <w:pPr>
        <w:ind w:left="5592" w:hanging="360"/>
      </w:pPr>
      <w:rPr>
        <w:rFonts w:hint="default"/>
      </w:rPr>
    </w:lvl>
    <w:lvl w:ilvl="5">
      <w:start w:val="0"/>
      <w:numFmt w:val="bullet"/>
      <w:lvlText w:val="•"/>
      <w:lvlJc w:val="left"/>
      <w:pPr>
        <w:ind w:left="6690" w:hanging="360"/>
      </w:pPr>
      <w:rPr>
        <w:rFonts w:hint="default"/>
      </w:rPr>
    </w:lvl>
    <w:lvl w:ilvl="6">
      <w:start w:val="0"/>
      <w:numFmt w:val="bullet"/>
      <w:lvlText w:val="•"/>
      <w:lvlJc w:val="left"/>
      <w:pPr>
        <w:ind w:left="7788" w:hanging="360"/>
      </w:pPr>
      <w:rPr>
        <w:rFonts w:hint="default"/>
      </w:rPr>
    </w:lvl>
    <w:lvl w:ilvl="7">
      <w:start w:val="0"/>
      <w:numFmt w:val="bullet"/>
      <w:lvlText w:val="•"/>
      <w:lvlJc w:val="left"/>
      <w:pPr>
        <w:ind w:left="8886" w:hanging="360"/>
      </w:pPr>
      <w:rPr>
        <w:rFonts w:hint="default"/>
      </w:rPr>
    </w:lvl>
    <w:lvl w:ilvl="8">
      <w:start w:val="0"/>
      <w:numFmt w:val="bullet"/>
      <w:lvlText w:val="•"/>
      <w:lvlJc w:val="left"/>
      <w:pPr>
        <w:ind w:left="9984" w:hanging="360"/>
      </w:pPr>
      <w:rPr>
        <w:rFonts w:hint="default"/>
      </w:rPr>
    </w:lvl>
  </w:abstractNum>
  <w:abstractNum w:abstractNumId="18">
    <w:multiLevelType w:val="hybridMultilevel"/>
    <w:lvl w:ilvl="0">
      <w:start w:val="1"/>
      <w:numFmt w:val="decimal"/>
      <w:lvlText w:val="%1."/>
      <w:lvlJc w:val="left"/>
      <w:pPr>
        <w:ind w:left="1197" w:hanging="360"/>
        <w:jc w:val="left"/>
      </w:pPr>
      <w:rPr>
        <w:rFonts w:hint="default" w:ascii="Garamond" w:hAnsi="Garamond" w:eastAsia="Garamond" w:cs="Garamond"/>
        <w:spacing w:val="-1"/>
        <w:w w:val="99"/>
        <w:sz w:val="38"/>
        <w:szCs w:val="38"/>
      </w:rPr>
    </w:lvl>
    <w:lvl w:ilvl="1">
      <w:start w:val="0"/>
      <w:numFmt w:val="bullet"/>
      <w:lvlText w:val="•"/>
      <w:lvlJc w:val="left"/>
      <w:pPr>
        <w:ind w:left="2298" w:hanging="360"/>
      </w:pPr>
      <w:rPr>
        <w:rFonts w:hint="default"/>
      </w:rPr>
    </w:lvl>
    <w:lvl w:ilvl="2">
      <w:start w:val="0"/>
      <w:numFmt w:val="bullet"/>
      <w:lvlText w:val="•"/>
      <w:lvlJc w:val="left"/>
      <w:pPr>
        <w:ind w:left="3396" w:hanging="360"/>
      </w:pPr>
      <w:rPr>
        <w:rFonts w:hint="default"/>
      </w:rPr>
    </w:lvl>
    <w:lvl w:ilvl="3">
      <w:start w:val="0"/>
      <w:numFmt w:val="bullet"/>
      <w:lvlText w:val="•"/>
      <w:lvlJc w:val="left"/>
      <w:pPr>
        <w:ind w:left="4494" w:hanging="360"/>
      </w:pPr>
      <w:rPr>
        <w:rFonts w:hint="default"/>
      </w:rPr>
    </w:lvl>
    <w:lvl w:ilvl="4">
      <w:start w:val="0"/>
      <w:numFmt w:val="bullet"/>
      <w:lvlText w:val="•"/>
      <w:lvlJc w:val="left"/>
      <w:pPr>
        <w:ind w:left="5592" w:hanging="360"/>
      </w:pPr>
      <w:rPr>
        <w:rFonts w:hint="default"/>
      </w:rPr>
    </w:lvl>
    <w:lvl w:ilvl="5">
      <w:start w:val="0"/>
      <w:numFmt w:val="bullet"/>
      <w:lvlText w:val="•"/>
      <w:lvlJc w:val="left"/>
      <w:pPr>
        <w:ind w:left="6690" w:hanging="360"/>
      </w:pPr>
      <w:rPr>
        <w:rFonts w:hint="default"/>
      </w:rPr>
    </w:lvl>
    <w:lvl w:ilvl="6">
      <w:start w:val="0"/>
      <w:numFmt w:val="bullet"/>
      <w:lvlText w:val="•"/>
      <w:lvlJc w:val="left"/>
      <w:pPr>
        <w:ind w:left="7788" w:hanging="360"/>
      </w:pPr>
      <w:rPr>
        <w:rFonts w:hint="default"/>
      </w:rPr>
    </w:lvl>
    <w:lvl w:ilvl="7">
      <w:start w:val="0"/>
      <w:numFmt w:val="bullet"/>
      <w:lvlText w:val="•"/>
      <w:lvlJc w:val="left"/>
      <w:pPr>
        <w:ind w:left="8886" w:hanging="360"/>
      </w:pPr>
      <w:rPr>
        <w:rFonts w:hint="default"/>
      </w:rPr>
    </w:lvl>
    <w:lvl w:ilvl="8">
      <w:start w:val="0"/>
      <w:numFmt w:val="bullet"/>
      <w:lvlText w:val="•"/>
      <w:lvlJc w:val="left"/>
      <w:pPr>
        <w:ind w:left="9984" w:hanging="360"/>
      </w:pPr>
      <w:rPr>
        <w:rFonts w:hint="default"/>
      </w:rPr>
    </w:lvl>
  </w:abstractNum>
  <w:abstractNum w:abstractNumId="8">
    <w:multiLevelType w:val="hybridMultilevel"/>
    <w:lvl w:ilvl="0">
      <w:start w:val="1"/>
      <w:numFmt w:val="lowerLetter"/>
      <w:lvlText w:val="%1)"/>
      <w:lvlJc w:val="left"/>
      <w:pPr>
        <w:ind w:left="904" w:hanging="428"/>
        <w:jc w:val="left"/>
      </w:pPr>
      <w:rPr>
        <w:rFonts w:hint="default" w:ascii="Garamond" w:hAnsi="Garamond" w:eastAsia="Garamond" w:cs="Garamond"/>
        <w:spacing w:val="-1"/>
        <w:w w:val="99"/>
        <w:sz w:val="38"/>
        <w:szCs w:val="38"/>
      </w:rPr>
    </w:lvl>
    <w:lvl w:ilvl="1">
      <w:start w:val="0"/>
      <w:numFmt w:val="bullet"/>
      <w:lvlText w:val="•"/>
      <w:lvlJc w:val="left"/>
      <w:pPr>
        <w:ind w:left="2028" w:hanging="428"/>
      </w:pPr>
      <w:rPr>
        <w:rFonts w:hint="default"/>
      </w:rPr>
    </w:lvl>
    <w:lvl w:ilvl="2">
      <w:start w:val="0"/>
      <w:numFmt w:val="bullet"/>
      <w:lvlText w:val="•"/>
      <w:lvlJc w:val="left"/>
      <w:pPr>
        <w:ind w:left="3156" w:hanging="428"/>
      </w:pPr>
      <w:rPr>
        <w:rFonts w:hint="default"/>
      </w:rPr>
    </w:lvl>
    <w:lvl w:ilvl="3">
      <w:start w:val="0"/>
      <w:numFmt w:val="bullet"/>
      <w:lvlText w:val="•"/>
      <w:lvlJc w:val="left"/>
      <w:pPr>
        <w:ind w:left="4284" w:hanging="428"/>
      </w:pPr>
      <w:rPr>
        <w:rFonts w:hint="default"/>
      </w:rPr>
    </w:lvl>
    <w:lvl w:ilvl="4">
      <w:start w:val="0"/>
      <w:numFmt w:val="bullet"/>
      <w:lvlText w:val="•"/>
      <w:lvlJc w:val="left"/>
      <w:pPr>
        <w:ind w:left="5412" w:hanging="428"/>
      </w:pPr>
      <w:rPr>
        <w:rFonts w:hint="default"/>
      </w:rPr>
    </w:lvl>
    <w:lvl w:ilvl="5">
      <w:start w:val="0"/>
      <w:numFmt w:val="bullet"/>
      <w:lvlText w:val="•"/>
      <w:lvlJc w:val="left"/>
      <w:pPr>
        <w:ind w:left="6540" w:hanging="428"/>
      </w:pPr>
      <w:rPr>
        <w:rFonts w:hint="default"/>
      </w:rPr>
    </w:lvl>
    <w:lvl w:ilvl="6">
      <w:start w:val="0"/>
      <w:numFmt w:val="bullet"/>
      <w:lvlText w:val="•"/>
      <w:lvlJc w:val="left"/>
      <w:pPr>
        <w:ind w:left="7668" w:hanging="428"/>
      </w:pPr>
      <w:rPr>
        <w:rFonts w:hint="default"/>
      </w:rPr>
    </w:lvl>
    <w:lvl w:ilvl="7">
      <w:start w:val="0"/>
      <w:numFmt w:val="bullet"/>
      <w:lvlText w:val="•"/>
      <w:lvlJc w:val="left"/>
      <w:pPr>
        <w:ind w:left="8796" w:hanging="428"/>
      </w:pPr>
      <w:rPr>
        <w:rFonts w:hint="default"/>
      </w:rPr>
    </w:lvl>
    <w:lvl w:ilvl="8">
      <w:start w:val="0"/>
      <w:numFmt w:val="bullet"/>
      <w:lvlText w:val="•"/>
      <w:lvlJc w:val="left"/>
      <w:pPr>
        <w:ind w:left="9924" w:hanging="428"/>
      </w:pPr>
      <w:rPr>
        <w:rFonts w:hint="default"/>
      </w:rPr>
    </w:lvl>
  </w:abstractNum>
  <w:abstractNum w:abstractNumId="138">
    <w:multiLevelType w:val="hybridMultilevel"/>
    <w:lvl w:ilvl="0">
      <w:start w:val="0"/>
      <w:numFmt w:val="bullet"/>
      <w:lvlText w:val=""/>
      <w:lvlJc w:val="left"/>
      <w:pPr>
        <w:ind w:left="1329" w:hanging="356"/>
      </w:pPr>
      <w:rPr>
        <w:rFonts w:hint="default" w:ascii="Symbol" w:hAnsi="Symbol" w:eastAsia="Symbol" w:cs="Symbol"/>
        <w:w w:val="100"/>
        <w:sz w:val="28"/>
        <w:szCs w:val="28"/>
      </w:rPr>
    </w:lvl>
    <w:lvl w:ilvl="1">
      <w:start w:val="0"/>
      <w:numFmt w:val="bullet"/>
      <w:lvlText w:val="•"/>
      <w:lvlJc w:val="left"/>
      <w:pPr>
        <w:ind w:left="2406" w:hanging="356"/>
      </w:pPr>
      <w:rPr>
        <w:rFonts w:hint="default"/>
      </w:rPr>
    </w:lvl>
    <w:lvl w:ilvl="2">
      <w:start w:val="0"/>
      <w:numFmt w:val="bullet"/>
      <w:lvlText w:val="•"/>
      <w:lvlJc w:val="left"/>
      <w:pPr>
        <w:ind w:left="3492" w:hanging="356"/>
      </w:pPr>
      <w:rPr>
        <w:rFonts w:hint="default"/>
      </w:rPr>
    </w:lvl>
    <w:lvl w:ilvl="3">
      <w:start w:val="0"/>
      <w:numFmt w:val="bullet"/>
      <w:lvlText w:val="•"/>
      <w:lvlJc w:val="left"/>
      <w:pPr>
        <w:ind w:left="4578" w:hanging="356"/>
      </w:pPr>
      <w:rPr>
        <w:rFonts w:hint="default"/>
      </w:rPr>
    </w:lvl>
    <w:lvl w:ilvl="4">
      <w:start w:val="0"/>
      <w:numFmt w:val="bullet"/>
      <w:lvlText w:val="•"/>
      <w:lvlJc w:val="left"/>
      <w:pPr>
        <w:ind w:left="5664" w:hanging="356"/>
      </w:pPr>
      <w:rPr>
        <w:rFonts w:hint="default"/>
      </w:rPr>
    </w:lvl>
    <w:lvl w:ilvl="5">
      <w:start w:val="0"/>
      <w:numFmt w:val="bullet"/>
      <w:lvlText w:val="•"/>
      <w:lvlJc w:val="left"/>
      <w:pPr>
        <w:ind w:left="6750" w:hanging="356"/>
      </w:pPr>
      <w:rPr>
        <w:rFonts w:hint="default"/>
      </w:rPr>
    </w:lvl>
    <w:lvl w:ilvl="6">
      <w:start w:val="0"/>
      <w:numFmt w:val="bullet"/>
      <w:lvlText w:val="•"/>
      <w:lvlJc w:val="left"/>
      <w:pPr>
        <w:ind w:left="7836" w:hanging="356"/>
      </w:pPr>
      <w:rPr>
        <w:rFonts w:hint="default"/>
      </w:rPr>
    </w:lvl>
    <w:lvl w:ilvl="7">
      <w:start w:val="0"/>
      <w:numFmt w:val="bullet"/>
      <w:lvlText w:val="•"/>
      <w:lvlJc w:val="left"/>
      <w:pPr>
        <w:ind w:left="8922" w:hanging="356"/>
      </w:pPr>
      <w:rPr>
        <w:rFonts w:hint="default"/>
      </w:rPr>
    </w:lvl>
    <w:lvl w:ilvl="8">
      <w:start w:val="0"/>
      <w:numFmt w:val="bullet"/>
      <w:lvlText w:val="•"/>
      <w:lvlJc w:val="left"/>
      <w:pPr>
        <w:ind w:left="10008" w:hanging="356"/>
      </w:pPr>
      <w:rPr>
        <w:rFonts w:hint="default"/>
      </w:rPr>
    </w:lvl>
  </w:abstractNum>
  <w:abstractNum w:abstractNumId="137">
    <w:multiLevelType w:val="hybridMultilevel"/>
    <w:lvl w:ilvl="0">
      <w:start w:val="0"/>
      <w:numFmt w:val="bullet"/>
      <w:lvlText w:val="-"/>
      <w:lvlJc w:val="left"/>
      <w:pPr>
        <w:ind w:left="1329" w:hanging="356"/>
      </w:pPr>
      <w:rPr>
        <w:rFonts w:hint="default" w:ascii="Times New Roman" w:hAnsi="Times New Roman" w:eastAsia="Times New Roman" w:cs="Times New Roman"/>
        <w:w w:val="99"/>
        <w:sz w:val="38"/>
        <w:szCs w:val="38"/>
      </w:rPr>
    </w:lvl>
    <w:lvl w:ilvl="1">
      <w:start w:val="0"/>
      <w:numFmt w:val="bullet"/>
      <w:lvlText w:val="•"/>
      <w:lvlJc w:val="left"/>
      <w:pPr>
        <w:ind w:left="2406" w:hanging="356"/>
      </w:pPr>
      <w:rPr>
        <w:rFonts w:hint="default"/>
      </w:rPr>
    </w:lvl>
    <w:lvl w:ilvl="2">
      <w:start w:val="0"/>
      <w:numFmt w:val="bullet"/>
      <w:lvlText w:val="•"/>
      <w:lvlJc w:val="left"/>
      <w:pPr>
        <w:ind w:left="3492" w:hanging="356"/>
      </w:pPr>
      <w:rPr>
        <w:rFonts w:hint="default"/>
      </w:rPr>
    </w:lvl>
    <w:lvl w:ilvl="3">
      <w:start w:val="0"/>
      <w:numFmt w:val="bullet"/>
      <w:lvlText w:val="•"/>
      <w:lvlJc w:val="left"/>
      <w:pPr>
        <w:ind w:left="4578" w:hanging="356"/>
      </w:pPr>
      <w:rPr>
        <w:rFonts w:hint="default"/>
      </w:rPr>
    </w:lvl>
    <w:lvl w:ilvl="4">
      <w:start w:val="0"/>
      <w:numFmt w:val="bullet"/>
      <w:lvlText w:val="•"/>
      <w:lvlJc w:val="left"/>
      <w:pPr>
        <w:ind w:left="5664" w:hanging="356"/>
      </w:pPr>
      <w:rPr>
        <w:rFonts w:hint="default"/>
      </w:rPr>
    </w:lvl>
    <w:lvl w:ilvl="5">
      <w:start w:val="0"/>
      <w:numFmt w:val="bullet"/>
      <w:lvlText w:val="•"/>
      <w:lvlJc w:val="left"/>
      <w:pPr>
        <w:ind w:left="6750" w:hanging="356"/>
      </w:pPr>
      <w:rPr>
        <w:rFonts w:hint="default"/>
      </w:rPr>
    </w:lvl>
    <w:lvl w:ilvl="6">
      <w:start w:val="0"/>
      <w:numFmt w:val="bullet"/>
      <w:lvlText w:val="•"/>
      <w:lvlJc w:val="left"/>
      <w:pPr>
        <w:ind w:left="7836" w:hanging="356"/>
      </w:pPr>
      <w:rPr>
        <w:rFonts w:hint="default"/>
      </w:rPr>
    </w:lvl>
    <w:lvl w:ilvl="7">
      <w:start w:val="0"/>
      <w:numFmt w:val="bullet"/>
      <w:lvlText w:val="•"/>
      <w:lvlJc w:val="left"/>
      <w:pPr>
        <w:ind w:left="8922" w:hanging="356"/>
      </w:pPr>
      <w:rPr>
        <w:rFonts w:hint="default"/>
      </w:rPr>
    </w:lvl>
    <w:lvl w:ilvl="8">
      <w:start w:val="0"/>
      <w:numFmt w:val="bullet"/>
      <w:lvlText w:val="•"/>
      <w:lvlJc w:val="left"/>
      <w:pPr>
        <w:ind w:left="10008" w:hanging="356"/>
      </w:pPr>
      <w:rPr>
        <w:rFonts w:hint="default"/>
      </w:rPr>
    </w:lvl>
  </w:abstractNum>
  <w:abstractNum w:abstractNumId="136">
    <w:multiLevelType w:val="hybridMultilevel"/>
    <w:lvl w:ilvl="0">
      <w:start w:val="0"/>
      <w:numFmt w:val="decimal"/>
      <w:lvlText w:val="%1"/>
      <w:lvlJc w:val="left"/>
      <w:pPr>
        <w:ind w:left="616" w:hanging="543"/>
        <w:jc w:val="left"/>
      </w:pPr>
      <w:rPr>
        <w:rFonts w:hint="default"/>
      </w:rPr>
    </w:lvl>
    <w:lvl w:ilvl="1">
      <w:start w:val="5"/>
      <w:numFmt w:val="decimal"/>
      <w:lvlText w:val="%1.%2"/>
      <w:lvlJc w:val="left"/>
      <w:pPr>
        <w:ind w:left="616" w:hanging="543"/>
        <w:jc w:val="left"/>
      </w:pPr>
      <w:rPr>
        <w:rFonts w:hint="default" w:ascii="Garamond" w:hAnsi="Garamond" w:eastAsia="Garamond" w:cs="Garamond"/>
        <w:w w:val="99"/>
        <w:sz w:val="38"/>
        <w:szCs w:val="38"/>
      </w:rPr>
    </w:lvl>
    <w:lvl w:ilvl="2">
      <w:start w:val="1"/>
      <w:numFmt w:val="decimal"/>
      <w:lvlText w:val="%3)"/>
      <w:lvlJc w:val="left"/>
      <w:pPr>
        <w:ind w:left="1295" w:hanging="452"/>
        <w:jc w:val="left"/>
      </w:pPr>
      <w:rPr>
        <w:rFonts w:hint="default" w:ascii="Garamond" w:hAnsi="Garamond" w:eastAsia="Garamond" w:cs="Garamond"/>
        <w:spacing w:val="-1"/>
        <w:w w:val="99"/>
        <w:sz w:val="38"/>
        <w:szCs w:val="38"/>
      </w:rPr>
    </w:lvl>
    <w:lvl w:ilvl="3">
      <w:start w:val="0"/>
      <w:numFmt w:val="bullet"/>
      <w:lvlText w:val="•"/>
      <w:lvlJc w:val="left"/>
      <w:pPr>
        <w:ind w:left="3717" w:hanging="452"/>
      </w:pPr>
      <w:rPr>
        <w:rFonts w:hint="default"/>
      </w:rPr>
    </w:lvl>
    <w:lvl w:ilvl="4">
      <w:start w:val="0"/>
      <w:numFmt w:val="bullet"/>
      <w:lvlText w:val="•"/>
      <w:lvlJc w:val="left"/>
      <w:pPr>
        <w:ind w:left="4926" w:hanging="452"/>
      </w:pPr>
      <w:rPr>
        <w:rFonts w:hint="default"/>
      </w:rPr>
    </w:lvl>
    <w:lvl w:ilvl="5">
      <w:start w:val="0"/>
      <w:numFmt w:val="bullet"/>
      <w:lvlText w:val="•"/>
      <w:lvlJc w:val="left"/>
      <w:pPr>
        <w:ind w:left="6135" w:hanging="452"/>
      </w:pPr>
      <w:rPr>
        <w:rFonts w:hint="default"/>
      </w:rPr>
    </w:lvl>
    <w:lvl w:ilvl="6">
      <w:start w:val="0"/>
      <w:numFmt w:val="bullet"/>
      <w:lvlText w:val="•"/>
      <w:lvlJc w:val="left"/>
      <w:pPr>
        <w:ind w:left="7344" w:hanging="452"/>
      </w:pPr>
      <w:rPr>
        <w:rFonts w:hint="default"/>
      </w:rPr>
    </w:lvl>
    <w:lvl w:ilvl="7">
      <w:start w:val="0"/>
      <w:numFmt w:val="bullet"/>
      <w:lvlText w:val="•"/>
      <w:lvlJc w:val="left"/>
      <w:pPr>
        <w:ind w:left="8553" w:hanging="452"/>
      </w:pPr>
      <w:rPr>
        <w:rFonts w:hint="default"/>
      </w:rPr>
    </w:lvl>
    <w:lvl w:ilvl="8">
      <w:start w:val="0"/>
      <w:numFmt w:val="bullet"/>
      <w:lvlText w:val="•"/>
      <w:lvlJc w:val="left"/>
      <w:pPr>
        <w:ind w:left="9762" w:hanging="452"/>
      </w:pPr>
      <w:rPr>
        <w:rFonts w:hint="default"/>
      </w:rPr>
    </w:lvl>
  </w:abstractNum>
  <w:abstractNum w:abstractNumId="135">
    <w:multiLevelType w:val="hybridMultilevel"/>
    <w:lvl w:ilvl="0">
      <w:start w:val="7"/>
      <w:numFmt w:val="decimal"/>
      <w:lvlText w:val="%1"/>
      <w:lvlJc w:val="left"/>
      <w:pPr>
        <w:ind w:left="1322" w:hanging="707"/>
        <w:jc w:val="left"/>
      </w:pPr>
      <w:rPr>
        <w:rFonts w:hint="default"/>
      </w:rPr>
    </w:lvl>
    <w:lvl w:ilvl="1">
      <w:start w:val="45"/>
      <w:numFmt w:val="decimal"/>
      <w:lvlText w:val="%1.%2"/>
      <w:lvlJc w:val="left"/>
      <w:pPr>
        <w:ind w:left="1322" w:hanging="707"/>
        <w:jc w:val="left"/>
      </w:pPr>
      <w:rPr>
        <w:rFonts w:hint="default" w:ascii="Garamond" w:hAnsi="Garamond" w:eastAsia="Garamond" w:cs="Garamond"/>
        <w:w w:val="99"/>
        <w:sz w:val="38"/>
        <w:szCs w:val="38"/>
      </w:rPr>
    </w:lvl>
    <w:lvl w:ilvl="2">
      <w:start w:val="1"/>
      <w:numFmt w:val="decimal"/>
      <w:lvlText w:val="%3."/>
      <w:lvlJc w:val="left"/>
      <w:pPr>
        <w:ind w:left="1686" w:hanging="358"/>
        <w:jc w:val="left"/>
      </w:pPr>
      <w:rPr>
        <w:rFonts w:hint="default" w:ascii="Garamond" w:hAnsi="Garamond" w:eastAsia="Garamond" w:cs="Garamond"/>
        <w:spacing w:val="-1"/>
        <w:w w:val="99"/>
        <w:sz w:val="38"/>
        <w:szCs w:val="38"/>
      </w:rPr>
    </w:lvl>
    <w:lvl w:ilvl="3">
      <w:start w:val="0"/>
      <w:numFmt w:val="bullet"/>
      <w:lvlText w:val="•"/>
      <w:lvlJc w:val="left"/>
      <w:pPr>
        <w:ind w:left="4013" w:hanging="358"/>
      </w:pPr>
      <w:rPr>
        <w:rFonts w:hint="default"/>
      </w:rPr>
    </w:lvl>
    <w:lvl w:ilvl="4">
      <w:start w:val="0"/>
      <w:numFmt w:val="bullet"/>
      <w:lvlText w:val="•"/>
      <w:lvlJc w:val="left"/>
      <w:pPr>
        <w:ind w:left="5180" w:hanging="358"/>
      </w:pPr>
      <w:rPr>
        <w:rFonts w:hint="default"/>
      </w:rPr>
    </w:lvl>
    <w:lvl w:ilvl="5">
      <w:start w:val="0"/>
      <w:numFmt w:val="bullet"/>
      <w:lvlText w:val="•"/>
      <w:lvlJc w:val="left"/>
      <w:pPr>
        <w:ind w:left="6347" w:hanging="358"/>
      </w:pPr>
      <w:rPr>
        <w:rFonts w:hint="default"/>
      </w:rPr>
    </w:lvl>
    <w:lvl w:ilvl="6">
      <w:start w:val="0"/>
      <w:numFmt w:val="bullet"/>
      <w:lvlText w:val="•"/>
      <w:lvlJc w:val="left"/>
      <w:pPr>
        <w:ind w:left="7513" w:hanging="358"/>
      </w:pPr>
      <w:rPr>
        <w:rFonts w:hint="default"/>
      </w:rPr>
    </w:lvl>
    <w:lvl w:ilvl="7">
      <w:start w:val="0"/>
      <w:numFmt w:val="bullet"/>
      <w:lvlText w:val="•"/>
      <w:lvlJc w:val="left"/>
      <w:pPr>
        <w:ind w:left="8680" w:hanging="358"/>
      </w:pPr>
      <w:rPr>
        <w:rFonts w:hint="default"/>
      </w:rPr>
    </w:lvl>
    <w:lvl w:ilvl="8">
      <w:start w:val="0"/>
      <w:numFmt w:val="bullet"/>
      <w:lvlText w:val="•"/>
      <w:lvlJc w:val="left"/>
      <w:pPr>
        <w:ind w:left="9847" w:hanging="358"/>
      </w:pPr>
      <w:rPr>
        <w:rFonts w:hint="default"/>
      </w:rPr>
    </w:lvl>
  </w:abstractNum>
  <w:abstractNum w:abstractNumId="134">
    <w:multiLevelType w:val="hybridMultilevel"/>
    <w:lvl w:ilvl="0">
      <w:start w:val="1"/>
      <w:numFmt w:val="decimal"/>
      <w:lvlText w:val="%1."/>
      <w:lvlJc w:val="left"/>
      <w:pPr>
        <w:ind w:left="616" w:hanging="346"/>
        <w:jc w:val="left"/>
      </w:pPr>
      <w:rPr>
        <w:rFonts w:hint="default" w:ascii="Garamond" w:hAnsi="Garamond" w:eastAsia="Garamond" w:cs="Garamond"/>
        <w:b/>
        <w:bCs/>
        <w:i/>
        <w:w w:val="94"/>
        <w:sz w:val="40"/>
        <w:szCs w:val="40"/>
      </w:rPr>
    </w:lvl>
    <w:lvl w:ilvl="1">
      <w:start w:val="0"/>
      <w:numFmt w:val="bullet"/>
      <w:lvlText w:val="•"/>
      <w:lvlJc w:val="left"/>
      <w:pPr>
        <w:ind w:left="1776" w:hanging="346"/>
      </w:pPr>
      <w:rPr>
        <w:rFonts w:hint="default"/>
      </w:rPr>
    </w:lvl>
    <w:lvl w:ilvl="2">
      <w:start w:val="0"/>
      <w:numFmt w:val="bullet"/>
      <w:lvlText w:val="•"/>
      <w:lvlJc w:val="left"/>
      <w:pPr>
        <w:ind w:left="2932" w:hanging="346"/>
      </w:pPr>
      <w:rPr>
        <w:rFonts w:hint="default"/>
      </w:rPr>
    </w:lvl>
    <w:lvl w:ilvl="3">
      <w:start w:val="0"/>
      <w:numFmt w:val="bullet"/>
      <w:lvlText w:val="•"/>
      <w:lvlJc w:val="left"/>
      <w:pPr>
        <w:ind w:left="4088" w:hanging="346"/>
      </w:pPr>
      <w:rPr>
        <w:rFonts w:hint="default"/>
      </w:rPr>
    </w:lvl>
    <w:lvl w:ilvl="4">
      <w:start w:val="0"/>
      <w:numFmt w:val="bullet"/>
      <w:lvlText w:val="•"/>
      <w:lvlJc w:val="left"/>
      <w:pPr>
        <w:ind w:left="5244" w:hanging="346"/>
      </w:pPr>
      <w:rPr>
        <w:rFonts w:hint="default"/>
      </w:rPr>
    </w:lvl>
    <w:lvl w:ilvl="5">
      <w:start w:val="0"/>
      <w:numFmt w:val="bullet"/>
      <w:lvlText w:val="•"/>
      <w:lvlJc w:val="left"/>
      <w:pPr>
        <w:ind w:left="6400" w:hanging="346"/>
      </w:pPr>
      <w:rPr>
        <w:rFonts w:hint="default"/>
      </w:rPr>
    </w:lvl>
    <w:lvl w:ilvl="6">
      <w:start w:val="0"/>
      <w:numFmt w:val="bullet"/>
      <w:lvlText w:val="•"/>
      <w:lvlJc w:val="left"/>
      <w:pPr>
        <w:ind w:left="7556" w:hanging="346"/>
      </w:pPr>
      <w:rPr>
        <w:rFonts w:hint="default"/>
      </w:rPr>
    </w:lvl>
    <w:lvl w:ilvl="7">
      <w:start w:val="0"/>
      <w:numFmt w:val="bullet"/>
      <w:lvlText w:val="•"/>
      <w:lvlJc w:val="left"/>
      <w:pPr>
        <w:ind w:left="8712" w:hanging="346"/>
      </w:pPr>
      <w:rPr>
        <w:rFonts w:hint="default"/>
      </w:rPr>
    </w:lvl>
    <w:lvl w:ilvl="8">
      <w:start w:val="0"/>
      <w:numFmt w:val="bullet"/>
      <w:lvlText w:val="•"/>
      <w:lvlJc w:val="left"/>
      <w:pPr>
        <w:ind w:left="9868" w:hanging="346"/>
      </w:pPr>
      <w:rPr>
        <w:rFonts w:hint="default"/>
      </w:rPr>
    </w:lvl>
  </w:abstractNum>
  <w:abstractNum w:abstractNumId="133">
    <w:multiLevelType w:val="hybridMultilevel"/>
    <w:lvl w:ilvl="0">
      <w:start w:val="0"/>
      <w:numFmt w:val="bullet"/>
      <w:lvlText w:val="-"/>
      <w:lvlJc w:val="left"/>
      <w:pPr>
        <w:ind w:left="1329" w:hanging="356"/>
      </w:pPr>
      <w:rPr>
        <w:rFonts w:hint="default" w:ascii="Times New Roman" w:hAnsi="Times New Roman" w:eastAsia="Times New Roman" w:cs="Times New Roman"/>
        <w:w w:val="99"/>
        <w:sz w:val="38"/>
        <w:szCs w:val="38"/>
      </w:rPr>
    </w:lvl>
    <w:lvl w:ilvl="1">
      <w:start w:val="0"/>
      <w:numFmt w:val="bullet"/>
      <w:lvlText w:val="•"/>
      <w:lvlJc w:val="left"/>
      <w:pPr>
        <w:ind w:left="2406" w:hanging="356"/>
      </w:pPr>
      <w:rPr>
        <w:rFonts w:hint="default"/>
      </w:rPr>
    </w:lvl>
    <w:lvl w:ilvl="2">
      <w:start w:val="0"/>
      <w:numFmt w:val="bullet"/>
      <w:lvlText w:val="•"/>
      <w:lvlJc w:val="left"/>
      <w:pPr>
        <w:ind w:left="3492" w:hanging="356"/>
      </w:pPr>
      <w:rPr>
        <w:rFonts w:hint="default"/>
      </w:rPr>
    </w:lvl>
    <w:lvl w:ilvl="3">
      <w:start w:val="0"/>
      <w:numFmt w:val="bullet"/>
      <w:lvlText w:val="•"/>
      <w:lvlJc w:val="left"/>
      <w:pPr>
        <w:ind w:left="4578" w:hanging="356"/>
      </w:pPr>
      <w:rPr>
        <w:rFonts w:hint="default"/>
      </w:rPr>
    </w:lvl>
    <w:lvl w:ilvl="4">
      <w:start w:val="0"/>
      <w:numFmt w:val="bullet"/>
      <w:lvlText w:val="•"/>
      <w:lvlJc w:val="left"/>
      <w:pPr>
        <w:ind w:left="5664" w:hanging="356"/>
      </w:pPr>
      <w:rPr>
        <w:rFonts w:hint="default"/>
      </w:rPr>
    </w:lvl>
    <w:lvl w:ilvl="5">
      <w:start w:val="0"/>
      <w:numFmt w:val="bullet"/>
      <w:lvlText w:val="•"/>
      <w:lvlJc w:val="left"/>
      <w:pPr>
        <w:ind w:left="6750" w:hanging="356"/>
      </w:pPr>
      <w:rPr>
        <w:rFonts w:hint="default"/>
      </w:rPr>
    </w:lvl>
    <w:lvl w:ilvl="6">
      <w:start w:val="0"/>
      <w:numFmt w:val="bullet"/>
      <w:lvlText w:val="•"/>
      <w:lvlJc w:val="left"/>
      <w:pPr>
        <w:ind w:left="7836" w:hanging="356"/>
      </w:pPr>
      <w:rPr>
        <w:rFonts w:hint="default"/>
      </w:rPr>
    </w:lvl>
    <w:lvl w:ilvl="7">
      <w:start w:val="0"/>
      <w:numFmt w:val="bullet"/>
      <w:lvlText w:val="•"/>
      <w:lvlJc w:val="left"/>
      <w:pPr>
        <w:ind w:left="8922" w:hanging="356"/>
      </w:pPr>
      <w:rPr>
        <w:rFonts w:hint="default"/>
      </w:rPr>
    </w:lvl>
    <w:lvl w:ilvl="8">
      <w:start w:val="0"/>
      <w:numFmt w:val="bullet"/>
      <w:lvlText w:val="•"/>
      <w:lvlJc w:val="left"/>
      <w:pPr>
        <w:ind w:left="10008" w:hanging="356"/>
      </w:pPr>
      <w:rPr>
        <w:rFonts w:hint="default"/>
      </w:rPr>
    </w:lvl>
  </w:abstractNum>
  <w:abstractNum w:abstractNumId="132">
    <w:multiLevelType w:val="hybridMultilevel"/>
    <w:lvl w:ilvl="0">
      <w:start w:val="0"/>
      <w:numFmt w:val="bullet"/>
      <w:lvlText w:val=""/>
      <w:lvlJc w:val="left"/>
      <w:pPr>
        <w:ind w:left="1329" w:hanging="641"/>
      </w:pPr>
      <w:rPr>
        <w:rFonts w:hint="default" w:ascii="Symbol" w:hAnsi="Symbol" w:eastAsia="Symbol" w:cs="Symbol"/>
        <w:w w:val="99"/>
        <w:sz w:val="38"/>
        <w:szCs w:val="38"/>
      </w:rPr>
    </w:lvl>
    <w:lvl w:ilvl="1">
      <w:start w:val="0"/>
      <w:numFmt w:val="bullet"/>
      <w:lvlText w:val="•"/>
      <w:lvlJc w:val="left"/>
      <w:pPr>
        <w:ind w:left="2406" w:hanging="641"/>
      </w:pPr>
      <w:rPr>
        <w:rFonts w:hint="default"/>
      </w:rPr>
    </w:lvl>
    <w:lvl w:ilvl="2">
      <w:start w:val="0"/>
      <w:numFmt w:val="bullet"/>
      <w:lvlText w:val="•"/>
      <w:lvlJc w:val="left"/>
      <w:pPr>
        <w:ind w:left="3492" w:hanging="641"/>
      </w:pPr>
      <w:rPr>
        <w:rFonts w:hint="default"/>
      </w:rPr>
    </w:lvl>
    <w:lvl w:ilvl="3">
      <w:start w:val="0"/>
      <w:numFmt w:val="bullet"/>
      <w:lvlText w:val="•"/>
      <w:lvlJc w:val="left"/>
      <w:pPr>
        <w:ind w:left="4578" w:hanging="641"/>
      </w:pPr>
      <w:rPr>
        <w:rFonts w:hint="default"/>
      </w:rPr>
    </w:lvl>
    <w:lvl w:ilvl="4">
      <w:start w:val="0"/>
      <w:numFmt w:val="bullet"/>
      <w:lvlText w:val="•"/>
      <w:lvlJc w:val="left"/>
      <w:pPr>
        <w:ind w:left="5664" w:hanging="641"/>
      </w:pPr>
      <w:rPr>
        <w:rFonts w:hint="default"/>
      </w:rPr>
    </w:lvl>
    <w:lvl w:ilvl="5">
      <w:start w:val="0"/>
      <w:numFmt w:val="bullet"/>
      <w:lvlText w:val="•"/>
      <w:lvlJc w:val="left"/>
      <w:pPr>
        <w:ind w:left="6750" w:hanging="641"/>
      </w:pPr>
      <w:rPr>
        <w:rFonts w:hint="default"/>
      </w:rPr>
    </w:lvl>
    <w:lvl w:ilvl="6">
      <w:start w:val="0"/>
      <w:numFmt w:val="bullet"/>
      <w:lvlText w:val="•"/>
      <w:lvlJc w:val="left"/>
      <w:pPr>
        <w:ind w:left="7836" w:hanging="641"/>
      </w:pPr>
      <w:rPr>
        <w:rFonts w:hint="default"/>
      </w:rPr>
    </w:lvl>
    <w:lvl w:ilvl="7">
      <w:start w:val="0"/>
      <w:numFmt w:val="bullet"/>
      <w:lvlText w:val="•"/>
      <w:lvlJc w:val="left"/>
      <w:pPr>
        <w:ind w:left="8922" w:hanging="641"/>
      </w:pPr>
      <w:rPr>
        <w:rFonts w:hint="default"/>
      </w:rPr>
    </w:lvl>
    <w:lvl w:ilvl="8">
      <w:start w:val="0"/>
      <w:numFmt w:val="bullet"/>
      <w:lvlText w:val="•"/>
      <w:lvlJc w:val="left"/>
      <w:pPr>
        <w:ind w:left="10008" w:hanging="641"/>
      </w:pPr>
      <w:rPr>
        <w:rFonts w:hint="default"/>
      </w:rPr>
    </w:lvl>
  </w:abstractNum>
  <w:abstractNum w:abstractNumId="131">
    <w:multiLevelType w:val="hybridMultilevel"/>
    <w:lvl w:ilvl="0">
      <w:start w:val="0"/>
      <w:numFmt w:val="bullet"/>
      <w:lvlText w:val="-"/>
      <w:lvlJc w:val="left"/>
      <w:pPr>
        <w:ind w:left="1036" w:hanging="358"/>
      </w:pPr>
      <w:rPr>
        <w:rFonts w:hint="default" w:ascii="Times New Roman" w:hAnsi="Times New Roman" w:eastAsia="Times New Roman" w:cs="Times New Roman"/>
        <w:w w:val="99"/>
        <w:sz w:val="38"/>
        <w:szCs w:val="38"/>
      </w:rPr>
    </w:lvl>
    <w:lvl w:ilvl="1">
      <w:start w:val="0"/>
      <w:numFmt w:val="bullet"/>
      <w:lvlText w:val="-"/>
      <w:lvlJc w:val="left"/>
      <w:pPr>
        <w:ind w:left="1761" w:hanging="360"/>
      </w:pPr>
      <w:rPr>
        <w:rFonts w:hint="default" w:ascii="Times New Roman" w:hAnsi="Times New Roman" w:eastAsia="Times New Roman" w:cs="Times New Roman"/>
        <w:w w:val="99"/>
        <w:sz w:val="38"/>
        <w:szCs w:val="38"/>
      </w:rPr>
    </w:lvl>
    <w:lvl w:ilvl="2">
      <w:start w:val="0"/>
      <w:numFmt w:val="bullet"/>
      <w:lvlText w:val="•"/>
      <w:lvlJc w:val="left"/>
      <w:pPr>
        <w:ind w:left="2917" w:hanging="360"/>
      </w:pPr>
      <w:rPr>
        <w:rFonts w:hint="default"/>
      </w:rPr>
    </w:lvl>
    <w:lvl w:ilvl="3">
      <w:start w:val="0"/>
      <w:numFmt w:val="bullet"/>
      <w:lvlText w:val="•"/>
      <w:lvlJc w:val="left"/>
      <w:pPr>
        <w:ind w:left="4075" w:hanging="360"/>
      </w:pPr>
      <w:rPr>
        <w:rFonts w:hint="default"/>
      </w:rPr>
    </w:lvl>
    <w:lvl w:ilvl="4">
      <w:start w:val="0"/>
      <w:numFmt w:val="bullet"/>
      <w:lvlText w:val="•"/>
      <w:lvlJc w:val="left"/>
      <w:pPr>
        <w:ind w:left="5233" w:hanging="360"/>
      </w:pPr>
      <w:rPr>
        <w:rFonts w:hint="default"/>
      </w:rPr>
    </w:lvl>
    <w:lvl w:ilvl="5">
      <w:start w:val="0"/>
      <w:numFmt w:val="bullet"/>
      <w:lvlText w:val="•"/>
      <w:lvlJc w:val="left"/>
      <w:pPr>
        <w:ind w:left="6391" w:hanging="360"/>
      </w:pPr>
      <w:rPr>
        <w:rFonts w:hint="default"/>
      </w:rPr>
    </w:lvl>
    <w:lvl w:ilvl="6">
      <w:start w:val="0"/>
      <w:numFmt w:val="bullet"/>
      <w:lvlText w:val="•"/>
      <w:lvlJc w:val="left"/>
      <w:pPr>
        <w:ind w:left="7549" w:hanging="360"/>
      </w:pPr>
      <w:rPr>
        <w:rFonts w:hint="default"/>
      </w:rPr>
    </w:lvl>
    <w:lvl w:ilvl="7">
      <w:start w:val="0"/>
      <w:numFmt w:val="bullet"/>
      <w:lvlText w:val="•"/>
      <w:lvlJc w:val="left"/>
      <w:pPr>
        <w:ind w:left="8707" w:hanging="360"/>
      </w:pPr>
      <w:rPr>
        <w:rFonts w:hint="default"/>
      </w:rPr>
    </w:lvl>
    <w:lvl w:ilvl="8">
      <w:start w:val="0"/>
      <w:numFmt w:val="bullet"/>
      <w:lvlText w:val="•"/>
      <w:lvlJc w:val="left"/>
      <w:pPr>
        <w:ind w:left="9865" w:hanging="360"/>
      </w:pPr>
      <w:rPr>
        <w:rFonts w:hint="default"/>
      </w:rPr>
    </w:lvl>
  </w:abstractNum>
  <w:abstractNum w:abstractNumId="130">
    <w:multiLevelType w:val="hybridMultilevel"/>
    <w:lvl w:ilvl="0">
      <w:start w:val="0"/>
      <w:numFmt w:val="bullet"/>
      <w:lvlText w:val="-"/>
      <w:lvlJc w:val="left"/>
      <w:pPr>
        <w:ind w:left="1324" w:hanging="720"/>
      </w:pPr>
      <w:rPr>
        <w:rFonts w:hint="default" w:ascii="Times New Roman" w:hAnsi="Times New Roman" w:eastAsia="Times New Roman" w:cs="Times New Roman"/>
        <w:w w:val="99"/>
        <w:sz w:val="38"/>
        <w:szCs w:val="38"/>
      </w:rPr>
    </w:lvl>
    <w:lvl w:ilvl="1">
      <w:start w:val="0"/>
      <w:numFmt w:val="bullet"/>
      <w:lvlText w:val="-"/>
      <w:lvlJc w:val="left"/>
      <w:pPr>
        <w:ind w:left="1336" w:hanging="360"/>
      </w:pPr>
      <w:rPr>
        <w:rFonts w:hint="default" w:ascii="Times New Roman" w:hAnsi="Times New Roman" w:eastAsia="Times New Roman" w:cs="Times New Roman"/>
        <w:w w:val="99"/>
        <w:sz w:val="38"/>
        <w:szCs w:val="38"/>
      </w:rPr>
    </w:lvl>
    <w:lvl w:ilvl="2">
      <w:start w:val="0"/>
      <w:numFmt w:val="bullet"/>
      <w:lvlText w:val="•"/>
      <w:lvlJc w:val="left"/>
      <w:pPr>
        <w:ind w:left="2544" w:hanging="360"/>
      </w:pPr>
      <w:rPr>
        <w:rFonts w:hint="default"/>
      </w:rPr>
    </w:lvl>
    <w:lvl w:ilvl="3">
      <w:start w:val="0"/>
      <w:numFmt w:val="bullet"/>
      <w:lvlText w:val="•"/>
      <w:lvlJc w:val="left"/>
      <w:pPr>
        <w:ind w:left="3749" w:hanging="360"/>
      </w:pPr>
      <w:rPr>
        <w:rFonts w:hint="default"/>
      </w:rPr>
    </w:lvl>
    <w:lvl w:ilvl="4">
      <w:start w:val="0"/>
      <w:numFmt w:val="bullet"/>
      <w:lvlText w:val="•"/>
      <w:lvlJc w:val="left"/>
      <w:pPr>
        <w:ind w:left="4953" w:hanging="360"/>
      </w:pPr>
      <w:rPr>
        <w:rFonts w:hint="default"/>
      </w:rPr>
    </w:lvl>
    <w:lvl w:ilvl="5">
      <w:start w:val="0"/>
      <w:numFmt w:val="bullet"/>
      <w:lvlText w:val="•"/>
      <w:lvlJc w:val="left"/>
      <w:pPr>
        <w:ind w:left="6158" w:hanging="360"/>
      </w:pPr>
      <w:rPr>
        <w:rFonts w:hint="default"/>
      </w:rPr>
    </w:lvl>
    <w:lvl w:ilvl="6">
      <w:start w:val="0"/>
      <w:numFmt w:val="bullet"/>
      <w:lvlText w:val="•"/>
      <w:lvlJc w:val="left"/>
      <w:pPr>
        <w:ind w:left="7362" w:hanging="360"/>
      </w:pPr>
      <w:rPr>
        <w:rFonts w:hint="default"/>
      </w:rPr>
    </w:lvl>
    <w:lvl w:ilvl="7">
      <w:start w:val="0"/>
      <w:numFmt w:val="bullet"/>
      <w:lvlText w:val="•"/>
      <w:lvlJc w:val="left"/>
      <w:pPr>
        <w:ind w:left="8567" w:hanging="360"/>
      </w:pPr>
      <w:rPr>
        <w:rFonts w:hint="default"/>
      </w:rPr>
    </w:lvl>
    <w:lvl w:ilvl="8">
      <w:start w:val="0"/>
      <w:numFmt w:val="bullet"/>
      <w:lvlText w:val="•"/>
      <w:lvlJc w:val="left"/>
      <w:pPr>
        <w:ind w:left="9771" w:hanging="360"/>
      </w:pPr>
      <w:rPr>
        <w:rFonts w:hint="default"/>
      </w:rPr>
    </w:lvl>
  </w:abstractNum>
  <w:abstractNum w:abstractNumId="129">
    <w:multiLevelType w:val="hybridMultilevel"/>
    <w:lvl w:ilvl="0">
      <w:start w:val="1"/>
      <w:numFmt w:val="decimal"/>
      <w:lvlText w:val="%1."/>
      <w:lvlJc w:val="left"/>
      <w:pPr>
        <w:ind w:left="332" w:hanging="346"/>
        <w:jc w:val="left"/>
      </w:pPr>
      <w:rPr>
        <w:rFonts w:hint="default" w:ascii="Garamond" w:hAnsi="Garamond" w:eastAsia="Garamond" w:cs="Garamond"/>
        <w:i/>
        <w:w w:val="99"/>
        <w:sz w:val="38"/>
        <w:szCs w:val="38"/>
      </w:rPr>
    </w:lvl>
    <w:lvl w:ilvl="1">
      <w:start w:val="1"/>
      <w:numFmt w:val="upperRoman"/>
      <w:lvlText w:val="%2."/>
      <w:lvlJc w:val="left"/>
      <w:pPr>
        <w:ind w:left="616" w:hanging="346"/>
        <w:jc w:val="right"/>
      </w:pPr>
      <w:rPr>
        <w:rFonts w:hint="default" w:ascii="Garamond" w:hAnsi="Garamond" w:eastAsia="Garamond" w:cs="Garamond"/>
        <w:b/>
        <w:bCs/>
        <w:w w:val="99"/>
        <w:sz w:val="38"/>
        <w:szCs w:val="38"/>
      </w:rPr>
    </w:lvl>
    <w:lvl w:ilvl="2">
      <w:start w:val="0"/>
      <w:numFmt w:val="bullet"/>
      <w:lvlText w:val="•"/>
      <w:lvlJc w:val="left"/>
      <w:pPr>
        <w:ind w:left="1904" w:hanging="346"/>
      </w:pPr>
      <w:rPr>
        <w:rFonts w:hint="default"/>
      </w:rPr>
    </w:lvl>
    <w:lvl w:ilvl="3">
      <w:start w:val="0"/>
      <w:numFmt w:val="bullet"/>
      <w:lvlText w:val="•"/>
      <w:lvlJc w:val="left"/>
      <w:pPr>
        <w:ind w:left="3189" w:hanging="346"/>
      </w:pPr>
      <w:rPr>
        <w:rFonts w:hint="default"/>
      </w:rPr>
    </w:lvl>
    <w:lvl w:ilvl="4">
      <w:start w:val="0"/>
      <w:numFmt w:val="bullet"/>
      <w:lvlText w:val="•"/>
      <w:lvlJc w:val="left"/>
      <w:pPr>
        <w:ind w:left="4473" w:hanging="346"/>
      </w:pPr>
      <w:rPr>
        <w:rFonts w:hint="default"/>
      </w:rPr>
    </w:lvl>
    <w:lvl w:ilvl="5">
      <w:start w:val="0"/>
      <w:numFmt w:val="bullet"/>
      <w:lvlText w:val="•"/>
      <w:lvlJc w:val="left"/>
      <w:pPr>
        <w:ind w:left="5758" w:hanging="346"/>
      </w:pPr>
      <w:rPr>
        <w:rFonts w:hint="default"/>
      </w:rPr>
    </w:lvl>
    <w:lvl w:ilvl="6">
      <w:start w:val="0"/>
      <w:numFmt w:val="bullet"/>
      <w:lvlText w:val="•"/>
      <w:lvlJc w:val="left"/>
      <w:pPr>
        <w:ind w:left="7042" w:hanging="346"/>
      </w:pPr>
      <w:rPr>
        <w:rFonts w:hint="default"/>
      </w:rPr>
    </w:lvl>
    <w:lvl w:ilvl="7">
      <w:start w:val="0"/>
      <w:numFmt w:val="bullet"/>
      <w:lvlText w:val="•"/>
      <w:lvlJc w:val="left"/>
      <w:pPr>
        <w:ind w:left="8327" w:hanging="346"/>
      </w:pPr>
      <w:rPr>
        <w:rFonts w:hint="default"/>
      </w:rPr>
    </w:lvl>
    <w:lvl w:ilvl="8">
      <w:start w:val="0"/>
      <w:numFmt w:val="bullet"/>
      <w:lvlText w:val="•"/>
      <w:lvlJc w:val="left"/>
      <w:pPr>
        <w:ind w:left="9611" w:hanging="346"/>
      </w:pPr>
      <w:rPr>
        <w:rFonts w:hint="default"/>
      </w:rPr>
    </w:lvl>
  </w:abstractNum>
  <w:abstractNum w:abstractNumId="128">
    <w:multiLevelType w:val="hybridMultilevel"/>
    <w:lvl w:ilvl="0">
      <w:start w:val="0"/>
      <w:numFmt w:val="bullet"/>
      <w:lvlText w:val=""/>
      <w:lvlJc w:val="left"/>
      <w:pPr>
        <w:ind w:left="474" w:hanging="272"/>
      </w:pPr>
      <w:rPr>
        <w:rFonts w:hint="default" w:ascii="Symbol" w:hAnsi="Symbol" w:eastAsia="Symbol" w:cs="Symbol"/>
        <w:w w:val="99"/>
        <w:sz w:val="38"/>
        <w:szCs w:val="38"/>
      </w:rPr>
    </w:lvl>
    <w:lvl w:ilvl="1">
      <w:start w:val="0"/>
      <w:numFmt w:val="bullet"/>
      <w:lvlText w:val="•"/>
      <w:lvlJc w:val="left"/>
      <w:pPr>
        <w:ind w:left="1650" w:hanging="272"/>
      </w:pPr>
      <w:rPr>
        <w:rFonts w:hint="default"/>
      </w:rPr>
    </w:lvl>
    <w:lvl w:ilvl="2">
      <w:start w:val="0"/>
      <w:numFmt w:val="bullet"/>
      <w:lvlText w:val="•"/>
      <w:lvlJc w:val="left"/>
      <w:pPr>
        <w:ind w:left="2820" w:hanging="272"/>
      </w:pPr>
      <w:rPr>
        <w:rFonts w:hint="default"/>
      </w:rPr>
    </w:lvl>
    <w:lvl w:ilvl="3">
      <w:start w:val="0"/>
      <w:numFmt w:val="bullet"/>
      <w:lvlText w:val="•"/>
      <w:lvlJc w:val="left"/>
      <w:pPr>
        <w:ind w:left="3990" w:hanging="272"/>
      </w:pPr>
      <w:rPr>
        <w:rFonts w:hint="default"/>
      </w:rPr>
    </w:lvl>
    <w:lvl w:ilvl="4">
      <w:start w:val="0"/>
      <w:numFmt w:val="bullet"/>
      <w:lvlText w:val="•"/>
      <w:lvlJc w:val="left"/>
      <w:pPr>
        <w:ind w:left="5160" w:hanging="272"/>
      </w:pPr>
      <w:rPr>
        <w:rFonts w:hint="default"/>
      </w:rPr>
    </w:lvl>
    <w:lvl w:ilvl="5">
      <w:start w:val="0"/>
      <w:numFmt w:val="bullet"/>
      <w:lvlText w:val="•"/>
      <w:lvlJc w:val="left"/>
      <w:pPr>
        <w:ind w:left="6330" w:hanging="272"/>
      </w:pPr>
      <w:rPr>
        <w:rFonts w:hint="default"/>
      </w:rPr>
    </w:lvl>
    <w:lvl w:ilvl="6">
      <w:start w:val="0"/>
      <w:numFmt w:val="bullet"/>
      <w:lvlText w:val="•"/>
      <w:lvlJc w:val="left"/>
      <w:pPr>
        <w:ind w:left="7500" w:hanging="272"/>
      </w:pPr>
      <w:rPr>
        <w:rFonts w:hint="default"/>
      </w:rPr>
    </w:lvl>
    <w:lvl w:ilvl="7">
      <w:start w:val="0"/>
      <w:numFmt w:val="bullet"/>
      <w:lvlText w:val="•"/>
      <w:lvlJc w:val="left"/>
      <w:pPr>
        <w:ind w:left="8670" w:hanging="272"/>
      </w:pPr>
      <w:rPr>
        <w:rFonts w:hint="default"/>
      </w:rPr>
    </w:lvl>
    <w:lvl w:ilvl="8">
      <w:start w:val="0"/>
      <w:numFmt w:val="bullet"/>
      <w:lvlText w:val="•"/>
      <w:lvlJc w:val="left"/>
      <w:pPr>
        <w:ind w:left="9840" w:hanging="272"/>
      </w:pPr>
      <w:rPr>
        <w:rFonts w:hint="default"/>
      </w:rPr>
    </w:lvl>
  </w:abstractNum>
  <w:abstractNum w:abstractNumId="127">
    <w:multiLevelType w:val="hybridMultilevel"/>
    <w:lvl w:ilvl="0">
      <w:start w:val="0"/>
      <w:numFmt w:val="bullet"/>
      <w:lvlText w:val="-"/>
      <w:lvlJc w:val="left"/>
      <w:pPr>
        <w:ind w:left="1182" w:hanging="644"/>
      </w:pPr>
      <w:rPr>
        <w:rFonts w:hint="default" w:ascii="Times New Roman" w:hAnsi="Times New Roman" w:eastAsia="Times New Roman" w:cs="Times New Roman"/>
        <w:w w:val="99"/>
        <w:sz w:val="38"/>
        <w:szCs w:val="38"/>
      </w:rPr>
    </w:lvl>
    <w:lvl w:ilvl="1">
      <w:start w:val="0"/>
      <w:numFmt w:val="bullet"/>
      <w:lvlText w:val="-"/>
      <w:lvlJc w:val="left"/>
      <w:pPr>
        <w:ind w:left="1694" w:hanging="360"/>
      </w:pPr>
      <w:rPr>
        <w:rFonts w:hint="default" w:ascii="Times New Roman" w:hAnsi="Times New Roman" w:eastAsia="Times New Roman" w:cs="Times New Roman"/>
        <w:w w:val="99"/>
        <w:sz w:val="38"/>
        <w:szCs w:val="38"/>
      </w:rPr>
    </w:lvl>
    <w:lvl w:ilvl="2">
      <w:start w:val="0"/>
      <w:numFmt w:val="bullet"/>
      <w:lvlText w:val="•"/>
      <w:lvlJc w:val="left"/>
      <w:pPr>
        <w:ind w:left="1700" w:hanging="360"/>
      </w:pPr>
      <w:rPr>
        <w:rFonts w:hint="default"/>
      </w:rPr>
    </w:lvl>
    <w:lvl w:ilvl="3">
      <w:start w:val="0"/>
      <w:numFmt w:val="bullet"/>
      <w:lvlText w:val="•"/>
      <w:lvlJc w:val="left"/>
      <w:pPr>
        <w:ind w:left="3010" w:hanging="360"/>
      </w:pPr>
      <w:rPr>
        <w:rFonts w:hint="default"/>
      </w:rPr>
    </w:lvl>
    <w:lvl w:ilvl="4">
      <w:start w:val="0"/>
      <w:numFmt w:val="bullet"/>
      <w:lvlText w:val="•"/>
      <w:lvlJc w:val="left"/>
      <w:pPr>
        <w:ind w:left="4320" w:hanging="360"/>
      </w:pPr>
      <w:rPr>
        <w:rFonts w:hint="default"/>
      </w:rPr>
    </w:lvl>
    <w:lvl w:ilvl="5">
      <w:start w:val="0"/>
      <w:numFmt w:val="bullet"/>
      <w:lvlText w:val="•"/>
      <w:lvlJc w:val="left"/>
      <w:pPr>
        <w:ind w:left="5630" w:hanging="360"/>
      </w:pPr>
      <w:rPr>
        <w:rFonts w:hint="default"/>
      </w:rPr>
    </w:lvl>
    <w:lvl w:ilvl="6">
      <w:start w:val="0"/>
      <w:numFmt w:val="bullet"/>
      <w:lvlText w:val="•"/>
      <w:lvlJc w:val="left"/>
      <w:pPr>
        <w:ind w:left="6940" w:hanging="360"/>
      </w:pPr>
      <w:rPr>
        <w:rFonts w:hint="default"/>
      </w:rPr>
    </w:lvl>
    <w:lvl w:ilvl="7">
      <w:start w:val="0"/>
      <w:numFmt w:val="bullet"/>
      <w:lvlText w:val="•"/>
      <w:lvlJc w:val="left"/>
      <w:pPr>
        <w:ind w:left="8250" w:hanging="360"/>
      </w:pPr>
      <w:rPr>
        <w:rFonts w:hint="default"/>
      </w:rPr>
    </w:lvl>
    <w:lvl w:ilvl="8">
      <w:start w:val="0"/>
      <w:numFmt w:val="bullet"/>
      <w:lvlText w:val="•"/>
      <w:lvlJc w:val="left"/>
      <w:pPr>
        <w:ind w:left="9560" w:hanging="360"/>
      </w:pPr>
      <w:rPr>
        <w:rFonts w:hint="default"/>
      </w:rPr>
    </w:lvl>
  </w:abstractNum>
  <w:abstractNum w:abstractNumId="126">
    <w:multiLevelType w:val="hybridMultilevel"/>
    <w:lvl w:ilvl="0">
      <w:start w:val="0"/>
      <w:numFmt w:val="bullet"/>
      <w:lvlText w:val="-"/>
      <w:lvlJc w:val="left"/>
      <w:pPr>
        <w:ind w:left="1761" w:hanging="360"/>
      </w:pPr>
      <w:rPr>
        <w:rFonts w:hint="default" w:ascii="Times New Roman" w:hAnsi="Times New Roman" w:eastAsia="Times New Roman" w:cs="Times New Roman"/>
        <w:w w:val="99"/>
        <w:sz w:val="38"/>
        <w:szCs w:val="38"/>
      </w:rPr>
    </w:lvl>
    <w:lvl w:ilvl="1">
      <w:start w:val="0"/>
      <w:numFmt w:val="bullet"/>
      <w:lvlText w:val="•"/>
      <w:lvlJc w:val="left"/>
      <w:pPr>
        <w:ind w:left="2802" w:hanging="360"/>
      </w:pPr>
      <w:rPr>
        <w:rFonts w:hint="default"/>
      </w:rPr>
    </w:lvl>
    <w:lvl w:ilvl="2">
      <w:start w:val="0"/>
      <w:numFmt w:val="bullet"/>
      <w:lvlText w:val="•"/>
      <w:lvlJc w:val="left"/>
      <w:pPr>
        <w:ind w:left="3844" w:hanging="360"/>
      </w:pPr>
      <w:rPr>
        <w:rFonts w:hint="default"/>
      </w:rPr>
    </w:lvl>
    <w:lvl w:ilvl="3">
      <w:start w:val="0"/>
      <w:numFmt w:val="bullet"/>
      <w:lvlText w:val="•"/>
      <w:lvlJc w:val="left"/>
      <w:pPr>
        <w:ind w:left="4886" w:hanging="360"/>
      </w:pPr>
      <w:rPr>
        <w:rFonts w:hint="default"/>
      </w:rPr>
    </w:lvl>
    <w:lvl w:ilvl="4">
      <w:start w:val="0"/>
      <w:numFmt w:val="bullet"/>
      <w:lvlText w:val="•"/>
      <w:lvlJc w:val="left"/>
      <w:pPr>
        <w:ind w:left="5928" w:hanging="360"/>
      </w:pPr>
      <w:rPr>
        <w:rFonts w:hint="default"/>
      </w:rPr>
    </w:lvl>
    <w:lvl w:ilvl="5">
      <w:start w:val="0"/>
      <w:numFmt w:val="bullet"/>
      <w:lvlText w:val="•"/>
      <w:lvlJc w:val="left"/>
      <w:pPr>
        <w:ind w:left="6970" w:hanging="360"/>
      </w:pPr>
      <w:rPr>
        <w:rFonts w:hint="default"/>
      </w:rPr>
    </w:lvl>
    <w:lvl w:ilvl="6">
      <w:start w:val="0"/>
      <w:numFmt w:val="bullet"/>
      <w:lvlText w:val="•"/>
      <w:lvlJc w:val="left"/>
      <w:pPr>
        <w:ind w:left="8012" w:hanging="360"/>
      </w:pPr>
      <w:rPr>
        <w:rFonts w:hint="default"/>
      </w:rPr>
    </w:lvl>
    <w:lvl w:ilvl="7">
      <w:start w:val="0"/>
      <w:numFmt w:val="bullet"/>
      <w:lvlText w:val="•"/>
      <w:lvlJc w:val="left"/>
      <w:pPr>
        <w:ind w:left="9054" w:hanging="360"/>
      </w:pPr>
      <w:rPr>
        <w:rFonts w:hint="default"/>
      </w:rPr>
    </w:lvl>
    <w:lvl w:ilvl="8">
      <w:start w:val="0"/>
      <w:numFmt w:val="bullet"/>
      <w:lvlText w:val="•"/>
      <w:lvlJc w:val="left"/>
      <w:pPr>
        <w:ind w:left="10096" w:hanging="360"/>
      </w:pPr>
      <w:rPr>
        <w:rFonts w:hint="default"/>
      </w:rPr>
    </w:lvl>
  </w:abstractNum>
  <w:abstractNum w:abstractNumId="125">
    <w:multiLevelType w:val="hybridMultilevel"/>
    <w:lvl w:ilvl="0">
      <w:start w:val="0"/>
      <w:numFmt w:val="bullet"/>
      <w:lvlText w:val="-"/>
      <w:lvlJc w:val="left"/>
      <w:pPr>
        <w:ind w:left="1329" w:hanging="548"/>
      </w:pPr>
      <w:rPr>
        <w:rFonts w:hint="default" w:ascii="Times New Roman" w:hAnsi="Times New Roman" w:eastAsia="Times New Roman" w:cs="Times New Roman"/>
        <w:w w:val="99"/>
        <w:sz w:val="38"/>
        <w:szCs w:val="38"/>
      </w:rPr>
    </w:lvl>
    <w:lvl w:ilvl="1">
      <w:start w:val="0"/>
      <w:numFmt w:val="bullet"/>
      <w:lvlText w:val="•"/>
      <w:lvlJc w:val="left"/>
      <w:pPr>
        <w:ind w:left="2406" w:hanging="548"/>
      </w:pPr>
      <w:rPr>
        <w:rFonts w:hint="default"/>
      </w:rPr>
    </w:lvl>
    <w:lvl w:ilvl="2">
      <w:start w:val="0"/>
      <w:numFmt w:val="bullet"/>
      <w:lvlText w:val="•"/>
      <w:lvlJc w:val="left"/>
      <w:pPr>
        <w:ind w:left="3492" w:hanging="548"/>
      </w:pPr>
      <w:rPr>
        <w:rFonts w:hint="default"/>
      </w:rPr>
    </w:lvl>
    <w:lvl w:ilvl="3">
      <w:start w:val="0"/>
      <w:numFmt w:val="bullet"/>
      <w:lvlText w:val="•"/>
      <w:lvlJc w:val="left"/>
      <w:pPr>
        <w:ind w:left="4578" w:hanging="548"/>
      </w:pPr>
      <w:rPr>
        <w:rFonts w:hint="default"/>
      </w:rPr>
    </w:lvl>
    <w:lvl w:ilvl="4">
      <w:start w:val="0"/>
      <w:numFmt w:val="bullet"/>
      <w:lvlText w:val="•"/>
      <w:lvlJc w:val="left"/>
      <w:pPr>
        <w:ind w:left="5664" w:hanging="548"/>
      </w:pPr>
      <w:rPr>
        <w:rFonts w:hint="default"/>
      </w:rPr>
    </w:lvl>
    <w:lvl w:ilvl="5">
      <w:start w:val="0"/>
      <w:numFmt w:val="bullet"/>
      <w:lvlText w:val="•"/>
      <w:lvlJc w:val="left"/>
      <w:pPr>
        <w:ind w:left="6750" w:hanging="548"/>
      </w:pPr>
      <w:rPr>
        <w:rFonts w:hint="default"/>
      </w:rPr>
    </w:lvl>
    <w:lvl w:ilvl="6">
      <w:start w:val="0"/>
      <w:numFmt w:val="bullet"/>
      <w:lvlText w:val="•"/>
      <w:lvlJc w:val="left"/>
      <w:pPr>
        <w:ind w:left="7836" w:hanging="548"/>
      </w:pPr>
      <w:rPr>
        <w:rFonts w:hint="default"/>
      </w:rPr>
    </w:lvl>
    <w:lvl w:ilvl="7">
      <w:start w:val="0"/>
      <w:numFmt w:val="bullet"/>
      <w:lvlText w:val="•"/>
      <w:lvlJc w:val="left"/>
      <w:pPr>
        <w:ind w:left="8922" w:hanging="548"/>
      </w:pPr>
      <w:rPr>
        <w:rFonts w:hint="default"/>
      </w:rPr>
    </w:lvl>
    <w:lvl w:ilvl="8">
      <w:start w:val="0"/>
      <w:numFmt w:val="bullet"/>
      <w:lvlText w:val="•"/>
      <w:lvlJc w:val="left"/>
      <w:pPr>
        <w:ind w:left="10008" w:hanging="548"/>
      </w:pPr>
      <w:rPr>
        <w:rFonts w:hint="default"/>
      </w:rPr>
    </w:lvl>
  </w:abstractNum>
  <w:abstractNum w:abstractNumId="124">
    <w:multiLevelType w:val="hybridMultilevel"/>
    <w:lvl w:ilvl="0">
      <w:start w:val="0"/>
      <w:numFmt w:val="bullet"/>
      <w:lvlText w:val="-"/>
      <w:lvlJc w:val="left"/>
      <w:pPr>
        <w:ind w:left="1329" w:hanging="356"/>
      </w:pPr>
      <w:rPr>
        <w:rFonts w:hint="default" w:ascii="Times New Roman" w:hAnsi="Times New Roman" w:eastAsia="Times New Roman" w:cs="Times New Roman"/>
        <w:w w:val="99"/>
        <w:sz w:val="38"/>
        <w:szCs w:val="38"/>
      </w:rPr>
    </w:lvl>
    <w:lvl w:ilvl="1">
      <w:start w:val="0"/>
      <w:numFmt w:val="bullet"/>
      <w:lvlText w:val="•"/>
      <w:lvlJc w:val="left"/>
      <w:pPr>
        <w:ind w:left="2406" w:hanging="356"/>
      </w:pPr>
      <w:rPr>
        <w:rFonts w:hint="default"/>
      </w:rPr>
    </w:lvl>
    <w:lvl w:ilvl="2">
      <w:start w:val="0"/>
      <w:numFmt w:val="bullet"/>
      <w:lvlText w:val="•"/>
      <w:lvlJc w:val="left"/>
      <w:pPr>
        <w:ind w:left="3492" w:hanging="356"/>
      </w:pPr>
      <w:rPr>
        <w:rFonts w:hint="default"/>
      </w:rPr>
    </w:lvl>
    <w:lvl w:ilvl="3">
      <w:start w:val="0"/>
      <w:numFmt w:val="bullet"/>
      <w:lvlText w:val="•"/>
      <w:lvlJc w:val="left"/>
      <w:pPr>
        <w:ind w:left="4578" w:hanging="356"/>
      </w:pPr>
      <w:rPr>
        <w:rFonts w:hint="default"/>
      </w:rPr>
    </w:lvl>
    <w:lvl w:ilvl="4">
      <w:start w:val="0"/>
      <w:numFmt w:val="bullet"/>
      <w:lvlText w:val="•"/>
      <w:lvlJc w:val="left"/>
      <w:pPr>
        <w:ind w:left="5664" w:hanging="356"/>
      </w:pPr>
      <w:rPr>
        <w:rFonts w:hint="default"/>
      </w:rPr>
    </w:lvl>
    <w:lvl w:ilvl="5">
      <w:start w:val="0"/>
      <w:numFmt w:val="bullet"/>
      <w:lvlText w:val="•"/>
      <w:lvlJc w:val="left"/>
      <w:pPr>
        <w:ind w:left="6750" w:hanging="356"/>
      </w:pPr>
      <w:rPr>
        <w:rFonts w:hint="default"/>
      </w:rPr>
    </w:lvl>
    <w:lvl w:ilvl="6">
      <w:start w:val="0"/>
      <w:numFmt w:val="bullet"/>
      <w:lvlText w:val="•"/>
      <w:lvlJc w:val="left"/>
      <w:pPr>
        <w:ind w:left="7836" w:hanging="356"/>
      </w:pPr>
      <w:rPr>
        <w:rFonts w:hint="default"/>
      </w:rPr>
    </w:lvl>
    <w:lvl w:ilvl="7">
      <w:start w:val="0"/>
      <w:numFmt w:val="bullet"/>
      <w:lvlText w:val="•"/>
      <w:lvlJc w:val="left"/>
      <w:pPr>
        <w:ind w:left="8922" w:hanging="356"/>
      </w:pPr>
      <w:rPr>
        <w:rFonts w:hint="default"/>
      </w:rPr>
    </w:lvl>
    <w:lvl w:ilvl="8">
      <w:start w:val="0"/>
      <w:numFmt w:val="bullet"/>
      <w:lvlText w:val="•"/>
      <w:lvlJc w:val="left"/>
      <w:pPr>
        <w:ind w:left="10008" w:hanging="356"/>
      </w:pPr>
      <w:rPr>
        <w:rFonts w:hint="default"/>
      </w:rPr>
    </w:lvl>
  </w:abstractNum>
  <w:abstractNum w:abstractNumId="122">
    <w:multiLevelType w:val="hybridMultilevel"/>
    <w:lvl w:ilvl="0">
      <w:start w:val="0"/>
      <w:numFmt w:val="bullet"/>
      <w:lvlText w:val="-"/>
      <w:lvlJc w:val="left"/>
      <w:pPr>
        <w:ind w:left="1329" w:hanging="356"/>
      </w:pPr>
      <w:rPr>
        <w:rFonts w:hint="default" w:ascii="Times New Roman" w:hAnsi="Times New Roman" w:eastAsia="Times New Roman" w:cs="Times New Roman"/>
        <w:w w:val="99"/>
        <w:sz w:val="38"/>
        <w:szCs w:val="38"/>
      </w:rPr>
    </w:lvl>
    <w:lvl w:ilvl="1">
      <w:start w:val="0"/>
      <w:numFmt w:val="bullet"/>
      <w:lvlText w:val="•"/>
      <w:lvlJc w:val="left"/>
      <w:pPr>
        <w:ind w:left="2406" w:hanging="356"/>
      </w:pPr>
      <w:rPr>
        <w:rFonts w:hint="default"/>
      </w:rPr>
    </w:lvl>
    <w:lvl w:ilvl="2">
      <w:start w:val="0"/>
      <w:numFmt w:val="bullet"/>
      <w:lvlText w:val="•"/>
      <w:lvlJc w:val="left"/>
      <w:pPr>
        <w:ind w:left="3492" w:hanging="356"/>
      </w:pPr>
      <w:rPr>
        <w:rFonts w:hint="default"/>
      </w:rPr>
    </w:lvl>
    <w:lvl w:ilvl="3">
      <w:start w:val="0"/>
      <w:numFmt w:val="bullet"/>
      <w:lvlText w:val="•"/>
      <w:lvlJc w:val="left"/>
      <w:pPr>
        <w:ind w:left="4578" w:hanging="356"/>
      </w:pPr>
      <w:rPr>
        <w:rFonts w:hint="default"/>
      </w:rPr>
    </w:lvl>
    <w:lvl w:ilvl="4">
      <w:start w:val="0"/>
      <w:numFmt w:val="bullet"/>
      <w:lvlText w:val="•"/>
      <w:lvlJc w:val="left"/>
      <w:pPr>
        <w:ind w:left="5664" w:hanging="356"/>
      </w:pPr>
      <w:rPr>
        <w:rFonts w:hint="default"/>
      </w:rPr>
    </w:lvl>
    <w:lvl w:ilvl="5">
      <w:start w:val="0"/>
      <w:numFmt w:val="bullet"/>
      <w:lvlText w:val="•"/>
      <w:lvlJc w:val="left"/>
      <w:pPr>
        <w:ind w:left="6750" w:hanging="356"/>
      </w:pPr>
      <w:rPr>
        <w:rFonts w:hint="default"/>
      </w:rPr>
    </w:lvl>
    <w:lvl w:ilvl="6">
      <w:start w:val="0"/>
      <w:numFmt w:val="bullet"/>
      <w:lvlText w:val="•"/>
      <w:lvlJc w:val="left"/>
      <w:pPr>
        <w:ind w:left="7836" w:hanging="356"/>
      </w:pPr>
      <w:rPr>
        <w:rFonts w:hint="default"/>
      </w:rPr>
    </w:lvl>
    <w:lvl w:ilvl="7">
      <w:start w:val="0"/>
      <w:numFmt w:val="bullet"/>
      <w:lvlText w:val="•"/>
      <w:lvlJc w:val="left"/>
      <w:pPr>
        <w:ind w:left="8922" w:hanging="356"/>
      </w:pPr>
      <w:rPr>
        <w:rFonts w:hint="default"/>
      </w:rPr>
    </w:lvl>
    <w:lvl w:ilvl="8">
      <w:start w:val="0"/>
      <w:numFmt w:val="bullet"/>
      <w:lvlText w:val="•"/>
      <w:lvlJc w:val="left"/>
      <w:pPr>
        <w:ind w:left="10008" w:hanging="356"/>
      </w:pPr>
      <w:rPr>
        <w:rFonts w:hint="default"/>
      </w:rPr>
    </w:lvl>
  </w:abstractNum>
  <w:abstractNum w:abstractNumId="121">
    <w:multiLevelType w:val="hybridMultilevel"/>
    <w:lvl w:ilvl="0">
      <w:start w:val="1"/>
      <w:numFmt w:val="lowerRoman"/>
      <w:lvlText w:val="%1"/>
      <w:lvlJc w:val="left"/>
      <w:pPr>
        <w:ind w:left="616" w:hanging="499"/>
        <w:jc w:val="left"/>
      </w:pPr>
      <w:rPr>
        <w:rFonts w:hint="default"/>
      </w:rPr>
    </w:lvl>
    <w:lvl w:ilvl="1">
      <w:start w:val="5"/>
      <w:numFmt w:val="lowerLetter"/>
      <w:lvlText w:val="%1.%2."/>
      <w:lvlJc w:val="left"/>
      <w:pPr>
        <w:ind w:left="616" w:hanging="499"/>
        <w:jc w:val="left"/>
      </w:pPr>
      <w:rPr>
        <w:rFonts w:hint="default" w:ascii="Garamond" w:hAnsi="Garamond" w:eastAsia="Garamond" w:cs="Garamond"/>
        <w:w w:val="99"/>
        <w:sz w:val="38"/>
        <w:szCs w:val="38"/>
      </w:rPr>
    </w:lvl>
    <w:lvl w:ilvl="2">
      <w:start w:val="0"/>
      <w:numFmt w:val="bullet"/>
      <w:lvlText w:val=""/>
      <w:lvlJc w:val="left"/>
      <w:pPr>
        <w:ind w:left="1329" w:hanging="356"/>
      </w:pPr>
      <w:rPr>
        <w:rFonts w:hint="default" w:ascii="Symbol" w:hAnsi="Symbol" w:eastAsia="Symbol" w:cs="Symbol"/>
        <w:w w:val="99"/>
        <w:sz w:val="20"/>
        <w:szCs w:val="20"/>
      </w:rPr>
    </w:lvl>
    <w:lvl w:ilvl="3">
      <w:start w:val="0"/>
      <w:numFmt w:val="bullet"/>
      <w:lvlText w:val="•"/>
      <w:lvlJc w:val="left"/>
      <w:pPr>
        <w:ind w:left="3733" w:hanging="356"/>
      </w:pPr>
      <w:rPr>
        <w:rFonts w:hint="default"/>
      </w:rPr>
    </w:lvl>
    <w:lvl w:ilvl="4">
      <w:start w:val="0"/>
      <w:numFmt w:val="bullet"/>
      <w:lvlText w:val="•"/>
      <w:lvlJc w:val="left"/>
      <w:pPr>
        <w:ind w:left="4940" w:hanging="356"/>
      </w:pPr>
      <w:rPr>
        <w:rFonts w:hint="default"/>
      </w:rPr>
    </w:lvl>
    <w:lvl w:ilvl="5">
      <w:start w:val="0"/>
      <w:numFmt w:val="bullet"/>
      <w:lvlText w:val="•"/>
      <w:lvlJc w:val="left"/>
      <w:pPr>
        <w:ind w:left="6147" w:hanging="356"/>
      </w:pPr>
      <w:rPr>
        <w:rFonts w:hint="default"/>
      </w:rPr>
    </w:lvl>
    <w:lvl w:ilvl="6">
      <w:start w:val="0"/>
      <w:numFmt w:val="bullet"/>
      <w:lvlText w:val="•"/>
      <w:lvlJc w:val="left"/>
      <w:pPr>
        <w:ind w:left="7353" w:hanging="356"/>
      </w:pPr>
      <w:rPr>
        <w:rFonts w:hint="default"/>
      </w:rPr>
    </w:lvl>
    <w:lvl w:ilvl="7">
      <w:start w:val="0"/>
      <w:numFmt w:val="bullet"/>
      <w:lvlText w:val="•"/>
      <w:lvlJc w:val="left"/>
      <w:pPr>
        <w:ind w:left="8560" w:hanging="356"/>
      </w:pPr>
      <w:rPr>
        <w:rFonts w:hint="default"/>
      </w:rPr>
    </w:lvl>
    <w:lvl w:ilvl="8">
      <w:start w:val="0"/>
      <w:numFmt w:val="bullet"/>
      <w:lvlText w:val="•"/>
      <w:lvlJc w:val="left"/>
      <w:pPr>
        <w:ind w:left="9767" w:hanging="356"/>
      </w:pPr>
      <w:rPr>
        <w:rFonts w:hint="default"/>
      </w:rPr>
    </w:lvl>
  </w:abstractNum>
  <w:abstractNum w:abstractNumId="120">
    <w:multiLevelType w:val="hybridMultilevel"/>
    <w:lvl w:ilvl="0">
      <w:start w:val="0"/>
      <w:numFmt w:val="bullet"/>
      <w:lvlText w:val="-"/>
      <w:lvlJc w:val="left"/>
      <w:pPr>
        <w:ind w:left="1046" w:hanging="320"/>
      </w:pPr>
      <w:rPr>
        <w:rFonts w:hint="default" w:ascii="Times New Roman" w:hAnsi="Times New Roman" w:eastAsia="Times New Roman" w:cs="Times New Roman"/>
        <w:w w:val="99"/>
        <w:sz w:val="38"/>
        <w:szCs w:val="38"/>
      </w:rPr>
    </w:lvl>
    <w:lvl w:ilvl="1">
      <w:start w:val="0"/>
      <w:numFmt w:val="bullet"/>
      <w:lvlText w:val="•"/>
      <w:lvlJc w:val="left"/>
      <w:pPr>
        <w:ind w:left="2154" w:hanging="320"/>
      </w:pPr>
      <w:rPr>
        <w:rFonts w:hint="default"/>
      </w:rPr>
    </w:lvl>
    <w:lvl w:ilvl="2">
      <w:start w:val="0"/>
      <w:numFmt w:val="bullet"/>
      <w:lvlText w:val="•"/>
      <w:lvlJc w:val="left"/>
      <w:pPr>
        <w:ind w:left="3268" w:hanging="320"/>
      </w:pPr>
      <w:rPr>
        <w:rFonts w:hint="default"/>
      </w:rPr>
    </w:lvl>
    <w:lvl w:ilvl="3">
      <w:start w:val="0"/>
      <w:numFmt w:val="bullet"/>
      <w:lvlText w:val="•"/>
      <w:lvlJc w:val="left"/>
      <w:pPr>
        <w:ind w:left="4382" w:hanging="320"/>
      </w:pPr>
      <w:rPr>
        <w:rFonts w:hint="default"/>
      </w:rPr>
    </w:lvl>
    <w:lvl w:ilvl="4">
      <w:start w:val="0"/>
      <w:numFmt w:val="bullet"/>
      <w:lvlText w:val="•"/>
      <w:lvlJc w:val="left"/>
      <w:pPr>
        <w:ind w:left="5496" w:hanging="320"/>
      </w:pPr>
      <w:rPr>
        <w:rFonts w:hint="default"/>
      </w:rPr>
    </w:lvl>
    <w:lvl w:ilvl="5">
      <w:start w:val="0"/>
      <w:numFmt w:val="bullet"/>
      <w:lvlText w:val="•"/>
      <w:lvlJc w:val="left"/>
      <w:pPr>
        <w:ind w:left="6610" w:hanging="320"/>
      </w:pPr>
      <w:rPr>
        <w:rFonts w:hint="default"/>
      </w:rPr>
    </w:lvl>
    <w:lvl w:ilvl="6">
      <w:start w:val="0"/>
      <w:numFmt w:val="bullet"/>
      <w:lvlText w:val="•"/>
      <w:lvlJc w:val="left"/>
      <w:pPr>
        <w:ind w:left="7724" w:hanging="320"/>
      </w:pPr>
      <w:rPr>
        <w:rFonts w:hint="default"/>
      </w:rPr>
    </w:lvl>
    <w:lvl w:ilvl="7">
      <w:start w:val="0"/>
      <w:numFmt w:val="bullet"/>
      <w:lvlText w:val="•"/>
      <w:lvlJc w:val="left"/>
      <w:pPr>
        <w:ind w:left="8838" w:hanging="320"/>
      </w:pPr>
      <w:rPr>
        <w:rFonts w:hint="default"/>
      </w:rPr>
    </w:lvl>
    <w:lvl w:ilvl="8">
      <w:start w:val="0"/>
      <w:numFmt w:val="bullet"/>
      <w:lvlText w:val="•"/>
      <w:lvlJc w:val="left"/>
      <w:pPr>
        <w:ind w:left="9952" w:hanging="320"/>
      </w:pPr>
      <w:rPr>
        <w:rFonts w:hint="default"/>
      </w:rPr>
    </w:lvl>
  </w:abstractNum>
  <w:abstractNum w:abstractNumId="119">
    <w:multiLevelType w:val="hybridMultilevel"/>
    <w:lvl w:ilvl="0">
      <w:start w:val="0"/>
      <w:numFmt w:val="bullet"/>
      <w:lvlText w:val="-"/>
      <w:lvlJc w:val="left"/>
      <w:pPr>
        <w:ind w:left="899" w:hanging="416"/>
      </w:pPr>
      <w:rPr>
        <w:rFonts w:hint="default" w:ascii="Times New Roman" w:hAnsi="Times New Roman" w:eastAsia="Times New Roman" w:cs="Times New Roman"/>
        <w:w w:val="99"/>
        <w:sz w:val="38"/>
        <w:szCs w:val="38"/>
      </w:rPr>
    </w:lvl>
    <w:lvl w:ilvl="1">
      <w:start w:val="0"/>
      <w:numFmt w:val="bullet"/>
      <w:lvlText w:val="-"/>
      <w:lvlJc w:val="left"/>
      <w:pPr>
        <w:ind w:left="1182" w:hanging="238"/>
      </w:pPr>
      <w:rPr>
        <w:rFonts w:hint="default" w:ascii="Times New Roman" w:hAnsi="Times New Roman" w:eastAsia="Times New Roman" w:cs="Times New Roman"/>
        <w:w w:val="99"/>
        <w:sz w:val="38"/>
        <w:szCs w:val="38"/>
      </w:rPr>
    </w:lvl>
    <w:lvl w:ilvl="2">
      <w:start w:val="0"/>
      <w:numFmt w:val="bullet"/>
      <w:lvlText w:val="•"/>
      <w:lvlJc w:val="left"/>
      <w:pPr>
        <w:ind w:left="1340" w:hanging="238"/>
      </w:pPr>
      <w:rPr>
        <w:rFonts w:hint="default"/>
      </w:rPr>
    </w:lvl>
    <w:lvl w:ilvl="3">
      <w:start w:val="0"/>
      <w:numFmt w:val="bullet"/>
      <w:lvlText w:val="•"/>
      <w:lvlJc w:val="left"/>
      <w:pPr>
        <w:ind w:left="1480" w:hanging="238"/>
      </w:pPr>
      <w:rPr>
        <w:rFonts w:hint="default"/>
      </w:rPr>
    </w:lvl>
    <w:lvl w:ilvl="4">
      <w:start w:val="0"/>
      <w:numFmt w:val="bullet"/>
      <w:lvlText w:val="•"/>
      <w:lvlJc w:val="left"/>
      <w:pPr>
        <w:ind w:left="1700" w:hanging="238"/>
      </w:pPr>
      <w:rPr>
        <w:rFonts w:hint="default"/>
      </w:rPr>
    </w:lvl>
    <w:lvl w:ilvl="5">
      <w:start w:val="0"/>
      <w:numFmt w:val="bullet"/>
      <w:lvlText w:val="•"/>
      <w:lvlJc w:val="left"/>
      <w:pPr>
        <w:ind w:left="3446" w:hanging="238"/>
      </w:pPr>
      <w:rPr>
        <w:rFonts w:hint="default"/>
      </w:rPr>
    </w:lvl>
    <w:lvl w:ilvl="6">
      <w:start w:val="0"/>
      <w:numFmt w:val="bullet"/>
      <w:lvlText w:val="•"/>
      <w:lvlJc w:val="left"/>
      <w:pPr>
        <w:ind w:left="5193" w:hanging="238"/>
      </w:pPr>
      <w:rPr>
        <w:rFonts w:hint="default"/>
      </w:rPr>
    </w:lvl>
    <w:lvl w:ilvl="7">
      <w:start w:val="0"/>
      <w:numFmt w:val="bullet"/>
      <w:lvlText w:val="•"/>
      <w:lvlJc w:val="left"/>
      <w:pPr>
        <w:ind w:left="6940" w:hanging="238"/>
      </w:pPr>
      <w:rPr>
        <w:rFonts w:hint="default"/>
      </w:rPr>
    </w:lvl>
    <w:lvl w:ilvl="8">
      <w:start w:val="0"/>
      <w:numFmt w:val="bullet"/>
      <w:lvlText w:val="•"/>
      <w:lvlJc w:val="left"/>
      <w:pPr>
        <w:ind w:left="8687" w:hanging="238"/>
      </w:pPr>
      <w:rPr>
        <w:rFonts w:hint="default"/>
      </w:rPr>
    </w:lvl>
  </w:abstractNum>
  <w:abstractNum w:abstractNumId="118">
    <w:multiLevelType w:val="hybridMultilevel"/>
    <w:lvl w:ilvl="0">
      <w:start w:val="0"/>
      <w:numFmt w:val="bullet"/>
      <w:lvlText w:val="-"/>
      <w:lvlJc w:val="left"/>
      <w:pPr>
        <w:ind w:left="1336" w:hanging="360"/>
      </w:pPr>
      <w:rPr>
        <w:rFonts w:hint="default" w:ascii="Times New Roman" w:hAnsi="Times New Roman" w:eastAsia="Times New Roman" w:cs="Times New Roman"/>
        <w:w w:val="99"/>
        <w:sz w:val="38"/>
        <w:szCs w:val="38"/>
      </w:rPr>
    </w:lvl>
    <w:lvl w:ilvl="1">
      <w:start w:val="0"/>
      <w:numFmt w:val="bullet"/>
      <w:lvlText w:val="-"/>
      <w:lvlJc w:val="left"/>
      <w:pPr>
        <w:ind w:left="1696" w:hanging="360"/>
      </w:pPr>
      <w:rPr>
        <w:rFonts w:hint="default" w:ascii="Times New Roman" w:hAnsi="Times New Roman" w:eastAsia="Times New Roman" w:cs="Times New Roman"/>
        <w:w w:val="99"/>
        <w:sz w:val="38"/>
        <w:szCs w:val="38"/>
      </w:rPr>
    </w:lvl>
    <w:lvl w:ilvl="2">
      <w:start w:val="0"/>
      <w:numFmt w:val="bullet"/>
      <w:lvlText w:val="•"/>
      <w:lvlJc w:val="left"/>
      <w:pPr>
        <w:ind w:left="2864" w:hanging="360"/>
      </w:pPr>
      <w:rPr>
        <w:rFonts w:hint="default"/>
      </w:rPr>
    </w:lvl>
    <w:lvl w:ilvl="3">
      <w:start w:val="0"/>
      <w:numFmt w:val="bullet"/>
      <w:lvlText w:val="•"/>
      <w:lvlJc w:val="left"/>
      <w:pPr>
        <w:ind w:left="4029" w:hanging="360"/>
      </w:pPr>
      <w:rPr>
        <w:rFonts w:hint="default"/>
      </w:rPr>
    </w:lvl>
    <w:lvl w:ilvl="4">
      <w:start w:val="0"/>
      <w:numFmt w:val="bullet"/>
      <w:lvlText w:val="•"/>
      <w:lvlJc w:val="left"/>
      <w:pPr>
        <w:ind w:left="5193" w:hanging="360"/>
      </w:pPr>
      <w:rPr>
        <w:rFonts w:hint="default"/>
      </w:rPr>
    </w:lvl>
    <w:lvl w:ilvl="5">
      <w:start w:val="0"/>
      <w:numFmt w:val="bullet"/>
      <w:lvlText w:val="•"/>
      <w:lvlJc w:val="left"/>
      <w:pPr>
        <w:ind w:left="6358" w:hanging="360"/>
      </w:pPr>
      <w:rPr>
        <w:rFonts w:hint="default"/>
      </w:rPr>
    </w:lvl>
    <w:lvl w:ilvl="6">
      <w:start w:val="0"/>
      <w:numFmt w:val="bullet"/>
      <w:lvlText w:val="•"/>
      <w:lvlJc w:val="left"/>
      <w:pPr>
        <w:ind w:left="7522" w:hanging="360"/>
      </w:pPr>
      <w:rPr>
        <w:rFonts w:hint="default"/>
      </w:rPr>
    </w:lvl>
    <w:lvl w:ilvl="7">
      <w:start w:val="0"/>
      <w:numFmt w:val="bullet"/>
      <w:lvlText w:val="•"/>
      <w:lvlJc w:val="left"/>
      <w:pPr>
        <w:ind w:left="8687" w:hanging="360"/>
      </w:pPr>
      <w:rPr>
        <w:rFonts w:hint="default"/>
      </w:rPr>
    </w:lvl>
    <w:lvl w:ilvl="8">
      <w:start w:val="0"/>
      <w:numFmt w:val="bullet"/>
      <w:lvlText w:val="•"/>
      <w:lvlJc w:val="left"/>
      <w:pPr>
        <w:ind w:left="9851" w:hanging="360"/>
      </w:pPr>
      <w:rPr>
        <w:rFonts w:hint="default"/>
      </w:rPr>
    </w:lvl>
  </w:abstractNum>
  <w:abstractNum w:abstractNumId="117">
    <w:multiLevelType w:val="hybridMultilevel"/>
    <w:lvl w:ilvl="0">
      <w:start w:val="0"/>
      <w:numFmt w:val="bullet"/>
      <w:lvlText w:val="-"/>
      <w:lvlJc w:val="left"/>
      <w:pPr>
        <w:ind w:left="1031" w:hanging="416"/>
      </w:pPr>
      <w:rPr>
        <w:rFonts w:hint="default" w:ascii="Times New Roman" w:hAnsi="Times New Roman" w:eastAsia="Times New Roman" w:cs="Times New Roman"/>
        <w:w w:val="99"/>
        <w:sz w:val="38"/>
        <w:szCs w:val="38"/>
      </w:rPr>
    </w:lvl>
    <w:lvl w:ilvl="1">
      <w:start w:val="0"/>
      <w:numFmt w:val="bullet"/>
      <w:lvlText w:val="-"/>
      <w:lvlJc w:val="left"/>
      <w:pPr>
        <w:ind w:left="1662" w:hanging="360"/>
      </w:pPr>
      <w:rPr>
        <w:rFonts w:hint="default" w:ascii="Times New Roman" w:hAnsi="Times New Roman" w:eastAsia="Times New Roman" w:cs="Times New Roman"/>
        <w:w w:val="99"/>
        <w:sz w:val="38"/>
        <w:szCs w:val="38"/>
      </w:rPr>
    </w:lvl>
    <w:lvl w:ilvl="2">
      <w:start w:val="0"/>
      <w:numFmt w:val="bullet"/>
      <w:lvlText w:val="•"/>
      <w:lvlJc w:val="left"/>
      <w:pPr>
        <w:ind w:left="2828" w:hanging="360"/>
      </w:pPr>
      <w:rPr>
        <w:rFonts w:hint="default"/>
      </w:rPr>
    </w:lvl>
    <w:lvl w:ilvl="3">
      <w:start w:val="0"/>
      <w:numFmt w:val="bullet"/>
      <w:lvlText w:val="•"/>
      <w:lvlJc w:val="left"/>
      <w:pPr>
        <w:ind w:left="3997" w:hanging="360"/>
      </w:pPr>
      <w:rPr>
        <w:rFonts w:hint="default"/>
      </w:rPr>
    </w:lvl>
    <w:lvl w:ilvl="4">
      <w:start w:val="0"/>
      <w:numFmt w:val="bullet"/>
      <w:lvlText w:val="•"/>
      <w:lvlJc w:val="left"/>
      <w:pPr>
        <w:ind w:left="5166" w:hanging="360"/>
      </w:pPr>
      <w:rPr>
        <w:rFonts w:hint="default"/>
      </w:rPr>
    </w:lvl>
    <w:lvl w:ilvl="5">
      <w:start w:val="0"/>
      <w:numFmt w:val="bullet"/>
      <w:lvlText w:val="•"/>
      <w:lvlJc w:val="left"/>
      <w:pPr>
        <w:ind w:left="6335" w:hanging="360"/>
      </w:pPr>
      <w:rPr>
        <w:rFonts w:hint="default"/>
      </w:rPr>
    </w:lvl>
    <w:lvl w:ilvl="6">
      <w:start w:val="0"/>
      <w:numFmt w:val="bullet"/>
      <w:lvlText w:val="•"/>
      <w:lvlJc w:val="left"/>
      <w:pPr>
        <w:ind w:left="7504" w:hanging="360"/>
      </w:pPr>
      <w:rPr>
        <w:rFonts w:hint="default"/>
      </w:rPr>
    </w:lvl>
    <w:lvl w:ilvl="7">
      <w:start w:val="0"/>
      <w:numFmt w:val="bullet"/>
      <w:lvlText w:val="•"/>
      <w:lvlJc w:val="left"/>
      <w:pPr>
        <w:ind w:left="8673" w:hanging="360"/>
      </w:pPr>
      <w:rPr>
        <w:rFonts w:hint="default"/>
      </w:rPr>
    </w:lvl>
    <w:lvl w:ilvl="8">
      <w:start w:val="0"/>
      <w:numFmt w:val="bullet"/>
      <w:lvlText w:val="•"/>
      <w:lvlJc w:val="left"/>
      <w:pPr>
        <w:ind w:left="9842" w:hanging="360"/>
      </w:pPr>
      <w:rPr>
        <w:rFonts w:hint="default"/>
      </w:rPr>
    </w:lvl>
  </w:abstractNum>
  <w:abstractNum w:abstractNumId="116">
    <w:multiLevelType w:val="hybridMultilevel"/>
    <w:lvl w:ilvl="0">
      <w:start w:val="0"/>
      <w:numFmt w:val="bullet"/>
      <w:lvlText w:val="-"/>
      <w:lvlJc w:val="left"/>
      <w:pPr>
        <w:ind w:left="830" w:hanging="214"/>
      </w:pPr>
      <w:rPr>
        <w:rFonts w:hint="default" w:ascii="Garamond" w:hAnsi="Garamond" w:eastAsia="Garamond" w:cs="Garamond"/>
        <w:w w:val="99"/>
        <w:sz w:val="38"/>
        <w:szCs w:val="38"/>
      </w:rPr>
    </w:lvl>
    <w:lvl w:ilvl="1">
      <w:start w:val="0"/>
      <w:numFmt w:val="bullet"/>
      <w:lvlText w:val="•"/>
      <w:lvlJc w:val="left"/>
      <w:pPr>
        <w:ind w:left="1974" w:hanging="214"/>
      </w:pPr>
      <w:rPr>
        <w:rFonts w:hint="default"/>
      </w:rPr>
    </w:lvl>
    <w:lvl w:ilvl="2">
      <w:start w:val="0"/>
      <w:numFmt w:val="bullet"/>
      <w:lvlText w:val="•"/>
      <w:lvlJc w:val="left"/>
      <w:pPr>
        <w:ind w:left="3108" w:hanging="214"/>
      </w:pPr>
      <w:rPr>
        <w:rFonts w:hint="default"/>
      </w:rPr>
    </w:lvl>
    <w:lvl w:ilvl="3">
      <w:start w:val="0"/>
      <w:numFmt w:val="bullet"/>
      <w:lvlText w:val="•"/>
      <w:lvlJc w:val="left"/>
      <w:pPr>
        <w:ind w:left="4242" w:hanging="214"/>
      </w:pPr>
      <w:rPr>
        <w:rFonts w:hint="default"/>
      </w:rPr>
    </w:lvl>
    <w:lvl w:ilvl="4">
      <w:start w:val="0"/>
      <w:numFmt w:val="bullet"/>
      <w:lvlText w:val="•"/>
      <w:lvlJc w:val="left"/>
      <w:pPr>
        <w:ind w:left="5376" w:hanging="214"/>
      </w:pPr>
      <w:rPr>
        <w:rFonts w:hint="default"/>
      </w:rPr>
    </w:lvl>
    <w:lvl w:ilvl="5">
      <w:start w:val="0"/>
      <w:numFmt w:val="bullet"/>
      <w:lvlText w:val="•"/>
      <w:lvlJc w:val="left"/>
      <w:pPr>
        <w:ind w:left="6510" w:hanging="214"/>
      </w:pPr>
      <w:rPr>
        <w:rFonts w:hint="default"/>
      </w:rPr>
    </w:lvl>
    <w:lvl w:ilvl="6">
      <w:start w:val="0"/>
      <w:numFmt w:val="bullet"/>
      <w:lvlText w:val="•"/>
      <w:lvlJc w:val="left"/>
      <w:pPr>
        <w:ind w:left="7644" w:hanging="214"/>
      </w:pPr>
      <w:rPr>
        <w:rFonts w:hint="default"/>
      </w:rPr>
    </w:lvl>
    <w:lvl w:ilvl="7">
      <w:start w:val="0"/>
      <w:numFmt w:val="bullet"/>
      <w:lvlText w:val="•"/>
      <w:lvlJc w:val="left"/>
      <w:pPr>
        <w:ind w:left="8778" w:hanging="214"/>
      </w:pPr>
      <w:rPr>
        <w:rFonts w:hint="default"/>
      </w:rPr>
    </w:lvl>
    <w:lvl w:ilvl="8">
      <w:start w:val="0"/>
      <w:numFmt w:val="bullet"/>
      <w:lvlText w:val="•"/>
      <w:lvlJc w:val="left"/>
      <w:pPr>
        <w:ind w:left="9912" w:hanging="214"/>
      </w:pPr>
      <w:rPr>
        <w:rFonts w:hint="default"/>
      </w:rPr>
    </w:lvl>
  </w:abstractNum>
  <w:abstractNum w:abstractNumId="115">
    <w:multiLevelType w:val="hybridMultilevel"/>
    <w:lvl w:ilvl="0">
      <w:start w:val="0"/>
      <w:numFmt w:val="bullet"/>
      <w:lvlText w:val="-"/>
      <w:lvlJc w:val="left"/>
      <w:pPr>
        <w:ind w:left="1329" w:hanging="548"/>
      </w:pPr>
      <w:rPr>
        <w:rFonts w:hint="default" w:ascii="Times New Roman" w:hAnsi="Times New Roman" w:eastAsia="Times New Roman" w:cs="Times New Roman"/>
        <w:w w:val="99"/>
        <w:sz w:val="38"/>
        <w:szCs w:val="38"/>
      </w:rPr>
    </w:lvl>
    <w:lvl w:ilvl="1">
      <w:start w:val="0"/>
      <w:numFmt w:val="bullet"/>
      <w:lvlText w:val="•"/>
      <w:lvlJc w:val="left"/>
      <w:pPr>
        <w:ind w:left="2406" w:hanging="548"/>
      </w:pPr>
      <w:rPr>
        <w:rFonts w:hint="default"/>
      </w:rPr>
    </w:lvl>
    <w:lvl w:ilvl="2">
      <w:start w:val="0"/>
      <w:numFmt w:val="bullet"/>
      <w:lvlText w:val="•"/>
      <w:lvlJc w:val="left"/>
      <w:pPr>
        <w:ind w:left="3492" w:hanging="548"/>
      </w:pPr>
      <w:rPr>
        <w:rFonts w:hint="default"/>
      </w:rPr>
    </w:lvl>
    <w:lvl w:ilvl="3">
      <w:start w:val="0"/>
      <w:numFmt w:val="bullet"/>
      <w:lvlText w:val="•"/>
      <w:lvlJc w:val="left"/>
      <w:pPr>
        <w:ind w:left="4578" w:hanging="548"/>
      </w:pPr>
      <w:rPr>
        <w:rFonts w:hint="default"/>
      </w:rPr>
    </w:lvl>
    <w:lvl w:ilvl="4">
      <w:start w:val="0"/>
      <w:numFmt w:val="bullet"/>
      <w:lvlText w:val="•"/>
      <w:lvlJc w:val="left"/>
      <w:pPr>
        <w:ind w:left="5664" w:hanging="548"/>
      </w:pPr>
      <w:rPr>
        <w:rFonts w:hint="default"/>
      </w:rPr>
    </w:lvl>
    <w:lvl w:ilvl="5">
      <w:start w:val="0"/>
      <w:numFmt w:val="bullet"/>
      <w:lvlText w:val="•"/>
      <w:lvlJc w:val="left"/>
      <w:pPr>
        <w:ind w:left="6750" w:hanging="548"/>
      </w:pPr>
      <w:rPr>
        <w:rFonts w:hint="default"/>
      </w:rPr>
    </w:lvl>
    <w:lvl w:ilvl="6">
      <w:start w:val="0"/>
      <w:numFmt w:val="bullet"/>
      <w:lvlText w:val="•"/>
      <w:lvlJc w:val="left"/>
      <w:pPr>
        <w:ind w:left="7836" w:hanging="548"/>
      </w:pPr>
      <w:rPr>
        <w:rFonts w:hint="default"/>
      </w:rPr>
    </w:lvl>
    <w:lvl w:ilvl="7">
      <w:start w:val="0"/>
      <w:numFmt w:val="bullet"/>
      <w:lvlText w:val="•"/>
      <w:lvlJc w:val="left"/>
      <w:pPr>
        <w:ind w:left="8922" w:hanging="548"/>
      </w:pPr>
      <w:rPr>
        <w:rFonts w:hint="default"/>
      </w:rPr>
    </w:lvl>
    <w:lvl w:ilvl="8">
      <w:start w:val="0"/>
      <w:numFmt w:val="bullet"/>
      <w:lvlText w:val="•"/>
      <w:lvlJc w:val="left"/>
      <w:pPr>
        <w:ind w:left="10008" w:hanging="548"/>
      </w:pPr>
      <w:rPr>
        <w:rFonts w:hint="default"/>
      </w:rPr>
    </w:lvl>
  </w:abstractNum>
  <w:abstractNum w:abstractNumId="114">
    <w:multiLevelType w:val="hybridMultilevel"/>
    <w:lvl w:ilvl="0">
      <w:start w:val="11"/>
      <w:numFmt w:val="upperLetter"/>
      <w:lvlText w:val="%1."/>
      <w:lvlJc w:val="left"/>
      <w:pPr>
        <w:ind w:left="616" w:hanging="492"/>
        <w:jc w:val="left"/>
      </w:pPr>
      <w:rPr>
        <w:rFonts w:hint="default" w:ascii="Garamond" w:hAnsi="Garamond" w:eastAsia="Garamond" w:cs="Garamond"/>
        <w:w w:val="99"/>
        <w:sz w:val="38"/>
        <w:szCs w:val="38"/>
      </w:rPr>
    </w:lvl>
    <w:lvl w:ilvl="1">
      <w:start w:val="1"/>
      <w:numFmt w:val="lowerLetter"/>
      <w:lvlText w:val="%2)"/>
      <w:lvlJc w:val="left"/>
      <w:pPr>
        <w:ind w:left="1696" w:hanging="360"/>
        <w:jc w:val="left"/>
      </w:pPr>
      <w:rPr>
        <w:rFonts w:hint="default" w:ascii="Garamond" w:hAnsi="Garamond" w:eastAsia="Garamond" w:cs="Garamond"/>
        <w:spacing w:val="-1"/>
        <w:w w:val="99"/>
        <w:sz w:val="38"/>
        <w:szCs w:val="38"/>
      </w:rPr>
    </w:lvl>
    <w:lvl w:ilvl="2">
      <w:start w:val="0"/>
      <w:numFmt w:val="bullet"/>
      <w:lvlText w:val="•"/>
      <w:lvlJc w:val="left"/>
      <w:pPr>
        <w:ind w:left="2864" w:hanging="360"/>
      </w:pPr>
      <w:rPr>
        <w:rFonts w:hint="default"/>
      </w:rPr>
    </w:lvl>
    <w:lvl w:ilvl="3">
      <w:start w:val="0"/>
      <w:numFmt w:val="bullet"/>
      <w:lvlText w:val="•"/>
      <w:lvlJc w:val="left"/>
      <w:pPr>
        <w:ind w:left="4029" w:hanging="360"/>
      </w:pPr>
      <w:rPr>
        <w:rFonts w:hint="default"/>
      </w:rPr>
    </w:lvl>
    <w:lvl w:ilvl="4">
      <w:start w:val="0"/>
      <w:numFmt w:val="bullet"/>
      <w:lvlText w:val="•"/>
      <w:lvlJc w:val="left"/>
      <w:pPr>
        <w:ind w:left="5193" w:hanging="360"/>
      </w:pPr>
      <w:rPr>
        <w:rFonts w:hint="default"/>
      </w:rPr>
    </w:lvl>
    <w:lvl w:ilvl="5">
      <w:start w:val="0"/>
      <w:numFmt w:val="bullet"/>
      <w:lvlText w:val="•"/>
      <w:lvlJc w:val="left"/>
      <w:pPr>
        <w:ind w:left="6358" w:hanging="360"/>
      </w:pPr>
      <w:rPr>
        <w:rFonts w:hint="default"/>
      </w:rPr>
    </w:lvl>
    <w:lvl w:ilvl="6">
      <w:start w:val="0"/>
      <w:numFmt w:val="bullet"/>
      <w:lvlText w:val="•"/>
      <w:lvlJc w:val="left"/>
      <w:pPr>
        <w:ind w:left="7522" w:hanging="360"/>
      </w:pPr>
      <w:rPr>
        <w:rFonts w:hint="default"/>
      </w:rPr>
    </w:lvl>
    <w:lvl w:ilvl="7">
      <w:start w:val="0"/>
      <w:numFmt w:val="bullet"/>
      <w:lvlText w:val="•"/>
      <w:lvlJc w:val="left"/>
      <w:pPr>
        <w:ind w:left="8687" w:hanging="360"/>
      </w:pPr>
      <w:rPr>
        <w:rFonts w:hint="default"/>
      </w:rPr>
    </w:lvl>
    <w:lvl w:ilvl="8">
      <w:start w:val="0"/>
      <w:numFmt w:val="bullet"/>
      <w:lvlText w:val="•"/>
      <w:lvlJc w:val="left"/>
      <w:pPr>
        <w:ind w:left="9851" w:hanging="360"/>
      </w:pPr>
      <w:rPr>
        <w:rFonts w:hint="default"/>
      </w:rPr>
    </w:lvl>
  </w:abstractNum>
  <w:abstractNum w:abstractNumId="113">
    <w:multiLevelType w:val="hybridMultilevel"/>
    <w:lvl w:ilvl="0">
      <w:start w:val="0"/>
      <w:numFmt w:val="bullet"/>
      <w:lvlText w:val="-"/>
      <w:lvlJc w:val="left"/>
      <w:pPr>
        <w:ind w:left="1036" w:hanging="360"/>
      </w:pPr>
      <w:rPr>
        <w:rFonts w:hint="default" w:ascii="Times New Roman" w:hAnsi="Times New Roman" w:eastAsia="Times New Roman" w:cs="Times New Roman"/>
        <w:w w:val="99"/>
        <w:sz w:val="38"/>
        <w:szCs w:val="38"/>
      </w:rPr>
    </w:lvl>
    <w:lvl w:ilvl="1">
      <w:start w:val="0"/>
      <w:numFmt w:val="bullet"/>
      <w:lvlText w:val=""/>
      <w:lvlJc w:val="left"/>
      <w:pPr>
        <w:ind w:left="1329" w:hanging="548"/>
      </w:pPr>
      <w:rPr>
        <w:rFonts w:hint="default" w:ascii="Symbol" w:hAnsi="Symbol" w:eastAsia="Symbol" w:cs="Symbol"/>
        <w:w w:val="99"/>
        <w:sz w:val="38"/>
        <w:szCs w:val="38"/>
      </w:rPr>
    </w:lvl>
    <w:lvl w:ilvl="2">
      <w:start w:val="0"/>
      <w:numFmt w:val="bullet"/>
      <w:lvlText w:val="•"/>
      <w:lvlJc w:val="left"/>
      <w:pPr>
        <w:ind w:left="2526" w:hanging="548"/>
      </w:pPr>
      <w:rPr>
        <w:rFonts w:hint="default"/>
      </w:rPr>
    </w:lvl>
    <w:lvl w:ilvl="3">
      <w:start w:val="0"/>
      <w:numFmt w:val="bullet"/>
      <w:lvlText w:val="•"/>
      <w:lvlJc w:val="left"/>
      <w:pPr>
        <w:ind w:left="3733" w:hanging="548"/>
      </w:pPr>
      <w:rPr>
        <w:rFonts w:hint="default"/>
      </w:rPr>
    </w:lvl>
    <w:lvl w:ilvl="4">
      <w:start w:val="0"/>
      <w:numFmt w:val="bullet"/>
      <w:lvlText w:val="•"/>
      <w:lvlJc w:val="left"/>
      <w:pPr>
        <w:ind w:left="4940" w:hanging="548"/>
      </w:pPr>
      <w:rPr>
        <w:rFonts w:hint="default"/>
      </w:rPr>
    </w:lvl>
    <w:lvl w:ilvl="5">
      <w:start w:val="0"/>
      <w:numFmt w:val="bullet"/>
      <w:lvlText w:val="•"/>
      <w:lvlJc w:val="left"/>
      <w:pPr>
        <w:ind w:left="6147" w:hanging="548"/>
      </w:pPr>
      <w:rPr>
        <w:rFonts w:hint="default"/>
      </w:rPr>
    </w:lvl>
    <w:lvl w:ilvl="6">
      <w:start w:val="0"/>
      <w:numFmt w:val="bullet"/>
      <w:lvlText w:val="•"/>
      <w:lvlJc w:val="left"/>
      <w:pPr>
        <w:ind w:left="7353" w:hanging="548"/>
      </w:pPr>
      <w:rPr>
        <w:rFonts w:hint="default"/>
      </w:rPr>
    </w:lvl>
    <w:lvl w:ilvl="7">
      <w:start w:val="0"/>
      <w:numFmt w:val="bullet"/>
      <w:lvlText w:val="•"/>
      <w:lvlJc w:val="left"/>
      <w:pPr>
        <w:ind w:left="8560" w:hanging="548"/>
      </w:pPr>
      <w:rPr>
        <w:rFonts w:hint="default"/>
      </w:rPr>
    </w:lvl>
    <w:lvl w:ilvl="8">
      <w:start w:val="0"/>
      <w:numFmt w:val="bullet"/>
      <w:lvlText w:val="•"/>
      <w:lvlJc w:val="left"/>
      <w:pPr>
        <w:ind w:left="9767" w:hanging="548"/>
      </w:pPr>
      <w:rPr>
        <w:rFonts w:hint="default"/>
      </w:rPr>
    </w:lvl>
  </w:abstractNum>
  <w:abstractNum w:abstractNumId="112">
    <w:multiLevelType w:val="hybridMultilevel"/>
    <w:lvl w:ilvl="0">
      <w:start w:val="0"/>
      <w:numFmt w:val="bullet"/>
      <w:lvlText w:val="-"/>
      <w:lvlJc w:val="left"/>
      <w:pPr>
        <w:ind w:left="1394" w:hanging="360"/>
      </w:pPr>
      <w:rPr>
        <w:rFonts w:hint="default" w:ascii="Times New Roman" w:hAnsi="Times New Roman" w:eastAsia="Times New Roman" w:cs="Times New Roman"/>
        <w:w w:val="99"/>
        <w:sz w:val="38"/>
        <w:szCs w:val="38"/>
      </w:rPr>
    </w:lvl>
    <w:lvl w:ilvl="1">
      <w:start w:val="0"/>
      <w:numFmt w:val="bullet"/>
      <w:lvlText w:val="•"/>
      <w:lvlJc w:val="left"/>
      <w:pPr>
        <w:ind w:left="2478" w:hanging="360"/>
      </w:pPr>
      <w:rPr>
        <w:rFonts w:hint="default"/>
      </w:rPr>
    </w:lvl>
    <w:lvl w:ilvl="2">
      <w:start w:val="0"/>
      <w:numFmt w:val="bullet"/>
      <w:lvlText w:val="•"/>
      <w:lvlJc w:val="left"/>
      <w:pPr>
        <w:ind w:left="3556" w:hanging="360"/>
      </w:pPr>
      <w:rPr>
        <w:rFonts w:hint="default"/>
      </w:rPr>
    </w:lvl>
    <w:lvl w:ilvl="3">
      <w:start w:val="0"/>
      <w:numFmt w:val="bullet"/>
      <w:lvlText w:val="•"/>
      <w:lvlJc w:val="left"/>
      <w:pPr>
        <w:ind w:left="4634" w:hanging="360"/>
      </w:pPr>
      <w:rPr>
        <w:rFonts w:hint="default"/>
      </w:rPr>
    </w:lvl>
    <w:lvl w:ilvl="4">
      <w:start w:val="0"/>
      <w:numFmt w:val="bullet"/>
      <w:lvlText w:val="•"/>
      <w:lvlJc w:val="left"/>
      <w:pPr>
        <w:ind w:left="5712" w:hanging="360"/>
      </w:pPr>
      <w:rPr>
        <w:rFonts w:hint="default"/>
      </w:rPr>
    </w:lvl>
    <w:lvl w:ilvl="5">
      <w:start w:val="0"/>
      <w:numFmt w:val="bullet"/>
      <w:lvlText w:val="•"/>
      <w:lvlJc w:val="left"/>
      <w:pPr>
        <w:ind w:left="6790" w:hanging="360"/>
      </w:pPr>
      <w:rPr>
        <w:rFonts w:hint="default"/>
      </w:rPr>
    </w:lvl>
    <w:lvl w:ilvl="6">
      <w:start w:val="0"/>
      <w:numFmt w:val="bullet"/>
      <w:lvlText w:val="•"/>
      <w:lvlJc w:val="left"/>
      <w:pPr>
        <w:ind w:left="7868" w:hanging="360"/>
      </w:pPr>
      <w:rPr>
        <w:rFonts w:hint="default"/>
      </w:rPr>
    </w:lvl>
    <w:lvl w:ilvl="7">
      <w:start w:val="0"/>
      <w:numFmt w:val="bullet"/>
      <w:lvlText w:val="•"/>
      <w:lvlJc w:val="left"/>
      <w:pPr>
        <w:ind w:left="8946" w:hanging="360"/>
      </w:pPr>
      <w:rPr>
        <w:rFonts w:hint="default"/>
      </w:rPr>
    </w:lvl>
    <w:lvl w:ilvl="8">
      <w:start w:val="0"/>
      <w:numFmt w:val="bullet"/>
      <w:lvlText w:val="•"/>
      <w:lvlJc w:val="left"/>
      <w:pPr>
        <w:ind w:left="10024" w:hanging="360"/>
      </w:pPr>
      <w:rPr>
        <w:rFonts w:hint="default"/>
      </w:rPr>
    </w:lvl>
  </w:abstractNum>
  <w:abstractNum w:abstractNumId="110">
    <w:multiLevelType w:val="hybridMultilevel"/>
    <w:lvl w:ilvl="0">
      <w:start w:val="0"/>
      <w:numFmt w:val="bullet"/>
      <w:lvlText w:val="-"/>
      <w:lvlJc w:val="left"/>
      <w:pPr>
        <w:ind w:left="1319" w:hanging="360"/>
      </w:pPr>
      <w:rPr>
        <w:rFonts w:hint="default" w:ascii="Times New Roman" w:hAnsi="Times New Roman" w:eastAsia="Times New Roman" w:cs="Times New Roman"/>
        <w:w w:val="99"/>
        <w:sz w:val="38"/>
        <w:szCs w:val="38"/>
      </w:rPr>
    </w:lvl>
    <w:lvl w:ilvl="1">
      <w:start w:val="0"/>
      <w:numFmt w:val="bullet"/>
      <w:lvlText w:val="-"/>
      <w:lvlJc w:val="left"/>
      <w:pPr>
        <w:ind w:left="1461" w:hanging="360"/>
      </w:pPr>
      <w:rPr>
        <w:rFonts w:hint="default" w:ascii="Times New Roman" w:hAnsi="Times New Roman" w:eastAsia="Times New Roman" w:cs="Times New Roman"/>
        <w:w w:val="99"/>
        <w:sz w:val="38"/>
        <w:szCs w:val="38"/>
      </w:rPr>
    </w:lvl>
    <w:lvl w:ilvl="2">
      <w:start w:val="0"/>
      <w:numFmt w:val="bullet"/>
      <w:lvlText w:val="•"/>
      <w:lvlJc w:val="left"/>
      <w:pPr>
        <w:ind w:left="2651" w:hanging="360"/>
      </w:pPr>
      <w:rPr>
        <w:rFonts w:hint="default"/>
      </w:rPr>
    </w:lvl>
    <w:lvl w:ilvl="3">
      <w:start w:val="0"/>
      <w:numFmt w:val="bullet"/>
      <w:lvlText w:val="•"/>
      <w:lvlJc w:val="left"/>
      <w:pPr>
        <w:ind w:left="3842" w:hanging="360"/>
      </w:pPr>
      <w:rPr>
        <w:rFonts w:hint="default"/>
      </w:rPr>
    </w:lvl>
    <w:lvl w:ilvl="4">
      <w:start w:val="0"/>
      <w:numFmt w:val="bullet"/>
      <w:lvlText w:val="•"/>
      <w:lvlJc w:val="left"/>
      <w:pPr>
        <w:ind w:left="5033" w:hanging="360"/>
      </w:pPr>
      <w:rPr>
        <w:rFonts w:hint="default"/>
      </w:rPr>
    </w:lvl>
    <w:lvl w:ilvl="5">
      <w:start w:val="0"/>
      <w:numFmt w:val="bullet"/>
      <w:lvlText w:val="•"/>
      <w:lvlJc w:val="left"/>
      <w:pPr>
        <w:ind w:left="6224" w:hanging="360"/>
      </w:pPr>
      <w:rPr>
        <w:rFonts w:hint="default"/>
      </w:rPr>
    </w:lvl>
    <w:lvl w:ilvl="6">
      <w:start w:val="0"/>
      <w:numFmt w:val="bullet"/>
      <w:lvlText w:val="•"/>
      <w:lvlJc w:val="left"/>
      <w:pPr>
        <w:ind w:left="7416" w:hanging="360"/>
      </w:pPr>
      <w:rPr>
        <w:rFonts w:hint="default"/>
      </w:rPr>
    </w:lvl>
    <w:lvl w:ilvl="7">
      <w:start w:val="0"/>
      <w:numFmt w:val="bullet"/>
      <w:lvlText w:val="•"/>
      <w:lvlJc w:val="left"/>
      <w:pPr>
        <w:ind w:left="8607" w:hanging="360"/>
      </w:pPr>
      <w:rPr>
        <w:rFonts w:hint="default"/>
      </w:rPr>
    </w:lvl>
    <w:lvl w:ilvl="8">
      <w:start w:val="0"/>
      <w:numFmt w:val="bullet"/>
      <w:lvlText w:val="•"/>
      <w:lvlJc w:val="left"/>
      <w:pPr>
        <w:ind w:left="9798" w:hanging="360"/>
      </w:pPr>
      <w:rPr>
        <w:rFonts w:hint="default"/>
      </w:rPr>
    </w:lvl>
  </w:abstractNum>
  <w:abstractNum w:abstractNumId="109">
    <w:multiLevelType w:val="hybridMultilevel"/>
    <w:lvl w:ilvl="0">
      <w:start w:val="0"/>
      <w:numFmt w:val="bullet"/>
      <w:lvlText w:val="-"/>
      <w:lvlJc w:val="left"/>
      <w:pPr>
        <w:ind w:left="1394" w:hanging="360"/>
      </w:pPr>
      <w:rPr>
        <w:rFonts w:hint="default" w:ascii="Times New Roman" w:hAnsi="Times New Roman" w:eastAsia="Times New Roman" w:cs="Times New Roman"/>
        <w:w w:val="99"/>
        <w:sz w:val="38"/>
        <w:szCs w:val="38"/>
      </w:rPr>
    </w:lvl>
    <w:lvl w:ilvl="1">
      <w:start w:val="0"/>
      <w:numFmt w:val="bullet"/>
      <w:lvlText w:val="•"/>
      <w:lvlJc w:val="left"/>
      <w:pPr>
        <w:ind w:left="2478" w:hanging="360"/>
      </w:pPr>
      <w:rPr>
        <w:rFonts w:hint="default"/>
      </w:rPr>
    </w:lvl>
    <w:lvl w:ilvl="2">
      <w:start w:val="0"/>
      <w:numFmt w:val="bullet"/>
      <w:lvlText w:val="•"/>
      <w:lvlJc w:val="left"/>
      <w:pPr>
        <w:ind w:left="3556" w:hanging="360"/>
      </w:pPr>
      <w:rPr>
        <w:rFonts w:hint="default"/>
      </w:rPr>
    </w:lvl>
    <w:lvl w:ilvl="3">
      <w:start w:val="0"/>
      <w:numFmt w:val="bullet"/>
      <w:lvlText w:val="•"/>
      <w:lvlJc w:val="left"/>
      <w:pPr>
        <w:ind w:left="4634" w:hanging="360"/>
      </w:pPr>
      <w:rPr>
        <w:rFonts w:hint="default"/>
      </w:rPr>
    </w:lvl>
    <w:lvl w:ilvl="4">
      <w:start w:val="0"/>
      <w:numFmt w:val="bullet"/>
      <w:lvlText w:val="•"/>
      <w:lvlJc w:val="left"/>
      <w:pPr>
        <w:ind w:left="5712" w:hanging="360"/>
      </w:pPr>
      <w:rPr>
        <w:rFonts w:hint="default"/>
      </w:rPr>
    </w:lvl>
    <w:lvl w:ilvl="5">
      <w:start w:val="0"/>
      <w:numFmt w:val="bullet"/>
      <w:lvlText w:val="•"/>
      <w:lvlJc w:val="left"/>
      <w:pPr>
        <w:ind w:left="6790" w:hanging="360"/>
      </w:pPr>
      <w:rPr>
        <w:rFonts w:hint="default"/>
      </w:rPr>
    </w:lvl>
    <w:lvl w:ilvl="6">
      <w:start w:val="0"/>
      <w:numFmt w:val="bullet"/>
      <w:lvlText w:val="•"/>
      <w:lvlJc w:val="left"/>
      <w:pPr>
        <w:ind w:left="7868" w:hanging="360"/>
      </w:pPr>
      <w:rPr>
        <w:rFonts w:hint="default"/>
      </w:rPr>
    </w:lvl>
    <w:lvl w:ilvl="7">
      <w:start w:val="0"/>
      <w:numFmt w:val="bullet"/>
      <w:lvlText w:val="•"/>
      <w:lvlJc w:val="left"/>
      <w:pPr>
        <w:ind w:left="8946" w:hanging="360"/>
      </w:pPr>
      <w:rPr>
        <w:rFonts w:hint="default"/>
      </w:rPr>
    </w:lvl>
    <w:lvl w:ilvl="8">
      <w:start w:val="0"/>
      <w:numFmt w:val="bullet"/>
      <w:lvlText w:val="•"/>
      <w:lvlJc w:val="left"/>
      <w:pPr>
        <w:ind w:left="10024" w:hanging="360"/>
      </w:pPr>
      <w:rPr>
        <w:rFonts w:hint="default"/>
      </w:rPr>
    </w:lvl>
  </w:abstractNum>
  <w:abstractNum w:abstractNumId="108">
    <w:multiLevelType w:val="hybridMultilevel"/>
    <w:lvl w:ilvl="0">
      <w:start w:val="0"/>
      <w:numFmt w:val="bullet"/>
      <w:lvlText w:val="-"/>
      <w:lvlJc w:val="left"/>
      <w:pPr>
        <w:ind w:left="1036" w:hanging="360"/>
      </w:pPr>
      <w:rPr>
        <w:rFonts w:hint="default" w:ascii="Times New Roman" w:hAnsi="Times New Roman" w:eastAsia="Times New Roman" w:cs="Times New Roman"/>
        <w:w w:val="99"/>
        <w:sz w:val="38"/>
        <w:szCs w:val="38"/>
      </w:rPr>
    </w:lvl>
    <w:lvl w:ilvl="1">
      <w:start w:val="0"/>
      <w:numFmt w:val="bullet"/>
      <w:lvlText w:val="-"/>
      <w:lvlJc w:val="left"/>
      <w:pPr>
        <w:ind w:left="1319" w:hanging="358"/>
      </w:pPr>
      <w:rPr>
        <w:rFonts w:hint="default" w:ascii="Times New Roman" w:hAnsi="Times New Roman" w:eastAsia="Times New Roman" w:cs="Times New Roman"/>
        <w:w w:val="99"/>
        <w:sz w:val="38"/>
        <w:szCs w:val="38"/>
      </w:rPr>
    </w:lvl>
    <w:lvl w:ilvl="2">
      <w:start w:val="0"/>
      <w:numFmt w:val="bullet"/>
      <w:lvlText w:val="-"/>
      <w:lvlJc w:val="left"/>
      <w:pPr>
        <w:ind w:left="1461" w:hanging="360"/>
      </w:pPr>
      <w:rPr>
        <w:rFonts w:hint="default" w:ascii="Times New Roman" w:hAnsi="Times New Roman" w:eastAsia="Times New Roman" w:cs="Times New Roman"/>
        <w:w w:val="99"/>
        <w:sz w:val="38"/>
        <w:szCs w:val="38"/>
      </w:rPr>
    </w:lvl>
    <w:lvl w:ilvl="3">
      <w:start w:val="0"/>
      <w:numFmt w:val="bullet"/>
      <w:lvlText w:val="•"/>
      <w:lvlJc w:val="left"/>
      <w:pPr>
        <w:ind w:left="2800" w:hanging="360"/>
      </w:pPr>
      <w:rPr>
        <w:rFonts w:hint="default"/>
      </w:rPr>
    </w:lvl>
    <w:lvl w:ilvl="4">
      <w:start w:val="0"/>
      <w:numFmt w:val="bullet"/>
      <w:lvlText w:val="•"/>
      <w:lvlJc w:val="left"/>
      <w:pPr>
        <w:ind w:left="4140" w:hanging="360"/>
      </w:pPr>
      <w:rPr>
        <w:rFonts w:hint="default"/>
      </w:rPr>
    </w:lvl>
    <w:lvl w:ilvl="5">
      <w:start w:val="0"/>
      <w:numFmt w:val="bullet"/>
      <w:lvlText w:val="•"/>
      <w:lvlJc w:val="left"/>
      <w:pPr>
        <w:ind w:left="5480" w:hanging="360"/>
      </w:pPr>
      <w:rPr>
        <w:rFonts w:hint="default"/>
      </w:rPr>
    </w:lvl>
    <w:lvl w:ilvl="6">
      <w:start w:val="0"/>
      <w:numFmt w:val="bullet"/>
      <w:lvlText w:val="•"/>
      <w:lvlJc w:val="left"/>
      <w:pPr>
        <w:ind w:left="6820" w:hanging="360"/>
      </w:pPr>
      <w:rPr>
        <w:rFonts w:hint="default"/>
      </w:rPr>
    </w:lvl>
    <w:lvl w:ilvl="7">
      <w:start w:val="0"/>
      <w:numFmt w:val="bullet"/>
      <w:lvlText w:val="•"/>
      <w:lvlJc w:val="left"/>
      <w:pPr>
        <w:ind w:left="8160" w:hanging="360"/>
      </w:pPr>
      <w:rPr>
        <w:rFonts w:hint="default"/>
      </w:rPr>
    </w:lvl>
    <w:lvl w:ilvl="8">
      <w:start w:val="0"/>
      <w:numFmt w:val="bullet"/>
      <w:lvlText w:val="•"/>
      <w:lvlJc w:val="left"/>
      <w:pPr>
        <w:ind w:left="9500" w:hanging="360"/>
      </w:pPr>
      <w:rPr>
        <w:rFonts w:hint="default"/>
      </w:rPr>
    </w:lvl>
  </w:abstractNum>
  <w:abstractNum w:abstractNumId="107">
    <w:multiLevelType w:val="hybridMultilevel"/>
    <w:lvl w:ilvl="0">
      <w:start w:val="0"/>
      <w:numFmt w:val="bullet"/>
      <w:lvlText w:val=""/>
      <w:lvlJc w:val="left"/>
      <w:pPr>
        <w:ind w:left="1329" w:hanging="356"/>
      </w:pPr>
      <w:rPr>
        <w:rFonts w:hint="default" w:ascii="Symbol" w:hAnsi="Symbol" w:eastAsia="Symbol" w:cs="Symbol"/>
        <w:w w:val="99"/>
        <w:sz w:val="20"/>
        <w:szCs w:val="20"/>
      </w:rPr>
    </w:lvl>
    <w:lvl w:ilvl="1">
      <w:start w:val="0"/>
      <w:numFmt w:val="bullet"/>
      <w:lvlText w:val="•"/>
      <w:lvlJc w:val="left"/>
      <w:pPr>
        <w:ind w:left="2406" w:hanging="356"/>
      </w:pPr>
      <w:rPr>
        <w:rFonts w:hint="default"/>
      </w:rPr>
    </w:lvl>
    <w:lvl w:ilvl="2">
      <w:start w:val="0"/>
      <w:numFmt w:val="bullet"/>
      <w:lvlText w:val="•"/>
      <w:lvlJc w:val="left"/>
      <w:pPr>
        <w:ind w:left="3492" w:hanging="356"/>
      </w:pPr>
      <w:rPr>
        <w:rFonts w:hint="default"/>
      </w:rPr>
    </w:lvl>
    <w:lvl w:ilvl="3">
      <w:start w:val="0"/>
      <w:numFmt w:val="bullet"/>
      <w:lvlText w:val="•"/>
      <w:lvlJc w:val="left"/>
      <w:pPr>
        <w:ind w:left="4578" w:hanging="356"/>
      </w:pPr>
      <w:rPr>
        <w:rFonts w:hint="default"/>
      </w:rPr>
    </w:lvl>
    <w:lvl w:ilvl="4">
      <w:start w:val="0"/>
      <w:numFmt w:val="bullet"/>
      <w:lvlText w:val="•"/>
      <w:lvlJc w:val="left"/>
      <w:pPr>
        <w:ind w:left="5664" w:hanging="356"/>
      </w:pPr>
      <w:rPr>
        <w:rFonts w:hint="default"/>
      </w:rPr>
    </w:lvl>
    <w:lvl w:ilvl="5">
      <w:start w:val="0"/>
      <w:numFmt w:val="bullet"/>
      <w:lvlText w:val="•"/>
      <w:lvlJc w:val="left"/>
      <w:pPr>
        <w:ind w:left="6750" w:hanging="356"/>
      </w:pPr>
      <w:rPr>
        <w:rFonts w:hint="default"/>
      </w:rPr>
    </w:lvl>
    <w:lvl w:ilvl="6">
      <w:start w:val="0"/>
      <w:numFmt w:val="bullet"/>
      <w:lvlText w:val="•"/>
      <w:lvlJc w:val="left"/>
      <w:pPr>
        <w:ind w:left="7836" w:hanging="356"/>
      </w:pPr>
      <w:rPr>
        <w:rFonts w:hint="default"/>
      </w:rPr>
    </w:lvl>
    <w:lvl w:ilvl="7">
      <w:start w:val="0"/>
      <w:numFmt w:val="bullet"/>
      <w:lvlText w:val="•"/>
      <w:lvlJc w:val="left"/>
      <w:pPr>
        <w:ind w:left="8922" w:hanging="356"/>
      </w:pPr>
      <w:rPr>
        <w:rFonts w:hint="default"/>
      </w:rPr>
    </w:lvl>
    <w:lvl w:ilvl="8">
      <w:start w:val="0"/>
      <w:numFmt w:val="bullet"/>
      <w:lvlText w:val="•"/>
      <w:lvlJc w:val="left"/>
      <w:pPr>
        <w:ind w:left="10008" w:hanging="356"/>
      </w:pPr>
      <w:rPr>
        <w:rFonts w:hint="default"/>
      </w:rPr>
    </w:lvl>
  </w:abstractNum>
  <w:abstractNum w:abstractNumId="106">
    <w:multiLevelType w:val="hybridMultilevel"/>
    <w:lvl w:ilvl="0">
      <w:start w:val="0"/>
      <w:numFmt w:val="bullet"/>
      <w:lvlText w:val="-"/>
      <w:lvlJc w:val="left"/>
      <w:pPr>
        <w:ind w:left="1096" w:hanging="360"/>
      </w:pPr>
      <w:rPr>
        <w:rFonts w:hint="default" w:ascii="Times New Roman" w:hAnsi="Times New Roman" w:eastAsia="Times New Roman" w:cs="Times New Roman"/>
        <w:w w:val="99"/>
        <w:sz w:val="38"/>
        <w:szCs w:val="38"/>
      </w:rPr>
    </w:lvl>
    <w:lvl w:ilvl="1">
      <w:start w:val="0"/>
      <w:numFmt w:val="bullet"/>
      <w:lvlText w:val="•"/>
      <w:lvlJc w:val="left"/>
      <w:pPr>
        <w:ind w:left="2208" w:hanging="360"/>
      </w:pPr>
      <w:rPr>
        <w:rFonts w:hint="default"/>
      </w:rPr>
    </w:lvl>
    <w:lvl w:ilvl="2">
      <w:start w:val="0"/>
      <w:numFmt w:val="bullet"/>
      <w:lvlText w:val="•"/>
      <w:lvlJc w:val="left"/>
      <w:pPr>
        <w:ind w:left="3316" w:hanging="360"/>
      </w:pPr>
      <w:rPr>
        <w:rFonts w:hint="default"/>
      </w:rPr>
    </w:lvl>
    <w:lvl w:ilvl="3">
      <w:start w:val="0"/>
      <w:numFmt w:val="bullet"/>
      <w:lvlText w:val="•"/>
      <w:lvlJc w:val="left"/>
      <w:pPr>
        <w:ind w:left="4424" w:hanging="360"/>
      </w:pPr>
      <w:rPr>
        <w:rFonts w:hint="default"/>
      </w:rPr>
    </w:lvl>
    <w:lvl w:ilvl="4">
      <w:start w:val="0"/>
      <w:numFmt w:val="bullet"/>
      <w:lvlText w:val="•"/>
      <w:lvlJc w:val="left"/>
      <w:pPr>
        <w:ind w:left="5532" w:hanging="360"/>
      </w:pPr>
      <w:rPr>
        <w:rFonts w:hint="default"/>
      </w:rPr>
    </w:lvl>
    <w:lvl w:ilvl="5">
      <w:start w:val="0"/>
      <w:numFmt w:val="bullet"/>
      <w:lvlText w:val="•"/>
      <w:lvlJc w:val="left"/>
      <w:pPr>
        <w:ind w:left="6640" w:hanging="360"/>
      </w:pPr>
      <w:rPr>
        <w:rFonts w:hint="default"/>
      </w:rPr>
    </w:lvl>
    <w:lvl w:ilvl="6">
      <w:start w:val="0"/>
      <w:numFmt w:val="bullet"/>
      <w:lvlText w:val="•"/>
      <w:lvlJc w:val="left"/>
      <w:pPr>
        <w:ind w:left="7748" w:hanging="360"/>
      </w:pPr>
      <w:rPr>
        <w:rFonts w:hint="default"/>
      </w:rPr>
    </w:lvl>
    <w:lvl w:ilvl="7">
      <w:start w:val="0"/>
      <w:numFmt w:val="bullet"/>
      <w:lvlText w:val="•"/>
      <w:lvlJc w:val="left"/>
      <w:pPr>
        <w:ind w:left="8856" w:hanging="360"/>
      </w:pPr>
      <w:rPr>
        <w:rFonts w:hint="default"/>
      </w:rPr>
    </w:lvl>
    <w:lvl w:ilvl="8">
      <w:start w:val="0"/>
      <w:numFmt w:val="bullet"/>
      <w:lvlText w:val="•"/>
      <w:lvlJc w:val="left"/>
      <w:pPr>
        <w:ind w:left="9964" w:hanging="360"/>
      </w:pPr>
      <w:rPr>
        <w:rFonts w:hint="default"/>
      </w:rPr>
    </w:lvl>
  </w:abstractNum>
  <w:abstractNum w:abstractNumId="105">
    <w:multiLevelType w:val="hybridMultilevel"/>
    <w:lvl w:ilvl="0">
      <w:start w:val="0"/>
      <w:numFmt w:val="bullet"/>
      <w:lvlText w:val="-"/>
      <w:lvlJc w:val="left"/>
      <w:pPr>
        <w:ind w:left="1396" w:hanging="360"/>
      </w:pPr>
      <w:rPr>
        <w:rFonts w:hint="default" w:ascii="Times New Roman" w:hAnsi="Times New Roman" w:eastAsia="Times New Roman" w:cs="Times New Roman"/>
        <w:w w:val="99"/>
        <w:sz w:val="38"/>
        <w:szCs w:val="38"/>
      </w:rPr>
    </w:lvl>
    <w:lvl w:ilvl="1">
      <w:start w:val="0"/>
      <w:numFmt w:val="bullet"/>
      <w:lvlText w:val="•"/>
      <w:lvlJc w:val="left"/>
      <w:pPr>
        <w:ind w:left="2478" w:hanging="360"/>
      </w:pPr>
      <w:rPr>
        <w:rFonts w:hint="default"/>
      </w:rPr>
    </w:lvl>
    <w:lvl w:ilvl="2">
      <w:start w:val="0"/>
      <w:numFmt w:val="bullet"/>
      <w:lvlText w:val="•"/>
      <w:lvlJc w:val="left"/>
      <w:pPr>
        <w:ind w:left="3556" w:hanging="360"/>
      </w:pPr>
      <w:rPr>
        <w:rFonts w:hint="default"/>
      </w:rPr>
    </w:lvl>
    <w:lvl w:ilvl="3">
      <w:start w:val="0"/>
      <w:numFmt w:val="bullet"/>
      <w:lvlText w:val="•"/>
      <w:lvlJc w:val="left"/>
      <w:pPr>
        <w:ind w:left="4634" w:hanging="360"/>
      </w:pPr>
      <w:rPr>
        <w:rFonts w:hint="default"/>
      </w:rPr>
    </w:lvl>
    <w:lvl w:ilvl="4">
      <w:start w:val="0"/>
      <w:numFmt w:val="bullet"/>
      <w:lvlText w:val="•"/>
      <w:lvlJc w:val="left"/>
      <w:pPr>
        <w:ind w:left="5712" w:hanging="360"/>
      </w:pPr>
      <w:rPr>
        <w:rFonts w:hint="default"/>
      </w:rPr>
    </w:lvl>
    <w:lvl w:ilvl="5">
      <w:start w:val="0"/>
      <w:numFmt w:val="bullet"/>
      <w:lvlText w:val="•"/>
      <w:lvlJc w:val="left"/>
      <w:pPr>
        <w:ind w:left="6790" w:hanging="360"/>
      </w:pPr>
      <w:rPr>
        <w:rFonts w:hint="default"/>
      </w:rPr>
    </w:lvl>
    <w:lvl w:ilvl="6">
      <w:start w:val="0"/>
      <w:numFmt w:val="bullet"/>
      <w:lvlText w:val="•"/>
      <w:lvlJc w:val="left"/>
      <w:pPr>
        <w:ind w:left="7868" w:hanging="360"/>
      </w:pPr>
      <w:rPr>
        <w:rFonts w:hint="default"/>
      </w:rPr>
    </w:lvl>
    <w:lvl w:ilvl="7">
      <w:start w:val="0"/>
      <w:numFmt w:val="bullet"/>
      <w:lvlText w:val="•"/>
      <w:lvlJc w:val="left"/>
      <w:pPr>
        <w:ind w:left="8946" w:hanging="360"/>
      </w:pPr>
      <w:rPr>
        <w:rFonts w:hint="default"/>
      </w:rPr>
    </w:lvl>
    <w:lvl w:ilvl="8">
      <w:start w:val="0"/>
      <w:numFmt w:val="bullet"/>
      <w:lvlText w:val="•"/>
      <w:lvlJc w:val="left"/>
      <w:pPr>
        <w:ind w:left="10024" w:hanging="360"/>
      </w:pPr>
      <w:rPr>
        <w:rFonts w:hint="default"/>
      </w:rPr>
    </w:lvl>
  </w:abstractNum>
  <w:abstractNum w:abstractNumId="104">
    <w:multiLevelType w:val="hybridMultilevel"/>
    <w:lvl w:ilvl="0">
      <w:start w:val="0"/>
      <w:numFmt w:val="bullet"/>
      <w:lvlText w:val="-"/>
      <w:lvlJc w:val="left"/>
      <w:pPr>
        <w:ind w:left="1031" w:hanging="416"/>
      </w:pPr>
      <w:rPr>
        <w:rFonts w:hint="default" w:ascii="Times New Roman" w:hAnsi="Times New Roman" w:eastAsia="Times New Roman" w:cs="Times New Roman"/>
        <w:b/>
        <w:bCs/>
        <w:w w:val="99"/>
        <w:sz w:val="38"/>
        <w:szCs w:val="38"/>
      </w:rPr>
    </w:lvl>
    <w:lvl w:ilvl="1">
      <w:start w:val="0"/>
      <w:numFmt w:val="bullet"/>
      <w:lvlText w:val="-"/>
      <w:lvlJc w:val="left"/>
      <w:pPr>
        <w:ind w:left="1043" w:hanging="240"/>
      </w:pPr>
      <w:rPr>
        <w:rFonts w:hint="default" w:ascii="Times New Roman" w:hAnsi="Times New Roman" w:eastAsia="Times New Roman" w:cs="Times New Roman"/>
        <w:b/>
        <w:bCs/>
        <w:w w:val="99"/>
        <w:sz w:val="38"/>
        <w:szCs w:val="38"/>
      </w:rPr>
    </w:lvl>
    <w:lvl w:ilvl="2">
      <w:start w:val="0"/>
      <w:numFmt w:val="bullet"/>
      <w:lvlText w:val="•"/>
      <w:lvlJc w:val="left"/>
      <w:pPr>
        <w:ind w:left="2402" w:hanging="240"/>
      </w:pPr>
      <w:rPr>
        <w:rFonts w:hint="default"/>
      </w:rPr>
    </w:lvl>
    <w:lvl w:ilvl="3">
      <w:start w:val="0"/>
      <w:numFmt w:val="bullet"/>
      <w:lvlText w:val="•"/>
      <w:lvlJc w:val="left"/>
      <w:pPr>
        <w:ind w:left="3624" w:hanging="240"/>
      </w:pPr>
      <w:rPr>
        <w:rFonts w:hint="default"/>
      </w:rPr>
    </w:lvl>
    <w:lvl w:ilvl="4">
      <w:start w:val="0"/>
      <w:numFmt w:val="bullet"/>
      <w:lvlText w:val="•"/>
      <w:lvlJc w:val="left"/>
      <w:pPr>
        <w:ind w:left="4846" w:hanging="240"/>
      </w:pPr>
      <w:rPr>
        <w:rFonts w:hint="default"/>
      </w:rPr>
    </w:lvl>
    <w:lvl w:ilvl="5">
      <w:start w:val="0"/>
      <w:numFmt w:val="bullet"/>
      <w:lvlText w:val="•"/>
      <w:lvlJc w:val="left"/>
      <w:pPr>
        <w:ind w:left="6069" w:hanging="240"/>
      </w:pPr>
      <w:rPr>
        <w:rFonts w:hint="default"/>
      </w:rPr>
    </w:lvl>
    <w:lvl w:ilvl="6">
      <w:start w:val="0"/>
      <w:numFmt w:val="bullet"/>
      <w:lvlText w:val="•"/>
      <w:lvlJc w:val="left"/>
      <w:pPr>
        <w:ind w:left="7291" w:hanging="240"/>
      </w:pPr>
      <w:rPr>
        <w:rFonts w:hint="default"/>
      </w:rPr>
    </w:lvl>
    <w:lvl w:ilvl="7">
      <w:start w:val="0"/>
      <w:numFmt w:val="bullet"/>
      <w:lvlText w:val="•"/>
      <w:lvlJc w:val="left"/>
      <w:pPr>
        <w:ind w:left="8513" w:hanging="240"/>
      </w:pPr>
      <w:rPr>
        <w:rFonts w:hint="default"/>
      </w:rPr>
    </w:lvl>
    <w:lvl w:ilvl="8">
      <w:start w:val="0"/>
      <w:numFmt w:val="bullet"/>
      <w:lvlText w:val="•"/>
      <w:lvlJc w:val="left"/>
      <w:pPr>
        <w:ind w:left="9736" w:hanging="240"/>
      </w:pPr>
      <w:rPr>
        <w:rFonts w:hint="default"/>
      </w:rPr>
    </w:lvl>
  </w:abstractNum>
  <w:abstractNum w:abstractNumId="103">
    <w:multiLevelType w:val="hybridMultilevel"/>
    <w:lvl w:ilvl="0">
      <w:start w:val="0"/>
      <w:numFmt w:val="bullet"/>
      <w:lvlText w:val="-"/>
      <w:lvlJc w:val="left"/>
      <w:pPr>
        <w:ind w:left="1178" w:hanging="360"/>
      </w:pPr>
      <w:rPr>
        <w:rFonts w:hint="default" w:ascii="Times New Roman" w:hAnsi="Times New Roman" w:eastAsia="Times New Roman" w:cs="Times New Roman"/>
        <w:w w:val="99"/>
        <w:sz w:val="38"/>
        <w:szCs w:val="38"/>
      </w:rPr>
    </w:lvl>
    <w:lvl w:ilvl="1">
      <w:start w:val="0"/>
      <w:numFmt w:val="bullet"/>
      <w:lvlText w:val="•"/>
      <w:lvlJc w:val="left"/>
      <w:pPr>
        <w:ind w:left="2280" w:hanging="360"/>
      </w:pPr>
      <w:rPr>
        <w:rFonts w:hint="default"/>
      </w:rPr>
    </w:lvl>
    <w:lvl w:ilvl="2">
      <w:start w:val="0"/>
      <w:numFmt w:val="bullet"/>
      <w:lvlText w:val="•"/>
      <w:lvlJc w:val="left"/>
      <w:pPr>
        <w:ind w:left="3380" w:hanging="360"/>
      </w:pPr>
      <w:rPr>
        <w:rFonts w:hint="default"/>
      </w:rPr>
    </w:lvl>
    <w:lvl w:ilvl="3">
      <w:start w:val="0"/>
      <w:numFmt w:val="bullet"/>
      <w:lvlText w:val="•"/>
      <w:lvlJc w:val="left"/>
      <w:pPr>
        <w:ind w:left="4480" w:hanging="360"/>
      </w:pPr>
      <w:rPr>
        <w:rFonts w:hint="default"/>
      </w:rPr>
    </w:lvl>
    <w:lvl w:ilvl="4">
      <w:start w:val="0"/>
      <w:numFmt w:val="bullet"/>
      <w:lvlText w:val="•"/>
      <w:lvlJc w:val="left"/>
      <w:pPr>
        <w:ind w:left="5580" w:hanging="360"/>
      </w:pPr>
      <w:rPr>
        <w:rFonts w:hint="default"/>
      </w:rPr>
    </w:lvl>
    <w:lvl w:ilvl="5">
      <w:start w:val="0"/>
      <w:numFmt w:val="bullet"/>
      <w:lvlText w:val="•"/>
      <w:lvlJc w:val="left"/>
      <w:pPr>
        <w:ind w:left="6680" w:hanging="360"/>
      </w:pPr>
      <w:rPr>
        <w:rFonts w:hint="default"/>
      </w:rPr>
    </w:lvl>
    <w:lvl w:ilvl="6">
      <w:start w:val="0"/>
      <w:numFmt w:val="bullet"/>
      <w:lvlText w:val="•"/>
      <w:lvlJc w:val="left"/>
      <w:pPr>
        <w:ind w:left="7780" w:hanging="360"/>
      </w:pPr>
      <w:rPr>
        <w:rFonts w:hint="default"/>
      </w:rPr>
    </w:lvl>
    <w:lvl w:ilvl="7">
      <w:start w:val="0"/>
      <w:numFmt w:val="bullet"/>
      <w:lvlText w:val="•"/>
      <w:lvlJc w:val="left"/>
      <w:pPr>
        <w:ind w:left="8880" w:hanging="360"/>
      </w:pPr>
      <w:rPr>
        <w:rFonts w:hint="default"/>
      </w:rPr>
    </w:lvl>
    <w:lvl w:ilvl="8">
      <w:start w:val="0"/>
      <w:numFmt w:val="bullet"/>
      <w:lvlText w:val="•"/>
      <w:lvlJc w:val="left"/>
      <w:pPr>
        <w:ind w:left="9980" w:hanging="360"/>
      </w:pPr>
      <w:rPr>
        <w:rFonts w:hint="default"/>
      </w:rPr>
    </w:lvl>
  </w:abstractNum>
  <w:abstractNum w:abstractNumId="102">
    <w:multiLevelType w:val="hybridMultilevel"/>
    <w:lvl w:ilvl="0">
      <w:start w:val="0"/>
      <w:numFmt w:val="bullet"/>
      <w:lvlText w:val="-"/>
      <w:lvlJc w:val="left"/>
      <w:pPr>
        <w:ind w:left="1617" w:hanging="644"/>
      </w:pPr>
      <w:rPr>
        <w:rFonts w:hint="default" w:ascii="Times New Roman" w:hAnsi="Times New Roman" w:eastAsia="Times New Roman" w:cs="Times New Roman"/>
        <w:w w:val="99"/>
        <w:sz w:val="38"/>
        <w:szCs w:val="38"/>
      </w:rPr>
    </w:lvl>
    <w:lvl w:ilvl="1">
      <w:start w:val="0"/>
      <w:numFmt w:val="bullet"/>
      <w:lvlText w:val="•"/>
      <w:lvlJc w:val="left"/>
      <w:pPr>
        <w:ind w:left="2676" w:hanging="644"/>
      </w:pPr>
      <w:rPr>
        <w:rFonts w:hint="default"/>
      </w:rPr>
    </w:lvl>
    <w:lvl w:ilvl="2">
      <w:start w:val="0"/>
      <w:numFmt w:val="bullet"/>
      <w:lvlText w:val="•"/>
      <w:lvlJc w:val="left"/>
      <w:pPr>
        <w:ind w:left="3732" w:hanging="644"/>
      </w:pPr>
      <w:rPr>
        <w:rFonts w:hint="default"/>
      </w:rPr>
    </w:lvl>
    <w:lvl w:ilvl="3">
      <w:start w:val="0"/>
      <w:numFmt w:val="bullet"/>
      <w:lvlText w:val="•"/>
      <w:lvlJc w:val="left"/>
      <w:pPr>
        <w:ind w:left="4788" w:hanging="644"/>
      </w:pPr>
      <w:rPr>
        <w:rFonts w:hint="default"/>
      </w:rPr>
    </w:lvl>
    <w:lvl w:ilvl="4">
      <w:start w:val="0"/>
      <w:numFmt w:val="bullet"/>
      <w:lvlText w:val="•"/>
      <w:lvlJc w:val="left"/>
      <w:pPr>
        <w:ind w:left="5844" w:hanging="644"/>
      </w:pPr>
      <w:rPr>
        <w:rFonts w:hint="default"/>
      </w:rPr>
    </w:lvl>
    <w:lvl w:ilvl="5">
      <w:start w:val="0"/>
      <w:numFmt w:val="bullet"/>
      <w:lvlText w:val="•"/>
      <w:lvlJc w:val="left"/>
      <w:pPr>
        <w:ind w:left="6900" w:hanging="644"/>
      </w:pPr>
      <w:rPr>
        <w:rFonts w:hint="default"/>
      </w:rPr>
    </w:lvl>
    <w:lvl w:ilvl="6">
      <w:start w:val="0"/>
      <w:numFmt w:val="bullet"/>
      <w:lvlText w:val="•"/>
      <w:lvlJc w:val="left"/>
      <w:pPr>
        <w:ind w:left="7956" w:hanging="644"/>
      </w:pPr>
      <w:rPr>
        <w:rFonts w:hint="default"/>
      </w:rPr>
    </w:lvl>
    <w:lvl w:ilvl="7">
      <w:start w:val="0"/>
      <w:numFmt w:val="bullet"/>
      <w:lvlText w:val="•"/>
      <w:lvlJc w:val="left"/>
      <w:pPr>
        <w:ind w:left="9012" w:hanging="644"/>
      </w:pPr>
      <w:rPr>
        <w:rFonts w:hint="default"/>
      </w:rPr>
    </w:lvl>
    <w:lvl w:ilvl="8">
      <w:start w:val="0"/>
      <w:numFmt w:val="bullet"/>
      <w:lvlText w:val="•"/>
      <w:lvlJc w:val="left"/>
      <w:pPr>
        <w:ind w:left="10068" w:hanging="644"/>
      </w:pPr>
      <w:rPr>
        <w:rFonts w:hint="default"/>
      </w:rPr>
    </w:lvl>
  </w:abstractNum>
  <w:abstractNum w:abstractNumId="101">
    <w:multiLevelType w:val="hybridMultilevel"/>
    <w:lvl w:ilvl="0">
      <w:start w:val="0"/>
      <w:numFmt w:val="bullet"/>
      <w:lvlText w:val="-"/>
      <w:lvlJc w:val="left"/>
      <w:pPr>
        <w:ind w:left="1182" w:hanging="238"/>
      </w:pPr>
      <w:rPr>
        <w:rFonts w:hint="default" w:ascii="Times New Roman" w:hAnsi="Times New Roman" w:eastAsia="Times New Roman" w:cs="Times New Roman"/>
        <w:w w:val="99"/>
        <w:sz w:val="38"/>
        <w:szCs w:val="38"/>
      </w:rPr>
    </w:lvl>
    <w:lvl w:ilvl="1">
      <w:start w:val="0"/>
      <w:numFmt w:val="bullet"/>
      <w:lvlText w:val="•"/>
      <w:lvlJc w:val="left"/>
      <w:pPr>
        <w:ind w:left="2280" w:hanging="238"/>
      </w:pPr>
      <w:rPr>
        <w:rFonts w:hint="default"/>
      </w:rPr>
    </w:lvl>
    <w:lvl w:ilvl="2">
      <w:start w:val="0"/>
      <w:numFmt w:val="bullet"/>
      <w:lvlText w:val="•"/>
      <w:lvlJc w:val="left"/>
      <w:pPr>
        <w:ind w:left="3380" w:hanging="238"/>
      </w:pPr>
      <w:rPr>
        <w:rFonts w:hint="default"/>
      </w:rPr>
    </w:lvl>
    <w:lvl w:ilvl="3">
      <w:start w:val="0"/>
      <w:numFmt w:val="bullet"/>
      <w:lvlText w:val="•"/>
      <w:lvlJc w:val="left"/>
      <w:pPr>
        <w:ind w:left="4480" w:hanging="238"/>
      </w:pPr>
      <w:rPr>
        <w:rFonts w:hint="default"/>
      </w:rPr>
    </w:lvl>
    <w:lvl w:ilvl="4">
      <w:start w:val="0"/>
      <w:numFmt w:val="bullet"/>
      <w:lvlText w:val="•"/>
      <w:lvlJc w:val="left"/>
      <w:pPr>
        <w:ind w:left="5580" w:hanging="238"/>
      </w:pPr>
      <w:rPr>
        <w:rFonts w:hint="default"/>
      </w:rPr>
    </w:lvl>
    <w:lvl w:ilvl="5">
      <w:start w:val="0"/>
      <w:numFmt w:val="bullet"/>
      <w:lvlText w:val="•"/>
      <w:lvlJc w:val="left"/>
      <w:pPr>
        <w:ind w:left="6680" w:hanging="238"/>
      </w:pPr>
      <w:rPr>
        <w:rFonts w:hint="default"/>
      </w:rPr>
    </w:lvl>
    <w:lvl w:ilvl="6">
      <w:start w:val="0"/>
      <w:numFmt w:val="bullet"/>
      <w:lvlText w:val="•"/>
      <w:lvlJc w:val="left"/>
      <w:pPr>
        <w:ind w:left="7780" w:hanging="238"/>
      </w:pPr>
      <w:rPr>
        <w:rFonts w:hint="default"/>
      </w:rPr>
    </w:lvl>
    <w:lvl w:ilvl="7">
      <w:start w:val="0"/>
      <w:numFmt w:val="bullet"/>
      <w:lvlText w:val="•"/>
      <w:lvlJc w:val="left"/>
      <w:pPr>
        <w:ind w:left="8880" w:hanging="238"/>
      </w:pPr>
      <w:rPr>
        <w:rFonts w:hint="default"/>
      </w:rPr>
    </w:lvl>
    <w:lvl w:ilvl="8">
      <w:start w:val="0"/>
      <w:numFmt w:val="bullet"/>
      <w:lvlText w:val="•"/>
      <w:lvlJc w:val="left"/>
      <w:pPr>
        <w:ind w:left="9980" w:hanging="238"/>
      </w:pPr>
      <w:rPr>
        <w:rFonts w:hint="default"/>
      </w:rPr>
    </w:lvl>
  </w:abstractNum>
  <w:abstractNum w:abstractNumId="100">
    <w:multiLevelType w:val="hybridMultilevel"/>
    <w:lvl w:ilvl="0">
      <w:start w:val="0"/>
      <w:numFmt w:val="bullet"/>
      <w:lvlText w:val="-"/>
      <w:lvlJc w:val="left"/>
      <w:pPr>
        <w:ind w:left="1319" w:hanging="360"/>
      </w:pPr>
      <w:rPr>
        <w:rFonts w:hint="default" w:ascii="Times New Roman" w:hAnsi="Times New Roman" w:eastAsia="Times New Roman" w:cs="Times New Roman"/>
        <w:w w:val="99"/>
        <w:sz w:val="38"/>
        <w:szCs w:val="38"/>
      </w:rPr>
    </w:lvl>
    <w:lvl w:ilvl="1">
      <w:start w:val="0"/>
      <w:numFmt w:val="bullet"/>
      <w:lvlText w:val="•"/>
      <w:lvlJc w:val="left"/>
      <w:pPr>
        <w:ind w:left="2406" w:hanging="360"/>
      </w:pPr>
      <w:rPr>
        <w:rFonts w:hint="default"/>
      </w:rPr>
    </w:lvl>
    <w:lvl w:ilvl="2">
      <w:start w:val="0"/>
      <w:numFmt w:val="bullet"/>
      <w:lvlText w:val="•"/>
      <w:lvlJc w:val="left"/>
      <w:pPr>
        <w:ind w:left="3492" w:hanging="360"/>
      </w:pPr>
      <w:rPr>
        <w:rFonts w:hint="default"/>
      </w:rPr>
    </w:lvl>
    <w:lvl w:ilvl="3">
      <w:start w:val="0"/>
      <w:numFmt w:val="bullet"/>
      <w:lvlText w:val="•"/>
      <w:lvlJc w:val="left"/>
      <w:pPr>
        <w:ind w:left="4578" w:hanging="360"/>
      </w:pPr>
      <w:rPr>
        <w:rFonts w:hint="default"/>
      </w:rPr>
    </w:lvl>
    <w:lvl w:ilvl="4">
      <w:start w:val="0"/>
      <w:numFmt w:val="bullet"/>
      <w:lvlText w:val="•"/>
      <w:lvlJc w:val="left"/>
      <w:pPr>
        <w:ind w:left="5664" w:hanging="360"/>
      </w:pPr>
      <w:rPr>
        <w:rFonts w:hint="default"/>
      </w:rPr>
    </w:lvl>
    <w:lvl w:ilvl="5">
      <w:start w:val="0"/>
      <w:numFmt w:val="bullet"/>
      <w:lvlText w:val="•"/>
      <w:lvlJc w:val="left"/>
      <w:pPr>
        <w:ind w:left="6750" w:hanging="360"/>
      </w:pPr>
      <w:rPr>
        <w:rFonts w:hint="default"/>
      </w:rPr>
    </w:lvl>
    <w:lvl w:ilvl="6">
      <w:start w:val="0"/>
      <w:numFmt w:val="bullet"/>
      <w:lvlText w:val="•"/>
      <w:lvlJc w:val="left"/>
      <w:pPr>
        <w:ind w:left="7836" w:hanging="360"/>
      </w:pPr>
      <w:rPr>
        <w:rFonts w:hint="default"/>
      </w:rPr>
    </w:lvl>
    <w:lvl w:ilvl="7">
      <w:start w:val="0"/>
      <w:numFmt w:val="bullet"/>
      <w:lvlText w:val="•"/>
      <w:lvlJc w:val="left"/>
      <w:pPr>
        <w:ind w:left="8922" w:hanging="360"/>
      </w:pPr>
      <w:rPr>
        <w:rFonts w:hint="default"/>
      </w:rPr>
    </w:lvl>
    <w:lvl w:ilvl="8">
      <w:start w:val="0"/>
      <w:numFmt w:val="bullet"/>
      <w:lvlText w:val="•"/>
      <w:lvlJc w:val="left"/>
      <w:pPr>
        <w:ind w:left="10008" w:hanging="360"/>
      </w:pPr>
      <w:rPr>
        <w:rFonts w:hint="default"/>
      </w:rPr>
    </w:lvl>
  </w:abstractNum>
  <w:abstractNum w:abstractNumId="99">
    <w:multiLevelType w:val="hybridMultilevel"/>
    <w:lvl w:ilvl="0">
      <w:start w:val="0"/>
      <w:numFmt w:val="bullet"/>
      <w:lvlText w:val="-"/>
      <w:lvlJc w:val="left"/>
      <w:pPr>
        <w:ind w:left="1096" w:hanging="360"/>
      </w:pPr>
      <w:rPr>
        <w:rFonts w:hint="default" w:ascii="Times New Roman" w:hAnsi="Times New Roman" w:eastAsia="Times New Roman" w:cs="Times New Roman"/>
        <w:w w:val="99"/>
        <w:sz w:val="38"/>
        <w:szCs w:val="38"/>
      </w:rPr>
    </w:lvl>
    <w:lvl w:ilvl="1">
      <w:start w:val="0"/>
      <w:numFmt w:val="bullet"/>
      <w:lvlText w:val="-"/>
      <w:lvlJc w:val="left"/>
      <w:pPr>
        <w:ind w:left="1461" w:hanging="360"/>
      </w:pPr>
      <w:rPr>
        <w:rFonts w:hint="default" w:ascii="Times New Roman" w:hAnsi="Times New Roman" w:eastAsia="Times New Roman" w:cs="Times New Roman"/>
        <w:w w:val="99"/>
        <w:sz w:val="38"/>
        <w:szCs w:val="38"/>
      </w:rPr>
    </w:lvl>
    <w:lvl w:ilvl="2">
      <w:start w:val="0"/>
      <w:numFmt w:val="bullet"/>
      <w:lvlText w:val="•"/>
      <w:lvlJc w:val="left"/>
      <w:pPr>
        <w:ind w:left="2651" w:hanging="360"/>
      </w:pPr>
      <w:rPr>
        <w:rFonts w:hint="default"/>
      </w:rPr>
    </w:lvl>
    <w:lvl w:ilvl="3">
      <w:start w:val="0"/>
      <w:numFmt w:val="bullet"/>
      <w:lvlText w:val="•"/>
      <w:lvlJc w:val="left"/>
      <w:pPr>
        <w:ind w:left="3842" w:hanging="360"/>
      </w:pPr>
      <w:rPr>
        <w:rFonts w:hint="default"/>
      </w:rPr>
    </w:lvl>
    <w:lvl w:ilvl="4">
      <w:start w:val="0"/>
      <w:numFmt w:val="bullet"/>
      <w:lvlText w:val="•"/>
      <w:lvlJc w:val="left"/>
      <w:pPr>
        <w:ind w:left="5033" w:hanging="360"/>
      </w:pPr>
      <w:rPr>
        <w:rFonts w:hint="default"/>
      </w:rPr>
    </w:lvl>
    <w:lvl w:ilvl="5">
      <w:start w:val="0"/>
      <w:numFmt w:val="bullet"/>
      <w:lvlText w:val="•"/>
      <w:lvlJc w:val="left"/>
      <w:pPr>
        <w:ind w:left="6224" w:hanging="360"/>
      </w:pPr>
      <w:rPr>
        <w:rFonts w:hint="default"/>
      </w:rPr>
    </w:lvl>
    <w:lvl w:ilvl="6">
      <w:start w:val="0"/>
      <w:numFmt w:val="bullet"/>
      <w:lvlText w:val="•"/>
      <w:lvlJc w:val="left"/>
      <w:pPr>
        <w:ind w:left="7416" w:hanging="360"/>
      </w:pPr>
      <w:rPr>
        <w:rFonts w:hint="default"/>
      </w:rPr>
    </w:lvl>
    <w:lvl w:ilvl="7">
      <w:start w:val="0"/>
      <w:numFmt w:val="bullet"/>
      <w:lvlText w:val="•"/>
      <w:lvlJc w:val="left"/>
      <w:pPr>
        <w:ind w:left="8607" w:hanging="360"/>
      </w:pPr>
      <w:rPr>
        <w:rFonts w:hint="default"/>
      </w:rPr>
    </w:lvl>
    <w:lvl w:ilvl="8">
      <w:start w:val="0"/>
      <w:numFmt w:val="bullet"/>
      <w:lvlText w:val="•"/>
      <w:lvlJc w:val="left"/>
      <w:pPr>
        <w:ind w:left="9798" w:hanging="360"/>
      </w:pPr>
      <w:rPr>
        <w:rFonts w:hint="default"/>
      </w:rPr>
    </w:lvl>
  </w:abstractNum>
  <w:abstractNum w:abstractNumId="98">
    <w:multiLevelType w:val="hybridMultilevel"/>
    <w:lvl w:ilvl="0">
      <w:start w:val="0"/>
      <w:numFmt w:val="bullet"/>
      <w:lvlText w:val="-"/>
      <w:lvlJc w:val="left"/>
      <w:pPr>
        <w:ind w:left="1394" w:hanging="360"/>
      </w:pPr>
      <w:rPr>
        <w:rFonts w:hint="default" w:ascii="Times New Roman" w:hAnsi="Times New Roman" w:eastAsia="Times New Roman" w:cs="Times New Roman"/>
        <w:w w:val="99"/>
        <w:sz w:val="38"/>
        <w:szCs w:val="38"/>
      </w:rPr>
    </w:lvl>
    <w:lvl w:ilvl="1">
      <w:start w:val="0"/>
      <w:numFmt w:val="bullet"/>
      <w:lvlText w:val="•"/>
      <w:lvlJc w:val="left"/>
      <w:pPr>
        <w:ind w:left="2478" w:hanging="360"/>
      </w:pPr>
      <w:rPr>
        <w:rFonts w:hint="default"/>
      </w:rPr>
    </w:lvl>
    <w:lvl w:ilvl="2">
      <w:start w:val="0"/>
      <w:numFmt w:val="bullet"/>
      <w:lvlText w:val="•"/>
      <w:lvlJc w:val="left"/>
      <w:pPr>
        <w:ind w:left="3556" w:hanging="360"/>
      </w:pPr>
      <w:rPr>
        <w:rFonts w:hint="default"/>
      </w:rPr>
    </w:lvl>
    <w:lvl w:ilvl="3">
      <w:start w:val="0"/>
      <w:numFmt w:val="bullet"/>
      <w:lvlText w:val="•"/>
      <w:lvlJc w:val="left"/>
      <w:pPr>
        <w:ind w:left="4634" w:hanging="360"/>
      </w:pPr>
      <w:rPr>
        <w:rFonts w:hint="default"/>
      </w:rPr>
    </w:lvl>
    <w:lvl w:ilvl="4">
      <w:start w:val="0"/>
      <w:numFmt w:val="bullet"/>
      <w:lvlText w:val="•"/>
      <w:lvlJc w:val="left"/>
      <w:pPr>
        <w:ind w:left="5712" w:hanging="360"/>
      </w:pPr>
      <w:rPr>
        <w:rFonts w:hint="default"/>
      </w:rPr>
    </w:lvl>
    <w:lvl w:ilvl="5">
      <w:start w:val="0"/>
      <w:numFmt w:val="bullet"/>
      <w:lvlText w:val="•"/>
      <w:lvlJc w:val="left"/>
      <w:pPr>
        <w:ind w:left="6790" w:hanging="360"/>
      </w:pPr>
      <w:rPr>
        <w:rFonts w:hint="default"/>
      </w:rPr>
    </w:lvl>
    <w:lvl w:ilvl="6">
      <w:start w:val="0"/>
      <w:numFmt w:val="bullet"/>
      <w:lvlText w:val="•"/>
      <w:lvlJc w:val="left"/>
      <w:pPr>
        <w:ind w:left="7868" w:hanging="360"/>
      </w:pPr>
      <w:rPr>
        <w:rFonts w:hint="default"/>
      </w:rPr>
    </w:lvl>
    <w:lvl w:ilvl="7">
      <w:start w:val="0"/>
      <w:numFmt w:val="bullet"/>
      <w:lvlText w:val="•"/>
      <w:lvlJc w:val="left"/>
      <w:pPr>
        <w:ind w:left="8946" w:hanging="360"/>
      </w:pPr>
      <w:rPr>
        <w:rFonts w:hint="default"/>
      </w:rPr>
    </w:lvl>
    <w:lvl w:ilvl="8">
      <w:start w:val="0"/>
      <w:numFmt w:val="bullet"/>
      <w:lvlText w:val="•"/>
      <w:lvlJc w:val="left"/>
      <w:pPr>
        <w:ind w:left="10024" w:hanging="360"/>
      </w:pPr>
      <w:rPr>
        <w:rFonts w:hint="default"/>
      </w:rPr>
    </w:lvl>
  </w:abstractNum>
  <w:abstractNum w:abstractNumId="97">
    <w:multiLevelType w:val="hybridMultilevel"/>
    <w:lvl w:ilvl="0">
      <w:start w:val="0"/>
      <w:numFmt w:val="bullet"/>
      <w:lvlText w:val="-"/>
      <w:lvlJc w:val="left"/>
      <w:pPr>
        <w:ind w:left="1036" w:hanging="420"/>
      </w:pPr>
      <w:rPr>
        <w:rFonts w:hint="default" w:ascii="Times New Roman" w:hAnsi="Times New Roman" w:eastAsia="Times New Roman" w:cs="Times New Roman"/>
        <w:w w:val="99"/>
        <w:sz w:val="38"/>
        <w:szCs w:val="38"/>
      </w:rPr>
    </w:lvl>
    <w:lvl w:ilvl="1">
      <w:start w:val="0"/>
      <w:numFmt w:val="bullet"/>
      <w:lvlText w:val="•"/>
      <w:lvlJc w:val="left"/>
      <w:pPr>
        <w:ind w:left="2154" w:hanging="420"/>
      </w:pPr>
      <w:rPr>
        <w:rFonts w:hint="default"/>
      </w:rPr>
    </w:lvl>
    <w:lvl w:ilvl="2">
      <w:start w:val="0"/>
      <w:numFmt w:val="bullet"/>
      <w:lvlText w:val="•"/>
      <w:lvlJc w:val="left"/>
      <w:pPr>
        <w:ind w:left="3268" w:hanging="420"/>
      </w:pPr>
      <w:rPr>
        <w:rFonts w:hint="default"/>
      </w:rPr>
    </w:lvl>
    <w:lvl w:ilvl="3">
      <w:start w:val="0"/>
      <w:numFmt w:val="bullet"/>
      <w:lvlText w:val="•"/>
      <w:lvlJc w:val="left"/>
      <w:pPr>
        <w:ind w:left="4382" w:hanging="420"/>
      </w:pPr>
      <w:rPr>
        <w:rFonts w:hint="default"/>
      </w:rPr>
    </w:lvl>
    <w:lvl w:ilvl="4">
      <w:start w:val="0"/>
      <w:numFmt w:val="bullet"/>
      <w:lvlText w:val="•"/>
      <w:lvlJc w:val="left"/>
      <w:pPr>
        <w:ind w:left="5496" w:hanging="420"/>
      </w:pPr>
      <w:rPr>
        <w:rFonts w:hint="default"/>
      </w:rPr>
    </w:lvl>
    <w:lvl w:ilvl="5">
      <w:start w:val="0"/>
      <w:numFmt w:val="bullet"/>
      <w:lvlText w:val="•"/>
      <w:lvlJc w:val="left"/>
      <w:pPr>
        <w:ind w:left="6610" w:hanging="420"/>
      </w:pPr>
      <w:rPr>
        <w:rFonts w:hint="default"/>
      </w:rPr>
    </w:lvl>
    <w:lvl w:ilvl="6">
      <w:start w:val="0"/>
      <w:numFmt w:val="bullet"/>
      <w:lvlText w:val="•"/>
      <w:lvlJc w:val="left"/>
      <w:pPr>
        <w:ind w:left="7724" w:hanging="420"/>
      </w:pPr>
      <w:rPr>
        <w:rFonts w:hint="default"/>
      </w:rPr>
    </w:lvl>
    <w:lvl w:ilvl="7">
      <w:start w:val="0"/>
      <w:numFmt w:val="bullet"/>
      <w:lvlText w:val="•"/>
      <w:lvlJc w:val="left"/>
      <w:pPr>
        <w:ind w:left="8838" w:hanging="420"/>
      </w:pPr>
      <w:rPr>
        <w:rFonts w:hint="default"/>
      </w:rPr>
    </w:lvl>
    <w:lvl w:ilvl="8">
      <w:start w:val="0"/>
      <w:numFmt w:val="bullet"/>
      <w:lvlText w:val="•"/>
      <w:lvlJc w:val="left"/>
      <w:pPr>
        <w:ind w:left="9952" w:hanging="420"/>
      </w:pPr>
      <w:rPr>
        <w:rFonts w:hint="default"/>
      </w:rPr>
    </w:lvl>
  </w:abstractNum>
  <w:abstractNum w:abstractNumId="96">
    <w:multiLevelType w:val="hybridMultilevel"/>
    <w:lvl w:ilvl="0">
      <w:start w:val="0"/>
      <w:numFmt w:val="bullet"/>
      <w:lvlText w:val="-"/>
      <w:lvlJc w:val="left"/>
      <w:pPr>
        <w:ind w:left="1329" w:hanging="356"/>
      </w:pPr>
      <w:rPr>
        <w:rFonts w:hint="default" w:ascii="Times New Roman" w:hAnsi="Times New Roman" w:eastAsia="Times New Roman" w:cs="Times New Roman"/>
        <w:w w:val="99"/>
        <w:sz w:val="38"/>
        <w:szCs w:val="38"/>
      </w:rPr>
    </w:lvl>
    <w:lvl w:ilvl="1">
      <w:start w:val="0"/>
      <w:numFmt w:val="bullet"/>
      <w:lvlText w:val="•"/>
      <w:lvlJc w:val="left"/>
      <w:pPr>
        <w:ind w:left="2406" w:hanging="356"/>
      </w:pPr>
      <w:rPr>
        <w:rFonts w:hint="default"/>
      </w:rPr>
    </w:lvl>
    <w:lvl w:ilvl="2">
      <w:start w:val="0"/>
      <w:numFmt w:val="bullet"/>
      <w:lvlText w:val="•"/>
      <w:lvlJc w:val="left"/>
      <w:pPr>
        <w:ind w:left="3492" w:hanging="356"/>
      </w:pPr>
      <w:rPr>
        <w:rFonts w:hint="default"/>
      </w:rPr>
    </w:lvl>
    <w:lvl w:ilvl="3">
      <w:start w:val="0"/>
      <w:numFmt w:val="bullet"/>
      <w:lvlText w:val="•"/>
      <w:lvlJc w:val="left"/>
      <w:pPr>
        <w:ind w:left="4578" w:hanging="356"/>
      </w:pPr>
      <w:rPr>
        <w:rFonts w:hint="default"/>
      </w:rPr>
    </w:lvl>
    <w:lvl w:ilvl="4">
      <w:start w:val="0"/>
      <w:numFmt w:val="bullet"/>
      <w:lvlText w:val="•"/>
      <w:lvlJc w:val="left"/>
      <w:pPr>
        <w:ind w:left="5664" w:hanging="356"/>
      </w:pPr>
      <w:rPr>
        <w:rFonts w:hint="default"/>
      </w:rPr>
    </w:lvl>
    <w:lvl w:ilvl="5">
      <w:start w:val="0"/>
      <w:numFmt w:val="bullet"/>
      <w:lvlText w:val="•"/>
      <w:lvlJc w:val="left"/>
      <w:pPr>
        <w:ind w:left="6750" w:hanging="356"/>
      </w:pPr>
      <w:rPr>
        <w:rFonts w:hint="default"/>
      </w:rPr>
    </w:lvl>
    <w:lvl w:ilvl="6">
      <w:start w:val="0"/>
      <w:numFmt w:val="bullet"/>
      <w:lvlText w:val="•"/>
      <w:lvlJc w:val="left"/>
      <w:pPr>
        <w:ind w:left="7836" w:hanging="356"/>
      </w:pPr>
      <w:rPr>
        <w:rFonts w:hint="default"/>
      </w:rPr>
    </w:lvl>
    <w:lvl w:ilvl="7">
      <w:start w:val="0"/>
      <w:numFmt w:val="bullet"/>
      <w:lvlText w:val="•"/>
      <w:lvlJc w:val="left"/>
      <w:pPr>
        <w:ind w:left="8922" w:hanging="356"/>
      </w:pPr>
      <w:rPr>
        <w:rFonts w:hint="default"/>
      </w:rPr>
    </w:lvl>
    <w:lvl w:ilvl="8">
      <w:start w:val="0"/>
      <w:numFmt w:val="bullet"/>
      <w:lvlText w:val="•"/>
      <w:lvlJc w:val="left"/>
      <w:pPr>
        <w:ind w:left="10008" w:hanging="356"/>
      </w:pPr>
      <w:rPr>
        <w:rFonts w:hint="default"/>
      </w:rPr>
    </w:lvl>
  </w:abstractNum>
  <w:abstractNum w:abstractNumId="95">
    <w:multiLevelType w:val="hybridMultilevel"/>
    <w:lvl w:ilvl="0">
      <w:start w:val="0"/>
      <w:numFmt w:val="bullet"/>
      <w:lvlText w:val=""/>
      <w:lvlJc w:val="left"/>
      <w:pPr>
        <w:ind w:left="1329" w:hanging="641"/>
      </w:pPr>
      <w:rPr>
        <w:rFonts w:hint="default" w:ascii="Symbol" w:hAnsi="Symbol" w:eastAsia="Symbol" w:cs="Symbol"/>
        <w:w w:val="99"/>
        <w:sz w:val="38"/>
        <w:szCs w:val="38"/>
      </w:rPr>
    </w:lvl>
    <w:lvl w:ilvl="1">
      <w:start w:val="0"/>
      <w:numFmt w:val="bullet"/>
      <w:lvlText w:val="•"/>
      <w:lvlJc w:val="left"/>
      <w:pPr>
        <w:ind w:left="2406" w:hanging="641"/>
      </w:pPr>
      <w:rPr>
        <w:rFonts w:hint="default"/>
      </w:rPr>
    </w:lvl>
    <w:lvl w:ilvl="2">
      <w:start w:val="0"/>
      <w:numFmt w:val="bullet"/>
      <w:lvlText w:val="•"/>
      <w:lvlJc w:val="left"/>
      <w:pPr>
        <w:ind w:left="3492" w:hanging="641"/>
      </w:pPr>
      <w:rPr>
        <w:rFonts w:hint="default"/>
      </w:rPr>
    </w:lvl>
    <w:lvl w:ilvl="3">
      <w:start w:val="0"/>
      <w:numFmt w:val="bullet"/>
      <w:lvlText w:val="•"/>
      <w:lvlJc w:val="left"/>
      <w:pPr>
        <w:ind w:left="4578" w:hanging="641"/>
      </w:pPr>
      <w:rPr>
        <w:rFonts w:hint="default"/>
      </w:rPr>
    </w:lvl>
    <w:lvl w:ilvl="4">
      <w:start w:val="0"/>
      <w:numFmt w:val="bullet"/>
      <w:lvlText w:val="•"/>
      <w:lvlJc w:val="left"/>
      <w:pPr>
        <w:ind w:left="5664" w:hanging="641"/>
      </w:pPr>
      <w:rPr>
        <w:rFonts w:hint="default"/>
      </w:rPr>
    </w:lvl>
    <w:lvl w:ilvl="5">
      <w:start w:val="0"/>
      <w:numFmt w:val="bullet"/>
      <w:lvlText w:val="•"/>
      <w:lvlJc w:val="left"/>
      <w:pPr>
        <w:ind w:left="6750" w:hanging="641"/>
      </w:pPr>
      <w:rPr>
        <w:rFonts w:hint="default"/>
      </w:rPr>
    </w:lvl>
    <w:lvl w:ilvl="6">
      <w:start w:val="0"/>
      <w:numFmt w:val="bullet"/>
      <w:lvlText w:val="•"/>
      <w:lvlJc w:val="left"/>
      <w:pPr>
        <w:ind w:left="7836" w:hanging="641"/>
      </w:pPr>
      <w:rPr>
        <w:rFonts w:hint="default"/>
      </w:rPr>
    </w:lvl>
    <w:lvl w:ilvl="7">
      <w:start w:val="0"/>
      <w:numFmt w:val="bullet"/>
      <w:lvlText w:val="•"/>
      <w:lvlJc w:val="left"/>
      <w:pPr>
        <w:ind w:left="8922" w:hanging="641"/>
      </w:pPr>
      <w:rPr>
        <w:rFonts w:hint="default"/>
      </w:rPr>
    </w:lvl>
    <w:lvl w:ilvl="8">
      <w:start w:val="0"/>
      <w:numFmt w:val="bullet"/>
      <w:lvlText w:val="•"/>
      <w:lvlJc w:val="left"/>
      <w:pPr>
        <w:ind w:left="10008" w:hanging="641"/>
      </w:pPr>
      <w:rPr>
        <w:rFonts w:hint="default"/>
      </w:rPr>
    </w:lvl>
  </w:abstractNum>
  <w:abstractNum w:abstractNumId="94">
    <w:multiLevelType w:val="hybridMultilevel"/>
    <w:lvl w:ilvl="0">
      <w:start w:val="0"/>
      <w:numFmt w:val="bullet"/>
      <w:lvlText w:val="-"/>
      <w:lvlJc w:val="left"/>
      <w:pPr>
        <w:ind w:left="1031" w:hanging="416"/>
      </w:pPr>
      <w:rPr>
        <w:rFonts w:hint="default" w:ascii="Times New Roman" w:hAnsi="Times New Roman" w:eastAsia="Times New Roman" w:cs="Times New Roman"/>
        <w:b/>
        <w:bCs/>
        <w:w w:val="99"/>
        <w:sz w:val="38"/>
        <w:szCs w:val="38"/>
      </w:rPr>
    </w:lvl>
    <w:lvl w:ilvl="1">
      <w:start w:val="0"/>
      <w:numFmt w:val="bullet"/>
      <w:lvlText w:val="•"/>
      <w:lvlJc w:val="left"/>
      <w:pPr>
        <w:ind w:left="1756" w:hanging="358"/>
      </w:pPr>
      <w:rPr>
        <w:rFonts w:hint="default" w:ascii="Garamond" w:hAnsi="Garamond" w:eastAsia="Garamond" w:cs="Garamond"/>
        <w:w w:val="99"/>
        <w:sz w:val="38"/>
        <w:szCs w:val="38"/>
      </w:rPr>
    </w:lvl>
    <w:lvl w:ilvl="2">
      <w:start w:val="0"/>
      <w:numFmt w:val="bullet"/>
      <w:lvlText w:val="•"/>
      <w:lvlJc w:val="left"/>
      <w:pPr>
        <w:ind w:left="2917" w:hanging="358"/>
      </w:pPr>
      <w:rPr>
        <w:rFonts w:hint="default"/>
      </w:rPr>
    </w:lvl>
    <w:lvl w:ilvl="3">
      <w:start w:val="0"/>
      <w:numFmt w:val="bullet"/>
      <w:lvlText w:val="•"/>
      <w:lvlJc w:val="left"/>
      <w:pPr>
        <w:ind w:left="4075" w:hanging="358"/>
      </w:pPr>
      <w:rPr>
        <w:rFonts w:hint="default"/>
      </w:rPr>
    </w:lvl>
    <w:lvl w:ilvl="4">
      <w:start w:val="0"/>
      <w:numFmt w:val="bullet"/>
      <w:lvlText w:val="•"/>
      <w:lvlJc w:val="left"/>
      <w:pPr>
        <w:ind w:left="5233" w:hanging="358"/>
      </w:pPr>
      <w:rPr>
        <w:rFonts w:hint="default"/>
      </w:rPr>
    </w:lvl>
    <w:lvl w:ilvl="5">
      <w:start w:val="0"/>
      <w:numFmt w:val="bullet"/>
      <w:lvlText w:val="•"/>
      <w:lvlJc w:val="left"/>
      <w:pPr>
        <w:ind w:left="6391" w:hanging="358"/>
      </w:pPr>
      <w:rPr>
        <w:rFonts w:hint="default"/>
      </w:rPr>
    </w:lvl>
    <w:lvl w:ilvl="6">
      <w:start w:val="0"/>
      <w:numFmt w:val="bullet"/>
      <w:lvlText w:val="•"/>
      <w:lvlJc w:val="left"/>
      <w:pPr>
        <w:ind w:left="7549" w:hanging="358"/>
      </w:pPr>
      <w:rPr>
        <w:rFonts w:hint="default"/>
      </w:rPr>
    </w:lvl>
    <w:lvl w:ilvl="7">
      <w:start w:val="0"/>
      <w:numFmt w:val="bullet"/>
      <w:lvlText w:val="•"/>
      <w:lvlJc w:val="left"/>
      <w:pPr>
        <w:ind w:left="8707" w:hanging="358"/>
      </w:pPr>
      <w:rPr>
        <w:rFonts w:hint="default"/>
      </w:rPr>
    </w:lvl>
    <w:lvl w:ilvl="8">
      <w:start w:val="0"/>
      <w:numFmt w:val="bullet"/>
      <w:lvlText w:val="•"/>
      <w:lvlJc w:val="left"/>
      <w:pPr>
        <w:ind w:left="9865" w:hanging="358"/>
      </w:pPr>
      <w:rPr>
        <w:rFonts w:hint="default"/>
      </w:rPr>
    </w:lvl>
  </w:abstractNum>
  <w:abstractNum w:abstractNumId="93">
    <w:multiLevelType w:val="hybridMultilevel"/>
    <w:lvl w:ilvl="0">
      <w:start w:val="0"/>
      <w:numFmt w:val="bullet"/>
      <w:lvlText w:val="-"/>
      <w:lvlJc w:val="left"/>
      <w:pPr>
        <w:ind w:left="1324" w:hanging="360"/>
      </w:pPr>
      <w:rPr>
        <w:rFonts w:hint="default" w:ascii="Times New Roman" w:hAnsi="Times New Roman" w:eastAsia="Times New Roman" w:cs="Times New Roman"/>
        <w:w w:val="99"/>
        <w:sz w:val="38"/>
        <w:szCs w:val="38"/>
      </w:rPr>
    </w:lvl>
    <w:lvl w:ilvl="1">
      <w:start w:val="0"/>
      <w:numFmt w:val="bullet"/>
      <w:lvlText w:val="•"/>
      <w:lvlJc w:val="left"/>
      <w:pPr>
        <w:ind w:left="2406" w:hanging="360"/>
      </w:pPr>
      <w:rPr>
        <w:rFonts w:hint="default"/>
      </w:rPr>
    </w:lvl>
    <w:lvl w:ilvl="2">
      <w:start w:val="0"/>
      <w:numFmt w:val="bullet"/>
      <w:lvlText w:val="•"/>
      <w:lvlJc w:val="left"/>
      <w:pPr>
        <w:ind w:left="3492" w:hanging="360"/>
      </w:pPr>
      <w:rPr>
        <w:rFonts w:hint="default"/>
      </w:rPr>
    </w:lvl>
    <w:lvl w:ilvl="3">
      <w:start w:val="0"/>
      <w:numFmt w:val="bullet"/>
      <w:lvlText w:val="•"/>
      <w:lvlJc w:val="left"/>
      <w:pPr>
        <w:ind w:left="4578" w:hanging="360"/>
      </w:pPr>
      <w:rPr>
        <w:rFonts w:hint="default"/>
      </w:rPr>
    </w:lvl>
    <w:lvl w:ilvl="4">
      <w:start w:val="0"/>
      <w:numFmt w:val="bullet"/>
      <w:lvlText w:val="•"/>
      <w:lvlJc w:val="left"/>
      <w:pPr>
        <w:ind w:left="5664" w:hanging="360"/>
      </w:pPr>
      <w:rPr>
        <w:rFonts w:hint="default"/>
      </w:rPr>
    </w:lvl>
    <w:lvl w:ilvl="5">
      <w:start w:val="0"/>
      <w:numFmt w:val="bullet"/>
      <w:lvlText w:val="•"/>
      <w:lvlJc w:val="left"/>
      <w:pPr>
        <w:ind w:left="6750" w:hanging="360"/>
      </w:pPr>
      <w:rPr>
        <w:rFonts w:hint="default"/>
      </w:rPr>
    </w:lvl>
    <w:lvl w:ilvl="6">
      <w:start w:val="0"/>
      <w:numFmt w:val="bullet"/>
      <w:lvlText w:val="•"/>
      <w:lvlJc w:val="left"/>
      <w:pPr>
        <w:ind w:left="7836" w:hanging="360"/>
      </w:pPr>
      <w:rPr>
        <w:rFonts w:hint="default"/>
      </w:rPr>
    </w:lvl>
    <w:lvl w:ilvl="7">
      <w:start w:val="0"/>
      <w:numFmt w:val="bullet"/>
      <w:lvlText w:val="•"/>
      <w:lvlJc w:val="left"/>
      <w:pPr>
        <w:ind w:left="8922" w:hanging="360"/>
      </w:pPr>
      <w:rPr>
        <w:rFonts w:hint="default"/>
      </w:rPr>
    </w:lvl>
    <w:lvl w:ilvl="8">
      <w:start w:val="0"/>
      <w:numFmt w:val="bullet"/>
      <w:lvlText w:val="•"/>
      <w:lvlJc w:val="left"/>
      <w:pPr>
        <w:ind w:left="10008" w:hanging="360"/>
      </w:pPr>
      <w:rPr>
        <w:rFonts w:hint="default"/>
      </w:rPr>
    </w:lvl>
  </w:abstractNum>
  <w:abstractNum w:abstractNumId="92">
    <w:multiLevelType w:val="hybridMultilevel"/>
    <w:lvl w:ilvl="0">
      <w:start w:val="0"/>
      <w:numFmt w:val="bullet"/>
      <w:lvlText w:val="-"/>
      <w:lvlJc w:val="left"/>
      <w:pPr>
        <w:ind w:left="1336" w:hanging="360"/>
      </w:pPr>
      <w:rPr>
        <w:rFonts w:hint="default" w:ascii="Times New Roman" w:hAnsi="Times New Roman" w:eastAsia="Times New Roman" w:cs="Times New Roman"/>
        <w:w w:val="99"/>
        <w:sz w:val="38"/>
        <w:szCs w:val="38"/>
      </w:rPr>
    </w:lvl>
    <w:lvl w:ilvl="1">
      <w:start w:val="0"/>
      <w:numFmt w:val="bullet"/>
      <w:lvlText w:val="•"/>
      <w:lvlJc w:val="left"/>
      <w:pPr>
        <w:ind w:left="2424" w:hanging="360"/>
      </w:pPr>
      <w:rPr>
        <w:rFonts w:hint="default"/>
      </w:rPr>
    </w:lvl>
    <w:lvl w:ilvl="2">
      <w:start w:val="0"/>
      <w:numFmt w:val="bullet"/>
      <w:lvlText w:val="•"/>
      <w:lvlJc w:val="left"/>
      <w:pPr>
        <w:ind w:left="3508" w:hanging="360"/>
      </w:pPr>
      <w:rPr>
        <w:rFonts w:hint="default"/>
      </w:rPr>
    </w:lvl>
    <w:lvl w:ilvl="3">
      <w:start w:val="0"/>
      <w:numFmt w:val="bullet"/>
      <w:lvlText w:val="•"/>
      <w:lvlJc w:val="left"/>
      <w:pPr>
        <w:ind w:left="4592" w:hanging="360"/>
      </w:pPr>
      <w:rPr>
        <w:rFonts w:hint="default"/>
      </w:rPr>
    </w:lvl>
    <w:lvl w:ilvl="4">
      <w:start w:val="0"/>
      <w:numFmt w:val="bullet"/>
      <w:lvlText w:val="•"/>
      <w:lvlJc w:val="left"/>
      <w:pPr>
        <w:ind w:left="5676" w:hanging="360"/>
      </w:pPr>
      <w:rPr>
        <w:rFonts w:hint="default"/>
      </w:rPr>
    </w:lvl>
    <w:lvl w:ilvl="5">
      <w:start w:val="0"/>
      <w:numFmt w:val="bullet"/>
      <w:lvlText w:val="•"/>
      <w:lvlJc w:val="left"/>
      <w:pPr>
        <w:ind w:left="6760" w:hanging="360"/>
      </w:pPr>
      <w:rPr>
        <w:rFonts w:hint="default"/>
      </w:rPr>
    </w:lvl>
    <w:lvl w:ilvl="6">
      <w:start w:val="0"/>
      <w:numFmt w:val="bullet"/>
      <w:lvlText w:val="•"/>
      <w:lvlJc w:val="left"/>
      <w:pPr>
        <w:ind w:left="7844" w:hanging="360"/>
      </w:pPr>
      <w:rPr>
        <w:rFonts w:hint="default"/>
      </w:rPr>
    </w:lvl>
    <w:lvl w:ilvl="7">
      <w:start w:val="0"/>
      <w:numFmt w:val="bullet"/>
      <w:lvlText w:val="•"/>
      <w:lvlJc w:val="left"/>
      <w:pPr>
        <w:ind w:left="8928" w:hanging="360"/>
      </w:pPr>
      <w:rPr>
        <w:rFonts w:hint="default"/>
      </w:rPr>
    </w:lvl>
    <w:lvl w:ilvl="8">
      <w:start w:val="0"/>
      <w:numFmt w:val="bullet"/>
      <w:lvlText w:val="•"/>
      <w:lvlJc w:val="left"/>
      <w:pPr>
        <w:ind w:left="10012" w:hanging="360"/>
      </w:pPr>
      <w:rPr>
        <w:rFonts w:hint="default"/>
      </w:rPr>
    </w:lvl>
  </w:abstractNum>
  <w:abstractNum w:abstractNumId="91">
    <w:multiLevelType w:val="hybridMultilevel"/>
    <w:lvl w:ilvl="0">
      <w:start w:val="1"/>
      <w:numFmt w:val="decimal"/>
      <w:lvlText w:val="%1."/>
      <w:lvlJc w:val="left"/>
      <w:pPr>
        <w:ind w:left="973" w:hanging="358"/>
        <w:jc w:val="left"/>
      </w:pPr>
      <w:rPr>
        <w:rFonts w:hint="default" w:ascii="Garamond" w:hAnsi="Garamond" w:eastAsia="Garamond" w:cs="Garamond"/>
        <w:w w:val="99"/>
        <w:sz w:val="38"/>
        <w:szCs w:val="38"/>
      </w:rPr>
    </w:lvl>
    <w:lvl w:ilvl="1">
      <w:start w:val="0"/>
      <w:numFmt w:val="bullet"/>
      <w:lvlText w:val="•"/>
      <w:lvlJc w:val="left"/>
      <w:pPr>
        <w:ind w:left="2100" w:hanging="358"/>
      </w:pPr>
      <w:rPr>
        <w:rFonts w:hint="default"/>
      </w:rPr>
    </w:lvl>
    <w:lvl w:ilvl="2">
      <w:start w:val="0"/>
      <w:numFmt w:val="bullet"/>
      <w:lvlText w:val="•"/>
      <w:lvlJc w:val="left"/>
      <w:pPr>
        <w:ind w:left="3220" w:hanging="358"/>
      </w:pPr>
      <w:rPr>
        <w:rFonts w:hint="default"/>
      </w:rPr>
    </w:lvl>
    <w:lvl w:ilvl="3">
      <w:start w:val="0"/>
      <w:numFmt w:val="bullet"/>
      <w:lvlText w:val="•"/>
      <w:lvlJc w:val="left"/>
      <w:pPr>
        <w:ind w:left="4340" w:hanging="358"/>
      </w:pPr>
      <w:rPr>
        <w:rFonts w:hint="default"/>
      </w:rPr>
    </w:lvl>
    <w:lvl w:ilvl="4">
      <w:start w:val="0"/>
      <w:numFmt w:val="bullet"/>
      <w:lvlText w:val="•"/>
      <w:lvlJc w:val="left"/>
      <w:pPr>
        <w:ind w:left="5460" w:hanging="358"/>
      </w:pPr>
      <w:rPr>
        <w:rFonts w:hint="default"/>
      </w:rPr>
    </w:lvl>
    <w:lvl w:ilvl="5">
      <w:start w:val="0"/>
      <w:numFmt w:val="bullet"/>
      <w:lvlText w:val="•"/>
      <w:lvlJc w:val="left"/>
      <w:pPr>
        <w:ind w:left="6580" w:hanging="358"/>
      </w:pPr>
      <w:rPr>
        <w:rFonts w:hint="default"/>
      </w:rPr>
    </w:lvl>
    <w:lvl w:ilvl="6">
      <w:start w:val="0"/>
      <w:numFmt w:val="bullet"/>
      <w:lvlText w:val="•"/>
      <w:lvlJc w:val="left"/>
      <w:pPr>
        <w:ind w:left="7700" w:hanging="358"/>
      </w:pPr>
      <w:rPr>
        <w:rFonts w:hint="default"/>
      </w:rPr>
    </w:lvl>
    <w:lvl w:ilvl="7">
      <w:start w:val="0"/>
      <w:numFmt w:val="bullet"/>
      <w:lvlText w:val="•"/>
      <w:lvlJc w:val="left"/>
      <w:pPr>
        <w:ind w:left="8820" w:hanging="358"/>
      </w:pPr>
      <w:rPr>
        <w:rFonts w:hint="default"/>
      </w:rPr>
    </w:lvl>
    <w:lvl w:ilvl="8">
      <w:start w:val="0"/>
      <w:numFmt w:val="bullet"/>
      <w:lvlText w:val="•"/>
      <w:lvlJc w:val="left"/>
      <w:pPr>
        <w:ind w:left="9940" w:hanging="358"/>
      </w:pPr>
      <w:rPr>
        <w:rFonts w:hint="default"/>
      </w:rPr>
    </w:lvl>
  </w:abstractNum>
  <w:abstractNum w:abstractNumId="90">
    <w:multiLevelType w:val="hybridMultilevel"/>
    <w:lvl w:ilvl="0">
      <w:start w:val="0"/>
      <w:numFmt w:val="bullet"/>
      <w:lvlText w:val="-"/>
      <w:lvlJc w:val="left"/>
      <w:pPr>
        <w:ind w:left="1043" w:hanging="416"/>
      </w:pPr>
      <w:rPr>
        <w:rFonts w:hint="default" w:ascii="Times New Roman" w:hAnsi="Times New Roman" w:eastAsia="Times New Roman" w:cs="Times New Roman"/>
        <w:w w:val="99"/>
        <w:sz w:val="38"/>
        <w:szCs w:val="38"/>
      </w:rPr>
    </w:lvl>
    <w:lvl w:ilvl="1">
      <w:start w:val="0"/>
      <w:numFmt w:val="bullet"/>
      <w:lvlText w:val=""/>
      <w:lvlJc w:val="left"/>
      <w:pPr>
        <w:ind w:left="1329" w:hanging="356"/>
      </w:pPr>
      <w:rPr>
        <w:rFonts w:hint="default" w:ascii="Symbol" w:hAnsi="Symbol" w:eastAsia="Symbol" w:cs="Symbol"/>
        <w:w w:val="99"/>
        <w:sz w:val="38"/>
        <w:szCs w:val="38"/>
      </w:rPr>
    </w:lvl>
    <w:lvl w:ilvl="2">
      <w:start w:val="0"/>
      <w:numFmt w:val="bullet"/>
      <w:lvlText w:val="•"/>
      <w:lvlJc w:val="left"/>
      <w:pPr>
        <w:ind w:left="1340" w:hanging="356"/>
      </w:pPr>
      <w:rPr>
        <w:rFonts w:hint="default"/>
      </w:rPr>
    </w:lvl>
    <w:lvl w:ilvl="3">
      <w:start w:val="0"/>
      <w:numFmt w:val="bullet"/>
      <w:lvlText w:val="•"/>
      <w:lvlJc w:val="left"/>
      <w:pPr>
        <w:ind w:left="2695" w:hanging="356"/>
      </w:pPr>
      <w:rPr>
        <w:rFonts w:hint="default"/>
      </w:rPr>
    </w:lvl>
    <w:lvl w:ilvl="4">
      <w:start w:val="0"/>
      <w:numFmt w:val="bullet"/>
      <w:lvlText w:val="•"/>
      <w:lvlJc w:val="left"/>
      <w:pPr>
        <w:ind w:left="4050" w:hanging="356"/>
      </w:pPr>
      <w:rPr>
        <w:rFonts w:hint="default"/>
      </w:rPr>
    </w:lvl>
    <w:lvl w:ilvl="5">
      <w:start w:val="0"/>
      <w:numFmt w:val="bullet"/>
      <w:lvlText w:val="•"/>
      <w:lvlJc w:val="left"/>
      <w:pPr>
        <w:ind w:left="5405" w:hanging="356"/>
      </w:pPr>
      <w:rPr>
        <w:rFonts w:hint="default"/>
      </w:rPr>
    </w:lvl>
    <w:lvl w:ilvl="6">
      <w:start w:val="0"/>
      <w:numFmt w:val="bullet"/>
      <w:lvlText w:val="•"/>
      <w:lvlJc w:val="left"/>
      <w:pPr>
        <w:ind w:left="6760" w:hanging="356"/>
      </w:pPr>
      <w:rPr>
        <w:rFonts w:hint="default"/>
      </w:rPr>
    </w:lvl>
    <w:lvl w:ilvl="7">
      <w:start w:val="0"/>
      <w:numFmt w:val="bullet"/>
      <w:lvlText w:val="•"/>
      <w:lvlJc w:val="left"/>
      <w:pPr>
        <w:ind w:left="8115" w:hanging="356"/>
      </w:pPr>
      <w:rPr>
        <w:rFonts w:hint="default"/>
      </w:rPr>
    </w:lvl>
    <w:lvl w:ilvl="8">
      <w:start w:val="0"/>
      <w:numFmt w:val="bullet"/>
      <w:lvlText w:val="•"/>
      <w:lvlJc w:val="left"/>
      <w:pPr>
        <w:ind w:left="9470" w:hanging="356"/>
      </w:pPr>
      <w:rPr>
        <w:rFonts w:hint="default"/>
      </w:rPr>
    </w:lvl>
  </w:abstractNum>
  <w:abstractNum w:abstractNumId="89">
    <w:multiLevelType w:val="hybridMultilevel"/>
    <w:lvl w:ilvl="0">
      <w:start w:val="0"/>
      <w:numFmt w:val="bullet"/>
      <w:lvlText w:val="-"/>
      <w:lvlJc w:val="left"/>
      <w:pPr>
        <w:ind w:left="1036" w:hanging="358"/>
      </w:pPr>
      <w:rPr>
        <w:rFonts w:hint="default" w:ascii="Times New Roman" w:hAnsi="Times New Roman" w:eastAsia="Times New Roman" w:cs="Times New Roman"/>
        <w:w w:val="99"/>
        <w:sz w:val="38"/>
        <w:szCs w:val="38"/>
      </w:rPr>
    </w:lvl>
    <w:lvl w:ilvl="1">
      <w:start w:val="0"/>
      <w:numFmt w:val="bullet"/>
      <w:lvlText w:val="•"/>
      <w:lvlJc w:val="left"/>
      <w:pPr>
        <w:ind w:left="2154" w:hanging="358"/>
      </w:pPr>
      <w:rPr>
        <w:rFonts w:hint="default"/>
      </w:rPr>
    </w:lvl>
    <w:lvl w:ilvl="2">
      <w:start w:val="0"/>
      <w:numFmt w:val="bullet"/>
      <w:lvlText w:val="•"/>
      <w:lvlJc w:val="left"/>
      <w:pPr>
        <w:ind w:left="3268" w:hanging="358"/>
      </w:pPr>
      <w:rPr>
        <w:rFonts w:hint="default"/>
      </w:rPr>
    </w:lvl>
    <w:lvl w:ilvl="3">
      <w:start w:val="0"/>
      <w:numFmt w:val="bullet"/>
      <w:lvlText w:val="•"/>
      <w:lvlJc w:val="left"/>
      <w:pPr>
        <w:ind w:left="4382" w:hanging="358"/>
      </w:pPr>
      <w:rPr>
        <w:rFonts w:hint="default"/>
      </w:rPr>
    </w:lvl>
    <w:lvl w:ilvl="4">
      <w:start w:val="0"/>
      <w:numFmt w:val="bullet"/>
      <w:lvlText w:val="•"/>
      <w:lvlJc w:val="left"/>
      <w:pPr>
        <w:ind w:left="5496" w:hanging="358"/>
      </w:pPr>
      <w:rPr>
        <w:rFonts w:hint="default"/>
      </w:rPr>
    </w:lvl>
    <w:lvl w:ilvl="5">
      <w:start w:val="0"/>
      <w:numFmt w:val="bullet"/>
      <w:lvlText w:val="•"/>
      <w:lvlJc w:val="left"/>
      <w:pPr>
        <w:ind w:left="6610" w:hanging="358"/>
      </w:pPr>
      <w:rPr>
        <w:rFonts w:hint="default"/>
      </w:rPr>
    </w:lvl>
    <w:lvl w:ilvl="6">
      <w:start w:val="0"/>
      <w:numFmt w:val="bullet"/>
      <w:lvlText w:val="•"/>
      <w:lvlJc w:val="left"/>
      <w:pPr>
        <w:ind w:left="7724" w:hanging="358"/>
      </w:pPr>
      <w:rPr>
        <w:rFonts w:hint="default"/>
      </w:rPr>
    </w:lvl>
    <w:lvl w:ilvl="7">
      <w:start w:val="0"/>
      <w:numFmt w:val="bullet"/>
      <w:lvlText w:val="•"/>
      <w:lvlJc w:val="left"/>
      <w:pPr>
        <w:ind w:left="8838" w:hanging="358"/>
      </w:pPr>
      <w:rPr>
        <w:rFonts w:hint="default"/>
      </w:rPr>
    </w:lvl>
    <w:lvl w:ilvl="8">
      <w:start w:val="0"/>
      <w:numFmt w:val="bullet"/>
      <w:lvlText w:val="•"/>
      <w:lvlJc w:val="left"/>
      <w:pPr>
        <w:ind w:left="9952" w:hanging="358"/>
      </w:pPr>
      <w:rPr>
        <w:rFonts w:hint="default"/>
      </w:rPr>
    </w:lvl>
  </w:abstractNum>
  <w:abstractNum w:abstractNumId="88">
    <w:multiLevelType w:val="hybridMultilevel"/>
    <w:lvl w:ilvl="0">
      <w:start w:val="0"/>
      <w:numFmt w:val="bullet"/>
      <w:lvlText w:val="-"/>
      <w:lvlJc w:val="left"/>
      <w:pPr>
        <w:ind w:left="830" w:hanging="214"/>
      </w:pPr>
      <w:rPr>
        <w:rFonts w:hint="default" w:ascii="Garamond" w:hAnsi="Garamond" w:eastAsia="Garamond" w:cs="Garamond"/>
        <w:w w:val="99"/>
        <w:sz w:val="38"/>
        <w:szCs w:val="38"/>
      </w:rPr>
    </w:lvl>
    <w:lvl w:ilvl="1">
      <w:start w:val="0"/>
      <w:numFmt w:val="bullet"/>
      <w:lvlText w:val="•"/>
      <w:lvlJc w:val="left"/>
      <w:pPr>
        <w:ind w:left="1974" w:hanging="214"/>
      </w:pPr>
      <w:rPr>
        <w:rFonts w:hint="default"/>
      </w:rPr>
    </w:lvl>
    <w:lvl w:ilvl="2">
      <w:start w:val="0"/>
      <w:numFmt w:val="bullet"/>
      <w:lvlText w:val="•"/>
      <w:lvlJc w:val="left"/>
      <w:pPr>
        <w:ind w:left="3108" w:hanging="214"/>
      </w:pPr>
      <w:rPr>
        <w:rFonts w:hint="default"/>
      </w:rPr>
    </w:lvl>
    <w:lvl w:ilvl="3">
      <w:start w:val="0"/>
      <w:numFmt w:val="bullet"/>
      <w:lvlText w:val="•"/>
      <w:lvlJc w:val="left"/>
      <w:pPr>
        <w:ind w:left="4242" w:hanging="214"/>
      </w:pPr>
      <w:rPr>
        <w:rFonts w:hint="default"/>
      </w:rPr>
    </w:lvl>
    <w:lvl w:ilvl="4">
      <w:start w:val="0"/>
      <w:numFmt w:val="bullet"/>
      <w:lvlText w:val="•"/>
      <w:lvlJc w:val="left"/>
      <w:pPr>
        <w:ind w:left="5376" w:hanging="214"/>
      </w:pPr>
      <w:rPr>
        <w:rFonts w:hint="default"/>
      </w:rPr>
    </w:lvl>
    <w:lvl w:ilvl="5">
      <w:start w:val="0"/>
      <w:numFmt w:val="bullet"/>
      <w:lvlText w:val="•"/>
      <w:lvlJc w:val="left"/>
      <w:pPr>
        <w:ind w:left="6510" w:hanging="214"/>
      </w:pPr>
      <w:rPr>
        <w:rFonts w:hint="default"/>
      </w:rPr>
    </w:lvl>
    <w:lvl w:ilvl="6">
      <w:start w:val="0"/>
      <w:numFmt w:val="bullet"/>
      <w:lvlText w:val="•"/>
      <w:lvlJc w:val="left"/>
      <w:pPr>
        <w:ind w:left="7644" w:hanging="214"/>
      </w:pPr>
      <w:rPr>
        <w:rFonts w:hint="default"/>
      </w:rPr>
    </w:lvl>
    <w:lvl w:ilvl="7">
      <w:start w:val="0"/>
      <w:numFmt w:val="bullet"/>
      <w:lvlText w:val="•"/>
      <w:lvlJc w:val="left"/>
      <w:pPr>
        <w:ind w:left="8778" w:hanging="214"/>
      </w:pPr>
      <w:rPr>
        <w:rFonts w:hint="default"/>
      </w:rPr>
    </w:lvl>
    <w:lvl w:ilvl="8">
      <w:start w:val="0"/>
      <w:numFmt w:val="bullet"/>
      <w:lvlText w:val="•"/>
      <w:lvlJc w:val="left"/>
      <w:pPr>
        <w:ind w:left="9912" w:hanging="214"/>
      </w:pPr>
      <w:rPr>
        <w:rFonts w:hint="default"/>
      </w:rPr>
    </w:lvl>
  </w:abstractNum>
  <w:abstractNum w:abstractNumId="87">
    <w:multiLevelType w:val="hybridMultilevel"/>
    <w:lvl w:ilvl="0">
      <w:start w:val="0"/>
      <w:numFmt w:val="bullet"/>
      <w:lvlText w:val="-"/>
      <w:lvlJc w:val="left"/>
      <w:pPr>
        <w:ind w:left="1096" w:hanging="360"/>
      </w:pPr>
      <w:rPr>
        <w:rFonts w:hint="default" w:ascii="Times New Roman" w:hAnsi="Times New Roman" w:eastAsia="Times New Roman" w:cs="Times New Roman"/>
        <w:w w:val="99"/>
        <w:sz w:val="38"/>
        <w:szCs w:val="38"/>
      </w:rPr>
    </w:lvl>
    <w:lvl w:ilvl="1">
      <w:start w:val="0"/>
      <w:numFmt w:val="bullet"/>
      <w:lvlText w:val="•"/>
      <w:lvlJc w:val="left"/>
      <w:pPr>
        <w:ind w:left="2208" w:hanging="360"/>
      </w:pPr>
      <w:rPr>
        <w:rFonts w:hint="default"/>
      </w:rPr>
    </w:lvl>
    <w:lvl w:ilvl="2">
      <w:start w:val="0"/>
      <w:numFmt w:val="bullet"/>
      <w:lvlText w:val="•"/>
      <w:lvlJc w:val="left"/>
      <w:pPr>
        <w:ind w:left="3316" w:hanging="360"/>
      </w:pPr>
      <w:rPr>
        <w:rFonts w:hint="default"/>
      </w:rPr>
    </w:lvl>
    <w:lvl w:ilvl="3">
      <w:start w:val="0"/>
      <w:numFmt w:val="bullet"/>
      <w:lvlText w:val="•"/>
      <w:lvlJc w:val="left"/>
      <w:pPr>
        <w:ind w:left="4424" w:hanging="360"/>
      </w:pPr>
      <w:rPr>
        <w:rFonts w:hint="default"/>
      </w:rPr>
    </w:lvl>
    <w:lvl w:ilvl="4">
      <w:start w:val="0"/>
      <w:numFmt w:val="bullet"/>
      <w:lvlText w:val="•"/>
      <w:lvlJc w:val="left"/>
      <w:pPr>
        <w:ind w:left="5532" w:hanging="360"/>
      </w:pPr>
      <w:rPr>
        <w:rFonts w:hint="default"/>
      </w:rPr>
    </w:lvl>
    <w:lvl w:ilvl="5">
      <w:start w:val="0"/>
      <w:numFmt w:val="bullet"/>
      <w:lvlText w:val="•"/>
      <w:lvlJc w:val="left"/>
      <w:pPr>
        <w:ind w:left="6640" w:hanging="360"/>
      </w:pPr>
      <w:rPr>
        <w:rFonts w:hint="default"/>
      </w:rPr>
    </w:lvl>
    <w:lvl w:ilvl="6">
      <w:start w:val="0"/>
      <w:numFmt w:val="bullet"/>
      <w:lvlText w:val="•"/>
      <w:lvlJc w:val="left"/>
      <w:pPr>
        <w:ind w:left="7748" w:hanging="360"/>
      </w:pPr>
      <w:rPr>
        <w:rFonts w:hint="default"/>
      </w:rPr>
    </w:lvl>
    <w:lvl w:ilvl="7">
      <w:start w:val="0"/>
      <w:numFmt w:val="bullet"/>
      <w:lvlText w:val="•"/>
      <w:lvlJc w:val="left"/>
      <w:pPr>
        <w:ind w:left="8856" w:hanging="360"/>
      </w:pPr>
      <w:rPr>
        <w:rFonts w:hint="default"/>
      </w:rPr>
    </w:lvl>
    <w:lvl w:ilvl="8">
      <w:start w:val="0"/>
      <w:numFmt w:val="bullet"/>
      <w:lvlText w:val="•"/>
      <w:lvlJc w:val="left"/>
      <w:pPr>
        <w:ind w:left="9964" w:hanging="360"/>
      </w:pPr>
      <w:rPr>
        <w:rFonts w:hint="default"/>
      </w:rPr>
    </w:lvl>
  </w:abstractNum>
  <w:abstractNum w:abstractNumId="86">
    <w:multiLevelType w:val="hybridMultilevel"/>
    <w:lvl w:ilvl="0">
      <w:start w:val="0"/>
      <w:numFmt w:val="bullet"/>
      <w:lvlText w:val="-"/>
      <w:lvlJc w:val="left"/>
      <w:pPr>
        <w:ind w:left="2037" w:hanging="644"/>
      </w:pPr>
      <w:rPr>
        <w:rFonts w:hint="default" w:ascii="Times New Roman" w:hAnsi="Times New Roman" w:eastAsia="Times New Roman" w:cs="Times New Roman"/>
        <w:w w:val="99"/>
        <w:sz w:val="38"/>
        <w:szCs w:val="38"/>
      </w:rPr>
    </w:lvl>
    <w:lvl w:ilvl="1">
      <w:start w:val="0"/>
      <w:numFmt w:val="bullet"/>
      <w:lvlText w:val="•"/>
      <w:lvlJc w:val="left"/>
      <w:pPr>
        <w:ind w:left="3054" w:hanging="644"/>
      </w:pPr>
      <w:rPr>
        <w:rFonts w:hint="default"/>
      </w:rPr>
    </w:lvl>
    <w:lvl w:ilvl="2">
      <w:start w:val="0"/>
      <w:numFmt w:val="bullet"/>
      <w:lvlText w:val="•"/>
      <w:lvlJc w:val="left"/>
      <w:pPr>
        <w:ind w:left="4068" w:hanging="644"/>
      </w:pPr>
      <w:rPr>
        <w:rFonts w:hint="default"/>
      </w:rPr>
    </w:lvl>
    <w:lvl w:ilvl="3">
      <w:start w:val="0"/>
      <w:numFmt w:val="bullet"/>
      <w:lvlText w:val="•"/>
      <w:lvlJc w:val="left"/>
      <w:pPr>
        <w:ind w:left="5082" w:hanging="644"/>
      </w:pPr>
      <w:rPr>
        <w:rFonts w:hint="default"/>
      </w:rPr>
    </w:lvl>
    <w:lvl w:ilvl="4">
      <w:start w:val="0"/>
      <w:numFmt w:val="bullet"/>
      <w:lvlText w:val="•"/>
      <w:lvlJc w:val="left"/>
      <w:pPr>
        <w:ind w:left="6096" w:hanging="644"/>
      </w:pPr>
      <w:rPr>
        <w:rFonts w:hint="default"/>
      </w:rPr>
    </w:lvl>
    <w:lvl w:ilvl="5">
      <w:start w:val="0"/>
      <w:numFmt w:val="bullet"/>
      <w:lvlText w:val="•"/>
      <w:lvlJc w:val="left"/>
      <w:pPr>
        <w:ind w:left="7110" w:hanging="644"/>
      </w:pPr>
      <w:rPr>
        <w:rFonts w:hint="default"/>
      </w:rPr>
    </w:lvl>
    <w:lvl w:ilvl="6">
      <w:start w:val="0"/>
      <w:numFmt w:val="bullet"/>
      <w:lvlText w:val="•"/>
      <w:lvlJc w:val="left"/>
      <w:pPr>
        <w:ind w:left="8124" w:hanging="644"/>
      </w:pPr>
      <w:rPr>
        <w:rFonts w:hint="default"/>
      </w:rPr>
    </w:lvl>
    <w:lvl w:ilvl="7">
      <w:start w:val="0"/>
      <w:numFmt w:val="bullet"/>
      <w:lvlText w:val="•"/>
      <w:lvlJc w:val="left"/>
      <w:pPr>
        <w:ind w:left="9138" w:hanging="644"/>
      </w:pPr>
      <w:rPr>
        <w:rFonts w:hint="default"/>
      </w:rPr>
    </w:lvl>
    <w:lvl w:ilvl="8">
      <w:start w:val="0"/>
      <w:numFmt w:val="bullet"/>
      <w:lvlText w:val="•"/>
      <w:lvlJc w:val="left"/>
      <w:pPr>
        <w:ind w:left="10152" w:hanging="644"/>
      </w:pPr>
      <w:rPr>
        <w:rFonts w:hint="default"/>
      </w:rPr>
    </w:lvl>
  </w:abstractNum>
  <w:abstractNum w:abstractNumId="85">
    <w:multiLevelType w:val="hybridMultilevel"/>
    <w:lvl w:ilvl="0">
      <w:start w:val="0"/>
      <w:numFmt w:val="bullet"/>
      <w:lvlText w:val="-"/>
      <w:lvlJc w:val="left"/>
      <w:pPr>
        <w:ind w:left="1036" w:hanging="358"/>
      </w:pPr>
      <w:rPr>
        <w:rFonts w:hint="default" w:ascii="Times New Roman" w:hAnsi="Times New Roman" w:eastAsia="Times New Roman" w:cs="Times New Roman"/>
        <w:w w:val="99"/>
        <w:sz w:val="38"/>
        <w:szCs w:val="38"/>
      </w:rPr>
    </w:lvl>
    <w:lvl w:ilvl="1">
      <w:start w:val="0"/>
      <w:numFmt w:val="bullet"/>
      <w:lvlText w:val="•"/>
      <w:lvlJc w:val="left"/>
      <w:pPr>
        <w:ind w:left="2154" w:hanging="358"/>
      </w:pPr>
      <w:rPr>
        <w:rFonts w:hint="default"/>
      </w:rPr>
    </w:lvl>
    <w:lvl w:ilvl="2">
      <w:start w:val="0"/>
      <w:numFmt w:val="bullet"/>
      <w:lvlText w:val="•"/>
      <w:lvlJc w:val="left"/>
      <w:pPr>
        <w:ind w:left="3268" w:hanging="358"/>
      </w:pPr>
      <w:rPr>
        <w:rFonts w:hint="default"/>
      </w:rPr>
    </w:lvl>
    <w:lvl w:ilvl="3">
      <w:start w:val="0"/>
      <w:numFmt w:val="bullet"/>
      <w:lvlText w:val="•"/>
      <w:lvlJc w:val="left"/>
      <w:pPr>
        <w:ind w:left="4382" w:hanging="358"/>
      </w:pPr>
      <w:rPr>
        <w:rFonts w:hint="default"/>
      </w:rPr>
    </w:lvl>
    <w:lvl w:ilvl="4">
      <w:start w:val="0"/>
      <w:numFmt w:val="bullet"/>
      <w:lvlText w:val="•"/>
      <w:lvlJc w:val="left"/>
      <w:pPr>
        <w:ind w:left="5496" w:hanging="358"/>
      </w:pPr>
      <w:rPr>
        <w:rFonts w:hint="default"/>
      </w:rPr>
    </w:lvl>
    <w:lvl w:ilvl="5">
      <w:start w:val="0"/>
      <w:numFmt w:val="bullet"/>
      <w:lvlText w:val="•"/>
      <w:lvlJc w:val="left"/>
      <w:pPr>
        <w:ind w:left="6610" w:hanging="358"/>
      </w:pPr>
      <w:rPr>
        <w:rFonts w:hint="default"/>
      </w:rPr>
    </w:lvl>
    <w:lvl w:ilvl="6">
      <w:start w:val="0"/>
      <w:numFmt w:val="bullet"/>
      <w:lvlText w:val="•"/>
      <w:lvlJc w:val="left"/>
      <w:pPr>
        <w:ind w:left="7724" w:hanging="358"/>
      </w:pPr>
      <w:rPr>
        <w:rFonts w:hint="default"/>
      </w:rPr>
    </w:lvl>
    <w:lvl w:ilvl="7">
      <w:start w:val="0"/>
      <w:numFmt w:val="bullet"/>
      <w:lvlText w:val="•"/>
      <w:lvlJc w:val="left"/>
      <w:pPr>
        <w:ind w:left="8838" w:hanging="358"/>
      </w:pPr>
      <w:rPr>
        <w:rFonts w:hint="default"/>
      </w:rPr>
    </w:lvl>
    <w:lvl w:ilvl="8">
      <w:start w:val="0"/>
      <w:numFmt w:val="bullet"/>
      <w:lvlText w:val="•"/>
      <w:lvlJc w:val="left"/>
      <w:pPr>
        <w:ind w:left="9952" w:hanging="358"/>
      </w:pPr>
      <w:rPr>
        <w:rFonts w:hint="default"/>
      </w:rPr>
    </w:lvl>
  </w:abstractNum>
  <w:abstractNum w:abstractNumId="84">
    <w:multiLevelType w:val="hybridMultilevel"/>
    <w:lvl w:ilvl="0">
      <w:start w:val="16"/>
      <w:numFmt w:val="upperLetter"/>
      <w:lvlText w:val="%1)"/>
      <w:lvlJc w:val="left"/>
      <w:pPr>
        <w:ind w:left="616" w:hanging="414"/>
        <w:jc w:val="left"/>
      </w:pPr>
      <w:rPr>
        <w:rFonts w:hint="default" w:ascii="Garamond" w:hAnsi="Garamond" w:eastAsia="Garamond" w:cs="Garamond"/>
        <w:w w:val="99"/>
        <w:sz w:val="38"/>
        <w:szCs w:val="38"/>
      </w:rPr>
    </w:lvl>
    <w:lvl w:ilvl="1">
      <w:start w:val="1"/>
      <w:numFmt w:val="decimal"/>
      <w:lvlText w:val="%2)"/>
      <w:lvlJc w:val="left"/>
      <w:pPr>
        <w:ind w:left="1336" w:hanging="360"/>
        <w:jc w:val="left"/>
      </w:pPr>
      <w:rPr>
        <w:rFonts w:hint="default" w:ascii="Garamond" w:hAnsi="Garamond" w:eastAsia="Garamond" w:cs="Garamond"/>
        <w:spacing w:val="-1"/>
        <w:w w:val="99"/>
        <w:sz w:val="38"/>
        <w:szCs w:val="38"/>
      </w:rPr>
    </w:lvl>
    <w:lvl w:ilvl="2">
      <w:start w:val="0"/>
      <w:numFmt w:val="bullet"/>
      <w:lvlText w:val="•"/>
      <w:lvlJc w:val="left"/>
      <w:pPr>
        <w:ind w:left="2544" w:hanging="360"/>
      </w:pPr>
      <w:rPr>
        <w:rFonts w:hint="default"/>
      </w:rPr>
    </w:lvl>
    <w:lvl w:ilvl="3">
      <w:start w:val="0"/>
      <w:numFmt w:val="bullet"/>
      <w:lvlText w:val="•"/>
      <w:lvlJc w:val="left"/>
      <w:pPr>
        <w:ind w:left="3749" w:hanging="360"/>
      </w:pPr>
      <w:rPr>
        <w:rFonts w:hint="default"/>
      </w:rPr>
    </w:lvl>
    <w:lvl w:ilvl="4">
      <w:start w:val="0"/>
      <w:numFmt w:val="bullet"/>
      <w:lvlText w:val="•"/>
      <w:lvlJc w:val="left"/>
      <w:pPr>
        <w:ind w:left="4953" w:hanging="360"/>
      </w:pPr>
      <w:rPr>
        <w:rFonts w:hint="default"/>
      </w:rPr>
    </w:lvl>
    <w:lvl w:ilvl="5">
      <w:start w:val="0"/>
      <w:numFmt w:val="bullet"/>
      <w:lvlText w:val="•"/>
      <w:lvlJc w:val="left"/>
      <w:pPr>
        <w:ind w:left="6158" w:hanging="360"/>
      </w:pPr>
      <w:rPr>
        <w:rFonts w:hint="default"/>
      </w:rPr>
    </w:lvl>
    <w:lvl w:ilvl="6">
      <w:start w:val="0"/>
      <w:numFmt w:val="bullet"/>
      <w:lvlText w:val="•"/>
      <w:lvlJc w:val="left"/>
      <w:pPr>
        <w:ind w:left="7362" w:hanging="360"/>
      </w:pPr>
      <w:rPr>
        <w:rFonts w:hint="default"/>
      </w:rPr>
    </w:lvl>
    <w:lvl w:ilvl="7">
      <w:start w:val="0"/>
      <w:numFmt w:val="bullet"/>
      <w:lvlText w:val="•"/>
      <w:lvlJc w:val="left"/>
      <w:pPr>
        <w:ind w:left="8567" w:hanging="360"/>
      </w:pPr>
      <w:rPr>
        <w:rFonts w:hint="default"/>
      </w:rPr>
    </w:lvl>
    <w:lvl w:ilvl="8">
      <w:start w:val="0"/>
      <w:numFmt w:val="bullet"/>
      <w:lvlText w:val="•"/>
      <w:lvlJc w:val="left"/>
      <w:pPr>
        <w:ind w:left="9771" w:hanging="360"/>
      </w:pPr>
      <w:rPr>
        <w:rFonts w:hint="default"/>
      </w:rPr>
    </w:lvl>
  </w:abstractNum>
  <w:abstractNum w:abstractNumId="83">
    <w:multiLevelType w:val="hybridMultilevel"/>
    <w:lvl w:ilvl="0">
      <w:start w:val="0"/>
      <w:numFmt w:val="bullet"/>
      <w:lvlText w:val="o"/>
      <w:lvlJc w:val="left"/>
      <w:pPr>
        <w:ind w:left="1756" w:hanging="360"/>
      </w:pPr>
      <w:rPr>
        <w:rFonts w:hint="default" w:ascii="Courier New" w:hAnsi="Courier New" w:eastAsia="Courier New" w:cs="Courier New"/>
        <w:w w:val="99"/>
        <w:sz w:val="38"/>
        <w:szCs w:val="38"/>
      </w:rPr>
    </w:lvl>
    <w:lvl w:ilvl="1">
      <w:start w:val="0"/>
      <w:numFmt w:val="bullet"/>
      <w:lvlText w:val="•"/>
      <w:lvlJc w:val="left"/>
      <w:pPr>
        <w:ind w:left="2802" w:hanging="360"/>
      </w:pPr>
      <w:rPr>
        <w:rFonts w:hint="default"/>
      </w:rPr>
    </w:lvl>
    <w:lvl w:ilvl="2">
      <w:start w:val="0"/>
      <w:numFmt w:val="bullet"/>
      <w:lvlText w:val="•"/>
      <w:lvlJc w:val="left"/>
      <w:pPr>
        <w:ind w:left="3844" w:hanging="360"/>
      </w:pPr>
      <w:rPr>
        <w:rFonts w:hint="default"/>
      </w:rPr>
    </w:lvl>
    <w:lvl w:ilvl="3">
      <w:start w:val="0"/>
      <w:numFmt w:val="bullet"/>
      <w:lvlText w:val="•"/>
      <w:lvlJc w:val="left"/>
      <w:pPr>
        <w:ind w:left="4886" w:hanging="360"/>
      </w:pPr>
      <w:rPr>
        <w:rFonts w:hint="default"/>
      </w:rPr>
    </w:lvl>
    <w:lvl w:ilvl="4">
      <w:start w:val="0"/>
      <w:numFmt w:val="bullet"/>
      <w:lvlText w:val="•"/>
      <w:lvlJc w:val="left"/>
      <w:pPr>
        <w:ind w:left="5928" w:hanging="360"/>
      </w:pPr>
      <w:rPr>
        <w:rFonts w:hint="default"/>
      </w:rPr>
    </w:lvl>
    <w:lvl w:ilvl="5">
      <w:start w:val="0"/>
      <w:numFmt w:val="bullet"/>
      <w:lvlText w:val="•"/>
      <w:lvlJc w:val="left"/>
      <w:pPr>
        <w:ind w:left="6970" w:hanging="360"/>
      </w:pPr>
      <w:rPr>
        <w:rFonts w:hint="default"/>
      </w:rPr>
    </w:lvl>
    <w:lvl w:ilvl="6">
      <w:start w:val="0"/>
      <w:numFmt w:val="bullet"/>
      <w:lvlText w:val="•"/>
      <w:lvlJc w:val="left"/>
      <w:pPr>
        <w:ind w:left="8012" w:hanging="360"/>
      </w:pPr>
      <w:rPr>
        <w:rFonts w:hint="default"/>
      </w:rPr>
    </w:lvl>
    <w:lvl w:ilvl="7">
      <w:start w:val="0"/>
      <w:numFmt w:val="bullet"/>
      <w:lvlText w:val="•"/>
      <w:lvlJc w:val="left"/>
      <w:pPr>
        <w:ind w:left="9054" w:hanging="360"/>
      </w:pPr>
      <w:rPr>
        <w:rFonts w:hint="default"/>
      </w:rPr>
    </w:lvl>
    <w:lvl w:ilvl="8">
      <w:start w:val="0"/>
      <w:numFmt w:val="bullet"/>
      <w:lvlText w:val="•"/>
      <w:lvlJc w:val="left"/>
      <w:pPr>
        <w:ind w:left="10096" w:hanging="360"/>
      </w:pPr>
      <w:rPr>
        <w:rFonts w:hint="default"/>
      </w:rPr>
    </w:lvl>
  </w:abstractNum>
  <w:abstractNum w:abstractNumId="82">
    <w:multiLevelType w:val="hybridMultilevel"/>
    <w:lvl w:ilvl="0">
      <w:start w:val="1"/>
      <w:numFmt w:val="decimal"/>
      <w:lvlText w:val="%1)"/>
      <w:lvlJc w:val="left"/>
      <w:pPr>
        <w:ind w:left="1403" w:hanging="456"/>
        <w:jc w:val="left"/>
      </w:pPr>
      <w:rPr>
        <w:rFonts w:hint="default" w:ascii="Garamond" w:hAnsi="Garamond" w:eastAsia="Garamond" w:cs="Garamond"/>
        <w:spacing w:val="-1"/>
        <w:w w:val="99"/>
        <w:sz w:val="38"/>
        <w:szCs w:val="38"/>
      </w:rPr>
    </w:lvl>
    <w:lvl w:ilvl="1">
      <w:start w:val="0"/>
      <w:numFmt w:val="bullet"/>
      <w:lvlText w:val="•"/>
      <w:lvlJc w:val="left"/>
      <w:pPr>
        <w:ind w:left="2478" w:hanging="456"/>
      </w:pPr>
      <w:rPr>
        <w:rFonts w:hint="default"/>
      </w:rPr>
    </w:lvl>
    <w:lvl w:ilvl="2">
      <w:start w:val="0"/>
      <w:numFmt w:val="bullet"/>
      <w:lvlText w:val="•"/>
      <w:lvlJc w:val="left"/>
      <w:pPr>
        <w:ind w:left="3556" w:hanging="456"/>
      </w:pPr>
      <w:rPr>
        <w:rFonts w:hint="default"/>
      </w:rPr>
    </w:lvl>
    <w:lvl w:ilvl="3">
      <w:start w:val="0"/>
      <w:numFmt w:val="bullet"/>
      <w:lvlText w:val="•"/>
      <w:lvlJc w:val="left"/>
      <w:pPr>
        <w:ind w:left="4634" w:hanging="456"/>
      </w:pPr>
      <w:rPr>
        <w:rFonts w:hint="default"/>
      </w:rPr>
    </w:lvl>
    <w:lvl w:ilvl="4">
      <w:start w:val="0"/>
      <w:numFmt w:val="bullet"/>
      <w:lvlText w:val="•"/>
      <w:lvlJc w:val="left"/>
      <w:pPr>
        <w:ind w:left="5712" w:hanging="456"/>
      </w:pPr>
      <w:rPr>
        <w:rFonts w:hint="default"/>
      </w:rPr>
    </w:lvl>
    <w:lvl w:ilvl="5">
      <w:start w:val="0"/>
      <w:numFmt w:val="bullet"/>
      <w:lvlText w:val="•"/>
      <w:lvlJc w:val="left"/>
      <w:pPr>
        <w:ind w:left="6790" w:hanging="456"/>
      </w:pPr>
      <w:rPr>
        <w:rFonts w:hint="default"/>
      </w:rPr>
    </w:lvl>
    <w:lvl w:ilvl="6">
      <w:start w:val="0"/>
      <w:numFmt w:val="bullet"/>
      <w:lvlText w:val="•"/>
      <w:lvlJc w:val="left"/>
      <w:pPr>
        <w:ind w:left="7868" w:hanging="456"/>
      </w:pPr>
      <w:rPr>
        <w:rFonts w:hint="default"/>
      </w:rPr>
    </w:lvl>
    <w:lvl w:ilvl="7">
      <w:start w:val="0"/>
      <w:numFmt w:val="bullet"/>
      <w:lvlText w:val="•"/>
      <w:lvlJc w:val="left"/>
      <w:pPr>
        <w:ind w:left="8946" w:hanging="456"/>
      </w:pPr>
      <w:rPr>
        <w:rFonts w:hint="default"/>
      </w:rPr>
    </w:lvl>
    <w:lvl w:ilvl="8">
      <w:start w:val="0"/>
      <w:numFmt w:val="bullet"/>
      <w:lvlText w:val="•"/>
      <w:lvlJc w:val="left"/>
      <w:pPr>
        <w:ind w:left="10024" w:hanging="456"/>
      </w:pPr>
      <w:rPr>
        <w:rFonts w:hint="default"/>
      </w:rPr>
    </w:lvl>
  </w:abstractNum>
  <w:abstractNum w:abstractNumId="81">
    <w:multiLevelType w:val="hybridMultilevel"/>
    <w:lvl w:ilvl="0">
      <w:start w:val="1"/>
      <w:numFmt w:val="decimal"/>
      <w:lvlText w:val="%1)"/>
      <w:lvlJc w:val="left"/>
      <w:pPr>
        <w:ind w:left="616" w:hanging="384"/>
        <w:jc w:val="left"/>
      </w:pPr>
      <w:rPr>
        <w:rFonts w:hint="default" w:ascii="Garamond" w:hAnsi="Garamond" w:eastAsia="Garamond" w:cs="Garamond"/>
        <w:w w:val="99"/>
        <w:sz w:val="38"/>
        <w:szCs w:val="38"/>
      </w:rPr>
    </w:lvl>
    <w:lvl w:ilvl="1">
      <w:start w:val="0"/>
      <w:numFmt w:val="bullet"/>
      <w:lvlText w:val=""/>
      <w:lvlJc w:val="left"/>
      <w:pPr>
        <w:ind w:left="1182" w:hanging="176"/>
      </w:pPr>
      <w:rPr>
        <w:rFonts w:hint="default" w:ascii="Symbol" w:hAnsi="Symbol" w:eastAsia="Symbol" w:cs="Symbol"/>
        <w:w w:val="99"/>
        <w:sz w:val="36"/>
        <w:szCs w:val="36"/>
      </w:rPr>
    </w:lvl>
    <w:lvl w:ilvl="2">
      <w:start w:val="0"/>
      <w:numFmt w:val="bullet"/>
      <w:lvlText w:val="•"/>
      <w:lvlJc w:val="left"/>
      <w:pPr>
        <w:ind w:left="2402" w:hanging="176"/>
      </w:pPr>
      <w:rPr>
        <w:rFonts w:hint="default"/>
      </w:rPr>
    </w:lvl>
    <w:lvl w:ilvl="3">
      <w:start w:val="0"/>
      <w:numFmt w:val="bullet"/>
      <w:lvlText w:val="•"/>
      <w:lvlJc w:val="left"/>
      <w:pPr>
        <w:ind w:left="3624" w:hanging="176"/>
      </w:pPr>
      <w:rPr>
        <w:rFonts w:hint="default"/>
      </w:rPr>
    </w:lvl>
    <w:lvl w:ilvl="4">
      <w:start w:val="0"/>
      <w:numFmt w:val="bullet"/>
      <w:lvlText w:val="•"/>
      <w:lvlJc w:val="left"/>
      <w:pPr>
        <w:ind w:left="4846" w:hanging="176"/>
      </w:pPr>
      <w:rPr>
        <w:rFonts w:hint="default"/>
      </w:rPr>
    </w:lvl>
    <w:lvl w:ilvl="5">
      <w:start w:val="0"/>
      <w:numFmt w:val="bullet"/>
      <w:lvlText w:val="•"/>
      <w:lvlJc w:val="left"/>
      <w:pPr>
        <w:ind w:left="6069" w:hanging="176"/>
      </w:pPr>
      <w:rPr>
        <w:rFonts w:hint="default"/>
      </w:rPr>
    </w:lvl>
    <w:lvl w:ilvl="6">
      <w:start w:val="0"/>
      <w:numFmt w:val="bullet"/>
      <w:lvlText w:val="•"/>
      <w:lvlJc w:val="left"/>
      <w:pPr>
        <w:ind w:left="7291" w:hanging="176"/>
      </w:pPr>
      <w:rPr>
        <w:rFonts w:hint="default"/>
      </w:rPr>
    </w:lvl>
    <w:lvl w:ilvl="7">
      <w:start w:val="0"/>
      <w:numFmt w:val="bullet"/>
      <w:lvlText w:val="•"/>
      <w:lvlJc w:val="left"/>
      <w:pPr>
        <w:ind w:left="8513" w:hanging="176"/>
      </w:pPr>
      <w:rPr>
        <w:rFonts w:hint="default"/>
      </w:rPr>
    </w:lvl>
    <w:lvl w:ilvl="8">
      <w:start w:val="0"/>
      <w:numFmt w:val="bullet"/>
      <w:lvlText w:val="•"/>
      <w:lvlJc w:val="left"/>
      <w:pPr>
        <w:ind w:left="9736" w:hanging="176"/>
      </w:pPr>
      <w:rPr>
        <w:rFonts w:hint="default"/>
      </w:rPr>
    </w:lvl>
  </w:abstractNum>
  <w:abstractNum w:abstractNumId="80">
    <w:multiLevelType w:val="hybridMultilevel"/>
    <w:lvl w:ilvl="0">
      <w:start w:val="0"/>
      <w:numFmt w:val="bullet"/>
      <w:lvlText w:val=""/>
      <w:lvlJc w:val="left"/>
      <w:pPr>
        <w:ind w:left="616" w:hanging="272"/>
      </w:pPr>
      <w:rPr>
        <w:rFonts w:hint="default"/>
        <w:w w:val="99"/>
      </w:rPr>
    </w:lvl>
    <w:lvl w:ilvl="1">
      <w:start w:val="0"/>
      <w:numFmt w:val="bullet"/>
      <w:lvlText w:val="-"/>
      <w:lvlJc w:val="left"/>
      <w:pPr>
        <w:ind w:left="1178" w:hanging="358"/>
      </w:pPr>
      <w:rPr>
        <w:rFonts w:hint="default" w:ascii="Times New Roman" w:hAnsi="Times New Roman" w:eastAsia="Times New Roman" w:cs="Times New Roman"/>
        <w:w w:val="99"/>
        <w:sz w:val="38"/>
        <w:szCs w:val="38"/>
      </w:rPr>
    </w:lvl>
    <w:lvl w:ilvl="2">
      <w:start w:val="0"/>
      <w:numFmt w:val="bullet"/>
      <w:lvlText w:val="•"/>
      <w:lvlJc w:val="left"/>
      <w:pPr>
        <w:ind w:left="2402" w:hanging="358"/>
      </w:pPr>
      <w:rPr>
        <w:rFonts w:hint="default"/>
      </w:rPr>
    </w:lvl>
    <w:lvl w:ilvl="3">
      <w:start w:val="0"/>
      <w:numFmt w:val="bullet"/>
      <w:lvlText w:val="•"/>
      <w:lvlJc w:val="left"/>
      <w:pPr>
        <w:ind w:left="3624" w:hanging="358"/>
      </w:pPr>
      <w:rPr>
        <w:rFonts w:hint="default"/>
      </w:rPr>
    </w:lvl>
    <w:lvl w:ilvl="4">
      <w:start w:val="0"/>
      <w:numFmt w:val="bullet"/>
      <w:lvlText w:val="•"/>
      <w:lvlJc w:val="left"/>
      <w:pPr>
        <w:ind w:left="4846" w:hanging="358"/>
      </w:pPr>
      <w:rPr>
        <w:rFonts w:hint="default"/>
      </w:rPr>
    </w:lvl>
    <w:lvl w:ilvl="5">
      <w:start w:val="0"/>
      <w:numFmt w:val="bullet"/>
      <w:lvlText w:val="•"/>
      <w:lvlJc w:val="left"/>
      <w:pPr>
        <w:ind w:left="6069" w:hanging="358"/>
      </w:pPr>
      <w:rPr>
        <w:rFonts w:hint="default"/>
      </w:rPr>
    </w:lvl>
    <w:lvl w:ilvl="6">
      <w:start w:val="0"/>
      <w:numFmt w:val="bullet"/>
      <w:lvlText w:val="•"/>
      <w:lvlJc w:val="left"/>
      <w:pPr>
        <w:ind w:left="7291" w:hanging="358"/>
      </w:pPr>
      <w:rPr>
        <w:rFonts w:hint="default"/>
      </w:rPr>
    </w:lvl>
    <w:lvl w:ilvl="7">
      <w:start w:val="0"/>
      <w:numFmt w:val="bullet"/>
      <w:lvlText w:val="•"/>
      <w:lvlJc w:val="left"/>
      <w:pPr>
        <w:ind w:left="8513" w:hanging="358"/>
      </w:pPr>
      <w:rPr>
        <w:rFonts w:hint="default"/>
      </w:rPr>
    </w:lvl>
    <w:lvl w:ilvl="8">
      <w:start w:val="0"/>
      <w:numFmt w:val="bullet"/>
      <w:lvlText w:val="•"/>
      <w:lvlJc w:val="left"/>
      <w:pPr>
        <w:ind w:left="9736" w:hanging="358"/>
      </w:pPr>
      <w:rPr>
        <w:rFonts w:hint="default"/>
      </w:rPr>
    </w:lvl>
  </w:abstractNum>
  <w:abstractNum w:abstractNumId="79">
    <w:multiLevelType w:val="hybridMultilevel"/>
    <w:lvl w:ilvl="0">
      <w:start w:val="0"/>
      <w:numFmt w:val="bullet"/>
      <w:lvlText w:val="-"/>
      <w:lvlJc w:val="left"/>
      <w:pPr>
        <w:ind w:left="1036" w:hanging="416"/>
      </w:pPr>
      <w:rPr>
        <w:rFonts w:hint="default" w:ascii="Times New Roman" w:hAnsi="Times New Roman" w:eastAsia="Times New Roman" w:cs="Times New Roman"/>
        <w:w w:val="99"/>
        <w:sz w:val="38"/>
        <w:szCs w:val="38"/>
      </w:rPr>
    </w:lvl>
    <w:lvl w:ilvl="1">
      <w:start w:val="0"/>
      <w:numFmt w:val="bullet"/>
      <w:lvlText w:val=""/>
      <w:lvlJc w:val="left"/>
      <w:pPr>
        <w:ind w:left="1041" w:hanging="296"/>
      </w:pPr>
      <w:rPr>
        <w:rFonts w:hint="default" w:ascii="Symbol" w:hAnsi="Symbol" w:eastAsia="Symbol" w:cs="Symbol"/>
        <w:w w:val="99"/>
        <w:sz w:val="38"/>
        <w:szCs w:val="38"/>
      </w:rPr>
    </w:lvl>
    <w:lvl w:ilvl="2">
      <w:start w:val="0"/>
      <w:numFmt w:val="bullet"/>
      <w:lvlText w:val="•"/>
      <w:lvlJc w:val="left"/>
      <w:pPr>
        <w:ind w:left="3268" w:hanging="296"/>
      </w:pPr>
      <w:rPr>
        <w:rFonts w:hint="default"/>
      </w:rPr>
    </w:lvl>
    <w:lvl w:ilvl="3">
      <w:start w:val="0"/>
      <w:numFmt w:val="bullet"/>
      <w:lvlText w:val="•"/>
      <w:lvlJc w:val="left"/>
      <w:pPr>
        <w:ind w:left="4382" w:hanging="296"/>
      </w:pPr>
      <w:rPr>
        <w:rFonts w:hint="default"/>
      </w:rPr>
    </w:lvl>
    <w:lvl w:ilvl="4">
      <w:start w:val="0"/>
      <w:numFmt w:val="bullet"/>
      <w:lvlText w:val="•"/>
      <w:lvlJc w:val="left"/>
      <w:pPr>
        <w:ind w:left="5496" w:hanging="296"/>
      </w:pPr>
      <w:rPr>
        <w:rFonts w:hint="default"/>
      </w:rPr>
    </w:lvl>
    <w:lvl w:ilvl="5">
      <w:start w:val="0"/>
      <w:numFmt w:val="bullet"/>
      <w:lvlText w:val="•"/>
      <w:lvlJc w:val="left"/>
      <w:pPr>
        <w:ind w:left="6610" w:hanging="296"/>
      </w:pPr>
      <w:rPr>
        <w:rFonts w:hint="default"/>
      </w:rPr>
    </w:lvl>
    <w:lvl w:ilvl="6">
      <w:start w:val="0"/>
      <w:numFmt w:val="bullet"/>
      <w:lvlText w:val="•"/>
      <w:lvlJc w:val="left"/>
      <w:pPr>
        <w:ind w:left="7724" w:hanging="296"/>
      </w:pPr>
      <w:rPr>
        <w:rFonts w:hint="default"/>
      </w:rPr>
    </w:lvl>
    <w:lvl w:ilvl="7">
      <w:start w:val="0"/>
      <w:numFmt w:val="bullet"/>
      <w:lvlText w:val="•"/>
      <w:lvlJc w:val="left"/>
      <w:pPr>
        <w:ind w:left="8838" w:hanging="296"/>
      </w:pPr>
      <w:rPr>
        <w:rFonts w:hint="default"/>
      </w:rPr>
    </w:lvl>
    <w:lvl w:ilvl="8">
      <w:start w:val="0"/>
      <w:numFmt w:val="bullet"/>
      <w:lvlText w:val="•"/>
      <w:lvlJc w:val="left"/>
      <w:pPr>
        <w:ind w:left="9952" w:hanging="296"/>
      </w:pPr>
      <w:rPr>
        <w:rFonts w:hint="default"/>
      </w:rPr>
    </w:lvl>
  </w:abstractNum>
  <w:abstractNum w:abstractNumId="78">
    <w:multiLevelType w:val="hybridMultilevel"/>
    <w:lvl w:ilvl="0">
      <w:start w:val="0"/>
      <w:numFmt w:val="bullet"/>
      <w:lvlText w:val="-"/>
      <w:lvlJc w:val="left"/>
      <w:pPr>
        <w:ind w:left="1617" w:hanging="644"/>
      </w:pPr>
      <w:rPr>
        <w:rFonts w:hint="default" w:ascii="Times New Roman" w:hAnsi="Times New Roman" w:eastAsia="Times New Roman" w:cs="Times New Roman"/>
        <w:w w:val="99"/>
        <w:sz w:val="38"/>
        <w:szCs w:val="38"/>
      </w:rPr>
    </w:lvl>
    <w:lvl w:ilvl="1">
      <w:start w:val="0"/>
      <w:numFmt w:val="bullet"/>
      <w:lvlText w:val="-"/>
      <w:lvlJc w:val="left"/>
      <w:pPr>
        <w:ind w:left="1763" w:hanging="360"/>
      </w:pPr>
      <w:rPr>
        <w:rFonts w:hint="default" w:ascii="Times New Roman" w:hAnsi="Times New Roman" w:eastAsia="Times New Roman" w:cs="Times New Roman"/>
        <w:w w:val="99"/>
        <w:sz w:val="38"/>
        <w:szCs w:val="38"/>
      </w:rPr>
    </w:lvl>
    <w:lvl w:ilvl="2">
      <w:start w:val="0"/>
      <w:numFmt w:val="bullet"/>
      <w:lvlText w:val="•"/>
      <w:lvlJc w:val="left"/>
      <w:pPr>
        <w:ind w:left="2917" w:hanging="360"/>
      </w:pPr>
      <w:rPr>
        <w:rFonts w:hint="default"/>
      </w:rPr>
    </w:lvl>
    <w:lvl w:ilvl="3">
      <w:start w:val="0"/>
      <w:numFmt w:val="bullet"/>
      <w:lvlText w:val="•"/>
      <w:lvlJc w:val="left"/>
      <w:pPr>
        <w:ind w:left="4075" w:hanging="360"/>
      </w:pPr>
      <w:rPr>
        <w:rFonts w:hint="default"/>
      </w:rPr>
    </w:lvl>
    <w:lvl w:ilvl="4">
      <w:start w:val="0"/>
      <w:numFmt w:val="bullet"/>
      <w:lvlText w:val="•"/>
      <w:lvlJc w:val="left"/>
      <w:pPr>
        <w:ind w:left="5233" w:hanging="360"/>
      </w:pPr>
      <w:rPr>
        <w:rFonts w:hint="default"/>
      </w:rPr>
    </w:lvl>
    <w:lvl w:ilvl="5">
      <w:start w:val="0"/>
      <w:numFmt w:val="bullet"/>
      <w:lvlText w:val="•"/>
      <w:lvlJc w:val="left"/>
      <w:pPr>
        <w:ind w:left="6391" w:hanging="360"/>
      </w:pPr>
      <w:rPr>
        <w:rFonts w:hint="default"/>
      </w:rPr>
    </w:lvl>
    <w:lvl w:ilvl="6">
      <w:start w:val="0"/>
      <w:numFmt w:val="bullet"/>
      <w:lvlText w:val="•"/>
      <w:lvlJc w:val="left"/>
      <w:pPr>
        <w:ind w:left="7549" w:hanging="360"/>
      </w:pPr>
      <w:rPr>
        <w:rFonts w:hint="default"/>
      </w:rPr>
    </w:lvl>
    <w:lvl w:ilvl="7">
      <w:start w:val="0"/>
      <w:numFmt w:val="bullet"/>
      <w:lvlText w:val="•"/>
      <w:lvlJc w:val="left"/>
      <w:pPr>
        <w:ind w:left="8707" w:hanging="360"/>
      </w:pPr>
      <w:rPr>
        <w:rFonts w:hint="default"/>
      </w:rPr>
    </w:lvl>
    <w:lvl w:ilvl="8">
      <w:start w:val="0"/>
      <w:numFmt w:val="bullet"/>
      <w:lvlText w:val="•"/>
      <w:lvlJc w:val="left"/>
      <w:pPr>
        <w:ind w:left="9865" w:hanging="360"/>
      </w:pPr>
      <w:rPr>
        <w:rFonts w:hint="default"/>
      </w:rPr>
    </w:lvl>
  </w:abstractNum>
  <w:abstractNum w:abstractNumId="77">
    <w:multiLevelType w:val="hybridMultilevel"/>
    <w:lvl w:ilvl="0">
      <w:start w:val="10"/>
      <w:numFmt w:val="upperLetter"/>
      <w:lvlText w:val="%1."/>
      <w:lvlJc w:val="left"/>
      <w:pPr>
        <w:ind w:left="616" w:hanging="161"/>
        <w:jc w:val="left"/>
      </w:pPr>
      <w:rPr>
        <w:rFonts w:hint="default" w:ascii="Garamond" w:hAnsi="Garamond" w:eastAsia="Garamond" w:cs="Garamond"/>
        <w:w w:val="99"/>
        <w:sz w:val="20"/>
        <w:szCs w:val="20"/>
      </w:rPr>
    </w:lvl>
    <w:lvl w:ilvl="1">
      <w:start w:val="1"/>
      <w:numFmt w:val="upperRoman"/>
      <w:lvlText w:val="%2."/>
      <w:lvlJc w:val="left"/>
      <w:pPr>
        <w:ind w:left="1696" w:hanging="720"/>
        <w:jc w:val="right"/>
      </w:pPr>
      <w:rPr>
        <w:rFonts w:hint="default" w:ascii="Garamond" w:hAnsi="Garamond" w:eastAsia="Garamond" w:cs="Garamond"/>
        <w:b/>
        <w:bCs/>
        <w:spacing w:val="0"/>
        <w:w w:val="99"/>
        <w:sz w:val="38"/>
        <w:szCs w:val="38"/>
      </w:rPr>
    </w:lvl>
    <w:lvl w:ilvl="2">
      <w:start w:val="0"/>
      <w:numFmt w:val="bullet"/>
      <w:lvlText w:val="•"/>
      <w:lvlJc w:val="left"/>
      <w:pPr>
        <w:ind w:left="2864" w:hanging="720"/>
      </w:pPr>
      <w:rPr>
        <w:rFonts w:hint="default"/>
      </w:rPr>
    </w:lvl>
    <w:lvl w:ilvl="3">
      <w:start w:val="0"/>
      <w:numFmt w:val="bullet"/>
      <w:lvlText w:val="•"/>
      <w:lvlJc w:val="left"/>
      <w:pPr>
        <w:ind w:left="4029" w:hanging="720"/>
      </w:pPr>
      <w:rPr>
        <w:rFonts w:hint="default"/>
      </w:rPr>
    </w:lvl>
    <w:lvl w:ilvl="4">
      <w:start w:val="0"/>
      <w:numFmt w:val="bullet"/>
      <w:lvlText w:val="•"/>
      <w:lvlJc w:val="left"/>
      <w:pPr>
        <w:ind w:left="5193" w:hanging="720"/>
      </w:pPr>
      <w:rPr>
        <w:rFonts w:hint="default"/>
      </w:rPr>
    </w:lvl>
    <w:lvl w:ilvl="5">
      <w:start w:val="0"/>
      <w:numFmt w:val="bullet"/>
      <w:lvlText w:val="•"/>
      <w:lvlJc w:val="left"/>
      <w:pPr>
        <w:ind w:left="6358" w:hanging="720"/>
      </w:pPr>
      <w:rPr>
        <w:rFonts w:hint="default"/>
      </w:rPr>
    </w:lvl>
    <w:lvl w:ilvl="6">
      <w:start w:val="0"/>
      <w:numFmt w:val="bullet"/>
      <w:lvlText w:val="•"/>
      <w:lvlJc w:val="left"/>
      <w:pPr>
        <w:ind w:left="7522" w:hanging="720"/>
      </w:pPr>
      <w:rPr>
        <w:rFonts w:hint="default"/>
      </w:rPr>
    </w:lvl>
    <w:lvl w:ilvl="7">
      <w:start w:val="0"/>
      <w:numFmt w:val="bullet"/>
      <w:lvlText w:val="•"/>
      <w:lvlJc w:val="left"/>
      <w:pPr>
        <w:ind w:left="8687" w:hanging="720"/>
      </w:pPr>
      <w:rPr>
        <w:rFonts w:hint="default"/>
      </w:rPr>
    </w:lvl>
    <w:lvl w:ilvl="8">
      <w:start w:val="0"/>
      <w:numFmt w:val="bullet"/>
      <w:lvlText w:val="•"/>
      <w:lvlJc w:val="left"/>
      <w:pPr>
        <w:ind w:left="9851" w:hanging="720"/>
      </w:pPr>
      <w:rPr>
        <w:rFonts w:hint="default"/>
      </w:rPr>
    </w:lvl>
  </w:abstractNum>
  <w:abstractNum w:abstractNumId="76">
    <w:multiLevelType w:val="hybridMultilevel"/>
    <w:lvl w:ilvl="0">
      <w:start w:val="0"/>
      <w:numFmt w:val="bullet"/>
      <w:lvlText w:val="-"/>
      <w:lvlJc w:val="left"/>
      <w:pPr>
        <w:ind w:left="1031" w:hanging="416"/>
      </w:pPr>
      <w:rPr>
        <w:rFonts w:hint="default" w:ascii="Times New Roman" w:hAnsi="Times New Roman" w:eastAsia="Times New Roman" w:cs="Times New Roman"/>
        <w:w w:val="99"/>
        <w:sz w:val="38"/>
        <w:szCs w:val="38"/>
      </w:rPr>
    </w:lvl>
    <w:lvl w:ilvl="1">
      <w:start w:val="0"/>
      <w:numFmt w:val="bullet"/>
      <w:lvlText w:val="-"/>
      <w:lvlJc w:val="left"/>
      <w:pPr>
        <w:ind w:left="1336" w:hanging="360"/>
      </w:pPr>
      <w:rPr>
        <w:rFonts w:hint="default" w:ascii="Times New Roman" w:hAnsi="Times New Roman" w:eastAsia="Times New Roman" w:cs="Times New Roman"/>
        <w:w w:val="99"/>
        <w:sz w:val="38"/>
        <w:szCs w:val="38"/>
      </w:rPr>
    </w:lvl>
    <w:lvl w:ilvl="2">
      <w:start w:val="0"/>
      <w:numFmt w:val="bullet"/>
      <w:lvlText w:val="•"/>
      <w:lvlJc w:val="left"/>
      <w:pPr>
        <w:ind w:left="2544" w:hanging="360"/>
      </w:pPr>
      <w:rPr>
        <w:rFonts w:hint="default"/>
      </w:rPr>
    </w:lvl>
    <w:lvl w:ilvl="3">
      <w:start w:val="0"/>
      <w:numFmt w:val="bullet"/>
      <w:lvlText w:val="•"/>
      <w:lvlJc w:val="left"/>
      <w:pPr>
        <w:ind w:left="3749" w:hanging="360"/>
      </w:pPr>
      <w:rPr>
        <w:rFonts w:hint="default"/>
      </w:rPr>
    </w:lvl>
    <w:lvl w:ilvl="4">
      <w:start w:val="0"/>
      <w:numFmt w:val="bullet"/>
      <w:lvlText w:val="•"/>
      <w:lvlJc w:val="left"/>
      <w:pPr>
        <w:ind w:left="4953" w:hanging="360"/>
      </w:pPr>
      <w:rPr>
        <w:rFonts w:hint="default"/>
      </w:rPr>
    </w:lvl>
    <w:lvl w:ilvl="5">
      <w:start w:val="0"/>
      <w:numFmt w:val="bullet"/>
      <w:lvlText w:val="•"/>
      <w:lvlJc w:val="left"/>
      <w:pPr>
        <w:ind w:left="6158" w:hanging="360"/>
      </w:pPr>
      <w:rPr>
        <w:rFonts w:hint="default"/>
      </w:rPr>
    </w:lvl>
    <w:lvl w:ilvl="6">
      <w:start w:val="0"/>
      <w:numFmt w:val="bullet"/>
      <w:lvlText w:val="•"/>
      <w:lvlJc w:val="left"/>
      <w:pPr>
        <w:ind w:left="7362" w:hanging="360"/>
      </w:pPr>
      <w:rPr>
        <w:rFonts w:hint="default"/>
      </w:rPr>
    </w:lvl>
    <w:lvl w:ilvl="7">
      <w:start w:val="0"/>
      <w:numFmt w:val="bullet"/>
      <w:lvlText w:val="•"/>
      <w:lvlJc w:val="left"/>
      <w:pPr>
        <w:ind w:left="8567" w:hanging="360"/>
      </w:pPr>
      <w:rPr>
        <w:rFonts w:hint="default"/>
      </w:rPr>
    </w:lvl>
    <w:lvl w:ilvl="8">
      <w:start w:val="0"/>
      <w:numFmt w:val="bullet"/>
      <w:lvlText w:val="•"/>
      <w:lvlJc w:val="left"/>
      <w:pPr>
        <w:ind w:left="9771" w:hanging="360"/>
      </w:pPr>
      <w:rPr>
        <w:rFonts w:hint="default"/>
      </w:rPr>
    </w:lvl>
  </w:abstractNum>
  <w:abstractNum w:abstractNumId="75">
    <w:multiLevelType w:val="hybridMultilevel"/>
    <w:lvl w:ilvl="0">
      <w:start w:val="0"/>
      <w:numFmt w:val="bullet"/>
      <w:lvlText w:val="-"/>
      <w:lvlJc w:val="left"/>
      <w:pPr>
        <w:ind w:left="830" w:hanging="214"/>
      </w:pPr>
      <w:rPr>
        <w:rFonts w:hint="default" w:ascii="Garamond" w:hAnsi="Garamond" w:eastAsia="Garamond" w:cs="Garamond"/>
        <w:w w:val="99"/>
        <w:sz w:val="38"/>
        <w:szCs w:val="38"/>
      </w:rPr>
    </w:lvl>
    <w:lvl w:ilvl="1">
      <w:start w:val="0"/>
      <w:numFmt w:val="bullet"/>
      <w:lvlText w:val="•"/>
      <w:lvlJc w:val="left"/>
      <w:pPr>
        <w:ind w:left="1974" w:hanging="214"/>
      </w:pPr>
      <w:rPr>
        <w:rFonts w:hint="default"/>
      </w:rPr>
    </w:lvl>
    <w:lvl w:ilvl="2">
      <w:start w:val="0"/>
      <w:numFmt w:val="bullet"/>
      <w:lvlText w:val="•"/>
      <w:lvlJc w:val="left"/>
      <w:pPr>
        <w:ind w:left="3108" w:hanging="214"/>
      </w:pPr>
      <w:rPr>
        <w:rFonts w:hint="default"/>
      </w:rPr>
    </w:lvl>
    <w:lvl w:ilvl="3">
      <w:start w:val="0"/>
      <w:numFmt w:val="bullet"/>
      <w:lvlText w:val="•"/>
      <w:lvlJc w:val="left"/>
      <w:pPr>
        <w:ind w:left="4242" w:hanging="214"/>
      </w:pPr>
      <w:rPr>
        <w:rFonts w:hint="default"/>
      </w:rPr>
    </w:lvl>
    <w:lvl w:ilvl="4">
      <w:start w:val="0"/>
      <w:numFmt w:val="bullet"/>
      <w:lvlText w:val="•"/>
      <w:lvlJc w:val="left"/>
      <w:pPr>
        <w:ind w:left="5376" w:hanging="214"/>
      </w:pPr>
      <w:rPr>
        <w:rFonts w:hint="default"/>
      </w:rPr>
    </w:lvl>
    <w:lvl w:ilvl="5">
      <w:start w:val="0"/>
      <w:numFmt w:val="bullet"/>
      <w:lvlText w:val="•"/>
      <w:lvlJc w:val="left"/>
      <w:pPr>
        <w:ind w:left="6510" w:hanging="214"/>
      </w:pPr>
      <w:rPr>
        <w:rFonts w:hint="default"/>
      </w:rPr>
    </w:lvl>
    <w:lvl w:ilvl="6">
      <w:start w:val="0"/>
      <w:numFmt w:val="bullet"/>
      <w:lvlText w:val="•"/>
      <w:lvlJc w:val="left"/>
      <w:pPr>
        <w:ind w:left="7644" w:hanging="214"/>
      </w:pPr>
      <w:rPr>
        <w:rFonts w:hint="default"/>
      </w:rPr>
    </w:lvl>
    <w:lvl w:ilvl="7">
      <w:start w:val="0"/>
      <w:numFmt w:val="bullet"/>
      <w:lvlText w:val="•"/>
      <w:lvlJc w:val="left"/>
      <w:pPr>
        <w:ind w:left="8778" w:hanging="214"/>
      </w:pPr>
      <w:rPr>
        <w:rFonts w:hint="default"/>
      </w:rPr>
    </w:lvl>
    <w:lvl w:ilvl="8">
      <w:start w:val="0"/>
      <w:numFmt w:val="bullet"/>
      <w:lvlText w:val="•"/>
      <w:lvlJc w:val="left"/>
      <w:pPr>
        <w:ind w:left="9912" w:hanging="214"/>
      </w:pPr>
      <w:rPr>
        <w:rFonts w:hint="default"/>
      </w:rPr>
    </w:lvl>
  </w:abstractNum>
  <w:abstractNum w:abstractNumId="74">
    <w:multiLevelType w:val="hybridMultilevel"/>
    <w:lvl w:ilvl="0">
      <w:start w:val="0"/>
      <w:numFmt w:val="bullet"/>
      <w:lvlText w:val="-"/>
      <w:lvlJc w:val="left"/>
      <w:pPr>
        <w:ind w:left="1329" w:hanging="356"/>
      </w:pPr>
      <w:rPr>
        <w:rFonts w:hint="default" w:ascii="Times New Roman" w:hAnsi="Times New Roman" w:eastAsia="Times New Roman" w:cs="Times New Roman"/>
        <w:w w:val="99"/>
        <w:sz w:val="38"/>
        <w:szCs w:val="38"/>
      </w:rPr>
    </w:lvl>
    <w:lvl w:ilvl="1">
      <w:start w:val="0"/>
      <w:numFmt w:val="bullet"/>
      <w:lvlText w:val="•"/>
      <w:lvlJc w:val="left"/>
      <w:pPr>
        <w:ind w:left="2406" w:hanging="356"/>
      </w:pPr>
      <w:rPr>
        <w:rFonts w:hint="default"/>
      </w:rPr>
    </w:lvl>
    <w:lvl w:ilvl="2">
      <w:start w:val="0"/>
      <w:numFmt w:val="bullet"/>
      <w:lvlText w:val="•"/>
      <w:lvlJc w:val="left"/>
      <w:pPr>
        <w:ind w:left="3492" w:hanging="356"/>
      </w:pPr>
      <w:rPr>
        <w:rFonts w:hint="default"/>
      </w:rPr>
    </w:lvl>
    <w:lvl w:ilvl="3">
      <w:start w:val="0"/>
      <w:numFmt w:val="bullet"/>
      <w:lvlText w:val="•"/>
      <w:lvlJc w:val="left"/>
      <w:pPr>
        <w:ind w:left="4578" w:hanging="356"/>
      </w:pPr>
      <w:rPr>
        <w:rFonts w:hint="default"/>
      </w:rPr>
    </w:lvl>
    <w:lvl w:ilvl="4">
      <w:start w:val="0"/>
      <w:numFmt w:val="bullet"/>
      <w:lvlText w:val="•"/>
      <w:lvlJc w:val="left"/>
      <w:pPr>
        <w:ind w:left="5664" w:hanging="356"/>
      </w:pPr>
      <w:rPr>
        <w:rFonts w:hint="default"/>
      </w:rPr>
    </w:lvl>
    <w:lvl w:ilvl="5">
      <w:start w:val="0"/>
      <w:numFmt w:val="bullet"/>
      <w:lvlText w:val="•"/>
      <w:lvlJc w:val="left"/>
      <w:pPr>
        <w:ind w:left="6750" w:hanging="356"/>
      </w:pPr>
      <w:rPr>
        <w:rFonts w:hint="default"/>
      </w:rPr>
    </w:lvl>
    <w:lvl w:ilvl="6">
      <w:start w:val="0"/>
      <w:numFmt w:val="bullet"/>
      <w:lvlText w:val="•"/>
      <w:lvlJc w:val="left"/>
      <w:pPr>
        <w:ind w:left="7836" w:hanging="356"/>
      </w:pPr>
      <w:rPr>
        <w:rFonts w:hint="default"/>
      </w:rPr>
    </w:lvl>
    <w:lvl w:ilvl="7">
      <w:start w:val="0"/>
      <w:numFmt w:val="bullet"/>
      <w:lvlText w:val="•"/>
      <w:lvlJc w:val="left"/>
      <w:pPr>
        <w:ind w:left="8922" w:hanging="356"/>
      </w:pPr>
      <w:rPr>
        <w:rFonts w:hint="default"/>
      </w:rPr>
    </w:lvl>
    <w:lvl w:ilvl="8">
      <w:start w:val="0"/>
      <w:numFmt w:val="bullet"/>
      <w:lvlText w:val="•"/>
      <w:lvlJc w:val="left"/>
      <w:pPr>
        <w:ind w:left="10008" w:hanging="356"/>
      </w:pPr>
      <w:rPr>
        <w:rFonts w:hint="default"/>
      </w:rPr>
    </w:lvl>
  </w:abstractNum>
  <w:abstractNum w:abstractNumId="73">
    <w:multiLevelType w:val="hybridMultilevel"/>
    <w:lvl w:ilvl="0">
      <w:start w:val="1"/>
      <w:numFmt w:val="decimal"/>
      <w:lvlText w:val="%1"/>
      <w:lvlJc w:val="left"/>
      <w:pPr>
        <w:ind w:left="616" w:hanging="273"/>
        <w:jc w:val="left"/>
      </w:pPr>
      <w:rPr>
        <w:rFonts w:hint="default" w:ascii="Garamond" w:hAnsi="Garamond" w:eastAsia="Garamond" w:cs="Garamond"/>
        <w:w w:val="99"/>
        <w:sz w:val="38"/>
        <w:szCs w:val="38"/>
      </w:rPr>
    </w:lvl>
    <w:lvl w:ilvl="1">
      <w:start w:val="0"/>
      <w:numFmt w:val="bullet"/>
      <w:lvlText w:val="-"/>
      <w:lvlJc w:val="left"/>
      <w:pPr>
        <w:ind w:left="1182" w:hanging="284"/>
      </w:pPr>
      <w:rPr>
        <w:rFonts w:hint="default" w:ascii="Times New Roman" w:hAnsi="Times New Roman" w:eastAsia="Times New Roman" w:cs="Times New Roman"/>
        <w:w w:val="99"/>
        <w:sz w:val="38"/>
        <w:szCs w:val="38"/>
      </w:rPr>
    </w:lvl>
    <w:lvl w:ilvl="2">
      <w:start w:val="0"/>
      <w:numFmt w:val="bullet"/>
      <w:lvlText w:val="-"/>
      <w:lvlJc w:val="left"/>
      <w:pPr>
        <w:ind w:left="1758" w:hanging="360"/>
      </w:pPr>
      <w:rPr>
        <w:rFonts w:hint="default" w:ascii="Times New Roman" w:hAnsi="Times New Roman" w:eastAsia="Times New Roman" w:cs="Times New Roman"/>
        <w:w w:val="99"/>
        <w:sz w:val="38"/>
        <w:szCs w:val="38"/>
      </w:rPr>
    </w:lvl>
    <w:lvl w:ilvl="3">
      <w:start w:val="0"/>
      <w:numFmt w:val="bullet"/>
      <w:lvlText w:val="•"/>
      <w:lvlJc w:val="left"/>
      <w:pPr>
        <w:ind w:left="3062" w:hanging="360"/>
      </w:pPr>
      <w:rPr>
        <w:rFonts w:hint="default"/>
      </w:rPr>
    </w:lvl>
    <w:lvl w:ilvl="4">
      <w:start w:val="0"/>
      <w:numFmt w:val="bullet"/>
      <w:lvlText w:val="•"/>
      <w:lvlJc w:val="left"/>
      <w:pPr>
        <w:ind w:left="4365" w:hanging="360"/>
      </w:pPr>
      <w:rPr>
        <w:rFonts w:hint="default"/>
      </w:rPr>
    </w:lvl>
    <w:lvl w:ilvl="5">
      <w:start w:val="0"/>
      <w:numFmt w:val="bullet"/>
      <w:lvlText w:val="•"/>
      <w:lvlJc w:val="left"/>
      <w:pPr>
        <w:ind w:left="5667" w:hanging="360"/>
      </w:pPr>
      <w:rPr>
        <w:rFonts w:hint="default"/>
      </w:rPr>
    </w:lvl>
    <w:lvl w:ilvl="6">
      <w:start w:val="0"/>
      <w:numFmt w:val="bullet"/>
      <w:lvlText w:val="•"/>
      <w:lvlJc w:val="left"/>
      <w:pPr>
        <w:ind w:left="6970" w:hanging="360"/>
      </w:pPr>
      <w:rPr>
        <w:rFonts w:hint="default"/>
      </w:rPr>
    </w:lvl>
    <w:lvl w:ilvl="7">
      <w:start w:val="0"/>
      <w:numFmt w:val="bullet"/>
      <w:lvlText w:val="•"/>
      <w:lvlJc w:val="left"/>
      <w:pPr>
        <w:ind w:left="8273" w:hanging="360"/>
      </w:pPr>
      <w:rPr>
        <w:rFonts w:hint="default"/>
      </w:rPr>
    </w:lvl>
    <w:lvl w:ilvl="8">
      <w:start w:val="0"/>
      <w:numFmt w:val="bullet"/>
      <w:lvlText w:val="•"/>
      <w:lvlJc w:val="left"/>
      <w:pPr>
        <w:ind w:left="9575" w:hanging="360"/>
      </w:pPr>
      <w:rPr>
        <w:rFonts w:hint="default"/>
      </w:rPr>
    </w:lvl>
  </w:abstractNum>
  <w:abstractNum w:abstractNumId="72">
    <w:multiLevelType w:val="hybridMultilevel"/>
    <w:lvl w:ilvl="0">
      <w:start w:val="0"/>
      <w:numFmt w:val="bullet"/>
      <w:lvlText w:val="-"/>
      <w:lvlJc w:val="left"/>
      <w:pPr>
        <w:ind w:left="1336" w:hanging="360"/>
      </w:pPr>
      <w:rPr>
        <w:rFonts w:hint="default" w:ascii="Times New Roman" w:hAnsi="Times New Roman" w:eastAsia="Times New Roman" w:cs="Times New Roman"/>
        <w:w w:val="99"/>
        <w:sz w:val="38"/>
        <w:szCs w:val="38"/>
      </w:rPr>
    </w:lvl>
    <w:lvl w:ilvl="1">
      <w:start w:val="0"/>
      <w:numFmt w:val="bullet"/>
      <w:lvlText w:val="•"/>
      <w:lvlJc w:val="left"/>
      <w:pPr>
        <w:ind w:left="2424" w:hanging="360"/>
      </w:pPr>
      <w:rPr>
        <w:rFonts w:hint="default"/>
      </w:rPr>
    </w:lvl>
    <w:lvl w:ilvl="2">
      <w:start w:val="0"/>
      <w:numFmt w:val="bullet"/>
      <w:lvlText w:val="•"/>
      <w:lvlJc w:val="left"/>
      <w:pPr>
        <w:ind w:left="3508" w:hanging="360"/>
      </w:pPr>
      <w:rPr>
        <w:rFonts w:hint="default"/>
      </w:rPr>
    </w:lvl>
    <w:lvl w:ilvl="3">
      <w:start w:val="0"/>
      <w:numFmt w:val="bullet"/>
      <w:lvlText w:val="•"/>
      <w:lvlJc w:val="left"/>
      <w:pPr>
        <w:ind w:left="4592" w:hanging="360"/>
      </w:pPr>
      <w:rPr>
        <w:rFonts w:hint="default"/>
      </w:rPr>
    </w:lvl>
    <w:lvl w:ilvl="4">
      <w:start w:val="0"/>
      <w:numFmt w:val="bullet"/>
      <w:lvlText w:val="•"/>
      <w:lvlJc w:val="left"/>
      <w:pPr>
        <w:ind w:left="5676" w:hanging="360"/>
      </w:pPr>
      <w:rPr>
        <w:rFonts w:hint="default"/>
      </w:rPr>
    </w:lvl>
    <w:lvl w:ilvl="5">
      <w:start w:val="0"/>
      <w:numFmt w:val="bullet"/>
      <w:lvlText w:val="•"/>
      <w:lvlJc w:val="left"/>
      <w:pPr>
        <w:ind w:left="6760" w:hanging="360"/>
      </w:pPr>
      <w:rPr>
        <w:rFonts w:hint="default"/>
      </w:rPr>
    </w:lvl>
    <w:lvl w:ilvl="6">
      <w:start w:val="0"/>
      <w:numFmt w:val="bullet"/>
      <w:lvlText w:val="•"/>
      <w:lvlJc w:val="left"/>
      <w:pPr>
        <w:ind w:left="7844" w:hanging="360"/>
      </w:pPr>
      <w:rPr>
        <w:rFonts w:hint="default"/>
      </w:rPr>
    </w:lvl>
    <w:lvl w:ilvl="7">
      <w:start w:val="0"/>
      <w:numFmt w:val="bullet"/>
      <w:lvlText w:val="•"/>
      <w:lvlJc w:val="left"/>
      <w:pPr>
        <w:ind w:left="8928" w:hanging="360"/>
      </w:pPr>
      <w:rPr>
        <w:rFonts w:hint="default"/>
      </w:rPr>
    </w:lvl>
    <w:lvl w:ilvl="8">
      <w:start w:val="0"/>
      <w:numFmt w:val="bullet"/>
      <w:lvlText w:val="•"/>
      <w:lvlJc w:val="left"/>
      <w:pPr>
        <w:ind w:left="10012" w:hanging="360"/>
      </w:pPr>
      <w:rPr>
        <w:rFonts w:hint="default"/>
      </w:rPr>
    </w:lvl>
  </w:abstractNum>
  <w:abstractNum w:abstractNumId="71">
    <w:multiLevelType w:val="hybridMultilevel"/>
    <w:lvl w:ilvl="0">
      <w:start w:val="0"/>
      <w:numFmt w:val="bullet"/>
      <w:lvlText w:val="-"/>
      <w:lvlJc w:val="left"/>
      <w:pPr>
        <w:ind w:left="1696" w:hanging="360"/>
      </w:pPr>
      <w:rPr>
        <w:rFonts w:hint="default" w:ascii="Times New Roman" w:hAnsi="Times New Roman" w:eastAsia="Times New Roman" w:cs="Times New Roman"/>
        <w:w w:val="99"/>
        <w:sz w:val="38"/>
        <w:szCs w:val="38"/>
      </w:rPr>
    </w:lvl>
    <w:lvl w:ilvl="1">
      <w:start w:val="0"/>
      <w:numFmt w:val="bullet"/>
      <w:lvlText w:val="•"/>
      <w:lvlJc w:val="left"/>
      <w:pPr>
        <w:ind w:left="2748" w:hanging="360"/>
      </w:pPr>
      <w:rPr>
        <w:rFonts w:hint="default"/>
      </w:rPr>
    </w:lvl>
    <w:lvl w:ilvl="2">
      <w:start w:val="0"/>
      <w:numFmt w:val="bullet"/>
      <w:lvlText w:val="•"/>
      <w:lvlJc w:val="left"/>
      <w:pPr>
        <w:ind w:left="3796" w:hanging="360"/>
      </w:pPr>
      <w:rPr>
        <w:rFonts w:hint="default"/>
      </w:rPr>
    </w:lvl>
    <w:lvl w:ilvl="3">
      <w:start w:val="0"/>
      <w:numFmt w:val="bullet"/>
      <w:lvlText w:val="•"/>
      <w:lvlJc w:val="left"/>
      <w:pPr>
        <w:ind w:left="4844" w:hanging="360"/>
      </w:pPr>
      <w:rPr>
        <w:rFonts w:hint="default"/>
      </w:rPr>
    </w:lvl>
    <w:lvl w:ilvl="4">
      <w:start w:val="0"/>
      <w:numFmt w:val="bullet"/>
      <w:lvlText w:val="•"/>
      <w:lvlJc w:val="left"/>
      <w:pPr>
        <w:ind w:left="5892" w:hanging="360"/>
      </w:pPr>
      <w:rPr>
        <w:rFonts w:hint="default"/>
      </w:rPr>
    </w:lvl>
    <w:lvl w:ilvl="5">
      <w:start w:val="0"/>
      <w:numFmt w:val="bullet"/>
      <w:lvlText w:val="•"/>
      <w:lvlJc w:val="left"/>
      <w:pPr>
        <w:ind w:left="6940" w:hanging="360"/>
      </w:pPr>
      <w:rPr>
        <w:rFonts w:hint="default"/>
      </w:rPr>
    </w:lvl>
    <w:lvl w:ilvl="6">
      <w:start w:val="0"/>
      <w:numFmt w:val="bullet"/>
      <w:lvlText w:val="•"/>
      <w:lvlJc w:val="left"/>
      <w:pPr>
        <w:ind w:left="7988" w:hanging="360"/>
      </w:pPr>
      <w:rPr>
        <w:rFonts w:hint="default"/>
      </w:rPr>
    </w:lvl>
    <w:lvl w:ilvl="7">
      <w:start w:val="0"/>
      <w:numFmt w:val="bullet"/>
      <w:lvlText w:val="•"/>
      <w:lvlJc w:val="left"/>
      <w:pPr>
        <w:ind w:left="9036" w:hanging="360"/>
      </w:pPr>
      <w:rPr>
        <w:rFonts w:hint="default"/>
      </w:rPr>
    </w:lvl>
    <w:lvl w:ilvl="8">
      <w:start w:val="0"/>
      <w:numFmt w:val="bullet"/>
      <w:lvlText w:val="•"/>
      <w:lvlJc w:val="left"/>
      <w:pPr>
        <w:ind w:left="10084" w:hanging="360"/>
      </w:pPr>
      <w:rPr>
        <w:rFonts w:hint="default"/>
      </w:rPr>
    </w:lvl>
  </w:abstractNum>
  <w:abstractNum w:abstractNumId="70">
    <w:multiLevelType w:val="hybridMultilevel"/>
    <w:lvl w:ilvl="0">
      <w:start w:val="0"/>
      <w:numFmt w:val="bullet"/>
      <w:lvlText w:val="-"/>
      <w:lvlJc w:val="left"/>
      <w:pPr>
        <w:ind w:left="1043" w:hanging="701"/>
      </w:pPr>
      <w:rPr>
        <w:rFonts w:hint="default" w:ascii="Times New Roman" w:hAnsi="Times New Roman" w:eastAsia="Times New Roman" w:cs="Times New Roman"/>
        <w:w w:val="99"/>
        <w:sz w:val="38"/>
        <w:szCs w:val="38"/>
      </w:rPr>
    </w:lvl>
    <w:lvl w:ilvl="1">
      <w:start w:val="0"/>
      <w:numFmt w:val="bullet"/>
      <w:lvlText w:val="-"/>
      <w:lvlJc w:val="left"/>
      <w:pPr>
        <w:ind w:left="1694" w:hanging="358"/>
      </w:pPr>
      <w:rPr>
        <w:rFonts w:hint="default" w:ascii="Times New Roman" w:hAnsi="Times New Roman" w:eastAsia="Times New Roman" w:cs="Times New Roman"/>
        <w:w w:val="99"/>
        <w:sz w:val="38"/>
        <w:szCs w:val="38"/>
      </w:rPr>
    </w:lvl>
    <w:lvl w:ilvl="2">
      <w:start w:val="0"/>
      <w:numFmt w:val="bullet"/>
      <w:lvlText w:val="-"/>
      <w:lvlJc w:val="left"/>
      <w:pPr>
        <w:ind w:left="1682" w:hanging="360"/>
      </w:pPr>
      <w:rPr>
        <w:rFonts w:hint="default" w:ascii="Times New Roman" w:hAnsi="Times New Roman" w:eastAsia="Times New Roman" w:cs="Times New Roman"/>
        <w:w w:val="99"/>
        <w:sz w:val="38"/>
        <w:szCs w:val="38"/>
      </w:rPr>
    </w:lvl>
    <w:lvl w:ilvl="3">
      <w:start w:val="0"/>
      <w:numFmt w:val="bullet"/>
      <w:lvlText w:val="•"/>
      <w:lvlJc w:val="left"/>
      <w:pPr>
        <w:ind w:left="1680" w:hanging="360"/>
      </w:pPr>
      <w:rPr>
        <w:rFonts w:hint="default"/>
      </w:rPr>
    </w:lvl>
    <w:lvl w:ilvl="4">
      <w:start w:val="0"/>
      <w:numFmt w:val="bullet"/>
      <w:lvlText w:val="•"/>
      <w:lvlJc w:val="left"/>
      <w:pPr>
        <w:ind w:left="1700" w:hanging="360"/>
      </w:pPr>
      <w:rPr>
        <w:rFonts w:hint="default"/>
      </w:rPr>
    </w:lvl>
    <w:lvl w:ilvl="5">
      <w:start w:val="0"/>
      <w:numFmt w:val="bullet"/>
      <w:lvlText w:val="•"/>
      <w:lvlJc w:val="left"/>
      <w:pPr>
        <w:ind w:left="3446" w:hanging="360"/>
      </w:pPr>
      <w:rPr>
        <w:rFonts w:hint="default"/>
      </w:rPr>
    </w:lvl>
    <w:lvl w:ilvl="6">
      <w:start w:val="0"/>
      <w:numFmt w:val="bullet"/>
      <w:lvlText w:val="•"/>
      <w:lvlJc w:val="left"/>
      <w:pPr>
        <w:ind w:left="5193" w:hanging="360"/>
      </w:pPr>
      <w:rPr>
        <w:rFonts w:hint="default"/>
      </w:rPr>
    </w:lvl>
    <w:lvl w:ilvl="7">
      <w:start w:val="0"/>
      <w:numFmt w:val="bullet"/>
      <w:lvlText w:val="•"/>
      <w:lvlJc w:val="left"/>
      <w:pPr>
        <w:ind w:left="6940" w:hanging="360"/>
      </w:pPr>
      <w:rPr>
        <w:rFonts w:hint="default"/>
      </w:rPr>
    </w:lvl>
    <w:lvl w:ilvl="8">
      <w:start w:val="0"/>
      <w:numFmt w:val="bullet"/>
      <w:lvlText w:val="•"/>
      <w:lvlJc w:val="left"/>
      <w:pPr>
        <w:ind w:left="8687" w:hanging="360"/>
      </w:pPr>
      <w:rPr>
        <w:rFonts w:hint="default"/>
      </w:rPr>
    </w:lvl>
  </w:abstractNum>
  <w:abstractNum w:abstractNumId="69">
    <w:multiLevelType w:val="hybridMultilevel"/>
    <w:lvl w:ilvl="0">
      <w:start w:val="0"/>
      <w:numFmt w:val="bullet"/>
      <w:lvlText w:val="-"/>
      <w:lvlJc w:val="left"/>
      <w:pPr>
        <w:ind w:left="1192" w:hanging="360"/>
      </w:pPr>
      <w:rPr>
        <w:rFonts w:hint="default" w:ascii="Times New Roman" w:hAnsi="Times New Roman" w:eastAsia="Times New Roman" w:cs="Times New Roman"/>
        <w:w w:val="99"/>
        <w:sz w:val="38"/>
        <w:szCs w:val="38"/>
      </w:rPr>
    </w:lvl>
    <w:lvl w:ilvl="1">
      <w:start w:val="0"/>
      <w:numFmt w:val="bullet"/>
      <w:lvlText w:val="•"/>
      <w:lvlJc w:val="left"/>
      <w:pPr>
        <w:ind w:left="2298" w:hanging="360"/>
      </w:pPr>
      <w:rPr>
        <w:rFonts w:hint="default"/>
      </w:rPr>
    </w:lvl>
    <w:lvl w:ilvl="2">
      <w:start w:val="0"/>
      <w:numFmt w:val="bullet"/>
      <w:lvlText w:val="•"/>
      <w:lvlJc w:val="left"/>
      <w:pPr>
        <w:ind w:left="3396" w:hanging="360"/>
      </w:pPr>
      <w:rPr>
        <w:rFonts w:hint="default"/>
      </w:rPr>
    </w:lvl>
    <w:lvl w:ilvl="3">
      <w:start w:val="0"/>
      <w:numFmt w:val="bullet"/>
      <w:lvlText w:val="•"/>
      <w:lvlJc w:val="left"/>
      <w:pPr>
        <w:ind w:left="4494" w:hanging="360"/>
      </w:pPr>
      <w:rPr>
        <w:rFonts w:hint="default"/>
      </w:rPr>
    </w:lvl>
    <w:lvl w:ilvl="4">
      <w:start w:val="0"/>
      <w:numFmt w:val="bullet"/>
      <w:lvlText w:val="•"/>
      <w:lvlJc w:val="left"/>
      <w:pPr>
        <w:ind w:left="5592" w:hanging="360"/>
      </w:pPr>
      <w:rPr>
        <w:rFonts w:hint="default"/>
      </w:rPr>
    </w:lvl>
    <w:lvl w:ilvl="5">
      <w:start w:val="0"/>
      <w:numFmt w:val="bullet"/>
      <w:lvlText w:val="•"/>
      <w:lvlJc w:val="left"/>
      <w:pPr>
        <w:ind w:left="6690" w:hanging="360"/>
      </w:pPr>
      <w:rPr>
        <w:rFonts w:hint="default"/>
      </w:rPr>
    </w:lvl>
    <w:lvl w:ilvl="6">
      <w:start w:val="0"/>
      <w:numFmt w:val="bullet"/>
      <w:lvlText w:val="•"/>
      <w:lvlJc w:val="left"/>
      <w:pPr>
        <w:ind w:left="7788" w:hanging="360"/>
      </w:pPr>
      <w:rPr>
        <w:rFonts w:hint="default"/>
      </w:rPr>
    </w:lvl>
    <w:lvl w:ilvl="7">
      <w:start w:val="0"/>
      <w:numFmt w:val="bullet"/>
      <w:lvlText w:val="•"/>
      <w:lvlJc w:val="left"/>
      <w:pPr>
        <w:ind w:left="8886" w:hanging="360"/>
      </w:pPr>
      <w:rPr>
        <w:rFonts w:hint="default"/>
      </w:rPr>
    </w:lvl>
    <w:lvl w:ilvl="8">
      <w:start w:val="0"/>
      <w:numFmt w:val="bullet"/>
      <w:lvlText w:val="•"/>
      <w:lvlJc w:val="left"/>
      <w:pPr>
        <w:ind w:left="9984" w:hanging="360"/>
      </w:pPr>
      <w:rPr>
        <w:rFonts w:hint="default"/>
      </w:rPr>
    </w:lvl>
  </w:abstractNum>
  <w:abstractNum w:abstractNumId="68">
    <w:multiLevelType w:val="hybridMultilevel"/>
    <w:lvl w:ilvl="0">
      <w:start w:val="1"/>
      <w:numFmt w:val="decimal"/>
      <w:lvlText w:val="%1)"/>
      <w:lvlJc w:val="left"/>
      <w:pPr>
        <w:ind w:left="477" w:hanging="290"/>
        <w:jc w:val="left"/>
      </w:pPr>
      <w:rPr>
        <w:rFonts w:hint="default" w:ascii="Garamond" w:hAnsi="Garamond" w:eastAsia="Garamond" w:cs="Garamond"/>
        <w:spacing w:val="-1"/>
        <w:w w:val="99"/>
        <w:sz w:val="36"/>
        <w:szCs w:val="36"/>
      </w:rPr>
    </w:lvl>
    <w:lvl w:ilvl="1">
      <w:start w:val="0"/>
      <w:numFmt w:val="bullet"/>
      <w:lvlText w:val=""/>
      <w:lvlJc w:val="left"/>
      <w:pPr>
        <w:ind w:left="1324" w:hanging="708"/>
      </w:pPr>
      <w:rPr>
        <w:rFonts w:hint="default" w:ascii="Symbol" w:hAnsi="Symbol" w:eastAsia="Symbol" w:cs="Symbol"/>
        <w:w w:val="99"/>
        <w:sz w:val="20"/>
        <w:szCs w:val="20"/>
      </w:rPr>
    </w:lvl>
    <w:lvl w:ilvl="2">
      <w:start w:val="0"/>
      <w:numFmt w:val="bullet"/>
      <w:lvlText w:val="•"/>
      <w:lvlJc w:val="left"/>
      <w:pPr>
        <w:ind w:left="2526" w:hanging="708"/>
      </w:pPr>
      <w:rPr>
        <w:rFonts w:hint="default"/>
      </w:rPr>
    </w:lvl>
    <w:lvl w:ilvl="3">
      <w:start w:val="0"/>
      <w:numFmt w:val="bullet"/>
      <w:lvlText w:val="•"/>
      <w:lvlJc w:val="left"/>
      <w:pPr>
        <w:ind w:left="3733" w:hanging="708"/>
      </w:pPr>
      <w:rPr>
        <w:rFonts w:hint="default"/>
      </w:rPr>
    </w:lvl>
    <w:lvl w:ilvl="4">
      <w:start w:val="0"/>
      <w:numFmt w:val="bullet"/>
      <w:lvlText w:val="•"/>
      <w:lvlJc w:val="left"/>
      <w:pPr>
        <w:ind w:left="4940" w:hanging="708"/>
      </w:pPr>
      <w:rPr>
        <w:rFonts w:hint="default"/>
      </w:rPr>
    </w:lvl>
    <w:lvl w:ilvl="5">
      <w:start w:val="0"/>
      <w:numFmt w:val="bullet"/>
      <w:lvlText w:val="•"/>
      <w:lvlJc w:val="left"/>
      <w:pPr>
        <w:ind w:left="6147" w:hanging="708"/>
      </w:pPr>
      <w:rPr>
        <w:rFonts w:hint="default"/>
      </w:rPr>
    </w:lvl>
    <w:lvl w:ilvl="6">
      <w:start w:val="0"/>
      <w:numFmt w:val="bullet"/>
      <w:lvlText w:val="•"/>
      <w:lvlJc w:val="left"/>
      <w:pPr>
        <w:ind w:left="7353" w:hanging="708"/>
      </w:pPr>
      <w:rPr>
        <w:rFonts w:hint="default"/>
      </w:rPr>
    </w:lvl>
    <w:lvl w:ilvl="7">
      <w:start w:val="0"/>
      <w:numFmt w:val="bullet"/>
      <w:lvlText w:val="•"/>
      <w:lvlJc w:val="left"/>
      <w:pPr>
        <w:ind w:left="8560" w:hanging="708"/>
      </w:pPr>
      <w:rPr>
        <w:rFonts w:hint="default"/>
      </w:rPr>
    </w:lvl>
    <w:lvl w:ilvl="8">
      <w:start w:val="0"/>
      <w:numFmt w:val="bullet"/>
      <w:lvlText w:val="•"/>
      <w:lvlJc w:val="left"/>
      <w:pPr>
        <w:ind w:left="9767" w:hanging="708"/>
      </w:pPr>
      <w:rPr>
        <w:rFonts w:hint="default"/>
      </w:rPr>
    </w:lvl>
  </w:abstractNum>
  <w:abstractNum w:abstractNumId="67">
    <w:multiLevelType w:val="hybridMultilevel"/>
    <w:lvl w:ilvl="0">
      <w:start w:val="0"/>
      <w:numFmt w:val="bullet"/>
      <w:lvlText w:val="-"/>
      <w:lvlJc w:val="left"/>
      <w:pPr>
        <w:ind w:left="1552" w:hanging="360"/>
      </w:pPr>
      <w:rPr>
        <w:rFonts w:hint="default" w:ascii="Times New Roman" w:hAnsi="Times New Roman" w:eastAsia="Times New Roman" w:cs="Times New Roman"/>
        <w:w w:val="99"/>
        <w:sz w:val="38"/>
        <w:szCs w:val="38"/>
      </w:rPr>
    </w:lvl>
    <w:lvl w:ilvl="1">
      <w:start w:val="0"/>
      <w:numFmt w:val="bullet"/>
      <w:lvlText w:val="•"/>
      <w:lvlJc w:val="left"/>
      <w:pPr>
        <w:ind w:left="2622" w:hanging="360"/>
      </w:pPr>
      <w:rPr>
        <w:rFonts w:hint="default"/>
      </w:rPr>
    </w:lvl>
    <w:lvl w:ilvl="2">
      <w:start w:val="0"/>
      <w:numFmt w:val="bullet"/>
      <w:lvlText w:val="•"/>
      <w:lvlJc w:val="left"/>
      <w:pPr>
        <w:ind w:left="3684" w:hanging="360"/>
      </w:pPr>
      <w:rPr>
        <w:rFonts w:hint="default"/>
      </w:rPr>
    </w:lvl>
    <w:lvl w:ilvl="3">
      <w:start w:val="0"/>
      <w:numFmt w:val="bullet"/>
      <w:lvlText w:val="•"/>
      <w:lvlJc w:val="left"/>
      <w:pPr>
        <w:ind w:left="4746" w:hanging="360"/>
      </w:pPr>
      <w:rPr>
        <w:rFonts w:hint="default"/>
      </w:rPr>
    </w:lvl>
    <w:lvl w:ilvl="4">
      <w:start w:val="0"/>
      <w:numFmt w:val="bullet"/>
      <w:lvlText w:val="•"/>
      <w:lvlJc w:val="left"/>
      <w:pPr>
        <w:ind w:left="5808" w:hanging="360"/>
      </w:pPr>
      <w:rPr>
        <w:rFonts w:hint="default"/>
      </w:rPr>
    </w:lvl>
    <w:lvl w:ilvl="5">
      <w:start w:val="0"/>
      <w:numFmt w:val="bullet"/>
      <w:lvlText w:val="•"/>
      <w:lvlJc w:val="left"/>
      <w:pPr>
        <w:ind w:left="6870" w:hanging="360"/>
      </w:pPr>
      <w:rPr>
        <w:rFonts w:hint="default"/>
      </w:rPr>
    </w:lvl>
    <w:lvl w:ilvl="6">
      <w:start w:val="0"/>
      <w:numFmt w:val="bullet"/>
      <w:lvlText w:val="•"/>
      <w:lvlJc w:val="left"/>
      <w:pPr>
        <w:ind w:left="7932" w:hanging="360"/>
      </w:pPr>
      <w:rPr>
        <w:rFonts w:hint="default"/>
      </w:rPr>
    </w:lvl>
    <w:lvl w:ilvl="7">
      <w:start w:val="0"/>
      <w:numFmt w:val="bullet"/>
      <w:lvlText w:val="•"/>
      <w:lvlJc w:val="left"/>
      <w:pPr>
        <w:ind w:left="8994" w:hanging="360"/>
      </w:pPr>
      <w:rPr>
        <w:rFonts w:hint="default"/>
      </w:rPr>
    </w:lvl>
    <w:lvl w:ilvl="8">
      <w:start w:val="0"/>
      <w:numFmt w:val="bullet"/>
      <w:lvlText w:val="•"/>
      <w:lvlJc w:val="left"/>
      <w:pPr>
        <w:ind w:left="10056" w:hanging="360"/>
      </w:pPr>
      <w:rPr>
        <w:rFonts w:hint="default"/>
      </w:rPr>
    </w:lvl>
  </w:abstractNum>
  <w:abstractNum w:abstractNumId="66">
    <w:multiLevelType w:val="hybridMultilevel"/>
    <w:lvl w:ilvl="0">
      <w:start w:val="12"/>
      <w:numFmt w:val="upperLetter"/>
      <w:lvlText w:val="%1"/>
      <w:lvlJc w:val="left"/>
      <w:pPr>
        <w:ind w:left="886" w:hanging="410"/>
        <w:jc w:val="left"/>
      </w:pPr>
      <w:rPr>
        <w:rFonts w:hint="default"/>
      </w:rPr>
    </w:lvl>
    <w:lvl w:ilvl="1">
      <w:start w:val="3"/>
      <w:numFmt w:val="upperLetter"/>
      <w:lvlText w:val="%1-%2"/>
      <w:lvlJc w:val="left"/>
      <w:pPr>
        <w:ind w:left="886" w:hanging="410"/>
        <w:jc w:val="left"/>
      </w:pPr>
      <w:rPr>
        <w:rFonts w:hint="default" w:ascii="Cambria" w:hAnsi="Cambria" w:eastAsia="Cambria" w:cs="Cambria"/>
        <w:b/>
        <w:bCs/>
        <w:color w:val="365F91"/>
        <w:spacing w:val="-3"/>
        <w:w w:val="100"/>
        <w:sz w:val="26"/>
        <w:szCs w:val="26"/>
      </w:rPr>
    </w:lvl>
    <w:lvl w:ilvl="2">
      <w:start w:val="0"/>
      <w:numFmt w:val="bullet"/>
      <w:lvlText w:val="-"/>
      <w:lvlJc w:val="left"/>
      <w:pPr>
        <w:ind w:left="1185" w:hanging="360"/>
      </w:pPr>
      <w:rPr>
        <w:rFonts w:hint="default" w:ascii="Times New Roman" w:hAnsi="Times New Roman" w:eastAsia="Times New Roman" w:cs="Times New Roman"/>
        <w:w w:val="99"/>
        <w:sz w:val="38"/>
        <w:szCs w:val="38"/>
      </w:rPr>
    </w:lvl>
    <w:lvl w:ilvl="3">
      <w:start w:val="0"/>
      <w:numFmt w:val="bullet"/>
      <w:lvlText w:val="•"/>
      <w:lvlJc w:val="left"/>
      <w:pPr>
        <w:ind w:left="3624" w:hanging="360"/>
      </w:pPr>
      <w:rPr>
        <w:rFonts w:hint="default"/>
      </w:rPr>
    </w:lvl>
    <w:lvl w:ilvl="4">
      <w:start w:val="0"/>
      <w:numFmt w:val="bullet"/>
      <w:lvlText w:val="•"/>
      <w:lvlJc w:val="left"/>
      <w:pPr>
        <w:ind w:left="4846" w:hanging="360"/>
      </w:pPr>
      <w:rPr>
        <w:rFonts w:hint="default"/>
      </w:rPr>
    </w:lvl>
    <w:lvl w:ilvl="5">
      <w:start w:val="0"/>
      <w:numFmt w:val="bullet"/>
      <w:lvlText w:val="•"/>
      <w:lvlJc w:val="left"/>
      <w:pPr>
        <w:ind w:left="6069" w:hanging="360"/>
      </w:pPr>
      <w:rPr>
        <w:rFonts w:hint="default"/>
      </w:rPr>
    </w:lvl>
    <w:lvl w:ilvl="6">
      <w:start w:val="0"/>
      <w:numFmt w:val="bullet"/>
      <w:lvlText w:val="•"/>
      <w:lvlJc w:val="left"/>
      <w:pPr>
        <w:ind w:left="7291" w:hanging="360"/>
      </w:pPr>
      <w:rPr>
        <w:rFonts w:hint="default"/>
      </w:rPr>
    </w:lvl>
    <w:lvl w:ilvl="7">
      <w:start w:val="0"/>
      <w:numFmt w:val="bullet"/>
      <w:lvlText w:val="•"/>
      <w:lvlJc w:val="left"/>
      <w:pPr>
        <w:ind w:left="8513" w:hanging="360"/>
      </w:pPr>
      <w:rPr>
        <w:rFonts w:hint="default"/>
      </w:rPr>
    </w:lvl>
    <w:lvl w:ilvl="8">
      <w:start w:val="0"/>
      <w:numFmt w:val="bullet"/>
      <w:lvlText w:val="•"/>
      <w:lvlJc w:val="left"/>
      <w:pPr>
        <w:ind w:left="9736" w:hanging="360"/>
      </w:pPr>
      <w:rPr>
        <w:rFonts w:hint="default"/>
      </w:rPr>
    </w:lvl>
  </w:abstractNum>
  <w:abstractNum w:abstractNumId="65">
    <w:multiLevelType w:val="hybridMultilevel"/>
    <w:lvl w:ilvl="0">
      <w:start w:val="0"/>
      <w:numFmt w:val="bullet"/>
      <w:lvlText w:val="-"/>
      <w:lvlJc w:val="left"/>
      <w:pPr>
        <w:ind w:left="904" w:hanging="416"/>
      </w:pPr>
      <w:rPr>
        <w:rFonts w:hint="default" w:ascii="Times New Roman" w:hAnsi="Times New Roman" w:eastAsia="Times New Roman" w:cs="Times New Roman"/>
        <w:w w:val="99"/>
        <w:sz w:val="38"/>
        <w:szCs w:val="38"/>
      </w:rPr>
    </w:lvl>
    <w:lvl w:ilvl="1">
      <w:start w:val="0"/>
      <w:numFmt w:val="bullet"/>
      <w:lvlText w:val="-"/>
      <w:lvlJc w:val="left"/>
      <w:pPr>
        <w:ind w:left="1197" w:hanging="360"/>
      </w:pPr>
      <w:rPr>
        <w:rFonts w:hint="default" w:ascii="Times New Roman" w:hAnsi="Times New Roman" w:eastAsia="Times New Roman" w:cs="Times New Roman"/>
        <w:w w:val="99"/>
        <w:sz w:val="38"/>
        <w:szCs w:val="38"/>
      </w:rPr>
    </w:lvl>
    <w:lvl w:ilvl="2">
      <w:start w:val="0"/>
      <w:numFmt w:val="bullet"/>
      <w:lvlText w:val="•"/>
      <w:lvlJc w:val="left"/>
      <w:pPr>
        <w:ind w:left="2420" w:hanging="360"/>
      </w:pPr>
      <w:rPr>
        <w:rFonts w:hint="default"/>
      </w:rPr>
    </w:lvl>
    <w:lvl w:ilvl="3">
      <w:start w:val="0"/>
      <w:numFmt w:val="bullet"/>
      <w:lvlText w:val="•"/>
      <w:lvlJc w:val="left"/>
      <w:pPr>
        <w:ind w:left="3640" w:hanging="360"/>
      </w:pPr>
      <w:rPr>
        <w:rFonts w:hint="default"/>
      </w:rPr>
    </w:lvl>
    <w:lvl w:ilvl="4">
      <w:start w:val="0"/>
      <w:numFmt w:val="bullet"/>
      <w:lvlText w:val="•"/>
      <w:lvlJc w:val="left"/>
      <w:pPr>
        <w:ind w:left="4860" w:hanging="360"/>
      </w:pPr>
      <w:rPr>
        <w:rFonts w:hint="default"/>
      </w:rPr>
    </w:lvl>
    <w:lvl w:ilvl="5">
      <w:start w:val="0"/>
      <w:numFmt w:val="bullet"/>
      <w:lvlText w:val="•"/>
      <w:lvlJc w:val="left"/>
      <w:pPr>
        <w:ind w:left="6080" w:hanging="360"/>
      </w:pPr>
      <w:rPr>
        <w:rFonts w:hint="default"/>
      </w:rPr>
    </w:lvl>
    <w:lvl w:ilvl="6">
      <w:start w:val="0"/>
      <w:numFmt w:val="bullet"/>
      <w:lvlText w:val="•"/>
      <w:lvlJc w:val="left"/>
      <w:pPr>
        <w:ind w:left="7300" w:hanging="360"/>
      </w:pPr>
      <w:rPr>
        <w:rFonts w:hint="default"/>
      </w:rPr>
    </w:lvl>
    <w:lvl w:ilvl="7">
      <w:start w:val="0"/>
      <w:numFmt w:val="bullet"/>
      <w:lvlText w:val="•"/>
      <w:lvlJc w:val="left"/>
      <w:pPr>
        <w:ind w:left="8520" w:hanging="360"/>
      </w:pPr>
      <w:rPr>
        <w:rFonts w:hint="default"/>
      </w:rPr>
    </w:lvl>
    <w:lvl w:ilvl="8">
      <w:start w:val="0"/>
      <w:numFmt w:val="bullet"/>
      <w:lvlText w:val="•"/>
      <w:lvlJc w:val="left"/>
      <w:pPr>
        <w:ind w:left="9740" w:hanging="360"/>
      </w:pPr>
      <w:rPr>
        <w:rFonts w:hint="default"/>
      </w:rPr>
    </w:lvl>
  </w:abstractNum>
  <w:abstractNum w:abstractNumId="64">
    <w:multiLevelType w:val="hybridMultilevel"/>
    <w:lvl w:ilvl="0">
      <w:start w:val="0"/>
      <w:numFmt w:val="bullet"/>
      <w:lvlText w:val="-"/>
      <w:lvlJc w:val="left"/>
      <w:pPr>
        <w:ind w:left="1554" w:hanging="360"/>
      </w:pPr>
      <w:rPr>
        <w:rFonts w:hint="default" w:ascii="Times New Roman" w:hAnsi="Times New Roman" w:eastAsia="Times New Roman" w:cs="Times New Roman"/>
        <w:w w:val="99"/>
        <w:sz w:val="38"/>
        <w:szCs w:val="38"/>
      </w:rPr>
    </w:lvl>
    <w:lvl w:ilvl="1">
      <w:start w:val="0"/>
      <w:numFmt w:val="bullet"/>
      <w:lvlText w:val="•"/>
      <w:lvlJc w:val="left"/>
      <w:pPr>
        <w:ind w:left="2622" w:hanging="360"/>
      </w:pPr>
      <w:rPr>
        <w:rFonts w:hint="default"/>
      </w:rPr>
    </w:lvl>
    <w:lvl w:ilvl="2">
      <w:start w:val="0"/>
      <w:numFmt w:val="bullet"/>
      <w:lvlText w:val="•"/>
      <w:lvlJc w:val="left"/>
      <w:pPr>
        <w:ind w:left="3684" w:hanging="360"/>
      </w:pPr>
      <w:rPr>
        <w:rFonts w:hint="default"/>
      </w:rPr>
    </w:lvl>
    <w:lvl w:ilvl="3">
      <w:start w:val="0"/>
      <w:numFmt w:val="bullet"/>
      <w:lvlText w:val="•"/>
      <w:lvlJc w:val="left"/>
      <w:pPr>
        <w:ind w:left="4746" w:hanging="360"/>
      </w:pPr>
      <w:rPr>
        <w:rFonts w:hint="default"/>
      </w:rPr>
    </w:lvl>
    <w:lvl w:ilvl="4">
      <w:start w:val="0"/>
      <w:numFmt w:val="bullet"/>
      <w:lvlText w:val="•"/>
      <w:lvlJc w:val="left"/>
      <w:pPr>
        <w:ind w:left="5808" w:hanging="360"/>
      </w:pPr>
      <w:rPr>
        <w:rFonts w:hint="default"/>
      </w:rPr>
    </w:lvl>
    <w:lvl w:ilvl="5">
      <w:start w:val="0"/>
      <w:numFmt w:val="bullet"/>
      <w:lvlText w:val="•"/>
      <w:lvlJc w:val="left"/>
      <w:pPr>
        <w:ind w:left="6870" w:hanging="360"/>
      </w:pPr>
      <w:rPr>
        <w:rFonts w:hint="default"/>
      </w:rPr>
    </w:lvl>
    <w:lvl w:ilvl="6">
      <w:start w:val="0"/>
      <w:numFmt w:val="bullet"/>
      <w:lvlText w:val="•"/>
      <w:lvlJc w:val="left"/>
      <w:pPr>
        <w:ind w:left="7932" w:hanging="360"/>
      </w:pPr>
      <w:rPr>
        <w:rFonts w:hint="default"/>
      </w:rPr>
    </w:lvl>
    <w:lvl w:ilvl="7">
      <w:start w:val="0"/>
      <w:numFmt w:val="bullet"/>
      <w:lvlText w:val="•"/>
      <w:lvlJc w:val="left"/>
      <w:pPr>
        <w:ind w:left="8994" w:hanging="360"/>
      </w:pPr>
      <w:rPr>
        <w:rFonts w:hint="default"/>
      </w:rPr>
    </w:lvl>
    <w:lvl w:ilvl="8">
      <w:start w:val="0"/>
      <w:numFmt w:val="bullet"/>
      <w:lvlText w:val="•"/>
      <w:lvlJc w:val="left"/>
      <w:pPr>
        <w:ind w:left="10056" w:hanging="360"/>
      </w:pPr>
      <w:rPr>
        <w:rFonts w:hint="default"/>
      </w:rPr>
    </w:lvl>
  </w:abstractNum>
  <w:abstractNum w:abstractNumId="63">
    <w:multiLevelType w:val="hybridMultilevel"/>
    <w:lvl w:ilvl="0">
      <w:start w:val="0"/>
      <w:numFmt w:val="bullet"/>
      <w:lvlText w:val=""/>
      <w:lvlJc w:val="left"/>
      <w:pPr>
        <w:ind w:left="1197" w:hanging="360"/>
      </w:pPr>
      <w:rPr>
        <w:rFonts w:hint="default" w:ascii="Symbol" w:hAnsi="Symbol" w:eastAsia="Symbol" w:cs="Symbol"/>
        <w:w w:val="99"/>
        <w:sz w:val="38"/>
        <w:szCs w:val="38"/>
      </w:rPr>
    </w:lvl>
    <w:lvl w:ilvl="1">
      <w:start w:val="0"/>
      <w:numFmt w:val="bullet"/>
      <w:lvlText w:val="•"/>
      <w:lvlJc w:val="left"/>
      <w:pPr>
        <w:ind w:left="2298" w:hanging="360"/>
      </w:pPr>
      <w:rPr>
        <w:rFonts w:hint="default"/>
      </w:rPr>
    </w:lvl>
    <w:lvl w:ilvl="2">
      <w:start w:val="0"/>
      <w:numFmt w:val="bullet"/>
      <w:lvlText w:val="•"/>
      <w:lvlJc w:val="left"/>
      <w:pPr>
        <w:ind w:left="3396" w:hanging="360"/>
      </w:pPr>
      <w:rPr>
        <w:rFonts w:hint="default"/>
      </w:rPr>
    </w:lvl>
    <w:lvl w:ilvl="3">
      <w:start w:val="0"/>
      <w:numFmt w:val="bullet"/>
      <w:lvlText w:val="•"/>
      <w:lvlJc w:val="left"/>
      <w:pPr>
        <w:ind w:left="4494" w:hanging="360"/>
      </w:pPr>
      <w:rPr>
        <w:rFonts w:hint="default"/>
      </w:rPr>
    </w:lvl>
    <w:lvl w:ilvl="4">
      <w:start w:val="0"/>
      <w:numFmt w:val="bullet"/>
      <w:lvlText w:val="•"/>
      <w:lvlJc w:val="left"/>
      <w:pPr>
        <w:ind w:left="5592" w:hanging="360"/>
      </w:pPr>
      <w:rPr>
        <w:rFonts w:hint="default"/>
      </w:rPr>
    </w:lvl>
    <w:lvl w:ilvl="5">
      <w:start w:val="0"/>
      <w:numFmt w:val="bullet"/>
      <w:lvlText w:val="•"/>
      <w:lvlJc w:val="left"/>
      <w:pPr>
        <w:ind w:left="6690" w:hanging="360"/>
      </w:pPr>
      <w:rPr>
        <w:rFonts w:hint="default"/>
      </w:rPr>
    </w:lvl>
    <w:lvl w:ilvl="6">
      <w:start w:val="0"/>
      <w:numFmt w:val="bullet"/>
      <w:lvlText w:val="•"/>
      <w:lvlJc w:val="left"/>
      <w:pPr>
        <w:ind w:left="7788" w:hanging="360"/>
      </w:pPr>
      <w:rPr>
        <w:rFonts w:hint="default"/>
      </w:rPr>
    </w:lvl>
    <w:lvl w:ilvl="7">
      <w:start w:val="0"/>
      <w:numFmt w:val="bullet"/>
      <w:lvlText w:val="•"/>
      <w:lvlJc w:val="left"/>
      <w:pPr>
        <w:ind w:left="8886" w:hanging="360"/>
      </w:pPr>
      <w:rPr>
        <w:rFonts w:hint="default"/>
      </w:rPr>
    </w:lvl>
    <w:lvl w:ilvl="8">
      <w:start w:val="0"/>
      <w:numFmt w:val="bullet"/>
      <w:lvlText w:val="•"/>
      <w:lvlJc w:val="left"/>
      <w:pPr>
        <w:ind w:left="9984" w:hanging="360"/>
      </w:pPr>
      <w:rPr>
        <w:rFonts w:hint="default"/>
      </w:rPr>
    </w:lvl>
  </w:abstractNum>
  <w:abstractNum w:abstractNumId="62">
    <w:multiLevelType w:val="hybridMultilevel"/>
    <w:lvl w:ilvl="0">
      <w:start w:val="0"/>
      <w:numFmt w:val="bullet"/>
      <w:lvlText w:val="-"/>
      <w:lvlJc w:val="left"/>
      <w:pPr>
        <w:ind w:left="1197" w:hanging="360"/>
      </w:pPr>
      <w:rPr>
        <w:rFonts w:hint="default" w:ascii="Times New Roman" w:hAnsi="Times New Roman" w:eastAsia="Times New Roman" w:cs="Times New Roman"/>
        <w:w w:val="99"/>
        <w:sz w:val="38"/>
        <w:szCs w:val="38"/>
      </w:rPr>
    </w:lvl>
    <w:lvl w:ilvl="1">
      <w:start w:val="0"/>
      <w:numFmt w:val="bullet"/>
      <w:lvlText w:val="•"/>
      <w:lvlJc w:val="left"/>
      <w:pPr>
        <w:ind w:left="2298" w:hanging="360"/>
      </w:pPr>
      <w:rPr>
        <w:rFonts w:hint="default"/>
      </w:rPr>
    </w:lvl>
    <w:lvl w:ilvl="2">
      <w:start w:val="0"/>
      <w:numFmt w:val="bullet"/>
      <w:lvlText w:val="•"/>
      <w:lvlJc w:val="left"/>
      <w:pPr>
        <w:ind w:left="3396" w:hanging="360"/>
      </w:pPr>
      <w:rPr>
        <w:rFonts w:hint="default"/>
      </w:rPr>
    </w:lvl>
    <w:lvl w:ilvl="3">
      <w:start w:val="0"/>
      <w:numFmt w:val="bullet"/>
      <w:lvlText w:val="•"/>
      <w:lvlJc w:val="left"/>
      <w:pPr>
        <w:ind w:left="4494" w:hanging="360"/>
      </w:pPr>
      <w:rPr>
        <w:rFonts w:hint="default"/>
      </w:rPr>
    </w:lvl>
    <w:lvl w:ilvl="4">
      <w:start w:val="0"/>
      <w:numFmt w:val="bullet"/>
      <w:lvlText w:val="•"/>
      <w:lvlJc w:val="left"/>
      <w:pPr>
        <w:ind w:left="5592" w:hanging="360"/>
      </w:pPr>
      <w:rPr>
        <w:rFonts w:hint="default"/>
      </w:rPr>
    </w:lvl>
    <w:lvl w:ilvl="5">
      <w:start w:val="0"/>
      <w:numFmt w:val="bullet"/>
      <w:lvlText w:val="•"/>
      <w:lvlJc w:val="left"/>
      <w:pPr>
        <w:ind w:left="6690" w:hanging="360"/>
      </w:pPr>
      <w:rPr>
        <w:rFonts w:hint="default"/>
      </w:rPr>
    </w:lvl>
    <w:lvl w:ilvl="6">
      <w:start w:val="0"/>
      <w:numFmt w:val="bullet"/>
      <w:lvlText w:val="•"/>
      <w:lvlJc w:val="left"/>
      <w:pPr>
        <w:ind w:left="7788" w:hanging="360"/>
      </w:pPr>
      <w:rPr>
        <w:rFonts w:hint="default"/>
      </w:rPr>
    </w:lvl>
    <w:lvl w:ilvl="7">
      <w:start w:val="0"/>
      <w:numFmt w:val="bullet"/>
      <w:lvlText w:val="•"/>
      <w:lvlJc w:val="left"/>
      <w:pPr>
        <w:ind w:left="8886" w:hanging="360"/>
      </w:pPr>
      <w:rPr>
        <w:rFonts w:hint="default"/>
      </w:rPr>
    </w:lvl>
    <w:lvl w:ilvl="8">
      <w:start w:val="0"/>
      <w:numFmt w:val="bullet"/>
      <w:lvlText w:val="•"/>
      <w:lvlJc w:val="left"/>
      <w:pPr>
        <w:ind w:left="9984" w:hanging="360"/>
      </w:pPr>
      <w:rPr>
        <w:rFonts w:hint="default"/>
      </w:rPr>
    </w:lvl>
  </w:abstractNum>
  <w:abstractNum w:abstractNumId="61">
    <w:multiLevelType w:val="hybridMultilevel"/>
    <w:lvl w:ilvl="0">
      <w:start w:val="1"/>
      <w:numFmt w:val="decimal"/>
      <w:lvlText w:val="%1)"/>
      <w:lvlJc w:val="left"/>
      <w:pPr>
        <w:ind w:left="477" w:hanging="384"/>
        <w:jc w:val="left"/>
      </w:pPr>
      <w:rPr>
        <w:rFonts w:hint="default" w:ascii="Garamond" w:hAnsi="Garamond" w:eastAsia="Garamond" w:cs="Garamond"/>
        <w:spacing w:val="-1"/>
        <w:w w:val="99"/>
        <w:sz w:val="38"/>
        <w:szCs w:val="38"/>
      </w:rPr>
    </w:lvl>
    <w:lvl w:ilvl="1">
      <w:start w:val="0"/>
      <w:numFmt w:val="bullet"/>
      <w:lvlText w:val="•"/>
      <w:lvlJc w:val="left"/>
      <w:pPr>
        <w:ind w:left="1650" w:hanging="384"/>
      </w:pPr>
      <w:rPr>
        <w:rFonts w:hint="default"/>
      </w:rPr>
    </w:lvl>
    <w:lvl w:ilvl="2">
      <w:start w:val="0"/>
      <w:numFmt w:val="bullet"/>
      <w:lvlText w:val="•"/>
      <w:lvlJc w:val="left"/>
      <w:pPr>
        <w:ind w:left="2820" w:hanging="384"/>
      </w:pPr>
      <w:rPr>
        <w:rFonts w:hint="default"/>
      </w:rPr>
    </w:lvl>
    <w:lvl w:ilvl="3">
      <w:start w:val="0"/>
      <w:numFmt w:val="bullet"/>
      <w:lvlText w:val="•"/>
      <w:lvlJc w:val="left"/>
      <w:pPr>
        <w:ind w:left="3990" w:hanging="384"/>
      </w:pPr>
      <w:rPr>
        <w:rFonts w:hint="default"/>
      </w:rPr>
    </w:lvl>
    <w:lvl w:ilvl="4">
      <w:start w:val="0"/>
      <w:numFmt w:val="bullet"/>
      <w:lvlText w:val="•"/>
      <w:lvlJc w:val="left"/>
      <w:pPr>
        <w:ind w:left="5160" w:hanging="384"/>
      </w:pPr>
      <w:rPr>
        <w:rFonts w:hint="default"/>
      </w:rPr>
    </w:lvl>
    <w:lvl w:ilvl="5">
      <w:start w:val="0"/>
      <w:numFmt w:val="bullet"/>
      <w:lvlText w:val="•"/>
      <w:lvlJc w:val="left"/>
      <w:pPr>
        <w:ind w:left="6330" w:hanging="384"/>
      </w:pPr>
      <w:rPr>
        <w:rFonts w:hint="default"/>
      </w:rPr>
    </w:lvl>
    <w:lvl w:ilvl="6">
      <w:start w:val="0"/>
      <w:numFmt w:val="bullet"/>
      <w:lvlText w:val="•"/>
      <w:lvlJc w:val="left"/>
      <w:pPr>
        <w:ind w:left="7500" w:hanging="384"/>
      </w:pPr>
      <w:rPr>
        <w:rFonts w:hint="default"/>
      </w:rPr>
    </w:lvl>
    <w:lvl w:ilvl="7">
      <w:start w:val="0"/>
      <w:numFmt w:val="bullet"/>
      <w:lvlText w:val="•"/>
      <w:lvlJc w:val="left"/>
      <w:pPr>
        <w:ind w:left="8670" w:hanging="384"/>
      </w:pPr>
      <w:rPr>
        <w:rFonts w:hint="default"/>
      </w:rPr>
    </w:lvl>
    <w:lvl w:ilvl="8">
      <w:start w:val="0"/>
      <w:numFmt w:val="bullet"/>
      <w:lvlText w:val="•"/>
      <w:lvlJc w:val="left"/>
      <w:pPr>
        <w:ind w:left="9840" w:hanging="384"/>
      </w:pPr>
      <w:rPr>
        <w:rFonts w:hint="default"/>
      </w:rPr>
    </w:lvl>
  </w:abstractNum>
  <w:abstractNum w:abstractNumId="60">
    <w:multiLevelType w:val="hybridMultilevel"/>
    <w:lvl w:ilvl="0">
      <w:start w:val="0"/>
      <w:numFmt w:val="bullet"/>
      <w:lvlText w:val="-"/>
      <w:lvlJc w:val="left"/>
      <w:pPr>
        <w:ind w:left="1197" w:hanging="360"/>
      </w:pPr>
      <w:rPr>
        <w:rFonts w:hint="default" w:ascii="Times New Roman" w:hAnsi="Times New Roman" w:eastAsia="Times New Roman" w:cs="Times New Roman"/>
        <w:w w:val="99"/>
        <w:sz w:val="38"/>
        <w:szCs w:val="38"/>
      </w:rPr>
    </w:lvl>
    <w:lvl w:ilvl="1">
      <w:start w:val="0"/>
      <w:numFmt w:val="bullet"/>
      <w:lvlText w:val="•"/>
      <w:lvlJc w:val="left"/>
      <w:pPr>
        <w:ind w:left="2298" w:hanging="360"/>
      </w:pPr>
      <w:rPr>
        <w:rFonts w:hint="default"/>
      </w:rPr>
    </w:lvl>
    <w:lvl w:ilvl="2">
      <w:start w:val="0"/>
      <w:numFmt w:val="bullet"/>
      <w:lvlText w:val="•"/>
      <w:lvlJc w:val="left"/>
      <w:pPr>
        <w:ind w:left="3396" w:hanging="360"/>
      </w:pPr>
      <w:rPr>
        <w:rFonts w:hint="default"/>
      </w:rPr>
    </w:lvl>
    <w:lvl w:ilvl="3">
      <w:start w:val="0"/>
      <w:numFmt w:val="bullet"/>
      <w:lvlText w:val="•"/>
      <w:lvlJc w:val="left"/>
      <w:pPr>
        <w:ind w:left="4494" w:hanging="360"/>
      </w:pPr>
      <w:rPr>
        <w:rFonts w:hint="default"/>
      </w:rPr>
    </w:lvl>
    <w:lvl w:ilvl="4">
      <w:start w:val="0"/>
      <w:numFmt w:val="bullet"/>
      <w:lvlText w:val="•"/>
      <w:lvlJc w:val="left"/>
      <w:pPr>
        <w:ind w:left="5592" w:hanging="360"/>
      </w:pPr>
      <w:rPr>
        <w:rFonts w:hint="default"/>
      </w:rPr>
    </w:lvl>
    <w:lvl w:ilvl="5">
      <w:start w:val="0"/>
      <w:numFmt w:val="bullet"/>
      <w:lvlText w:val="•"/>
      <w:lvlJc w:val="left"/>
      <w:pPr>
        <w:ind w:left="6690" w:hanging="360"/>
      </w:pPr>
      <w:rPr>
        <w:rFonts w:hint="default"/>
      </w:rPr>
    </w:lvl>
    <w:lvl w:ilvl="6">
      <w:start w:val="0"/>
      <w:numFmt w:val="bullet"/>
      <w:lvlText w:val="•"/>
      <w:lvlJc w:val="left"/>
      <w:pPr>
        <w:ind w:left="7788" w:hanging="360"/>
      </w:pPr>
      <w:rPr>
        <w:rFonts w:hint="default"/>
      </w:rPr>
    </w:lvl>
    <w:lvl w:ilvl="7">
      <w:start w:val="0"/>
      <w:numFmt w:val="bullet"/>
      <w:lvlText w:val="•"/>
      <w:lvlJc w:val="left"/>
      <w:pPr>
        <w:ind w:left="8886" w:hanging="360"/>
      </w:pPr>
      <w:rPr>
        <w:rFonts w:hint="default"/>
      </w:rPr>
    </w:lvl>
    <w:lvl w:ilvl="8">
      <w:start w:val="0"/>
      <w:numFmt w:val="bullet"/>
      <w:lvlText w:val="•"/>
      <w:lvlJc w:val="left"/>
      <w:pPr>
        <w:ind w:left="9984" w:hanging="360"/>
      </w:pPr>
      <w:rPr>
        <w:rFonts w:hint="default"/>
      </w:rPr>
    </w:lvl>
  </w:abstractNum>
  <w:abstractNum w:abstractNumId="59">
    <w:multiLevelType w:val="hybridMultilevel"/>
    <w:lvl w:ilvl="0">
      <w:start w:val="0"/>
      <w:numFmt w:val="bullet"/>
      <w:lvlText w:val="-"/>
      <w:lvlJc w:val="left"/>
      <w:pPr>
        <w:ind w:left="978" w:hanging="360"/>
      </w:pPr>
      <w:rPr>
        <w:rFonts w:hint="default" w:ascii="Times New Roman" w:hAnsi="Times New Roman" w:eastAsia="Times New Roman" w:cs="Times New Roman"/>
        <w:b/>
        <w:bCs/>
        <w:w w:val="99"/>
        <w:sz w:val="38"/>
        <w:szCs w:val="38"/>
      </w:rPr>
    </w:lvl>
    <w:lvl w:ilvl="1">
      <w:start w:val="0"/>
      <w:numFmt w:val="bullet"/>
      <w:lvlText w:val="-"/>
      <w:lvlJc w:val="left"/>
      <w:pPr>
        <w:ind w:left="1338" w:hanging="360"/>
      </w:pPr>
      <w:rPr>
        <w:rFonts w:hint="default" w:ascii="Times New Roman" w:hAnsi="Times New Roman" w:eastAsia="Times New Roman" w:cs="Times New Roman"/>
        <w:b/>
        <w:bCs/>
        <w:w w:val="99"/>
        <w:sz w:val="38"/>
        <w:szCs w:val="38"/>
      </w:rPr>
    </w:lvl>
    <w:lvl w:ilvl="2">
      <w:start w:val="0"/>
      <w:numFmt w:val="bullet"/>
      <w:lvlText w:val="•"/>
      <w:lvlJc w:val="left"/>
      <w:pPr>
        <w:ind w:left="2544" w:hanging="360"/>
      </w:pPr>
      <w:rPr>
        <w:rFonts w:hint="default"/>
      </w:rPr>
    </w:lvl>
    <w:lvl w:ilvl="3">
      <w:start w:val="0"/>
      <w:numFmt w:val="bullet"/>
      <w:lvlText w:val="•"/>
      <w:lvlJc w:val="left"/>
      <w:pPr>
        <w:ind w:left="3749" w:hanging="360"/>
      </w:pPr>
      <w:rPr>
        <w:rFonts w:hint="default"/>
      </w:rPr>
    </w:lvl>
    <w:lvl w:ilvl="4">
      <w:start w:val="0"/>
      <w:numFmt w:val="bullet"/>
      <w:lvlText w:val="•"/>
      <w:lvlJc w:val="left"/>
      <w:pPr>
        <w:ind w:left="4953" w:hanging="360"/>
      </w:pPr>
      <w:rPr>
        <w:rFonts w:hint="default"/>
      </w:rPr>
    </w:lvl>
    <w:lvl w:ilvl="5">
      <w:start w:val="0"/>
      <w:numFmt w:val="bullet"/>
      <w:lvlText w:val="•"/>
      <w:lvlJc w:val="left"/>
      <w:pPr>
        <w:ind w:left="6158" w:hanging="360"/>
      </w:pPr>
      <w:rPr>
        <w:rFonts w:hint="default"/>
      </w:rPr>
    </w:lvl>
    <w:lvl w:ilvl="6">
      <w:start w:val="0"/>
      <w:numFmt w:val="bullet"/>
      <w:lvlText w:val="•"/>
      <w:lvlJc w:val="left"/>
      <w:pPr>
        <w:ind w:left="7362" w:hanging="360"/>
      </w:pPr>
      <w:rPr>
        <w:rFonts w:hint="default"/>
      </w:rPr>
    </w:lvl>
    <w:lvl w:ilvl="7">
      <w:start w:val="0"/>
      <w:numFmt w:val="bullet"/>
      <w:lvlText w:val="•"/>
      <w:lvlJc w:val="left"/>
      <w:pPr>
        <w:ind w:left="8567" w:hanging="360"/>
      </w:pPr>
      <w:rPr>
        <w:rFonts w:hint="default"/>
      </w:rPr>
    </w:lvl>
    <w:lvl w:ilvl="8">
      <w:start w:val="0"/>
      <w:numFmt w:val="bullet"/>
      <w:lvlText w:val="•"/>
      <w:lvlJc w:val="left"/>
      <w:pPr>
        <w:ind w:left="9771" w:hanging="360"/>
      </w:pPr>
      <w:rPr>
        <w:rFonts w:hint="default"/>
      </w:rPr>
    </w:lvl>
  </w:abstractNum>
  <w:abstractNum w:abstractNumId="58">
    <w:multiLevelType w:val="hybridMultilevel"/>
    <w:lvl w:ilvl="0">
      <w:start w:val="0"/>
      <w:numFmt w:val="bullet"/>
      <w:lvlText w:val="-"/>
      <w:lvlJc w:val="left"/>
      <w:pPr>
        <w:ind w:left="892" w:hanging="416"/>
      </w:pPr>
      <w:rPr>
        <w:rFonts w:hint="default" w:ascii="Times New Roman" w:hAnsi="Times New Roman" w:eastAsia="Times New Roman" w:cs="Times New Roman"/>
        <w:w w:val="99"/>
        <w:sz w:val="38"/>
        <w:szCs w:val="38"/>
      </w:rPr>
    </w:lvl>
    <w:lvl w:ilvl="1">
      <w:start w:val="0"/>
      <w:numFmt w:val="bullet"/>
      <w:lvlText w:val="-"/>
      <w:lvlJc w:val="left"/>
      <w:pPr>
        <w:ind w:left="978" w:hanging="360"/>
      </w:pPr>
      <w:rPr>
        <w:rFonts w:hint="default" w:ascii="Times New Roman" w:hAnsi="Times New Roman" w:eastAsia="Times New Roman" w:cs="Times New Roman"/>
        <w:b/>
        <w:bCs/>
        <w:w w:val="99"/>
        <w:sz w:val="38"/>
        <w:szCs w:val="38"/>
      </w:rPr>
    </w:lvl>
    <w:lvl w:ilvl="2">
      <w:start w:val="0"/>
      <w:numFmt w:val="bullet"/>
      <w:lvlText w:val="•"/>
      <w:lvlJc w:val="left"/>
      <w:pPr>
        <w:ind w:left="2224" w:hanging="360"/>
      </w:pPr>
      <w:rPr>
        <w:rFonts w:hint="default"/>
      </w:rPr>
    </w:lvl>
    <w:lvl w:ilvl="3">
      <w:start w:val="0"/>
      <w:numFmt w:val="bullet"/>
      <w:lvlText w:val="•"/>
      <w:lvlJc w:val="left"/>
      <w:pPr>
        <w:ind w:left="3469" w:hanging="360"/>
      </w:pPr>
      <w:rPr>
        <w:rFonts w:hint="default"/>
      </w:rPr>
    </w:lvl>
    <w:lvl w:ilvl="4">
      <w:start w:val="0"/>
      <w:numFmt w:val="bullet"/>
      <w:lvlText w:val="•"/>
      <w:lvlJc w:val="left"/>
      <w:pPr>
        <w:ind w:left="4713" w:hanging="360"/>
      </w:pPr>
      <w:rPr>
        <w:rFonts w:hint="default"/>
      </w:rPr>
    </w:lvl>
    <w:lvl w:ilvl="5">
      <w:start w:val="0"/>
      <w:numFmt w:val="bullet"/>
      <w:lvlText w:val="•"/>
      <w:lvlJc w:val="left"/>
      <w:pPr>
        <w:ind w:left="5958" w:hanging="360"/>
      </w:pPr>
      <w:rPr>
        <w:rFonts w:hint="default"/>
      </w:rPr>
    </w:lvl>
    <w:lvl w:ilvl="6">
      <w:start w:val="0"/>
      <w:numFmt w:val="bullet"/>
      <w:lvlText w:val="•"/>
      <w:lvlJc w:val="left"/>
      <w:pPr>
        <w:ind w:left="7202" w:hanging="360"/>
      </w:pPr>
      <w:rPr>
        <w:rFonts w:hint="default"/>
      </w:rPr>
    </w:lvl>
    <w:lvl w:ilvl="7">
      <w:start w:val="0"/>
      <w:numFmt w:val="bullet"/>
      <w:lvlText w:val="•"/>
      <w:lvlJc w:val="left"/>
      <w:pPr>
        <w:ind w:left="8447" w:hanging="360"/>
      </w:pPr>
      <w:rPr>
        <w:rFonts w:hint="default"/>
      </w:rPr>
    </w:lvl>
    <w:lvl w:ilvl="8">
      <w:start w:val="0"/>
      <w:numFmt w:val="bullet"/>
      <w:lvlText w:val="•"/>
      <w:lvlJc w:val="left"/>
      <w:pPr>
        <w:ind w:left="9691" w:hanging="360"/>
      </w:pPr>
      <w:rPr>
        <w:rFonts w:hint="default"/>
      </w:rPr>
    </w:lvl>
  </w:abstractNum>
  <w:abstractNum w:abstractNumId="57">
    <w:multiLevelType w:val="hybridMultilevel"/>
    <w:lvl w:ilvl="0">
      <w:start w:val="0"/>
      <w:numFmt w:val="bullet"/>
      <w:lvlText w:val="-"/>
      <w:lvlJc w:val="left"/>
      <w:pPr>
        <w:ind w:left="1197" w:hanging="360"/>
      </w:pPr>
      <w:rPr>
        <w:rFonts w:hint="default" w:ascii="Times New Roman" w:hAnsi="Times New Roman" w:eastAsia="Times New Roman" w:cs="Times New Roman"/>
        <w:w w:val="99"/>
        <w:sz w:val="38"/>
        <w:szCs w:val="38"/>
      </w:rPr>
    </w:lvl>
    <w:lvl w:ilvl="1">
      <w:start w:val="0"/>
      <w:numFmt w:val="bullet"/>
      <w:lvlText w:val="•"/>
      <w:lvlJc w:val="left"/>
      <w:pPr>
        <w:ind w:left="2298" w:hanging="360"/>
      </w:pPr>
      <w:rPr>
        <w:rFonts w:hint="default"/>
      </w:rPr>
    </w:lvl>
    <w:lvl w:ilvl="2">
      <w:start w:val="0"/>
      <w:numFmt w:val="bullet"/>
      <w:lvlText w:val="•"/>
      <w:lvlJc w:val="left"/>
      <w:pPr>
        <w:ind w:left="3396" w:hanging="360"/>
      </w:pPr>
      <w:rPr>
        <w:rFonts w:hint="default"/>
      </w:rPr>
    </w:lvl>
    <w:lvl w:ilvl="3">
      <w:start w:val="0"/>
      <w:numFmt w:val="bullet"/>
      <w:lvlText w:val="•"/>
      <w:lvlJc w:val="left"/>
      <w:pPr>
        <w:ind w:left="4494" w:hanging="360"/>
      </w:pPr>
      <w:rPr>
        <w:rFonts w:hint="default"/>
      </w:rPr>
    </w:lvl>
    <w:lvl w:ilvl="4">
      <w:start w:val="0"/>
      <w:numFmt w:val="bullet"/>
      <w:lvlText w:val="•"/>
      <w:lvlJc w:val="left"/>
      <w:pPr>
        <w:ind w:left="5592" w:hanging="360"/>
      </w:pPr>
      <w:rPr>
        <w:rFonts w:hint="default"/>
      </w:rPr>
    </w:lvl>
    <w:lvl w:ilvl="5">
      <w:start w:val="0"/>
      <w:numFmt w:val="bullet"/>
      <w:lvlText w:val="•"/>
      <w:lvlJc w:val="left"/>
      <w:pPr>
        <w:ind w:left="6690" w:hanging="360"/>
      </w:pPr>
      <w:rPr>
        <w:rFonts w:hint="default"/>
      </w:rPr>
    </w:lvl>
    <w:lvl w:ilvl="6">
      <w:start w:val="0"/>
      <w:numFmt w:val="bullet"/>
      <w:lvlText w:val="•"/>
      <w:lvlJc w:val="left"/>
      <w:pPr>
        <w:ind w:left="7788" w:hanging="360"/>
      </w:pPr>
      <w:rPr>
        <w:rFonts w:hint="default"/>
      </w:rPr>
    </w:lvl>
    <w:lvl w:ilvl="7">
      <w:start w:val="0"/>
      <w:numFmt w:val="bullet"/>
      <w:lvlText w:val="•"/>
      <w:lvlJc w:val="left"/>
      <w:pPr>
        <w:ind w:left="8886" w:hanging="360"/>
      </w:pPr>
      <w:rPr>
        <w:rFonts w:hint="default"/>
      </w:rPr>
    </w:lvl>
    <w:lvl w:ilvl="8">
      <w:start w:val="0"/>
      <w:numFmt w:val="bullet"/>
      <w:lvlText w:val="•"/>
      <w:lvlJc w:val="left"/>
      <w:pPr>
        <w:ind w:left="9984" w:hanging="360"/>
      </w:pPr>
      <w:rPr>
        <w:rFonts w:hint="default"/>
      </w:rPr>
    </w:lvl>
  </w:abstractNum>
  <w:abstractNum w:abstractNumId="56">
    <w:multiLevelType w:val="hybridMultilevel"/>
    <w:lvl w:ilvl="0">
      <w:start w:val="0"/>
      <w:numFmt w:val="bullet"/>
      <w:lvlText w:val="-"/>
      <w:lvlJc w:val="left"/>
      <w:pPr>
        <w:ind w:left="1197" w:hanging="360"/>
      </w:pPr>
      <w:rPr>
        <w:rFonts w:hint="default" w:ascii="Times New Roman" w:hAnsi="Times New Roman" w:eastAsia="Times New Roman" w:cs="Times New Roman"/>
        <w:b/>
        <w:bCs/>
        <w:w w:val="99"/>
        <w:sz w:val="38"/>
        <w:szCs w:val="38"/>
      </w:rPr>
    </w:lvl>
    <w:lvl w:ilvl="1">
      <w:start w:val="0"/>
      <w:numFmt w:val="bullet"/>
      <w:lvlText w:val="•"/>
      <w:lvlJc w:val="left"/>
      <w:pPr>
        <w:ind w:left="2298" w:hanging="360"/>
      </w:pPr>
      <w:rPr>
        <w:rFonts w:hint="default"/>
      </w:rPr>
    </w:lvl>
    <w:lvl w:ilvl="2">
      <w:start w:val="0"/>
      <w:numFmt w:val="bullet"/>
      <w:lvlText w:val="•"/>
      <w:lvlJc w:val="left"/>
      <w:pPr>
        <w:ind w:left="3396" w:hanging="360"/>
      </w:pPr>
      <w:rPr>
        <w:rFonts w:hint="default"/>
      </w:rPr>
    </w:lvl>
    <w:lvl w:ilvl="3">
      <w:start w:val="0"/>
      <w:numFmt w:val="bullet"/>
      <w:lvlText w:val="•"/>
      <w:lvlJc w:val="left"/>
      <w:pPr>
        <w:ind w:left="4494" w:hanging="360"/>
      </w:pPr>
      <w:rPr>
        <w:rFonts w:hint="default"/>
      </w:rPr>
    </w:lvl>
    <w:lvl w:ilvl="4">
      <w:start w:val="0"/>
      <w:numFmt w:val="bullet"/>
      <w:lvlText w:val="•"/>
      <w:lvlJc w:val="left"/>
      <w:pPr>
        <w:ind w:left="5592" w:hanging="360"/>
      </w:pPr>
      <w:rPr>
        <w:rFonts w:hint="default"/>
      </w:rPr>
    </w:lvl>
    <w:lvl w:ilvl="5">
      <w:start w:val="0"/>
      <w:numFmt w:val="bullet"/>
      <w:lvlText w:val="•"/>
      <w:lvlJc w:val="left"/>
      <w:pPr>
        <w:ind w:left="6690" w:hanging="360"/>
      </w:pPr>
      <w:rPr>
        <w:rFonts w:hint="default"/>
      </w:rPr>
    </w:lvl>
    <w:lvl w:ilvl="6">
      <w:start w:val="0"/>
      <w:numFmt w:val="bullet"/>
      <w:lvlText w:val="•"/>
      <w:lvlJc w:val="left"/>
      <w:pPr>
        <w:ind w:left="7788" w:hanging="360"/>
      </w:pPr>
      <w:rPr>
        <w:rFonts w:hint="default"/>
      </w:rPr>
    </w:lvl>
    <w:lvl w:ilvl="7">
      <w:start w:val="0"/>
      <w:numFmt w:val="bullet"/>
      <w:lvlText w:val="•"/>
      <w:lvlJc w:val="left"/>
      <w:pPr>
        <w:ind w:left="8886" w:hanging="360"/>
      </w:pPr>
      <w:rPr>
        <w:rFonts w:hint="default"/>
      </w:rPr>
    </w:lvl>
    <w:lvl w:ilvl="8">
      <w:start w:val="0"/>
      <w:numFmt w:val="bullet"/>
      <w:lvlText w:val="•"/>
      <w:lvlJc w:val="left"/>
      <w:pPr>
        <w:ind w:left="9984" w:hanging="360"/>
      </w:pPr>
      <w:rPr>
        <w:rFonts w:hint="default"/>
      </w:rPr>
    </w:lvl>
  </w:abstractNum>
  <w:abstractNum w:abstractNumId="55">
    <w:multiLevelType w:val="hybridMultilevel"/>
    <w:lvl w:ilvl="0">
      <w:start w:val="0"/>
      <w:numFmt w:val="decimal"/>
      <w:lvlText w:val="%1"/>
      <w:lvlJc w:val="left"/>
      <w:pPr>
        <w:ind w:left="477" w:hanging="526"/>
        <w:jc w:val="left"/>
      </w:pPr>
      <w:rPr>
        <w:rFonts w:hint="default"/>
      </w:rPr>
    </w:lvl>
    <w:lvl w:ilvl="1">
      <w:start w:val="5"/>
      <w:numFmt w:val="decimal"/>
      <w:lvlText w:val="%1.%2"/>
      <w:lvlJc w:val="left"/>
      <w:pPr>
        <w:ind w:left="477" w:hanging="526"/>
        <w:jc w:val="right"/>
      </w:pPr>
      <w:rPr>
        <w:rFonts w:hint="default" w:ascii="Garamond" w:hAnsi="Garamond" w:eastAsia="Garamond" w:cs="Garamond"/>
        <w:w w:val="99"/>
        <w:sz w:val="38"/>
        <w:szCs w:val="38"/>
      </w:rPr>
    </w:lvl>
    <w:lvl w:ilvl="2">
      <w:start w:val="0"/>
      <w:numFmt w:val="bullet"/>
      <w:lvlText w:val="•"/>
      <w:lvlJc w:val="left"/>
      <w:pPr>
        <w:ind w:left="2820" w:hanging="526"/>
      </w:pPr>
      <w:rPr>
        <w:rFonts w:hint="default"/>
      </w:rPr>
    </w:lvl>
    <w:lvl w:ilvl="3">
      <w:start w:val="0"/>
      <w:numFmt w:val="bullet"/>
      <w:lvlText w:val="•"/>
      <w:lvlJc w:val="left"/>
      <w:pPr>
        <w:ind w:left="3990" w:hanging="526"/>
      </w:pPr>
      <w:rPr>
        <w:rFonts w:hint="default"/>
      </w:rPr>
    </w:lvl>
    <w:lvl w:ilvl="4">
      <w:start w:val="0"/>
      <w:numFmt w:val="bullet"/>
      <w:lvlText w:val="•"/>
      <w:lvlJc w:val="left"/>
      <w:pPr>
        <w:ind w:left="5160" w:hanging="526"/>
      </w:pPr>
      <w:rPr>
        <w:rFonts w:hint="default"/>
      </w:rPr>
    </w:lvl>
    <w:lvl w:ilvl="5">
      <w:start w:val="0"/>
      <w:numFmt w:val="bullet"/>
      <w:lvlText w:val="•"/>
      <w:lvlJc w:val="left"/>
      <w:pPr>
        <w:ind w:left="6330" w:hanging="526"/>
      </w:pPr>
      <w:rPr>
        <w:rFonts w:hint="default"/>
      </w:rPr>
    </w:lvl>
    <w:lvl w:ilvl="6">
      <w:start w:val="0"/>
      <w:numFmt w:val="bullet"/>
      <w:lvlText w:val="•"/>
      <w:lvlJc w:val="left"/>
      <w:pPr>
        <w:ind w:left="7500" w:hanging="526"/>
      </w:pPr>
      <w:rPr>
        <w:rFonts w:hint="default"/>
      </w:rPr>
    </w:lvl>
    <w:lvl w:ilvl="7">
      <w:start w:val="0"/>
      <w:numFmt w:val="bullet"/>
      <w:lvlText w:val="•"/>
      <w:lvlJc w:val="left"/>
      <w:pPr>
        <w:ind w:left="8670" w:hanging="526"/>
      </w:pPr>
      <w:rPr>
        <w:rFonts w:hint="default"/>
      </w:rPr>
    </w:lvl>
    <w:lvl w:ilvl="8">
      <w:start w:val="0"/>
      <w:numFmt w:val="bullet"/>
      <w:lvlText w:val="•"/>
      <w:lvlJc w:val="left"/>
      <w:pPr>
        <w:ind w:left="9840" w:hanging="526"/>
      </w:pPr>
      <w:rPr>
        <w:rFonts w:hint="default"/>
      </w:rPr>
    </w:lvl>
  </w:abstractNum>
  <w:abstractNum w:abstractNumId="54">
    <w:multiLevelType w:val="hybridMultilevel"/>
    <w:lvl w:ilvl="0">
      <w:start w:val="0"/>
      <w:numFmt w:val="bullet"/>
      <w:lvlText w:val="–"/>
      <w:lvlJc w:val="left"/>
      <w:pPr>
        <w:ind w:left="477" w:hanging="286"/>
      </w:pPr>
      <w:rPr>
        <w:rFonts w:hint="default" w:ascii="Garamond" w:hAnsi="Garamond" w:eastAsia="Garamond" w:cs="Garamond"/>
        <w:w w:val="99"/>
        <w:sz w:val="38"/>
        <w:szCs w:val="38"/>
      </w:rPr>
    </w:lvl>
    <w:lvl w:ilvl="1">
      <w:start w:val="0"/>
      <w:numFmt w:val="bullet"/>
      <w:lvlText w:val="•"/>
      <w:lvlJc w:val="left"/>
      <w:pPr>
        <w:ind w:left="1650" w:hanging="286"/>
      </w:pPr>
      <w:rPr>
        <w:rFonts w:hint="default"/>
      </w:rPr>
    </w:lvl>
    <w:lvl w:ilvl="2">
      <w:start w:val="0"/>
      <w:numFmt w:val="bullet"/>
      <w:lvlText w:val="•"/>
      <w:lvlJc w:val="left"/>
      <w:pPr>
        <w:ind w:left="2820" w:hanging="286"/>
      </w:pPr>
      <w:rPr>
        <w:rFonts w:hint="default"/>
      </w:rPr>
    </w:lvl>
    <w:lvl w:ilvl="3">
      <w:start w:val="0"/>
      <w:numFmt w:val="bullet"/>
      <w:lvlText w:val="•"/>
      <w:lvlJc w:val="left"/>
      <w:pPr>
        <w:ind w:left="3990" w:hanging="286"/>
      </w:pPr>
      <w:rPr>
        <w:rFonts w:hint="default"/>
      </w:rPr>
    </w:lvl>
    <w:lvl w:ilvl="4">
      <w:start w:val="0"/>
      <w:numFmt w:val="bullet"/>
      <w:lvlText w:val="•"/>
      <w:lvlJc w:val="left"/>
      <w:pPr>
        <w:ind w:left="5160" w:hanging="286"/>
      </w:pPr>
      <w:rPr>
        <w:rFonts w:hint="default"/>
      </w:rPr>
    </w:lvl>
    <w:lvl w:ilvl="5">
      <w:start w:val="0"/>
      <w:numFmt w:val="bullet"/>
      <w:lvlText w:val="•"/>
      <w:lvlJc w:val="left"/>
      <w:pPr>
        <w:ind w:left="6330" w:hanging="286"/>
      </w:pPr>
      <w:rPr>
        <w:rFonts w:hint="default"/>
      </w:rPr>
    </w:lvl>
    <w:lvl w:ilvl="6">
      <w:start w:val="0"/>
      <w:numFmt w:val="bullet"/>
      <w:lvlText w:val="•"/>
      <w:lvlJc w:val="left"/>
      <w:pPr>
        <w:ind w:left="7500" w:hanging="286"/>
      </w:pPr>
      <w:rPr>
        <w:rFonts w:hint="default"/>
      </w:rPr>
    </w:lvl>
    <w:lvl w:ilvl="7">
      <w:start w:val="0"/>
      <w:numFmt w:val="bullet"/>
      <w:lvlText w:val="•"/>
      <w:lvlJc w:val="left"/>
      <w:pPr>
        <w:ind w:left="8670" w:hanging="286"/>
      </w:pPr>
      <w:rPr>
        <w:rFonts w:hint="default"/>
      </w:rPr>
    </w:lvl>
    <w:lvl w:ilvl="8">
      <w:start w:val="0"/>
      <w:numFmt w:val="bullet"/>
      <w:lvlText w:val="•"/>
      <w:lvlJc w:val="left"/>
      <w:pPr>
        <w:ind w:left="9840" w:hanging="286"/>
      </w:pPr>
      <w:rPr>
        <w:rFonts w:hint="default"/>
      </w:rPr>
    </w:lvl>
  </w:abstractNum>
  <w:abstractNum w:abstractNumId="53">
    <w:multiLevelType w:val="hybridMultilevel"/>
    <w:lvl w:ilvl="0">
      <w:start w:val="0"/>
      <w:numFmt w:val="bullet"/>
      <w:lvlText w:val="-"/>
      <w:lvlJc w:val="left"/>
      <w:pPr>
        <w:ind w:left="892" w:hanging="416"/>
      </w:pPr>
      <w:rPr>
        <w:rFonts w:hint="default" w:ascii="Times New Roman" w:hAnsi="Times New Roman" w:eastAsia="Times New Roman" w:cs="Times New Roman"/>
        <w:b/>
        <w:bCs/>
        <w:w w:val="99"/>
        <w:sz w:val="38"/>
        <w:szCs w:val="38"/>
      </w:rPr>
    </w:lvl>
    <w:lvl w:ilvl="1">
      <w:start w:val="0"/>
      <w:numFmt w:val="bullet"/>
      <w:lvlText w:val="-"/>
      <w:lvlJc w:val="left"/>
      <w:pPr>
        <w:ind w:left="976" w:hanging="360"/>
      </w:pPr>
      <w:rPr>
        <w:rFonts w:hint="default" w:ascii="Times New Roman" w:hAnsi="Times New Roman" w:eastAsia="Times New Roman" w:cs="Times New Roman"/>
        <w:b/>
        <w:bCs/>
        <w:w w:val="99"/>
        <w:sz w:val="38"/>
        <w:szCs w:val="38"/>
      </w:rPr>
    </w:lvl>
    <w:lvl w:ilvl="2">
      <w:start w:val="0"/>
      <w:numFmt w:val="bullet"/>
      <w:lvlText w:val="•"/>
      <w:lvlJc w:val="left"/>
      <w:pPr>
        <w:ind w:left="2224" w:hanging="360"/>
      </w:pPr>
      <w:rPr>
        <w:rFonts w:hint="default"/>
      </w:rPr>
    </w:lvl>
    <w:lvl w:ilvl="3">
      <w:start w:val="0"/>
      <w:numFmt w:val="bullet"/>
      <w:lvlText w:val="•"/>
      <w:lvlJc w:val="left"/>
      <w:pPr>
        <w:ind w:left="3469" w:hanging="360"/>
      </w:pPr>
      <w:rPr>
        <w:rFonts w:hint="default"/>
      </w:rPr>
    </w:lvl>
    <w:lvl w:ilvl="4">
      <w:start w:val="0"/>
      <w:numFmt w:val="bullet"/>
      <w:lvlText w:val="•"/>
      <w:lvlJc w:val="left"/>
      <w:pPr>
        <w:ind w:left="4713" w:hanging="360"/>
      </w:pPr>
      <w:rPr>
        <w:rFonts w:hint="default"/>
      </w:rPr>
    </w:lvl>
    <w:lvl w:ilvl="5">
      <w:start w:val="0"/>
      <w:numFmt w:val="bullet"/>
      <w:lvlText w:val="•"/>
      <w:lvlJc w:val="left"/>
      <w:pPr>
        <w:ind w:left="5958" w:hanging="360"/>
      </w:pPr>
      <w:rPr>
        <w:rFonts w:hint="default"/>
      </w:rPr>
    </w:lvl>
    <w:lvl w:ilvl="6">
      <w:start w:val="0"/>
      <w:numFmt w:val="bullet"/>
      <w:lvlText w:val="•"/>
      <w:lvlJc w:val="left"/>
      <w:pPr>
        <w:ind w:left="7202" w:hanging="360"/>
      </w:pPr>
      <w:rPr>
        <w:rFonts w:hint="default"/>
      </w:rPr>
    </w:lvl>
    <w:lvl w:ilvl="7">
      <w:start w:val="0"/>
      <w:numFmt w:val="bullet"/>
      <w:lvlText w:val="•"/>
      <w:lvlJc w:val="left"/>
      <w:pPr>
        <w:ind w:left="8447" w:hanging="360"/>
      </w:pPr>
      <w:rPr>
        <w:rFonts w:hint="default"/>
      </w:rPr>
    </w:lvl>
    <w:lvl w:ilvl="8">
      <w:start w:val="0"/>
      <w:numFmt w:val="bullet"/>
      <w:lvlText w:val="•"/>
      <w:lvlJc w:val="left"/>
      <w:pPr>
        <w:ind w:left="9691" w:hanging="360"/>
      </w:pPr>
      <w:rPr>
        <w:rFonts w:hint="default"/>
      </w:rPr>
    </w:lvl>
  </w:abstractNum>
  <w:abstractNum w:abstractNumId="52">
    <w:multiLevelType w:val="hybridMultilevel"/>
    <w:lvl w:ilvl="0">
      <w:start w:val="0"/>
      <w:numFmt w:val="bullet"/>
      <w:lvlText w:val="-"/>
      <w:lvlJc w:val="left"/>
      <w:pPr>
        <w:ind w:left="892" w:hanging="416"/>
      </w:pPr>
      <w:rPr>
        <w:rFonts w:hint="default" w:ascii="Times New Roman" w:hAnsi="Times New Roman" w:eastAsia="Times New Roman" w:cs="Times New Roman"/>
        <w:w w:val="99"/>
        <w:sz w:val="38"/>
        <w:szCs w:val="38"/>
      </w:rPr>
    </w:lvl>
    <w:lvl w:ilvl="1">
      <w:start w:val="0"/>
      <w:numFmt w:val="bullet"/>
      <w:lvlText w:val="•"/>
      <w:lvlJc w:val="left"/>
      <w:pPr>
        <w:ind w:left="2028" w:hanging="416"/>
      </w:pPr>
      <w:rPr>
        <w:rFonts w:hint="default"/>
      </w:rPr>
    </w:lvl>
    <w:lvl w:ilvl="2">
      <w:start w:val="0"/>
      <w:numFmt w:val="bullet"/>
      <w:lvlText w:val="•"/>
      <w:lvlJc w:val="left"/>
      <w:pPr>
        <w:ind w:left="3156" w:hanging="416"/>
      </w:pPr>
      <w:rPr>
        <w:rFonts w:hint="default"/>
      </w:rPr>
    </w:lvl>
    <w:lvl w:ilvl="3">
      <w:start w:val="0"/>
      <w:numFmt w:val="bullet"/>
      <w:lvlText w:val="•"/>
      <w:lvlJc w:val="left"/>
      <w:pPr>
        <w:ind w:left="4284" w:hanging="416"/>
      </w:pPr>
      <w:rPr>
        <w:rFonts w:hint="default"/>
      </w:rPr>
    </w:lvl>
    <w:lvl w:ilvl="4">
      <w:start w:val="0"/>
      <w:numFmt w:val="bullet"/>
      <w:lvlText w:val="•"/>
      <w:lvlJc w:val="left"/>
      <w:pPr>
        <w:ind w:left="5412" w:hanging="416"/>
      </w:pPr>
      <w:rPr>
        <w:rFonts w:hint="default"/>
      </w:rPr>
    </w:lvl>
    <w:lvl w:ilvl="5">
      <w:start w:val="0"/>
      <w:numFmt w:val="bullet"/>
      <w:lvlText w:val="•"/>
      <w:lvlJc w:val="left"/>
      <w:pPr>
        <w:ind w:left="6540" w:hanging="416"/>
      </w:pPr>
      <w:rPr>
        <w:rFonts w:hint="default"/>
      </w:rPr>
    </w:lvl>
    <w:lvl w:ilvl="6">
      <w:start w:val="0"/>
      <w:numFmt w:val="bullet"/>
      <w:lvlText w:val="•"/>
      <w:lvlJc w:val="left"/>
      <w:pPr>
        <w:ind w:left="7668" w:hanging="416"/>
      </w:pPr>
      <w:rPr>
        <w:rFonts w:hint="default"/>
      </w:rPr>
    </w:lvl>
    <w:lvl w:ilvl="7">
      <w:start w:val="0"/>
      <w:numFmt w:val="bullet"/>
      <w:lvlText w:val="•"/>
      <w:lvlJc w:val="left"/>
      <w:pPr>
        <w:ind w:left="8796" w:hanging="416"/>
      </w:pPr>
      <w:rPr>
        <w:rFonts w:hint="default"/>
      </w:rPr>
    </w:lvl>
    <w:lvl w:ilvl="8">
      <w:start w:val="0"/>
      <w:numFmt w:val="bullet"/>
      <w:lvlText w:val="•"/>
      <w:lvlJc w:val="left"/>
      <w:pPr>
        <w:ind w:left="9924" w:hanging="416"/>
      </w:pPr>
      <w:rPr>
        <w:rFonts w:hint="default"/>
      </w:rPr>
    </w:lvl>
  </w:abstractNum>
  <w:abstractNum w:abstractNumId="51">
    <w:multiLevelType w:val="hybridMultilevel"/>
    <w:lvl w:ilvl="0">
      <w:start w:val="1"/>
      <w:numFmt w:val="decimal"/>
      <w:lvlText w:val="%1)"/>
      <w:lvlJc w:val="left"/>
      <w:pPr>
        <w:ind w:left="854" w:hanging="377"/>
        <w:jc w:val="left"/>
      </w:pPr>
      <w:rPr>
        <w:rFonts w:hint="default" w:ascii="Garamond" w:hAnsi="Garamond" w:eastAsia="Garamond" w:cs="Garamond"/>
        <w:i/>
        <w:w w:val="99"/>
        <w:sz w:val="38"/>
        <w:szCs w:val="38"/>
      </w:rPr>
    </w:lvl>
    <w:lvl w:ilvl="1">
      <w:start w:val="0"/>
      <w:numFmt w:val="bullet"/>
      <w:lvlText w:val="•"/>
      <w:lvlJc w:val="left"/>
      <w:pPr>
        <w:ind w:left="1992" w:hanging="377"/>
      </w:pPr>
      <w:rPr>
        <w:rFonts w:hint="default"/>
      </w:rPr>
    </w:lvl>
    <w:lvl w:ilvl="2">
      <w:start w:val="0"/>
      <w:numFmt w:val="bullet"/>
      <w:lvlText w:val="•"/>
      <w:lvlJc w:val="left"/>
      <w:pPr>
        <w:ind w:left="3124" w:hanging="377"/>
      </w:pPr>
      <w:rPr>
        <w:rFonts w:hint="default"/>
      </w:rPr>
    </w:lvl>
    <w:lvl w:ilvl="3">
      <w:start w:val="0"/>
      <w:numFmt w:val="bullet"/>
      <w:lvlText w:val="•"/>
      <w:lvlJc w:val="left"/>
      <w:pPr>
        <w:ind w:left="4256" w:hanging="377"/>
      </w:pPr>
      <w:rPr>
        <w:rFonts w:hint="default"/>
      </w:rPr>
    </w:lvl>
    <w:lvl w:ilvl="4">
      <w:start w:val="0"/>
      <w:numFmt w:val="bullet"/>
      <w:lvlText w:val="•"/>
      <w:lvlJc w:val="left"/>
      <w:pPr>
        <w:ind w:left="5388" w:hanging="377"/>
      </w:pPr>
      <w:rPr>
        <w:rFonts w:hint="default"/>
      </w:rPr>
    </w:lvl>
    <w:lvl w:ilvl="5">
      <w:start w:val="0"/>
      <w:numFmt w:val="bullet"/>
      <w:lvlText w:val="•"/>
      <w:lvlJc w:val="left"/>
      <w:pPr>
        <w:ind w:left="6520" w:hanging="377"/>
      </w:pPr>
      <w:rPr>
        <w:rFonts w:hint="default"/>
      </w:rPr>
    </w:lvl>
    <w:lvl w:ilvl="6">
      <w:start w:val="0"/>
      <w:numFmt w:val="bullet"/>
      <w:lvlText w:val="•"/>
      <w:lvlJc w:val="left"/>
      <w:pPr>
        <w:ind w:left="7652" w:hanging="377"/>
      </w:pPr>
      <w:rPr>
        <w:rFonts w:hint="default"/>
      </w:rPr>
    </w:lvl>
    <w:lvl w:ilvl="7">
      <w:start w:val="0"/>
      <w:numFmt w:val="bullet"/>
      <w:lvlText w:val="•"/>
      <w:lvlJc w:val="left"/>
      <w:pPr>
        <w:ind w:left="8784" w:hanging="377"/>
      </w:pPr>
      <w:rPr>
        <w:rFonts w:hint="default"/>
      </w:rPr>
    </w:lvl>
    <w:lvl w:ilvl="8">
      <w:start w:val="0"/>
      <w:numFmt w:val="bullet"/>
      <w:lvlText w:val="•"/>
      <w:lvlJc w:val="left"/>
      <w:pPr>
        <w:ind w:left="9916" w:hanging="377"/>
      </w:pPr>
      <w:rPr>
        <w:rFonts w:hint="default"/>
      </w:rPr>
    </w:lvl>
  </w:abstractNum>
  <w:abstractNum w:abstractNumId="50">
    <w:multiLevelType w:val="hybridMultilevel"/>
    <w:lvl w:ilvl="0">
      <w:start w:val="0"/>
      <w:numFmt w:val="bullet"/>
      <w:lvlText w:val="-"/>
      <w:lvlJc w:val="left"/>
      <w:pPr>
        <w:ind w:left="690" w:hanging="214"/>
      </w:pPr>
      <w:rPr>
        <w:rFonts w:hint="default" w:ascii="Garamond" w:hAnsi="Garamond" w:eastAsia="Garamond" w:cs="Garamond"/>
        <w:w w:val="99"/>
        <w:sz w:val="38"/>
        <w:szCs w:val="38"/>
      </w:rPr>
    </w:lvl>
    <w:lvl w:ilvl="1">
      <w:start w:val="0"/>
      <w:numFmt w:val="bullet"/>
      <w:lvlText w:val="•"/>
      <w:lvlJc w:val="left"/>
      <w:pPr>
        <w:ind w:left="1848" w:hanging="214"/>
      </w:pPr>
      <w:rPr>
        <w:rFonts w:hint="default"/>
      </w:rPr>
    </w:lvl>
    <w:lvl w:ilvl="2">
      <w:start w:val="0"/>
      <w:numFmt w:val="bullet"/>
      <w:lvlText w:val="•"/>
      <w:lvlJc w:val="left"/>
      <w:pPr>
        <w:ind w:left="2996" w:hanging="214"/>
      </w:pPr>
      <w:rPr>
        <w:rFonts w:hint="default"/>
      </w:rPr>
    </w:lvl>
    <w:lvl w:ilvl="3">
      <w:start w:val="0"/>
      <w:numFmt w:val="bullet"/>
      <w:lvlText w:val="•"/>
      <w:lvlJc w:val="left"/>
      <w:pPr>
        <w:ind w:left="4144" w:hanging="214"/>
      </w:pPr>
      <w:rPr>
        <w:rFonts w:hint="default"/>
      </w:rPr>
    </w:lvl>
    <w:lvl w:ilvl="4">
      <w:start w:val="0"/>
      <w:numFmt w:val="bullet"/>
      <w:lvlText w:val="•"/>
      <w:lvlJc w:val="left"/>
      <w:pPr>
        <w:ind w:left="5292" w:hanging="214"/>
      </w:pPr>
      <w:rPr>
        <w:rFonts w:hint="default"/>
      </w:rPr>
    </w:lvl>
    <w:lvl w:ilvl="5">
      <w:start w:val="0"/>
      <w:numFmt w:val="bullet"/>
      <w:lvlText w:val="•"/>
      <w:lvlJc w:val="left"/>
      <w:pPr>
        <w:ind w:left="6440" w:hanging="214"/>
      </w:pPr>
      <w:rPr>
        <w:rFonts w:hint="default"/>
      </w:rPr>
    </w:lvl>
    <w:lvl w:ilvl="6">
      <w:start w:val="0"/>
      <w:numFmt w:val="bullet"/>
      <w:lvlText w:val="•"/>
      <w:lvlJc w:val="left"/>
      <w:pPr>
        <w:ind w:left="7588" w:hanging="214"/>
      </w:pPr>
      <w:rPr>
        <w:rFonts w:hint="default"/>
      </w:rPr>
    </w:lvl>
    <w:lvl w:ilvl="7">
      <w:start w:val="0"/>
      <w:numFmt w:val="bullet"/>
      <w:lvlText w:val="•"/>
      <w:lvlJc w:val="left"/>
      <w:pPr>
        <w:ind w:left="8736" w:hanging="214"/>
      </w:pPr>
      <w:rPr>
        <w:rFonts w:hint="default"/>
      </w:rPr>
    </w:lvl>
    <w:lvl w:ilvl="8">
      <w:start w:val="0"/>
      <w:numFmt w:val="bullet"/>
      <w:lvlText w:val="•"/>
      <w:lvlJc w:val="left"/>
      <w:pPr>
        <w:ind w:left="9884" w:hanging="214"/>
      </w:pPr>
      <w:rPr>
        <w:rFonts w:hint="default"/>
      </w:rPr>
    </w:lvl>
  </w:abstractNum>
  <w:abstractNum w:abstractNumId="49">
    <w:multiLevelType w:val="hybridMultilevel"/>
    <w:lvl w:ilvl="0">
      <w:start w:val="0"/>
      <w:numFmt w:val="bullet"/>
      <w:lvlText w:val="-"/>
      <w:lvlJc w:val="left"/>
      <w:pPr>
        <w:ind w:left="1079" w:hanging="360"/>
      </w:pPr>
      <w:rPr>
        <w:rFonts w:hint="default" w:ascii="Times New Roman" w:hAnsi="Times New Roman" w:eastAsia="Times New Roman" w:cs="Times New Roman"/>
        <w:w w:val="99"/>
        <w:sz w:val="38"/>
        <w:szCs w:val="38"/>
      </w:rPr>
    </w:lvl>
    <w:lvl w:ilvl="1">
      <w:start w:val="0"/>
      <w:numFmt w:val="bullet"/>
      <w:lvlText w:val="-"/>
      <w:lvlJc w:val="left"/>
      <w:pPr>
        <w:ind w:left="1197" w:hanging="360"/>
      </w:pPr>
      <w:rPr>
        <w:rFonts w:hint="default" w:ascii="Times New Roman" w:hAnsi="Times New Roman" w:eastAsia="Times New Roman" w:cs="Times New Roman"/>
        <w:w w:val="99"/>
        <w:sz w:val="38"/>
        <w:szCs w:val="38"/>
      </w:rPr>
    </w:lvl>
    <w:lvl w:ilvl="2">
      <w:start w:val="0"/>
      <w:numFmt w:val="bullet"/>
      <w:lvlText w:val="•"/>
      <w:lvlJc w:val="left"/>
      <w:pPr>
        <w:ind w:left="2420" w:hanging="360"/>
      </w:pPr>
      <w:rPr>
        <w:rFonts w:hint="default"/>
      </w:rPr>
    </w:lvl>
    <w:lvl w:ilvl="3">
      <w:start w:val="0"/>
      <w:numFmt w:val="bullet"/>
      <w:lvlText w:val="•"/>
      <w:lvlJc w:val="left"/>
      <w:pPr>
        <w:ind w:left="3640" w:hanging="360"/>
      </w:pPr>
      <w:rPr>
        <w:rFonts w:hint="default"/>
      </w:rPr>
    </w:lvl>
    <w:lvl w:ilvl="4">
      <w:start w:val="0"/>
      <w:numFmt w:val="bullet"/>
      <w:lvlText w:val="•"/>
      <w:lvlJc w:val="left"/>
      <w:pPr>
        <w:ind w:left="4860" w:hanging="360"/>
      </w:pPr>
      <w:rPr>
        <w:rFonts w:hint="default"/>
      </w:rPr>
    </w:lvl>
    <w:lvl w:ilvl="5">
      <w:start w:val="0"/>
      <w:numFmt w:val="bullet"/>
      <w:lvlText w:val="•"/>
      <w:lvlJc w:val="left"/>
      <w:pPr>
        <w:ind w:left="6080" w:hanging="360"/>
      </w:pPr>
      <w:rPr>
        <w:rFonts w:hint="default"/>
      </w:rPr>
    </w:lvl>
    <w:lvl w:ilvl="6">
      <w:start w:val="0"/>
      <w:numFmt w:val="bullet"/>
      <w:lvlText w:val="•"/>
      <w:lvlJc w:val="left"/>
      <w:pPr>
        <w:ind w:left="7300" w:hanging="360"/>
      </w:pPr>
      <w:rPr>
        <w:rFonts w:hint="default"/>
      </w:rPr>
    </w:lvl>
    <w:lvl w:ilvl="7">
      <w:start w:val="0"/>
      <w:numFmt w:val="bullet"/>
      <w:lvlText w:val="•"/>
      <w:lvlJc w:val="left"/>
      <w:pPr>
        <w:ind w:left="8520" w:hanging="360"/>
      </w:pPr>
      <w:rPr>
        <w:rFonts w:hint="default"/>
      </w:rPr>
    </w:lvl>
    <w:lvl w:ilvl="8">
      <w:start w:val="0"/>
      <w:numFmt w:val="bullet"/>
      <w:lvlText w:val="•"/>
      <w:lvlJc w:val="left"/>
      <w:pPr>
        <w:ind w:left="9740" w:hanging="360"/>
      </w:pPr>
      <w:rPr>
        <w:rFonts w:hint="default"/>
      </w:rPr>
    </w:lvl>
  </w:abstractNum>
  <w:abstractNum w:abstractNumId="48">
    <w:multiLevelType w:val="hybridMultilevel"/>
    <w:lvl w:ilvl="0">
      <w:start w:val="1"/>
      <w:numFmt w:val="decimal"/>
      <w:lvlText w:val="%1)"/>
      <w:lvlJc w:val="left"/>
      <w:pPr>
        <w:ind w:left="1185" w:hanging="708"/>
        <w:jc w:val="left"/>
      </w:pPr>
      <w:rPr>
        <w:rFonts w:hint="default" w:ascii="Garamond" w:hAnsi="Garamond" w:eastAsia="Garamond" w:cs="Garamond"/>
        <w:spacing w:val="-1"/>
        <w:w w:val="99"/>
        <w:sz w:val="38"/>
        <w:szCs w:val="38"/>
      </w:rPr>
    </w:lvl>
    <w:lvl w:ilvl="1">
      <w:start w:val="0"/>
      <w:numFmt w:val="bullet"/>
      <w:lvlText w:val="•"/>
      <w:lvlJc w:val="left"/>
      <w:pPr>
        <w:ind w:left="2280" w:hanging="708"/>
      </w:pPr>
      <w:rPr>
        <w:rFonts w:hint="default"/>
      </w:rPr>
    </w:lvl>
    <w:lvl w:ilvl="2">
      <w:start w:val="0"/>
      <w:numFmt w:val="bullet"/>
      <w:lvlText w:val="•"/>
      <w:lvlJc w:val="left"/>
      <w:pPr>
        <w:ind w:left="3380" w:hanging="708"/>
      </w:pPr>
      <w:rPr>
        <w:rFonts w:hint="default"/>
      </w:rPr>
    </w:lvl>
    <w:lvl w:ilvl="3">
      <w:start w:val="0"/>
      <w:numFmt w:val="bullet"/>
      <w:lvlText w:val="•"/>
      <w:lvlJc w:val="left"/>
      <w:pPr>
        <w:ind w:left="4480" w:hanging="708"/>
      </w:pPr>
      <w:rPr>
        <w:rFonts w:hint="default"/>
      </w:rPr>
    </w:lvl>
    <w:lvl w:ilvl="4">
      <w:start w:val="0"/>
      <w:numFmt w:val="bullet"/>
      <w:lvlText w:val="•"/>
      <w:lvlJc w:val="left"/>
      <w:pPr>
        <w:ind w:left="5580" w:hanging="708"/>
      </w:pPr>
      <w:rPr>
        <w:rFonts w:hint="default"/>
      </w:rPr>
    </w:lvl>
    <w:lvl w:ilvl="5">
      <w:start w:val="0"/>
      <w:numFmt w:val="bullet"/>
      <w:lvlText w:val="•"/>
      <w:lvlJc w:val="left"/>
      <w:pPr>
        <w:ind w:left="6680" w:hanging="708"/>
      </w:pPr>
      <w:rPr>
        <w:rFonts w:hint="default"/>
      </w:rPr>
    </w:lvl>
    <w:lvl w:ilvl="6">
      <w:start w:val="0"/>
      <w:numFmt w:val="bullet"/>
      <w:lvlText w:val="•"/>
      <w:lvlJc w:val="left"/>
      <w:pPr>
        <w:ind w:left="7780" w:hanging="708"/>
      </w:pPr>
      <w:rPr>
        <w:rFonts w:hint="default"/>
      </w:rPr>
    </w:lvl>
    <w:lvl w:ilvl="7">
      <w:start w:val="0"/>
      <w:numFmt w:val="bullet"/>
      <w:lvlText w:val="•"/>
      <w:lvlJc w:val="left"/>
      <w:pPr>
        <w:ind w:left="8880" w:hanging="708"/>
      </w:pPr>
      <w:rPr>
        <w:rFonts w:hint="default"/>
      </w:rPr>
    </w:lvl>
    <w:lvl w:ilvl="8">
      <w:start w:val="0"/>
      <w:numFmt w:val="bullet"/>
      <w:lvlText w:val="•"/>
      <w:lvlJc w:val="left"/>
      <w:pPr>
        <w:ind w:left="9980" w:hanging="708"/>
      </w:pPr>
      <w:rPr>
        <w:rFonts w:hint="default"/>
      </w:rPr>
    </w:lvl>
  </w:abstractNum>
  <w:abstractNum w:abstractNumId="47">
    <w:multiLevelType w:val="hybridMultilevel"/>
    <w:lvl w:ilvl="0">
      <w:start w:val="1"/>
      <w:numFmt w:val="decimal"/>
      <w:lvlText w:val="%1)"/>
      <w:lvlJc w:val="left"/>
      <w:pPr>
        <w:ind w:left="818" w:hanging="456"/>
        <w:jc w:val="left"/>
      </w:pPr>
      <w:rPr>
        <w:rFonts w:hint="default" w:ascii="Garamond" w:hAnsi="Garamond" w:eastAsia="Garamond" w:cs="Garamond"/>
        <w:spacing w:val="-1"/>
        <w:w w:val="99"/>
        <w:sz w:val="38"/>
        <w:szCs w:val="38"/>
      </w:rPr>
    </w:lvl>
    <w:lvl w:ilvl="1">
      <w:start w:val="0"/>
      <w:numFmt w:val="bullet"/>
      <w:lvlText w:val="•"/>
      <w:lvlJc w:val="left"/>
      <w:pPr>
        <w:ind w:left="1956" w:hanging="456"/>
      </w:pPr>
      <w:rPr>
        <w:rFonts w:hint="default"/>
      </w:rPr>
    </w:lvl>
    <w:lvl w:ilvl="2">
      <w:start w:val="0"/>
      <w:numFmt w:val="bullet"/>
      <w:lvlText w:val="•"/>
      <w:lvlJc w:val="left"/>
      <w:pPr>
        <w:ind w:left="3092" w:hanging="456"/>
      </w:pPr>
      <w:rPr>
        <w:rFonts w:hint="default"/>
      </w:rPr>
    </w:lvl>
    <w:lvl w:ilvl="3">
      <w:start w:val="0"/>
      <w:numFmt w:val="bullet"/>
      <w:lvlText w:val="•"/>
      <w:lvlJc w:val="left"/>
      <w:pPr>
        <w:ind w:left="4228" w:hanging="456"/>
      </w:pPr>
      <w:rPr>
        <w:rFonts w:hint="default"/>
      </w:rPr>
    </w:lvl>
    <w:lvl w:ilvl="4">
      <w:start w:val="0"/>
      <w:numFmt w:val="bullet"/>
      <w:lvlText w:val="•"/>
      <w:lvlJc w:val="left"/>
      <w:pPr>
        <w:ind w:left="5364" w:hanging="456"/>
      </w:pPr>
      <w:rPr>
        <w:rFonts w:hint="default"/>
      </w:rPr>
    </w:lvl>
    <w:lvl w:ilvl="5">
      <w:start w:val="0"/>
      <w:numFmt w:val="bullet"/>
      <w:lvlText w:val="•"/>
      <w:lvlJc w:val="left"/>
      <w:pPr>
        <w:ind w:left="6500" w:hanging="456"/>
      </w:pPr>
      <w:rPr>
        <w:rFonts w:hint="default"/>
      </w:rPr>
    </w:lvl>
    <w:lvl w:ilvl="6">
      <w:start w:val="0"/>
      <w:numFmt w:val="bullet"/>
      <w:lvlText w:val="•"/>
      <w:lvlJc w:val="left"/>
      <w:pPr>
        <w:ind w:left="7636" w:hanging="456"/>
      </w:pPr>
      <w:rPr>
        <w:rFonts w:hint="default"/>
      </w:rPr>
    </w:lvl>
    <w:lvl w:ilvl="7">
      <w:start w:val="0"/>
      <w:numFmt w:val="bullet"/>
      <w:lvlText w:val="•"/>
      <w:lvlJc w:val="left"/>
      <w:pPr>
        <w:ind w:left="8772" w:hanging="456"/>
      </w:pPr>
      <w:rPr>
        <w:rFonts w:hint="default"/>
      </w:rPr>
    </w:lvl>
    <w:lvl w:ilvl="8">
      <w:start w:val="0"/>
      <w:numFmt w:val="bullet"/>
      <w:lvlText w:val="•"/>
      <w:lvlJc w:val="left"/>
      <w:pPr>
        <w:ind w:left="9908" w:hanging="456"/>
      </w:pPr>
      <w:rPr>
        <w:rFonts w:hint="default"/>
      </w:rPr>
    </w:lvl>
  </w:abstractNum>
  <w:abstractNum w:abstractNumId="46">
    <w:multiLevelType w:val="hybridMultilevel"/>
    <w:lvl w:ilvl="0">
      <w:start w:val="0"/>
      <w:numFmt w:val="bullet"/>
      <w:lvlText w:val="-"/>
      <w:lvlJc w:val="left"/>
      <w:pPr>
        <w:ind w:left="1197" w:hanging="360"/>
      </w:pPr>
      <w:rPr>
        <w:rFonts w:hint="default" w:ascii="Times New Roman" w:hAnsi="Times New Roman" w:eastAsia="Times New Roman" w:cs="Times New Roman"/>
        <w:w w:val="99"/>
        <w:sz w:val="20"/>
        <w:szCs w:val="20"/>
      </w:rPr>
    </w:lvl>
    <w:lvl w:ilvl="1">
      <w:start w:val="0"/>
      <w:numFmt w:val="bullet"/>
      <w:lvlText w:val="•"/>
      <w:lvlJc w:val="left"/>
      <w:pPr>
        <w:ind w:left="2298" w:hanging="360"/>
      </w:pPr>
      <w:rPr>
        <w:rFonts w:hint="default"/>
      </w:rPr>
    </w:lvl>
    <w:lvl w:ilvl="2">
      <w:start w:val="0"/>
      <w:numFmt w:val="bullet"/>
      <w:lvlText w:val="•"/>
      <w:lvlJc w:val="left"/>
      <w:pPr>
        <w:ind w:left="3396" w:hanging="360"/>
      </w:pPr>
      <w:rPr>
        <w:rFonts w:hint="default"/>
      </w:rPr>
    </w:lvl>
    <w:lvl w:ilvl="3">
      <w:start w:val="0"/>
      <w:numFmt w:val="bullet"/>
      <w:lvlText w:val="•"/>
      <w:lvlJc w:val="left"/>
      <w:pPr>
        <w:ind w:left="4494" w:hanging="360"/>
      </w:pPr>
      <w:rPr>
        <w:rFonts w:hint="default"/>
      </w:rPr>
    </w:lvl>
    <w:lvl w:ilvl="4">
      <w:start w:val="0"/>
      <w:numFmt w:val="bullet"/>
      <w:lvlText w:val="•"/>
      <w:lvlJc w:val="left"/>
      <w:pPr>
        <w:ind w:left="5592" w:hanging="360"/>
      </w:pPr>
      <w:rPr>
        <w:rFonts w:hint="default"/>
      </w:rPr>
    </w:lvl>
    <w:lvl w:ilvl="5">
      <w:start w:val="0"/>
      <w:numFmt w:val="bullet"/>
      <w:lvlText w:val="•"/>
      <w:lvlJc w:val="left"/>
      <w:pPr>
        <w:ind w:left="6690" w:hanging="360"/>
      </w:pPr>
      <w:rPr>
        <w:rFonts w:hint="default"/>
      </w:rPr>
    </w:lvl>
    <w:lvl w:ilvl="6">
      <w:start w:val="0"/>
      <w:numFmt w:val="bullet"/>
      <w:lvlText w:val="•"/>
      <w:lvlJc w:val="left"/>
      <w:pPr>
        <w:ind w:left="7788" w:hanging="360"/>
      </w:pPr>
      <w:rPr>
        <w:rFonts w:hint="default"/>
      </w:rPr>
    </w:lvl>
    <w:lvl w:ilvl="7">
      <w:start w:val="0"/>
      <w:numFmt w:val="bullet"/>
      <w:lvlText w:val="•"/>
      <w:lvlJc w:val="left"/>
      <w:pPr>
        <w:ind w:left="8886" w:hanging="360"/>
      </w:pPr>
      <w:rPr>
        <w:rFonts w:hint="default"/>
      </w:rPr>
    </w:lvl>
    <w:lvl w:ilvl="8">
      <w:start w:val="0"/>
      <w:numFmt w:val="bullet"/>
      <w:lvlText w:val="•"/>
      <w:lvlJc w:val="left"/>
      <w:pPr>
        <w:ind w:left="9984" w:hanging="360"/>
      </w:pPr>
      <w:rPr>
        <w:rFonts w:hint="default"/>
      </w:rPr>
    </w:lvl>
  </w:abstractNum>
  <w:abstractNum w:abstractNumId="45">
    <w:multiLevelType w:val="hybridMultilevel"/>
    <w:lvl w:ilvl="0">
      <w:start w:val="0"/>
      <w:numFmt w:val="bullet"/>
      <w:lvlText w:val="-"/>
      <w:lvlJc w:val="left"/>
      <w:pPr>
        <w:ind w:left="1197" w:hanging="360"/>
      </w:pPr>
      <w:rPr>
        <w:rFonts w:hint="default" w:ascii="Times New Roman" w:hAnsi="Times New Roman" w:eastAsia="Times New Roman" w:cs="Times New Roman"/>
        <w:w w:val="99"/>
        <w:sz w:val="38"/>
        <w:szCs w:val="38"/>
      </w:rPr>
    </w:lvl>
    <w:lvl w:ilvl="1">
      <w:start w:val="0"/>
      <w:numFmt w:val="bullet"/>
      <w:lvlText w:val="•"/>
      <w:lvlJc w:val="left"/>
      <w:pPr>
        <w:ind w:left="2298" w:hanging="360"/>
      </w:pPr>
      <w:rPr>
        <w:rFonts w:hint="default"/>
      </w:rPr>
    </w:lvl>
    <w:lvl w:ilvl="2">
      <w:start w:val="0"/>
      <w:numFmt w:val="bullet"/>
      <w:lvlText w:val="•"/>
      <w:lvlJc w:val="left"/>
      <w:pPr>
        <w:ind w:left="3396" w:hanging="360"/>
      </w:pPr>
      <w:rPr>
        <w:rFonts w:hint="default"/>
      </w:rPr>
    </w:lvl>
    <w:lvl w:ilvl="3">
      <w:start w:val="0"/>
      <w:numFmt w:val="bullet"/>
      <w:lvlText w:val="•"/>
      <w:lvlJc w:val="left"/>
      <w:pPr>
        <w:ind w:left="4494" w:hanging="360"/>
      </w:pPr>
      <w:rPr>
        <w:rFonts w:hint="default"/>
      </w:rPr>
    </w:lvl>
    <w:lvl w:ilvl="4">
      <w:start w:val="0"/>
      <w:numFmt w:val="bullet"/>
      <w:lvlText w:val="•"/>
      <w:lvlJc w:val="left"/>
      <w:pPr>
        <w:ind w:left="5592" w:hanging="360"/>
      </w:pPr>
      <w:rPr>
        <w:rFonts w:hint="default"/>
      </w:rPr>
    </w:lvl>
    <w:lvl w:ilvl="5">
      <w:start w:val="0"/>
      <w:numFmt w:val="bullet"/>
      <w:lvlText w:val="•"/>
      <w:lvlJc w:val="left"/>
      <w:pPr>
        <w:ind w:left="6690" w:hanging="360"/>
      </w:pPr>
      <w:rPr>
        <w:rFonts w:hint="default"/>
      </w:rPr>
    </w:lvl>
    <w:lvl w:ilvl="6">
      <w:start w:val="0"/>
      <w:numFmt w:val="bullet"/>
      <w:lvlText w:val="•"/>
      <w:lvlJc w:val="left"/>
      <w:pPr>
        <w:ind w:left="7788" w:hanging="360"/>
      </w:pPr>
      <w:rPr>
        <w:rFonts w:hint="default"/>
      </w:rPr>
    </w:lvl>
    <w:lvl w:ilvl="7">
      <w:start w:val="0"/>
      <w:numFmt w:val="bullet"/>
      <w:lvlText w:val="•"/>
      <w:lvlJc w:val="left"/>
      <w:pPr>
        <w:ind w:left="8886" w:hanging="360"/>
      </w:pPr>
      <w:rPr>
        <w:rFonts w:hint="default"/>
      </w:rPr>
    </w:lvl>
    <w:lvl w:ilvl="8">
      <w:start w:val="0"/>
      <w:numFmt w:val="bullet"/>
      <w:lvlText w:val="•"/>
      <w:lvlJc w:val="left"/>
      <w:pPr>
        <w:ind w:left="9984" w:hanging="360"/>
      </w:pPr>
      <w:rPr>
        <w:rFonts w:hint="default"/>
      </w:rPr>
    </w:lvl>
  </w:abstractNum>
  <w:abstractNum w:abstractNumId="44">
    <w:multiLevelType w:val="hybridMultilevel"/>
    <w:lvl w:ilvl="0">
      <w:start w:val="0"/>
      <w:numFmt w:val="bullet"/>
      <w:lvlText w:val="-"/>
      <w:lvlJc w:val="left"/>
      <w:pPr>
        <w:ind w:left="1228" w:hanging="392"/>
      </w:pPr>
      <w:rPr>
        <w:rFonts w:hint="default" w:ascii="Times New Roman" w:hAnsi="Times New Roman" w:eastAsia="Times New Roman" w:cs="Times New Roman"/>
        <w:w w:val="99"/>
        <w:sz w:val="38"/>
        <w:szCs w:val="38"/>
      </w:rPr>
    </w:lvl>
    <w:lvl w:ilvl="1">
      <w:start w:val="0"/>
      <w:numFmt w:val="bullet"/>
      <w:lvlText w:val="•"/>
      <w:lvlJc w:val="left"/>
      <w:pPr>
        <w:ind w:left="2316" w:hanging="392"/>
      </w:pPr>
      <w:rPr>
        <w:rFonts w:hint="default"/>
      </w:rPr>
    </w:lvl>
    <w:lvl w:ilvl="2">
      <w:start w:val="0"/>
      <w:numFmt w:val="bullet"/>
      <w:lvlText w:val="•"/>
      <w:lvlJc w:val="left"/>
      <w:pPr>
        <w:ind w:left="3412" w:hanging="392"/>
      </w:pPr>
      <w:rPr>
        <w:rFonts w:hint="default"/>
      </w:rPr>
    </w:lvl>
    <w:lvl w:ilvl="3">
      <w:start w:val="0"/>
      <w:numFmt w:val="bullet"/>
      <w:lvlText w:val="•"/>
      <w:lvlJc w:val="left"/>
      <w:pPr>
        <w:ind w:left="4508" w:hanging="392"/>
      </w:pPr>
      <w:rPr>
        <w:rFonts w:hint="default"/>
      </w:rPr>
    </w:lvl>
    <w:lvl w:ilvl="4">
      <w:start w:val="0"/>
      <w:numFmt w:val="bullet"/>
      <w:lvlText w:val="•"/>
      <w:lvlJc w:val="left"/>
      <w:pPr>
        <w:ind w:left="5604" w:hanging="392"/>
      </w:pPr>
      <w:rPr>
        <w:rFonts w:hint="default"/>
      </w:rPr>
    </w:lvl>
    <w:lvl w:ilvl="5">
      <w:start w:val="0"/>
      <w:numFmt w:val="bullet"/>
      <w:lvlText w:val="•"/>
      <w:lvlJc w:val="left"/>
      <w:pPr>
        <w:ind w:left="6700" w:hanging="392"/>
      </w:pPr>
      <w:rPr>
        <w:rFonts w:hint="default"/>
      </w:rPr>
    </w:lvl>
    <w:lvl w:ilvl="6">
      <w:start w:val="0"/>
      <w:numFmt w:val="bullet"/>
      <w:lvlText w:val="•"/>
      <w:lvlJc w:val="left"/>
      <w:pPr>
        <w:ind w:left="7796" w:hanging="392"/>
      </w:pPr>
      <w:rPr>
        <w:rFonts w:hint="default"/>
      </w:rPr>
    </w:lvl>
    <w:lvl w:ilvl="7">
      <w:start w:val="0"/>
      <w:numFmt w:val="bullet"/>
      <w:lvlText w:val="•"/>
      <w:lvlJc w:val="left"/>
      <w:pPr>
        <w:ind w:left="8892" w:hanging="392"/>
      </w:pPr>
      <w:rPr>
        <w:rFonts w:hint="default"/>
      </w:rPr>
    </w:lvl>
    <w:lvl w:ilvl="8">
      <w:start w:val="0"/>
      <w:numFmt w:val="bullet"/>
      <w:lvlText w:val="•"/>
      <w:lvlJc w:val="left"/>
      <w:pPr>
        <w:ind w:left="9988" w:hanging="392"/>
      </w:pPr>
      <w:rPr>
        <w:rFonts w:hint="default"/>
      </w:rPr>
    </w:lvl>
  </w:abstractNum>
  <w:abstractNum w:abstractNumId="43">
    <w:multiLevelType w:val="hybridMultilevel"/>
    <w:lvl w:ilvl="0">
      <w:start w:val="0"/>
      <w:numFmt w:val="bullet"/>
      <w:lvlText w:val="-"/>
      <w:lvlJc w:val="left"/>
      <w:pPr>
        <w:ind w:left="1228" w:hanging="752"/>
      </w:pPr>
      <w:rPr>
        <w:rFonts w:hint="default" w:ascii="Times New Roman" w:hAnsi="Times New Roman" w:eastAsia="Times New Roman" w:cs="Times New Roman"/>
        <w:w w:val="99"/>
        <w:sz w:val="38"/>
        <w:szCs w:val="38"/>
      </w:rPr>
    </w:lvl>
    <w:lvl w:ilvl="1">
      <w:start w:val="0"/>
      <w:numFmt w:val="bullet"/>
      <w:lvlText w:val="o"/>
      <w:lvlJc w:val="left"/>
      <w:pPr>
        <w:ind w:left="1197" w:hanging="360"/>
      </w:pPr>
      <w:rPr>
        <w:rFonts w:hint="default" w:ascii="Courier New" w:hAnsi="Courier New" w:eastAsia="Courier New" w:cs="Courier New"/>
        <w:w w:val="99"/>
        <w:sz w:val="38"/>
        <w:szCs w:val="38"/>
      </w:rPr>
    </w:lvl>
    <w:lvl w:ilvl="2">
      <w:start w:val="0"/>
      <w:numFmt w:val="bullet"/>
      <w:lvlText w:val="•"/>
      <w:lvlJc w:val="left"/>
      <w:pPr>
        <w:ind w:left="2437" w:hanging="360"/>
      </w:pPr>
      <w:rPr>
        <w:rFonts w:hint="default"/>
      </w:rPr>
    </w:lvl>
    <w:lvl w:ilvl="3">
      <w:start w:val="0"/>
      <w:numFmt w:val="bullet"/>
      <w:lvlText w:val="•"/>
      <w:lvlJc w:val="left"/>
      <w:pPr>
        <w:ind w:left="3655" w:hanging="360"/>
      </w:pPr>
      <w:rPr>
        <w:rFonts w:hint="default"/>
      </w:rPr>
    </w:lvl>
    <w:lvl w:ilvl="4">
      <w:start w:val="0"/>
      <w:numFmt w:val="bullet"/>
      <w:lvlText w:val="•"/>
      <w:lvlJc w:val="left"/>
      <w:pPr>
        <w:ind w:left="4873" w:hanging="360"/>
      </w:pPr>
      <w:rPr>
        <w:rFonts w:hint="default"/>
      </w:rPr>
    </w:lvl>
    <w:lvl w:ilvl="5">
      <w:start w:val="0"/>
      <w:numFmt w:val="bullet"/>
      <w:lvlText w:val="•"/>
      <w:lvlJc w:val="left"/>
      <w:pPr>
        <w:ind w:left="6091" w:hanging="360"/>
      </w:pPr>
      <w:rPr>
        <w:rFonts w:hint="default"/>
      </w:rPr>
    </w:lvl>
    <w:lvl w:ilvl="6">
      <w:start w:val="0"/>
      <w:numFmt w:val="bullet"/>
      <w:lvlText w:val="•"/>
      <w:lvlJc w:val="left"/>
      <w:pPr>
        <w:ind w:left="7309" w:hanging="360"/>
      </w:pPr>
      <w:rPr>
        <w:rFonts w:hint="default"/>
      </w:rPr>
    </w:lvl>
    <w:lvl w:ilvl="7">
      <w:start w:val="0"/>
      <w:numFmt w:val="bullet"/>
      <w:lvlText w:val="•"/>
      <w:lvlJc w:val="left"/>
      <w:pPr>
        <w:ind w:left="8527" w:hanging="360"/>
      </w:pPr>
      <w:rPr>
        <w:rFonts w:hint="default"/>
      </w:rPr>
    </w:lvl>
    <w:lvl w:ilvl="8">
      <w:start w:val="0"/>
      <w:numFmt w:val="bullet"/>
      <w:lvlText w:val="•"/>
      <w:lvlJc w:val="left"/>
      <w:pPr>
        <w:ind w:left="9745" w:hanging="360"/>
      </w:pPr>
      <w:rPr>
        <w:rFonts w:hint="default"/>
      </w:rPr>
    </w:lvl>
  </w:abstractNum>
  <w:abstractNum w:abstractNumId="42">
    <w:multiLevelType w:val="hybridMultilevel"/>
    <w:lvl w:ilvl="0">
      <w:start w:val="0"/>
      <w:numFmt w:val="bullet"/>
      <w:lvlText w:val="-"/>
      <w:lvlJc w:val="left"/>
      <w:pPr>
        <w:ind w:left="1197" w:hanging="360"/>
      </w:pPr>
      <w:rPr>
        <w:rFonts w:hint="default" w:ascii="Times New Roman" w:hAnsi="Times New Roman" w:eastAsia="Times New Roman" w:cs="Times New Roman"/>
        <w:w w:val="99"/>
        <w:sz w:val="38"/>
        <w:szCs w:val="38"/>
      </w:rPr>
    </w:lvl>
    <w:lvl w:ilvl="1">
      <w:start w:val="0"/>
      <w:numFmt w:val="bullet"/>
      <w:lvlText w:val="•"/>
      <w:lvlJc w:val="left"/>
      <w:pPr>
        <w:ind w:left="2298" w:hanging="360"/>
      </w:pPr>
      <w:rPr>
        <w:rFonts w:hint="default"/>
      </w:rPr>
    </w:lvl>
    <w:lvl w:ilvl="2">
      <w:start w:val="0"/>
      <w:numFmt w:val="bullet"/>
      <w:lvlText w:val="•"/>
      <w:lvlJc w:val="left"/>
      <w:pPr>
        <w:ind w:left="3396" w:hanging="360"/>
      </w:pPr>
      <w:rPr>
        <w:rFonts w:hint="default"/>
      </w:rPr>
    </w:lvl>
    <w:lvl w:ilvl="3">
      <w:start w:val="0"/>
      <w:numFmt w:val="bullet"/>
      <w:lvlText w:val="•"/>
      <w:lvlJc w:val="left"/>
      <w:pPr>
        <w:ind w:left="4494" w:hanging="360"/>
      </w:pPr>
      <w:rPr>
        <w:rFonts w:hint="default"/>
      </w:rPr>
    </w:lvl>
    <w:lvl w:ilvl="4">
      <w:start w:val="0"/>
      <w:numFmt w:val="bullet"/>
      <w:lvlText w:val="•"/>
      <w:lvlJc w:val="left"/>
      <w:pPr>
        <w:ind w:left="5592" w:hanging="360"/>
      </w:pPr>
      <w:rPr>
        <w:rFonts w:hint="default"/>
      </w:rPr>
    </w:lvl>
    <w:lvl w:ilvl="5">
      <w:start w:val="0"/>
      <w:numFmt w:val="bullet"/>
      <w:lvlText w:val="•"/>
      <w:lvlJc w:val="left"/>
      <w:pPr>
        <w:ind w:left="6690" w:hanging="360"/>
      </w:pPr>
      <w:rPr>
        <w:rFonts w:hint="default"/>
      </w:rPr>
    </w:lvl>
    <w:lvl w:ilvl="6">
      <w:start w:val="0"/>
      <w:numFmt w:val="bullet"/>
      <w:lvlText w:val="•"/>
      <w:lvlJc w:val="left"/>
      <w:pPr>
        <w:ind w:left="7788" w:hanging="360"/>
      </w:pPr>
      <w:rPr>
        <w:rFonts w:hint="default"/>
      </w:rPr>
    </w:lvl>
    <w:lvl w:ilvl="7">
      <w:start w:val="0"/>
      <w:numFmt w:val="bullet"/>
      <w:lvlText w:val="•"/>
      <w:lvlJc w:val="left"/>
      <w:pPr>
        <w:ind w:left="8886" w:hanging="360"/>
      </w:pPr>
      <w:rPr>
        <w:rFonts w:hint="default"/>
      </w:rPr>
    </w:lvl>
    <w:lvl w:ilvl="8">
      <w:start w:val="0"/>
      <w:numFmt w:val="bullet"/>
      <w:lvlText w:val="•"/>
      <w:lvlJc w:val="left"/>
      <w:pPr>
        <w:ind w:left="9984" w:hanging="360"/>
      </w:pPr>
      <w:rPr>
        <w:rFonts w:hint="default"/>
      </w:rPr>
    </w:lvl>
  </w:abstractNum>
  <w:abstractNum w:abstractNumId="41">
    <w:multiLevelType w:val="hybridMultilevel"/>
    <w:lvl w:ilvl="0">
      <w:start w:val="1"/>
      <w:numFmt w:val="decimal"/>
      <w:lvlText w:val="%1)"/>
      <w:lvlJc w:val="left"/>
      <w:pPr>
        <w:ind w:left="860" w:hanging="384"/>
        <w:jc w:val="left"/>
      </w:pPr>
      <w:rPr>
        <w:rFonts w:hint="default" w:ascii="Garamond" w:hAnsi="Garamond" w:eastAsia="Garamond" w:cs="Garamond"/>
        <w:w w:val="99"/>
        <w:sz w:val="38"/>
        <w:szCs w:val="38"/>
      </w:rPr>
    </w:lvl>
    <w:lvl w:ilvl="1">
      <w:start w:val="0"/>
      <w:numFmt w:val="bullet"/>
      <w:lvlText w:val="•"/>
      <w:lvlJc w:val="left"/>
      <w:pPr>
        <w:ind w:left="1992" w:hanging="384"/>
      </w:pPr>
      <w:rPr>
        <w:rFonts w:hint="default"/>
      </w:rPr>
    </w:lvl>
    <w:lvl w:ilvl="2">
      <w:start w:val="0"/>
      <w:numFmt w:val="bullet"/>
      <w:lvlText w:val="•"/>
      <w:lvlJc w:val="left"/>
      <w:pPr>
        <w:ind w:left="3124" w:hanging="384"/>
      </w:pPr>
      <w:rPr>
        <w:rFonts w:hint="default"/>
      </w:rPr>
    </w:lvl>
    <w:lvl w:ilvl="3">
      <w:start w:val="0"/>
      <w:numFmt w:val="bullet"/>
      <w:lvlText w:val="•"/>
      <w:lvlJc w:val="left"/>
      <w:pPr>
        <w:ind w:left="4256" w:hanging="384"/>
      </w:pPr>
      <w:rPr>
        <w:rFonts w:hint="default"/>
      </w:rPr>
    </w:lvl>
    <w:lvl w:ilvl="4">
      <w:start w:val="0"/>
      <w:numFmt w:val="bullet"/>
      <w:lvlText w:val="•"/>
      <w:lvlJc w:val="left"/>
      <w:pPr>
        <w:ind w:left="5388" w:hanging="384"/>
      </w:pPr>
      <w:rPr>
        <w:rFonts w:hint="default"/>
      </w:rPr>
    </w:lvl>
    <w:lvl w:ilvl="5">
      <w:start w:val="0"/>
      <w:numFmt w:val="bullet"/>
      <w:lvlText w:val="•"/>
      <w:lvlJc w:val="left"/>
      <w:pPr>
        <w:ind w:left="6520" w:hanging="384"/>
      </w:pPr>
      <w:rPr>
        <w:rFonts w:hint="default"/>
      </w:rPr>
    </w:lvl>
    <w:lvl w:ilvl="6">
      <w:start w:val="0"/>
      <w:numFmt w:val="bullet"/>
      <w:lvlText w:val="•"/>
      <w:lvlJc w:val="left"/>
      <w:pPr>
        <w:ind w:left="7652" w:hanging="384"/>
      </w:pPr>
      <w:rPr>
        <w:rFonts w:hint="default"/>
      </w:rPr>
    </w:lvl>
    <w:lvl w:ilvl="7">
      <w:start w:val="0"/>
      <w:numFmt w:val="bullet"/>
      <w:lvlText w:val="•"/>
      <w:lvlJc w:val="left"/>
      <w:pPr>
        <w:ind w:left="8784" w:hanging="384"/>
      </w:pPr>
      <w:rPr>
        <w:rFonts w:hint="default"/>
      </w:rPr>
    </w:lvl>
    <w:lvl w:ilvl="8">
      <w:start w:val="0"/>
      <w:numFmt w:val="bullet"/>
      <w:lvlText w:val="•"/>
      <w:lvlJc w:val="left"/>
      <w:pPr>
        <w:ind w:left="9916" w:hanging="384"/>
      </w:pPr>
      <w:rPr>
        <w:rFonts w:hint="default"/>
      </w:rPr>
    </w:lvl>
  </w:abstractNum>
  <w:abstractNum w:abstractNumId="40">
    <w:multiLevelType w:val="hybridMultilevel"/>
    <w:lvl w:ilvl="0">
      <w:start w:val="0"/>
      <w:numFmt w:val="bullet"/>
      <w:lvlText w:val="-"/>
      <w:lvlJc w:val="left"/>
      <w:pPr>
        <w:ind w:left="477" w:hanging="214"/>
      </w:pPr>
      <w:rPr>
        <w:rFonts w:hint="default" w:ascii="Garamond" w:hAnsi="Garamond" w:eastAsia="Garamond" w:cs="Garamond"/>
        <w:w w:val="99"/>
        <w:sz w:val="38"/>
        <w:szCs w:val="38"/>
      </w:rPr>
    </w:lvl>
    <w:lvl w:ilvl="1">
      <w:start w:val="0"/>
      <w:numFmt w:val="bullet"/>
      <w:lvlText w:val=""/>
      <w:lvlJc w:val="left"/>
      <w:pPr>
        <w:ind w:left="1197" w:hanging="360"/>
      </w:pPr>
      <w:rPr>
        <w:rFonts w:hint="default"/>
        <w:w w:val="99"/>
      </w:rPr>
    </w:lvl>
    <w:lvl w:ilvl="2">
      <w:start w:val="0"/>
      <w:numFmt w:val="bullet"/>
      <w:lvlText w:val="•"/>
      <w:lvlJc w:val="left"/>
      <w:pPr>
        <w:ind w:left="2420" w:hanging="360"/>
      </w:pPr>
      <w:rPr>
        <w:rFonts w:hint="default"/>
      </w:rPr>
    </w:lvl>
    <w:lvl w:ilvl="3">
      <w:start w:val="0"/>
      <w:numFmt w:val="bullet"/>
      <w:lvlText w:val="•"/>
      <w:lvlJc w:val="left"/>
      <w:pPr>
        <w:ind w:left="3640" w:hanging="360"/>
      </w:pPr>
      <w:rPr>
        <w:rFonts w:hint="default"/>
      </w:rPr>
    </w:lvl>
    <w:lvl w:ilvl="4">
      <w:start w:val="0"/>
      <w:numFmt w:val="bullet"/>
      <w:lvlText w:val="•"/>
      <w:lvlJc w:val="left"/>
      <w:pPr>
        <w:ind w:left="4860" w:hanging="360"/>
      </w:pPr>
      <w:rPr>
        <w:rFonts w:hint="default"/>
      </w:rPr>
    </w:lvl>
    <w:lvl w:ilvl="5">
      <w:start w:val="0"/>
      <w:numFmt w:val="bullet"/>
      <w:lvlText w:val="•"/>
      <w:lvlJc w:val="left"/>
      <w:pPr>
        <w:ind w:left="6080" w:hanging="360"/>
      </w:pPr>
      <w:rPr>
        <w:rFonts w:hint="default"/>
      </w:rPr>
    </w:lvl>
    <w:lvl w:ilvl="6">
      <w:start w:val="0"/>
      <w:numFmt w:val="bullet"/>
      <w:lvlText w:val="•"/>
      <w:lvlJc w:val="left"/>
      <w:pPr>
        <w:ind w:left="7300" w:hanging="360"/>
      </w:pPr>
      <w:rPr>
        <w:rFonts w:hint="default"/>
      </w:rPr>
    </w:lvl>
    <w:lvl w:ilvl="7">
      <w:start w:val="0"/>
      <w:numFmt w:val="bullet"/>
      <w:lvlText w:val="•"/>
      <w:lvlJc w:val="left"/>
      <w:pPr>
        <w:ind w:left="8520" w:hanging="360"/>
      </w:pPr>
      <w:rPr>
        <w:rFonts w:hint="default"/>
      </w:rPr>
    </w:lvl>
    <w:lvl w:ilvl="8">
      <w:start w:val="0"/>
      <w:numFmt w:val="bullet"/>
      <w:lvlText w:val="•"/>
      <w:lvlJc w:val="left"/>
      <w:pPr>
        <w:ind w:left="9740" w:hanging="360"/>
      </w:pPr>
      <w:rPr>
        <w:rFonts w:hint="default"/>
      </w:rPr>
    </w:lvl>
  </w:abstractNum>
  <w:abstractNum w:abstractNumId="39">
    <w:multiLevelType w:val="hybridMultilevel"/>
    <w:lvl w:ilvl="0">
      <w:start w:val="0"/>
      <w:numFmt w:val="bullet"/>
      <w:lvlText w:val=""/>
      <w:lvlJc w:val="left"/>
      <w:pPr>
        <w:ind w:left="477" w:hanging="361"/>
      </w:pPr>
      <w:rPr>
        <w:rFonts w:hint="default"/>
        <w:w w:val="99"/>
      </w:rPr>
    </w:lvl>
    <w:lvl w:ilvl="1">
      <w:start w:val="0"/>
      <w:numFmt w:val="bullet"/>
      <w:lvlText w:val=""/>
      <w:lvlJc w:val="left"/>
      <w:pPr>
        <w:ind w:left="477" w:hanging="720"/>
      </w:pPr>
      <w:rPr>
        <w:rFonts w:hint="default" w:ascii="Symbol" w:hAnsi="Symbol" w:eastAsia="Symbol" w:cs="Symbol"/>
        <w:w w:val="99"/>
        <w:sz w:val="20"/>
        <w:szCs w:val="20"/>
      </w:rPr>
    </w:lvl>
    <w:lvl w:ilvl="2">
      <w:start w:val="0"/>
      <w:numFmt w:val="bullet"/>
      <w:lvlText w:val=""/>
      <w:lvlJc w:val="left"/>
      <w:pPr>
        <w:ind w:left="1197" w:hanging="360"/>
      </w:pPr>
      <w:rPr>
        <w:rFonts w:hint="default" w:ascii="Symbol" w:hAnsi="Symbol" w:eastAsia="Symbol" w:cs="Symbol"/>
        <w:w w:val="99"/>
        <w:sz w:val="38"/>
        <w:szCs w:val="38"/>
      </w:rPr>
    </w:lvl>
    <w:lvl w:ilvl="3">
      <w:start w:val="0"/>
      <w:numFmt w:val="bullet"/>
      <w:lvlText w:val="•"/>
      <w:lvlJc w:val="left"/>
      <w:pPr>
        <w:ind w:left="3640" w:hanging="360"/>
      </w:pPr>
      <w:rPr>
        <w:rFonts w:hint="default"/>
      </w:rPr>
    </w:lvl>
    <w:lvl w:ilvl="4">
      <w:start w:val="0"/>
      <w:numFmt w:val="bullet"/>
      <w:lvlText w:val="•"/>
      <w:lvlJc w:val="left"/>
      <w:pPr>
        <w:ind w:left="4860" w:hanging="360"/>
      </w:pPr>
      <w:rPr>
        <w:rFonts w:hint="default"/>
      </w:rPr>
    </w:lvl>
    <w:lvl w:ilvl="5">
      <w:start w:val="0"/>
      <w:numFmt w:val="bullet"/>
      <w:lvlText w:val="•"/>
      <w:lvlJc w:val="left"/>
      <w:pPr>
        <w:ind w:left="6080" w:hanging="360"/>
      </w:pPr>
      <w:rPr>
        <w:rFonts w:hint="default"/>
      </w:rPr>
    </w:lvl>
    <w:lvl w:ilvl="6">
      <w:start w:val="0"/>
      <w:numFmt w:val="bullet"/>
      <w:lvlText w:val="•"/>
      <w:lvlJc w:val="left"/>
      <w:pPr>
        <w:ind w:left="7300" w:hanging="360"/>
      </w:pPr>
      <w:rPr>
        <w:rFonts w:hint="default"/>
      </w:rPr>
    </w:lvl>
    <w:lvl w:ilvl="7">
      <w:start w:val="0"/>
      <w:numFmt w:val="bullet"/>
      <w:lvlText w:val="•"/>
      <w:lvlJc w:val="left"/>
      <w:pPr>
        <w:ind w:left="8520" w:hanging="360"/>
      </w:pPr>
      <w:rPr>
        <w:rFonts w:hint="default"/>
      </w:rPr>
    </w:lvl>
    <w:lvl w:ilvl="8">
      <w:start w:val="0"/>
      <w:numFmt w:val="bullet"/>
      <w:lvlText w:val="•"/>
      <w:lvlJc w:val="left"/>
      <w:pPr>
        <w:ind w:left="9740" w:hanging="360"/>
      </w:pPr>
      <w:rPr>
        <w:rFonts w:hint="default"/>
      </w:rPr>
    </w:lvl>
  </w:abstractNum>
  <w:abstractNum w:abstractNumId="38">
    <w:multiLevelType w:val="hybridMultilevel"/>
    <w:lvl w:ilvl="0">
      <w:start w:val="0"/>
      <w:numFmt w:val="bullet"/>
      <w:lvlText w:val=""/>
      <w:lvlJc w:val="left"/>
      <w:pPr>
        <w:ind w:left="1197" w:hanging="360"/>
      </w:pPr>
      <w:rPr>
        <w:rFonts w:hint="default" w:ascii="Symbol" w:hAnsi="Symbol" w:eastAsia="Symbol" w:cs="Symbol"/>
        <w:w w:val="99"/>
        <w:sz w:val="38"/>
        <w:szCs w:val="38"/>
      </w:rPr>
    </w:lvl>
    <w:lvl w:ilvl="1">
      <w:start w:val="0"/>
      <w:numFmt w:val="bullet"/>
      <w:lvlText w:val="•"/>
      <w:lvlJc w:val="left"/>
      <w:pPr>
        <w:ind w:left="2298" w:hanging="360"/>
      </w:pPr>
      <w:rPr>
        <w:rFonts w:hint="default"/>
      </w:rPr>
    </w:lvl>
    <w:lvl w:ilvl="2">
      <w:start w:val="0"/>
      <w:numFmt w:val="bullet"/>
      <w:lvlText w:val="•"/>
      <w:lvlJc w:val="left"/>
      <w:pPr>
        <w:ind w:left="3396" w:hanging="360"/>
      </w:pPr>
      <w:rPr>
        <w:rFonts w:hint="default"/>
      </w:rPr>
    </w:lvl>
    <w:lvl w:ilvl="3">
      <w:start w:val="0"/>
      <w:numFmt w:val="bullet"/>
      <w:lvlText w:val="•"/>
      <w:lvlJc w:val="left"/>
      <w:pPr>
        <w:ind w:left="4494" w:hanging="360"/>
      </w:pPr>
      <w:rPr>
        <w:rFonts w:hint="default"/>
      </w:rPr>
    </w:lvl>
    <w:lvl w:ilvl="4">
      <w:start w:val="0"/>
      <w:numFmt w:val="bullet"/>
      <w:lvlText w:val="•"/>
      <w:lvlJc w:val="left"/>
      <w:pPr>
        <w:ind w:left="5592" w:hanging="360"/>
      </w:pPr>
      <w:rPr>
        <w:rFonts w:hint="default"/>
      </w:rPr>
    </w:lvl>
    <w:lvl w:ilvl="5">
      <w:start w:val="0"/>
      <w:numFmt w:val="bullet"/>
      <w:lvlText w:val="•"/>
      <w:lvlJc w:val="left"/>
      <w:pPr>
        <w:ind w:left="6690" w:hanging="360"/>
      </w:pPr>
      <w:rPr>
        <w:rFonts w:hint="default"/>
      </w:rPr>
    </w:lvl>
    <w:lvl w:ilvl="6">
      <w:start w:val="0"/>
      <w:numFmt w:val="bullet"/>
      <w:lvlText w:val="•"/>
      <w:lvlJc w:val="left"/>
      <w:pPr>
        <w:ind w:left="7788" w:hanging="360"/>
      </w:pPr>
      <w:rPr>
        <w:rFonts w:hint="default"/>
      </w:rPr>
    </w:lvl>
    <w:lvl w:ilvl="7">
      <w:start w:val="0"/>
      <w:numFmt w:val="bullet"/>
      <w:lvlText w:val="•"/>
      <w:lvlJc w:val="left"/>
      <w:pPr>
        <w:ind w:left="8886" w:hanging="360"/>
      </w:pPr>
      <w:rPr>
        <w:rFonts w:hint="default"/>
      </w:rPr>
    </w:lvl>
    <w:lvl w:ilvl="8">
      <w:start w:val="0"/>
      <w:numFmt w:val="bullet"/>
      <w:lvlText w:val="•"/>
      <w:lvlJc w:val="left"/>
      <w:pPr>
        <w:ind w:left="9984" w:hanging="360"/>
      </w:pPr>
      <w:rPr>
        <w:rFonts w:hint="default"/>
      </w:rPr>
    </w:lvl>
  </w:abstractNum>
  <w:abstractNum w:abstractNumId="37">
    <w:multiLevelType w:val="hybridMultilevel"/>
    <w:lvl w:ilvl="0">
      <w:start w:val="3"/>
      <w:numFmt w:val="decimal"/>
      <w:lvlText w:val="%1"/>
      <w:lvlJc w:val="left"/>
      <w:pPr>
        <w:ind w:left="1045" w:hanging="568"/>
        <w:jc w:val="left"/>
      </w:pPr>
      <w:rPr>
        <w:rFonts w:hint="default"/>
      </w:rPr>
    </w:lvl>
    <w:lvl w:ilvl="1">
      <w:start w:val="5"/>
      <w:numFmt w:val="decimal"/>
      <w:lvlText w:val="%1-%2"/>
      <w:lvlJc w:val="left"/>
      <w:pPr>
        <w:ind w:left="1045" w:hanging="568"/>
        <w:jc w:val="left"/>
      </w:pPr>
      <w:rPr>
        <w:rFonts w:hint="default" w:ascii="Garamond" w:hAnsi="Garamond" w:eastAsia="Garamond" w:cs="Garamond"/>
        <w:spacing w:val="-1"/>
        <w:w w:val="99"/>
        <w:sz w:val="38"/>
        <w:szCs w:val="38"/>
      </w:rPr>
    </w:lvl>
    <w:lvl w:ilvl="2">
      <w:start w:val="1"/>
      <w:numFmt w:val="lowerLetter"/>
      <w:lvlText w:val="%3)"/>
      <w:lvlJc w:val="left"/>
      <w:pPr>
        <w:ind w:left="1556" w:hanging="359"/>
        <w:jc w:val="left"/>
      </w:pPr>
      <w:rPr>
        <w:rFonts w:hint="default" w:ascii="Garamond" w:hAnsi="Garamond" w:eastAsia="Garamond" w:cs="Garamond"/>
        <w:spacing w:val="-1"/>
        <w:w w:val="99"/>
        <w:sz w:val="38"/>
        <w:szCs w:val="38"/>
      </w:rPr>
    </w:lvl>
    <w:lvl w:ilvl="3">
      <w:start w:val="0"/>
      <w:numFmt w:val="bullet"/>
      <w:lvlText w:val="•"/>
      <w:lvlJc w:val="left"/>
      <w:pPr>
        <w:ind w:left="3920" w:hanging="359"/>
      </w:pPr>
      <w:rPr>
        <w:rFonts w:hint="default"/>
      </w:rPr>
    </w:lvl>
    <w:lvl w:ilvl="4">
      <w:start w:val="0"/>
      <w:numFmt w:val="bullet"/>
      <w:lvlText w:val="•"/>
      <w:lvlJc w:val="left"/>
      <w:pPr>
        <w:ind w:left="5100" w:hanging="359"/>
      </w:pPr>
      <w:rPr>
        <w:rFonts w:hint="default"/>
      </w:rPr>
    </w:lvl>
    <w:lvl w:ilvl="5">
      <w:start w:val="0"/>
      <w:numFmt w:val="bullet"/>
      <w:lvlText w:val="•"/>
      <w:lvlJc w:val="left"/>
      <w:pPr>
        <w:ind w:left="6280" w:hanging="359"/>
      </w:pPr>
      <w:rPr>
        <w:rFonts w:hint="default"/>
      </w:rPr>
    </w:lvl>
    <w:lvl w:ilvl="6">
      <w:start w:val="0"/>
      <w:numFmt w:val="bullet"/>
      <w:lvlText w:val="•"/>
      <w:lvlJc w:val="left"/>
      <w:pPr>
        <w:ind w:left="7460" w:hanging="359"/>
      </w:pPr>
      <w:rPr>
        <w:rFonts w:hint="default"/>
      </w:rPr>
    </w:lvl>
    <w:lvl w:ilvl="7">
      <w:start w:val="0"/>
      <w:numFmt w:val="bullet"/>
      <w:lvlText w:val="•"/>
      <w:lvlJc w:val="left"/>
      <w:pPr>
        <w:ind w:left="8640" w:hanging="359"/>
      </w:pPr>
      <w:rPr>
        <w:rFonts w:hint="default"/>
      </w:rPr>
    </w:lvl>
    <w:lvl w:ilvl="8">
      <w:start w:val="0"/>
      <w:numFmt w:val="bullet"/>
      <w:lvlText w:val="•"/>
      <w:lvlJc w:val="left"/>
      <w:pPr>
        <w:ind w:left="9820" w:hanging="359"/>
      </w:pPr>
      <w:rPr>
        <w:rFonts w:hint="default"/>
      </w:rPr>
    </w:lvl>
  </w:abstractNum>
  <w:abstractNum w:abstractNumId="36">
    <w:multiLevelType w:val="hybridMultilevel"/>
    <w:lvl w:ilvl="0">
      <w:start w:val="0"/>
      <w:numFmt w:val="bullet"/>
      <w:lvlText w:val="-"/>
      <w:lvlJc w:val="left"/>
      <w:pPr>
        <w:ind w:left="1197" w:hanging="360"/>
      </w:pPr>
      <w:rPr>
        <w:rFonts w:hint="default" w:ascii="Times New Roman" w:hAnsi="Times New Roman" w:eastAsia="Times New Roman" w:cs="Times New Roman"/>
        <w:w w:val="99"/>
        <w:sz w:val="38"/>
        <w:szCs w:val="38"/>
      </w:rPr>
    </w:lvl>
    <w:lvl w:ilvl="1">
      <w:start w:val="0"/>
      <w:numFmt w:val="bullet"/>
      <w:lvlText w:val="•"/>
      <w:lvlJc w:val="left"/>
      <w:pPr>
        <w:ind w:left="2298" w:hanging="360"/>
      </w:pPr>
      <w:rPr>
        <w:rFonts w:hint="default"/>
      </w:rPr>
    </w:lvl>
    <w:lvl w:ilvl="2">
      <w:start w:val="0"/>
      <w:numFmt w:val="bullet"/>
      <w:lvlText w:val="•"/>
      <w:lvlJc w:val="left"/>
      <w:pPr>
        <w:ind w:left="3396" w:hanging="360"/>
      </w:pPr>
      <w:rPr>
        <w:rFonts w:hint="default"/>
      </w:rPr>
    </w:lvl>
    <w:lvl w:ilvl="3">
      <w:start w:val="0"/>
      <w:numFmt w:val="bullet"/>
      <w:lvlText w:val="•"/>
      <w:lvlJc w:val="left"/>
      <w:pPr>
        <w:ind w:left="4494" w:hanging="360"/>
      </w:pPr>
      <w:rPr>
        <w:rFonts w:hint="default"/>
      </w:rPr>
    </w:lvl>
    <w:lvl w:ilvl="4">
      <w:start w:val="0"/>
      <w:numFmt w:val="bullet"/>
      <w:lvlText w:val="•"/>
      <w:lvlJc w:val="left"/>
      <w:pPr>
        <w:ind w:left="5592" w:hanging="360"/>
      </w:pPr>
      <w:rPr>
        <w:rFonts w:hint="default"/>
      </w:rPr>
    </w:lvl>
    <w:lvl w:ilvl="5">
      <w:start w:val="0"/>
      <w:numFmt w:val="bullet"/>
      <w:lvlText w:val="•"/>
      <w:lvlJc w:val="left"/>
      <w:pPr>
        <w:ind w:left="6690" w:hanging="360"/>
      </w:pPr>
      <w:rPr>
        <w:rFonts w:hint="default"/>
      </w:rPr>
    </w:lvl>
    <w:lvl w:ilvl="6">
      <w:start w:val="0"/>
      <w:numFmt w:val="bullet"/>
      <w:lvlText w:val="•"/>
      <w:lvlJc w:val="left"/>
      <w:pPr>
        <w:ind w:left="7788" w:hanging="360"/>
      </w:pPr>
      <w:rPr>
        <w:rFonts w:hint="default"/>
      </w:rPr>
    </w:lvl>
    <w:lvl w:ilvl="7">
      <w:start w:val="0"/>
      <w:numFmt w:val="bullet"/>
      <w:lvlText w:val="•"/>
      <w:lvlJc w:val="left"/>
      <w:pPr>
        <w:ind w:left="8886" w:hanging="360"/>
      </w:pPr>
      <w:rPr>
        <w:rFonts w:hint="default"/>
      </w:rPr>
    </w:lvl>
    <w:lvl w:ilvl="8">
      <w:start w:val="0"/>
      <w:numFmt w:val="bullet"/>
      <w:lvlText w:val="•"/>
      <w:lvlJc w:val="left"/>
      <w:pPr>
        <w:ind w:left="9984" w:hanging="360"/>
      </w:pPr>
      <w:rPr>
        <w:rFonts w:hint="default"/>
      </w:rPr>
    </w:lvl>
  </w:abstractNum>
  <w:abstractNum w:abstractNumId="35">
    <w:multiLevelType w:val="hybridMultilevel"/>
    <w:lvl w:ilvl="0">
      <w:start w:val="0"/>
      <w:numFmt w:val="bullet"/>
      <w:lvlText w:val="-"/>
      <w:lvlJc w:val="left"/>
      <w:pPr>
        <w:ind w:left="1197" w:hanging="360"/>
      </w:pPr>
      <w:rPr>
        <w:rFonts w:hint="default" w:ascii="Times New Roman" w:hAnsi="Times New Roman" w:eastAsia="Times New Roman" w:cs="Times New Roman"/>
        <w:w w:val="99"/>
        <w:sz w:val="38"/>
        <w:szCs w:val="38"/>
      </w:rPr>
    </w:lvl>
    <w:lvl w:ilvl="1">
      <w:start w:val="0"/>
      <w:numFmt w:val="bullet"/>
      <w:lvlText w:val="•"/>
      <w:lvlJc w:val="left"/>
      <w:pPr>
        <w:ind w:left="2298" w:hanging="360"/>
      </w:pPr>
      <w:rPr>
        <w:rFonts w:hint="default"/>
      </w:rPr>
    </w:lvl>
    <w:lvl w:ilvl="2">
      <w:start w:val="0"/>
      <w:numFmt w:val="bullet"/>
      <w:lvlText w:val="•"/>
      <w:lvlJc w:val="left"/>
      <w:pPr>
        <w:ind w:left="3396" w:hanging="360"/>
      </w:pPr>
      <w:rPr>
        <w:rFonts w:hint="default"/>
      </w:rPr>
    </w:lvl>
    <w:lvl w:ilvl="3">
      <w:start w:val="0"/>
      <w:numFmt w:val="bullet"/>
      <w:lvlText w:val="•"/>
      <w:lvlJc w:val="left"/>
      <w:pPr>
        <w:ind w:left="4494" w:hanging="360"/>
      </w:pPr>
      <w:rPr>
        <w:rFonts w:hint="default"/>
      </w:rPr>
    </w:lvl>
    <w:lvl w:ilvl="4">
      <w:start w:val="0"/>
      <w:numFmt w:val="bullet"/>
      <w:lvlText w:val="•"/>
      <w:lvlJc w:val="left"/>
      <w:pPr>
        <w:ind w:left="5592" w:hanging="360"/>
      </w:pPr>
      <w:rPr>
        <w:rFonts w:hint="default"/>
      </w:rPr>
    </w:lvl>
    <w:lvl w:ilvl="5">
      <w:start w:val="0"/>
      <w:numFmt w:val="bullet"/>
      <w:lvlText w:val="•"/>
      <w:lvlJc w:val="left"/>
      <w:pPr>
        <w:ind w:left="6690" w:hanging="360"/>
      </w:pPr>
      <w:rPr>
        <w:rFonts w:hint="default"/>
      </w:rPr>
    </w:lvl>
    <w:lvl w:ilvl="6">
      <w:start w:val="0"/>
      <w:numFmt w:val="bullet"/>
      <w:lvlText w:val="•"/>
      <w:lvlJc w:val="left"/>
      <w:pPr>
        <w:ind w:left="7788" w:hanging="360"/>
      </w:pPr>
      <w:rPr>
        <w:rFonts w:hint="default"/>
      </w:rPr>
    </w:lvl>
    <w:lvl w:ilvl="7">
      <w:start w:val="0"/>
      <w:numFmt w:val="bullet"/>
      <w:lvlText w:val="•"/>
      <w:lvlJc w:val="left"/>
      <w:pPr>
        <w:ind w:left="8886" w:hanging="360"/>
      </w:pPr>
      <w:rPr>
        <w:rFonts w:hint="default"/>
      </w:rPr>
    </w:lvl>
    <w:lvl w:ilvl="8">
      <w:start w:val="0"/>
      <w:numFmt w:val="bullet"/>
      <w:lvlText w:val="•"/>
      <w:lvlJc w:val="left"/>
      <w:pPr>
        <w:ind w:left="9984" w:hanging="360"/>
      </w:pPr>
      <w:rPr>
        <w:rFonts w:hint="default"/>
      </w:rPr>
    </w:lvl>
  </w:abstractNum>
  <w:abstractNum w:abstractNumId="34">
    <w:multiLevelType w:val="hybridMultilevel"/>
    <w:lvl w:ilvl="0">
      <w:start w:val="10"/>
      <w:numFmt w:val="decimal"/>
      <w:lvlText w:val="%1"/>
      <w:lvlJc w:val="left"/>
      <w:pPr>
        <w:ind w:left="1400" w:hanging="924"/>
        <w:jc w:val="left"/>
      </w:pPr>
      <w:rPr>
        <w:rFonts w:hint="default"/>
      </w:rPr>
    </w:lvl>
    <w:lvl w:ilvl="1">
      <w:start w:val="20"/>
      <w:numFmt w:val="decimal"/>
      <w:lvlText w:val="%1-%2"/>
      <w:lvlJc w:val="left"/>
      <w:pPr>
        <w:ind w:left="1400" w:hanging="924"/>
        <w:jc w:val="left"/>
      </w:pPr>
      <w:rPr>
        <w:rFonts w:hint="default" w:ascii="Garamond" w:hAnsi="Garamond" w:eastAsia="Garamond" w:cs="Garamond"/>
        <w:spacing w:val="-1"/>
        <w:w w:val="99"/>
        <w:sz w:val="38"/>
        <w:szCs w:val="38"/>
      </w:rPr>
    </w:lvl>
    <w:lvl w:ilvl="2">
      <w:start w:val="0"/>
      <w:numFmt w:val="bullet"/>
      <w:lvlText w:val=""/>
      <w:lvlJc w:val="left"/>
      <w:pPr>
        <w:ind w:left="1197" w:hanging="360"/>
      </w:pPr>
      <w:rPr>
        <w:rFonts w:hint="default" w:ascii="Symbol" w:hAnsi="Symbol" w:eastAsia="Symbol" w:cs="Symbol"/>
        <w:w w:val="99"/>
        <w:sz w:val="38"/>
        <w:szCs w:val="38"/>
      </w:rPr>
    </w:lvl>
    <w:lvl w:ilvl="3">
      <w:start w:val="0"/>
      <w:numFmt w:val="bullet"/>
      <w:lvlText w:val="•"/>
      <w:lvlJc w:val="left"/>
      <w:pPr>
        <w:ind w:left="3795" w:hanging="360"/>
      </w:pPr>
      <w:rPr>
        <w:rFonts w:hint="default"/>
      </w:rPr>
    </w:lvl>
    <w:lvl w:ilvl="4">
      <w:start w:val="0"/>
      <w:numFmt w:val="bullet"/>
      <w:lvlText w:val="•"/>
      <w:lvlJc w:val="left"/>
      <w:pPr>
        <w:ind w:left="4993" w:hanging="360"/>
      </w:pPr>
      <w:rPr>
        <w:rFonts w:hint="default"/>
      </w:rPr>
    </w:lvl>
    <w:lvl w:ilvl="5">
      <w:start w:val="0"/>
      <w:numFmt w:val="bullet"/>
      <w:lvlText w:val="•"/>
      <w:lvlJc w:val="left"/>
      <w:pPr>
        <w:ind w:left="6191" w:hanging="360"/>
      </w:pPr>
      <w:rPr>
        <w:rFonts w:hint="default"/>
      </w:rPr>
    </w:lvl>
    <w:lvl w:ilvl="6">
      <w:start w:val="0"/>
      <w:numFmt w:val="bullet"/>
      <w:lvlText w:val="•"/>
      <w:lvlJc w:val="left"/>
      <w:pPr>
        <w:ind w:left="7389" w:hanging="360"/>
      </w:pPr>
      <w:rPr>
        <w:rFonts w:hint="default"/>
      </w:rPr>
    </w:lvl>
    <w:lvl w:ilvl="7">
      <w:start w:val="0"/>
      <w:numFmt w:val="bullet"/>
      <w:lvlText w:val="•"/>
      <w:lvlJc w:val="left"/>
      <w:pPr>
        <w:ind w:left="8587" w:hanging="360"/>
      </w:pPr>
      <w:rPr>
        <w:rFonts w:hint="default"/>
      </w:rPr>
    </w:lvl>
    <w:lvl w:ilvl="8">
      <w:start w:val="0"/>
      <w:numFmt w:val="bullet"/>
      <w:lvlText w:val="•"/>
      <w:lvlJc w:val="left"/>
      <w:pPr>
        <w:ind w:left="9785" w:hanging="360"/>
      </w:pPr>
      <w:rPr>
        <w:rFonts w:hint="default"/>
      </w:rPr>
    </w:lvl>
  </w:abstractNum>
  <w:abstractNum w:abstractNumId="33">
    <w:multiLevelType w:val="hybridMultilevel"/>
    <w:lvl w:ilvl="0">
      <w:start w:val="0"/>
      <w:numFmt w:val="bullet"/>
      <w:lvlText w:val="-"/>
      <w:lvlJc w:val="left"/>
      <w:pPr>
        <w:ind w:left="1197" w:hanging="360"/>
      </w:pPr>
      <w:rPr>
        <w:rFonts w:hint="default" w:ascii="Times New Roman" w:hAnsi="Times New Roman" w:eastAsia="Times New Roman" w:cs="Times New Roman"/>
        <w:w w:val="99"/>
        <w:sz w:val="38"/>
        <w:szCs w:val="38"/>
      </w:rPr>
    </w:lvl>
    <w:lvl w:ilvl="1">
      <w:start w:val="0"/>
      <w:numFmt w:val="bullet"/>
      <w:lvlText w:val="•"/>
      <w:lvlJc w:val="left"/>
      <w:pPr>
        <w:ind w:left="2298" w:hanging="360"/>
      </w:pPr>
      <w:rPr>
        <w:rFonts w:hint="default"/>
      </w:rPr>
    </w:lvl>
    <w:lvl w:ilvl="2">
      <w:start w:val="0"/>
      <w:numFmt w:val="bullet"/>
      <w:lvlText w:val="•"/>
      <w:lvlJc w:val="left"/>
      <w:pPr>
        <w:ind w:left="3396" w:hanging="360"/>
      </w:pPr>
      <w:rPr>
        <w:rFonts w:hint="default"/>
      </w:rPr>
    </w:lvl>
    <w:lvl w:ilvl="3">
      <w:start w:val="0"/>
      <w:numFmt w:val="bullet"/>
      <w:lvlText w:val="•"/>
      <w:lvlJc w:val="left"/>
      <w:pPr>
        <w:ind w:left="4494" w:hanging="360"/>
      </w:pPr>
      <w:rPr>
        <w:rFonts w:hint="default"/>
      </w:rPr>
    </w:lvl>
    <w:lvl w:ilvl="4">
      <w:start w:val="0"/>
      <w:numFmt w:val="bullet"/>
      <w:lvlText w:val="•"/>
      <w:lvlJc w:val="left"/>
      <w:pPr>
        <w:ind w:left="5592" w:hanging="360"/>
      </w:pPr>
      <w:rPr>
        <w:rFonts w:hint="default"/>
      </w:rPr>
    </w:lvl>
    <w:lvl w:ilvl="5">
      <w:start w:val="0"/>
      <w:numFmt w:val="bullet"/>
      <w:lvlText w:val="•"/>
      <w:lvlJc w:val="left"/>
      <w:pPr>
        <w:ind w:left="6690" w:hanging="360"/>
      </w:pPr>
      <w:rPr>
        <w:rFonts w:hint="default"/>
      </w:rPr>
    </w:lvl>
    <w:lvl w:ilvl="6">
      <w:start w:val="0"/>
      <w:numFmt w:val="bullet"/>
      <w:lvlText w:val="•"/>
      <w:lvlJc w:val="left"/>
      <w:pPr>
        <w:ind w:left="7788" w:hanging="360"/>
      </w:pPr>
      <w:rPr>
        <w:rFonts w:hint="default"/>
      </w:rPr>
    </w:lvl>
    <w:lvl w:ilvl="7">
      <w:start w:val="0"/>
      <w:numFmt w:val="bullet"/>
      <w:lvlText w:val="•"/>
      <w:lvlJc w:val="left"/>
      <w:pPr>
        <w:ind w:left="8886" w:hanging="360"/>
      </w:pPr>
      <w:rPr>
        <w:rFonts w:hint="default"/>
      </w:rPr>
    </w:lvl>
    <w:lvl w:ilvl="8">
      <w:start w:val="0"/>
      <w:numFmt w:val="bullet"/>
      <w:lvlText w:val="•"/>
      <w:lvlJc w:val="left"/>
      <w:pPr>
        <w:ind w:left="9984" w:hanging="360"/>
      </w:pPr>
      <w:rPr>
        <w:rFonts w:hint="default"/>
      </w:rPr>
    </w:lvl>
  </w:abstractNum>
  <w:abstractNum w:abstractNumId="32">
    <w:multiLevelType w:val="hybridMultilevel"/>
    <w:lvl w:ilvl="0">
      <w:start w:val="0"/>
      <w:numFmt w:val="bullet"/>
      <w:lvlText w:val="-"/>
      <w:lvlJc w:val="left"/>
      <w:pPr>
        <w:ind w:left="1178" w:hanging="701"/>
      </w:pPr>
      <w:rPr>
        <w:rFonts w:hint="default" w:ascii="Times New Roman" w:hAnsi="Times New Roman" w:eastAsia="Times New Roman" w:cs="Times New Roman"/>
        <w:w w:val="99"/>
        <w:sz w:val="38"/>
        <w:szCs w:val="38"/>
      </w:rPr>
    </w:lvl>
    <w:lvl w:ilvl="1">
      <w:start w:val="0"/>
      <w:numFmt w:val="bullet"/>
      <w:lvlText w:val="-"/>
      <w:lvlJc w:val="left"/>
      <w:pPr>
        <w:ind w:left="1192" w:hanging="360"/>
      </w:pPr>
      <w:rPr>
        <w:rFonts w:hint="default" w:ascii="Times New Roman" w:hAnsi="Times New Roman" w:eastAsia="Times New Roman" w:cs="Times New Roman"/>
        <w:w w:val="99"/>
        <w:sz w:val="38"/>
        <w:szCs w:val="38"/>
      </w:rPr>
    </w:lvl>
    <w:lvl w:ilvl="2">
      <w:start w:val="0"/>
      <w:numFmt w:val="bullet"/>
      <w:lvlText w:val="-"/>
      <w:lvlJc w:val="left"/>
      <w:pPr>
        <w:ind w:left="1564" w:hanging="360"/>
      </w:pPr>
      <w:rPr>
        <w:rFonts w:hint="default" w:ascii="Times New Roman" w:hAnsi="Times New Roman" w:eastAsia="Times New Roman" w:cs="Times New Roman"/>
        <w:w w:val="99"/>
        <w:sz w:val="38"/>
        <w:szCs w:val="38"/>
      </w:rPr>
    </w:lvl>
    <w:lvl w:ilvl="3">
      <w:start w:val="0"/>
      <w:numFmt w:val="bullet"/>
      <w:lvlText w:val="•"/>
      <w:lvlJc w:val="left"/>
      <w:pPr>
        <w:ind w:left="2887" w:hanging="360"/>
      </w:pPr>
      <w:rPr>
        <w:rFonts w:hint="default"/>
      </w:rPr>
    </w:lvl>
    <w:lvl w:ilvl="4">
      <w:start w:val="0"/>
      <w:numFmt w:val="bullet"/>
      <w:lvlText w:val="•"/>
      <w:lvlJc w:val="left"/>
      <w:pPr>
        <w:ind w:left="4215" w:hanging="360"/>
      </w:pPr>
      <w:rPr>
        <w:rFonts w:hint="default"/>
      </w:rPr>
    </w:lvl>
    <w:lvl w:ilvl="5">
      <w:start w:val="0"/>
      <w:numFmt w:val="bullet"/>
      <w:lvlText w:val="•"/>
      <w:lvlJc w:val="left"/>
      <w:pPr>
        <w:ind w:left="5542" w:hanging="360"/>
      </w:pPr>
      <w:rPr>
        <w:rFonts w:hint="default"/>
      </w:rPr>
    </w:lvl>
    <w:lvl w:ilvl="6">
      <w:start w:val="0"/>
      <w:numFmt w:val="bullet"/>
      <w:lvlText w:val="•"/>
      <w:lvlJc w:val="left"/>
      <w:pPr>
        <w:ind w:left="6870" w:hanging="360"/>
      </w:pPr>
      <w:rPr>
        <w:rFonts w:hint="default"/>
      </w:rPr>
    </w:lvl>
    <w:lvl w:ilvl="7">
      <w:start w:val="0"/>
      <w:numFmt w:val="bullet"/>
      <w:lvlText w:val="•"/>
      <w:lvlJc w:val="left"/>
      <w:pPr>
        <w:ind w:left="8198" w:hanging="360"/>
      </w:pPr>
      <w:rPr>
        <w:rFonts w:hint="default"/>
      </w:rPr>
    </w:lvl>
    <w:lvl w:ilvl="8">
      <w:start w:val="0"/>
      <w:numFmt w:val="bullet"/>
      <w:lvlText w:val="•"/>
      <w:lvlJc w:val="left"/>
      <w:pPr>
        <w:ind w:left="9525" w:hanging="360"/>
      </w:pPr>
      <w:rPr>
        <w:rFonts w:hint="default"/>
      </w:rPr>
    </w:lvl>
  </w:abstractNum>
  <w:abstractNum w:abstractNumId="31">
    <w:multiLevelType w:val="hybridMultilevel"/>
    <w:lvl w:ilvl="0">
      <w:start w:val="0"/>
      <w:numFmt w:val="bullet"/>
      <w:lvlText w:val="-"/>
      <w:lvlJc w:val="left"/>
      <w:pPr>
        <w:ind w:left="690" w:hanging="214"/>
      </w:pPr>
      <w:rPr>
        <w:rFonts w:hint="default" w:ascii="Garamond" w:hAnsi="Garamond" w:eastAsia="Garamond" w:cs="Garamond"/>
        <w:w w:val="99"/>
        <w:sz w:val="38"/>
        <w:szCs w:val="38"/>
      </w:rPr>
    </w:lvl>
    <w:lvl w:ilvl="1">
      <w:start w:val="0"/>
      <w:numFmt w:val="bullet"/>
      <w:lvlText w:val="•"/>
      <w:lvlJc w:val="left"/>
      <w:pPr>
        <w:ind w:left="1848" w:hanging="214"/>
      </w:pPr>
      <w:rPr>
        <w:rFonts w:hint="default"/>
      </w:rPr>
    </w:lvl>
    <w:lvl w:ilvl="2">
      <w:start w:val="0"/>
      <w:numFmt w:val="bullet"/>
      <w:lvlText w:val="•"/>
      <w:lvlJc w:val="left"/>
      <w:pPr>
        <w:ind w:left="2996" w:hanging="214"/>
      </w:pPr>
      <w:rPr>
        <w:rFonts w:hint="default"/>
      </w:rPr>
    </w:lvl>
    <w:lvl w:ilvl="3">
      <w:start w:val="0"/>
      <w:numFmt w:val="bullet"/>
      <w:lvlText w:val="•"/>
      <w:lvlJc w:val="left"/>
      <w:pPr>
        <w:ind w:left="4144" w:hanging="214"/>
      </w:pPr>
      <w:rPr>
        <w:rFonts w:hint="default"/>
      </w:rPr>
    </w:lvl>
    <w:lvl w:ilvl="4">
      <w:start w:val="0"/>
      <w:numFmt w:val="bullet"/>
      <w:lvlText w:val="•"/>
      <w:lvlJc w:val="left"/>
      <w:pPr>
        <w:ind w:left="5292" w:hanging="214"/>
      </w:pPr>
      <w:rPr>
        <w:rFonts w:hint="default"/>
      </w:rPr>
    </w:lvl>
    <w:lvl w:ilvl="5">
      <w:start w:val="0"/>
      <w:numFmt w:val="bullet"/>
      <w:lvlText w:val="•"/>
      <w:lvlJc w:val="left"/>
      <w:pPr>
        <w:ind w:left="6440" w:hanging="214"/>
      </w:pPr>
      <w:rPr>
        <w:rFonts w:hint="default"/>
      </w:rPr>
    </w:lvl>
    <w:lvl w:ilvl="6">
      <w:start w:val="0"/>
      <w:numFmt w:val="bullet"/>
      <w:lvlText w:val="•"/>
      <w:lvlJc w:val="left"/>
      <w:pPr>
        <w:ind w:left="7588" w:hanging="214"/>
      </w:pPr>
      <w:rPr>
        <w:rFonts w:hint="default"/>
      </w:rPr>
    </w:lvl>
    <w:lvl w:ilvl="7">
      <w:start w:val="0"/>
      <w:numFmt w:val="bullet"/>
      <w:lvlText w:val="•"/>
      <w:lvlJc w:val="left"/>
      <w:pPr>
        <w:ind w:left="8736" w:hanging="214"/>
      </w:pPr>
      <w:rPr>
        <w:rFonts w:hint="default"/>
      </w:rPr>
    </w:lvl>
    <w:lvl w:ilvl="8">
      <w:start w:val="0"/>
      <w:numFmt w:val="bullet"/>
      <w:lvlText w:val="•"/>
      <w:lvlJc w:val="left"/>
      <w:pPr>
        <w:ind w:left="9884" w:hanging="214"/>
      </w:pPr>
      <w:rPr>
        <w:rFonts w:hint="default"/>
      </w:rPr>
    </w:lvl>
  </w:abstractNum>
  <w:abstractNum w:abstractNumId="30">
    <w:multiLevelType w:val="hybridMultilevel"/>
    <w:lvl w:ilvl="0">
      <w:start w:val="0"/>
      <w:numFmt w:val="bullet"/>
      <w:lvlText w:val="-"/>
      <w:lvlJc w:val="left"/>
      <w:pPr>
        <w:ind w:left="1043" w:hanging="360"/>
      </w:pPr>
      <w:rPr>
        <w:rFonts w:hint="default" w:ascii="Times New Roman" w:hAnsi="Times New Roman" w:eastAsia="Times New Roman" w:cs="Times New Roman"/>
        <w:w w:val="99"/>
        <w:sz w:val="38"/>
        <w:szCs w:val="38"/>
      </w:rPr>
    </w:lvl>
    <w:lvl w:ilvl="1">
      <w:start w:val="0"/>
      <w:numFmt w:val="bullet"/>
      <w:lvlText w:val="-"/>
      <w:lvlJc w:val="left"/>
      <w:pPr>
        <w:ind w:left="1185" w:hanging="356"/>
      </w:pPr>
      <w:rPr>
        <w:rFonts w:hint="default" w:ascii="Times New Roman" w:hAnsi="Times New Roman" w:eastAsia="Times New Roman" w:cs="Times New Roman"/>
        <w:w w:val="99"/>
        <w:sz w:val="38"/>
        <w:szCs w:val="38"/>
      </w:rPr>
    </w:lvl>
    <w:lvl w:ilvl="2">
      <w:start w:val="0"/>
      <w:numFmt w:val="bullet"/>
      <w:lvlText w:val="•"/>
      <w:lvlJc w:val="left"/>
      <w:pPr>
        <w:ind w:left="2402" w:hanging="356"/>
      </w:pPr>
      <w:rPr>
        <w:rFonts w:hint="default"/>
      </w:rPr>
    </w:lvl>
    <w:lvl w:ilvl="3">
      <w:start w:val="0"/>
      <w:numFmt w:val="bullet"/>
      <w:lvlText w:val="•"/>
      <w:lvlJc w:val="left"/>
      <w:pPr>
        <w:ind w:left="3624" w:hanging="356"/>
      </w:pPr>
      <w:rPr>
        <w:rFonts w:hint="default"/>
      </w:rPr>
    </w:lvl>
    <w:lvl w:ilvl="4">
      <w:start w:val="0"/>
      <w:numFmt w:val="bullet"/>
      <w:lvlText w:val="•"/>
      <w:lvlJc w:val="left"/>
      <w:pPr>
        <w:ind w:left="4846" w:hanging="356"/>
      </w:pPr>
      <w:rPr>
        <w:rFonts w:hint="default"/>
      </w:rPr>
    </w:lvl>
    <w:lvl w:ilvl="5">
      <w:start w:val="0"/>
      <w:numFmt w:val="bullet"/>
      <w:lvlText w:val="•"/>
      <w:lvlJc w:val="left"/>
      <w:pPr>
        <w:ind w:left="6069" w:hanging="356"/>
      </w:pPr>
      <w:rPr>
        <w:rFonts w:hint="default"/>
      </w:rPr>
    </w:lvl>
    <w:lvl w:ilvl="6">
      <w:start w:val="0"/>
      <w:numFmt w:val="bullet"/>
      <w:lvlText w:val="•"/>
      <w:lvlJc w:val="left"/>
      <w:pPr>
        <w:ind w:left="7291" w:hanging="356"/>
      </w:pPr>
      <w:rPr>
        <w:rFonts w:hint="default"/>
      </w:rPr>
    </w:lvl>
    <w:lvl w:ilvl="7">
      <w:start w:val="0"/>
      <w:numFmt w:val="bullet"/>
      <w:lvlText w:val="•"/>
      <w:lvlJc w:val="left"/>
      <w:pPr>
        <w:ind w:left="8513" w:hanging="356"/>
      </w:pPr>
      <w:rPr>
        <w:rFonts w:hint="default"/>
      </w:rPr>
    </w:lvl>
    <w:lvl w:ilvl="8">
      <w:start w:val="0"/>
      <w:numFmt w:val="bullet"/>
      <w:lvlText w:val="•"/>
      <w:lvlJc w:val="left"/>
      <w:pPr>
        <w:ind w:left="9736" w:hanging="356"/>
      </w:pPr>
      <w:rPr>
        <w:rFonts w:hint="default"/>
      </w:rPr>
    </w:lvl>
  </w:abstractNum>
  <w:abstractNum w:abstractNumId="29">
    <w:multiLevelType w:val="hybridMultilevel"/>
    <w:lvl w:ilvl="0">
      <w:start w:val="1"/>
      <w:numFmt w:val="decimal"/>
      <w:lvlText w:val="%1)"/>
      <w:lvlJc w:val="left"/>
      <w:pPr>
        <w:ind w:left="477" w:hanging="377"/>
        <w:jc w:val="left"/>
      </w:pPr>
      <w:rPr>
        <w:rFonts w:hint="default" w:ascii="Garamond" w:hAnsi="Garamond" w:eastAsia="Garamond" w:cs="Garamond"/>
        <w:b/>
        <w:bCs/>
        <w:w w:val="99"/>
        <w:sz w:val="38"/>
        <w:szCs w:val="38"/>
      </w:rPr>
    </w:lvl>
    <w:lvl w:ilvl="1">
      <w:start w:val="0"/>
      <w:numFmt w:val="bullet"/>
      <w:lvlText w:val="•"/>
      <w:lvlJc w:val="left"/>
      <w:pPr>
        <w:ind w:left="1650" w:hanging="377"/>
      </w:pPr>
      <w:rPr>
        <w:rFonts w:hint="default"/>
      </w:rPr>
    </w:lvl>
    <w:lvl w:ilvl="2">
      <w:start w:val="0"/>
      <w:numFmt w:val="bullet"/>
      <w:lvlText w:val="•"/>
      <w:lvlJc w:val="left"/>
      <w:pPr>
        <w:ind w:left="2820" w:hanging="377"/>
      </w:pPr>
      <w:rPr>
        <w:rFonts w:hint="default"/>
      </w:rPr>
    </w:lvl>
    <w:lvl w:ilvl="3">
      <w:start w:val="0"/>
      <w:numFmt w:val="bullet"/>
      <w:lvlText w:val="•"/>
      <w:lvlJc w:val="left"/>
      <w:pPr>
        <w:ind w:left="3990" w:hanging="377"/>
      </w:pPr>
      <w:rPr>
        <w:rFonts w:hint="default"/>
      </w:rPr>
    </w:lvl>
    <w:lvl w:ilvl="4">
      <w:start w:val="0"/>
      <w:numFmt w:val="bullet"/>
      <w:lvlText w:val="•"/>
      <w:lvlJc w:val="left"/>
      <w:pPr>
        <w:ind w:left="5160" w:hanging="377"/>
      </w:pPr>
      <w:rPr>
        <w:rFonts w:hint="default"/>
      </w:rPr>
    </w:lvl>
    <w:lvl w:ilvl="5">
      <w:start w:val="0"/>
      <w:numFmt w:val="bullet"/>
      <w:lvlText w:val="•"/>
      <w:lvlJc w:val="left"/>
      <w:pPr>
        <w:ind w:left="6330" w:hanging="377"/>
      </w:pPr>
      <w:rPr>
        <w:rFonts w:hint="default"/>
      </w:rPr>
    </w:lvl>
    <w:lvl w:ilvl="6">
      <w:start w:val="0"/>
      <w:numFmt w:val="bullet"/>
      <w:lvlText w:val="•"/>
      <w:lvlJc w:val="left"/>
      <w:pPr>
        <w:ind w:left="7500" w:hanging="377"/>
      </w:pPr>
      <w:rPr>
        <w:rFonts w:hint="default"/>
      </w:rPr>
    </w:lvl>
    <w:lvl w:ilvl="7">
      <w:start w:val="0"/>
      <w:numFmt w:val="bullet"/>
      <w:lvlText w:val="•"/>
      <w:lvlJc w:val="left"/>
      <w:pPr>
        <w:ind w:left="8670" w:hanging="377"/>
      </w:pPr>
      <w:rPr>
        <w:rFonts w:hint="default"/>
      </w:rPr>
    </w:lvl>
    <w:lvl w:ilvl="8">
      <w:start w:val="0"/>
      <w:numFmt w:val="bullet"/>
      <w:lvlText w:val="•"/>
      <w:lvlJc w:val="left"/>
      <w:pPr>
        <w:ind w:left="9840" w:hanging="377"/>
      </w:pPr>
      <w:rPr>
        <w:rFonts w:hint="default"/>
      </w:rPr>
    </w:lvl>
  </w:abstractNum>
  <w:abstractNum w:abstractNumId="27">
    <w:multiLevelType w:val="hybridMultilevel"/>
    <w:lvl w:ilvl="0">
      <w:start w:val="0"/>
      <w:numFmt w:val="bullet"/>
      <w:lvlText w:val="-"/>
      <w:lvlJc w:val="left"/>
      <w:pPr>
        <w:ind w:left="1190" w:hanging="360"/>
      </w:pPr>
      <w:rPr>
        <w:rFonts w:hint="default" w:ascii="Times New Roman" w:hAnsi="Times New Roman" w:eastAsia="Times New Roman" w:cs="Times New Roman"/>
        <w:w w:val="99"/>
        <w:sz w:val="38"/>
        <w:szCs w:val="38"/>
      </w:rPr>
    </w:lvl>
    <w:lvl w:ilvl="1">
      <w:start w:val="0"/>
      <w:numFmt w:val="bullet"/>
      <w:lvlText w:val="•"/>
      <w:lvlJc w:val="left"/>
      <w:pPr>
        <w:ind w:left="2298" w:hanging="360"/>
      </w:pPr>
      <w:rPr>
        <w:rFonts w:hint="default"/>
      </w:rPr>
    </w:lvl>
    <w:lvl w:ilvl="2">
      <w:start w:val="0"/>
      <w:numFmt w:val="bullet"/>
      <w:lvlText w:val="•"/>
      <w:lvlJc w:val="left"/>
      <w:pPr>
        <w:ind w:left="3396" w:hanging="360"/>
      </w:pPr>
      <w:rPr>
        <w:rFonts w:hint="default"/>
      </w:rPr>
    </w:lvl>
    <w:lvl w:ilvl="3">
      <w:start w:val="0"/>
      <w:numFmt w:val="bullet"/>
      <w:lvlText w:val="•"/>
      <w:lvlJc w:val="left"/>
      <w:pPr>
        <w:ind w:left="4494" w:hanging="360"/>
      </w:pPr>
      <w:rPr>
        <w:rFonts w:hint="default"/>
      </w:rPr>
    </w:lvl>
    <w:lvl w:ilvl="4">
      <w:start w:val="0"/>
      <w:numFmt w:val="bullet"/>
      <w:lvlText w:val="•"/>
      <w:lvlJc w:val="left"/>
      <w:pPr>
        <w:ind w:left="5592" w:hanging="360"/>
      </w:pPr>
      <w:rPr>
        <w:rFonts w:hint="default"/>
      </w:rPr>
    </w:lvl>
    <w:lvl w:ilvl="5">
      <w:start w:val="0"/>
      <w:numFmt w:val="bullet"/>
      <w:lvlText w:val="•"/>
      <w:lvlJc w:val="left"/>
      <w:pPr>
        <w:ind w:left="6690" w:hanging="360"/>
      </w:pPr>
      <w:rPr>
        <w:rFonts w:hint="default"/>
      </w:rPr>
    </w:lvl>
    <w:lvl w:ilvl="6">
      <w:start w:val="0"/>
      <w:numFmt w:val="bullet"/>
      <w:lvlText w:val="•"/>
      <w:lvlJc w:val="left"/>
      <w:pPr>
        <w:ind w:left="7788" w:hanging="360"/>
      </w:pPr>
      <w:rPr>
        <w:rFonts w:hint="default"/>
      </w:rPr>
    </w:lvl>
    <w:lvl w:ilvl="7">
      <w:start w:val="0"/>
      <w:numFmt w:val="bullet"/>
      <w:lvlText w:val="•"/>
      <w:lvlJc w:val="left"/>
      <w:pPr>
        <w:ind w:left="8886" w:hanging="360"/>
      </w:pPr>
      <w:rPr>
        <w:rFonts w:hint="default"/>
      </w:rPr>
    </w:lvl>
    <w:lvl w:ilvl="8">
      <w:start w:val="0"/>
      <w:numFmt w:val="bullet"/>
      <w:lvlText w:val="•"/>
      <w:lvlJc w:val="left"/>
      <w:pPr>
        <w:ind w:left="9984" w:hanging="360"/>
      </w:pPr>
      <w:rPr>
        <w:rFonts w:hint="default"/>
      </w:rPr>
    </w:lvl>
  </w:abstractNum>
  <w:abstractNum w:abstractNumId="26">
    <w:multiLevelType w:val="hybridMultilevel"/>
    <w:lvl w:ilvl="0">
      <w:start w:val="0"/>
      <w:numFmt w:val="bullet"/>
      <w:lvlText w:val=""/>
      <w:lvlJc w:val="left"/>
      <w:pPr>
        <w:ind w:left="1185" w:hanging="720"/>
      </w:pPr>
      <w:rPr>
        <w:rFonts w:hint="default" w:ascii="Symbol" w:hAnsi="Symbol" w:eastAsia="Symbol" w:cs="Symbol"/>
        <w:w w:val="99"/>
        <w:sz w:val="20"/>
        <w:szCs w:val="20"/>
      </w:rPr>
    </w:lvl>
    <w:lvl w:ilvl="1">
      <w:start w:val="0"/>
      <w:numFmt w:val="bullet"/>
      <w:lvlText w:val="•"/>
      <w:lvlJc w:val="left"/>
      <w:pPr>
        <w:ind w:left="2280" w:hanging="720"/>
      </w:pPr>
      <w:rPr>
        <w:rFonts w:hint="default"/>
      </w:rPr>
    </w:lvl>
    <w:lvl w:ilvl="2">
      <w:start w:val="0"/>
      <w:numFmt w:val="bullet"/>
      <w:lvlText w:val="•"/>
      <w:lvlJc w:val="left"/>
      <w:pPr>
        <w:ind w:left="3380" w:hanging="720"/>
      </w:pPr>
      <w:rPr>
        <w:rFonts w:hint="default"/>
      </w:rPr>
    </w:lvl>
    <w:lvl w:ilvl="3">
      <w:start w:val="0"/>
      <w:numFmt w:val="bullet"/>
      <w:lvlText w:val="•"/>
      <w:lvlJc w:val="left"/>
      <w:pPr>
        <w:ind w:left="4480" w:hanging="720"/>
      </w:pPr>
      <w:rPr>
        <w:rFonts w:hint="default"/>
      </w:rPr>
    </w:lvl>
    <w:lvl w:ilvl="4">
      <w:start w:val="0"/>
      <w:numFmt w:val="bullet"/>
      <w:lvlText w:val="•"/>
      <w:lvlJc w:val="left"/>
      <w:pPr>
        <w:ind w:left="5580" w:hanging="720"/>
      </w:pPr>
      <w:rPr>
        <w:rFonts w:hint="default"/>
      </w:rPr>
    </w:lvl>
    <w:lvl w:ilvl="5">
      <w:start w:val="0"/>
      <w:numFmt w:val="bullet"/>
      <w:lvlText w:val="•"/>
      <w:lvlJc w:val="left"/>
      <w:pPr>
        <w:ind w:left="6680" w:hanging="720"/>
      </w:pPr>
      <w:rPr>
        <w:rFonts w:hint="default"/>
      </w:rPr>
    </w:lvl>
    <w:lvl w:ilvl="6">
      <w:start w:val="0"/>
      <w:numFmt w:val="bullet"/>
      <w:lvlText w:val="•"/>
      <w:lvlJc w:val="left"/>
      <w:pPr>
        <w:ind w:left="7780" w:hanging="720"/>
      </w:pPr>
      <w:rPr>
        <w:rFonts w:hint="default"/>
      </w:rPr>
    </w:lvl>
    <w:lvl w:ilvl="7">
      <w:start w:val="0"/>
      <w:numFmt w:val="bullet"/>
      <w:lvlText w:val="•"/>
      <w:lvlJc w:val="left"/>
      <w:pPr>
        <w:ind w:left="8880" w:hanging="720"/>
      </w:pPr>
      <w:rPr>
        <w:rFonts w:hint="default"/>
      </w:rPr>
    </w:lvl>
    <w:lvl w:ilvl="8">
      <w:start w:val="0"/>
      <w:numFmt w:val="bullet"/>
      <w:lvlText w:val="•"/>
      <w:lvlJc w:val="left"/>
      <w:pPr>
        <w:ind w:left="9980" w:hanging="720"/>
      </w:pPr>
      <w:rPr>
        <w:rFonts w:hint="default"/>
      </w:rPr>
    </w:lvl>
  </w:abstractNum>
  <w:abstractNum w:abstractNumId="25">
    <w:multiLevelType w:val="hybridMultilevel"/>
    <w:lvl w:ilvl="0">
      <w:start w:val="0"/>
      <w:numFmt w:val="bullet"/>
      <w:lvlText w:val="-"/>
      <w:lvlJc w:val="left"/>
      <w:pPr>
        <w:ind w:left="1048" w:hanging="720"/>
      </w:pPr>
      <w:rPr>
        <w:rFonts w:hint="default" w:ascii="Times New Roman" w:hAnsi="Times New Roman" w:eastAsia="Times New Roman" w:cs="Times New Roman"/>
        <w:w w:val="99"/>
        <w:sz w:val="38"/>
        <w:szCs w:val="38"/>
      </w:rPr>
    </w:lvl>
    <w:lvl w:ilvl="1">
      <w:start w:val="0"/>
      <w:numFmt w:val="bullet"/>
      <w:lvlText w:val="-"/>
      <w:lvlJc w:val="left"/>
      <w:pPr>
        <w:ind w:left="1163" w:hanging="356"/>
      </w:pPr>
      <w:rPr>
        <w:rFonts w:hint="default" w:ascii="Times New Roman" w:hAnsi="Times New Roman" w:eastAsia="Times New Roman" w:cs="Times New Roman"/>
        <w:w w:val="99"/>
        <w:sz w:val="38"/>
        <w:szCs w:val="38"/>
      </w:rPr>
    </w:lvl>
    <w:lvl w:ilvl="2">
      <w:start w:val="0"/>
      <w:numFmt w:val="bullet"/>
      <w:lvlText w:val="-"/>
      <w:lvlJc w:val="left"/>
      <w:pPr>
        <w:ind w:left="1197" w:hanging="360"/>
      </w:pPr>
      <w:rPr>
        <w:rFonts w:hint="default" w:ascii="Times New Roman" w:hAnsi="Times New Roman" w:eastAsia="Times New Roman" w:cs="Times New Roman"/>
        <w:w w:val="99"/>
        <w:sz w:val="38"/>
        <w:szCs w:val="38"/>
      </w:rPr>
    </w:lvl>
    <w:lvl w:ilvl="3">
      <w:start w:val="0"/>
      <w:numFmt w:val="bullet"/>
      <w:lvlText w:val="•"/>
      <w:lvlJc w:val="left"/>
      <w:pPr>
        <w:ind w:left="1200" w:hanging="360"/>
      </w:pPr>
      <w:rPr>
        <w:rFonts w:hint="default"/>
      </w:rPr>
    </w:lvl>
    <w:lvl w:ilvl="4">
      <w:start w:val="0"/>
      <w:numFmt w:val="bullet"/>
      <w:lvlText w:val="•"/>
      <w:lvlJc w:val="left"/>
      <w:pPr>
        <w:ind w:left="1380" w:hanging="360"/>
      </w:pPr>
      <w:rPr>
        <w:rFonts w:hint="default"/>
      </w:rPr>
    </w:lvl>
    <w:lvl w:ilvl="5">
      <w:start w:val="0"/>
      <w:numFmt w:val="bullet"/>
      <w:lvlText w:val="•"/>
      <w:lvlJc w:val="left"/>
      <w:pPr>
        <w:ind w:left="3180" w:hanging="360"/>
      </w:pPr>
      <w:rPr>
        <w:rFonts w:hint="default"/>
      </w:rPr>
    </w:lvl>
    <w:lvl w:ilvl="6">
      <w:start w:val="0"/>
      <w:numFmt w:val="bullet"/>
      <w:lvlText w:val="•"/>
      <w:lvlJc w:val="left"/>
      <w:pPr>
        <w:ind w:left="4980" w:hanging="360"/>
      </w:pPr>
      <w:rPr>
        <w:rFonts w:hint="default"/>
      </w:rPr>
    </w:lvl>
    <w:lvl w:ilvl="7">
      <w:start w:val="0"/>
      <w:numFmt w:val="bullet"/>
      <w:lvlText w:val="•"/>
      <w:lvlJc w:val="left"/>
      <w:pPr>
        <w:ind w:left="6780" w:hanging="360"/>
      </w:pPr>
      <w:rPr>
        <w:rFonts w:hint="default"/>
      </w:rPr>
    </w:lvl>
    <w:lvl w:ilvl="8">
      <w:start w:val="0"/>
      <w:numFmt w:val="bullet"/>
      <w:lvlText w:val="•"/>
      <w:lvlJc w:val="left"/>
      <w:pPr>
        <w:ind w:left="8580" w:hanging="360"/>
      </w:pPr>
      <w:rPr>
        <w:rFonts w:hint="default"/>
      </w:rPr>
    </w:lvl>
  </w:abstractNum>
  <w:abstractNum w:abstractNumId="24">
    <w:multiLevelType w:val="hybridMultilevel"/>
    <w:lvl w:ilvl="0">
      <w:start w:val="0"/>
      <w:numFmt w:val="bullet"/>
      <w:lvlText w:val="-"/>
      <w:lvlJc w:val="left"/>
      <w:pPr>
        <w:ind w:left="690" w:hanging="214"/>
      </w:pPr>
      <w:rPr>
        <w:rFonts w:hint="default" w:ascii="Garamond" w:hAnsi="Garamond" w:eastAsia="Garamond" w:cs="Garamond"/>
        <w:w w:val="99"/>
        <w:sz w:val="38"/>
        <w:szCs w:val="38"/>
      </w:rPr>
    </w:lvl>
    <w:lvl w:ilvl="1">
      <w:start w:val="0"/>
      <w:numFmt w:val="bullet"/>
      <w:lvlText w:val="•"/>
      <w:lvlJc w:val="left"/>
      <w:pPr>
        <w:ind w:left="1848" w:hanging="214"/>
      </w:pPr>
      <w:rPr>
        <w:rFonts w:hint="default"/>
      </w:rPr>
    </w:lvl>
    <w:lvl w:ilvl="2">
      <w:start w:val="0"/>
      <w:numFmt w:val="bullet"/>
      <w:lvlText w:val="•"/>
      <w:lvlJc w:val="left"/>
      <w:pPr>
        <w:ind w:left="2996" w:hanging="214"/>
      </w:pPr>
      <w:rPr>
        <w:rFonts w:hint="default"/>
      </w:rPr>
    </w:lvl>
    <w:lvl w:ilvl="3">
      <w:start w:val="0"/>
      <w:numFmt w:val="bullet"/>
      <w:lvlText w:val="•"/>
      <w:lvlJc w:val="left"/>
      <w:pPr>
        <w:ind w:left="4144" w:hanging="214"/>
      </w:pPr>
      <w:rPr>
        <w:rFonts w:hint="default"/>
      </w:rPr>
    </w:lvl>
    <w:lvl w:ilvl="4">
      <w:start w:val="0"/>
      <w:numFmt w:val="bullet"/>
      <w:lvlText w:val="•"/>
      <w:lvlJc w:val="left"/>
      <w:pPr>
        <w:ind w:left="5292" w:hanging="214"/>
      </w:pPr>
      <w:rPr>
        <w:rFonts w:hint="default"/>
      </w:rPr>
    </w:lvl>
    <w:lvl w:ilvl="5">
      <w:start w:val="0"/>
      <w:numFmt w:val="bullet"/>
      <w:lvlText w:val="•"/>
      <w:lvlJc w:val="left"/>
      <w:pPr>
        <w:ind w:left="6440" w:hanging="214"/>
      </w:pPr>
      <w:rPr>
        <w:rFonts w:hint="default"/>
      </w:rPr>
    </w:lvl>
    <w:lvl w:ilvl="6">
      <w:start w:val="0"/>
      <w:numFmt w:val="bullet"/>
      <w:lvlText w:val="•"/>
      <w:lvlJc w:val="left"/>
      <w:pPr>
        <w:ind w:left="7588" w:hanging="214"/>
      </w:pPr>
      <w:rPr>
        <w:rFonts w:hint="default"/>
      </w:rPr>
    </w:lvl>
    <w:lvl w:ilvl="7">
      <w:start w:val="0"/>
      <w:numFmt w:val="bullet"/>
      <w:lvlText w:val="•"/>
      <w:lvlJc w:val="left"/>
      <w:pPr>
        <w:ind w:left="8736" w:hanging="214"/>
      </w:pPr>
      <w:rPr>
        <w:rFonts w:hint="default"/>
      </w:rPr>
    </w:lvl>
    <w:lvl w:ilvl="8">
      <w:start w:val="0"/>
      <w:numFmt w:val="bullet"/>
      <w:lvlText w:val="•"/>
      <w:lvlJc w:val="left"/>
      <w:pPr>
        <w:ind w:left="9884" w:hanging="214"/>
      </w:pPr>
      <w:rPr>
        <w:rFonts w:hint="default"/>
      </w:rPr>
    </w:lvl>
  </w:abstractNum>
  <w:abstractNum w:abstractNumId="23">
    <w:multiLevelType w:val="hybridMultilevel"/>
    <w:lvl w:ilvl="0">
      <w:start w:val="0"/>
      <w:numFmt w:val="bullet"/>
      <w:lvlText w:val="-"/>
      <w:lvlJc w:val="left"/>
      <w:pPr>
        <w:ind w:left="1156" w:hanging="360"/>
      </w:pPr>
      <w:rPr>
        <w:rFonts w:hint="default" w:ascii="Times New Roman" w:hAnsi="Times New Roman" w:eastAsia="Times New Roman" w:cs="Times New Roman"/>
        <w:w w:val="99"/>
        <w:sz w:val="38"/>
        <w:szCs w:val="38"/>
      </w:rPr>
    </w:lvl>
    <w:lvl w:ilvl="1">
      <w:start w:val="0"/>
      <w:numFmt w:val="bullet"/>
      <w:lvlText w:val="•"/>
      <w:lvlJc w:val="left"/>
      <w:pPr>
        <w:ind w:left="2262" w:hanging="360"/>
      </w:pPr>
      <w:rPr>
        <w:rFonts w:hint="default"/>
      </w:rPr>
    </w:lvl>
    <w:lvl w:ilvl="2">
      <w:start w:val="0"/>
      <w:numFmt w:val="bullet"/>
      <w:lvlText w:val="•"/>
      <w:lvlJc w:val="left"/>
      <w:pPr>
        <w:ind w:left="3364" w:hanging="360"/>
      </w:pPr>
      <w:rPr>
        <w:rFonts w:hint="default"/>
      </w:rPr>
    </w:lvl>
    <w:lvl w:ilvl="3">
      <w:start w:val="0"/>
      <w:numFmt w:val="bullet"/>
      <w:lvlText w:val="•"/>
      <w:lvlJc w:val="left"/>
      <w:pPr>
        <w:ind w:left="4466" w:hanging="360"/>
      </w:pPr>
      <w:rPr>
        <w:rFonts w:hint="default"/>
      </w:rPr>
    </w:lvl>
    <w:lvl w:ilvl="4">
      <w:start w:val="0"/>
      <w:numFmt w:val="bullet"/>
      <w:lvlText w:val="•"/>
      <w:lvlJc w:val="left"/>
      <w:pPr>
        <w:ind w:left="5568" w:hanging="360"/>
      </w:pPr>
      <w:rPr>
        <w:rFonts w:hint="default"/>
      </w:rPr>
    </w:lvl>
    <w:lvl w:ilvl="5">
      <w:start w:val="0"/>
      <w:numFmt w:val="bullet"/>
      <w:lvlText w:val="•"/>
      <w:lvlJc w:val="left"/>
      <w:pPr>
        <w:ind w:left="6670" w:hanging="360"/>
      </w:pPr>
      <w:rPr>
        <w:rFonts w:hint="default"/>
      </w:rPr>
    </w:lvl>
    <w:lvl w:ilvl="6">
      <w:start w:val="0"/>
      <w:numFmt w:val="bullet"/>
      <w:lvlText w:val="•"/>
      <w:lvlJc w:val="left"/>
      <w:pPr>
        <w:ind w:left="7772" w:hanging="360"/>
      </w:pPr>
      <w:rPr>
        <w:rFonts w:hint="default"/>
      </w:rPr>
    </w:lvl>
    <w:lvl w:ilvl="7">
      <w:start w:val="0"/>
      <w:numFmt w:val="bullet"/>
      <w:lvlText w:val="•"/>
      <w:lvlJc w:val="left"/>
      <w:pPr>
        <w:ind w:left="8874" w:hanging="360"/>
      </w:pPr>
      <w:rPr>
        <w:rFonts w:hint="default"/>
      </w:rPr>
    </w:lvl>
    <w:lvl w:ilvl="8">
      <w:start w:val="0"/>
      <w:numFmt w:val="bullet"/>
      <w:lvlText w:val="•"/>
      <w:lvlJc w:val="left"/>
      <w:pPr>
        <w:ind w:left="9976" w:hanging="360"/>
      </w:pPr>
      <w:rPr>
        <w:rFonts w:hint="default"/>
      </w:rPr>
    </w:lvl>
  </w:abstractNum>
  <w:abstractNum w:abstractNumId="22">
    <w:multiLevelType w:val="hybridMultilevel"/>
    <w:lvl w:ilvl="0">
      <w:start w:val="0"/>
      <w:numFmt w:val="bullet"/>
      <w:lvlText w:val="-"/>
      <w:lvlJc w:val="left"/>
      <w:pPr>
        <w:ind w:left="1178" w:hanging="360"/>
      </w:pPr>
      <w:rPr>
        <w:rFonts w:hint="default" w:ascii="Times New Roman" w:hAnsi="Times New Roman" w:eastAsia="Times New Roman" w:cs="Times New Roman"/>
        <w:w w:val="99"/>
        <w:sz w:val="38"/>
        <w:szCs w:val="38"/>
      </w:rPr>
    </w:lvl>
    <w:lvl w:ilvl="1">
      <w:start w:val="0"/>
      <w:numFmt w:val="bullet"/>
      <w:lvlText w:val="•"/>
      <w:lvlJc w:val="left"/>
      <w:pPr>
        <w:ind w:left="2280" w:hanging="360"/>
      </w:pPr>
      <w:rPr>
        <w:rFonts w:hint="default"/>
      </w:rPr>
    </w:lvl>
    <w:lvl w:ilvl="2">
      <w:start w:val="0"/>
      <w:numFmt w:val="bullet"/>
      <w:lvlText w:val="•"/>
      <w:lvlJc w:val="left"/>
      <w:pPr>
        <w:ind w:left="3380" w:hanging="360"/>
      </w:pPr>
      <w:rPr>
        <w:rFonts w:hint="default"/>
      </w:rPr>
    </w:lvl>
    <w:lvl w:ilvl="3">
      <w:start w:val="0"/>
      <w:numFmt w:val="bullet"/>
      <w:lvlText w:val="•"/>
      <w:lvlJc w:val="left"/>
      <w:pPr>
        <w:ind w:left="4480" w:hanging="360"/>
      </w:pPr>
      <w:rPr>
        <w:rFonts w:hint="default"/>
      </w:rPr>
    </w:lvl>
    <w:lvl w:ilvl="4">
      <w:start w:val="0"/>
      <w:numFmt w:val="bullet"/>
      <w:lvlText w:val="•"/>
      <w:lvlJc w:val="left"/>
      <w:pPr>
        <w:ind w:left="5580" w:hanging="360"/>
      </w:pPr>
      <w:rPr>
        <w:rFonts w:hint="default"/>
      </w:rPr>
    </w:lvl>
    <w:lvl w:ilvl="5">
      <w:start w:val="0"/>
      <w:numFmt w:val="bullet"/>
      <w:lvlText w:val="•"/>
      <w:lvlJc w:val="left"/>
      <w:pPr>
        <w:ind w:left="6680" w:hanging="360"/>
      </w:pPr>
      <w:rPr>
        <w:rFonts w:hint="default"/>
      </w:rPr>
    </w:lvl>
    <w:lvl w:ilvl="6">
      <w:start w:val="0"/>
      <w:numFmt w:val="bullet"/>
      <w:lvlText w:val="•"/>
      <w:lvlJc w:val="left"/>
      <w:pPr>
        <w:ind w:left="7780" w:hanging="360"/>
      </w:pPr>
      <w:rPr>
        <w:rFonts w:hint="default"/>
      </w:rPr>
    </w:lvl>
    <w:lvl w:ilvl="7">
      <w:start w:val="0"/>
      <w:numFmt w:val="bullet"/>
      <w:lvlText w:val="•"/>
      <w:lvlJc w:val="left"/>
      <w:pPr>
        <w:ind w:left="8880" w:hanging="360"/>
      </w:pPr>
      <w:rPr>
        <w:rFonts w:hint="default"/>
      </w:rPr>
    </w:lvl>
    <w:lvl w:ilvl="8">
      <w:start w:val="0"/>
      <w:numFmt w:val="bullet"/>
      <w:lvlText w:val="•"/>
      <w:lvlJc w:val="left"/>
      <w:pPr>
        <w:ind w:left="9980" w:hanging="360"/>
      </w:pPr>
      <w:rPr>
        <w:rFonts w:hint="default"/>
      </w:rPr>
    </w:lvl>
  </w:abstractNum>
  <w:abstractNum w:abstractNumId="21">
    <w:multiLevelType w:val="hybridMultilevel"/>
    <w:lvl w:ilvl="0">
      <w:start w:val="1"/>
      <w:numFmt w:val="decimal"/>
      <w:lvlText w:val="%1)"/>
      <w:lvlJc w:val="left"/>
      <w:pPr>
        <w:ind w:left="477" w:hanging="480"/>
        <w:jc w:val="left"/>
      </w:pPr>
      <w:rPr>
        <w:rFonts w:hint="default" w:ascii="Garamond" w:hAnsi="Garamond" w:eastAsia="Garamond" w:cs="Garamond"/>
        <w:spacing w:val="-1"/>
        <w:w w:val="99"/>
        <w:sz w:val="38"/>
        <w:szCs w:val="38"/>
      </w:rPr>
    </w:lvl>
    <w:lvl w:ilvl="1">
      <w:start w:val="0"/>
      <w:numFmt w:val="bullet"/>
      <w:lvlText w:val="•"/>
      <w:lvlJc w:val="left"/>
      <w:pPr>
        <w:ind w:left="1650" w:hanging="480"/>
      </w:pPr>
      <w:rPr>
        <w:rFonts w:hint="default"/>
      </w:rPr>
    </w:lvl>
    <w:lvl w:ilvl="2">
      <w:start w:val="0"/>
      <w:numFmt w:val="bullet"/>
      <w:lvlText w:val="•"/>
      <w:lvlJc w:val="left"/>
      <w:pPr>
        <w:ind w:left="2820" w:hanging="480"/>
      </w:pPr>
      <w:rPr>
        <w:rFonts w:hint="default"/>
      </w:rPr>
    </w:lvl>
    <w:lvl w:ilvl="3">
      <w:start w:val="0"/>
      <w:numFmt w:val="bullet"/>
      <w:lvlText w:val="•"/>
      <w:lvlJc w:val="left"/>
      <w:pPr>
        <w:ind w:left="3990" w:hanging="480"/>
      </w:pPr>
      <w:rPr>
        <w:rFonts w:hint="default"/>
      </w:rPr>
    </w:lvl>
    <w:lvl w:ilvl="4">
      <w:start w:val="0"/>
      <w:numFmt w:val="bullet"/>
      <w:lvlText w:val="•"/>
      <w:lvlJc w:val="left"/>
      <w:pPr>
        <w:ind w:left="5160" w:hanging="480"/>
      </w:pPr>
      <w:rPr>
        <w:rFonts w:hint="default"/>
      </w:rPr>
    </w:lvl>
    <w:lvl w:ilvl="5">
      <w:start w:val="0"/>
      <w:numFmt w:val="bullet"/>
      <w:lvlText w:val="•"/>
      <w:lvlJc w:val="left"/>
      <w:pPr>
        <w:ind w:left="6330" w:hanging="480"/>
      </w:pPr>
      <w:rPr>
        <w:rFonts w:hint="default"/>
      </w:rPr>
    </w:lvl>
    <w:lvl w:ilvl="6">
      <w:start w:val="0"/>
      <w:numFmt w:val="bullet"/>
      <w:lvlText w:val="•"/>
      <w:lvlJc w:val="left"/>
      <w:pPr>
        <w:ind w:left="7500" w:hanging="480"/>
      </w:pPr>
      <w:rPr>
        <w:rFonts w:hint="default"/>
      </w:rPr>
    </w:lvl>
    <w:lvl w:ilvl="7">
      <w:start w:val="0"/>
      <w:numFmt w:val="bullet"/>
      <w:lvlText w:val="•"/>
      <w:lvlJc w:val="left"/>
      <w:pPr>
        <w:ind w:left="8670" w:hanging="480"/>
      </w:pPr>
      <w:rPr>
        <w:rFonts w:hint="default"/>
      </w:rPr>
    </w:lvl>
    <w:lvl w:ilvl="8">
      <w:start w:val="0"/>
      <w:numFmt w:val="bullet"/>
      <w:lvlText w:val="•"/>
      <w:lvlJc w:val="left"/>
      <w:pPr>
        <w:ind w:left="9840" w:hanging="480"/>
      </w:pPr>
      <w:rPr>
        <w:rFonts w:hint="default"/>
      </w:rPr>
    </w:lvl>
  </w:abstractNum>
  <w:abstractNum w:abstractNumId="20">
    <w:multiLevelType w:val="hybridMultilevel"/>
    <w:lvl w:ilvl="0">
      <w:start w:val="0"/>
      <w:numFmt w:val="bullet"/>
      <w:lvlText w:val="-"/>
      <w:lvlJc w:val="left"/>
      <w:pPr>
        <w:ind w:left="1190" w:hanging="356"/>
      </w:pPr>
      <w:rPr>
        <w:rFonts w:hint="default" w:ascii="Times New Roman" w:hAnsi="Times New Roman" w:eastAsia="Times New Roman" w:cs="Times New Roman"/>
        <w:w w:val="99"/>
        <w:sz w:val="20"/>
        <w:szCs w:val="20"/>
      </w:rPr>
    </w:lvl>
    <w:lvl w:ilvl="1">
      <w:start w:val="0"/>
      <w:numFmt w:val="bullet"/>
      <w:lvlText w:val="•"/>
      <w:lvlJc w:val="left"/>
      <w:pPr>
        <w:ind w:left="2298" w:hanging="356"/>
      </w:pPr>
      <w:rPr>
        <w:rFonts w:hint="default"/>
      </w:rPr>
    </w:lvl>
    <w:lvl w:ilvl="2">
      <w:start w:val="0"/>
      <w:numFmt w:val="bullet"/>
      <w:lvlText w:val="•"/>
      <w:lvlJc w:val="left"/>
      <w:pPr>
        <w:ind w:left="3396" w:hanging="356"/>
      </w:pPr>
      <w:rPr>
        <w:rFonts w:hint="default"/>
      </w:rPr>
    </w:lvl>
    <w:lvl w:ilvl="3">
      <w:start w:val="0"/>
      <w:numFmt w:val="bullet"/>
      <w:lvlText w:val="•"/>
      <w:lvlJc w:val="left"/>
      <w:pPr>
        <w:ind w:left="4494" w:hanging="356"/>
      </w:pPr>
      <w:rPr>
        <w:rFonts w:hint="default"/>
      </w:rPr>
    </w:lvl>
    <w:lvl w:ilvl="4">
      <w:start w:val="0"/>
      <w:numFmt w:val="bullet"/>
      <w:lvlText w:val="•"/>
      <w:lvlJc w:val="left"/>
      <w:pPr>
        <w:ind w:left="5592" w:hanging="356"/>
      </w:pPr>
      <w:rPr>
        <w:rFonts w:hint="default"/>
      </w:rPr>
    </w:lvl>
    <w:lvl w:ilvl="5">
      <w:start w:val="0"/>
      <w:numFmt w:val="bullet"/>
      <w:lvlText w:val="•"/>
      <w:lvlJc w:val="left"/>
      <w:pPr>
        <w:ind w:left="6690" w:hanging="356"/>
      </w:pPr>
      <w:rPr>
        <w:rFonts w:hint="default"/>
      </w:rPr>
    </w:lvl>
    <w:lvl w:ilvl="6">
      <w:start w:val="0"/>
      <w:numFmt w:val="bullet"/>
      <w:lvlText w:val="•"/>
      <w:lvlJc w:val="left"/>
      <w:pPr>
        <w:ind w:left="7788" w:hanging="356"/>
      </w:pPr>
      <w:rPr>
        <w:rFonts w:hint="default"/>
      </w:rPr>
    </w:lvl>
    <w:lvl w:ilvl="7">
      <w:start w:val="0"/>
      <w:numFmt w:val="bullet"/>
      <w:lvlText w:val="•"/>
      <w:lvlJc w:val="left"/>
      <w:pPr>
        <w:ind w:left="8886" w:hanging="356"/>
      </w:pPr>
      <w:rPr>
        <w:rFonts w:hint="default"/>
      </w:rPr>
    </w:lvl>
    <w:lvl w:ilvl="8">
      <w:start w:val="0"/>
      <w:numFmt w:val="bullet"/>
      <w:lvlText w:val="•"/>
      <w:lvlJc w:val="left"/>
      <w:pPr>
        <w:ind w:left="9984" w:hanging="356"/>
      </w:pPr>
      <w:rPr>
        <w:rFonts w:hint="default"/>
      </w:rPr>
    </w:lvl>
  </w:abstractNum>
  <w:abstractNum w:abstractNumId="19">
    <w:multiLevelType w:val="hybridMultilevel"/>
    <w:lvl w:ilvl="0">
      <w:start w:val="0"/>
      <w:numFmt w:val="bullet"/>
      <w:lvlText w:val="-"/>
      <w:lvlJc w:val="left"/>
      <w:pPr>
        <w:ind w:left="1190" w:hanging="430"/>
      </w:pPr>
      <w:rPr>
        <w:rFonts w:hint="default" w:ascii="Times New Roman" w:hAnsi="Times New Roman" w:eastAsia="Times New Roman" w:cs="Times New Roman"/>
        <w:w w:val="99"/>
        <w:sz w:val="38"/>
        <w:szCs w:val="38"/>
      </w:rPr>
    </w:lvl>
    <w:lvl w:ilvl="1">
      <w:start w:val="0"/>
      <w:numFmt w:val="bullet"/>
      <w:lvlText w:val="•"/>
      <w:lvlJc w:val="left"/>
      <w:pPr>
        <w:ind w:left="2298" w:hanging="430"/>
      </w:pPr>
      <w:rPr>
        <w:rFonts w:hint="default"/>
      </w:rPr>
    </w:lvl>
    <w:lvl w:ilvl="2">
      <w:start w:val="0"/>
      <w:numFmt w:val="bullet"/>
      <w:lvlText w:val="•"/>
      <w:lvlJc w:val="left"/>
      <w:pPr>
        <w:ind w:left="3396" w:hanging="430"/>
      </w:pPr>
      <w:rPr>
        <w:rFonts w:hint="default"/>
      </w:rPr>
    </w:lvl>
    <w:lvl w:ilvl="3">
      <w:start w:val="0"/>
      <w:numFmt w:val="bullet"/>
      <w:lvlText w:val="•"/>
      <w:lvlJc w:val="left"/>
      <w:pPr>
        <w:ind w:left="4494" w:hanging="430"/>
      </w:pPr>
      <w:rPr>
        <w:rFonts w:hint="default"/>
      </w:rPr>
    </w:lvl>
    <w:lvl w:ilvl="4">
      <w:start w:val="0"/>
      <w:numFmt w:val="bullet"/>
      <w:lvlText w:val="•"/>
      <w:lvlJc w:val="left"/>
      <w:pPr>
        <w:ind w:left="5592" w:hanging="430"/>
      </w:pPr>
      <w:rPr>
        <w:rFonts w:hint="default"/>
      </w:rPr>
    </w:lvl>
    <w:lvl w:ilvl="5">
      <w:start w:val="0"/>
      <w:numFmt w:val="bullet"/>
      <w:lvlText w:val="•"/>
      <w:lvlJc w:val="left"/>
      <w:pPr>
        <w:ind w:left="6690" w:hanging="430"/>
      </w:pPr>
      <w:rPr>
        <w:rFonts w:hint="default"/>
      </w:rPr>
    </w:lvl>
    <w:lvl w:ilvl="6">
      <w:start w:val="0"/>
      <w:numFmt w:val="bullet"/>
      <w:lvlText w:val="•"/>
      <w:lvlJc w:val="left"/>
      <w:pPr>
        <w:ind w:left="7788" w:hanging="430"/>
      </w:pPr>
      <w:rPr>
        <w:rFonts w:hint="default"/>
      </w:rPr>
    </w:lvl>
    <w:lvl w:ilvl="7">
      <w:start w:val="0"/>
      <w:numFmt w:val="bullet"/>
      <w:lvlText w:val="•"/>
      <w:lvlJc w:val="left"/>
      <w:pPr>
        <w:ind w:left="8886" w:hanging="430"/>
      </w:pPr>
      <w:rPr>
        <w:rFonts w:hint="default"/>
      </w:rPr>
    </w:lvl>
    <w:lvl w:ilvl="8">
      <w:start w:val="0"/>
      <w:numFmt w:val="bullet"/>
      <w:lvlText w:val="•"/>
      <w:lvlJc w:val="left"/>
      <w:pPr>
        <w:ind w:left="9984" w:hanging="430"/>
      </w:pPr>
      <w:rPr>
        <w:rFonts w:hint="default"/>
      </w:rPr>
    </w:lvl>
  </w:abstractNum>
  <w:abstractNum w:abstractNumId="17">
    <w:multiLevelType w:val="hybridMultilevel"/>
    <w:lvl w:ilvl="0">
      <w:start w:val="0"/>
      <w:numFmt w:val="bullet"/>
      <w:lvlText w:val="-"/>
      <w:lvlJc w:val="left"/>
      <w:pPr>
        <w:ind w:left="1190" w:hanging="356"/>
      </w:pPr>
      <w:rPr>
        <w:rFonts w:hint="default" w:ascii="Times New Roman" w:hAnsi="Times New Roman" w:eastAsia="Times New Roman" w:cs="Times New Roman"/>
        <w:w w:val="99"/>
        <w:sz w:val="38"/>
        <w:szCs w:val="38"/>
      </w:rPr>
    </w:lvl>
    <w:lvl w:ilvl="1">
      <w:start w:val="0"/>
      <w:numFmt w:val="bullet"/>
      <w:lvlText w:val="•"/>
      <w:lvlJc w:val="left"/>
      <w:pPr>
        <w:ind w:left="2298" w:hanging="356"/>
      </w:pPr>
      <w:rPr>
        <w:rFonts w:hint="default"/>
      </w:rPr>
    </w:lvl>
    <w:lvl w:ilvl="2">
      <w:start w:val="0"/>
      <w:numFmt w:val="bullet"/>
      <w:lvlText w:val="•"/>
      <w:lvlJc w:val="left"/>
      <w:pPr>
        <w:ind w:left="3396" w:hanging="356"/>
      </w:pPr>
      <w:rPr>
        <w:rFonts w:hint="default"/>
      </w:rPr>
    </w:lvl>
    <w:lvl w:ilvl="3">
      <w:start w:val="0"/>
      <w:numFmt w:val="bullet"/>
      <w:lvlText w:val="•"/>
      <w:lvlJc w:val="left"/>
      <w:pPr>
        <w:ind w:left="4494" w:hanging="356"/>
      </w:pPr>
      <w:rPr>
        <w:rFonts w:hint="default"/>
      </w:rPr>
    </w:lvl>
    <w:lvl w:ilvl="4">
      <w:start w:val="0"/>
      <w:numFmt w:val="bullet"/>
      <w:lvlText w:val="•"/>
      <w:lvlJc w:val="left"/>
      <w:pPr>
        <w:ind w:left="5592" w:hanging="356"/>
      </w:pPr>
      <w:rPr>
        <w:rFonts w:hint="default"/>
      </w:rPr>
    </w:lvl>
    <w:lvl w:ilvl="5">
      <w:start w:val="0"/>
      <w:numFmt w:val="bullet"/>
      <w:lvlText w:val="•"/>
      <w:lvlJc w:val="left"/>
      <w:pPr>
        <w:ind w:left="6690" w:hanging="356"/>
      </w:pPr>
      <w:rPr>
        <w:rFonts w:hint="default"/>
      </w:rPr>
    </w:lvl>
    <w:lvl w:ilvl="6">
      <w:start w:val="0"/>
      <w:numFmt w:val="bullet"/>
      <w:lvlText w:val="•"/>
      <w:lvlJc w:val="left"/>
      <w:pPr>
        <w:ind w:left="7788" w:hanging="356"/>
      </w:pPr>
      <w:rPr>
        <w:rFonts w:hint="default"/>
      </w:rPr>
    </w:lvl>
    <w:lvl w:ilvl="7">
      <w:start w:val="0"/>
      <w:numFmt w:val="bullet"/>
      <w:lvlText w:val="•"/>
      <w:lvlJc w:val="left"/>
      <w:pPr>
        <w:ind w:left="8886" w:hanging="356"/>
      </w:pPr>
      <w:rPr>
        <w:rFonts w:hint="default"/>
      </w:rPr>
    </w:lvl>
    <w:lvl w:ilvl="8">
      <w:start w:val="0"/>
      <w:numFmt w:val="bullet"/>
      <w:lvlText w:val="•"/>
      <w:lvlJc w:val="left"/>
      <w:pPr>
        <w:ind w:left="9984" w:hanging="356"/>
      </w:pPr>
      <w:rPr>
        <w:rFonts w:hint="default"/>
      </w:rPr>
    </w:lvl>
  </w:abstractNum>
  <w:abstractNum w:abstractNumId="16">
    <w:multiLevelType w:val="hybridMultilevel"/>
    <w:lvl w:ilvl="0">
      <w:start w:val="0"/>
      <w:numFmt w:val="bullet"/>
      <w:lvlText w:val="-"/>
      <w:lvlJc w:val="left"/>
      <w:pPr>
        <w:ind w:left="904" w:hanging="284"/>
      </w:pPr>
      <w:rPr>
        <w:rFonts w:hint="default" w:ascii="Times New Roman" w:hAnsi="Times New Roman" w:eastAsia="Times New Roman" w:cs="Times New Roman"/>
        <w:w w:val="99"/>
        <w:sz w:val="38"/>
        <w:szCs w:val="38"/>
      </w:rPr>
    </w:lvl>
    <w:lvl w:ilvl="1">
      <w:start w:val="0"/>
      <w:numFmt w:val="bullet"/>
      <w:lvlText w:val="-"/>
      <w:lvlJc w:val="left"/>
      <w:pPr>
        <w:ind w:left="1190" w:hanging="356"/>
      </w:pPr>
      <w:rPr>
        <w:rFonts w:hint="default" w:ascii="Times New Roman" w:hAnsi="Times New Roman" w:eastAsia="Times New Roman" w:cs="Times New Roman"/>
        <w:w w:val="99"/>
        <w:sz w:val="38"/>
        <w:szCs w:val="38"/>
      </w:rPr>
    </w:lvl>
    <w:lvl w:ilvl="2">
      <w:start w:val="0"/>
      <w:numFmt w:val="bullet"/>
      <w:lvlText w:val="•"/>
      <w:lvlJc w:val="left"/>
      <w:pPr>
        <w:ind w:left="1200" w:hanging="356"/>
      </w:pPr>
      <w:rPr>
        <w:rFonts w:hint="default"/>
      </w:rPr>
    </w:lvl>
    <w:lvl w:ilvl="3">
      <w:start w:val="0"/>
      <w:numFmt w:val="bullet"/>
      <w:lvlText w:val="•"/>
      <w:lvlJc w:val="left"/>
      <w:pPr>
        <w:ind w:left="1480" w:hanging="356"/>
      </w:pPr>
      <w:rPr>
        <w:rFonts w:hint="default"/>
      </w:rPr>
    </w:lvl>
    <w:lvl w:ilvl="4">
      <w:start w:val="0"/>
      <w:numFmt w:val="bullet"/>
      <w:lvlText w:val="•"/>
      <w:lvlJc w:val="left"/>
      <w:pPr>
        <w:ind w:left="1560" w:hanging="356"/>
      </w:pPr>
      <w:rPr>
        <w:rFonts w:hint="default"/>
      </w:rPr>
    </w:lvl>
    <w:lvl w:ilvl="5">
      <w:start w:val="0"/>
      <w:numFmt w:val="bullet"/>
      <w:lvlText w:val="•"/>
      <w:lvlJc w:val="left"/>
      <w:pPr>
        <w:ind w:left="3330" w:hanging="356"/>
      </w:pPr>
      <w:rPr>
        <w:rFonts w:hint="default"/>
      </w:rPr>
    </w:lvl>
    <w:lvl w:ilvl="6">
      <w:start w:val="0"/>
      <w:numFmt w:val="bullet"/>
      <w:lvlText w:val="•"/>
      <w:lvlJc w:val="left"/>
      <w:pPr>
        <w:ind w:left="5100" w:hanging="356"/>
      </w:pPr>
      <w:rPr>
        <w:rFonts w:hint="default"/>
      </w:rPr>
    </w:lvl>
    <w:lvl w:ilvl="7">
      <w:start w:val="0"/>
      <w:numFmt w:val="bullet"/>
      <w:lvlText w:val="•"/>
      <w:lvlJc w:val="left"/>
      <w:pPr>
        <w:ind w:left="6870" w:hanging="356"/>
      </w:pPr>
      <w:rPr>
        <w:rFonts w:hint="default"/>
      </w:rPr>
    </w:lvl>
    <w:lvl w:ilvl="8">
      <w:start w:val="0"/>
      <w:numFmt w:val="bullet"/>
      <w:lvlText w:val="•"/>
      <w:lvlJc w:val="left"/>
      <w:pPr>
        <w:ind w:left="8640" w:hanging="356"/>
      </w:pPr>
      <w:rPr>
        <w:rFonts w:hint="default"/>
      </w:rPr>
    </w:lvl>
  </w:abstractNum>
  <w:abstractNum w:abstractNumId="15">
    <w:multiLevelType w:val="hybridMultilevel"/>
    <w:lvl w:ilvl="0">
      <w:start w:val="0"/>
      <w:numFmt w:val="bullet"/>
      <w:lvlText w:val="-"/>
      <w:lvlJc w:val="left"/>
      <w:pPr>
        <w:ind w:left="690" w:hanging="214"/>
      </w:pPr>
      <w:rPr>
        <w:rFonts w:hint="default" w:ascii="Garamond" w:hAnsi="Garamond" w:eastAsia="Garamond" w:cs="Garamond"/>
        <w:w w:val="99"/>
        <w:sz w:val="38"/>
        <w:szCs w:val="38"/>
      </w:rPr>
    </w:lvl>
    <w:lvl w:ilvl="1">
      <w:start w:val="0"/>
      <w:numFmt w:val="bullet"/>
      <w:lvlText w:val="-"/>
      <w:lvlJc w:val="left"/>
      <w:pPr>
        <w:ind w:left="1197" w:hanging="360"/>
      </w:pPr>
      <w:rPr>
        <w:rFonts w:hint="default" w:ascii="Times New Roman" w:hAnsi="Times New Roman" w:eastAsia="Times New Roman" w:cs="Times New Roman"/>
        <w:w w:val="99"/>
        <w:sz w:val="38"/>
        <w:szCs w:val="38"/>
      </w:rPr>
    </w:lvl>
    <w:lvl w:ilvl="2">
      <w:start w:val="0"/>
      <w:numFmt w:val="bullet"/>
      <w:lvlText w:val="-"/>
      <w:lvlJc w:val="left"/>
      <w:pPr>
        <w:ind w:left="1554" w:hanging="358"/>
      </w:pPr>
      <w:rPr>
        <w:rFonts w:hint="default" w:ascii="Times New Roman" w:hAnsi="Times New Roman" w:eastAsia="Times New Roman" w:cs="Times New Roman"/>
        <w:w w:val="99"/>
        <w:sz w:val="38"/>
        <w:szCs w:val="38"/>
      </w:rPr>
    </w:lvl>
    <w:lvl w:ilvl="3">
      <w:start w:val="0"/>
      <w:numFmt w:val="bullet"/>
      <w:lvlText w:val="•"/>
      <w:lvlJc w:val="left"/>
      <w:pPr>
        <w:ind w:left="2887" w:hanging="358"/>
      </w:pPr>
      <w:rPr>
        <w:rFonts w:hint="default"/>
      </w:rPr>
    </w:lvl>
    <w:lvl w:ilvl="4">
      <w:start w:val="0"/>
      <w:numFmt w:val="bullet"/>
      <w:lvlText w:val="•"/>
      <w:lvlJc w:val="left"/>
      <w:pPr>
        <w:ind w:left="4215" w:hanging="358"/>
      </w:pPr>
      <w:rPr>
        <w:rFonts w:hint="default"/>
      </w:rPr>
    </w:lvl>
    <w:lvl w:ilvl="5">
      <w:start w:val="0"/>
      <w:numFmt w:val="bullet"/>
      <w:lvlText w:val="•"/>
      <w:lvlJc w:val="left"/>
      <w:pPr>
        <w:ind w:left="5542" w:hanging="358"/>
      </w:pPr>
      <w:rPr>
        <w:rFonts w:hint="default"/>
      </w:rPr>
    </w:lvl>
    <w:lvl w:ilvl="6">
      <w:start w:val="0"/>
      <w:numFmt w:val="bullet"/>
      <w:lvlText w:val="•"/>
      <w:lvlJc w:val="left"/>
      <w:pPr>
        <w:ind w:left="6870" w:hanging="358"/>
      </w:pPr>
      <w:rPr>
        <w:rFonts w:hint="default"/>
      </w:rPr>
    </w:lvl>
    <w:lvl w:ilvl="7">
      <w:start w:val="0"/>
      <w:numFmt w:val="bullet"/>
      <w:lvlText w:val="•"/>
      <w:lvlJc w:val="left"/>
      <w:pPr>
        <w:ind w:left="8198" w:hanging="358"/>
      </w:pPr>
      <w:rPr>
        <w:rFonts w:hint="default"/>
      </w:rPr>
    </w:lvl>
    <w:lvl w:ilvl="8">
      <w:start w:val="0"/>
      <w:numFmt w:val="bullet"/>
      <w:lvlText w:val="•"/>
      <w:lvlJc w:val="left"/>
      <w:pPr>
        <w:ind w:left="9525" w:hanging="358"/>
      </w:pPr>
      <w:rPr>
        <w:rFonts w:hint="default"/>
      </w:rPr>
    </w:lvl>
  </w:abstractNum>
  <w:abstractNum w:abstractNumId="14">
    <w:multiLevelType w:val="hybridMultilevel"/>
    <w:lvl w:ilvl="0">
      <w:start w:val="1"/>
      <w:numFmt w:val="lowerLetter"/>
      <w:lvlText w:val="%1)"/>
      <w:lvlJc w:val="left"/>
      <w:pPr>
        <w:ind w:left="477" w:hanging="400"/>
        <w:jc w:val="left"/>
      </w:pPr>
      <w:rPr>
        <w:rFonts w:hint="default" w:ascii="Garamond" w:hAnsi="Garamond" w:eastAsia="Garamond" w:cs="Garamond"/>
        <w:spacing w:val="-1"/>
        <w:w w:val="99"/>
        <w:sz w:val="38"/>
        <w:szCs w:val="38"/>
      </w:rPr>
    </w:lvl>
    <w:lvl w:ilvl="1">
      <w:start w:val="0"/>
      <w:numFmt w:val="bullet"/>
      <w:lvlText w:val="-"/>
      <w:lvlJc w:val="left"/>
      <w:pPr>
        <w:ind w:left="1031" w:hanging="214"/>
      </w:pPr>
      <w:rPr>
        <w:rFonts w:hint="default" w:ascii="Garamond" w:hAnsi="Garamond" w:eastAsia="Garamond" w:cs="Garamond"/>
        <w:w w:val="99"/>
        <w:sz w:val="38"/>
        <w:szCs w:val="38"/>
      </w:rPr>
    </w:lvl>
    <w:lvl w:ilvl="2">
      <w:start w:val="0"/>
      <w:numFmt w:val="bullet"/>
      <w:lvlText w:val="•"/>
      <w:lvlJc w:val="left"/>
      <w:pPr>
        <w:ind w:left="1040" w:hanging="214"/>
      </w:pPr>
      <w:rPr>
        <w:rFonts w:hint="default"/>
      </w:rPr>
    </w:lvl>
    <w:lvl w:ilvl="3">
      <w:start w:val="0"/>
      <w:numFmt w:val="bullet"/>
      <w:lvlText w:val="•"/>
      <w:lvlJc w:val="left"/>
      <w:pPr>
        <w:ind w:left="2432" w:hanging="214"/>
      </w:pPr>
      <w:rPr>
        <w:rFonts w:hint="default"/>
      </w:rPr>
    </w:lvl>
    <w:lvl w:ilvl="4">
      <w:start w:val="0"/>
      <w:numFmt w:val="bullet"/>
      <w:lvlText w:val="•"/>
      <w:lvlJc w:val="left"/>
      <w:pPr>
        <w:ind w:left="3825" w:hanging="214"/>
      </w:pPr>
      <w:rPr>
        <w:rFonts w:hint="default"/>
      </w:rPr>
    </w:lvl>
    <w:lvl w:ilvl="5">
      <w:start w:val="0"/>
      <w:numFmt w:val="bullet"/>
      <w:lvlText w:val="•"/>
      <w:lvlJc w:val="left"/>
      <w:pPr>
        <w:ind w:left="5217" w:hanging="214"/>
      </w:pPr>
      <w:rPr>
        <w:rFonts w:hint="default"/>
      </w:rPr>
    </w:lvl>
    <w:lvl w:ilvl="6">
      <w:start w:val="0"/>
      <w:numFmt w:val="bullet"/>
      <w:lvlText w:val="•"/>
      <w:lvlJc w:val="left"/>
      <w:pPr>
        <w:ind w:left="6610" w:hanging="214"/>
      </w:pPr>
      <w:rPr>
        <w:rFonts w:hint="default"/>
      </w:rPr>
    </w:lvl>
    <w:lvl w:ilvl="7">
      <w:start w:val="0"/>
      <w:numFmt w:val="bullet"/>
      <w:lvlText w:val="•"/>
      <w:lvlJc w:val="left"/>
      <w:pPr>
        <w:ind w:left="8003" w:hanging="214"/>
      </w:pPr>
      <w:rPr>
        <w:rFonts w:hint="default"/>
      </w:rPr>
    </w:lvl>
    <w:lvl w:ilvl="8">
      <w:start w:val="0"/>
      <w:numFmt w:val="bullet"/>
      <w:lvlText w:val="•"/>
      <w:lvlJc w:val="left"/>
      <w:pPr>
        <w:ind w:left="9395" w:hanging="214"/>
      </w:pPr>
      <w:rPr>
        <w:rFonts w:hint="default"/>
      </w:rPr>
    </w:lvl>
  </w:abstractNum>
  <w:abstractNum w:abstractNumId="13">
    <w:multiLevelType w:val="hybridMultilevel"/>
    <w:lvl w:ilvl="0">
      <w:start w:val="0"/>
      <w:numFmt w:val="bullet"/>
      <w:lvlText w:val="-"/>
      <w:lvlJc w:val="left"/>
      <w:pPr>
        <w:ind w:left="1190" w:hanging="356"/>
      </w:pPr>
      <w:rPr>
        <w:rFonts w:hint="default" w:ascii="Times New Roman" w:hAnsi="Times New Roman" w:eastAsia="Times New Roman" w:cs="Times New Roman"/>
        <w:w w:val="99"/>
        <w:sz w:val="38"/>
        <w:szCs w:val="38"/>
      </w:rPr>
    </w:lvl>
    <w:lvl w:ilvl="1">
      <w:start w:val="0"/>
      <w:numFmt w:val="bullet"/>
      <w:lvlText w:val="•"/>
      <w:lvlJc w:val="left"/>
      <w:pPr>
        <w:ind w:left="2298" w:hanging="356"/>
      </w:pPr>
      <w:rPr>
        <w:rFonts w:hint="default"/>
      </w:rPr>
    </w:lvl>
    <w:lvl w:ilvl="2">
      <w:start w:val="0"/>
      <w:numFmt w:val="bullet"/>
      <w:lvlText w:val="•"/>
      <w:lvlJc w:val="left"/>
      <w:pPr>
        <w:ind w:left="3396" w:hanging="356"/>
      </w:pPr>
      <w:rPr>
        <w:rFonts w:hint="default"/>
      </w:rPr>
    </w:lvl>
    <w:lvl w:ilvl="3">
      <w:start w:val="0"/>
      <w:numFmt w:val="bullet"/>
      <w:lvlText w:val="•"/>
      <w:lvlJc w:val="left"/>
      <w:pPr>
        <w:ind w:left="4494" w:hanging="356"/>
      </w:pPr>
      <w:rPr>
        <w:rFonts w:hint="default"/>
      </w:rPr>
    </w:lvl>
    <w:lvl w:ilvl="4">
      <w:start w:val="0"/>
      <w:numFmt w:val="bullet"/>
      <w:lvlText w:val="•"/>
      <w:lvlJc w:val="left"/>
      <w:pPr>
        <w:ind w:left="5592" w:hanging="356"/>
      </w:pPr>
      <w:rPr>
        <w:rFonts w:hint="default"/>
      </w:rPr>
    </w:lvl>
    <w:lvl w:ilvl="5">
      <w:start w:val="0"/>
      <w:numFmt w:val="bullet"/>
      <w:lvlText w:val="•"/>
      <w:lvlJc w:val="left"/>
      <w:pPr>
        <w:ind w:left="6690" w:hanging="356"/>
      </w:pPr>
      <w:rPr>
        <w:rFonts w:hint="default"/>
      </w:rPr>
    </w:lvl>
    <w:lvl w:ilvl="6">
      <w:start w:val="0"/>
      <w:numFmt w:val="bullet"/>
      <w:lvlText w:val="•"/>
      <w:lvlJc w:val="left"/>
      <w:pPr>
        <w:ind w:left="7788" w:hanging="356"/>
      </w:pPr>
      <w:rPr>
        <w:rFonts w:hint="default"/>
      </w:rPr>
    </w:lvl>
    <w:lvl w:ilvl="7">
      <w:start w:val="0"/>
      <w:numFmt w:val="bullet"/>
      <w:lvlText w:val="•"/>
      <w:lvlJc w:val="left"/>
      <w:pPr>
        <w:ind w:left="8886" w:hanging="356"/>
      </w:pPr>
      <w:rPr>
        <w:rFonts w:hint="default"/>
      </w:rPr>
    </w:lvl>
    <w:lvl w:ilvl="8">
      <w:start w:val="0"/>
      <w:numFmt w:val="bullet"/>
      <w:lvlText w:val="•"/>
      <w:lvlJc w:val="left"/>
      <w:pPr>
        <w:ind w:left="9984" w:hanging="356"/>
      </w:pPr>
      <w:rPr>
        <w:rFonts w:hint="default"/>
      </w:rPr>
    </w:lvl>
  </w:abstractNum>
  <w:abstractNum w:abstractNumId="12">
    <w:multiLevelType w:val="hybridMultilevel"/>
    <w:lvl w:ilvl="0">
      <w:start w:val="1"/>
      <w:numFmt w:val="lowerLetter"/>
      <w:lvlText w:val="%1)"/>
      <w:lvlJc w:val="left"/>
      <w:pPr>
        <w:ind w:left="477" w:hanging="720"/>
        <w:jc w:val="left"/>
      </w:pPr>
      <w:rPr>
        <w:rFonts w:hint="default" w:ascii="Garamond" w:hAnsi="Garamond" w:eastAsia="Garamond" w:cs="Garamond"/>
        <w:spacing w:val="-1"/>
        <w:w w:val="99"/>
        <w:sz w:val="38"/>
        <w:szCs w:val="38"/>
      </w:rPr>
    </w:lvl>
    <w:lvl w:ilvl="1">
      <w:start w:val="0"/>
      <w:numFmt w:val="bullet"/>
      <w:lvlText w:val="•"/>
      <w:lvlJc w:val="left"/>
      <w:pPr>
        <w:ind w:left="1650" w:hanging="720"/>
      </w:pPr>
      <w:rPr>
        <w:rFonts w:hint="default"/>
      </w:rPr>
    </w:lvl>
    <w:lvl w:ilvl="2">
      <w:start w:val="0"/>
      <w:numFmt w:val="bullet"/>
      <w:lvlText w:val="•"/>
      <w:lvlJc w:val="left"/>
      <w:pPr>
        <w:ind w:left="2820" w:hanging="720"/>
      </w:pPr>
      <w:rPr>
        <w:rFonts w:hint="default"/>
      </w:rPr>
    </w:lvl>
    <w:lvl w:ilvl="3">
      <w:start w:val="0"/>
      <w:numFmt w:val="bullet"/>
      <w:lvlText w:val="•"/>
      <w:lvlJc w:val="left"/>
      <w:pPr>
        <w:ind w:left="3990" w:hanging="720"/>
      </w:pPr>
      <w:rPr>
        <w:rFonts w:hint="default"/>
      </w:rPr>
    </w:lvl>
    <w:lvl w:ilvl="4">
      <w:start w:val="0"/>
      <w:numFmt w:val="bullet"/>
      <w:lvlText w:val="•"/>
      <w:lvlJc w:val="left"/>
      <w:pPr>
        <w:ind w:left="5160" w:hanging="720"/>
      </w:pPr>
      <w:rPr>
        <w:rFonts w:hint="default"/>
      </w:rPr>
    </w:lvl>
    <w:lvl w:ilvl="5">
      <w:start w:val="0"/>
      <w:numFmt w:val="bullet"/>
      <w:lvlText w:val="•"/>
      <w:lvlJc w:val="left"/>
      <w:pPr>
        <w:ind w:left="6330" w:hanging="720"/>
      </w:pPr>
      <w:rPr>
        <w:rFonts w:hint="default"/>
      </w:rPr>
    </w:lvl>
    <w:lvl w:ilvl="6">
      <w:start w:val="0"/>
      <w:numFmt w:val="bullet"/>
      <w:lvlText w:val="•"/>
      <w:lvlJc w:val="left"/>
      <w:pPr>
        <w:ind w:left="7500" w:hanging="720"/>
      </w:pPr>
      <w:rPr>
        <w:rFonts w:hint="default"/>
      </w:rPr>
    </w:lvl>
    <w:lvl w:ilvl="7">
      <w:start w:val="0"/>
      <w:numFmt w:val="bullet"/>
      <w:lvlText w:val="•"/>
      <w:lvlJc w:val="left"/>
      <w:pPr>
        <w:ind w:left="8670" w:hanging="720"/>
      </w:pPr>
      <w:rPr>
        <w:rFonts w:hint="default"/>
      </w:rPr>
    </w:lvl>
    <w:lvl w:ilvl="8">
      <w:start w:val="0"/>
      <w:numFmt w:val="bullet"/>
      <w:lvlText w:val="•"/>
      <w:lvlJc w:val="left"/>
      <w:pPr>
        <w:ind w:left="9840" w:hanging="720"/>
      </w:pPr>
      <w:rPr>
        <w:rFonts w:hint="default"/>
      </w:rPr>
    </w:lvl>
  </w:abstractNum>
  <w:abstractNum w:abstractNumId="11">
    <w:multiLevelType w:val="hybridMultilevel"/>
    <w:lvl w:ilvl="0">
      <w:start w:val="0"/>
      <w:numFmt w:val="bullet"/>
      <w:lvlText w:val="-"/>
      <w:lvlJc w:val="left"/>
      <w:pPr>
        <w:ind w:left="1190" w:hanging="356"/>
      </w:pPr>
      <w:rPr>
        <w:rFonts w:hint="default" w:ascii="Times New Roman" w:hAnsi="Times New Roman" w:eastAsia="Times New Roman" w:cs="Times New Roman"/>
        <w:w w:val="99"/>
        <w:sz w:val="38"/>
        <w:szCs w:val="38"/>
      </w:rPr>
    </w:lvl>
    <w:lvl w:ilvl="1">
      <w:start w:val="0"/>
      <w:numFmt w:val="bullet"/>
      <w:lvlText w:val="•"/>
      <w:lvlJc w:val="left"/>
      <w:pPr>
        <w:ind w:left="2298" w:hanging="356"/>
      </w:pPr>
      <w:rPr>
        <w:rFonts w:hint="default"/>
      </w:rPr>
    </w:lvl>
    <w:lvl w:ilvl="2">
      <w:start w:val="0"/>
      <w:numFmt w:val="bullet"/>
      <w:lvlText w:val="•"/>
      <w:lvlJc w:val="left"/>
      <w:pPr>
        <w:ind w:left="3396" w:hanging="356"/>
      </w:pPr>
      <w:rPr>
        <w:rFonts w:hint="default"/>
      </w:rPr>
    </w:lvl>
    <w:lvl w:ilvl="3">
      <w:start w:val="0"/>
      <w:numFmt w:val="bullet"/>
      <w:lvlText w:val="•"/>
      <w:lvlJc w:val="left"/>
      <w:pPr>
        <w:ind w:left="4494" w:hanging="356"/>
      </w:pPr>
      <w:rPr>
        <w:rFonts w:hint="default"/>
      </w:rPr>
    </w:lvl>
    <w:lvl w:ilvl="4">
      <w:start w:val="0"/>
      <w:numFmt w:val="bullet"/>
      <w:lvlText w:val="•"/>
      <w:lvlJc w:val="left"/>
      <w:pPr>
        <w:ind w:left="5592" w:hanging="356"/>
      </w:pPr>
      <w:rPr>
        <w:rFonts w:hint="default"/>
      </w:rPr>
    </w:lvl>
    <w:lvl w:ilvl="5">
      <w:start w:val="0"/>
      <w:numFmt w:val="bullet"/>
      <w:lvlText w:val="•"/>
      <w:lvlJc w:val="left"/>
      <w:pPr>
        <w:ind w:left="6690" w:hanging="356"/>
      </w:pPr>
      <w:rPr>
        <w:rFonts w:hint="default"/>
      </w:rPr>
    </w:lvl>
    <w:lvl w:ilvl="6">
      <w:start w:val="0"/>
      <w:numFmt w:val="bullet"/>
      <w:lvlText w:val="•"/>
      <w:lvlJc w:val="left"/>
      <w:pPr>
        <w:ind w:left="7788" w:hanging="356"/>
      </w:pPr>
      <w:rPr>
        <w:rFonts w:hint="default"/>
      </w:rPr>
    </w:lvl>
    <w:lvl w:ilvl="7">
      <w:start w:val="0"/>
      <w:numFmt w:val="bullet"/>
      <w:lvlText w:val="•"/>
      <w:lvlJc w:val="left"/>
      <w:pPr>
        <w:ind w:left="8886" w:hanging="356"/>
      </w:pPr>
      <w:rPr>
        <w:rFonts w:hint="default"/>
      </w:rPr>
    </w:lvl>
    <w:lvl w:ilvl="8">
      <w:start w:val="0"/>
      <w:numFmt w:val="bullet"/>
      <w:lvlText w:val="•"/>
      <w:lvlJc w:val="left"/>
      <w:pPr>
        <w:ind w:left="9984" w:hanging="356"/>
      </w:pPr>
      <w:rPr>
        <w:rFonts w:hint="default"/>
      </w:rPr>
    </w:lvl>
  </w:abstractNum>
  <w:abstractNum w:abstractNumId="10">
    <w:multiLevelType w:val="hybridMultilevel"/>
    <w:lvl w:ilvl="0">
      <w:start w:val="1"/>
      <w:numFmt w:val="decimal"/>
      <w:lvlText w:val="%1)"/>
      <w:lvlJc w:val="left"/>
      <w:pPr>
        <w:ind w:left="477" w:hanging="567"/>
        <w:jc w:val="left"/>
      </w:pPr>
      <w:rPr>
        <w:rFonts w:hint="default" w:ascii="Garamond" w:hAnsi="Garamond" w:eastAsia="Garamond" w:cs="Garamond"/>
        <w:spacing w:val="-1"/>
        <w:w w:val="99"/>
        <w:sz w:val="38"/>
        <w:szCs w:val="38"/>
      </w:rPr>
    </w:lvl>
    <w:lvl w:ilvl="1">
      <w:start w:val="0"/>
      <w:numFmt w:val="bullet"/>
      <w:lvlText w:val="•"/>
      <w:lvlJc w:val="left"/>
      <w:pPr>
        <w:ind w:left="1650" w:hanging="567"/>
      </w:pPr>
      <w:rPr>
        <w:rFonts w:hint="default"/>
      </w:rPr>
    </w:lvl>
    <w:lvl w:ilvl="2">
      <w:start w:val="0"/>
      <w:numFmt w:val="bullet"/>
      <w:lvlText w:val="•"/>
      <w:lvlJc w:val="left"/>
      <w:pPr>
        <w:ind w:left="2820" w:hanging="567"/>
      </w:pPr>
      <w:rPr>
        <w:rFonts w:hint="default"/>
      </w:rPr>
    </w:lvl>
    <w:lvl w:ilvl="3">
      <w:start w:val="0"/>
      <w:numFmt w:val="bullet"/>
      <w:lvlText w:val="•"/>
      <w:lvlJc w:val="left"/>
      <w:pPr>
        <w:ind w:left="3990" w:hanging="567"/>
      </w:pPr>
      <w:rPr>
        <w:rFonts w:hint="default"/>
      </w:rPr>
    </w:lvl>
    <w:lvl w:ilvl="4">
      <w:start w:val="0"/>
      <w:numFmt w:val="bullet"/>
      <w:lvlText w:val="•"/>
      <w:lvlJc w:val="left"/>
      <w:pPr>
        <w:ind w:left="5160" w:hanging="567"/>
      </w:pPr>
      <w:rPr>
        <w:rFonts w:hint="default"/>
      </w:rPr>
    </w:lvl>
    <w:lvl w:ilvl="5">
      <w:start w:val="0"/>
      <w:numFmt w:val="bullet"/>
      <w:lvlText w:val="•"/>
      <w:lvlJc w:val="left"/>
      <w:pPr>
        <w:ind w:left="6330" w:hanging="567"/>
      </w:pPr>
      <w:rPr>
        <w:rFonts w:hint="default"/>
      </w:rPr>
    </w:lvl>
    <w:lvl w:ilvl="6">
      <w:start w:val="0"/>
      <w:numFmt w:val="bullet"/>
      <w:lvlText w:val="•"/>
      <w:lvlJc w:val="left"/>
      <w:pPr>
        <w:ind w:left="7500" w:hanging="567"/>
      </w:pPr>
      <w:rPr>
        <w:rFonts w:hint="default"/>
      </w:rPr>
    </w:lvl>
    <w:lvl w:ilvl="7">
      <w:start w:val="0"/>
      <w:numFmt w:val="bullet"/>
      <w:lvlText w:val="•"/>
      <w:lvlJc w:val="left"/>
      <w:pPr>
        <w:ind w:left="8670" w:hanging="567"/>
      </w:pPr>
      <w:rPr>
        <w:rFonts w:hint="default"/>
      </w:rPr>
    </w:lvl>
    <w:lvl w:ilvl="8">
      <w:start w:val="0"/>
      <w:numFmt w:val="bullet"/>
      <w:lvlText w:val="•"/>
      <w:lvlJc w:val="left"/>
      <w:pPr>
        <w:ind w:left="9840" w:hanging="567"/>
      </w:pPr>
      <w:rPr>
        <w:rFonts w:hint="default"/>
      </w:rPr>
    </w:lvl>
  </w:abstractNum>
  <w:abstractNum w:abstractNumId="9">
    <w:multiLevelType w:val="hybridMultilevel"/>
    <w:lvl w:ilvl="0">
      <w:start w:val="1"/>
      <w:numFmt w:val="lowerLetter"/>
      <w:lvlText w:val="%1)"/>
      <w:lvlJc w:val="left"/>
      <w:pPr>
        <w:ind w:left="889" w:hanging="413"/>
        <w:jc w:val="left"/>
      </w:pPr>
      <w:rPr>
        <w:rFonts w:hint="default" w:ascii="Garamond" w:hAnsi="Garamond" w:eastAsia="Garamond" w:cs="Garamond"/>
        <w:b/>
        <w:bCs/>
        <w:w w:val="99"/>
        <w:sz w:val="38"/>
        <w:szCs w:val="38"/>
      </w:rPr>
    </w:lvl>
    <w:lvl w:ilvl="1">
      <w:start w:val="0"/>
      <w:numFmt w:val="bullet"/>
      <w:lvlText w:val="•"/>
      <w:lvlJc w:val="left"/>
      <w:pPr>
        <w:ind w:left="2010" w:hanging="413"/>
      </w:pPr>
      <w:rPr>
        <w:rFonts w:hint="default"/>
      </w:rPr>
    </w:lvl>
    <w:lvl w:ilvl="2">
      <w:start w:val="0"/>
      <w:numFmt w:val="bullet"/>
      <w:lvlText w:val="•"/>
      <w:lvlJc w:val="left"/>
      <w:pPr>
        <w:ind w:left="3140" w:hanging="413"/>
      </w:pPr>
      <w:rPr>
        <w:rFonts w:hint="default"/>
      </w:rPr>
    </w:lvl>
    <w:lvl w:ilvl="3">
      <w:start w:val="0"/>
      <w:numFmt w:val="bullet"/>
      <w:lvlText w:val="•"/>
      <w:lvlJc w:val="left"/>
      <w:pPr>
        <w:ind w:left="4270" w:hanging="413"/>
      </w:pPr>
      <w:rPr>
        <w:rFonts w:hint="default"/>
      </w:rPr>
    </w:lvl>
    <w:lvl w:ilvl="4">
      <w:start w:val="0"/>
      <w:numFmt w:val="bullet"/>
      <w:lvlText w:val="•"/>
      <w:lvlJc w:val="left"/>
      <w:pPr>
        <w:ind w:left="5400" w:hanging="413"/>
      </w:pPr>
      <w:rPr>
        <w:rFonts w:hint="default"/>
      </w:rPr>
    </w:lvl>
    <w:lvl w:ilvl="5">
      <w:start w:val="0"/>
      <w:numFmt w:val="bullet"/>
      <w:lvlText w:val="•"/>
      <w:lvlJc w:val="left"/>
      <w:pPr>
        <w:ind w:left="6530" w:hanging="413"/>
      </w:pPr>
      <w:rPr>
        <w:rFonts w:hint="default"/>
      </w:rPr>
    </w:lvl>
    <w:lvl w:ilvl="6">
      <w:start w:val="0"/>
      <w:numFmt w:val="bullet"/>
      <w:lvlText w:val="•"/>
      <w:lvlJc w:val="left"/>
      <w:pPr>
        <w:ind w:left="7660" w:hanging="413"/>
      </w:pPr>
      <w:rPr>
        <w:rFonts w:hint="default"/>
      </w:rPr>
    </w:lvl>
    <w:lvl w:ilvl="7">
      <w:start w:val="0"/>
      <w:numFmt w:val="bullet"/>
      <w:lvlText w:val="•"/>
      <w:lvlJc w:val="left"/>
      <w:pPr>
        <w:ind w:left="8790" w:hanging="413"/>
      </w:pPr>
      <w:rPr>
        <w:rFonts w:hint="default"/>
      </w:rPr>
    </w:lvl>
    <w:lvl w:ilvl="8">
      <w:start w:val="0"/>
      <w:numFmt w:val="bullet"/>
      <w:lvlText w:val="•"/>
      <w:lvlJc w:val="left"/>
      <w:pPr>
        <w:ind w:left="9920" w:hanging="413"/>
      </w:pPr>
      <w:rPr>
        <w:rFonts w:hint="default"/>
      </w:rPr>
    </w:lvl>
  </w:abstractNum>
  <w:abstractNum w:abstractNumId="7">
    <w:multiLevelType w:val="hybridMultilevel"/>
    <w:lvl w:ilvl="0">
      <w:start w:val="0"/>
      <w:numFmt w:val="bullet"/>
      <w:lvlText w:val="-"/>
      <w:lvlJc w:val="left"/>
      <w:pPr>
        <w:ind w:left="553" w:hanging="360"/>
      </w:pPr>
      <w:rPr>
        <w:rFonts w:hint="default" w:ascii="Times New Roman" w:hAnsi="Times New Roman" w:eastAsia="Times New Roman" w:cs="Times New Roman"/>
        <w:w w:val="99"/>
        <w:sz w:val="38"/>
        <w:szCs w:val="38"/>
      </w:rPr>
    </w:lvl>
    <w:lvl w:ilvl="1">
      <w:start w:val="0"/>
      <w:numFmt w:val="bullet"/>
      <w:lvlText w:val="-"/>
      <w:lvlJc w:val="left"/>
      <w:pPr>
        <w:ind w:left="829" w:hanging="356"/>
      </w:pPr>
      <w:rPr>
        <w:rFonts w:hint="default" w:ascii="Times New Roman" w:hAnsi="Times New Roman" w:eastAsia="Times New Roman" w:cs="Times New Roman"/>
        <w:w w:val="99"/>
        <w:sz w:val="38"/>
        <w:szCs w:val="38"/>
      </w:rPr>
    </w:lvl>
    <w:lvl w:ilvl="2">
      <w:start w:val="0"/>
      <w:numFmt w:val="bullet"/>
      <w:lvlText w:val=""/>
      <w:lvlJc w:val="left"/>
      <w:pPr>
        <w:ind w:left="1120" w:hanging="552"/>
      </w:pPr>
      <w:rPr>
        <w:rFonts w:hint="default" w:ascii="Symbol" w:hAnsi="Symbol" w:eastAsia="Symbol" w:cs="Symbol"/>
        <w:w w:val="99"/>
        <w:sz w:val="38"/>
        <w:szCs w:val="38"/>
      </w:rPr>
    </w:lvl>
    <w:lvl w:ilvl="3">
      <w:start w:val="0"/>
      <w:numFmt w:val="bullet"/>
      <w:lvlText w:val="•"/>
      <w:lvlJc w:val="left"/>
      <w:pPr>
        <w:ind w:left="2437" w:hanging="552"/>
      </w:pPr>
      <w:rPr>
        <w:rFonts w:hint="default"/>
      </w:rPr>
    </w:lvl>
    <w:lvl w:ilvl="4">
      <w:start w:val="0"/>
      <w:numFmt w:val="bullet"/>
      <w:lvlText w:val="•"/>
      <w:lvlJc w:val="left"/>
      <w:pPr>
        <w:ind w:left="3755" w:hanging="552"/>
      </w:pPr>
      <w:rPr>
        <w:rFonts w:hint="default"/>
      </w:rPr>
    </w:lvl>
    <w:lvl w:ilvl="5">
      <w:start w:val="0"/>
      <w:numFmt w:val="bullet"/>
      <w:lvlText w:val="•"/>
      <w:lvlJc w:val="left"/>
      <w:pPr>
        <w:ind w:left="5072" w:hanging="552"/>
      </w:pPr>
      <w:rPr>
        <w:rFonts w:hint="default"/>
      </w:rPr>
    </w:lvl>
    <w:lvl w:ilvl="6">
      <w:start w:val="0"/>
      <w:numFmt w:val="bullet"/>
      <w:lvlText w:val="•"/>
      <w:lvlJc w:val="left"/>
      <w:pPr>
        <w:ind w:left="6390" w:hanging="552"/>
      </w:pPr>
      <w:rPr>
        <w:rFonts w:hint="default"/>
      </w:rPr>
    </w:lvl>
    <w:lvl w:ilvl="7">
      <w:start w:val="0"/>
      <w:numFmt w:val="bullet"/>
      <w:lvlText w:val="•"/>
      <w:lvlJc w:val="left"/>
      <w:pPr>
        <w:ind w:left="7708" w:hanging="552"/>
      </w:pPr>
      <w:rPr>
        <w:rFonts w:hint="default"/>
      </w:rPr>
    </w:lvl>
    <w:lvl w:ilvl="8">
      <w:start w:val="0"/>
      <w:numFmt w:val="bullet"/>
      <w:lvlText w:val="•"/>
      <w:lvlJc w:val="left"/>
      <w:pPr>
        <w:ind w:left="9025" w:hanging="552"/>
      </w:pPr>
      <w:rPr>
        <w:rFonts w:hint="default"/>
      </w:rPr>
    </w:lvl>
  </w:abstractNum>
  <w:abstractNum w:abstractNumId="6">
    <w:multiLevelType w:val="hybridMultilevel"/>
    <w:lvl w:ilvl="0">
      <w:start w:val="0"/>
      <w:numFmt w:val="bullet"/>
      <w:lvlText w:val="-"/>
      <w:lvlJc w:val="left"/>
      <w:pPr>
        <w:ind w:left="618" w:hanging="360"/>
      </w:pPr>
      <w:rPr>
        <w:rFonts w:hint="default" w:ascii="Times New Roman" w:hAnsi="Times New Roman" w:eastAsia="Times New Roman" w:cs="Times New Roman"/>
        <w:w w:val="99"/>
        <w:sz w:val="38"/>
        <w:szCs w:val="38"/>
      </w:rPr>
    </w:lvl>
    <w:lvl w:ilvl="1">
      <w:start w:val="0"/>
      <w:numFmt w:val="bullet"/>
      <w:lvlText w:val="-"/>
      <w:lvlJc w:val="left"/>
      <w:pPr>
        <w:ind w:left="836" w:hanging="552"/>
      </w:pPr>
      <w:rPr>
        <w:rFonts w:hint="default" w:ascii="Times New Roman" w:hAnsi="Times New Roman" w:eastAsia="Times New Roman" w:cs="Times New Roman"/>
        <w:w w:val="99"/>
        <w:sz w:val="38"/>
        <w:szCs w:val="38"/>
      </w:rPr>
    </w:lvl>
    <w:lvl w:ilvl="2">
      <w:start w:val="0"/>
      <w:numFmt w:val="bullet"/>
      <w:lvlText w:val="•"/>
      <w:lvlJc w:val="left"/>
      <w:pPr>
        <w:ind w:left="2042" w:hanging="552"/>
      </w:pPr>
      <w:rPr>
        <w:rFonts w:hint="default"/>
      </w:rPr>
    </w:lvl>
    <w:lvl w:ilvl="3">
      <w:start w:val="0"/>
      <w:numFmt w:val="bullet"/>
      <w:lvlText w:val="•"/>
      <w:lvlJc w:val="left"/>
      <w:pPr>
        <w:ind w:left="3244" w:hanging="552"/>
      </w:pPr>
      <w:rPr>
        <w:rFonts w:hint="default"/>
      </w:rPr>
    </w:lvl>
    <w:lvl w:ilvl="4">
      <w:start w:val="0"/>
      <w:numFmt w:val="bullet"/>
      <w:lvlText w:val="•"/>
      <w:lvlJc w:val="left"/>
      <w:pPr>
        <w:ind w:left="4446" w:hanging="552"/>
      </w:pPr>
      <w:rPr>
        <w:rFonts w:hint="default"/>
      </w:rPr>
    </w:lvl>
    <w:lvl w:ilvl="5">
      <w:start w:val="0"/>
      <w:numFmt w:val="bullet"/>
      <w:lvlText w:val="•"/>
      <w:lvlJc w:val="left"/>
      <w:pPr>
        <w:ind w:left="5649" w:hanging="552"/>
      </w:pPr>
      <w:rPr>
        <w:rFonts w:hint="default"/>
      </w:rPr>
    </w:lvl>
    <w:lvl w:ilvl="6">
      <w:start w:val="0"/>
      <w:numFmt w:val="bullet"/>
      <w:lvlText w:val="•"/>
      <w:lvlJc w:val="left"/>
      <w:pPr>
        <w:ind w:left="6851" w:hanging="552"/>
      </w:pPr>
      <w:rPr>
        <w:rFonts w:hint="default"/>
      </w:rPr>
    </w:lvl>
    <w:lvl w:ilvl="7">
      <w:start w:val="0"/>
      <w:numFmt w:val="bullet"/>
      <w:lvlText w:val="•"/>
      <w:lvlJc w:val="left"/>
      <w:pPr>
        <w:ind w:left="8053" w:hanging="552"/>
      </w:pPr>
      <w:rPr>
        <w:rFonts w:hint="default"/>
      </w:rPr>
    </w:lvl>
    <w:lvl w:ilvl="8">
      <w:start w:val="0"/>
      <w:numFmt w:val="bullet"/>
      <w:lvlText w:val="•"/>
      <w:lvlJc w:val="left"/>
      <w:pPr>
        <w:ind w:left="9256" w:hanging="552"/>
      </w:pPr>
      <w:rPr>
        <w:rFonts w:hint="default"/>
      </w:rPr>
    </w:lvl>
  </w:abstractNum>
  <w:abstractNum w:abstractNumId="5">
    <w:multiLevelType w:val="hybridMultilevel"/>
    <w:lvl w:ilvl="0">
      <w:start w:val="0"/>
      <w:numFmt w:val="bullet"/>
      <w:lvlText w:val="-"/>
      <w:lvlJc w:val="left"/>
      <w:pPr>
        <w:ind w:left="836" w:hanging="360"/>
      </w:pPr>
      <w:rPr>
        <w:rFonts w:hint="default" w:ascii="Times New Roman" w:hAnsi="Times New Roman" w:eastAsia="Times New Roman" w:cs="Times New Roman"/>
        <w:w w:val="99"/>
        <w:sz w:val="38"/>
        <w:szCs w:val="38"/>
      </w:rPr>
    </w:lvl>
    <w:lvl w:ilvl="1">
      <w:start w:val="0"/>
      <w:numFmt w:val="bullet"/>
      <w:lvlText w:val="•"/>
      <w:lvlJc w:val="left"/>
      <w:pPr>
        <w:ind w:left="1922" w:hanging="360"/>
      </w:pPr>
      <w:rPr>
        <w:rFonts w:hint="default"/>
      </w:rPr>
    </w:lvl>
    <w:lvl w:ilvl="2">
      <w:start w:val="0"/>
      <w:numFmt w:val="bullet"/>
      <w:lvlText w:val="•"/>
      <w:lvlJc w:val="left"/>
      <w:pPr>
        <w:ind w:left="3004" w:hanging="360"/>
      </w:pPr>
      <w:rPr>
        <w:rFonts w:hint="default"/>
      </w:rPr>
    </w:lvl>
    <w:lvl w:ilvl="3">
      <w:start w:val="0"/>
      <w:numFmt w:val="bullet"/>
      <w:lvlText w:val="•"/>
      <w:lvlJc w:val="left"/>
      <w:pPr>
        <w:ind w:left="4086" w:hanging="360"/>
      </w:pPr>
      <w:rPr>
        <w:rFonts w:hint="default"/>
      </w:rPr>
    </w:lvl>
    <w:lvl w:ilvl="4">
      <w:start w:val="0"/>
      <w:numFmt w:val="bullet"/>
      <w:lvlText w:val="•"/>
      <w:lvlJc w:val="left"/>
      <w:pPr>
        <w:ind w:left="5168" w:hanging="360"/>
      </w:pPr>
      <w:rPr>
        <w:rFonts w:hint="default"/>
      </w:rPr>
    </w:lvl>
    <w:lvl w:ilvl="5">
      <w:start w:val="0"/>
      <w:numFmt w:val="bullet"/>
      <w:lvlText w:val="•"/>
      <w:lvlJc w:val="left"/>
      <w:pPr>
        <w:ind w:left="6250" w:hanging="360"/>
      </w:pPr>
      <w:rPr>
        <w:rFonts w:hint="default"/>
      </w:rPr>
    </w:lvl>
    <w:lvl w:ilvl="6">
      <w:start w:val="0"/>
      <w:numFmt w:val="bullet"/>
      <w:lvlText w:val="•"/>
      <w:lvlJc w:val="left"/>
      <w:pPr>
        <w:ind w:left="7332" w:hanging="360"/>
      </w:pPr>
      <w:rPr>
        <w:rFonts w:hint="default"/>
      </w:rPr>
    </w:lvl>
    <w:lvl w:ilvl="7">
      <w:start w:val="0"/>
      <w:numFmt w:val="bullet"/>
      <w:lvlText w:val="•"/>
      <w:lvlJc w:val="left"/>
      <w:pPr>
        <w:ind w:left="8414" w:hanging="360"/>
      </w:pPr>
      <w:rPr>
        <w:rFonts w:hint="default"/>
      </w:rPr>
    </w:lvl>
    <w:lvl w:ilvl="8">
      <w:start w:val="0"/>
      <w:numFmt w:val="bullet"/>
      <w:lvlText w:val="•"/>
      <w:lvlJc w:val="left"/>
      <w:pPr>
        <w:ind w:left="9496" w:hanging="360"/>
      </w:pPr>
      <w:rPr>
        <w:rFonts w:hint="default"/>
      </w:rPr>
    </w:lvl>
  </w:abstractNum>
  <w:abstractNum w:abstractNumId="4">
    <w:multiLevelType w:val="hybridMultilevel"/>
    <w:lvl w:ilvl="0">
      <w:start w:val="3"/>
      <w:numFmt w:val="decimal"/>
      <w:lvlText w:val="%1"/>
      <w:lvlJc w:val="left"/>
      <w:pPr>
        <w:ind w:left="1117" w:hanging="713"/>
        <w:jc w:val="left"/>
      </w:pPr>
      <w:rPr>
        <w:rFonts w:hint="default"/>
      </w:rPr>
    </w:lvl>
    <w:lvl w:ilvl="1">
      <w:start w:val="32"/>
      <w:numFmt w:val="decimal"/>
      <w:lvlText w:val="%1.%2"/>
      <w:lvlJc w:val="left"/>
      <w:pPr>
        <w:ind w:left="1117" w:hanging="713"/>
        <w:jc w:val="right"/>
      </w:pPr>
      <w:rPr>
        <w:rFonts w:hint="default" w:ascii="Garamond" w:hAnsi="Garamond" w:eastAsia="Garamond" w:cs="Garamond"/>
        <w:w w:val="99"/>
        <w:sz w:val="38"/>
        <w:szCs w:val="38"/>
      </w:rPr>
    </w:lvl>
    <w:lvl w:ilvl="2">
      <w:start w:val="0"/>
      <w:numFmt w:val="bullet"/>
      <w:lvlText w:val="•"/>
      <w:lvlJc w:val="left"/>
      <w:pPr>
        <w:ind w:left="3228" w:hanging="713"/>
      </w:pPr>
      <w:rPr>
        <w:rFonts w:hint="default"/>
      </w:rPr>
    </w:lvl>
    <w:lvl w:ilvl="3">
      <w:start w:val="0"/>
      <w:numFmt w:val="bullet"/>
      <w:lvlText w:val="•"/>
      <w:lvlJc w:val="left"/>
      <w:pPr>
        <w:ind w:left="4282" w:hanging="713"/>
      </w:pPr>
      <w:rPr>
        <w:rFonts w:hint="default"/>
      </w:rPr>
    </w:lvl>
    <w:lvl w:ilvl="4">
      <w:start w:val="0"/>
      <w:numFmt w:val="bullet"/>
      <w:lvlText w:val="•"/>
      <w:lvlJc w:val="left"/>
      <w:pPr>
        <w:ind w:left="5336" w:hanging="713"/>
      </w:pPr>
      <w:rPr>
        <w:rFonts w:hint="default"/>
      </w:rPr>
    </w:lvl>
    <w:lvl w:ilvl="5">
      <w:start w:val="0"/>
      <w:numFmt w:val="bullet"/>
      <w:lvlText w:val="•"/>
      <w:lvlJc w:val="left"/>
      <w:pPr>
        <w:ind w:left="6390" w:hanging="713"/>
      </w:pPr>
      <w:rPr>
        <w:rFonts w:hint="default"/>
      </w:rPr>
    </w:lvl>
    <w:lvl w:ilvl="6">
      <w:start w:val="0"/>
      <w:numFmt w:val="bullet"/>
      <w:lvlText w:val="•"/>
      <w:lvlJc w:val="left"/>
      <w:pPr>
        <w:ind w:left="7444" w:hanging="713"/>
      </w:pPr>
      <w:rPr>
        <w:rFonts w:hint="default"/>
      </w:rPr>
    </w:lvl>
    <w:lvl w:ilvl="7">
      <w:start w:val="0"/>
      <w:numFmt w:val="bullet"/>
      <w:lvlText w:val="•"/>
      <w:lvlJc w:val="left"/>
      <w:pPr>
        <w:ind w:left="8498" w:hanging="713"/>
      </w:pPr>
      <w:rPr>
        <w:rFonts w:hint="default"/>
      </w:rPr>
    </w:lvl>
    <w:lvl w:ilvl="8">
      <w:start w:val="0"/>
      <w:numFmt w:val="bullet"/>
      <w:lvlText w:val="•"/>
      <w:lvlJc w:val="left"/>
      <w:pPr>
        <w:ind w:left="9552" w:hanging="713"/>
      </w:pPr>
      <w:rPr>
        <w:rFonts w:hint="default"/>
      </w:rPr>
    </w:lvl>
  </w:abstractNum>
  <w:abstractNum w:abstractNumId="3">
    <w:multiLevelType w:val="hybridMultilevel"/>
    <w:lvl w:ilvl="0">
      <w:start w:val="3"/>
      <w:numFmt w:val="decimal"/>
      <w:lvlText w:val="%1"/>
      <w:lvlJc w:val="left"/>
      <w:pPr>
        <w:ind w:left="1117" w:hanging="713"/>
        <w:jc w:val="left"/>
      </w:pPr>
      <w:rPr>
        <w:rFonts w:hint="default"/>
      </w:rPr>
    </w:lvl>
    <w:lvl w:ilvl="1">
      <w:start w:val="25"/>
      <w:numFmt w:val="decimal"/>
      <w:lvlText w:val="%1.%2"/>
      <w:lvlJc w:val="left"/>
      <w:pPr>
        <w:ind w:left="1117" w:hanging="713"/>
        <w:jc w:val="left"/>
      </w:pPr>
      <w:rPr>
        <w:rFonts w:hint="default" w:ascii="Garamond" w:hAnsi="Garamond" w:eastAsia="Garamond" w:cs="Garamond"/>
        <w:spacing w:val="-1"/>
        <w:w w:val="99"/>
        <w:sz w:val="38"/>
        <w:szCs w:val="38"/>
      </w:rPr>
    </w:lvl>
    <w:lvl w:ilvl="2">
      <w:start w:val="0"/>
      <w:numFmt w:val="bullet"/>
      <w:lvlText w:val="•"/>
      <w:lvlJc w:val="left"/>
      <w:pPr>
        <w:ind w:left="3228" w:hanging="713"/>
      </w:pPr>
      <w:rPr>
        <w:rFonts w:hint="default"/>
      </w:rPr>
    </w:lvl>
    <w:lvl w:ilvl="3">
      <w:start w:val="0"/>
      <w:numFmt w:val="bullet"/>
      <w:lvlText w:val="•"/>
      <w:lvlJc w:val="left"/>
      <w:pPr>
        <w:ind w:left="4282" w:hanging="713"/>
      </w:pPr>
      <w:rPr>
        <w:rFonts w:hint="default"/>
      </w:rPr>
    </w:lvl>
    <w:lvl w:ilvl="4">
      <w:start w:val="0"/>
      <w:numFmt w:val="bullet"/>
      <w:lvlText w:val="•"/>
      <w:lvlJc w:val="left"/>
      <w:pPr>
        <w:ind w:left="5336" w:hanging="713"/>
      </w:pPr>
      <w:rPr>
        <w:rFonts w:hint="default"/>
      </w:rPr>
    </w:lvl>
    <w:lvl w:ilvl="5">
      <w:start w:val="0"/>
      <w:numFmt w:val="bullet"/>
      <w:lvlText w:val="•"/>
      <w:lvlJc w:val="left"/>
      <w:pPr>
        <w:ind w:left="6390" w:hanging="713"/>
      </w:pPr>
      <w:rPr>
        <w:rFonts w:hint="default"/>
      </w:rPr>
    </w:lvl>
    <w:lvl w:ilvl="6">
      <w:start w:val="0"/>
      <w:numFmt w:val="bullet"/>
      <w:lvlText w:val="•"/>
      <w:lvlJc w:val="left"/>
      <w:pPr>
        <w:ind w:left="7444" w:hanging="713"/>
      </w:pPr>
      <w:rPr>
        <w:rFonts w:hint="default"/>
      </w:rPr>
    </w:lvl>
    <w:lvl w:ilvl="7">
      <w:start w:val="0"/>
      <w:numFmt w:val="bullet"/>
      <w:lvlText w:val="•"/>
      <w:lvlJc w:val="left"/>
      <w:pPr>
        <w:ind w:left="8498" w:hanging="713"/>
      </w:pPr>
      <w:rPr>
        <w:rFonts w:hint="default"/>
      </w:rPr>
    </w:lvl>
    <w:lvl w:ilvl="8">
      <w:start w:val="0"/>
      <w:numFmt w:val="bullet"/>
      <w:lvlText w:val="•"/>
      <w:lvlJc w:val="left"/>
      <w:pPr>
        <w:ind w:left="9552" w:hanging="713"/>
      </w:pPr>
      <w:rPr>
        <w:rFonts w:hint="default"/>
      </w:rPr>
    </w:lvl>
  </w:abstractNum>
  <w:abstractNum w:abstractNumId="2">
    <w:multiLevelType w:val="hybridMultilevel"/>
    <w:lvl w:ilvl="0">
      <w:start w:val="3"/>
      <w:numFmt w:val="decimal"/>
      <w:lvlText w:val="%1"/>
      <w:lvlJc w:val="left"/>
      <w:pPr>
        <w:ind w:left="1117" w:hanging="713"/>
        <w:jc w:val="left"/>
      </w:pPr>
      <w:rPr>
        <w:rFonts w:hint="default"/>
      </w:rPr>
    </w:lvl>
    <w:lvl w:ilvl="1">
      <w:start w:val="10"/>
      <w:numFmt w:val="decimal"/>
      <w:lvlText w:val="%1.%2"/>
      <w:lvlJc w:val="left"/>
      <w:pPr>
        <w:ind w:left="1117" w:hanging="713"/>
        <w:jc w:val="left"/>
      </w:pPr>
      <w:rPr>
        <w:rFonts w:hint="default" w:ascii="Garamond" w:hAnsi="Garamond" w:eastAsia="Garamond" w:cs="Garamond"/>
        <w:w w:val="99"/>
        <w:sz w:val="38"/>
        <w:szCs w:val="38"/>
      </w:rPr>
    </w:lvl>
    <w:lvl w:ilvl="2">
      <w:start w:val="0"/>
      <w:numFmt w:val="bullet"/>
      <w:lvlText w:val="•"/>
      <w:lvlJc w:val="left"/>
      <w:pPr>
        <w:ind w:left="3228" w:hanging="713"/>
      </w:pPr>
      <w:rPr>
        <w:rFonts w:hint="default"/>
      </w:rPr>
    </w:lvl>
    <w:lvl w:ilvl="3">
      <w:start w:val="0"/>
      <w:numFmt w:val="bullet"/>
      <w:lvlText w:val="•"/>
      <w:lvlJc w:val="left"/>
      <w:pPr>
        <w:ind w:left="4282" w:hanging="713"/>
      </w:pPr>
      <w:rPr>
        <w:rFonts w:hint="default"/>
      </w:rPr>
    </w:lvl>
    <w:lvl w:ilvl="4">
      <w:start w:val="0"/>
      <w:numFmt w:val="bullet"/>
      <w:lvlText w:val="•"/>
      <w:lvlJc w:val="left"/>
      <w:pPr>
        <w:ind w:left="5336" w:hanging="713"/>
      </w:pPr>
      <w:rPr>
        <w:rFonts w:hint="default"/>
      </w:rPr>
    </w:lvl>
    <w:lvl w:ilvl="5">
      <w:start w:val="0"/>
      <w:numFmt w:val="bullet"/>
      <w:lvlText w:val="•"/>
      <w:lvlJc w:val="left"/>
      <w:pPr>
        <w:ind w:left="6390" w:hanging="713"/>
      </w:pPr>
      <w:rPr>
        <w:rFonts w:hint="default"/>
      </w:rPr>
    </w:lvl>
    <w:lvl w:ilvl="6">
      <w:start w:val="0"/>
      <w:numFmt w:val="bullet"/>
      <w:lvlText w:val="•"/>
      <w:lvlJc w:val="left"/>
      <w:pPr>
        <w:ind w:left="7444" w:hanging="713"/>
      </w:pPr>
      <w:rPr>
        <w:rFonts w:hint="default"/>
      </w:rPr>
    </w:lvl>
    <w:lvl w:ilvl="7">
      <w:start w:val="0"/>
      <w:numFmt w:val="bullet"/>
      <w:lvlText w:val="•"/>
      <w:lvlJc w:val="left"/>
      <w:pPr>
        <w:ind w:left="8498" w:hanging="713"/>
      </w:pPr>
      <w:rPr>
        <w:rFonts w:hint="default"/>
      </w:rPr>
    </w:lvl>
    <w:lvl w:ilvl="8">
      <w:start w:val="0"/>
      <w:numFmt w:val="bullet"/>
      <w:lvlText w:val="•"/>
      <w:lvlJc w:val="left"/>
      <w:pPr>
        <w:ind w:left="9552" w:hanging="713"/>
      </w:pPr>
      <w:rPr>
        <w:rFonts w:hint="default"/>
      </w:rPr>
    </w:lvl>
  </w:abstractNum>
  <w:abstractNum w:abstractNumId="1">
    <w:multiLevelType w:val="hybridMultilevel"/>
    <w:lvl w:ilvl="0">
      <w:start w:val="3"/>
      <w:numFmt w:val="decimal"/>
      <w:lvlText w:val="%1."/>
      <w:lvlJc w:val="left"/>
      <w:pPr>
        <w:ind w:left="488" w:hanging="372"/>
        <w:jc w:val="left"/>
      </w:pPr>
      <w:rPr>
        <w:rFonts w:hint="default" w:ascii="Garamond" w:hAnsi="Garamond" w:eastAsia="Garamond" w:cs="Garamond"/>
        <w:b/>
        <w:bCs/>
        <w:w w:val="99"/>
        <w:sz w:val="38"/>
        <w:szCs w:val="38"/>
      </w:rPr>
    </w:lvl>
    <w:lvl w:ilvl="1">
      <w:start w:val="1"/>
      <w:numFmt w:val="decimal"/>
      <w:lvlText w:val="%1.%2"/>
      <w:lvlJc w:val="left"/>
      <w:pPr>
        <w:ind w:left="937" w:hanging="533"/>
        <w:jc w:val="left"/>
      </w:pPr>
      <w:rPr>
        <w:rFonts w:hint="default" w:ascii="Garamond" w:hAnsi="Garamond" w:eastAsia="Garamond" w:cs="Garamond"/>
        <w:spacing w:val="-1"/>
        <w:w w:val="99"/>
        <w:sz w:val="38"/>
        <w:szCs w:val="38"/>
      </w:rPr>
    </w:lvl>
    <w:lvl w:ilvl="2">
      <w:start w:val="0"/>
      <w:numFmt w:val="bullet"/>
      <w:lvlText w:val="•"/>
      <w:lvlJc w:val="left"/>
      <w:pPr>
        <w:ind w:left="2131" w:hanging="533"/>
      </w:pPr>
      <w:rPr>
        <w:rFonts w:hint="default"/>
      </w:rPr>
    </w:lvl>
    <w:lvl w:ilvl="3">
      <w:start w:val="0"/>
      <w:numFmt w:val="bullet"/>
      <w:lvlText w:val="•"/>
      <w:lvlJc w:val="left"/>
      <w:pPr>
        <w:ind w:left="3322" w:hanging="533"/>
      </w:pPr>
      <w:rPr>
        <w:rFonts w:hint="default"/>
      </w:rPr>
    </w:lvl>
    <w:lvl w:ilvl="4">
      <w:start w:val="0"/>
      <w:numFmt w:val="bullet"/>
      <w:lvlText w:val="•"/>
      <w:lvlJc w:val="left"/>
      <w:pPr>
        <w:ind w:left="4513" w:hanging="533"/>
      </w:pPr>
      <w:rPr>
        <w:rFonts w:hint="default"/>
      </w:rPr>
    </w:lvl>
    <w:lvl w:ilvl="5">
      <w:start w:val="0"/>
      <w:numFmt w:val="bullet"/>
      <w:lvlText w:val="•"/>
      <w:lvlJc w:val="left"/>
      <w:pPr>
        <w:ind w:left="5704" w:hanging="533"/>
      </w:pPr>
      <w:rPr>
        <w:rFonts w:hint="default"/>
      </w:rPr>
    </w:lvl>
    <w:lvl w:ilvl="6">
      <w:start w:val="0"/>
      <w:numFmt w:val="bullet"/>
      <w:lvlText w:val="•"/>
      <w:lvlJc w:val="left"/>
      <w:pPr>
        <w:ind w:left="6896" w:hanging="533"/>
      </w:pPr>
      <w:rPr>
        <w:rFonts w:hint="default"/>
      </w:rPr>
    </w:lvl>
    <w:lvl w:ilvl="7">
      <w:start w:val="0"/>
      <w:numFmt w:val="bullet"/>
      <w:lvlText w:val="•"/>
      <w:lvlJc w:val="left"/>
      <w:pPr>
        <w:ind w:left="8087" w:hanging="533"/>
      </w:pPr>
      <w:rPr>
        <w:rFonts w:hint="default"/>
      </w:rPr>
    </w:lvl>
    <w:lvl w:ilvl="8">
      <w:start w:val="0"/>
      <w:numFmt w:val="bullet"/>
      <w:lvlText w:val="•"/>
      <w:lvlJc w:val="left"/>
      <w:pPr>
        <w:ind w:left="9278" w:hanging="533"/>
      </w:pPr>
      <w:rPr>
        <w:rFonts w:hint="default"/>
      </w:rPr>
    </w:lvl>
  </w:abstractNum>
  <w:abstractNum w:abstractNumId="0">
    <w:multiLevelType w:val="hybridMultilevel"/>
    <w:lvl w:ilvl="0">
      <w:start w:val="1"/>
      <w:numFmt w:val="decimal"/>
      <w:lvlText w:val="%1"/>
      <w:lvlJc w:val="left"/>
      <w:pPr>
        <w:ind w:left="363" w:hanging="248"/>
        <w:jc w:val="left"/>
      </w:pPr>
      <w:rPr>
        <w:rFonts w:hint="default"/>
        <w:w w:val="99"/>
        <w:u w:val="single" w:color="0000FF"/>
      </w:rPr>
    </w:lvl>
    <w:lvl w:ilvl="1">
      <w:start w:val="1"/>
      <w:numFmt w:val="decimal"/>
      <w:lvlText w:val="%1.%2"/>
      <w:lvlJc w:val="left"/>
      <w:pPr>
        <w:ind w:left="973" w:hanging="535"/>
        <w:jc w:val="left"/>
      </w:pPr>
      <w:rPr>
        <w:rFonts w:hint="default" w:ascii="Garamond" w:hAnsi="Garamond" w:eastAsia="Garamond" w:cs="Garamond"/>
        <w:w w:val="99"/>
        <w:sz w:val="38"/>
        <w:szCs w:val="38"/>
      </w:rPr>
    </w:lvl>
    <w:lvl w:ilvl="2">
      <w:start w:val="0"/>
      <w:numFmt w:val="bullet"/>
      <w:lvlText w:val="•"/>
      <w:lvlJc w:val="left"/>
      <w:pPr>
        <w:ind w:left="2166" w:hanging="535"/>
      </w:pPr>
      <w:rPr>
        <w:rFonts w:hint="default"/>
      </w:rPr>
    </w:lvl>
    <w:lvl w:ilvl="3">
      <w:start w:val="0"/>
      <w:numFmt w:val="bullet"/>
      <w:lvlText w:val="•"/>
      <w:lvlJc w:val="left"/>
      <w:pPr>
        <w:ind w:left="3353" w:hanging="535"/>
      </w:pPr>
      <w:rPr>
        <w:rFonts w:hint="default"/>
      </w:rPr>
    </w:lvl>
    <w:lvl w:ilvl="4">
      <w:start w:val="0"/>
      <w:numFmt w:val="bullet"/>
      <w:lvlText w:val="•"/>
      <w:lvlJc w:val="left"/>
      <w:pPr>
        <w:ind w:left="4540" w:hanging="535"/>
      </w:pPr>
      <w:rPr>
        <w:rFonts w:hint="default"/>
      </w:rPr>
    </w:lvl>
    <w:lvl w:ilvl="5">
      <w:start w:val="0"/>
      <w:numFmt w:val="bullet"/>
      <w:lvlText w:val="•"/>
      <w:lvlJc w:val="left"/>
      <w:pPr>
        <w:ind w:left="5727" w:hanging="535"/>
      </w:pPr>
      <w:rPr>
        <w:rFonts w:hint="default"/>
      </w:rPr>
    </w:lvl>
    <w:lvl w:ilvl="6">
      <w:start w:val="0"/>
      <w:numFmt w:val="bullet"/>
      <w:lvlText w:val="•"/>
      <w:lvlJc w:val="left"/>
      <w:pPr>
        <w:ind w:left="6913" w:hanging="535"/>
      </w:pPr>
      <w:rPr>
        <w:rFonts w:hint="default"/>
      </w:rPr>
    </w:lvl>
    <w:lvl w:ilvl="7">
      <w:start w:val="0"/>
      <w:numFmt w:val="bullet"/>
      <w:lvlText w:val="•"/>
      <w:lvlJc w:val="left"/>
      <w:pPr>
        <w:ind w:left="8100" w:hanging="535"/>
      </w:pPr>
      <w:rPr>
        <w:rFonts w:hint="default"/>
      </w:rPr>
    </w:lvl>
    <w:lvl w:ilvl="8">
      <w:start w:val="0"/>
      <w:numFmt w:val="bullet"/>
      <w:lvlText w:val="•"/>
      <w:lvlJc w:val="left"/>
      <w:pPr>
        <w:ind w:left="9287" w:hanging="535"/>
      </w:pPr>
      <w:rPr>
        <w:rFonts w:hint="default"/>
      </w:rPr>
    </w:lvl>
  </w:abstractNum>
  <w:num w:numId="124">
    <w:abstractNumId w:val="123"/>
  </w:num>
  <w:num w:numId="112">
    <w:abstractNumId w:val="111"/>
  </w:num>
  <w:num w:numId="29">
    <w:abstractNumId w:val="28"/>
  </w:num>
  <w:num w:numId="19">
    <w:abstractNumId w:val="18"/>
  </w:num>
  <w:num w:numId="9">
    <w:abstractNumId w:val="8"/>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aramond" w:hAnsi="Garamond" w:eastAsia="Garamond" w:cs="Garamond"/>
    </w:rPr>
  </w:style>
  <w:style w:styleId="BodyText" w:type="paragraph">
    <w:name w:val="Body Text"/>
    <w:basedOn w:val="Normal"/>
    <w:uiPriority w:val="1"/>
    <w:qFormat/>
    <w:pPr/>
    <w:rPr>
      <w:rFonts w:ascii="Garamond" w:hAnsi="Garamond" w:eastAsia="Garamond" w:cs="Garamond"/>
      <w:sz w:val="38"/>
      <w:szCs w:val="38"/>
    </w:rPr>
  </w:style>
  <w:style w:styleId="Heading1" w:type="paragraph">
    <w:name w:val="Heading 1"/>
    <w:basedOn w:val="Normal"/>
    <w:uiPriority w:val="1"/>
    <w:qFormat/>
    <w:pPr>
      <w:spacing w:before="224"/>
      <w:ind w:left="477"/>
      <w:outlineLvl w:val="1"/>
    </w:pPr>
    <w:rPr>
      <w:rFonts w:ascii="Garamond" w:hAnsi="Garamond" w:eastAsia="Garamond" w:cs="Garamond"/>
      <w:b/>
      <w:bCs/>
      <w:i/>
      <w:sz w:val="40"/>
      <w:szCs w:val="40"/>
    </w:rPr>
  </w:style>
  <w:style w:styleId="Heading2" w:type="paragraph">
    <w:name w:val="Heading 2"/>
    <w:basedOn w:val="Normal"/>
    <w:uiPriority w:val="1"/>
    <w:qFormat/>
    <w:pPr>
      <w:ind w:left="477"/>
      <w:outlineLvl w:val="2"/>
    </w:pPr>
    <w:rPr>
      <w:rFonts w:ascii="Garamond" w:hAnsi="Garamond" w:eastAsia="Garamond" w:cs="Garamond"/>
      <w:b/>
      <w:bCs/>
      <w:sz w:val="38"/>
      <w:szCs w:val="38"/>
    </w:rPr>
  </w:style>
  <w:style w:styleId="ListParagraph" w:type="paragraph">
    <w:name w:val="List Paragraph"/>
    <w:basedOn w:val="Normal"/>
    <w:uiPriority w:val="1"/>
    <w:qFormat/>
    <w:pPr>
      <w:spacing w:before="184"/>
      <w:ind w:left="1197" w:hanging="360"/>
    </w:pPr>
    <w:rPr>
      <w:rFonts w:ascii="Garamond" w:hAnsi="Garamond" w:eastAsia="Garamond" w:cs="Garamond"/>
    </w:rPr>
  </w:style>
  <w:style w:styleId="TableParagraph" w:type="paragraph">
    <w:name w:val="Table Paragraph"/>
    <w:basedOn w:val="Normal"/>
    <w:uiPriority w:val="1"/>
    <w:qFormat/>
    <w:pPr/>
    <w:rPr>
      <w:rFonts w:ascii="Garamond" w:hAnsi="Garamond" w:eastAsia="Garamond" w:cs="Garamond"/>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hyperlink" Target="http://www.medicalnewstoday.com/articles/288916.php" TargetMode="External"/><Relationship Id="rId8" Type="http://schemas.openxmlformats.org/officeDocument/2006/relationships/hyperlink" Target="http://www.brisante-krebsheilung.com/" TargetMode="External"/><Relationship Id="rId9" Type="http://schemas.openxmlformats.org/officeDocument/2006/relationships/hyperlink" Target="http://www.ncbi.nlm.nih.gov/pmc/articles/PMC4551172/" TargetMode="External"/><Relationship Id="rId10" Type="http://schemas.openxmlformats.org/officeDocument/2006/relationships/hyperlink" Target="http://www.naturheilkunde-news.de/2008/05/07/folsaeure-helfer-gegen-depressionen-gedaechtnisverlust-und-schlaganfall/" TargetMode="External"/><Relationship Id="rId11" Type="http://schemas.openxmlformats.org/officeDocument/2006/relationships/hyperlink" Target="http://www.stern.de/gesundheit/johanniskraut-gegen-traurigkeit-gewachsen-1524813.html" TargetMode="External"/><Relationship Id="rId12" Type="http://schemas.openxmlformats.org/officeDocument/2006/relationships/hyperlink" Target="http://www.welt.de/wissenschaft/article1405811/Die-dunklen-Seiten-der-Gluecksdrogen.html" TargetMode="External"/><Relationship Id="rId13" Type="http://schemas.openxmlformats.org/officeDocument/2006/relationships/image" Target="media/image3.jpeg"/><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hyperlink" Target="http://www.team-andro.com/" TargetMode="External"/><Relationship Id="rId17" Type="http://schemas.openxmlformats.org/officeDocument/2006/relationships/footer" Target="footer4.xml"/><Relationship Id="rId18" Type="http://schemas.openxmlformats.org/officeDocument/2006/relationships/hyperlink" Target="http://www.geschichteinchronologie.ch/med/Mutter_amalgam-zivilisationskrankheiten.htm" TargetMode="External"/><Relationship Id="rId19" Type="http://schemas.openxmlformats.org/officeDocument/2006/relationships/footer" Target="footer5.xml"/><Relationship Id="rId20" Type="http://schemas.openxmlformats.org/officeDocument/2006/relationships/footer" Target="footer6.xml"/><Relationship Id="rId21" Type="http://schemas.openxmlformats.org/officeDocument/2006/relationships/image" Target="media/image2.jpeg"/><Relationship Id="rId22" Type="http://schemas.openxmlformats.org/officeDocument/2006/relationships/footer" Target="footer7.xml"/><Relationship Id="rId23" Type="http://schemas.openxmlformats.org/officeDocument/2006/relationships/footer" Target="footer8.xml"/><Relationship Id="rId24" Type="http://schemas.openxmlformats.org/officeDocument/2006/relationships/footer" Target="footer9.xml"/><Relationship Id="rId25" Type="http://schemas.openxmlformats.org/officeDocument/2006/relationships/image" Target="media/image4.jpeg"/><Relationship Id="rId26" Type="http://schemas.openxmlformats.org/officeDocument/2006/relationships/footer" Target="footer10.xml"/><Relationship Id="rId27" Type="http://schemas.openxmlformats.org/officeDocument/2006/relationships/footer" Target="footer11.xml"/><Relationship Id="rId28" Type="http://schemas.openxmlformats.org/officeDocument/2006/relationships/footer" Target="footer12.xml"/><Relationship Id="rId29" Type="http://schemas.openxmlformats.org/officeDocument/2006/relationships/footer" Target="footer13.xml"/><Relationship Id="rId30" Type="http://schemas.openxmlformats.org/officeDocument/2006/relationships/footer" Target="footer14.xml"/><Relationship Id="rId31" Type="http://schemas.openxmlformats.org/officeDocument/2006/relationships/footer" Target="footer15.xml"/><Relationship Id="rId32" Type="http://schemas.openxmlformats.org/officeDocument/2006/relationships/footer" Target="footer16.xml"/><Relationship Id="rId33" Type="http://schemas.openxmlformats.org/officeDocument/2006/relationships/hyperlink" Target="http://brigitte-van-hattem.suite101.de/bromelain-das-ananasenzym-a44123" TargetMode="External"/><Relationship Id="rId34" Type="http://schemas.openxmlformats.org/officeDocument/2006/relationships/footer" Target="footer17.xml"/><Relationship Id="rId35" Type="http://schemas.openxmlformats.org/officeDocument/2006/relationships/footer" Target="footer18.xml"/><Relationship Id="rId36" Type="http://schemas.openxmlformats.org/officeDocument/2006/relationships/footer" Target="footer19.xml"/><Relationship Id="rId37" Type="http://schemas.openxmlformats.org/officeDocument/2006/relationships/footer" Target="footer20.xml"/><Relationship Id="rId38" Type="http://schemas.openxmlformats.org/officeDocument/2006/relationships/image" Target="media/image5.png"/><Relationship Id="rId39" Type="http://schemas.openxmlformats.org/officeDocument/2006/relationships/footer" Target="footer21.xml"/><Relationship Id="rId40" Type="http://schemas.openxmlformats.org/officeDocument/2006/relationships/footer" Target="footer22.xml"/><Relationship Id="rId41" Type="http://schemas.openxmlformats.org/officeDocument/2006/relationships/footer" Target="footer23.xml"/><Relationship Id="rId42" Type="http://schemas.openxmlformats.org/officeDocument/2006/relationships/footer" Target="footer24.xml"/><Relationship Id="rId43" Type="http://schemas.openxmlformats.org/officeDocument/2006/relationships/footer" Target="footer25.xml"/><Relationship Id="rId44" Type="http://schemas.openxmlformats.org/officeDocument/2006/relationships/footer" Target="footer26.xml"/><Relationship Id="rId45" Type="http://schemas.openxmlformats.org/officeDocument/2006/relationships/footer" Target="footer27.xml"/><Relationship Id="rId46" Type="http://schemas.openxmlformats.org/officeDocument/2006/relationships/footer" Target="footer28.xml"/><Relationship Id="rId47" Type="http://schemas.openxmlformats.org/officeDocument/2006/relationships/footer" Target="footer29.xml"/><Relationship Id="rId48" Type="http://schemas.openxmlformats.org/officeDocument/2006/relationships/footer" Target="footer30.xml"/><Relationship Id="rId49" Type="http://schemas.openxmlformats.org/officeDocument/2006/relationships/footer" Target="footer31.xml"/><Relationship Id="rId50" Type="http://schemas.openxmlformats.org/officeDocument/2006/relationships/footer" Target="footer32.xml"/><Relationship Id="rId51" Type="http://schemas.openxmlformats.org/officeDocument/2006/relationships/footer" Target="footer33.xml"/><Relationship Id="rId52" Type="http://schemas.openxmlformats.org/officeDocument/2006/relationships/footer" Target="footer34.xml"/><Relationship Id="rId53" Type="http://schemas.openxmlformats.org/officeDocument/2006/relationships/hyperlink" Target="http://www.bioportfolio.com/" TargetMode="External"/><Relationship Id="rId54" Type="http://schemas.openxmlformats.org/officeDocument/2006/relationships/footer" Target="footer35.xml"/><Relationship Id="rId55" Type="http://schemas.openxmlformats.org/officeDocument/2006/relationships/footer" Target="footer36.xml"/><Relationship Id="rId56" Type="http://schemas.openxmlformats.org/officeDocument/2006/relationships/hyperlink" Target="http://astragalus-astragaloside.org/2011/08/" TargetMode="External"/><Relationship Id="rId57" Type="http://schemas.openxmlformats.org/officeDocument/2006/relationships/footer" Target="footer37.xml"/><Relationship Id="rId58" Type="http://schemas.openxmlformats.org/officeDocument/2006/relationships/hyperlink" Target="http://slightimmortality.blogspot.de/" TargetMode="External"/><Relationship Id="rId59" Type="http://schemas.openxmlformats.org/officeDocument/2006/relationships/footer" Target="footer38.xml"/><Relationship Id="rId60" Type="http://schemas.openxmlformats.org/officeDocument/2006/relationships/footer" Target="footer39.xml"/><Relationship Id="rId61" Type="http://schemas.openxmlformats.org/officeDocument/2006/relationships/footer" Target="footer40.xml"/><Relationship Id="rId62" Type="http://schemas.openxmlformats.org/officeDocument/2006/relationships/footer" Target="footer41.xml"/><Relationship Id="rId63" Type="http://schemas.openxmlformats.org/officeDocument/2006/relationships/hyperlink" Target="http://www.zentrum-der-gesundheit.de/beta-carotin-ia.html" TargetMode="External"/><Relationship Id="rId64" Type="http://schemas.openxmlformats.org/officeDocument/2006/relationships/footer" Target="footer42.xml"/><Relationship Id="rId65" Type="http://schemas.openxmlformats.org/officeDocument/2006/relationships/footer" Target="footer43.xml"/><Relationship Id="rId66" Type="http://schemas.openxmlformats.org/officeDocument/2006/relationships/footer" Target="footer44.xml"/><Relationship Id="rId67" Type="http://schemas.openxmlformats.org/officeDocument/2006/relationships/footer" Target="footer45.xml"/><Relationship Id="rId68" Type="http://schemas.openxmlformats.org/officeDocument/2006/relationships/footer" Target="footer46.xml"/><Relationship Id="rId69" Type="http://schemas.openxmlformats.org/officeDocument/2006/relationships/footer" Target="footer47.xml"/><Relationship Id="rId70" Type="http://schemas.openxmlformats.org/officeDocument/2006/relationships/footer" Target="footer48.xml"/><Relationship Id="rId71" Type="http://schemas.openxmlformats.org/officeDocument/2006/relationships/footer" Target="footer49.xml"/><Relationship Id="rId72" Type="http://schemas.openxmlformats.org/officeDocument/2006/relationships/footer" Target="footer50.xml"/><Relationship Id="rId73" Type="http://schemas.openxmlformats.org/officeDocument/2006/relationships/footer" Target="footer51.xml"/><Relationship Id="rId74" Type="http://schemas.openxmlformats.org/officeDocument/2006/relationships/footer" Target="footer52.xml"/><Relationship Id="rId75" Type="http://schemas.openxmlformats.org/officeDocument/2006/relationships/footer" Target="footer53.xml"/><Relationship Id="rId76" Type="http://schemas.openxmlformats.org/officeDocument/2006/relationships/footer" Target="footer54.xml"/><Relationship Id="rId77" Type="http://schemas.openxmlformats.org/officeDocument/2006/relationships/footer" Target="footer55.xml"/><Relationship Id="rId78" Type="http://schemas.openxmlformats.org/officeDocument/2006/relationships/hyperlink" Target="http://www.healthline.com/health/multiple-sclerosis/facts-statistics-infographic" TargetMode="External"/><Relationship Id="rId79" Type="http://schemas.openxmlformats.org/officeDocument/2006/relationships/footer" Target="footer56.xml"/><Relationship Id="rId80" Type="http://schemas.openxmlformats.org/officeDocument/2006/relationships/footer" Target="footer57.xml"/><Relationship Id="rId81" Type="http://schemas.openxmlformats.org/officeDocument/2006/relationships/footer" Target="footer58.xml"/><Relationship Id="rId82" Type="http://schemas.openxmlformats.org/officeDocument/2006/relationships/hyperlink" Target="http://www.vetcontact.com/de/art.php?a=2141&amp;amp;t" TargetMode="External"/><Relationship Id="rId83" Type="http://schemas.openxmlformats.org/officeDocument/2006/relationships/hyperlink" Target="http://www.naturheilt.com/Inhalt/Antibio.htm" TargetMode="External"/><Relationship Id="rId84" Type="http://schemas.openxmlformats.org/officeDocument/2006/relationships/footer" Target="footer59.xml"/><Relationship Id="rId85" Type="http://schemas.openxmlformats.org/officeDocument/2006/relationships/footer" Target="footer60.xml"/><Relationship Id="rId86" Type="http://schemas.openxmlformats.org/officeDocument/2006/relationships/footer" Target="footer61.xml"/><Relationship Id="rId87" Type="http://schemas.openxmlformats.org/officeDocument/2006/relationships/footer" Target="footer62.xml"/><Relationship Id="rId88" Type="http://schemas.openxmlformats.org/officeDocument/2006/relationships/footer" Target="footer63.xml"/><Relationship Id="rId89" Type="http://schemas.openxmlformats.org/officeDocument/2006/relationships/footer" Target="footer64.xml"/><Relationship Id="rId90" Type="http://schemas.openxmlformats.org/officeDocument/2006/relationships/footer" Target="footer65.xml"/><Relationship Id="rId91" Type="http://schemas.openxmlformats.org/officeDocument/2006/relationships/hyperlink" Target="http://www.bankhofer-gesundheitstipps.de/artikel/98-Curcuma-als-Heilmittel-Staerkt-die-Leber%2C-schuetzt-vor-Diabetes-und-Cholesterin.html" TargetMode="External"/><Relationship Id="rId92" Type="http://schemas.openxmlformats.org/officeDocument/2006/relationships/footer" Target="footer66.xml"/><Relationship Id="rId93" Type="http://schemas.openxmlformats.org/officeDocument/2006/relationships/footer" Target="footer67.xml"/><Relationship Id="rId94" Type="http://schemas.openxmlformats.org/officeDocument/2006/relationships/footer" Target="footer68.xml"/><Relationship Id="rId95" Type="http://schemas.openxmlformats.org/officeDocument/2006/relationships/footer" Target="footer69.xml"/><Relationship Id="rId96" Type="http://schemas.openxmlformats.org/officeDocument/2006/relationships/footer" Target="footer70.xml"/><Relationship Id="rId97" Type="http://schemas.openxmlformats.org/officeDocument/2006/relationships/footer" Target="footer71.xml"/><Relationship Id="rId98" Type="http://schemas.openxmlformats.org/officeDocument/2006/relationships/footer" Target="footer72.xml"/><Relationship Id="rId99" Type="http://schemas.openxmlformats.org/officeDocument/2006/relationships/footer" Target="footer73.xml"/><Relationship Id="rId100" Type="http://schemas.openxmlformats.org/officeDocument/2006/relationships/footer" Target="footer74.xml"/><Relationship Id="rId101" Type="http://schemas.openxmlformats.org/officeDocument/2006/relationships/footer" Target="footer75.xml"/><Relationship Id="rId102" Type="http://schemas.openxmlformats.org/officeDocument/2006/relationships/footer" Target="footer76.xml"/><Relationship Id="rId103" Type="http://schemas.openxmlformats.org/officeDocument/2006/relationships/footer" Target="footer77.xml"/><Relationship Id="rId104" Type="http://schemas.openxmlformats.org/officeDocument/2006/relationships/footer" Target="footer78.xml"/><Relationship Id="rId105" Type="http://schemas.openxmlformats.org/officeDocument/2006/relationships/footer" Target="footer79.xml"/><Relationship Id="rId106" Type="http://schemas.openxmlformats.org/officeDocument/2006/relationships/hyperlink" Target="http://en.wikipedia.org/wiki/Rupatadin" TargetMode="External"/><Relationship Id="rId107" Type="http://schemas.openxmlformats.org/officeDocument/2006/relationships/footer" Target="footer80.xml"/><Relationship Id="rId108" Type="http://schemas.openxmlformats.org/officeDocument/2006/relationships/hyperlink" Target="http://www.pubmed.com/" TargetMode="External"/><Relationship Id="rId109" Type="http://schemas.openxmlformats.org/officeDocument/2006/relationships/footer" Target="footer81.xml"/><Relationship Id="rId110" Type="http://schemas.openxmlformats.org/officeDocument/2006/relationships/footer" Target="footer82.xml"/><Relationship Id="rId111" Type="http://schemas.openxmlformats.org/officeDocument/2006/relationships/footer" Target="footer83.xml"/><Relationship Id="rId112" Type="http://schemas.openxmlformats.org/officeDocument/2006/relationships/hyperlink" Target="http://www.allaboutvision.com/conditions/diabetic.htm" TargetMode="External"/><Relationship Id="rId113" Type="http://schemas.openxmlformats.org/officeDocument/2006/relationships/footer" Target="footer84.xml"/><Relationship Id="rId114" Type="http://schemas.openxmlformats.org/officeDocument/2006/relationships/footer" Target="footer85.xml"/><Relationship Id="rId115" Type="http://schemas.openxmlformats.org/officeDocument/2006/relationships/footer" Target="footer86.xml"/><Relationship Id="rId116" Type="http://schemas.openxmlformats.org/officeDocument/2006/relationships/footer" Target="footer87.xml"/><Relationship Id="rId117" Type="http://schemas.openxmlformats.org/officeDocument/2006/relationships/footer" Target="footer88.xml"/><Relationship Id="rId118" Type="http://schemas.openxmlformats.org/officeDocument/2006/relationships/footer" Target="footer89.xml"/><Relationship Id="rId119" Type="http://schemas.openxmlformats.org/officeDocument/2006/relationships/footer" Target="footer90.xml"/><Relationship Id="rId120" Type="http://schemas.openxmlformats.org/officeDocument/2006/relationships/footer" Target="footer91.xml"/><Relationship Id="rId121" Type="http://schemas.openxmlformats.org/officeDocument/2006/relationships/hyperlink" Target="http://ec.europa.eu/eurostat/statistics-explained/index.php/Population_structure_and_ageing" TargetMode="External"/><Relationship Id="rId122" Type="http://schemas.openxmlformats.org/officeDocument/2006/relationships/footer" Target="footer92.xml"/><Relationship Id="rId123" Type="http://schemas.openxmlformats.org/officeDocument/2006/relationships/footer" Target="footer93.xml"/><Relationship Id="rId124" Type="http://schemas.openxmlformats.org/officeDocument/2006/relationships/footer" Target="footer94.xml"/><Relationship Id="rId125" Type="http://schemas.openxmlformats.org/officeDocument/2006/relationships/image" Target="media/image6.jpeg"/><Relationship Id="rId126" Type="http://schemas.openxmlformats.org/officeDocument/2006/relationships/footer" Target="footer95.xml"/><Relationship Id="rId127" Type="http://schemas.openxmlformats.org/officeDocument/2006/relationships/footer" Target="footer96.xml"/><Relationship Id="rId128" Type="http://schemas.openxmlformats.org/officeDocument/2006/relationships/footer" Target="footer97.xml"/><Relationship Id="rId129" Type="http://schemas.openxmlformats.org/officeDocument/2006/relationships/hyperlink" Target="http://www.drjacobsinstitut.de/?Granatapfel" TargetMode="External"/><Relationship Id="rId130" Type="http://schemas.openxmlformats.org/officeDocument/2006/relationships/footer" Target="footer98.xml"/><Relationship Id="rId131" Type="http://schemas.openxmlformats.org/officeDocument/2006/relationships/footer" Target="footer99.xml"/><Relationship Id="rId132" Type="http://schemas.openxmlformats.org/officeDocument/2006/relationships/hyperlink" Target="http://www.medizinauskunft.de/" TargetMode="External"/><Relationship Id="rId133" Type="http://schemas.openxmlformats.org/officeDocument/2006/relationships/hyperlink" Target="http://www.curado.de/schilddruesenkrebs/Krebstherapie-und-Apigenin-Erfolgreiche-deutsche-klinische-Studie-12338/" TargetMode="External"/><Relationship Id="rId134" Type="http://schemas.openxmlformats.org/officeDocument/2006/relationships/footer" Target="footer100.xml"/><Relationship Id="rId135" Type="http://schemas.openxmlformats.org/officeDocument/2006/relationships/footer" Target="footer101.xml"/><Relationship Id="rId136" Type="http://schemas.openxmlformats.org/officeDocument/2006/relationships/footer" Target="footer102.xml"/><Relationship Id="rId137" Type="http://schemas.openxmlformats.org/officeDocument/2006/relationships/footer" Target="footer103.xml"/><Relationship Id="rId138" Type="http://schemas.openxmlformats.org/officeDocument/2006/relationships/footer" Target="footer104.xml"/><Relationship Id="rId139" Type="http://schemas.openxmlformats.org/officeDocument/2006/relationships/footer" Target="footer105.xml"/><Relationship Id="rId140" Type="http://schemas.openxmlformats.org/officeDocument/2006/relationships/footer" Target="footer106.xml"/><Relationship Id="rId141" Type="http://schemas.openxmlformats.org/officeDocument/2006/relationships/footer" Target="footer107.xml"/><Relationship Id="rId142" Type="http://schemas.openxmlformats.org/officeDocument/2006/relationships/footer" Target="footer108.xml"/><Relationship Id="rId143" Type="http://schemas.openxmlformats.org/officeDocument/2006/relationships/footer" Target="footer109.xml"/><Relationship Id="rId144" Type="http://schemas.openxmlformats.org/officeDocument/2006/relationships/footer" Target="footer110.xml"/><Relationship Id="rId145" Type="http://schemas.openxmlformats.org/officeDocument/2006/relationships/hyperlink" Target="http://www.teausa.com/14655/tea-fact-sheet" TargetMode="External"/><Relationship Id="rId146" Type="http://schemas.openxmlformats.org/officeDocument/2006/relationships/footer" Target="footer111.xml"/><Relationship Id="rId147" Type="http://schemas.openxmlformats.org/officeDocument/2006/relationships/hyperlink" Target="http://en.wikipedia.org/wiki/Gr%C3%BCner_Tee" TargetMode="External"/><Relationship Id="rId148" Type="http://schemas.openxmlformats.org/officeDocument/2006/relationships/footer" Target="footer112.xml"/><Relationship Id="rId149" Type="http://schemas.openxmlformats.org/officeDocument/2006/relationships/footer" Target="footer113.xml"/><Relationship Id="rId150" Type="http://schemas.openxmlformats.org/officeDocument/2006/relationships/hyperlink" Target="http://www.aerzteblatt.de/v4/news/news.asp?id=29897&amp;amp;src&amp;amp;swid" TargetMode="External"/><Relationship Id="rId151" Type="http://schemas.openxmlformats.org/officeDocument/2006/relationships/footer" Target="footer114.xml"/><Relationship Id="rId152" Type="http://schemas.openxmlformats.org/officeDocument/2006/relationships/footer" Target="footer115.xml"/><Relationship Id="rId153" Type="http://schemas.openxmlformats.org/officeDocument/2006/relationships/footer" Target="footer116.xml"/><Relationship Id="rId154" Type="http://schemas.openxmlformats.org/officeDocument/2006/relationships/footer" Target="footer117.xml"/><Relationship Id="rId155" Type="http://schemas.openxmlformats.org/officeDocument/2006/relationships/hyperlink" Target="http://www.gesundheitsforschung-bmbf.de/de/1053.php" TargetMode="External"/><Relationship Id="rId156" Type="http://schemas.openxmlformats.org/officeDocument/2006/relationships/hyperlink" Target="http://www.eurekalert.org/pub_releases/2008-03/sfgm-gth032808.php" TargetMode="External"/><Relationship Id="rId157" Type="http://schemas.openxmlformats.org/officeDocument/2006/relationships/footer" Target="footer118.xml"/><Relationship Id="rId158" Type="http://schemas.openxmlformats.org/officeDocument/2006/relationships/footer" Target="footer119.xml"/><Relationship Id="rId159" Type="http://schemas.openxmlformats.org/officeDocument/2006/relationships/footer" Target="footer120.xml"/><Relationship Id="rId160" Type="http://schemas.openxmlformats.org/officeDocument/2006/relationships/hyperlink" Target="http://www.horusmedia.de/2012-aurum/aurum.php" TargetMode="External"/><Relationship Id="rId161" Type="http://schemas.openxmlformats.org/officeDocument/2006/relationships/hyperlink" Target="http://www.oceanwell.de/inhalt-wirkstoff/meerwasser/" TargetMode="External"/><Relationship Id="rId162" Type="http://schemas.openxmlformats.org/officeDocument/2006/relationships/footer" Target="footer121.xml"/><Relationship Id="rId163" Type="http://schemas.openxmlformats.org/officeDocument/2006/relationships/hyperlink" Target="http://www.edelstein-essenzen.de/test3.php" TargetMode="External"/><Relationship Id="rId164" Type="http://schemas.openxmlformats.org/officeDocument/2006/relationships/hyperlink" Target="http://www.mh-training.at/mediaCache/Kolloidales_Silber_Gold_u_Zink_695054.pdf" TargetMode="External"/><Relationship Id="rId165" Type="http://schemas.openxmlformats.org/officeDocument/2006/relationships/footer" Target="footer122.xml"/><Relationship Id="rId166" Type="http://schemas.openxmlformats.org/officeDocument/2006/relationships/hyperlink" Target="http://www.researchgate.net/publication/221794610_Anti-glycation_Effect_of_Gold_Nanoparticles_on_Collagen" TargetMode="External"/><Relationship Id="rId167" Type="http://schemas.openxmlformats.org/officeDocument/2006/relationships/hyperlink" Target="http://info.kopp-verlag.de/medizin-und-gesundheit/gesundes-leben/brigitte-hamann/kolloidales-gold-entdecken-sie-eines-der-grossartigsten-" TargetMode="External"/><Relationship Id="rId168" Type="http://schemas.openxmlformats.org/officeDocument/2006/relationships/footer" Target="footer123.xml"/><Relationship Id="rId169" Type="http://schemas.openxmlformats.org/officeDocument/2006/relationships/hyperlink" Target="http://www.ursprunc.de/videos/" TargetMode="External"/><Relationship Id="rId170" Type="http://schemas.openxmlformats.org/officeDocument/2006/relationships/hyperlink" Target="http://www.purestcolloids.com/colloidal-gold-studies.php" TargetMode="External"/><Relationship Id="rId171" Type="http://schemas.openxmlformats.org/officeDocument/2006/relationships/hyperlink" Target="http://goldimplantation-fuer-menschen.de/" TargetMode="External"/><Relationship Id="rId172" Type="http://schemas.openxmlformats.org/officeDocument/2006/relationships/footer" Target="footer124.xml"/><Relationship Id="rId173" Type="http://schemas.openxmlformats.org/officeDocument/2006/relationships/footer" Target="footer125.xml"/><Relationship Id="rId174" Type="http://schemas.openxmlformats.org/officeDocument/2006/relationships/hyperlink" Target="http://prolongevitygold.com/?lang=en" TargetMode="External"/><Relationship Id="rId175" Type="http://schemas.openxmlformats.org/officeDocument/2006/relationships/hyperlink" Target="http://www.cidrap.umn.edu/news-perspective/2013/12/consumer-reports-finds-bacteria-common-chicken-breasts" TargetMode="External"/><Relationship Id="rId176" Type="http://schemas.openxmlformats.org/officeDocument/2006/relationships/footer" Target="footer126.xml"/><Relationship Id="rId177" Type="http://schemas.openxmlformats.org/officeDocument/2006/relationships/footer" Target="footer127.xml"/><Relationship Id="rId178" Type="http://schemas.openxmlformats.org/officeDocument/2006/relationships/footer" Target="footer128.xml"/><Relationship Id="rId179" Type="http://schemas.openxmlformats.org/officeDocument/2006/relationships/footer" Target="footer129.xml"/><Relationship Id="rId180" Type="http://schemas.openxmlformats.org/officeDocument/2006/relationships/footer" Target="footer130.xml"/><Relationship Id="rId181" Type="http://schemas.openxmlformats.org/officeDocument/2006/relationships/footer" Target="footer131.xml"/><Relationship Id="rId182" Type="http://schemas.openxmlformats.org/officeDocument/2006/relationships/footer" Target="footer132.xml"/><Relationship Id="rId183" Type="http://schemas.openxmlformats.org/officeDocument/2006/relationships/hyperlink" Target="http://www.kombu.de/" TargetMode="External"/><Relationship Id="rId184" Type="http://schemas.openxmlformats.org/officeDocument/2006/relationships/footer" Target="footer133.xml"/><Relationship Id="rId185" Type="http://schemas.openxmlformats.org/officeDocument/2006/relationships/footer" Target="footer134.xml"/><Relationship Id="rId186" Type="http://schemas.openxmlformats.org/officeDocument/2006/relationships/image" Target="media/image7.jpeg"/><Relationship Id="rId187" Type="http://schemas.openxmlformats.org/officeDocument/2006/relationships/image" Target="media/image8.jpeg"/><Relationship Id="rId188" Type="http://schemas.openxmlformats.org/officeDocument/2006/relationships/hyperlink" Target="http://en.wikipedia.org/wiki/Kombucha" TargetMode="External"/><Relationship Id="rId189" Type="http://schemas.openxmlformats.org/officeDocument/2006/relationships/footer" Target="footer135.xml"/><Relationship Id="rId190" Type="http://schemas.openxmlformats.org/officeDocument/2006/relationships/footer" Target="footer136.xml"/><Relationship Id="rId191" Type="http://schemas.openxmlformats.org/officeDocument/2006/relationships/footer" Target="footer137.xml"/><Relationship Id="rId192" Type="http://schemas.openxmlformats.org/officeDocument/2006/relationships/footer" Target="footer138.xml"/><Relationship Id="rId193" Type="http://schemas.openxmlformats.org/officeDocument/2006/relationships/footer" Target="footer139.xml"/><Relationship Id="rId194" Type="http://schemas.openxmlformats.org/officeDocument/2006/relationships/hyperlink" Target="http://www.swr.de/odysso/es-geht-um-viel-geld-gefaelschte-pharmastudien/-/id%3D1046894/nid%3D1046894/did%3D2258782/um7mvw/index.html" TargetMode="External"/><Relationship Id="rId195" Type="http://schemas.openxmlformats.org/officeDocument/2006/relationships/footer" Target="footer140.xml"/><Relationship Id="rId196" Type="http://schemas.openxmlformats.org/officeDocument/2006/relationships/hyperlink" Target="http://www.giftpflanzen.com/prunoidae.html" TargetMode="External"/><Relationship Id="rId197" Type="http://schemas.openxmlformats.org/officeDocument/2006/relationships/hyperlink" Target="http://avogadro.chem.iastate.edu/MSDS/dextrose.htm" TargetMode="External"/><Relationship Id="rId198" Type="http://schemas.openxmlformats.org/officeDocument/2006/relationships/hyperlink" Target="http://www.worldwithoutcancer.org.uk/analysis7.html" TargetMode="External"/><Relationship Id="rId199" Type="http://schemas.openxmlformats.org/officeDocument/2006/relationships/hyperlink" Target="http://www.chemcases.com/cisplat/cisplat08.htm" TargetMode="External"/><Relationship Id="rId200" Type="http://schemas.openxmlformats.org/officeDocument/2006/relationships/footer" Target="footer141.xml"/><Relationship Id="rId201" Type="http://schemas.openxmlformats.org/officeDocument/2006/relationships/footer" Target="footer142.xml"/><Relationship Id="rId202" Type="http://schemas.openxmlformats.org/officeDocument/2006/relationships/footer" Target="footer143.xml"/><Relationship Id="rId203" Type="http://schemas.openxmlformats.org/officeDocument/2006/relationships/footer" Target="footer144.xml"/><Relationship Id="rId204" Type="http://schemas.openxmlformats.org/officeDocument/2006/relationships/footer" Target="footer145.xml"/><Relationship Id="rId205" Type="http://schemas.openxmlformats.org/officeDocument/2006/relationships/footer" Target="footer146.xml"/><Relationship Id="rId206" Type="http://schemas.openxmlformats.org/officeDocument/2006/relationships/footer" Target="footer147.xml"/><Relationship Id="rId207" Type="http://schemas.openxmlformats.org/officeDocument/2006/relationships/footer" Target="footer148.xml"/><Relationship Id="rId208" Type="http://schemas.openxmlformats.org/officeDocument/2006/relationships/footer" Target="footer149.xml"/><Relationship Id="rId209" Type="http://schemas.openxmlformats.org/officeDocument/2006/relationships/footer" Target="footer150.xml"/><Relationship Id="rId210" Type="http://schemas.openxmlformats.org/officeDocument/2006/relationships/footer" Target="footer151.xml"/><Relationship Id="rId211" Type="http://schemas.openxmlformats.org/officeDocument/2006/relationships/footer" Target="footer152.xml"/><Relationship Id="rId212" Type="http://schemas.openxmlformats.org/officeDocument/2006/relationships/footer" Target="footer153.xml"/><Relationship Id="rId213" Type="http://schemas.openxmlformats.org/officeDocument/2006/relationships/footer" Target="footer154.xml"/><Relationship Id="rId214" Type="http://schemas.openxmlformats.org/officeDocument/2006/relationships/footer" Target="footer155.xml"/><Relationship Id="rId215" Type="http://schemas.openxmlformats.org/officeDocument/2006/relationships/footer" Target="footer156.xml"/><Relationship Id="rId216" Type="http://schemas.openxmlformats.org/officeDocument/2006/relationships/footer" Target="footer157.xml"/><Relationship Id="rId217" Type="http://schemas.openxmlformats.org/officeDocument/2006/relationships/footer" Target="footer158.xml"/><Relationship Id="rId218" Type="http://schemas.openxmlformats.org/officeDocument/2006/relationships/footer" Target="footer159.xml"/><Relationship Id="rId219" Type="http://schemas.openxmlformats.org/officeDocument/2006/relationships/footer" Target="footer160.xml"/><Relationship Id="rId220" Type="http://schemas.openxmlformats.org/officeDocument/2006/relationships/footer" Target="footer161.xml"/><Relationship Id="rId221" Type="http://schemas.openxmlformats.org/officeDocument/2006/relationships/footer" Target="footer162.xml"/><Relationship Id="rId222" Type="http://schemas.openxmlformats.org/officeDocument/2006/relationships/footer" Target="footer163.xml"/><Relationship Id="rId223" Type="http://schemas.openxmlformats.org/officeDocument/2006/relationships/hyperlink" Target="http://www.gladiss.de/newsletter" TargetMode="External"/><Relationship Id="rId224" Type="http://schemas.openxmlformats.org/officeDocument/2006/relationships/footer" Target="footer164.xml"/><Relationship Id="rId225" Type="http://schemas.openxmlformats.org/officeDocument/2006/relationships/footer" Target="footer165.xml"/><Relationship Id="rId226" Type="http://schemas.openxmlformats.org/officeDocument/2006/relationships/footer" Target="footer166.xml"/><Relationship Id="rId227" Type="http://schemas.openxmlformats.org/officeDocument/2006/relationships/footer" Target="footer167.xml"/><Relationship Id="rId228" Type="http://schemas.openxmlformats.org/officeDocument/2006/relationships/footer" Target="footer168.xml"/><Relationship Id="rId229" Type="http://schemas.openxmlformats.org/officeDocument/2006/relationships/footer" Target="footer169.xml"/><Relationship Id="rId230" Type="http://schemas.openxmlformats.org/officeDocument/2006/relationships/hyperlink" Target="http://www.independent.co.uk/news/health/elderly-americans-sleeping-pills-catastrophic-us-drugs-insomnia-epidemic-a7969656.html" TargetMode="External"/><Relationship Id="rId231" Type="http://schemas.openxmlformats.org/officeDocument/2006/relationships/footer" Target="footer170.xml"/><Relationship Id="rId232" Type="http://schemas.openxmlformats.org/officeDocument/2006/relationships/footer" Target="footer171.xml"/><Relationship Id="rId233" Type="http://schemas.openxmlformats.org/officeDocument/2006/relationships/footer" Target="footer172.xml"/><Relationship Id="rId234" Type="http://schemas.openxmlformats.org/officeDocument/2006/relationships/footer" Target="footer173.xml"/><Relationship Id="rId235" Type="http://schemas.openxmlformats.org/officeDocument/2006/relationships/footer" Target="footer174.xml"/><Relationship Id="rId236" Type="http://schemas.openxmlformats.org/officeDocument/2006/relationships/footer" Target="footer175.xml"/><Relationship Id="rId237" Type="http://schemas.openxmlformats.org/officeDocument/2006/relationships/footer" Target="footer176.xml"/><Relationship Id="rId238" Type="http://schemas.openxmlformats.org/officeDocument/2006/relationships/footer" Target="footer177.xml"/><Relationship Id="rId239" Type="http://schemas.openxmlformats.org/officeDocument/2006/relationships/footer" Target="footer178.xml"/><Relationship Id="rId240" Type="http://schemas.openxmlformats.org/officeDocument/2006/relationships/hyperlink" Target="http://www.kstg.net/publikationen/pdf/dr_douwes_informiert/2010-04_MMS_Wirkung.html" TargetMode="External"/><Relationship Id="rId241" Type="http://schemas.openxmlformats.org/officeDocument/2006/relationships/hyperlink" Target="http://www.2012-blog.de/wp-content/gratisdownloads/Dr-Douwe.pdf" TargetMode="External"/><Relationship Id="rId242" Type="http://schemas.openxmlformats.org/officeDocument/2006/relationships/footer" Target="footer179.xml"/><Relationship Id="rId243" Type="http://schemas.openxmlformats.org/officeDocument/2006/relationships/footer" Target="footer180.xml"/><Relationship Id="rId244" Type="http://schemas.openxmlformats.org/officeDocument/2006/relationships/hyperlink" Target="http://www.jimhumblemms.de/node/13" TargetMode="External"/><Relationship Id="rId245" Type="http://schemas.openxmlformats.org/officeDocument/2006/relationships/footer" Target="footer181.xml"/><Relationship Id="rId246" Type="http://schemas.openxmlformats.org/officeDocument/2006/relationships/footer" Target="footer182.xml"/><Relationship Id="rId247" Type="http://schemas.openxmlformats.org/officeDocument/2006/relationships/footer" Target="footer183.xml"/><Relationship Id="rId248" Type="http://schemas.openxmlformats.org/officeDocument/2006/relationships/footer" Target="footer184.xml"/><Relationship Id="rId249" Type="http://schemas.openxmlformats.org/officeDocument/2006/relationships/hyperlink" Target="http://www.ncbi.nlm.nih.gov/pubmed/20500789" TargetMode="External"/><Relationship Id="rId250" Type="http://schemas.openxmlformats.org/officeDocument/2006/relationships/footer" Target="footer185.xml"/><Relationship Id="rId251" Type="http://schemas.openxmlformats.org/officeDocument/2006/relationships/hyperlink" Target="http://www.ncbi.nlm.nih.gov/pubmed/16771071" TargetMode="External"/><Relationship Id="rId252" Type="http://schemas.openxmlformats.org/officeDocument/2006/relationships/footer" Target="footer186.xml"/><Relationship Id="rId253" Type="http://schemas.openxmlformats.org/officeDocument/2006/relationships/footer" Target="footer187.xml"/><Relationship Id="rId254" Type="http://schemas.openxmlformats.org/officeDocument/2006/relationships/footer" Target="footer188.xml"/><Relationship Id="rId255" Type="http://schemas.openxmlformats.org/officeDocument/2006/relationships/footer" Target="footer189.xml"/><Relationship Id="rId256" Type="http://schemas.openxmlformats.org/officeDocument/2006/relationships/footer" Target="footer190.xml"/><Relationship Id="rId257" Type="http://schemas.openxmlformats.org/officeDocument/2006/relationships/footer" Target="footer191.xml"/><Relationship Id="rId258" Type="http://schemas.openxmlformats.org/officeDocument/2006/relationships/footer" Target="footer192.xml"/><Relationship Id="rId259" Type="http://schemas.openxmlformats.org/officeDocument/2006/relationships/footer" Target="footer193.xml"/><Relationship Id="rId260" Type="http://schemas.openxmlformats.org/officeDocument/2006/relationships/footer" Target="footer194.xml"/><Relationship Id="rId261" Type="http://schemas.openxmlformats.org/officeDocument/2006/relationships/footer" Target="footer195.xml"/><Relationship Id="rId262" Type="http://schemas.openxmlformats.org/officeDocument/2006/relationships/hyperlink" Target="http://www.hiv-und-aids.de/content/aktuelles/fischoel_verlangsamt_auch_das_altern/index_ger.html" TargetMode="External"/><Relationship Id="rId263" Type="http://schemas.openxmlformats.org/officeDocument/2006/relationships/footer" Target="footer196.xml"/><Relationship Id="rId264" Type="http://schemas.openxmlformats.org/officeDocument/2006/relationships/footer" Target="footer197.xml"/><Relationship Id="rId265" Type="http://schemas.openxmlformats.org/officeDocument/2006/relationships/footer" Target="footer198.xml"/><Relationship Id="rId266" Type="http://schemas.openxmlformats.org/officeDocument/2006/relationships/footer" Target="footer199.xml"/><Relationship Id="rId267" Type="http://schemas.openxmlformats.org/officeDocument/2006/relationships/footer" Target="footer200.xml"/><Relationship Id="rId268" Type="http://schemas.openxmlformats.org/officeDocument/2006/relationships/footer" Target="footer201.xml"/><Relationship Id="rId269" Type="http://schemas.openxmlformats.org/officeDocument/2006/relationships/hyperlink" Target="http://www.vitalstoff-journal.de/aus-der-forschung/bioflavonoide-und-kraeuter/opc-superantioxidans-gegen-das-altern/" TargetMode="External"/><Relationship Id="rId270" Type="http://schemas.openxmlformats.org/officeDocument/2006/relationships/footer" Target="footer202.xml"/><Relationship Id="rId271" Type="http://schemas.openxmlformats.org/officeDocument/2006/relationships/footer" Target="footer203.xml"/><Relationship Id="rId272" Type="http://schemas.openxmlformats.org/officeDocument/2006/relationships/footer" Target="footer204.xml"/><Relationship Id="rId273" Type="http://schemas.openxmlformats.org/officeDocument/2006/relationships/footer" Target="footer205.xml"/><Relationship Id="rId274" Type="http://schemas.openxmlformats.org/officeDocument/2006/relationships/footer" Target="footer206.xml"/><Relationship Id="rId275" Type="http://schemas.openxmlformats.org/officeDocument/2006/relationships/hyperlink" Target="http://focus-blog.pharmxplorer.at/2009/08/orthomolekulare-medizin-zusammenhange-zwischen-mikronahrstoffen-und-depression/" TargetMode="External"/><Relationship Id="rId276" Type="http://schemas.openxmlformats.org/officeDocument/2006/relationships/footer" Target="footer207.xml"/><Relationship Id="rId277" Type="http://schemas.openxmlformats.org/officeDocument/2006/relationships/hyperlink" Target="http://de.wikipedia.org/wiki/Migr%C3%A4ne#Ausl.C3.B6sende_Faktoren" TargetMode="External"/><Relationship Id="rId278" Type="http://schemas.openxmlformats.org/officeDocument/2006/relationships/footer" Target="footer208.xml"/><Relationship Id="rId279" Type="http://schemas.openxmlformats.org/officeDocument/2006/relationships/footer" Target="footer209.xml"/><Relationship Id="rId280" Type="http://schemas.openxmlformats.org/officeDocument/2006/relationships/footer" Target="footer210.xml"/><Relationship Id="rId281" Type="http://schemas.openxmlformats.org/officeDocument/2006/relationships/footer" Target="footer211.xml"/><Relationship Id="rId282" Type="http://schemas.openxmlformats.org/officeDocument/2006/relationships/footer" Target="footer212.xml"/><Relationship Id="rId283" Type="http://schemas.openxmlformats.org/officeDocument/2006/relationships/footer" Target="footer213.xml"/><Relationship Id="rId284" Type="http://schemas.openxmlformats.org/officeDocument/2006/relationships/footer" Target="footer214.xml"/><Relationship Id="rId285" Type="http://schemas.openxmlformats.org/officeDocument/2006/relationships/footer" Target="footer215.xml"/><Relationship Id="rId286" Type="http://schemas.openxmlformats.org/officeDocument/2006/relationships/footer" Target="footer216.xml"/><Relationship Id="rId287" Type="http://schemas.openxmlformats.org/officeDocument/2006/relationships/footer" Target="footer217.xml"/><Relationship Id="rId288" Type="http://schemas.openxmlformats.org/officeDocument/2006/relationships/footer" Target="footer218.xml"/><Relationship Id="rId289" Type="http://schemas.openxmlformats.org/officeDocument/2006/relationships/footer" Target="footer219.xml"/><Relationship Id="rId290" Type="http://schemas.openxmlformats.org/officeDocument/2006/relationships/footer" Target="footer220.xml"/><Relationship Id="rId291" Type="http://schemas.openxmlformats.org/officeDocument/2006/relationships/footer" Target="footer221.xml"/><Relationship Id="rId292" Type="http://schemas.openxmlformats.org/officeDocument/2006/relationships/footer" Target="footer222.xml"/><Relationship Id="rId293" Type="http://schemas.openxmlformats.org/officeDocument/2006/relationships/footer" Target="footer223.xml"/><Relationship Id="rId294" Type="http://schemas.openxmlformats.org/officeDocument/2006/relationships/footer" Target="footer224.xml"/><Relationship Id="rId295" Type="http://schemas.openxmlformats.org/officeDocument/2006/relationships/footer" Target="footer225.xml"/><Relationship Id="rId296" Type="http://schemas.openxmlformats.org/officeDocument/2006/relationships/footer" Target="footer226.xml"/><Relationship Id="rId297" Type="http://schemas.openxmlformats.org/officeDocument/2006/relationships/footer" Target="footer227.xml"/><Relationship Id="rId298" Type="http://schemas.openxmlformats.org/officeDocument/2006/relationships/footer" Target="footer228.xml"/><Relationship Id="rId299" Type="http://schemas.openxmlformats.org/officeDocument/2006/relationships/footer" Target="footer229.xml"/><Relationship Id="rId300" Type="http://schemas.openxmlformats.org/officeDocument/2006/relationships/footer" Target="footer230.xml"/><Relationship Id="rId301" Type="http://schemas.openxmlformats.org/officeDocument/2006/relationships/footer" Target="footer231.xml"/><Relationship Id="rId302" Type="http://schemas.openxmlformats.org/officeDocument/2006/relationships/footer" Target="footer232.xml"/><Relationship Id="rId303" Type="http://schemas.openxmlformats.org/officeDocument/2006/relationships/footer" Target="footer233.xml"/><Relationship Id="rId304" Type="http://schemas.openxmlformats.org/officeDocument/2006/relationships/footer" Target="footer234.xml"/><Relationship Id="rId305" Type="http://schemas.openxmlformats.org/officeDocument/2006/relationships/footer" Target="footer235.xml"/><Relationship Id="rId306" Type="http://schemas.openxmlformats.org/officeDocument/2006/relationships/footer" Target="footer236.xml"/><Relationship Id="rId307" Type="http://schemas.openxmlformats.org/officeDocument/2006/relationships/footer" Target="footer237.xml"/><Relationship Id="rId308" Type="http://schemas.openxmlformats.org/officeDocument/2006/relationships/footer" Target="footer238.xml"/><Relationship Id="rId309" Type="http://schemas.openxmlformats.org/officeDocument/2006/relationships/footer" Target="footer239.xml"/><Relationship Id="rId310" Type="http://schemas.openxmlformats.org/officeDocument/2006/relationships/footer" Target="footer240.xml"/><Relationship Id="rId311" Type="http://schemas.openxmlformats.org/officeDocument/2006/relationships/footer" Target="footer241.xml"/><Relationship Id="rId312" Type="http://schemas.openxmlformats.org/officeDocument/2006/relationships/footer" Target="footer242.xml"/><Relationship Id="rId313" Type="http://schemas.openxmlformats.org/officeDocument/2006/relationships/footer" Target="footer243.xml"/><Relationship Id="rId314" Type="http://schemas.openxmlformats.org/officeDocument/2006/relationships/footer" Target="footer244.xml"/><Relationship Id="rId315" Type="http://schemas.openxmlformats.org/officeDocument/2006/relationships/footer" Target="footer245.xml"/><Relationship Id="rId316" Type="http://schemas.openxmlformats.org/officeDocument/2006/relationships/footer" Target="footer246.xml"/><Relationship Id="rId317" Type="http://schemas.openxmlformats.org/officeDocument/2006/relationships/footer" Target="footer247.xml"/><Relationship Id="rId318" Type="http://schemas.openxmlformats.org/officeDocument/2006/relationships/image" Target="media/image9.png"/><Relationship Id="rId319" Type="http://schemas.openxmlformats.org/officeDocument/2006/relationships/footer" Target="footer248.xml"/><Relationship Id="rId320" Type="http://schemas.openxmlformats.org/officeDocument/2006/relationships/hyperlink" Target="http://en.wikipedia.org/wiki/Resveratrol" TargetMode="External"/><Relationship Id="rId321" Type="http://schemas.openxmlformats.org/officeDocument/2006/relationships/footer" Target="footer249.xml"/><Relationship Id="rId322" Type="http://schemas.openxmlformats.org/officeDocument/2006/relationships/hyperlink" Target="http://www.hms.harvard.edu/hmni/On_The_Brain/Volume13/OTB_Winter_07.pdf" TargetMode="External"/><Relationship Id="rId323" Type="http://schemas.openxmlformats.org/officeDocument/2006/relationships/footer" Target="footer250.xml"/><Relationship Id="rId324" Type="http://schemas.openxmlformats.org/officeDocument/2006/relationships/hyperlink" Target="http://www.hemonctoday.com/article.aspx?rid=29989" TargetMode="External"/><Relationship Id="rId325" Type="http://schemas.openxmlformats.org/officeDocument/2006/relationships/hyperlink" Target="http://en.wikipedia.org/wiki/Sirtuin-1" TargetMode="External"/><Relationship Id="rId326" Type="http://schemas.openxmlformats.org/officeDocument/2006/relationships/hyperlink" Target="http://www.advancedbionutritionals.com/Products/Dr-Rowen-Favorites/Advacend-Resveratrol-Formula-ABRESV3.htm" TargetMode="External"/><Relationship Id="rId327" Type="http://schemas.openxmlformats.org/officeDocument/2006/relationships/footer" Target="footer251.xml"/><Relationship Id="rId328" Type="http://schemas.openxmlformats.org/officeDocument/2006/relationships/footer" Target="footer252.xml"/><Relationship Id="rId329" Type="http://schemas.openxmlformats.org/officeDocument/2006/relationships/footer" Target="footer253.xml"/><Relationship Id="rId330" Type="http://schemas.openxmlformats.org/officeDocument/2006/relationships/footer" Target="footer254.xml"/><Relationship Id="rId331" Type="http://schemas.openxmlformats.org/officeDocument/2006/relationships/footer" Target="footer255.xml"/><Relationship Id="rId332" Type="http://schemas.openxmlformats.org/officeDocument/2006/relationships/footer" Target="footer256.xml"/><Relationship Id="rId333" Type="http://schemas.openxmlformats.org/officeDocument/2006/relationships/hyperlink" Target="http://www.ncbi.nlm.nih.gov/pubmed/22055504" TargetMode="External"/><Relationship Id="rId334" Type="http://schemas.openxmlformats.org/officeDocument/2006/relationships/footer" Target="footer257.xml"/><Relationship Id="rId335" Type="http://schemas.openxmlformats.org/officeDocument/2006/relationships/footer" Target="footer258.xml"/><Relationship Id="rId336" Type="http://schemas.openxmlformats.org/officeDocument/2006/relationships/footer" Target="footer259.xml"/><Relationship Id="rId337" Type="http://schemas.openxmlformats.org/officeDocument/2006/relationships/footer" Target="footer260.xml"/><Relationship Id="rId338" Type="http://schemas.openxmlformats.org/officeDocument/2006/relationships/footer" Target="footer261.xml"/><Relationship Id="rId339" Type="http://schemas.openxmlformats.org/officeDocument/2006/relationships/footer" Target="footer262.xml"/><Relationship Id="rId340" Type="http://schemas.openxmlformats.org/officeDocument/2006/relationships/footer" Target="footer263.xml"/><Relationship Id="rId341" Type="http://schemas.openxmlformats.org/officeDocument/2006/relationships/footer" Target="footer264.xml"/><Relationship Id="rId342" Type="http://schemas.openxmlformats.org/officeDocument/2006/relationships/footer" Target="footer265.xml"/><Relationship Id="rId343" Type="http://schemas.openxmlformats.org/officeDocument/2006/relationships/footer" Target="footer266.xml"/><Relationship Id="rId344" Type="http://schemas.openxmlformats.org/officeDocument/2006/relationships/footer" Target="footer267.xml"/><Relationship Id="rId345" Type="http://schemas.openxmlformats.org/officeDocument/2006/relationships/footer" Target="footer268.xml"/><Relationship Id="rId346" Type="http://schemas.openxmlformats.org/officeDocument/2006/relationships/footer" Target="footer269.xml"/><Relationship Id="rId347" Type="http://schemas.openxmlformats.org/officeDocument/2006/relationships/footer" Target="footer270.xml"/><Relationship Id="rId348" Type="http://schemas.openxmlformats.org/officeDocument/2006/relationships/footer" Target="footer271.xml"/><Relationship Id="rId349" Type="http://schemas.openxmlformats.org/officeDocument/2006/relationships/footer" Target="footer272.xml"/><Relationship Id="rId350" Type="http://schemas.openxmlformats.org/officeDocument/2006/relationships/footer" Target="footer273.xml"/><Relationship Id="rId351" Type="http://schemas.openxmlformats.org/officeDocument/2006/relationships/footer" Target="footer274.xml"/><Relationship Id="rId352" Type="http://schemas.openxmlformats.org/officeDocument/2006/relationships/footer" Target="footer275.xml"/><Relationship Id="rId353" Type="http://schemas.openxmlformats.org/officeDocument/2006/relationships/footer" Target="footer276.xml"/><Relationship Id="rId354" Type="http://schemas.openxmlformats.org/officeDocument/2006/relationships/footer" Target="footer277.xml"/><Relationship Id="rId355" Type="http://schemas.openxmlformats.org/officeDocument/2006/relationships/footer" Target="footer278.xml"/><Relationship Id="rId356" Type="http://schemas.openxmlformats.org/officeDocument/2006/relationships/footer" Target="footer279.xml"/><Relationship Id="rId357" Type="http://schemas.openxmlformats.org/officeDocument/2006/relationships/footer" Target="footer280.xml"/><Relationship Id="rId358" Type="http://schemas.openxmlformats.org/officeDocument/2006/relationships/footer" Target="footer281.xml"/><Relationship Id="rId359" Type="http://schemas.openxmlformats.org/officeDocument/2006/relationships/footer" Target="footer282.xml"/><Relationship Id="rId360" Type="http://schemas.openxmlformats.org/officeDocument/2006/relationships/footer" Target="footer283.xml"/><Relationship Id="rId361" Type="http://schemas.openxmlformats.org/officeDocument/2006/relationships/footer" Target="footer284.xml"/><Relationship Id="rId362" Type="http://schemas.openxmlformats.org/officeDocument/2006/relationships/footer" Target="footer285.xml"/><Relationship Id="rId363" Type="http://schemas.openxmlformats.org/officeDocument/2006/relationships/footer" Target="footer286.xml"/><Relationship Id="rId364" Type="http://schemas.openxmlformats.org/officeDocument/2006/relationships/footer" Target="footer287.xml"/><Relationship Id="rId365" Type="http://schemas.openxmlformats.org/officeDocument/2006/relationships/footer" Target="footer288.xml"/><Relationship Id="rId366" Type="http://schemas.openxmlformats.org/officeDocument/2006/relationships/footer" Target="footer289.xml"/><Relationship Id="rId367" Type="http://schemas.openxmlformats.org/officeDocument/2006/relationships/footer" Target="footer290.xml"/><Relationship Id="rId368" Type="http://schemas.openxmlformats.org/officeDocument/2006/relationships/footer" Target="footer291.xml"/><Relationship Id="rId369" Type="http://schemas.openxmlformats.org/officeDocument/2006/relationships/footer" Target="footer292.xml"/><Relationship Id="rId370" Type="http://schemas.openxmlformats.org/officeDocument/2006/relationships/footer" Target="footer293.xml"/><Relationship Id="rId371" Type="http://schemas.openxmlformats.org/officeDocument/2006/relationships/footer" Target="footer294.xml"/><Relationship Id="rId372" Type="http://schemas.openxmlformats.org/officeDocument/2006/relationships/footer" Target="footer295.xml"/><Relationship Id="rId373" Type="http://schemas.openxmlformats.org/officeDocument/2006/relationships/footer" Target="footer296.xml"/><Relationship Id="rId374" Type="http://schemas.openxmlformats.org/officeDocument/2006/relationships/hyperlink" Target="http://lichtweltverlag.blogspot.de/2012/05/stevia-betrug-e960-jjk.html" TargetMode="External"/><Relationship Id="rId375" Type="http://schemas.openxmlformats.org/officeDocument/2006/relationships/hyperlink" Target="http://www.biogans.ch/erica/ern_infos/Zuckervortrag.html" TargetMode="External"/><Relationship Id="rId376" Type="http://schemas.openxmlformats.org/officeDocument/2006/relationships/footer" Target="footer297.xml"/><Relationship Id="rId377" Type="http://schemas.openxmlformats.org/officeDocument/2006/relationships/footer" Target="footer298.xml"/><Relationship Id="rId378" Type="http://schemas.openxmlformats.org/officeDocument/2006/relationships/footer" Target="footer299.xml"/><Relationship Id="rId379" Type="http://schemas.openxmlformats.org/officeDocument/2006/relationships/hyperlink" Target="http://www.strophantus.de/mediapool/59/596780/data/Dr._KernErfolgsstatistik.pdf" TargetMode="External"/><Relationship Id="rId380" Type="http://schemas.openxmlformats.org/officeDocument/2006/relationships/hyperlink" Target="http://www.strophantus.de/was-ist-strophantin.html" TargetMode="External"/><Relationship Id="rId381" Type="http://schemas.openxmlformats.org/officeDocument/2006/relationships/hyperlink" Target="http://www.melhorn.de/Tribunal/index.htm" TargetMode="External"/><Relationship Id="rId382" Type="http://schemas.openxmlformats.org/officeDocument/2006/relationships/footer" Target="footer300.xml"/><Relationship Id="rId383" Type="http://schemas.openxmlformats.org/officeDocument/2006/relationships/hyperlink" Target="http://onlinelibrary.wiley.com/doi/10.1111/j.1742-1241.2010.02395.x/ab-" TargetMode="External"/><Relationship Id="rId384" Type="http://schemas.openxmlformats.org/officeDocument/2006/relationships/footer" Target="footer301.xml"/><Relationship Id="rId385" Type="http://schemas.openxmlformats.org/officeDocument/2006/relationships/hyperlink" Target="http://www.strophantus.de/mediapool/59/596780/data/Sarre.pdf" TargetMode="External"/><Relationship Id="rId386" Type="http://schemas.openxmlformats.org/officeDocument/2006/relationships/hyperlink" Target="http://www.melhorn.de/Strophanthin" TargetMode="External"/><Relationship Id="rId387" Type="http://schemas.openxmlformats.org/officeDocument/2006/relationships/footer" Target="footer302.xml"/><Relationship Id="rId388" Type="http://schemas.openxmlformats.org/officeDocument/2006/relationships/hyperlink" Target="http://www.ncbi.nlm.nih.gov/pubmed/20010435" TargetMode="External"/><Relationship Id="rId389" Type="http://schemas.openxmlformats.org/officeDocument/2006/relationships/hyperlink" Target="http://www.strophanthin.de/" TargetMode="External"/><Relationship Id="rId390" Type="http://schemas.openxmlformats.org/officeDocument/2006/relationships/hyperlink" Target="mailto:jochen.handel@gmx.de" TargetMode="External"/><Relationship Id="rId391" Type="http://schemas.openxmlformats.org/officeDocument/2006/relationships/hyperlink" Target="http://fourfoldhealing.com/" TargetMode="External"/><Relationship Id="rId392" Type="http://schemas.openxmlformats.org/officeDocument/2006/relationships/hyperlink" Target="http://fourfoldhealing.com/wp-con-" TargetMode="External"/><Relationship Id="rId393" Type="http://schemas.openxmlformats.org/officeDocument/2006/relationships/hyperlink" Target="http://heartattacknew.com/" TargetMode="External"/><Relationship Id="rId394" Type="http://schemas.openxmlformats.org/officeDocument/2006/relationships/footer" Target="footer303.xml"/><Relationship Id="rId395" Type="http://schemas.openxmlformats.org/officeDocument/2006/relationships/hyperlink" Target="mailto:info@ganzmed.eu" TargetMode="External"/><Relationship Id="rId396" Type="http://schemas.openxmlformats.org/officeDocument/2006/relationships/hyperlink" Target="http://www.ganzmed.eu/" TargetMode="External"/><Relationship Id="rId397" Type="http://schemas.openxmlformats.org/officeDocument/2006/relationships/hyperlink" Target="mailto:baerbel.schick@online.de" TargetMode="External"/><Relationship Id="rId398" Type="http://schemas.openxmlformats.org/officeDocument/2006/relationships/hyperlink" Target="mailto:info@schloss-klinik.de" TargetMode="External"/><Relationship Id="rId399" Type="http://schemas.openxmlformats.org/officeDocument/2006/relationships/hyperlink" Target="mailto:frankbuff@web.de" TargetMode="External"/><Relationship Id="rId400" Type="http://schemas.openxmlformats.org/officeDocument/2006/relationships/hyperlink" Target="mailto:walter.steege@web.de" TargetMode="External"/><Relationship Id="rId401" Type="http://schemas.openxmlformats.org/officeDocument/2006/relationships/hyperlink" Target="mailto:dr.a.weidel@web.de" TargetMode="External"/><Relationship Id="rId402" Type="http://schemas.openxmlformats.org/officeDocument/2006/relationships/hyperlink" Target="mailto:p.hain@reha.kerck-" TargetMode="External"/><Relationship Id="rId403" Type="http://schemas.openxmlformats.org/officeDocument/2006/relationships/hyperlink" Target="http://www.dr-anke-persson.de/" TargetMode="External"/><Relationship Id="rId404" Type="http://schemas.openxmlformats.org/officeDocument/2006/relationships/hyperlink" Target="mailto:anke.persson@t-online.de" TargetMode="External"/><Relationship Id="rId405" Type="http://schemas.openxmlformats.org/officeDocument/2006/relationships/hyperlink" Target="mailto:marion-abeling@t-online.de" TargetMode="External"/><Relationship Id="rId406" Type="http://schemas.openxmlformats.org/officeDocument/2006/relationships/hyperlink" Target="mailto:heinicke@im-puls.info" TargetMode="External"/><Relationship Id="rId407" Type="http://schemas.openxmlformats.org/officeDocument/2006/relationships/hyperlink" Target="mailto:heinle_soeder@web.de" TargetMode="External"/><Relationship Id="rId408" Type="http://schemas.openxmlformats.org/officeDocument/2006/relationships/hyperlink" Target="mailto:med-tec-beller@t-online.de" TargetMode="External"/><Relationship Id="rId409" Type="http://schemas.openxmlformats.org/officeDocument/2006/relationships/hyperlink" Target="http://www.med-tec-beller.de/" TargetMode="External"/><Relationship Id="rId410" Type="http://schemas.openxmlformats.org/officeDocument/2006/relationships/hyperlink" Target="http://www.arztpraxis-graeupner.de/" TargetMode="External"/><Relationship Id="rId411" Type="http://schemas.openxmlformats.org/officeDocument/2006/relationships/hyperlink" Target="mailto:zentrumTEM@gmx.de" TargetMode="External"/><Relationship Id="rId412" Type="http://schemas.openxmlformats.org/officeDocument/2006/relationships/hyperlink" Target="mailto:dr.scheller@t-online.de" TargetMode="External"/><Relationship Id="rId413" Type="http://schemas.openxmlformats.org/officeDocument/2006/relationships/hyperlink" Target="mailto:L.Wecker@gmx.de" TargetMode="External"/><Relationship Id="rId414" Type="http://schemas.openxmlformats.org/officeDocument/2006/relationships/hyperlink" Target="mailto:post@dr-w-weber.de" TargetMode="External"/><Relationship Id="rId415" Type="http://schemas.openxmlformats.org/officeDocument/2006/relationships/hyperlink" Target="mailto:kroiss@dr-kroiss.at" TargetMode="External"/><Relationship Id="rId416" Type="http://schemas.openxmlformats.org/officeDocument/2006/relationships/hyperlink" Target="http://www.dr-kullik.com/" TargetMode="External"/><Relationship Id="rId417" Type="http://schemas.openxmlformats.org/officeDocument/2006/relationships/hyperlink" Target="http://www.faux.at/" TargetMode="External"/><Relationship Id="rId418" Type="http://schemas.openxmlformats.org/officeDocument/2006/relationships/hyperlink" Target="mailto:office@metabolic-typing.at" TargetMode="External"/><Relationship Id="rId419" Type="http://schemas.openxmlformats.org/officeDocument/2006/relationships/hyperlink" Target="mailto:heli.retzek@homeopathy.at" TargetMode="External"/><Relationship Id="rId420" Type="http://schemas.openxmlformats.org/officeDocument/2006/relationships/hyperlink" Target="mailto:pohl.w@medway.at" TargetMode="External"/><Relationship Id="rId421" Type="http://schemas.openxmlformats.org/officeDocument/2006/relationships/hyperlink" Target="http://www.ganzheitsmed-pohl.at/" TargetMode="External"/><Relationship Id="rId422" Type="http://schemas.openxmlformats.org/officeDocument/2006/relationships/hyperlink" Target="http://www.lungenpraxis-moder.at/" TargetMode="External"/><Relationship Id="rId423" Type="http://schemas.openxmlformats.org/officeDocument/2006/relationships/hyperlink" Target="http://www.naturarztbiloba.ch/" TargetMode="External"/><Relationship Id="rId424" Type="http://schemas.openxmlformats.org/officeDocument/2006/relationships/hyperlink" Target="http://www.homoeopathbiloba.ch/" TargetMode="External"/><Relationship Id="rId425" Type="http://schemas.openxmlformats.org/officeDocument/2006/relationships/hyperlink" Target="http://www.healingcoaching.ch/" TargetMode="External"/><Relationship Id="rId426" Type="http://schemas.openxmlformats.org/officeDocument/2006/relationships/hyperlink" Target="mailto:info@resomed.com" TargetMode="External"/><Relationship Id="rId427" Type="http://schemas.openxmlformats.org/officeDocument/2006/relationships/hyperlink" Target="http://www.quantisana.ch/" TargetMode="External"/><Relationship Id="rId428" Type="http://schemas.openxmlformats.org/officeDocument/2006/relationships/hyperlink" Target="mailto:praxis@jennessen.de" TargetMode="External"/><Relationship Id="rId429" Type="http://schemas.openxmlformats.org/officeDocument/2006/relationships/hyperlink" Target="http://www.doktor.ch/arzt/de-potzolli-oliver-m-heiden-9410-" TargetMode="External"/><Relationship Id="rId430" Type="http://schemas.openxmlformats.org/officeDocument/2006/relationships/hyperlink" Target="mailto:dr.om.depotzolli@hin.ch" TargetMode="External"/><Relationship Id="rId431" Type="http://schemas.openxmlformats.org/officeDocument/2006/relationships/hyperlink" Target="mailto:shams_scheik@hotmail.com" TargetMode="External"/><Relationship Id="rId432" Type="http://schemas.openxmlformats.org/officeDocument/2006/relationships/footer" Target="footer304.xml"/><Relationship Id="rId433" Type="http://schemas.openxmlformats.org/officeDocument/2006/relationships/hyperlink" Target="http://www.vitalpilze.de/lang/de/downloads/informationsschreiben_fuer_aerzte.pdf" TargetMode="External"/><Relationship Id="rId434" Type="http://schemas.openxmlformats.org/officeDocument/2006/relationships/footer" Target="footer305.xml"/><Relationship Id="rId435" Type="http://schemas.openxmlformats.org/officeDocument/2006/relationships/footer" Target="footer306.xml"/><Relationship Id="rId436" Type="http://schemas.openxmlformats.org/officeDocument/2006/relationships/footer" Target="footer307.xml"/><Relationship Id="rId437" Type="http://schemas.openxmlformats.org/officeDocument/2006/relationships/footer" Target="footer308.xml"/><Relationship Id="rId438" Type="http://schemas.openxmlformats.org/officeDocument/2006/relationships/footer" Target="footer309.xml"/><Relationship Id="rId439" Type="http://schemas.openxmlformats.org/officeDocument/2006/relationships/footer" Target="footer310.xml"/><Relationship Id="rId440" Type="http://schemas.openxmlformats.org/officeDocument/2006/relationships/footer" Target="footer311.xml"/><Relationship Id="rId441" Type="http://schemas.openxmlformats.org/officeDocument/2006/relationships/footer" Target="footer312.xml"/><Relationship Id="rId442" Type="http://schemas.openxmlformats.org/officeDocument/2006/relationships/footer" Target="footer313.xml"/><Relationship Id="rId443" Type="http://schemas.openxmlformats.org/officeDocument/2006/relationships/footer" Target="footer314.xml"/><Relationship Id="rId444" Type="http://schemas.openxmlformats.org/officeDocument/2006/relationships/footer" Target="footer315.xml"/><Relationship Id="rId445" Type="http://schemas.openxmlformats.org/officeDocument/2006/relationships/footer" Target="footer316.xml"/><Relationship Id="rId446" Type="http://schemas.openxmlformats.org/officeDocument/2006/relationships/footer" Target="footer317.xml"/><Relationship Id="rId447" Type="http://schemas.openxmlformats.org/officeDocument/2006/relationships/footer" Target="footer318.xml"/><Relationship Id="rId448" Type="http://schemas.openxmlformats.org/officeDocument/2006/relationships/footer" Target="footer319.xml"/><Relationship Id="rId449" Type="http://schemas.openxmlformats.org/officeDocument/2006/relationships/footer" Target="footer320.xml"/><Relationship Id="rId450" Type="http://schemas.openxmlformats.org/officeDocument/2006/relationships/footer" Target="footer321.xml"/><Relationship Id="rId451" Type="http://schemas.openxmlformats.org/officeDocument/2006/relationships/hyperlink" Target="http://www.aerzteblatt.de/archiv/73243" TargetMode="External"/><Relationship Id="rId452" Type="http://schemas.openxmlformats.org/officeDocument/2006/relationships/footer" Target="footer322.xml"/><Relationship Id="rId453" Type="http://schemas.openxmlformats.org/officeDocument/2006/relationships/image" Target="media/image10.jpeg"/><Relationship Id="rId454" Type="http://schemas.openxmlformats.org/officeDocument/2006/relationships/image" Target="media/image11.jpeg"/><Relationship Id="rId455" Type="http://schemas.openxmlformats.org/officeDocument/2006/relationships/footer" Target="footer323.xml"/><Relationship Id="rId456" Type="http://schemas.openxmlformats.org/officeDocument/2006/relationships/footer" Target="footer324.xml"/><Relationship Id="rId457" Type="http://schemas.openxmlformats.org/officeDocument/2006/relationships/footer" Target="footer325.xml"/><Relationship Id="rId458" Type="http://schemas.openxmlformats.org/officeDocument/2006/relationships/footer" Target="footer326.xml"/><Relationship Id="rId459" Type="http://schemas.openxmlformats.org/officeDocument/2006/relationships/footer" Target="footer327.xml"/><Relationship Id="rId460" Type="http://schemas.openxmlformats.org/officeDocument/2006/relationships/footer" Target="footer328.xml"/><Relationship Id="rId461" Type="http://schemas.openxmlformats.org/officeDocument/2006/relationships/footer" Target="footer329.xml"/><Relationship Id="rId462" Type="http://schemas.openxmlformats.org/officeDocument/2006/relationships/hyperlink" Target="http://www.euractiv.com/section/health-consumers/news/uk-and-us-at-odds-with-europe-over-statin-use/" TargetMode="External"/><Relationship Id="rId463" Type="http://schemas.openxmlformats.org/officeDocument/2006/relationships/footer" Target="footer330.xml"/><Relationship Id="rId464" Type="http://schemas.openxmlformats.org/officeDocument/2006/relationships/footer" Target="footer331.xml"/><Relationship Id="rId465" Type="http://schemas.openxmlformats.org/officeDocument/2006/relationships/footer" Target="footer332.xml"/><Relationship Id="rId466" Type="http://schemas.openxmlformats.org/officeDocument/2006/relationships/hyperlink" Target="http://www.focus.de/gesundheit/news/vitamin-c_aid_106795.html" TargetMode="External"/><Relationship Id="rId467" Type="http://schemas.openxmlformats.org/officeDocument/2006/relationships/footer" Target="footer333.xml"/><Relationship Id="rId468" Type="http://schemas.openxmlformats.org/officeDocument/2006/relationships/footer" Target="footer334.xml"/><Relationship Id="rId469" Type="http://schemas.openxmlformats.org/officeDocument/2006/relationships/footer" Target="footer335.xml"/><Relationship Id="rId470" Type="http://schemas.openxmlformats.org/officeDocument/2006/relationships/footer" Target="footer336.xml"/><Relationship Id="rId471" Type="http://schemas.openxmlformats.org/officeDocument/2006/relationships/footer" Target="footer337.xml"/><Relationship Id="rId472" Type="http://schemas.openxmlformats.org/officeDocument/2006/relationships/footer" Target="footer338.xml"/><Relationship Id="rId473" Type="http://schemas.openxmlformats.org/officeDocument/2006/relationships/footer" Target="footer339.xml"/><Relationship Id="rId474" Type="http://schemas.openxmlformats.org/officeDocument/2006/relationships/image" Target="media/image12.png"/><Relationship Id="rId475" Type="http://schemas.openxmlformats.org/officeDocument/2006/relationships/image" Target="media/image13.png"/><Relationship Id="rId476" Type="http://schemas.openxmlformats.org/officeDocument/2006/relationships/image" Target="media/image14.png"/><Relationship Id="rId477" Type="http://schemas.openxmlformats.org/officeDocument/2006/relationships/footer" Target="footer340.xml"/><Relationship Id="rId478" Type="http://schemas.openxmlformats.org/officeDocument/2006/relationships/image" Target="media/image15.png"/><Relationship Id="rId479" Type="http://schemas.openxmlformats.org/officeDocument/2006/relationships/image" Target="media/image16.png"/><Relationship Id="rId480" Type="http://schemas.openxmlformats.org/officeDocument/2006/relationships/image" Target="media/image17.png"/><Relationship Id="rId481" Type="http://schemas.openxmlformats.org/officeDocument/2006/relationships/image" Target="media/image18.png"/><Relationship Id="rId482" Type="http://schemas.openxmlformats.org/officeDocument/2006/relationships/image" Target="media/image19.png"/><Relationship Id="rId483" Type="http://schemas.openxmlformats.org/officeDocument/2006/relationships/image" Target="media/image20.png"/><Relationship Id="rId484" Type="http://schemas.openxmlformats.org/officeDocument/2006/relationships/image" Target="media/image21.png"/><Relationship Id="rId485" Type="http://schemas.openxmlformats.org/officeDocument/2006/relationships/image" Target="media/image22.png"/><Relationship Id="rId486" Type="http://schemas.openxmlformats.org/officeDocument/2006/relationships/image" Target="media/image23.png"/><Relationship Id="rId487" Type="http://schemas.openxmlformats.org/officeDocument/2006/relationships/image" Target="media/image24.png"/><Relationship Id="rId488" Type="http://schemas.openxmlformats.org/officeDocument/2006/relationships/image" Target="media/image25.png"/><Relationship Id="rId489" Type="http://schemas.openxmlformats.org/officeDocument/2006/relationships/image" Target="media/image26.png"/><Relationship Id="rId490" Type="http://schemas.openxmlformats.org/officeDocument/2006/relationships/image" Target="media/image27.png"/><Relationship Id="rId491" Type="http://schemas.openxmlformats.org/officeDocument/2006/relationships/footer" Target="footer341.xml"/><Relationship Id="rId492" Type="http://schemas.openxmlformats.org/officeDocument/2006/relationships/image" Target="media/image28.png"/><Relationship Id="rId493" Type="http://schemas.openxmlformats.org/officeDocument/2006/relationships/image" Target="media/image29.png"/><Relationship Id="rId494" Type="http://schemas.openxmlformats.org/officeDocument/2006/relationships/image" Target="media/image30.png"/><Relationship Id="rId495" Type="http://schemas.openxmlformats.org/officeDocument/2006/relationships/image" Target="media/image31.png"/><Relationship Id="rId496" Type="http://schemas.openxmlformats.org/officeDocument/2006/relationships/image" Target="media/image32.png"/><Relationship Id="rId497" Type="http://schemas.openxmlformats.org/officeDocument/2006/relationships/image" Target="media/image33.png"/><Relationship Id="rId498" Type="http://schemas.openxmlformats.org/officeDocument/2006/relationships/image" Target="media/image34.png"/><Relationship Id="rId499" Type="http://schemas.openxmlformats.org/officeDocument/2006/relationships/image" Target="media/image35.jpeg"/><Relationship Id="rId500" Type="http://schemas.openxmlformats.org/officeDocument/2006/relationships/footer" Target="footer342.xml"/><Relationship Id="rId501" Type="http://schemas.openxmlformats.org/officeDocument/2006/relationships/footer" Target="footer343.xml"/><Relationship Id="rId502" Type="http://schemas.openxmlformats.org/officeDocument/2006/relationships/footer" Target="footer344.xml"/><Relationship Id="rId503" Type="http://schemas.openxmlformats.org/officeDocument/2006/relationships/footer" Target="footer345.xml"/><Relationship Id="rId504" Type="http://schemas.openxmlformats.org/officeDocument/2006/relationships/footer" Target="footer346.xml"/><Relationship Id="rId505" Type="http://schemas.openxmlformats.org/officeDocument/2006/relationships/footer" Target="footer347.xml"/><Relationship Id="rId506" Type="http://schemas.openxmlformats.org/officeDocument/2006/relationships/footer" Target="footer348.xml"/><Relationship Id="rId507" Type="http://schemas.openxmlformats.org/officeDocument/2006/relationships/footer" Target="footer349.xml"/><Relationship Id="rId508" Type="http://schemas.openxmlformats.org/officeDocument/2006/relationships/footer" Target="footer350.xml"/><Relationship Id="rId509" Type="http://schemas.openxmlformats.org/officeDocument/2006/relationships/footer" Target="footer351.xml"/><Relationship Id="rId510" Type="http://schemas.openxmlformats.org/officeDocument/2006/relationships/hyperlink" Target="http://affiliate.vitaminum.com/" TargetMode="External"/><Relationship Id="rId51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10.xml.rels><?xml version="1.0" encoding="UTF-8" standalone="yes"?>
<Relationships xmlns="http://schemas.openxmlformats.org/package/2006/relationships"><Relationship Id="rId1" Type="http://schemas.openxmlformats.org/officeDocument/2006/relationships/image" Target="media/image2.jpeg"/></Relationships>

</file>

<file path=word/_rels/footer101.xml.rels><?xml version="1.0" encoding="UTF-8" standalone="yes"?>
<Relationships xmlns="http://schemas.openxmlformats.org/package/2006/relationships"><Relationship Id="rId1" Type="http://schemas.openxmlformats.org/officeDocument/2006/relationships/image" Target="media/image2.jpeg"/></Relationships>

</file>

<file path=word/_rels/footer103.xml.rels><?xml version="1.0" encoding="UTF-8" standalone="yes"?>
<Relationships xmlns="http://schemas.openxmlformats.org/package/2006/relationships"><Relationship Id="rId1" Type="http://schemas.openxmlformats.org/officeDocument/2006/relationships/image" Target="media/image2.jpeg"/></Relationships>

</file>

<file path=word/_rels/footer104.xml.rels><?xml version="1.0" encoding="UTF-8" standalone="yes"?>
<Relationships xmlns="http://schemas.openxmlformats.org/package/2006/relationships"><Relationship Id="rId1" Type="http://schemas.openxmlformats.org/officeDocument/2006/relationships/image" Target="media/image2.jpeg"/></Relationships>

</file>

<file path=word/_rels/footer105.xml.rels><?xml version="1.0" encoding="UTF-8" standalone="yes"?>
<Relationships xmlns="http://schemas.openxmlformats.org/package/2006/relationships"><Relationship Id="rId1" Type="http://schemas.openxmlformats.org/officeDocument/2006/relationships/image" Target="media/image2.jpeg"/></Relationships>

</file>

<file path=word/_rels/footer106.xml.rels><?xml version="1.0" encoding="UTF-8" standalone="yes"?>
<Relationships xmlns="http://schemas.openxmlformats.org/package/2006/relationships"><Relationship Id="rId1" Type="http://schemas.openxmlformats.org/officeDocument/2006/relationships/image" Target="media/image2.jpeg"/></Relationships>

</file>

<file path=word/_rels/footer107.xml.rels><?xml version="1.0" encoding="UTF-8" standalone="yes"?>
<Relationships xmlns="http://schemas.openxmlformats.org/package/2006/relationships"><Relationship Id="rId1" Type="http://schemas.openxmlformats.org/officeDocument/2006/relationships/image" Target="media/image2.jpeg"/></Relationships>

</file>

<file path=word/_rels/footer108.xml.rels><?xml version="1.0" encoding="UTF-8" standalone="yes"?>
<Relationships xmlns="http://schemas.openxmlformats.org/package/2006/relationships"><Relationship Id="rId1" Type="http://schemas.openxmlformats.org/officeDocument/2006/relationships/image" Target="media/image2.jpeg"/></Relationships>

</file>

<file path=word/_rels/footer11.xml.rels><?xml version="1.0" encoding="UTF-8" standalone="yes"?>
<Relationships xmlns="http://schemas.openxmlformats.org/package/2006/relationships"><Relationship Id="rId1" Type="http://schemas.openxmlformats.org/officeDocument/2006/relationships/image" Target="media/image2.jpeg"/></Relationships>

</file>

<file path=word/_rels/footer110.xml.rels><?xml version="1.0" encoding="UTF-8" standalone="yes"?>
<Relationships xmlns="http://schemas.openxmlformats.org/package/2006/relationships"><Relationship Id="rId1" Type="http://schemas.openxmlformats.org/officeDocument/2006/relationships/image" Target="media/image2.jpeg"/></Relationships>

</file>

<file path=word/_rels/footer111.xml.rels><?xml version="1.0" encoding="UTF-8" standalone="yes"?>
<Relationships xmlns="http://schemas.openxmlformats.org/package/2006/relationships"><Relationship Id="rId1" Type="http://schemas.openxmlformats.org/officeDocument/2006/relationships/image" Target="media/image2.jpeg"/></Relationships>

</file>

<file path=word/_rels/footer112.xml.rels><?xml version="1.0" encoding="UTF-8" standalone="yes"?>
<Relationships xmlns="http://schemas.openxmlformats.org/package/2006/relationships"><Relationship Id="rId1" Type="http://schemas.openxmlformats.org/officeDocument/2006/relationships/image" Target="media/image2.jpeg"/></Relationships>

</file>

<file path=word/_rels/footer114.xml.rels><?xml version="1.0" encoding="UTF-8" standalone="yes"?>
<Relationships xmlns="http://schemas.openxmlformats.org/package/2006/relationships"><Relationship Id="rId1" Type="http://schemas.openxmlformats.org/officeDocument/2006/relationships/image" Target="media/image2.jpeg"/></Relationships>

</file>

<file path=word/_rels/footer115.xml.rels><?xml version="1.0" encoding="UTF-8" standalone="yes"?>
<Relationships xmlns="http://schemas.openxmlformats.org/package/2006/relationships"><Relationship Id="rId1" Type="http://schemas.openxmlformats.org/officeDocument/2006/relationships/image" Target="media/image2.jpeg"/></Relationships>

</file>

<file path=word/_rels/footer116.xml.rels><?xml version="1.0" encoding="UTF-8" standalone="yes"?>
<Relationships xmlns="http://schemas.openxmlformats.org/package/2006/relationships"><Relationship Id="rId1" Type="http://schemas.openxmlformats.org/officeDocument/2006/relationships/image" Target="media/image2.jpeg"/></Relationships>

</file>

<file path=word/_rels/footer117.xml.rels><?xml version="1.0" encoding="UTF-8" standalone="yes"?>
<Relationships xmlns="http://schemas.openxmlformats.org/package/2006/relationships"><Relationship Id="rId1" Type="http://schemas.openxmlformats.org/officeDocument/2006/relationships/image" Target="media/image2.jpeg"/></Relationships>

</file>

<file path=word/_rels/footer118.xml.rels><?xml version="1.0" encoding="UTF-8" standalone="yes"?>
<Relationships xmlns="http://schemas.openxmlformats.org/package/2006/relationships"><Relationship Id="rId1" Type="http://schemas.openxmlformats.org/officeDocument/2006/relationships/image" Target="media/image2.jpeg"/></Relationships>

</file>

<file path=word/_rels/footer119.xml.rels><?xml version="1.0" encoding="UTF-8" standalone="yes"?>
<Relationships xmlns="http://schemas.openxmlformats.org/package/2006/relationships"><Relationship Id="rId1" Type="http://schemas.openxmlformats.org/officeDocument/2006/relationships/image" Target="media/image2.jpeg"/></Relationships>

</file>

<file path=word/_rels/footer12.xml.rels><?xml version="1.0" encoding="UTF-8" standalone="yes"?>
<Relationships xmlns="http://schemas.openxmlformats.org/package/2006/relationships"><Relationship Id="rId1" Type="http://schemas.openxmlformats.org/officeDocument/2006/relationships/image" Target="media/image2.jpeg"/></Relationships>

</file>

<file path=word/_rels/footer120.xml.rels><?xml version="1.0" encoding="UTF-8" standalone="yes"?>
<Relationships xmlns="http://schemas.openxmlformats.org/package/2006/relationships"><Relationship Id="rId1" Type="http://schemas.openxmlformats.org/officeDocument/2006/relationships/image" Target="media/image2.jpeg"/></Relationships>

</file>

<file path=word/_rels/footer121.xml.rels><?xml version="1.0" encoding="UTF-8" standalone="yes"?>
<Relationships xmlns="http://schemas.openxmlformats.org/package/2006/relationships"><Relationship Id="rId1" Type="http://schemas.openxmlformats.org/officeDocument/2006/relationships/image" Target="media/image2.jpeg"/></Relationships>

</file>

<file path=word/_rels/footer122.xml.rels><?xml version="1.0" encoding="UTF-8" standalone="yes"?>
<Relationships xmlns="http://schemas.openxmlformats.org/package/2006/relationships"><Relationship Id="rId1" Type="http://schemas.openxmlformats.org/officeDocument/2006/relationships/image" Target="media/image2.jpeg"/></Relationships>

</file>

<file path=word/_rels/footer123.xml.rels><?xml version="1.0" encoding="UTF-8" standalone="yes"?>
<Relationships xmlns="http://schemas.openxmlformats.org/package/2006/relationships"><Relationship Id="rId1" Type="http://schemas.openxmlformats.org/officeDocument/2006/relationships/image" Target="media/image2.jpeg"/></Relationships>

</file>

<file path=word/_rels/footer125.xml.rels><?xml version="1.0" encoding="UTF-8" standalone="yes"?>
<Relationships xmlns="http://schemas.openxmlformats.org/package/2006/relationships"><Relationship Id="rId1" Type="http://schemas.openxmlformats.org/officeDocument/2006/relationships/image" Target="media/image2.jpeg"/></Relationships>

</file>

<file path=word/_rels/footer126.xml.rels><?xml version="1.0" encoding="UTF-8" standalone="yes"?>
<Relationships xmlns="http://schemas.openxmlformats.org/package/2006/relationships"><Relationship Id="rId1" Type="http://schemas.openxmlformats.org/officeDocument/2006/relationships/image" Target="media/image2.jpeg"/></Relationships>

</file>

<file path=word/_rels/footer127.xml.rels><?xml version="1.0" encoding="UTF-8" standalone="yes"?>
<Relationships xmlns="http://schemas.openxmlformats.org/package/2006/relationships"><Relationship Id="rId1" Type="http://schemas.openxmlformats.org/officeDocument/2006/relationships/image" Target="media/image2.jpeg"/></Relationships>

</file>

<file path=word/_rels/footer128.xml.rels><?xml version="1.0" encoding="UTF-8" standalone="yes"?>
<Relationships xmlns="http://schemas.openxmlformats.org/package/2006/relationships"><Relationship Id="rId1" Type="http://schemas.openxmlformats.org/officeDocument/2006/relationships/image" Target="media/image2.jpeg"/></Relationships>

</file>

<file path=word/_rels/footer129.xml.rels><?xml version="1.0" encoding="UTF-8" standalone="yes"?>
<Relationships xmlns="http://schemas.openxmlformats.org/package/2006/relationships"><Relationship Id="rId1" Type="http://schemas.openxmlformats.org/officeDocument/2006/relationships/image" Target="media/image2.jpeg"/></Relationships>

</file>

<file path=word/_rels/footer13.xml.rels><?xml version="1.0" encoding="UTF-8" standalone="yes"?>
<Relationships xmlns="http://schemas.openxmlformats.org/package/2006/relationships"><Relationship Id="rId1" Type="http://schemas.openxmlformats.org/officeDocument/2006/relationships/image" Target="media/image2.jpeg"/></Relationships>

</file>

<file path=word/_rels/footer130.xml.rels><?xml version="1.0" encoding="UTF-8" standalone="yes"?>
<Relationships xmlns="http://schemas.openxmlformats.org/package/2006/relationships"><Relationship Id="rId1" Type="http://schemas.openxmlformats.org/officeDocument/2006/relationships/image" Target="media/image2.jpeg"/></Relationships>

</file>

<file path=word/_rels/footer131.xml.rels><?xml version="1.0" encoding="UTF-8" standalone="yes"?>
<Relationships xmlns="http://schemas.openxmlformats.org/package/2006/relationships"><Relationship Id="rId1" Type="http://schemas.openxmlformats.org/officeDocument/2006/relationships/image" Target="media/image2.jpeg"/></Relationships>

</file>

<file path=word/_rels/footer132.xml.rels><?xml version="1.0" encoding="UTF-8" standalone="yes"?>
<Relationships xmlns="http://schemas.openxmlformats.org/package/2006/relationships"><Relationship Id="rId1" Type="http://schemas.openxmlformats.org/officeDocument/2006/relationships/image" Target="media/image2.jpeg"/></Relationships>

</file>

<file path=word/_rels/footer133.xml.rels><?xml version="1.0" encoding="UTF-8" standalone="yes"?>
<Relationships xmlns="http://schemas.openxmlformats.org/package/2006/relationships"><Relationship Id="rId1" Type="http://schemas.openxmlformats.org/officeDocument/2006/relationships/image" Target="media/image2.jpeg"/></Relationships>

</file>

<file path=word/_rels/footer134.xml.rels><?xml version="1.0" encoding="UTF-8" standalone="yes"?>
<Relationships xmlns="http://schemas.openxmlformats.org/package/2006/relationships"><Relationship Id="rId1" Type="http://schemas.openxmlformats.org/officeDocument/2006/relationships/image" Target="media/image2.jpeg"/></Relationships>

</file>

<file path=word/_rels/footer135.xml.rels><?xml version="1.0" encoding="UTF-8" standalone="yes"?>
<Relationships xmlns="http://schemas.openxmlformats.org/package/2006/relationships"><Relationship Id="rId1" Type="http://schemas.openxmlformats.org/officeDocument/2006/relationships/image" Target="media/image2.jpeg"/></Relationships>

</file>

<file path=word/_rels/footer136.xml.rels><?xml version="1.0" encoding="UTF-8" standalone="yes"?>
<Relationships xmlns="http://schemas.openxmlformats.org/package/2006/relationships"><Relationship Id="rId1" Type="http://schemas.openxmlformats.org/officeDocument/2006/relationships/image" Target="media/image2.jpeg"/></Relationships>

</file>

<file path=word/_rels/footer138.xml.rels><?xml version="1.0" encoding="UTF-8" standalone="yes"?>
<Relationships xmlns="http://schemas.openxmlformats.org/package/2006/relationships"><Relationship Id="rId1" Type="http://schemas.openxmlformats.org/officeDocument/2006/relationships/image" Target="media/image2.jpeg"/></Relationships>

</file>

<file path=word/_rels/footer139.xml.rels><?xml version="1.0" encoding="UTF-8" standalone="yes"?>
<Relationships xmlns="http://schemas.openxmlformats.org/package/2006/relationships"><Relationship Id="rId1" Type="http://schemas.openxmlformats.org/officeDocument/2006/relationships/image" Target="media/image2.jpeg"/></Relationships>

</file>

<file path=word/_rels/footer141.xml.rels><?xml version="1.0" encoding="UTF-8" standalone="yes"?>
<Relationships xmlns="http://schemas.openxmlformats.org/package/2006/relationships"><Relationship Id="rId1" Type="http://schemas.openxmlformats.org/officeDocument/2006/relationships/image" Target="media/image2.jpeg"/></Relationships>

</file>

<file path=word/_rels/footer142.xml.rels><?xml version="1.0" encoding="UTF-8" standalone="yes"?>
<Relationships xmlns="http://schemas.openxmlformats.org/package/2006/relationships"><Relationship Id="rId1" Type="http://schemas.openxmlformats.org/officeDocument/2006/relationships/image" Target="media/image2.jpeg"/></Relationships>

</file>

<file path=word/_rels/footer143.xml.rels><?xml version="1.0" encoding="UTF-8" standalone="yes"?>
<Relationships xmlns="http://schemas.openxmlformats.org/package/2006/relationships"><Relationship Id="rId1" Type="http://schemas.openxmlformats.org/officeDocument/2006/relationships/image" Target="media/image2.jpeg"/></Relationships>

</file>

<file path=word/_rels/footer144.xml.rels><?xml version="1.0" encoding="UTF-8" standalone="yes"?>
<Relationships xmlns="http://schemas.openxmlformats.org/package/2006/relationships"><Relationship Id="rId1" Type="http://schemas.openxmlformats.org/officeDocument/2006/relationships/image" Target="media/image2.jpeg"/></Relationships>

</file>

<file path=word/_rels/footer145.xml.rels><?xml version="1.0" encoding="UTF-8" standalone="yes"?>
<Relationships xmlns="http://schemas.openxmlformats.org/package/2006/relationships"><Relationship Id="rId1" Type="http://schemas.openxmlformats.org/officeDocument/2006/relationships/image" Target="media/image2.jpeg"/></Relationships>

</file>

<file path=word/_rels/footer146.xml.rels><?xml version="1.0" encoding="UTF-8" standalone="yes"?>
<Relationships xmlns="http://schemas.openxmlformats.org/package/2006/relationships"><Relationship Id="rId1" Type="http://schemas.openxmlformats.org/officeDocument/2006/relationships/image" Target="media/image2.jpeg"/></Relationships>

</file>

<file path=word/_rels/footer147.xml.rels><?xml version="1.0" encoding="UTF-8" standalone="yes"?>
<Relationships xmlns="http://schemas.openxmlformats.org/package/2006/relationships"><Relationship Id="rId1" Type="http://schemas.openxmlformats.org/officeDocument/2006/relationships/image" Target="media/image2.jpeg"/></Relationships>

</file>

<file path=word/_rels/footer148.xml.rels><?xml version="1.0" encoding="UTF-8" standalone="yes"?>
<Relationships xmlns="http://schemas.openxmlformats.org/package/2006/relationships"><Relationship Id="rId1" Type="http://schemas.openxmlformats.org/officeDocument/2006/relationships/image" Target="media/image2.jpeg"/></Relationships>

</file>

<file path=word/_rels/footer149.xml.rels><?xml version="1.0" encoding="UTF-8" standalone="yes"?>
<Relationships xmlns="http://schemas.openxmlformats.org/package/2006/relationships"><Relationship Id="rId1" Type="http://schemas.openxmlformats.org/officeDocument/2006/relationships/image" Target="media/image2.jpeg"/></Relationships>

</file>

<file path=word/_rels/footer15.xml.rels><?xml version="1.0" encoding="UTF-8" standalone="yes"?>
<Relationships xmlns="http://schemas.openxmlformats.org/package/2006/relationships"><Relationship Id="rId1" Type="http://schemas.openxmlformats.org/officeDocument/2006/relationships/image" Target="media/image2.jpeg"/></Relationships>

</file>

<file path=word/_rels/footer150.xml.rels><?xml version="1.0" encoding="UTF-8" standalone="yes"?>
<Relationships xmlns="http://schemas.openxmlformats.org/package/2006/relationships"><Relationship Id="rId1" Type="http://schemas.openxmlformats.org/officeDocument/2006/relationships/image" Target="media/image2.jpeg"/></Relationships>

</file>

<file path=word/_rels/footer151.xml.rels><?xml version="1.0" encoding="UTF-8" standalone="yes"?>
<Relationships xmlns="http://schemas.openxmlformats.org/package/2006/relationships"><Relationship Id="rId1" Type="http://schemas.openxmlformats.org/officeDocument/2006/relationships/image" Target="media/image2.jpeg"/></Relationships>

</file>

<file path=word/_rels/footer152.xml.rels><?xml version="1.0" encoding="UTF-8" standalone="yes"?>
<Relationships xmlns="http://schemas.openxmlformats.org/package/2006/relationships"><Relationship Id="rId1" Type="http://schemas.openxmlformats.org/officeDocument/2006/relationships/image" Target="media/image2.jpeg"/></Relationships>

</file>

<file path=word/_rels/footer154.xml.rels><?xml version="1.0" encoding="UTF-8" standalone="yes"?>
<Relationships xmlns="http://schemas.openxmlformats.org/package/2006/relationships"><Relationship Id="rId1" Type="http://schemas.openxmlformats.org/officeDocument/2006/relationships/image" Target="media/image2.jpeg"/></Relationships>

</file>

<file path=word/_rels/footer155.xml.rels><?xml version="1.0" encoding="UTF-8" standalone="yes"?>
<Relationships xmlns="http://schemas.openxmlformats.org/package/2006/relationships"><Relationship Id="rId1" Type="http://schemas.openxmlformats.org/officeDocument/2006/relationships/image" Target="media/image2.jpeg"/></Relationships>

</file>

<file path=word/_rels/footer157.xml.rels><?xml version="1.0" encoding="UTF-8" standalone="yes"?>
<Relationships xmlns="http://schemas.openxmlformats.org/package/2006/relationships"><Relationship Id="rId1" Type="http://schemas.openxmlformats.org/officeDocument/2006/relationships/image" Target="media/image2.jpeg"/></Relationships>

</file>

<file path=word/_rels/footer158.xml.rels><?xml version="1.0" encoding="UTF-8" standalone="yes"?>
<Relationships xmlns="http://schemas.openxmlformats.org/package/2006/relationships"><Relationship Id="rId1" Type="http://schemas.openxmlformats.org/officeDocument/2006/relationships/image" Target="media/image2.jpeg"/></Relationships>

</file>

<file path=word/_rels/footer159.xml.rels><?xml version="1.0" encoding="UTF-8" standalone="yes"?>
<Relationships xmlns="http://schemas.openxmlformats.org/package/2006/relationships"><Relationship Id="rId1" Type="http://schemas.openxmlformats.org/officeDocument/2006/relationships/image" Target="media/image2.jpeg"/></Relationships>

</file>

<file path=word/_rels/footer160.xml.rels><?xml version="1.0" encoding="UTF-8" standalone="yes"?>
<Relationships xmlns="http://schemas.openxmlformats.org/package/2006/relationships"><Relationship Id="rId1" Type="http://schemas.openxmlformats.org/officeDocument/2006/relationships/image" Target="media/image2.jpeg"/></Relationships>

</file>

<file path=word/_rels/footer163.xml.rels><?xml version="1.0" encoding="UTF-8" standalone="yes"?>
<Relationships xmlns="http://schemas.openxmlformats.org/package/2006/relationships"><Relationship Id="rId1" Type="http://schemas.openxmlformats.org/officeDocument/2006/relationships/image" Target="media/image2.jpeg"/></Relationships>

</file>

<file path=word/_rels/footer164.xml.rels><?xml version="1.0" encoding="UTF-8" standalone="yes"?>
<Relationships xmlns="http://schemas.openxmlformats.org/package/2006/relationships"><Relationship Id="rId1" Type="http://schemas.openxmlformats.org/officeDocument/2006/relationships/image" Target="media/image2.jpeg"/></Relationships>

</file>

<file path=word/_rels/footer165.xml.rels><?xml version="1.0" encoding="UTF-8" standalone="yes"?>
<Relationships xmlns="http://schemas.openxmlformats.org/package/2006/relationships"><Relationship Id="rId1" Type="http://schemas.openxmlformats.org/officeDocument/2006/relationships/image" Target="media/image2.jpeg"/></Relationships>

</file>

<file path=word/_rels/footer166.xml.rels><?xml version="1.0" encoding="UTF-8" standalone="yes"?>
<Relationships xmlns="http://schemas.openxmlformats.org/package/2006/relationships"><Relationship Id="rId1" Type="http://schemas.openxmlformats.org/officeDocument/2006/relationships/image" Target="media/image2.jpeg"/></Relationships>

</file>

<file path=word/_rels/footer167.xml.rels><?xml version="1.0" encoding="UTF-8" standalone="yes"?>
<Relationships xmlns="http://schemas.openxmlformats.org/package/2006/relationships"><Relationship Id="rId1" Type="http://schemas.openxmlformats.org/officeDocument/2006/relationships/image" Target="media/image2.jpeg"/></Relationships>

</file>

<file path=word/_rels/footer168.xml.rels><?xml version="1.0" encoding="UTF-8" standalone="yes"?>
<Relationships xmlns="http://schemas.openxmlformats.org/package/2006/relationships"><Relationship Id="rId1" Type="http://schemas.openxmlformats.org/officeDocument/2006/relationships/image" Target="media/image2.jpeg"/></Relationships>

</file>

<file path=word/_rels/footer17.xml.rels><?xml version="1.0" encoding="UTF-8" standalone="yes"?>
<Relationships xmlns="http://schemas.openxmlformats.org/package/2006/relationships"><Relationship Id="rId1" Type="http://schemas.openxmlformats.org/officeDocument/2006/relationships/image" Target="media/image2.jpeg"/></Relationships>

</file>

<file path=word/_rels/footer170.xml.rels><?xml version="1.0" encoding="UTF-8" standalone="yes"?>
<Relationships xmlns="http://schemas.openxmlformats.org/package/2006/relationships"><Relationship Id="rId1" Type="http://schemas.openxmlformats.org/officeDocument/2006/relationships/image" Target="media/image2.jpeg"/></Relationships>

</file>

<file path=word/_rels/footer171.xml.rels><?xml version="1.0" encoding="UTF-8" standalone="yes"?>
<Relationships xmlns="http://schemas.openxmlformats.org/package/2006/relationships"><Relationship Id="rId1" Type="http://schemas.openxmlformats.org/officeDocument/2006/relationships/image" Target="media/image2.jpeg"/></Relationships>

</file>

<file path=word/_rels/footer173.xml.rels><?xml version="1.0" encoding="UTF-8" standalone="yes"?>
<Relationships xmlns="http://schemas.openxmlformats.org/package/2006/relationships"><Relationship Id="rId1" Type="http://schemas.openxmlformats.org/officeDocument/2006/relationships/image" Target="media/image2.jpeg"/></Relationships>

</file>

<file path=word/_rels/footer174.xml.rels><?xml version="1.0" encoding="UTF-8" standalone="yes"?>
<Relationships xmlns="http://schemas.openxmlformats.org/package/2006/relationships"><Relationship Id="rId1" Type="http://schemas.openxmlformats.org/officeDocument/2006/relationships/image" Target="media/image2.jpeg"/></Relationships>

</file>

<file path=word/_rels/footer176.xml.rels><?xml version="1.0" encoding="UTF-8" standalone="yes"?>
<Relationships xmlns="http://schemas.openxmlformats.org/package/2006/relationships"><Relationship Id="rId1" Type="http://schemas.openxmlformats.org/officeDocument/2006/relationships/image" Target="media/image2.jpeg"/></Relationships>

</file>

<file path=word/_rels/footer177.xml.rels><?xml version="1.0" encoding="UTF-8" standalone="yes"?>
<Relationships xmlns="http://schemas.openxmlformats.org/package/2006/relationships"><Relationship Id="rId1" Type="http://schemas.openxmlformats.org/officeDocument/2006/relationships/image" Target="media/image2.jpeg"/></Relationships>

</file>

<file path=word/_rels/footer178.xml.rels><?xml version="1.0" encoding="UTF-8" standalone="yes"?>
<Relationships xmlns="http://schemas.openxmlformats.org/package/2006/relationships"><Relationship Id="rId1" Type="http://schemas.openxmlformats.org/officeDocument/2006/relationships/image" Target="media/image2.jpeg"/></Relationships>

</file>

<file path=word/_rels/footer179.xml.rels><?xml version="1.0" encoding="UTF-8" standalone="yes"?>
<Relationships xmlns="http://schemas.openxmlformats.org/package/2006/relationships"><Relationship Id="rId1" Type="http://schemas.openxmlformats.org/officeDocument/2006/relationships/image" Target="media/image2.jpeg"/></Relationships>

</file>

<file path=word/_rels/footer180.xml.rels><?xml version="1.0" encoding="UTF-8" standalone="yes"?>
<Relationships xmlns="http://schemas.openxmlformats.org/package/2006/relationships"><Relationship Id="rId1" Type="http://schemas.openxmlformats.org/officeDocument/2006/relationships/image" Target="media/image2.jpeg"/></Relationships>

</file>

<file path=word/_rels/footer181.xml.rels><?xml version="1.0" encoding="UTF-8" standalone="yes"?>
<Relationships xmlns="http://schemas.openxmlformats.org/package/2006/relationships"><Relationship Id="rId1" Type="http://schemas.openxmlformats.org/officeDocument/2006/relationships/image" Target="media/image2.jpeg"/></Relationships>

</file>

<file path=word/_rels/footer182.xml.rels><?xml version="1.0" encoding="UTF-8" standalone="yes"?>
<Relationships xmlns="http://schemas.openxmlformats.org/package/2006/relationships"><Relationship Id="rId1" Type="http://schemas.openxmlformats.org/officeDocument/2006/relationships/image" Target="media/image2.jpeg"/></Relationships>

</file>

<file path=word/_rels/footer184.xml.rels><?xml version="1.0" encoding="UTF-8" standalone="yes"?>
<Relationships xmlns="http://schemas.openxmlformats.org/package/2006/relationships"><Relationship Id="rId1" Type="http://schemas.openxmlformats.org/officeDocument/2006/relationships/image" Target="media/image2.jpeg"/></Relationships>

</file>

<file path=word/_rels/footer186.xml.rels><?xml version="1.0" encoding="UTF-8" standalone="yes"?>
<Relationships xmlns="http://schemas.openxmlformats.org/package/2006/relationships"><Relationship Id="rId1" Type="http://schemas.openxmlformats.org/officeDocument/2006/relationships/image" Target="media/image2.jpeg"/></Relationships>

</file>

<file path=word/_rels/footer187.xml.rels><?xml version="1.0" encoding="UTF-8" standalone="yes"?>
<Relationships xmlns="http://schemas.openxmlformats.org/package/2006/relationships"><Relationship Id="rId1" Type="http://schemas.openxmlformats.org/officeDocument/2006/relationships/image" Target="media/image2.jpeg"/></Relationships>

</file>

<file path=word/_rels/footer189.xml.rels><?xml version="1.0" encoding="UTF-8" standalone="yes"?>
<Relationships xmlns="http://schemas.openxmlformats.org/package/2006/relationships"><Relationship Id="rId1" Type="http://schemas.openxmlformats.org/officeDocument/2006/relationships/image" Target="media/image2.jpeg"/></Relationships>

</file>

<file path=word/_rels/footer19.xml.rels><?xml version="1.0" encoding="UTF-8" standalone="yes"?>
<Relationships xmlns="http://schemas.openxmlformats.org/package/2006/relationships"><Relationship Id="rId1" Type="http://schemas.openxmlformats.org/officeDocument/2006/relationships/image" Target="media/image2.jpeg"/></Relationships>

</file>

<file path=word/_rels/footer190.xml.rels><?xml version="1.0" encoding="UTF-8" standalone="yes"?>
<Relationships xmlns="http://schemas.openxmlformats.org/package/2006/relationships"><Relationship Id="rId1" Type="http://schemas.openxmlformats.org/officeDocument/2006/relationships/image" Target="media/image2.jpeg"/></Relationships>

</file>

<file path=word/_rels/footer191.xml.rels><?xml version="1.0" encoding="UTF-8" standalone="yes"?>
<Relationships xmlns="http://schemas.openxmlformats.org/package/2006/relationships"><Relationship Id="rId1" Type="http://schemas.openxmlformats.org/officeDocument/2006/relationships/image" Target="media/image2.jpeg"/></Relationships>

</file>

<file path=word/_rels/footer192.xml.rels><?xml version="1.0" encoding="UTF-8" standalone="yes"?>
<Relationships xmlns="http://schemas.openxmlformats.org/package/2006/relationships"><Relationship Id="rId1" Type="http://schemas.openxmlformats.org/officeDocument/2006/relationships/image" Target="media/image2.jpeg"/></Relationships>

</file>

<file path=word/_rels/footer193.xml.rels><?xml version="1.0" encoding="UTF-8" standalone="yes"?>
<Relationships xmlns="http://schemas.openxmlformats.org/package/2006/relationships"><Relationship Id="rId1" Type="http://schemas.openxmlformats.org/officeDocument/2006/relationships/image" Target="media/image2.jpeg"/></Relationships>

</file>

<file path=word/_rels/footer194.xml.rels><?xml version="1.0" encoding="UTF-8" standalone="yes"?>
<Relationships xmlns="http://schemas.openxmlformats.org/package/2006/relationships"><Relationship Id="rId1" Type="http://schemas.openxmlformats.org/officeDocument/2006/relationships/image" Target="media/image2.jpeg"/></Relationships>

</file>

<file path=word/_rels/footer195.xml.rels><?xml version="1.0" encoding="UTF-8" standalone="yes"?>
<Relationships xmlns="http://schemas.openxmlformats.org/package/2006/relationships"><Relationship Id="rId1" Type="http://schemas.openxmlformats.org/officeDocument/2006/relationships/image" Target="media/image2.jpeg"/></Relationships>

</file>

<file path=word/_rels/footer196.xml.rels><?xml version="1.0" encoding="UTF-8" standalone="yes"?>
<Relationships xmlns="http://schemas.openxmlformats.org/package/2006/relationships"><Relationship Id="rId1" Type="http://schemas.openxmlformats.org/officeDocument/2006/relationships/image" Target="media/image2.jpeg"/></Relationships>

</file>

<file path=word/_rels/footer198.xml.rels><?xml version="1.0" encoding="UTF-8" standalone="yes"?>
<Relationships xmlns="http://schemas.openxmlformats.org/package/2006/relationships"><Relationship Id="rId1" Type="http://schemas.openxmlformats.org/officeDocument/2006/relationships/image" Target="media/image2.jpeg"/></Relationships>

</file>

<file path=word/_rels/footer199.xml.rels><?xml version="1.0" encoding="UTF-8" standalone="yes"?>
<Relationships xmlns="http://schemas.openxmlformats.org/package/2006/relationships"><Relationship Id="rId1" Type="http://schemas.openxmlformats.org/officeDocument/2006/relationships/image" Target="media/image2.jpeg"/></Relationships>

</file>

<file path=word/_rels/footer20.xml.rels><?xml version="1.0" encoding="UTF-8" standalone="yes"?>
<Relationships xmlns="http://schemas.openxmlformats.org/package/2006/relationships"><Relationship Id="rId1" Type="http://schemas.openxmlformats.org/officeDocument/2006/relationships/image" Target="media/image2.jpeg"/></Relationships>

</file>

<file path=word/_rels/footer201.xml.rels><?xml version="1.0" encoding="UTF-8" standalone="yes"?>
<Relationships xmlns="http://schemas.openxmlformats.org/package/2006/relationships"><Relationship Id="rId1" Type="http://schemas.openxmlformats.org/officeDocument/2006/relationships/image" Target="media/image2.jpeg"/></Relationships>

</file>

<file path=word/_rels/footer202.xml.rels><?xml version="1.0" encoding="UTF-8" standalone="yes"?>
<Relationships xmlns="http://schemas.openxmlformats.org/package/2006/relationships"><Relationship Id="rId1" Type="http://schemas.openxmlformats.org/officeDocument/2006/relationships/image" Target="media/image2.jpeg"/></Relationships>

</file>

<file path=word/_rels/footer203.xml.rels><?xml version="1.0" encoding="UTF-8" standalone="yes"?>
<Relationships xmlns="http://schemas.openxmlformats.org/package/2006/relationships"><Relationship Id="rId1" Type="http://schemas.openxmlformats.org/officeDocument/2006/relationships/image" Target="media/image2.jpeg"/></Relationships>

</file>

<file path=word/_rels/footer204.xml.rels><?xml version="1.0" encoding="UTF-8" standalone="yes"?>
<Relationships xmlns="http://schemas.openxmlformats.org/package/2006/relationships"><Relationship Id="rId1" Type="http://schemas.openxmlformats.org/officeDocument/2006/relationships/image" Target="media/image2.jpeg"/></Relationships>

</file>

<file path=word/_rels/footer205.xml.rels><?xml version="1.0" encoding="UTF-8" standalone="yes"?>
<Relationships xmlns="http://schemas.openxmlformats.org/package/2006/relationships"><Relationship Id="rId1" Type="http://schemas.openxmlformats.org/officeDocument/2006/relationships/image" Target="media/image2.jpeg"/></Relationships>

</file>

<file path=word/_rels/footer206.xml.rels><?xml version="1.0" encoding="UTF-8" standalone="yes"?>
<Relationships xmlns="http://schemas.openxmlformats.org/package/2006/relationships"><Relationship Id="rId1" Type="http://schemas.openxmlformats.org/officeDocument/2006/relationships/image" Target="media/image2.jpeg"/></Relationships>

</file>

<file path=word/_rels/footer207.xml.rels><?xml version="1.0" encoding="UTF-8" standalone="yes"?>
<Relationships xmlns="http://schemas.openxmlformats.org/package/2006/relationships"><Relationship Id="rId1" Type="http://schemas.openxmlformats.org/officeDocument/2006/relationships/image" Target="media/image2.jpeg"/></Relationships>

</file>

<file path=word/_rels/footer208.xml.rels><?xml version="1.0" encoding="UTF-8" standalone="yes"?>
<Relationships xmlns="http://schemas.openxmlformats.org/package/2006/relationships"><Relationship Id="rId1" Type="http://schemas.openxmlformats.org/officeDocument/2006/relationships/image" Target="media/image2.jpeg"/></Relationships>

</file>

<file path=word/_rels/footer209.xml.rels><?xml version="1.0" encoding="UTF-8" standalone="yes"?>
<Relationships xmlns="http://schemas.openxmlformats.org/package/2006/relationships"><Relationship Id="rId1" Type="http://schemas.openxmlformats.org/officeDocument/2006/relationships/image" Target="media/image2.jpeg"/></Relationships>

</file>

<file path=word/_rels/footer210.xml.rels><?xml version="1.0" encoding="UTF-8" standalone="yes"?>
<Relationships xmlns="http://schemas.openxmlformats.org/package/2006/relationships"><Relationship Id="rId1" Type="http://schemas.openxmlformats.org/officeDocument/2006/relationships/image" Target="media/image2.jpeg"/></Relationships>

</file>

<file path=word/_rels/footer211.xml.rels><?xml version="1.0" encoding="UTF-8" standalone="yes"?>
<Relationships xmlns="http://schemas.openxmlformats.org/package/2006/relationships"><Relationship Id="rId1" Type="http://schemas.openxmlformats.org/officeDocument/2006/relationships/image" Target="media/image2.jpeg"/></Relationships>

</file>

<file path=word/_rels/footer212.xml.rels><?xml version="1.0" encoding="UTF-8" standalone="yes"?>
<Relationships xmlns="http://schemas.openxmlformats.org/package/2006/relationships"><Relationship Id="rId1" Type="http://schemas.openxmlformats.org/officeDocument/2006/relationships/image" Target="media/image2.jpeg"/></Relationships>

</file>

<file path=word/_rels/footer213.xml.rels><?xml version="1.0" encoding="UTF-8" standalone="yes"?>
<Relationships xmlns="http://schemas.openxmlformats.org/package/2006/relationships"><Relationship Id="rId1" Type="http://schemas.openxmlformats.org/officeDocument/2006/relationships/image" Target="media/image2.jpeg"/></Relationships>

</file>

<file path=word/_rels/footer214.xml.rels><?xml version="1.0" encoding="UTF-8" standalone="yes"?>
<Relationships xmlns="http://schemas.openxmlformats.org/package/2006/relationships"><Relationship Id="rId1" Type="http://schemas.openxmlformats.org/officeDocument/2006/relationships/image" Target="media/image2.jpeg"/></Relationships>

</file>

<file path=word/_rels/footer215.xml.rels><?xml version="1.0" encoding="UTF-8" standalone="yes"?>
<Relationships xmlns="http://schemas.openxmlformats.org/package/2006/relationships"><Relationship Id="rId1" Type="http://schemas.openxmlformats.org/officeDocument/2006/relationships/image" Target="media/image2.jpeg"/></Relationships>

</file>

<file path=word/_rels/footer216.xml.rels><?xml version="1.0" encoding="UTF-8" standalone="yes"?>
<Relationships xmlns="http://schemas.openxmlformats.org/package/2006/relationships"><Relationship Id="rId1" Type="http://schemas.openxmlformats.org/officeDocument/2006/relationships/image" Target="media/image2.jpeg"/></Relationships>

</file>

<file path=word/_rels/footer217.xml.rels><?xml version="1.0" encoding="UTF-8" standalone="yes"?>
<Relationships xmlns="http://schemas.openxmlformats.org/package/2006/relationships"><Relationship Id="rId1" Type="http://schemas.openxmlformats.org/officeDocument/2006/relationships/image" Target="media/image2.jpeg"/></Relationships>

</file>

<file path=word/_rels/footer218.xml.rels><?xml version="1.0" encoding="UTF-8" standalone="yes"?>
<Relationships xmlns="http://schemas.openxmlformats.org/package/2006/relationships"><Relationship Id="rId1" Type="http://schemas.openxmlformats.org/officeDocument/2006/relationships/image" Target="media/image2.jpeg"/></Relationships>

</file>

<file path=word/_rels/footer22.xml.rels><?xml version="1.0" encoding="UTF-8" standalone="yes"?>
<Relationships xmlns="http://schemas.openxmlformats.org/package/2006/relationships"><Relationship Id="rId1" Type="http://schemas.openxmlformats.org/officeDocument/2006/relationships/image" Target="media/image2.jpeg"/></Relationships>

</file>

<file path=word/_rels/footer220.xml.rels><?xml version="1.0" encoding="UTF-8" standalone="yes"?>
<Relationships xmlns="http://schemas.openxmlformats.org/package/2006/relationships"><Relationship Id="rId1" Type="http://schemas.openxmlformats.org/officeDocument/2006/relationships/image" Target="media/image2.jpeg"/></Relationships>

</file>

<file path=word/_rels/footer221.xml.rels><?xml version="1.0" encoding="UTF-8" standalone="yes"?>
<Relationships xmlns="http://schemas.openxmlformats.org/package/2006/relationships"><Relationship Id="rId1" Type="http://schemas.openxmlformats.org/officeDocument/2006/relationships/image" Target="media/image2.jpeg"/></Relationships>

</file>

<file path=word/_rels/footer222.xml.rels><?xml version="1.0" encoding="UTF-8" standalone="yes"?>
<Relationships xmlns="http://schemas.openxmlformats.org/package/2006/relationships"><Relationship Id="rId1" Type="http://schemas.openxmlformats.org/officeDocument/2006/relationships/image" Target="media/image2.jpeg"/></Relationships>

</file>

<file path=word/_rels/footer223.xml.rels><?xml version="1.0" encoding="UTF-8" standalone="yes"?>
<Relationships xmlns="http://schemas.openxmlformats.org/package/2006/relationships"><Relationship Id="rId1" Type="http://schemas.openxmlformats.org/officeDocument/2006/relationships/image" Target="media/image2.jpeg"/></Relationships>

</file>

<file path=word/_rels/footer225.xml.rels><?xml version="1.0" encoding="UTF-8" standalone="yes"?>
<Relationships xmlns="http://schemas.openxmlformats.org/package/2006/relationships"><Relationship Id="rId1" Type="http://schemas.openxmlformats.org/officeDocument/2006/relationships/image" Target="media/image2.jpeg"/></Relationships>

</file>

<file path=word/_rels/footer226.xml.rels><?xml version="1.0" encoding="UTF-8" standalone="yes"?>
<Relationships xmlns="http://schemas.openxmlformats.org/package/2006/relationships"><Relationship Id="rId1" Type="http://schemas.openxmlformats.org/officeDocument/2006/relationships/image" Target="media/image2.jpeg"/></Relationships>

</file>

<file path=word/_rels/footer229.xml.rels><?xml version="1.0" encoding="UTF-8" standalone="yes"?>
<Relationships xmlns="http://schemas.openxmlformats.org/package/2006/relationships"><Relationship Id="rId1" Type="http://schemas.openxmlformats.org/officeDocument/2006/relationships/image" Target="media/image2.jpeg"/></Relationships>

</file>

<file path=word/_rels/footer231.xml.rels><?xml version="1.0" encoding="UTF-8" standalone="yes"?>
<Relationships xmlns="http://schemas.openxmlformats.org/package/2006/relationships"><Relationship Id="rId1" Type="http://schemas.openxmlformats.org/officeDocument/2006/relationships/image" Target="media/image2.jpeg"/></Relationships>

</file>

<file path=word/_rels/footer233.xml.rels><?xml version="1.0" encoding="UTF-8" standalone="yes"?>
<Relationships xmlns="http://schemas.openxmlformats.org/package/2006/relationships"><Relationship Id="rId1" Type="http://schemas.openxmlformats.org/officeDocument/2006/relationships/image" Target="media/image2.jpeg"/></Relationships>

</file>

<file path=word/_rels/footer234.xml.rels><?xml version="1.0" encoding="UTF-8" standalone="yes"?>
<Relationships xmlns="http://schemas.openxmlformats.org/package/2006/relationships"><Relationship Id="rId1" Type="http://schemas.openxmlformats.org/officeDocument/2006/relationships/image" Target="media/image2.jpeg"/></Relationships>

</file>

<file path=word/_rels/footer235.xml.rels><?xml version="1.0" encoding="UTF-8" standalone="yes"?>
<Relationships xmlns="http://schemas.openxmlformats.org/package/2006/relationships"><Relationship Id="rId1" Type="http://schemas.openxmlformats.org/officeDocument/2006/relationships/image" Target="media/image2.jpeg"/></Relationships>

</file>

<file path=word/_rels/footer236.xml.rels><?xml version="1.0" encoding="UTF-8" standalone="yes"?>
<Relationships xmlns="http://schemas.openxmlformats.org/package/2006/relationships"><Relationship Id="rId1" Type="http://schemas.openxmlformats.org/officeDocument/2006/relationships/image" Target="media/image2.jpeg"/></Relationships>

</file>

<file path=word/_rels/footer237.xml.rels><?xml version="1.0" encoding="UTF-8" standalone="yes"?>
<Relationships xmlns="http://schemas.openxmlformats.org/package/2006/relationships"><Relationship Id="rId1" Type="http://schemas.openxmlformats.org/officeDocument/2006/relationships/image" Target="media/image2.jpeg"/></Relationships>

</file>

<file path=word/_rels/footer238.xml.rels><?xml version="1.0" encoding="UTF-8" standalone="yes"?>
<Relationships xmlns="http://schemas.openxmlformats.org/package/2006/relationships"><Relationship Id="rId1" Type="http://schemas.openxmlformats.org/officeDocument/2006/relationships/image" Target="media/image2.jpeg"/></Relationships>

</file>

<file path=word/_rels/footer24.xml.rels><?xml version="1.0" encoding="UTF-8" standalone="yes"?>
<Relationships xmlns="http://schemas.openxmlformats.org/package/2006/relationships"><Relationship Id="rId1" Type="http://schemas.openxmlformats.org/officeDocument/2006/relationships/image" Target="media/image2.jpeg"/></Relationships>

</file>

<file path=word/_rels/footer240.xml.rels><?xml version="1.0" encoding="UTF-8" standalone="yes"?>
<Relationships xmlns="http://schemas.openxmlformats.org/package/2006/relationships"><Relationship Id="rId1" Type="http://schemas.openxmlformats.org/officeDocument/2006/relationships/image" Target="media/image2.jpeg"/></Relationships>

</file>

<file path=word/_rels/footer242.xml.rels><?xml version="1.0" encoding="UTF-8" standalone="yes"?>
<Relationships xmlns="http://schemas.openxmlformats.org/package/2006/relationships"><Relationship Id="rId1" Type="http://schemas.openxmlformats.org/officeDocument/2006/relationships/image" Target="media/image2.jpeg"/></Relationships>

</file>

<file path=word/_rels/footer243.xml.rels><?xml version="1.0" encoding="UTF-8" standalone="yes"?>
<Relationships xmlns="http://schemas.openxmlformats.org/package/2006/relationships"><Relationship Id="rId1" Type="http://schemas.openxmlformats.org/officeDocument/2006/relationships/image" Target="media/image2.jpeg"/></Relationships>

</file>

<file path=word/_rels/footer245.xml.rels><?xml version="1.0" encoding="UTF-8" standalone="yes"?>
<Relationships xmlns="http://schemas.openxmlformats.org/package/2006/relationships"><Relationship Id="rId1" Type="http://schemas.openxmlformats.org/officeDocument/2006/relationships/image" Target="media/image2.jpeg"/></Relationships>

</file>

<file path=word/_rels/footer247.xml.rels><?xml version="1.0" encoding="UTF-8" standalone="yes"?>
<Relationships xmlns="http://schemas.openxmlformats.org/package/2006/relationships"><Relationship Id="rId1" Type="http://schemas.openxmlformats.org/officeDocument/2006/relationships/image" Target="media/image2.jpeg"/></Relationships>

</file>

<file path=word/_rels/footer248.xml.rels><?xml version="1.0" encoding="UTF-8" standalone="yes"?>
<Relationships xmlns="http://schemas.openxmlformats.org/package/2006/relationships"><Relationship Id="rId1" Type="http://schemas.openxmlformats.org/officeDocument/2006/relationships/image" Target="media/image2.jpeg"/></Relationships>

</file>

<file path=word/_rels/footer25.xml.rels><?xml version="1.0" encoding="UTF-8" standalone="yes"?>
<Relationships xmlns="http://schemas.openxmlformats.org/package/2006/relationships"><Relationship Id="rId1" Type="http://schemas.openxmlformats.org/officeDocument/2006/relationships/image" Target="media/image2.jpeg"/></Relationships>

</file>

<file path=word/_rels/footer250.xml.rels><?xml version="1.0" encoding="UTF-8" standalone="yes"?>
<Relationships xmlns="http://schemas.openxmlformats.org/package/2006/relationships"><Relationship Id="rId1" Type="http://schemas.openxmlformats.org/officeDocument/2006/relationships/image" Target="media/image2.jpeg"/></Relationships>

</file>

<file path=word/_rels/footer252.xml.rels><?xml version="1.0" encoding="UTF-8" standalone="yes"?>
<Relationships xmlns="http://schemas.openxmlformats.org/package/2006/relationships"><Relationship Id="rId1" Type="http://schemas.openxmlformats.org/officeDocument/2006/relationships/image" Target="media/image2.jpeg"/></Relationships>

</file>

<file path=word/_rels/footer254.xml.rels><?xml version="1.0" encoding="UTF-8" standalone="yes"?>
<Relationships xmlns="http://schemas.openxmlformats.org/package/2006/relationships"><Relationship Id="rId1" Type="http://schemas.openxmlformats.org/officeDocument/2006/relationships/image" Target="media/image2.jpeg"/></Relationships>

</file>

<file path=word/_rels/footer256.xml.rels><?xml version="1.0" encoding="UTF-8" standalone="yes"?>
<Relationships xmlns="http://schemas.openxmlformats.org/package/2006/relationships"><Relationship Id="rId1" Type="http://schemas.openxmlformats.org/officeDocument/2006/relationships/image" Target="media/image2.jpeg"/></Relationships>

</file>

<file path=word/_rels/footer257.xml.rels><?xml version="1.0" encoding="UTF-8" standalone="yes"?>
<Relationships xmlns="http://schemas.openxmlformats.org/package/2006/relationships"><Relationship Id="rId1" Type="http://schemas.openxmlformats.org/officeDocument/2006/relationships/image" Target="media/image2.jpeg"/></Relationships>

</file>

<file path=word/_rels/footer258.xml.rels><?xml version="1.0" encoding="UTF-8" standalone="yes"?>
<Relationships xmlns="http://schemas.openxmlformats.org/package/2006/relationships"><Relationship Id="rId1" Type="http://schemas.openxmlformats.org/officeDocument/2006/relationships/image" Target="media/image2.jpeg"/></Relationships>

</file>

<file path=word/_rels/footer259.xml.rels><?xml version="1.0" encoding="UTF-8" standalone="yes"?>
<Relationships xmlns="http://schemas.openxmlformats.org/package/2006/relationships"><Relationship Id="rId1" Type="http://schemas.openxmlformats.org/officeDocument/2006/relationships/image" Target="media/image2.jpeg"/></Relationships>

</file>

<file path=word/_rels/footer260.xml.rels><?xml version="1.0" encoding="UTF-8" standalone="yes"?>
<Relationships xmlns="http://schemas.openxmlformats.org/package/2006/relationships"><Relationship Id="rId1" Type="http://schemas.openxmlformats.org/officeDocument/2006/relationships/image" Target="media/image2.jpeg"/></Relationships>

</file>

<file path=word/_rels/footer261.xml.rels><?xml version="1.0" encoding="UTF-8" standalone="yes"?>
<Relationships xmlns="http://schemas.openxmlformats.org/package/2006/relationships"><Relationship Id="rId1" Type="http://schemas.openxmlformats.org/officeDocument/2006/relationships/image" Target="media/image2.jpeg"/></Relationships>

</file>

<file path=word/_rels/footer262.xml.rels><?xml version="1.0" encoding="UTF-8" standalone="yes"?>
<Relationships xmlns="http://schemas.openxmlformats.org/package/2006/relationships"><Relationship Id="rId1" Type="http://schemas.openxmlformats.org/officeDocument/2006/relationships/image" Target="media/image2.jpeg"/></Relationships>

</file>

<file path=word/_rels/footer263.xml.rels><?xml version="1.0" encoding="UTF-8" standalone="yes"?>
<Relationships xmlns="http://schemas.openxmlformats.org/package/2006/relationships"><Relationship Id="rId1" Type="http://schemas.openxmlformats.org/officeDocument/2006/relationships/image" Target="media/image2.jpeg"/></Relationships>

</file>

<file path=word/_rels/footer264.xml.rels><?xml version="1.0" encoding="UTF-8" standalone="yes"?>
<Relationships xmlns="http://schemas.openxmlformats.org/package/2006/relationships"><Relationship Id="rId1" Type="http://schemas.openxmlformats.org/officeDocument/2006/relationships/image" Target="media/image2.jpeg"/></Relationships>

</file>

<file path=word/_rels/footer267.xml.rels><?xml version="1.0" encoding="UTF-8" standalone="yes"?>
<Relationships xmlns="http://schemas.openxmlformats.org/package/2006/relationships"><Relationship Id="rId1" Type="http://schemas.openxmlformats.org/officeDocument/2006/relationships/image" Target="media/image2.jpeg"/></Relationships>

</file>

<file path=word/_rels/footer269.xml.rels><?xml version="1.0" encoding="UTF-8" standalone="yes"?>
<Relationships xmlns="http://schemas.openxmlformats.org/package/2006/relationships"><Relationship Id="rId1" Type="http://schemas.openxmlformats.org/officeDocument/2006/relationships/image" Target="media/image2.jpeg"/></Relationships>

</file>

<file path=word/_rels/footer27.xml.rels><?xml version="1.0" encoding="UTF-8" standalone="yes"?>
<Relationships xmlns="http://schemas.openxmlformats.org/package/2006/relationships"><Relationship Id="rId1" Type="http://schemas.openxmlformats.org/officeDocument/2006/relationships/image" Target="media/image2.jpeg"/></Relationships>

</file>

<file path=word/_rels/footer270.xml.rels><?xml version="1.0" encoding="UTF-8" standalone="yes"?>
<Relationships xmlns="http://schemas.openxmlformats.org/package/2006/relationships"><Relationship Id="rId1" Type="http://schemas.openxmlformats.org/officeDocument/2006/relationships/image" Target="media/image2.jpeg"/></Relationships>

</file>

<file path=word/_rels/footer271.xml.rels><?xml version="1.0" encoding="UTF-8" standalone="yes"?>
<Relationships xmlns="http://schemas.openxmlformats.org/package/2006/relationships"><Relationship Id="rId1" Type="http://schemas.openxmlformats.org/officeDocument/2006/relationships/image" Target="media/image2.jpeg"/></Relationships>

</file>

<file path=word/_rels/footer272.xml.rels><?xml version="1.0" encoding="UTF-8" standalone="yes"?>
<Relationships xmlns="http://schemas.openxmlformats.org/package/2006/relationships"><Relationship Id="rId1" Type="http://schemas.openxmlformats.org/officeDocument/2006/relationships/image" Target="media/image2.jpeg"/></Relationships>

</file>

<file path=word/_rels/footer273.xml.rels><?xml version="1.0" encoding="UTF-8" standalone="yes"?>
<Relationships xmlns="http://schemas.openxmlformats.org/package/2006/relationships"><Relationship Id="rId1" Type="http://schemas.openxmlformats.org/officeDocument/2006/relationships/image" Target="media/image2.jpeg"/></Relationships>

</file>

<file path=word/_rels/footer275.xml.rels><?xml version="1.0" encoding="UTF-8" standalone="yes"?>
<Relationships xmlns="http://schemas.openxmlformats.org/package/2006/relationships"><Relationship Id="rId1" Type="http://schemas.openxmlformats.org/officeDocument/2006/relationships/image" Target="media/image2.jpeg"/></Relationships>

</file>

<file path=word/_rels/footer276.xml.rels><?xml version="1.0" encoding="UTF-8" standalone="yes"?>
<Relationships xmlns="http://schemas.openxmlformats.org/package/2006/relationships"><Relationship Id="rId1" Type="http://schemas.openxmlformats.org/officeDocument/2006/relationships/image" Target="media/image2.jpeg"/></Relationships>

</file>

<file path=word/_rels/footer277.xml.rels><?xml version="1.0" encoding="UTF-8" standalone="yes"?>
<Relationships xmlns="http://schemas.openxmlformats.org/package/2006/relationships"><Relationship Id="rId1" Type="http://schemas.openxmlformats.org/officeDocument/2006/relationships/image" Target="media/image2.jpeg"/></Relationships>

</file>

<file path=word/_rels/footer278.xml.rels><?xml version="1.0" encoding="UTF-8" standalone="yes"?>
<Relationships xmlns="http://schemas.openxmlformats.org/package/2006/relationships"><Relationship Id="rId1" Type="http://schemas.openxmlformats.org/officeDocument/2006/relationships/image" Target="media/image2.jpeg"/></Relationships>

</file>

<file path=word/_rels/footer279.xml.rels><?xml version="1.0" encoding="UTF-8" standalone="yes"?>
<Relationships xmlns="http://schemas.openxmlformats.org/package/2006/relationships"><Relationship Id="rId1" Type="http://schemas.openxmlformats.org/officeDocument/2006/relationships/image" Target="media/image2.jpeg"/></Relationships>

</file>

<file path=word/_rels/footer280.xml.rels><?xml version="1.0" encoding="UTF-8" standalone="yes"?>
<Relationships xmlns="http://schemas.openxmlformats.org/package/2006/relationships"><Relationship Id="rId1" Type="http://schemas.openxmlformats.org/officeDocument/2006/relationships/image" Target="media/image2.jpeg"/></Relationships>

</file>

<file path=word/_rels/footer281.xml.rels><?xml version="1.0" encoding="UTF-8" standalone="yes"?>
<Relationships xmlns="http://schemas.openxmlformats.org/package/2006/relationships"><Relationship Id="rId1" Type="http://schemas.openxmlformats.org/officeDocument/2006/relationships/image" Target="media/image2.jpeg"/></Relationships>

</file>

<file path=word/_rels/footer282.xml.rels><?xml version="1.0" encoding="UTF-8" standalone="yes"?>
<Relationships xmlns="http://schemas.openxmlformats.org/package/2006/relationships"><Relationship Id="rId1" Type="http://schemas.openxmlformats.org/officeDocument/2006/relationships/image" Target="media/image2.jpeg"/></Relationships>

</file>

<file path=word/_rels/footer283.xml.rels><?xml version="1.0" encoding="UTF-8" standalone="yes"?>
<Relationships xmlns="http://schemas.openxmlformats.org/package/2006/relationships"><Relationship Id="rId1" Type="http://schemas.openxmlformats.org/officeDocument/2006/relationships/image" Target="media/image2.jpeg"/></Relationships>

</file>

<file path=word/_rels/footer284.xml.rels><?xml version="1.0" encoding="UTF-8" standalone="yes"?>
<Relationships xmlns="http://schemas.openxmlformats.org/package/2006/relationships"><Relationship Id="rId1" Type="http://schemas.openxmlformats.org/officeDocument/2006/relationships/image" Target="media/image2.jpeg"/></Relationships>

</file>

<file path=word/_rels/footer286.xml.rels><?xml version="1.0" encoding="UTF-8" standalone="yes"?>
<Relationships xmlns="http://schemas.openxmlformats.org/package/2006/relationships"><Relationship Id="rId1" Type="http://schemas.openxmlformats.org/officeDocument/2006/relationships/image" Target="media/image2.jpeg"/></Relationships>

</file>

<file path=word/_rels/footer288.xml.rels><?xml version="1.0" encoding="UTF-8" standalone="yes"?>
<Relationships xmlns="http://schemas.openxmlformats.org/package/2006/relationships"><Relationship Id="rId1" Type="http://schemas.openxmlformats.org/officeDocument/2006/relationships/image" Target="media/image2.jpeg"/></Relationships>

</file>

<file path=word/_rels/footer289.xml.rels><?xml version="1.0" encoding="UTF-8" standalone="yes"?>
<Relationships xmlns="http://schemas.openxmlformats.org/package/2006/relationships"><Relationship Id="rId1" Type="http://schemas.openxmlformats.org/officeDocument/2006/relationships/image" Target="media/image2.jpeg"/></Relationships>

</file>

<file path=word/_rels/footer291.xml.rels><?xml version="1.0" encoding="UTF-8" standalone="yes"?>
<Relationships xmlns="http://schemas.openxmlformats.org/package/2006/relationships"><Relationship Id="rId1" Type="http://schemas.openxmlformats.org/officeDocument/2006/relationships/image" Target="media/image2.jpeg"/></Relationships>

</file>

<file path=word/_rels/footer292.xml.rels><?xml version="1.0" encoding="UTF-8" standalone="yes"?>
<Relationships xmlns="http://schemas.openxmlformats.org/package/2006/relationships"><Relationship Id="rId1" Type="http://schemas.openxmlformats.org/officeDocument/2006/relationships/image" Target="media/image2.jpeg"/></Relationships>

</file>

<file path=word/_rels/footer293.xml.rels><?xml version="1.0" encoding="UTF-8" standalone="yes"?>
<Relationships xmlns="http://schemas.openxmlformats.org/package/2006/relationships"><Relationship Id="rId1" Type="http://schemas.openxmlformats.org/officeDocument/2006/relationships/image" Target="media/image2.jpeg"/></Relationships>

</file>

<file path=word/_rels/footer294.xml.rels><?xml version="1.0" encoding="UTF-8" standalone="yes"?>
<Relationships xmlns="http://schemas.openxmlformats.org/package/2006/relationships"><Relationship Id="rId1" Type="http://schemas.openxmlformats.org/officeDocument/2006/relationships/image" Target="media/image2.jpeg"/></Relationships>

</file>

<file path=word/_rels/footer295.xml.rels><?xml version="1.0" encoding="UTF-8" standalone="yes"?>
<Relationships xmlns="http://schemas.openxmlformats.org/package/2006/relationships"><Relationship Id="rId1" Type="http://schemas.openxmlformats.org/officeDocument/2006/relationships/image" Target="media/image2.jpeg"/></Relationships>

</file>

<file path=word/_rels/footer296.xml.rels><?xml version="1.0" encoding="UTF-8" standalone="yes"?>
<Relationships xmlns="http://schemas.openxmlformats.org/package/2006/relationships"><Relationship Id="rId1" Type="http://schemas.openxmlformats.org/officeDocument/2006/relationships/image" Target="media/image2.jpeg"/></Relationships>

</file>

<file path=word/_rels/footer297.xml.rels><?xml version="1.0" encoding="UTF-8" standalone="yes"?>
<Relationships xmlns="http://schemas.openxmlformats.org/package/2006/relationships"><Relationship Id="rId1" Type="http://schemas.openxmlformats.org/officeDocument/2006/relationships/image" Target="media/image2.jpeg"/></Relationships>

</file>

<file path=word/_rels/footer298.xml.rels><?xml version="1.0" encoding="UTF-8" standalone="yes"?>
<Relationships xmlns="http://schemas.openxmlformats.org/package/2006/relationships"><Relationship Id="rId1" Type="http://schemas.openxmlformats.org/officeDocument/2006/relationships/image" Target="media/image2.jpeg"/></Relationships>

</file>

<file path=word/_rels/footer299.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30.xml.rels><?xml version="1.0" encoding="UTF-8" standalone="yes"?>
<Relationships xmlns="http://schemas.openxmlformats.org/package/2006/relationships"><Relationship Id="rId1" Type="http://schemas.openxmlformats.org/officeDocument/2006/relationships/image" Target="media/image2.jpeg"/></Relationships>

</file>

<file path=word/_rels/footer300.xml.rels><?xml version="1.0" encoding="UTF-8" standalone="yes"?>
<Relationships xmlns="http://schemas.openxmlformats.org/package/2006/relationships"><Relationship Id="rId1" Type="http://schemas.openxmlformats.org/officeDocument/2006/relationships/image" Target="media/image2.jpeg"/></Relationships>

</file>

<file path=word/_rels/footer301.xml.rels><?xml version="1.0" encoding="UTF-8" standalone="yes"?>
<Relationships xmlns="http://schemas.openxmlformats.org/package/2006/relationships"><Relationship Id="rId1" Type="http://schemas.openxmlformats.org/officeDocument/2006/relationships/image" Target="media/image2.jpeg"/></Relationships>

</file>

<file path=word/_rels/footer302.xml.rels><?xml version="1.0" encoding="UTF-8" standalone="yes"?>
<Relationships xmlns="http://schemas.openxmlformats.org/package/2006/relationships"><Relationship Id="rId1" Type="http://schemas.openxmlformats.org/officeDocument/2006/relationships/image" Target="media/image2.jpeg"/></Relationships>

</file>

<file path=word/_rels/footer303.xml.rels><?xml version="1.0" encoding="UTF-8" standalone="yes"?>
<Relationships xmlns="http://schemas.openxmlformats.org/package/2006/relationships"><Relationship Id="rId1" Type="http://schemas.openxmlformats.org/officeDocument/2006/relationships/image" Target="media/image2.jpeg"/></Relationships>

</file>

<file path=word/_rels/footer304.xml.rels><?xml version="1.0" encoding="UTF-8" standalone="yes"?>
<Relationships xmlns="http://schemas.openxmlformats.org/package/2006/relationships"><Relationship Id="rId1" Type="http://schemas.openxmlformats.org/officeDocument/2006/relationships/image" Target="media/image2.jpeg"/></Relationships>

</file>

<file path=word/_rels/footer305.xml.rels><?xml version="1.0" encoding="UTF-8" standalone="yes"?>
<Relationships xmlns="http://schemas.openxmlformats.org/package/2006/relationships"><Relationship Id="rId1" Type="http://schemas.openxmlformats.org/officeDocument/2006/relationships/image" Target="media/image2.jpeg"/></Relationships>

</file>

<file path=word/_rels/footer306.xml.rels><?xml version="1.0" encoding="UTF-8" standalone="yes"?>
<Relationships xmlns="http://schemas.openxmlformats.org/package/2006/relationships"><Relationship Id="rId1" Type="http://schemas.openxmlformats.org/officeDocument/2006/relationships/image" Target="media/image2.jpeg"/></Relationships>

</file>

<file path=word/_rels/footer307.xml.rels><?xml version="1.0" encoding="UTF-8" standalone="yes"?>
<Relationships xmlns="http://schemas.openxmlformats.org/package/2006/relationships"><Relationship Id="rId1" Type="http://schemas.openxmlformats.org/officeDocument/2006/relationships/image" Target="media/image2.jpeg"/></Relationships>

</file>

<file path=word/_rels/footer308.xml.rels><?xml version="1.0" encoding="UTF-8" standalone="yes"?>
<Relationships xmlns="http://schemas.openxmlformats.org/package/2006/relationships"><Relationship Id="rId1" Type="http://schemas.openxmlformats.org/officeDocument/2006/relationships/image" Target="media/image2.jpeg"/></Relationships>

</file>

<file path=word/_rels/footer309.xml.rels><?xml version="1.0" encoding="UTF-8" standalone="yes"?>
<Relationships xmlns="http://schemas.openxmlformats.org/package/2006/relationships"><Relationship Id="rId1" Type="http://schemas.openxmlformats.org/officeDocument/2006/relationships/image" Target="media/image2.jpeg"/></Relationships>

</file>

<file path=word/_rels/footer310.xml.rels><?xml version="1.0" encoding="UTF-8" standalone="yes"?>
<Relationships xmlns="http://schemas.openxmlformats.org/package/2006/relationships"><Relationship Id="rId1" Type="http://schemas.openxmlformats.org/officeDocument/2006/relationships/image" Target="media/image2.jpeg"/></Relationships>

</file>

<file path=word/_rels/footer311.xml.rels><?xml version="1.0" encoding="UTF-8" standalone="yes"?>
<Relationships xmlns="http://schemas.openxmlformats.org/package/2006/relationships"><Relationship Id="rId1" Type="http://schemas.openxmlformats.org/officeDocument/2006/relationships/image" Target="media/image2.jpeg"/></Relationships>

</file>

<file path=word/_rels/footer313.xml.rels><?xml version="1.0" encoding="UTF-8" standalone="yes"?>
<Relationships xmlns="http://schemas.openxmlformats.org/package/2006/relationships"><Relationship Id="rId1" Type="http://schemas.openxmlformats.org/officeDocument/2006/relationships/image" Target="media/image2.jpeg"/></Relationships>

</file>

<file path=word/_rels/footer314.xml.rels><?xml version="1.0" encoding="UTF-8" standalone="yes"?>
<Relationships xmlns="http://schemas.openxmlformats.org/package/2006/relationships"><Relationship Id="rId1" Type="http://schemas.openxmlformats.org/officeDocument/2006/relationships/image" Target="media/image2.jpeg"/></Relationships>

</file>

<file path=word/_rels/footer315.xml.rels><?xml version="1.0" encoding="UTF-8" standalone="yes"?>
<Relationships xmlns="http://schemas.openxmlformats.org/package/2006/relationships"><Relationship Id="rId1" Type="http://schemas.openxmlformats.org/officeDocument/2006/relationships/image" Target="media/image2.jpeg"/></Relationships>

</file>

<file path=word/_rels/footer317.xml.rels><?xml version="1.0" encoding="UTF-8" standalone="yes"?>
<Relationships xmlns="http://schemas.openxmlformats.org/package/2006/relationships"><Relationship Id="rId1" Type="http://schemas.openxmlformats.org/officeDocument/2006/relationships/image" Target="media/image2.jpeg"/></Relationships>

</file>

<file path=word/_rels/footer318.xml.rels><?xml version="1.0" encoding="UTF-8" standalone="yes"?>
<Relationships xmlns="http://schemas.openxmlformats.org/package/2006/relationships"><Relationship Id="rId1" Type="http://schemas.openxmlformats.org/officeDocument/2006/relationships/image" Target="media/image2.jpeg"/></Relationships>

</file>

<file path=word/_rels/footer319.xml.rels><?xml version="1.0" encoding="UTF-8" standalone="yes"?>
<Relationships xmlns="http://schemas.openxmlformats.org/package/2006/relationships"><Relationship Id="rId1" Type="http://schemas.openxmlformats.org/officeDocument/2006/relationships/image" Target="media/image2.jpeg"/></Relationships>

</file>

<file path=word/_rels/footer32.xml.rels><?xml version="1.0" encoding="UTF-8" standalone="yes"?>
<Relationships xmlns="http://schemas.openxmlformats.org/package/2006/relationships"><Relationship Id="rId1" Type="http://schemas.openxmlformats.org/officeDocument/2006/relationships/image" Target="media/image2.jpeg"/></Relationships>

</file>

<file path=word/_rels/footer320.xml.rels><?xml version="1.0" encoding="UTF-8" standalone="yes"?>
<Relationships xmlns="http://schemas.openxmlformats.org/package/2006/relationships"><Relationship Id="rId1" Type="http://schemas.openxmlformats.org/officeDocument/2006/relationships/image" Target="media/image2.jpeg"/></Relationships>

</file>

<file path=word/_rels/footer321.xml.rels><?xml version="1.0" encoding="UTF-8" standalone="yes"?>
<Relationships xmlns="http://schemas.openxmlformats.org/package/2006/relationships"><Relationship Id="rId1" Type="http://schemas.openxmlformats.org/officeDocument/2006/relationships/image" Target="media/image2.jpeg"/></Relationships>

</file>

<file path=word/_rels/footer322.xml.rels><?xml version="1.0" encoding="UTF-8" standalone="yes"?>
<Relationships xmlns="http://schemas.openxmlformats.org/package/2006/relationships"><Relationship Id="rId1" Type="http://schemas.openxmlformats.org/officeDocument/2006/relationships/image" Target="media/image2.jpeg"/></Relationships>

</file>

<file path=word/_rels/footer324.xml.rels><?xml version="1.0" encoding="UTF-8" standalone="yes"?>
<Relationships xmlns="http://schemas.openxmlformats.org/package/2006/relationships"><Relationship Id="rId1" Type="http://schemas.openxmlformats.org/officeDocument/2006/relationships/image" Target="media/image2.jpeg"/></Relationships>

</file>

<file path=word/_rels/footer325.xml.rels><?xml version="1.0" encoding="UTF-8" standalone="yes"?>
<Relationships xmlns="http://schemas.openxmlformats.org/package/2006/relationships"><Relationship Id="rId1" Type="http://schemas.openxmlformats.org/officeDocument/2006/relationships/image" Target="media/image2.jpeg"/></Relationships>

</file>

<file path=word/_rels/footer326.xml.rels><?xml version="1.0" encoding="UTF-8" standalone="yes"?>
<Relationships xmlns="http://schemas.openxmlformats.org/package/2006/relationships"><Relationship Id="rId1" Type="http://schemas.openxmlformats.org/officeDocument/2006/relationships/image" Target="media/image2.jpeg"/></Relationships>

</file>

<file path=word/_rels/footer327.xml.rels><?xml version="1.0" encoding="UTF-8" standalone="yes"?>
<Relationships xmlns="http://schemas.openxmlformats.org/package/2006/relationships"><Relationship Id="rId1" Type="http://schemas.openxmlformats.org/officeDocument/2006/relationships/image" Target="media/image2.jpeg"/></Relationships>

</file>

<file path=word/_rels/footer329.xml.rels><?xml version="1.0" encoding="UTF-8" standalone="yes"?>
<Relationships xmlns="http://schemas.openxmlformats.org/package/2006/relationships"><Relationship Id="rId1" Type="http://schemas.openxmlformats.org/officeDocument/2006/relationships/image" Target="media/image2.jpeg"/></Relationships>

</file>

<file path=word/_rels/footer33.xml.rels><?xml version="1.0" encoding="UTF-8" standalone="yes"?>
<Relationships xmlns="http://schemas.openxmlformats.org/package/2006/relationships"><Relationship Id="rId1" Type="http://schemas.openxmlformats.org/officeDocument/2006/relationships/image" Target="media/image2.jpeg"/></Relationships>

</file>

<file path=word/_rels/footer332.xml.rels><?xml version="1.0" encoding="UTF-8" standalone="yes"?>
<Relationships xmlns="http://schemas.openxmlformats.org/package/2006/relationships"><Relationship Id="rId1" Type="http://schemas.openxmlformats.org/officeDocument/2006/relationships/image" Target="media/image2.jpeg"/></Relationships>

</file>

<file path=word/_rels/footer333.xml.rels><?xml version="1.0" encoding="UTF-8" standalone="yes"?>
<Relationships xmlns="http://schemas.openxmlformats.org/package/2006/relationships"><Relationship Id="rId1" Type="http://schemas.openxmlformats.org/officeDocument/2006/relationships/image" Target="media/image2.jpeg"/></Relationships>

</file>

<file path=word/_rels/footer335.xml.rels><?xml version="1.0" encoding="UTF-8" standalone="yes"?>
<Relationships xmlns="http://schemas.openxmlformats.org/package/2006/relationships"><Relationship Id="rId1" Type="http://schemas.openxmlformats.org/officeDocument/2006/relationships/image" Target="media/image2.jpeg"/></Relationships>

</file>

<file path=word/_rels/footer336.xml.rels><?xml version="1.0" encoding="UTF-8" standalone="yes"?>
<Relationships xmlns="http://schemas.openxmlformats.org/package/2006/relationships"><Relationship Id="rId1" Type="http://schemas.openxmlformats.org/officeDocument/2006/relationships/image" Target="media/image2.jpeg"/></Relationships>

</file>

<file path=word/_rels/footer338.xml.rels><?xml version="1.0" encoding="UTF-8" standalone="yes"?>
<Relationships xmlns="http://schemas.openxmlformats.org/package/2006/relationships"><Relationship Id="rId1" Type="http://schemas.openxmlformats.org/officeDocument/2006/relationships/image" Target="media/image2.jpeg"/></Relationships>

</file>

<file path=word/_rels/footer339.xml.rels><?xml version="1.0" encoding="UTF-8" standalone="yes"?>
<Relationships xmlns="http://schemas.openxmlformats.org/package/2006/relationships"><Relationship Id="rId1" Type="http://schemas.openxmlformats.org/officeDocument/2006/relationships/image" Target="media/image2.jpeg"/></Relationships>

</file>

<file path=word/_rels/footer340.xml.rels><?xml version="1.0" encoding="UTF-8" standalone="yes"?>
<Relationships xmlns="http://schemas.openxmlformats.org/package/2006/relationships"><Relationship Id="rId1" Type="http://schemas.openxmlformats.org/officeDocument/2006/relationships/image" Target="media/image2.jpeg"/></Relationships>

</file>

<file path=word/_rels/footer341.xml.rels><?xml version="1.0" encoding="UTF-8" standalone="yes"?>
<Relationships xmlns="http://schemas.openxmlformats.org/package/2006/relationships"><Relationship Id="rId1" Type="http://schemas.openxmlformats.org/officeDocument/2006/relationships/image" Target="media/image2.jpeg"/></Relationships>

</file>

<file path=word/_rels/footer342.xml.rels><?xml version="1.0" encoding="UTF-8" standalone="yes"?>
<Relationships xmlns="http://schemas.openxmlformats.org/package/2006/relationships"><Relationship Id="rId1" Type="http://schemas.openxmlformats.org/officeDocument/2006/relationships/image" Target="media/image2.jpeg"/></Relationships>

</file>

<file path=word/_rels/footer343.xml.rels><?xml version="1.0" encoding="UTF-8" standalone="yes"?>
<Relationships xmlns="http://schemas.openxmlformats.org/package/2006/relationships"><Relationship Id="rId1" Type="http://schemas.openxmlformats.org/officeDocument/2006/relationships/image" Target="media/image2.jpeg"/></Relationships>

</file>

<file path=word/_rels/footer344.xml.rels><?xml version="1.0" encoding="UTF-8" standalone="yes"?>
<Relationships xmlns="http://schemas.openxmlformats.org/package/2006/relationships"><Relationship Id="rId1" Type="http://schemas.openxmlformats.org/officeDocument/2006/relationships/image" Target="media/image2.jpeg"/></Relationships>

</file>

<file path=word/_rels/footer345.xml.rels><?xml version="1.0" encoding="UTF-8" standalone="yes"?>
<Relationships xmlns="http://schemas.openxmlformats.org/package/2006/relationships"><Relationship Id="rId1" Type="http://schemas.openxmlformats.org/officeDocument/2006/relationships/image" Target="media/image2.jpeg"/></Relationships>

</file>

<file path=word/_rels/footer346.xml.rels><?xml version="1.0" encoding="UTF-8" standalone="yes"?>
<Relationships xmlns="http://schemas.openxmlformats.org/package/2006/relationships"><Relationship Id="rId1" Type="http://schemas.openxmlformats.org/officeDocument/2006/relationships/image" Target="media/image2.jpeg"/></Relationships>

</file>

<file path=word/_rels/footer347.xml.rels><?xml version="1.0" encoding="UTF-8" standalone="yes"?>
<Relationships xmlns="http://schemas.openxmlformats.org/package/2006/relationships"><Relationship Id="rId1" Type="http://schemas.openxmlformats.org/officeDocument/2006/relationships/image" Target="media/image2.jpeg"/></Relationships>

</file>

<file path=word/_rels/footer348.xml.rels><?xml version="1.0" encoding="UTF-8" standalone="yes"?>
<Relationships xmlns="http://schemas.openxmlformats.org/package/2006/relationships"><Relationship Id="rId1" Type="http://schemas.openxmlformats.org/officeDocument/2006/relationships/image" Target="media/image2.jpeg"/></Relationships>

</file>

<file path=word/_rels/footer349.xml.rels><?xml version="1.0" encoding="UTF-8" standalone="yes"?>
<Relationships xmlns="http://schemas.openxmlformats.org/package/2006/relationships"><Relationship Id="rId1" Type="http://schemas.openxmlformats.org/officeDocument/2006/relationships/image" Target="media/image2.jpeg"/></Relationships>

</file>

<file path=word/_rels/footer35.xml.rels><?xml version="1.0" encoding="UTF-8" standalone="yes"?>
<Relationships xmlns="http://schemas.openxmlformats.org/package/2006/relationships"><Relationship Id="rId1" Type="http://schemas.openxmlformats.org/officeDocument/2006/relationships/image" Target="media/image2.jpeg"/></Relationships>

</file>

<file path=word/_rels/footer350.xml.rels><?xml version="1.0" encoding="UTF-8" standalone="yes"?>
<Relationships xmlns="http://schemas.openxmlformats.org/package/2006/relationships"><Relationship Id="rId1" Type="http://schemas.openxmlformats.org/officeDocument/2006/relationships/image" Target="media/image2.jpeg"/></Relationships>

</file>

<file path=word/_rels/footer351.xml.rels><?xml version="1.0" encoding="UTF-8" standalone="yes"?>
<Relationships xmlns="http://schemas.openxmlformats.org/package/2006/relationships"><Relationship Id="rId1" Type="http://schemas.openxmlformats.org/officeDocument/2006/relationships/image" Target="media/image2.jpeg"/></Relationships>

</file>

<file path=word/_rels/footer36.xml.rels><?xml version="1.0" encoding="UTF-8" standalone="yes"?>
<Relationships xmlns="http://schemas.openxmlformats.org/package/2006/relationships"><Relationship Id="rId1" Type="http://schemas.openxmlformats.org/officeDocument/2006/relationships/image" Target="media/image2.jpeg"/></Relationships>

</file>

<file path=word/_rels/footer38.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40.xml.rels><?xml version="1.0" encoding="UTF-8" standalone="yes"?>
<Relationships xmlns="http://schemas.openxmlformats.org/package/2006/relationships"><Relationship Id="rId1" Type="http://schemas.openxmlformats.org/officeDocument/2006/relationships/image" Target="media/image2.jpeg"/></Relationships>

</file>

<file path=word/_rels/footer41.xml.rels><?xml version="1.0" encoding="UTF-8" standalone="yes"?>
<Relationships xmlns="http://schemas.openxmlformats.org/package/2006/relationships"><Relationship Id="rId1" Type="http://schemas.openxmlformats.org/officeDocument/2006/relationships/image" Target="media/image2.jpeg"/></Relationships>

</file>

<file path=word/_rels/footer42.xml.rels><?xml version="1.0" encoding="UTF-8" standalone="yes"?>
<Relationships xmlns="http://schemas.openxmlformats.org/package/2006/relationships"><Relationship Id="rId1" Type="http://schemas.openxmlformats.org/officeDocument/2006/relationships/image" Target="media/image2.jpeg"/></Relationships>

</file>

<file path=word/_rels/footer43.xml.rels><?xml version="1.0" encoding="UTF-8" standalone="yes"?>
<Relationships xmlns="http://schemas.openxmlformats.org/package/2006/relationships"><Relationship Id="rId1" Type="http://schemas.openxmlformats.org/officeDocument/2006/relationships/image" Target="media/image2.jpeg"/></Relationships>

</file>

<file path=word/_rels/footer44.xml.rels><?xml version="1.0" encoding="UTF-8" standalone="yes"?>
<Relationships xmlns="http://schemas.openxmlformats.org/package/2006/relationships"><Relationship Id="rId1" Type="http://schemas.openxmlformats.org/officeDocument/2006/relationships/image" Target="media/image2.jpeg"/></Relationships>

</file>

<file path=word/_rels/footer46.xml.rels><?xml version="1.0" encoding="UTF-8" standalone="yes"?>
<Relationships xmlns="http://schemas.openxmlformats.org/package/2006/relationships"><Relationship Id="rId1" Type="http://schemas.openxmlformats.org/officeDocument/2006/relationships/image" Target="media/image2.jpeg"/></Relationships>

</file>

<file path=word/_rels/footer47.xml.rels><?xml version="1.0" encoding="UTF-8" standalone="yes"?>
<Relationships xmlns="http://schemas.openxmlformats.org/package/2006/relationships"><Relationship Id="rId1" Type="http://schemas.openxmlformats.org/officeDocument/2006/relationships/image" Target="media/image2.jpeg"/></Relationships>

</file>

<file path=word/_rels/footer49.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52.xml.rels><?xml version="1.0" encoding="UTF-8" standalone="yes"?>
<Relationships xmlns="http://schemas.openxmlformats.org/package/2006/relationships"><Relationship Id="rId1" Type="http://schemas.openxmlformats.org/officeDocument/2006/relationships/image" Target="media/image2.jpeg"/></Relationships>

</file>

<file path=word/_rels/footer53.xml.rels><?xml version="1.0" encoding="UTF-8" standalone="yes"?>
<Relationships xmlns="http://schemas.openxmlformats.org/package/2006/relationships"><Relationship Id="rId1" Type="http://schemas.openxmlformats.org/officeDocument/2006/relationships/image" Target="media/image2.jpeg"/></Relationships>

</file>

<file path=word/_rels/footer54.xml.rels><?xml version="1.0" encoding="UTF-8" standalone="yes"?>
<Relationships xmlns="http://schemas.openxmlformats.org/package/2006/relationships"><Relationship Id="rId1" Type="http://schemas.openxmlformats.org/officeDocument/2006/relationships/image" Target="media/image2.jpeg"/></Relationships>

</file>

<file path=word/_rels/footer55.xml.rels><?xml version="1.0" encoding="UTF-8" standalone="yes"?>
<Relationships xmlns="http://schemas.openxmlformats.org/package/2006/relationships"><Relationship Id="rId1" Type="http://schemas.openxmlformats.org/officeDocument/2006/relationships/image" Target="media/image2.jpeg"/></Relationships>

</file>

<file path=word/_rels/footer57.xml.rels><?xml version="1.0" encoding="UTF-8" standalone="yes"?>
<Relationships xmlns="http://schemas.openxmlformats.org/package/2006/relationships"><Relationship Id="rId1" Type="http://schemas.openxmlformats.org/officeDocument/2006/relationships/image" Target="media/image2.jpeg"/></Relationships>

</file>

<file path=word/_rels/footer58.xml.rels><?xml version="1.0" encoding="UTF-8" standalone="yes"?>
<Relationships xmlns="http://schemas.openxmlformats.org/package/2006/relationships"><Relationship Id="rId1" Type="http://schemas.openxmlformats.org/officeDocument/2006/relationships/image" Target="media/image2.jpeg"/></Relationships>

</file>

<file path=word/_rels/footer59.xml.rels><?xml version="1.0" encoding="UTF-8" standalone="yes"?>
<Relationships xmlns="http://schemas.openxmlformats.org/package/2006/relationships"><Relationship Id="rId1" Type="http://schemas.openxmlformats.org/officeDocument/2006/relationships/image" Target="media/image2.jpeg"/></Relationships>

</file>

<file path=word/_rels/footer60.xml.rels><?xml version="1.0" encoding="UTF-8" standalone="yes"?>
<Relationships xmlns="http://schemas.openxmlformats.org/package/2006/relationships"><Relationship Id="rId1" Type="http://schemas.openxmlformats.org/officeDocument/2006/relationships/image" Target="media/image2.jpeg"/></Relationships>

</file>

<file path=word/_rels/footer61.xml.rels><?xml version="1.0" encoding="UTF-8" standalone="yes"?>
<Relationships xmlns="http://schemas.openxmlformats.org/package/2006/relationships"><Relationship Id="rId1" Type="http://schemas.openxmlformats.org/officeDocument/2006/relationships/image" Target="media/image2.jpeg"/></Relationships>

</file>

<file path=word/_rels/footer63.xml.rels><?xml version="1.0" encoding="UTF-8" standalone="yes"?>
<Relationships xmlns="http://schemas.openxmlformats.org/package/2006/relationships"><Relationship Id="rId1" Type="http://schemas.openxmlformats.org/officeDocument/2006/relationships/image" Target="media/image2.jpeg"/></Relationships>

</file>

<file path=word/_rels/footer64.xml.rels><?xml version="1.0" encoding="UTF-8" standalone="yes"?>
<Relationships xmlns="http://schemas.openxmlformats.org/package/2006/relationships"><Relationship Id="rId1" Type="http://schemas.openxmlformats.org/officeDocument/2006/relationships/image" Target="media/image2.jpeg"/></Relationships>

</file>

<file path=word/_rels/footer65.xml.rels><?xml version="1.0" encoding="UTF-8" standalone="yes"?>
<Relationships xmlns="http://schemas.openxmlformats.org/package/2006/relationships"><Relationship Id="rId1" Type="http://schemas.openxmlformats.org/officeDocument/2006/relationships/image" Target="media/image2.jpeg"/></Relationships>

</file>

<file path=word/_rels/footer67.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er70.xml.rels><?xml version="1.0" encoding="UTF-8" standalone="yes"?>
<Relationships xmlns="http://schemas.openxmlformats.org/package/2006/relationships"><Relationship Id="rId1" Type="http://schemas.openxmlformats.org/officeDocument/2006/relationships/image" Target="media/image2.jpeg"/></Relationships>

</file>

<file path=word/_rels/footer72.xml.rels><?xml version="1.0" encoding="UTF-8" standalone="yes"?>
<Relationships xmlns="http://schemas.openxmlformats.org/package/2006/relationships"><Relationship Id="rId1" Type="http://schemas.openxmlformats.org/officeDocument/2006/relationships/image" Target="media/image2.jpeg"/></Relationships>

</file>

<file path=word/_rels/footer73.xml.rels><?xml version="1.0" encoding="UTF-8" standalone="yes"?>
<Relationships xmlns="http://schemas.openxmlformats.org/package/2006/relationships"><Relationship Id="rId1" Type="http://schemas.openxmlformats.org/officeDocument/2006/relationships/image" Target="media/image2.jpeg"/></Relationships>

</file>

<file path=word/_rels/footer74.xml.rels><?xml version="1.0" encoding="UTF-8" standalone="yes"?>
<Relationships xmlns="http://schemas.openxmlformats.org/package/2006/relationships"><Relationship Id="rId1" Type="http://schemas.openxmlformats.org/officeDocument/2006/relationships/image" Target="media/image2.jpeg"/></Relationships>

</file>

<file path=word/_rels/footer75.xml.rels><?xml version="1.0" encoding="UTF-8" standalone="yes"?>
<Relationships xmlns="http://schemas.openxmlformats.org/package/2006/relationships"><Relationship Id="rId1" Type="http://schemas.openxmlformats.org/officeDocument/2006/relationships/image" Target="media/image2.jpeg"/></Relationships>

</file>

<file path=word/_rels/footer77.xml.rels><?xml version="1.0" encoding="UTF-8" standalone="yes"?>
<Relationships xmlns="http://schemas.openxmlformats.org/package/2006/relationships"><Relationship Id="rId1" Type="http://schemas.openxmlformats.org/officeDocument/2006/relationships/image" Target="media/image2.jpeg"/></Relationships>

</file>

<file path=word/_rels/footer78.xml.rels><?xml version="1.0" encoding="UTF-8" standalone="yes"?>
<Relationships xmlns="http://schemas.openxmlformats.org/package/2006/relationships"><Relationship Id="rId1" Type="http://schemas.openxmlformats.org/officeDocument/2006/relationships/image" Target="media/image2.jpeg"/></Relationships>

</file>

<file path=word/_rels/footer79.xml.rels><?xml version="1.0" encoding="UTF-8" standalone="yes"?>
<Relationships xmlns="http://schemas.openxmlformats.org/package/2006/relationships"><Relationship Id="rId1" Type="http://schemas.openxmlformats.org/officeDocument/2006/relationships/image" Target="media/image2.jpeg"/></Relationships>

</file>

<file path=word/_rels/footer80.xml.rels><?xml version="1.0" encoding="UTF-8" standalone="yes"?>
<Relationships xmlns="http://schemas.openxmlformats.org/package/2006/relationships"><Relationship Id="rId1" Type="http://schemas.openxmlformats.org/officeDocument/2006/relationships/image" Target="media/image2.jpeg"/></Relationships>

</file>

<file path=word/_rels/footer82.xml.rels><?xml version="1.0" encoding="UTF-8" standalone="yes"?>
<Relationships xmlns="http://schemas.openxmlformats.org/package/2006/relationships"><Relationship Id="rId1" Type="http://schemas.openxmlformats.org/officeDocument/2006/relationships/image" Target="media/image2.jpeg"/></Relationships>

</file>

<file path=word/_rels/footer83.xml.rels><?xml version="1.0" encoding="UTF-8" standalone="yes"?>
<Relationships xmlns="http://schemas.openxmlformats.org/package/2006/relationships"><Relationship Id="rId1" Type="http://schemas.openxmlformats.org/officeDocument/2006/relationships/image" Target="media/image2.jpeg"/></Relationships>

</file>

<file path=word/_rels/footer85.xml.rels><?xml version="1.0" encoding="UTF-8" standalone="yes"?>
<Relationships xmlns="http://schemas.openxmlformats.org/package/2006/relationships"><Relationship Id="rId1" Type="http://schemas.openxmlformats.org/officeDocument/2006/relationships/image" Target="media/image2.jpeg"/></Relationships>

</file>

<file path=word/_rels/footer86.xml.rels><?xml version="1.0" encoding="UTF-8" standalone="yes"?>
<Relationships xmlns="http://schemas.openxmlformats.org/package/2006/relationships"><Relationship Id="rId1" Type="http://schemas.openxmlformats.org/officeDocument/2006/relationships/image" Target="media/image2.jpeg"/></Relationships>

</file>

<file path=word/_rels/footer88.xml.rels><?xml version="1.0" encoding="UTF-8" standalone="yes"?>
<Relationships xmlns="http://schemas.openxmlformats.org/package/2006/relationships"><Relationship Id="rId1" Type="http://schemas.openxmlformats.org/officeDocument/2006/relationships/image" Target="media/image2.jpeg"/></Relationships>

</file>

<file path=word/_rels/footer89.xml.rels><?xml version="1.0" encoding="UTF-8" standalone="yes"?>
<Relationships xmlns="http://schemas.openxmlformats.org/package/2006/relationships"><Relationship Id="rId1" Type="http://schemas.openxmlformats.org/officeDocument/2006/relationships/image" Target="media/image2.jpeg"/></Relationships>

</file>

<file path=word/_rels/footer9.xml.rels><?xml version="1.0" encoding="UTF-8" standalone="yes"?>
<Relationships xmlns="http://schemas.openxmlformats.org/package/2006/relationships"><Relationship Id="rId1" Type="http://schemas.openxmlformats.org/officeDocument/2006/relationships/image" Target="media/image2.jpeg"/></Relationships>

</file>

<file path=word/_rels/footer91.xml.rels><?xml version="1.0" encoding="UTF-8" standalone="yes"?>
<Relationships xmlns="http://schemas.openxmlformats.org/package/2006/relationships"><Relationship Id="rId1" Type="http://schemas.openxmlformats.org/officeDocument/2006/relationships/image" Target="media/image2.jpeg"/></Relationships>

</file>

<file path=word/_rels/footer92.xml.rels><?xml version="1.0" encoding="UTF-8" standalone="yes"?>
<Relationships xmlns="http://schemas.openxmlformats.org/package/2006/relationships"><Relationship Id="rId1" Type="http://schemas.openxmlformats.org/officeDocument/2006/relationships/image" Target="media/image2.jpeg"/></Relationships>

</file>

<file path=word/_rels/footer93.xml.rels><?xml version="1.0" encoding="UTF-8" standalone="yes"?>
<Relationships xmlns="http://schemas.openxmlformats.org/package/2006/relationships"><Relationship Id="rId1" Type="http://schemas.openxmlformats.org/officeDocument/2006/relationships/image" Target="media/image2.jpeg"/></Relationships>

</file>

<file path=word/_rels/footer94.xml.rels><?xml version="1.0" encoding="UTF-8" standalone="yes"?>
<Relationships xmlns="http://schemas.openxmlformats.org/package/2006/relationships"><Relationship Id="rId1" Type="http://schemas.openxmlformats.org/officeDocument/2006/relationships/image" Target="media/image2.jpeg"/></Relationships>

</file>

<file path=word/_rels/footer95.xml.rels><?xml version="1.0" encoding="UTF-8" standalone="yes"?>
<Relationships xmlns="http://schemas.openxmlformats.org/package/2006/relationships"><Relationship Id="rId1" Type="http://schemas.openxmlformats.org/officeDocument/2006/relationships/image" Target="media/image2.jpeg"/></Relationships>

</file>

<file path=word/_rels/footer96.xml.rels><?xml version="1.0" encoding="UTF-8" standalone="yes"?>
<Relationships xmlns="http://schemas.openxmlformats.org/package/2006/relationships"><Relationship Id="rId1" Type="http://schemas.openxmlformats.org/officeDocument/2006/relationships/image" Target="media/image2.jpeg"/></Relationships>

</file>

<file path=word/_rels/footer97.xml.rels><?xml version="1.0" encoding="UTF-8" standalone="yes"?>
<Relationships xmlns="http://schemas.openxmlformats.org/package/2006/relationships"><Relationship Id="rId1" Type="http://schemas.openxmlformats.org/officeDocument/2006/relationships/image" Target="media/image2.jpeg"/></Relationships>

</file>

<file path=word/_rels/footer98.xml.rels><?xml version="1.0" encoding="UTF-8" standalone="yes"?>
<Relationships xmlns="http://schemas.openxmlformats.org/package/2006/relationships"><Relationship Id="rId1" Type="http://schemas.openxmlformats.org/officeDocument/2006/relationships/image" Target="media/image2.jpeg"/></Relationships>

</file>

<file path=word/_rels/footer9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dc:creator>
  <dc:title>Alpha-Liponsäure</dc:title>
  <dcterms:created xsi:type="dcterms:W3CDTF">2020-01-09T18:38:35Z</dcterms:created>
  <dcterms:modified xsi:type="dcterms:W3CDTF">2020-01-09T18:38:35Z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2018-09-12T00:00:00Z</vt:filetime>
  </property>
  <property fmtid="{D5CDD505-2E9C-101B-9397-08002B2CF9AE}" pid="3" name="Creator">
    <vt:lpwstr>Microsoft® Word 2013</vt:lpwstr>
  </property>
  <property fmtid="{D5CDD505-2E9C-101B-9397-08002B2CF9AE}" pid="4" name="LastSaved">
    <vt:filetime>2020-01-09T00:00:00Z</vt:filetime>
  </property>
</Properties>
</file>